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C58B5C">
      <w:pPr>
        <w:pStyle w:val="70"/>
        <w:rPr>
          <w:lang w:eastAsia="zh-CN"/>
        </w:rPr>
      </w:pPr>
      <w:bookmarkStart w:id="0" w:name="_Toc15148"/>
    </w:p>
    <w:p w14:paraId="018021BE">
      <w:pPr>
        <w:pStyle w:val="42"/>
      </w:pPr>
    </w:p>
    <w:p w14:paraId="2B9B16EB">
      <w:pPr>
        <w:pStyle w:val="42"/>
      </w:pPr>
    </w:p>
    <w:p w14:paraId="77CB053E">
      <w:pPr>
        <w:pStyle w:val="42"/>
      </w:pPr>
    </w:p>
    <w:bookmarkEnd w:id="0"/>
    <w:p w14:paraId="429518FE">
      <w:pPr>
        <w:spacing w:line="360" w:lineRule="auto"/>
        <w:jc w:val="center"/>
        <w:rPr>
          <w:rFonts w:ascii="Times New Roman" w:hAnsi="Times New Roman" w:cs="Times New Roman"/>
          <w:b/>
          <w:bCs/>
          <w:color w:val="auto"/>
          <w:sz w:val="52"/>
          <w:szCs w:val="52"/>
          <w:lang w:eastAsia="zh-CN"/>
        </w:rPr>
      </w:pPr>
      <w:r>
        <w:rPr>
          <w:rFonts w:hint="eastAsia" w:ascii="Times New Roman" w:hAnsi="Times New Roman" w:cs="Times New Roman"/>
          <w:b/>
          <w:bCs/>
          <w:color w:val="auto"/>
          <w:sz w:val="52"/>
          <w:szCs w:val="52"/>
          <w:lang w:eastAsia="zh-CN"/>
        </w:rPr>
        <w:t>安徽氟瑞星化工</w:t>
      </w:r>
      <w:r>
        <w:rPr>
          <w:rFonts w:ascii="Times New Roman" w:hAnsi="Times New Roman" w:cs="Times New Roman"/>
          <w:b/>
          <w:bCs/>
          <w:color w:val="auto"/>
          <w:sz w:val="52"/>
          <w:szCs w:val="52"/>
          <w:lang w:eastAsia="zh-CN"/>
        </w:rPr>
        <w:t>有限公司</w:t>
      </w:r>
    </w:p>
    <w:p w14:paraId="6CEC9513">
      <w:pPr>
        <w:spacing w:line="360" w:lineRule="auto"/>
        <w:jc w:val="center"/>
        <w:rPr>
          <w:rFonts w:ascii="Times New Roman" w:hAnsi="Times New Roman" w:cs="Times New Roman"/>
          <w:b/>
          <w:bCs/>
          <w:color w:val="auto"/>
          <w:sz w:val="52"/>
          <w:szCs w:val="52"/>
          <w:lang w:eastAsia="zh-CN"/>
        </w:rPr>
      </w:pPr>
      <w:bookmarkStart w:id="1" w:name="_Toc18042"/>
      <w:bookmarkStart w:id="2" w:name="_Toc27422"/>
      <w:r>
        <w:rPr>
          <w:rFonts w:hint="eastAsia" w:ascii="Times New Roman" w:hAnsi="Times New Roman" w:cs="Times New Roman"/>
          <w:b/>
          <w:bCs/>
          <w:color w:val="auto"/>
          <w:sz w:val="52"/>
          <w:szCs w:val="52"/>
          <w:lang w:eastAsia="zh-CN"/>
        </w:rPr>
        <w:t>年产5万吨化学纯氢氟酸及1.5万吨刻蚀液扩产项目生态</w:t>
      </w:r>
      <w:r>
        <w:rPr>
          <w:rFonts w:ascii="Times New Roman" w:hAnsi="Times New Roman" w:cs="Times New Roman"/>
          <w:b/>
          <w:bCs/>
          <w:color w:val="auto"/>
          <w:sz w:val="52"/>
          <w:szCs w:val="52"/>
          <w:lang w:eastAsia="zh-CN"/>
        </w:rPr>
        <w:t>环境影响报告书</w:t>
      </w:r>
      <w:bookmarkEnd w:id="1"/>
      <w:bookmarkEnd w:id="2"/>
    </w:p>
    <w:p w14:paraId="4B1FDAB6">
      <w:pPr>
        <w:spacing w:line="360" w:lineRule="auto"/>
        <w:jc w:val="center"/>
        <w:rPr>
          <w:rFonts w:ascii="Times New Roman" w:hAnsi="Times New Roman" w:cs="Times New Roman"/>
          <w:b/>
          <w:bCs/>
          <w:color w:val="auto"/>
          <w:sz w:val="52"/>
          <w:szCs w:val="52"/>
          <w:lang w:eastAsia="zh-CN"/>
        </w:rPr>
      </w:pPr>
    </w:p>
    <w:p w14:paraId="201645AC">
      <w:pPr>
        <w:spacing w:line="360" w:lineRule="auto"/>
        <w:jc w:val="center"/>
        <w:rPr>
          <w:rFonts w:ascii="Times New Roman" w:hAnsi="Times New Roman" w:cs="Times New Roman"/>
          <w:b/>
          <w:bCs/>
          <w:color w:val="auto"/>
          <w:sz w:val="52"/>
          <w:szCs w:val="52"/>
          <w:lang w:eastAsia="zh-CN"/>
        </w:rPr>
      </w:pPr>
      <w:r>
        <w:rPr>
          <w:rFonts w:ascii="Times New Roman" w:hAnsi="Times New Roman" w:cs="Times New Roman"/>
          <w:b/>
          <w:bCs/>
          <w:color w:val="auto"/>
          <w:sz w:val="52"/>
          <w:szCs w:val="52"/>
          <w:lang w:eastAsia="zh-CN"/>
        </w:rPr>
        <w:t>（</w:t>
      </w:r>
      <w:r>
        <w:rPr>
          <w:rFonts w:hint="eastAsia" w:ascii="Times New Roman" w:hAnsi="Times New Roman" w:cs="Times New Roman"/>
          <w:b/>
          <w:bCs/>
          <w:color w:val="auto"/>
          <w:sz w:val="52"/>
          <w:szCs w:val="52"/>
          <w:lang w:eastAsia="zh-CN"/>
        </w:rPr>
        <w:t>送审</w:t>
      </w:r>
      <w:r>
        <w:rPr>
          <w:rFonts w:ascii="Times New Roman" w:hAnsi="Times New Roman" w:cs="Times New Roman"/>
          <w:b/>
          <w:bCs/>
          <w:color w:val="auto"/>
          <w:sz w:val="52"/>
          <w:szCs w:val="52"/>
          <w:lang w:eastAsia="zh-CN"/>
        </w:rPr>
        <w:t>稿）</w:t>
      </w:r>
    </w:p>
    <w:p w14:paraId="117B8AE3">
      <w:pPr>
        <w:tabs>
          <w:tab w:val="left" w:pos="6311"/>
        </w:tabs>
        <w:spacing w:line="360" w:lineRule="auto"/>
        <w:ind w:firstLine="560"/>
        <w:rPr>
          <w:rFonts w:ascii="Times New Roman" w:hAnsi="Times New Roman" w:cs="Times New Roman"/>
          <w:color w:val="auto"/>
          <w:sz w:val="28"/>
          <w:szCs w:val="22"/>
          <w:lang w:eastAsia="zh-CN"/>
        </w:rPr>
      </w:pPr>
      <w:r>
        <w:rPr>
          <w:rFonts w:ascii="Times New Roman" w:hAnsi="Times New Roman" w:cs="Times New Roman"/>
          <w:color w:val="auto"/>
          <w:sz w:val="28"/>
          <w:szCs w:val="22"/>
          <w:lang w:eastAsia="zh-CN"/>
        </w:rPr>
        <w:tab/>
      </w:r>
    </w:p>
    <w:p w14:paraId="4B8BF12B">
      <w:pPr>
        <w:spacing w:line="360" w:lineRule="auto"/>
        <w:ind w:firstLine="560"/>
        <w:rPr>
          <w:rFonts w:ascii="Times New Roman" w:hAnsi="Times New Roman" w:cs="Times New Roman"/>
          <w:color w:val="auto"/>
          <w:sz w:val="28"/>
          <w:szCs w:val="22"/>
          <w:lang w:eastAsia="zh-CN"/>
        </w:rPr>
      </w:pPr>
    </w:p>
    <w:p w14:paraId="52AFDC21">
      <w:pPr>
        <w:spacing w:line="360" w:lineRule="auto"/>
        <w:ind w:firstLine="560"/>
        <w:rPr>
          <w:rFonts w:ascii="Times New Roman" w:hAnsi="Times New Roman" w:cs="Times New Roman"/>
          <w:color w:val="auto"/>
          <w:sz w:val="28"/>
          <w:szCs w:val="22"/>
          <w:lang w:eastAsia="zh-CN"/>
        </w:rPr>
      </w:pPr>
    </w:p>
    <w:p w14:paraId="3F9CD234">
      <w:pPr>
        <w:spacing w:line="360" w:lineRule="auto"/>
        <w:ind w:firstLine="560"/>
        <w:rPr>
          <w:rFonts w:ascii="Times New Roman" w:hAnsi="Times New Roman" w:cs="Times New Roman"/>
          <w:color w:val="auto"/>
          <w:sz w:val="28"/>
          <w:szCs w:val="22"/>
          <w:lang w:eastAsia="zh-CN"/>
        </w:rPr>
      </w:pPr>
    </w:p>
    <w:p w14:paraId="7E38E429">
      <w:pPr>
        <w:spacing w:line="360" w:lineRule="auto"/>
        <w:ind w:firstLine="560"/>
        <w:rPr>
          <w:rFonts w:ascii="Times New Roman" w:hAnsi="Times New Roman" w:cs="Times New Roman"/>
          <w:color w:val="auto"/>
          <w:sz w:val="28"/>
          <w:szCs w:val="22"/>
          <w:lang w:eastAsia="zh-CN"/>
        </w:rPr>
      </w:pPr>
    </w:p>
    <w:p w14:paraId="6795FFD7">
      <w:pPr>
        <w:spacing w:line="360" w:lineRule="auto"/>
        <w:ind w:firstLine="803"/>
        <w:jc w:val="center"/>
        <w:rPr>
          <w:rFonts w:ascii="Times New Roman" w:hAnsi="Times New Roman" w:cs="Times New Roman"/>
          <w:b/>
          <w:bCs/>
          <w:color w:val="auto"/>
          <w:sz w:val="40"/>
          <w:szCs w:val="32"/>
          <w:lang w:eastAsia="zh-CN"/>
        </w:rPr>
      </w:pPr>
      <w:bookmarkStart w:id="3" w:name="_Toc31721"/>
      <w:bookmarkStart w:id="4" w:name="_Toc32313"/>
    </w:p>
    <w:p w14:paraId="7EE7B088">
      <w:pPr>
        <w:spacing w:line="360" w:lineRule="auto"/>
        <w:ind w:firstLine="803"/>
        <w:jc w:val="center"/>
        <w:rPr>
          <w:rFonts w:ascii="Times New Roman" w:hAnsi="Times New Roman" w:cs="Times New Roman"/>
          <w:b/>
          <w:bCs/>
          <w:color w:val="auto"/>
          <w:sz w:val="40"/>
          <w:szCs w:val="32"/>
          <w:lang w:eastAsia="zh-CN"/>
        </w:rPr>
      </w:pPr>
    </w:p>
    <w:p w14:paraId="196C3D3B">
      <w:pPr>
        <w:pStyle w:val="42"/>
        <w:ind w:firstLine="480"/>
        <w:rPr>
          <w:color w:val="auto"/>
        </w:rPr>
      </w:pPr>
    </w:p>
    <w:p w14:paraId="6875CE22">
      <w:pPr>
        <w:spacing w:line="360" w:lineRule="auto"/>
        <w:jc w:val="center"/>
        <w:rPr>
          <w:rFonts w:ascii="Times New Roman" w:hAnsi="Times New Roman" w:cs="Times New Roman"/>
          <w:b/>
          <w:bCs/>
          <w:color w:val="auto"/>
          <w:sz w:val="40"/>
          <w:szCs w:val="32"/>
          <w:lang w:eastAsia="zh-CN"/>
        </w:rPr>
      </w:pPr>
      <w:r>
        <w:rPr>
          <w:rFonts w:ascii="Times New Roman" w:hAnsi="Times New Roman" w:cs="Times New Roman"/>
          <w:b/>
          <w:bCs/>
          <w:color w:val="auto"/>
          <w:sz w:val="40"/>
          <w:szCs w:val="32"/>
          <w:lang w:eastAsia="zh-CN"/>
        </w:rPr>
        <w:t>安徽</w:t>
      </w:r>
      <w:r>
        <w:rPr>
          <w:rFonts w:hint="eastAsia" w:ascii="Times New Roman" w:hAnsi="Times New Roman" w:cs="Times New Roman"/>
          <w:b/>
          <w:bCs/>
          <w:color w:val="auto"/>
          <w:sz w:val="40"/>
          <w:szCs w:val="32"/>
          <w:lang w:eastAsia="zh-CN"/>
        </w:rPr>
        <w:t>善宇环保科技</w:t>
      </w:r>
      <w:r>
        <w:rPr>
          <w:rFonts w:ascii="Times New Roman" w:hAnsi="Times New Roman" w:cs="Times New Roman"/>
          <w:b/>
          <w:bCs/>
          <w:color w:val="auto"/>
          <w:sz w:val="40"/>
          <w:szCs w:val="32"/>
          <w:lang w:eastAsia="zh-CN"/>
        </w:rPr>
        <w:t>有限公司</w:t>
      </w:r>
      <w:bookmarkEnd w:id="3"/>
      <w:bookmarkEnd w:id="4"/>
    </w:p>
    <w:p w14:paraId="0A71D60E">
      <w:pPr>
        <w:jc w:val="center"/>
        <w:rPr>
          <w:rFonts w:ascii="Times New Roman" w:hAnsi="Times New Roman" w:cs="Times New Roman"/>
          <w:b/>
          <w:bCs/>
          <w:color w:val="auto"/>
          <w:sz w:val="40"/>
          <w:szCs w:val="32"/>
          <w:lang w:eastAsia="zh-CN"/>
        </w:rPr>
      </w:pPr>
    </w:p>
    <w:p w14:paraId="4C2D998C">
      <w:pPr>
        <w:jc w:val="center"/>
        <w:rPr>
          <w:rFonts w:ascii="Times New Roman" w:hAnsi="Times New Roman" w:cs="Times New Roman"/>
          <w:b/>
          <w:bCs/>
          <w:color w:val="auto"/>
          <w:sz w:val="40"/>
          <w:szCs w:val="32"/>
          <w:lang w:eastAsia="zh-CN"/>
        </w:rPr>
        <w:sectPr>
          <w:headerReference r:id="rId3" w:type="default"/>
          <w:headerReference r:id="rId4" w:type="even"/>
          <w:pgSz w:w="11906" w:h="16838"/>
          <w:pgMar w:top="1440" w:right="1080" w:bottom="1440" w:left="1080" w:header="851" w:footer="992" w:gutter="0"/>
          <w:cols w:space="720" w:num="1"/>
          <w:docGrid w:type="lines" w:linePitch="312" w:charSpace="0"/>
        </w:sectPr>
      </w:pPr>
      <w:r>
        <w:rPr>
          <w:rFonts w:ascii="Times New Roman" w:hAnsi="Times New Roman" w:cs="Times New Roman"/>
          <w:b/>
          <w:bCs/>
          <w:color w:val="auto"/>
          <w:sz w:val="40"/>
          <w:szCs w:val="32"/>
          <w:lang w:eastAsia="zh-CN"/>
        </w:rPr>
        <w:t>二〇二</w:t>
      </w:r>
      <w:r>
        <w:rPr>
          <w:rFonts w:hint="eastAsia" w:ascii="Times New Roman" w:hAnsi="Times New Roman" w:cs="Times New Roman"/>
          <w:b/>
          <w:bCs/>
          <w:color w:val="auto"/>
          <w:sz w:val="40"/>
          <w:szCs w:val="32"/>
          <w:lang w:eastAsia="zh-CN"/>
        </w:rPr>
        <w:t>六</w:t>
      </w:r>
      <w:r>
        <w:rPr>
          <w:rFonts w:ascii="Times New Roman" w:hAnsi="Times New Roman" w:cs="Times New Roman"/>
          <w:b/>
          <w:bCs/>
          <w:color w:val="auto"/>
          <w:sz w:val="40"/>
          <w:szCs w:val="32"/>
          <w:lang w:eastAsia="zh-CN"/>
        </w:rPr>
        <w:t>年</w:t>
      </w:r>
      <w:r>
        <w:rPr>
          <w:rFonts w:hint="eastAsia" w:ascii="Times New Roman" w:hAnsi="Times New Roman" w:cs="Times New Roman"/>
          <w:b/>
          <w:bCs/>
          <w:color w:val="auto"/>
          <w:sz w:val="40"/>
          <w:szCs w:val="32"/>
          <w:lang w:val="en-US" w:eastAsia="zh-CN"/>
        </w:rPr>
        <w:t>八</w:t>
      </w:r>
      <w:r>
        <w:rPr>
          <w:rFonts w:ascii="Times New Roman" w:hAnsi="Times New Roman" w:cs="Times New Roman"/>
          <w:b/>
          <w:bCs/>
          <w:color w:val="auto"/>
          <w:sz w:val="40"/>
          <w:szCs w:val="32"/>
          <w:lang w:eastAsia="zh-CN"/>
        </w:rPr>
        <w:t>月</w:t>
      </w:r>
    </w:p>
    <w:p w14:paraId="0C686E1F">
      <w:pPr>
        <w:ind w:firstLine="480"/>
        <w:jc w:val="center"/>
        <w:rPr>
          <w:rFonts w:ascii="Times New Roman" w:hAnsi="Times New Roman" w:cs="Times New Roman"/>
          <w:b/>
          <w:bCs/>
          <w:color w:val="auto"/>
          <w:szCs w:val="24"/>
        </w:rPr>
      </w:pPr>
      <w:r>
        <w:rPr>
          <w:rFonts w:ascii="Times New Roman" w:hAnsi="Times New Roman" w:cs="Times New Roman"/>
          <w:b/>
          <w:bCs/>
          <w:color w:val="auto"/>
          <w:szCs w:val="24"/>
        </w:rPr>
        <w:t>目</w:t>
      </w:r>
      <w:r>
        <w:rPr>
          <w:rFonts w:ascii="Times New Roman" w:hAnsi="Times New Roman" w:cs="Times New Roman"/>
          <w:b/>
          <w:bCs/>
          <w:color w:val="auto"/>
          <w:szCs w:val="24"/>
          <w:lang w:eastAsia="zh-CN"/>
        </w:rPr>
        <w:t xml:space="preserve">  </w:t>
      </w:r>
      <w:r>
        <w:rPr>
          <w:rFonts w:ascii="Times New Roman" w:hAnsi="Times New Roman" w:cs="Times New Roman"/>
          <w:b/>
          <w:bCs/>
          <w:color w:val="auto"/>
          <w:szCs w:val="24"/>
        </w:rPr>
        <w:t>录</w:t>
      </w:r>
    </w:p>
    <w:p w14:paraId="0E02BD74">
      <w:pPr>
        <w:pStyle w:val="24"/>
        <w:rPr>
          <w:rFonts w:hint="eastAsia" w:asciiTheme="minorHAnsi" w:hAnsiTheme="minorHAnsi" w:eastAsiaTheme="minorEastAsia" w:cstheme="minorBidi"/>
          <w:snapToGrid/>
          <w:color w:val="auto"/>
          <w:kern w:val="2"/>
          <w:sz w:val="22"/>
          <w:szCs w:val="24"/>
          <w:lang w:eastAsia="zh-CN"/>
          <w14:ligatures w14:val="standardContextual"/>
        </w:rPr>
      </w:pPr>
      <w:r>
        <w:rPr>
          <w:rFonts w:ascii="Times New Roman" w:hAnsi="Times New Roman" w:cs="Times New Roman"/>
          <w:b/>
          <w:bCs/>
          <w:color w:val="auto"/>
          <w:szCs w:val="24"/>
        </w:rPr>
        <w:fldChar w:fldCharType="begin"/>
      </w:r>
      <w:r>
        <w:rPr>
          <w:rFonts w:ascii="Times New Roman" w:hAnsi="Times New Roman" w:cs="Times New Roman"/>
          <w:b/>
          <w:bCs/>
          <w:color w:val="auto"/>
          <w:szCs w:val="24"/>
        </w:rPr>
        <w:instrText xml:space="preserve">TOC \o "1-3" \h \u </w:instrText>
      </w:r>
      <w:r>
        <w:rPr>
          <w:rFonts w:ascii="Times New Roman" w:hAnsi="Times New Roman" w:cs="Times New Roman"/>
          <w:b/>
          <w:bCs/>
          <w:color w:val="auto"/>
          <w:szCs w:val="24"/>
        </w:rPr>
        <w:fldChar w:fldCharType="separate"/>
      </w:r>
      <w:r>
        <w:fldChar w:fldCharType="begin"/>
      </w:r>
      <w:r>
        <w:instrText xml:space="preserve"> HYPERLINK \l "_Toc237508223" </w:instrText>
      </w:r>
      <w:r>
        <w:fldChar w:fldCharType="separate"/>
      </w:r>
      <w:r>
        <w:rPr>
          <w:rStyle w:val="40"/>
          <w:rFonts w:ascii="Times New Roman" w:hAnsi="Times New Roman" w:eastAsia="新宋体" w:cs="Times New Roman"/>
          <w:b/>
          <w:bCs/>
          <w:lang w:eastAsia="zh-CN"/>
        </w:rPr>
        <w:t>1 概述</w:t>
      </w:r>
      <w:r>
        <w:rPr>
          <w:rFonts w:hint="eastAsia"/>
        </w:rPr>
        <w:tab/>
      </w:r>
      <w:r>
        <w:rPr>
          <w:rFonts w:hint="eastAsia"/>
        </w:rPr>
        <w:fldChar w:fldCharType="begin"/>
      </w:r>
      <w:r>
        <w:rPr>
          <w:rFonts w:hint="eastAsia"/>
        </w:rPr>
        <w:instrText xml:space="preserve"> </w:instrText>
      </w:r>
      <w:r>
        <w:instrText xml:space="preserve">PAGEREF _Toc237508223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1A2AC3B7">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"_Toc237508224" </w:instrText>
      </w:r>
      <w:r>
        <w:fldChar w:fldCharType="separate"/>
      </w:r>
      <w:r>
        <w:rPr>
          <w:rStyle w:val="40"/>
          <w:rFonts w:ascii="Times New Roman" w:hAnsi="Times New Roman" w:eastAsia="新宋体" w:cs="Times New Roman"/>
          <w:b/>
          <w:bCs/>
          <w:lang w:eastAsia="zh-CN"/>
        </w:rPr>
        <w:t>1.1 项目由来</w:t>
      </w:r>
      <w:r>
        <w:rPr>
          <w:rFonts w:hint="eastAsia"/>
        </w:rPr>
        <w:tab/>
      </w:r>
      <w:r>
        <w:rPr>
          <w:rFonts w:hint="eastAsia"/>
        </w:rPr>
        <w:fldChar w:fldCharType="begin"/>
      </w:r>
      <w:r>
        <w:rPr>
          <w:rFonts w:hint="eastAsia"/>
        </w:rPr>
        <w:instrText xml:space="preserve"> </w:instrText>
      </w:r>
      <w:r>
        <w:instrText xml:space="preserve">PAGEREF _Toc237508224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75A2FC46">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"_Toc237508225" </w:instrText>
      </w:r>
      <w:r>
        <w:fldChar w:fldCharType="separate"/>
      </w:r>
      <w:r>
        <w:rPr>
          <w:rStyle w:val="40"/>
          <w:rFonts w:ascii="Times New Roman" w:hAnsi="Times New Roman" w:eastAsia="新宋体" w:cs="Times New Roman"/>
          <w:b/>
          <w:bCs/>
          <w:lang w:eastAsia="zh-CN"/>
        </w:rPr>
        <w:t>1.2 项目特点</w:t>
      </w:r>
      <w:r>
        <w:rPr>
          <w:rFonts w:hint="eastAsia"/>
        </w:rPr>
        <w:tab/>
      </w:r>
      <w:r>
        <w:rPr>
          <w:rFonts w:hint="eastAsia"/>
        </w:rPr>
        <w:fldChar w:fldCharType="begin"/>
      </w:r>
      <w:r>
        <w:rPr>
          <w:rFonts w:hint="eastAsia"/>
        </w:rPr>
        <w:instrText xml:space="preserve"> </w:instrText>
      </w:r>
      <w:r>
        <w:instrText xml:space="preserve">PAGEREF _Toc237508225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08B4FD7F">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"_Toc237508226" </w:instrText>
      </w:r>
      <w:r>
        <w:fldChar w:fldCharType="separate"/>
      </w:r>
      <w:r>
        <w:rPr>
          <w:rStyle w:val="40"/>
          <w:rFonts w:ascii="Times New Roman" w:hAnsi="Times New Roman" w:eastAsia="新宋体" w:cs="Times New Roman"/>
          <w:b/>
          <w:bCs/>
          <w:lang w:eastAsia="zh-CN"/>
        </w:rPr>
        <w:t>1.3 环境影响评价工作过程</w:t>
      </w:r>
      <w:r>
        <w:rPr>
          <w:rFonts w:hint="eastAsia"/>
        </w:rPr>
        <w:tab/>
      </w:r>
      <w:r>
        <w:rPr>
          <w:rFonts w:hint="eastAsia"/>
        </w:rPr>
        <w:fldChar w:fldCharType="begin"/>
      </w:r>
      <w:r>
        <w:rPr>
          <w:rFonts w:hint="eastAsia"/>
        </w:rPr>
        <w:instrText xml:space="preserve"> </w:instrText>
      </w:r>
      <w:r>
        <w:instrText xml:space="preserve">PAGEREF _Toc237508226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226DB28D">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"_Toc237508227" </w:instrText>
      </w:r>
      <w:r>
        <w:fldChar w:fldCharType="separate"/>
      </w:r>
      <w:r>
        <w:rPr>
          <w:rStyle w:val="40"/>
          <w:rFonts w:ascii="Times New Roman" w:hAnsi="Times New Roman" w:eastAsia="新宋体" w:cs="Times New Roman"/>
          <w:b/>
          <w:bCs/>
          <w:lang w:eastAsia="zh-CN"/>
        </w:rPr>
        <w:t>1.4 分析判定相关情况</w:t>
      </w:r>
      <w:r>
        <w:rPr>
          <w:rFonts w:hint="eastAsia"/>
        </w:rPr>
        <w:tab/>
      </w:r>
      <w:r>
        <w:rPr>
          <w:rFonts w:hint="eastAsia"/>
        </w:rPr>
        <w:fldChar w:fldCharType="begin"/>
      </w:r>
      <w:r>
        <w:rPr>
          <w:rFonts w:hint="eastAsia"/>
        </w:rPr>
        <w:instrText xml:space="preserve"> </w:instrText>
      </w:r>
      <w:r>
        <w:instrText xml:space="preserve">PAGEREF _Toc237508227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2CEC484F">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"_Toc237508233" </w:instrText>
      </w:r>
      <w:r>
        <w:fldChar w:fldCharType="separate"/>
      </w:r>
      <w:r>
        <w:rPr>
          <w:rStyle w:val="40"/>
          <w:rFonts w:ascii="Times New Roman" w:hAnsi="Times New Roman" w:eastAsia="新宋体" w:cs="Times New Roman"/>
          <w:b/>
          <w:bCs/>
          <w:lang w:eastAsia="zh-CN"/>
        </w:rPr>
        <w:t>1.5 关注的主要环境问题及环境影响</w:t>
      </w:r>
      <w:r>
        <w:rPr>
          <w:rFonts w:hint="eastAsia"/>
        </w:rPr>
        <w:tab/>
      </w:r>
      <w:r>
        <w:rPr>
          <w:rFonts w:hint="eastAsia"/>
        </w:rPr>
        <w:fldChar w:fldCharType="begin"/>
      </w:r>
      <w:r>
        <w:rPr>
          <w:rFonts w:hint="eastAsia"/>
        </w:rPr>
        <w:instrText xml:space="preserve"> </w:instrText>
      </w:r>
      <w:r>
        <w:instrText xml:space="preserve">PAGEREF _Toc237508233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7F9EC4FA">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"_Toc237508234" </w:instrText>
      </w:r>
      <w:r>
        <w:fldChar w:fldCharType="separate"/>
      </w:r>
      <w:r>
        <w:rPr>
          <w:rStyle w:val="40"/>
          <w:rFonts w:ascii="Times New Roman" w:hAnsi="Times New Roman" w:eastAsia="新宋体" w:cs="Times New Roman"/>
          <w:b/>
          <w:bCs/>
          <w:lang w:eastAsia="zh-CN"/>
        </w:rPr>
        <w:t>1.6 环境影响报告书的主要结论</w:t>
      </w:r>
      <w:r>
        <w:rPr>
          <w:rFonts w:hint="eastAsia"/>
        </w:rPr>
        <w:tab/>
      </w:r>
      <w:r>
        <w:rPr>
          <w:rFonts w:hint="eastAsia"/>
        </w:rPr>
        <w:fldChar w:fldCharType="begin"/>
      </w:r>
      <w:r>
        <w:rPr>
          <w:rFonts w:hint="eastAsia"/>
        </w:rPr>
        <w:instrText xml:space="preserve"> </w:instrText>
      </w:r>
      <w:r>
        <w:instrText xml:space="preserve">PAGEREF _Toc237508234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08F7B990">
      <w:pPr>
        <w:pStyle w:val="24"/>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"_Toc237508235" </w:instrText>
      </w:r>
      <w:r>
        <w:fldChar w:fldCharType="separate"/>
      </w:r>
      <w:r>
        <w:rPr>
          <w:rStyle w:val="40"/>
          <w:rFonts w:ascii="Times New Roman" w:hAnsi="Times New Roman" w:eastAsia="新宋体" w:cs="Times New Roman"/>
          <w:b/>
          <w:bCs/>
          <w:lang w:eastAsia="zh-CN"/>
        </w:rPr>
        <w:t>2 总则</w:t>
      </w:r>
      <w:r>
        <w:rPr>
          <w:rFonts w:hint="eastAsia"/>
        </w:rPr>
        <w:tab/>
      </w:r>
      <w:r>
        <w:rPr>
          <w:rFonts w:hint="eastAsia"/>
        </w:rPr>
        <w:fldChar w:fldCharType="begin"/>
      </w:r>
      <w:r>
        <w:rPr>
          <w:rFonts w:hint="eastAsia"/>
        </w:rPr>
        <w:instrText xml:space="preserve"> </w:instrText>
      </w:r>
      <w:r>
        <w:instrText xml:space="preserve">PAGEREF _Toc237508235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22967DD7">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"_Toc237508236" </w:instrText>
      </w:r>
      <w:r>
        <w:fldChar w:fldCharType="separate"/>
      </w:r>
      <w:r>
        <w:rPr>
          <w:rStyle w:val="40"/>
          <w:rFonts w:ascii="Times New Roman" w:hAnsi="Times New Roman" w:cs="Times New Roman"/>
          <w:b/>
          <w:bCs/>
          <w:lang w:eastAsia="zh-CN"/>
        </w:rPr>
        <w:t>2.1 评价目的及指导思想</w:t>
      </w:r>
      <w:r>
        <w:rPr>
          <w:rFonts w:hint="eastAsia"/>
        </w:rPr>
        <w:tab/>
      </w:r>
      <w:r>
        <w:rPr>
          <w:rFonts w:hint="eastAsia"/>
        </w:rPr>
        <w:fldChar w:fldCharType="begin"/>
      </w:r>
      <w:r>
        <w:rPr>
          <w:rFonts w:hint="eastAsia"/>
        </w:rPr>
        <w:instrText xml:space="preserve"> </w:instrText>
      </w:r>
      <w:r>
        <w:instrText xml:space="preserve">PAGEREF _Toc237508236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02666140">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"_Toc237508237" </w:instrText>
      </w:r>
      <w:r>
        <w:fldChar w:fldCharType="separate"/>
      </w:r>
      <w:r>
        <w:rPr>
          <w:rStyle w:val="40"/>
          <w:rFonts w:ascii="Times New Roman" w:hAnsi="Times New Roman" w:eastAsia="新宋体" w:cs="Times New Roman"/>
          <w:b/>
          <w:bCs/>
          <w:lang w:eastAsia="zh-CN"/>
        </w:rPr>
        <w:t>2.2 编制依据</w:t>
      </w:r>
      <w:r>
        <w:rPr>
          <w:rFonts w:hint="eastAsia"/>
        </w:rPr>
        <w:tab/>
      </w:r>
      <w:r>
        <w:rPr>
          <w:rFonts w:hint="eastAsia"/>
        </w:rPr>
        <w:fldChar w:fldCharType="begin"/>
      </w:r>
      <w:r>
        <w:rPr>
          <w:rFonts w:hint="eastAsia"/>
        </w:rPr>
        <w:instrText xml:space="preserve"> </w:instrText>
      </w:r>
      <w:r>
        <w:instrText xml:space="preserve">PAGEREF _Toc237508237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186ED692">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"_Toc237508242" </w:instrText>
      </w:r>
      <w:r>
        <w:fldChar w:fldCharType="separate"/>
      </w:r>
      <w:r>
        <w:rPr>
          <w:rStyle w:val="40"/>
          <w:rFonts w:ascii="Times New Roman" w:hAnsi="Times New Roman" w:eastAsia="新宋体" w:cs="Times New Roman"/>
          <w:b/>
          <w:bCs/>
          <w:lang w:eastAsia="zh-CN"/>
        </w:rPr>
        <w:t>2.3 评价因子与评价标准</w:t>
      </w:r>
      <w:r>
        <w:rPr>
          <w:rFonts w:hint="eastAsia"/>
        </w:rPr>
        <w:tab/>
      </w:r>
      <w:r>
        <w:rPr>
          <w:rFonts w:hint="eastAsia"/>
        </w:rPr>
        <w:fldChar w:fldCharType="begin"/>
      </w:r>
      <w:r>
        <w:rPr>
          <w:rFonts w:hint="eastAsia"/>
        </w:rPr>
        <w:instrText xml:space="preserve"> </w:instrText>
      </w:r>
      <w:r>
        <w:instrText xml:space="preserve">PAGEREF _Toc237508242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14:paraId="280FE557">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"_Toc237508246" </w:instrText>
      </w:r>
      <w:r>
        <w:fldChar w:fldCharType="separate"/>
      </w:r>
      <w:r>
        <w:rPr>
          <w:rStyle w:val="40"/>
          <w:rFonts w:ascii="Times New Roman" w:hAnsi="Times New Roman" w:eastAsia="新宋体" w:cs="Times New Roman"/>
          <w:b/>
          <w:bCs/>
          <w:lang w:eastAsia="zh-CN"/>
        </w:rPr>
        <w:t>2.4 评价工作等级和评价范围</w:t>
      </w:r>
      <w:r>
        <w:rPr>
          <w:rFonts w:hint="eastAsia"/>
        </w:rPr>
        <w:tab/>
      </w:r>
      <w:r>
        <w:rPr>
          <w:rFonts w:hint="eastAsia"/>
        </w:rPr>
        <w:fldChar w:fldCharType="begin"/>
      </w:r>
      <w:r>
        <w:rPr>
          <w:rFonts w:hint="eastAsia"/>
        </w:rPr>
        <w:instrText xml:space="preserve"> </w:instrText>
      </w:r>
      <w:r>
        <w:instrText xml:space="preserve">PAGEREF _Toc237508246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148AFC42">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"_Toc237508249" </w:instrText>
      </w:r>
      <w:r>
        <w:fldChar w:fldCharType="separate"/>
      </w:r>
      <w:r>
        <w:rPr>
          <w:rStyle w:val="40"/>
          <w:rFonts w:ascii="Times New Roman" w:hAnsi="Times New Roman" w:eastAsia="新宋体" w:cs="Times New Roman"/>
          <w:b/>
          <w:bCs/>
          <w:lang w:eastAsia="zh-CN"/>
        </w:rPr>
        <w:t>2.5 相关规划及环境功能区划</w:t>
      </w:r>
      <w:r>
        <w:rPr>
          <w:rFonts w:hint="eastAsia"/>
        </w:rPr>
        <w:tab/>
      </w:r>
      <w:r>
        <w:rPr>
          <w:rFonts w:hint="eastAsia"/>
        </w:rPr>
        <w:fldChar w:fldCharType="begin"/>
      </w:r>
      <w:r>
        <w:rPr>
          <w:rFonts w:hint="eastAsia"/>
        </w:rPr>
        <w:instrText xml:space="preserve"> </w:instrText>
      </w:r>
      <w:r>
        <w:instrText xml:space="preserve">PAGEREF _Toc237508249 \h</w:instrText>
      </w:r>
      <w:r>
        <w:rPr>
          <w:rFonts w:hint="eastAsia"/>
        </w:rPr>
        <w:instrText xml:space="preserve"> </w:instrText>
      </w:r>
      <w:r>
        <w:rPr>
          <w:rFonts w:hint="eastAsia"/>
        </w:rPr>
        <w:fldChar w:fldCharType="separate"/>
      </w:r>
      <w:r>
        <w:t>29</w:t>
      </w:r>
      <w:r>
        <w:rPr>
          <w:rFonts w:hint="eastAsia"/>
        </w:rPr>
        <w:fldChar w:fldCharType="end"/>
      </w:r>
      <w:r>
        <w:rPr>
          <w:rFonts w:hint="eastAsia"/>
        </w:rPr>
        <w:fldChar w:fldCharType="end"/>
      </w:r>
    </w:p>
    <w:p w14:paraId="5B8FC7DF">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"_Toc237508256" </w:instrText>
      </w:r>
      <w:r>
        <w:fldChar w:fldCharType="separate"/>
      </w:r>
      <w:r>
        <w:rPr>
          <w:rStyle w:val="40"/>
          <w:rFonts w:ascii="Times New Roman" w:hAnsi="Times New Roman" w:eastAsia="新宋体" w:cs="Times New Roman"/>
          <w:b/>
          <w:bCs/>
          <w:lang w:eastAsia="zh-CN"/>
        </w:rPr>
        <w:t>2.6 环境保护目标</w:t>
      </w:r>
      <w:r>
        <w:rPr>
          <w:rFonts w:hint="eastAsia"/>
        </w:rPr>
        <w:tab/>
      </w:r>
      <w:r>
        <w:rPr>
          <w:rFonts w:hint="eastAsia"/>
        </w:rPr>
        <w:fldChar w:fldCharType="begin"/>
      </w:r>
      <w:r>
        <w:rPr>
          <w:rFonts w:hint="eastAsia"/>
        </w:rPr>
        <w:instrText xml:space="preserve"> </w:instrText>
      </w:r>
      <w:r>
        <w:instrText xml:space="preserve">PAGEREF _Toc237508256 \h</w:instrText>
      </w:r>
      <w:r>
        <w:rPr>
          <w:rFonts w:hint="eastAsia"/>
        </w:rPr>
        <w:instrText xml:space="preserve"> </w:instrText>
      </w:r>
      <w:r>
        <w:rPr>
          <w:rFonts w:hint="eastAsia"/>
        </w:rPr>
        <w:fldChar w:fldCharType="separate"/>
      </w:r>
      <w:r>
        <w:t>57</w:t>
      </w:r>
      <w:r>
        <w:rPr>
          <w:rFonts w:hint="eastAsia"/>
        </w:rPr>
        <w:fldChar w:fldCharType="end"/>
      </w:r>
      <w:r>
        <w:rPr>
          <w:rFonts w:hint="eastAsia"/>
        </w:rPr>
        <w:fldChar w:fldCharType="end"/>
      </w:r>
    </w:p>
    <w:p w14:paraId="35F3953F">
      <w:pPr>
        <w:pStyle w:val="24"/>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"_Toc237508257" </w:instrText>
      </w:r>
      <w:r>
        <w:fldChar w:fldCharType="separate"/>
      </w:r>
      <w:r>
        <w:rPr>
          <w:rStyle w:val="40"/>
          <w:rFonts w:ascii="Times New Roman" w:hAnsi="Times New Roman" w:cs="Times New Roman"/>
          <w:b/>
          <w:bCs/>
          <w:lang w:eastAsia="zh-CN"/>
        </w:rPr>
        <w:t>3  现有工程内容回顾</w:t>
      </w:r>
      <w:r>
        <w:rPr>
          <w:rFonts w:hint="eastAsia"/>
        </w:rPr>
        <w:tab/>
      </w:r>
      <w:r>
        <w:rPr>
          <w:rFonts w:hint="eastAsia"/>
        </w:rPr>
        <w:fldChar w:fldCharType="begin"/>
      </w:r>
      <w:r>
        <w:rPr>
          <w:rFonts w:hint="eastAsia"/>
        </w:rPr>
        <w:instrText xml:space="preserve"> </w:instrText>
      </w:r>
      <w:r>
        <w:instrText xml:space="preserve">PAGEREF _Toc237508257 \h</w:instrText>
      </w:r>
      <w:r>
        <w:rPr>
          <w:rFonts w:hint="eastAsia"/>
        </w:rPr>
        <w:instrText xml:space="preserve"> </w:instrText>
      </w:r>
      <w:r>
        <w:rPr>
          <w:rFonts w:hint="eastAsia"/>
        </w:rPr>
        <w:fldChar w:fldCharType="separate"/>
      </w:r>
      <w:r>
        <w:t>62</w:t>
      </w:r>
      <w:r>
        <w:rPr>
          <w:rFonts w:hint="eastAsia"/>
        </w:rPr>
        <w:fldChar w:fldCharType="end"/>
      </w:r>
      <w:r>
        <w:rPr>
          <w:rFonts w:hint="eastAsia"/>
        </w:rPr>
        <w:fldChar w:fldCharType="end"/>
      </w:r>
    </w:p>
    <w:p w14:paraId="5CB1668E">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"_Toc237508258" </w:instrText>
      </w:r>
      <w:r>
        <w:fldChar w:fldCharType="separate"/>
      </w:r>
      <w:r>
        <w:rPr>
          <w:rStyle w:val="40"/>
          <w:rFonts w:ascii="Times New Roman" w:hAnsi="Times New Roman" w:cs="Times New Roman"/>
          <w:b/>
          <w:bCs/>
          <w:lang w:eastAsia="zh-CN"/>
        </w:rPr>
        <w:t>3.1 现有工程概况</w:t>
      </w:r>
      <w:r>
        <w:rPr>
          <w:rFonts w:hint="eastAsia"/>
        </w:rPr>
        <w:tab/>
      </w:r>
      <w:r>
        <w:rPr>
          <w:rFonts w:hint="eastAsia"/>
        </w:rPr>
        <w:fldChar w:fldCharType="begin"/>
      </w:r>
      <w:r>
        <w:rPr>
          <w:rFonts w:hint="eastAsia"/>
        </w:rPr>
        <w:instrText xml:space="preserve"> </w:instrText>
      </w:r>
      <w:r>
        <w:instrText xml:space="preserve">PAGEREF _Toc237508258 \h</w:instrText>
      </w:r>
      <w:r>
        <w:rPr>
          <w:rFonts w:hint="eastAsia"/>
        </w:rPr>
        <w:instrText xml:space="preserve"> </w:instrText>
      </w:r>
      <w:r>
        <w:rPr>
          <w:rFonts w:hint="eastAsia"/>
        </w:rPr>
        <w:fldChar w:fldCharType="separate"/>
      </w:r>
      <w:r>
        <w:t>62</w:t>
      </w:r>
      <w:r>
        <w:rPr>
          <w:rFonts w:hint="eastAsia"/>
        </w:rPr>
        <w:fldChar w:fldCharType="end"/>
      </w:r>
      <w:r>
        <w:rPr>
          <w:rFonts w:hint="eastAsia"/>
        </w:rPr>
        <w:fldChar w:fldCharType="end"/>
      </w:r>
    </w:p>
    <w:p w14:paraId="2082CDF9">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"_Toc237508265" </w:instrText>
      </w:r>
      <w:r>
        <w:fldChar w:fldCharType="separate"/>
      </w:r>
      <w:r>
        <w:rPr>
          <w:rStyle w:val="40"/>
          <w:rFonts w:ascii="Times New Roman" w:hAnsi="Times New Roman" w:cs="Times New Roman"/>
          <w:b/>
          <w:bCs/>
          <w:lang w:eastAsia="zh-CN"/>
        </w:rPr>
        <w:t>3.2 现有工程污染源概况</w:t>
      </w:r>
      <w:r>
        <w:rPr>
          <w:rFonts w:hint="eastAsia"/>
        </w:rPr>
        <w:tab/>
      </w:r>
      <w:r>
        <w:rPr>
          <w:rFonts w:hint="eastAsia"/>
        </w:rPr>
        <w:fldChar w:fldCharType="begin"/>
      </w:r>
      <w:r>
        <w:rPr>
          <w:rFonts w:hint="eastAsia"/>
        </w:rPr>
        <w:instrText xml:space="preserve"> </w:instrText>
      </w:r>
      <w:r>
        <w:instrText xml:space="preserve">PAGEREF _Toc237508265 \h</w:instrText>
      </w:r>
      <w:r>
        <w:rPr>
          <w:rFonts w:hint="eastAsia"/>
        </w:rPr>
        <w:instrText xml:space="preserve"> </w:instrText>
      </w:r>
      <w:r>
        <w:rPr>
          <w:rFonts w:hint="eastAsia"/>
        </w:rPr>
        <w:fldChar w:fldCharType="separate"/>
      </w:r>
      <w:r>
        <w:t>76</w:t>
      </w:r>
      <w:r>
        <w:rPr>
          <w:rFonts w:hint="eastAsia"/>
        </w:rPr>
        <w:fldChar w:fldCharType="end"/>
      </w:r>
      <w:r>
        <w:rPr>
          <w:rFonts w:hint="eastAsia"/>
        </w:rPr>
        <w:fldChar w:fldCharType="end"/>
      </w:r>
    </w:p>
    <w:p w14:paraId="171C7A9F">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"_Toc237508272" </w:instrText>
      </w:r>
      <w:r>
        <w:fldChar w:fldCharType="separate"/>
      </w:r>
      <w:r>
        <w:rPr>
          <w:rStyle w:val="40"/>
          <w:rFonts w:ascii="Times New Roman" w:hAnsi="Times New Roman" w:cs="Times New Roman"/>
          <w:b/>
          <w:bCs/>
          <w:lang w:eastAsia="zh-CN"/>
        </w:rPr>
        <w:t>3.3 现有工程污染物总量控制</w:t>
      </w:r>
      <w:r>
        <w:rPr>
          <w:rFonts w:hint="eastAsia"/>
        </w:rPr>
        <w:tab/>
      </w:r>
      <w:r>
        <w:rPr>
          <w:rFonts w:hint="eastAsia"/>
        </w:rPr>
        <w:fldChar w:fldCharType="begin"/>
      </w:r>
      <w:r>
        <w:rPr>
          <w:rFonts w:hint="eastAsia"/>
        </w:rPr>
        <w:instrText xml:space="preserve"> </w:instrText>
      </w:r>
      <w:r>
        <w:instrText xml:space="preserve">PAGEREF _Toc237508272 \h</w:instrText>
      </w:r>
      <w:r>
        <w:rPr>
          <w:rFonts w:hint="eastAsia"/>
        </w:rPr>
        <w:instrText xml:space="preserve"> </w:instrText>
      </w:r>
      <w:r>
        <w:rPr>
          <w:rFonts w:hint="eastAsia"/>
        </w:rPr>
        <w:fldChar w:fldCharType="separate"/>
      </w:r>
      <w:r>
        <w:t>81</w:t>
      </w:r>
      <w:r>
        <w:rPr>
          <w:rFonts w:hint="eastAsia"/>
        </w:rPr>
        <w:fldChar w:fldCharType="end"/>
      </w:r>
      <w:r>
        <w:rPr>
          <w:rFonts w:hint="eastAsia"/>
        </w:rPr>
        <w:fldChar w:fldCharType="end"/>
      </w:r>
    </w:p>
    <w:p w14:paraId="3A98E12E">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"_Toc237508273" </w:instrText>
      </w:r>
      <w:r>
        <w:fldChar w:fldCharType="separate"/>
      </w:r>
      <w:r>
        <w:rPr>
          <w:rStyle w:val="40"/>
          <w:rFonts w:ascii="Times New Roman" w:hAnsi="Times New Roman" w:cs="Times New Roman"/>
          <w:b/>
          <w:bCs/>
          <w:lang w:eastAsia="zh-CN"/>
        </w:rPr>
        <w:t>3.4 现有工程存在的环境问题及整改措施</w:t>
      </w:r>
      <w:r>
        <w:rPr>
          <w:rFonts w:hint="eastAsia"/>
        </w:rPr>
        <w:tab/>
      </w:r>
      <w:r>
        <w:rPr>
          <w:rFonts w:hint="eastAsia"/>
        </w:rPr>
        <w:fldChar w:fldCharType="begin"/>
      </w:r>
      <w:r>
        <w:rPr>
          <w:rFonts w:hint="eastAsia"/>
        </w:rPr>
        <w:instrText xml:space="preserve"> </w:instrText>
      </w:r>
      <w:r>
        <w:instrText xml:space="preserve">PAGEREF _Toc237508273 \h</w:instrText>
      </w:r>
      <w:r>
        <w:rPr>
          <w:rFonts w:hint="eastAsia"/>
        </w:rPr>
        <w:instrText xml:space="preserve"> </w:instrText>
      </w:r>
      <w:r>
        <w:rPr>
          <w:rFonts w:hint="eastAsia"/>
        </w:rPr>
        <w:fldChar w:fldCharType="separate"/>
      </w:r>
      <w:r>
        <w:t>81</w:t>
      </w:r>
      <w:r>
        <w:rPr>
          <w:rFonts w:hint="eastAsia"/>
        </w:rPr>
        <w:fldChar w:fldCharType="end"/>
      </w:r>
      <w:r>
        <w:rPr>
          <w:rFonts w:hint="eastAsia"/>
        </w:rPr>
        <w:fldChar w:fldCharType="end"/>
      </w:r>
    </w:p>
    <w:p w14:paraId="16037D20">
      <w:pPr>
        <w:pStyle w:val="24"/>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"_Toc237508274" </w:instrText>
      </w:r>
      <w:r>
        <w:fldChar w:fldCharType="separate"/>
      </w:r>
      <w:r>
        <w:rPr>
          <w:rStyle w:val="40"/>
          <w:rFonts w:ascii="Times New Roman" w:hAnsi="Times New Roman" w:cs="Times New Roman"/>
          <w:b/>
          <w:bCs/>
          <w:lang w:eastAsia="zh-CN"/>
        </w:rPr>
        <w:t>4  拟建项目概况及工程分析</w:t>
      </w:r>
      <w:r>
        <w:rPr>
          <w:rFonts w:hint="eastAsia"/>
        </w:rPr>
        <w:tab/>
      </w:r>
      <w:r>
        <w:rPr>
          <w:rFonts w:hint="eastAsia"/>
        </w:rPr>
        <w:fldChar w:fldCharType="begin"/>
      </w:r>
      <w:r>
        <w:rPr>
          <w:rFonts w:hint="eastAsia"/>
        </w:rPr>
        <w:instrText xml:space="preserve"> </w:instrText>
      </w:r>
      <w:r>
        <w:instrText xml:space="preserve">PAGEREF _Toc237508274 \h</w:instrText>
      </w:r>
      <w:r>
        <w:rPr>
          <w:rFonts w:hint="eastAsia"/>
        </w:rPr>
        <w:instrText xml:space="preserve"> </w:instrText>
      </w:r>
      <w:r>
        <w:rPr>
          <w:rFonts w:hint="eastAsia"/>
        </w:rPr>
        <w:fldChar w:fldCharType="separate"/>
      </w:r>
      <w:r>
        <w:t>82</w:t>
      </w:r>
      <w:r>
        <w:rPr>
          <w:rFonts w:hint="eastAsia"/>
        </w:rPr>
        <w:fldChar w:fldCharType="end"/>
      </w:r>
      <w:r>
        <w:rPr>
          <w:rFonts w:hint="eastAsia"/>
        </w:rPr>
        <w:fldChar w:fldCharType="end"/>
      </w:r>
    </w:p>
    <w:p w14:paraId="1EE3FF2E">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"_Toc237508275" </w:instrText>
      </w:r>
      <w:r>
        <w:fldChar w:fldCharType="separate"/>
      </w:r>
      <w:r>
        <w:rPr>
          <w:rStyle w:val="40"/>
          <w:rFonts w:ascii="Times New Roman" w:hAnsi="Times New Roman" w:cs="Times New Roman"/>
          <w:b/>
          <w:bCs/>
          <w:lang w:eastAsia="zh-CN"/>
        </w:rPr>
        <w:t>4.1 项目概况</w:t>
      </w:r>
      <w:r>
        <w:rPr>
          <w:rFonts w:hint="eastAsia"/>
        </w:rPr>
        <w:tab/>
      </w:r>
      <w:r>
        <w:rPr>
          <w:rFonts w:hint="eastAsia"/>
        </w:rPr>
        <w:fldChar w:fldCharType="begin"/>
      </w:r>
      <w:r>
        <w:rPr>
          <w:rFonts w:hint="eastAsia"/>
        </w:rPr>
        <w:instrText xml:space="preserve"> </w:instrText>
      </w:r>
      <w:r>
        <w:instrText xml:space="preserve">PAGEREF _Toc237508275 \h</w:instrText>
      </w:r>
      <w:r>
        <w:rPr>
          <w:rFonts w:hint="eastAsia"/>
        </w:rPr>
        <w:instrText xml:space="preserve"> </w:instrText>
      </w:r>
      <w:r>
        <w:rPr>
          <w:rFonts w:hint="eastAsia"/>
        </w:rPr>
        <w:fldChar w:fldCharType="separate"/>
      </w:r>
      <w:r>
        <w:t>82</w:t>
      </w:r>
      <w:r>
        <w:rPr>
          <w:rFonts w:hint="eastAsia"/>
        </w:rPr>
        <w:fldChar w:fldCharType="end"/>
      </w:r>
      <w:r>
        <w:rPr>
          <w:rFonts w:hint="eastAsia"/>
        </w:rPr>
        <w:fldChar w:fldCharType="end"/>
      </w:r>
    </w:p>
    <w:p w14:paraId="15DF42FC">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"_Toc237508286" </w:instrText>
      </w:r>
      <w:r>
        <w:fldChar w:fldCharType="separate"/>
      </w:r>
      <w:r>
        <w:rPr>
          <w:rStyle w:val="40"/>
          <w:rFonts w:ascii="Times New Roman" w:hAnsi="Times New Roman" w:cs="Times New Roman"/>
          <w:b/>
          <w:bCs/>
          <w:lang w:eastAsia="zh-CN"/>
        </w:rPr>
        <w:t>4.2 生产工艺流程及产污环节分析</w:t>
      </w:r>
      <w:r>
        <w:rPr>
          <w:rFonts w:hint="eastAsia"/>
        </w:rPr>
        <w:tab/>
      </w:r>
      <w:r>
        <w:rPr>
          <w:rFonts w:hint="eastAsia"/>
        </w:rPr>
        <w:fldChar w:fldCharType="begin"/>
      </w:r>
      <w:r>
        <w:rPr>
          <w:rFonts w:hint="eastAsia"/>
        </w:rPr>
        <w:instrText xml:space="preserve"> </w:instrText>
      </w:r>
      <w:r>
        <w:instrText xml:space="preserve">PAGEREF _Toc237508286 \h</w:instrText>
      </w:r>
      <w:r>
        <w:rPr>
          <w:rFonts w:hint="eastAsia"/>
        </w:rPr>
        <w:instrText xml:space="preserve"> </w:instrText>
      </w:r>
      <w:r>
        <w:rPr>
          <w:rFonts w:hint="eastAsia"/>
        </w:rPr>
        <w:fldChar w:fldCharType="separate"/>
      </w:r>
      <w:r>
        <w:t>101</w:t>
      </w:r>
      <w:r>
        <w:rPr>
          <w:rFonts w:hint="eastAsia"/>
        </w:rPr>
        <w:fldChar w:fldCharType="end"/>
      </w:r>
      <w:r>
        <w:rPr>
          <w:rFonts w:hint="eastAsia"/>
        </w:rPr>
        <w:fldChar w:fldCharType="end"/>
      </w:r>
    </w:p>
    <w:p w14:paraId="4BB55A4B">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"_Toc237508289" </w:instrText>
      </w:r>
      <w:r>
        <w:fldChar w:fldCharType="separate"/>
      </w:r>
      <w:r>
        <w:rPr>
          <w:rStyle w:val="40"/>
          <w:rFonts w:ascii="Times New Roman" w:hAnsi="Times New Roman" w:cs="Times New Roman"/>
          <w:b/>
          <w:bCs/>
          <w:lang w:eastAsia="zh-CN"/>
        </w:rPr>
        <w:t>4.3 营运期污染源强分析及核算</w:t>
      </w:r>
      <w:r>
        <w:rPr>
          <w:rFonts w:hint="eastAsia"/>
        </w:rPr>
        <w:tab/>
      </w:r>
      <w:r>
        <w:rPr>
          <w:rFonts w:hint="eastAsia"/>
        </w:rPr>
        <w:fldChar w:fldCharType="begin"/>
      </w:r>
      <w:r>
        <w:rPr>
          <w:rFonts w:hint="eastAsia"/>
        </w:rPr>
        <w:instrText xml:space="preserve"> </w:instrText>
      </w:r>
      <w:r>
        <w:instrText xml:space="preserve">PAGEREF _Toc237508289 \h</w:instrText>
      </w:r>
      <w:r>
        <w:rPr>
          <w:rFonts w:hint="eastAsia"/>
        </w:rPr>
        <w:instrText xml:space="preserve"> </w:instrText>
      </w:r>
      <w:r>
        <w:rPr>
          <w:rFonts w:hint="eastAsia"/>
        </w:rPr>
        <w:fldChar w:fldCharType="separate"/>
      </w:r>
      <w:r>
        <w:t>111</w:t>
      </w:r>
      <w:r>
        <w:rPr>
          <w:rFonts w:hint="eastAsia"/>
        </w:rPr>
        <w:fldChar w:fldCharType="end"/>
      </w:r>
      <w:r>
        <w:rPr>
          <w:rFonts w:hint="eastAsia"/>
        </w:rPr>
        <w:fldChar w:fldCharType="end"/>
      </w:r>
    </w:p>
    <w:p w14:paraId="64070984">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"_Toc237508294" </w:instrText>
      </w:r>
      <w:r>
        <w:fldChar w:fldCharType="separate"/>
      </w:r>
      <w:r>
        <w:rPr>
          <w:rStyle w:val="40"/>
          <w:rFonts w:ascii="Times New Roman" w:hAnsi="Times New Roman" w:cs="Times New Roman"/>
          <w:b/>
          <w:bCs/>
          <w:lang w:eastAsia="zh-CN"/>
        </w:rPr>
        <w:t>4.4 本项目污染物排放分析</w:t>
      </w:r>
      <w:r>
        <w:rPr>
          <w:rFonts w:hint="eastAsia"/>
        </w:rPr>
        <w:tab/>
      </w:r>
      <w:r>
        <w:rPr>
          <w:rFonts w:hint="eastAsia"/>
        </w:rPr>
        <w:fldChar w:fldCharType="begin"/>
      </w:r>
      <w:r>
        <w:rPr>
          <w:rFonts w:hint="eastAsia"/>
        </w:rPr>
        <w:instrText xml:space="preserve"> </w:instrText>
      </w:r>
      <w:r>
        <w:instrText xml:space="preserve">PAGEREF _Toc237508294 \h</w:instrText>
      </w:r>
      <w:r>
        <w:rPr>
          <w:rFonts w:hint="eastAsia"/>
        </w:rPr>
        <w:instrText xml:space="preserve"> </w:instrText>
      </w:r>
      <w:r>
        <w:rPr>
          <w:rFonts w:hint="eastAsia"/>
        </w:rPr>
        <w:fldChar w:fldCharType="separate"/>
      </w:r>
      <w:r>
        <w:t>129</w:t>
      </w:r>
      <w:r>
        <w:rPr>
          <w:rFonts w:hint="eastAsia"/>
        </w:rPr>
        <w:fldChar w:fldCharType="end"/>
      </w:r>
      <w:r>
        <w:rPr>
          <w:rFonts w:hint="eastAsia"/>
        </w:rPr>
        <w:fldChar w:fldCharType="end"/>
      </w:r>
    </w:p>
    <w:p w14:paraId="7D05013D">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"_Toc237508295" </w:instrText>
      </w:r>
      <w:r>
        <w:fldChar w:fldCharType="separate"/>
      </w:r>
      <w:r>
        <w:rPr>
          <w:rStyle w:val="40"/>
          <w:rFonts w:ascii="Times New Roman" w:hAnsi="Times New Roman" w:cs="Times New Roman"/>
          <w:b/>
          <w:bCs/>
          <w:lang w:eastAsia="zh-CN"/>
        </w:rPr>
        <w:t>4.5 清洁生产</w:t>
      </w:r>
      <w:r>
        <w:rPr>
          <w:rFonts w:hint="eastAsia"/>
        </w:rPr>
        <w:tab/>
      </w:r>
      <w:r>
        <w:rPr>
          <w:rFonts w:hint="eastAsia"/>
        </w:rPr>
        <w:fldChar w:fldCharType="begin"/>
      </w:r>
      <w:r>
        <w:rPr>
          <w:rFonts w:hint="eastAsia"/>
        </w:rPr>
        <w:instrText xml:space="preserve"> </w:instrText>
      </w:r>
      <w:r>
        <w:instrText xml:space="preserve">PAGEREF _Toc237508295 \h</w:instrText>
      </w:r>
      <w:r>
        <w:rPr>
          <w:rFonts w:hint="eastAsia"/>
        </w:rPr>
        <w:instrText xml:space="preserve"> </w:instrText>
      </w:r>
      <w:r>
        <w:rPr>
          <w:rFonts w:hint="eastAsia"/>
        </w:rPr>
        <w:fldChar w:fldCharType="separate"/>
      </w:r>
      <w:r>
        <w:t>131</w:t>
      </w:r>
      <w:r>
        <w:rPr>
          <w:rFonts w:hint="eastAsia"/>
        </w:rPr>
        <w:fldChar w:fldCharType="end"/>
      </w:r>
      <w:r>
        <w:rPr>
          <w:rFonts w:hint="eastAsia"/>
        </w:rPr>
        <w:fldChar w:fldCharType="end"/>
      </w:r>
    </w:p>
    <w:p w14:paraId="541A2AF9">
      <w:pPr>
        <w:pStyle w:val="24"/>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"_Toc237508304" </w:instrText>
      </w:r>
      <w:r>
        <w:fldChar w:fldCharType="separate"/>
      </w:r>
      <w:r>
        <w:rPr>
          <w:rStyle w:val="40"/>
          <w:rFonts w:ascii="Times New Roman" w:hAnsi="Times New Roman" w:cs="Times New Roman"/>
          <w:b/>
          <w:bCs/>
          <w:lang w:eastAsia="zh-CN"/>
        </w:rPr>
        <w:t>5  环境质量现状调查与评价</w:t>
      </w:r>
      <w:r>
        <w:rPr>
          <w:rFonts w:hint="eastAsia"/>
        </w:rPr>
        <w:tab/>
      </w:r>
      <w:r>
        <w:rPr>
          <w:rFonts w:hint="eastAsia"/>
        </w:rPr>
        <w:fldChar w:fldCharType="begin"/>
      </w:r>
      <w:r>
        <w:rPr>
          <w:rFonts w:hint="eastAsia"/>
        </w:rPr>
        <w:instrText xml:space="preserve"> </w:instrText>
      </w:r>
      <w:r>
        <w:instrText xml:space="preserve">PAGEREF _Toc237508304 \h</w:instrText>
      </w:r>
      <w:r>
        <w:rPr>
          <w:rFonts w:hint="eastAsia"/>
        </w:rPr>
        <w:instrText xml:space="preserve"> </w:instrText>
      </w:r>
      <w:r>
        <w:rPr>
          <w:rFonts w:hint="eastAsia"/>
        </w:rPr>
        <w:fldChar w:fldCharType="separate"/>
      </w:r>
      <w:r>
        <w:t>136</w:t>
      </w:r>
      <w:r>
        <w:rPr>
          <w:rFonts w:hint="eastAsia"/>
        </w:rPr>
        <w:fldChar w:fldCharType="end"/>
      </w:r>
      <w:r>
        <w:rPr>
          <w:rFonts w:hint="eastAsia"/>
        </w:rPr>
        <w:fldChar w:fldCharType="end"/>
      </w:r>
    </w:p>
    <w:p w14:paraId="0AEF7451">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"_Toc237508305" </w:instrText>
      </w:r>
      <w:r>
        <w:fldChar w:fldCharType="separate"/>
      </w:r>
      <w:r>
        <w:rPr>
          <w:rStyle w:val="40"/>
          <w:rFonts w:ascii="Times New Roman" w:hAnsi="Times New Roman" w:cs="Times New Roman"/>
          <w:b/>
          <w:bCs/>
          <w:lang w:eastAsia="zh-CN"/>
        </w:rPr>
        <w:t>5.1 区域环境概况调查</w:t>
      </w:r>
      <w:r>
        <w:rPr>
          <w:rFonts w:hint="eastAsia"/>
        </w:rPr>
        <w:tab/>
      </w:r>
      <w:r>
        <w:rPr>
          <w:rFonts w:hint="eastAsia"/>
        </w:rPr>
        <w:fldChar w:fldCharType="begin"/>
      </w:r>
      <w:r>
        <w:rPr>
          <w:rFonts w:hint="eastAsia"/>
        </w:rPr>
        <w:instrText xml:space="preserve"> </w:instrText>
      </w:r>
      <w:r>
        <w:instrText xml:space="preserve">PAGEREF _Toc237508305 \h</w:instrText>
      </w:r>
      <w:r>
        <w:rPr>
          <w:rFonts w:hint="eastAsia"/>
        </w:rPr>
        <w:instrText xml:space="preserve"> </w:instrText>
      </w:r>
      <w:r>
        <w:rPr>
          <w:rFonts w:hint="eastAsia"/>
        </w:rPr>
        <w:fldChar w:fldCharType="separate"/>
      </w:r>
      <w:r>
        <w:t>136</w:t>
      </w:r>
      <w:r>
        <w:rPr>
          <w:rFonts w:hint="eastAsia"/>
        </w:rPr>
        <w:fldChar w:fldCharType="end"/>
      </w:r>
      <w:r>
        <w:rPr>
          <w:rFonts w:hint="eastAsia"/>
        </w:rPr>
        <w:fldChar w:fldCharType="end"/>
      </w:r>
    </w:p>
    <w:p w14:paraId="538FAA5B">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"_Toc237508312" </w:instrText>
      </w:r>
      <w:r>
        <w:fldChar w:fldCharType="separate"/>
      </w:r>
      <w:r>
        <w:rPr>
          <w:rStyle w:val="40"/>
          <w:rFonts w:ascii="Times New Roman" w:hAnsi="Times New Roman" w:cs="Times New Roman"/>
          <w:b/>
          <w:bCs/>
          <w:lang w:eastAsia="zh-CN"/>
        </w:rPr>
        <w:t>5.2 环境质量现状评价</w:t>
      </w:r>
      <w:r>
        <w:rPr>
          <w:rFonts w:hint="eastAsia"/>
        </w:rPr>
        <w:tab/>
      </w:r>
      <w:r>
        <w:rPr>
          <w:rFonts w:hint="eastAsia"/>
        </w:rPr>
        <w:fldChar w:fldCharType="begin"/>
      </w:r>
      <w:r>
        <w:rPr>
          <w:rFonts w:hint="eastAsia"/>
        </w:rPr>
        <w:instrText xml:space="preserve"> </w:instrText>
      </w:r>
      <w:r>
        <w:instrText xml:space="preserve">PAGEREF _Toc237508312 \h</w:instrText>
      </w:r>
      <w:r>
        <w:rPr>
          <w:rFonts w:hint="eastAsia"/>
        </w:rPr>
        <w:instrText xml:space="preserve"> </w:instrText>
      </w:r>
      <w:r>
        <w:rPr>
          <w:rFonts w:hint="eastAsia"/>
        </w:rPr>
        <w:fldChar w:fldCharType="separate"/>
      </w:r>
      <w:r>
        <w:t>140</w:t>
      </w:r>
      <w:r>
        <w:rPr>
          <w:rFonts w:hint="eastAsia"/>
        </w:rPr>
        <w:fldChar w:fldCharType="end"/>
      </w:r>
      <w:r>
        <w:rPr>
          <w:rFonts w:hint="eastAsia"/>
        </w:rPr>
        <w:fldChar w:fldCharType="end"/>
      </w:r>
    </w:p>
    <w:p w14:paraId="6D1DE5A6">
      <w:pPr>
        <w:pStyle w:val="24"/>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"_Toc237508318" </w:instrText>
      </w:r>
      <w:r>
        <w:fldChar w:fldCharType="separate"/>
      </w:r>
      <w:r>
        <w:rPr>
          <w:rStyle w:val="40"/>
          <w:rFonts w:ascii="Times New Roman" w:hAnsi="Times New Roman" w:cs="Times New Roman"/>
          <w:b/>
          <w:bCs/>
          <w:lang w:eastAsia="zh-CN"/>
        </w:rPr>
        <w:t>6 环境影响预测与评价</w:t>
      </w:r>
      <w:r>
        <w:rPr>
          <w:rFonts w:hint="eastAsia"/>
        </w:rPr>
        <w:tab/>
      </w:r>
      <w:r>
        <w:rPr>
          <w:rFonts w:hint="eastAsia"/>
        </w:rPr>
        <w:fldChar w:fldCharType="begin"/>
      </w:r>
      <w:r>
        <w:rPr>
          <w:rFonts w:hint="eastAsia"/>
        </w:rPr>
        <w:instrText xml:space="preserve"> </w:instrText>
      </w:r>
      <w:r>
        <w:instrText xml:space="preserve">PAGEREF _Toc237508318 \h</w:instrText>
      </w:r>
      <w:r>
        <w:rPr>
          <w:rFonts w:hint="eastAsia"/>
        </w:rPr>
        <w:instrText xml:space="preserve"> </w:instrText>
      </w:r>
      <w:r>
        <w:rPr>
          <w:rFonts w:hint="eastAsia"/>
        </w:rPr>
        <w:fldChar w:fldCharType="separate"/>
      </w:r>
      <w:r>
        <w:t>169</w:t>
      </w:r>
      <w:r>
        <w:rPr>
          <w:rFonts w:hint="eastAsia"/>
        </w:rPr>
        <w:fldChar w:fldCharType="end"/>
      </w:r>
      <w:r>
        <w:rPr>
          <w:rFonts w:hint="eastAsia"/>
        </w:rPr>
        <w:fldChar w:fldCharType="end"/>
      </w:r>
    </w:p>
    <w:p w14:paraId="2EFFFD0E">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"_Toc237508319" </w:instrText>
      </w:r>
      <w:r>
        <w:fldChar w:fldCharType="separate"/>
      </w:r>
      <w:r>
        <w:rPr>
          <w:rStyle w:val="40"/>
          <w:rFonts w:ascii="Times New Roman" w:hAnsi="Times New Roman" w:cs="Times New Roman"/>
          <w:b/>
          <w:bCs/>
          <w:lang w:eastAsia="zh-CN"/>
        </w:rPr>
        <w:t>6.1 施工期环境影响分析</w:t>
      </w:r>
      <w:r>
        <w:rPr>
          <w:rFonts w:hint="eastAsia"/>
        </w:rPr>
        <w:tab/>
      </w:r>
      <w:r>
        <w:rPr>
          <w:rFonts w:hint="eastAsia"/>
        </w:rPr>
        <w:fldChar w:fldCharType="begin"/>
      </w:r>
      <w:r>
        <w:rPr>
          <w:rFonts w:hint="eastAsia"/>
        </w:rPr>
        <w:instrText xml:space="preserve"> </w:instrText>
      </w:r>
      <w:r>
        <w:instrText xml:space="preserve">PAGEREF _Toc237508319 \h</w:instrText>
      </w:r>
      <w:r>
        <w:rPr>
          <w:rFonts w:hint="eastAsia"/>
        </w:rPr>
        <w:instrText xml:space="preserve"> </w:instrText>
      </w:r>
      <w:r>
        <w:rPr>
          <w:rFonts w:hint="eastAsia"/>
        </w:rPr>
        <w:fldChar w:fldCharType="separate"/>
      </w:r>
      <w:r>
        <w:t>169</w:t>
      </w:r>
      <w:r>
        <w:rPr>
          <w:rFonts w:hint="eastAsia"/>
        </w:rPr>
        <w:fldChar w:fldCharType="end"/>
      </w:r>
      <w:r>
        <w:rPr>
          <w:rFonts w:hint="eastAsia"/>
        </w:rPr>
        <w:fldChar w:fldCharType="end"/>
      </w:r>
    </w:p>
    <w:p w14:paraId="2DD7F7A3">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"_Toc237508324" </w:instrText>
      </w:r>
      <w:r>
        <w:fldChar w:fldCharType="separate"/>
      </w:r>
      <w:r>
        <w:rPr>
          <w:rStyle w:val="40"/>
          <w:rFonts w:ascii="Times New Roman" w:hAnsi="Times New Roman" w:cs="Times New Roman"/>
          <w:b/>
          <w:bCs/>
          <w:lang w:eastAsia="zh-CN"/>
        </w:rPr>
        <w:t>6.2 运营期大气环境影响分析</w:t>
      </w:r>
      <w:r>
        <w:rPr>
          <w:rFonts w:hint="eastAsia"/>
        </w:rPr>
        <w:tab/>
      </w:r>
      <w:r>
        <w:rPr>
          <w:rFonts w:hint="eastAsia"/>
        </w:rPr>
        <w:fldChar w:fldCharType="begin"/>
      </w:r>
      <w:r>
        <w:rPr>
          <w:rFonts w:hint="eastAsia"/>
        </w:rPr>
        <w:instrText xml:space="preserve"> </w:instrText>
      </w:r>
      <w:r>
        <w:instrText xml:space="preserve">PAGEREF _Toc237508324 \h</w:instrText>
      </w:r>
      <w:r>
        <w:rPr>
          <w:rFonts w:hint="eastAsia"/>
        </w:rPr>
        <w:instrText xml:space="preserve"> </w:instrText>
      </w:r>
      <w:r>
        <w:rPr>
          <w:rFonts w:hint="eastAsia"/>
        </w:rPr>
        <w:fldChar w:fldCharType="separate"/>
      </w:r>
      <w:r>
        <w:t>177</w:t>
      </w:r>
      <w:r>
        <w:rPr>
          <w:rFonts w:hint="eastAsia"/>
        </w:rPr>
        <w:fldChar w:fldCharType="end"/>
      </w:r>
      <w:r>
        <w:rPr>
          <w:rFonts w:hint="eastAsia"/>
        </w:rPr>
        <w:fldChar w:fldCharType="end"/>
      </w:r>
    </w:p>
    <w:p w14:paraId="16DFFC49">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"_Toc237508334" </w:instrText>
      </w:r>
      <w:r>
        <w:fldChar w:fldCharType="separate"/>
      </w:r>
      <w:r>
        <w:rPr>
          <w:rStyle w:val="40"/>
          <w:rFonts w:ascii="Times New Roman" w:hAnsi="Times New Roman" w:cs="Times New Roman"/>
          <w:b/>
          <w:bCs/>
          <w:lang w:eastAsia="zh-CN"/>
        </w:rPr>
        <w:t>6.3 运营期地表水环境影响分析</w:t>
      </w:r>
      <w:r>
        <w:rPr>
          <w:rFonts w:hint="eastAsia"/>
        </w:rPr>
        <w:tab/>
      </w:r>
      <w:r>
        <w:rPr>
          <w:rFonts w:hint="eastAsia"/>
        </w:rPr>
        <w:fldChar w:fldCharType="begin"/>
      </w:r>
      <w:r>
        <w:rPr>
          <w:rFonts w:hint="eastAsia"/>
        </w:rPr>
        <w:instrText xml:space="preserve"> </w:instrText>
      </w:r>
      <w:r>
        <w:instrText xml:space="preserve">PAGEREF _Toc237508334 \h</w:instrText>
      </w:r>
      <w:r>
        <w:rPr>
          <w:rFonts w:hint="eastAsia"/>
        </w:rPr>
        <w:instrText xml:space="preserve"> </w:instrText>
      </w:r>
      <w:r>
        <w:rPr>
          <w:rFonts w:hint="eastAsia"/>
        </w:rPr>
        <w:fldChar w:fldCharType="separate"/>
      </w:r>
      <w:r>
        <w:t>199</w:t>
      </w:r>
      <w:r>
        <w:rPr>
          <w:rFonts w:hint="eastAsia"/>
        </w:rPr>
        <w:fldChar w:fldCharType="end"/>
      </w:r>
      <w:r>
        <w:rPr>
          <w:rFonts w:hint="eastAsia"/>
        </w:rPr>
        <w:fldChar w:fldCharType="end"/>
      </w:r>
    </w:p>
    <w:p w14:paraId="29DE3D12">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"_Toc237508335" </w:instrText>
      </w:r>
      <w:r>
        <w:fldChar w:fldCharType="separate"/>
      </w:r>
      <w:r>
        <w:rPr>
          <w:rStyle w:val="40"/>
          <w:rFonts w:ascii="Times New Roman" w:hAnsi="Times New Roman" w:cs="Times New Roman"/>
          <w:b/>
          <w:bCs/>
          <w:lang w:eastAsia="zh-CN"/>
        </w:rPr>
        <w:t>6.4 运营期声环境影响分析</w:t>
      </w:r>
      <w:r>
        <w:rPr>
          <w:rFonts w:hint="eastAsia"/>
        </w:rPr>
        <w:tab/>
      </w:r>
      <w:r>
        <w:rPr>
          <w:rFonts w:hint="eastAsia"/>
        </w:rPr>
        <w:fldChar w:fldCharType="begin"/>
      </w:r>
      <w:r>
        <w:rPr>
          <w:rFonts w:hint="eastAsia"/>
        </w:rPr>
        <w:instrText xml:space="preserve"> </w:instrText>
      </w:r>
      <w:r>
        <w:instrText xml:space="preserve">PAGEREF _Toc237508335 \h</w:instrText>
      </w:r>
      <w:r>
        <w:rPr>
          <w:rFonts w:hint="eastAsia"/>
        </w:rPr>
        <w:instrText xml:space="preserve"> </w:instrText>
      </w:r>
      <w:r>
        <w:rPr>
          <w:rFonts w:hint="eastAsia"/>
        </w:rPr>
        <w:fldChar w:fldCharType="separate"/>
      </w:r>
      <w:r>
        <w:t>201</w:t>
      </w:r>
      <w:r>
        <w:rPr>
          <w:rFonts w:hint="eastAsia"/>
        </w:rPr>
        <w:fldChar w:fldCharType="end"/>
      </w:r>
      <w:r>
        <w:rPr>
          <w:rFonts w:hint="eastAsia"/>
        </w:rPr>
        <w:fldChar w:fldCharType="end"/>
      </w:r>
    </w:p>
    <w:p w14:paraId="10FEBB01">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"_Toc237508341" </w:instrText>
      </w:r>
      <w:r>
        <w:fldChar w:fldCharType="separate"/>
      </w:r>
      <w:r>
        <w:rPr>
          <w:rStyle w:val="40"/>
          <w:rFonts w:ascii="Times New Roman" w:hAnsi="Times New Roman" w:cs="Times New Roman"/>
          <w:b/>
          <w:bCs/>
          <w:lang w:eastAsia="zh-CN"/>
        </w:rPr>
        <w:t>6.5 运营期地下水环境影响分析</w:t>
      </w:r>
      <w:r>
        <w:rPr>
          <w:rFonts w:hint="eastAsia"/>
        </w:rPr>
        <w:tab/>
      </w:r>
      <w:r>
        <w:rPr>
          <w:rFonts w:hint="eastAsia"/>
        </w:rPr>
        <w:fldChar w:fldCharType="begin"/>
      </w:r>
      <w:r>
        <w:rPr>
          <w:rFonts w:hint="eastAsia"/>
        </w:rPr>
        <w:instrText xml:space="preserve"> </w:instrText>
      </w:r>
      <w:r>
        <w:instrText xml:space="preserve">PAGEREF _Toc237508341 \h</w:instrText>
      </w:r>
      <w:r>
        <w:rPr>
          <w:rFonts w:hint="eastAsia"/>
        </w:rPr>
        <w:instrText xml:space="preserve"> </w:instrText>
      </w:r>
      <w:r>
        <w:rPr>
          <w:rFonts w:hint="eastAsia"/>
        </w:rPr>
        <w:fldChar w:fldCharType="separate"/>
      </w:r>
      <w:r>
        <w:t>205</w:t>
      </w:r>
      <w:r>
        <w:rPr>
          <w:rFonts w:hint="eastAsia"/>
        </w:rPr>
        <w:fldChar w:fldCharType="end"/>
      </w:r>
      <w:r>
        <w:rPr>
          <w:rFonts w:hint="eastAsia"/>
        </w:rPr>
        <w:fldChar w:fldCharType="end"/>
      </w:r>
    </w:p>
    <w:p w14:paraId="0BB45C8A">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"_Toc237508345" </w:instrText>
      </w:r>
      <w:r>
        <w:fldChar w:fldCharType="separate"/>
      </w:r>
      <w:r>
        <w:rPr>
          <w:rStyle w:val="40"/>
          <w:rFonts w:ascii="Times New Roman" w:hAnsi="Times New Roman" w:cs="Times New Roman"/>
          <w:b/>
          <w:bCs/>
          <w:lang w:eastAsia="zh-CN"/>
        </w:rPr>
        <w:t>6.6 运营期固体废物环境影响分析</w:t>
      </w:r>
      <w:r>
        <w:rPr>
          <w:rFonts w:hint="eastAsia"/>
        </w:rPr>
        <w:tab/>
      </w:r>
      <w:r>
        <w:rPr>
          <w:rFonts w:hint="eastAsia"/>
        </w:rPr>
        <w:fldChar w:fldCharType="begin"/>
      </w:r>
      <w:r>
        <w:rPr>
          <w:rFonts w:hint="eastAsia"/>
        </w:rPr>
        <w:instrText xml:space="preserve"> </w:instrText>
      </w:r>
      <w:r>
        <w:instrText xml:space="preserve">PAGEREF _Toc237508345 \h</w:instrText>
      </w:r>
      <w:r>
        <w:rPr>
          <w:rFonts w:hint="eastAsia"/>
        </w:rPr>
        <w:instrText xml:space="preserve"> </w:instrText>
      </w:r>
      <w:r>
        <w:rPr>
          <w:rFonts w:hint="eastAsia"/>
        </w:rPr>
        <w:fldChar w:fldCharType="separate"/>
      </w:r>
      <w:r>
        <w:t>221</w:t>
      </w:r>
      <w:r>
        <w:rPr>
          <w:rFonts w:hint="eastAsia"/>
        </w:rPr>
        <w:fldChar w:fldCharType="end"/>
      </w:r>
      <w:r>
        <w:rPr>
          <w:rFonts w:hint="eastAsia"/>
        </w:rPr>
        <w:fldChar w:fldCharType="end"/>
      </w:r>
    </w:p>
    <w:p w14:paraId="15AD0692">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"_Toc237508348" </w:instrText>
      </w:r>
      <w:r>
        <w:fldChar w:fldCharType="separate"/>
      </w:r>
      <w:r>
        <w:rPr>
          <w:rStyle w:val="40"/>
          <w:b/>
          <w:bCs/>
        </w:rPr>
        <w:t>6.7 运营期土壤环境影响分析</w:t>
      </w:r>
      <w:r>
        <w:rPr>
          <w:rFonts w:hint="eastAsia"/>
        </w:rPr>
        <w:tab/>
      </w:r>
      <w:r>
        <w:rPr>
          <w:rFonts w:hint="eastAsia"/>
        </w:rPr>
        <w:fldChar w:fldCharType="begin"/>
      </w:r>
      <w:r>
        <w:rPr>
          <w:rFonts w:hint="eastAsia"/>
        </w:rPr>
        <w:instrText xml:space="preserve"> </w:instrText>
      </w:r>
      <w:r>
        <w:instrText xml:space="preserve">PAGEREF _Toc237508348 \h</w:instrText>
      </w:r>
      <w:r>
        <w:rPr>
          <w:rFonts w:hint="eastAsia"/>
        </w:rPr>
        <w:instrText xml:space="preserve"> </w:instrText>
      </w:r>
      <w:r>
        <w:rPr>
          <w:rFonts w:hint="eastAsia"/>
        </w:rPr>
        <w:fldChar w:fldCharType="separate"/>
      </w:r>
      <w:r>
        <w:t>223</w:t>
      </w:r>
      <w:r>
        <w:rPr>
          <w:rFonts w:hint="eastAsia"/>
        </w:rPr>
        <w:fldChar w:fldCharType="end"/>
      </w:r>
      <w:r>
        <w:rPr>
          <w:rFonts w:hint="eastAsia"/>
        </w:rPr>
        <w:fldChar w:fldCharType="end"/>
      </w:r>
    </w:p>
    <w:p w14:paraId="1EA42C7F">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"_Toc237508351" </w:instrText>
      </w:r>
      <w:r>
        <w:fldChar w:fldCharType="separate"/>
      </w:r>
      <w:r>
        <w:rPr>
          <w:rStyle w:val="40"/>
          <w:rFonts w:ascii="Times New Roman" w:hAnsi="Times New Roman" w:cs="Times New Roman"/>
          <w:b/>
          <w:bCs/>
          <w:lang w:eastAsia="zh-CN"/>
        </w:rPr>
        <w:t>6.8 运营期生态环境影响分析</w:t>
      </w:r>
      <w:r>
        <w:rPr>
          <w:rFonts w:hint="eastAsia"/>
        </w:rPr>
        <w:tab/>
      </w:r>
      <w:r>
        <w:rPr>
          <w:rFonts w:hint="eastAsia"/>
        </w:rPr>
        <w:fldChar w:fldCharType="begin"/>
      </w:r>
      <w:r>
        <w:rPr>
          <w:rFonts w:hint="eastAsia"/>
        </w:rPr>
        <w:instrText xml:space="preserve"> </w:instrText>
      </w:r>
      <w:r>
        <w:instrText xml:space="preserve">PAGEREF _Toc237508351 \h</w:instrText>
      </w:r>
      <w:r>
        <w:rPr>
          <w:rFonts w:hint="eastAsia"/>
        </w:rPr>
        <w:instrText xml:space="preserve"> </w:instrText>
      </w:r>
      <w:r>
        <w:rPr>
          <w:rFonts w:hint="eastAsia"/>
        </w:rPr>
        <w:fldChar w:fldCharType="separate"/>
      </w:r>
      <w:r>
        <w:t>228</w:t>
      </w:r>
      <w:r>
        <w:rPr>
          <w:rFonts w:hint="eastAsia"/>
        </w:rPr>
        <w:fldChar w:fldCharType="end"/>
      </w:r>
      <w:r>
        <w:rPr>
          <w:rFonts w:hint="eastAsia"/>
        </w:rPr>
        <w:fldChar w:fldCharType="end"/>
      </w:r>
    </w:p>
    <w:p w14:paraId="1B4BB870">
      <w:pPr>
        <w:pStyle w:val="24"/>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"_Toc237508352" </w:instrText>
      </w:r>
      <w:r>
        <w:fldChar w:fldCharType="separate"/>
      </w:r>
      <w:r>
        <w:rPr>
          <w:rStyle w:val="40"/>
          <w:rFonts w:ascii="Times New Roman" w:hAnsi="Times New Roman" w:cs="Times New Roman"/>
          <w:b/>
          <w:bCs/>
          <w:lang w:eastAsia="zh-CN"/>
        </w:rPr>
        <w:t>7 环境风险评价</w:t>
      </w:r>
      <w:r>
        <w:rPr>
          <w:rFonts w:hint="eastAsia"/>
        </w:rPr>
        <w:tab/>
      </w:r>
      <w:r>
        <w:rPr>
          <w:rFonts w:hint="eastAsia"/>
        </w:rPr>
        <w:fldChar w:fldCharType="begin"/>
      </w:r>
      <w:r>
        <w:rPr>
          <w:rFonts w:hint="eastAsia"/>
        </w:rPr>
        <w:instrText xml:space="preserve"> </w:instrText>
      </w:r>
      <w:r>
        <w:instrText xml:space="preserve">PAGEREF _Toc237508352 \h</w:instrText>
      </w:r>
      <w:r>
        <w:rPr>
          <w:rFonts w:hint="eastAsia"/>
        </w:rPr>
        <w:instrText xml:space="preserve"> </w:instrText>
      </w:r>
      <w:r>
        <w:rPr>
          <w:rFonts w:hint="eastAsia"/>
        </w:rPr>
        <w:fldChar w:fldCharType="separate"/>
      </w:r>
      <w:r>
        <w:t>229</w:t>
      </w:r>
      <w:r>
        <w:rPr>
          <w:rFonts w:hint="eastAsia"/>
        </w:rPr>
        <w:fldChar w:fldCharType="end"/>
      </w:r>
      <w:r>
        <w:rPr>
          <w:rFonts w:hint="eastAsia"/>
        </w:rPr>
        <w:fldChar w:fldCharType="end"/>
      </w:r>
    </w:p>
    <w:p w14:paraId="42EF7249">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"_Toc237508353" </w:instrText>
      </w:r>
      <w:r>
        <w:fldChar w:fldCharType="separate"/>
      </w:r>
      <w:r>
        <w:rPr>
          <w:rStyle w:val="40"/>
          <w:rFonts w:ascii="Times New Roman" w:hAnsi="Times New Roman" w:cs="Times New Roman"/>
          <w:b/>
          <w:bCs/>
          <w:lang w:eastAsia="zh-CN"/>
        </w:rPr>
        <w:t>7.1 评价工作程序</w:t>
      </w:r>
      <w:r>
        <w:rPr>
          <w:rFonts w:hint="eastAsia"/>
        </w:rPr>
        <w:tab/>
      </w:r>
      <w:r>
        <w:rPr>
          <w:rFonts w:hint="eastAsia"/>
        </w:rPr>
        <w:fldChar w:fldCharType="begin"/>
      </w:r>
      <w:r>
        <w:rPr>
          <w:rFonts w:hint="eastAsia"/>
        </w:rPr>
        <w:instrText xml:space="preserve"> </w:instrText>
      </w:r>
      <w:r>
        <w:instrText xml:space="preserve">PAGEREF _Toc237508353 \h</w:instrText>
      </w:r>
      <w:r>
        <w:rPr>
          <w:rFonts w:hint="eastAsia"/>
        </w:rPr>
        <w:instrText xml:space="preserve"> </w:instrText>
      </w:r>
      <w:r>
        <w:rPr>
          <w:rFonts w:hint="eastAsia"/>
        </w:rPr>
        <w:fldChar w:fldCharType="separate"/>
      </w:r>
      <w:r>
        <w:t>229</w:t>
      </w:r>
      <w:r>
        <w:rPr>
          <w:rFonts w:hint="eastAsia"/>
        </w:rPr>
        <w:fldChar w:fldCharType="end"/>
      </w:r>
      <w:r>
        <w:rPr>
          <w:rFonts w:hint="eastAsia"/>
        </w:rPr>
        <w:fldChar w:fldCharType="end"/>
      </w:r>
    </w:p>
    <w:p w14:paraId="77002CF0">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"_Toc237508354" </w:instrText>
      </w:r>
      <w:r>
        <w:fldChar w:fldCharType="separate"/>
      </w:r>
      <w:r>
        <w:rPr>
          <w:rStyle w:val="40"/>
          <w:rFonts w:ascii="Times New Roman" w:hAnsi="Times New Roman" w:cs="Times New Roman"/>
          <w:b/>
          <w:bCs/>
          <w:lang w:eastAsia="zh-CN"/>
        </w:rPr>
        <w:t>7.2 现有环境风险及防范措施回顾</w:t>
      </w:r>
      <w:r>
        <w:rPr>
          <w:rFonts w:hint="eastAsia"/>
        </w:rPr>
        <w:tab/>
      </w:r>
      <w:r>
        <w:rPr>
          <w:rFonts w:hint="eastAsia"/>
        </w:rPr>
        <w:fldChar w:fldCharType="begin"/>
      </w:r>
      <w:r>
        <w:rPr>
          <w:rFonts w:hint="eastAsia"/>
        </w:rPr>
        <w:instrText xml:space="preserve"> </w:instrText>
      </w:r>
      <w:r>
        <w:instrText xml:space="preserve">PAGEREF _Toc237508354 \h</w:instrText>
      </w:r>
      <w:r>
        <w:rPr>
          <w:rFonts w:hint="eastAsia"/>
        </w:rPr>
        <w:instrText xml:space="preserve"> </w:instrText>
      </w:r>
      <w:r>
        <w:rPr>
          <w:rFonts w:hint="eastAsia"/>
        </w:rPr>
        <w:fldChar w:fldCharType="separate"/>
      </w:r>
      <w:r>
        <w:t>230</w:t>
      </w:r>
      <w:r>
        <w:rPr>
          <w:rFonts w:hint="eastAsia"/>
        </w:rPr>
        <w:fldChar w:fldCharType="end"/>
      </w:r>
      <w:r>
        <w:rPr>
          <w:rFonts w:hint="eastAsia"/>
        </w:rPr>
        <w:fldChar w:fldCharType="end"/>
      </w:r>
    </w:p>
    <w:p w14:paraId="0369FD33">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"_Toc237508357" </w:instrText>
      </w:r>
      <w:r>
        <w:fldChar w:fldCharType="separate"/>
      </w:r>
      <w:r>
        <w:rPr>
          <w:rStyle w:val="40"/>
          <w:rFonts w:ascii="Times New Roman" w:hAnsi="Times New Roman" w:cs="Times New Roman"/>
          <w:b/>
          <w:bCs/>
          <w:lang w:eastAsia="zh-CN"/>
        </w:rPr>
        <w:t>7.3 建设项目风险源调查</w:t>
      </w:r>
      <w:r>
        <w:rPr>
          <w:rFonts w:hint="eastAsia"/>
        </w:rPr>
        <w:tab/>
      </w:r>
      <w:r>
        <w:rPr>
          <w:rFonts w:hint="eastAsia"/>
        </w:rPr>
        <w:fldChar w:fldCharType="begin"/>
      </w:r>
      <w:r>
        <w:rPr>
          <w:rFonts w:hint="eastAsia"/>
        </w:rPr>
        <w:instrText xml:space="preserve"> </w:instrText>
      </w:r>
      <w:r>
        <w:instrText xml:space="preserve">PAGEREF _Toc237508357 \h</w:instrText>
      </w:r>
      <w:r>
        <w:rPr>
          <w:rFonts w:hint="eastAsia"/>
        </w:rPr>
        <w:instrText xml:space="preserve"> </w:instrText>
      </w:r>
      <w:r>
        <w:rPr>
          <w:rFonts w:hint="eastAsia"/>
        </w:rPr>
        <w:fldChar w:fldCharType="separate"/>
      </w:r>
      <w:r>
        <w:t>233</w:t>
      </w:r>
      <w:r>
        <w:rPr>
          <w:rFonts w:hint="eastAsia"/>
        </w:rPr>
        <w:fldChar w:fldCharType="end"/>
      </w:r>
      <w:r>
        <w:rPr>
          <w:rFonts w:hint="eastAsia"/>
        </w:rPr>
        <w:fldChar w:fldCharType="end"/>
      </w:r>
    </w:p>
    <w:p w14:paraId="66C96D4E">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"_Toc237508360" </w:instrText>
      </w:r>
      <w:r>
        <w:fldChar w:fldCharType="separate"/>
      </w:r>
      <w:r>
        <w:rPr>
          <w:rStyle w:val="40"/>
          <w:rFonts w:ascii="Times New Roman" w:hAnsi="Times New Roman" w:cs="Times New Roman"/>
          <w:b/>
          <w:bCs/>
          <w:lang w:eastAsia="zh-CN"/>
        </w:rPr>
        <w:t>7.4 环境风险潜势初判</w:t>
      </w:r>
      <w:r>
        <w:rPr>
          <w:rFonts w:hint="eastAsia"/>
        </w:rPr>
        <w:tab/>
      </w:r>
      <w:r>
        <w:rPr>
          <w:rFonts w:hint="eastAsia"/>
        </w:rPr>
        <w:fldChar w:fldCharType="begin"/>
      </w:r>
      <w:r>
        <w:rPr>
          <w:rFonts w:hint="eastAsia"/>
        </w:rPr>
        <w:instrText xml:space="preserve"> </w:instrText>
      </w:r>
      <w:r>
        <w:instrText xml:space="preserve">PAGEREF _Toc237508360 \h</w:instrText>
      </w:r>
      <w:r>
        <w:rPr>
          <w:rFonts w:hint="eastAsia"/>
        </w:rPr>
        <w:instrText xml:space="preserve"> </w:instrText>
      </w:r>
      <w:r>
        <w:rPr>
          <w:rFonts w:hint="eastAsia"/>
        </w:rPr>
        <w:fldChar w:fldCharType="separate"/>
      </w:r>
      <w:r>
        <w:t>241</w:t>
      </w:r>
      <w:r>
        <w:rPr>
          <w:rFonts w:hint="eastAsia"/>
        </w:rPr>
        <w:fldChar w:fldCharType="end"/>
      </w:r>
      <w:r>
        <w:rPr>
          <w:rFonts w:hint="eastAsia"/>
        </w:rPr>
        <w:fldChar w:fldCharType="end"/>
      </w:r>
    </w:p>
    <w:p w14:paraId="278D92C3">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"_Toc237508364" </w:instrText>
      </w:r>
      <w:r>
        <w:fldChar w:fldCharType="separate"/>
      </w:r>
      <w:r>
        <w:rPr>
          <w:rStyle w:val="40"/>
          <w:rFonts w:ascii="Times New Roman" w:hAnsi="Times New Roman" w:cs="Times New Roman"/>
          <w:b/>
          <w:bCs/>
          <w:lang w:eastAsia="zh-CN"/>
        </w:rPr>
        <w:t>7.5 评价等级及评价范围</w:t>
      </w:r>
      <w:r>
        <w:rPr>
          <w:rFonts w:hint="eastAsia"/>
        </w:rPr>
        <w:tab/>
      </w:r>
      <w:r>
        <w:rPr>
          <w:rFonts w:hint="eastAsia"/>
        </w:rPr>
        <w:fldChar w:fldCharType="begin"/>
      </w:r>
      <w:r>
        <w:rPr>
          <w:rFonts w:hint="eastAsia"/>
        </w:rPr>
        <w:instrText xml:space="preserve"> </w:instrText>
      </w:r>
      <w:r>
        <w:instrText xml:space="preserve">PAGEREF _Toc237508364 \h</w:instrText>
      </w:r>
      <w:r>
        <w:rPr>
          <w:rFonts w:hint="eastAsia"/>
        </w:rPr>
        <w:instrText xml:space="preserve"> </w:instrText>
      </w:r>
      <w:r>
        <w:rPr>
          <w:rFonts w:hint="eastAsia"/>
        </w:rPr>
        <w:fldChar w:fldCharType="separate"/>
      </w:r>
      <w:r>
        <w:t>245</w:t>
      </w:r>
      <w:r>
        <w:rPr>
          <w:rFonts w:hint="eastAsia"/>
        </w:rPr>
        <w:fldChar w:fldCharType="end"/>
      </w:r>
      <w:r>
        <w:rPr>
          <w:rFonts w:hint="eastAsia"/>
        </w:rPr>
        <w:fldChar w:fldCharType="end"/>
      </w:r>
    </w:p>
    <w:p w14:paraId="7AB8841B">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"_Toc237508367" </w:instrText>
      </w:r>
      <w:r>
        <w:fldChar w:fldCharType="separate"/>
      </w:r>
      <w:r>
        <w:rPr>
          <w:rStyle w:val="40"/>
          <w:rFonts w:ascii="Times New Roman" w:hAnsi="Times New Roman" w:cs="Times New Roman"/>
          <w:b/>
          <w:lang w:eastAsia="zh-CN"/>
        </w:rPr>
        <w:t>7.6 风险识别</w:t>
      </w:r>
      <w:r>
        <w:rPr>
          <w:rFonts w:hint="eastAsia"/>
        </w:rPr>
        <w:tab/>
      </w:r>
      <w:r>
        <w:rPr>
          <w:rFonts w:hint="eastAsia"/>
        </w:rPr>
        <w:fldChar w:fldCharType="begin"/>
      </w:r>
      <w:r>
        <w:rPr>
          <w:rFonts w:hint="eastAsia"/>
        </w:rPr>
        <w:instrText xml:space="preserve"> </w:instrText>
      </w:r>
      <w:r>
        <w:instrText xml:space="preserve">PAGEREF _Toc237508367 \h</w:instrText>
      </w:r>
      <w:r>
        <w:rPr>
          <w:rFonts w:hint="eastAsia"/>
        </w:rPr>
        <w:instrText xml:space="preserve"> </w:instrText>
      </w:r>
      <w:r>
        <w:rPr>
          <w:rFonts w:hint="eastAsia"/>
        </w:rPr>
        <w:fldChar w:fldCharType="separate"/>
      </w:r>
      <w:r>
        <w:t>246</w:t>
      </w:r>
      <w:r>
        <w:rPr>
          <w:rFonts w:hint="eastAsia"/>
        </w:rPr>
        <w:fldChar w:fldCharType="end"/>
      </w:r>
      <w:r>
        <w:rPr>
          <w:rFonts w:hint="eastAsia"/>
        </w:rPr>
        <w:fldChar w:fldCharType="end"/>
      </w:r>
    </w:p>
    <w:p w14:paraId="17052726">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"_Toc237508376" </w:instrText>
      </w:r>
      <w:r>
        <w:fldChar w:fldCharType="separate"/>
      </w:r>
      <w:r>
        <w:rPr>
          <w:rStyle w:val="40"/>
          <w:rFonts w:ascii="Times New Roman" w:hAnsi="Times New Roman" w:cs="Times New Roman"/>
          <w:b/>
          <w:bCs/>
          <w:lang w:eastAsia="zh-CN"/>
        </w:rPr>
        <w:t>7.7 风险事故情形分析</w:t>
      </w:r>
      <w:r>
        <w:rPr>
          <w:rFonts w:hint="eastAsia"/>
        </w:rPr>
        <w:tab/>
      </w:r>
      <w:r>
        <w:rPr>
          <w:rFonts w:hint="eastAsia"/>
        </w:rPr>
        <w:fldChar w:fldCharType="begin"/>
      </w:r>
      <w:r>
        <w:rPr>
          <w:rFonts w:hint="eastAsia"/>
        </w:rPr>
        <w:instrText xml:space="preserve"> </w:instrText>
      </w:r>
      <w:r>
        <w:instrText xml:space="preserve">PAGEREF _Toc237508376 \h</w:instrText>
      </w:r>
      <w:r>
        <w:rPr>
          <w:rFonts w:hint="eastAsia"/>
        </w:rPr>
        <w:instrText xml:space="preserve"> </w:instrText>
      </w:r>
      <w:r>
        <w:rPr>
          <w:rFonts w:hint="eastAsia"/>
        </w:rPr>
        <w:fldChar w:fldCharType="separate"/>
      </w:r>
      <w:r>
        <w:t>256</w:t>
      </w:r>
      <w:r>
        <w:rPr>
          <w:rFonts w:hint="eastAsia"/>
        </w:rPr>
        <w:fldChar w:fldCharType="end"/>
      </w:r>
      <w:r>
        <w:rPr>
          <w:rFonts w:hint="eastAsia"/>
        </w:rPr>
        <w:fldChar w:fldCharType="end"/>
      </w:r>
    </w:p>
    <w:p w14:paraId="35A19A0A">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"_Toc237508380" </w:instrText>
      </w:r>
      <w:r>
        <w:fldChar w:fldCharType="separate"/>
      </w:r>
      <w:r>
        <w:rPr>
          <w:rStyle w:val="40"/>
          <w:rFonts w:ascii="Times New Roman" w:hAnsi="Times New Roman" w:eastAsia="新宋体" w:cs="Times New Roman"/>
          <w:b/>
          <w:kern w:val="28"/>
          <w:lang w:eastAsia="zh-CN"/>
        </w:rPr>
        <w:t>7.8 风险预测与评价</w:t>
      </w:r>
      <w:r>
        <w:rPr>
          <w:rFonts w:hint="eastAsia"/>
        </w:rPr>
        <w:tab/>
      </w:r>
      <w:r>
        <w:rPr>
          <w:rFonts w:hint="eastAsia"/>
        </w:rPr>
        <w:fldChar w:fldCharType="begin"/>
      </w:r>
      <w:r>
        <w:rPr>
          <w:rFonts w:hint="eastAsia"/>
        </w:rPr>
        <w:instrText xml:space="preserve"> </w:instrText>
      </w:r>
      <w:r>
        <w:instrText xml:space="preserve">PAGEREF _Toc237508380 \h</w:instrText>
      </w:r>
      <w:r>
        <w:rPr>
          <w:rFonts w:hint="eastAsia"/>
        </w:rPr>
        <w:instrText xml:space="preserve"> </w:instrText>
      </w:r>
      <w:r>
        <w:rPr>
          <w:rFonts w:hint="eastAsia"/>
        </w:rPr>
        <w:fldChar w:fldCharType="separate"/>
      </w:r>
      <w:r>
        <w:t>264</w:t>
      </w:r>
      <w:r>
        <w:rPr>
          <w:rFonts w:hint="eastAsia"/>
        </w:rPr>
        <w:fldChar w:fldCharType="end"/>
      </w:r>
      <w:r>
        <w:rPr>
          <w:rFonts w:hint="eastAsia"/>
        </w:rPr>
        <w:fldChar w:fldCharType="end"/>
      </w:r>
    </w:p>
    <w:p w14:paraId="6172F7A8">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"_Toc237508383" </w:instrText>
      </w:r>
      <w:r>
        <w:fldChar w:fldCharType="separate"/>
      </w:r>
      <w:r>
        <w:rPr>
          <w:rStyle w:val="40"/>
          <w:rFonts w:ascii="Times New Roman" w:hAnsi="Times New Roman" w:cs="Times New Roman"/>
          <w:b/>
          <w:lang w:eastAsia="zh-CN"/>
        </w:rPr>
        <w:t>7.9 环境风险管理</w:t>
      </w:r>
      <w:r>
        <w:rPr>
          <w:rFonts w:hint="eastAsia"/>
        </w:rPr>
        <w:tab/>
      </w:r>
      <w:r>
        <w:rPr>
          <w:rFonts w:hint="eastAsia"/>
        </w:rPr>
        <w:fldChar w:fldCharType="begin"/>
      </w:r>
      <w:r>
        <w:rPr>
          <w:rFonts w:hint="eastAsia"/>
        </w:rPr>
        <w:instrText xml:space="preserve"> </w:instrText>
      </w:r>
      <w:r>
        <w:instrText xml:space="preserve">PAGEREF _Toc237508383 \h</w:instrText>
      </w:r>
      <w:r>
        <w:rPr>
          <w:rFonts w:hint="eastAsia"/>
        </w:rPr>
        <w:instrText xml:space="preserve"> </w:instrText>
      </w:r>
      <w:r>
        <w:rPr>
          <w:rFonts w:hint="eastAsia"/>
        </w:rPr>
        <w:fldChar w:fldCharType="separate"/>
      </w:r>
      <w:r>
        <w:t>278</w:t>
      </w:r>
      <w:r>
        <w:rPr>
          <w:rFonts w:hint="eastAsia"/>
        </w:rPr>
        <w:fldChar w:fldCharType="end"/>
      </w:r>
      <w:r>
        <w:rPr>
          <w:rFonts w:hint="eastAsia"/>
        </w:rPr>
        <w:fldChar w:fldCharType="end"/>
      </w:r>
    </w:p>
    <w:p w14:paraId="7449158D">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"_Toc237508394" </w:instrText>
      </w:r>
      <w:r>
        <w:fldChar w:fldCharType="separate"/>
      </w:r>
      <w:r>
        <w:rPr>
          <w:rStyle w:val="40"/>
          <w:rFonts w:ascii="Times New Roman" w:hAnsi="Times New Roman" w:cs="Times New Roman"/>
          <w:b/>
          <w:kern w:val="28"/>
          <w:lang w:eastAsia="zh-CN"/>
        </w:rPr>
        <w:t>7.10 评价结论与建议</w:t>
      </w:r>
      <w:r>
        <w:rPr>
          <w:rFonts w:hint="eastAsia"/>
        </w:rPr>
        <w:tab/>
      </w:r>
      <w:r>
        <w:rPr>
          <w:rFonts w:hint="eastAsia"/>
        </w:rPr>
        <w:fldChar w:fldCharType="begin"/>
      </w:r>
      <w:r>
        <w:rPr>
          <w:rFonts w:hint="eastAsia"/>
        </w:rPr>
        <w:instrText xml:space="preserve"> </w:instrText>
      </w:r>
      <w:r>
        <w:instrText xml:space="preserve">PAGEREF _Toc237508394 \h</w:instrText>
      </w:r>
      <w:r>
        <w:rPr>
          <w:rFonts w:hint="eastAsia"/>
        </w:rPr>
        <w:instrText xml:space="preserve"> </w:instrText>
      </w:r>
      <w:r>
        <w:rPr>
          <w:rFonts w:hint="eastAsia"/>
        </w:rPr>
        <w:fldChar w:fldCharType="separate"/>
      </w:r>
      <w:r>
        <w:t>304</w:t>
      </w:r>
      <w:r>
        <w:rPr>
          <w:rFonts w:hint="eastAsia"/>
        </w:rPr>
        <w:fldChar w:fldCharType="end"/>
      </w:r>
      <w:r>
        <w:rPr>
          <w:rFonts w:hint="eastAsia"/>
        </w:rPr>
        <w:fldChar w:fldCharType="end"/>
      </w:r>
    </w:p>
    <w:p w14:paraId="7CADF3B4">
      <w:pPr>
        <w:pStyle w:val="24"/>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"_Toc237508397" </w:instrText>
      </w:r>
      <w:r>
        <w:fldChar w:fldCharType="separate"/>
      </w:r>
      <w:r>
        <w:rPr>
          <w:rStyle w:val="40"/>
          <w:rFonts w:ascii="Times New Roman" w:hAnsi="Times New Roman" w:cs="Times New Roman"/>
          <w:b/>
          <w:bCs/>
          <w:lang w:eastAsia="zh-CN"/>
        </w:rPr>
        <w:t>8 环境保护措施及其可行性论证</w:t>
      </w:r>
      <w:r>
        <w:rPr>
          <w:rFonts w:hint="eastAsia"/>
        </w:rPr>
        <w:tab/>
      </w:r>
      <w:r>
        <w:rPr>
          <w:rFonts w:hint="eastAsia"/>
        </w:rPr>
        <w:fldChar w:fldCharType="begin"/>
      </w:r>
      <w:r>
        <w:rPr>
          <w:rFonts w:hint="eastAsia"/>
        </w:rPr>
        <w:instrText xml:space="preserve"> </w:instrText>
      </w:r>
      <w:r>
        <w:instrText xml:space="preserve">PAGEREF _Toc237508397 \h</w:instrText>
      </w:r>
      <w:r>
        <w:rPr>
          <w:rFonts w:hint="eastAsia"/>
        </w:rPr>
        <w:instrText xml:space="preserve"> </w:instrText>
      </w:r>
      <w:r>
        <w:rPr>
          <w:rFonts w:hint="eastAsia"/>
        </w:rPr>
        <w:fldChar w:fldCharType="separate"/>
      </w:r>
      <w:r>
        <w:t>307</w:t>
      </w:r>
      <w:r>
        <w:rPr>
          <w:rFonts w:hint="eastAsia"/>
        </w:rPr>
        <w:fldChar w:fldCharType="end"/>
      </w:r>
      <w:r>
        <w:rPr>
          <w:rFonts w:hint="eastAsia"/>
        </w:rPr>
        <w:fldChar w:fldCharType="end"/>
      </w:r>
    </w:p>
    <w:p w14:paraId="386B2B9D">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"_Toc237508398" </w:instrText>
      </w:r>
      <w:r>
        <w:fldChar w:fldCharType="separate"/>
      </w:r>
      <w:r>
        <w:rPr>
          <w:rStyle w:val="40"/>
          <w:rFonts w:ascii="Times New Roman" w:hAnsi="Times New Roman" w:cs="Times New Roman"/>
          <w:b/>
          <w:bCs/>
          <w:lang w:eastAsia="zh-CN"/>
        </w:rPr>
        <w:t>8.1 施工期污染防治对策</w:t>
      </w:r>
      <w:r>
        <w:rPr>
          <w:rFonts w:hint="eastAsia"/>
        </w:rPr>
        <w:tab/>
      </w:r>
      <w:r>
        <w:rPr>
          <w:rFonts w:hint="eastAsia"/>
        </w:rPr>
        <w:fldChar w:fldCharType="begin"/>
      </w:r>
      <w:r>
        <w:rPr>
          <w:rFonts w:hint="eastAsia"/>
        </w:rPr>
        <w:instrText xml:space="preserve"> </w:instrText>
      </w:r>
      <w:r>
        <w:instrText xml:space="preserve">PAGEREF _Toc237508398 \h</w:instrText>
      </w:r>
      <w:r>
        <w:rPr>
          <w:rFonts w:hint="eastAsia"/>
        </w:rPr>
        <w:instrText xml:space="preserve"> </w:instrText>
      </w:r>
      <w:r>
        <w:rPr>
          <w:rFonts w:hint="eastAsia"/>
        </w:rPr>
        <w:fldChar w:fldCharType="separate"/>
      </w:r>
      <w:r>
        <w:t>307</w:t>
      </w:r>
      <w:r>
        <w:rPr>
          <w:rFonts w:hint="eastAsia"/>
        </w:rPr>
        <w:fldChar w:fldCharType="end"/>
      </w:r>
      <w:r>
        <w:rPr>
          <w:rFonts w:hint="eastAsia"/>
        </w:rPr>
        <w:fldChar w:fldCharType="end"/>
      </w:r>
    </w:p>
    <w:p w14:paraId="35A083A9">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"_Toc237508403" </w:instrText>
      </w:r>
      <w:r>
        <w:fldChar w:fldCharType="separate"/>
      </w:r>
      <w:r>
        <w:rPr>
          <w:rStyle w:val="40"/>
          <w:rFonts w:ascii="Times New Roman" w:hAnsi="Times New Roman" w:cs="Times New Roman"/>
          <w:b/>
          <w:bCs/>
          <w:lang w:eastAsia="zh-CN"/>
        </w:rPr>
        <w:t>8.2 运营期污染防治对策</w:t>
      </w:r>
      <w:r>
        <w:rPr>
          <w:rFonts w:hint="eastAsia"/>
        </w:rPr>
        <w:tab/>
      </w:r>
      <w:r>
        <w:rPr>
          <w:rFonts w:hint="eastAsia"/>
        </w:rPr>
        <w:fldChar w:fldCharType="begin"/>
      </w:r>
      <w:r>
        <w:rPr>
          <w:rFonts w:hint="eastAsia"/>
        </w:rPr>
        <w:instrText xml:space="preserve"> </w:instrText>
      </w:r>
      <w:r>
        <w:instrText xml:space="preserve">PAGEREF _Toc237508403 \h</w:instrText>
      </w:r>
      <w:r>
        <w:rPr>
          <w:rFonts w:hint="eastAsia"/>
        </w:rPr>
        <w:instrText xml:space="preserve"> </w:instrText>
      </w:r>
      <w:r>
        <w:rPr>
          <w:rFonts w:hint="eastAsia"/>
        </w:rPr>
        <w:fldChar w:fldCharType="separate"/>
      </w:r>
      <w:r>
        <w:t>310</w:t>
      </w:r>
      <w:r>
        <w:rPr>
          <w:rFonts w:hint="eastAsia"/>
        </w:rPr>
        <w:fldChar w:fldCharType="end"/>
      </w:r>
      <w:r>
        <w:rPr>
          <w:rFonts w:hint="eastAsia"/>
        </w:rPr>
        <w:fldChar w:fldCharType="end"/>
      </w:r>
    </w:p>
    <w:p w14:paraId="78172246">
      <w:pPr>
        <w:pStyle w:val="24"/>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"_Toc237508411" </w:instrText>
      </w:r>
      <w:r>
        <w:fldChar w:fldCharType="separate"/>
      </w:r>
      <w:r>
        <w:rPr>
          <w:rStyle w:val="40"/>
          <w:rFonts w:ascii="Times New Roman" w:hAnsi="Times New Roman" w:cs="Times New Roman"/>
          <w:b/>
          <w:bCs/>
          <w:lang w:eastAsia="zh-CN"/>
        </w:rPr>
        <w:t>9 环境经济损益分析</w:t>
      </w:r>
      <w:r>
        <w:rPr>
          <w:rFonts w:hint="eastAsia"/>
        </w:rPr>
        <w:tab/>
      </w:r>
      <w:r>
        <w:rPr>
          <w:rFonts w:hint="eastAsia"/>
        </w:rPr>
        <w:fldChar w:fldCharType="begin"/>
      </w:r>
      <w:r>
        <w:rPr>
          <w:rFonts w:hint="eastAsia"/>
        </w:rPr>
        <w:instrText xml:space="preserve"> </w:instrText>
      </w:r>
      <w:r>
        <w:instrText xml:space="preserve">PAGEREF _Toc237508411 \h</w:instrText>
      </w:r>
      <w:r>
        <w:rPr>
          <w:rFonts w:hint="eastAsia"/>
        </w:rPr>
        <w:instrText xml:space="preserve"> </w:instrText>
      </w:r>
      <w:r>
        <w:rPr>
          <w:rFonts w:hint="eastAsia"/>
        </w:rPr>
        <w:fldChar w:fldCharType="separate"/>
      </w:r>
      <w:r>
        <w:t>334</w:t>
      </w:r>
      <w:r>
        <w:rPr>
          <w:rFonts w:hint="eastAsia"/>
        </w:rPr>
        <w:fldChar w:fldCharType="end"/>
      </w:r>
      <w:r>
        <w:rPr>
          <w:rFonts w:hint="eastAsia"/>
        </w:rPr>
        <w:fldChar w:fldCharType="end"/>
      </w:r>
    </w:p>
    <w:p w14:paraId="2A8AC786">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"_Toc237508412" </w:instrText>
      </w:r>
      <w:r>
        <w:fldChar w:fldCharType="separate"/>
      </w:r>
      <w:r>
        <w:rPr>
          <w:rStyle w:val="40"/>
          <w:rFonts w:ascii="Times New Roman" w:hAnsi="Times New Roman" w:cs="Times New Roman"/>
          <w:b/>
          <w:bCs/>
          <w:lang w:eastAsia="zh-CN"/>
        </w:rPr>
        <w:t>9.1 工程环保投资</w:t>
      </w:r>
      <w:r>
        <w:rPr>
          <w:rFonts w:hint="eastAsia"/>
        </w:rPr>
        <w:tab/>
      </w:r>
      <w:r>
        <w:rPr>
          <w:rFonts w:hint="eastAsia"/>
        </w:rPr>
        <w:fldChar w:fldCharType="begin"/>
      </w:r>
      <w:r>
        <w:rPr>
          <w:rFonts w:hint="eastAsia"/>
        </w:rPr>
        <w:instrText xml:space="preserve"> </w:instrText>
      </w:r>
      <w:r>
        <w:instrText xml:space="preserve">PAGEREF _Toc237508412 \h</w:instrText>
      </w:r>
      <w:r>
        <w:rPr>
          <w:rFonts w:hint="eastAsia"/>
        </w:rPr>
        <w:instrText xml:space="preserve"> </w:instrText>
      </w:r>
      <w:r>
        <w:rPr>
          <w:rFonts w:hint="eastAsia"/>
        </w:rPr>
        <w:fldChar w:fldCharType="separate"/>
      </w:r>
      <w:r>
        <w:t>334</w:t>
      </w:r>
      <w:r>
        <w:rPr>
          <w:rFonts w:hint="eastAsia"/>
        </w:rPr>
        <w:fldChar w:fldCharType="end"/>
      </w:r>
      <w:r>
        <w:rPr>
          <w:rFonts w:hint="eastAsia"/>
        </w:rPr>
        <w:fldChar w:fldCharType="end"/>
      </w:r>
    </w:p>
    <w:p w14:paraId="29152F55">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"_Toc237508413" </w:instrText>
      </w:r>
      <w:r>
        <w:fldChar w:fldCharType="separate"/>
      </w:r>
      <w:r>
        <w:rPr>
          <w:rStyle w:val="40"/>
          <w:rFonts w:ascii="Times New Roman" w:hAnsi="Times New Roman" w:cs="Times New Roman"/>
          <w:b/>
          <w:bCs/>
          <w:lang w:eastAsia="zh-CN"/>
        </w:rPr>
        <w:t>9.2 经济效益分析</w:t>
      </w:r>
      <w:r>
        <w:rPr>
          <w:rFonts w:hint="eastAsia"/>
        </w:rPr>
        <w:tab/>
      </w:r>
      <w:r>
        <w:rPr>
          <w:rFonts w:hint="eastAsia"/>
        </w:rPr>
        <w:fldChar w:fldCharType="begin"/>
      </w:r>
      <w:r>
        <w:rPr>
          <w:rFonts w:hint="eastAsia"/>
        </w:rPr>
        <w:instrText xml:space="preserve"> </w:instrText>
      </w:r>
      <w:r>
        <w:instrText xml:space="preserve">PAGEREF _Toc237508413 \h</w:instrText>
      </w:r>
      <w:r>
        <w:rPr>
          <w:rFonts w:hint="eastAsia"/>
        </w:rPr>
        <w:instrText xml:space="preserve"> </w:instrText>
      </w:r>
      <w:r>
        <w:rPr>
          <w:rFonts w:hint="eastAsia"/>
        </w:rPr>
        <w:fldChar w:fldCharType="separate"/>
      </w:r>
      <w:r>
        <w:t>335</w:t>
      </w:r>
      <w:r>
        <w:rPr>
          <w:rFonts w:hint="eastAsia"/>
        </w:rPr>
        <w:fldChar w:fldCharType="end"/>
      </w:r>
      <w:r>
        <w:rPr>
          <w:rFonts w:hint="eastAsia"/>
        </w:rPr>
        <w:fldChar w:fldCharType="end"/>
      </w:r>
    </w:p>
    <w:p w14:paraId="2CC58694">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"_Toc237508414" </w:instrText>
      </w:r>
      <w:r>
        <w:fldChar w:fldCharType="separate"/>
      </w:r>
      <w:r>
        <w:rPr>
          <w:rStyle w:val="40"/>
          <w:rFonts w:ascii="Times New Roman" w:hAnsi="Times New Roman" w:cs="Times New Roman"/>
          <w:b/>
          <w:bCs/>
          <w:lang w:eastAsia="zh-CN"/>
        </w:rPr>
        <w:t>9.3 社会效益分析</w:t>
      </w:r>
      <w:r>
        <w:rPr>
          <w:rFonts w:hint="eastAsia"/>
        </w:rPr>
        <w:tab/>
      </w:r>
      <w:r>
        <w:rPr>
          <w:rFonts w:hint="eastAsia"/>
        </w:rPr>
        <w:fldChar w:fldCharType="begin"/>
      </w:r>
      <w:r>
        <w:rPr>
          <w:rFonts w:hint="eastAsia"/>
        </w:rPr>
        <w:instrText xml:space="preserve"> </w:instrText>
      </w:r>
      <w:r>
        <w:instrText xml:space="preserve">PAGEREF _Toc237508414 \h</w:instrText>
      </w:r>
      <w:r>
        <w:rPr>
          <w:rFonts w:hint="eastAsia"/>
        </w:rPr>
        <w:instrText xml:space="preserve"> </w:instrText>
      </w:r>
      <w:r>
        <w:rPr>
          <w:rFonts w:hint="eastAsia"/>
        </w:rPr>
        <w:fldChar w:fldCharType="separate"/>
      </w:r>
      <w:r>
        <w:t>335</w:t>
      </w:r>
      <w:r>
        <w:rPr>
          <w:rFonts w:hint="eastAsia"/>
        </w:rPr>
        <w:fldChar w:fldCharType="end"/>
      </w:r>
      <w:r>
        <w:rPr>
          <w:rFonts w:hint="eastAsia"/>
        </w:rPr>
        <w:fldChar w:fldCharType="end"/>
      </w:r>
    </w:p>
    <w:p w14:paraId="30C8A62C">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"_Toc237508415" </w:instrText>
      </w:r>
      <w:r>
        <w:fldChar w:fldCharType="separate"/>
      </w:r>
      <w:r>
        <w:rPr>
          <w:rStyle w:val="40"/>
          <w:rFonts w:ascii="Times New Roman" w:hAnsi="Times New Roman" w:cs="Times New Roman"/>
          <w:b/>
          <w:bCs/>
          <w:lang w:eastAsia="zh-CN"/>
        </w:rPr>
        <w:t>9.4 环境效益分析</w:t>
      </w:r>
      <w:r>
        <w:rPr>
          <w:rFonts w:hint="eastAsia"/>
        </w:rPr>
        <w:tab/>
      </w:r>
      <w:r>
        <w:rPr>
          <w:rFonts w:hint="eastAsia"/>
        </w:rPr>
        <w:fldChar w:fldCharType="begin"/>
      </w:r>
      <w:r>
        <w:rPr>
          <w:rFonts w:hint="eastAsia"/>
        </w:rPr>
        <w:instrText xml:space="preserve"> </w:instrText>
      </w:r>
      <w:r>
        <w:instrText xml:space="preserve">PAGEREF _Toc237508415 \h</w:instrText>
      </w:r>
      <w:r>
        <w:rPr>
          <w:rFonts w:hint="eastAsia"/>
        </w:rPr>
        <w:instrText xml:space="preserve"> </w:instrText>
      </w:r>
      <w:r>
        <w:rPr>
          <w:rFonts w:hint="eastAsia"/>
        </w:rPr>
        <w:fldChar w:fldCharType="separate"/>
      </w:r>
      <w:r>
        <w:t>335</w:t>
      </w:r>
      <w:r>
        <w:rPr>
          <w:rFonts w:hint="eastAsia"/>
        </w:rPr>
        <w:fldChar w:fldCharType="end"/>
      </w:r>
      <w:r>
        <w:rPr>
          <w:rFonts w:hint="eastAsia"/>
        </w:rPr>
        <w:fldChar w:fldCharType="end"/>
      </w:r>
    </w:p>
    <w:p w14:paraId="1C9BA7A0">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"_Toc237508416" </w:instrText>
      </w:r>
      <w:r>
        <w:fldChar w:fldCharType="separate"/>
      </w:r>
      <w:r>
        <w:rPr>
          <w:rStyle w:val="40"/>
          <w:rFonts w:ascii="Times New Roman" w:hAnsi="Times New Roman" w:cs="Times New Roman"/>
          <w:b/>
          <w:bCs/>
          <w:lang w:eastAsia="zh-CN"/>
        </w:rPr>
        <w:t>9.5 小结</w:t>
      </w:r>
      <w:r>
        <w:rPr>
          <w:rFonts w:hint="eastAsia"/>
        </w:rPr>
        <w:tab/>
      </w:r>
      <w:r>
        <w:rPr>
          <w:rFonts w:hint="eastAsia"/>
        </w:rPr>
        <w:fldChar w:fldCharType="begin"/>
      </w:r>
      <w:r>
        <w:rPr>
          <w:rFonts w:hint="eastAsia"/>
        </w:rPr>
        <w:instrText xml:space="preserve"> </w:instrText>
      </w:r>
      <w:r>
        <w:instrText xml:space="preserve">PAGEREF _Toc237508416 \h</w:instrText>
      </w:r>
      <w:r>
        <w:rPr>
          <w:rFonts w:hint="eastAsia"/>
        </w:rPr>
        <w:instrText xml:space="preserve"> </w:instrText>
      </w:r>
      <w:r>
        <w:rPr>
          <w:rFonts w:hint="eastAsia"/>
        </w:rPr>
        <w:fldChar w:fldCharType="separate"/>
      </w:r>
      <w:r>
        <w:t>336</w:t>
      </w:r>
      <w:r>
        <w:rPr>
          <w:rFonts w:hint="eastAsia"/>
        </w:rPr>
        <w:fldChar w:fldCharType="end"/>
      </w:r>
      <w:r>
        <w:rPr>
          <w:rFonts w:hint="eastAsia"/>
        </w:rPr>
        <w:fldChar w:fldCharType="end"/>
      </w:r>
    </w:p>
    <w:p w14:paraId="1A7A5D19">
      <w:pPr>
        <w:pStyle w:val="24"/>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"_Toc237508417" </w:instrText>
      </w:r>
      <w:r>
        <w:fldChar w:fldCharType="separate"/>
      </w:r>
      <w:r>
        <w:rPr>
          <w:rStyle w:val="40"/>
          <w:rFonts w:ascii="Times New Roman" w:hAnsi="Times New Roman" w:cs="Times New Roman"/>
          <w:b/>
          <w:bCs/>
          <w:lang w:eastAsia="zh-CN"/>
        </w:rPr>
        <w:t>10 环境管理与环境监测</w:t>
      </w:r>
      <w:r>
        <w:rPr>
          <w:rFonts w:hint="eastAsia"/>
        </w:rPr>
        <w:tab/>
      </w:r>
      <w:r>
        <w:rPr>
          <w:rFonts w:hint="eastAsia"/>
        </w:rPr>
        <w:fldChar w:fldCharType="begin"/>
      </w:r>
      <w:r>
        <w:rPr>
          <w:rFonts w:hint="eastAsia"/>
        </w:rPr>
        <w:instrText xml:space="preserve"> </w:instrText>
      </w:r>
      <w:r>
        <w:instrText xml:space="preserve">PAGEREF _Toc237508417 \h</w:instrText>
      </w:r>
      <w:r>
        <w:rPr>
          <w:rFonts w:hint="eastAsia"/>
        </w:rPr>
        <w:instrText xml:space="preserve"> </w:instrText>
      </w:r>
      <w:r>
        <w:rPr>
          <w:rFonts w:hint="eastAsia"/>
        </w:rPr>
        <w:fldChar w:fldCharType="separate"/>
      </w:r>
      <w:r>
        <w:t>337</w:t>
      </w:r>
      <w:r>
        <w:rPr>
          <w:rFonts w:hint="eastAsia"/>
        </w:rPr>
        <w:fldChar w:fldCharType="end"/>
      </w:r>
      <w:r>
        <w:rPr>
          <w:rFonts w:hint="eastAsia"/>
        </w:rPr>
        <w:fldChar w:fldCharType="end"/>
      </w:r>
    </w:p>
    <w:p w14:paraId="635255DB">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"_Toc237508418" </w:instrText>
      </w:r>
      <w:r>
        <w:fldChar w:fldCharType="separate"/>
      </w:r>
      <w:r>
        <w:rPr>
          <w:rStyle w:val="40"/>
          <w:rFonts w:ascii="Times New Roman" w:hAnsi="Times New Roman" w:cs="Times New Roman"/>
          <w:b/>
          <w:bCs/>
          <w:lang w:eastAsia="zh-CN"/>
        </w:rPr>
        <w:t>10.1 目的</w:t>
      </w:r>
      <w:r>
        <w:rPr>
          <w:rFonts w:hint="eastAsia"/>
        </w:rPr>
        <w:tab/>
      </w:r>
      <w:r>
        <w:rPr>
          <w:rFonts w:hint="eastAsia"/>
        </w:rPr>
        <w:fldChar w:fldCharType="begin"/>
      </w:r>
      <w:r>
        <w:rPr>
          <w:rFonts w:hint="eastAsia"/>
        </w:rPr>
        <w:instrText xml:space="preserve"> </w:instrText>
      </w:r>
      <w:r>
        <w:instrText xml:space="preserve">PAGEREF _Toc237508418 \h</w:instrText>
      </w:r>
      <w:r>
        <w:rPr>
          <w:rFonts w:hint="eastAsia"/>
        </w:rPr>
        <w:instrText xml:space="preserve"> </w:instrText>
      </w:r>
      <w:r>
        <w:rPr>
          <w:rFonts w:hint="eastAsia"/>
        </w:rPr>
        <w:fldChar w:fldCharType="separate"/>
      </w:r>
      <w:r>
        <w:t>337</w:t>
      </w:r>
      <w:r>
        <w:rPr>
          <w:rFonts w:hint="eastAsia"/>
        </w:rPr>
        <w:fldChar w:fldCharType="end"/>
      </w:r>
      <w:r>
        <w:rPr>
          <w:rFonts w:hint="eastAsia"/>
        </w:rPr>
        <w:fldChar w:fldCharType="end"/>
      </w:r>
    </w:p>
    <w:p w14:paraId="68B4A13A">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"_Toc237508419" </w:instrText>
      </w:r>
      <w:r>
        <w:fldChar w:fldCharType="separate"/>
      </w:r>
      <w:r>
        <w:rPr>
          <w:rStyle w:val="40"/>
          <w:rFonts w:ascii="Times New Roman" w:hAnsi="Times New Roman" w:cs="Times New Roman"/>
          <w:b/>
          <w:bCs/>
          <w:lang w:eastAsia="zh-CN"/>
        </w:rPr>
        <w:t>10.2 建设单位污染物排放基本情况</w:t>
      </w:r>
      <w:r>
        <w:rPr>
          <w:rFonts w:hint="eastAsia"/>
        </w:rPr>
        <w:tab/>
      </w:r>
      <w:r>
        <w:rPr>
          <w:rFonts w:hint="eastAsia"/>
        </w:rPr>
        <w:fldChar w:fldCharType="begin"/>
      </w:r>
      <w:r>
        <w:rPr>
          <w:rFonts w:hint="eastAsia"/>
        </w:rPr>
        <w:instrText xml:space="preserve"> </w:instrText>
      </w:r>
      <w:r>
        <w:instrText xml:space="preserve">PAGEREF _Toc237508419 \h</w:instrText>
      </w:r>
      <w:r>
        <w:rPr>
          <w:rFonts w:hint="eastAsia"/>
        </w:rPr>
        <w:instrText xml:space="preserve"> </w:instrText>
      </w:r>
      <w:r>
        <w:rPr>
          <w:rFonts w:hint="eastAsia"/>
        </w:rPr>
        <w:fldChar w:fldCharType="separate"/>
      </w:r>
      <w:r>
        <w:t>337</w:t>
      </w:r>
      <w:r>
        <w:rPr>
          <w:rFonts w:hint="eastAsia"/>
        </w:rPr>
        <w:fldChar w:fldCharType="end"/>
      </w:r>
      <w:r>
        <w:rPr>
          <w:rFonts w:hint="eastAsia"/>
        </w:rPr>
        <w:fldChar w:fldCharType="end"/>
      </w:r>
    </w:p>
    <w:p w14:paraId="4443E951">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"_Toc237508424" </w:instrText>
      </w:r>
      <w:r>
        <w:fldChar w:fldCharType="separate"/>
      </w:r>
      <w:r>
        <w:rPr>
          <w:rStyle w:val="40"/>
          <w:rFonts w:ascii="Times New Roman" w:hAnsi="Times New Roman" w:cs="Times New Roman"/>
          <w:b/>
          <w:bCs/>
          <w:lang w:eastAsia="zh-CN"/>
        </w:rPr>
        <w:t>10.3 环境管理制度</w:t>
      </w:r>
      <w:r>
        <w:rPr>
          <w:rFonts w:hint="eastAsia"/>
        </w:rPr>
        <w:tab/>
      </w:r>
      <w:r>
        <w:rPr>
          <w:rFonts w:hint="eastAsia"/>
        </w:rPr>
        <w:fldChar w:fldCharType="begin"/>
      </w:r>
      <w:r>
        <w:rPr>
          <w:rFonts w:hint="eastAsia"/>
        </w:rPr>
        <w:instrText xml:space="preserve"> </w:instrText>
      </w:r>
      <w:r>
        <w:instrText xml:space="preserve">PAGEREF _Toc237508424 \h</w:instrText>
      </w:r>
      <w:r>
        <w:rPr>
          <w:rFonts w:hint="eastAsia"/>
        </w:rPr>
        <w:instrText xml:space="preserve"> </w:instrText>
      </w:r>
      <w:r>
        <w:rPr>
          <w:rFonts w:hint="eastAsia"/>
        </w:rPr>
        <w:fldChar w:fldCharType="separate"/>
      </w:r>
      <w:r>
        <w:t>340</w:t>
      </w:r>
      <w:r>
        <w:rPr>
          <w:rFonts w:hint="eastAsia"/>
        </w:rPr>
        <w:fldChar w:fldCharType="end"/>
      </w:r>
      <w:r>
        <w:rPr>
          <w:rFonts w:hint="eastAsia"/>
        </w:rPr>
        <w:fldChar w:fldCharType="end"/>
      </w:r>
    </w:p>
    <w:p w14:paraId="784D1EAB">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"_Toc237508428" </w:instrText>
      </w:r>
      <w:r>
        <w:fldChar w:fldCharType="separate"/>
      </w:r>
      <w:r>
        <w:rPr>
          <w:rStyle w:val="40"/>
          <w:rFonts w:ascii="Times New Roman" w:hAnsi="Times New Roman" w:cs="Times New Roman"/>
          <w:b/>
          <w:bCs/>
          <w:lang w:eastAsia="zh-CN"/>
        </w:rPr>
        <w:t>10.4 环境监测计划</w:t>
      </w:r>
      <w:r>
        <w:rPr>
          <w:rFonts w:hint="eastAsia"/>
        </w:rPr>
        <w:tab/>
      </w:r>
      <w:r>
        <w:rPr>
          <w:rFonts w:hint="eastAsia"/>
        </w:rPr>
        <w:fldChar w:fldCharType="begin"/>
      </w:r>
      <w:r>
        <w:rPr>
          <w:rFonts w:hint="eastAsia"/>
        </w:rPr>
        <w:instrText xml:space="preserve"> </w:instrText>
      </w:r>
      <w:r>
        <w:instrText xml:space="preserve">PAGEREF _Toc237508428 \h</w:instrText>
      </w:r>
      <w:r>
        <w:rPr>
          <w:rFonts w:hint="eastAsia"/>
        </w:rPr>
        <w:instrText xml:space="preserve"> </w:instrText>
      </w:r>
      <w:r>
        <w:rPr>
          <w:rFonts w:hint="eastAsia"/>
        </w:rPr>
        <w:fldChar w:fldCharType="separate"/>
      </w:r>
      <w:r>
        <w:t>342</w:t>
      </w:r>
      <w:r>
        <w:rPr>
          <w:rFonts w:hint="eastAsia"/>
        </w:rPr>
        <w:fldChar w:fldCharType="end"/>
      </w:r>
      <w:r>
        <w:rPr>
          <w:rFonts w:hint="eastAsia"/>
        </w:rPr>
        <w:fldChar w:fldCharType="end"/>
      </w:r>
    </w:p>
    <w:p w14:paraId="5DD5C3EE">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"_Toc237508432" </w:instrText>
      </w:r>
      <w:r>
        <w:fldChar w:fldCharType="separate"/>
      </w:r>
      <w:r>
        <w:rPr>
          <w:rStyle w:val="40"/>
          <w:rFonts w:ascii="Times New Roman" w:hAnsi="Times New Roman" w:cs="Times New Roman"/>
          <w:b/>
          <w:bCs/>
          <w:lang w:eastAsia="zh-CN"/>
        </w:rPr>
        <w:t>10.5 排污口规范化</w:t>
      </w:r>
      <w:r>
        <w:rPr>
          <w:rFonts w:hint="eastAsia"/>
        </w:rPr>
        <w:tab/>
      </w:r>
      <w:r>
        <w:rPr>
          <w:rFonts w:hint="eastAsia"/>
        </w:rPr>
        <w:fldChar w:fldCharType="begin"/>
      </w:r>
      <w:r>
        <w:rPr>
          <w:rFonts w:hint="eastAsia"/>
        </w:rPr>
        <w:instrText xml:space="preserve"> </w:instrText>
      </w:r>
      <w:r>
        <w:instrText xml:space="preserve">PAGEREF _Toc237508432 \h</w:instrText>
      </w:r>
      <w:r>
        <w:rPr>
          <w:rFonts w:hint="eastAsia"/>
        </w:rPr>
        <w:instrText xml:space="preserve"> </w:instrText>
      </w:r>
      <w:r>
        <w:rPr>
          <w:rFonts w:hint="eastAsia"/>
        </w:rPr>
        <w:fldChar w:fldCharType="separate"/>
      </w:r>
      <w:r>
        <w:t>344</w:t>
      </w:r>
      <w:r>
        <w:rPr>
          <w:rFonts w:hint="eastAsia"/>
        </w:rPr>
        <w:fldChar w:fldCharType="end"/>
      </w:r>
      <w:r>
        <w:rPr>
          <w:rFonts w:hint="eastAsia"/>
        </w:rPr>
        <w:fldChar w:fldCharType="end"/>
      </w:r>
    </w:p>
    <w:p w14:paraId="6CCA6F9A">
      <w:pPr>
        <w:pStyle w:val="24"/>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"_Toc237508433" </w:instrText>
      </w:r>
      <w:r>
        <w:fldChar w:fldCharType="separate"/>
      </w:r>
      <w:r>
        <w:rPr>
          <w:rStyle w:val="40"/>
          <w:rFonts w:ascii="Times New Roman" w:hAnsi="Times New Roman" w:cs="Times New Roman"/>
          <w:b/>
          <w:bCs/>
          <w:lang w:eastAsia="zh-CN"/>
        </w:rPr>
        <w:t>11 评价结论</w:t>
      </w:r>
      <w:r>
        <w:rPr>
          <w:rFonts w:hint="eastAsia"/>
        </w:rPr>
        <w:tab/>
      </w:r>
      <w:r>
        <w:rPr>
          <w:rFonts w:hint="eastAsia"/>
        </w:rPr>
        <w:fldChar w:fldCharType="begin"/>
      </w:r>
      <w:r>
        <w:rPr>
          <w:rFonts w:hint="eastAsia"/>
        </w:rPr>
        <w:instrText xml:space="preserve"> </w:instrText>
      </w:r>
      <w:r>
        <w:instrText xml:space="preserve">PAGEREF _Toc237508433 \h</w:instrText>
      </w:r>
      <w:r>
        <w:rPr>
          <w:rFonts w:hint="eastAsia"/>
        </w:rPr>
        <w:instrText xml:space="preserve"> </w:instrText>
      </w:r>
      <w:r>
        <w:rPr>
          <w:rFonts w:hint="eastAsia"/>
        </w:rPr>
        <w:fldChar w:fldCharType="separate"/>
      </w:r>
      <w:r>
        <w:t>346</w:t>
      </w:r>
      <w:r>
        <w:rPr>
          <w:rFonts w:hint="eastAsia"/>
        </w:rPr>
        <w:fldChar w:fldCharType="end"/>
      </w:r>
      <w:r>
        <w:rPr>
          <w:rFonts w:hint="eastAsia"/>
        </w:rPr>
        <w:fldChar w:fldCharType="end"/>
      </w:r>
    </w:p>
    <w:p w14:paraId="2D286799">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"_Toc237508434" </w:instrText>
      </w:r>
      <w:r>
        <w:fldChar w:fldCharType="separate"/>
      </w:r>
      <w:r>
        <w:rPr>
          <w:rStyle w:val="40"/>
          <w:rFonts w:ascii="Times New Roman" w:hAnsi="Times New Roman" w:cs="Times New Roman"/>
          <w:b/>
          <w:bCs/>
          <w:lang w:eastAsia="zh-CN"/>
        </w:rPr>
        <w:t>11.1 建设项目概况</w:t>
      </w:r>
      <w:r>
        <w:rPr>
          <w:rFonts w:hint="eastAsia"/>
        </w:rPr>
        <w:tab/>
      </w:r>
      <w:r>
        <w:rPr>
          <w:rFonts w:hint="eastAsia"/>
        </w:rPr>
        <w:fldChar w:fldCharType="begin"/>
      </w:r>
      <w:r>
        <w:rPr>
          <w:rFonts w:hint="eastAsia"/>
        </w:rPr>
        <w:instrText xml:space="preserve"> </w:instrText>
      </w:r>
      <w:r>
        <w:instrText xml:space="preserve">PAGEREF _Toc237508434 \h</w:instrText>
      </w:r>
      <w:r>
        <w:rPr>
          <w:rFonts w:hint="eastAsia"/>
        </w:rPr>
        <w:instrText xml:space="preserve"> </w:instrText>
      </w:r>
      <w:r>
        <w:rPr>
          <w:rFonts w:hint="eastAsia"/>
        </w:rPr>
        <w:fldChar w:fldCharType="separate"/>
      </w:r>
      <w:r>
        <w:t>346</w:t>
      </w:r>
      <w:r>
        <w:rPr>
          <w:rFonts w:hint="eastAsia"/>
        </w:rPr>
        <w:fldChar w:fldCharType="end"/>
      </w:r>
      <w:r>
        <w:rPr>
          <w:rFonts w:hint="eastAsia"/>
        </w:rPr>
        <w:fldChar w:fldCharType="end"/>
      </w:r>
    </w:p>
    <w:p w14:paraId="021B2DC8">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"_Toc237508435" </w:instrText>
      </w:r>
      <w:r>
        <w:fldChar w:fldCharType="separate"/>
      </w:r>
      <w:r>
        <w:rPr>
          <w:rStyle w:val="40"/>
          <w:rFonts w:ascii="Times New Roman" w:hAnsi="Times New Roman" w:cs="Times New Roman"/>
          <w:b/>
          <w:bCs/>
          <w:lang w:eastAsia="zh-CN"/>
        </w:rPr>
        <w:t>11.2 区域环境质量现状</w:t>
      </w:r>
      <w:r>
        <w:rPr>
          <w:rFonts w:hint="eastAsia"/>
        </w:rPr>
        <w:tab/>
      </w:r>
      <w:r>
        <w:rPr>
          <w:rFonts w:hint="eastAsia"/>
        </w:rPr>
        <w:fldChar w:fldCharType="begin"/>
      </w:r>
      <w:r>
        <w:rPr>
          <w:rFonts w:hint="eastAsia"/>
        </w:rPr>
        <w:instrText xml:space="preserve"> </w:instrText>
      </w:r>
      <w:r>
        <w:instrText xml:space="preserve">PAGEREF _Toc237508435 \h</w:instrText>
      </w:r>
      <w:r>
        <w:rPr>
          <w:rFonts w:hint="eastAsia"/>
        </w:rPr>
        <w:instrText xml:space="preserve"> </w:instrText>
      </w:r>
      <w:r>
        <w:rPr>
          <w:rFonts w:hint="eastAsia"/>
        </w:rPr>
        <w:fldChar w:fldCharType="separate"/>
      </w:r>
      <w:r>
        <w:t>346</w:t>
      </w:r>
      <w:r>
        <w:rPr>
          <w:rFonts w:hint="eastAsia"/>
        </w:rPr>
        <w:fldChar w:fldCharType="end"/>
      </w:r>
      <w:r>
        <w:rPr>
          <w:rFonts w:hint="eastAsia"/>
        </w:rPr>
        <w:fldChar w:fldCharType="end"/>
      </w:r>
    </w:p>
    <w:p w14:paraId="67B7F2EC">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"_Toc237508436" </w:instrText>
      </w:r>
      <w:r>
        <w:fldChar w:fldCharType="separate"/>
      </w:r>
      <w:r>
        <w:rPr>
          <w:rStyle w:val="40"/>
          <w:rFonts w:ascii="Times New Roman" w:hAnsi="Times New Roman" w:cs="Times New Roman"/>
          <w:b/>
          <w:bCs/>
          <w:lang w:eastAsia="zh-CN"/>
        </w:rPr>
        <w:t>11.3 污染物排放情况</w:t>
      </w:r>
      <w:r>
        <w:rPr>
          <w:rFonts w:hint="eastAsia"/>
        </w:rPr>
        <w:tab/>
      </w:r>
      <w:r>
        <w:rPr>
          <w:rFonts w:hint="eastAsia"/>
        </w:rPr>
        <w:fldChar w:fldCharType="begin"/>
      </w:r>
      <w:r>
        <w:rPr>
          <w:rFonts w:hint="eastAsia"/>
        </w:rPr>
        <w:instrText xml:space="preserve"> </w:instrText>
      </w:r>
      <w:r>
        <w:instrText xml:space="preserve">PAGEREF _Toc237508436 \h</w:instrText>
      </w:r>
      <w:r>
        <w:rPr>
          <w:rFonts w:hint="eastAsia"/>
        </w:rPr>
        <w:instrText xml:space="preserve"> </w:instrText>
      </w:r>
      <w:r>
        <w:rPr>
          <w:rFonts w:hint="eastAsia"/>
        </w:rPr>
        <w:fldChar w:fldCharType="separate"/>
      </w:r>
      <w:r>
        <w:t>348</w:t>
      </w:r>
      <w:r>
        <w:rPr>
          <w:rFonts w:hint="eastAsia"/>
        </w:rPr>
        <w:fldChar w:fldCharType="end"/>
      </w:r>
      <w:r>
        <w:rPr>
          <w:rFonts w:hint="eastAsia"/>
        </w:rPr>
        <w:fldChar w:fldCharType="end"/>
      </w:r>
    </w:p>
    <w:p w14:paraId="610C5977">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"_Toc237508441" </w:instrText>
      </w:r>
      <w:r>
        <w:fldChar w:fldCharType="separate"/>
      </w:r>
      <w:r>
        <w:rPr>
          <w:rStyle w:val="40"/>
          <w:rFonts w:ascii="Times New Roman" w:hAnsi="Times New Roman" w:cs="Times New Roman"/>
          <w:b/>
          <w:bCs/>
          <w:lang w:eastAsia="zh-CN"/>
        </w:rPr>
        <w:t>11.4 主要环境影响</w:t>
      </w:r>
      <w:r>
        <w:rPr>
          <w:rFonts w:hint="eastAsia"/>
        </w:rPr>
        <w:tab/>
      </w:r>
      <w:r>
        <w:rPr>
          <w:rFonts w:hint="eastAsia"/>
        </w:rPr>
        <w:fldChar w:fldCharType="begin"/>
      </w:r>
      <w:r>
        <w:rPr>
          <w:rFonts w:hint="eastAsia"/>
        </w:rPr>
        <w:instrText xml:space="preserve"> </w:instrText>
      </w:r>
      <w:r>
        <w:instrText xml:space="preserve">PAGEREF _Toc237508441 \h</w:instrText>
      </w:r>
      <w:r>
        <w:rPr>
          <w:rFonts w:hint="eastAsia"/>
        </w:rPr>
        <w:instrText xml:space="preserve"> </w:instrText>
      </w:r>
      <w:r>
        <w:rPr>
          <w:rFonts w:hint="eastAsia"/>
        </w:rPr>
        <w:fldChar w:fldCharType="separate"/>
      </w:r>
      <w:r>
        <w:t>348</w:t>
      </w:r>
      <w:r>
        <w:rPr>
          <w:rFonts w:hint="eastAsia"/>
        </w:rPr>
        <w:fldChar w:fldCharType="end"/>
      </w:r>
      <w:r>
        <w:rPr>
          <w:rFonts w:hint="eastAsia"/>
        </w:rPr>
        <w:fldChar w:fldCharType="end"/>
      </w:r>
    </w:p>
    <w:p w14:paraId="61A0597F">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"_Toc237508449" </w:instrText>
      </w:r>
      <w:r>
        <w:fldChar w:fldCharType="separate"/>
      </w:r>
      <w:r>
        <w:rPr>
          <w:rStyle w:val="40"/>
          <w:rFonts w:ascii="Times New Roman" w:hAnsi="Times New Roman" w:cs="Times New Roman"/>
          <w:b/>
          <w:bCs/>
          <w:lang w:eastAsia="zh-CN"/>
        </w:rPr>
        <w:t>11.5 公众参与</w:t>
      </w:r>
      <w:r>
        <w:rPr>
          <w:rFonts w:hint="eastAsia"/>
        </w:rPr>
        <w:tab/>
      </w:r>
      <w:r>
        <w:rPr>
          <w:rFonts w:hint="eastAsia"/>
        </w:rPr>
        <w:fldChar w:fldCharType="begin"/>
      </w:r>
      <w:r>
        <w:rPr>
          <w:rFonts w:hint="eastAsia"/>
        </w:rPr>
        <w:instrText xml:space="preserve"> </w:instrText>
      </w:r>
      <w:r>
        <w:instrText xml:space="preserve">PAGEREF _Toc237508449 \h</w:instrText>
      </w:r>
      <w:r>
        <w:rPr>
          <w:rFonts w:hint="eastAsia"/>
        </w:rPr>
        <w:instrText xml:space="preserve"> </w:instrText>
      </w:r>
      <w:r>
        <w:rPr>
          <w:rFonts w:hint="eastAsia"/>
        </w:rPr>
        <w:fldChar w:fldCharType="separate"/>
      </w:r>
      <w:r>
        <w:t>351</w:t>
      </w:r>
      <w:r>
        <w:rPr>
          <w:rFonts w:hint="eastAsia"/>
        </w:rPr>
        <w:fldChar w:fldCharType="end"/>
      </w:r>
      <w:r>
        <w:rPr>
          <w:rFonts w:hint="eastAsia"/>
        </w:rPr>
        <w:fldChar w:fldCharType="end"/>
      </w:r>
    </w:p>
    <w:p w14:paraId="5F9659BE">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"_Toc237508450" </w:instrText>
      </w:r>
      <w:r>
        <w:fldChar w:fldCharType="separate"/>
      </w:r>
      <w:r>
        <w:rPr>
          <w:rStyle w:val="40"/>
          <w:rFonts w:ascii="Times New Roman" w:hAnsi="Times New Roman" w:cs="Times New Roman"/>
          <w:b/>
          <w:bCs/>
          <w:lang w:eastAsia="zh-CN"/>
        </w:rPr>
        <w:t>11.6 环境管理与监测计划</w:t>
      </w:r>
      <w:r>
        <w:rPr>
          <w:rFonts w:hint="eastAsia"/>
        </w:rPr>
        <w:tab/>
      </w:r>
      <w:r>
        <w:rPr>
          <w:rFonts w:hint="eastAsia"/>
        </w:rPr>
        <w:fldChar w:fldCharType="begin"/>
      </w:r>
      <w:r>
        <w:rPr>
          <w:rFonts w:hint="eastAsia"/>
        </w:rPr>
        <w:instrText xml:space="preserve"> </w:instrText>
      </w:r>
      <w:r>
        <w:instrText xml:space="preserve">PAGEREF _Toc237508450 \h</w:instrText>
      </w:r>
      <w:r>
        <w:rPr>
          <w:rFonts w:hint="eastAsia"/>
        </w:rPr>
        <w:instrText xml:space="preserve"> </w:instrText>
      </w:r>
      <w:r>
        <w:rPr>
          <w:rFonts w:hint="eastAsia"/>
        </w:rPr>
        <w:fldChar w:fldCharType="separate"/>
      </w:r>
      <w:r>
        <w:t>351</w:t>
      </w:r>
      <w:r>
        <w:rPr>
          <w:rFonts w:hint="eastAsia"/>
        </w:rPr>
        <w:fldChar w:fldCharType="end"/>
      </w:r>
      <w:r>
        <w:rPr>
          <w:rFonts w:hint="eastAsia"/>
        </w:rPr>
        <w:fldChar w:fldCharType="end"/>
      </w:r>
    </w:p>
    <w:p w14:paraId="25FDAA7D">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"_Toc237508451" </w:instrText>
      </w:r>
      <w:r>
        <w:fldChar w:fldCharType="separate"/>
      </w:r>
      <w:r>
        <w:rPr>
          <w:rStyle w:val="40"/>
          <w:rFonts w:ascii="Times New Roman" w:hAnsi="Times New Roman" w:cs="Times New Roman"/>
          <w:b/>
          <w:bCs/>
          <w:lang w:eastAsia="zh-CN"/>
        </w:rPr>
        <w:t>11.7 环境保护“三同时”措施</w:t>
      </w:r>
      <w:r>
        <w:rPr>
          <w:rFonts w:hint="eastAsia"/>
        </w:rPr>
        <w:tab/>
      </w:r>
      <w:r>
        <w:rPr>
          <w:rFonts w:hint="eastAsia"/>
        </w:rPr>
        <w:fldChar w:fldCharType="begin"/>
      </w:r>
      <w:r>
        <w:rPr>
          <w:rFonts w:hint="eastAsia"/>
        </w:rPr>
        <w:instrText xml:space="preserve"> </w:instrText>
      </w:r>
      <w:r>
        <w:instrText xml:space="preserve">PAGEREF _Toc237508451 \h</w:instrText>
      </w:r>
      <w:r>
        <w:rPr>
          <w:rFonts w:hint="eastAsia"/>
        </w:rPr>
        <w:instrText xml:space="preserve"> </w:instrText>
      </w:r>
      <w:r>
        <w:rPr>
          <w:rFonts w:hint="eastAsia"/>
        </w:rPr>
        <w:fldChar w:fldCharType="separate"/>
      </w:r>
      <w:r>
        <w:t>352</w:t>
      </w:r>
      <w:r>
        <w:rPr>
          <w:rFonts w:hint="eastAsia"/>
        </w:rPr>
        <w:fldChar w:fldCharType="end"/>
      </w:r>
      <w:r>
        <w:rPr>
          <w:rFonts w:hint="eastAsia"/>
        </w:rPr>
        <w:fldChar w:fldCharType="end"/>
      </w:r>
    </w:p>
    <w:p w14:paraId="0F82366F">
      <w:pPr>
        <w:pStyle w:val="28"/>
        <w:tabs>
          <w:tab w:val="right" w:leader="dot" w:pos="9736"/>
        </w:tabs>
        <w:ind w:left="480"/>
        <w:rPr>
          <w:rFonts w:hint="eastAsia" w:asciiTheme="minorHAnsi" w:hAnsiTheme="minorHAnsi" w:eastAsiaTheme="minorEastAsia" w:cstheme="minorBidi"/>
          <w:snapToGrid/>
          <w:color w:val="auto"/>
          <w:kern w:val="2"/>
          <w:sz w:val="22"/>
          <w:szCs w:val="24"/>
          <w:lang w:eastAsia="zh-CN"/>
          <w14:ligatures w14:val="standardContextual"/>
        </w:rPr>
      </w:pPr>
      <w:r>
        <w:fldChar w:fldCharType="begin"/>
      </w:r>
      <w:r>
        <w:instrText xml:space="preserve"> HYPERLINK \l "_Toc237508452" </w:instrText>
      </w:r>
      <w:r>
        <w:fldChar w:fldCharType="separate"/>
      </w:r>
      <w:r>
        <w:rPr>
          <w:rStyle w:val="40"/>
          <w:rFonts w:ascii="Times New Roman" w:hAnsi="Times New Roman" w:cs="Times New Roman"/>
          <w:b/>
          <w:bCs/>
          <w:lang w:eastAsia="zh-CN"/>
        </w:rPr>
        <w:t>11.8 综合评价结论</w:t>
      </w:r>
      <w:r>
        <w:rPr>
          <w:rFonts w:hint="eastAsia"/>
        </w:rPr>
        <w:tab/>
      </w:r>
      <w:r>
        <w:rPr>
          <w:rFonts w:hint="eastAsia"/>
        </w:rPr>
        <w:fldChar w:fldCharType="begin"/>
      </w:r>
      <w:r>
        <w:rPr>
          <w:rFonts w:hint="eastAsia"/>
        </w:rPr>
        <w:instrText xml:space="preserve"> </w:instrText>
      </w:r>
      <w:r>
        <w:instrText xml:space="preserve">PAGEREF _Toc237508452 \h</w:instrText>
      </w:r>
      <w:r>
        <w:rPr>
          <w:rFonts w:hint="eastAsia"/>
        </w:rPr>
        <w:instrText xml:space="preserve"> </w:instrText>
      </w:r>
      <w:r>
        <w:rPr>
          <w:rFonts w:hint="eastAsia"/>
        </w:rPr>
        <w:fldChar w:fldCharType="separate"/>
      </w:r>
      <w:r>
        <w:t>354</w:t>
      </w:r>
      <w:r>
        <w:rPr>
          <w:rFonts w:hint="eastAsia"/>
        </w:rPr>
        <w:fldChar w:fldCharType="end"/>
      </w:r>
      <w:r>
        <w:rPr>
          <w:rFonts w:hint="eastAsia"/>
        </w:rPr>
        <w:fldChar w:fldCharType="end"/>
      </w:r>
    </w:p>
    <w:p w14:paraId="353DFC11">
      <w:pPr>
        <w:spacing w:line="360" w:lineRule="auto"/>
        <w:ind w:firstLine="480"/>
        <w:jc w:val="both"/>
        <w:rPr>
          <w:rFonts w:ascii="Times New Roman" w:hAnsi="Times New Roman" w:cs="Times New Roman"/>
          <w:bCs/>
          <w:color w:val="auto"/>
          <w:szCs w:val="24"/>
          <w:lang w:eastAsia="zh-CN"/>
        </w:rPr>
        <w:sectPr>
          <w:headerReference r:id="rId7" w:type="first"/>
          <w:headerReference r:id="rId5" w:type="default"/>
          <w:footerReference r:id="rId8" w:type="default"/>
          <w:headerReference r:id="rId6" w:type="even"/>
          <w:pgSz w:w="11906" w:h="16838"/>
          <w:pgMar w:top="1440" w:right="1080" w:bottom="1440" w:left="1080" w:header="851" w:footer="992" w:gutter="0"/>
          <w:pgNumType w:start="1"/>
          <w:cols w:space="720" w:num="1"/>
          <w:docGrid w:type="lines" w:linePitch="312" w:charSpace="0"/>
        </w:sectPr>
      </w:pPr>
      <w:r>
        <w:rPr>
          <w:rFonts w:ascii="Times New Roman" w:hAnsi="Times New Roman" w:cs="Times New Roman"/>
          <w:bCs/>
          <w:color w:val="auto"/>
          <w:szCs w:val="24"/>
          <w:lang w:eastAsia="zh-CN"/>
        </w:rPr>
        <w:fldChar w:fldCharType="end"/>
      </w:r>
    </w:p>
    <w:p w14:paraId="25FBF40A">
      <w:pPr>
        <w:spacing w:line="360" w:lineRule="auto"/>
        <w:ind w:firstLine="482" w:firstLineChars="200"/>
        <w:jc w:val="both"/>
        <w:rPr>
          <w:rFonts w:ascii="Times New Roman" w:hAnsi="Times New Roman" w:eastAsia="新宋体" w:cs="Times New Roman"/>
          <w:b/>
          <w:color w:val="000000" w:themeColor="text1"/>
          <w:szCs w:val="24"/>
          <w:lang w:eastAsia="zh-CN"/>
          <w14:textFill>
            <w14:solidFill>
              <w14:schemeClr w14:val="tx1"/>
            </w14:solidFill>
          </w14:textFill>
        </w:rPr>
      </w:pPr>
      <w:r>
        <w:rPr>
          <w:rFonts w:ascii="Times New Roman" w:hAnsi="Times New Roman" w:eastAsia="新宋体" w:cs="Times New Roman"/>
          <w:b/>
          <w:color w:val="000000" w:themeColor="text1"/>
          <w:szCs w:val="24"/>
          <w:lang w:eastAsia="zh-CN"/>
          <w14:textFill>
            <w14:solidFill>
              <w14:schemeClr w14:val="tx1"/>
            </w14:solidFill>
          </w14:textFill>
        </w:rPr>
        <w:t>附图：</w:t>
      </w:r>
    </w:p>
    <w:p w14:paraId="4DCDF1A2">
      <w:pPr>
        <w:spacing w:line="360" w:lineRule="auto"/>
        <w:ind w:firstLine="1200" w:firstLineChars="500"/>
        <w:jc w:val="both"/>
        <w:rPr>
          <w:rFonts w:ascii="Times New Roman" w:hAnsi="Times New Roman" w:eastAsia="新宋体" w:cs="Times New Roman"/>
          <w:bCs/>
          <w:color w:val="000000" w:themeColor="text1"/>
          <w:szCs w:val="24"/>
          <w:lang w:eastAsia="zh-CN"/>
          <w14:textFill>
            <w14:solidFill>
              <w14:schemeClr w14:val="tx1"/>
            </w14:solidFill>
          </w14:textFill>
        </w:rPr>
      </w:pPr>
      <w:r>
        <w:rPr>
          <w:rFonts w:ascii="Times New Roman" w:hAnsi="Times New Roman" w:eastAsia="新宋体" w:cs="Times New Roman"/>
          <w:bCs/>
          <w:color w:val="000000" w:themeColor="text1"/>
          <w:szCs w:val="24"/>
          <w:lang w:eastAsia="zh-CN"/>
          <w14:textFill>
            <w14:solidFill>
              <w14:schemeClr w14:val="tx1"/>
            </w14:solidFill>
          </w14:textFill>
        </w:rPr>
        <w:t>附图1 项目地理位置图；</w:t>
      </w:r>
    </w:p>
    <w:p w14:paraId="363A6B9D">
      <w:pPr>
        <w:spacing w:line="360" w:lineRule="auto"/>
        <w:ind w:firstLine="482" w:firstLineChars="200"/>
        <w:jc w:val="both"/>
        <w:rPr>
          <w:rFonts w:ascii="Times New Roman" w:hAnsi="Times New Roman" w:eastAsia="新宋体" w:cs="Times New Roman"/>
          <w:b/>
          <w:color w:val="000000" w:themeColor="text1"/>
          <w:szCs w:val="24"/>
          <w:lang w:eastAsia="zh-CN"/>
          <w14:textFill>
            <w14:solidFill>
              <w14:schemeClr w14:val="tx1"/>
            </w14:solidFill>
          </w14:textFill>
        </w:rPr>
      </w:pPr>
      <w:r>
        <w:rPr>
          <w:rFonts w:ascii="Times New Roman" w:hAnsi="Times New Roman" w:eastAsia="新宋体" w:cs="Times New Roman"/>
          <w:b/>
          <w:color w:val="000000" w:themeColor="text1"/>
          <w:szCs w:val="24"/>
          <w:lang w:eastAsia="zh-CN"/>
          <w14:textFill>
            <w14:solidFill>
              <w14:schemeClr w14:val="tx1"/>
            </w14:solidFill>
          </w14:textFill>
        </w:rPr>
        <w:t>附件：</w:t>
      </w:r>
    </w:p>
    <w:p w14:paraId="7A3F2A97">
      <w:pPr>
        <w:adjustRightInd w:val="0"/>
        <w:snapToGrid w:val="0"/>
        <w:spacing w:line="360" w:lineRule="auto"/>
        <w:ind w:firstLine="1200" w:firstLineChars="500"/>
        <w:jc w:val="both"/>
        <w:rPr>
          <w:rFonts w:ascii="Times New Roman" w:hAnsi="Times New Roman" w:eastAsia="新宋体" w:cs="Times New Roman"/>
          <w:bCs/>
          <w:color w:val="000000" w:themeColor="text1"/>
          <w:szCs w:val="24"/>
          <w:lang w:eastAsia="zh-CN"/>
          <w14:textFill>
            <w14:solidFill>
              <w14:schemeClr w14:val="tx1"/>
            </w14:solidFill>
          </w14:textFill>
        </w:rPr>
      </w:pPr>
      <w:r>
        <w:rPr>
          <w:rFonts w:ascii="Times New Roman" w:hAnsi="Times New Roman" w:eastAsia="新宋体" w:cs="Times New Roman"/>
          <w:bCs/>
          <w:color w:val="000000" w:themeColor="text1"/>
          <w:szCs w:val="24"/>
          <w:lang w:eastAsia="zh-CN"/>
          <w14:textFill>
            <w14:solidFill>
              <w14:schemeClr w14:val="tx1"/>
            </w14:solidFill>
          </w14:textFill>
        </w:rPr>
        <w:t>附件1 环评委托书；</w:t>
      </w:r>
    </w:p>
    <w:p w14:paraId="6451EAC6">
      <w:pPr>
        <w:adjustRightInd w:val="0"/>
        <w:snapToGrid w:val="0"/>
        <w:spacing w:line="360" w:lineRule="auto"/>
        <w:ind w:firstLine="1200" w:firstLineChars="500"/>
        <w:jc w:val="both"/>
        <w:rPr>
          <w:rFonts w:ascii="Times New Roman" w:hAnsi="Times New Roman" w:eastAsia="新宋体" w:cs="Times New Roman"/>
          <w:bCs/>
          <w:color w:val="000000" w:themeColor="text1"/>
          <w:szCs w:val="24"/>
          <w:lang w:eastAsia="zh-CN"/>
          <w14:textFill>
            <w14:solidFill>
              <w14:schemeClr w14:val="tx1"/>
            </w14:solidFill>
          </w14:textFill>
        </w:rPr>
      </w:pPr>
      <w:r>
        <w:rPr>
          <w:rFonts w:ascii="Times New Roman" w:hAnsi="Times New Roman" w:eastAsia="新宋体" w:cs="Times New Roman"/>
          <w:bCs/>
          <w:color w:val="000000" w:themeColor="text1"/>
          <w:szCs w:val="24"/>
          <w:lang w:eastAsia="zh-CN"/>
          <w14:textFill>
            <w14:solidFill>
              <w14:schemeClr w14:val="tx1"/>
            </w14:solidFill>
          </w14:textFill>
        </w:rPr>
        <w:t xml:space="preserve">附件2 </w:t>
      </w:r>
      <w:r>
        <w:rPr>
          <w:rFonts w:hint="eastAsia" w:ascii="Times New Roman" w:hAnsi="Times New Roman" w:eastAsia="新宋体" w:cs="Times New Roman"/>
          <w:bCs/>
          <w:color w:val="000000" w:themeColor="text1"/>
          <w:szCs w:val="24"/>
          <w:lang w:eastAsia="zh-CN"/>
          <w14:textFill>
            <w14:solidFill>
              <w14:schemeClr w14:val="tx1"/>
            </w14:solidFill>
          </w14:textFill>
        </w:rPr>
        <w:t>声明确认单</w:t>
      </w:r>
      <w:r>
        <w:rPr>
          <w:rFonts w:ascii="Times New Roman" w:hAnsi="Times New Roman" w:eastAsia="新宋体" w:cs="Times New Roman"/>
          <w:bCs/>
          <w:color w:val="000000" w:themeColor="text1"/>
          <w:szCs w:val="24"/>
          <w:lang w:eastAsia="zh-CN"/>
          <w14:textFill>
            <w14:solidFill>
              <w14:schemeClr w14:val="tx1"/>
            </w14:solidFill>
          </w14:textFill>
        </w:rPr>
        <w:t>；</w:t>
      </w:r>
    </w:p>
    <w:p w14:paraId="35A89AF4">
      <w:pPr>
        <w:adjustRightInd w:val="0"/>
        <w:snapToGrid w:val="0"/>
        <w:spacing w:line="360" w:lineRule="auto"/>
        <w:ind w:firstLine="1200" w:firstLineChars="500"/>
        <w:jc w:val="both"/>
        <w:rPr>
          <w:rFonts w:ascii="Times New Roman" w:hAnsi="Times New Roman" w:eastAsia="新宋体" w:cs="Times New Roman"/>
          <w:bCs/>
          <w:color w:val="000000" w:themeColor="text1"/>
          <w:szCs w:val="24"/>
          <w:lang w:eastAsia="zh-CN"/>
          <w14:textFill>
            <w14:solidFill>
              <w14:schemeClr w14:val="tx1"/>
            </w14:solidFill>
          </w14:textFill>
        </w:rPr>
      </w:pPr>
      <w:r>
        <w:rPr>
          <w:rFonts w:ascii="Times New Roman" w:hAnsi="Times New Roman" w:eastAsia="新宋体" w:cs="Times New Roman"/>
          <w:bCs/>
          <w:color w:val="000000" w:themeColor="text1"/>
          <w:szCs w:val="24"/>
          <w:lang w:eastAsia="zh-CN"/>
          <w14:textFill>
            <w14:solidFill>
              <w14:schemeClr w14:val="tx1"/>
            </w14:solidFill>
          </w14:textFill>
        </w:rPr>
        <w:t>附件3</w:t>
      </w:r>
      <w:r>
        <w:rPr>
          <w:rFonts w:hint="eastAsia" w:ascii="Times New Roman" w:hAnsi="Times New Roman" w:eastAsia="新宋体" w:cs="Times New Roman"/>
          <w:bCs/>
          <w:color w:val="000000" w:themeColor="text1"/>
          <w:szCs w:val="24"/>
          <w:lang w:eastAsia="zh-CN"/>
          <w14:textFill>
            <w14:solidFill>
              <w14:schemeClr w14:val="tx1"/>
            </w14:solidFill>
          </w14:textFill>
        </w:rPr>
        <w:t xml:space="preserve"> 项目备案表</w:t>
      </w:r>
      <w:r>
        <w:rPr>
          <w:rFonts w:ascii="Times New Roman" w:hAnsi="Times New Roman" w:eastAsia="新宋体" w:cs="Times New Roman"/>
          <w:bCs/>
          <w:color w:val="000000" w:themeColor="text1"/>
          <w:szCs w:val="24"/>
          <w:lang w:eastAsia="zh-CN"/>
          <w14:textFill>
            <w14:solidFill>
              <w14:schemeClr w14:val="tx1"/>
            </w14:solidFill>
          </w14:textFill>
        </w:rPr>
        <w:t>；</w:t>
      </w:r>
    </w:p>
    <w:p w14:paraId="204D4122">
      <w:pPr>
        <w:adjustRightInd w:val="0"/>
        <w:snapToGrid w:val="0"/>
        <w:spacing w:line="360" w:lineRule="auto"/>
        <w:ind w:firstLine="1200" w:firstLineChars="500"/>
        <w:jc w:val="both"/>
        <w:rPr>
          <w:rFonts w:ascii="Times New Roman" w:hAnsi="Times New Roman" w:eastAsia="新宋体" w:cs="Times New Roman"/>
          <w:bCs/>
          <w:color w:val="000000" w:themeColor="text1"/>
          <w:szCs w:val="24"/>
          <w:lang w:eastAsia="zh-CN"/>
          <w14:textFill>
            <w14:solidFill>
              <w14:schemeClr w14:val="tx1"/>
            </w14:solidFill>
          </w14:textFill>
        </w:rPr>
      </w:pPr>
      <w:r>
        <w:rPr>
          <w:rFonts w:ascii="Times New Roman" w:hAnsi="Times New Roman" w:eastAsia="新宋体" w:cs="Times New Roman"/>
          <w:bCs/>
          <w:color w:val="000000" w:themeColor="text1"/>
          <w:szCs w:val="24"/>
          <w:lang w:eastAsia="zh-CN"/>
          <w14:textFill>
            <w14:solidFill>
              <w14:schemeClr w14:val="tx1"/>
            </w14:solidFill>
          </w14:textFill>
        </w:rPr>
        <w:t xml:space="preserve">附件4 </w:t>
      </w:r>
      <w:r>
        <w:rPr>
          <w:rFonts w:hint="eastAsia" w:ascii="Times New Roman" w:hAnsi="Times New Roman" w:eastAsia="新宋体" w:cs="Times New Roman"/>
          <w:bCs/>
          <w:color w:val="000000" w:themeColor="text1"/>
          <w:szCs w:val="24"/>
          <w:lang w:eastAsia="zh-CN"/>
          <w14:textFill>
            <w14:solidFill>
              <w14:schemeClr w14:val="tx1"/>
            </w14:solidFill>
          </w14:textFill>
        </w:rPr>
        <w:t>园区</w:t>
      </w:r>
      <w:r>
        <w:rPr>
          <w:rFonts w:ascii="Times New Roman" w:hAnsi="Times New Roman" w:eastAsia="新宋体" w:cs="Times New Roman"/>
          <w:bCs/>
          <w:color w:val="000000" w:themeColor="text1"/>
          <w:szCs w:val="24"/>
          <w:lang w:eastAsia="zh-CN"/>
          <w14:textFill>
            <w14:solidFill>
              <w14:schemeClr w14:val="tx1"/>
            </w14:solidFill>
          </w14:textFill>
        </w:rPr>
        <w:t>规划环评审查意见；</w:t>
      </w:r>
    </w:p>
    <w:p w14:paraId="4EC87B8F">
      <w:pPr>
        <w:adjustRightInd w:val="0"/>
        <w:snapToGrid w:val="0"/>
        <w:spacing w:line="360" w:lineRule="auto"/>
        <w:ind w:firstLine="1200" w:firstLineChars="500"/>
        <w:jc w:val="both"/>
        <w:rPr>
          <w:rFonts w:ascii="Times New Roman" w:hAnsi="Times New Roman" w:eastAsia="新宋体" w:cs="Times New Roman"/>
          <w:bCs/>
          <w:color w:val="000000" w:themeColor="text1"/>
          <w:szCs w:val="24"/>
          <w:lang w:eastAsia="zh-CN"/>
          <w14:textFill>
            <w14:solidFill>
              <w14:schemeClr w14:val="tx1"/>
            </w14:solidFill>
          </w14:textFill>
        </w:rPr>
      </w:pPr>
      <w:r>
        <w:rPr>
          <w:rFonts w:ascii="Times New Roman" w:hAnsi="Times New Roman" w:eastAsia="新宋体" w:cs="Times New Roman"/>
          <w:bCs/>
          <w:color w:val="000000" w:themeColor="text1"/>
          <w:szCs w:val="24"/>
          <w:lang w:eastAsia="zh-CN"/>
          <w14:textFill>
            <w14:solidFill>
              <w14:schemeClr w14:val="tx1"/>
            </w14:solidFill>
          </w14:textFill>
        </w:rPr>
        <w:t>附件5</w:t>
      </w:r>
      <w:r>
        <w:rPr>
          <w:rFonts w:hint="eastAsia" w:ascii="Times New Roman" w:hAnsi="Times New Roman" w:eastAsia="新宋体" w:cs="Times New Roman"/>
          <w:bCs/>
          <w:color w:val="000000" w:themeColor="text1"/>
          <w:szCs w:val="24"/>
          <w:lang w:eastAsia="zh-CN"/>
          <w14:textFill>
            <w14:solidFill>
              <w14:schemeClr w14:val="tx1"/>
            </w14:solidFill>
          </w14:textFill>
        </w:rPr>
        <w:t>-1 现有工程环评批复</w:t>
      </w:r>
      <w:r>
        <w:rPr>
          <w:rFonts w:ascii="Times New Roman" w:hAnsi="Times New Roman" w:eastAsia="新宋体" w:cs="Times New Roman"/>
          <w:bCs/>
          <w:color w:val="000000" w:themeColor="text1"/>
          <w:szCs w:val="24"/>
          <w:lang w:eastAsia="zh-CN"/>
          <w14:textFill>
            <w14:solidFill>
              <w14:schemeClr w14:val="tx1"/>
            </w14:solidFill>
          </w14:textFill>
        </w:rPr>
        <w:t>；</w:t>
      </w:r>
    </w:p>
    <w:p w14:paraId="7C38FE5A">
      <w:pPr>
        <w:adjustRightInd w:val="0"/>
        <w:snapToGrid w:val="0"/>
        <w:spacing w:line="360" w:lineRule="auto"/>
        <w:ind w:firstLine="1200" w:firstLineChars="500"/>
        <w:jc w:val="both"/>
        <w:rPr>
          <w:rFonts w:ascii="Times New Roman" w:hAnsi="Times New Roman" w:eastAsia="新宋体" w:cs="Times New Roman"/>
          <w:bCs/>
          <w:color w:val="000000" w:themeColor="text1"/>
          <w:szCs w:val="24"/>
          <w:lang w:eastAsia="zh-CN"/>
          <w14:textFill>
            <w14:solidFill>
              <w14:schemeClr w14:val="tx1"/>
            </w14:solidFill>
          </w14:textFill>
        </w:rPr>
      </w:pPr>
      <w:r>
        <w:rPr>
          <w:rFonts w:ascii="Times New Roman" w:hAnsi="Times New Roman" w:eastAsia="新宋体" w:cs="Times New Roman"/>
          <w:bCs/>
          <w:color w:val="000000" w:themeColor="text1"/>
          <w:szCs w:val="24"/>
          <w:lang w:eastAsia="zh-CN"/>
          <w14:textFill>
            <w14:solidFill>
              <w14:schemeClr w14:val="tx1"/>
            </w14:solidFill>
          </w14:textFill>
        </w:rPr>
        <w:t>附件5</w:t>
      </w:r>
      <w:r>
        <w:rPr>
          <w:rFonts w:hint="eastAsia" w:ascii="Times New Roman" w:hAnsi="Times New Roman" w:eastAsia="新宋体" w:cs="Times New Roman"/>
          <w:bCs/>
          <w:color w:val="000000" w:themeColor="text1"/>
          <w:szCs w:val="24"/>
          <w:lang w:eastAsia="zh-CN"/>
          <w14:textFill>
            <w14:solidFill>
              <w14:schemeClr w14:val="tx1"/>
            </w14:solidFill>
          </w14:textFill>
        </w:rPr>
        <w:t>-2 现有工程验收意见</w:t>
      </w:r>
      <w:r>
        <w:rPr>
          <w:rFonts w:ascii="Times New Roman" w:hAnsi="Times New Roman" w:eastAsia="新宋体" w:cs="Times New Roman"/>
          <w:bCs/>
          <w:color w:val="000000" w:themeColor="text1"/>
          <w:szCs w:val="24"/>
          <w:lang w:eastAsia="zh-CN"/>
          <w14:textFill>
            <w14:solidFill>
              <w14:schemeClr w14:val="tx1"/>
            </w14:solidFill>
          </w14:textFill>
        </w:rPr>
        <w:t>；</w:t>
      </w:r>
    </w:p>
    <w:p w14:paraId="013F3A83">
      <w:pPr>
        <w:adjustRightInd w:val="0"/>
        <w:snapToGrid w:val="0"/>
        <w:spacing w:line="360" w:lineRule="auto"/>
        <w:ind w:firstLine="1200" w:firstLineChars="500"/>
        <w:jc w:val="both"/>
        <w:rPr>
          <w:rFonts w:ascii="Times New Roman" w:hAnsi="Times New Roman" w:eastAsia="新宋体" w:cs="Times New Roman"/>
          <w:bCs/>
          <w:color w:val="000000" w:themeColor="text1"/>
          <w:szCs w:val="24"/>
          <w:lang w:eastAsia="zh-CN"/>
          <w14:textFill>
            <w14:solidFill>
              <w14:schemeClr w14:val="tx1"/>
            </w14:solidFill>
          </w14:textFill>
        </w:rPr>
      </w:pPr>
      <w:r>
        <w:rPr>
          <w:rFonts w:ascii="Times New Roman" w:hAnsi="Times New Roman" w:eastAsia="新宋体" w:cs="Times New Roman"/>
          <w:bCs/>
          <w:color w:val="000000" w:themeColor="text1"/>
          <w:szCs w:val="24"/>
          <w:lang w:eastAsia="zh-CN"/>
          <w14:textFill>
            <w14:solidFill>
              <w14:schemeClr w14:val="tx1"/>
            </w14:solidFill>
          </w14:textFill>
        </w:rPr>
        <w:t>附件</w:t>
      </w:r>
      <w:r>
        <w:rPr>
          <w:rFonts w:hint="eastAsia" w:ascii="Times New Roman" w:hAnsi="Times New Roman" w:eastAsia="新宋体" w:cs="Times New Roman"/>
          <w:bCs/>
          <w:color w:val="000000" w:themeColor="text1"/>
          <w:szCs w:val="24"/>
          <w:lang w:eastAsia="zh-CN"/>
          <w14:textFill>
            <w14:solidFill>
              <w14:schemeClr w14:val="tx1"/>
            </w14:solidFill>
          </w14:textFill>
        </w:rPr>
        <w:t>5</w:t>
      </w:r>
      <w:r>
        <w:rPr>
          <w:rFonts w:ascii="Times New Roman" w:hAnsi="Times New Roman" w:eastAsia="新宋体" w:cs="Times New Roman"/>
          <w:bCs/>
          <w:color w:val="000000" w:themeColor="text1"/>
          <w:szCs w:val="24"/>
          <w:lang w:eastAsia="zh-CN"/>
          <w14:textFill>
            <w14:solidFill>
              <w14:schemeClr w14:val="tx1"/>
            </w14:solidFill>
          </w14:textFill>
        </w:rPr>
        <w:t>-</w:t>
      </w:r>
      <w:r>
        <w:rPr>
          <w:rFonts w:hint="eastAsia" w:ascii="Times New Roman" w:hAnsi="Times New Roman" w:eastAsia="新宋体" w:cs="Times New Roman"/>
          <w:bCs/>
          <w:color w:val="000000" w:themeColor="text1"/>
          <w:szCs w:val="24"/>
          <w:lang w:eastAsia="zh-CN"/>
          <w14:textFill>
            <w14:solidFill>
              <w14:schemeClr w14:val="tx1"/>
            </w14:solidFill>
          </w14:textFill>
        </w:rPr>
        <w:t>3</w:t>
      </w:r>
      <w:r>
        <w:rPr>
          <w:rFonts w:ascii="Times New Roman" w:hAnsi="Times New Roman" w:eastAsia="新宋体" w:cs="Times New Roman"/>
          <w:bCs/>
          <w:color w:val="000000" w:themeColor="text1"/>
          <w:szCs w:val="24"/>
          <w:lang w:eastAsia="zh-CN"/>
          <w14:textFill>
            <w14:solidFill>
              <w14:schemeClr w14:val="tx1"/>
            </w14:solidFill>
          </w14:textFill>
        </w:rPr>
        <w:t xml:space="preserve"> </w:t>
      </w:r>
      <w:r>
        <w:rPr>
          <w:rFonts w:hint="eastAsia" w:ascii="Times New Roman" w:hAnsi="Times New Roman" w:eastAsia="新宋体" w:cs="Times New Roman"/>
          <w:bCs/>
          <w:color w:val="000000" w:themeColor="text1"/>
          <w:szCs w:val="24"/>
          <w:lang w:eastAsia="zh-CN"/>
          <w14:textFill>
            <w14:solidFill>
              <w14:schemeClr w14:val="tx1"/>
            </w14:solidFill>
          </w14:textFill>
        </w:rPr>
        <w:t>排污许可证</w:t>
      </w:r>
      <w:r>
        <w:rPr>
          <w:rFonts w:ascii="Times New Roman" w:hAnsi="Times New Roman" w:eastAsia="新宋体" w:cs="Times New Roman"/>
          <w:bCs/>
          <w:color w:val="000000" w:themeColor="text1"/>
          <w:szCs w:val="24"/>
          <w:lang w:eastAsia="zh-CN"/>
          <w14:textFill>
            <w14:solidFill>
              <w14:schemeClr w14:val="tx1"/>
            </w14:solidFill>
          </w14:textFill>
        </w:rPr>
        <w:t>；</w:t>
      </w:r>
    </w:p>
    <w:p w14:paraId="71B461E5">
      <w:pPr>
        <w:adjustRightInd w:val="0"/>
        <w:snapToGrid w:val="0"/>
        <w:spacing w:line="360" w:lineRule="auto"/>
        <w:ind w:firstLine="1200" w:firstLineChars="500"/>
        <w:jc w:val="both"/>
        <w:rPr>
          <w:rFonts w:ascii="Times New Roman" w:hAnsi="Times New Roman" w:eastAsia="新宋体" w:cs="Times New Roman"/>
          <w:bCs/>
          <w:color w:val="000000" w:themeColor="text1"/>
          <w:szCs w:val="24"/>
          <w:lang w:eastAsia="zh-CN"/>
          <w14:textFill>
            <w14:solidFill>
              <w14:schemeClr w14:val="tx1"/>
            </w14:solidFill>
          </w14:textFill>
        </w:rPr>
      </w:pPr>
      <w:r>
        <w:rPr>
          <w:rFonts w:ascii="Times New Roman" w:hAnsi="Times New Roman" w:eastAsia="新宋体" w:cs="Times New Roman"/>
          <w:bCs/>
          <w:color w:val="000000" w:themeColor="text1"/>
          <w:szCs w:val="24"/>
          <w:lang w:eastAsia="zh-CN"/>
          <w14:textFill>
            <w14:solidFill>
              <w14:schemeClr w14:val="tx1"/>
            </w14:solidFill>
          </w14:textFill>
        </w:rPr>
        <w:t>附件</w:t>
      </w:r>
      <w:r>
        <w:rPr>
          <w:rFonts w:hint="eastAsia" w:ascii="Times New Roman" w:hAnsi="Times New Roman" w:eastAsia="新宋体" w:cs="Times New Roman"/>
          <w:bCs/>
          <w:color w:val="000000" w:themeColor="text1"/>
          <w:szCs w:val="24"/>
          <w:lang w:eastAsia="zh-CN"/>
          <w14:textFill>
            <w14:solidFill>
              <w14:schemeClr w14:val="tx1"/>
            </w14:solidFill>
          </w14:textFill>
        </w:rPr>
        <w:t>5</w:t>
      </w:r>
      <w:r>
        <w:rPr>
          <w:rFonts w:ascii="Times New Roman" w:hAnsi="Times New Roman" w:eastAsia="新宋体" w:cs="Times New Roman"/>
          <w:bCs/>
          <w:color w:val="000000" w:themeColor="text1"/>
          <w:szCs w:val="24"/>
          <w:lang w:eastAsia="zh-CN"/>
          <w14:textFill>
            <w14:solidFill>
              <w14:schemeClr w14:val="tx1"/>
            </w14:solidFill>
          </w14:textFill>
        </w:rPr>
        <w:t>-</w:t>
      </w:r>
      <w:r>
        <w:rPr>
          <w:rFonts w:hint="eastAsia" w:ascii="Times New Roman" w:hAnsi="Times New Roman" w:eastAsia="新宋体" w:cs="Times New Roman"/>
          <w:bCs/>
          <w:color w:val="000000" w:themeColor="text1"/>
          <w:szCs w:val="24"/>
          <w:lang w:eastAsia="zh-CN"/>
          <w14:textFill>
            <w14:solidFill>
              <w14:schemeClr w14:val="tx1"/>
            </w14:solidFill>
          </w14:textFill>
        </w:rPr>
        <w:t>4</w:t>
      </w:r>
      <w:r>
        <w:rPr>
          <w:rFonts w:ascii="Times New Roman" w:hAnsi="Times New Roman" w:eastAsia="新宋体" w:cs="Times New Roman"/>
          <w:bCs/>
          <w:color w:val="000000" w:themeColor="text1"/>
          <w:szCs w:val="24"/>
          <w:lang w:eastAsia="zh-CN"/>
          <w14:textFill>
            <w14:solidFill>
              <w14:schemeClr w14:val="tx1"/>
            </w14:solidFill>
          </w14:textFill>
        </w:rPr>
        <w:t xml:space="preserve"> </w:t>
      </w:r>
      <w:r>
        <w:rPr>
          <w:rFonts w:hint="eastAsia" w:ascii="Times New Roman" w:hAnsi="Times New Roman" w:eastAsia="新宋体" w:cs="Times New Roman"/>
          <w:bCs/>
          <w:color w:val="000000" w:themeColor="text1"/>
          <w:szCs w:val="24"/>
          <w:lang w:eastAsia="zh-CN"/>
          <w14:textFill>
            <w14:solidFill>
              <w14:schemeClr w14:val="tx1"/>
            </w14:solidFill>
          </w14:textFill>
        </w:rPr>
        <w:t>应急预案备案表</w:t>
      </w:r>
      <w:r>
        <w:rPr>
          <w:rFonts w:ascii="Times New Roman" w:hAnsi="Times New Roman" w:eastAsia="新宋体" w:cs="Times New Roman"/>
          <w:bCs/>
          <w:color w:val="000000" w:themeColor="text1"/>
          <w:szCs w:val="24"/>
          <w:lang w:eastAsia="zh-CN"/>
          <w14:textFill>
            <w14:solidFill>
              <w14:schemeClr w14:val="tx1"/>
            </w14:solidFill>
          </w14:textFill>
        </w:rPr>
        <w:t>；</w:t>
      </w:r>
    </w:p>
    <w:p w14:paraId="301C71C6">
      <w:pPr>
        <w:adjustRightInd w:val="0"/>
        <w:snapToGrid w:val="0"/>
        <w:spacing w:line="360" w:lineRule="auto"/>
        <w:ind w:firstLine="1200" w:firstLineChars="500"/>
        <w:jc w:val="both"/>
        <w:rPr>
          <w:rFonts w:ascii="Times New Roman" w:hAnsi="Times New Roman" w:eastAsia="新宋体" w:cs="Times New Roman"/>
          <w:bCs/>
          <w:color w:val="000000" w:themeColor="text1"/>
          <w:szCs w:val="24"/>
          <w:lang w:eastAsia="zh-CN"/>
          <w14:textFill>
            <w14:solidFill>
              <w14:schemeClr w14:val="tx1"/>
            </w14:solidFill>
          </w14:textFill>
        </w:rPr>
      </w:pPr>
      <w:r>
        <w:rPr>
          <w:rFonts w:ascii="Times New Roman" w:hAnsi="Times New Roman" w:eastAsia="新宋体" w:cs="Times New Roman"/>
          <w:bCs/>
          <w:color w:val="000000" w:themeColor="text1"/>
          <w:szCs w:val="24"/>
          <w:lang w:eastAsia="zh-CN"/>
          <w14:textFill>
            <w14:solidFill>
              <w14:schemeClr w14:val="tx1"/>
            </w14:solidFill>
          </w14:textFill>
        </w:rPr>
        <w:t>附件</w:t>
      </w:r>
      <w:r>
        <w:rPr>
          <w:rFonts w:hint="eastAsia" w:ascii="Times New Roman" w:hAnsi="Times New Roman" w:eastAsia="新宋体" w:cs="Times New Roman"/>
          <w:bCs/>
          <w:color w:val="000000" w:themeColor="text1"/>
          <w:szCs w:val="24"/>
          <w:lang w:eastAsia="zh-CN"/>
          <w14:textFill>
            <w14:solidFill>
              <w14:schemeClr w14:val="tx1"/>
            </w14:solidFill>
          </w14:textFill>
        </w:rPr>
        <w:t>5</w:t>
      </w:r>
      <w:r>
        <w:rPr>
          <w:rFonts w:ascii="Times New Roman" w:hAnsi="Times New Roman" w:eastAsia="新宋体" w:cs="Times New Roman"/>
          <w:bCs/>
          <w:color w:val="000000" w:themeColor="text1"/>
          <w:szCs w:val="24"/>
          <w:lang w:eastAsia="zh-CN"/>
          <w14:textFill>
            <w14:solidFill>
              <w14:schemeClr w14:val="tx1"/>
            </w14:solidFill>
          </w14:textFill>
        </w:rPr>
        <w:t>-</w:t>
      </w:r>
      <w:r>
        <w:rPr>
          <w:rFonts w:hint="eastAsia" w:ascii="Times New Roman" w:hAnsi="Times New Roman" w:eastAsia="新宋体" w:cs="Times New Roman"/>
          <w:bCs/>
          <w:color w:val="000000" w:themeColor="text1"/>
          <w:szCs w:val="24"/>
          <w:lang w:eastAsia="zh-CN"/>
          <w14:textFill>
            <w14:solidFill>
              <w14:schemeClr w14:val="tx1"/>
            </w14:solidFill>
          </w14:textFill>
        </w:rPr>
        <w:t>5</w:t>
      </w:r>
      <w:r>
        <w:rPr>
          <w:rFonts w:ascii="Times New Roman" w:hAnsi="Times New Roman" w:eastAsia="新宋体" w:cs="Times New Roman"/>
          <w:bCs/>
          <w:color w:val="000000" w:themeColor="text1"/>
          <w:szCs w:val="24"/>
          <w:lang w:eastAsia="zh-CN"/>
          <w14:textFill>
            <w14:solidFill>
              <w14:schemeClr w14:val="tx1"/>
            </w14:solidFill>
          </w14:textFill>
        </w:rPr>
        <w:t xml:space="preserve"> </w:t>
      </w:r>
      <w:r>
        <w:rPr>
          <w:rFonts w:hint="eastAsia" w:ascii="Times New Roman" w:hAnsi="Times New Roman" w:eastAsia="新宋体" w:cs="Times New Roman"/>
          <w:bCs/>
          <w:color w:val="000000" w:themeColor="text1"/>
          <w:szCs w:val="24"/>
          <w:lang w:eastAsia="zh-CN"/>
          <w14:textFill>
            <w14:solidFill>
              <w14:schemeClr w14:val="tx1"/>
            </w14:solidFill>
          </w14:textFill>
        </w:rPr>
        <w:t>危废处置合同</w:t>
      </w:r>
      <w:r>
        <w:rPr>
          <w:rFonts w:ascii="Times New Roman" w:hAnsi="Times New Roman" w:eastAsia="新宋体" w:cs="Times New Roman"/>
          <w:bCs/>
          <w:color w:val="000000" w:themeColor="text1"/>
          <w:szCs w:val="24"/>
          <w:lang w:eastAsia="zh-CN"/>
          <w14:textFill>
            <w14:solidFill>
              <w14:schemeClr w14:val="tx1"/>
            </w14:solidFill>
          </w14:textFill>
        </w:rPr>
        <w:t>；</w:t>
      </w:r>
    </w:p>
    <w:p w14:paraId="02DAC07E">
      <w:pPr>
        <w:adjustRightInd w:val="0"/>
        <w:snapToGrid w:val="0"/>
        <w:spacing w:line="360" w:lineRule="auto"/>
        <w:ind w:firstLine="1200" w:firstLineChars="500"/>
        <w:jc w:val="both"/>
        <w:rPr>
          <w:rFonts w:ascii="Times New Roman" w:hAnsi="Times New Roman" w:eastAsia="新宋体" w:cs="Times New Roman"/>
          <w:bCs/>
          <w:color w:val="auto"/>
          <w:szCs w:val="24"/>
          <w:lang w:eastAsia="zh-CN"/>
        </w:rPr>
      </w:pPr>
      <w:r>
        <w:rPr>
          <w:rFonts w:ascii="Times New Roman" w:hAnsi="Times New Roman" w:eastAsia="新宋体" w:cs="Times New Roman"/>
          <w:bCs/>
          <w:color w:val="auto"/>
          <w:szCs w:val="24"/>
          <w:lang w:eastAsia="zh-CN"/>
        </w:rPr>
        <w:t>附件</w:t>
      </w:r>
      <w:r>
        <w:rPr>
          <w:rFonts w:hint="eastAsia" w:ascii="Times New Roman" w:hAnsi="Times New Roman" w:eastAsia="新宋体" w:cs="Times New Roman"/>
          <w:bCs/>
          <w:color w:val="auto"/>
          <w:szCs w:val="24"/>
          <w:lang w:eastAsia="zh-CN"/>
        </w:rPr>
        <w:t>5</w:t>
      </w:r>
      <w:r>
        <w:rPr>
          <w:rFonts w:ascii="Times New Roman" w:hAnsi="Times New Roman" w:eastAsia="新宋体" w:cs="Times New Roman"/>
          <w:bCs/>
          <w:color w:val="auto"/>
          <w:szCs w:val="24"/>
          <w:lang w:eastAsia="zh-CN"/>
        </w:rPr>
        <w:t>-</w:t>
      </w:r>
      <w:r>
        <w:rPr>
          <w:rFonts w:hint="eastAsia" w:ascii="Times New Roman" w:hAnsi="Times New Roman" w:eastAsia="新宋体" w:cs="Times New Roman"/>
          <w:bCs/>
          <w:color w:val="auto"/>
          <w:szCs w:val="24"/>
          <w:lang w:eastAsia="zh-CN"/>
        </w:rPr>
        <w:t>6</w:t>
      </w:r>
      <w:r>
        <w:rPr>
          <w:rFonts w:ascii="Times New Roman" w:hAnsi="Times New Roman" w:eastAsia="新宋体" w:cs="Times New Roman"/>
          <w:bCs/>
          <w:color w:val="auto"/>
          <w:szCs w:val="24"/>
          <w:lang w:eastAsia="zh-CN"/>
        </w:rPr>
        <w:t xml:space="preserve"> </w:t>
      </w:r>
      <w:r>
        <w:rPr>
          <w:rFonts w:hint="eastAsia" w:ascii="Times New Roman" w:hAnsi="Times New Roman" w:eastAsia="新宋体" w:cs="Times New Roman"/>
          <w:bCs/>
          <w:color w:val="auto"/>
          <w:szCs w:val="24"/>
          <w:lang w:eastAsia="zh-CN"/>
        </w:rPr>
        <w:t>现有工程环保预审的批复</w:t>
      </w:r>
      <w:r>
        <w:rPr>
          <w:rFonts w:ascii="Times New Roman" w:hAnsi="Times New Roman" w:eastAsia="新宋体" w:cs="Times New Roman"/>
          <w:bCs/>
          <w:color w:val="auto"/>
          <w:szCs w:val="24"/>
          <w:lang w:eastAsia="zh-CN"/>
        </w:rPr>
        <w:t>；</w:t>
      </w:r>
    </w:p>
    <w:p w14:paraId="361B5C53">
      <w:pPr>
        <w:adjustRightInd w:val="0"/>
        <w:snapToGrid w:val="0"/>
        <w:spacing w:line="360" w:lineRule="auto"/>
        <w:ind w:firstLine="1200" w:firstLineChars="500"/>
        <w:jc w:val="both"/>
        <w:rPr>
          <w:rFonts w:ascii="Times New Roman" w:hAnsi="Times New Roman" w:eastAsia="新宋体" w:cs="Times New Roman"/>
          <w:bCs/>
          <w:color w:val="auto"/>
          <w:szCs w:val="24"/>
          <w:lang w:eastAsia="zh-CN"/>
        </w:rPr>
      </w:pPr>
      <w:r>
        <w:rPr>
          <w:rFonts w:ascii="Times New Roman" w:hAnsi="Times New Roman" w:eastAsia="新宋体" w:cs="Times New Roman"/>
          <w:bCs/>
          <w:color w:val="auto"/>
          <w:szCs w:val="24"/>
          <w:lang w:eastAsia="zh-CN"/>
        </w:rPr>
        <w:t>附件5-</w:t>
      </w:r>
      <w:r>
        <w:rPr>
          <w:rFonts w:hint="eastAsia" w:ascii="Times New Roman" w:hAnsi="Times New Roman" w:eastAsia="新宋体" w:cs="Times New Roman"/>
          <w:bCs/>
          <w:color w:val="auto"/>
          <w:szCs w:val="24"/>
          <w:lang w:eastAsia="zh-CN"/>
        </w:rPr>
        <w:t>7</w:t>
      </w:r>
      <w:r>
        <w:rPr>
          <w:rFonts w:ascii="Times New Roman" w:hAnsi="Times New Roman" w:eastAsia="新宋体" w:cs="Times New Roman"/>
          <w:bCs/>
          <w:color w:val="auto"/>
          <w:szCs w:val="24"/>
          <w:lang w:eastAsia="zh-CN"/>
        </w:rPr>
        <w:t xml:space="preserve"> </w:t>
      </w:r>
      <w:r>
        <w:rPr>
          <w:rFonts w:hint="eastAsia" w:ascii="Times New Roman" w:hAnsi="Times New Roman" w:eastAsia="新宋体" w:cs="Times New Roman"/>
          <w:bCs/>
          <w:color w:val="auto"/>
          <w:szCs w:val="24"/>
          <w:lang w:eastAsia="zh-CN"/>
        </w:rPr>
        <w:t>现有工程</w:t>
      </w:r>
      <w:r>
        <w:rPr>
          <w:rFonts w:ascii="Times New Roman" w:hAnsi="Times New Roman" w:eastAsia="新宋体" w:cs="Times New Roman"/>
          <w:bCs/>
          <w:color w:val="auto"/>
          <w:szCs w:val="24"/>
          <w:lang w:eastAsia="zh-CN"/>
        </w:rPr>
        <w:t>例行检测</w:t>
      </w:r>
      <w:r>
        <w:rPr>
          <w:rFonts w:hint="eastAsia" w:ascii="Times New Roman" w:hAnsi="Times New Roman" w:eastAsia="新宋体" w:cs="Times New Roman"/>
          <w:bCs/>
          <w:color w:val="auto"/>
          <w:szCs w:val="24"/>
          <w:lang w:eastAsia="zh-CN"/>
        </w:rPr>
        <w:t>数据；</w:t>
      </w:r>
    </w:p>
    <w:p w14:paraId="18A1A748">
      <w:pPr>
        <w:adjustRightInd w:val="0"/>
        <w:snapToGrid w:val="0"/>
        <w:spacing w:line="360" w:lineRule="auto"/>
        <w:ind w:firstLine="1200" w:firstLineChars="500"/>
        <w:jc w:val="both"/>
        <w:rPr>
          <w:rFonts w:ascii="Times New Roman" w:hAnsi="Times New Roman" w:eastAsia="新宋体" w:cs="Times New Roman"/>
          <w:bCs/>
          <w:color w:val="000000" w:themeColor="text1"/>
          <w:szCs w:val="24"/>
          <w:lang w:eastAsia="zh-CN"/>
          <w14:textFill>
            <w14:solidFill>
              <w14:schemeClr w14:val="tx1"/>
            </w14:solidFill>
          </w14:textFill>
        </w:rPr>
      </w:pPr>
      <w:r>
        <w:rPr>
          <w:rFonts w:ascii="Times New Roman" w:hAnsi="Times New Roman" w:eastAsia="新宋体" w:cs="Times New Roman"/>
          <w:bCs/>
          <w:color w:val="000000" w:themeColor="text1"/>
          <w:szCs w:val="24"/>
          <w:lang w:eastAsia="zh-CN"/>
          <w14:textFill>
            <w14:solidFill>
              <w14:schemeClr w14:val="tx1"/>
            </w14:solidFill>
          </w14:textFill>
        </w:rPr>
        <w:t xml:space="preserve">附件6-1 </w:t>
      </w:r>
      <w:r>
        <w:rPr>
          <w:rFonts w:hint="eastAsia" w:ascii="Times New Roman" w:hAnsi="Times New Roman" w:eastAsia="新宋体" w:cs="Times New Roman"/>
          <w:bCs/>
          <w:color w:val="000000" w:themeColor="text1"/>
          <w:szCs w:val="24"/>
          <w:lang w:eastAsia="zh-CN"/>
          <w14:textFill>
            <w14:solidFill>
              <w14:schemeClr w14:val="tx1"/>
            </w14:solidFill>
          </w14:textFill>
        </w:rPr>
        <w:t>环境质量现状</w:t>
      </w:r>
      <w:r>
        <w:rPr>
          <w:rFonts w:ascii="Times New Roman" w:hAnsi="Times New Roman" w:eastAsia="新宋体" w:cs="Times New Roman"/>
          <w:bCs/>
          <w:color w:val="000000" w:themeColor="text1"/>
          <w:szCs w:val="24"/>
          <w:lang w:eastAsia="zh-CN"/>
          <w14:textFill>
            <w14:solidFill>
              <w14:schemeClr w14:val="tx1"/>
            </w14:solidFill>
          </w14:textFill>
        </w:rPr>
        <w:t>检测数据；</w:t>
      </w:r>
    </w:p>
    <w:p w14:paraId="5F79E7CE">
      <w:pPr>
        <w:adjustRightInd w:val="0"/>
        <w:snapToGrid w:val="0"/>
        <w:spacing w:line="360" w:lineRule="auto"/>
        <w:ind w:firstLine="1200" w:firstLineChars="500"/>
        <w:jc w:val="both"/>
        <w:rPr>
          <w:rFonts w:ascii="Times New Roman" w:hAnsi="Times New Roman" w:eastAsia="新宋体" w:cs="Times New Roman"/>
          <w:bCs/>
          <w:color w:val="000000" w:themeColor="text1"/>
          <w:szCs w:val="24"/>
          <w:lang w:eastAsia="zh-CN"/>
          <w14:textFill>
            <w14:solidFill>
              <w14:schemeClr w14:val="tx1"/>
            </w14:solidFill>
          </w14:textFill>
        </w:rPr>
      </w:pPr>
      <w:r>
        <w:rPr>
          <w:rFonts w:ascii="Times New Roman" w:hAnsi="Times New Roman" w:eastAsia="新宋体" w:cs="Times New Roman"/>
          <w:bCs/>
          <w:color w:val="000000" w:themeColor="text1"/>
          <w:szCs w:val="24"/>
          <w:lang w:eastAsia="zh-CN"/>
          <w14:textFill>
            <w14:solidFill>
              <w14:schemeClr w14:val="tx1"/>
            </w14:solidFill>
          </w14:textFill>
        </w:rPr>
        <w:t>附件6-</w:t>
      </w:r>
      <w:r>
        <w:rPr>
          <w:rFonts w:hint="eastAsia" w:ascii="Times New Roman" w:hAnsi="Times New Roman" w:eastAsia="新宋体" w:cs="Times New Roman"/>
          <w:bCs/>
          <w:color w:val="000000" w:themeColor="text1"/>
          <w:szCs w:val="24"/>
          <w:lang w:eastAsia="zh-CN"/>
          <w14:textFill>
            <w14:solidFill>
              <w14:schemeClr w14:val="tx1"/>
            </w14:solidFill>
          </w14:textFill>
        </w:rPr>
        <w:t>2</w:t>
      </w:r>
      <w:r>
        <w:rPr>
          <w:rFonts w:ascii="Times New Roman" w:hAnsi="Times New Roman" w:eastAsia="新宋体" w:cs="Times New Roman"/>
          <w:bCs/>
          <w:color w:val="000000" w:themeColor="text1"/>
          <w:szCs w:val="24"/>
          <w:lang w:eastAsia="zh-CN"/>
          <w14:textFill>
            <w14:solidFill>
              <w14:schemeClr w14:val="tx1"/>
            </w14:solidFill>
          </w14:textFill>
        </w:rPr>
        <w:t xml:space="preserve"> </w:t>
      </w:r>
      <w:r>
        <w:rPr>
          <w:rFonts w:hint="eastAsia" w:ascii="Times New Roman" w:hAnsi="Times New Roman" w:eastAsia="新宋体" w:cs="Times New Roman"/>
          <w:bCs/>
          <w:color w:val="000000" w:themeColor="text1"/>
          <w:szCs w:val="24"/>
          <w:lang w:eastAsia="zh-CN"/>
          <w14:textFill>
            <w14:solidFill>
              <w14:schemeClr w14:val="tx1"/>
            </w14:solidFill>
          </w14:textFill>
        </w:rPr>
        <w:t>环境空气、</w:t>
      </w:r>
      <w:r>
        <w:rPr>
          <w:rFonts w:ascii="Times New Roman" w:hAnsi="Times New Roman" w:eastAsia="新宋体" w:cs="Times New Roman"/>
          <w:bCs/>
          <w:color w:val="000000" w:themeColor="text1"/>
          <w:szCs w:val="24"/>
          <w:lang w:eastAsia="zh-CN"/>
          <w14:textFill>
            <w14:solidFill>
              <w14:schemeClr w14:val="tx1"/>
            </w14:solidFill>
          </w14:textFill>
        </w:rPr>
        <w:t>地表水、地下水引用数据；</w:t>
      </w:r>
    </w:p>
    <w:p w14:paraId="774262A0">
      <w:pPr>
        <w:adjustRightInd w:val="0"/>
        <w:snapToGrid w:val="0"/>
        <w:spacing w:line="360" w:lineRule="auto"/>
        <w:ind w:firstLine="1200" w:firstLineChars="500"/>
        <w:jc w:val="both"/>
        <w:rPr>
          <w:rFonts w:ascii="Times New Roman" w:hAnsi="Times New Roman" w:eastAsia="新宋体" w:cs="Times New Roman"/>
          <w:bCs/>
          <w:color w:val="000000" w:themeColor="text1"/>
          <w:szCs w:val="24"/>
          <w:lang w:eastAsia="zh-CN"/>
          <w14:textFill>
            <w14:solidFill>
              <w14:schemeClr w14:val="tx1"/>
            </w14:solidFill>
          </w14:textFill>
        </w:rPr>
      </w:pPr>
      <w:r>
        <w:rPr>
          <w:rFonts w:ascii="Times New Roman" w:hAnsi="Times New Roman" w:eastAsia="新宋体" w:cs="Times New Roman"/>
          <w:bCs/>
          <w:color w:val="000000" w:themeColor="text1"/>
          <w:szCs w:val="24"/>
          <w:lang w:eastAsia="zh-CN"/>
          <w14:textFill>
            <w14:solidFill>
              <w14:schemeClr w14:val="tx1"/>
            </w14:solidFill>
          </w14:textFill>
        </w:rPr>
        <w:t>附件</w:t>
      </w:r>
      <w:r>
        <w:rPr>
          <w:rFonts w:hint="eastAsia" w:ascii="Times New Roman" w:hAnsi="Times New Roman" w:eastAsia="新宋体" w:cs="Times New Roman"/>
          <w:bCs/>
          <w:color w:val="000000" w:themeColor="text1"/>
          <w:szCs w:val="24"/>
          <w:lang w:eastAsia="zh-CN"/>
          <w14:textFill>
            <w14:solidFill>
              <w14:schemeClr w14:val="tx1"/>
            </w14:solidFill>
          </w14:textFill>
        </w:rPr>
        <w:t>7-1</w:t>
      </w:r>
      <w:r>
        <w:rPr>
          <w:rFonts w:ascii="Times New Roman" w:hAnsi="Times New Roman" w:eastAsia="新宋体" w:cs="Times New Roman"/>
          <w:bCs/>
          <w:color w:val="000000" w:themeColor="text1"/>
          <w:szCs w:val="24"/>
          <w:lang w:eastAsia="zh-CN"/>
          <w14:textFill>
            <w14:solidFill>
              <w14:schemeClr w14:val="tx1"/>
            </w14:solidFill>
          </w14:textFill>
        </w:rPr>
        <w:t xml:space="preserve"> </w:t>
      </w:r>
      <w:r>
        <w:rPr>
          <w:rFonts w:hint="eastAsia" w:ascii="Times New Roman" w:hAnsi="Times New Roman" w:eastAsia="新宋体" w:cs="Times New Roman"/>
          <w:bCs/>
          <w:color w:val="000000" w:themeColor="text1"/>
          <w:szCs w:val="24"/>
          <w:lang w:eastAsia="zh-CN"/>
          <w14:textFill>
            <w14:solidFill>
              <w14:schemeClr w14:val="tx1"/>
            </w14:solidFill>
          </w14:textFill>
        </w:rPr>
        <w:t>土地证</w:t>
      </w:r>
      <w:r>
        <w:rPr>
          <w:rFonts w:ascii="Times New Roman" w:hAnsi="Times New Roman" w:eastAsia="新宋体" w:cs="Times New Roman"/>
          <w:bCs/>
          <w:color w:val="000000" w:themeColor="text1"/>
          <w:szCs w:val="24"/>
          <w:lang w:eastAsia="zh-CN"/>
          <w14:textFill>
            <w14:solidFill>
              <w14:schemeClr w14:val="tx1"/>
            </w14:solidFill>
          </w14:textFill>
        </w:rPr>
        <w:t>；</w:t>
      </w:r>
    </w:p>
    <w:p w14:paraId="388E97AD">
      <w:pPr>
        <w:adjustRightInd w:val="0"/>
        <w:snapToGrid w:val="0"/>
        <w:spacing w:line="360" w:lineRule="auto"/>
        <w:ind w:firstLine="1200" w:firstLineChars="500"/>
        <w:jc w:val="both"/>
        <w:rPr>
          <w:rFonts w:ascii="Times New Roman" w:hAnsi="Times New Roman" w:eastAsia="新宋体" w:cs="Times New Roman"/>
          <w:bCs/>
          <w:color w:val="000000" w:themeColor="text1"/>
          <w:szCs w:val="24"/>
          <w:lang w:eastAsia="zh-CN"/>
          <w14:textFill>
            <w14:solidFill>
              <w14:schemeClr w14:val="tx1"/>
            </w14:solidFill>
          </w14:textFill>
        </w:rPr>
      </w:pPr>
      <w:r>
        <w:rPr>
          <w:rFonts w:ascii="Times New Roman" w:hAnsi="Times New Roman" w:eastAsia="新宋体" w:cs="Times New Roman"/>
          <w:bCs/>
          <w:color w:val="000000" w:themeColor="text1"/>
          <w:szCs w:val="24"/>
          <w:lang w:eastAsia="zh-CN"/>
          <w14:textFill>
            <w14:solidFill>
              <w14:schemeClr w14:val="tx1"/>
            </w14:solidFill>
          </w14:textFill>
        </w:rPr>
        <w:t>附件</w:t>
      </w:r>
      <w:r>
        <w:rPr>
          <w:rFonts w:hint="eastAsia" w:ascii="Times New Roman" w:hAnsi="Times New Roman" w:eastAsia="新宋体" w:cs="Times New Roman"/>
          <w:bCs/>
          <w:color w:val="000000" w:themeColor="text1"/>
          <w:szCs w:val="24"/>
          <w:lang w:eastAsia="zh-CN"/>
          <w14:textFill>
            <w14:solidFill>
              <w14:schemeClr w14:val="tx1"/>
            </w14:solidFill>
          </w14:textFill>
        </w:rPr>
        <w:t>7-2</w:t>
      </w:r>
      <w:r>
        <w:rPr>
          <w:rFonts w:ascii="Times New Roman" w:hAnsi="Times New Roman" w:eastAsia="新宋体" w:cs="Times New Roman"/>
          <w:bCs/>
          <w:color w:val="000000" w:themeColor="text1"/>
          <w:szCs w:val="24"/>
          <w:lang w:eastAsia="zh-CN"/>
          <w14:textFill>
            <w14:solidFill>
              <w14:schemeClr w14:val="tx1"/>
            </w14:solidFill>
          </w14:textFill>
        </w:rPr>
        <w:t xml:space="preserve"> </w:t>
      </w:r>
      <w:r>
        <w:rPr>
          <w:rFonts w:hint="eastAsia" w:ascii="Times New Roman" w:hAnsi="Times New Roman" w:eastAsia="新宋体" w:cs="Times New Roman"/>
          <w:bCs/>
          <w:color w:val="000000" w:themeColor="text1"/>
          <w:szCs w:val="24"/>
          <w:lang w:eastAsia="zh-CN"/>
          <w14:textFill>
            <w14:solidFill>
              <w14:schemeClr w14:val="tx1"/>
            </w14:solidFill>
          </w14:textFill>
        </w:rPr>
        <w:t>刻蚀液产品质量标准</w:t>
      </w:r>
      <w:r>
        <w:rPr>
          <w:rFonts w:ascii="Times New Roman" w:hAnsi="Times New Roman" w:eastAsia="新宋体" w:cs="Times New Roman"/>
          <w:bCs/>
          <w:color w:val="000000" w:themeColor="text1"/>
          <w:szCs w:val="24"/>
          <w:lang w:eastAsia="zh-CN"/>
          <w14:textFill>
            <w14:solidFill>
              <w14:schemeClr w14:val="tx1"/>
            </w14:solidFill>
          </w14:textFill>
        </w:rPr>
        <w:t>；</w:t>
      </w:r>
    </w:p>
    <w:p w14:paraId="2B8A642C">
      <w:pPr>
        <w:adjustRightInd w:val="0"/>
        <w:snapToGrid w:val="0"/>
        <w:spacing w:line="360" w:lineRule="auto"/>
        <w:ind w:firstLine="1200" w:firstLineChars="500"/>
        <w:jc w:val="both"/>
        <w:rPr>
          <w:rFonts w:ascii="Times New Roman" w:hAnsi="Times New Roman" w:eastAsia="新宋体" w:cs="Times New Roman"/>
          <w:bCs/>
          <w:color w:val="000000" w:themeColor="text1"/>
          <w:szCs w:val="24"/>
          <w:lang w:eastAsia="zh-CN"/>
          <w14:textFill>
            <w14:solidFill>
              <w14:schemeClr w14:val="tx1"/>
            </w14:solidFill>
          </w14:textFill>
        </w:rPr>
      </w:pPr>
      <w:r>
        <w:rPr>
          <w:rFonts w:ascii="Times New Roman" w:hAnsi="Times New Roman" w:eastAsia="新宋体" w:cs="Times New Roman"/>
          <w:bCs/>
          <w:color w:val="000000" w:themeColor="text1"/>
          <w:szCs w:val="24"/>
          <w:lang w:eastAsia="zh-CN"/>
          <w14:textFill>
            <w14:solidFill>
              <w14:schemeClr w14:val="tx1"/>
            </w14:solidFill>
          </w14:textFill>
        </w:rPr>
        <w:t>附件</w:t>
      </w:r>
      <w:r>
        <w:rPr>
          <w:rFonts w:hint="eastAsia" w:ascii="Times New Roman" w:hAnsi="Times New Roman" w:eastAsia="新宋体" w:cs="Times New Roman"/>
          <w:bCs/>
          <w:color w:val="000000" w:themeColor="text1"/>
          <w:szCs w:val="24"/>
          <w:lang w:eastAsia="zh-CN"/>
          <w14:textFill>
            <w14:solidFill>
              <w14:schemeClr w14:val="tx1"/>
            </w14:solidFill>
          </w14:textFill>
        </w:rPr>
        <w:t>8</w:t>
      </w:r>
      <w:r>
        <w:rPr>
          <w:rFonts w:ascii="Times New Roman" w:hAnsi="Times New Roman" w:eastAsia="新宋体" w:cs="Times New Roman"/>
          <w:bCs/>
          <w:color w:val="000000" w:themeColor="text1"/>
          <w:szCs w:val="24"/>
          <w:lang w:eastAsia="zh-CN"/>
          <w14:textFill>
            <w14:solidFill>
              <w14:schemeClr w14:val="tx1"/>
            </w14:solidFill>
          </w14:textFill>
        </w:rPr>
        <w:t xml:space="preserve"> </w:t>
      </w:r>
      <w:r>
        <w:rPr>
          <w:rFonts w:hint="eastAsia" w:ascii="Times New Roman" w:hAnsi="Times New Roman" w:eastAsia="新宋体" w:cs="Times New Roman"/>
          <w:bCs/>
          <w:color w:val="000000" w:themeColor="text1"/>
          <w:szCs w:val="24"/>
          <w:lang w:eastAsia="zh-CN"/>
          <w14:textFill>
            <w14:solidFill>
              <w14:schemeClr w14:val="tx1"/>
            </w14:solidFill>
          </w14:textFill>
        </w:rPr>
        <w:t>污泥外售协议</w:t>
      </w:r>
      <w:r>
        <w:rPr>
          <w:rFonts w:ascii="Times New Roman" w:hAnsi="Times New Roman" w:eastAsia="新宋体" w:cs="Times New Roman"/>
          <w:bCs/>
          <w:color w:val="000000" w:themeColor="text1"/>
          <w:szCs w:val="24"/>
          <w:lang w:eastAsia="zh-CN"/>
          <w14:textFill>
            <w14:solidFill>
              <w14:schemeClr w14:val="tx1"/>
            </w14:solidFill>
          </w14:textFill>
        </w:rPr>
        <w:t>；</w:t>
      </w:r>
    </w:p>
    <w:p w14:paraId="748F678A">
      <w:pPr>
        <w:adjustRightInd w:val="0"/>
        <w:snapToGrid w:val="0"/>
        <w:spacing w:line="360" w:lineRule="auto"/>
        <w:ind w:firstLine="1200" w:firstLineChars="500"/>
        <w:jc w:val="both"/>
        <w:rPr>
          <w:rFonts w:ascii="Times New Roman" w:hAnsi="Times New Roman" w:eastAsia="新宋体" w:cs="Times New Roman"/>
          <w:bCs/>
          <w:color w:val="000000" w:themeColor="text1"/>
          <w:szCs w:val="24"/>
          <w:lang w:eastAsia="zh-CN"/>
          <w14:textFill>
            <w14:solidFill>
              <w14:schemeClr w14:val="tx1"/>
            </w14:solidFill>
          </w14:textFill>
        </w:rPr>
      </w:pPr>
      <w:r>
        <w:rPr>
          <w:rFonts w:ascii="Times New Roman" w:hAnsi="Times New Roman" w:eastAsia="新宋体" w:cs="Times New Roman"/>
          <w:bCs/>
          <w:color w:val="000000" w:themeColor="text1"/>
          <w:szCs w:val="24"/>
          <w:lang w:eastAsia="zh-CN"/>
          <w14:textFill>
            <w14:solidFill>
              <w14:schemeClr w14:val="tx1"/>
            </w14:solidFill>
          </w14:textFill>
        </w:rPr>
        <w:t>附件</w:t>
      </w:r>
      <w:r>
        <w:rPr>
          <w:rFonts w:hint="eastAsia" w:ascii="Times New Roman" w:hAnsi="Times New Roman" w:eastAsia="新宋体" w:cs="Times New Roman"/>
          <w:bCs/>
          <w:color w:val="000000" w:themeColor="text1"/>
          <w:szCs w:val="24"/>
          <w:lang w:eastAsia="zh-CN"/>
          <w14:textFill>
            <w14:solidFill>
              <w14:schemeClr w14:val="tx1"/>
            </w14:solidFill>
          </w14:textFill>
        </w:rPr>
        <w:t>9</w:t>
      </w:r>
      <w:r>
        <w:rPr>
          <w:rFonts w:ascii="Times New Roman" w:hAnsi="Times New Roman" w:eastAsia="新宋体" w:cs="Times New Roman"/>
          <w:bCs/>
          <w:color w:val="000000" w:themeColor="text1"/>
          <w:szCs w:val="24"/>
          <w:lang w:eastAsia="zh-CN"/>
          <w14:textFill>
            <w14:solidFill>
              <w14:schemeClr w14:val="tx1"/>
            </w14:solidFill>
          </w14:textFill>
        </w:rPr>
        <w:t xml:space="preserve"> </w:t>
      </w:r>
      <w:r>
        <w:rPr>
          <w:rFonts w:hint="eastAsia" w:ascii="Times New Roman" w:hAnsi="Times New Roman" w:eastAsia="新宋体" w:cs="Times New Roman"/>
          <w:bCs/>
          <w:color w:val="000000" w:themeColor="text1"/>
          <w:szCs w:val="24"/>
          <w:lang w:eastAsia="zh-CN"/>
          <w14:textFill>
            <w14:solidFill>
              <w14:schemeClr w14:val="tx1"/>
            </w14:solidFill>
          </w14:textFill>
        </w:rPr>
        <w:t>污水接管协议</w:t>
      </w:r>
      <w:r>
        <w:rPr>
          <w:rFonts w:ascii="Times New Roman" w:hAnsi="Times New Roman" w:eastAsia="新宋体" w:cs="Times New Roman"/>
          <w:bCs/>
          <w:color w:val="000000" w:themeColor="text1"/>
          <w:szCs w:val="24"/>
          <w:lang w:eastAsia="zh-CN"/>
          <w14:textFill>
            <w14:solidFill>
              <w14:schemeClr w14:val="tx1"/>
            </w14:solidFill>
          </w14:textFill>
        </w:rPr>
        <w:t>；</w:t>
      </w:r>
    </w:p>
    <w:p w14:paraId="74962122">
      <w:pPr>
        <w:adjustRightInd w:val="0"/>
        <w:snapToGrid w:val="0"/>
        <w:spacing w:line="360" w:lineRule="auto"/>
        <w:ind w:firstLine="1200" w:firstLineChars="500"/>
        <w:jc w:val="both"/>
        <w:rPr>
          <w:rFonts w:ascii="Times New Roman" w:hAnsi="Times New Roman" w:eastAsia="新宋体" w:cs="Times New Roman"/>
          <w:bCs/>
          <w:color w:val="000000" w:themeColor="text1"/>
          <w:szCs w:val="24"/>
          <w:lang w:eastAsia="zh-CN"/>
          <w14:textFill>
            <w14:solidFill>
              <w14:schemeClr w14:val="tx1"/>
            </w14:solidFill>
          </w14:textFill>
        </w:rPr>
      </w:pPr>
      <w:r>
        <w:rPr>
          <w:rFonts w:ascii="Times New Roman" w:hAnsi="Times New Roman" w:eastAsia="新宋体" w:cs="Times New Roman"/>
          <w:bCs/>
          <w:color w:val="000000" w:themeColor="text1"/>
          <w:szCs w:val="24"/>
          <w:lang w:eastAsia="zh-CN"/>
          <w14:textFill>
            <w14:solidFill>
              <w14:schemeClr w14:val="tx1"/>
            </w14:solidFill>
          </w14:textFill>
        </w:rPr>
        <w:t>附件</w:t>
      </w:r>
      <w:r>
        <w:rPr>
          <w:rFonts w:hint="eastAsia" w:ascii="Times New Roman" w:hAnsi="Times New Roman" w:eastAsia="新宋体" w:cs="Times New Roman"/>
          <w:bCs/>
          <w:color w:val="000000" w:themeColor="text1"/>
          <w:szCs w:val="24"/>
          <w:lang w:eastAsia="zh-CN"/>
          <w14:textFill>
            <w14:solidFill>
              <w14:schemeClr w14:val="tx1"/>
            </w14:solidFill>
          </w14:textFill>
        </w:rPr>
        <w:t>10</w:t>
      </w:r>
      <w:r>
        <w:rPr>
          <w:rFonts w:ascii="Times New Roman" w:hAnsi="Times New Roman" w:eastAsia="新宋体" w:cs="Times New Roman"/>
          <w:bCs/>
          <w:color w:val="000000" w:themeColor="text1"/>
          <w:szCs w:val="24"/>
          <w:lang w:eastAsia="zh-CN"/>
          <w14:textFill>
            <w14:solidFill>
              <w14:schemeClr w14:val="tx1"/>
            </w14:solidFill>
          </w14:textFill>
        </w:rPr>
        <w:t xml:space="preserve"> </w:t>
      </w:r>
      <w:r>
        <w:rPr>
          <w:rFonts w:hint="eastAsia" w:ascii="Times New Roman" w:hAnsi="Times New Roman" w:eastAsia="新宋体" w:cs="Times New Roman"/>
          <w:bCs/>
          <w:color w:val="000000" w:themeColor="text1"/>
          <w:szCs w:val="24"/>
          <w:lang w:eastAsia="zh-CN"/>
          <w14:textFill>
            <w14:solidFill>
              <w14:schemeClr w14:val="tx1"/>
            </w14:solidFill>
          </w14:textFill>
        </w:rPr>
        <w:t>安全条件审查意见书</w:t>
      </w:r>
      <w:r>
        <w:rPr>
          <w:rFonts w:ascii="Times New Roman" w:hAnsi="Times New Roman" w:eastAsia="新宋体" w:cs="Times New Roman"/>
          <w:bCs/>
          <w:color w:val="000000" w:themeColor="text1"/>
          <w:szCs w:val="24"/>
          <w:lang w:eastAsia="zh-CN"/>
          <w14:textFill>
            <w14:solidFill>
              <w14:schemeClr w14:val="tx1"/>
            </w14:solidFill>
          </w14:textFill>
        </w:rPr>
        <w:t>；</w:t>
      </w:r>
    </w:p>
    <w:p w14:paraId="48CE8471">
      <w:pPr>
        <w:adjustRightInd w:val="0"/>
        <w:snapToGrid w:val="0"/>
        <w:spacing w:line="360" w:lineRule="auto"/>
        <w:ind w:firstLine="1200" w:firstLineChars="500"/>
        <w:jc w:val="both"/>
        <w:rPr>
          <w:rFonts w:ascii="Times New Roman" w:hAnsi="Times New Roman" w:eastAsia="新宋体" w:cs="Times New Roman"/>
          <w:bCs/>
          <w:color w:val="000000" w:themeColor="text1"/>
          <w:szCs w:val="24"/>
          <w:lang w:eastAsia="zh-CN"/>
          <w14:textFill>
            <w14:solidFill>
              <w14:schemeClr w14:val="tx1"/>
            </w14:solidFill>
          </w14:textFill>
        </w:rPr>
      </w:pPr>
      <w:r>
        <w:rPr>
          <w:rFonts w:ascii="Times New Roman" w:hAnsi="Times New Roman" w:eastAsia="新宋体" w:cs="Times New Roman"/>
          <w:bCs/>
          <w:color w:val="000000" w:themeColor="text1"/>
          <w:szCs w:val="24"/>
          <w:lang w:eastAsia="zh-CN"/>
          <w14:textFill>
            <w14:solidFill>
              <w14:schemeClr w14:val="tx1"/>
            </w14:solidFill>
          </w14:textFill>
        </w:rPr>
        <w:t>附件</w:t>
      </w:r>
      <w:r>
        <w:rPr>
          <w:rFonts w:hint="eastAsia" w:ascii="Times New Roman" w:hAnsi="Times New Roman" w:eastAsia="新宋体" w:cs="Times New Roman"/>
          <w:bCs/>
          <w:color w:val="000000" w:themeColor="text1"/>
          <w:szCs w:val="24"/>
          <w:lang w:eastAsia="zh-CN"/>
          <w14:textFill>
            <w14:solidFill>
              <w14:schemeClr w14:val="tx1"/>
            </w14:solidFill>
          </w14:textFill>
        </w:rPr>
        <w:t>11</w:t>
      </w:r>
      <w:r>
        <w:rPr>
          <w:rFonts w:ascii="Times New Roman" w:hAnsi="Times New Roman" w:eastAsia="新宋体" w:cs="Times New Roman"/>
          <w:bCs/>
          <w:color w:val="000000" w:themeColor="text1"/>
          <w:szCs w:val="24"/>
          <w:lang w:eastAsia="zh-CN"/>
          <w14:textFill>
            <w14:solidFill>
              <w14:schemeClr w14:val="tx1"/>
            </w14:solidFill>
          </w14:textFill>
        </w:rPr>
        <w:t xml:space="preserve"> 建设项目排污许可申请与填报信息表；</w:t>
      </w:r>
    </w:p>
    <w:p w14:paraId="35BBC7AE">
      <w:pPr>
        <w:pStyle w:val="42"/>
        <w:snapToGrid w:val="0"/>
        <w:spacing w:line="360" w:lineRule="auto"/>
        <w:ind w:firstLine="1200" w:firstLineChars="500"/>
        <w:rPr>
          <w:color w:val="000000" w:themeColor="text1"/>
          <w14:textFill>
            <w14:solidFill>
              <w14:schemeClr w14:val="tx1"/>
            </w14:solidFill>
          </w14:textFill>
        </w:rPr>
      </w:pPr>
      <w:r>
        <w:rPr>
          <w:rFonts w:eastAsia="新宋体"/>
          <w:bCs/>
          <w:color w:val="000000" w:themeColor="text1"/>
          <w14:textFill>
            <w14:solidFill>
              <w14:schemeClr w14:val="tx1"/>
            </w14:solidFill>
          </w14:textFill>
        </w:rPr>
        <w:t>附件1</w:t>
      </w:r>
      <w:r>
        <w:rPr>
          <w:rFonts w:hint="eastAsia" w:eastAsia="新宋体"/>
          <w:bCs/>
          <w:color w:val="000000" w:themeColor="text1"/>
          <w14:textFill>
            <w14:solidFill>
              <w14:schemeClr w14:val="tx1"/>
            </w14:solidFill>
          </w14:textFill>
        </w:rPr>
        <w:t>2</w:t>
      </w:r>
      <w:r>
        <w:rPr>
          <w:rFonts w:eastAsia="新宋体"/>
          <w:bCs/>
          <w:color w:val="000000" w:themeColor="text1"/>
          <w14:textFill>
            <w14:solidFill>
              <w14:schemeClr w14:val="tx1"/>
            </w14:solidFill>
          </w14:textFill>
        </w:rPr>
        <w:t xml:space="preserve"> 建设项目</w:t>
      </w:r>
      <w:r>
        <w:rPr>
          <w:rFonts w:hint="eastAsia" w:eastAsia="新宋体"/>
          <w:bCs/>
          <w:color w:val="000000" w:themeColor="text1"/>
          <w:lang w:val="en-US" w:eastAsia="zh-CN"/>
          <w14:textFill>
            <w14:solidFill>
              <w14:schemeClr w14:val="tx1"/>
            </w14:solidFill>
          </w14:textFill>
        </w:rPr>
        <w:t>生态</w:t>
      </w:r>
      <w:r>
        <w:rPr>
          <w:rFonts w:eastAsia="新宋体"/>
          <w:bCs/>
          <w:color w:val="000000" w:themeColor="text1"/>
          <w14:textFill>
            <w14:solidFill>
              <w14:schemeClr w14:val="tx1"/>
            </w14:solidFill>
          </w14:textFill>
        </w:rPr>
        <w:t>环境影响报告书审批基础信息表；</w:t>
      </w:r>
    </w:p>
    <w:p w14:paraId="7FE835E0">
      <w:pPr>
        <w:spacing w:line="360" w:lineRule="auto"/>
        <w:ind w:firstLine="1200" w:firstLineChars="500"/>
        <w:rPr>
          <w:rFonts w:ascii="Times New Roman" w:hAnsi="Times New Roman" w:eastAsia="新宋体" w:cs="Times New Roman"/>
          <w:bCs/>
          <w:color w:val="auto"/>
          <w:szCs w:val="24"/>
          <w:lang w:eastAsia="zh-CN"/>
        </w:rPr>
      </w:pPr>
    </w:p>
    <w:p w14:paraId="0A67C026">
      <w:pPr>
        <w:spacing w:line="360" w:lineRule="auto"/>
        <w:rPr>
          <w:rFonts w:ascii="Times New Roman" w:hAnsi="Times New Roman" w:eastAsia="新宋体" w:cs="Times New Roman"/>
          <w:bCs/>
          <w:color w:val="auto"/>
          <w:szCs w:val="24"/>
          <w:lang w:eastAsia="zh-CN"/>
        </w:rPr>
      </w:pPr>
    </w:p>
    <w:p w14:paraId="49432954">
      <w:pPr>
        <w:spacing w:line="360" w:lineRule="auto"/>
        <w:ind w:firstLine="480"/>
        <w:rPr>
          <w:rFonts w:ascii="Times New Roman" w:hAnsi="Times New Roman" w:eastAsia="新宋体" w:cs="Times New Roman"/>
          <w:bCs/>
          <w:color w:val="auto"/>
          <w:szCs w:val="24"/>
          <w:lang w:eastAsia="zh-CN"/>
        </w:rPr>
        <w:sectPr>
          <w:pgSz w:w="11906" w:h="16838"/>
          <w:pgMar w:top="1440" w:right="1080" w:bottom="1440" w:left="1080" w:header="851" w:footer="992" w:gutter="0"/>
          <w:pgNumType w:start="1"/>
          <w:cols w:space="720" w:num="1"/>
          <w:docGrid w:type="lines" w:linePitch="312" w:charSpace="0"/>
        </w:sectPr>
      </w:pPr>
    </w:p>
    <w:p w14:paraId="309545D9">
      <w:pPr>
        <w:spacing w:line="360" w:lineRule="auto"/>
        <w:jc w:val="center"/>
        <w:outlineLvl w:val="0"/>
        <w:rPr>
          <w:rFonts w:ascii="Times New Roman" w:hAnsi="Times New Roman" w:eastAsia="新宋体" w:cs="Times New Roman"/>
          <w:b/>
          <w:bCs/>
          <w:color w:val="auto"/>
          <w:sz w:val="32"/>
          <w:szCs w:val="32"/>
          <w:lang w:eastAsia="zh-CN"/>
        </w:rPr>
      </w:pPr>
      <w:bookmarkStart w:id="5" w:name="_Toc237508223"/>
      <w:r>
        <w:rPr>
          <w:rFonts w:ascii="Times New Roman" w:hAnsi="Times New Roman" w:eastAsia="新宋体" w:cs="Times New Roman"/>
          <w:b/>
          <w:bCs/>
          <w:color w:val="auto"/>
          <w:sz w:val="32"/>
          <w:szCs w:val="32"/>
          <w:lang w:eastAsia="zh-CN"/>
        </w:rPr>
        <w:t>1 概述</w:t>
      </w:r>
      <w:bookmarkEnd w:id="5"/>
    </w:p>
    <w:p w14:paraId="69A55080">
      <w:pPr>
        <w:spacing w:line="360" w:lineRule="auto"/>
        <w:ind w:firstLine="562"/>
        <w:jc w:val="both"/>
        <w:rPr>
          <w:rFonts w:ascii="Times New Roman" w:hAnsi="Times New Roman" w:eastAsia="新宋体" w:cs="Times New Roman"/>
          <w:b/>
          <w:bCs/>
          <w:color w:val="auto"/>
          <w:sz w:val="28"/>
          <w:szCs w:val="28"/>
          <w:lang w:eastAsia="zh-CN"/>
        </w:rPr>
      </w:pPr>
    </w:p>
    <w:p w14:paraId="060E20F6">
      <w:pPr>
        <w:widowControl w:val="0"/>
        <w:spacing w:line="360" w:lineRule="auto"/>
        <w:ind w:firstLine="562" w:firstLineChars="200"/>
        <w:jc w:val="both"/>
        <w:outlineLvl w:val="1"/>
        <w:rPr>
          <w:rFonts w:ascii="Times New Roman" w:hAnsi="Times New Roman" w:eastAsia="新宋体" w:cs="Times New Roman"/>
          <w:b/>
          <w:bCs/>
          <w:color w:val="auto"/>
          <w:sz w:val="28"/>
          <w:szCs w:val="28"/>
          <w:lang w:eastAsia="zh-CN"/>
        </w:rPr>
      </w:pPr>
      <w:bookmarkStart w:id="6" w:name="_Toc237508224"/>
      <w:r>
        <w:rPr>
          <w:rFonts w:ascii="Times New Roman" w:hAnsi="Times New Roman" w:eastAsia="新宋体" w:cs="Times New Roman"/>
          <w:b/>
          <w:bCs/>
          <w:color w:val="auto"/>
          <w:sz w:val="28"/>
          <w:szCs w:val="28"/>
          <w:lang w:eastAsia="zh-CN"/>
        </w:rPr>
        <w:t>1.1 项目由来</w:t>
      </w:r>
      <w:bookmarkEnd w:id="6"/>
    </w:p>
    <w:p w14:paraId="72F78049">
      <w:pPr>
        <w:widowControl w:val="0"/>
        <w:topLinePunct/>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安徽氟瑞星化工有限公司</w:t>
      </w:r>
      <w:r>
        <w:rPr>
          <w:rFonts w:ascii="Times New Roman" w:hAnsi="Times New Roman" w:cs="Times New Roman"/>
          <w:color w:val="auto"/>
          <w:szCs w:val="24"/>
          <w:lang w:eastAsia="zh-CN"/>
        </w:rPr>
        <w:t>成立于2021年12月07日，注册地位于安徽省蚌埠市淮上区沫河口镇工业园淝河北路599号</w:t>
      </w:r>
      <w:r>
        <w:rPr>
          <w:rFonts w:hint="eastAsia" w:ascii="Times New Roman" w:hAnsi="Times New Roman" w:cs="Times New Roman"/>
          <w:color w:val="auto"/>
          <w:szCs w:val="24"/>
          <w:lang w:eastAsia="zh-CN"/>
        </w:rPr>
        <w:t>。2022年委托编制了《安徽氟瑞星化工有限公司年产4万吨电子级氢氟酸、4万吨化学纯氢氟酸及4.5万吨刻蚀液项目（一期工程）环境影响报告书》。2023年7月28日，蚌埠市生态环境局以“蚌环许[2023]37号”文对《安徽氟瑞星化工有限公司年产4万吨电子级氢氟酸、4万吨化学纯氢氟酸及4.5万吨刻蚀液项目（一期工程）环境影响报告书》进行了批复，批复产品方案为：</w:t>
      </w:r>
      <w:r>
        <w:rPr>
          <w:rFonts w:hint="eastAsia" w:ascii="Times New Roman" w:hAnsi="Times New Roman" w:cs="Times New Roman"/>
          <w:b/>
          <w:bCs/>
          <w:color w:val="auto"/>
          <w:szCs w:val="24"/>
          <w:lang w:eastAsia="zh-CN"/>
        </w:rPr>
        <w:t>年产2万吨电子级氢氟酸、4万吨化学纯氢氟酸、4.5万吨刻蚀液</w:t>
      </w:r>
      <w:r>
        <w:rPr>
          <w:rFonts w:hint="eastAsia" w:ascii="Times New Roman" w:hAnsi="Times New Roman" w:cs="Times New Roman"/>
          <w:color w:val="auto"/>
          <w:szCs w:val="24"/>
          <w:lang w:eastAsia="zh-CN"/>
        </w:rPr>
        <w:t>。</w:t>
      </w:r>
    </w:p>
    <w:p w14:paraId="4E1D3A6D">
      <w:pPr>
        <w:widowControl w:val="0"/>
        <w:topLinePunct/>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近年来，随着我国微电子工业的高速发展，中国大陆逐步成为全球较大的液晶显示器（LCD）产业基地，用于集成电路（IC）、薄膜液晶显示器（TFT-LCD）和半导体等清洗和蚀刻，电子化学品的需求越来越大，国内优势企业的竞争力正在不断增强，长期成长空间巨大。</w:t>
      </w:r>
    </w:p>
    <w:p w14:paraId="5E1997DD">
      <w:pPr>
        <w:widowControl w:val="0"/>
        <w:topLinePunct/>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安徽氟瑞星化工有限公司为迎合</w:t>
      </w:r>
      <w:r>
        <w:rPr>
          <w:rFonts w:ascii="Times New Roman" w:hAnsi="Times New Roman" w:cs="Times New Roman"/>
          <w:color w:val="auto"/>
          <w:szCs w:val="24"/>
          <w:lang w:eastAsia="zh-CN"/>
        </w:rPr>
        <w:t>市场前景，实现企业自身的发展战略目标，积极适应并扩大市场需求，提高企业的核心竞争力</w:t>
      </w:r>
      <w:r>
        <w:rPr>
          <w:rFonts w:hint="eastAsia" w:ascii="Times New Roman" w:hAnsi="Times New Roman" w:cs="Times New Roman"/>
          <w:color w:val="auto"/>
          <w:szCs w:val="24"/>
          <w:lang w:eastAsia="zh-CN"/>
        </w:rPr>
        <w:t>，计划投资11000万元</w:t>
      </w:r>
      <w:r>
        <w:rPr>
          <w:rFonts w:ascii="Times New Roman" w:hAnsi="Times New Roman" w:cs="Times New Roman"/>
          <w:color w:val="auto"/>
          <w:szCs w:val="24"/>
          <w:lang w:eastAsia="zh-CN"/>
        </w:rPr>
        <w:t>，建设“</w:t>
      </w:r>
      <w:r>
        <w:rPr>
          <w:rFonts w:hint="eastAsia" w:ascii="Times New Roman" w:hAnsi="Times New Roman" w:cs="Times New Roman"/>
          <w:color w:val="auto"/>
          <w:szCs w:val="24"/>
          <w:lang w:eastAsia="zh-CN"/>
        </w:rPr>
        <w:t>年产5万吨化学纯氢氟酸及1.5万吨刻蚀液扩产项目</w:t>
      </w:r>
      <w:r>
        <w:rPr>
          <w:rFonts w:ascii="Times New Roman" w:hAnsi="Times New Roman" w:cs="Times New Roman"/>
          <w:color w:val="auto"/>
          <w:szCs w:val="24"/>
          <w:lang w:eastAsia="zh-CN"/>
        </w:rPr>
        <w:t>”，</w:t>
      </w:r>
      <w:r>
        <w:rPr>
          <w:rFonts w:hint="eastAsia" w:ascii="Times New Roman" w:hAnsi="Times New Roman" w:cs="Times New Roman"/>
          <w:color w:val="auto"/>
          <w:szCs w:val="24"/>
          <w:lang w:eastAsia="zh-CN"/>
        </w:rPr>
        <w:t>扩大现有产品化学纯氢氟酸、刻蚀液生产规模，同时对化学纯氢氟酸、刻蚀液生产工艺进行改造，</w:t>
      </w:r>
      <w:r>
        <w:rPr>
          <w:rFonts w:ascii="Times New Roman" w:hAnsi="Times New Roman" w:cs="Times New Roman"/>
          <w:color w:val="auto"/>
          <w:szCs w:val="24"/>
          <w:lang w:eastAsia="zh-CN"/>
        </w:rPr>
        <w:t>以适应国内外市场需求。</w:t>
      </w:r>
    </w:p>
    <w:p w14:paraId="64CD4F91">
      <w:pPr>
        <w:widowControl w:val="0"/>
        <w:topLinePunct/>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202</w:t>
      </w:r>
      <w:r>
        <w:rPr>
          <w:rFonts w:hint="eastAsia" w:ascii="Times New Roman" w:hAnsi="Times New Roman" w:cs="Times New Roman"/>
          <w:color w:val="auto"/>
          <w:szCs w:val="24"/>
          <w:lang w:eastAsia="zh-CN"/>
        </w:rPr>
        <w:t>6</w:t>
      </w:r>
      <w:r>
        <w:rPr>
          <w:rFonts w:ascii="Times New Roman" w:hAnsi="Times New Roman" w:cs="Times New Roman"/>
          <w:color w:val="auto"/>
          <w:szCs w:val="24"/>
          <w:lang w:eastAsia="zh-CN"/>
        </w:rPr>
        <w:t>年</w:t>
      </w:r>
      <w:r>
        <w:rPr>
          <w:rFonts w:hint="eastAsia" w:ascii="Times New Roman" w:hAnsi="Times New Roman" w:cs="Times New Roman"/>
          <w:color w:val="auto"/>
          <w:szCs w:val="24"/>
          <w:lang w:eastAsia="zh-CN"/>
        </w:rPr>
        <w:t>3</w:t>
      </w:r>
      <w:r>
        <w:rPr>
          <w:rFonts w:ascii="Times New Roman" w:hAnsi="Times New Roman" w:cs="Times New Roman"/>
          <w:color w:val="auto"/>
          <w:szCs w:val="24"/>
          <w:lang w:eastAsia="zh-CN"/>
        </w:rPr>
        <w:t>月</w:t>
      </w:r>
      <w:r>
        <w:rPr>
          <w:rFonts w:hint="eastAsia" w:ascii="Times New Roman" w:hAnsi="Times New Roman" w:cs="Times New Roman"/>
          <w:color w:val="auto"/>
          <w:szCs w:val="24"/>
          <w:lang w:eastAsia="zh-CN"/>
        </w:rPr>
        <w:t>23</w:t>
      </w:r>
      <w:r>
        <w:rPr>
          <w:rFonts w:ascii="Times New Roman" w:hAnsi="Times New Roman" w:cs="Times New Roman"/>
          <w:color w:val="auto"/>
          <w:szCs w:val="24"/>
          <w:lang w:eastAsia="zh-CN"/>
        </w:rPr>
        <w:t>日，</w:t>
      </w:r>
      <w:r>
        <w:rPr>
          <w:rFonts w:hint="eastAsia" w:ascii="Times New Roman" w:hAnsi="Times New Roman" w:cs="Times New Roman"/>
          <w:color w:val="auto"/>
          <w:szCs w:val="24"/>
          <w:lang w:eastAsia="zh-CN"/>
        </w:rPr>
        <w:t>安徽氟瑞星化工</w:t>
      </w:r>
      <w:r>
        <w:rPr>
          <w:rFonts w:ascii="Times New Roman" w:hAnsi="Times New Roman" w:cs="Times New Roman"/>
          <w:color w:val="auto"/>
          <w:szCs w:val="24"/>
          <w:lang w:eastAsia="zh-CN"/>
        </w:rPr>
        <w:t>有限公司委托安徽</w:t>
      </w:r>
      <w:r>
        <w:rPr>
          <w:rFonts w:hint="eastAsia" w:ascii="Times New Roman" w:hAnsi="Times New Roman" w:cs="Times New Roman"/>
          <w:color w:val="auto"/>
          <w:szCs w:val="24"/>
          <w:lang w:eastAsia="zh-CN"/>
        </w:rPr>
        <w:t>善宇环保科技</w:t>
      </w:r>
      <w:r>
        <w:rPr>
          <w:rFonts w:ascii="Times New Roman" w:hAnsi="Times New Roman" w:cs="Times New Roman"/>
          <w:color w:val="auto"/>
          <w:szCs w:val="24"/>
          <w:lang w:eastAsia="zh-CN"/>
        </w:rPr>
        <w:t>有限公司开展本项目环境影响评价文件的工作。根据《建设项目环境影响评价分类管理名录（2021年版）》</w:t>
      </w:r>
      <w:r>
        <w:rPr>
          <w:rFonts w:ascii="Times New Roman" w:hAnsi="Times New Roman" w:eastAsia="新宋体" w:cs="Times New Roman"/>
          <w:color w:val="auto"/>
          <w:szCs w:val="24"/>
          <w:lang w:eastAsia="zh-CN"/>
        </w:rPr>
        <w:t>（部令第16号）</w:t>
      </w:r>
      <w:r>
        <w:rPr>
          <w:rFonts w:hint="eastAsia" w:ascii="Times New Roman" w:hAnsi="Times New Roman" w:eastAsia="新宋体" w:cs="Times New Roman"/>
          <w:color w:val="auto"/>
          <w:szCs w:val="24"/>
          <w:lang w:eastAsia="zh-CN"/>
        </w:rPr>
        <w:t>第四条“建设内容涉及本名录中两个及以上项目类别的建设项目，其环境影响评价类别按照其中单项等级最高的确定”</w:t>
      </w:r>
      <w:r>
        <w:rPr>
          <w:rFonts w:hint="eastAsia" w:ascii="Times New Roman" w:hAnsi="Times New Roman" w:cs="Times New Roman"/>
          <w:color w:val="auto"/>
          <w:szCs w:val="24"/>
          <w:lang w:eastAsia="zh-CN"/>
        </w:rPr>
        <w:t>。本项目产品化学纯氢氟酸属于</w:t>
      </w:r>
      <w:r>
        <w:rPr>
          <w:rFonts w:ascii="Times New Roman" w:hAnsi="Times New Roman" w:cs="Times New Roman"/>
          <w:color w:val="auto"/>
          <w:szCs w:val="24"/>
          <w:lang w:eastAsia="zh-CN"/>
        </w:rPr>
        <w:t>“二十三、化学原料和化学制品制造业26”中的“44</w:t>
      </w:r>
      <w:r>
        <w:rPr>
          <w:rFonts w:hint="eastAsia" w:ascii="Times New Roman" w:hAnsi="Times New Roman" w:cs="Times New Roman"/>
          <w:color w:val="auto"/>
          <w:szCs w:val="24"/>
          <w:lang w:eastAsia="zh-CN"/>
        </w:rPr>
        <w:t>专用化学产品制造</w:t>
      </w:r>
      <w:r>
        <w:rPr>
          <w:rFonts w:ascii="Times New Roman" w:hAnsi="Times New Roman" w:cs="Times New Roman"/>
          <w:color w:val="auto"/>
          <w:szCs w:val="24"/>
          <w:lang w:eastAsia="zh-CN"/>
        </w:rPr>
        <w:t>26</w:t>
      </w:r>
      <w:r>
        <w:rPr>
          <w:rFonts w:hint="eastAsia" w:ascii="Times New Roman" w:hAnsi="Times New Roman" w:cs="Times New Roman"/>
          <w:color w:val="auto"/>
          <w:szCs w:val="24"/>
          <w:lang w:eastAsia="zh-CN"/>
        </w:rPr>
        <w:t>6</w:t>
      </w:r>
      <w:r>
        <w:rPr>
          <w:rFonts w:ascii="Times New Roman" w:hAnsi="Times New Roman" w:cs="Times New Roman"/>
          <w:color w:val="auto"/>
          <w:szCs w:val="24"/>
          <w:lang w:eastAsia="zh-CN"/>
        </w:rPr>
        <w:t>，</w:t>
      </w:r>
      <w:r>
        <w:rPr>
          <w:rFonts w:hint="eastAsia" w:ascii="Times New Roman" w:hAnsi="Times New Roman" w:cs="Times New Roman"/>
          <w:color w:val="auto"/>
          <w:szCs w:val="24"/>
          <w:lang w:eastAsia="zh-CN"/>
        </w:rPr>
        <w:t>单纯物理分离、物理提纯、混合、分装的</w:t>
      </w:r>
      <w:r>
        <w:rPr>
          <w:rFonts w:ascii="Times New Roman" w:hAnsi="Times New Roman" w:cs="Times New Roman"/>
          <w:color w:val="auto"/>
          <w:szCs w:val="24"/>
          <w:lang w:eastAsia="zh-CN"/>
        </w:rPr>
        <w:t>（</w:t>
      </w:r>
      <w:r>
        <w:rPr>
          <w:rFonts w:hint="eastAsia" w:ascii="Times New Roman" w:hAnsi="Times New Roman" w:cs="Times New Roman"/>
          <w:color w:val="auto"/>
          <w:szCs w:val="24"/>
          <w:lang w:eastAsia="zh-CN"/>
        </w:rPr>
        <w:t>不产生废水或挥发性有机物的除外</w:t>
      </w:r>
      <w:r>
        <w:rPr>
          <w:rFonts w:ascii="Times New Roman" w:hAnsi="Times New Roman" w:cs="Times New Roman"/>
          <w:color w:val="auto"/>
          <w:szCs w:val="24"/>
          <w:lang w:eastAsia="zh-CN"/>
        </w:rPr>
        <w:t>）”，应编制环境影响报告</w:t>
      </w:r>
      <w:r>
        <w:rPr>
          <w:rFonts w:hint="eastAsia" w:ascii="Times New Roman" w:hAnsi="Times New Roman" w:cs="Times New Roman"/>
          <w:color w:val="auto"/>
          <w:szCs w:val="24"/>
          <w:lang w:eastAsia="zh-CN"/>
        </w:rPr>
        <w:t>表；本项目产品刻蚀液属于</w:t>
      </w:r>
      <w:r>
        <w:rPr>
          <w:rFonts w:ascii="Times New Roman" w:hAnsi="Times New Roman" w:cs="Times New Roman"/>
          <w:color w:val="auto"/>
          <w:szCs w:val="24"/>
          <w:lang w:eastAsia="zh-CN"/>
        </w:rPr>
        <w:t>“</w:t>
      </w:r>
      <w:r>
        <w:rPr>
          <w:rFonts w:hint="eastAsia" w:ascii="Times New Roman" w:hAnsi="Times New Roman" w:cs="Times New Roman"/>
          <w:color w:val="auto"/>
          <w:szCs w:val="24"/>
          <w:lang w:eastAsia="zh-CN"/>
        </w:rPr>
        <w:t>三十六</w:t>
      </w:r>
      <w:r>
        <w:rPr>
          <w:rFonts w:ascii="Times New Roman" w:hAnsi="Times New Roman" w:cs="Times New Roman"/>
          <w:color w:val="auto"/>
          <w:szCs w:val="24"/>
          <w:lang w:eastAsia="zh-CN"/>
        </w:rPr>
        <w:t>、</w:t>
      </w:r>
      <w:r>
        <w:rPr>
          <w:rFonts w:hint="eastAsia" w:ascii="Times New Roman" w:hAnsi="Times New Roman" w:cs="Times New Roman"/>
          <w:color w:val="auto"/>
          <w:szCs w:val="24"/>
          <w:lang w:eastAsia="zh-CN"/>
        </w:rPr>
        <w:t>计算机、通信和其他电子设备制造业39</w:t>
      </w:r>
      <w:r>
        <w:rPr>
          <w:rFonts w:ascii="Times New Roman" w:hAnsi="Times New Roman" w:cs="Times New Roman"/>
          <w:color w:val="auto"/>
          <w:szCs w:val="24"/>
          <w:lang w:eastAsia="zh-CN"/>
        </w:rPr>
        <w:t>”中的“</w:t>
      </w:r>
      <w:r>
        <w:rPr>
          <w:rFonts w:hint="eastAsia" w:ascii="Times New Roman" w:hAnsi="Times New Roman" w:cs="Times New Roman"/>
          <w:color w:val="auto"/>
          <w:szCs w:val="24"/>
          <w:lang w:eastAsia="zh-CN"/>
        </w:rPr>
        <w:t>81电子元件及电子专用材料制造398</w:t>
      </w:r>
      <w:r>
        <w:rPr>
          <w:rFonts w:ascii="Times New Roman" w:hAnsi="Times New Roman" w:cs="Times New Roman"/>
          <w:color w:val="auto"/>
          <w:szCs w:val="24"/>
          <w:lang w:eastAsia="zh-CN"/>
        </w:rPr>
        <w:t>，</w:t>
      </w:r>
      <w:r>
        <w:rPr>
          <w:rFonts w:hint="eastAsia" w:ascii="Times New Roman" w:hAnsi="Times New Roman" w:cs="Times New Roman"/>
          <w:color w:val="auto"/>
          <w:szCs w:val="24"/>
          <w:lang w:eastAsia="zh-CN"/>
        </w:rPr>
        <w:t>半导体材料制造；电子化工材料制造</w:t>
      </w:r>
      <w:r>
        <w:rPr>
          <w:rFonts w:ascii="Times New Roman" w:hAnsi="Times New Roman" w:cs="Times New Roman"/>
          <w:color w:val="auto"/>
          <w:szCs w:val="24"/>
          <w:lang w:eastAsia="zh-CN"/>
        </w:rPr>
        <w:t>”，应编制</w:t>
      </w:r>
      <w:r>
        <w:rPr>
          <w:rFonts w:hint="eastAsia" w:ascii="Times New Roman" w:hAnsi="Times New Roman" w:cs="Times New Roman"/>
          <w:color w:val="auto"/>
          <w:szCs w:val="24"/>
          <w:lang w:eastAsia="zh-CN"/>
        </w:rPr>
        <w:t>生态</w:t>
      </w:r>
      <w:r>
        <w:rPr>
          <w:rFonts w:ascii="Times New Roman" w:hAnsi="Times New Roman" w:cs="Times New Roman"/>
          <w:color w:val="auto"/>
          <w:szCs w:val="24"/>
          <w:lang w:eastAsia="zh-CN"/>
        </w:rPr>
        <w:t>环境影响报告</w:t>
      </w:r>
      <w:r>
        <w:rPr>
          <w:rFonts w:hint="eastAsia" w:ascii="Times New Roman" w:hAnsi="Times New Roman" w:cs="Times New Roman"/>
          <w:color w:val="auto"/>
          <w:szCs w:val="24"/>
          <w:lang w:eastAsia="zh-CN"/>
        </w:rPr>
        <w:t>书；故本项目应编制生态环境影响报告书。</w:t>
      </w:r>
    </w:p>
    <w:p w14:paraId="0D0BCC56">
      <w:pPr>
        <w:widowControl w:val="0"/>
        <w:topLinePunct/>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bCs/>
          <w:color w:val="auto"/>
          <w:szCs w:val="24"/>
          <w:lang w:eastAsia="zh-CN"/>
        </w:rPr>
        <w:t>我公司接受委托后，及时组织有关专业技术人员赴现场踏勘、调研，收集了与项目有关的工程技术资料，并进行了工程分析和环境影响预测，在此基础上，按照国家对建设项目环境影响评价的有关规定、相关环保政策与技术规范，编制完成了《</w:t>
      </w:r>
      <w:r>
        <w:rPr>
          <w:rFonts w:hint="eastAsia" w:ascii="Times New Roman" w:hAnsi="Times New Roman" w:cs="Times New Roman"/>
          <w:color w:val="auto"/>
          <w:szCs w:val="24"/>
          <w:lang w:eastAsia="zh-CN"/>
        </w:rPr>
        <w:t>安徽氟瑞星化工</w:t>
      </w:r>
      <w:r>
        <w:rPr>
          <w:rFonts w:ascii="Times New Roman" w:hAnsi="Times New Roman" w:cs="Times New Roman"/>
          <w:color w:val="auto"/>
          <w:szCs w:val="24"/>
          <w:lang w:eastAsia="zh-CN"/>
        </w:rPr>
        <w:t>有限公司</w:t>
      </w:r>
      <w:r>
        <w:rPr>
          <w:rFonts w:hint="eastAsia" w:ascii="Times New Roman" w:hAnsi="Times New Roman" w:eastAsia="新宋体" w:cs="Times New Roman"/>
          <w:szCs w:val="24"/>
          <w:lang w:eastAsia="zh-CN"/>
        </w:rPr>
        <w:t>年产5万吨化学纯氢氟酸及1.5万吨刻蚀液扩产项目生态</w:t>
      </w:r>
      <w:r>
        <w:rPr>
          <w:rFonts w:ascii="Times New Roman" w:hAnsi="Times New Roman" w:cs="Times New Roman"/>
          <w:color w:val="auto"/>
          <w:szCs w:val="24"/>
          <w:lang w:eastAsia="zh-CN"/>
        </w:rPr>
        <w:t>环境影响报告书</w:t>
      </w:r>
      <w:r>
        <w:rPr>
          <w:rFonts w:ascii="Times New Roman" w:hAnsi="Times New Roman" w:cs="Times New Roman"/>
          <w:bCs/>
          <w:color w:val="auto"/>
          <w:szCs w:val="24"/>
          <w:lang w:eastAsia="zh-CN"/>
        </w:rPr>
        <w:t>》，现呈报生态环境主管部门审批。</w:t>
      </w:r>
    </w:p>
    <w:p w14:paraId="4B4AE382">
      <w:pPr>
        <w:widowControl w:val="0"/>
        <w:spacing w:line="360" w:lineRule="auto"/>
        <w:ind w:firstLine="562" w:firstLineChars="200"/>
        <w:jc w:val="both"/>
        <w:outlineLvl w:val="1"/>
        <w:rPr>
          <w:rFonts w:ascii="Times New Roman" w:hAnsi="Times New Roman" w:eastAsia="新宋体" w:cs="Times New Roman"/>
          <w:b/>
          <w:bCs/>
          <w:color w:val="auto"/>
          <w:sz w:val="28"/>
          <w:szCs w:val="28"/>
          <w:lang w:eastAsia="zh-CN"/>
        </w:rPr>
      </w:pPr>
      <w:bookmarkStart w:id="7" w:name="_Toc237508225"/>
      <w:r>
        <w:rPr>
          <w:rFonts w:ascii="Times New Roman" w:hAnsi="Times New Roman" w:eastAsia="新宋体" w:cs="Times New Roman"/>
          <w:b/>
          <w:bCs/>
          <w:color w:val="auto"/>
          <w:sz w:val="28"/>
          <w:szCs w:val="28"/>
          <w:lang w:eastAsia="zh-CN"/>
        </w:rPr>
        <w:t>1.2 项目特点</w:t>
      </w:r>
      <w:bookmarkEnd w:id="7"/>
    </w:p>
    <w:p w14:paraId="1306BD9C">
      <w:pPr>
        <w:widowControl w:val="0"/>
        <w:topLinePunct/>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（1）本项目为</w:t>
      </w:r>
      <w:r>
        <w:rPr>
          <w:rFonts w:hint="eastAsia" w:ascii="Times New Roman" w:hAnsi="Times New Roman" w:eastAsia="新宋体" w:cs="Times New Roman"/>
          <w:color w:val="auto"/>
          <w:szCs w:val="24"/>
          <w:lang w:eastAsia="zh-CN"/>
        </w:rPr>
        <w:t>改扩建</w:t>
      </w:r>
      <w:r>
        <w:rPr>
          <w:rFonts w:ascii="Times New Roman" w:hAnsi="Times New Roman" w:eastAsia="新宋体" w:cs="Times New Roman"/>
          <w:color w:val="auto"/>
          <w:szCs w:val="24"/>
          <w:lang w:eastAsia="zh-CN"/>
        </w:rPr>
        <w:t>项目，位于蚌埠精细化工高新技术产业基地，园区供水、供电等基础设施较完善。</w:t>
      </w:r>
    </w:p>
    <w:p w14:paraId="04A4B2D0">
      <w:pPr>
        <w:widowControl w:val="0"/>
        <w:topLinePunct/>
        <w:spacing w:line="360" w:lineRule="auto"/>
        <w:ind w:firstLine="480" w:firstLineChars="200"/>
        <w:jc w:val="both"/>
        <w:rPr>
          <w:rFonts w:ascii="Times New Roman" w:hAnsi="Times New Roman" w:cs="Times New Roman"/>
          <w:color w:val="auto"/>
          <w:lang w:eastAsia="zh-CN"/>
        </w:rPr>
      </w:pPr>
      <w:r>
        <w:rPr>
          <w:rFonts w:ascii="Times New Roman" w:hAnsi="Times New Roman" w:eastAsia="新宋体" w:cs="Times New Roman"/>
          <w:color w:val="auto"/>
          <w:szCs w:val="24"/>
          <w:lang w:eastAsia="zh-CN"/>
        </w:rPr>
        <w:t>（2）</w:t>
      </w:r>
      <w:r>
        <w:rPr>
          <w:rFonts w:hint="eastAsia" w:ascii="Times New Roman" w:hAnsi="Times New Roman" w:eastAsia="新宋体" w:cs="Times New Roman"/>
          <w:color w:val="auto"/>
          <w:szCs w:val="24"/>
          <w:lang w:eastAsia="zh-CN"/>
        </w:rPr>
        <w:t>本项目产品为化学纯氢氟酸、刻蚀液，化学纯氢氟酸主要用于石英砂、硅片清洗工序，</w:t>
      </w:r>
      <w:r>
        <w:rPr>
          <w:rFonts w:ascii="Times New Roman" w:hAnsi="Times New Roman" w:eastAsia="新宋体" w:cs="Times New Roman"/>
          <w:color w:val="auto"/>
          <w:szCs w:val="24"/>
          <w:lang w:eastAsia="zh-CN"/>
        </w:rPr>
        <w:t>刻蚀液主要用</w:t>
      </w:r>
      <w:r>
        <w:rPr>
          <w:rFonts w:hint="eastAsia" w:ascii="Times New Roman" w:hAnsi="Times New Roman" w:eastAsia="新宋体" w:cs="Times New Roman"/>
          <w:color w:val="auto"/>
          <w:szCs w:val="24"/>
          <w:lang w:eastAsia="zh-CN"/>
        </w:rPr>
        <w:t>于</w:t>
      </w:r>
      <w:r>
        <w:rPr>
          <w:rFonts w:ascii="Times New Roman" w:hAnsi="Times New Roman" w:eastAsia="新宋体" w:cs="Times New Roman"/>
          <w:color w:val="auto"/>
          <w:szCs w:val="24"/>
          <w:lang w:eastAsia="zh-CN"/>
        </w:rPr>
        <w:t>大规模集成电路、半导体、液晶显示面板等电子行业蚀刻工段</w:t>
      </w:r>
      <w:r>
        <w:rPr>
          <w:rFonts w:hint="eastAsia" w:ascii="Times New Roman" w:hAnsi="Times New Roman" w:eastAsia="新宋体" w:cs="Times New Roman"/>
          <w:color w:val="auto"/>
          <w:szCs w:val="24"/>
          <w:lang w:eastAsia="zh-CN"/>
        </w:rPr>
        <w:t>。</w:t>
      </w:r>
      <w:r>
        <w:rPr>
          <w:rFonts w:ascii="Times New Roman" w:hAnsi="Times New Roman" w:cs="Times New Roman"/>
          <w:color w:val="auto"/>
          <w:lang w:eastAsia="zh-CN"/>
        </w:rPr>
        <w:t>对照《国民经济行业分类》（GB/T4754-2017），本项目行业类别为“</w:t>
      </w:r>
      <w:r>
        <w:rPr>
          <w:rFonts w:hint="eastAsia" w:ascii="Times New Roman" w:hAnsi="Times New Roman" w:cs="Times New Roman"/>
          <w:color w:val="auto"/>
          <w:lang w:eastAsia="zh-CN"/>
        </w:rPr>
        <w:t>C2669其他专用化学产品制造、C3985电子专用材料制造</w:t>
      </w:r>
      <w:r>
        <w:rPr>
          <w:rFonts w:ascii="Times New Roman" w:hAnsi="Times New Roman" w:cs="Times New Roman"/>
          <w:color w:val="auto"/>
          <w:lang w:eastAsia="zh-CN"/>
        </w:rPr>
        <w:t>”，本项目位于</w:t>
      </w:r>
      <w:r>
        <w:rPr>
          <w:rFonts w:ascii="Times New Roman" w:hAnsi="Times New Roman" w:eastAsia="新宋体" w:cs="Times New Roman"/>
          <w:color w:val="auto"/>
          <w:szCs w:val="24"/>
          <w:lang w:eastAsia="zh-CN"/>
        </w:rPr>
        <w:t>蚌埠精细化工高新技术产业基地</w:t>
      </w:r>
      <w:r>
        <w:rPr>
          <w:rFonts w:ascii="Times New Roman" w:hAnsi="Times New Roman" w:cs="Times New Roman"/>
          <w:color w:val="auto"/>
          <w:lang w:eastAsia="zh-CN"/>
        </w:rPr>
        <w:t>，对照</w:t>
      </w:r>
      <w:r>
        <w:rPr>
          <w:rFonts w:ascii="Times New Roman" w:hAnsi="Times New Roman" w:eastAsia="新宋体" w:cs="Times New Roman"/>
          <w:color w:val="auto"/>
          <w:szCs w:val="24"/>
          <w:lang w:eastAsia="zh-CN"/>
        </w:rPr>
        <w:t>蚌埠精细化工高新技术产业基地生态</w:t>
      </w:r>
      <w:r>
        <w:rPr>
          <w:rFonts w:ascii="Times New Roman" w:hAnsi="Times New Roman" w:cs="Times New Roman"/>
          <w:color w:val="auto"/>
          <w:lang w:eastAsia="zh-CN"/>
        </w:rPr>
        <w:t>环境准入清单，本项目属于其中鼓励类项目。</w:t>
      </w:r>
    </w:p>
    <w:p w14:paraId="3D6C7E53">
      <w:pPr>
        <w:widowControl w:val="0"/>
        <w:topLinePunct/>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3）对照《产业结构调整指导目录（2024年本）》，本项目不属于目录中的淘汰类和限制类，视为允许建设项目；本项目未列入《安徽省工业产业结构调整指导目录（2007年本）》中限制、淘汰类之列，视为允许建设项目，因此，本项目的建设符合国家及地方的产业政策。</w:t>
      </w:r>
    </w:p>
    <w:p w14:paraId="063708CD">
      <w:pPr>
        <w:widowControl w:val="0"/>
        <w:topLinePunct/>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（4）</w:t>
      </w:r>
      <w:r>
        <w:rPr>
          <w:rFonts w:ascii="Times New Roman" w:hAnsi="Times New Roman" w:cs="Times New Roman"/>
          <w:color w:val="auto"/>
          <w:lang w:eastAsia="zh-CN"/>
        </w:rPr>
        <w:t>本项目采用先进的生产工艺，在保证生产过程中稳定可靠运行前提下。在设备安装的过程中将尽可能提高集中控制和自动化水平，在过程控制上减少人工操作中间环节。项目计划采用DCS控制系统；生产过程不同物料通过输送系统运送至生产设备，从源头避免物料转运、输送环节的“跑、冒、滴、漏”现象，提高物料使用效率。</w:t>
      </w:r>
    </w:p>
    <w:p w14:paraId="6183069F">
      <w:pPr>
        <w:widowControl w:val="0"/>
        <w:topLinePunct/>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（5）治理措施：</w:t>
      </w:r>
    </w:p>
    <w:p w14:paraId="7AA1F692">
      <w:pPr>
        <w:widowControl w:val="0"/>
        <w:topLinePunct/>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fldChar w:fldCharType="begin"/>
      </w:r>
      <w:r>
        <w:rPr>
          <w:rFonts w:ascii="Times New Roman" w:hAnsi="Times New Roman" w:eastAsia="新宋体" w:cs="Times New Roman"/>
          <w:color w:val="auto"/>
          <w:szCs w:val="24"/>
          <w:lang w:eastAsia="zh-CN"/>
        </w:rPr>
        <w:instrText xml:space="preserve"> </w:instrText>
      </w:r>
      <w:r>
        <w:rPr>
          <w:rFonts w:hint="eastAsia" w:ascii="Times New Roman" w:hAnsi="Times New Roman" w:eastAsia="新宋体" w:cs="Times New Roman"/>
          <w:color w:val="auto"/>
          <w:szCs w:val="24"/>
          <w:lang w:eastAsia="zh-CN"/>
        </w:rPr>
        <w:instrText xml:space="preserve">= 1 \* GB3</w:instrText>
      </w:r>
      <w:r>
        <w:rPr>
          <w:rFonts w:ascii="Times New Roman" w:hAnsi="Times New Roman" w:eastAsia="新宋体" w:cs="Times New Roman"/>
          <w:color w:val="auto"/>
          <w:szCs w:val="24"/>
          <w:lang w:eastAsia="zh-CN"/>
        </w:rPr>
        <w:instrText xml:space="preserve"> </w:instrText>
      </w:r>
      <w:r>
        <w:rPr>
          <w:rFonts w:ascii="Times New Roman" w:hAnsi="Times New Roman" w:eastAsia="新宋体" w:cs="Times New Roman"/>
          <w:color w:val="auto"/>
          <w:szCs w:val="24"/>
          <w:lang w:eastAsia="zh-CN"/>
        </w:rPr>
        <w:fldChar w:fldCharType="separate"/>
      </w:r>
      <w:r>
        <w:rPr>
          <w:rFonts w:hint="eastAsia" w:ascii="Times New Roman" w:hAnsi="Times New Roman" w:eastAsia="新宋体" w:cs="Times New Roman"/>
          <w:color w:val="auto"/>
          <w:szCs w:val="24"/>
          <w:lang w:eastAsia="zh-CN"/>
        </w:rPr>
        <w:t>①</w:t>
      </w:r>
      <w:r>
        <w:rPr>
          <w:rFonts w:ascii="Times New Roman" w:hAnsi="Times New Roman" w:eastAsia="新宋体" w:cs="Times New Roman"/>
          <w:color w:val="auto"/>
          <w:szCs w:val="24"/>
          <w:lang w:eastAsia="zh-CN"/>
        </w:rPr>
        <w:fldChar w:fldCharType="end"/>
      </w:r>
      <w:r>
        <w:rPr>
          <w:rFonts w:ascii="Times New Roman" w:hAnsi="Times New Roman" w:eastAsia="新宋体" w:cs="Times New Roman"/>
          <w:color w:val="auto"/>
          <w:szCs w:val="24"/>
          <w:lang w:eastAsia="zh-CN"/>
        </w:rPr>
        <w:t>废水：</w:t>
      </w:r>
      <w:bookmarkStart w:id="8" w:name="_Hlk202962763"/>
      <w:r>
        <w:rPr>
          <w:rFonts w:ascii="Times New Roman" w:hAnsi="Times New Roman" w:eastAsia="新宋体" w:cs="Times New Roman"/>
          <w:color w:val="auto"/>
          <w:szCs w:val="24"/>
          <w:lang w:eastAsia="zh-CN"/>
        </w:rPr>
        <w:t>本项目采取雨污分流，清污分流，项目废水主要为</w:t>
      </w:r>
      <w:r>
        <w:rPr>
          <w:rFonts w:hint="eastAsia" w:ascii="Times New Roman" w:hAnsi="Times New Roman" w:eastAsia="新宋体" w:cs="Times New Roman"/>
          <w:color w:val="auto"/>
          <w:szCs w:val="24"/>
          <w:lang w:eastAsia="zh-CN"/>
        </w:rPr>
        <w:t>碱</w:t>
      </w:r>
      <w:r>
        <w:rPr>
          <w:rFonts w:ascii="Times New Roman" w:hAnsi="Times New Roman" w:eastAsia="新宋体" w:cs="Times New Roman"/>
          <w:color w:val="auto"/>
          <w:szCs w:val="24"/>
          <w:lang w:eastAsia="zh-CN"/>
        </w:rPr>
        <w:t>喷淋塔置换废水、地面清洁废水、循环冷却置换废水以及初期雨水等</w:t>
      </w:r>
      <w:r>
        <w:rPr>
          <w:rFonts w:hint="eastAsia" w:ascii="Times New Roman" w:hAnsi="Times New Roman" w:eastAsia="新宋体" w:cs="Times New Roman"/>
          <w:color w:val="auto"/>
          <w:szCs w:val="24"/>
          <w:lang w:eastAsia="zh-CN"/>
        </w:rPr>
        <w:t>。</w:t>
      </w:r>
      <w:bookmarkEnd w:id="8"/>
      <w:r>
        <w:rPr>
          <w:rFonts w:hint="eastAsia" w:ascii="Times New Roman" w:hAnsi="Times New Roman" w:eastAsia="新宋体" w:cs="Times New Roman"/>
          <w:color w:val="auto"/>
          <w:szCs w:val="24"/>
          <w:lang w:eastAsia="zh-CN"/>
        </w:rPr>
        <w:t>碱</w:t>
      </w:r>
      <w:r>
        <w:rPr>
          <w:rFonts w:ascii="Times New Roman" w:hAnsi="Times New Roman" w:eastAsia="新宋体" w:cs="Times New Roman"/>
          <w:color w:val="auto"/>
          <w:szCs w:val="24"/>
          <w:lang w:eastAsia="zh-CN"/>
        </w:rPr>
        <w:t>喷淋塔置换废水、</w:t>
      </w:r>
      <w:r>
        <w:rPr>
          <w:rFonts w:ascii="Times New Roman" w:hAnsi="Times New Roman" w:cs="Times New Roman"/>
          <w:color w:val="auto"/>
          <w:lang w:eastAsia="zh-CN"/>
        </w:rPr>
        <w:t>地面清洁废水</w:t>
      </w:r>
      <w:r>
        <w:rPr>
          <w:rFonts w:hint="eastAsia" w:ascii="Times New Roman" w:hAnsi="Times New Roman" w:cs="Times New Roman"/>
          <w:color w:val="auto"/>
          <w:lang w:eastAsia="zh-CN"/>
        </w:rPr>
        <w:t>依托现有厂区</w:t>
      </w:r>
      <w:r>
        <w:rPr>
          <w:rFonts w:ascii="Times New Roman" w:hAnsi="Times New Roman" w:cs="Times New Roman"/>
          <w:color w:val="auto"/>
          <w:lang w:eastAsia="zh-CN"/>
        </w:rPr>
        <w:t>污水处理站</w:t>
      </w:r>
      <w:r>
        <w:rPr>
          <w:rFonts w:hint="eastAsia" w:ascii="Times New Roman" w:hAnsi="Times New Roman" w:cs="Times New Roman"/>
          <w:color w:val="auto"/>
          <w:lang w:eastAsia="zh-CN"/>
        </w:rPr>
        <w:t>“</w:t>
      </w:r>
      <w:r>
        <w:rPr>
          <w:rFonts w:ascii="Times New Roman" w:hAnsi="Times New Roman" w:cs="Times New Roman"/>
          <w:color w:val="auto"/>
          <w:lang w:eastAsia="zh-CN"/>
        </w:rPr>
        <w:t>四级除氟反应+四级除氟沉淀</w:t>
      </w:r>
      <w:r>
        <w:rPr>
          <w:rFonts w:hint="eastAsia" w:ascii="Times New Roman" w:hAnsi="Times New Roman" w:cs="Times New Roman"/>
          <w:color w:val="auto"/>
          <w:lang w:eastAsia="zh-CN"/>
        </w:rPr>
        <w:t>”</w:t>
      </w:r>
      <w:r>
        <w:rPr>
          <w:rFonts w:ascii="Times New Roman" w:hAnsi="Times New Roman" w:cs="Times New Roman"/>
          <w:color w:val="auto"/>
          <w:lang w:eastAsia="zh-CN"/>
        </w:rPr>
        <w:t>处理后，</w:t>
      </w:r>
      <w:r>
        <w:rPr>
          <w:rFonts w:hint="eastAsia" w:ascii="Times New Roman" w:hAnsi="Times New Roman" w:cs="Times New Roman"/>
          <w:color w:val="auto"/>
          <w:lang w:eastAsia="zh-CN"/>
        </w:rPr>
        <w:t>与</w:t>
      </w:r>
      <w:r>
        <w:rPr>
          <w:rFonts w:ascii="Times New Roman" w:hAnsi="Times New Roman" w:eastAsia="新宋体" w:cs="Times New Roman"/>
          <w:color w:val="auto"/>
          <w:szCs w:val="24"/>
          <w:lang w:eastAsia="zh-CN"/>
        </w:rPr>
        <w:t>循环冷却置换废水</w:t>
      </w:r>
      <w:r>
        <w:rPr>
          <w:rFonts w:hint="eastAsia" w:ascii="Times New Roman" w:hAnsi="Times New Roman" w:eastAsia="新宋体" w:cs="Times New Roman"/>
          <w:color w:val="auto"/>
          <w:szCs w:val="24"/>
          <w:lang w:eastAsia="zh-CN"/>
        </w:rPr>
        <w:t>、生活污水一同</w:t>
      </w:r>
      <w:r>
        <w:rPr>
          <w:rFonts w:ascii="Times New Roman" w:hAnsi="Times New Roman" w:cs="Times New Roman"/>
          <w:color w:val="auto"/>
          <w:lang w:eastAsia="zh-CN"/>
        </w:rPr>
        <w:t>排入园区污水管网，进入沫河口污水处理厂处理</w:t>
      </w:r>
      <w:r>
        <w:rPr>
          <w:rFonts w:hint="eastAsia" w:ascii="Times New Roman" w:hAnsi="Times New Roman" w:cs="Times New Roman"/>
          <w:color w:val="auto"/>
          <w:lang w:eastAsia="zh-CN"/>
        </w:rPr>
        <w:t>，</w:t>
      </w:r>
      <w:r>
        <w:rPr>
          <w:rFonts w:ascii="Times New Roman" w:hAnsi="Times New Roman" w:cs="Times New Roman"/>
          <w:color w:val="auto"/>
          <w:lang w:eastAsia="zh-CN"/>
        </w:rPr>
        <w:t>沫河口污水处理厂尾水达到《城镇污水处理厂污染物排放标准》（GB18918-2002）中一级 A 标准后，排入</w:t>
      </w:r>
      <w:r>
        <w:rPr>
          <w:rFonts w:ascii="Times New Roman" w:hAnsi="Times New Roman" w:cs="Times New Roman"/>
          <w:color w:val="auto"/>
          <w:szCs w:val="24"/>
          <w:lang w:eastAsia="zh-CN"/>
        </w:rPr>
        <w:t>三铺大沟</w:t>
      </w:r>
      <w:r>
        <w:rPr>
          <w:rFonts w:ascii="Times New Roman" w:hAnsi="Times New Roman" w:cs="Times New Roman"/>
          <w:color w:val="auto"/>
          <w:lang w:eastAsia="zh-CN"/>
        </w:rPr>
        <w:t>，最终汇入淮河</w:t>
      </w:r>
      <w:r>
        <w:rPr>
          <w:rFonts w:ascii="Times New Roman" w:hAnsi="Times New Roman" w:cs="Times New Roman"/>
          <w:color w:val="auto"/>
          <w:szCs w:val="24"/>
          <w:lang w:eastAsia="zh-CN"/>
        </w:rPr>
        <w:t>。</w:t>
      </w:r>
    </w:p>
    <w:p w14:paraId="327D4610">
      <w:pPr>
        <w:widowControl w:val="0"/>
        <w:topLinePunct/>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fldChar w:fldCharType="begin"/>
      </w:r>
      <w:r>
        <w:rPr>
          <w:rFonts w:ascii="Times New Roman" w:hAnsi="Times New Roman" w:eastAsia="新宋体" w:cs="Times New Roman"/>
          <w:color w:val="auto"/>
          <w:szCs w:val="24"/>
          <w:lang w:eastAsia="zh-CN"/>
        </w:rPr>
        <w:instrText xml:space="preserve"> </w:instrText>
      </w:r>
      <w:r>
        <w:rPr>
          <w:rFonts w:hint="eastAsia" w:ascii="Times New Roman" w:hAnsi="Times New Roman" w:eastAsia="新宋体" w:cs="Times New Roman"/>
          <w:color w:val="auto"/>
          <w:szCs w:val="24"/>
          <w:lang w:eastAsia="zh-CN"/>
        </w:rPr>
        <w:instrText xml:space="preserve">= 2 \* GB3</w:instrText>
      </w:r>
      <w:r>
        <w:rPr>
          <w:rFonts w:ascii="Times New Roman" w:hAnsi="Times New Roman" w:eastAsia="新宋体" w:cs="Times New Roman"/>
          <w:color w:val="auto"/>
          <w:szCs w:val="24"/>
          <w:lang w:eastAsia="zh-CN"/>
        </w:rPr>
        <w:instrText xml:space="preserve"> </w:instrText>
      </w:r>
      <w:r>
        <w:rPr>
          <w:rFonts w:ascii="Times New Roman" w:hAnsi="Times New Roman" w:eastAsia="新宋体" w:cs="Times New Roman"/>
          <w:color w:val="auto"/>
          <w:szCs w:val="24"/>
          <w:lang w:eastAsia="zh-CN"/>
        </w:rPr>
        <w:fldChar w:fldCharType="separate"/>
      </w:r>
      <w:r>
        <w:rPr>
          <w:rFonts w:hint="eastAsia" w:ascii="Times New Roman" w:hAnsi="Times New Roman" w:eastAsia="新宋体" w:cs="Times New Roman"/>
          <w:color w:val="auto"/>
          <w:szCs w:val="24"/>
          <w:lang w:eastAsia="zh-CN"/>
        </w:rPr>
        <w:t>②</w:t>
      </w:r>
      <w:r>
        <w:rPr>
          <w:rFonts w:ascii="Times New Roman" w:hAnsi="Times New Roman" w:eastAsia="新宋体" w:cs="Times New Roman"/>
          <w:color w:val="auto"/>
          <w:szCs w:val="24"/>
          <w:lang w:eastAsia="zh-CN"/>
        </w:rPr>
        <w:fldChar w:fldCharType="end"/>
      </w:r>
      <w:r>
        <w:rPr>
          <w:rFonts w:ascii="Times New Roman" w:hAnsi="Times New Roman" w:eastAsia="新宋体" w:cs="Times New Roman"/>
          <w:color w:val="auto"/>
          <w:szCs w:val="24"/>
          <w:lang w:eastAsia="zh-CN"/>
        </w:rPr>
        <w:t>废气：本项目</w:t>
      </w:r>
      <w:r>
        <w:rPr>
          <w:rFonts w:hint="eastAsia" w:ascii="Times New Roman" w:hAnsi="Times New Roman" w:eastAsia="新宋体" w:cs="Times New Roman"/>
          <w:color w:val="auto"/>
          <w:szCs w:val="24"/>
          <w:lang w:eastAsia="zh-CN"/>
        </w:rPr>
        <w:t>化学纯氢氟酸</w:t>
      </w:r>
      <w:r>
        <w:rPr>
          <w:rFonts w:ascii="Times New Roman" w:hAnsi="Times New Roman" w:eastAsia="新宋体" w:cs="Times New Roman"/>
          <w:color w:val="auto"/>
          <w:szCs w:val="24"/>
          <w:lang w:eastAsia="zh-CN"/>
        </w:rPr>
        <w:t>生产</w:t>
      </w:r>
      <w:r>
        <w:rPr>
          <w:rFonts w:hint="eastAsia" w:ascii="Times New Roman" w:hAnsi="Times New Roman" w:eastAsia="新宋体" w:cs="Times New Roman"/>
          <w:color w:val="auto"/>
          <w:szCs w:val="24"/>
          <w:lang w:eastAsia="zh-CN"/>
        </w:rPr>
        <w:t>工艺废气、无水氟化氢储罐、原料及产品罐区1</w:t>
      </w:r>
      <w:r>
        <w:rPr>
          <w:rFonts w:hint="eastAsia" w:ascii="Times New Roman" w:hAnsi="Times New Roman" w:eastAsia="新宋体" w:cs="Times New Roman"/>
          <w:bCs/>
          <w:color w:val="auto"/>
          <w:szCs w:val="24"/>
          <w:lang w:eastAsia="zh-CN"/>
        </w:rPr>
        <w:t>5%氟化氢水溶液储罐、化学纯氢氟酸储罐呼吸气</w:t>
      </w:r>
      <w:r>
        <w:rPr>
          <w:rFonts w:hint="eastAsia" w:ascii="Times New Roman" w:hAnsi="Times New Roman" w:eastAsia="新宋体" w:cs="Times New Roman"/>
          <w:color w:val="auto"/>
          <w:szCs w:val="24"/>
          <w:lang w:eastAsia="zh-CN"/>
        </w:rPr>
        <w:t>经管道收集</w:t>
      </w:r>
      <w:r>
        <w:rPr>
          <w:rFonts w:ascii="Times New Roman" w:hAnsi="Times New Roman" w:eastAsia="新宋体" w:cs="Times New Roman"/>
          <w:color w:val="auto"/>
          <w:szCs w:val="24"/>
          <w:lang w:eastAsia="zh-CN"/>
        </w:rPr>
        <w:t>，</w:t>
      </w:r>
      <w:bookmarkStart w:id="9" w:name="_Hlk219124358"/>
      <w:r>
        <w:rPr>
          <w:rFonts w:hint="eastAsia" w:ascii="Times New Roman" w:hAnsi="Times New Roman" w:eastAsia="新宋体" w:cs="Times New Roman"/>
          <w:color w:val="auto"/>
          <w:szCs w:val="24"/>
          <w:lang w:eastAsia="zh-CN"/>
        </w:rPr>
        <w:t>灌装废气经密闭负压收集，</w:t>
      </w:r>
      <w:bookmarkEnd w:id="9"/>
      <w:r>
        <w:rPr>
          <w:rFonts w:hint="eastAsia" w:ascii="Times New Roman" w:hAnsi="Times New Roman" w:eastAsia="新宋体" w:cs="Times New Roman"/>
          <w:bCs/>
          <w:color w:val="auto"/>
          <w:szCs w:val="24"/>
          <w:lang w:eastAsia="zh-CN"/>
        </w:rPr>
        <w:t>依托现有二级水喷淋塔（TA001）预处理；</w:t>
      </w:r>
      <w:r>
        <w:rPr>
          <w:rFonts w:hint="eastAsia" w:ascii="Times New Roman" w:hAnsi="Times New Roman" w:eastAsia="新宋体" w:cs="Times New Roman"/>
          <w:color w:val="auto"/>
          <w:szCs w:val="24"/>
          <w:lang w:eastAsia="zh-CN"/>
        </w:rPr>
        <w:t>刻蚀液</w:t>
      </w:r>
      <w:r>
        <w:rPr>
          <w:rFonts w:ascii="Times New Roman" w:hAnsi="Times New Roman" w:eastAsia="新宋体" w:cs="Times New Roman"/>
          <w:color w:val="auto"/>
          <w:szCs w:val="24"/>
          <w:lang w:eastAsia="zh-CN"/>
        </w:rPr>
        <w:t>生产</w:t>
      </w:r>
      <w:r>
        <w:rPr>
          <w:rFonts w:hint="eastAsia" w:ascii="Times New Roman" w:hAnsi="Times New Roman" w:eastAsia="新宋体" w:cs="Times New Roman"/>
          <w:color w:val="auto"/>
          <w:szCs w:val="24"/>
          <w:lang w:eastAsia="zh-CN"/>
        </w:rPr>
        <w:t>工艺废气、戊类罐区二</w:t>
      </w:r>
      <w:r>
        <w:rPr>
          <w:rFonts w:hint="eastAsia" w:ascii="Times New Roman" w:hAnsi="Times New Roman" w:eastAsia="新宋体" w:cs="Times New Roman"/>
          <w:bCs/>
          <w:color w:val="auto"/>
          <w:szCs w:val="24"/>
          <w:lang w:eastAsia="zh-CN"/>
        </w:rPr>
        <w:t>31%盐酸储罐、</w:t>
      </w:r>
      <w:r>
        <w:rPr>
          <w:rFonts w:ascii="Times New Roman" w:hAnsi="Times New Roman" w:eastAsia="新宋体" w:cs="Times New Roman"/>
          <w:bCs/>
          <w:color w:val="auto"/>
          <w:szCs w:val="24"/>
          <w:lang w:eastAsia="zh-CN"/>
        </w:rPr>
        <w:t>化学纯氢氟酸储罐</w:t>
      </w:r>
      <w:r>
        <w:rPr>
          <w:rFonts w:hint="eastAsia" w:ascii="Times New Roman" w:hAnsi="Times New Roman" w:eastAsia="新宋体" w:cs="Times New Roman"/>
          <w:bCs/>
          <w:color w:val="auto"/>
          <w:szCs w:val="24"/>
          <w:lang w:eastAsia="zh-CN"/>
        </w:rPr>
        <w:t>、刻蚀液储罐呼吸气</w:t>
      </w:r>
      <w:r>
        <w:rPr>
          <w:rFonts w:hint="eastAsia" w:ascii="Times New Roman" w:hAnsi="Times New Roman" w:eastAsia="新宋体" w:cs="Times New Roman"/>
          <w:color w:val="auto"/>
          <w:szCs w:val="24"/>
          <w:lang w:eastAsia="zh-CN"/>
        </w:rPr>
        <w:t>经管道收集，</w:t>
      </w:r>
      <w:r>
        <w:rPr>
          <w:rFonts w:hint="eastAsia" w:ascii="Times New Roman" w:hAnsi="Times New Roman" w:eastAsia="新宋体" w:cs="Times New Roman"/>
          <w:bCs/>
          <w:color w:val="auto"/>
          <w:szCs w:val="24"/>
          <w:lang w:eastAsia="zh-CN"/>
        </w:rPr>
        <w:t>经本次新增二级水喷淋塔（TA003）装置预</w:t>
      </w:r>
      <w:r>
        <w:rPr>
          <w:rFonts w:ascii="Times New Roman" w:hAnsi="Times New Roman" w:eastAsia="新宋体" w:cs="Times New Roman"/>
          <w:bCs/>
          <w:color w:val="auto"/>
          <w:szCs w:val="24"/>
          <w:lang w:eastAsia="zh-CN"/>
        </w:rPr>
        <w:t>处理</w:t>
      </w:r>
      <w:r>
        <w:rPr>
          <w:rFonts w:hint="eastAsia" w:ascii="Times New Roman" w:hAnsi="Times New Roman" w:eastAsia="新宋体" w:cs="Times New Roman"/>
          <w:bCs/>
          <w:color w:val="auto"/>
          <w:szCs w:val="24"/>
          <w:lang w:eastAsia="zh-CN"/>
        </w:rPr>
        <w:t>；预处理后废气经现有三级碱喷淋塔（TA002）+新增一级碱喷淋塔（TA004）装置</w:t>
      </w:r>
      <w:r>
        <w:rPr>
          <w:rFonts w:ascii="Times New Roman" w:hAnsi="Times New Roman" w:eastAsia="新宋体" w:cs="Times New Roman"/>
          <w:bCs/>
          <w:color w:val="auto"/>
          <w:szCs w:val="24"/>
          <w:lang w:eastAsia="zh-CN"/>
        </w:rPr>
        <w:t>处理，处理后</w:t>
      </w:r>
      <w:r>
        <w:rPr>
          <w:rFonts w:hint="eastAsia" w:ascii="Times New Roman" w:hAnsi="Times New Roman" w:eastAsia="新宋体" w:cs="Times New Roman"/>
          <w:bCs/>
          <w:color w:val="auto"/>
          <w:szCs w:val="24"/>
          <w:lang w:eastAsia="zh-CN"/>
        </w:rPr>
        <w:t>经</w:t>
      </w:r>
      <w:r>
        <w:rPr>
          <w:rFonts w:ascii="Times New Roman" w:hAnsi="Times New Roman" w:eastAsia="新宋体" w:cs="Times New Roman"/>
          <w:bCs/>
          <w:color w:val="auto"/>
          <w:szCs w:val="24"/>
          <w:lang w:eastAsia="zh-CN"/>
        </w:rPr>
        <w:t>现有</w:t>
      </w:r>
      <w:r>
        <w:rPr>
          <w:rFonts w:hint="eastAsia" w:ascii="Times New Roman" w:hAnsi="Times New Roman" w:eastAsia="新宋体" w:cs="Times New Roman"/>
          <w:bCs/>
          <w:color w:val="auto"/>
          <w:szCs w:val="24"/>
          <w:lang w:eastAsia="zh-CN"/>
        </w:rPr>
        <w:t>25</w:t>
      </w:r>
      <w:r>
        <w:rPr>
          <w:rFonts w:ascii="Times New Roman" w:hAnsi="Times New Roman" w:eastAsia="新宋体" w:cs="Times New Roman"/>
          <w:bCs/>
          <w:color w:val="auto"/>
          <w:szCs w:val="24"/>
          <w:lang w:eastAsia="zh-CN"/>
        </w:rPr>
        <w:t>m高DA001排气筒排放</w:t>
      </w:r>
      <w:r>
        <w:rPr>
          <w:rFonts w:ascii="Times New Roman" w:hAnsi="Times New Roman" w:eastAsia="新宋体" w:cs="Times New Roman"/>
          <w:color w:val="auto"/>
          <w:szCs w:val="24"/>
          <w:lang w:eastAsia="zh-CN"/>
        </w:rPr>
        <w:t>。</w:t>
      </w:r>
    </w:p>
    <w:p w14:paraId="3CCF3E0B">
      <w:pPr>
        <w:widowControl w:val="0"/>
        <w:topLinePunct/>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项目使用的废气处理措施均为可行技术。</w:t>
      </w:r>
    </w:p>
    <w:p w14:paraId="08254DE9">
      <w:pPr>
        <w:widowControl w:val="0"/>
        <w:topLinePunct/>
        <w:spacing w:line="360" w:lineRule="auto"/>
        <w:ind w:firstLine="480" w:firstLineChars="200"/>
        <w:jc w:val="both"/>
        <w:rPr>
          <w:rFonts w:ascii="Times New Roman" w:hAnsi="Times New Roman" w:cs="Times New Roman"/>
          <w:color w:val="auto"/>
          <w:lang w:eastAsia="zh-CN"/>
        </w:rPr>
      </w:pPr>
      <w:r>
        <w:rPr>
          <w:rFonts w:ascii="Times New Roman" w:hAnsi="Times New Roman" w:eastAsia="新宋体" w:cs="Times New Roman"/>
          <w:color w:val="auto"/>
          <w:szCs w:val="24"/>
          <w:lang w:eastAsia="zh-CN"/>
        </w:rPr>
        <w:fldChar w:fldCharType="begin"/>
      </w:r>
      <w:r>
        <w:rPr>
          <w:rFonts w:ascii="Times New Roman" w:hAnsi="Times New Roman" w:eastAsia="新宋体" w:cs="Times New Roman"/>
          <w:color w:val="auto"/>
          <w:szCs w:val="24"/>
          <w:lang w:eastAsia="zh-CN"/>
        </w:rPr>
        <w:instrText xml:space="preserve"> </w:instrText>
      </w:r>
      <w:r>
        <w:rPr>
          <w:rFonts w:hint="eastAsia" w:ascii="Times New Roman" w:hAnsi="Times New Roman" w:eastAsia="新宋体" w:cs="Times New Roman"/>
          <w:color w:val="auto"/>
          <w:szCs w:val="24"/>
          <w:lang w:eastAsia="zh-CN"/>
        </w:rPr>
        <w:instrText xml:space="preserve">= 3 \* GB3</w:instrText>
      </w:r>
      <w:r>
        <w:rPr>
          <w:rFonts w:ascii="Times New Roman" w:hAnsi="Times New Roman" w:eastAsia="新宋体" w:cs="Times New Roman"/>
          <w:color w:val="auto"/>
          <w:szCs w:val="24"/>
          <w:lang w:eastAsia="zh-CN"/>
        </w:rPr>
        <w:instrText xml:space="preserve"> </w:instrText>
      </w:r>
      <w:r>
        <w:rPr>
          <w:rFonts w:ascii="Times New Roman" w:hAnsi="Times New Roman" w:eastAsia="新宋体" w:cs="Times New Roman"/>
          <w:color w:val="auto"/>
          <w:szCs w:val="24"/>
          <w:lang w:eastAsia="zh-CN"/>
        </w:rPr>
        <w:fldChar w:fldCharType="separate"/>
      </w:r>
      <w:r>
        <w:rPr>
          <w:rFonts w:hint="eastAsia" w:ascii="Times New Roman" w:hAnsi="Times New Roman" w:eastAsia="新宋体" w:cs="Times New Roman"/>
          <w:color w:val="auto"/>
          <w:szCs w:val="24"/>
          <w:lang w:eastAsia="zh-CN"/>
        </w:rPr>
        <w:t>③</w:t>
      </w:r>
      <w:r>
        <w:rPr>
          <w:rFonts w:ascii="Times New Roman" w:hAnsi="Times New Roman" w:eastAsia="新宋体" w:cs="Times New Roman"/>
          <w:color w:val="auto"/>
          <w:szCs w:val="24"/>
          <w:lang w:eastAsia="zh-CN"/>
        </w:rPr>
        <w:fldChar w:fldCharType="end"/>
      </w:r>
      <w:r>
        <w:rPr>
          <w:rFonts w:ascii="Times New Roman" w:hAnsi="Times New Roman" w:eastAsia="新宋体" w:cs="Times New Roman"/>
          <w:color w:val="auto"/>
          <w:szCs w:val="24"/>
          <w:lang w:eastAsia="zh-CN"/>
        </w:rPr>
        <w:t>固废：</w:t>
      </w:r>
      <w:r>
        <w:rPr>
          <w:rFonts w:ascii="Times New Roman" w:hAnsi="Times New Roman" w:cs="Times New Roman"/>
          <w:color w:val="auto"/>
          <w:szCs w:val="24"/>
          <w:lang w:eastAsia="zh-CN"/>
        </w:rPr>
        <w:t>本项目营运期产生固体废物主要有危险废物、一般固废和生活垃圾。危险废物主要为</w:t>
      </w:r>
      <w:r>
        <w:rPr>
          <w:rFonts w:hint="eastAsia" w:ascii="Times New Roman" w:hAnsi="Times New Roman" w:cs="Times New Roman"/>
          <w:color w:val="auto"/>
          <w:szCs w:val="24"/>
          <w:lang w:eastAsia="zh-CN"/>
        </w:rPr>
        <w:t>实验室</w:t>
      </w:r>
      <w:r>
        <w:rPr>
          <w:rFonts w:ascii="Times New Roman" w:hAnsi="Times New Roman" w:cs="Times New Roman"/>
          <w:color w:val="auto"/>
          <w:szCs w:val="24"/>
          <w:lang w:eastAsia="zh-CN"/>
        </w:rPr>
        <w:t>废液</w:t>
      </w:r>
      <w:r>
        <w:rPr>
          <w:rFonts w:hint="eastAsia" w:ascii="Times New Roman" w:hAnsi="Times New Roman" w:cs="Times New Roman"/>
          <w:color w:val="auto"/>
          <w:szCs w:val="24"/>
          <w:lang w:eastAsia="zh-CN"/>
        </w:rPr>
        <w:t>、废机油、</w:t>
      </w:r>
      <w:r>
        <w:rPr>
          <w:rFonts w:hint="eastAsia" w:ascii="Times New Roman" w:hAnsi="Times New Roman" w:cs="Times New Roman"/>
          <w:color w:val="auto"/>
          <w:szCs w:val="24"/>
          <w:lang w:val="en-US" w:eastAsia="zh-CN"/>
        </w:rPr>
        <w:t>废漆桶、</w:t>
      </w:r>
      <w:r>
        <w:rPr>
          <w:rFonts w:hint="eastAsia" w:ascii="Times New Roman" w:hAnsi="Times New Roman" w:cs="Times New Roman"/>
          <w:color w:val="auto"/>
          <w:szCs w:val="24"/>
          <w:lang w:eastAsia="zh-CN"/>
        </w:rPr>
        <w:t>废油桶</w:t>
      </w:r>
      <w:r>
        <w:rPr>
          <w:rFonts w:ascii="Times New Roman" w:hAnsi="Times New Roman" w:cs="Times New Roman"/>
          <w:color w:val="auto"/>
          <w:szCs w:val="24"/>
          <w:lang w:eastAsia="zh-CN"/>
        </w:rPr>
        <w:t>，暂存于项目危险废物暂存库中，定期交由有资质单位进行处置。一般固废</w:t>
      </w:r>
      <w:r>
        <w:rPr>
          <w:rFonts w:hint="eastAsia" w:ascii="Times New Roman" w:hAnsi="Times New Roman" w:cs="Times New Roman"/>
          <w:color w:val="auto"/>
          <w:szCs w:val="24"/>
          <w:lang w:eastAsia="zh-CN"/>
        </w:rPr>
        <w:t>污泥委托第三方单位</w:t>
      </w:r>
      <w:r>
        <w:rPr>
          <w:rFonts w:ascii="Times New Roman" w:hAnsi="Times New Roman" w:cs="Times New Roman"/>
          <w:color w:val="auto"/>
          <w:szCs w:val="24"/>
          <w:lang w:eastAsia="zh-CN"/>
        </w:rPr>
        <w:t>处理。职工日常生活产生的生活垃圾</w:t>
      </w:r>
      <w:r>
        <w:rPr>
          <w:rFonts w:ascii="Times New Roman" w:hAnsi="Times New Roman" w:cs="Times New Roman"/>
          <w:color w:val="auto"/>
          <w:lang w:eastAsia="zh-CN"/>
        </w:rPr>
        <w:t>交环卫部门清运。</w:t>
      </w:r>
    </w:p>
    <w:p w14:paraId="1A2A90C1">
      <w:pPr>
        <w:widowControl w:val="0"/>
        <w:spacing w:line="360" w:lineRule="auto"/>
        <w:ind w:firstLine="562" w:firstLineChars="200"/>
        <w:jc w:val="both"/>
        <w:outlineLvl w:val="1"/>
        <w:rPr>
          <w:rFonts w:ascii="Times New Roman" w:hAnsi="Times New Roman" w:eastAsia="新宋体" w:cs="Times New Roman"/>
          <w:b/>
          <w:bCs/>
          <w:color w:val="auto"/>
          <w:sz w:val="28"/>
          <w:szCs w:val="28"/>
          <w:lang w:eastAsia="zh-CN"/>
        </w:rPr>
      </w:pPr>
      <w:bookmarkStart w:id="10" w:name="_Toc237508226"/>
      <w:r>
        <w:rPr>
          <w:rFonts w:ascii="Times New Roman" w:hAnsi="Times New Roman" w:eastAsia="新宋体" w:cs="Times New Roman"/>
          <w:b/>
          <w:bCs/>
          <w:color w:val="auto"/>
          <w:sz w:val="28"/>
          <w:szCs w:val="28"/>
          <w:lang w:eastAsia="zh-CN"/>
        </w:rPr>
        <w:t>1.3 环境影响评价工作过程</w:t>
      </w:r>
      <w:bookmarkEnd w:id="10"/>
    </w:p>
    <w:p w14:paraId="6DFFFCEC">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环境影响评价一般分为三个阶段，即调查分析和制定工作方案阶段、分析论证和预测评价阶段、环境影响评价文件编制阶段。</w:t>
      </w:r>
    </w:p>
    <w:p w14:paraId="6BD3ADE7">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本项目技术评价路线见下图：</w:t>
      </w:r>
    </w:p>
    <w:p w14:paraId="6503AA4E">
      <w:pPr>
        <w:widowControl w:val="0"/>
        <w:jc w:val="center"/>
        <w:rPr>
          <w:rFonts w:ascii="Times New Roman" w:hAnsi="Times New Roman" w:cs="Times New Roman"/>
          <w:szCs w:val="24"/>
          <w:lang w:eastAsia="zh-CN"/>
        </w:rPr>
      </w:pPr>
      <w:r>
        <w:rPr>
          <w:rFonts w:ascii="Times New Roman" w:hAnsi="Times New Roman" w:cs="Times New Roman"/>
          <w:color w:val="auto"/>
        </w:rPr>
        <w:drawing>
          <wp:inline distT="0" distB="0" distL="0" distR="0">
            <wp:extent cx="5413375" cy="5655945"/>
            <wp:effectExtent l="0" t="0" r="0" b="1905"/>
            <wp:docPr id="1"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5425708" cy="5668525"/>
                    </a:xfrm>
                    <a:prstGeom prst="rect">
                      <a:avLst/>
                    </a:prstGeom>
                    <a:noFill/>
                    <a:ln>
                      <a:noFill/>
                    </a:ln>
                  </pic:spPr>
                </pic:pic>
              </a:graphicData>
            </a:graphic>
          </wp:inline>
        </w:drawing>
      </w:r>
    </w:p>
    <w:p w14:paraId="5F6D028E">
      <w:pPr>
        <w:spacing w:line="360" w:lineRule="auto"/>
        <w:ind w:firstLine="482"/>
        <w:jc w:val="center"/>
        <w:rPr>
          <w:rFonts w:ascii="Times New Roman" w:hAnsi="Times New Roman" w:eastAsia="新宋体" w:cs="Times New Roman"/>
          <w:b/>
          <w:bCs/>
          <w:color w:val="auto"/>
          <w:lang w:eastAsia="zh-CN"/>
        </w:rPr>
      </w:pPr>
      <w:r>
        <w:rPr>
          <w:rFonts w:ascii="Times New Roman" w:hAnsi="Times New Roman" w:eastAsia="新宋体" w:cs="Times New Roman"/>
          <w:b/>
          <w:bCs/>
          <w:color w:val="auto"/>
          <w:lang w:eastAsia="zh-CN"/>
        </w:rPr>
        <w:t>图1.3-1 环境影响评价工作程序图</w:t>
      </w:r>
    </w:p>
    <w:p w14:paraId="126BB5F8">
      <w:pPr>
        <w:widowControl w:val="0"/>
        <w:rPr>
          <w:rFonts w:ascii="Times New Roman" w:hAnsi="Times New Roman" w:cs="Times New Roman"/>
          <w:szCs w:val="24"/>
          <w:lang w:eastAsia="zh-CN"/>
        </w:rPr>
        <w:sectPr>
          <w:headerReference r:id="rId11" w:type="first"/>
          <w:headerReference r:id="rId9" w:type="default"/>
          <w:footerReference r:id="rId12" w:type="default"/>
          <w:headerReference r:id="rId10" w:type="even"/>
          <w:pgSz w:w="11906" w:h="16838"/>
          <w:pgMar w:top="1440" w:right="1080" w:bottom="1440" w:left="1080" w:header="851" w:footer="992" w:gutter="0"/>
          <w:pgNumType w:start="1"/>
          <w:cols w:space="720" w:num="1"/>
          <w:docGrid w:type="lines" w:linePitch="312" w:charSpace="0"/>
        </w:sectPr>
      </w:pPr>
    </w:p>
    <w:p w14:paraId="28FBEAC3">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本次评价的主要工作过程及时间节点如下：</w:t>
      </w:r>
    </w:p>
    <w:p w14:paraId="6369FEA6">
      <w:pPr>
        <w:widowControl w:val="0"/>
        <w:numPr>
          <w:ilvl w:val="0"/>
          <w:numId w:val="3"/>
        </w:numPr>
        <w:spacing w:line="360" w:lineRule="auto"/>
        <w:ind w:left="0" w:firstLine="480" w:firstLineChars="200"/>
        <w:jc w:val="both"/>
        <w:rPr>
          <w:rFonts w:ascii="Times New Roman" w:hAnsi="Times New Roman" w:cs="Times New Roman"/>
          <w:lang w:eastAsia="zh-CN"/>
        </w:rPr>
      </w:pPr>
      <w:r>
        <w:rPr>
          <w:rFonts w:ascii="Times New Roman" w:hAnsi="Times New Roman" w:cs="Times New Roman"/>
          <w:lang w:eastAsia="zh-CN"/>
        </w:rPr>
        <w:t>202</w:t>
      </w:r>
      <w:r>
        <w:rPr>
          <w:rFonts w:hint="eastAsia" w:ascii="Times New Roman" w:hAnsi="Times New Roman" w:cs="Times New Roman"/>
          <w:lang w:eastAsia="zh-CN"/>
        </w:rPr>
        <w:t>6</w:t>
      </w:r>
      <w:r>
        <w:rPr>
          <w:rFonts w:ascii="Times New Roman" w:hAnsi="Times New Roman" w:cs="Times New Roman"/>
          <w:lang w:eastAsia="zh-CN"/>
        </w:rPr>
        <w:t>年</w:t>
      </w:r>
      <w:r>
        <w:rPr>
          <w:rFonts w:hint="eastAsia" w:ascii="Times New Roman" w:hAnsi="Times New Roman" w:cs="Times New Roman"/>
          <w:lang w:eastAsia="zh-CN"/>
        </w:rPr>
        <w:t>3</w:t>
      </w:r>
      <w:r>
        <w:rPr>
          <w:rFonts w:ascii="Times New Roman" w:hAnsi="Times New Roman" w:cs="Times New Roman"/>
          <w:lang w:eastAsia="zh-CN"/>
        </w:rPr>
        <w:t>月</w:t>
      </w:r>
      <w:r>
        <w:rPr>
          <w:rFonts w:hint="eastAsia" w:ascii="Times New Roman" w:hAnsi="Times New Roman" w:cs="Times New Roman"/>
          <w:lang w:eastAsia="zh-CN"/>
        </w:rPr>
        <w:t>23</w:t>
      </w:r>
      <w:r>
        <w:rPr>
          <w:rFonts w:ascii="Times New Roman" w:hAnsi="Times New Roman" w:cs="Times New Roman"/>
          <w:lang w:eastAsia="zh-CN"/>
        </w:rPr>
        <w:t>日，</w:t>
      </w:r>
      <w:bookmarkStart w:id="11" w:name="_Hlk204347182"/>
      <w:r>
        <w:rPr>
          <w:rFonts w:ascii="Times New Roman" w:hAnsi="Times New Roman" w:cs="Times New Roman"/>
          <w:szCs w:val="24"/>
          <w:lang w:eastAsia="zh-CN"/>
        </w:rPr>
        <w:t>安徽</w:t>
      </w:r>
      <w:r>
        <w:rPr>
          <w:rFonts w:hint="eastAsia" w:ascii="Times New Roman" w:hAnsi="Times New Roman" w:cs="Times New Roman"/>
          <w:szCs w:val="24"/>
          <w:lang w:eastAsia="zh-CN"/>
        </w:rPr>
        <w:t>善宇环保科技</w:t>
      </w:r>
      <w:r>
        <w:rPr>
          <w:rFonts w:ascii="Times New Roman" w:hAnsi="Times New Roman" w:cs="Times New Roman"/>
          <w:szCs w:val="24"/>
          <w:lang w:eastAsia="zh-CN"/>
        </w:rPr>
        <w:t>有限公司</w:t>
      </w:r>
      <w:r>
        <w:rPr>
          <w:rFonts w:ascii="Times New Roman" w:hAnsi="Times New Roman" w:cs="Times New Roman"/>
          <w:lang w:eastAsia="zh-CN"/>
        </w:rPr>
        <w:t>受</w:t>
      </w:r>
      <w:r>
        <w:rPr>
          <w:rFonts w:hint="eastAsia" w:ascii="Times New Roman" w:hAnsi="Times New Roman" w:eastAsia="新宋体" w:cs="Times New Roman"/>
          <w:szCs w:val="24"/>
          <w:lang w:eastAsia="zh-CN"/>
        </w:rPr>
        <w:t>安徽氟瑞星化工</w:t>
      </w:r>
      <w:r>
        <w:rPr>
          <w:rFonts w:ascii="Times New Roman" w:hAnsi="Times New Roman" w:eastAsia="新宋体" w:cs="Times New Roman"/>
          <w:szCs w:val="24"/>
          <w:lang w:eastAsia="zh-CN"/>
        </w:rPr>
        <w:t>有限公司</w:t>
      </w:r>
      <w:r>
        <w:rPr>
          <w:rFonts w:ascii="Times New Roman" w:hAnsi="Times New Roman" w:cs="Times New Roman"/>
          <w:lang w:eastAsia="zh-CN"/>
        </w:rPr>
        <w:t>委托，承担《</w:t>
      </w:r>
      <w:r>
        <w:rPr>
          <w:rFonts w:hint="eastAsia" w:ascii="Times New Roman" w:hAnsi="Times New Roman" w:eastAsia="新宋体" w:cs="Times New Roman"/>
          <w:szCs w:val="24"/>
          <w:lang w:eastAsia="zh-CN"/>
        </w:rPr>
        <w:t>安徽氟瑞星化工有限公司年产5万吨化学纯氢氟酸及1.5万吨刻蚀液扩产项目生态</w:t>
      </w:r>
      <w:r>
        <w:rPr>
          <w:rFonts w:ascii="Times New Roman" w:hAnsi="Times New Roman" w:cs="Times New Roman"/>
          <w:lang w:eastAsia="zh-CN"/>
        </w:rPr>
        <w:t>环境影响报告书》编制工作</w:t>
      </w:r>
      <w:bookmarkEnd w:id="11"/>
      <w:r>
        <w:rPr>
          <w:rFonts w:ascii="Times New Roman" w:hAnsi="Times New Roman" w:cs="Times New Roman"/>
          <w:lang w:eastAsia="zh-CN"/>
        </w:rPr>
        <w:t>。</w:t>
      </w:r>
    </w:p>
    <w:p w14:paraId="745B0EE7">
      <w:pPr>
        <w:widowControl w:val="0"/>
        <w:numPr>
          <w:ilvl w:val="0"/>
          <w:numId w:val="3"/>
        </w:numPr>
        <w:spacing w:line="360" w:lineRule="auto"/>
        <w:ind w:left="0" w:firstLine="480" w:firstLineChars="200"/>
        <w:jc w:val="both"/>
        <w:rPr>
          <w:rFonts w:ascii="Times New Roman" w:hAnsi="Times New Roman" w:cs="Times New Roman"/>
          <w:lang w:eastAsia="zh-CN"/>
        </w:rPr>
      </w:pPr>
      <w:r>
        <w:rPr>
          <w:rFonts w:ascii="Times New Roman" w:hAnsi="Times New Roman" w:cs="Times New Roman"/>
          <w:lang w:eastAsia="zh-CN"/>
        </w:rPr>
        <w:t>我公司接受委托后，立即组织专业技术人员进行了初步资料收集和现场勘察，确定本次评价的工作思路、评价重点、各环境要素评价等级，并据此进行评价工作内容分工。</w:t>
      </w:r>
    </w:p>
    <w:p w14:paraId="6457A3A2">
      <w:pPr>
        <w:widowControl w:val="0"/>
        <w:numPr>
          <w:ilvl w:val="0"/>
          <w:numId w:val="3"/>
        </w:numPr>
        <w:spacing w:line="360" w:lineRule="auto"/>
        <w:ind w:left="0" w:firstLine="480" w:firstLineChars="200"/>
        <w:jc w:val="both"/>
        <w:rPr>
          <w:rFonts w:ascii="Times New Roman" w:hAnsi="Times New Roman" w:cs="Times New Roman"/>
          <w:lang w:eastAsia="zh-CN"/>
        </w:rPr>
      </w:pPr>
      <w:bookmarkStart w:id="12" w:name="_Hlk204347197"/>
      <w:r>
        <w:rPr>
          <w:rFonts w:ascii="Times New Roman" w:hAnsi="Times New Roman" w:cs="Times New Roman"/>
          <w:lang w:eastAsia="zh-CN"/>
        </w:rPr>
        <w:t>202</w:t>
      </w:r>
      <w:bookmarkEnd w:id="12"/>
      <w:r>
        <w:rPr>
          <w:rFonts w:hint="eastAsia" w:ascii="Times New Roman" w:hAnsi="Times New Roman" w:cs="Times New Roman"/>
          <w:lang w:eastAsia="zh-CN"/>
        </w:rPr>
        <w:t>6</w:t>
      </w:r>
      <w:r>
        <w:rPr>
          <w:rFonts w:ascii="Times New Roman" w:hAnsi="Times New Roman" w:cs="Times New Roman"/>
          <w:lang w:eastAsia="zh-CN"/>
        </w:rPr>
        <w:t>年</w:t>
      </w:r>
      <w:r>
        <w:rPr>
          <w:rFonts w:hint="eastAsia" w:ascii="Times New Roman" w:hAnsi="Times New Roman" w:cs="Times New Roman"/>
          <w:lang w:eastAsia="zh-CN"/>
        </w:rPr>
        <w:t>3</w:t>
      </w:r>
      <w:r>
        <w:rPr>
          <w:rFonts w:ascii="Times New Roman" w:hAnsi="Times New Roman" w:cs="Times New Roman"/>
          <w:lang w:eastAsia="zh-CN"/>
        </w:rPr>
        <w:t>月</w:t>
      </w:r>
      <w:r>
        <w:rPr>
          <w:rFonts w:hint="eastAsia" w:ascii="Times New Roman" w:hAnsi="Times New Roman" w:cs="Times New Roman"/>
          <w:lang w:eastAsia="zh-CN"/>
        </w:rPr>
        <w:t>24</w:t>
      </w:r>
      <w:r>
        <w:rPr>
          <w:rFonts w:ascii="Times New Roman" w:hAnsi="Times New Roman" w:cs="Times New Roman"/>
          <w:lang w:eastAsia="zh-CN"/>
        </w:rPr>
        <w:t>日，建设单位</w:t>
      </w:r>
      <w:r>
        <w:rPr>
          <w:rFonts w:hint="eastAsia" w:ascii="Times New Roman" w:hAnsi="Times New Roman" w:eastAsia="新宋体" w:cs="Times New Roman"/>
          <w:szCs w:val="24"/>
          <w:lang w:eastAsia="zh-CN"/>
        </w:rPr>
        <w:t>安徽氟瑞星化工</w:t>
      </w:r>
      <w:r>
        <w:rPr>
          <w:rFonts w:ascii="Times New Roman" w:hAnsi="Times New Roman" w:eastAsia="新宋体" w:cs="Times New Roman"/>
          <w:szCs w:val="24"/>
          <w:lang w:eastAsia="zh-CN"/>
        </w:rPr>
        <w:t>有限公司</w:t>
      </w:r>
      <w:r>
        <w:rPr>
          <w:rFonts w:ascii="Times New Roman" w:hAnsi="Times New Roman" w:cs="Times New Roman"/>
          <w:lang w:eastAsia="zh-CN"/>
        </w:rPr>
        <w:t>在</w:t>
      </w:r>
      <w:r>
        <w:rPr>
          <w:rFonts w:hint="eastAsia" w:ascii="Times New Roman" w:hAnsi="Times New Roman" w:cs="Times New Roman"/>
          <w:lang w:eastAsia="zh-CN"/>
        </w:rPr>
        <w:t>蚌埠市淮上区人民政府</w:t>
      </w:r>
      <w:r>
        <w:rPr>
          <w:rFonts w:ascii="Times New Roman" w:hAnsi="Times New Roman" w:cs="Times New Roman"/>
          <w:lang w:eastAsia="zh-CN"/>
        </w:rPr>
        <w:t>（https://www.huaishang.gov.cn/xwzx/tzgg/5091645.html）对本次</w:t>
      </w:r>
      <w:r>
        <w:rPr>
          <w:rFonts w:hint="eastAsia" w:ascii="Times New Roman" w:hAnsi="Times New Roman" w:cs="Times New Roman"/>
          <w:lang w:eastAsia="zh-CN"/>
        </w:rPr>
        <w:t>生态</w:t>
      </w:r>
      <w:r>
        <w:rPr>
          <w:rFonts w:ascii="Times New Roman" w:hAnsi="Times New Roman" w:cs="Times New Roman"/>
          <w:lang w:eastAsia="zh-CN"/>
        </w:rPr>
        <w:t>环境影响评价工作进行了首次公示。</w:t>
      </w:r>
    </w:p>
    <w:p w14:paraId="112D7777">
      <w:pPr>
        <w:widowControl w:val="0"/>
        <w:numPr>
          <w:ilvl w:val="0"/>
          <w:numId w:val="3"/>
        </w:numPr>
        <w:spacing w:line="360" w:lineRule="auto"/>
        <w:ind w:left="0"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2026年6月7日～8日，</w:t>
      </w:r>
      <w:r>
        <w:rPr>
          <w:rFonts w:ascii="Times New Roman" w:hAnsi="Times New Roman" w:cs="Times New Roman"/>
          <w:color w:val="auto"/>
          <w:lang w:eastAsia="zh-CN"/>
        </w:rPr>
        <w:t>委托</w:t>
      </w:r>
      <w:r>
        <w:rPr>
          <w:rFonts w:hint="eastAsia" w:ascii="Times New Roman" w:hAnsi="Times New Roman" w:cs="Times New Roman"/>
          <w:color w:val="auto"/>
          <w:lang w:eastAsia="zh-CN"/>
        </w:rPr>
        <w:t>安徽实朴检测技术服务有限公司</w:t>
      </w:r>
      <w:r>
        <w:rPr>
          <w:rFonts w:ascii="Times New Roman" w:hAnsi="Times New Roman" w:cs="Times New Roman"/>
          <w:color w:val="auto"/>
          <w:lang w:eastAsia="zh-CN"/>
        </w:rPr>
        <w:t>对项目</w:t>
      </w:r>
      <w:r>
        <w:rPr>
          <w:rFonts w:hint="eastAsia" w:ascii="Times New Roman" w:hAnsi="Times New Roman" w:cs="Times New Roman"/>
          <w:color w:val="auto"/>
          <w:lang w:eastAsia="zh-CN"/>
        </w:rPr>
        <w:t>厂区</w:t>
      </w:r>
      <w:r>
        <w:rPr>
          <w:rFonts w:ascii="Times New Roman" w:hAnsi="Times New Roman" w:cs="Times New Roman"/>
          <w:color w:val="auto"/>
          <w:lang w:eastAsia="zh-CN"/>
        </w:rPr>
        <w:t>土壤环境</w:t>
      </w:r>
      <w:r>
        <w:rPr>
          <w:rFonts w:hint="eastAsia" w:ascii="Times New Roman" w:hAnsi="Times New Roman" w:cs="Times New Roman"/>
          <w:color w:val="auto"/>
          <w:lang w:eastAsia="zh-CN"/>
        </w:rPr>
        <w:t>、声环境</w:t>
      </w:r>
      <w:r>
        <w:rPr>
          <w:rFonts w:ascii="Times New Roman" w:hAnsi="Times New Roman" w:cs="Times New Roman"/>
          <w:color w:val="auto"/>
          <w:lang w:eastAsia="zh-CN"/>
        </w:rPr>
        <w:t>进行了监测</w:t>
      </w:r>
      <w:r>
        <w:rPr>
          <w:rFonts w:hint="eastAsia" w:ascii="Times New Roman" w:hAnsi="Times New Roman" w:cs="Times New Roman"/>
          <w:color w:val="auto"/>
          <w:lang w:eastAsia="zh-CN"/>
        </w:rPr>
        <w:t>，2026年7月8日委托安徽基越环境检测有限公司</w:t>
      </w:r>
      <w:r>
        <w:rPr>
          <w:rFonts w:ascii="Times New Roman" w:hAnsi="Times New Roman" w:cs="Times New Roman"/>
          <w:color w:val="auto"/>
          <w:lang w:eastAsia="zh-CN"/>
        </w:rPr>
        <w:t>对项目</w:t>
      </w:r>
      <w:r>
        <w:rPr>
          <w:rFonts w:hint="eastAsia" w:ascii="Times New Roman" w:hAnsi="Times New Roman" w:cs="Times New Roman"/>
          <w:color w:val="auto"/>
          <w:lang w:eastAsia="zh-CN"/>
        </w:rPr>
        <w:t>厂区地下水环境以及包气带</w:t>
      </w:r>
      <w:r>
        <w:rPr>
          <w:rFonts w:ascii="Times New Roman" w:hAnsi="Times New Roman" w:cs="Times New Roman"/>
          <w:color w:val="auto"/>
          <w:lang w:eastAsia="zh-CN"/>
        </w:rPr>
        <w:t>进行了监测</w:t>
      </w:r>
      <w:r>
        <w:rPr>
          <w:rFonts w:hint="eastAsia" w:ascii="Times New Roman" w:hAnsi="Times New Roman" w:cs="Times New Roman"/>
          <w:color w:val="auto"/>
          <w:lang w:eastAsia="zh-CN"/>
        </w:rPr>
        <w:t>。</w:t>
      </w:r>
    </w:p>
    <w:p w14:paraId="184CBC24">
      <w:pPr>
        <w:widowControl w:val="0"/>
        <w:numPr>
          <w:ilvl w:val="0"/>
          <w:numId w:val="3"/>
        </w:numPr>
        <w:spacing w:line="360" w:lineRule="auto"/>
        <w:ind w:left="0" w:firstLine="480" w:firstLineChars="200"/>
        <w:jc w:val="both"/>
        <w:rPr>
          <w:rFonts w:ascii="Times New Roman" w:hAnsi="Times New Roman" w:cs="Times New Roman"/>
          <w:color w:val="auto"/>
          <w:szCs w:val="24"/>
          <w:lang w:eastAsia="zh-CN"/>
        </w:rPr>
      </w:pPr>
      <w:bookmarkStart w:id="13" w:name="_Hlk204347224"/>
      <w:r>
        <w:rPr>
          <w:rFonts w:ascii="Times New Roman" w:hAnsi="Times New Roman" w:cs="Times New Roman"/>
          <w:color w:val="auto"/>
          <w:lang w:eastAsia="zh-CN"/>
        </w:rPr>
        <w:t>202</w:t>
      </w:r>
      <w:r>
        <w:rPr>
          <w:rFonts w:hint="eastAsia" w:ascii="Times New Roman" w:hAnsi="Times New Roman" w:cs="Times New Roman"/>
          <w:color w:val="auto"/>
          <w:lang w:eastAsia="zh-CN"/>
        </w:rPr>
        <w:t>6</w:t>
      </w:r>
      <w:r>
        <w:rPr>
          <w:rFonts w:ascii="Times New Roman" w:hAnsi="Times New Roman" w:cs="Times New Roman"/>
          <w:color w:val="auto"/>
          <w:lang w:eastAsia="zh-CN"/>
        </w:rPr>
        <w:t>年</w:t>
      </w:r>
      <w:r>
        <w:rPr>
          <w:rFonts w:hint="eastAsia" w:ascii="Times New Roman" w:hAnsi="Times New Roman" w:cs="Times New Roman"/>
          <w:color w:val="auto"/>
          <w:lang w:eastAsia="zh-CN"/>
        </w:rPr>
        <w:t>8</w:t>
      </w:r>
      <w:r>
        <w:rPr>
          <w:rFonts w:ascii="Times New Roman" w:hAnsi="Times New Roman" w:cs="Times New Roman"/>
          <w:color w:val="auto"/>
          <w:lang w:eastAsia="zh-CN"/>
        </w:rPr>
        <w:t>月</w:t>
      </w:r>
      <w:r>
        <w:rPr>
          <w:rFonts w:hint="eastAsia" w:ascii="Times New Roman" w:hAnsi="Times New Roman" w:cs="Times New Roman"/>
          <w:color w:val="auto"/>
          <w:lang w:eastAsia="zh-CN"/>
        </w:rPr>
        <w:t>17</w:t>
      </w:r>
      <w:r>
        <w:rPr>
          <w:rFonts w:ascii="Times New Roman" w:hAnsi="Times New Roman" w:cs="Times New Roman"/>
          <w:color w:val="auto"/>
          <w:lang w:eastAsia="zh-CN"/>
        </w:rPr>
        <w:t>日，</w:t>
      </w:r>
      <w:r>
        <w:rPr>
          <w:rFonts w:ascii="Times New Roman" w:hAnsi="Times New Roman" w:cs="Times New Roman"/>
          <w:color w:val="auto"/>
          <w:szCs w:val="24"/>
          <w:lang w:eastAsia="zh-CN"/>
        </w:rPr>
        <w:t>完成了</w:t>
      </w:r>
      <w:r>
        <w:rPr>
          <w:rFonts w:hint="eastAsia" w:ascii="Times New Roman" w:hAnsi="Times New Roman" w:cs="Times New Roman"/>
          <w:color w:val="auto"/>
          <w:szCs w:val="24"/>
          <w:lang w:val="en-US" w:eastAsia="zh-CN"/>
        </w:rPr>
        <w:t>生态</w:t>
      </w:r>
      <w:r>
        <w:rPr>
          <w:rFonts w:ascii="Times New Roman" w:hAnsi="Times New Roman" w:cs="Times New Roman"/>
          <w:color w:val="auto"/>
          <w:szCs w:val="24"/>
          <w:lang w:eastAsia="zh-CN"/>
        </w:rPr>
        <w:t>环境影响报告书征求意见稿编制工作，建设单位</w:t>
      </w:r>
      <w:r>
        <w:rPr>
          <w:rFonts w:hint="eastAsia" w:ascii="Times New Roman" w:hAnsi="Times New Roman" w:cs="Times New Roman"/>
          <w:color w:val="auto"/>
          <w:szCs w:val="24"/>
          <w:lang w:eastAsia="zh-CN"/>
        </w:rPr>
        <w:t>安徽</w:t>
      </w:r>
      <w:r>
        <w:rPr>
          <w:rFonts w:ascii="Times New Roman" w:hAnsi="Times New Roman" w:cs="Times New Roman"/>
          <w:color w:val="auto"/>
          <w:szCs w:val="24"/>
          <w:lang w:eastAsia="zh-CN"/>
        </w:rPr>
        <w:t>氟瑞星化工</w:t>
      </w:r>
      <w:r>
        <w:rPr>
          <w:rFonts w:hint="eastAsia" w:ascii="Times New Roman" w:hAnsi="Times New Roman" w:cs="Times New Roman"/>
          <w:color w:val="auto"/>
          <w:szCs w:val="24"/>
          <w:lang w:eastAsia="zh-CN"/>
        </w:rPr>
        <w:t>有限公司</w:t>
      </w:r>
      <w:r>
        <w:rPr>
          <w:rFonts w:ascii="Times New Roman" w:hAnsi="Times New Roman" w:cs="Times New Roman"/>
          <w:color w:val="auto"/>
          <w:szCs w:val="24"/>
          <w:lang w:eastAsia="zh-CN"/>
        </w:rPr>
        <w:t>在</w:t>
      </w:r>
      <w:r>
        <w:rPr>
          <w:rFonts w:hint="eastAsia" w:ascii="Times New Roman" w:hAnsi="Times New Roman" w:cs="Times New Roman"/>
          <w:color w:val="auto"/>
          <w:szCs w:val="24"/>
          <w:lang w:eastAsia="zh-CN"/>
        </w:rPr>
        <w:t>蚌埠市淮上区人民政府</w:t>
      </w:r>
      <w:r>
        <w:rPr>
          <w:rFonts w:ascii="Times New Roman" w:hAnsi="Times New Roman" w:cs="Times New Roman"/>
          <w:color w:val="auto"/>
          <w:lang w:eastAsia="zh-CN"/>
        </w:rPr>
        <w:t>（</w:t>
      </w:r>
      <w:r>
        <w:fldChar w:fldCharType="begin"/>
      </w:r>
      <w:r>
        <w:instrText xml:space="preserve"> HYPERLINK "https://www.huaishang.gov.cn/xwzx/tzgg/5096084.html" </w:instrText>
      </w:r>
      <w:r>
        <w:fldChar w:fldCharType="separate"/>
      </w:r>
      <w:r>
        <w:rPr>
          <w:rStyle w:val="40"/>
          <w:rFonts w:ascii="Times New Roman" w:hAnsi="Times New Roman" w:cs="Times New Roman"/>
          <w:color w:val="auto"/>
          <w:lang w:eastAsia="zh-CN"/>
        </w:rPr>
        <w:t>https://www.huaishang.gov.cn/xwzx/tzgg/5090345.html</w:t>
      </w:r>
      <w:r>
        <w:rPr>
          <w:rStyle w:val="40"/>
          <w:rFonts w:ascii="Times New Roman" w:hAnsi="Times New Roman" w:cs="Times New Roman"/>
          <w:color w:val="auto"/>
          <w:lang w:eastAsia="zh-CN"/>
        </w:rPr>
        <w:fldChar w:fldCharType="end"/>
      </w:r>
      <w:r>
        <w:rPr>
          <w:rFonts w:ascii="Times New Roman" w:hAnsi="Times New Roman" w:cs="Times New Roman"/>
          <w:color w:val="auto"/>
          <w:lang w:eastAsia="zh-CN"/>
        </w:rPr>
        <w:t>）</w:t>
      </w:r>
      <w:r>
        <w:rPr>
          <w:rFonts w:ascii="Times New Roman" w:hAnsi="Times New Roman" w:cs="Times New Roman"/>
          <w:color w:val="auto"/>
          <w:szCs w:val="24"/>
          <w:lang w:eastAsia="zh-CN"/>
        </w:rPr>
        <w:t>进行了征求意见稿公示</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同时在周边村庄</w:t>
      </w:r>
      <w:r>
        <w:rPr>
          <w:rFonts w:hint="eastAsia" w:ascii="Times New Roman" w:hAnsi="Times New Roman" w:cs="Times New Roman"/>
          <w:color w:val="auto"/>
          <w:szCs w:val="24"/>
          <w:lang w:eastAsia="zh-CN"/>
        </w:rPr>
        <w:t>大柏村、三铺村</w:t>
      </w:r>
      <w:r>
        <w:rPr>
          <w:rFonts w:ascii="Times New Roman" w:hAnsi="Times New Roman" w:cs="Times New Roman"/>
          <w:color w:val="auto"/>
          <w:szCs w:val="24"/>
          <w:lang w:eastAsia="zh-CN"/>
        </w:rPr>
        <w:t>等公告栏张贴公示，征求了拟建项目周边的居民及企事业单位对本项目的意见；期间分别于202</w:t>
      </w:r>
      <w:r>
        <w:rPr>
          <w:rFonts w:hint="eastAsia" w:ascii="Times New Roman" w:hAnsi="Times New Roman" w:cs="Times New Roman"/>
          <w:color w:val="auto"/>
          <w:szCs w:val="24"/>
          <w:lang w:eastAsia="zh-CN"/>
        </w:rPr>
        <w:t>6</w:t>
      </w:r>
      <w:r>
        <w:rPr>
          <w:rFonts w:ascii="Times New Roman" w:hAnsi="Times New Roman" w:cs="Times New Roman"/>
          <w:color w:val="auto"/>
          <w:szCs w:val="24"/>
          <w:lang w:eastAsia="zh-CN"/>
        </w:rPr>
        <w:t>年</w:t>
      </w:r>
      <w:r>
        <w:rPr>
          <w:rFonts w:hint="eastAsia" w:ascii="Times New Roman" w:hAnsi="Times New Roman" w:cs="Times New Roman"/>
          <w:color w:val="auto"/>
          <w:szCs w:val="24"/>
          <w:lang w:eastAsia="zh-CN"/>
        </w:rPr>
        <w:t>8</w:t>
      </w:r>
      <w:r>
        <w:rPr>
          <w:rFonts w:ascii="Times New Roman" w:hAnsi="Times New Roman" w:cs="Times New Roman"/>
          <w:color w:val="auto"/>
          <w:szCs w:val="24"/>
          <w:lang w:eastAsia="zh-CN"/>
        </w:rPr>
        <w:t>月</w:t>
      </w:r>
      <w:r>
        <w:rPr>
          <w:rFonts w:hint="eastAsia" w:ascii="Times New Roman" w:hAnsi="Times New Roman" w:cs="Times New Roman"/>
          <w:color w:val="auto"/>
          <w:szCs w:val="24"/>
          <w:lang w:eastAsia="zh-CN"/>
        </w:rPr>
        <w:t>20</w:t>
      </w:r>
      <w:r>
        <w:rPr>
          <w:rFonts w:ascii="Times New Roman" w:hAnsi="Times New Roman" w:cs="Times New Roman"/>
          <w:color w:val="auto"/>
          <w:szCs w:val="24"/>
          <w:lang w:eastAsia="zh-CN"/>
        </w:rPr>
        <w:t>日、</w:t>
      </w:r>
      <w:r>
        <w:rPr>
          <w:rFonts w:hint="eastAsia" w:ascii="Times New Roman" w:hAnsi="Times New Roman" w:cs="Times New Roman"/>
          <w:color w:val="auto"/>
          <w:szCs w:val="24"/>
          <w:lang w:eastAsia="zh-CN"/>
        </w:rPr>
        <w:t>8</w:t>
      </w:r>
      <w:r>
        <w:rPr>
          <w:rFonts w:ascii="Times New Roman" w:hAnsi="Times New Roman" w:cs="Times New Roman"/>
          <w:color w:val="auto"/>
          <w:szCs w:val="24"/>
          <w:lang w:eastAsia="zh-CN"/>
        </w:rPr>
        <w:t>月</w:t>
      </w:r>
      <w:r>
        <w:rPr>
          <w:rFonts w:hint="eastAsia" w:ascii="Times New Roman" w:hAnsi="Times New Roman" w:cs="Times New Roman"/>
          <w:color w:val="auto"/>
          <w:szCs w:val="24"/>
          <w:lang w:eastAsia="zh-CN"/>
        </w:rPr>
        <w:t>21</w:t>
      </w:r>
      <w:r>
        <w:rPr>
          <w:rFonts w:ascii="Times New Roman" w:hAnsi="Times New Roman" w:cs="Times New Roman"/>
          <w:color w:val="auto"/>
          <w:szCs w:val="24"/>
          <w:lang w:eastAsia="zh-CN"/>
        </w:rPr>
        <w:t>日在安徽日报上开展了两次报纸公示</w:t>
      </w:r>
      <w:bookmarkEnd w:id="13"/>
      <w:r>
        <w:rPr>
          <w:rFonts w:ascii="Times New Roman" w:hAnsi="Times New Roman" w:cs="Times New Roman"/>
          <w:color w:val="auto"/>
          <w:szCs w:val="24"/>
          <w:lang w:eastAsia="zh-CN"/>
        </w:rPr>
        <w:t>。</w:t>
      </w:r>
    </w:p>
    <w:p w14:paraId="21DA1008">
      <w:pPr>
        <w:widowControl w:val="0"/>
        <w:spacing w:line="360" w:lineRule="auto"/>
        <w:ind w:firstLine="562" w:firstLineChars="200"/>
        <w:jc w:val="both"/>
        <w:outlineLvl w:val="1"/>
        <w:rPr>
          <w:rFonts w:ascii="Times New Roman" w:hAnsi="Times New Roman" w:eastAsia="新宋体" w:cs="Times New Roman"/>
          <w:b/>
          <w:bCs/>
          <w:color w:val="auto"/>
          <w:sz w:val="28"/>
          <w:szCs w:val="28"/>
          <w:lang w:eastAsia="zh-CN"/>
        </w:rPr>
      </w:pPr>
      <w:bookmarkStart w:id="14" w:name="_Toc237508227"/>
      <w:r>
        <w:rPr>
          <w:rFonts w:ascii="Times New Roman" w:hAnsi="Times New Roman" w:eastAsia="新宋体" w:cs="Times New Roman"/>
          <w:b/>
          <w:bCs/>
          <w:color w:val="auto"/>
          <w:sz w:val="28"/>
          <w:szCs w:val="28"/>
          <w:lang w:eastAsia="zh-CN"/>
        </w:rPr>
        <w:t>1.4 分析判定相关情况</w:t>
      </w:r>
      <w:bookmarkEnd w:id="14"/>
    </w:p>
    <w:p w14:paraId="45A5D1A8">
      <w:pPr>
        <w:widowControl w:val="0"/>
        <w:spacing w:line="360" w:lineRule="auto"/>
        <w:ind w:firstLine="482" w:firstLineChars="200"/>
        <w:jc w:val="both"/>
        <w:outlineLvl w:val="2"/>
        <w:rPr>
          <w:rFonts w:ascii="Times New Roman" w:hAnsi="Times New Roman" w:eastAsia="新宋体" w:cs="Times New Roman"/>
          <w:b/>
          <w:bCs/>
          <w:color w:val="auto"/>
          <w:szCs w:val="24"/>
          <w:lang w:eastAsia="zh-CN"/>
        </w:rPr>
      </w:pPr>
      <w:bookmarkStart w:id="15" w:name="_Toc204448399"/>
      <w:bookmarkStart w:id="16" w:name="_Toc223424975"/>
      <w:bookmarkStart w:id="17" w:name="_Toc236641245"/>
      <w:bookmarkStart w:id="18" w:name="_Toc224674613"/>
      <w:bookmarkStart w:id="19" w:name="_Toc173743337"/>
      <w:bookmarkStart w:id="20" w:name="_Toc237508228"/>
      <w:bookmarkStart w:id="21" w:name="_Toc231828514"/>
      <w:bookmarkStart w:id="22" w:name="_Toc176512962"/>
      <w:bookmarkStart w:id="23" w:name="_Toc172555606"/>
      <w:bookmarkStart w:id="24" w:name="_Toc218784200"/>
      <w:bookmarkStart w:id="25" w:name="_Toc203926934"/>
      <w:bookmarkStart w:id="26" w:name="_Toc178602302"/>
      <w:bookmarkStart w:id="27" w:name="_Toc217662590"/>
      <w:bookmarkStart w:id="28" w:name="_Toc221900757"/>
      <w:bookmarkStart w:id="29" w:name="_Toc175164227"/>
      <w:bookmarkStart w:id="30" w:name="_Toc204515134"/>
      <w:bookmarkStart w:id="31" w:name="_Toc236641762"/>
      <w:bookmarkStart w:id="32" w:name="_Toc225783974"/>
      <w:bookmarkStart w:id="33" w:name="_Toc173740233"/>
      <w:r>
        <w:rPr>
          <w:rFonts w:ascii="Times New Roman" w:hAnsi="Times New Roman" w:eastAsia="新宋体" w:cs="Times New Roman"/>
          <w:b/>
          <w:bCs/>
          <w:color w:val="auto"/>
          <w:szCs w:val="24"/>
          <w:lang w:eastAsia="zh-CN"/>
        </w:rPr>
        <w:t>1.4.1 产业政策相符性</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14:paraId="25D3AA06">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本项目产品为</w:t>
      </w:r>
      <w:r>
        <w:rPr>
          <w:rFonts w:hint="eastAsia" w:ascii="Times New Roman" w:hAnsi="Times New Roman" w:eastAsia="新宋体" w:cs="Times New Roman"/>
          <w:color w:val="auto"/>
          <w:szCs w:val="24"/>
          <w:lang w:eastAsia="zh-CN"/>
        </w:rPr>
        <w:t>化学纯氢氟酸、刻蚀液</w:t>
      </w:r>
      <w:r>
        <w:rPr>
          <w:rFonts w:ascii="Times New Roman" w:hAnsi="Times New Roman" w:eastAsia="新宋体" w:cs="Times New Roman"/>
          <w:color w:val="auto"/>
          <w:szCs w:val="24"/>
          <w:lang w:eastAsia="zh-CN"/>
        </w:rPr>
        <w:t>，项目不属于《产业结构调整指导目录（2024年本）》限制类和新（改、扩）建淘汰类化工项目、剧毒化学品生产项目、不属于爆炸性化学品项目，新增产能不属于过剩行业新增产能。对照《环境保护综合名录2021年版》，本项目产品不在“高污染、高环境风险”产品名录内</w:t>
      </w:r>
      <w:r>
        <w:rPr>
          <w:rFonts w:hint="eastAsia" w:ascii="Times New Roman" w:hAnsi="Times New Roman" w:eastAsia="新宋体" w:cs="Times New Roman"/>
          <w:color w:val="auto"/>
          <w:szCs w:val="24"/>
          <w:lang w:eastAsia="zh-CN"/>
        </w:rPr>
        <w:t>；对照</w:t>
      </w:r>
      <w:r>
        <w:rPr>
          <w:rFonts w:ascii="Times New Roman" w:hAnsi="Times New Roman" w:eastAsia="新宋体" w:cs="Times New Roman"/>
          <w:color w:val="auto"/>
          <w:szCs w:val="24"/>
          <w:lang w:eastAsia="zh-CN"/>
        </w:rPr>
        <w:t>《关于加强重点行业涉新污染物建设项目环境影响评价工作的意见》（环环评[2025]28号）</w:t>
      </w:r>
      <w:r>
        <w:rPr>
          <w:rFonts w:hint="eastAsia" w:ascii="Times New Roman" w:hAnsi="Times New Roman" w:eastAsia="新宋体" w:cs="Times New Roman"/>
          <w:color w:val="auto"/>
          <w:szCs w:val="24"/>
          <w:lang w:eastAsia="zh-CN"/>
        </w:rPr>
        <w:t>，本项目不涉及新污染物</w:t>
      </w:r>
      <w:r>
        <w:rPr>
          <w:rFonts w:ascii="Times New Roman" w:hAnsi="Times New Roman" w:eastAsia="新宋体" w:cs="Times New Roman"/>
          <w:color w:val="auto"/>
          <w:szCs w:val="24"/>
          <w:lang w:eastAsia="zh-CN"/>
        </w:rPr>
        <w:t>。</w:t>
      </w:r>
    </w:p>
    <w:p w14:paraId="442E6552">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因此，根据国家《产业结构调整指导目录（2024年本）》（国家发展和改革委员会令第29号）、</w:t>
      </w:r>
      <w:r>
        <w:rPr>
          <w:rFonts w:ascii="Times New Roman" w:hAnsi="Times New Roman" w:cs="Times New Roman"/>
          <w:color w:val="auto"/>
          <w:lang w:eastAsia="zh-CN"/>
        </w:rPr>
        <w:t>《环境保护综合名录2021年版》、</w:t>
      </w:r>
      <w:r>
        <w:rPr>
          <w:rFonts w:ascii="Times New Roman" w:hAnsi="Times New Roman" w:eastAsia="新宋体" w:cs="Times New Roman"/>
          <w:color w:val="auto"/>
          <w:szCs w:val="24"/>
          <w:lang w:eastAsia="zh-CN"/>
        </w:rPr>
        <w:t>《关于加强重点行业涉新污染物建设项目环境影响评价工作的意见》（环环评[2025]28号）</w:t>
      </w:r>
      <w:r>
        <w:rPr>
          <w:rFonts w:ascii="Times New Roman" w:hAnsi="Times New Roman" w:cs="Times New Roman"/>
          <w:color w:val="auto"/>
          <w:szCs w:val="24"/>
          <w:lang w:eastAsia="zh-CN"/>
        </w:rPr>
        <w:t>，本项目符合国家产业政策。</w:t>
      </w:r>
    </w:p>
    <w:p w14:paraId="42F1DD05">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eastAsia="新宋体" w:cs="Times New Roman"/>
          <w:color w:val="auto"/>
          <w:szCs w:val="24"/>
          <w:lang w:eastAsia="zh-CN"/>
        </w:rPr>
        <w:t>本项目</w:t>
      </w:r>
      <w:r>
        <w:rPr>
          <w:rFonts w:ascii="Times New Roman" w:hAnsi="Times New Roman" w:cs="Times New Roman"/>
          <w:color w:val="auto"/>
          <w:szCs w:val="24"/>
          <w:lang w:eastAsia="zh-CN"/>
        </w:rPr>
        <w:t>于</w:t>
      </w:r>
      <w:r>
        <w:rPr>
          <w:rFonts w:hint="eastAsia" w:ascii="Times New Roman" w:hAnsi="Times New Roman" w:cs="Times New Roman"/>
          <w:color w:val="auto"/>
          <w:szCs w:val="24"/>
          <w:lang w:eastAsia="zh-CN"/>
        </w:rPr>
        <w:t>2026年3月16日在</w:t>
      </w:r>
      <w:r>
        <w:rPr>
          <w:rFonts w:ascii="Times New Roman" w:hAnsi="Times New Roman" w:cs="Times New Roman"/>
          <w:color w:val="auto"/>
          <w:szCs w:val="24"/>
          <w:lang w:eastAsia="zh-CN"/>
        </w:rPr>
        <w:t>蚌埠市淮上区</w:t>
      </w:r>
      <w:r>
        <w:rPr>
          <w:rFonts w:hint="eastAsia" w:ascii="Times New Roman" w:hAnsi="Times New Roman" w:cs="Times New Roman"/>
          <w:color w:val="auto"/>
          <w:szCs w:val="24"/>
          <w:lang w:eastAsia="zh-CN"/>
        </w:rPr>
        <w:t>科技工业信息化局进行备案，</w:t>
      </w:r>
      <w:r>
        <w:rPr>
          <w:rFonts w:ascii="Times New Roman" w:hAnsi="Times New Roman" w:cs="Times New Roman"/>
          <w:color w:val="auto"/>
          <w:szCs w:val="24"/>
          <w:lang w:eastAsia="zh-CN"/>
        </w:rPr>
        <w:t>于</w:t>
      </w:r>
      <w:r>
        <w:rPr>
          <w:rFonts w:hint="eastAsia" w:ascii="Times New Roman" w:hAnsi="Times New Roman" w:cs="Times New Roman"/>
          <w:color w:val="auto"/>
          <w:szCs w:val="24"/>
          <w:lang w:eastAsia="zh-CN"/>
        </w:rPr>
        <w:t>2026年6月24日对备案内容进行了更改，</w:t>
      </w:r>
      <w:r>
        <w:rPr>
          <w:rFonts w:ascii="Times New Roman" w:hAnsi="Times New Roman" w:cs="Times New Roman"/>
          <w:color w:val="auto"/>
          <w:szCs w:val="24"/>
          <w:lang w:eastAsia="zh-CN"/>
        </w:rPr>
        <w:t>项目代码：</w:t>
      </w:r>
      <w:r>
        <w:rPr>
          <w:rFonts w:hint="eastAsia" w:ascii="Times New Roman" w:hAnsi="Times New Roman" w:cs="Times New Roman"/>
          <w:color w:val="auto"/>
          <w:szCs w:val="24"/>
          <w:lang w:eastAsia="zh-CN"/>
        </w:rPr>
        <w:t>260</w:t>
      </w:r>
      <w:r>
        <w:rPr>
          <w:rFonts w:hint="eastAsia" w:ascii="Times New Roman" w:hAnsi="Times New Roman" w:cs="Times New Roman"/>
          <w:color w:val="auto"/>
          <w:szCs w:val="24"/>
          <w:lang w:val="en-US" w:eastAsia="zh-CN"/>
        </w:rPr>
        <w:t>6</w:t>
      </w:r>
      <w:r>
        <w:rPr>
          <w:rFonts w:hint="eastAsia" w:ascii="Times New Roman" w:hAnsi="Times New Roman" w:cs="Times New Roman"/>
          <w:color w:val="auto"/>
          <w:szCs w:val="24"/>
          <w:lang w:eastAsia="zh-CN"/>
        </w:rPr>
        <w:t>-340311-07-02-</w:t>
      </w:r>
      <w:r>
        <w:rPr>
          <w:rFonts w:hint="eastAsia" w:ascii="Times New Roman" w:hAnsi="Times New Roman" w:cs="Times New Roman"/>
          <w:color w:val="auto"/>
          <w:szCs w:val="24"/>
          <w:lang w:val="en-US" w:eastAsia="zh-CN"/>
        </w:rPr>
        <w:t>267412</w:t>
      </w:r>
      <w:r>
        <w:rPr>
          <w:rFonts w:ascii="Times New Roman" w:hAnsi="Times New Roman" w:cs="Times New Roman"/>
          <w:color w:val="auto"/>
          <w:szCs w:val="24"/>
          <w:lang w:eastAsia="zh-CN"/>
        </w:rPr>
        <w:t>。</w:t>
      </w:r>
    </w:p>
    <w:p w14:paraId="53B8E7AD">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因此，项目建设符合国家及地方产业政策。</w:t>
      </w:r>
    </w:p>
    <w:p w14:paraId="779CB009">
      <w:pPr>
        <w:widowControl w:val="0"/>
        <w:spacing w:line="360" w:lineRule="auto"/>
        <w:ind w:firstLine="482" w:firstLineChars="200"/>
        <w:jc w:val="both"/>
        <w:outlineLvl w:val="2"/>
        <w:rPr>
          <w:rFonts w:ascii="Times New Roman" w:hAnsi="Times New Roman" w:eastAsia="新宋体" w:cs="Times New Roman"/>
          <w:b/>
          <w:bCs/>
          <w:color w:val="auto"/>
          <w:szCs w:val="24"/>
          <w:lang w:eastAsia="zh-CN"/>
        </w:rPr>
      </w:pPr>
      <w:bookmarkStart w:id="34" w:name="_Toc175164228"/>
      <w:bookmarkStart w:id="35" w:name="_Toc178602303"/>
      <w:bookmarkStart w:id="36" w:name="_Toc204515135"/>
      <w:bookmarkStart w:id="37" w:name="_Toc236641246"/>
      <w:bookmarkStart w:id="38" w:name="_Toc173743338"/>
      <w:bookmarkStart w:id="39" w:name="_Toc173740234"/>
      <w:bookmarkStart w:id="40" w:name="_Toc217662591"/>
      <w:bookmarkStart w:id="41" w:name="_Toc172555607"/>
      <w:bookmarkStart w:id="42" w:name="_Toc204448400"/>
      <w:bookmarkStart w:id="43" w:name="_Toc224674614"/>
      <w:bookmarkStart w:id="44" w:name="_Toc223424976"/>
      <w:bookmarkStart w:id="45" w:name="_Toc236641763"/>
      <w:bookmarkStart w:id="46" w:name="_Toc237508229"/>
      <w:bookmarkStart w:id="47" w:name="_Toc231828515"/>
      <w:bookmarkStart w:id="48" w:name="_Toc221900758"/>
      <w:bookmarkStart w:id="49" w:name="_Toc176512963"/>
      <w:bookmarkStart w:id="50" w:name="_Toc218784201"/>
      <w:bookmarkStart w:id="51" w:name="_Toc203926935"/>
      <w:bookmarkStart w:id="52" w:name="_Toc225783975"/>
      <w:r>
        <w:rPr>
          <w:rFonts w:ascii="Times New Roman" w:hAnsi="Times New Roman" w:eastAsia="新宋体" w:cs="Times New Roman"/>
          <w:b/>
          <w:bCs/>
          <w:color w:val="auto"/>
          <w:szCs w:val="24"/>
          <w:lang w:eastAsia="zh-CN"/>
        </w:rPr>
        <w:t>1.4.2 规划符合性</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511A4174">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对照《</w:t>
      </w:r>
      <w:r>
        <w:rPr>
          <w:rFonts w:ascii="Times New Roman" w:hAnsi="Times New Roman" w:eastAsia="新宋体" w:cs="Times New Roman"/>
          <w:color w:val="auto"/>
          <w:szCs w:val="24"/>
          <w:lang w:eastAsia="zh-CN"/>
        </w:rPr>
        <w:t>蚌埠</w:t>
      </w:r>
      <w:r>
        <w:rPr>
          <w:rFonts w:hint="eastAsia" w:ascii="Times New Roman" w:hAnsi="Times New Roman" w:eastAsia="新宋体" w:cs="Times New Roman"/>
          <w:color w:val="auto"/>
          <w:szCs w:val="24"/>
          <w:lang w:eastAsia="zh-CN"/>
        </w:rPr>
        <w:t>市国土空间总体规划</w:t>
      </w:r>
      <w:r>
        <w:rPr>
          <w:rFonts w:ascii="Times New Roman" w:hAnsi="Times New Roman" w:eastAsia="新宋体" w:cs="Times New Roman"/>
          <w:color w:val="auto"/>
          <w:szCs w:val="24"/>
          <w:lang w:eastAsia="zh-CN"/>
        </w:rPr>
        <w:t>（2021～2035）</w:t>
      </w:r>
      <w:r>
        <w:rPr>
          <w:rFonts w:ascii="Times New Roman" w:hAnsi="Times New Roman" w:cs="Times New Roman"/>
          <w:color w:val="auto"/>
          <w:szCs w:val="24"/>
          <w:lang w:eastAsia="zh-CN"/>
        </w:rPr>
        <w:t>》、《蚌埠精细化工高新技术产业基地规划（2021～2035）》等相关规划，本项目符合上述要求。</w:t>
      </w:r>
    </w:p>
    <w:p w14:paraId="4EECAD6B">
      <w:pPr>
        <w:widowControl w:val="0"/>
        <w:spacing w:line="360" w:lineRule="auto"/>
        <w:ind w:firstLine="482" w:firstLineChars="200"/>
        <w:jc w:val="both"/>
        <w:outlineLvl w:val="2"/>
        <w:rPr>
          <w:rFonts w:ascii="Times New Roman" w:hAnsi="Times New Roman" w:eastAsia="新宋体" w:cs="Times New Roman"/>
          <w:b/>
          <w:bCs/>
          <w:color w:val="auto"/>
          <w:szCs w:val="24"/>
          <w:lang w:eastAsia="zh-CN"/>
        </w:rPr>
      </w:pPr>
      <w:bookmarkStart w:id="53" w:name="_Toc231828516"/>
      <w:bookmarkStart w:id="54" w:name="_Toc204448401"/>
      <w:bookmarkStart w:id="55" w:name="_Toc218784202"/>
      <w:bookmarkStart w:id="56" w:name="_Toc223424977"/>
      <w:bookmarkStart w:id="57" w:name="_Toc175164229"/>
      <w:bookmarkStart w:id="58" w:name="_Toc204515136"/>
      <w:bookmarkStart w:id="59" w:name="_Toc173740235"/>
      <w:bookmarkStart w:id="60" w:name="_Toc225783976"/>
      <w:bookmarkStart w:id="61" w:name="_Toc236641764"/>
      <w:bookmarkStart w:id="62" w:name="_Toc172555608"/>
      <w:bookmarkStart w:id="63" w:name="_Toc236641247"/>
      <w:bookmarkStart w:id="64" w:name="_Toc176512964"/>
      <w:bookmarkStart w:id="65" w:name="_Toc178602304"/>
      <w:bookmarkStart w:id="66" w:name="_Toc217662592"/>
      <w:bookmarkStart w:id="67" w:name="_Toc173743339"/>
      <w:bookmarkStart w:id="68" w:name="_Toc237508230"/>
      <w:bookmarkStart w:id="69" w:name="_Toc221900759"/>
      <w:bookmarkStart w:id="70" w:name="_Toc224674615"/>
      <w:bookmarkStart w:id="71" w:name="_Toc203926936"/>
      <w:r>
        <w:rPr>
          <w:rFonts w:ascii="Times New Roman" w:hAnsi="Times New Roman" w:eastAsia="新宋体" w:cs="Times New Roman"/>
          <w:b/>
          <w:bCs/>
          <w:color w:val="auto"/>
          <w:szCs w:val="24"/>
          <w:lang w:eastAsia="zh-CN"/>
        </w:rPr>
        <w:t>1.4.3 规划环评及审查意见符合性分析</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68C5B4BE">
      <w:pPr>
        <w:widowControl w:val="0"/>
        <w:spacing w:line="360" w:lineRule="auto"/>
        <w:ind w:firstLine="480" w:firstLineChars="200"/>
        <w:jc w:val="both"/>
        <w:rPr>
          <w:rFonts w:ascii="Times New Roman" w:hAnsi="Times New Roman" w:eastAsia="新宋体" w:cs="Times New Roman"/>
          <w:color w:val="FF0000"/>
          <w:szCs w:val="24"/>
          <w:lang w:eastAsia="zh-CN"/>
        </w:rPr>
      </w:pPr>
      <w:r>
        <w:rPr>
          <w:rFonts w:ascii="Times New Roman" w:hAnsi="Times New Roman" w:eastAsia="新宋体" w:cs="Times New Roman"/>
          <w:color w:val="auto"/>
          <w:szCs w:val="24"/>
          <w:lang w:eastAsia="zh-CN"/>
        </w:rPr>
        <w:t>对照《蚌埠精细化工高新技术产业基地规划（2021</w:t>
      </w:r>
      <w:r>
        <w:rPr>
          <w:rFonts w:ascii="Times New Roman" w:hAnsi="Times New Roman" w:cs="Times New Roman"/>
          <w:color w:val="auto"/>
          <w:szCs w:val="24"/>
          <w:lang w:eastAsia="zh-CN"/>
        </w:rPr>
        <w:t>～</w:t>
      </w:r>
      <w:r>
        <w:rPr>
          <w:rFonts w:ascii="Times New Roman" w:hAnsi="Times New Roman" w:eastAsia="新宋体" w:cs="Times New Roman"/>
          <w:color w:val="auto"/>
          <w:szCs w:val="24"/>
          <w:lang w:eastAsia="zh-CN"/>
        </w:rPr>
        <w:t>2035）环境影响报告书》及其审查意见等，园区主导产业为精细化工、医药化工和生物基新材料。本项目产品为</w:t>
      </w:r>
      <w:r>
        <w:rPr>
          <w:rFonts w:hint="eastAsia" w:ascii="Times New Roman" w:hAnsi="Times New Roman" w:eastAsia="新宋体" w:cs="Times New Roman"/>
          <w:color w:val="auto"/>
          <w:szCs w:val="24"/>
          <w:lang w:eastAsia="zh-CN"/>
        </w:rPr>
        <w:t>化学纯氢氟酸、刻蚀液，行业类别为</w:t>
      </w:r>
      <w:r>
        <w:rPr>
          <w:rFonts w:hint="eastAsia" w:ascii="Times New Roman" w:hAnsi="Times New Roman" w:cs="Times New Roman"/>
          <w:color w:val="auto"/>
          <w:lang w:eastAsia="zh-CN"/>
        </w:rPr>
        <w:t>C2669其他专用化学产品制造、C3985电子专用材料制造</w:t>
      </w:r>
      <w:r>
        <w:rPr>
          <w:rFonts w:ascii="Times New Roman" w:hAnsi="Times New Roman" w:eastAsia="新宋体" w:cs="Times New Roman"/>
          <w:color w:val="auto"/>
          <w:szCs w:val="24"/>
          <w:lang w:eastAsia="zh-CN"/>
        </w:rPr>
        <w:t>，属于精细化工行业</w:t>
      </w:r>
      <w:r>
        <w:rPr>
          <w:rFonts w:hint="eastAsia" w:ascii="Times New Roman" w:hAnsi="Times New Roman" w:eastAsia="新宋体" w:cs="Times New Roman"/>
          <w:color w:val="auto"/>
          <w:szCs w:val="24"/>
          <w:lang w:eastAsia="zh-CN"/>
        </w:rPr>
        <w:t>以及电子化学行业</w:t>
      </w:r>
      <w:r>
        <w:rPr>
          <w:rFonts w:ascii="Times New Roman" w:hAnsi="Times New Roman" w:eastAsia="新宋体" w:cs="Times New Roman"/>
          <w:color w:val="auto"/>
          <w:szCs w:val="24"/>
          <w:lang w:eastAsia="zh-CN"/>
        </w:rPr>
        <w:t>，符合蚌埠精细化工高新技术产业基地的主导产业定位。本项目位于安徽省蚌埠市淮上区沫河口工业园</w:t>
      </w:r>
      <w:r>
        <w:rPr>
          <w:rFonts w:hint="eastAsia" w:ascii="Times New Roman" w:hAnsi="Times New Roman" w:eastAsia="新宋体" w:cs="Times New Roman"/>
          <w:color w:val="auto"/>
          <w:szCs w:val="24"/>
          <w:lang w:eastAsia="zh-CN"/>
        </w:rPr>
        <w:t>淝河北路599号</w:t>
      </w:r>
      <w:r>
        <w:rPr>
          <w:rFonts w:ascii="Times New Roman" w:hAnsi="Times New Roman" w:eastAsia="新宋体" w:cs="Times New Roman"/>
          <w:color w:val="auto"/>
          <w:szCs w:val="24"/>
          <w:lang w:eastAsia="zh-CN"/>
        </w:rPr>
        <w:t xml:space="preserve">，为三类工业用地，符合园区用地规划。 </w:t>
      </w:r>
    </w:p>
    <w:p w14:paraId="03B3C9D3">
      <w:pPr>
        <w:widowControl w:val="0"/>
        <w:spacing w:line="360" w:lineRule="auto"/>
        <w:ind w:firstLine="482" w:firstLineChars="200"/>
        <w:jc w:val="both"/>
        <w:outlineLvl w:val="2"/>
        <w:rPr>
          <w:rFonts w:ascii="Times New Roman" w:hAnsi="Times New Roman" w:eastAsia="新宋体" w:cs="Times New Roman"/>
          <w:b/>
          <w:bCs/>
          <w:color w:val="auto"/>
          <w:szCs w:val="24"/>
          <w:lang w:eastAsia="zh-CN"/>
        </w:rPr>
      </w:pPr>
      <w:bookmarkStart w:id="72" w:name="_Toc172555609"/>
      <w:bookmarkStart w:id="73" w:name="_Toc173743340"/>
      <w:bookmarkStart w:id="74" w:name="_Toc221900760"/>
      <w:bookmarkStart w:id="75" w:name="_Toc231828517"/>
      <w:bookmarkStart w:id="76" w:name="_Toc203926937"/>
      <w:bookmarkStart w:id="77" w:name="_Toc204448402"/>
      <w:bookmarkStart w:id="78" w:name="_Toc204515137"/>
      <w:bookmarkStart w:id="79" w:name="_Toc218784203"/>
      <w:bookmarkStart w:id="80" w:name="_Toc223424978"/>
      <w:bookmarkStart w:id="81" w:name="_Toc176512965"/>
      <w:bookmarkStart w:id="82" w:name="_Toc236641765"/>
      <w:bookmarkStart w:id="83" w:name="_Toc173740236"/>
      <w:bookmarkStart w:id="84" w:name="_Toc224674616"/>
      <w:bookmarkStart w:id="85" w:name="_Toc178602305"/>
      <w:bookmarkStart w:id="86" w:name="_Toc217662593"/>
      <w:bookmarkStart w:id="87" w:name="_Toc237508231"/>
      <w:bookmarkStart w:id="88" w:name="_Toc225783977"/>
      <w:bookmarkStart w:id="89" w:name="_Toc175164230"/>
      <w:bookmarkStart w:id="90" w:name="_Toc236641248"/>
      <w:r>
        <w:rPr>
          <w:rFonts w:ascii="Times New Roman" w:hAnsi="Times New Roman" w:eastAsia="新宋体" w:cs="Times New Roman"/>
          <w:b/>
          <w:bCs/>
          <w:color w:val="auto"/>
          <w:szCs w:val="24"/>
          <w:lang w:eastAsia="zh-CN"/>
        </w:rPr>
        <w:t>1.4.4 相关政策符合性分析</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Pr>
          <w:rFonts w:hint="eastAsia" w:ascii="Times New Roman" w:hAnsi="Times New Roman" w:eastAsia="新宋体" w:cs="Times New Roman"/>
          <w:b/>
          <w:bCs/>
          <w:color w:val="auto"/>
          <w:szCs w:val="24"/>
          <w:lang w:eastAsia="zh-CN"/>
        </w:rPr>
        <w:t xml:space="preserve">   </w:t>
      </w:r>
    </w:p>
    <w:p w14:paraId="23524D3D">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对照《安徽省经济和信息化厅 安徽省发展和改革委员会 安徽省自然资源厅 安徽省生态环境厅 安徽省应急管理厅</w:t>
      </w:r>
      <w:r>
        <w:rPr>
          <w:rFonts w:hint="eastAsia" w:ascii="Times New Roman" w:hAnsi="Times New Roman" w:eastAsia="新宋体" w:cs="Times New Roman"/>
          <w:color w:val="auto"/>
          <w:szCs w:val="24"/>
          <w:lang w:eastAsia="zh-CN"/>
        </w:rPr>
        <w:t>《</w:t>
      </w:r>
      <w:r>
        <w:rPr>
          <w:rFonts w:ascii="Times New Roman" w:hAnsi="Times New Roman" w:eastAsia="新宋体" w:cs="Times New Roman"/>
          <w:color w:val="auto"/>
          <w:szCs w:val="24"/>
          <w:lang w:eastAsia="zh-CN"/>
        </w:rPr>
        <w:t>关于进一步规范化工项目建设管理的通知》（皖经信原材料函[2022]73号）、《安徽省生态环境厅关于加强化工行业建设项目环境管理的通知》</w:t>
      </w:r>
      <w:r>
        <w:rPr>
          <w:rFonts w:hint="eastAsia" w:ascii="Times New Roman" w:hAnsi="Times New Roman" w:eastAsia="新宋体" w:cs="Times New Roman"/>
          <w:color w:val="auto"/>
          <w:szCs w:val="24"/>
          <w:lang w:eastAsia="zh-CN"/>
        </w:rPr>
        <w:t>（</w:t>
      </w:r>
      <w:r>
        <w:rPr>
          <w:rFonts w:ascii="Times New Roman" w:hAnsi="Times New Roman" w:eastAsia="新宋体" w:cs="Times New Roman"/>
          <w:color w:val="auto"/>
          <w:szCs w:val="24"/>
          <w:lang w:eastAsia="zh-CN"/>
        </w:rPr>
        <w:t>皖环发[2020]73号</w:t>
      </w:r>
      <w:r>
        <w:rPr>
          <w:rFonts w:hint="eastAsia" w:ascii="Times New Roman" w:hAnsi="Times New Roman" w:eastAsia="新宋体" w:cs="Times New Roman"/>
          <w:color w:val="auto"/>
          <w:szCs w:val="24"/>
          <w:lang w:eastAsia="zh-CN"/>
        </w:rPr>
        <w:t>）</w:t>
      </w:r>
      <w:r>
        <w:rPr>
          <w:rFonts w:ascii="Times New Roman" w:hAnsi="Times New Roman" w:eastAsia="新宋体" w:cs="Times New Roman"/>
          <w:color w:val="auto"/>
          <w:szCs w:val="24"/>
          <w:lang w:eastAsia="zh-CN"/>
        </w:rPr>
        <w:t>、</w:t>
      </w:r>
      <w:r>
        <w:rPr>
          <w:rFonts w:hint="eastAsia" w:ascii="Times New Roman" w:hAnsi="Times New Roman" w:eastAsia="新宋体" w:cs="Times New Roman"/>
          <w:color w:val="auto"/>
          <w:szCs w:val="24"/>
          <w:lang w:eastAsia="zh-CN"/>
        </w:rPr>
        <w:t>安徽省发展改革委等部门关于印发</w:t>
      </w:r>
      <w:r>
        <w:rPr>
          <w:rFonts w:ascii="Times New Roman" w:hAnsi="Times New Roman" w:eastAsia="新宋体" w:cs="Times New Roman"/>
          <w:color w:val="auto"/>
          <w:szCs w:val="24"/>
          <w:lang w:eastAsia="zh-CN"/>
        </w:rPr>
        <w:t>《</w:t>
      </w:r>
      <w:r>
        <w:rPr>
          <w:rFonts w:hint="eastAsia" w:ascii="Times New Roman" w:hAnsi="Times New Roman" w:eastAsia="新宋体" w:cs="Times New Roman"/>
          <w:color w:val="auto"/>
          <w:szCs w:val="24"/>
          <w:lang w:eastAsia="zh-CN"/>
        </w:rPr>
        <w:t>促进化工园区高质量发展若干措施的通知</w:t>
      </w:r>
      <w:r>
        <w:rPr>
          <w:rFonts w:ascii="Times New Roman" w:hAnsi="Times New Roman" w:eastAsia="新宋体" w:cs="Times New Roman"/>
          <w:color w:val="auto"/>
          <w:szCs w:val="24"/>
          <w:lang w:eastAsia="zh-CN"/>
        </w:rPr>
        <w:t>》</w:t>
      </w:r>
      <w:r>
        <w:rPr>
          <w:rFonts w:hint="eastAsia" w:ascii="Times New Roman" w:hAnsi="Times New Roman" w:eastAsia="新宋体" w:cs="Times New Roman"/>
          <w:color w:val="auto"/>
          <w:szCs w:val="24"/>
          <w:lang w:eastAsia="zh-CN"/>
        </w:rPr>
        <w:t>（</w:t>
      </w:r>
      <w:r>
        <w:rPr>
          <w:rFonts w:ascii="Times New Roman" w:hAnsi="Times New Roman" w:eastAsia="新宋体" w:cs="Times New Roman"/>
          <w:color w:val="auto"/>
          <w:szCs w:val="24"/>
          <w:lang w:eastAsia="zh-CN"/>
        </w:rPr>
        <w:t>皖</w:t>
      </w:r>
      <w:r>
        <w:rPr>
          <w:rFonts w:hint="eastAsia" w:ascii="Times New Roman" w:hAnsi="Times New Roman" w:eastAsia="新宋体" w:cs="Times New Roman"/>
          <w:color w:val="auto"/>
          <w:szCs w:val="24"/>
          <w:lang w:eastAsia="zh-CN"/>
        </w:rPr>
        <w:t>发改产业</w:t>
      </w:r>
      <w:r>
        <w:rPr>
          <w:rFonts w:ascii="Times New Roman" w:hAnsi="Times New Roman" w:eastAsia="新宋体" w:cs="Times New Roman"/>
          <w:color w:val="auto"/>
          <w:szCs w:val="24"/>
          <w:lang w:eastAsia="zh-CN"/>
        </w:rPr>
        <w:t>[202</w:t>
      </w:r>
      <w:r>
        <w:rPr>
          <w:rFonts w:hint="eastAsia" w:ascii="Times New Roman" w:hAnsi="Times New Roman" w:eastAsia="新宋体" w:cs="Times New Roman"/>
          <w:color w:val="auto"/>
          <w:szCs w:val="24"/>
          <w:lang w:eastAsia="zh-CN"/>
        </w:rPr>
        <w:t>4</w:t>
      </w:r>
      <w:r>
        <w:rPr>
          <w:rFonts w:ascii="Times New Roman" w:hAnsi="Times New Roman" w:eastAsia="新宋体" w:cs="Times New Roman"/>
          <w:color w:val="auto"/>
          <w:szCs w:val="24"/>
          <w:lang w:eastAsia="zh-CN"/>
        </w:rPr>
        <w:t>]</w:t>
      </w:r>
      <w:r>
        <w:rPr>
          <w:rFonts w:hint="eastAsia" w:ascii="Times New Roman" w:hAnsi="Times New Roman" w:eastAsia="新宋体" w:cs="Times New Roman"/>
          <w:color w:val="auto"/>
          <w:szCs w:val="24"/>
          <w:lang w:eastAsia="zh-CN"/>
        </w:rPr>
        <w:t>86</w:t>
      </w:r>
      <w:r>
        <w:rPr>
          <w:rFonts w:ascii="Times New Roman" w:hAnsi="Times New Roman" w:eastAsia="新宋体" w:cs="Times New Roman"/>
          <w:color w:val="auto"/>
          <w:szCs w:val="24"/>
          <w:lang w:eastAsia="zh-CN"/>
        </w:rPr>
        <w:t>号</w:t>
      </w:r>
      <w:r>
        <w:rPr>
          <w:rFonts w:hint="eastAsia" w:ascii="Times New Roman" w:hAnsi="Times New Roman" w:eastAsia="新宋体" w:cs="Times New Roman"/>
          <w:color w:val="auto"/>
          <w:szCs w:val="24"/>
          <w:lang w:eastAsia="zh-CN"/>
        </w:rPr>
        <w:t>）</w:t>
      </w:r>
      <w:r>
        <w:rPr>
          <w:rFonts w:ascii="Times New Roman" w:hAnsi="Times New Roman" w:eastAsia="新宋体" w:cs="Times New Roman"/>
          <w:color w:val="auto"/>
          <w:szCs w:val="24"/>
          <w:lang w:eastAsia="zh-CN"/>
        </w:rPr>
        <w:t>、《安徽省贯彻落实淮河生态经济带发展规划实施方案》、《安徽省淮河流域水污染防治条例》、</w:t>
      </w:r>
      <w:r>
        <w:rPr>
          <w:rFonts w:hint="eastAsia" w:ascii="Times New Roman" w:hAnsi="Times New Roman" w:eastAsia="新宋体" w:cs="Times New Roman"/>
          <w:color w:val="auto"/>
          <w:szCs w:val="24"/>
          <w:lang w:eastAsia="zh-CN"/>
        </w:rPr>
        <w:t>《安徽省环保厅关于进一步明确淮河巢湖流域重污染行业项目省级环保预审范围及内容的通知》、</w:t>
      </w:r>
      <w:r>
        <w:rPr>
          <w:rFonts w:ascii="Times New Roman" w:hAnsi="Times New Roman" w:cs="Times New Roman"/>
          <w:color w:val="auto"/>
          <w:szCs w:val="24"/>
          <w:lang w:eastAsia="zh-CN"/>
        </w:rPr>
        <w:t>《关于印发加强高耗能、高排放项目生态环境源头防控的实施意见的通知》</w:t>
      </w:r>
      <w:r>
        <w:rPr>
          <w:rFonts w:ascii="Times New Roman" w:hAnsi="Times New Roman" w:eastAsia="新宋体" w:cs="Times New Roman"/>
          <w:color w:val="auto"/>
          <w:szCs w:val="24"/>
          <w:lang w:eastAsia="zh-CN"/>
        </w:rPr>
        <w:t>、《关于提升危险废物环境监管能力、利用处置能力和环境风险防范能力的指导意见》、《蚌埠市化工园区项目准入条件（试行）》、《关于加强重点行业涉新污染物建设项目环境影响评价工作的意见》（环环评[2025]28号）</w:t>
      </w:r>
      <w:r>
        <w:rPr>
          <w:rFonts w:hint="eastAsia" w:ascii="Times New Roman" w:hAnsi="Times New Roman" w:eastAsia="新宋体" w:cs="Times New Roman"/>
          <w:color w:val="auto"/>
          <w:szCs w:val="24"/>
          <w:lang w:eastAsia="zh-CN"/>
        </w:rPr>
        <w:t>、</w:t>
      </w:r>
      <w:r>
        <w:rPr>
          <w:rFonts w:ascii="Times New Roman" w:hAnsi="Times New Roman" w:eastAsia="新宋体" w:cs="Times New Roman"/>
          <w:color w:val="auto"/>
          <w:szCs w:val="24"/>
          <w:lang w:eastAsia="zh-CN"/>
        </w:rPr>
        <w:t>关于印发《安徽省重点管控新污染物补充清单》（皖环发[2026]9号）等相关政策要求，本项目符合上述要求。</w:t>
      </w:r>
    </w:p>
    <w:p w14:paraId="2769EFBC">
      <w:pPr>
        <w:widowControl w:val="0"/>
        <w:spacing w:line="360" w:lineRule="auto"/>
        <w:ind w:firstLine="482" w:firstLineChars="200"/>
        <w:jc w:val="both"/>
        <w:outlineLvl w:val="2"/>
        <w:rPr>
          <w:rFonts w:ascii="Times New Roman" w:hAnsi="Times New Roman" w:eastAsia="新宋体" w:cs="Times New Roman"/>
          <w:b/>
          <w:bCs/>
          <w:color w:val="auto"/>
          <w:szCs w:val="24"/>
          <w:lang w:eastAsia="zh-CN"/>
        </w:rPr>
      </w:pPr>
      <w:bookmarkStart w:id="91" w:name="_Toc173740237"/>
      <w:bookmarkStart w:id="92" w:name="_Toc204515138"/>
      <w:bookmarkStart w:id="93" w:name="_Toc176512966"/>
      <w:bookmarkStart w:id="94" w:name="_Toc172555610"/>
      <w:bookmarkStart w:id="95" w:name="_Toc217662594"/>
      <w:bookmarkStart w:id="96" w:name="_Toc175164231"/>
      <w:bookmarkStart w:id="97" w:name="_Toc173743341"/>
      <w:bookmarkStart w:id="98" w:name="_Toc178602306"/>
      <w:bookmarkStart w:id="99" w:name="_Toc218784204"/>
      <w:bookmarkStart w:id="100" w:name="_Toc203926938"/>
      <w:bookmarkStart w:id="101" w:name="_Toc204448403"/>
      <w:bookmarkStart w:id="102" w:name="_Toc223424979"/>
      <w:bookmarkStart w:id="103" w:name="_Toc225783978"/>
      <w:bookmarkStart w:id="104" w:name="_Toc236641766"/>
      <w:bookmarkStart w:id="105" w:name="_Toc224674617"/>
      <w:bookmarkStart w:id="106" w:name="_Toc221900761"/>
      <w:bookmarkStart w:id="107" w:name="_Toc237508232"/>
      <w:bookmarkStart w:id="108" w:name="_Toc236641249"/>
      <w:bookmarkStart w:id="109" w:name="_Toc231828518"/>
      <w:r>
        <w:rPr>
          <w:rFonts w:ascii="Times New Roman" w:hAnsi="Times New Roman" w:eastAsia="新宋体" w:cs="Times New Roman"/>
          <w:b/>
          <w:bCs/>
          <w:color w:val="auto"/>
          <w:szCs w:val="24"/>
          <w:lang w:eastAsia="zh-CN"/>
        </w:rPr>
        <w:t>1.4.5</w:t>
      </w:r>
      <w:bookmarkEnd w:id="91"/>
      <w:bookmarkEnd w:id="92"/>
      <w:bookmarkEnd w:id="93"/>
      <w:bookmarkEnd w:id="94"/>
      <w:bookmarkEnd w:id="95"/>
      <w:bookmarkEnd w:id="96"/>
      <w:bookmarkEnd w:id="97"/>
      <w:bookmarkEnd w:id="98"/>
      <w:bookmarkEnd w:id="99"/>
      <w:bookmarkEnd w:id="100"/>
      <w:bookmarkEnd w:id="101"/>
      <w:r>
        <w:rPr>
          <w:rFonts w:hint="eastAsia" w:ascii="Times New Roman" w:hAnsi="Times New Roman" w:eastAsia="新宋体" w:cs="Times New Roman"/>
          <w:b/>
          <w:bCs/>
          <w:color w:val="auto"/>
          <w:szCs w:val="24"/>
          <w:lang w:eastAsia="zh-CN"/>
        </w:rPr>
        <w:t xml:space="preserve"> 生态环境分区管控</w:t>
      </w:r>
      <w:r>
        <w:rPr>
          <w:rFonts w:ascii="Times New Roman" w:hAnsi="Times New Roman" w:eastAsia="新宋体" w:cs="Times New Roman"/>
          <w:b/>
          <w:bCs/>
          <w:color w:val="auto"/>
          <w:szCs w:val="24"/>
          <w:lang w:eastAsia="zh-CN"/>
        </w:rPr>
        <w:t>相符性分析</w:t>
      </w:r>
      <w:bookmarkEnd w:id="102"/>
      <w:bookmarkEnd w:id="103"/>
      <w:bookmarkEnd w:id="104"/>
      <w:bookmarkEnd w:id="105"/>
      <w:bookmarkEnd w:id="106"/>
      <w:bookmarkEnd w:id="107"/>
      <w:bookmarkEnd w:id="108"/>
      <w:bookmarkEnd w:id="109"/>
    </w:p>
    <w:p w14:paraId="261EB938">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项目所在区域不涉及生态红线，本项目建设</w:t>
      </w:r>
      <w:r>
        <w:rPr>
          <w:rFonts w:hint="eastAsia" w:ascii="Times New Roman" w:hAnsi="Times New Roman" w:eastAsia="新宋体" w:cs="Times New Roman"/>
          <w:color w:val="auto"/>
          <w:szCs w:val="24"/>
          <w:lang w:eastAsia="zh-CN"/>
        </w:rPr>
        <w:t>符合蚌埠市水环境分区管控、大气环境分区管控以及土壤环境分区管控要求</w:t>
      </w:r>
      <w:r>
        <w:rPr>
          <w:rFonts w:ascii="Times New Roman" w:hAnsi="Times New Roman" w:eastAsia="新宋体" w:cs="Times New Roman"/>
          <w:color w:val="auto"/>
          <w:szCs w:val="24"/>
          <w:lang w:eastAsia="zh-CN"/>
        </w:rPr>
        <w:t>，</w:t>
      </w:r>
      <w:r>
        <w:rPr>
          <w:rFonts w:hint="eastAsia" w:ascii="Times New Roman" w:hAnsi="Times New Roman" w:eastAsia="新宋体" w:cs="Times New Roman"/>
          <w:color w:val="auto"/>
          <w:szCs w:val="24"/>
          <w:lang w:eastAsia="zh-CN"/>
        </w:rPr>
        <w:t>项目</w:t>
      </w:r>
      <w:r>
        <w:rPr>
          <w:rFonts w:ascii="Times New Roman" w:hAnsi="Times New Roman" w:eastAsia="新宋体" w:cs="Times New Roman"/>
          <w:color w:val="auto"/>
          <w:szCs w:val="24"/>
          <w:lang w:eastAsia="zh-CN"/>
        </w:rPr>
        <w:t>不属于环境准入负面清单中所列的行业，符合</w:t>
      </w:r>
      <w:r>
        <w:rPr>
          <w:rFonts w:hint="eastAsia" w:ascii="Times New Roman" w:hAnsi="Times New Roman" w:eastAsia="新宋体" w:cs="Times New Roman"/>
          <w:color w:val="auto"/>
          <w:szCs w:val="24"/>
          <w:lang w:eastAsia="zh-CN"/>
        </w:rPr>
        <w:t>生态环境分区管控</w:t>
      </w:r>
      <w:r>
        <w:rPr>
          <w:rFonts w:ascii="Times New Roman" w:hAnsi="Times New Roman" w:eastAsia="新宋体" w:cs="Times New Roman"/>
          <w:color w:val="auto"/>
          <w:szCs w:val="24"/>
          <w:lang w:eastAsia="zh-CN"/>
        </w:rPr>
        <w:t>要求。</w:t>
      </w:r>
    </w:p>
    <w:p w14:paraId="03B45C7C">
      <w:pPr>
        <w:widowControl w:val="0"/>
        <w:spacing w:line="360" w:lineRule="auto"/>
        <w:ind w:firstLine="562" w:firstLineChars="200"/>
        <w:jc w:val="both"/>
        <w:outlineLvl w:val="1"/>
        <w:rPr>
          <w:rFonts w:ascii="Times New Roman" w:hAnsi="Times New Roman" w:eastAsia="新宋体" w:cs="Times New Roman"/>
          <w:b/>
          <w:bCs/>
          <w:color w:val="auto"/>
          <w:sz w:val="28"/>
          <w:szCs w:val="28"/>
          <w:lang w:eastAsia="zh-CN"/>
        </w:rPr>
      </w:pPr>
      <w:bookmarkStart w:id="110" w:name="_Toc237508233"/>
      <w:r>
        <w:rPr>
          <w:rFonts w:ascii="Times New Roman" w:hAnsi="Times New Roman" w:eastAsia="新宋体" w:cs="Times New Roman"/>
          <w:b/>
          <w:bCs/>
          <w:color w:val="auto"/>
          <w:sz w:val="28"/>
          <w:szCs w:val="28"/>
          <w:lang w:eastAsia="zh-CN"/>
        </w:rPr>
        <w:t>1.5 关注的主要环境问题及环境影响</w:t>
      </w:r>
      <w:bookmarkEnd w:id="110"/>
    </w:p>
    <w:p w14:paraId="394CAAEF">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本次环境影响评价过程中关注的主要问题如下：</w:t>
      </w:r>
    </w:p>
    <w:p w14:paraId="4D465AE8">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（1）结合项目设计方案，对照</w:t>
      </w:r>
      <w:r>
        <w:rPr>
          <w:rFonts w:hint="eastAsia" w:ascii="Times New Roman" w:hAnsi="Times New Roman" w:eastAsia="新宋体" w:cs="Times New Roman"/>
          <w:color w:val="auto"/>
          <w:szCs w:val="24"/>
          <w:lang w:eastAsia="zh-CN"/>
        </w:rPr>
        <w:t>相关</w:t>
      </w:r>
      <w:r>
        <w:rPr>
          <w:rFonts w:ascii="Times New Roman" w:hAnsi="Times New Roman" w:eastAsia="新宋体" w:cs="Times New Roman"/>
          <w:color w:val="auto"/>
          <w:szCs w:val="24"/>
          <w:lang w:eastAsia="zh-CN"/>
        </w:rPr>
        <w:t>政策要求，通过对项目拟采取废气处理工艺方案进行分析，论证各类废气污染物稳定达标排放的可行性。</w:t>
      </w:r>
    </w:p>
    <w:p w14:paraId="1F1A4615">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（2）关注废气、废水、固废等各项污染防治措施的可靠性和可行性。</w:t>
      </w:r>
    </w:p>
    <w:p w14:paraId="4DFF5843">
      <w:pPr>
        <w:widowControl w:val="0"/>
        <w:spacing w:line="360" w:lineRule="auto"/>
        <w:ind w:firstLine="480" w:firstLineChars="200"/>
        <w:jc w:val="both"/>
        <w:rPr>
          <w:rFonts w:ascii="Times New Roman" w:hAnsi="Times New Roman" w:eastAsia="新宋体" w:cs="Times New Roman"/>
          <w:color w:val="EE0000"/>
          <w:szCs w:val="24"/>
          <w:lang w:eastAsia="zh-CN"/>
        </w:rPr>
      </w:pPr>
      <w:r>
        <w:rPr>
          <w:rFonts w:ascii="宋体" w:hAnsi="宋体" w:cs="Cambria Math"/>
          <w:color w:val="auto"/>
          <w:szCs w:val="24"/>
          <w:lang w:eastAsia="zh-CN"/>
        </w:rPr>
        <w:t>①</w:t>
      </w:r>
      <w:r>
        <w:rPr>
          <w:rFonts w:ascii="Times New Roman" w:hAnsi="Times New Roman" w:cs="Times New Roman"/>
          <w:color w:val="auto"/>
          <w:szCs w:val="24"/>
          <w:lang w:eastAsia="zh-CN"/>
        </w:rPr>
        <w:t xml:space="preserve"> </w:t>
      </w:r>
      <w:r>
        <w:rPr>
          <w:rFonts w:ascii="Times New Roman" w:hAnsi="Times New Roman" w:eastAsia="新宋体" w:cs="Times New Roman"/>
          <w:color w:val="auto"/>
          <w:szCs w:val="24"/>
          <w:lang w:eastAsia="zh-CN"/>
        </w:rPr>
        <w:t>废水：本项目采取雨污分流，清污分流，项目废水主要为</w:t>
      </w:r>
      <w:r>
        <w:rPr>
          <w:rFonts w:hint="eastAsia" w:ascii="Times New Roman" w:hAnsi="Times New Roman" w:eastAsia="新宋体" w:cs="Times New Roman"/>
          <w:color w:val="auto"/>
          <w:szCs w:val="24"/>
          <w:lang w:eastAsia="zh-CN"/>
        </w:rPr>
        <w:t>碱</w:t>
      </w:r>
      <w:r>
        <w:rPr>
          <w:rFonts w:ascii="Times New Roman" w:hAnsi="Times New Roman" w:eastAsia="新宋体" w:cs="Times New Roman"/>
          <w:color w:val="auto"/>
          <w:szCs w:val="24"/>
          <w:lang w:eastAsia="zh-CN"/>
        </w:rPr>
        <w:t>喷淋塔置换废水、地面清洁废水、循环冷却置换废水</w:t>
      </w:r>
      <w:r>
        <w:rPr>
          <w:rFonts w:hint="eastAsia" w:ascii="Times New Roman" w:hAnsi="Times New Roman" w:eastAsia="新宋体" w:cs="Times New Roman"/>
          <w:color w:val="auto"/>
          <w:szCs w:val="24"/>
          <w:lang w:eastAsia="zh-CN"/>
        </w:rPr>
        <w:t>、生活污水</w:t>
      </w:r>
      <w:r>
        <w:rPr>
          <w:rFonts w:ascii="Times New Roman" w:hAnsi="Times New Roman" w:eastAsia="新宋体" w:cs="Times New Roman"/>
          <w:color w:val="auto"/>
          <w:szCs w:val="24"/>
          <w:lang w:eastAsia="zh-CN"/>
        </w:rPr>
        <w:t>等</w:t>
      </w:r>
      <w:r>
        <w:rPr>
          <w:rFonts w:hint="eastAsia" w:ascii="Times New Roman" w:hAnsi="Times New Roman" w:eastAsia="新宋体" w:cs="Times New Roman"/>
          <w:color w:val="auto"/>
          <w:szCs w:val="24"/>
          <w:lang w:eastAsia="zh-CN"/>
        </w:rPr>
        <w:t>；</w:t>
      </w:r>
      <w:r>
        <w:rPr>
          <w:rFonts w:ascii="Times New Roman" w:hAnsi="Times New Roman" w:eastAsia="新宋体" w:cs="Times New Roman"/>
          <w:color w:val="auto"/>
          <w:szCs w:val="24"/>
          <w:lang w:eastAsia="zh-CN"/>
        </w:rPr>
        <w:t>主要分析</w:t>
      </w:r>
      <w:r>
        <w:rPr>
          <w:rFonts w:hint="eastAsia" w:ascii="Times New Roman" w:hAnsi="Times New Roman" w:eastAsia="新宋体" w:cs="Times New Roman"/>
          <w:color w:val="auto"/>
          <w:szCs w:val="24"/>
          <w:lang w:eastAsia="zh-CN"/>
        </w:rPr>
        <w:t>碱</w:t>
      </w:r>
      <w:r>
        <w:rPr>
          <w:rFonts w:ascii="Times New Roman" w:hAnsi="Times New Roman" w:eastAsia="新宋体" w:cs="Times New Roman"/>
          <w:color w:val="auto"/>
          <w:szCs w:val="24"/>
          <w:lang w:eastAsia="zh-CN"/>
        </w:rPr>
        <w:t>喷淋塔置换废水</w:t>
      </w:r>
      <w:r>
        <w:rPr>
          <w:rFonts w:hint="eastAsia" w:ascii="Times New Roman" w:hAnsi="Times New Roman" w:eastAsia="新宋体" w:cs="Times New Roman"/>
          <w:color w:val="auto"/>
          <w:szCs w:val="24"/>
          <w:lang w:eastAsia="zh-CN"/>
        </w:rPr>
        <w:t>、</w:t>
      </w:r>
      <w:r>
        <w:rPr>
          <w:rFonts w:ascii="Times New Roman" w:hAnsi="Times New Roman" w:eastAsia="新宋体" w:cs="Times New Roman"/>
          <w:color w:val="auto"/>
          <w:szCs w:val="24"/>
          <w:lang w:eastAsia="zh-CN"/>
        </w:rPr>
        <w:t>地面清洁废水</w:t>
      </w:r>
      <w:r>
        <w:rPr>
          <w:rFonts w:hint="eastAsia" w:ascii="Times New Roman" w:hAnsi="Times New Roman" w:eastAsia="新宋体" w:cs="Times New Roman"/>
          <w:color w:val="auto"/>
          <w:szCs w:val="24"/>
          <w:lang w:eastAsia="zh-CN"/>
        </w:rPr>
        <w:t>依托现有厂区污水处理站处理可行性分析</w:t>
      </w:r>
      <w:r>
        <w:rPr>
          <w:rFonts w:ascii="Times New Roman" w:hAnsi="Times New Roman" w:eastAsia="新宋体" w:cs="Times New Roman"/>
          <w:color w:val="auto"/>
          <w:szCs w:val="24"/>
          <w:lang w:eastAsia="zh-CN"/>
        </w:rPr>
        <w:t>，以及项目废水接管沫河口污水处理厂进行处理的可行性。</w:t>
      </w:r>
    </w:p>
    <w:p w14:paraId="6619164F">
      <w:pPr>
        <w:widowControl w:val="0"/>
        <w:topLinePunct/>
        <w:spacing w:line="360" w:lineRule="auto"/>
        <w:ind w:firstLine="480" w:firstLineChars="200"/>
        <w:jc w:val="both"/>
        <w:rPr>
          <w:rFonts w:ascii="Times New Roman" w:hAnsi="Times New Roman" w:cs="Times New Roman"/>
          <w:color w:val="auto"/>
          <w:szCs w:val="24"/>
          <w:lang w:eastAsia="zh-CN"/>
        </w:rPr>
      </w:pPr>
      <w:r>
        <w:rPr>
          <w:rFonts w:ascii="宋体" w:hAnsi="宋体" w:cs="Cambria Math"/>
          <w:color w:val="auto"/>
          <w:szCs w:val="24"/>
          <w:lang w:eastAsia="zh-CN"/>
        </w:rPr>
        <w:t>②</w:t>
      </w:r>
      <w:r>
        <w:rPr>
          <w:rFonts w:hint="eastAsia" w:ascii="宋体" w:hAnsi="宋体" w:cs="Cambria Math"/>
          <w:color w:val="auto"/>
          <w:szCs w:val="24"/>
          <w:lang w:eastAsia="zh-CN"/>
        </w:rPr>
        <w:t xml:space="preserve"> </w:t>
      </w:r>
      <w:r>
        <w:rPr>
          <w:rFonts w:ascii="Times New Roman" w:hAnsi="Times New Roman" w:cs="Times New Roman"/>
          <w:color w:val="auto"/>
          <w:szCs w:val="24"/>
          <w:lang w:eastAsia="zh-CN"/>
        </w:rPr>
        <w:t>废气：</w:t>
      </w:r>
      <w:r>
        <w:rPr>
          <w:rFonts w:ascii="Times New Roman" w:hAnsi="Times New Roman" w:eastAsia="新宋体" w:cs="Times New Roman"/>
          <w:color w:val="auto"/>
          <w:szCs w:val="24"/>
          <w:lang w:eastAsia="zh-CN"/>
        </w:rPr>
        <w:t>本项目</w:t>
      </w:r>
      <w:r>
        <w:rPr>
          <w:rFonts w:hint="eastAsia" w:ascii="Times New Roman" w:hAnsi="Times New Roman" w:eastAsia="新宋体" w:cs="Times New Roman"/>
          <w:color w:val="auto"/>
          <w:szCs w:val="24"/>
          <w:lang w:eastAsia="zh-CN"/>
        </w:rPr>
        <w:t>化学纯氢氟酸生产</w:t>
      </w:r>
      <w:r>
        <w:rPr>
          <w:rFonts w:hint="eastAsia" w:ascii="Times New Roman" w:hAnsi="Times New Roman" w:cs="Times New Roman"/>
          <w:color w:val="000000" w:themeColor="text1"/>
          <w:szCs w:val="24"/>
          <w:lang w:eastAsia="zh-CN"/>
          <w14:textFill>
            <w14:solidFill>
              <w14:schemeClr w14:val="tx1"/>
            </w14:solidFill>
          </w14:textFill>
        </w:rPr>
        <w:t>进料、混合、调配</w:t>
      </w:r>
      <w:r>
        <w:rPr>
          <w:rFonts w:hint="eastAsia" w:ascii="Times New Roman" w:hAnsi="Times New Roman" w:eastAsia="新宋体" w:cs="Times New Roman"/>
          <w:color w:val="auto"/>
          <w:szCs w:val="24"/>
          <w:lang w:eastAsia="zh-CN"/>
        </w:rPr>
        <w:t>废气、无水氟化氢储罐、原料及产品罐区储罐（1</w:t>
      </w:r>
      <w:r>
        <w:rPr>
          <w:rFonts w:hint="eastAsia" w:ascii="Times New Roman" w:hAnsi="Times New Roman" w:eastAsia="新宋体" w:cs="Times New Roman"/>
          <w:bCs/>
          <w:color w:val="auto"/>
          <w:szCs w:val="24"/>
          <w:lang w:eastAsia="zh-CN"/>
        </w:rPr>
        <w:t>5%氟化氢水溶液储罐、化学纯氢氟酸储罐）呼吸气</w:t>
      </w:r>
      <w:r>
        <w:rPr>
          <w:rFonts w:hint="eastAsia" w:ascii="Times New Roman" w:hAnsi="Times New Roman" w:eastAsia="新宋体" w:cs="Times New Roman"/>
          <w:color w:val="auto"/>
          <w:szCs w:val="24"/>
          <w:lang w:eastAsia="zh-CN"/>
        </w:rPr>
        <w:t>经管道收集</w:t>
      </w:r>
      <w:r>
        <w:rPr>
          <w:rFonts w:ascii="Times New Roman" w:hAnsi="Times New Roman" w:eastAsia="新宋体" w:cs="Times New Roman"/>
          <w:color w:val="auto"/>
          <w:szCs w:val="24"/>
          <w:lang w:eastAsia="zh-CN"/>
        </w:rPr>
        <w:t>，</w:t>
      </w:r>
      <w:r>
        <w:rPr>
          <w:rFonts w:hint="eastAsia" w:ascii="Times New Roman" w:hAnsi="Times New Roman" w:eastAsia="新宋体" w:cs="Times New Roman"/>
          <w:color w:val="auto"/>
          <w:szCs w:val="24"/>
          <w:lang w:eastAsia="zh-CN"/>
        </w:rPr>
        <w:t>灌装废气经密闭负压收集，</w:t>
      </w:r>
      <w:r>
        <w:rPr>
          <w:rFonts w:hint="eastAsia" w:ascii="Times New Roman" w:hAnsi="Times New Roman" w:eastAsia="新宋体" w:cs="Times New Roman"/>
          <w:bCs/>
          <w:color w:val="auto"/>
          <w:szCs w:val="24"/>
          <w:lang w:eastAsia="zh-CN"/>
        </w:rPr>
        <w:t>依托现有二级水喷淋塔（TA001）预处理；</w:t>
      </w:r>
      <w:r>
        <w:rPr>
          <w:rFonts w:hint="eastAsia" w:ascii="Times New Roman" w:hAnsi="Times New Roman" w:eastAsia="新宋体" w:cs="Times New Roman"/>
          <w:color w:val="auto"/>
          <w:szCs w:val="24"/>
          <w:lang w:eastAsia="zh-CN"/>
        </w:rPr>
        <w:t>刻蚀液</w:t>
      </w:r>
      <w:r>
        <w:rPr>
          <w:rFonts w:ascii="Times New Roman" w:hAnsi="Times New Roman" w:eastAsia="新宋体" w:cs="Times New Roman"/>
          <w:color w:val="auto"/>
          <w:szCs w:val="24"/>
          <w:lang w:eastAsia="zh-CN"/>
        </w:rPr>
        <w:t>生产</w:t>
      </w:r>
      <w:r>
        <w:rPr>
          <w:rFonts w:hint="eastAsia" w:ascii="Times New Roman" w:hAnsi="Times New Roman" w:eastAsia="新宋体" w:cs="Times New Roman"/>
          <w:color w:val="auto"/>
          <w:szCs w:val="24"/>
          <w:lang w:eastAsia="zh-CN"/>
        </w:rPr>
        <w:t>进料混合、调配废气、戊类罐区二储罐（</w:t>
      </w:r>
      <w:r>
        <w:rPr>
          <w:rFonts w:hint="eastAsia" w:ascii="Times New Roman" w:hAnsi="Times New Roman" w:eastAsia="新宋体" w:cs="Times New Roman"/>
          <w:bCs/>
          <w:color w:val="auto"/>
          <w:szCs w:val="24"/>
          <w:lang w:eastAsia="zh-CN"/>
        </w:rPr>
        <w:t>31%盐酸储罐、</w:t>
      </w:r>
      <w:r>
        <w:rPr>
          <w:rFonts w:ascii="Times New Roman" w:hAnsi="Times New Roman" w:eastAsia="新宋体" w:cs="Times New Roman"/>
          <w:bCs/>
          <w:color w:val="auto"/>
          <w:szCs w:val="24"/>
          <w:lang w:eastAsia="zh-CN"/>
        </w:rPr>
        <w:t>化学纯氢氟酸储罐</w:t>
      </w:r>
      <w:r>
        <w:rPr>
          <w:rFonts w:hint="eastAsia" w:ascii="Times New Roman" w:hAnsi="Times New Roman" w:eastAsia="新宋体" w:cs="Times New Roman"/>
          <w:bCs/>
          <w:color w:val="auto"/>
          <w:szCs w:val="24"/>
          <w:lang w:eastAsia="zh-CN"/>
        </w:rPr>
        <w:t>、刻蚀液储罐）呼吸气</w:t>
      </w:r>
      <w:r>
        <w:rPr>
          <w:rFonts w:hint="eastAsia" w:ascii="Times New Roman" w:hAnsi="Times New Roman" w:eastAsia="新宋体" w:cs="Times New Roman"/>
          <w:color w:val="auto"/>
          <w:szCs w:val="24"/>
          <w:lang w:eastAsia="zh-CN"/>
        </w:rPr>
        <w:t>经管道收集，</w:t>
      </w:r>
      <w:r>
        <w:rPr>
          <w:rFonts w:hint="eastAsia" w:ascii="Times New Roman" w:hAnsi="Times New Roman" w:eastAsia="新宋体" w:cs="Times New Roman"/>
          <w:bCs/>
          <w:color w:val="auto"/>
          <w:szCs w:val="24"/>
          <w:lang w:eastAsia="zh-CN"/>
        </w:rPr>
        <w:t>经本次新增二级水喷淋塔（TA003）装置预</w:t>
      </w:r>
      <w:r>
        <w:rPr>
          <w:rFonts w:ascii="Times New Roman" w:hAnsi="Times New Roman" w:eastAsia="新宋体" w:cs="Times New Roman"/>
          <w:bCs/>
          <w:color w:val="auto"/>
          <w:szCs w:val="24"/>
          <w:lang w:eastAsia="zh-CN"/>
        </w:rPr>
        <w:t>处理</w:t>
      </w:r>
      <w:r>
        <w:rPr>
          <w:rFonts w:hint="eastAsia" w:ascii="Times New Roman" w:hAnsi="Times New Roman" w:eastAsia="新宋体" w:cs="Times New Roman"/>
          <w:bCs/>
          <w:color w:val="auto"/>
          <w:szCs w:val="24"/>
          <w:lang w:eastAsia="zh-CN"/>
        </w:rPr>
        <w:t>；预处理后废气经现有三级碱喷淋塔（TA002）+新增一级碱喷淋塔（TA004）装置</w:t>
      </w:r>
      <w:r>
        <w:rPr>
          <w:rFonts w:ascii="Times New Roman" w:hAnsi="Times New Roman" w:eastAsia="新宋体" w:cs="Times New Roman"/>
          <w:bCs/>
          <w:color w:val="auto"/>
          <w:szCs w:val="24"/>
          <w:lang w:eastAsia="zh-CN"/>
        </w:rPr>
        <w:t>处理，处理后</w:t>
      </w:r>
      <w:r>
        <w:rPr>
          <w:rFonts w:hint="eastAsia" w:ascii="Times New Roman" w:hAnsi="Times New Roman" w:eastAsia="新宋体" w:cs="Times New Roman"/>
          <w:bCs/>
          <w:color w:val="auto"/>
          <w:szCs w:val="24"/>
          <w:lang w:eastAsia="zh-CN"/>
        </w:rPr>
        <w:t>经</w:t>
      </w:r>
      <w:r>
        <w:rPr>
          <w:rFonts w:ascii="Times New Roman" w:hAnsi="Times New Roman" w:eastAsia="新宋体" w:cs="Times New Roman"/>
          <w:bCs/>
          <w:color w:val="auto"/>
          <w:szCs w:val="24"/>
          <w:lang w:eastAsia="zh-CN"/>
        </w:rPr>
        <w:t>现有</w:t>
      </w:r>
      <w:r>
        <w:rPr>
          <w:rFonts w:hint="eastAsia" w:ascii="Times New Roman" w:hAnsi="Times New Roman" w:eastAsia="新宋体" w:cs="Times New Roman"/>
          <w:bCs/>
          <w:color w:val="auto"/>
          <w:szCs w:val="24"/>
          <w:lang w:eastAsia="zh-CN"/>
        </w:rPr>
        <w:t>25</w:t>
      </w:r>
      <w:r>
        <w:rPr>
          <w:rFonts w:ascii="Times New Roman" w:hAnsi="Times New Roman" w:eastAsia="新宋体" w:cs="Times New Roman"/>
          <w:bCs/>
          <w:color w:val="auto"/>
          <w:szCs w:val="24"/>
          <w:lang w:eastAsia="zh-CN"/>
        </w:rPr>
        <w:t>m高DA001排气筒排放</w:t>
      </w:r>
      <w:r>
        <w:rPr>
          <w:rFonts w:ascii="Times New Roman" w:hAnsi="Times New Roman" w:eastAsia="新宋体" w:cs="Times New Roman"/>
          <w:color w:val="auto"/>
          <w:szCs w:val="24"/>
          <w:lang w:eastAsia="zh-CN"/>
        </w:rPr>
        <w:t>。</w:t>
      </w:r>
    </w:p>
    <w:p w14:paraId="6A19E03D">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项目使用的废气处理措施均为可行技术。关注废气收集、处理措施可行性，以及废气排放可能对大气环境产生的影响。</w:t>
      </w:r>
    </w:p>
    <w:p w14:paraId="7DBC7692">
      <w:pPr>
        <w:widowControl w:val="0"/>
        <w:spacing w:line="360" w:lineRule="auto"/>
        <w:ind w:firstLine="480" w:firstLineChars="200"/>
        <w:jc w:val="both"/>
        <w:rPr>
          <w:rFonts w:ascii="Times New Roman" w:hAnsi="Times New Roman" w:cs="Times New Roman"/>
          <w:color w:val="auto"/>
          <w:lang w:eastAsia="zh-CN"/>
        </w:rPr>
      </w:pPr>
      <w:r>
        <w:rPr>
          <w:rFonts w:ascii="宋体" w:hAnsi="宋体" w:cs="Cambria Math"/>
          <w:color w:val="auto"/>
          <w:szCs w:val="24"/>
          <w:lang w:eastAsia="zh-CN"/>
        </w:rPr>
        <w:t>③</w:t>
      </w:r>
      <w:r>
        <w:rPr>
          <w:rFonts w:ascii="宋体" w:hAnsi="宋体" w:cs="Times New Roman"/>
          <w:color w:val="auto"/>
          <w:szCs w:val="24"/>
          <w:lang w:eastAsia="zh-CN"/>
        </w:rPr>
        <w:t xml:space="preserve"> </w:t>
      </w:r>
      <w:r>
        <w:rPr>
          <w:rFonts w:ascii="Times New Roman" w:hAnsi="Times New Roman" w:cs="Times New Roman"/>
          <w:color w:val="auto"/>
          <w:szCs w:val="24"/>
          <w:lang w:eastAsia="zh-CN"/>
        </w:rPr>
        <w:t>固废：本项目营运期产生固体废物主要有危险废物、一般固废和生活垃圾。危险废物主要为</w:t>
      </w:r>
      <w:r>
        <w:rPr>
          <w:rFonts w:hint="eastAsia" w:ascii="Times New Roman" w:hAnsi="Times New Roman" w:cs="Times New Roman"/>
          <w:color w:val="auto"/>
          <w:szCs w:val="24"/>
          <w:lang w:eastAsia="zh-CN"/>
        </w:rPr>
        <w:t>实验室</w:t>
      </w:r>
      <w:r>
        <w:rPr>
          <w:rFonts w:ascii="Times New Roman" w:hAnsi="Times New Roman" w:cs="Times New Roman"/>
          <w:color w:val="auto"/>
          <w:szCs w:val="24"/>
          <w:lang w:eastAsia="zh-CN"/>
        </w:rPr>
        <w:t>废液</w:t>
      </w:r>
      <w:r>
        <w:rPr>
          <w:rFonts w:hint="eastAsia" w:ascii="Times New Roman" w:hAnsi="Times New Roman" w:cs="Times New Roman"/>
          <w:color w:val="auto"/>
          <w:szCs w:val="24"/>
          <w:lang w:eastAsia="zh-CN"/>
        </w:rPr>
        <w:t>、废机油、</w:t>
      </w:r>
      <w:r>
        <w:rPr>
          <w:rFonts w:hint="eastAsia" w:ascii="Times New Roman" w:hAnsi="Times New Roman" w:cs="Times New Roman"/>
          <w:color w:val="auto"/>
          <w:szCs w:val="24"/>
          <w:lang w:val="en-US" w:eastAsia="zh-CN"/>
        </w:rPr>
        <w:t>废漆桶、</w:t>
      </w:r>
      <w:r>
        <w:rPr>
          <w:rFonts w:hint="eastAsia" w:ascii="Times New Roman" w:hAnsi="Times New Roman" w:cs="Times New Roman"/>
          <w:color w:val="auto"/>
          <w:szCs w:val="24"/>
          <w:lang w:eastAsia="zh-CN"/>
        </w:rPr>
        <w:t>废油桶</w:t>
      </w:r>
      <w:r>
        <w:rPr>
          <w:rFonts w:ascii="Times New Roman" w:hAnsi="Times New Roman" w:cs="Times New Roman"/>
          <w:color w:val="auto"/>
          <w:szCs w:val="24"/>
          <w:lang w:eastAsia="zh-CN"/>
        </w:rPr>
        <w:t>，暂存于项目危险废物暂存库中，定期交由有资质单位进行处置。一般固废</w:t>
      </w:r>
      <w:r>
        <w:rPr>
          <w:rFonts w:hint="eastAsia" w:ascii="Times New Roman" w:hAnsi="Times New Roman" w:cs="Times New Roman"/>
          <w:color w:val="auto"/>
          <w:szCs w:val="24"/>
          <w:lang w:eastAsia="zh-CN"/>
        </w:rPr>
        <w:t>污泥委托第三方单位</w:t>
      </w:r>
      <w:r>
        <w:rPr>
          <w:rFonts w:ascii="Times New Roman" w:hAnsi="Times New Roman" w:cs="Times New Roman"/>
          <w:color w:val="auto"/>
          <w:szCs w:val="24"/>
          <w:lang w:eastAsia="zh-CN"/>
        </w:rPr>
        <w:t>处理。职工日常生活产生的生活垃圾</w:t>
      </w:r>
      <w:r>
        <w:rPr>
          <w:rFonts w:ascii="Times New Roman" w:hAnsi="Times New Roman" w:cs="Times New Roman"/>
          <w:color w:val="auto"/>
          <w:lang w:eastAsia="zh-CN"/>
        </w:rPr>
        <w:t>交环卫部门清运。</w:t>
      </w:r>
      <w:r>
        <w:rPr>
          <w:rFonts w:ascii="Times New Roman" w:hAnsi="Times New Roman" w:cs="Times New Roman"/>
          <w:color w:val="auto"/>
          <w:szCs w:val="24"/>
          <w:lang w:eastAsia="zh-CN"/>
        </w:rPr>
        <w:t>固体废物处置按照“减量化、资源化、无害化”的原则分类收集分类处置，关注危废处置的可行性及其可能对周边环境产生的影响；</w:t>
      </w:r>
    </w:p>
    <w:p w14:paraId="421DCD41">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4）预估项目建成运行后，可能排放的污染物的种类和数量，重点关注废气、废水和危险废物，预测项目可能对区域环境质量造成的不利影响，并结合区域环境功能区划和环境质量现状，从环境保护的角度论证该项目建设的可行性。</w:t>
      </w:r>
    </w:p>
    <w:p w14:paraId="0C58072A">
      <w:pPr>
        <w:widowControl w:val="0"/>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（5）项目建成运行后，重点对可能发生泄漏、火灾和爆炸的危险工艺装置、危险物质储罐进行环境风险分析，提出有效的环境风险防范措施，明确应急预案编制要求。</w:t>
      </w:r>
    </w:p>
    <w:p w14:paraId="281793DA">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（6）结合区域的环境功能区划和环境质量现状，从环保角度论证项目建设的可行性。</w:t>
      </w:r>
    </w:p>
    <w:p w14:paraId="2B8FD183">
      <w:pPr>
        <w:widowControl w:val="0"/>
        <w:spacing w:line="360" w:lineRule="auto"/>
        <w:ind w:firstLine="562" w:firstLineChars="200"/>
        <w:jc w:val="both"/>
        <w:outlineLvl w:val="1"/>
        <w:rPr>
          <w:rFonts w:ascii="Times New Roman" w:hAnsi="Times New Roman" w:eastAsia="新宋体" w:cs="Times New Roman"/>
          <w:b/>
          <w:bCs/>
          <w:color w:val="auto"/>
          <w:sz w:val="28"/>
          <w:szCs w:val="28"/>
          <w:lang w:eastAsia="zh-CN"/>
        </w:rPr>
      </w:pPr>
      <w:bookmarkStart w:id="111" w:name="_Toc237508234"/>
      <w:r>
        <w:rPr>
          <w:rFonts w:ascii="Times New Roman" w:hAnsi="Times New Roman" w:eastAsia="新宋体" w:cs="Times New Roman"/>
          <w:b/>
          <w:bCs/>
          <w:color w:val="auto"/>
          <w:sz w:val="28"/>
          <w:szCs w:val="28"/>
          <w:lang w:eastAsia="zh-CN"/>
        </w:rPr>
        <w:t>1.6 环境影响报告书的主要结论</w:t>
      </w:r>
      <w:bookmarkEnd w:id="111"/>
    </w:p>
    <w:p w14:paraId="476554B9">
      <w:pPr>
        <w:widowControl w:val="0"/>
        <w:topLinePunct/>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eastAsia="新宋体" w:cs="Times New Roman"/>
          <w:color w:val="auto"/>
          <w:szCs w:val="24"/>
          <w:lang w:eastAsia="zh-CN"/>
        </w:rPr>
        <w:t>安徽氟瑞星化工有限公司</w:t>
      </w:r>
      <w:r>
        <w:rPr>
          <w:rFonts w:hint="eastAsia" w:ascii="Times New Roman" w:hAnsi="Times New Roman" w:cs="Times New Roman"/>
          <w:color w:val="auto"/>
          <w:szCs w:val="24"/>
          <w:lang w:eastAsia="zh-CN"/>
        </w:rPr>
        <w:t>年产5万吨化学纯氢氟酸及1.5万吨刻蚀液扩产项目</w:t>
      </w:r>
      <w:r>
        <w:rPr>
          <w:rFonts w:ascii="Times New Roman" w:hAnsi="Times New Roman" w:cs="Times New Roman"/>
          <w:color w:val="auto"/>
          <w:szCs w:val="24"/>
          <w:lang w:eastAsia="zh-CN"/>
        </w:rPr>
        <w:t>符合国家产业政策，选址符合</w:t>
      </w:r>
      <w:r>
        <w:rPr>
          <w:rFonts w:ascii="Times New Roman" w:hAnsi="Times New Roman" w:eastAsia="新宋体" w:cs="Times New Roman"/>
          <w:color w:val="auto"/>
          <w:szCs w:val="24"/>
          <w:lang w:eastAsia="zh-CN"/>
        </w:rPr>
        <w:t>蚌埠精细化工高新技术产业基地</w:t>
      </w:r>
      <w:r>
        <w:rPr>
          <w:rFonts w:ascii="Times New Roman" w:hAnsi="Times New Roman" w:cs="Times New Roman"/>
          <w:color w:val="auto"/>
          <w:szCs w:val="24"/>
          <w:lang w:eastAsia="zh-CN"/>
        </w:rPr>
        <w:t>规划、规划环评及其审查意见要求。</w:t>
      </w:r>
    </w:p>
    <w:p w14:paraId="157017A6">
      <w:pPr>
        <w:widowControl w:val="0"/>
        <w:topLinePunct/>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项目采用了先进的生产工艺，设备和工艺自动化和密闭化程度高，符合清洁生产水平要求。项目实施后，污染物在采用相应污染防治措施的前提下，可以做到达标排放。排放的主要污染物可以满足总量控制指标要求，不会降低区域环境质量的原有功能级别。在采取相应环境风险防范措施后，环境风险可防控。公示期间，未收到公众意见。</w:t>
      </w:r>
    </w:p>
    <w:p w14:paraId="0847F800">
      <w:pPr>
        <w:widowControl w:val="0"/>
        <w:topLinePunct/>
        <w:spacing w:line="360" w:lineRule="auto"/>
        <w:ind w:firstLine="480" w:firstLineChars="200"/>
        <w:jc w:val="both"/>
        <w:rPr>
          <w:rFonts w:ascii="Times New Roman" w:hAnsi="Times New Roman" w:cs="Times New Roman"/>
          <w:color w:val="auto"/>
          <w:szCs w:val="24"/>
          <w:lang w:eastAsia="zh-CN"/>
        </w:rPr>
        <w:sectPr>
          <w:headerReference r:id="rId15" w:type="first"/>
          <w:headerReference r:id="rId13" w:type="default"/>
          <w:footerReference r:id="rId16" w:type="default"/>
          <w:headerReference r:id="rId14" w:type="even"/>
          <w:pgSz w:w="11906" w:h="16838"/>
          <w:pgMar w:top="1440" w:right="1080" w:bottom="1440" w:left="1080" w:header="851" w:footer="992" w:gutter="0"/>
          <w:cols w:space="720" w:num="1"/>
          <w:docGrid w:type="lines" w:linePitch="312" w:charSpace="0"/>
        </w:sectPr>
      </w:pPr>
      <w:r>
        <w:rPr>
          <w:rFonts w:ascii="Times New Roman" w:hAnsi="Times New Roman" w:cs="Times New Roman"/>
          <w:color w:val="auto"/>
          <w:szCs w:val="24"/>
          <w:lang w:eastAsia="zh-CN"/>
        </w:rPr>
        <w:t>因此，本评价认为，项目在建设和生产运行过程中，在严格执行“三同时”制度、落实环评报告中提出的各项污染防治措施的前提下，从环境影响角度，项目建设是可行的。</w:t>
      </w:r>
    </w:p>
    <w:p w14:paraId="4C01D06C">
      <w:pPr>
        <w:spacing w:line="360" w:lineRule="auto"/>
        <w:jc w:val="center"/>
        <w:outlineLvl w:val="0"/>
        <w:rPr>
          <w:rFonts w:ascii="Times New Roman" w:hAnsi="Times New Roman" w:eastAsia="新宋体" w:cs="Times New Roman"/>
          <w:b/>
          <w:bCs/>
          <w:color w:val="auto"/>
          <w:sz w:val="32"/>
          <w:szCs w:val="32"/>
          <w:lang w:eastAsia="zh-CN"/>
        </w:rPr>
      </w:pPr>
      <w:bookmarkStart w:id="112" w:name="_Toc237508235"/>
      <w:r>
        <w:rPr>
          <w:rFonts w:ascii="Times New Roman" w:hAnsi="Times New Roman" w:eastAsia="新宋体" w:cs="Times New Roman"/>
          <w:b/>
          <w:bCs/>
          <w:color w:val="auto"/>
          <w:sz w:val="32"/>
          <w:szCs w:val="32"/>
          <w:lang w:eastAsia="zh-CN"/>
        </w:rPr>
        <w:t>2 总则</w:t>
      </w:r>
      <w:bookmarkEnd w:id="112"/>
    </w:p>
    <w:p w14:paraId="7CA59074">
      <w:pPr>
        <w:spacing w:line="360" w:lineRule="auto"/>
        <w:ind w:firstLine="562"/>
        <w:rPr>
          <w:rFonts w:ascii="Times New Roman" w:hAnsi="Times New Roman" w:cs="Times New Roman"/>
          <w:b/>
          <w:bCs/>
          <w:color w:val="auto"/>
          <w:sz w:val="28"/>
          <w:szCs w:val="22"/>
          <w:lang w:eastAsia="zh-CN"/>
        </w:rPr>
      </w:pPr>
      <w:bookmarkStart w:id="113" w:name="_Toc30537"/>
      <w:bookmarkStart w:id="114" w:name="_Toc1524"/>
      <w:bookmarkStart w:id="115" w:name="_Toc32759"/>
      <w:bookmarkStart w:id="116" w:name="_Toc23439"/>
    </w:p>
    <w:p w14:paraId="76A3AE72">
      <w:pPr>
        <w:widowControl w:val="0"/>
        <w:spacing w:line="360" w:lineRule="auto"/>
        <w:ind w:firstLine="562" w:firstLineChars="200"/>
        <w:jc w:val="both"/>
        <w:outlineLvl w:val="1"/>
        <w:rPr>
          <w:rFonts w:ascii="Times New Roman" w:hAnsi="Times New Roman" w:cs="Times New Roman"/>
          <w:b/>
          <w:bCs/>
          <w:color w:val="auto"/>
          <w:sz w:val="28"/>
          <w:szCs w:val="22"/>
          <w:lang w:eastAsia="zh-CN"/>
        </w:rPr>
      </w:pPr>
      <w:bookmarkStart w:id="117" w:name="_Toc237508236"/>
      <w:r>
        <w:rPr>
          <w:rFonts w:ascii="Times New Roman" w:hAnsi="Times New Roman" w:cs="Times New Roman"/>
          <w:b/>
          <w:bCs/>
          <w:color w:val="auto"/>
          <w:sz w:val="28"/>
          <w:szCs w:val="22"/>
          <w:lang w:eastAsia="zh-CN"/>
        </w:rPr>
        <w:t>2.1 评价目的及指导思想</w:t>
      </w:r>
      <w:bookmarkEnd w:id="113"/>
      <w:bookmarkEnd w:id="114"/>
      <w:bookmarkEnd w:id="115"/>
      <w:bookmarkEnd w:id="116"/>
      <w:bookmarkEnd w:id="117"/>
    </w:p>
    <w:p w14:paraId="00683272">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次评价的目的是通过对该项目所在地区的空气环境、水环境、声环境、土壤环境等现状进行调查和监测，了解该地区目前的环境质量状况；根据环境影响评价技术导则中的预测模式，预测项目建成后排放的主要污染物对各环境要素可能产生的影响程度和范围，提出把不利影响减缓到合理可行的最低程度而必须采取的污染防治措施；从环境保护的角度给出该工程可行性的结论，并提出合理有效的污染防治对策，为环境保护行政主管部门对建设项目的监督管理和本项目环保设施的设计提供科学依据。</w:t>
      </w:r>
    </w:p>
    <w:p w14:paraId="3863E999">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按照相关的环境保护法规、标准和有关规定，分析项目排放的污染物能否达到排放标准，对设计中的环保治理措施进行可行性分析，并提出合理、可靠、可行的污染防治措施。</w:t>
      </w:r>
    </w:p>
    <w:p w14:paraId="6C057689">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依据相关环境影响评价技术导则中的要求，合理确定评价范围、评价因子，并根据工程特点，选择有代表性的监测点位、监测因子、预测模型，力求使环境影响评价结论科学、客观、明确。</w:t>
      </w:r>
    </w:p>
    <w:p w14:paraId="28A159D6">
      <w:pPr>
        <w:widowControl w:val="0"/>
        <w:spacing w:line="360" w:lineRule="auto"/>
        <w:ind w:firstLine="562" w:firstLineChars="200"/>
        <w:outlineLvl w:val="1"/>
        <w:rPr>
          <w:rFonts w:ascii="Times New Roman" w:hAnsi="Times New Roman" w:eastAsia="新宋体" w:cs="Times New Roman"/>
          <w:b/>
          <w:bCs/>
          <w:color w:val="auto"/>
          <w:sz w:val="28"/>
          <w:szCs w:val="28"/>
          <w:lang w:eastAsia="zh-CN"/>
        </w:rPr>
      </w:pPr>
      <w:bookmarkStart w:id="118" w:name="_Toc237508237"/>
      <w:r>
        <w:rPr>
          <w:rFonts w:ascii="Times New Roman" w:hAnsi="Times New Roman" w:eastAsia="新宋体" w:cs="Times New Roman"/>
          <w:b/>
          <w:bCs/>
          <w:color w:val="auto"/>
          <w:sz w:val="28"/>
          <w:szCs w:val="28"/>
          <w:lang w:eastAsia="zh-CN"/>
        </w:rPr>
        <w:t>2.2 编制依据</w:t>
      </w:r>
      <w:bookmarkEnd w:id="118"/>
    </w:p>
    <w:p w14:paraId="51002827">
      <w:pPr>
        <w:widowControl w:val="0"/>
        <w:spacing w:line="360" w:lineRule="auto"/>
        <w:ind w:firstLine="482" w:firstLineChars="200"/>
        <w:jc w:val="both"/>
        <w:outlineLvl w:val="2"/>
        <w:rPr>
          <w:rFonts w:ascii="Times New Roman" w:hAnsi="Times New Roman" w:eastAsia="新宋体" w:cs="Times New Roman"/>
          <w:b/>
          <w:bCs/>
          <w:color w:val="auto"/>
          <w:szCs w:val="24"/>
          <w:lang w:eastAsia="zh-CN"/>
        </w:rPr>
      </w:pPr>
      <w:bookmarkStart w:id="119" w:name="_Toc223424985"/>
      <w:bookmarkStart w:id="120" w:name="_Toc203926944"/>
      <w:bookmarkStart w:id="121" w:name="_Toc236641255"/>
      <w:bookmarkStart w:id="122" w:name="_Toc224674623"/>
      <w:bookmarkStart w:id="123" w:name="_Toc237508238"/>
      <w:bookmarkStart w:id="124" w:name="_Toc175164237"/>
      <w:bookmarkStart w:id="125" w:name="_Toc217662600"/>
      <w:bookmarkStart w:id="126" w:name="_Toc231828524"/>
      <w:bookmarkStart w:id="127" w:name="_Toc178602312"/>
      <w:bookmarkStart w:id="128" w:name="_Toc173743347"/>
      <w:bookmarkStart w:id="129" w:name="_Toc173740243"/>
      <w:bookmarkStart w:id="130" w:name="_Toc176512972"/>
      <w:bookmarkStart w:id="131" w:name="_Toc172555616"/>
      <w:bookmarkStart w:id="132" w:name="_Toc218784210"/>
      <w:bookmarkStart w:id="133" w:name="_Toc204448409"/>
      <w:bookmarkStart w:id="134" w:name="_Toc236641772"/>
      <w:bookmarkStart w:id="135" w:name="_Toc225783984"/>
      <w:bookmarkStart w:id="136" w:name="_Toc221900767"/>
      <w:bookmarkStart w:id="137" w:name="_Toc204515144"/>
      <w:r>
        <w:rPr>
          <w:rFonts w:ascii="Times New Roman" w:hAnsi="Times New Roman" w:eastAsia="新宋体" w:cs="Times New Roman"/>
          <w:b/>
          <w:bCs/>
          <w:color w:val="auto"/>
          <w:szCs w:val="24"/>
          <w:lang w:eastAsia="zh-CN"/>
        </w:rPr>
        <w:t>2.2.1 法律法规</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14:paraId="493E23AF">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hint="eastAsia" w:ascii="Times New Roman" w:hAnsi="Times New Roman" w:eastAsia="新宋体" w:cs="Times New Roman"/>
          <w:color w:val="auto"/>
          <w:szCs w:val="24"/>
          <w:lang w:eastAsia="zh-CN"/>
        </w:rPr>
        <w:t>《</w:t>
      </w:r>
      <w:r>
        <w:rPr>
          <w:rFonts w:ascii="Times New Roman" w:hAnsi="Times New Roman" w:eastAsia="新宋体" w:cs="Times New Roman"/>
          <w:color w:val="auto"/>
          <w:szCs w:val="24"/>
          <w:lang w:eastAsia="zh-CN"/>
        </w:rPr>
        <w:t>中华人民共和国</w:t>
      </w:r>
      <w:r>
        <w:rPr>
          <w:rFonts w:hint="eastAsia" w:ascii="Times New Roman" w:hAnsi="Times New Roman" w:eastAsia="新宋体" w:cs="Times New Roman"/>
          <w:color w:val="auto"/>
          <w:szCs w:val="24"/>
          <w:lang w:eastAsia="zh-CN"/>
        </w:rPr>
        <w:t>生态环境法典</w:t>
      </w:r>
      <w:r>
        <w:rPr>
          <w:rFonts w:ascii="Times New Roman" w:hAnsi="Times New Roman" w:eastAsia="新宋体" w:cs="Times New Roman"/>
          <w:color w:val="auto"/>
          <w:szCs w:val="24"/>
          <w:lang w:eastAsia="zh-CN"/>
        </w:rPr>
        <w:t>》，20</w:t>
      </w:r>
      <w:r>
        <w:rPr>
          <w:rFonts w:hint="eastAsia" w:ascii="Times New Roman" w:hAnsi="Times New Roman" w:eastAsia="新宋体" w:cs="Times New Roman"/>
          <w:color w:val="auto"/>
          <w:szCs w:val="24"/>
          <w:lang w:eastAsia="zh-CN"/>
        </w:rPr>
        <w:t>26</w:t>
      </w:r>
      <w:r>
        <w:rPr>
          <w:rFonts w:ascii="Times New Roman" w:hAnsi="Times New Roman" w:eastAsia="新宋体" w:cs="Times New Roman"/>
          <w:color w:val="auto"/>
          <w:szCs w:val="24"/>
          <w:lang w:eastAsia="zh-CN"/>
        </w:rPr>
        <w:t>年</w:t>
      </w:r>
      <w:r>
        <w:rPr>
          <w:rFonts w:hint="eastAsia" w:ascii="Times New Roman" w:hAnsi="Times New Roman" w:eastAsia="新宋体" w:cs="Times New Roman"/>
          <w:color w:val="auto"/>
          <w:szCs w:val="24"/>
          <w:lang w:eastAsia="zh-CN"/>
        </w:rPr>
        <w:t>8</w:t>
      </w:r>
      <w:r>
        <w:rPr>
          <w:rFonts w:ascii="Times New Roman" w:hAnsi="Times New Roman" w:eastAsia="新宋体" w:cs="Times New Roman"/>
          <w:color w:val="auto"/>
          <w:szCs w:val="24"/>
          <w:lang w:eastAsia="zh-CN"/>
        </w:rPr>
        <w:t>月</w:t>
      </w:r>
      <w:r>
        <w:rPr>
          <w:rFonts w:hint="eastAsia" w:ascii="Times New Roman" w:hAnsi="Times New Roman" w:eastAsia="新宋体" w:cs="Times New Roman"/>
          <w:color w:val="auto"/>
          <w:szCs w:val="24"/>
          <w:lang w:eastAsia="zh-CN"/>
        </w:rPr>
        <w:t>15</w:t>
      </w:r>
      <w:r>
        <w:rPr>
          <w:rFonts w:ascii="Times New Roman" w:hAnsi="Times New Roman" w:eastAsia="新宋体" w:cs="Times New Roman"/>
          <w:color w:val="auto"/>
          <w:szCs w:val="24"/>
          <w:lang w:eastAsia="zh-CN"/>
        </w:rPr>
        <w:t>日起实施；</w:t>
      </w:r>
    </w:p>
    <w:p w14:paraId="1AD6F273">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中共中央国务院《关于全面加强生态环境保护 坚决打好污染防治攻坚战的意见》2018年6月16日；</w:t>
      </w:r>
    </w:p>
    <w:p w14:paraId="431FDEF3">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中共中央国务院《关于深入打好污染防治攻坚战的意见》，2021年11月7日；</w:t>
      </w:r>
    </w:p>
    <w:p w14:paraId="38B8DA75">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 xml:space="preserve">中华人民共和国国务院 国发[2021]4号《国务院关于加快建立健全绿色低碳循环发 展经济体系的指导意见》； </w:t>
      </w:r>
    </w:p>
    <w:p w14:paraId="26A18D9A">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中华人民共和国国务院 国发[2013]37 号文《国务院关于印发大气污染防治行动计 划的通知》；</w:t>
      </w:r>
    </w:p>
    <w:p w14:paraId="1EC21148">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 xml:space="preserve">中华人民共和国国务院 国发[2015]17号《国务院关于印发水污染防治行动计划的 通知》； </w:t>
      </w:r>
      <w:r>
        <w:rPr>
          <w:rFonts w:ascii="Times New Roman" w:hAnsi="Times New Roman" w:eastAsia="新宋体" w:cs="Times New Roman"/>
          <w:color w:val="auto"/>
          <w:szCs w:val="24"/>
          <w:lang w:eastAsia="zh-CN"/>
        </w:rPr>
        <w:tab/>
      </w:r>
    </w:p>
    <w:p w14:paraId="161DC3D0">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 xml:space="preserve">中华人民共和国国务院 国发[2016]31号《国务院关于印发土壤污染防治行动计划 的通知》； </w:t>
      </w:r>
    </w:p>
    <w:p w14:paraId="4F621B55">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中华人民共和国生态环境部 部令第 16 号《建设项目环境影响评价分类管理名录》（2021 年版）；</w:t>
      </w:r>
    </w:p>
    <w:p w14:paraId="01BF64E6">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 xml:space="preserve">中华人民共和国原环境保护部 环发[2012]77号《关于进一步加强环境影响评价管 理防范环境风险的通知》； </w:t>
      </w:r>
    </w:p>
    <w:p w14:paraId="268E76F1">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 xml:space="preserve">中华人民共和国原环境保护部 环发[2012]98号《关于切实加强风险防范严格环境 影响评价管理的通知》； </w:t>
      </w:r>
    </w:p>
    <w:p w14:paraId="4275B58C">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 xml:space="preserve">中华人民共和国原环境保护部 环发[2013]104号《关于切实加强环境影响评价监督管理工作的通知》； </w:t>
      </w:r>
    </w:p>
    <w:p w14:paraId="38C29CF8">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 xml:space="preserve">中华人民共和国原环境保护部 环发[2014]30号《关于落实大气污染防治行动计划 严格环境影响评价准入的通知》； </w:t>
      </w:r>
    </w:p>
    <w:p w14:paraId="1D0C9928">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中华人民共和国原环境保护部 环发[2014]197号“关于印发《建设项目主要污染物排放总量指标审核及管理暂行办法》的通知”；</w:t>
      </w:r>
    </w:p>
    <w:p w14:paraId="075C5CD1">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中华人民共和国原环境保护部 环发[2015]178号《关于加强规划环境影响评价与建设项目环境影响评价联动工作的意见》；</w:t>
      </w:r>
    </w:p>
    <w:p w14:paraId="7D6163C3">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 xml:space="preserve">中华人民共和国原环境保护部 环环评[2016]150号《关于以改善环境质量为核心加强环境影响评价管理的通知》； </w:t>
      </w:r>
    </w:p>
    <w:p w14:paraId="1C3D25A1">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中华人民共和国原环境保护部 环环评[2018]11号《关于强化建设项目环境影响评 价事中事后监管的实施意见》；</w:t>
      </w:r>
    </w:p>
    <w:p w14:paraId="70D959A4">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 xml:space="preserve">生态环境部 环固体[2019]92号 《关于提升危险废物环境监管能力、利用处置能力和环境风险防范能力的指导意见》； </w:t>
      </w:r>
    </w:p>
    <w:p w14:paraId="5D50E5B5">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中华人民共和国生态环境部 环办环评函[2020]181号《关于加强环境影响报告书 （表）编制质量监管工作的通知》；</w:t>
      </w:r>
    </w:p>
    <w:p w14:paraId="038937C9">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生态环境部 环环评〔2021〕45号 《关于加强高耗能、高排放建设项目生态环境源头防控的指导意见》；</w:t>
      </w:r>
    </w:p>
    <w:p w14:paraId="422DC421">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安徽省人民政府办公厅 皖政办[2012]57号《关于促进我省化工产业健康发展的意见》；</w:t>
      </w:r>
    </w:p>
    <w:p w14:paraId="70CA02F9">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安徽省人民代表大会常务委员会 公告第六十六号《安徽省环境保护条例》，2018年 1 月 1 日；</w:t>
      </w:r>
    </w:p>
    <w:p w14:paraId="10E0F442">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 xml:space="preserve">安徽省推动长江经济带发展领导小组办公室文件（皖长江办[2022]10号）关于印发《安徽省长江经济带发展负面清单实施细则》（试行，2022年版）， 2022年6月13日； </w:t>
      </w:r>
    </w:p>
    <w:p w14:paraId="21074DBD">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安徽省人民政府皖政[2015]131号《关于印发安徽省水污染防治工作方案的通知》；</w:t>
      </w:r>
    </w:p>
    <w:p w14:paraId="303E0342">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安徽省人民政府皖政[2016]116号《关于印发安徽省土壤污染防治工作方案的通知》；</w:t>
      </w:r>
    </w:p>
    <w:p w14:paraId="560FCC46">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 xml:space="preserve">安徽省原环境保护厅 皖环发[2017]19 号《安徽省环保厅关于进一步加强建设项目 新增大气主要污染物总量指标管理工作的通知》； </w:t>
      </w:r>
    </w:p>
    <w:p w14:paraId="371C7657">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 xml:space="preserve">安徽省人民政府皖政秘[2018]120号“关于发布《安徽省生态保护红线》的通知”； </w:t>
      </w:r>
    </w:p>
    <w:p w14:paraId="59F4CA6F">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 xml:space="preserve">安徽省生态环境厅 环发[2020]73号《安徽省生态环境厅关于加强化工行业建设项 目环境管理的通知》； </w:t>
      </w:r>
    </w:p>
    <w:p w14:paraId="1F06F492">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安徽省节能减排及应对气候变化工作领导小组 皖节能[2022]2号《关于印发安徽省“两高”项目管理目录（试行）的通知》，2022 年 6 月 21 日；</w:t>
      </w:r>
    </w:p>
    <w:p w14:paraId="68E13C42">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 xml:space="preserve">安徽省经济和信息化厅 安徽省发展和改革委员会 安徽省自然资源厅 安徽省生态环境厅 皖经信原材料函[2022]73号《关于进一步规范化工项目建设管理的通知》，2022 年 6 月 15 日； </w:t>
      </w:r>
    </w:p>
    <w:p w14:paraId="3DA00F0C">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 xml:space="preserve">安徽省生态环境厅 皖环函[2020]195号《安徽省生态环境厅转发生态环境部办公厅关于加强环境影响报告书（表）编制质量监管工作的通知》； </w:t>
      </w:r>
    </w:p>
    <w:p w14:paraId="406E2051">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安徽省生态环境厅 《关于印发加强高耗能、高排放项目生态环境源头防控的实施意见的通知》，2021 年 6 月 17 日；</w:t>
      </w:r>
    </w:p>
    <w:p w14:paraId="5BDA9EE9">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w:t>
      </w:r>
      <w:r>
        <w:rPr>
          <w:rFonts w:ascii="Times New Roman" w:hAnsi="Times New Roman" w:cs="Times New Roman"/>
          <w:color w:val="auto"/>
          <w:lang w:eastAsia="zh-CN"/>
        </w:rPr>
        <w:t>关于印发促进化工园区高质量发展若干措施的通知》（皖发改产业[2024]86号）</w:t>
      </w:r>
    </w:p>
    <w:p w14:paraId="6D0F4887">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安徽省生态环境厅等部门，《关于印发&lt;安徽省排污权有偿使用和交易管理办法（试行）&gt;&lt;安徽省排污权交易规则（试行）&gt;&lt;安徽省排污权储备和出让管理办法（试行）&gt;&lt;安徽省排污权租赁管理办法（试行）&gt;的通知》（皖环发[2023]72号），2024年1月1日；</w:t>
      </w:r>
    </w:p>
    <w:p w14:paraId="7E5E54DB">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《蚌埠市人民政府关于印发蚌埠市土壤污染防治工作方案的通知》（蚌埠市人民政府 蚌政[2016]68号）；</w:t>
      </w:r>
    </w:p>
    <w:p w14:paraId="03EA5278">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《关于印发蚌埠市化工园区项目准入条件（试行）的通知》（蚌发改工高[2021]395号，2021年12月31日）；</w:t>
      </w:r>
    </w:p>
    <w:p w14:paraId="4F6A7147">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cs="Times New Roman"/>
          <w:color w:val="auto"/>
          <w:szCs w:val="32"/>
          <w:lang w:eastAsia="zh-CN"/>
        </w:rPr>
        <w:t>淮上区人民政府淮政发〔2017〕6号《关于印发淮上区土壤污染防治工作方案的通知》，2017年4月7日</w:t>
      </w:r>
      <w:r>
        <w:rPr>
          <w:rFonts w:ascii="Times New Roman" w:hAnsi="Times New Roman" w:eastAsia="新宋体" w:cs="Times New Roman"/>
          <w:color w:val="auto"/>
          <w:szCs w:val="24"/>
          <w:lang w:eastAsia="zh-CN"/>
        </w:rPr>
        <w:t>；</w:t>
      </w:r>
    </w:p>
    <w:p w14:paraId="721D5444">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《关于加强重点行业涉新污染物建设项目环境影响评价工作的意见》（环环评[2025]28号）；</w:t>
      </w:r>
    </w:p>
    <w:p w14:paraId="4C977950">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hint="eastAsia" w:ascii="Times New Roman" w:hAnsi="Times New Roman" w:cs="Times New Roman"/>
          <w:color w:val="auto"/>
          <w:szCs w:val="32"/>
          <w:lang w:eastAsia="zh-CN"/>
        </w:rPr>
        <w:t>关于发布</w:t>
      </w:r>
      <w:r>
        <w:rPr>
          <w:rFonts w:ascii="Times New Roman" w:hAnsi="Times New Roman" w:eastAsia="新宋体" w:cs="Times New Roman"/>
          <w:color w:val="auto"/>
          <w:szCs w:val="24"/>
          <w:lang w:eastAsia="zh-CN"/>
        </w:rPr>
        <w:t>《</w:t>
      </w:r>
      <w:r>
        <w:rPr>
          <w:rFonts w:hint="eastAsia" w:ascii="Times New Roman" w:hAnsi="Times New Roman" w:eastAsia="新宋体" w:cs="Times New Roman"/>
          <w:color w:val="auto"/>
          <w:szCs w:val="24"/>
          <w:lang w:eastAsia="zh-CN"/>
        </w:rPr>
        <w:t>优先控制化学品名录（第三批）</w:t>
      </w:r>
      <w:r>
        <w:rPr>
          <w:rFonts w:ascii="Times New Roman" w:hAnsi="Times New Roman" w:eastAsia="新宋体" w:cs="Times New Roman"/>
          <w:color w:val="auto"/>
          <w:szCs w:val="24"/>
          <w:lang w:eastAsia="zh-CN"/>
        </w:rPr>
        <w:t>》</w:t>
      </w:r>
      <w:r>
        <w:rPr>
          <w:rFonts w:hint="eastAsia" w:ascii="Times New Roman" w:hAnsi="Times New Roman" w:eastAsia="新宋体" w:cs="Times New Roman"/>
          <w:color w:val="auto"/>
          <w:szCs w:val="24"/>
          <w:lang w:eastAsia="zh-CN"/>
        </w:rPr>
        <w:t>的公告</w:t>
      </w:r>
      <w:r>
        <w:rPr>
          <w:rFonts w:ascii="Times New Roman" w:hAnsi="Times New Roman" w:eastAsia="新宋体" w:cs="Times New Roman"/>
          <w:color w:val="auto"/>
          <w:szCs w:val="24"/>
          <w:lang w:eastAsia="zh-CN"/>
        </w:rPr>
        <w:t>（</w:t>
      </w:r>
      <w:r>
        <w:rPr>
          <w:rFonts w:hint="eastAsia" w:ascii="Times New Roman" w:hAnsi="Times New Roman" w:eastAsia="新宋体" w:cs="Times New Roman"/>
          <w:color w:val="auto"/>
          <w:szCs w:val="24"/>
          <w:lang w:eastAsia="zh-CN"/>
        </w:rPr>
        <w:t>公告2025年第43号，2025年12月29日</w:t>
      </w:r>
      <w:r>
        <w:rPr>
          <w:rFonts w:ascii="Times New Roman" w:hAnsi="Times New Roman" w:eastAsia="新宋体" w:cs="Times New Roman"/>
          <w:color w:val="auto"/>
          <w:szCs w:val="24"/>
          <w:lang w:eastAsia="zh-CN"/>
        </w:rPr>
        <w:t>）；</w:t>
      </w:r>
    </w:p>
    <w:p w14:paraId="6149864A">
      <w:pPr>
        <w:pStyle w:val="84"/>
        <w:widowControl w:val="0"/>
        <w:numPr>
          <w:ilvl w:val="0"/>
          <w:numId w:val="4"/>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关于印发《安徽省重点管控新污染物补充清单》（皖环发[2026]9号）</w:t>
      </w:r>
    </w:p>
    <w:p w14:paraId="2DA2E161">
      <w:pPr>
        <w:widowControl w:val="0"/>
        <w:spacing w:line="360" w:lineRule="auto"/>
        <w:ind w:firstLine="482" w:firstLineChars="200"/>
        <w:jc w:val="both"/>
        <w:outlineLvl w:val="2"/>
        <w:rPr>
          <w:rFonts w:ascii="Times New Roman" w:hAnsi="Times New Roman" w:eastAsia="新宋体" w:cs="Times New Roman"/>
          <w:b/>
          <w:bCs/>
          <w:color w:val="auto"/>
          <w:szCs w:val="24"/>
          <w:lang w:eastAsia="zh-CN"/>
        </w:rPr>
      </w:pPr>
      <w:bookmarkStart w:id="138" w:name="_Toc176512973"/>
      <w:bookmarkStart w:id="139" w:name="_Toc218784211"/>
      <w:bookmarkStart w:id="140" w:name="_Toc225783985"/>
      <w:bookmarkStart w:id="141" w:name="_Toc175164238"/>
      <w:bookmarkStart w:id="142" w:name="_Toc203926945"/>
      <w:bookmarkStart w:id="143" w:name="_Toc224674624"/>
      <w:bookmarkStart w:id="144" w:name="_Toc172555617"/>
      <w:bookmarkStart w:id="145" w:name="_Toc173743348"/>
      <w:bookmarkStart w:id="146" w:name="_Toc223424986"/>
      <w:bookmarkStart w:id="147" w:name="_Toc217662601"/>
      <w:bookmarkStart w:id="148" w:name="_Toc236641773"/>
      <w:bookmarkStart w:id="149" w:name="_Toc204448410"/>
      <w:bookmarkStart w:id="150" w:name="_Toc204515145"/>
      <w:bookmarkStart w:id="151" w:name="_Toc221900768"/>
      <w:bookmarkStart w:id="152" w:name="_Toc178602313"/>
      <w:bookmarkStart w:id="153" w:name="_Toc236641256"/>
      <w:bookmarkStart w:id="154" w:name="_Toc231828525"/>
      <w:bookmarkStart w:id="155" w:name="_Toc173740244"/>
      <w:bookmarkStart w:id="156" w:name="_Toc237508239"/>
      <w:r>
        <w:rPr>
          <w:rFonts w:ascii="Times New Roman" w:hAnsi="Times New Roman" w:eastAsia="新宋体" w:cs="Times New Roman"/>
          <w:b/>
          <w:bCs/>
          <w:color w:val="auto"/>
          <w:szCs w:val="24"/>
          <w:lang w:eastAsia="zh-CN"/>
        </w:rPr>
        <w:t>2.2.2 导则规范</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5CAD13DD">
      <w:pPr>
        <w:pStyle w:val="84"/>
        <w:widowControl w:val="0"/>
        <w:numPr>
          <w:ilvl w:val="0"/>
          <w:numId w:val="5"/>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《建设项目环境影响评价技术导则 总纲》（HJ2.1-2016）；</w:t>
      </w:r>
    </w:p>
    <w:p w14:paraId="76DFE604">
      <w:pPr>
        <w:pStyle w:val="84"/>
        <w:widowControl w:val="0"/>
        <w:numPr>
          <w:ilvl w:val="0"/>
          <w:numId w:val="5"/>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《环境影响评价技术导则 大气环境》（HJ2.2-2018）；</w:t>
      </w:r>
    </w:p>
    <w:p w14:paraId="06881467">
      <w:pPr>
        <w:pStyle w:val="84"/>
        <w:widowControl w:val="0"/>
        <w:numPr>
          <w:ilvl w:val="0"/>
          <w:numId w:val="5"/>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《环境影响评价技术导则 地表水环境》（HJ2.3-2018）；</w:t>
      </w:r>
    </w:p>
    <w:p w14:paraId="2D836B17">
      <w:pPr>
        <w:pStyle w:val="84"/>
        <w:widowControl w:val="0"/>
        <w:numPr>
          <w:ilvl w:val="0"/>
          <w:numId w:val="5"/>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《环境影响评价技术导则 声环境》（HJ2.4-2021）；</w:t>
      </w:r>
    </w:p>
    <w:p w14:paraId="25B0299F">
      <w:pPr>
        <w:pStyle w:val="84"/>
        <w:widowControl w:val="0"/>
        <w:numPr>
          <w:ilvl w:val="0"/>
          <w:numId w:val="5"/>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《环境影响评价技术导则 地下水环境》（HJ610-2016）；</w:t>
      </w:r>
    </w:p>
    <w:p w14:paraId="7239918D">
      <w:pPr>
        <w:pStyle w:val="84"/>
        <w:widowControl w:val="0"/>
        <w:numPr>
          <w:ilvl w:val="0"/>
          <w:numId w:val="5"/>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《环境影响评价技术导则 土壤环境(试行)》（HJ964-2018）；</w:t>
      </w:r>
    </w:p>
    <w:p w14:paraId="2591B16E">
      <w:pPr>
        <w:pStyle w:val="84"/>
        <w:widowControl w:val="0"/>
        <w:numPr>
          <w:ilvl w:val="0"/>
          <w:numId w:val="5"/>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《建设项目环境风险评价技术导则》（HJ169-2018）；</w:t>
      </w:r>
    </w:p>
    <w:p w14:paraId="61508F51">
      <w:pPr>
        <w:pStyle w:val="84"/>
        <w:widowControl w:val="0"/>
        <w:numPr>
          <w:ilvl w:val="0"/>
          <w:numId w:val="5"/>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《建设项目危险废物环境影响评价指南》公告2017年第43号；</w:t>
      </w:r>
    </w:p>
    <w:p w14:paraId="6A9705C4">
      <w:pPr>
        <w:pStyle w:val="84"/>
        <w:widowControl w:val="0"/>
        <w:numPr>
          <w:ilvl w:val="0"/>
          <w:numId w:val="5"/>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《环境影响评价技术导则 生态影响》（HI 19-2022）；</w:t>
      </w:r>
    </w:p>
    <w:p w14:paraId="3EC52D42">
      <w:pPr>
        <w:pStyle w:val="84"/>
        <w:widowControl w:val="0"/>
        <w:numPr>
          <w:ilvl w:val="0"/>
          <w:numId w:val="5"/>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《污染源源强核算技术指南 准则》（HJ884-2018）；</w:t>
      </w:r>
    </w:p>
    <w:p w14:paraId="335826AE">
      <w:pPr>
        <w:pStyle w:val="84"/>
        <w:widowControl w:val="0"/>
        <w:numPr>
          <w:ilvl w:val="0"/>
          <w:numId w:val="5"/>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《危险废物贮存污染控制标准》（GB18579-2023）；</w:t>
      </w:r>
    </w:p>
    <w:p w14:paraId="38A2E618">
      <w:pPr>
        <w:pStyle w:val="84"/>
        <w:widowControl w:val="0"/>
        <w:numPr>
          <w:ilvl w:val="0"/>
          <w:numId w:val="5"/>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《工业企业土壤和地下水自行监测技术指南（试行）》（HJ1209-2021）；</w:t>
      </w:r>
    </w:p>
    <w:p w14:paraId="5C568E48">
      <w:pPr>
        <w:pStyle w:val="84"/>
        <w:widowControl w:val="0"/>
        <w:numPr>
          <w:ilvl w:val="0"/>
          <w:numId w:val="5"/>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bCs/>
          <w:color w:val="auto"/>
          <w:szCs w:val="24"/>
          <w:lang w:eastAsia="zh-CN"/>
        </w:rPr>
        <w:t>《危险化学品重大危险源辨识》（GB18218-2018）</w:t>
      </w:r>
      <w:r>
        <w:rPr>
          <w:rFonts w:hint="eastAsia" w:ascii="Times New Roman" w:hAnsi="Times New Roman" w:eastAsia="新宋体" w:cs="Times New Roman"/>
          <w:bCs/>
          <w:color w:val="auto"/>
          <w:szCs w:val="24"/>
          <w:lang w:eastAsia="zh-CN"/>
        </w:rPr>
        <w:t>；</w:t>
      </w:r>
    </w:p>
    <w:p w14:paraId="702CEFC9">
      <w:pPr>
        <w:pStyle w:val="84"/>
        <w:widowControl w:val="0"/>
        <w:numPr>
          <w:ilvl w:val="0"/>
          <w:numId w:val="5"/>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bCs/>
          <w:color w:val="auto"/>
          <w:szCs w:val="24"/>
          <w:lang w:eastAsia="zh-CN"/>
        </w:rPr>
        <w:t>《一般工业固体废物贮存</w:t>
      </w:r>
      <w:r>
        <w:rPr>
          <w:rFonts w:hint="eastAsia" w:ascii="Times New Roman" w:hAnsi="Times New Roman" w:eastAsia="新宋体" w:cs="Times New Roman"/>
          <w:bCs/>
          <w:color w:val="auto"/>
          <w:szCs w:val="24"/>
          <w:lang w:eastAsia="zh-CN"/>
        </w:rPr>
        <w:t>和填埋</w:t>
      </w:r>
      <w:r>
        <w:rPr>
          <w:rFonts w:ascii="Times New Roman" w:hAnsi="Times New Roman" w:eastAsia="新宋体" w:cs="Times New Roman"/>
          <w:bCs/>
          <w:color w:val="auto"/>
          <w:szCs w:val="24"/>
          <w:lang w:eastAsia="zh-CN"/>
        </w:rPr>
        <w:t>污染控制标准》（GB18599-2020）</w:t>
      </w:r>
      <w:r>
        <w:rPr>
          <w:rFonts w:hint="eastAsia" w:ascii="Times New Roman" w:hAnsi="Times New Roman" w:eastAsia="新宋体" w:cs="Times New Roman"/>
          <w:bCs/>
          <w:color w:val="auto"/>
          <w:szCs w:val="24"/>
          <w:lang w:eastAsia="zh-CN"/>
        </w:rPr>
        <w:t>；</w:t>
      </w:r>
    </w:p>
    <w:p w14:paraId="2D661CE3">
      <w:pPr>
        <w:pStyle w:val="84"/>
        <w:widowControl w:val="0"/>
        <w:numPr>
          <w:ilvl w:val="0"/>
          <w:numId w:val="5"/>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《排污单位自行监测技术指南 总则》（HJ 819-2017）；</w:t>
      </w:r>
    </w:p>
    <w:p w14:paraId="416EF71F">
      <w:pPr>
        <w:pStyle w:val="84"/>
        <w:widowControl w:val="0"/>
        <w:numPr>
          <w:ilvl w:val="0"/>
          <w:numId w:val="5"/>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《排污许可证申请与核发技术规范 总则》（HJ942-2018）；</w:t>
      </w:r>
    </w:p>
    <w:p w14:paraId="590B451D">
      <w:pPr>
        <w:pStyle w:val="84"/>
        <w:widowControl w:val="0"/>
        <w:numPr>
          <w:ilvl w:val="0"/>
          <w:numId w:val="5"/>
        </w:numPr>
        <w:spacing w:line="360" w:lineRule="auto"/>
        <w:ind w:left="0" w:firstLine="480"/>
        <w:jc w:val="both"/>
        <w:rPr>
          <w:rFonts w:ascii="Times New Roman" w:hAnsi="Times New Roman" w:eastAsia="新宋体" w:cs="Times New Roman"/>
          <w:color w:val="auto"/>
          <w:szCs w:val="24"/>
          <w:lang w:eastAsia="zh-CN"/>
        </w:rPr>
      </w:pPr>
      <w:bookmarkStart w:id="157" w:name="_Hlk219120855"/>
      <w:r>
        <w:rPr>
          <w:rFonts w:ascii="Times New Roman" w:hAnsi="Times New Roman" w:eastAsia="新宋体" w:cs="Times New Roman"/>
          <w:color w:val="auto"/>
          <w:szCs w:val="24"/>
          <w:lang w:eastAsia="zh-CN"/>
        </w:rPr>
        <w:t xml:space="preserve">《排污许可证申请与核发技术规范 </w:t>
      </w:r>
      <w:r>
        <w:rPr>
          <w:rFonts w:hint="eastAsia" w:ascii="Times New Roman" w:hAnsi="Times New Roman" w:eastAsia="新宋体" w:cs="Times New Roman"/>
          <w:color w:val="auto"/>
          <w:szCs w:val="24"/>
          <w:lang w:eastAsia="zh-CN"/>
        </w:rPr>
        <w:t>专用化学产品制造工业</w:t>
      </w:r>
      <w:r>
        <w:rPr>
          <w:rFonts w:ascii="Times New Roman" w:hAnsi="Times New Roman" w:eastAsia="新宋体" w:cs="Times New Roman"/>
          <w:color w:val="auto"/>
          <w:szCs w:val="24"/>
          <w:lang w:eastAsia="zh-CN"/>
        </w:rPr>
        <w:t>》（HJ</w:t>
      </w:r>
      <w:r>
        <w:rPr>
          <w:rFonts w:hint="eastAsia" w:ascii="Times New Roman" w:hAnsi="Times New Roman" w:eastAsia="新宋体" w:cs="Times New Roman"/>
          <w:color w:val="auto"/>
          <w:szCs w:val="24"/>
          <w:lang w:eastAsia="zh-CN"/>
        </w:rPr>
        <w:t>1103-2020</w:t>
      </w:r>
      <w:r>
        <w:rPr>
          <w:rFonts w:ascii="Times New Roman" w:hAnsi="Times New Roman" w:eastAsia="新宋体" w:cs="Times New Roman"/>
          <w:color w:val="auto"/>
          <w:szCs w:val="24"/>
          <w:lang w:eastAsia="zh-CN"/>
        </w:rPr>
        <w:t>）</w:t>
      </w:r>
      <w:bookmarkEnd w:id="157"/>
      <w:r>
        <w:rPr>
          <w:rFonts w:ascii="Times New Roman" w:hAnsi="Times New Roman" w:eastAsia="新宋体" w:cs="Times New Roman"/>
          <w:color w:val="auto"/>
          <w:szCs w:val="24"/>
          <w:lang w:eastAsia="zh-CN"/>
        </w:rPr>
        <w:t>；</w:t>
      </w:r>
    </w:p>
    <w:p w14:paraId="654BE164">
      <w:pPr>
        <w:pStyle w:val="84"/>
        <w:widowControl w:val="0"/>
        <w:numPr>
          <w:ilvl w:val="0"/>
          <w:numId w:val="5"/>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w:t>
      </w:r>
      <w:r>
        <w:rPr>
          <w:rFonts w:hint="eastAsia" w:ascii="Times New Roman" w:hAnsi="Times New Roman" w:eastAsia="新宋体" w:cs="Times New Roman"/>
          <w:color w:val="auto"/>
          <w:szCs w:val="24"/>
          <w:lang w:eastAsia="zh-CN"/>
        </w:rPr>
        <w:t>排污单位自行监测技术指南 电子工业</w:t>
      </w:r>
      <w:r>
        <w:rPr>
          <w:rFonts w:ascii="Times New Roman" w:hAnsi="Times New Roman" w:eastAsia="新宋体" w:cs="Times New Roman"/>
          <w:color w:val="auto"/>
          <w:szCs w:val="24"/>
          <w:lang w:eastAsia="zh-CN"/>
        </w:rPr>
        <w:t>》</w:t>
      </w:r>
      <w:r>
        <w:rPr>
          <w:rFonts w:hint="eastAsia" w:ascii="Times New Roman" w:hAnsi="Times New Roman" w:eastAsia="新宋体" w:cs="Times New Roman"/>
          <w:color w:val="auto"/>
          <w:szCs w:val="24"/>
          <w:lang w:eastAsia="zh-CN"/>
        </w:rPr>
        <w:t>（HJ1253-2022）；</w:t>
      </w:r>
    </w:p>
    <w:p w14:paraId="5FFC2558">
      <w:pPr>
        <w:pStyle w:val="84"/>
        <w:widowControl w:val="0"/>
        <w:numPr>
          <w:ilvl w:val="0"/>
          <w:numId w:val="5"/>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 xml:space="preserve">《排污许可证申请与核发技术规范 </w:t>
      </w:r>
      <w:r>
        <w:rPr>
          <w:rFonts w:hint="eastAsia" w:ascii="Times New Roman" w:hAnsi="Times New Roman" w:eastAsia="新宋体" w:cs="Times New Roman"/>
          <w:color w:val="auto"/>
          <w:szCs w:val="24"/>
          <w:lang w:eastAsia="zh-CN"/>
        </w:rPr>
        <w:t>电子工业</w:t>
      </w:r>
      <w:r>
        <w:rPr>
          <w:rFonts w:ascii="Times New Roman" w:hAnsi="Times New Roman" w:eastAsia="新宋体" w:cs="Times New Roman"/>
          <w:color w:val="auto"/>
          <w:szCs w:val="24"/>
          <w:lang w:eastAsia="zh-CN"/>
        </w:rPr>
        <w:t>》（HJ</w:t>
      </w:r>
      <w:r>
        <w:rPr>
          <w:rFonts w:hint="eastAsia" w:ascii="Times New Roman" w:hAnsi="Times New Roman" w:eastAsia="新宋体" w:cs="Times New Roman"/>
          <w:color w:val="auto"/>
          <w:szCs w:val="24"/>
          <w:lang w:eastAsia="zh-CN"/>
        </w:rPr>
        <w:t>1031-2019</w:t>
      </w:r>
      <w:r>
        <w:rPr>
          <w:rFonts w:ascii="Times New Roman" w:hAnsi="Times New Roman" w:eastAsia="新宋体" w:cs="Times New Roman"/>
          <w:color w:val="auto"/>
          <w:szCs w:val="24"/>
          <w:lang w:eastAsia="zh-CN"/>
        </w:rPr>
        <w:t>）；</w:t>
      </w:r>
    </w:p>
    <w:p w14:paraId="1C6E47AF">
      <w:pPr>
        <w:pStyle w:val="84"/>
        <w:widowControl w:val="0"/>
        <w:numPr>
          <w:ilvl w:val="0"/>
          <w:numId w:val="5"/>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《排污许可证申请与核发技术规范</w:t>
      </w:r>
      <w:r>
        <w:rPr>
          <w:rFonts w:hint="eastAsia" w:ascii="Times New Roman" w:hAnsi="Times New Roman" w:eastAsia="新宋体" w:cs="Times New Roman"/>
          <w:color w:val="auto"/>
          <w:szCs w:val="24"/>
          <w:lang w:eastAsia="zh-CN"/>
        </w:rPr>
        <w:t xml:space="preserve"> 无机</w:t>
      </w:r>
      <w:r>
        <w:rPr>
          <w:rFonts w:ascii="Times New Roman" w:hAnsi="Times New Roman" w:eastAsia="新宋体" w:cs="Times New Roman"/>
          <w:color w:val="auto"/>
          <w:szCs w:val="24"/>
          <w:lang w:eastAsia="zh-CN"/>
        </w:rPr>
        <w:t xml:space="preserve">化学工业》（HJ </w:t>
      </w:r>
      <w:r>
        <w:rPr>
          <w:rFonts w:hint="eastAsia" w:ascii="Times New Roman" w:hAnsi="Times New Roman" w:eastAsia="新宋体" w:cs="Times New Roman"/>
          <w:color w:val="auto"/>
          <w:szCs w:val="24"/>
          <w:lang w:eastAsia="zh-CN"/>
        </w:rPr>
        <w:t>1035</w:t>
      </w:r>
      <w:r>
        <w:rPr>
          <w:rFonts w:ascii="Times New Roman" w:hAnsi="Times New Roman" w:eastAsia="新宋体" w:cs="Times New Roman"/>
          <w:color w:val="auto"/>
          <w:szCs w:val="24"/>
          <w:lang w:eastAsia="zh-CN"/>
        </w:rPr>
        <w:t>-20</w:t>
      </w:r>
      <w:r>
        <w:rPr>
          <w:rFonts w:hint="eastAsia" w:ascii="Times New Roman" w:hAnsi="Times New Roman" w:eastAsia="新宋体" w:cs="Times New Roman"/>
          <w:color w:val="auto"/>
          <w:szCs w:val="24"/>
          <w:lang w:eastAsia="zh-CN"/>
        </w:rPr>
        <w:t>19</w:t>
      </w:r>
      <w:r>
        <w:rPr>
          <w:rFonts w:ascii="Times New Roman" w:hAnsi="Times New Roman" w:eastAsia="新宋体" w:cs="Times New Roman"/>
          <w:color w:val="auto"/>
          <w:szCs w:val="24"/>
          <w:lang w:eastAsia="zh-CN"/>
        </w:rPr>
        <w:t>）；</w:t>
      </w:r>
    </w:p>
    <w:p w14:paraId="51FCB05D">
      <w:pPr>
        <w:pStyle w:val="84"/>
        <w:widowControl w:val="0"/>
        <w:numPr>
          <w:ilvl w:val="0"/>
          <w:numId w:val="5"/>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《排污单位自行监测技术指南</w:t>
      </w:r>
      <w:r>
        <w:rPr>
          <w:rFonts w:hint="eastAsia" w:ascii="Times New Roman" w:hAnsi="Times New Roman" w:eastAsia="新宋体" w:cs="Times New Roman"/>
          <w:color w:val="auto"/>
          <w:szCs w:val="24"/>
          <w:lang w:eastAsia="zh-CN"/>
        </w:rPr>
        <w:t xml:space="preserve"> 无机</w:t>
      </w:r>
      <w:r>
        <w:rPr>
          <w:rFonts w:ascii="Times New Roman" w:hAnsi="Times New Roman" w:eastAsia="新宋体" w:cs="Times New Roman"/>
          <w:color w:val="auto"/>
          <w:szCs w:val="24"/>
          <w:lang w:eastAsia="zh-CN"/>
        </w:rPr>
        <w:t>化学工业》（HJ 1</w:t>
      </w:r>
      <w:r>
        <w:rPr>
          <w:rFonts w:hint="eastAsia" w:ascii="Times New Roman" w:hAnsi="Times New Roman" w:eastAsia="新宋体" w:cs="Times New Roman"/>
          <w:color w:val="auto"/>
          <w:szCs w:val="24"/>
          <w:lang w:eastAsia="zh-CN"/>
        </w:rPr>
        <w:t>138</w:t>
      </w:r>
      <w:r>
        <w:rPr>
          <w:rFonts w:ascii="Times New Roman" w:hAnsi="Times New Roman" w:eastAsia="新宋体" w:cs="Times New Roman"/>
          <w:color w:val="auto"/>
          <w:szCs w:val="24"/>
          <w:lang w:eastAsia="zh-CN"/>
        </w:rPr>
        <w:t>-2020）</w:t>
      </w:r>
      <w:r>
        <w:rPr>
          <w:rFonts w:hint="eastAsia" w:ascii="Times New Roman" w:hAnsi="Times New Roman" w:eastAsia="新宋体" w:cs="Times New Roman"/>
          <w:color w:val="auto"/>
          <w:szCs w:val="24"/>
          <w:lang w:eastAsia="zh-CN"/>
        </w:rPr>
        <w:t>；</w:t>
      </w:r>
    </w:p>
    <w:p w14:paraId="31BBB879">
      <w:pPr>
        <w:pStyle w:val="84"/>
        <w:widowControl w:val="0"/>
        <w:numPr>
          <w:ilvl w:val="0"/>
          <w:numId w:val="5"/>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《排污许可证申请与核发技术规范</w:t>
      </w:r>
      <w:r>
        <w:rPr>
          <w:rFonts w:hint="eastAsia" w:ascii="Times New Roman" w:hAnsi="Times New Roman" w:eastAsia="新宋体" w:cs="Times New Roman"/>
          <w:color w:val="auto"/>
          <w:szCs w:val="24"/>
          <w:lang w:eastAsia="zh-CN"/>
        </w:rPr>
        <w:t xml:space="preserve"> </w:t>
      </w:r>
      <w:r>
        <w:rPr>
          <w:rFonts w:ascii="Times New Roman" w:hAnsi="Times New Roman" w:eastAsia="新宋体" w:cs="Times New Roman"/>
          <w:color w:val="auto"/>
          <w:szCs w:val="24"/>
          <w:lang w:eastAsia="zh-CN"/>
        </w:rPr>
        <w:t>水处理</w:t>
      </w:r>
      <w:r>
        <w:rPr>
          <w:rFonts w:hint="eastAsia" w:ascii="Times New Roman" w:hAnsi="Times New Roman" w:eastAsia="新宋体" w:cs="Times New Roman"/>
          <w:color w:val="auto"/>
          <w:szCs w:val="24"/>
          <w:lang w:eastAsia="zh-CN"/>
        </w:rPr>
        <w:t>通用工序</w:t>
      </w:r>
      <w:r>
        <w:rPr>
          <w:rFonts w:ascii="Times New Roman" w:hAnsi="Times New Roman" w:eastAsia="新宋体" w:cs="Times New Roman"/>
          <w:color w:val="auto"/>
          <w:szCs w:val="24"/>
          <w:lang w:eastAsia="zh-CN"/>
        </w:rPr>
        <w:t>》（HJ</w:t>
      </w:r>
      <w:r>
        <w:rPr>
          <w:rFonts w:hint="eastAsia" w:ascii="Times New Roman" w:hAnsi="Times New Roman" w:eastAsia="新宋体" w:cs="Times New Roman"/>
          <w:color w:val="auto"/>
          <w:szCs w:val="24"/>
          <w:lang w:eastAsia="zh-CN"/>
        </w:rPr>
        <w:t>1120</w:t>
      </w:r>
      <w:r>
        <w:rPr>
          <w:rFonts w:ascii="Times New Roman" w:hAnsi="Times New Roman" w:eastAsia="新宋体" w:cs="Times New Roman"/>
          <w:color w:val="auto"/>
          <w:szCs w:val="24"/>
          <w:lang w:eastAsia="zh-CN"/>
        </w:rPr>
        <w:t>-20</w:t>
      </w:r>
      <w:r>
        <w:rPr>
          <w:rFonts w:hint="eastAsia" w:ascii="Times New Roman" w:hAnsi="Times New Roman" w:eastAsia="新宋体" w:cs="Times New Roman"/>
          <w:color w:val="auto"/>
          <w:szCs w:val="24"/>
          <w:lang w:eastAsia="zh-CN"/>
        </w:rPr>
        <w:t>20</w:t>
      </w:r>
      <w:r>
        <w:rPr>
          <w:rFonts w:ascii="Times New Roman" w:hAnsi="Times New Roman" w:eastAsia="新宋体" w:cs="Times New Roman"/>
          <w:color w:val="auto"/>
          <w:szCs w:val="24"/>
          <w:lang w:eastAsia="zh-CN"/>
        </w:rPr>
        <w:t>）</w:t>
      </w:r>
      <w:r>
        <w:rPr>
          <w:rFonts w:hint="eastAsia" w:ascii="Times New Roman" w:hAnsi="Times New Roman" w:eastAsia="新宋体" w:cs="Times New Roman"/>
          <w:color w:val="auto"/>
          <w:szCs w:val="24"/>
          <w:lang w:eastAsia="zh-CN"/>
        </w:rPr>
        <w:t>。</w:t>
      </w:r>
    </w:p>
    <w:p w14:paraId="118D2B7E">
      <w:pPr>
        <w:widowControl w:val="0"/>
        <w:spacing w:line="360" w:lineRule="auto"/>
        <w:ind w:firstLine="482" w:firstLineChars="200"/>
        <w:jc w:val="both"/>
        <w:outlineLvl w:val="2"/>
        <w:rPr>
          <w:rFonts w:ascii="Times New Roman" w:hAnsi="Times New Roman" w:eastAsia="新宋体" w:cs="Times New Roman"/>
          <w:b/>
          <w:bCs/>
          <w:color w:val="auto"/>
          <w:szCs w:val="24"/>
          <w:lang w:eastAsia="zh-CN"/>
        </w:rPr>
      </w:pPr>
      <w:bookmarkStart w:id="158" w:name="_Toc176512974"/>
      <w:bookmarkStart w:id="159" w:name="_Toc173740245"/>
      <w:bookmarkStart w:id="160" w:name="_Toc237508240"/>
      <w:bookmarkStart w:id="161" w:name="_Toc236641774"/>
      <w:bookmarkStart w:id="162" w:name="_Toc224674625"/>
      <w:bookmarkStart w:id="163" w:name="_Toc236641257"/>
      <w:bookmarkStart w:id="164" w:name="_Toc204448411"/>
      <w:bookmarkStart w:id="165" w:name="_Toc178602314"/>
      <w:bookmarkStart w:id="166" w:name="_Toc172555618"/>
      <w:bookmarkStart w:id="167" w:name="_Toc231828526"/>
      <w:bookmarkStart w:id="168" w:name="_Toc175164239"/>
      <w:bookmarkStart w:id="169" w:name="_Toc173743349"/>
      <w:bookmarkStart w:id="170" w:name="_Toc217662602"/>
      <w:bookmarkStart w:id="171" w:name="_Toc225783986"/>
      <w:bookmarkStart w:id="172" w:name="_Toc223424987"/>
      <w:bookmarkStart w:id="173" w:name="_Toc218784212"/>
      <w:bookmarkStart w:id="174" w:name="_Toc204515146"/>
      <w:bookmarkStart w:id="175" w:name="_Toc203926946"/>
      <w:bookmarkStart w:id="176" w:name="_Toc221900769"/>
      <w:r>
        <w:rPr>
          <w:rFonts w:ascii="Times New Roman" w:hAnsi="Times New Roman" w:eastAsia="新宋体" w:cs="Times New Roman"/>
          <w:b/>
          <w:bCs/>
          <w:color w:val="auto"/>
          <w:szCs w:val="24"/>
          <w:lang w:eastAsia="zh-CN"/>
        </w:rPr>
        <w:t>2.2.3 相关规划</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6FCA433B">
      <w:pPr>
        <w:spacing w:line="360" w:lineRule="auto"/>
        <w:ind w:firstLine="480" w:firstLineChars="200"/>
        <w:jc w:val="both"/>
        <w:rPr>
          <w:rFonts w:ascii="Times New Roman" w:hAnsi="Times New Roman" w:eastAsia="新宋体" w:cs="Times New Roman"/>
          <w:color w:val="auto"/>
          <w:szCs w:val="24"/>
          <w:lang w:eastAsia="zh-CN"/>
        </w:rPr>
      </w:pPr>
      <w:bookmarkStart w:id="177" w:name="_Toc173743350"/>
      <w:bookmarkStart w:id="178" w:name="_Toc178602315"/>
      <w:bookmarkStart w:id="179" w:name="_Toc173740246"/>
      <w:bookmarkStart w:id="180" w:name="_Toc172555619"/>
      <w:bookmarkStart w:id="181" w:name="_Toc176512975"/>
      <w:bookmarkStart w:id="182" w:name="_Toc175164240"/>
      <w:r>
        <w:rPr>
          <w:rFonts w:ascii="Times New Roman" w:hAnsi="Times New Roman" w:eastAsia="新宋体" w:cs="Times New Roman"/>
          <w:color w:val="auto"/>
          <w:szCs w:val="24"/>
          <w:lang w:eastAsia="zh-CN"/>
        </w:rPr>
        <w:t>（1）《蚌埠</w:t>
      </w:r>
      <w:r>
        <w:rPr>
          <w:rFonts w:hint="eastAsia" w:ascii="Times New Roman" w:hAnsi="Times New Roman" w:eastAsia="新宋体" w:cs="Times New Roman"/>
          <w:color w:val="auto"/>
          <w:szCs w:val="24"/>
          <w:lang w:eastAsia="zh-CN"/>
        </w:rPr>
        <w:t>市国土空间总体规划</w:t>
      </w:r>
      <w:r>
        <w:rPr>
          <w:rFonts w:ascii="Times New Roman" w:hAnsi="Times New Roman" w:eastAsia="新宋体" w:cs="Times New Roman"/>
          <w:color w:val="auto"/>
          <w:szCs w:val="24"/>
          <w:lang w:eastAsia="zh-CN"/>
        </w:rPr>
        <w:t>（2021～2035）》；</w:t>
      </w:r>
    </w:p>
    <w:p w14:paraId="3D82330F">
      <w:pPr>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（2）《蚌埠精细化工高新技术产业基地规划（2021～2035）》。</w:t>
      </w:r>
    </w:p>
    <w:p w14:paraId="46ED8D68">
      <w:pPr>
        <w:widowControl w:val="0"/>
        <w:spacing w:line="360" w:lineRule="auto"/>
        <w:ind w:firstLine="482" w:firstLineChars="200"/>
        <w:jc w:val="both"/>
        <w:outlineLvl w:val="2"/>
        <w:rPr>
          <w:rFonts w:ascii="Times New Roman" w:hAnsi="Times New Roman" w:eastAsia="新宋体" w:cs="Times New Roman"/>
          <w:color w:val="auto"/>
          <w:szCs w:val="24"/>
          <w:lang w:eastAsia="zh-CN"/>
        </w:rPr>
      </w:pPr>
      <w:bookmarkStart w:id="183" w:name="_Toc203926947"/>
      <w:bookmarkStart w:id="184" w:name="_Toc225783987"/>
      <w:bookmarkStart w:id="185" w:name="_Toc221900770"/>
      <w:bookmarkStart w:id="186" w:name="_Toc236641258"/>
      <w:bookmarkStart w:id="187" w:name="_Toc204515147"/>
      <w:bookmarkStart w:id="188" w:name="_Toc204448412"/>
      <w:bookmarkStart w:id="189" w:name="_Toc218784213"/>
      <w:bookmarkStart w:id="190" w:name="_Toc231828527"/>
      <w:bookmarkStart w:id="191" w:name="_Toc217662603"/>
      <w:bookmarkStart w:id="192" w:name="_Toc223424988"/>
      <w:bookmarkStart w:id="193" w:name="_Toc224674626"/>
      <w:bookmarkStart w:id="194" w:name="_Toc236641775"/>
      <w:bookmarkStart w:id="195" w:name="_Toc237508241"/>
      <w:r>
        <w:rPr>
          <w:rFonts w:ascii="Times New Roman" w:hAnsi="Times New Roman" w:eastAsia="新宋体" w:cs="Times New Roman"/>
          <w:b/>
          <w:bCs/>
          <w:color w:val="auto"/>
          <w:szCs w:val="24"/>
          <w:lang w:eastAsia="zh-CN"/>
        </w:rPr>
        <w:t>2.2.4 相关资料</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14:paraId="2256A926">
      <w:pPr>
        <w:pStyle w:val="84"/>
        <w:widowControl w:val="0"/>
        <w:numPr>
          <w:ilvl w:val="0"/>
          <w:numId w:val="6"/>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项目环境影响评价委托书；</w:t>
      </w:r>
    </w:p>
    <w:p w14:paraId="71A3CC87">
      <w:pPr>
        <w:pStyle w:val="84"/>
        <w:widowControl w:val="0"/>
        <w:numPr>
          <w:ilvl w:val="0"/>
          <w:numId w:val="6"/>
        </w:numPr>
        <w:spacing w:line="360" w:lineRule="auto"/>
        <w:ind w:left="0" w:firstLine="480"/>
        <w:jc w:val="both"/>
        <w:rPr>
          <w:rFonts w:ascii="Times New Roman" w:hAnsi="Times New Roman" w:cs="Times New Roman"/>
          <w:color w:val="auto"/>
          <w:szCs w:val="24"/>
          <w:lang w:eastAsia="zh-CN"/>
        </w:rPr>
      </w:pPr>
      <w:r>
        <w:rPr>
          <w:rFonts w:ascii="Times New Roman" w:hAnsi="Times New Roman" w:eastAsia="新宋体" w:cs="Times New Roman"/>
          <w:color w:val="auto"/>
          <w:szCs w:val="24"/>
          <w:lang w:eastAsia="zh-CN"/>
        </w:rPr>
        <w:t>项目备案文件</w:t>
      </w:r>
      <w:r>
        <w:rPr>
          <w:rFonts w:ascii="Times New Roman" w:hAnsi="Times New Roman" w:cs="Times New Roman"/>
          <w:color w:val="auto"/>
          <w:szCs w:val="24"/>
          <w:lang w:eastAsia="zh-CN"/>
        </w:rPr>
        <w:t>（项目代码：</w:t>
      </w:r>
      <w:r>
        <w:rPr>
          <w:rFonts w:hint="eastAsia" w:ascii="Times New Roman" w:hAnsi="Times New Roman" w:cs="Times New Roman"/>
          <w:color w:val="auto"/>
          <w:szCs w:val="24"/>
          <w:lang w:eastAsia="zh-CN"/>
        </w:rPr>
        <w:t>260</w:t>
      </w:r>
      <w:r>
        <w:rPr>
          <w:rFonts w:hint="eastAsia" w:ascii="Times New Roman" w:hAnsi="Times New Roman" w:cs="Times New Roman"/>
          <w:color w:val="auto"/>
          <w:szCs w:val="24"/>
          <w:lang w:val="en-US" w:eastAsia="zh-CN"/>
        </w:rPr>
        <w:t>6</w:t>
      </w:r>
      <w:r>
        <w:rPr>
          <w:rFonts w:hint="eastAsia" w:ascii="Times New Roman" w:hAnsi="Times New Roman" w:cs="Times New Roman"/>
          <w:color w:val="auto"/>
          <w:szCs w:val="24"/>
          <w:lang w:eastAsia="zh-CN"/>
        </w:rPr>
        <w:t>-340311-07-02-</w:t>
      </w:r>
      <w:r>
        <w:rPr>
          <w:rFonts w:hint="eastAsia" w:ascii="Times New Roman" w:hAnsi="Times New Roman" w:cs="Times New Roman"/>
          <w:color w:val="auto"/>
          <w:szCs w:val="24"/>
          <w:lang w:val="en-US" w:eastAsia="zh-CN"/>
        </w:rPr>
        <w:t>267412</w:t>
      </w:r>
      <w:r>
        <w:rPr>
          <w:rFonts w:ascii="Times New Roman" w:hAnsi="Times New Roman" w:cs="Times New Roman"/>
          <w:color w:val="auto"/>
          <w:szCs w:val="24"/>
          <w:lang w:eastAsia="zh-CN"/>
        </w:rPr>
        <w:t>）；</w:t>
      </w:r>
    </w:p>
    <w:p w14:paraId="33EA39F3">
      <w:pPr>
        <w:pStyle w:val="84"/>
        <w:widowControl w:val="0"/>
        <w:numPr>
          <w:ilvl w:val="0"/>
          <w:numId w:val="6"/>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w:t>
      </w:r>
      <w:r>
        <w:rPr>
          <w:rFonts w:hint="eastAsia" w:ascii="Times New Roman" w:hAnsi="Times New Roman" w:cs="Times New Roman"/>
          <w:color w:val="auto"/>
          <w:szCs w:val="24"/>
          <w:lang w:eastAsia="zh-CN"/>
        </w:rPr>
        <w:t>安徽氟瑞星化工</w:t>
      </w:r>
      <w:r>
        <w:rPr>
          <w:rFonts w:ascii="Times New Roman" w:hAnsi="Times New Roman" w:cs="Times New Roman"/>
          <w:color w:val="auto"/>
          <w:szCs w:val="24"/>
          <w:lang w:eastAsia="zh-CN"/>
        </w:rPr>
        <w:t>有限公司</w:t>
      </w:r>
      <w:r>
        <w:rPr>
          <w:rFonts w:hint="eastAsia" w:ascii="Times New Roman" w:hAnsi="Times New Roman" w:cs="Times New Roman"/>
          <w:color w:val="auto"/>
          <w:szCs w:val="24"/>
          <w:lang w:eastAsia="zh-CN"/>
        </w:rPr>
        <w:t>年产5万吨化学纯氢氟酸及1.5万吨刻蚀液扩产项目</w:t>
      </w:r>
      <w:r>
        <w:rPr>
          <w:rFonts w:ascii="Times New Roman" w:hAnsi="Times New Roman" w:eastAsia="新宋体" w:cs="Times New Roman"/>
          <w:color w:val="auto"/>
          <w:szCs w:val="24"/>
          <w:lang w:eastAsia="zh-CN"/>
        </w:rPr>
        <w:t>可行性研究报告》；</w:t>
      </w:r>
    </w:p>
    <w:p w14:paraId="522F9BDE">
      <w:pPr>
        <w:pStyle w:val="84"/>
        <w:widowControl w:val="0"/>
        <w:numPr>
          <w:ilvl w:val="0"/>
          <w:numId w:val="6"/>
        </w:numPr>
        <w:spacing w:line="360" w:lineRule="auto"/>
        <w:ind w:left="0" w:firstLine="480"/>
        <w:jc w:val="both"/>
        <w:rPr>
          <w:rFonts w:ascii="Times New Roman" w:hAnsi="Times New Roman" w:eastAsia="新宋体" w:cs="Times New Roman"/>
          <w:color w:val="auto"/>
          <w:szCs w:val="24"/>
          <w:lang w:eastAsia="zh-CN"/>
        </w:rPr>
      </w:pPr>
      <w:r>
        <w:rPr>
          <w:rFonts w:hint="eastAsia" w:ascii="Times New Roman" w:hAnsi="Times New Roman" w:eastAsia="新宋体" w:cs="Times New Roman"/>
          <w:color w:val="auto"/>
          <w:szCs w:val="24"/>
          <w:lang w:eastAsia="zh-CN"/>
        </w:rPr>
        <w:t>安徽省生态环境厅关于《安徽省氟瑞星化工有限公司年产</w:t>
      </w:r>
      <w:r>
        <w:rPr>
          <w:rFonts w:ascii="Times New Roman" w:hAnsi="Times New Roman" w:eastAsia="新宋体" w:cs="Times New Roman"/>
          <w:bCs/>
          <w:color w:val="auto"/>
          <w:szCs w:val="24"/>
          <w:lang w:eastAsia="zh-CN"/>
        </w:rPr>
        <w:t>4万吨电子级氢氟酸、4万吨化学纯氢氟酸及4.5万吨刻蚀液</w:t>
      </w:r>
      <w:r>
        <w:rPr>
          <w:rFonts w:hint="eastAsia" w:ascii="Times New Roman" w:hAnsi="Times New Roman" w:eastAsia="新宋体" w:cs="Times New Roman"/>
          <w:bCs/>
          <w:color w:val="auto"/>
          <w:szCs w:val="24"/>
          <w:lang w:eastAsia="zh-CN"/>
        </w:rPr>
        <w:t>项目</w:t>
      </w:r>
      <w:r>
        <w:rPr>
          <w:rFonts w:hint="eastAsia" w:ascii="Times New Roman" w:hAnsi="Times New Roman" w:eastAsia="新宋体" w:cs="Times New Roman"/>
          <w:color w:val="auto"/>
          <w:szCs w:val="24"/>
          <w:lang w:eastAsia="zh-CN"/>
        </w:rPr>
        <w:t>》环保预审的批复；</w:t>
      </w:r>
    </w:p>
    <w:p w14:paraId="3BBDF020">
      <w:pPr>
        <w:pStyle w:val="84"/>
        <w:widowControl w:val="0"/>
        <w:numPr>
          <w:ilvl w:val="0"/>
          <w:numId w:val="6"/>
        </w:numPr>
        <w:spacing w:line="360" w:lineRule="auto"/>
        <w:ind w:left="0" w:firstLine="480"/>
        <w:jc w:val="both"/>
        <w:rPr>
          <w:rFonts w:ascii="Times New Roman" w:hAnsi="Times New Roman" w:eastAsia="新宋体" w:cs="Times New Roman"/>
          <w:color w:val="auto"/>
          <w:szCs w:val="24"/>
          <w:lang w:eastAsia="zh-CN"/>
        </w:rPr>
      </w:pPr>
      <w:r>
        <w:rPr>
          <w:rFonts w:hint="eastAsia" w:ascii="Times New Roman" w:hAnsi="Times New Roman" w:eastAsia="新宋体" w:cs="Times New Roman"/>
          <w:color w:val="auto"/>
          <w:szCs w:val="24"/>
          <w:lang w:eastAsia="zh-CN"/>
        </w:rPr>
        <w:t>《</w:t>
      </w:r>
      <w:r>
        <w:rPr>
          <w:rFonts w:hint="eastAsia" w:ascii="Times New Roman" w:hAnsi="Times New Roman" w:cs="Times New Roman"/>
          <w:color w:val="auto"/>
          <w:szCs w:val="24"/>
          <w:lang w:eastAsia="zh-CN"/>
        </w:rPr>
        <w:t>安徽氟瑞星化工有限公司年产4万吨电子级氢氟酸、4万吨化学纯氢氟酸及4.5万吨刻蚀液项目（一期工程）》环评报告及环评批复、排污许可证、验收报告及验收意见等</w:t>
      </w:r>
      <w:r>
        <w:rPr>
          <w:rFonts w:ascii="Times New Roman" w:hAnsi="Times New Roman" w:eastAsia="新宋体" w:cs="Times New Roman"/>
          <w:color w:val="auto"/>
          <w:szCs w:val="24"/>
          <w:lang w:eastAsia="zh-CN"/>
        </w:rPr>
        <w:t xml:space="preserve">； </w:t>
      </w:r>
    </w:p>
    <w:p w14:paraId="4148A88D">
      <w:pPr>
        <w:pStyle w:val="84"/>
        <w:widowControl w:val="0"/>
        <w:numPr>
          <w:ilvl w:val="0"/>
          <w:numId w:val="6"/>
        </w:numPr>
        <w:spacing w:line="360" w:lineRule="auto"/>
        <w:ind w:left="0" w:firstLine="480"/>
        <w:jc w:val="both"/>
        <w:rPr>
          <w:rFonts w:ascii="Times New Roman" w:hAnsi="Times New Roman" w:eastAsia="新宋体" w:cs="Times New Roman"/>
          <w:color w:val="auto"/>
          <w:szCs w:val="24"/>
          <w:lang w:eastAsia="zh-CN"/>
        </w:rPr>
      </w:pPr>
      <w:r>
        <w:rPr>
          <w:rFonts w:hint="eastAsia" w:ascii="Times New Roman" w:hAnsi="Times New Roman" w:cs="Times New Roman"/>
          <w:color w:val="auto"/>
          <w:szCs w:val="24"/>
          <w:lang w:eastAsia="zh-CN"/>
        </w:rPr>
        <w:t>安徽氟瑞星化工有限公司</w:t>
      </w:r>
      <w:r>
        <w:rPr>
          <w:rFonts w:ascii="Times New Roman" w:hAnsi="Times New Roman" w:eastAsia="新宋体" w:cs="Times New Roman"/>
          <w:color w:val="auto"/>
          <w:szCs w:val="24"/>
          <w:lang w:eastAsia="zh-CN"/>
        </w:rPr>
        <w:t xml:space="preserve">提供的其他相关工艺技术资料； </w:t>
      </w:r>
    </w:p>
    <w:p w14:paraId="1B76F0DC">
      <w:pPr>
        <w:pStyle w:val="84"/>
        <w:numPr>
          <w:ilvl w:val="0"/>
          <w:numId w:val="6"/>
        </w:numPr>
        <w:spacing w:line="360" w:lineRule="auto"/>
        <w:ind w:left="0"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《蚌埠精细化工高新技术产业基地规划（2021～2035）环境影响报告书》及其审查意见。</w:t>
      </w:r>
    </w:p>
    <w:p w14:paraId="3D02D960">
      <w:pPr>
        <w:spacing w:line="360" w:lineRule="auto"/>
        <w:ind w:firstLine="562" w:firstLineChars="200"/>
        <w:jc w:val="both"/>
        <w:outlineLvl w:val="1"/>
        <w:rPr>
          <w:rFonts w:ascii="Times New Roman" w:hAnsi="Times New Roman" w:eastAsia="新宋体" w:cs="Times New Roman"/>
          <w:b/>
          <w:bCs/>
          <w:color w:val="auto"/>
          <w:sz w:val="28"/>
          <w:szCs w:val="28"/>
          <w:lang w:eastAsia="zh-CN"/>
        </w:rPr>
      </w:pPr>
      <w:bookmarkStart w:id="196" w:name="_Toc237508242"/>
      <w:r>
        <w:rPr>
          <w:rFonts w:ascii="Times New Roman" w:hAnsi="Times New Roman" w:eastAsia="新宋体" w:cs="Times New Roman"/>
          <w:b/>
          <w:bCs/>
          <w:color w:val="auto"/>
          <w:sz w:val="28"/>
          <w:szCs w:val="28"/>
          <w:lang w:eastAsia="zh-CN"/>
        </w:rPr>
        <w:t>2.3 评价因子与评价标准</w:t>
      </w:r>
      <w:bookmarkEnd w:id="196"/>
    </w:p>
    <w:p w14:paraId="315A0D38">
      <w:pPr>
        <w:spacing w:line="360" w:lineRule="auto"/>
        <w:ind w:firstLine="482" w:firstLineChars="200"/>
        <w:jc w:val="both"/>
        <w:outlineLvl w:val="2"/>
        <w:rPr>
          <w:rFonts w:ascii="Times New Roman" w:hAnsi="Times New Roman" w:eastAsia="新宋体" w:cs="Times New Roman"/>
          <w:b/>
          <w:bCs/>
          <w:color w:val="auto"/>
          <w:szCs w:val="24"/>
          <w:lang w:eastAsia="zh-CN"/>
        </w:rPr>
      </w:pPr>
      <w:bookmarkStart w:id="197" w:name="_Toc178602317"/>
      <w:bookmarkStart w:id="198" w:name="_Toc221900772"/>
      <w:bookmarkStart w:id="199" w:name="_Toc231828529"/>
      <w:bookmarkStart w:id="200" w:name="_Toc172555621"/>
      <w:bookmarkStart w:id="201" w:name="_Toc175164242"/>
      <w:bookmarkStart w:id="202" w:name="_Toc176512977"/>
      <w:bookmarkStart w:id="203" w:name="_Toc217662605"/>
      <w:bookmarkStart w:id="204" w:name="_Toc218784215"/>
      <w:bookmarkStart w:id="205" w:name="_Toc203926949"/>
      <w:bookmarkStart w:id="206" w:name="_Toc224674628"/>
      <w:bookmarkStart w:id="207" w:name="_Toc173740248"/>
      <w:bookmarkStart w:id="208" w:name="_Toc236641260"/>
      <w:bookmarkStart w:id="209" w:name="_Toc223424990"/>
      <w:bookmarkStart w:id="210" w:name="_Toc237508243"/>
      <w:bookmarkStart w:id="211" w:name="_Toc225783989"/>
      <w:bookmarkStart w:id="212" w:name="_Toc204515149"/>
      <w:bookmarkStart w:id="213" w:name="_Toc173743352"/>
      <w:bookmarkStart w:id="214" w:name="_Toc236641777"/>
      <w:bookmarkStart w:id="215" w:name="_Toc204448414"/>
      <w:r>
        <w:rPr>
          <w:rFonts w:ascii="Times New Roman" w:hAnsi="Times New Roman" w:eastAsia="新宋体" w:cs="Times New Roman"/>
          <w:b/>
          <w:bCs/>
          <w:color w:val="auto"/>
          <w:szCs w:val="24"/>
          <w:lang w:eastAsia="zh-CN"/>
        </w:rPr>
        <w:t>2.3.1 环境影响识别</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14:paraId="66B9F2E9">
      <w:pPr>
        <w:spacing w:line="360" w:lineRule="auto"/>
        <w:ind w:firstLine="480" w:firstLineChars="200"/>
        <w:jc w:val="both"/>
        <w:rPr>
          <w:rFonts w:ascii="Times New Roman" w:hAnsi="Times New Roman" w:eastAsia="新宋体" w:cs="Times New Roman"/>
          <w:color w:val="auto"/>
          <w:szCs w:val="24"/>
          <w:lang w:eastAsia="zh-CN"/>
        </w:rPr>
        <w:sectPr>
          <w:pgSz w:w="11906" w:h="16838"/>
          <w:pgMar w:top="1440" w:right="1080" w:bottom="1440" w:left="1080" w:header="851" w:footer="992" w:gutter="0"/>
          <w:cols w:space="720" w:num="1"/>
          <w:docGrid w:type="lines" w:linePitch="312" w:charSpace="0"/>
        </w:sectPr>
      </w:pPr>
      <w:r>
        <w:rPr>
          <w:rFonts w:ascii="Times New Roman" w:hAnsi="Times New Roman" w:eastAsia="新宋体" w:cs="Times New Roman"/>
          <w:color w:val="auto"/>
          <w:szCs w:val="24"/>
          <w:lang w:eastAsia="zh-CN"/>
        </w:rPr>
        <w:t xml:space="preserve">根据本项目的工程特点，通过初步分析识别环境因素，并依据污染物排放量的大小等，筛选本评价的各项评价因子汇总见下表。 </w:t>
      </w:r>
    </w:p>
    <w:p w14:paraId="06A8BF1F">
      <w:pPr>
        <w:spacing w:line="360" w:lineRule="auto"/>
        <w:jc w:val="center"/>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表2.3-1 项目环境影响识别汇总表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44"/>
        <w:gridCol w:w="1552"/>
        <w:gridCol w:w="1256"/>
        <w:gridCol w:w="1533"/>
        <w:gridCol w:w="1245"/>
        <w:gridCol w:w="1245"/>
        <w:gridCol w:w="1245"/>
        <w:gridCol w:w="1245"/>
        <w:gridCol w:w="1245"/>
        <w:gridCol w:w="1245"/>
        <w:gridCol w:w="1203"/>
      </w:tblGrid>
      <w:tr w14:paraId="449E93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94" w:type="pct"/>
            <w:gridSpan w:val="2"/>
            <w:vMerge w:val="restart"/>
            <w:tcBorders>
              <w:top w:val="single" w:color="auto" w:sz="12" w:space="0"/>
              <w:bottom w:val="single" w:color="auto" w:sz="4" w:space="0"/>
              <w:tl2br w:val="single" w:color="auto" w:sz="4" w:space="0"/>
            </w:tcBorders>
            <w:vAlign w:val="center"/>
          </w:tcPr>
          <w:p w14:paraId="12B8C003">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 xml:space="preserve">             环境因子</w:t>
            </w:r>
          </w:p>
          <w:p w14:paraId="54AAEBF6">
            <w:pPr>
              <w:pStyle w:val="11"/>
              <w:adjustRightInd w:val="0"/>
              <w:snapToGrid w:val="0"/>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开发活动</w:t>
            </w:r>
          </w:p>
        </w:tc>
        <w:tc>
          <w:tcPr>
            <w:tcW w:w="2337" w:type="pct"/>
            <w:gridSpan w:val="5"/>
            <w:vAlign w:val="center"/>
          </w:tcPr>
          <w:p w14:paraId="3C2B1109">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自然环境</w:t>
            </w:r>
          </w:p>
        </w:tc>
        <w:tc>
          <w:tcPr>
            <w:tcW w:w="1770" w:type="pct"/>
            <w:gridSpan w:val="4"/>
            <w:vAlign w:val="center"/>
          </w:tcPr>
          <w:p w14:paraId="5B3969D9">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生态环境</w:t>
            </w:r>
          </w:p>
        </w:tc>
      </w:tr>
      <w:tr w14:paraId="4638CB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94" w:type="pct"/>
            <w:gridSpan w:val="2"/>
            <w:vMerge w:val="continue"/>
            <w:tcBorders>
              <w:top w:val="single" w:color="auto" w:sz="4" w:space="0"/>
              <w:bottom w:val="single" w:color="auto" w:sz="4" w:space="0"/>
              <w:tl2br w:val="single" w:color="auto" w:sz="4" w:space="0"/>
            </w:tcBorders>
            <w:vAlign w:val="center"/>
          </w:tcPr>
          <w:p w14:paraId="127B74A6">
            <w:pPr>
              <w:adjustRightInd w:val="0"/>
              <w:snapToGrid w:val="0"/>
              <w:jc w:val="center"/>
              <w:rPr>
                <w:rFonts w:ascii="Times New Roman" w:hAnsi="Times New Roman" w:cs="Times New Roman"/>
                <w:b/>
                <w:bCs/>
                <w:color w:val="auto"/>
                <w:sz w:val="21"/>
              </w:rPr>
            </w:pPr>
          </w:p>
        </w:tc>
        <w:tc>
          <w:tcPr>
            <w:tcW w:w="450" w:type="pct"/>
            <w:vAlign w:val="center"/>
          </w:tcPr>
          <w:p w14:paraId="2536B682">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环境空气</w:t>
            </w:r>
          </w:p>
        </w:tc>
        <w:tc>
          <w:tcPr>
            <w:tcW w:w="549" w:type="pct"/>
            <w:vAlign w:val="center"/>
          </w:tcPr>
          <w:p w14:paraId="3F046787">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地表水环境</w:t>
            </w:r>
          </w:p>
        </w:tc>
        <w:tc>
          <w:tcPr>
            <w:tcW w:w="446" w:type="pct"/>
            <w:vAlign w:val="center"/>
          </w:tcPr>
          <w:p w14:paraId="270478C4">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地下水环境</w:t>
            </w:r>
          </w:p>
        </w:tc>
        <w:tc>
          <w:tcPr>
            <w:tcW w:w="446" w:type="pct"/>
            <w:vAlign w:val="center"/>
          </w:tcPr>
          <w:p w14:paraId="7199BF0F">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土壤环境</w:t>
            </w:r>
          </w:p>
        </w:tc>
        <w:tc>
          <w:tcPr>
            <w:tcW w:w="446" w:type="pct"/>
            <w:vAlign w:val="center"/>
          </w:tcPr>
          <w:p w14:paraId="324383B5">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声环境</w:t>
            </w:r>
          </w:p>
        </w:tc>
        <w:tc>
          <w:tcPr>
            <w:tcW w:w="446" w:type="pct"/>
            <w:vAlign w:val="center"/>
          </w:tcPr>
          <w:p w14:paraId="632087E6">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陆域生物</w:t>
            </w:r>
          </w:p>
        </w:tc>
        <w:tc>
          <w:tcPr>
            <w:tcW w:w="446" w:type="pct"/>
            <w:vAlign w:val="center"/>
          </w:tcPr>
          <w:p w14:paraId="720A77E4">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水生生物</w:t>
            </w:r>
          </w:p>
        </w:tc>
        <w:tc>
          <w:tcPr>
            <w:tcW w:w="446" w:type="pct"/>
            <w:vAlign w:val="center"/>
          </w:tcPr>
          <w:p w14:paraId="16A650E7">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渔业资源</w:t>
            </w:r>
          </w:p>
        </w:tc>
        <w:tc>
          <w:tcPr>
            <w:tcW w:w="432" w:type="pct"/>
            <w:vAlign w:val="center"/>
          </w:tcPr>
          <w:p w14:paraId="057A7720">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主要生态保护区域</w:t>
            </w:r>
          </w:p>
        </w:tc>
      </w:tr>
      <w:tr w14:paraId="759A31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38" w:type="pct"/>
            <w:vMerge w:val="restart"/>
            <w:tcBorders>
              <w:top w:val="single" w:color="auto" w:sz="4" w:space="0"/>
            </w:tcBorders>
            <w:vAlign w:val="center"/>
          </w:tcPr>
          <w:p w14:paraId="0BF18A78">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施工期</w:t>
            </w:r>
          </w:p>
        </w:tc>
        <w:tc>
          <w:tcPr>
            <w:tcW w:w="555" w:type="pct"/>
            <w:tcBorders>
              <w:top w:val="single" w:color="auto" w:sz="4" w:space="0"/>
              <w:bottom w:val="single" w:color="auto" w:sz="4" w:space="0"/>
            </w:tcBorders>
            <w:vAlign w:val="center"/>
          </w:tcPr>
          <w:p w14:paraId="4C59E560">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施工废水</w:t>
            </w:r>
          </w:p>
        </w:tc>
        <w:tc>
          <w:tcPr>
            <w:tcW w:w="450" w:type="pct"/>
            <w:vAlign w:val="center"/>
          </w:tcPr>
          <w:p w14:paraId="2FC16E2A">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w:t>
            </w:r>
          </w:p>
        </w:tc>
        <w:tc>
          <w:tcPr>
            <w:tcW w:w="549" w:type="pct"/>
            <w:vAlign w:val="center"/>
          </w:tcPr>
          <w:p w14:paraId="2AAC1661">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46" w:type="pct"/>
            <w:vAlign w:val="center"/>
          </w:tcPr>
          <w:p w14:paraId="26E347E7">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46" w:type="pct"/>
            <w:vAlign w:val="center"/>
          </w:tcPr>
          <w:p w14:paraId="784A3963">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46" w:type="pct"/>
            <w:vAlign w:val="center"/>
          </w:tcPr>
          <w:p w14:paraId="52888E50">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46" w:type="pct"/>
            <w:vAlign w:val="center"/>
          </w:tcPr>
          <w:p w14:paraId="5BC87CEF">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46" w:type="pct"/>
            <w:vAlign w:val="center"/>
          </w:tcPr>
          <w:p w14:paraId="356DCFEA">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46" w:type="pct"/>
            <w:vAlign w:val="center"/>
          </w:tcPr>
          <w:p w14:paraId="50CE1DD9">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32" w:type="pct"/>
            <w:vAlign w:val="center"/>
          </w:tcPr>
          <w:p w14:paraId="0E5BDF82">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r>
      <w:tr w14:paraId="2FCEDF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38" w:type="pct"/>
            <w:vMerge w:val="continue"/>
            <w:vAlign w:val="center"/>
          </w:tcPr>
          <w:p w14:paraId="376058D7">
            <w:pPr>
              <w:adjustRightInd w:val="0"/>
              <w:snapToGrid w:val="0"/>
              <w:jc w:val="center"/>
              <w:rPr>
                <w:rFonts w:ascii="Times New Roman" w:hAnsi="Times New Roman" w:cs="Times New Roman"/>
                <w:b/>
                <w:bCs/>
                <w:color w:val="auto"/>
                <w:sz w:val="21"/>
                <w:lang w:eastAsia="zh-CN"/>
              </w:rPr>
            </w:pPr>
          </w:p>
        </w:tc>
        <w:tc>
          <w:tcPr>
            <w:tcW w:w="555" w:type="pct"/>
            <w:tcBorders>
              <w:top w:val="single" w:color="auto" w:sz="4" w:space="0"/>
              <w:bottom w:val="single" w:color="auto" w:sz="4" w:space="0"/>
            </w:tcBorders>
            <w:vAlign w:val="center"/>
          </w:tcPr>
          <w:p w14:paraId="063CFBDD">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施工扬尘</w:t>
            </w:r>
          </w:p>
        </w:tc>
        <w:tc>
          <w:tcPr>
            <w:tcW w:w="450" w:type="pct"/>
            <w:vAlign w:val="center"/>
          </w:tcPr>
          <w:p w14:paraId="6C96F2E6">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549" w:type="pct"/>
            <w:vAlign w:val="center"/>
          </w:tcPr>
          <w:p w14:paraId="75F1426F">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46" w:type="pct"/>
            <w:vAlign w:val="center"/>
          </w:tcPr>
          <w:p w14:paraId="438E9748">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46" w:type="pct"/>
            <w:vAlign w:val="center"/>
          </w:tcPr>
          <w:p w14:paraId="504E81D8">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46" w:type="pct"/>
            <w:vAlign w:val="center"/>
          </w:tcPr>
          <w:p w14:paraId="6ED80964">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46" w:type="pct"/>
            <w:vAlign w:val="center"/>
          </w:tcPr>
          <w:p w14:paraId="70ED3DEE">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46" w:type="pct"/>
            <w:vAlign w:val="center"/>
          </w:tcPr>
          <w:p w14:paraId="586DD65C">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46" w:type="pct"/>
            <w:vAlign w:val="center"/>
          </w:tcPr>
          <w:p w14:paraId="08C56DDA">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32" w:type="pct"/>
            <w:vAlign w:val="center"/>
          </w:tcPr>
          <w:p w14:paraId="1914034A">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r>
      <w:tr w14:paraId="0B553B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38" w:type="pct"/>
            <w:vMerge w:val="continue"/>
            <w:vAlign w:val="center"/>
          </w:tcPr>
          <w:p w14:paraId="2E521BFA">
            <w:pPr>
              <w:adjustRightInd w:val="0"/>
              <w:snapToGrid w:val="0"/>
              <w:jc w:val="center"/>
              <w:rPr>
                <w:rFonts w:ascii="Times New Roman" w:hAnsi="Times New Roman" w:cs="Times New Roman"/>
                <w:b/>
                <w:bCs/>
                <w:color w:val="auto"/>
                <w:sz w:val="21"/>
                <w:lang w:eastAsia="zh-CN"/>
              </w:rPr>
            </w:pPr>
          </w:p>
        </w:tc>
        <w:tc>
          <w:tcPr>
            <w:tcW w:w="555" w:type="pct"/>
            <w:tcBorders>
              <w:top w:val="single" w:color="auto" w:sz="4" w:space="0"/>
              <w:bottom w:val="single" w:color="auto" w:sz="4" w:space="0"/>
            </w:tcBorders>
            <w:vAlign w:val="center"/>
          </w:tcPr>
          <w:p w14:paraId="1F080164">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施工噪声</w:t>
            </w:r>
          </w:p>
        </w:tc>
        <w:tc>
          <w:tcPr>
            <w:tcW w:w="450" w:type="pct"/>
            <w:vAlign w:val="center"/>
          </w:tcPr>
          <w:p w14:paraId="112A1C51">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549" w:type="pct"/>
            <w:vAlign w:val="center"/>
          </w:tcPr>
          <w:p w14:paraId="178D11BD">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46" w:type="pct"/>
            <w:vAlign w:val="center"/>
          </w:tcPr>
          <w:p w14:paraId="19EE4FFC">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46" w:type="pct"/>
            <w:vAlign w:val="center"/>
          </w:tcPr>
          <w:p w14:paraId="667F4598">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46" w:type="pct"/>
            <w:vAlign w:val="center"/>
          </w:tcPr>
          <w:p w14:paraId="3B9DCA43">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46" w:type="pct"/>
            <w:vAlign w:val="center"/>
          </w:tcPr>
          <w:p w14:paraId="2F65315A">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46" w:type="pct"/>
            <w:vAlign w:val="center"/>
          </w:tcPr>
          <w:p w14:paraId="58230856">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46" w:type="pct"/>
            <w:vAlign w:val="center"/>
          </w:tcPr>
          <w:p w14:paraId="53039F63">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32" w:type="pct"/>
            <w:vAlign w:val="center"/>
          </w:tcPr>
          <w:p w14:paraId="4D067221">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r>
      <w:tr w14:paraId="24C3A1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38" w:type="pct"/>
            <w:vMerge w:val="continue"/>
            <w:vAlign w:val="center"/>
          </w:tcPr>
          <w:p w14:paraId="5FDF0D99">
            <w:pPr>
              <w:adjustRightInd w:val="0"/>
              <w:snapToGrid w:val="0"/>
              <w:jc w:val="center"/>
              <w:rPr>
                <w:rFonts w:ascii="Times New Roman" w:hAnsi="Times New Roman" w:cs="Times New Roman"/>
                <w:b/>
                <w:bCs/>
                <w:color w:val="auto"/>
                <w:sz w:val="21"/>
                <w:lang w:eastAsia="zh-CN"/>
              </w:rPr>
            </w:pPr>
          </w:p>
        </w:tc>
        <w:tc>
          <w:tcPr>
            <w:tcW w:w="555" w:type="pct"/>
            <w:tcBorders>
              <w:top w:val="single" w:color="auto" w:sz="4" w:space="0"/>
              <w:bottom w:val="single" w:color="auto" w:sz="4" w:space="0"/>
            </w:tcBorders>
            <w:vAlign w:val="center"/>
          </w:tcPr>
          <w:p w14:paraId="0B1997CD">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施工废渣</w:t>
            </w:r>
          </w:p>
        </w:tc>
        <w:tc>
          <w:tcPr>
            <w:tcW w:w="450" w:type="pct"/>
            <w:vAlign w:val="center"/>
          </w:tcPr>
          <w:p w14:paraId="6FE1588E">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549" w:type="pct"/>
            <w:vAlign w:val="center"/>
          </w:tcPr>
          <w:p w14:paraId="330F2B8F">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46" w:type="pct"/>
            <w:vAlign w:val="center"/>
          </w:tcPr>
          <w:p w14:paraId="6806DD0C">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46" w:type="pct"/>
            <w:vAlign w:val="center"/>
          </w:tcPr>
          <w:p w14:paraId="6A5AF5DD">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46" w:type="pct"/>
            <w:vAlign w:val="center"/>
          </w:tcPr>
          <w:p w14:paraId="3E971DB1">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46" w:type="pct"/>
            <w:vAlign w:val="center"/>
          </w:tcPr>
          <w:p w14:paraId="465AD330">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46" w:type="pct"/>
            <w:vAlign w:val="center"/>
          </w:tcPr>
          <w:p w14:paraId="2564A1A5">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46" w:type="pct"/>
            <w:vAlign w:val="center"/>
          </w:tcPr>
          <w:p w14:paraId="2099FC2D">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32" w:type="pct"/>
            <w:vAlign w:val="center"/>
          </w:tcPr>
          <w:p w14:paraId="4E6C1DE4">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r>
      <w:tr w14:paraId="102BA6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38" w:type="pct"/>
            <w:vMerge w:val="continue"/>
            <w:tcBorders>
              <w:bottom w:val="single" w:color="auto" w:sz="4" w:space="0"/>
            </w:tcBorders>
            <w:vAlign w:val="center"/>
          </w:tcPr>
          <w:p w14:paraId="0029A7C0">
            <w:pPr>
              <w:adjustRightInd w:val="0"/>
              <w:snapToGrid w:val="0"/>
              <w:jc w:val="center"/>
              <w:rPr>
                <w:rFonts w:ascii="Times New Roman" w:hAnsi="Times New Roman" w:cs="Times New Roman"/>
                <w:b/>
                <w:bCs/>
                <w:color w:val="auto"/>
                <w:sz w:val="21"/>
                <w:lang w:eastAsia="zh-CN"/>
              </w:rPr>
            </w:pPr>
          </w:p>
        </w:tc>
        <w:tc>
          <w:tcPr>
            <w:tcW w:w="555" w:type="pct"/>
            <w:tcBorders>
              <w:top w:val="single" w:color="auto" w:sz="4" w:space="0"/>
              <w:bottom w:val="single" w:color="auto" w:sz="4" w:space="0"/>
            </w:tcBorders>
            <w:vAlign w:val="center"/>
          </w:tcPr>
          <w:p w14:paraId="59151F81">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基坑开挖</w:t>
            </w:r>
          </w:p>
        </w:tc>
        <w:tc>
          <w:tcPr>
            <w:tcW w:w="450" w:type="pct"/>
            <w:vAlign w:val="center"/>
          </w:tcPr>
          <w:p w14:paraId="1A667EE5">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549" w:type="pct"/>
            <w:vAlign w:val="center"/>
          </w:tcPr>
          <w:p w14:paraId="691ECFAF">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46" w:type="pct"/>
            <w:vAlign w:val="center"/>
          </w:tcPr>
          <w:p w14:paraId="5E126B20">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46" w:type="pct"/>
            <w:vAlign w:val="center"/>
          </w:tcPr>
          <w:p w14:paraId="03A4A2D0">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46" w:type="pct"/>
            <w:vAlign w:val="center"/>
          </w:tcPr>
          <w:p w14:paraId="5E06C686">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46" w:type="pct"/>
            <w:vAlign w:val="center"/>
          </w:tcPr>
          <w:p w14:paraId="44FAEF07">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46" w:type="pct"/>
            <w:vAlign w:val="center"/>
          </w:tcPr>
          <w:p w14:paraId="69B0AC0B">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46" w:type="pct"/>
            <w:vAlign w:val="center"/>
          </w:tcPr>
          <w:p w14:paraId="39C50D4B">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c>
          <w:tcPr>
            <w:tcW w:w="432" w:type="pct"/>
            <w:vAlign w:val="center"/>
          </w:tcPr>
          <w:p w14:paraId="579BD448">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p>
        </w:tc>
      </w:tr>
      <w:tr w14:paraId="5D30AF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38" w:type="pct"/>
            <w:vMerge w:val="restart"/>
            <w:tcBorders>
              <w:top w:val="single" w:color="auto" w:sz="4" w:space="0"/>
            </w:tcBorders>
            <w:vAlign w:val="center"/>
          </w:tcPr>
          <w:p w14:paraId="759C5605">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运营期</w:t>
            </w:r>
          </w:p>
        </w:tc>
        <w:tc>
          <w:tcPr>
            <w:tcW w:w="555" w:type="pct"/>
            <w:tcBorders>
              <w:top w:val="single" w:color="auto" w:sz="4" w:space="0"/>
              <w:bottom w:val="single" w:color="auto" w:sz="4" w:space="0"/>
            </w:tcBorders>
            <w:vAlign w:val="center"/>
          </w:tcPr>
          <w:p w14:paraId="099D0763">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废水排放</w:t>
            </w:r>
          </w:p>
        </w:tc>
        <w:tc>
          <w:tcPr>
            <w:tcW w:w="450" w:type="pct"/>
            <w:vAlign w:val="center"/>
          </w:tcPr>
          <w:p w14:paraId="68312752">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w:t>
            </w:r>
          </w:p>
        </w:tc>
        <w:tc>
          <w:tcPr>
            <w:tcW w:w="549" w:type="pct"/>
            <w:vAlign w:val="center"/>
          </w:tcPr>
          <w:p w14:paraId="40BE6422">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 L1DCR</w:t>
            </w:r>
          </w:p>
        </w:tc>
        <w:tc>
          <w:tcPr>
            <w:tcW w:w="446" w:type="pct"/>
            <w:vAlign w:val="center"/>
          </w:tcPr>
          <w:p w14:paraId="6314430B">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 L1DCR</w:t>
            </w:r>
          </w:p>
        </w:tc>
        <w:tc>
          <w:tcPr>
            <w:tcW w:w="446" w:type="pct"/>
            <w:vAlign w:val="center"/>
          </w:tcPr>
          <w:p w14:paraId="1B5CDCE8">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 L1DCR</w:t>
            </w:r>
          </w:p>
        </w:tc>
        <w:tc>
          <w:tcPr>
            <w:tcW w:w="446" w:type="pct"/>
            <w:vAlign w:val="center"/>
          </w:tcPr>
          <w:p w14:paraId="549376F0">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w:t>
            </w:r>
          </w:p>
        </w:tc>
        <w:tc>
          <w:tcPr>
            <w:tcW w:w="446" w:type="pct"/>
            <w:vAlign w:val="center"/>
          </w:tcPr>
          <w:p w14:paraId="3846BA0B">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w:t>
            </w:r>
          </w:p>
        </w:tc>
        <w:tc>
          <w:tcPr>
            <w:tcW w:w="446" w:type="pct"/>
            <w:vAlign w:val="center"/>
          </w:tcPr>
          <w:p w14:paraId="0C5BFE35">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 L1DCR</w:t>
            </w:r>
          </w:p>
        </w:tc>
        <w:tc>
          <w:tcPr>
            <w:tcW w:w="446" w:type="pct"/>
            <w:vAlign w:val="center"/>
          </w:tcPr>
          <w:p w14:paraId="4033F24C">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 L1DCR</w:t>
            </w:r>
          </w:p>
        </w:tc>
        <w:tc>
          <w:tcPr>
            <w:tcW w:w="432" w:type="pct"/>
            <w:vAlign w:val="center"/>
          </w:tcPr>
          <w:p w14:paraId="23E32C8C">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w:t>
            </w:r>
          </w:p>
        </w:tc>
      </w:tr>
      <w:tr w14:paraId="4D4F63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38" w:type="pct"/>
            <w:vMerge w:val="continue"/>
            <w:vAlign w:val="center"/>
          </w:tcPr>
          <w:p w14:paraId="2FCF8DBC">
            <w:pPr>
              <w:adjustRightInd w:val="0"/>
              <w:snapToGrid w:val="0"/>
              <w:jc w:val="center"/>
              <w:rPr>
                <w:rFonts w:ascii="Times New Roman" w:hAnsi="Times New Roman" w:cs="Times New Roman"/>
                <w:b/>
                <w:bCs/>
                <w:color w:val="auto"/>
                <w:sz w:val="21"/>
              </w:rPr>
            </w:pPr>
          </w:p>
        </w:tc>
        <w:tc>
          <w:tcPr>
            <w:tcW w:w="555" w:type="pct"/>
            <w:tcBorders>
              <w:top w:val="single" w:color="auto" w:sz="4" w:space="0"/>
              <w:bottom w:val="single" w:color="auto" w:sz="4" w:space="0"/>
            </w:tcBorders>
            <w:vAlign w:val="center"/>
          </w:tcPr>
          <w:p w14:paraId="487D26A2">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废气排放</w:t>
            </w:r>
          </w:p>
        </w:tc>
        <w:tc>
          <w:tcPr>
            <w:tcW w:w="450" w:type="pct"/>
            <w:vAlign w:val="center"/>
          </w:tcPr>
          <w:p w14:paraId="043FFDAE">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-L1DC</w:t>
            </w:r>
          </w:p>
        </w:tc>
        <w:tc>
          <w:tcPr>
            <w:tcW w:w="549" w:type="pct"/>
            <w:vAlign w:val="center"/>
          </w:tcPr>
          <w:p w14:paraId="25F3B41C">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w:t>
            </w:r>
          </w:p>
        </w:tc>
        <w:tc>
          <w:tcPr>
            <w:tcW w:w="446" w:type="pct"/>
            <w:vAlign w:val="center"/>
          </w:tcPr>
          <w:p w14:paraId="11515CFB">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w:t>
            </w:r>
          </w:p>
        </w:tc>
        <w:tc>
          <w:tcPr>
            <w:tcW w:w="446" w:type="pct"/>
            <w:vAlign w:val="center"/>
          </w:tcPr>
          <w:p w14:paraId="7968D59B">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 L1DCR</w:t>
            </w:r>
          </w:p>
        </w:tc>
        <w:tc>
          <w:tcPr>
            <w:tcW w:w="446" w:type="pct"/>
            <w:vAlign w:val="center"/>
          </w:tcPr>
          <w:p w14:paraId="45D7A600">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w:t>
            </w:r>
          </w:p>
        </w:tc>
        <w:tc>
          <w:tcPr>
            <w:tcW w:w="446" w:type="pct"/>
            <w:vAlign w:val="center"/>
          </w:tcPr>
          <w:p w14:paraId="7D08303A">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 L1DCR</w:t>
            </w:r>
          </w:p>
        </w:tc>
        <w:tc>
          <w:tcPr>
            <w:tcW w:w="446" w:type="pct"/>
            <w:vAlign w:val="center"/>
          </w:tcPr>
          <w:p w14:paraId="3E2F264B">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w:t>
            </w:r>
          </w:p>
        </w:tc>
        <w:tc>
          <w:tcPr>
            <w:tcW w:w="446" w:type="pct"/>
            <w:vAlign w:val="center"/>
          </w:tcPr>
          <w:p w14:paraId="31DCE396">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w:t>
            </w:r>
          </w:p>
        </w:tc>
        <w:tc>
          <w:tcPr>
            <w:tcW w:w="432" w:type="pct"/>
            <w:vAlign w:val="center"/>
          </w:tcPr>
          <w:p w14:paraId="0213D141">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w:t>
            </w:r>
          </w:p>
        </w:tc>
      </w:tr>
      <w:tr w14:paraId="72A995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38" w:type="pct"/>
            <w:vMerge w:val="continue"/>
            <w:vAlign w:val="center"/>
          </w:tcPr>
          <w:p w14:paraId="79A2A0F9">
            <w:pPr>
              <w:adjustRightInd w:val="0"/>
              <w:snapToGrid w:val="0"/>
              <w:jc w:val="center"/>
              <w:rPr>
                <w:rFonts w:ascii="Times New Roman" w:hAnsi="Times New Roman" w:cs="Times New Roman"/>
                <w:b/>
                <w:bCs/>
                <w:color w:val="auto"/>
                <w:sz w:val="21"/>
              </w:rPr>
            </w:pPr>
          </w:p>
        </w:tc>
        <w:tc>
          <w:tcPr>
            <w:tcW w:w="555" w:type="pct"/>
            <w:tcBorders>
              <w:top w:val="single" w:color="auto" w:sz="4" w:space="0"/>
              <w:bottom w:val="single" w:color="auto" w:sz="4" w:space="0"/>
            </w:tcBorders>
            <w:vAlign w:val="center"/>
          </w:tcPr>
          <w:p w14:paraId="6F067347">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噪声排放</w:t>
            </w:r>
          </w:p>
        </w:tc>
        <w:tc>
          <w:tcPr>
            <w:tcW w:w="450" w:type="pct"/>
            <w:vAlign w:val="center"/>
          </w:tcPr>
          <w:p w14:paraId="658170B0">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w:t>
            </w:r>
          </w:p>
        </w:tc>
        <w:tc>
          <w:tcPr>
            <w:tcW w:w="549" w:type="pct"/>
            <w:vAlign w:val="center"/>
          </w:tcPr>
          <w:p w14:paraId="31CD008E">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w:t>
            </w:r>
          </w:p>
        </w:tc>
        <w:tc>
          <w:tcPr>
            <w:tcW w:w="446" w:type="pct"/>
            <w:vAlign w:val="center"/>
          </w:tcPr>
          <w:p w14:paraId="209B21A7">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w:t>
            </w:r>
          </w:p>
        </w:tc>
        <w:tc>
          <w:tcPr>
            <w:tcW w:w="446" w:type="pct"/>
            <w:vAlign w:val="center"/>
          </w:tcPr>
          <w:p w14:paraId="7A66C3E1">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w:t>
            </w:r>
          </w:p>
        </w:tc>
        <w:tc>
          <w:tcPr>
            <w:tcW w:w="446" w:type="pct"/>
            <w:vAlign w:val="center"/>
          </w:tcPr>
          <w:p w14:paraId="53758221">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 L1DCR</w:t>
            </w:r>
          </w:p>
        </w:tc>
        <w:tc>
          <w:tcPr>
            <w:tcW w:w="446" w:type="pct"/>
            <w:vAlign w:val="center"/>
          </w:tcPr>
          <w:p w14:paraId="5E0DFB56">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w:t>
            </w:r>
          </w:p>
        </w:tc>
        <w:tc>
          <w:tcPr>
            <w:tcW w:w="446" w:type="pct"/>
            <w:vAlign w:val="center"/>
          </w:tcPr>
          <w:p w14:paraId="596FF9CB">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w:t>
            </w:r>
          </w:p>
        </w:tc>
        <w:tc>
          <w:tcPr>
            <w:tcW w:w="446" w:type="pct"/>
            <w:vAlign w:val="center"/>
          </w:tcPr>
          <w:p w14:paraId="37CEBBA3">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w:t>
            </w:r>
          </w:p>
        </w:tc>
        <w:tc>
          <w:tcPr>
            <w:tcW w:w="432" w:type="pct"/>
            <w:vAlign w:val="center"/>
          </w:tcPr>
          <w:p w14:paraId="11011C5B">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w:t>
            </w:r>
          </w:p>
        </w:tc>
      </w:tr>
      <w:tr w14:paraId="7246E1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38" w:type="pct"/>
            <w:vMerge w:val="continue"/>
            <w:vAlign w:val="center"/>
          </w:tcPr>
          <w:p w14:paraId="6ECA735E">
            <w:pPr>
              <w:adjustRightInd w:val="0"/>
              <w:snapToGrid w:val="0"/>
              <w:jc w:val="center"/>
              <w:rPr>
                <w:rFonts w:ascii="Times New Roman" w:hAnsi="Times New Roman" w:cs="Times New Roman"/>
                <w:b/>
                <w:bCs/>
                <w:color w:val="auto"/>
                <w:sz w:val="21"/>
              </w:rPr>
            </w:pPr>
          </w:p>
        </w:tc>
        <w:tc>
          <w:tcPr>
            <w:tcW w:w="555" w:type="pct"/>
            <w:tcBorders>
              <w:top w:val="single" w:color="auto" w:sz="4" w:space="0"/>
              <w:bottom w:val="single" w:color="auto" w:sz="4" w:space="0"/>
            </w:tcBorders>
            <w:vAlign w:val="center"/>
          </w:tcPr>
          <w:p w14:paraId="67B8C479">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固体废物</w:t>
            </w:r>
          </w:p>
        </w:tc>
        <w:tc>
          <w:tcPr>
            <w:tcW w:w="450" w:type="pct"/>
            <w:vAlign w:val="center"/>
          </w:tcPr>
          <w:p w14:paraId="36564261">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w:t>
            </w:r>
          </w:p>
        </w:tc>
        <w:tc>
          <w:tcPr>
            <w:tcW w:w="549" w:type="pct"/>
            <w:vAlign w:val="center"/>
          </w:tcPr>
          <w:p w14:paraId="263D56B6">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w:t>
            </w:r>
          </w:p>
        </w:tc>
        <w:tc>
          <w:tcPr>
            <w:tcW w:w="446" w:type="pct"/>
            <w:vAlign w:val="center"/>
          </w:tcPr>
          <w:p w14:paraId="1A3444EF">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 L1DCR</w:t>
            </w:r>
          </w:p>
        </w:tc>
        <w:tc>
          <w:tcPr>
            <w:tcW w:w="446" w:type="pct"/>
            <w:vAlign w:val="center"/>
          </w:tcPr>
          <w:p w14:paraId="62453CDE">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 L1DCR</w:t>
            </w:r>
          </w:p>
        </w:tc>
        <w:tc>
          <w:tcPr>
            <w:tcW w:w="446" w:type="pct"/>
            <w:vAlign w:val="center"/>
          </w:tcPr>
          <w:p w14:paraId="153D0BC2">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w:t>
            </w:r>
          </w:p>
        </w:tc>
        <w:tc>
          <w:tcPr>
            <w:tcW w:w="446" w:type="pct"/>
            <w:vAlign w:val="center"/>
          </w:tcPr>
          <w:p w14:paraId="61F8D5A9">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 L1DCR</w:t>
            </w:r>
          </w:p>
        </w:tc>
        <w:tc>
          <w:tcPr>
            <w:tcW w:w="446" w:type="pct"/>
            <w:vAlign w:val="center"/>
          </w:tcPr>
          <w:p w14:paraId="2229997A">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w:t>
            </w:r>
          </w:p>
        </w:tc>
        <w:tc>
          <w:tcPr>
            <w:tcW w:w="446" w:type="pct"/>
            <w:vAlign w:val="center"/>
          </w:tcPr>
          <w:p w14:paraId="30F19212">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w:t>
            </w:r>
          </w:p>
        </w:tc>
        <w:tc>
          <w:tcPr>
            <w:tcW w:w="432" w:type="pct"/>
            <w:vAlign w:val="center"/>
          </w:tcPr>
          <w:p w14:paraId="3E7D9195">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w:t>
            </w:r>
          </w:p>
        </w:tc>
      </w:tr>
      <w:tr w14:paraId="7F8F7A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38" w:type="pct"/>
            <w:vMerge w:val="continue"/>
            <w:tcBorders>
              <w:bottom w:val="single" w:color="auto" w:sz="4" w:space="0"/>
            </w:tcBorders>
            <w:vAlign w:val="center"/>
          </w:tcPr>
          <w:p w14:paraId="2439C309">
            <w:pPr>
              <w:adjustRightInd w:val="0"/>
              <w:snapToGrid w:val="0"/>
              <w:jc w:val="center"/>
              <w:rPr>
                <w:rFonts w:ascii="Times New Roman" w:hAnsi="Times New Roman" w:cs="Times New Roman"/>
                <w:b/>
                <w:bCs/>
                <w:color w:val="auto"/>
                <w:sz w:val="21"/>
              </w:rPr>
            </w:pPr>
          </w:p>
        </w:tc>
        <w:tc>
          <w:tcPr>
            <w:tcW w:w="555" w:type="pct"/>
            <w:tcBorders>
              <w:top w:val="single" w:color="auto" w:sz="4" w:space="0"/>
              <w:bottom w:val="single" w:color="auto" w:sz="4" w:space="0"/>
            </w:tcBorders>
            <w:vAlign w:val="center"/>
          </w:tcPr>
          <w:p w14:paraId="56FBE697">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事故风险</w:t>
            </w:r>
          </w:p>
        </w:tc>
        <w:tc>
          <w:tcPr>
            <w:tcW w:w="450" w:type="pct"/>
            <w:vAlign w:val="center"/>
          </w:tcPr>
          <w:p w14:paraId="18CA2326">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-S2DCR</w:t>
            </w:r>
          </w:p>
        </w:tc>
        <w:tc>
          <w:tcPr>
            <w:tcW w:w="549" w:type="pct"/>
            <w:vAlign w:val="center"/>
          </w:tcPr>
          <w:p w14:paraId="1DB318B0">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-S2DCR</w:t>
            </w:r>
          </w:p>
        </w:tc>
        <w:tc>
          <w:tcPr>
            <w:tcW w:w="446" w:type="pct"/>
            <w:vAlign w:val="center"/>
          </w:tcPr>
          <w:p w14:paraId="7AC6CE08">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 S2DCR</w:t>
            </w:r>
          </w:p>
        </w:tc>
        <w:tc>
          <w:tcPr>
            <w:tcW w:w="446" w:type="pct"/>
            <w:vAlign w:val="center"/>
          </w:tcPr>
          <w:p w14:paraId="37DB0EA7">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 S2DCR</w:t>
            </w:r>
          </w:p>
        </w:tc>
        <w:tc>
          <w:tcPr>
            <w:tcW w:w="446" w:type="pct"/>
            <w:vAlign w:val="center"/>
          </w:tcPr>
          <w:p w14:paraId="69CDFF59">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w:t>
            </w:r>
          </w:p>
        </w:tc>
        <w:tc>
          <w:tcPr>
            <w:tcW w:w="446" w:type="pct"/>
            <w:vAlign w:val="center"/>
          </w:tcPr>
          <w:p w14:paraId="1EC9DBA4">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w:t>
            </w:r>
          </w:p>
        </w:tc>
        <w:tc>
          <w:tcPr>
            <w:tcW w:w="446" w:type="pct"/>
            <w:vAlign w:val="center"/>
          </w:tcPr>
          <w:p w14:paraId="40FBE20B">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 S2DCR</w:t>
            </w:r>
          </w:p>
        </w:tc>
        <w:tc>
          <w:tcPr>
            <w:tcW w:w="446" w:type="pct"/>
            <w:vAlign w:val="center"/>
          </w:tcPr>
          <w:p w14:paraId="1A1B9411">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 S2DCR</w:t>
            </w:r>
          </w:p>
        </w:tc>
        <w:tc>
          <w:tcPr>
            <w:tcW w:w="432" w:type="pct"/>
            <w:vAlign w:val="center"/>
          </w:tcPr>
          <w:p w14:paraId="2F0C2260">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w:t>
            </w:r>
          </w:p>
        </w:tc>
      </w:tr>
    </w:tbl>
    <w:p w14:paraId="3E544D2B">
      <w:pPr>
        <w:adjustRightInd w:val="0"/>
        <w:snapToGrid w:val="0"/>
        <w:jc w:val="both"/>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注：识别定性时，可用“+”、“-”分别表示有利、不利影响；“L”、“S”分别表示长期、短期影响；“0”至“3”数值分别表示无影响、轻微影响、中等影响、重大影响；用“D”、“I”分别表示直接、间接影响；“C”、“NC”分别表示累积、非累积影响；“R”、“IR”分别表示可逆、不可逆影响。</w:t>
      </w:r>
    </w:p>
    <w:p w14:paraId="43213912">
      <w:pPr>
        <w:pStyle w:val="42"/>
      </w:pPr>
    </w:p>
    <w:p w14:paraId="6C974832">
      <w:pPr>
        <w:adjustRightInd w:val="0"/>
        <w:snapToGrid w:val="0"/>
        <w:spacing w:line="360" w:lineRule="auto"/>
        <w:ind w:firstLine="480" w:firstLineChars="200"/>
        <w:rPr>
          <w:rFonts w:ascii="Times New Roman" w:hAnsi="Times New Roman" w:eastAsia="新宋体" w:cs="Times New Roman"/>
          <w:color w:val="auto"/>
          <w:szCs w:val="24"/>
          <w:lang w:eastAsia="zh-CN"/>
        </w:rPr>
        <w:sectPr>
          <w:pgSz w:w="16838" w:h="11906" w:orient="landscape"/>
          <w:pgMar w:top="1080" w:right="1440" w:bottom="1080" w:left="1440" w:header="851" w:footer="992" w:gutter="0"/>
          <w:cols w:space="720" w:num="1"/>
          <w:docGrid w:type="lines" w:linePitch="326" w:charSpace="0"/>
        </w:sectPr>
      </w:pPr>
    </w:p>
    <w:p w14:paraId="02B98C25">
      <w:pPr>
        <w:spacing w:line="360" w:lineRule="auto"/>
        <w:ind w:firstLine="482"/>
        <w:jc w:val="both"/>
        <w:outlineLvl w:val="2"/>
        <w:rPr>
          <w:rFonts w:ascii="Times New Roman" w:hAnsi="Times New Roman" w:eastAsia="新宋体" w:cs="Times New Roman"/>
          <w:b/>
          <w:bCs/>
          <w:color w:val="auto"/>
          <w:szCs w:val="24"/>
          <w:lang w:eastAsia="zh-CN"/>
        </w:rPr>
      </w:pPr>
      <w:bookmarkStart w:id="216" w:name="_Toc218784216"/>
      <w:bookmarkStart w:id="217" w:name="_Toc173740249"/>
      <w:bookmarkStart w:id="218" w:name="_Toc221900773"/>
      <w:bookmarkStart w:id="219" w:name="_Toc203926950"/>
      <w:bookmarkStart w:id="220" w:name="_Toc176512978"/>
      <w:bookmarkStart w:id="221" w:name="_Toc231828530"/>
      <w:bookmarkStart w:id="222" w:name="_Toc204515150"/>
      <w:bookmarkStart w:id="223" w:name="_Toc204448415"/>
      <w:bookmarkStart w:id="224" w:name="_Toc173743353"/>
      <w:bookmarkStart w:id="225" w:name="_Toc237508244"/>
      <w:bookmarkStart w:id="226" w:name="_Toc224674629"/>
      <w:bookmarkStart w:id="227" w:name="_Toc225783990"/>
      <w:bookmarkStart w:id="228" w:name="_Toc223424991"/>
      <w:bookmarkStart w:id="229" w:name="_Toc175164243"/>
      <w:bookmarkStart w:id="230" w:name="_Toc236641778"/>
      <w:bookmarkStart w:id="231" w:name="_Toc172555622"/>
      <w:bookmarkStart w:id="232" w:name="_Toc236641261"/>
      <w:bookmarkStart w:id="233" w:name="_Toc217662606"/>
      <w:bookmarkStart w:id="234" w:name="_Toc178602318"/>
      <w:r>
        <w:rPr>
          <w:rFonts w:ascii="Times New Roman" w:hAnsi="Times New Roman" w:eastAsia="新宋体" w:cs="Times New Roman"/>
          <w:b/>
          <w:bCs/>
          <w:color w:val="auto"/>
          <w:szCs w:val="24"/>
          <w:lang w:eastAsia="zh-CN"/>
        </w:rPr>
        <w:t>2.3.2 评价因子筛选</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23422329">
      <w:pPr>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根据本项目排污特征和环境影响因素识别结果及主要环境制约因素分析，结合项目所在区域环境功能要求及保护目标分布情况，确定本项目评价因子见</w:t>
      </w:r>
      <w:r>
        <w:rPr>
          <w:rFonts w:hint="eastAsia" w:ascii="Times New Roman" w:hAnsi="Times New Roman" w:eastAsia="新宋体" w:cs="Times New Roman"/>
          <w:color w:val="auto"/>
          <w:szCs w:val="24"/>
          <w:lang w:eastAsia="zh-CN"/>
        </w:rPr>
        <w:t>下表</w:t>
      </w:r>
      <w:r>
        <w:rPr>
          <w:rFonts w:ascii="Times New Roman" w:hAnsi="Times New Roman" w:eastAsia="新宋体" w:cs="Times New Roman"/>
          <w:color w:val="auto"/>
          <w:szCs w:val="24"/>
          <w:lang w:eastAsia="zh-CN"/>
        </w:rPr>
        <w:t>。</w:t>
      </w:r>
    </w:p>
    <w:p w14:paraId="3B4BACD2">
      <w:pPr>
        <w:spacing w:line="360" w:lineRule="auto"/>
        <w:jc w:val="center"/>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表2.3-2 环境影响评价因子识别一览表</w:t>
      </w:r>
    </w:p>
    <w:tbl>
      <w:tblPr>
        <w:tblStyle w:val="35"/>
        <w:tblW w:w="4993"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77"/>
        <w:gridCol w:w="1843"/>
        <w:gridCol w:w="6612"/>
      </w:tblGrid>
      <w:tr w14:paraId="148262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6" w:type="pct"/>
            <w:tcMar>
              <w:left w:w="28" w:type="dxa"/>
              <w:right w:w="28" w:type="dxa"/>
            </w:tcMar>
            <w:vAlign w:val="center"/>
          </w:tcPr>
          <w:p w14:paraId="6131C55C">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环境要素</w:t>
            </w:r>
          </w:p>
        </w:tc>
        <w:tc>
          <w:tcPr>
            <w:tcW w:w="947" w:type="pct"/>
            <w:tcMar>
              <w:left w:w="28" w:type="dxa"/>
              <w:right w:w="28" w:type="dxa"/>
            </w:tcMar>
            <w:vAlign w:val="center"/>
          </w:tcPr>
          <w:p w14:paraId="4D6D48CA">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项目</w:t>
            </w:r>
          </w:p>
        </w:tc>
        <w:tc>
          <w:tcPr>
            <w:tcW w:w="3398" w:type="pct"/>
            <w:tcMar>
              <w:left w:w="28" w:type="dxa"/>
              <w:right w:w="28" w:type="dxa"/>
            </w:tcMar>
            <w:vAlign w:val="center"/>
          </w:tcPr>
          <w:p w14:paraId="748E5C93">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评价因子</w:t>
            </w:r>
          </w:p>
        </w:tc>
      </w:tr>
      <w:tr w14:paraId="40448D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6" w:type="pct"/>
            <w:vMerge w:val="restart"/>
            <w:tcMar>
              <w:left w:w="28" w:type="dxa"/>
              <w:right w:w="28" w:type="dxa"/>
            </w:tcMar>
            <w:vAlign w:val="center"/>
          </w:tcPr>
          <w:p w14:paraId="690A708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环境空气</w:t>
            </w:r>
          </w:p>
        </w:tc>
        <w:tc>
          <w:tcPr>
            <w:tcW w:w="947" w:type="pct"/>
            <w:tcMar>
              <w:left w:w="28" w:type="dxa"/>
              <w:right w:w="28" w:type="dxa"/>
            </w:tcMar>
            <w:vAlign w:val="center"/>
          </w:tcPr>
          <w:p w14:paraId="508C515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现状评价因子</w:t>
            </w:r>
          </w:p>
        </w:tc>
        <w:tc>
          <w:tcPr>
            <w:tcW w:w="3398" w:type="pct"/>
            <w:tcMar>
              <w:left w:w="28" w:type="dxa"/>
              <w:right w:w="28" w:type="dxa"/>
            </w:tcMar>
            <w:vAlign w:val="center"/>
          </w:tcPr>
          <w:p w14:paraId="321A914A">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rPr>
              <w:t>NO</w:t>
            </w:r>
            <w:r>
              <w:rPr>
                <w:rFonts w:ascii="Times New Roman" w:hAnsi="Times New Roman" w:cs="Times New Roman"/>
                <w:color w:val="auto"/>
                <w:sz w:val="21"/>
                <w:vertAlign w:val="subscript"/>
              </w:rPr>
              <w:t>2</w:t>
            </w:r>
            <w:r>
              <w:rPr>
                <w:rFonts w:ascii="Times New Roman" w:hAnsi="Times New Roman" w:cs="Times New Roman"/>
                <w:color w:val="auto"/>
                <w:sz w:val="21"/>
              </w:rPr>
              <w:t>、SO</w:t>
            </w:r>
            <w:r>
              <w:rPr>
                <w:rFonts w:ascii="Times New Roman" w:hAnsi="Times New Roman" w:cs="Times New Roman"/>
                <w:color w:val="auto"/>
                <w:sz w:val="21"/>
                <w:vertAlign w:val="subscript"/>
              </w:rPr>
              <w:t>2</w:t>
            </w:r>
            <w:r>
              <w:rPr>
                <w:rFonts w:ascii="Times New Roman" w:hAnsi="Times New Roman" w:cs="Times New Roman"/>
                <w:color w:val="auto"/>
                <w:sz w:val="21"/>
              </w:rPr>
              <w:t>、PM</w:t>
            </w:r>
            <w:r>
              <w:rPr>
                <w:rFonts w:ascii="Times New Roman" w:hAnsi="Times New Roman" w:cs="Times New Roman"/>
                <w:color w:val="auto"/>
                <w:sz w:val="21"/>
                <w:vertAlign w:val="subscript"/>
              </w:rPr>
              <w:t>10</w:t>
            </w:r>
            <w:r>
              <w:rPr>
                <w:rFonts w:ascii="Times New Roman" w:hAnsi="Times New Roman" w:cs="Times New Roman"/>
                <w:color w:val="auto"/>
                <w:sz w:val="21"/>
              </w:rPr>
              <w:t>、PM</w:t>
            </w:r>
            <w:r>
              <w:rPr>
                <w:rFonts w:ascii="Times New Roman" w:hAnsi="Times New Roman" w:cs="Times New Roman"/>
                <w:color w:val="auto"/>
                <w:sz w:val="21"/>
                <w:vertAlign w:val="subscript"/>
              </w:rPr>
              <w:t>2.5</w:t>
            </w:r>
            <w:r>
              <w:rPr>
                <w:rFonts w:ascii="Times New Roman" w:hAnsi="Times New Roman" w:cs="Times New Roman"/>
                <w:color w:val="auto"/>
                <w:sz w:val="21"/>
              </w:rPr>
              <w:t>、O</w:t>
            </w:r>
            <w:r>
              <w:rPr>
                <w:rFonts w:ascii="Times New Roman" w:hAnsi="Times New Roman" w:cs="Times New Roman"/>
                <w:color w:val="auto"/>
                <w:sz w:val="21"/>
                <w:vertAlign w:val="subscript"/>
              </w:rPr>
              <w:t>3</w:t>
            </w:r>
            <w:r>
              <w:rPr>
                <w:rFonts w:ascii="Times New Roman" w:hAnsi="Times New Roman" w:cs="Times New Roman"/>
                <w:color w:val="auto"/>
                <w:sz w:val="21"/>
              </w:rPr>
              <w:t>、CO、</w:t>
            </w:r>
            <w:r>
              <w:rPr>
                <w:rFonts w:hint="eastAsia" w:ascii="Times New Roman" w:hAnsi="Times New Roman" w:cs="Times New Roman"/>
                <w:color w:val="auto"/>
                <w:sz w:val="21"/>
                <w:lang w:eastAsia="zh-CN"/>
              </w:rPr>
              <w:t>氯化氢</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氟化物</w:t>
            </w:r>
          </w:p>
        </w:tc>
      </w:tr>
      <w:tr w14:paraId="73D643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6" w:type="pct"/>
            <w:vMerge w:val="continue"/>
            <w:tcMar>
              <w:left w:w="28" w:type="dxa"/>
              <w:right w:w="28" w:type="dxa"/>
            </w:tcMar>
            <w:vAlign w:val="center"/>
          </w:tcPr>
          <w:p w14:paraId="20EE1034">
            <w:pPr>
              <w:adjustRightInd w:val="0"/>
              <w:snapToGrid w:val="0"/>
              <w:jc w:val="center"/>
              <w:rPr>
                <w:rFonts w:ascii="Times New Roman" w:hAnsi="Times New Roman" w:cs="Times New Roman"/>
                <w:color w:val="auto"/>
                <w:sz w:val="21"/>
              </w:rPr>
            </w:pPr>
          </w:p>
        </w:tc>
        <w:tc>
          <w:tcPr>
            <w:tcW w:w="947" w:type="pct"/>
            <w:tcMar>
              <w:left w:w="28" w:type="dxa"/>
              <w:right w:w="28" w:type="dxa"/>
            </w:tcMar>
            <w:vAlign w:val="center"/>
          </w:tcPr>
          <w:p w14:paraId="67F0621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预测评价因子</w:t>
            </w:r>
          </w:p>
        </w:tc>
        <w:tc>
          <w:tcPr>
            <w:tcW w:w="3398" w:type="pct"/>
            <w:tcMar>
              <w:left w:w="28" w:type="dxa"/>
              <w:right w:w="28" w:type="dxa"/>
            </w:tcMar>
            <w:vAlign w:val="center"/>
          </w:tcPr>
          <w:p w14:paraId="0BEF3BD0">
            <w:pPr>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氯化氢</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氟化物</w:t>
            </w:r>
          </w:p>
        </w:tc>
      </w:tr>
      <w:tr w14:paraId="1167C1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6" w:type="pct"/>
            <w:vMerge w:val="continue"/>
            <w:tcMar>
              <w:left w:w="28" w:type="dxa"/>
              <w:right w:w="28" w:type="dxa"/>
            </w:tcMar>
            <w:vAlign w:val="center"/>
          </w:tcPr>
          <w:p w14:paraId="7DF898C3">
            <w:pPr>
              <w:adjustRightInd w:val="0"/>
              <w:snapToGrid w:val="0"/>
              <w:jc w:val="center"/>
              <w:rPr>
                <w:rFonts w:ascii="Times New Roman" w:hAnsi="Times New Roman" w:cs="Times New Roman"/>
                <w:color w:val="auto"/>
                <w:sz w:val="21"/>
              </w:rPr>
            </w:pPr>
          </w:p>
        </w:tc>
        <w:tc>
          <w:tcPr>
            <w:tcW w:w="947" w:type="pct"/>
            <w:tcMar>
              <w:left w:w="28" w:type="dxa"/>
              <w:right w:w="28" w:type="dxa"/>
            </w:tcMar>
            <w:vAlign w:val="center"/>
          </w:tcPr>
          <w:p w14:paraId="45095D9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总量控制因子</w:t>
            </w:r>
          </w:p>
        </w:tc>
        <w:tc>
          <w:tcPr>
            <w:tcW w:w="3398" w:type="pct"/>
            <w:tcMar>
              <w:left w:w="28" w:type="dxa"/>
              <w:right w:w="28" w:type="dxa"/>
            </w:tcMar>
            <w:vAlign w:val="center"/>
          </w:tcPr>
          <w:p w14:paraId="1357265F">
            <w:pPr>
              <w:adjustRightInd w:val="0"/>
              <w:snapToGrid w:val="0"/>
              <w:jc w:val="center"/>
              <w:rPr>
                <w:rFonts w:ascii="Times New Roman" w:hAnsi="Times New Roman" w:cs="Times New Roman"/>
                <w:color w:val="EE0000"/>
                <w:sz w:val="21"/>
                <w:lang w:eastAsia="zh-CN"/>
              </w:rPr>
            </w:pPr>
            <w:r>
              <w:rPr>
                <w:rFonts w:hint="eastAsia" w:ascii="Times New Roman" w:hAnsi="Times New Roman" w:cs="Times New Roman"/>
                <w:color w:val="auto"/>
                <w:sz w:val="21"/>
                <w:lang w:eastAsia="zh-CN"/>
              </w:rPr>
              <w:t>/</w:t>
            </w:r>
          </w:p>
        </w:tc>
      </w:tr>
      <w:tr w14:paraId="5BA21D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6" w:type="pct"/>
            <w:vMerge w:val="restart"/>
            <w:tcMar>
              <w:left w:w="28" w:type="dxa"/>
              <w:right w:w="28" w:type="dxa"/>
            </w:tcMar>
            <w:vAlign w:val="center"/>
          </w:tcPr>
          <w:p w14:paraId="5482FDF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地表水</w:t>
            </w:r>
          </w:p>
        </w:tc>
        <w:tc>
          <w:tcPr>
            <w:tcW w:w="947" w:type="pct"/>
            <w:tcMar>
              <w:left w:w="28" w:type="dxa"/>
              <w:right w:w="28" w:type="dxa"/>
            </w:tcMar>
            <w:vAlign w:val="center"/>
          </w:tcPr>
          <w:p w14:paraId="405699F1">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现状评价因子</w:t>
            </w:r>
          </w:p>
        </w:tc>
        <w:tc>
          <w:tcPr>
            <w:tcW w:w="3398" w:type="pct"/>
            <w:tcMar>
              <w:left w:w="28" w:type="dxa"/>
              <w:right w:w="28" w:type="dxa"/>
            </w:tcMar>
            <w:vAlign w:val="center"/>
          </w:tcPr>
          <w:p w14:paraId="555C93E2">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pH、COD、BOD</w:t>
            </w:r>
            <w:r>
              <w:rPr>
                <w:rFonts w:ascii="Times New Roman" w:hAnsi="Times New Roman" w:cs="Times New Roman"/>
                <w:color w:val="auto"/>
                <w:sz w:val="21"/>
                <w:vertAlign w:val="subscript"/>
                <w:lang w:eastAsia="zh-CN"/>
              </w:rPr>
              <w:t>5</w:t>
            </w:r>
            <w:r>
              <w:rPr>
                <w:rFonts w:ascii="Times New Roman" w:hAnsi="Times New Roman" w:cs="Times New Roman"/>
                <w:color w:val="auto"/>
                <w:sz w:val="21"/>
                <w:lang w:eastAsia="zh-CN"/>
              </w:rPr>
              <w:t>、氨氮、</w:t>
            </w:r>
            <w:r>
              <w:rPr>
                <w:rFonts w:hint="eastAsia" w:ascii="Times New Roman" w:hAnsi="Times New Roman" w:cs="Times New Roman"/>
                <w:color w:val="auto"/>
                <w:sz w:val="21"/>
                <w:lang w:eastAsia="zh-CN"/>
              </w:rPr>
              <w:t>氟化物</w:t>
            </w:r>
          </w:p>
        </w:tc>
      </w:tr>
      <w:tr w14:paraId="730D80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6" w:type="pct"/>
            <w:vMerge w:val="continue"/>
            <w:tcMar>
              <w:left w:w="28" w:type="dxa"/>
              <w:right w:w="28" w:type="dxa"/>
            </w:tcMar>
            <w:vAlign w:val="center"/>
          </w:tcPr>
          <w:p w14:paraId="7541F874">
            <w:pPr>
              <w:adjustRightInd w:val="0"/>
              <w:snapToGrid w:val="0"/>
              <w:jc w:val="center"/>
              <w:rPr>
                <w:rFonts w:ascii="Times New Roman" w:hAnsi="Times New Roman" w:cs="Times New Roman"/>
                <w:color w:val="auto"/>
                <w:sz w:val="21"/>
                <w:lang w:eastAsia="zh-CN"/>
              </w:rPr>
            </w:pPr>
          </w:p>
        </w:tc>
        <w:tc>
          <w:tcPr>
            <w:tcW w:w="947" w:type="pct"/>
            <w:tcMar>
              <w:left w:w="28" w:type="dxa"/>
              <w:right w:w="28" w:type="dxa"/>
            </w:tcMar>
            <w:vAlign w:val="center"/>
          </w:tcPr>
          <w:p w14:paraId="7EE56DD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影响</w:t>
            </w:r>
            <w:r>
              <w:rPr>
                <w:rFonts w:ascii="Times New Roman" w:hAnsi="Times New Roman" w:cs="Times New Roman"/>
                <w:color w:val="auto"/>
                <w:sz w:val="21"/>
              </w:rPr>
              <w:t>评价因子</w:t>
            </w:r>
          </w:p>
        </w:tc>
        <w:tc>
          <w:tcPr>
            <w:tcW w:w="3398" w:type="pct"/>
            <w:tcMar>
              <w:left w:w="28" w:type="dxa"/>
              <w:right w:w="28" w:type="dxa"/>
            </w:tcMar>
            <w:vAlign w:val="center"/>
          </w:tcPr>
          <w:p w14:paraId="42B3493D">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w:t>
            </w:r>
          </w:p>
        </w:tc>
      </w:tr>
      <w:tr w14:paraId="4BFFCC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6" w:type="pct"/>
            <w:vMerge w:val="continue"/>
            <w:tcMar>
              <w:left w:w="28" w:type="dxa"/>
              <w:right w:w="28" w:type="dxa"/>
            </w:tcMar>
            <w:vAlign w:val="center"/>
          </w:tcPr>
          <w:p w14:paraId="67FFED53">
            <w:pPr>
              <w:adjustRightInd w:val="0"/>
              <w:snapToGrid w:val="0"/>
              <w:jc w:val="center"/>
              <w:rPr>
                <w:rFonts w:ascii="Times New Roman" w:hAnsi="Times New Roman" w:cs="Times New Roman"/>
                <w:color w:val="auto"/>
                <w:sz w:val="21"/>
                <w:lang w:eastAsia="zh-CN"/>
              </w:rPr>
            </w:pPr>
          </w:p>
        </w:tc>
        <w:tc>
          <w:tcPr>
            <w:tcW w:w="947" w:type="pct"/>
            <w:tcMar>
              <w:left w:w="28" w:type="dxa"/>
              <w:right w:w="28" w:type="dxa"/>
            </w:tcMar>
            <w:vAlign w:val="center"/>
          </w:tcPr>
          <w:p w14:paraId="604083F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总量控制因子</w:t>
            </w:r>
          </w:p>
        </w:tc>
        <w:tc>
          <w:tcPr>
            <w:tcW w:w="3398" w:type="pct"/>
            <w:tcMar>
              <w:left w:w="28" w:type="dxa"/>
              <w:right w:w="28" w:type="dxa"/>
            </w:tcMar>
            <w:vAlign w:val="center"/>
          </w:tcPr>
          <w:p w14:paraId="2613430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COD、氨氮</w:t>
            </w:r>
          </w:p>
        </w:tc>
      </w:tr>
      <w:tr w14:paraId="442B57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6" w:type="pct"/>
            <w:vMerge w:val="restart"/>
            <w:tcMar>
              <w:left w:w="28" w:type="dxa"/>
              <w:right w:w="28" w:type="dxa"/>
            </w:tcMar>
            <w:vAlign w:val="center"/>
          </w:tcPr>
          <w:p w14:paraId="2F4973C8">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声环境</w:t>
            </w:r>
          </w:p>
        </w:tc>
        <w:tc>
          <w:tcPr>
            <w:tcW w:w="947" w:type="pct"/>
            <w:tcMar>
              <w:left w:w="28" w:type="dxa"/>
              <w:right w:w="28" w:type="dxa"/>
            </w:tcMar>
            <w:vAlign w:val="center"/>
          </w:tcPr>
          <w:p w14:paraId="2FEB7C6D">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现状评价因子</w:t>
            </w:r>
          </w:p>
        </w:tc>
        <w:tc>
          <w:tcPr>
            <w:tcW w:w="3398" w:type="pct"/>
            <w:tcMar>
              <w:left w:w="28" w:type="dxa"/>
              <w:right w:w="28" w:type="dxa"/>
            </w:tcMar>
            <w:vAlign w:val="center"/>
          </w:tcPr>
          <w:p w14:paraId="781120F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等效连续A声级</w:t>
            </w:r>
          </w:p>
        </w:tc>
      </w:tr>
      <w:tr w14:paraId="316049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6" w:type="pct"/>
            <w:vMerge w:val="continue"/>
            <w:tcMar>
              <w:left w:w="28" w:type="dxa"/>
              <w:right w:w="28" w:type="dxa"/>
            </w:tcMar>
            <w:vAlign w:val="center"/>
          </w:tcPr>
          <w:p w14:paraId="4DB5E47B">
            <w:pPr>
              <w:adjustRightInd w:val="0"/>
              <w:snapToGrid w:val="0"/>
              <w:jc w:val="center"/>
              <w:rPr>
                <w:rFonts w:ascii="Times New Roman" w:hAnsi="Times New Roman" w:cs="Times New Roman"/>
                <w:color w:val="auto"/>
                <w:sz w:val="21"/>
              </w:rPr>
            </w:pPr>
          </w:p>
        </w:tc>
        <w:tc>
          <w:tcPr>
            <w:tcW w:w="947" w:type="pct"/>
            <w:tcMar>
              <w:left w:w="28" w:type="dxa"/>
              <w:right w:w="28" w:type="dxa"/>
            </w:tcMar>
            <w:vAlign w:val="center"/>
          </w:tcPr>
          <w:p w14:paraId="560B2D1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预测评价因子</w:t>
            </w:r>
          </w:p>
        </w:tc>
        <w:tc>
          <w:tcPr>
            <w:tcW w:w="3398" w:type="pct"/>
            <w:tcMar>
              <w:left w:w="28" w:type="dxa"/>
              <w:right w:w="28" w:type="dxa"/>
            </w:tcMar>
            <w:vAlign w:val="center"/>
          </w:tcPr>
          <w:p w14:paraId="05CD55C6">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等效连续A声级</w:t>
            </w:r>
          </w:p>
        </w:tc>
      </w:tr>
      <w:tr w14:paraId="749D93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6" w:type="pct"/>
            <w:vMerge w:val="restart"/>
            <w:tcMar>
              <w:left w:w="28" w:type="dxa"/>
              <w:right w:w="28" w:type="dxa"/>
            </w:tcMar>
            <w:vAlign w:val="center"/>
          </w:tcPr>
          <w:p w14:paraId="5600B70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地下水环境</w:t>
            </w:r>
          </w:p>
        </w:tc>
        <w:tc>
          <w:tcPr>
            <w:tcW w:w="947" w:type="pct"/>
            <w:tcMar>
              <w:left w:w="28" w:type="dxa"/>
              <w:right w:w="28" w:type="dxa"/>
            </w:tcMar>
            <w:vAlign w:val="center"/>
          </w:tcPr>
          <w:p w14:paraId="747A6EA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现状评价因子</w:t>
            </w:r>
          </w:p>
        </w:tc>
        <w:tc>
          <w:tcPr>
            <w:tcW w:w="3398" w:type="pct"/>
            <w:tcMar>
              <w:left w:w="28" w:type="dxa"/>
              <w:right w:w="28" w:type="dxa"/>
            </w:tcMar>
            <w:vAlign w:val="center"/>
          </w:tcPr>
          <w:p w14:paraId="17F38763">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K</w:t>
            </w:r>
            <w:r>
              <w:rPr>
                <w:rFonts w:ascii="Times New Roman" w:hAnsi="Times New Roman" w:cs="Times New Roman"/>
                <w:color w:val="auto"/>
                <w:sz w:val="21"/>
                <w:vertAlign w:val="superscript"/>
                <w:lang w:eastAsia="zh-CN"/>
              </w:rPr>
              <w:t>+</w:t>
            </w:r>
            <w:r>
              <w:rPr>
                <w:rFonts w:ascii="Times New Roman" w:hAnsi="Times New Roman" w:cs="Times New Roman"/>
                <w:color w:val="auto"/>
                <w:sz w:val="21"/>
                <w:lang w:eastAsia="zh-CN"/>
              </w:rPr>
              <w:t>、Na</w:t>
            </w:r>
            <w:r>
              <w:rPr>
                <w:rFonts w:ascii="Times New Roman" w:hAnsi="Times New Roman" w:cs="Times New Roman"/>
                <w:color w:val="auto"/>
                <w:sz w:val="21"/>
                <w:vertAlign w:val="superscript"/>
                <w:lang w:eastAsia="zh-CN"/>
              </w:rPr>
              <w:t>+</w:t>
            </w:r>
            <w:r>
              <w:rPr>
                <w:rFonts w:ascii="Times New Roman" w:hAnsi="Times New Roman" w:cs="Times New Roman"/>
                <w:color w:val="auto"/>
                <w:sz w:val="21"/>
                <w:lang w:eastAsia="zh-CN"/>
              </w:rPr>
              <w:t>、Ca</w:t>
            </w:r>
            <w:r>
              <w:rPr>
                <w:rFonts w:ascii="Times New Roman" w:hAnsi="Times New Roman" w:cs="Times New Roman"/>
                <w:color w:val="auto"/>
                <w:sz w:val="21"/>
                <w:vertAlign w:val="superscript"/>
                <w:lang w:eastAsia="zh-CN"/>
              </w:rPr>
              <w:t>2+</w:t>
            </w:r>
            <w:r>
              <w:rPr>
                <w:rFonts w:ascii="Times New Roman" w:hAnsi="Times New Roman" w:cs="Times New Roman"/>
                <w:color w:val="auto"/>
                <w:sz w:val="21"/>
                <w:lang w:eastAsia="zh-CN"/>
              </w:rPr>
              <w:t>、Mg</w:t>
            </w:r>
            <w:r>
              <w:rPr>
                <w:rFonts w:ascii="Times New Roman" w:hAnsi="Times New Roman" w:cs="Times New Roman"/>
                <w:color w:val="auto"/>
                <w:sz w:val="21"/>
                <w:vertAlign w:val="superscript"/>
                <w:lang w:eastAsia="zh-CN"/>
              </w:rPr>
              <w:t>2+</w:t>
            </w:r>
            <w:r>
              <w:rPr>
                <w:rFonts w:ascii="Times New Roman" w:hAnsi="Times New Roman" w:cs="Times New Roman"/>
                <w:color w:val="auto"/>
                <w:sz w:val="21"/>
                <w:lang w:eastAsia="zh-CN"/>
              </w:rPr>
              <w:t>、CO</w:t>
            </w:r>
            <w:r>
              <w:rPr>
                <w:rFonts w:ascii="Times New Roman" w:hAnsi="Times New Roman" w:cs="Times New Roman"/>
                <w:color w:val="auto"/>
                <w:sz w:val="21"/>
                <w:vertAlign w:val="subscript"/>
                <w:lang w:eastAsia="zh-CN"/>
              </w:rPr>
              <w:t>3</w:t>
            </w:r>
            <w:r>
              <w:rPr>
                <w:rFonts w:ascii="Times New Roman" w:hAnsi="Times New Roman" w:cs="Times New Roman"/>
                <w:color w:val="auto"/>
                <w:sz w:val="21"/>
                <w:vertAlign w:val="superscript"/>
                <w:lang w:eastAsia="zh-CN"/>
              </w:rPr>
              <w:t>2-</w:t>
            </w:r>
            <w:r>
              <w:rPr>
                <w:rFonts w:ascii="Times New Roman" w:hAnsi="Times New Roman" w:cs="Times New Roman"/>
                <w:color w:val="auto"/>
                <w:sz w:val="21"/>
                <w:lang w:eastAsia="zh-CN"/>
              </w:rPr>
              <w:t>、HCO</w:t>
            </w:r>
            <w:r>
              <w:rPr>
                <w:rFonts w:ascii="Times New Roman" w:hAnsi="Times New Roman" w:cs="Times New Roman"/>
                <w:color w:val="auto"/>
                <w:sz w:val="21"/>
                <w:vertAlign w:val="subscript"/>
                <w:lang w:eastAsia="zh-CN"/>
              </w:rPr>
              <w:t>3</w:t>
            </w:r>
            <w:r>
              <w:rPr>
                <w:rFonts w:ascii="Times New Roman" w:hAnsi="Times New Roman" w:cs="Times New Roman"/>
                <w:color w:val="auto"/>
                <w:sz w:val="21"/>
                <w:vertAlign w:val="superscript"/>
                <w:lang w:eastAsia="zh-CN"/>
              </w:rPr>
              <w:t>-</w:t>
            </w:r>
            <w:r>
              <w:rPr>
                <w:rFonts w:ascii="Times New Roman" w:hAnsi="Times New Roman" w:cs="Times New Roman"/>
                <w:color w:val="auto"/>
                <w:sz w:val="21"/>
                <w:lang w:eastAsia="zh-CN"/>
              </w:rPr>
              <w:t>、Cl</w:t>
            </w:r>
            <w:r>
              <w:rPr>
                <w:rFonts w:ascii="Times New Roman" w:hAnsi="Times New Roman" w:cs="Times New Roman"/>
                <w:color w:val="auto"/>
                <w:sz w:val="21"/>
                <w:vertAlign w:val="superscript"/>
                <w:lang w:eastAsia="zh-CN"/>
              </w:rPr>
              <w:t>-</w:t>
            </w:r>
            <w:r>
              <w:rPr>
                <w:rFonts w:ascii="Times New Roman" w:hAnsi="Times New Roman" w:cs="Times New Roman"/>
                <w:color w:val="auto"/>
                <w:sz w:val="21"/>
                <w:lang w:eastAsia="zh-CN"/>
              </w:rPr>
              <w:t>、SO</w:t>
            </w:r>
            <w:r>
              <w:rPr>
                <w:rFonts w:ascii="Times New Roman" w:hAnsi="Times New Roman" w:cs="Times New Roman"/>
                <w:color w:val="auto"/>
                <w:sz w:val="21"/>
                <w:vertAlign w:val="subscript"/>
                <w:lang w:eastAsia="zh-CN"/>
              </w:rPr>
              <w:t>4</w:t>
            </w:r>
            <w:r>
              <w:rPr>
                <w:rFonts w:ascii="Times New Roman" w:hAnsi="Times New Roman" w:cs="Times New Roman"/>
                <w:color w:val="auto"/>
                <w:sz w:val="21"/>
                <w:vertAlign w:val="superscript"/>
                <w:lang w:eastAsia="zh-CN"/>
              </w:rPr>
              <w:t>2-</w:t>
            </w:r>
            <w:r>
              <w:rPr>
                <w:rFonts w:ascii="Times New Roman" w:hAnsi="Times New Roman" w:cs="Times New Roman"/>
                <w:color w:val="auto"/>
                <w:kern w:val="2"/>
                <w:sz w:val="21"/>
                <w:lang w:eastAsia="zh-CN"/>
              </w:rPr>
              <w:t>、pH、氨氮、硝酸盐、亚硝酸盐、挥发性酚类、氟化物、砷、汞、总硬度、铬（六价）、铅、镉、铁、锰、溶解性总固体、耗氧量、硫酸盐、氯化物、总大肠菌群、细菌总数</w:t>
            </w:r>
          </w:p>
        </w:tc>
      </w:tr>
      <w:tr w14:paraId="2756B1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6" w:type="pct"/>
            <w:vMerge w:val="continue"/>
            <w:tcMar>
              <w:left w:w="28" w:type="dxa"/>
              <w:right w:w="28" w:type="dxa"/>
            </w:tcMar>
            <w:vAlign w:val="center"/>
          </w:tcPr>
          <w:p w14:paraId="5C320646">
            <w:pPr>
              <w:adjustRightInd w:val="0"/>
              <w:snapToGrid w:val="0"/>
              <w:jc w:val="center"/>
              <w:rPr>
                <w:rFonts w:ascii="Times New Roman" w:hAnsi="Times New Roman" w:cs="Times New Roman"/>
                <w:color w:val="auto"/>
                <w:sz w:val="21"/>
                <w:lang w:eastAsia="zh-CN"/>
              </w:rPr>
            </w:pPr>
          </w:p>
        </w:tc>
        <w:tc>
          <w:tcPr>
            <w:tcW w:w="947" w:type="pct"/>
            <w:tcMar>
              <w:left w:w="28" w:type="dxa"/>
              <w:right w:w="28" w:type="dxa"/>
            </w:tcMar>
            <w:vAlign w:val="center"/>
          </w:tcPr>
          <w:p w14:paraId="0627901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预测评价因子</w:t>
            </w:r>
          </w:p>
        </w:tc>
        <w:tc>
          <w:tcPr>
            <w:tcW w:w="3398" w:type="pct"/>
            <w:tcMar>
              <w:left w:w="28" w:type="dxa"/>
              <w:right w:w="28" w:type="dxa"/>
            </w:tcMar>
            <w:vAlign w:val="center"/>
          </w:tcPr>
          <w:p w14:paraId="36CE671E">
            <w:pPr>
              <w:adjustRightInd w:val="0"/>
              <w:snapToGrid w:val="0"/>
              <w:jc w:val="center"/>
              <w:rPr>
                <w:rFonts w:ascii="Times New Roman" w:hAnsi="Times New Roman" w:cs="Times New Roman"/>
                <w:sz w:val="21"/>
                <w:lang w:eastAsia="zh-CN"/>
              </w:rPr>
            </w:pPr>
            <w:r>
              <w:rPr>
                <w:rFonts w:hint="eastAsia" w:ascii="Times New Roman" w:hAnsi="Times New Roman" w:cs="Times New Roman"/>
                <w:color w:val="auto"/>
                <w:kern w:val="2"/>
                <w:sz w:val="21"/>
                <w:lang w:eastAsia="zh-CN"/>
              </w:rPr>
              <w:t>氟化物</w:t>
            </w:r>
          </w:p>
        </w:tc>
      </w:tr>
      <w:tr w14:paraId="567C32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6" w:type="pct"/>
            <w:vMerge w:val="restart"/>
            <w:tcMar>
              <w:left w:w="28" w:type="dxa"/>
              <w:right w:w="28" w:type="dxa"/>
            </w:tcMar>
            <w:vAlign w:val="center"/>
          </w:tcPr>
          <w:p w14:paraId="43DCDB2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土壤环境</w:t>
            </w:r>
          </w:p>
        </w:tc>
        <w:tc>
          <w:tcPr>
            <w:tcW w:w="947" w:type="pct"/>
            <w:tcMar>
              <w:left w:w="28" w:type="dxa"/>
              <w:right w:w="28" w:type="dxa"/>
            </w:tcMar>
            <w:vAlign w:val="center"/>
          </w:tcPr>
          <w:p w14:paraId="0AD0042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现状评价因子</w:t>
            </w:r>
          </w:p>
        </w:tc>
        <w:tc>
          <w:tcPr>
            <w:tcW w:w="3398" w:type="pct"/>
            <w:tcMar>
              <w:left w:w="28" w:type="dxa"/>
              <w:right w:w="28" w:type="dxa"/>
            </w:tcMar>
            <w:vAlign w:val="center"/>
          </w:tcPr>
          <w:p w14:paraId="693CA469">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pH、砷、镉、铬（六价）、铜、铅、镍、汞、锌、四氯化碳、氯仿、氯甲烷、1,1-二氯乙烷、1,2-二氯乙烷、1-1-二氯乙烯、顺1,1-二氯乙烯、逆1,2-二氯乙烯、二氯甲烷、1,2-二氯丙烷、1,1,1,2-四氯乙烷、1,1,2,2-四氯乙烷、四氯乙烯、1,1,1-三氯乙烷、1,1,2-三氯乙烷、三氯乙烯、1,2,3-三氯丙烷、氯乙烯、苯、氯苯、1,2-二氯苯、1,4-二氯苯、乙苯、苯乙烯、甲苯、间二甲苯+对二甲苯、邻二甲苯、硝基苯、苯胺、2-氯酚、苯并[a]蒽、苯并[a]芘、苯并[b]荧蒽、苯并[k]荧蒽、二苯并[a、h]芘、茚并[1,2,3-cda]芘、䓛、萘</w:t>
            </w:r>
          </w:p>
        </w:tc>
      </w:tr>
      <w:tr w14:paraId="673663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6" w:type="pct"/>
            <w:vMerge w:val="continue"/>
            <w:tcMar>
              <w:left w:w="28" w:type="dxa"/>
              <w:right w:w="28" w:type="dxa"/>
            </w:tcMar>
            <w:vAlign w:val="center"/>
          </w:tcPr>
          <w:p w14:paraId="759FABFD">
            <w:pPr>
              <w:adjustRightInd w:val="0"/>
              <w:snapToGrid w:val="0"/>
              <w:jc w:val="center"/>
              <w:rPr>
                <w:rFonts w:ascii="Times New Roman" w:hAnsi="Times New Roman" w:cs="Times New Roman"/>
                <w:color w:val="auto"/>
                <w:sz w:val="21"/>
                <w:lang w:eastAsia="zh-CN"/>
              </w:rPr>
            </w:pPr>
          </w:p>
        </w:tc>
        <w:tc>
          <w:tcPr>
            <w:tcW w:w="947" w:type="pct"/>
            <w:tcMar>
              <w:left w:w="28" w:type="dxa"/>
              <w:right w:w="28" w:type="dxa"/>
            </w:tcMar>
            <w:vAlign w:val="center"/>
          </w:tcPr>
          <w:p w14:paraId="09960FB6">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预测评价因子</w:t>
            </w:r>
          </w:p>
        </w:tc>
        <w:tc>
          <w:tcPr>
            <w:tcW w:w="3398" w:type="pct"/>
            <w:tcMar>
              <w:left w:w="28" w:type="dxa"/>
              <w:right w:w="28" w:type="dxa"/>
            </w:tcMar>
            <w:vAlign w:val="center"/>
          </w:tcPr>
          <w:p w14:paraId="5CE563E6">
            <w:pPr>
              <w:adjustRightInd w:val="0"/>
              <w:snapToGrid w:val="0"/>
              <w:jc w:val="center"/>
              <w:rPr>
                <w:rFonts w:ascii="Times New Roman" w:hAnsi="Times New Roman" w:cs="Times New Roman"/>
                <w:sz w:val="21"/>
                <w:highlight w:val="yellow"/>
              </w:rPr>
            </w:pPr>
            <w:r>
              <w:rPr>
                <w:rFonts w:hint="eastAsia" w:ascii="Times New Roman" w:hAnsi="Times New Roman" w:cs="Times New Roman"/>
                <w:color w:val="000000" w:themeColor="text1"/>
                <w:sz w:val="21"/>
                <w:lang w:eastAsia="zh-CN"/>
                <w14:textFill>
                  <w14:solidFill>
                    <w14:schemeClr w14:val="tx1"/>
                  </w14:solidFill>
                </w14:textFill>
              </w:rPr>
              <w:t>氟化物</w:t>
            </w:r>
          </w:p>
        </w:tc>
      </w:tr>
    </w:tbl>
    <w:p w14:paraId="2CA30CE7">
      <w:pPr>
        <w:widowControl w:val="0"/>
        <w:spacing w:line="360" w:lineRule="auto"/>
        <w:ind w:firstLine="482"/>
        <w:jc w:val="both"/>
        <w:outlineLvl w:val="2"/>
        <w:rPr>
          <w:rFonts w:ascii="Times New Roman" w:hAnsi="Times New Roman" w:eastAsia="新宋体" w:cs="Times New Roman"/>
          <w:b/>
          <w:bCs/>
          <w:color w:val="auto"/>
          <w:szCs w:val="24"/>
          <w:lang w:eastAsia="zh-CN"/>
        </w:rPr>
      </w:pPr>
      <w:bookmarkStart w:id="235" w:name="_Toc224674630"/>
      <w:bookmarkStart w:id="236" w:name="_Toc236641779"/>
      <w:bookmarkStart w:id="237" w:name="_Toc204448416"/>
      <w:bookmarkStart w:id="238" w:name="_Toc173740250"/>
      <w:bookmarkStart w:id="239" w:name="_Toc173743354"/>
      <w:bookmarkStart w:id="240" w:name="_Toc172555623"/>
      <w:bookmarkStart w:id="241" w:name="_Toc231828531"/>
      <w:bookmarkStart w:id="242" w:name="_Toc221900774"/>
      <w:bookmarkStart w:id="243" w:name="_Toc176512979"/>
      <w:bookmarkStart w:id="244" w:name="_Toc236641262"/>
      <w:bookmarkStart w:id="245" w:name="_Toc237508245"/>
      <w:bookmarkStart w:id="246" w:name="_Toc175164244"/>
      <w:bookmarkStart w:id="247" w:name="_Toc218784217"/>
      <w:bookmarkStart w:id="248" w:name="_Toc225783991"/>
      <w:bookmarkStart w:id="249" w:name="_Toc204515151"/>
      <w:bookmarkStart w:id="250" w:name="_Toc178602319"/>
      <w:bookmarkStart w:id="251" w:name="_Toc203926951"/>
      <w:bookmarkStart w:id="252" w:name="_Toc217662607"/>
      <w:bookmarkStart w:id="253" w:name="_Toc223424992"/>
      <w:r>
        <w:rPr>
          <w:rFonts w:ascii="Times New Roman" w:hAnsi="Times New Roman" w:eastAsia="新宋体" w:cs="Times New Roman"/>
          <w:b/>
          <w:bCs/>
          <w:color w:val="auto"/>
          <w:szCs w:val="24"/>
          <w:lang w:eastAsia="zh-CN"/>
        </w:rPr>
        <w:t>2.3.3 评价标准</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14:paraId="0632C30D">
      <w:pPr>
        <w:widowControl w:val="0"/>
        <w:spacing w:line="360" w:lineRule="auto"/>
        <w:ind w:firstLine="482"/>
        <w:jc w:val="both"/>
        <w:outlineLvl w:val="3"/>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2.3.3.1 环境质量标准</w:t>
      </w:r>
    </w:p>
    <w:p w14:paraId="647187FC">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1、大气</w:t>
      </w:r>
    </w:p>
    <w:p w14:paraId="727ACC93">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区域大气环境SO</w:t>
      </w:r>
      <w:r>
        <w:rPr>
          <w:rFonts w:ascii="Times New Roman" w:hAnsi="Times New Roman" w:eastAsia="新宋体" w:cs="Times New Roman"/>
          <w:color w:val="auto"/>
          <w:szCs w:val="24"/>
          <w:vertAlign w:val="subscript"/>
          <w:lang w:eastAsia="zh-CN"/>
        </w:rPr>
        <w:t>2</w:t>
      </w:r>
      <w:r>
        <w:rPr>
          <w:rFonts w:ascii="Times New Roman" w:hAnsi="Times New Roman" w:eastAsia="新宋体" w:cs="Times New Roman"/>
          <w:color w:val="auto"/>
          <w:szCs w:val="24"/>
          <w:lang w:eastAsia="zh-CN"/>
        </w:rPr>
        <w:t>、NO</w:t>
      </w:r>
      <w:r>
        <w:rPr>
          <w:rFonts w:ascii="Times New Roman" w:hAnsi="Times New Roman" w:eastAsia="新宋体" w:cs="Times New Roman"/>
          <w:color w:val="auto"/>
          <w:szCs w:val="24"/>
          <w:vertAlign w:val="subscript"/>
          <w:lang w:eastAsia="zh-CN"/>
        </w:rPr>
        <w:t>2</w:t>
      </w:r>
      <w:r>
        <w:rPr>
          <w:rFonts w:ascii="Times New Roman" w:hAnsi="Times New Roman" w:eastAsia="新宋体" w:cs="Times New Roman"/>
          <w:color w:val="auto"/>
          <w:szCs w:val="24"/>
          <w:lang w:eastAsia="zh-CN"/>
        </w:rPr>
        <w:t>、PM</w:t>
      </w:r>
      <w:r>
        <w:rPr>
          <w:rFonts w:ascii="Times New Roman" w:hAnsi="Times New Roman" w:eastAsia="新宋体" w:cs="Times New Roman"/>
          <w:color w:val="auto"/>
          <w:szCs w:val="24"/>
          <w:vertAlign w:val="subscript"/>
          <w:lang w:eastAsia="zh-CN"/>
        </w:rPr>
        <w:t>2.5</w:t>
      </w:r>
      <w:r>
        <w:rPr>
          <w:rFonts w:ascii="Times New Roman" w:hAnsi="Times New Roman" w:eastAsia="新宋体" w:cs="Times New Roman"/>
          <w:color w:val="auto"/>
          <w:szCs w:val="24"/>
          <w:lang w:eastAsia="zh-CN"/>
        </w:rPr>
        <w:t>、PM</w:t>
      </w:r>
      <w:r>
        <w:rPr>
          <w:rFonts w:ascii="Times New Roman" w:hAnsi="Times New Roman" w:eastAsia="新宋体" w:cs="Times New Roman"/>
          <w:color w:val="auto"/>
          <w:szCs w:val="24"/>
          <w:vertAlign w:val="subscript"/>
          <w:lang w:eastAsia="zh-CN"/>
        </w:rPr>
        <w:t>10</w:t>
      </w:r>
      <w:r>
        <w:rPr>
          <w:rFonts w:ascii="Times New Roman" w:hAnsi="Times New Roman" w:eastAsia="新宋体" w:cs="Times New Roman"/>
          <w:color w:val="auto"/>
          <w:szCs w:val="24"/>
          <w:lang w:eastAsia="zh-CN"/>
        </w:rPr>
        <w:t>、O</w:t>
      </w:r>
      <w:r>
        <w:rPr>
          <w:rFonts w:ascii="Times New Roman" w:hAnsi="Times New Roman" w:eastAsia="新宋体" w:cs="Times New Roman"/>
          <w:color w:val="auto"/>
          <w:szCs w:val="24"/>
          <w:vertAlign w:val="subscript"/>
          <w:lang w:eastAsia="zh-CN"/>
        </w:rPr>
        <w:t>3</w:t>
      </w:r>
      <w:r>
        <w:rPr>
          <w:rFonts w:ascii="Times New Roman" w:hAnsi="Times New Roman" w:eastAsia="新宋体" w:cs="Times New Roman"/>
          <w:color w:val="auto"/>
          <w:szCs w:val="24"/>
          <w:lang w:eastAsia="zh-CN"/>
        </w:rPr>
        <w:t>、CO、TSP</w:t>
      </w:r>
      <w:r>
        <w:rPr>
          <w:rFonts w:hint="eastAsia" w:ascii="Times New Roman" w:hAnsi="Times New Roman" w:eastAsia="新宋体" w:cs="Times New Roman"/>
          <w:color w:val="auto"/>
          <w:szCs w:val="24"/>
          <w:lang w:eastAsia="zh-CN"/>
        </w:rPr>
        <w:t>、氟化物</w:t>
      </w:r>
      <w:r>
        <w:rPr>
          <w:rFonts w:ascii="Times New Roman" w:hAnsi="Times New Roman" w:eastAsia="新宋体" w:cs="Times New Roman"/>
          <w:color w:val="auto"/>
          <w:szCs w:val="24"/>
          <w:lang w:eastAsia="zh-CN"/>
        </w:rPr>
        <w:t>执行《环境空气质量标准》（GB3095-20</w:t>
      </w:r>
      <w:r>
        <w:rPr>
          <w:rFonts w:hint="eastAsia" w:ascii="Times New Roman" w:hAnsi="Times New Roman" w:eastAsia="新宋体" w:cs="Times New Roman"/>
          <w:color w:val="auto"/>
          <w:szCs w:val="24"/>
          <w:lang w:eastAsia="zh-CN"/>
        </w:rPr>
        <w:t>26</w:t>
      </w:r>
      <w:r>
        <w:rPr>
          <w:rFonts w:ascii="Times New Roman" w:hAnsi="Times New Roman" w:eastAsia="新宋体" w:cs="Times New Roman"/>
          <w:color w:val="auto"/>
          <w:szCs w:val="24"/>
          <w:lang w:eastAsia="zh-CN"/>
        </w:rPr>
        <w:t>）中二级标准；</w:t>
      </w:r>
      <w:r>
        <w:rPr>
          <w:rFonts w:hint="eastAsia" w:ascii="Times New Roman" w:hAnsi="Times New Roman" w:eastAsia="新宋体" w:cs="Times New Roman"/>
          <w:color w:val="auto"/>
          <w:szCs w:val="24"/>
          <w:lang w:eastAsia="zh-CN"/>
        </w:rPr>
        <w:t>氯化氢</w:t>
      </w:r>
      <w:r>
        <w:rPr>
          <w:rFonts w:ascii="Times New Roman" w:hAnsi="Times New Roman" w:eastAsia="新宋体" w:cs="Times New Roman"/>
          <w:color w:val="auto"/>
          <w:szCs w:val="24"/>
          <w:lang w:eastAsia="zh-CN"/>
        </w:rPr>
        <w:t>执行《环境影响评价技术导则</w:t>
      </w:r>
      <w:r>
        <w:rPr>
          <w:rFonts w:hint="eastAsia" w:ascii="Times New Roman" w:hAnsi="Times New Roman" w:eastAsia="新宋体" w:cs="Times New Roman"/>
          <w:color w:val="auto"/>
          <w:szCs w:val="24"/>
          <w:lang w:eastAsia="zh-CN"/>
        </w:rPr>
        <w:t xml:space="preserve"> </w:t>
      </w:r>
      <w:r>
        <w:rPr>
          <w:rFonts w:ascii="Times New Roman" w:hAnsi="Times New Roman" w:eastAsia="新宋体" w:cs="Times New Roman"/>
          <w:color w:val="auto"/>
          <w:szCs w:val="24"/>
          <w:lang w:eastAsia="zh-CN"/>
        </w:rPr>
        <w:t>大气环境》（HJ 2.2-2018）附录D其他污染物空气质量浓度参考限值。</w:t>
      </w:r>
    </w:p>
    <w:p w14:paraId="6C07112C">
      <w:pPr>
        <w:widowControl w:val="0"/>
        <w:spacing w:line="360" w:lineRule="auto"/>
        <w:ind w:firstLine="480" w:firstLineChars="200"/>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具体标准值见下表。</w:t>
      </w:r>
    </w:p>
    <w:p w14:paraId="0CB70F6B">
      <w:pPr>
        <w:widowControl w:val="0"/>
        <w:spacing w:line="360" w:lineRule="auto"/>
        <w:jc w:val="center"/>
        <w:rPr>
          <w:rFonts w:ascii="Times New Roman" w:hAnsi="Times New Roman" w:eastAsia="新宋体" w:cs="Times New Roman"/>
          <w:color w:val="auto"/>
          <w:szCs w:val="24"/>
          <w:lang w:eastAsia="zh-CN"/>
        </w:rPr>
      </w:pPr>
      <w:r>
        <w:rPr>
          <w:rFonts w:ascii="Times New Roman" w:hAnsi="Times New Roman" w:eastAsia="新宋体" w:cs="Times New Roman"/>
          <w:b/>
          <w:bCs/>
          <w:color w:val="auto"/>
          <w:szCs w:val="24"/>
          <w:lang w:eastAsia="zh-CN"/>
        </w:rPr>
        <w:t>表2.3-3 区域大气环境质量标准汇总一览表</w:t>
      </w:r>
    </w:p>
    <w:tbl>
      <w:tblPr>
        <w:tblStyle w:val="35"/>
        <w:tblW w:w="498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53"/>
        <w:gridCol w:w="2206"/>
        <w:gridCol w:w="2155"/>
        <w:gridCol w:w="2165"/>
        <w:gridCol w:w="1838"/>
      </w:tblGrid>
      <w:tr w14:paraId="4744F2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701" w:type="pct"/>
            <w:vMerge w:val="restart"/>
            <w:vAlign w:val="center"/>
          </w:tcPr>
          <w:p w14:paraId="5507CCF2">
            <w:pPr>
              <w:widowControl w:val="0"/>
              <w:adjustRightInd w:val="0"/>
              <w:snapToGrid w:val="0"/>
              <w:jc w:val="center"/>
              <w:rPr>
                <w:rFonts w:ascii="Times New Roman" w:hAnsi="Times New Roman" w:cs="Times New Roman"/>
                <w:b/>
                <w:color w:val="auto"/>
                <w:sz w:val="21"/>
              </w:rPr>
            </w:pPr>
            <w:r>
              <w:rPr>
                <w:rFonts w:ascii="Times New Roman" w:hAnsi="Times New Roman" w:cs="Times New Roman"/>
                <w:b/>
                <w:color w:val="auto"/>
                <w:kern w:val="2"/>
                <w:sz w:val="21"/>
              </w:rPr>
              <w:t>名称</w:t>
            </w:r>
          </w:p>
        </w:tc>
        <w:tc>
          <w:tcPr>
            <w:tcW w:w="1140" w:type="pct"/>
            <w:vMerge w:val="restart"/>
            <w:vAlign w:val="center"/>
          </w:tcPr>
          <w:p w14:paraId="274E4AB0">
            <w:pPr>
              <w:widowControl w:val="0"/>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取值时间</w:t>
            </w:r>
          </w:p>
        </w:tc>
        <w:tc>
          <w:tcPr>
            <w:tcW w:w="2233" w:type="pct"/>
            <w:gridSpan w:val="2"/>
            <w:vAlign w:val="center"/>
          </w:tcPr>
          <w:p w14:paraId="01941590">
            <w:pPr>
              <w:widowControl w:val="0"/>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标准值</w:t>
            </w:r>
          </w:p>
        </w:tc>
        <w:tc>
          <w:tcPr>
            <w:tcW w:w="925" w:type="pct"/>
            <w:vMerge w:val="restart"/>
            <w:vAlign w:val="center"/>
          </w:tcPr>
          <w:p w14:paraId="290BDDB3">
            <w:pPr>
              <w:widowControl w:val="0"/>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标准来源</w:t>
            </w:r>
          </w:p>
        </w:tc>
      </w:tr>
      <w:tr w14:paraId="2B522D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1" w:type="pct"/>
            <w:vMerge w:val="continue"/>
            <w:vAlign w:val="center"/>
          </w:tcPr>
          <w:p w14:paraId="3B0C4929">
            <w:pPr>
              <w:widowControl w:val="0"/>
              <w:adjustRightInd w:val="0"/>
              <w:snapToGrid w:val="0"/>
              <w:jc w:val="center"/>
              <w:rPr>
                <w:rFonts w:ascii="Times New Roman" w:hAnsi="Times New Roman" w:cs="Times New Roman"/>
                <w:b/>
                <w:color w:val="auto"/>
                <w:kern w:val="2"/>
                <w:sz w:val="21"/>
              </w:rPr>
            </w:pPr>
          </w:p>
        </w:tc>
        <w:tc>
          <w:tcPr>
            <w:tcW w:w="1140" w:type="pct"/>
            <w:vMerge w:val="continue"/>
            <w:vAlign w:val="center"/>
          </w:tcPr>
          <w:p w14:paraId="615F75B8">
            <w:pPr>
              <w:widowControl w:val="0"/>
              <w:adjustRightInd w:val="0"/>
              <w:snapToGrid w:val="0"/>
              <w:jc w:val="center"/>
              <w:rPr>
                <w:rFonts w:ascii="Times New Roman" w:hAnsi="Times New Roman" w:cs="Times New Roman"/>
                <w:b/>
                <w:color w:val="auto"/>
                <w:sz w:val="21"/>
              </w:rPr>
            </w:pPr>
          </w:p>
        </w:tc>
        <w:tc>
          <w:tcPr>
            <w:tcW w:w="1114" w:type="pct"/>
            <w:vAlign w:val="center"/>
          </w:tcPr>
          <w:p w14:paraId="26340D28">
            <w:pPr>
              <w:pStyle w:val="143"/>
              <w:rPr>
                <w:rFonts w:cs="Times New Roman"/>
                <w:b/>
                <w:sz w:val="21"/>
                <w:szCs w:val="21"/>
              </w:rPr>
            </w:pPr>
            <w:r>
              <w:rPr>
                <w:rFonts w:hint="eastAsia"/>
                <w:sz w:val="21"/>
                <w:szCs w:val="21"/>
                <w:lang w:eastAsia="zh-CN"/>
              </w:rPr>
              <w:t>2030年12月31日前</w:t>
            </w:r>
          </w:p>
        </w:tc>
        <w:tc>
          <w:tcPr>
            <w:tcW w:w="1119" w:type="pct"/>
            <w:vAlign w:val="center"/>
          </w:tcPr>
          <w:p w14:paraId="35E96DEE">
            <w:pPr>
              <w:pStyle w:val="143"/>
              <w:rPr>
                <w:rFonts w:cs="Times New Roman"/>
                <w:b/>
                <w:sz w:val="21"/>
                <w:szCs w:val="21"/>
              </w:rPr>
            </w:pPr>
            <w:r>
              <w:rPr>
                <w:rFonts w:hint="eastAsia"/>
                <w:sz w:val="21"/>
                <w:szCs w:val="21"/>
                <w:lang w:eastAsia="zh-CN"/>
              </w:rPr>
              <w:t>2031年1月1日起</w:t>
            </w:r>
          </w:p>
        </w:tc>
        <w:tc>
          <w:tcPr>
            <w:tcW w:w="925" w:type="pct"/>
            <w:vMerge w:val="continue"/>
            <w:vAlign w:val="center"/>
          </w:tcPr>
          <w:p w14:paraId="572B185B">
            <w:pPr>
              <w:widowControl w:val="0"/>
              <w:adjustRightInd w:val="0"/>
              <w:snapToGrid w:val="0"/>
              <w:jc w:val="center"/>
              <w:rPr>
                <w:rFonts w:ascii="Times New Roman" w:hAnsi="Times New Roman" w:cs="Times New Roman"/>
                <w:b/>
                <w:color w:val="auto"/>
                <w:sz w:val="21"/>
              </w:rPr>
            </w:pPr>
          </w:p>
        </w:tc>
      </w:tr>
      <w:tr w14:paraId="6FF9C2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1" w:type="pct"/>
            <w:vMerge w:val="restart"/>
            <w:vAlign w:val="center"/>
          </w:tcPr>
          <w:p w14:paraId="0A9C1A8D">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shd w:val="clear" w:color="auto" w:fill="FFFFFF"/>
              </w:rPr>
              <w:t>SO</w:t>
            </w:r>
            <w:r>
              <w:rPr>
                <w:rFonts w:ascii="Times New Roman" w:hAnsi="Times New Roman" w:cs="Times New Roman"/>
                <w:color w:val="auto"/>
                <w:sz w:val="21"/>
                <w:shd w:val="clear" w:color="auto" w:fill="FFFFFF"/>
                <w:vertAlign w:val="subscript"/>
              </w:rPr>
              <w:t>2</w:t>
            </w:r>
          </w:p>
        </w:tc>
        <w:tc>
          <w:tcPr>
            <w:tcW w:w="1140" w:type="pct"/>
            <w:vAlign w:val="center"/>
          </w:tcPr>
          <w:p w14:paraId="21B348B9">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1小时平均</w:t>
            </w:r>
          </w:p>
        </w:tc>
        <w:tc>
          <w:tcPr>
            <w:tcW w:w="1114" w:type="pct"/>
            <w:vAlign w:val="center"/>
          </w:tcPr>
          <w:p w14:paraId="75F9AF34">
            <w:pPr>
              <w:pStyle w:val="143"/>
              <w:rPr>
                <w:rFonts w:cs="Times New Roman"/>
                <w:sz w:val="21"/>
                <w:szCs w:val="21"/>
              </w:rPr>
            </w:pPr>
            <w:r>
              <w:rPr>
                <w:sz w:val="21"/>
                <w:szCs w:val="21"/>
              </w:rPr>
              <w:t>500μg/Nm</w:t>
            </w:r>
            <w:r>
              <w:rPr>
                <w:sz w:val="21"/>
                <w:szCs w:val="21"/>
                <w:vertAlign w:val="superscript"/>
              </w:rPr>
              <w:t>3</w:t>
            </w:r>
          </w:p>
        </w:tc>
        <w:tc>
          <w:tcPr>
            <w:tcW w:w="1119" w:type="pct"/>
            <w:vAlign w:val="center"/>
          </w:tcPr>
          <w:p w14:paraId="06C36178">
            <w:pPr>
              <w:pStyle w:val="143"/>
              <w:rPr>
                <w:rFonts w:cs="Times New Roman"/>
                <w:sz w:val="21"/>
                <w:szCs w:val="21"/>
                <w:lang w:eastAsia="zh-CN"/>
              </w:rPr>
            </w:pPr>
            <w:r>
              <w:rPr>
                <w:rFonts w:hint="eastAsia"/>
                <w:sz w:val="21"/>
                <w:szCs w:val="21"/>
                <w:lang w:eastAsia="zh-CN"/>
              </w:rPr>
              <w:t>150</w:t>
            </w:r>
            <w:r>
              <w:rPr>
                <w:sz w:val="21"/>
                <w:szCs w:val="21"/>
              </w:rPr>
              <w:t>μg/Nm</w:t>
            </w:r>
            <w:r>
              <w:rPr>
                <w:sz w:val="21"/>
                <w:szCs w:val="21"/>
                <w:vertAlign w:val="superscript"/>
              </w:rPr>
              <w:t>3</w:t>
            </w:r>
          </w:p>
        </w:tc>
        <w:tc>
          <w:tcPr>
            <w:tcW w:w="925" w:type="pct"/>
            <w:vMerge w:val="restart"/>
            <w:vAlign w:val="center"/>
          </w:tcPr>
          <w:p w14:paraId="107EEA93">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《环境空气质量标准》（GB3095-20</w:t>
            </w:r>
            <w:r>
              <w:rPr>
                <w:rFonts w:hint="eastAsia" w:ascii="Times New Roman" w:hAnsi="Times New Roman" w:cs="Times New Roman"/>
                <w:color w:val="auto"/>
                <w:sz w:val="21"/>
                <w:lang w:eastAsia="zh-CN"/>
              </w:rPr>
              <w:t>26</w:t>
            </w:r>
            <w:r>
              <w:rPr>
                <w:rFonts w:ascii="Times New Roman" w:hAnsi="Times New Roman" w:cs="Times New Roman"/>
                <w:color w:val="auto"/>
                <w:sz w:val="21"/>
                <w:lang w:eastAsia="zh-CN"/>
              </w:rPr>
              <w:t>）中二级标准</w:t>
            </w:r>
          </w:p>
        </w:tc>
      </w:tr>
      <w:tr w14:paraId="739A6D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1" w:type="pct"/>
            <w:vMerge w:val="continue"/>
            <w:vAlign w:val="center"/>
          </w:tcPr>
          <w:p w14:paraId="5BB2EB31">
            <w:pPr>
              <w:widowControl w:val="0"/>
              <w:adjustRightInd w:val="0"/>
              <w:snapToGrid w:val="0"/>
              <w:jc w:val="center"/>
              <w:rPr>
                <w:rFonts w:ascii="Times New Roman" w:hAnsi="Times New Roman" w:cs="Times New Roman"/>
                <w:color w:val="auto"/>
                <w:sz w:val="21"/>
                <w:lang w:eastAsia="zh-CN"/>
              </w:rPr>
            </w:pPr>
          </w:p>
        </w:tc>
        <w:tc>
          <w:tcPr>
            <w:tcW w:w="1140" w:type="pct"/>
            <w:vAlign w:val="center"/>
          </w:tcPr>
          <w:p w14:paraId="79F5A3F8">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24小时平均</w:t>
            </w:r>
          </w:p>
        </w:tc>
        <w:tc>
          <w:tcPr>
            <w:tcW w:w="1114" w:type="pct"/>
            <w:vAlign w:val="center"/>
          </w:tcPr>
          <w:p w14:paraId="5FA053E2">
            <w:pPr>
              <w:pStyle w:val="143"/>
              <w:rPr>
                <w:rFonts w:cs="Times New Roman"/>
                <w:sz w:val="21"/>
                <w:szCs w:val="21"/>
              </w:rPr>
            </w:pPr>
            <w:r>
              <w:rPr>
                <w:sz w:val="21"/>
                <w:szCs w:val="21"/>
              </w:rPr>
              <w:t>150μg/Nm</w:t>
            </w:r>
            <w:r>
              <w:rPr>
                <w:sz w:val="21"/>
                <w:szCs w:val="21"/>
                <w:vertAlign w:val="superscript"/>
              </w:rPr>
              <w:t>3</w:t>
            </w:r>
          </w:p>
        </w:tc>
        <w:tc>
          <w:tcPr>
            <w:tcW w:w="1119" w:type="pct"/>
            <w:vAlign w:val="center"/>
          </w:tcPr>
          <w:p w14:paraId="24BEE96F">
            <w:pPr>
              <w:pStyle w:val="143"/>
              <w:rPr>
                <w:rFonts w:cs="Times New Roman"/>
                <w:sz w:val="21"/>
                <w:szCs w:val="21"/>
                <w:lang w:eastAsia="zh-CN"/>
              </w:rPr>
            </w:pPr>
            <w:r>
              <w:rPr>
                <w:rFonts w:hint="eastAsia"/>
                <w:sz w:val="21"/>
                <w:szCs w:val="21"/>
                <w:lang w:eastAsia="zh-CN"/>
              </w:rPr>
              <w:t>50</w:t>
            </w:r>
            <w:r>
              <w:rPr>
                <w:sz w:val="21"/>
                <w:szCs w:val="21"/>
              </w:rPr>
              <w:t>μg/Nm</w:t>
            </w:r>
            <w:r>
              <w:rPr>
                <w:sz w:val="21"/>
                <w:szCs w:val="21"/>
                <w:vertAlign w:val="superscript"/>
              </w:rPr>
              <w:t>3</w:t>
            </w:r>
          </w:p>
        </w:tc>
        <w:tc>
          <w:tcPr>
            <w:tcW w:w="925" w:type="pct"/>
            <w:vMerge w:val="continue"/>
            <w:vAlign w:val="center"/>
          </w:tcPr>
          <w:p w14:paraId="4B0E031E">
            <w:pPr>
              <w:widowControl w:val="0"/>
              <w:adjustRightInd w:val="0"/>
              <w:snapToGrid w:val="0"/>
              <w:jc w:val="center"/>
              <w:rPr>
                <w:rFonts w:ascii="Times New Roman" w:hAnsi="Times New Roman" w:cs="Times New Roman"/>
                <w:color w:val="auto"/>
                <w:sz w:val="21"/>
              </w:rPr>
            </w:pPr>
          </w:p>
        </w:tc>
      </w:tr>
      <w:tr w14:paraId="7653D1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1" w:type="pct"/>
            <w:vMerge w:val="continue"/>
            <w:vAlign w:val="center"/>
          </w:tcPr>
          <w:p w14:paraId="0672BAB3">
            <w:pPr>
              <w:widowControl w:val="0"/>
              <w:adjustRightInd w:val="0"/>
              <w:snapToGrid w:val="0"/>
              <w:jc w:val="center"/>
              <w:rPr>
                <w:rFonts w:ascii="Times New Roman" w:hAnsi="Times New Roman" w:cs="Times New Roman"/>
                <w:color w:val="auto"/>
                <w:sz w:val="21"/>
              </w:rPr>
            </w:pPr>
          </w:p>
        </w:tc>
        <w:tc>
          <w:tcPr>
            <w:tcW w:w="1140" w:type="pct"/>
            <w:vAlign w:val="center"/>
          </w:tcPr>
          <w:p w14:paraId="7A71101C">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年平均</w:t>
            </w:r>
          </w:p>
        </w:tc>
        <w:tc>
          <w:tcPr>
            <w:tcW w:w="1114" w:type="pct"/>
            <w:vAlign w:val="center"/>
          </w:tcPr>
          <w:p w14:paraId="5E83ED05">
            <w:pPr>
              <w:pStyle w:val="143"/>
              <w:rPr>
                <w:rFonts w:cs="Times New Roman"/>
                <w:sz w:val="21"/>
                <w:szCs w:val="21"/>
              </w:rPr>
            </w:pPr>
            <w:r>
              <w:rPr>
                <w:rFonts w:hint="eastAsia"/>
                <w:sz w:val="21"/>
                <w:szCs w:val="21"/>
                <w:lang w:eastAsia="zh-CN"/>
              </w:rPr>
              <w:t>60</w:t>
            </w:r>
            <w:r>
              <w:rPr>
                <w:sz w:val="21"/>
                <w:szCs w:val="21"/>
              </w:rPr>
              <w:t>μg/Nm</w:t>
            </w:r>
            <w:r>
              <w:rPr>
                <w:sz w:val="21"/>
                <w:szCs w:val="21"/>
                <w:vertAlign w:val="superscript"/>
              </w:rPr>
              <w:t>3</w:t>
            </w:r>
          </w:p>
        </w:tc>
        <w:tc>
          <w:tcPr>
            <w:tcW w:w="1119" w:type="pct"/>
            <w:vAlign w:val="center"/>
          </w:tcPr>
          <w:p w14:paraId="0628B38F">
            <w:pPr>
              <w:pStyle w:val="143"/>
              <w:rPr>
                <w:rFonts w:cs="Times New Roman"/>
                <w:sz w:val="21"/>
                <w:szCs w:val="21"/>
                <w:lang w:eastAsia="zh-CN"/>
              </w:rPr>
            </w:pPr>
            <w:r>
              <w:rPr>
                <w:rFonts w:hint="eastAsia"/>
                <w:sz w:val="21"/>
                <w:szCs w:val="21"/>
                <w:lang w:eastAsia="zh-CN"/>
              </w:rPr>
              <w:t>20</w:t>
            </w:r>
            <w:r>
              <w:rPr>
                <w:sz w:val="21"/>
                <w:szCs w:val="21"/>
              </w:rPr>
              <w:t>μg/Nm</w:t>
            </w:r>
            <w:r>
              <w:rPr>
                <w:sz w:val="21"/>
                <w:szCs w:val="21"/>
                <w:vertAlign w:val="superscript"/>
              </w:rPr>
              <w:t>3</w:t>
            </w:r>
          </w:p>
        </w:tc>
        <w:tc>
          <w:tcPr>
            <w:tcW w:w="925" w:type="pct"/>
            <w:vMerge w:val="continue"/>
            <w:vAlign w:val="center"/>
          </w:tcPr>
          <w:p w14:paraId="627D2726">
            <w:pPr>
              <w:widowControl w:val="0"/>
              <w:adjustRightInd w:val="0"/>
              <w:snapToGrid w:val="0"/>
              <w:jc w:val="center"/>
              <w:rPr>
                <w:rFonts w:ascii="Times New Roman" w:hAnsi="Times New Roman" w:cs="Times New Roman"/>
                <w:color w:val="auto"/>
                <w:sz w:val="21"/>
              </w:rPr>
            </w:pPr>
          </w:p>
        </w:tc>
      </w:tr>
      <w:tr w14:paraId="3D2685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1" w:type="pct"/>
            <w:vMerge w:val="restart"/>
            <w:vAlign w:val="center"/>
          </w:tcPr>
          <w:p w14:paraId="0897BB51">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shd w:val="clear" w:color="auto" w:fill="FFFFFF"/>
              </w:rPr>
              <w:t>NO</w:t>
            </w:r>
            <w:r>
              <w:rPr>
                <w:rFonts w:ascii="Times New Roman" w:hAnsi="Times New Roman" w:cs="Times New Roman"/>
                <w:color w:val="auto"/>
                <w:sz w:val="21"/>
                <w:shd w:val="clear" w:color="auto" w:fill="FFFFFF"/>
                <w:vertAlign w:val="subscript"/>
              </w:rPr>
              <w:t>2</w:t>
            </w:r>
          </w:p>
        </w:tc>
        <w:tc>
          <w:tcPr>
            <w:tcW w:w="1140" w:type="pct"/>
            <w:vAlign w:val="center"/>
          </w:tcPr>
          <w:p w14:paraId="3FF9DA48">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1小时平均</w:t>
            </w:r>
          </w:p>
        </w:tc>
        <w:tc>
          <w:tcPr>
            <w:tcW w:w="1114" w:type="pct"/>
            <w:vAlign w:val="center"/>
          </w:tcPr>
          <w:p w14:paraId="6F37DD69">
            <w:pPr>
              <w:pStyle w:val="143"/>
              <w:rPr>
                <w:rFonts w:cs="Times New Roman"/>
                <w:sz w:val="21"/>
                <w:szCs w:val="21"/>
              </w:rPr>
            </w:pPr>
            <w:r>
              <w:rPr>
                <w:rFonts w:hint="eastAsia"/>
                <w:sz w:val="21"/>
                <w:szCs w:val="21"/>
                <w:lang w:eastAsia="zh-CN"/>
              </w:rPr>
              <w:t>200</w:t>
            </w:r>
            <w:r>
              <w:rPr>
                <w:sz w:val="21"/>
                <w:szCs w:val="21"/>
              </w:rPr>
              <w:t>μg/Nm</w:t>
            </w:r>
            <w:r>
              <w:rPr>
                <w:sz w:val="21"/>
                <w:szCs w:val="21"/>
                <w:vertAlign w:val="superscript"/>
              </w:rPr>
              <w:t>3</w:t>
            </w:r>
          </w:p>
        </w:tc>
        <w:tc>
          <w:tcPr>
            <w:tcW w:w="1119" w:type="pct"/>
            <w:vAlign w:val="center"/>
          </w:tcPr>
          <w:p w14:paraId="4D35FC81">
            <w:pPr>
              <w:pStyle w:val="143"/>
              <w:rPr>
                <w:rFonts w:cs="Times New Roman"/>
                <w:sz w:val="21"/>
                <w:szCs w:val="21"/>
              </w:rPr>
            </w:pPr>
            <w:r>
              <w:rPr>
                <w:rFonts w:hint="eastAsia"/>
                <w:sz w:val="21"/>
                <w:szCs w:val="21"/>
                <w:lang w:eastAsia="zh-CN"/>
              </w:rPr>
              <w:t>200</w:t>
            </w:r>
            <w:r>
              <w:rPr>
                <w:sz w:val="21"/>
                <w:szCs w:val="21"/>
              </w:rPr>
              <w:t>μg/Nm</w:t>
            </w:r>
            <w:r>
              <w:rPr>
                <w:sz w:val="21"/>
                <w:szCs w:val="21"/>
                <w:vertAlign w:val="superscript"/>
              </w:rPr>
              <w:t>3</w:t>
            </w:r>
          </w:p>
        </w:tc>
        <w:tc>
          <w:tcPr>
            <w:tcW w:w="925" w:type="pct"/>
            <w:vMerge w:val="continue"/>
            <w:vAlign w:val="center"/>
          </w:tcPr>
          <w:p w14:paraId="2B24C857">
            <w:pPr>
              <w:widowControl w:val="0"/>
              <w:adjustRightInd w:val="0"/>
              <w:snapToGrid w:val="0"/>
              <w:jc w:val="center"/>
              <w:rPr>
                <w:rFonts w:ascii="Times New Roman" w:hAnsi="Times New Roman" w:cs="Times New Roman"/>
                <w:color w:val="auto"/>
                <w:sz w:val="21"/>
              </w:rPr>
            </w:pPr>
          </w:p>
        </w:tc>
      </w:tr>
      <w:tr w14:paraId="44B5FA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1" w:type="pct"/>
            <w:vMerge w:val="continue"/>
            <w:vAlign w:val="center"/>
          </w:tcPr>
          <w:p w14:paraId="09DD504E">
            <w:pPr>
              <w:widowControl w:val="0"/>
              <w:adjustRightInd w:val="0"/>
              <w:snapToGrid w:val="0"/>
              <w:jc w:val="center"/>
              <w:rPr>
                <w:rFonts w:ascii="Times New Roman" w:hAnsi="Times New Roman" w:cs="Times New Roman"/>
                <w:color w:val="auto"/>
                <w:sz w:val="21"/>
              </w:rPr>
            </w:pPr>
          </w:p>
        </w:tc>
        <w:tc>
          <w:tcPr>
            <w:tcW w:w="1140" w:type="pct"/>
            <w:vAlign w:val="center"/>
          </w:tcPr>
          <w:p w14:paraId="0A5E8606">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24小时平均</w:t>
            </w:r>
          </w:p>
        </w:tc>
        <w:tc>
          <w:tcPr>
            <w:tcW w:w="1114" w:type="pct"/>
            <w:vAlign w:val="center"/>
          </w:tcPr>
          <w:p w14:paraId="674844CE">
            <w:pPr>
              <w:pStyle w:val="143"/>
              <w:rPr>
                <w:rFonts w:cs="Times New Roman"/>
                <w:sz w:val="21"/>
                <w:szCs w:val="21"/>
              </w:rPr>
            </w:pPr>
            <w:r>
              <w:rPr>
                <w:rFonts w:hint="eastAsia"/>
                <w:sz w:val="21"/>
                <w:szCs w:val="21"/>
                <w:lang w:eastAsia="zh-CN"/>
              </w:rPr>
              <w:t>80</w:t>
            </w:r>
            <w:r>
              <w:rPr>
                <w:sz w:val="21"/>
                <w:szCs w:val="21"/>
              </w:rPr>
              <w:t>μg/Nm</w:t>
            </w:r>
            <w:r>
              <w:rPr>
                <w:sz w:val="21"/>
                <w:szCs w:val="21"/>
                <w:vertAlign w:val="superscript"/>
              </w:rPr>
              <w:t>3</w:t>
            </w:r>
          </w:p>
        </w:tc>
        <w:tc>
          <w:tcPr>
            <w:tcW w:w="1119" w:type="pct"/>
            <w:vAlign w:val="center"/>
          </w:tcPr>
          <w:p w14:paraId="5A848E9E">
            <w:pPr>
              <w:pStyle w:val="143"/>
              <w:rPr>
                <w:rFonts w:cs="Times New Roman"/>
                <w:sz w:val="21"/>
                <w:szCs w:val="21"/>
                <w:lang w:eastAsia="zh-CN"/>
              </w:rPr>
            </w:pPr>
            <w:r>
              <w:rPr>
                <w:rFonts w:hint="eastAsia"/>
                <w:sz w:val="21"/>
                <w:szCs w:val="21"/>
                <w:lang w:eastAsia="zh-CN"/>
              </w:rPr>
              <w:t>50</w:t>
            </w:r>
            <w:r>
              <w:rPr>
                <w:sz w:val="21"/>
                <w:szCs w:val="21"/>
              </w:rPr>
              <w:t>μg/Nm</w:t>
            </w:r>
            <w:r>
              <w:rPr>
                <w:sz w:val="21"/>
                <w:szCs w:val="21"/>
                <w:vertAlign w:val="superscript"/>
              </w:rPr>
              <w:t>3</w:t>
            </w:r>
          </w:p>
        </w:tc>
        <w:tc>
          <w:tcPr>
            <w:tcW w:w="925" w:type="pct"/>
            <w:vMerge w:val="continue"/>
            <w:vAlign w:val="center"/>
          </w:tcPr>
          <w:p w14:paraId="2A601FF0">
            <w:pPr>
              <w:widowControl w:val="0"/>
              <w:adjustRightInd w:val="0"/>
              <w:snapToGrid w:val="0"/>
              <w:jc w:val="center"/>
              <w:rPr>
                <w:rFonts w:ascii="Times New Roman" w:hAnsi="Times New Roman" w:cs="Times New Roman"/>
                <w:color w:val="auto"/>
                <w:sz w:val="21"/>
              </w:rPr>
            </w:pPr>
          </w:p>
        </w:tc>
      </w:tr>
      <w:tr w14:paraId="6E8CB7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1" w:type="pct"/>
            <w:vMerge w:val="continue"/>
            <w:vAlign w:val="center"/>
          </w:tcPr>
          <w:p w14:paraId="144B6ED6">
            <w:pPr>
              <w:widowControl w:val="0"/>
              <w:adjustRightInd w:val="0"/>
              <w:snapToGrid w:val="0"/>
              <w:jc w:val="center"/>
              <w:rPr>
                <w:rFonts w:ascii="Times New Roman" w:hAnsi="Times New Roman" w:cs="Times New Roman"/>
                <w:color w:val="auto"/>
                <w:sz w:val="21"/>
              </w:rPr>
            </w:pPr>
          </w:p>
        </w:tc>
        <w:tc>
          <w:tcPr>
            <w:tcW w:w="1140" w:type="pct"/>
            <w:vAlign w:val="center"/>
          </w:tcPr>
          <w:p w14:paraId="2CE7BD18">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年平均</w:t>
            </w:r>
          </w:p>
        </w:tc>
        <w:tc>
          <w:tcPr>
            <w:tcW w:w="1114" w:type="pct"/>
            <w:vAlign w:val="center"/>
          </w:tcPr>
          <w:p w14:paraId="514E01C8">
            <w:pPr>
              <w:pStyle w:val="143"/>
              <w:rPr>
                <w:rFonts w:cs="Times New Roman"/>
                <w:sz w:val="21"/>
                <w:szCs w:val="21"/>
              </w:rPr>
            </w:pPr>
            <w:r>
              <w:rPr>
                <w:rFonts w:hint="eastAsia"/>
                <w:sz w:val="21"/>
                <w:szCs w:val="21"/>
                <w:lang w:eastAsia="zh-CN"/>
              </w:rPr>
              <w:t>40</w:t>
            </w:r>
            <w:r>
              <w:rPr>
                <w:sz w:val="21"/>
                <w:szCs w:val="21"/>
              </w:rPr>
              <w:t>μg/Nm</w:t>
            </w:r>
            <w:r>
              <w:rPr>
                <w:sz w:val="21"/>
                <w:szCs w:val="21"/>
                <w:vertAlign w:val="superscript"/>
              </w:rPr>
              <w:t>3</w:t>
            </w:r>
          </w:p>
        </w:tc>
        <w:tc>
          <w:tcPr>
            <w:tcW w:w="1119" w:type="pct"/>
            <w:vAlign w:val="center"/>
          </w:tcPr>
          <w:p w14:paraId="38A73B1C">
            <w:pPr>
              <w:pStyle w:val="143"/>
              <w:rPr>
                <w:rFonts w:cs="Times New Roman"/>
                <w:sz w:val="21"/>
                <w:szCs w:val="21"/>
                <w:lang w:eastAsia="zh-CN"/>
              </w:rPr>
            </w:pPr>
            <w:r>
              <w:rPr>
                <w:rFonts w:hint="eastAsia"/>
                <w:sz w:val="21"/>
                <w:szCs w:val="21"/>
                <w:lang w:eastAsia="zh-CN"/>
              </w:rPr>
              <w:t>30</w:t>
            </w:r>
            <w:r>
              <w:rPr>
                <w:sz w:val="21"/>
                <w:szCs w:val="21"/>
              </w:rPr>
              <w:t>μg/Nm</w:t>
            </w:r>
            <w:r>
              <w:rPr>
                <w:sz w:val="21"/>
                <w:szCs w:val="21"/>
                <w:vertAlign w:val="superscript"/>
              </w:rPr>
              <w:t>3</w:t>
            </w:r>
          </w:p>
        </w:tc>
        <w:tc>
          <w:tcPr>
            <w:tcW w:w="925" w:type="pct"/>
            <w:vMerge w:val="continue"/>
            <w:vAlign w:val="center"/>
          </w:tcPr>
          <w:p w14:paraId="029378C4">
            <w:pPr>
              <w:widowControl w:val="0"/>
              <w:adjustRightInd w:val="0"/>
              <w:snapToGrid w:val="0"/>
              <w:jc w:val="center"/>
              <w:rPr>
                <w:rFonts w:ascii="Times New Roman" w:hAnsi="Times New Roman" w:cs="Times New Roman"/>
                <w:color w:val="auto"/>
                <w:sz w:val="21"/>
              </w:rPr>
            </w:pPr>
          </w:p>
        </w:tc>
      </w:tr>
      <w:tr w14:paraId="368E14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1" w:type="pct"/>
            <w:vMerge w:val="restart"/>
            <w:vAlign w:val="center"/>
          </w:tcPr>
          <w:p w14:paraId="276DF083">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CO</w:t>
            </w:r>
          </w:p>
        </w:tc>
        <w:tc>
          <w:tcPr>
            <w:tcW w:w="1140" w:type="pct"/>
            <w:vAlign w:val="center"/>
          </w:tcPr>
          <w:p w14:paraId="3FB0AB94">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1小时平均</w:t>
            </w:r>
          </w:p>
        </w:tc>
        <w:tc>
          <w:tcPr>
            <w:tcW w:w="1114" w:type="pct"/>
            <w:vAlign w:val="center"/>
          </w:tcPr>
          <w:p w14:paraId="77B32C5F">
            <w:pPr>
              <w:widowControl w:val="0"/>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10</w:t>
            </w:r>
            <w:r>
              <w:rPr>
                <w:rFonts w:hint="eastAsia" w:ascii="Times New Roman" w:hAnsi="Times New Roman" w:cs="Times New Roman"/>
                <w:color w:val="auto"/>
                <w:sz w:val="21"/>
                <w:lang w:val="en-US" w:eastAsia="zh-CN"/>
              </w:rPr>
              <w:t>000</w:t>
            </w:r>
            <w:r>
              <w:rPr>
                <w:rFonts w:ascii="Times New Roman" w:hAnsi="Times New Roman" w:cs="Times New Roman"/>
                <w:color w:val="auto"/>
                <w:sz w:val="21"/>
              </w:rPr>
              <w:t>μg/m</w:t>
            </w:r>
            <w:r>
              <w:rPr>
                <w:rFonts w:ascii="Times New Roman" w:hAnsi="Times New Roman" w:cs="Times New Roman"/>
                <w:color w:val="auto"/>
                <w:sz w:val="21"/>
                <w:vertAlign w:val="superscript"/>
              </w:rPr>
              <w:t>3</w:t>
            </w:r>
          </w:p>
        </w:tc>
        <w:tc>
          <w:tcPr>
            <w:tcW w:w="1119" w:type="pct"/>
            <w:vAlign w:val="center"/>
          </w:tcPr>
          <w:p w14:paraId="2FBA3006">
            <w:pPr>
              <w:widowControl w:val="0"/>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10</w:t>
            </w:r>
            <w:r>
              <w:rPr>
                <w:rFonts w:hint="eastAsia" w:ascii="Times New Roman" w:hAnsi="Times New Roman" w:cs="Times New Roman"/>
                <w:color w:val="auto"/>
                <w:sz w:val="21"/>
                <w:lang w:val="en-US" w:eastAsia="zh-CN"/>
              </w:rPr>
              <w:t>000</w:t>
            </w:r>
            <w:r>
              <w:rPr>
                <w:rFonts w:ascii="Times New Roman" w:hAnsi="Times New Roman" w:cs="Times New Roman"/>
                <w:color w:val="auto"/>
                <w:sz w:val="21"/>
              </w:rPr>
              <w:t>μg/m</w:t>
            </w:r>
            <w:r>
              <w:rPr>
                <w:rFonts w:ascii="Times New Roman" w:hAnsi="Times New Roman" w:cs="Times New Roman"/>
                <w:color w:val="auto"/>
                <w:sz w:val="21"/>
                <w:vertAlign w:val="superscript"/>
              </w:rPr>
              <w:t>3</w:t>
            </w:r>
          </w:p>
        </w:tc>
        <w:tc>
          <w:tcPr>
            <w:tcW w:w="925" w:type="pct"/>
            <w:vMerge w:val="continue"/>
            <w:vAlign w:val="center"/>
          </w:tcPr>
          <w:p w14:paraId="14D1253B">
            <w:pPr>
              <w:widowControl w:val="0"/>
              <w:adjustRightInd w:val="0"/>
              <w:snapToGrid w:val="0"/>
              <w:jc w:val="center"/>
              <w:rPr>
                <w:rFonts w:ascii="Times New Roman" w:hAnsi="Times New Roman" w:cs="Times New Roman"/>
                <w:color w:val="auto"/>
                <w:sz w:val="21"/>
              </w:rPr>
            </w:pPr>
          </w:p>
        </w:tc>
      </w:tr>
      <w:tr w14:paraId="339963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1" w:type="pct"/>
            <w:vMerge w:val="continue"/>
            <w:vAlign w:val="center"/>
          </w:tcPr>
          <w:p w14:paraId="03A6618C">
            <w:pPr>
              <w:widowControl w:val="0"/>
              <w:adjustRightInd w:val="0"/>
              <w:snapToGrid w:val="0"/>
              <w:jc w:val="center"/>
              <w:rPr>
                <w:rFonts w:ascii="Times New Roman" w:hAnsi="Times New Roman" w:cs="Times New Roman"/>
                <w:color w:val="auto"/>
                <w:sz w:val="21"/>
              </w:rPr>
            </w:pPr>
          </w:p>
        </w:tc>
        <w:tc>
          <w:tcPr>
            <w:tcW w:w="1140" w:type="pct"/>
            <w:vAlign w:val="center"/>
          </w:tcPr>
          <w:p w14:paraId="20F8F680">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24小时平均</w:t>
            </w:r>
          </w:p>
        </w:tc>
        <w:tc>
          <w:tcPr>
            <w:tcW w:w="1114" w:type="pct"/>
            <w:vAlign w:val="center"/>
          </w:tcPr>
          <w:p w14:paraId="0A1560A6">
            <w:pPr>
              <w:widowControl w:val="0"/>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4</w:t>
            </w:r>
            <w:r>
              <w:rPr>
                <w:rFonts w:hint="eastAsia" w:ascii="Times New Roman" w:hAnsi="Times New Roman" w:cs="Times New Roman"/>
                <w:color w:val="auto"/>
                <w:sz w:val="21"/>
                <w:lang w:val="en-US" w:eastAsia="zh-CN"/>
              </w:rPr>
              <w:t>000</w:t>
            </w:r>
            <w:r>
              <w:rPr>
                <w:rFonts w:ascii="Times New Roman" w:hAnsi="Times New Roman" w:cs="Times New Roman"/>
                <w:color w:val="auto"/>
                <w:sz w:val="21"/>
              </w:rPr>
              <w:t>μg/m</w:t>
            </w:r>
            <w:r>
              <w:rPr>
                <w:rFonts w:ascii="Times New Roman" w:hAnsi="Times New Roman" w:cs="Times New Roman"/>
                <w:color w:val="auto"/>
                <w:sz w:val="21"/>
                <w:vertAlign w:val="superscript"/>
              </w:rPr>
              <w:t>3</w:t>
            </w:r>
          </w:p>
        </w:tc>
        <w:tc>
          <w:tcPr>
            <w:tcW w:w="1119" w:type="pct"/>
            <w:vAlign w:val="center"/>
          </w:tcPr>
          <w:p w14:paraId="7129731A">
            <w:pPr>
              <w:widowControl w:val="0"/>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4</w:t>
            </w:r>
            <w:r>
              <w:rPr>
                <w:rFonts w:hint="eastAsia" w:ascii="Times New Roman" w:hAnsi="Times New Roman" w:cs="Times New Roman"/>
                <w:color w:val="auto"/>
                <w:sz w:val="21"/>
                <w:lang w:val="en-US" w:eastAsia="zh-CN"/>
              </w:rPr>
              <w:t>000</w:t>
            </w:r>
            <w:r>
              <w:rPr>
                <w:rFonts w:ascii="Times New Roman" w:hAnsi="Times New Roman" w:cs="Times New Roman"/>
                <w:color w:val="auto"/>
                <w:sz w:val="21"/>
              </w:rPr>
              <w:t>μg/m</w:t>
            </w:r>
            <w:r>
              <w:rPr>
                <w:rFonts w:ascii="Times New Roman" w:hAnsi="Times New Roman" w:cs="Times New Roman"/>
                <w:color w:val="auto"/>
                <w:sz w:val="21"/>
                <w:vertAlign w:val="superscript"/>
              </w:rPr>
              <w:t>3</w:t>
            </w:r>
          </w:p>
        </w:tc>
        <w:tc>
          <w:tcPr>
            <w:tcW w:w="925" w:type="pct"/>
            <w:vMerge w:val="continue"/>
            <w:vAlign w:val="center"/>
          </w:tcPr>
          <w:p w14:paraId="5E31B27E">
            <w:pPr>
              <w:widowControl w:val="0"/>
              <w:adjustRightInd w:val="0"/>
              <w:snapToGrid w:val="0"/>
              <w:jc w:val="center"/>
              <w:rPr>
                <w:rFonts w:ascii="Times New Roman" w:hAnsi="Times New Roman" w:cs="Times New Roman"/>
                <w:color w:val="auto"/>
                <w:sz w:val="21"/>
              </w:rPr>
            </w:pPr>
          </w:p>
        </w:tc>
      </w:tr>
      <w:tr w14:paraId="2D4D5E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1" w:type="pct"/>
            <w:vMerge w:val="restart"/>
            <w:vAlign w:val="center"/>
          </w:tcPr>
          <w:p w14:paraId="1E9CCC8E">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O</w:t>
            </w:r>
            <w:r>
              <w:rPr>
                <w:rFonts w:ascii="Times New Roman" w:hAnsi="Times New Roman" w:cs="Times New Roman"/>
                <w:color w:val="auto"/>
                <w:sz w:val="21"/>
                <w:vertAlign w:val="subscript"/>
              </w:rPr>
              <w:t>3</w:t>
            </w:r>
          </w:p>
        </w:tc>
        <w:tc>
          <w:tcPr>
            <w:tcW w:w="1140" w:type="pct"/>
            <w:vAlign w:val="center"/>
          </w:tcPr>
          <w:p w14:paraId="0060248E">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1小时平均</w:t>
            </w:r>
          </w:p>
        </w:tc>
        <w:tc>
          <w:tcPr>
            <w:tcW w:w="1114" w:type="pct"/>
            <w:vAlign w:val="center"/>
          </w:tcPr>
          <w:p w14:paraId="0366FB36">
            <w:pPr>
              <w:widowControl w:val="0"/>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200</w:t>
            </w:r>
            <w:r>
              <w:rPr>
                <w:rFonts w:ascii="Times New Roman" w:hAnsi="Times New Roman" w:cs="Times New Roman"/>
                <w:color w:val="auto"/>
                <w:sz w:val="21"/>
              </w:rPr>
              <w:t>μg/m</w:t>
            </w:r>
            <w:r>
              <w:rPr>
                <w:rFonts w:ascii="Times New Roman" w:hAnsi="Times New Roman" w:cs="Times New Roman"/>
                <w:color w:val="auto"/>
                <w:sz w:val="21"/>
                <w:vertAlign w:val="superscript"/>
              </w:rPr>
              <w:t>3</w:t>
            </w:r>
          </w:p>
        </w:tc>
        <w:tc>
          <w:tcPr>
            <w:tcW w:w="1119" w:type="pct"/>
            <w:vAlign w:val="center"/>
          </w:tcPr>
          <w:p w14:paraId="20BFECC2">
            <w:pPr>
              <w:widowControl w:val="0"/>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200</w:t>
            </w:r>
            <w:r>
              <w:rPr>
                <w:rFonts w:ascii="Times New Roman" w:hAnsi="Times New Roman" w:cs="Times New Roman"/>
                <w:color w:val="auto"/>
                <w:sz w:val="21"/>
              </w:rPr>
              <w:t>μg/m</w:t>
            </w:r>
            <w:r>
              <w:rPr>
                <w:rFonts w:ascii="Times New Roman" w:hAnsi="Times New Roman" w:cs="Times New Roman"/>
                <w:color w:val="auto"/>
                <w:sz w:val="21"/>
                <w:vertAlign w:val="superscript"/>
              </w:rPr>
              <w:t>3</w:t>
            </w:r>
          </w:p>
        </w:tc>
        <w:tc>
          <w:tcPr>
            <w:tcW w:w="925" w:type="pct"/>
            <w:vMerge w:val="continue"/>
            <w:vAlign w:val="center"/>
          </w:tcPr>
          <w:p w14:paraId="7DEAA1C8">
            <w:pPr>
              <w:widowControl w:val="0"/>
              <w:adjustRightInd w:val="0"/>
              <w:snapToGrid w:val="0"/>
              <w:jc w:val="center"/>
              <w:rPr>
                <w:rFonts w:ascii="Times New Roman" w:hAnsi="Times New Roman" w:cs="Times New Roman"/>
                <w:color w:val="auto"/>
                <w:sz w:val="21"/>
              </w:rPr>
            </w:pPr>
          </w:p>
        </w:tc>
      </w:tr>
      <w:tr w14:paraId="7DBC1B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1" w:type="pct"/>
            <w:vMerge w:val="continue"/>
            <w:vAlign w:val="center"/>
          </w:tcPr>
          <w:p w14:paraId="0C2A232E">
            <w:pPr>
              <w:widowControl w:val="0"/>
              <w:adjustRightInd w:val="0"/>
              <w:snapToGrid w:val="0"/>
              <w:jc w:val="center"/>
              <w:rPr>
                <w:rFonts w:ascii="Times New Roman" w:hAnsi="Times New Roman" w:cs="Times New Roman"/>
                <w:color w:val="auto"/>
                <w:sz w:val="21"/>
              </w:rPr>
            </w:pPr>
          </w:p>
        </w:tc>
        <w:tc>
          <w:tcPr>
            <w:tcW w:w="1140" w:type="pct"/>
            <w:vAlign w:val="center"/>
          </w:tcPr>
          <w:p w14:paraId="479445D2">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日最大8小时平均</w:t>
            </w:r>
          </w:p>
        </w:tc>
        <w:tc>
          <w:tcPr>
            <w:tcW w:w="1114" w:type="pct"/>
            <w:vAlign w:val="center"/>
          </w:tcPr>
          <w:p w14:paraId="1E476647">
            <w:pPr>
              <w:widowControl w:val="0"/>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160</w:t>
            </w:r>
            <w:r>
              <w:rPr>
                <w:rFonts w:ascii="Times New Roman" w:hAnsi="Times New Roman" w:cs="Times New Roman"/>
                <w:color w:val="auto"/>
                <w:sz w:val="21"/>
              </w:rPr>
              <w:t>μg/m</w:t>
            </w:r>
            <w:r>
              <w:rPr>
                <w:rFonts w:ascii="Times New Roman" w:hAnsi="Times New Roman" w:cs="Times New Roman"/>
                <w:color w:val="auto"/>
                <w:sz w:val="21"/>
                <w:vertAlign w:val="superscript"/>
              </w:rPr>
              <w:t>3</w:t>
            </w:r>
          </w:p>
        </w:tc>
        <w:tc>
          <w:tcPr>
            <w:tcW w:w="1119" w:type="pct"/>
            <w:vAlign w:val="center"/>
          </w:tcPr>
          <w:p w14:paraId="342B753B">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160</w:t>
            </w:r>
            <w:r>
              <w:rPr>
                <w:rFonts w:ascii="Times New Roman" w:hAnsi="Times New Roman" w:cs="Times New Roman"/>
                <w:color w:val="auto"/>
                <w:sz w:val="21"/>
              </w:rPr>
              <w:t>μg/m</w:t>
            </w:r>
            <w:r>
              <w:rPr>
                <w:rFonts w:ascii="Times New Roman" w:hAnsi="Times New Roman" w:cs="Times New Roman"/>
                <w:color w:val="auto"/>
                <w:sz w:val="21"/>
                <w:vertAlign w:val="superscript"/>
              </w:rPr>
              <w:t>3</w:t>
            </w:r>
          </w:p>
        </w:tc>
        <w:tc>
          <w:tcPr>
            <w:tcW w:w="925" w:type="pct"/>
            <w:vMerge w:val="continue"/>
            <w:vAlign w:val="center"/>
          </w:tcPr>
          <w:p w14:paraId="023D1E32">
            <w:pPr>
              <w:widowControl w:val="0"/>
              <w:adjustRightInd w:val="0"/>
              <w:snapToGrid w:val="0"/>
              <w:jc w:val="center"/>
              <w:rPr>
                <w:rFonts w:ascii="Times New Roman" w:hAnsi="Times New Roman" w:cs="Times New Roman"/>
                <w:color w:val="auto"/>
                <w:sz w:val="21"/>
              </w:rPr>
            </w:pPr>
          </w:p>
        </w:tc>
      </w:tr>
      <w:tr w14:paraId="7F7EF9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1" w:type="pct"/>
            <w:vMerge w:val="restart"/>
            <w:vAlign w:val="center"/>
          </w:tcPr>
          <w:p w14:paraId="3481D924">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PM</w:t>
            </w:r>
            <w:r>
              <w:rPr>
                <w:rFonts w:ascii="Times New Roman" w:hAnsi="Times New Roman" w:cs="Times New Roman"/>
                <w:color w:val="auto"/>
                <w:sz w:val="21"/>
                <w:vertAlign w:val="subscript"/>
              </w:rPr>
              <w:t>10</w:t>
            </w:r>
          </w:p>
        </w:tc>
        <w:tc>
          <w:tcPr>
            <w:tcW w:w="1140" w:type="pct"/>
            <w:vAlign w:val="center"/>
          </w:tcPr>
          <w:p w14:paraId="747407A0">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24小时平均</w:t>
            </w:r>
          </w:p>
        </w:tc>
        <w:tc>
          <w:tcPr>
            <w:tcW w:w="1114" w:type="pct"/>
            <w:vAlign w:val="center"/>
          </w:tcPr>
          <w:p w14:paraId="22558541">
            <w:pPr>
              <w:widowControl w:val="0"/>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120</w:t>
            </w:r>
            <w:r>
              <w:rPr>
                <w:rFonts w:ascii="Times New Roman" w:hAnsi="Times New Roman" w:cs="Times New Roman"/>
                <w:color w:val="auto"/>
                <w:sz w:val="21"/>
              </w:rPr>
              <w:t>μg/m</w:t>
            </w:r>
            <w:r>
              <w:rPr>
                <w:rFonts w:ascii="Times New Roman" w:hAnsi="Times New Roman" w:cs="Times New Roman"/>
                <w:color w:val="auto"/>
                <w:sz w:val="21"/>
                <w:vertAlign w:val="superscript"/>
              </w:rPr>
              <w:t>3</w:t>
            </w:r>
          </w:p>
        </w:tc>
        <w:tc>
          <w:tcPr>
            <w:tcW w:w="1119" w:type="pct"/>
            <w:vAlign w:val="center"/>
          </w:tcPr>
          <w:p w14:paraId="45E5D977">
            <w:pPr>
              <w:widowControl w:val="0"/>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100</w:t>
            </w:r>
            <w:r>
              <w:rPr>
                <w:rFonts w:ascii="Times New Roman" w:hAnsi="Times New Roman" w:cs="Times New Roman"/>
                <w:color w:val="auto"/>
                <w:sz w:val="21"/>
              </w:rPr>
              <w:t>μg/m</w:t>
            </w:r>
            <w:r>
              <w:rPr>
                <w:rFonts w:ascii="Times New Roman" w:hAnsi="Times New Roman" w:cs="Times New Roman"/>
                <w:color w:val="auto"/>
                <w:sz w:val="21"/>
                <w:vertAlign w:val="superscript"/>
              </w:rPr>
              <w:t>3</w:t>
            </w:r>
          </w:p>
        </w:tc>
        <w:tc>
          <w:tcPr>
            <w:tcW w:w="925" w:type="pct"/>
            <w:vMerge w:val="continue"/>
            <w:vAlign w:val="center"/>
          </w:tcPr>
          <w:p w14:paraId="1DD495AE">
            <w:pPr>
              <w:widowControl w:val="0"/>
              <w:adjustRightInd w:val="0"/>
              <w:snapToGrid w:val="0"/>
              <w:jc w:val="center"/>
              <w:rPr>
                <w:rFonts w:ascii="Times New Roman" w:hAnsi="Times New Roman" w:cs="Times New Roman"/>
                <w:color w:val="auto"/>
                <w:sz w:val="21"/>
              </w:rPr>
            </w:pPr>
          </w:p>
        </w:tc>
      </w:tr>
      <w:tr w14:paraId="33844D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1" w:type="pct"/>
            <w:vMerge w:val="continue"/>
            <w:vAlign w:val="center"/>
          </w:tcPr>
          <w:p w14:paraId="4542BD50">
            <w:pPr>
              <w:widowControl w:val="0"/>
              <w:adjustRightInd w:val="0"/>
              <w:snapToGrid w:val="0"/>
              <w:jc w:val="center"/>
              <w:rPr>
                <w:rFonts w:ascii="Times New Roman" w:hAnsi="Times New Roman" w:cs="Times New Roman"/>
                <w:color w:val="auto"/>
                <w:sz w:val="21"/>
              </w:rPr>
            </w:pPr>
          </w:p>
        </w:tc>
        <w:tc>
          <w:tcPr>
            <w:tcW w:w="1140" w:type="pct"/>
            <w:vAlign w:val="center"/>
          </w:tcPr>
          <w:p w14:paraId="2C657F9A">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年平均</w:t>
            </w:r>
          </w:p>
        </w:tc>
        <w:tc>
          <w:tcPr>
            <w:tcW w:w="1114" w:type="pct"/>
            <w:vAlign w:val="center"/>
          </w:tcPr>
          <w:p w14:paraId="4CDD131B">
            <w:pPr>
              <w:widowControl w:val="0"/>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60</w:t>
            </w:r>
            <w:r>
              <w:rPr>
                <w:rFonts w:ascii="Times New Roman" w:hAnsi="Times New Roman" w:cs="Times New Roman"/>
                <w:color w:val="auto"/>
                <w:sz w:val="21"/>
              </w:rPr>
              <w:t>μg/m</w:t>
            </w:r>
            <w:r>
              <w:rPr>
                <w:rFonts w:ascii="Times New Roman" w:hAnsi="Times New Roman" w:cs="Times New Roman"/>
                <w:color w:val="auto"/>
                <w:sz w:val="21"/>
                <w:vertAlign w:val="superscript"/>
              </w:rPr>
              <w:t>3</w:t>
            </w:r>
          </w:p>
        </w:tc>
        <w:tc>
          <w:tcPr>
            <w:tcW w:w="1119" w:type="pct"/>
            <w:vAlign w:val="center"/>
          </w:tcPr>
          <w:p w14:paraId="5832DCAE">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50</w:t>
            </w:r>
            <w:r>
              <w:rPr>
                <w:rFonts w:ascii="Times New Roman" w:hAnsi="Times New Roman" w:cs="Times New Roman"/>
                <w:color w:val="auto"/>
                <w:sz w:val="21"/>
              </w:rPr>
              <w:t>μg/m</w:t>
            </w:r>
            <w:r>
              <w:rPr>
                <w:rFonts w:ascii="Times New Roman" w:hAnsi="Times New Roman" w:cs="Times New Roman"/>
                <w:color w:val="auto"/>
                <w:sz w:val="21"/>
                <w:vertAlign w:val="superscript"/>
              </w:rPr>
              <w:t>3</w:t>
            </w:r>
          </w:p>
        </w:tc>
        <w:tc>
          <w:tcPr>
            <w:tcW w:w="925" w:type="pct"/>
            <w:vMerge w:val="continue"/>
            <w:vAlign w:val="center"/>
          </w:tcPr>
          <w:p w14:paraId="3248F24D">
            <w:pPr>
              <w:widowControl w:val="0"/>
              <w:adjustRightInd w:val="0"/>
              <w:snapToGrid w:val="0"/>
              <w:jc w:val="center"/>
              <w:rPr>
                <w:rFonts w:ascii="Times New Roman" w:hAnsi="Times New Roman" w:cs="Times New Roman"/>
                <w:color w:val="auto"/>
                <w:sz w:val="21"/>
              </w:rPr>
            </w:pPr>
          </w:p>
        </w:tc>
      </w:tr>
      <w:tr w14:paraId="6353F1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1" w:type="pct"/>
            <w:vMerge w:val="restart"/>
            <w:vAlign w:val="center"/>
          </w:tcPr>
          <w:p w14:paraId="75A9F63B">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PM</w:t>
            </w:r>
            <w:r>
              <w:rPr>
                <w:rFonts w:ascii="Times New Roman" w:hAnsi="Times New Roman" w:cs="Times New Roman"/>
                <w:color w:val="auto"/>
                <w:sz w:val="21"/>
                <w:vertAlign w:val="subscript"/>
              </w:rPr>
              <w:t>2.5</w:t>
            </w:r>
          </w:p>
        </w:tc>
        <w:tc>
          <w:tcPr>
            <w:tcW w:w="1140" w:type="pct"/>
            <w:vAlign w:val="center"/>
          </w:tcPr>
          <w:p w14:paraId="14583530">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24小时平均</w:t>
            </w:r>
          </w:p>
        </w:tc>
        <w:tc>
          <w:tcPr>
            <w:tcW w:w="1114" w:type="pct"/>
            <w:vAlign w:val="center"/>
          </w:tcPr>
          <w:p w14:paraId="16FD40BE">
            <w:pPr>
              <w:widowControl w:val="0"/>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60</w:t>
            </w:r>
            <w:r>
              <w:rPr>
                <w:rFonts w:ascii="Times New Roman" w:hAnsi="Times New Roman" w:cs="Times New Roman"/>
                <w:color w:val="auto"/>
                <w:sz w:val="21"/>
              </w:rPr>
              <w:t>μg/m</w:t>
            </w:r>
            <w:r>
              <w:rPr>
                <w:rFonts w:ascii="Times New Roman" w:hAnsi="Times New Roman" w:cs="Times New Roman"/>
                <w:color w:val="auto"/>
                <w:sz w:val="21"/>
                <w:vertAlign w:val="superscript"/>
              </w:rPr>
              <w:t>3</w:t>
            </w:r>
          </w:p>
        </w:tc>
        <w:tc>
          <w:tcPr>
            <w:tcW w:w="1119" w:type="pct"/>
            <w:vAlign w:val="center"/>
          </w:tcPr>
          <w:p w14:paraId="0CA96562">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50</w:t>
            </w:r>
            <w:r>
              <w:rPr>
                <w:rFonts w:ascii="Times New Roman" w:hAnsi="Times New Roman" w:cs="Times New Roman"/>
                <w:color w:val="auto"/>
                <w:sz w:val="21"/>
              </w:rPr>
              <w:t>μg/m</w:t>
            </w:r>
            <w:r>
              <w:rPr>
                <w:rFonts w:ascii="Times New Roman" w:hAnsi="Times New Roman" w:cs="Times New Roman"/>
                <w:color w:val="auto"/>
                <w:sz w:val="21"/>
                <w:vertAlign w:val="superscript"/>
              </w:rPr>
              <w:t>3</w:t>
            </w:r>
          </w:p>
        </w:tc>
        <w:tc>
          <w:tcPr>
            <w:tcW w:w="925" w:type="pct"/>
            <w:vMerge w:val="continue"/>
            <w:vAlign w:val="center"/>
          </w:tcPr>
          <w:p w14:paraId="59A32875">
            <w:pPr>
              <w:widowControl w:val="0"/>
              <w:adjustRightInd w:val="0"/>
              <w:snapToGrid w:val="0"/>
              <w:jc w:val="center"/>
              <w:rPr>
                <w:rFonts w:ascii="Times New Roman" w:hAnsi="Times New Roman" w:cs="Times New Roman"/>
                <w:color w:val="auto"/>
                <w:sz w:val="21"/>
              </w:rPr>
            </w:pPr>
          </w:p>
        </w:tc>
      </w:tr>
      <w:tr w14:paraId="747124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1" w:type="pct"/>
            <w:vMerge w:val="continue"/>
            <w:vAlign w:val="center"/>
          </w:tcPr>
          <w:p w14:paraId="266E96D7">
            <w:pPr>
              <w:widowControl w:val="0"/>
              <w:adjustRightInd w:val="0"/>
              <w:snapToGrid w:val="0"/>
              <w:jc w:val="center"/>
              <w:rPr>
                <w:rFonts w:ascii="Times New Roman" w:hAnsi="Times New Roman" w:cs="Times New Roman"/>
                <w:color w:val="auto"/>
                <w:sz w:val="21"/>
              </w:rPr>
            </w:pPr>
          </w:p>
        </w:tc>
        <w:tc>
          <w:tcPr>
            <w:tcW w:w="1140" w:type="pct"/>
            <w:vAlign w:val="center"/>
          </w:tcPr>
          <w:p w14:paraId="7B9D7724">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年平均</w:t>
            </w:r>
          </w:p>
        </w:tc>
        <w:tc>
          <w:tcPr>
            <w:tcW w:w="1114" w:type="pct"/>
            <w:vAlign w:val="center"/>
          </w:tcPr>
          <w:p w14:paraId="62F09364">
            <w:pPr>
              <w:widowControl w:val="0"/>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30</w:t>
            </w:r>
            <w:r>
              <w:rPr>
                <w:rFonts w:ascii="Times New Roman" w:hAnsi="Times New Roman" w:cs="Times New Roman"/>
                <w:color w:val="auto"/>
                <w:sz w:val="21"/>
              </w:rPr>
              <w:t>μg/m</w:t>
            </w:r>
            <w:r>
              <w:rPr>
                <w:rFonts w:ascii="Times New Roman" w:hAnsi="Times New Roman" w:cs="Times New Roman"/>
                <w:color w:val="auto"/>
                <w:sz w:val="21"/>
                <w:vertAlign w:val="superscript"/>
              </w:rPr>
              <w:t>3</w:t>
            </w:r>
          </w:p>
        </w:tc>
        <w:tc>
          <w:tcPr>
            <w:tcW w:w="1119" w:type="pct"/>
            <w:vAlign w:val="center"/>
          </w:tcPr>
          <w:p w14:paraId="42535226">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25</w:t>
            </w:r>
            <w:r>
              <w:rPr>
                <w:rFonts w:ascii="Times New Roman" w:hAnsi="Times New Roman" w:cs="Times New Roman"/>
                <w:color w:val="auto"/>
                <w:sz w:val="21"/>
              </w:rPr>
              <w:t>μg/m</w:t>
            </w:r>
            <w:r>
              <w:rPr>
                <w:rFonts w:ascii="Times New Roman" w:hAnsi="Times New Roman" w:cs="Times New Roman"/>
                <w:color w:val="auto"/>
                <w:sz w:val="21"/>
                <w:vertAlign w:val="superscript"/>
              </w:rPr>
              <w:t>3</w:t>
            </w:r>
          </w:p>
        </w:tc>
        <w:tc>
          <w:tcPr>
            <w:tcW w:w="925" w:type="pct"/>
            <w:vMerge w:val="continue"/>
            <w:vAlign w:val="center"/>
          </w:tcPr>
          <w:p w14:paraId="11834816">
            <w:pPr>
              <w:widowControl w:val="0"/>
              <w:adjustRightInd w:val="0"/>
              <w:snapToGrid w:val="0"/>
              <w:jc w:val="center"/>
              <w:rPr>
                <w:rFonts w:ascii="Times New Roman" w:hAnsi="Times New Roman" w:cs="Times New Roman"/>
                <w:color w:val="auto"/>
                <w:sz w:val="21"/>
              </w:rPr>
            </w:pPr>
          </w:p>
        </w:tc>
      </w:tr>
      <w:tr w14:paraId="0C4999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1" w:type="pct"/>
            <w:vMerge w:val="restart"/>
            <w:vAlign w:val="center"/>
          </w:tcPr>
          <w:p w14:paraId="337FBE37">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TSP</w:t>
            </w:r>
          </w:p>
        </w:tc>
        <w:tc>
          <w:tcPr>
            <w:tcW w:w="1140" w:type="pct"/>
            <w:vAlign w:val="center"/>
          </w:tcPr>
          <w:p w14:paraId="46B11B1F">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24小时平均</w:t>
            </w:r>
          </w:p>
        </w:tc>
        <w:tc>
          <w:tcPr>
            <w:tcW w:w="2233" w:type="pct"/>
            <w:gridSpan w:val="2"/>
            <w:vAlign w:val="center"/>
          </w:tcPr>
          <w:p w14:paraId="136A579F">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300</w:t>
            </w:r>
            <w:r>
              <w:rPr>
                <w:rFonts w:ascii="Times New Roman" w:hAnsi="Times New Roman" w:cs="Times New Roman"/>
                <w:color w:val="auto"/>
                <w:sz w:val="21"/>
              </w:rPr>
              <w:t>μg/m</w:t>
            </w:r>
            <w:r>
              <w:rPr>
                <w:rFonts w:ascii="Times New Roman" w:hAnsi="Times New Roman" w:cs="Times New Roman"/>
                <w:color w:val="auto"/>
                <w:sz w:val="21"/>
                <w:vertAlign w:val="superscript"/>
              </w:rPr>
              <w:t>3</w:t>
            </w:r>
          </w:p>
        </w:tc>
        <w:tc>
          <w:tcPr>
            <w:tcW w:w="925" w:type="pct"/>
            <w:vMerge w:val="continue"/>
            <w:vAlign w:val="center"/>
          </w:tcPr>
          <w:p w14:paraId="71B01CB1">
            <w:pPr>
              <w:widowControl w:val="0"/>
              <w:adjustRightInd w:val="0"/>
              <w:snapToGrid w:val="0"/>
              <w:jc w:val="center"/>
              <w:rPr>
                <w:rFonts w:ascii="Times New Roman" w:hAnsi="Times New Roman" w:cs="Times New Roman"/>
                <w:color w:val="auto"/>
                <w:sz w:val="21"/>
              </w:rPr>
            </w:pPr>
          </w:p>
        </w:tc>
      </w:tr>
      <w:tr w14:paraId="101638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1" w:type="pct"/>
            <w:vMerge w:val="continue"/>
            <w:vAlign w:val="center"/>
          </w:tcPr>
          <w:p w14:paraId="7E8EDBDB">
            <w:pPr>
              <w:widowControl w:val="0"/>
              <w:adjustRightInd w:val="0"/>
              <w:snapToGrid w:val="0"/>
              <w:jc w:val="center"/>
              <w:rPr>
                <w:rFonts w:ascii="Times New Roman" w:hAnsi="Times New Roman" w:cs="Times New Roman"/>
                <w:color w:val="auto"/>
                <w:sz w:val="21"/>
              </w:rPr>
            </w:pPr>
          </w:p>
        </w:tc>
        <w:tc>
          <w:tcPr>
            <w:tcW w:w="1140" w:type="pct"/>
            <w:vAlign w:val="center"/>
          </w:tcPr>
          <w:p w14:paraId="49955FC9">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年平均</w:t>
            </w:r>
          </w:p>
        </w:tc>
        <w:tc>
          <w:tcPr>
            <w:tcW w:w="2233" w:type="pct"/>
            <w:gridSpan w:val="2"/>
            <w:vAlign w:val="center"/>
          </w:tcPr>
          <w:p w14:paraId="02888C59">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200</w:t>
            </w:r>
            <w:r>
              <w:rPr>
                <w:rFonts w:ascii="Times New Roman" w:hAnsi="Times New Roman" w:cs="Times New Roman"/>
                <w:color w:val="auto"/>
                <w:sz w:val="21"/>
              </w:rPr>
              <w:t>μg/m</w:t>
            </w:r>
            <w:r>
              <w:rPr>
                <w:rFonts w:ascii="Times New Roman" w:hAnsi="Times New Roman" w:cs="Times New Roman"/>
                <w:color w:val="auto"/>
                <w:sz w:val="21"/>
                <w:vertAlign w:val="superscript"/>
              </w:rPr>
              <w:t>3</w:t>
            </w:r>
          </w:p>
        </w:tc>
        <w:tc>
          <w:tcPr>
            <w:tcW w:w="925" w:type="pct"/>
            <w:vMerge w:val="continue"/>
            <w:vAlign w:val="center"/>
          </w:tcPr>
          <w:p w14:paraId="4B7CDC24">
            <w:pPr>
              <w:widowControl w:val="0"/>
              <w:adjustRightInd w:val="0"/>
              <w:snapToGrid w:val="0"/>
              <w:jc w:val="center"/>
              <w:rPr>
                <w:rFonts w:ascii="Times New Roman" w:hAnsi="Times New Roman" w:cs="Times New Roman"/>
                <w:color w:val="auto"/>
                <w:sz w:val="21"/>
              </w:rPr>
            </w:pPr>
          </w:p>
        </w:tc>
      </w:tr>
      <w:tr w14:paraId="408978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1" w:type="pct"/>
            <w:vMerge w:val="restart"/>
            <w:vAlign w:val="center"/>
          </w:tcPr>
          <w:p w14:paraId="204CA82D">
            <w:pPr>
              <w:widowControl w:val="0"/>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氟化物</w:t>
            </w:r>
          </w:p>
        </w:tc>
        <w:tc>
          <w:tcPr>
            <w:tcW w:w="1140" w:type="pct"/>
            <w:vAlign w:val="center"/>
          </w:tcPr>
          <w:p w14:paraId="37DC92B3">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1小时平均</w:t>
            </w:r>
          </w:p>
        </w:tc>
        <w:tc>
          <w:tcPr>
            <w:tcW w:w="2233" w:type="pct"/>
            <w:gridSpan w:val="2"/>
            <w:vAlign w:val="center"/>
          </w:tcPr>
          <w:p w14:paraId="23F4BA64">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20</w:t>
            </w:r>
            <w:r>
              <w:rPr>
                <w:rFonts w:ascii="Times New Roman" w:hAnsi="Times New Roman" w:cs="Times New Roman"/>
                <w:color w:val="auto"/>
                <w:sz w:val="21"/>
              </w:rPr>
              <w:t>μg/m</w:t>
            </w:r>
            <w:r>
              <w:rPr>
                <w:rFonts w:ascii="Times New Roman" w:hAnsi="Times New Roman" w:cs="Times New Roman"/>
                <w:color w:val="auto"/>
                <w:sz w:val="21"/>
                <w:vertAlign w:val="superscript"/>
              </w:rPr>
              <w:t>3</w:t>
            </w:r>
          </w:p>
        </w:tc>
        <w:tc>
          <w:tcPr>
            <w:tcW w:w="925" w:type="pct"/>
            <w:vMerge w:val="continue"/>
            <w:vAlign w:val="center"/>
          </w:tcPr>
          <w:p w14:paraId="7E9F4E3D">
            <w:pPr>
              <w:widowControl w:val="0"/>
              <w:adjustRightInd w:val="0"/>
              <w:snapToGrid w:val="0"/>
              <w:jc w:val="center"/>
              <w:rPr>
                <w:rFonts w:ascii="Times New Roman" w:hAnsi="Times New Roman" w:cs="Times New Roman"/>
                <w:color w:val="auto"/>
                <w:sz w:val="21"/>
              </w:rPr>
            </w:pPr>
          </w:p>
        </w:tc>
      </w:tr>
      <w:tr w14:paraId="546521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1" w:type="pct"/>
            <w:vMerge w:val="continue"/>
            <w:vAlign w:val="center"/>
          </w:tcPr>
          <w:p w14:paraId="77417C52">
            <w:pPr>
              <w:widowControl w:val="0"/>
              <w:adjustRightInd w:val="0"/>
              <w:snapToGrid w:val="0"/>
              <w:jc w:val="center"/>
              <w:rPr>
                <w:rFonts w:ascii="Times New Roman" w:hAnsi="Times New Roman" w:cs="Times New Roman"/>
                <w:color w:val="auto"/>
                <w:sz w:val="21"/>
              </w:rPr>
            </w:pPr>
          </w:p>
        </w:tc>
        <w:tc>
          <w:tcPr>
            <w:tcW w:w="1140" w:type="pct"/>
            <w:vAlign w:val="center"/>
          </w:tcPr>
          <w:p w14:paraId="264B576B">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24小时平均</w:t>
            </w:r>
          </w:p>
        </w:tc>
        <w:tc>
          <w:tcPr>
            <w:tcW w:w="2233" w:type="pct"/>
            <w:gridSpan w:val="2"/>
            <w:vAlign w:val="center"/>
          </w:tcPr>
          <w:p w14:paraId="336560A4">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7</w:t>
            </w:r>
            <w:r>
              <w:rPr>
                <w:rFonts w:ascii="Times New Roman" w:hAnsi="Times New Roman" w:cs="Times New Roman"/>
                <w:color w:val="auto"/>
                <w:sz w:val="21"/>
              </w:rPr>
              <w:t>μg/m</w:t>
            </w:r>
            <w:r>
              <w:rPr>
                <w:rFonts w:ascii="Times New Roman" w:hAnsi="Times New Roman" w:cs="Times New Roman"/>
                <w:color w:val="auto"/>
                <w:sz w:val="21"/>
                <w:vertAlign w:val="superscript"/>
              </w:rPr>
              <w:t>3</w:t>
            </w:r>
          </w:p>
        </w:tc>
        <w:tc>
          <w:tcPr>
            <w:tcW w:w="925" w:type="pct"/>
            <w:vMerge w:val="continue"/>
            <w:vAlign w:val="center"/>
          </w:tcPr>
          <w:p w14:paraId="533932F7">
            <w:pPr>
              <w:widowControl w:val="0"/>
              <w:adjustRightInd w:val="0"/>
              <w:snapToGrid w:val="0"/>
              <w:jc w:val="center"/>
              <w:rPr>
                <w:rFonts w:ascii="Times New Roman" w:hAnsi="Times New Roman" w:cs="Times New Roman"/>
                <w:color w:val="auto"/>
                <w:sz w:val="21"/>
              </w:rPr>
            </w:pPr>
          </w:p>
        </w:tc>
      </w:tr>
      <w:tr w14:paraId="4BB61B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1" w:type="pct"/>
            <w:vMerge w:val="restart"/>
            <w:vAlign w:val="center"/>
          </w:tcPr>
          <w:p w14:paraId="3F848A82">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氯化氢</w:t>
            </w:r>
          </w:p>
        </w:tc>
        <w:tc>
          <w:tcPr>
            <w:tcW w:w="1140" w:type="pct"/>
            <w:vAlign w:val="center"/>
          </w:tcPr>
          <w:p w14:paraId="5AC27EC8">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1小时平均</w:t>
            </w:r>
          </w:p>
        </w:tc>
        <w:tc>
          <w:tcPr>
            <w:tcW w:w="2233" w:type="pct"/>
            <w:gridSpan w:val="2"/>
            <w:vAlign w:val="center"/>
          </w:tcPr>
          <w:p w14:paraId="7286AB86">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50</w:t>
            </w:r>
            <w:r>
              <w:rPr>
                <w:rFonts w:ascii="Times New Roman" w:hAnsi="Times New Roman" w:cs="Times New Roman"/>
                <w:color w:val="auto"/>
                <w:sz w:val="21"/>
              </w:rPr>
              <w:t>μg/ m</w:t>
            </w:r>
            <w:r>
              <w:rPr>
                <w:rFonts w:ascii="Times New Roman" w:hAnsi="Times New Roman" w:cs="Times New Roman"/>
                <w:color w:val="auto"/>
                <w:sz w:val="21"/>
                <w:vertAlign w:val="superscript"/>
              </w:rPr>
              <w:t>3</w:t>
            </w:r>
          </w:p>
        </w:tc>
        <w:tc>
          <w:tcPr>
            <w:tcW w:w="925" w:type="pct"/>
            <w:vMerge w:val="restart"/>
            <w:vAlign w:val="center"/>
          </w:tcPr>
          <w:p w14:paraId="336F30F6">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《环境影响评价技术导则</w:t>
            </w:r>
            <w:r>
              <w:rPr>
                <w:rFonts w:hint="eastAsia" w:ascii="Times New Roman" w:hAnsi="Times New Roman" w:cs="Times New Roman"/>
                <w:color w:val="auto"/>
                <w:sz w:val="21"/>
                <w:lang w:eastAsia="zh-CN"/>
              </w:rPr>
              <w:t xml:space="preserve"> </w:t>
            </w:r>
            <w:r>
              <w:rPr>
                <w:rFonts w:ascii="Times New Roman" w:hAnsi="Times New Roman" w:cs="Times New Roman"/>
                <w:color w:val="auto"/>
                <w:sz w:val="21"/>
                <w:lang w:eastAsia="zh-CN"/>
              </w:rPr>
              <w:t>大气环境》（HJ 2.2-2018）</w:t>
            </w:r>
          </w:p>
        </w:tc>
      </w:tr>
      <w:tr w14:paraId="581773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1" w:type="pct"/>
            <w:vMerge w:val="continue"/>
            <w:vAlign w:val="center"/>
          </w:tcPr>
          <w:p w14:paraId="24560196">
            <w:pPr>
              <w:widowControl w:val="0"/>
              <w:adjustRightInd w:val="0"/>
              <w:snapToGrid w:val="0"/>
              <w:jc w:val="center"/>
              <w:rPr>
                <w:rFonts w:ascii="Times New Roman" w:hAnsi="Times New Roman" w:cs="Times New Roman"/>
                <w:color w:val="auto"/>
                <w:sz w:val="21"/>
                <w:lang w:eastAsia="zh-CN"/>
              </w:rPr>
            </w:pPr>
          </w:p>
        </w:tc>
        <w:tc>
          <w:tcPr>
            <w:tcW w:w="1140" w:type="pct"/>
            <w:vAlign w:val="center"/>
          </w:tcPr>
          <w:p w14:paraId="1287971C">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24小时平均</w:t>
            </w:r>
          </w:p>
        </w:tc>
        <w:tc>
          <w:tcPr>
            <w:tcW w:w="2233" w:type="pct"/>
            <w:gridSpan w:val="2"/>
            <w:vAlign w:val="center"/>
          </w:tcPr>
          <w:p w14:paraId="76BCC8D0">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15</w:t>
            </w:r>
            <w:r>
              <w:rPr>
                <w:rFonts w:ascii="Times New Roman" w:hAnsi="Times New Roman" w:cs="Times New Roman"/>
                <w:color w:val="auto"/>
                <w:sz w:val="21"/>
              </w:rPr>
              <w:t>μg/m</w:t>
            </w:r>
            <w:r>
              <w:rPr>
                <w:rFonts w:ascii="Times New Roman" w:hAnsi="Times New Roman" w:cs="Times New Roman"/>
                <w:color w:val="auto"/>
                <w:sz w:val="21"/>
                <w:vertAlign w:val="superscript"/>
              </w:rPr>
              <w:t>3</w:t>
            </w:r>
          </w:p>
        </w:tc>
        <w:tc>
          <w:tcPr>
            <w:tcW w:w="925" w:type="pct"/>
            <w:vMerge w:val="continue"/>
            <w:vAlign w:val="center"/>
          </w:tcPr>
          <w:p w14:paraId="4370C3E1">
            <w:pPr>
              <w:widowControl w:val="0"/>
              <w:adjustRightInd w:val="0"/>
              <w:snapToGrid w:val="0"/>
              <w:jc w:val="center"/>
              <w:rPr>
                <w:rFonts w:ascii="Times New Roman" w:hAnsi="Times New Roman" w:cs="Times New Roman"/>
                <w:color w:val="auto"/>
                <w:sz w:val="21"/>
                <w:lang w:eastAsia="zh-CN"/>
              </w:rPr>
            </w:pPr>
          </w:p>
        </w:tc>
      </w:tr>
    </w:tbl>
    <w:p w14:paraId="3483B8D4">
      <w:pPr>
        <w:widowControl w:val="0"/>
        <w:spacing w:line="360" w:lineRule="auto"/>
        <w:ind w:firstLine="480" w:firstLineChars="200"/>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2、地表水</w:t>
      </w:r>
    </w:p>
    <w:p w14:paraId="3C567ECC">
      <w:pPr>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区域内淮河（蚌埠段）执行《地表水环境质量标准》（GB3838-2002）中Ⅲ类标准，沫冲引河和三铺大沟执行《地表水环境质量标准》（GB3838-2002）中Ⅳ类标准。具体标准值见下表。</w:t>
      </w:r>
    </w:p>
    <w:p w14:paraId="5D4B3385">
      <w:pPr>
        <w:widowControl w:val="0"/>
        <w:spacing w:line="360" w:lineRule="auto"/>
        <w:jc w:val="center"/>
        <w:rPr>
          <w:rFonts w:ascii="Times New Roman" w:hAnsi="Times New Roman" w:eastAsia="新宋体" w:cs="Times New Roman"/>
          <w:color w:val="auto"/>
          <w:szCs w:val="24"/>
          <w:lang w:eastAsia="zh-CN"/>
        </w:rPr>
      </w:pPr>
      <w:r>
        <w:rPr>
          <w:rFonts w:ascii="Times New Roman" w:hAnsi="Times New Roman" w:eastAsia="新宋体" w:cs="Times New Roman"/>
          <w:b/>
          <w:bCs/>
          <w:color w:val="auto"/>
          <w:szCs w:val="24"/>
          <w:lang w:eastAsia="zh-CN"/>
        </w:rPr>
        <w:t>表2.3-4 地表水环境质量标准（mg/L，pH除外）</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12"/>
        <w:gridCol w:w="1679"/>
        <w:gridCol w:w="1624"/>
        <w:gridCol w:w="1624"/>
        <w:gridCol w:w="1624"/>
        <w:gridCol w:w="1583"/>
      </w:tblGrid>
      <w:tr w14:paraId="1562BD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7" w:type="pct"/>
            <w:vAlign w:val="center"/>
          </w:tcPr>
          <w:p w14:paraId="2904663C">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项目</w:t>
            </w:r>
          </w:p>
        </w:tc>
        <w:tc>
          <w:tcPr>
            <w:tcW w:w="861" w:type="pct"/>
            <w:vAlign w:val="center"/>
          </w:tcPr>
          <w:p w14:paraId="28D2DB5F">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pH</w:t>
            </w:r>
          </w:p>
        </w:tc>
        <w:tc>
          <w:tcPr>
            <w:tcW w:w="833" w:type="pct"/>
            <w:vAlign w:val="center"/>
          </w:tcPr>
          <w:p w14:paraId="3C36A19B">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COD</w:t>
            </w:r>
          </w:p>
        </w:tc>
        <w:tc>
          <w:tcPr>
            <w:tcW w:w="833" w:type="pct"/>
            <w:vAlign w:val="center"/>
          </w:tcPr>
          <w:p w14:paraId="16E285D6">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BOD</w:t>
            </w:r>
            <w:r>
              <w:rPr>
                <w:rFonts w:ascii="Times New Roman" w:hAnsi="Times New Roman" w:cs="Times New Roman"/>
                <w:b/>
                <w:bCs/>
                <w:color w:val="auto"/>
                <w:sz w:val="21"/>
                <w:vertAlign w:val="subscript"/>
                <w:lang w:eastAsia="zh-CN"/>
              </w:rPr>
              <w:t>5</w:t>
            </w:r>
          </w:p>
        </w:tc>
        <w:tc>
          <w:tcPr>
            <w:tcW w:w="833" w:type="pct"/>
            <w:vAlign w:val="center"/>
          </w:tcPr>
          <w:p w14:paraId="0B352402">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氨氮</w:t>
            </w:r>
          </w:p>
        </w:tc>
        <w:tc>
          <w:tcPr>
            <w:tcW w:w="812" w:type="pct"/>
            <w:vAlign w:val="center"/>
          </w:tcPr>
          <w:p w14:paraId="0936C651">
            <w:pPr>
              <w:widowControl w:val="0"/>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氟化物</w:t>
            </w:r>
          </w:p>
        </w:tc>
      </w:tr>
      <w:tr w14:paraId="12C098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7" w:type="pct"/>
            <w:vAlign w:val="center"/>
          </w:tcPr>
          <w:p w14:paraId="0811D023">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Ⅲ类</w:t>
            </w:r>
          </w:p>
        </w:tc>
        <w:tc>
          <w:tcPr>
            <w:tcW w:w="861" w:type="pct"/>
            <w:vAlign w:val="center"/>
          </w:tcPr>
          <w:p w14:paraId="2E6A91DA">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6.0~9.0</w:t>
            </w:r>
          </w:p>
        </w:tc>
        <w:tc>
          <w:tcPr>
            <w:tcW w:w="833" w:type="pct"/>
            <w:vAlign w:val="center"/>
          </w:tcPr>
          <w:p w14:paraId="496A2871">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≤20</w:t>
            </w:r>
          </w:p>
        </w:tc>
        <w:tc>
          <w:tcPr>
            <w:tcW w:w="833" w:type="pct"/>
            <w:vAlign w:val="center"/>
          </w:tcPr>
          <w:p w14:paraId="089E6580">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≤4</w:t>
            </w:r>
          </w:p>
        </w:tc>
        <w:tc>
          <w:tcPr>
            <w:tcW w:w="833" w:type="pct"/>
            <w:vAlign w:val="center"/>
          </w:tcPr>
          <w:p w14:paraId="3FA888F0">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≤1.0</w:t>
            </w:r>
          </w:p>
        </w:tc>
        <w:tc>
          <w:tcPr>
            <w:tcW w:w="812" w:type="pct"/>
            <w:vMerge w:val="restart"/>
            <w:vAlign w:val="center"/>
          </w:tcPr>
          <w:p w14:paraId="4026275B">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1.0</w:t>
            </w:r>
          </w:p>
        </w:tc>
      </w:tr>
      <w:tr w14:paraId="2BDC09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7" w:type="pct"/>
            <w:vAlign w:val="center"/>
          </w:tcPr>
          <w:p w14:paraId="01B9EDF7">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Ⅳ类</w:t>
            </w:r>
          </w:p>
        </w:tc>
        <w:tc>
          <w:tcPr>
            <w:tcW w:w="861" w:type="pct"/>
            <w:vAlign w:val="center"/>
          </w:tcPr>
          <w:p w14:paraId="54EADE38">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6.0~9.0</w:t>
            </w:r>
          </w:p>
        </w:tc>
        <w:tc>
          <w:tcPr>
            <w:tcW w:w="833" w:type="pct"/>
            <w:vAlign w:val="center"/>
          </w:tcPr>
          <w:p w14:paraId="515BDABE">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≤30</w:t>
            </w:r>
          </w:p>
        </w:tc>
        <w:tc>
          <w:tcPr>
            <w:tcW w:w="833" w:type="pct"/>
            <w:vAlign w:val="center"/>
          </w:tcPr>
          <w:p w14:paraId="4BE3980B">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≤6</w:t>
            </w:r>
          </w:p>
        </w:tc>
        <w:tc>
          <w:tcPr>
            <w:tcW w:w="833" w:type="pct"/>
            <w:vAlign w:val="center"/>
          </w:tcPr>
          <w:p w14:paraId="754CC2D9">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≤1.5</w:t>
            </w:r>
          </w:p>
        </w:tc>
        <w:tc>
          <w:tcPr>
            <w:tcW w:w="812" w:type="pct"/>
            <w:vMerge w:val="continue"/>
            <w:vAlign w:val="center"/>
          </w:tcPr>
          <w:p w14:paraId="744F938A">
            <w:pPr>
              <w:widowControl w:val="0"/>
              <w:adjustRightInd w:val="0"/>
              <w:snapToGrid w:val="0"/>
              <w:jc w:val="center"/>
              <w:rPr>
                <w:rFonts w:ascii="Times New Roman" w:hAnsi="Times New Roman" w:cs="Times New Roman"/>
                <w:color w:val="auto"/>
                <w:sz w:val="21"/>
                <w:lang w:eastAsia="zh-CN"/>
              </w:rPr>
            </w:pPr>
          </w:p>
        </w:tc>
      </w:tr>
    </w:tbl>
    <w:p w14:paraId="3368214C">
      <w:pPr>
        <w:widowControl w:val="0"/>
        <w:spacing w:line="360" w:lineRule="auto"/>
        <w:ind w:firstLine="480" w:firstLineChars="200"/>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3、地下水</w:t>
      </w:r>
    </w:p>
    <w:p w14:paraId="3CD232BB">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区域地下水环境质量执行《地下水质量标准》</w:t>
      </w:r>
      <w:r>
        <w:rPr>
          <w:rFonts w:hint="eastAsia" w:ascii="Times New Roman" w:hAnsi="Times New Roman" w:eastAsia="新宋体" w:cs="Times New Roman"/>
          <w:color w:val="auto"/>
          <w:szCs w:val="24"/>
          <w:lang w:eastAsia="zh-CN"/>
        </w:rPr>
        <w:t>（</w:t>
      </w:r>
      <w:r>
        <w:rPr>
          <w:rFonts w:ascii="Times New Roman" w:hAnsi="Times New Roman" w:eastAsia="新宋体" w:cs="Times New Roman"/>
          <w:color w:val="auto"/>
          <w:szCs w:val="24"/>
          <w:lang w:eastAsia="zh-CN"/>
        </w:rPr>
        <w:t>GB/T14848-2017</w:t>
      </w:r>
      <w:r>
        <w:rPr>
          <w:rFonts w:hint="eastAsia" w:ascii="Times New Roman" w:hAnsi="Times New Roman" w:eastAsia="新宋体" w:cs="Times New Roman"/>
          <w:color w:val="auto"/>
          <w:szCs w:val="24"/>
          <w:lang w:eastAsia="zh-CN"/>
        </w:rPr>
        <w:t>）</w:t>
      </w:r>
      <w:r>
        <w:rPr>
          <w:rFonts w:ascii="Times New Roman" w:hAnsi="Times New Roman" w:eastAsia="新宋体" w:cs="Times New Roman"/>
          <w:color w:val="auto"/>
          <w:szCs w:val="24"/>
          <w:lang w:eastAsia="zh-CN"/>
        </w:rPr>
        <w:t>中的Ⅲ类标准，具体标准值见下表。</w:t>
      </w:r>
    </w:p>
    <w:p w14:paraId="66F10CC5">
      <w:pPr>
        <w:widowControl w:val="0"/>
        <w:spacing w:line="360" w:lineRule="auto"/>
        <w:jc w:val="center"/>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表2.3-5 地下水质量标准</w:t>
      </w:r>
    </w:p>
    <w:tbl>
      <w:tblPr>
        <w:tblStyle w:val="35"/>
        <w:tblW w:w="5000" w:type="pct"/>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autofit"/>
        <w:tblCellMar>
          <w:top w:w="0" w:type="dxa"/>
          <w:left w:w="108" w:type="dxa"/>
          <w:bottom w:w="0" w:type="dxa"/>
          <w:right w:w="108" w:type="dxa"/>
        </w:tblCellMar>
      </w:tblPr>
      <w:tblGrid>
        <w:gridCol w:w="1331"/>
        <w:gridCol w:w="2394"/>
        <w:gridCol w:w="2850"/>
        <w:gridCol w:w="3171"/>
      </w:tblGrid>
      <w:tr w14:paraId="683DE91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683" w:type="pct"/>
            <w:noWrap/>
            <w:vAlign w:val="center"/>
          </w:tcPr>
          <w:p w14:paraId="4883BD6E">
            <w:pPr>
              <w:adjustRightInd w:val="0"/>
              <w:snapToGrid w:val="0"/>
              <w:jc w:val="center"/>
              <w:rPr>
                <w:rFonts w:ascii="Times New Roman" w:hAnsi="Times New Roman" w:cs="Times New Roman"/>
                <w:b/>
                <w:bCs/>
                <w:sz w:val="21"/>
              </w:rPr>
            </w:pPr>
            <w:r>
              <w:rPr>
                <w:rFonts w:ascii="Times New Roman" w:hAnsi="Times New Roman" w:cs="Times New Roman"/>
                <w:b/>
                <w:bCs/>
                <w:sz w:val="21"/>
              </w:rPr>
              <w:t>序号</w:t>
            </w:r>
          </w:p>
        </w:tc>
        <w:tc>
          <w:tcPr>
            <w:tcW w:w="1228" w:type="pct"/>
            <w:noWrap/>
            <w:vAlign w:val="center"/>
          </w:tcPr>
          <w:p w14:paraId="0106F2F7">
            <w:pPr>
              <w:adjustRightInd w:val="0"/>
              <w:snapToGrid w:val="0"/>
              <w:jc w:val="center"/>
              <w:rPr>
                <w:rFonts w:ascii="Times New Roman" w:hAnsi="Times New Roman" w:cs="Times New Roman"/>
                <w:b/>
                <w:bCs/>
                <w:sz w:val="21"/>
              </w:rPr>
            </w:pPr>
            <w:r>
              <w:rPr>
                <w:rFonts w:ascii="Times New Roman" w:hAnsi="Times New Roman" w:cs="Times New Roman"/>
                <w:b/>
                <w:bCs/>
                <w:sz w:val="21"/>
              </w:rPr>
              <w:t>项 目</w:t>
            </w:r>
          </w:p>
        </w:tc>
        <w:tc>
          <w:tcPr>
            <w:tcW w:w="1462" w:type="pct"/>
            <w:noWrap/>
            <w:vAlign w:val="center"/>
          </w:tcPr>
          <w:p w14:paraId="02A3A495">
            <w:pPr>
              <w:adjustRightInd w:val="0"/>
              <w:snapToGrid w:val="0"/>
              <w:jc w:val="center"/>
              <w:rPr>
                <w:rFonts w:ascii="Times New Roman" w:hAnsi="Times New Roman" w:cs="Times New Roman"/>
                <w:b/>
                <w:bCs/>
                <w:sz w:val="21"/>
              </w:rPr>
            </w:pPr>
            <w:r>
              <w:rPr>
                <w:rFonts w:ascii="Times New Roman" w:hAnsi="Times New Roman" w:cs="Times New Roman"/>
                <w:b/>
                <w:bCs/>
                <w:sz w:val="21"/>
              </w:rPr>
              <w:t>标准值（mg/L）</w:t>
            </w:r>
          </w:p>
        </w:tc>
        <w:tc>
          <w:tcPr>
            <w:tcW w:w="1627" w:type="pct"/>
            <w:noWrap/>
            <w:vAlign w:val="center"/>
          </w:tcPr>
          <w:p w14:paraId="5AED9A1B">
            <w:pPr>
              <w:adjustRightInd w:val="0"/>
              <w:snapToGrid w:val="0"/>
              <w:jc w:val="center"/>
              <w:rPr>
                <w:rFonts w:ascii="Times New Roman" w:hAnsi="Times New Roman" w:cs="Times New Roman"/>
                <w:b/>
                <w:bCs/>
                <w:sz w:val="21"/>
              </w:rPr>
            </w:pPr>
            <w:r>
              <w:rPr>
                <w:rFonts w:ascii="Times New Roman" w:hAnsi="Times New Roman" w:cs="Times New Roman"/>
                <w:b/>
                <w:bCs/>
                <w:sz w:val="21"/>
              </w:rPr>
              <w:t>标 准 来 源</w:t>
            </w:r>
          </w:p>
        </w:tc>
      </w:tr>
      <w:tr w14:paraId="043E406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683" w:type="pct"/>
            <w:noWrap/>
            <w:vAlign w:val="center"/>
          </w:tcPr>
          <w:p w14:paraId="2A2307F2">
            <w:pPr>
              <w:adjustRightInd w:val="0"/>
              <w:snapToGrid w:val="0"/>
              <w:jc w:val="center"/>
              <w:rPr>
                <w:rFonts w:ascii="Times New Roman" w:hAnsi="Times New Roman" w:cs="Times New Roman"/>
                <w:sz w:val="21"/>
              </w:rPr>
            </w:pPr>
            <w:r>
              <w:rPr>
                <w:rFonts w:ascii="Times New Roman" w:hAnsi="Times New Roman" w:cs="Times New Roman"/>
                <w:sz w:val="21"/>
              </w:rPr>
              <w:t>1</w:t>
            </w:r>
          </w:p>
        </w:tc>
        <w:tc>
          <w:tcPr>
            <w:tcW w:w="1228" w:type="pct"/>
            <w:noWrap/>
            <w:vAlign w:val="center"/>
          </w:tcPr>
          <w:p w14:paraId="1CF48F6E">
            <w:pPr>
              <w:adjustRightInd w:val="0"/>
              <w:snapToGrid w:val="0"/>
              <w:jc w:val="center"/>
              <w:rPr>
                <w:rFonts w:ascii="Times New Roman" w:hAnsi="Times New Roman" w:cs="Times New Roman"/>
                <w:sz w:val="21"/>
              </w:rPr>
            </w:pPr>
            <w:r>
              <w:rPr>
                <w:rFonts w:ascii="Times New Roman" w:hAnsi="Times New Roman" w:cs="Times New Roman"/>
                <w:sz w:val="21"/>
              </w:rPr>
              <w:t>pH</w:t>
            </w:r>
          </w:p>
        </w:tc>
        <w:tc>
          <w:tcPr>
            <w:tcW w:w="1462" w:type="pct"/>
            <w:noWrap/>
            <w:vAlign w:val="center"/>
          </w:tcPr>
          <w:p w14:paraId="6D2F317F">
            <w:pPr>
              <w:adjustRightInd w:val="0"/>
              <w:snapToGrid w:val="0"/>
              <w:jc w:val="center"/>
              <w:rPr>
                <w:rFonts w:ascii="Times New Roman" w:hAnsi="Times New Roman" w:cs="Times New Roman"/>
                <w:sz w:val="21"/>
              </w:rPr>
            </w:pPr>
            <w:r>
              <w:rPr>
                <w:rFonts w:ascii="Times New Roman" w:hAnsi="Times New Roman" w:cs="Times New Roman"/>
                <w:sz w:val="21"/>
              </w:rPr>
              <w:t>6.5～8.5</w:t>
            </w:r>
          </w:p>
        </w:tc>
        <w:tc>
          <w:tcPr>
            <w:tcW w:w="1627" w:type="pct"/>
            <w:vMerge w:val="restart"/>
            <w:noWrap/>
            <w:vAlign w:val="center"/>
          </w:tcPr>
          <w:p w14:paraId="468ABA5D">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《地下水质量标准》</w:t>
            </w:r>
          </w:p>
          <w:p w14:paraId="531C6AE9">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（GB/T14848-2017）中Ⅲ类标准</w:t>
            </w:r>
          </w:p>
        </w:tc>
      </w:tr>
      <w:tr w14:paraId="02B31A8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683" w:type="pct"/>
            <w:noWrap/>
            <w:vAlign w:val="center"/>
          </w:tcPr>
          <w:p w14:paraId="6339FF31">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2</w:t>
            </w:r>
          </w:p>
        </w:tc>
        <w:tc>
          <w:tcPr>
            <w:tcW w:w="1228" w:type="pct"/>
            <w:noWrap/>
            <w:vAlign w:val="center"/>
          </w:tcPr>
          <w:p w14:paraId="42FFEF17">
            <w:pPr>
              <w:adjustRightInd w:val="0"/>
              <w:snapToGrid w:val="0"/>
              <w:jc w:val="center"/>
              <w:rPr>
                <w:rFonts w:ascii="Times New Roman" w:hAnsi="Times New Roman" w:cs="Times New Roman"/>
                <w:sz w:val="21"/>
              </w:rPr>
            </w:pPr>
            <w:r>
              <w:rPr>
                <w:rFonts w:ascii="Times New Roman" w:hAnsi="Times New Roman" w:cs="Times New Roman"/>
                <w:sz w:val="21"/>
              </w:rPr>
              <w:t>氨氮</w:t>
            </w:r>
          </w:p>
        </w:tc>
        <w:tc>
          <w:tcPr>
            <w:tcW w:w="1462" w:type="pct"/>
            <w:noWrap/>
            <w:vAlign w:val="center"/>
          </w:tcPr>
          <w:p w14:paraId="6F841B98">
            <w:pPr>
              <w:adjustRightInd w:val="0"/>
              <w:snapToGrid w:val="0"/>
              <w:jc w:val="center"/>
              <w:rPr>
                <w:rFonts w:ascii="Times New Roman" w:hAnsi="Times New Roman" w:cs="Times New Roman"/>
                <w:sz w:val="21"/>
              </w:rPr>
            </w:pPr>
            <w:r>
              <w:rPr>
                <w:rFonts w:ascii="Times New Roman" w:hAnsi="Times New Roman" w:cs="Times New Roman"/>
                <w:sz w:val="21"/>
              </w:rPr>
              <w:t>≤0.5</w:t>
            </w:r>
          </w:p>
        </w:tc>
        <w:tc>
          <w:tcPr>
            <w:tcW w:w="1627" w:type="pct"/>
            <w:vMerge w:val="continue"/>
            <w:noWrap/>
            <w:vAlign w:val="center"/>
          </w:tcPr>
          <w:p w14:paraId="3A23990B">
            <w:pPr>
              <w:adjustRightInd w:val="0"/>
              <w:snapToGrid w:val="0"/>
              <w:jc w:val="center"/>
              <w:rPr>
                <w:rFonts w:ascii="Times New Roman" w:hAnsi="Times New Roman" w:cs="Times New Roman"/>
                <w:sz w:val="21"/>
              </w:rPr>
            </w:pPr>
          </w:p>
        </w:tc>
      </w:tr>
      <w:tr w14:paraId="1CB4409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683" w:type="pct"/>
            <w:noWrap/>
            <w:vAlign w:val="center"/>
          </w:tcPr>
          <w:p w14:paraId="2C0D9D96">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3</w:t>
            </w:r>
          </w:p>
        </w:tc>
        <w:tc>
          <w:tcPr>
            <w:tcW w:w="1228" w:type="pct"/>
            <w:noWrap/>
            <w:vAlign w:val="center"/>
          </w:tcPr>
          <w:p w14:paraId="21635698">
            <w:pPr>
              <w:adjustRightInd w:val="0"/>
              <w:snapToGrid w:val="0"/>
              <w:jc w:val="center"/>
              <w:rPr>
                <w:rFonts w:ascii="Times New Roman" w:hAnsi="Times New Roman" w:cs="Times New Roman"/>
                <w:sz w:val="21"/>
              </w:rPr>
            </w:pPr>
            <w:r>
              <w:rPr>
                <w:rFonts w:ascii="Times New Roman" w:hAnsi="Times New Roman" w:cs="Times New Roman"/>
                <w:sz w:val="21"/>
              </w:rPr>
              <w:t>硝酸盐</w:t>
            </w:r>
          </w:p>
        </w:tc>
        <w:tc>
          <w:tcPr>
            <w:tcW w:w="1462" w:type="pct"/>
            <w:noWrap/>
            <w:vAlign w:val="center"/>
          </w:tcPr>
          <w:p w14:paraId="7AFDBA31">
            <w:pPr>
              <w:adjustRightInd w:val="0"/>
              <w:snapToGrid w:val="0"/>
              <w:jc w:val="center"/>
              <w:rPr>
                <w:rFonts w:ascii="Times New Roman" w:hAnsi="Times New Roman" w:cs="Times New Roman"/>
                <w:sz w:val="21"/>
              </w:rPr>
            </w:pPr>
            <w:r>
              <w:rPr>
                <w:rFonts w:ascii="Times New Roman" w:hAnsi="Times New Roman" w:cs="Times New Roman"/>
                <w:sz w:val="21"/>
              </w:rPr>
              <w:t>≤20</w:t>
            </w:r>
          </w:p>
        </w:tc>
        <w:tc>
          <w:tcPr>
            <w:tcW w:w="1627" w:type="pct"/>
            <w:vMerge w:val="continue"/>
            <w:noWrap/>
            <w:vAlign w:val="center"/>
          </w:tcPr>
          <w:p w14:paraId="72DCD3BF">
            <w:pPr>
              <w:adjustRightInd w:val="0"/>
              <w:snapToGrid w:val="0"/>
              <w:jc w:val="center"/>
              <w:rPr>
                <w:rFonts w:ascii="Times New Roman" w:hAnsi="Times New Roman" w:cs="Times New Roman"/>
                <w:sz w:val="21"/>
              </w:rPr>
            </w:pPr>
          </w:p>
        </w:tc>
      </w:tr>
      <w:tr w14:paraId="0C6621A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683" w:type="pct"/>
            <w:noWrap/>
            <w:vAlign w:val="center"/>
          </w:tcPr>
          <w:p w14:paraId="4A1EEAF3">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4</w:t>
            </w:r>
          </w:p>
        </w:tc>
        <w:tc>
          <w:tcPr>
            <w:tcW w:w="1228" w:type="pct"/>
            <w:noWrap/>
            <w:vAlign w:val="center"/>
          </w:tcPr>
          <w:p w14:paraId="1F283D0D">
            <w:pPr>
              <w:adjustRightInd w:val="0"/>
              <w:snapToGrid w:val="0"/>
              <w:jc w:val="center"/>
              <w:rPr>
                <w:rFonts w:ascii="Times New Roman" w:hAnsi="Times New Roman" w:cs="Times New Roman"/>
                <w:sz w:val="21"/>
              </w:rPr>
            </w:pPr>
            <w:r>
              <w:rPr>
                <w:rFonts w:ascii="Times New Roman" w:hAnsi="Times New Roman" w:cs="Times New Roman"/>
                <w:sz w:val="21"/>
              </w:rPr>
              <w:t>亚硝酸盐</w:t>
            </w:r>
          </w:p>
        </w:tc>
        <w:tc>
          <w:tcPr>
            <w:tcW w:w="1462" w:type="pct"/>
            <w:noWrap/>
            <w:vAlign w:val="center"/>
          </w:tcPr>
          <w:p w14:paraId="65BAEE37">
            <w:pPr>
              <w:adjustRightInd w:val="0"/>
              <w:snapToGrid w:val="0"/>
              <w:jc w:val="center"/>
              <w:rPr>
                <w:rFonts w:ascii="Times New Roman" w:hAnsi="Times New Roman" w:cs="Times New Roman"/>
                <w:sz w:val="21"/>
              </w:rPr>
            </w:pPr>
            <w:r>
              <w:rPr>
                <w:rFonts w:ascii="Times New Roman" w:hAnsi="Times New Roman" w:cs="Times New Roman"/>
                <w:sz w:val="21"/>
              </w:rPr>
              <w:t>≤1.0</w:t>
            </w:r>
          </w:p>
        </w:tc>
        <w:tc>
          <w:tcPr>
            <w:tcW w:w="1627" w:type="pct"/>
            <w:vMerge w:val="continue"/>
            <w:noWrap/>
            <w:vAlign w:val="center"/>
          </w:tcPr>
          <w:p w14:paraId="4F51B3A8">
            <w:pPr>
              <w:adjustRightInd w:val="0"/>
              <w:snapToGrid w:val="0"/>
              <w:jc w:val="center"/>
              <w:rPr>
                <w:rFonts w:ascii="Times New Roman" w:hAnsi="Times New Roman" w:cs="Times New Roman"/>
                <w:sz w:val="21"/>
              </w:rPr>
            </w:pPr>
          </w:p>
        </w:tc>
      </w:tr>
      <w:tr w14:paraId="000D8FC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683" w:type="pct"/>
            <w:noWrap/>
            <w:vAlign w:val="center"/>
          </w:tcPr>
          <w:p w14:paraId="4525D38B">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5</w:t>
            </w:r>
          </w:p>
        </w:tc>
        <w:tc>
          <w:tcPr>
            <w:tcW w:w="1228" w:type="pct"/>
            <w:noWrap/>
            <w:vAlign w:val="center"/>
          </w:tcPr>
          <w:p w14:paraId="57314719">
            <w:pPr>
              <w:adjustRightInd w:val="0"/>
              <w:snapToGrid w:val="0"/>
              <w:jc w:val="center"/>
              <w:rPr>
                <w:rFonts w:ascii="Times New Roman" w:hAnsi="Times New Roman" w:cs="Times New Roman"/>
                <w:sz w:val="21"/>
                <w:lang w:eastAsia="zh-CN"/>
              </w:rPr>
            </w:pPr>
            <w:r>
              <w:rPr>
                <w:rFonts w:ascii="Times New Roman" w:hAnsi="Times New Roman" w:cs="Times New Roman"/>
                <w:sz w:val="21"/>
              </w:rPr>
              <w:t>挥发</w:t>
            </w:r>
            <w:r>
              <w:rPr>
                <w:rFonts w:ascii="Times New Roman" w:hAnsi="Times New Roman" w:cs="Times New Roman"/>
                <w:sz w:val="21"/>
                <w:lang w:eastAsia="zh-CN"/>
              </w:rPr>
              <w:t>性酚类</w:t>
            </w:r>
          </w:p>
        </w:tc>
        <w:tc>
          <w:tcPr>
            <w:tcW w:w="1462" w:type="pct"/>
            <w:noWrap/>
            <w:vAlign w:val="center"/>
          </w:tcPr>
          <w:p w14:paraId="18816E7D">
            <w:pPr>
              <w:adjustRightInd w:val="0"/>
              <w:snapToGrid w:val="0"/>
              <w:jc w:val="center"/>
              <w:rPr>
                <w:rFonts w:ascii="Times New Roman" w:hAnsi="Times New Roman" w:cs="Times New Roman"/>
                <w:sz w:val="21"/>
              </w:rPr>
            </w:pPr>
            <w:r>
              <w:rPr>
                <w:rFonts w:ascii="Times New Roman" w:hAnsi="Times New Roman" w:cs="Times New Roman"/>
                <w:sz w:val="21"/>
              </w:rPr>
              <w:t>≤0.002</w:t>
            </w:r>
          </w:p>
        </w:tc>
        <w:tc>
          <w:tcPr>
            <w:tcW w:w="1627" w:type="pct"/>
            <w:vMerge w:val="continue"/>
            <w:noWrap/>
            <w:vAlign w:val="center"/>
          </w:tcPr>
          <w:p w14:paraId="3878742C">
            <w:pPr>
              <w:adjustRightInd w:val="0"/>
              <w:snapToGrid w:val="0"/>
              <w:jc w:val="center"/>
              <w:rPr>
                <w:rFonts w:ascii="Times New Roman" w:hAnsi="Times New Roman" w:cs="Times New Roman"/>
                <w:sz w:val="21"/>
              </w:rPr>
            </w:pPr>
          </w:p>
        </w:tc>
      </w:tr>
      <w:tr w14:paraId="4A1799E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683" w:type="pct"/>
            <w:noWrap/>
            <w:vAlign w:val="center"/>
          </w:tcPr>
          <w:p w14:paraId="2350BBCD">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6</w:t>
            </w:r>
          </w:p>
        </w:tc>
        <w:tc>
          <w:tcPr>
            <w:tcW w:w="1228" w:type="pct"/>
            <w:noWrap/>
            <w:vAlign w:val="center"/>
          </w:tcPr>
          <w:p w14:paraId="6B417566">
            <w:pPr>
              <w:adjustRightInd w:val="0"/>
              <w:snapToGrid w:val="0"/>
              <w:jc w:val="center"/>
              <w:rPr>
                <w:rFonts w:ascii="Times New Roman" w:hAnsi="Times New Roman" w:cs="Times New Roman"/>
                <w:sz w:val="21"/>
              </w:rPr>
            </w:pPr>
            <w:r>
              <w:rPr>
                <w:rFonts w:ascii="Times New Roman" w:hAnsi="Times New Roman" w:cs="Times New Roman"/>
                <w:sz w:val="21"/>
              </w:rPr>
              <w:t>氰化物</w:t>
            </w:r>
          </w:p>
        </w:tc>
        <w:tc>
          <w:tcPr>
            <w:tcW w:w="1462" w:type="pct"/>
            <w:noWrap/>
            <w:vAlign w:val="center"/>
          </w:tcPr>
          <w:p w14:paraId="4941ADEF">
            <w:pPr>
              <w:adjustRightInd w:val="0"/>
              <w:snapToGrid w:val="0"/>
              <w:jc w:val="center"/>
              <w:rPr>
                <w:rFonts w:ascii="Times New Roman" w:hAnsi="Times New Roman" w:cs="Times New Roman"/>
                <w:sz w:val="21"/>
              </w:rPr>
            </w:pPr>
            <w:r>
              <w:rPr>
                <w:rFonts w:ascii="Times New Roman" w:hAnsi="Times New Roman" w:cs="Times New Roman"/>
                <w:sz w:val="21"/>
              </w:rPr>
              <w:t>≤0.05</w:t>
            </w:r>
          </w:p>
        </w:tc>
        <w:tc>
          <w:tcPr>
            <w:tcW w:w="1627" w:type="pct"/>
            <w:vMerge w:val="continue"/>
            <w:noWrap/>
            <w:vAlign w:val="center"/>
          </w:tcPr>
          <w:p w14:paraId="77BA889B">
            <w:pPr>
              <w:adjustRightInd w:val="0"/>
              <w:snapToGrid w:val="0"/>
              <w:jc w:val="center"/>
              <w:rPr>
                <w:rFonts w:ascii="Times New Roman" w:hAnsi="Times New Roman" w:cs="Times New Roman"/>
                <w:sz w:val="21"/>
              </w:rPr>
            </w:pPr>
          </w:p>
        </w:tc>
      </w:tr>
      <w:tr w14:paraId="02AF8E0C">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683" w:type="pct"/>
            <w:noWrap/>
            <w:vAlign w:val="center"/>
          </w:tcPr>
          <w:p w14:paraId="0677BC23">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7</w:t>
            </w:r>
          </w:p>
        </w:tc>
        <w:tc>
          <w:tcPr>
            <w:tcW w:w="1228" w:type="pct"/>
            <w:noWrap/>
            <w:vAlign w:val="center"/>
          </w:tcPr>
          <w:p w14:paraId="3A794B4E">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砷</w:t>
            </w:r>
          </w:p>
        </w:tc>
        <w:tc>
          <w:tcPr>
            <w:tcW w:w="1462" w:type="pct"/>
            <w:noWrap/>
            <w:vAlign w:val="center"/>
          </w:tcPr>
          <w:p w14:paraId="5A4AB8D7">
            <w:pPr>
              <w:adjustRightInd w:val="0"/>
              <w:snapToGrid w:val="0"/>
              <w:jc w:val="center"/>
              <w:rPr>
                <w:rFonts w:ascii="Times New Roman" w:hAnsi="Times New Roman" w:cs="Times New Roman"/>
                <w:sz w:val="21"/>
              </w:rPr>
            </w:pPr>
            <w:r>
              <w:rPr>
                <w:rFonts w:ascii="Times New Roman" w:hAnsi="Times New Roman" w:cs="Times New Roman"/>
                <w:sz w:val="21"/>
              </w:rPr>
              <w:t>≤0.01</w:t>
            </w:r>
          </w:p>
        </w:tc>
        <w:tc>
          <w:tcPr>
            <w:tcW w:w="1627" w:type="pct"/>
            <w:vMerge w:val="continue"/>
            <w:noWrap/>
            <w:vAlign w:val="center"/>
          </w:tcPr>
          <w:p w14:paraId="7FA1F135">
            <w:pPr>
              <w:adjustRightInd w:val="0"/>
              <w:snapToGrid w:val="0"/>
              <w:jc w:val="center"/>
              <w:rPr>
                <w:rFonts w:ascii="Times New Roman" w:hAnsi="Times New Roman" w:cs="Times New Roman"/>
                <w:sz w:val="21"/>
              </w:rPr>
            </w:pPr>
          </w:p>
        </w:tc>
      </w:tr>
      <w:tr w14:paraId="7B6023A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683" w:type="pct"/>
            <w:noWrap/>
            <w:vAlign w:val="center"/>
          </w:tcPr>
          <w:p w14:paraId="23E9055A">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8</w:t>
            </w:r>
          </w:p>
        </w:tc>
        <w:tc>
          <w:tcPr>
            <w:tcW w:w="1228" w:type="pct"/>
            <w:noWrap/>
            <w:vAlign w:val="center"/>
          </w:tcPr>
          <w:p w14:paraId="3D7F20DE">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汞</w:t>
            </w:r>
          </w:p>
        </w:tc>
        <w:tc>
          <w:tcPr>
            <w:tcW w:w="1462" w:type="pct"/>
            <w:noWrap/>
            <w:vAlign w:val="center"/>
          </w:tcPr>
          <w:p w14:paraId="511CC6F4">
            <w:pPr>
              <w:adjustRightInd w:val="0"/>
              <w:snapToGrid w:val="0"/>
              <w:jc w:val="center"/>
              <w:rPr>
                <w:rFonts w:ascii="Times New Roman" w:hAnsi="Times New Roman" w:cs="Times New Roman"/>
                <w:sz w:val="21"/>
              </w:rPr>
            </w:pPr>
            <w:r>
              <w:rPr>
                <w:rFonts w:ascii="Times New Roman" w:hAnsi="Times New Roman" w:cs="Times New Roman"/>
                <w:sz w:val="21"/>
              </w:rPr>
              <w:t>≤0.0</w:t>
            </w:r>
            <w:r>
              <w:rPr>
                <w:rFonts w:ascii="Times New Roman" w:hAnsi="Times New Roman" w:cs="Times New Roman"/>
                <w:sz w:val="21"/>
                <w:lang w:eastAsia="zh-CN"/>
              </w:rPr>
              <w:t>0</w:t>
            </w:r>
            <w:r>
              <w:rPr>
                <w:rFonts w:ascii="Times New Roman" w:hAnsi="Times New Roman" w:cs="Times New Roman"/>
                <w:sz w:val="21"/>
              </w:rPr>
              <w:t>1</w:t>
            </w:r>
          </w:p>
        </w:tc>
        <w:tc>
          <w:tcPr>
            <w:tcW w:w="1627" w:type="pct"/>
            <w:vMerge w:val="continue"/>
            <w:noWrap/>
            <w:vAlign w:val="center"/>
          </w:tcPr>
          <w:p w14:paraId="58096478">
            <w:pPr>
              <w:adjustRightInd w:val="0"/>
              <w:snapToGrid w:val="0"/>
              <w:jc w:val="center"/>
              <w:rPr>
                <w:rFonts w:ascii="Times New Roman" w:hAnsi="Times New Roman" w:cs="Times New Roman"/>
                <w:sz w:val="21"/>
              </w:rPr>
            </w:pPr>
          </w:p>
        </w:tc>
      </w:tr>
      <w:tr w14:paraId="48CC052C">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683" w:type="pct"/>
            <w:noWrap/>
            <w:vAlign w:val="center"/>
          </w:tcPr>
          <w:p w14:paraId="324502F5">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9</w:t>
            </w:r>
          </w:p>
        </w:tc>
        <w:tc>
          <w:tcPr>
            <w:tcW w:w="1228" w:type="pct"/>
            <w:noWrap/>
            <w:vAlign w:val="center"/>
          </w:tcPr>
          <w:p w14:paraId="1C8F2E86">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铬（六价）</w:t>
            </w:r>
          </w:p>
        </w:tc>
        <w:tc>
          <w:tcPr>
            <w:tcW w:w="1462" w:type="pct"/>
            <w:noWrap/>
            <w:vAlign w:val="center"/>
          </w:tcPr>
          <w:p w14:paraId="3BF88307">
            <w:pPr>
              <w:adjustRightInd w:val="0"/>
              <w:snapToGrid w:val="0"/>
              <w:jc w:val="center"/>
              <w:rPr>
                <w:rFonts w:ascii="Times New Roman" w:hAnsi="Times New Roman" w:cs="Times New Roman"/>
                <w:sz w:val="21"/>
                <w:lang w:eastAsia="zh-CN"/>
              </w:rPr>
            </w:pPr>
            <w:r>
              <w:rPr>
                <w:rFonts w:ascii="Times New Roman" w:hAnsi="Times New Roman" w:cs="Times New Roman"/>
                <w:sz w:val="21"/>
              </w:rPr>
              <w:t>≤0.0</w:t>
            </w:r>
            <w:r>
              <w:rPr>
                <w:rFonts w:ascii="Times New Roman" w:hAnsi="Times New Roman" w:cs="Times New Roman"/>
                <w:sz w:val="21"/>
                <w:lang w:eastAsia="zh-CN"/>
              </w:rPr>
              <w:t>5</w:t>
            </w:r>
          </w:p>
        </w:tc>
        <w:tc>
          <w:tcPr>
            <w:tcW w:w="1627" w:type="pct"/>
            <w:vMerge w:val="continue"/>
            <w:noWrap/>
            <w:vAlign w:val="center"/>
          </w:tcPr>
          <w:p w14:paraId="47C76DCC">
            <w:pPr>
              <w:adjustRightInd w:val="0"/>
              <w:snapToGrid w:val="0"/>
              <w:jc w:val="center"/>
              <w:rPr>
                <w:rFonts w:ascii="Times New Roman" w:hAnsi="Times New Roman" w:cs="Times New Roman"/>
                <w:sz w:val="21"/>
              </w:rPr>
            </w:pPr>
          </w:p>
        </w:tc>
      </w:tr>
      <w:tr w14:paraId="7F3BC6A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683" w:type="pct"/>
            <w:noWrap/>
            <w:vAlign w:val="center"/>
          </w:tcPr>
          <w:p w14:paraId="55EF4F8F">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10</w:t>
            </w:r>
          </w:p>
        </w:tc>
        <w:tc>
          <w:tcPr>
            <w:tcW w:w="1228" w:type="pct"/>
            <w:noWrap/>
            <w:vAlign w:val="center"/>
          </w:tcPr>
          <w:p w14:paraId="58CC1456">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总硬度</w:t>
            </w:r>
          </w:p>
        </w:tc>
        <w:tc>
          <w:tcPr>
            <w:tcW w:w="1462" w:type="pct"/>
            <w:noWrap/>
            <w:vAlign w:val="center"/>
          </w:tcPr>
          <w:p w14:paraId="28351CF5">
            <w:pPr>
              <w:adjustRightInd w:val="0"/>
              <w:snapToGrid w:val="0"/>
              <w:jc w:val="center"/>
              <w:rPr>
                <w:rFonts w:ascii="Times New Roman" w:hAnsi="Times New Roman" w:cs="Times New Roman"/>
                <w:sz w:val="21"/>
                <w:lang w:eastAsia="zh-CN"/>
              </w:rPr>
            </w:pPr>
            <w:r>
              <w:rPr>
                <w:rFonts w:ascii="Times New Roman" w:hAnsi="Times New Roman" w:cs="Times New Roman"/>
                <w:sz w:val="21"/>
              </w:rPr>
              <w:t>≤</w:t>
            </w:r>
            <w:r>
              <w:rPr>
                <w:rFonts w:ascii="Times New Roman" w:hAnsi="Times New Roman" w:cs="Times New Roman"/>
                <w:sz w:val="21"/>
                <w:lang w:eastAsia="zh-CN"/>
              </w:rPr>
              <w:t>450</w:t>
            </w:r>
          </w:p>
        </w:tc>
        <w:tc>
          <w:tcPr>
            <w:tcW w:w="1627" w:type="pct"/>
            <w:vMerge w:val="continue"/>
            <w:noWrap/>
            <w:vAlign w:val="center"/>
          </w:tcPr>
          <w:p w14:paraId="18A4A432">
            <w:pPr>
              <w:adjustRightInd w:val="0"/>
              <w:snapToGrid w:val="0"/>
              <w:jc w:val="center"/>
              <w:rPr>
                <w:rFonts w:ascii="Times New Roman" w:hAnsi="Times New Roman" w:cs="Times New Roman"/>
                <w:sz w:val="21"/>
              </w:rPr>
            </w:pPr>
          </w:p>
        </w:tc>
      </w:tr>
      <w:tr w14:paraId="7BE6068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683" w:type="pct"/>
            <w:noWrap/>
            <w:vAlign w:val="center"/>
          </w:tcPr>
          <w:p w14:paraId="33423471">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11</w:t>
            </w:r>
          </w:p>
        </w:tc>
        <w:tc>
          <w:tcPr>
            <w:tcW w:w="1228" w:type="pct"/>
            <w:noWrap/>
            <w:vAlign w:val="center"/>
          </w:tcPr>
          <w:p w14:paraId="0DE2991D">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铅</w:t>
            </w:r>
          </w:p>
        </w:tc>
        <w:tc>
          <w:tcPr>
            <w:tcW w:w="1462" w:type="pct"/>
            <w:noWrap/>
            <w:vAlign w:val="center"/>
          </w:tcPr>
          <w:p w14:paraId="49189AA4">
            <w:pPr>
              <w:adjustRightInd w:val="0"/>
              <w:snapToGrid w:val="0"/>
              <w:jc w:val="center"/>
              <w:rPr>
                <w:rFonts w:ascii="Times New Roman" w:hAnsi="Times New Roman" w:cs="Times New Roman"/>
                <w:sz w:val="21"/>
              </w:rPr>
            </w:pPr>
            <w:r>
              <w:rPr>
                <w:rFonts w:ascii="Times New Roman" w:hAnsi="Times New Roman" w:cs="Times New Roman"/>
                <w:sz w:val="21"/>
              </w:rPr>
              <w:t>≤0.01</w:t>
            </w:r>
          </w:p>
        </w:tc>
        <w:tc>
          <w:tcPr>
            <w:tcW w:w="1627" w:type="pct"/>
            <w:vMerge w:val="continue"/>
            <w:noWrap/>
            <w:vAlign w:val="center"/>
          </w:tcPr>
          <w:p w14:paraId="4FF16CC1">
            <w:pPr>
              <w:adjustRightInd w:val="0"/>
              <w:snapToGrid w:val="0"/>
              <w:jc w:val="center"/>
              <w:rPr>
                <w:rFonts w:ascii="Times New Roman" w:hAnsi="Times New Roman" w:cs="Times New Roman"/>
                <w:sz w:val="21"/>
              </w:rPr>
            </w:pPr>
          </w:p>
        </w:tc>
      </w:tr>
      <w:tr w14:paraId="0642F52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683" w:type="pct"/>
            <w:noWrap/>
            <w:vAlign w:val="center"/>
          </w:tcPr>
          <w:p w14:paraId="4295176C">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12</w:t>
            </w:r>
          </w:p>
        </w:tc>
        <w:tc>
          <w:tcPr>
            <w:tcW w:w="1228" w:type="pct"/>
            <w:noWrap/>
            <w:vAlign w:val="center"/>
          </w:tcPr>
          <w:p w14:paraId="6CB074DB">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氟</w:t>
            </w:r>
          </w:p>
        </w:tc>
        <w:tc>
          <w:tcPr>
            <w:tcW w:w="1462" w:type="pct"/>
            <w:noWrap/>
            <w:vAlign w:val="center"/>
          </w:tcPr>
          <w:p w14:paraId="487FE19B">
            <w:pPr>
              <w:adjustRightInd w:val="0"/>
              <w:snapToGrid w:val="0"/>
              <w:jc w:val="center"/>
              <w:rPr>
                <w:rFonts w:ascii="Times New Roman" w:hAnsi="Times New Roman" w:cs="Times New Roman"/>
                <w:sz w:val="21"/>
                <w:lang w:eastAsia="zh-CN"/>
              </w:rPr>
            </w:pPr>
            <w:r>
              <w:rPr>
                <w:rFonts w:ascii="Times New Roman" w:hAnsi="Times New Roman" w:cs="Times New Roman"/>
                <w:sz w:val="21"/>
              </w:rPr>
              <w:t>≤</w:t>
            </w:r>
            <w:r>
              <w:rPr>
                <w:rFonts w:ascii="Times New Roman" w:hAnsi="Times New Roman" w:cs="Times New Roman"/>
                <w:sz w:val="21"/>
                <w:lang w:eastAsia="zh-CN"/>
              </w:rPr>
              <w:t>1.0</w:t>
            </w:r>
          </w:p>
        </w:tc>
        <w:tc>
          <w:tcPr>
            <w:tcW w:w="1627" w:type="pct"/>
            <w:vMerge w:val="continue"/>
            <w:noWrap/>
            <w:vAlign w:val="center"/>
          </w:tcPr>
          <w:p w14:paraId="6CFECE73">
            <w:pPr>
              <w:adjustRightInd w:val="0"/>
              <w:snapToGrid w:val="0"/>
              <w:jc w:val="center"/>
              <w:rPr>
                <w:rFonts w:ascii="Times New Roman" w:hAnsi="Times New Roman" w:cs="Times New Roman"/>
                <w:sz w:val="21"/>
              </w:rPr>
            </w:pPr>
          </w:p>
        </w:tc>
      </w:tr>
      <w:tr w14:paraId="09B8FE2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683" w:type="pct"/>
            <w:noWrap/>
            <w:vAlign w:val="center"/>
          </w:tcPr>
          <w:p w14:paraId="51C2EDCC">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13</w:t>
            </w:r>
          </w:p>
        </w:tc>
        <w:tc>
          <w:tcPr>
            <w:tcW w:w="1228" w:type="pct"/>
            <w:noWrap/>
            <w:vAlign w:val="center"/>
          </w:tcPr>
          <w:p w14:paraId="3E2979C9">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镉</w:t>
            </w:r>
          </w:p>
        </w:tc>
        <w:tc>
          <w:tcPr>
            <w:tcW w:w="1462" w:type="pct"/>
            <w:noWrap/>
            <w:vAlign w:val="center"/>
          </w:tcPr>
          <w:p w14:paraId="5831E338">
            <w:pPr>
              <w:adjustRightInd w:val="0"/>
              <w:snapToGrid w:val="0"/>
              <w:jc w:val="center"/>
              <w:rPr>
                <w:rFonts w:ascii="Times New Roman" w:hAnsi="Times New Roman" w:cs="Times New Roman"/>
                <w:sz w:val="21"/>
                <w:lang w:eastAsia="zh-CN"/>
              </w:rPr>
            </w:pPr>
            <w:r>
              <w:rPr>
                <w:rFonts w:ascii="Times New Roman" w:hAnsi="Times New Roman" w:cs="Times New Roman"/>
                <w:sz w:val="21"/>
              </w:rPr>
              <w:t>≤0.0</w:t>
            </w:r>
            <w:r>
              <w:rPr>
                <w:rFonts w:ascii="Times New Roman" w:hAnsi="Times New Roman" w:cs="Times New Roman"/>
                <w:sz w:val="21"/>
                <w:lang w:eastAsia="zh-CN"/>
              </w:rPr>
              <w:t>05</w:t>
            </w:r>
          </w:p>
        </w:tc>
        <w:tc>
          <w:tcPr>
            <w:tcW w:w="1627" w:type="pct"/>
            <w:vMerge w:val="continue"/>
            <w:noWrap/>
            <w:vAlign w:val="center"/>
          </w:tcPr>
          <w:p w14:paraId="0CE6B4F6">
            <w:pPr>
              <w:adjustRightInd w:val="0"/>
              <w:snapToGrid w:val="0"/>
              <w:jc w:val="center"/>
              <w:rPr>
                <w:rFonts w:ascii="Times New Roman" w:hAnsi="Times New Roman" w:cs="Times New Roman"/>
                <w:sz w:val="21"/>
              </w:rPr>
            </w:pPr>
          </w:p>
        </w:tc>
      </w:tr>
      <w:tr w14:paraId="05BDA96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683" w:type="pct"/>
            <w:noWrap/>
            <w:vAlign w:val="center"/>
          </w:tcPr>
          <w:p w14:paraId="18FA441B">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14</w:t>
            </w:r>
          </w:p>
        </w:tc>
        <w:tc>
          <w:tcPr>
            <w:tcW w:w="1228" w:type="pct"/>
            <w:noWrap/>
            <w:vAlign w:val="center"/>
          </w:tcPr>
          <w:p w14:paraId="54138CE9">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铁</w:t>
            </w:r>
          </w:p>
        </w:tc>
        <w:tc>
          <w:tcPr>
            <w:tcW w:w="1462" w:type="pct"/>
            <w:noWrap/>
            <w:vAlign w:val="center"/>
          </w:tcPr>
          <w:p w14:paraId="0D119CF7">
            <w:pPr>
              <w:adjustRightInd w:val="0"/>
              <w:snapToGrid w:val="0"/>
              <w:jc w:val="center"/>
              <w:rPr>
                <w:rFonts w:ascii="Times New Roman" w:hAnsi="Times New Roman" w:cs="Times New Roman"/>
                <w:sz w:val="21"/>
                <w:lang w:eastAsia="zh-CN"/>
              </w:rPr>
            </w:pPr>
            <w:r>
              <w:rPr>
                <w:rFonts w:ascii="Times New Roman" w:hAnsi="Times New Roman" w:cs="Times New Roman"/>
                <w:sz w:val="21"/>
              </w:rPr>
              <w:t>≤0.</w:t>
            </w:r>
            <w:r>
              <w:rPr>
                <w:rFonts w:ascii="Times New Roman" w:hAnsi="Times New Roman" w:cs="Times New Roman"/>
                <w:sz w:val="21"/>
                <w:lang w:eastAsia="zh-CN"/>
              </w:rPr>
              <w:t>3</w:t>
            </w:r>
          </w:p>
        </w:tc>
        <w:tc>
          <w:tcPr>
            <w:tcW w:w="1627" w:type="pct"/>
            <w:vMerge w:val="continue"/>
            <w:noWrap/>
            <w:vAlign w:val="center"/>
          </w:tcPr>
          <w:p w14:paraId="77BF6CCB">
            <w:pPr>
              <w:adjustRightInd w:val="0"/>
              <w:snapToGrid w:val="0"/>
              <w:jc w:val="center"/>
              <w:rPr>
                <w:rFonts w:ascii="Times New Roman" w:hAnsi="Times New Roman" w:cs="Times New Roman"/>
                <w:sz w:val="21"/>
              </w:rPr>
            </w:pPr>
          </w:p>
        </w:tc>
      </w:tr>
      <w:tr w14:paraId="3C498AE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683" w:type="pct"/>
            <w:noWrap/>
            <w:vAlign w:val="center"/>
          </w:tcPr>
          <w:p w14:paraId="581784A4">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15</w:t>
            </w:r>
          </w:p>
        </w:tc>
        <w:tc>
          <w:tcPr>
            <w:tcW w:w="1228" w:type="pct"/>
            <w:noWrap/>
            <w:vAlign w:val="center"/>
          </w:tcPr>
          <w:p w14:paraId="19486D55">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锰</w:t>
            </w:r>
          </w:p>
        </w:tc>
        <w:tc>
          <w:tcPr>
            <w:tcW w:w="1462" w:type="pct"/>
            <w:noWrap/>
            <w:vAlign w:val="center"/>
          </w:tcPr>
          <w:p w14:paraId="0A9722FC">
            <w:pPr>
              <w:adjustRightInd w:val="0"/>
              <w:snapToGrid w:val="0"/>
              <w:jc w:val="center"/>
              <w:rPr>
                <w:rFonts w:ascii="Times New Roman" w:hAnsi="Times New Roman" w:cs="Times New Roman"/>
                <w:sz w:val="21"/>
              </w:rPr>
            </w:pPr>
            <w:r>
              <w:rPr>
                <w:rFonts w:ascii="Times New Roman" w:hAnsi="Times New Roman" w:cs="Times New Roman"/>
                <w:sz w:val="21"/>
              </w:rPr>
              <w:t>≤0.1</w:t>
            </w:r>
          </w:p>
        </w:tc>
        <w:tc>
          <w:tcPr>
            <w:tcW w:w="1627" w:type="pct"/>
            <w:vMerge w:val="continue"/>
            <w:noWrap/>
            <w:vAlign w:val="center"/>
          </w:tcPr>
          <w:p w14:paraId="6325CD80">
            <w:pPr>
              <w:adjustRightInd w:val="0"/>
              <w:snapToGrid w:val="0"/>
              <w:jc w:val="center"/>
              <w:rPr>
                <w:rFonts w:ascii="Times New Roman" w:hAnsi="Times New Roman" w:cs="Times New Roman"/>
                <w:sz w:val="21"/>
              </w:rPr>
            </w:pPr>
          </w:p>
        </w:tc>
      </w:tr>
      <w:tr w14:paraId="49EE747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683" w:type="pct"/>
            <w:noWrap/>
            <w:vAlign w:val="center"/>
          </w:tcPr>
          <w:p w14:paraId="6C63A7B9">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16</w:t>
            </w:r>
          </w:p>
        </w:tc>
        <w:tc>
          <w:tcPr>
            <w:tcW w:w="1228" w:type="pct"/>
            <w:noWrap/>
            <w:vAlign w:val="center"/>
          </w:tcPr>
          <w:p w14:paraId="46264730">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溶解性总固体</w:t>
            </w:r>
          </w:p>
        </w:tc>
        <w:tc>
          <w:tcPr>
            <w:tcW w:w="1462" w:type="pct"/>
            <w:noWrap/>
            <w:vAlign w:val="center"/>
          </w:tcPr>
          <w:p w14:paraId="4585D454">
            <w:pPr>
              <w:adjustRightInd w:val="0"/>
              <w:snapToGrid w:val="0"/>
              <w:jc w:val="center"/>
              <w:rPr>
                <w:rFonts w:ascii="Times New Roman" w:hAnsi="Times New Roman" w:cs="Times New Roman"/>
                <w:sz w:val="21"/>
                <w:lang w:eastAsia="zh-CN"/>
              </w:rPr>
            </w:pPr>
            <w:r>
              <w:rPr>
                <w:rFonts w:ascii="Times New Roman" w:hAnsi="Times New Roman" w:cs="Times New Roman"/>
                <w:sz w:val="21"/>
              </w:rPr>
              <w:t>≤</w:t>
            </w:r>
            <w:r>
              <w:rPr>
                <w:rFonts w:ascii="Times New Roman" w:hAnsi="Times New Roman" w:cs="Times New Roman"/>
                <w:sz w:val="21"/>
                <w:lang w:eastAsia="zh-CN"/>
              </w:rPr>
              <w:t>1000</w:t>
            </w:r>
          </w:p>
        </w:tc>
        <w:tc>
          <w:tcPr>
            <w:tcW w:w="1627" w:type="pct"/>
            <w:vMerge w:val="continue"/>
            <w:noWrap/>
            <w:vAlign w:val="center"/>
          </w:tcPr>
          <w:p w14:paraId="3A2F76D4">
            <w:pPr>
              <w:adjustRightInd w:val="0"/>
              <w:snapToGrid w:val="0"/>
              <w:jc w:val="center"/>
              <w:rPr>
                <w:rFonts w:ascii="Times New Roman" w:hAnsi="Times New Roman" w:cs="Times New Roman"/>
                <w:sz w:val="21"/>
              </w:rPr>
            </w:pPr>
          </w:p>
        </w:tc>
      </w:tr>
      <w:tr w14:paraId="3DF31A3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683" w:type="pct"/>
            <w:noWrap/>
            <w:vAlign w:val="center"/>
          </w:tcPr>
          <w:p w14:paraId="5BF6BDB7">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17</w:t>
            </w:r>
          </w:p>
        </w:tc>
        <w:tc>
          <w:tcPr>
            <w:tcW w:w="1228" w:type="pct"/>
            <w:noWrap/>
            <w:vAlign w:val="center"/>
          </w:tcPr>
          <w:p w14:paraId="23D8F012">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耗氧量</w:t>
            </w:r>
          </w:p>
        </w:tc>
        <w:tc>
          <w:tcPr>
            <w:tcW w:w="1462" w:type="pct"/>
            <w:noWrap/>
            <w:vAlign w:val="center"/>
          </w:tcPr>
          <w:p w14:paraId="547EAD2B">
            <w:pPr>
              <w:adjustRightInd w:val="0"/>
              <w:snapToGrid w:val="0"/>
              <w:jc w:val="center"/>
              <w:rPr>
                <w:rFonts w:ascii="Times New Roman" w:hAnsi="Times New Roman" w:cs="Times New Roman"/>
                <w:sz w:val="21"/>
                <w:lang w:eastAsia="zh-CN"/>
              </w:rPr>
            </w:pPr>
            <w:r>
              <w:rPr>
                <w:rFonts w:ascii="Times New Roman" w:hAnsi="Times New Roman" w:cs="Times New Roman"/>
                <w:sz w:val="21"/>
              </w:rPr>
              <w:t>≤</w:t>
            </w:r>
            <w:r>
              <w:rPr>
                <w:rFonts w:ascii="Times New Roman" w:hAnsi="Times New Roman" w:cs="Times New Roman"/>
                <w:sz w:val="21"/>
                <w:lang w:eastAsia="zh-CN"/>
              </w:rPr>
              <w:t>3.0</w:t>
            </w:r>
          </w:p>
        </w:tc>
        <w:tc>
          <w:tcPr>
            <w:tcW w:w="1627" w:type="pct"/>
            <w:vMerge w:val="continue"/>
            <w:noWrap/>
            <w:vAlign w:val="center"/>
          </w:tcPr>
          <w:p w14:paraId="1AC6212A">
            <w:pPr>
              <w:adjustRightInd w:val="0"/>
              <w:snapToGrid w:val="0"/>
              <w:jc w:val="center"/>
              <w:rPr>
                <w:rFonts w:ascii="Times New Roman" w:hAnsi="Times New Roman" w:cs="Times New Roman"/>
                <w:sz w:val="21"/>
              </w:rPr>
            </w:pPr>
          </w:p>
        </w:tc>
      </w:tr>
      <w:tr w14:paraId="1889712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683" w:type="pct"/>
            <w:noWrap/>
            <w:vAlign w:val="center"/>
          </w:tcPr>
          <w:p w14:paraId="32421856">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18</w:t>
            </w:r>
          </w:p>
        </w:tc>
        <w:tc>
          <w:tcPr>
            <w:tcW w:w="1228" w:type="pct"/>
            <w:noWrap/>
            <w:vAlign w:val="center"/>
          </w:tcPr>
          <w:p w14:paraId="2CAC58FC">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硫酸盐</w:t>
            </w:r>
          </w:p>
        </w:tc>
        <w:tc>
          <w:tcPr>
            <w:tcW w:w="1462" w:type="pct"/>
            <w:noWrap/>
            <w:vAlign w:val="center"/>
          </w:tcPr>
          <w:p w14:paraId="6ADE88CC">
            <w:pPr>
              <w:adjustRightInd w:val="0"/>
              <w:snapToGrid w:val="0"/>
              <w:jc w:val="center"/>
              <w:rPr>
                <w:rFonts w:ascii="Times New Roman" w:hAnsi="Times New Roman" w:cs="Times New Roman"/>
                <w:sz w:val="21"/>
                <w:lang w:eastAsia="zh-CN"/>
              </w:rPr>
            </w:pPr>
            <w:r>
              <w:rPr>
                <w:rFonts w:ascii="Times New Roman" w:hAnsi="Times New Roman" w:cs="Times New Roman"/>
                <w:sz w:val="21"/>
              </w:rPr>
              <w:t>≤</w:t>
            </w:r>
            <w:r>
              <w:rPr>
                <w:rFonts w:ascii="Times New Roman" w:hAnsi="Times New Roman" w:cs="Times New Roman"/>
                <w:sz w:val="21"/>
                <w:lang w:eastAsia="zh-CN"/>
              </w:rPr>
              <w:t>250</w:t>
            </w:r>
          </w:p>
        </w:tc>
        <w:tc>
          <w:tcPr>
            <w:tcW w:w="1627" w:type="pct"/>
            <w:vMerge w:val="continue"/>
            <w:noWrap/>
            <w:vAlign w:val="center"/>
          </w:tcPr>
          <w:p w14:paraId="7632DE5C">
            <w:pPr>
              <w:adjustRightInd w:val="0"/>
              <w:snapToGrid w:val="0"/>
              <w:jc w:val="center"/>
              <w:rPr>
                <w:rFonts w:ascii="Times New Roman" w:hAnsi="Times New Roman" w:cs="Times New Roman"/>
                <w:sz w:val="21"/>
              </w:rPr>
            </w:pPr>
          </w:p>
        </w:tc>
      </w:tr>
      <w:tr w14:paraId="0C7CB16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683" w:type="pct"/>
            <w:noWrap/>
            <w:vAlign w:val="center"/>
          </w:tcPr>
          <w:p w14:paraId="6BC59C48">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19</w:t>
            </w:r>
          </w:p>
        </w:tc>
        <w:tc>
          <w:tcPr>
            <w:tcW w:w="1228" w:type="pct"/>
            <w:noWrap/>
            <w:vAlign w:val="center"/>
          </w:tcPr>
          <w:p w14:paraId="17097730">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氯化物</w:t>
            </w:r>
          </w:p>
        </w:tc>
        <w:tc>
          <w:tcPr>
            <w:tcW w:w="1462" w:type="pct"/>
            <w:noWrap/>
            <w:vAlign w:val="center"/>
          </w:tcPr>
          <w:p w14:paraId="612E17D2">
            <w:pPr>
              <w:adjustRightInd w:val="0"/>
              <w:snapToGrid w:val="0"/>
              <w:jc w:val="center"/>
              <w:rPr>
                <w:rFonts w:ascii="Times New Roman" w:hAnsi="Times New Roman" w:cs="Times New Roman"/>
                <w:sz w:val="21"/>
                <w:lang w:eastAsia="zh-CN"/>
              </w:rPr>
            </w:pPr>
            <w:r>
              <w:rPr>
                <w:rFonts w:ascii="Times New Roman" w:hAnsi="Times New Roman" w:cs="Times New Roman"/>
                <w:sz w:val="21"/>
              </w:rPr>
              <w:t>≤</w:t>
            </w:r>
            <w:r>
              <w:rPr>
                <w:rFonts w:ascii="Times New Roman" w:hAnsi="Times New Roman" w:cs="Times New Roman"/>
                <w:sz w:val="21"/>
                <w:lang w:eastAsia="zh-CN"/>
              </w:rPr>
              <w:t>250</w:t>
            </w:r>
          </w:p>
        </w:tc>
        <w:tc>
          <w:tcPr>
            <w:tcW w:w="1627" w:type="pct"/>
            <w:vMerge w:val="continue"/>
            <w:noWrap/>
            <w:vAlign w:val="center"/>
          </w:tcPr>
          <w:p w14:paraId="4054B3A6">
            <w:pPr>
              <w:adjustRightInd w:val="0"/>
              <w:snapToGrid w:val="0"/>
              <w:jc w:val="center"/>
              <w:rPr>
                <w:rFonts w:ascii="Times New Roman" w:hAnsi="Times New Roman" w:cs="Times New Roman"/>
                <w:sz w:val="21"/>
              </w:rPr>
            </w:pPr>
          </w:p>
        </w:tc>
      </w:tr>
      <w:tr w14:paraId="52F50DE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683" w:type="pct"/>
            <w:noWrap/>
            <w:vAlign w:val="center"/>
          </w:tcPr>
          <w:p w14:paraId="26AED546">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20</w:t>
            </w:r>
          </w:p>
        </w:tc>
        <w:tc>
          <w:tcPr>
            <w:tcW w:w="1228" w:type="pct"/>
            <w:noWrap/>
            <w:vAlign w:val="center"/>
          </w:tcPr>
          <w:p w14:paraId="1C38A6E3">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总大肠菌群（个/mL）</w:t>
            </w:r>
          </w:p>
        </w:tc>
        <w:tc>
          <w:tcPr>
            <w:tcW w:w="1462" w:type="pct"/>
            <w:noWrap/>
            <w:vAlign w:val="center"/>
          </w:tcPr>
          <w:p w14:paraId="44671EBE">
            <w:pPr>
              <w:adjustRightInd w:val="0"/>
              <w:snapToGrid w:val="0"/>
              <w:jc w:val="center"/>
              <w:rPr>
                <w:rFonts w:ascii="Times New Roman" w:hAnsi="Times New Roman" w:cs="Times New Roman"/>
                <w:sz w:val="21"/>
              </w:rPr>
            </w:pPr>
            <w:r>
              <w:rPr>
                <w:rFonts w:ascii="Times New Roman" w:hAnsi="Times New Roman" w:cs="Times New Roman"/>
                <w:sz w:val="21"/>
              </w:rPr>
              <w:t>≤3</w:t>
            </w:r>
          </w:p>
        </w:tc>
        <w:tc>
          <w:tcPr>
            <w:tcW w:w="1627" w:type="pct"/>
            <w:vMerge w:val="continue"/>
            <w:noWrap/>
            <w:vAlign w:val="center"/>
          </w:tcPr>
          <w:p w14:paraId="4313356A">
            <w:pPr>
              <w:adjustRightInd w:val="0"/>
              <w:snapToGrid w:val="0"/>
              <w:jc w:val="center"/>
              <w:rPr>
                <w:rFonts w:ascii="Times New Roman" w:hAnsi="Times New Roman" w:cs="Times New Roman"/>
                <w:sz w:val="21"/>
              </w:rPr>
            </w:pPr>
          </w:p>
        </w:tc>
      </w:tr>
      <w:tr w14:paraId="27F7AECD">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683" w:type="pct"/>
            <w:noWrap/>
            <w:vAlign w:val="center"/>
          </w:tcPr>
          <w:p w14:paraId="57E08F8B">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21</w:t>
            </w:r>
          </w:p>
        </w:tc>
        <w:tc>
          <w:tcPr>
            <w:tcW w:w="1228" w:type="pct"/>
            <w:noWrap/>
            <w:vAlign w:val="center"/>
          </w:tcPr>
          <w:p w14:paraId="5CEFA5E8">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细菌总数（个/mL）</w:t>
            </w:r>
          </w:p>
        </w:tc>
        <w:tc>
          <w:tcPr>
            <w:tcW w:w="1462" w:type="pct"/>
            <w:noWrap/>
            <w:vAlign w:val="center"/>
          </w:tcPr>
          <w:p w14:paraId="70BC8A06">
            <w:pPr>
              <w:adjustRightInd w:val="0"/>
              <w:snapToGrid w:val="0"/>
              <w:jc w:val="center"/>
              <w:rPr>
                <w:rFonts w:ascii="Times New Roman" w:hAnsi="Times New Roman" w:cs="Times New Roman"/>
                <w:sz w:val="21"/>
              </w:rPr>
            </w:pPr>
            <w:r>
              <w:rPr>
                <w:rFonts w:ascii="Times New Roman" w:hAnsi="Times New Roman" w:cs="Times New Roman"/>
                <w:sz w:val="21"/>
              </w:rPr>
              <w:t>≤100</w:t>
            </w:r>
          </w:p>
        </w:tc>
        <w:tc>
          <w:tcPr>
            <w:tcW w:w="1627" w:type="pct"/>
            <w:vMerge w:val="continue"/>
            <w:noWrap/>
            <w:vAlign w:val="center"/>
          </w:tcPr>
          <w:p w14:paraId="0C07F2BB">
            <w:pPr>
              <w:adjustRightInd w:val="0"/>
              <w:snapToGrid w:val="0"/>
              <w:jc w:val="center"/>
              <w:rPr>
                <w:rFonts w:ascii="Times New Roman" w:hAnsi="Times New Roman" w:cs="Times New Roman"/>
                <w:sz w:val="21"/>
              </w:rPr>
            </w:pPr>
          </w:p>
        </w:tc>
      </w:tr>
      <w:tr w14:paraId="5FFD9EB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683" w:type="pct"/>
            <w:noWrap/>
            <w:vAlign w:val="center"/>
          </w:tcPr>
          <w:p w14:paraId="1E23546D">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2</w:t>
            </w:r>
            <w:r>
              <w:rPr>
                <w:rFonts w:hint="eastAsia" w:ascii="Times New Roman" w:hAnsi="Times New Roman" w:cs="Times New Roman"/>
                <w:sz w:val="21"/>
                <w:lang w:eastAsia="zh-CN"/>
              </w:rPr>
              <w:t>2</w:t>
            </w:r>
          </w:p>
        </w:tc>
        <w:tc>
          <w:tcPr>
            <w:tcW w:w="1228" w:type="pct"/>
            <w:noWrap/>
            <w:vAlign w:val="center"/>
          </w:tcPr>
          <w:p w14:paraId="4C6A9697">
            <w:pPr>
              <w:adjustRightInd w:val="0"/>
              <w:snapToGrid w:val="0"/>
              <w:jc w:val="center"/>
              <w:rPr>
                <w:rFonts w:ascii="Times New Roman" w:hAnsi="Times New Roman" w:cs="Times New Roman"/>
                <w:sz w:val="21"/>
                <w:lang w:eastAsia="zh-CN"/>
              </w:rPr>
            </w:pPr>
            <w:r>
              <w:rPr>
                <w:rFonts w:hint="eastAsia" w:ascii="Times New Roman" w:hAnsi="Times New Roman" w:cs="Times New Roman"/>
                <w:sz w:val="21"/>
                <w:lang w:eastAsia="zh-CN"/>
              </w:rPr>
              <w:t>氟化物</w:t>
            </w:r>
          </w:p>
        </w:tc>
        <w:tc>
          <w:tcPr>
            <w:tcW w:w="1462" w:type="pct"/>
            <w:noWrap/>
            <w:vAlign w:val="center"/>
          </w:tcPr>
          <w:p w14:paraId="301FF327">
            <w:pPr>
              <w:adjustRightInd w:val="0"/>
              <w:snapToGrid w:val="0"/>
              <w:jc w:val="center"/>
              <w:rPr>
                <w:rFonts w:ascii="Times New Roman" w:hAnsi="Times New Roman" w:cs="Times New Roman"/>
                <w:sz w:val="21"/>
                <w:lang w:eastAsia="zh-CN"/>
              </w:rPr>
            </w:pPr>
            <w:r>
              <w:rPr>
                <w:rFonts w:ascii="Times New Roman" w:hAnsi="Times New Roman" w:cs="Times New Roman"/>
                <w:sz w:val="21"/>
              </w:rPr>
              <w:t>≤</w:t>
            </w:r>
            <w:r>
              <w:rPr>
                <w:rFonts w:hint="eastAsia" w:ascii="Times New Roman" w:hAnsi="Times New Roman" w:cs="Times New Roman"/>
                <w:sz w:val="21"/>
                <w:lang w:eastAsia="zh-CN"/>
              </w:rPr>
              <w:t>1.0</w:t>
            </w:r>
          </w:p>
        </w:tc>
        <w:tc>
          <w:tcPr>
            <w:tcW w:w="1627" w:type="pct"/>
            <w:vMerge w:val="continue"/>
            <w:noWrap/>
            <w:vAlign w:val="center"/>
          </w:tcPr>
          <w:p w14:paraId="54BFDFE8">
            <w:pPr>
              <w:adjustRightInd w:val="0"/>
              <w:snapToGrid w:val="0"/>
              <w:jc w:val="center"/>
              <w:rPr>
                <w:rFonts w:ascii="Times New Roman" w:hAnsi="Times New Roman" w:cs="Times New Roman"/>
                <w:sz w:val="21"/>
              </w:rPr>
            </w:pPr>
          </w:p>
        </w:tc>
      </w:tr>
    </w:tbl>
    <w:p w14:paraId="1FBEF813">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4、声环境</w:t>
      </w:r>
    </w:p>
    <w:p w14:paraId="7C3FB4B6">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区域声环境执行《声环境质量标准》（GB3096-2008）中的 3 类标准，具体标准值见下表。</w:t>
      </w:r>
    </w:p>
    <w:p w14:paraId="330492B8">
      <w:pPr>
        <w:widowControl w:val="0"/>
        <w:spacing w:line="360" w:lineRule="auto"/>
        <w:jc w:val="center"/>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表2.3-6 声环境质量标准</w:t>
      </w:r>
    </w:p>
    <w:tbl>
      <w:tblPr>
        <w:tblStyle w:val="35"/>
        <w:tblW w:w="4999"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3690"/>
        <w:gridCol w:w="3027"/>
        <w:gridCol w:w="3027"/>
      </w:tblGrid>
      <w:tr w14:paraId="2503EF5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893" w:type="pct"/>
            <w:vMerge w:val="restart"/>
            <w:vAlign w:val="center"/>
          </w:tcPr>
          <w:p w14:paraId="517D6633">
            <w:pPr>
              <w:widowControl w:val="0"/>
              <w:adjustRightInd w:val="0"/>
              <w:snapToGrid w:val="0"/>
              <w:jc w:val="center"/>
              <w:rPr>
                <w:rFonts w:ascii="Times New Roman" w:hAnsi="Times New Roman" w:eastAsia="新宋体" w:cs="Times New Roman"/>
                <w:b/>
                <w:color w:val="auto"/>
                <w:kern w:val="2"/>
                <w:sz w:val="21"/>
              </w:rPr>
            </w:pPr>
            <w:r>
              <w:rPr>
                <w:rFonts w:ascii="Times New Roman" w:hAnsi="Times New Roman" w:eastAsia="新宋体" w:cs="Times New Roman"/>
                <w:b/>
                <w:color w:val="auto"/>
                <w:kern w:val="2"/>
                <w:sz w:val="21"/>
              </w:rPr>
              <w:t>执行标准类别</w:t>
            </w:r>
          </w:p>
        </w:tc>
        <w:tc>
          <w:tcPr>
            <w:tcW w:w="3106" w:type="pct"/>
            <w:gridSpan w:val="2"/>
            <w:vAlign w:val="center"/>
          </w:tcPr>
          <w:p w14:paraId="52C685B2">
            <w:pPr>
              <w:widowControl w:val="0"/>
              <w:adjustRightInd w:val="0"/>
              <w:snapToGrid w:val="0"/>
              <w:jc w:val="center"/>
              <w:rPr>
                <w:rFonts w:ascii="Times New Roman" w:hAnsi="Times New Roman" w:eastAsia="新宋体" w:cs="Times New Roman"/>
                <w:b/>
                <w:color w:val="auto"/>
                <w:kern w:val="2"/>
                <w:sz w:val="21"/>
              </w:rPr>
            </w:pPr>
            <w:r>
              <w:rPr>
                <w:rFonts w:ascii="Times New Roman" w:hAnsi="Times New Roman" w:eastAsia="新宋体" w:cs="Times New Roman"/>
                <w:b/>
                <w:color w:val="auto"/>
                <w:kern w:val="2"/>
                <w:sz w:val="21"/>
              </w:rPr>
              <w:t>标准值[dB(A)]</w:t>
            </w:r>
          </w:p>
        </w:tc>
      </w:tr>
      <w:tr w14:paraId="6897AD5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893" w:type="pct"/>
            <w:vMerge w:val="continue"/>
            <w:vAlign w:val="center"/>
          </w:tcPr>
          <w:p w14:paraId="23015869">
            <w:pPr>
              <w:widowControl w:val="0"/>
              <w:adjustRightInd w:val="0"/>
              <w:snapToGrid w:val="0"/>
              <w:jc w:val="center"/>
              <w:rPr>
                <w:rFonts w:ascii="Times New Roman" w:hAnsi="Times New Roman" w:eastAsia="新宋体" w:cs="Times New Roman"/>
                <w:b/>
                <w:color w:val="auto"/>
                <w:kern w:val="2"/>
                <w:sz w:val="21"/>
              </w:rPr>
            </w:pPr>
          </w:p>
        </w:tc>
        <w:tc>
          <w:tcPr>
            <w:tcW w:w="1553" w:type="pct"/>
            <w:vAlign w:val="center"/>
          </w:tcPr>
          <w:p w14:paraId="05A98765">
            <w:pPr>
              <w:widowControl w:val="0"/>
              <w:adjustRightInd w:val="0"/>
              <w:snapToGrid w:val="0"/>
              <w:jc w:val="center"/>
              <w:rPr>
                <w:rFonts w:ascii="Times New Roman" w:hAnsi="Times New Roman" w:eastAsia="新宋体" w:cs="Times New Roman"/>
                <w:b/>
                <w:color w:val="auto"/>
                <w:kern w:val="2"/>
                <w:sz w:val="21"/>
              </w:rPr>
            </w:pPr>
            <w:r>
              <w:rPr>
                <w:rFonts w:ascii="Times New Roman" w:hAnsi="Times New Roman" w:eastAsia="新宋体" w:cs="Times New Roman"/>
                <w:b/>
                <w:color w:val="auto"/>
                <w:kern w:val="2"/>
                <w:sz w:val="21"/>
              </w:rPr>
              <w:t>昼间</w:t>
            </w:r>
          </w:p>
        </w:tc>
        <w:tc>
          <w:tcPr>
            <w:tcW w:w="1553" w:type="pct"/>
            <w:vAlign w:val="center"/>
          </w:tcPr>
          <w:p w14:paraId="53BBD999">
            <w:pPr>
              <w:widowControl w:val="0"/>
              <w:adjustRightInd w:val="0"/>
              <w:snapToGrid w:val="0"/>
              <w:jc w:val="center"/>
              <w:rPr>
                <w:rFonts w:ascii="Times New Roman" w:hAnsi="Times New Roman" w:eastAsia="新宋体" w:cs="Times New Roman"/>
                <w:b/>
                <w:color w:val="auto"/>
                <w:kern w:val="2"/>
                <w:sz w:val="21"/>
              </w:rPr>
            </w:pPr>
            <w:r>
              <w:rPr>
                <w:rFonts w:ascii="Times New Roman" w:hAnsi="Times New Roman" w:eastAsia="新宋体" w:cs="Times New Roman"/>
                <w:b/>
                <w:color w:val="auto"/>
                <w:kern w:val="2"/>
                <w:sz w:val="21"/>
              </w:rPr>
              <w:t>夜间</w:t>
            </w:r>
          </w:p>
        </w:tc>
      </w:tr>
      <w:tr w14:paraId="4188984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893" w:type="pct"/>
            <w:vAlign w:val="center"/>
          </w:tcPr>
          <w:p w14:paraId="1DE24FAE">
            <w:pPr>
              <w:widowControl w:val="0"/>
              <w:adjustRightInd w:val="0"/>
              <w:snapToGrid w:val="0"/>
              <w:jc w:val="center"/>
              <w:rPr>
                <w:rFonts w:ascii="Times New Roman" w:hAnsi="Times New Roman" w:eastAsia="新宋体" w:cs="Times New Roman"/>
                <w:color w:val="auto"/>
                <w:kern w:val="2"/>
                <w:sz w:val="21"/>
              </w:rPr>
            </w:pPr>
            <w:r>
              <w:rPr>
                <w:rFonts w:ascii="Times New Roman" w:hAnsi="Times New Roman" w:eastAsia="新宋体" w:cs="Times New Roman"/>
                <w:color w:val="auto"/>
                <w:kern w:val="2"/>
                <w:sz w:val="21"/>
              </w:rPr>
              <w:t>GB3096-2008中3类标准</w:t>
            </w:r>
          </w:p>
        </w:tc>
        <w:tc>
          <w:tcPr>
            <w:tcW w:w="1553" w:type="pct"/>
            <w:vAlign w:val="center"/>
          </w:tcPr>
          <w:p w14:paraId="0E1794F7">
            <w:pPr>
              <w:widowControl w:val="0"/>
              <w:adjustRightInd w:val="0"/>
              <w:snapToGrid w:val="0"/>
              <w:jc w:val="center"/>
              <w:rPr>
                <w:rFonts w:ascii="Times New Roman" w:hAnsi="Times New Roman" w:eastAsia="新宋体" w:cs="Times New Roman"/>
                <w:color w:val="auto"/>
                <w:kern w:val="2"/>
                <w:sz w:val="21"/>
              </w:rPr>
            </w:pPr>
            <w:r>
              <w:rPr>
                <w:rFonts w:ascii="Times New Roman" w:hAnsi="Times New Roman" w:eastAsia="新宋体" w:cs="Times New Roman"/>
                <w:color w:val="auto"/>
                <w:kern w:val="2"/>
                <w:sz w:val="21"/>
              </w:rPr>
              <w:t>65</w:t>
            </w:r>
          </w:p>
        </w:tc>
        <w:tc>
          <w:tcPr>
            <w:tcW w:w="1553" w:type="pct"/>
            <w:vAlign w:val="center"/>
          </w:tcPr>
          <w:p w14:paraId="39BA7789">
            <w:pPr>
              <w:widowControl w:val="0"/>
              <w:adjustRightInd w:val="0"/>
              <w:snapToGrid w:val="0"/>
              <w:jc w:val="center"/>
              <w:rPr>
                <w:rFonts w:ascii="Times New Roman" w:hAnsi="Times New Roman" w:eastAsia="新宋体" w:cs="Times New Roman"/>
                <w:color w:val="auto"/>
                <w:kern w:val="2"/>
                <w:sz w:val="21"/>
              </w:rPr>
            </w:pPr>
            <w:r>
              <w:rPr>
                <w:rFonts w:ascii="Times New Roman" w:hAnsi="Times New Roman" w:eastAsia="新宋体" w:cs="Times New Roman"/>
                <w:color w:val="auto"/>
                <w:kern w:val="2"/>
                <w:sz w:val="21"/>
              </w:rPr>
              <w:t>55</w:t>
            </w:r>
          </w:p>
        </w:tc>
      </w:tr>
    </w:tbl>
    <w:p w14:paraId="304625D9">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5、土壤环境</w:t>
      </w:r>
    </w:p>
    <w:p w14:paraId="0E26B1B4">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hint="eastAsia" w:ascii="Times New Roman" w:hAnsi="Times New Roman" w:eastAsia="新宋体" w:cs="Times New Roman"/>
          <w:color w:val="auto"/>
          <w:szCs w:val="24"/>
          <w:lang w:eastAsia="zh-CN"/>
        </w:rPr>
        <w:t>项目区域建设用地土壤环境质量执行《建设用地土壤污染风险管控标准（试行）》（GB36600-2018）第二类用地筛选值标准，大柏村土壤环境质量执行《建设用地土壤污染风险管控标准（试行）》（GB36600-2018）第一类用地筛选值标准，农用地土壤环境质量执行《土壤环境质量农用地土壤污染风险管控标准（试行）》（GB15618-2018）中筛选值标准。具体标准值见下表</w:t>
      </w:r>
      <w:r>
        <w:rPr>
          <w:rFonts w:ascii="Times New Roman" w:hAnsi="Times New Roman" w:eastAsia="新宋体" w:cs="Times New Roman"/>
          <w:color w:val="auto"/>
          <w:szCs w:val="24"/>
          <w:lang w:eastAsia="zh-CN"/>
        </w:rPr>
        <w:t>。</w:t>
      </w:r>
    </w:p>
    <w:p w14:paraId="18EE22A8">
      <w:pPr>
        <w:spacing w:line="360" w:lineRule="auto"/>
        <w:jc w:val="center"/>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表2.3-7 建设用地土壤污染风险管控标准用地筛选值（mg/kg）</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934"/>
        <w:gridCol w:w="2604"/>
        <w:gridCol w:w="2119"/>
        <w:gridCol w:w="2056"/>
        <w:gridCol w:w="2033"/>
      </w:tblGrid>
      <w:tr w14:paraId="1028AFC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02B458EF">
            <w:pPr>
              <w:pStyle w:val="60"/>
              <w:adjustRightInd w:val="0"/>
              <w:ind w:left="0" w:leftChars="0"/>
              <w:jc w:val="center"/>
              <w:rPr>
                <w:rFonts w:ascii="Times New Roman" w:hAnsi="Times New Roman"/>
                <w:b/>
                <w:color w:val="auto"/>
                <w:sz w:val="21"/>
                <w:szCs w:val="21"/>
              </w:rPr>
            </w:pPr>
            <w:r>
              <w:rPr>
                <w:rFonts w:ascii="Times New Roman" w:hAnsi="Times New Roman"/>
                <w:b/>
                <w:color w:val="auto"/>
                <w:sz w:val="21"/>
                <w:szCs w:val="21"/>
              </w:rPr>
              <w:t>序号</w:t>
            </w:r>
          </w:p>
        </w:tc>
        <w:tc>
          <w:tcPr>
            <w:tcW w:w="1336" w:type="pct"/>
            <w:vAlign w:val="center"/>
          </w:tcPr>
          <w:p w14:paraId="5BC46A64">
            <w:pPr>
              <w:pStyle w:val="60"/>
              <w:adjustRightInd w:val="0"/>
              <w:ind w:left="0" w:leftChars="0"/>
              <w:jc w:val="center"/>
              <w:rPr>
                <w:rFonts w:ascii="Times New Roman" w:hAnsi="Times New Roman"/>
                <w:b/>
                <w:color w:val="auto"/>
                <w:sz w:val="21"/>
                <w:szCs w:val="21"/>
              </w:rPr>
            </w:pPr>
            <w:r>
              <w:rPr>
                <w:rFonts w:ascii="Times New Roman" w:hAnsi="Times New Roman"/>
                <w:b/>
                <w:color w:val="auto"/>
                <w:sz w:val="21"/>
                <w:szCs w:val="21"/>
              </w:rPr>
              <w:t>污染物项目</w:t>
            </w:r>
          </w:p>
        </w:tc>
        <w:tc>
          <w:tcPr>
            <w:tcW w:w="1087" w:type="pct"/>
            <w:vAlign w:val="center"/>
          </w:tcPr>
          <w:p w14:paraId="1932668F">
            <w:pPr>
              <w:pStyle w:val="60"/>
              <w:adjustRightInd w:val="0"/>
              <w:ind w:left="0" w:leftChars="0"/>
              <w:jc w:val="center"/>
              <w:rPr>
                <w:rFonts w:ascii="Times New Roman" w:hAnsi="Times New Roman"/>
                <w:b/>
                <w:color w:val="auto"/>
                <w:sz w:val="21"/>
                <w:szCs w:val="21"/>
              </w:rPr>
            </w:pPr>
            <w:r>
              <w:rPr>
                <w:rFonts w:ascii="Times New Roman" w:hAnsi="Times New Roman"/>
                <w:b/>
                <w:color w:val="auto"/>
                <w:sz w:val="21"/>
                <w:szCs w:val="21"/>
              </w:rPr>
              <w:t>CAS编号</w:t>
            </w:r>
          </w:p>
        </w:tc>
        <w:tc>
          <w:tcPr>
            <w:tcW w:w="1055" w:type="pct"/>
            <w:vAlign w:val="center"/>
          </w:tcPr>
          <w:p w14:paraId="3D953977">
            <w:pPr>
              <w:pStyle w:val="60"/>
              <w:adjustRightInd w:val="0"/>
              <w:ind w:left="0" w:leftChars="0"/>
              <w:jc w:val="center"/>
              <w:rPr>
                <w:rFonts w:ascii="Times New Roman" w:hAnsi="Times New Roman"/>
                <w:b/>
                <w:color w:val="auto"/>
                <w:sz w:val="21"/>
                <w:szCs w:val="21"/>
              </w:rPr>
            </w:pPr>
            <w:r>
              <w:rPr>
                <w:rFonts w:ascii="Times New Roman" w:hAnsi="Times New Roman"/>
                <w:b/>
                <w:color w:val="auto"/>
                <w:sz w:val="21"/>
                <w:szCs w:val="21"/>
              </w:rPr>
              <w:t>第一类用地</w:t>
            </w:r>
          </w:p>
        </w:tc>
        <w:tc>
          <w:tcPr>
            <w:tcW w:w="1043" w:type="pct"/>
            <w:vAlign w:val="center"/>
          </w:tcPr>
          <w:p w14:paraId="20CA68F1">
            <w:pPr>
              <w:pStyle w:val="60"/>
              <w:adjustRightInd w:val="0"/>
              <w:ind w:left="0" w:leftChars="0"/>
              <w:jc w:val="center"/>
              <w:rPr>
                <w:rFonts w:ascii="Times New Roman" w:hAnsi="Times New Roman"/>
                <w:b/>
                <w:color w:val="auto"/>
                <w:sz w:val="21"/>
                <w:szCs w:val="21"/>
              </w:rPr>
            </w:pPr>
            <w:r>
              <w:rPr>
                <w:rFonts w:ascii="Times New Roman" w:hAnsi="Times New Roman"/>
                <w:b/>
                <w:color w:val="auto"/>
                <w:sz w:val="21"/>
                <w:szCs w:val="21"/>
              </w:rPr>
              <w:t>第二类用地</w:t>
            </w:r>
          </w:p>
        </w:tc>
      </w:tr>
      <w:tr w14:paraId="41859D2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5000" w:type="pct"/>
            <w:gridSpan w:val="5"/>
            <w:vAlign w:val="center"/>
          </w:tcPr>
          <w:p w14:paraId="03ED4BE7">
            <w:pPr>
              <w:pStyle w:val="60"/>
              <w:adjustRightInd w:val="0"/>
              <w:ind w:left="0" w:leftChars="0"/>
              <w:jc w:val="center"/>
              <w:rPr>
                <w:rFonts w:ascii="Times New Roman" w:hAnsi="Times New Roman"/>
                <w:color w:val="auto"/>
                <w:sz w:val="21"/>
                <w:szCs w:val="21"/>
              </w:rPr>
            </w:pPr>
            <w:r>
              <w:rPr>
                <w:rFonts w:ascii="Times New Roman" w:hAnsi="Times New Roman"/>
                <w:b/>
                <w:bCs/>
                <w:color w:val="auto"/>
                <w:sz w:val="21"/>
                <w:szCs w:val="21"/>
              </w:rPr>
              <w:t>重金属和无机物</w:t>
            </w:r>
          </w:p>
        </w:tc>
      </w:tr>
      <w:tr w14:paraId="5370CC5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3DE9EE61">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w:t>
            </w:r>
          </w:p>
        </w:tc>
        <w:tc>
          <w:tcPr>
            <w:tcW w:w="1336" w:type="pct"/>
            <w:vAlign w:val="center"/>
          </w:tcPr>
          <w:p w14:paraId="526ACE96">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砷</w:t>
            </w:r>
          </w:p>
        </w:tc>
        <w:tc>
          <w:tcPr>
            <w:tcW w:w="1087" w:type="pct"/>
            <w:vAlign w:val="center"/>
          </w:tcPr>
          <w:p w14:paraId="6684380B">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7440-38-2</w:t>
            </w:r>
          </w:p>
        </w:tc>
        <w:tc>
          <w:tcPr>
            <w:tcW w:w="1055" w:type="pct"/>
            <w:vAlign w:val="center"/>
          </w:tcPr>
          <w:p w14:paraId="7966D8E2">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20</w:t>
            </w:r>
          </w:p>
        </w:tc>
        <w:tc>
          <w:tcPr>
            <w:tcW w:w="1043" w:type="pct"/>
            <w:vAlign w:val="center"/>
          </w:tcPr>
          <w:p w14:paraId="799B3C9A">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60</w:t>
            </w:r>
          </w:p>
        </w:tc>
      </w:tr>
      <w:tr w14:paraId="0CFC4FF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295D05B2">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2</w:t>
            </w:r>
          </w:p>
        </w:tc>
        <w:tc>
          <w:tcPr>
            <w:tcW w:w="1336" w:type="pct"/>
            <w:vAlign w:val="center"/>
          </w:tcPr>
          <w:p w14:paraId="70B04571">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镉</w:t>
            </w:r>
          </w:p>
        </w:tc>
        <w:tc>
          <w:tcPr>
            <w:tcW w:w="1087" w:type="pct"/>
            <w:vAlign w:val="center"/>
          </w:tcPr>
          <w:p w14:paraId="356500B4">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7440-43-9</w:t>
            </w:r>
          </w:p>
        </w:tc>
        <w:tc>
          <w:tcPr>
            <w:tcW w:w="1055" w:type="pct"/>
            <w:vAlign w:val="center"/>
          </w:tcPr>
          <w:p w14:paraId="7ED8CE95">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20</w:t>
            </w:r>
          </w:p>
        </w:tc>
        <w:tc>
          <w:tcPr>
            <w:tcW w:w="1043" w:type="pct"/>
            <w:vAlign w:val="center"/>
          </w:tcPr>
          <w:p w14:paraId="5E7A181F">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65</w:t>
            </w:r>
          </w:p>
        </w:tc>
      </w:tr>
      <w:tr w14:paraId="54A4BD1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PrEx>
        <w:trPr>
          <w:jc w:val="center"/>
        </w:trPr>
        <w:tc>
          <w:tcPr>
            <w:tcW w:w="479" w:type="pct"/>
            <w:vAlign w:val="center"/>
          </w:tcPr>
          <w:p w14:paraId="4695072E">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3</w:t>
            </w:r>
          </w:p>
        </w:tc>
        <w:tc>
          <w:tcPr>
            <w:tcW w:w="1336" w:type="pct"/>
            <w:vAlign w:val="center"/>
          </w:tcPr>
          <w:p w14:paraId="5E4155FD">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六价铬</w:t>
            </w:r>
          </w:p>
        </w:tc>
        <w:tc>
          <w:tcPr>
            <w:tcW w:w="1087" w:type="pct"/>
            <w:vAlign w:val="center"/>
          </w:tcPr>
          <w:p w14:paraId="0B8CA26E">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18540-29-9</w:t>
            </w:r>
          </w:p>
        </w:tc>
        <w:tc>
          <w:tcPr>
            <w:tcW w:w="1055" w:type="pct"/>
            <w:vAlign w:val="center"/>
          </w:tcPr>
          <w:p w14:paraId="2D400F6F">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3.0</w:t>
            </w:r>
          </w:p>
        </w:tc>
        <w:tc>
          <w:tcPr>
            <w:tcW w:w="1043" w:type="pct"/>
            <w:vAlign w:val="center"/>
          </w:tcPr>
          <w:p w14:paraId="0D9CD504">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5.7</w:t>
            </w:r>
          </w:p>
        </w:tc>
      </w:tr>
      <w:tr w14:paraId="603F03B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4EF5FB02">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4</w:t>
            </w:r>
          </w:p>
        </w:tc>
        <w:tc>
          <w:tcPr>
            <w:tcW w:w="1336" w:type="pct"/>
            <w:vAlign w:val="center"/>
          </w:tcPr>
          <w:p w14:paraId="4DAB60A8">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铜</w:t>
            </w:r>
          </w:p>
        </w:tc>
        <w:tc>
          <w:tcPr>
            <w:tcW w:w="1087" w:type="pct"/>
            <w:vAlign w:val="center"/>
          </w:tcPr>
          <w:p w14:paraId="42A7DA35">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7440-50-8</w:t>
            </w:r>
          </w:p>
        </w:tc>
        <w:tc>
          <w:tcPr>
            <w:tcW w:w="1055" w:type="pct"/>
            <w:vAlign w:val="center"/>
          </w:tcPr>
          <w:p w14:paraId="3C6B008A">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2000</w:t>
            </w:r>
          </w:p>
        </w:tc>
        <w:tc>
          <w:tcPr>
            <w:tcW w:w="1043" w:type="pct"/>
            <w:vAlign w:val="center"/>
          </w:tcPr>
          <w:p w14:paraId="70008D70">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18000</w:t>
            </w:r>
          </w:p>
        </w:tc>
      </w:tr>
      <w:tr w14:paraId="47EE1E4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6C7D5678">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5</w:t>
            </w:r>
          </w:p>
        </w:tc>
        <w:tc>
          <w:tcPr>
            <w:tcW w:w="1336" w:type="pct"/>
            <w:vAlign w:val="center"/>
          </w:tcPr>
          <w:p w14:paraId="1F6B2A23">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铅</w:t>
            </w:r>
          </w:p>
        </w:tc>
        <w:tc>
          <w:tcPr>
            <w:tcW w:w="1087" w:type="pct"/>
            <w:vAlign w:val="center"/>
          </w:tcPr>
          <w:p w14:paraId="6D3C53F5">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7439-92-1</w:t>
            </w:r>
          </w:p>
        </w:tc>
        <w:tc>
          <w:tcPr>
            <w:tcW w:w="1055" w:type="pct"/>
            <w:vAlign w:val="center"/>
          </w:tcPr>
          <w:p w14:paraId="3E6DD6A4">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400</w:t>
            </w:r>
          </w:p>
        </w:tc>
        <w:tc>
          <w:tcPr>
            <w:tcW w:w="1043" w:type="pct"/>
            <w:vAlign w:val="center"/>
          </w:tcPr>
          <w:p w14:paraId="16D01624">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800</w:t>
            </w:r>
          </w:p>
        </w:tc>
      </w:tr>
      <w:tr w14:paraId="0985EC0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150C29F1">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6</w:t>
            </w:r>
          </w:p>
        </w:tc>
        <w:tc>
          <w:tcPr>
            <w:tcW w:w="1336" w:type="pct"/>
            <w:vAlign w:val="center"/>
          </w:tcPr>
          <w:p w14:paraId="0EB1B31C">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汞</w:t>
            </w:r>
          </w:p>
        </w:tc>
        <w:tc>
          <w:tcPr>
            <w:tcW w:w="1087" w:type="pct"/>
            <w:vAlign w:val="center"/>
          </w:tcPr>
          <w:p w14:paraId="5230E142">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7439-97-6</w:t>
            </w:r>
          </w:p>
        </w:tc>
        <w:tc>
          <w:tcPr>
            <w:tcW w:w="1055" w:type="pct"/>
            <w:vAlign w:val="center"/>
          </w:tcPr>
          <w:p w14:paraId="383E81A3">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8</w:t>
            </w:r>
          </w:p>
        </w:tc>
        <w:tc>
          <w:tcPr>
            <w:tcW w:w="1043" w:type="pct"/>
            <w:vAlign w:val="center"/>
          </w:tcPr>
          <w:p w14:paraId="510009D4">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38</w:t>
            </w:r>
          </w:p>
        </w:tc>
      </w:tr>
      <w:tr w14:paraId="363DA9E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71BC6C22">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7</w:t>
            </w:r>
          </w:p>
        </w:tc>
        <w:tc>
          <w:tcPr>
            <w:tcW w:w="1336" w:type="pct"/>
            <w:vAlign w:val="center"/>
          </w:tcPr>
          <w:p w14:paraId="648D38E7">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镍</w:t>
            </w:r>
          </w:p>
        </w:tc>
        <w:tc>
          <w:tcPr>
            <w:tcW w:w="1087" w:type="pct"/>
            <w:vAlign w:val="center"/>
          </w:tcPr>
          <w:p w14:paraId="18CCED22">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7440-02-0</w:t>
            </w:r>
          </w:p>
        </w:tc>
        <w:tc>
          <w:tcPr>
            <w:tcW w:w="1055" w:type="pct"/>
            <w:vAlign w:val="center"/>
          </w:tcPr>
          <w:p w14:paraId="08B1E475">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150</w:t>
            </w:r>
          </w:p>
        </w:tc>
        <w:tc>
          <w:tcPr>
            <w:tcW w:w="1043" w:type="pct"/>
            <w:vAlign w:val="center"/>
          </w:tcPr>
          <w:p w14:paraId="2B960B56">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900</w:t>
            </w:r>
          </w:p>
        </w:tc>
      </w:tr>
      <w:tr w14:paraId="0FFD36E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5000" w:type="pct"/>
            <w:gridSpan w:val="5"/>
            <w:vAlign w:val="center"/>
          </w:tcPr>
          <w:p w14:paraId="76AAC2B9">
            <w:pPr>
              <w:pStyle w:val="60"/>
              <w:adjustRightInd w:val="0"/>
              <w:ind w:left="0" w:leftChars="0"/>
              <w:jc w:val="center"/>
              <w:rPr>
                <w:rFonts w:ascii="Times New Roman" w:hAnsi="Times New Roman"/>
                <w:color w:val="auto"/>
                <w:sz w:val="21"/>
                <w:szCs w:val="21"/>
              </w:rPr>
            </w:pPr>
            <w:r>
              <w:rPr>
                <w:rFonts w:ascii="Times New Roman" w:hAnsi="Times New Roman"/>
                <w:b/>
                <w:bCs/>
                <w:color w:val="auto"/>
                <w:sz w:val="21"/>
                <w:szCs w:val="21"/>
              </w:rPr>
              <w:t>挥发性有机物</w:t>
            </w:r>
          </w:p>
        </w:tc>
      </w:tr>
      <w:tr w14:paraId="2390FF7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00312EE4">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8</w:t>
            </w:r>
          </w:p>
        </w:tc>
        <w:tc>
          <w:tcPr>
            <w:tcW w:w="1336" w:type="pct"/>
            <w:vAlign w:val="center"/>
          </w:tcPr>
          <w:p w14:paraId="79E09FEA">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四氯化碳</w:t>
            </w:r>
          </w:p>
        </w:tc>
        <w:tc>
          <w:tcPr>
            <w:tcW w:w="1087" w:type="pct"/>
            <w:vAlign w:val="center"/>
          </w:tcPr>
          <w:p w14:paraId="3963D1F7">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56-23-5</w:t>
            </w:r>
          </w:p>
        </w:tc>
        <w:tc>
          <w:tcPr>
            <w:tcW w:w="1055" w:type="pct"/>
            <w:vAlign w:val="center"/>
          </w:tcPr>
          <w:p w14:paraId="457ABFA1">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0.9</w:t>
            </w:r>
          </w:p>
        </w:tc>
        <w:tc>
          <w:tcPr>
            <w:tcW w:w="1043" w:type="pct"/>
            <w:vAlign w:val="center"/>
          </w:tcPr>
          <w:p w14:paraId="11166798">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2.8</w:t>
            </w:r>
          </w:p>
        </w:tc>
      </w:tr>
      <w:tr w14:paraId="70F64BC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0CA582DA">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9</w:t>
            </w:r>
          </w:p>
        </w:tc>
        <w:tc>
          <w:tcPr>
            <w:tcW w:w="1336" w:type="pct"/>
            <w:vAlign w:val="center"/>
          </w:tcPr>
          <w:p w14:paraId="44999A05">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氯仿</w:t>
            </w:r>
          </w:p>
        </w:tc>
        <w:tc>
          <w:tcPr>
            <w:tcW w:w="1087" w:type="pct"/>
            <w:vAlign w:val="center"/>
          </w:tcPr>
          <w:p w14:paraId="53B68DD4">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67-66-3</w:t>
            </w:r>
          </w:p>
        </w:tc>
        <w:tc>
          <w:tcPr>
            <w:tcW w:w="1055" w:type="pct"/>
            <w:vAlign w:val="center"/>
          </w:tcPr>
          <w:p w14:paraId="1D6BD9F4">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0.3</w:t>
            </w:r>
          </w:p>
        </w:tc>
        <w:tc>
          <w:tcPr>
            <w:tcW w:w="1043" w:type="pct"/>
            <w:vAlign w:val="center"/>
          </w:tcPr>
          <w:p w14:paraId="4D953A9C">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0.9</w:t>
            </w:r>
          </w:p>
        </w:tc>
      </w:tr>
      <w:tr w14:paraId="274A6F7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33C5508E">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10</w:t>
            </w:r>
          </w:p>
        </w:tc>
        <w:tc>
          <w:tcPr>
            <w:tcW w:w="1336" w:type="pct"/>
            <w:vAlign w:val="center"/>
          </w:tcPr>
          <w:p w14:paraId="33B033D3">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氯甲烷</w:t>
            </w:r>
          </w:p>
        </w:tc>
        <w:tc>
          <w:tcPr>
            <w:tcW w:w="1087" w:type="pct"/>
            <w:vAlign w:val="center"/>
          </w:tcPr>
          <w:p w14:paraId="09C0F022">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74-87-3</w:t>
            </w:r>
          </w:p>
        </w:tc>
        <w:tc>
          <w:tcPr>
            <w:tcW w:w="1055" w:type="pct"/>
            <w:vAlign w:val="center"/>
          </w:tcPr>
          <w:p w14:paraId="49C910F5">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12</w:t>
            </w:r>
          </w:p>
        </w:tc>
        <w:tc>
          <w:tcPr>
            <w:tcW w:w="1043" w:type="pct"/>
            <w:vAlign w:val="center"/>
          </w:tcPr>
          <w:p w14:paraId="419C6138">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37</w:t>
            </w:r>
          </w:p>
        </w:tc>
      </w:tr>
      <w:tr w14:paraId="7C4177F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6DA41FEB">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11</w:t>
            </w:r>
          </w:p>
        </w:tc>
        <w:tc>
          <w:tcPr>
            <w:tcW w:w="1336" w:type="pct"/>
            <w:vAlign w:val="center"/>
          </w:tcPr>
          <w:p w14:paraId="4C6970D5">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1,1-二氯乙烷</w:t>
            </w:r>
          </w:p>
        </w:tc>
        <w:tc>
          <w:tcPr>
            <w:tcW w:w="1087" w:type="pct"/>
            <w:vAlign w:val="center"/>
          </w:tcPr>
          <w:p w14:paraId="041A7BF7">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75-34-3</w:t>
            </w:r>
          </w:p>
        </w:tc>
        <w:tc>
          <w:tcPr>
            <w:tcW w:w="1055" w:type="pct"/>
            <w:vAlign w:val="center"/>
          </w:tcPr>
          <w:p w14:paraId="07126B61">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3</w:t>
            </w:r>
          </w:p>
        </w:tc>
        <w:tc>
          <w:tcPr>
            <w:tcW w:w="1043" w:type="pct"/>
            <w:vAlign w:val="center"/>
          </w:tcPr>
          <w:p w14:paraId="68AE2800">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9</w:t>
            </w:r>
          </w:p>
        </w:tc>
      </w:tr>
      <w:tr w14:paraId="6384454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76A340A0">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12</w:t>
            </w:r>
          </w:p>
        </w:tc>
        <w:tc>
          <w:tcPr>
            <w:tcW w:w="1336" w:type="pct"/>
            <w:vAlign w:val="center"/>
          </w:tcPr>
          <w:p w14:paraId="6FF31F80">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1,2-二氯乙烷</w:t>
            </w:r>
          </w:p>
        </w:tc>
        <w:tc>
          <w:tcPr>
            <w:tcW w:w="1087" w:type="pct"/>
            <w:vAlign w:val="center"/>
          </w:tcPr>
          <w:p w14:paraId="5D0C688F">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107-06-2</w:t>
            </w:r>
          </w:p>
        </w:tc>
        <w:tc>
          <w:tcPr>
            <w:tcW w:w="1055" w:type="pct"/>
            <w:vAlign w:val="center"/>
          </w:tcPr>
          <w:p w14:paraId="401427EA">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0.52</w:t>
            </w:r>
          </w:p>
        </w:tc>
        <w:tc>
          <w:tcPr>
            <w:tcW w:w="1043" w:type="pct"/>
            <w:vAlign w:val="center"/>
          </w:tcPr>
          <w:p w14:paraId="604C2069">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5</w:t>
            </w:r>
          </w:p>
        </w:tc>
      </w:tr>
      <w:tr w14:paraId="400E38D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64623BD6">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13</w:t>
            </w:r>
          </w:p>
        </w:tc>
        <w:tc>
          <w:tcPr>
            <w:tcW w:w="1336" w:type="pct"/>
            <w:vAlign w:val="center"/>
          </w:tcPr>
          <w:p w14:paraId="279E5D6E">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1,1-二氯乙烯</w:t>
            </w:r>
          </w:p>
        </w:tc>
        <w:tc>
          <w:tcPr>
            <w:tcW w:w="1087" w:type="pct"/>
            <w:vAlign w:val="center"/>
          </w:tcPr>
          <w:p w14:paraId="017312E4">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75-35-4</w:t>
            </w:r>
          </w:p>
        </w:tc>
        <w:tc>
          <w:tcPr>
            <w:tcW w:w="1055" w:type="pct"/>
            <w:vAlign w:val="center"/>
          </w:tcPr>
          <w:p w14:paraId="36A864B5">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12</w:t>
            </w:r>
          </w:p>
        </w:tc>
        <w:tc>
          <w:tcPr>
            <w:tcW w:w="1043" w:type="pct"/>
            <w:vAlign w:val="center"/>
          </w:tcPr>
          <w:p w14:paraId="752C5037">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66</w:t>
            </w:r>
          </w:p>
        </w:tc>
      </w:tr>
      <w:tr w14:paraId="3075150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7CA6F7C0">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14</w:t>
            </w:r>
          </w:p>
        </w:tc>
        <w:tc>
          <w:tcPr>
            <w:tcW w:w="1336" w:type="pct"/>
            <w:vAlign w:val="center"/>
          </w:tcPr>
          <w:p w14:paraId="2C7B7FAE">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顺-1,2-二氯乙烯</w:t>
            </w:r>
          </w:p>
        </w:tc>
        <w:tc>
          <w:tcPr>
            <w:tcW w:w="1087" w:type="pct"/>
            <w:vAlign w:val="center"/>
          </w:tcPr>
          <w:p w14:paraId="18DE04AA">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156-59-2</w:t>
            </w:r>
          </w:p>
        </w:tc>
        <w:tc>
          <w:tcPr>
            <w:tcW w:w="1055" w:type="pct"/>
            <w:vAlign w:val="center"/>
          </w:tcPr>
          <w:p w14:paraId="1865A80E">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66</w:t>
            </w:r>
          </w:p>
        </w:tc>
        <w:tc>
          <w:tcPr>
            <w:tcW w:w="1043" w:type="pct"/>
            <w:vAlign w:val="center"/>
          </w:tcPr>
          <w:p w14:paraId="0EECE0B4">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596</w:t>
            </w:r>
          </w:p>
        </w:tc>
      </w:tr>
      <w:tr w14:paraId="00E17AD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16B4C43A">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15</w:t>
            </w:r>
          </w:p>
        </w:tc>
        <w:tc>
          <w:tcPr>
            <w:tcW w:w="1336" w:type="pct"/>
            <w:vAlign w:val="center"/>
          </w:tcPr>
          <w:p w14:paraId="2FD8A343">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反-1,2-二氯乙烯</w:t>
            </w:r>
          </w:p>
        </w:tc>
        <w:tc>
          <w:tcPr>
            <w:tcW w:w="1087" w:type="pct"/>
            <w:vAlign w:val="center"/>
          </w:tcPr>
          <w:p w14:paraId="24FC120A">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156-60-5</w:t>
            </w:r>
          </w:p>
        </w:tc>
        <w:tc>
          <w:tcPr>
            <w:tcW w:w="1055" w:type="pct"/>
            <w:vAlign w:val="center"/>
          </w:tcPr>
          <w:p w14:paraId="754CD528">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10</w:t>
            </w:r>
          </w:p>
        </w:tc>
        <w:tc>
          <w:tcPr>
            <w:tcW w:w="1043" w:type="pct"/>
            <w:vAlign w:val="center"/>
          </w:tcPr>
          <w:p w14:paraId="1F9A6355">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54</w:t>
            </w:r>
          </w:p>
        </w:tc>
      </w:tr>
      <w:tr w14:paraId="15C6275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65323E1B">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16</w:t>
            </w:r>
          </w:p>
        </w:tc>
        <w:tc>
          <w:tcPr>
            <w:tcW w:w="1336" w:type="pct"/>
            <w:vAlign w:val="center"/>
          </w:tcPr>
          <w:p w14:paraId="53856DE5">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二氯甲烷</w:t>
            </w:r>
          </w:p>
        </w:tc>
        <w:tc>
          <w:tcPr>
            <w:tcW w:w="1087" w:type="pct"/>
            <w:vAlign w:val="center"/>
          </w:tcPr>
          <w:p w14:paraId="40D5D890">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75-09-2</w:t>
            </w:r>
          </w:p>
        </w:tc>
        <w:tc>
          <w:tcPr>
            <w:tcW w:w="1055" w:type="pct"/>
            <w:vAlign w:val="center"/>
          </w:tcPr>
          <w:p w14:paraId="66E1D524">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94</w:t>
            </w:r>
          </w:p>
        </w:tc>
        <w:tc>
          <w:tcPr>
            <w:tcW w:w="1043" w:type="pct"/>
            <w:vAlign w:val="center"/>
          </w:tcPr>
          <w:p w14:paraId="00BAB533">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616</w:t>
            </w:r>
          </w:p>
        </w:tc>
      </w:tr>
      <w:tr w14:paraId="1993F21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6DDF1455">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17</w:t>
            </w:r>
          </w:p>
        </w:tc>
        <w:tc>
          <w:tcPr>
            <w:tcW w:w="1336" w:type="pct"/>
            <w:vAlign w:val="center"/>
          </w:tcPr>
          <w:p w14:paraId="221BF847">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1,2-二氯丙烷</w:t>
            </w:r>
          </w:p>
        </w:tc>
        <w:tc>
          <w:tcPr>
            <w:tcW w:w="1087" w:type="pct"/>
            <w:vAlign w:val="center"/>
          </w:tcPr>
          <w:p w14:paraId="26109389">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78-87-5</w:t>
            </w:r>
          </w:p>
        </w:tc>
        <w:tc>
          <w:tcPr>
            <w:tcW w:w="1055" w:type="pct"/>
            <w:vAlign w:val="center"/>
          </w:tcPr>
          <w:p w14:paraId="64F8BD25">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w:t>
            </w:r>
          </w:p>
        </w:tc>
        <w:tc>
          <w:tcPr>
            <w:tcW w:w="1043" w:type="pct"/>
            <w:vAlign w:val="center"/>
          </w:tcPr>
          <w:p w14:paraId="357D0E22">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5</w:t>
            </w:r>
          </w:p>
        </w:tc>
      </w:tr>
      <w:tr w14:paraId="6A7B377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5BBB179F">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18</w:t>
            </w:r>
          </w:p>
        </w:tc>
        <w:tc>
          <w:tcPr>
            <w:tcW w:w="1336" w:type="pct"/>
            <w:vAlign w:val="center"/>
          </w:tcPr>
          <w:p w14:paraId="3386229A">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1,1,1,2-四氯乙烷</w:t>
            </w:r>
          </w:p>
        </w:tc>
        <w:tc>
          <w:tcPr>
            <w:tcW w:w="1087" w:type="pct"/>
            <w:vAlign w:val="center"/>
          </w:tcPr>
          <w:p w14:paraId="3BEA40BE">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630-20-6</w:t>
            </w:r>
          </w:p>
        </w:tc>
        <w:tc>
          <w:tcPr>
            <w:tcW w:w="1055" w:type="pct"/>
            <w:vAlign w:val="center"/>
          </w:tcPr>
          <w:p w14:paraId="24C287DA">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2.6</w:t>
            </w:r>
          </w:p>
        </w:tc>
        <w:tc>
          <w:tcPr>
            <w:tcW w:w="1043" w:type="pct"/>
            <w:vAlign w:val="center"/>
          </w:tcPr>
          <w:p w14:paraId="55E26CF8">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10</w:t>
            </w:r>
          </w:p>
        </w:tc>
      </w:tr>
      <w:tr w14:paraId="0CD0A52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140BB41D">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19</w:t>
            </w:r>
          </w:p>
        </w:tc>
        <w:tc>
          <w:tcPr>
            <w:tcW w:w="1336" w:type="pct"/>
            <w:vAlign w:val="center"/>
          </w:tcPr>
          <w:p w14:paraId="200974E2">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1,1,2,2-四氯乙烷</w:t>
            </w:r>
          </w:p>
        </w:tc>
        <w:tc>
          <w:tcPr>
            <w:tcW w:w="1087" w:type="pct"/>
            <w:vAlign w:val="center"/>
          </w:tcPr>
          <w:p w14:paraId="25D5CC5C">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79-34-5</w:t>
            </w:r>
          </w:p>
        </w:tc>
        <w:tc>
          <w:tcPr>
            <w:tcW w:w="1055" w:type="pct"/>
            <w:vAlign w:val="center"/>
          </w:tcPr>
          <w:p w14:paraId="160D9920">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1.6</w:t>
            </w:r>
          </w:p>
        </w:tc>
        <w:tc>
          <w:tcPr>
            <w:tcW w:w="1043" w:type="pct"/>
            <w:vAlign w:val="center"/>
          </w:tcPr>
          <w:p w14:paraId="22B820D7">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6.8</w:t>
            </w:r>
          </w:p>
        </w:tc>
      </w:tr>
      <w:tr w14:paraId="10A6AE7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3B5BD8B4">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20</w:t>
            </w:r>
          </w:p>
        </w:tc>
        <w:tc>
          <w:tcPr>
            <w:tcW w:w="1336" w:type="pct"/>
            <w:vAlign w:val="center"/>
          </w:tcPr>
          <w:p w14:paraId="4D953294">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四氯乙烯</w:t>
            </w:r>
          </w:p>
        </w:tc>
        <w:tc>
          <w:tcPr>
            <w:tcW w:w="1087" w:type="pct"/>
            <w:vAlign w:val="center"/>
          </w:tcPr>
          <w:p w14:paraId="6FC232A7">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127-18-4</w:t>
            </w:r>
          </w:p>
        </w:tc>
        <w:tc>
          <w:tcPr>
            <w:tcW w:w="1055" w:type="pct"/>
            <w:vAlign w:val="center"/>
          </w:tcPr>
          <w:p w14:paraId="081E172C">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11</w:t>
            </w:r>
          </w:p>
        </w:tc>
        <w:tc>
          <w:tcPr>
            <w:tcW w:w="1043" w:type="pct"/>
            <w:vAlign w:val="center"/>
          </w:tcPr>
          <w:p w14:paraId="056BB90C">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53</w:t>
            </w:r>
          </w:p>
        </w:tc>
      </w:tr>
      <w:tr w14:paraId="4A992DE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657FF268">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21</w:t>
            </w:r>
          </w:p>
        </w:tc>
        <w:tc>
          <w:tcPr>
            <w:tcW w:w="1336" w:type="pct"/>
            <w:vAlign w:val="center"/>
          </w:tcPr>
          <w:p w14:paraId="78835E30">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1,1,1-三氯乙烷</w:t>
            </w:r>
          </w:p>
        </w:tc>
        <w:tc>
          <w:tcPr>
            <w:tcW w:w="1087" w:type="pct"/>
            <w:vAlign w:val="center"/>
          </w:tcPr>
          <w:p w14:paraId="62C1528B">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71-55-6</w:t>
            </w:r>
          </w:p>
        </w:tc>
        <w:tc>
          <w:tcPr>
            <w:tcW w:w="1055" w:type="pct"/>
            <w:vAlign w:val="center"/>
          </w:tcPr>
          <w:p w14:paraId="2D88891F">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701</w:t>
            </w:r>
          </w:p>
        </w:tc>
        <w:tc>
          <w:tcPr>
            <w:tcW w:w="1043" w:type="pct"/>
            <w:vAlign w:val="center"/>
          </w:tcPr>
          <w:p w14:paraId="6A012FF1">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840</w:t>
            </w:r>
          </w:p>
        </w:tc>
      </w:tr>
      <w:tr w14:paraId="4AE2656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7182F2B2">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22</w:t>
            </w:r>
          </w:p>
        </w:tc>
        <w:tc>
          <w:tcPr>
            <w:tcW w:w="1336" w:type="pct"/>
            <w:vAlign w:val="center"/>
          </w:tcPr>
          <w:p w14:paraId="47A59990">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1,1,2-三氯乙烷</w:t>
            </w:r>
          </w:p>
        </w:tc>
        <w:tc>
          <w:tcPr>
            <w:tcW w:w="1087" w:type="pct"/>
            <w:vAlign w:val="center"/>
          </w:tcPr>
          <w:p w14:paraId="37010FBE">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79-00-5</w:t>
            </w:r>
          </w:p>
        </w:tc>
        <w:tc>
          <w:tcPr>
            <w:tcW w:w="1055" w:type="pct"/>
            <w:vAlign w:val="center"/>
          </w:tcPr>
          <w:p w14:paraId="3EC5AB1D">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0.6</w:t>
            </w:r>
          </w:p>
        </w:tc>
        <w:tc>
          <w:tcPr>
            <w:tcW w:w="1043" w:type="pct"/>
            <w:vAlign w:val="center"/>
          </w:tcPr>
          <w:p w14:paraId="40424F20">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2.8</w:t>
            </w:r>
          </w:p>
        </w:tc>
      </w:tr>
      <w:tr w14:paraId="5AA7369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6A59E887">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23</w:t>
            </w:r>
          </w:p>
        </w:tc>
        <w:tc>
          <w:tcPr>
            <w:tcW w:w="1336" w:type="pct"/>
            <w:vAlign w:val="center"/>
          </w:tcPr>
          <w:p w14:paraId="163A6C65">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三氯乙烯</w:t>
            </w:r>
          </w:p>
        </w:tc>
        <w:tc>
          <w:tcPr>
            <w:tcW w:w="1087" w:type="pct"/>
            <w:vAlign w:val="center"/>
          </w:tcPr>
          <w:p w14:paraId="5A5D2100">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79-01-6</w:t>
            </w:r>
          </w:p>
        </w:tc>
        <w:tc>
          <w:tcPr>
            <w:tcW w:w="1055" w:type="pct"/>
            <w:vAlign w:val="center"/>
          </w:tcPr>
          <w:p w14:paraId="41C7F3B0">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0.7</w:t>
            </w:r>
          </w:p>
        </w:tc>
        <w:tc>
          <w:tcPr>
            <w:tcW w:w="1043" w:type="pct"/>
            <w:vAlign w:val="center"/>
          </w:tcPr>
          <w:p w14:paraId="2EDC75FD">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2.8</w:t>
            </w:r>
          </w:p>
        </w:tc>
      </w:tr>
      <w:tr w14:paraId="4772E1C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5BE603DD">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24</w:t>
            </w:r>
          </w:p>
        </w:tc>
        <w:tc>
          <w:tcPr>
            <w:tcW w:w="1336" w:type="pct"/>
            <w:vAlign w:val="center"/>
          </w:tcPr>
          <w:p w14:paraId="222F1A4A">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1,2,3-三氯丙烷</w:t>
            </w:r>
          </w:p>
        </w:tc>
        <w:tc>
          <w:tcPr>
            <w:tcW w:w="1087" w:type="pct"/>
            <w:vAlign w:val="center"/>
          </w:tcPr>
          <w:p w14:paraId="04105D08">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96-18-4</w:t>
            </w:r>
          </w:p>
        </w:tc>
        <w:tc>
          <w:tcPr>
            <w:tcW w:w="1055" w:type="pct"/>
            <w:vAlign w:val="center"/>
          </w:tcPr>
          <w:p w14:paraId="02CDAEB6">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0.05</w:t>
            </w:r>
          </w:p>
        </w:tc>
        <w:tc>
          <w:tcPr>
            <w:tcW w:w="1043" w:type="pct"/>
            <w:vAlign w:val="center"/>
          </w:tcPr>
          <w:p w14:paraId="27B43570">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0.5</w:t>
            </w:r>
          </w:p>
        </w:tc>
      </w:tr>
      <w:tr w14:paraId="0BD0E92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1D4D7DB2">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25</w:t>
            </w:r>
          </w:p>
        </w:tc>
        <w:tc>
          <w:tcPr>
            <w:tcW w:w="1336" w:type="pct"/>
            <w:vAlign w:val="center"/>
          </w:tcPr>
          <w:p w14:paraId="40DBD1AF">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氯乙烯</w:t>
            </w:r>
          </w:p>
        </w:tc>
        <w:tc>
          <w:tcPr>
            <w:tcW w:w="1087" w:type="pct"/>
            <w:vAlign w:val="center"/>
          </w:tcPr>
          <w:p w14:paraId="4C07ED02">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75-01-4</w:t>
            </w:r>
          </w:p>
        </w:tc>
        <w:tc>
          <w:tcPr>
            <w:tcW w:w="1055" w:type="pct"/>
            <w:vAlign w:val="center"/>
          </w:tcPr>
          <w:p w14:paraId="671C35AC">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0.12</w:t>
            </w:r>
          </w:p>
        </w:tc>
        <w:tc>
          <w:tcPr>
            <w:tcW w:w="1043" w:type="pct"/>
            <w:vAlign w:val="center"/>
          </w:tcPr>
          <w:p w14:paraId="4044006B">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0.43</w:t>
            </w:r>
          </w:p>
        </w:tc>
      </w:tr>
      <w:tr w14:paraId="34F3994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688D66AA">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26</w:t>
            </w:r>
          </w:p>
        </w:tc>
        <w:tc>
          <w:tcPr>
            <w:tcW w:w="1336" w:type="pct"/>
            <w:vAlign w:val="center"/>
          </w:tcPr>
          <w:p w14:paraId="13A87E5F">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苯</w:t>
            </w:r>
          </w:p>
        </w:tc>
        <w:tc>
          <w:tcPr>
            <w:tcW w:w="1087" w:type="pct"/>
            <w:vAlign w:val="center"/>
          </w:tcPr>
          <w:p w14:paraId="4204CA98">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71-43-2</w:t>
            </w:r>
          </w:p>
        </w:tc>
        <w:tc>
          <w:tcPr>
            <w:tcW w:w="1055" w:type="pct"/>
            <w:vAlign w:val="center"/>
          </w:tcPr>
          <w:p w14:paraId="4CDCF904">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w:t>
            </w:r>
          </w:p>
        </w:tc>
        <w:tc>
          <w:tcPr>
            <w:tcW w:w="1043" w:type="pct"/>
            <w:vAlign w:val="center"/>
          </w:tcPr>
          <w:p w14:paraId="5449F973">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4</w:t>
            </w:r>
          </w:p>
        </w:tc>
      </w:tr>
      <w:tr w14:paraId="15047AF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004D07BA">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27</w:t>
            </w:r>
          </w:p>
        </w:tc>
        <w:tc>
          <w:tcPr>
            <w:tcW w:w="1336" w:type="pct"/>
            <w:vAlign w:val="center"/>
          </w:tcPr>
          <w:p w14:paraId="262E1B80">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氯苯</w:t>
            </w:r>
          </w:p>
        </w:tc>
        <w:tc>
          <w:tcPr>
            <w:tcW w:w="1087" w:type="pct"/>
            <w:vAlign w:val="center"/>
          </w:tcPr>
          <w:p w14:paraId="51E1C86E">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108-90-7</w:t>
            </w:r>
          </w:p>
        </w:tc>
        <w:tc>
          <w:tcPr>
            <w:tcW w:w="1055" w:type="pct"/>
            <w:vAlign w:val="center"/>
          </w:tcPr>
          <w:p w14:paraId="5DD2FE66">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68</w:t>
            </w:r>
          </w:p>
        </w:tc>
        <w:tc>
          <w:tcPr>
            <w:tcW w:w="1043" w:type="pct"/>
            <w:vAlign w:val="center"/>
          </w:tcPr>
          <w:p w14:paraId="0276721D">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270</w:t>
            </w:r>
          </w:p>
        </w:tc>
      </w:tr>
      <w:tr w14:paraId="3AEFDA8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67EDDA3A">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28</w:t>
            </w:r>
          </w:p>
        </w:tc>
        <w:tc>
          <w:tcPr>
            <w:tcW w:w="1336" w:type="pct"/>
            <w:vAlign w:val="center"/>
          </w:tcPr>
          <w:p w14:paraId="2AD9D005">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1,2-二氯苯</w:t>
            </w:r>
          </w:p>
        </w:tc>
        <w:tc>
          <w:tcPr>
            <w:tcW w:w="1087" w:type="pct"/>
            <w:vAlign w:val="center"/>
          </w:tcPr>
          <w:p w14:paraId="010E0758">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95-50-1</w:t>
            </w:r>
          </w:p>
        </w:tc>
        <w:tc>
          <w:tcPr>
            <w:tcW w:w="1055" w:type="pct"/>
            <w:vAlign w:val="center"/>
          </w:tcPr>
          <w:p w14:paraId="123C5EF0">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560</w:t>
            </w:r>
          </w:p>
        </w:tc>
        <w:tc>
          <w:tcPr>
            <w:tcW w:w="1043" w:type="pct"/>
            <w:vAlign w:val="center"/>
          </w:tcPr>
          <w:p w14:paraId="3112D7DC">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560</w:t>
            </w:r>
          </w:p>
        </w:tc>
      </w:tr>
      <w:tr w14:paraId="34023D7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1E9ED601">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29</w:t>
            </w:r>
          </w:p>
        </w:tc>
        <w:tc>
          <w:tcPr>
            <w:tcW w:w="1336" w:type="pct"/>
            <w:vAlign w:val="center"/>
          </w:tcPr>
          <w:p w14:paraId="4E84B0A4">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1,4-二氯苯</w:t>
            </w:r>
          </w:p>
        </w:tc>
        <w:tc>
          <w:tcPr>
            <w:tcW w:w="1087" w:type="pct"/>
            <w:vAlign w:val="center"/>
          </w:tcPr>
          <w:p w14:paraId="537959F8">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106-46-7</w:t>
            </w:r>
          </w:p>
        </w:tc>
        <w:tc>
          <w:tcPr>
            <w:tcW w:w="1055" w:type="pct"/>
            <w:vAlign w:val="center"/>
          </w:tcPr>
          <w:p w14:paraId="717D697D">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5.6</w:t>
            </w:r>
          </w:p>
        </w:tc>
        <w:tc>
          <w:tcPr>
            <w:tcW w:w="1043" w:type="pct"/>
            <w:vAlign w:val="center"/>
          </w:tcPr>
          <w:p w14:paraId="7344DDEA">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20</w:t>
            </w:r>
          </w:p>
        </w:tc>
      </w:tr>
      <w:tr w14:paraId="38ADBF1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54FBCD06">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30</w:t>
            </w:r>
          </w:p>
        </w:tc>
        <w:tc>
          <w:tcPr>
            <w:tcW w:w="1336" w:type="pct"/>
            <w:vAlign w:val="center"/>
          </w:tcPr>
          <w:p w14:paraId="5AF54921">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乙苯</w:t>
            </w:r>
          </w:p>
        </w:tc>
        <w:tc>
          <w:tcPr>
            <w:tcW w:w="1087" w:type="pct"/>
            <w:vAlign w:val="center"/>
          </w:tcPr>
          <w:p w14:paraId="0F034AB0">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100-41-4</w:t>
            </w:r>
          </w:p>
        </w:tc>
        <w:tc>
          <w:tcPr>
            <w:tcW w:w="1055" w:type="pct"/>
            <w:vAlign w:val="center"/>
          </w:tcPr>
          <w:p w14:paraId="0C54F14C">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7.2</w:t>
            </w:r>
          </w:p>
        </w:tc>
        <w:tc>
          <w:tcPr>
            <w:tcW w:w="1043" w:type="pct"/>
            <w:vAlign w:val="center"/>
          </w:tcPr>
          <w:p w14:paraId="31B99C4B">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28</w:t>
            </w:r>
          </w:p>
        </w:tc>
      </w:tr>
      <w:tr w14:paraId="4A6F2D4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7C899B84">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31</w:t>
            </w:r>
          </w:p>
        </w:tc>
        <w:tc>
          <w:tcPr>
            <w:tcW w:w="1336" w:type="pct"/>
            <w:vAlign w:val="center"/>
          </w:tcPr>
          <w:p w14:paraId="46200AF1">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苯乙烯</w:t>
            </w:r>
          </w:p>
        </w:tc>
        <w:tc>
          <w:tcPr>
            <w:tcW w:w="1087" w:type="pct"/>
            <w:vAlign w:val="center"/>
          </w:tcPr>
          <w:p w14:paraId="5650A048">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100-42-5</w:t>
            </w:r>
          </w:p>
        </w:tc>
        <w:tc>
          <w:tcPr>
            <w:tcW w:w="1055" w:type="pct"/>
            <w:vAlign w:val="center"/>
          </w:tcPr>
          <w:p w14:paraId="6E21D719">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1290</w:t>
            </w:r>
          </w:p>
        </w:tc>
        <w:tc>
          <w:tcPr>
            <w:tcW w:w="1043" w:type="pct"/>
            <w:vAlign w:val="center"/>
          </w:tcPr>
          <w:p w14:paraId="2345DE55">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1290</w:t>
            </w:r>
          </w:p>
        </w:tc>
      </w:tr>
      <w:tr w14:paraId="72EAD66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26290B29">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32</w:t>
            </w:r>
          </w:p>
        </w:tc>
        <w:tc>
          <w:tcPr>
            <w:tcW w:w="1336" w:type="pct"/>
            <w:vAlign w:val="center"/>
          </w:tcPr>
          <w:p w14:paraId="0F9DDBDF">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甲苯</w:t>
            </w:r>
          </w:p>
        </w:tc>
        <w:tc>
          <w:tcPr>
            <w:tcW w:w="1087" w:type="pct"/>
            <w:vAlign w:val="center"/>
          </w:tcPr>
          <w:p w14:paraId="3608A16D">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108-88-3</w:t>
            </w:r>
          </w:p>
        </w:tc>
        <w:tc>
          <w:tcPr>
            <w:tcW w:w="1055" w:type="pct"/>
            <w:vAlign w:val="center"/>
          </w:tcPr>
          <w:p w14:paraId="04259AE8">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1200</w:t>
            </w:r>
          </w:p>
        </w:tc>
        <w:tc>
          <w:tcPr>
            <w:tcW w:w="1043" w:type="pct"/>
            <w:vAlign w:val="center"/>
          </w:tcPr>
          <w:p w14:paraId="31B4749F">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1200</w:t>
            </w:r>
          </w:p>
        </w:tc>
      </w:tr>
      <w:tr w14:paraId="1E8258E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362FCA57">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33</w:t>
            </w:r>
          </w:p>
        </w:tc>
        <w:tc>
          <w:tcPr>
            <w:tcW w:w="1336" w:type="pct"/>
            <w:vAlign w:val="center"/>
          </w:tcPr>
          <w:p w14:paraId="627249F0">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间二甲苯+对二甲苯</w:t>
            </w:r>
          </w:p>
        </w:tc>
        <w:tc>
          <w:tcPr>
            <w:tcW w:w="1087" w:type="pct"/>
            <w:vAlign w:val="center"/>
          </w:tcPr>
          <w:p w14:paraId="558B7053">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108-38-3,106-42-3</w:t>
            </w:r>
          </w:p>
        </w:tc>
        <w:tc>
          <w:tcPr>
            <w:tcW w:w="1055" w:type="pct"/>
            <w:vAlign w:val="center"/>
          </w:tcPr>
          <w:p w14:paraId="61610ED2">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163</w:t>
            </w:r>
          </w:p>
        </w:tc>
        <w:tc>
          <w:tcPr>
            <w:tcW w:w="1043" w:type="pct"/>
            <w:vAlign w:val="center"/>
          </w:tcPr>
          <w:p w14:paraId="638272FE">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570</w:t>
            </w:r>
          </w:p>
        </w:tc>
      </w:tr>
      <w:tr w14:paraId="1F25D91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0999A5EF">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34</w:t>
            </w:r>
          </w:p>
        </w:tc>
        <w:tc>
          <w:tcPr>
            <w:tcW w:w="1336" w:type="pct"/>
            <w:vAlign w:val="center"/>
          </w:tcPr>
          <w:p w14:paraId="667F79A5">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邻二甲苯</w:t>
            </w:r>
          </w:p>
        </w:tc>
        <w:tc>
          <w:tcPr>
            <w:tcW w:w="1087" w:type="pct"/>
            <w:vAlign w:val="center"/>
          </w:tcPr>
          <w:p w14:paraId="436A9525">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95-47-6</w:t>
            </w:r>
          </w:p>
        </w:tc>
        <w:tc>
          <w:tcPr>
            <w:tcW w:w="1055" w:type="pct"/>
            <w:vAlign w:val="center"/>
          </w:tcPr>
          <w:p w14:paraId="6AE87CFD">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222</w:t>
            </w:r>
          </w:p>
        </w:tc>
        <w:tc>
          <w:tcPr>
            <w:tcW w:w="1043" w:type="pct"/>
            <w:vAlign w:val="center"/>
          </w:tcPr>
          <w:p w14:paraId="740FD9DD">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640</w:t>
            </w:r>
          </w:p>
        </w:tc>
      </w:tr>
      <w:tr w14:paraId="49D8496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5000" w:type="pct"/>
            <w:gridSpan w:val="5"/>
            <w:vAlign w:val="center"/>
          </w:tcPr>
          <w:p w14:paraId="0A0701AF">
            <w:pPr>
              <w:pStyle w:val="60"/>
              <w:adjustRightInd w:val="0"/>
              <w:ind w:left="0" w:leftChars="0"/>
              <w:jc w:val="center"/>
              <w:rPr>
                <w:rFonts w:ascii="Times New Roman" w:hAnsi="Times New Roman"/>
                <w:color w:val="auto"/>
                <w:sz w:val="21"/>
                <w:szCs w:val="21"/>
              </w:rPr>
            </w:pPr>
            <w:r>
              <w:rPr>
                <w:rFonts w:ascii="Times New Roman" w:hAnsi="Times New Roman"/>
                <w:b/>
                <w:bCs/>
                <w:color w:val="auto"/>
                <w:sz w:val="21"/>
                <w:szCs w:val="21"/>
              </w:rPr>
              <w:t>半挥发性有机物</w:t>
            </w:r>
          </w:p>
        </w:tc>
      </w:tr>
      <w:tr w14:paraId="1F23122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0983C790">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35</w:t>
            </w:r>
          </w:p>
        </w:tc>
        <w:tc>
          <w:tcPr>
            <w:tcW w:w="1336" w:type="pct"/>
            <w:vAlign w:val="center"/>
          </w:tcPr>
          <w:p w14:paraId="1F8B9111">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硝基苯</w:t>
            </w:r>
          </w:p>
        </w:tc>
        <w:tc>
          <w:tcPr>
            <w:tcW w:w="1087" w:type="pct"/>
            <w:vAlign w:val="center"/>
          </w:tcPr>
          <w:p w14:paraId="48490407">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98-95-3</w:t>
            </w:r>
          </w:p>
        </w:tc>
        <w:tc>
          <w:tcPr>
            <w:tcW w:w="1055" w:type="pct"/>
            <w:vAlign w:val="center"/>
          </w:tcPr>
          <w:p w14:paraId="342C6BFE">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34</w:t>
            </w:r>
          </w:p>
        </w:tc>
        <w:tc>
          <w:tcPr>
            <w:tcW w:w="1043" w:type="pct"/>
            <w:vAlign w:val="center"/>
          </w:tcPr>
          <w:p w14:paraId="2737B4E2">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76</w:t>
            </w:r>
          </w:p>
        </w:tc>
      </w:tr>
      <w:tr w14:paraId="518B558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1F7B2F2B">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36</w:t>
            </w:r>
          </w:p>
        </w:tc>
        <w:tc>
          <w:tcPr>
            <w:tcW w:w="1336" w:type="pct"/>
            <w:vAlign w:val="center"/>
          </w:tcPr>
          <w:p w14:paraId="53CD3A6B">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苯胺</w:t>
            </w:r>
          </w:p>
        </w:tc>
        <w:tc>
          <w:tcPr>
            <w:tcW w:w="1087" w:type="pct"/>
            <w:vAlign w:val="center"/>
          </w:tcPr>
          <w:p w14:paraId="034704C0">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62-53-3</w:t>
            </w:r>
          </w:p>
        </w:tc>
        <w:tc>
          <w:tcPr>
            <w:tcW w:w="1055" w:type="pct"/>
            <w:vAlign w:val="center"/>
          </w:tcPr>
          <w:p w14:paraId="568DE01D">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92</w:t>
            </w:r>
          </w:p>
        </w:tc>
        <w:tc>
          <w:tcPr>
            <w:tcW w:w="1043" w:type="pct"/>
            <w:vAlign w:val="center"/>
          </w:tcPr>
          <w:p w14:paraId="1BDB9261">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260</w:t>
            </w:r>
          </w:p>
        </w:tc>
      </w:tr>
      <w:tr w14:paraId="0F013EB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695DD28B">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37</w:t>
            </w:r>
          </w:p>
        </w:tc>
        <w:tc>
          <w:tcPr>
            <w:tcW w:w="1336" w:type="pct"/>
            <w:vAlign w:val="center"/>
          </w:tcPr>
          <w:p w14:paraId="4F6313E8">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2-氯酚</w:t>
            </w:r>
          </w:p>
        </w:tc>
        <w:tc>
          <w:tcPr>
            <w:tcW w:w="1087" w:type="pct"/>
            <w:vAlign w:val="center"/>
          </w:tcPr>
          <w:p w14:paraId="26FF9D53">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95-57-8</w:t>
            </w:r>
          </w:p>
        </w:tc>
        <w:tc>
          <w:tcPr>
            <w:tcW w:w="1055" w:type="pct"/>
            <w:vAlign w:val="center"/>
          </w:tcPr>
          <w:p w14:paraId="37433E2A">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250</w:t>
            </w:r>
          </w:p>
        </w:tc>
        <w:tc>
          <w:tcPr>
            <w:tcW w:w="1043" w:type="pct"/>
            <w:vAlign w:val="center"/>
          </w:tcPr>
          <w:p w14:paraId="29B48FE6">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2256</w:t>
            </w:r>
          </w:p>
        </w:tc>
      </w:tr>
      <w:tr w14:paraId="24D4BA5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3DCF3231">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38</w:t>
            </w:r>
          </w:p>
        </w:tc>
        <w:tc>
          <w:tcPr>
            <w:tcW w:w="1336" w:type="pct"/>
            <w:vAlign w:val="center"/>
          </w:tcPr>
          <w:p w14:paraId="50C5617C">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苯并[a]蒽</w:t>
            </w:r>
          </w:p>
        </w:tc>
        <w:tc>
          <w:tcPr>
            <w:tcW w:w="1087" w:type="pct"/>
            <w:vAlign w:val="center"/>
          </w:tcPr>
          <w:p w14:paraId="3F39AA2A">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56-55-3</w:t>
            </w:r>
          </w:p>
        </w:tc>
        <w:tc>
          <w:tcPr>
            <w:tcW w:w="1055" w:type="pct"/>
            <w:vAlign w:val="center"/>
          </w:tcPr>
          <w:p w14:paraId="2241D81D">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5.5</w:t>
            </w:r>
          </w:p>
        </w:tc>
        <w:tc>
          <w:tcPr>
            <w:tcW w:w="1043" w:type="pct"/>
            <w:vAlign w:val="center"/>
          </w:tcPr>
          <w:p w14:paraId="530C959E">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15</w:t>
            </w:r>
          </w:p>
        </w:tc>
      </w:tr>
      <w:tr w14:paraId="6A97AB9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0FFE9E8A">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39</w:t>
            </w:r>
          </w:p>
        </w:tc>
        <w:tc>
          <w:tcPr>
            <w:tcW w:w="1336" w:type="pct"/>
            <w:vAlign w:val="center"/>
          </w:tcPr>
          <w:p w14:paraId="3614C74F">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苯并[a]芘</w:t>
            </w:r>
          </w:p>
        </w:tc>
        <w:tc>
          <w:tcPr>
            <w:tcW w:w="1087" w:type="pct"/>
            <w:vAlign w:val="center"/>
          </w:tcPr>
          <w:p w14:paraId="562EFDDC">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50-32-8</w:t>
            </w:r>
          </w:p>
        </w:tc>
        <w:tc>
          <w:tcPr>
            <w:tcW w:w="1055" w:type="pct"/>
            <w:vAlign w:val="center"/>
          </w:tcPr>
          <w:p w14:paraId="63CDCACB">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0.55</w:t>
            </w:r>
          </w:p>
        </w:tc>
        <w:tc>
          <w:tcPr>
            <w:tcW w:w="1043" w:type="pct"/>
            <w:vAlign w:val="center"/>
          </w:tcPr>
          <w:p w14:paraId="68E9C0D5">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1.5</w:t>
            </w:r>
          </w:p>
        </w:tc>
      </w:tr>
      <w:tr w14:paraId="3074D9C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579E44CD">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40</w:t>
            </w:r>
          </w:p>
        </w:tc>
        <w:tc>
          <w:tcPr>
            <w:tcW w:w="1336" w:type="pct"/>
            <w:vAlign w:val="center"/>
          </w:tcPr>
          <w:p w14:paraId="6DC245DC">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苯并[b]荧蒽</w:t>
            </w:r>
          </w:p>
        </w:tc>
        <w:tc>
          <w:tcPr>
            <w:tcW w:w="1087" w:type="pct"/>
            <w:vAlign w:val="center"/>
          </w:tcPr>
          <w:p w14:paraId="50FEFD82">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205-99-2</w:t>
            </w:r>
          </w:p>
        </w:tc>
        <w:tc>
          <w:tcPr>
            <w:tcW w:w="1055" w:type="pct"/>
            <w:vAlign w:val="center"/>
          </w:tcPr>
          <w:p w14:paraId="61505657">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5.5</w:t>
            </w:r>
          </w:p>
        </w:tc>
        <w:tc>
          <w:tcPr>
            <w:tcW w:w="1043" w:type="pct"/>
            <w:vAlign w:val="center"/>
          </w:tcPr>
          <w:p w14:paraId="620D39F2">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15</w:t>
            </w:r>
          </w:p>
        </w:tc>
      </w:tr>
      <w:tr w14:paraId="4E5BFB9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0DD43BA2">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41</w:t>
            </w:r>
          </w:p>
        </w:tc>
        <w:tc>
          <w:tcPr>
            <w:tcW w:w="1336" w:type="pct"/>
            <w:vAlign w:val="center"/>
          </w:tcPr>
          <w:p w14:paraId="22006522">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苯并[k]荧蒽</w:t>
            </w:r>
          </w:p>
        </w:tc>
        <w:tc>
          <w:tcPr>
            <w:tcW w:w="1087" w:type="pct"/>
            <w:vAlign w:val="center"/>
          </w:tcPr>
          <w:p w14:paraId="0434946F">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207-08-9</w:t>
            </w:r>
          </w:p>
        </w:tc>
        <w:tc>
          <w:tcPr>
            <w:tcW w:w="1055" w:type="pct"/>
            <w:vAlign w:val="center"/>
          </w:tcPr>
          <w:p w14:paraId="702F19F2">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55</w:t>
            </w:r>
          </w:p>
        </w:tc>
        <w:tc>
          <w:tcPr>
            <w:tcW w:w="1043" w:type="pct"/>
            <w:vAlign w:val="center"/>
          </w:tcPr>
          <w:p w14:paraId="5A035EE2">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151</w:t>
            </w:r>
          </w:p>
        </w:tc>
      </w:tr>
      <w:tr w14:paraId="3570A1D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39D08503">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42</w:t>
            </w:r>
          </w:p>
        </w:tc>
        <w:tc>
          <w:tcPr>
            <w:tcW w:w="1336" w:type="pct"/>
            <w:vAlign w:val="center"/>
          </w:tcPr>
          <w:p w14:paraId="0F8B88CD">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䓛</w:t>
            </w:r>
          </w:p>
        </w:tc>
        <w:tc>
          <w:tcPr>
            <w:tcW w:w="1087" w:type="pct"/>
            <w:vAlign w:val="center"/>
          </w:tcPr>
          <w:p w14:paraId="770BE99A">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218-01-9</w:t>
            </w:r>
          </w:p>
        </w:tc>
        <w:tc>
          <w:tcPr>
            <w:tcW w:w="1055" w:type="pct"/>
            <w:vAlign w:val="center"/>
          </w:tcPr>
          <w:p w14:paraId="1F0D9D94">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490</w:t>
            </w:r>
          </w:p>
        </w:tc>
        <w:tc>
          <w:tcPr>
            <w:tcW w:w="1043" w:type="pct"/>
            <w:vAlign w:val="center"/>
          </w:tcPr>
          <w:p w14:paraId="6862E824">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1293</w:t>
            </w:r>
          </w:p>
        </w:tc>
      </w:tr>
      <w:tr w14:paraId="479F9CA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3CFCA89E">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43</w:t>
            </w:r>
          </w:p>
        </w:tc>
        <w:tc>
          <w:tcPr>
            <w:tcW w:w="1336" w:type="pct"/>
            <w:vAlign w:val="center"/>
          </w:tcPr>
          <w:p w14:paraId="43DD7922">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二苯并[a,h]蒽</w:t>
            </w:r>
          </w:p>
        </w:tc>
        <w:tc>
          <w:tcPr>
            <w:tcW w:w="1087" w:type="pct"/>
            <w:vAlign w:val="center"/>
          </w:tcPr>
          <w:p w14:paraId="227CEEFC">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53-70-3</w:t>
            </w:r>
          </w:p>
        </w:tc>
        <w:tc>
          <w:tcPr>
            <w:tcW w:w="1055" w:type="pct"/>
            <w:vAlign w:val="center"/>
          </w:tcPr>
          <w:p w14:paraId="2DE90706">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0.55</w:t>
            </w:r>
          </w:p>
        </w:tc>
        <w:tc>
          <w:tcPr>
            <w:tcW w:w="1043" w:type="pct"/>
            <w:vAlign w:val="center"/>
          </w:tcPr>
          <w:p w14:paraId="5FBF43F9">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1.5</w:t>
            </w:r>
          </w:p>
        </w:tc>
      </w:tr>
      <w:tr w14:paraId="7FF8D95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51494314">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44</w:t>
            </w:r>
          </w:p>
        </w:tc>
        <w:tc>
          <w:tcPr>
            <w:tcW w:w="1336" w:type="pct"/>
            <w:vAlign w:val="center"/>
          </w:tcPr>
          <w:p w14:paraId="029F27A4">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茚并[1,2,3-cd]芘</w:t>
            </w:r>
          </w:p>
        </w:tc>
        <w:tc>
          <w:tcPr>
            <w:tcW w:w="1087" w:type="pct"/>
            <w:vAlign w:val="center"/>
          </w:tcPr>
          <w:p w14:paraId="2EC07C18">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193-39-5</w:t>
            </w:r>
          </w:p>
        </w:tc>
        <w:tc>
          <w:tcPr>
            <w:tcW w:w="1055" w:type="pct"/>
            <w:vAlign w:val="center"/>
          </w:tcPr>
          <w:p w14:paraId="2965836F">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5.5</w:t>
            </w:r>
          </w:p>
        </w:tc>
        <w:tc>
          <w:tcPr>
            <w:tcW w:w="1043" w:type="pct"/>
            <w:vAlign w:val="center"/>
          </w:tcPr>
          <w:p w14:paraId="366FF438">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15</w:t>
            </w:r>
          </w:p>
        </w:tc>
      </w:tr>
      <w:tr w14:paraId="1DC1BC9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08B6C603">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45</w:t>
            </w:r>
          </w:p>
        </w:tc>
        <w:tc>
          <w:tcPr>
            <w:tcW w:w="1336" w:type="pct"/>
            <w:vAlign w:val="center"/>
          </w:tcPr>
          <w:p w14:paraId="66D707AD">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萘</w:t>
            </w:r>
          </w:p>
        </w:tc>
        <w:tc>
          <w:tcPr>
            <w:tcW w:w="1087" w:type="pct"/>
            <w:vAlign w:val="center"/>
          </w:tcPr>
          <w:p w14:paraId="624E6697">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91-20-3</w:t>
            </w:r>
          </w:p>
        </w:tc>
        <w:tc>
          <w:tcPr>
            <w:tcW w:w="1055" w:type="pct"/>
            <w:vAlign w:val="center"/>
          </w:tcPr>
          <w:p w14:paraId="74C29A86">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25</w:t>
            </w:r>
          </w:p>
        </w:tc>
        <w:tc>
          <w:tcPr>
            <w:tcW w:w="1043" w:type="pct"/>
            <w:vAlign w:val="center"/>
          </w:tcPr>
          <w:p w14:paraId="68AF078E">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rPr>
              <w:t>70</w:t>
            </w:r>
          </w:p>
        </w:tc>
      </w:tr>
      <w:tr w14:paraId="00EDBFD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5000" w:type="pct"/>
            <w:gridSpan w:val="5"/>
            <w:vAlign w:val="center"/>
          </w:tcPr>
          <w:p w14:paraId="2C6D8756">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lang w:eastAsia="zh-CN"/>
              </w:rPr>
              <w:t>石油烃类</w:t>
            </w:r>
          </w:p>
        </w:tc>
      </w:tr>
      <w:tr w14:paraId="287D6A3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479" w:type="pct"/>
            <w:vAlign w:val="center"/>
          </w:tcPr>
          <w:p w14:paraId="3BE56D87">
            <w:pPr>
              <w:pStyle w:val="60"/>
              <w:adjustRightInd w:val="0"/>
              <w:ind w:left="0" w:leftChars="0"/>
              <w:jc w:val="center"/>
              <w:rPr>
                <w:rFonts w:ascii="Times New Roman" w:hAnsi="Times New Roman"/>
                <w:color w:val="auto"/>
                <w:sz w:val="21"/>
                <w:szCs w:val="21"/>
                <w:lang w:eastAsia="zh-CN"/>
              </w:rPr>
            </w:pPr>
            <w:r>
              <w:rPr>
                <w:rFonts w:ascii="Times New Roman" w:hAnsi="Times New Roman"/>
                <w:color w:val="auto"/>
                <w:sz w:val="21"/>
                <w:szCs w:val="21"/>
                <w:lang w:eastAsia="zh-CN"/>
              </w:rPr>
              <w:t>46</w:t>
            </w:r>
          </w:p>
        </w:tc>
        <w:tc>
          <w:tcPr>
            <w:tcW w:w="1336" w:type="pct"/>
            <w:vAlign w:val="center"/>
          </w:tcPr>
          <w:p w14:paraId="6BA7A663">
            <w:pPr>
              <w:pStyle w:val="60"/>
              <w:adjustRightInd w:val="0"/>
              <w:ind w:left="0" w:leftChars="0"/>
              <w:jc w:val="center"/>
              <w:rPr>
                <w:rFonts w:ascii="Times New Roman" w:hAnsi="Times New Roman"/>
                <w:color w:val="auto"/>
                <w:sz w:val="21"/>
                <w:szCs w:val="21"/>
              </w:rPr>
            </w:pPr>
            <w:r>
              <w:rPr>
                <w:rFonts w:ascii="Times New Roman" w:hAnsi="Times New Roman"/>
                <w:color w:val="auto"/>
                <w:sz w:val="21"/>
                <w:szCs w:val="21"/>
                <w:lang w:eastAsia="zh-CN"/>
              </w:rPr>
              <w:t>石油烃（C</w:t>
            </w:r>
            <w:r>
              <w:rPr>
                <w:rFonts w:ascii="Times New Roman" w:hAnsi="Times New Roman"/>
                <w:color w:val="auto"/>
                <w:sz w:val="21"/>
                <w:szCs w:val="21"/>
                <w:vertAlign w:val="subscript"/>
                <w:lang w:eastAsia="zh-CN"/>
              </w:rPr>
              <w:t>10</w:t>
            </w:r>
            <w:r>
              <w:rPr>
                <w:rFonts w:ascii="Times New Roman" w:hAnsi="Times New Roman"/>
                <w:color w:val="auto"/>
                <w:sz w:val="21"/>
                <w:szCs w:val="21"/>
                <w:lang w:eastAsia="zh-CN"/>
              </w:rPr>
              <w:t>-C</w:t>
            </w:r>
            <w:r>
              <w:rPr>
                <w:rFonts w:ascii="Times New Roman" w:hAnsi="Times New Roman"/>
                <w:color w:val="auto"/>
                <w:sz w:val="21"/>
                <w:szCs w:val="21"/>
                <w:vertAlign w:val="subscript"/>
                <w:lang w:eastAsia="zh-CN"/>
              </w:rPr>
              <w:t>40</w:t>
            </w:r>
            <w:r>
              <w:rPr>
                <w:rFonts w:ascii="Times New Roman" w:hAnsi="Times New Roman"/>
                <w:color w:val="auto"/>
                <w:sz w:val="21"/>
                <w:szCs w:val="21"/>
                <w:lang w:eastAsia="zh-CN"/>
              </w:rPr>
              <w:t>）</w:t>
            </w:r>
          </w:p>
        </w:tc>
        <w:tc>
          <w:tcPr>
            <w:tcW w:w="1087" w:type="pct"/>
            <w:vAlign w:val="center"/>
          </w:tcPr>
          <w:p w14:paraId="19A7212C">
            <w:pPr>
              <w:pStyle w:val="60"/>
              <w:adjustRightInd w:val="0"/>
              <w:ind w:left="0" w:leftChars="0"/>
              <w:jc w:val="center"/>
              <w:rPr>
                <w:rFonts w:ascii="Times New Roman" w:hAnsi="Times New Roman"/>
                <w:color w:val="auto"/>
                <w:sz w:val="21"/>
                <w:szCs w:val="21"/>
                <w:lang w:eastAsia="zh-CN"/>
              </w:rPr>
            </w:pPr>
            <w:r>
              <w:rPr>
                <w:rFonts w:ascii="Times New Roman" w:hAnsi="Times New Roman"/>
                <w:color w:val="auto"/>
                <w:sz w:val="21"/>
                <w:szCs w:val="21"/>
                <w:lang w:eastAsia="zh-CN"/>
              </w:rPr>
              <w:t>/</w:t>
            </w:r>
          </w:p>
        </w:tc>
        <w:tc>
          <w:tcPr>
            <w:tcW w:w="1055" w:type="pct"/>
            <w:vAlign w:val="center"/>
          </w:tcPr>
          <w:p w14:paraId="3BB05C8B">
            <w:pPr>
              <w:pStyle w:val="60"/>
              <w:adjustRightInd w:val="0"/>
              <w:ind w:left="0" w:leftChars="0"/>
              <w:jc w:val="center"/>
              <w:rPr>
                <w:rFonts w:ascii="Times New Roman" w:hAnsi="Times New Roman"/>
                <w:color w:val="auto"/>
                <w:sz w:val="21"/>
                <w:szCs w:val="21"/>
                <w:lang w:eastAsia="zh-CN"/>
              </w:rPr>
            </w:pPr>
            <w:r>
              <w:rPr>
                <w:rFonts w:ascii="Times New Roman" w:hAnsi="Times New Roman"/>
                <w:color w:val="auto"/>
                <w:sz w:val="21"/>
                <w:szCs w:val="21"/>
                <w:lang w:eastAsia="zh-CN"/>
              </w:rPr>
              <w:t>826</w:t>
            </w:r>
          </w:p>
        </w:tc>
        <w:tc>
          <w:tcPr>
            <w:tcW w:w="1043" w:type="pct"/>
            <w:vAlign w:val="center"/>
          </w:tcPr>
          <w:p w14:paraId="77DB05E0">
            <w:pPr>
              <w:pStyle w:val="60"/>
              <w:adjustRightInd w:val="0"/>
              <w:ind w:left="0" w:leftChars="0"/>
              <w:jc w:val="center"/>
              <w:rPr>
                <w:rFonts w:ascii="Times New Roman" w:hAnsi="Times New Roman"/>
                <w:color w:val="auto"/>
                <w:sz w:val="21"/>
                <w:szCs w:val="21"/>
                <w:lang w:eastAsia="zh-CN"/>
              </w:rPr>
            </w:pPr>
            <w:r>
              <w:rPr>
                <w:rFonts w:ascii="Times New Roman" w:hAnsi="Times New Roman"/>
                <w:color w:val="auto"/>
                <w:sz w:val="21"/>
                <w:szCs w:val="21"/>
                <w:lang w:eastAsia="zh-CN"/>
              </w:rPr>
              <w:t>4500</w:t>
            </w:r>
          </w:p>
        </w:tc>
      </w:tr>
    </w:tbl>
    <w:p w14:paraId="6E60CC52">
      <w:pPr>
        <w:spacing w:line="360" w:lineRule="auto"/>
        <w:ind w:firstLine="482"/>
        <w:jc w:val="center"/>
        <w:rPr>
          <w:rFonts w:ascii="Times New Roman" w:hAnsi="Times New Roman" w:eastAsia="新宋体" w:cs="Times New Roman"/>
          <w:b/>
          <w:bCs/>
          <w:color w:val="auto"/>
          <w:szCs w:val="24"/>
          <w:lang w:eastAsia="zh-CN"/>
        </w:rPr>
      </w:pPr>
      <w:r>
        <w:rPr>
          <w:rFonts w:hint="eastAsia" w:ascii="Times New Roman" w:hAnsi="Times New Roman" w:eastAsia="新宋体" w:cs="Times New Roman"/>
          <w:b/>
          <w:bCs/>
          <w:color w:val="auto"/>
          <w:szCs w:val="24"/>
          <w:lang w:eastAsia="zh-CN"/>
        </w:rPr>
        <w:t>表2.3-8 农用地土壤污染风险筛选值（mg/kg）</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023"/>
        <w:gridCol w:w="1530"/>
        <w:gridCol w:w="1798"/>
        <w:gridCol w:w="1798"/>
        <w:gridCol w:w="1798"/>
        <w:gridCol w:w="1799"/>
      </w:tblGrid>
      <w:tr w14:paraId="453D755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310" w:type="pct"/>
            <w:gridSpan w:val="2"/>
            <w:vAlign w:val="center"/>
          </w:tcPr>
          <w:p w14:paraId="128B47CC">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项目</w:t>
            </w:r>
          </w:p>
        </w:tc>
        <w:tc>
          <w:tcPr>
            <w:tcW w:w="3689" w:type="pct"/>
            <w:gridSpan w:val="4"/>
            <w:vAlign w:val="center"/>
          </w:tcPr>
          <w:p w14:paraId="044E2711">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筛选值</w:t>
            </w:r>
          </w:p>
        </w:tc>
      </w:tr>
      <w:tr w14:paraId="011AE28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310" w:type="pct"/>
            <w:gridSpan w:val="2"/>
            <w:vAlign w:val="center"/>
          </w:tcPr>
          <w:p w14:paraId="61CC67D8">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pH</w:t>
            </w:r>
          </w:p>
        </w:tc>
        <w:tc>
          <w:tcPr>
            <w:tcW w:w="922" w:type="pct"/>
            <w:vAlign w:val="center"/>
          </w:tcPr>
          <w:p w14:paraId="79B8BB5B">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≤5.5</w:t>
            </w:r>
          </w:p>
        </w:tc>
        <w:tc>
          <w:tcPr>
            <w:tcW w:w="922" w:type="pct"/>
            <w:vAlign w:val="center"/>
          </w:tcPr>
          <w:p w14:paraId="3EF895DC">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5.5~6.5</w:t>
            </w:r>
          </w:p>
        </w:tc>
        <w:tc>
          <w:tcPr>
            <w:tcW w:w="922" w:type="pct"/>
            <w:vAlign w:val="center"/>
          </w:tcPr>
          <w:p w14:paraId="6199DFE1">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6.5~7.5</w:t>
            </w:r>
          </w:p>
        </w:tc>
        <w:tc>
          <w:tcPr>
            <w:tcW w:w="923" w:type="pct"/>
            <w:vAlign w:val="center"/>
          </w:tcPr>
          <w:p w14:paraId="672E951A">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&gt;7.5</w:t>
            </w:r>
          </w:p>
        </w:tc>
      </w:tr>
      <w:tr w14:paraId="6113C44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jc w:val="center"/>
        </w:trPr>
        <w:tc>
          <w:tcPr>
            <w:tcW w:w="525" w:type="pct"/>
            <w:vMerge w:val="restart"/>
            <w:vAlign w:val="center"/>
          </w:tcPr>
          <w:p w14:paraId="7F715E4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镉</w:t>
            </w:r>
          </w:p>
        </w:tc>
        <w:tc>
          <w:tcPr>
            <w:tcW w:w="784" w:type="pct"/>
            <w:vAlign w:val="center"/>
          </w:tcPr>
          <w:p w14:paraId="3B3BF3E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水田</w:t>
            </w:r>
          </w:p>
        </w:tc>
        <w:tc>
          <w:tcPr>
            <w:tcW w:w="922" w:type="pct"/>
            <w:vAlign w:val="center"/>
          </w:tcPr>
          <w:p w14:paraId="060916B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0.30</w:t>
            </w:r>
          </w:p>
        </w:tc>
        <w:tc>
          <w:tcPr>
            <w:tcW w:w="922" w:type="pct"/>
            <w:vAlign w:val="center"/>
          </w:tcPr>
          <w:p w14:paraId="25B9925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0.40</w:t>
            </w:r>
          </w:p>
        </w:tc>
        <w:tc>
          <w:tcPr>
            <w:tcW w:w="922" w:type="pct"/>
            <w:vAlign w:val="center"/>
          </w:tcPr>
          <w:p w14:paraId="5B2F28D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0.60</w:t>
            </w:r>
          </w:p>
        </w:tc>
        <w:tc>
          <w:tcPr>
            <w:tcW w:w="923" w:type="pct"/>
            <w:vAlign w:val="center"/>
          </w:tcPr>
          <w:p w14:paraId="3B3E537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0.80</w:t>
            </w:r>
          </w:p>
        </w:tc>
      </w:tr>
      <w:tr w14:paraId="300C5F2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25" w:type="pct"/>
            <w:vMerge w:val="continue"/>
            <w:vAlign w:val="center"/>
          </w:tcPr>
          <w:p w14:paraId="4E5DDAC4">
            <w:pPr>
              <w:adjustRightInd w:val="0"/>
              <w:snapToGrid w:val="0"/>
              <w:jc w:val="center"/>
              <w:rPr>
                <w:rFonts w:ascii="Times New Roman" w:hAnsi="Times New Roman" w:cs="Times New Roman"/>
                <w:color w:val="auto"/>
                <w:sz w:val="21"/>
              </w:rPr>
            </w:pPr>
          </w:p>
        </w:tc>
        <w:tc>
          <w:tcPr>
            <w:tcW w:w="784" w:type="pct"/>
            <w:vAlign w:val="center"/>
          </w:tcPr>
          <w:p w14:paraId="019E7E8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其他</w:t>
            </w:r>
          </w:p>
        </w:tc>
        <w:tc>
          <w:tcPr>
            <w:tcW w:w="922" w:type="pct"/>
            <w:vAlign w:val="center"/>
          </w:tcPr>
          <w:p w14:paraId="3868B50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0.30</w:t>
            </w:r>
          </w:p>
        </w:tc>
        <w:tc>
          <w:tcPr>
            <w:tcW w:w="922" w:type="pct"/>
            <w:vAlign w:val="center"/>
          </w:tcPr>
          <w:p w14:paraId="23F64316">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0.30</w:t>
            </w:r>
          </w:p>
        </w:tc>
        <w:tc>
          <w:tcPr>
            <w:tcW w:w="922" w:type="pct"/>
            <w:vAlign w:val="center"/>
          </w:tcPr>
          <w:p w14:paraId="39786B0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0.30</w:t>
            </w:r>
          </w:p>
        </w:tc>
        <w:tc>
          <w:tcPr>
            <w:tcW w:w="923" w:type="pct"/>
            <w:vAlign w:val="center"/>
          </w:tcPr>
          <w:p w14:paraId="5BADA7D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0.60</w:t>
            </w:r>
          </w:p>
        </w:tc>
      </w:tr>
      <w:tr w14:paraId="5BA0A79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25" w:type="pct"/>
            <w:vMerge w:val="restart"/>
            <w:vAlign w:val="center"/>
          </w:tcPr>
          <w:p w14:paraId="65AA838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汞</w:t>
            </w:r>
          </w:p>
        </w:tc>
        <w:tc>
          <w:tcPr>
            <w:tcW w:w="784" w:type="pct"/>
            <w:vAlign w:val="center"/>
          </w:tcPr>
          <w:p w14:paraId="5983B1C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水田</w:t>
            </w:r>
          </w:p>
        </w:tc>
        <w:tc>
          <w:tcPr>
            <w:tcW w:w="922" w:type="pct"/>
            <w:vAlign w:val="center"/>
          </w:tcPr>
          <w:p w14:paraId="2C47BE7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0.50</w:t>
            </w:r>
          </w:p>
        </w:tc>
        <w:tc>
          <w:tcPr>
            <w:tcW w:w="922" w:type="pct"/>
            <w:vAlign w:val="center"/>
          </w:tcPr>
          <w:p w14:paraId="5762A44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0.50</w:t>
            </w:r>
          </w:p>
        </w:tc>
        <w:tc>
          <w:tcPr>
            <w:tcW w:w="922" w:type="pct"/>
            <w:vAlign w:val="center"/>
          </w:tcPr>
          <w:p w14:paraId="7E45622D">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0.60</w:t>
            </w:r>
          </w:p>
        </w:tc>
        <w:tc>
          <w:tcPr>
            <w:tcW w:w="923" w:type="pct"/>
            <w:vAlign w:val="center"/>
          </w:tcPr>
          <w:p w14:paraId="46D45A7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1.00</w:t>
            </w:r>
          </w:p>
        </w:tc>
      </w:tr>
      <w:tr w14:paraId="4B6A112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25" w:type="pct"/>
            <w:vMerge w:val="continue"/>
            <w:vAlign w:val="center"/>
          </w:tcPr>
          <w:p w14:paraId="3D4ACD9C">
            <w:pPr>
              <w:adjustRightInd w:val="0"/>
              <w:snapToGrid w:val="0"/>
              <w:jc w:val="center"/>
              <w:rPr>
                <w:rFonts w:ascii="Times New Roman" w:hAnsi="Times New Roman" w:cs="Times New Roman"/>
                <w:color w:val="auto"/>
                <w:sz w:val="21"/>
              </w:rPr>
            </w:pPr>
          </w:p>
        </w:tc>
        <w:tc>
          <w:tcPr>
            <w:tcW w:w="784" w:type="pct"/>
            <w:vAlign w:val="center"/>
          </w:tcPr>
          <w:p w14:paraId="79BEAD8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其他</w:t>
            </w:r>
          </w:p>
        </w:tc>
        <w:tc>
          <w:tcPr>
            <w:tcW w:w="922" w:type="pct"/>
            <w:vAlign w:val="center"/>
          </w:tcPr>
          <w:p w14:paraId="2313849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1.30</w:t>
            </w:r>
          </w:p>
        </w:tc>
        <w:tc>
          <w:tcPr>
            <w:tcW w:w="922" w:type="pct"/>
            <w:vAlign w:val="center"/>
          </w:tcPr>
          <w:p w14:paraId="3ED31EA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1.80</w:t>
            </w:r>
          </w:p>
        </w:tc>
        <w:tc>
          <w:tcPr>
            <w:tcW w:w="922" w:type="pct"/>
            <w:vAlign w:val="center"/>
          </w:tcPr>
          <w:p w14:paraId="444AC4A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2.40</w:t>
            </w:r>
          </w:p>
        </w:tc>
        <w:tc>
          <w:tcPr>
            <w:tcW w:w="923" w:type="pct"/>
            <w:vAlign w:val="center"/>
          </w:tcPr>
          <w:p w14:paraId="036817E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3.40</w:t>
            </w:r>
          </w:p>
        </w:tc>
      </w:tr>
      <w:tr w14:paraId="62AA026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69" w:hRule="atLeast"/>
          <w:jc w:val="center"/>
        </w:trPr>
        <w:tc>
          <w:tcPr>
            <w:tcW w:w="525" w:type="pct"/>
            <w:vMerge w:val="restart"/>
            <w:vAlign w:val="center"/>
          </w:tcPr>
          <w:p w14:paraId="3F21A26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砷</w:t>
            </w:r>
          </w:p>
        </w:tc>
        <w:tc>
          <w:tcPr>
            <w:tcW w:w="784" w:type="pct"/>
            <w:vAlign w:val="center"/>
          </w:tcPr>
          <w:p w14:paraId="0860D01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水田</w:t>
            </w:r>
          </w:p>
        </w:tc>
        <w:tc>
          <w:tcPr>
            <w:tcW w:w="922" w:type="pct"/>
            <w:vAlign w:val="center"/>
          </w:tcPr>
          <w:p w14:paraId="051CE24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30</w:t>
            </w:r>
          </w:p>
        </w:tc>
        <w:tc>
          <w:tcPr>
            <w:tcW w:w="922" w:type="pct"/>
            <w:vAlign w:val="center"/>
          </w:tcPr>
          <w:p w14:paraId="4022377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30</w:t>
            </w:r>
          </w:p>
        </w:tc>
        <w:tc>
          <w:tcPr>
            <w:tcW w:w="922" w:type="pct"/>
            <w:vAlign w:val="center"/>
          </w:tcPr>
          <w:p w14:paraId="7BB63FA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25</w:t>
            </w:r>
          </w:p>
        </w:tc>
        <w:tc>
          <w:tcPr>
            <w:tcW w:w="923" w:type="pct"/>
            <w:vAlign w:val="center"/>
          </w:tcPr>
          <w:p w14:paraId="19B57DD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20</w:t>
            </w:r>
          </w:p>
        </w:tc>
      </w:tr>
      <w:tr w14:paraId="187D364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25" w:type="pct"/>
            <w:vMerge w:val="continue"/>
            <w:vAlign w:val="center"/>
          </w:tcPr>
          <w:p w14:paraId="2F2B7DC4">
            <w:pPr>
              <w:adjustRightInd w:val="0"/>
              <w:snapToGrid w:val="0"/>
              <w:jc w:val="center"/>
              <w:rPr>
                <w:rFonts w:ascii="Times New Roman" w:hAnsi="Times New Roman" w:cs="Times New Roman"/>
                <w:color w:val="auto"/>
                <w:sz w:val="21"/>
              </w:rPr>
            </w:pPr>
          </w:p>
        </w:tc>
        <w:tc>
          <w:tcPr>
            <w:tcW w:w="784" w:type="pct"/>
            <w:vAlign w:val="center"/>
          </w:tcPr>
          <w:p w14:paraId="3284993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其他</w:t>
            </w:r>
          </w:p>
        </w:tc>
        <w:tc>
          <w:tcPr>
            <w:tcW w:w="922" w:type="pct"/>
            <w:vAlign w:val="center"/>
          </w:tcPr>
          <w:p w14:paraId="23F620E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40</w:t>
            </w:r>
          </w:p>
        </w:tc>
        <w:tc>
          <w:tcPr>
            <w:tcW w:w="922" w:type="pct"/>
            <w:vAlign w:val="center"/>
          </w:tcPr>
          <w:p w14:paraId="345A176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40</w:t>
            </w:r>
          </w:p>
        </w:tc>
        <w:tc>
          <w:tcPr>
            <w:tcW w:w="922" w:type="pct"/>
            <w:vAlign w:val="center"/>
          </w:tcPr>
          <w:p w14:paraId="7F4105E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30</w:t>
            </w:r>
          </w:p>
        </w:tc>
        <w:tc>
          <w:tcPr>
            <w:tcW w:w="923" w:type="pct"/>
            <w:vAlign w:val="center"/>
          </w:tcPr>
          <w:p w14:paraId="7C8BC12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25</w:t>
            </w:r>
          </w:p>
        </w:tc>
      </w:tr>
      <w:tr w14:paraId="4AFAB93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25" w:type="pct"/>
            <w:vMerge w:val="restart"/>
            <w:vAlign w:val="center"/>
          </w:tcPr>
          <w:p w14:paraId="1699190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铅</w:t>
            </w:r>
          </w:p>
        </w:tc>
        <w:tc>
          <w:tcPr>
            <w:tcW w:w="784" w:type="pct"/>
            <w:vAlign w:val="center"/>
          </w:tcPr>
          <w:p w14:paraId="0A627226">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水田</w:t>
            </w:r>
          </w:p>
        </w:tc>
        <w:tc>
          <w:tcPr>
            <w:tcW w:w="922" w:type="pct"/>
            <w:vAlign w:val="center"/>
          </w:tcPr>
          <w:p w14:paraId="7DC1C34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80</w:t>
            </w:r>
          </w:p>
        </w:tc>
        <w:tc>
          <w:tcPr>
            <w:tcW w:w="922" w:type="pct"/>
            <w:vAlign w:val="center"/>
          </w:tcPr>
          <w:p w14:paraId="0D6DE386">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100</w:t>
            </w:r>
          </w:p>
        </w:tc>
        <w:tc>
          <w:tcPr>
            <w:tcW w:w="922" w:type="pct"/>
            <w:vAlign w:val="center"/>
          </w:tcPr>
          <w:p w14:paraId="4BBE460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140</w:t>
            </w:r>
          </w:p>
        </w:tc>
        <w:tc>
          <w:tcPr>
            <w:tcW w:w="923" w:type="pct"/>
            <w:vAlign w:val="center"/>
          </w:tcPr>
          <w:p w14:paraId="5D92274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240</w:t>
            </w:r>
          </w:p>
        </w:tc>
      </w:tr>
      <w:tr w14:paraId="7F3866F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25" w:type="pct"/>
            <w:vMerge w:val="continue"/>
            <w:vAlign w:val="center"/>
          </w:tcPr>
          <w:p w14:paraId="0FA08A0A">
            <w:pPr>
              <w:adjustRightInd w:val="0"/>
              <w:snapToGrid w:val="0"/>
              <w:jc w:val="center"/>
              <w:rPr>
                <w:rFonts w:ascii="Times New Roman" w:hAnsi="Times New Roman" w:cs="Times New Roman"/>
                <w:color w:val="auto"/>
                <w:sz w:val="21"/>
              </w:rPr>
            </w:pPr>
          </w:p>
        </w:tc>
        <w:tc>
          <w:tcPr>
            <w:tcW w:w="784" w:type="pct"/>
            <w:vAlign w:val="center"/>
          </w:tcPr>
          <w:p w14:paraId="1CDC5C4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其他</w:t>
            </w:r>
          </w:p>
        </w:tc>
        <w:tc>
          <w:tcPr>
            <w:tcW w:w="922" w:type="pct"/>
            <w:vAlign w:val="center"/>
          </w:tcPr>
          <w:p w14:paraId="4CCDD86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70</w:t>
            </w:r>
          </w:p>
        </w:tc>
        <w:tc>
          <w:tcPr>
            <w:tcW w:w="922" w:type="pct"/>
            <w:vAlign w:val="center"/>
          </w:tcPr>
          <w:p w14:paraId="0FF4C15D">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90</w:t>
            </w:r>
          </w:p>
        </w:tc>
        <w:tc>
          <w:tcPr>
            <w:tcW w:w="922" w:type="pct"/>
            <w:vAlign w:val="center"/>
          </w:tcPr>
          <w:p w14:paraId="3BAAD89D">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120</w:t>
            </w:r>
          </w:p>
        </w:tc>
        <w:tc>
          <w:tcPr>
            <w:tcW w:w="923" w:type="pct"/>
            <w:vAlign w:val="center"/>
          </w:tcPr>
          <w:p w14:paraId="2444D1F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170</w:t>
            </w:r>
          </w:p>
        </w:tc>
      </w:tr>
      <w:tr w14:paraId="6137D6C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25" w:type="pct"/>
            <w:vMerge w:val="restart"/>
            <w:vAlign w:val="center"/>
          </w:tcPr>
          <w:p w14:paraId="31D226C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铬</w:t>
            </w:r>
          </w:p>
        </w:tc>
        <w:tc>
          <w:tcPr>
            <w:tcW w:w="784" w:type="pct"/>
            <w:vAlign w:val="center"/>
          </w:tcPr>
          <w:p w14:paraId="6627A56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水田</w:t>
            </w:r>
          </w:p>
        </w:tc>
        <w:tc>
          <w:tcPr>
            <w:tcW w:w="922" w:type="pct"/>
            <w:vAlign w:val="center"/>
          </w:tcPr>
          <w:p w14:paraId="1A00F78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250</w:t>
            </w:r>
          </w:p>
        </w:tc>
        <w:tc>
          <w:tcPr>
            <w:tcW w:w="922" w:type="pct"/>
            <w:vAlign w:val="center"/>
          </w:tcPr>
          <w:p w14:paraId="32239AE1">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250</w:t>
            </w:r>
          </w:p>
        </w:tc>
        <w:tc>
          <w:tcPr>
            <w:tcW w:w="922" w:type="pct"/>
            <w:vAlign w:val="center"/>
          </w:tcPr>
          <w:p w14:paraId="1AF9781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300</w:t>
            </w:r>
          </w:p>
        </w:tc>
        <w:tc>
          <w:tcPr>
            <w:tcW w:w="923" w:type="pct"/>
            <w:vAlign w:val="center"/>
          </w:tcPr>
          <w:p w14:paraId="6F81CA3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350</w:t>
            </w:r>
          </w:p>
        </w:tc>
      </w:tr>
      <w:tr w14:paraId="5C123F3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25" w:type="pct"/>
            <w:vMerge w:val="continue"/>
            <w:vAlign w:val="center"/>
          </w:tcPr>
          <w:p w14:paraId="36387E78">
            <w:pPr>
              <w:adjustRightInd w:val="0"/>
              <w:snapToGrid w:val="0"/>
              <w:jc w:val="center"/>
              <w:rPr>
                <w:rFonts w:ascii="Times New Roman" w:hAnsi="Times New Roman" w:cs="Times New Roman"/>
                <w:color w:val="auto"/>
                <w:sz w:val="21"/>
              </w:rPr>
            </w:pPr>
          </w:p>
        </w:tc>
        <w:tc>
          <w:tcPr>
            <w:tcW w:w="784" w:type="pct"/>
            <w:vAlign w:val="center"/>
          </w:tcPr>
          <w:p w14:paraId="30588F1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其他</w:t>
            </w:r>
          </w:p>
        </w:tc>
        <w:tc>
          <w:tcPr>
            <w:tcW w:w="922" w:type="pct"/>
            <w:vAlign w:val="center"/>
          </w:tcPr>
          <w:p w14:paraId="50757856">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150</w:t>
            </w:r>
          </w:p>
        </w:tc>
        <w:tc>
          <w:tcPr>
            <w:tcW w:w="922" w:type="pct"/>
            <w:vAlign w:val="center"/>
          </w:tcPr>
          <w:p w14:paraId="45964A11">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150</w:t>
            </w:r>
          </w:p>
        </w:tc>
        <w:tc>
          <w:tcPr>
            <w:tcW w:w="922" w:type="pct"/>
            <w:vAlign w:val="center"/>
          </w:tcPr>
          <w:p w14:paraId="31A44B5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200</w:t>
            </w:r>
          </w:p>
        </w:tc>
        <w:tc>
          <w:tcPr>
            <w:tcW w:w="923" w:type="pct"/>
            <w:vAlign w:val="center"/>
          </w:tcPr>
          <w:p w14:paraId="06EA0D7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250</w:t>
            </w:r>
          </w:p>
        </w:tc>
      </w:tr>
      <w:tr w14:paraId="1F0B038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25" w:type="pct"/>
            <w:vMerge w:val="restart"/>
            <w:vAlign w:val="center"/>
          </w:tcPr>
          <w:p w14:paraId="430F8C9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铜</w:t>
            </w:r>
          </w:p>
        </w:tc>
        <w:tc>
          <w:tcPr>
            <w:tcW w:w="784" w:type="pct"/>
            <w:vAlign w:val="center"/>
          </w:tcPr>
          <w:p w14:paraId="4691BA3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果园</w:t>
            </w:r>
          </w:p>
        </w:tc>
        <w:tc>
          <w:tcPr>
            <w:tcW w:w="922" w:type="pct"/>
            <w:vAlign w:val="center"/>
          </w:tcPr>
          <w:p w14:paraId="5FA1109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150</w:t>
            </w:r>
          </w:p>
        </w:tc>
        <w:tc>
          <w:tcPr>
            <w:tcW w:w="922" w:type="pct"/>
            <w:vAlign w:val="center"/>
          </w:tcPr>
          <w:p w14:paraId="4106576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150</w:t>
            </w:r>
          </w:p>
        </w:tc>
        <w:tc>
          <w:tcPr>
            <w:tcW w:w="922" w:type="pct"/>
            <w:vAlign w:val="center"/>
          </w:tcPr>
          <w:p w14:paraId="2B550A5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200</w:t>
            </w:r>
          </w:p>
        </w:tc>
        <w:tc>
          <w:tcPr>
            <w:tcW w:w="923" w:type="pct"/>
            <w:vAlign w:val="center"/>
          </w:tcPr>
          <w:p w14:paraId="787AEE0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200</w:t>
            </w:r>
          </w:p>
        </w:tc>
      </w:tr>
      <w:tr w14:paraId="17117F3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25" w:type="pct"/>
            <w:vMerge w:val="continue"/>
            <w:vAlign w:val="center"/>
          </w:tcPr>
          <w:p w14:paraId="0493ECE7">
            <w:pPr>
              <w:adjustRightInd w:val="0"/>
              <w:snapToGrid w:val="0"/>
              <w:jc w:val="center"/>
              <w:rPr>
                <w:rFonts w:ascii="Times New Roman" w:hAnsi="Times New Roman" w:cs="Times New Roman"/>
                <w:color w:val="auto"/>
                <w:sz w:val="21"/>
              </w:rPr>
            </w:pPr>
          </w:p>
        </w:tc>
        <w:tc>
          <w:tcPr>
            <w:tcW w:w="784" w:type="pct"/>
            <w:vAlign w:val="center"/>
          </w:tcPr>
          <w:p w14:paraId="39F401A1">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其他</w:t>
            </w:r>
          </w:p>
        </w:tc>
        <w:tc>
          <w:tcPr>
            <w:tcW w:w="922" w:type="pct"/>
            <w:vAlign w:val="center"/>
          </w:tcPr>
          <w:p w14:paraId="60EF61A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50</w:t>
            </w:r>
          </w:p>
        </w:tc>
        <w:tc>
          <w:tcPr>
            <w:tcW w:w="922" w:type="pct"/>
            <w:vAlign w:val="center"/>
          </w:tcPr>
          <w:p w14:paraId="5A82B15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50</w:t>
            </w:r>
          </w:p>
        </w:tc>
        <w:tc>
          <w:tcPr>
            <w:tcW w:w="922" w:type="pct"/>
            <w:vAlign w:val="center"/>
          </w:tcPr>
          <w:p w14:paraId="62DA36BD">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100</w:t>
            </w:r>
          </w:p>
        </w:tc>
        <w:tc>
          <w:tcPr>
            <w:tcW w:w="923" w:type="pct"/>
            <w:vAlign w:val="center"/>
          </w:tcPr>
          <w:p w14:paraId="6872CC38">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100</w:t>
            </w:r>
          </w:p>
        </w:tc>
      </w:tr>
      <w:tr w14:paraId="5640D32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310" w:type="pct"/>
            <w:gridSpan w:val="2"/>
            <w:vAlign w:val="center"/>
          </w:tcPr>
          <w:p w14:paraId="15498EDD">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镍</w:t>
            </w:r>
          </w:p>
        </w:tc>
        <w:tc>
          <w:tcPr>
            <w:tcW w:w="922" w:type="pct"/>
            <w:vAlign w:val="center"/>
          </w:tcPr>
          <w:p w14:paraId="41FA64C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60</w:t>
            </w:r>
          </w:p>
        </w:tc>
        <w:tc>
          <w:tcPr>
            <w:tcW w:w="922" w:type="pct"/>
            <w:vAlign w:val="center"/>
          </w:tcPr>
          <w:p w14:paraId="3DF87AA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70</w:t>
            </w:r>
          </w:p>
        </w:tc>
        <w:tc>
          <w:tcPr>
            <w:tcW w:w="922" w:type="pct"/>
            <w:vAlign w:val="center"/>
          </w:tcPr>
          <w:p w14:paraId="0087705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100</w:t>
            </w:r>
          </w:p>
        </w:tc>
        <w:tc>
          <w:tcPr>
            <w:tcW w:w="923" w:type="pct"/>
            <w:vAlign w:val="center"/>
          </w:tcPr>
          <w:p w14:paraId="66EE124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190</w:t>
            </w:r>
          </w:p>
        </w:tc>
      </w:tr>
      <w:tr w14:paraId="42B6074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310" w:type="pct"/>
            <w:gridSpan w:val="2"/>
            <w:vAlign w:val="center"/>
          </w:tcPr>
          <w:p w14:paraId="0FF0CFB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锌</w:t>
            </w:r>
          </w:p>
        </w:tc>
        <w:tc>
          <w:tcPr>
            <w:tcW w:w="922" w:type="pct"/>
            <w:vAlign w:val="center"/>
          </w:tcPr>
          <w:p w14:paraId="245E605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200</w:t>
            </w:r>
          </w:p>
        </w:tc>
        <w:tc>
          <w:tcPr>
            <w:tcW w:w="922" w:type="pct"/>
            <w:vAlign w:val="center"/>
          </w:tcPr>
          <w:p w14:paraId="53A221C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200</w:t>
            </w:r>
          </w:p>
        </w:tc>
        <w:tc>
          <w:tcPr>
            <w:tcW w:w="922" w:type="pct"/>
            <w:vAlign w:val="center"/>
          </w:tcPr>
          <w:p w14:paraId="0DF5952D">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250</w:t>
            </w:r>
          </w:p>
        </w:tc>
        <w:tc>
          <w:tcPr>
            <w:tcW w:w="923" w:type="pct"/>
            <w:vAlign w:val="center"/>
          </w:tcPr>
          <w:p w14:paraId="21688B5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300</w:t>
            </w:r>
          </w:p>
        </w:tc>
      </w:tr>
    </w:tbl>
    <w:p w14:paraId="5C413E79">
      <w:pPr>
        <w:widowControl w:val="0"/>
        <w:spacing w:line="360" w:lineRule="auto"/>
        <w:ind w:firstLine="482"/>
        <w:jc w:val="both"/>
        <w:outlineLvl w:val="3"/>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2.3.3.2 污染物排放标准</w:t>
      </w:r>
    </w:p>
    <w:p w14:paraId="4E069D72">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1、废气</w:t>
      </w:r>
    </w:p>
    <w:p w14:paraId="6ED2F10F">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项目施工期废气污染物颗粒物执行《施工场地颗粒物排放标准》（DB34/4811-2024）中排放标准要求；</w:t>
      </w:r>
    </w:p>
    <w:p w14:paraId="3DD8BF8E">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项目产品化学纯氢氟酸属于C2669其他专用化学产品制造行业，刻蚀液属于C3985电子专用材料制造行业，同时</w:t>
      </w:r>
      <w:r>
        <w:rPr>
          <w:rFonts w:hint="eastAsia" w:ascii="Times New Roman" w:hAnsi="Times New Roman" w:cs="Times New Roman"/>
          <w:color w:val="auto"/>
          <w:szCs w:val="24"/>
          <w:lang w:eastAsia="zh-CN"/>
        </w:rPr>
        <w:t>项目</w:t>
      </w:r>
      <w:r>
        <w:rPr>
          <w:rFonts w:ascii="Times New Roman" w:hAnsi="Times New Roman" w:cs="Times New Roman"/>
          <w:color w:val="auto"/>
          <w:szCs w:val="24"/>
          <w:lang w:eastAsia="zh-CN"/>
        </w:rPr>
        <w:t>化学纯氢氟酸</w:t>
      </w:r>
      <w:r>
        <w:rPr>
          <w:rFonts w:hint="eastAsia" w:ascii="Times New Roman" w:hAnsi="Times New Roman" w:cs="Times New Roman"/>
          <w:color w:val="auto"/>
          <w:szCs w:val="24"/>
          <w:lang w:eastAsia="zh-CN"/>
        </w:rPr>
        <w:t>等</w:t>
      </w:r>
      <w:r>
        <w:rPr>
          <w:rFonts w:ascii="Times New Roman" w:hAnsi="Times New Roman" w:cs="Times New Roman"/>
          <w:color w:val="auto"/>
          <w:szCs w:val="24"/>
          <w:lang w:eastAsia="zh-CN"/>
        </w:rPr>
        <w:t>属于《无机化学工业污染物排放标准》（GB31573-2015）</w:t>
      </w:r>
      <w:r>
        <w:rPr>
          <w:rFonts w:hint="eastAsia" w:ascii="Times New Roman" w:hAnsi="Times New Roman" w:cs="Times New Roman"/>
          <w:color w:val="auto"/>
          <w:szCs w:val="24"/>
          <w:lang w:eastAsia="zh-CN"/>
        </w:rPr>
        <w:t>排放标准适用范围</w:t>
      </w:r>
      <w:r>
        <w:rPr>
          <w:rFonts w:ascii="Times New Roman" w:hAnsi="Times New Roman" w:cs="Times New Roman"/>
          <w:color w:val="auto"/>
          <w:szCs w:val="24"/>
          <w:lang w:eastAsia="zh-CN"/>
        </w:rPr>
        <w:t>。</w:t>
      </w:r>
      <w:r>
        <w:rPr>
          <w:rFonts w:hint="eastAsia" w:ascii="Times New Roman" w:hAnsi="Times New Roman" w:cs="Times New Roman"/>
          <w:color w:val="auto"/>
          <w:szCs w:val="24"/>
          <w:lang w:eastAsia="zh-CN"/>
        </w:rPr>
        <w:t>项目排放的</w:t>
      </w:r>
      <w:r>
        <w:rPr>
          <w:rFonts w:ascii="Times New Roman" w:hAnsi="Times New Roman" w:cs="Times New Roman"/>
          <w:color w:val="auto"/>
          <w:szCs w:val="24"/>
          <w:lang w:eastAsia="zh-CN"/>
        </w:rPr>
        <w:t>废气污染物</w:t>
      </w:r>
      <w:r>
        <w:rPr>
          <w:rFonts w:hint="eastAsia" w:ascii="Times New Roman" w:hAnsi="Times New Roman" w:cs="Times New Roman"/>
          <w:color w:val="auto"/>
          <w:szCs w:val="24"/>
          <w:lang w:eastAsia="zh-CN"/>
        </w:rPr>
        <w:t>氯化氢、氟化氢</w:t>
      </w:r>
      <w:r>
        <w:rPr>
          <w:rFonts w:ascii="Times New Roman" w:hAnsi="Times New Roman" w:cs="Times New Roman"/>
          <w:color w:val="auto"/>
          <w:szCs w:val="24"/>
          <w:lang w:eastAsia="zh-CN"/>
        </w:rPr>
        <w:t>排放执行</w:t>
      </w:r>
      <w:r>
        <w:rPr>
          <w:rFonts w:hint="eastAsia" w:ascii="Times New Roman" w:hAnsi="Times New Roman" w:cs="Times New Roman"/>
          <w:color w:val="auto"/>
          <w:lang w:eastAsia="zh-CN"/>
        </w:rPr>
        <w:t>《无机化学工业污染物排放标准》（GB31573-2015）</w:t>
      </w:r>
      <w:r>
        <w:rPr>
          <w:rFonts w:ascii="Times New Roman" w:hAnsi="Times New Roman" w:cs="Times New Roman"/>
          <w:color w:val="auto"/>
          <w:szCs w:val="24"/>
          <w:lang w:eastAsia="zh-CN"/>
        </w:rPr>
        <w:t>中</w:t>
      </w:r>
      <w:r>
        <w:rPr>
          <w:rFonts w:hint="eastAsia" w:ascii="Times New Roman" w:hAnsi="Times New Roman" w:cs="Times New Roman"/>
          <w:color w:val="auto"/>
          <w:szCs w:val="24"/>
          <w:lang w:eastAsia="zh-CN"/>
        </w:rPr>
        <w:t>特别</w:t>
      </w:r>
      <w:r>
        <w:rPr>
          <w:rFonts w:ascii="Times New Roman" w:hAnsi="Times New Roman" w:cs="Times New Roman"/>
          <w:color w:val="auto"/>
          <w:szCs w:val="24"/>
          <w:lang w:eastAsia="zh-CN"/>
        </w:rPr>
        <w:t>排放限值要求</w:t>
      </w:r>
      <w:r>
        <w:rPr>
          <w:rFonts w:hint="eastAsia" w:ascii="Times New Roman" w:hAnsi="Times New Roman" w:cs="Times New Roman"/>
          <w:color w:val="auto"/>
          <w:szCs w:val="24"/>
          <w:lang w:eastAsia="zh-CN"/>
        </w:rPr>
        <w:t>；</w:t>
      </w:r>
    </w:p>
    <w:p w14:paraId="1360B682">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具体限值见下表：</w:t>
      </w:r>
    </w:p>
    <w:p w14:paraId="004646F0">
      <w:pPr>
        <w:widowControl w:val="0"/>
        <w:spacing w:line="360" w:lineRule="auto"/>
        <w:jc w:val="center"/>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表2.3-</w:t>
      </w:r>
      <w:r>
        <w:rPr>
          <w:rFonts w:hint="eastAsia" w:ascii="Times New Roman" w:hAnsi="Times New Roman" w:eastAsia="新宋体" w:cs="Times New Roman"/>
          <w:b/>
          <w:bCs/>
          <w:color w:val="auto"/>
          <w:szCs w:val="24"/>
          <w:lang w:eastAsia="zh-CN"/>
        </w:rPr>
        <w:t>9</w:t>
      </w:r>
      <w:r>
        <w:rPr>
          <w:rFonts w:ascii="Times New Roman" w:hAnsi="Times New Roman" w:eastAsia="新宋体" w:cs="Times New Roman"/>
          <w:b/>
          <w:bCs/>
          <w:color w:val="auto"/>
          <w:szCs w:val="24"/>
          <w:lang w:eastAsia="zh-CN"/>
        </w:rPr>
        <w:t xml:space="preserve">  施工期废气污染物排放浓度限值一览表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1662"/>
        <w:gridCol w:w="2743"/>
        <w:gridCol w:w="2497"/>
        <w:gridCol w:w="2844"/>
      </w:tblGrid>
      <w:tr w14:paraId="760CB92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853" w:type="pct"/>
            <w:vAlign w:val="center"/>
          </w:tcPr>
          <w:p w14:paraId="231C2807">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污染物</w:t>
            </w:r>
          </w:p>
        </w:tc>
        <w:tc>
          <w:tcPr>
            <w:tcW w:w="1407" w:type="pct"/>
            <w:vAlign w:val="center"/>
          </w:tcPr>
          <w:p w14:paraId="0A3848EC">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监控点浓度限值（μg/m</w:t>
            </w:r>
            <w:r>
              <w:rPr>
                <w:rFonts w:ascii="Times New Roman" w:hAnsi="Times New Roman" w:cs="Times New Roman"/>
                <w:b/>
                <w:bCs/>
                <w:color w:val="auto"/>
                <w:sz w:val="21"/>
                <w:vertAlign w:val="superscript"/>
                <w:lang w:eastAsia="zh-CN"/>
              </w:rPr>
              <w:t>3</w:t>
            </w:r>
            <w:r>
              <w:rPr>
                <w:rFonts w:ascii="Times New Roman" w:hAnsi="Times New Roman" w:cs="Times New Roman"/>
                <w:b/>
                <w:bCs/>
                <w:color w:val="auto"/>
                <w:sz w:val="21"/>
                <w:lang w:eastAsia="zh-CN"/>
              </w:rPr>
              <w:t>）</w:t>
            </w:r>
          </w:p>
        </w:tc>
        <w:tc>
          <w:tcPr>
            <w:tcW w:w="1281" w:type="pct"/>
            <w:vAlign w:val="center"/>
          </w:tcPr>
          <w:p w14:paraId="2C524653">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达标判定依据</w:t>
            </w:r>
          </w:p>
        </w:tc>
        <w:tc>
          <w:tcPr>
            <w:tcW w:w="1459" w:type="pct"/>
            <w:vAlign w:val="center"/>
          </w:tcPr>
          <w:p w14:paraId="6B60A7A8">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执行标准</w:t>
            </w:r>
          </w:p>
        </w:tc>
      </w:tr>
      <w:tr w14:paraId="705A0E9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853" w:type="pct"/>
            <w:vMerge w:val="restart"/>
            <w:vAlign w:val="center"/>
          </w:tcPr>
          <w:p w14:paraId="61275D23">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TSP</w:t>
            </w:r>
          </w:p>
        </w:tc>
        <w:tc>
          <w:tcPr>
            <w:tcW w:w="1407" w:type="pct"/>
            <w:vAlign w:val="center"/>
          </w:tcPr>
          <w:p w14:paraId="3E2CF76F">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1000</w:t>
            </w:r>
          </w:p>
        </w:tc>
        <w:tc>
          <w:tcPr>
            <w:tcW w:w="1281" w:type="pct"/>
            <w:vAlign w:val="center"/>
          </w:tcPr>
          <w:p w14:paraId="5E1D307E">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超标次数≤1次/日</w:t>
            </w:r>
          </w:p>
        </w:tc>
        <w:tc>
          <w:tcPr>
            <w:tcW w:w="1459" w:type="pct"/>
            <w:vMerge w:val="restart"/>
            <w:vAlign w:val="center"/>
          </w:tcPr>
          <w:p w14:paraId="20DA4371">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《施工场地颗粒物排放标准》（DB34/4811-2024）</w:t>
            </w:r>
          </w:p>
        </w:tc>
      </w:tr>
      <w:tr w14:paraId="5034DBF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853" w:type="pct"/>
            <w:vMerge w:val="continue"/>
            <w:vAlign w:val="center"/>
          </w:tcPr>
          <w:p w14:paraId="49EE3D60">
            <w:pPr>
              <w:widowControl w:val="0"/>
              <w:adjustRightInd w:val="0"/>
              <w:snapToGrid w:val="0"/>
              <w:jc w:val="center"/>
              <w:rPr>
                <w:rFonts w:ascii="Times New Roman" w:hAnsi="Times New Roman" w:cs="Times New Roman"/>
                <w:color w:val="auto"/>
                <w:sz w:val="21"/>
                <w:lang w:eastAsia="zh-CN"/>
              </w:rPr>
            </w:pPr>
          </w:p>
        </w:tc>
        <w:tc>
          <w:tcPr>
            <w:tcW w:w="1407" w:type="pct"/>
            <w:vAlign w:val="center"/>
          </w:tcPr>
          <w:p w14:paraId="53B55E38">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500</w:t>
            </w:r>
          </w:p>
        </w:tc>
        <w:tc>
          <w:tcPr>
            <w:tcW w:w="1281" w:type="pct"/>
            <w:vAlign w:val="center"/>
          </w:tcPr>
          <w:p w14:paraId="6FEC7C15">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超标次数≤6次/日</w:t>
            </w:r>
          </w:p>
        </w:tc>
        <w:tc>
          <w:tcPr>
            <w:tcW w:w="1459" w:type="pct"/>
            <w:vMerge w:val="continue"/>
            <w:vAlign w:val="center"/>
          </w:tcPr>
          <w:p w14:paraId="5E61277D">
            <w:pPr>
              <w:widowControl w:val="0"/>
              <w:adjustRightInd w:val="0"/>
              <w:snapToGrid w:val="0"/>
              <w:jc w:val="center"/>
              <w:rPr>
                <w:rFonts w:ascii="Times New Roman" w:hAnsi="Times New Roman" w:cs="Times New Roman"/>
                <w:color w:val="auto"/>
                <w:sz w:val="21"/>
                <w:lang w:eastAsia="zh-CN"/>
              </w:rPr>
            </w:pPr>
          </w:p>
        </w:tc>
      </w:tr>
    </w:tbl>
    <w:p w14:paraId="16E7B913">
      <w:pPr>
        <w:widowControl w:val="0"/>
        <w:spacing w:line="360" w:lineRule="auto"/>
        <w:jc w:val="center"/>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表2.3-</w:t>
      </w:r>
      <w:r>
        <w:rPr>
          <w:rFonts w:hint="eastAsia" w:ascii="Times New Roman" w:hAnsi="Times New Roman" w:eastAsia="新宋体" w:cs="Times New Roman"/>
          <w:b/>
          <w:bCs/>
          <w:color w:val="auto"/>
          <w:szCs w:val="24"/>
          <w:lang w:eastAsia="zh-CN"/>
        </w:rPr>
        <w:t>10</w:t>
      </w:r>
      <w:r>
        <w:rPr>
          <w:rFonts w:ascii="Times New Roman" w:hAnsi="Times New Roman" w:eastAsia="新宋体" w:cs="Times New Roman"/>
          <w:b/>
          <w:bCs/>
          <w:color w:val="auto"/>
          <w:szCs w:val="24"/>
          <w:lang w:eastAsia="zh-CN"/>
        </w:rPr>
        <w:t xml:space="preserve">  运营期废气污染物排放浓度限值一览表</w:t>
      </w:r>
    </w:p>
    <w:tbl>
      <w:tblPr>
        <w:tblStyle w:val="35"/>
        <w:tblW w:w="4974"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818"/>
        <w:gridCol w:w="950"/>
        <w:gridCol w:w="1355"/>
        <w:gridCol w:w="853"/>
        <w:gridCol w:w="1384"/>
        <w:gridCol w:w="1150"/>
        <w:gridCol w:w="3185"/>
      </w:tblGrid>
      <w:tr w14:paraId="62F9895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912" w:type="pct"/>
            <w:gridSpan w:val="2"/>
            <w:vAlign w:val="center"/>
          </w:tcPr>
          <w:p w14:paraId="52B3CAAB">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类型</w:t>
            </w:r>
          </w:p>
        </w:tc>
        <w:tc>
          <w:tcPr>
            <w:tcW w:w="699" w:type="pct"/>
            <w:vAlign w:val="center"/>
          </w:tcPr>
          <w:p w14:paraId="5672E7DF">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污染物</w:t>
            </w:r>
          </w:p>
        </w:tc>
        <w:tc>
          <w:tcPr>
            <w:tcW w:w="440" w:type="pct"/>
            <w:vAlign w:val="center"/>
          </w:tcPr>
          <w:p w14:paraId="1136497B">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排气筒高度</w:t>
            </w:r>
          </w:p>
        </w:tc>
        <w:tc>
          <w:tcPr>
            <w:tcW w:w="714" w:type="pct"/>
            <w:vAlign w:val="center"/>
          </w:tcPr>
          <w:p w14:paraId="6AADA3A3">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排放限值</w:t>
            </w:r>
          </w:p>
          <w:p w14:paraId="226B87A6">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（mg/m</w:t>
            </w:r>
            <w:r>
              <w:rPr>
                <w:rFonts w:ascii="Times New Roman" w:hAnsi="Times New Roman" w:cs="Times New Roman"/>
                <w:b/>
                <w:bCs/>
                <w:color w:val="auto"/>
                <w:sz w:val="21"/>
                <w:vertAlign w:val="superscript"/>
                <w:lang w:eastAsia="zh-CN"/>
              </w:rPr>
              <w:t>3</w:t>
            </w:r>
            <w:r>
              <w:rPr>
                <w:rFonts w:ascii="Times New Roman" w:hAnsi="Times New Roman" w:cs="Times New Roman"/>
                <w:b/>
                <w:bCs/>
                <w:color w:val="auto"/>
                <w:sz w:val="21"/>
                <w:lang w:eastAsia="zh-CN"/>
              </w:rPr>
              <w:t>）</w:t>
            </w:r>
          </w:p>
        </w:tc>
        <w:tc>
          <w:tcPr>
            <w:tcW w:w="593" w:type="pct"/>
            <w:vAlign w:val="center"/>
          </w:tcPr>
          <w:p w14:paraId="123FA035">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排放速率</w:t>
            </w:r>
          </w:p>
          <w:p w14:paraId="2DF1CDDF">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（kg/h）</w:t>
            </w:r>
          </w:p>
        </w:tc>
        <w:tc>
          <w:tcPr>
            <w:tcW w:w="1642" w:type="pct"/>
            <w:vAlign w:val="center"/>
          </w:tcPr>
          <w:p w14:paraId="3073BBD4">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执行标准</w:t>
            </w:r>
          </w:p>
        </w:tc>
      </w:tr>
      <w:tr w14:paraId="3997BB3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422" w:type="pct"/>
            <w:vMerge w:val="restart"/>
            <w:vAlign w:val="center"/>
          </w:tcPr>
          <w:p w14:paraId="1A1763FE">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有组织</w:t>
            </w:r>
          </w:p>
        </w:tc>
        <w:tc>
          <w:tcPr>
            <w:tcW w:w="490" w:type="pct"/>
            <w:vMerge w:val="restart"/>
            <w:vAlign w:val="center"/>
          </w:tcPr>
          <w:p w14:paraId="0E63CB63">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DA00</w:t>
            </w:r>
            <w:r>
              <w:rPr>
                <w:rFonts w:hint="eastAsia" w:ascii="Times New Roman" w:hAnsi="Times New Roman" w:cs="Times New Roman"/>
                <w:color w:val="auto"/>
                <w:sz w:val="21"/>
                <w:lang w:eastAsia="zh-CN"/>
              </w:rPr>
              <w:t>1</w:t>
            </w:r>
          </w:p>
        </w:tc>
        <w:tc>
          <w:tcPr>
            <w:tcW w:w="699" w:type="pct"/>
            <w:vAlign w:val="center"/>
          </w:tcPr>
          <w:p w14:paraId="257E4CB7">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氟化物</w:t>
            </w:r>
          </w:p>
        </w:tc>
        <w:tc>
          <w:tcPr>
            <w:tcW w:w="440" w:type="pct"/>
            <w:vMerge w:val="restart"/>
            <w:vAlign w:val="center"/>
          </w:tcPr>
          <w:p w14:paraId="7951C159">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w:t>
            </w:r>
            <w:r>
              <w:rPr>
                <w:rFonts w:hint="eastAsia" w:ascii="Times New Roman" w:hAnsi="Times New Roman" w:cs="Times New Roman"/>
                <w:color w:val="auto"/>
                <w:sz w:val="21"/>
                <w:lang w:eastAsia="zh-CN"/>
              </w:rPr>
              <w:t>5</w:t>
            </w:r>
          </w:p>
        </w:tc>
        <w:tc>
          <w:tcPr>
            <w:tcW w:w="714" w:type="pct"/>
            <w:vAlign w:val="center"/>
          </w:tcPr>
          <w:p w14:paraId="50736E5D">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3</w:t>
            </w:r>
          </w:p>
        </w:tc>
        <w:tc>
          <w:tcPr>
            <w:tcW w:w="593" w:type="pct"/>
            <w:vAlign w:val="center"/>
          </w:tcPr>
          <w:p w14:paraId="775DC983">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c>
          <w:tcPr>
            <w:tcW w:w="1642" w:type="pct"/>
            <w:vMerge w:val="restart"/>
            <w:vAlign w:val="center"/>
          </w:tcPr>
          <w:p w14:paraId="64089DB9">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无机化学工业污染物排放标准》（GB31573-2015）</w:t>
            </w:r>
          </w:p>
        </w:tc>
      </w:tr>
      <w:tr w14:paraId="49172CF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422" w:type="pct"/>
            <w:vMerge w:val="continue"/>
            <w:vAlign w:val="center"/>
          </w:tcPr>
          <w:p w14:paraId="0470A25F">
            <w:pPr>
              <w:widowControl w:val="0"/>
              <w:adjustRightInd w:val="0"/>
              <w:snapToGrid w:val="0"/>
              <w:jc w:val="center"/>
              <w:rPr>
                <w:rFonts w:ascii="Times New Roman" w:hAnsi="Times New Roman" w:cs="Times New Roman"/>
                <w:color w:val="auto"/>
                <w:sz w:val="21"/>
                <w:lang w:eastAsia="zh-CN"/>
              </w:rPr>
            </w:pPr>
          </w:p>
        </w:tc>
        <w:tc>
          <w:tcPr>
            <w:tcW w:w="490" w:type="pct"/>
            <w:vMerge w:val="continue"/>
            <w:vAlign w:val="center"/>
          </w:tcPr>
          <w:p w14:paraId="7011CF3B">
            <w:pPr>
              <w:widowControl w:val="0"/>
              <w:adjustRightInd w:val="0"/>
              <w:snapToGrid w:val="0"/>
              <w:jc w:val="center"/>
              <w:rPr>
                <w:rFonts w:ascii="Times New Roman" w:hAnsi="Times New Roman" w:cs="Times New Roman"/>
                <w:color w:val="auto"/>
                <w:sz w:val="21"/>
                <w:lang w:eastAsia="zh-CN"/>
              </w:rPr>
            </w:pPr>
          </w:p>
        </w:tc>
        <w:tc>
          <w:tcPr>
            <w:tcW w:w="699" w:type="pct"/>
            <w:vAlign w:val="center"/>
          </w:tcPr>
          <w:p w14:paraId="7647F787">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氯化氢</w:t>
            </w:r>
          </w:p>
        </w:tc>
        <w:tc>
          <w:tcPr>
            <w:tcW w:w="440" w:type="pct"/>
            <w:vMerge w:val="continue"/>
            <w:vAlign w:val="center"/>
          </w:tcPr>
          <w:p w14:paraId="41EFE1DD">
            <w:pPr>
              <w:widowControl w:val="0"/>
              <w:adjustRightInd w:val="0"/>
              <w:snapToGrid w:val="0"/>
              <w:jc w:val="center"/>
              <w:rPr>
                <w:rFonts w:ascii="Times New Roman" w:hAnsi="Times New Roman" w:cs="Times New Roman"/>
                <w:color w:val="auto"/>
                <w:sz w:val="21"/>
                <w:lang w:eastAsia="zh-CN"/>
              </w:rPr>
            </w:pPr>
          </w:p>
        </w:tc>
        <w:tc>
          <w:tcPr>
            <w:tcW w:w="714" w:type="pct"/>
            <w:vAlign w:val="center"/>
          </w:tcPr>
          <w:p w14:paraId="2AB8C3D0">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10</w:t>
            </w:r>
          </w:p>
        </w:tc>
        <w:tc>
          <w:tcPr>
            <w:tcW w:w="593" w:type="pct"/>
            <w:vAlign w:val="center"/>
          </w:tcPr>
          <w:p w14:paraId="0D3CC4F4">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c>
          <w:tcPr>
            <w:tcW w:w="1642" w:type="pct"/>
            <w:vMerge w:val="continue"/>
            <w:vAlign w:val="center"/>
          </w:tcPr>
          <w:p w14:paraId="6F5C7591">
            <w:pPr>
              <w:widowControl w:val="0"/>
              <w:adjustRightInd w:val="0"/>
              <w:snapToGrid w:val="0"/>
              <w:jc w:val="center"/>
              <w:rPr>
                <w:rFonts w:ascii="Times New Roman" w:hAnsi="Times New Roman" w:cs="Times New Roman"/>
                <w:color w:val="auto"/>
                <w:sz w:val="21"/>
                <w:lang w:eastAsia="zh-CN"/>
              </w:rPr>
            </w:pPr>
          </w:p>
        </w:tc>
      </w:tr>
      <w:tr w14:paraId="139B023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422" w:type="pct"/>
            <w:vMerge w:val="restart"/>
            <w:vAlign w:val="center"/>
          </w:tcPr>
          <w:p w14:paraId="601C2858">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无组织</w:t>
            </w:r>
          </w:p>
        </w:tc>
        <w:tc>
          <w:tcPr>
            <w:tcW w:w="490" w:type="pct"/>
            <w:vMerge w:val="restart"/>
            <w:vAlign w:val="center"/>
          </w:tcPr>
          <w:p w14:paraId="3344AF2E">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厂界</w:t>
            </w:r>
          </w:p>
        </w:tc>
        <w:tc>
          <w:tcPr>
            <w:tcW w:w="699" w:type="pct"/>
            <w:vAlign w:val="center"/>
          </w:tcPr>
          <w:p w14:paraId="6D01512C">
            <w:pPr>
              <w:widowControl w:val="0"/>
              <w:adjustRightInd w:val="0"/>
              <w:snapToGrid w:val="0"/>
              <w:jc w:val="center"/>
              <w:rPr>
                <w:rFonts w:ascii="Times New Roman" w:hAnsi="Times New Roman" w:eastAsia="新宋体" w:cs="Times New Roman"/>
                <w:color w:val="auto"/>
                <w:sz w:val="21"/>
                <w:lang w:eastAsia="zh-CN"/>
              </w:rPr>
            </w:pPr>
            <w:r>
              <w:rPr>
                <w:rFonts w:hint="eastAsia" w:ascii="Times New Roman" w:hAnsi="Times New Roman" w:cs="Times New Roman"/>
                <w:color w:val="auto"/>
                <w:sz w:val="21"/>
                <w:lang w:eastAsia="zh-CN"/>
              </w:rPr>
              <w:t>氟化物</w:t>
            </w:r>
          </w:p>
        </w:tc>
        <w:tc>
          <w:tcPr>
            <w:tcW w:w="440" w:type="pct"/>
            <w:vAlign w:val="center"/>
          </w:tcPr>
          <w:p w14:paraId="6694008A">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c>
          <w:tcPr>
            <w:tcW w:w="714" w:type="pct"/>
            <w:vAlign w:val="center"/>
          </w:tcPr>
          <w:p w14:paraId="56E59C34">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0.02</w:t>
            </w:r>
          </w:p>
        </w:tc>
        <w:tc>
          <w:tcPr>
            <w:tcW w:w="593" w:type="pct"/>
            <w:vAlign w:val="center"/>
          </w:tcPr>
          <w:p w14:paraId="41A64A36">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1642" w:type="pct"/>
            <w:vMerge w:val="continue"/>
            <w:vAlign w:val="center"/>
          </w:tcPr>
          <w:p w14:paraId="2379D2DC">
            <w:pPr>
              <w:widowControl w:val="0"/>
              <w:adjustRightInd w:val="0"/>
              <w:snapToGrid w:val="0"/>
              <w:jc w:val="center"/>
              <w:rPr>
                <w:rFonts w:ascii="Times New Roman" w:hAnsi="Times New Roman" w:cs="Times New Roman"/>
                <w:color w:val="auto"/>
                <w:sz w:val="21"/>
                <w:lang w:eastAsia="zh-CN"/>
              </w:rPr>
            </w:pPr>
          </w:p>
        </w:tc>
      </w:tr>
      <w:tr w14:paraId="6E08F1E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422" w:type="pct"/>
            <w:vMerge w:val="continue"/>
            <w:vAlign w:val="center"/>
          </w:tcPr>
          <w:p w14:paraId="2B4D5957">
            <w:pPr>
              <w:widowControl w:val="0"/>
              <w:adjustRightInd w:val="0"/>
              <w:snapToGrid w:val="0"/>
              <w:jc w:val="center"/>
              <w:rPr>
                <w:rFonts w:ascii="Times New Roman" w:hAnsi="Times New Roman" w:cs="Times New Roman"/>
                <w:color w:val="auto"/>
                <w:sz w:val="21"/>
                <w:lang w:eastAsia="zh-CN"/>
              </w:rPr>
            </w:pPr>
          </w:p>
        </w:tc>
        <w:tc>
          <w:tcPr>
            <w:tcW w:w="490" w:type="pct"/>
            <w:vMerge w:val="continue"/>
            <w:vAlign w:val="center"/>
          </w:tcPr>
          <w:p w14:paraId="51691C92">
            <w:pPr>
              <w:widowControl w:val="0"/>
              <w:adjustRightInd w:val="0"/>
              <w:snapToGrid w:val="0"/>
              <w:jc w:val="center"/>
              <w:rPr>
                <w:rFonts w:ascii="Times New Roman" w:hAnsi="Times New Roman" w:cs="Times New Roman"/>
                <w:color w:val="auto"/>
                <w:sz w:val="21"/>
                <w:lang w:eastAsia="zh-CN"/>
              </w:rPr>
            </w:pPr>
          </w:p>
        </w:tc>
        <w:tc>
          <w:tcPr>
            <w:tcW w:w="699" w:type="pct"/>
            <w:vAlign w:val="center"/>
          </w:tcPr>
          <w:p w14:paraId="4879EF32">
            <w:pPr>
              <w:widowControl w:val="0"/>
              <w:adjustRightInd w:val="0"/>
              <w:snapToGrid w:val="0"/>
              <w:jc w:val="center"/>
              <w:rPr>
                <w:rFonts w:ascii="Times New Roman" w:hAnsi="Times New Roman" w:eastAsia="新宋体" w:cs="Times New Roman"/>
                <w:color w:val="auto"/>
                <w:sz w:val="21"/>
                <w:lang w:eastAsia="zh-CN"/>
              </w:rPr>
            </w:pPr>
            <w:r>
              <w:rPr>
                <w:rFonts w:hint="eastAsia" w:ascii="Times New Roman" w:hAnsi="Times New Roman" w:cs="Times New Roman"/>
                <w:color w:val="auto"/>
                <w:sz w:val="21"/>
                <w:lang w:eastAsia="zh-CN"/>
              </w:rPr>
              <w:t>氯化氢</w:t>
            </w:r>
          </w:p>
        </w:tc>
        <w:tc>
          <w:tcPr>
            <w:tcW w:w="440" w:type="pct"/>
            <w:vAlign w:val="center"/>
          </w:tcPr>
          <w:p w14:paraId="08DA290F">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c>
          <w:tcPr>
            <w:tcW w:w="714" w:type="pct"/>
            <w:vAlign w:val="center"/>
          </w:tcPr>
          <w:p w14:paraId="3465DA66">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0.05</w:t>
            </w:r>
          </w:p>
        </w:tc>
        <w:tc>
          <w:tcPr>
            <w:tcW w:w="593" w:type="pct"/>
            <w:vAlign w:val="center"/>
          </w:tcPr>
          <w:p w14:paraId="42784C80">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c>
          <w:tcPr>
            <w:tcW w:w="1642" w:type="pct"/>
            <w:vMerge w:val="continue"/>
            <w:vAlign w:val="center"/>
          </w:tcPr>
          <w:p w14:paraId="1C1BB55A">
            <w:pPr>
              <w:widowControl w:val="0"/>
              <w:adjustRightInd w:val="0"/>
              <w:snapToGrid w:val="0"/>
              <w:jc w:val="center"/>
              <w:rPr>
                <w:rFonts w:ascii="Times New Roman" w:hAnsi="Times New Roman" w:cs="Times New Roman"/>
                <w:color w:val="auto"/>
                <w:sz w:val="21"/>
                <w:lang w:eastAsia="zh-CN"/>
              </w:rPr>
            </w:pPr>
          </w:p>
        </w:tc>
      </w:tr>
    </w:tbl>
    <w:p w14:paraId="63431B15">
      <w:pPr>
        <w:widowControl w:val="0"/>
        <w:spacing w:line="360" w:lineRule="auto"/>
        <w:ind w:firstLine="480" w:firstLineChars="200"/>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2、废水</w:t>
      </w:r>
    </w:p>
    <w:p w14:paraId="2072E373">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项目废水排放执行沫河口污水处理厂接管标准及</w:t>
      </w:r>
      <w:r>
        <w:rPr>
          <w:rFonts w:ascii="Times New Roman" w:hAnsi="Times New Roman" w:cs="Times New Roman"/>
          <w:color w:val="auto"/>
          <w:szCs w:val="24"/>
          <w:lang w:eastAsia="zh-CN"/>
        </w:rPr>
        <w:t>《电子工业水污染物排放标准》（GB39731-2020）</w:t>
      </w:r>
      <w:r>
        <w:rPr>
          <w:rFonts w:hint="eastAsia" w:ascii="Times New Roman" w:hAnsi="Times New Roman" w:cs="Times New Roman"/>
          <w:color w:val="auto"/>
          <w:szCs w:val="24"/>
          <w:lang w:eastAsia="zh-CN"/>
        </w:rPr>
        <w:t>与</w:t>
      </w:r>
      <w:r>
        <w:rPr>
          <w:rFonts w:ascii="Times New Roman" w:hAnsi="Times New Roman" w:cs="Times New Roman"/>
          <w:color w:val="auto"/>
          <w:szCs w:val="24"/>
          <w:lang w:eastAsia="zh-CN"/>
        </w:rPr>
        <w:t>《无机化学工业污染物排放标准》（GB31573-2015）中</w:t>
      </w:r>
      <w:r>
        <w:rPr>
          <w:rFonts w:hint="eastAsia" w:ascii="Times New Roman" w:hAnsi="Times New Roman" w:cs="Times New Roman"/>
          <w:color w:val="auto"/>
          <w:szCs w:val="24"/>
          <w:lang w:eastAsia="zh-CN"/>
        </w:rPr>
        <w:t>较严标准限值。</w:t>
      </w:r>
      <w:r>
        <w:rPr>
          <w:rFonts w:hint="eastAsia" w:ascii="Times New Roman" w:hAnsi="Times New Roman" w:eastAsia="新宋体" w:cs="Times New Roman"/>
          <w:color w:val="auto"/>
          <w:szCs w:val="24"/>
          <w:lang w:eastAsia="zh-CN"/>
        </w:rPr>
        <w:t>项目废水</w:t>
      </w:r>
      <w:r>
        <w:rPr>
          <w:rFonts w:ascii="Times New Roman" w:hAnsi="Times New Roman" w:eastAsia="新宋体" w:cs="Times New Roman"/>
          <w:color w:val="auto"/>
          <w:szCs w:val="24"/>
          <w:lang w:eastAsia="zh-CN"/>
        </w:rPr>
        <w:t>经沫河口污水处理厂处理达到《城镇污水处理厂污染物排放标准》（GB18918-2002）中一级 A 标准后，排</w:t>
      </w:r>
      <w:r>
        <w:rPr>
          <w:rFonts w:ascii="Times New Roman" w:hAnsi="Times New Roman" w:cs="Times New Roman"/>
          <w:color w:val="auto"/>
          <w:lang w:eastAsia="zh-CN"/>
        </w:rPr>
        <w:t>入</w:t>
      </w:r>
      <w:r>
        <w:rPr>
          <w:rFonts w:ascii="Times New Roman" w:hAnsi="Times New Roman" w:cs="Times New Roman"/>
          <w:color w:val="auto"/>
          <w:szCs w:val="24"/>
          <w:lang w:eastAsia="zh-CN"/>
        </w:rPr>
        <w:t>三铺大沟</w:t>
      </w:r>
      <w:r>
        <w:rPr>
          <w:rFonts w:ascii="Times New Roman" w:hAnsi="Times New Roman" w:cs="Times New Roman"/>
          <w:color w:val="auto"/>
          <w:lang w:eastAsia="zh-CN"/>
        </w:rPr>
        <w:t>，最终汇入淮河</w:t>
      </w:r>
      <w:r>
        <w:rPr>
          <w:rFonts w:ascii="Times New Roman" w:hAnsi="Times New Roman" w:eastAsia="新宋体" w:cs="Times New Roman"/>
          <w:color w:val="auto"/>
          <w:szCs w:val="24"/>
          <w:lang w:eastAsia="zh-CN"/>
        </w:rPr>
        <w:t>。</w:t>
      </w:r>
      <w:r>
        <w:rPr>
          <w:rFonts w:ascii="Times New Roman" w:hAnsi="Times New Roman" w:cs="Times New Roman"/>
          <w:color w:val="auto"/>
          <w:szCs w:val="24"/>
          <w:lang w:eastAsia="zh-CN"/>
        </w:rPr>
        <w:t xml:space="preserve">具体标准如下。 </w:t>
      </w:r>
    </w:p>
    <w:p w14:paraId="728C7F0D">
      <w:pPr>
        <w:widowControl w:val="0"/>
        <w:spacing w:line="360" w:lineRule="auto"/>
        <w:jc w:val="center"/>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表2.3-1</w:t>
      </w:r>
      <w:r>
        <w:rPr>
          <w:rFonts w:hint="eastAsia" w:ascii="Times New Roman" w:hAnsi="Times New Roman" w:eastAsia="新宋体" w:cs="Times New Roman"/>
          <w:b/>
          <w:bCs/>
          <w:color w:val="auto"/>
          <w:szCs w:val="24"/>
          <w:lang w:eastAsia="zh-CN"/>
        </w:rPr>
        <w:t>1</w:t>
      </w:r>
      <w:r>
        <w:rPr>
          <w:rFonts w:ascii="Times New Roman" w:hAnsi="Times New Roman" w:eastAsia="新宋体" w:cs="Times New Roman"/>
          <w:b/>
          <w:bCs/>
          <w:color w:val="auto"/>
          <w:szCs w:val="24"/>
          <w:lang w:eastAsia="zh-CN"/>
        </w:rPr>
        <w:t xml:space="preserve"> 项目废水污染物排放标准（mg/L，pH除外）</w:t>
      </w:r>
    </w:p>
    <w:tbl>
      <w:tblPr>
        <w:tblStyle w:val="35"/>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1134"/>
        <w:gridCol w:w="992"/>
        <w:gridCol w:w="1842"/>
        <w:gridCol w:w="2269"/>
        <w:gridCol w:w="1275"/>
        <w:gridCol w:w="2234"/>
      </w:tblGrid>
      <w:tr w14:paraId="722D783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82" w:type="pct"/>
            <w:vAlign w:val="center"/>
          </w:tcPr>
          <w:p w14:paraId="12F3127B">
            <w:pPr>
              <w:adjustRightInd w:val="0"/>
              <w:snapToGrid w:val="0"/>
              <w:jc w:val="center"/>
              <w:rPr>
                <w:rFonts w:ascii="Times New Roman" w:hAnsi="Times New Roman" w:cs="Times New Roman"/>
                <w:b/>
                <w:color w:val="auto"/>
                <w:sz w:val="21"/>
                <w:szCs w:val="18"/>
              </w:rPr>
            </w:pPr>
            <w:r>
              <w:rPr>
                <w:rFonts w:ascii="Times New Roman" w:hAnsi="Times New Roman" w:cs="Times New Roman"/>
                <w:b/>
                <w:color w:val="auto"/>
                <w:sz w:val="21"/>
                <w:szCs w:val="18"/>
              </w:rPr>
              <w:t>污染因子</w:t>
            </w:r>
          </w:p>
        </w:tc>
        <w:tc>
          <w:tcPr>
            <w:tcW w:w="509" w:type="pct"/>
            <w:vAlign w:val="center"/>
          </w:tcPr>
          <w:p w14:paraId="1218BCCC">
            <w:pPr>
              <w:adjustRightInd w:val="0"/>
              <w:snapToGrid w:val="0"/>
              <w:jc w:val="center"/>
              <w:rPr>
                <w:rFonts w:ascii="Times New Roman" w:hAnsi="Times New Roman" w:cs="Times New Roman"/>
                <w:b/>
                <w:color w:val="auto"/>
                <w:sz w:val="21"/>
                <w:szCs w:val="18"/>
                <w:lang w:eastAsia="zh-CN"/>
              </w:rPr>
            </w:pPr>
            <w:r>
              <w:rPr>
                <w:rFonts w:ascii="Times New Roman" w:hAnsi="Times New Roman" w:cs="Times New Roman"/>
                <w:b/>
                <w:color w:val="auto"/>
                <w:sz w:val="21"/>
                <w:szCs w:val="18"/>
                <w:lang w:eastAsia="zh-CN"/>
              </w:rPr>
              <w:t>沫河口污水处理厂接管标准</w:t>
            </w:r>
          </w:p>
        </w:tc>
        <w:tc>
          <w:tcPr>
            <w:tcW w:w="945" w:type="pct"/>
            <w:vAlign w:val="center"/>
          </w:tcPr>
          <w:p w14:paraId="5A0F95DB">
            <w:pPr>
              <w:adjustRightInd w:val="0"/>
              <w:snapToGrid w:val="0"/>
              <w:jc w:val="center"/>
              <w:rPr>
                <w:rFonts w:ascii="Times New Roman" w:hAnsi="Times New Roman" w:cs="Times New Roman"/>
                <w:b/>
                <w:color w:val="auto"/>
                <w:sz w:val="21"/>
                <w:szCs w:val="18"/>
                <w:lang w:eastAsia="zh-CN"/>
              </w:rPr>
            </w:pPr>
            <w:r>
              <w:rPr>
                <w:rFonts w:hint="eastAsia" w:ascii="Times New Roman" w:hAnsi="Times New Roman" w:cs="Times New Roman"/>
                <w:b/>
                <w:color w:val="auto"/>
                <w:sz w:val="21"/>
                <w:szCs w:val="18"/>
                <w:lang w:eastAsia="zh-CN"/>
              </w:rPr>
              <w:t>《无机化学工业污染物排放标准》（GB31573-2015）</w:t>
            </w:r>
          </w:p>
        </w:tc>
        <w:tc>
          <w:tcPr>
            <w:tcW w:w="1164" w:type="pct"/>
            <w:vAlign w:val="center"/>
          </w:tcPr>
          <w:p w14:paraId="735E9C65">
            <w:pPr>
              <w:adjustRightInd w:val="0"/>
              <w:snapToGrid w:val="0"/>
              <w:jc w:val="center"/>
              <w:rPr>
                <w:rFonts w:ascii="Times New Roman" w:hAnsi="Times New Roman" w:cs="Times New Roman"/>
                <w:b/>
                <w:color w:val="auto"/>
                <w:sz w:val="21"/>
                <w:szCs w:val="18"/>
                <w:lang w:eastAsia="zh-CN"/>
              </w:rPr>
            </w:pPr>
            <w:r>
              <w:rPr>
                <w:rFonts w:ascii="Times New Roman" w:hAnsi="Times New Roman" w:cs="Times New Roman"/>
                <w:b/>
                <w:color w:val="auto"/>
                <w:sz w:val="21"/>
                <w:szCs w:val="18"/>
                <w:lang w:eastAsia="zh-CN"/>
              </w:rPr>
              <w:t>《电子工业水污染物排放标准》（GB39731-2020）</w:t>
            </w:r>
          </w:p>
        </w:tc>
        <w:tc>
          <w:tcPr>
            <w:tcW w:w="654" w:type="pct"/>
            <w:vAlign w:val="center"/>
          </w:tcPr>
          <w:p w14:paraId="25212D6B">
            <w:pPr>
              <w:adjustRightInd w:val="0"/>
              <w:snapToGrid w:val="0"/>
              <w:jc w:val="center"/>
              <w:rPr>
                <w:rFonts w:ascii="Times New Roman" w:hAnsi="Times New Roman" w:cs="Times New Roman"/>
                <w:b/>
                <w:color w:val="auto"/>
                <w:sz w:val="21"/>
                <w:szCs w:val="18"/>
              </w:rPr>
            </w:pPr>
            <w:r>
              <w:rPr>
                <w:rFonts w:ascii="Times New Roman" w:hAnsi="Times New Roman" w:cs="Times New Roman"/>
                <w:b/>
                <w:color w:val="auto"/>
                <w:sz w:val="21"/>
                <w:szCs w:val="18"/>
              </w:rPr>
              <w:t>本项目排放执行标准</w:t>
            </w:r>
          </w:p>
        </w:tc>
        <w:tc>
          <w:tcPr>
            <w:tcW w:w="1146" w:type="pct"/>
            <w:vAlign w:val="center"/>
          </w:tcPr>
          <w:p w14:paraId="04D81F17">
            <w:pPr>
              <w:adjustRightInd w:val="0"/>
              <w:snapToGrid w:val="0"/>
              <w:jc w:val="center"/>
              <w:rPr>
                <w:rFonts w:ascii="Times New Roman" w:hAnsi="Times New Roman" w:cs="Times New Roman"/>
                <w:b/>
                <w:color w:val="auto"/>
                <w:sz w:val="21"/>
                <w:szCs w:val="18"/>
                <w:lang w:eastAsia="zh-CN"/>
              </w:rPr>
            </w:pPr>
            <w:r>
              <w:rPr>
                <w:rFonts w:ascii="Times New Roman" w:hAnsi="Times New Roman" w:cs="Times New Roman"/>
                <w:b/>
                <w:color w:val="auto"/>
                <w:sz w:val="21"/>
                <w:szCs w:val="18"/>
                <w:lang w:eastAsia="zh-CN"/>
              </w:rPr>
              <w:t>《城镇污水处理厂污染物排放标准》（GB18918-2002）一级A标准</w:t>
            </w:r>
          </w:p>
        </w:tc>
      </w:tr>
      <w:tr w14:paraId="26773E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82" w:type="pct"/>
            <w:vAlign w:val="center"/>
          </w:tcPr>
          <w:p w14:paraId="5568CA8A">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pH</w:t>
            </w:r>
          </w:p>
        </w:tc>
        <w:tc>
          <w:tcPr>
            <w:tcW w:w="509" w:type="pct"/>
            <w:vAlign w:val="center"/>
          </w:tcPr>
          <w:p w14:paraId="302EE8C6">
            <w:pPr>
              <w:adjustRightInd w:val="0"/>
              <w:snapToGrid w:val="0"/>
              <w:jc w:val="center"/>
              <w:rPr>
                <w:rFonts w:ascii="Times New Roman" w:hAnsi="Times New Roman" w:cs="Times New Roman"/>
                <w:bCs/>
                <w:color w:val="auto"/>
                <w:spacing w:val="6"/>
                <w:sz w:val="21"/>
                <w:szCs w:val="18"/>
              </w:rPr>
            </w:pPr>
            <w:r>
              <w:rPr>
                <w:rFonts w:ascii="Times New Roman" w:hAnsi="Times New Roman" w:cs="Times New Roman"/>
                <w:bCs/>
                <w:color w:val="auto"/>
                <w:sz w:val="21"/>
                <w:szCs w:val="18"/>
              </w:rPr>
              <w:t>6～9</w:t>
            </w:r>
          </w:p>
        </w:tc>
        <w:tc>
          <w:tcPr>
            <w:tcW w:w="945" w:type="pct"/>
            <w:vAlign w:val="center"/>
          </w:tcPr>
          <w:p w14:paraId="12A4C934">
            <w:pPr>
              <w:adjustRightInd w:val="0"/>
              <w:snapToGrid w:val="0"/>
              <w:jc w:val="center"/>
              <w:rPr>
                <w:rFonts w:ascii="Times New Roman" w:hAnsi="Times New Roman" w:cs="Times New Roman"/>
                <w:bCs/>
                <w:color w:val="auto"/>
                <w:sz w:val="21"/>
                <w:szCs w:val="18"/>
                <w:lang w:eastAsia="zh-CN"/>
              </w:rPr>
            </w:pPr>
            <w:r>
              <w:rPr>
                <w:rFonts w:ascii="Times New Roman" w:hAnsi="Times New Roman" w:cs="Times New Roman"/>
                <w:bCs/>
                <w:color w:val="auto"/>
                <w:sz w:val="21"/>
                <w:szCs w:val="18"/>
              </w:rPr>
              <w:t>6～9</w:t>
            </w:r>
          </w:p>
        </w:tc>
        <w:tc>
          <w:tcPr>
            <w:tcW w:w="1164" w:type="pct"/>
            <w:vAlign w:val="center"/>
          </w:tcPr>
          <w:p w14:paraId="71BA5206">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6～9</w:t>
            </w:r>
          </w:p>
        </w:tc>
        <w:tc>
          <w:tcPr>
            <w:tcW w:w="654" w:type="pct"/>
            <w:vAlign w:val="center"/>
          </w:tcPr>
          <w:p w14:paraId="3D585238">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6～9</w:t>
            </w:r>
          </w:p>
        </w:tc>
        <w:tc>
          <w:tcPr>
            <w:tcW w:w="1146" w:type="pct"/>
            <w:vAlign w:val="center"/>
          </w:tcPr>
          <w:p w14:paraId="00570C15">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6～9</w:t>
            </w:r>
          </w:p>
        </w:tc>
      </w:tr>
      <w:tr w14:paraId="5FE2C93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82" w:type="pct"/>
            <w:vAlign w:val="center"/>
          </w:tcPr>
          <w:p w14:paraId="47932F18">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CODcr</w:t>
            </w:r>
          </w:p>
        </w:tc>
        <w:tc>
          <w:tcPr>
            <w:tcW w:w="509" w:type="pct"/>
            <w:vAlign w:val="center"/>
          </w:tcPr>
          <w:p w14:paraId="74827572">
            <w:pPr>
              <w:adjustRightInd w:val="0"/>
              <w:snapToGrid w:val="0"/>
              <w:jc w:val="center"/>
              <w:rPr>
                <w:rFonts w:ascii="Times New Roman" w:hAnsi="Times New Roman" w:cs="Times New Roman"/>
                <w:bCs/>
                <w:color w:val="auto"/>
                <w:spacing w:val="6"/>
                <w:sz w:val="21"/>
                <w:szCs w:val="18"/>
                <w:lang w:eastAsia="zh-CN"/>
              </w:rPr>
            </w:pPr>
            <w:r>
              <w:rPr>
                <w:rFonts w:hint="eastAsia" w:ascii="Times New Roman" w:hAnsi="Times New Roman" w:cs="Times New Roman"/>
                <w:bCs/>
                <w:color w:val="auto"/>
                <w:spacing w:val="6"/>
                <w:sz w:val="21"/>
                <w:szCs w:val="18"/>
                <w:lang w:eastAsia="zh-CN"/>
              </w:rPr>
              <w:t>5</w:t>
            </w:r>
            <w:r>
              <w:rPr>
                <w:rFonts w:ascii="Times New Roman" w:hAnsi="Times New Roman" w:cs="Times New Roman"/>
                <w:bCs/>
                <w:color w:val="auto"/>
                <w:spacing w:val="6"/>
                <w:sz w:val="21"/>
                <w:szCs w:val="18"/>
                <w:lang w:eastAsia="zh-CN"/>
              </w:rPr>
              <w:t>00</w:t>
            </w:r>
          </w:p>
        </w:tc>
        <w:tc>
          <w:tcPr>
            <w:tcW w:w="945" w:type="pct"/>
            <w:vAlign w:val="center"/>
          </w:tcPr>
          <w:p w14:paraId="4BE08C6D">
            <w:pPr>
              <w:adjustRightInd w:val="0"/>
              <w:snapToGrid w:val="0"/>
              <w:jc w:val="center"/>
              <w:rPr>
                <w:rFonts w:ascii="Times New Roman" w:hAnsi="Times New Roman" w:cs="Times New Roman"/>
                <w:bCs/>
                <w:color w:val="auto"/>
                <w:sz w:val="21"/>
                <w:szCs w:val="18"/>
                <w:lang w:eastAsia="zh-CN"/>
              </w:rPr>
            </w:pPr>
            <w:r>
              <w:rPr>
                <w:rFonts w:hint="eastAsia" w:ascii="Times New Roman" w:hAnsi="Times New Roman" w:cs="Times New Roman"/>
                <w:bCs/>
                <w:color w:val="auto"/>
                <w:spacing w:val="6"/>
                <w:sz w:val="21"/>
                <w:szCs w:val="18"/>
                <w:lang w:eastAsia="zh-CN"/>
              </w:rPr>
              <w:t>2</w:t>
            </w:r>
            <w:r>
              <w:rPr>
                <w:rFonts w:ascii="Times New Roman" w:hAnsi="Times New Roman" w:cs="Times New Roman"/>
                <w:bCs/>
                <w:color w:val="auto"/>
                <w:spacing w:val="6"/>
                <w:sz w:val="21"/>
                <w:szCs w:val="18"/>
                <w:lang w:eastAsia="zh-CN"/>
              </w:rPr>
              <w:t>00</w:t>
            </w:r>
          </w:p>
        </w:tc>
        <w:tc>
          <w:tcPr>
            <w:tcW w:w="1164" w:type="pct"/>
            <w:vAlign w:val="center"/>
          </w:tcPr>
          <w:p w14:paraId="072ED0A1">
            <w:pPr>
              <w:adjustRightInd w:val="0"/>
              <w:snapToGrid w:val="0"/>
              <w:jc w:val="center"/>
              <w:rPr>
                <w:rFonts w:ascii="Times New Roman" w:hAnsi="Times New Roman" w:cs="Times New Roman"/>
                <w:bCs/>
                <w:color w:val="auto"/>
                <w:spacing w:val="6"/>
                <w:sz w:val="21"/>
                <w:szCs w:val="18"/>
                <w:lang w:eastAsia="zh-CN"/>
              </w:rPr>
            </w:pPr>
            <w:r>
              <w:rPr>
                <w:rFonts w:hint="eastAsia" w:ascii="Times New Roman" w:hAnsi="Times New Roman" w:cs="Times New Roman"/>
                <w:bCs/>
                <w:color w:val="auto"/>
                <w:spacing w:val="6"/>
                <w:sz w:val="21"/>
                <w:szCs w:val="18"/>
                <w:lang w:eastAsia="zh-CN"/>
              </w:rPr>
              <w:t>500</w:t>
            </w:r>
          </w:p>
        </w:tc>
        <w:tc>
          <w:tcPr>
            <w:tcW w:w="654" w:type="pct"/>
            <w:vAlign w:val="center"/>
          </w:tcPr>
          <w:p w14:paraId="18DA13AC">
            <w:pPr>
              <w:adjustRightInd w:val="0"/>
              <w:snapToGrid w:val="0"/>
              <w:jc w:val="center"/>
              <w:rPr>
                <w:rFonts w:ascii="Times New Roman" w:hAnsi="Times New Roman" w:cs="Times New Roman"/>
                <w:bCs/>
                <w:color w:val="auto"/>
                <w:sz w:val="21"/>
                <w:szCs w:val="18"/>
                <w:lang w:eastAsia="zh-CN"/>
              </w:rPr>
            </w:pPr>
            <w:r>
              <w:rPr>
                <w:rFonts w:hint="eastAsia" w:ascii="Times New Roman" w:hAnsi="Times New Roman" w:cs="Times New Roman"/>
                <w:bCs/>
                <w:color w:val="auto"/>
                <w:spacing w:val="6"/>
                <w:sz w:val="21"/>
                <w:szCs w:val="18"/>
                <w:lang w:eastAsia="zh-CN"/>
              </w:rPr>
              <w:t>2</w:t>
            </w:r>
            <w:r>
              <w:rPr>
                <w:rFonts w:ascii="Times New Roman" w:hAnsi="Times New Roman" w:cs="Times New Roman"/>
                <w:bCs/>
                <w:color w:val="auto"/>
                <w:spacing w:val="6"/>
                <w:sz w:val="21"/>
                <w:szCs w:val="18"/>
                <w:lang w:eastAsia="zh-CN"/>
              </w:rPr>
              <w:t>00</w:t>
            </w:r>
          </w:p>
        </w:tc>
        <w:tc>
          <w:tcPr>
            <w:tcW w:w="1146" w:type="pct"/>
            <w:vAlign w:val="center"/>
          </w:tcPr>
          <w:p w14:paraId="01316B01">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50</w:t>
            </w:r>
          </w:p>
        </w:tc>
      </w:tr>
      <w:tr w14:paraId="4345E5E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82" w:type="pct"/>
            <w:vAlign w:val="center"/>
          </w:tcPr>
          <w:p w14:paraId="1A4DF586">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BOD</w:t>
            </w:r>
            <w:r>
              <w:rPr>
                <w:rFonts w:ascii="Times New Roman" w:hAnsi="Times New Roman" w:cs="Times New Roman"/>
                <w:bCs/>
                <w:color w:val="auto"/>
                <w:spacing w:val="19"/>
                <w:position w:val="-1"/>
                <w:sz w:val="21"/>
                <w:szCs w:val="18"/>
                <w:vertAlign w:val="subscript"/>
              </w:rPr>
              <w:t>5</w:t>
            </w:r>
          </w:p>
        </w:tc>
        <w:tc>
          <w:tcPr>
            <w:tcW w:w="509" w:type="pct"/>
            <w:vAlign w:val="center"/>
          </w:tcPr>
          <w:p w14:paraId="3BD0D54B">
            <w:pPr>
              <w:adjustRightInd w:val="0"/>
              <w:snapToGrid w:val="0"/>
              <w:jc w:val="center"/>
              <w:rPr>
                <w:rFonts w:ascii="Times New Roman" w:hAnsi="Times New Roman" w:cs="Times New Roman"/>
                <w:bCs/>
                <w:color w:val="auto"/>
                <w:spacing w:val="6"/>
                <w:sz w:val="21"/>
                <w:szCs w:val="18"/>
                <w:lang w:eastAsia="zh-CN"/>
              </w:rPr>
            </w:pPr>
            <w:r>
              <w:rPr>
                <w:rFonts w:hint="eastAsia" w:ascii="Times New Roman" w:hAnsi="Times New Roman" w:cs="Times New Roman"/>
                <w:bCs/>
                <w:color w:val="auto"/>
                <w:spacing w:val="6"/>
                <w:sz w:val="21"/>
                <w:szCs w:val="18"/>
                <w:lang w:eastAsia="zh-CN"/>
              </w:rPr>
              <w:t>12</w:t>
            </w:r>
            <w:r>
              <w:rPr>
                <w:rFonts w:ascii="Times New Roman" w:hAnsi="Times New Roman" w:cs="Times New Roman"/>
                <w:bCs/>
                <w:color w:val="auto"/>
                <w:spacing w:val="6"/>
                <w:sz w:val="21"/>
                <w:szCs w:val="18"/>
                <w:lang w:eastAsia="zh-CN"/>
              </w:rPr>
              <w:t>0</w:t>
            </w:r>
          </w:p>
        </w:tc>
        <w:tc>
          <w:tcPr>
            <w:tcW w:w="945" w:type="pct"/>
            <w:vAlign w:val="center"/>
          </w:tcPr>
          <w:p w14:paraId="55938040">
            <w:pPr>
              <w:adjustRightInd w:val="0"/>
              <w:snapToGrid w:val="0"/>
              <w:jc w:val="center"/>
              <w:rPr>
                <w:rFonts w:ascii="Times New Roman" w:hAnsi="Times New Roman" w:cs="Times New Roman"/>
                <w:bCs/>
                <w:color w:val="auto"/>
                <w:sz w:val="21"/>
                <w:szCs w:val="18"/>
                <w:lang w:eastAsia="zh-CN"/>
              </w:rPr>
            </w:pPr>
            <w:r>
              <w:rPr>
                <w:rFonts w:hint="eastAsia" w:ascii="Times New Roman" w:hAnsi="Times New Roman" w:cs="Times New Roman"/>
                <w:bCs/>
                <w:color w:val="auto"/>
                <w:spacing w:val="6"/>
                <w:sz w:val="21"/>
                <w:szCs w:val="18"/>
                <w:lang w:eastAsia="zh-CN"/>
              </w:rPr>
              <w:t>/</w:t>
            </w:r>
          </w:p>
        </w:tc>
        <w:tc>
          <w:tcPr>
            <w:tcW w:w="1164" w:type="pct"/>
            <w:vAlign w:val="center"/>
          </w:tcPr>
          <w:p w14:paraId="54CDCE87">
            <w:pPr>
              <w:adjustRightInd w:val="0"/>
              <w:snapToGrid w:val="0"/>
              <w:jc w:val="center"/>
              <w:rPr>
                <w:rFonts w:ascii="Times New Roman" w:hAnsi="Times New Roman" w:cs="Times New Roman"/>
                <w:bCs/>
                <w:color w:val="auto"/>
                <w:spacing w:val="6"/>
                <w:sz w:val="21"/>
                <w:szCs w:val="18"/>
                <w:lang w:eastAsia="zh-CN"/>
              </w:rPr>
            </w:pPr>
            <w:r>
              <w:rPr>
                <w:rFonts w:hint="eastAsia" w:ascii="Times New Roman" w:hAnsi="Times New Roman" w:cs="Times New Roman"/>
                <w:bCs/>
                <w:color w:val="auto"/>
                <w:spacing w:val="6"/>
                <w:sz w:val="21"/>
                <w:szCs w:val="18"/>
                <w:lang w:eastAsia="zh-CN"/>
              </w:rPr>
              <w:t>/</w:t>
            </w:r>
          </w:p>
        </w:tc>
        <w:tc>
          <w:tcPr>
            <w:tcW w:w="654" w:type="pct"/>
            <w:vAlign w:val="center"/>
          </w:tcPr>
          <w:p w14:paraId="60AB2A3A">
            <w:pPr>
              <w:adjustRightInd w:val="0"/>
              <w:snapToGrid w:val="0"/>
              <w:jc w:val="center"/>
              <w:rPr>
                <w:rFonts w:ascii="Times New Roman" w:hAnsi="Times New Roman" w:cs="Times New Roman"/>
                <w:bCs/>
                <w:color w:val="auto"/>
                <w:sz w:val="21"/>
                <w:szCs w:val="18"/>
                <w:lang w:eastAsia="zh-CN"/>
              </w:rPr>
            </w:pPr>
            <w:r>
              <w:rPr>
                <w:rFonts w:hint="eastAsia" w:ascii="Times New Roman" w:hAnsi="Times New Roman" w:cs="Times New Roman"/>
                <w:bCs/>
                <w:color w:val="auto"/>
                <w:spacing w:val="6"/>
                <w:sz w:val="21"/>
                <w:szCs w:val="18"/>
                <w:lang w:eastAsia="zh-CN"/>
              </w:rPr>
              <w:t>12</w:t>
            </w:r>
            <w:r>
              <w:rPr>
                <w:rFonts w:ascii="Times New Roman" w:hAnsi="Times New Roman" w:cs="Times New Roman"/>
                <w:bCs/>
                <w:color w:val="auto"/>
                <w:spacing w:val="6"/>
                <w:sz w:val="21"/>
                <w:szCs w:val="18"/>
                <w:lang w:eastAsia="zh-CN"/>
              </w:rPr>
              <w:t>0</w:t>
            </w:r>
          </w:p>
        </w:tc>
        <w:tc>
          <w:tcPr>
            <w:tcW w:w="1146" w:type="pct"/>
            <w:vAlign w:val="center"/>
          </w:tcPr>
          <w:p w14:paraId="217FEA22">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10</w:t>
            </w:r>
          </w:p>
        </w:tc>
      </w:tr>
      <w:tr w14:paraId="731ADEB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82" w:type="pct"/>
            <w:vAlign w:val="center"/>
          </w:tcPr>
          <w:p w14:paraId="6B90C62C">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SS</w:t>
            </w:r>
          </w:p>
        </w:tc>
        <w:tc>
          <w:tcPr>
            <w:tcW w:w="509" w:type="pct"/>
            <w:vAlign w:val="center"/>
          </w:tcPr>
          <w:p w14:paraId="2C0F733B">
            <w:pPr>
              <w:adjustRightInd w:val="0"/>
              <w:snapToGrid w:val="0"/>
              <w:jc w:val="center"/>
              <w:rPr>
                <w:rFonts w:ascii="Times New Roman" w:hAnsi="Times New Roman" w:cs="Times New Roman"/>
                <w:bCs/>
                <w:color w:val="auto"/>
                <w:spacing w:val="6"/>
                <w:sz w:val="21"/>
                <w:szCs w:val="18"/>
                <w:lang w:eastAsia="zh-CN"/>
              </w:rPr>
            </w:pPr>
            <w:r>
              <w:rPr>
                <w:rFonts w:hint="eastAsia" w:ascii="Times New Roman" w:hAnsi="Times New Roman" w:cs="Times New Roman"/>
                <w:bCs/>
                <w:color w:val="auto"/>
                <w:spacing w:val="6"/>
                <w:sz w:val="21"/>
                <w:szCs w:val="18"/>
                <w:lang w:eastAsia="zh-CN"/>
              </w:rPr>
              <w:t>20</w:t>
            </w:r>
            <w:r>
              <w:rPr>
                <w:rFonts w:ascii="Times New Roman" w:hAnsi="Times New Roman" w:cs="Times New Roman"/>
                <w:bCs/>
                <w:color w:val="auto"/>
                <w:spacing w:val="6"/>
                <w:sz w:val="21"/>
                <w:szCs w:val="18"/>
                <w:lang w:eastAsia="zh-CN"/>
              </w:rPr>
              <w:t>0</w:t>
            </w:r>
          </w:p>
        </w:tc>
        <w:tc>
          <w:tcPr>
            <w:tcW w:w="945" w:type="pct"/>
            <w:vAlign w:val="center"/>
          </w:tcPr>
          <w:p w14:paraId="67C471FA">
            <w:pPr>
              <w:adjustRightInd w:val="0"/>
              <w:snapToGrid w:val="0"/>
              <w:jc w:val="center"/>
              <w:rPr>
                <w:rFonts w:ascii="Times New Roman" w:hAnsi="Times New Roman" w:cs="Times New Roman"/>
                <w:bCs/>
                <w:color w:val="auto"/>
                <w:sz w:val="21"/>
                <w:szCs w:val="18"/>
                <w:lang w:eastAsia="zh-CN"/>
              </w:rPr>
            </w:pPr>
            <w:r>
              <w:rPr>
                <w:rFonts w:hint="eastAsia" w:ascii="Times New Roman" w:hAnsi="Times New Roman" w:cs="Times New Roman"/>
                <w:bCs/>
                <w:color w:val="auto"/>
                <w:spacing w:val="6"/>
                <w:sz w:val="21"/>
                <w:szCs w:val="18"/>
                <w:lang w:eastAsia="zh-CN"/>
              </w:rPr>
              <w:t>10</w:t>
            </w:r>
            <w:r>
              <w:rPr>
                <w:rFonts w:ascii="Times New Roman" w:hAnsi="Times New Roman" w:cs="Times New Roman"/>
                <w:bCs/>
                <w:color w:val="auto"/>
                <w:spacing w:val="6"/>
                <w:sz w:val="21"/>
                <w:szCs w:val="18"/>
                <w:lang w:eastAsia="zh-CN"/>
              </w:rPr>
              <w:t>0</w:t>
            </w:r>
          </w:p>
        </w:tc>
        <w:tc>
          <w:tcPr>
            <w:tcW w:w="1164" w:type="pct"/>
            <w:vAlign w:val="center"/>
          </w:tcPr>
          <w:p w14:paraId="18D78644">
            <w:pPr>
              <w:adjustRightInd w:val="0"/>
              <w:snapToGrid w:val="0"/>
              <w:jc w:val="center"/>
              <w:rPr>
                <w:rFonts w:ascii="Times New Roman" w:hAnsi="Times New Roman" w:cs="Times New Roman"/>
                <w:bCs/>
                <w:color w:val="auto"/>
                <w:spacing w:val="6"/>
                <w:sz w:val="21"/>
                <w:szCs w:val="18"/>
                <w:lang w:eastAsia="zh-CN"/>
              </w:rPr>
            </w:pPr>
            <w:r>
              <w:rPr>
                <w:rFonts w:hint="eastAsia" w:ascii="Times New Roman" w:hAnsi="Times New Roman" w:cs="Times New Roman"/>
                <w:bCs/>
                <w:color w:val="auto"/>
                <w:spacing w:val="6"/>
                <w:sz w:val="21"/>
                <w:szCs w:val="18"/>
                <w:lang w:eastAsia="zh-CN"/>
              </w:rPr>
              <w:t>400</w:t>
            </w:r>
          </w:p>
        </w:tc>
        <w:tc>
          <w:tcPr>
            <w:tcW w:w="654" w:type="pct"/>
            <w:vAlign w:val="center"/>
          </w:tcPr>
          <w:p w14:paraId="4701EB05">
            <w:pPr>
              <w:adjustRightInd w:val="0"/>
              <w:snapToGrid w:val="0"/>
              <w:jc w:val="center"/>
              <w:rPr>
                <w:rFonts w:ascii="Times New Roman" w:hAnsi="Times New Roman" w:cs="Times New Roman"/>
                <w:bCs/>
                <w:color w:val="auto"/>
                <w:sz w:val="21"/>
                <w:szCs w:val="18"/>
              </w:rPr>
            </w:pPr>
            <w:r>
              <w:rPr>
                <w:rFonts w:hint="eastAsia" w:ascii="Times New Roman" w:hAnsi="Times New Roman" w:cs="Times New Roman"/>
                <w:bCs/>
                <w:color w:val="auto"/>
                <w:spacing w:val="6"/>
                <w:sz w:val="21"/>
                <w:szCs w:val="18"/>
                <w:lang w:eastAsia="zh-CN"/>
              </w:rPr>
              <w:t>10</w:t>
            </w:r>
            <w:r>
              <w:rPr>
                <w:rFonts w:ascii="Times New Roman" w:hAnsi="Times New Roman" w:cs="Times New Roman"/>
                <w:bCs/>
                <w:color w:val="auto"/>
                <w:spacing w:val="6"/>
                <w:sz w:val="21"/>
                <w:szCs w:val="18"/>
                <w:lang w:eastAsia="zh-CN"/>
              </w:rPr>
              <w:t>0</w:t>
            </w:r>
          </w:p>
        </w:tc>
        <w:tc>
          <w:tcPr>
            <w:tcW w:w="1146" w:type="pct"/>
            <w:vAlign w:val="center"/>
          </w:tcPr>
          <w:p w14:paraId="2FA1F403">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10</w:t>
            </w:r>
          </w:p>
        </w:tc>
      </w:tr>
      <w:tr w14:paraId="3904818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82" w:type="pct"/>
            <w:vAlign w:val="center"/>
          </w:tcPr>
          <w:p w14:paraId="68DF2B8F">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NH</w:t>
            </w:r>
            <w:r>
              <w:rPr>
                <w:rFonts w:ascii="Times New Roman" w:hAnsi="Times New Roman" w:cs="Times New Roman"/>
                <w:bCs/>
                <w:color w:val="auto"/>
                <w:spacing w:val="9"/>
                <w:position w:val="-1"/>
                <w:sz w:val="21"/>
                <w:szCs w:val="18"/>
                <w:vertAlign w:val="subscript"/>
              </w:rPr>
              <w:t>3</w:t>
            </w:r>
            <w:r>
              <w:rPr>
                <w:rFonts w:ascii="Times New Roman" w:hAnsi="Times New Roman" w:cs="Times New Roman"/>
                <w:bCs/>
                <w:color w:val="auto"/>
                <w:spacing w:val="9"/>
                <w:sz w:val="21"/>
                <w:szCs w:val="18"/>
              </w:rPr>
              <w:t>-N</w:t>
            </w:r>
          </w:p>
        </w:tc>
        <w:tc>
          <w:tcPr>
            <w:tcW w:w="509" w:type="pct"/>
            <w:vAlign w:val="center"/>
          </w:tcPr>
          <w:p w14:paraId="5496EA62">
            <w:pPr>
              <w:adjustRightInd w:val="0"/>
              <w:snapToGrid w:val="0"/>
              <w:jc w:val="center"/>
              <w:rPr>
                <w:rFonts w:ascii="Times New Roman" w:hAnsi="Times New Roman" w:cs="Times New Roman"/>
                <w:bCs/>
                <w:color w:val="auto"/>
                <w:spacing w:val="6"/>
                <w:sz w:val="21"/>
                <w:szCs w:val="18"/>
                <w:lang w:eastAsia="zh-CN"/>
              </w:rPr>
            </w:pPr>
            <w:r>
              <w:rPr>
                <w:rFonts w:hint="eastAsia" w:ascii="Times New Roman" w:hAnsi="Times New Roman" w:cs="Times New Roman"/>
                <w:bCs/>
                <w:color w:val="auto"/>
                <w:spacing w:val="6"/>
                <w:sz w:val="21"/>
                <w:szCs w:val="18"/>
                <w:lang w:eastAsia="zh-CN"/>
              </w:rPr>
              <w:t>3</w:t>
            </w:r>
            <w:r>
              <w:rPr>
                <w:rFonts w:ascii="Times New Roman" w:hAnsi="Times New Roman" w:cs="Times New Roman"/>
                <w:bCs/>
                <w:color w:val="auto"/>
                <w:spacing w:val="6"/>
                <w:sz w:val="21"/>
                <w:szCs w:val="18"/>
                <w:lang w:eastAsia="zh-CN"/>
              </w:rPr>
              <w:t>0</w:t>
            </w:r>
          </w:p>
        </w:tc>
        <w:tc>
          <w:tcPr>
            <w:tcW w:w="945" w:type="pct"/>
            <w:vAlign w:val="center"/>
          </w:tcPr>
          <w:p w14:paraId="3CAA9ED9">
            <w:pPr>
              <w:adjustRightInd w:val="0"/>
              <w:snapToGrid w:val="0"/>
              <w:jc w:val="center"/>
              <w:rPr>
                <w:rFonts w:ascii="Times New Roman" w:hAnsi="Times New Roman" w:cs="Times New Roman"/>
                <w:bCs/>
                <w:color w:val="auto"/>
                <w:sz w:val="21"/>
                <w:szCs w:val="18"/>
              </w:rPr>
            </w:pPr>
            <w:r>
              <w:rPr>
                <w:rFonts w:hint="eastAsia" w:ascii="Times New Roman" w:hAnsi="Times New Roman" w:cs="Times New Roman"/>
                <w:bCs/>
                <w:color w:val="auto"/>
                <w:spacing w:val="6"/>
                <w:sz w:val="21"/>
                <w:szCs w:val="18"/>
                <w:lang w:eastAsia="zh-CN"/>
              </w:rPr>
              <w:t>4</w:t>
            </w:r>
            <w:r>
              <w:rPr>
                <w:rFonts w:ascii="Times New Roman" w:hAnsi="Times New Roman" w:cs="Times New Roman"/>
                <w:bCs/>
                <w:color w:val="auto"/>
                <w:spacing w:val="6"/>
                <w:sz w:val="21"/>
                <w:szCs w:val="18"/>
                <w:lang w:eastAsia="zh-CN"/>
              </w:rPr>
              <w:t>0</w:t>
            </w:r>
          </w:p>
        </w:tc>
        <w:tc>
          <w:tcPr>
            <w:tcW w:w="1164" w:type="pct"/>
            <w:vAlign w:val="center"/>
          </w:tcPr>
          <w:p w14:paraId="73DB23EE">
            <w:pPr>
              <w:adjustRightInd w:val="0"/>
              <w:snapToGrid w:val="0"/>
              <w:jc w:val="center"/>
              <w:rPr>
                <w:rFonts w:ascii="Times New Roman" w:hAnsi="Times New Roman" w:cs="Times New Roman"/>
                <w:bCs/>
                <w:color w:val="auto"/>
                <w:spacing w:val="6"/>
                <w:sz w:val="21"/>
                <w:szCs w:val="18"/>
                <w:lang w:eastAsia="zh-CN"/>
              </w:rPr>
            </w:pPr>
            <w:r>
              <w:rPr>
                <w:rFonts w:hint="eastAsia" w:ascii="Times New Roman" w:hAnsi="Times New Roman" w:cs="Times New Roman"/>
                <w:bCs/>
                <w:color w:val="auto"/>
                <w:spacing w:val="6"/>
                <w:sz w:val="21"/>
                <w:szCs w:val="18"/>
                <w:lang w:eastAsia="zh-CN"/>
              </w:rPr>
              <w:t>45</w:t>
            </w:r>
          </w:p>
        </w:tc>
        <w:tc>
          <w:tcPr>
            <w:tcW w:w="654" w:type="pct"/>
            <w:vAlign w:val="center"/>
          </w:tcPr>
          <w:p w14:paraId="303A9748">
            <w:pPr>
              <w:adjustRightInd w:val="0"/>
              <w:snapToGrid w:val="0"/>
              <w:jc w:val="center"/>
              <w:rPr>
                <w:rFonts w:ascii="Times New Roman" w:hAnsi="Times New Roman" w:cs="Times New Roman"/>
                <w:bCs/>
                <w:color w:val="auto"/>
                <w:sz w:val="21"/>
                <w:szCs w:val="18"/>
              </w:rPr>
            </w:pPr>
            <w:r>
              <w:rPr>
                <w:rFonts w:hint="eastAsia" w:ascii="Times New Roman" w:hAnsi="Times New Roman" w:cs="Times New Roman"/>
                <w:bCs/>
                <w:color w:val="auto"/>
                <w:spacing w:val="6"/>
                <w:sz w:val="21"/>
                <w:szCs w:val="18"/>
                <w:lang w:eastAsia="zh-CN"/>
              </w:rPr>
              <w:t>3</w:t>
            </w:r>
            <w:r>
              <w:rPr>
                <w:rFonts w:ascii="Times New Roman" w:hAnsi="Times New Roman" w:cs="Times New Roman"/>
                <w:bCs/>
                <w:color w:val="auto"/>
                <w:spacing w:val="6"/>
                <w:sz w:val="21"/>
                <w:szCs w:val="18"/>
                <w:lang w:eastAsia="zh-CN"/>
              </w:rPr>
              <w:t>0</w:t>
            </w:r>
          </w:p>
        </w:tc>
        <w:tc>
          <w:tcPr>
            <w:tcW w:w="1146" w:type="pct"/>
            <w:vAlign w:val="center"/>
          </w:tcPr>
          <w:p w14:paraId="52CA6153">
            <w:pPr>
              <w:adjustRightInd w:val="0"/>
              <w:snapToGrid w:val="0"/>
              <w:jc w:val="center"/>
              <w:rPr>
                <w:rFonts w:ascii="Times New Roman" w:hAnsi="Times New Roman" w:cs="Times New Roman"/>
                <w:bCs/>
                <w:color w:val="auto"/>
                <w:sz w:val="21"/>
                <w:szCs w:val="18"/>
                <w:lang w:eastAsia="zh-CN"/>
              </w:rPr>
            </w:pPr>
            <w:r>
              <w:rPr>
                <w:rFonts w:ascii="Times New Roman" w:hAnsi="Times New Roman" w:cs="Times New Roman"/>
                <w:bCs/>
                <w:color w:val="auto"/>
                <w:sz w:val="21"/>
                <w:szCs w:val="18"/>
                <w:lang w:eastAsia="zh-CN"/>
              </w:rPr>
              <w:t>5</w:t>
            </w:r>
          </w:p>
        </w:tc>
      </w:tr>
      <w:tr w14:paraId="081AEDA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82" w:type="pct"/>
            <w:vAlign w:val="center"/>
          </w:tcPr>
          <w:p w14:paraId="43030F34">
            <w:pPr>
              <w:adjustRightInd w:val="0"/>
              <w:snapToGrid w:val="0"/>
              <w:jc w:val="center"/>
              <w:rPr>
                <w:rFonts w:ascii="Times New Roman" w:hAnsi="Times New Roman" w:cs="Times New Roman"/>
                <w:bCs/>
                <w:color w:val="auto"/>
                <w:sz w:val="21"/>
                <w:szCs w:val="18"/>
              </w:rPr>
            </w:pPr>
            <w:r>
              <w:rPr>
                <w:rFonts w:hint="eastAsia" w:ascii="Times New Roman" w:hAnsi="Times New Roman" w:cs="Times New Roman"/>
                <w:bCs/>
                <w:color w:val="auto"/>
                <w:sz w:val="21"/>
                <w:szCs w:val="18"/>
                <w:lang w:eastAsia="zh-CN"/>
              </w:rPr>
              <w:t>氟化物</w:t>
            </w:r>
          </w:p>
        </w:tc>
        <w:tc>
          <w:tcPr>
            <w:tcW w:w="509" w:type="pct"/>
            <w:vAlign w:val="center"/>
          </w:tcPr>
          <w:p w14:paraId="676B03A6">
            <w:pPr>
              <w:adjustRightInd w:val="0"/>
              <w:snapToGrid w:val="0"/>
              <w:jc w:val="center"/>
              <w:rPr>
                <w:rFonts w:ascii="Times New Roman" w:hAnsi="Times New Roman" w:cs="Times New Roman"/>
                <w:bCs/>
                <w:color w:val="auto"/>
                <w:spacing w:val="6"/>
                <w:sz w:val="21"/>
                <w:szCs w:val="18"/>
                <w:lang w:eastAsia="zh-CN"/>
              </w:rPr>
            </w:pPr>
            <w:r>
              <w:rPr>
                <w:rFonts w:hint="eastAsia" w:ascii="Times New Roman" w:hAnsi="Times New Roman" w:cs="Times New Roman"/>
                <w:bCs/>
                <w:color w:val="auto"/>
                <w:spacing w:val="6"/>
                <w:sz w:val="21"/>
                <w:szCs w:val="18"/>
                <w:lang w:eastAsia="zh-CN"/>
              </w:rPr>
              <w:t>/</w:t>
            </w:r>
          </w:p>
        </w:tc>
        <w:tc>
          <w:tcPr>
            <w:tcW w:w="945" w:type="pct"/>
            <w:vAlign w:val="center"/>
          </w:tcPr>
          <w:p w14:paraId="0F77E0BB">
            <w:pPr>
              <w:adjustRightInd w:val="0"/>
              <w:snapToGrid w:val="0"/>
              <w:jc w:val="center"/>
              <w:rPr>
                <w:rFonts w:ascii="Times New Roman" w:hAnsi="Times New Roman" w:cs="Times New Roman"/>
                <w:bCs/>
                <w:color w:val="auto"/>
                <w:sz w:val="21"/>
                <w:szCs w:val="18"/>
                <w:lang w:eastAsia="zh-CN"/>
              </w:rPr>
            </w:pPr>
            <w:r>
              <w:rPr>
                <w:rFonts w:hint="eastAsia" w:ascii="Times New Roman" w:hAnsi="Times New Roman" w:cs="Times New Roman"/>
                <w:bCs/>
                <w:color w:val="auto"/>
                <w:sz w:val="21"/>
                <w:szCs w:val="18"/>
                <w:lang w:eastAsia="zh-CN"/>
              </w:rPr>
              <w:t>6</w:t>
            </w:r>
          </w:p>
        </w:tc>
        <w:tc>
          <w:tcPr>
            <w:tcW w:w="1164" w:type="pct"/>
            <w:vAlign w:val="center"/>
          </w:tcPr>
          <w:p w14:paraId="0E40F32F">
            <w:pPr>
              <w:adjustRightInd w:val="0"/>
              <w:snapToGrid w:val="0"/>
              <w:jc w:val="center"/>
              <w:rPr>
                <w:rFonts w:ascii="Times New Roman" w:hAnsi="Times New Roman" w:cs="Times New Roman"/>
                <w:bCs/>
                <w:color w:val="auto"/>
                <w:sz w:val="21"/>
                <w:szCs w:val="18"/>
                <w:lang w:eastAsia="zh-CN"/>
              </w:rPr>
            </w:pPr>
            <w:r>
              <w:rPr>
                <w:rFonts w:hint="eastAsia" w:ascii="Times New Roman" w:hAnsi="Times New Roman" w:cs="Times New Roman"/>
                <w:bCs/>
                <w:color w:val="auto"/>
                <w:sz w:val="21"/>
                <w:szCs w:val="18"/>
                <w:lang w:eastAsia="zh-CN"/>
              </w:rPr>
              <w:t>20</w:t>
            </w:r>
          </w:p>
        </w:tc>
        <w:tc>
          <w:tcPr>
            <w:tcW w:w="654" w:type="pct"/>
            <w:vAlign w:val="center"/>
          </w:tcPr>
          <w:p w14:paraId="4D211D2F">
            <w:pPr>
              <w:adjustRightInd w:val="0"/>
              <w:snapToGrid w:val="0"/>
              <w:jc w:val="center"/>
              <w:rPr>
                <w:rFonts w:ascii="Times New Roman" w:hAnsi="Times New Roman" w:cs="Times New Roman"/>
                <w:bCs/>
                <w:color w:val="auto"/>
                <w:sz w:val="21"/>
                <w:szCs w:val="18"/>
                <w:lang w:eastAsia="zh-CN"/>
              </w:rPr>
            </w:pPr>
            <w:r>
              <w:rPr>
                <w:rFonts w:hint="eastAsia" w:ascii="Times New Roman" w:hAnsi="Times New Roman" w:cs="Times New Roman"/>
                <w:bCs/>
                <w:color w:val="auto"/>
                <w:sz w:val="21"/>
                <w:szCs w:val="18"/>
                <w:lang w:eastAsia="zh-CN"/>
              </w:rPr>
              <w:t>6</w:t>
            </w:r>
          </w:p>
        </w:tc>
        <w:tc>
          <w:tcPr>
            <w:tcW w:w="1146" w:type="pct"/>
            <w:vAlign w:val="center"/>
          </w:tcPr>
          <w:p w14:paraId="0A696380">
            <w:pPr>
              <w:adjustRightInd w:val="0"/>
              <w:snapToGrid w:val="0"/>
              <w:jc w:val="center"/>
              <w:rPr>
                <w:rFonts w:ascii="Times New Roman" w:hAnsi="Times New Roman" w:cs="Times New Roman"/>
                <w:bCs/>
                <w:color w:val="auto"/>
                <w:sz w:val="21"/>
                <w:szCs w:val="18"/>
                <w:lang w:eastAsia="zh-CN"/>
              </w:rPr>
            </w:pPr>
            <w:r>
              <w:rPr>
                <w:rFonts w:hint="eastAsia" w:ascii="Times New Roman" w:hAnsi="Times New Roman" w:cs="Times New Roman"/>
                <w:bCs/>
                <w:color w:val="auto"/>
                <w:sz w:val="21"/>
                <w:szCs w:val="18"/>
                <w:lang w:eastAsia="zh-CN"/>
              </w:rPr>
              <w:t>/</w:t>
            </w:r>
          </w:p>
        </w:tc>
      </w:tr>
      <w:tr w14:paraId="1A2AA55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82" w:type="pct"/>
            <w:vAlign w:val="center"/>
          </w:tcPr>
          <w:p w14:paraId="11A47DB4">
            <w:pPr>
              <w:adjustRightInd w:val="0"/>
              <w:snapToGrid w:val="0"/>
              <w:jc w:val="center"/>
              <w:rPr>
                <w:rFonts w:ascii="Times New Roman" w:hAnsi="Times New Roman" w:cs="Times New Roman"/>
                <w:bCs/>
                <w:color w:val="auto"/>
                <w:sz w:val="21"/>
                <w:szCs w:val="18"/>
                <w:lang w:eastAsia="zh-CN"/>
              </w:rPr>
            </w:pPr>
            <w:r>
              <w:rPr>
                <w:rFonts w:hint="eastAsia" w:ascii="Times New Roman" w:hAnsi="Times New Roman" w:cs="Times New Roman"/>
                <w:bCs/>
                <w:color w:val="auto"/>
                <w:sz w:val="21"/>
                <w:szCs w:val="18"/>
                <w:lang w:eastAsia="zh-CN"/>
              </w:rPr>
              <w:t>氯化物</w:t>
            </w:r>
          </w:p>
        </w:tc>
        <w:tc>
          <w:tcPr>
            <w:tcW w:w="509" w:type="pct"/>
            <w:vAlign w:val="center"/>
          </w:tcPr>
          <w:p w14:paraId="6E771FC1">
            <w:pPr>
              <w:adjustRightInd w:val="0"/>
              <w:snapToGrid w:val="0"/>
              <w:jc w:val="center"/>
              <w:rPr>
                <w:rFonts w:ascii="Times New Roman" w:hAnsi="Times New Roman" w:cs="Times New Roman"/>
                <w:bCs/>
                <w:color w:val="auto"/>
                <w:spacing w:val="6"/>
                <w:sz w:val="21"/>
                <w:szCs w:val="18"/>
                <w:lang w:eastAsia="zh-CN"/>
              </w:rPr>
            </w:pPr>
            <w:r>
              <w:rPr>
                <w:rFonts w:hint="eastAsia" w:ascii="Times New Roman" w:hAnsi="Times New Roman" w:cs="Times New Roman"/>
                <w:bCs/>
                <w:color w:val="auto"/>
                <w:spacing w:val="6"/>
                <w:sz w:val="21"/>
                <w:szCs w:val="18"/>
                <w:lang w:eastAsia="zh-CN"/>
              </w:rPr>
              <w:t>1500</w:t>
            </w:r>
          </w:p>
        </w:tc>
        <w:tc>
          <w:tcPr>
            <w:tcW w:w="945" w:type="pct"/>
            <w:vAlign w:val="center"/>
          </w:tcPr>
          <w:p w14:paraId="6B0A263F">
            <w:pPr>
              <w:adjustRightInd w:val="0"/>
              <w:snapToGrid w:val="0"/>
              <w:jc w:val="center"/>
              <w:rPr>
                <w:rFonts w:ascii="Times New Roman" w:hAnsi="Times New Roman" w:cs="Times New Roman"/>
                <w:bCs/>
                <w:color w:val="auto"/>
                <w:sz w:val="21"/>
                <w:szCs w:val="18"/>
                <w:lang w:eastAsia="zh-CN"/>
              </w:rPr>
            </w:pPr>
            <w:r>
              <w:rPr>
                <w:rFonts w:hint="eastAsia" w:ascii="Times New Roman" w:hAnsi="Times New Roman" w:cs="Times New Roman"/>
                <w:bCs/>
                <w:color w:val="auto"/>
                <w:sz w:val="21"/>
                <w:szCs w:val="18"/>
                <w:lang w:eastAsia="zh-CN"/>
              </w:rPr>
              <w:t>/</w:t>
            </w:r>
          </w:p>
        </w:tc>
        <w:tc>
          <w:tcPr>
            <w:tcW w:w="1164" w:type="pct"/>
            <w:vAlign w:val="center"/>
          </w:tcPr>
          <w:p w14:paraId="5476FAE6">
            <w:pPr>
              <w:adjustRightInd w:val="0"/>
              <w:snapToGrid w:val="0"/>
              <w:jc w:val="center"/>
              <w:rPr>
                <w:rFonts w:ascii="Times New Roman" w:hAnsi="Times New Roman" w:cs="Times New Roman"/>
                <w:bCs/>
                <w:color w:val="auto"/>
                <w:sz w:val="21"/>
                <w:szCs w:val="18"/>
                <w:lang w:eastAsia="zh-CN"/>
              </w:rPr>
            </w:pPr>
            <w:r>
              <w:rPr>
                <w:rFonts w:hint="eastAsia" w:ascii="Times New Roman" w:hAnsi="Times New Roman" w:cs="Times New Roman"/>
                <w:bCs/>
                <w:color w:val="auto"/>
                <w:sz w:val="21"/>
                <w:szCs w:val="18"/>
                <w:lang w:eastAsia="zh-CN"/>
              </w:rPr>
              <w:t>/</w:t>
            </w:r>
          </w:p>
        </w:tc>
        <w:tc>
          <w:tcPr>
            <w:tcW w:w="654" w:type="pct"/>
            <w:vAlign w:val="center"/>
          </w:tcPr>
          <w:p w14:paraId="28EF3385">
            <w:pPr>
              <w:adjustRightInd w:val="0"/>
              <w:snapToGrid w:val="0"/>
              <w:jc w:val="center"/>
              <w:rPr>
                <w:rFonts w:ascii="Times New Roman" w:hAnsi="Times New Roman" w:cs="Times New Roman"/>
                <w:bCs/>
                <w:color w:val="auto"/>
                <w:sz w:val="21"/>
                <w:szCs w:val="18"/>
                <w:lang w:eastAsia="zh-CN"/>
              </w:rPr>
            </w:pPr>
            <w:r>
              <w:rPr>
                <w:rFonts w:hint="eastAsia" w:ascii="Times New Roman" w:hAnsi="Times New Roman" w:cs="Times New Roman"/>
                <w:bCs/>
                <w:color w:val="auto"/>
                <w:sz w:val="21"/>
                <w:szCs w:val="18"/>
                <w:lang w:eastAsia="zh-CN"/>
              </w:rPr>
              <w:t>1500</w:t>
            </w:r>
          </w:p>
        </w:tc>
        <w:tc>
          <w:tcPr>
            <w:tcW w:w="1146" w:type="pct"/>
            <w:vAlign w:val="center"/>
          </w:tcPr>
          <w:p w14:paraId="7B983B5F">
            <w:pPr>
              <w:adjustRightInd w:val="0"/>
              <w:snapToGrid w:val="0"/>
              <w:jc w:val="center"/>
              <w:rPr>
                <w:rFonts w:ascii="Times New Roman" w:hAnsi="Times New Roman" w:cs="Times New Roman"/>
                <w:bCs/>
                <w:color w:val="auto"/>
                <w:sz w:val="21"/>
                <w:szCs w:val="18"/>
                <w:lang w:eastAsia="zh-CN"/>
              </w:rPr>
            </w:pPr>
            <w:r>
              <w:rPr>
                <w:rFonts w:hint="eastAsia" w:ascii="Times New Roman" w:hAnsi="Times New Roman" w:cs="Times New Roman"/>
                <w:bCs/>
                <w:color w:val="auto"/>
                <w:sz w:val="21"/>
                <w:szCs w:val="18"/>
                <w:lang w:eastAsia="zh-CN"/>
              </w:rPr>
              <w:t>/</w:t>
            </w:r>
          </w:p>
        </w:tc>
      </w:tr>
      <w:tr w14:paraId="3D8CF28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82" w:type="pct"/>
            <w:vAlign w:val="center"/>
          </w:tcPr>
          <w:p w14:paraId="2711E9DA">
            <w:pPr>
              <w:adjustRightInd w:val="0"/>
              <w:snapToGrid w:val="0"/>
              <w:jc w:val="center"/>
              <w:rPr>
                <w:rFonts w:ascii="Times New Roman" w:hAnsi="Times New Roman" w:cs="Times New Roman"/>
                <w:bCs/>
                <w:color w:val="auto"/>
                <w:sz w:val="21"/>
                <w:szCs w:val="18"/>
              </w:rPr>
            </w:pPr>
            <w:r>
              <w:rPr>
                <w:rFonts w:hint="eastAsia" w:ascii="Times New Roman" w:hAnsi="Times New Roman" w:cs="Times New Roman"/>
                <w:bCs/>
                <w:color w:val="auto"/>
                <w:sz w:val="21"/>
                <w:szCs w:val="18"/>
                <w:lang w:eastAsia="zh-CN"/>
              </w:rPr>
              <w:t>总盐</w:t>
            </w:r>
          </w:p>
        </w:tc>
        <w:tc>
          <w:tcPr>
            <w:tcW w:w="509" w:type="pct"/>
            <w:vAlign w:val="center"/>
          </w:tcPr>
          <w:p w14:paraId="754529F5">
            <w:pPr>
              <w:adjustRightInd w:val="0"/>
              <w:snapToGrid w:val="0"/>
              <w:jc w:val="center"/>
              <w:rPr>
                <w:rFonts w:ascii="Times New Roman" w:hAnsi="Times New Roman" w:cs="Times New Roman"/>
                <w:bCs/>
                <w:color w:val="auto"/>
                <w:spacing w:val="6"/>
                <w:sz w:val="21"/>
                <w:szCs w:val="18"/>
                <w:lang w:eastAsia="zh-CN"/>
              </w:rPr>
            </w:pPr>
            <w:r>
              <w:rPr>
                <w:rFonts w:hint="eastAsia" w:ascii="Times New Roman" w:hAnsi="Times New Roman" w:cs="Times New Roman"/>
                <w:bCs/>
                <w:color w:val="auto"/>
                <w:spacing w:val="6"/>
                <w:sz w:val="21"/>
                <w:szCs w:val="18"/>
                <w:lang w:eastAsia="zh-CN"/>
              </w:rPr>
              <w:t>3000</w:t>
            </w:r>
          </w:p>
        </w:tc>
        <w:tc>
          <w:tcPr>
            <w:tcW w:w="945" w:type="pct"/>
            <w:vAlign w:val="center"/>
          </w:tcPr>
          <w:p w14:paraId="79678D11">
            <w:pPr>
              <w:adjustRightInd w:val="0"/>
              <w:snapToGrid w:val="0"/>
              <w:jc w:val="center"/>
              <w:rPr>
                <w:rFonts w:ascii="Times New Roman" w:hAnsi="Times New Roman" w:cs="Times New Roman"/>
                <w:bCs/>
                <w:color w:val="auto"/>
                <w:sz w:val="21"/>
                <w:szCs w:val="18"/>
                <w:lang w:eastAsia="zh-CN"/>
              </w:rPr>
            </w:pPr>
            <w:r>
              <w:rPr>
                <w:rFonts w:hint="eastAsia" w:ascii="Times New Roman" w:hAnsi="Times New Roman" w:cs="Times New Roman"/>
                <w:bCs/>
                <w:color w:val="auto"/>
                <w:sz w:val="21"/>
                <w:szCs w:val="18"/>
                <w:lang w:eastAsia="zh-CN"/>
              </w:rPr>
              <w:t>/</w:t>
            </w:r>
          </w:p>
        </w:tc>
        <w:tc>
          <w:tcPr>
            <w:tcW w:w="1164" w:type="pct"/>
            <w:vAlign w:val="center"/>
          </w:tcPr>
          <w:p w14:paraId="2EF2AF81">
            <w:pPr>
              <w:adjustRightInd w:val="0"/>
              <w:snapToGrid w:val="0"/>
              <w:jc w:val="center"/>
              <w:rPr>
                <w:rFonts w:ascii="Times New Roman" w:hAnsi="Times New Roman" w:cs="Times New Roman"/>
                <w:bCs/>
                <w:color w:val="auto"/>
                <w:sz w:val="21"/>
                <w:szCs w:val="18"/>
                <w:lang w:eastAsia="zh-CN"/>
              </w:rPr>
            </w:pPr>
            <w:r>
              <w:rPr>
                <w:rFonts w:hint="eastAsia" w:ascii="Times New Roman" w:hAnsi="Times New Roman" w:cs="Times New Roman"/>
                <w:bCs/>
                <w:color w:val="auto"/>
                <w:sz w:val="21"/>
                <w:szCs w:val="18"/>
                <w:lang w:eastAsia="zh-CN"/>
              </w:rPr>
              <w:t>/</w:t>
            </w:r>
          </w:p>
        </w:tc>
        <w:tc>
          <w:tcPr>
            <w:tcW w:w="654" w:type="pct"/>
            <w:vAlign w:val="center"/>
          </w:tcPr>
          <w:p w14:paraId="377FA585">
            <w:pPr>
              <w:adjustRightInd w:val="0"/>
              <w:snapToGrid w:val="0"/>
              <w:jc w:val="center"/>
              <w:rPr>
                <w:rFonts w:ascii="Times New Roman" w:hAnsi="Times New Roman" w:cs="Times New Roman"/>
                <w:bCs/>
                <w:color w:val="auto"/>
                <w:sz w:val="21"/>
                <w:szCs w:val="18"/>
                <w:lang w:eastAsia="zh-CN"/>
              </w:rPr>
            </w:pPr>
            <w:r>
              <w:rPr>
                <w:rFonts w:hint="eastAsia" w:ascii="Times New Roman" w:hAnsi="Times New Roman" w:cs="Times New Roman"/>
                <w:bCs/>
                <w:color w:val="auto"/>
                <w:sz w:val="21"/>
                <w:szCs w:val="18"/>
                <w:lang w:eastAsia="zh-CN"/>
              </w:rPr>
              <w:t>3000</w:t>
            </w:r>
          </w:p>
        </w:tc>
        <w:tc>
          <w:tcPr>
            <w:tcW w:w="1146" w:type="pct"/>
            <w:vAlign w:val="center"/>
          </w:tcPr>
          <w:p w14:paraId="36FDB170">
            <w:pPr>
              <w:adjustRightInd w:val="0"/>
              <w:snapToGrid w:val="0"/>
              <w:jc w:val="center"/>
              <w:rPr>
                <w:rFonts w:ascii="Times New Roman" w:hAnsi="Times New Roman" w:cs="Times New Roman"/>
                <w:bCs/>
                <w:color w:val="auto"/>
                <w:sz w:val="21"/>
                <w:szCs w:val="18"/>
                <w:lang w:eastAsia="zh-CN"/>
              </w:rPr>
            </w:pPr>
            <w:r>
              <w:rPr>
                <w:rFonts w:hint="eastAsia" w:ascii="Times New Roman" w:hAnsi="Times New Roman" w:cs="Times New Roman"/>
                <w:bCs/>
                <w:color w:val="auto"/>
                <w:sz w:val="21"/>
                <w:szCs w:val="18"/>
                <w:lang w:eastAsia="zh-CN"/>
              </w:rPr>
              <w:t>/</w:t>
            </w:r>
          </w:p>
        </w:tc>
      </w:tr>
      <w:tr w14:paraId="595F81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82" w:type="pct"/>
            <w:vAlign w:val="center"/>
          </w:tcPr>
          <w:p w14:paraId="4926F6A3">
            <w:pPr>
              <w:adjustRightInd w:val="0"/>
              <w:snapToGrid w:val="0"/>
              <w:jc w:val="center"/>
              <w:rPr>
                <w:rFonts w:ascii="Times New Roman" w:hAnsi="Times New Roman" w:cs="Times New Roman"/>
                <w:bCs/>
                <w:color w:val="auto"/>
                <w:sz w:val="21"/>
                <w:szCs w:val="18"/>
                <w:lang w:eastAsia="zh-CN"/>
              </w:rPr>
            </w:pPr>
            <w:r>
              <w:rPr>
                <w:rFonts w:hint="eastAsia" w:ascii="Times New Roman" w:hAnsi="Times New Roman" w:cs="Times New Roman"/>
                <w:bCs/>
                <w:color w:val="auto"/>
                <w:sz w:val="21"/>
                <w:szCs w:val="18"/>
                <w:lang w:eastAsia="zh-CN"/>
              </w:rPr>
              <w:t>单位产品基准排水量</w:t>
            </w:r>
          </w:p>
        </w:tc>
        <w:tc>
          <w:tcPr>
            <w:tcW w:w="509" w:type="pct"/>
            <w:vAlign w:val="center"/>
          </w:tcPr>
          <w:p w14:paraId="76D0A114">
            <w:pPr>
              <w:adjustRightInd w:val="0"/>
              <w:snapToGrid w:val="0"/>
              <w:jc w:val="center"/>
              <w:rPr>
                <w:rFonts w:ascii="Times New Roman" w:hAnsi="Times New Roman" w:cs="Times New Roman"/>
                <w:bCs/>
                <w:color w:val="auto"/>
                <w:spacing w:val="6"/>
                <w:sz w:val="21"/>
                <w:szCs w:val="18"/>
                <w:lang w:eastAsia="zh-CN"/>
              </w:rPr>
            </w:pPr>
            <w:r>
              <w:rPr>
                <w:rFonts w:hint="eastAsia" w:ascii="Times New Roman" w:hAnsi="Times New Roman" w:cs="Times New Roman"/>
                <w:bCs/>
                <w:color w:val="auto"/>
                <w:spacing w:val="6"/>
                <w:sz w:val="21"/>
                <w:szCs w:val="18"/>
                <w:lang w:eastAsia="zh-CN"/>
              </w:rPr>
              <w:t>/</w:t>
            </w:r>
          </w:p>
        </w:tc>
        <w:tc>
          <w:tcPr>
            <w:tcW w:w="945" w:type="pct"/>
            <w:vAlign w:val="center"/>
          </w:tcPr>
          <w:p w14:paraId="3CC0829D">
            <w:pPr>
              <w:adjustRightInd w:val="0"/>
              <w:snapToGrid w:val="0"/>
              <w:jc w:val="center"/>
              <w:rPr>
                <w:rFonts w:ascii="Times New Roman" w:hAnsi="Times New Roman" w:cs="Times New Roman"/>
                <w:bCs/>
                <w:color w:val="auto"/>
                <w:sz w:val="21"/>
                <w:szCs w:val="18"/>
                <w:lang w:eastAsia="zh-CN"/>
              </w:rPr>
            </w:pPr>
            <w:r>
              <w:rPr>
                <w:rFonts w:hint="eastAsia" w:ascii="Times New Roman" w:hAnsi="Times New Roman" w:cs="Times New Roman"/>
                <w:bCs/>
                <w:color w:val="auto"/>
                <w:sz w:val="21"/>
                <w:szCs w:val="18"/>
                <w:lang w:eastAsia="zh-CN"/>
              </w:rPr>
              <w:t>/</w:t>
            </w:r>
          </w:p>
        </w:tc>
        <w:tc>
          <w:tcPr>
            <w:tcW w:w="1164" w:type="pct"/>
            <w:vAlign w:val="center"/>
          </w:tcPr>
          <w:p w14:paraId="405F8EBC">
            <w:pPr>
              <w:adjustRightInd w:val="0"/>
              <w:snapToGrid w:val="0"/>
              <w:jc w:val="center"/>
              <w:rPr>
                <w:rFonts w:ascii="Times New Roman" w:hAnsi="Times New Roman" w:cs="Times New Roman"/>
                <w:bCs/>
                <w:color w:val="auto"/>
                <w:sz w:val="21"/>
                <w:szCs w:val="18"/>
                <w:lang w:eastAsia="zh-CN"/>
              </w:rPr>
            </w:pPr>
            <w:r>
              <w:rPr>
                <w:rFonts w:hint="eastAsia" w:ascii="Times New Roman" w:hAnsi="Times New Roman" w:cs="Times New Roman"/>
                <w:bCs/>
                <w:color w:val="auto"/>
                <w:sz w:val="21"/>
                <w:szCs w:val="18"/>
                <w:lang w:eastAsia="zh-CN"/>
              </w:rPr>
              <w:t>5.0m</w:t>
            </w:r>
            <w:r>
              <w:rPr>
                <w:rFonts w:hint="eastAsia" w:ascii="Times New Roman" w:hAnsi="Times New Roman" w:cs="Times New Roman"/>
                <w:bCs/>
                <w:color w:val="auto"/>
                <w:sz w:val="21"/>
                <w:szCs w:val="18"/>
                <w:vertAlign w:val="superscript"/>
                <w:lang w:eastAsia="zh-CN"/>
              </w:rPr>
              <w:t>3</w:t>
            </w:r>
            <w:r>
              <w:rPr>
                <w:rFonts w:hint="eastAsia" w:ascii="Times New Roman" w:hAnsi="Times New Roman" w:cs="Times New Roman"/>
                <w:bCs/>
                <w:color w:val="auto"/>
                <w:sz w:val="21"/>
                <w:szCs w:val="18"/>
                <w:lang w:eastAsia="zh-CN"/>
              </w:rPr>
              <w:t>/t产品</w:t>
            </w:r>
          </w:p>
        </w:tc>
        <w:tc>
          <w:tcPr>
            <w:tcW w:w="654" w:type="pct"/>
            <w:vAlign w:val="center"/>
          </w:tcPr>
          <w:p w14:paraId="2CF3AA00">
            <w:pPr>
              <w:adjustRightInd w:val="0"/>
              <w:snapToGrid w:val="0"/>
              <w:jc w:val="center"/>
              <w:rPr>
                <w:rFonts w:ascii="Times New Roman" w:hAnsi="Times New Roman" w:cs="Times New Roman"/>
                <w:bCs/>
                <w:color w:val="auto"/>
                <w:sz w:val="21"/>
                <w:szCs w:val="18"/>
                <w:lang w:eastAsia="zh-CN"/>
              </w:rPr>
            </w:pPr>
            <w:r>
              <w:rPr>
                <w:rFonts w:hint="eastAsia" w:ascii="Times New Roman" w:hAnsi="Times New Roman" w:cs="Times New Roman"/>
                <w:bCs/>
                <w:color w:val="auto"/>
                <w:sz w:val="21"/>
                <w:szCs w:val="18"/>
                <w:lang w:eastAsia="zh-CN"/>
              </w:rPr>
              <w:t>5.0m</w:t>
            </w:r>
            <w:r>
              <w:rPr>
                <w:rFonts w:hint="eastAsia" w:ascii="Times New Roman" w:hAnsi="Times New Roman" w:cs="Times New Roman"/>
                <w:bCs/>
                <w:color w:val="auto"/>
                <w:sz w:val="21"/>
                <w:szCs w:val="18"/>
                <w:vertAlign w:val="superscript"/>
                <w:lang w:eastAsia="zh-CN"/>
              </w:rPr>
              <w:t>3</w:t>
            </w:r>
            <w:r>
              <w:rPr>
                <w:rFonts w:hint="eastAsia" w:ascii="Times New Roman" w:hAnsi="Times New Roman" w:cs="Times New Roman"/>
                <w:bCs/>
                <w:color w:val="auto"/>
                <w:sz w:val="21"/>
                <w:szCs w:val="18"/>
                <w:lang w:eastAsia="zh-CN"/>
              </w:rPr>
              <w:t>/t产品</w:t>
            </w:r>
          </w:p>
        </w:tc>
        <w:tc>
          <w:tcPr>
            <w:tcW w:w="1146" w:type="pct"/>
            <w:vAlign w:val="center"/>
          </w:tcPr>
          <w:p w14:paraId="1ACD8477">
            <w:pPr>
              <w:adjustRightInd w:val="0"/>
              <w:snapToGrid w:val="0"/>
              <w:jc w:val="center"/>
              <w:rPr>
                <w:rFonts w:ascii="Times New Roman" w:hAnsi="Times New Roman" w:cs="Times New Roman"/>
                <w:bCs/>
                <w:color w:val="auto"/>
                <w:sz w:val="21"/>
                <w:szCs w:val="18"/>
                <w:lang w:eastAsia="zh-CN"/>
              </w:rPr>
            </w:pPr>
            <w:r>
              <w:rPr>
                <w:rFonts w:hint="eastAsia" w:ascii="Times New Roman" w:hAnsi="Times New Roman" w:cs="Times New Roman"/>
                <w:bCs/>
                <w:color w:val="auto"/>
                <w:sz w:val="21"/>
                <w:szCs w:val="18"/>
                <w:lang w:eastAsia="zh-CN"/>
              </w:rPr>
              <w:t>/</w:t>
            </w:r>
          </w:p>
        </w:tc>
      </w:tr>
    </w:tbl>
    <w:p w14:paraId="6340DA8A">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3、噪声</w:t>
      </w:r>
    </w:p>
    <w:p w14:paraId="4A0CD47F">
      <w:pPr>
        <w:widowControl w:val="0"/>
        <w:spacing w:line="360" w:lineRule="auto"/>
        <w:ind w:firstLine="472" w:firstLineChars="200"/>
        <w:jc w:val="both"/>
        <w:rPr>
          <w:rFonts w:ascii="Times New Roman" w:hAnsi="Times New Roman" w:eastAsia="新宋体" w:cs="Times New Roman"/>
          <w:color w:val="auto"/>
          <w:szCs w:val="24"/>
          <w:lang w:eastAsia="zh-CN"/>
        </w:rPr>
      </w:pPr>
      <w:r>
        <w:rPr>
          <w:rFonts w:ascii="Times New Roman" w:hAnsi="Times New Roman" w:cs="Times New Roman"/>
          <w:snapToGrid/>
          <w:color w:val="auto"/>
          <w:spacing w:val="-2"/>
          <w:szCs w:val="20"/>
          <w:lang w:eastAsia="zh-CN"/>
        </w:rPr>
        <w:t>施工期噪声排放执行《建筑施工噪声排放标准》（GB12523-20</w:t>
      </w:r>
      <w:r>
        <w:rPr>
          <w:rFonts w:hint="eastAsia" w:ascii="Times New Roman" w:hAnsi="Times New Roman" w:cs="Times New Roman"/>
          <w:snapToGrid/>
          <w:color w:val="auto"/>
          <w:spacing w:val="-2"/>
          <w:szCs w:val="20"/>
          <w:lang w:eastAsia="zh-CN"/>
        </w:rPr>
        <w:t>25</w:t>
      </w:r>
      <w:r>
        <w:rPr>
          <w:rFonts w:ascii="Times New Roman" w:hAnsi="Times New Roman" w:cs="Times New Roman"/>
          <w:snapToGrid/>
          <w:color w:val="auto"/>
          <w:spacing w:val="-2"/>
          <w:szCs w:val="20"/>
          <w:lang w:eastAsia="zh-CN"/>
        </w:rPr>
        <w:t>）中标准限值要求；</w:t>
      </w:r>
      <w:r>
        <w:rPr>
          <w:rFonts w:ascii="Times New Roman" w:hAnsi="Times New Roman" w:eastAsia="新宋体" w:cs="Times New Roman"/>
          <w:color w:val="auto"/>
          <w:szCs w:val="24"/>
          <w:lang w:eastAsia="zh-CN"/>
        </w:rPr>
        <w:t>营运期厂界噪声排放执行《工业企业厂界环境噪声排放标准》（GB12348-2008） 3 类区标准，详见下表。</w:t>
      </w:r>
    </w:p>
    <w:p w14:paraId="6940E958">
      <w:pPr>
        <w:widowControl w:val="0"/>
        <w:spacing w:line="360" w:lineRule="auto"/>
        <w:jc w:val="center"/>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表2.3-1</w:t>
      </w:r>
      <w:r>
        <w:rPr>
          <w:rFonts w:hint="eastAsia" w:ascii="Times New Roman" w:hAnsi="Times New Roman" w:eastAsia="新宋体" w:cs="Times New Roman"/>
          <w:b/>
          <w:bCs/>
          <w:color w:val="auto"/>
          <w:szCs w:val="24"/>
          <w:lang w:eastAsia="zh-CN"/>
        </w:rPr>
        <w:t>2</w:t>
      </w:r>
      <w:r>
        <w:rPr>
          <w:rFonts w:ascii="Times New Roman" w:hAnsi="Times New Roman" w:eastAsia="新宋体" w:cs="Times New Roman"/>
          <w:b/>
          <w:bCs/>
          <w:color w:val="auto"/>
          <w:szCs w:val="24"/>
          <w:lang w:eastAsia="zh-CN"/>
        </w:rPr>
        <w:t xml:space="preserve"> 噪声排放标准</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253"/>
        <w:gridCol w:w="2534"/>
        <w:gridCol w:w="2959"/>
      </w:tblGrid>
      <w:tr w14:paraId="016341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2182" w:type="pct"/>
            <w:vAlign w:val="center"/>
          </w:tcPr>
          <w:p w14:paraId="7A44D3AB">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标准名称及代号</w:t>
            </w:r>
          </w:p>
        </w:tc>
        <w:tc>
          <w:tcPr>
            <w:tcW w:w="1300" w:type="pct"/>
            <w:vAlign w:val="center"/>
          </w:tcPr>
          <w:p w14:paraId="3D794D3E">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取值时间</w:t>
            </w:r>
          </w:p>
        </w:tc>
        <w:tc>
          <w:tcPr>
            <w:tcW w:w="1518" w:type="pct"/>
            <w:vAlign w:val="center"/>
          </w:tcPr>
          <w:p w14:paraId="719522C1">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标准值</w:t>
            </w:r>
          </w:p>
        </w:tc>
      </w:tr>
      <w:tr w14:paraId="5BBC79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12" w:hRule="atLeast"/>
          <w:jc w:val="center"/>
        </w:trPr>
        <w:tc>
          <w:tcPr>
            <w:tcW w:w="2182" w:type="pct"/>
            <w:vMerge w:val="restart"/>
            <w:vAlign w:val="center"/>
          </w:tcPr>
          <w:p w14:paraId="57C70C2B">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《建筑施工噪声排放标准》</w:t>
            </w:r>
          </w:p>
          <w:p w14:paraId="0A2AC4C3">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（GB12523-20</w:t>
            </w:r>
            <w:r>
              <w:rPr>
                <w:rFonts w:hint="eastAsia" w:ascii="Times New Roman" w:hAnsi="Times New Roman" w:cs="Times New Roman"/>
                <w:color w:val="auto"/>
                <w:sz w:val="21"/>
                <w:lang w:eastAsia="zh-CN"/>
              </w:rPr>
              <w:t>25</w:t>
            </w:r>
            <w:r>
              <w:rPr>
                <w:rFonts w:ascii="Times New Roman" w:hAnsi="Times New Roman" w:cs="Times New Roman"/>
                <w:color w:val="auto"/>
                <w:sz w:val="21"/>
                <w:lang w:eastAsia="zh-CN"/>
              </w:rPr>
              <w:t>）</w:t>
            </w:r>
          </w:p>
        </w:tc>
        <w:tc>
          <w:tcPr>
            <w:tcW w:w="1300" w:type="pct"/>
            <w:vAlign w:val="center"/>
          </w:tcPr>
          <w:p w14:paraId="25CB2470">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昼间dB(A)</w:t>
            </w:r>
          </w:p>
        </w:tc>
        <w:tc>
          <w:tcPr>
            <w:tcW w:w="1518" w:type="pct"/>
            <w:vAlign w:val="center"/>
          </w:tcPr>
          <w:p w14:paraId="7D41ADFB">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70</w:t>
            </w:r>
          </w:p>
        </w:tc>
      </w:tr>
      <w:tr w14:paraId="2E7548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2182" w:type="pct"/>
            <w:vMerge w:val="continue"/>
            <w:vAlign w:val="center"/>
          </w:tcPr>
          <w:p w14:paraId="688C6055">
            <w:pPr>
              <w:widowControl w:val="0"/>
              <w:adjustRightInd w:val="0"/>
              <w:snapToGrid w:val="0"/>
              <w:jc w:val="center"/>
              <w:rPr>
                <w:rFonts w:ascii="Times New Roman" w:hAnsi="Times New Roman" w:cs="Times New Roman"/>
                <w:color w:val="auto"/>
                <w:sz w:val="21"/>
                <w:lang w:eastAsia="zh-CN"/>
              </w:rPr>
            </w:pPr>
          </w:p>
        </w:tc>
        <w:tc>
          <w:tcPr>
            <w:tcW w:w="1300" w:type="pct"/>
            <w:vAlign w:val="center"/>
          </w:tcPr>
          <w:p w14:paraId="6C588D1E">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夜间dB(A)</w:t>
            </w:r>
          </w:p>
        </w:tc>
        <w:tc>
          <w:tcPr>
            <w:tcW w:w="1518" w:type="pct"/>
            <w:vAlign w:val="center"/>
          </w:tcPr>
          <w:p w14:paraId="1C2ABBDA">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55</w:t>
            </w:r>
          </w:p>
        </w:tc>
      </w:tr>
      <w:tr w14:paraId="5189ED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2182" w:type="pct"/>
            <w:vMerge w:val="restart"/>
            <w:vAlign w:val="center"/>
          </w:tcPr>
          <w:p w14:paraId="6473D9B1">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《工业企业厂界噪声排放标准》</w:t>
            </w:r>
          </w:p>
          <w:p w14:paraId="4B733823">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（GB12348-2008）3类</w:t>
            </w:r>
          </w:p>
        </w:tc>
        <w:tc>
          <w:tcPr>
            <w:tcW w:w="1300" w:type="pct"/>
            <w:vAlign w:val="center"/>
          </w:tcPr>
          <w:p w14:paraId="1E3D7294">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昼间dB(A)</w:t>
            </w:r>
          </w:p>
        </w:tc>
        <w:tc>
          <w:tcPr>
            <w:tcW w:w="1518" w:type="pct"/>
            <w:vAlign w:val="center"/>
          </w:tcPr>
          <w:p w14:paraId="366165C4">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65</w:t>
            </w:r>
          </w:p>
        </w:tc>
      </w:tr>
      <w:tr w14:paraId="283CAA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2182" w:type="pct"/>
            <w:vMerge w:val="continue"/>
            <w:vAlign w:val="center"/>
          </w:tcPr>
          <w:p w14:paraId="3365D3D9">
            <w:pPr>
              <w:widowControl w:val="0"/>
              <w:adjustRightInd w:val="0"/>
              <w:snapToGrid w:val="0"/>
              <w:jc w:val="center"/>
              <w:rPr>
                <w:rFonts w:ascii="Times New Roman" w:hAnsi="Times New Roman" w:cs="Times New Roman"/>
                <w:color w:val="auto"/>
                <w:sz w:val="21"/>
                <w:lang w:eastAsia="zh-CN"/>
              </w:rPr>
            </w:pPr>
          </w:p>
        </w:tc>
        <w:tc>
          <w:tcPr>
            <w:tcW w:w="1300" w:type="pct"/>
            <w:vAlign w:val="center"/>
          </w:tcPr>
          <w:p w14:paraId="647D0B97">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夜间dB(A)</w:t>
            </w:r>
          </w:p>
        </w:tc>
        <w:tc>
          <w:tcPr>
            <w:tcW w:w="1518" w:type="pct"/>
            <w:vAlign w:val="center"/>
          </w:tcPr>
          <w:p w14:paraId="2C327EF1">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55</w:t>
            </w:r>
          </w:p>
        </w:tc>
      </w:tr>
    </w:tbl>
    <w:p w14:paraId="3A5D77FB">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4、固废</w:t>
      </w:r>
    </w:p>
    <w:p w14:paraId="2ED09A46">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一般工业固体废物参照《一般工业固体废物贮存和填埋污染控制标准》（GB18599-2020）中的贮存过程要求，应满足相应防渗漏、防雨淋、防扬尘等环境保护要求进行贮存。危险废物贮存执行</w:t>
      </w:r>
      <w:bookmarkStart w:id="254" w:name="_Hlk176945289"/>
      <w:r>
        <w:rPr>
          <w:rFonts w:ascii="Times New Roman" w:hAnsi="Times New Roman" w:cs="Times New Roman"/>
          <w:color w:val="auto"/>
          <w:lang w:eastAsia="zh-CN"/>
        </w:rPr>
        <w:t>《危险废物贮存污染控制标准》（GB18597-2023）</w:t>
      </w:r>
      <w:bookmarkEnd w:id="254"/>
      <w:r>
        <w:rPr>
          <w:rFonts w:ascii="Times New Roman" w:hAnsi="Times New Roman" w:cs="Times New Roman"/>
          <w:color w:val="auto"/>
          <w:lang w:eastAsia="zh-CN"/>
        </w:rPr>
        <w:t>中有关规定，贮存设施应根据危险废物的形态、物理化学性质、包装形式和污染物迁移途径，采取必要的</w:t>
      </w:r>
      <w:bookmarkStart w:id="255" w:name="_Hlk176945305"/>
      <w:r>
        <w:rPr>
          <w:rFonts w:ascii="Times New Roman" w:hAnsi="Times New Roman" w:cs="Times New Roman"/>
          <w:color w:val="auto"/>
          <w:lang w:eastAsia="zh-CN"/>
        </w:rPr>
        <w:t>防风、防雨、防漏、防渗、防腐以及其他环境污染防治措施</w:t>
      </w:r>
      <w:bookmarkEnd w:id="255"/>
      <w:r>
        <w:rPr>
          <w:rFonts w:ascii="Times New Roman" w:hAnsi="Times New Roman" w:cs="Times New Roman"/>
          <w:color w:val="auto"/>
          <w:lang w:eastAsia="zh-CN"/>
        </w:rPr>
        <w:t>。</w:t>
      </w:r>
    </w:p>
    <w:p w14:paraId="13BB2ADA">
      <w:pPr>
        <w:widowControl w:val="0"/>
        <w:spacing w:line="360" w:lineRule="auto"/>
        <w:ind w:firstLine="560"/>
        <w:jc w:val="both"/>
        <w:outlineLvl w:val="1"/>
        <w:rPr>
          <w:rFonts w:ascii="Times New Roman" w:hAnsi="Times New Roman" w:eastAsia="新宋体" w:cs="Times New Roman"/>
          <w:b/>
          <w:bCs/>
          <w:color w:val="auto"/>
          <w:sz w:val="28"/>
          <w:szCs w:val="28"/>
          <w:lang w:eastAsia="zh-CN"/>
        </w:rPr>
      </w:pPr>
      <w:bookmarkStart w:id="256" w:name="_Toc237508246"/>
      <w:r>
        <w:rPr>
          <w:rFonts w:ascii="Times New Roman" w:hAnsi="Times New Roman" w:eastAsia="新宋体" w:cs="Times New Roman"/>
          <w:b/>
          <w:bCs/>
          <w:color w:val="auto"/>
          <w:sz w:val="28"/>
          <w:szCs w:val="28"/>
          <w:lang w:eastAsia="zh-CN"/>
        </w:rPr>
        <w:t>2.4 评价工作等级和评价范围</w:t>
      </w:r>
      <w:bookmarkEnd w:id="256"/>
    </w:p>
    <w:p w14:paraId="0E67A23F">
      <w:pPr>
        <w:widowControl w:val="0"/>
        <w:spacing w:line="360" w:lineRule="auto"/>
        <w:ind w:firstLine="482"/>
        <w:jc w:val="both"/>
        <w:outlineLvl w:val="2"/>
        <w:rPr>
          <w:rFonts w:ascii="Times New Roman" w:hAnsi="Times New Roman" w:eastAsia="新宋体" w:cs="Times New Roman"/>
          <w:b/>
          <w:bCs/>
          <w:color w:val="auto"/>
          <w:szCs w:val="24"/>
          <w:lang w:eastAsia="zh-CN"/>
        </w:rPr>
      </w:pPr>
      <w:bookmarkStart w:id="257" w:name="_Toc221900776"/>
      <w:bookmarkStart w:id="258" w:name="_Toc218784219"/>
      <w:bookmarkStart w:id="259" w:name="_Toc225783993"/>
      <w:bookmarkStart w:id="260" w:name="_Toc173743356"/>
      <w:bookmarkStart w:id="261" w:name="_Toc231828533"/>
      <w:bookmarkStart w:id="262" w:name="_Toc172555625"/>
      <w:bookmarkStart w:id="263" w:name="_Toc204448418"/>
      <w:bookmarkStart w:id="264" w:name="_Toc176512981"/>
      <w:bookmarkStart w:id="265" w:name="_Toc203926953"/>
      <w:bookmarkStart w:id="266" w:name="_Toc223424994"/>
      <w:bookmarkStart w:id="267" w:name="_Toc175164246"/>
      <w:bookmarkStart w:id="268" w:name="_Toc178602321"/>
      <w:bookmarkStart w:id="269" w:name="_Toc217662609"/>
      <w:bookmarkStart w:id="270" w:name="_Toc204515153"/>
      <w:bookmarkStart w:id="271" w:name="_Toc236641781"/>
      <w:bookmarkStart w:id="272" w:name="_Toc236641264"/>
      <w:bookmarkStart w:id="273" w:name="_Toc237508247"/>
      <w:bookmarkStart w:id="274" w:name="_Toc173740252"/>
      <w:bookmarkStart w:id="275" w:name="_Toc224674632"/>
      <w:r>
        <w:rPr>
          <w:rFonts w:ascii="Times New Roman" w:hAnsi="Times New Roman" w:eastAsia="新宋体" w:cs="Times New Roman"/>
          <w:b/>
          <w:bCs/>
          <w:color w:val="auto"/>
          <w:szCs w:val="24"/>
          <w:lang w:eastAsia="zh-CN"/>
        </w:rPr>
        <w:t>2.4.1 评价工作等级</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14:paraId="38C81571">
      <w:pPr>
        <w:widowControl w:val="0"/>
        <w:spacing w:line="360" w:lineRule="auto"/>
        <w:ind w:firstLine="480" w:firstLineChars="200"/>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（1）大气环境影响评价等级</w:t>
      </w:r>
    </w:p>
    <w:p w14:paraId="6EEB5F9F">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按照《环境影响评价技术导则大气环境》（HJ2.2-2018）中的有关规定，分别计算污染物的最大地面质量浓度占标率（P</w:t>
      </w:r>
      <w:r>
        <w:rPr>
          <w:rFonts w:ascii="Times New Roman" w:hAnsi="Times New Roman" w:eastAsia="新宋体" w:cs="Times New Roman"/>
          <w:color w:val="auto"/>
          <w:szCs w:val="24"/>
          <w:vertAlign w:val="subscript"/>
          <w:lang w:eastAsia="zh-CN"/>
        </w:rPr>
        <w:t>i</w:t>
      </w:r>
      <w:r>
        <w:rPr>
          <w:rFonts w:ascii="Times New Roman" w:hAnsi="Times New Roman" w:eastAsia="新宋体" w:cs="Times New Roman"/>
          <w:color w:val="auto"/>
          <w:szCs w:val="24"/>
          <w:lang w:eastAsia="zh-CN"/>
        </w:rPr>
        <w:t>），及第i个污染物的地面质量浓度达标准限值10%时所对应的最远距离D</w:t>
      </w:r>
      <w:r>
        <w:rPr>
          <w:rFonts w:ascii="Times New Roman" w:hAnsi="Times New Roman" w:eastAsia="新宋体" w:cs="Times New Roman"/>
          <w:color w:val="auto"/>
          <w:szCs w:val="24"/>
          <w:vertAlign w:val="subscript"/>
          <w:lang w:eastAsia="zh-CN"/>
        </w:rPr>
        <w:t>10%</w:t>
      </w:r>
      <w:r>
        <w:rPr>
          <w:rFonts w:ascii="Times New Roman" w:hAnsi="Times New Roman" w:eastAsia="新宋体" w:cs="Times New Roman"/>
          <w:color w:val="auto"/>
          <w:szCs w:val="24"/>
          <w:lang w:eastAsia="zh-CN"/>
        </w:rPr>
        <w:t>，其中P</w:t>
      </w:r>
      <w:r>
        <w:rPr>
          <w:rFonts w:ascii="Times New Roman" w:hAnsi="Times New Roman" w:eastAsia="新宋体" w:cs="Times New Roman"/>
          <w:color w:val="auto"/>
          <w:szCs w:val="24"/>
          <w:vertAlign w:val="subscript"/>
          <w:lang w:eastAsia="zh-CN"/>
        </w:rPr>
        <w:t>i</w:t>
      </w:r>
      <w:r>
        <w:rPr>
          <w:rFonts w:ascii="Times New Roman" w:hAnsi="Times New Roman" w:eastAsia="新宋体" w:cs="Times New Roman"/>
          <w:color w:val="auto"/>
          <w:szCs w:val="24"/>
          <w:lang w:eastAsia="zh-CN"/>
        </w:rPr>
        <w:t>定义为：</w:t>
      </w:r>
    </w:p>
    <w:p w14:paraId="56C05337">
      <w:pPr>
        <w:widowControl w:val="0"/>
        <w:spacing w:line="360" w:lineRule="auto"/>
        <w:ind w:firstLine="560"/>
        <w:jc w:val="center"/>
        <w:rPr>
          <w:rFonts w:ascii="Times New Roman" w:hAnsi="Times New Roman" w:eastAsia="新宋体" w:cs="Times New Roman"/>
          <w:color w:val="auto"/>
          <w:sz w:val="28"/>
          <w:szCs w:val="28"/>
          <w:lang w:eastAsia="zh-CN"/>
        </w:rPr>
      </w:pPr>
      <w:r>
        <w:rPr>
          <w:rFonts w:ascii="Times New Roman" w:hAnsi="Times New Roman" w:eastAsia="新宋体" w:cs="Times New Roman"/>
          <w:color w:val="auto"/>
          <w:sz w:val="28"/>
          <w:szCs w:val="28"/>
          <w:lang w:eastAsia="zh-CN"/>
        </w:rPr>
        <w:t>P</w:t>
      </w:r>
      <w:r>
        <w:rPr>
          <w:rFonts w:ascii="Times New Roman" w:hAnsi="Times New Roman" w:eastAsia="新宋体" w:cs="Times New Roman"/>
          <w:color w:val="auto"/>
          <w:sz w:val="28"/>
          <w:szCs w:val="28"/>
          <w:vertAlign w:val="subscript"/>
          <w:lang w:eastAsia="zh-CN"/>
        </w:rPr>
        <w:t>i</w:t>
      </w:r>
      <w:r>
        <w:rPr>
          <w:rFonts w:ascii="Times New Roman" w:hAnsi="Times New Roman" w:eastAsia="新宋体" w:cs="Times New Roman"/>
          <w:color w:val="auto"/>
          <w:sz w:val="28"/>
          <w:szCs w:val="28"/>
          <w:lang w:eastAsia="zh-CN"/>
        </w:rPr>
        <w:t>= C</w:t>
      </w:r>
      <w:r>
        <w:rPr>
          <w:rFonts w:ascii="Times New Roman" w:hAnsi="Times New Roman" w:eastAsia="新宋体" w:cs="Times New Roman"/>
          <w:color w:val="auto"/>
          <w:sz w:val="28"/>
          <w:szCs w:val="28"/>
          <w:vertAlign w:val="subscript"/>
          <w:lang w:eastAsia="zh-CN"/>
        </w:rPr>
        <w:t xml:space="preserve">i </w:t>
      </w:r>
      <w:r>
        <w:rPr>
          <w:rFonts w:ascii="Times New Roman" w:hAnsi="Times New Roman" w:eastAsia="新宋体" w:cs="Times New Roman"/>
          <w:color w:val="auto"/>
          <w:sz w:val="28"/>
          <w:szCs w:val="28"/>
          <w:lang w:eastAsia="zh-CN"/>
        </w:rPr>
        <w:t>/ C</w:t>
      </w:r>
      <w:r>
        <w:rPr>
          <w:rFonts w:ascii="Times New Roman" w:hAnsi="Times New Roman" w:eastAsia="新宋体" w:cs="Times New Roman"/>
          <w:color w:val="auto"/>
          <w:sz w:val="28"/>
          <w:szCs w:val="28"/>
          <w:vertAlign w:val="subscript"/>
          <w:lang w:eastAsia="zh-CN"/>
        </w:rPr>
        <w:t>0i</w:t>
      </w:r>
      <w:r>
        <w:rPr>
          <w:rFonts w:ascii="Times New Roman" w:hAnsi="Times New Roman" w:eastAsia="新宋体" w:cs="Times New Roman"/>
          <w:color w:val="auto"/>
          <w:sz w:val="28"/>
          <w:szCs w:val="28"/>
          <w:lang w:eastAsia="zh-CN"/>
        </w:rPr>
        <w:t>×100%</w:t>
      </w:r>
    </w:p>
    <w:p w14:paraId="2B4559F2">
      <w:pPr>
        <w:widowControl w:val="0"/>
        <w:spacing w:line="360" w:lineRule="auto"/>
        <w:ind w:firstLine="480" w:firstLineChars="200"/>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式中： P</w:t>
      </w:r>
      <w:r>
        <w:rPr>
          <w:rFonts w:ascii="Times New Roman" w:hAnsi="Times New Roman" w:eastAsia="新宋体" w:cs="Times New Roman"/>
          <w:color w:val="auto"/>
          <w:szCs w:val="24"/>
          <w:vertAlign w:val="subscript"/>
          <w:lang w:eastAsia="zh-CN"/>
        </w:rPr>
        <w:t>i</w:t>
      </w:r>
      <w:r>
        <w:rPr>
          <w:rFonts w:ascii="Times New Roman" w:hAnsi="Times New Roman" w:eastAsia="新宋体" w:cs="Times New Roman"/>
          <w:color w:val="auto"/>
          <w:szCs w:val="24"/>
          <w:lang w:eastAsia="zh-CN"/>
        </w:rPr>
        <w:t>—第i个污染物的最大地面浓度占标率，%；</w:t>
      </w:r>
    </w:p>
    <w:p w14:paraId="1E986126">
      <w:pPr>
        <w:widowControl w:val="0"/>
        <w:spacing w:line="360" w:lineRule="auto"/>
        <w:ind w:firstLine="480"/>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 xml:space="preserve">       C</w:t>
      </w:r>
      <w:r>
        <w:rPr>
          <w:rFonts w:ascii="Times New Roman" w:hAnsi="Times New Roman" w:eastAsia="新宋体" w:cs="Times New Roman"/>
          <w:color w:val="auto"/>
          <w:szCs w:val="24"/>
          <w:vertAlign w:val="subscript"/>
          <w:lang w:eastAsia="zh-CN"/>
        </w:rPr>
        <w:t>i</w:t>
      </w:r>
      <w:r>
        <w:rPr>
          <w:rFonts w:ascii="Times New Roman" w:hAnsi="Times New Roman" w:eastAsia="新宋体" w:cs="Times New Roman"/>
          <w:color w:val="auto"/>
          <w:szCs w:val="24"/>
          <w:lang w:eastAsia="zh-CN"/>
        </w:rPr>
        <w:t>—采用估算模式计算出的第i个污染物的最大地面浓度，mg/m</w:t>
      </w:r>
      <w:r>
        <w:rPr>
          <w:rFonts w:ascii="Times New Roman" w:hAnsi="Times New Roman" w:eastAsia="新宋体" w:cs="Times New Roman"/>
          <w:color w:val="auto"/>
          <w:szCs w:val="24"/>
          <w:vertAlign w:val="superscript"/>
          <w:lang w:eastAsia="zh-CN"/>
        </w:rPr>
        <w:t>3</w:t>
      </w:r>
      <w:r>
        <w:rPr>
          <w:rFonts w:ascii="Times New Roman" w:hAnsi="Times New Roman" w:eastAsia="新宋体" w:cs="Times New Roman"/>
          <w:color w:val="auto"/>
          <w:szCs w:val="24"/>
          <w:lang w:eastAsia="zh-CN"/>
        </w:rPr>
        <w:t>；</w:t>
      </w:r>
    </w:p>
    <w:p w14:paraId="56D3A62D">
      <w:pPr>
        <w:widowControl w:val="0"/>
        <w:spacing w:line="360" w:lineRule="auto"/>
        <w:ind w:firstLine="48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 xml:space="preserve">      C</w:t>
      </w:r>
      <w:r>
        <w:rPr>
          <w:rFonts w:ascii="Times New Roman" w:hAnsi="Times New Roman" w:eastAsia="新宋体" w:cs="Times New Roman"/>
          <w:color w:val="auto"/>
          <w:szCs w:val="24"/>
          <w:vertAlign w:val="subscript"/>
          <w:lang w:eastAsia="zh-CN"/>
        </w:rPr>
        <w:t>0i</w:t>
      </w:r>
      <w:r>
        <w:rPr>
          <w:rFonts w:ascii="Times New Roman" w:hAnsi="Times New Roman" w:eastAsia="新宋体" w:cs="Times New Roman"/>
          <w:color w:val="auto"/>
          <w:szCs w:val="24"/>
          <w:lang w:eastAsia="zh-CN"/>
        </w:rPr>
        <w:t>—第i个污染物的环境空气质量标准，mg/m</w:t>
      </w:r>
      <w:r>
        <w:rPr>
          <w:rFonts w:ascii="Times New Roman" w:hAnsi="Times New Roman" w:eastAsia="新宋体" w:cs="Times New Roman"/>
          <w:color w:val="auto"/>
          <w:szCs w:val="24"/>
          <w:vertAlign w:val="superscript"/>
          <w:lang w:eastAsia="zh-CN"/>
        </w:rPr>
        <w:t>3</w:t>
      </w:r>
      <w:r>
        <w:rPr>
          <w:rFonts w:ascii="Times New Roman" w:hAnsi="Times New Roman" w:eastAsia="新宋体" w:cs="Times New Roman"/>
          <w:color w:val="auto"/>
          <w:szCs w:val="24"/>
          <w:lang w:eastAsia="zh-CN"/>
        </w:rPr>
        <w:t>。一般选用GB3095中1h平均浓度的二级浓度限值，如项目位于一类环境空气功能区，应选择相应的一级浓度限值；对该标准中未包含的污染物，使用各评价因子1h平均质量浓度限值。对仅有8h平均质量浓度限值、日平均质量浓度限值或年平均质量浓度限值的，可分别按2倍、3倍、6倍折算1h平均质量浓度限值。</w:t>
      </w:r>
    </w:p>
    <w:p w14:paraId="109AEF1B">
      <w:pPr>
        <w:widowControl w:val="0"/>
        <w:spacing w:line="360" w:lineRule="auto"/>
        <w:ind w:firstLine="480" w:firstLineChars="200"/>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1、评价等级判别</w:t>
      </w:r>
    </w:p>
    <w:p w14:paraId="22D3A1B9">
      <w:pPr>
        <w:widowControl w:val="0"/>
        <w:spacing w:line="360" w:lineRule="auto"/>
        <w:jc w:val="center"/>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表2.4-1 大气评价工作等级分级判据</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180"/>
        <w:gridCol w:w="7566"/>
      </w:tblGrid>
      <w:tr w14:paraId="742BA8C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18" w:type="pct"/>
            <w:vAlign w:val="center"/>
          </w:tcPr>
          <w:p w14:paraId="2BEFF18D">
            <w:pPr>
              <w:widowControl w:val="0"/>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评价工作等级</w:t>
            </w:r>
          </w:p>
        </w:tc>
        <w:tc>
          <w:tcPr>
            <w:tcW w:w="3881" w:type="pct"/>
            <w:vAlign w:val="center"/>
          </w:tcPr>
          <w:p w14:paraId="2F1282AB">
            <w:pPr>
              <w:widowControl w:val="0"/>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评价工作分级判据</w:t>
            </w:r>
          </w:p>
        </w:tc>
      </w:tr>
      <w:tr w14:paraId="2FFA211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18" w:type="pct"/>
            <w:vAlign w:val="center"/>
          </w:tcPr>
          <w:p w14:paraId="49F7694F">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一级</w:t>
            </w:r>
          </w:p>
        </w:tc>
        <w:tc>
          <w:tcPr>
            <w:tcW w:w="3881" w:type="pct"/>
            <w:vAlign w:val="center"/>
          </w:tcPr>
          <w:p w14:paraId="338FD564">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P</w:t>
            </w:r>
            <w:r>
              <w:rPr>
                <w:rFonts w:ascii="Times New Roman" w:hAnsi="Times New Roman" w:cs="Times New Roman"/>
                <w:color w:val="auto"/>
                <w:sz w:val="21"/>
                <w:vertAlign w:val="subscript"/>
              </w:rPr>
              <w:t>max</w:t>
            </w:r>
            <w:r>
              <w:rPr>
                <w:rFonts w:ascii="Times New Roman" w:hAnsi="Times New Roman" w:cs="Times New Roman"/>
                <w:color w:val="auto"/>
                <w:sz w:val="21"/>
              </w:rPr>
              <w:t>≥10%</w:t>
            </w:r>
          </w:p>
        </w:tc>
      </w:tr>
      <w:tr w14:paraId="70AA7B9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18" w:type="pct"/>
            <w:vAlign w:val="center"/>
          </w:tcPr>
          <w:p w14:paraId="29D34472">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二级</w:t>
            </w:r>
          </w:p>
        </w:tc>
        <w:tc>
          <w:tcPr>
            <w:tcW w:w="3881" w:type="pct"/>
            <w:vAlign w:val="center"/>
          </w:tcPr>
          <w:p w14:paraId="28F596E4">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1%≤P</w:t>
            </w:r>
            <w:r>
              <w:rPr>
                <w:rFonts w:ascii="Times New Roman" w:hAnsi="Times New Roman" w:cs="Times New Roman"/>
                <w:color w:val="auto"/>
                <w:sz w:val="21"/>
                <w:vertAlign w:val="subscript"/>
              </w:rPr>
              <w:t>max</w:t>
            </w:r>
            <w:r>
              <w:rPr>
                <w:rFonts w:ascii="Times New Roman" w:hAnsi="Times New Roman" w:cs="Times New Roman"/>
                <w:color w:val="auto"/>
                <w:sz w:val="21"/>
              </w:rPr>
              <w:t>＜10%</w:t>
            </w:r>
          </w:p>
        </w:tc>
      </w:tr>
      <w:tr w14:paraId="4082EDE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18" w:type="pct"/>
            <w:vAlign w:val="center"/>
          </w:tcPr>
          <w:p w14:paraId="575577F3">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三级</w:t>
            </w:r>
          </w:p>
        </w:tc>
        <w:tc>
          <w:tcPr>
            <w:tcW w:w="3881" w:type="pct"/>
            <w:vAlign w:val="center"/>
          </w:tcPr>
          <w:p w14:paraId="04E7826B">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P</w:t>
            </w:r>
            <w:r>
              <w:rPr>
                <w:rFonts w:ascii="Times New Roman" w:hAnsi="Times New Roman" w:cs="Times New Roman"/>
                <w:color w:val="auto"/>
                <w:sz w:val="21"/>
                <w:vertAlign w:val="subscript"/>
              </w:rPr>
              <w:t>max</w:t>
            </w:r>
            <w:r>
              <w:rPr>
                <w:rFonts w:ascii="Times New Roman" w:hAnsi="Times New Roman" w:cs="Times New Roman"/>
                <w:color w:val="auto"/>
                <w:sz w:val="21"/>
              </w:rPr>
              <w:t>＜1%</w:t>
            </w:r>
          </w:p>
        </w:tc>
      </w:tr>
    </w:tbl>
    <w:p w14:paraId="79ECB49D">
      <w:pPr>
        <w:widowControl w:val="0"/>
        <w:spacing w:line="360" w:lineRule="auto"/>
        <w:ind w:firstLine="480" w:firstLineChars="200"/>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2、估算模型参数</w:t>
      </w:r>
    </w:p>
    <w:p w14:paraId="08D9F01D">
      <w:pPr>
        <w:widowControl w:val="0"/>
        <w:spacing w:line="360" w:lineRule="auto"/>
        <w:jc w:val="center"/>
        <w:rPr>
          <w:rFonts w:ascii="Times New Roman" w:hAnsi="Times New Roman" w:eastAsia="新宋体" w:cs="Times New Roman"/>
          <w:color w:val="auto"/>
          <w:szCs w:val="24"/>
          <w:lang w:eastAsia="zh-CN"/>
        </w:rPr>
      </w:pPr>
      <w:r>
        <w:rPr>
          <w:rFonts w:ascii="Times New Roman" w:hAnsi="Times New Roman" w:eastAsia="新宋体" w:cs="Times New Roman"/>
          <w:b/>
          <w:bCs/>
          <w:color w:val="auto"/>
          <w:szCs w:val="24"/>
          <w:lang w:eastAsia="zh-CN"/>
        </w:rPr>
        <w:t>表2.4-2 估算模型参数</w:t>
      </w:r>
    </w:p>
    <w:tbl>
      <w:tblPr>
        <w:tblStyle w:val="35"/>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3033"/>
        <w:gridCol w:w="4082"/>
      </w:tblGrid>
      <w:tr w14:paraId="57DDD8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905" w:type="pct"/>
            <w:gridSpan w:val="2"/>
            <w:tcBorders>
              <w:top w:val="single" w:color="auto" w:sz="12" w:space="0"/>
              <w:left w:val="nil"/>
              <w:bottom w:val="single" w:color="auto" w:sz="4" w:space="0"/>
              <w:right w:val="single" w:color="auto" w:sz="4" w:space="0"/>
            </w:tcBorders>
            <w:vAlign w:val="center"/>
          </w:tcPr>
          <w:p w14:paraId="2BDD2C6D">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参数</w:t>
            </w:r>
          </w:p>
        </w:tc>
        <w:tc>
          <w:tcPr>
            <w:tcW w:w="2094" w:type="pct"/>
            <w:tcBorders>
              <w:top w:val="single" w:color="auto" w:sz="12" w:space="0"/>
              <w:left w:val="single" w:color="auto" w:sz="4" w:space="0"/>
              <w:bottom w:val="single" w:color="auto" w:sz="4" w:space="0"/>
              <w:right w:val="nil"/>
            </w:tcBorders>
            <w:vAlign w:val="center"/>
          </w:tcPr>
          <w:p w14:paraId="5EFE2BA9">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取值</w:t>
            </w:r>
          </w:p>
        </w:tc>
      </w:tr>
      <w:tr w14:paraId="45E614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49" w:type="pct"/>
            <w:vMerge w:val="restart"/>
            <w:tcBorders>
              <w:top w:val="single" w:color="auto" w:sz="4" w:space="0"/>
              <w:left w:val="nil"/>
              <w:bottom w:val="single" w:color="auto" w:sz="4" w:space="0"/>
              <w:right w:val="single" w:color="auto" w:sz="4" w:space="0"/>
            </w:tcBorders>
            <w:vAlign w:val="center"/>
          </w:tcPr>
          <w:p w14:paraId="74D9957B">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城市农村/选项</w:t>
            </w:r>
          </w:p>
        </w:tc>
        <w:tc>
          <w:tcPr>
            <w:tcW w:w="1556" w:type="pct"/>
            <w:tcBorders>
              <w:top w:val="single" w:color="auto" w:sz="4" w:space="0"/>
              <w:left w:val="single" w:color="auto" w:sz="4" w:space="0"/>
              <w:bottom w:val="single" w:color="auto" w:sz="4" w:space="0"/>
              <w:right w:val="single" w:color="auto" w:sz="4" w:space="0"/>
            </w:tcBorders>
            <w:vAlign w:val="center"/>
          </w:tcPr>
          <w:p w14:paraId="5A488565">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城市/农村</w:t>
            </w:r>
          </w:p>
        </w:tc>
        <w:tc>
          <w:tcPr>
            <w:tcW w:w="2094" w:type="pct"/>
            <w:tcBorders>
              <w:top w:val="single" w:color="auto" w:sz="4" w:space="0"/>
              <w:left w:val="single" w:color="auto" w:sz="4" w:space="0"/>
              <w:bottom w:val="single" w:color="auto" w:sz="4" w:space="0"/>
              <w:right w:val="nil"/>
            </w:tcBorders>
            <w:vAlign w:val="center"/>
          </w:tcPr>
          <w:p w14:paraId="2B325B52">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城市</w:t>
            </w:r>
          </w:p>
        </w:tc>
      </w:tr>
      <w:tr w14:paraId="0FCDB2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49" w:type="pct"/>
            <w:vMerge w:val="continue"/>
            <w:tcBorders>
              <w:top w:val="single" w:color="auto" w:sz="4" w:space="0"/>
              <w:left w:val="nil"/>
              <w:bottom w:val="single" w:color="auto" w:sz="4" w:space="0"/>
              <w:right w:val="single" w:color="auto" w:sz="4" w:space="0"/>
            </w:tcBorders>
            <w:vAlign w:val="center"/>
          </w:tcPr>
          <w:p w14:paraId="26A4F08A">
            <w:pPr>
              <w:widowControl w:val="0"/>
              <w:adjustRightInd w:val="0"/>
              <w:snapToGrid w:val="0"/>
              <w:jc w:val="center"/>
              <w:rPr>
                <w:rFonts w:ascii="Times New Roman" w:hAnsi="Times New Roman" w:cs="Times New Roman"/>
                <w:color w:val="auto"/>
                <w:sz w:val="21"/>
              </w:rPr>
            </w:pPr>
          </w:p>
        </w:tc>
        <w:tc>
          <w:tcPr>
            <w:tcW w:w="1556" w:type="pct"/>
            <w:tcBorders>
              <w:top w:val="single" w:color="auto" w:sz="4" w:space="0"/>
              <w:left w:val="single" w:color="auto" w:sz="4" w:space="0"/>
              <w:bottom w:val="single" w:color="auto" w:sz="4" w:space="0"/>
              <w:right w:val="single" w:color="auto" w:sz="4" w:space="0"/>
            </w:tcBorders>
            <w:vAlign w:val="center"/>
          </w:tcPr>
          <w:p w14:paraId="20ACA491">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人口数(农村人口数)</w:t>
            </w:r>
          </w:p>
        </w:tc>
        <w:tc>
          <w:tcPr>
            <w:tcW w:w="2094" w:type="pct"/>
            <w:tcBorders>
              <w:top w:val="single" w:color="auto" w:sz="4" w:space="0"/>
              <w:left w:val="single" w:color="auto" w:sz="4" w:space="0"/>
              <w:bottom w:val="single" w:color="auto" w:sz="4" w:space="0"/>
              <w:right w:val="nil"/>
            </w:tcBorders>
            <w:vAlign w:val="center"/>
          </w:tcPr>
          <w:p w14:paraId="1A321EA0">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331.7万人</w:t>
            </w:r>
          </w:p>
        </w:tc>
      </w:tr>
      <w:tr w14:paraId="792571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905" w:type="pct"/>
            <w:gridSpan w:val="2"/>
            <w:tcBorders>
              <w:top w:val="single" w:color="auto" w:sz="4" w:space="0"/>
              <w:left w:val="nil"/>
              <w:bottom w:val="single" w:color="auto" w:sz="4" w:space="0"/>
              <w:right w:val="single" w:color="auto" w:sz="4" w:space="0"/>
            </w:tcBorders>
            <w:vAlign w:val="center"/>
          </w:tcPr>
          <w:p w14:paraId="614D36F2">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最高环境温度/℃</w:t>
            </w:r>
          </w:p>
        </w:tc>
        <w:tc>
          <w:tcPr>
            <w:tcW w:w="2094" w:type="pct"/>
            <w:tcBorders>
              <w:top w:val="single" w:color="auto" w:sz="4" w:space="0"/>
              <w:left w:val="single" w:color="auto" w:sz="4" w:space="0"/>
              <w:bottom w:val="single" w:color="auto" w:sz="4" w:space="0"/>
              <w:right w:val="nil"/>
            </w:tcBorders>
            <w:vAlign w:val="center"/>
          </w:tcPr>
          <w:p w14:paraId="6A41CB69">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40</w:t>
            </w:r>
          </w:p>
        </w:tc>
      </w:tr>
      <w:tr w14:paraId="2C7ED2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905" w:type="pct"/>
            <w:gridSpan w:val="2"/>
            <w:tcBorders>
              <w:top w:val="single" w:color="auto" w:sz="4" w:space="0"/>
              <w:left w:val="nil"/>
              <w:bottom w:val="single" w:color="auto" w:sz="4" w:space="0"/>
              <w:right w:val="single" w:color="auto" w:sz="4" w:space="0"/>
            </w:tcBorders>
            <w:vAlign w:val="center"/>
          </w:tcPr>
          <w:p w14:paraId="2C89E78F">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最低环境温度/℃</w:t>
            </w:r>
          </w:p>
        </w:tc>
        <w:tc>
          <w:tcPr>
            <w:tcW w:w="2094" w:type="pct"/>
            <w:tcBorders>
              <w:top w:val="single" w:color="auto" w:sz="4" w:space="0"/>
              <w:left w:val="single" w:color="auto" w:sz="4" w:space="0"/>
              <w:bottom w:val="single" w:color="auto" w:sz="4" w:space="0"/>
              <w:right w:val="nil"/>
            </w:tcBorders>
            <w:vAlign w:val="center"/>
          </w:tcPr>
          <w:p w14:paraId="418528E6">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rPr>
              <w:t>-</w:t>
            </w:r>
            <w:r>
              <w:rPr>
                <w:rFonts w:ascii="Times New Roman" w:hAnsi="Times New Roman" w:cs="Times New Roman"/>
                <w:color w:val="auto"/>
                <w:sz w:val="21"/>
                <w:lang w:eastAsia="zh-CN"/>
              </w:rPr>
              <w:t>1</w:t>
            </w:r>
            <w:r>
              <w:rPr>
                <w:rFonts w:hint="eastAsia" w:ascii="Times New Roman" w:hAnsi="Times New Roman" w:cs="Times New Roman"/>
                <w:color w:val="auto"/>
                <w:sz w:val="21"/>
                <w:lang w:eastAsia="zh-CN"/>
              </w:rPr>
              <w:t>9</w:t>
            </w:r>
          </w:p>
        </w:tc>
      </w:tr>
      <w:tr w14:paraId="78D2FE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905" w:type="pct"/>
            <w:gridSpan w:val="2"/>
            <w:tcBorders>
              <w:top w:val="single" w:color="auto" w:sz="4" w:space="0"/>
              <w:left w:val="nil"/>
              <w:bottom w:val="single" w:color="auto" w:sz="4" w:space="0"/>
              <w:right w:val="single" w:color="auto" w:sz="4" w:space="0"/>
            </w:tcBorders>
            <w:vAlign w:val="center"/>
          </w:tcPr>
          <w:p w14:paraId="184FF5E9">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土地利用类型</w:t>
            </w:r>
          </w:p>
        </w:tc>
        <w:tc>
          <w:tcPr>
            <w:tcW w:w="2094" w:type="pct"/>
            <w:tcBorders>
              <w:top w:val="single" w:color="auto" w:sz="4" w:space="0"/>
              <w:left w:val="single" w:color="auto" w:sz="4" w:space="0"/>
              <w:bottom w:val="single" w:color="auto" w:sz="4" w:space="0"/>
              <w:right w:val="nil"/>
            </w:tcBorders>
            <w:vAlign w:val="center"/>
          </w:tcPr>
          <w:p w14:paraId="4E99AEC8">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城市</w:t>
            </w:r>
          </w:p>
        </w:tc>
      </w:tr>
      <w:tr w14:paraId="5F7A43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905" w:type="pct"/>
            <w:gridSpan w:val="2"/>
            <w:tcBorders>
              <w:top w:val="single" w:color="auto" w:sz="4" w:space="0"/>
              <w:left w:val="nil"/>
              <w:bottom w:val="single" w:color="auto" w:sz="4" w:space="0"/>
              <w:right w:val="single" w:color="auto" w:sz="4" w:space="0"/>
            </w:tcBorders>
            <w:vAlign w:val="center"/>
          </w:tcPr>
          <w:p w14:paraId="5189D25D">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区域湿度条件</w:t>
            </w:r>
          </w:p>
        </w:tc>
        <w:tc>
          <w:tcPr>
            <w:tcW w:w="2094" w:type="pct"/>
            <w:tcBorders>
              <w:top w:val="single" w:color="auto" w:sz="4" w:space="0"/>
              <w:left w:val="single" w:color="auto" w:sz="4" w:space="0"/>
              <w:bottom w:val="single" w:color="auto" w:sz="4" w:space="0"/>
              <w:right w:val="nil"/>
            </w:tcBorders>
            <w:vAlign w:val="center"/>
          </w:tcPr>
          <w:p w14:paraId="2F5809BC">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中等湿度</w:t>
            </w:r>
          </w:p>
        </w:tc>
      </w:tr>
      <w:tr w14:paraId="025520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49" w:type="pct"/>
            <w:vMerge w:val="restart"/>
            <w:tcBorders>
              <w:top w:val="single" w:color="auto" w:sz="4" w:space="0"/>
              <w:left w:val="nil"/>
              <w:bottom w:val="single" w:color="auto" w:sz="4" w:space="0"/>
              <w:right w:val="single" w:color="auto" w:sz="4" w:space="0"/>
            </w:tcBorders>
            <w:vAlign w:val="center"/>
          </w:tcPr>
          <w:p w14:paraId="708A7BEE">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是否考虑地形</w:t>
            </w:r>
          </w:p>
        </w:tc>
        <w:tc>
          <w:tcPr>
            <w:tcW w:w="1556" w:type="pct"/>
            <w:tcBorders>
              <w:top w:val="single" w:color="auto" w:sz="4" w:space="0"/>
              <w:left w:val="single" w:color="auto" w:sz="4" w:space="0"/>
              <w:bottom w:val="single" w:color="auto" w:sz="4" w:space="0"/>
              <w:right w:val="single" w:color="auto" w:sz="4" w:space="0"/>
            </w:tcBorders>
            <w:vAlign w:val="center"/>
          </w:tcPr>
          <w:p w14:paraId="0BC142F7">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考虑地形</w:t>
            </w:r>
          </w:p>
        </w:tc>
        <w:tc>
          <w:tcPr>
            <w:tcW w:w="2094" w:type="pct"/>
            <w:tcBorders>
              <w:top w:val="single" w:color="auto" w:sz="4" w:space="0"/>
              <w:left w:val="single" w:color="auto" w:sz="4" w:space="0"/>
              <w:bottom w:val="single" w:color="auto" w:sz="4" w:space="0"/>
              <w:right w:val="nil"/>
            </w:tcBorders>
            <w:vAlign w:val="center"/>
          </w:tcPr>
          <w:p w14:paraId="1032A79E">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是</w:t>
            </w:r>
            <w:r>
              <w:rPr>
                <w:rFonts w:ascii="Times New Roman" w:hAnsi="Times New Roman" w:cs="Times New Roman"/>
                <w:color w:val="auto"/>
                <w:sz w:val="21"/>
                <w:lang w:eastAsia="zh-CN"/>
              </w:rPr>
              <w:sym w:font="Wingdings" w:char="00FE"/>
            </w:r>
            <w:r>
              <w:rPr>
                <w:rFonts w:ascii="Times New Roman" w:hAnsi="Times New Roman" w:cs="Times New Roman"/>
                <w:color w:val="auto"/>
                <w:sz w:val="21"/>
                <w:lang w:eastAsia="zh-CN"/>
              </w:rPr>
              <w:t xml:space="preserve">     否</w:t>
            </w:r>
            <w:r>
              <w:rPr>
                <w:rFonts w:ascii="Times New Roman" w:hAnsi="Times New Roman" w:cs="Times New Roman"/>
                <w:color w:val="auto"/>
                <w:sz w:val="21"/>
                <w:lang w:eastAsia="zh-CN"/>
              </w:rPr>
              <w:sym w:font="Wingdings" w:char="00A8"/>
            </w:r>
          </w:p>
        </w:tc>
      </w:tr>
      <w:tr w14:paraId="4DC3F3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49" w:type="pct"/>
            <w:vMerge w:val="continue"/>
            <w:tcBorders>
              <w:top w:val="single" w:color="auto" w:sz="4" w:space="0"/>
              <w:left w:val="nil"/>
              <w:bottom w:val="single" w:color="auto" w:sz="4" w:space="0"/>
              <w:right w:val="single" w:color="auto" w:sz="4" w:space="0"/>
            </w:tcBorders>
            <w:vAlign w:val="center"/>
          </w:tcPr>
          <w:p w14:paraId="16CBDE7C">
            <w:pPr>
              <w:widowControl w:val="0"/>
              <w:adjustRightInd w:val="0"/>
              <w:snapToGrid w:val="0"/>
              <w:jc w:val="center"/>
              <w:rPr>
                <w:rFonts w:ascii="Times New Roman" w:hAnsi="Times New Roman" w:cs="Times New Roman"/>
                <w:color w:val="auto"/>
                <w:sz w:val="21"/>
              </w:rPr>
            </w:pPr>
          </w:p>
        </w:tc>
        <w:tc>
          <w:tcPr>
            <w:tcW w:w="1556" w:type="pct"/>
            <w:tcBorders>
              <w:top w:val="single" w:color="auto" w:sz="4" w:space="0"/>
              <w:left w:val="single" w:color="auto" w:sz="4" w:space="0"/>
              <w:bottom w:val="single" w:color="auto" w:sz="4" w:space="0"/>
              <w:right w:val="single" w:color="auto" w:sz="4" w:space="0"/>
            </w:tcBorders>
            <w:vAlign w:val="center"/>
          </w:tcPr>
          <w:p w14:paraId="2622FFAF">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地形数据分辨率(m)</w:t>
            </w:r>
          </w:p>
        </w:tc>
        <w:tc>
          <w:tcPr>
            <w:tcW w:w="2094" w:type="pct"/>
            <w:tcBorders>
              <w:top w:val="single" w:color="auto" w:sz="4" w:space="0"/>
              <w:left w:val="single" w:color="auto" w:sz="4" w:space="0"/>
              <w:bottom w:val="single" w:color="auto" w:sz="4" w:space="0"/>
              <w:right w:val="nil"/>
            </w:tcBorders>
            <w:vAlign w:val="center"/>
          </w:tcPr>
          <w:p w14:paraId="27B7B5BE">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90×90</w:t>
            </w:r>
          </w:p>
        </w:tc>
      </w:tr>
      <w:tr w14:paraId="66DC32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49" w:type="pct"/>
            <w:vMerge w:val="restart"/>
            <w:tcBorders>
              <w:top w:val="single" w:color="auto" w:sz="4" w:space="0"/>
              <w:left w:val="nil"/>
              <w:bottom w:val="single" w:color="auto" w:sz="12" w:space="0"/>
              <w:right w:val="single" w:color="auto" w:sz="4" w:space="0"/>
            </w:tcBorders>
            <w:vAlign w:val="center"/>
          </w:tcPr>
          <w:p w14:paraId="715B4F15">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是否考虑海岸线熏烟</w:t>
            </w:r>
          </w:p>
        </w:tc>
        <w:tc>
          <w:tcPr>
            <w:tcW w:w="1556" w:type="pct"/>
            <w:tcBorders>
              <w:top w:val="single" w:color="auto" w:sz="4" w:space="0"/>
              <w:left w:val="single" w:color="auto" w:sz="4" w:space="0"/>
              <w:bottom w:val="single" w:color="auto" w:sz="4" w:space="0"/>
              <w:right w:val="single" w:color="auto" w:sz="4" w:space="0"/>
            </w:tcBorders>
            <w:vAlign w:val="center"/>
          </w:tcPr>
          <w:p w14:paraId="56F5C9D8">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考虑海岸线熏烟</w:t>
            </w:r>
          </w:p>
        </w:tc>
        <w:tc>
          <w:tcPr>
            <w:tcW w:w="2094" w:type="pct"/>
            <w:tcBorders>
              <w:top w:val="single" w:color="auto" w:sz="4" w:space="0"/>
              <w:left w:val="single" w:color="auto" w:sz="4" w:space="0"/>
              <w:bottom w:val="single" w:color="auto" w:sz="4" w:space="0"/>
              <w:right w:val="nil"/>
            </w:tcBorders>
            <w:vAlign w:val="center"/>
          </w:tcPr>
          <w:p w14:paraId="2E4D4EFE">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是</w:t>
            </w:r>
            <w:r>
              <w:rPr>
                <w:rFonts w:ascii="Times New Roman" w:hAnsi="Times New Roman" w:cs="Times New Roman"/>
                <w:color w:val="auto"/>
                <w:sz w:val="21"/>
                <w:lang w:eastAsia="zh-CN"/>
              </w:rPr>
              <w:sym w:font="Wingdings" w:char="00A8"/>
            </w:r>
            <w:r>
              <w:rPr>
                <w:rFonts w:ascii="Times New Roman" w:hAnsi="Times New Roman" w:cs="Times New Roman"/>
                <w:color w:val="auto"/>
                <w:sz w:val="21"/>
                <w:lang w:eastAsia="zh-CN"/>
              </w:rPr>
              <w:t xml:space="preserve">     否</w:t>
            </w:r>
            <w:r>
              <w:rPr>
                <w:rFonts w:ascii="Times New Roman" w:hAnsi="Times New Roman" w:cs="Times New Roman"/>
                <w:color w:val="auto"/>
                <w:sz w:val="21"/>
                <w:lang w:eastAsia="zh-CN"/>
              </w:rPr>
              <w:sym w:font="Wingdings" w:char="00FE"/>
            </w:r>
          </w:p>
        </w:tc>
      </w:tr>
      <w:tr w14:paraId="6CDB69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49" w:type="pct"/>
            <w:vMerge w:val="continue"/>
            <w:tcBorders>
              <w:top w:val="single" w:color="auto" w:sz="4" w:space="0"/>
              <w:left w:val="nil"/>
              <w:bottom w:val="single" w:color="auto" w:sz="12" w:space="0"/>
              <w:right w:val="single" w:color="auto" w:sz="4" w:space="0"/>
            </w:tcBorders>
            <w:vAlign w:val="center"/>
          </w:tcPr>
          <w:p w14:paraId="2897A119">
            <w:pPr>
              <w:widowControl w:val="0"/>
              <w:adjustRightInd w:val="0"/>
              <w:snapToGrid w:val="0"/>
              <w:jc w:val="center"/>
              <w:rPr>
                <w:rFonts w:ascii="Times New Roman" w:hAnsi="Times New Roman" w:cs="Times New Roman"/>
                <w:color w:val="auto"/>
                <w:sz w:val="21"/>
              </w:rPr>
            </w:pPr>
          </w:p>
        </w:tc>
        <w:tc>
          <w:tcPr>
            <w:tcW w:w="1556" w:type="pct"/>
            <w:tcBorders>
              <w:top w:val="single" w:color="auto" w:sz="4" w:space="0"/>
              <w:left w:val="single" w:color="auto" w:sz="4" w:space="0"/>
              <w:bottom w:val="single" w:color="auto" w:sz="4" w:space="0"/>
              <w:right w:val="single" w:color="auto" w:sz="4" w:space="0"/>
            </w:tcBorders>
            <w:vAlign w:val="center"/>
          </w:tcPr>
          <w:p w14:paraId="5C0C15FF">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海岸线距离/km</w:t>
            </w:r>
          </w:p>
        </w:tc>
        <w:tc>
          <w:tcPr>
            <w:tcW w:w="2094" w:type="pct"/>
            <w:tcBorders>
              <w:top w:val="single" w:color="auto" w:sz="4" w:space="0"/>
              <w:left w:val="single" w:color="auto" w:sz="4" w:space="0"/>
              <w:bottom w:val="single" w:color="auto" w:sz="4" w:space="0"/>
              <w:right w:val="nil"/>
            </w:tcBorders>
            <w:vAlign w:val="center"/>
          </w:tcPr>
          <w:p w14:paraId="56B4B047">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w:t>
            </w:r>
          </w:p>
        </w:tc>
      </w:tr>
      <w:tr w14:paraId="57C816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49" w:type="pct"/>
            <w:vMerge w:val="continue"/>
            <w:tcBorders>
              <w:top w:val="single" w:color="auto" w:sz="4" w:space="0"/>
              <w:left w:val="nil"/>
              <w:bottom w:val="single" w:color="auto" w:sz="12" w:space="0"/>
              <w:right w:val="single" w:color="auto" w:sz="4" w:space="0"/>
            </w:tcBorders>
            <w:vAlign w:val="center"/>
          </w:tcPr>
          <w:p w14:paraId="385A596A">
            <w:pPr>
              <w:widowControl w:val="0"/>
              <w:adjustRightInd w:val="0"/>
              <w:snapToGrid w:val="0"/>
              <w:jc w:val="center"/>
              <w:rPr>
                <w:rFonts w:ascii="Times New Roman" w:hAnsi="Times New Roman" w:cs="Times New Roman"/>
                <w:color w:val="auto"/>
                <w:sz w:val="21"/>
              </w:rPr>
            </w:pPr>
          </w:p>
        </w:tc>
        <w:tc>
          <w:tcPr>
            <w:tcW w:w="1556" w:type="pct"/>
            <w:tcBorders>
              <w:top w:val="single" w:color="auto" w:sz="4" w:space="0"/>
              <w:left w:val="single" w:color="auto" w:sz="4" w:space="0"/>
              <w:bottom w:val="single" w:color="auto" w:sz="12" w:space="0"/>
              <w:right w:val="single" w:color="auto" w:sz="4" w:space="0"/>
            </w:tcBorders>
            <w:vAlign w:val="center"/>
          </w:tcPr>
          <w:p w14:paraId="7D24FFCF">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海岸线方向/o</w:t>
            </w:r>
          </w:p>
        </w:tc>
        <w:tc>
          <w:tcPr>
            <w:tcW w:w="2094" w:type="pct"/>
            <w:tcBorders>
              <w:top w:val="single" w:color="auto" w:sz="4" w:space="0"/>
              <w:left w:val="single" w:color="auto" w:sz="4" w:space="0"/>
              <w:bottom w:val="single" w:color="auto" w:sz="12" w:space="0"/>
              <w:right w:val="nil"/>
            </w:tcBorders>
            <w:vAlign w:val="center"/>
          </w:tcPr>
          <w:p w14:paraId="0F76B345">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w:t>
            </w:r>
          </w:p>
        </w:tc>
      </w:tr>
    </w:tbl>
    <w:p w14:paraId="320DCAE4">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3、估算结果</w:t>
      </w:r>
    </w:p>
    <w:p w14:paraId="562D6B03">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根据《环境影响评价技术导则 大气环境》（HJ2.2-2018），大气评价工作等级估算结果见下表：</w:t>
      </w:r>
    </w:p>
    <w:p w14:paraId="374B1895">
      <w:pPr>
        <w:widowControl w:val="0"/>
        <w:spacing w:line="360" w:lineRule="auto"/>
        <w:jc w:val="center"/>
        <w:rPr>
          <w:rFonts w:ascii="Times New Roman" w:hAnsi="Times New Roman" w:eastAsia="新宋体" w:cs="Times New Roman"/>
          <w:b/>
          <w:bCs/>
          <w:color w:val="auto"/>
          <w:szCs w:val="24"/>
          <w:lang w:eastAsia="zh-CN"/>
        </w:rPr>
      </w:pPr>
    </w:p>
    <w:p w14:paraId="1750FDC9">
      <w:pPr>
        <w:widowControl w:val="0"/>
        <w:spacing w:line="360" w:lineRule="auto"/>
        <w:jc w:val="center"/>
        <w:rPr>
          <w:rFonts w:ascii="Times New Roman" w:hAnsi="Times New Roman" w:eastAsia="新宋体" w:cs="Times New Roman"/>
          <w:b/>
          <w:bCs/>
          <w:color w:val="auto"/>
          <w:szCs w:val="24"/>
          <w:lang w:eastAsia="zh-CN"/>
        </w:rPr>
      </w:pPr>
    </w:p>
    <w:p w14:paraId="276F384B">
      <w:pPr>
        <w:widowControl w:val="0"/>
        <w:spacing w:line="360" w:lineRule="auto"/>
        <w:jc w:val="center"/>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表2.4-3 大气环境影响评价工作等级确定估算结果一览表</w:t>
      </w:r>
    </w:p>
    <w:tbl>
      <w:tblPr>
        <w:tblStyle w:val="35"/>
        <w:tblW w:w="496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86"/>
        <w:gridCol w:w="1632"/>
        <w:gridCol w:w="1785"/>
        <w:gridCol w:w="1286"/>
        <w:gridCol w:w="1280"/>
        <w:gridCol w:w="1210"/>
        <w:gridCol w:w="1203"/>
      </w:tblGrid>
      <w:tr w14:paraId="324377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507" w:type="pct"/>
            <w:gridSpan w:val="2"/>
            <w:vAlign w:val="center"/>
          </w:tcPr>
          <w:p w14:paraId="70CF65CB">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14:textFill>
                  <w14:solidFill>
                    <w14:schemeClr w14:val="tx1"/>
                  </w14:solidFill>
                </w14:textFill>
              </w:rPr>
              <w:t>污染物名称</w:t>
            </w:r>
          </w:p>
        </w:tc>
        <w:tc>
          <w:tcPr>
            <w:tcW w:w="922" w:type="pct"/>
            <w:vAlign w:val="center"/>
          </w:tcPr>
          <w:p w14:paraId="5F8100B3">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14:textFill>
                  <w14:solidFill>
                    <w14:schemeClr w14:val="tx1"/>
                  </w14:solidFill>
                </w14:textFill>
              </w:rPr>
              <w:t>评价因子</w:t>
            </w:r>
          </w:p>
        </w:tc>
        <w:tc>
          <w:tcPr>
            <w:tcW w:w="664" w:type="pct"/>
            <w:vAlign w:val="center"/>
          </w:tcPr>
          <w:p w14:paraId="7304B8DA">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14:textFill>
                  <w14:solidFill>
                    <w14:schemeClr w14:val="tx1"/>
                  </w14:solidFill>
                </w14:textFill>
              </w:rPr>
              <w:t>评价标准(μg/m</w:t>
            </w:r>
            <w:r>
              <w:rPr>
                <w:rFonts w:ascii="Times New Roman" w:hAnsi="Times New Roman" w:cs="Times New Roman"/>
                <w:b/>
                <w:bCs/>
                <w:color w:val="000000" w:themeColor="text1"/>
                <w:sz w:val="21"/>
                <w:vertAlign w:val="superscript"/>
                <w14:textFill>
                  <w14:solidFill>
                    <w14:schemeClr w14:val="tx1"/>
                  </w14:solidFill>
                </w14:textFill>
              </w:rPr>
              <w:t>3</w:t>
            </w:r>
            <w:r>
              <w:rPr>
                <w:rFonts w:ascii="Times New Roman" w:hAnsi="Times New Roman" w:cs="Times New Roman"/>
                <w:b/>
                <w:bCs/>
                <w:color w:val="000000" w:themeColor="text1"/>
                <w:sz w:val="21"/>
                <w14:textFill>
                  <w14:solidFill>
                    <w14:schemeClr w14:val="tx1"/>
                  </w14:solidFill>
                </w14:textFill>
              </w:rPr>
              <w:t>)</w:t>
            </w:r>
          </w:p>
        </w:tc>
        <w:tc>
          <w:tcPr>
            <w:tcW w:w="661" w:type="pct"/>
            <w:vAlign w:val="center"/>
          </w:tcPr>
          <w:p w14:paraId="17347DA2">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14:textFill>
                  <w14:solidFill>
                    <w14:schemeClr w14:val="tx1"/>
                  </w14:solidFill>
                </w14:textFill>
              </w:rPr>
              <w:t>C</w:t>
            </w:r>
            <w:r>
              <w:rPr>
                <w:rFonts w:ascii="Times New Roman" w:hAnsi="Times New Roman" w:cs="Times New Roman"/>
                <w:b/>
                <w:bCs/>
                <w:color w:val="000000" w:themeColor="text1"/>
                <w:sz w:val="21"/>
                <w:vertAlign w:val="subscript"/>
                <w14:textFill>
                  <w14:solidFill>
                    <w14:schemeClr w14:val="tx1"/>
                  </w14:solidFill>
                </w14:textFill>
              </w:rPr>
              <w:t>max</w:t>
            </w:r>
          </w:p>
          <w:p w14:paraId="53C45BD5">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14:textFill>
                  <w14:solidFill>
                    <w14:schemeClr w14:val="tx1"/>
                  </w14:solidFill>
                </w14:textFill>
              </w:rPr>
              <w:t>(μg/m</w:t>
            </w:r>
            <w:r>
              <w:rPr>
                <w:rFonts w:ascii="Times New Roman" w:hAnsi="Times New Roman" w:cs="Times New Roman"/>
                <w:b/>
                <w:bCs/>
                <w:color w:val="000000" w:themeColor="text1"/>
                <w:sz w:val="21"/>
                <w:vertAlign w:val="superscript"/>
                <w14:textFill>
                  <w14:solidFill>
                    <w14:schemeClr w14:val="tx1"/>
                  </w14:solidFill>
                </w14:textFill>
              </w:rPr>
              <w:t>3</w:t>
            </w:r>
            <w:r>
              <w:rPr>
                <w:rFonts w:ascii="Times New Roman" w:hAnsi="Times New Roman" w:cs="Times New Roman"/>
                <w:b/>
                <w:bCs/>
                <w:color w:val="000000" w:themeColor="text1"/>
                <w:sz w:val="21"/>
                <w14:textFill>
                  <w14:solidFill>
                    <w14:schemeClr w14:val="tx1"/>
                  </w14:solidFill>
                </w14:textFill>
              </w:rPr>
              <w:t>)</w:t>
            </w:r>
          </w:p>
        </w:tc>
        <w:tc>
          <w:tcPr>
            <w:tcW w:w="625" w:type="pct"/>
            <w:vAlign w:val="center"/>
          </w:tcPr>
          <w:p w14:paraId="2F03EC1F">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14:textFill>
                  <w14:solidFill>
                    <w14:schemeClr w14:val="tx1"/>
                  </w14:solidFill>
                </w14:textFill>
              </w:rPr>
              <w:t>P</w:t>
            </w:r>
            <w:r>
              <w:rPr>
                <w:rFonts w:ascii="Times New Roman" w:hAnsi="Times New Roman" w:cs="Times New Roman"/>
                <w:b/>
                <w:bCs/>
                <w:color w:val="000000" w:themeColor="text1"/>
                <w:sz w:val="21"/>
                <w:vertAlign w:val="subscript"/>
                <w14:textFill>
                  <w14:solidFill>
                    <w14:schemeClr w14:val="tx1"/>
                  </w14:solidFill>
                </w14:textFill>
              </w:rPr>
              <w:t>max</w:t>
            </w:r>
          </w:p>
          <w:p w14:paraId="448630C3">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14:textFill>
                  <w14:solidFill>
                    <w14:schemeClr w14:val="tx1"/>
                  </w14:solidFill>
                </w14:textFill>
              </w:rPr>
              <w:t>(%)</w:t>
            </w:r>
          </w:p>
        </w:tc>
        <w:tc>
          <w:tcPr>
            <w:tcW w:w="621" w:type="pct"/>
            <w:vAlign w:val="center"/>
          </w:tcPr>
          <w:p w14:paraId="6B0977F6">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14:textFill>
                  <w14:solidFill>
                    <w14:schemeClr w14:val="tx1"/>
                  </w14:solidFill>
                </w14:textFill>
              </w:rPr>
              <w:t>D</w:t>
            </w:r>
            <w:r>
              <w:rPr>
                <w:rFonts w:ascii="Times New Roman" w:hAnsi="Times New Roman" w:cs="Times New Roman"/>
                <w:b/>
                <w:bCs/>
                <w:color w:val="000000" w:themeColor="text1"/>
                <w:sz w:val="21"/>
                <w:vertAlign w:val="subscript"/>
                <w14:textFill>
                  <w14:solidFill>
                    <w14:schemeClr w14:val="tx1"/>
                  </w14:solidFill>
                </w14:textFill>
              </w:rPr>
              <w:t>10%</w:t>
            </w:r>
          </w:p>
          <w:p w14:paraId="654C1160">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14:textFill>
                  <w14:solidFill>
                    <w14:schemeClr w14:val="tx1"/>
                  </w14:solidFill>
                </w14:textFill>
              </w:rPr>
              <w:t>(m)</w:t>
            </w:r>
          </w:p>
        </w:tc>
      </w:tr>
      <w:tr w14:paraId="76933C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4" w:type="pct"/>
            <w:vMerge w:val="restart"/>
            <w:vAlign w:val="center"/>
          </w:tcPr>
          <w:p w14:paraId="6140CBDF">
            <w:pPr>
              <w:widowControl w:val="0"/>
              <w:adjustRightInd w:val="0"/>
              <w:snapToGrid w:val="0"/>
              <w:jc w:val="center"/>
              <w:rPr>
                <w:rFonts w:ascii="Times New Roman" w:hAnsi="Times New Roman" w:cs="Times New Roman"/>
                <w:bCs/>
                <w:color w:val="000000" w:themeColor="text1"/>
                <w:sz w:val="21"/>
                <w14:textFill>
                  <w14:solidFill>
                    <w14:schemeClr w14:val="tx1"/>
                  </w14:solidFill>
                </w14:textFill>
              </w:rPr>
            </w:pPr>
            <w:r>
              <w:rPr>
                <w:rFonts w:ascii="Times New Roman" w:hAnsi="Times New Roman" w:cs="Times New Roman"/>
                <w:bCs/>
                <w:color w:val="000000" w:themeColor="text1"/>
                <w:sz w:val="21"/>
                <w14:textFill>
                  <w14:solidFill>
                    <w14:schemeClr w14:val="tx1"/>
                  </w14:solidFill>
                </w14:textFill>
              </w:rPr>
              <w:t>有组织</w:t>
            </w:r>
          </w:p>
        </w:tc>
        <w:tc>
          <w:tcPr>
            <w:tcW w:w="843" w:type="pct"/>
            <w:vMerge w:val="restart"/>
            <w:vAlign w:val="center"/>
          </w:tcPr>
          <w:p w14:paraId="0DDA1CE1">
            <w:pPr>
              <w:widowControl w:val="0"/>
              <w:adjustRightInd w:val="0"/>
              <w:snapToGrid w:val="0"/>
              <w:jc w:val="center"/>
              <w:rPr>
                <w:rFonts w:ascii="Times New Roman" w:hAnsi="Times New Roman" w:cs="Times New Roman"/>
                <w:bCs/>
                <w:color w:val="000000" w:themeColor="text1"/>
                <w:sz w:val="21"/>
                <w14:textFill>
                  <w14:solidFill>
                    <w14:schemeClr w14:val="tx1"/>
                  </w14:solidFill>
                </w14:textFill>
              </w:rPr>
            </w:pPr>
            <w:r>
              <w:rPr>
                <w:rFonts w:ascii="Times New Roman" w:hAnsi="Times New Roman" w:cs="Times New Roman"/>
                <w:bCs/>
                <w:color w:val="000000" w:themeColor="text1"/>
                <w:sz w:val="21"/>
                <w:lang w:eastAsia="zh-CN"/>
                <w14:textFill>
                  <w14:solidFill>
                    <w14:schemeClr w14:val="tx1"/>
                  </w14:solidFill>
                </w14:textFill>
              </w:rPr>
              <w:t>DA00</w:t>
            </w:r>
            <w:r>
              <w:rPr>
                <w:rFonts w:hint="eastAsia" w:ascii="Times New Roman" w:hAnsi="Times New Roman" w:cs="Times New Roman"/>
                <w:bCs/>
                <w:color w:val="000000" w:themeColor="text1"/>
                <w:sz w:val="21"/>
                <w:lang w:eastAsia="zh-CN"/>
                <w14:textFill>
                  <w14:solidFill>
                    <w14:schemeClr w14:val="tx1"/>
                  </w14:solidFill>
                </w14:textFill>
              </w:rPr>
              <w:t>1</w:t>
            </w:r>
            <w:r>
              <w:rPr>
                <w:rFonts w:ascii="Times New Roman" w:hAnsi="Times New Roman" w:cs="Times New Roman"/>
                <w:bCs/>
                <w:color w:val="000000" w:themeColor="text1"/>
                <w:sz w:val="21"/>
                <w14:textFill>
                  <w14:solidFill>
                    <w14:schemeClr w14:val="tx1"/>
                  </w14:solidFill>
                </w14:textFill>
              </w:rPr>
              <w:t>排气筒</w:t>
            </w:r>
          </w:p>
        </w:tc>
        <w:tc>
          <w:tcPr>
            <w:tcW w:w="922" w:type="pct"/>
            <w:vAlign w:val="center"/>
          </w:tcPr>
          <w:p w14:paraId="0392A8AD">
            <w:pPr>
              <w:widowControl w:val="0"/>
              <w:adjustRightInd w:val="0"/>
              <w:snapToGrid w:val="0"/>
              <w:jc w:val="center"/>
              <w:rPr>
                <w:rFonts w:ascii="Times New Roman" w:hAnsi="Times New Roman" w:cs="Times New Roman"/>
                <w:bCs/>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氟化物</w:t>
            </w:r>
          </w:p>
        </w:tc>
        <w:tc>
          <w:tcPr>
            <w:tcW w:w="664" w:type="pct"/>
            <w:vAlign w:val="center"/>
          </w:tcPr>
          <w:p w14:paraId="2C5DAC85">
            <w:pPr>
              <w:widowControl w:val="0"/>
              <w:adjustRightInd w:val="0"/>
              <w:snapToGrid w:val="0"/>
              <w:jc w:val="center"/>
              <w:rPr>
                <w:rFonts w:ascii="Times New Roman" w:hAnsi="Times New Roman" w:cs="Times New Roman"/>
                <w:bCs/>
                <w:color w:val="000000" w:themeColor="text1"/>
                <w:sz w:val="21"/>
                <w:lang w:eastAsia="zh-CN"/>
                <w14:textFill>
                  <w14:solidFill>
                    <w14:schemeClr w14:val="tx1"/>
                  </w14:solidFill>
                </w14:textFill>
              </w:rPr>
            </w:pPr>
            <w:r>
              <w:rPr>
                <w:rFonts w:ascii="Times New Roman" w:hAnsi="Times New Roman" w:cs="Times New Roman"/>
                <w:bCs/>
                <w:color w:val="000000" w:themeColor="text1"/>
                <w:kern w:val="2"/>
                <w:sz w:val="21"/>
                <w:lang w:eastAsia="zh-CN"/>
                <w14:textFill>
                  <w14:solidFill>
                    <w14:schemeClr w14:val="tx1"/>
                  </w14:solidFill>
                </w14:textFill>
              </w:rPr>
              <w:t>20</w:t>
            </w:r>
          </w:p>
        </w:tc>
        <w:tc>
          <w:tcPr>
            <w:tcW w:w="661" w:type="pct"/>
            <w:vAlign w:val="center"/>
          </w:tcPr>
          <w:p w14:paraId="20B04296">
            <w:pPr>
              <w:widowControl w:val="0"/>
              <w:adjustRightInd w:val="0"/>
              <w:snapToGrid w:val="0"/>
              <w:jc w:val="center"/>
              <w:rPr>
                <w:rFonts w:ascii="Times New Roman" w:hAnsi="Times New Roman" w:cs="Times New Roman"/>
                <w:bCs/>
                <w:color w:val="000000" w:themeColor="text1"/>
                <w:sz w:val="21"/>
                <w:lang w:eastAsia="zh-CN"/>
                <w14:textFill>
                  <w14:solidFill>
                    <w14:schemeClr w14:val="tx1"/>
                  </w14:solidFill>
                </w14:textFill>
              </w:rPr>
            </w:pPr>
            <w:r>
              <w:rPr>
                <w:rFonts w:hint="eastAsia" w:ascii="Times New Roman" w:hAnsi="Times New Roman" w:cs="Times New Roman"/>
                <w:bCs/>
                <w:color w:val="000000" w:themeColor="text1"/>
                <w:sz w:val="21"/>
                <w:lang w:eastAsia="zh-CN"/>
                <w14:textFill>
                  <w14:solidFill>
                    <w14:schemeClr w14:val="tx1"/>
                  </w14:solidFill>
                </w14:textFill>
              </w:rPr>
              <w:t>1.73</w:t>
            </w:r>
            <w:r>
              <w:rPr>
                <w:rFonts w:ascii="Times New Roman" w:hAnsi="Times New Roman" w:cs="Times New Roman"/>
                <w:bCs/>
                <w:color w:val="000000" w:themeColor="text1"/>
                <w:sz w:val="21"/>
                <w:lang w:eastAsia="zh-CN"/>
                <w14:textFill>
                  <w14:solidFill>
                    <w14:schemeClr w14:val="tx1"/>
                  </w14:solidFill>
                </w14:textFill>
              </w:rPr>
              <w:t>E+00</w:t>
            </w:r>
          </w:p>
        </w:tc>
        <w:tc>
          <w:tcPr>
            <w:tcW w:w="625" w:type="pct"/>
            <w:vAlign w:val="center"/>
          </w:tcPr>
          <w:p w14:paraId="24F726EC">
            <w:pPr>
              <w:widowControl w:val="0"/>
              <w:adjustRightInd w:val="0"/>
              <w:snapToGrid w:val="0"/>
              <w:jc w:val="center"/>
              <w:rPr>
                <w:rFonts w:ascii="Times New Roman" w:hAnsi="Times New Roman" w:cs="Times New Roman"/>
                <w:bCs/>
                <w:color w:val="000000" w:themeColor="text1"/>
                <w:sz w:val="21"/>
                <w:lang w:eastAsia="zh-CN"/>
                <w14:textFill>
                  <w14:solidFill>
                    <w14:schemeClr w14:val="tx1"/>
                  </w14:solidFill>
                </w14:textFill>
              </w:rPr>
            </w:pPr>
            <w:r>
              <w:rPr>
                <w:rFonts w:hint="eastAsia" w:ascii="Times New Roman" w:hAnsi="Times New Roman" w:cs="Times New Roman"/>
                <w:bCs/>
                <w:color w:val="000000" w:themeColor="text1"/>
                <w:sz w:val="21"/>
                <w:lang w:eastAsia="zh-CN"/>
                <w14:textFill>
                  <w14:solidFill>
                    <w14:schemeClr w14:val="tx1"/>
                  </w14:solidFill>
                </w14:textFill>
              </w:rPr>
              <w:t>8.65</w:t>
            </w:r>
          </w:p>
        </w:tc>
        <w:tc>
          <w:tcPr>
            <w:tcW w:w="621" w:type="pct"/>
            <w:vAlign w:val="center"/>
          </w:tcPr>
          <w:p w14:paraId="389CE894">
            <w:pPr>
              <w:widowControl w:val="0"/>
              <w:adjustRightInd w:val="0"/>
              <w:snapToGrid w:val="0"/>
              <w:jc w:val="center"/>
              <w:rPr>
                <w:rFonts w:ascii="Times New Roman" w:hAnsi="Times New Roman" w:cs="Times New Roman"/>
                <w:bCs/>
                <w:color w:val="000000" w:themeColor="text1"/>
                <w:sz w:val="21"/>
                <w:lang w:eastAsia="zh-CN"/>
                <w14:textFill>
                  <w14:solidFill>
                    <w14:schemeClr w14:val="tx1"/>
                  </w14:solidFill>
                </w14:textFill>
              </w:rPr>
            </w:pPr>
            <w:r>
              <w:rPr>
                <w:rFonts w:ascii="Times New Roman" w:hAnsi="Times New Roman" w:cs="Times New Roman"/>
                <w:bCs/>
                <w:color w:val="000000" w:themeColor="text1"/>
                <w:sz w:val="21"/>
                <w:lang w:eastAsia="zh-CN"/>
                <w14:textFill>
                  <w14:solidFill>
                    <w14:schemeClr w14:val="tx1"/>
                  </w14:solidFill>
                </w14:textFill>
              </w:rPr>
              <w:t>/</w:t>
            </w:r>
          </w:p>
        </w:tc>
      </w:tr>
      <w:tr w14:paraId="758DB9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4" w:type="pct"/>
            <w:vMerge w:val="continue"/>
            <w:vAlign w:val="center"/>
          </w:tcPr>
          <w:p w14:paraId="0976609C">
            <w:pPr>
              <w:widowControl w:val="0"/>
              <w:adjustRightInd w:val="0"/>
              <w:snapToGrid w:val="0"/>
              <w:jc w:val="center"/>
              <w:rPr>
                <w:rFonts w:ascii="Times New Roman" w:hAnsi="Times New Roman" w:cs="Times New Roman"/>
                <w:bCs/>
                <w:color w:val="000000" w:themeColor="text1"/>
                <w:sz w:val="21"/>
                <w:lang w:eastAsia="zh-CN"/>
                <w14:textFill>
                  <w14:solidFill>
                    <w14:schemeClr w14:val="tx1"/>
                  </w14:solidFill>
                </w14:textFill>
              </w:rPr>
            </w:pPr>
          </w:p>
        </w:tc>
        <w:tc>
          <w:tcPr>
            <w:tcW w:w="843" w:type="pct"/>
            <w:vMerge w:val="continue"/>
            <w:vAlign w:val="center"/>
          </w:tcPr>
          <w:p w14:paraId="1D64F127">
            <w:pPr>
              <w:widowControl w:val="0"/>
              <w:adjustRightInd w:val="0"/>
              <w:snapToGrid w:val="0"/>
              <w:jc w:val="center"/>
              <w:rPr>
                <w:rFonts w:ascii="Times New Roman" w:hAnsi="Times New Roman" w:cs="Times New Roman"/>
                <w:bCs/>
                <w:color w:val="000000" w:themeColor="text1"/>
                <w:sz w:val="21"/>
                <w:lang w:eastAsia="zh-CN"/>
                <w14:textFill>
                  <w14:solidFill>
                    <w14:schemeClr w14:val="tx1"/>
                  </w14:solidFill>
                </w14:textFill>
              </w:rPr>
            </w:pPr>
          </w:p>
        </w:tc>
        <w:tc>
          <w:tcPr>
            <w:tcW w:w="922" w:type="pct"/>
            <w:vAlign w:val="center"/>
          </w:tcPr>
          <w:p w14:paraId="44842CA6">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氯化氢</w:t>
            </w:r>
          </w:p>
        </w:tc>
        <w:tc>
          <w:tcPr>
            <w:tcW w:w="664" w:type="pct"/>
            <w:vAlign w:val="center"/>
          </w:tcPr>
          <w:p w14:paraId="1DB1C116">
            <w:pPr>
              <w:widowControl w:val="0"/>
              <w:adjustRightInd w:val="0"/>
              <w:snapToGrid w:val="0"/>
              <w:jc w:val="center"/>
              <w:rPr>
                <w:rFonts w:ascii="Times New Roman" w:hAnsi="Times New Roman" w:cs="Times New Roman"/>
                <w:bCs/>
                <w:color w:val="000000" w:themeColor="text1"/>
                <w:kern w:val="2"/>
                <w:sz w:val="21"/>
                <w:lang w:eastAsia="zh-CN"/>
                <w14:textFill>
                  <w14:solidFill>
                    <w14:schemeClr w14:val="tx1"/>
                  </w14:solidFill>
                </w14:textFill>
              </w:rPr>
            </w:pPr>
            <w:r>
              <w:rPr>
                <w:rFonts w:hint="eastAsia" w:ascii="Times New Roman" w:hAnsi="Times New Roman" w:cs="Times New Roman"/>
                <w:bCs/>
                <w:color w:val="000000" w:themeColor="text1"/>
                <w:kern w:val="2"/>
                <w:sz w:val="21"/>
                <w:lang w:eastAsia="zh-CN"/>
                <w14:textFill>
                  <w14:solidFill>
                    <w14:schemeClr w14:val="tx1"/>
                  </w14:solidFill>
                </w14:textFill>
              </w:rPr>
              <w:t>50</w:t>
            </w:r>
          </w:p>
        </w:tc>
        <w:tc>
          <w:tcPr>
            <w:tcW w:w="661" w:type="pct"/>
            <w:vAlign w:val="center"/>
          </w:tcPr>
          <w:p w14:paraId="4749283B">
            <w:pPr>
              <w:widowControl w:val="0"/>
              <w:adjustRightInd w:val="0"/>
              <w:snapToGrid w:val="0"/>
              <w:jc w:val="center"/>
              <w:rPr>
                <w:rFonts w:ascii="Times New Roman" w:hAnsi="Times New Roman" w:cs="Times New Roman"/>
                <w:bCs/>
                <w:color w:val="000000" w:themeColor="text1"/>
                <w:sz w:val="21"/>
                <w:lang w:eastAsia="zh-CN"/>
                <w14:textFill>
                  <w14:solidFill>
                    <w14:schemeClr w14:val="tx1"/>
                  </w14:solidFill>
                </w14:textFill>
              </w:rPr>
            </w:pPr>
            <w:r>
              <w:rPr>
                <w:rFonts w:ascii="Times New Roman" w:hAnsi="Times New Roman" w:cs="Times New Roman"/>
                <w:bCs/>
                <w:color w:val="000000" w:themeColor="text1"/>
                <w:sz w:val="21"/>
                <w:lang w:eastAsia="zh-CN"/>
                <w14:textFill>
                  <w14:solidFill>
                    <w14:schemeClr w14:val="tx1"/>
                  </w14:solidFill>
                </w14:textFill>
              </w:rPr>
              <w:t>3.75E-02</w:t>
            </w:r>
          </w:p>
        </w:tc>
        <w:tc>
          <w:tcPr>
            <w:tcW w:w="625" w:type="pct"/>
            <w:vAlign w:val="center"/>
          </w:tcPr>
          <w:p w14:paraId="5C9944F6">
            <w:pPr>
              <w:widowControl w:val="0"/>
              <w:adjustRightInd w:val="0"/>
              <w:snapToGrid w:val="0"/>
              <w:jc w:val="center"/>
              <w:rPr>
                <w:rFonts w:ascii="Times New Roman" w:hAnsi="Times New Roman" w:cs="Times New Roman"/>
                <w:bCs/>
                <w:color w:val="000000" w:themeColor="text1"/>
                <w:sz w:val="21"/>
                <w:lang w:eastAsia="zh-CN"/>
                <w14:textFill>
                  <w14:solidFill>
                    <w14:schemeClr w14:val="tx1"/>
                  </w14:solidFill>
                </w14:textFill>
              </w:rPr>
            </w:pPr>
            <w:r>
              <w:rPr>
                <w:rFonts w:hint="eastAsia" w:ascii="Times New Roman" w:hAnsi="Times New Roman" w:cs="Times New Roman"/>
                <w:bCs/>
                <w:color w:val="000000" w:themeColor="text1"/>
                <w:sz w:val="21"/>
                <w:lang w:eastAsia="zh-CN"/>
                <w14:textFill>
                  <w14:solidFill>
                    <w14:schemeClr w14:val="tx1"/>
                  </w14:solidFill>
                </w14:textFill>
              </w:rPr>
              <w:t>0.07</w:t>
            </w:r>
          </w:p>
        </w:tc>
        <w:tc>
          <w:tcPr>
            <w:tcW w:w="621" w:type="pct"/>
            <w:vAlign w:val="center"/>
          </w:tcPr>
          <w:p w14:paraId="7EF76FEC">
            <w:pPr>
              <w:widowControl w:val="0"/>
              <w:adjustRightInd w:val="0"/>
              <w:snapToGrid w:val="0"/>
              <w:jc w:val="center"/>
              <w:rPr>
                <w:rFonts w:ascii="Times New Roman" w:hAnsi="Times New Roman" w:cs="Times New Roman"/>
                <w:bCs/>
                <w:color w:val="000000" w:themeColor="text1"/>
                <w:sz w:val="21"/>
                <w:lang w:eastAsia="zh-CN"/>
                <w14:textFill>
                  <w14:solidFill>
                    <w14:schemeClr w14:val="tx1"/>
                  </w14:solidFill>
                </w14:textFill>
              </w:rPr>
            </w:pPr>
            <w:r>
              <w:rPr>
                <w:rFonts w:hint="eastAsia" w:ascii="Times New Roman" w:hAnsi="Times New Roman" w:cs="Times New Roman"/>
                <w:bCs/>
                <w:color w:val="000000" w:themeColor="text1"/>
                <w:sz w:val="21"/>
                <w:lang w:eastAsia="zh-CN"/>
                <w14:textFill>
                  <w14:solidFill>
                    <w14:schemeClr w14:val="tx1"/>
                  </w14:solidFill>
                </w14:textFill>
              </w:rPr>
              <w:t>/</w:t>
            </w:r>
          </w:p>
        </w:tc>
      </w:tr>
      <w:tr w14:paraId="1EEA2B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64" w:type="pct"/>
            <w:vAlign w:val="center"/>
          </w:tcPr>
          <w:p w14:paraId="4496DBDC">
            <w:pPr>
              <w:widowControl w:val="0"/>
              <w:adjustRightInd w:val="0"/>
              <w:snapToGrid w:val="0"/>
              <w:jc w:val="center"/>
              <w:rPr>
                <w:rFonts w:ascii="Times New Roman" w:hAnsi="Times New Roman" w:cs="Times New Roman"/>
                <w:bCs/>
                <w:color w:val="000000" w:themeColor="text1"/>
                <w:sz w:val="21"/>
                <w14:textFill>
                  <w14:solidFill>
                    <w14:schemeClr w14:val="tx1"/>
                  </w14:solidFill>
                </w14:textFill>
              </w:rPr>
            </w:pPr>
            <w:r>
              <w:rPr>
                <w:rFonts w:ascii="Times New Roman" w:hAnsi="Times New Roman" w:cs="Times New Roman"/>
                <w:bCs/>
                <w:color w:val="000000" w:themeColor="text1"/>
                <w:sz w:val="21"/>
                <w14:textFill>
                  <w14:solidFill>
                    <w14:schemeClr w14:val="tx1"/>
                  </w14:solidFill>
                </w14:textFill>
              </w:rPr>
              <w:t>无组织</w:t>
            </w:r>
          </w:p>
        </w:tc>
        <w:tc>
          <w:tcPr>
            <w:tcW w:w="843" w:type="pct"/>
            <w:vAlign w:val="center"/>
          </w:tcPr>
          <w:p w14:paraId="6A7D60AF">
            <w:pPr>
              <w:widowControl w:val="0"/>
              <w:adjustRightInd w:val="0"/>
              <w:snapToGrid w:val="0"/>
              <w:jc w:val="center"/>
              <w:rPr>
                <w:rFonts w:ascii="Times New Roman" w:hAnsi="Times New Roman" w:cs="Times New Roman"/>
                <w:bCs/>
                <w:color w:val="000000" w:themeColor="text1"/>
                <w:sz w:val="21"/>
                <w14:textFill>
                  <w14:solidFill>
                    <w14:schemeClr w14:val="tx1"/>
                  </w14:solidFill>
                </w14:textFill>
              </w:rPr>
            </w:pPr>
            <w:r>
              <w:rPr>
                <w:rFonts w:hint="eastAsia" w:ascii="Times New Roman" w:hAnsi="Times New Roman" w:cs="Times New Roman"/>
                <w:bCs/>
                <w:color w:val="000000" w:themeColor="text1"/>
                <w:sz w:val="21"/>
                <w:lang w:eastAsia="zh-CN"/>
                <w14:textFill>
                  <w14:solidFill>
                    <w14:schemeClr w14:val="tx1"/>
                  </w14:solidFill>
                </w14:textFill>
              </w:rPr>
              <w:t>综合</w:t>
            </w:r>
            <w:r>
              <w:rPr>
                <w:rFonts w:ascii="Times New Roman" w:hAnsi="Times New Roman" w:cs="Times New Roman"/>
                <w:bCs/>
                <w:color w:val="000000" w:themeColor="text1"/>
                <w:sz w:val="21"/>
                <w:lang w:eastAsia="zh-CN"/>
                <w14:textFill>
                  <w14:solidFill>
                    <w14:schemeClr w14:val="tx1"/>
                  </w14:solidFill>
                </w14:textFill>
              </w:rPr>
              <w:t>车间</w:t>
            </w:r>
          </w:p>
        </w:tc>
        <w:tc>
          <w:tcPr>
            <w:tcW w:w="922" w:type="pct"/>
            <w:vAlign w:val="center"/>
          </w:tcPr>
          <w:p w14:paraId="66F30AA4">
            <w:pPr>
              <w:widowControl w:val="0"/>
              <w:adjustRightInd w:val="0"/>
              <w:snapToGrid w:val="0"/>
              <w:jc w:val="center"/>
              <w:textAlignment w:val="center"/>
              <w:rPr>
                <w:rFonts w:ascii="Times New Roman" w:hAnsi="Times New Roman" w:cs="Times New Roman"/>
                <w:bCs/>
                <w:color w:val="000000" w:themeColor="text1"/>
                <w:kern w:val="2"/>
                <w:sz w:val="18"/>
                <w:szCs w:val="18"/>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氟化物</w:t>
            </w:r>
          </w:p>
        </w:tc>
        <w:tc>
          <w:tcPr>
            <w:tcW w:w="664" w:type="pct"/>
            <w:vAlign w:val="center"/>
          </w:tcPr>
          <w:p w14:paraId="14EC1317">
            <w:pPr>
              <w:widowControl w:val="0"/>
              <w:adjustRightInd w:val="0"/>
              <w:snapToGrid w:val="0"/>
              <w:jc w:val="center"/>
              <w:rPr>
                <w:rFonts w:ascii="Times New Roman" w:hAnsi="Times New Roman" w:cs="Times New Roman"/>
                <w:bCs/>
                <w:color w:val="000000" w:themeColor="text1"/>
                <w:kern w:val="2"/>
                <w:sz w:val="21"/>
                <w:lang w:eastAsia="zh-CN"/>
                <w14:textFill>
                  <w14:solidFill>
                    <w14:schemeClr w14:val="tx1"/>
                  </w14:solidFill>
                </w14:textFill>
              </w:rPr>
            </w:pPr>
            <w:r>
              <w:rPr>
                <w:rFonts w:ascii="Times New Roman" w:hAnsi="Times New Roman" w:cs="Times New Roman"/>
                <w:bCs/>
                <w:color w:val="000000" w:themeColor="text1"/>
                <w:kern w:val="2"/>
                <w:sz w:val="21"/>
                <w:lang w:eastAsia="zh-CN"/>
                <w14:textFill>
                  <w14:solidFill>
                    <w14:schemeClr w14:val="tx1"/>
                  </w14:solidFill>
                </w14:textFill>
              </w:rPr>
              <w:t>20</w:t>
            </w:r>
          </w:p>
        </w:tc>
        <w:tc>
          <w:tcPr>
            <w:tcW w:w="661" w:type="pct"/>
            <w:vAlign w:val="center"/>
          </w:tcPr>
          <w:p w14:paraId="3FA52735">
            <w:pPr>
              <w:widowControl w:val="0"/>
              <w:adjustRightInd w:val="0"/>
              <w:snapToGrid w:val="0"/>
              <w:jc w:val="center"/>
              <w:rPr>
                <w:rFonts w:ascii="Times New Roman" w:hAnsi="Times New Roman" w:cs="Times New Roman"/>
                <w:bCs/>
                <w:color w:val="000000" w:themeColor="text1"/>
                <w:sz w:val="21"/>
                <w:lang w:eastAsia="zh-CN"/>
                <w14:textFill>
                  <w14:solidFill>
                    <w14:schemeClr w14:val="tx1"/>
                  </w14:solidFill>
                </w14:textFill>
              </w:rPr>
            </w:pPr>
            <w:r>
              <w:rPr>
                <w:rFonts w:ascii="Times New Roman" w:hAnsi="Times New Roman" w:cs="Times New Roman"/>
                <w:bCs/>
                <w:color w:val="000000" w:themeColor="text1"/>
                <w:sz w:val="21"/>
                <w:lang w:eastAsia="zh-CN"/>
                <w14:textFill>
                  <w14:solidFill>
                    <w14:schemeClr w14:val="tx1"/>
                  </w14:solidFill>
                </w14:textFill>
              </w:rPr>
              <w:t>3.38E+00</w:t>
            </w:r>
          </w:p>
        </w:tc>
        <w:tc>
          <w:tcPr>
            <w:tcW w:w="625" w:type="pct"/>
            <w:vAlign w:val="center"/>
          </w:tcPr>
          <w:p w14:paraId="3DDDEB87">
            <w:pPr>
              <w:widowControl w:val="0"/>
              <w:adjustRightInd w:val="0"/>
              <w:snapToGrid w:val="0"/>
              <w:jc w:val="center"/>
              <w:rPr>
                <w:rFonts w:ascii="Times New Roman" w:hAnsi="Times New Roman" w:cs="Times New Roman"/>
                <w:bCs/>
                <w:color w:val="000000" w:themeColor="text1"/>
                <w:sz w:val="21"/>
                <w:lang w:eastAsia="zh-CN"/>
                <w14:textFill>
                  <w14:solidFill>
                    <w14:schemeClr w14:val="tx1"/>
                  </w14:solidFill>
                </w14:textFill>
              </w:rPr>
            </w:pPr>
            <w:r>
              <w:rPr>
                <w:rFonts w:hint="eastAsia" w:ascii="Times New Roman" w:hAnsi="Times New Roman" w:cs="Times New Roman"/>
                <w:bCs/>
                <w:color w:val="000000" w:themeColor="text1"/>
                <w:sz w:val="21"/>
                <w:lang w:eastAsia="zh-CN"/>
                <w14:textFill>
                  <w14:solidFill>
                    <w14:schemeClr w14:val="tx1"/>
                  </w14:solidFill>
                </w14:textFill>
              </w:rPr>
              <w:t>16.9</w:t>
            </w:r>
          </w:p>
        </w:tc>
        <w:tc>
          <w:tcPr>
            <w:tcW w:w="621" w:type="pct"/>
            <w:vAlign w:val="center"/>
          </w:tcPr>
          <w:p w14:paraId="05A17AA1">
            <w:pPr>
              <w:widowControl w:val="0"/>
              <w:adjustRightInd w:val="0"/>
              <w:snapToGrid w:val="0"/>
              <w:jc w:val="center"/>
              <w:rPr>
                <w:rFonts w:ascii="Times New Roman" w:hAnsi="Times New Roman" w:cs="Times New Roman"/>
                <w:bCs/>
                <w:color w:val="000000" w:themeColor="text1"/>
                <w:sz w:val="21"/>
                <w:lang w:eastAsia="zh-CN"/>
                <w14:textFill>
                  <w14:solidFill>
                    <w14:schemeClr w14:val="tx1"/>
                  </w14:solidFill>
                </w14:textFill>
              </w:rPr>
            </w:pPr>
            <w:r>
              <w:rPr>
                <w:rFonts w:hint="eastAsia" w:ascii="Times New Roman" w:hAnsi="Times New Roman" w:cs="Times New Roman"/>
                <w:bCs/>
                <w:color w:val="000000" w:themeColor="text1"/>
                <w:sz w:val="21"/>
                <w:lang w:eastAsia="zh-CN"/>
                <w14:textFill>
                  <w14:solidFill>
                    <w14:schemeClr w14:val="tx1"/>
                  </w14:solidFill>
                </w14:textFill>
              </w:rPr>
              <w:t>250</w:t>
            </w:r>
          </w:p>
        </w:tc>
      </w:tr>
    </w:tbl>
    <w:p w14:paraId="507F67D4">
      <w:pPr>
        <w:widowControl w:val="0"/>
        <w:topLinePunct/>
        <w:spacing w:line="360" w:lineRule="auto"/>
        <w:ind w:firstLine="480" w:firstLineChars="200"/>
        <w:jc w:val="both"/>
        <w:rPr>
          <w:rFonts w:ascii="Times New Roman" w:hAnsi="Times New Roman" w:eastAsia="新宋体" w:cs="Times New Roman"/>
          <w:color w:val="000000" w:themeColor="text1"/>
          <w:szCs w:val="24"/>
          <w:lang w:eastAsia="zh-CN"/>
          <w14:textFill>
            <w14:solidFill>
              <w14:schemeClr w14:val="tx1"/>
            </w14:solidFill>
          </w14:textFill>
        </w:rPr>
      </w:pPr>
      <w:r>
        <w:rPr>
          <w:rFonts w:ascii="Times New Roman" w:hAnsi="Times New Roman" w:eastAsia="新宋体" w:cs="Times New Roman"/>
          <w:color w:val="000000" w:themeColor="text1"/>
          <w:szCs w:val="24"/>
          <w:lang w:eastAsia="zh-CN"/>
          <w14:textFill>
            <w14:solidFill>
              <w14:schemeClr w14:val="tx1"/>
            </w14:solidFill>
          </w14:textFill>
        </w:rPr>
        <w:t>由上表可知，本项目污染物最大落地浓度为</w:t>
      </w:r>
      <w:r>
        <w:rPr>
          <w:rFonts w:hint="eastAsia" w:ascii="Times New Roman" w:hAnsi="Times New Roman" w:eastAsia="新宋体" w:cs="Times New Roman"/>
          <w:color w:val="000000" w:themeColor="text1"/>
          <w:szCs w:val="24"/>
          <w:lang w:eastAsia="zh-CN"/>
          <w14:textFill>
            <w14:solidFill>
              <w14:schemeClr w14:val="tx1"/>
            </w14:solidFill>
          </w14:textFill>
        </w:rPr>
        <w:t>无</w:t>
      </w:r>
      <w:r>
        <w:rPr>
          <w:rFonts w:ascii="Times New Roman" w:hAnsi="Times New Roman" w:eastAsia="新宋体" w:cs="Times New Roman"/>
          <w:color w:val="000000" w:themeColor="text1"/>
          <w:szCs w:val="24"/>
          <w:lang w:eastAsia="zh-CN"/>
          <w14:textFill>
            <w14:solidFill>
              <w14:schemeClr w14:val="tx1"/>
            </w14:solidFill>
          </w14:textFill>
        </w:rPr>
        <w:t>组织排放的</w:t>
      </w:r>
      <w:r>
        <w:rPr>
          <w:rFonts w:hint="eastAsia" w:ascii="Times New Roman" w:hAnsi="Times New Roman" w:eastAsia="新宋体" w:cs="Times New Roman"/>
          <w:color w:val="000000" w:themeColor="text1"/>
          <w:szCs w:val="24"/>
          <w:lang w:eastAsia="zh-CN"/>
          <w14:textFill>
            <w14:solidFill>
              <w14:schemeClr w14:val="tx1"/>
            </w14:solidFill>
          </w14:textFill>
        </w:rPr>
        <w:t>氟化氢</w:t>
      </w:r>
      <w:r>
        <w:rPr>
          <w:rFonts w:ascii="Times New Roman" w:hAnsi="Times New Roman" w:eastAsia="新宋体" w:cs="Times New Roman"/>
          <w:color w:val="000000" w:themeColor="text1"/>
          <w:szCs w:val="24"/>
          <w:lang w:eastAsia="zh-CN"/>
          <w14:textFill>
            <w14:solidFill>
              <w14:schemeClr w14:val="tx1"/>
            </w14:solidFill>
          </w14:textFill>
        </w:rPr>
        <w:t>占标率为Pmax=</w:t>
      </w:r>
      <w:r>
        <w:rPr>
          <w:rFonts w:hint="eastAsia" w:ascii="Times New Roman" w:hAnsi="Times New Roman" w:eastAsia="新宋体" w:cs="Times New Roman"/>
          <w:color w:val="000000" w:themeColor="text1"/>
          <w:szCs w:val="24"/>
          <w:lang w:eastAsia="zh-CN"/>
          <w14:textFill>
            <w14:solidFill>
              <w14:schemeClr w14:val="tx1"/>
            </w14:solidFill>
          </w14:textFill>
        </w:rPr>
        <w:t>16.9</w:t>
      </w:r>
      <w:r>
        <w:rPr>
          <w:rFonts w:ascii="Times New Roman" w:hAnsi="Times New Roman" w:eastAsia="新宋体" w:cs="Times New Roman"/>
          <w:color w:val="000000" w:themeColor="text1"/>
          <w:szCs w:val="24"/>
          <w:lang w:eastAsia="zh-CN"/>
          <w14:textFill>
            <w14:solidFill>
              <w14:schemeClr w14:val="tx1"/>
            </w14:solidFill>
          </w14:textFill>
        </w:rPr>
        <w:t>%， Pmax</w:t>
      </w:r>
      <w:r>
        <w:rPr>
          <w:rFonts w:hint="eastAsia" w:ascii="Times New Roman" w:hAnsi="Times New Roman" w:eastAsia="新宋体" w:cs="Times New Roman"/>
          <w:color w:val="000000" w:themeColor="text1"/>
          <w:szCs w:val="24"/>
          <w:lang w:eastAsia="zh-CN"/>
          <w14:textFill>
            <w14:solidFill>
              <w14:schemeClr w14:val="tx1"/>
            </w14:solidFill>
          </w14:textFill>
        </w:rPr>
        <w:t>＞</w:t>
      </w:r>
      <w:r>
        <w:rPr>
          <w:rFonts w:ascii="Times New Roman" w:hAnsi="Times New Roman" w:eastAsia="新宋体" w:cs="Times New Roman"/>
          <w:color w:val="000000" w:themeColor="text1"/>
          <w:szCs w:val="24"/>
          <w:lang w:eastAsia="zh-CN"/>
          <w14:textFill>
            <w14:solidFill>
              <w14:schemeClr w14:val="tx1"/>
            </w14:solidFill>
          </w14:textFill>
        </w:rPr>
        <w:t>10%，对照表评价工作等级划分依据，根据上述估算模式的计算结果，本项目大气环境影响评价等级为</w:t>
      </w:r>
      <w:r>
        <w:rPr>
          <w:rFonts w:hint="eastAsia" w:ascii="Times New Roman" w:hAnsi="Times New Roman" w:eastAsia="新宋体" w:cs="Times New Roman"/>
          <w:color w:val="000000" w:themeColor="text1"/>
          <w:szCs w:val="24"/>
          <w:lang w:eastAsia="zh-CN"/>
          <w14:textFill>
            <w14:solidFill>
              <w14:schemeClr w14:val="tx1"/>
            </w14:solidFill>
          </w14:textFill>
        </w:rPr>
        <w:t>一</w:t>
      </w:r>
      <w:r>
        <w:rPr>
          <w:rFonts w:ascii="Times New Roman" w:hAnsi="Times New Roman" w:eastAsia="新宋体" w:cs="Times New Roman"/>
          <w:color w:val="000000" w:themeColor="text1"/>
          <w:szCs w:val="24"/>
          <w:lang w:eastAsia="zh-CN"/>
          <w14:textFill>
            <w14:solidFill>
              <w14:schemeClr w14:val="tx1"/>
            </w14:solidFill>
          </w14:textFill>
        </w:rPr>
        <w:t>级。</w:t>
      </w:r>
    </w:p>
    <w:p w14:paraId="34269C89">
      <w:pPr>
        <w:widowControl w:val="0"/>
        <w:topLinePunct/>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（2）地表水环境影响评价等级</w:t>
      </w:r>
    </w:p>
    <w:p w14:paraId="30371E96">
      <w:pPr>
        <w:widowControl w:val="0"/>
        <w:topLinePunct/>
        <w:spacing w:line="360" w:lineRule="auto"/>
        <w:ind w:firstLine="480" w:firstLineChars="200"/>
        <w:jc w:val="both"/>
        <w:rPr>
          <w:rFonts w:ascii="Times New Roman" w:hAnsi="Times New Roman" w:cs="Times New Roman"/>
          <w:color w:val="auto"/>
          <w:lang w:eastAsia="zh-CN"/>
        </w:rPr>
      </w:pPr>
      <w:bookmarkStart w:id="276" w:name="_Hlk173741943"/>
      <w:r>
        <w:rPr>
          <w:rFonts w:hint="eastAsia" w:ascii="Times New Roman" w:hAnsi="Times New Roman" w:eastAsia="新宋体" w:cs="Times New Roman"/>
          <w:color w:val="auto"/>
          <w:szCs w:val="24"/>
          <w:lang w:eastAsia="zh-CN"/>
        </w:rPr>
        <w:t>项目碱</w:t>
      </w:r>
      <w:r>
        <w:rPr>
          <w:rFonts w:ascii="Times New Roman" w:hAnsi="Times New Roman" w:eastAsia="新宋体" w:cs="Times New Roman"/>
          <w:color w:val="auto"/>
          <w:szCs w:val="24"/>
          <w:lang w:eastAsia="zh-CN"/>
        </w:rPr>
        <w:t>喷淋塔置换废水、地面清洁废水</w:t>
      </w:r>
      <w:r>
        <w:rPr>
          <w:rFonts w:hint="eastAsia" w:ascii="Times New Roman" w:hAnsi="Times New Roman" w:eastAsia="新宋体" w:cs="Times New Roman"/>
          <w:color w:val="auto"/>
          <w:szCs w:val="24"/>
          <w:lang w:eastAsia="zh-CN"/>
        </w:rPr>
        <w:t>依托现有厂区</w:t>
      </w:r>
      <w:r>
        <w:rPr>
          <w:rFonts w:ascii="Times New Roman" w:hAnsi="Times New Roman" w:eastAsia="新宋体" w:cs="Times New Roman"/>
          <w:color w:val="auto"/>
          <w:szCs w:val="24"/>
          <w:lang w:eastAsia="zh-CN"/>
        </w:rPr>
        <w:t>污水处理站</w:t>
      </w:r>
      <w:r>
        <w:rPr>
          <w:rFonts w:hint="eastAsia" w:ascii="Times New Roman" w:hAnsi="Times New Roman" w:cs="Times New Roman"/>
          <w:color w:val="auto"/>
          <w:lang w:eastAsia="zh-CN"/>
        </w:rPr>
        <w:t>“</w:t>
      </w:r>
      <w:r>
        <w:rPr>
          <w:rFonts w:ascii="Times New Roman" w:hAnsi="Times New Roman" w:cs="Times New Roman"/>
          <w:color w:val="auto"/>
          <w:lang w:eastAsia="zh-CN"/>
        </w:rPr>
        <w:t>四级除氟反应+四级除氟沉淀</w:t>
      </w:r>
      <w:r>
        <w:rPr>
          <w:rFonts w:hint="eastAsia" w:ascii="Times New Roman" w:hAnsi="Times New Roman" w:cs="Times New Roman"/>
          <w:color w:val="auto"/>
          <w:lang w:eastAsia="zh-CN"/>
        </w:rPr>
        <w:t>”</w:t>
      </w:r>
      <w:r>
        <w:rPr>
          <w:rFonts w:ascii="Times New Roman" w:hAnsi="Times New Roman" w:eastAsia="新宋体" w:cs="Times New Roman"/>
          <w:color w:val="auto"/>
          <w:szCs w:val="24"/>
          <w:lang w:eastAsia="zh-CN"/>
        </w:rPr>
        <w:t>处理后，</w:t>
      </w:r>
      <w:r>
        <w:rPr>
          <w:rFonts w:hint="eastAsia" w:ascii="Times New Roman" w:hAnsi="Times New Roman" w:eastAsia="新宋体" w:cs="Times New Roman"/>
          <w:color w:val="auto"/>
          <w:szCs w:val="24"/>
          <w:lang w:eastAsia="zh-CN"/>
        </w:rPr>
        <w:t>与</w:t>
      </w:r>
      <w:r>
        <w:rPr>
          <w:rFonts w:ascii="Times New Roman" w:hAnsi="Times New Roman" w:eastAsia="新宋体" w:cs="Times New Roman"/>
          <w:color w:val="auto"/>
          <w:szCs w:val="24"/>
          <w:lang w:eastAsia="zh-CN"/>
        </w:rPr>
        <w:t>循环冷却置换废水</w:t>
      </w:r>
      <w:r>
        <w:rPr>
          <w:rFonts w:hint="eastAsia" w:ascii="Times New Roman" w:hAnsi="Times New Roman" w:eastAsia="新宋体" w:cs="Times New Roman"/>
          <w:color w:val="auto"/>
          <w:szCs w:val="24"/>
          <w:lang w:eastAsia="zh-CN"/>
        </w:rPr>
        <w:t>、生活污水一同</w:t>
      </w:r>
      <w:r>
        <w:rPr>
          <w:rFonts w:ascii="Times New Roman" w:hAnsi="Times New Roman" w:eastAsia="新宋体" w:cs="Times New Roman"/>
          <w:color w:val="auto"/>
          <w:szCs w:val="24"/>
          <w:lang w:eastAsia="zh-CN"/>
        </w:rPr>
        <w:t>排入园区污水管网，进入沫河口污水处理厂处理</w:t>
      </w:r>
      <w:r>
        <w:rPr>
          <w:rFonts w:hint="eastAsia" w:ascii="Times New Roman" w:hAnsi="Times New Roman" w:eastAsia="新宋体" w:cs="Times New Roman"/>
          <w:color w:val="auto"/>
          <w:szCs w:val="24"/>
          <w:lang w:eastAsia="zh-CN"/>
        </w:rPr>
        <w:t>，经</w:t>
      </w:r>
      <w:r>
        <w:rPr>
          <w:rFonts w:ascii="Times New Roman" w:hAnsi="Times New Roman" w:eastAsia="新宋体" w:cs="Times New Roman"/>
          <w:color w:val="auto"/>
          <w:szCs w:val="24"/>
          <w:lang w:eastAsia="zh-CN"/>
        </w:rPr>
        <w:t>沫河口污水处理厂</w:t>
      </w:r>
      <w:r>
        <w:rPr>
          <w:rFonts w:hint="eastAsia" w:ascii="Times New Roman" w:hAnsi="Times New Roman" w:eastAsia="新宋体" w:cs="Times New Roman"/>
          <w:color w:val="auto"/>
          <w:szCs w:val="24"/>
          <w:lang w:eastAsia="zh-CN"/>
        </w:rPr>
        <w:t>处理</w:t>
      </w:r>
      <w:r>
        <w:rPr>
          <w:rFonts w:ascii="Times New Roman" w:hAnsi="Times New Roman" w:eastAsia="新宋体" w:cs="Times New Roman"/>
          <w:color w:val="auto"/>
          <w:szCs w:val="24"/>
          <w:lang w:eastAsia="zh-CN"/>
        </w:rPr>
        <w:t>达到《城镇污水处理厂污染物排放标准》（GB18918-2002）中一级 A 标准后，排入三铺大沟，最终汇入淮河</w:t>
      </w:r>
      <w:r>
        <w:rPr>
          <w:rFonts w:ascii="Times New Roman" w:hAnsi="Times New Roman" w:cs="Times New Roman"/>
          <w:color w:val="auto"/>
          <w:szCs w:val="24"/>
          <w:lang w:eastAsia="zh-CN"/>
        </w:rPr>
        <w:t>。</w:t>
      </w:r>
    </w:p>
    <w:bookmarkEnd w:id="276"/>
    <w:p w14:paraId="414F550B">
      <w:pPr>
        <w:widowControl w:val="0"/>
        <w:topLinePunct/>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根据《环境影响评价技术导则地表水环境》（HJ 2.3-2018），本项目地表水评价等级为三级B，具体见下表。</w:t>
      </w:r>
    </w:p>
    <w:p w14:paraId="1B7E6290">
      <w:pPr>
        <w:widowControl w:val="0"/>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表2.4-4 水污染影响型建设项目评价等级判定</w:t>
      </w:r>
    </w:p>
    <w:tbl>
      <w:tblPr>
        <w:tblStyle w:val="35"/>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391"/>
        <w:gridCol w:w="2594"/>
        <w:gridCol w:w="4759"/>
      </w:tblGrid>
      <w:tr w14:paraId="3F8984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1227" w:type="pct"/>
            <w:vMerge w:val="restart"/>
            <w:vAlign w:val="center"/>
          </w:tcPr>
          <w:p w14:paraId="5A97E070">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评价等级</w:t>
            </w:r>
          </w:p>
        </w:tc>
        <w:tc>
          <w:tcPr>
            <w:tcW w:w="3772" w:type="pct"/>
            <w:gridSpan w:val="2"/>
            <w:vAlign w:val="center"/>
          </w:tcPr>
          <w:p w14:paraId="0F8A1663">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判定依据</w:t>
            </w:r>
          </w:p>
        </w:tc>
      </w:tr>
      <w:tr w14:paraId="1EF8E0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27" w:type="pct"/>
            <w:vMerge w:val="continue"/>
            <w:vAlign w:val="center"/>
          </w:tcPr>
          <w:p w14:paraId="19AAD0E6">
            <w:pPr>
              <w:widowControl w:val="0"/>
              <w:adjustRightInd w:val="0"/>
              <w:snapToGrid w:val="0"/>
              <w:jc w:val="center"/>
              <w:rPr>
                <w:rFonts w:ascii="Times New Roman" w:hAnsi="Times New Roman" w:cs="Times New Roman"/>
                <w:b/>
                <w:bCs/>
                <w:color w:val="auto"/>
                <w:sz w:val="21"/>
              </w:rPr>
            </w:pPr>
          </w:p>
        </w:tc>
        <w:tc>
          <w:tcPr>
            <w:tcW w:w="1331" w:type="pct"/>
            <w:vAlign w:val="center"/>
          </w:tcPr>
          <w:p w14:paraId="491CC5F8">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排放方式</w:t>
            </w:r>
          </w:p>
        </w:tc>
        <w:tc>
          <w:tcPr>
            <w:tcW w:w="2441" w:type="pct"/>
            <w:vAlign w:val="center"/>
          </w:tcPr>
          <w:p w14:paraId="6FE3A0B2">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废水排放量Q/（m</w:t>
            </w:r>
            <w:r>
              <w:rPr>
                <w:rFonts w:ascii="Times New Roman" w:hAnsi="Times New Roman" w:cs="Times New Roman"/>
                <w:b/>
                <w:bCs/>
                <w:color w:val="auto"/>
                <w:sz w:val="21"/>
                <w:vertAlign w:val="superscript"/>
                <w:lang w:eastAsia="zh-CN"/>
              </w:rPr>
              <w:t>3</w:t>
            </w:r>
            <w:r>
              <w:rPr>
                <w:rFonts w:ascii="Times New Roman" w:hAnsi="Times New Roman" w:cs="Times New Roman"/>
                <w:b/>
                <w:bCs/>
                <w:color w:val="auto"/>
                <w:sz w:val="21"/>
                <w:lang w:eastAsia="zh-CN"/>
              </w:rPr>
              <w:t>/d）；</w:t>
            </w:r>
          </w:p>
          <w:p w14:paraId="0A98B232">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水污染物当量数W/（无量纲）</w:t>
            </w:r>
          </w:p>
        </w:tc>
      </w:tr>
      <w:tr w14:paraId="589473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27" w:type="pct"/>
            <w:vAlign w:val="center"/>
          </w:tcPr>
          <w:p w14:paraId="4CC6EBF9">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一级</w:t>
            </w:r>
          </w:p>
        </w:tc>
        <w:tc>
          <w:tcPr>
            <w:tcW w:w="1331" w:type="pct"/>
            <w:vAlign w:val="center"/>
          </w:tcPr>
          <w:p w14:paraId="06578DA5">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直接排放</w:t>
            </w:r>
          </w:p>
        </w:tc>
        <w:tc>
          <w:tcPr>
            <w:tcW w:w="2441" w:type="pct"/>
            <w:vAlign w:val="center"/>
          </w:tcPr>
          <w:p w14:paraId="67E1B2C7">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Q≥20000或W≥600000</w:t>
            </w:r>
          </w:p>
        </w:tc>
      </w:tr>
      <w:tr w14:paraId="311CB9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27" w:type="pct"/>
            <w:vAlign w:val="center"/>
          </w:tcPr>
          <w:p w14:paraId="521475D8">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二级</w:t>
            </w:r>
          </w:p>
        </w:tc>
        <w:tc>
          <w:tcPr>
            <w:tcW w:w="1331" w:type="pct"/>
            <w:vAlign w:val="center"/>
          </w:tcPr>
          <w:p w14:paraId="75F9C525">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直接排放</w:t>
            </w:r>
          </w:p>
        </w:tc>
        <w:tc>
          <w:tcPr>
            <w:tcW w:w="2441" w:type="pct"/>
            <w:vAlign w:val="center"/>
          </w:tcPr>
          <w:p w14:paraId="0A0D08F1">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其他</w:t>
            </w:r>
          </w:p>
        </w:tc>
      </w:tr>
      <w:tr w14:paraId="489FE9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27" w:type="pct"/>
            <w:tcBorders>
              <w:bottom w:val="single" w:color="auto" w:sz="4" w:space="0"/>
            </w:tcBorders>
            <w:vAlign w:val="center"/>
          </w:tcPr>
          <w:p w14:paraId="360A122E">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三级A</w:t>
            </w:r>
          </w:p>
        </w:tc>
        <w:tc>
          <w:tcPr>
            <w:tcW w:w="1331" w:type="pct"/>
            <w:tcBorders>
              <w:bottom w:val="single" w:color="auto" w:sz="4" w:space="0"/>
            </w:tcBorders>
            <w:vAlign w:val="center"/>
          </w:tcPr>
          <w:p w14:paraId="3B684D7F">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直接排放</w:t>
            </w:r>
          </w:p>
        </w:tc>
        <w:tc>
          <w:tcPr>
            <w:tcW w:w="2441" w:type="pct"/>
            <w:tcBorders>
              <w:bottom w:val="single" w:color="auto" w:sz="4" w:space="0"/>
            </w:tcBorders>
            <w:vAlign w:val="center"/>
          </w:tcPr>
          <w:p w14:paraId="2B71D25C">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Q＜200且W＜6000</w:t>
            </w:r>
          </w:p>
        </w:tc>
      </w:tr>
      <w:tr w14:paraId="7C8F38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27" w:type="pct"/>
            <w:tcBorders>
              <w:top w:val="single" w:color="auto" w:sz="4" w:space="0"/>
              <w:bottom w:val="single" w:color="auto" w:sz="4" w:space="0"/>
            </w:tcBorders>
            <w:shd w:val="clear" w:color="auto" w:fill="BEBEBE"/>
            <w:vAlign w:val="center"/>
          </w:tcPr>
          <w:p w14:paraId="39C87BBD">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三级B</w:t>
            </w:r>
          </w:p>
        </w:tc>
        <w:tc>
          <w:tcPr>
            <w:tcW w:w="1331" w:type="pct"/>
            <w:tcBorders>
              <w:top w:val="single" w:color="auto" w:sz="4" w:space="0"/>
              <w:bottom w:val="single" w:color="auto" w:sz="4" w:space="0"/>
            </w:tcBorders>
            <w:shd w:val="clear" w:color="auto" w:fill="BEBEBE"/>
            <w:vAlign w:val="center"/>
          </w:tcPr>
          <w:p w14:paraId="5B3FCB2A">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间接排放</w:t>
            </w:r>
          </w:p>
        </w:tc>
        <w:tc>
          <w:tcPr>
            <w:tcW w:w="2441" w:type="pct"/>
            <w:tcBorders>
              <w:top w:val="single" w:color="auto" w:sz="4" w:space="0"/>
              <w:bottom w:val="single" w:color="auto" w:sz="4" w:space="0"/>
            </w:tcBorders>
            <w:shd w:val="clear" w:color="auto" w:fill="BEBEBE"/>
            <w:vAlign w:val="center"/>
          </w:tcPr>
          <w:p w14:paraId="3961EB5E">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w:t>
            </w:r>
          </w:p>
        </w:tc>
      </w:tr>
      <w:tr w14:paraId="5BCF9B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tcBorders>
              <w:top w:val="single" w:color="auto" w:sz="4" w:space="0"/>
            </w:tcBorders>
            <w:vAlign w:val="center"/>
          </w:tcPr>
          <w:p w14:paraId="1D6C38E6">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注：建设项目生产工艺中有废水产生，但作为回水利用，不排放到外环境的，按三级B评价。</w:t>
            </w:r>
          </w:p>
        </w:tc>
      </w:tr>
    </w:tbl>
    <w:p w14:paraId="469CF0A4">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（3）声环境影响评价等级</w:t>
      </w:r>
    </w:p>
    <w:p w14:paraId="0DC8A9DC">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本项目厂址所在区域执行《声环境质量标准》（GB3096-2008）中3类标准。预测结果表明，项目建设前后区域噪声级增高量不大于3dB</w:t>
      </w:r>
      <w:r>
        <w:rPr>
          <w:rFonts w:hint="eastAsia" w:ascii="Times New Roman" w:hAnsi="Times New Roman" w:cs="Times New Roman"/>
          <w:color w:val="auto"/>
          <w:lang w:eastAsia="zh-CN"/>
        </w:rPr>
        <w:t>（</w:t>
      </w:r>
      <w:r>
        <w:rPr>
          <w:rFonts w:ascii="Times New Roman" w:hAnsi="Times New Roman" w:cs="Times New Roman"/>
          <w:color w:val="auto"/>
          <w:lang w:eastAsia="zh-CN"/>
        </w:rPr>
        <w:t>A</w:t>
      </w:r>
      <w:r>
        <w:rPr>
          <w:rFonts w:hint="eastAsia" w:ascii="Times New Roman" w:hAnsi="Times New Roman" w:cs="Times New Roman"/>
          <w:color w:val="auto"/>
          <w:lang w:eastAsia="zh-CN"/>
        </w:rPr>
        <w:t>）</w:t>
      </w:r>
      <w:r>
        <w:rPr>
          <w:rFonts w:ascii="Times New Roman" w:hAnsi="Times New Roman" w:cs="Times New Roman"/>
          <w:color w:val="auto"/>
          <w:lang w:eastAsia="zh-CN"/>
        </w:rPr>
        <w:t>，且受影响人口数量变化不大，按《环境影响评价技术导则声环境》（HJ2.4-2021）规定，声环境影响评价等级为三级。</w:t>
      </w:r>
    </w:p>
    <w:p w14:paraId="66290E13">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（4）地下水环境影响评价等级</w:t>
      </w:r>
    </w:p>
    <w:p w14:paraId="0698F03A">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本项目用水全部来自园区供水，厂内不开采利用地下水资源。对照《环境影响评价技术导则—地下水环境》</w:t>
      </w:r>
      <w:r>
        <w:rPr>
          <w:rFonts w:hint="eastAsia" w:ascii="Times New Roman" w:hAnsi="Times New Roman" w:cs="Times New Roman"/>
          <w:color w:val="auto"/>
          <w:lang w:eastAsia="zh-CN"/>
        </w:rPr>
        <w:t>（</w:t>
      </w:r>
      <w:r>
        <w:rPr>
          <w:rFonts w:ascii="Times New Roman" w:hAnsi="Times New Roman" w:cs="Times New Roman"/>
          <w:color w:val="auto"/>
          <w:lang w:eastAsia="zh-CN"/>
        </w:rPr>
        <w:t>HJ610-2016</w:t>
      </w:r>
      <w:r>
        <w:rPr>
          <w:rFonts w:hint="eastAsia" w:ascii="Times New Roman" w:hAnsi="Times New Roman" w:cs="Times New Roman"/>
          <w:color w:val="auto"/>
          <w:lang w:eastAsia="zh-CN"/>
        </w:rPr>
        <w:t>）</w:t>
      </w:r>
      <w:r>
        <w:rPr>
          <w:rFonts w:ascii="Times New Roman" w:hAnsi="Times New Roman" w:cs="Times New Roman"/>
          <w:color w:val="auto"/>
          <w:lang w:eastAsia="zh-CN"/>
        </w:rPr>
        <w:t>附录 A，本项目属于</w:t>
      </w:r>
      <w:r>
        <w:rPr>
          <w:rFonts w:hint="eastAsia" w:ascii="Times New Roman" w:hAnsi="Times New Roman" w:cs="Times New Roman"/>
          <w:color w:val="auto"/>
          <w:lang w:eastAsia="zh-CN"/>
        </w:rPr>
        <w:t>L</w:t>
      </w:r>
      <w:r>
        <w:rPr>
          <w:rFonts w:ascii="Times New Roman" w:hAnsi="Times New Roman" w:cs="Times New Roman"/>
          <w:color w:val="auto"/>
          <w:lang w:eastAsia="zh-CN"/>
        </w:rPr>
        <w:t>石化、化工类项目，为I类建设项目</w:t>
      </w:r>
      <w:r>
        <w:rPr>
          <w:rFonts w:hint="eastAsia" w:ascii="Times New Roman" w:hAnsi="Times New Roman" w:cs="Times New Roman"/>
          <w:color w:val="auto"/>
          <w:lang w:eastAsia="zh-CN"/>
        </w:rPr>
        <w:t>。</w:t>
      </w:r>
    </w:p>
    <w:p w14:paraId="3CC0E85A">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经调查，建设项目所在地不存在敏感区-集中式饮用水水源（包括已建成的在用、备用、应急水源，在建和规划的饮用水水源）准保护区；不存在除集中式饮用水水源以外的国家或地方政府设定的与地下水环境相关的其它保护区，如热水、矿泉水、温泉等特殊地下水资源保护区及较敏感区-集中式饮用水水源（包括已建成的在用、备用、应急水源，在建和规划的饮用水水源）准保护区以外的补给径流区；未划定准保护区的集中水式饮用水水源，其保护区以外的补给径流区；分散式饮用水水源地；特殊地下水资源（如矿泉水、温泉等）保护区以外的分布区等其他未列入上述敏感分级的环境敏感区，区域地下水环境敏感程度为“不敏感”。</w:t>
      </w:r>
    </w:p>
    <w:p w14:paraId="4F9E874E">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地下水环境敏感程度分级一览表及评价工作等级判定依据见</w:t>
      </w:r>
      <w:r>
        <w:rPr>
          <w:rFonts w:hint="eastAsia" w:ascii="Times New Roman" w:hAnsi="Times New Roman" w:cs="Times New Roman"/>
          <w:color w:val="auto"/>
          <w:lang w:eastAsia="zh-CN"/>
        </w:rPr>
        <w:t>下表</w:t>
      </w:r>
      <w:r>
        <w:rPr>
          <w:rFonts w:ascii="Times New Roman" w:hAnsi="Times New Roman" w:cs="Times New Roman"/>
          <w:color w:val="auto"/>
          <w:lang w:eastAsia="zh-CN"/>
        </w:rPr>
        <w:t>所示。</w:t>
      </w:r>
    </w:p>
    <w:p w14:paraId="0FB9A789">
      <w:pPr>
        <w:widowControl w:val="0"/>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表2.4-</w:t>
      </w:r>
      <w:r>
        <w:rPr>
          <w:rFonts w:hint="eastAsia" w:ascii="Times New Roman" w:hAnsi="Times New Roman" w:cs="Times New Roman"/>
          <w:b/>
          <w:bCs/>
          <w:color w:val="auto"/>
          <w:lang w:eastAsia="zh-CN"/>
        </w:rPr>
        <w:t>5</w:t>
      </w:r>
      <w:r>
        <w:rPr>
          <w:rFonts w:ascii="Times New Roman" w:hAnsi="Times New Roman" w:cs="Times New Roman"/>
          <w:b/>
          <w:bCs/>
          <w:color w:val="auto"/>
          <w:lang w:eastAsia="zh-CN"/>
        </w:rPr>
        <w:t xml:space="preserve"> 地下水环境敏感程度分级一览表</w:t>
      </w:r>
    </w:p>
    <w:tbl>
      <w:tblPr>
        <w:tblStyle w:val="35"/>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80"/>
        <w:gridCol w:w="8164"/>
      </w:tblGrid>
      <w:tr w14:paraId="59780F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Align w:val="center"/>
          </w:tcPr>
          <w:p w14:paraId="605CF155">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敏感程度</w:t>
            </w:r>
          </w:p>
        </w:tc>
        <w:tc>
          <w:tcPr>
            <w:tcW w:w="4188" w:type="pct"/>
            <w:vAlign w:val="center"/>
          </w:tcPr>
          <w:p w14:paraId="68A33D6B">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地下水环境敏感特征</w:t>
            </w:r>
          </w:p>
        </w:tc>
      </w:tr>
      <w:tr w14:paraId="25640F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Align w:val="center"/>
          </w:tcPr>
          <w:p w14:paraId="6DEA50D6">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敏感</w:t>
            </w:r>
          </w:p>
        </w:tc>
        <w:tc>
          <w:tcPr>
            <w:tcW w:w="4188" w:type="pct"/>
            <w:vAlign w:val="center"/>
          </w:tcPr>
          <w:p w14:paraId="512C23BE">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集中式饮用水水源（包括已建成的再用、备用、应急水源，在建和规划的引用水源）准保护区；除集中式饮用水水源以外的国家或地方政府设定的与地下水环境相关的其他保护区，如热水、矿泉水、温泉等特殊地下水资源保护区</w:t>
            </w:r>
          </w:p>
        </w:tc>
      </w:tr>
      <w:tr w14:paraId="30A4E4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tcBorders>
              <w:bottom w:val="single" w:color="auto" w:sz="4" w:space="0"/>
            </w:tcBorders>
            <w:vAlign w:val="center"/>
          </w:tcPr>
          <w:p w14:paraId="0AB5AB22">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较敏感</w:t>
            </w:r>
          </w:p>
        </w:tc>
        <w:tc>
          <w:tcPr>
            <w:tcW w:w="4188" w:type="pct"/>
            <w:tcBorders>
              <w:bottom w:val="single" w:color="auto" w:sz="4" w:space="0"/>
            </w:tcBorders>
            <w:vAlign w:val="center"/>
          </w:tcPr>
          <w:p w14:paraId="7672E415">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集中式饮用水水源（包括已建成的在用、备用、应急水源，在建和规划的饮用水水源）准保护区以外的补给径流区；未划定准保护区的集中式饮用水水源，其保护区以外的补给径流区；分散式饮用水水源地；特殊地下水资源（如矿泉水、温泉等）保护区以外的分布区等其他未列入上述敏感分级的环境敏感区</w:t>
            </w:r>
          </w:p>
        </w:tc>
      </w:tr>
      <w:tr w14:paraId="60959A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tcBorders>
              <w:top w:val="single" w:color="auto" w:sz="4" w:space="0"/>
              <w:bottom w:val="single" w:color="auto" w:sz="4" w:space="0"/>
            </w:tcBorders>
            <w:shd w:val="clear" w:color="auto" w:fill="BEBEBE"/>
            <w:vAlign w:val="center"/>
          </w:tcPr>
          <w:p w14:paraId="40D8372B">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不敏感</w:t>
            </w:r>
          </w:p>
        </w:tc>
        <w:tc>
          <w:tcPr>
            <w:tcW w:w="4188" w:type="pct"/>
            <w:tcBorders>
              <w:top w:val="single" w:color="auto" w:sz="4" w:space="0"/>
              <w:bottom w:val="single" w:color="auto" w:sz="4" w:space="0"/>
            </w:tcBorders>
            <w:shd w:val="clear" w:color="auto" w:fill="BEBEBE"/>
            <w:vAlign w:val="center"/>
          </w:tcPr>
          <w:p w14:paraId="41C93F7E">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上述地区之外的其他地区</w:t>
            </w:r>
          </w:p>
        </w:tc>
      </w:tr>
      <w:tr w14:paraId="46B0A9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2"/>
            <w:tcBorders>
              <w:top w:val="single" w:color="auto" w:sz="4" w:space="0"/>
            </w:tcBorders>
            <w:vAlign w:val="center"/>
          </w:tcPr>
          <w:p w14:paraId="665785B0">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注：a“环境敏感区”是指《建设项目环境影响评价分类管理名录》中所界定的涉及地下水的环境敏感区</w:t>
            </w:r>
          </w:p>
        </w:tc>
      </w:tr>
    </w:tbl>
    <w:p w14:paraId="025211B9">
      <w:pPr>
        <w:widowControl w:val="0"/>
        <w:spacing w:line="360" w:lineRule="auto"/>
        <w:jc w:val="center"/>
        <w:rPr>
          <w:rFonts w:ascii="Times New Roman" w:hAnsi="Times New Roman" w:cs="Times New Roman"/>
          <w:color w:val="auto"/>
          <w:lang w:eastAsia="zh-CN"/>
        </w:rPr>
      </w:pPr>
      <w:r>
        <w:rPr>
          <w:rFonts w:ascii="Times New Roman" w:hAnsi="Times New Roman" w:cs="Times New Roman"/>
          <w:b/>
          <w:bCs/>
          <w:color w:val="auto"/>
          <w:lang w:eastAsia="zh-CN"/>
        </w:rPr>
        <w:t>表2.4-</w:t>
      </w:r>
      <w:r>
        <w:rPr>
          <w:rFonts w:hint="eastAsia" w:ascii="Times New Roman" w:hAnsi="Times New Roman" w:cs="Times New Roman"/>
          <w:b/>
          <w:bCs/>
          <w:color w:val="auto"/>
          <w:lang w:eastAsia="zh-CN"/>
        </w:rPr>
        <w:t>6</w:t>
      </w:r>
      <w:r>
        <w:rPr>
          <w:rFonts w:ascii="Times New Roman" w:hAnsi="Times New Roman" w:cs="Times New Roman"/>
          <w:b/>
          <w:bCs/>
          <w:color w:val="auto"/>
          <w:lang w:eastAsia="zh-CN"/>
        </w:rPr>
        <w:t xml:space="preserve"> 建设项目地下水评价等级划分</w:t>
      </w:r>
    </w:p>
    <w:tbl>
      <w:tblPr>
        <w:tblStyle w:val="35"/>
        <w:tblW w:w="4999"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879"/>
        <w:gridCol w:w="2288"/>
        <w:gridCol w:w="2288"/>
        <w:gridCol w:w="2289"/>
      </w:tblGrid>
      <w:tr w14:paraId="4D000BE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477" w:type="pct"/>
            <w:tcBorders>
              <w:top w:val="single" w:color="auto" w:sz="12" w:space="0"/>
              <w:bottom w:val="single" w:color="auto" w:sz="6" w:space="0"/>
              <w:tl2br w:val="single" w:color="auto" w:sz="6" w:space="0"/>
            </w:tcBorders>
            <w:vAlign w:val="center"/>
          </w:tcPr>
          <w:p w14:paraId="217E89F3">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 xml:space="preserve">                 项目类别</w:t>
            </w:r>
          </w:p>
          <w:p w14:paraId="0E7EFB69">
            <w:pPr>
              <w:widowControl w:val="0"/>
              <w:adjustRightInd w:val="0"/>
              <w:snapToGrid w:val="0"/>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环境敏感程度</w:t>
            </w:r>
          </w:p>
        </w:tc>
        <w:tc>
          <w:tcPr>
            <w:tcW w:w="1174" w:type="pct"/>
            <w:tcBorders>
              <w:top w:val="single" w:color="auto" w:sz="12" w:space="0"/>
              <w:bottom w:val="single" w:color="auto" w:sz="6" w:space="0"/>
            </w:tcBorders>
            <w:vAlign w:val="center"/>
          </w:tcPr>
          <w:p w14:paraId="387FA43E">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Ⅰ类项目</w:t>
            </w:r>
          </w:p>
        </w:tc>
        <w:tc>
          <w:tcPr>
            <w:tcW w:w="1174" w:type="pct"/>
            <w:tcBorders>
              <w:top w:val="single" w:color="auto" w:sz="12" w:space="0"/>
              <w:bottom w:val="single" w:color="auto" w:sz="6" w:space="0"/>
            </w:tcBorders>
            <w:vAlign w:val="center"/>
          </w:tcPr>
          <w:p w14:paraId="13CCA1BD">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Ⅱ类项目</w:t>
            </w:r>
          </w:p>
        </w:tc>
        <w:tc>
          <w:tcPr>
            <w:tcW w:w="1174" w:type="pct"/>
            <w:tcBorders>
              <w:top w:val="single" w:color="auto" w:sz="12" w:space="0"/>
              <w:bottom w:val="single" w:color="auto" w:sz="6" w:space="0"/>
            </w:tcBorders>
            <w:vAlign w:val="center"/>
          </w:tcPr>
          <w:p w14:paraId="2C658084">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Ⅲ类项目</w:t>
            </w:r>
          </w:p>
        </w:tc>
      </w:tr>
      <w:tr w14:paraId="2DA2014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477" w:type="pct"/>
            <w:tcBorders>
              <w:top w:val="single" w:color="auto" w:sz="6" w:space="0"/>
              <w:bottom w:val="single" w:color="auto" w:sz="6" w:space="0"/>
            </w:tcBorders>
            <w:vAlign w:val="center"/>
          </w:tcPr>
          <w:p w14:paraId="15D5E02F">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敏感</w:t>
            </w:r>
          </w:p>
        </w:tc>
        <w:tc>
          <w:tcPr>
            <w:tcW w:w="1174" w:type="pct"/>
            <w:tcBorders>
              <w:top w:val="single" w:color="auto" w:sz="6" w:space="0"/>
              <w:bottom w:val="single" w:color="auto" w:sz="6" w:space="0"/>
            </w:tcBorders>
            <w:vAlign w:val="center"/>
          </w:tcPr>
          <w:p w14:paraId="49062C30">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一</w:t>
            </w:r>
          </w:p>
        </w:tc>
        <w:tc>
          <w:tcPr>
            <w:tcW w:w="1174" w:type="pct"/>
            <w:tcBorders>
              <w:top w:val="single" w:color="auto" w:sz="6" w:space="0"/>
              <w:bottom w:val="single" w:color="auto" w:sz="6" w:space="0"/>
            </w:tcBorders>
            <w:vAlign w:val="center"/>
          </w:tcPr>
          <w:p w14:paraId="0CDA015C">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一</w:t>
            </w:r>
          </w:p>
        </w:tc>
        <w:tc>
          <w:tcPr>
            <w:tcW w:w="1174" w:type="pct"/>
            <w:tcBorders>
              <w:top w:val="single" w:color="auto" w:sz="6" w:space="0"/>
              <w:bottom w:val="single" w:color="auto" w:sz="6" w:space="0"/>
            </w:tcBorders>
            <w:vAlign w:val="center"/>
          </w:tcPr>
          <w:p w14:paraId="2272EAAF">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二</w:t>
            </w:r>
          </w:p>
        </w:tc>
      </w:tr>
      <w:tr w14:paraId="08BE322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477" w:type="pct"/>
            <w:tcBorders>
              <w:top w:val="single" w:color="auto" w:sz="6" w:space="0"/>
              <w:bottom w:val="single" w:color="auto" w:sz="6" w:space="0"/>
            </w:tcBorders>
            <w:vAlign w:val="center"/>
          </w:tcPr>
          <w:p w14:paraId="3B1717F8">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较敏感</w:t>
            </w:r>
          </w:p>
        </w:tc>
        <w:tc>
          <w:tcPr>
            <w:tcW w:w="1174" w:type="pct"/>
            <w:tcBorders>
              <w:top w:val="single" w:color="auto" w:sz="6" w:space="0"/>
              <w:bottom w:val="single" w:color="auto" w:sz="6" w:space="0"/>
            </w:tcBorders>
            <w:vAlign w:val="center"/>
          </w:tcPr>
          <w:p w14:paraId="7FFF5A82">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一</w:t>
            </w:r>
          </w:p>
        </w:tc>
        <w:tc>
          <w:tcPr>
            <w:tcW w:w="1174" w:type="pct"/>
            <w:tcBorders>
              <w:top w:val="single" w:color="auto" w:sz="6" w:space="0"/>
              <w:bottom w:val="single" w:color="auto" w:sz="6" w:space="0"/>
            </w:tcBorders>
            <w:vAlign w:val="center"/>
          </w:tcPr>
          <w:p w14:paraId="02403021">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二</w:t>
            </w:r>
          </w:p>
        </w:tc>
        <w:tc>
          <w:tcPr>
            <w:tcW w:w="1174" w:type="pct"/>
            <w:tcBorders>
              <w:top w:val="single" w:color="auto" w:sz="6" w:space="0"/>
              <w:bottom w:val="single" w:color="auto" w:sz="6" w:space="0"/>
            </w:tcBorders>
            <w:shd w:val="clear" w:color="auto" w:fill="FFFFFF"/>
            <w:vAlign w:val="center"/>
          </w:tcPr>
          <w:p w14:paraId="7383220D">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三</w:t>
            </w:r>
          </w:p>
        </w:tc>
      </w:tr>
      <w:tr w14:paraId="2F07E85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477" w:type="pct"/>
            <w:tcBorders>
              <w:top w:val="single" w:color="auto" w:sz="6" w:space="0"/>
              <w:bottom w:val="single" w:color="auto" w:sz="12" w:space="0"/>
            </w:tcBorders>
            <w:vAlign w:val="center"/>
          </w:tcPr>
          <w:p w14:paraId="0397D705">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不敏感</w:t>
            </w:r>
          </w:p>
        </w:tc>
        <w:tc>
          <w:tcPr>
            <w:tcW w:w="1174" w:type="pct"/>
            <w:tcBorders>
              <w:top w:val="single" w:color="auto" w:sz="6" w:space="0"/>
              <w:bottom w:val="single" w:color="auto" w:sz="12" w:space="0"/>
            </w:tcBorders>
            <w:shd w:val="clear" w:color="auto" w:fill="BEBEBE"/>
            <w:vAlign w:val="center"/>
          </w:tcPr>
          <w:p w14:paraId="73209927">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二</w:t>
            </w:r>
          </w:p>
        </w:tc>
        <w:tc>
          <w:tcPr>
            <w:tcW w:w="1174" w:type="pct"/>
            <w:tcBorders>
              <w:top w:val="single" w:color="auto" w:sz="6" w:space="0"/>
              <w:bottom w:val="single" w:color="auto" w:sz="12" w:space="0"/>
            </w:tcBorders>
            <w:shd w:val="clear" w:color="auto" w:fill="FFFFFF"/>
            <w:vAlign w:val="center"/>
          </w:tcPr>
          <w:p w14:paraId="44A0722A">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三</w:t>
            </w:r>
          </w:p>
        </w:tc>
        <w:tc>
          <w:tcPr>
            <w:tcW w:w="1174" w:type="pct"/>
            <w:tcBorders>
              <w:top w:val="single" w:color="auto" w:sz="6" w:space="0"/>
              <w:bottom w:val="single" w:color="auto" w:sz="12" w:space="0"/>
            </w:tcBorders>
            <w:shd w:val="clear" w:color="auto" w:fill="FFFFFF"/>
            <w:vAlign w:val="center"/>
          </w:tcPr>
          <w:p w14:paraId="5A489EFB">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三</w:t>
            </w:r>
          </w:p>
        </w:tc>
      </w:tr>
    </w:tbl>
    <w:p w14:paraId="5D690D52">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根据《环境影响评价技术导则地下水环境》（HJ610-2016）中Ⅰ类建设项目评价工作等级分级判据，确定本项目地下水评价等级为二级。</w:t>
      </w:r>
    </w:p>
    <w:p w14:paraId="2230FA14">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cs="Times New Roman"/>
          <w:color w:val="auto"/>
          <w:lang w:eastAsia="zh-CN"/>
        </w:rPr>
        <w:t>（5）环境风险</w:t>
      </w:r>
    </w:p>
    <w:p w14:paraId="4BF68B56">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根据《建设项目环境风险评价技术导则》（HJ/T169-2018）附录D分别确定本项目大气、地表水、地下水等各环境要素风险等级。</w:t>
      </w:r>
    </w:p>
    <w:p w14:paraId="2259726F">
      <w:pPr>
        <w:widowControl w:val="0"/>
        <w:spacing w:line="360" w:lineRule="auto"/>
        <w:ind w:firstLine="480" w:firstLineChars="200"/>
        <w:rPr>
          <w:rFonts w:ascii="Times New Roman" w:hAnsi="Times New Roman" w:cs="Times New Roman"/>
          <w:color w:val="auto"/>
          <w:lang w:eastAsia="zh-CN"/>
        </w:rPr>
      </w:pPr>
      <w:r>
        <w:rPr>
          <w:rFonts w:ascii="宋体" w:hAnsi="宋体" w:cs="Times New Roman"/>
          <w:color w:val="auto"/>
          <w:lang w:eastAsia="zh-CN"/>
        </w:rPr>
        <w:fldChar w:fldCharType="begin"/>
      </w:r>
      <w:r>
        <w:rPr>
          <w:rFonts w:ascii="宋体" w:hAnsi="宋体" w:cs="Times New Roman"/>
          <w:color w:val="auto"/>
          <w:lang w:eastAsia="zh-CN"/>
        </w:rPr>
        <w:instrText xml:space="preserve"> = 1 \* GB3 </w:instrText>
      </w:r>
      <w:r>
        <w:rPr>
          <w:rFonts w:ascii="宋体" w:hAnsi="宋体" w:cs="Times New Roman"/>
          <w:color w:val="auto"/>
          <w:lang w:eastAsia="zh-CN"/>
        </w:rPr>
        <w:fldChar w:fldCharType="separate"/>
      </w:r>
      <w:r>
        <w:rPr>
          <w:rFonts w:ascii="宋体" w:hAnsi="宋体" w:cs="Cambria Math"/>
          <w:color w:val="auto"/>
          <w:lang w:eastAsia="zh-CN"/>
        </w:rPr>
        <w:t>①</w:t>
      </w:r>
      <w:r>
        <w:rPr>
          <w:rFonts w:ascii="宋体" w:hAnsi="宋体" w:cs="Times New Roman"/>
          <w:color w:val="auto"/>
          <w:lang w:eastAsia="zh-CN"/>
        </w:rPr>
        <w:fldChar w:fldCharType="end"/>
      </w:r>
      <w:r>
        <w:rPr>
          <w:rFonts w:ascii="Times New Roman" w:hAnsi="Times New Roman" w:cs="Times New Roman"/>
          <w:color w:val="auto"/>
          <w:lang w:eastAsia="zh-CN"/>
        </w:rPr>
        <w:t>大气</w:t>
      </w:r>
    </w:p>
    <w:p w14:paraId="5C87D527">
      <w:pPr>
        <w:widowControl w:val="0"/>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1）Q</w:t>
      </w:r>
    </w:p>
    <w:p w14:paraId="62092849">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根据《建设项目环境风险评价技术导则》（HJ169-2018）附录C，当只涉及一种危险物质时，计算该物质的总量与临界量比值，即为Q；</w:t>
      </w:r>
    </w:p>
    <w:p w14:paraId="145B60AC">
      <w:pPr>
        <w:widowControl w:val="0"/>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当存在多种危险物质时，则按下式计算物质总量与其临界量比值（Q）；</w:t>
      </w:r>
    </w:p>
    <w:p w14:paraId="10986C65">
      <w:pPr>
        <w:widowControl w:val="0"/>
        <w:spacing w:line="360" w:lineRule="auto"/>
        <w:jc w:val="center"/>
        <w:rPr>
          <w:rFonts w:ascii="Times New Roman" w:hAnsi="Times New Roman" w:cs="Times New Roman"/>
          <w:color w:val="auto"/>
          <w:lang w:eastAsia="zh-CN"/>
        </w:rPr>
      </w:pPr>
      <w:r>
        <w:rPr>
          <w:rFonts w:ascii="Times New Roman" w:hAnsi="Times New Roman" w:cs="Times New Roman"/>
          <w:color w:val="auto"/>
          <w:lang w:eastAsia="zh-CN"/>
        </w:rPr>
        <w:t>Q=q1/Q1+ q2/Q2 +q3/Q3 +… +qn/Q</w:t>
      </w:r>
    </w:p>
    <w:p w14:paraId="4283243A">
      <w:pPr>
        <w:widowControl w:val="0"/>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 xml:space="preserve">式中：q1、q2、q3、… 、qn――每种危险物质的最大存在总量，t； </w:t>
      </w:r>
    </w:p>
    <w:p w14:paraId="3C118E20">
      <w:pPr>
        <w:widowControl w:val="0"/>
        <w:spacing w:line="360" w:lineRule="auto"/>
        <w:ind w:firstLine="480"/>
        <w:rPr>
          <w:rFonts w:ascii="Times New Roman" w:hAnsi="Times New Roman" w:cs="Times New Roman"/>
          <w:color w:val="auto"/>
          <w:lang w:eastAsia="zh-CN"/>
        </w:rPr>
      </w:pPr>
      <w:r>
        <w:rPr>
          <w:rFonts w:ascii="Times New Roman" w:hAnsi="Times New Roman" w:cs="Times New Roman"/>
          <w:color w:val="auto"/>
          <w:lang w:eastAsia="zh-CN"/>
        </w:rPr>
        <w:t xml:space="preserve">          Q1、 Q2 、Q3、… 、Qn――对应危险物质的临界量，t。</w:t>
      </w:r>
    </w:p>
    <w:p w14:paraId="08863F4A">
      <w:pPr>
        <w:widowControl w:val="0"/>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当Q＜1时，该项目环境风险潜势为I；</w:t>
      </w:r>
    </w:p>
    <w:p w14:paraId="2136AF4F">
      <w:pPr>
        <w:widowControl w:val="0"/>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当Q≥1时，将Q值划分为：（1）1≤Q＜10；（2）10≤Q＜100；（3）Q≥100；</w:t>
      </w:r>
    </w:p>
    <w:p w14:paraId="49F030BB">
      <w:pPr>
        <w:widowControl w:val="0"/>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表2.4-</w:t>
      </w:r>
      <w:r>
        <w:rPr>
          <w:rFonts w:hint="eastAsia" w:ascii="Times New Roman" w:hAnsi="Times New Roman" w:cs="Times New Roman"/>
          <w:b/>
          <w:bCs/>
          <w:color w:val="auto"/>
          <w:lang w:eastAsia="zh-CN"/>
        </w:rPr>
        <w:t>7</w:t>
      </w:r>
      <w:r>
        <w:rPr>
          <w:rFonts w:ascii="Times New Roman" w:hAnsi="Times New Roman" w:cs="Times New Roman"/>
          <w:b/>
          <w:bCs/>
          <w:color w:val="auto"/>
          <w:lang w:eastAsia="zh-CN"/>
        </w:rPr>
        <w:t xml:space="preserve"> 建设项目Q值确定表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701"/>
        <w:gridCol w:w="1552"/>
        <w:gridCol w:w="1552"/>
        <w:gridCol w:w="1834"/>
        <w:gridCol w:w="1694"/>
        <w:gridCol w:w="1409"/>
        <w:gridCol w:w="1004"/>
      </w:tblGrid>
      <w:tr w14:paraId="2F3B1BF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360" w:type="pct"/>
            <w:vAlign w:val="center"/>
          </w:tcPr>
          <w:p w14:paraId="2666D8B5">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序号</w:t>
            </w:r>
          </w:p>
        </w:tc>
        <w:tc>
          <w:tcPr>
            <w:tcW w:w="1592" w:type="pct"/>
            <w:gridSpan w:val="2"/>
            <w:vAlign w:val="center"/>
          </w:tcPr>
          <w:p w14:paraId="52946527">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名称</w:t>
            </w:r>
          </w:p>
        </w:tc>
        <w:tc>
          <w:tcPr>
            <w:tcW w:w="941" w:type="pct"/>
            <w:vAlign w:val="center"/>
          </w:tcPr>
          <w:p w14:paraId="21F97B5C">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生产装置在线量t</w:t>
            </w:r>
          </w:p>
        </w:tc>
        <w:tc>
          <w:tcPr>
            <w:tcW w:w="869" w:type="pct"/>
            <w:vAlign w:val="center"/>
          </w:tcPr>
          <w:p w14:paraId="7AFE4B5D">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最大储存量t</w:t>
            </w:r>
          </w:p>
        </w:tc>
        <w:tc>
          <w:tcPr>
            <w:tcW w:w="723" w:type="pct"/>
            <w:vAlign w:val="center"/>
          </w:tcPr>
          <w:p w14:paraId="089E31EA">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临界量Qn/t</w:t>
            </w:r>
          </w:p>
        </w:tc>
        <w:tc>
          <w:tcPr>
            <w:tcW w:w="515" w:type="pct"/>
            <w:vAlign w:val="center"/>
          </w:tcPr>
          <w:p w14:paraId="37ED8CB0">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Q值</w:t>
            </w:r>
          </w:p>
        </w:tc>
      </w:tr>
      <w:tr w14:paraId="1162C08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360" w:type="pct"/>
            <w:vAlign w:val="center"/>
          </w:tcPr>
          <w:p w14:paraId="09ADDA3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w:t>
            </w:r>
          </w:p>
        </w:tc>
        <w:tc>
          <w:tcPr>
            <w:tcW w:w="1592" w:type="pct"/>
            <w:gridSpan w:val="2"/>
            <w:vAlign w:val="center"/>
          </w:tcPr>
          <w:p w14:paraId="6D99E60B">
            <w:pPr>
              <w:widowControl w:val="0"/>
              <w:adjustRightInd w:val="0"/>
              <w:snapToGrid w:val="0"/>
              <w:jc w:val="center"/>
              <w:rPr>
                <w:rFonts w:ascii="Times New Roman" w:hAnsi="Times New Roman"/>
                <w:bCs/>
                <w:color w:val="auto"/>
                <w:sz w:val="21"/>
              </w:rPr>
            </w:pPr>
            <w:r>
              <w:rPr>
                <w:rFonts w:hint="eastAsia" w:ascii="Times New Roman"/>
                <w:color w:val="auto"/>
                <w:sz w:val="21"/>
                <w:lang w:eastAsia="zh-CN"/>
              </w:rPr>
              <w:t>无水氟化氢</w:t>
            </w:r>
          </w:p>
        </w:tc>
        <w:tc>
          <w:tcPr>
            <w:tcW w:w="941" w:type="pct"/>
            <w:vAlign w:val="center"/>
          </w:tcPr>
          <w:p w14:paraId="441B2151">
            <w:pPr>
              <w:widowControl w:val="0"/>
              <w:snapToGrid w:val="0"/>
              <w:spacing w:before="60" w:after="60"/>
              <w:jc w:val="center"/>
              <w:rPr>
                <w:rFonts w:ascii="Times New Roman" w:hAnsi="Times New Roman"/>
                <w:color w:val="auto"/>
                <w:sz w:val="21"/>
                <w:lang w:eastAsia="zh-CN"/>
              </w:rPr>
            </w:pPr>
            <w:r>
              <w:rPr>
                <w:rFonts w:hint="eastAsia" w:ascii="Times New Roman" w:hAnsi="Times New Roman"/>
                <w:color w:val="auto"/>
                <w:sz w:val="21"/>
                <w:lang w:eastAsia="zh-CN"/>
              </w:rPr>
              <w:t>114.3</w:t>
            </w:r>
          </w:p>
        </w:tc>
        <w:tc>
          <w:tcPr>
            <w:tcW w:w="869" w:type="pct"/>
            <w:vAlign w:val="center"/>
          </w:tcPr>
          <w:p w14:paraId="5FD9FADD">
            <w:pPr>
              <w:widowControl w:val="0"/>
              <w:adjustRightInd w:val="0"/>
              <w:snapToGrid w:val="0"/>
              <w:spacing w:before="60" w:after="60"/>
              <w:jc w:val="center"/>
              <w:textAlignment w:val="baseline"/>
              <w:rPr>
                <w:rFonts w:ascii="Times New Roman" w:hAnsi="Times New Roman"/>
                <w:color w:val="auto"/>
                <w:sz w:val="21"/>
                <w:lang w:eastAsia="zh-CN"/>
              </w:rPr>
            </w:pPr>
            <w:r>
              <w:rPr>
                <w:rFonts w:hint="eastAsia" w:ascii="Times New Roman" w:hAnsi="Times New Roman"/>
                <w:color w:val="auto"/>
                <w:sz w:val="21"/>
                <w:lang w:eastAsia="zh-CN"/>
              </w:rPr>
              <w:t>260</w:t>
            </w:r>
          </w:p>
        </w:tc>
        <w:tc>
          <w:tcPr>
            <w:tcW w:w="723" w:type="pct"/>
            <w:vAlign w:val="center"/>
          </w:tcPr>
          <w:p w14:paraId="4879D357">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1.0</w:t>
            </w:r>
          </w:p>
        </w:tc>
        <w:tc>
          <w:tcPr>
            <w:tcW w:w="515" w:type="pct"/>
            <w:vAlign w:val="center"/>
          </w:tcPr>
          <w:p w14:paraId="04AD8F65">
            <w:pPr>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374.3</w:t>
            </w:r>
          </w:p>
        </w:tc>
      </w:tr>
      <w:tr w14:paraId="6A1F55B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360" w:type="pct"/>
            <w:vAlign w:val="center"/>
          </w:tcPr>
          <w:p w14:paraId="1481B72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w:t>
            </w:r>
          </w:p>
        </w:tc>
        <w:tc>
          <w:tcPr>
            <w:tcW w:w="796" w:type="pct"/>
            <w:vAlign w:val="center"/>
          </w:tcPr>
          <w:p w14:paraId="4F5CAD35">
            <w:pPr>
              <w:widowControl w:val="0"/>
              <w:adjustRightInd w:val="0"/>
              <w:snapToGrid w:val="0"/>
              <w:jc w:val="center"/>
              <w:rPr>
                <w:rFonts w:ascii="Times New Roman" w:hAnsi="Times New Roman"/>
                <w:bCs/>
                <w:color w:val="auto"/>
                <w:sz w:val="21"/>
              </w:rPr>
            </w:pPr>
            <w:r>
              <w:rPr>
                <w:rFonts w:ascii="Times New Roman"/>
                <w:color w:val="auto"/>
                <w:sz w:val="21"/>
                <w:lang w:eastAsia="zh-CN"/>
              </w:rPr>
              <w:t>15%氟化氢水溶液</w:t>
            </w:r>
          </w:p>
        </w:tc>
        <w:tc>
          <w:tcPr>
            <w:tcW w:w="796" w:type="pct"/>
            <w:vAlign w:val="center"/>
          </w:tcPr>
          <w:p w14:paraId="316DBA20">
            <w:pPr>
              <w:widowControl w:val="0"/>
              <w:adjustRightInd w:val="0"/>
              <w:snapToGrid w:val="0"/>
              <w:jc w:val="center"/>
              <w:rPr>
                <w:rFonts w:ascii="Times New Roman" w:hAnsi="Times New Roman"/>
                <w:bCs/>
                <w:color w:val="auto"/>
                <w:sz w:val="21"/>
                <w:lang w:eastAsia="zh-CN"/>
              </w:rPr>
            </w:pPr>
            <w:r>
              <w:rPr>
                <w:rFonts w:hint="eastAsia" w:ascii="Times New Roman" w:hAnsi="Times New Roman"/>
                <w:bCs/>
                <w:color w:val="auto"/>
                <w:sz w:val="21"/>
                <w:lang w:eastAsia="zh-CN"/>
              </w:rPr>
              <w:t>氟化氢量</w:t>
            </w:r>
          </w:p>
        </w:tc>
        <w:tc>
          <w:tcPr>
            <w:tcW w:w="941" w:type="pct"/>
            <w:vAlign w:val="center"/>
          </w:tcPr>
          <w:p w14:paraId="598A185E">
            <w:pPr>
              <w:widowControl w:val="0"/>
              <w:snapToGrid w:val="0"/>
              <w:spacing w:before="60" w:after="60"/>
              <w:jc w:val="center"/>
              <w:rPr>
                <w:rFonts w:ascii="Times New Roman" w:hAnsi="Times New Roman"/>
                <w:color w:val="auto"/>
                <w:sz w:val="21"/>
                <w:lang w:eastAsia="zh-CN"/>
              </w:rPr>
            </w:pPr>
            <w:r>
              <w:rPr>
                <w:rFonts w:hint="eastAsia" w:ascii="Times New Roman" w:hAnsi="Times New Roman"/>
                <w:color w:val="auto"/>
                <w:sz w:val="21"/>
                <w:lang w:eastAsia="zh-CN"/>
              </w:rPr>
              <w:t>22.032</w:t>
            </w:r>
          </w:p>
        </w:tc>
        <w:tc>
          <w:tcPr>
            <w:tcW w:w="869" w:type="pct"/>
            <w:vAlign w:val="center"/>
          </w:tcPr>
          <w:p w14:paraId="21D5B793">
            <w:pPr>
              <w:widowControl w:val="0"/>
              <w:adjustRightInd w:val="0"/>
              <w:snapToGrid w:val="0"/>
              <w:spacing w:before="60" w:after="60"/>
              <w:jc w:val="center"/>
              <w:textAlignment w:val="baseline"/>
              <w:rPr>
                <w:rFonts w:ascii="Times New Roman" w:hAnsi="Times New Roman"/>
                <w:color w:val="auto"/>
                <w:sz w:val="21"/>
                <w:lang w:eastAsia="zh-CN"/>
              </w:rPr>
            </w:pPr>
            <w:r>
              <w:rPr>
                <w:rFonts w:hint="eastAsia" w:ascii="Times New Roman" w:hAnsi="Times New Roman"/>
                <w:color w:val="auto"/>
                <w:sz w:val="21"/>
                <w:lang w:eastAsia="zh-CN"/>
              </w:rPr>
              <w:t>489.6</w:t>
            </w:r>
          </w:p>
        </w:tc>
        <w:tc>
          <w:tcPr>
            <w:tcW w:w="723" w:type="pct"/>
            <w:vAlign w:val="center"/>
          </w:tcPr>
          <w:p w14:paraId="1EF04BAF">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1.0</w:t>
            </w:r>
          </w:p>
        </w:tc>
        <w:tc>
          <w:tcPr>
            <w:tcW w:w="515" w:type="pct"/>
            <w:vAlign w:val="center"/>
          </w:tcPr>
          <w:p w14:paraId="039444C8">
            <w:pPr>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511.63</w:t>
            </w:r>
          </w:p>
        </w:tc>
      </w:tr>
      <w:tr w14:paraId="744423E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360" w:type="pct"/>
            <w:vAlign w:val="center"/>
          </w:tcPr>
          <w:p w14:paraId="4F283C00">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3</w:t>
            </w:r>
          </w:p>
        </w:tc>
        <w:tc>
          <w:tcPr>
            <w:tcW w:w="796" w:type="pct"/>
            <w:vAlign w:val="center"/>
          </w:tcPr>
          <w:p w14:paraId="5592A2C4">
            <w:pPr>
              <w:widowControl w:val="0"/>
              <w:adjustRightInd w:val="0"/>
              <w:snapToGrid w:val="0"/>
              <w:jc w:val="center"/>
              <w:rPr>
                <w:rFonts w:ascii="Times New Roman" w:hAnsi="Times New Roman"/>
                <w:color w:val="auto"/>
                <w:sz w:val="21"/>
                <w:lang w:eastAsia="zh-CN"/>
              </w:rPr>
            </w:pPr>
            <w:r>
              <w:rPr>
                <w:rFonts w:ascii="Times New Roman"/>
                <w:color w:val="auto"/>
                <w:sz w:val="21"/>
                <w:lang w:eastAsia="zh-CN"/>
              </w:rPr>
              <w:t>31%盐酸储罐</w:t>
            </w:r>
          </w:p>
        </w:tc>
        <w:tc>
          <w:tcPr>
            <w:tcW w:w="796" w:type="pct"/>
            <w:vAlign w:val="center"/>
          </w:tcPr>
          <w:p w14:paraId="757B2014">
            <w:pPr>
              <w:widowControl w:val="0"/>
              <w:adjustRightInd w:val="0"/>
              <w:snapToGrid w:val="0"/>
              <w:jc w:val="center"/>
              <w:rPr>
                <w:rFonts w:ascii="Times New Roman" w:hAnsi="Times New Roman"/>
                <w:color w:val="auto"/>
                <w:sz w:val="21"/>
                <w:lang w:eastAsia="zh-CN"/>
              </w:rPr>
            </w:pPr>
            <w:r>
              <w:rPr>
                <w:rFonts w:hint="eastAsia" w:ascii="Times New Roman" w:hAnsi="Times New Roman"/>
                <w:bCs/>
                <w:color w:val="auto"/>
                <w:sz w:val="21"/>
                <w:lang w:eastAsia="zh-CN"/>
              </w:rPr>
              <w:t>折</w:t>
            </w:r>
            <w:r>
              <w:rPr>
                <w:rFonts w:ascii="Times New Roman" w:hAnsi="Times New Roman"/>
                <w:bCs/>
                <w:color w:val="auto"/>
                <w:sz w:val="21"/>
                <w:lang w:eastAsia="zh-CN"/>
              </w:rPr>
              <w:t>37%盐酸</w:t>
            </w:r>
            <w:r>
              <w:rPr>
                <w:rFonts w:hint="eastAsia" w:ascii="Times New Roman" w:hAnsi="Times New Roman"/>
                <w:color w:val="auto"/>
                <w:sz w:val="21"/>
                <w:lang w:eastAsia="zh-CN"/>
              </w:rPr>
              <w:t>量</w:t>
            </w:r>
          </w:p>
        </w:tc>
        <w:tc>
          <w:tcPr>
            <w:tcW w:w="941" w:type="pct"/>
            <w:vAlign w:val="center"/>
          </w:tcPr>
          <w:p w14:paraId="0F8A882B">
            <w:pPr>
              <w:widowControl w:val="0"/>
              <w:snapToGrid w:val="0"/>
              <w:spacing w:before="60" w:after="60"/>
              <w:jc w:val="center"/>
              <w:rPr>
                <w:rFonts w:ascii="Times New Roman" w:hAnsi="Times New Roman"/>
                <w:color w:val="auto"/>
                <w:sz w:val="21"/>
                <w:lang w:eastAsia="zh-CN"/>
              </w:rPr>
            </w:pPr>
            <w:r>
              <w:rPr>
                <w:rFonts w:hint="eastAsia" w:ascii="Times New Roman" w:hAnsi="Times New Roman"/>
                <w:color w:val="auto"/>
                <w:sz w:val="21"/>
                <w:lang w:eastAsia="zh-CN"/>
              </w:rPr>
              <w:t>21.95</w:t>
            </w:r>
          </w:p>
        </w:tc>
        <w:tc>
          <w:tcPr>
            <w:tcW w:w="869" w:type="pct"/>
            <w:vAlign w:val="center"/>
          </w:tcPr>
          <w:p w14:paraId="5096987C">
            <w:pPr>
              <w:widowControl w:val="0"/>
              <w:adjustRightInd w:val="0"/>
              <w:snapToGrid w:val="0"/>
              <w:spacing w:before="60" w:after="60"/>
              <w:jc w:val="center"/>
              <w:textAlignment w:val="baseline"/>
              <w:rPr>
                <w:rFonts w:ascii="Times New Roman" w:hAnsi="Times New Roman"/>
                <w:color w:val="auto"/>
                <w:sz w:val="21"/>
                <w:lang w:eastAsia="zh-CN"/>
              </w:rPr>
            </w:pPr>
            <w:r>
              <w:rPr>
                <w:rFonts w:hint="eastAsia" w:ascii="Times New Roman" w:hAnsi="Times New Roman"/>
                <w:color w:val="auto"/>
                <w:sz w:val="21"/>
                <w:lang w:eastAsia="zh-CN"/>
              </w:rPr>
              <w:t>314.19</w:t>
            </w:r>
          </w:p>
        </w:tc>
        <w:tc>
          <w:tcPr>
            <w:tcW w:w="723" w:type="pct"/>
            <w:vAlign w:val="center"/>
          </w:tcPr>
          <w:p w14:paraId="3C64B619">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7.5</w:t>
            </w:r>
          </w:p>
        </w:tc>
        <w:tc>
          <w:tcPr>
            <w:tcW w:w="515" w:type="pct"/>
            <w:vAlign w:val="center"/>
          </w:tcPr>
          <w:p w14:paraId="7EAAA9E1">
            <w:pPr>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44.82</w:t>
            </w:r>
          </w:p>
        </w:tc>
      </w:tr>
      <w:tr w14:paraId="4F96382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360" w:type="pct"/>
            <w:vAlign w:val="center"/>
          </w:tcPr>
          <w:p w14:paraId="75226F31">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4</w:t>
            </w:r>
          </w:p>
        </w:tc>
        <w:tc>
          <w:tcPr>
            <w:tcW w:w="796" w:type="pct"/>
            <w:vAlign w:val="center"/>
          </w:tcPr>
          <w:p w14:paraId="4510AB01">
            <w:pPr>
              <w:widowControl w:val="0"/>
              <w:adjustRightInd w:val="0"/>
              <w:snapToGrid w:val="0"/>
              <w:jc w:val="center"/>
              <w:rPr>
                <w:rFonts w:ascii="Times New Roman" w:hAnsi="Times New Roman"/>
                <w:color w:val="auto"/>
                <w:sz w:val="21"/>
                <w:lang w:eastAsia="zh-CN"/>
              </w:rPr>
            </w:pPr>
            <w:r>
              <w:rPr>
                <w:rFonts w:hint="eastAsia" w:ascii="Times New Roman"/>
                <w:color w:val="auto"/>
                <w:sz w:val="21"/>
                <w:lang w:eastAsia="zh-CN"/>
              </w:rPr>
              <w:t>电子级氢氟酸</w:t>
            </w:r>
          </w:p>
        </w:tc>
        <w:tc>
          <w:tcPr>
            <w:tcW w:w="796" w:type="pct"/>
            <w:vAlign w:val="center"/>
          </w:tcPr>
          <w:p w14:paraId="2B7D171D">
            <w:pPr>
              <w:widowControl w:val="0"/>
              <w:adjustRightInd w:val="0"/>
              <w:snapToGrid w:val="0"/>
              <w:jc w:val="center"/>
              <w:rPr>
                <w:rFonts w:ascii="Times New Roman" w:hAnsi="Times New Roman"/>
                <w:color w:val="auto"/>
                <w:sz w:val="21"/>
                <w:lang w:eastAsia="zh-CN"/>
              </w:rPr>
            </w:pPr>
            <w:r>
              <w:rPr>
                <w:rFonts w:hint="eastAsia" w:ascii="Times New Roman" w:hAnsi="Times New Roman"/>
                <w:bCs/>
                <w:color w:val="auto"/>
                <w:sz w:val="21"/>
                <w:lang w:eastAsia="zh-CN"/>
              </w:rPr>
              <w:t>氟化氢量</w:t>
            </w:r>
          </w:p>
        </w:tc>
        <w:tc>
          <w:tcPr>
            <w:tcW w:w="941" w:type="pct"/>
            <w:vAlign w:val="center"/>
          </w:tcPr>
          <w:p w14:paraId="78EC6D87">
            <w:pPr>
              <w:widowControl w:val="0"/>
              <w:snapToGrid w:val="0"/>
              <w:spacing w:before="60" w:after="60"/>
              <w:jc w:val="center"/>
              <w:rPr>
                <w:rFonts w:ascii="Times New Roman" w:hAnsi="Times New Roman"/>
                <w:color w:val="auto"/>
                <w:sz w:val="21"/>
                <w:lang w:eastAsia="zh-CN"/>
              </w:rPr>
            </w:pPr>
            <w:r>
              <w:rPr>
                <w:rFonts w:hint="eastAsia" w:ascii="Times New Roman" w:hAnsi="Times New Roman"/>
                <w:color w:val="auto"/>
                <w:sz w:val="21"/>
                <w:lang w:eastAsia="zh-CN"/>
              </w:rPr>
              <w:t>18.13</w:t>
            </w:r>
          </w:p>
        </w:tc>
        <w:tc>
          <w:tcPr>
            <w:tcW w:w="869" w:type="pct"/>
            <w:vAlign w:val="center"/>
          </w:tcPr>
          <w:p w14:paraId="2132C483">
            <w:pPr>
              <w:widowControl w:val="0"/>
              <w:adjustRightInd w:val="0"/>
              <w:snapToGrid w:val="0"/>
              <w:spacing w:before="60" w:after="60"/>
              <w:jc w:val="center"/>
              <w:textAlignment w:val="baseline"/>
              <w:rPr>
                <w:rFonts w:ascii="Times New Roman" w:hAnsi="Times New Roman"/>
                <w:color w:val="auto"/>
                <w:sz w:val="21"/>
                <w:lang w:eastAsia="zh-CN"/>
              </w:rPr>
            </w:pPr>
            <w:r>
              <w:rPr>
                <w:rFonts w:hint="eastAsia" w:ascii="Times New Roman" w:hAnsi="Times New Roman"/>
                <w:color w:val="auto"/>
                <w:sz w:val="21"/>
                <w:lang w:eastAsia="zh-CN"/>
              </w:rPr>
              <w:t>142.1</w:t>
            </w:r>
          </w:p>
        </w:tc>
        <w:tc>
          <w:tcPr>
            <w:tcW w:w="723" w:type="pct"/>
            <w:vAlign w:val="center"/>
          </w:tcPr>
          <w:p w14:paraId="33A9A1CB">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1.0</w:t>
            </w:r>
          </w:p>
        </w:tc>
        <w:tc>
          <w:tcPr>
            <w:tcW w:w="515" w:type="pct"/>
            <w:vAlign w:val="center"/>
          </w:tcPr>
          <w:p w14:paraId="0DB0B82C">
            <w:pPr>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160.23</w:t>
            </w:r>
          </w:p>
        </w:tc>
      </w:tr>
      <w:tr w14:paraId="4062ACB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360" w:type="pct"/>
            <w:vAlign w:val="center"/>
          </w:tcPr>
          <w:p w14:paraId="50F493D8">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5</w:t>
            </w:r>
          </w:p>
        </w:tc>
        <w:tc>
          <w:tcPr>
            <w:tcW w:w="796" w:type="pct"/>
            <w:vAlign w:val="center"/>
          </w:tcPr>
          <w:p w14:paraId="51D8AC58">
            <w:pPr>
              <w:widowControl w:val="0"/>
              <w:adjustRightInd w:val="0"/>
              <w:snapToGrid w:val="0"/>
              <w:jc w:val="center"/>
              <w:rPr>
                <w:rFonts w:ascii="Times New Roman" w:hAnsi="Times New Roman"/>
                <w:color w:val="auto"/>
                <w:sz w:val="21"/>
                <w:lang w:eastAsia="zh-CN"/>
              </w:rPr>
            </w:pPr>
            <w:r>
              <w:rPr>
                <w:rFonts w:hint="eastAsia" w:ascii="Times New Roman"/>
                <w:color w:val="auto"/>
                <w:sz w:val="21"/>
                <w:lang w:eastAsia="zh-CN"/>
              </w:rPr>
              <w:t>化学纯氢氟酸</w:t>
            </w:r>
          </w:p>
        </w:tc>
        <w:tc>
          <w:tcPr>
            <w:tcW w:w="796" w:type="pct"/>
            <w:vAlign w:val="center"/>
          </w:tcPr>
          <w:p w14:paraId="005894DF">
            <w:pPr>
              <w:widowControl w:val="0"/>
              <w:adjustRightInd w:val="0"/>
              <w:snapToGrid w:val="0"/>
              <w:jc w:val="center"/>
              <w:rPr>
                <w:rFonts w:ascii="Times New Roman" w:hAnsi="Times New Roman"/>
                <w:color w:val="auto"/>
                <w:sz w:val="21"/>
                <w:lang w:eastAsia="zh-CN"/>
              </w:rPr>
            </w:pPr>
            <w:r>
              <w:rPr>
                <w:rFonts w:hint="eastAsia" w:ascii="Times New Roman" w:hAnsi="Times New Roman"/>
                <w:bCs/>
                <w:color w:val="auto"/>
                <w:sz w:val="21"/>
                <w:lang w:eastAsia="zh-CN"/>
              </w:rPr>
              <w:t>氟化氢量</w:t>
            </w:r>
          </w:p>
        </w:tc>
        <w:tc>
          <w:tcPr>
            <w:tcW w:w="941" w:type="pct"/>
            <w:vAlign w:val="center"/>
          </w:tcPr>
          <w:p w14:paraId="6153EDE0">
            <w:pPr>
              <w:widowControl w:val="0"/>
              <w:snapToGrid w:val="0"/>
              <w:spacing w:before="60" w:after="60"/>
              <w:jc w:val="center"/>
              <w:rPr>
                <w:rFonts w:ascii="Times New Roman" w:hAnsi="Times New Roman"/>
                <w:color w:val="auto"/>
                <w:sz w:val="21"/>
                <w:lang w:eastAsia="zh-CN"/>
              </w:rPr>
            </w:pPr>
            <w:r>
              <w:rPr>
                <w:rFonts w:hint="eastAsia" w:ascii="Times New Roman" w:hAnsi="Times New Roman"/>
                <w:color w:val="auto"/>
                <w:sz w:val="21"/>
                <w:lang w:eastAsia="zh-CN"/>
              </w:rPr>
              <w:t>133.87</w:t>
            </w:r>
          </w:p>
        </w:tc>
        <w:tc>
          <w:tcPr>
            <w:tcW w:w="869" w:type="pct"/>
            <w:vAlign w:val="center"/>
          </w:tcPr>
          <w:p w14:paraId="6BD9936C">
            <w:pPr>
              <w:widowControl w:val="0"/>
              <w:adjustRightInd w:val="0"/>
              <w:snapToGrid w:val="0"/>
              <w:spacing w:before="60" w:after="60"/>
              <w:jc w:val="center"/>
              <w:textAlignment w:val="baseline"/>
              <w:rPr>
                <w:rFonts w:ascii="Times New Roman" w:hAnsi="Times New Roman"/>
                <w:color w:val="auto"/>
                <w:sz w:val="21"/>
                <w:lang w:eastAsia="zh-CN"/>
              </w:rPr>
            </w:pPr>
            <w:r>
              <w:rPr>
                <w:rFonts w:hint="eastAsia" w:ascii="Times New Roman" w:hAnsi="Times New Roman"/>
                <w:color w:val="auto"/>
                <w:sz w:val="21"/>
                <w:lang w:eastAsia="zh-CN"/>
              </w:rPr>
              <w:t>1782</w:t>
            </w:r>
          </w:p>
        </w:tc>
        <w:tc>
          <w:tcPr>
            <w:tcW w:w="723" w:type="pct"/>
            <w:vAlign w:val="center"/>
          </w:tcPr>
          <w:p w14:paraId="14F997CA">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1.0</w:t>
            </w:r>
          </w:p>
        </w:tc>
        <w:tc>
          <w:tcPr>
            <w:tcW w:w="515" w:type="pct"/>
            <w:vAlign w:val="center"/>
          </w:tcPr>
          <w:p w14:paraId="4640D61B">
            <w:pPr>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1915.87</w:t>
            </w:r>
          </w:p>
        </w:tc>
      </w:tr>
      <w:tr w14:paraId="28C6745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360" w:type="pct"/>
            <w:vMerge w:val="restart"/>
            <w:vAlign w:val="center"/>
          </w:tcPr>
          <w:p w14:paraId="2488B955">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6</w:t>
            </w:r>
          </w:p>
        </w:tc>
        <w:tc>
          <w:tcPr>
            <w:tcW w:w="796" w:type="pct"/>
            <w:vMerge w:val="restart"/>
            <w:vAlign w:val="center"/>
          </w:tcPr>
          <w:p w14:paraId="2C3AA4FB">
            <w:pPr>
              <w:widowControl w:val="0"/>
              <w:adjustRightInd w:val="0"/>
              <w:snapToGrid w:val="0"/>
              <w:jc w:val="center"/>
              <w:rPr>
                <w:rFonts w:ascii="Times New Roman" w:hAnsi="Times New Roman" w:cs="Times New Roman"/>
                <w:color w:val="auto"/>
                <w:spacing w:val="-2"/>
                <w:sz w:val="21"/>
                <w:lang w:eastAsia="zh-CN"/>
              </w:rPr>
            </w:pPr>
            <w:r>
              <w:rPr>
                <w:rFonts w:hint="eastAsia" w:ascii="Times New Roman"/>
                <w:color w:val="auto"/>
                <w:sz w:val="21"/>
                <w:lang w:eastAsia="zh-CN"/>
              </w:rPr>
              <w:t>刻蚀液</w:t>
            </w:r>
          </w:p>
        </w:tc>
        <w:tc>
          <w:tcPr>
            <w:tcW w:w="796" w:type="pct"/>
            <w:vAlign w:val="center"/>
          </w:tcPr>
          <w:p w14:paraId="60D80660">
            <w:pPr>
              <w:widowControl w:val="0"/>
              <w:adjustRightInd w:val="0"/>
              <w:snapToGrid w:val="0"/>
              <w:jc w:val="center"/>
              <w:rPr>
                <w:rFonts w:ascii="Times New Roman" w:hAnsi="Times New Roman" w:cs="Times New Roman"/>
                <w:color w:val="auto"/>
                <w:spacing w:val="-2"/>
                <w:sz w:val="21"/>
                <w:lang w:eastAsia="zh-CN"/>
              </w:rPr>
            </w:pPr>
            <w:r>
              <w:rPr>
                <w:rFonts w:hint="eastAsia" w:ascii="Times New Roman" w:hAnsi="Times New Roman"/>
                <w:bCs/>
                <w:color w:val="auto"/>
                <w:sz w:val="21"/>
                <w:lang w:eastAsia="zh-CN"/>
              </w:rPr>
              <w:t>氟化氢量</w:t>
            </w:r>
          </w:p>
        </w:tc>
        <w:tc>
          <w:tcPr>
            <w:tcW w:w="941" w:type="pct"/>
            <w:vAlign w:val="center"/>
          </w:tcPr>
          <w:p w14:paraId="5A797EDE">
            <w:pPr>
              <w:widowControl w:val="0"/>
              <w:snapToGrid w:val="0"/>
              <w:spacing w:before="60" w:after="6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66.68</w:t>
            </w:r>
          </w:p>
        </w:tc>
        <w:tc>
          <w:tcPr>
            <w:tcW w:w="869" w:type="pct"/>
            <w:vAlign w:val="center"/>
          </w:tcPr>
          <w:p w14:paraId="0204FD5E">
            <w:pPr>
              <w:widowControl w:val="0"/>
              <w:adjustRightInd w:val="0"/>
              <w:snapToGrid w:val="0"/>
              <w:spacing w:before="60" w:after="60"/>
              <w:jc w:val="center"/>
              <w:textAlignment w:val="baseline"/>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2132</w:t>
            </w:r>
          </w:p>
        </w:tc>
        <w:tc>
          <w:tcPr>
            <w:tcW w:w="723" w:type="pct"/>
            <w:vAlign w:val="center"/>
          </w:tcPr>
          <w:p w14:paraId="1478B626">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1.0</w:t>
            </w:r>
          </w:p>
        </w:tc>
        <w:tc>
          <w:tcPr>
            <w:tcW w:w="515" w:type="pct"/>
            <w:vAlign w:val="center"/>
          </w:tcPr>
          <w:p w14:paraId="75F08FB8">
            <w:pPr>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2198.68</w:t>
            </w:r>
          </w:p>
        </w:tc>
      </w:tr>
      <w:tr w14:paraId="31D7ADF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360" w:type="pct"/>
            <w:vMerge w:val="continue"/>
            <w:vAlign w:val="center"/>
          </w:tcPr>
          <w:p w14:paraId="606AEAA0">
            <w:pPr>
              <w:adjustRightInd w:val="0"/>
              <w:snapToGrid w:val="0"/>
              <w:jc w:val="center"/>
              <w:rPr>
                <w:rFonts w:ascii="Times New Roman" w:hAnsi="Times New Roman" w:cs="Times New Roman"/>
                <w:color w:val="auto"/>
                <w:sz w:val="21"/>
                <w:lang w:eastAsia="zh-CN"/>
              </w:rPr>
            </w:pPr>
          </w:p>
        </w:tc>
        <w:tc>
          <w:tcPr>
            <w:tcW w:w="796" w:type="pct"/>
            <w:vMerge w:val="continue"/>
            <w:vAlign w:val="center"/>
          </w:tcPr>
          <w:p w14:paraId="00B7E9F9">
            <w:pPr>
              <w:widowControl w:val="0"/>
              <w:adjustRightInd w:val="0"/>
              <w:snapToGrid w:val="0"/>
              <w:jc w:val="center"/>
              <w:rPr>
                <w:rFonts w:ascii="Times New Roman"/>
                <w:color w:val="auto"/>
                <w:sz w:val="21"/>
                <w:lang w:eastAsia="zh-CN"/>
              </w:rPr>
            </w:pPr>
          </w:p>
        </w:tc>
        <w:tc>
          <w:tcPr>
            <w:tcW w:w="796" w:type="pct"/>
            <w:vAlign w:val="center"/>
          </w:tcPr>
          <w:p w14:paraId="2A97B3E0">
            <w:pPr>
              <w:widowControl w:val="0"/>
              <w:adjustRightInd w:val="0"/>
              <w:snapToGrid w:val="0"/>
              <w:jc w:val="center"/>
              <w:rPr>
                <w:rFonts w:ascii="Times New Roman"/>
                <w:color w:val="auto"/>
                <w:sz w:val="21"/>
                <w:lang w:eastAsia="zh-CN"/>
              </w:rPr>
            </w:pPr>
            <w:r>
              <w:rPr>
                <w:rFonts w:hint="eastAsia" w:ascii="Times New Roman" w:hAnsi="Times New Roman"/>
                <w:bCs/>
                <w:color w:val="auto"/>
                <w:sz w:val="21"/>
                <w:lang w:eastAsia="zh-CN"/>
              </w:rPr>
              <w:t>折</w:t>
            </w:r>
            <w:r>
              <w:rPr>
                <w:rFonts w:ascii="Times New Roman" w:hAnsi="Times New Roman"/>
                <w:bCs/>
                <w:color w:val="auto"/>
                <w:sz w:val="21"/>
                <w:lang w:eastAsia="zh-CN"/>
              </w:rPr>
              <w:t>37%盐酸</w:t>
            </w:r>
            <w:r>
              <w:rPr>
                <w:rFonts w:hint="eastAsia" w:ascii="Times New Roman" w:hAnsi="Times New Roman"/>
                <w:color w:val="auto"/>
                <w:sz w:val="21"/>
                <w:lang w:eastAsia="zh-CN"/>
              </w:rPr>
              <w:t>量</w:t>
            </w:r>
          </w:p>
        </w:tc>
        <w:tc>
          <w:tcPr>
            <w:tcW w:w="941" w:type="pct"/>
            <w:vAlign w:val="center"/>
          </w:tcPr>
          <w:p w14:paraId="18DC579E">
            <w:pPr>
              <w:widowControl w:val="0"/>
              <w:snapToGrid w:val="0"/>
              <w:spacing w:before="60" w:after="6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31.54</w:t>
            </w:r>
          </w:p>
        </w:tc>
        <w:tc>
          <w:tcPr>
            <w:tcW w:w="869" w:type="pct"/>
            <w:vAlign w:val="center"/>
          </w:tcPr>
          <w:p w14:paraId="581A1310">
            <w:pPr>
              <w:widowControl w:val="0"/>
              <w:adjustRightInd w:val="0"/>
              <w:snapToGrid w:val="0"/>
              <w:spacing w:before="60" w:after="60"/>
              <w:jc w:val="center"/>
              <w:textAlignment w:val="baseline"/>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1008.4</w:t>
            </w:r>
          </w:p>
        </w:tc>
        <w:tc>
          <w:tcPr>
            <w:tcW w:w="723" w:type="pct"/>
            <w:vAlign w:val="center"/>
          </w:tcPr>
          <w:p w14:paraId="7B5A3A04">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7.5</w:t>
            </w:r>
          </w:p>
        </w:tc>
        <w:tc>
          <w:tcPr>
            <w:tcW w:w="515" w:type="pct"/>
            <w:vAlign w:val="center"/>
          </w:tcPr>
          <w:p w14:paraId="4F70B4DF">
            <w:pPr>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138.66</w:t>
            </w:r>
          </w:p>
        </w:tc>
      </w:tr>
      <w:tr w14:paraId="0F4125A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485" w:type="pct"/>
            <w:gridSpan w:val="6"/>
            <w:noWrap/>
            <w:vAlign w:val="center"/>
          </w:tcPr>
          <w:p w14:paraId="3A38FC1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项目Q值∑</w:t>
            </w:r>
          </w:p>
        </w:tc>
        <w:tc>
          <w:tcPr>
            <w:tcW w:w="515" w:type="pct"/>
            <w:noWrap/>
            <w:vAlign w:val="center"/>
          </w:tcPr>
          <w:p w14:paraId="372B329B">
            <w:pPr>
              <w:adjustRightInd w:val="0"/>
              <w:snapToGrid w:val="0"/>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5344.19</w:t>
            </w:r>
          </w:p>
        </w:tc>
      </w:tr>
    </w:tbl>
    <w:p w14:paraId="0463B95F">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由上表可以看出，本项目涉及的危险物质数量与</w:t>
      </w:r>
      <w:r>
        <w:rPr>
          <w:rFonts w:ascii="Times New Roman" w:hAnsi="Times New Roman" w:cs="Times New Roman"/>
          <w:color w:val="auto"/>
          <w:lang w:eastAsia="zh-CN"/>
        </w:rPr>
        <w:t>临界量</w:t>
      </w:r>
      <w:r>
        <w:rPr>
          <w:rFonts w:ascii="Times New Roman" w:hAnsi="Times New Roman" w:cs="Times New Roman"/>
          <w:color w:val="auto"/>
          <w:szCs w:val="24"/>
          <w:lang w:eastAsia="zh-CN"/>
        </w:rPr>
        <w:t>的比值Q=</w:t>
      </w:r>
      <w:r>
        <w:rPr>
          <w:rFonts w:hint="eastAsia" w:ascii="Times New Roman" w:hAnsi="Times New Roman" w:cs="Times New Roman"/>
          <w:color w:val="auto"/>
          <w:szCs w:val="24"/>
          <w:lang w:eastAsia="zh-CN"/>
        </w:rPr>
        <w:t>5344.19</w:t>
      </w:r>
      <w:r>
        <w:rPr>
          <w:rFonts w:ascii="Times New Roman" w:hAnsi="Times New Roman" w:cs="Times New Roman"/>
          <w:color w:val="auto"/>
          <w:szCs w:val="24"/>
          <w:lang w:eastAsia="zh-CN"/>
        </w:rPr>
        <w:t>，</w:t>
      </w:r>
      <w:r>
        <w:rPr>
          <w:rFonts w:ascii="Times New Roman" w:hAnsi="Times New Roman" w:cs="Times New Roman"/>
          <w:color w:val="auto"/>
          <w:lang w:eastAsia="zh-CN"/>
        </w:rPr>
        <w:t>Q≥100</w:t>
      </w:r>
      <w:r>
        <w:rPr>
          <w:rFonts w:ascii="Times New Roman" w:hAnsi="Times New Roman" w:cs="Times New Roman"/>
          <w:color w:val="auto"/>
          <w:szCs w:val="24"/>
          <w:lang w:eastAsia="zh-CN"/>
        </w:rPr>
        <w:t>。</w:t>
      </w:r>
    </w:p>
    <w:p w14:paraId="00CB1DCC">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2）M</w:t>
      </w:r>
    </w:p>
    <w:p w14:paraId="0B42DC00">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color w:val="auto"/>
          <w:szCs w:val="24"/>
          <w:lang w:eastAsia="zh-CN"/>
        </w:rPr>
        <w:t>具有多套工艺单元的项目，对每套生产工艺分别评分并求和。将M划分为（1）M＞20；（2）10＜M≤20；（3）5＜M≤10；（4）M=5，分别以M1、M2、M3和M4表示。</w:t>
      </w:r>
    </w:p>
    <w:p w14:paraId="1EFEAB05">
      <w:pPr>
        <w:widowControl w:val="0"/>
        <w:spacing w:line="360" w:lineRule="auto"/>
        <w:jc w:val="center"/>
        <w:rPr>
          <w:rFonts w:ascii="Times New Roman" w:hAnsi="Times New Roman" w:eastAsia="新宋体" w:cs="Times New Roman"/>
          <w:color w:val="auto"/>
          <w:szCs w:val="24"/>
          <w:lang w:eastAsia="zh-CN"/>
        </w:rPr>
      </w:pPr>
      <w:r>
        <w:rPr>
          <w:rFonts w:ascii="Times New Roman" w:hAnsi="Times New Roman" w:eastAsia="新宋体" w:cs="Times New Roman"/>
          <w:b/>
          <w:bCs/>
          <w:color w:val="auto"/>
          <w:szCs w:val="24"/>
          <w:lang w:eastAsia="zh-CN"/>
        </w:rPr>
        <w:t>表2.4-</w:t>
      </w:r>
      <w:r>
        <w:rPr>
          <w:rFonts w:hint="eastAsia" w:ascii="Times New Roman" w:hAnsi="Times New Roman" w:eastAsia="新宋体" w:cs="Times New Roman"/>
          <w:b/>
          <w:bCs/>
          <w:color w:val="auto"/>
          <w:szCs w:val="24"/>
          <w:lang w:eastAsia="zh-CN"/>
        </w:rPr>
        <w:t>8</w:t>
      </w:r>
      <w:r>
        <w:rPr>
          <w:rFonts w:ascii="Times New Roman" w:hAnsi="Times New Roman" w:eastAsia="新宋体" w:cs="Times New Roman"/>
          <w:b/>
          <w:bCs/>
          <w:color w:val="auto"/>
          <w:szCs w:val="24"/>
          <w:lang w:eastAsia="zh-CN"/>
        </w:rPr>
        <w:t xml:space="preserve"> 企业生产工艺分值情况表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938"/>
        <w:gridCol w:w="6241"/>
        <w:gridCol w:w="1247"/>
        <w:gridCol w:w="1320"/>
      </w:tblGrid>
      <w:tr w14:paraId="721323B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481" w:type="pct"/>
            <w:vAlign w:val="center"/>
          </w:tcPr>
          <w:p w14:paraId="2AF39494">
            <w:pPr>
              <w:pStyle w:val="62"/>
              <w:widowControl w:val="0"/>
              <w:adjustRightInd w:val="0"/>
              <w:snapToGrid w:val="0"/>
              <w:spacing w:before="0" w:after="0"/>
              <w:jc w:val="center"/>
              <w:rPr>
                <w:rFonts w:ascii="Times New Roman" w:hAnsi="Times New Roman" w:eastAsia="新宋体"/>
                <w:b/>
                <w:color w:val="auto"/>
                <w:sz w:val="21"/>
                <w:szCs w:val="21"/>
              </w:rPr>
            </w:pPr>
            <w:r>
              <w:rPr>
                <w:rFonts w:ascii="Times New Roman" w:hAnsi="Times New Roman" w:eastAsia="新宋体"/>
                <w:b/>
                <w:color w:val="auto"/>
                <w:sz w:val="21"/>
                <w:szCs w:val="21"/>
              </w:rPr>
              <w:t>行业</w:t>
            </w:r>
          </w:p>
        </w:tc>
        <w:tc>
          <w:tcPr>
            <w:tcW w:w="3202" w:type="pct"/>
            <w:vAlign w:val="center"/>
          </w:tcPr>
          <w:p w14:paraId="5D97C4F9">
            <w:pPr>
              <w:pStyle w:val="62"/>
              <w:widowControl w:val="0"/>
              <w:adjustRightInd w:val="0"/>
              <w:snapToGrid w:val="0"/>
              <w:spacing w:before="0" w:after="0"/>
              <w:jc w:val="center"/>
              <w:rPr>
                <w:rFonts w:ascii="Times New Roman" w:hAnsi="Times New Roman" w:eastAsia="新宋体"/>
                <w:b/>
                <w:color w:val="auto"/>
                <w:sz w:val="21"/>
                <w:szCs w:val="21"/>
              </w:rPr>
            </w:pPr>
            <w:r>
              <w:rPr>
                <w:rFonts w:ascii="Times New Roman" w:hAnsi="Times New Roman" w:eastAsia="新宋体"/>
                <w:b/>
                <w:color w:val="auto"/>
                <w:sz w:val="21"/>
                <w:szCs w:val="21"/>
              </w:rPr>
              <w:t>评估依据</w:t>
            </w:r>
          </w:p>
        </w:tc>
        <w:tc>
          <w:tcPr>
            <w:tcW w:w="640" w:type="pct"/>
            <w:vAlign w:val="center"/>
          </w:tcPr>
          <w:p w14:paraId="226C666E">
            <w:pPr>
              <w:pStyle w:val="62"/>
              <w:widowControl w:val="0"/>
              <w:adjustRightInd w:val="0"/>
              <w:snapToGrid w:val="0"/>
              <w:spacing w:before="0" w:after="0"/>
              <w:jc w:val="center"/>
              <w:rPr>
                <w:rFonts w:ascii="Times New Roman" w:hAnsi="Times New Roman" w:eastAsia="新宋体"/>
                <w:b/>
                <w:color w:val="auto"/>
                <w:sz w:val="21"/>
                <w:szCs w:val="21"/>
              </w:rPr>
            </w:pPr>
            <w:r>
              <w:rPr>
                <w:rFonts w:ascii="Times New Roman" w:hAnsi="Times New Roman" w:eastAsia="新宋体"/>
                <w:b/>
                <w:color w:val="auto"/>
                <w:sz w:val="21"/>
                <w:szCs w:val="21"/>
              </w:rPr>
              <w:t>分值标准</w:t>
            </w:r>
          </w:p>
        </w:tc>
        <w:tc>
          <w:tcPr>
            <w:tcW w:w="677" w:type="pct"/>
            <w:vAlign w:val="center"/>
          </w:tcPr>
          <w:p w14:paraId="33A23D37">
            <w:pPr>
              <w:pStyle w:val="62"/>
              <w:widowControl w:val="0"/>
              <w:adjustRightInd w:val="0"/>
              <w:snapToGrid w:val="0"/>
              <w:spacing w:before="0" w:after="0"/>
              <w:jc w:val="center"/>
              <w:rPr>
                <w:rFonts w:ascii="Times New Roman" w:hAnsi="Times New Roman" w:eastAsia="新宋体"/>
                <w:b/>
                <w:color w:val="auto"/>
                <w:sz w:val="21"/>
                <w:szCs w:val="21"/>
              </w:rPr>
            </w:pPr>
            <w:r>
              <w:rPr>
                <w:rFonts w:ascii="Times New Roman" w:hAnsi="Times New Roman" w:eastAsia="新宋体"/>
                <w:b/>
                <w:color w:val="auto"/>
                <w:sz w:val="21"/>
                <w:szCs w:val="21"/>
              </w:rPr>
              <w:t>本项目得分</w:t>
            </w:r>
          </w:p>
        </w:tc>
      </w:tr>
      <w:tr w14:paraId="492627D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481" w:type="pct"/>
            <w:vMerge w:val="restart"/>
            <w:vAlign w:val="center"/>
          </w:tcPr>
          <w:p w14:paraId="634F3C23">
            <w:pPr>
              <w:pStyle w:val="62"/>
              <w:widowControl w:val="0"/>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石化、化工、医药、轻工、化纤、有色冶炼等</w:t>
            </w:r>
          </w:p>
        </w:tc>
        <w:tc>
          <w:tcPr>
            <w:tcW w:w="3202" w:type="pct"/>
            <w:vAlign w:val="center"/>
          </w:tcPr>
          <w:p w14:paraId="71C2FE54">
            <w:pPr>
              <w:pStyle w:val="62"/>
              <w:widowControl w:val="0"/>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涉及光气及光气化工艺、电解工艺（氯碱）、氯化工艺、硝化工艺、合成氨工艺、裂解（裂化）工艺、氟化工艺、加氢工艺、重氮化工艺、氧化工艺、过氧化工艺、胺基化工艺、磺化工艺、缩合工艺、烷基化工艺、新型煤化工工艺、电石生产工艺、偶氮化工艺</w:t>
            </w:r>
          </w:p>
        </w:tc>
        <w:tc>
          <w:tcPr>
            <w:tcW w:w="640" w:type="pct"/>
            <w:vAlign w:val="center"/>
          </w:tcPr>
          <w:p w14:paraId="60A3C0C5">
            <w:pPr>
              <w:pStyle w:val="62"/>
              <w:widowControl w:val="0"/>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10/套</w:t>
            </w:r>
          </w:p>
        </w:tc>
        <w:tc>
          <w:tcPr>
            <w:tcW w:w="677" w:type="pct"/>
            <w:vAlign w:val="center"/>
          </w:tcPr>
          <w:p w14:paraId="052720E8">
            <w:pPr>
              <w:pStyle w:val="62"/>
              <w:widowControl w:val="0"/>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0</w:t>
            </w:r>
          </w:p>
        </w:tc>
      </w:tr>
      <w:tr w14:paraId="44D09CA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481" w:type="pct"/>
            <w:vMerge w:val="continue"/>
            <w:vAlign w:val="center"/>
          </w:tcPr>
          <w:p w14:paraId="57D44358">
            <w:pPr>
              <w:pStyle w:val="62"/>
              <w:widowControl w:val="0"/>
              <w:adjustRightInd w:val="0"/>
              <w:snapToGrid w:val="0"/>
              <w:spacing w:before="0" w:after="0"/>
              <w:jc w:val="center"/>
              <w:rPr>
                <w:rFonts w:ascii="Times New Roman" w:hAnsi="Times New Roman" w:eastAsia="新宋体"/>
                <w:color w:val="auto"/>
                <w:sz w:val="21"/>
                <w:szCs w:val="21"/>
              </w:rPr>
            </w:pPr>
          </w:p>
        </w:tc>
        <w:tc>
          <w:tcPr>
            <w:tcW w:w="3202" w:type="pct"/>
            <w:vAlign w:val="center"/>
          </w:tcPr>
          <w:p w14:paraId="05285CB1">
            <w:pPr>
              <w:pStyle w:val="62"/>
              <w:widowControl w:val="0"/>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无机酸制酸工艺、焦化工艺</w:t>
            </w:r>
          </w:p>
        </w:tc>
        <w:tc>
          <w:tcPr>
            <w:tcW w:w="640" w:type="pct"/>
            <w:vAlign w:val="center"/>
          </w:tcPr>
          <w:p w14:paraId="78789DFB">
            <w:pPr>
              <w:pStyle w:val="62"/>
              <w:widowControl w:val="0"/>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5/套</w:t>
            </w:r>
          </w:p>
        </w:tc>
        <w:tc>
          <w:tcPr>
            <w:tcW w:w="677" w:type="pct"/>
            <w:vAlign w:val="center"/>
          </w:tcPr>
          <w:p w14:paraId="4651A26A">
            <w:pPr>
              <w:pStyle w:val="62"/>
              <w:widowControl w:val="0"/>
              <w:adjustRightInd w:val="0"/>
              <w:snapToGrid w:val="0"/>
              <w:spacing w:before="0" w:after="0"/>
              <w:jc w:val="center"/>
              <w:rPr>
                <w:rFonts w:ascii="Times New Roman" w:hAnsi="Times New Roman" w:eastAsia="新宋体"/>
                <w:color w:val="auto"/>
                <w:sz w:val="21"/>
                <w:szCs w:val="21"/>
                <w:lang w:eastAsia="zh-CN"/>
              </w:rPr>
            </w:pPr>
            <w:r>
              <w:rPr>
                <w:rFonts w:hint="eastAsia" w:ascii="Times New Roman" w:hAnsi="Times New Roman" w:eastAsia="新宋体"/>
                <w:color w:val="auto"/>
                <w:sz w:val="21"/>
                <w:szCs w:val="21"/>
                <w:lang w:eastAsia="zh-CN"/>
              </w:rPr>
              <w:t>0</w:t>
            </w:r>
          </w:p>
        </w:tc>
      </w:tr>
      <w:tr w14:paraId="4BEC758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481" w:type="pct"/>
            <w:vMerge w:val="continue"/>
            <w:vAlign w:val="center"/>
          </w:tcPr>
          <w:p w14:paraId="12161B25">
            <w:pPr>
              <w:pStyle w:val="62"/>
              <w:widowControl w:val="0"/>
              <w:adjustRightInd w:val="0"/>
              <w:snapToGrid w:val="0"/>
              <w:spacing w:before="0" w:after="0"/>
              <w:jc w:val="center"/>
              <w:rPr>
                <w:rFonts w:ascii="Times New Roman" w:hAnsi="Times New Roman" w:eastAsia="新宋体"/>
                <w:color w:val="auto"/>
                <w:sz w:val="21"/>
                <w:szCs w:val="21"/>
              </w:rPr>
            </w:pPr>
          </w:p>
        </w:tc>
        <w:tc>
          <w:tcPr>
            <w:tcW w:w="3202" w:type="pct"/>
            <w:vAlign w:val="center"/>
          </w:tcPr>
          <w:p w14:paraId="751C0C91">
            <w:pPr>
              <w:pStyle w:val="62"/>
              <w:widowControl w:val="0"/>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其他高温或高压且涉及危险物质的工艺过程</w:t>
            </w:r>
            <w:r>
              <w:rPr>
                <w:rFonts w:ascii="Times New Roman" w:hAnsi="Times New Roman" w:eastAsia="新宋体"/>
                <w:color w:val="auto"/>
                <w:sz w:val="21"/>
                <w:szCs w:val="21"/>
                <w:vertAlign w:val="superscript"/>
                <w:lang w:eastAsia="zh-CN"/>
              </w:rPr>
              <w:t>a</w:t>
            </w:r>
            <w:r>
              <w:rPr>
                <w:rFonts w:ascii="Times New Roman" w:hAnsi="Times New Roman" w:eastAsia="新宋体"/>
                <w:color w:val="auto"/>
                <w:sz w:val="21"/>
                <w:szCs w:val="21"/>
                <w:lang w:eastAsia="zh-CN"/>
              </w:rPr>
              <w:t>、危险物质贮存罐区</w:t>
            </w:r>
          </w:p>
        </w:tc>
        <w:tc>
          <w:tcPr>
            <w:tcW w:w="640" w:type="pct"/>
            <w:vAlign w:val="center"/>
          </w:tcPr>
          <w:p w14:paraId="501B045F">
            <w:pPr>
              <w:pStyle w:val="62"/>
              <w:widowControl w:val="0"/>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5/每套（罐区）</w:t>
            </w:r>
          </w:p>
        </w:tc>
        <w:tc>
          <w:tcPr>
            <w:tcW w:w="677" w:type="pct"/>
            <w:vAlign w:val="center"/>
          </w:tcPr>
          <w:p w14:paraId="3783875B">
            <w:pPr>
              <w:pStyle w:val="62"/>
              <w:widowControl w:val="0"/>
              <w:adjustRightInd w:val="0"/>
              <w:snapToGrid w:val="0"/>
              <w:spacing w:before="0" w:after="0"/>
              <w:jc w:val="center"/>
              <w:rPr>
                <w:rFonts w:ascii="Times New Roman" w:hAnsi="Times New Roman" w:eastAsia="新宋体"/>
                <w:color w:val="auto"/>
                <w:sz w:val="21"/>
                <w:szCs w:val="21"/>
                <w:lang w:eastAsia="zh-CN"/>
              </w:rPr>
            </w:pPr>
            <w:r>
              <w:rPr>
                <w:rFonts w:hint="eastAsia" w:ascii="Times New Roman" w:hAnsi="Times New Roman" w:eastAsia="新宋体"/>
                <w:color w:val="auto"/>
                <w:sz w:val="21"/>
                <w:szCs w:val="21"/>
                <w:lang w:eastAsia="zh-CN"/>
              </w:rPr>
              <w:t>15</w:t>
            </w:r>
          </w:p>
        </w:tc>
      </w:tr>
      <w:tr w14:paraId="559B84B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481" w:type="pct"/>
            <w:vAlign w:val="center"/>
          </w:tcPr>
          <w:p w14:paraId="496613E9">
            <w:pPr>
              <w:pStyle w:val="62"/>
              <w:widowControl w:val="0"/>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其他</w:t>
            </w:r>
          </w:p>
        </w:tc>
        <w:tc>
          <w:tcPr>
            <w:tcW w:w="3202" w:type="pct"/>
            <w:vAlign w:val="center"/>
          </w:tcPr>
          <w:p w14:paraId="6C16B73F">
            <w:pPr>
              <w:pStyle w:val="62"/>
              <w:widowControl w:val="0"/>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涉及危险物质使用、贮存的项目</w:t>
            </w:r>
          </w:p>
        </w:tc>
        <w:tc>
          <w:tcPr>
            <w:tcW w:w="640" w:type="pct"/>
            <w:vAlign w:val="center"/>
          </w:tcPr>
          <w:p w14:paraId="3E80D16A">
            <w:pPr>
              <w:pStyle w:val="62"/>
              <w:widowControl w:val="0"/>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5</w:t>
            </w:r>
          </w:p>
        </w:tc>
        <w:tc>
          <w:tcPr>
            <w:tcW w:w="677" w:type="pct"/>
            <w:vAlign w:val="center"/>
          </w:tcPr>
          <w:p w14:paraId="6EEEAE24">
            <w:pPr>
              <w:pStyle w:val="62"/>
              <w:widowControl w:val="0"/>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0</w:t>
            </w:r>
          </w:p>
        </w:tc>
      </w:tr>
      <w:tr w14:paraId="6BB20AC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4323" w:type="pct"/>
            <w:gridSpan w:val="3"/>
            <w:vAlign w:val="center"/>
          </w:tcPr>
          <w:p w14:paraId="4A3FB1E8">
            <w:pPr>
              <w:pStyle w:val="62"/>
              <w:widowControl w:val="0"/>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合计</w:t>
            </w:r>
          </w:p>
        </w:tc>
        <w:tc>
          <w:tcPr>
            <w:tcW w:w="677" w:type="pct"/>
            <w:vAlign w:val="center"/>
          </w:tcPr>
          <w:p w14:paraId="0898DF0F">
            <w:pPr>
              <w:pStyle w:val="62"/>
              <w:widowControl w:val="0"/>
              <w:adjustRightInd w:val="0"/>
              <w:snapToGrid w:val="0"/>
              <w:spacing w:before="0" w:after="0"/>
              <w:jc w:val="center"/>
              <w:rPr>
                <w:rFonts w:ascii="Times New Roman" w:hAnsi="Times New Roman" w:eastAsia="新宋体"/>
                <w:color w:val="auto"/>
                <w:sz w:val="21"/>
                <w:szCs w:val="21"/>
                <w:lang w:eastAsia="zh-CN"/>
              </w:rPr>
            </w:pPr>
            <w:r>
              <w:rPr>
                <w:rFonts w:hint="eastAsia" w:ascii="Times New Roman" w:hAnsi="Times New Roman" w:eastAsia="新宋体"/>
                <w:color w:val="auto"/>
                <w:sz w:val="21"/>
                <w:szCs w:val="21"/>
                <w:lang w:eastAsia="zh-CN"/>
              </w:rPr>
              <w:t>15</w:t>
            </w:r>
          </w:p>
        </w:tc>
      </w:tr>
    </w:tbl>
    <w:p w14:paraId="285372D2">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本项目为化工生产项目，本项目</w:t>
      </w:r>
      <w:r>
        <w:rPr>
          <w:rFonts w:hint="eastAsia" w:ascii="Times New Roman" w:hAnsi="Times New Roman" w:cs="Times New Roman"/>
          <w:color w:val="auto"/>
          <w:szCs w:val="24"/>
          <w:lang w:eastAsia="zh-CN"/>
        </w:rPr>
        <w:t>涉及的罐区主要为戊类罐区二、原料及产品罐区、无水氟化氢罐区（库房），共3套</w:t>
      </w:r>
      <w:r>
        <w:rPr>
          <w:rFonts w:ascii="Times New Roman" w:hAnsi="Times New Roman" w:cs="Times New Roman"/>
          <w:color w:val="auto"/>
          <w:szCs w:val="24"/>
          <w:lang w:eastAsia="zh-CN"/>
        </w:rPr>
        <w:t>，此部分得分</w:t>
      </w:r>
      <w:r>
        <w:rPr>
          <w:rFonts w:hint="eastAsia" w:ascii="Times New Roman" w:hAnsi="Times New Roman" w:cs="Times New Roman"/>
          <w:color w:val="auto"/>
          <w:szCs w:val="24"/>
          <w:lang w:eastAsia="zh-CN"/>
        </w:rPr>
        <w:t>15</w:t>
      </w:r>
      <w:r>
        <w:rPr>
          <w:rFonts w:ascii="Times New Roman" w:hAnsi="Times New Roman" w:cs="Times New Roman"/>
          <w:color w:val="auto"/>
          <w:szCs w:val="24"/>
          <w:lang w:eastAsia="zh-CN"/>
        </w:rPr>
        <w:t>分。故企业生产工艺分值（M）为</w:t>
      </w:r>
      <w:r>
        <w:rPr>
          <w:rFonts w:hint="eastAsia" w:ascii="Times New Roman" w:hAnsi="Times New Roman" w:cs="Times New Roman"/>
          <w:color w:val="auto"/>
          <w:szCs w:val="24"/>
          <w:lang w:eastAsia="zh-CN"/>
        </w:rPr>
        <w:t>15</w:t>
      </w:r>
      <w:r>
        <w:rPr>
          <w:rFonts w:ascii="Times New Roman" w:hAnsi="Times New Roman" w:cs="Times New Roman"/>
          <w:color w:val="auto"/>
          <w:szCs w:val="24"/>
          <w:lang w:eastAsia="zh-CN"/>
        </w:rPr>
        <w:t>分，为M</w:t>
      </w:r>
      <w:r>
        <w:rPr>
          <w:rFonts w:hint="eastAsia" w:ascii="Times New Roman" w:hAnsi="Times New Roman" w:cs="Times New Roman"/>
          <w:color w:val="auto"/>
          <w:szCs w:val="24"/>
          <w:lang w:eastAsia="zh-CN"/>
        </w:rPr>
        <w:t>2</w:t>
      </w:r>
      <w:r>
        <w:rPr>
          <w:rFonts w:ascii="Times New Roman" w:hAnsi="Times New Roman" w:cs="Times New Roman"/>
          <w:color w:val="auto"/>
          <w:szCs w:val="24"/>
          <w:lang w:eastAsia="zh-CN"/>
        </w:rPr>
        <w:t>。</w:t>
      </w:r>
    </w:p>
    <w:p w14:paraId="24689A90">
      <w:pPr>
        <w:widowControl w:val="0"/>
        <w:spacing w:line="360" w:lineRule="auto"/>
        <w:ind w:firstLine="480" w:firstLineChars="200"/>
        <w:jc w:val="both"/>
        <w:rPr>
          <w:rFonts w:ascii="Times New Roman" w:hAnsi="Times New Roman" w:eastAsia="新宋体" w:cs="Times New Roman"/>
          <w:bCs/>
          <w:color w:val="auto"/>
          <w:szCs w:val="24"/>
          <w:lang w:eastAsia="zh-CN"/>
        </w:rPr>
      </w:pPr>
      <w:r>
        <w:rPr>
          <w:rFonts w:ascii="Times New Roman" w:hAnsi="Times New Roman" w:eastAsia="新宋体" w:cs="Times New Roman"/>
          <w:bCs/>
          <w:color w:val="auto"/>
          <w:szCs w:val="24"/>
          <w:lang w:eastAsia="zh-CN"/>
        </w:rPr>
        <w:t>3）P</w:t>
      </w:r>
    </w:p>
    <w:p w14:paraId="5BFE4999">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根据危险物质数量与临界量比值（Q）和行业及生产工艺（M），按照下表确定危险物质及工艺系统危险性等级（P），分别以P1、P2、P3、P4表示。</w:t>
      </w:r>
    </w:p>
    <w:p w14:paraId="455A50C4">
      <w:pPr>
        <w:widowControl w:val="0"/>
        <w:spacing w:line="360" w:lineRule="auto"/>
        <w:jc w:val="center"/>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表2.4-</w:t>
      </w:r>
      <w:r>
        <w:rPr>
          <w:rFonts w:hint="eastAsia" w:ascii="Times New Roman" w:hAnsi="Times New Roman" w:eastAsia="新宋体" w:cs="Times New Roman"/>
          <w:b/>
          <w:bCs/>
          <w:color w:val="auto"/>
          <w:szCs w:val="24"/>
          <w:lang w:eastAsia="zh-CN"/>
        </w:rPr>
        <w:t>9</w:t>
      </w:r>
      <w:r>
        <w:rPr>
          <w:rFonts w:ascii="Times New Roman" w:hAnsi="Times New Roman" w:eastAsia="新宋体" w:cs="Times New Roman"/>
          <w:b/>
          <w:bCs/>
          <w:color w:val="auto"/>
          <w:szCs w:val="24"/>
          <w:lang w:eastAsia="zh-CN"/>
        </w:rPr>
        <w:t xml:space="preserve"> 危险物质及工艺系统危险性等级判断（P）</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3475"/>
        <w:gridCol w:w="1566"/>
        <w:gridCol w:w="1566"/>
        <w:gridCol w:w="1566"/>
        <w:gridCol w:w="1573"/>
      </w:tblGrid>
      <w:tr w14:paraId="08F3457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783" w:type="pct"/>
            <w:vMerge w:val="restart"/>
            <w:vAlign w:val="center"/>
          </w:tcPr>
          <w:p w14:paraId="34D95568">
            <w:pPr>
              <w:pStyle w:val="62"/>
              <w:widowControl w:val="0"/>
              <w:adjustRightInd w:val="0"/>
              <w:snapToGrid w:val="0"/>
              <w:spacing w:before="0" w:after="0"/>
              <w:jc w:val="center"/>
              <w:rPr>
                <w:rFonts w:ascii="Times New Roman" w:hAnsi="Times New Roman" w:eastAsia="宋体"/>
                <w:b/>
                <w:color w:val="auto"/>
                <w:sz w:val="21"/>
                <w:szCs w:val="21"/>
                <w:lang w:eastAsia="zh-CN"/>
              </w:rPr>
            </w:pPr>
            <w:r>
              <w:rPr>
                <w:rFonts w:ascii="Times New Roman" w:hAnsi="Times New Roman" w:eastAsia="宋体"/>
                <w:b/>
                <w:color w:val="auto"/>
                <w:sz w:val="21"/>
                <w:szCs w:val="21"/>
                <w:lang w:eastAsia="zh-CN"/>
              </w:rPr>
              <w:t>危险物质数量与临界量比值（Q）</w:t>
            </w:r>
          </w:p>
        </w:tc>
        <w:tc>
          <w:tcPr>
            <w:tcW w:w="3216" w:type="pct"/>
            <w:gridSpan w:val="4"/>
            <w:vAlign w:val="center"/>
          </w:tcPr>
          <w:p w14:paraId="10AE4755">
            <w:pPr>
              <w:pStyle w:val="62"/>
              <w:widowControl w:val="0"/>
              <w:adjustRightInd w:val="0"/>
              <w:snapToGrid w:val="0"/>
              <w:spacing w:before="0" w:after="0"/>
              <w:jc w:val="center"/>
              <w:rPr>
                <w:rFonts w:ascii="Times New Roman" w:hAnsi="Times New Roman" w:eastAsia="宋体"/>
                <w:b/>
                <w:color w:val="auto"/>
                <w:sz w:val="21"/>
                <w:szCs w:val="21"/>
                <w:lang w:eastAsia="zh-CN"/>
              </w:rPr>
            </w:pPr>
            <w:r>
              <w:rPr>
                <w:rFonts w:ascii="Times New Roman" w:hAnsi="Times New Roman" w:eastAsia="宋体"/>
                <w:b/>
                <w:color w:val="auto"/>
                <w:sz w:val="21"/>
                <w:szCs w:val="21"/>
                <w:lang w:eastAsia="zh-CN"/>
              </w:rPr>
              <w:t>行业及生产工艺（M）</w:t>
            </w:r>
          </w:p>
        </w:tc>
      </w:tr>
      <w:tr w14:paraId="6E0BD8C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783" w:type="pct"/>
            <w:vMerge w:val="continue"/>
            <w:vAlign w:val="center"/>
          </w:tcPr>
          <w:p w14:paraId="77BCF245">
            <w:pPr>
              <w:pStyle w:val="62"/>
              <w:widowControl w:val="0"/>
              <w:adjustRightInd w:val="0"/>
              <w:snapToGrid w:val="0"/>
              <w:spacing w:before="0" w:after="0"/>
              <w:jc w:val="center"/>
              <w:rPr>
                <w:rFonts w:ascii="Times New Roman" w:hAnsi="Times New Roman" w:eastAsia="宋体"/>
                <w:color w:val="auto"/>
                <w:sz w:val="21"/>
                <w:szCs w:val="21"/>
                <w:lang w:eastAsia="zh-CN"/>
              </w:rPr>
            </w:pPr>
          </w:p>
        </w:tc>
        <w:tc>
          <w:tcPr>
            <w:tcW w:w="803" w:type="pct"/>
            <w:tcBorders>
              <w:bottom w:val="single" w:color="auto" w:sz="6" w:space="0"/>
            </w:tcBorders>
            <w:vAlign w:val="center"/>
          </w:tcPr>
          <w:p w14:paraId="26A72D90">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M1</w:t>
            </w:r>
          </w:p>
        </w:tc>
        <w:tc>
          <w:tcPr>
            <w:tcW w:w="803" w:type="pct"/>
            <w:vAlign w:val="center"/>
          </w:tcPr>
          <w:p w14:paraId="768BC7BF">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M2</w:t>
            </w:r>
          </w:p>
        </w:tc>
        <w:tc>
          <w:tcPr>
            <w:tcW w:w="803" w:type="pct"/>
            <w:vAlign w:val="center"/>
          </w:tcPr>
          <w:p w14:paraId="6B7AF3CE">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M3</w:t>
            </w:r>
          </w:p>
        </w:tc>
        <w:tc>
          <w:tcPr>
            <w:tcW w:w="804" w:type="pct"/>
            <w:vAlign w:val="center"/>
          </w:tcPr>
          <w:p w14:paraId="66E804C5">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M4</w:t>
            </w:r>
          </w:p>
        </w:tc>
      </w:tr>
      <w:tr w14:paraId="66DEE74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783" w:type="pct"/>
            <w:vAlign w:val="center"/>
          </w:tcPr>
          <w:p w14:paraId="57890524">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Q≥100</w:t>
            </w:r>
          </w:p>
        </w:tc>
        <w:tc>
          <w:tcPr>
            <w:tcW w:w="803" w:type="pct"/>
            <w:tcBorders>
              <w:top w:val="single" w:color="auto" w:sz="6" w:space="0"/>
              <w:bottom w:val="single" w:color="auto" w:sz="6" w:space="0"/>
            </w:tcBorders>
            <w:vAlign w:val="center"/>
          </w:tcPr>
          <w:p w14:paraId="3E9719CF">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P1</w:t>
            </w:r>
          </w:p>
        </w:tc>
        <w:tc>
          <w:tcPr>
            <w:tcW w:w="803" w:type="pct"/>
            <w:shd w:val="clear" w:color="auto" w:fill="A5A5A5" w:themeFill="background1" w:themeFillShade="A6"/>
            <w:vAlign w:val="center"/>
          </w:tcPr>
          <w:p w14:paraId="45C5EAF9">
            <w:pPr>
              <w:pStyle w:val="62"/>
              <w:widowControl w:val="0"/>
              <w:adjustRightInd w:val="0"/>
              <w:snapToGrid w:val="0"/>
              <w:spacing w:before="0" w:after="0"/>
              <w:jc w:val="center"/>
              <w:rPr>
                <w:rFonts w:ascii="Times New Roman" w:hAnsi="Times New Roman" w:eastAsia="宋体"/>
                <w:color w:val="FF0000"/>
                <w:sz w:val="21"/>
                <w:szCs w:val="21"/>
                <w:highlight w:val="darkGray"/>
              </w:rPr>
            </w:pPr>
            <w:r>
              <w:rPr>
                <w:rFonts w:ascii="Times New Roman" w:hAnsi="Times New Roman" w:eastAsia="宋体"/>
                <w:color w:val="auto"/>
                <w:sz w:val="21"/>
                <w:szCs w:val="21"/>
              </w:rPr>
              <w:t>P1</w:t>
            </w:r>
          </w:p>
        </w:tc>
        <w:tc>
          <w:tcPr>
            <w:tcW w:w="803" w:type="pct"/>
            <w:vAlign w:val="center"/>
          </w:tcPr>
          <w:p w14:paraId="54D424F4">
            <w:pPr>
              <w:pStyle w:val="62"/>
              <w:widowControl w:val="0"/>
              <w:adjustRightInd w:val="0"/>
              <w:snapToGrid w:val="0"/>
              <w:spacing w:before="0" w:after="0"/>
              <w:jc w:val="center"/>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P2</w:t>
            </w:r>
          </w:p>
        </w:tc>
        <w:tc>
          <w:tcPr>
            <w:tcW w:w="804" w:type="pct"/>
            <w:tcBorders>
              <w:bottom w:val="single" w:color="auto" w:sz="6" w:space="0"/>
            </w:tcBorders>
            <w:vAlign w:val="center"/>
          </w:tcPr>
          <w:p w14:paraId="699A7DF4">
            <w:pPr>
              <w:pStyle w:val="62"/>
              <w:widowControl w:val="0"/>
              <w:adjustRightInd w:val="0"/>
              <w:snapToGrid w:val="0"/>
              <w:spacing w:before="0" w:after="0"/>
              <w:jc w:val="center"/>
              <w:rPr>
                <w:rFonts w:ascii="Times New Roman" w:hAnsi="Times New Roman" w:eastAsia="宋体"/>
                <w:color w:val="auto"/>
                <w:sz w:val="21"/>
                <w:szCs w:val="21"/>
                <w:highlight w:val="lightGray"/>
              </w:rPr>
            </w:pPr>
            <w:r>
              <w:rPr>
                <w:rFonts w:ascii="Times New Roman" w:hAnsi="Times New Roman" w:eastAsia="宋体"/>
                <w:color w:val="auto"/>
                <w:sz w:val="21"/>
                <w:szCs w:val="21"/>
              </w:rPr>
              <w:t>P3</w:t>
            </w:r>
          </w:p>
        </w:tc>
      </w:tr>
      <w:tr w14:paraId="13B6C80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783" w:type="pct"/>
            <w:vAlign w:val="center"/>
          </w:tcPr>
          <w:p w14:paraId="105AC537">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10≤Q＜100</w:t>
            </w:r>
          </w:p>
        </w:tc>
        <w:tc>
          <w:tcPr>
            <w:tcW w:w="803" w:type="pct"/>
            <w:tcBorders>
              <w:top w:val="single" w:color="auto" w:sz="6" w:space="0"/>
            </w:tcBorders>
            <w:vAlign w:val="center"/>
          </w:tcPr>
          <w:p w14:paraId="054C9A96">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P1</w:t>
            </w:r>
          </w:p>
        </w:tc>
        <w:tc>
          <w:tcPr>
            <w:tcW w:w="803" w:type="pct"/>
            <w:vAlign w:val="center"/>
          </w:tcPr>
          <w:p w14:paraId="66D32A88">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P2</w:t>
            </w:r>
          </w:p>
        </w:tc>
        <w:tc>
          <w:tcPr>
            <w:tcW w:w="803" w:type="pct"/>
            <w:vAlign w:val="center"/>
          </w:tcPr>
          <w:p w14:paraId="4E138C88">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P3</w:t>
            </w:r>
          </w:p>
        </w:tc>
        <w:tc>
          <w:tcPr>
            <w:tcW w:w="804" w:type="pct"/>
            <w:tcBorders>
              <w:top w:val="single" w:color="auto" w:sz="6" w:space="0"/>
              <w:bottom w:val="single" w:color="auto" w:sz="6" w:space="0"/>
            </w:tcBorders>
            <w:vAlign w:val="center"/>
          </w:tcPr>
          <w:p w14:paraId="5F03112D">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P4</w:t>
            </w:r>
          </w:p>
        </w:tc>
      </w:tr>
      <w:tr w14:paraId="0FE7CFC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783" w:type="pct"/>
            <w:vAlign w:val="center"/>
          </w:tcPr>
          <w:p w14:paraId="6624CF31">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1≤Q＜10</w:t>
            </w:r>
          </w:p>
        </w:tc>
        <w:tc>
          <w:tcPr>
            <w:tcW w:w="803" w:type="pct"/>
            <w:vAlign w:val="center"/>
          </w:tcPr>
          <w:p w14:paraId="2D2D8768">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P2</w:t>
            </w:r>
          </w:p>
        </w:tc>
        <w:tc>
          <w:tcPr>
            <w:tcW w:w="803" w:type="pct"/>
            <w:vAlign w:val="center"/>
          </w:tcPr>
          <w:p w14:paraId="46B07D3E">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P3</w:t>
            </w:r>
          </w:p>
        </w:tc>
        <w:tc>
          <w:tcPr>
            <w:tcW w:w="803" w:type="pct"/>
            <w:vAlign w:val="center"/>
          </w:tcPr>
          <w:p w14:paraId="7BC192E7">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P4</w:t>
            </w:r>
          </w:p>
        </w:tc>
        <w:tc>
          <w:tcPr>
            <w:tcW w:w="804" w:type="pct"/>
            <w:tcBorders>
              <w:top w:val="single" w:color="auto" w:sz="6" w:space="0"/>
            </w:tcBorders>
            <w:shd w:val="clear" w:color="auto" w:fill="FFFFFF"/>
            <w:vAlign w:val="center"/>
          </w:tcPr>
          <w:p w14:paraId="4C2DB0E3">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P4</w:t>
            </w:r>
          </w:p>
        </w:tc>
      </w:tr>
    </w:tbl>
    <w:p w14:paraId="4B1BD56C">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根据危险物质数量与临界量比值（Q）和行业及生产工艺（M）分值确定，项目危险物质及工艺系统危险性（P）分级为P</w:t>
      </w:r>
      <w:r>
        <w:rPr>
          <w:rFonts w:hint="eastAsia" w:ascii="Times New Roman" w:hAnsi="Times New Roman" w:cs="Times New Roman"/>
          <w:color w:val="auto"/>
          <w:szCs w:val="24"/>
          <w:lang w:eastAsia="zh-CN"/>
        </w:rPr>
        <w:t>1</w:t>
      </w:r>
      <w:r>
        <w:rPr>
          <w:rFonts w:ascii="Times New Roman" w:hAnsi="Times New Roman" w:cs="Times New Roman"/>
          <w:color w:val="auto"/>
          <w:szCs w:val="24"/>
          <w:lang w:eastAsia="zh-CN"/>
        </w:rPr>
        <w:t>。</w:t>
      </w:r>
    </w:p>
    <w:p w14:paraId="05D763EF">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4</w:t>
      </w:r>
      <w:r>
        <w:rPr>
          <w:rFonts w:ascii="Times New Roman" w:hAnsi="Times New Roman" w:cs="Times New Roman"/>
          <w:color w:val="auto"/>
          <w:szCs w:val="24"/>
          <w:lang w:eastAsia="zh-CN"/>
        </w:rPr>
        <w:t>）E</w:t>
      </w:r>
    </w:p>
    <w:p w14:paraId="3321772E">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依据环境敏感目标环境敏感性及人口密度划分环境风险受体的敏感性，共分为三种类型，E1为环境高度敏感区，E2为环境中度敏感区，E3为环境低度敏感区，分级原则见下表。</w:t>
      </w:r>
    </w:p>
    <w:p w14:paraId="25E5F1C2">
      <w:pPr>
        <w:widowControl w:val="0"/>
        <w:spacing w:line="360" w:lineRule="auto"/>
        <w:jc w:val="center"/>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表2.4-1</w:t>
      </w:r>
      <w:r>
        <w:rPr>
          <w:rFonts w:hint="eastAsia" w:ascii="Times New Roman" w:hAnsi="Times New Roman" w:eastAsia="新宋体" w:cs="Times New Roman"/>
          <w:b/>
          <w:bCs/>
          <w:color w:val="auto"/>
          <w:szCs w:val="24"/>
          <w:lang w:eastAsia="zh-CN"/>
        </w:rPr>
        <w:t>0</w:t>
      </w:r>
      <w:r>
        <w:rPr>
          <w:rFonts w:ascii="Times New Roman" w:hAnsi="Times New Roman" w:eastAsia="新宋体" w:cs="Times New Roman"/>
          <w:b/>
          <w:bCs/>
          <w:color w:val="auto"/>
          <w:szCs w:val="24"/>
          <w:lang w:eastAsia="zh-CN"/>
        </w:rPr>
        <w:t xml:space="preserve"> 大气环境敏感程度分级</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257"/>
        <w:gridCol w:w="8489"/>
      </w:tblGrid>
      <w:tr w14:paraId="32D7AE4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45" w:type="pct"/>
            <w:vAlign w:val="center"/>
          </w:tcPr>
          <w:p w14:paraId="01787559">
            <w:pPr>
              <w:pStyle w:val="62"/>
              <w:widowControl w:val="0"/>
              <w:adjustRightInd w:val="0"/>
              <w:snapToGrid w:val="0"/>
              <w:spacing w:before="0" w:after="0"/>
              <w:jc w:val="center"/>
              <w:rPr>
                <w:rFonts w:ascii="Times New Roman" w:hAnsi="Times New Roman" w:eastAsia="新宋体"/>
                <w:b/>
                <w:color w:val="auto"/>
                <w:sz w:val="21"/>
                <w:szCs w:val="21"/>
              </w:rPr>
            </w:pPr>
            <w:r>
              <w:rPr>
                <w:rFonts w:ascii="Times New Roman" w:hAnsi="Times New Roman" w:eastAsia="新宋体"/>
                <w:b/>
                <w:color w:val="auto"/>
                <w:sz w:val="21"/>
                <w:szCs w:val="21"/>
              </w:rPr>
              <w:t>类型</w:t>
            </w:r>
          </w:p>
        </w:tc>
        <w:tc>
          <w:tcPr>
            <w:tcW w:w="4355" w:type="pct"/>
            <w:vAlign w:val="center"/>
          </w:tcPr>
          <w:p w14:paraId="053A90F5">
            <w:pPr>
              <w:pStyle w:val="62"/>
              <w:widowControl w:val="0"/>
              <w:adjustRightInd w:val="0"/>
              <w:snapToGrid w:val="0"/>
              <w:spacing w:before="0" w:after="0"/>
              <w:jc w:val="center"/>
              <w:rPr>
                <w:rFonts w:ascii="Times New Roman" w:hAnsi="Times New Roman" w:eastAsia="新宋体"/>
                <w:b/>
                <w:color w:val="auto"/>
                <w:sz w:val="21"/>
                <w:szCs w:val="21"/>
              </w:rPr>
            </w:pPr>
            <w:r>
              <w:rPr>
                <w:rFonts w:ascii="Times New Roman" w:hAnsi="Times New Roman" w:eastAsia="新宋体"/>
                <w:b/>
                <w:color w:val="auto"/>
                <w:sz w:val="21"/>
                <w:szCs w:val="21"/>
              </w:rPr>
              <w:t>环境风险受体情况</w:t>
            </w:r>
          </w:p>
        </w:tc>
      </w:tr>
      <w:tr w14:paraId="5431749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45" w:type="pct"/>
            <w:vAlign w:val="center"/>
          </w:tcPr>
          <w:p w14:paraId="174552EF">
            <w:pPr>
              <w:pStyle w:val="62"/>
              <w:widowControl w:val="0"/>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E1</w:t>
            </w:r>
          </w:p>
        </w:tc>
        <w:tc>
          <w:tcPr>
            <w:tcW w:w="4355" w:type="pct"/>
            <w:vAlign w:val="center"/>
          </w:tcPr>
          <w:p w14:paraId="598B6869">
            <w:pPr>
              <w:pStyle w:val="62"/>
              <w:widowControl w:val="0"/>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周边5公里范围内居住区、医疗卫生、文化教育、科研、行政办公等机构人口总数大于5万人，或其他需要特别保护区域；或周边500m范围内人口总数大于1000人；</w:t>
            </w:r>
          </w:p>
        </w:tc>
      </w:tr>
      <w:tr w14:paraId="2CC89B9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45" w:type="pct"/>
            <w:shd w:val="clear" w:color="auto" w:fill="BFBFBF"/>
            <w:vAlign w:val="center"/>
          </w:tcPr>
          <w:p w14:paraId="08520745">
            <w:pPr>
              <w:pStyle w:val="62"/>
              <w:widowControl w:val="0"/>
              <w:adjustRightInd w:val="0"/>
              <w:snapToGrid w:val="0"/>
              <w:spacing w:before="0" w:after="0"/>
              <w:jc w:val="center"/>
              <w:rPr>
                <w:rFonts w:ascii="Times New Roman" w:hAnsi="Times New Roman" w:eastAsia="新宋体"/>
                <w:bCs/>
                <w:color w:val="auto"/>
                <w:sz w:val="21"/>
                <w:szCs w:val="21"/>
              </w:rPr>
            </w:pPr>
            <w:r>
              <w:rPr>
                <w:rFonts w:ascii="Times New Roman" w:hAnsi="Times New Roman" w:eastAsia="新宋体"/>
                <w:bCs/>
                <w:color w:val="auto"/>
                <w:sz w:val="21"/>
                <w:szCs w:val="21"/>
              </w:rPr>
              <w:t>E2</w:t>
            </w:r>
          </w:p>
        </w:tc>
        <w:tc>
          <w:tcPr>
            <w:tcW w:w="4355" w:type="pct"/>
            <w:shd w:val="clear" w:color="auto" w:fill="BFBFBF"/>
            <w:vAlign w:val="center"/>
          </w:tcPr>
          <w:p w14:paraId="4DED89B4">
            <w:pPr>
              <w:pStyle w:val="62"/>
              <w:widowControl w:val="0"/>
              <w:adjustRightInd w:val="0"/>
              <w:snapToGrid w:val="0"/>
              <w:spacing w:before="0" w:after="0"/>
              <w:jc w:val="center"/>
              <w:rPr>
                <w:rFonts w:ascii="Times New Roman" w:hAnsi="Times New Roman" w:eastAsia="新宋体"/>
                <w:bCs/>
                <w:color w:val="auto"/>
                <w:sz w:val="21"/>
                <w:szCs w:val="21"/>
                <w:lang w:eastAsia="zh-CN"/>
              </w:rPr>
            </w:pPr>
            <w:r>
              <w:rPr>
                <w:rFonts w:ascii="Times New Roman" w:hAnsi="Times New Roman" w:eastAsia="新宋体"/>
                <w:bCs/>
                <w:color w:val="auto"/>
                <w:sz w:val="21"/>
                <w:szCs w:val="21"/>
                <w:lang w:eastAsia="zh-CN"/>
              </w:rPr>
              <w:t>周边5公里范围内居住区、医疗卫生、文化教育、科研、行政办公等机构人口总数大于1万人，小于5万人；或周边500m范围内人口总数大于500人，小于1000人；</w:t>
            </w:r>
          </w:p>
        </w:tc>
      </w:tr>
      <w:tr w14:paraId="3E1165E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45" w:type="pct"/>
            <w:vAlign w:val="center"/>
          </w:tcPr>
          <w:p w14:paraId="27063B4A">
            <w:pPr>
              <w:pStyle w:val="62"/>
              <w:widowControl w:val="0"/>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E3</w:t>
            </w:r>
          </w:p>
        </w:tc>
        <w:tc>
          <w:tcPr>
            <w:tcW w:w="4355" w:type="pct"/>
            <w:vAlign w:val="center"/>
          </w:tcPr>
          <w:p w14:paraId="351D3F47">
            <w:pPr>
              <w:pStyle w:val="62"/>
              <w:widowControl w:val="0"/>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周边5公里范围内居住区、医疗卫生、文化教育、科研、行政办公等机构人口总数小于1万人；或周边500m范围内人口总数小于500人；</w:t>
            </w:r>
          </w:p>
        </w:tc>
      </w:tr>
    </w:tbl>
    <w:p w14:paraId="3C7E2F79">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根据大气环境评价范围内敏感点调查，项目大气环境敏感程度分级为E2类型。</w:t>
      </w:r>
    </w:p>
    <w:p w14:paraId="4FEFFA6A">
      <w:pPr>
        <w:widowControl w:val="0"/>
        <w:spacing w:line="360" w:lineRule="auto"/>
        <w:ind w:firstLine="480" w:firstLineChars="200"/>
        <w:jc w:val="both"/>
        <w:rPr>
          <w:rFonts w:ascii="Times New Roman" w:hAnsi="Times New Roman" w:eastAsia="新宋体" w:cs="Times New Roman"/>
          <w:bCs/>
          <w:color w:val="auto"/>
          <w:szCs w:val="24"/>
          <w:lang w:eastAsia="zh-CN"/>
        </w:rPr>
      </w:pPr>
      <w:r>
        <w:rPr>
          <w:rFonts w:ascii="宋体" w:hAnsi="宋体" w:cs="Times New Roman"/>
          <w:bCs/>
          <w:color w:val="auto"/>
          <w:szCs w:val="24"/>
          <w:lang w:eastAsia="zh-CN"/>
        </w:rPr>
        <w:fldChar w:fldCharType="begin"/>
      </w:r>
      <w:r>
        <w:rPr>
          <w:rFonts w:ascii="宋体" w:hAnsi="宋体" w:cs="Times New Roman"/>
          <w:bCs/>
          <w:color w:val="auto"/>
          <w:szCs w:val="24"/>
          <w:lang w:eastAsia="zh-CN"/>
        </w:rPr>
        <w:instrText xml:space="preserve"> = 2 \* GB3 </w:instrText>
      </w:r>
      <w:r>
        <w:rPr>
          <w:rFonts w:ascii="宋体" w:hAnsi="宋体" w:cs="Times New Roman"/>
          <w:bCs/>
          <w:color w:val="auto"/>
          <w:szCs w:val="24"/>
          <w:lang w:eastAsia="zh-CN"/>
        </w:rPr>
        <w:fldChar w:fldCharType="separate"/>
      </w:r>
      <w:r>
        <w:rPr>
          <w:rFonts w:ascii="宋体" w:hAnsi="宋体" w:cs="Cambria Math"/>
          <w:bCs/>
          <w:color w:val="auto"/>
          <w:szCs w:val="24"/>
          <w:lang w:eastAsia="zh-CN"/>
        </w:rPr>
        <w:t>②</w:t>
      </w:r>
      <w:r>
        <w:rPr>
          <w:rFonts w:ascii="宋体" w:hAnsi="宋体" w:cs="Times New Roman"/>
          <w:bCs/>
          <w:color w:val="auto"/>
          <w:szCs w:val="24"/>
          <w:lang w:eastAsia="zh-CN"/>
        </w:rPr>
        <w:fldChar w:fldCharType="end"/>
      </w:r>
      <w:r>
        <w:rPr>
          <w:rFonts w:ascii="Times New Roman" w:hAnsi="Times New Roman" w:eastAsia="新宋体" w:cs="Times New Roman"/>
          <w:bCs/>
          <w:color w:val="auto"/>
          <w:szCs w:val="24"/>
          <w:lang w:eastAsia="zh-CN"/>
        </w:rPr>
        <w:t>地表水</w:t>
      </w:r>
    </w:p>
    <w:p w14:paraId="44669CF5">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依据事故情况下危险物质泄漏到水体排放点受纳地表水体功能敏感性，与下游环境敏感目标，共分为三种类型，E1为环境高度敏感区，E2为环境中度敏感区，E3为环境低度敏感区，分级原则见表。其中地表水功能敏感性分区和环境敏感目标分级分别见表。</w:t>
      </w:r>
    </w:p>
    <w:p w14:paraId="2FA044C9">
      <w:pPr>
        <w:widowControl w:val="0"/>
        <w:spacing w:line="360" w:lineRule="auto"/>
        <w:jc w:val="center"/>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表2.4-1</w:t>
      </w:r>
      <w:r>
        <w:rPr>
          <w:rFonts w:hint="eastAsia" w:ascii="Times New Roman" w:hAnsi="Times New Roman" w:eastAsia="新宋体" w:cs="Times New Roman"/>
          <w:b/>
          <w:bCs/>
          <w:color w:val="auto"/>
          <w:szCs w:val="24"/>
          <w:lang w:eastAsia="zh-CN"/>
        </w:rPr>
        <w:t>1</w:t>
      </w:r>
      <w:r>
        <w:rPr>
          <w:rFonts w:ascii="Times New Roman" w:hAnsi="Times New Roman" w:eastAsia="新宋体" w:cs="Times New Roman"/>
          <w:b/>
          <w:bCs/>
          <w:color w:val="auto"/>
          <w:szCs w:val="24"/>
          <w:lang w:eastAsia="zh-CN"/>
        </w:rPr>
        <w:t xml:space="preserve"> 地表水功能敏感性分区</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316"/>
        <w:gridCol w:w="8430"/>
      </w:tblGrid>
      <w:tr w14:paraId="1778615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75" w:type="pct"/>
            <w:vAlign w:val="center"/>
          </w:tcPr>
          <w:p w14:paraId="327BAE6F">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类型</w:t>
            </w:r>
          </w:p>
        </w:tc>
        <w:tc>
          <w:tcPr>
            <w:tcW w:w="4325" w:type="pct"/>
            <w:vAlign w:val="center"/>
          </w:tcPr>
          <w:p w14:paraId="4DDFA2E1">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环境风险受体情况</w:t>
            </w:r>
          </w:p>
        </w:tc>
      </w:tr>
      <w:tr w14:paraId="36B809B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75" w:type="pct"/>
            <w:tcBorders>
              <w:bottom w:val="single" w:color="auto" w:sz="6" w:space="0"/>
            </w:tcBorders>
            <w:vAlign w:val="center"/>
          </w:tcPr>
          <w:p w14:paraId="003A1029">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敏感F1</w:t>
            </w:r>
          </w:p>
        </w:tc>
        <w:tc>
          <w:tcPr>
            <w:tcW w:w="4325" w:type="pct"/>
            <w:tcBorders>
              <w:bottom w:val="single" w:color="auto" w:sz="6" w:space="0"/>
            </w:tcBorders>
            <w:vAlign w:val="center"/>
          </w:tcPr>
          <w:p w14:paraId="4E8A9D0E">
            <w:pPr>
              <w:widowControl w:val="0"/>
              <w:adjustRightInd w:val="0"/>
              <w:snapToGrid w:val="0"/>
              <w:jc w:val="both"/>
              <w:rPr>
                <w:rFonts w:ascii="Times New Roman" w:hAnsi="Times New Roman" w:cs="Times New Roman"/>
                <w:color w:val="auto"/>
                <w:sz w:val="21"/>
                <w:lang w:eastAsia="zh-CN"/>
              </w:rPr>
            </w:pPr>
            <w:r>
              <w:rPr>
                <w:rFonts w:ascii="Times New Roman" w:hAnsi="Times New Roman" w:cs="Times New Roman"/>
                <w:color w:val="auto"/>
                <w:sz w:val="21"/>
                <w:lang w:eastAsia="zh-CN"/>
              </w:rPr>
              <w:t>排放点进入地表水水域功能为Ⅱ类及以上，或海水水质分类第一类；或以发生事故时，危险物质泄漏到排放点算起，排放到受纳水体河流最大流速时，24小时流经范围跨越国界的；</w:t>
            </w:r>
          </w:p>
        </w:tc>
      </w:tr>
      <w:tr w14:paraId="78965F8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75" w:type="pct"/>
            <w:tcBorders>
              <w:top w:val="single" w:color="auto" w:sz="6" w:space="0"/>
              <w:bottom w:val="single" w:color="auto" w:sz="6" w:space="0"/>
            </w:tcBorders>
            <w:shd w:val="clear" w:color="auto" w:fill="BFBFBF"/>
            <w:vAlign w:val="center"/>
          </w:tcPr>
          <w:p w14:paraId="4D597B5C">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较敏感F2</w:t>
            </w:r>
          </w:p>
        </w:tc>
        <w:tc>
          <w:tcPr>
            <w:tcW w:w="4325" w:type="pct"/>
            <w:tcBorders>
              <w:top w:val="single" w:color="auto" w:sz="6" w:space="0"/>
              <w:bottom w:val="single" w:color="auto" w:sz="6" w:space="0"/>
            </w:tcBorders>
            <w:shd w:val="clear" w:color="auto" w:fill="BFBFBF"/>
            <w:vAlign w:val="center"/>
          </w:tcPr>
          <w:p w14:paraId="7CDE5601">
            <w:pPr>
              <w:widowControl w:val="0"/>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排放点进入地表水水域功能为Ⅲ类，或海水水质分类为第二类；或以发生事故时，危险物质泄漏到排放点算起，排放到受纳水体河流最大流速时，24小时流经范围跨越省界的；</w:t>
            </w:r>
          </w:p>
        </w:tc>
      </w:tr>
      <w:tr w14:paraId="023B5CB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75" w:type="pct"/>
            <w:tcBorders>
              <w:top w:val="single" w:color="auto" w:sz="6" w:space="0"/>
            </w:tcBorders>
            <w:vAlign w:val="center"/>
          </w:tcPr>
          <w:p w14:paraId="3BDC4903">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低敏感F3</w:t>
            </w:r>
          </w:p>
        </w:tc>
        <w:tc>
          <w:tcPr>
            <w:tcW w:w="4325" w:type="pct"/>
            <w:tcBorders>
              <w:top w:val="single" w:color="auto" w:sz="6" w:space="0"/>
            </w:tcBorders>
            <w:vAlign w:val="center"/>
          </w:tcPr>
          <w:p w14:paraId="0CE9D920">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上述地区之外的其他地区</w:t>
            </w:r>
          </w:p>
        </w:tc>
      </w:tr>
    </w:tbl>
    <w:p w14:paraId="3A60CC3F">
      <w:pPr>
        <w:widowControl w:val="0"/>
        <w:spacing w:line="360" w:lineRule="auto"/>
        <w:ind w:firstLine="472" w:firstLineChars="200"/>
        <w:rPr>
          <w:rFonts w:ascii="Times New Roman" w:hAnsi="Times New Roman" w:cs="Times New Roman"/>
          <w:bCs/>
          <w:color w:val="auto"/>
          <w:szCs w:val="24"/>
          <w:lang w:eastAsia="zh-CN"/>
        </w:rPr>
      </w:pPr>
      <w:r>
        <w:rPr>
          <w:rFonts w:ascii="Times New Roman" w:hAnsi="Times New Roman" w:cs="Times New Roman"/>
          <w:snapToGrid/>
          <w:color w:val="auto"/>
          <w:spacing w:val="-2"/>
          <w:szCs w:val="20"/>
          <w:lang w:eastAsia="zh-CN"/>
        </w:rPr>
        <w:t>本项目废水经处理后由三浦大沟最终排至淮河，淮河水体水质为Ⅲ类，类型为较敏感F2</w:t>
      </w:r>
      <w:r>
        <w:rPr>
          <w:rFonts w:ascii="Times New Roman" w:hAnsi="Times New Roman" w:cs="Times New Roman"/>
          <w:bCs/>
          <w:color w:val="auto"/>
          <w:szCs w:val="24"/>
          <w:lang w:eastAsia="zh-CN"/>
        </w:rPr>
        <w:t>。</w:t>
      </w:r>
    </w:p>
    <w:p w14:paraId="2E8858B8">
      <w:pPr>
        <w:widowControl w:val="0"/>
        <w:spacing w:line="360" w:lineRule="auto"/>
        <w:jc w:val="center"/>
        <w:rPr>
          <w:rFonts w:ascii="Times New Roman" w:hAnsi="Times New Roman" w:eastAsia="新宋体" w:cs="Times New Roman"/>
          <w:b/>
          <w:bCs/>
          <w:color w:val="auto"/>
          <w:szCs w:val="24"/>
        </w:rPr>
      </w:pPr>
      <w:r>
        <w:rPr>
          <w:rFonts w:ascii="Times New Roman" w:hAnsi="Times New Roman" w:eastAsia="新宋体" w:cs="Times New Roman"/>
          <w:b/>
          <w:bCs/>
          <w:color w:val="auto"/>
          <w:szCs w:val="24"/>
        </w:rPr>
        <w:t>表</w:t>
      </w:r>
      <w:r>
        <w:rPr>
          <w:rFonts w:ascii="Times New Roman" w:hAnsi="Times New Roman" w:eastAsia="新宋体" w:cs="Times New Roman"/>
          <w:b/>
          <w:bCs/>
          <w:color w:val="auto"/>
          <w:szCs w:val="24"/>
          <w:lang w:eastAsia="zh-CN"/>
        </w:rPr>
        <w:t>2.4-1</w:t>
      </w:r>
      <w:r>
        <w:rPr>
          <w:rFonts w:hint="eastAsia" w:ascii="Times New Roman" w:hAnsi="Times New Roman" w:eastAsia="新宋体" w:cs="Times New Roman"/>
          <w:b/>
          <w:bCs/>
          <w:color w:val="auto"/>
          <w:szCs w:val="24"/>
          <w:lang w:eastAsia="zh-CN"/>
        </w:rPr>
        <w:t>2</w:t>
      </w:r>
      <w:r>
        <w:rPr>
          <w:rFonts w:ascii="Times New Roman" w:hAnsi="Times New Roman" w:eastAsia="新宋体" w:cs="Times New Roman"/>
          <w:b/>
          <w:bCs/>
          <w:color w:val="auto"/>
          <w:szCs w:val="24"/>
        </w:rPr>
        <w:t xml:space="preserve"> 环境敏感目标分级</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865"/>
        <w:gridCol w:w="8881"/>
      </w:tblGrid>
      <w:tr w14:paraId="0818F3C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44" w:type="pct"/>
            <w:vAlign w:val="center"/>
          </w:tcPr>
          <w:p w14:paraId="3FC04E6E">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类型</w:t>
            </w:r>
          </w:p>
        </w:tc>
        <w:tc>
          <w:tcPr>
            <w:tcW w:w="4556" w:type="pct"/>
            <w:vAlign w:val="center"/>
          </w:tcPr>
          <w:p w14:paraId="4F8DA5A8">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环境敏感目标</w:t>
            </w:r>
          </w:p>
        </w:tc>
      </w:tr>
      <w:tr w14:paraId="0BB80FC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44" w:type="pct"/>
            <w:shd w:val="clear" w:color="auto" w:fill="BFBFBF"/>
            <w:vAlign w:val="center"/>
          </w:tcPr>
          <w:p w14:paraId="404BDECC">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S1</w:t>
            </w:r>
          </w:p>
        </w:tc>
        <w:tc>
          <w:tcPr>
            <w:tcW w:w="4556" w:type="pct"/>
            <w:shd w:val="clear" w:color="auto" w:fill="BFBFBF"/>
            <w:vAlign w:val="center"/>
          </w:tcPr>
          <w:p w14:paraId="39AF0DFA">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发生事故时，危险物质泄漏到内陆水体的排放点下游（顺水流向）10km范围内，近岸海域一个潮周期水质点可能达到的最大水平距离的两倍范围内，有如下一类或多类环境风险受体；集中式地表水饮用水水源保护区（包括一级保护区、二级保护区及准保护区）；农村及分散式饮用水水源保护区；自然保护区；重要湿地；珍稀濒危野生动植物天然集中分布区；重要水生生物的自然产卵场及索饵场、越冬场和洄游通道；世界文化和自然遗产地；红树林、珊瑚礁等滨海湿地生态系统；珍稀、濒危海洋生物的天然集中分布区；海洋特别保护区；海上自然保护区；盐场保护区；海水浴场；海洋自然历史遗迹；风景名胜区；或其他特殊重要保护区域。</w:t>
            </w:r>
          </w:p>
        </w:tc>
      </w:tr>
      <w:tr w14:paraId="490E248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44" w:type="pct"/>
            <w:tcBorders>
              <w:bottom w:val="single" w:color="auto" w:sz="6" w:space="0"/>
            </w:tcBorders>
            <w:vAlign w:val="center"/>
          </w:tcPr>
          <w:p w14:paraId="2F431F77">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S2</w:t>
            </w:r>
          </w:p>
        </w:tc>
        <w:tc>
          <w:tcPr>
            <w:tcW w:w="4556" w:type="pct"/>
            <w:tcBorders>
              <w:bottom w:val="single" w:color="auto" w:sz="6" w:space="0"/>
            </w:tcBorders>
            <w:vAlign w:val="center"/>
          </w:tcPr>
          <w:p w14:paraId="3D1AD29A">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发生事故时，危险物质泄漏到内陆水体的排放点下游（顺水方向）10km范围内、近岸海域一个潮周期水质点可能达到的最大水平距离的两倍范围内，有如下一类或多类环境风险受体的；水产养殖区；天然渔场；森林公园；地质公园；海滨风景游览区；具有重要经济价值的海洋生物生存区域。</w:t>
            </w:r>
          </w:p>
        </w:tc>
      </w:tr>
      <w:tr w14:paraId="7617D66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44" w:type="pct"/>
            <w:tcBorders>
              <w:top w:val="single" w:color="auto" w:sz="6" w:space="0"/>
              <w:bottom w:val="single" w:color="auto" w:sz="12" w:space="0"/>
            </w:tcBorders>
            <w:vAlign w:val="center"/>
          </w:tcPr>
          <w:p w14:paraId="3E9C2CEE">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S3</w:t>
            </w:r>
          </w:p>
        </w:tc>
        <w:tc>
          <w:tcPr>
            <w:tcW w:w="4556" w:type="pct"/>
            <w:tcBorders>
              <w:top w:val="single" w:color="auto" w:sz="6" w:space="0"/>
              <w:bottom w:val="single" w:color="auto" w:sz="12" w:space="0"/>
            </w:tcBorders>
            <w:vAlign w:val="center"/>
          </w:tcPr>
          <w:p w14:paraId="087470CB">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排放点下游（顺水流向）10km范围、近岸海域一个潮周期水质点可能达到的最大水平距离的两倍范围内无上述类型1和类型2包括的敏感保护目标。</w:t>
            </w:r>
          </w:p>
        </w:tc>
      </w:tr>
    </w:tbl>
    <w:p w14:paraId="0B8982F8">
      <w:pPr>
        <w:widowControl w:val="0"/>
        <w:spacing w:line="360" w:lineRule="auto"/>
        <w:ind w:firstLine="480" w:firstLineChars="200"/>
        <w:jc w:val="both"/>
        <w:rPr>
          <w:rFonts w:ascii="Times New Roman" w:hAnsi="Times New Roman" w:cs="Times New Roman"/>
          <w:bCs/>
          <w:color w:val="EE0000"/>
          <w:szCs w:val="24"/>
          <w:lang w:eastAsia="zh-CN"/>
        </w:rPr>
      </w:pPr>
      <w:r>
        <w:rPr>
          <w:rFonts w:hint="eastAsia" w:ascii="Times New Roman" w:hAnsi="Times New Roman" w:cs="Times New Roman"/>
          <w:bCs/>
          <w:color w:val="auto"/>
          <w:szCs w:val="24"/>
          <w:lang w:eastAsia="zh-CN"/>
        </w:rPr>
        <w:t>根据蚌埠精细化工高新技术产业基地规划（2021～2035）雨水工程规划图以及凤阳县备用水源地划分图可知，发生事故时，</w:t>
      </w:r>
      <w:r>
        <w:rPr>
          <w:rFonts w:ascii="Times New Roman" w:hAnsi="Times New Roman" w:cs="Times New Roman"/>
          <w:bCs/>
          <w:color w:val="auto"/>
          <w:szCs w:val="24"/>
          <w:lang w:eastAsia="zh-CN"/>
        </w:rPr>
        <w:t>危险物质泄漏到内陆水体的排放点</w:t>
      </w:r>
      <w:r>
        <w:rPr>
          <w:rFonts w:hint="eastAsia" w:ascii="Times New Roman" w:hAnsi="Times New Roman" w:cs="Times New Roman"/>
          <w:bCs/>
          <w:color w:val="auto"/>
          <w:szCs w:val="24"/>
          <w:lang w:eastAsia="zh-CN"/>
        </w:rPr>
        <w:t>距下游</w:t>
      </w:r>
      <w:r>
        <w:rPr>
          <w:rFonts w:ascii="Times New Roman" w:hAnsi="Times New Roman" w:cs="Times New Roman"/>
          <w:bCs/>
          <w:color w:val="auto"/>
          <w:szCs w:val="24"/>
          <w:lang w:eastAsia="zh-CN"/>
        </w:rPr>
        <w:t>凤阳县经开区二水厂水源地（</w:t>
      </w:r>
      <w:r>
        <w:rPr>
          <w:rFonts w:hint="eastAsia" w:ascii="Times New Roman" w:hAnsi="Times New Roman" w:cs="Times New Roman"/>
          <w:bCs/>
          <w:color w:val="auto"/>
          <w:szCs w:val="24"/>
          <w:lang w:eastAsia="zh-CN"/>
        </w:rPr>
        <w:t>淮河</w:t>
      </w:r>
      <w:r>
        <w:rPr>
          <w:rFonts w:ascii="Times New Roman" w:hAnsi="Times New Roman" w:cs="Times New Roman"/>
          <w:bCs/>
          <w:color w:val="auto"/>
          <w:szCs w:val="24"/>
          <w:lang w:eastAsia="zh-CN"/>
        </w:rPr>
        <w:t>）</w:t>
      </w:r>
      <w:r>
        <w:rPr>
          <w:rFonts w:hint="eastAsia" w:ascii="Times New Roman" w:hAnsi="Times New Roman" w:cs="Times New Roman"/>
          <w:bCs/>
          <w:color w:val="auto"/>
          <w:szCs w:val="24"/>
          <w:lang w:eastAsia="zh-CN"/>
        </w:rPr>
        <w:t>准保护区约5.6km，</w:t>
      </w:r>
      <w:r>
        <w:rPr>
          <w:rFonts w:ascii="Times New Roman" w:hAnsi="Times New Roman" w:cs="Times New Roman"/>
          <w:bCs/>
          <w:color w:val="auto"/>
          <w:szCs w:val="24"/>
          <w:lang w:eastAsia="zh-CN"/>
        </w:rPr>
        <w:t>排放点下游10km</w:t>
      </w:r>
      <w:r>
        <w:rPr>
          <w:rFonts w:hint="eastAsia" w:ascii="Times New Roman" w:hAnsi="Times New Roman" w:cs="Times New Roman"/>
          <w:bCs/>
          <w:color w:val="auto"/>
          <w:szCs w:val="24"/>
          <w:lang w:eastAsia="zh-CN"/>
        </w:rPr>
        <w:t>含</w:t>
      </w:r>
      <w:r>
        <w:rPr>
          <w:rFonts w:ascii="Times New Roman" w:hAnsi="Times New Roman" w:cs="Times New Roman"/>
          <w:bCs/>
          <w:color w:val="auto"/>
          <w:szCs w:val="24"/>
          <w:lang w:eastAsia="zh-CN"/>
        </w:rPr>
        <w:t>类型1环境保护目标，敏感目标类型为S</w:t>
      </w:r>
      <w:r>
        <w:rPr>
          <w:rFonts w:hint="eastAsia" w:ascii="Times New Roman" w:hAnsi="Times New Roman" w:cs="Times New Roman"/>
          <w:bCs/>
          <w:color w:val="auto"/>
          <w:szCs w:val="24"/>
          <w:lang w:eastAsia="zh-CN"/>
        </w:rPr>
        <w:t>1</w:t>
      </w:r>
      <w:r>
        <w:rPr>
          <w:rFonts w:ascii="Times New Roman" w:hAnsi="Times New Roman" w:cs="Times New Roman"/>
          <w:bCs/>
          <w:color w:val="auto"/>
          <w:szCs w:val="24"/>
          <w:lang w:eastAsia="zh-CN"/>
        </w:rPr>
        <w:t>。</w:t>
      </w:r>
    </w:p>
    <w:p w14:paraId="35720B48">
      <w:pPr>
        <w:widowControl w:val="0"/>
        <w:spacing w:line="360" w:lineRule="auto"/>
        <w:jc w:val="center"/>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表2.4-1</w:t>
      </w:r>
      <w:r>
        <w:rPr>
          <w:rFonts w:hint="eastAsia" w:ascii="Times New Roman" w:hAnsi="Times New Roman" w:eastAsia="新宋体" w:cs="Times New Roman"/>
          <w:b/>
          <w:bCs/>
          <w:color w:val="auto"/>
          <w:szCs w:val="24"/>
          <w:lang w:eastAsia="zh-CN"/>
        </w:rPr>
        <w:t>3</w:t>
      </w:r>
      <w:r>
        <w:rPr>
          <w:rFonts w:ascii="Times New Roman" w:hAnsi="Times New Roman" w:eastAsia="新宋体" w:cs="Times New Roman"/>
          <w:b/>
          <w:bCs/>
          <w:color w:val="auto"/>
          <w:szCs w:val="24"/>
          <w:lang w:eastAsia="zh-CN"/>
        </w:rPr>
        <w:t xml:space="preserve"> 地表水环境敏感程度分级</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434"/>
        <w:gridCol w:w="2435"/>
        <w:gridCol w:w="2435"/>
        <w:gridCol w:w="2442"/>
      </w:tblGrid>
      <w:tr w14:paraId="2C44604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249" w:type="pct"/>
            <w:vMerge w:val="restart"/>
            <w:vAlign w:val="center"/>
          </w:tcPr>
          <w:p w14:paraId="7327A2EB">
            <w:pPr>
              <w:widowControl w:val="0"/>
              <w:adjustRightInd w:val="0"/>
              <w:snapToGrid w:val="0"/>
              <w:jc w:val="center"/>
              <w:rPr>
                <w:rFonts w:ascii="Times New Roman" w:hAnsi="Times New Roman" w:eastAsia="新宋体" w:cs="Times New Roman"/>
                <w:b/>
                <w:bCs/>
                <w:color w:val="auto"/>
                <w:sz w:val="21"/>
              </w:rPr>
            </w:pPr>
            <w:r>
              <w:rPr>
                <w:rFonts w:ascii="Times New Roman" w:hAnsi="Times New Roman" w:eastAsia="新宋体" w:cs="Times New Roman"/>
                <w:b/>
                <w:bCs/>
                <w:color w:val="auto"/>
                <w:sz w:val="21"/>
              </w:rPr>
              <w:t>环境敏感目标</w:t>
            </w:r>
          </w:p>
        </w:tc>
        <w:tc>
          <w:tcPr>
            <w:tcW w:w="3751" w:type="pct"/>
            <w:gridSpan w:val="3"/>
            <w:vAlign w:val="center"/>
          </w:tcPr>
          <w:p w14:paraId="52A20270">
            <w:pPr>
              <w:widowControl w:val="0"/>
              <w:adjustRightInd w:val="0"/>
              <w:snapToGrid w:val="0"/>
              <w:jc w:val="center"/>
              <w:rPr>
                <w:rFonts w:ascii="Times New Roman" w:hAnsi="Times New Roman" w:eastAsia="新宋体" w:cs="Times New Roman"/>
                <w:b/>
                <w:bCs/>
                <w:color w:val="auto"/>
                <w:sz w:val="21"/>
              </w:rPr>
            </w:pPr>
            <w:r>
              <w:rPr>
                <w:rFonts w:ascii="Times New Roman" w:hAnsi="Times New Roman" w:eastAsia="新宋体" w:cs="Times New Roman"/>
                <w:b/>
                <w:bCs/>
                <w:color w:val="auto"/>
                <w:sz w:val="21"/>
              </w:rPr>
              <w:t>地表水功能敏感性</w:t>
            </w:r>
          </w:p>
        </w:tc>
      </w:tr>
      <w:tr w14:paraId="5B53D34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249" w:type="pct"/>
            <w:vMerge w:val="continue"/>
            <w:vAlign w:val="center"/>
          </w:tcPr>
          <w:p w14:paraId="562E323F">
            <w:pPr>
              <w:widowControl w:val="0"/>
              <w:adjustRightInd w:val="0"/>
              <w:snapToGrid w:val="0"/>
              <w:jc w:val="center"/>
              <w:rPr>
                <w:rFonts w:ascii="Times New Roman" w:hAnsi="Times New Roman" w:eastAsia="新宋体" w:cs="Times New Roman"/>
                <w:color w:val="auto"/>
                <w:sz w:val="21"/>
              </w:rPr>
            </w:pPr>
          </w:p>
        </w:tc>
        <w:tc>
          <w:tcPr>
            <w:tcW w:w="1249" w:type="pct"/>
            <w:vAlign w:val="center"/>
          </w:tcPr>
          <w:p w14:paraId="454A8C67">
            <w:pPr>
              <w:widowControl w:val="0"/>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F1</w:t>
            </w:r>
          </w:p>
        </w:tc>
        <w:tc>
          <w:tcPr>
            <w:tcW w:w="1249" w:type="pct"/>
            <w:vAlign w:val="center"/>
          </w:tcPr>
          <w:p w14:paraId="57F92C60">
            <w:pPr>
              <w:widowControl w:val="0"/>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F2</w:t>
            </w:r>
          </w:p>
        </w:tc>
        <w:tc>
          <w:tcPr>
            <w:tcW w:w="1252" w:type="pct"/>
            <w:vAlign w:val="center"/>
          </w:tcPr>
          <w:p w14:paraId="0D283A5E">
            <w:pPr>
              <w:widowControl w:val="0"/>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F3</w:t>
            </w:r>
          </w:p>
        </w:tc>
      </w:tr>
      <w:tr w14:paraId="01B0C58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249" w:type="pct"/>
            <w:vAlign w:val="center"/>
          </w:tcPr>
          <w:p w14:paraId="39DE4927">
            <w:pPr>
              <w:widowControl w:val="0"/>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S1</w:t>
            </w:r>
          </w:p>
        </w:tc>
        <w:tc>
          <w:tcPr>
            <w:tcW w:w="1249" w:type="pct"/>
            <w:vAlign w:val="center"/>
          </w:tcPr>
          <w:p w14:paraId="1FA933A3">
            <w:pPr>
              <w:widowControl w:val="0"/>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E1</w:t>
            </w:r>
          </w:p>
        </w:tc>
        <w:tc>
          <w:tcPr>
            <w:tcW w:w="1249" w:type="pct"/>
            <w:shd w:val="clear" w:color="auto" w:fill="BFBFBF"/>
            <w:vAlign w:val="center"/>
          </w:tcPr>
          <w:p w14:paraId="392EBF38">
            <w:pPr>
              <w:widowControl w:val="0"/>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E1</w:t>
            </w:r>
          </w:p>
        </w:tc>
        <w:tc>
          <w:tcPr>
            <w:tcW w:w="1252" w:type="pct"/>
            <w:vAlign w:val="center"/>
          </w:tcPr>
          <w:p w14:paraId="516A9A5D">
            <w:pPr>
              <w:widowControl w:val="0"/>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E2</w:t>
            </w:r>
          </w:p>
        </w:tc>
      </w:tr>
      <w:tr w14:paraId="71AEA43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249" w:type="pct"/>
            <w:vAlign w:val="center"/>
          </w:tcPr>
          <w:p w14:paraId="759629B9">
            <w:pPr>
              <w:widowControl w:val="0"/>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S2</w:t>
            </w:r>
          </w:p>
        </w:tc>
        <w:tc>
          <w:tcPr>
            <w:tcW w:w="1249" w:type="pct"/>
            <w:vAlign w:val="center"/>
          </w:tcPr>
          <w:p w14:paraId="1CCB9712">
            <w:pPr>
              <w:widowControl w:val="0"/>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E1</w:t>
            </w:r>
          </w:p>
        </w:tc>
        <w:tc>
          <w:tcPr>
            <w:tcW w:w="1249" w:type="pct"/>
            <w:tcBorders>
              <w:bottom w:val="single" w:color="auto" w:sz="6" w:space="0"/>
            </w:tcBorders>
            <w:vAlign w:val="center"/>
          </w:tcPr>
          <w:p w14:paraId="496F577E">
            <w:pPr>
              <w:widowControl w:val="0"/>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E2</w:t>
            </w:r>
          </w:p>
        </w:tc>
        <w:tc>
          <w:tcPr>
            <w:tcW w:w="1252" w:type="pct"/>
            <w:vAlign w:val="center"/>
          </w:tcPr>
          <w:p w14:paraId="4F7C6154">
            <w:pPr>
              <w:widowControl w:val="0"/>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E3</w:t>
            </w:r>
          </w:p>
        </w:tc>
      </w:tr>
      <w:tr w14:paraId="517F63A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249" w:type="pct"/>
            <w:vAlign w:val="center"/>
          </w:tcPr>
          <w:p w14:paraId="53DE9D82">
            <w:pPr>
              <w:widowControl w:val="0"/>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S3</w:t>
            </w:r>
          </w:p>
        </w:tc>
        <w:tc>
          <w:tcPr>
            <w:tcW w:w="1249" w:type="pct"/>
            <w:vAlign w:val="center"/>
          </w:tcPr>
          <w:p w14:paraId="1E4D61AA">
            <w:pPr>
              <w:widowControl w:val="0"/>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E1</w:t>
            </w:r>
          </w:p>
        </w:tc>
        <w:tc>
          <w:tcPr>
            <w:tcW w:w="1249" w:type="pct"/>
            <w:tcBorders>
              <w:top w:val="single" w:color="auto" w:sz="6" w:space="0"/>
              <w:bottom w:val="single" w:color="auto" w:sz="12" w:space="0"/>
            </w:tcBorders>
            <w:vAlign w:val="center"/>
          </w:tcPr>
          <w:p w14:paraId="19A87DA5">
            <w:pPr>
              <w:widowControl w:val="0"/>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E2</w:t>
            </w:r>
          </w:p>
        </w:tc>
        <w:tc>
          <w:tcPr>
            <w:tcW w:w="1252" w:type="pct"/>
            <w:vAlign w:val="center"/>
          </w:tcPr>
          <w:p w14:paraId="6FE8CFF9">
            <w:pPr>
              <w:widowControl w:val="0"/>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E3</w:t>
            </w:r>
          </w:p>
        </w:tc>
      </w:tr>
    </w:tbl>
    <w:p w14:paraId="1F1F534A">
      <w:pPr>
        <w:widowControl w:val="0"/>
        <w:topLinePunct/>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由环境敏感目标分级、地表水功能敏感性分区可知，项目地表水环境敏感程度属于（E</w:t>
      </w:r>
      <w:r>
        <w:rPr>
          <w:rFonts w:hint="eastAsia" w:ascii="Times New Roman" w:hAnsi="Times New Roman" w:eastAsia="新宋体" w:cs="Times New Roman"/>
          <w:color w:val="auto"/>
          <w:szCs w:val="24"/>
          <w:lang w:eastAsia="zh-CN"/>
        </w:rPr>
        <w:t>1</w:t>
      </w:r>
      <w:r>
        <w:rPr>
          <w:rFonts w:ascii="Times New Roman" w:hAnsi="Times New Roman" w:eastAsia="新宋体" w:cs="Times New Roman"/>
          <w:color w:val="auto"/>
          <w:szCs w:val="24"/>
          <w:lang w:eastAsia="zh-CN"/>
        </w:rPr>
        <w:t>）。</w:t>
      </w:r>
    </w:p>
    <w:p w14:paraId="0FCB1241">
      <w:pPr>
        <w:widowControl w:val="0"/>
        <w:tabs>
          <w:tab w:val="center" w:pos="4153"/>
          <w:tab w:val="right" w:pos="8306"/>
        </w:tabs>
        <w:topLinePunct/>
        <w:spacing w:line="360" w:lineRule="auto"/>
        <w:ind w:firstLine="480" w:firstLineChars="200"/>
        <w:jc w:val="both"/>
        <w:rPr>
          <w:rFonts w:ascii="Times New Roman" w:hAnsi="Times New Roman" w:cs="Times New Roman"/>
          <w:snapToGrid/>
          <w:color w:val="auto"/>
          <w:kern w:val="2"/>
          <w:szCs w:val="18"/>
          <w:lang w:eastAsia="zh-CN"/>
        </w:rPr>
      </w:pPr>
      <w:r>
        <w:rPr>
          <w:rFonts w:ascii="宋体" w:hAnsi="宋体" w:cs="Times New Roman"/>
          <w:snapToGrid/>
          <w:color w:val="auto"/>
          <w:kern w:val="2"/>
          <w:szCs w:val="18"/>
          <w:lang w:eastAsia="zh-CN"/>
        </w:rPr>
        <w:fldChar w:fldCharType="begin"/>
      </w:r>
      <w:r>
        <w:rPr>
          <w:rFonts w:ascii="宋体" w:hAnsi="宋体" w:cs="Times New Roman"/>
          <w:snapToGrid/>
          <w:color w:val="auto"/>
          <w:kern w:val="2"/>
          <w:szCs w:val="18"/>
          <w:lang w:eastAsia="zh-CN"/>
        </w:rPr>
        <w:instrText xml:space="preserve"> = 3 \* GB3 </w:instrText>
      </w:r>
      <w:r>
        <w:rPr>
          <w:rFonts w:ascii="宋体" w:hAnsi="宋体" w:cs="Times New Roman"/>
          <w:snapToGrid/>
          <w:color w:val="auto"/>
          <w:kern w:val="2"/>
          <w:szCs w:val="18"/>
          <w:lang w:eastAsia="zh-CN"/>
        </w:rPr>
        <w:fldChar w:fldCharType="separate"/>
      </w:r>
      <w:r>
        <w:rPr>
          <w:rFonts w:ascii="宋体" w:hAnsi="宋体" w:cs="Cambria Math"/>
          <w:snapToGrid/>
          <w:color w:val="auto"/>
          <w:kern w:val="2"/>
          <w:szCs w:val="18"/>
          <w:lang w:eastAsia="zh-CN"/>
        </w:rPr>
        <w:t>③</w:t>
      </w:r>
      <w:r>
        <w:rPr>
          <w:rFonts w:ascii="宋体" w:hAnsi="宋体" w:cs="Times New Roman"/>
          <w:snapToGrid/>
          <w:color w:val="auto"/>
          <w:kern w:val="2"/>
          <w:szCs w:val="18"/>
          <w:lang w:eastAsia="zh-CN"/>
        </w:rPr>
        <w:fldChar w:fldCharType="end"/>
      </w:r>
      <w:r>
        <w:rPr>
          <w:rFonts w:ascii="Times New Roman" w:hAnsi="Times New Roman" w:cs="Times New Roman"/>
          <w:snapToGrid/>
          <w:color w:val="auto"/>
          <w:kern w:val="2"/>
          <w:szCs w:val="18"/>
          <w:lang w:eastAsia="zh-CN"/>
        </w:rPr>
        <w:t>地下水</w:t>
      </w:r>
    </w:p>
    <w:p w14:paraId="7C880F51">
      <w:pPr>
        <w:widowControl w:val="0"/>
        <w:tabs>
          <w:tab w:val="center" w:pos="4153"/>
          <w:tab w:val="right" w:pos="8306"/>
        </w:tabs>
        <w:topLinePunct/>
        <w:spacing w:line="360" w:lineRule="auto"/>
        <w:ind w:firstLine="480" w:firstLineChars="200"/>
        <w:jc w:val="both"/>
        <w:rPr>
          <w:rFonts w:ascii="Times New Roman" w:hAnsi="Times New Roman" w:cs="Times New Roman"/>
          <w:snapToGrid/>
          <w:color w:val="auto"/>
          <w:kern w:val="2"/>
          <w:szCs w:val="18"/>
          <w:lang w:eastAsia="zh-CN"/>
        </w:rPr>
      </w:pPr>
      <w:r>
        <w:rPr>
          <w:rFonts w:ascii="Times New Roman" w:hAnsi="Times New Roman" w:cs="Times New Roman"/>
          <w:snapToGrid/>
          <w:color w:val="auto"/>
          <w:kern w:val="2"/>
          <w:szCs w:val="18"/>
          <w:lang w:eastAsia="zh-CN"/>
        </w:rPr>
        <w:t>依据地下水功能敏感性与包气带防污性能，共分为三种类型，E1为环境高度敏感区，E2为环境中度敏感区，E3为环境低度敏感区。其中地下水功能敏感性分区和包气带防污性能分级分别见下表。</w:t>
      </w:r>
    </w:p>
    <w:p w14:paraId="0AC0901D">
      <w:pPr>
        <w:widowControl w:val="0"/>
        <w:spacing w:line="360" w:lineRule="auto"/>
        <w:jc w:val="center"/>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表2.4-1</w:t>
      </w:r>
      <w:r>
        <w:rPr>
          <w:rFonts w:hint="eastAsia" w:ascii="Times New Roman" w:hAnsi="Times New Roman" w:eastAsia="新宋体" w:cs="Times New Roman"/>
          <w:b/>
          <w:bCs/>
          <w:color w:val="auto"/>
          <w:szCs w:val="24"/>
          <w:lang w:eastAsia="zh-CN"/>
        </w:rPr>
        <w:t>4</w:t>
      </w:r>
      <w:r>
        <w:rPr>
          <w:rFonts w:ascii="Times New Roman" w:hAnsi="Times New Roman" w:eastAsia="新宋体" w:cs="Times New Roman"/>
          <w:b/>
          <w:bCs/>
          <w:color w:val="auto"/>
          <w:szCs w:val="24"/>
          <w:lang w:eastAsia="zh-CN"/>
        </w:rPr>
        <w:t xml:space="preserve"> 地下水功能敏感性分区</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694"/>
        <w:gridCol w:w="8052"/>
      </w:tblGrid>
      <w:tr w14:paraId="1561B31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869" w:type="pct"/>
            <w:vAlign w:val="center"/>
          </w:tcPr>
          <w:p w14:paraId="18655B6A">
            <w:pPr>
              <w:pStyle w:val="62"/>
              <w:widowControl w:val="0"/>
              <w:adjustRightInd w:val="0"/>
              <w:snapToGrid w:val="0"/>
              <w:spacing w:before="0" w:after="0"/>
              <w:jc w:val="center"/>
              <w:rPr>
                <w:rFonts w:ascii="Times New Roman" w:hAnsi="Times New Roman" w:eastAsia="新宋体"/>
                <w:b/>
                <w:color w:val="auto"/>
                <w:sz w:val="21"/>
                <w:szCs w:val="21"/>
              </w:rPr>
            </w:pPr>
            <w:r>
              <w:rPr>
                <w:rFonts w:ascii="Times New Roman" w:hAnsi="Times New Roman" w:eastAsia="新宋体"/>
                <w:b/>
                <w:color w:val="auto"/>
                <w:sz w:val="21"/>
                <w:szCs w:val="21"/>
              </w:rPr>
              <w:t>敏感性</w:t>
            </w:r>
          </w:p>
        </w:tc>
        <w:tc>
          <w:tcPr>
            <w:tcW w:w="4131" w:type="pct"/>
            <w:vAlign w:val="center"/>
          </w:tcPr>
          <w:p w14:paraId="0370B1CD">
            <w:pPr>
              <w:pStyle w:val="62"/>
              <w:widowControl w:val="0"/>
              <w:adjustRightInd w:val="0"/>
              <w:snapToGrid w:val="0"/>
              <w:spacing w:before="0" w:after="0"/>
              <w:jc w:val="center"/>
              <w:rPr>
                <w:rFonts w:ascii="Times New Roman" w:hAnsi="Times New Roman" w:eastAsia="新宋体"/>
                <w:b/>
                <w:color w:val="auto"/>
                <w:sz w:val="21"/>
                <w:szCs w:val="21"/>
              </w:rPr>
            </w:pPr>
            <w:r>
              <w:rPr>
                <w:rFonts w:ascii="Times New Roman" w:hAnsi="Times New Roman" w:eastAsia="新宋体"/>
                <w:b/>
                <w:color w:val="auto"/>
                <w:sz w:val="21"/>
                <w:szCs w:val="21"/>
              </w:rPr>
              <w:t>地下水环境敏感特征</w:t>
            </w:r>
          </w:p>
        </w:tc>
      </w:tr>
      <w:tr w14:paraId="6C9C408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869" w:type="pct"/>
            <w:vAlign w:val="center"/>
          </w:tcPr>
          <w:p w14:paraId="6020DE09">
            <w:pPr>
              <w:pStyle w:val="62"/>
              <w:widowControl w:val="0"/>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敏感G1</w:t>
            </w:r>
          </w:p>
        </w:tc>
        <w:tc>
          <w:tcPr>
            <w:tcW w:w="4131" w:type="pct"/>
            <w:vAlign w:val="center"/>
          </w:tcPr>
          <w:p w14:paraId="67F2E731">
            <w:pPr>
              <w:pStyle w:val="62"/>
              <w:widowControl w:val="0"/>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集中式饮用水水源（包括已建成的在用、备用、应急水源，在建和规划的饮用水水源）准保护区；除集中式饮用水源以外的国家或地方政府设定的地下环境相关的其他保护区，如热水、矿泉水、温泉等特殊地下水资源保护区</w:t>
            </w:r>
          </w:p>
        </w:tc>
      </w:tr>
      <w:tr w14:paraId="6292DBC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869" w:type="pct"/>
            <w:tcBorders>
              <w:bottom w:val="single" w:color="auto" w:sz="6" w:space="0"/>
            </w:tcBorders>
            <w:vAlign w:val="center"/>
          </w:tcPr>
          <w:p w14:paraId="4164734E">
            <w:pPr>
              <w:pStyle w:val="62"/>
              <w:widowControl w:val="0"/>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较敏感G2</w:t>
            </w:r>
          </w:p>
        </w:tc>
        <w:tc>
          <w:tcPr>
            <w:tcW w:w="4131" w:type="pct"/>
            <w:tcBorders>
              <w:bottom w:val="single" w:color="auto" w:sz="6" w:space="0"/>
            </w:tcBorders>
            <w:vAlign w:val="center"/>
          </w:tcPr>
          <w:p w14:paraId="45A83F58">
            <w:pPr>
              <w:pStyle w:val="62"/>
              <w:widowControl w:val="0"/>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集中式饮用水源（包括已建成的在用、备用、应急水源，在建和规划的饮用水源）准保护区以外的补给径流区；未划定准保护区的集中式饮用水水源，其保护区以外的补给径流区；分散式饮用水水源地；特殊地下水资源（如热水、矿泉水、温泉等）保护区以外的分布区等其他未列入上述敏感分级的环境敏感区</w:t>
            </w:r>
          </w:p>
        </w:tc>
      </w:tr>
      <w:tr w14:paraId="01FF759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869" w:type="pct"/>
            <w:tcBorders>
              <w:top w:val="single" w:color="auto" w:sz="6" w:space="0"/>
              <w:bottom w:val="single" w:color="auto" w:sz="6" w:space="0"/>
            </w:tcBorders>
            <w:shd w:val="clear" w:color="auto" w:fill="BFBFBF"/>
            <w:vAlign w:val="center"/>
          </w:tcPr>
          <w:p w14:paraId="3707103B">
            <w:pPr>
              <w:pStyle w:val="62"/>
              <w:widowControl w:val="0"/>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不敏感G3</w:t>
            </w:r>
          </w:p>
        </w:tc>
        <w:tc>
          <w:tcPr>
            <w:tcW w:w="4131" w:type="pct"/>
            <w:tcBorders>
              <w:top w:val="single" w:color="auto" w:sz="6" w:space="0"/>
              <w:bottom w:val="single" w:color="auto" w:sz="6" w:space="0"/>
            </w:tcBorders>
            <w:shd w:val="clear" w:color="auto" w:fill="BFBFBF"/>
            <w:vAlign w:val="center"/>
          </w:tcPr>
          <w:p w14:paraId="25066939">
            <w:pPr>
              <w:pStyle w:val="62"/>
              <w:widowControl w:val="0"/>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上述地区之外的其他地区</w:t>
            </w:r>
          </w:p>
        </w:tc>
      </w:tr>
      <w:tr w14:paraId="564DE0E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000" w:type="pct"/>
            <w:gridSpan w:val="2"/>
            <w:tcBorders>
              <w:top w:val="single" w:color="auto" w:sz="6" w:space="0"/>
            </w:tcBorders>
            <w:vAlign w:val="center"/>
          </w:tcPr>
          <w:p w14:paraId="404FF3EF">
            <w:pPr>
              <w:pStyle w:val="62"/>
              <w:widowControl w:val="0"/>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“环境敏感区”是指《建设项目环境影响评价分类管理名录》中所界定的涉及地下水的环境敏感区</w:t>
            </w:r>
          </w:p>
        </w:tc>
      </w:tr>
    </w:tbl>
    <w:p w14:paraId="04B90C68">
      <w:pPr>
        <w:widowControl w:val="0"/>
        <w:spacing w:line="360" w:lineRule="auto"/>
        <w:ind w:firstLine="480" w:firstLineChars="200"/>
        <w:jc w:val="both"/>
        <w:rPr>
          <w:rFonts w:ascii="Times New Roman" w:hAnsi="Times New Roman" w:eastAsia="新宋体" w:cs="Times New Roman"/>
          <w:bCs/>
          <w:color w:val="auto"/>
          <w:szCs w:val="24"/>
          <w:lang w:eastAsia="zh-CN"/>
        </w:rPr>
      </w:pPr>
      <w:r>
        <w:rPr>
          <w:rFonts w:ascii="Times New Roman" w:hAnsi="Times New Roman" w:eastAsia="新宋体" w:cs="Times New Roman"/>
          <w:color w:val="auto"/>
          <w:szCs w:val="24"/>
          <w:lang w:eastAsia="zh-CN"/>
        </w:rPr>
        <w:t>本项目所在区域地下水不在上述敏感及较敏感区域范围内，区域范围内无地下水的环境敏感区，因此地下水功能为不敏感（G3）。</w:t>
      </w:r>
    </w:p>
    <w:p w14:paraId="4A1D9E23">
      <w:pPr>
        <w:widowControl w:val="0"/>
        <w:spacing w:line="360" w:lineRule="auto"/>
        <w:jc w:val="center"/>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表2.4-1</w:t>
      </w:r>
      <w:r>
        <w:rPr>
          <w:rFonts w:hint="eastAsia" w:ascii="Times New Roman" w:hAnsi="Times New Roman" w:eastAsia="新宋体" w:cs="Times New Roman"/>
          <w:b/>
          <w:bCs/>
          <w:color w:val="auto"/>
          <w:szCs w:val="24"/>
          <w:lang w:eastAsia="zh-CN"/>
        </w:rPr>
        <w:t>5</w:t>
      </w:r>
      <w:r>
        <w:rPr>
          <w:rFonts w:ascii="Times New Roman" w:hAnsi="Times New Roman" w:eastAsia="新宋体" w:cs="Times New Roman"/>
          <w:b/>
          <w:bCs/>
          <w:color w:val="auto"/>
          <w:szCs w:val="24"/>
          <w:lang w:eastAsia="zh-CN"/>
        </w:rPr>
        <w:t xml:space="preserve"> 包气带防污性能分级</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936"/>
        <w:gridCol w:w="7810"/>
      </w:tblGrid>
      <w:tr w14:paraId="05F142C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993" w:type="pct"/>
            <w:vAlign w:val="center"/>
          </w:tcPr>
          <w:p w14:paraId="6D4892EF">
            <w:pPr>
              <w:pStyle w:val="62"/>
              <w:widowControl w:val="0"/>
              <w:adjustRightInd w:val="0"/>
              <w:snapToGrid w:val="0"/>
              <w:spacing w:before="0" w:after="0"/>
              <w:jc w:val="center"/>
              <w:rPr>
                <w:rFonts w:ascii="Times New Roman" w:hAnsi="Times New Roman" w:eastAsia="新宋体"/>
                <w:b/>
                <w:color w:val="auto"/>
                <w:sz w:val="21"/>
                <w:szCs w:val="21"/>
              </w:rPr>
            </w:pPr>
            <w:r>
              <w:rPr>
                <w:rFonts w:ascii="Times New Roman" w:hAnsi="Times New Roman" w:eastAsia="新宋体"/>
                <w:b/>
                <w:color w:val="auto"/>
                <w:sz w:val="21"/>
                <w:szCs w:val="21"/>
              </w:rPr>
              <w:t>分级</w:t>
            </w:r>
          </w:p>
        </w:tc>
        <w:tc>
          <w:tcPr>
            <w:tcW w:w="4007" w:type="pct"/>
            <w:vAlign w:val="center"/>
          </w:tcPr>
          <w:p w14:paraId="1439BC16">
            <w:pPr>
              <w:pStyle w:val="62"/>
              <w:widowControl w:val="0"/>
              <w:adjustRightInd w:val="0"/>
              <w:snapToGrid w:val="0"/>
              <w:spacing w:before="0" w:after="0"/>
              <w:jc w:val="center"/>
              <w:rPr>
                <w:rFonts w:ascii="Times New Roman" w:hAnsi="Times New Roman" w:eastAsia="新宋体"/>
                <w:b/>
                <w:color w:val="auto"/>
                <w:sz w:val="21"/>
                <w:szCs w:val="21"/>
                <w:lang w:eastAsia="zh-CN"/>
              </w:rPr>
            </w:pPr>
            <w:r>
              <w:rPr>
                <w:rFonts w:ascii="Times New Roman" w:hAnsi="Times New Roman" w:eastAsia="新宋体"/>
                <w:b/>
                <w:color w:val="auto"/>
                <w:sz w:val="21"/>
                <w:szCs w:val="21"/>
                <w:lang w:eastAsia="zh-CN"/>
              </w:rPr>
              <w:t>包气带岩土的渗透性能</w:t>
            </w:r>
          </w:p>
        </w:tc>
      </w:tr>
      <w:tr w14:paraId="4C2D1D6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993" w:type="pct"/>
            <w:tcBorders>
              <w:bottom w:val="single" w:color="auto" w:sz="6" w:space="0"/>
            </w:tcBorders>
            <w:vAlign w:val="center"/>
          </w:tcPr>
          <w:p w14:paraId="139B9B45">
            <w:pPr>
              <w:pStyle w:val="62"/>
              <w:widowControl w:val="0"/>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D3</w:t>
            </w:r>
          </w:p>
        </w:tc>
        <w:tc>
          <w:tcPr>
            <w:tcW w:w="4007" w:type="pct"/>
            <w:tcBorders>
              <w:bottom w:val="single" w:color="auto" w:sz="6" w:space="0"/>
            </w:tcBorders>
            <w:vAlign w:val="center"/>
          </w:tcPr>
          <w:p w14:paraId="53A06AC6">
            <w:pPr>
              <w:pStyle w:val="62"/>
              <w:widowControl w:val="0"/>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Mb≥1.0m，K≤1.0×10</w:t>
            </w:r>
            <w:r>
              <w:rPr>
                <w:rFonts w:ascii="Times New Roman" w:hAnsi="Times New Roman" w:eastAsia="新宋体"/>
                <w:color w:val="auto"/>
                <w:sz w:val="21"/>
                <w:szCs w:val="21"/>
                <w:vertAlign w:val="superscript"/>
                <w:lang w:eastAsia="zh-CN"/>
              </w:rPr>
              <w:t>-6</w:t>
            </w:r>
            <w:r>
              <w:rPr>
                <w:rFonts w:ascii="Times New Roman" w:hAnsi="Times New Roman" w:eastAsia="新宋体"/>
                <w:color w:val="auto"/>
                <w:sz w:val="21"/>
                <w:szCs w:val="21"/>
                <w:lang w:eastAsia="zh-CN"/>
              </w:rPr>
              <w:t>cm/s，且分布连续、稳定</w:t>
            </w:r>
          </w:p>
        </w:tc>
      </w:tr>
      <w:tr w14:paraId="3DF0CAE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993" w:type="pct"/>
            <w:tcBorders>
              <w:top w:val="single" w:color="auto" w:sz="6" w:space="0"/>
              <w:bottom w:val="single" w:color="auto" w:sz="6" w:space="0"/>
            </w:tcBorders>
            <w:shd w:val="clear" w:color="auto" w:fill="BFBFBF"/>
            <w:vAlign w:val="center"/>
          </w:tcPr>
          <w:p w14:paraId="79CE9CDC">
            <w:pPr>
              <w:pStyle w:val="62"/>
              <w:widowControl w:val="0"/>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D2</w:t>
            </w:r>
          </w:p>
        </w:tc>
        <w:tc>
          <w:tcPr>
            <w:tcW w:w="4007" w:type="pct"/>
            <w:tcBorders>
              <w:top w:val="single" w:color="auto" w:sz="6" w:space="0"/>
              <w:bottom w:val="single" w:color="auto" w:sz="6" w:space="0"/>
            </w:tcBorders>
            <w:shd w:val="clear" w:color="auto" w:fill="BFBFBF"/>
            <w:vAlign w:val="center"/>
          </w:tcPr>
          <w:p w14:paraId="0664A1F5">
            <w:pPr>
              <w:pStyle w:val="62"/>
              <w:widowControl w:val="0"/>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0.5m≤Mb＜1.0m，K≤1.0×10</w:t>
            </w:r>
            <w:r>
              <w:rPr>
                <w:rFonts w:ascii="Times New Roman" w:hAnsi="Times New Roman" w:eastAsia="新宋体"/>
                <w:color w:val="auto"/>
                <w:sz w:val="21"/>
                <w:szCs w:val="21"/>
                <w:vertAlign w:val="superscript"/>
                <w:lang w:eastAsia="zh-CN"/>
              </w:rPr>
              <w:t>-6</w:t>
            </w:r>
            <w:r>
              <w:rPr>
                <w:rFonts w:ascii="Times New Roman" w:hAnsi="Times New Roman" w:eastAsia="新宋体"/>
                <w:color w:val="auto"/>
                <w:sz w:val="21"/>
                <w:szCs w:val="21"/>
                <w:lang w:eastAsia="zh-CN"/>
              </w:rPr>
              <w:t>cm/s，且分布连续、稳定</w:t>
            </w:r>
          </w:p>
          <w:p w14:paraId="5DA5D532">
            <w:pPr>
              <w:pStyle w:val="62"/>
              <w:widowControl w:val="0"/>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Mb≥1.0m，1.0*10</w:t>
            </w:r>
            <w:r>
              <w:rPr>
                <w:rFonts w:ascii="Times New Roman" w:hAnsi="Times New Roman" w:eastAsia="新宋体"/>
                <w:color w:val="auto"/>
                <w:sz w:val="21"/>
                <w:szCs w:val="21"/>
                <w:vertAlign w:val="superscript"/>
                <w:lang w:eastAsia="zh-CN"/>
              </w:rPr>
              <w:t>-6</w:t>
            </w:r>
            <w:r>
              <w:rPr>
                <w:rFonts w:ascii="Times New Roman" w:hAnsi="Times New Roman" w:eastAsia="新宋体"/>
                <w:color w:val="auto"/>
                <w:sz w:val="21"/>
                <w:szCs w:val="21"/>
                <w:lang w:eastAsia="zh-CN"/>
              </w:rPr>
              <w:t>cm/s＜K≤1.0×1</w:t>
            </w:r>
            <w:r>
              <w:rPr>
                <w:rFonts w:ascii="Times New Roman" w:hAnsi="Times New Roman" w:eastAsia="新宋体"/>
                <w:color w:val="auto"/>
                <w:sz w:val="21"/>
                <w:szCs w:val="21"/>
                <w:vertAlign w:val="superscript"/>
                <w:lang w:eastAsia="zh-CN"/>
              </w:rPr>
              <w:t>-4</w:t>
            </w:r>
            <w:r>
              <w:rPr>
                <w:rFonts w:ascii="Times New Roman" w:hAnsi="Times New Roman" w:eastAsia="新宋体"/>
                <w:color w:val="auto"/>
                <w:sz w:val="21"/>
                <w:szCs w:val="21"/>
                <w:lang w:eastAsia="zh-CN"/>
              </w:rPr>
              <w:t>cm/s，且分布连续、稳定</w:t>
            </w:r>
          </w:p>
        </w:tc>
      </w:tr>
      <w:tr w14:paraId="387B811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993" w:type="pct"/>
            <w:tcBorders>
              <w:top w:val="single" w:color="auto" w:sz="6" w:space="0"/>
            </w:tcBorders>
            <w:vAlign w:val="center"/>
          </w:tcPr>
          <w:p w14:paraId="59A52E20">
            <w:pPr>
              <w:pStyle w:val="62"/>
              <w:widowControl w:val="0"/>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D1</w:t>
            </w:r>
          </w:p>
        </w:tc>
        <w:tc>
          <w:tcPr>
            <w:tcW w:w="4007" w:type="pct"/>
            <w:tcBorders>
              <w:top w:val="single" w:color="auto" w:sz="6" w:space="0"/>
            </w:tcBorders>
            <w:vAlign w:val="center"/>
          </w:tcPr>
          <w:p w14:paraId="30E76787">
            <w:pPr>
              <w:pStyle w:val="62"/>
              <w:widowControl w:val="0"/>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岩土层不满足上述“D2”和“D3”条件</w:t>
            </w:r>
          </w:p>
        </w:tc>
      </w:tr>
      <w:tr w14:paraId="143A6D9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000" w:type="pct"/>
            <w:gridSpan w:val="2"/>
            <w:vAlign w:val="center"/>
          </w:tcPr>
          <w:p w14:paraId="7513D0B4">
            <w:pPr>
              <w:pStyle w:val="62"/>
              <w:widowControl w:val="0"/>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Mb:岩土层单层厚度。K：渗透系数</w:t>
            </w:r>
          </w:p>
        </w:tc>
      </w:tr>
    </w:tbl>
    <w:p w14:paraId="208A4E56">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区域包气带的渗透系数包气带渗透系数大于1×10</w:t>
      </w:r>
      <w:r>
        <w:rPr>
          <w:rFonts w:ascii="Times New Roman" w:hAnsi="Times New Roman" w:eastAsia="新宋体" w:cs="Times New Roman"/>
          <w:color w:val="auto"/>
          <w:szCs w:val="24"/>
          <w:vertAlign w:val="superscript"/>
          <w:lang w:eastAsia="zh-CN"/>
        </w:rPr>
        <w:t>-6</w:t>
      </w:r>
      <w:r>
        <w:rPr>
          <w:rFonts w:ascii="Times New Roman" w:hAnsi="Times New Roman" w:eastAsia="新宋体" w:cs="Times New Roman"/>
          <w:color w:val="auto"/>
          <w:szCs w:val="24"/>
          <w:lang w:eastAsia="zh-CN"/>
        </w:rPr>
        <w:t>cm/s、小于1×10</w:t>
      </w:r>
      <w:r>
        <w:rPr>
          <w:rFonts w:ascii="Times New Roman" w:hAnsi="Times New Roman" w:eastAsia="新宋体" w:cs="Times New Roman"/>
          <w:color w:val="auto"/>
          <w:szCs w:val="24"/>
          <w:vertAlign w:val="superscript"/>
          <w:lang w:eastAsia="zh-CN"/>
        </w:rPr>
        <w:t>-4</w:t>
      </w:r>
      <w:r>
        <w:rPr>
          <w:rFonts w:ascii="Times New Roman" w:hAnsi="Times New Roman" w:eastAsia="新宋体" w:cs="Times New Roman"/>
          <w:color w:val="auto"/>
          <w:szCs w:val="24"/>
          <w:lang w:eastAsia="zh-CN"/>
        </w:rPr>
        <w:t>cm/s，岩（土）层单层厚度Mb&gt;1.0m。根据上表判断本项目地下水包气带防污性能分级为D2。</w:t>
      </w:r>
    </w:p>
    <w:p w14:paraId="74EBF9FA">
      <w:pPr>
        <w:widowControl w:val="0"/>
        <w:spacing w:line="360" w:lineRule="auto"/>
        <w:jc w:val="center"/>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表2.4-1</w:t>
      </w:r>
      <w:r>
        <w:rPr>
          <w:rFonts w:hint="eastAsia" w:ascii="Times New Roman" w:hAnsi="Times New Roman" w:eastAsia="新宋体" w:cs="Times New Roman"/>
          <w:b/>
          <w:bCs/>
          <w:color w:val="auto"/>
          <w:szCs w:val="24"/>
          <w:lang w:eastAsia="zh-CN"/>
        </w:rPr>
        <w:t>6</w:t>
      </w:r>
      <w:r>
        <w:rPr>
          <w:rFonts w:ascii="Times New Roman" w:hAnsi="Times New Roman" w:eastAsia="新宋体" w:cs="Times New Roman"/>
          <w:b/>
          <w:bCs/>
          <w:color w:val="auto"/>
          <w:szCs w:val="24"/>
          <w:lang w:eastAsia="zh-CN"/>
        </w:rPr>
        <w:t xml:space="preserve"> 地下水环境敏感程度分级</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434"/>
        <w:gridCol w:w="2435"/>
        <w:gridCol w:w="2435"/>
        <w:gridCol w:w="2442"/>
      </w:tblGrid>
      <w:tr w14:paraId="7326EEF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249" w:type="pct"/>
            <w:vMerge w:val="restart"/>
            <w:vAlign w:val="center"/>
          </w:tcPr>
          <w:p w14:paraId="1BE1E9A1">
            <w:pPr>
              <w:pStyle w:val="62"/>
              <w:widowControl w:val="0"/>
              <w:adjustRightInd w:val="0"/>
              <w:snapToGrid w:val="0"/>
              <w:spacing w:before="0" w:after="0"/>
              <w:jc w:val="center"/>
              <w:rPr>
                <w:rFonts w:ascii="Times New Roman" w:hAnsi="Times New Roman" w:eastAsia="新宋体"/>
                <w:b/>
                <w:color w:val="auto"/>
                <w:sz w:val="21"/>
                <w:szCs w:val="21"/>
              </w:rPr>
            </w:pPr>
            <w:r>
              <w:rPr>
                <w:rFonts w:ascii="Times New Roman" w:hAnsi="Times New Roman" w:eastAsia="新宋体"/>
                <w:b/>
                <w:color w:val="auto"/>
                <w:sz w:val="21"/>
                <w:szCs w:val="21"/>
              </w:rPr>
              <w:t>包气带防污性能</w:t>
            </w:r>
          </w:p>
        </w:tc>
        <w:tc>
          <w:tcPr>
            <w:tcW w:w="3751" w:type="pct"/>
            <w:gridSpan w:val="3"/>
            <w:vAlign w:val="center"/>
          </w:tcPr>
          <w:p w14:paraId="44CC7811">
            <w:pPr>
              <w:pStyle w:val="62"/>
              <w:widowControl w:val="0"/>
              <w:adjustRightInd w:val="0"/>
              <w:snapToGrid w:val="0"/>
              <w:spacing w:before="0" w:after="0"/>
              <w:jc w:val="center"/>
              <w:rPr>
                <w:rFonts w:ascii="Times New Roman" w:hAnsi="Times New Roman" w:eastAsia="新宋体"/>
                <w:b/>
                <w:color w:val="auto"/>
                <w:sz w:val="21"/>
                <w:szCs w:val="21"/>
              </w:rPr>
            </w:pPr>
            <w:r>
              <w:rPr>
                <w:rFonts w:ascii="Times New Roman" w:hAnsi="Times New Roman" w:eastAsia="新宋体"/>
                <w:b/>
                <w:color w:val="auto"/>
                <w:sz w:val="21"/>
                <w:szCs w:val="21"/>
              </w:rPr>
              <w:t>地下水功能敏感性</w:t>
            </w:r>
          </w:p>
        </w:tc>
      </w:tr>
      <w:tr w14:paraId="70B9D6B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249" w:type="pct"/>
            <w:vMerge w:val="continue"/>
            <w:vAlign w:val="center"/>
          </w:tcPr>
          <w:p w14:paraId="37A9EB1F">
            <w:pPr>
              <w:pStyle w:val="62"/>
              <w:widowControl w:val="0"/>
              <w:adjustRightInd w:val="0"/>
              <w:snapToGrid w:val="0"/>
              <w:spacing w:before="0" w:after="0"/>
              <w:jc w:val="center"/>
              <w:rPr>
                <w:rFonts w:ascii="Times New Roman" w:hAnsi="Times New Roman" w:eastAsia="新宋体"/>
                <w:color w:val="auto"/>
                <w:sz w:val="21"/>
                <w:szCs w:val="21"/>
              </w:rPr>
            </w:pPr>
          </w:p>
        </w:tc>
        <w:tc>
          <w:tcPr>
            <w:tcW w:w="1249" w:type="pct"/>
            <w:vAlign w:val="center"/>
          </w:tcPr>
          <w:p w14:paraId="0CADCE12">
            <w:pPr>
              <w:pStyle w:val="62"/>
              <w:widowControl w:val="0"/>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G1</w:t>
            </w:r>
          </w:p>
        </w:tc>
        <w:tc>
          <w:tcPr>
            <w:tcW w:w="1249" w:type="pct"/>
            <w:vAlign w:val="center"/>
          </w:tcPr>
          <w:p w14:paraId="02C738CC">
            <w:pPr>
              <w:pStyle w:val="62"/>
              <w:widowControl w:val="0"/>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G2</w:t>
            </w:r>
          </w:p>
        </w:tc>
        <w:tc>
          <w:tcPr>
            <w:tcW w:w="1252" w:type="pct"/>
            <w:vAlign w:val="center"/>
          </w:tcPr>
          <w:p w14:paraId="2FDA9CB0">
            <w:pPr>
              <w:pStyle w:val="62"/>
              <w:widowControl w:val="0"/>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G3</w:t>
            </w:r>
          </w:p>
        </w:tc>
      </w:tr>
      <w:tr w14:paraId="0D0D905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249" w:type="pct"/>
            <w:vAlign w:val="center"/>
          </w:tcPr>
          <w:p w14:paraId="246F25F7">
            <w:pPr>
              <w:pStyle w:val="62"/>
              <w:widowControl w:val="0"/>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D1</w:t>
            </w:r>
          </w:p>
        </w:tc>
        <w:tc>
          <w:tcPr>
            <w:tcW w:w="1249" w:type="pct"/>
            <w:vAlign w:val="center"/>
          </w:tcPr>
          <w:p w14:paraId="57103564">
            <w:pPr>
              <w:pStyle w:val="62"/>
              <w:widowControl w:val="0"/>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E1</w:t>
            </w:r>
          </w:p>
        </w:tc>
        <w:tc>
          <w:tcPr>
            <w:tcW w:w="1249" w:type="pct"/>
            <w:vAlign w:val="center"/>
          </w:tcPr>
          <w:p w14:paraId="23DD342B">
            <w:pPr>
              <w:pStyle w:val="62"/>
              <w:widowControl w:val="0"/>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E1</w:t>
            </w:r>
          </w:p>
        </w:tc>
        <w:tc>
          <w:tcPr>
            <w:tcW w:w="1252" w:type="pct"/>
            <w:tcBorders>
              <w:bottom w:val="single" w:color="auto" w:sz="6" w:space="0"/>
            </w:tcBorders>
            <w:vAlign w:val="center"/>
          </w:tcPr>
          <w:p w14:paraId="78270C3E">
            <w:pPr>
              <w:pStyle w:val="62"/>
              <w:widowControl w:val="0"/>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E2</w:t>
            </w:r>
          </w:p>
        </w:tc>
      </w:tr>
      <w:tr w14:paraId="766BC22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249" w:type="pct"/>
            <w:vAlign w:val="center"/>
          </w:tcPr>
          <w:p w14:paraId="5C6685E9">
            <w:pPr>
              <w:pStyle w:val="62"/>
              <w:widowControl w:val="0"/>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D2</w:t>
            </w:r>
          </w:p>
        </w:tc>
        <w:tc>
          <w:tcPr>
            <w:tcW w:w="1249" w:type="pct"/>
            <w:vAlign w:val="center"/>
          </w:tcPr>
          <w:p w14:paraId="642C199A">
            <w:pPr>
              <w:pStyle w:val="62"/>
              <w:widowControl w:val="0"/>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E1</w:t>
            </w:r>
          </w:p>
        </w:tc>
        <w:tc>
          <w:tcPr>
            <w:tcW w:w="1249" w:type="pct"/>
            <w:vAlign w:val="center"/>
          </w:tcPr>
          <w:p w14:paraId="0ADF209C">
            <w:pPr>
              <w:pStyle w:val="62"/>
              <w:widowControl w:val="0"/>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E2</w:t>
            </w:r>
          </w:p>
        </w:tc>
        <w:tc>
          <w:tcPr>
            <w:tcW w:w="1252" w:type="pct"/>
            <w:tcBorders>
              <w:top w:val="single" w:color="auto" w:sz="6" w:space="0"/>
              <w:bottom w:val="single" w:color="auto" w:sz="6" w:space="0"/>
            </w:tcBorders>
            <w:shd w:val="clear" w:color="auto" w:fill="BFBFBF"/>
            <w:vAlign w:val="center"/>
          </w:tcPr>
          <w:p w14:paraId="2CF2B739">
            <w:pPr>
              <w:pStyle w:val="62"/>
              <w:widowControl w:val="0"/>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E3</w:t>
            </w:r>
          </w:p>
        </w:tc>
      </w:tr>
      <w:tr w14:paraId="5E8EE6B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249" w:type="pct"/>
            <w:vAlign w:val="center"/>
          </w:tcPr>
          <w:p w14:paraId="1F05023B">
            <w:pPr>
              <w:pStyle w:val="62"/>
              <w:widowControl w:val="0"/>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D3</w:t>
            </w:r>
          </w:p>
        </w:tc>
        <w:tc>
          <w:tcPr>
            <w:tcW w:w="1249" w:type="pct"/>
            <w:vAlign w:val="center"/>
          </w:tcPr>
          <w:p w14:paraId="1E3348CF">
            <w:pPr>
              <w:pStyle w:val="62"/>
              <w:widowControl w:val="0"/>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E2</w:t>
            </w:r>
          </w:p>
        </w:tc>
        <w:tc>
          <w:tcPr>
            <w:tcW w:w="1249" w:type="pct"/>
            <w:vAlign w:val="center"/>
          </w:tcPr>
          <w:p w14:paraId="307CE998">
            <w:pPr>
              <w:pStyle w:val="62"/>
              <w:widowControl w:val="0"/>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E3</w:t>
            </w:r>
          </w:p>
        </w:tc>
        <w:tc>
          <w:tcPr>
            <w:tcW w:w="1252" w:type="pct"/>
            <w:tcBorders>
              <w:top w:val="single" w:color="auto" w:sz="6" w:space="0"/>
            </w:tcBorders>
            <w:vAlign w:val="center"/>
          </w:tcPr>
          <w:p w14:paraId="431A2F21">
            <w:pPr>
              <w:pStyle w:val="62"/>
              <w:widowControl w:val="0"/>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E3</w:t>
            </w:r>
          </w:p>
        </w:tc>
      </w:tr>
    </w:tbl>
    <w:p w14:paraId="2B350F1C">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由区域地下水功能敏感性分区和包气带防污性能分级，项目地下水环境敏感程度为低环境敏感区（E3）。事故状况下事故废水能够得到有效收集，且事故水池采取重点防渗措施，本章节不再单独考虑事故水池破裂造成的地下水污染。</w:t>
      </w:r>
    </w:p>
    <w:p w14:paraId="2D9173D9">
      <w:pPr>
        <w:widowControl w:val="0"/>
        <w:spacing w:line="360" w:lineRule="auto"/>
        <w:ind w:firstLine="480" w:firstLineChars="200"/>
        <w:jc w:val="both"/>
        <w:rPr>
          <w:rFonts w:ascii="Times New Roman" w:hAnsi="Times New Roman" w:cs="Times New Roman"/>
          <w:color w:val="auto"/>
          <w:lang w:eastAsia="zh-CN"/>
        </w:rPr>
      </w:pPr>
      <w:r>
        <w:rPr>
          <w:rFonts w:ascii="宋体" w:hAnsi="宋体" w:cs="Times New Roman"/>
          <w:color w:val="auto"/>
          <w:lang w:eastAsia="zh-CN"/>
        </w:rPr>
        <w:fldChar w:fldCharType="begin"/>
      </w:r>
      <w:r>
        <w:rPr>
          <w:rFonts w:ascii="宋体" w:hAnsi="宋体" w:cs="Times New Roman"/>
          <w:color w:val="auto"/>
          <w:lang w:eastAsia="zh-CN"/>
        </w:rPr>
        <w:instrText xml:space="preserve"> = 4 \* GB3 </w:instrText>
      </w:r>
      <w:r>
        <w:rPr>
          <w:rFonts w:ascii="宋体" w:hAnsi="宋体" w:cs="Times New Roman"/>
          <w:color w:val="auto"/>
          <w:lang w:eastAsia="zh-CN"/>
        </w:rPr>
        <w:fldChar w:fldCharType="separate"/>
      </w:r>
      <w:r>
        <w:rPr>
          <w:rFonts w:ascii="宋体" w:hAnsi="宋体" w:cs="Cambria Math"/>
          <w:color w:val="auto"/>
          <w:lang w:eastAsia="zh-CN"/>
        </w:rPr>
        <w:t>④</w:t>
      </w:r>
      <w:r>
        <w:rPr>
          <w:rFonts w:ascii="宋体" w:hAnsi="宋体" w:cs="Times New Roman"/>
          <w:color w:val="auto"/>
          <w:lang w:eastAsia="zh-CN"/>
        </w:rPr>
        <w:fldChar w:fldCharType="end"/>
      </w:r>
      <w:r>
        <w:rPr>
          <w:rFonts w:ascii="Times New Roman" w:hAnsi="Times New Roman" w:cs="Times New Roman"/>
          <w:color w:val="auto"/>
          <w:lang w:eastAsia="zh-CN"/>
        </w:rPr>
        <w:t>环境风险等级</w:t>
      </w:r>
    </w:p>
    <w:p w14:paraId="40161B08">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本项目危险物质及工艺系统危险性等级为P</w:t>
      </w:r>
      <w:r>
        <w:rPr>
          <w:rFonts w:hint="eastAsia" w:ascii="Times New Roman" w:hAnsi="Times New Roman" w:cs="Times New Roman"/>
          <w:color w:val="auto"/>
          <w:lang w:eastAsia="zh-CN"/>
        </w:rPr>
        <w:t>3</w:t>
      </w:r>
      <w:r>
        <w:rPr>
          <w:rFonts w:ascii="Times New Roman" w:hAnsi="Times New Roman" w:cs="Times New Roman"/>
          <w:color w:val="auto"/>
          <w:lang w:eastAsia="zh-CN"/>
        </w:rPr>
        <w:t>、大气环境敏感程度为E2、地表水环境敏感程度为E1，地下水环境敏感程度为E3。根据下表确定项目综合环境风险潜势。</w:t>
      </w:r>
    </w:p>
    <w:p w14:paraId="2B17DB86">
      <w:pPr>
        <w:widowControl w:val="0"/>
        <w:spacing w:line="360" w:lineRule="auto"/>
        <w:jc w:val="center"/>
        <w:rPr>
          <w:rFonts w:ascii="Times New Roman" w:hAnsi="Times New Roman" w:cs="Times New Roman"/>
          <w:color w:val="auto"/>
          <w:lang w:eastAsia="zh-CN"/>
        </w:rPr>
      </w:pPr>
      <w:r>
        <w:rPr>
          <w:rFonts w:ascii="Times New Roman" w:hAnsi="Times New Roman" w:cs="Times New Roman"/>
          <w:b/>
          <w:bCs/>
          <w:color w:val="auto"/>
          <w:lang w:eastAsia="zh-CN"/>
        </w:rPr>
        <w:t>表2.4-1</w:t>
      </w:r>
      <w:r>
        <w:rPr>
          <w:rFonts w:hint="eastAsia" w:ascii="Times New Roman" w:hAnsi="Times New Roman" w:cs="Times New Roman"/>
          <w:b/>
          <w:bCs/>
          <w:color w:val="auto"/>
          <w:lang w:eastAsia="zh-CN"/>
        </w:rPr>
        <w:t>7</w:t>
      </w:r>
      <w:r>
        <w:rPr>
          <w:rFonts w:ascii="Times New Roman" w:hAnsi="Times New Roman" w:cs="Times New Roman"/>
          <w:b/>
          <w:bCs/>
          <w:color w:val="auto"/>
          <w:lang w:eastAsia="zh-CN"/>
        </w:rPr>
        <w:t xml:space="preserve"> 建设项目环境风险潜势划分</w:t>
      </w:r>
    </w:p>
    <w:tbl>
      <w:tblPr>
        <w:tblStyle w:val="35"/>
        <w:tblW w:w="4982"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850"/>
        <w:gridCol w:w="2836"/>
        <w:gridCol w:w="1699"/>
        <w:gridCol w:w="1414"/>
        <w:gridCol w:w="1560"/>
        <w:gridCol w:w="1352"/>
      </w:tblGrid>
      <w:tr w14:paraId="13B6088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38" w:type="pct"/>
            <w:vMerge w:val="restart"/>
            <w:vAlign w:val="center"/>
          </w:tcPr>
          <w:p w14:paraId="4D4D6072">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类别</w:t>
            </w:r>
          </w:p>
        </w:tc>
        <w:tc>
          <w:tcPr>
            <w:tcW w:w="1460" w:type="pct"/>
            <w:vMerge w:val="restart"/>
            <w:vAlign w:val="center"/>
          </w:tcPr>
          <w:p w14:paraId="2C79DB2B">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环境敏感程度（E）</w:t>
            </w:r>
          </w:p>
        </w:tc>
        <w:tc>
          <w:tcPr>
            <w:tcW w:w="3102" w:type="pct"/>
            <w:gridSpan w:val="4"/>
            <w:vAlign w:val="center"/>
          </w:tcPr>
          <w:p w14:paraId="59D9CDB9">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危险物质及工艺系统危险性（P）</w:t>
            </w:r>
          </w:p>
        </w:tc>
      </w:tr>
      <w:tr w14:paraId="1699072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38" w:type="pct"/>
            <w:vMerge w:val="continue"/>
            <w:vAlign w:val="center"/>
          </w:tcPr>
          <w:p w14:paraId="4971E01C">
            <w:pPr>
              <w:widowControl w:val="0"/>
              <w:adjustRightInd w:val="0"/>
              <w:snapToGrid w:val="0"/>
              <w:jc w:val="center"/>
              <w:rPr>
                <w:rFonts w:ascii="Times New Roman" w:hAnsi="Times New Roman" w:cs="Times New Roman"/>
                <w:b/>
                <w:bCs/>
                <w:color w:val="auto"/>
                <w:sz w:val="21"/>
                <w:lang w:eastAsia="zh-CN"/>
              </w:rPr>
            </w:pPr>
          </w:p>
        </w:tc>
        <w:tc>
          <w:tcPr>
            <w:tcW w:w="1460" w:type="pct"/>
            <w:vMerge w:val="continue"/>
            <w:vAlign w:val="center"/>
          </w:tcPr>
          <w:p w14:paraId="30AF6D70">
            <w:pPr>
              <w:widowControl w:val="0"/>
              <w:adjustRightInd w:val="0"/>
              <w:snapToGrid w:val="0"/>
              <w:jc w:val="center"/>
              <w:rPr>
                <w:rFonts w:ascii="Times New Roman" w:hAnsi="Times New Roman" w:cs="Times New Roman"/>
                <w:b/>
                <w:bCs/>
                <w:color w:val="auto"/>
                <w:sz w:val="21"/>
                <w:lang w:eastAsia="zh-CN"/>
              </w:rPr>
            </w:pPr>
          </w:p>
        </w:tc>
        <w:tc>
          <w:tcPr>
            <w:tcW w:w="875" w:type="pct"/>
            <w:vAlign w:val="center"/>
          </w:tcPr>
          <w:p w14:paraId="55061E4E">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极度危害</w:t>
            </w:r>
          </w:p>
          <w:p w14:paraId="66C56E26">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（P1）</w:t>
            </w:r>
          </w:p>
        </w:tc>
        <w:tc>
          <w:tcPr>
            <w:tcW w:w="728" w:type="pct"/>
            <w:vAlign w:val="center"/>
          </w:tcPr>
          <w:p w14:paraId="3F1FA383">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高度危害</w:t>
            </w:r>
          </w:p>
          <w:p w14:paraId="3BD0AE29">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（P2）</w:t>
            </w:r>
          </w:p>
        </w:tc>
        <w:tc>
          <w:tcPr>
            <w:tcW w:w="803" w:type="pct"/>
            <w:vAlign w:val="center"/>
          </w:tcPr>
          <w:p w14:paraId="4FB61F01">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中度危害</w:t>
            </w:r>
          </w:p>
          <w:p w14:paraId="18D0477A">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（P3）</w:t>
            </w:r>
          </w:p>
        </w:tc>
        <w:tc>
          <w:tcPr>
            <w:tcW w:w="696" w:type="pct"/>
            <w:shd w:val="clear" w:color="auto" w:fill="FFFFFF"/>
            <w:vAlign w:val="center"/>
          </w:tcPr>
          <w:p w14:paraId="0952CC32">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轻度危害</w:t>
            </w:r>
          </w:p>
          <w:p w14:paraId="48704878">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（P4）</w:t>
            </w:r>
          </w:p>
        </w:tc>
      </w:tr>
      <w:tr w14:paraId="0728088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38" w:type="pct"/>
            <w:vMerge w:val="restart"/>
            <w:vAlign w:val="center"/>
          </w:tcPr>
          <w:p w14:paraId="07B50C30">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大气环境</w:t>
            </w:r>
          </w:p>
        </w:tc>
        <w:tc>
          <w:tcPr>
            <w:tcW w:w="1460" w:type="pct"/>
            <w:vAlign w:val="center"/>
          </w:tcPr>
          <w:p w14:paraId="47A141D0">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环境高度敏感区（E1）</w:t>
            </w:r>
          </w:p>
        </w:tc>
        <w:tc>
          <w:tcPr>
            <w:tcW w:w="875" w:type="pct"/>
            <w:vAlign w:val="center"/>
          </w:tcPr>
          <w:p w14:paraId="1066A122">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Ⅳ+</w:t>
            </w:r>
          </w:p>
        </w:tc>
        <w:tc>
          <w:tcPr>
            <w:tcW w:w="728" w:type="pct"/>
            <w:vAlign w:val="center"/>
          </w:tcPr>
          <w:p w14:paraId="4C403D4A">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Ⅳ</w:t>
            </w:r>
          </w:p>
        </w:tc>
        <w:tc>
          <w:tcPr>
            <w:tcW w:w="803" w:type="pct"/>
            <w:vAlign w:val="center"/>
          </w:tcPr>
          <w:p w14:paraId="577C129A">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c>
          <w:tcPr>
            <w:tcW w:w="696" w:type="pct"/>
            <w:shd w:val="clear" w:color="auto" w:fill="FFFFFF"/>
            <w:vAlign w:val="center"/>
          </w:tcPr>
          <w:p w14:paraId="4DE28C2A">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r>
      <w:tr w14:paraId="606B2B1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38" w:type="pct"/>
            <w:vMerge w:val="continue"/>
            <w:vAlign w:val="center"/>
          </w:tcPr>
          <w:p w14:paraId="25DB80F4">
            <w:pPr>
              <w:widowControl w:val="0"/>
              <w:adjustRightInd w:val="0"/>
              <w:snapToGrid w:val="0"/>
              <w:jc w:val="center"/>
              <w:rPr>
                <w:rFonts w:ascii="Times New Roman" w:hAnsi="Times New Roman" w:cs="Times New Roman"/>
                <w:color w:val="auto"/>
                <w:sz w:val="21"/>
              </w:rPr>
            </w:pPr>
          </w:p>
        </w:tc>
        <w:tc>
          <w:tcPr>
            <w:tcW w:w="1460" w:type="pct"/>
            <w:vAlign w:val="center"/>
          </w:tcPr>
          <w:p w14:paraId="70EED1AD">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环境中度敏感区（E2）</w:t>
            </w:r>
          </w:p>
        </w:tc>
        <w:tc>
          <w:tcPr>
            <w:tcW w:w="875" w:type="pct"/>
            <w:shd w:val="clear" w:color="auto" w:fill="BEBEBE" w:themeFill="background1" w:themeFillShade="BF"/>
            <w:vAlign w:val="center"/>
          </w:tcPr>
          <w:p w14:paraId="14EECD2A">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Ⅳ</w:t>
            </w:r>
          </w:p>
        </w:tc>
        <w:tc>
          <w:tcPr>
            <w:tcW w:w="728" w:type="pct"/>
            <w:vAlign w:val="center"/>
          </w:tcPr>
          <w:p w14:paraId="28418CB7">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c>
          <w:tcPr>
            <w:tcW w:w="803" w:type="pct"/>
            <w:vAlign w:val="center"/>
          </w:tcPr>
          <w:p w14:paraId="75C014C1">
            <w:pPr>
              <w:widowControl w:val="0"/>
              <w:adjustRightInd w:val="0"/>
              <w:snapToGrid w:val="0"/>
              <w:jc w:val="center"/>
              <w:rPr>
                <w:rFonts w:ascii="Times New Roman" w:hAnsi="Times New Roman" w:cs="Times New Roman"/>
                <w:color w:val="auto"/>
                <w:sz w:val="21"/>
                <w:highlight w:val="lightGray"/>
              </w:rPr>
            </w:pPr>
            <w:r>
              <w:rPr>
                <w:rFonts w:ascii="Times New Roman" w:hAnsi="Times New Roman" w:cs="Times New Roman"/>
                <w:color w:val="auto"/>
                <w:sz w:val="21"/>
              </w:rPr>
              <w:t>Ⅲ</w:t>
            </w:r>
          </w:p>
        </w:tc>
        <w:tc>
          <w:tcPr>
            <w:tcW w:w="696" w:type="pct"/>
            <w:vAlign w:val="center"/>
          </w:tcPr>
          <w:p w14:paraId="64E92CDE">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Ⅱ</w:t>
            </w:r>
          </w:p>
        </w:tc>
      </w:tr>
      <w:tr w14:paraId="1FDFCBC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38" w:type="pct"/>
            <w:vMerge w:val="continue"/>
            <w:vAlign w:val="center"/>
          </w:tcPr>
          <w:p w14:paraId="0A622260">
            <w:pPr>
              <w:widowControl w:val="0"/>
              <w:adjustRightInd w:val="0"/>
              <w:snapToGrid w:val="0"/>
              <w:jc w:val="center"/>
              <w:rPr>
                <w:rFonts w:ascii="Times New Roman" w:hAnsi="Times New Roman" w:cs="Times New Roman"/>
                <w:color w:val="auto"/>
                <w:sz w:val="21"/>
              </w:rPr>
            </w:pPr>
          </w:p>
        </w:tc>
        <w:tc>
          <w:tcPr>
            <w:tcW w:w="1460" w:type="pct"/>
            <w:vAlign w:val="center"/>
          </w:tcPr>
          <w:p w14:paraId="71CD75BE">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环境低度敏感区（E3）</w:t>
            </w:r>
          </w:p>
        </w:tc>
        <w:tc>
          <w:tcPr>
            <w:tcW w:w="875" w:type="pct"/>
            <w:vAlign w:val="center"/>
          </w:tcPr>
          <w:p w14:paraId="722AF50E">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c>
          <w:tcPr>
            <w:tcW w:w="728" w:type="pct"/>
            <w:vAlign w:val="center"/>
          </w:tcPr>
          <w:p w14:paraId="7507FDD0">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c>
          <w:tcPr>
            <w:tcW w:w="803" w:type="pct"/>
            <w:vAlign w:val="center"/>
          </w:tcPr>
          <w:p w14:paraId="4EA10BC6">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Ⅱ</w:t>
            </w:r>
          </w:p>
        </w:tc>
        <w:tc>
          <w:tcPr>
            <w:tcW w:w="696" w:type="pct"/>
            <w:shd w:val="clear" w:color="auto" w:fill="FFFFFF"/>
            <w:vAlign w:val="center"/>
          </w:tcPr>
          <w:p w14:paraId="134D8479">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Ⅰ</w:t>
            </w:r>
          </w:p>
        </w:tc>
      </w:tr>
      <w:tr w14:paraId="7867B8E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38" w:type="pct"/>
            <w:vMerge w:val="restart"/>
            <w:vAlign w:val="center"/>
          </w:tcPr>
          <w:p w14:paraId="679894FC">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地表水</w:t>
            </w:r>
          </w:p>
        </w:tc>
        <w:tc>
          <w:tcPr>
            <w:tcW w:w="1460" w:type="pct"/>
            <w:vAlign w:val="center"/>
          </w:tcPr>
          <w:p w14:paraId="63987AA3">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环境高度敏感区（E1）</w:t>
            </w:r>
          </w:p>
        </w:tc>
        <w:tc>
          <w:tcPr>
            <w:tcW w:w="875" w:type="pct"/>
            <w:shd w:val="clear" w:color="auto" w:fill="BEBEBE" w:themeFill="background1" w:themeFillShade="BF"/>
            <w:vAlign w:val="center"/>
          </w:tcPr>
          <w:p w14:paraId="6BA5990D">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Ⅳ+</w:t>
            </w:r>
          </w:p>
        </w:tc>
        <w:tc>
          <w:tcPr>
            <w:tcW w:w="728" w:type="pct"/>
            <w:vAlign w:val="center"/>
          </w:tcPr>
          <w:p w14:paraId="4AED7FC2">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Ⅳ</w:t>
            </w:r>
          </w:p>
        </w:tc>
        <w:tc>
          <w:tcPr>
            <w:tcW w:w="803" w:type="pct"/>
            <w:vAlign w:val="center"/>
          </w:tcPr>
          <w:p w14:paraId="144B0F05">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c>
          <w:tcPr>
            <w:tcW w:w="696" w:type="pct"/>
            <w:vAlign w:val="center"/>
          </w:tcPr>
          <w:p w14:paraId="1E8BE89E">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r>
      <w:tr w14:paraId="4D4155B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38" w:type="pct"/>
            <w:vMerge w:val="continue"/>
            <w:vAlign w:val="center"/>
          </w:tcPr>
          <w:p w14:paraId="3E2D8F5F">
            <w:pPr>
              <w:widowControl w:val="0"/>
              <w:adjustRightInd w:val="0"/>
              <w:snapToGrid w:val="0"/>
              <w:jc w:val="center"/>
              <w:rPr>
                <w:rFonts w:ascii="Times New Roman" w:hAnsi="Times New Roman" w:cs="Times New Roman"/>
                <w:color w:val="auto"/>
                <w:sz w:val="21"/>
              </w:rPr>
            </w:pPr>
          </w:p>
        </w:tc>
        <w:tc>
          <w:tcPr>
            <w:tcW w:w="1460" w:type="pct"/>
            <w:vAlign w:val="center"/>
          </w:tcPr>
          <w:p w14:paraId="74E20959">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环境中度敏感区（E2）</w:t>
            </w:r>
          </w:p>
        </w:tc>
        <w:tc>
          <w:tcPr>
            <w:tcW w:w="875" w:type="pct"/>
            <w:vAlign w:val="center"/>
          </w:tcPr>
          <w:p w14:paraId="1E8D935F">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Ⅳ</w:t>
            </w:r>
          </w:p>
        </w:tc>
        <w:tc>
          <w:tcPr>
            <w:tcW w:w="728" w:type="pct"/>
            <w:vAlign w:val="center"/>
          </w:tcPr>
          <w:p w14:paraId="385B56B0">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c>
          <w:tcPr>
            <w:tcW w:w="803" w:type="pct"/>
            <w:vAlign w:val="center"/>
          </w:tcPr>
          <w:p w14:paraId="23197A1A">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c>
          <w:tcPr>
            <w:tcW w:w="696" w:type="pct"/>
            <w:vAlign w:val="center"/>
          </w:tcPr>
          <w:p w14:paraId="236DFAF5">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Ⅱ</w:t>
            </w:r>
          </w:p>
        </w:tc>
      </w:tr>
      <w:tr w14:paraId="1216C72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38" w:type="pct"/>
            <w:vMerge w:val="continue"/>
            <w:vAlign w:val="center"/>
          </w:tcPr>
          <w:p w14:paraId="5E82C0C5">
            <w:pPr>
              <w:widowControl w:val="0"/>
              <w:adjustRightInd w:val="0"/>
              <w:snapToGrid w:val="0"/>
              <w:jc w:val="center"/>
              <w:rPr>
                <w:rFonts w:ascii="Times New Roman" w:hAnsi="Times New Roman" w:cs="Times New Roman"/>
                <w:color w:val="auto"/>
                <w:sz w:val="21"/>
              </w:rPr>
            </w:pPr>
          </w:p>
        </w:tc>
        <w:tc>
          <w:tcPr>
            <w:tcW w:w="1460" w:type="pct"/>
            <w:vAlign w:val="center"/>
          </w:tcPr>
          <w:p w14:paraId="592A3D9A">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环境低度敏感区（E3）</w:t>
            </w:r>
          </w:p>
        </w:tc>
        <w:tc>
          <w:tcPr>
            <w:tcW w:w="875" w:type="pct"/>
            <w:vAlign w:val="center"/>
          </w:tcPr>
          <w:p w14:paraId="448A1656">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c>
          <w:tcPr>
            <w:tcW w:w="728" w:type="pct"/>
            <w:vAlign w:val="center"/>
          </w:tcPr>
          <w:p w14:paraId="0087AF79">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c>
          <w:tcPr>
            <w:tcW w:w="803" w:type="pct"/>
            <w:vAlign w:val="center"/>
          </w:tcPr>
          <w:p w14:paraId="70635A58">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Ⅱ</w:t>
            </w:r>
          </w:p>
        </w:tc>
        <w:tc>
          <w:tcPr>
            <w:tcW w:w="696" w:type="pct"/>
            <w:shd w:val="clear" w:color="auto" w:fill="FFFFFF"/>
            <w:vAlign w:val="center"/>
          </w:tcPr>
          <w:p w14:paraId="2E8DD450">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Ⅰ</w:t>
            </w:r>
          </w:p>
        </w:tc>
      </w:tr>
      <w:tr w14:paraId="6DB317A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38" w:type="pct"/>
            <w:vMerge w:val="restart"/>
            <w:vAlign w:val="center"/>
          </w:tcPr>
          <w:p w14:paraId="0EE1C3BC">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地下水</w:t>
            </w:r>
          </w:p>
        </w:tc>
        <w:tc>
          <w:tcPr>
            <w:tcW w:w="1460" w:type="pct"/>
            <w:vAlign w:val="center"/>
          </w:tcPr>
          <w:p w14:paraId="061EC41D">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环境高度敏感区（E1）</w:t>
            </w:r>
          </w:p>
        </w:tc>
        <w:tc>
          <w:tcPr>
            <w:tcW w:w="875" w:type="pct"/>
            <w:vAlign w:val="center"/>
          </w:tcPr>
          <w:p w14:paraId="65564494">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Ⅳ+</w:t>
            </w:r>
          </w:p>
        </w:tc>
        <w:tc>
          <w:tcPr>
            <w:tcW w:w="728" w:type="pct"/>
            <w:vAlign w:val="center"/>
          </w:tcPr>
          <w:p w14:paraId="3991DCE0">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Ⅳ</w:t>
            </w:r>
          </w:p>
        </w:tc>
        <w:tc>
          <w:tcPr>
            <w:tcW w:w="803" w:type="pct"/>
            <w:vAlign w:val="center"/>
          </w:tcPr>
          <w:p w14:paraId="2BD34190">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c>
          <w:tcPr>
            <w:tcW w:w="696" w:type="pct"/>
            <w:shd w:val="clear" w:color="auto" w:fill="FFFFFF"/>
            <w:vAlign w:val="center"/>
          </w:tcPr>
          <w:p w14:paraId="6286F007">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r>
      <w:tr w14:paraId="44FA000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38" w:type="pct"/>
            <w:vMerge w:val="continue"/>
            <w:vAlign w:val="center"/>
          </w:tcPr>
          <w:p w14:paraId="0A9F5D14">
            <w:pPr>
              <w:widowControl w:val="0"/>
              <w:adjustRightInd w:val="0"/>
              <w:snapToGrid w:val="0"/>
              <w:jc w:val="center"/>
              <w:rPr>
                <w:rFonts w:ascii="Times New Roman" w:hAnsi="Times New Roman" w:cs="Times New Roman"/>
                <w:color w:val="auto"/>
                <w:sz w:val="21"/>
              </w:rPr>
            </w:pPr>
          </w:p>
        </w:tc>
        <w:tc>
          <w:tcPr>
            <w:tcW w:w="1460" w:type="pct"/>
            <w:vAlign w:val="center"/>
          </w:tcPr>
          <w:p w14:paraId="1EC2820A">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环境中度敏感区（E2）</w:t>
            </w:r>
          </w:p>
        </w:tc>
        <w:tc>
          <w:tcPr>
            <w:tcW w:w="875" w:type="pct"/>
            <w:vAlign w:val="center"/>
          </w:tcPr>
          <w:p w14:paraId="27036ED5">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Ⅳ</w:t>
            </w:r>
          </w:p>
        </w:tc>
        <w:tc>
          <w:tcPr>
            <w:tcW w:w="728" w:type="pct"/>
            <w:vAlign w:val="center"/>
          </w:tcPr>
          <w:p w14:paraId="49BFB9DE">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c>
          <w:tcPr>
            <w:tcW w:w="803" w:type="pct"/>
            <w:vAlign w:val="center"/>
          </w:tcPr>
          <w:p w14:paraId="5B4A6758">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c>
          <w:tcPr>
            <w:tcW w:w="696" w:type="pct"/>
            <w:shd w:val="clear" w:color="auto" w:fill="FFFFFF"/>
            <w:vAlign w:val="center"/>
          </w:tcPr>
          <w:p w14:paraId="506B71CF">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Ⅱ</w:t>
            </w:r>
          </w:p>
        </w:tc>
      </w:tr>
      <w:tr w14:paraId="0AA0FAB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38" w:type="pct"/>
            <w:vMerge w:val="continue"/>
            <w:vAlign w:val="center"/>
          </w:tcPr>
          <w:p w14:paraId="45E08AC6">
            <w:pPr>
              <w:widowControl w:val="0"/>
              <w:adjustRightInd w:val="0"/>
              <w:snapToGrid w:val="0"/>
              <w:jc w:val="center"/>
              <w:rPr>
                <w:rFonts w:ascii="Times New Roman" w:hAnsi="Times New Roman" w:cs="Times New Roman"/>
                <w:color w:val="auto"/>
                <w:sz w:val="21"/>
              </w:rPr>
            </w:pPr>
          </w:p>
        </w:tc>
        <w:tc>
          <w:tcPr>
            <w:tcW w:w="1460" w:type="pct"/>
            <w:vAlign w:val="center"/>
          </w:tcPr>
          <w:p w14:paraId="5238B388">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环境低度敏感区（E3）</w:t>
            </w:r>
          </w:p>
        </w:tc>
        <w:tc>
          <w:tcPr>
            <w:tcW w:w="875" w:type="pct"/>
            <w:shd w:val="clear" w:color="auto" w:fill="BEBEBE" w:themeFill="background1" w:themeFillShade="BF"/>
            <w:vAlign w:val="center"/>
          </w:tcPr>
          <w:p w14:paraId="644C4DEF">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c>
          <w:tcPr>
            <w:tcW w:w="728" w:type="pct"/>
            <w:vAlign w:val="center"/>
          </w:tcPr>
          <w:p w14:paraId="5E56A862">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c>
          <w:tcPr>
            <w:tcW w:w="803" w:type="pct"/>
            <w:vAlign w:val="center"/>
          </w:tcPr>
          <w:p w14:paraId="3D869A48">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Ⅱ</w:t>
            </w:r>
          </w:p>
        </w:tc>
        <w:tc>
          <w:tcPr>
            <w:tcW w:w="696" w:type="pct"/>
            <w:vAlign w:val="center"/>
          </w:tcPr>
          <w:p w14:paraId="6FD99E76">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Ⅰ</w:t>
            </w:r>
          </w:p>
        </w:tc>
      </w:tr>
      <w:tr w14:paraId="0C7BA85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000" w:type="pct"/>
            <w:gridSpan w:val="6"/>
            <w:vAlign w:val="center"/>
          </w:tcPr>
          <w:p w14:paraId="5CBE52CF">
            <w:pPr>
              <w:widowControl w:val="0"/>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注：Ⅳ+为极高环境风险</w:t>
            </w:r>
          </w:p>
        </w:tc>
      </w:tr>
    </w:tbl>
    <w:p w14:paraId="7EF6D777">
      <w:pPr>
        <w:widowControl w:val="0"/>
        <w:tabs>
          <w:tab w:val="left" w:pos="0"/>
        </w:tabs>
        <w:spacing w:line="360" w:lineRule="auto"/>
        <w:jc w:val="center"/>
        <w:rPr>
          <w:rFonts w:ascii="Times New Roman" w:hAnsi="Times New Roman" w:cs="Times New Roman"/>
          <w:b/>
          <w:color w:val="auto"/>
          <w:lang w:eastAsia="zh-CN"/>
        </w:rPr>
      </w:pPr>
      <w:r>
        <w:rPr>
          <w:rFonts w:ascii="Times New Roman" w:hAnsi="Times New Roman" w:cs="Times New Roman"/>
          <w:b/>
          <w:color w:val="auto"/>
          <w:lang w:eastAsia="zh-CN"/>
        </w:rPr>
        <w:t>表2.4-1</w:t>
      </w:r>
      <w:r>
        <w:rPr>
          <w:rFonts w:hint="eastAsia" w:ascii="Times New Roman" w:hAnsi="Times New Roman" w:cs="Times New Roman"/>
          <w:b/>
          <w:color w:val="auto"/>
          <w:lang w:eastAsia="zh-CN"/>
        </w:rPr>
        <w:t>8</w:t>
      </w:r>
      <w:r>
        <w:rPr>
          <w:rFonts w:ascii="Times New Roman" w:hAnsi="Times New Roman" w:cs="Times New Roman"/>
          <w:b/>
          <w:color w:val="auto"/>
          <w:lang w:eastAsia="zh-CN"/>
        </w:rPr>
        <w:t xml:space="preserve"> 风险评价工作等级划分</w:t>
      </w:r>
    </w:p>
    <w:tbl>
      <w:tblPr>
        <w:tblStyle w:val="35"/>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428"/>
        <w:gridCol w:w="1800"/>
        <w:gridCol w:w="1642"/>
        <w:gridCol w:w="1613"/>
        <w:gridCol w:w="1615"/>
        <w:gridCol w:w="1642"/>
      </w:tblGrid>
      <w:tr w14:paraId="2BECD96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733" w:type="pct"/>
            <w:vAlign w:val="center"/>
          </w:tcPr>
          <w:p w14:paraId="5EB4EEB5">
            <w:pPr>
              <w:pStyle w:val="62"/>
              <w:widowControl w:val="0"/>
              <w:adjustRightInd w:val="0"/>
              <w:snapToGrid w:val="0"/>
              <w:spacing w:before="0" w:after="0"/>
              <w:jc w:val="center"/>
              <w:rPr>
                <w:rFonts w:ascii="Times New Roman" w:hAnsi="Times New Roman" w:eastAsia="宋体"/>
                <w:b/>
                <w:color w:val="auto"/>
                <w:sz w:val="21"/>
                <w:szCs w:val="21"/>
                <w:lang w:eastAsia="zh-CN"/>
              </w:rPr>
            </w:pPr>
            <w:r>
              <w:rPr>
                <w:rFonts w:ascii="Times New Roman" w:hAnsi="Times New Roman" w:eastAsia="宋体"/>
                <w:b/>
                <w:color w:val="auto"/>
                <w:sz w:val="21"/>
                <w:szCs w:val="21"/>
                <w:lang w:eastAsia="zh-CN"/>
              </w:rPr>
              <w:t>类别</w:t>
            </w:r>
          </w:p>
        </w:tc>
        <w:tc>
          <w:tcPr>
            <w:tcW w:w="924" w:type="pct"/>
            <w:vAlign w:val="center"/>
          </w:tcPr>
          <w:p w14:paraId="5E3686F8">
            <w:pPr>
              <w:pStyle w:val="62"/>
              <w:widowControl w:val="0"/>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环境风险潜势</w:t>
            </w:r>
          </w:p>
        </w:tc>
        <w:tc>
          <w:tcPr>
            <w:tcW w:w="843" w:type="pct"/>
            <w:vAlign w:val="center"/>
          </w:tcPr>
          <w:p w14:paraId="6CE4C38A">
            <w:pPr>
              <w:pStyle w:val="62"/>
              <w:widowControl w:val="0"/>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Ⅳ、Ⅳ+</w:t>
            </w:r>
          </w:p>
        </w:tc>
        <w:tc>
          <w:tcPr>
            <w:tcW w:w="828" w:type="pct"/>
            <w:vAlign w:val="center"/>
          </w:tcPr>
          <w:p w14:paraId="1F2E711B">
            <w:pPr>
              <w:pStyle w:val="62"/>
              <w:widowControl w:val="0"/>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Ⅲ</w:t>
            </w:r>
          </w:p>
        </w:tc>
        <w:tc>
          <w:tcPr>
            <w:tcW w:w="829" w:type="pct"/>
            <w:vAlign w:val="center"/>
          </w:tcPr>
          <w:p w14:paraId="53B5E8E8">
            <w:pPr>
              <w:pStyle w:val="62"/>
              <w:widowControl w:val="0"/>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Ⅱ</w:t>
            </w:r>
          </w:p>
        </w:tc>
        <w:tc>
          <w:tcPr>
            <w:tcW w:w="841" w:type="pct"/>
            <w:vAlign w:val="center"/>
          </w:tcPr>
          <w:p w14:paraId="04B4ECCB">
            <w:pPr>
              <w:pStyle w:val="62"/>
              <w:widowControl w:val="0"/>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Ⅰ</w:t>
            </w:r>
          </w:p>
        </w:tc>
      </w:tr>
      <w:tr w14:paraId="400C89E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733" w:type="pct"/>
            <w:vAlign w:val="center"/>
          </w:tcPr>
          <w:p w14:paraId="385DEE7C">
            <w:pPr>
              <w:pStyle w:val="62"/>
              <w:widowControl w:val="0"/>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eastAsia="宋体"/>
                <w:color w:val="auto"/>
                <w:sz w:val="21"/>
                <w:szCs w:val="21"/>
                <w:lang w:eastAsia="zh-CN"/>
              </w:rPr>
              <w:t>环境空气</w:t>
            </w:r>
          </w:p>
        </w:tc>
        <w:tc>
          <w:tcPr>
            <w:tcW w:w="924" w:type="pct"/>
            <w:vAlign w:val="center"/>
          </w:tcPr>
          <w:p w14:paraId="0692D441">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评价工作等级</w:t>
            </w:r>
          </w:p>
        </w:tc>
        <w:tc>
          <w:tcPr>
            <w:tcW w:w="843" w:type="pct"/>
            <w:shd w:val="clear" w:color="auto" w:fill="BEBEBE" w:themeFill="background1" w:themeFillShade="BF"/>
            <w:vAlign w:val="center"/>
          </w:tcPr>
          <w:p w14:paraId="49E586D9">
            <w:pPr>
              <w:pStyle w:val="62"/>
              <w:widowControl w:val="0"/>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一</w:t>
            </w:r>
          </w:p>
        </w:tc>
        <w:tc>
          <w:tcPr>
            <w:tcW w:w="828" w:type="pct"/>
            <w:vAlign w:val="center"/>
          </w:tcPr>
          <w:p w14:paraId="05730662">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二</w:t>
            </w:r>
          </w:p>
        </w:tc>
        <w:tc>
          <w:tcPr>
            <w:tcW w:w="829" w:type="pct"/>
            <w:vAlign w:val="center"/>
          </w:tcPr>
          <w:p w14:paraId="28C87F05">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三</w:t>
            </w:r>
          </w:p>
        </w:tc>
        <w:tc>
          <w:tcPr>
            <w:tcW w:w="841" w:type="pct"/>
            <w:shd w:val="clear" w:color="auto" w:fill="FFFFFF"/>
            <w:vAlign w:val="center"/>
          </w:tcPr>
          <w:p w14:paraId="2EBDBD1B">
            <w:pPr>
              <w:pStyle w:val="62"/>
              <w:widowControl w:val="0"/>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eastAsia="宋体"/>
                <w:color w:val="auto"/>
                <w:sz w:val="21"/>
                <w:szCs w:val="21"/>
              </w:rPr>
              <w:t>简单分析</w:t>
            </w:r>
            <w:r>
              <w:rPr>
                <w:rFonts w:ascii="Times New Roman" w:hAnsi="Times New Roman" w:eastAsia="宋体"/>
                <w:color w:val="auto"/>
                <w:sz w:val="21"/>
                <w:szCs w:val="21"/>
                <w:vertAlign w:val="superscript"/>
                <w:lang w:eastAsia="zh-CN"/>
              </w:rPr>
              <w:t>a</w:t>
            </w:r>
          </w:p>
        </w:tc>
      </w:tr>
      <w:tr w14:paraId="5CB446F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33" w:type="pct"/>
            <w:vAlign w:val="center"/>
          </w:tcPr>
          <w:p w14:paraId="3C143020">
            <w:pPr>
              <w:pStyle w:val="62"/>
              <w:widowControl w:val="0"/>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eastAsia="宋体"/>
                <w:color w:val="auto"/>
                <w:sz w:val="21"/>
                <w:szCs w:val="21"/>
                <w:lang w:eastAsia="zh-CN"/>
              </w:rPr>
              <w:t>地表水</w:t>
            </w:r>
          </w:p>
        </w:tc>
        <w:tc>
          <w:tcPr>
            <w:tcW w:w="924" w:type="pct"/>
            <w:vAlign w:val="center"/>
          </w:tcPr>
          <w:p w14:paraId="6D870C18">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评价工作等级</w:t>
            </w:r>
          </w:p>
        </w:tc>
        <w:tc>
          <w:tcPr>
            <w:tcW w:w="843" w:type="pct"/>
            <w:shd w:val="clear" w:color="auto" w:fill="BEBEBE" w:themeFill="background1" w:themeFillShade="BF"/>
            <w:vAlign w:val="center"/>
          </w:tcPr>
          <w:p w14:paraId="70E7F811">
            <w:pPr>
              <w:pStyle w:val="62"/>
              <w:widowControl w:val="0"/>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一</w:t>
            </w:r>
          </w:p>
        </w:tc>
        <w:tc>
          <w:tcPr>
            <w:tcW w:w="828" w:type="pct"/>
            <w:vAlign w:val="center"/>
          </w:tcPr>
          <w:p w14:paraId="0E248E0E">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二</w:t>
            </w:r>
          </w:p>
        </w:tc>
        <w:tc>
          <w:tcPr>
            <w:tcW w:w="829" w:type="pct"/>
            <w:vAlign w:val="center"/>
          </w:tcPr>
          <w:p w14:paraId="2B6A5587">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三</w:t>
            </w:r>
          </w:p>
        </w:tc>
        <w:tc>
          <w:tcPr>
            <w:tcW w:w="841" w:type="pct"/>
            <w:shd w:val="clear" w:color="auto" w:fill="FFFFFF"/>
            <w:vAlign w:val="center"/>
          </w:tcPr>
          <w:p w14:paraId="295FD67D">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简单分析</w:t>
            </w:r>
            <w:r>
              <w:rPr>
                <w:rFonts w:ascii="Times New Roman" w:hAnsi="Times New Roman" w:eastAsia="宋体"/>
                <w:color w:val="auto"/>
                <w:sz w:val="21"/>
                <w:szCs w:val="21"/>
                <w:vertAlign w:val="superscript"/>
              </w:rPr>
              <w:t>a</w:t>
            </w:r>
          </w:p>
        </w:tc>
      </w:tr>
      <w:tr w14:paraId="6460FA4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733" w:type="pct"/>
            <w:vAlign w:val="center"/>
          </w:tcPr>
          <w:p w14:paraId="0B132523">
            <w:pPr>
              <w:pStyle w:val="62"/>
              <w:widowControl w:val="0"/>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eastAsia="宋体"/>
                <w:color w:val="auto"/>
                <w:sz w:val="21"/>
                <w:szCs w:val="21"/>
                <w:lang w:eastAsia="zh-CN"/>
              </w:rPr>
              <w:t>地下水</w:t>
            </w:r>
          </w:p>
        </w:tc>
        <w:tc>
          <w:tcPr>
            <w:tcW w:w="924" w:type="pct"/>
            <w:vAlign w:val="center"/>
          </w:tcPr>
          <w:p w14:paraId="7884540D">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评价工作等级</w:t>
            </w:r>
          </w:p>
        </w:tc>
        <w:tc>
          <w:tcPr>
            <w:tcW w:w="843" w:type="pct"/>
            <w:vAlign w:val="center"/>
          </w:tcPr>
          <w:p w14:paraId="07997A9A">
            <w:pPr>
              <w:pStyle w:val="62"/>
              <w:widowControl w:val="0"/>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一</w:t>
            </w:r>
          </w:p>
        </w:tc>
        <w:tc>
          <w:tcPr>
            <w:tcW w:w="828" w:type="pct"/>
            <w:shd w:val="clear" w:color="auto" w:fill="BEBEBE" w:themeFill="background1" w:themeFillShade="BF"/>
            <w:vAlign w:val="center"/>
          </w:tcPr>
          <w:p w14:paraId="26010D6F">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二</w:t>
            </w:r>
          </w:p>
        </w:tc>
        <w:tc>
          <w:tcPr>
            <w:tcW w:w="829" w:type="pct"/>
            <w:vAlign w:val="center"/>
          </w:tcPr>
          <w:p w14:paraId="116D2A9A">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三</w:t>
            </w:r>
          </w:p>
        </w:tc>
        <w:tc>
          <w:tcPr>
            <w:tcW w:w="841" w:type="pct"/>
            <w:vAlign w:val="center"/>
          </w:tcPr>
          <w:p w14:paraId="2408102B">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简单分析</w:t>
            </w:r>
            <w:r>
              <w:rPr>
                <w:rFonts w:ascii="Times New Roman" w:hAnsi="Times New Roman" w:eastAsia="宋体"/>
                <w:color w:val="auto"/>
                <w:sz w:val="21"/>
                <w:szCs w:val="21"/>
                <w:vertAlign w:val="superscript"/>
              </w:rPr>
              <w:t>a</w:t>
            </w:r>
          </w:p>
        </w:tc>
      </w:tr>
      <w:tr w14:paraId="4E89FCF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000" w:type="pct"/>
            <w:gridSpan w:val="6"/>
            <w:vAlign w:val="center"/>
          </w:tcPr>
          <w:p w14:paraId="776DE8D4">
            <w:pPr>
              <w:pStyle w:val="62"/>
              <w:widowControl w:val="0"/>
              <w:adjustRightInd w:val="0"/>
              <w:snapToGrid w:val="0"/>
              <w:spacing w:before="0" w:after="0"/>
              <w:rPr>
                <w:rFonts w:ascii="Times New Roman" w:hAnsi="Times New Roman" w:eastAsia="宋体"/>
                <w:color w:val="auto"/>
                <w:sz w:val="21"/>
                <w:szCs w:val="21"/>
                <w:lang w:eastAsia="zh-CN"/>
              </w:rPr>
            </w:pPr>
            <w:r>
              <w:rPr>
                <w:rFonts w:ascii="Times New Roman" w:hAnsi="Times New Roman" w:eastAsia="宋体"/>
                <w:color w:val="auto"/>
                <w:sz w:val="21"/>
                <w:szCs w:val="21"/>
                <w:lang w:eastAsia="zh-CN"/>
              </w:rPr>
              <w:t>a：是相当于详细评价工作内容而言，在描述危险物质、环境影响途径、环境危害后果、风险防范措施等方面给出定性说明。</w:t>
            </w:r>
          </w:p>
        </w:tc>
      </w:tr>
    </w:tbl>
    <w:p w14:paraId="1EBA2B3B">
      <w:pPr>
        <w:widowControl w:val="0"/>
        <w:spacing w:line="360" w:lineRule="auto"/>
        <w:ind w:firstLine="480" w:firstLineChars="200"/>
        <w:jc w:val="both"/>
        <w:rPr>
          <w:rFonts w:ascii="Times New Roman" w:hAnsi="Times New Roman" w:cs="Times New Roman"/>
          <w:color w:val="auto"/>
          <w:highlight w:val="yellow"/>
          <w:lang w:eastAsia="zh-CN"/>
        </w:rPr>
      </w:pPr>
      <w:r>
        <w:rPr>
          <w:rFonts w:ascii="Times New Roman" w:hAnsi="Times New Roman" w:cs="Times New Roman"/>
          <w:color w:val="auto"/>
          <w:lang w:eastAsia="zh-CN"/>
        </w:rPr>
        <w:t>根据以上分析，确定本项目环境风险评价等级为</w:t>
      </w:r>
      <w:r>
        <w:rPr>
          <w:rFonts w:hint="eastAsia" w:ascii="Times New Roman" w:hAnsi="Times New Roman" w:cs="Times New Roman"/>
          <w:color w:val="auto"/>
          <w:lang w:eastAsia="zh-CN"/>
        </w:rPr>
        <w:t>一</w:t>
      </w:r>
      <w:r>
        <w:rPr>
          <w:rFonts w:ascii="Times New Roman" w:hAnsi="Times New Roman" w:cs="Times New Roman"/>
          <w:color w:val="auto"/>
          <w:lang w:eastAsia="zh-CN"/>
        </w:rPr>
        <w:t>级。</w:t>
      </w:r>
    </w:p>
    <w:p w14:paraId="290F626F">
      <w:pPr>
        <w:widowControl w:val="0"/>
        <w:spacing w:line="360" w:lineRule="auto"/>
        <w:ind w:firstLine="480" w:firstLineChars="200"/>
        <w:jc w:val="both"/>
        <w:rPr>
          <w:rFonts w:ascii="Times New Roman" w:hAnsi="Times New Roman" w:cs="Times New Roman"/>
          <w:color w:val="auto"/>
          <w:lang w:eastAsia="zh-CN"/>
        </w:rPr>
      </w:pPr>
    </w:p>
    <w:p w14:paraId="6719434F">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（6）土壤环境影响评价等级</w:t>
      </w:r>
    </w:p>
    <w:p w14:paraId="4F381579">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根据《环境影响评价技术导则 土壤环境（试行）》（HJ964-2018），项目周边土壤环境敏感程度分敏感、较敏感、不敏感，具体见下表。</w:t>
      </w:r>
    </w:p>
    <w:p w14:paraId="359CB2C0">
      <w:pPr>
        <w:widowControl w:val="0"/>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表2.4-</w:t>
      </w:r>
      <w:r>
        <w:rPr>
          <w:rFonts w:hint="eastAsia" w:ascii="Times New Roman" w:hAnsi="Times New Roman" w:cs="Times New Roman"/>
          <w:b/>
          <w:bCs/>
          <w:color w:val="auto"/>
          <w:lang w:eastAsia="zh-CN"/>
        </w:rPr>
        <w:t>19</w:t>
      </w:r>
      <w:r>
        <w:rPr>
          <w:rFonts w:ascii="Times New Roman" w:hAnsi="Times New Roman" w:cs="Times New Roman"/>
          <w:b/>
          <w:bCs/>
          <w:color w:val="auto"/>
          <w:lang w:eastAsia="zh-CN"/>
        </w:rPr>
        <w:t xml:space="preserve"> 污染影响型敏感程度分级表</w:t>
      </w:r>
    </w:p>
    <w:tbl>
      <w:tblPr>
        <w:tblStyle w:val="35"/>
        <w:tblW w:w="963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18"/>
        <w:gridCol w:w="8219"/>
      </w:tblGrid>
      <w:tr w14:paraId="4F3776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1418" w:type="dxa"/>
            <w:tcBorders>
              <w:top w:val="single" w:color="000000" w:sz="12" w:space="0"/>
              <w:left w:val="nil"/>
            </w:tcBorders>
            <w:vAlign w:val="center"/>
          </w:tcPr>
          <w:p w14:paraId="578249E3">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敏感程度</w:t>
            </w:r>
          </w:p>
        </w:tc>
        <w:tc>
          <w:tcPr>
            <w:tcW w:w="8219" w:type="dxa"/>
            <w:tcBorders>
              <w:top w:val="single" w:color="000000" w:sz="12" w:space="0"/>
              <w:right w:val="nil"/>
            </w:tcBorders>
            <w:vAlign w:val="center"/>
          </w:tcPr>
          <w:p w14:paraId="3C597703">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判别依据</w:t>
            </w:r>
          </w:p>
        </w:tc>
      </w:tr>
      <w:tr w14:paraId="0C4005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1418" w:type="dxa"/>
            <w:tcBorders>
              <w:left w:val="nil"/>
            </w:tcBorders>
            <w:shd w:val="clear" w:color="auto" w:fill="BEBEBE" w:themeFill="background1" w:themeFillShade="BF"/>
            <w:vAlign w:val="center"/>
          </w:tcPr>
          <w:p w14:paraId="1DDCE45D">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敏感</w:t>
            </w:r>
          </w:p>
        </w:tc>
        <w:tc>
          <w:tcPr>
            <w:tcW w:w="8219" w:type="dxa"/>
            <w:tcBorders>
              <w:right w:val="nil"/>
            </w:tcBorders>
            <w:shd w:val="clear" w:color="auto" w:fill="BEBEBE" w:themeFill="background1" w:themeFillShade="BF"/>
            <w:vAlign w:val="center"/>
          </w:tcPr>
          <w:p w14:paraId="3E318174">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建设项目周边存在耕地、园地、牧草地、饮用水水源地或居民区、学校、医院、疗养院、养老院等土壤环境敏感目标的</w:t>
            </w:r>
          </w:p>
        </w:tc>
      </w:tr>
      <w:tr w14:paraId="25050B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418" w:type="dxa"/>
            <w:tcBorders>
              <w:left w:val="nil"/>
            </w:tcBorders>
            <w:vAlign w:val="center"/>
          </w:tcPr>
          <w:p w14:paraId="0F1CE89D">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较敏感</w:t>
            </w:r>
          </w:p>
        </w:tc>
        <w:tc>
          <w:tcPr>
            <w:tcW w:w="8219" w:type="dxa"/>
            <w:tcBorders>
              <w:right w:val="nil"/>
            </w:tcBorders>
            <w:vAlign w:val="center"/>
          </w:tcPr>
          <w:p w14:paraId="6314837C">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建设项目周边存在其他土壤环境敏感目标的</w:t>
            </w:r>
          </w:p>
        </w:tc>
      </w:tr>
      <w:tr w14:paraId="74A080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418" w:type="dxa"/>
            <w:tcBorders>
              <w:left w:val="nil"/>
              <w:bottom w:val="single" w:color="000000" w:sz="12" w:space="0"/>
            </w:tcBorders>
            <w:vAlign w:val="center"/>
          </w:tcPr>
          <w:p w14:paraId="4D9A1D4F">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不敏感</w:t>
            </w:r>
          </w:p>
        </w:tc>
        <w:tc>
          <w:tcPr>
            <w:tcW w:w="8219" w:type="dxa"/>
            <w:tcBorders>
              <w:bottom w:val="single" w:color="000000" w:sz="12" w:space="0"/>
              <w:right w:val="nil"/>
            </w:tcBorders>
            <w:vAlign w:val="center"/>
          </w:tcPr>
          <w:p w14:paraId="2C6332CC">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其他情况</w:t>
            </w:r>
          </w:p>
        </w:tc>
      </w:tr>
    </w:tbl>
    <w:p w14:paraId="3CE39B6C">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根据《环境影响评价技术导则 土壤环境（试行）》（HJ 964-201</w:t>
      </w:r>
      <w:r>
        <w:rPr>
          <w:rFonts w:hint="eastAsia" w:ascii="Times New Roman" w:hAnsi="Times New Roman" w:cs="Times New Roman"/>
          <w:color w:val="auto"/>
          <w:lang w:eastAsia="zh-CN"/>
        </w:rPr>
        <w:t>8</w:t>
      </w:r>
      <w:r>
        <w:rPr>
          <w:rFonts w:ascii="Times New Roman" w:hAnsi="Times New Roman" w:cs="Times New Roman"/>
          <w:color w:val="auto"/>
          <w:lang w:eastAsia="zh-CN"/>
        </w:rPr>
        <w:t>）附录A ，本项目属于“制造业——石油、化工——化学原料和化学制品制造”，为I类项目；厂区占地面积</w:t>
      </w:r>
      <w:r>
        <w:rPr>
          <w:rFonts w:hint="eastAsia" w:ascii="Times New Roman" w:hAnsi="Times New Roman" w:cs="Times New Roman"/>
          <w:color w:val="auto"/>
          <w:szCs w:val="24"/>
          <w:lang w:eastAsia="zh-CN"/>
        </w:rPr>
        <w:t>36566.12</w:t>
      </w:r>
      <w:r>
        <w:rPr>
          <w:rFonts w:ascii="Times New Roman" w:hAnsi="Times New Roman" w:cs="Times New Roman"/>
          <w:color w:val="auto"/>
          <w:szCs w:val="24"/>
          <w:lang w:eastAsia="zh-CN"/>
        </w:rPr>
        <w:t>m</w:t>
      </w:r>
      <w:r>
        <w:rPr>
          <w:rFonts w:ascii="Times New Roman" w:hAnsi="Times New Roman" w:cs="Times New Roman"/>
          <w:color w:val="auto"/>
          <w:szCs w:val="24"/>
          <w:vertAlign w:val="superscript"/>
          <w:lang w:eastAsia="zh-CN"/>
        </w:rPr>
        <w:t>2</w:t>
      </w:r>
      <w:r>
        <w:rPr>
          <w:rFonts w:ascii="Times New Roman" w:hAnsi="Times New Roman" w:cs="Times New Roman"/>
          <w:color w:val="auto"/>
          <w:szCs w:val="24"/>
          <w:lang w:eastAsia="zh-CN"/>
        </w:rPr>
        <w:t>，</w:t>
      </w:r>
      <w:r>
        <w:rPr>
          <w:rFonts w:hint="eastAsia" w:ascii="Times New Roman" w:hAnsi="Times New Roman" w:cs="Times New Roman"/>
          <w:color w:val="auto"/>
          <w:lang w:eastAsia="zh-CN"/>
        </w:rPr>
        <w:t>3.6566</w:t>
      </w:r>
      <w:r>
        <w:rPr>
          <w:rFonts w:ascii="Times New Roman" w:hAnsi="Times New Roman" w:cs="Times New Roman"/>
          <w:color w:val="auto"/>
          <w:lang w:eastAsia="zh-CN"/>
        </w:rPr>
        <w:t>hm</w:t>
      </w:r>
      <w:r>
        <w:rPr>
          <w:rFonts w:ascii="Times New Roman" w:hAnsi="Times New Roman" w:cs="Times New Roman"/>
          <w:color w:val="auto"/>
          <w:vertAlign w:val="superscript"/>
          <w:lang w:eastAsia="zh-CN"/>
        </w:rPr>
        <w:t>2</w:t>
      </w:r>
      <w:r>
        <w:rPr>
          <w:rFonts w:ascii="Times New Roman" w:hAnsi="Times New Roman" w:cs="Times New Roman"/>
          <w:color w:val="auto"/>
          <w:lang w:eastAsia="zh-CN"/>
        </w:rPr>
        <w:t>，在≤5hm</w:t>
      </w:r>
      <w:r>
        <w:rPr>
          <w:rFonts w:ascii="Times New Roman" w:hAnsi="Times New Roman" w:cs="Times New Roman"/>
          <w:color w:val="auto"/>
          <w:vertAlign w:val="superscript"/>
          <w:lang w:eastAsia="zh-CN"/>
        </w:rPr>
        <w:t>2</w:t>
      </w:r>
      <w:r>
        <w:rPr>
          <w:rFonts w:ascii="Times New Roman" w:hAnsi="Times New Roman" w:cs="Times New Roman"/>
          <w:color w:val="auto"/>
          <w:lang w:eastAsia="zh-CN"/>
        </w:rPr>
        <w:t>范围内，占地规模为小型；</w:t>
      </w:r>
    </w:p>
    <w:p w14:paraId="4C6C6211">
      <w:pPr>
        <w:widowControl w:val="0"/>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000000" w:themeColor="text1"/>
          <w:lang w:eastAsia="zh-CN"/>
          <w14:textFill>
            <w14:solidFill>
              <w14:schemeClr w14:val="tx1"/>
            </w14:solidFill>
          </w14:textFill>
        </w:rPr>
        <w:t>根据调查，本项目厂界外北侧430m处存在土壤环境保护目标耕地，</w:t>
      </w:r>
      <w:r>
        <w:rPr>
          <w:rFonts w:ascii="Times New Roman" w:hAnsi="Times New Roman" w:cs="Times New Roman"/>
          <w:color w:val="000000" w:themeColor="text1"/>
          <w:lang w:eastAsia="zh-CN"/>
          <w14:textFill>
            <w14:solidFill>
              <w14:schemeClr w14:val="tx1"/>
            </w14:solidFill>
          </w14:textFill>
        </w:rPr>
        <w:t>厂界外东北侧760m处存在土壤环境保护目标居民区大柏村，因此判定拟建项目周边土壤环境敏感程度为敏感。</w:t>
      </w:r>
    </w:p>
    <w:p w14:paraId="74FAF91E">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对照污染影响型评价等级划分表</w:t>
      </w:r>
      <w:r>
        <w:rPr>
          <w:rFonts w:hint="eastAsia" w:ascii="Times New Roman" w:hAnsi="Times New Roman" w:cs="Times New Roman"/>
          <w:color w:val="auto"/>
          <w:lang w:eastAsia="zh-CN"/>
        </w:rPr>
        <w:t>，本项目土壤评价等级判定如下</w:t>
      </w:r>
      <w:r>
        <w:rPr>
          <w:rFonts w:ascii="Times New Roman" w:hAnsi="Times New Roman" w:cs="Times New Roman"/>
          <w:color w:val="auto"/>
          <w:lang w:eastAsia="zh-CN"/>
        </w:rPr>
        <w:t>。</w:t>
      </w:r>
    </w:p>
    <w:p w14:paraId="5B33F706">
      <w:pPr>
        <w:widowControl w:val="0"/>
        <w:spacing w:line="360" w:lineRule="auto"/>
        <w:jc w:val="center"/>
        <w:rPr>
          <w:rFonts w:ascii="Times New Roman" w:hAnsi="Times New Roman" w:cs="Times New Roman"/>
          <w:color w:val="auto"/>
          <w:lang w:eastAsia="zh-CN"/>
        </w:rPr>
      </w:pPr>
      <w:r>
        <w:rPr>
          <w:rFonts w:ascii="Times New Roman" w:hAnsi="Times New Roman" w:cs="Times New Roman"/>
          <w:b/>
          <w:bCs/>
          <w:color w:val="auto"/>
          <w:lang w:eastAsia="zh-CN"/>
        </w:rPr>
        <w:t>表2.4-2</w:t>
      </w:r>
      <w:r>
        <w:rPr>
          <w:rFonts w:hint="eastAsia" w:ascii="Times New Roman" w:hAnsi="Times New Roman" w:cs="Times New Roman"/>
          <w:b/>
          <w:bCs/>
          <w:color w:val="auto"/>
          <w:lang w:eastAsia="zh-CN"/>
        </w:rPr>
        <w:t>0</w:t>
      </w:r>
      <w:r>
        <w:rPr>
          <w:rFonts w:ascii="Times New Roman" w:hAnsi="Times New Roman" w:cs="Times New Roman"/>
          <w:b/>
          <w:bCs/>
          <w:color w:val="auto"/>
          <w:lang w:eastAsia="zh-CN"/>
        </w:rPr>
        <w:t xml:space="preserve"> 土壤环境评价工作等级判定依据一览表</w:t>
      </w:r>
    </w:p>
    <w:tbl>
      <w:tblPr>
        <w:tblStyle w:val="35"/>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410"/>
        <w:gridCol w:w="799"/>
        <w:gridCol w:w="830"/>
        <w:gridCol w:w="937"/>
        <w:gridCol w:w="857"/>
        <w:gridCol w:w="731"/>
        <w:gridCol w:w="787"/>
        <w:gridCol w:w="777"/>
        <w:gridCol w:w="797"/>
        <w:gridCol w:w="817"/>
      </w:tblGrid>
      <w:tr w14:paraId="63E294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37" w:type="pct"/>
            <w:vMerge w:val="restart"/>
            <w:vAlign w:val="center"/>
          </w:tcPr>
          <w:p w14:paraId="73987638">
            <w:pPr>
              <w:widowControl w:val="0"/>
              <w:adjustRightInd w:val="0"/>
              <w:snapToGrid w:val="0"/>
              <w:jc w:val="right"/>
              <w:rPr>
                <w:rFonts w:ascii="Times New Roman" w:hAnsi="Times New Roman" w:cs="Times New Roman"/>
                <w:b/>
                <w:bCs/>
                <w:color w:val="auto"/>
                <w:sz w:val="21"/>
                <w:lang w:eastAsia="zh-CN"/>
              </w:rPr>
            </w:pPr>
            <w:r>
              <w:rPr>
                <w:rFonts w:ascii="Times New Roman" w:hAnsi="Times New Roman" w:cs="Times New Roman"/>
                <w:b/>
                <w:bCs/>
                <w:color w:val="auto"/>
                <w:sz w:val="21"/>
              </w:rPr>
              <mc:AlternateContent>
                <mc:Choice Requires="wpg">
                  <w:drawing>
                    <wp:anchor distT="0" distB="0" distL="114300" distR="114300" simplePos="0" relativeHeight="251666432" behindDoc="0" locked="0" layoutInCell="1" allowOverlap="1">
                      <wp:simplePos x="0" y="0"/>
                      <wp:positionH relativeFrom="column">
                        <wp:posOffset>-57150</wp:posOffset>
                      </wp:positionH>
                      <wp:positionV relativeFrom="paragraph">
                        <wp:posOffset>0</wp:posOffset>
                      </wp:positionV>
                      <wp:extent cx="1509395" cy="508635"/>
                      <wp:effectExtent l="0" t="0" r="33655" b="24765"/>
                      <wp:wrapNone/>
                      <wp:docPr id="458" name="组合 63"/>
                      <wp:cNvGraphicFramePr/>
                      <a:graphic xmlns:a="http://schemas.openxmlformats.org/drawingml/2006/main">
                        <a:graphicData uri="http://schemas.microsoft.com/office/word/2010/wordprocessingGroup">
                          <wpg:wgp>
                            <wpg:cNvGrpSpPr/>
                            <wpg:grpSpPr>
                              <a:xfrm>
                                <a:off x="0" y="0"/>
                                <a:ext cx="1509395" cy="508635"/>
                                <a:chOff x="2359" y="103686"/>
                                <a:chExt cx="2086" cy="940"/>
                              </a:xfrm>
                              <a:effectLst/>
                            </wpg:grpSpPr>
                            <wps:wsp>
                              <wps:cNvPr id="459" name="直线 1082"/>
                              <wps:cNvCnPr/>
                              <wps:spPr>
                                <a:xfrm flipH="1" flipV="1">
                                  <a:off x="3245" y="103686"/>
                                  <a:ext cx="1200" cy="941"/>
                                </a:xfrm>
                                <a:prstGeom prst="line">
                                  <a:avLst/>
                                </a:prstGeom>
                                <a:ln w="9525" cap="flat" cmpd="sng">
                                  <a:solidFill>
                                    <a:srgbClr val="000000"/>
                                  </a:solidFill>
                                  <a:prstDash val="solid"/>
                                  <a:headEnd type="none" w="med" len="med"/>
                                  <a:tailEnd type="none" w="med" len="med"/>
                                </a:ln>
                                <a:effectLst/>
                              </wps:spPr>
                              <wps:bodyPr/>
                            </wps:wsp>
                            <wps:wsp>
                              <wps:cNvPr id="460" name="直线 1083"/>
                              <wps:cNvCnPr/>
                              <wps:spPr>
                                <a:xfrm flipH="1" flipV="1">
                                  <a:off x="2359" y="104190"/>
                                  <a:ext cx="2059" cy="437"/>
                                </a:xfrm>
                                <a:prstGeom prst="line">
                                  <a:avLst/>
                                </a:prstGeom>
                                <a:ln w="9525" cap="flat" cmpd="sng">
                                  <a:solidFill>
                                    <a:srgbClr val="000000"/>
                                  </a:solidFill>
                                  <a:prstDash val="solid"/>
                                  <a:headEnd type="none" w="med" len="med"/>
                                  <a:tailEnd type="none" w="med" len="med"/>
                                </a:ln>
                                <a:effectLst/>
                              </wps:spPr>
                              <wps:bodyPr/>
                            </wps:wsp>
                          </wpg:wgp>
                        </a:graphicData>
                      </a:graphic>
                    </wp:anchor>
                  </w:drawing>
                </mc:Choice>
                <mc:Fallback>
                  <w:pict>
                    <v:group id="组合 63" o:spid="_x0000_s1026" o:spt="203" style="position:absolute;left:0pt;margin-left:-4.5pt;margin-top:0pt;height:40.05pt;width:118.85pt;z-index:251666432;mso-width-relative:page;mso-height-relative:page;" coordorigin="2359,103686" coordsize="2086,940" o:gfxdata="UEsDBAoAAAAAAIdO4kAAAAAAAAAAAAAAAAAEAAAAZHJzL1BLAwQUAAAACACHTuJAzfGmQ9gAAAAG&#10;AQAADwAAAGRycy9kb3ducmV2LnhtbE2PQUvDQBCF74L/YRnBW7ubiJqmmRQp6qkIbQXxNs1Ok9Ds&#10;bshuk/bfu570MvB4j/e+KVYX04mRB986i5DMFQi2ldOtrRE+92+zDIQPZDV1zjLClT2sytubgnLt&#10;JrvlcRdqEUuszwmhCaHPpfRVw4b83PVso3d0g6EQ5VBLPdAUy00nU6WepKHWxoWGel43XJ12Z4Pw&#10;PtH08pC8jpvTcX393j9+fG0SRry/S9QSROBL+AvDL35EhzIyHdzZai86hNkivhIQ4o1ummbPIA4I&#10;mUpAloX8j1/+AFBLAwQUAAAACACHTuJA+1Poip4CAABeBwAADgAAAGRycy9lMm9Eb2MueG1s7ZW9&#10;btswEMf3An0HgnujL8u1hcgZ4iQdijZA2u4MRUkEKJIgGcveO3Ts3tfolA59miKv0SMlf9RdggTo&#10;VA8yxY/j3e/+dzo9W3cCrZixXMkSJycxRkxSVXHZlPjjh8tXM4ysI7IiQklW4g2z+Gzx8sVprwuW&#10;qlaJihkERqQtel3i1jldRJGlLeuIPVGaSVislemIg1fTRJUhPVjvRJTG8TTqlam0UZRZC7PLYRGP&#10;Fs1jDKq65pQtFb3rmHSDVcMEcRCSbbm2eBG8rWtG3fu6tswhUWKI1IUnXALjW/+MFqekaAzRLaej&#10;C+QxLhzF1BEu4dKdqSVxBN0Z/pepjlOjrKrdCVVdNAQSiEAUSXzE5sqoOx1iaYq+0TvokKgj6k82&#10;S9+trg3iVYknOSRekg5S/vDj86+vX9A083h63RSw68roG31txolmePMRr2vT+X+IBa0D2M0OLFs7&#10;RGEyyeN5Ns8xorCWx7Nplg/kaQvp8cfSLJ9jBKtJnE1n0+3qxWgghTPD6fkkJC3aX8xCmt9aB75F&#10;3tudc70Gido9N/s8bjct0Sykw3oiO27g+Mjt2/eH+58oiWfpQC7sO5cjNltYILhlhmrB9RsIGIfR&#10;Jz864JilE+B1BGTHEwppiyPxVx3g0Ma6K6Y65AclFlx6n0lBViMiUmy3+GkhUV/ieZ767BCo5xrq&#10;CIadBk1Y2YSzVgleXXIh/AlrmttzYdCK+JoKv9GFP7b5S5bEtsO+sDRktWWkupAVchsNWpPQZLB3&#10;oWMVRoJBT/IjiIkUjnDxmJ0QvZD+wJEUtsC9Dm5VtQl5AIkEVXhl/wt5TCFTx/IYC+sZ8jiol0ky&#10;H/vYVh5p7IvJ19oke/1fHk+UR+gl0HZDdY2fCN/XD99Dx9l/Fh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M3xpkPYAAAABgEAAA8AAAAAAAAAAQAgAAAAIgAAAGRycy9kb3ducmV2LnhtbFBLAQIU&#10;ABQAAAAIAIdO4kD7U+iKngIAAF4HAAAOAAAAAAAAAAEAIAAAACcBAABkcnMvZTJvRG9jLnhtbFBL&#10;BQYAAAAABgAGAFkBAAA3BgAAAAA=&#10;">
                      <o:lock v:ext="edit" aspectratio="f"/>
                      <v:line id="直线 1082" o:spid="_x0000_s1026" o:spt="20" style="position:absolute;left:3245;top:103686;flip:x y;height:941;width:1200;" filled="f" stroked="t" coordsize="21600,21600" o:gfxdata="UEsDBAoAAAAAAIdO4kAAAAAAAAAAAAAAAAAEAAAAZHJzL1BLAwQUAAAACACHTuJAAxl0T7sAAADc&#10;AAAADwAAAGRycy9kb3ducmV2LnhtbEWPS2sCMRSF9wX/Q7gFdzWZonU6NboQBLc+kC4vk9vJ0ORm&#10;nKSO/nsjCF0ezuPjLFZX78SF+tgG1lBMFAjiOpiWGw3Hw+atBBETskEXmDTcKMJqOXpZYGXCwDu6&#10;7FMj8gjHCjXYlLpKylhb8hgnoSPO3k/oPaYs+0aaHoc87p18V+pDemw5Eyx2tLZU/+7/vAZXqvJ8&#10;Ws+H753JlM3JWZ4XWo9fC/UFItE1/Yef7a3RMJ19wuNMPgJye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xl0T7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直线 1083" o:spid="_x0000_s1026" o:spt="20" style="position:absolute;left:2359;top:104190;flip:x y;height:437;width:2059;" filled="f" stroked="t" coordsize="21600,21600" o:gfxdata="UEsDBAoAAAAAAIdO4kAAAAAAAAAAAAAAAAAEAAAAZHJzL1BLAwQUAAAACACHTuJAXE8Xb7gAAADc&#10;AAAADwAAAGRycy9kb3ducmV2LnhtbEVPTWsCMRC9F/wPYYTearKl6LI1ehAEr2qRHofNdLM0mWw3&#10;0bX/vnMoeHy87/X2HoO60Zj7xBaqhQFF3CbXc2fh47x/qUHlguwwJCYLv5Rhu5k9rbFxaeIj3U6l&#10;UxLCuUELvpSh0Tq3niLmRRqIhftKY8QicOy0G3GS8Bj0qzFLHbFnafA40M5T+326RguhNvXPZbea&#10;Po9OWvaX4HlVWfs8r8w7qEL38hD/uw/OwttS5ssZOQJ68w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E8Xb7gAAADcAAAA&#10;DwAAAAAAAAABACAAAAAiAAAAZHJzL2Rvd25yZXYueG1sUEsBAhQAFAAAAAgAh07iQDMvBZ47AAAA&#10;OQAAABAAAAAAAAAAAQAgAAAABwEAAGRycy9zaGFwZXhtbC54bWxQSwUGAAAAAAYABgBbAQAAsQMA&#10;AAAA&#10;">
                        <v:fill on="f" focussize="0,0"/>
                        <v:stroke color="#000000" joinstyle="round"/>
                        <v:imagedata o:title=""/>
                        <o:lock v:ext="edit" aspectratio="f"/>
                      </v:line>
                    </v:group>
                  </w:pict>
                </mc:Fallback>
              </mc:AlternateContent>
            </w:r>
            <w:r>
              <w:rPr>
                <w:rFonts w:ascii="Times New Roman" w:hAnsi="Times New Roman" w:cs="Times New Roman"/>
                <w:b/>
                <w:bCs/>
                <w:color w:val="auto"/>
                <w:sz w:val="21"/>
                <w:lang w:eastAsia="zh-CN"/>
              </w:rPr>
              <w:t>占地规模</w:t>
            </w:r>
          </w:p>
          <w:p w14:paraId="3AFC48C4">
            <w:pPr>
              <w:widowControl w:val="0"/>
              <w:adjustRightInd w:val="0"/>
              <w:snapToGrid w:val="0"/>
              <w:jc w:val="both"/>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评价工作等级</w:t>
            </w:r>
          </w:p>
          <w:p w14:paraId="7B805BF2">
            <w:pPr>
              <w:widowControl w:val="0"/>
              <w:adjustRightInd w:val="0"/>
              <w:snapToGrid w:val="0"/>
              <w:jc w:val="both"/>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敏感程度</w:t>
            </w:r>
          </w:p>
        </w:tc>
        <w:tc>
          <w:tcPr>
            <w:tcW w:w="1317" w:type="pct"/>
            <w:gridSpan w:val="3"/>
            <w:vAlign w:val="center"/>
          </w:tcPr>
          <w:p w14:paraId="06543D77">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I类</w:t>
            </w:r>
          </w:p>
        </w:tc>
        <w:tc>
          <w:tcPr>
            <w:tcW w:w="1219" w:type="pct"/>
            <w:gridSpan w:val="3"/>
            <w:vAlign w:val="center"/>
          </w:tcPr>
          <w:p w14:paraId="68C6BD18">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II类</w:t>
            </w:r>
          </w:p>
        </w:tc>
        <w:tc>
          <w:tcPr>
            <w:tcW w:w="1225" w:type="pct"/>
            <w:gridSpan w:val="3"/>
            <w:vAlign w:val="center"/>
          </w:tcPr>
          <w:p w14:paraId="2B512AC5">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III类</w:t>
            </w:r>
          </w:p>
        </w:tc>
      </w:tr>
      <w:tr w14:paraId="3DE019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37" w:type="pct"/>
            <w:vMerge w:val="continue"/>
            <w:vAlign w:val="center"/>
          </w:tcPr>
          <w:p w14:paraId="0662BAF6">
            <w:pPr>
              <w:widowControl w:val="0"/>
              <w:adjustRightInd w:val="0"/>
              <w:snapToGrid w:val="0"/>
              <w:jc w:val="center"/>
              <w:rPr>
                <w:rFonts w:ascii="Times New Roman" w:hAnsi="Times New Roman" w:cs="Times New Roman"/>
                <w:b/>
                <w:bCs/>
                <w:color w:val="auto"/>
                <w:sz w:val="21"/>
              </w:rPr>
            </w:pPr>
          </w:p>
        </w:tc>
        <w:tc>
          <w:tcPr>
            <w:tcW w:w="410" w:type="pct"/>
            <w:vAlign w:val="center"/>
          </w:tcPr>
          <w:p w14:paraId="14AB168F">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大</w:t>
            </w:r>
          </w:p>
        </w:tc>
        <w:tc>
          <w:tcPr>
            <w:tcW w:w="426" w:type="pct"/>
            <w:vAlign w:val="center"/>
          </w:tcPr>
          <w:p w14:paraId="028D1F5B">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中</w:t>
            </w:r>
          </w:p>
        </w:tc>
        <w:tc>
          <w:tcPr>
            <w:tcW w:w="480" w:type="pct"/>
            <w:vAlign w:val="center"/>
          </w:tcPr>
          <w:p w14:paraId="7AF88A65">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小</w:t>
            </w:r>
          </w:p>
        </w:tc>
        <w:tc>
          <w:tcPr>
            <w:tcW w:w="440" w:type="pct"/>
            <w:vAlign w:val="center"/>
          </w:tcPr>
          <w:p w14:paraId="2BE24892">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大</w:t>
            </w:r>
          </w:p>
        </w:tc>
        <w:tc>
          <w:tcPr>
            <w:tcW w:w="375" w:type="pct"/>
            <w:vAlign w:val="center"/>
          </w:tcPr>
          <w:p w14:paraId="2306C79B">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中</w:t>
            </w:r>
          </w:p>
        </w:tc>
        <w:tc>
          <w:tcPr>
            <w:tcW w:w="403" w:type="pct"/>
            <w:vAlign w:val="center"/>
          </w:tcPr>
          <w:p w14:paraId="5624527C">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小</w:t>
            </w:r>
          </w:p>
        </w:tc>
        <w:tc>
          <w:tcPr>
            <w:tcW w:w="399" w:type="pct"/>
            <w:vAlign w:val="center"/>
          </w:tcPr>
          <w:p w14:paraId="4A7D3C55">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大</w:t>
            </w:r>
          </w:p>
        </w:tc>
        <w:tc>
          <w:tcPr>
            <w:tcW w:w="409" w:type="pct"/>
            <w:vAlign w:val="center"/>
          </w:tcPr>
          <w:p w14:paraId="41806830">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中</w:t>
            </w:r>
          </w:p>
        </w:tc>
        <w:tc>
          <w:tcPr>
            <w:tcW w:w="417" w:type="pct"/>
            <w:vAlign w:val="center"/>
          </w:tcPr>
          <w:p w14:paraId="7629D512">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小</w:t>
            </w:r>
          </w:p>
        </w:tc>
      </w:tr>
      <w:tr w14:paraId="028538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37" w:type="pct"/>
            <w:vAlign w:val="center"/>
          </w:tcPr>
          <w:p w14:paraId="5939C825">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敏感</w:t>
            </w:r>
          </w:p>
        </w:tc>
        <w:tc>
          <w:tcPr>
            <w:tcW w:w="410" w:type="pct"/>
            <w:vAlign w:val="center"/>
          </w:tcPr>
          <w:p w14:paraId="18C01899">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一级</w:t>
            </w:r>
          </w:p>
        </w:tc>
        <w:tc>
          <w:tcPr>
            <w:tcW w:w="426" w:type="pct"/>
            <w:vAlign w:val="center"/>
          </w:tcPr>
          <w:p w14:paraId="1C7C614D">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一级</w:t>
            </w:r>
          </w:p>
        </w:tc>
        <w:tc>
          <w:tcPr>
            <w:tcW w:w="480" w:type="pct"/>
            <w:shd w:val="clear" w:color="auto" w:fill="BFBFBF"/>
            <w:vAlign w:val="center"/>
          </w:tcPr>
          <w:p w14:paraId="6AAD97E5">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一级</w:t>
            </w:r>
          </w:p>
        </w:tc>
        <w:tc>
          <w:tcPr>
            <w:tcW w:w="440" w:type="pct"/>
            <w:vAlign w:val="center"/>
          </w:tcPr>
          <w:p w14:paraId="20A90CA0">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二级</w:t>
            </w:r>
          </w:p>
        </w:tc>
        <w:tc>
          <w:tcPr>
            <w:tcW w:w="375" w:type="pct"/>
            <w:vAlign w:val="center"/>
          </w:tcPr>
          <w:p w14:paraId="10562733">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二级</w:t>
            </w:r>
          </w:p>
        </w:tc>
        <w:tc>
          <w:tcPr>
            <w:tcW w:w="403" w:type="pct"/>
            <w:vAlign w:val="center"/>
          </w:tcPr>
          <w:p w14:paraId="542A9788">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二级</w:t>
            </w:r>
          </w:p>
        </w:tc>
        <w:tc>
          <w:tcPr>
            <w:tcW w:w="399" w:type="pct"/>
            <w:vAlign w:val="center"/>
          </w:tcPr>
          <w:p w14:paraId="01042B9B">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三级</w:t>
            </w:r>
          </w:p>
        </w:tc>
        <w:tc>
          <w:tcPr>
            <w:tcW w:w="409" w:type="pct"/>
            <w:vAlign w:val="center"/>
          </w:tcPr>
          <w:p w14:paraId="18097BB4">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三级</w:t>
            </w:r>
          </w:p>
        </w:tc>
        <w:tc>
          <w:tcPr>
            <w:tcW w:w="417" w:type="pct"/>
            <w:vAlign w:val="center"/>
          </w:tcPr>
          <w:p w14:paraId="3EDB6A2E">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三级</w:t>
            </w:r>
          </w:p>
        </w:tc>
      </w:tr>
      <w:tr w14:paraId="382E92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37" w:type="pct"/>
            <w:vAlign w:val="center"/>
          </w:tcPr>
          <w:p w14:paraId="4BC6D17B">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较敏感</w:t>
            </w:r>
          </w:p>
        </w:tc>
        <w:tc>
          <w:tcPr>
            <w:tcW w:w="410" w:type="pct"/>
            <w:vAlign w:val="center"/>
          </w:tcPr>
          <w:p w14:paraId="255F3BD2">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一级</w:t>
            </w:r>
          </w:p>
        </w:tc>
        <w:tc>
          <w:tcPr>
            <w:tcW w:w="426" w:type="pct"/>
            <w:vAlign w:val="center"/>
          </w:tcPr>
          <w:p w14:paraId="5186B37E">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一级</w:t>
            </w:r>
          </w:p>
        </w:tc>
        <w:tc>
          <w:tcPr>
            <w:tcW w:w="480" w:type="pct"/>
            <w:vAlign w:val="center"/>
          </w:tcPr>
          <w:p w14:paraId="37A0B833">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二级</w:t>
            </w:r>
          </w:p>
        </w:tc>
        <w:tc>
          <w:tcPr>
            <w:tcW w:w="440" w:type="pct"/>
            <w:vAlign w:val="center"/>
          </w:tcPr>
          <w:p w14:paraId="2BC744AF">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二级</w:t>
            </w:r>
          </w:p>
        </w:tc>
        <w:tc>
          <w:tcPr>
            <w:tcW w:w="375" w:type="pct"/>
            <w:vAlign w:val="center"/>
          </w:tcPr>
          <w:p w14:paraId="16A2C458">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二级</w:t>
            </w:r>
          </w:p>
        </w:tc>
        <w:tc>
          <w:tcPr>
            <w:tcW w:w="403" w:type="pct"/>
            <w:vAlign w:val="center"/>
          </w:tcPr>
          <w:p w14:paraId="7D53247B">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三级</w:t>
            </w:r>
          </w:p>
        </w:tc>
        <w:tc>
          <w:tcPr>
            <w:tcW w:w="399" w:type="pct"/>
            <w:vAlign w:val="center"/>
          </w:tcPr>
          <w:p w14:paraId="79AB6B94">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三级</w:t>
            </w:r>
          </w:p>
        </w:tc>
        <w:tc>
          <w:tcPr>
            <w:tcW w:w="409" w:type="pct"/>
            <w:vAlign w:val="center"/>
          </w:tcPr>
          <w:p w14:paraId="404B185B">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三级</w:t>
            </w:r>
          </w:p>
        </w:tc>
        <w:tc>
          <w:tcPr>
            <w:tcW w:w="417" w:type="pct"/>
            <w:vAlign w:val="center"/>
          </w:tcPr>
          <w:p w14:paraId="1BF2442F">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w:t>
            </w:r>
          </w:p>
        </w:tc>
      </w:tr>
      <w:tr w14:paraId="59E700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37" w:type="pct"/>
            <w:vAlign w:val="center"/>
          </w:tcPr>
          <w:p w14:paraId="6DC44527">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不敏感</w:t>
            </w:r>
          </w:p>
        </w:tc>
        <w:tc>
          <w:tcPr>
            <w:tcW w:w="410" w:type="pct"/>
            <w:vAlign w:val="center"/>
          </w:tcPr>
          <w:p w14:paraId="1D9DDD76">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一级</w:t>
            </w:r>
          </w:p>
        </w:tc>
        <w:tc>
          <w:tcPr>
            <w:tcW w:w="426" w:type="pct"/>
            <w:vAlign w:val="center"/>
          </w:tcPr>
          <w:p w14:paraId="4C45A7BF">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二级</w:t>
            </w:r>
          </w:p>
        </w:tc>
        <w:tc>
          <w:tcPr>
            <w:tcW w:w="480" w:type="pct"/>
            <w:vAlign w:val="center"/>
          </w:tcPr>
          <w:p w14:paraId="274126DA">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二级</w:t>
            </w:r>
          </w:p>
        </w:tc>
        <w:tc>
          <w:tcPr>
            <w:tcW w:w="440" w:type="pct"/>
            <w:vAlign w:val="center"/>
          </w:tcPr>
          <w:p w14:paraId="097C3238">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二级</w:t>
            </w:r>
          </w:p>
        </w:tc>
        <w:tc>
          <w:tcPr>
            <w:tcW w:w="375" w:type="pct"/>
            <w:vAlign w:val="center"/>
          </w:tcPr>
          <w:p w14:paraId="7C9F4A95">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三级</w:t>
            </w:r>
          </w:p>
        </w:tc>
        <w:tc>
          <w:tcPr>
            <w:tcW w:w="403" w:type="pct"/>
            <w:vAlign w:val="center"/>
          </w:tcPr>
          <w:p w14:paraId="05FD37D5">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三级</w:t>
            </w:r>
          </w:p>
        </w:tc>
        <w:tc>
          <w:tcPr>
            <w:tcW w:w="399" w:type="pct"/>
            <w:vAlign w:val="center"/>
          </w:tcPr>
          <w:p w14:paraId="5E53AA0A">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三级</w:t>
            </w:r>
          </w:p>
        </w:tc>
        <w:tc>
          <w:tcPr>
            <w:tcW w:w="409" w:type="pct"/>
            <w:vAlign w:val="center"/>
          </w:tcPr>
          <w:p w14:paraId="4AAF1C4C">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w:t>
            </w:r>
          </w:p>
        </w:tc>
        <w:tc>
          <w:tcPr>
            <w:tcW w:w="417" w:type="pct"/>
            <w:vAlign w:val="center"/>
          </w:tcPr>
          <w:p w14:paraId="3ADD6135">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w:t>
            </w:r>
          </w:p>
        </w:tc>
      </w:tr>
      <w:tr w14:paraId="59E0AC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10"/>
            <w:vAlign w:val="center"/>
          </w:tcPr>
          <w:p w14:paraId="0E11BF32">
            <w:pPr>
              <w:widowControl w:val="0"/>
              <w:adjustRightInd w:val="0"/>
              <w:snapToGrid w:val="0"/>
              <w:jc w:val="both"/>
              <w:rPr>
                <w:rFonts w:ascii="Times New Roman" w:hAnsi="Times New Roman" w:cs="Times New Roman"/>
                <w:color w:val="auto"/>
                <w:sz w:val="21"/>
                <w:lang w:eastAsia="zh-CN"/>
              </w:rPr>
            </w:pPr>
            <w:r>
              <w:rPr>
                <w:rFonts w:ascii="Times New Roman" w:hAnsi="Times New Roman" w:cs="Times New Roman"/>
                <w:color w:val="auto"/>
                <w:sz w:val="21"/>
                <w:lang w:eastAsia="zh-CN"/>
              </w:rPr>
              <w:t>注：“-”表示可不开展土壤环境影响评价工作。</w:t>
            </w:r>
          </w:p>
        </w:tc>
      </w:tr>
    </w:tbl>
    <w:p w14:paraId="1B481FFF">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根据上表可知，确定本次土壤环境评价工作等级为</w:t>
      </w:r>
      <w:r>
        <w:rPr>
          <w:rFonts w:hint="eastAsia" w:ascii="Times New Roman" w:hAnsi="Times New Roman" w:cs="Times New Roman"/>
          <w:color w:val="auto"/>
          <w:lang w:eastAsia="zh-CN"/>
        </w:rPr>
        <w:t>一</w:t>
      </w:r>
      <w:r>
        <w:rPr>
          <w:rFonts w:ascii="Times New Roman" w:hAnsi="Times New Roman" w:cs="Times New Roman"/>
          <w:color w:val="auto"/>
          <w:lang w:eastAsia="zh-CN"/>
        </w:rPr>
        <w:t>级。</w:t>
      </w:r>
    </w:p>
    <w:p w14:paraId="390048C3">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（7）生态环境影响评价等级</w:t>
      </w:r>
    </w:p>
    <w:p w14:paraId="5AF4337C">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项目建设位于</w:t>
      </w:r>
      <w:r>
        <w:rPr>
          <w:rFonts w:ascii="Times New Roman" w:hAnsi="Times New Roman" w:eastAsia="新宋体" w:cs="Times New Roman"/>
          <w:color w:val="auto"/>
          <w:szCs w:val="24"/>
          <w:lang w:eastAsia="zh-CN"/>
        </w:rPr>
        <w:t>蚌埠精细化工高新技术产业基地</w:t>
      </w:r>
      <w:r>
        <w:rPr>
          <w:rFonts w:ascii="Times New Roman" w:hAnsi="Times New Roman" w:cs="Times New Roman"/>
          <w:color w:val="auto"/>
          <w:lang w:eastAsia="zh-CN"/>
        </w:rPr>
        <w:t>，且符合</w:t>
      </w:r>
      <w:r>
        <w:rPr>
          <w:rFonts w:ascii="Times New Roman" w:hAnsi="Times New Roman" w:eastAsia="新宋体" w:cs="Times New Roman"/>
          <w:color w:val="auto"/>
          <w:szCs w:val="24"/>
          <w:lang w:eastAsia="zh-CN"/>
        </w:rPr>
        <w:t>《蚌埠精细化工高新技术产业基地规划（2021</w:t>
      </w:r>
      <w:r>
        <w:rPr>
          <w:rFonts w:ascii="Times New Roman" w:hAnsi="Times New Roman" w:cs="Times New Roman"/>
          <w:color w:val="auto"/>
          <w:szCs w:val="24"/>
          <w:lang w:eastAsia="zh-CN"/>
        </w:rPr>
        <w:t>～</w:t>
      </w:r>
      <w:r>
        <w:rPr>
          <w:rFonts w:ascii="Times New Roman" w:hAnsi="Times New Roman" w:eastAsia="新宋体" w:cs="Times New Roman"/>
          <w:color w:val="auto"/>
          <w:szCs w:val="24"/>
          <w:lang w:eastAsia="zh-CN"/>
        </w:rPr>
        <w:t>2035）环境影响报告书》</w:t>
      </w:r>
      <w:r>
        <w:rPr>
          <w:rFonts w:ascii="Times New Roman" w:hAnsi="Times New Roman" w:cs="Times New Roman"/>
          <w:color w:val="auto"/>
          <w:lang w:eastAsia="zh-CN"/>
        </w:rPr>
        <w:t>及其审查意见要求；本项目为污染影响类项目，且不涉及国家公园、自然保护区、自然公园等生态敏感区。</w:t>
      </w:r>
    </w:p>
    <w:p w14:paraId="6568034C">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按照《环境影响评价技术导则 生态环境》（HJ 19-2022）要求，位于已批准规划环评的产业园区内且符合规划环评要求、不涉及生态敏感区的污染影响类建设项目，可不确定评价等级，直接进行生态影响简单分析。</w:t>
      </w:r>
    </w:p>
    <w:p w14:paraId="62535FFC">
      <w:pPr>
        <w:widowControl w:val="0"/>
        <w:spacing w:line="360" w:lineRule="auto"/>
        <w:ind w:firstLine="482"/>
        <w:jc w:val="both"/>
        <w:outlineLvl w:val="2"/>
        <w:rPr>
          <w:rFonts w:ascii="Times New Roman" w:hAnsi="Times New Roman" w:cs="Times New Roman"/>
          <w:color w:val="auto"/>
          <w:szCs w:val="24"/>
          <w:lang w:eastAsia="zh-CN"/>
        </w:rPr>
      </w:pPr>
      <w:bookmarkStart w:id="277" w:name="_Toc221900777"/>
      <w:bookmarkStart w:id="278" w:name="_Toc173740253"/>
      <w:bookmarkStart w:id="279" w:name="_Toc224674633"/>
      <w:bookmarkStart w:id="280" w:name="_Toc176512982"/>
      <w:bookmarkStart w:id="281" w:name="_Toc225783994"/>
      <w:bookmarkStart w:id="282" w:name="_Toc218784220"/>
      <w:bookmarkStart w:id="283" w:name="_Toc172555626"/>
      <w:bookmarkStart w:id="284" w:name="_Toc173743357"/>
      <w:bookmarkStart w:id="285" w:name="_Toc203926954"/>
      <w:bookmarkStart w:id="286" w:name="_Toc175164247"/>
      <w:bookmarkStart w:id="287" w:name="_Toc237508248"/>
      <w:bookmarkStart w:id="288" w:name="_Toc236641265"/>
      <w:bookmarkStart w:id="289" w:name="_Toc204448419"/>
      <w:bookmarkStart w:id="290" w:name="_Toc178602322"/>
      <w:bookmarkStart w:id="291" w:name="_Toc204515154"/>
      <w:bookmarkStart w:id="292" w:name="_Toc231828534"/>
      <w:bookmarkStart w:id="293" w:name="_Toc217662610"/>
      <w:bookmarkStart w:id="294" w:name="_Toc223424995"/>
      <w:bookmarkStart w:id="295" w:name="_Toc236641782"/>
      <w:r>
        <w:rPr>
          <w:rFonts w:ascii="Times New Roman" w:hAnsi="Times New Roman" w:cs="Times New Roman"/>
          <w:b/>
          <w:bCs/>
          <w:color w:val="auto"/>
          <w:szCs w:val="24"/>
          <w:lang w:eastAsia="zh-CN"/>
        </w:rPr>
        <w:t>2.4.2 评价范围</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14:paraId="33963D89">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1、大气环境影响评价范围</w:t>
      </w:r>
    </w:p>
    <w:p w14:paraId="25C37555">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根据上述大气环境影响评价工作等级划分结果可知，本项目大气环境影响评价工作等级为一级。</w:t>
      </w:r>
    </w:p>
    <w:p w14:paraId="5678F912">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按《环境影响评价技术导则大气环境》（HJ2.2-2018）要求，确定本项目大气环境影响评价范围为以拟建项目厂址为中心区域，边长为5km的矩形区域。</w:t>
      </w:r>
    </w:p>
    <w:p w14:paraId="79F81468">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2、地表水环境影响评价范围</w:t>
      </w:r>
    </w:p>
    <w:p w14:paraId="3D33D710">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根据《环境影响评价技术导则 地表水环境》（HJ2.3-2018）要求，三级B项目评价范围应符合以下要求：</w:t>
      </w:r>
    </w:p>
    <w:p w14:paraId="08CE4F44">
      <w:pPr>
        <w:widowControl w:val="0"/>
        <w:spacing w:line="360" w:lineRule="auto"/>
        <w:ind w:firstLine="480" w:firstLineChars="200"/>
        <w:jc w:val="both"/>
        <w:rPr>
          <w:rFonts w:ascii="Times New Roman" w:hAnsi="Times New Roman" w:cs="Times New Roman"/>
          <w:color w:val="auto"/>
          <w:lang w:eastAsia="zh-CN"/>
        </w:rPr>
      </w:pPr>
      <w:r>
        <w:rPr>
          <w:rFonts w:ascii="宋体" w:hAnsi="宋体" w:cs="Cambria Math"/>
          <w:color w:val="auto"/>
          <w:lang w:eastAsia="zh-CN"/>
        </w:rPr>
        <w:t>①</w:t>
      </w:r>
      <w:r>
        <w:rPr>
          <w:rFonts w:ascii="Times New Roman" w:hAnsi="Times New Roman" w:cs="Times New Roman"/>
          <w:color w:val="auto"/>
          <w:lang w:eastAsia="zh-CN"/>
        </w:rPr>
        <w:t xml:space="preserve"> 应满足其依托污水处理设施的环境可行性分析要求；</w:t>
      </w:r>
    </w:p>
    <w:p w14:paraId="6DC39DFF">
      <w:pPr>
        <w:widowControl w:val="0"/>
        <w:spacing w:line="360" w:lineRule="auto"/>
        <w:ind w:firstLine="480" w:firstLineChars="200"/>
        <w:jc w:val="both"/>
        <w:rPr>
          <w:rFonts w:ascii="Times New Roman" w:hAnsi="Times New Roman" w:cs="Times New Roman"/>
          <w:color w:val="auto"/>
          <w:lang w:eastAsia="zh-CN"/>
        </w:rPr>
      </w:pPr>
      <w:r>
        <w:rPr>
          <w:rFonts w:ascii="宋体" w:hAnsi="宋体" w:cs="Cambria Math"/>
          <w:color w:val="auto"/>
          <w:lang w:eastAsia="zh-CN"/>
        </w:rPr>
        <w:t>②</w:t>
      </w:r>
      <w:r>
        <w:rPr>
          <w:rFonts w:ascii="Times New Roman" w:hAnsi="Times New Roman" w:cs="Times New Roman"/>
          <w:color w:val="auto"/>
          <w:lang w:eastAsia="zh-CN"/>
        </w:rPr>
        <w:t xml:space="preserve"> 涉及地表水环境风险的，应覆盖环境风险评价范围所及的水环境保护目标水域。</w:t>
      </w:r>
    </w:p>
    <w:p w14:paraId="0491259E">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本评价重点分析</w:t>
      </w:r>
      <w:r>
        <w:rPr>
          <w:rFonts w:hint="eastAsia" w:ascii="Times New Roman" w:hAnsi="Times New Roman" w:cs="Times New Roman"/>
          <w:color w:val="auto"/>
          <w:lang w:eastAsia="zh-CN"/>
        </w:rPr>
        <w:t>项目碱</w:t>
      </w:r>
      <w:r>
        <w:rPr>
          <w:rFonts w:ascii="Times New Roman" w:hAnsi="Times New Roman" w:cs="Times New Roman"/>
          <w:color w:val="auto"/>
          <w:lang w:eastAsia="zh-CN"/>
        </w:rPr>
        <w:t>喷淋塔置换废水、地面清洁废水依托现有厂区污水处理站</w:t>
      </w:r>
      <w:r>
        <w:rPr>
          <w:rFonts w:hint="eastAsia" w:ascii="Times New Roman" w:hAnsi="Times New Roman" w:cs="Times New Roman"/>
          <w:color w:val="auto"/>
          <w:lang w:eastAsia="zh-CN"/>
        </w:rPr>
        <w:t>处理可行性分析</w:t>
      </w:r>
      <w:r>
        <w:rPr>
          <w:rFonts w:ascii="Times New Roman" w:hAnsi="Times New Roman" w:eastAsia="新宋体" w:cs="Times New Roman"/>
          <w:color w:val="auto"/>
          <w:szCs w:val="24"/>
          <w:lang w:eastAsia="zh-CN"/>
        </w:rPr>
        <w:t>，以及项目废水接管沫河口污水处理厂</w:t>
      </w:r>
      <w:r>
        <w:rPr>
          <w:rFonts w:ascii="Times New Roman" w:hAnsi="Times New Roman" w:cs="Times New Roman"/>
          <w:color w:val="auto"/>
          <w:lang w:eastAsia="zh-CN"/>
        </w:rPr>
        <w:t>的环境可行性。</w:t>
      </w:r>
    </w:p>
    <w:p w14:paraId="4F5CDA1E">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3、声环境影响评价范围</w:t>
      </w:r>
    </w:p>
    <w:p w14:paraId="382881D2">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根据《环境影响评价技术导则声环境》（HJ 2.4-2021）中的有关规定，确定本项目声环境评价范围为建设项目场区边界外200m以内的范围。</w:t>
      </w:r>
    </w:p>
    <w:p w14:paraId="050935BA">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4、地下水环境影响评价范围</w:t>
      </w:r>
    </w:p>
    <w:p w14:paraId="4D5ECB47">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根据导则，二级评价项目地下水环境现状调查评价范围为6</w:t>
      </w:r>
      <w:r>
        <w:rPr>
          <w:rFonts w:hint="eastAsia" w:ascii="Times New Roman" w:hAnsi="Times New Roman" w:cs="Times New Roman"/>
          <w:color w:val="auto"/>
          <w:lang w:eastAsia="zh-CN"/>
        </w:rPr>
        <w:t>～</w:t>
      </w:r>
      <w:r>
        <w:rPr>
          <w:rFonts w:ascii="Times New Roman" w:hAnsi="Times New Roman" w:cs="Times New Roman"/>
          <w:color w:val="auto"/>
          <w:lang w:eastAsia="zh-CN"/>
        </w:rPr>
        <w:t>20km</w:t>
      </w:r>
      <w:r>
        <w:rPr>
          <w:rFonts w:ascii="Times New Roman" w:hAnsi="Times New Roman" w:cs="Times New Roman"/>
          <w:color w:val="auto"/>
          <w:vertAlign w:val="superscript"/>
          <w:lang w:eastAsia="zh-CN"/>
        </w:rPr>
        <w:t>2</w:t>
      </w:r>
      <w:r>
        <w:rPr>
          <w:rFonts w:ascii="Times New Roman" w:hAnsi="Times New Roman" w:cs="Times New Roman"/>
          <w:color w:val="auto"/>
          <w:lang w:eastAsia="zh-CN"/>
        </w:rPr>
        <w:t>，在划定评价区范围时已将评价范围考虑成一个较为独立的单元，根据评价区域水文地质资料以及区域地质条件，结合不同含水岩组的空间分布情况，综合考虑岩性及地下水流场特点，评价范围内边界均定义为流量边界，边界流量根据达西定律计算得出，本次地下水评价总计面积约为20km</w:t>
      </w:r>
      <w:r>
        <w:rPr>
          <w:rFonts w:ascii="Times New Roman" w:hAnsi="Times New Roman" w:cs="Times New Roman"/>
          <w:color w:val="auto"/>
          <w:vertAlign w:val="superscript"/>
          <w:lang w:eastAsia="zh-CN"/>
        </w:rPr>
        <w:t>2</w:t>
      </w:r>
      <w:r>
        <w:rPr>
          <w:rFonts w:ascii="Times New Roman" w:hAnsi="Times New Roman" w:cs="Times New Roman"/>
          <w:color w:val="auto"/>
          <w:kern w:val="2"/>
          <w:lang w:eastAsia="zh-CN"/>
        </w:rPr>
        <w:t>预测范围与评价范围一致。</w:t>
      </w:r>
    </w:p>
    <w:p w14:paraId="48A9512A">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5、环境风险评价范围</w:t>
      </w:r>
    </w:p>
    <w:p w14:paraId="229B8117">
      <w:pPr>
        <w:widowControl w:val="0"/>
        <w:spacing w:line="360" w:lineRule="auto"/>
        <w:ind w:firstLine="480" w:firstLineChars="200"/>
        <w:jc w:val="both"/>
        <w:rPr>
          <w:rFonts w:ascii="Times New Roman" w:hAnsi="Times New Roman" w:cs="Times New Roman"/>
          <w:color w:val="000000" w:themeColor="text1"/>
          <w:lang w:eastAsia="zh-CN"/>
          <w14:textFill>
            <w14:solidFill>
              <w14:schemeClr w14:val="tx1"/>
            </w14:solidFill>
          </w14:textFill>
        </w:rPr>
      </w:pPr>
      <w:r>
        <w:rPr>
          <w:rFonts w:ascii="Times New Roman" w:hAnsi="Times New Roman" w:cs="Times New Roman"/>
          <w:color w:val="000000" w:themeColor="text1"/>
          <w:lang w:eastAsia="zh-CN"/>
          <w14:textFill>
            <w14:solidFill>
              <w14:schemeClr w14:val="tx1"/>
            </w14:solidFill>
          </w14:textFill>
        </w:rPr>
        <w:t>根据《建设项目环境风险评价技术导则》（HJ69-2018），确定项目大气环境风险评价范围为距拟建项目场区边界外5km范围。</w:t>
      </w:r>
      <w:r>
        <w:rPr>
          <w:rFonts w:hint="eastAsia" w:ascii="Times New Roman" w:hAnsi="Times New Roman" w:cs="Times New Roman"/>
          <w:bCs/>
          <w:color w:val="000000" w:themeColor="text1"/>
          <w:lang w:eastAsia="zh-CN"/>
          <w14:textFill>
            <w14:solidFill>
              <w14:schemeClr w14:val="tx1"/>
            </w14:solidFill>
          </w14:textFill>
        </w:rPr>
        <w:t>地表水环境风险评价范围为</w:t>
      </w:r>
      <w:r>
        <w:rPr>
          <w:rFonts w:hint="eastAsia" w:ascii="Times New Roman" w:hAnsi="Times New Roman" w:cs="Times New Roman"/>
          <w:color w:val="000000" w:themeColor="text1"/>
          <w:lang w:eastAsia="zh-CN"/>
          <w14:textFill>
            <w14:solidFill>
              <w14:schemeClr w14:val="tx1"/>
            </w14:solidFill>
          </w14:textFill>
        </w:rPr>
        <w:t>园区雨水排放口</w:t>
      </w:r>
      <w:r>
        <w:rPr>
          <w:rFonts w:ascii="Times New Roman" w:hAnsi="Times New Roman" w:cs="Times New Roman"/>
          <w:color w:val="000000" w:themeColor="text1"/>
          <w:lang w:eastAsia="zh-CN"/>
          <w14:textFill>
            <w14:solidFill>
              <w14:schemeClr w14:val="tx1"/>
            </w14:solidFill>
          </w14:textFill>
        </w:rPr>
        <w:t>上游500m至</w:t>
      </w:r>
      <w:r>
        <w:rPr>
          <w:rFonts w:hint="eastAsia" w:ascii="Times New Roman" w:hAnsi="Times New Roman" w:cs="Times New Roman"/>
          <w:color w:val="000000" w:themeColor="text1"/>
          <w:lang w:eastAsia="zh-CN"/>
          <w14:textFill>
            <w14:solidFill>
              <w14:schemeClr w14:val="tx1"/>
            </w14:solidFill>
          </w14:textFill>
        </w:rPr>
        <w:t>三铺大沟</w:t>
      </w:r>
      <w:r>
        <w:rPr>
          <w:rFonts w:ascii="Times New Roman" w:hAnsi="Times New Roman" w:cs="Times New Roman"/>
          <w:color w:val="000000" w:themeColor="text1"/>
          <w:lang w:eastAsia="zh-CN"/>
          <w14:textFill>
            <w14:solidFill>
              <w14:schemeClr w14:val="tx1"/>
            </w14:solidFill>
          </w14:textFill>
        </w:rPr>
        <w:t>入</w:t>
      </w:r>
      <w:r>
        <w:rPr>
          <w:rFonts w:hint="eastAsia" w:ascii="Times New Roman" w:hAnsi="Times New Roman" w:cs="Times New Roman"/>
          <w:color w:val="000000" w:themeColor="text1"/>
          <w:lang w:eastAsia="zh-CN"/>
          <w14:textFill>
            <w14:solidFill>
              <w14:schemeClr w14:val="tx1"/>
            </w14:solidFill>
          </w14:textFill>
        </w:rPr>
        <w:t>淮河</w:t>
      </w:r>
      <w:r>
        <w:rPr>
          <w:rFonts w:ascii="Times New Roman" w:hAnsi="Times New Roman" w:cs="Times New Roman"/>
          <w:color w:val="000000" w:themeColor="text1"/>
          <w:lang w:eastAsia="zh-CN"/>
          <w14:textFill>
            <w14:solidFill>
              <w14:schemeClr w14:val="tx1"/>
            </w14:solidFill>
          </w14:textFill>
        </w:rPr>
        <w:t>口的共计</w:t>
      </w:r>
      <w:r>
        <w:rPr>
          <w:rFonts w:hint="eastAsia" w:ascii="Times New Roman" w:hAnsi="Times New Roman" w:cs="Times New Roman"/>
          <w:color w:val="000000" w:themeColor="text1"/>
          <w:lang w:eastAsia="zh-CN"/>
          <w14:textFill>
            <w14:solidFill>
              <w14:schemeClr w14:val="tx1"/>
            </w14:solidFill>
          </w14:textFill>
        </w:rPr>
        <w:t>约3.7k</w:t>
      </w:r>
      <w:r>
        <w:rPr>
          <w:rFonts w:ascii="Times New Roman" w:hAnsi="Times New Roman" w:cs="Times New Roman"/>
          <w:color w:val="000000" w:themeColor="text1"/>
          <w:lang w:eastAsia="zh-CN"/>
          <w14:textFill>
            <w14:solidFill>
              <w14:schemeClr w14:val="tx1"/>
            </w14:solidFill>
          </w14:textFill>
        </w:rPr>
        <w:t>m的河段；尾水入</w:t>
      </w:r>
      <w:r>
        <w:rPr>
          <w:rFonts w:hint="eastAsia" w:ascii="Times New Roman" w:hAnsi="Times New Roman" w:cs="Times New Roman"/>
          <w:color w:val="000000" w:themeColor="text1"/>
          <w:lang w:eastAsia="zh-CN"/>
          <w14:textFill>
            <w14:solidFill>
              <w14:schemeClr w14:val="tx1"/>
            </w14:solidFill>
          </w14:textFill>
        </w:rPr>
        <w:t>淮河</w:t>
      </w:r>
      <w:r>
        <w:rPr>
          <w:rFonts w:ascii="Times New Roman" w:hAnsi="Times New Roman" w:cs="Times New Roman"/>
          <w:color w:val="000000" w:themeColor="text1"/>
          <w:lang w:eastAsia="zh-CN"/>
          <w14:textFill>
            <w14:solidFill>
              <w14:schemeClr w14:val="tx1"/>
            </w14:solidFill>
          </w14:textFill>
        </w:rPr>
        <w:t>口上游500m至下游</w:t>
      </w:r>
      <w:r>
        <w:rPr>
          <w:rFonts w:hint="eastAsia" w:ascii="Times New Roman" w:hAnsi="Times New Roman" w:cs="Times New Roman"/>
          <w:color w:val="000000" w:themeColor="text1"/>
          <w:lang w:eastAsia="zh-CN"/>
          <w14:textFill>
            <w14:solidFill>
              <w14:schemeClr w14:val="tx1"/>
            </w14:solidFill>
          </w14:textFill>
        </w:rPr>
        <w:t>8.5</w:t>
      </w:r>
      <w:r>
        <w:rPr>
          <w:rFonts w:ascii="Times New Roman" w:hAnsi="Times New Roman" w:cs="Times New Roman"/>
          <w:color w:val="000000" w:themeColor="text1"/>
          <w:lang w:eastAsia="zh-CN"/>
          <w14:textFill>
            <w14:solidFill>
              <w14:schemeClr w14:val="tx1"/>
            </w14:solidFill>
          </w14:textFill>
        </w:rPr>
        <w:t>km的共计</w:t>
      </w:r>
      <w:r>
        <w:rPr>
          <w:rFonts w:hint="eastAsia" w:ascii="Times New Roman" w:hAnsi="Times New Roman" w:cs="Times New Roman"/>
          <w:color w:val="000000" w:themeColor="text1"/>
          <w:lang w:eastAsia="zh-CN"/>
          <w14:textFill>
            <w14:solidFill>
              <w14:schemeClr w14:val="tx1"/>
            </w14:solidFill>
          </w14:textFill>
        </w:rPr>
        <w:t>9.0</w:t>
      </w:r>
      <w:r>
        <w:rPr>
          <w:rFonts w:ascii="Times New Roman" w:hAnsi="Times New Roman" w:cs="Times New Roman"/>
          <w:color w:val="000000" w:themeColor="text1"/>
          <w:lang w:eastAsia="zh-CN"/>
          <w14:textFill>
            <w14:solidFill>
              <w14:schemeClr w14:val="tx1"/>
            </w14:solidFill>
          </w14:textFill>
        </w:rPr>
        <w:t>km的</w:t>
      </w:r>
      <w:r>
        <w:rPr>
          <w:rFonts w:hint="eastAsia" w:ascii="Times New Roman" w:hAnsi="Times New Roman" w:cs="Times New Roman"/>
          <w:color w:val="000000" w:themeColor="text1"/>
          <w:lang w:eastAsia="zh-CN"/>
          <w14:textFill>
            <w14:solidFill>
              <w14:schemeClr w14:val="tx1"/>
            </w14:solidFill>
          </w14:textFill>
        </w:rPr>
        <w:t>淮河</w:t>
      </w:r>
      <w:r>
        <w:rPr>
          <w:rFonts w:ascii="Times New Roman" w:hAnsi="Times New Roman" w:cs="Times New Roman"/>
          <w:color w:val="000000" w:themeColor="text1"/>
          <w:lang w:eastAsia="zh-CN"/>
          <w14:textFill>
            <w14:solidFill>
              <w14:schemeClr w14:val="tx1"/>
            </w14:solidFill>
          </w14:textFill>
        </w:rPr>
        <w:t>段</w:t>
      </w:r>
      <w:r>
        <w:rPr>
          <w:rFonts w:hint="eastAsia" w:ascii="Times New Roman" w:hAnsi="Times New Roman" w:cs="Times New Roman"/>
          <w:bCs/>
          <w:color w:val="000000" w:themeColor="text1"/>
          <w:lang w:eastAsia="zh-CN"/>
          <w14:textFill>
            <w14:solidFill>
              <w14:schemeClr w14:val="tx1"/>
            </w14:solidFill>
          </w14:textFill>
        </w:rPr>
        <w:t>；地下水风险评价范围参照</w:t>
      </w:r>
      <w:r>
        <w:rPr>
          <w:rFonts w:ascii="Times New Roman" w:hAnsi="Times New Roman" w:cs="Times New Roman"/>
          <w:bCs/>
          <w:color w:val="000000" w:themeColor="text1"/>
          <w:lang w:eastAsia="zh-CN"/>
          <w14:textFill>
            <w14:solidFill>
              <w14:schemeClr w14:val="tx1"/>
            </w14:solidFill>
          </w14:textFill>
        </w:rPr>
        <w:t>地下水环境影响评价范围</w:t>
      </w:r>
      <w:r>
        <w:rPr>
          <w:rFonts w:hint="eastAsia" w:ascii="Times New Roman" w:hAnsi="Times New Roman" w:cs="Times New Roman"/>
          <w:bCs/>
          <w:color w:val="000000" w:themeColor="text1"/>
          <w:lang w:eastAsia="zh-CN"/>
          <w14:textFill>
            <w14:solidFill>
              <w14:schemeClr w14:val="tx1"/>
            </w14:solidFill>
          </w14:textFill>
        </w:rPr>
        <w:t>。</w:t>
      </w:r>
    </w:p>
    <w:p w14:paraId="42B4181C">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6、土壤环境</w:t>
      </w:r>
    </w:p>
    <w:p w14:paraId="01C1E716">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按照《环境影响评价技术导则土壤环境（试行）》（HJ64-2018）要求，确定项目土壤环境评价等级为</w:t>
      </w:r>
      <w:r>
        <w:rPr>
          <w:rFonts w:hint="eastAsia" w:ascii="Times New Roman" w:hAnsi="Times New Roman" w:cs="Times New Roman"/>
          <w:color w:val="auto"/>
          <w:lang w:eastAsia="zh-CN"/>
        </w:rPr>
        <w:t>一</w:t>
      </w:r>
      <w:r>
        <w:rPr>
          <w:rFonts w:ascii="Times New Roman" w:hAnsi="Times New Roman" w:cs="Times New Roman"/>
          <w:color w:val="auto"/>
          <w:lang w:eastAsia="zh-CN"/>
        </w:rPr>
        <w:t>级，确定项目土壤环境评价范围为项目厂区占地范围及占地范围外</w:t>
      </w:r>
      <w:r>
        <w:rPr>
          <w:rFonts w:hint="eastAsia" w:ascii="Times New Roman" w:hAnsi="Times New Roman" w:cs="Times New Roman"/>
          <w:color w:val="auto"/>
          <w:lang w:eastAsia="zh-CN"/>
        </w:rPr>
        <w:t>10</w:t>
      </w:r>
      <w:r>
        <w:rPr>
          <w:rFonts w:ascii="Times New Roman" w:hAnsi="Times New Roman" w:cs="Times New Roman"/>
          <w:color w:val="auto"/>
          <w:lang w:eastAsia="zh-CN"/>
        </w:rPr>
        <w:t>00m的区域。</w:t>
      </w:r>
    </w:p>
    <w:p w14:paraId="67D60AD2">
      <w:pPr>
        <w:widowControl w:val="0"/>
        <w:spacing w:line="360" w:lineRule="auto"/>
        <w:ind w:firstLine="480" w:firstLineChars="200"/>
        <w:jc w:val="both"/>
        <w:rPr>
          <w:rFonts w:ascii="Times New Roman" w:hAnsi="Times New Roman" w:cs="Times New Roman"/>
          <w:color w:val="auto"/>
          <w:lang w:eastAsia="zh-CN"/>
        </w:rPr>
      </w:pPr>
    </w:p>
    <w:p w14:paraId="374A8010">
      <w:pPr>
        <w:widowControl w:val="0"/>
        <w:spacing w:line="360" w:lineRule="auto"/>
        <w:ind w:firstLine="562"/>
        <w:jc w:val="both"/>
        <w:outlineLvl w:val="1"/>
        <w:rPr>
          <w:rFonts w:ascii="Times New Roman" w:hAnsi="Times New Roman" w:eastAsia="新宋体" w:cs="Times New Roman"/>
          <w:b/>
          <w:bCs/>
          <w:color w:val="auto"/>
          <w:sz w:val="28"/>
          <w:szCs w:val="28"/>
          <w:lang w:eastAsia="zh-CN"/>
        </w:rPr>
      </w:pPr>
      <w:bookmarkStart w:id="296" w:name="_Toc237508249"/>
      <w:r>
        <w:rPr>
          <w:rFonts w:ascii="Times New Roman" w:hAnsi="Times New Roman" w:eastAsia="新宋体" w:cs="Times New Roman"/>
          <w:b/>
          <w:bCs/>
          <w:color w:val="auto"/>
          <w:sz w:val="28"/>
          <w:szCs w:val="28"/>
          <w:lang w:eastAsia="zh-CN"/>
        </w:rPr>
        <w:t>2.5 相关规划及环境功能区划</w:t>
      </w:r>
      <w:bookmarkEnd w:id="296"/>
    </w:p>
    <w:p w14:paraId="401FAB59">
      <w:pPr>
        <w:widowControl w:val="0"/>
        <w:spacing w:line="360" w:lineRule="auto"/>
        <w:ind w:firstLine="482"/>
        <w:jc w:val="both"/>
        <w:outlineLvl w:val="2"/>
        <w:rPr>
          <w:rFonts w:ascii="Times New Roman" w:hAnsi="Times New Roman" w:eastAsia="新宋体" w:cs="Times New Roman"/>
          <w:b/>
          <w:bCs/>
          <w:color w:val="auto"/>
          <w:szCs w:val="24"/>
          <w:lang w:eastAsia="zh-CN"/>
        </w:rPr>
      </w:pPr>
      <w:bookmarkStart w:id="297" w:name="_Toc237508250"/>
      <w:bookmarkStart w:id="298" w:name="_Toc172555628"/>
      <w:bookmarkStart w:id="299" w:name="_Toc173743359"/>
      <w:bookmarkStart w:id="300" w:name="_Toc204515156"/>
      <w:bookmarkStart w:id="301" w:name="_Toc236641267"/>
      <w:bookmarkStart w:id="302" w:name="_Toc175164249"/>
      <w:bookmarkStart w:id="303" w:name="_Toc173740255"/>
      <w:bookmarkStart w:id="304" w:name="_Toc217662612"/>
      <w:bookmarkStart w:id="305" w:name="_Toc203926956"/>
      <w:bookmarkStart w:id="306" w:name="_Toc224674635"/>
      <w:bookmarkStart w:id="307" w:name="_Toc236641784"/>
      <w:bookmarkStart w:id="308" w:name="_Toc176512984"/>
      <w:bookmarkStart w:id="309" w:name="_Toc231828536"/>
      <w:bookmarkStart w:id="310" w:name="_Toc221900779"/>
      <w:bookmarkStart w:id="311" w:name="_Toc178602324"/>
      <w:bookmarkStart w:id="312" w:name="_Toc218784222"/>
      <w:bookmarkStart w:id="313" w:name="_Toc223424997"/>
      <w:bookmarkStart w:id="314" w:name="_Toc225783996"/>
      <w:bookmarkStart w:id="315" w:name="_Toc204448421"/>
      <w:r>
        <w:rPr>
          <w:rFonts w:ascii="Times New Roman" w:hAnsi="Times New Roman" w:eastAsia="新宋体" w:cs="Times New Roman"/>
          <w:b/>
          <w:bCs/>
          <w:color w:val="auto"/>
          <w:szCs w:val="24"/>
          <w:lang w:eastAsia="zh-CN"/>
        </w:rPr>
        <w:t>2.5.1 产业政策相符性分析</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14:paraId="19FD3E64">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1、《产业结构调整指导目录（2024年本）》分析</w:t>
      </w:r>
    </w:p>
    <w:p w14:paraId="234F39A1">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对照《产业结构调整指导目录（2024年本）》，本项目不属于目录中的淘汰类和限制类，可视为允许建设项目。</w:t>
      </w:r>
    </w:p>
    <w:p w14:paraId="31628AEA">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因此，项目符合国家产业政策要求。</w:t>
      </w:r>
    </w:p>
    <w:p w14:paraId="2C77FA0B">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2、《安徽省“两高”项目管理目录（试行）》分析</w:t>
      </w:r>
    </w:p>
    <w:p w14:paraId="11C032F8">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根据《关于印发安徽省“两高”项目管理目录（试行）的通知》，本项目产品不属于《安徽省“两高”项目管理目录（试行）》内容。</w:t>
      </w:r>
    </w:p>
    <w:p w14:paraId="157005B3">
      <w:pPr>
        <w:widowControl w:val="0"/>
        <w:spacing w:line="360" w:lineRule="auto"/>
        <w:ind w:firstLine="482"/>
        <w:jc w:val="both"/>
        <w:outlineLvl w:val="2"/>
        <w:rPr>
          <w:rFonts w:ascii="Times New Roman" w:hAnsi="Times New Roman" w:eastAsia="新宋体" w:cs="Times New Roman"/>
          <w:b/>
          <w:bCs/>
          <w:color w:val="auto"/>
          <w:szCs w:val="24"/>
          <w:lang w:eastAsia="zh-CN"/>
        </w:rPr>
      </w:pPr>
      <w:bookmarkStart w:id="316" w:name="_Toc204515157"/>
      <w:bookmarkStart w:id="317" w:name="_Toc204448422"/>
      <w:bookmarkStart w:id="318" w:name="_Toc178602325"/>
      <w:bookmarkStart w:id="319" w:name="_Toc218784223"/>
      <w:bookmarkStart w:id="320" w:name="_Toc236641785"/>
      <w:bookmarkStart w:id="321" w:name="_Toc176512985"/>
      <w:bookmarkStart w:id="322" w:name="_Toc223424998"/>
      <w:bookmarkStart w:id="323" w:name="_Toc236641268"/>
      <w:bookmarkStart w:id="324" w:name="_Toc231828537"/>
      <w:bookmarkStart w:id="325" w:name="_Toc203926957"/>
      <w:bookmarkStart w:id="326" w:name="_Toc225783997"/>
      <w:bookmarkStart w:id="327" w:name="_Toc224674636"/>
      <w:bookmarkStart w:id="328" w:name="_Toc217662613"/>
      <w:bookmarkStart w:id="329" w:name="_Toc237508251"/>
      <w:bookmarkStart w:id="330" w:name="_Toc221900780"/>
      <w:r>
        <w:rPr>
          <w:rFonts w:ascii="Times New Roman" w:hAnsi="Times New Roman" w:eastAsia="新宋体" w:cs="Times New Roman"/>
          <w:b/>
          <w:bCs/>
          <w:color w:val="auto"/>
          <w:szCs w:val="24"/>
          <w:lang w:eastAsia="zh-CN"/>
        </w:rPr>
        <w:t>2.5.2 选址合理性分析</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14:paraId="1B6EF13E">
      <w:pPr>
        <w:widowControl w:val="0"/>
        <w:topLinePunct/>
        <w:spacing w:line="360" w:lineRule="auto"/>
        <w:ind w:firstLine="480" w:firstLineChars="200"/>
        <w:jc w:val="both"/>
        <w:rPr>
          <w:rFonts w:ascii="Times New Roman" w:hAnsi="Times New Roman" w:cs="Times New Roman"/>
          <w:color w:val="auto"/>
          <w:lang w:eastAsia="zh-CN"/>
        </w:rPr>
      </w:pPr>
      <w:r>
        <w:rPr>
          <w:rFonts w:ascii="Times New Roman" w:hAnsi="Times New Roman" w:eastAsia="新宋体" w:cs="Times New Roman"/>
          <w:color w:val="auto"/>
          <w:szCs w:val="24"/>
          <w:lang w:eastAsia="zh-CN"/>
        </w:rPr>
        <w:t>对照《蚌埠精细化工高新技术产业基地规划（2021</w:t>
      </w:r>
      <w:r>
        <w:rPr>
          <w:rFonts w:ascii="Times New Roman" w:hAnsi="Times New Roman" w:cs="Times New Roman"/>
          <w:color w:val="auto"/>
          <w:szCs w:val="24"/>
          <w:lang w:eastAsia="zh-CN"/>
        </w:rPr>
        <w:t>～</w:t>
      </w:r>
      <w:r>
        <w:rPr>
          <w:rFonts w:ascii="Times New Roman" w:hAnsi="Times New Roman" w:eastAsia="新宋体" w:cs="Times New Roman"/>
          <w:color w:val="auto"/>
          <w:szCs w:val="24"/>
          <w:lang w:eastAsia="zh-CN"/>
        </w:rPr>
        <w:t>2035）环境影响报告书》及其审查意见等，园区主导产业为精细化工、医药化工和生物基新材料。本项目产品为</w:t>
      </w:r>
      <w:r>
        <w:rPr>
          <w:rFonts w:hint="eastAsia" w:ascii="Times New Roman" w:hAnsi="Times New Roman" w:eastAsia="新宋体" w:cs="Times New Roman"/>
          <w:color w:val="auto"/>
          <w:szCs w:val="24"/>
          <w:lang w:eastAsia="zh-CN"/>
        </w:rPr>
        <w:t>化学纯氢氟酸、刻蚀液，行业类别为</w:t>
      </w:r>
      <w:r>
        <w:rPr>
          <w:rFonts w:hint="eastAsia" w:ascii="Times New Roman" w:hAnsi="Times New Roman" w:cs="Times New Roman"/>
          <w:color w:val="auto"/>
          <w:lang w:eastAsia="zh-CN"/>
        </w:rPr>
        <w:t>C2669其他专用化学产品制造、C3985电子专用材料制造</w:t>
      </w:r>
      <w:r>
        <w:rPr>
          <w:rFonts w:ascii="Times New Roman" w:hAnsi="Times New Roman" w:eastAsia="新宋体" w:cs="Times New Roman"/>
          <w:color w:val="auto"/>
          <w:szCs w:val="24"/>
          <w:lang w:eastAsia="zh-CN"/>
        </w:rPr>
        <w:t>，属于精细化工行业</w:t>
      </w:r>
      <w:r>
        <w:rPr>
          <w:rFonts w:hint="eastAsia" w:ascii="Times New Roman" w:hAnsi="Times New Roman" w:eastAsia="新宋体" w:cs="Times New Roman"/>
          <w:color w:val="auto"/>
          <w:szCs w:val="24"/>
          <w:lang w:eastAsia="zh-CN"/>
        </w:rPr>
        <w:t>以及电子化学行业</w:t>
      </w:r>
      <w:r>
        <w:rPr>
          <w:rFonts w:ascii="Times New Roman" w:hAnsi="Times New Roman" w:eastAsia="新宋体" w:cs="Times New Roman"/>
          <w:color w:val="auto"/>
          <w:szCs w:val="24"/>
          <w:lang w:eastAsia="zh-CN"/>
        </w:rPr>
        <w:t>，符合蚌埠精细化工高新技术产业基地的主导产业定位。本项目位于安徽省蚌埠市淮上区沫河口工业园</w:t>
      </w:r>
      <w:r>
        <w:rPr>
          <w:rFonts w:hint="eastAsia" w:ascii="Times New Roman" w:hAnsi="Times New Roman" w:eastAsia="新宋体" w:cs="Times New Roman"/>
          <w:color w:val="auto"/>
          <w:szCs w:val="24"/>
          <w:lang w:eastAsia="zh-CN"/>
        </w:rPr>
        <w:t>淝河北路599号</w:t>
      </w:r>
      <w:r>
        <w:rPr>
          <w:rFonts w:ascii="Times New Roman" w:hAnsi="Times New Roman" w:eastAsia="新宋体" w:cs="Times New Roman"/>
          <w:color w:val="auto"/>
          <w:szCs w:val="24"/>
          <w:lang w:eastAsia="zh-CN"/>
        </w:rPr>
        <w:t>，为三类工业用地，符合园区用地规划</w:t>
      </w:r>
      <w:r>
        <w:rPr>
          <w:rFonts w:ascii="Times New Roman" w:hAnsi="Times New Roman" w:cs="Times New Roman"/>
          <w:color w:val="auto"/>
          <w:lang w:eastAsia="zh-CN"/>
        </w:rPr>
        <w:t>。</w:t>
      </w:r>
    </w:p>
    <w:p w14:paraId="09184097">
      <w:pPr>
        <w:widowControl w:val="0"/>
        <w:topLinePunct/>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对照</w:t>
      </w:r>
      <w:r>
        <w:rPr>
          <w:rFonts w:ascii="Times New Roman" w:hAnsi="Times New Roman" w:eastAsia="新宋体" w:cs="Times New Roman"/>
          <w:color w:val="auto"/>
          <w:szCs w:val="24"/>
          <w:lang w:eastAsia="zh-CN"/>
        </w:rPr>
        <w:t>《</w:t>
      </w:r>
      <w:r>
        <w:rPr>
          <w:rFonts w:hint="eastAsia" w:ascii="Times New Roman" w:hAnsi="Times New Roman" w:eastAsia="新宋体" w:cs="Times New Roman"/>
          <w:color w:val="auto"/>
          <w:szCs w:val="24"/>
          <w:lang w:eastAsia="zh-CN"/>
        </w:rPr>
        <w:t>蚌埠市国土空间总体规划</w:t>
      </w:r>
      <w:r>
        <w:rPr>
          <w:rFonts w:ascii="Times New Roman" w:hAnsi="Times New Roman" w:eastAsia="新宋体" w:cs="Times New Roman"/>
          <w:color w:val="auto"/>
          <w:szCs w:val="24"/>
          <w:lang w:eastAsia="zh-CN"/>
        </w:rPr>
        <w:t>（202</w:t>
      </w:r>
      <w:r>
        <w:rPr>
          <w:rFonts w:hint="eastAsia" w:ascii="Times New Roman" w:hAnsi="Times New Roman" w:eastAsia="新宋体" w:cs="Times New Roman"/>
          <w:color w:val="auto"/>
          <w:szCs w:val="24"/>
          <w:lang w:eastAsia="zh-CN"/>
        </w:rPr>
        <w:t>1</w:t>
      </w:r>
      <w:r>
        <w:rPr>
          <w:rFonts w:ascii="Times New Roman" w:hAnsi="Times New Roman" w:eastAsia="新宋体" w:cs="Times New Roman"/>
          <w:color w:val="auto"/>
          <w:szCs w:val="24"/>
          <w:lang w:eastAsia="zh-CN"/>
        </w:rPr>
        <w:t>～2035）》</w:t>
      </w:r>
      <w:r>
        <w:rPr>
          <w:rFonts w:hint="eastAsia" w:ascii="Times New Roman" w:hAnsi="Times New Roman" w:eastAsia="新宋体" w:cs="Times New Roman"/>
          <w:color w:val="auto"/>
          <w:szCs w:val="24"/>
          <w:lang w:eastAsia="zh-CN"/>
        </w:rPr>
        <w:t>，本项目位于城镇开发边界内。</w:t>
      </w:r>
    </w:p>
    <w:p w14:paraId="0A299C63">
      <w:pPr>
        <w:widowControl w:val="0"/>
        <w:topLinePunct/>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故项目选址合理。</w:t>
      </w:r>
    </w:p>
    <w:p w14:paraId="796132AA">
      <w:pPr>
        <w:spacing w:line="360" w:lineRule="auto"/>
        <w:ind w:firstLine="482"/>
        <w:jc w:val="both"/>
        <w:outlineLvl w:val="2"/>
        <w:rPr>
          <w:rFonts w:ascii="Times New Roman" w:hAnsi="Times New Roman" w:eastAsia="新宋体" w:cs="Times New Roman"/>
          <w:b/>
          <w:bCs/>
          <w:color w:val="auto"/>
          <w:szCs w:val="24"/>
          <w:lang w:eastAsia="zh-CN"/>
        </w:rPr>
      </w:pPr>
      <w:bookmarkStart w:id="331" w:name="_Toc218784224"/>
      <w:bookmarkStart w:id="332" w:name="_Toc173743360"/>
      <w:bookmarkStart w:id="333" w:name="_Toc204448423"/>
      <w:bookmarkStart w:id="334" w:name="_Toc224674637"/>
      <w:bookmarkStart w:id="335" w:name="_Toc231828538"/>
      <w:bookmarkStart w:id="336" w:name="_Toc178602326"/>
      <w:bookmarkStart w:id="337" w:name="_Toc225783998"/>
      <w:bookmarkStart w:id="338" w:name="_Toc172555629"/>
      <w:bookmarkStart w:id="339" w:name="_Toc204515158"/>
      <w:bookmarkStart w:id="340" w:name="_Toc236641786"/>
      <w:bookmarkStart w:id="341" w:name="_Toc175164250"/>
      <w:bookmarkStart w:id="342" w:name="_Toc221900781"/>
      <w:bookmarkStart w:id="343" w:name="_Toc236641269"/>
      <w:bookmarkStart w:id="344" w:name="_Toc203926958"/>
      <w:bookmarkStart w:id="345" w:name="_Toc176512986"/>
      <w:bookmarkStart w:id="346" w:name="_Toc237508252"/>
      <w:bookmarkStart w:id="347" w:name="_Toc173740256"/>
      <w:bookmarkStart w:id="348" w:name="_Toc223424999"/>
      <w:bookmarkStart w:id="349" w:name="_Toc217662614"/>
      <w:r>
        <w:rPr>
          <w:rFonts w:ascii="Times New Roman" w:hAnsi="Times New Roman" w:eastAsia="新宋体" w:cs="Times New Roman"/>
          <w:b/>
          <w:bCs/>
          <w:color w:val="auto"/>
          <w:szCs w:val="24"/>
          <w:lang w:eastAsia="zh-CN"/>
        </w:rPr>
        <w:t>2.5.3 规划相符性分析</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14:paraId="77C5D5B2">
      <w:pPr>
        <w:spacing w:line="360" w:lineRule="auto"/>
        <w:ind w:firstLine="482"/>
        <w:jc w:val="both"/>
        <w:outlineLvl w:val="3"/>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2.5.3.1 与蚌埠</w:t>
      </w:r>
      <w:r>
        <w:rPr>
          <w:rFonts w:hint="eastAsia" w:ascii="Times New Roman" w:hAnsi="Times New Roman" w:eastAsia="新宋体" w:cs="Times New Roman"/>
          <w:b/>
          <w:bCs/>
          <w:color w:val="auto"/>
          <w:szCs w:val="24"/>
          <w:lang w:eastAsia="zh-CN"/>
        </w:rPr>
        <w:t>市国土空间总体规划</w:t>
      </w:r>
      <w:r>
        <w:rPr>
          <w:rFonts w:ascii="Times New Roman" w:hAnsi="Times New Roman" w:eastAsia="新宋体" w:cs="Times New Roman"/>
          <w:b/>
          <w:bCs/>
          <w:color w:val="auto"/>
          <w:szCs w:val="24"/>
          <w:lang w:eastAsia="zh-CN"/>
        </w:rPr>
        <w:t>（2021～2035）相符性</w:t>
      </w:r>
    </w:p>
    <w:p w14:paraId="203E9732">
      <w:pPr>
        <w:widowControl w:val="0"/>
        <w:topLinePunct/>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w:t>
      </w:r>
      <w:r>
        <w:rPr>
          <w:rFonts w:hint="eastAsia" w:ascii="Times New Roman" w:hAnsi="Times New Roman" w:eastAsia="新宋体" w:cs="Times New Roman"/>
          <w:color w:val="auto"/>
          <w:szCs w:val="24"/>
          <w:lang w:eastAsia="zh-CN"/>
        </w:rPr>
        <w:t>蚌埠市国土空间总体规划</w:t>
      </w:r>
      <w:r>
        <w:rPr>
          <w:rFonts w:ascii="Times New Roman" w:hAnsi="Times New Roman" w:eastAsia="新宋体" w:cs="Times New Roman"/>
          <w:color w:val="auto"/>
          <w:szCs w:val="24"/>
          <w:lang w:eastAsia="zh-CN"/>
        </w:rPr>
        <w:t>（202</w:t>
      </w:r>
      <w:r>
        <w:rPr>
          <w:rFonts w:hint="eastAsia" w:ascii="Times New Roman" w:hAnsi="Times New Roman" w:eastAsia="新宋体" w:cs="Times New Roman"/>
          <w:color w:val="auto"/>
          <w:szCs w:val="24"/>
          <w:lang w:eastAsia="zh-CN"/>
        </w:rPr>
        <w:t>1</w:t>
      </w:r>
      <w:r>
        <w:rPr>
          <w:rFonts w:ascii="Times New Roman" w:hAnsi="Times New Roman" w:eastAsia="新宋体" w:cs="Times New Roman"/>
          <w:color w:val="auto"/>
          <w:szCs w:val="24"/>
          <w:lang w:eastAsia="zh-CN"/>
        </w:rPr>
        <w:t>～2035）》</w:t>
      </w:r>
      <w:r>
        <w:rPr>
          <w:rFonts w:hint="eastAsia" w:ascii="Times New Roman" w:hAnsi="Times New Roman" w:eastAsia="新宋体" w:cs="Times New Roman"/>
          <w:color w:val="auto"/>
          <w:szCs w:val="24"/>
          <w:lang w:eastAsia="zh-CN"/>
        </w:rPr>
        <w:t>于2024年3月2日经安徽省人民政府审查后予以批复，批复文号（皖政秘[2024]44号）。根据</w:t>
      </w:r>
      <w:r>
        <w:rPr>
          <w:rFonts w:ascii="Times New Roman" w:hAnsi="Times New Roman" w:eastAsia="新宋体" w:cs="Times New Roman"/>
          <w:color w:val="auto"/>
          <w:szCs w:val="24"/>
          <w:lang w:eastAsia="zh-CN"/>
        </w:rPr>
        <w:t>《</w:t>
      </w:r>
      <w:r>
        <w:rPr>
          <w:rFonts w:hint="eastAsia" w:ascii="Times New Roman" w:hAnsi="Times New Roman" w:eastAsia="新宋体" w:cs="Times New Roman"/>
          <w:color w:val="auto"/>
          <w:szCs w:val="24"/>
          <w:lang w:eastAsia="zh-CN"/>
        </w:rPr>
        <w:t>蚌埠市国土空间总体规划</w:t>
      </w:r>
      <w:r>
        <w:rPr>
          <w:rFonts w:ascii="Times New Roman" w:hAnsi="Times New Roman" w:eastAsia="新宋体" w:cs="Times New Roman"/>
          <w:color w:val="auto"/>
          <w:szCs w:val="24"/>
          <w:lang w:eastAsia="zh-CN"/>
        </w:rPr>
        <w:t>（202</w:t>
      </w:r>
      <w:r>
        <w:rPr>
          <w:rFonts w:hint="eastAsia" w:ascii="Times New Roman" w:hAnsi="Times New Roman" w:eastAsia="新宋体" w:cs="Times New Roman"/>
          <w:color w:val="auto"/>
          <w:szCs w:val="24"/>
          <w:lang w:eastAsia="zh-CN"/>
        </w:rPr>
        <w:t>1</w:t>
      </w:r>
      <w:r>
        <w:rPr>
          <w:rFonts w:ascii="Times New Roman" w:hAnsi="Times New Roman" w:eastAsia="新宋体" w:cs="Times New Roman"/>
          <w:color w:val="auto"/>
          <w:szCs w:val="24"/>
          <w:lang w:eastAsia="zh-CN"/>
        </w:rPr>
        <w:t>～2035）》</w:t>
      </w:r>
      <w:r>
        <w:rPr>
          <w:rFonts w:hint="eastAsia" w:ascii="Times New Roman" w:hAnsi="Times New Roman" w:eastAsia="新宋体" w:cs="Times New Roman"/>
          <w:color w:val="auto"/>
          <w:szCs w:val="24"/>
          <w:lang w:eastAsia="zh-CN"/>
        </w:rPr>
        <w:t>，蚌埠市所辖的市辖区和三县范围，总面积5950.75平方千米。规划中心城区北至宁洛高速、西至京台高速，东、南至市域行政边界，总面积415.78平方千米。</w:t>
      </w:r>
    </w:p>
    <w:p w14:paraId="10E74E33">
      <w:pPr>
        <w:widowControl w:val="0"/>
        <w:topLinePunct/>
        <w:spacing w:line="360" w:lineRule="auto"/>
        <w:ind w:firstLine="480" w:firstLineChars="200"/>
        <w:jc w:val="both"/>
        <w:rPr>
          <w:rFonts w:ascii="Times New Roman" w:hAnsi="Times New Roman" w:eastAsia="新宋体" w:cs="Times New Roman"/>
          <w:color w:val="auto"/>
          <w:szCs w:val="24"/>
          <w:lang w:eastAsia="zh-CN"/>
        </w:rPr>
      </w:pPr>
      <w:r>
        <w:rPr>
          <w:rFonts w:hint="eastAsia" w:ascii="Times New Roman" w:hAnsi="Times New Roman" w:eastAsia="新宋体" w:cs="Times New Roman"/>
          <w:color w:val="auto"/>
          <w:szCs w:val="24"/>
          <w:lang w:eastAsia="zh-CN"/>
        </w:rPr>
        <w:t>本项目位于</w:t>
      </w:r>
      <w:r>
        <w:rPr>
          <w:rFonts w:ascii="Times New Roman" w:hAnsi="Times New Roman" w:eastAsia="新宋体" w:cs="Times New Roman"/>
          <w:color w:val="auto"/>
          <w:szCs w:val="24"/>
          <w:lang w:eastAsia="zh-CN"/>
        </w:rPr>
        <w:t>安徽省蚌埠市淮上区沫河口工业园</w:t>
      </w:r>
      <w:r>
        <w:rPr>
          <w:rFonts w:hint="eastAsia" w:ascii="Times New Roman" w:hAnsi="Times New Roman" w:eastAsia="新宋体" w:cs="Times New Roman"/>
          <w:color w:val="auto"/>
          <w:szCs w:val="24"/>
          <w:lang w:eastAsia="zh-CN"/>
        </w:rPr>
        <w:t>，根据</w:t>
      </w:r>
      <w:r>
        <w:rPr>
          <w:rFonts w:ascii="Times New Roman" w:hAnsi="Times New Roman" w:eastAsia="新宋体" w:cs="Times New Roman"/>
          <w:color w:val="auto"/>
          <w:szCs w:val="24"/>
          <w:lang w:eastAsia="zh-CN"/>
        </w:rPr>
        <w:t>《</w:t>
      </w:r>
      <w:r>
        <w:rPr>
          <w:rFonts w:hint="eastAsia" w:ascii="Times New Roman" w:hAnsi="Times New Roman" w:eastAsia="新宋体" w:cs="Times New Roman"/>
          <w:color w:val="auto"/>
          <w:szCs w:val="24"/>
          <w:lang w:eastAsia="zh-CN"/>
        </w:rPr>
        <w:t>蚌埠市国土空间总体规划</w:t>
      </w:r>
      <w:r>
        <w:rPr>
          <w:rFonts w:ascii="Times New Roman" w:hAnsi="Times New Roman" w:eastAsia="新宋体" w:cs="Times New Roman"/>
          <w:color w:val="auto"/>
          <w:szCs w:val="24"/>
          <w:lang w:eastAsia="zh-CN"/>
        </w:rPr>
        <w:t>（202</w:t>
      </w:r>
      <w:r>
        <w:rPr>
          <w:rFonts w:hint="eastAsia" w:ascii="Times New Roman" w:hAnsi="Times New Roman" w:eastAsia="新宋体" w:cs="Times New Roman"/>
          <w:color w:val="auto"/>
          <w:szCs w:val="24"/>
          <w:lang w:eastAsia="zh-CN"/>
        </w:rPr>
        <w:t>1</w:t>
      </w:r>
      <w:r>
        <w:rPr>
          <w:rFonts w:ascii="Times New Roman" w:hAnsi="Times New Roman" w:eastAsia="新宋体" w:cs="Times New Roman"/>
          <w:color w:val="auto"/>
          <w:szCs w:val="24"/>
          <w:lang w:eastAsia="zh-CN"/>
        </w:rPr>
        <w:t>～2035）》</w:t>
      </w:r>
      <w:r>
        <w:rPr>
          <w:rFonts w:hint="eastAsia" w:ascii="Times New Roman" w:hAnsi="Times New Roman" w:eastAsia="新宋体" w:cs="Times New Roman"/>
          <w:color w:val="auto"/>
          <w:szCs w:val="24"/>
          <w:lang w:eastAsia="zh-CN"/>
        </w:rPr>
        <w:t>中国土空间控制线规划图，项目位于城镇开发边界范围内，符合</w:t>
      </w:r>
      <w:r>
        <w:rPr>
          <w:rFonts w:ascii="Times New Roman" w:hAnsi="Times New Roman" w:eastAsia="新宋体" w:cs="Times New Roman"/>
          <w:color w:val="auto"/>
          <w:szCs w:val="24"/>
          <w:lang w:eastAsia="zh-CN"/>
        </w:rPr>
        <w:t>《</w:t>
      </w:r>
      <w:r>
        <w:rPr>
          <w:rFonts w:hint="eastAsia" w:ascii="Times New Roman" w:hAnsi="Times New Roman" w:eastAsia="新宋体" w:cs="Times New Roman"/>
          <w:color w:val="auto"/>
          <w:szCs w:val="24"/>
          <w:lang w:eastAsia="zh-CN"/>
        </w:rPr>
        <w:t>蚌埠市国土空间总体规划</w:t>
      </w:r>
      <w:r>
        <w:rPr>
          <w:rFonts w:ascii="Times New Roman" w:hAnsi="Times New Roman" w:eastAsia="新宋体" w:cs="Times New Roman"/>
          <w:color w:val="auto"/>
          <w:szCs w:val="24"/>
          <w:lang w:eastAsia="zh-CN"/>
        </w:rPr>
        <w:t>（202</w:t>
      </w:r>
      <w:r>
        <w:rPr>
          <w:rFonts w:hint="eastAsia" w:ascii="Times New Roman" w:hAnsi="Times New Roman" w:eastAsia="新宋体" w:cs="Times New Roman"/>
          <w:color w:val="auto"/>
          <w:szCs w:val="24"/>
          <w:lang w:eastAsia="zh-CN"/>
        </w:rPr>
        <w:t>1</w:t>
      </w:r>
      <w:r>
        <w:rPr>
          <w:rFonts w:ascii="Times New Roman" w:hAnsi="Times New Roman" w:eastAsia="新宋体" w:cs="Times New Roman"/>
          <w:color w:val="auto"/>
          <w:szCs w:val="24"/>
          <w:lang w:eastAsia="zh-CN"/>
        </w:rPr>
        <w:t>～2035）》</w:t>
      </w:r>
      <w:r>
        <w:rPr>
          <w:rFonts w:hint="eastAsia" w:ascii="Times New Roman" w:hAnsi="Times New Roman" w:eastAsia="新宋体" w:cs="Times New Roman"/>
          <w:color w:val="auto"/>
          <w:szCs w:val="24"/>
          <w:lang w:eastAsia="zh-CN"/>
        </w:rPr>
        <w:t>要求。</w:t>
      </w:r>
    </w:p>
    <w:p w14:paraId="571AB9B9">
      <w:pPr>
        <w:spacing w:line="360" w:lineRule="auto"/>
        <w:ind w:firstLine="482"/>
        <w:jc w:val="both"/>
        <w:outlineLvl w:val="3"/>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2.5.3.</w:t>
      </w:r>
      <w:r>
        <w:rPr>
          <w:rFonts w:hint="eastAsia" w:ascii="Times New Roman" w:hAnsi="Times New Roman" w:eastAsia="新宋体" w:cs="Times New Roman"/>
          <w:b/>
          <w:bCs/>
          <w:color w:val="auto"/>
          <w:szCs w:val="24"/>
          <w:lang w:eastAsia="zh-CN"/>
        </w:rPr>
        <w:t>2</w:t>
      </w:r>
      <w:r>
        <w:rPr>
          <w:rFonts w:ascii="Times New Roman" w:hAnsi="Times New Roman" w:eastAsia="新宋体" w:cs="Times New Roman"/>
          <w:b/>
          <w:bCs/>
          <w:color w:val="auto"/>
          <w:szCs w:val="24"/>
          <w:lang w:eastAsia="zh-CN"/>
        </w:rPr>
        <w:t xml:space="preserve"> 与蚌埠精细化工高新技术产业基地规划（2021～2035）相符性</w:t>
      </w:r>
    </w:p>
    <w:p w14:paraId="0BBDA1B8">
      <w:pPr>
        <w:widowControl w:val="0"/>
        <w:topLinePunct/>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本项目位于蚌埠精细化工高新技术产业基地，2021年7月，安徽蚌埠淮上经济开发区管委会委托安徽富煌建筑设计院有限公司编制《蚌埠精细化工高新技术产业基地规划（2021～2035）》，规划主导产业为精细化工、医药化工和生物基新材料，规范用地面积为8.6平方公里，四至范围为：东至金滨路，南至南环路，西至引河东路，北至现状五蚌路。</w:t>
      </w:r>
    </w:p>
    <w:p w14:paraId="04F1D72E">
      <w:pPr>
        <w:widowControl w:val="0"/>
        <w:topLinePunct/>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（1）规划主导产业符合性</w:t>
      </w:r>
    </w:p>
    <w:p w14:paraId="4CD8B030">
      <w:pPr>
        <w:widowControl w:val="0"/>
        <w:topLinePunct/>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蚌埠精细化工高新技术产业基地的总体发展目标为建设省级精细化工、化学原料药、生物基新材料生产基地，并争取列为国家级生产基地；发展定位为以产业升级和科技创新为导向，以产城融合为路径，以精细化工产业、生物产业、新材料产业系列产品的科技研发制造为特色的创新型工业示范开发区。蚌埠精细化工高新技术产业基地未来大力发展的主导产业为精细化工、医药化工、生物基新材料。</w:t>
      </w:r>
    </w:p>
    <w:p w14:paraId="2FEC0F49">
      <w:pPr>
        <w:widowControl w:val="0"/>
        <w:topLinePunct/>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本项目产品为</w:t>
      </w:r>
      <w:r>
        <w:rPr>
          <w:rFonts w:hint="eastAsia" w:ascii="Times New Roman" w:hAnsi="Times New Roman" w:eastAsia="新宋体" w:cs="Times New Roman"/>
          <w:color w:val="auto"/>
          <w:szCs w:val="24"/>
          <w:lang w:eastAsia="zh-CN"/>
        </w:rPr>
        <w:t>化学纯氢氟酸、刻蚀液，行业类别为</w:t>
      </w:r>
      <w:r>
        <w:rPr>
          <w:rFonts w:hint="eastAsia" w:ascii="Times New Roman" w:hAnsi="Times New Roman" w:cs="Times New Roman"/>
          <w:color w:val="auto"/>
          <w:lang w:eastAsia="zh-CN"/>
        </w:rPr>
        <w:t>C2669其他专用化学产品制造、C3985电子专用材料制造</w:t>
      </w:r>
      <w:r>
        <w:rPr>
          <w:rFonts w:ascii="Times New Roman" w:hAnsi="Times New Roman" w:eastAsia="新宋体" w:cs="Times New Roman"/>
          <w:color w:val="auto"/>
          <w:szCs w:val="24"/>
          <w:lang w:eastAsia="zh-CN"/>
        </w:rPr>
        <w:t>，属于精细化工行业</w:t>
      </w:r>
      <w:r>
        <w:rPr>
          <w:rFonts w:hint="eastAsia" w:ascii="Times New Roman" w:hAnsi="Times New Roman" w:eastAsia="新宋体" w:cs="Times New Roman"/>
          <w:color w:val="auto"/>
          <w:szCs w:val="24"/>
          <w:lang w:eastAsia="zh-CN"/>
        </w:rPr>
        <w:t>以及电子化学行业</w:t>
      </w:r>
      <w:r>
        <w:rPr>
          <w:rFonts w:ascii="Times New Roman" w:hAnsi="Times New Roman" w:eastAsia="新宋体" w:cs="Times New Roman"/>
          <w:color w:val="auto"/>
          <w:szCs w:val="24"/>
          <w:lang w:eastAsia="zh-CN"/>
        </w:rPr>
        <w:t>，是蚌埠精细化工高新技术产业基地主导产业，因此本项目符合园区产业规划要求。</w:t>
      </w:r>
    </w:p>
    <w:p w14:paraId="0E1321F0">
      <w:pPr>
        <w:topLinePunct/>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（2）规划用地符合性</w:t>
      </w:r>
    </w:p>
    <w:p w14:paraId="1C4E3FED">
      <w:pPr>
        <w:topLinePunct/>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本项目选址位于</w:t>
      </w:r>
      <w:r>
        <w:rPr>
          <w:rFonts w:ascii="Times New Roman" w:hAnsi="Times New Roman" w:eastAsia="新宋体" w:cs="Times New Roman"/>
          <w:color w:val="auto"/>
          <w:szCs w:val="24"/>
          <w:lang w:eastAsia="zh-CN"/>
        </w:rPr>
        <w:t>安徽省蚌埠市淮上区沫河口工业园</w:t>
      </w:r>
      <w:r>
        <w:rPr>
          <w:rFonts w:hint="eastAsia" w:ascii="Times New Roman" w:hAnsi="Times New Roman" w:eastAsia="新宋体" w:cs="Times New Roman"/>
          <w:color w:val="auto"/>
          <w:szCs w:val="24"/>
          <w:lang w:eastAsia="zh-CN"/>
        </w:rPr>
        <w:t>淝河北路599号</w:t>
      </w:r>
      <w:r>
        <w:rPr>
          <w:rFonts w:ascii="Times New Roman" w:hAnsi="Times New Roman" w:cs="Times New Roman"/>
          <w:color w:val="auto"/>
          <w:szCs w:val="24"/>
          <w:lang w:eastAsia="zh-CN"/>
        </w:rPr>
        <w:t>，项目用地性质为三类工业用地，项目选址符合蚌埠精细化工高新技术产业基地用地规划，具体详见图2.5-</w:t>
      </w:r>
      <w:r>
        <w:rPr>
          <w:rFonts w:hint="eastAsia" w:ascii="Times New Roman" w:hAnsi="Times New Roman" w:cs="Times New Roman"/>
          <w:color w:val="auto"/>
          <w:szCs w:val="24"/>
          <w:lang w:eastAsia="zh-CN"/>
        </w:rPr>
        <w:t>2</w:t>
      </w:r>
      <w:r>
        <w:rPr>
          <w:rFonts w:ascii="Times New Roman" w:hAnsi="Times New Roman" w:cs="Times New Roman"/>
          <w:color w:val="auto"/>
          <w:szCs w:val="24"/>
          <w:lang w:eastAsia="zh-CN"/>
        </w:rPr>
        <w:t>。</w:t>
      </w:r>
    </w:p>
    <w:p w14:paraId="02354221">
      <w:pPr>
        <w:topLinePunct/>
        <w:spacing w:line="360" w:lineRule="auto"/>
        <w:ind w:firstLine="480" w:firstLineChars="200"/>
        <w:jc w:val="both"/>
        <w:rPr>
          <w:rFonts w:ascii="Times New Roman" w:hAnsi="Times New Roman" w:cs="Times New Roman"/>
          <w:color w:val="auto"/>
          <w:szCs w:val="24"/>
          <w:lang w:eastAsia="zh-CN"/>
        </w:rPr>
        <w:sectPr>
          <w:pgSz w:w="11906" w:h="16838"/>
          <w:pgMar w:top="1440" w:right="1080" w:bottom="1440" w:left="1080" w:header="851" w:footer="992" w:gutter="0"/>
          <w:cols w:space="720" w:num="1"/>
          <w:docGrid w:type="lines" w:linePitch="312" w:charSpace="0"/>
        </w:sectPr>
      </w:pPr>
    </w:p>
    <w:p w14:paraId="5036A42F">
      <w:pPr>
        <w:topLinePunct/>
        <w:spacing w:line="360" w:lineRule="auto"/>
        <w:jc w:val="center"/>
        <w:rPr>
          <w:rFonts w:ascii="Times New Roman" w:hAnsi="Times New Roman" w:cs="Times New Roman"/>
          <w:color w:val="auto"/>
          <w:lang w:eastAsia="zh-CN"/>
        </w:rPr>
      </w:pPr>
      <w:r>
        <w:rPr>
          <w:rFonts w:ascii="Times New Roman" w:hAnsi="Times New Roman" w:cs="Times New Roman"/>
          <w:b/>
          <w:bCs/>
          <w:snapToGrid/>
          <w:color w:val="FF0000"/>
          <w:lang w:eastAsia="zh-CN"/>
        </w:rPr>
        <mc:AlternateContent>
          <mc:Choice Requires="wps">
            <w:drawing>
              <wp:anchor distT="0" distB="0" distL="114300" distR="114300" simplePos="0" relativeHeight="251898880" behindDoc="0" locked="0" layoutInCell="1" allowOverlap="1">
                <wp:simplePos x="0" y="0"/>
                <wp:positionH relativeFrom="column">
                  <wp:posOffset>3187700</wp:posOffset>
                </wp:positionH>
                <wp:positionV relativeFrom="paragraph">
                  <wp:posOffset>1405255</wp:posOffset>
                </wp:positionV>
                <wp:extent cx="45720" cy="85090"/>
                <wp:effectExtent l="0" t="0" r="12065" b="10160"/>
                <wp:wrapNone/>
                <wp:docPr id="1964814816" name="矩形 727"/>
                <wp:cNvGraphicFramePr/>
                <a:graphic xmlns:a="http://schemas.openxmlformats.org/drawingml/2006/main">
                  <a:graphicData uri="http://schemas.microsoft.com/office/word/2010/wordprocessingShape">
                    <wps:wsp>
                      <wps:cNvSpPr/>
                      <wps:spPr>
                        <a:xfrm>
                          <a:off x="0" y="0"/>
                          <a:ext cx="45719" cy="85164"/>
                        </a:xfrm>
                        <a:prstGeom prst="rect">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727" o:spid="_x0000_s1026" o:spt="1" style="position:absolute;left:0pt;margin-left:251pt;margin-top:110.65pt;height:6.7pt;width:3.6pt;z-index:251898880;v-text-anchor:middle;mso-width-relative:page;mso-height-relative:page;" fillcolor="#EE0000" filled="t" stroked="t" coordsize="21600,21600" o:gfxdata="UEsDBAoAAAAAAIdO4kAAAAAAAAAAAAAAAAAEAAAAZHJzL1BLAwQUAAAACACHTuJAoLNKcdoAAAAL&#10;AQAADwAAAGRycy9kb3ducmV2LnhtbE2PS0/DMBCE70j8B2uRuFE7DuUR4lQUxBFVpEhc3djEgXid&#10;+tEUfj3mBMfZGc1+U6+OdiQH7cPgUECxYEA0dk4N2At43T5d3AAJUaKSo0Mt4EsHWDWnJ7WslJvx&#10;RR/a2JNcgqGSAkyMU0Vp6Iy2MizcpDF7785bGbP0PVVezrncjpQzdkWtHDB/MHLSD0Z3n22yAtYp&#10;tY/P9+u3fZm8mfn+eztsPoQ4PyvYHZCoj/EvDL/4GR2azLRzCVUgo4Al43lLFMB5UQLJiSW75UB2&#10;+VJeXgNtavp/Q/MDUEsDBBQAAAAIAIdO4kCpaU80hgIAAB0FAAAOAAAAZHJzL2Uyb0RvYy54bWyt&#10;VEtu2zAQ3RfoHQjuG1mGP4kROzDspCgQtAHSomuaoiwC/JWkLaeXKdBdD9HjFL1GHyklcdIusmgQ&#10;yDOa0Ru+NzM8vzhoRfbCB2nNnJYnA0qE4baSZjunnz5evTmlJERmKqasEXN6JwK9WLx+dd66mRja&#10;xqpKeAIQE2atm9MmRjcrisAboVk4sU4YBGvrNYtw/baoPGuBrlUxHAwmRWt95bzlIgS8XXdB2iP6&#10;lwDaupZcrC3faWFih+qFYhGUQiNdoIt82roWPH6o6yAiUXMKpjE/UQT2Jj2LxTmbbT1zjeT9EdhL&#10;jvCMk2bSoOgD1JpFRnZe/gWlJfc22DqecKuLjkhWBCzKwTNtbhvmROYCqYN7ED38P1j+fn/jiaww&#10;CWeT0WmJ/wklhml0/ve3H79+fifT4TTJ1LowQ/atu/G9F2Amzofa6/QLNuSQpb17kFYcIuF4ORpP&#10;yzNKOCKn43IySojF46fOh/hWWE2SMacefctysv11iF3qfUqqFKyS1ZVUKjt+u1kpT/YMPb68HOCv&#10;R3+SpgxpwXI4RZhwhsmtMTEwtQP7YLaUMLXFSvDoc+0nX4fjIuV0uBqXXVLDKtGVLsdHlbv0zPEJ&#10;TmKxZqHpPsmhdFg20zJirZTUEChRuOegDECS9p3aydrY6g5N87ab5uD4lQTsNQvxhnmMLwhiweMH&#10;PGplwdr2FiWN9V//9T7lY6oQpaTFOkCRLzvmBSXqncG8nZWjUdqf7KCZQzj+OLI5jpidXll0o8RV&#10;4ng2U35U92btrf6Me2CZqiLEDEftTvveWcVuTXGTcLFc5jTsjGPx2tw6nsCTbsYud9HWMk/Jozq9&#10;aNia3IN+w9NaHvs56/FWW/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oLNKcdoAAAALAQAADwAA&#10;AAAAAAABACAAAAAiAAAAZHJzL2Rvd25yZXYueG1sUEsBAhQAFAAAAAgAh07iQKlpTzSGAgAAHQUA&#10;AA4AAAAAAAAAAQAgAAAAKQEAAGRycy9lMm9Eb2MueG1sUEsFBgAAAAAGAAYAWQEAACEGAAAAAA==&#10;">
                <v:fill on="t" focussize="0,0"/>
                <v:stroke weight="1pt" color="#172C51 [3204]" miterlimit="8" joinstyle="miter"/>
                <v:imagedata o:title=""/>
                <o:lock v:ext="edit" aspectratio="f"/>
              </v:rect>
            </w:pict>
          </mc:Fallback>
        </mc:AlternateContent>
      </w:r>
      <w:r>
        <w:rPr>
          <w:rFonts w:ascii="Times New Roman" w:hAnsi="Times New Roman" w:cs="Times New Roman"/>
          <w:b/>
          <w:bCs/>
          <w:snapToGrid/>
          <w:color w:val="auto"/>
          <w:lang w:eastAsia="zh-CN"/>
        </w:rPr>
        <mc:AlternateContent>
          <mc:Choice Requires="wps">
            <w:drawing>
              <wp:anchor distT="0" distB="0" distL="114300" distR="114300" simplePos="0" relativeHeight="251886592" behindDoc="0" locked="0" layoutInCell="1" allowOverlap="1">
                <wp:simplePos x="0" y="0"/>
                <wp:positionH relativeFrom="column">
                  <wp:posOffset>3295650</wp:posOffset>
                </wp:positionH>
                <wp:positionV relativeFrom="paragraph">
                  <wp:posOffset>692785</wp:posOffset>
                </wp:positionV>
                <wp:extent cx="1043940" cy="314325"/>
                <wp:effectExtent l="114300" t="0" r="22860" b="523875"/>
                <wp:wrapNone/>
                <wp:docPr id="139548511" name="圆角矩形标注 5"/>
                <wp:cNvGraphicFramePr/>
                <a:graphic xmlns:a="http://schemas.openxmlformats.org/drawingml/2006/main">
                  <a:graphicData uri="http://schemas.microsoft.com/office/word/2010/wordprocessingShape">
                    <wps:wsp>
                      <wps:cNvSpPr>
                        <a:spLocks noChangeArrowheads="1"/>
                      </wps:cNvSpPr>
                      <wps:spPr bwMode="auto">
                        <a:xfrm>
                          <a:off x="0" y="0"/>
                          <a:ext cx="1043940" cy="314325"/>
                        </a:xfrm>
                        <a:prstGeom prst="wedgeRoundRectCallout">
                          <a:avLst>
                            <a:gd name="adj1" fmla="val -57787"/>
                            <a:gd name="adj2" fmla="val 191616"/>
                            <a:gd name="adj3" fmla="val 16667"/>
                          </a:avLst>
                        </a:prstGeom>
                        <a:solidFill>
                          <a:srgbClr val="4874CB"/>
                        </a:solidFill>
                        <a:ln w="12700">
                          <a:solidFill>
                            <a:srgbClr val="2E54A1"/>
                          </a:solidFill>
                          <a:miter lim="800000"/>
                        </a:ln>
                      </wps:spPr>
                      <wps:txbx>
                        <w:txbxContent>
                          <w:p w14:paraId="27DC2055">
                            <w:pPr>
                              <w:jc w:val="center"/>
                              <w:rPr>
                                <w:b/>
                                <w:bCs/>
                                <w:color w:val="FFFFFF"/>
                                <w:lang w:eastAsia="zh-CN"/>
                              </w:rPr>
                            </w:pPr>
                            <w:r>
                              <w:rPr>
                                <w:rFonts w:hint="eastAsia"/>
                                <w:b/>
                                <w:bCs/>
                                <w:color w:val="FFFFFF"/>
                                <w:lang w:eastAsia="zh-CN"/>
                              </w:rPr>
                              <w:t>项目位置</w:t>
                            </w:r>
                          </w:p>
                        </w:txbxContent>
                      </wps:txbx>
                      <wps:bodyPr rot="0" vert="horz" wrap="square" lIns="91440" tIns="45720" rIns="91440" bIns="45720" anchor="ctr" anchorCtr="0" upright="1">
                        <a:noAutofit/>
                      </wps:bodyPr>
                    </wps:wsp>
                  </a:graphicData>
                </a:graphic>
              </wp:anchor>
            </w:drawing>
          </mc:Choice>
          <mc:Fallback>
            <w:pict>
              <v:shape id="圆角矩形标注 5" o:spid="_x0000_s1026" o:spt="62" type="#_x0000_t62" style="position:absolute;left:0pt;margin-left:259.5pt;margin-top:54.55pt;height:24.75pt;width:82.2pt;z-index:251886592;v-text-anchor:middle;mso-width-relative:page;mso-height-relative:page;" fillcolor="#4874CB" filled="t" stroked="t" coordsize="21600,21600" o:gfxdata="UEsDBAoAAAAAAIdO4kAAAAAAAAAAAAAAAAAEAAAAZHJzL1BLAwQUAAAACACHTuJAGUw8SNoAAAAL&#10;AQAADwAAAGRycy9kb3ducmV2LnhtbE2PzU7DMBCE70i8g7VI3KgdStM0xKlQpR7gAKIgcXXiJYlq&#10;r0Ps/vD2LCc47sxo9ptqffZOHHGKQyAN2UyBQGqDHajT8P62vSlAxGTIGhcINXxjhHV9eVGZ0oYT&#10;veJxlzrBJRRLo6FPaSyljG2P3sRZGJHY+wyTN4nPqZN2Micu907eKpVLbwbiD70ZcdNju98dvIb8&#10;68Euh8eXtNnKp8a7Oe2Xzx9aX19l6h5EwnP6C8MvPqNDzUxNOJCNwmlYZCvekthQqwwEJ/Jifgei&#10;YWVR5CDrSv7fUP8AUEsDBBQAAAAIAIdO4kDVcU0HlgIAABkFAAAOAAAAZHJzL2Uyb0RvYy54bWyt&#10;VM1u1DAQviPxDpbvbZLd7K+arcqWIqQCVQsP4LWdxODYwXY2uzwA3DkjgbgAZ848TguPwcRJS7a9&#10;9EAOkScz/ma++WZycLgpJFpzY4VWCY72Q4y4opoJlSX41cuTvSlG1hHFiNSKJ3jLLT5cPHxwUJdz&#10;PtC5lowbBCDKzusywblz5TwILM15Qey+LrkCZ6pNQRyYJguYITWgFzIYhOE4qLVhpdGUWwtfj1sn&#10;7hDNfQB1mgrKjzWtCq5ci2q4JA4o2VyUFi98tWnKqXuRppY7JBMMTJ1/QxI4r5p3sDgg88yQMhe0&#10;K4Hcp4RbnAoiFCS9gTomjqDKiDtQhaBGW526faqLoCXiOwIsovBWby5yUnLPBVpty5um2/8HS5+v&#10;zwwSDCZhOBvF01EUYaRIAcJffnr/59vH359/XP76evXlw9XP72jU9Ksu7RyuXZRnpmFsy1NN31ik&#10;9DInKuNHxug654RBlVETH+xcaAwLV9GqfqYZpCGV0751m9QUDSA0BW28QtsbhfjGIQofozAezmIQ&#10;j4JvGMXDgS8pIPPr26Wx7gnXBWoOCa45y/i5rhQ7h1lYEil15Xw6sj61zkvGOsKEvQbyaSFhAtZE&#10;or3RZDKddCPSCxr0g6JZNI7Gd4OGO0Hj8dgDQaFdXjhdl+q7qKVgJ0JKb5hstZQGQREJjqeTePnI&#10;NxKa3Q+TCtXQksEkDD2jHaftYwwej+KjVoxbGIVwsM1SFAmehs3TJZKqE67RqtXcbVabTv6VZluQ&#10;0Oh2n+BvAodcm3cY1bBLCbZvK2I4RvKpgjGYRXGjmfNGPJoMwDB9z6rvIYoCVIKpMxi1xtK1K1uV&#10;RmQ55Io8YaWPYHhS4a6nrK2rqxw2Bk47K9m3fdS/P9ri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BlMPEjaAAAACwEAAA8AAAAAAAAAAQAgAAAAIgAAAGRycy9kb3ducmV2LnhtbFBLAQIUABQAAAAI&#10;AIdO4kDVcU0HlgIAABkFAAAOAAAAAAAAAAEAIAAAACkBAABkcnMvZTJvRG9jLnhtbFBLBQYAAAAA&#10;BgAGAFkBAAAxBgAAAAA=&#10;" adj="-1682,52189,14400">
                <v:fill on="t" focussize="0,0"/>
                <v:stroke weight="1pt" color="#2E54A1" miterlimit="8" joinstyle="miter"/>
                <v:imagedata o:title=""/>
                <o:lock v:ext="edit" aspectratio="f"/>
                <v:textbox>
                  <w:txbxContent>
                    <w:p w14:paraId="27DC2055">
                      <w:pPr>
                        <w:jc w:val="center"/>
                        <w:rPr>
                          <w:b/>
                          <w:bCs/>
                          <w:color w:val="FFFFFF"/>
                          <w:lang w:eastAsia="zh-CN"/>
                        </w:rPr>
                      </w:pPr>
                      <w:r>
                        <w:rPr>
                          <w:rFonts w:hint="eastAsia"/>
                          <w:b/>
                          <w:bCs/>
                          <w:color w:val="FFFFFF"/>
                          <w:lang w:eastAsia="zh-CN"/>
                        </w:rPr>
                        <w:t>项目位置</w:t>
                      </w:r>
                    </w:p>
                  </w:txbxContent>
                </v:textbox>
              </v:shape>
            </w:pict>
          </mc:Fallback>
        </mc:AlternateContent>
      </w:r>
      <w:r>
        <w:rPr>
          <w:rFonts w:ascii="Times New Roman" w:hAnsi="Times New Roman" w:cs="Times New Roman"/>
          <w:b/>
          <w:bCs/>
          <w:snapToGrid/>
          <w:color w:val="auto"/>
          <w:lang w:eastAsia="zh-CN"/>
        </w:rPr>
        <mc:AlternateContent>
          <mc:Choice Requires="wps">
            <w:drawing>
              <wp:anchor distT="0" distB="0" distL="114300" distR="114300" simplePos="0" relativeHeight="251884544" behindDoc="0" locked="0" layoutInCell="1" allowOverlap="1">
                <wp:simplePos x="0" y="0"/>
                <wp:positionH relativeFrom="column">
                  <wp:posOffset>462915</wp:posOffset>
                </wp:positionH>
                <wp:positionV relativeFrom="paragraph">
                  <wp:posOffset>2900680</wp:posOffset>
                </wp:positionV>
                <wp:extent cx="4187190" cy="1005205"/>
                <wp:effectExtent l="19050" t="19050" r="22860" b="24130"/>
                <wp:wrapNone/>
                <wp:docPr id="1535630581" name="直接箭头连接符 1430"/>
                <wp:cNvGraphicFramePr/>
                <a:graphic xmlns:a="http://schemas.openxmlformats.org/drawingml/2006/main">
                  <a:graphicData uri="http://schemas.microsoft.com/office/word/2010/wordprocessingShape">
                    <wps:wsp>
                      <wps:cNvCnPr>
                        <a:cxnSpLocks noChangeShapeType="1"/>
                      </wps:cNvCnPr>
                      <wps:spPr bwMode="auto">
                        <a:xfrm flipH="1" flipV="1">
                          <a:off x="0" y="0"/>
                          <a:ext cx="4187289" cy="1005156"/>
                        </a:xfrm>
                        <a:prstGeom prst="straightConnector1">
                          <a:avLst/>
                        </a:prstGeom>
                        <a:noFill/>
                        <a:ln w="28575">
                          <a:solidFill>
                            <a:srgbClr val="FF0000"/>
                          </a:solidFill>
                          <a:round/>
                        </a:ln>
                      </wps:spPr>
                      <wps:bodyPr/>
                    </wps:wsp>
                  </a:graphicData>
                </a:graphic>
              </wp:anchor>
            </w:drawing>
          </mc:Choice>
          <mc:Fallback>
            <w:pict>
              <v:shape id="直接箭头连接符 1430" o:spid="_x0000_s1026" o:spt="32" type="#_x0000_t32" style="position:absolute;left:0pt;flip:x y;margin-left:36.45pt;margin-top:228.4pt;height:79.15pt;width:329.7pt;z-index:251884544;mso-width-relative:page;mso-height-relative:page;" filled="f" stroked="t" coordsize="21600,21600" o:gfxdata="UEsDBAoAAAAAAIdO4kAAAAAAAAAAAAAAAAAEAAAAZHJzL1BLAwQUAAAACACHTuJAIpCfatoAAAAK&#10;AQAADwAAAGRycy9kb3ducmV2LnhtbE2PwU7DMBBE70j8g7VI3KidlKQlxOkBCXGpkFoqcXXjJY5q&#10;r6PYTUO/HnOC42qfZt7Um9lZNuEYek8SsoUAhtR63VMn4fDx+rAGFqIirawnlPCNATbN7U2tKu0v&#10;tMNpHzuWQihUSoKJcag4D61Bp8LCD0jp9+VHp2I6x47rUV1SuLM8F6LkTvWUGowa8MVge9qfnQRR&#10;vG3d1phuvlrzPn0Op+tufZDy/i4Tz8AizvEPhl/9pA5Ncjr6M+nArIRV/pRICY9FmSYkYLXMl8CO&#10;EsqsyIA3Nf8/ofkBUEsDBBQAAAAIAIdO4kDuNqo/EwIAAOUDAAAOAAAAZHJzL2Uyb0RvYy54bWyt&#10;U8Fy0zAQvTPDP2h0J7aTug2eOD0kEzgUyEwLd0WWbQ2yViMpcfIT/AAznIATcOqdr4HyGayUkNJy&#10;6QEfNLta7du3b9eT822nyEZYJ0GXNBuklAjNoZK6Kenrq8WTMSXOM10xBVqUdCccPZ8+fjTpTSGG&#10;0IKqhCUIol3Rm5K23psiSRxvRcfcAIzQGKzBdsyja5uksqxH9E4lwzQ9TXqwlbHAhXN4O98H6QHR&#10;PgQQ6lpyMQe+7oT2e1QrFPPYkmulcXQa2da14P5VXTvhiSopdurjiUXQXoUzmU5Y0VhmWskPFNhD&#10;KNzrqWNSY9Ej1Jx5RtZW/gPVSW7BQe0HHLpk30hUBLvI0nvaXLbMiNgLSu3MUXT3/2D5y83SElnh&#10;JuSj/HSU5uOMEs06nPzN++uf7z7dfPv64+P1r+8fgv3lM8lORlG23rgCs2d6aUPjfKsvzQXwt45o&#10;mLVMNyLSv9oZhMqC0MmdlOA4g8VX/Quo8A1be4gabmvbkVpJ8zwkRutNsEIZVIxs4/h2x/GJrScc&#10;L0+y8dlw/JQSjrEsTfMsP411WREgQ7qxzj8T0JFglNR5y2TT+hlojasCdl+EbS6cD4RvE0KyhoVU&#10;Km6M0qQv6XCcn+WRlgMlqxAN75xtVjNlyYbh0i0WKX4HGneeWVjral9F6YM6QZCwu65YQbVb2j+q&#10;4fQjncOmhvX624/Zt3/n9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ikJ9q2gAAAAoBAAAPAAAA&#10;AAAAAAEAIAAAACIAAABkcnMvZG93bnJldi54bWxQSwECFAAUAAAACACHTuJA7jaqPxMCAADlAwAA&#10;DgAAAAAAAAABACAAAAApAQAAZHJzL2Uyb0RvYy54bWxQSwUGAAAAAAYABgBZAQAArgUAAAAA&#10;">
                <v:fill on="f" focussize="0,0"/>
                <v:stroke weight="2.25pt" color="#FF0000" joinstyle="round"/>
                <v:imagedata o:title=""/>
                <o:lock v:ext="edit" aspectratio="f"/>
              </v:shape>
            </w:pict>
          </mc:Fallback>
        </mc:AlternateContent>
      </w:r>
      <w:r>
        <w:rPr>
          <w:rFonts w:ascii="Times New Roman" w:hAnsi="Times New Roman" w:cs="Times New Roman"/>
          <w:b/>
          <w:bCs/>
          <w:snapToGrid/>
          <w:color w:val="auto"/>
          <w:lang w:eastAsia="zh-CN"/>
        </w:rPr>
        <mc:AlternateContent>
          <mc:Choice Requires="wps">
            <w:drawing>
              <wp:anchor distT="0" distB="0" distL="114300" distR="114300" simplePos="0" relativeHeight="251883520" behindDoc="0" locked="0" layoutInCell="1" allowOverlap="1">
                <wp:simplePos x="0" y="0"/>
                <wp:positionH relativeFrom="margin">
                  <wp:posOffset>3853180</wp:posOffset>
                </wp:positionH>
                <wp:positionV relativeFrom="paragraph">
                  <wp:posOffset>573405</wp:posOffset>
                </wp:positionV>
                <wp:extent cx="892810" cy="3116580"/>
                <wp:effectExtent l="19050" t="19050" r="22225" b="8255"/>
                <wp:wrapNone/>
                <wp:docPr id="1529249107" name="直接箭头连接符 1429"/>
                <wp:cNvGraphicFramePr/>
                <a:graphic xmlns:a="http://schemas.openxmlformats.org/drawingml/2006/main">
                  <a:graphicData uri="http://schemas.microsoft.com/office/word/2010/wordprocessingShape">
                    <wps:wsp>
                      <wps:cNvCnPr>
                        <a:cxnSpLocks noChangeShapeType="1"/>
                      </wps:cNvCnPr>
                      <wps:spPr bwMode="auto">
                        <a:xfrm flipH="1" flipV="1">
                          <a:off x="0" y="0"/>
                          <a:ext cx="892587" cy="3116365"/>
                        </a:xfrm>
                        <a:prstGeom prst="straightConnector1">
                          <a:avLst/>
                        </a:prstGeom>
                        <a:noFill/>
                        <a:ln w="28575">
                          <a:solidFill>
                            <a:srgbClr val="FF0000"/>
                          </a:solidFill>
                          <a:round/>
                        </a:ln>
                      </wps:spPr>
                      <wps:bodyPr/>
                    </wps:wsp>
                  </a:graphicData>
                </a:graphic>
              </wp:anchor>
            </w:drawing>
          </mc:Choice>
          <mc:Fallback>
            <w:pict>
              <v:shape id="直接箭头连接符 1429" o:spid="_x0000_s1026" o:spt="32" type="#_x0000_t32" style="position:absolute;left:0pt;flip:x y;margin-left:303.4pt;margin-top:45.15pt;height:245.4pt;width:70.3pt;mso-position-horizontal-relative:margin;z-index:251883520;mso-width-relative:page;mso-height-relative:page;" filled="f" stroked="t" coordsize="21600,21600" o:gfxdata="UEsDBAoAAAAAAIdO4kAAAAAAAAAAAAAAAAAEAAAAZHJzL1BLAwQUAAAACACHTuJAjAV2RtoAAAAK&#10;AQAADwAAAGRycy9kb3ducmV2LnhtbE2PMU/DMBSEdyT+g/UqsVE70KYhjdMBCbFUSC2VWN34EUe1&#10;n6PYTUN/PWai4+lOd99Vm8lZNuIQOk8SsrkAhtR43VEr4fD59lgAC1GRVtYTSvjBAJv6/q5SpfYX&#10;2uG4jy1LJRRKJcHE2Jech8agU2Hue6TkffvBqZjk0HI9qEsqd5Y/CZFzpzpKC0b1+GqwOe3PToJY&#10;vm/d1ph2ulrzMX71p+uuOEj5MMvEGljEKf6H4Q8/oUOdmI7+TDowKyEXeUKPEl7EM7AUWC1WC2BH&#10;Ccsiy4DXFb+9UP8CUEsDBBQAAAAIAIdO4kB+1P2sEgIAAOQDAAAOAAAAZHJzL2Uyb0RvYy54bWyt&#10;U8Fy0zAQvTPDP2h0J47dJk0ycXpIJnAokJkW7oos2xpkrUZS4uQn+AFmOFFOwKl3vgbKZ7CSQ0rL&#10;pQd80Ky0em/fPq2n57tGka2wToLOadrrUyI0h0LqKqdvrpbPRpQ4z3TBFGiR071w9Hz29Mm0NROR&#10;QQ2qEJYgiXaT1uS09t5MksTxWjTM9cAIjckSbMM8bm2VFJa1yN6oJOv3h0kLtjAWuHAOTxddkh4Y&#10;7WMIoSwlFwvgm0Zo37FaoZjHllwtjaOzqLYsBfevy9IJT1ROsVMfVyyC8TqsyWzKJpVlppb8IIE9&#10;RsKDnhomNRY9Ui2YZ2Rj5T9UjeQWHJS+x6FJukaiI9hF2n/gzWXNjIi9oNXOHE13/4+Wv9quLJEF&#10;TsIgG2en47R/RolmDb787Yebn++vb799/fHp5tf3jyH+8pmkp9k42NYaN0H0XK9saJzv9KW5AP7O&#10;EQ3zmulKRPlXe4NUaUAk9yBh4wwWX7cvocA7bOMhergrbUNKJc2LAIzR2xCFMugY2cXn2x+fT+w8&#10;4Xg4GmeDEarnmDpJ0+HJcBDLsklgDGhjnX8uoCEhyKnzlsmq9nPQGicFbFeDbS+cD3rvAAGsYSmV&#10;igOjNGlzmo0GZ4OoyoGSRciGe85W67myZMtw5pbLPn4HGfeuWdjooqui9MGc4Efn7BqK/cr+MQ0f&#10;P8o5DGqYrr/3EX33c85+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wFdkbaAAAACgEAAA8AAAAA&#10;AAAAAQAgAAAAIgAAAGRycy9kb3ducmV2LnhtbFBLAQIUABQAAAAIAIdO4kB+1P2sEgIAAOQDAAAO&#10;AAAAAAAAAAEAIAAAACkBAABkcnMvZTJvRG9jLnhtbFBLBQYAAAAABgAGAFkBAACtBQAAAAA=&#10;">
                <v:fill on="f" focussize="0,0"/>
                <v:stroke weight="2.25pt" color="#FF0000" joinstyle="round"/>
                <v:imagedata o:title=""/>
                <o:lock v:ext="edit" aspectratio="f"/>
              </v:shape>
            </w:pict>
          </mc:Fallback>
        </mc:AlternateContent>
      </w:r>
      <w:r>
        <w:rPr>
          <w:snapToGrid/>
        </w:rPr>
        <w:drawing>
          <wp:anchor distT="0" distB="0" distL="114300" distR="114300" simplePos="0" relativeHeight="251885568" behindDoc="0" locked="0" layoutInCell="1" allowOverlap="1">
            <wp:simplePos x="0" y="0"/>
            <wp:positionH relativeFrom="column">
              <wp:posOffset>491490</wp:posOffset>
            </wp:positionH>
            <wp:positionV relativeFrom="paragraph">
              <wp:posOffset>572770</wp:posOffset>
            </wp:positionV>
            <wp:extent cx="3375025" cy="2303145"/>
            <wp:effectExtent l="19050" t="19050" r="15875" b="20955"/>
            <wp:wrapNone/>
            <wp:docPr id="10521360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136010" name="图片 1"/>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3375173" cy="2303233"/>
                    </a:xfrm>
                    <a:prstGeom prst="rect">
                      <a:avLst/>
                    </a:prstGeom>
                    <a:ln w="19050">
                      <a:solidFill>
                        <a:srgbClr val="EE0000"/>
                      </a:solidFill>
                    </a:ln>
                  </pic:spPr>
                </pic:pic>
              </a:graphicData>
            </a:graphic>
          </wp:anchor>
        </w:drawing>
      </w:r>
      <w:r>
        <w:rPr>
          <w:rFonts w:ascii="Times New Roman" w:hAnsi="Times New Roman" w:cs="Times New Roman"/>
          <w:b/>
          <w:bCs/>
          <w:snapToGrid/>
          <w:color w:val="auto"/>
          <w:lang w:eastAsia="zh-CN"/>
        </w:rPr>
        <mc:AlternateContent>
          <mc:Choice Requires="wps">
            <w:drawing>
              <wp:anchor distT="0" distB="0" distL="114300" distR="114300" simplePos="0" relativeHeight="251882496" behindDoc="0" locked="0" layoutInCell="1" allowOverlap="1">
                <wp:simplePos x="0" y="0"/>
                <wp:positionH relativeFrom="column">
                  <wp:posOffset>4402455</wp:posOffset>
                </wp:positionH>
                <wp:positionV relativeFrom="paragraph">
                  <wp:posOffset>3599180</wp:posOffset>
                </wp:positionV>
                <wp:extent cx="314960" cy="250825"/>
                <wp:effectExtent l="57785" t="57150" r="55880" b="73025"/>
                <wp:wrapNone/>
                <wp:docPr id="1971564619" name="任意多边形: 形状 1428"/>
                <wp:cNvGraphicFramePr/>
                <a:graphic xmlns:a="http://schemas.openxmlformats.org/drawingml/2006/main">
                  <a:graphicData uri="http://schemas.microsoft.com/office/word/2010/wordprocessingShape">
                    <wps:wsp>
                      <wps:cNvSpPr>
                        <a:spLocks noChangeArrowheads="1"/>
                      </wps:cNvSpPr>
                      <wps:spPr bwMode="auto">
                        <a:xfrm rot="1380000" flipH="1">
                          <a:off x="0" y="0"/>
                          <a:ext cx="314960" cy="250825"/>
                        </a:xfrm>
                        <a:custGeom>
                          <a:avLst/>
                          <a:gdLst>
                            <a:gd name="T0" fmla="*/ 0 w 88900"/>
                            <a:gd name="T1" fmla="*/ 0 h 121920"/>
                            <a:gd name="T2" fmla="*/ 74083 w 88900"/>
                            <a:gd name="T3" fmla="*/ 0 h 121920"/>
                            <a:gd name="T4" fmla="*/ 88899 w 88900"/>
                            <a:gd name="T5" fmla="*/ 14816 h 121920"/>
                            <a:gd name="T6" fmla="*/ 88900 w 88900"/>
                            <a:gd name="T7" fmla="*/ 121920 h 121920"/>
                            <a:gd name="T8" fmla="*/ 0 w 88900"/>
                            <a:gd name="T9" fmla="*/ 121920 h 121920"/>
                          </a:gdLst>
                          <a:ahLst/>
                          <a:cxnLst>
                            <a:cxn ang="0">
                              <a:pos x="T0" y="T1"/>
                            </a:cxn>
                            <a:cxn ang="0">
                              <a:pos x="T2" y="T3"/>
                            </a:cxn>
                            <a:cxn ang="0">
                              <a:pos x="T4" y="T5"/>
                            </a:cxn>
                            <a:cxn ang="0">
                              <a:pos x="T6" y="T7"/>
                            </a:cxn>
                            <a:cxn ang="0">
                              <a:pos x="T8" y="T9"/>
                            </a:cxn>
                          </a:cxnLst>
                          <a:rect l="0" t="0" r="r" b="b"/>
                          <a:pathLst>
                            <a:path w="88900" h="121920">
                              <a:moveTo>
                                <a:pt x="0" y="0"/>
                              </a:moveTo>
                              <a:lnTo>
                                <a:pt x="74083" y="0"/>
                              </a:lnTo>
                              <a:cubicBezTo>
                                <a:pt x="82266" y="0"/>
                                <a:pt x="88899" y="6633"/>
                                <a:pt x="88899" y="14816"/>
                              </a:cubicBezTo>
                              <a:lnTo>
                                <a:pt x="88900" y="121920"/>
                              </a:lnTo>
                              <a:lnTo>
                                <a:pt x="0" y="121920"/>
                              </a:lnTo>
                              <a:close/>
                            </a:path>
                          </a:pathLst>
                        </a:custGeom>
                        <a:solidFill>
                          <a:srgbClr val="A9E9E4">
                            <a:alpha val="31999"/>
                          </a:srgbClr>
                        </a:solidFill>
                        <a:ln w="12700" cmpd="sng">
                          <a:solidFill>
                            <a:srgbClr val="FF0000"/>
                          </a:solidFill>
                          <a:miter lim="800000"/>
                        </a:ln>
                        <a:effectLst/>
                      </wps:spPr>
                      <wps:bodyPr rot="0" vert="horz" wrap="square" lIns="91440" tIns="45720" rIns="91440" bIns="45720" anchor="ctr" anchorCtr="0" upright="1">
                        <a:noAutofit/>
                      </wps:bodyPr>
                    </wps:wsp>
                  </a:graphicData>
                </a:graphic>
              </wp:anchor>
            </w:drawing>
          </mc:Choice>
          <mc:Fallback>
            <w:pict>
              <v:shape id="任意多边形: 形状 1428" o:spid="_x0000_s1026" o:spt="100" style="position:absolute;left:0pt;flip:x;margin-left:346.65pt;margin-top:283.4pt;height:19.75pt;width:24.8pt;rotation:-1507328f;z-index:251882496;v-text-anchor:middle;mso-width-relative:page;mso-height-relative:page;" fillcolor="#A9E9E4" filled="t" stroked="t" coordsize="88900,121920" o:gfxdata="UEsDBAoAAAAAAIdO4kAAAAAAAAAAAAAAAAAEAAAAZHJzL1BLAwQUAAAACACHTuJAmyxnA9sAAAAL&#10;AQAADwAAAGRycy9kb3ducmV2LnhtbE2Py07DMBBF90j8gzVIbBC124BLQpwueAkhgdSUDTs3HuKI&#10;2I5ipw1/z7CC5ege3Tm33MyuZwccYxe8guVCAEPfBNP5VsH77vHyBlhM2hvdB48KvjHCpjo9KXVh&#10;wtFv8VCnllGJj4VWYFMaCs5jY9HpuAgDeso+w+h0onNsuRn1kcpdz1dCSO505+mD1QPeWWy+6skp&#10;eJqeX7b8Q9cXJheyvZ8f7OubUOr8bClugSWc0x8Mv/qkDhU57cPkTWS9AplnGaEKrqWkDUSsr1Y5&#10;sD1FQmbAq5L/31D9AFBLAwQUAAAACACHTuJAh0YesLEDAADvCAAADgAAAGRycy9lMm9Eb2MueG1s&#10;rVbNjts2EL4XyDsQOgbo6seyLBnrDba72TRAmgbI9gFoirKIUiRD0pY355xy6b3HIs9QoAjap2mS&#10;PkaGlOSVnXizh/og8OfjNzPfDIc+fbRtONpQbZgUiyA+iQJEBZElE6tF8Mv11fd5gIzFosRcCroI&#10;bqgJHp09+O60VXOayFrykmoEJMLMW7UIamvVPAwNqWmDzYlUVMBmJXWDLUz1Kiw1boG94WESRVnY&#10;Sl0qLQk1BlYvu82gZ9T3IZRVxQi9lGTdUGE7Vk05thCSqZkywZn3tqoosT9XlaEW8UUAkVr/BSMw&#10;XrpveHaK5yuNVc1I7wK+jwsHMTWYCTC6o7rEFqO1Zl9QNYxoaWRlT4hswi4QrwhEEUcH2ryssaI+&#10;FpDaqJ3o5v+jJc83LzRiJVRCMYunWZrFRYAEbiDz/75///HNbx/e/f7fP399+PuPOYLPp7d/ojhN&#10;cidcq8wczr9UL7QL3ahnkvxqkJAXNRYreq61bGuKS3A3dvhw74CbGDiKlu1PsgRzeG2l13Bb6QZp&#10;CbmKJ3kEvwBVnKkfHY0zBKqhrU/hzS6FdGsRgcVJnBYZHCCwlUyjPJl6y3juSN1hsjb2CZV+jDfP&#10;jO0qoISRz1/ZB3/trDYciuFhiCLUojwvwJMePYDiPVCN4iQuki9QyQg1S6N8coxuMgJG6BhdOkLl&#10;4FZxjG46AsZpHmdHKbMR0gd6jHI2AnbBHuWEPvJtAaHYdqCv8IVwo4bU4HrIFtmKPl0wQlBrrgxc&#10;9pQ0rjJc7iD/113VQc63wqf+62DIjgNP+kK5GwzaO/BQVXeDQVUHnt2LGeRy4GIMhvDBQh+rhmZ2&#10;2Ma0b2PLriwVtk4iLwQMUbsIuqJFNVydrjLdZiM39Fp6mD24SGDwdpeLMcoXrvfR1zcgh32yXjLy&#10;A309RudJknXh97dBeVO+XD1Jlk284pC0gx1fqYMKe9SDweGEu5BOtNtbN/JqH3wHkHBpqGtP4ArI&#10;tht4KWFx3DGM5Ky8Ypw79YxeLS+4RhsMj8t58bh4nPoqxFzVuFudxEUxZLSHe/49Hi5cquJk5sIh&#10;jYJmbMTKU+3h9uxdXfnO2Pm9B2uYhQeaswbS7zC36XJOU/8oQmzu5NCDu16+lOUN9GPfecET+I8A&#10;LbiW+nWAWnghwatXa6xpgPhTAT29iNMUYNZP0ukM+h7S453leAcLAlSLgFio2W5yYbuHeK00W9Wu&#10;3fuYhTyHl6BiOw87v3p34R30CvZvtntox3OPuv2fcvYZ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QYAAFtDb250ZW50X1R5cGVzXS54bWxQSwEC&#10;FAAKAAAAAACHTuJAAAAAAAAAAAAAAAAABgAAAAAAAAAAABAAAAAHBQAAX3JlbHMvUEsBAhQAFAAA&#10;AAgAh07iQIoUZjzRAAAAlAEAAAsAAAAAAAAAAQAgAAAAKwUAAF9yZWxzLy5yZWxzUEsBAhQACgAA&#10;AAAAh07iQAAAAAAAAAAAAAAAAAQAAAAAAAAAAAAQAAAAAAAAAGRycy9QSwECFAAUAAAACACHTuJA&#10;myxnA9sAAAALAQAADwAAAAAAAAABACAAAAAiAAAAZHJzL2Rvd25yZXYueG1sUEsBAhQAFAAAAAgA&#10;h07iQIdGHrCxAwAA7wgAAA4AAAAAAAAAAQAgAAAAKgEAAGRycy9lMm9Eb2MueG1sUEsFBgAAAAAG&#10;AAYAWQEAAE0HAAAAAA==&#10;" path="m0,0l74083,0c82266,0,88899,6633,88899,14816l88900,121920,0,121920xe">
                <v:path o:connectlocs="0,0;262465,0;314956,30480;314960,250825;0,250825" o:connectangles="0,0,0,0,0"/>
                <v:fill on="t" opacity="20970f" focussize="0,0"/>
                <v:stroke weight="1pt" color="#FF0000" miterlimit="8" joinstyle="miter"/>
                <v:imagedata o:title=""/>
                <o:lock v:ext="edit" aspectratio="f"/>
              </v:shape>
            </w:pict>
          </mc:Fallback>
        </mc:AlternateContent>
      </w:r>
      <w:r>
        <w:rPr>
          <w:rFonts w:ascii="Times New Roman" w:hAnsi="Times New Roman" w:cs="Times New Roman"/>
          <w:color w:val="auto"/>
        </w:rPr>
        <w:drawing>
          <wp:inline distT="0" distB="0" distL="0" distR="0">
            <wp:extent cx="8164195" cy="5777865"/>
            <wp:effectExtent l="0" t="0" r="8255" b="0"/>
            <wp:docPr id="955877785" name="图片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877785" name="图片 142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8170806" cy="5782216"/>
                    </a:xfrm>
                    <a:prstGeom prst="rect">
                      <a:avLst/>
                    </a:prstGeom>
                    <a:noFill/>
                    <a:ln>
                      <a:noFill/>
                    </a:ln>
                  </pic:spPr>
                </pic:pic>
              </a:graphicData>
            </a:graphic>
          </wp:inline>
        </w:drawing>
      </w:r>
    </w:p>
    <w:p w14:paraId="5B4581C1">
      <w:pPr>
        <w:spacing w:line="360" w:lineRule="auto"/>
        <w:ind w:firstLine="482"/>
        <w:jc w:val="center"/>
        <w:rPr>
          <w:rFonts w:ascii="Times New Roman" w:hAnsi="Times New Roman" w:eastAsia="新宋体" w:cs="Times New Roman"/>
          <w:b/>
          <w:bCs/>
          <w:color w:val="auto"/>
          <w:szCs w:val="24"/>
          <w:lang w:eastAsia="zh-CN"/>
        </w:rPr>
      </w:pPr>
      <w:r>
        <w:rPr>
          <w:rFonts w:ascii="Times New Roman" w:hAnsi="Times New Roman" w:cs="Times New Roman"/>
          <w:b/>
          <w:bCs/>
          <w:color w:val="auto"/>
        </w:rPr>
        <mc:AlternateContent>
          <mc:Choice Requires="wps">
            <w:drawing>
              <wp:anchor distT="0" distB="0" distL="114300" distR="114300" simplePos="0" relativeHeight="251758592" behindDoc="0" locked="0" layoutInCell="1" allowOverlap="1">
                <wp:simplePos x="0" y="0"/>
                <wp:positionH relativeFrom="column">
                  <wp:posOffset>3593465</wp:posOffset>
                </wp:positionH>
                <wp:positionV relativeFrom="paragraph">
                  <wp:posOffset>3873500</wp:posOffset>
                </wp:positionV>
                <wp:extent cx="88900" cy="121920"/>
                <wp:effectExtent l="0" t="0" r="6350" b="0"/>
                <wp:wrapNone/>
                <wp:docPr id="1035226017" name="单圆角矩形 4"/>
                <wp:cNvGraphicFramePr/>
                <a:graphic xmlns:a="http://schemas.openxmlformats.org/drawingml/2006/main">
                  <a:graphicData uri="http://schemas.microsoft.com/office/word/2010/wordprocessingShape">
                    <wps:wsp>
                      <wps:cNvSpPr/>
                      <wps:spPr>
                        <a:xfrm flipH="1">
                          <a:off x="0" y="0"/>
                          <a:ext cx="88900" cy="121920"/>
                        </a:xfrm>
                        <a:prstGeom prst="round1Rect">
                          <a:avLst/>
                        </a:prstGeom>
                        <a:solidFill>
                          <a:srgbClr val="A9E9E4">
                            <a:lumMod val="40000"/>
                            <a:lumOff val="60000"/>
                          </a:srgbClr>
                        </a:solidFill>
                        <a:ln w="3175" cap="flat" cmpd="sng" algn="ctr">
                          <a:solidFill>
                            <a:srgbClr val="FFFF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单圆角矩形 4" o:spid="_x0000_s1026" style="position:absolute;left:0pt;flip:x;margin-left:282.95pt;margin-top:305pt;height:9.6pt;width:7pt;z-index:251758592;v-text-anchor:middle;mso-width-relative:page;mso-height-relative:page;" fillcolor="#DDF6F4" filled="t" stroked="t" coordsize="88900,121920" o:gfxdata="UEsDBAoAAAAAAIdO4kAAAAAAAAAAAAAAAAAEAAAAZHJzL1BLAwQUAAAACACHTuJA5idCLtUAAAAL&#10;AQAADwAAAGRycy9kb3ducmV2LnhtbE2PPU/DMBCGdyT+g3VIbNSORUIT4nRAQrDSdujoxiaOiM9W&#10;7Dbh33NMMN57j96Pdrf6iV3tnMaACoqNAGaxD2bEQcHx8PqwBZayRqOngFbBt02w625vWt2YsOCH&#10;ve7zwMgEU6MVuJxjw3nqnfU6bUK0SL/PMHud6ZwHbma9kLmfuBSi4l6PSAlOR/vibP+1v3gFi3vb&#10;8jGuVYrycHqXy2MKxUmp+7tCPAPLds1/MPzWp+rQUadzuKBJbFJQVmVNqIKqEDSKiPKpJuVMiqwl&#10;8K7l/zd0P1BLAwQUAAAACACHTuJAkGyW0rMCAABMBQAADgAAAGRycy9lMm9Eb2MueG1srVTNbhMx&#10;EL4j8Q6W73R30/QnUTdV1DSAVGhFQZwdrzdryX/Y3mzKA3DjgsQNCYkL4iF4nAoeg7G9adPCoQf2&#10;sJof+5uZb2Z8dLyWAq2YdVyrEhc7OUZMUV1xtSzxm9fzJ4cYOU9URYRWrMRXzOHjyeNHR50Zs4Fu&#10;tKiYRQCi3LgzJW68N+Msc7RhkrgdbZgCZ62tJB5Uu8wqSzpAlyIb5Pl+1mlbGaspcw6ss+TEPaJ9&#10;CKCua07ZTNNWMuUTqmWCeCjJNdw4PInZ1jWj/ryuHfNIlBgq9fEPQUBehH82OSLjpSWm4bRPgTwk&#10;hXs1ScIVBL2BmhFPUGv5X1CSU6udrv0O1TJLhURGoIoiv8fNZUMMi7UA1c7ckO7+Hyx9ubqwiFcw&#10;Cfnu3mCwnxcHGCkiofPXHz9ff/nw+/unX19/XP/8hoaBrc64MVy6NBe21xyIofR1bSWqBTfPACyS&#10;AeWhdeT66oZrtvaIgvHwcJRDEyh4ikExGsRWZAkloBnr/FOmJQpCia1uVVW8gn5GZLI6cx7iw4XN&#10;wXDJacGrORciKna5OBEWrQj0fjo6HZ0O413Ryhe6SuZhDl8aAjDDqCTz/sYM+C7BxFh38IVCXYl3&#10;i4M9KIPAJtQwgSBKA2w6tcSIiCWsGPU2xr1zuUdN4ebwpTRCvO0aQnEz4pp0LrpStpJ72ELBJTAZ&#10;kt3QJxQkGnqUuhKkha6uoMdWp+F3hs45wJ4R5y+IhWmHNsB74M/hVwsNNelewqjR9v2/7OE8DCF4&#10;Mepge6Dgdy2xDCPxXMF4jorhMKxbVIZ7B9BeZLc9i22PauWJhiYV8PIYGsVw3ouNWFst38KzMQ1R&#10;wUUUhdiJ2l458Wmr4eGhbDqNx2DFDPFn6tLQzUgqPW29rnkcnlt2etJgyWKf+wchbPG2Hk/dPoKT&#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CEF&#10;AABbQ29udGVudF9UeXBlc10ueG1sUEsBAhQACgAAAAAAh07iQAAAAAAAAAAAAAAAAAYAAAAAAAAA&#10;AAAQAAAAAwQAAF9yZWxzL1BLAQIUABQAAAAIAIdO4kCKFGY80QAAAJQBAAALAAAAAAAAAAEAIAAA&#10;ACcEAABfcmVscy8ucmVsc1BLAQIUAAoAAAAAAIdO4kAAAAAAAAAAAAAAAAAEAAAAAAAAAAAAEAAA&#10;AAAAAABkcnMvUEsBAhQAFAAAAAgAh07iQOYnQi7VAAAACwEAAA8AAAAAAAAAAQAgAAAAIgAAAGRy&#10;cy9kb3ducmV2LnhtbFBLAQIUABQAAAAIAIdO4kCQbJbSswIAAEwFAAAOAAAAAAAAAAEAIAAAACQB&#10;AABkcnMvZTJvRG9jLnhtbFBLBQYAAAAABgAGAFkBAABJBgAAAAA=&#10;" path="m0,0l74083,0c82266,0,88899,6633,88899,14816l88900,121920,0,121920xe">
                <v:path o:connectlocs="44450,0;0,60960;44450,121920;88900,60960" o:connectangles="247,164,82,0"/>
                <v:fill on="t" focussize="0,0"/>
                <v:stroke weight="0.25pt" color="#FFFF00" miterlimit="8" joinstyle="miter"/>
                <v:imagedata o:title=""/>
                <o:lock v:ext="edit" aspectratio="f"/>
              </v:shape>
            </w:pict>
          </mc:Fallback>
        </mc:AlternateContent>
      </w:r>
      <w:r>
        <w:rPr>
          <w:rFonts w:ascii="Times New Roman" w:hAnsi="Times New Roman" w:eastAsia="新宋体" w:cs="Times New Roman"/>
          <w:b/>
          <w:bCs/>
          <w:color w:val="auto"/>
          <w:szCs w:val="24"/>
          <w:lang w:eastAsia="zh-CN"/>
        </w:rPr>
        <w:t>图2.5-</w:t>
      </w:r>
      <w:r>
        <w:rPr>
          <w:rFonts w:hint="eastAsia" w:ascii="Times New Roman" w:hAnsi="Times New Roman" w:eastAsia="新宋体" w:cs="Times New Roman"/>
          <w:b/>
          <w:bCs/>
          <w:color w:val="auto"/>
          <w:szCs w:val="24"/>
          <w:lang w:eastAsia="zh-CN"/>
        </w:rPr>
        <w:t>1</w:t>
      </w:r>
      <w:r>
        <w:rPr>
          <w:rFonts w:ascii="Times New Roman" w:hAnsi="Times New Roman" w:eastAsia="新宋体" w:cs="Times New Roman"/>
          <w:b/>
          <w:bCs/>
          <w:color w:val="auto"/>
          <w:szCs w:val="24"/>
          <w:lang w:eastAsia="zh-CN"/>
        </w:rPr>
        <w:t xml:space="preserve"> </w:t>
      </w:r>
      <w:r>
        <w:rPr>
          <w:rFonts w:hint="eastAsia" w:ascii="Times New Roman" w:hAnsi="Times New Roman" w:eastAsia="新宋体" w:cs="Times New Roman"/>
          <w:b/>
          <w:bCs/>
          <w:color w:val="auto"/>
          <w:szCs w:val="24"/>
          <w:lang w:eastAsia="zh-CN"/>
        </w:rPr>
        <w:t>蚌埠市国土空间规划图</w:t>
      </w:r>
    </w:p>
    <w:p w14:paraId="428F1A63">
      <w:pPr>
        <w:topLinePunct/>
        <w:spacing w:line="360" w:lineRule="auto"/>
        <w:ind w:firstLine="482" w:firstLineChars="200"/>
        <w:jc w:val="both"/>
        <w:rPr>
          <w:rFonts w:ascii="Times New Roman" w:hAnsi="Times New Roman" w:cs="Times New Roman"/>
          <w:color w:val="auto"/>
          <w:lang w:eastAsia="zh-CN"/>
        </w:rPr>
      </w:pPr>
      <w:r>
        <w:rPr>
          <w:rFonts w:ascii="Times New Roman" w:hAnsi="Times New Roman" w:cs="Times New Roman"/>
          <w:b/>
          <w:bCs/>
          <w:snapToGrid/>
          <w:color w:val="auto"/>
          <w:lang w:eastAsia="zh-CN"/>
        </w:rPr>
        <mc:AlternateContent>
          <mc:Choice Requires="wps">
            <w:drawing>
              <wp:anchor distT="0" distB="0" distL="114300" distR="114300" simplePos="0" relativeHeight="251881472" behindDoc="0" locked="0" layoutInCell="1" allowOverlap="1">
                <wp:simplePos x="0" y="0"/>
                <wp:positionH relativeFrom="column">
                  <wp:posOffset>5248275</wp:posOffset>
                </wp:positionH>
                <wp:positionV relativeFrom="paragraph">
                  <wp:posOffset>1208405</wp:posOffset>
                </wp:positionV>
                <wp:extent cx="1043940" cy="314325"/>
                <wp:effectExtent l="0" t="0" r="175260" b="504825"/>
                <wp:wrapNone/>
                <wp:docPr id="392921803" name="圆角矩形标注 5"/>
                <wp:cNvGraphicFramePr/>
                <a:graphic xmlns:a="http://schemas.openxmlformats.org/drawingml/2006/main">
                  <a:graphicData uri="http://schemas.microsoft.com/office/word/2010/wordprocessingShape">
                    <wps:wsp>
                      <wps:cNvSpPr>
                        <a:spLocks noChangeArrowheads="1"/>
                      </wps:cNvSpPr>
                      <wps:spPr bwMode="auto">
                        <a:xfrm>
                          <a:off x="0" y="0"/>
                          <a:ext cx="1043940" cy="314325"/>
                        </a:xfrm>
                        <a:prstGeom prst="wedgeRoundRectCallout">
                          <a:avLst>
                            <a:gd name="adj1" fmla="val 59949"/>
                            <a:gd name="adj2" fmla="val 184059"/>
                            <a:gd name="adj3" fmla="val 16667"/>
                          </a:avLst>
                        </a:prstGeom>
                        <a:solidFill>
                          <a:srgbClr val="4874CB"/>
                        </a:solidFill>
                        <a:ln w="12700">
                          <a:solidFill>
                            <a:srgbClr val="2E54A1"/>
                          </a:solidFill>
                          <a:miter lim="800000"/>
                        </a:ln>
                      </wps:spPr>
                      <wps:txbx>
                        <w:txbxContent>
                          <w:p w14:paraId="0F12EECD">
                            <w:pPr>
                              <w:jc w:val="center"/>
                              <w:rPr>
                                <w:b/>
                                <w:bCs/>
                                <w:color w:val="FFFFFF"/>
                                <w:lang w:eastAsia="zh-CN"/>
                              </w:rPr>
                            </w:pPr>
                            <w:r>
                              <w:rPr>
                                <w:rFonts w:hint="eastAsia"/>
                                <w:b/>
                                <w:bCs/>
                                <w:color w:val="FFFFFF"/>
                                <w:lang w:eastAsia="zh-CN"/>
                              </w:rPr>
                              <w:t>项目位置</w:t>
                            </w:r>
                          </w:p>
                        </w:txbxContent>
                      </wps:txbx>
                      <wps:bodyPr rot="0" vert="horz" wrap="square" lIns="91440" tIns="45720" rIns="91440" bIns="45720" anchor="ctr" anchorCtr="0" upright="1">
                        <a:noAutofit/>
                      </wps:bodyPr>
                    </wps:wsp>
                  </a:graphicData>
                </a:graphic>
              </wp:anchor>
            </w:drawing>
          </mc:Choice>
          <mc:Fallback>
            <w:pict>
              <v:shape id="圆角矩形标注 5" o:spid="_x0000_s1026" o:spt="62" type="#_x0000_t62" style="position:absolute;left:0pt;margin-left:413.25pt;margin-top:95.15pt;height:24.75pt;width:82.2pt;z-index:251881472;v-text-anchor:middle;mso-width-relative:page;mso-height-relative:page;" fillcolor="#4874CB" filled="t" stroked="t" coordsize="21600,21600" o:gfxdata="UEsDBAoAAAAAAIdO4kAAAAAAAAAAAAAAAAAEAAAAZHJzL1BLAwQUAAAACACHTuJALD/oztYAAAAL&#10;AQAADwAAAGRycy9kb3ducmV2LnhtbE2PQU+EMBCF7yb+h2ZMvLktbCSAlD0YjXpbUe9dOgKRTgnt&#10;Av57x5MeJ+/Le99Uh82NYsE5DJ40JDsFAqn1dqBOw/vb400OIkRD1oyeUMM3BjjUlxeVKa1f6RWX&#10;JnaCSyiURkMf41RKGdoenQk7PyFx9ulnZyKfcyftbFYud6NMlcqkMwPxQm8mvO+x/WrOToNcVnra&#10;muPHs39xSXuM2fqQZlpfXyXqDkTELf7B8KvP6lCz08mfyQYxasjT7JZRDgq1B8FEUagCxElDui9y&#10;kHUl//9Q/wBQSwMEFAAAAAgAh07iQPEnjemYAgAAGAUAAA4AAABkcnMvZTJvRG9jLnhtbK1UzW7U&#10;MBC+I/EOlu80P5v9SdRsVbYUIRWoWngAr+MkBscOtrPZ8gBw54wE4gKcOfM4LTwGEydt08KhB3KI&#10;PJnxNzPfN5PdvW0l0IZpw5VMcbDjY8QkVRmXRYpfvjh8sMDIWCIzIpRkKT5jBu8t79/bbeuEhapU&#10;ImMaAYg0SVunuLS2TjzP0JJVxOyomklw5kpXxIKpCy/TpAX0Snih78+8Vums1ooyY+DrQe/EA6K+&#10;C6DKc07ZgaJNxaTtUTUTxEJLpuS1wUtXbZ4zap/nuWEWiRRDp9a9IQmc193bW+6SpNCkLjkdSiB3&#10;KeFWTxXhEpJeQR0QS1Cj+V9QFadaGZXbHaoqr2/EMQJdBP4tbk5LUjPXC1Bt6ivSzf+Dpc82xxrx&#10;LMWTOIzDYOFPMJKkAuHPP777/fXDr0/fz39+ufj8/uLHNzTt+Gprk8C10/pYdx2b+kjR1wZJtSqJ&#10;LNi+1qotGcmgyqCL925c6AwDV9G6faoySEMaqxx121xXHSCQgrZOobMrhdjWIgofAz+axBGIR8E3&#10;CaJJ6ErySHJ5u9bGPmaqQt0hxS3LCnaiGpmdwCysiBCqsS4d2RwZ6yTLhoZJ9irAKK8ETMCGCDSN&#10;4ygeJmQUE45jgkXkT/8RBCxeAwWz2WzuqCDJkBYqvqzUkagEzw65EM7QxXolNIIaUhwt5tHq4XDZ&#10;jMOERC0wEs593zV0w2nGGOGjabTfawF6jTEqbmGZBa9SvPC7Z0gk5KBbJ1Uvud2ut4P6a5WdgYJa&#10;9esEPxM4lEq/xaiFVUqxedMQzTASTyRMQRxEnWTWGdF0HoKhx5712EMkBagUU6sx6o2V7Te2qTUv&#10;SsgVuIal2ofZybm9HLK+rqFyWBg43djIse2irn9oy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As&#10;P+jO1gAAAAsBAAAPAAAAAAAAAAEAIAAAACIAAABkcnMvZG93bnJldi54bWxQSwECFAAUAAAACACH&#10;TuJA8SeN6ZgCAAAYBQAADgAAAAAAAAABACAAAAAlAQAAZHJzL2Uyb0RvYy54bWxQSwUGAAAAAAYA&#10;BgBZAQAALwYAAAAA&#10;" adj="23749,50557,14400">
                <v:fill on="t" focussize="0,0"/>
                <v:stroke weight="1pt" color="#2E54A1" miterlimit="8" joinstyle="miter"/>
                <v:imagedata o:title=""/>
                <o:lock v:ext="edit" aspectratio="f"/>
                <v:textbox>
                  <w:txbxContent>
                    <w:p w14:paraId="0F12EECD">
                      <w:pPr>
                        <w:jc w:val="center"/>
                        <w:rPr>
                          <w:b/>
                          <w:bCs/>
                          <w:color w:val="FFFFFF"/>
                          <w:lang w:eastAsia="zh-CN"/>
                        </w:rPr>
                      </w:pPr>
                      <w:r>
                        <w:rPr>
                          <w:rFonts w:hint="eastAsia"/>
                          <w:b/>
                          <w:bCs/>
                          <w:color w:val="FFFFFF"/>
                          <w:lang w:eastAsia="zh-CN"/>
                        </w:rPr>
                        <w:t>项目位置</w:t>
                      </w:r>
                    </w:p>
                  </w:txbxContent>
                </v:textbox>
              </v:shape>
            </w:pict>
          </mc:Fallback>
        </mc:AlternateContent>
      </w:r>
      <w:r>
        <w:rPr>
          <w:rFonts w:ascii="Times New Roman" w:hAnsi="Times New Roman" w:cs="Times New Roman"/>
          <w:b/>
          <w:bCs/>
          <w:snapToGrid/>
          <w:color w:val="FF0000"/>
          <w:lang w:eastAsia="zh-CN"/>
        </w:rPr>
        <mc:AlternateContent>
          <mc:Choice Requires="wps">
            <w:drawing>
              <wp:anchor distT="0" distB="0" distL="114300" distR="114300" simplePos="0" relativeHeight="251887616" behindDoc="0" locked="0" layoutInCell="1" allowOverlap="1">
                <wp:simplePos x="0" y="0"/>
                <wp:positionH relativeFrom="column">
                  <wp:posOffset>6294120</wp:posOffset>
                </wp:positionH>
                <wp:positionV relativeFrom="paragraph">
                  <wp:posOffset>1804670</wp:posOffset>
                </wp:positionV>
                <wp:extent cx="162560" cy="291465"/>
                <wp:effectExtent l="0" t="0" r="27940" b="13335"/>
                <wp:wrapNone/>
                <wp:docPr id="1683472539" name="矩形 727"/>
                <wp:cNvGraphicFramePr/>
                <a:graphic xmlns:a="http://schemas.openxmlformats.org/drawingml/2006/main">
                  <a:graphicData uri="http://schemas.microsoft.com/office/word/2010/wordprocessingShape">
                    <wps:wsp>
                      <wps:cNvSpPr/>
                      <wps:spPr>
                        <a:xfrm>
                          <a:off x="0" y="0"/>
                          <a:ext cx="162685" cy="291710"/>
                        </a:xfrm>
                        <a:prstGeom prst="rect">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727" o:spid="_x0000_s1026" o:spt="1" style="position:absolute;left:0pt;margin-left:495.6pt;margin-top:142.1pt;height:22.95pt;width:12.8pt;z-index:251887616;v-text-anchor:middle;mso-width-relative:page;mso-height-relative:page;" fillcolor="#EE0000" filled="t" stroked="t" coordsize="21600,21600" o:gfxdata="UEsDBAoAAAAAAIdO4kAAAAAAAAAAAAAAAAAEAAAAZHJzL1BLAwQUAAAACACHTuJAeI7s6toAAAAM&#10;AQAADwAAAGRycy9kb3ducmV2LnhtbE2Py07DMBBF90j8gzVI7KjtBFVtiFNREEuESJHYurGJA/E4&#10;9aMpfD3uCnYzmqM759abkx3JUfswOBTAFwyIxs6pAXsBb7unmxWQECUqOTrUAr51gE1zeVHLSrkZ&#10;X/WxjT3JIRgqKcDEOFWUhs5oK8PCTRrz7cN5K2NefU+Vl3MOtyMtGFtSKwfMH4yc9IPR3VebrIBt&#10;Su3j8/32/VAmb+bi8LMbXj6FuL7i7A5I1Kf4B8NZP6tDk532LqEKZBSwXvMiowKK1W0ezgTjy9xm&#10;L6AsGQfa1PR/ieYXUEsDBBQAAAAIAIdO4kAmHZGBiwIAAB8FAAAOAAAAZHJzL2Uyb0RvYy54bWyt&#10;VEtuGzEM3RfoHQTtm/FM7NgxYgeGnRQFgiZAWnQtazQeAfpVkj/pZQp010P0OEWv0SeNkzhJF1nU&#10;C5kcUiTfI6mz851WZCN8kNZMaHnUo0QYbmtpVhP6+dPluxElITJTM2WNmNA7Eej59O2bs60bi8q2&#10;VtXCEwQxYbx1E9rG6MZFEXgrNAtH1gkDY2O9ZhGqXxW1Z1tE16qoer2TYmt97bzlIgR8XXRGuo/o&#10;XxPQNo3kYmH5WgsTu6heKBYBKbTSBTrN1TaN4PG6aYKIRE0okMZ8IgnkZTqL6RkbrzxzreT7Ethr&#10;SniGSTNpkPQh1IJFRtZevgilJfc22CYecauLDkhmBCjK3jNublvmRMYCqoN7ID38v7D84+bGE1lj&#10;Ek5Gx/1hNTg+pcQwjc7/+f7z968fZFgNE01bF8bwvnU3fq8FiAnzrvE6/QMN2WVq7x6oFbtIOD6W&#10;J9XJaEAJh6k6LYdlpr54vOx8iO+F1SQJE+rRuUwo21yFiIRwvXdJuYJVsr6USmXFr5Zz5cmGocsX&#10;Fz38UsW48sRNGbJFJdUQZsIZZrfBzEDUDviDWVHC1ApLwaPPuZ/cDodJymE1H5SdU8tq0aUuBweZ&#10;O/eXVSQUCxba7kpO0U2hlhGLpaSe0FGCcI9BGQRJ7Hd8J2lp6zu0zdtunoPjlxJhr1iIN8xjgAEQ&#10;Kx6vcTTKArXdS5S01n/71/fkj7mClZItFgKMfF0zLyhRHwwm7rTs99MGZaU/GFZQ/KFleWgxaz23&#10;6EaJx8TxLCb/qO7Fxlv9BS/BLGWFiRmO3B33e2Ueu0XFW8LFbJbdsDWOxStz63gKnrpv7GwdbSPz&#10;lDyysycNe5N7sN/xtJiHevZ6fNemf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4juzq2gAAAAwB&#10;AAAPAAAAAAAAAAEAIAAAACIAAABkcnMvZG93bnJldi54bWxQSwECFAAUAAAACACHTuJAJh2RgYsC&#10;AAAfBQAADgAAAAAAAAABACAAAAApAQAAZHJzL2Uyb0RvYy54bWxQSwUGAAAAAAYABgBZAQAAJgYA&#10;AAAA&#10;">
                <v:fill on="t" focussize="0,0"/>
                <v:stroke weight="1pt" color="#172C51 [3204]" miterlimit="8" joinstyle="miter"/>
                <v:imagedata o:title=""/>
                <o:lock v:ext="edit" aspectratio="f"/>
              </v:rect>
            </w:pict>
          </mc:Fallback>
        </mc:AlternateContent>
      </w:r>
      <w:r>
        <w:rPr>
          <w:rFonts w:ascii="Times New Roman" w:hAnsi="Times New Roman" w:cs="Times New Roman"/>
          <w:color w:val="auto"/>
          <w:lang w:eastAsia="zh-CN"/>
        </w:rPr>
        <w:drawing>
          <wp:inline distT="0" distB="0" distL="0" distR="0">
            <wp:extent cx="8267700" cy="5724525"/>
            <wp:effectExtent l="0" t="0" r="0" b="0"/>
            <wp:docPr id="1827103927" name="图片 138" descr="微信图片_20240522102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103927" name="图片 138" descr="微信图片_20240522102437"/>
                    <pic:cNvPicPr>
                      <a:picLocks noChangeAspect="1" noChangeArrowheads="1"/>
                    </pic:cNvPicPr>
                  </pic:nvPicPr>
                  <pic:blipFill>
                    <a:blip r:embed="rId51">
                      <a:extLst>
                        <a:ext uri="{28A0092B-C50C-407E-A947-70E740481C1C}">
                          <a14:useLocalDpi xmlns:a14="http://schemas.microsoft.com/office/drawing/2010/main" val="0"/>
                        </a:ext>
                      </a:extLst>
                    </a:blip>
                    <a:srcRect l="11781" t="9999" r="11897" b="15300"/>
                    <a:stretch>
                      <a:fillRect/>
                    </a:stretch>
                  </pic:blipFill>
                  <pic:spPr>
                    <a:xfrm>
                      <a:off x="0" y="0"/>
                      <a:ext cx="8267700" cy="5724525"/>
                    </a:xfrm>
                    <a:prstGeom prst="rect">
                      <a:avLst/>
                    </a:prstGeom>
                    <a:noFill/>
                    <a:ln>
                      <a:noFill/>
                    </a:ln>
                  </pic:spPr>
                </pic:pic>
              </a:graphicData>
            </a:graphic>
          </wp:inline>
        </w:drawing>
      </w:r>
    </w:p>
    <w:p w14:paraId="06F41FA2">
      <w:pPr>
        <w:spacing w:line="360" w:lineRule="auto"/>
        <w:ind w:firstLine="482"/>
        <w:jc w:val="center"/>
        <w:rPr>
          <w:rFonts w:ascii="Times New Roman" w:hAnsi="Times New Roman" w:eastAsia="新宋体" w:cs="Times New Roman"/>
          <w:b/>
          <w:bCs/>
          <w:color w:val="auto"/>
          <w:szCs w:val="24"/>
          <w:lang w:eastAsia="zh-CN"/>
        </w:rPr>
      </w:pPr>
      <w:r>
        <w:rPr>
          <w:rFonts w:ascii="Times New Roman" w:hAnsi="Times New Roman" w:cs="Times New Roman"/>
          <w:b/>
          <w:bCs/>
          <w:color w:val="auto"/>
        </w:rPr>
        <mc:AlternateContent>
          <mc:Choice Requires="wps">
            <w:drawing>
              <wp:anchor distT="0" distB="0" distL="114300" distR="114300" simplePos="0" relativeHeight="251880448" behindDoc="0" locked="0" layoutInCell="1" allowOverlap="1">
                <wp:simplePos x="0" y="0"/>
                <wp:positionH relativeFrom="column">
                  <wp:posOffset>3593465</wp:posOffset>
                </wp:positionH>
                <wp:positionV relativeFrom="paragraph">
                  <wp:posOffset>3873500</wp:posOffset>
                </wp:positionV>
                <wp:extent cx="88900" cy="121920"/>
                <wp:effectExtent l="0" t="0" r="6350" b="0"/>
                <wp:wrapNone/>
                <wp:docPr id="823600229" name="单圆角矩形 4"/>
                <wp:cNvGraphicFramePr/>
                <a:graphic xmlns:a="http://schemas.openxmlformats.org/drawingml/2006/main">
                  <a:graphicData uri="http://schemas.microsoft.com/office/word/2010/wordprocessingShape">
                    <wps:wsp>
                      <wps:cNvSpPr/>
                      <wps:spPr>
                        <a:xfrm flipH="1">
                          <a:off x="0" y="0"/>
                          <a:ext cx="88900" cy="121920"/>
                        </a:xfrm>
                        <a:prstGeom prst="round1Rect">
                          <a:avLst/>
                        </a:prstGeom>
                        <a:solidFill>
                          <a:srgbClr val="A9E9E4">
                            <a:lumMod val="40000"/>
                            <a:lumOff val="60000"/>
                          </a:srgbClr>
                        </a:solidFill>
                        <a:ln w="3175" cap="flat" cmpd="sng" algn="ctr">
                          <a:solidFill>
                            <a:srgbClr val="FFFF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单圆角矩形 4" o:spid="_x0000_s1026" style="position:absolute;left:0pt;flip:x;margin-left:282.95pt;margin-top:305pt;height:9.6pt;width:7pt;z-index:251880448;v-text-anchor:middle;mso-width-relative:page;mso-height-relative:page;" fillcolor="#DDF6F4" filled="t" stroked="t" coordsize="88900,121920" o:gfxdata="UEsDBAoAAAAAAIdO4kAAAAAAAAAAAAAAAAAEAAAAZHJzL1BLAwQUAAAACACHTuJA5idCLtUAAAAL&#10;AQAADwAAAGRycy9kb3ducmV2LnhtbE2PPU/DMBCGdyT+g3VIbNSORUIT4nRAQrDSdujoxiaOiM9W&#10;7Dbh33NMMN57j96Pdrf6iV3tnMaACoqNAGaxD2bEQcHx8PqwBZayRqOngFbBt02w625vWt2YsOCH&#10;ve7zwMgEU6MVuJxjw3nqnfU6bUK0SL/PMHud6ZwHbma9kLmfuBSi4l6PSAlOR/vibP+1v3gFi3vb&#10;8jGuVYrycHqXy2MKxUmp+7tCPAPLds1/MPzWp+rQUadzuKBJbFJQVmVNqIKqEDSKiPKpJuVMiqwl&#10;8K7l/zd0P1BLAwQUAAAACACHTuJAi7vtKbICAABLBQAADgAAAGRycy9lMm9Eb2MueG1srVTNbhMx&#10;EL4j8Q6W73R/mrZJ1E0VNQ0gFRpREGfH681a8h+281MegBsXJG5ISFwQD8HjVPAYjO1NmxYOPbCH&#10;1XjG/sbfNzM+PtlIgVbMOq5VhYu9HCOmqK65WlT4zevpkz5GzhNVE6EVq/AVc/hk9PjR8doMWalb&#10;LWpmEYAoN1ybCrfem2GWOdoySdyeNkxBsNFWEg9Lu8hqS9aALkVW5vlhtta2NlZT5hx4JymIO0T7&#10;EEDdNJyyiaZLyZRPqJYJ4oGSa7lxeBRv2zSM+oumccwjUWFg6uMfkoA9D/9sdEyGC0tMy2l3BfKQ&#10;K9zjJAlXkPQGakI8QUvL/4KSnFrtdOP3qJZZIhIVARZFfk+by5YYFrmA1M7ciO7+Hyx9uZpZxOsK&#10;98v9wzwvywFGikgo/PXHz9dfPvz+/unX1x/XP7+hXhBrbdwQzlyame1WDszAfNNYiRrBzTPoqqgF&#10;sEObKPXVjdRs4xEFZ78/yKEGFCJFWQzKWIksoQQ0Y51/yrREwaiw1UtVF6+gnBGZrM6dh/xwYLsx&#10;HHJa8HrKhYgLu5ifCotWBEo/HpwNznrxrFjKF7pO7l4OX+oBcEOnJDfokNyA7xJMzHUHXyi0rvB+&#10;cXQANAgMQgMNCKY0IKZTC4yIWMCEUW9j3juHO9SUbgrfbb5dDoHchLg27YsI6baSexhCwSUoGS67&#10;lU8ouGioUapKsOa6voISW5163xk65QB7TpyfEQvNDmWA58BfwK8RGjjpzsKo1fb9v/xhP/QgRDFa&#10;w/AA4XdLYhlG4rmC7hwUvV6YtrjoHRxBeZHdjcx3I2opTzUUqYCHx9Bohv1ebM3GavkWXo1xyAoh&#10;oijkTtJ2i1OfhhreHcrG47gNJswQf64uDd22pNLjpdcNj81zq04nGsxYrHP3HoQh3l3HXbdv4Og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IAUA&#10;AFtDb250ZW50X1R5cGVzXS54bWxQSwECFAAKAAAAAACHTuJAAAAAAAAAAAAAAAAABgAAAAAAAAAA&#10;ABAAAAACBAAAX3JlbHMvUEsBAhQAFAAAAAgAh07iQIoUZjzRAAAAlAEAAAsAAAAAAAAAAQAgAAAA&#10;JgQAAF9yZWxzLy5yZWxzUEsBAhQACgAAAAAAh07iQAAAAAAAAAAAAAAAAAQAAAAAAAAAAAAQAAAA&#10;AAAAAGRycy9QSwECFAAUAAAACACHTuJA5idCLtUAAAALAQAADwAAAAAAAAABACAAAAAiAAAAZHJz&#10;L2Rvd25yZXYueG1sUEsBAhQAFAAAAAgAh07iQIu77SmyAgAASwUAAA4AAAAAAAAAAQAgAAAAJAEA&#10;AGRycy9lMm9Eb2MueG1sUEsFBgAAAAAGAAYAWQEAAEgGAAAAAA==&#10;" path="m0,0l74083,0c82266,0,88899,6633,88899,14816l88900,121920,0,121920xe">
                <v:path o:connectlocs="44450,0;0,60960;44450,121920;88900,60960" o:connectangles="247,164,82,0"/>
                <v:fill on="t" focussize="0,0"/>
                <v:stroke weight="0.25pt" color="#FFFF00" miterlimit="8" joinstyle="miter"/>
                <v:imagedata o:title=""/>
                <o:lock v:ext="edit" aspectratio="f"/>
              </v:shape>
            </w:pict>
          </mc:Fallback>
        </mc:AlternateContent>
      </w:r>
      <w:r>
        <w:rPr>
          <w:rFonts w:ascii="Times New Roman" w:hAnsi="Times New Roman" w:eastAsia="新宋体" w:cs="Times New Roman"/>
          <w:b/>
          <w:bCs/>
          <w:color w:val="auto"/>
          <w:szCs w:val="24"/>
          <w:lang w:eastAsia="zh-CN"/>
        </w:rPr>
        <w:t>图2.5-</w:t>
      </w:r>
      <w:r>
        <w:rPr>
          <w:rFonts w:hint="eastAsia" w:ascii="Times New Roman" w:hAnsi="Times New Roman" w:eastAsia="新宋体" w:cs="Times New Roman"/>
          <w:b/>
          <w:bCs/>
          <w:color w:val="auto"/>
          <w:szCs w:val="24"/>
          <w:lang w:eastAsia="zh-CN"/>
        </w:rPr>
        <w:t>2</w:t>
      </w:r>
      <w:r>
        <w:rPr>
          <w:rFonts w:ascii="Times New Roman" w:hAnsi="Times New Roman" w:eastAsia="新宋体" w:cs="Times New Roman"/>
          <w:b/>
          <w:bCs/>
          <w:color w:val="auto"/>
          <w:szCs w:val="24"/>
          <w:lang w:eastAsia="zh-CN"/>
        </w:rPr>
        <w:t xml:space="preserve"> 拟建项目与蚌埠精细化工高新技术产业基地规划符合性图</w:t>
      </w:r>
    </w:p>
    <w:p w14:paraId="497B5C88">
      <w:pPr>
        <w:pStyle w:val="42"/>
        <w:jc w:val="center"/>
        <w:sectPr>
          <w:pgSz w:w="16838" w:h="11906" w:orient="landscape"/>
          <w:pgMar w:top="1080" w:right="1440" w:bottom="1080" w:left="1440" w:header="851" w:footer="992" w:gutter="0"/>
          <w:cols w:space="720" w:num="1"/>
          <w:docGrid w:type="lines" w:linePitch="326" w:charSpace="0"/>
        </w:sectPr>
      </w:pPr>
    </w:p>
    <w:p w14:paraId="1C999F88">
      <w:pPr>
        <w:spacing w:line="360" w:lineRule="auto"/>
        <w:ind w:firstLine="482"/>
        <w:jc w:val="both"/>
        <w:outlineLvl w:val="3"/>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2.5.3.</w:t>
      </w:r>
      <w:r>
        <w:rPr>
          <w:rFonts w:hint="eastAsia" w:ascii="Times New Roman" w:hAnsi="Times New Roman" w:eastAsia="新宋体" w:cs="Times New Roman"/>
          <w:b/>
          <w:bCs/>
          <w:color w:val="auto"/>
          <w:szCs w:val="24"/>
          <w:lang w:eastAsia="zh-CN"/>
        </w:rPr>
        <w:t>3</w:t>
      </w:r>
      <w:r>
        <w:rPr>
          <w:rFonts w:ascii="Times New Roman" w:hAnsi="Times New Roman" w:eastAsia="新宋体" w:cs="Times New Roman"/>
          <w:b/>
          <w:bCs/>
          <w:color w:val="auto"/>
          <w:szCs w:val="24"/>
          <w:lang w:eastAsia="zh-CN"/>
        </w:rPr>
        <w:t xml:space="preserve"> 与蚌埠精细化工高新技术产业基地规划（2021～2035）环境影响报告书及审查意见要求相符性</w:t>
      </w:r>
    </w:p>
    <w:p w14:paraId="4C89DAE1">
      <w:pPr>
        <w:spacing w:line="360" w:lineRule="auto"/>
        <w:ind w:firstLine="480" w:firstLineChars="200"/>
        <w:jc w:val="both"/>
        <w:rPr>
          <w:rFonts w:ascii="Times New Roman" w:hAnsi="Times New Roman" w:cs="Times New Roman"/>
          <w:color w:val="auto"/>
          <w:szCs w:val="24"/>
          <w:lang w:eastAsia="zh-CN"/>
        </w:rPr>
      </w:pPr>
      <w:bookmarkStart w:id="350" w:name="_Hlk202966745"/>
      <w:r>
        <w:rPr>
          <w:rFonts w:ascii="Times New Roman" w:hAnsi="Times New Roman" w:cs="Times New Roman"/>
          <w:color w:val="auto"/>
          <w:szCs w:val="24"/>
          <w:lang w:eastAsia="zh-CN"/>
        </w:rPr>
        <w:t>2006年安徽省发展和改革委员会以发改高技[2006]941号批准在沫河口镇区设置“蚌埠精细化工高新技术产业基地”。</w:t>
      </w:r>
    </w:p>
    <w:p w14:paraId="5F9EC599">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2008年蚌埠市人民政府下达了《关于在五河经济开发区沫河口设立蚌埠精细化工高新技术产业基地的通知》（蚌政[2008]69号），总规划面积约5.8平方公里，规划产业定位精细化工。2009年4月29日，原蚌埠市环境保护局出具了《关于蚌埠精细化工高新技术产业基地规划环境影响报告书的审查意见》（蚌环许[2009]38号）。</w:t>
      </w:r>
    </w:p>
    <w:p w14:paraId="690F72F2">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2015年蚌埠市人民政府下达了《关于进一步拓展淮上区沫河口园区精细化工高新技术产业基地四至范围的通知》（蚌政秘[2015]104号），蚌埠精细化工高新技术产业基地扩展至7.7平方公里，主导产业为精细化工、医药化工、生物化工。2016年4月29日，原蚌埠市环境保护局出具了《关于蚌埠精细化工高新技术产业基地扩区规划环境影响报告书审查意见的函》（蚌环许[2016]19号）。</w:t>
      </w:r>
    </w:p>
    <w:p w14:paraId="10B98B21">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2017年3月1日，蚌埠市人民政府下发了《蚌埠市人民政府关于延伸沫河口园区精细化工高新技术产业基地四至范围的批复》规划面积由7.7平方公里扩大至8.6平方公里。</w:t>
      </w:r>
    </w:p>
    <w:p w14:paraId="391B22F7">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 xml:space="preserve">2021年4月19日《安徽省人民政府关于同意认定第一批安徽省化工园区的批复》（皖政秘[2021]93号文）公布了安徽省第一批化工园区名单，认定蚌埠淮上化工园规划面积为7.7平方公里。                                                                                                                                                                                                                                                                                                                                                                                                                                                                                                                                                                                                                                                                                                                                                                                                                                                                                                                                                                                                                                                                                                                                                                                                                                                                                                                                                                                                                                                                                                                                                                                                                                                                                                                                                                                                                                                                                                                                            </w:t>
      </w:r>
    </w:p>
    <w:p w14:paraId="61193D7D">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2021年7月，安徽蚌埠淮上经济开发区管委会委托安徽富煌建筑设计院有限公司编制《蚌埠精细化工高新技术产业基地规划（2021～2035）》。</w:t>
      </w:r>
    </w:p>
    <w:p w14:paraId="2058C37F">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2022年2月15日，蚌埠市自然资源和规划局下达了《关于核定沫河口园区精细化工高新技术产业基地四至范围和面积的通知》，沫河口园区精细化工高新技术产业基地上报面积860公顷，四至范围为：东至金滨路、南至南环路、西至三铺大沟、北至五蚌路。</w:t>
      </w:r>
    </w:p>
    <w:p w14:paraId="0850A5DF">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2022年2月，安徽省柏瑞环保科技咨询有限公司编制了《蚌埠精细化工高新技术产业基地规划（2021-2035）环境影响报告书》，2022年2月17日，蚌埠市生态环境局以蚌环字﹝2022﹞18号关于《蚌埠精细化工高新技术产业基地规划（2021-2035）环境影响报告书审查意见》的函对蚌埠精细化工高新技术产业基地规划（2021-2035）环评进行了批复</w:t>
      </w:r>
      <w:bookmarkEnd w:id="350"/>
      <w:r>
        <w:rPr>
          <w:rFonts w:ascii="Times New Roman" w:hAnsi="Times New Roman" w:cs="Times New Roman"/>
          <w:color w:val="auto"/>
          <w:szCs w:val="24"/>
          <w:lang w:eastAsia="zh-CN"/>
        </w:rPr>
        <w:t>。</w:t>
      </w:r>
    </w:p>
    <w:p w14:paraId="18F82179">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1、与园区规划环评生态环境准入清单符合性分析</w:t>
      </w:r>
    </w:p>
    <w:p w14:paraId="0228E10C">
      <w:pPr>
        <w:widowControl w:val="0"/>
        <w:spacing w:line="360" w:lineRule="auto"/>
        <w:ind w:firstLine="480" w:firstLineChars="200"/>
        <w:jc w:val="both"/>
        <w:rPr>
          <w:rFonts w:ascii="Times New Roman" w:hAnsi="Times New Roman" w:eastAsia="新宋体" w:cs="Times New Roman"/>
          <w:color w:val="auto"/>
          <w:szCs w:val="24"/>
          <w:lang w:eastAsia="zh-CN"/>
        </w:rPr>
      </w:pPr>
      <w:bookmarkStart w:id="351" w:name="_Hlk202966766"/>
      <w:r>
        <w:rPr>
          <w:rFonts w:ascii="Times New Roman" w:hAnsi="Times New Roman" w:eastAsia="新宋体" w:cs="Times New Roman"/>
          <w:color w:val="auto"/>
          <w:szCs w:val="24"/>
          <w:lang w:eastAsia="zh-CN"/>
        </w:rPr>
        <w:t>根据《产业结构调整指导目录（2024年本）》、《外商投资产业指导目录（2017年修订）》等国家产业政策，安徽省和蚌埠市“三线一单”成果要求、《蚌埠市化工园区项目准入条件（试行）》等最新法规、政策及规划要求，蚌埠精细化工高新技术产业基地生态环境准入清单如下：</w:t>
      </w:r>
    </w:p>
    <w:p w14:paraId="754E44C6">
      <w:pPr>
        <w:spacing w:line="360" w:lineRule="auto"/>
        <w:jc w:val="center"/>
        <w:rPr>
          <w:rFonts w:ascii="Times New Roman" w:hAnsi="Times New Roman" w:cs="Times New Roman"/>
          <w:color w:val="auto"/>
          <w:lang w:eastAsia="zh-CN"/>
        </w:rPr>
      </w:pPr>
      <w:r>
        <w:rPr>
          <w:rFonts w:ascii="Times New Roman" w:hAnsi="Times New Roman" w:cs="Times New Roman"/>
          <w:b/>
          <w:bCs/>
          <w:color w:val="auto"/>
          <w:lang w:eastAsia="zh-CN"/>
        </w:rPr>
        <w:t>表2.5-1 蚌埠精细化工高新技术产业基地生态环境准入清单</w:t>
      </w:r>
    </w:p>
    <w:tbl>
      <w:tblPr>
        <w:tblStyle w:val="35"/>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1783"/>
        <w:gridCol w:w="2751"/>
        <w:gridCol w:w="323"/>
        <w:gridCol w:w="3626"/>
      </w:tblGrid>
      <w:tr w14:paraId="60BEA6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Align w:val="center"/>
          </w:tcPr>
          <w:p w14:paraId="56B161B5">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管控类别</w:t>
            </w:r>
          </w:p>
        </w:tc>
        <w:tc>
          <w:tcPr>
            <w:tcW w:w="915" w:type="pct"/>
            <w:vAlign w:val="center"/>
          </w:tcPr>
          <w:p w14:paraId="6DFE3E62">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产业类别</w:t>
            </w:r>
          </w:p>
        </w:tc>
        <w:tc>
          <w:tcPr>
            <w:tcW w:w="3440" w:type="pct"/>
            <w:gridSpan w:val="3"/>
            <w:vAlign w:val="center"/>
          </w:tcPr>
          <w:p w14:paraId="4DAC2971">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准入要求</w:t>
            </w:r>
          </w:p>
        </w:tc>
      </w:tr>
      <w:tr w14:paraId="05CE55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restart"/>
            <w:vAlign w:val="center"/>
          </w:tcPr>
          <w:p w14:paraId="0D19616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鼓励类</w:t>
            </w:r>
          </w:p>
        </w:tc>
        <w:tc>
          <w:tcPr>
            <w:tcW w:w="915" w:type="pct"/>
            <w:vAlign w:val="center"/>
          </w:tcPr>
          <w:p w14:paraId="21BA5AF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生物基新材料</w:t>
            </w:r>
          </w:p>
        </w:tc>
        <w:tc>
          <w:tcPr>
            <w:tcW w:w="1578" w:type="pct"/>
            <w:gridSpan w:val="2"/>
            <w:vAlign w:val="center"/>
          </w:tcPr>
          <w:p w14:paraId="053FEE6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C28化学纤维制造业</w:t>
            </w:r>
          </w:p>
        </w:tc>
        <w:tc>
          <w:tcPr>
            <w:tcW w:w="1862" w:type="pct"/>
            <w:vAlign w:val="center"/>
          </w:tcPr>
          <w:p w14:paraId="00A99BE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C283生物基材料制造</w:t>
            </w:r>
          </w:p>
        </w:tc>
      </w:tr>
      <w:tr w14:paraId="23575F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57BA354D">
            <w:pPr>
              <w:adjustRightInd w:val="0"/>
              <w:snapToGrid w:val="0"/>
              <w:jc w:val="center"/>
              <w:rPr>
                <w:rFonts w:ascii="Times New Roman" w:hAnsi="Times New Roman" w:cs="Times New Roman"/>
                <w:color w:val="auto"/>
                <w:sz w:val="21"/>
              </w:rPr>
            </w:pPr>
          </w:p>
        </w:tc>
        <w:tc>
          <w:tcPr>
            <w:tcW w:w="915" w:type="pct"/>
            <w:vMerge w:val="restart"/>
            <w:vAlign w:val="center"/>
          </w:tcPr>
          <w:p w14:paraId="1D9BB3A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医药化工</w:t>
            </w:r>
          </w:p>
        </w:tc>
        <w:tc>
          <w:tcPr>
            <w:tcW w:w="1578" w:type="pct"/>
            <w:gridSpan w:val="2"/>
            <w:vMerge w:val="restart"/>
            <w:vAlign w:val="center"/>
          </w:tcPr>
          <w:p w14:paraId="7948F99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C27医药制造业</w:t>
            </w:r>
          </w:p>
        </w:tc>
        <w:tc>
          <w:tcPr>
            <w:tcW w:w="1862" w:type="pct"/>
            <w:vAlign w:val="center"/>
          </w:tcPr>
          <w:p w14:paraId="7F9C1ED2">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C271化学药品原料药制造</w:t>
            </w:r>
          </w:p>
        </w:tc>
      </w:tr>
      <w:tr w14:paraId="24E509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6A0A56EE">
            <w:pPr>
              <w:adjustRightInd w:val="0"/>
              <w:snapToGrid w:val="0"/>
              <w:jc w:val="center"/>
              <w:rPr>
                <w:rFonts w:ascii="Times New Roman" w:hAnsi="Times New Roman" w:cs="Times New Roman"/>
                <w:color w:val="auto"/>
                <w:sz w:val="21"/>
                <w:lang w:eastAsia="zh-CN"/>
              </w:rPr>
            </w:pPr>
          </w:p>
        </w:tc>
        <w:tc>
          <w:tcPr>
            <w:tcW w:w="915" w:type="pct"/>
            <w:vMerge w:val="continue"/>
            <w:vAlign w:val="center"/>
          </w:tcPr>
          <w:p w14:paraId="29B5E97D">
            <w:pPr>
              <w:adjustRightInd w:val="0"/>
              <w:snapToGrid w:val="0"/>
              <w:jc w:val="center"/>
              <w:rPr>
                <w:rFonts w:ascii="Times New Roman" w:hAnsi="Times New Roman" w:cs="Times New Roman"/>
                <w:color w:val="auto"/>
                <w:sz w:val="21"/>
                <w:lang w:eastAsia="zh-CN"/>
              </w:rPr>
            </w:pPr>
          </w:p>
        </w:tc>
        <w:tc>
          <w:tcPr>
            <w:tcW w:w="1578" w:type="pct"/>
            <w:gridSpan w:val="2"/>
            <w:vMerge w:val="continue"/>
            <w:vAlign w:val="center"/>
          </w:tcPr>
          <w:p w14:paraId="42CB3202">
            <w:pPr>
              <w:adjustRightInd w:val="0"/>
              <w:snapToGrid w:val="0"/>
              <w:jc w:val="center"/>
              <w:rPr>
                <w:rFonts w:ascii="Times New Roman" w:hAnsi="Times New Roman" w:cs="Times New Roman"/>
                <w:color w:val="auto"/>
                <w:sz w:val="21"/>
                <w:lang w:eastAsia="zh-CN"/>
              </w:rPr>
            </w:pPr>
          </w:p>
        </w:tc>
        <w:tc>
          <w:tcPr>
            <w:tcW w:w="1862" w:type="pct"/>
            <w:vAlign w:val="center"/>
          </w:tcPr>
          <w:p w14:paraId="084A492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C272化学药品制剂制造</w:t>
            </w:r>
          </w:p>
        </w:tc>
      </w:tr>
      <w:tr w14:paraId="2C9413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019CE88D">
            <w:pPr>
              <w:adjustRightInd w:val="0"/>
              <w:snapToGrid w:val="0"/>
              <w:jc w:val="center"/>
              <w:rPr>
                <w:rFonts w:ascii="Times New Roman" w:hAnsi="Times New Roman" w:cs="Times New Roman"/>
                <w:color w:val="auto"/>
                <w:sz w:val="21"/>
              </w:rPr>
            </w:pPr>
          </w:p>
        </w:tc>
        <w:tc>
          <w:tcPr>
            <w:tcW w:w="915" w:type="pct"/>
            <w:vMerge w:val="continue"/>
            <w:vAlign w:val="center"/>
          </w:tcPr>
          <w:p w14:paraId="7B92125B">
            <w:pPr>
              <w:adjustRightInd w:val="0"/>
              <w:snapToGrid w:val="0"/>
              <w:jc w:val="center"/>
              <w:rPr>
                <w:rFonts w:ascii="Times New Roman" w:hAnsi="Times New Roman" w:cs="Times New Roman"/>
                <w:color w:val="auto"/>
                <w:sz w:val="21"/>
              </w:rPr>
            </w:pPr>
          </w:p>
        </w:tc>
        <w:tc>
          <w:tcPr>
            <w:tcW w:w="1578" w:type="pct"/>
            <w:gridSpan w:val="2"/>
            <w:vMerge w:val="continue"/>
            <w:vAlign w:val="center"/>
          </w:tcPr>
          <w:p w14:paraId="2DD7228C">
            <w:pPr>
              <w:adjustRightInd w:val="0"/>
              <w:snapToGrid w:val="0"/>
              <w:jc w:val="center"/>
              <w:rPr>
                <w:rFonts w:ascii="Times New Roman" w:hAnsi="Times New Roman" w:cs="Times New Roman"/>
                <w:color w:val="auto"/>
                <w:sz w:val="21"/>
              </w:rPr>
            </w:pPr>
          </w:p>
        </w:tc>
        <w:tc>
          <w:tcPr>
            <w:tcW w:w="1862" w:type="pct"/>
            <w:vAlign w:val="center"/>
          </w:tcPr>
          <w:p w14:paraId="3155330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C273中药饮片加工</w:t>
            </w:r>
          </w:p>
        </w:tc>
      </w:tr>
      <w:tr w14:paraId="7CCB70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47B15C13">
            <w:pPr>
              <w:adjustRightInd w:val="0"/>
              <w:snapToGrid w:val="0"/>
              <w:jc w:val="center"/>
              <w:rPr>
                <w:rFonts w:ascii="Times New Roman" w:hAnsi="Times New Roman" w:cs="Times New Roman"/>
                <w:color w:val="auto"/>
                <w:sz w:val="21"/>
              </w:rPr>
            </w:pPr>
          </w:p>
        </w:tc>
        <w:tc>
          <w:tcPr>
            <w:tcW w:w="915" w:type="pct"/>
            <w:vMerge w:val="continue"/>
            <w:vAlign w:val="center"/>
          </w:tcPr>
          <w:p w14:paraId="7A2628DA">
            <w:pPr>
              <w:adjustRightInd w:val="0"/>
              <w:snapToGrid w:val="0"/>
              <w:jc w:val="center"/>
              <w:rPr>
                <w:rFonts w:ascii="Times New Roman" w:hAnsi="Times New Roman" w:cs="Times New Roman"/>
                <w:color w:val="auto"/>
                <w:sz w:val="21"/>
              </w:rPr>
            </w:pPr>
          </w:p>
        </w:tc>
        <w:tc>
          <w:tcPr>
            <w:tcW w:w="1578" w:type="pct"/>
            <w:gridSpan w:val="2"/>
            <w:vMerge w:val="continue"/>
            <w:vAlign w:val="center"/>
          </w:tcPr>
          <w:p w14:paraId="24FA3F3D">
            <w:pPr>
              <w:adjustRightInd w:val="0"/>
              <w:snapToGrid w:val="0"/>
              <w:jc w:val="center"/>
              <w:rPr>
                <w:rFonts w:ascii="Times New Roman" w:hAnsi="Times New Roman" w:cs="Times New Roman"/>
                <w:color w:val="auto"/>
                <w:sz w:val="21"/>
              </w:rPr>
            </w:pPr>
          </w:p>
        </w:tc>
        <w:tc>
          <w:tcPr>
            <w:tcW w:w="1862" w:type="pct"/>
            <w:vAlign w:val="center"/>
          </w:tcPr>
          <w:p w14:paraId="2F58CD5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C274中成药生产</w:t>
            </w:r>
          </w:p>
        </w:tc>
      </w:tr>
      <w:tr w14:paraId="7360A8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23A9D686">
            <w:pPr>
              <w:adjustRightInd w:val="0"/>
              <w:snapToGrid w:val="0"/>
              <w:jc w:val="center"/>
              <w:rPr>
                <w:rFonts w:ascii="Times New Roman" w:hAnsi="Times New Roman" w:cs="Times New Roman"/>
                <w:color w:val="auto"/>
                <w:sz w:val="21"/>
              </w:rPr>
            </w:pPr>
          </w:p>
        </w:tc>
        <w:tc>
          <w:tcPr>
            <w:tcW w:w="915" w:type="pct"/>
            <w:vMerge w:val="continue"/>
            <w:vAlign w:val="center"/>
          </w:tcPr>
          <w:p w14:paraId="45978B8D">
            <w:pPr>
              <w:adjustRightInd w:val="0"/>
              <w:snapToGrid w:val="0"/>
              <w:jc w:val="center"/>
              <w:rPr>
                <w:rFonts w:ascii="Times New Roman" w:hAnsi="Times New Roman" w:cs="Times New Roman"/>
                <w:color w:val="auto"/>
                <w:sz w:val="21"/>
              </w:rPr>
            </w:pPr>
          </w:p>
        </w:tc>
        <w:tc>
          <w:tcPr>
            <w:tcW w:w="1578" w:type="pct"/>
            <w:gridSpan w:val="2"/>
            <w:vMerge w:val="continue"/>
            <w:vAlign w:val="center"/>
          </w:tcPr>
          <w:p w14:paraId="61D174E4">
            <w:pPr>
              <w:adjustRightInd w:val="0"/>
              <w:snapToGrid w:val="0"/>
              <w:jc w:val="center"/>
              <w:rPr>
                <w:rFonts w:ascii="Times New Roman" w:hAnsi="Times New Roman" w:cs="Times New Roman"/>
                <w:color w:val="auto"/>
                <w:sz w:val="21"/>
              </w:rPr>
            </w:pPr>
          </w:p>
        </w:tc>
        <w:tc>
          <w:tcPr>
            <w:tcW w:w="1862" w:type="pct"/>
            <w:vAlign w:val="center"/>
          </w:tcPr>
          <w:p w14:paraId="3B7E326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C275兽用药品制造</w:t>
            </w:r>
          </w:p>
        </w:tc>
      </w:tr>
      <w:tr w14:paraId="64DCD5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5E3F7FEC">
            <w:pPr>
              <w:adjustRightInd w:val="0"/>
              <w:snapToGrid w:val="0"/>
              <w:jc w:val="center"/>
              <w:rPr>
                <w:rFonts w:ascii="Times New Roman" w:hAnsi="Times New Roman" w:cs="Times New Roman"/>
                <w:color w:val="auto"/>
                <w:sz w:val="21"/>
              </w:rPr>
            </w:pPr>
          </w:p>
        </w:tc>
        <w:tc>
          <w:tcPr>
            <w:tcW w:w="915" w:type="pct"/>
            <w:vMerge w:val="continue"/>
            <w:vAlign w:val="center"/>
          </w:tcPr>
          <w:p w14:paraId="451B5960">
            <w:pPr>
              <w:adjustRightInd w:val="0"/>
              <w:snapToGrid w:val="0"/>
              <w:jc w:val="center"/>
              <w:rPr>
                <w:rFonts w:ascii="Times New Roman" w:hAnsi="Times New Roman" w:cs="Times New Roman"/>
                <w:color w:val="auto"/>
                <w:sz w:val="21"/>
              </w:rPr>
            </w:pPr>
          </w:p>
        </w:tc>
        <w:tc>
          <w:tcPr>
            <w:tcW w:w="1578" w:type="pct"/>
            <w:gridSpan w:val="2"/>
            <w:vMerge w:val="continue"/>
            <w:vAlign w:val="center"/>
          </w:tcPr>
          <w:p w14:paraId="45408D25">
            <w:pPr>
              <w:adjustRightInd w:val="0"/>
              <w:snapToGrid w:val="0"/>
              <w:jc w:val="center"/>
              <w:rPr>
                <w:rFonts w:ascii="Times New Roman" w:hAnsi="Times New Roman" w:cs="Times New Roman"/>
                <w:color w:val="auto"/>
                <w:sz w:val="21"/>
              </w:rPr>
            </w:pPr>
          </w:p>
        </w:tc>
        <w:tc>
          <w:tcPr>
            <w:tcW w:w="1862" w:type="pct"/>
            <w:vAlign w:val="center"/>
          </w:tcPr>
          <w:p w14:paraId="5873930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C276生物药品制品制造</w:t>
            </w:r>
          </w:p>
        </w:tc>
      </w:tr>
      <w:tr w14:paraId="3CF766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06ECEFCF">
            <w:pPr>
              <w:adjustRightInd w:val="0"/>
              <w:snapToGrid w:val="0"/>
              <w:jc w:val="center"/>
              <w:rPr>
                <w:rFonts w:ascii="Times New Roman" w:hAnsi="Times New Roman" w:cs="Times New Roman"/>
                <w:color w:val="auto"/>
                <w:sz w:val="21"/>
              </w:rPr>
            </w:pPr>
          </w:p>
        </w:tc>
        <w:tc>
          <w:tcPr>
            <w:tcW w:w="915" w:type="pct"/>
            <w:vMerge w:val="continue"/>
            <w:vAlign w:val="center"/>
          </w:tcPr>
          <w:p w14:paraId="4AB89497">
            <w:pPr>
              <w:adjustRightInd w:val="0"/>
              <w:snapToGrid w:val="0"/>
              <w:jc w:val="center"/>
              <w:rPr>
                <w:rFonts w:ascii="Times New Roman" w:hAnsi="Times New Roman" w:cs="Times New Roman"/>
                <w:color w:val="auto"/>
                <w:sz w:val="21"/>
              </w:rPr>
            </w:pPr>
          </w:p>
        </w:tc>
        <w:tc>
          <w:tcPr>
            <w:tcW w:w="1578" w:type="pct"/>
            <w:gridSpan w:val="2"/>
            <w:vMerge w:val="continue"/>
            <w:vAlign w:val="center"/>
          </w:tcPr>
          <w:p w14:paraId="26294E22">
            <w:pPr>
              <w:adjustRightInd w:val="0"/>
              <w:snapToGrid w:val="0"/>
              <w:jc w:val="center"/>
              <w:rPr>
                <w:rFonts w:ascii="Times New Roman" w:hAnsi="Times New Roman" w:cs="Times New Roman"/>
                <w:color w:val="auto"/>
                <w:sz w:val="21"/>
              </w:rPr>
            </w:pPr>
          </w:p>
        </w:tc>
        <w:tc>
          <w:tcPr>
            <w:tcW w:w="1862" w:type="pct"/>
            <w:vAlign w:val="center"/>
          </w:tcPr>
          <w:p w14:paraId="19A729B3">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C277卫生材料及医药用品制造</w:t>
            </w:r>
          </w:p>
        </w:tc>
      </w:tr>
      <w:tr w14:paraId="658ED0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7A150ED8">
            <w:pPr>
              <w:adjustRightInd w:val="0"/>
              <w:snapToGrid w:val="0"/>
              <w:jc w:val="center"/>
              <w:rPr>
                <w:rFonts w:ascii="Times New Roman" w:hAnsi="Times New Roman" w:cs="Times New Roman"/>
                <w:color w:val="auto"/>
                <w:sz w:val="21"/>
                <w:lang w:eastAsia="zh-CN"/>
              </w:rPr>
            </w:pPr>
          </w:p>
        </w:tc>
        <w:tc>
          <w:tcPr>
            <w:tcW w:w="915" w:type="pct"/>
            <w:vMerge w:val="continue"/>
            <w:vAlign w:val="center"/>
          </w:tcPr>
          <w:p w14:paraId="14E76A09">
            <w:pPr>
              <w:adjustRightInd w:val="0"/>
              <w:snapToGrid w:val="0"/>
              <w:jc w:val="center"/>
              <w:rPr>
                <w:rFonts w:ascii="Times New Roman" w:hAnsi="Times New Roman" w:cs="Times New Roman"/>
                <w:color w:val="auto"/>
                <w:sz w:val="21"/>
                <w:lang w:eastAsia="zh-CN"/>
              </w:rPr>
            </w:pPr>
          </w:p>
        </w:tc>
        <w:tc>
          <w:tcPr>
            <w:tcW w:w="1578" w:type="pct"/>
            <w:gridSpan w:val="2"/>
            <w:vMerge w:val="continue"/>
            <w:vAlign w:val="center"/>
          </w:tcPr>
          <w:p w14:paraId="0CDB8E99">
            <w:pPr>
              <w:adjustRightInd w:val="0"/>
              <w:snapToGrid w:val="0"/>
              <w:jc w:val="center"/>
              <w:rPr>
                <w:rFonts w:ascii="Times New Roman" w:hAnsi="Times New Roman" w:cs="Times New Roman"/>
                <w:color w:val="auto"/>
                <w:sz w:val="21"/>
                <w:lang w:eastAsia="zh-CN"/>
              </w:rPr>
            </w:pPr>
          </w:p>
        </w:tc>
        <w:tc>
          <w:tcPr>
            <w:tcW w:w="1862" w:type="pct"/>
            <w:vAlign w:val="center"/>
          </w:tcPr>
          <w:p w14:paraId="5DFA4751">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C278药用辅料及包装材料</w:t>
            </w:r>
          </w:p>
        </w:tc>
      </w:tr>
      <w:tr w14:paraId="09607A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32D09CED">
            <w:pPr>
              <w:adjustRightInd w:val="0"/>
              <w:snapToGrid w:val="0"/>
              <w:jc w:val="center"/>
              <w:rPr>
                <w:rFonts w:ascii="Times New Roman" w:hAnsi="Times New Roman" w:cs="Times New Roman"/>
                <w:color w:val="auto"/>
                <w:sz w:val="21"/>
                <w:lang w:eastAsia="zh-CN"/>
              </w:rPr>
            </w:pPr>
          </w:p>
        </w:tc>
        <w:tc>
          <w:tcPr>
            <w:tcW w:w="915" w:type="pct"/>
            <w:vMerge w:val="restart"/>
            <w:vAlign w:val="center"/>
          </w:tcPr>
          <w:p w14:paraId="082102E6">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精细化工</w:t>
            </w:r>
          </w:p>
        </w:tc>
        <w:tc>
          <w:tcPr>
            <w:tcW w:w="1578" w:type="pct"/>
            <w:gridSpan w:val="2"/>
            <w:vMerge w:val="restart"/>
            <w:vAlign w:val="center"/>
          </w:tcPr>
          <w:p w14:paraId="7578DA0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C261基础化学原料制造</w:t>
            </w:r>
          </w:p>
        </w:tc>
        <w:tc>
          <w:tcPr>
            <w:tcW w:w="1862" w:type="pct"/>
            <w:vAlign w:val="center"/>
          </w:tcPr>
          <w:p w14:paraId="3850A89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C2614 有机化学原料制造</w:t>
            </w:r>
          </w:p>
        </w:tc>
      </w:tr>
      <w:tr w14:paraId="45EE66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5540C6D2">
            <w:pPr>
              <w:adjustRightInd w:val="0"/>
              <w:snapToGrid w:val="0"/>
              <w:jc w:val="center"/>
              <w:rPr>
                <w:rFonts w:ascii="Times New Roman" w:hAnsi="Times New Roman" w:cs="Times New Roman"/>
                <w:color w:val="auto"/>
                <w:sz w:val="21"/>
              </w:rPr>
            </w:pPr>
          </w:p>
        </w:tc>
        <w:tc>
          <w:tcPr>
            <w:tcW w:w="915" w:type="pct"/>
            <w:vMerge w:val="continue"/>
            <w:vAlign w:val="center"/>
          </w:tcPr>
          <w:p w14:paraId="311840E1">
            <w:pPr>
              <w:adjustRightInd w:val="0"/>
              <w:snapToGrid w:val="0"/>
              <w:jc w:val="center"/>
              <w:rPr>
                <w:rFonts w:ascii="Times New Roman" w:hAnsi="Times New Roman" w:cs="Times New Roman"/>
                <w:color w:val="auto"/>
                <w:sz w:val="21"/>
              </w:rPr>
            </w:pPr>
          </w:p>
        </w:tc>
        <w:tc>
          <w:tcPr>
            <w:tcW w:w="1578" w:type="pct"/>
            <w:gridSpan w:val="2"/>
            <w:vMerge w:val="continue"/>
            <w:vAlign w:val="center"/>
          </w:tcPr>
          <w:p w14:paraId="0A7DC25F">
            <w:pPr>
              <w:adjustRightInd w:val="0"/>
              <w:snapToGrid w:val="0"/>
              <w:jc w:val="center"/>
              <w:rPr>
                <w:rFonts w:ascii="Times New Roman" w:hAnsi="Times New Roman" w:cs="Times New Roman"/>
                <w:color w:val="auto"/>
                <w:sz w:val="21"/>
              </w:rPr>
            </w:pPr>
          </w:p>
        </w:tc>
        <w:tc>
          <w:tcPr>
            <w:tcW w:w="1862" w:type="pct"/>
            <w:vAlign w:val="center"/>
          </w:tcPr>
          <w:p w14:paraId="159666B2">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C2619 其它基础化学原料制造</w:t>
            </w:r>
          </w:p>
        </w:tc>
      </w:tr>
      <w:tr w14:paraId="0283CB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65D65A54">
            <w:pPr>
              <w:adjustRightInd w:val="0"/>
              <w:snapToGrid w:val="0"/>
              <w:jc w:val="center"/>
              <w:rPr>
                <w:rFonts w:ascii="Times New Roman" w:hAnsi="Times New Roman" w:cs="Times New Roman"/>
                <w:color w:val="auto"/>
                <w:sz w:val="21"/>
                <w:lang w:eastAsia="zh-CN"/>
              </w:rPr>
            </w:pPr>
          </w:p>
        </w:tc>
        <w:tc>
          <w:tcPr>
            <w:tcW w:w="915" w:type="pct"/>
            <w:vMerge w:val="continue"/>
            <w:vAlign w:val="center"/>
          </w:tcPr>
          <w:p w14:paraId="6B542C9E">
            <w:pPr>
              <w:adjustRightInd w:val="0"/>
              <w:snapToGrid w:val="0"/>
              <w:jc w:val="center"/>
              <w:rPr>
                <w:rFonts w:ascii="Times New Roman" w:hAnsi="Times New Roman" w:cs="Times New Roman"/>
                <w:color w:val="auto"/>
                <w:sz w:val="21"/>
                <w:lang w:eastAsia="zh-CN"/>
              </w:rPr>
            </w:pPr>
          </w:p>
        </w:tc>
        <w:tc>
          <w:tcPr>
            <w:tcW w:w="1578" w:type="pct"/>
            <w:gridSpan w:val="2"/>
            <w:vMerge w:val="restart"/>
            <w:vAlign w:val="center"/>
          </w:tcPr>
          <w:p w14:paraId="17409D0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C262肥料制造</w:t>
            </w:r>
          </w:p>
        </w:tc>
        <w:tc>
          <w:tcPr>
            <w:tcW w:w="1862" w:type="pct"/>
            <w:vAlign w:val="center"/>
          </w:tcPr>
          <w:p w14:paraId="24D4606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C2624 复混肥料制造</w:t>
            </w:r>
          </w:p>
        </w:tc>
      </w:tr>
      <w:tr w14:paraId="24D0DE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1510A370">
            <w:pPr>
              <w:adjustRightInd w:val="0"/>
              <w:snapToGrid w:val="0"/>
              <w:jc w:val="center"/>
              <w:rPr>
                <w:rFonts w:ascii="Times New Roman" w:hAnsi="Times New Roman" w:cs="Times New Roman"/>
                <w:color w:val="auto"/>
                <w:sz w:val="21"/>
              </w:rPr>
            </w:pPr>
          </w:p>
        </w:tc>
        <w:tc>
          <w:tcPr>
            <w:tcW w:w="915" w:type="pct"/>
            <w:vMerge w:val="continue"/>
            <w:vAlign w:val="center"/>
          </w:tcPr>
          <w:p w14:paraId="3A5AB5A4">
            <w:pPr>
              <w:adjustRightInd w:val="0"/>
              <w:snapToGrid w:val="0"/>
              <w:jc w:val="center"/>
              <w:rPr>
                <w:rFonts w:ascii="Times New Roman" w:hAnsi="Times New Roman" w:cs="Times New Roman"/>
                <w:color w:val="auto"/>
                <w:sz w:val="21"/>
              </w:rPr>
            </w:pPr>
          </w:p>
        </w:tc>
        <w:tc>
          <w:tcPr>
            <w:tcW w:w="1578" w:type="pct"/>
            <w:gridSpan w:val="2"/>
            <w:vMerge w:val="continue"/>
            <w:vAlign w:val="center"/>
          </w:tcPr>
          <w:p w14:paraId="44F716AA">
            <w:pPr>
              <w:adjustRightInd w:val="0"/>
              <w:snapToGrid w:val="0"/>
              <w:jc w:val="center"/>
              <w:rPr>
                <w:rFonts w:ascii="Times New Roman" w:hAnsi="Times New Roman" w:cs="Times New Roman"/>
                <w:color w:val="auto"/>
                <w:sz w:val="21"/>
              </w:rPr>
            </w:pPr>
          </w:p>
        </w:tc>
        <w:tc>
          <w:tcPr>
            <w:tcW w:w="1862" w:type="pct"/>
            <w:vAlign w:val="center"/>
          </w:tcPr>
          <w:p w14:paraId="562D598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C2625 有机肥料及微生物肥料制造</w:t>
            </w:r>
          </w:p>
        </w:tc>
      </w:tr>
      <w:tr w14:paraId="0C2DB4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7BF66B69">
            <w:pPr>
              <w:adjustRightInd w:val="0"/>
              <w:snapToGrid w:val="0"/>
              <w:jc w:val="center"/>
              <w:rPr>
                <w:rFonts w:ascii="Times New Roman" w:hAnsi="Times New Roman" w:cs="Times New Roman"/>
                <w:color w:val="auto"/>
                <w:sz w:val="21"/>
              </w:rPr>
            </w:pPr>
          </w:p>
        </w:tc>
        <w:tc>
          <w:tcPr>
            <w:tcW w:w="915" w:type="pct"/>
            <w:vMerge w:val="continue"/>
            <w:vAlign w:val="center"/>
          </w:tcPr>
          <w:p w14:paraId="37839115">
            <w:pPr>
              <w:adjustRightInd w:val="0"/>
              <w:snapToGrid w:val="0"/>
              <w:jc w:val="center"/>
              <w:rPr>
                <w:rFonts w:ascii="Times New Roman" w:hAnsi="Times New Roman" w:cs="Times New Roman"/>
                <w:color w:val="auto"/>
                <w:sz w:val="21"/>
              </w:rPr>
            </w:pPr>
          </w:p>
        </w:tc>
        <w:tc>
          <w:tcPr>
            <w:tcW w:w="1578" w:type="pct"/>
            <w:gridSpan w:val="2"/>
            <w:vMerge w:val="continue"/>
            <w:vAlign w:val="center"/>
          </w:tcPr>
          <w:p w14:paraId="4D61A8DF">
            <w:pPr>
              <w:adjustRightInd w:val="0"/>
              <w:snapToGrid w:val="0"/>
              <w:jc w:val="center"/>
              <w:rPr>
                <w:rFonts w:ascii="Times New Roman" w:hAnsi="Times New Roman" w:cs="Times New Roman"/>
                <w:color w:val="auto"/>
                <w:sz w:val="21"/>
              </w:rPr>
            </w:pPr>
          </w:p>
        </w:tc>
        <w:tc>
          <w:tcPr>
            <w:tcW w:w="1862" w:type="pct"/>
            <w:vAlign w:val="center"/>
          </w:tcPr>
          <w:p w14:paraId="36984F7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C2629 其它肥料制造</w:t>
            </w:r>
          </w:p>
        </w:tc>
      </w:tr>
      <w:tr w14:paraId="383BEE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506C5036">
            <w:pPr>
              <w:adjustRightInd w:val="0"/>
              <w:snapToGrid w:val="0"/>
              <w:jc w:val="center"/>
              <w:rPr>
                <w:rFonts w:ascii="Times New Roman" w:hAnsi="Times New Roman" w:cs="Times New Roman"/>
                <w:color w:val="auto"/>
                <w:sz w:val="21"/>
              </w:rPr>
            </w:pPr>
          </w:p>
        </w:tc>
        <w:tc>
          <w:tcPr>
            <w:tcW w:w="915" w:type="pct"/>
            <w:vMerge w:val="continue"/>
            <w:vAlign w:val="center"/>
          </w:tcPr>
          <w:p w14:paraId="664E02F4">
            <w:pPr>
              <w:adjustRightInd w:val="0"/>
              <w:snapToGrid w:val="0"/>
              <w:jc w:val="center"/>
              <w:rPr>
                <w:rFonts w:ascii="Times New Roman" w:hAnsi="Times New Roman" w:cs="Times New Roman"/>
                <w:color w:val="auto"/>
                <w:sz w:val="21"/>
              </w:rPr>
            </w:pPr>
          </w:p>
        </w:tc>
        <w:tc>
          <w:tcPr>
            <w:tcW w:w="1578" w:type="pct"/>
            <w:gridSpan w:val="2"/>
            <w:vAlign w:val="center"/>
          </w:tcPr>
          <w:p w14:paraId="59D4349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C263农药制造</w:t>
            </w:r>
          </w:p>
        </w:tc>
        <w:tc>
          <w:tcPr>
            <w:tcW w:w="1862" w:type="pct"/>
            <w:vAlign w:val="center"/>
          </w:tcPr>
          <w:p w14:paraId="3CF2588D">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C2631 化学农药制造</w:t>
            </w:r>
          </w:p>
        </w:tc>
      </w:tr>
      <w:tr w14:paraId="06D02E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6E4A6598">
            <w:pPr>
              <w:adjustRightInd w:val="0"/>
              <w:snapToGrid w:val="0"/>
              <w:jc w:val="center"/>
              <w:rPr>
                <w:rFonts w:ascii="Times New Roman" w:hAnsi="Times New Roman" w:cs="Times New Roman"/>
                <w:color w:val="auto"/>
                <w:sz w:val="21"/>
              </w:rPr>
            </w:pPr>
          </w:p>
        </w:tc>
        <w:tc>
          <w:tcPr>
            <w:tcW w:w="915" w:type="pct"/>
            <w:vMerge w:val="continue"/>
            <w:vAlign w:val="center"/>
          </w:tcPr>
          <w:p w14:paraId="37287473">
            <w:pPr>
              <w:adjustRightInd w:val="0"/>
              <w:snapToGrid w:val="0"/>
              <w:jc w:val="center"/>
              <w:rPr>
                <w:rFonts w:ascii="Times New Roman" w:hAnsi="Times New Roman" w:cs="Times New Roman"/>
                <w:color w:val="auto"/>
                <w:sz w:val="21"/>
              </w:rPr>
            </w:pPr>
          </w:p>
        </w:tc>
        <w:tc>
          <w:tcPr>
            <w:tcW w:w="1578" w:type="pct"/>
            <w:gridSpan w:val="2"/>
            <w:vMerge w:val="restart"/>
            <w:vAlign w:val="center"/>
          </w:tcPr>
          <w:p w14:paraId="26083FEA">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C264 涂料、油墨、颜料及类似产品制造</w:t>
            </w:r>
          </w:p>
        </w:tc>
        <w:tc>
          <w:tcPr>
            <w:tcW w:w="1862" w:type="pct"/>
            <w:vAlign w:val="center"/>
          </w:tcPr>
          <w:p w14:paraId="2588A93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C2641 涂料制造</w:t>
            </w:r>
          </w:p>
        </w:tc>
      </w:tr>
      <w:tr w14:paraId="2ED2B0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7B9E1CB7">
            <w:pPr>
              <w:adjustRightInd w:val="0"/>
              <w:snapToGrid w:val="0"/>
              <w:jc w:val="center"/>
              <w:rPr>
                <w:rFonts w:ascii="Times New Roman" w:hAnsi="Times New Roman" w:cs="Times New Roman"/>
                <w:color w:val="auto"/>
                <w:sz w:val="21"/>
              </w:rPr>
            </w:pPr>
          </w:p>
        </w:tc>
        <w:tc>
          <w:tcPr>
            <w:tcW w:w="915" w:type="pct"/>
            <w:vMerge w:val="continue"/>
            <w:vAlign w:val="center"/>
          </w:tcPr>
          <w:p w14:paraId="7BC095AF">
            <w:pPr>
              <w:adjustRightInd w:val="0"/>
              <w:snapToGrid w:val="0"/>
              <w:jc w:val="center"/>
              <w:rPr>
                <w:rFonts w:ascii="Times New Roman" w:hAnsi="Times New Roman" w:cs="Times New Roman"/>
                <w:color w:val="auto"/>
                <w:sz w:val="21"/>
              </w:rPr>
            </w:pPr>
          </w:p>
        </w:tc>
        <w:tc>
          <w:tcPr>
            <w:tcW w:w="1578" w:type="pct"/>
            <w:gridSpan w:val="2"/>
            <w:vMerge w:val="continue"/>
            <w:vAlign w:val="center"/>
          </w:tcPr>
          <w:p w14:paraId="263B487F">
            <w:pPr>
              <w:adjustRightInd w:val="0"/>
              <w:snapToGrid w:val="0"/>
              <w:jc w:val="center"/>
              <w:rPr>
                <w:rFonts w:ascii="Times New Roman" w:hAnsi="Times New Roman" w:cs="Times New Roman"/>
                <w:color w:val="auto"/>
                <w:sz w:val="21"/>
              </w:rPr>
            </w:pPr>
          </w:p>
        </w:tc>
        <w:tc>
          <w:tcPr>
            <w:tcW w:w="1862" w:type="pct"/>
            <w:vAlign w:val="center"/>
          </w:tcPr>
          <w:p w14:paraId="4B58F598">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C2642 油墨及类似产品制造</w:t>
            </w:r>
          </w:p>
        </w:tc>
      </w:tr>
      <w:tr w14:paraId="0075F7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63D071E7">
            <w:pPr>
              <w:adjustRightInd w:val="0"/>
              <w:snapToGrid w:val="0"/>
              <w:jc w:val="center"/>
              <w:rPr>
                <w:rFonts w:ascii="Times New Roman" w:hAnsi="Times New Roman" w:cs="Times New Roman"/>
                <w:color w:val="auto"/>
                <w:sz w:val="21"/>
                <w:lang w:eastAsia="zh-CN"/>
              </w:rPr>
            </w:pPr>
          </w:p>
        </w:tc>
        <w:tc>
          <w:tcPr>
            <w:tcW w:w="915" w:type="pct"/>
            <w:vMerge w:val="continue"/>
            <w:vAlign w:val="center"/>
          </w:tcPr>
          <w:p w14:paraId="4EAE8654">
            <w:pPr>
              <w:adjustRightInd w:val="0"/>
              <w:snapToGrid w:val="0"/>
              <w:jc w:val="center"/>
              <w:rPr>
                <w:rFonts w:ascii="Times New Roman" w:hAnsi="Times New Roman" w:cs="Times New Roman"/>
                <w:color w:val="auto"/>
                <w:sz w:val="21"/>
                <w:lang w:eastAsia="zh-CN"/>
              </w:rPr>
            </w:pPr>
          </w:p>
        </w:tc>
        <w:tc>
          <w:tcPr>
            <w:tcW w:w="1578" w:type="pct"/>
            <w:gridSpan w:val="2"/>
            <w:vMerge w:val="continue"/>
            <w:vAlign w:val="center"/>
          </w:tcPr>
          <w:p w14:paraId="1864356F">
            <w:pPr>
              <w:adjustRightInd w:val="0"/>
              <w:snapToGrid w:val="0"/>
              <w:jc w:val="center"/>
              <w:rPr>
                <w:rFonts w:ascii="Times New Roman" w:hAnsi="Times New Roman" w:cs="Times New Roman"/>
                <w:color w:val="auto"/>
                <w:sz w:val="21"/>
                <w:lang w:eastAsia="zh-CN"/>
              </w:rPr>
            </w:pPr>
          </w:p>
        </w:tc>
        <w:tc>
          <w:tcPr>
            <w:tcW w:w="1862" w:type="pct"/>
            <w:vAlign w:val="center"/>
          </w:tcPr>
          <w:p w14:paraId="5762B2E6">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C2643 工业颜料制造</w:t>
            </w:r>
          </w:p>
        </w:tc>
      </w:tr>
      <w:tr w14:paraId="36F615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48AA69D4">
            <w:pPr>
              <w:adjustRightInd w:val="0"/>
              <w:snapToGrid w:val="0"/>
              <w:jc w:val="center"/>
              <w:rPr>
                <w:rFonts w:ascii="Times New Roman" w:hAnsi="Times New Roman" w:cs="Times New Roman"/>
                <w:color w:val="auto"/>
                <w:sz w:val="21"/>
              </w:rPr>
            </w:pPr>
          </w:p>
        </w:tc>
        <w:tc>
          <w:tcPr>
            <w:tcW w:w="915" w:type="pct"/>
            <w:vMerge w:val="continue"/>
            <w:vAlign w:val="center"/>
          </w:tcPr>
          <w:p w14:paraId="4CAAD1A4">
            <w:pPr>
              <w:adjustRightInd w:val="0"/>
              <w:snapToGrid w:val="0"/>
              <w:jc w:val="center"/>
              <w:rPr>
                <w:rFonts w:ascii="Times New Roman" w:hAnsi="Times New Roman" w:cs="Times New Roman"/>
                <w:color w:val="auto"/>
                <w:sz w:val="21"/>
              </w:rPr>
            </w:pPr>
          </w:p>
        </w:tc>
        <w:tc>
          <w:tcPr>
            <w:tcW w:w="1578" w:type="pct"/>
            <w:gridSpan w:val="2"/>
            <w:vMerge w:val="continue"/>
            <w:vAlign w:val="center"/>
          </w:tcPr>
          <w:p w14:paraId="50396DE6">
            <w:pPr>
              <w:adjustRightInd w:val="0"/>
              <w:snapToGrid w:val="0"/>
              <w:jc w:val="center"/>
              <w:rPr>
                <w:rFonts w:ascii="Times New Roman" w:hAnsi="Times New Roman" w:cs="Times New Roman"/>
                <w:color w:val="auto"/>
                <w:sz w:val="21"/>
              </w:rPr>
            </w:pPr>
          </w:p>
        </w:tc>
        <w:tc>
          <w:tcPr>
            <w:tcW w:w="1862" w:type="pct"/>
            <w:vAlign w:val="center"/>
          </w:tcPr>
          <w:p w14:paraId="4639EAE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C2645 染料制造</w:t>
            </w:r>
          </w:p>
        </w:tc>
      </w:tr>
      <w:tr w14:paraId="35FCFC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19A20C69">
            <w:pPr>
              <w:adjustRightInd w:val="0"/>
              <w:snapToGrid w:val="0"/>
              <w:jc w:val="center"/>
              <w:rPr>
                <w:rFonts w:ascii="Times New Roman" w:hAnsi="Times New Roman" w:cs="Times New Roman"/>
                <w:color w:val="auto"/>
                <w:sz w:val="21"/>
              </w:rPr>
            </w:pPr>
          </w:p>
        </w:tc>
        <w:tc>
          <w:tcPr>
            <w:tcW w:w="915" w:type="pct"/>
            <w:vMerge w:val="continue"/>
            <w:vAlign w:val="center"/>
          </w:tcPr>
          <w:p w14:paraId="78C2E8FD">
            <w:pPr>
              <w:adjustRightInd w:val="0"/>
              <w:snapToGrid w:val="0"/>
              <w:jc w:val="center"/>
              <w:rPr>
                <w:rFonts w:ascii="Times New Roman" w:hAnsi="Times New Roman" w:cs="Times New Roman"/>
                <w:color w:val="auto"/>
                <w:sz w:val="21"/>
              </w:rPr>
            </w:pPr>
          </w:p>
        </w:tc>
        <w:tc>
          <w:tcPr>
            <w:tcW w:w="1578" w:type="pct"/>
            <w:gridSpan w:val="2"/>
            <w:vMerge w:val="restart"/>
            <w:vAlign w:val="center"/>
          </w:tcPr>
          <w:p w14:paraId="687131B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C265合成材料制造</w:t>
            </w:r>
          </w:p>
        </w:tc>
        <w:tc>
          <w:tcPr>
            <w:tcW w:w="1862" w:type="pct"/>
            <w:vAlign w:val="center"/>
          </w:tcPr>
          <w:p w14:paraId="598DF501">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C2651初级形态塑料及合成树脂制造</w:t>
            </w:r>
          </w:p>
        </w:tc>
      </w:tr>
      <w:tr w14:paraId="0C0B5C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458020EF">
            <w:pPr>
              <w:adjustRightInd w:val="0"/>
              <w:snapToGrid w:val="0"/>
              <w:jc w:val="center"/>
              <w:rPr>
                <w:rFonts w:ascii="Times New Roman" w:hAnsi="Times New Roman" w:cs="Times New Roman"/>
                <w:color w:val="auto"/>
                <w:sz w:val="21"/>
                <w:lang w:eastAsia="zh-CN"/>
              </w:rPr>
            </w:pPr>
          </w:p>
        </w:tc>
        <w:tc>
          <w:tcPr>
            <w:tcW w:w="915" w:type="pct"/>
            <w:vMerge w:val="continue"/>
            <w:vAlign w:val="center"/>
          </w:tcPr>
          <w:p w14:paraId="5F7C4EEF">
            <w:pPr>
              <w:adjustRightInd w:val="0"/>
              <w:snapToGrid w:val="0"/>
              <w:jc w:val="center"/>
              <w:rPr>
                <w:rFonts w:ascii="Times New Roman" w:hAnsi="Times New Roman" w:cs="Times New Roman"/>
                <w:color w:val="auto"/>
                <w:sz w:val="21"/>
                <w:lang w:eastAsia="zh-CN"/>
              </w:rPr>
            </w:pPr>
          </w:p>
        </w:tc>
        <w:tc>
          <w:tcPr>
            <w:tcW w:w="1578" w:type="pct"/>
            <w:gridSpan w:val="2"/>
            <w:vMerge w:val="continue"/>
            <w:vAlign w:val="center"/>
          </w:tcPr>
          <w:p w14:paraId="3EED060F">
            <w:pPr>
              <w:adjustRightInd w:val="0"/>
              <w:snapToGrid w:val="0"/>
              <w:jc w:val="center"/>
              <w:rPr>
                <w:rFonts w:ascii="Times New Roman" w:hAnsi="Times New Roman" w:cs="Times New Roman"/>
                <w:color w:val="auto"/>
                <w:sz w:val="21"/>
                <w:lang w:eastAsia="zh-CN"/>
              </w:rPr>
            </w:pPr>
          </w:p>
        </w:tc>
        <w:tc>
          <w:tcPr>
            <w:tcW w:w="1862" w:type="pct"/>
            <w:vAlign w:val="center"/>
          </w:tcPr>
          <w:p w14:paraId="260E421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C2653合成纤维单（聚合）体制造</w:t>
            </w:r>
          </w:p>
        </w:tc>
      </w:tr>
      <w:tr w14:paraId="51FE53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2AE79D85">
            <w:pPr>
              <w:adjustRightInd w:val="0"/>
              <w:snapToGrid w:val="0"/>
              <w:jc w:val="center"/>
              <w:rPr>
                <w:rFonts w:ascii="Times New Roman" w:hAnsi="Times New Roman" w:cs="Times New Roman"/>
                <w:color w:val="auto"/>
                <w:sz w:val="21"/>
                <w:lang w:eastAsia="zh-CN"/>
              </w:rPr>
            </w:pPr>
          </w:p>
        </w:tc>
        <w:tc>
          <w:tcPr>
            <w:tcW w:w="915" w:type="pct"/>
            <w:vMerge w:val="continue"/>
            <w:vAlign w:val="center"/>
          </w:tcPr>
          <w:p w14:paraId="1292D20F">
            <w:pPr>
              <w:adjustRightInd w:val="0"/>
              <w:snapToGrid w:val="0"/>
              <w:jc w:val="center"/>
              <w:rPr>
                <w:rFonts w:ascii="Times New Roman" w:hAnsi="Times New Roman" w:cs="Times New Roman"/>
                <w:color w:val="auto"/>
                <w:sz w:val="21"/>
                <w:lang w:eastAsia="zh-CN"/>
              </w:rPr>
            </w:pPr>
          </w:p>
        </w:tc>
        <w:tc>
          <w:tcPr>
            <w:tcW w:w="1578" w:type="pct"/>
            <w:gridSpan w:val="2"/>
            <w:vMerge w:val="continue"/>
            <w:vAlign w:val="center"/>
          </w:tcPr>
          <w:p w14:paraId="25913BA7">
            <w:pPr>
              <w:adjustRightInd w:val="0"/>
              <w:snapToGrid w:val="0"/>
              <w:jc w:val="center"/>
              <w:rPr>
                <w:rFonts w:ascii="Times New Roman" w:hAnsi="Times New Roman" w:cs="Times New Roman"/>
                <w:color w:val="auto"/>
                <w:sz w:val="21"/>
                <w:lang w:eastAsia="zh-CN"/>
              </w:rPr>
            </w:pPr>
          </w:p>
        </w:tc>
        <w:tc>
          <w:tcPr>
            <w:tcW w:w="1862" w:type="pct"/>
            <w:vAlign w:val="center"/>
          </w:tcPr>
          <w:p w14:paraId="4FAA43F8">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C2659 其它合成材料制造</w:t>
            </w:r>
          </w:p>
        </w:tc>
      </w:tr>
      <w:tr w14:paraId="2F42C8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24E240C9">
            <w:pPr>
              <w:adjustRightInd w:val="0"/>
              <w:snapToGrid w:val="0"/>
              <w:jc w:val="center"/>
              <w:rPr>
                <w:rFonts w:ascii="Times New Roman" w:hAnsi="Times New Roman" w:cs="Times New Roman"/>
                <w:color w:val="auto"/>
                <w:sz w:val="21"/>
              </w:rPr>
            </w:pPr>
          </w:p>
        </w:tc>
        <w:tc>
          <w:tcPr>
            <w:tcW w:w="915" w:type="pct"/>
            <w:vMerge w:val="continue"/>
            <w:vAlign w:val="center"/>
          </w:tcPr>
          <w:p w14:paraId="16DC19EA">
            <w:pPr>
              <w:adjustRightInd w:val="0"/>
              <w:snapToGrid w:val="0"/>
              <w:jc w:val="center"/>
              <w:rPr>
                <w:rFonts w:ascii="Times New Roman" w:hAnsi="Times New Roman" w:cs="Times New Roman"/>
                <w:color w:val="auto"/>
                <w:sz w:val="21"/>
              </w:rPr>
            </w:pPr>
          </w:p>
        </w:tc>
        <w:tc>
          <w:tcPr>
            <w:tcW w:w="3440" w:type="pct"/>
            <w:gridSpan w:val="3"/>
            <w:vAlign w:val="center"/>
          </w:tcPr>
          <w:p w14:paraId="14DAF702">
            <w:pPr>
              <w:adjustRightInd w:val="0"/>
              <w:snapToGrid w:val="0"/>
              <w:jc w:val="center"/>
              <w:rPr>
                <w:rFonts w:ascii="Times New Roman" w:hAnsi="Times New Roman" w:cs="Times New Roman"/>
                <w:b/>
                <w:color w:val="auto"/>
                <w:sz w:val="21"/>
              </w:rPr>
            </w:pPr>
            <w:r>
              <w:rPr>
                <w:rFonts w:ascii="Times New Roman" w:hAnsi="Times New Roman" w:cs="Times New Roman"/>
                <w:bCs/>
                <w:color w:val="auto"/>
                <w:sz w:val="21"/>
              </w:rPr>
              <w:t>C266专用化学产品制造</w:t>
            </w:r>
          </w:p>
        </w:tc>
      </w:tr>
      <w:tr w14:paraId="1F5955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301CD428">
            <w:pPr>
              <w:adjustRightInd w:val="0"/>
              <w:snapToGrid w:val="0"/>
              <w:jc w:val="center"/>
              <w:rPr>
                <w:rFonts w:ascii="Times New Roman" w:hAnsi="Times New Roman" w:cs="Times New Roman"/>
                <w:color w:val="auto"/>
                <w:sz w:val="21"/>
              </w:rPr>
            </w:pPr>
          </w:p>
        </w:tc>
        <w:tc>
          <w:tcPr>
            <w:tcW w:w="915" w:type="pct"/>
            <w:vMerge w:val="continue"/>
            <w:vAlign w:val="center"/>
          </w:tcPr>
          <w:p w14:paraId="5D03CAE9">
            <w:pPr>
              <w:adjustRightInd w:val="0"/>
              <w:snapToGrid w:val="0"/>
              <w:jc w:val="center"/>
              <w:rPr>
                <w:rFonts w:ascii="Times New Roman" w:hAnsi="Times New Roman" w:cs="Times New Roman"/>
                <w:color w:val="auto"/>
                <w:sz w:val="21"/>
              </w:rPr>
            </w:pPr>
          </w:p>
        </w:tc>
        <w:tc>
          <w:tcPr>
            <w:tcW w:w="3440" w:type="pct"/>
            <w:gridSpan w:val="3"/>
            <w:vAlign w:val="center"/>
          </w:tcPr>
          <w:p w14:paraId="758C385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C268日用化学产品制造</w:t>
            </w:r>
          </w:p>
        </w:tc>
      </w:tr>
      <w:tr w14:paraId="417E2F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646" w:type="pct"/>
            <w:vMerge w:val="continue"/>
            <w:vAlign w:val="center"/>
          </w:tcPr>
          <w:p w14:paraId="4142C236">
            <w:pPr>
              <w:adjustRightInd w:val="0"/>
              <w:snapToGrid w:val="0"/>
              <w:jc w:val="center"/>
              <w:rPr>
                <w:rFonts w:ascii="Times New Roman" w:hAnsi="Times New Roman" w:cs="Times New Roman"/>
                <w:color w:val="auto"/>
                <w:sz w:val="21"/>
              </w:rPr>
            </w:pPr>
          </w:p>
        </w:tc>
        <w:tc>
          <w:tcPr>
            <w:tcW w:w="915" w:type="pct"/>
            <w:vAlign w:val="center"/>
          </w:tcPr>
          <w:p w14:paraId="39216C48">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电子化学</w:t>
            </w:r>
          </w:p>
        </w:tc>
        <w:tc>
          <w:tcPr>
            <w:tcW w:w="1412" w:type="pct"/>
            <w:vAlign w:val="center"/>
          </w:tcPr>
          <w:p w14:paraId="5243D7C1">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C39计算机、通信和其他电子设备制造业</w:t>
            </w:r>
          </w:p>
        </w:tc>
        <w:tc>
          <w:tcPr>
            <w:tcW w:w="2028" w:type="pct"/>
            <w:gridSpan w:val="2"/>
            <w:vAlign w:val="center"/>
          </w:tcPr>
          <w:p w14:paraId="0FB8D98A">
            <w:pPr>
              <w:adjustRightInd w:val="0"/>
              <w:snapToGrid w:val="0"/>
              <w:jc w:val="center"/>
              <w:rPr>
                <w:rFonts w:ascii="Times New Roman" w:hAnsi="Times New Roman" w:cs="Times New Roman"/>
                <w:b/>
                <w:color w:val="auto"/>
                <w:sz w:val="21"/>
                <w:lang w:eastAsia="zh-CN"/>
              </w:rPr>
            </w:pPr>
            <w:r>
              <w:rPr>
                <w:rFonts w:ascii="Times New Roman" w:hAnsi="Times New Roman" w:cs="Times New Roman"/>
                <w:bCs/>
                <w:color w:val="auto"/>
                <w:sz w:val="21"/>
                <w:lang w:eastAsia="zh-CN"/>
              </w:rPr>
              <w:t>C398电子元件及电子专用材料制造</w:t>
            </w:r>
          </w:p>
        </w:tc>
      </w:tr>
      <w:tr w14:paraId="0B0387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restart"/>
            <w:vAlign w:val="center"/>
          </w:tcPr>
          <w:p w14:paraId="20E25D4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禁止类</w:t>
            </w:r>
          </w:p>
        </w:tc>
        <w:tc>
          <w:tcPr>
            <w:tcW w:w="915" w:type="pct"/>
            <w:vMerge w:val="restart"/>
            <w:vAlign w:val="center"/>
          </w:tcPr>
          <w:p w14:paraId="27213C4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机械设备制造</w:t>
            </w:r>
          </w:p>
        </w:tc>
        <w:tc>
          <w:tcPr>
            <w:tcW w:w="3440" w:type="pct"/>
            <w:gridSpan w:val="3"/>
            <w:vAlign w:val="center"/>
          </w:tcPr>
          <w:p w14:paraId="4112D85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C34通用设备制造业</w:t>
            </w:r>
          </w:p>
        </w:tc>
      </w:tr>
      <w:tr w14:paraId="7870F8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2164F0C9">
            <w:pPr>
              <w:adjustRightInd w:val="0"/>
              <w:snapToGrid w:val="0"/>
              <w:jc w:val="center"/>
              <w:rPr>
                <w:rFonts w:ascii="Times New Roman" w:hAnsi="Times New Roman" w:cs="Times New Roman"/>
                <w:color w:val="auto"/>
                <w:sz w:val="21"/>
              </w:rPr>
            </w:pPr>
          </w:p>
        </w:tc>
        <w:tc>
          <w:tcPr>
            <w:tcW w:w="915" w:type="pct"/>
            <w:vMerge w:val="continue"/>
            <w:vAlign w:val="center"/>
          </w:tcPr>
          <w:p w14:paraId="38760E09">
            <w:pPr>
              <w:adjustRightInd w:val="0"/>
              <w:snapToGrid w:val="0"/>
              <w:jc w:val="center"/>
              <w:rPr>
                <w:rFonts w:ascii="Times New Roman" w:hAnsi="Times New Roman" w:cs="Times New Roman"/>
                <w:color w:val="auto"/>
                <w:sz w:val="21"/>
              </w:rPr>
            </w:pPr>
          </w:p>
        </w:tc>
        <w:tc>
          <w:tcPr>
            <w:tcW w:w="3440" w:type="pct"/>
            <w:gridSpan w:val="3"/>
            <w:vAlign w:val="center"/>
          </w:tcPr>
          <w:p w14:paraId="24053FE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C35专用设备制造业</w:t>
            </w:r>
          </w:p>
        </w:tc>
      </w:tr>
      <w:tr w14:paraId="7863E2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2103BF4F">
            <w:pPr>
              <w:adjustRightInd w:val="0"/>
              <w:snapToGrid w:val="0"/>
              <w:jc w:val="center"/>
              <w:rPr>
                <w:rFonts w:ascii="Times New Roman" w:hAnsi="Times New Roman" w:cs="Times New Roman"/>
                <w:color w:val="auto"/>
                <w:sz w:val="21"/>
              </w:rPr>
            </w:pPr>
          </w:p>
        </w:tc>
        <w:tc>
          <w:tcPr>
            <w:tcW w:w="915" w:type="pct"/>
            <w:vMerge w:val="restart"/>
            <w:vAlign w:val="center"/>
          </w:tcPr>
          <w:p w14:paraId="27CF005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E47房屋建筑业</w:t>
            </w:r>
          </w:p>
        </w:tc>
        <w:tc>
          <w:tcPr>
            <w:tcW w:w="3440" w:type="pct"/>
            <w:gridSpan w:val="3"/>
            <w:vAlign w:val="center"/>
          </w:tcPr>
          <w:p w14:paraId="4B4D87E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C4710住宅房屋建筑</w:t>
            </w:r>
          </w:p>
        </w:tc>
      </w:tr>
      <w:tr w14:paraId="58DDE9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2AEA3964">
            <w:pPr>
              <w:adjustRightInd w:val="0"/>
              <w:snapToGrid w:val="0"/>
              <w:jc w:val="center"/>
              <w:rPr>
                <w:rFonts w:ascii="Times New Roman" w:hAnsi="Times New Roman" w:cs="Times New Roman"/>
                <w:color w:val="auto"/>
                <w:sz w:val="21"/>
              </w:rPr>
            </w:pPr>
          </w:p>
        </w:tc>
        <w:tc>
          <w:tcPr>
            <w:tcW w:w="915" w:type="pct"/>
            <w:vMerge w:val="continue"/>
            <w:vAlign w:val="center"/>
          </w:tcPr>
          <w:p w14:paraId="76A869E5">
            <w:pPr>
              <w:adjustRightInd w:val="0"/>
              <w:snapToGrid w:val="0"/>
              <w:jc w:val="center"/>
              <w:rPr>
                <w:rFonts w:ascii="Times New Roman" w:hAnsi="Times New Roman" w:cs="Times New Roman"/>
                <w:color w:val="auto"/>
                <w:sz w:val="21"/>
              </w:rPr>
            </w:pPr>
          </w:p>
        </w:tc>
        <w:tc>
          <w:tcPr>
            <w:tcW w:w="3440" w:type="pct"/>
            <w:gridSpan w:val="3"/>
            <w:vAlign w:val="center"/>
          </w:tcPr>
          <w:p w14:paraId="35F37BB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C4720体育场馆建筑</w:t>
            </w:r>
          </w:p>
        </w:tc>
      </w:tr>
      <w:tr w14:paraId="59F6F9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544D3127">
            <w:pPr>
              <w:adjustRightInd w:val="0"/>
              <w:snapToGrid w:val="0"/>
              <w:jc w:val="center"/>
              <w:rPr>
                <w:rFonts w:ascii="Times New Roman" w:hAnsi="Times New Roman" w:cs="Times New Roman"/>
                <w:color w:val="auto"/>
                <w:sz w:val="21"/>
              </w:rPr>
            </w:pPr>
          </w:p>
        </w:tc>
        <w:tc>
          <w:tcPr>
            <w:tcW w:w="915" w:type="pct"/>
            <w:vMerge w:val="restart"/>
            <w:vAlign w:val="center"/>
          </w:tcPr>
          <w:p w14:paraId="306385C0">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C32有色金属冶炼和压延加工业</w:t>
            </w:r>
          </w:p>
        </w:tc>
        <w:tc>
          <w:tcPr>
            <w:tcW w:w="3440" w:type="pct"/>
            <w:gridSpan w:val="3"/>
            <w:vAlign w:val="center"/>
          </w:tcPr>
          <w:p w14:paraId="750EF5C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C321常用有色金属冶炼</w:t>
            </w:r>
          </w:p>
        </w:tc>
      </w:tr>
      <w:tr w14:paraId="1963AD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72D278F6">
            <w:pPr>
              <w:adjustRightInd w:val="0"/>
              <w:snapToGrid w:val="0"/>
              <w:jc w:val="center"/>
              <w:rPr>
                <w:rFonts w:ascii="Times New Roman" w:hAnsi="Times New Roman" w:cs="Times New Roman"/>
                <w:color w:val="auto"/>
                <w:sz w:val="21"/>
              </w:rPr>
            </w:pPr>
          </w:p>
        </w:tc>
        <w:tc>
          <w:tcPr>
            <w:tcW w:w="915" w:type="pct"/>
            <w:vMerge w:val="continue"/>
            <w:vAlign w:val="center"/>
          </w:tcPr>
          <w:p w14:paraId="0F77646A">
            <w:pPr>
              <w:adjustRightInd w:val="0"/>
              <w:snapToGrid w:val="0"/>
              <w:jc w:val="center"/>
              <w:rPr>
                <w:rFonts w:ascii="Times New Roman" w:hAnsi="Times New Roman" w:cs="Times New Roman"/>
                <w:color w:val="auto"/>
                <w:sz w:val="21"/>
              </w:rPr>
            </w:pPr>
          </w:p>
        </w:tc>
        <w:tc>
          <w:tcPr>
            <w:tcW w:w="3440" w:type="pct"/>
            <w:gridSpan w:val="3"/>
            <w:vAlign w:val="center"/>
          </w:tcPr>
          <w:p w14:paraId="7253F17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C322贵金属冶炼</w:t>
            </w:r>
          </w:p>
        </w:tc>
      </w:tr>
      <w:tr w14:paraId="28B366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1FFBACF4">
            <w:pPr>
              <w:adjustRightInd w:val="0"/>
              <w:snapToGrid w:val="0"/>
              <w:jc w:val="center"/>
              <w:rPr>
                <w:rFonts w:ascii="Times New Roman" w:hAnsi="Times New Roman" w:cs="Times New Roman"/>
                <w:color w:val="auto"/>
                <w:sz w:val="21"/>
              </w:rPr>
            </w:pPr>
          </w:p>
        </w:tc>
        <w:tc>
          <w:tcPr>
            <w:tcW w:w="915" w:type="pct"/>
            <w:vMerge w:val="continue"/>
            <w:vAlign w:val="center"/>
          </w:tcPr>
          <w:p w14:paraId="1526C18B">
            <w:pPr>
              <w:adjustRightInd w:val="0"/>
              <w:snapToGrid w:val="0"/>
              <w:jc w:val="center"/>
              <w:rPr>
                <w:rFonts w:ascii="Times New Roman" w:hAnsi="Times New Roman" w:cs="Times New Roman"/>
                <w:color w:val="auto"/>
                <w:sz w:val="21"/>
              </w:rPr>
            </w:pPr>
          </w:p>
        </w:tc>
        <w:tc>
          <w:tcPr>
            <w:tcW w:w="3440" w:type="pct"/>
            <w:gridSpan w:val="3"/>
            <w:vAlign w:val="center"/>
          </w:tcPr>
          <w:p w14:paraId="0ADBAE1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C323稀有稀土金属冶炼</w:t>
            </w:r>
          </w:p>
        </w:tc>
      </w:tr>
      <w:tr w14:paraId="12D46E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056A600B">
            <w:pPr>
              <w:adjustRightInd w:val="0"/>
              <w:snapToGrid w:val="0"/>
              <w:jc w:val="center"/>
              <w:rPr>
                <w:rFonts w:ascii="Times New Roman" w:hAnsi="Times New Roman" w:cs="Times New Roman"/>
                <w:color w:val="auto"/>
                <w:sz w:val="21"/>
              </w:rPr>
            </w:pPr>
          </w:p>
        </w:tc>
        <w:tc>
          <w:tcPr>
            <w:tcW w:w="915" w:type="pct"/>
            <w:vMerge w:val="continue"/>
            <w:vAlign w:val="center"/>
          </w:tcPr>
          <w:p w14:paraId="5CF33533">
            <w:pPr>
              <w:adjustRightInd w:val="0"/>
              <w:snapToGrid w:val="0"/>
              <w:jc w:val="center"/>
              <w:rPr>
                <w:rFonts w:ascii="Times New Roman" w:hAnsi="Times New Roman" w:cs="Times New Roman"/>
                <w:color w:val="auto"/>
                <w:sz w:val="21"/>
              </w:rPr>
            </w:pPr>
          </w:p>
        </w:tc>
        <w:tc>
          <w:tcPr>
            <w:tcW w:w="3440" w:type="pct"/>
            <w:gridSpan w:val="3"/>
            <w:vAlign w:val="center"/>
          </w:tcPr>
          <w:p w14:paraId="794CCFF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C324有色金属合金制造</w:t>
            </w:r>
          </w:p>
        </w:tc>
      </w:tr>
      <w:tr w14:paraId="3E89EC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7A910767">
            <w:pPr>
              <w:adjustRightInd w:val="0"/>
              <w:snapToGrid w:val="0"/>
              <w:jc w:val="center"/>
              <w:rPr>
                <w:rFonts w:ascii="Times New Roman" w:hAnsi="Times New Roman" w:cs="Times New Roman"/>
                <w:color w:val="auto"/>
                <w:sz w:val="21"/>
              </w:rPr>
            </w:pPr>
          </w:p>
        </w:tc>
        <w:tc>
          <w:tcPr>
            <w:tcW w:w="915" w:type="pct"/>
            <w:vAlign w:val="center"/>
          </w:tcPr>
          <w:p w14:paraId="28D5F574">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C42 废弃资源综合利用业</w:t>
            </w:r>
          </w:p>
        </w:tc>
        <w:tc>
          <w:tcPr>
            <w:tcW w:w="3440" w:type="pct"/>
            <w:gridSpan w:val="3"/>
            <w:vAlign w:val="center"/>
          </w:tcPr>
          <w:p w14:paraId="33362082">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废旧生铁熔炼；废旧轮胎加工</w:t>
            </w:r>
          </w:p>
        </w:tc>
      </w:tr>
      <w:tr w14:paraId="104564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4C2F8E7F">
            <w:pPr>
              <w:adjustRightInd w:val="0"/>
              <w:snapToGrid w:val="0"/>
              <w:jc w:val="center"/>
              <w:rPr>
                <w:rFonts w:ascii="Times New Roman" w:hAnsi="Times New Roman" w:cs="Times New Roman"/>
                <w:color w:val="auto"/>
                <w:sz w:val="21"/>
                <w:lang w:eastAsia="zh-CN"/>
              </w:rPr>
            </w:pPr>
          </w:p>
        </w:tc>
        <w:tc>
          <w:tcPr>
            <w:tcW w:w="4354" w:type="pct"/>
            <w:gridSpan w:val="4"/>
            <w:vAlign w:val="center"/>
          </w:tcPr>
          <w:p w14:paraId="577A777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C14食品制造业</w:t>
            </w:r>
          </w:p>
        </w:tc>
      </w:tr>
      <w:tr w14:paraId="0F6FF4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51296CED">
            <w:pPr>
              <w:adjustRightInd w:val="0"/>
              <w:snapToGrid w:val="0"/>
              <w:jc w:val="center"/>
              <w:rPr>
                <w:rFonts w:ascii="Times New Roman" w:hAnsi="Times New Roman" w:cs="Times New Roman"/>
                <w:color w:val="auto"/>
                <w:sz w:val="21"/>
              </w:rPr>
            </w:pPr>
          </w:p>
        </w:tc>
        <w:tc>
          <w:tcPr>
            <w:tcW w:w="4354" w:type="pct"/>
            <w:gridSpan w:val="4"/>
            <w:vAlign w:val="center"/>
          </w:tcPr>
          <w:p w14:paraId="3D44B21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C594危险品仓储</w:t>
            </w:r>
          </w:p>
        </w:tc>
      </w:tr>
      <w:tr w14:paraId="4B9470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54F8CB1B">
            <w:pPr>
              <w:adjustRightInd w:val="0"/>
              <w:snapToGrid w:val="0"/>
              <w:jc w:val="center"/>
              <w:rPr>
                <w:rFonts w:ascii="Times New Roman" w:hAnsi="Times New Roman" w:cs="Times New Roman"/>
                <w:color w:val="auto"/>
                <w:sz w:val="21"/>
              </w:rPr>
            </w:pPr>
          </w:p>
        </w:tc>
        <w:tc>
          <w:tcPr>
            <w:tcW w:w="4354" w:type="pct"/>
            <w:gridSpan w:val="4"/>
            <w:vAlign w:val="center"/>
          </w:tcPr>
          <w:p w14:paraId="67949E94">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机制砂、烘干砂、酸洗石英砂类项目；建筑垃圾粉碎及加工项目；大理石加工项目；钢铁、水泥、原油加工、制浆造纸、平板玻璃、有色金属冶炼、多晶硅冶炼等以煤炭为主要原料的高耗能、重污染项目；禁止新建、扩建不符合国家产能置换要求的严重过剩产能行业的项目。</w:t>
            </w:r>
          </w:p>
        </w:tc>
      </w:tr>
      <w:tr w14:paraId="5DC95F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Merge w:val="continue"/>
            <w:vAlign w:val="center"/>
          </w:tcPr>
          <w:p w14:paraId="18AAE012">
            <w:pPr>
              <w:adjustRightInd w:val="0"/>
              <w:snapToGrid w:val="0"/>
              <w:jc w:val="center"/>
              <w:rPr>
                <w:rFonts w:ascii="Times New Roman" w:hAnsi="Times New Roman" w:cs="Times New Roman"/>
                <w:color w:val="auto"/>
                <w:sz w:val="21"/>
                <w:lang w:eastAsia="zh-CN"/>
              </w:rPr>
            </w:pPr>
          </w:p>
        </w:tc>
        <w:tc>
          <w:tcPr>
            <w:tcW w:w="4354" w:type="pct"/>
            <w:gridSpan w:val="4"/>
            <w:vAlign w:val="center"/>
          </w:tcPr>
          <w:p w14:paraId="6E62C26A">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禁止引入列入《产业结构调整指导目录》、《外商投资产业指导目录》、《市场准入负面清单》、《蚌埠市化工园区项目准入条件（试行）》等相关产业政策中禁止或淘汰类项目、产品、工艺和设备。</w:t>
            </w:r>
          </w:p>
        </w:tc>
      </w:tr>
      <w:tr w14:paraId="3DD025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Align w:val="center"/>
          </w:tcPr>
          <w:p w14:paraId="115B1F6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限制类</w:t>
            </w:r>
          </w:p>
        </w:tc>
        <w:tc>
          <w:tcPr>
            <w:tcW w:w="4354" w:type="pct"/>
            <w:gridSpan w:val="4"/>
            <w:vAlign w:val="center"/>
          </w:tcPr>
          <w:p w14:paraId="6FD0EFA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（1）列入《环境保护综合名录》中（三）“高污染、高环境风险”产品名录的项目；</w:t>
            </w:r>
          </w:p>
          <w:p w14:paraId="3D880609">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（2）列入《蚌埠市化工园区项目准入条件（试行）》中限制类项目；</w:t>
            </w:r>
          </w:p>
          <w:p w14:paraId="265C4BAE">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（3）《产业结构调整指导目录》、《外商投资产业指导目录》、《市场准入负面清单》中限制类项目，达不到规模经济的项目。</w:t>
            </w:r>
          </w:p>
        </w:tc>
      </w:tr>
    </w:tbl>
    <w:p w14:paraId="75482B20">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本项目产品为</w:t>
      </w:r>
      <w:r>
        <w:rPr>
          <w:rFonts w:hint="eastAsia" w:ascii="Times New Roman" w:hAnsi="Times New Roman" w:cs="Times New Roman"/>
          <w:color w:val="auto"/>
          <w:szCs w:val="24"/>
          <w:lang w:eastAsia="zh-CN"/>
        </w:rPr>
        <w:t>化学纯氢氟酸、刻蚀液，行业类别为C2669其他专用化学产品制造、C3985电子专用材料制造</w:t>
      </w:r>
      <w:r>
        <w:rPr>
          <w:rFonts w:ascii="Times New Roman" w:hAnsi="Times New Roman" w:cs="Times New Roman"/>
          <w:color w:val="auto"/>
          <w:szCs w:val="24"/>
          <w:lang w:eastAsia="zh-CN"/>
        </w:rPr>
        <w:t>，属于精细化工行业以及电子化学行业</w:t>
      </w:r>
      <w:r>
        <w:rPr>
          <w:rFonts w:ascii="Times New Roman" w:hAnsi="Times New Roman" w:eastAsia="新宋体" w:cs="Times New Roman"/>
          <w:color w:val="auto"/>
          <w:szCs w:val="24"/>
          <w:lang w:eastAsia="zh-CN"/>
        </w:rPr>
        <w:t>，是蚌埠精细化工高新技术产业基地鼓励类</w:t>
      </w:r>
      <w:r>
        <w:rPr>
          <w:rFonts w:ascii="Times New Roman" w:hAnsi="Times New Roman" w:cs="Times New Roman"/>
          <w:bCs/>
          <w:color w:val="auto"/>
          <w:szCs w:val="24"/>
          <w:lang w:eastAsia="zh-CN"/>
        </w:rPr>
        <w:t>项</w:t>
      </w:r>
      <w:r>
        <w:rPr>
          <w:rFonts w:ascii="Times New Roman" w:hAnsi="Times New Roman" w:cs="Times New Roman"/>
          <w:color w:val="auto"/>
          <w:szCs w:val="24"/>
          <w:lang w:eastAsia="zh-CN"/>
        </w:rPr>
        <w:t>目</w:t>
      </w:r>
      <w:bookmarkEnd w:id="351"/>
      <w:r>
        <w:rPr>
          <w:rFonts w:ascii="Times New Roman" w:hAnsi="Times New Roman" w:cs="Times New Roman"/>
          <w:color w:val="auto"/>
          <w:szCs w:val="24"/>
          <w:lang w:eastAsia="zh-CN"/>
        </w:rPr>
        <w:t>。</w:t>
      </w:r>
    </w:p>
    <w:p w14:paraId="6CAB6727">
      <w:pPr>
        <w:spacing w:line="360" w:lineRule="auto"/>
        <w:ind w:firstLine="480" w:firstLineChars="200"/>
        <w:rPr>
          <w:rFonts w:ascii="Times New Roman" w:hAnsi="Times New Roman" w:cs="Times New Roman"/>
          <w:bCs/>
          <w:color w:val="auto"/>
          <w:lang w:eastAsia="zh-CN"/>
        </w:rPr>
      </w:pPr>
      <w:bookmarkStart w:id="352" w:name="_Hlk202966820"/>
      <w:r>
        <w:rPr>
          <w:rFonts w:ascii="Times New Roman" w:hAnsi="Times New Roman" w:cs="Times New Roman"/>
          <w:bCs/>
          <w:color w:val="auto"/>
          <w:lang w:eastAsia="zh-CN"/>
        </w:rPr>
        <w:t>2、与园区规划环评审查意见的相符性分析</w:t>
      </w:r>
    </w:p>
    <w:p w14:paraId="06A13F2E">
      <w:pPr>
        <w:spacing w:line="360" w:lineRule="auto"/>
        <w:ind w:firstLine="482"/>
        <w:jc w:val="center"/>
        <w:rPr>
          <w:rFonts w:ascii="Times New Roman" w:hAnsi="Times New Roman" w:cs="Times New Roman"/>
          <w:color w:val="auto"/>
          <w:lang w:eastAsia="zh-CN"/>
        </w:rPr>
      </w:pPr>
      <w:r>
        <w:rPr>
          <w:rFonts w:ascii="Times New Roman" w:hAnsi="Times New Roman" w:cs="Times New Roman"/>
          <w:b/>
          <w:bCs/>
          <w:color w:val="auto"/>
          <w:lang w:eastAsia="zh-CN"/>
        </w:rPr>
        <w:t>表2.5-2 本项目与规划环评及其审查意见符合性分析</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
      <w:tblGrid>
        <w:gridCol w:w="559"/>
        <w:gridCol w:w="5087"/>
        <w:gridCol w:w="3392"/>
        <w:gridCol w:w="708"/>
      </w:tblGrid>
      <w:tr w14:paraId="6482205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287" w:type="pct"/>
            <w:vAlign w:val="center"/>
          </w:tcPr>
          <w:p w14:paraId="73016C7F">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序号</w:t>
            </w:r>
          </w:p>
        </w:tc>
        <w:tc>
          <w:tcPr>
            <w:tcW w:w="2609" w:type="pct"/>
            <w:vAlign w:val="center"/>
          </w:tcPr>
          <w:p w14:paraId="18AC4B76">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规划环评批复内容</w:t>
            </w:r>
          </w:p>
        </w:tc>
        <w:tc>
          <w:tcPr>
            <w:tcW w:w="1740" w:type="pct"/>
            <w:vAlign w:val="center"/>
          </w:tcPr>
          <w:p w14:paraId="24D7A325">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本项目建设情况</w:t>
            </w:r>
          </w:p>
        </w:tc>
        <w:tc>
          <w:tcPr>
            <w:tcW w:w="363" w:type="pct"/>
            <w:vAlign w:val="center"/>
          </w:tcPr>
          <w:p w14:paraId="7F9A7B89">
            <w:pPr>
              <w:adjustRightInd w:val="0"/>
              <w:snapToGrid w:val="0"/>
              <w:jc w:val="center"/>
              <w:rPr>
                <w:rFonts w:ascii="Times New Roman" w:hAnsi="Times New Roman" w:cs="Times New Roman"/>
                <w:b/>
                <w:color w:val="auto"/>
                <w:spacing w:val="-10"/>
                <w:sz w:val="21"/>
              </w:rPr>
            </w:pPr>
            <w:r>
              <w:rPr>
                <w:rFonts w:ascii="Times New Roman" w:hAnsi="Times New Roman" w:cs="Times New Roman"/>
                <w:b/>
                <w:color w:val="auto"/>
                <w:spacing w:val="-10"/>
                <w:sz w:val="21"/>
              </w:rPr>
              <w:t>符合性分析</w:t>
            </w:r>
          </w:p>
        </w:tc>
      </w:tr>
      <w:tr w14:paraId="3E839F2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287" w:type="pct"/>
            <w:vAlign w:val="center"/>
          </w:tcPr>
          <w:p w14:paraId="6F1FA74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w:t>
            </w:r>
          </w:p>
        </w:tc>
        <w:tc>
          <w:tcPr>
            <w:tcW w:w="2609" w:type="pct"/>
            <w:vAlign w:val="center"/>
          </w:tcPr>
          <w:p w14:paraId="2C60804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严守环境质量底线，落实区域环境质量管控措施。严格执行我省《关于进一步加强建设项目新增大气主要污染物总量指标管理工作的通知》(皖环发〔2017]19号)，在区域大气环境质量稳定达标前，严格限制主要大气污染物排放量大的项目入园，重点关注涉VOCs排放企业。同时，应根据国家和我省水、土壤、声环境、固体废物污染防治相关要求，制定污染防控方案和污染物总量管控要求，切实保障区域内入驻项目达标排放，区域环境质量持续改善，区域环境问题得到妥善解决</w:t>
            </w:r>
          </w:p>
        </w:tc>
        <w:tc>
          <w:tcPr>
            <w:tcW w:w="1740" w:type="pct"/>
            <w:vAlign w:val="center"/>
          </w:tcPr>
          <w:p w14:paraId="0D25A31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本项目为</w:t>
            </w:r>
            <w:r>
              <w:rPr>
                <w:rFonts w:hint="eastAsia" w:ascii="Times New Roman" w:hAnsi="Times New Roman" w:cs="Times New Roman"/>
                <w:color w:val="auto"/>
                <w:sz w:val="21"/>
                <w:lang w:eastAsia="zh-CN"/>
              </w:rPr>
              <w:t>改扩建</w:t>
            </w:r>
            <w:r>
              <w:rPr>
                <w:rFonts w:ascii="Times New Roman" w:hAnsi="Times New Roman" w:cs="Times New Roman"/>
                <w:color w:val="auto"/>
                <w:sz w:val="21"/>
                <w:lang w:eastAsia="zh-CN"/>
              </w:rPr>
              <w:t>项目，</w:t>
            </w:r>
            <w:r>
              <w:rPr>
                <w:rFonts w:hint="eastAsia" w:ascii="Times New Roman" w:hAnsi="Times New Roman" w:cs="Times New Roman"/>
                <w:color w:val="auto"/>
                <w:sz w:val="21"/>
                <w:lang w:eastAsia="zh-CN"/>
              </w:rPr>
              <w:t>项目排放废气污染物主要为氟化物、氯化氢，不涉及VOCs</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项目废气经二级水喷淋塔（TA001）/二级水喷淋塔（TA003）+三级碱喷淋塔（TA002）+一级碱喷淋塔（TA004）装置处理后，能够满足</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无机化学</w:t>
            </w:r>
            <w:r>
              <w:rPr>
                <w:rFonts w:ascii="Times New Roman" w:hAnsi="Times New Roman" w:cs="Times New Roman"/>
                <w:color w:val="auto"/>
                <w:sz w:val="21"/>
                <w:lang w:eastAsia="zh-CN"/>
              </w:rPr>
              <w:t>工业污染物排放标准》（GB3157</w:t>
            </w:r>
            <w:r>
              <w:rPr>
                <w:rFonts w:hint="eastAsia" w:ascii="Times New Roman" w:hAnsi="Times New Roman" w:cs="Times New Roman"/>
                <w:color w:val="auto"/>
                <w:sz w:val="21"/>
                <w:lang w:eastAsia="zh-CN"/>
              </w:rPr>
              <w:t>3</w:t>
            </w:r>
            <w:r>
              <w:rPr>
                <w:rFonts w:ascii="Times New Roman" w:hAnsi="Times New Roman" w:cs="Times New Roman"/>
                <w:color w:val="auto"/>
                <w:sz w:val="21"/>
                <w:lang w:eastAsia="zh-CN"/>
              </w:rPr>
              <w:t>-2015）中特别排放限值要求</w:t>
            </w:r>
          </w:p>
        </w:tc>
        <w:tc>
          <w:tcPr>
            <w:tcW w:w="363" w:type="pct"/>
            <w:vAlign w:val="center"/>
          </w:tcPr>
          <w:p w14:paraId="77EF9DB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符合</w:t>
            </w:r>
          </w:p>
        </w:tc>
      </w:tr>
      <w:tr w14:paraId="3EFBD5F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287" w:type="pct"/>
            <w:vAlign w:val="center"/>
          </w:tcPr>
          <w:p w14:paraId="5A7D4AE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w:t>
            </w:r>
          </w:p>
        </w:tc>
        <w:tc>
          <w:tcPr>
            <w:tcW w:w="2609" w:type="pct"/>
            <w:vAlign w:val="center"/>
          </w:tcPr>
          <w:p w14:paraId="13AF281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完善环保基础设施建设，强化环境污染防控。加快产业基地污水处理厂实施进度，有效提升再生水利用水平。化工企业应做到废水分类收集、分质处理，并对废水进行预处理，达到相关标准及污水处理厂接管要求后，方可接入集中污水处理厂进行深度处理。企业排放的废水应经专用明管输送至污水处理厂，并设置在线监控装置、视频监控系统及自控阀门。在建和拟建的化工项目污水排放应实现“一企一管”方式。企业</w:t>
            </w:r>
            <w:r>
              <w:rPr>
                <w:rFonts w:hint="eastAsia" w:ascii="Times New Roman" w:hAnsi="Times New Roman" w:cs="Times New Roman"/>
                <w:color w:val="auto"/>
                <w:sz w:val="21"/>
                <w:lang w:eastAsia="zh-CN"/>
              </w:rPr>
              <w:t xml:space="preserve"> </w:t>
            </w:r>
            <w:r>
              <w:rPr>
                <w:rFonts w:ascii="Times New Roman" w:hAnsi="Times New Roman" w:cs="Times New Roman"/>
                <w:color w:val="auto"/>
                <w:sz w:val="21"/>
                <w:lang w:eastAsia="zh-CN"/>
              </w:rPr>
              <w:t>的初期雨水、事故废水应全部进行有效收集处理。进一步提高中水回用率，以满足产业基地入河污染物总量控制要求。</w:t>
            </w:r>
            <w:r>
              <w:rPr>
                <w:rFonts w:ascii="Times New Roman" w:hAnsi="Times New Roman" w:cs="Times New Roman"/>
                <w:color w:val="auto"/>
                <w:sz w:val="21"/>
              </w:rPr>
              <w:t>加快热电联产、集中供热规划实施进度。</w:t>
            </w:r>
          </w:p>
        </w:tc>
        <w:tc>
          <w:tcPr>
            <w:tcW w:w="1740" w:type="pct"/>
            <w:noWrap/>
            <w:vAlign w:val="center"/>
          </w:tcPr>
          <w:p w14:paraId="41A16EE4">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本项目废水采用可视化管道收集至</w:t>
            </w:r>
            <w:r>
              <w:rPr>
                <w:rFonts w:hint="eastAsia" w:ascii="Times New Roman" w:hAnsi="Times New Roman" w:cs="Times New Roman"/>
                <w:color w:val="auto"/>
                <w:sz w:val="21"/>
                <w:lang w:eastAsia="zh-CN"/>
              </w:rPr>
              <w:t>现有</w:t>
            </w:r>
            <w:r>
              <w:rPr>
                <w:rFonts w:ascii="Times New Roman" w:hAnsi="Times New Roman" w:cs="Times New Roman"/>
                <w:color w:val="auto"/>
                <w:sz w:val="21"/>
                <w:lang w:eastAsia="zh-CN"/>
              </w:rPr>
              <w:t>污水处理站处理，分类收集、分质处理。项目废水</w:t>
            </w:r>
            <w:r>
              <w:rPr>
                <w:rFonts w:hint="eastAsia" w:ascii="Times New Roman" w:hAnsi="Times New Roman" w:cs="Times New Roman"/>
                <w:color w:val="auto"/>
                <w:sz w:val="21"/>
                <w:lang w:eastAsia="zh-CN"/>
              </w:rPr>
              <w:t>碱喷淋塔置换废水、地面清洁废水依托现有</w:t>
            </w:r>
            <w:r>
              <w:rPr>
                <w:rFonts w:ascii="Times New Roman" w:hAnsi="Times New Roman" w:cs="Times New Roman"/>
                <w:color w:val="auto"/>
                <w:sz w:val="21"/>
                <w:lang w:eastAsia="zh-CN"/>
              </w:rPr>
              <w:t>厂区污水处理站处理后，进入园区污水处理厂深度处理；本项目按照“一企一管”的方式，事故废水和初期雨水全部进行有效收集处理。</w:t>
            </w:r>
          </w:p>
        </w:tc>
        <w:tc>
          <w:tcPr>
            <w:tcW w:w="363" w:type="pct"/>
            <w:vAlign w:val="center"/>
          </w:tcPr>
          <w:p w14:paraId="692802A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符合</w:t>
            </w:r>
          </w:p>
        </w:tc>
      </w:tr>
      <w:tr w14:paraId="5CE8C37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287" w:type="pct"/>
            <w:vAlign w:val="center"/>
          </w:tcPr>
          <w:p w14:paraId="5E4BDE6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3</w:t>
            </w:r>
          </w:p>
        </w:tc>
        <w:tc>
          <w:tcPr>
            <w:tcW w:w="2609" w:type="pct"/>
            <w:vAlign w:val="center"/>
          </w:tcPr>
          <w:p w14:paraId="1FA13EA3">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细化生态环境准入清单，推动高质量发展。根据国家和区域发展战略，结合区域生态环境质量现状、省市“三线一单”成果，严格落实《报告书》生态环境准入要求，严格限制与规划主导产业不相关的“两高”项目入区，引进项目的生产工艺、设备、自动化水平，以及单位产品能耗、污染物排放等均需达到国内同行业先进水平</w:t>
            </w:r>
          </w:p>
        </w:tc>
        <w:tc>
          <w:tcPr>
            <w:tcW w:w="1740" w:type="pct"/>
            <w:vAlign w:val="center"/>
          </w:tcPr>
          <w:p w14:paraId="07ECC5CA">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本项目不属于两高项目，项目属于园区内主导产业，符合园区规划生态环境准入要求。本项目采用先进的生产工艺、设备、提升自动化水平，单位产品能耗、污染物排放等可达到国内同行业先进水平。</w:t>
            </w:r>
          </w:p>
        </w:tc>
        <w:tc>
          <w:tcPr>
            <w:tcW w:w="363" w:type="pct"/>
            <w:vAlign w:val="center"/>
          </w:tcPr>
          <w:p w14:paraId="216C904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符合</w:t>
            </w:r>
          </w:p>
        </w:tc>
      </w:tr>
      <w:tr w14:paraId="67B3CC0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287" w:type="pct"/>
            <w:vAlign w:val="center"/>
          </w:tcPr>
          <w:p w14:paraId="689FC93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4</w:t>
            </w:r>
          </w:p>
        </w:tc>
        <w:tc>
          <w:tcPr>
            <w:tcW w:w="2609" w:type="pct"/>
            <w:vAlign w:val="center"/>
          </w:tcPr>
          <w:p w14:paraId="54F6BE5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完善环境监测体系，强化环境风险防控。产业基地要健全环境风险单位信息库，建立园区和重点排污单位废水排口和雨水排口自动监测预警和视频监控，同步建立污染溯源追踪体系和环境风险防范设施，制定并及时检验、更新升级各类突发环境风险应急预案，做好应急软硬件建设和储备。坚持预防为主、防控结合，强化企业安全生产运行和环境行为管理，制定并全面落实各项污染防治和环境风险防范措施。入区企业要在产业基地环境风险应急处置框架下，制定环境风险应急预案，在具体项目建设中细化落实。要高度重视由于安全生产事故引发的环境风险问题，从源头上防范和消除环境风险隐患。建立完善的环境风险防控设施和有效的拦截、降污、导流等措施，确保污水和初期雨水在任何情况下不直接排入地表水体，以及在事故状态下有效阻隔产业基地与外部水体的水力联系。</w:t>
            </w:r>
          </w:p>
        </w:tc>
        <w:tc>
          <w:tcPr>
            <w:tcW w:w="1740" w:type="pct"/>
            <w:vAlign w:val="center"/>
          </w:tcPr>
          <w:p w14:paraId="18F0B90B">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本次评价要求建设单位投产前根据相关要求编制环境风险应急预案并报送至主管部门备案；本项目拟对事故废水进行三级防控预防管理，</w:t>
            </w:r>
            <w:r>
              <w:rPr>
                <w:rFonts w:hint="eastAsia" w:ascii="Times New Roman" w:hAnsi="Times New Roman" w:cs="Times New Roman"/>
                <w:color w:val="auto"/>
                <w:sz w:val="21"/>
                <w:lang w:eastAsia="zh-CN"/>
              </w:rPr>
              <w:t>厂区现有</w:t>
            </w:r>
            <w:r>
              <w:rPr>
                <w:rFonts w:ascii="Times New Roman" w:hAnsi="Times New Roman" w:cs="Times New Roman"/>
                <w:color w:val="auto"/>
                <w:sz w:val="21"/>
                <w:lang w:eastAsia="zh-CN"/>
              </w:rPr>
              <w:t>1座</w:t>
            </w:r>
            <w:r>
              <w:rPr>
                <w:rFonts w:hint="eastAsia" w:ascii="Times New Roman" w:hAnsi="Times New Roman" w:cs="Times New Roman"/>
                <w:color w:val="auto"/>
                <w:sz w:val="21"/>
                <w:lang w:eastAsia="zh-CN"/>
              </w:rPr>
              <w:t>672.3</w:t>
            </w:r>
            <w:r>
              <w:rPr>
                <w:rFonts w:ascii="Times New Roman" w:hAnsi="Times New Roman" w:cs="Times New Roman"/>
                <w:color w:val="auto"/>
                <w:sz w:val="21"/>
                <w:lang w:eastAsia="zh-CN"/>
              </w:rPr>
              <w:t>m</w:t>
            </w:r>
            <w:r>
              <w:rPr>
                <w:rFonts w:ascii="Times New Roman" w:hAnsi="Times New Roman" w:cs="Times New Roman"/>
                <w:color w:val="auto"/>
                <w:sz w:val="21"/>
                <w:vertAlign w:val="superscript"/>
                <w:lang w:eastAsia="zh-CN"/>
              </w:rPr>
              <w:t>3</w:t>
            </w:r>
            <w:r>
              <w:rPr>
                <w:rFonts w:ascii="Times New Roman" w:hAnsi="Times New Roman" w:cs="Times New Roman"/>
                <w:color w:val="auto"/>
                <w:sz w:val="21"/>
                <w:lang w:eastAsia="zh-CN"/>
              </w:rPr>
              <w:t>事故应急池、</w:t>
            </w:r>
            <w:r>
              <w:rPr>
                <w:rFonts w:hint="eastAsia" w:ascii="Times New Roman" w:hAnsi="Times New Roman" w:cs="Times New Roman"/>
                <w:color w:val="auto"/>
                <w:sz w:val="21"/>
                <w:lang w:eastAsia="zh-CN"/>
              </w:rPr>
              <w:t>1</w:t>
            </w:r>
            <w:r>
              <w:rPr>
                <w:rFonts w:ascii="Times New Roman" w:hAnsi="Times New Roman" w:cs="Times New Roman"/>
                <w:color w:val="auto"/>
                <w:sz w:val="21"/>
                <w:lang w:eastAsia="zh-CN"/>
              </w:rPr>
              <w:t>座</w:t>
            </w:r>
            <w:r>
              <w:rPr>
                <w:rFonts w:hint="eastAsia" w:ascii="Times New Roman" w:hAnsi="Times New Roman" w:cs="Times New Roman"/>
                <w:color w:val="auto"/>
                <w:sz w:val="21"/>
                <w:lang w:eastAsia="zh-CN"/>
              </w:rPr>
              <w:t>426.9</w:t>
            </w:r>
            <w:r>
              <w:rPr>
                <w:rFonts w:ascii="Times New Roman" w:hAnsi="Times New Roman" w:cs="Times New Roman"/>
                <w:color w:val="auto"/>
                <w:sz w:val="21"/>
                <w:lang w:eastAsia="zh-CN"/>
              </w:rPr>
              <w:t>m</w:t>
            </w:r>
            <w:r>
              <w:rPr>
                <w:rFonts w:ascii="Times New Roman" w:hAnsi="Times New Roman" w:cs="Times New Roman"/>
                <w:color w:val="auto"/>
                <w:sz w:val="21"/>
                <w:vertAlign w:val="superscript"/>
                <w:lang w:eastAsia="zh-CN"/>
              </w:rPr>
              <w:t>3</w:t>
            </w:r>
            <w:r>
              <w:rPr>
                <w:rFonts w:ascii="Times New Roman" w:hAnsi="Times New Roman" w:cs="Times New Roman"/>
                <w:color w:val="auto"/>
                <w:sz w:val="21"/>
                <w:lang w:eastAsia="zh-CN"/>
              </w:rPr>
              <w:t>初期雨水池，可以满足事故状况下事故废水的收集和储存要求，可以做到事故废水不外排，避免对区域地表水环境造成的事故影响。沫河口污水处理厂目前已建事故池1座，容积</w:t>
            </w:r>
            <w:r>
              <w:rPr>
                <w:rFonts w:hint="eastAsia" w:ascii="Times New Roman" w:hAnsi="Times New Roman" w:cs="Times New Roman"/>
                <w:color w:val="auto"/>
                <w:sz w:val="21"/>
                <w:lang w:eastAsia="zh-CN"/>
              </w:rPr>
              <w:t>20</w:t>
            </w:r>
            <w:r>
              <w:rPr>
                <w:rFonts w:ascii="Times New Roman" w:hAnsi="Times New Roman" w:cs="Times New Roman"/>
                <w:color w:val="auto"/>
                <w:sz w:val="21"/>
                <w:lang w:eastAsia="zh-CN"/>
              </w:rPr>
              <w:t>000m</w:t>
            </w:r>
            <w:r>
              <w:rPr>
                <w:rFonts w:ascii="Times New Roman" w:hAnsi="Times New Roman" w:cs="Times New Roman"/>
                <w:color w:val="auto"/>
                <w:sz w:val="21"/>
                <w:vertAlign w:val="superscript"/>
                <w:lang w:eastAsia="zh-CN"/>
              </w:rPr>
              <w:t>3</w:t>
            </w:r>
            <w:r>
              <w:rPr>
                <w:rFonts w:ascii="Times New Roman" w:hAnsi="Times New Roman" w:cs="Times New Roman"/>
                <w:color w:val="auto"/>
                <w:sz w:val="21"/>
                <w:lang w:eastAsia="zh-CN"/>
              </w:rPr>
              <w:t>，用作事故状态下厂区事故废水的临时储存和处理，同时把淮上区三铺湖排涝站作为三级防控的截断措施，确保事故状态下废水无法进入淮河干流</w:t>
            </w:r>
          </w:p>
        </w:tc>
        <w:tc>
          <w:tcPr>
            <w:tcW w:w="363" w:type="pct"/>
            <w:vAlign w:val="center"/>
          </w:tcPr>
          <w:p w14:paraId="65F79FA1">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符合</w:t>
            </w:r>
          </w:p>
        </w:tc>
      </w:tr>
      <w:tr w14:paraId="3D758F5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287" w:type="pct"/>
            <w:vAlign w:val="center"/>
          </w:tcPr>
          <w:p w14:paraId="77A677D6">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5</w:t>
            </w:r>
          </w:p>
        </w:tc>
        <w:tc>
          <w:tcPr>
            <w:tcW w:w="2609" w:type="pct"/>
            <w:vAlign w:val="center"/>
          </w:tcPr>
          <w:p w14:paraId="48504A66">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加强日常环境监管，落实区域环境管理要求。统一并强化产业基地环境管理队伍建设，严格落实环境影响评价和排污许可制度，督促现有产业基地企业及时完成竣工环境保护验收。新增水污染物、大气污染物的建设项目应严格执行污染物排放总量控制相关要求。</w:t>
            </w:r>
            <w:r>
              <w:rPr>
                <w:rFonts w:ascii="Times New Roman" w:hAnsi="Times New Roman" w:cs="Times New Roman"/>
                <w:color w:val="auto"/>
                <w:sz w:val="21"/>
              </w:rPr>
              <w:t>适时开展规划环境影响跟踪评价。</w:t>
            </w:r>
          </w:p>
        </w:tc>
        <w:tc>
          <w:tcPr>
            <w:tcW w:w="1740" w:type="pct"/>
            <w:vAlign w:val="center"/>
          </w:tcPr>
          <w:p w14:paraId="4B42F60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本项目严格落实环境影响评价和排污许可制度，新增水污染物、大气污染物的建设项目应严格执行污染物排放总量控制相关要求。</w:t>
            </w:r>
          </w:p>
        </w:tc>
        <w:tc>
          <w:tcPr>
            <w:tcW w:w="363" w:type="pct"/>
            <w:vAlign w:val="center"/>
          </w:tcPr>
          <w:p w14:paraId="62E67078">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符合</w:t>
            </w:r>
          </w:p>
        </w:tc>
      </w:tr>
    </w:tbl>
    <w:p w14:paraId="620833EC">
      <w:pPr>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根据分析，拟建项目符合蚌埠精细化工高新技术产业基地规划（2021～2035）环境影响报告书及审查意见要求。</w:t>
      </w:r>
      <w:bookmarkEnd w:id="352"/>
    </w:p>
    <w:p w14:paraId="6FBCDD97">
      <w:pPr>
        <w:widowControl w:val="0"/>
        <w:spacing w:line="360" w:lineRule="auto"/>
        <w:ind w:firstLine="482"/>
        <w:jc w:val="both"/>
        <w:outlineLvl w:val="2"/>
        <w:rPr>
          <w:rFonts w:ascii="Times New Roman" w:hAnsi="Times New Roman" w:eastAsia="新宋体" w:cs="Times New Roman"/>
          <w:color w:val="auto"/>
          <w:szCs w:val="24"/>
          <w:lang w:eastAsia="zh-CN"/>
        </w:rPr>
      </w:pPr>
      <w:bookmarkStart w:id="353" w:name="_Toc176512987"/>
      <w:bookmarkStart w:id="354" w:name="_Toc175164251"/>
      <w:bookmarkStart w:id="355" w:name="_Toc172555630"/>
      <w:bookmarkStart w:id="356" w:name="_Toc178602327"/>
      <w:bookmarkStart w:id="357" w:name="_Toc173743361"/>
      <w:bookmarkStart w:id="358" w:name="_Toc237508253"/>
      <w:bookmarkStart w:id="359" w:name="_Toc217662615"/>
      <w:bookmarkStart w:id="360" w:name="_Toc236641270"/>
      <w:bookmarkStart w:id="361" w:name="_Toc173740257"/>
      <w:bookmarkStart w:id="362" w:name="_Toc231828539"/>
      <w:bookmarkStart w:id="363" w:name="_Toc204515159"/>
      <w:bookmarkStart w:id="364" w:name="_Toc204448424"/>
      <w:bookmarkStart w:id="365" w:name="_Toc236641787"/>
      <w:bookmarkStart w:id="366" w:name="_Toc221900782"/>
      <w:bookmarkStart w:id="367" w:name="_Toc223425000"/>
      <w:bookmarkStart w:id="368" w:name="_Toc225783999"/>
      <w:bookmarkStart w:id="369" w:name="_Toc224674638"/>
      <w:bookmarkStart w:id="370" w:name="_Toc203926959"/>
      <w:bookmarkStart w:id="371" w:name="_Toc218784225"/>
      <w:r>
        <w:rPr>
          <w:rFonts w:hint="eastAsia" w:ascii="Times New Roman" w:hAnsi="Times New Roman" w:eastAsia="新宋体" w:cs="Times New Roman"/>
          <w:b/>
          <w:bCs/>
          <w:color w:val="auto"/>
          <w:szCs w:val="24"/>
          <w:lang w:eastAsia="zh-CN"/>
        </w:rPr>
        <w:t>2</w:t>
      </w:r>
      <w:r>
        <w:rPr>
          <w:rFonts w:ascii="Times New Roman" w:hAnsi="Times New Roman" w:eastAsia="新宋体" w:cs="Times New Roman"/>
          <w:b/>
          <w:bCs/>
          <w:color w:val="auto"/>
          <w:szCs w:val="24"/>
          <w:lang w:eastAsia="zh-CN"/>
        </w:rPr>
        <w:t>.</w:t>
      </w:r>
      <w:r>
        <w:rPr>
          <w:rFonts w:hint="eastAsia" w:ascii="Times New Roman" w:hAnsi="Times New Roman" w:eastAsia="新宋体" w:cs="Times New Roman"/>
          <w:b/>
          <w:bCs/>
          <w:color w:val="auto"/>
          <w:szCs w:val="24"/>
          <w:lang w:eastAsia="zh-CN"/>
        </w:rPr>
        <w:t>5</w:t>
      </w:r>
      <w:r>
        <w:rPr>
          <w:rFonts w:ascii="Times New Roman" w:hAnsi="Times New Roman" w:eastAsia="新宋体" w:cs="Times New Roman"/>
          <w:b/>
          <w:bCs/>
          <w:color w:val="auto"/>
          <w:szCs w:val="24"/>
          <w:lang w:eastAsia="zh-CN"/>
        </w:rPr>
        <w:t>.4 相关政策符合性分析</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14:paraId="3B8DE989">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对照《安徽省经济和信息化厅 安徽省发展和改革委员会 安徽省自然资源厅 安徽省生态环境厅 安徽省应急管理厅</w:t>
      </w:r>
      <w:r>
        <w:rPr>
          <w:rFonts w:hint="eastAsia" w:ascii="Times New Roman" w:hAnsi="Times New Roman" w:eastAsia="新宋体" w:cs="Times New Roman"/>
          <w:color w:val="auto"/>
          <w:szCs w:val="24"/>
          <w:lang w:eastAsia="zh-CN"/>
        </w:rPr>
        <w:t>《</w:t>
      </w:r>
      <w:r>
        <w:rPr>
          <w:rFonts w:ascii="Times New Roman" w:hAnsi="Times New Roman" w:eastAsia="新宋体" w:cs="Times New Roman"/>
          <w:color w:val="auto"/>
          <w:szCs w:val="24"/>
          <w:lang w:eastAsia="zh-CN"/>
        </w:rPr>
        <w:t>关于进一步规范化工项目建设管理的通知》（皖经信原材料函[2022]73号）、《安徽省生态环境厅关于加强化工行业建设项目环境管理的通知》皖环发[2020]73号、</w:t>
      </w:r>
      <w:r>
        <w:rPr>
          <w:rFonts w:hint="eastAsia" w:ascii="Times New Roman" w:hAnsi="Times New Roman" w:eastAsia="新宋体" w:cs="Times New Roman"/>
          <w:color w:val="auto"/>
          <w:szCs w:val="24"/>
          <w:lang w:eastAsia="zh-CN"/>
        </w:rPr>
        <w:t>安徽省发展改革委等部门关于印发</w:t>
      </w:r>
      <w:r>
        <w:rPr>
          <w:rFonts w:ascii="Times New Roman" w:hAnsi="Times New Roman" w:eastAsia="新宋体" w:cs="Times New Roman"/>
          <w:color w:val="auto"/>
          <w:szCs w:val="24"/>
          <w:lang w:eastAsia="zh-CN"/>
        </w:rPr>
        <w:t>《</w:t>
      </w:r>
      <w:r>
        <w:rPr>
          <w:rFonts w:hint="eastAsia" w:ascii="Times New Roman" w:hAnsi="Times New Roman" w:eastAsia="新宋体" w:cs="Times New Roman"/>
          <w:color w:val="auto"/>
          <w:szCs w:val="24"/>
          <w:lang w:eastAsia="zh-CN"/>
        </w:rPr>
        <w:t>促进化工园区高质量发展若干措施的通知</w:t>
      </w:r>
      <w:r>
        <w:rPr>
          <w:rFonts w:ascii="Times New Roman" w:hAnsi="Times New Roman" w:eastAsia="新宋体" w:cs="Times New Roman"/>
          <w:color w:val="auto"/>
          <w:szCs w:val="24"/>
          <w:lang w:eastAsia="zh-CN"/>
        </w:rPr>
        <w:t>》</w:t>
      </w:r>
      <w:r>
        <w:rPr>
          <w:rFonts w:hint="eastAsia" w:ascii="Times New Roman" w:hAnsi="Times New Roman" w:eastAsia="新宋体" w:cs="Times New Roman"/>
          <w:color w:val="auto"/>
          <w:szCs w:val="24"/>
          <w:lang w:eastAsia="zh-CN"/>
        </w:rPr>
        <w:t>（</w:t>
      </w:r>
      <w:r>
        <w:rPr>
          <w:rFonts w:ascii="Times New Roman" w:hAnsi="Times New Roman" w:eastAsia="新宋体" w:cs="Times New Roman"/>
          <w:color w:val="auto"/>
          <w:szCs w:val="24"/>
          <w:lang w:eastAsia="zh-CN"/>
        </w:rPr>
        <w:t>皖</w:t>
      </w:r>
      <w:r>
        <w:rPr>
          <w:rFonts w:hint="eastAsia" w:ascii="Times New Roman" w:hAnsi="Times New Roman" w:eastAsia="新宋体" w:cs="Times New Roman"/>
          <w:color w:val="auto"/>
          <w:szCs w:val="24"/>
          <w:lang w:eastAsia="zh-CN"/>
        </w:rPr>
        <w:t>发改产业</w:t>
      </w:r>
      <w:r>
        <w:rPr>
          <w:rFonts w:ascii="Times New Roman" w:hAnsi="Times New Roman" w:eastAsia="新宋体" w:cs="Times New Roman"/>
          <w:color w:val="auto"/>
          <w:szCs w:val="24"/>
          <w:lang w:eastAsia="zh-CN"/>
        </w:rPr>
        <w:t>[202</w:t>
      </w:r>
      <w:r>
        <w:rPr>
          <w:rFonts w:hint="eastAsia" w:ascii="Times New Roman" w:hAnsi="Times New Roman" w:eastAsia="新宋体" w:cs="Times New Roman"/>
          <w:color w:val="auto"/>
          <w:szCs w:val="24"/>
          <w:lang w:eastAsia="zh-CN"/>
        </w:rPr>
        <w:t>4</w:t>
      </w:r>
      <w:r>
        <w:rPr>
          <w:rFonts w:ascii="Times New Roman" w:hAnsi="Times New Roman" w:eastAsia="新宋体" w:cs="Times New Roman"/>
          <w:color w:val="auto"/>
          <w:szCs w:val="24"/>
          <w:lang w:eastAsia="zh-CN"/>
        </w:rPr>
        <w:t>]</w:t>
      </w:r>
      <w:r>
        <w:rPr>
          <w:rFonts w:hint="eastAsia" w:ascii="Times New Roman" w:hAnsi="Times New Roman" w:eastAsia="新宋体" w:cs="Times New Roman"/>
          <w:color w:val="auto"/>
          <w:szCs w:val="24"/>
          <w:lang w:eastAsia="zh-CN"/>
        </w:rPr>
        <w:t>86</w:t>
      </w:r>
      <w:r>
        <w:rPr>
          <w:rFonts w:ascii="Times New Roman" w:hAnsi="Times New Roman" w:eastAsia="新宋体" w:cs="Times New Roman"/>
          <w:color w:val="auto"/>
          <w:szCs w:val="24"/>
          <w:lang w:eastAsia="zh-CN"/>
        </w:rPr>
        <w:t>号</w:t>
      </w:r>
      <w:r>
        <w:rPr>
          <w:rFonts w:hint="eastAsia" w:ascii="Times New Roman" w:hAnsi="Times New Roman" w:eastAsia="新宋体" w:cs="Times New Roman"/>
          <w:color w:val="auto"/>
          <w:szCs w:val="24"/>
          <w:lang w:eastAsia="zh-CN"/>
        </w:rPr>
        <w:t>）</w:t>
      </w:r>
      <w:r>
        <w:rPr>
          <w:rFonts w:ascii="Times New Roman" w:hAnsi="Times New Roman" w:eastAsia="新宋体" w:cs="Times New Roman"/>
          <w:color w:val="auto"/>
          <w:szCs w:val="24"/>
          <w:lang w:eastAsia="zh-CN"/>
        </w:rPr>
        <w:t>、《安徽省贯彻落实淮河生态经济带发展规划实施方案》、《安徽省淮河流域水污染防治条例》、</w:t>
      </w:r>
      <w:r>
        <w:rPr>
          <w:rFonts w:hint="eastAsia" w:ascii="Times New Roman" w:hAnsi="Times New Roman" w:eastAsia="新宋体" w:cs="Times New Roman"/>
          <w:color w:val="auto"/>
          <w:szCs w:val="24"/>
          <w:lang w:eastAsia="zh-CN"/>
        </w:rPr>
        <w:t>《安徽省环保厅关于进一步明确淮河巢湖流域重污染行业项目省级环保预审范围及内容的通知》、</w:t>
      </w:r>
      <w:r>
        <w:rPr>
          <w:rFonts w:ascii="Times New Roman" w:hAnsi="Times New Roman" w:cs="Times New Roman"/>
          <w:color w:val="auto"/>
          <w:szCs w:val="24"/>
          <w:lang w:eastAsia="zh-CN"/>
        </w:rPr>
        <w:t>《关于印发加强高耗能、高排放项目生态环境源头防控的实施意见的通知》</w:t>
      </w:r>
      <w:r>
        <w:rPr>
          <w:rFonts w:ascii="Times New Roman" w:hAnsi="Times New Roman" w:eastAsia="新宋体" w:cs="Times New Roman"/>
          <w:color w:val="auto"/>
          <w:szCs w:val="24"/>
          <w:lang w:eastAsia="zh-CN"/>
        </w:rPr>
        <w:t>、《关于提升危险废物环境监管能力、利用处置能力和环境风险防范能力的指导意见》、《蚌埠市化工园区项目准入条件（试行）》、《关于加强重点行业涉新污染物建设项目环境影响评价工作的意见》（环环评[2025]28号）</w:t>
      </w:r>
      <w:r>
        <w:rPr>
          <w:rFonts w:hint="eastAsia" w:ascii="Times New Roman" w:hAnsi="Times New Roman" w:eastAsia="新宋体" w:cs="Times New Roman"/>
          <w:color w:val="auto"/>
          <w:szCs w:val="24"/>
          <w:lang w:eastAsia="zh-CN"/>
        </w:rPr>
        <w:t>、关于印发《安徽省重点管控新污染物补充清单》（皖环发[2026]9号）</w:t>
      </w:r>
      <w:r>
        <w:rPr>
          <w:rFonts w:ascii="Times New Roman" w:hAnsi="Times New Roman" w:eastAsia="新宋体" w:cs="Times New Roman"/>
          <w:color w:val="auto"/>
          <w:szCs w:val="24"/>
          <w:lang w:eastAsia="zh-CN"/>
        </w:rPr>
        <w:t>等相关政策要求，本项目符合上述要求。</w:t>
      </w:r>
    </w:p>
    <w:p w14:paraId="4E44F407">
      <w:pPr>
        <w:spacing w:line="360" w:lineRule="auto"/>
        <w:ind w:firstLine="482"/>
        <w:rPr>
          <w:rFonts w:ascii="Times New Roman" w:hAnsi="Times New Roman" w:eastAsia="新宋体" w:cs="Times New Roman"/>
          <w:b/>
          <w:bCs/>
          <w:color w:val="auto"/>
          <w:szCs w:val="24"/>
          <w:lang w:eastAsia="zh-CN"/>
        </w:rPr>
        <w:sectPr>
          <w:pgSz w:w="11906" w:h="16838"/>
          <w:pgMar w:top="1440" w:right="1080" w:bottom="1440" w:left="1080" w:header="851" w:footer="992" w:gutter="0"/>
          <w:cols w:space="720" w:num="1"/>
          <w:docGrid w:type="lines" w:linePitch="312" w:charSpace="0"/>
        </w:sectPr>
      </w:pPr>
    </w:p>
    <w:p w14:paraId="4652806B">
      <w:pPr>
        <w:spacing w:line="360" w:lineRule="auto"/>
        <w:jc w:val="center"/>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表2.5-3 项目相关政策相符性分析一览表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488"/>
        <w:gridCol w:w="1611"/>
        <w:gridCol w:w="5751"/>
        <w:gridCol w:w="5472"/>
        <w:gridCol w:w="636"/>
      </w:tblGrid>
      <w:tr w14:paraId="2574575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Align w:val="center"/>
          </w:tcPr>
          <w:p w14:paraId="66155479">
            <w:pPr>
              <w:topLinePunct/>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序号</w:t>
            </w:r>
          </w:p>
        </w:tc>
        <w:tc>
          <w:tcPr>
            <w:tcW w:w="577" w:type="pct"/>
            <w:vAlign w:val="center"/>
          </w:tcPr>
          <w:p w14:paraId="5B568A5C">
            <w:pPr>
              <w:topLinePunct/>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政策名称</w:t>
            </w:r>
          </w:p>
        </w:tc>
        <w:tc>
          <w:tcPr>
            <w:tcW w:w="2060" w:type="pct"/>
            <w:vAlign w:val="center"/>
          </w:tcPr>
          <w:p w14:paraId="2206D48C">
            <w:pPr>
              <w:topLinePunct/>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相关要求</w:t>
            </w:r>
          </w:p>
        </w:tc>
        <w:tc>
          <w:tcPr>
            <w:tcW w:w="1960" w:type="pct"/>
            <w:vAlign w:val="center"/>
          </w:tcPr>
          <w:p w14:paraId="7B14D2A0">
            <w:pPr>
              <w:topLinePunct/>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符合性分析</w:t>
            </w:r>
          </w:p>
        </w:tc>
        <w:tc>
          <w:tcPr>
            <w:tcW w:w="228" w:type="pct"/>
            <w:vAlign w:val="center"/>
          </w:tcPr>
          <w:p w14:paraId="68E1472C">
            <w:pPr>
              <w:topLinePunct/>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结论</w:t>
            </w:r>
          </w:p>
        </w:tc>
      </w:tr>
      <w:tr w14:paraId="393B2F8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Merge w:val="restart"/>
            <w:vAlign w:val="center"/>
          </w:tcPr>
          <w:p w14:paraId="7B47CE8A">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w:t>
            </w:r>
          </w:p>
        </w:tc>
        <w:tc>
          <w:tcPr>
            <w:tcW w:w="577" w:type="pct"/>
            <w:vMerge w:val="restart"/>
            <w:vAlign w:val="center"/>
          </w:tcPr>
          <w:p w14:paraId="0CCB82D7">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安徽省经济和信息化厅、安徽省发展和改革委员会、安徽省自然资源厅、安徽生态环境厅、安徽省应急管理厅 皖经信原材料[2022]73号 《关于进一步规范化工项目建设管理的通知》</w:t>
            </w:r>
          </w:p>
        </w:tc>
        <w:tc>
          <w:tcPr>
            <w:tcW w:w="2060" w:type="pct"/>
            <w:vAlign w:val="center"/>
          </w:tcPr>
          <w:p w14:paraId="76672B93">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严格执行国家产业政策，禁止新建产业结构调整指导目录限制类、淘汰类项目</w:t>
            </w:r>
          </w:p>
        </w:tc>
        <w:tc>
          <w:tcPr>
            <w:tcW w:w="1960" w:type="pct"/>
            <w:vAlign w:val="center"/>
          </w:tcPr>
          <w:p w14:paraId="6EFF8C74">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根据《产业结构调整指导目录（2024年本）》，本项目不属于“鼓励类”、“限制类”和“淘汰类”项目，可视为“允许类”项目，符合国家产业政策要求。</w:t>
            </w:r>
          </w:p>
        </w:tc>
        <w:tc>
          <w:tcPr>
            <w:tcW w:w="228" w:type="pct"/>
            <w:vMerge w:val="restart"/>
            <w:vAlign w:val="center"/>
          </w:tcPr>
          <w:p w14:paraId="5CBC2743">
            <w:pPr>
              <w:topLinePunct/>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符合</w:t>
            </w:r>
          </w:p>
        </w:tc>
      </w:tr>
      <w:tr w14:paraId="7CD7267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Merge w:val="continue"/>
            <w:vAlign w:val="center"/>
          </w:tcPr>
          <w:p w14:paraId="2E9BF184">
            <w:pPr>
              <w:topLinePunct/>
              <w:adjustRightInd w:val="0"/>
              <w:snapToGrid w:val="0"/>
              <w:jc w:val="center"/>
              <w:rPr>
                <w:rFonts w:ascii="Times New Roman" w:hAnsi="Times New Roman" w:cs="Times New Roman"/>
                <w:color w:val="auto"/>
                <w:sz w:val="21"/>
              </w:rPr>
            </w:pPr>
          </w:p>
        </w:tc>
        <w:tc>
          <w:tcPr>
            <w:tcW w:w="577" w:type="pct"/>
            <w:vMerge w:val="continue"/>
            <w:vAlign w:val="center"/>
          </w:tcPr>
          <w:p w14:paraId="2F8D1EC2">
            <w:pPr>
              <w:topLinePunct/>
              <w:adjustRightInd w:val="0"/>
              <w:snapToGrid w:val="0"/>
              <w:jc w:val="center"/>
              <w:rPr>
                <w:rFonts w:ascii="Times New Roman" w:hAnsi="Times New Roman" w:cs="Times New Roman"/>
                <w:color w:val="auto"/>
                <w:sz w:val="21"/>
              </w:rPr>
            </w:pPr>
          </w:p>
        </w:tc>
        <w:tc>
          <w:tcPr>
            <w:tcW w:w="2060" w:type="pct"/>
            <w:vAlign w:val="center"/>
          </w:tcPr>
          <w:p w14:paraId="53E1CF18">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严格限制剧毒化学品生产项目</w:t>
            </w:r>
          </w:p>
        </w:tc>
        <w:tc>
          <w:tcPr>
            <w:tcW w:w="1960" w:type="pct"/>
            <w:vAlign w:val="center"/>
          </w:tcPr>
          <w:p w14:paraId="18D2A4A9">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本项目产品为</w:t>
            </w:r>
            <w:r>
              <w:rPr>
                <w:rFonts w:hint="eastAsia" w:ascii="Times New Roman" w:hAnsi="Times New Roman" w:cs="Times New Roman"/>
                <w:color w:val="auto"/>
                <w:sz w:val="21"/>
                <w:lang w:eastAsia="zh-CN"/>
              </w:rPr>
              <w:t>化学纯氢氟酸、刻蚀液</w:t>
            </w:r>
            <w:r>
              <w:rPr>
                <w:rFonts w:ascii="Times New Roman" w:hAnsi="Times New Roman" w:cs="Times New Roman"/>
                <w:color w:val="auto"/>
                <w:sz w:val="21"/>
                <w:lang w:eastAsia="zh-CN"/>
              </w:rPr>
              <w:t>，不属于剧毒化学品生产项目。</w:t>
            </w:r>
          </w:p>
        </w:tc>
        <w:tc>
          <w:tcPr>
            <w:tcW w:w="228" w:type="pct"/>
            <w:vMerge w:val="continue"/>
            <w:vAlign w:val="center"/>
          </w:tcPr>
          <w:p w14:paraId="6403B22C">
            <w:pPr>
              <w:topLinePunct/>
              <w:adjustRightInd w:val="0"/>
              <w:snapToGrid w:val="0"/>
              <w:jc w:val="center"/>
              <w:rPr>
                <w:rFonts w:ascii="Times New Roman" w:hAnsi="Times New Roman" w:cs="Times New Roman"/>
                <w:color w:val="auto"/>
                <w:sz w:val="21"/>
                <w:lang w:eastAsia="zh-CN"/>
              </w:rPr>
            </w:pPr>
          </w:p>
        </w:tc>
      </w:tr>
      <w:tr w14:paraId="0194A5B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Merge w:val="continue"/>
            <w:vAlign w:val="center"/>
          </w:tcPr>
          <w:p w14:paraId="64EB6CF5">
            <w:pPr>
              <w:topLinePunct/>
              <w:adjustRightInd w:val="0"/>
              <w:snapToGrid w:val="0"/>
              <w:jc w:val="center"/>
              <w:rPr>
                <w:rFonts w:ascii="Times New Roman" w:hAnsi="Times New Roman" w:cs="Times New Roman"/>
                <w:color w:val="auto"/>
                <w:sz w:val="21"/>
                <w:lang w:eastAsia="zh-CN"/>
              </w:rPr>
            </w:pPr>
          </w:p>
        </w:tc>
        <w:tc>
          <w:tcPr>
            <w:tcW w:w="577" w:type="pct"/>
            <w:vMerge w:val="continue"/>
            <w:vAlign w:val="center"/>
          </w:tcPr>
          <w:p w14:paraId="36BFE904">
            <w:pPr>
              <w:topLinePunct/>
              <w:adjustRightInd w:val="0"/>
              <w:snapToGrid w:val="0"/>
              <w:jc w:val="center"/>
              <w:rPr>
                <w:rFonts w:ascii="Times New Roman" w:hAnsi="Times New Roman" w:cs="Times New Roman"/>
                <w:color w:val="auto"/>
                <w:sz w:val="21"/>
                <w:lang w:eastAsia="zh-CN"/>
              </w:rPr>
            </w:pPr>
          </w:p>
        </w:tc>
        <w:tc>
          <w:tcPr>
            <w:tcW w:w="2060" w:type="pct"/>
            <w:vAlign w:val="center"/>
          </w:tcPr>
          <w:p w14:paraId="7B5B1B83">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严格控制引进涉及光气化、硝化、重氮化、偶氮化工艺以及硝酸铵、硝酸胍、硝基苯系物等爆炸性化学品等高风险项目，非重大产业配套、产业链衔接或高新产品项目不再引进</w:t>
            </w:r>
          </w:p>
        </w:tc>
        <w:tc>
          <w:tcPr>
            <w:tcW w:w="1960" w:type="pct"/>
            <w:vAlign w:val="center"/>
          </w:tcPr>
          <w:p w14:paraId="713B615B">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本项目不涉及光气化、硝化、重氮化、偶氮化工艺以及硝酸铵、硝酸胍、硝基苯系物等爆炸性化学品等高风险项目</w:t>
            </w:r>
          </w:p>
        </w:tc>
        <w:tc>
          <w:tcPr>
            <w:tcW w:w="228" w:type="pct"/>
            <w:vMerge w:val="continue"/>
            <w:vAlign w:val="center"/>
          </w:tcPr>
          <w:p w14:paraId="0E12C823">
            <w:pPr>
              <w:topLinePunct/>
              <w:adjustRightInd w:val="0"/>
              <w:snapToGrid w:val="0"/>
              <w:jc w:val="center"/>
              <w:rPr>
                <w:rFonts w:ascii="Times New Roman" w:hAnsi="Times New Roman" w:cs="Times New Roman"/>
                <w:color w:val="auto"/>
                <w:sz w:val="21"/>
                <w:lang w:eastAsia="zh-CN"/>
              </w:rPr>
            </w:pPr>
          </w:p>
        </w:tc>
      </w:tr>
      <w:tr w14:paraId="3B2A6DD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Merge w:val="continue"/>
            <w:vAlign w:val="center"/>
          </w:tcPr>
          <w:p w14:paraId="3EA6C78F">
            <w:pPr>
              <w:topLinePunct/>
              <w:adjustRightInd w:val="0"/>
              <w:snapToGrid w:val="0"/>
              <w:jc w:val="center"/>
              <w:rPr>
                <w:rFonts w:ascii="Times New Roman" w:hAnsi="Times New Roman" w:cs="Times New Roman"/>
                <w:color w:val="auto"/>
                <w:sz w:val="21"/>
                <w:lang w:eastAsia="zh-CN"/>
              </w:rPr>
            </w:pPr>
          </w:p>
        </w:tc>
        <w:tc>
          <w:tcPr>
            <w:tcW w:w="577" w:type="pct"/>
            <w:vMerge w:val="continue"/>
            <w:vAlign w:val="center"/>
          </w:tcPr>
          <w:p w14:paraId="1F427D83">
            <w:pPr>
              <w:topLinePunct/>
              <w:adjustRightInd w:val="0"/>
              <w:snapToGrid w:val="0"/>
              <w:jc w:val="center"/>
              <w:rPr>
                <w:rFonts w:ascii="Times New Roman" w:hAnsi="Times New Roman" w:cs="Times New Roman"/>
                <w:color w:val="auto"/>
                <w:sz w:val="21"/>
                <w:lang w:eastAsia="zh-CN"/>
              </w:rPr>
            </w:pPr>
          </w:p>
        </w:tc>
        <w:tc>
          <w:tcPr>
            <w:tcW w:w="2060" w:type="pct"/>
            <w:vAlign w:val="center"/>
          </w:tcPr>
          <w:p w14:paraId="54D5D13F">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严守规划分区管控。在生态保护红线、永久基本农田和生态空间、农业空间内禁止新（改、扩）建化工项目；已经建设的，应按照相关规定，限期迁出</w:t>
            </w:r>
          </w:p>
        </w:tc>
        <w:tc>
          <w:tcPr>
            <w:tcW w:w="1960" w:type="pct"/>
            <w:vAlign w:val="center"/>
          </w:tcPr>
          <w:p w14:paraId="29C942BE">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本项目位于</w:t>
            </w:r>
            <w:r>
              <w:rPr>
                <w:rFonts w:hint="eastAsia" w:ascii="Times New Roman" w:hAnsi="Times New Roman" w:cs="Times New Roman"/>
                <w:color w:val="auto"/>
                <w:sz w:val="21"/>
                <w:lang w:eastAsia="zh-CN"/>
              </w:rPr>
              <w:t>蚌埠精细化工高新技术产业基地</w:t>
            </w:r>
            <w:r>
              <w:rPr>
                <w:rFonts w:ascii="Times New Roman" w:hAnsi="Times New Roman" w:cs="Times New Roman"/>
                <w:color w:val="auto"/>
                <w:sz w:val="21"/>
                <w:lang w:eastAsia="zh-CN"/>
              </w:rPr>
              <w:t>，项目用地性质为园区内规划工业用地，项目占地不涉及生态保护红线、永久基本农田和生态空间、农业空间。</w:t>
            </w:r>
          </w:p>
        </w:tc>
        <w:tc>
          <w:tcPr>
            <w:tcW w:w="228" w:type="pct"/>
            <w:vMerge w:val="continue"/>
            <w:vAlign w:val="center"/>
          </w:tcPr>
          <w:p w14:paraId="2912393C">
            <w:pPr>
              <w:topLinePunct/>
              <w:adjustRightInd w:val="0"/>
              <w:snapToGrid w:val="0"/>
              <w:jc w:val="center"/>
              <w:rPr>
                <w:rFonts w:ascii="Times New Roman" w:hAnsi="Times New Roman" w:cs="Times New Roman"/>
                <w:color w:val="auto"/>
                <w:sz w:val="21"/>
                <w:lang w:eastAsia="zh-CN"/>
              </w:rPr>
            </w:pPr>
          </w:p>
        </w:tc>
      </w:tr>
      <w:tr w14:paraId="5F9DB4A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Merge w:val="continue"/>
            <w:vAlign w:val="center"/>
          </w:tcPr>
          <w:p w14:paraId="65C4B00A">
            <w:pPr>
              <w:topLinePunct/>
              <w:adjustRightInd w:val="0"/>
              <w:snapToGrid w:val="0"/>
              <w:jc w:val="center"/>
              <w:rPr>
                <w:rFonts w:ascii="Times New Roman" w:hAnsi="Times New Roman" w:cs="Times New Roman"/>
                <w:color w:val="auto"/>
                <w:sz w:val="21"/>
                <w:lang w:eastAsia="zh-CN"/>
              </w:rPr>
            </w:pPr>
          </w:p>
        </w:tc>
        <w:tc>
          <w:tcPr>
            <w:tcW w:w="577" w:type="pct"/>
            <w:vMerge w:val="continue"/>
            <w:vAlign w:val="center"/>
          </w:tcPr>
          <w:p w14:paraId="45A24ECB">
            <w:pPr>
              <w:topLinePunct/>
              <w:adjustRightInd w:val="0"/>
              <w:snapToGrid w:val="0"/>
              <w:jc w:val="center"/>
              <w:rPr>
                <w:rFonts w:ascii="Times New Roman" w:hAnsi="Times New Roman" w:cs="Times New Roman"/>
                <w:color w:val="auto"/>
                <w:sz w:val="21"/>
                <w:lang w:eastAsia="zh-CN"/>
              </w:rPr>
            </w:pPr>
          </w:p>
        </w:tc>
        <w:tc>
          <w:tcPr>
            <w:tcW w:w="2060" w:type="pct"/>
            <w:vAlign w:val="center"/>
          </w:tcPr>
          <w:p w14:paraId="7EB58F71">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严格岸线管理。禁止在长江干支流岸线一公里范围内新建、扩建化工园区和化工项目；已批未开工项目，停止建设，按要求重新选址；已经开工建设的，严格进行检查评估，不符合岸线规划和环保、安全要求的，全部依法依规停建搬迁。长江干流岸线5公里范围内，严格控制新建石油化工和煤化工等重化工、重污染项目</w:t>
            </w:r>
          </w:p>
        </w:tc>
        <w:tc>
          <w:tcPr>
            <w:tcW w:w="1960" w:type="pct"/>
            <w:vAlign w:val="center"/>
          </w:tcPr>
          <w:p w14:paraId="164CF01E">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拟建项目位于</w:t>
            </w:r>
            <w:r>
              <w:rPr>
                <w:rFonts w:hint="eastAsia" w:ascii="Times New Roman" w:hAnsi="Times New Roman" w:cs="Times New Roman"/>
                <w:color w:val="auto"/>
                <w:sz w:val="21"/>
                <w:lang w:eastAsia="zh-CN"/>
              </w:rPr>
              <w:t>蚌埠精细化工高新技术产业基地</w:t>
            </w:r>
            <w:r>
              <w:rPr>
                <w:rFonts w:ascii="Times New Roman" w:hAnsi="Times New Roman" w:cs="Times New Roman"/>
                <w:color w:val="auto"/>
                <w:sz w:val="21"/>
                <w:lang w:eastAsia="zh-CN"/>
              </w:rPr>
              <w:t>，项目厂区距长江最近距离约</w:t>
            </w:r>
            <w:r>
              <w:rPr>
                <w:rFonts w:hint="eastAsia" w:ascii="Times New Roman" w:hAnsi="Times New Roman" w:cs="Times New Roman"/>
                <w:color w:val="auto"/>
                <w:sz w:val="21"/>
                <w:lang w:eastAsia="zh-CN"/>
              </w:rPr>
              <w:t>141</w:t>
            </w:r>
            <w:r>
              <w:rPr>
                <w:rFonts w:ascii="Times New Roman" w:hAnsi="Times New Roman" w:cs="Times New Roman"/>
                <w:color w:val="auto"/>
                <w:sz w:val="21"/>
                <w:lang w:eastAsia="zh-CN"/>
              </w:rPr>
              <w:t>km，不属于长江干流及支流岸线</w:t>
            </w:r>
            <w:r>
              <w:rPr>
                <w:rFonts w:hint="eastAsia" w:ascii="Times New Roman" w:hAnsi="Times New Roman" w:cs="Times New Roman"/>
                <w:color w:val="auto"/>
                <w:sz w:val="21"/>
                <w:lang w:eastAsia="zh-CN"/>
              </w:rPr>
              <w:t>5</w:t>
            </w:r>
            <w:r>
              <w:rPr>
                <w:rFonts w:ascii="Times New Roman" w:hAnsi="Times New Roman" w:cs="Times New Roman"/>
                <w:color w:val="auto"/>
                <w:sz w:val="21"/>
                <w:lang w:eastAsia="zh-CN"/>
              </w:rPr>
              <w:t>km范围。项目不属于石油化工和煤化工等重化工、重污染项目</w:t>
            </w:r>
          </w:p>
        </w:tc>
        <w:tc>
          <w:tcPr>
            <w:tcW w:w="228" w:type="pct"/>
            <w:vMerge w:val="continue"/>
            <w:vAlign w:val="center"/>
          </w:tcPr>
          <w:p w14:paraId="20A4715D">
            <w:pPr>
              <w:topLinePunct/>
              <w:adjustRightInd w:val="0"/>
              <w:snapToGrid w:val="0"/>
              <w:jc w:val="center"/>
              <w:rPr>
                <w:rFonts w:ascii="Times New Roman" w:hAnsi="Times New Roman" w:cs="Times New Roman"/>
                <w:color w:val="auto"/>
                <w:sz w:val="21"/>
                <w:lang w:eastAsia="zh-CN"/>
              </w:rPr>
            </w:pPr>
          </w:p>
        </w:tc>
      </w:tr>
      <w:tr w14:paraId="7606F7E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Merge w:val="continue"/>
            <w:vAlign w:val="center"/>
          </w:tcPr>
          <w:p w14:paraId="40296462">
            <w:pPr>
              <w:topLinePunct/>
              <w:adjustRightInd w:val="0"/>
              <w:snapToGrid w:val="0"/>
              <w:jc w:val="center"/>
              <w:rPr>
                <w:rFonts w:ascii="Times New Roman" w:hAnsi="Times New Roman" w:cs="Times New Roman"/>
                <w:color w:val="auto"/>
                <w:sz w:val="21"/>
                <w:lang w:eastAsia="zh-CN"/>
              </w:rPr>
            </w:pPr>
          </w:p>
        </w:tc>
        <w:tc>
          <w:tcPr>
            <w:tcW w:w="577" w:type="pct"/>
            <w:vMerge w:val="continue"/>
            <w:vAlign w:val="center"/>
          </w:tcPr>
          <w:p w14:paraId="0EFCD008">
            <w:pPr>
              <w:topLinePunct/>
              <w:adjustRightInd w:val="0"/>
              <w:snapToGrid w:val="0"/>
              <w:jc w:val="center"/>
              <w:rPr>
                <w:rFonts w:ascii="Times New Roman" w:hAnsi="Times New Roman" w:cs="Times New Roman"/>
                <w:color w:val="auto"/>
                <w:sz w:val="21"/>
                <w:lang w:eastAsia="zh-CN"/>
              </w:rPr>
            </w:pPr>
          </w:p>
        </w:tc>
        <w:tc>
          <w:tcPr>
            <w:tcW w:w="2060" w:type="pct"/>
            <w:vAlign w:val="center"/>
          </w:tcPr>
          <w:p w14:paraId="13C580E0">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推进退城入园。城市建成区、重点流域重污染化工企业和危险化学品生产企业应加快退城入园。严格执行危险化学品“禁限控”目录，新建危险化学品生产（含中间产品）项目，以爆炸性化学品、剧（高）毒化学品、液化烃类易燃易爆化学品为主要原料的化工生产项目，以及其他构成危险化学品重大危险源或依法应取得安全使用许可证的化工生产项目，必须进入一般或较低安全风险的化工园区（与其他行业生产装置配套建设的项目除外）</w:t>
            </w:r>
          </w:p>
        </w:tc>
        <w:tc>
          <w:tcPr>
            <w:tcW w:w="1960" w:type="pct"/>
            <w:vAlign w:val="center"/>
          </w:tcPr>
          <w:p w14:paraId="1AEDCD2C">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项目所在的</w:t>
            </w:r>
            <w:r>
              <w:rPr>
                <w:rFonts w:hint="eastAsia" w:ascii="Times New Roman" w:hAnsi="Times New Roman" w:cs="Times New Roman"/>
                <w:color w:val="auto"/>
                <w:sz w:val="21"/>
                <w:lang w:eastAsia="zh-CN"/>
              </w:rPr>
              <w:t>蚌埠精细化工高新技术产业基地</w:t>
            </w:r>
            <w:r>
              <w:rPr>
                <w:rFonts w:ascii="Times New Roman" w:hAnsi="Times New Roman" w:cs="Times New Roman"/>
                <w:color w:val="auto"/>
                <w:sz w:val="21"/>
                <w:lang w:eastAsia="zh-CN"/>
              </w:rPr>
              <w:t>属于安徽省政府认定规范的化工园区，且本项目属于</w:t>
            </w:r>
            <w:r>
              <w:rPr>
                <w:rFonts w:hint="eastAsia" w:ascii="Times New Roman" w:hAnsi="Times New Roman" w:cs="Times New Roman"/>
                <w:color w:val="auto"/>
                <w:sz w:val="21"/>
                <w:lang w:eastAsia="zh-CN"/>
              </w:rPr>
              <w:t>蚌埠精细化工高新技术产业基地</w:t>
            </w:r>
            <w:r>
              <w:rPr>
                <w:rFonts w:ascii="Times New Roman" w:hAnsi="Times New Roman" w:cs="Times New Roman"/>
                <w:color w:val="auto"/>
                <w:sz w:val="21"/>
                <w:lang w:eastAsia="zh-CN"/>
              </w:rPr>
              <w:t>主导产业，项目不属于以爆炸性化学品、剧（高）毒化学品、液化烃类易燃易爆化学品为主要原料的化工生产项目</w:t>
            </w:r>
          </w:p>
        </w:tc>
        <w:tc>
          <w:tcPr>
            <w:tcW w:w="228" w:type="pct"/>
            <w:vMerge w:val="continue"/>
            <w:vAlign w:val="center"/>
          </w:tcPr>
          <w:p w14:paraId="2FE4C283">
            <w:pPr>
              <w:topLinePunct/>
              <w:adjustRightInd w:val="0"/>
              <w:snapToGrid w:val="0"/>
              <w:jc w:val="center"/>
              <w:rPr>
                <w:rFonts w:ascii="Times New Roman" w:hAnsi="Times New Roman" w:cs="Times New Roman"/>
                <w:color w:val="auto"/>
                <w:sz w:val="21"/>
                <w:lang w:eastAsia="zh-CN"/>
              </w:rPr>
            </w:pPr>
          </w:p>
        </w:tc>
      </w:tr>
      <w:tr w14:paraId="6860DC5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Merge w:val="continue"/>
            <w:vAlign w:val="center"/>
          </w:tcPr>
          <w:p w14:paraId="04612A5E">
            <w:pPr>
              <w:topLinePunct/>
              <w:adjustRightInd w:val="0"/>
              <w:snapToGrid w:val="0"/>
              <w:jc w:val="center"/>
              <w:rPr>
                <w:rFonts w:ascii="Times New Roman" w:hAnsi="Times New Roman" w:cs="Times New Roman"/>
                <w:color w:val="auto"/>
                <w:sz w:val="21"/>
                <w:lang w:eastAsia="zh-CN"/>
              </w:rPr>
            </w:pPr>
          </w:p>
        </w:tc>
        <w:tc>
          <w:tcPr>
            <w:tcW w:w="577" w:type="pct"/>
            <w:vMerge w:val="continue"/>
            <w:vAlign w:val="center"/>
          </w:tcPr>
          <w:p w14:paraId="1EA31CB6">
            <w:pPr>
              <w:topLinePunct/>
              <w:adjustRightInd w:val="0"/>
              <w:snapToGrid w:val="0"/>
              <w:jc w:val="center"/>
              <w:rPr>
                <w:rFonts w:ascii="Times New Roman" w:hAnsi="Times New Roman" w:cs="Times New Roman"/>
                <w:color w:val="auto"/>
                <w:sz w:val="21"/>
                <w:lang w:eastAsia="zh-CN"/>
              </w:rPr>
            </w:pPr>
          </w:p>
        </w:tc>
        <w:tc>
          <w:tcPr>
            <w:tcW w:w="2060" w:type="pct"/>
            <w:vAlign w:val="center"/>
          </w:tcPr>
          <w:p w14:paraId="72912D4F">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严格安全标准准入。新（改、扩）建危险化学品项目，严格按照《危险化学品建设项目安全监督管理办法》要求，履行建设项目安全审查，严禁未批先建。禁止建设达不到安全标准的落后生产工艺、未委托具有相应资质设计单位进行工艺设计的新（改、扩）建项目。化工项目利旧设备必须符合相关安全要求。新（改、扩）建精细化工项目，按规定开展反应安全风险评估，禁止反应工艺危险度5级、严格限制4级的项目。化工园区应当根据风险大小、企业数量、生产工艺要求等，优化园区内企业布局，建立健全与之配套的安全监督、隐患排查、风险评估、应急救援等机制，有效控制和降低整体安全风险</w:t>
            </w:r>
          </w:p>
        </w:tc>
        <w:tc>
          <w:tcPr>
            <w:tcW w:w="1960" w:type="pct"/>
            <w:vAlign w:val="center"/>
          </w:tcPr>
          <w:p w14:paraId="72ABF9BA">
            <w:pPr>
              <w:topLinePunct/>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本项目不属于危险工艺，项目不涉及重点监管工艺。</w:t>
            </w:r>
          </w:p>
          <w:p w14:paraId="46841C92">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000000" w:themeColor="text1"/>
                <w:sz w:val="21"/>
                <w:lang w:eastAsia="zh-CN"/>
                <w14:textFill>
                  <w14:solidFill>
                    <w14:schemeClr w14:val="tx1"/>
                  </w14:solidFill>
                </w14:textFill>
              </w:rPr>
              <w:t>项目已通过安全条件审查，详见附件10。建设单位应建立健全与之配套的安全监督、隐患排查、风险评估、应急救援等机制，有效控制和降低整体安全风险</w:t>
            </w:r>
          </w:p>
        </w:tc>
        <w:tc>
          <w:tcPr>
            <w:tcW w:w="228" w:type="pct"/>
            <w:vMerge w:val="continue"/>
            <w:vAlign w:val="center"/>
          </w:tcPr>
          <w:p w14:paraId="5548E408">
            <w:pPr>
              <w:topLinePunct/>
              <w:adjustRightInd w:val="0"/>
              <w:snapToGrid w:val="0"/>
              <w:jc w:val="center"/>
              <w:rPr>
                <w:rFonts w:ascii="Times New Roman" w:hAnsi="Times New Roman" w:cs="Times New Roman"/>
                <w:color w:val="auto"/>
                <w:sz w:val="21"/>
                <w:lang w:eastAsia="zh-CN"/>
              </w:rPr>
            </w:pPr>
          </w:p>
        </w:tc>
      </w:tr>
      <w:tr w14:paraId="2D56E1C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Merge w:val="continue"/>
            <w:vAlign w:val="center"/>
          </w:tcPr>
          <w:p w14:paraId="66F138B0">
            <w:pPr>
              <w:topLinePunct/>
              <w:adjustRightInd w:val="0"/>
              <w:snapToGrid w:val="0"/>
              <w:jc w:val="center"/>
              <w:rPr>
                <w:rFonts w:ascii="Times New Roman" w:hAnsi="Times New Roman" w:cs="Times New Roman"/>
                <w:color w:val="auto"/>
                <w:sz w:val="21"/>
                <w:lang w:eastAsia="zh-CN"/>
              </w:rPr>
            </w:pPr>
          </w:p>
        </w:tc>
        <w:tc>
          <w:tcPr>
            <w:tcW w:w="577" w:type="pct"/>
            <w:vMerge w:val="continue"/>
            <w:vAlign w:val="center"/>
          </w:tcPr>
          <w:p w14:paraId="4F189E4A">
            <w:pPr>
              <w:topLinePunct/>
              <w:adjustRightInd w:val="0"/>
              <w:snapToGrid w:val="0"/>
              <w:jc w:val="center"/>
              <w:rPr>
                <w:rFonts w:ascii="Times New Roman" w:hAnsi="Times New Roman" w:cs="Times New Roman"/>
                <w:color w:val="auto"/>
                <w:sz w:val="21"/>
                <w:lang w:eastAsia="zh-CN"/>
              </w:rPr>
            </w:pPr>
          </w:p>
        </w:tc>
        <w:tc>
          <w:tcPr>
            <w:tcW w:w="2060" w:type="pct"/>
            <w:vAlign w:val="center"/>
          </w:tcPr>
          <w:p w14:paraId="7E7D5B5D">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严格生态环境准入。新（改、扩）建化工项目应与“三线一单”</w:t>
            </w:r>
            <w:r>
              <w:rPr>
                <w:rFonts w:hint="eastAsia" w:ascii="Times New Roman" w:hAnsi="Times New Roman" w:cs="Times New Roman"/>
                <w:color w:val="auto"/>
                <w:sz w:val="21"/>
                <w:lang w:eastAsia="zh-CN"/>
              </w:rPr>
              <w:t>（</w:t>
            </w:r>
            <w:r>
              <w:rPr>
                <w:rFonts w:ascii="Times New Roman" w:hAnsi="Times New Roman" w:cs="Times New Roman"/>
                <w:color w:val="auto"/>
                <w:sz w:val="21"/>
                <w:lang w:eastAsia="zh-CN"/>
              </w:rPr>
              <w:t>生态保护红线、环境质量底线、资源利用上线和生态环境准入清单</w:t>
            </w:r>
            <w:r>
              <w:rPr>
                <w:rFonts w:hint="eastAsia" w:ascii="Times New Roman" w:hAnsi="Times New Roman" w:cs="Times New Roman"/>
                <w:color w:val="auto"/>
                <w:sz w:val="21"/>
                <w:lang w:eastAsia="zh-CN"/>
              </w:rPr>
              <w:t>）</w:t>
            </w:r>
            <w:r>
              <w:rPr>
                <w:rFonts w:ascii="Times New Roman" w:hAnsi="Times New Roman" w:cs="Times New Roman"/>
                <w:color w:val="auto"/>
                <w:sz w:val="21"/>
                <w:lang w:eastAsia="zh-CN"/>
              </w:rPr>
              <w:t>相协调，并符合国土空间规划及规划环评要求，按有关规定设置合理的环境防护距离，环境防护距离内不得有居民区、学校、医院等环境敏感目标</w:t>
            </w:r>
          </w:p>
        </w:tc>
        <w:tc>
          <w:tcPr>
            <w:tcW w:w="1960" w:type="pct"/>
            <w:vAlign w:val="center"/>
          </w:tcPr>
          <w:p w14:paraId="2A2700DD">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本项目选址位于</w:t>
            </w:r>
            <w:r>
              <w:rPr>
                <w:rFonts w:hint="eastAsia" w:ascii="Times New Roman" w:hAnsi="Times New Roman" w:cs="Times New Roman"/>
                <w:color w:val="auto"/>
                <w:sz w:val="21"/>
                <w:lang w:eastAsia="zh-CN"/>
              </w:rPr>
              <w:t>蚌埠精细化工高新技术产业基地</w:t>
            </w:r>
            <w:r>
              <w:rPr>
                <w:rFonts w:ascii="Times New Roman" w:hAnsi="Times New Roman" w:cs="Times New Roman"/>
                <w:color w:val="auto"/>
                <w:sz w:val="21"/>
                <w:lang w:eastAsia="zh-CN"/>
              </w:rPr>
              <w:t>，选址与“三线一单”（生态保护红线、环境质量底线、资源利用上线和生态环境准入清单）相协调；项目属于</w:t>
            </w:r>
            <w:r>
              <w:rPr>
                <w:rFonts w:hint="eastAsia" w:ascii="Times New Roman" w:hAnsi="Times New Roman" w:cs="Times New Roman"/>
                <w:color w:val="auto"/>
                <w:sz w:val="21"/>
                <w:lang w:eastAsia="zh-CN"/>
              </w:rPr>
              <w:t>蚌埠精细化工高新技术产业基地</w:t>
            </w:r>
            <w:r>
              <w:rPr>
                <w:rFonts w:ascii="Times New Roman" w:hAnsi="Times New Roman" w:cs="Times New Roman"/>
                <w:color w:val="auto"/>
                <w:sz w:val="21"/>
                <w:lang w:eastAsia="zh-CN"/>
              </w:rPr>
              <w:t>主导产业，符合园区产业定位、园区规划及规划环评要求；</w:t>
            </w:r>
            <w:r>
              <w:rPr>
                <w:rFonts w:ascii="Times New Roman" w:hAnsi="Times New Roman" w:cs="Times New Roman"/>
                <w:color w:val="000000" w:themeColor="text1"/>
                <w:sz w:val="21"/>
                <w:lang w:eastAsia="zh-CN"/>
                <w14:textFill>
                  <w14:solidFill>
                    <w14:schemeClr w14:val="tx1"/>
                  </w14:solidFill>
                </w14:textFill>
              </w:rPr>
              <w:t>根据大气环境防护距离及风险控制距离综合判定，本项目需设置</w:t>
            </w:r>
            <w:r>
              <w:rPr>
                <w:rFonts w:hint="eastAsia" w:ascii="Times New Roman" w:hAnsi="Times New Roman" w:cs="Times New Roman"/>
                <w:color w:val="000000" w:themeColor="text1"/>
                <w:sz w:val="21"/>
                <w:lang w:eastAsia="zh-CN"/>
                <w14:textFill>
                  <w14:solidFill>
                    <w14:schemeClr w14:val="tx1"/>
                  </w14:solidFill>
                </w14:textFill>
              </w:rPr>
              <w:t>65</w:t>
            </w:r>
            <w:r>
              <w:rPr>
                <w:rFonts w:ascii="Times New Roman" w:hAnsi="Times New Roman" w:cs="Times New Roman"/>
                <w:color w:val="000000" w:themeColor="text1"/>
                <w:sz w:val="21"/>
                <w:lang w:eastAsia="zh-CN"/>
                <w14:textFill>
                  <w14:solidFill>
                    <w14:schemeClr w14:val="tx1"/>
                  </w14:solidFill>
                </w14:textFill>
              </w:rPr>
              <w:t>0m环境防护距离，环境防护距离内无居民区、学校、医院等环境敏感目标。</w:t>
            </w:r>
          </w:p>
        </w:tc>
        <w:tc>
          <w:tcPr>
            <w:tcW w:w="228" w:type="pct"/>
            <w:vMerge w:val="continue"/>
            <w:vAlign w:val="center"/>
          </w:tcPr>
          <w:p w14:paraId="3558DE5A">
            <w:pPr>
              <w:topLinePunct/>
              <w:adjustRightInd w:val="0"/>
              <w:snapToGrid w:val="0"/>
              <w:jc w:val="center"/>
              <w:rPr>
                <w:rFonts w:ascii="Times New Roman" w:hAnsi="Times New Roman" w:cs="Times New Roman"/>
                <w:color w:val="auto"/>
                <w:sz w:val="21"/>
                <w:lang w:eastAsia="zh-CN"/>
              </w:rPr>
            </w:pPr>
          </w:p>
        </w:tc>
      </w:tr>
      <w:tr w14:paraId="7004745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Merge w:val="continue"/>
            <w:vAlign w:val="center"/>
          </w:tcPr>
          <w:p w14:paraId="7920B39C">
            <w:pPr>
              <w:topLinePunct/>
              <w:adjustRightInd w:val="0"/>
              <w:snapToGrid w:val="0"/>
              <w:jc w:val="center"/>
              <w:rPr>
                <w:rFonts w:ascii="Times New Roman" w:hAnsi="Times New Roman" w:cs="Times New Roman"/>
                <w:color w:val="auto"/>
                <w:sz w:val="21"/>
                <w:lang w:eastAsia="zh-CN"/>
              </w:rPr>
            </w:pPr>
          </w:p>
        </w:tc>
        <w:tc>
          <w:tcPr>
            <w:tcW w:w="577" w:type="pct"/>
            <w:vMerge w:val="continue"/>
            <w:vAlign w:val="center"/>
          </w:tcPr>
          <w:p w14:paraId="76974E78">
            <w:pPr>
              <w:topLinePunct/>
              <w:adjustRightInd w:val="0"/>
              <w:snapToGrid w:val="0"/>
              <w:jc w:val="center"/>
              <w:rPr>
                <w:rFonts w:ascii="Times New Roman" w:hAnsi="Times New Roman" w:cs="Times New Roman"/>
                <w:color w:val="auto"/>
                <w:sz w:val="21"/>
                <w:lang w:eastAsia="zh-CN"/>
              </w:rPr>
            </w:pPr>
          </w:p>
        </w:tc>
        <w:tc>
          <w:tcPr>
            <w:tcW w:w="2060" w:type="pct"/>
            <w:vAlign w:val="center"/>
          </w:tcPr>
          <w:p w14:paraId="25AA59E4">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新（改、扩）建化工项目污染物排放执行相应行业特别排放限值，采取有效措施控制特征污染物的逸散与排放，无组织排放应达到相应标准，严禁生产废水直接外排，产生的生化污泥或盐泥等固体废物要按照废物属性分类收集、贮存和处理，蒸发塘、晾晒池、氧化塘、暂存池等要严格按照相关标准进行建设。</w:t>
            </w:r>
          </w:p>
        </w:tc>
        <w:tc>
          <w:tcPr>
            <w:tcW w:w="1960" w:type="pct"/>
            <w:vAlign w:val="center"/>
          </w:tcPr>
          <w:p w14:paraId="134742E4">
            <w:pPr>
              <w:topLinePunct/>
              <w:adjustRightInd w:val="0"/>
              <w:snapToGrid w:val="0"/>
              <w:jc w:val="center"/>
              <w:rPr>
                <w:rFonts w:ascii="Times New Roman" w:hAnsi="Times New Roman" w:cs="Times New Roman"/>
                <w:color w:val="FF0000"/>
                <w:sz w:val="21"/>
                <w:lang w:eastAsia="zh-CN"/>
              </w:rPr>
            </w:pPr>
            <w:r>
              <w:rPr>
                <w:rFonts w:ascii="Times New Roman" w:hAnsi="Times New Roman" w:cs="Times New Roman"/>
                <w:color w:val="auto"/>
                <w:sz w:val="21"/>
                <w:lang w:eastAsia="zh-CN"/>
              </w:rPr>
              <w:t>本项目废气污染物</w:t>
            </w:r>
            <w:r>
              <w:rPr>
                <w:rFonts w:hint="eastAsia" w:ascii="Times New Roman" w:hAnsi="Times New Roman" w:cs="Times New Roman"/>
                <w:color w:val="auto"/>
                <w:sz w:val="21"/>
                <w:lang w:eastAsia="zh-CN"/>
              </w:rPr>
              <w:t>氯化氢、氟化物</w:t>
            </w:r>
            <w:r>
              <w:rPr>
                <w:rFonts w:ascii="Times New Roman" w:hAnsi="Times New Roman" w:cs="Times New Roman"/>
                <w:color w:val="auto"/>
                <w:sz w:val="21"/>
                <w:lang w:eastAsia="zh-CN"/>
              </w:rPr>
              <w:t>执行</w:t>
            </w:r>
            <w:r>
              <w:rPr>
                <w:rFonts w:hint="eastAsia" w:ascii="Times New Roman" w:hAnsi="Times New Roman" w:cs="Times New Roman"/>
                <w:color w:val="auto"/>
                <w:sz w:val="21"/>
                <w:lang w:eastAsia="zh-CN"/>
              </w:rPr>
              <w:t>《无机化学工业污染物排放标准》（GB31573-2015）</w:t>
            </w:r>
            <w:r>
              <w:rPr>
                <w:rFonts w:ascii="Times New Roman" w:hAnsi="Times New Roman" w:cs="Times New Roman"/>
                <w:color w:val="auto"/>
                <w:sz w:val="21"/>
                <w:lang w:eastAsia="zh-CN"/>
              </w:rPr>
              <w:t>中</w:t>
            </w:r>
            <w:r>
              <w:rPr>
                <w:rFonts w:hint="eastAsia" w:ascii="Times New Roman" w:hAnsi="Times New Roman" w:cs="Times New Roman"/>
                <w:color w:val="auto"/>
                <w:sz w:val="21"/>
                <w:lang w:eastAsia="zh-CN"/>
              </w:rPr>
              <w:t>特别</w:t>
            </w:r>
            <w:r>
              <w:rPr>
                <w:rFonts w:ascii="Times New Roman" w:hAnsi="Times New Roman" w:cs="Times New Roman"/>
                <w:color w:val="auto"/>
                <w:sz w:val="21"/>
                <w:lang w:eastAsia="zh-CN"/>
              </w:rPr>
              <w:t>排放限值要求。项目</w:t>
            </w:r>
            <w:r>
              <w:rPr>
                <w:rFonts w:hint="eastAsia" w:ascii="Times New Roman" w:hAnsi="Times New Roman" w:cs="Times New Roman"/>
                <w:color w:val="auto"/>
                <w:sz w:val="21"/>
                <w:lang w:eastAsia="zh-CN"/>
              </w:rPr>
              <w:t>碱</w:t>
            </w:r>
            <w:r>
              <w:rPr>
                <w:rFonts w:ascii="Times New Roman" w:hAnsi="Times New Roman" w:cs="Times New Roman"/>
                <w:color w:val="auto"/>
                <w:sz w:val="21"/>
                <w:lang w:eastAsia="zh-CN"/>
              </w:rPr>
              <w:t>喷淋塔置换废水、地面清洁废水</w:t>
            </w:r>
            <w:r>
              <w:rPr>
                <w:rFonts w:hint="eastAsia" w:ascii="Times New Roman" w:hAnsi="Times New Roman" w:cs="Times New Roman"/>
                <w:color w:val="auto"/>
                <w:sz w:val="21"/>
                <w:lang w:eastAsia="zh-CN"/>
              </w:rPr>
              <w:t>依托现有厂区</w:t>
            </w:r>
            <w:r>
              <w:rPr>
                <w:rFonts w:ascii="Times New Roman" w:hAnsi="Times New Roman" w:cs="Times New Roman"/>
                <w:color w:val="auto"/>
                <w:sz w:val="21"/>
                <w:lang w:eastAsia="zh-CN"/>
              </w:rPr>
              <w:t>污水处理站“四级除氟反应+四级除氟沉淀”处理后，</w:t>
            </w:r>
            <w:r>
              <w:rPr>
                <w:rFonts w:hint="eastAsia" w:ascii="Times New Roman" w:hAnsi="Times New Roman" w:cs="Times New Roman"/>
                <w:color w:val="auto"/>
                <w:sz w:val="21"/>
                <w:lang w:eastAsia="zh-CN"/>
              </w:rPr>
              <w:t>与</w:t>
            </w:r>
            <w:r>
              <w:rPr>
                <w:rFonts w:ascii="Times New Roman" w:hAnsi="Times New Roman" w:cs="Times New Roman"/>
                <w:color w:val="auto"/>
                <w:sz w:val="21"/>
                <w:lang w:eastAsia="zh-CN"/>
              </w:rPr>
              <w:t>循环冷却置换废水</w:t>
            </w:r>
            <w:r>
              <w:rPr>
                <w:rFonts w:hint="eastAsia" w:ascii="Times New Roman" w:hAnsi="Times New Roman" w:cs="Times New Roman"/>
                <w:color w:val="auto"/>
                <w:sz w:val="21"/>
                <w:lang w:eastAsia="zh-CN"/>
              </w:rPr>
              <w:t>、生活污水一同</w:t>
            </w:r>
            <w:r>
              <w:rPr>
                <w:rFonts w:ascii="Times New Roman" w:hAnsi="Times New Roman" w:cs="Times New Roman"/>
                <w:color w:val="auto"/>
                <w:sz w:val="21"/>
                <w:lang w:eastAsia="zh-CN"/>
              </w:rPr>
              <w:t>排入园区污水管网，进入沫河口污水处理厂处理；项目产生的</w:t>
            </w:r>
            <w:r>
              <w:rPr>
                <w:rFonts w:hint="eastAsia" w:ascii="Times New Roman" w:hAnsi="Times New Roman" w:cs="Times New Roman"/>
                <w:color w:val="auto"/>
                <w:sz w:val="21"/>
                <w:lang w:eastAsia="zh-CN"/>
              </w:rPr>
              <w:t>实验室</w:t>
            </w:r>
            <w:r>
              <w:rPr>
                <w:rFonts w:ascii="Times New Roman" w:hAnsi="Times New Roman" w:cs="Times New Roman"/>
                <w:color w:val="auto"/>
                <w:sz w:val="21"/>
                <w:lang w:eastAsia="zh-CN"/>
              </w:rPr>
              <w:t>废液</w:t>
            </w:r>
            <w:r>
              <w:rPr>
                <w:rFonts w:hint="eastAsia" w:ascii="Times New Roman" w:hAnsi="Times New Roman" w:cs="Times New Roman"/>
                <w:color w:val="auto"/>
                <w:sz w:val="21"/>
                <w:lang w:eastAsia="zh-CN"/>
              </w:rPr>
              <w:t>、废机油、</w:t>
            </w:r>
            <w:r>
              <w:rPr>
                <w:rFonts w:hint="eastAsia" w:ascii="Times New Roman" w:hAnsi="Times New Roman" w:cs="Times New Roman"/>
                <w:color w:val="auto"/>
                <w:sz w:val="21"/>
                <w:lang w:val="en-US" w:eastAsia="zh-CN"/>
              </w:rPr>
              <w:t>废漆桶、</w:t>
            </w:r>
            <w:r>
              <w:rPr>
                <w:rFonts w:hint="eastAsia" w:ascii="Times New Roman" w:hAnsi="Times New Roman" w:cs="Times New Roman"/>
                <w:color w:val="auto"/>
                <w:sz w:val="21"/>
                <w:lang w:eastAsia="zh-CN"/>
              </w:rPr>
              <w:t>废油桶</w:t>
            </w:r>
            <w:r>
              <w:rPr>
                <w:rFonts w:ascii="Times New Roman" w:hAnsi="Times New Roman" w:cs="Times New Roman"/>
                <w:color w:val="auto"/>
                <w:sz w:val="21"/>
                <w:lang w:eastAsia="zh-CN"/>
              </w:rPr>
              <w:t>等</w:t>
            </w:r>
            <w:r>
              <w:rPr>
                <w:rFonts w:hint="eastAsia" w:ascii="Times New Roman" w:hAnsi="Times New Roman" w:cs="Times New Roman"/>
                <w:color w:val="auto"/>
                <w:sz w:val="21"/>
                <w:lang w:eastAsia="zh-CN"/>
              </w:rPr>
              <w:t>危险</w:t>
            </w:r>
            <w:r>
              <w:rPr>
                <w:rFonts w:ascii="Times New Roman" w:hAnsi="Times New Roman" w:cs="Times New Roman"/>
                <w:color w:val="auto"/>
                <w:sz w:val="21"/>
                <w:lang w:eastAsia="zh-CN"/>
              </w:rPr>
              <w:t>废物将严格按照废物属性分类收集、贮存</w:t>
            </w:r>
            <w:r>
              <w:rPr>
                <w:rFonts w:hint="eastAsia" w:ascii="Times New Roman" w:hAnsi="Times New Roman" w:cs="Times New Roman"/>
                <w:color w:val="auto"/>
                <w:sz w:val="21"/>
                <w:lang w:eastAsia="zh-CN"/>
              </w:rPr>
              <w:t>，并委托有资质单位处置；</w:t>
            </w:r>
            <w:r>
              <w:rPr>
                <w:rFonts w:ascii="Times New Roman" w:hAnsi="Times New Roman" w:cs="Times New Roman"/>
                <w:color w:val="auto"/>
                <w:sz w:val="21"/>
                <w:lang w:eastAsia="zh-CN"/>
              </w:rPr>
              <w:t>一般固废</w:t>
            </w:r>
            <w:r>
              <w:rPr>
                <w:rFonts w:hint="eastAsia" w:ascii="Times New Roman" w:hAnsi="Times New Roman" w:cs="Times New Roman"/>
                <w:color w:val="auto"/>
                <w:sz w:val="21"/>
                <w:lang w:eastAsia="zh-CN"/>
              </w:rPr>
              <w:t>污泥委托第三方单位</w:t>
            </w:r>
            <w:r>
              <w:rPr>
                <w:rFonts w:ascii="Times New Roman" w:hAnsi="Times New Roman" w:cs="Times New Roman"/>
                <w:color w:val="auto"/>
                <w:sz w:val="21"/>
                <w:lang w:eastAsia="zh-CN"/>
              </w:rPr>
              <w:t>处理</w:t>
            </w:r>
            <w:r>
              <w:rPr>
                <w:rFonts w:hint="eastAsia" w:ascii="Times New Roman" w:hAnsi="Times New Roman" w:cs="Times New Roman"/>
                <w:color w:val="auto"/>
                <w:sz w:val="21"/>
                <w:lang w:eastAsia="zh-CN"/>
              </w:rPr>
              <w:t>。</w:t>
            </w:r>
          </w:p>
        </w:tc>
        <w:tc>
          <w:tcPr>
            <w:tcW w:w="228" w:type="pct"/>
            <w:vMerge w:val="continue"/>
            <w:vAlign w:val="center"/>
          </w:tcPr>
          <w:p w14:paraId="2FDDEE1C">
            <w:pPr>
              <w:topLinePunct/>
              <w:adjustRightInd w:val="0"/>
              <w:snapToGrid w:val="0"/>
              <w:jc w:val="center"/>
              <w:rPr>
                <w:rFonts w:ascii="Times New Roman" w:hAnsi="Times New Roman" w:cs="Times New Roman"/>
                <w:color w:val="auto"/>
                <w:sz w:val="21"/>
                <w:lang w:eastAsia="zh-CN"/>
              </w:rPr>
            </w:pPr>
          </w:p>
        </w:tc>
      </w:tr>
      <w:tr w14:paraId="3800EC4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Merge w:val="continue"/>
            <w:vAlign w:val="center"/>
          </w:tcPr>
          <w:p w14:paraId="75F1564C">
            <w:pPr>
              <w:topLinePunct/>
              <w:adjustRightInd w:val="0"/>
              <w:snapToGrid w:val="0"/>
              <w:jc w:val="center"/>
              <w:rPr>
                <w:rFonts w:ascii="Times New Roman" w:hAnsi="Times New Roman" w:cs="Times New Roman"/>
                <w:color w:val="auto"/>
                <w:sz w:val="21"/>
                <w:lang w:eastAsia="zh-CN"/>
              </w:rPr>
            </w:pPr>
          </w:p>
        </w:tc>
        <w:tc>
          <w:tcPr>
            <w:tcW w:w="577" w:type="pct"/>
            <w:vMerge w:val="continue"/>
            <w:vAlign w:val="center"/>
          </w:tcPr>
          <w:p w14:paraId="46889021">
            <w:pPr>
              <w:topLinePunct/>
              <w:adjustRightInd w:val="0"/>
              <w:snapToGrid w:val="0"/>
              <w:jc w:val="center"/>
              <w:rPr>
                <w:rFonts w:ascii="Times New Roman" w:hAnsi="Times New Roman" w:cs="Times New Roman"/>
                <w:color w:val="auto"/>
                <w:sz w:val="21"/>
                <w:lang w:eastAsia="zh-CN"/>
              </w:rPr>
            </w:pPr>
          </w:p>
        </w:tc>
        <w:tc>
          <w:tcPr>
            <w:tcW w:w="2060" w:type="pct"/>
            <w:vAlign w:val="center"/>
          </w:tcPr>
          <w:p w14:paraId="000E18D6">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新建化工项目应严格遵守《企业投资项目核准和备案管理条例》《企业投资项目事中事后监管办法》等相关法律法规和规定，按照有关要求，做好环境影响评价和安全评价，确保投资项目中的安全、环保等设施与主体工程同时设计、同时施工、同时投产使用</w:t>
            </w:r>
          </w:p>
        </w:tc>
        <w:tc>
          <w:tcPr>
            <w:tcW w:w="1960" w:type="pct"/>
            <w:vAlign w:val="center"/>
          </w:tcPr>
          <w:p w14:paraId="37DB6ADC">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本项目严格遵守《企业投资项目核准和备案管理条例》《企业投资项目事中事后监管办法》等相关法律法规和规定，项目目前正在履行环境影响评价手续，后期将确保投资项目中的环保设施与主体工程同时设计、同时施工、同时投产使用。</w:t>
            </w:r>
          </w:p>
        </w:tc>
        <w:tc>
          <w:tcPr>
            <w:tcW w:w="228" w:type="pct"/>
            <w:vMerge w:val="continue"/>
            <w:vAlign w:val="center"/>
          </w:tcPr>
          <w:p w14:paraId="779F5EB3">
            <w:pPr>
              <w:topLinePunct/>
              <w:adjustRightInd w:val="0"/>
              <w:snapToGrid w:val="0"/>
              <w:jc w:val="center"/>
              <w:rPr>
                <w:rFonts w:ascii="Times New Roman" w:hAnsi="Times New Roman" w:cs="Times New Roman"/>
                <w:color w:val="auto"/>
                <w:sz w:val="21"/>
                <w:lang w:eastAsia="zh-CN"/>
              </w:rPr>
            </w:pPr>
          </w:p>
        </w:tc>
      </w:tr>
      <w:tr w14:paraId="51D9111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PrEx>
        <w:trPr>
          <w:trHeight w:val="454" w:hRule="atLeast"/>
          <w:jc w:val="center"/>
        </w:trPr>
        <w:tc>
          <w:tcPr>
            <w:tcW w:w="175" w:type="pct"/>
            <w:vMerge w:val="restart"/>
            <w:vAlign w:val="center"/>
          </w:tcPr>
          <w:p w14:paraId="1674D4A2">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w:t>
            </w:r>
          </w:p>
        </w:tc>
        <w:tc>
          <w:tcPr>
            <w:tcW w:w="577" w:type="pct"/>
            <w:vMerge w:val="restart"/>
            <w:vAlign w:val="center"/>
          </w:tcPr>
          <w:p w14:paraId="1B0DFBDB">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《安徽省生态环境厅关于加强化工行业建设项目环境管理的通知》皖环发[2020]73号</w:t>
            </w:r>
          </w:p>
        </w:tc>
        <w:tc>
          <w:tcPr>
            <w:tcW w:w="2060" w:type="pct"/>
            <w:vAlign w:val="center"/>
          </w:tcPr>
          <w:p w14:paraId="0283D276">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按照有关法律法规和政策性文件要求，禁止在淮河、巢湖流域新建化工等水污染严重的小型项目，严格限制新建化工大中型项目；</w:t>
            </w:r>
          </w:p>
        </w:tc>
        <w:tc>
          <w:tcPr>
            <w:tcW w:w="1960" w:type="pct"/>
            <w:vAlign w:val="center"/>
          </w:tcPr>
          <w:p w14:paraId="162D9A70">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本项目</w:t>
            </w:r>
            <w:r>
              <w:rPr>
                <w:rFonts w:hint="eastAsia" w:ascii="Times New Roman" w:hAnsi="Times New Roman" w:cs="Times New Roman"/>
                <w:color w:val="auto"/>
                <w:sz w:val="21"/>
                <w:lang w:eastAsia="zh-CN"/>
              </w:rPr>
              <w:t>位于淮河流域，本项目</w:t>
            </w:r>
            <w:r>
              <w:rPr>
                <w:rFonts w:ascii="Times New Roman" w:hAnsi="Times New Roman" w:cs="Times New Roman"/>
                <w:color w:val="auto"/>
                <w:sz w:val="21"/>
                <w:lang w:eastAsia="zh-CN"/>
              </w:rPr>
              <w:t>不属于</w:t>
            </w:r>
            <w:r>
              <w:rPr>
                <w:rFonts w:hint="eastAsia" w:ascii="Times New Roman" w:hAnsi="Times New Roman" w:cs="Times New Roman"/>
                <w:color w:val="auto"/>
                <w:sz w:val="21"/>
                <w:lang w:eastAsia="zh-CN"/>
              </w:rPr>
              <w:t>水污染严重的小型项目</w:t>
            </w:r>
          </w:p>
        </w:tc>
        <w:tc>
          <w:tcPr>
            <w:tcW w:w="228" w:type="pct"/>
            <w:vMerge w:val="restart"/>
            <w:vAlign w:val="center"/>
          </w:tcPr>
          <w:p w14:paraId="6E8A7C8D">
            <w:pPr>
              <w:topLinePunct/>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符合</w:t>
            </w:r>
          </w:p>
        </w:tc>
      </w:tr>
      <w:tr w14:paraId="2054906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Merge w:val="continue"/>
            <w:vAlign w:val="center"/>
          </w:tcPr>
          <w:p w14:paraId="0F71F13C">
            <w:pPr>
              <w:topLinePunct/>
              <w:adjustRightInd w:val="0"/>
              <w:snapToGrid w:val="0"/>
              <w:jc w:val="center"/>
              <w:rPr>
                <w:rFonts w:ascii="Times New Roman" w:hAnsi="Times New Roman" w:cs="Times New Roman"/>
                <w:color w:val="auto"/>
                <w:sz w:val="21"/>
              </w:rPr>
            </w:pPr>
          </w:p>
        </w:tc>
        <w:tc>
          <w:tcPr>
            <w:tcW w:w="577" w:type="pct"/>
            <w:vMerge w:val="continue"/>
            <w:vAlign w:val="center"/>
          </w:tcPr>
          <w:p w14:paraId="214035A8">
            <w:pPr>
              <w:topLinePunct/>
              <w:adjustRightInd w:val="0"/>
              <w:snapToGrid w:val="0"/>
              <w:jc w:val="center"/>
              <w:rPr>
                <w:rFonts w:ascii="Times New Roman" w:hAnsi="Times New Roman" w:cs="Times New Roman"/>
                <w:color w:val="auto"/>
                <w:sz w:val="21"/>
              </w:rPr>
            </w:pPr>
          </w:p>
        </w:tc>
        <w:tc>
          <w:tcPr>
            <w:tcW w:w="2060" w:type="pct"/>
            <w:vAlign w:val="center"/>
          </w:tcPr>
          <w:p w14:paraId="375743FA">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新建化工项目必须进入规范化工园区，并符合园区规划及规划环评要求，与“三线一单”成果相协调</w:t>
            </w:r>
          </w:p>
        </w:tc>
        <w:tc>
          <w:tcPr>
            <w:tcW w:w="1960" w:type="pct"/>
            <w:vAlign w:val="center"/>
          </w:tcPr>
          <w:p w14:paraId="29D78E69">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项目所在的</w:t>
            </w:r>
            <w:r>
              <w:rPr>
                <w:rFonts w:hint="eastAsia" w:ascii="Times New Roman" w:hAnsi="Times New Roman" w:cs="Times New Roman"/>
                <w:color w:val="auto"/>
                <w:sz w:val="21"/>
                <w:lang w:eastAsia="zh-CN"/>
              </w:rPr>
              <w:t>蚌埠精细化工高新技术产业基地</w:t>
            </w:r>
            <w:r>
              <w:rPr>
                <w:rFonts w:ascii="Times New Roman" w:hAnsi="Times New Roman" w:cs="Times New Roman"/>
                <w:color w:val="auto"/>
                <w:sz w:val="21"/>
                <w:lang w:eastAsia="zh-CN"/>
              </w:rPr>
              <w:t>，属于第一批安徽省化工园区名单内；项目为园区主导产业，符合</w:t>
            </w:r>
            <w:r>
              <w:rPr>
                <w:rFonts w:hint="eastAsia" w:ascii="Times New Roman" w:hAnsi="Times New Roman" w:cs="Times New Roman"/>
                <w:color w:val="auto"/>
                <w:sz w:val="21"/>
                <w:lang w:eastAsia="zh-CN"/>
              </w:rPr>
              <w:t>蚌埠精细化工高新技术产业基地规划</w:t>
            </w:r>
            <w:r>
              <w:rPr>
                <w:rFonts w:ascii="Times New Roman" w:hAnsi="Times New Roman" w:cs="Times New Roman"/>
                <w:color w:val="auto"/>
                <w:sz w:val="21"/>
                <w:lang w:eastAsia="zh-CN"/>
              </w:rPr>
              <w:t>及规划环评要求，且项目与“三线一单”成果相协调。</w:t>
            </w:r>
          </w:p>
        </w:tc>
        <w:tc>
          <w:tcPr>
            <w:tcW w:w="228" w:type="pct"/>
            <w:vMerge w:val="continue"/>
            <w:vAlign w:val="center"/>
          </w:tcPr>
          <w:p w14:paraId="4D7F1BA6">
            <w:pPr>
              <w:topLinePunct/>
              <w:adjustRightInd w:val="0"/>
              <w:snapToGrid w:val="0"/>
              <w:jc w:val="center"/>
              <w:rPr>
                <w:rFonts w:ascii="Times New Roman" w:hAnsi="Times New Roman" w:cs="Times New Roman"/>
                <w:color w:val="auto"/>
                <w:sz w:val="21"/>
                <w:lang w:eastAsia="zh-CN"/>
              </w:rPr>
            </w:pPr>
          </w:p>
        </w:tc>
      </w:tr>
      <w:tr w14:paraId="50DEB5B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Merge w:val="continue"/>
            <w:vAlign w:val="center"/>
          </w:tcPr>
          <w:p w14:paraId="6734F591">
            <w:pPr>
              <w:topLinePunct/>
              <w:adjustRightInd w:val="0"/>
              <w:snapToGrid w:val="0"/>
              <w:jc w:val="center"/>
              <w:rPr>
                <w:rFonts w:ascii="Times New Roman" w:hAnsi="Times New Roman" w:cs="Times New Roman"/>
                <w:color w:val="auto"/>
                <w:sz w:val="21"/>
                <w:lang w:eastAsia="zh-CN"/>
              </w:rPr>
            </w:pPr>
          </w:p>
        </w:tc>
        <w:tc>
          <w:tcPr>
            <w:tcW w:w="577" w:type="pct"/>
            <w:vMerge w:val="continue"/>
            <w:vAlign w:val="center"/>
          </w:tcPr>
          <w:p w14:paraId="75BDAB51">
            <w:pPr>
              <w:topLinePunct/>
              <w:adjustRightInd w:val="0"/>
              <w:snapToGrid w:val="0"/>
              <w:jc w:val="center"/>
              <w:rPr>
                <w:rFonts w:ascii="Times New Roman" w:hAnsi="Times New Roman" w:cs="Times New Roman"/>
                <w:color w:val="auto"/>
                <w:sz w:val="21"/>
                <w:lang w:eastAsia="zh-CN"/>
              </w:rPr>
            </w:pPr>
          </w:p>
        </w:tc>
        <w:tc>
          <w:tcPr>
            <w:tcW w:w="2060" w:type="pct"/>
            <w:vAlign w:val="center"/>
          </w:tcPr>
          <w:p w14:paraId="086234FF">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在居民集中区、医院和学校附近，禁止新建或扩建可能引发环境风险的化工项目</w:t>
            </w:r>
          </w:p>
        </w:tc>
        <w:tc>
          <w:tcPr>
            <w:tcW w:w="1960" w:type="pct"/>
            <w:vAlign w:val="center"/>
          </w:tcPr>
          <w:p w14:paraId="3A97C3C6">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项目选址位于</w:t>
            </w:r>
            <w:r>
              <w:rPr>
                <w:rFonts w:hint="eastAsia" w:ascii="Times New Roman" w:hAnsi="Times New Roman" w:cs="Times New Roman"/>
                <w:color w:val="auto"/>
                <w:sz w:val="21"/>
                <w:lang w:eastAsia="zh-CN"/>
              </w:rPr>
              <w:t>蚌埠精细化工高新技术产业基地</w:t>
            </w:r>
            <w:r>
              <w:rPr>
                <w:rFonts w:ascii="Times New Roman" w:hAnsi="Times New Roman" w:cs="Times New Roman"/>
                <w:color w:val="auto"/>
                <w:sz w:val="21"/>
                <w:lang w:eastAsia="zh-CN"/>
              </w:rPr>
              <w:t>，</w:t>
            </w:r>
            <w:r>
              <w:rPr>
                <w:rFonts w:ascii="Times New Roman" w:hAnsi="Times New Roman" w:cs="Times New Roman"/>
                <w:color w:val="000000" w:themeColor="text1"/>
                <w:sz w:val="21"/>
                <w:lang w:eastAsia="zh-CN"/>
                <w14:textFill>
                  <w14:solidFill>
                    <w14:schemeClr w14:val="tx1"/>
                  </w14:solidFill>
                </w14:textFill>
              </w:rPr>
              <w:t>根据大气环境防护距离及风险控制距离综合判定，本项目需设置</w:t>
            </w:r>
            <w:r>
              <w:rPr>
                <w:rFonts w:hint="eastAsia" w:ascii="Times New Roman" w:hAnsi="Times New Roman" w:cs="Times New Roman"/>
                <w:color w:val="000000" w:themeColor="text1"/>
                <w:sz w:val="21"/>
                <w:lang w:eastAsia="zh-CN"/>
                <w14:textFill>
                  <w14:solidFill>
                    <w14:schemeClr w14:val="tx1"/>
                  </w14:solidFill>
                </w14:textFill>
              </w:rPr>
              <w:t>65</w:t>
            </w:r>
            <w:r>
              <w:rPr>
                <w:rFonts w:ascii="Times New Roman" w:hAnsi="Times New Roman" w:cs="Times New Roman"/>
                <w:color w:val="000000" w:themeColor="text1"/>
                <w:sz w:val="21"/>
                <w:lang w:eastAsia="zh-CN"/>
                <w14:textFill>
                  <w14:solidFill>
                    <w14:schemeClr w14:val="tx1"/>
                  </w14:solidFill>
                </w14:textFill>
              </w:rPr>
              <w:t>0m环境防护距离，根据现场调查，环境防护距离内无居民点以及学校、医院等敏感目标。</w:t>
            </w:r>
          </w:p>
        </w:tc>
        <w:tc>
          <w:tcPr>
            <w:tcW w:w="228" w:type="pct"/>
            <w:vMerge w:val="continue"/>
            <w:vAlign w:val="center"/>
          </w:tcPr>
          <w:p w14:paraId="6B3E520D">
            <w:pPr>
              <w:topLinePunct/>
              <w:adjustRightInd w:val="0"/>
              <w:snapToGrid w:val="0"/>
              <w:jc w:val="center"/>
              <w:rPr>
                <w:rFonts w:ascii="Times New Roman" w:hAnsi="Times New Roman" w:cs="Times New Roman"/>
                <w:color w:val="auto"/>
                <w:sz w:val="21"/>
                <w:lang w:eastAsia="zh-CN"/>
              </w:rPr>
            </w:pPr>
          </w:p>
        </w:tc>
      </w:tr>
      <w:tr w14:paraId="308DEB8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Merge w:val="continue"/>
            <w:vAlign w:val="center"/>
          </w:tcPr>
          <w:p w14:paraId="0AEEAE43">
            <w:pPr>
              <w:topLinePunct/>
              <w:adjustRightInd w:val="0"/>
              <w:snapToGrid w:val="0"/>
              <w:jc w:val="center"/>
              <w:rPr>
                <w:rFonts w:ascii="Times New Roman" w:hAnsi="Times New Roman" w:cs="Times New Roman"/>
                <w:color w:val="auto"/>
                <w:sz w:val="21"/>
                <w:lang w:eastAsia="zh-CN"/>
              </w:rPr>
            </w:pPr>
          </w:p>
        </w:tc>
        <w:tc>
          <w:tcPr>
            <w:tcW w:w="577" w:type="pct"/>
            <w:vMerge w:val="continue"/>
            <w:vAlign w:val="center"/>
          </w:tcPr>
          <w:p w14:paraId="01A00654">
            <w:pPr>
              <w:topLinePunct/>
              <w:adjustRightInd w:val="0"/>
              <w:snapToGrid w:val="0"/>
              <w:jc w:val="center"/>
              <w:rPr>
                <w:rFonts w:ascii="Times New Roman" w:hAnsi="Times New Roman" w:cs="Times New Roman"/>
                <w:color w:val="auto"/>
                <w:sz w:val="21"/>
                <w:lang w:eastAsia="zh-CN"/>
              </w:rPr>
            </w:pPr>
          </w:p>
        </w:tc>
        <w:tc>
          <w:tcPr>
            <w:tcW w:w="2060" w:type="pct"/>
            <w:vAlign w:val="center"/>
          </w:tcPr>
          <w:p w14:paraId="731F6AA7">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强化环境风险评价。化工项目环境影响评价应科学预测评价突发性事件或事故可能引发的环境风险，提出合理有效的环境风险防范和应急措施</w:t>
            </w:r>
          </w:p>
        </w:tc>
        <w:tc>
          <w:tcPr>
            <w:tcW w:w="1960" w:type="pct"/>
            <w:vAlign w:val="center"/>
          </w:tcPr>
          <w:p w14:paraId="174B73F8">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本项目针对可能发生的风险进行了科学预测评价，并提出了合理有效的环境风险防范和应急措施，通过对拟建项目危险因素、环境敏感性及环境风险事故影响、环境风险防范措施和应急预案等分析判断，拟建项目环境风险可以防控。</w:t>
            </w:r>
          </w:p>
        </w:tc>
        <w:tc>
          <w:tcPr>
            <w:tcW w:w="228" w:type="pct"/>
            <w:vMerge w:val="continue"/>
            <w:vAlign w:val="center"/>
          </w:tcPr>
          <w:p w14:paraId="44ACB44E">
            <w:pPr>
              <w:topLinePunct/>
              <w:adjustRightInd w:val="0"/>
              <w:snapToGrid w:val="0"/>
              <w:jc w:val="center"/>
              <w:rPr>
                <w:rFonts w:ascii="Times New Roman" w:hAnsi="Times New Roman" w:cs="Times New Roman"/>
                <w:color w:val="auto"/>
                <w:sz w:val="21"/>
                <w:lang w:eastAsia="zh-CN"/>
              </w:rPr>
            </w:pPr>
          </w:p>
        </w:tc>
      </w:tr>
      <w:tr w14:paraId="4980531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Merge w:val="restart"/>
            <w:vAlign w:val="center"/>
          </w:tcPr>
          <w:p w14:paraId="67DF539C">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3</w:t>
            </w:r>
          </w:p>
        </w:tc>
        <w:tc>
          <w:tcPr>
            <w:tcW w:w="577" w:type="pct"/>
            <w:vMerge w:val="restart"/>
            <w:vAlign w:val="center"/>
          </w:tcPr>
          <w:p w14:paraId="7D9768ED">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安徽省发展改革委等</w:t>
            </w:r>
            <w:r>
              <w:rPr>
                <w:rFonts w:hint="eastAsia" w:ascii="Times New Roman" w:hAnsi="Times New Roman" w:cs="Times New Roman"/>
                <w:color w:val="auto"/>
                <w:sz w:val="21"/>
                <w:lang w:eastAsia="zh-CN"/>
              </w:rPr>
              <w:t>部门</w:t>
            </w:r>
            <w:r>
              <w:rPr>
                <w:rFonts w:ascii="Times New Roman" w:hAnsi="Times New Roman" w:cs="Times New Roman"/>
                <w:color w:val="auto"/>
                <w:sz w:val="21"/>
                <w:lang w:eastAsia="zh-CN"/>
              </w:rPr>
              <w:t>关于</w:t>
            </w:r>
            <w:r>
              <w:rPr>
                <w:rFonts w:hint="eastAsia" w:ascii="Times New Roman" w:hAnsi="Times New Roman" w:cs="Times New Roman"/>
                <w:color w:val="auto"/>
                <w:sz w:val="21"/>
                <w:lang w:eastAsia="zh-CN"/>
              </w:rPr>
              <w:t>印发</w:t>
            </w:r>
            <w:r>
              <w:rPr>
                <w:rFonts w:ascii="Times New Roman" w:hAnsi="Times New Roman" w:cs="Times New Roman"/>
                <w:color w:val="auto"/>
                <w:sz w:val="21"/>
                <w:lang w:eastAsia="zh-CN"/>
              </w:rPr>
              <w:t>《促进</w:t>
            </w:r>
            <w:r>
              <w:rPr>
                <w:rFonts w:hint="eastAsia" w:ascii="Times New Roman" w:hAnsi="Times New Roman" w:cs="Times New Roman"/>
                <w:color w:val="auto"/>
                <w:sz w:val="21"/>
                <w:lang w:eastAsia="zh-CN"/>
              </w:rPr>
              <w:t>化工园区高质量发展若干措施的通知</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w:t>
            </w:r>
            <w:r>
              <w:rPr>
                <w:rFonts w:ascii="Times New Roman" w:hAnsi="Times New Roman" w:cs="Times New Roman"/>
                <w:color w:val="auto"/>
                <w:sz w:val="21"/>
                <w:lang w:eastAsia="zh-CN"/>
              </w:rPr>
              <w:t>皖发改产业[202</w:t>
            </w:r>
            <w:r>
              <w:rPr>
                <w:rFonts w:hint="eastAsia" w:ascii="Times New Roman" w:hAnsi="Times New Roman" w:cs="Times New Roman"/>
                <w:color w:val="auto"/>
                <w:sz w:val="21"/>
                <w:lang w:eastAsia="zh-CN"/>
              </w:rPr>
              <w:t>4</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86</w:t>
            </w:r>
            <w:r>
              <w:rPr>
                <w:rFonts w:ascii="Times New Roman" w:hAnsi="Times New Roman" w:cs="Times New Roman"/>
                <w:color w:val="auto"/>
                <w:sz w:val="21"/>
                <w:lang w:eastAsia="zh-CN"/>
              </w:rPr>
              <w:t>号</w:t>
            </w:r>
            <w:r>
              <w:rPr>
                <w:rFonts w:hint="eastAsia" w:ascii="Times New Roman" w:hAnsi="Times New Roman" w:cs="Times New Roman"/>
                <w:color w:val="auto"/>
                <w:sz w:val="21"/>
                <w:lang w:eastAsia="zh-CN"/>
              </w:rPr>
              <w:t>）</w:t>
            </w:r>
          </w:p>
        </w:tc>
        <w:tc>
          <w:tcPr>
            <w:tcW w:w="2060" w:type="pct"/>
            <w:vAlign w:val="center"/>
          </w:tcPr>
          <w:p w14:paraId="2619F8A1">
            <w:pPr>
              <w:topLinePunct/>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三、严格入园项目准入</w:t>
            </w:r>
          </w:p>
          <w:p w14:paraId="34A14376">
            <w:pPr>
              <w:topLinePunct/>
              <w:adjustRightInd w:val="0"/>
              <w:snapToGrid w:val="0"/>
              <w:ind w:firstLine="420" w:firstLineChars="200"/>
              <w:jc w:val="both"/>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6、支持化工园区引进产业链上下游关联度强、技术水平高、绿色循环、安全可控的化工项目，重点聚焦航空航天、电子信息、新能源、节能环保、氢能以及医药等重点产业链需求，支持催化剂、特种聚酯、膜材料等专用化学品、化工新材料及关键单体原料产业化。可再生能源制氢、制氢加氢一体站在满足安全生产条件的区域可不在化工园区建设</w:t>
            </w:r>
          </w:p>
        </w:tc>
        <w:tc>
          <w:tcPr>
            <w:tcW w:w="1960" w:type="pct"/>
            <w:vAlign w:val="center"/>
          </w:tcPr>
          <w:p w14:paraId="29A5C6FB">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本项目选址位于</w:t>
            </w:r>
            <w:r>
              <w:rPr>
                <w:rFonts w:hint="eastAsia" w:ascii="Times New Roman" w:hAnsi="Times New Roman" w:cs="Times New Roman"/>
                <w:color w:val="auto"/>
                <w:sz w:val="21"/>
                <w:lang w:eastAsia="zh-CN"/>
              </w:rPr>
              <w:t>蚌埠精细化工高新技术产业基地</w:t>
            </w:r>
            <w:r>
              <w:rPr>
                <w:rFonts w:ascii="Times New Roman" w:hAnsi="Times New Roman" w:cs="Times New Roman"/>
                <w:color w:val="auto"/>
                <w:sz w:val="21"/>
                <w:lang w:eastAsia="zh-CN"/>
              </w:rPr>
              <w:t>，选址与</w:t>
            </w:r>
            <w:r>
              <w:rPr>
                <w:rFonts w:hint="eastAsia" w:ascii="Times New Roman" w:hAnsi="Times New Roman" w:cs="Times New Roman"/>
                <w:color w:val="auto"/>
                <w:sz w:val="21"/>
                <w:lang w:eastAsia="zh-CN"/>
              </w:rPr>
              <w:t>蚌埠市生态环境分区管控</w:t>
            </w:r>
            <w:r>
              <w:rPr>
                <w:rFonts w:ascii="Times New Roman" w:hAnsi="Times New Roman" w:cs="Times New Roman"/>
                <w:color w:val="auto"/>
                <w:sz w:val="21"/>
                <w:lang w:eastAsia="zh-CN"/>
              </w:rPr>
              <w:t>相协调；项目属于</w:t>
            </w:r>
            <w:r>
              <w:rPr>
                <w:rFonts w:hint="eastAsia" w:ascii="Times New Roman" w:hAnsi="Times New Roman" w:cs="Times New Roman"/>
                <w:color w:val="auto"/>
                <w:sz w:val="21"/>
                <w:lang w:eastAsia="zh-CN"/>
              </w:rPr>
              <w:t>蚌埠精细化工高新技术产业基地</w:t>
            </w:r>
            <w:r>
              <w:rPr>
                <w:rFonts w:ascii="Times New Roman" w:hAnsi="Times New Roman" w:cs="Times New Roman"/>
                <w:color w:val="auto"/>
                <w:sz w:val="21"/>
                <w:lang w:eastAsia="zh-CN"/>
              </w:rPr>
              <w:t>主导产业，符合园区产业定位、园区规划及规划环评要求</w:t>
            </w:r>
          </w:p>
        </w:tc>
        <w:tc>
          <w:tcPr>
            <w:tcW w:w="228" w:type="pct"/>
            <w:vMerge w:val="restart"/>
            <w:vAlign w:val="center"/>
          </w:tcPr>
          <w:p w14:paraId="57CF5F1A">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符合</w:t>
            </w:r>
          </w:p>
        </w:tc>
      </w:tr>
      <w:tr w14:paraId="33AF506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Merge w:val="continue"/>
            <w:vAlign w:val="center"/>
          </w:tcPr>
          <w:p w14:paraId="4F29B48A">
            <w:pPr>
              <w:topLinePunct/>
              <w:adjustRightInd w:val="0"/>
              <w:snapToGrid w:val="0"/>
              <w:jc w:val="center"/>
              <w:rPr>
                <w:rFonts w:ascii="Times New Roman" w:hAnsi="Times New Roman" w:cs="Times New Roman"/>
                <w:color w:val="auto"/>
                <w:sz w:val="21"/>
                <w:lang w:eastAsia="zh-CN"/>
              </w:rPr>
            </w:pPr>
          </w:p>
        </w:tc>
        <w:tc>
          <w:tcPr>
            <w:tcW w:w="577" w:type="pct"/>
            <w:vMerge w:val="continue"/>
            <w:vAlign w:val="center"/>
          </w:tcPr>
          <w:p w14:paraId="0DFFE5C2">
            <w:pPr>
              <w:topLinePunct/>
              <w:adjustRightInd w:val="0"/>
              <w:snapToGrid w:val="0"/>
              <w:jc w:val="center"/>
              <w:rPr>
                <w:rFonts w:ascii="Times New Roman" w:hAnsi="Times New Roman" w:cs="Times New Roman"/>
                <w:color w:val="auto"/>
                <w:sz w:val="21"/>
                <w:lang w:eastAsia="zh-CN"/>
              </w:rPr>
            </w:pPr>
          </w:p>
        </w:tc>
        <w:tc>
          <w:tcPr>
            <w:tcW w:w="2060" w:type="pct"/>
            <w:vAlign w:val="center"/>
          </w:tcPr>
          <w:p w14:paraId="2D1DEBDD">
            <w:pPr>
              <w:topLinePunct/>
              <w:adjustRightInd w:val="0"/>
              <w:snapToGrid w:val="0"/>
              <w:ind w:firstLine="420" w:firstLineChars="200"/>
              <w:jc w:val="both"/>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7、强化化工园区入园项目评估，按规定必须进入化工园区的项目应进入合规化工园区，引导其他石化化工项目在化工园区发展，具体由所在设区市政府按照国家法律法规和有关政策要求，结合本地区发展实际，根据安全环保风险，综合效益、产业链配套等因素确定。2024年一季度前，各市要制定出台化工项目入园具体办法或目录，确保有据可依。各市应制定完善化工园区危险化学品“禁限控”目录和项目安全准入条件，建立完善入园项目评估制度，做到“凡新进必评估”。</w:t>
            </w:r>
          </w:p>
        </w:tc>
        <w:tc>
          <w:tcPr>
            <w:tcW w:w="1960" w:type="pct"/>
            <w:vAlign w:val="center"/>
          </w:tcPr>
          <w:p w14:paraId="6FEE5373">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项目所在的</w:t>
            </w:r>
            <w:r>
              <w:rPr>
                <w:rFonts w:hint="eastAsia" w:ascii="Times New Roman" w:hAnsi="Times New Roman" w:cs="Times New Roman"/>
                <w:color w:val="auto"/>
                <w:sz w:val="21"/>
                <w:lang w:eastAsia="zh-CN"/>
              </w:rPr>
              <w:t>蚌埠精细化工高新技术产业基地</w:t>
            </w:r>
            <w:r>
              <w:rPr>
                <w:rFonts w:ascii="Times New Roman" w:hAnsi="Times New Roman" w:cs="Times New Roman"/>
                <w:color w:val="auto"/>
                <w:sz w:val="21"/>
                <w:lang w:eastAsia="zh-CN"/>
              </w:rPr>
              <w:t>属于安徽省政府认定规范的化工园区，且本项目属于</w:t>
            </w:r>
            <w:r>
              <w:rPr>
                <w:rFonts w:hint="eastAsia" w:ascii="Times New Roman" w:hAnsi="Times New Roman" w:cs="Times New Roman"/>
                <w:color w:val="auto"/>
                <w:sz w:val="21"/>
                <w:lang w:eastAsia="zh-CN"/>
              </w:rPr>
              <w:t>蚌埠精细化工高新技术产业基地</w:t>
            </w:r>
            <w:r>
              <w:rPr>
                <w:rFonts w:ascii="Times New Roman" w:hAnsi="Times New Roman" w:cs="Times New Roman"/>
                <w:color w:val="auto"/>
                <w:sz w:val="21"/>
                <w:lang w:eastAsia="zh-CN"/>
              </w:rPr>
              <w:t>主导产业，项目不属于以爆炸性化学品、剧（高）毒化学品、液化烃类易燃易爆化学品为主要原料的化工生产项目</w:t>
            </w:r>
          </w:p>
        </w:tc>
        <w:tc>
          <w:tcPr>
            <w:tcW w:w="228" w:type="pct"/>
            <w:vMerge w:val="continue"/>
            <w:vAlign w:val="center"/>
          </w:tcPr>
          <w:p w14:paraId="25045EA3">
            <w:pPr>
              <w:topLinePunct/>
              <w:adjustRightInd w:val="0"/>
              <w:snapToGrid w:val="0"/>
              <w:jc w:val="center"/>
              <w:rPr>
                <w:rFonts w:ascii="Times New Roman" w:hAnsi="Times New Roman" w:cs="Times New Roman"/>
                <w:color w:val="auto"/>
                <w:sz w:val="21"/>
                <w:lang w:eastAsia="zh-CN"/>
              </w:rPr>
            </w:pPr>
          </w:p>
        </w:tc>
      </w:tr>
      <w:tr w14:paraId="72F1C8C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Merge w:val="continue"/>
            <w:vAlign w:val="center"/>
          </w:tcPr>
          <w:p w14:paraId="0F053424">
            <w:pPr>
              <w:topLinePunct/>
              <w:adjustRightInd w:val="0"/>
              <w:snapToGrid w:val="0"/>
              <w:jc w:val="center"/>
              <w:rPr>
                <w:rFonts w:ascii="Times New Roman" w:hAnsi="Times New Roman" w:cs="Times New Roman"/>
                <w:color w:val="auto"/>
                <w:sz w:val="21"/>
                <w:lang w:eastAsia="zh-CN"/>
              </w:rPr>
            </w:pPr>
          </w:p>
        </w:tc>
        <w:tc>
          <w:tcPr>
            <w:tcW w:w="577" w:type="pct"/>
            <w:vMerge w:val="continue"/>
            <w:vAlign w:val="center"/>
          </w:tcPr>
          <w:p w14:paraId="55ADF309">
            <w:pPr>
              <w:topLinePunct/>
              <w:adjustRightInd w:val="0"/>
              <w:snapToGrid w:val="0"/>
              <w:jc w:val="center"/>
              <w:rPr>
                <w:rFonts w:ascii="Times New Roman" w:hAnsi="Times New Roman" w:cs="Times New Roman"/>
                <w:color w:val="auto"/>
                <w:sz w:val="21"/>
                <w:lang w:eastAsia="zh-CN"/>
              </w:rPr>
            </w:pPr>
          </w:p>
        </w:tc>
        <w:tc>
          <w:tcPr>
            <w:tcW w:w="2060" w:type="pct"/>
            <w:vAlign w:val="center"/>
          </w:tcPr>
          <w:p w14:paraId="0D5195B0">
            <w:pPr>
              <w:topLinePunct/>
              <w:adjustRightInd w:val="0"/>
              <w:snapToGrid w:val="0"/>
              <w:ind w:firstLine="420" w:firstLineChars="200"/>
              <w:jc w:val="both"/>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19、严格把好入园项目环境准入关，新建项目环保应达到绩效分级A级指标要求，持续提升园区污染防治和环境管理水平。新（改、扩）建化工项目污染物排放执行相应行业特别排放限值。鼓励企业采用清洁生产技术装备改造提升，从源头促进工业废物“减量化”。</w:t>
            </w:r>
          </w:p>
        </w:tc>
        <w:tc>
          <w:tcPr>
            <w:tcW w:w="1960" w:type="pct"/>
            <w:vAlign w:val="center"/>
          </w:tcPr>
          <w:p w14:paraId="0DE82641">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本项目</w:t>
            </w:r>
            <w:r>
              <w:rPr>
                <w:rFonts w:hint="eastAsia" w:ascii="Times New Roman" w:hAnsi="Times New Roman" w:cs="Times New Roman"/>
                <w:color w:val="auto"/>
                <w:sz w:val="21"/>
                <w:lang w:eastAsia="zh-CN"/>
              </w:rPr>
              <w:t>属于改扩建项目，属于园区鼓励类项目，项目</w:t>
            </w:r>
            <w:r>
              <w:rPr>
                <w:rFonts w:ascii="Times New Roman" w:hAnsi="Times New Roman" w:cs="Times New Roman"/>
                <w:color w:val="auto"/>
                <w:sz w:val="21"/>
                <w:lang w:eastAsia="zh-CN"/>
              </w:rPr>
              <w:t>废气污染物</w:t>
            </w:r>
            <w:r>
              <w:rPr>
                <w:rFonts w:hint="eastAsia" w:ascii="Times New Roman" w:hAnsi="Times New Roman" w:cs="Times New Roman"/>
                <w:color w:val="auto"/>
                <w:sz w:val="21"/>
                <w:lang w:eastAsia="zh-CN"/>
              </w:rPr>
              <w:t>氯化氢、氟化物排放</w:t>
            </w:r>
            <w:r>
              <w:rPr>
                <w:rFonts w:ascii="Times New Roman" w:hAnsi="Times New Roman" w:cs="Times New Roman"/>
                <w:color w:val="auto"/>
                <w:sz w:val="21"/>
                <w:lang w:eastAsia="zh-CN"/>
              </w:rPr>
              <w:t>执行</w:t>
            </w:r>
            <w:r>
              <w:rPr>
                <w:rFonts w:hint="eastAsia" w:ascii="Times New Roman" w:hAnsi="Times New Roman" w:cs="Times New Roman"/>
                <w:color w:val="auto"/>
                <w:sz w:val="21"/>
                <w:lang w:eastAsia="zh-CN"/>
              </w:rPr>
              <w:t>《无机化学工业污染物排放标准》（GB31573-2015）</w:t>
            </w:r>
            <w:r>
              <w:rPr>
                <w:rFonts w:ascii="Times New Roman" w:hAnsi="Times New Roman" w:cs="Times New Roman"/>
                <w:color w:val="auto"/>
                <w:sz w:val="21"/>
                <w:lang w:eastAsia="zh-CN"/>
              </w:rPr>
              <w:t>中</w:t>
            </w:r>
            <w:r>
              <w:rPr>
                <w:rFonts w:hint="eastAsia" w:ascii="Times New Roman" w:hAnsi="Times New Roman" w:cs="Times New Roman"/>
                <w:color w:val="auto"/>
                <w:sz w:val="21"/>
                <w:lang w:eastAsia="zh-CN"/>
              </w:rPr>
              <w:t>特别</w:t>
            </w:r>
            <w:r>
              <w:rPr>
                <w:rFonts w:ascii="Times New Roman" w:hAnsi="Times New Roman" w:cs="Times New Roman"/>
                <w:color w:val="auto"/>
                <w:sz w:val="21"/>
                <w:lang w:eastAsia="zh-CN"/>
              </w:rPr>
              <w:t>排放限值要求</w:t>
            </w:r>
          </w:p>
        </w:tc>
        <w:tc>
          <w:tcPr>
            <w:tcW w:w="228" w:type="pct"/>
            <w:vMerge w:val="continue"/>
            <w:vAlign w:val="center"/>
          </w:tcPr>
          <w:p w14:paraId="1E1050A0">
            <w:pPr>
              <w:topLinePunct/>
              <w:adjustRightInd w:val="0"/>
              <w:snapToGrid w:val="0"/>
              <w:jc w:val="center"/>
              <w:rPr>
                <w:rFonts w:ascii="Times New Roman" w:hAnsi="Times New Roman" w:cs="Times New Roman"/>
                <w:color w:val="auto"/>
                <w:sz w:val="21"/>
                <w:lang w:eastAsia="zh-CN"/>
              </w:rPr>
            </w:pPr>
          </w:p>
        </w:tc>
      </w:tr>
      <w:tr w14:paraId="4092EAB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Merge w:val="continue"/>
            <w:vAlign w:val="center"/>
          </w:tcPr>
          <w:p w14:paraId="23821C01">
            <w:pPr>
              <w:topLinePunct/>
              <w:adjustRightInd w:val="0"/>
              <w:snapToGrid w:val="0"/>
              <w:jc w:val="center"/>
              <w:rPr>
                <w:rFonts w:ascii="Times New Roman" w:hAnsi="Times New Roman" w:cs="Times New Roman"/>
                <w:color w:val="auto"/>
                <w:sz w:val="21"/>
                <w:lang w:eastAsia="zh-CN"/>
              </w:rPr>
            </w:pPr>
          </w:p>
        </w:tc>
        <w:tc>
          <w:tcPr>
            <w:tcW w:w="577" w:type="pct"/>
            <w:vMerge w:val="continue"/>
            <w:vAlign w:val="center"/>
          </w:tcPr>
          <w:p w14:paraId="51791BDE">
            <w:pPr>
              <w:topLinePunct/>
              <w:adjustRightInd w:val="0"/>
              <w:snapToGrid w:val="0"/>
              <w:jc w:val="center"/>
              <w:rPr>
                <w:rFonts w:ascii="Times New Roman" w:hAnsi="Times New Roman" w:cs="Times New Roman"/>
                <w:color w:val="auto"/>
                <w:sz w:val="21"/>
                <w:lang w:eastAsia="zh-CN"/>
              </w:rPr>
            </w:pPr>
          </w:p>
        </w:tc>
        <w:tc>
          <w:tcPr>
            <w:tcW w:w="2060" w:type="pct"/>
            <w:vAlign w:val="center"/>
          </w:tcPr>
          <w:p w14:paraId="2E2EF4C2">
            <w:pPr>
              <w:topLinePunct/>
              <w:adjustRightInd w:val="0"/>
              <w:snapToGrid w:val="0"/>
              <w:ind w:firstLine="420" w:firstLineChars="200"/>
              <w:jc w:val="both"/>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20、加强挥发性有机物（VOCs）综合治理，全面控制挥发性有机物（VOCs）无组织排放。推进含盐、含氟、含酸、高氨氮、难降解、含重金属等六类废水的深度治理，对使用有毒有害化学物质进行生产或者在生产过程中排放有毒有害化学物质的企业，依法实施强制清洁生产审核。</w:t>
            </w:r>
          </w:p>
        </w:tc>
        <w:tc>
          <w:tcPr>
            <w:tcW w:w="1960" w:type="pct"/>
            <w:vAlign w:val="center"/>
          </w:tcPr>
          <w:p w14:paraId="5A707989">
            <w:pPr>
              <w:topLinePunct/>
              <w:adjustRightInd w:val="0"/>
              <w:snapToGrid w:val="0"/>
              <w:jc w:val="center"/>
              <w:rPr>
                <w:rFonts w:ascii="Times New Roman" w:hAnsi="Times New Roman" w:cs="Times New Roman"/>
                <w:color w:val="EE0000"/>
                <w:sz w:val="21"/>
                <w:lang w:eastAsia="zh-CN"/>
              </w:rPr>
            </w:pPr>
            <w:r>
              <w:rPr>
                <w:rFonts w:hint="eastAsia" w:ascii="Times New Roman" w:hAnsi="Times New Roman" w:cs="Times New Roman"/>
                <w:color w:val="auto"/>
                <w:sz w:val="21"/>
                <w:lang w:eastAsia="zh-CN"/>
              </w:rPr>
              <w:t>本</w:t>
            </w:r>
            <w:r>
              <w:rPr>
                <w:rFonts w:ascii="Times New Roman" w:hAnsi="Times New Roman" w:cs="Times New Roman"/>
                <w:color w:val="auto"/>
                <w:sz w:val="21"/>
                <w:lang w:eastAsia="zh-CN"/>
              </w:rPr>
              <w:t>项目</w:t>
            </w:r>
            <w:r>
              <w:rPr>
                <w:rFonts w:hint="eastAsia" w:ascii="Times New Roman" w:hAnsi="Times New Roman" w:cs="Times New Roman"/>
                <w:color w:val="auto"/>
                <w:sz w:val="21"/>
                <w:lang w:eastAsia="zh-CN"/>
              </w:rPr>
              <w:t>不涉及VOCs，项目原料31%盐酸、无水氟化氢、15%氟化氢水溶液等采用储罐储存，通过密闭管道输送</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项目含氟废水（碱喷淋塔置换废水、地面清洁废水）依托厂区</w:t>
            </w:r>
            <w:r>
              <w:rPr>
                <w:rFonts w:ascii="Times New Roman" w:hAnsi="Times New Roman" w:cs="Times New Roman"/>
                <w:color w:val="auto"/>
                <w:sz w:val="21"/>
                <w:lang w:eastAsia="zh-CN"/>
              </w:rPr>
              <w:t>污水处理站“四级除氟反应+四级除氟沉淀”处理</w:t>
            </w:r>
            <w:r>
              <w:rPr>
                <w:rFonts w:hint="eastAsia" w:ascii="Times New Roman" w:hAnsi="Times New Roman" w:cs="Times New Roman"/>
                <w:color w:val="auto"/>
                <w:sz w:val="21"/>
                <w:lang w:eastAsia="zh-CN"/>
              </w:rPr>
              <w:t>后，接管沫河口污水处理厂，项目废水排放能够满足沫河口污水处理厂接管标准及《无机化学工业污染物排放标准》（GB31573-2015）、</w:t>
            </w:r>
            <w:r>
              <w:rPr>
                <w:rFonts w:ascii="Times New Roman" w:hAnsi="Times New Roman" w:cs="Times New Roman"/>
                <w:color w:val="auto"/>
                <w:sz w:val="21"/>
                <w:lang w:eastAsia="zh-CN"/>
              </w:rPr>
              <w:t>《电子工业水污染物排放标准》（GB39731-2020）</w:t>
            </w:r>
            <w:r>
              <w:rPr>
                <w:rFonts w:hint="eastAsia" w:ascii="Times New Roman" w:hAnsi="Times New Roman" w:cs="Times New Roman"/>
                <w:color w:val="auto"/>
                <w:sz w:val="21"/>
                <w:lang w:eastAsia="zh-CN"/>
              </w:rPr>
              <w:t>中</w:t>
            </w:r>
            <w:r>
              <w:rPr>
                <w:rFonts w:ascii="Times New Roman" w:hAnsi="Times New Roman" w:cs="Times New Roman"/>
                <w:color w:val="auto"/>
                <w:sz w:val="21"/>
                <w:lang w:eastAsia="zh-CN"/>
              </w:rPr>
              <w:t>排放限值</w:t>
            </w:r>
            <w:r>
              <w:rPr>
                <w:rFonts w:hint="eastAsia" w:ascii="Times New Roman" w:hAnsi="Times New Roman" w:cs="Times New Roman"/>
                <w:color w:val="auto"/>
                <w:sz w:val="21"/>
                <w:lang w:eastAsia="zh-CN"/>
              </w:rPr>
              <w:t>要求。</w:t>
            </w:r>
            <w:r>
              <w:rPr>
                <w:rFonts w:ascii="Times New Roman" w:hAnsi="Times New Roman" w:cs="Times New Roman"/>
                <w:color w:val="auto"/>
                <w:sz w:val="21"/>
                <w:lang w:eastAsia="zh-CN"/>
              </w:rPr>
              <w:t>此外，评价要求建设单位对泵、压缩机、阀门、法兰等易发生泄漏的设备与管线组件，定期检测、及时修复，防止或减少跑、冒、滴、漏现象。</w:t>
            </w:r>
          </w:p>
        </w:tc>
        <w:tc>
          <w:tcPr>
            <w:tcW w:w="228" w:type="pct"/>
            <w:vMerge w:val="continue"/>
            <w:vAlign w:val="center"/>
          </w:tcPr>
          <w:p w14:paraId="27F36C6A">
            <w:pPr>
              <w:topLinePunct/>
              <w:adjustRightInd w:val="0"/>
              <w:snapToGrid w:val="0"/>
              <w:jc w:val="center"/>
              <w:rPr>
                <w:rFonts w:ascii="Times New Roman" w:hAnsi="Times New Roman" w:cs="Times New Roman"/>
                <w:color w:val="auto"/>
                <w:sz w:val="21"/>
                <w:lang w:eastAsia="zh-CN"/>
              </w:rPr>
            </w:pPr>
          </w:p>
        </w:tc>
      </w:tr>
      <w:tr w14:paraId="00BE953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Merge w:val="restart"/>
            <w:vAlign w:val="center"/>
          </w:tcPr>
          <w:p w14:paraId="4F926A8C">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4</w:t>
            </w:r>
          </w:p>
        </w:tc>
        <w:tc>
          <w:tcPr>
            <w:tcW w:w="577" w:type="pct"/>
            <w:vMerge w:val="restart"/>
            <w:vAlign w:val="center"/>
          </w:tcPr>
          <w:p w14:paraId="3F0E4D08">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安徽省贯彻落实淮河生态经济带发展规划实施方案</w:t>
            </w:r>
          </w:p>
        </w:tc>
        <w:tc>
          <w:tcPr>
            <w:tcW w:w="2060" w:type="pct"/>
            <w:vAlign w:val="center"/>
          </w:tcPr>
          <w:p w14:paraId="22AE1362">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纵深推进“三大一强”专项攻坚行动，突出重点生态环境问题整改，构筑“1公里、5公里、15公里”分级管控体系，持续推进“禁新建、减存量、关污源、进园区、建新绿、纳统管、强机制”七大行动，加快推进淮河（安徽）经济带绿化美化生态化。</w:t>
            </w:r>
          </w:p>
        </w:tc>
        <w:tc>
          <w:tcPr>
            <w:tcW w:w="1960" w:type="pct"/>
            <w:vAlign w:val="center"/>
          </w:tcPr>
          <w:p w14:paraId="0B2A6A86">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本项目距淮河约</w:t>
            </w:r>
            <w:r>
              <w:rPr>
                <w:rFonts w:hint="eastAsia" w:ascii="Times New Roman" w:hAnsi="Times New Roman" w:cs="Times New Roman"/>
                <w:color w:val="auto"/>
                <w:sz w:val="21"/>
                <w:lang w:eastAsia="zh-CN"/>
              </w:rPr>
              <w:t>6.1</w:t>
            </w:r>
            <w:r>
              <w:rPr>
                <w:rFonts w:ascii="Times New Roman" w:hAnsi="Times New Roman" w:cs="Times New Roman"/>
                <w:color w:val="auto"/>
                <w:sz w:val="21"/>
                <w:lang w:eastAsia="zh-CN"/>
              </w:rPr>
              <w:t>公里，属于</w:t>
            </w:r>
            <w:r>
              <w:rPr>
                <w:rFonts w:hint="eastAsia" w:ascii="Times New Roman" w:hAnsi="Times New Roman" w:cs="Times New Roman"/>
                <w:color w:val="auto"/>
                <w:sz w:val="21"/>
                <w:lang w:eastAsia="zh-CN"/>
              </w:rPr>
              <w:t>1</w:t>
            </w:r>
            <w:r>
              <w:rPr>
                <w:rFonts w:ascii="Times New Roman" w:hAnsi="Times New Roman" w:cs="Times New Roman"/>
                <w:color w:val="auto"/>
                <w:sz w:val="21"/>
                <w:lang w:eastAsia="zh-CN"/>
              </w:rPr>
              <w:t xml:space="preserve">5公里的严控范围，本项目位于蚌埠精细化工高新技术产业基地内，项目属于蚌埠精细化工高新技术产业基地主导产业，符合园区产业定位、规划及规划环评要求；项目废水经处理达标后接管沫河口污水处理厂，经沫河口污水处理厂尾水达到《城镇污水处理厂污染物排放标准》（GB18918-2002）中一级 A 标准后，排入三铺大沟，最终汇入淮河，项目废水对地表水环境影响很小。 </w:t>
            </w:r>
          </w:p>
        </w:tc>
        <w:tc>
          <w:tcPr>
            <w:tcW w:w="228" w:type="pct"/>
            <w:vAlign w:val="center"/>
          </w:tcPr>
          <w:p w14:paraId="75455AF0">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符合</w:t>
            </w:r>
          </w:p>
        </w:tc>
      </w:tr>
      <w:tr w14:paraId="4F4791E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Merge w:val="continue"/>
            <w:vAlign w:val="center"/>
          </w:tcPr>
          <w:p w14:paraId="2A6FF5F1">
            <w:pPr>
              <w:topLinePunct/>
              <w:adjustRightInd w:val="0"/>
              <w:snapToGrid w:val="0"/>
              <w:jc w:val="center"/>
              <w:rPr>
                <w:rFonts w:ascii="Times New Roman" w:hAnsi="Times New Roman" w:cs="Times New Roman"/>
                <w:color w:val="auto"/>
                <w:sz w:val="21"/>
                <w:lang w:eastAsia="zh-CN"/>
              </w:rPr>
            </w:pPr>
          </w:p>
        </w:tc>
        <w:tc>
          <w:tcPr>
            <w:tcW w:w="577" w:type="pct"/>
            <w:vMerge w:val="continue"/>
            <w:vAlign w:val="center"/>
          </w:tcPr>
          <w:p w14:paraId="243ADB8C">
            <w:pPr>
              <w:topLinePunct/>
              <w:adjustRightInd w:val="0"/>
              <w:snapToGrid w:val="0"/>
              <w:jc w:val="center"/>
              <w:rPr>
                <w:rFonts w:ascii="Times New Roman" w:hAnsi="Times New Roman" w:cs="Times New Roman"/>
                <w:color w:val="auto"/>
                <w:sz w:val="21"/>
                <w:lang w:eastAsia="zh-CN"/>
              </w:rPr>
            </w:pPr>
          </w:p>
        </w:tc>
        <w:tc>
          <w:tcPr>
            <w:tcW w:w="2060" w:type="pct"/>
            <w:vAlign w:val="center"/>
          </w:tcPr>
          <w:p w14:paraId="0105434C">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加快建设两淮新型煤化工基地、淮北绿色有机食品产业基地、亳州食品制造与农产品加工基地、宿州鞋服制造产业基地、蚌埠精细化工基地、阜阳载货汽车产业基地、淮南煤机装备制造和重卡车专用车基地、六安汽车零部件及电机生产制造基地、滁州定远盐化工基地等。建设实施质量品牌升级工程，增品种、提品质、创品牌，加快推进出口商品质量安全示范区建设</w:t>
            </w:r>
          </w:p>
        </w:tc>
        <w:tc>
          <w:tcPr>
            <w:tcW w:w="1960" w:type="pct"/>
            <w:vAlign w:val="center"/>
          </w:tcPr>
          <w:p w14:paraId="41F363A2">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 xml:space="preserve">本项目位于蚌埠精细化工高新技术产业基地，项目属于蚌埠精细化工高新技术产业基地主导产业，符合园区产业定位、规划及规划环评要求 </w:t>
            </w:r>
          </w:p>
        </w:tc>
        <w:tc>
          <w:tcPr>
            <w:tcW w:w="228" w:type="pct"/>
            <w:vAlign w:val="center"/>
          </w:tcPr>
          <w:p w14:paraId="314215B5">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符合</w:t>
            </w:r>
          </w:p>
        </w:tc>
      </w:tr>
      <w:tr w14:paraId="7D7C1A6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Merge w:val="restart"/>
            <w:vAlign w:val="center"/>
          </w:tcPr>
          <w:p w14:paraId="146A68CC">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w:t>
            </w:r>
          </w:p>
        </w:tc>
        <w:tc>
          <w:tcPr>
            <w:tcW w:w="577" w:type="pct"/>
            <w:vMerge w:val="restart"/>
            <w:vAlign w:val="center"/>
          </w:tcPr>
          <w:p w14:paraId="51431D78">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安徽省淮河流域水污染防治条例</w:t>
            </w:r>
          </w:p>
        </w:tc>
        <w:tc>
          <w:tcPr>
            <w:tcW w:w="2060" w:type="pct"/>
            <w:vAlign w:val="center"/>
          </w:tcPr>
          <w:p w14:paraId="16CE69C0">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禁止在淮河流域新建化学制浆造纸企业和印染、制革、化工、电镀、酿造等污染严重的小型企业。严格限制在淮河流域新建印染、制革、化工、电镀、酿造等大中型项目或者其他污染严重的项目；建设该类项目的，应当事前征得省人民政府生态环境行政主管部门的同意，并按照规定办理有关手续。</w:t>
            </w:r>
          </w:p>
        </w:tc>
        <w:tc>
          <w:tcPr>
            <w:tcW w:w="1960" w:type="pct"/>
            <w:vAlign w:val="center"/>
          </w:tcPr>
          <w:p w14:paraId="548494E0">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本项目为C2669其他专用化学产品制造、C3985电子专用材料制造，项目为改扩建项目，</w:t>
            </w:r>
            <w:r>
              <w:rPr>
                <w:rFonts w:ascii="Times New Roman" w:hAnsi="Times New Roman" w:cs="Times New Roman"/>
                <w:color w:val="auto"/>
                <w:sz w:val="21"/>
                <w:lang w:eastAsia="zh-CN"/>
              </w:rPr>
              <w:t>不属于新建化学制浆造纸企业和印染、制革、化工、电镀、酿造等污染严重项目的小型企业</w:t>
            </w:r>
            <w:r>
              <w:rPr>
                <w:rFonts w:hint="eastAsia" w:ascii="Times New Roman" w:hAnsi="Times New Roman" w:cs="Times New Roman"/>
                <w:color w:val="auto"/>
                <w:sz w:val="21"/>
                <w:lang w:eastAsia="zh-CN"/>
              </w:rPr>
              <w:t>；</w:t>
            </w:r>
          </w:p>
          <w:p w14:paraId="4FACF4D5">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项目碱</w:t>
            </w:r>
            <w:r>
              <w:rPr>
                <w:rFonts w:ascii="Times New Roman" w:hAnsi="Times New Roman" w:cs="Times New Roman"/>
                <w:color w:val="auto"/>
                <w:sz w:val="21"/>
                <w:lang w:eastAsia="zh-CN"/>
              </w:rPr>
              <w:t>喷淋塔置换废水、地面清洁废水</w:t>
            </w:r>
            <w:r>
              <w:rPr>
                <w:rFonts w:hint="eastAsia" w:ascii="Times New Roman" w:hAnsi="Times New Roman" w:cs="Times New Roman"/>
                <w:color w:val="auto"/>
                <w:sz w:val="21"/>
                <w:lang w:eastAsia="zh-CN"/>
              </w:rPr>
              <w:t>依托现有厂区</w:t>
            </w:r>
            <w:r>
              <w:rPr>
                <w:rFonts w:ascii="Times New Roman" w:hAnsi="Times New Roman" w:cs="Times New Roman"/>
                <w:color w:val="auto"/>
                <w:sz w:val="21"/>
                <w:lang w:eastAsia="zh-CN"/>
              </w:rPr>
              <w:t>污水处理站“四级除氟反应+四级除氟沉淀”处理后，</w:t>
            </w:r>
            <w:r>
              <w:rPr>
                <w:rFonts w:hint="eastAsia" w:ascii="Times New Roman" w:hAnsi="Times New Roman" w:cs="Times New Roman"/>
                <w:color w:val="auto"/>
                <w:sz w:val="21"/>
                <w:lang w:eastAsia="zh-CN"/>
              </w:rPr>
              <w:t>与</w:t>
            </w:r>
            <w:r>
              <w:rPr>
                <w:rFonts w:ascii="Times New Roman" w:hAnsi="Times New Roman" w:cs="Times New Roman"/>
                <w:color w:val="auto"/>
                <w:sz w:val="21"/>
                <w:lang w:eastAsia="zh-CN"/>
              </w:rPr>
              <w:t>循环冷却置换废水</w:t>
            </w:r>
            <w:r>
              <w:rPr>
                <w:rFonts w:hint="eastAsia" w:ascii="Times New Roman" w:hAnsi="Times New Roman" w:cs="Times New Roman"/>
                <w:color w:val="auto"/>
                <w:sz w:val="21"/>
                <w:lang w:eastAsia="zh-CN"/>
              </w:rPr>
              <w:t>、生活污水一同</w:t>
            </w:r>
            <w:r>
              <w:rPr>
                <w:rFonts w:ascii="Times New Roman" w:hAnsi="Times New Roman" w:cs="Times New Roman"/>
                <w:color w:val="auto"/>
                <w:sz w:val="21"/>
                <w:lang w:eastAsia="zh-CN"/>
              </w:rPr>
              <w:t>排入园区污水管网，进入沫河口污水处理厂处理</w:t>
            </w:r>
            <w:r>
              <w:rPr>
                <w:rFonts w:hint="eastAsia" w:ascii="Times New Roman" w:hAnsi="Times New Roman" w:cs="Times New Roman"/>
                <w:color w:val="auto"/>
                <w:sz w:val="21"/>
                <w:lang w:eastAsia="zh-CN"/>
              </w:rPr>
              <w:t>。</w:t>
            </w:r>
          </w:p>
          <w:p w14:paraId="07BBA679">
            <w:pPr>
              <w:topLinePunct/>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本次改扩建后，全厂废水排放量</w:t>
            </w:r>
            <w:r>
              <w:rPr>
                <w:rFonts w:hint="eastAsia" w:ascii="Times New Roman" w:hAnsi="Times New Roman" w:cs="Times New Roman"/>
                <w:b/>
                <w:bCs/>
                <w:color w:val="000000" w:themeColor="text1"/>
                <w:sz w:val="21"/>
                <w:lang w:eastAsia="zh-CN"/>
                <w14:textFill>
                  <w14:solidFill>
                    <w14:schemeClr w14:val="tx1"/>
                  </w14:solidFill>
                </w14:textFill>
              </w:rPr>
              <w:t>为135.27t/d，对比改扩建前全厂废水排放量152.65t/d减少17.38t/d，</w:t>
            </w:r>
            <w:r>
              <w:rPr>
                <w:rFonts w:hint="eastAsia" w:ascii="Times New Roman" w:hAnsi="Times New Roman" w:cs="Times New Roman"/>
                <w:b/>
                <w:bCs/>
                <w:color w:val="auto"/>
                <w:sz w:val="21"/>
                <w:lang w:eastAsia="zh-CN"/>
              </w:rPr>
              <w:t>且未突破《安徽省生态环境厅关于安徽氟瑞星化工有限公司年产4万吨电子级氢氟酸、4万吨化学纯氢氟酸及4.5万吨刻蚀液项目环保预审的批复》（皖环办复[2022]1266号，2022年9月13日）中废水排放量210t/d限值，属于不增加水污染物排放量的改扩建项目，无需经过省厅预审</w:t>
            </w:r>
            <w:r>
              <w:rPr>
                <w:rFonts w:ascii="Times New Roman" w:hAnsi="Times New Roman" w:cs="Times New Roman"/>
                <w:b/>
                <w:bCs/>
                <w:color w:val="auto"/>
                <w:sz w:val="21"/>
                <w:lang w:eastAsia="zh-CN"/>
              </w:rPr>
              <w:t>。</w:t>
            </w:r>
          </w:p>
        </w:tc>
        <w:tc>
          <w:tcPr>
            <w:tcW w:w="228" w:type="pct"/>
            <w:vAlign w:val="center"/>
          </w:tcPr>
          <w:p w14:paraId="44EE1A84">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符合</w:t>
            </w:r>
          </w:p>
        </w:tc>
      </w:tr>
      <w:tr w14:paraId="7F188FC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Merge w:val="continue"/>
            <w:vAlign w:val="center"/>
          </w:tcPr>
          <w:p w14:paraId="10860A9E">
            <w:pPr>
              <w:topLinePunct/>
              <w:adjustRightInd w:val="0"/>
              <w:snapToGrid w:val="0"/>
              <w:jc w:val="center"/>
              <w:rPr>
                <w:rFonts w:ascii="Times New Roman" w:hAnsi="Times New Roman" w:cs="Times New Roman"/>
                <w:color w:val="auto"/>
                <w:sz w:val="21"/>
                <w:lang w:eastAsia="zh-CN"/>
              </w:rPr>
            </w:pPr>
          </w:p>
        </w:tc>
        <w:tc>
          <w:tcPr>
            <w:tcW w:w="577" w:type="pct"/>
            <w:vMerge w:val="continue"/>
            <w:vAlign w:val="center"/>
          </w:tcPr>
          <w:p w14:paraId="0152044D">
            <w:pPr>
              <w:topLinePunct/>
              <w:adjustRightInd w:val="0"/>
              <w:snapToGrid w:val="0"/>
              <w:jc w:val="center"/>
              <w:rPr>
                <w:rFonts w:ascii="Times New Roman" w:hAnsi="Times New Roman" w:cs="Times New Roman"/>
                <w:color w:val="auto"/>
                <w:sz w:val="21"/>
                <w:lang w:eastAsia="zh-CN"/>
              </w:rPr>
            </w:pPr>
          </w:p>
        </w:tc>
        <w:tc>
          <w:tcPr>
            <w:tcW w:w="2060" w:type="pct"/>
            <w:vAlign w:val="center"/>
          </w:tcPr>
          <w:p w14:paraId="427BBA97">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新建、改建、扩建直接或者间接向水体排放污染物的建设项目和其他水上设施，应当依法进行环境影响评价。建设项目的水污染防治设施，应当符合经批准或者备案的环境影响评价文件的要求，并与主体工程同时设计、同时施工、同时投入使用。</w:t>
            </w:r>
          </w:p>
        </w:tc>
        <w:tc>
          <w:tcPr>
            <w:tcW w:w="1960" w:type="pct"/>
            <w:vAlign w:val="center"/>
          </w:tcPr>
          <w:p w14:paraId="1FB20AAD">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拟建项目碱喷淋塔置换废水、地面清洁废水依托现有厂区污水处理站处理后，与循环冷却置换废水一同排入园区污水管网，进入沫河口污水处理厂处理，拟建项目正在履行环境影响评价手续，后续企业严格按照“三同时”要求，落实竣工环保验收、排污许可等相关内容。</w:t>
            </w:r>
          </w:p>
        </w:tc>
        <w:tc>
          <w:tcPr>
            <w:tcW w:w="228" w:type="pct"/>
            <w:vAlign w:val="center"/>
          </w:tcPr>
          <w:p w14:paraId="0C50494C">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符合</w:t>
            </w:r>
          </w:p>
        </w:tc>
      </w:tr>
      <w:tr w14:paraId="25E0A36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Merge w:val="continue"/>
            <w:vAlign w:val="center"/>
          </w:tcPr>
          <w:p w14:paraId="1D0D190A">
            <w:pPr>
              <w:topLinePunct/>
              <w:adjustRightInd w:val="0"/>
              <w:snapToGrid w:val="0"/>
              <w:jc w:val="center"/>
              <w:rPr>
                <w:rFonts w:ascii="Times New Roman" w:hAnsi="Times New Roman" w:cs="Times New Roman"/>
                <w:color w:val="auto"/>
                <w:sz w:val="21"/>
                <w:lang w:eastAsia="zh-CN"/>
              </w:rPr>
            </w:pPr>
          </w:p>
        </w:tc>
        <w:tc>
          <w:tcPr>
            <w:tcW w:w="577" w:type="pct"/>
            <w:vMerge w:val="continue"/>
            <w:vAlign w:val="center"/>
          </w:tcPr>
          <w:p w14:paraId="1A865CCB">
            <w:pPr>
              <w:topLinePunct/>
              <w:adjustRightInd w:val="0"/>
              <w:snapToGrid w:val="0"/>
              <w:jc w:val="center"/>
              <w:rPr>
                <w:rFonts w:ascii="Times New Roman" w:hAnsi="Times New Roman" w:cs="Times New Roman"/>
                <w:color w:val="auto"/>
                <w:sz w:val="21"/>
                <w:lang w:eastAsia="zh-CN"/>
              </w:rPr>
            </w:pPr>
          </w:p>
        </w:tc>
        <w:tc>
          <w:tcPr>
            <w:tcW w:w="2060" w:type="pct"/>
            <w:vAlign w:val="center"/>
          </w:tcPr>
          <w:p w14:paraId="2FA28827">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新建项目的选址应符合城市总体规划，避开饮用水水源地和对环境有特殊要求的功能区；采用资源利用率高、污染物排放量少的先进设备和先进工艺。</w:t>
            </w:r>
          </w:p>
        </w:tc>
        <w:tc>
          <w:tcPr>
            <w:tcW w:w="1960" w:type="pct"/>
            <w:vAlign w:val="center"/>
          </w:tcPr>
          <w:p w14:paraId="094E00AF">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拟建项目选址符合城市总体规划，项目不涉及饮用水水源地和对环境有特殊要求的功能区；采用了资源利用率高、污染物排放量少的先进设备和先进工艺。</w:t>
            </w:r>
          </w:p>
        </w:tc>
        <w:tc>
          <w:tcPr>
            <w:tcW w:w="228" w:type="pct"/>
            <w:vAlign w:val="center"/>
          </w:tcPr>
          <w:p w14:paraId="107CFC1D">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符合</w:t>
            </w:r>
          </w:p>
        </w:tc>
      </w:tr>
      <w:tr w14:paraId="4C2847E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Merge w:val="continue"/>
            <w:vAlign w:val="center"/>
          </w:tcPr>
          <w:p w14:paraId="35E9691B">
            <w:pPr>
              <w:topLinePunct/>
              <w:adjustRightInd w:val="0"/>
              <w:snapToGrid w:val="0"/>
              <w:jc w:val="center"/>
              <w:rPr>
                <w:rFonts w:ascii="Times New Roman" w:hAnsi="Times New Roman" w:cs="Times New Roman"/>
                <w:color w:val="auto"/>
                <w:sz w:val="21"/>
                <w:lang w:eastAsia="zh-CN"/>
              </w:rPr>
            </w:pPr>
          </w:p>
        </w:tc>
        <w:tc>
          <w:tcPr>
            <w:tcW w:w="577" w:type="pct"/>
            <w:vMerge w:val="continue"/>
            <w:vAlign w:val="center"/>
          </w:tcPr>
          <w:p w14:paraId="5671FD9C">
            <w:pPr>
              <w:topLinePunct/>
              <w:adjustRightInd w:val="0"/>
              <w:snapToGrid w:val="0"/>
              <w:jc w:val="center"/>
              <w:rPr>
                <w:rFonts w:ascii="Times New Roman" w:hAnsi="Times New Roman" w:cs="Times New Roman"/>
                <w:color w:val="auto"/>
                <w:sz w:val="21"/>
                <w:lang w:eastAsia="zh-CN"/>
              </w:rPr>
            </w:pPr>
          </w:p>
        </w:tc>
        <w:tc>
          <w:tcPr>
            <w:tcW w:w="2060" w:type="pct"/>
            <w:vAlign w:val="center"/>
          </w:tcPr>
          <w:p w14:paraId="6E1B2A7A">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排污单位发生事故或者其他突发性时间，造成或者可能造成水污染事故的，应当立即启动本单位的应急方案，采取隔离等应急措施，防止水污染物进入水体，并向事故发生地县级以上人民政府或者生态环境行政主管部门报告</w:t>
            </w:r>
          </w:p>
        </w:tc>
        <w:tc>
          <w:tcPr>
            <w:tcW w:w="1960" w:type="pct"/>
            <w:vAlign w:val="center"/>
          </w:tcPr>
          <w:p w14:paraId="23397E3D">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本项目属于改扩建项目，现有厂区已</w:t>
            </w:r>
            <w:r>
              <w:rPr>
                <w:rFonts w:ascii="Times New Roman" w:hAnsi="Times New Roman" w:cs="Times New Roman"/>
                <w:color w:val="auto"/>
                <w:sz w:val="21"/>
                <w:lang w:eastAsia="zh-CN"/>
              </w:rPr>
              <w:t>设置事故应急池、三通切换截止阀、配套沙袋、应急堵漏设备等截断措施，确保事故废水不得排入地表水体。项目应及时制定企业突发环境事件应急预案，并向生态环境主管部门备案，同时与当地人民政府应急预案进行联动。</w:t>
            </w:r>
          </w:p>
        </w:tc>
        <w:tc>
          <w:tcPr>
            <w:tcW w:w="228" w:type="pct"/>
            <w:vAlign w:val="center"/>
          </w:tcPr>
          <w:p w14:paraId="6FAC9DA2">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符合</w:t>
            </w:r>
          </w:p>
        </w:tc>
      </w:tr>
      <w:tr w14:paraId="3351587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Merge w:val="continue"/>
            <w:vAlign w:val="center"/>
          </w:tcPr>
          <w:p w14:paraId="405AA901">
            <w:pPr>
              <w:topLinePunct/>
              <w:adjustRightInd w:val="0"/>
              <w:snapToGrid w:val="0"/>
              <w:jc w:val="center"/>
              <w:rPr>
                <w:rFonts w:ascii="Times New Roman" w:hAnsi="Times New Roman" w:cs="Times New Roman"/>
                <w:color w:val="auto"/>
                <w:sz w:val="21"/>
                <w:lang w:eastAsia="zh-CN"/>
              </w:rPr>
            </w:pPr>
          </w:p>
        </w:tc>
        <w:tc>
          <w:tcPr>
            <w:tcW w:w="577" w:type="pct"/>
            <w:vMerge w:val="continue"/>
            <w:vAlign w:val="center"/>
          </w:tcPr>
          <w:p w14:paraId="71126786">
            <w:pPr>
              <w:topLinePunct/>
              <w:adjustRightInd w:val="0"/>
              <w:snapToGrid w:val="0"/>
              <w:jc w:val="center"/>
              <w:rPr>
                <w:rFonts w:ascii="Times New Roman" w:hAnsi="Times New Roman" w:cs="Times New Roman"/>
                <w:color w:val="auto"/>
                <w:sz w:val="21"/>
                <w:lang w:eastAsia="zh-CN"/>
              </w:rPr>
            </w:pPr>
          </w:p>
        </w:tc>
        <w:tc>
          <w:tcPr>
            <w:tcW w:w="2060" w:type="pct"/>
            <w:vAlign w:val="center"/>
          </w:tcPr>
          <w:p w14:paraId="6A1A698D">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直接或者间接向水体排放污染物的，应当按照规定取得排污许可证</w:t>
            </w:r>
          </w:p>
        </w:tc>
        <w:tc>
          <w:tcPr>
            <w:tcW w:w="1960" w:type="pct"/>
            <w:vAlign w:val="center"/>
          </w:tcPr>
          <w:p w14:paraId="12503964">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拟建项目后期严格按照相关规范申请排污许可证。</w:t>
            </w:r>
          </w:p>
        </w:tc>
        <w:tc>
          <w:tcPr>
            <w:tcW w:w="228" w:type="pct"/>
            <w:vAlign w:val="center"/>
          </w:tcPr>
          <w:p w14:paraId="2AB66BC6">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符合</w:t>
            </w:r>
          </w:p>
        </w:tc>
      </w:tr>
      <w:tr w14:paraId="4DB3D64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Merge w:val="continue"/>
            <w:vAlign w:val="center"/>
          </w:tcPr>
          <w:p w14:paraId="52BC4072">
            <w:pPr>
              <w:topLinePunct/>
              <w:adjustRightInd w:val="0"/>
              <w:snapToGrid w:val="0"/>
              <w:jc w:val="center"/>
              <w:rPr>
                <w:rFonts w:ascii="Times New Roman" w:hAnsi="Times New Roman" w:cs="Times New Roman"/>
                <w:color w:val="auto"/>
                <w:sz w:val="21"/>
                <w:lang w:eastAsia="zh-CN"/>
              </w:rPr>
            </w:pPr>
          </w:p>
        </w:tc>
        <w:tc>
          <w:tcPr>
            <w:tcW w:w="577" w:type="pct"/>
            <w:vMerge w:val="continue"/>
            <w:vAlign w:val="center"/>
          </w:tcPr>
          <w:p w14:paraId="1B01467C">
            <w:pPr>
              <w:topLinePunct/>
              <w:adjustRightInd w:val="0"/>
              <w:snapToGrid w:val="0"/>
              <w:jc w:val="center"/>
              <w:rPr>
                <w:rFonts w:ascii="Times New Roman" w:hAnsi="Times New Roman" w:cs="Times New Roman"/>
                <w:color w:val="auto"/>
                <w:sz w:val="21"/>
                <w:lang w:eastAsia="zh-CN"/>
              </w:rPr>
            </w:pPr>
          </w:p>
        </w:tc>
        <w:tc>
          <w:tcPr>
            <w:tcW w:w="2060" w:type="pct"/>
            <w:vAlign w:val="center"/>
          </w:tcPr>
          <w:p w14:paraId="1AF9BA32">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所有排污单位的污水治理设施，应当确保正常运转，达标排放。水污染防治设施应当保持正常运行，不得擅自拆除或者闲置</w:t>
            </w:r>
          </w:p>
        </w:tc>
        <w:tc>
          <w:tcPr>
            <w:tcW w:w="1960" w:type="pct"/>
            <w:vAlign w:val="center"/>
          </w:tcPr>
          <w:p w14:paraId="7968DE03">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拟建项目运行后，污水处理站运营由专人负责，并记录台账，确保正常运转，达标排放，不擅自拆除或者闲置。</w:t>
            </w:r>
          </w:p>
        </w:tc>
        <w:tc>
          <w:tcPr>
            <w:tcW w:w="228" w:type="pct"/>
            <w:vAlign w:val="center"/>
          </w:tcPr>
          <w:p w14:paraId="471A0EBA">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符合</w:t>
            </w:r>
          </w:p>
        </w:tc>
      </w:tr>
      <w:tr w14:paraId="3CE4F40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Align w:val="center"/>
          </w:tcPr>
          <w:p w14:paraId="727D6B06">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6</w:t>
            </w:r>
          </w:p>
        </w:tc>
        <w:tc>
          <w:tcPr>
            <w:tcW w:w="577" w:type="pct"/>
            <w:vAlign w:val="center"/>
          </w:tcPr>
          <w:p w14:paraId="77BBE664">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安徽省环保厅关于进一步明确淮河巢湖流域重污染行业项目省级环保预审范围</w:t>
            </w:r>
          </w:p>
          <w:p w14:paraId="507FC801">
            <w:pPr>
              <w:topLinePunct/>
              <w:adjustRightInd w:val="0"/>
              <w:snapToGrid w:val="0"/>
              <w:jc w:val="center"/>
              <w:rPr>
                <w:rFonts w:ascii="Times New Roman" w:hAnsi="Times New Roman" w:cs="Times New Roman"/>
                <w:b/>
                <w:color w:val="auto"/>
                <w:sz w:val="21"/>
                <w:lang w:eastAsia="zh-CN"/>
              </w:rPr>
            </w:pPr>
            <w:r>
              <w:rPr>
                <w:rFonts w:hint="eastAsia" w:ascii="Times New Roman" w:hAnsi="Times New Roman" w:cs="Times New Roman"/>
                <w:color w:val="auto"/>
                <w:sz w:val="21"/>
                <w:lang w:eastAsia="zh-CN"/>
              </w:rPr>
              <w:t>及内容的通知</w:t>
            </w:r>
          </w:p>
        </w:tc>
        <w:tc>
          <w:tcPr>
            <w:tcW w:w="2060" w:type="pct"/>
            <w:vAlign w:val="center"/>
          </w:tcPr>
          <w:p w14:paraId="5C71B3C5">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（一）根据《建设项目环境影响评价文件分级审批规定》及省厅相关规定，淮河、巢湖流域各市新建、改建、扩建的大中型制革、化工、电镀、酿造、造纸项目中，环评文件非省厅审批的项目。</w:t>
            </w:r>
          </w:p>
          <w:p w14:paraId="110A71B9">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（二）对符合以下条件之一的，由市级环保部门直接依法审批环评文件，无需经过省厅预审。</w:t>
            </w:r>
          </w:p>
          <w:p w14:paraId="58B981EC">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w:t>
            </w:r>
            <w:r>
              <w:rPr>
                <w:rFonts w:hint="eastAsia" w:ascii="Times New Roman" w:hAnsi="Times New Roman" w:cs="Times New Roman"/>
                <w:color w:val="auto"/>
                <w:sz w:val="21"/>
                <w:lang w:eastAsia="zh-CN"/>
              </w:rPr>
              <w:t>．按照《建设项目环境影响评价分类管理名录》，不需要编制环境影响报告书的建设项目。</w:t>
            </w:r>
          </w:p>
          <w:p w14:paraId="5FBA3205">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w:t>
            </w:r>
            <w:r>
              <w:rPr>
                <w:rFonts w:hint="eastAsia" w:ascii="Times New Roman" w:hAnsi="Times New Roman" w:cs="Times New Roman"/>
                <w:color w:val="auto"/>
                <w:sz w:val="21"/>
                <w:lang w:eastAsia="zh-CN"/>
              </w:rPr>
              <w:t>．经市级环保部门确认，无生产废水排放的新建项目，以及不增加主要水污染物排放量的扩建、改建项目。</w:t>
            </w:r>
            <w:r>
              <w:rPr>
                <w:rFonts w:ascii="Times New Roman" w:hAnsi="Times New Roman" w:cs="Times New Roman"/>
                <w:color w:val="auto"/>
                <w:sz w:val="21"/>
                <w:lang w:eastAsia="zh-CN"/>
              </w:rPr>
              <w:t xml:space="preserve"> </w:t>
            </w:r>
          </w:p>
          <w:p w14:paraId="5128ADE5">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3</w:t>
            </w:r>
            <w:r>
              <w:rPr>
                <w:rFonts w:hint="eastAsia" w:ascii="Times New Roman" w:hAnsi="Times New Roman" w:cs="Times New Roman"/>
                <w:color w:val="auto"/>
                <w:sz w:val="21"/>
                <w:lang w:eastAsia="zh-CN"/>
              </w:rPr>
              <w:t>．排污去向不变且主要水污染物排放量不增加的搬迁项目。</w:t>
            </w:r>
          </w:p>
        </w:tc>
        <w:tc>
          <w:tcPr>
            <w:tcW w:w="1960" w:type="pct"/>
            <w:vAlign w:val="center"/>
          </w:tcPr>
          <w:p w14:paraId="1148BE84">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本项目属于编制</w:t>
            </w:r>
            <w:r>
              <w:rPr>
                <w:rFonts w:hint="eastAsia" w:ascii="Times New Roman" w:hAnsi="Times New Roman" w:cs="Times New Roman"/>
                <w:color w:val="auto"/>
                <w:sz w:val="21"/>
                <w:lang w:val="en-US" w:eastAsia="zh-CN"/>
              </w:rPr>
              <w:t>生态</w:t>
            </w:r>
            <w:r>
              <w:rPr>
                <w:rFonts w:hint="eastAsia" w:ascii="Times New Roman" w:hAnsi="Times New Roman" w:cs="Times New Roman"/>
                <w:color w:val="auto"/>
                <w:sz w:val="21"/>
                <w:lang w:eastAsia="zh-CN"/>
              </w:rPr>
              <w:t>环境影响报告书的化工项目，本项目碱</w:t>
            </w:r>
            <w:r>
              <w:rPr>
                <w:rFonts w:ascii="Times New Roman" w:hAnsi="Times New Roman" w:cs="Times New Roman"/>
                <w:color w:val="auto"/>
                <w:sz w:val="21"/>
                <w:lang w:eastAsia="zh-CN"/>
              </w:rPr>
              <w:t>喷淋塔置换废水、地面清洁废水</w:t>
            </w:r>
            <w:r>
              <w:rPr>
                <w:rFonts w:hint="eastAsia" w:ascii="Times New Roman" w:hAnsi="Times New Roman" w:cs="Times New Roman"/>
                <w:color w:val="auto"/>
                <w:sz w:val="21"/>
                <w:lang w:eastAsia="zh-CN"/>
              </w:rPr>
              <w:t>依托现有厂区</w:t>
            </w:r>
            <w:r>
              <w:rPr>
                <w:rFonts w:ascii="Times New Roman" w:hAnsi="Times New Roman" w:cs="Times New Roman"/>
                <w:color w:val="auto"/>
                <w:sz w:val="21"/>
                <w:lang w:eastAsia="zh-CN"/>
              </w:rPr>
              <w:t>污水处理站“四级除氟反应+四级除氟沉淀”处理后，</w:t>
            </w:r>
            <w:r>
              <w:rPr>
                <w:rFonts w:hint="eastAsia" w:ascii="Times New Roman" w:hAnsi="Times New Roman" w:cs="Times New Roman"/>
                <w:color w:val="auto"/>
                <w:sz w:val="21"/>
                <w:lang w:eastAsia="zh-CN"/>
              </w:rPr>
              <w:t>与</w:t>
            </w:r>
            <w:r>
              <w:rPr>
                <w:rFonts w:ascii="Times New Roman" w:hAnsi="Times New Roman" w:cs="Times New Roman"/>
                <w:color w:val="auto"/>
                <w:sz w:val="21"/>
                <w:lang w:eastAsia="zh-CN"/>
              </w:rPr>
              <w:t>循环冷却置换废水</w:t>
            </w:r>
            <w:r>
              <w:rPr>
                <w:rFonts w:hint="eastAsia" w:ascii="Times New Roman" w:hAnsi="Times New Roman" w:cs="Times New Roman"/>
                <w:color w:val="auto"/>
                <w:sz w:val="21"/>
                <w:lang w:eastAsia="zh-CN"/>
              </w:rPr>
              <w:t>、生活污水一同</w:t>
            </w:r>
            <w:r>
              <w:rPr>
                <w:rFonts w:ascii="Times New Roman" w:hAnsi="Times New Roman" w:cs="Times New Roman"/>
                <w:color w:val="auto"/>
                <w:sz w:val="21"/>
                <w:lang w:eastAsia="zh-CN"/>
              </w:rPr>
              <w:t>排入园区污水管网，进入沫河口污水处理厂处理</w:t>
            </w:r>
            <w:r>
              <w:rPr>
                <w:rFonts w:hint="eastAsia" w:ascii="Times New Roman" w:hAnsi="Times New Roman" w:cs="Times New Roman"/>
                <w:color w:val="auto"/>
                <w:sz w:val="21"/>
                <w:lang w:eastAsia="zh-CN"/>
              </w:rPr>
              <w:t>。</w:t>
            </w:r>
          </w:p>
          <w:p w14:paraId="20A41ABC">
            <w:pPr>
              <w:topLinePunct/>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本次改扩建后，全厂废水排放量</w:t>
            </w:r>
            <w:r>
              <w:rPr>
                <w:rFonts w:hint="eastAsia" w:ascii="Times New Roman" w:hAnsi="Times New Roman" w:cs="Times New Roman"/>
                <w:b/>
                <w:bCs/>
                <w:color w:val="000000" w:themeColor="text1"/>
                <w:sz w:val="21"/>
                <w:lang w:eastAsia="zh-CN"/>
                <w14:textFill>
                  <w14:solidFill>
                    <w14:schemeClr w14:val="tx1"/>
                  </w14:solidFill>
                </w14:textFill>
              </w:rPr>
              <w:t>为135.27t/d，对比改扩建前全厂废水排放量152.65t/d减少17.38t/d，</w:t>
            </w:r>
            <w:r>
              <w:rPr>
                <w:rFonts w:hint="eastAsia" w:ascii="Times New Roman" w:hAnsi="Times New Roman" w:cs="Times New Roman"/>
                <w:b/>
                <w:bCs/>
                <w:color w:val="auto"/>
                <w:sz w:val="21"/>
                <w:lang w:eastAsia="zh-CN"/>
              </w:rPr>
              <w:t>且未突破《安徽省生态环境厅关于安徽氟瑞星化工有限公司年产4万吨电子级氢氟酸、4万吨化学纯氢氟酸及4.5万吨刻蚀液项目环保预审的批复》（皖环办复[2022]1266号，2022年9月13日）中废水排放量210t/d限值，属于不增加水污染物排放量的改扩建项目，且已经</w:t>
            </w:r>
            <w:r>
              <w:rPr>
                <w:rFonts w:hint="eastAsia" w:ascii="Times New Roman" w:hAnsi="Times New Roman" w:cs="Times New Roman"/>
                <w:b/>
                <w:bCs/>
                <w:color w:val="auto"/>
                <w:sz w:val="21"/>
                <w:lang w:val="en-US" w:eastAsia="zh-CN"/>
              </w:rPr>
              <w:t>通过</w:t>
            </w:r>
            <w:r>
              <w:rPr>
                <w:rFonts w:hint="eastAsia" w:ascii="Times New Roman" w:hAnsi="Times New Roman" w:cs="Times New Roman"/>
                <w:b/>
                <w:bCs/>
                <w:color w:val="auto"/>
                <w:sz w:val="21"/>
                <w:lang w:eastAsia="zh-CN"/>
              </w:rPr>
              <w:t>蚌埠市生态环境局确认，无需经过省厅预审</w:t>
            </w:r>
            <w:r>
              <w:rPr>
                <w:rFonts w:ascii="Times New Roman" w:hAnsi="Times New Roman" w:cs="Times New Roman"/>
                <w:b/>
                <w:bCs/>
                <w:color w:val="auto"/>
                <w:sz w:val="21"/>
                <w:lang w:eastAsia="zh-CN"/>
              </w:rPr>
              <w:t>。</w:t>
            </w:r>
          </w:p>
        </w:tc>
        <w:tc>
          <w:tcPr>
            <w:tcW w:w="228" w:type="pct"/>
            <w:vAlign w:val="center"/>
          </w:tcPr>
          <w:p w14:paraId="52A27164">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符合</w:t>
            </w:r>
          </w:p>
        </w:tc>
      </w:tr>
      <w:tr w14:paraId="03E9A7B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Align w:val="center"/>
          </w:tcPr>
          <w:p w14:paraId="073134EC">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7</w:t>
            </w:r>
          </w:p>
        </w:tc>
        <w:tc>
          <w:tcPr>
            <w:tcW w:w="577" w:type="pct"/>
            <w:vAlign w:val="center"/>
          </w:tcPr>
          <w:p w14:paraId="05C7F943">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《关于印发加强高耗能、高排放项目生态环境源头防控的实施意见的通知 》</w:t>
            </w:r>
          </w:p>
        </w:tc>
        <w:tc>
          <w:tcPr>
            <w:tcW w:w="2060" w:type="pct"/>
            <w:vAlign w:val="center"/>
          </w:tcPr>
          <w:p w14:paraId="63B2234E">
            <w:pPr>
              <w:adjustRightInd w:val="0"/>
              <w:snapToGrid w:val="0"/>
              <w:jc w:val="center"/>
              <w:rPr>
                <w:rFonts w:ascii="Times New Roman" w:hAnsi="Times New Roman" w:cs="Times New Roman"/>
                <w:color w:val="auto"/>
                <w:sz w:val="21"/>
                <w:szCs w:val="18"/>
                <w:lang w:eastAsia="zh-CN"/>
              </w:rPr>
            </w:pPr>
            <w:r>
              <w:rPr>
                <w:rFonts w:ascii="Times New Roman" w:hAnsi="Times New Roman" w:cs="Times New Roman"/>
                <w:color w:val="auto"/>
                <w:sz w:val="21"/>
                <w:szCs w:val="18"/>
                <w:lang w:eastAsia="zh-CN"/>
              </w:rPr>
              <w:t>严格环境准入。各地不得受理钢铁、水泥、电解铝、平板玻璃、铸造等产能严重过剩行业新增产能项目的环评文件；对国家明令淘汰、禁止建设、不符合国家产业政策的项目环评文件，一律不批；沿江各市应按国家推长办《长江经济带发展负面清单指南（试行）》及我省实施细则要求，对合规园区外新建、扩建钢铁、石化、化工、焦化、建材、有色等“两高”项目的环评文件一律不批。新增主要污染物排放量的“两高”项目应按照生态环境部办公厅《关于加强重点行业建设项目区域削减措施监督管理的通知》（环办环评〔2020〕36号）要求，依据区域环境质量改善目标，制定配套区域污染物削减方案，采取有效的污染物区域削减措施，相应的减排措施应在项目投产前完成。</w:t>
            </w:r>
          </w:p>
        </w:tc>
        <w:tc>
          <w:tcPr>
            <w:tcW w:w="1960" w:type="pct"/>
            <w:vAlign w:val="center"/>
          </w:tcPr>
          <w:p w14:paraId="4401485E">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项目属于</w:t>
            </w:r>
            <w:r>
              <w:rPr>
                <w:rFonts w:hint="eastAsia" w:ascii="Times New Roman" w:hAnsi="Times New Roman" w:cs="Times New Roman"/>
                <w:color w:val="auto"/>
                <w:sz w:val="21"/>
                <w:lang w:eastAsia="zh-CN"/>
              </w:rPr>
              <w:t>C2669其他专用化学产品制造、C3985电子专用材料制造</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不属于两高项目</w:t>
            </w:r>
          </w:p>
        </w:tc>
        <w:tc>
          <w:tcPr>
            <w:tcW w:w="228" w:type="pct"/>
            <w:vAlign w:val="center"/>
          </w:tcPr>
          <w:p w14:paraId="0042209C">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符合</w:t>
            </w:r>
          </w:p>
        </w:tc>
      </w:tr>
      <w:tr w14:paraId="2B2714C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Align w:val="center"/>
          </w:tcPr>
          <w:p w14:paraId="35D3BCF2">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8</w:t>
            </w:r>
          </w:p>
        </w:tc>
        <w:tc>
          <w:tcPr>
            <w:tcW w:w="577" w:type="pct"/>
            <w:vAlign w:val="center"/>
          </w:tcPr>
          <w:p w14:paraId="1704713C">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《关于提升危险废物环境监管能力、利用处置能力和环境风险防范能力的指导意见》</w:t>
            </w:r>
          </w:p>
        </w:tc>
        <w:tc>
          <w:tcPr>
            <w:tcW w:w="2060" w:type="pct"/>
            <w:vAlign w:val="center"/>
          </w:tcPr>
          <w:p w14:paraId="2078CBE9">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 xml:space="preserve">（1）新建项目要严格执行《建设项目危险废物环境影响评价指南》及《危险废物处置工程技术导则》；优化危险废物跨省转移审批手续、明确审批时限、运行电子联单，为危险废物跨区域转移利用提供便利。 </w:t>
            </w:r>
          </w:p>
          <w:p w14:paraId="55337D90">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 xml:space="preserve">（2）开展危险废物产生单位在线申报登记和管理计划在线备案，全面运行危险废物转移电子联单，2019年年底前实现全国危险废物信息化管理“一张网”。  </w:t>
            </w:r>
          </w:p>
        </w:tc>
        <w:tc>
          <w:tcPr>
            <w:tcW w:w="1960" w:type="pct"/>
            <w:vAlign w:val="center"/>
          </w:tcPr>
          <w:p w14:paraId="3364E7F0">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（1）拟建项目危废贮存按</w:t>
            </w:r>
            <w:r>
              <w:rPr>
                <w:rFonts w:hint="eastAsia" w:ascii="Times New Roman" w:hAnsi="Times New Roman" w:cs="Times New Roman"/>
                <w:color w:val="auto"/>
                <w:sz w:val="21"/>
                <w:lang w:eastAsia="zh-CN"/>
              </w:rPr>
              <w:t>（</w:t>
            </w:r>
            <w:r>
              <w:rPr>
                <w:rFonts w:ascii="Times New Roman" w:hAnsi="Times New Roman" w:cs="Times New Roman"/>
                <w:color w:val="auto"/>
                <w:sz w:val="21"/>
                <w:lang w:eastAsia="zh-CN"/>
              </w:rPr>
              <w:t>GB18597-2023</w:t>
            </w:r>
            <w:r>
              <w:rPr>
                <w:rFonts w:hint="eastAsia" w:ascii="Times New Roman" w:hAnsi="Times New Roman" w:cs="Times New Roman"/>
                <w:color w:val="auto"/>
                <w:sz w:val="21"/>
                <w:lang w:eastAsia="zh-CN"/>
              </w:rPr>
              <w:t>）</w:t>
            </w:r>
            <w:r>
              <w:rPr>
                <w:rFonts w:ascii="Times New Roman" w:hAnsi="Times New Roman" w:cs="Times New Roman"/>
                <w:color w:val="auto"/>
                <w:sz w:val="21"/>
                <w:lang w:eastAsia="zh-CN"/>
              </w:rPr>
              <w:t>《危险废物贮存污染控制标准》要求进行贮存，项目运营后明确危废处置单位，危废转移联单等。</w:t>
            </w:r>
          </w:p>
          <w:p w14:paraId="4122A7DF">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（2）项目建成投产后，危险废物需在线申报登记和管理计划在线备案，全面运行危险废物转移电子联单。</w:t>
            </w:r>
          </w:p>
        </w:tc>
        <w:tc>
          <w:tcPr>
            <w:tcW w:w="228" w:type="pct"/>
            <w:vAlign w:val="center"/>
          </w:tcPr>
          <w:p w14:paraId="698EED00">
            <w:pPr>
              <w:topLinePunct/>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符合</w:t>
            </w:r>
          </w:p>
        </w:tc>
      </w:tr>
      <w:tr w14:paraId="199BC06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Merge w:val="restart"/>
            <w:vAlign w:val="center"/>
          </w:tcPr>
          <w:p w14:paraId="15551932">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9</w:t>
            </w:r>
          </w:p>
        </w:tc>
        <w:tc>
          <w:tcPr>
            <w:tcW w:w="577" w:type="pct"/>
            <w:vMerge w:val="restart"/>
            <w:vAlign w:val="center"/>
          </w:tcPr>
          <w:p w14:paraId="7CB45326">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《蚌埠市化工园区项目准入条件（试行）》</w:t>
            </w:r>
          </w:p>
        </w:tc>
        <w:tc>
          <w:tcPr>
            <w:tcW w:w="2060" w:type="pct"/>
            <w:vAlign w:val="center"/>
          </w:tcPr>
          <w:p w14:paraId="2CE6DDA7">
            <w:pPr>
              <w:topLinePunct/>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1、基本准入条件：</w:t>
            </w:r>
          </w:p>
          <w:p w14:paraId="2FD22B7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项目须入驻蚌埠淮上化工园区[淮上经济开发区（沫河口）]和蚌埠固镇化工园区（固镇经济开发区化工集中区）等省政府认定的合规化工园区，并符合相关化工园区的产业规划定位。（二）投资规模。淮上经济开发区(沫河口)项目固定资产投资原则上不低于1亿元，亩均固投原则上不低于350万元，亩均税收不低于35万元。</w:t>
            </w:r>
          </w:p>
        </w:tc>
        <w:tc>
          <w:tcPr>
            <w:tcW w:w="1960" w:type="pct"/>
            <w:vAlign w:val="center"/>
          </w:tcPr>
          <w:p w14:paraId="2CD9EE8A">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本项目属于改扩建项目，</w:t>
            </w:r>
            <w:r>
              <w:rPr>
                <w:rFonts w:ascii="Times New Roman" w:hAnsi="Times New Roman" w:cs="Times New Roman"/>
                <w:color w:val="auto"/>
                <w:sz w:val="21"/>
                <w:lang w:eastAsia="zh-CN"/>
              </w:rPr>
              <w:t>项目所在的</w:t>
            </w:r>
            <w:r>
              <w:rPr>
                <w:rFonts w:hint="eastAsia" w:ascii="Times New Roman" w:hAnsi="Times New Roman" w:cs="Times New Roman"/>
                <w:color w:val="auto"/>
                <w:sz w:val="21"/>
                <w:lang w:eastAsia="zh-CN"/>
              </w:rPr>
              <w:t>蚌埠精细化工高新技术产业基地</w:t>
            </w:r>
            <w:r>
              <w:rPr>
                <w:rFonts w:ascii="Times New Roman" w:hAnsi="Times New Roman" w:cs="Times New Roman"/>
                <w:color w:val="auto"/>
                <w:sz w:val="21"/>
                <w:lang w:eastAsia="zh-CN"/>
              </w:rPr>
              <w:t>，属于第一批安徽省化工园区名单内；项目为园区主导产业，符合入驻条件</w:t>
            </w:r>
            <w:r>
              <w:rPr>
                <w:rFonts w:hint="eastAsia" w:ascii="Times New Roman" w:hAnsi="Times New Roman" w:cs="Times New Roman"/>
                <w:color w:val="auto"/>
                <w:sz w:val="21"/>
                <w:lang w:eastAsia="zh-CN"/>
              </w:rPr>
              <w:t>。项目固定资产投资10500万元</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满足投资规模要求。</w:t>
            </w:r>
          </w:p>
        </w:tc>
        <w:tc>
          <w:tcPr>
            <w:tcW w:w="228" w:type="pct"/>
            <w:vAlign w:val="center"/>
          </w:tcPr>
          <w:p w14:paraId="3FA0DF1A">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符合</w:t>
            </w:r>
          </w:p>
        </w:tc>
      </w:tr>
      <w:tr w14:paraId="4415BB8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Merge w:val="continue"/>
            <w:vAlign w:val="center"/>
          </w:tcPr>
          <w:p w14:paraId="07315F6E">
            <w:pPr>
              <w:topLinePunct/>
              <w:adjustRightInd w:val="0"/>
              <w:snapToGrid w:val="0"/>
              <w:jc w:val="center"/>
              <w:rPr>
                <w:rFonts w:ascii="Times New Roman" w:hAnsi="Times New Roman" w:cs="Times New Roman"/>
                <w:color w:val="auto"/>
                <w:sz w:val="21"/>
                <w:lang w:eastAsia="zh-CN"/>
              </w:rPr>
            </w:pPr>
          </w:p>
        </w:tc>
        <w:tc>
          <w:tcPr>
            <w:tcW w:w="577" w:type="pct"/>
            <w:vMerge w:val="continue"/>
            <w:vAlign w:val="center"/>
          </w:tcPr>
          <w:p w14:paraId="0C26A5ED">
            <w:pPr>
              <w:topLinePunct/>
              <w:adjustRightInd w:val="0"/>
              <w:snapToGrid w:val="0"/>
              <w:jc w:val="center"/>
              <w:rPr>
                <w:rFonts w:ascii="Times New Roman" w:hAnsi="Times New Roman" w:cs="Times New Roman"/>
                <w:color w:val="auto"/>
                <w:sz w:val="21"/>
                <w:lang w:eastAsia="zh-CN"/>
              </w:rPr>
            </w:pPr>
          </w:p>
        </w:tc>
        <w:tc>
          <w:tcPr>
            <w:tcW w:w="2060" w:type="pct"/>
            <w:vAlign w:val="center"/>
          </w:tcPr>
          <w:p w14:paraId="41B839F5">
            <w:pPr>
              <w:topLinePunct/>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环保准入：</w:t>
            </w:r>
          </w:p>
          <w:p w14:paraId="53944312">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1、项目应与“三线一单”相协调，并符合园区产业定位、规划及规划环评要求；</w:t>
            </w:r>
          </w:p>
          <w:p w14:paraId="79DDE5EC">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2、新建化工项目须按照《安徽省淮河流域水污染防治条例》和《安徽省环保厅关于进一步明确淮河巢湖流域重污染行业项目省级环保预审范围及内容的通知》（皖环发(2013) 85号）有关规定，依法报安徽省生态环境厅开展环保预审；</w:t>
            </w:r>
          </w:p>
          <w:p w14:paraId="50CA8D83">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3、新建、改建、扩建“两高”项目须符合生态环境保护法律法规和相关法定规划，满足重点污染物排放总量控制、碳排放达峰目标、生态环境准入清单、相关规划环评和相应行业建设项目环境准入条件、环评文件审批原则要求；</w:t>
            </w:r>
          </w:p>
          <w:p w14:paraId="05A3C152">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4、新建”两高”项目应按照《关于加强重点行业建设项目区域削减措施监督管理的通知》要求，依据区域环境质量改善目标，制定配套区域污染物削减方案，采取有效的污染物区域削减措施，腾出足够的环境容量。新建耗煤项目还应严格按规定采取煤炭消费减量替代措施，不得使用高污染燃料作为煤炭减量替代措施。</w:t>
            </w:r>
          </w:p>
        </w:tc>
        <w:tc>
          <w:tcPr>
            <w:tcW w:w="1960" w:type="pct"/>
            <w:vAlign w:val="center"/>
          </w:tcPr>
          <w:p w14:paraId="763C1B63">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w:t>
            </w:r>
            <w:r>
              <w:rPr>
                <w:rFonts w:hint="eastAsia" w:ascii="Times New Roman" w:hAnsi="Times New Roman" w:cs="Times New Roman"/>
                <w:color w:val="auto"/>
                <w:sz w:val="21"/>
                <w:lang w:eastAsia="zh-CN"/>
              </w:rPr>
              <w:t>项目符合蚌埠市生态环境分区管控要求，符合《蚌埠精细化工高新技术产业基地规划（2021～2035年）》、规划环评及审查意见要求。项目属于蚌埠精细化工高新技术产业基地主导产业</w:t>
            </w:r>
            <w:r>
              <w:rPr>
                <w:rFonts w:ascii="Times New Roman" w:hAnsi="Times New Roman" w:cs="Times New Roman"/>
                <w:color w:val="auto"/>
                <w:sz w:val="21"/>
                <w:lang w:eastAsia="zh-CN"/>
              </w:rPr>
              <w:t>；</w:t>
            </w:r>
          </w:p>
          <w:p w14:paraId="7AF3926F">
            <w:pPr>
              <w:topLinePunct/>
              <w:adjustRightInd w:val="0"/>
              <w:snapToGrid w:val="0"/>
              <w:jc w:val="center"/>
              <w:rPr>
                <w:rFonts w:ascii="Times New Roman" w:hAnsi="Times New Roman" w:cs="Times New Roman"/>
                <w:color w:val="EE0000"/>
                <w:sz w:val="21"/>
                <w:lang w:eastAsia="zh-CN"/>
              </w:rPr>
            </w:pPr>
            <w:r>
              <w:rPr>
                <w:rFonts w:ascii="Times New Roman" w:hAnsi="Times New Roman" w:cs="Times New Roman"/>
                <w:color w:val="auto"/>
                <w:sz w:val="21"/>
                <w:lang w:eastAsia="zh-CN"/>
              </w:rPr>
              <w:t>2、</w:t>
            </w:r>
            <w:r>
              <w:rPr>
                <w:rFonts w:hint="eastAsia" w:ascii="Times New Roman" w:hAnsi="Times New Roman" w:cs="Times New Roman"/>
                <w:color w:val="auto"/>
                <w:sz w:val="21"/>
                <w:lang w:eastAsia="zh-CN"/>
              </w:rPr>
              <w:t>项目碱</w:t>
            </w:r>
            <w:r>
              <w:rPr>
                <w:rFonts w:ascii="Times New Roman" w:hAnsi="Times New Roman" w:cs="Times New Roman"/>
                <w:color w:val="auto"/>
                <w:sz w:val="21"/>
                <w:lang w:eastAsia="zh-CN"/>
              </w:rPr>
              <w:t>喷淋塔置换废水、地面清洁废水</w:t>
            </w:r>
            <w:r>
              <w:rPr>
                <w:rFonts w:hint="eastAsia" w:ascii="Times New Roman" w:hAnsi="Times New Roman" w:cs="Times New Roman"/>
                <w:color w:val="auto"/>
                <w:sz w:val="21"/>
                <w:lang w:eastAsia="zh-CN"/>
              </w:rPr>
              <w:t>依托现有厂区</w:t>
            </w:r>
            <w:r>
              <w:rPr>
                <w:rFonts w:ascii="Times New Roman" w:hAnsi="Times New Roman" w:cs="Times New Roman"/>
                <w:color w:val="auto"/>
                <w:sz w:val="21"/>
                <w:lang w:eastAsia="zh-CN"/>
              </w:rPr>
              <w:t>污水处理站“四级除氟反应+四级除氟沉淀”处理后，</w:t>
            </w:r>
            <w:r>
              <w:rPr>
                <w:rFonts w:hint="eastAsia" w:ascii="Times New Roman" w:hAnsi="Times New Roman" w:cs="Times New Roman"/>
                <w:color w:val="auto"/>
                <w:sz w:val="21"/>
                <w:lang w:eastAsia="zh-CN"/>
              </w:rPr>
              <w:t>与</w:t>
            </w:r>
            <w:r>
              <w:rPr>
                <w:rFonts w:ascii="Times New Roman" w:hAnsi="Times New Roman" w:cs="Times New Roman"/>
                <w:color w:val="auto"/>
                <w:sz w:val="21"/>
                <w:lang w:eastAsia="zh-CN"/>
              </w:rPr>
              <w:t>循环冷却置换废水</w:t>
            </w:r>
            <w:r>
              <w:rPr>
                <w:rFonts w:hint="eastAsia" w:ascii="Times New Roman" w:hAnsi="Times New Roman" w:cs="Times New Roman"/>
                <w:color w:val="auto"/>
                <w:sz w:val="21"/>
                <w:lang w:eastAsia="zh-CN"/>
              </w:rPr>
              <w:t>、生活污水一同</w:t>
            </w:r>
            <w:r>
              <w:rPr>
                <w:rFonts w:ascii="Times New Roman" w:hAnsi="Times New Roman" w:cs="Times New Roman"/>
                <w:color w:val="auto"/>
                <w:sz w:val="21"/>
                <w:lang w:eastAsia="zh-CN"/>
              </w:rPr>
              <w:t>排入园区污水管网，进入沫河口污水处理厂处理</w:t>
            </w:r>
            <w:r>
              <w:rPr>
                <w:rFonts w:hint="eastAsia" w:ascii="Times New Roman" w:hAnsi="Times New Roman" w:cs="Times New Roman"/>
                <w:color w:val="auto"/>
                <w:sz w:val="21"/>
                <w:lang w:eastAsia="zh-CN"/>
              </w:rPr>
              <w:t>。</w:t>
            </w:r>
            <w:r>
              <w:rPr>
                <w:rFonts w:hint="eastAsia" w:ascii="Times New Roman" w:hAnsi="Times New Roman" w:cs="Times New Roman"/>
                <w:b/>
                <w:bCs/>
                <w:color w:val="auto"/>
                <w:sz w:val="21"/>
                <w:lang w:eastAsia="zh-CN"/>
              </w:rPr>
              <w:t>本次改扩建后，全厂废水排放量</w:t>
            </w:r>
            <w:r>
              <w:rPr>
                <w:rFonts w:hint="eastAsia" w:ascii="Times New Roman" w:hAnsi="Times New Roman" w:cs="Times New Roman"/>
                <w:b/>
                <w:bCs/>
                <w:color w:val="000000" w:themeColor="text1"/>
                <w:sz w:val="21"/>
                <w:lang w:eastAsia="zh-CN"/>
                <w14:textFill>
                  <w14:solidFill>
                    <w14:schemeClr w14:val="tx1"/>
                  </w14:solidFill>
                </w14:textFill>
              </w:rPr>
              <w:t>为135.27t/d，对比改扩建前全厂废水排放量152.65t/d减少17.38t/d，</w:t>
            </w:r>
            <w:r>
              <w:rPr>
                <w:rFonts w:hint="eastAsia" w:ascii="Times New Roman" w:hAnsi="Times New Roman" w:cs="Times New Roman"/>
                <w:b/>
                <w:bCs/>
                <w:color w:val="auto"/>
                <w:sz w:val="21"/>
                <w:lang w:eastAsia="zh-CN"/>
              </w:rPr>
              <w:t>且未突破《安徽省生态环境厅关于安徽氟瑞星化工有限公司年产4万吨电子级氢氟酸、4万吨化学纯氢氟酸及4.5万吨刻蚀液项目环保预审的批复》（皖环办复[2022]1266号，2022年9月13日）中废水排放量210t/d限值，</w:t>
            </w:r>
            <w:r>
              <w:rPr>
                <w:rFonts w:ascii="Times New Roman" w:hAnsi="Times New Roman" w:cs="Times New Roman"/>
                <w:b/>
                <w:bCs/>
                <w:color w:val="auto"/>
                <w:sz w:val="21"/>
                <w:lang w:eastAsia="zh-CN"/>
              </w:rPr>
              <w:t>属于不增加水污染物排放量的改扩建项目，无需经过省厅预审。</w:t>
            </w:r>
          </w:p>
          <w:p w14:paraId="6D4594B2">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3、本项目不属于“两高”项目，项目满足重点污染物总量控制、生态环境准入清单、相关规划环评和相应行业建设项目环境准入条件等要求；</w:t>
            </w:r>
          </w:p>
          <w:p w14:paraId="216671EB">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4、本项目不属于两高项目。</w:t>
            </w:r>
          </w:p>
        </w:tc>
        <w:tc>
          <w:tcPr>
            <w:tcW w:w="228" w:type="pct"/>
            <w:vAlign w:val="center"/>
          </w:tcPr>
          <w:p w14:paraId="722D0495">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符合</w:t>
            </w:r>
          </w:p>
        </w:tc>
      </w:tr>
      <w:tr w14:paraId="25F8DEA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Merge w:val="continue"/>
            <w:vAlign w:val="center"/>
          </w:tcPr>
          <w:p w14:paraId="10C7ACAB">
            <w:pPr>
              <w:topLinePunct/>
              <w:adjustRightInd w:val="0"/>
              <w:snapToGrid w:val="0"/>
              <w:jc w:val="center"/>
              <w:rPr>
                <w:rFonts w:ascii="Times New Roman" w:hAnsi="Times New Roman" w:cs="Times New Roman"/>
                <w:color w:val="auto"/>
                <w:sz w:val="21"/>
                <w:lang w:eastAsia="zh-CN"/>
              </w:rPr>
            </w:pPr>
          </w:p>
        </w:tc>
        <w:tc>
          <w:tcPr>
            <w:tcW w:w="577" w:type="pct"/>
            <w:vMerge w:val="continue"/>
            <w:vAlign w:val="center"/>
          </w:tcPr>
          <w:p w14:paraId="5737DD4F">
            <w:pPr>
              <w:topLinePunct/>
              <w:adjustRightInd w:val="0"/>
              <w:snapToGrid w:val="0"/>
              <w:jc w:val="center"/>
              <w:rPr>
                <w:rFonts w:ascii="Times New Roman" w:hAnsi="Times New Roman" w:cs="Times New Roman"/>
                <w:color w:val="auto"/>
                <w:sz w:val="21"/>
                <w:lang w:eastAsia="zh-CN"/>
              </w:rPr>
            </w:pPr>
          </w:p>
        </w:tc>
        <w:tc>
          <w:tcPr>
            <w:tcW w:w="2060" w:type="pct"/>
            <w:vAlign w:val="center"/>
          </w:tcPr>
          <w:p w14:paraId="1531FA97">
            <w:pPr>
              <w:topLinePunct/>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优先准入项目：</w:t>
            </w:r>
          </w:p>
          <w:p w14:paraId="396732FF">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（1）《产业结构调整指导目录（2019年本）》（国家发展</w:t>
            </w:r>
            <w:r>
              <w:rPr>
                <w:rFonts w:hint="eastAsia" w:ascii="Times New Roman" w:hAnsi="Times New Roman" w:cs="Times New Roman"/>
                <w:color w:val="auto"/>
                <w:sz w:val="21"/>
                <w:lang w:eastAsia="zh-CN"/>
              </w:rPr>
              <w:t>和</w:t>
            </w:r>
            <w:r>
              <w:rPr>
                <w:rFonts w:ascii="Times New Roman" w:hAnsi="Times New Roman" w:cs="Times New Roman"/>
                <w:color w:val="auto"/>
                <w:sz w:val="21"/>
                <w:lang w:eastAsia="zh-CN"/>
              </w:rPr>
              <w:t>改革委员会令第29号）中鼓励类化工项目；</w:t>
            </w:r>
          </w:p>
          <w:p w14:paraId="471C26B2">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（2）属于战略性新兴产业重点发展方向的项目；</w:t>
            </w:r>
          </w:p>
          <w:p w14:paraId="1E054E23">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（3）符合所在园区“双停”企业资产盘活相关规定的项目；</w:t>
            </w:r>
          </w:p>
          <w:p w14:paraId="4C935587">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（4）与园区现有产业形成产业链上下游配套的项目；</w:t>
            </w:r>
          </w:p>
          <w:p w14:paraId="4B44FA74">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（5）解决“卡脖子”和进口替代问题的补短板项目；</w:t>
            </w:r>
          </w:p>
          <w:p w14:paraId="304908E3">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（6）投资主体系世界企业500强、中国企业500强、中国民营企业500强、上市公司的项目；</w:t>
            </w:r>
          </w:p>
          <w:p w14:paraId="7CE6B0A5">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（7）固定资产投资额超10亿元的项目，首期投资规模不少5亿的项目；</w:t>
            </w:r>
          </w:p>
          <w:p w14:paraId="3913B562">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（8）投资主体系领军人才和创新团队，属于国家重点支持的高新技术领域、拥有核心关键技术及自主知识产权的项目。</w:t>
            </w:r>
          </w:p>
        </w:tc>
        <w:tc>
          <w:tcPr>
            <w:tcW w:w="1960" w:type="pct"/>
            <w:vAlign w:val="center"/>
          </w:tcPr>
          <w:p w14:paraId="44224BCA">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对照《产业结构调整指导目录》（2024年本），本项目不属于“鼓励类”、“限制类”和“淘汰类”项目，可视为“允许类”项目，符合国家产业政策要求</w:t>
            </w:r>
          </w:p>
        </w:tc>
        <w:tc>
          <w:tcPr>
            <w:tcW w:w="228" w:type="pct"/>
            <w:vAlign w:val="center"/>
          </w:tcPr>
          <w:p w14:paraId="72C26064">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符合</w:t>
            </w:r>
          </w:p>
        </w:tc>
      </w:tr>
      <w:tr w14:paraId="479EB19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Merge w:val="continue"/>
            <w:vAlign w:val="center"/>
          </w:tcPr>
          <w:p w14:paraId="57819B88">
            <w:pPr>
              <w:topLinePunct/>
              <w:adjustRightInd w:val="0"/>
              <w:snapToGrid w:val="0"/>
              <w:jc w:val="center"/>
              <w:rPr>
                <w:rFonts w:ascii="Times New Roman" w:hAnsi="Times New Roman" w:cs="Times New Roman"/>
                <w:color w:val="auto"/>
                <w:sz w:val="21"/>
                <w:lang w:eastAsia="zh-CN"/>
              </w:rPr>
            </w:pPr>
          </w:p>
        </w:tc>
        <w:tc>
          <w:tcPr>
            <w:tcW w:w="577" w:type="pct"/>
            <w:vMerge w:val="continue"/>
            <w:vAlign w:val="center"/>
          </w:tcPr>
          <w:p w14:paraId="22389077">
            <w:pPr>
              <w:topLinePunct/>
              <w:adjustRightInd w:val="0"/>
              <w:snapToGrid w:val="0"/>
              <w:jc w:val="center"/>
              <w:rPr>
                <w:rFonts w:ascii="Times New Roman" w:hAnsi="Times New Roman" w:cs="Times New Roman"/>
                <w:color w:val="auto"/>
                <w:sz w:val="21"/>
                <w:lang w:eastAsia="zh-CN"/>
              </w:rPr>
            </w:pPr>
          </w:p>
        </w:tc>
        <w:tc>
          <w:tcPr>
            <w:tcW w:w="2060" w:type="pct"/>
            <w:vAlign w:val="center"/>
          </w:tcPr>
          <w:p w14:paraId="6F0AF9D2">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限制准入条件：</w:t>
            </w:r>
          </w:p>
          <w:p w14:paraId="131EF044">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（1）严格限制建设涉及《产业结构调整指导目录（2019年本））(中华人民共和国国家发展和改革委员会令第29号)中限制类化工项目，此类项目应征询投资主管部门意见。</w:t>
            </w:r>
          </w:p>
          <w:p w14:paraId="24F427AA">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严格控制尿素、磷铵、电石、烧碱（废盐综合利用的离子膜烧碱装置、天然碱除外）、聚氯乙烯、纯碱（天然碱除外）、黄磷等过剩行业新增产能，确有必要建设的项目实行等量或减量置换，产能置换方案需报请经信部门审核公告。</w:t>
            </w:r>
          </w:p>
          <w:p w14:paraId="45A258C2">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（3）安全限制准入条件。</w:t>
            </w:r>
          </w:p>
          <w:p w14:paraId="0033E691">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（4）环保限制准入条件。</w:t>
            </w:r>
          </w:p>
          <w:p w14:paraId="62210537">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1、严格限制在淮河流域新建印染、制革、化工、电镀、酿造等化工项目，建设该类项目的，应当事前征得省人民政府生态环境行政主管部门的同意，并按照规定办理有关手续。</w:t>
            </w:r>
          </w:p>
          <w:p w14:paraId="27D20632">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2、严格限制高VOCs排放化工项目，此类项目应征询生态环境主管部门意见。</w:t>
            </w:r>
          </w:p>
        </w:tc>
        <w:tc>
          <w:tcPr>
            <w:tcW w:w="1960" w:type="pct"/>
            <w:vAlign w:val="center"/>
          </w:tcPr>
          <w:p w14:paraId="3F446DA7">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本项目不属于《产业结构调整指导目录》（2024年本）中限制类化工项目；</w:t>
            </w:r>
          </w:p>
          <w:p w14:paraId="3F2F7011">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本项目不属于尿素、磷铵、电石等过剩行业新增产能项目</w:t>
            </w:r>
          </w:p>
          <w:p w14:paraId="19EB1232">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本项目不属于新建印染、制革、电镀、酿造等化工项目，</w:t>
            </w:r>
            <w:r>
              <w:rPr>
                <w:rFonts w:hint="eastAsia" w:ascii="Times New Roman" w:hAnsi="Times New Roman" w:cs="Times New Roman"/>
                <w:color w:val="auto"/>
                <w:sz w:val="21"/>
                <w:lang w:eastAsia="zh-CN"/>
              </w:rPr>
              <w:t>本项目不涉及VOCs，</w:t>
            </w:r>
            <w:r>
              <w:rPr>
                <w:rFonts w:ascii="Times New Roman" w:hAnsi="Times New Roman" w:cs="Times New Roman"/>
                <w:color w:val="auto"/>
                <w:sz w:val="21"/>
                <w:lang w:eastAsia="zh-CN"/>
              </w:rPr>
              <w:t>不属于高VOCs排放化工项目，因此不在限制准入条件范围内。</w:t>
            </w:r>
          </w:p>
        </w:tc>
        <w:tc>
          <w:tcPr>
            <w:tcW w:w="228" w:type="pct"/>
            <w:vAlign w:val="center"/>
          </w:tcPr>
          <w:p w14:paraId="6A25CFB8">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符合</w:t>
            </w:r>
          </w:p>
        </w:tc>
      </w:tr>
      <w:tr w14:paraId="29CF9F7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Merge w:val="continue"/>
            <w:vAlign w:val="center"/>
          </w:tcPr>
          <w:p w14:paraId="2E0FCF57">
            <w:pPr>
              <w:topLinePunct/>
              <w:adjustRightInd w:val="0"/>
              <w:snapToGrid w:val="0"/>
              <w:jc w:val="center"/>
              <w:rPr>
                <w:rFonts w:ascii="Times New Roman" w:hAnsi="Times New Roman" w:cs="Times New Roman"/>
                <w:color w:val="auto"/>
                <w:sz w:val="21"/>
                <w:lang w:eastAsia="zh-CN"/>
              </w:rPr>
            </w:pPr>
          </w:p>
        </w:tc>
        <w:tc>
          <w:tcPr>
            <w:tcW w:w="577" w:type="pct"/>
            <w:vMerge w:val="continue"/>
            <w:vAlign w:val="center"/>
          </w:tcPr>
          <w:p w14:paraId="2F91FC25">
            <w:pPr>
              <w:topLinePunct/>
              <w:adjustRightInd w:val="0"/>
              <w:snapToGrid w:val="0"/>
              <w:jc w:val="center"/>
              <w:rPr>
                <w:rFonts w:ascii="Times New Roman" w:hAnsi="Times New Roman" w:cs="Times New Roman"/>
                <w:color w:val="auto"/>
                <w:sz w:val="21"/>
                <w:lang w:eastAsia="zh-CN"/>
              </w:rPr>
            </w:pPr>
          </w:p>
        </w:tc>
        <w:tc>
          <w:tcPr>
            <w:tcW w:w="2060" w:type="pct"/>
            <w:vAlign w:val="center"/>
          </w:tcPr>
          <w:p w14:paraId="0E82F27C">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禁止准入条件：</w:t>
            </w:r>
          </w:p>
          <w:p w14:paraId="509D26C2">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（1）严禁建设涉及《产业结构调整指导目录(2019年本)》(中华人民共和国国家发展和改革委员会令第29号)中淘汰类化工项目。</w:t>
            </w:r>
          </w:p>
          <w:p w14:paraId="37E4C4A8">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（2）安全禁止准入条件。</w:t>
            </w:r>
          </w:p>
          <w:p w14:paraId="5E593540">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（3）环保禁止准入条件。根据园区规划，列入园区规划环评负面清单禁止类项目。</w:t>
            </w:r>
          </w:p>
          <w:p w14:paraId="1F5CB863">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（4）新建化工小型企业。根据国家中小微企业划分办法的相关文件规定，属于小型化工企业的禁止新建。</w:t>
            </w:r>
          </w:p>
        </w:tc>
        <w:tc>
          <w:tcPr>
            <w:tcW w:w="1960" w:type="pct"/>
            <w:vAlign w:val="center"/>
          </w:tcPr>
          <w:p w14:paraId="431A632A">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本项目不属于《产业结构调整指导目录》（2024年本）中淘汰类化工项目；</w:t>
            </w:r>
          </w:p>
          <w:p w14:paraId="665B1ABF">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项目属于园区主导产业中的精细化工</w:t>
            </w:r>
            <w:r>
              <w:rPr>
                <w:rFonts w:hint="eastAsia" w:ascii="Times New Roman" w:hAnsi="Times New Roman" w:cs="Times New Roman"/>
                <w:color w:val="auto"/>
                <w:sz w:val="21"/>
                <w:lang w:eastAsia="zh-CN"/>
              </w:rPr>
              <w:t>行业</w:t>
            </w:r>
            <w:r>
              <w:rPr>
                <w:rFonts w:ascii="Times New Roman" w:hAnsi="Times New Roman" w:cs="Times New Roman"/>
                <w:color w:val="auto"/>
                <w:sz w:val="21"/>
                <w:lang w:eastAsia="zh-CN"/>
              </w:rPr>
              <w:t>以及电子化学行业，符合园区产业定位要求</w:t>
            </w:r>
          </w:p>
        </w:tc>
        <w:tc>
          <w:tcPr>
            <w:tcW w:w="228" w:type="pct"/>
            <w:vAlign w:val="center"/>
          </w:tcPr>
          <w:p w14:paraId="501DFF15">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符合</w:t>
            </w:r>
          </w:p>
        </w:tc>
      </w:tr>
      <w:tr w14:paraId="37F4D71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Align w:val="center"/>
          </w:tcPr>
          <w:p w14:paraId="31FF12D6">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w:t>
            </w:r>
            <w:r>
              <w:rPr>
                <w:rFonts w:hint="eastAsia" w:ascii="Times New Roman" w:hAnsi="Times New Roman" w:cs="Times New Roman"/>
                <w:color w:val="auto"/>
                <w:sz w:val="21"/>
                <w:lang w:eastAsia="zh-CN"/>
              </w:rPr>
              <w:t>0</w:t>
            </w:r>
          </w:p>
        </w:tc>
        <w:tc>
          <w:tcPr>
            <w:tcW w:w="577" w:type="pct"/>
            <w:vAlign w:val="center"/>
          </w:tcPr>
          <w:p w14:paraId="21825A3C">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关于加强重点行业涉新污染物建设项目环境影响评价工作的意见</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（环环评[2025]28</w:t>
            </w:r>
            <w:r>
              <w:rPr>
                <w:rFonts w:ascii="Times New Roman" w:hAnsi="Times New Roman" w:cs="Times New Roman"/>
                <w:color w:val="auto"/>
                <w:sz w:val="21"/>
                <w:lang w:eastAsia="zh-CN"/>
              </w:rPr>
              <w:t>号</w:t>
            </w:r>
            <w:r>
              <w:rPr>
                <w:rFonts w:hint="eastAsia" w:ascii="Times New Roman" w:hAnsi="Times New Roman" w:cs="Times New Roman"/>
                <w:color w:val="auto"/>
                <w:sz w:val="21"/>
                <w:lang w:eastAsia="zh-CN"/>
              </w:rPr>
              <w:t>）</w:t>
            </w:r>
          </w:p>
        </w:tc>
        <w:tc>
          <w:tcPr>
            <w:tcW w:w="2060" w:type="pct"/>
            <w:vAlign w:val="center"/>
          </w:tcPr>
          <w:p w14:paraId="20CC7602">
            <w:pPr>
              <w:topLinePunct/>
              <w:adjustRightInd w:val="0"/>
              <w:snapToGrid w:val="0"/>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一、突出管理重点；</w:t>
            </w:r>
          </w:p>
          <w:p w14:paraId="5ED7E5C5">
            <w:pPr>
              <w:topLinePunct/>
              <w:adjustRightInd w:val="0"/>
              <w:snapToGrid w:val="0"/>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重点关注重点管控新污染物清单、有毒有害污染物名录、优先控制化学品名录以及《关于持久性有机污染物的斯德哥尔摩公约》（简称《斯德哥尔摩公约》）附件中已发布环境质量标准、污染物排放标准、环境监测方法标准或其他具有污染治理技术的污染物。重点关注石化、涂料、纺织印染、橡胶、农药、医药等重点行业建设项目，在建设项目环评工作中做好上述新污染物识别，涉及上述新污染物的，执行本意见要求，不涉及新污染物的，无需开展相关工作。</w:t>
            </w:r>
          </w:p>
        </w:tc>
        <w:tc>
          <w:tcPr>
            <w:tcW w:w="1960" w:type="pct"/>
            <w:vAlign w:val="center"/>
          </w:tcPr>
          <w:p w14:paraId="1B969581">
            <w:pPr>
              <w:adjustRightInd w:val="0"/>
              <w:snapToGrid w:val="0"/>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本项目使用的原料为31%盐酸、无水氟化氢、15%氟化氢水溶液等，经对照重点管控新污染物清单、有毒有害污染物名录、优先控制化学品名录以及《关于持久性有机污染物的斯德哥尔摩公约》（简称《斯德哥尔摩公约》），本项目使用的原辅材料不属于新污染物。</w:t>
            </w:r>
          </w:p>
        </w:tc>
        <w:tc>
          <w:tcPr>
            <w:tcW w:w="228" w:type="pct"/>
            <w:vAlign w:val="center"/>
          </w:tcPr>
          <w:p w14:paraId="7AF22EA8">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符合</w:t>
            </w:r>
          </w:p>
        </w:tc>
      </w:tr>
      <w:tr w14:paraId="714973E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Merge w:val="restart"/>
            <w:vAlign w:val="center"/>
          </w:tcPr>
          <w:p w14:paraId="73ABDE9D">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11</w:t>
            </w:r>
          </w:p>
        </w:tc>
        <w:tc>
          <w:tcPr>
            <w:tcW w:w="577" w:type="pct"/>
            <w:vMerge w:val="restart"/>
            <w:vAlign w:val="center"/>
          </w:tcPr>
          <w:p w14:paraId="23881616">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关于印发《安徽省重点管控新污染物补充清单》（皖环发[2026]9号）</w:t>
            </w:r>
          </w:p>
        </w:tc>
        <w:tc>
          <w:tcPr>
            <w:tcW w:w="2060" w:type="pct"/>
            <w:vAlign w:val="center"/>
          </w:tcPr>
          <w:p w14:paraId="6D7880BB">
            <w:pPr>
              <w:topLinePunct/>
              <w:adjustRightInd w:val="0"/>
              <w:snapToGrid w:val="0"/>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双酚A：</w:t>
            </w:r>
          </w:p>
          <w:p w14:paraId="0096D7B9">
            <w:pPr>
              <w:topLinePunct/>
              <w:jc w:val="both"/>
              <w:rPr>
                <w:rFonts w:ascii="Times New Roman" w:hAnsi="Times New Roman" w:cs="Times New Roman"/>
                <w:color w:val="auto"/>
                <w:sz w:val="21"/>
                <w:lang w:eastAsia="zh-CN"/>
              </w:rPr>
            </w:pPr>
            <w:r>
              <w:rPr>
                <w:rFonts w:ascii="Times New Roman" w:hAnsi="Times New Roman" w:cs="Times New Roman"/>
                <w:color w:val="auto"/>
                <w:sz w:val="21"/>
                <w:lang w:eastAsia="zh-CN"/>
              </w:rPr>
              <w:t>1、落实国家对婴儿奶瓶、热敏纸中双酚A的管理要求：（1）禁止生产、进口和销售含双酚A的婴幼儿奶瓶。（2）依据《热敏纸》（GB/T28210），对热敏纸中双酚A实施禁限用管理。</w:t>
            </w:r>
          </w:p>
          <w:p w14:paraId="35DE9086">
            <w:pPr>
              <w:rPr>
                <w:rFonts w:ascii="Times New Roman" w:hAnsi="Times New Roman" w:cs="Times New Roman"/>
                <w:sz w:val="21"/>
                <w:lang w:eastAsia="zh-CN"/>
              </w:rPr>
            </w:pPr>
            <w:r>
              <w:rPr>
                <w:rFonts w:ascii="Times New Roman" w:hAnsi="Times New Roman" w:cs="Times New Roman"/>
                <w:sz w:val="21"/>
                <w:lang w:eastAsia="zh-CN"/>
              </w:rPr>
              <w:t>2、依据《石油化学工业污染物排放标准》（GB31571）、《合成树脂工业污染物排放标准》（GB31572）等双酚A排放管控要求，实施达标排放。</w:t>
            </w:r>
          </w:p>
          <w:p w14:paraId="36C416F2">
            <w:pPr>
              <w:topLinePunct/>
              <w:adjustRightInd w:val="0"/>
              <w:snapToGrid w:val="0"/>
              <w:rPr>
                <w:rFonts w:ascii="Times New Roman" w:hAnsi="Times New Roman" w:cs="Times New Roman"/>
                <w:color w:val="auto"/>
                <w:sz w:val="21"/>
                <w:lang w:eastAsia="zh-CN"/>
              </w:rPr>
            </w:pPr>
            <w:r>
              <w:rPr>
                <w:rFonts w:ascii="Times New Roman" w:hAnsi="Times New Roman" w:cs="Times New Roman"/>
                <w:sz w:val="21"/>
                <w:lang w:eastAsia="zh-CN"/>
              </w:rPr>
              <w:t>3、土壤污染重点监管单位中涉及双酚A生产或使用的企业，应当依法建立土壤污染隐患排查制度，保证持续有效防止有毒有害物质泄漏、流失、扬散。</w:t>
            </w:r>
          </w:p>
        </w:tc>
        <w:tc>
          <w:tcPr>
            <w:tcW w:w="1960" w:type="pct"/>
            <w:vMerge w:val="restart"/>
            <w:vAlign w:val="center"/>
          </w:tcPr>
          <w:p w14:paraId="1BB10A4C">
            <w:pPr>
              <w:adjustRightInd w:val="0"/>
              <w:snapToGrid w:val="0"/>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项目原料主要为无水氟化氢、15%氟化氢水溶液、31%盐酸等，不涉及</w:t>
            </w:r>
            <w:r>
              <w:rPr>
                <w:rFonts w:ascii="Times New Roman" w:hAnsi="Times New Roman" w:cs="Times New Roman"/>
                <w:color w:val="auto"/>
                <w:sz w:val="21"/>
                <w:lang w:eastAsia="zh-CN"/>
              </w:rPr>
              <w:t>双酚A</w:t>
            </w:r>
            <w:r>
              <w:rPr>
                <w:rFonts w:hint="eastAsia" w:ascii="Times New Roman" w:hAnsi="Times New Roman" w:cs="Times New Roman"/>
                <w:color w:val="auto"/>
                <w:sz w:val="21"/>
                <w:lang w:eastAsia="zh-CN"/>
              </w:rPr>
              <w:t>、邻苯二甲酸二丁酯等重点管控新污染物。</w:t>
            </w:r>
          </w:p>
        </w:tc>
        <w:tc>
          <w:tcPr>
            <w:tcW w:w="228" w:type="pct"/>
            <w:vAlign w:val="center"/>
          </w:tcPr>
          <w:p w14:paraId="71E4CAEA">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符合</w:t>
            </w:r>
          </w:p>
        </w:tc>
      </w:tr>
      <w:tr w14:paraId="6A85CA4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5" w:type="pct"/>
            <w:vMerge w:val="continue"/>
            <w:vAlign w:val="center"/>
          </w:tcPr>
          <w:p w14:paraId="2929D468">
            <w:pPr>
              <w:topLinePunct/>
              <w:adjustRightInd w:val="0"/>
              <w:snapToGrid w:val="0"/>
              <w:jc w:val="center"/>
              <w:rPr>
                <w:rFonts w:ascii="Times New Roman" w:hAnsi="Times New Roman" w:cs="Times New Roman"/>
                <w:color w:val="auto"/>
                <w:sz w:val="21"/>
                <w:lang w:eastAsia="zh-CN"/>
              </w:rPr>
            </w:pPr>
          </w:p>
        </w:tc>
        <w:tc>
          <w:tcPr>
            <w:tcW w:w="577" w:type="pct"/>
            <w:vMerge w:val="continue"/>
            <w:vAlign w:val="center"/>
          </w:tcPr>
          <w:p w14:paraId="44C64F81">
            <w:pPr>
              <w:topLinePunct/>
              <w:adjustRightInd w:val="0"/>
              <w:snapToGrid w:val="0"/>
              <w:jc w:val="center"/>
              <w:rPr>
                <w:rFonts w:ascii="Times New Roman" w:hAnsi="Times New Roman" w:cs="Times New Roman"/>
                <w:color w:val="auto"/>
                <w:sz w:val="21"/>
                <w:lang w:eastAsia="zh-CN"/>
              </w:rPr>
            </w:pPr>
          </w:p>
        </w:tc>
        <w:tc>
          <w:tcPr>
            <w:tcW w:w="2060" w:type="pct"/>
            <w:vAlign w:val="center"/>
          </w:tcPr>
          <w:p w14:paraId="2163EA1B">
            <w:pPr>
              <w:topLinePunct/>
              <w:jc w:val="both"/>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邻苯二甲酸二丁酯：</w:t>
            </w:r>
          </w:p>
          <w:p w14:paraId="412DDD6E">
            <w:pPr>
              <w:topLinePunct/>
              <w:jc w:val="both"/>
              <w:rPr>
                <w:rFonts w:ascii="Times New Roman" w:hAnsi="Times New Roman" w:cs="Times New Roman"/>
                <w:color w:val="auto"/>
                <w:sz w:val="21"/>
                <w:lang w:eastAsia="zh-CN"/>
              </w:rPr>
            </w:pPr>
            <w:r>
              <w:rPr>
                <w:rFonts w:ascii="Times New Roman" w:hAnsi="Times New Roman" w:cs="Times New Roman"/>
                <w:color w:val="auto"/>
                <w:sz w:val="21"/>
                <w:lang w:eastAsia="zh-CN"/>
              </w:rPr>
              <w:t>1、</w:t>
            </w:r>
            <w:r>
              <w:rPr>
                <w:rFonts w:hint="eastAsia" w:ascii="Times New Roman" w:hAnsi="Times New Roman" w:cs="Times New Roman"/>
                <w:color w:val="auto"/>
                <w:sz w:val="21"/>
                <w:lang w:eastAsia="zh-CN"/>
              </w:rPr>
              <w:t>依据《电子电气产品中限用物质的限量要求》（GB/T26572）、《室内装饰装修材料壁纸中有害物质限量》（GB18585）、《玩具安全第1部分：基本规范》（GB6675.1）、</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童鞋安全技术规范</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GB30585</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鞋类通用安全要求</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GB25038</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食品安全国家标准 食品接触材料及制品用添加剂使用标准</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GB9685</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对电子电器产品、室内装饰装修材料壁纸、玩具、鞋类产品、食品接触材料及制品中的邻苯二甲酸二丁酯实施含量限制</w:t>
            </w:r>
            <w:r>
              <w:rPr>
                <w:rFonts w:ascii="Times New Roman" w:hAnsi="Times New Roman" w:cs="Times New Roman"/>
                <w:color w:val="auto"/>
                <w:sz w:val="21"/>
                <w:lang w:eastAsia="zh-CN"/>
              </w:rPr>
              <w:t>。</w:t>
            </w:r>
          </w:p>
          <w:p w14:paraId="17948BC5">
            <w:pPr>
              <w:rPr>
                <w:rFonts w:ascii="Times New Roman" w:hAnsi="Times New Roman" w:cs="Times New Roman"/>
                <w:sz w:val="21"/>
                <w:lang w:eastAsia="zh-CN"/>
              </w:rPr>
            </w:pPr>
            <w:r>
              <w:rPr>
                <w:rFonts w:ascii="Times New Roman" w:hAnsi="Times New Roman" w:cs="Times New Roman"/>
                <w:sz w:val="21"/>
                <w:lang w:eastAsia="zh-CN"/>
              </w:rPr>
              <w:t>2、依据《石油化学工业污染物排放标准》（GB31571）</w:t>
            </w:r>
            <w:r>
              <w:rPr>
                <w:rFonts w:hint="eastAsia" w:ascii="Times New Roman" w:hAnsi="Times New Roman" w:cs="Times New Roman"/>
                <w:sz w:val="21"/>
                <w:lang w:eastAsia="zh-CN"/>
              </w:rPr>
              <w:t>，对涉邻苯二甲酸二丁酯的相关企业，实施达标排放</w:t>
            </w:r>
            <w:r>
              <w:rPr>
                <w:rFonts w:ascii="Times New Roman" w:hAnsi="Times New Roman" w:cs="Times New Roman"/>
                <w:sz w:val="21"/>
                <w:lang w:eastAsia="zh-CN"/>
              </w:rPr>
              <w:t>。</w:t>
            </w:r>
          </w:p>
          <w:p w14:paraId="170F586B">
            <w:pPr>
              <w:topLinePunct/>
              <w:adjustRightInd w:val="0"/>
              <w:snapToGrid w:val="0"/>
              <w:rPr>
                <w:rFonts w:ascii="Times New Roman" w:hAnsi="Times New Roman" w:cs="Times New Roman"/>
                <w:color w:val="auto"/>
                <w:sz w:val="21"/>
                <w:lang w:eastAsia="zh-CN"/>
              </w:rPr>
            </w:pPr>
            <w:r>
              <w:rPr>
                <w:rFonts w:ascii="Times New Roman" w:hAnsi="Times New Roman" w:cs="Times New Roman"/>
                <w:sz w:val="21"/>
                <w:lang w:eastAsia="zh-CN"/>
              </w:rPr>
              <w:t>3、土壤污染重点监管单位中涉及</w:t>
            </w:r>
            <w:r>
              <w:rPr>
                <w:rFonts w:hint="eastAsia" w:ascii="Times New Roman" w:hAnsi="Times New Roman" w:cs="Times New Roman"/>
                <w:sz w:val="21"/>
                <w:lang w:eastAsia="zh-CN"/>
              </w:rPr>
              <w:t>邻苯二甲酸二丁酯</w:t>
            </w:r>
            <w:r>
              <w:rPr>
                <w:rFonts w:ascii="Times New Roman" w:hAnsi="Times New Roman" w:cs="Times New Roman"/>
                <w:sz w:val="21"/>
                <w:lang w:eastAsia="zh-CN"/>
              </w:rPr>
              <w:t>生产或使用的企业，应当依法建立土壤污染隐患排查制度，保证持续有效防止有毒有害物质泄漏、流失、扬散。</w:t>
            </w:r>
          </w:p>
        </w:tc>
        <w:tc>
          <w:tcPr>
            <w:tcW w:w="1960" w:type="pct"/>
            <w:vMerge w:val="continue"/>
            <w:vAlign w:val="center"/>
          </w:tcPr>
          <w:p w14:paraId="42BFB3F9">
            <w:pPr>
              <w:adjustRightInd w:val="0"/>
              <w:snapToGrid w:val="0"/>
              <w:jc w:val="center"/>
              <w:textAlignment w:val="center"/>
              <w:rPr>
                <w:rFonts w:ascii="Times New Roman" w:hAnsi="Times New Roman" w:cs="Times New Roman"/>
                <w:color w:val="auto"/>
                <w:sz w:val="21"/>
                <w:lang w:eastAsia="zh-CN"/>
              </w:rPr>
            </w:pPr>
          </w:p>
        </w:tc>
        <w:tc>
          <w:tcPr>
            <w:tcW w:w="228" w:type="pct"/>
            <w:vAlign w:val="center"/>
          </w:tcPr>
          <w:p w14:paraId="4F682CA6">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符合</w:t>
            </w:r>
          </w:p>
        </w:tc>
      </w:tr>
    </w:tbl>
    <w:p w14:paraId="46EC9B7F">
      <w:pPr>
        <w:spacing w:line="360" w:lineRule="auto"/>
        <w:ind w:firstLine="482"/>
        <w:jc w:val="center"/>
        <w:rPr>
          <w:rFonts w:ascii="Times New Roman" w:hAnsi="Times New Roman" w:eastAsia="新宋体" w:cs="Times New Roman"/>
          <w:b/>
          <w:bCs/>
          <w:color w:val="auto"/>
          <w:szCs w:val="24"/>
          <w:lang w:eastAsia="zh-CN"/>
        </w:rPr>
        <w:sectPr>
          <w:pgSz w:w="16838" w:h="11906" w:orient="landscape"/>
          <w:pgMar w:top="1083" w:right="1440" w:bottom="1083" w:left="1440" w:header="851" w:footer="992" w:gutter="0"/>
          <w:cols w:space="720" w:num="1"/>
          <w:docGrid w:type="lines" w:linePitch="335" w:charSpace="0"/>
        </w:sectPr>
      </w:pPr>
    </w:p>
    <w:p w14:paraId="7E162090">
      <w:pPr>
        <w:spacing w:line="360" w:lineRule="auto"/>
        <w:ind w:firstLine="482"/>
        <w:jc w:val="both"/>
        <w:outlineLvl w:val="2"/>
        <w:rPr>
          <w:rFonts w:ascii="Times New Roman" w:hAnsi="Times New Roman" w:eastAsia="新宋体" w:cs="Times New Roman"/>
          <w:b/>
          <w:bCs/>
          <w:color w:val="auto"/>
          <w:szCs w:val="24"/>
          <w:lang w:eastAsia="zh-CN"/>
        </w:rPr>
      </w:pPr>
      <w:bookmarkStart w:id="372" w:name="_Toc204448425"/>
      <w:bookmarkStart w:id="373" w:name="_Toc217662616"/>
      <w:bookmarkStart w:id="374" w:name="_Toc231828540"/>
      <w:bookmarkStart w:id="375" w:name="_Toc173740258"/>
      <w:bookmarkStart w:id="376" w:name="_Toc203926960"/>
      <w:bookmarkStart w:id="377" w:name="_Toc236641788"/>
      <w:bookmarkStart w:id="378" w:name="_Toc173743362"/>
      <w:bookmarkStart w:id="379" w:name="_Toc236641271"/>
      <w:bookmarkStart w:id="380" w:name="_Toc223425001"/>
      <w:bookmarkStart w:id="381" w:name="_Toc172555631"/>
      <w:bookmarkStart w:id="382" w:name="_Toc224674639"/>
      <w:bookmarkStart w:id="383" w:name="_Toc204515160"/>
      <w:bookmarkStart w:id="384" w:name="_Toc175164252"/>
      <w:bookmarkStart w:id="385" w:name="_Toc178602328"/>
      <w:bookmarkStart w:id="386" w:name="_Toc225784000"/>
      <w:bookmarkStart w:id="387" w:name="_Toc218784226"/>
      <w:bookmarkStart w:id="388" w:name="_Toc221900783"/>
      <w:bookmarkStart w:id="389" w:name="_Toc237508254"/>
      <w:bookmarkStart w:id="390" w:name="_Toc176512988"/>
      <w:r>
        <w:rPr>
          <w:rFonts w:ascii="Times New Roman" w:hAnsi="Times New Roman" w:eastAsia="新宋体" w:cs="Times New Roman"/>
          <w:b/>
          <w:bCs/>
          <w:color w:val="auto"/>
          <w:szCs w:val="24"/>
          <w:lang w:eastAsia="zh-CN"/>
        </w:rPr>
        <w:t xml:space="preserve">2.5.5 </w:t>
      </w:r>
      <w:r>
        <w:rPr>
          <w:rFonts w:hint="eastAsia" w:ascii="Times New Roman" w:hAnsi="Times New Roman" w:eastAsia="新宋体" w:cs="Times New Roman"/>
          <w:b/>
          <w:bCs/>
          <w:color w:val="auto"/>
          <w:szCs w:val="24"/>
          <w:lang w:eastAsia="zh-CN"/>
        </w:rPr>
        <w:t>生态环境分区管控</w:t>
      </w:r>
      <w:r>
        <w:rPr>
          <w:rFonts w:ascii="Times New Roman" w:hAnsi="Times New Roman" w:eastAsia="新宋体" w:cs="Times New Roman"/>
          <w:b/>
          <w:bCs/>
          <w:color w:val="auto"/>
          <w:szCs w:val="24"/>
          <w:lang w:eastAsia="zh-CN"/>
        </w:rPr>
        <w:t>相符性分析</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14:paraId="31EC34D1">
      <w:pPr>
        <w:topLinePunct/>
        <w:spacing w:line="360" w:lineRule="auto"/>
        <w:ind w:firstLine="480" w:firstLineChars="200"/>
        <w:jc w:val="both"/>
        <w:rPr>
          <w:rFonts w:ascii="Times New Roman" w:hAnsi="Times New Roman" w:eastAsia="新宋体" w:cs="Times New Roman"/>
          <w:color w:val="auto"/>
          <w:szCs w:val="24"/>
          <w:lang w:eastAsia="zh-CN"/>
        </w:rPr>
      </w:pPr>
      <w:r>
        <w:rPr>
          <w:rFonts w:hint="eastAsia" w:ascii="Times New Roman" w:hAnsi="Times New Roman" w:eastAsia="新宋体" w:cs="Times New Roman"/>
          <w:color w:val="auto"/>
          <w:szCs w:val="24"/>
          <w:lang w:eastAsia="zh-CN"/>
        </w:rPr>
        <w:t>结合《安徽省生态保护红线》（皖政秘[2018]120文）、《长江经济带战略环境评价蚌埠市“三线一单”文本》，对照其中的区域生态保护红线、环境质量底线、资源利用上线和生态环境准入清单进行对照，作为开展环境影响评价工作的前提和基础。</w:t>
      </w:r>
    </w:p>
    <w:p w14:paraId="4DB2FD2F">
      <w:pPr>
        <w:topLinePunct/>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经查阅安徽省</w:t>
      </w:r>
      <w:r>
        <w:rPr>
          <w:rFonts w:hint="eastAsia" w:ascii="Times New Roman" w:hAnsi="Times New Roman" w:eastAsia="新宋体" w:cs="Times New Roman"/>
          <w:color w:val="auto"/>
          <w:szCs w:val="24"/>
          <w:lang w:eastAsia="zh-CN"/>
        </w:rPr>
        <w:t>“</w:t>
      </w:r>
      <w:r>
        <w:rPr>
          <w:rFonts w:ascii="Times New Roman" w:hAnsi="Times New Roman" w:eastAsia="新宋体" w:cs="Times New Roman"/>
          <w:color w:val="auto"/>
          <w:szCs w:val="24"/>
          <w:lang w:eastAsia="zh-CN"/>
        </w:rPr>
        <w:t>三线一单</w:t>
      </w:r>
      <w:r>
        <w:rPr>
          <w:rFonts w:hint="eastAsia" w:ascii="Times New Roman" w:hAnsi="Times New Roman" w:eastAsia="新宋体" w:cs="Times New Roman"/>
          <w:color w:val="auto"/>
          <w:szCs w:val="24"/>
          <w:lang w:eastAsia="zh-CN"/>
        </w:rPr>
        <w:t>”</w:t>
      </w:r>
      <w:r>
        <w:rPr>
          <w:rFonts w:ascii="Times New Roman" w:hAnsi="Times New Roman" w:eastAsia="新宋体" w:cs="Times New Roman"/>
          <w:color w:val="auto"/>
          <w:szCs w:val="24"/>
          <w:lang w:eastAsia="zh-CN"/>
        </w:rPr>
        <w:t>公共服务平台，拟建项目</w:t>
      </w:r>
      <w:r>
        <w:rPr>
          <w:rFonts w:hint="eastAsia" w:ascii="Times New Roman" w:hAnsi="Times New Roman" w:eastAsia="新宋体" w:cs="Times New Roman"/>
          <w:color w:val="auto"/>
          <w:szCs w:val="24"/>
          <w:lang w:eastAsia="zh-CN"/>
        </w:rPr>
        <w:t>属于</w:t>
      </w:r>
      <w:r>
        <w:rPr>
          <w:rFonts w:ascii="Times New Roman" w:hAnsi="Times New Roman" w:eastAsia="新宋体" w:cs="Times New Roman"/>
          <w:color w:val="auto"/>
          <w:szCs w:val="24"/>
          <w:lang w:eastAsia="zh-CN"/>
        </w:rPr>
        <w:t>重点管控单元</w:t>
      </w:r>
      <w:r>
        <w:rPr>
          <w:rFonts w:hint="eastAsia" w:ascii="Times New Roman" w:hAnsi="Times New Roman" w:eastAsia="新宋体" w:cs="Times New Roman"/>
          <w:color w:val="auto"/>
          <w:szCs w:val="24"/>
          <w:lang w:eastAsia="zh-CN"/>
        </w:rPr>
        <w:t>20，</w:t>
      </w:r>
      <w:r>
        <w:rPr>
          <w:rFonts w:ascii="Times New Roman" w:hAnsi="Times New Roman" w:eastAsia="新宋体" w:cs="Times New Roman"/>
          <w:color w:val="auto"/>
          <w:szCs w:val="24"/>
          <w:lang w:eastAsia="zh-CN"/>
        </w:rPr>
        <w:t>单元管控编号为</w:t>
      </w:r>
      <w:r>
        <w:rPr>
          <w:rFonts w:hint="eastAsia" w:ascii="Times New Roman" w:hAnsi="Times New Roman" w:eastAsia="新宋体" w:cs="Times New Roman"/>
          <w:color w:val="auto"/>
          <w:szCs w:val="24"/>
          <w:lang w:eastAsia="zh-CN"/>
        </w:rPr>
        <w:t>：ZH34031120020</w:t>
      </w:r>
      <w:r>
        <w:rPr>
          <w:rFonts w:ascii="Times New Roman" w:hAnsi="Times New Roman" w:eastAsia="新宋体" w:cs="Times New Roman"/>
          <w:color w:val="auto"/>
          <w:szCs w:val="24"/>
          <w:lang w:eastAsia="zh-CN"/>
        </w:rPr>
        <w:t>。拟建项目在安徽省</w:t>
      </w:r>
      <w:r>
        <w:rPr>
          <w:rFonts w:hint="eastAsia" w:ascii="Times New Roman" w:hAnsi="Times New Roman" w:eastAsia="新宋体" w:cs="Times New Roman"/>
          <w:color w:val="auto"/>
          <w:szCs w:val="24"/>
          <w:lang w:eastAsia="zh-CN"/>
        </w:rPr>
        <w:t>“</w:t>
      </w:r>
      <w:r>
        <w:rPr>
          <w:rFonts w:ascii="Times New Roman" w:hAnsi="Times New Roman" w:eastAsia="新宋体" w:cs="Times New Roman"/>
          <w:color w:val="auto"/>
          <w:szCs w:val="24"/>
          <w:lang w:eastAsia="zh-CN"/>
        </w:rPr>
        <w:t>三线一单</w:t>
      </w:r>
      <w:r>
        <w:rPr>
          <w:rFonts w:hint="eastAsia" w:ascii="Times New Roman" w:hAnsi="Times New Roman" w:eastAsia="新宋体" w:cs="Times New Roman"/>
          <w:color w:val="auto"/>
          <w:szCs w:val="24"/>
          <w:lang w:eastAsia="zh-CN"/>
        </w:rPr>
        <w:t>”</w:t>
      </w:r>
      <w:r>
        <w:rPr>
          <w:rFonts w:ascii="Times New Roman" w:hAnsi="Times New Roman" w:eastAsia="新宋体" w:cs="Times New Roman"/>
          <w:color w:val="auto"/>
          <w:szCs w:val="24"/>
          <w:lang w:eastAsia="zh-CN"/>
        </w:rPr>
        <w:t>公众服务平台中截图</w:t>
      </w:r>
      <w:r>
        <w:rPr>
          <w:rFonts w:hint="eastAsia" w:ascii="Times New Roman" w:hAnsi="Times New Roman" w:eastAsia="新宋体" w:cs="Times New Roman"/>
          <w:color w:val="auto"/>
          <w:szCs w:val="24"/>
          <w:lang w:eastAsia="zh-CN"/>
        </w:rPr>
        <w:t>见下图</w:t>
      </w:r>
      <w:r>
        <w:rPr>
          <w:rFonts w:ascii="Times New Roman" w:hAnsi="Times New Roman" w:eastAsia="新宋体" w:cs="Times New Roman"/>
          <w:color w:val="auto"/>
          <w:szCs w:val="24"/>
          <w:lang w:eastAsia="zh-CN"/>
        </w:rPr>
        <w:t>。</w:t>
      </w:r>
    </w:p>
    <w:p w14:paraId="66A7C3F2">
      <w:pPr>
        <w:topLinePunct/>
        <w:spacing w:line="360" w:lineRule="auto"/>
        <w:ind w:firstLine="480" w:firstLineChars="200"/>
        <w:jc w:val="both"/>
        <w:rPr>
          <w:rFonts w:ascii="Times New Roman" w:hAnsi="Times New Roman" w:eastAsia="新宋体" w:cs="Times New Roman"/>
          <w:color w:val="auto"/>
          <w:szCs w:val="24"/>
          <w:lang w:eastAsia="zh-CN"/>
        </w:rPr>
      </w:pPr>
      <w:r>
        <w:rPr>
          <w:rFonts w:hint="eastAsia" w:ascii="Times New Roman" w:hAnsi="Times New Roman" w:eastAsia="新宋体" w:cs="Times New Roman"/>
          <w:color w:val="auto"/>
          <w:szCs w:val="24"/>
          <w:lang w:eastAsia="zh-CN"/>
        </w:rPr>
        <w:t xml:space="preserve">1、生态保护红线 </w:t>
      </w:r>
    </w:p>
    <w:p w14:paraId="4D150CE1">
      <w:pPr>
        <w:topLinePunct/>
        <w:spacing w:line="360" w:lineRule="auto"/>
        <w:ind w:firstLine="480" w:firstLineChars="200"/>
        <w:jc w:val="both"/>
        <w:rPr>
          <w:color w:val="auto"/>
          <w:lang w:eastAsia="zh-CN"/>
        </w:rPr>
      </w:pPr>
      <w:r>
        <w:rPr>
          <w:rFonts w:hint="eastAsia"/>
          <w:color w:val="auto"/>
          <w:lang w:eastAsia="zh-CN"/>
        </w:rPr>
        <w:t>项目选址位于蚌埠精细化工高新技术产业基地，对照</w:t>
      </w:r>
      <w:r>
        <w:rPr>
          <w:rFonts w:ascii="Times New Roman" w:hAnsi="Times New Roman" w:cs="Times New Roman"/>
          <w:color w:val="auto"/>
          <w:szCs w:val="24"/>
          <w:lang w:eastAsia="zh-CN"/>
        </w:rPr>
        <w:t>《蚌埠市</w:t>
      </w:r>
      <w:r>
        <w:rPr>
          <w:rFonts w:hint="eastAsia" w:ascii="Times New Roman" w:hAnsi="Times New Roman" w:cs="Times New Roman"/>
          <w:color w:val="auto"/>
          <w:szCs w:val="24"/>
          <w:lang w:eastAsia="zh-CN"/>
        </w:rPr>
        <w:t>生态环境分区管控成果动态更新图集</w:t>
      </w:r>
      <w:r>
        <w:rPr>
          <w:rFonts w:ascii="Times New Roman" w:hAnsi="Times New Roman" w:cs="Times New Roman"/>
          <w:color w:val="auto"/>
          <w:szCs w:val="24"/>
          <w:lang w:eastAsia="zh-CN"/>
        </w:rPr>
        <w:t>》</w:t>
      </w:r>
      <w:r>
        <w:rPr>
          <w:rFonts w:hint="eastAsia"/>
          <w:color w:val="auto"/>
          <w:lang w:eastAsia="zh-CN"/>
        </w:rPr>
        <w:t>，不涉及自然保护区、风景名胜区等生态保护红线，项目建设符合红线保护红线要求。</w:t>
      </w:r>
    </w:p>
    <w:p w14:paraId="3B9BF825">
      <w:pPr>
        <w:topLinePunct/>
        <w:spacing w:line="360" w:lineRule="auto"/>
        <w:ind w:firstLine="480" w:firstLineChars="200"/>
        <w:jc w:val="both"/>
        <w:rPr>
          <w:rFonts w:ascii="Times New Roman" w:hAnsi="Times New Roman" w:eastAsia="新宋体" w:cs="Times New Roman"/>
          <w:color w:val="auto"/>
          <w:szCs w:val="24"/>
          <w:lang w:eastAsia="zh-CN"/>
        </w:rPr>
      </w:pPr>
      <w:r>
        <w:rPr>
          <w:rFonts w:hint="eastAsia" w:ascii="Times New Roman" w:hAnsi="Times New Roman" w:eastAsia="新宋体" w:cs="Times New Roman"/>
          <w:color w:val="auto"/>
          <w:szCs w:val="24"/>
          <w:lang w:eastAsia="zh-CN"/>
        </w:rPr>
        <w:t>2、环境质量底线</w:t>
      </w:r>
    </w:p>
    <w:p w14:paraId="698B6633">
      <w:pPr>
        <w:topLinePunct/>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根据区域的环境功能区划，蚌埠精细化工高新技术产业基地所在区域环境空气功能为二类区，需达到《环境空气质量标准》</w:t>
      </w:r>
      <w:r>
        <w:rPr>
          <w:rFonts w:hint="eastAsia" w:ascii="Times New Roman" w:hAnsi="Times New Roman" w:eastAsia="新宋体" w:cs="Times New Roman"/>
          <w:color w:val="auto"/>
          <w:szCs w:val="24"/>
          <w:lang w:eastAsia="zh-CN"/>
        </w:rPr>
        <w:t>（</w:t>
      </w:r>
      <w:r>
        <w:rPr>
          <w:rFonts w:ascii="Times New Roman" w:hAnsi="Times New Roman" w:eastAsia="新宋体" w:cs="Times New Roman"/>
          <w:color w:val="auto"/>
          <w:szCs w:val="24"/>
          <w:lang w:eastAsia="zh-CN"/>
        </w:rPr>
        <w:t>GB3095-20</w:t>
      </w:r>
      <w:r>
        <w:rPr>
          <w:rFonts w:hint="eastAsia" w:ascii="Times New Roman" w:hAnsi="Times New Roman" w:eastAsia="新宋体" w:cs="Times New Roman"/>
          <w:color w:val="auto"/>
          <w:szCs w:val="24"/>
          <w:lang w:eastAsia="zh-CN"/>
        </w:rPr>
        <w:t>26）</w:t>
      </w:r>
      <w:r>
        <w:rPr>
          <w:rFonts w:ascii="Times New Roman" w:hAnsi="Times New Roman" w:eastAsia="新宋体" w:cs="Times New Roman"/>
          <w:color w:val="auto"/>
          <w:szCs w:val="24"/>
          <w:lang w:eastAsia="zh-CN"/>
        </w:rPr>
        <w:t>二级标准；淮河评价河段水体功能为三类，需达到《地表水环境质量标准》</w:t>
      </w:r>
      <w:r>
        <w:rPr>
          <w:rFonts w:hint="eastAsia" w:ascii="Times New Roman" w:hAnsi="Times New Roman" w:eastAsia="新宋体" w:cs="Times New Roman"/>
          <w:color w:val="auto"/>
          <w:szCs w:val="24"/>
          <w:lang w:eastAsia="zh-CN"/>
        </w:rPr>
        <w:t>（</w:t>
      </w:r>
      <w:r>
        <w:rPr>
          <w:rFonts w:ascii="Times New Roman" w:hAnsi="Times New Roman" w:eastAsia="新宋体" w:cs="Times New Roman"/>
          <w:color w:val="auto"/>
          <w:szCs w:val="24"/>
          <w:lang w:eastAsia="zh-CN"/>
        </w:rPr>
        <w:t>GB3838-2002</w:t>
      </w:r>
      <w:r>
        <w:rPr>
          <w:rFonts w:hint="eastAsia" w:ascii="Times New Roman" w:hAnsi="Times New Roman" w:eastAsia="新宋体" w:cs="Times New Roman"/>
          <w:color w:val="auto"/>
          <w:szCs w:val="24"/>
          <w:lang w:eastAsia="zh-CN"/>
        </w:rPr>
        <w:t>）</w:t>
      </w:r>
      <w:r>
        <w:rPr>
          <w:rFonts w:ascii="Times New Roman" w:hAnsi="Times New Roman" w:eastAsia="新宋体" w:cs="Times New Roman"/>
          <w:color w:val="auto"/>
          <w:szCs w:val="24"/>
          <w:lang w:eastAsia="zh-CN"/>
        </w:rPr>
        <w:t>Ⅲ类标准；声环境功能为3类区，需执行《声环境质量标准》(GB3096-2008)中 3 类标准；地下水环境执行《地下水质量标准》</w:t>
      </w:r>
      <w:r>
        <w:rPr>
          <w:rFonts w:hint="eastAsia" w:ascii="Times New Roman" w:hAnsi="Times New Roman" w:eastAsia="新宋体" w:cs="Times New Roman"/>
          <w:color w:val="auto"/>
          <w:szCs w:val="24"/>
          <w:lang w:eastAsia="zh-CN"/>
        </w:rPr>
        <w:t>（</w:t>
      </w:r>
      <w:r>
        <w:rPr>
          <w:rFonts w:ascii="Times New Roman" w:hAnsi="Times New Roman" w:eastAsia="新宋体" w:cs="Times New Roman"/>
          <w:color w:val="auto"/>
          <w:szCs w:val="24"/>
          <w:lang w:eastAsia="zh-CN"/>
        </w:rPr>
        <w:t>GB/T14848-2017</w:t>
      </w:r>
      <w:r>
        <w:rPr>
          <w:rFonts w:hint="eastAsia" w:ascii="Times New Roman" w:hAnsi="Times New Roman" w:eastAsia="新宋体" w:cs="Times New Roman"/>
          <w:color w:val="auto"/>
          <w:szCs w:val="24"/>
          <w:lang w:eastAsia="zh-CN"/>
        </w:rPr>
        <w:t>）</w:t>
      </w:r>
      <w:r>
        <w:rPr>
          <w:rFonts w:ascii="Times New Roman" w:hAnsi="Times New Roman" w:eastAsia="新宋体" w:cs="Times New Roman"/>
          <w:color w:val="auto"/>
          <w:szCs w:val="24"/>
          <w:lang w:eastAsia="zh-CN"/>
        </w:rPr>
        <w:t>中Ⅲ类标准；</w:t>
      </w:r>
      <w:r>
        <w:rPr>
          <w:rFonts w:ascii="Times New Roman" w:hAnsi="Times New Roman" w:eastAsia="新宋体" w:cs="Times New Roman"/>
          <w:color w:val="auto"/>
          <w:szCs w:val="24"/>
          <w:lang w:val="zh-CN" w:eastAsia="zh-CN"/>
        </w:rPr>
        <w:t>项目厂区及周边建设用地土壤环境执行《土壤环境质量 建设用地土壤污染风险管控标准</w:t>
      </w:r>
      <w:r>
        <w:rPr>
          <w:rFonts w:ascii="Times New Roman" w:hAnsi="Times New Roman" w:eastAsia="新宋体" w:cs="Times New Roman"/>
          <w:color w:val="auto"/>
          <w:szCs w:val="24"/>
          <w:lang w:eastAsia="zh-CN"/>
        </w:rPr>
        <w:t>（试行）</w:t>
      </w:r>
      <w:r>
        <w:rPr>
          <w:rFonts w:ascii="Times New Roman" w:hAnsi="Times New Roman" w:eastAsia="新宋体" w:cs="Times New Roman"/>
          <w:color w:val="auto"/>
          <w:szCs w:val="24"/>
          <w:lang w:val="zh-CN" w:eastAsia="zh-CN"/>
        </w:rPr>
        <w:t>》（GB36600-2018）</w:t>
      </w:r>
      <w:r>
        <w:rPr>
          <w:rFonts w:hint="eastAsia" w:ascii="Times New Roman" w:hAnsi="Times New Roman" w:eastAsia="新宋体" w:cs="Times New Roman"/>
          <w:color w:val="auto"/>
          <w:szCs w:val="24"/>
          <w:lang w:val="zh-CN" w:eastAsia="zh-CN"/>
        </w:rPr>
        <w:t>中筛选值要求，</w:t>
      </w:r>
      <w:r>
        <w:rPr>
          <w:rFonts w:ascii="Times New Roman" w:hAnsi="Times New Roman" w:eastAsia="新宋体" w:cs="Times New Roman"/>
          <w:color w:val="auto"/>
          <w:szCs w:val="24"/>
          <w:lang w:val="zh-CN" w:eastAsia="zh-CN"/>
        </w:rPr>
        <w:t>周边</w:t>
      </w:r>
      <w:r>
        <w:rPr>
          <w:rFonts w:hint="eastAsia" w:ascii="Times New Roman" w:hAnsi="Times New Roman" w:eastAsia="新宋体" w:cs="Times New Roman"/>
          <w:color w:val="auto"/>
          <w:szCs w:val="24"/>
          <w:lang w:eastAsia="zh-CN"/>
        </w:rPr>
        <w:t>农</w:t>
      </w:r>
      <w:r>
        <w:rPr>
          <w:rFonts w:ascii="Times New Roman" w:hAnsi="Times New Roman" w:eastAsia="新宋体" w:cs="Times New Roman"/>
          <w:color w:val="auto"/>
          <w:szCs w:val="24"/>
          <w:lang w:val="zh-CN" w:eastAsia="zh-CN"/>
        </w:rPr>
        <w:t>用地土壤环境执行</w:t>
      </w:r>
      <w:r>
        <w:rPr>
          <w:rFonts w:hint="eastAsia"/>
          <w:color w:val="auto"/>
          <w:szCs w:val="24"/>
          <w:lang w:eastAsia="zh-CN"/>
        </w:rPr>
        <w:t>《土壤环境质量 农</w:t>
      </w:r>
      <w:r>
        <w:rPr>
          <w:color w:val="auto"/>
          <w:szCs w:val="24"/>
          <w:lang w:eastAsia="zh-CN"/>
        </w:rPr>
        <w:t>用地土壤污染风险管控标准</w:t>
      </w:r>
      <w:r>
        <w:rPr>
          <w:rFonts w:hint="eastAsia"/>
          <w:color w:val="auto"/>
          <w:szCs w:val="24"/>
          <w:lang w:eastAsia="zh-CN"/>
        </w:rPr>
        <w:t>（试行）》</w:t>
      </w:r>
      <w:r>
        <w:rPr>
          <w:rFonts w:ascii="Times New Roman" w:hAnsi="Times New Roman" w:cs="Times New Roman"/>
          <w:color w:val="auto"/>
          <w:szCs w:val="24"/>
          <w:lang w:eastAsia="zh-CN"/>
        </w:rPr>
        <w:t>（GB15618-2018）</w:t>
      </w:r>
      <w:r>
        <w:rPr>
          <w:rFonts w:hint="eastAsia"/>
          <w:color w:val="auto"/>
          <w:szCs w:val="24"/>
          <w:lang w:eastAsia="zh-CN"/>
        </w:rPr>
        <w:t>中农</w:t>
      </w:r>
      <w:r>
        <w:rPr>
          <w:color w:val="auto"/>
          <w:szCs w:val="24"/>
          <w:lang w:eastAsia="zh-CN"/>
        </w:rPr>
        <w:t>用地土壤污染风险</w:t>
      </w:r>
      <w:r>
        <w:rPr>
          <w:rFonts w:hint="eastAsia"/>
          <w:color w:val="auto"/>
          <w:szCs w:val="24"/>
          <w:lang w:eastAsia="zh-CN"/>
        </w:rPr>
        <w:t>筛选值</w:t>
      </w:r>
      <w:r>
        <w:rPr>
          <w:rFonts w:ascii="Times New Roman" w:hAnsi="Times New Roman" w:eastAsia="新宋体" w:cs="Times New Roman"/>
          <w:color w:val="auto"/>
          <w:szCs w:val="24"/>
          <w:lang w:val="zh-CN" w:eastAsia="zh-CN"/>
        </w:rPr>
        <w:t>。</w:t>
      </w:r>
    </w:p>
    <w:p w14:paraId="23DCACAA">
      <w:pPr>
        <w:topLinePunct/>
        <w:spacing w:line="360" w:lineRule="auto"/>
        <w:ind w:firstLine="480" w:firstLineChars="200"/>
        <w:jc w:val="both"/>
        <w:rPr>
          <w:rFonts w:ascii="Times New Roman" w:hAnsi="Times New Roman" w:eastAsia="新宋体" w:cs="Times New Roman"/>
          <w:color w:val="auto"/>
          <w:szCs w:val="24"/>
          <w:lang w:eastAsia="zh-CN"/>
        </w:rPr>
      </w:pPr>
      <w:r>
        <w:rPr>
          <w:rFonts w:hint="eastAsia" w:ascii="Times New Roman" w:hAnsi="Times New Roman" w:eastAsia="新宋体" w:cs="Times New Roman"/>
          <w:color w:val="auto"/>
          <w:szCs w:val="24"/>
          <w:lang w:eastAsia="zh-CN"/>
        </w:rPr>
        <w:t>2025年蚌埠市</w:t>
      </w:r>
      <w:r>
        <w:rPr>
          <w:rFonts w:ascii="Times New Roman" w:hAnsi="Times New Roman" w:cs="Times New Roman"/>
          <w:color w:val="auto"/>
          <w:szCs w:val="24"/>
          <w:lang w:eastAsia="zh-CN"/>
        </w:rPr>
        <w:t>PM</w:t>
      </w:r>
      <w:r>
        <w:rPr>
          <w:rFonts w:ascii="Times New Roman" w:hAnsi="Times New Roman" w:cs="Times New Roman"/>
          <w:color w:val="auto"/>
          <w:szCs w:val="24"/>
          <w:vertAlign w:val="subscript"/>
          <w:lang w:eastAsia="zh-CN"/>
        </w:rPr>
        <w:t>2.5</w:t>
      </w:r>
      <w:r>
        <w:rPr>
          <w:rFonts w:ascii="Times New Roman" w:hAnsi="Times New Roman" w:cs="Times New Roman"/>
          <w:color w:val="auto"/>
          <w:szCs w:val="24"/>
          <w:lang w:eastAsia="zh-CN"/>
        </w:rPr>
        <w:t xml:space="preserve"> </w:t>
      </w:r>
      <w:r>
        <w:rPr>
          <w:rFonts w:hint="eastAsia" w:ascii="Times New Roman" w:hAnsi="Times New Roman" w:cs="Times New Roman"/>
          <w:color w:val="auto"/>
          <w:szCs w:val="24"/>
          <w:lang w:eastAsia="zh-CN"/>
        </w:rPr>
        <w:t>年均浓度为37微克/立方米，不</w:t>
      </w:r>
      <w:r>
        <w:rPr>
          <w:rFonts w:ascii="Times New Roman" w:hAnsi="Times New Roman" w:cs="Times New Roman"/>
          <w:color w:val="auto"/>
          <w:szCs w:val="24"/>
          <w:lang w:eastAsia="zh-CN"/>
        </w:rPr>
        <w:t>满足《环境空气质量标准》（GB 3095-20</w:t>
      </w:r>
      <w:r>
        <w:rPr>
          <w:rFonts w:hint="eastAsia" w:ascii="Times New Roman" w:hAnsi="Times New Roman" w:cs="Times New Roman"/>
          <w:color w:val="auto"/>
          <w:szCs w:val="24"/>
          <w:lang w:eastAsia="zh-CN"/>
        </w:rPr>
        <w:t>12</w:t>
      </w:r>
      <w:r>
        <w:rPr>
          <w:rFonts w:ascii="Times New Roman" w:hAnsi="Times New Roman" w:cs="Times New Roman"/>
          <w:color w:val="auto"/>
          <w:szCs w:val="24"/>
          <w:lang w:eastAsia="zh-CN"/>
        </w:rPr>
        <w:t>）</w:t>
      </w:r>
      <w:r>
        <w:rPr>
          <w:rFonts w:hint="eastAsia" w:ascii="Times New Roman" w:hAnsi="Times New Roman" w:cs="Times New Roman"/>
          <w:color w:val="auto"/>
          <w:szCs w:val="24"/>
          <w:lang w:eastAsia="zh-CN"/>
        </w:rPr>
        <w:t>及</w:t>
      </w:r>
      <w:r>
        <w:rPr>
          <w:rFonts w:ascii="Times New Roman" w:hAnsi="Times New Roman" w:eastAsia="新宋体" w:cs="Times New Roman"/>
          <w:color w:val="auto"/>
          <w:szCs w:val="24"/>
          <w:lang w:eastAsia="zh-CN"/>
        </w:rPr>
        <w:t>《环境空气质量标准》</w:t>
      </w:r>
      <w:r>
        <w:rPr>
          <w:rFonts w:hint="eastAsia" w:ascii="Times New Roman" w:hAnsi="Times New Roman" w:eastAsia="新宋体" w:cs="Times New Roman"/>
          <w:color w:val="auto"/>
          <w:szCs w:val="24"/>
          <w:lang w:eastAsia="zh-CN"/>
        </w:rPr>
        <w:t>（</w:t>
      </w:r>
      <w:r>
        <w:rPr>
          <w:rFonts w:ascii="Times New Roman" w:hAnsi="Times New Roman" w:eastAsia="新宋体" w:cs="Times New Roman"/>
          <w:color w:val="auto"/>
          <w:szCs w:val="24"/>
          <w:lang w:eastAsia="zh-CN"/>
        </w:rPr>
        <w:t>GB3095-20</w:t>
      </w:r>
      <w:r>
        <w:rPr>
          <w:rFonts w:hint="eastAsia" w:ascii="Times New Roman" w:hAnsi="Times New Roman" w:eastAsia="新宋体" w:cs="Times New Roman"/>
          <w:color w:val="auto"/>
          <w:szCs w:val="24"/>
          <w:lang w:eastAsia="zh-CN"/>
        </w:rPr>
        <w:t>26）</w:t>
      </w:r>
      <w:r>
        <w:rPr>
          <w:rFonts w:hint="eastAsia" w:ascii="Times New Roman" w:hAnsi="Times New Roman" w:cs="Times New Roman"/>
          <w:color w:val="auto"/>
          <w:szCs w:val="24"/>
          <w:lang w:eastAsia="zh-CN"/>
        </w:rPr>
        <w:t>中二级</w:t>
      </w:r>
      <w:r>
        <w:rPr>
          <w:rFonts w:ascii="Times New Roman" w:hAnsi="Times New Roman" w:cs="Times New Roman"/>
          <w:color w:val="auto"/>
          <w:szCs w:val="24"/>
          <w:lang w:eastAsia="zh-CN"/>
        </w:rPr>
        <w:t>标准限值</w:t>
      </w:r>
      <w:r>
        <w:rPr>
          <w:rFonts w:hint="eastAsia" w:ascii="Times New Roman" w:hAnsi="Times New Roman" w:cs="Times New Roman"/>
          <w:color w:val="auto"/>
          <w:szCs w:val="24"/>
          <w:lang w:eastAsia="zh-CN"/>
        </w:rPr>
        <w:t>，</w:t>
      </w:r>
      <w:r>
        <w:rPr>
          <w:rFonts w:hint="eastAsia" w:ascii="Times New Roman" w:hAnsi="Times New Roman" w:eastAsia="新宋体" w:cs="Times New Roman"/>
          <w:color w:val="auto"/>
          <w:szCs w:val="24"/>
          <w:lang w:eastAsia="zh-CN"/>
        </w:rPr>
        <w:t>2025年蚌埠市</w:t>
      </w:r>
      <w:r>
        <w:rPr>
          <w:rFonts w:hint="eastAsia" w:ascii="Times New Roman" w:hAnsi="Times New Roman" w:cs="Times New Roman"/>
          <w:color w:val="auto"/>
          <w:szCs w:val="24"/>
          <w:lang w:eastAsia="zh-CN"/>
        </w:rPr>
        <w:t>属于不达标区域。</w:t>
      </w:r>
    </w:p>
    <w:p w14:paraId="63D8AC14">
      <w:pPr>
        <w:topLinePunct/>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本次评价过程中，对项目所在区域的</w:t>
      </w:r>
      <w:r>
        <w:rPr>
          <w:rFonts w:hint="eastAsia" w:ascii="Times New Roman" w:hAnsi="Times New Roman" w:eastAsia="新宋体" w:cs="Times New Roman"/>
          <w:color w:val="auto"/>
          <w:szCs w:val="24"/>
          <w:lang w:eastAsia="zh-CN"/>
        </w:rPr>
        <w:t>大气</w:t>
      </w:r>
      <w:r>
        <w:rPr>
          <w:rFonts w:ascii="Times New Roman" w:hAnsi="Times New Roman" w:eastAsia="新宋体" w:cs="Times New Roman"/>
          <w:color w:val="auto"/>
          <w:szCs w:val="24"/>
          <w:lang w:eastAsia="zh-CN"/>
        </w:rPr>
        <w:t>、地下水、土壤和声环境质</w:t>
      </w:r>
      <w:r>
        <w:rPr>
          <w:rFonts w:hint="eastAsia" w:ascii="Times New Roman" w:hAnsi="Times New Roman" w:eastAsia="新宋体" w:cs="Times New Roman"/>
          <w:color w:val="auto"/>
          <w:szCs w:val="24"/>
          <w:lang w:eastAsia="zh-CN"/>
        </w:rPr>
        <w:t>量</w:t>
      </w:r>
      <w:r>
        <w:rPr>
          <w:rFonts w:ascii="Times New Roman" w:hAnsi="Times New Roman" w:eastAsia="新宋体" w:cs="Times New Roman"/>
          <w:color w:val="auto"/>
          <w:szCs w:val="24"/>
          <w:lang w:eastAsia="zh-CN"/>
        </w:rPr>
        <w:t>进行了检测，</w:t>
      </w:r>
      <w:r>
        <w:rPr>
          <w:rFonts w:hint="eastAsia" w:ascii="Times New Roman" w:hAnsi="Times New Roman" w:eastAsia="新宋体" w:cs="Times New Roman"/>
          <w:color w:val="auto"/>
          <w:szCs w:val="24"/>
          <w:lang w:eastAsia="zh-CN"/>
        </w:rPr>
        <w:t>检测结果</w:t>
      </w:r>
      <w:r>
        <w:rPr>
          <w:rFonts w:hint="eastAsia" w:ascii="Times New Roman" w:hAnsi="Times New Roman" w:eastAsia="新宋体" w:cs="Times New Roman"/>
          <w:color w:val="000000" w:themeColor="text1"/>
          <w:szCs w:val="24"/>
          <w:lang w:eastAsia="zh-CN"/>
          <w14:textFill>
            <w14:solidFill>
              <w14:schemeClr w14:val="tx1"/>
            </w14:solidFill>
          </w14:textFill>
        </w:rPr>
        <w:t>表明</w:t>
      </w:r>
      <w:r>
        <w:rPr>
          <w:rFonts w:ascii="Times New Roman" w:hAnsi="Times New Roman" w:eastAsia="新宋体" w:cs="Times New Roman"/>
          <w:color w:val="000000" w:themeColor="text1"/>
          <w:szCs w:val="24"/>
          <w:lang w:eastAsia="zh-CN"/>
          <w14:textFill>
            <w14:solidFill>
              <w14:schemeClr w14:val="tx1"/>
            </w14:solidFill>
          </w14:textFill>
        </w:rPr>
        <w:t>，区域</w:t>
      </w:r>
      <w:r>
        <w:rPr>
          <w:rFonts w:hint="eastAsia" w:ascii="Times New Roman" w:hAnsi="Times New Roman" w:eastAsia="新宋体" w:cs="Times New Roman"/>
          <w:color w:val="auto"/>
          <w:szCs w:val="24"/>
          <w:lang w:eastAsia="zh-CN"/>
        </w:rPr>
        <w:t>大气</w:t>
      </w:r>
      <w:r>
        <w:rPr>
          <w:rFonts w:ascii="Times New Roman" w:hAnsi="Times New Roman" w:eastAsia="新宋体" w:cs="Times New Roman"/>
          <w:color w:val="auto"/>
          <w:szCs w:val="24"/>
          <w:lang w:eastAsia="zh-CN"/>
        </w:rPr>
        <w:t>、地下水、土壤和声环境</w:t>
      </w:r>
      <w:r>
        <w:rPr>
          <w:rFonts w:ascii="Times New Roman" w:hAnsi="Times New Roman" w:eastAsia="新宋体" w:cs="Times New Roman"/>
          <w:color w:val="000000" w:themeColor="text1"/>
          <w:szCs w:val="24"/>
          <w:lang w:eastAsia="zh-CN"/>
          <w14:textFill>
            <w14:solidFill>
              <w14:schemeClr w14:val="tx1"/>
            </w14:solidFill>
          </w14:textFill>
        </w:rPr>
        <w:t>质量现状</w:t>
      </w:r>
      <w:r>
        <w:rPr>
          <w:rFonts w:hint="eastAsia" w:ascii="Times New Roman" w:hAnsi="Times New Roman" w:eastAsia="新宋体" w:cs="Times New Roman"/>
          <w:color w:val="000000" w:themeColor="text1"/>
          <w:szCs w:val="24"/>
          <w:lang w:eastAsia="zh-CN"/>
          <w14:textFill>
            <w14:solidFill>
              <w14:schemeClr w14:val="tx1"/>
            </w14:solidFill>
          </w14:textFill>
        </w:rPr>
        <w:t>能满足相应质量标准要求</w:t>
      </w:r>
      <w:r>
        <w:rPr>
          <w:rFonts w:ascii="Times New Roman" w:hAnsi="Times New Roman" w:eastAsia="新宋体" w:cs="Times New Roman"/>
          <w:color w:val="000000" w:themeColor="text1"/>
          <w:szCs w:val="24"/>
          <w:lang w:eastAsia="zh-CN"/>
          <w14:textFill>
            <w14:solidFill>
              <w14:schemeClr w14:val="tx1"/>
            </w14:solidFill>
          </w14:textFill>
        </w:rPr>
        <w:t>；同时，</w:t>
      </w:r>
      <w:r>
        <w:rPr>
          <w:rFonts w:hint="eastAsia" w:ascii="Times New Roman" w:hAnsi="Times New Roman" w:eastAsia="新宋体" w:cs="Times New Roman"/>
          <w:color w:val="000000" w:themeColor="text1"/>
          <w:szCs w:val="24"/>
          <w:lang w:eastAsia="zh-CN"/>
          <w14:textFill>
            <w14:solidFill>
              <w14:schemeClr w14:val="tx1"/>
            </w14:solidFill>
          </w14:textFill>
        </w:rPr>
        <w:t>根据</w:t>
      </w:r>
      <w:r>
        <w:rPr>
          <w:rFonts w:ascii="Times New Roman" w:hAnsi="Times New Roman" w:eastAsia="新宋体" w:cs="Times New Roman"/>
          <w:color w:val="000000" w:themeColor="text1"/>
          <w:szCs w:val="24"/>
          <w:lang w:eastAsia="zh-CN"/>
          <w14:textFill>
            <w14:solidFill>
              <w14:schemeClr w14:val="tx1"/>
            </w14:solidFill>
          </w14:textFill>
        </w:rPr>
        <w:t>预测结果，项目建成运行后，在落实评价提出的各项污染物防治措施的前提下，各项污染</w:t>
      </w:r>
      <w:r>
        <w:rPr>
          <w:rFonts w:ascii="Times New Roman" w:hAnsi="Times New Roman" w:eastAsia="新宋体" w:cs="Times New Roman"/>
          <w:color w:val="auto"/>
          <w:szCs w:val="24"/>
          <w:lang w:eastAsia="zh-CN"/>
        </w:rPr>
        <w:t>物可以做到达标排放，排放的主要污染物可以满足总量控制指标要求，不会降低区域环境质量的原有功能级别，满足环境质量底线控制要求。</w:t>
      </w:r>
    </w:p>
    <w:p w14:paraId="0A4E6F8F">
      <w:pPr>
        <w:widowControl w:val="0"/>
        <w:topLinePunct/>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 xml:space="preserve">（1）水环境分区管控 </w:t>
      </w:r>
    </w:p>
    <w:p w14:paraId="7E1A70D3">
      <w:pPr>
        <w:widowControl w:val="0"/>
        <w:topLinePunct/>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根据《蚌埠市</w:t>
      </w:r>
      <w:r>
        <w:rPr>
          <w:rFonts w:hint="eastAsia" w:ascii="Times New Roman" w:hAnsi="Times New Roman" w:cs="Times New Roman"/>
          <w:color w:val="auto"/>
          <w:szCs w:val="24"/>
          <w:lang w:eastAsia="zh-CN"/>
        </w:rPr>
        <w:t>生态环境分区管控成果动态更新图集</w:t>
      </w:r>
      <w:r>
        <w:rPr>
          <w:rFonts w:ascii="Times New Roman" w:hAnsi="Times New Roman" w:cs="Times New Roman"/>
          <w:color w:val="auto"/>
          <w:szCs w:val="24"/>
          <w:lang w:eastAsia="zh-CN"/>
        </w:rPr>
        <w:t>》，项目所在区域属于</w:t>
      </w:r>
      <w:r>
        <w:rPr>
          <w:rFonts w:ascii="Times New Roman" w:hAnsi="Times New Roman" w:cs="Times New Roman"/>
          <w:color w:val="auto"/>
          <w:lang w:eastAsia="zh-CN"/>
        </w:rPr>
        <w:t>水环境工业污染重点管控区</w:t>
      </w:r>
      <w:r>
        <w:rPr>
          <w:rFonts w:ascii="Times New Roman" w:hAnsi="Times New Roman" w:cs="Times New Roman"/>
          <w:color w:val="auto"/>
          <w:szCs w:val="24"/>
          <w:lang w:eastAsia="zh-CN"/>
        </w:rPr>
        <w:t>，对照《蚌埠市</w:t>
      </w:r>
      <w:r>
        <w:rPr>
          <w:rFonts w:hint="eastAsia" w:ascii="Times New Roman" w:hAnsi="Times New Roman" w:cs="Times New Roman"/>
          <w:color w:val="auto"/>
          <w:szCs w:val="24"/>
          <w:lang w:eastAsia="zh-CN"/>
        </w:rPr>
        <w:t>生态环境分区管控成果动态更新情况说明</w:t>
      </w:r>
      <w:r>
        <w:rPr>
          <w:rFonts w:ascii="Times New Roman" w:hAnsi="Times New Roman" w:cs="Times New Roman"/>
          <w:color w:val="auto"/>
          <w:szCs w:val="24"/>
          <w:lang w:eastAsia="zh-CN"/>
        </w:rPr>
        <w:t>》，本项目水环境重点管控区协调性分析如下。</w:t>
      </w:r>
    </w:p>
    <w:p w14:paraId="5767517A">
      <w:pPr>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表2.5-</w:t>
      </w:r>
      <w:r>
        <w:rPr>
          <w:rFonts w:hint="eastAsia" w:ascii="Times New Roman" w:hAnsi="Times New Roman" w:cs="Times New Roman"/>
          <w:b/>
          <w:bCs/>
          <w:color w:val="auto"/>
          <w:szCs w:val="24"/>
          <w:lang w:eastAsia="zh-CN"/>
        </w:rPr>
        <w:t>4</w:t>
      </w:r>
      <w:r>
        <w:rPr>
          <w:rFonts w:ascii="Times New Roman" w:hAnsi="Times New Roman" w:cs="Times New Roman"/>
          <w:b/>
          <w:bCs/>
          <w:color w:val="auto"/>
          <w:szCs w:val="24"/>
          <w:lang w:eastAsia="zh-CN"/>
        </w:rPr>
        <w:t xml:space="preserve"> 与水环境分区管控要求的协调性分析</w:t>
      </w:r>
    </w:p>
    <w:tbl>
      <w:tblPr>
        <w:tblStyle w:val="35"/>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00"/>
        <w:gridCol w:w="4742"/>
        <w:gridCol w:w="3404"/>
      </w:tblGrid>
      <w:tr w14:paraId="4BDBDE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33" w:type="dxa"/>
            <w:vAlign w:val="center"/>
          </w:tcPr>
          <w:p w14:paraId="31AD94DB">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管控单元分类</w:t>
            </w:r>
          </w:p>
        </w:tc>
        <w:tc>
          <w:tcPr>
            <w:tcW w:w="4854" w:type="dxa"/>
            <w:vAlign w:val="center"/>
          </w:tcPr>
          <w:p w14:paraId="6B345FBC">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环境管控要求</w:t>
            </w:r>
          </w:p>
        </w:tc>
        <w:tc>
          <w:tcPr>
            <w:tcW w:w="3475" w:type="dxa"/>
            <w:vAlign w:val="center"/>
          </w:tcPr>
          <w:p w14:paraId="5349A8C1">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协调性分析</w:t>
            </w:r>
          </w:p>
        </w:tc>
      </w:tr>
      <w:tr w14:paraId="7122C0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33" w:type="dxa"/>
            <w:vAlign w:val="center"/>
          </w:tcPr>
          <w:p w14:paraId="4D027E16">
            <w:pPr>
              <w:adjustRightInd w:val="0"/>
              <w:snapToGrid w:val="0"/>
              <w:jc w:val="center"/>
              <w:rPr>
                <w:rFonts w:ascii="Times New Roman" w:hAnsi="Times New Roman" w:cs="Times New Roman"/>
                <w:color w:val="auto"/>
                <w:sz w:val="21"/>
                <w:lang w:eastAsia="zh-CN"/>
              </w:rPr>
            </w:pPr>
            <w:r>
              <w:rPr>
                <w:rFonts w:ascii="Times New Roman" w:hAnsi="Times New Roman" w:cs="Times New Roman"/>
                <w:bCs/>
                <w:color w:val="auto"/>
                <w:sz w:val="21"/>
              </w:rPr>
              <w:t>重点管控区</w:t>
            </w:r>
          </w:p>
        </w:tc>
        <w:tc>
          <w:tcPr>
            <w:tcW w:w="4854" w:type="dxa"/>
            <w:vAlign w:val="center"/>
          </w:tcPr>
          <w:p w14:paraId="73ABE0BD">
            <w:pPr>
              <w:adjustRightInd w:val="0"/>
              <w:snapToGrid w:val="0"/>
              <w:jc w:val="center"/>
              <w:rPr>
                <w:rFonts w:ascii="Times New Roman" w:hAnsi="Times New Roman" w:cs="Times New Roman"/>
                <w:color w:val="auto"/>
                <w:sz w:val="21"/>
                <w:lang w:eastAsia="zh-CN"/>
              </w:rPr>
            </w:pPr>
            <w:r>
              <w:rPr>
                <w:rFonts w:cs="Times New Roman"/>
                <w:color w:val="auto"/>
                <w:kern w:val="2"/>
                <w:sz w:val="21"/>
                <w:szCs w:val="24"/>
                <w:lang w:eastAsia="zh-CN"/>
              </w:rPr>
              <w:t>依据《中华人民共和国水污染防治法》《水污染防治行动计划》《安徽省水污染防治工作方案》及各市水污染防治工作方案对重点管控区实施管控；依据《安徽省淮河流域水污染防治条例》对淮河流域实施管控；依据开发区规划、规划环评及审查意见相关要求对开发区实施管控；落实《“十</w:t>
            </w:r>
            <w:r>
              <w:rPr>
                <w:rFonts w:hint="eastAsia" w:cs="Times New Roman"/>
                <w:color w:val="auto"/>
                <w:kern w:val="2"/>
                <w:sz w:val="21"/>
                <w:szCs w:val="24"/>
                <w:lang w:eastAsia="zh-CN"/>
              </w:rPr>
              <w:t>四</w:t>
            </w:r>
            <w:r>
              <w:rPr>
                <w:rFonts w:cs="Times New Roman"/>
                <w:color w:val="auto"/>
                <w:kern w:val="2"/>
                <w:sz w:val="21"/>
                <w:szCs w:val="24"/>
                <w:lang w:eastAsia="zh-CN"/>
              </w:rPr>
              <w:t>五”生态环境保护规划》《安徽省“十</w:t>
            </w:r>
            <w:r>
              <w:rPr>
                <w:rFonts w:hint="eastAsia" w:cs="Times New Roman"/>
                <w:color w:val="auto"/>
                <w:kern w:val="2"/>
                <w:sz w:val="21"/>
                <w:szCs w:val="24"/>
                <w:lang w:eastAsia="zh-CN"/>
              </w:rPr>
              <w:t>四</w:t>
            </w:r>
            <w:r>
              <w:rPr>
                <w:rFonts w:cs="Times New Roman"/>
                <w:color w:val="auto"/>
                <w:kern w:val="2"/>
                <w:sz w:val="21"/>
                <w:szCs w:val="24"/>
                <w:lang w:eastAsia="zh-CN"/>
              </w:rPr>
              <w:t>五”环境保护规划》《安徽省“十</w:t>
            </w:r>
            <w:r>
              <w:rPr>
                <w:rFonts w:hint="eastAsia" w:cs="Times New Roman"/>
                <w:color w:val="auto"/>
                <w:kern w:val="2"/>
                <w:sz w:val="21"/>
                <w:szCs w:val="24"/>
                <w:lang w:eastAsia="zh-CN"/>
              </w:rPr>
              <w:t>四</w:t>
            </w:r>
            <w:r>
              <w:rPr>
                <w:rFonts w:cs="Times New Roman"/>
                <w:color w:val="auto"/>
                <w:kern w:val="2"/>
                <w:sz w:val="21"/>
                <w:szCs w:val="24"/>
                <w:lang w:eastAsia="zh-CN"/>
              </w:rPr>
              <w:t>五”节能减排实施方案》等要求，新建、改建和扩建项目水污染物实施“等量替代”。</w:t>
            </w:r>
          </w:p>
        </w:tc>
        <w:tc>
          <w:tcPr>
            <w:tcW w:w="3475" w:type="dxa"/>
            <w:vAlign w:val="center"/>
          </w:tcPr>
          <w:p w14:paraId="23D9AF31">
            <w:pPr>
              <w:adjustRightInd w:val="0"/>
              <w:snapToGrid w:val="0"/>
              <w:jc w:val="center"/>
              <w:rPr>
                <w:rFonts w:ascii="Times New Roman" w:hAnsi="Times New Roman" w:cs="Times New Roman"/>
                <w:bCs/>
                <w:color w:val="FF0000"/>
                <w:sz w:val="21"/>
                <w:lang w:eastAsia="zh-CN"/>
              </w:rPr>
            </w:pPr>
            <w:r>
              <w:rPr>
                <w:rFonts w:hint="eastAsia" w:ascii="Times New Roman" w:hAnsi="Times New Roman" w:cs="Times New Roman"/>
                <w:bCs/>
                <w:color w:val="auto"/>
                <w:sz w:val="21"/>
                <w:lang w:eastAsia="zh-CN"/>
              </w:rPr>
              <w:t>本项目废水依托现有厂区污水处理设施处理达接管标准后排入沫河口污水处理厂，项目排放废水量较小，对周边地表水环境影响较小，不会降低区域地表水环境功能。</w:t>
            </w:r>
            <w:r>
              <w:rPr>
                <w:rFonts w:ascii="Times New Roman" w:hAnsi="Times New Roman" w:cs="Times New Roman"/>
                <w:bCs/>
                <w:color w:val="auto"/>
                <w:sz w:val="21"/>
                <w:lang w:eastAsia="zh-CN"/>
              </w:rPr>
              <w:t>项目符合《安徽省淮河流域水污染防治条例》、园区规划、规划环评及审查意见相关要求、《安徽省“十四五”生态环境保护规划》等规划要求</w:t>
            </w:r>
          </w:p>
        </w:tc>
      </w:tr>
    </w:tbl>
    <w:p w14:paraId="5D3DA07E">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 xml:space="preserve">（2）大气环境分区管控要求 </w:t>
      </w:r>
    </w:p>
    <w:p w14:paraId="2042DBEA">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根据《蚌埠市</w:t>
      </w:r>
      <w:r>
        <w:rPr>
          <w:rFonts w:hint="eastAsia" w:ascii="Times New Roman" w:hAnsi="Times New Roman" w:cs="Times New Roman"/>
          <w:color w:val="auto"/>
          <w:szCs w:val="24"/>
          <w:lang w:eastAsia="zh-CN"/>
        </w:rPr>
        <w:t>生态环境分区管控成果动态更新图集</w:t>
      </w:r>
      <w:r>
        <w:rPr>
          <w:rFonts w:ascii="Times New Roman" w:hAnsi="Times New Roman" w:cs="Times New Roman"/>
          <w:color w:val="auto"/>
          <w:szCs w:val="24"/>
          <w:lang w:eastAsia="zh-CN"/>
        </w:rPr>
        <w:t>》，项目所在区域属于大气环境高排放重点管控区，对照《蚌埠市</w:t>
      </w:r>
      <w:r>
        <w:rPr>
          <w:rFonts w:hint="eastAsia" w:ascii="Times New Roman" w:hAnsi="Times New Roman" w:cs="Times New Roman"/>
          <w:color w:val="auto"/>
          <w:szCs w:val="24"/>
          <w:lang w:eastAsia="zh-CN"/>
        </w:rPr>
        <w:t>生态环境分区管控成果动态更新情况说明</w:t>
      </w:r>
      <w:r>
        <w:rPr>
          <w:rFonts w:ascii="Times New Roman" w:hAnsi="Times New Roman" w:cs="Times New Roman"/>
          <w:color w:val="auto"/>
          <w:szCs w:val="24"/>
          <w:lang w:eastAsia="zh-CN"/>
        </w:rPr>
        <w:t>》，本项目大气环境重点管控区协调性分析如下。</w:t>
      </w:r>
    </w:p>
    <w:p w14:paraId="3FFB6731">
      <w:pPr>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表2.5-</w:t>
      </w:r>
      <w:r>
        <w:rPr>
          <w:rFonts w:hint="eastAsia" w:ascii="Times New Roman" w:hAnsi="Times New Roman" w:cs="Times New Roman"/>
          <w:b/>
          <w:bCs/>
          <w:color w:val="auto"/>
          <w:szCs w:val="24"/>
          <w:lang w:eastAsia="zh-CN"/>
        </w:rPr>
        <w:t>5</w:t>
      </w:r>
      <w:r>
        <w:rPr>
          <w:rFonts w:ascii="Times New Roman" w:hAnsi="Times New Roman" w:cs="Times New Roman"/>
          <w:b/>
          <w:bCs/>
          <w:color w:val="auto"/>
          <w:szCs w:val="24"/>
          <w:lang w:eastAsia="zh-CN"/>
        </w:rPr>
        <w:t xml:space="preserve"> 与大气环境分区管控要求的协调性分析</w:t>
      </w:r>
    </w:p>
    <w:tbl>
      <w:tblPr>
        <w:tblStyle w:val="35"/>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00"/>
        <w:gridCol w:w="4496"/>
        <w:gridCol w:w="3650"/>
      </w:tblGrid>
      <w:tr w14:paraId="17D79C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00" w:type="dxa"/>
            <w:vAlign w:val="center"/>
          </w:tcPr>
          <w:p w14:paraId="2AB28BB5">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管控单元分类</w:t>
            </w:r>
          </w:p>
        </w:tc>
        <w:tc>
          <w:tcPr>
            <w:tcW w:w="4496" w:type="dxa"/>
            <w:vAlign w:val="center"/>
          </w:tcPr>
          <w:p w14:paraId="1EA66E7B">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环境管控要求</w:t>
            </w:r>
          </w:p>
        </w:tc>
        <w:tc>
          <w:tcPr>
            <w:tcW w:w="3650" w:type="dxa"/>
            <w:vAlign w:val="center"/>
          </w:tcPr>
          <w:p w14:paraId="71E92259">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协调性分析</w:t>
            </w:r>
          </w:p>
        </w:tc>
      </w:tr>
      <w:tr w14:paraId="51AF9A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00" w:type="dxa"/>
            <w:vAlign w:val="center"/>
          </w:tcPr>
          <w:p w14:paraId="45AE0B58">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重点管控区</w:t>
            </w:r>
          </w:p>
        </w:tc>
        <w:tc>
          <w:tcPr>
            <w:tcW w:w="4496" w:type="dxa"/>
            <w:vAlign w:val="center"/>
          </w:tcPr>
          <w:p w14:paraId="40F617B8">
            <w:pPr>
              <w:adjustRightInd w:val="0"/>
              <w:snapToGrid w:val="0"/>
              <w:jc w:val="center"/>
              <w:rPr>
                <w:rFonts w:ascii="Times New Roman" w:hAnsi="Times New Roman" w:cs="Times New Roman"/>
                <w:color w:val="auto"/>
                <w:sz w:val="21"/>
                <w:lang w:eastAsia="zh-CN"/>
              </w:rPr>
            </w:pPr>
            <w:r>
              <w:rPr>
                <w:rFonts w:ascii="Times New Roman" w:hAnsi="Times New Roman" w:cs="Times New Roman"/>
                <w:bCs/>
                <w:color w:val="auto"/>
                <w:kern w:val="2"/>
                <w:sz w:val="21"/>
                <w:lang w:eastAsia="zh-CN"/>
              </w:rPr>
              <w:t>落实《“十四五”生态环境保护规划》《安徽省“十四五”环境保护规划》《蚌埠市“十四五”生态环境保护规划》、中共蚌埠市委 蚌埠市人民政府关于印发《深入打好污染防治攻坚战实施方案》的通知等要求，严格落实目标，加强环境监管，促进生态环境质量好转。上年度PM</w:t>
            </w:r>
            <w:r>
              <w:rPr>
                <w:rFonts w:ascii="Times New Roman" w:hAnsi="Times New Roman" w:cs="Times New Roman"/>
                <w:bCs/>
                <w:color w:val="auto"/>
                <w:kern w:val="2"/>
                <w:sz w:val="21"/>
                <w:vertAlign w:val="subscript"/>
                <w:lang w:eastAsia="zh-CN"/>
              </w:rPr>
              <w:t>2.5</w:t>
            </w:r>
            <w:r>
              <w:rPr>
                <w:rFonts w:ascii="Times New Roman" w:hAnsi="Times New Roman" w:cs="Times New Roman"/>
                <w:bCs/>
                <w:color w:val="auto"/>
                <w:kern w:val="2"/>
                <w:sz w:val="21"/>
                <w:lang w:eastAsia="zh-CN"/>
              </w:rPr>
              <w:t>不达标城市新建、改建和扩建项目大气污染物实施“倍量替代”，执行特别排放标准的行业实施提标升级改造。</w:t>
            </w:r>
          </w:p>
        </w:tc>
        <w:tc>
          <w:tcPr>
            <w:tcW w:w="3650" w:type="dxa"/>
            <w:vAlign w:val="center"/>
          </w:tcPr>
          <w:p w14:paraId="3BF8C523">
            <w:pPr>
              <w:adjustRightInd w:val="0"/>
              <w:snapToGrid w:val="0"/>
              <w:jc w:val="center"/>
              <w:rPr>
                <w:rFonts w:ascii="Times New Roman" w:hAnsi="Times New Roman" w:cs="Times New Roman"/>
                <w:bCs/>
                <w:color w:val="FF0000"/>
                <w:sz w:val="21"/>
                <w:lang w:eastAsia="zh-CN"/>
              </w:rPr>
            </w:pPr>
            <w:r>
              <w:rPr>
                <w:rFonts w:hint="eastAsia" w:ascii="Times New Roman" w:hAnsi="Times New Roman" w:cs="Times New Roman"/>
                <w:bCs/>
                <w:color w:val="auto"/>
                <w:sz w:val="21"/>
                <w:lang w:eastAsia="zh-CN"/>
              </w:rPr>
              <w:t>项目所在区域属于不达标区，不达标因子为PM</w:t>
            </w:r>
            <w:r>
              <w:rPr>
                <w:rFonts w:hint="eastAsia" w:ascii="Times New Roman" w:hAnsi="Times New Roman" w:cs="Times New Roman"/>
                <w:bCs/>
                <w:color w:val="auto"/>
                <w:sz w:val="21"/>
                <w:vertAlign w:val="subscript"/>
                <w:lang w:eastAsia="zh-CN"/>
              </w:rPr>
              <w:t>2.5</w:t>
            </w:r>
            <w:r>
              <w:rPr>
                <w:rFonts w:hint="eastAsia" w:ascii="Times New Roman" w:hAnsi="Times New Roman" w:cs="Times New Roman"/>
                <w:bCs/>
                <w:color w:val="auto"/>
                <w:sz w:val="21"/>
                <w:lang w:eastAsia="zh-CN"/>
              </w:rPr>
              <w:t>。本项目废气通过相应废气治理设施处理后均可达标排放。因此，项目建成后废气污染物对周边大气环境影响较小，不会降低区域大气环境功能。本项目废气污染物主要为氟化物、氯化氢，废气无需申请总量。</w:t>
            </w:r>
          </w:p>
        </w:tc>
      </w:tr>
    </w:tbl>
    <w:p w14:paraId="58CC77FE">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 xml:space="preserve">（3）土壤环境分区管控要求 </w:t>
      </w:r>
    </w:p>
    <w:p w14:paraId="37243320">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根据《蚌埠市</w:t>
      </w:r>
      <w:r>
        <w:rPr>
          <w:rFonts w:hint="eastAsia" w:ascii="Times New Roman" w:hAnsi="Times New Roman" w:cs="Times New Roman"/>
          <w:color w:val="auto"/>
          <w:szCs w:val="24"/>
          <w:lang w:eastAsia="zh-CN"/>
        </w:rPr>
        <w:t>生态环境分区管控成果动态更新图集</w:t>
      </w:r>
      <w:r>
        <w:rPr>
          <w:rFonts w:ascii="Times New Roman" w:hAnsi="Times New Roman" w:cs="Times New Roman"/>
          <w:color w:val="auto"/>
          <w:szCs w:val="24"/>
          <w:lang w:eastAsia="zh-CN"/>
        </w:rPr>
        <w:t>》，项目所在区域属于</w:t>
      </w:r>
      <w:r>
        <w:rPr>
          <w:rFonts w:ascii="Times New Roman" w:hAnsi="Times New Roman" w:cs="Times New Roman"/>
          <w:color w:val="auto"/>
          <w:lang w:eastAsia="zh-CN"/>
        </w:rPr>
        <w:t>土壤环境</w:t>
      </w:r>
      <w:r>
        <w:rPr>
          <w:rFonts w:hint="eastAsia" w:ascii="Times New Roman" w:hAnsi="Times New Roman" w:cs="Times New Roman"/>
          <w:color w:val="auto"/>
          <w:lang w:eastAsia="zh-CN"/>
        </w:rPr>
        <w:t>重点</w:t>
      </w:r>
      <w:r>
        <w:rPr>
          <w:rFonts w:ascii="Times New Roman" w:hAnsi="Times New Roman" w:cs="Times New Roman"/>
          <w:color w:val="auto"/>
          <w:lang w:eastAsia="zh-CN"/>
        </w:rPr>
        <w:t>管控区</w:t>
      </w:r>
      <w:r>
        <w:rPr>
          <w:rFonts w:ascii="Times New Roman" w:hAnsi="Times New Roman" w:cs="Times New Roman"/>
          <w:color w:val="auto"/>
          <w:szCs w:val="24"/>
          <w:lang w:eastAsia="zh-CN"/>
        </w:rPr>
        <w:t>，对照《蚌埠市</w:t>
      </w:r>
      <w:r>
        <w:rPr>
          <w:rFonts w:hint="eastAsia" w:ascii="Times New Roman" w:hAnsi="Times New Roman" w:cs="Times New Roman"/>
          <w:color w:val="auto"/>
          <w:szCs w:val="24"/>
          <w:lang w:eastAsia="zh-CN"/>
        </w:rPr>
        <w:t>生态环境分区管控成果动态更新情况说明</w:t>
      </w:r>
      <w:r>
        <w:rPr>
          <w:rFonts w:ascii="Times New Roman" w:hAnsi="Times New Roman" w:cs="Times New Roman"/>
          <w:color w:val="auto"/>
          <w:szCs w:val="24"/>
          <w:lang w:eastAsia="zh-CN"/>
        </w:rPr>
        <w:t>》，本项目</w:t>
      </w:r>
      <w:r>
        <w:rPr>
          <w:rFonts w:ascii="Times New Roman" w:hAnsi="Times New Roman" w:cs="Times New Roman"/>
          <w:color w:val="auto"/>
          <w:lang w:eastAsia="zh-CN"/>
        </w:rPr>
        <w:t>土壤环境</w:t>
      </w:r>
      <w:r>
        <w:rPr>
          <w:rFonts w:hint="eastAsia" w:ascii="Times New Roman" w:hAnsi="Times New Roman" w:cs="Times New Roman"/>
          <w:color w:val="auto"/>
          <w:lang w:eastAsia="zh-CN"/>
        </w:rPr>
        <w:t>重点</w:t>
      </w:r>
      <w:r>
        <w:rPr>
          <w:rFonts w:ascii="Times New Roman" w:hAnsi="Times New Roman" w:cs="Times New Roman"/>
          <w:color w:val="auto"/>
          <w:lang w:eastAsia="zh-CN"/>
        </w:rPr>
        <w:t>管控区</w:t>
      </w:r>
      <w:r>
        <w:rPr>
          <w:rFonts w:ascii="Times New Roman" w:hAnsi="Times New Roman" w:cs="Times New Roman"/>
          <w:color w:val="auto"/>
          <w:szCs w:val="24"/>
          <w:lang w:eastAsia="zh-CN"/>
        </w:rPr>
        <w:t>协调性分析如下。</w:t>
      </w:r>
    </w:p>
    <w:p w14:paraId="02CA2307">
      <w:pPr>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表2.5-</w:t>
      </w:r>
      <w:r>
        <w:rPr>
          <w:rFonts w:hint="eastAsia" w:ascii="Times New Roman" w:hAnsi="Times New Roman" w:cs="Times New Roman"/>
          <w:b/>
          <w:bCs/>
          <w:color w:val="auto"/>
          <w:szCs w:val="24"/>
          <w:lang w:eastAsia="zh-CN"/>
        </w:rPr>
        <w:t>6</w:t>
      </w:r>
      <w:r>
        <w:rPr>
          <w:rFonts w:ascii="Times New Roman" w:hAnsi="Times New Roman" w:cs="Times New Roman"/>
          <w:b/>
          <w:bCs/>
          <w:color w:val="auto"/>
          <w:szCs w:val="24"/>
          <w:lang w:eastAsia="zh-CN"/>
        </w:rPr>
        <w:t xml:space="preserve"> 与土壤环境风险防控分区管控要求的协调性分析</w:t>
      </w:r>
    </w:p>
    <w:tbl>
      <w:tblPr>
        <w:tblStyle w:val="35"/>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00"/>
        <w:gridCol w:w="4921"/>
        <w:gridCol w:w="3225"/>
      </w:tblGrid>
      <w:tr w14:paraId="71EEF4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00" w:type="dxa"/>
            <w:vAlign w:val="center"/>
          </w:tcPr>
          <w:p w14:paraId="1FAE7333">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管控单元分类</w:t>
            </w:r>
          </w:p>
        </w:tc>
        <w:tc>
          <w:tcPr>
            <w:tcW w:w="4921" w:type="dxa"/>
            <w:vAlign w:val="center"/>
          </w:tcPr>
          <w:p w14:paraId="02863317">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环境管控要求</w:t>
            </w:r>
          </w:p>
        </w:tc>
        <w:tc>
          <w:tcPr>
            <w:tcW w:w="3225" w:type="dxa"/>
            <w:vAlign w:val="center"/>
          </w:tcPr>
          <w:p w14:paraId="7162AF60">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协调性分析</w:t>
            </w:r>
          </w:p>
        </w:tc>
      </w:tr>
      <w:tr w14:paraId="5E170D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00" w:type="dxa"/>
            <w:vAlign w:val="center"/>
          </w:tcPr>
          <w:p w14:paraId="772CA878">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bCs/>
                <w:color w:val="auto"/>
                <w:sz w:val="21"/>
                <w:lang w:eastAsia="zh-CN"/>
              </w:rPr>
              <w:t>重点</w:t>
            </w:r>
            <w:r>
              <w:rPr>
                <w:rFonts w:ascii="Times New Roman" w:hAnsi="Times New Roman" w:cs="Times New Roman"/>
                <w:bCs/>
                <w:color w:val="auto"/>
                <w:sz w:val="21"/>
              </w:rPr>
              <w:t>管控区</w:t>
            </w:r>
          </w:p>
        </w:tc>
        <w:tc>
          <w:tcPr>
            <w:tcW w:w="4921" w:type="dxa"/>
            <w:vAlign w:val="center"/>
          </w:tcPr>
          <w:p w14:paraId="074802E7">
            <w:pPr>
              <w:adjustRightInd w:val="0"/>
              <w:snapToGrid w:val="0"/>
              <w:jc w:val="center"/>
              <w:rPr>
                <w:rFonts w:ascii="Times New Roman" w:hAnsi="Times New Roman" w:cs="Times New Roman"/>
                <w:color w:val="auto"/>
                <w:sz w:val="21"/>
                <w:lang w:eastAsia="zh-CN"/>
              </w:rPr>
            </w:pPr>
            <w:r>
              <w:rPr>
                <w:rFonts w:cs="Times New Roman"/>
                <w:color w:val="auto"/>
                <w:kern w:val="2"/>
                <w:sz w:val="21"/>
                <w:szCs w:val="24"/>
                <w:lang w:eastAsia="zh-CN"/>
              </w:rPr>
              <w:t>落实《中华人民共和国土壤污染防治法》《土壤污染防治行动计划》《农用地土壤环境管理办法（试行）》《工矿用地土壤环境管理办法（试行）》《“十</w:t>
            </w:r>
            <w:r>
              <w:rPr>
                <w:rFonts w:hint="eastAsia" w:cs="Times New Roman"/>
                <w:color w:val="auto"/>
                <w:kern w:val="2"/>
                <w:sz w:val="21"/>
                <w:szCs w:val="24"/>
                <w:lang w:eastAsia="zh-CN"/>
              </w:rPr>
              <w:t>四</w:t>
            </w:r>
            <w:r>
              <w:rPr>
                <w:rFonts w:cs="Times New Roman"/>
                <w:color w:val="auto"/>
                <w:kern w:val="2"/>
                <w:sz w:val="21"/>
                <w:szCs w:val="24"/>
                <w:lang w:eastAsia="zh-CN"/>
              </w:rPr>
              <w:t>五”生态环境保护规划》《安徽省“十</w:t>
            </w:r>
            <w:r>
              <w:rPr>
                <w:rFonts w:hint="eastAsia" w:cs="Times New Roman"/>
                <w:color w:val="auto"/>
                <w:kern w:val="2"/>
                <w:sz w:val="21"/>
                <w:szCs w:val="24"/>
                <w:lang w:eastAsia="zh-CN"/>
              </w:rPr>
              <w:t>四</w:t>
            </w:r>
            <w:r>
              <w:rPr>
                <w:rFonts w:cs="Times New Roman"/>
                <w:color w:val="auto"/>
                <w:kern w:val="2"/>
                <w:sz w:val="21"/>
                <w:szCs w:val="24"/>
                <w:lang w:eastAsia="zh-CN"/>
              </w:rPr>
              <w:t>五”环境保护规划》《</w:t>
            </w:r>
            <w:r>
              <w:rPr>
                <w:rFonts w:hint="eastAsia" w:cs="Times New Roman"/>
                <w:color w:val="auto"/>
                <w:kern w:val="2"/>
                <w:sz w:val="21"/>
                <w:szCs w:val="24"/>
                <w:lang w:eastAsia="zh-CN"/>
              </w:rPr>
              <w:t>安徽省重金属污染防控工作方案</w:t>
            </w:r>
            <w:r>
              <w:rPr>
                <w:rFonts w:cs="Times New Roman"/>
                <w:color w:val="auto"/>
                <w:kern w:val="2"/>
                <w:sz w:val="21"/>
                <w:szCs w:val="24"/>
                <w:lang w:eastAsia="zh-CN"/>
              </w:rPr>
              <w:t>》</w:t>
            </w:r>
            <w:r>
              <w:rPr>
                <w:rFonts w:hint="eastAsia" w:cs="Times New Roman"/>
                <w:color w:val="auto"/>
                <w:kern w:val="2"/>
                <w:sz w:val="21"/>
                <w:szCs w:val="24"/>
                <w:lang w:eastAsia="zh-CN"/>
              </w:rPr>
              <w:t>《蚌埠市</w:t>
            </w:r>
            <w:r>
              <w:rPr>
                <w:rFonts w:ascii="Times New Roman" w:hAnsi="Times New Roman" w:cs="Times New Roman"/>
                <w:color w:val="auto"/>
                <w:kern w:val="2"/>
                <w:sz w:val="21"/>
                <w:szCs w:val="24"/>
                <w:lang w:eastAsia="zh-CN"/>
              </w:rPr>
              <w:t>十四五生态环境保护规划》《蚌埠市土壤污染防治规划（2021-2025年）》《</w:t>
            </w:r>
            <w:r>
              <w:rPr>
                <w:rFonts w:hint="eastAsia" w:cs="Times New Roman"/>
                <w:color w:val="auto"/>
                <w:kern w:val="2"/>
                <w:sz w:val="21"/>
                <w:szCs w:val="24"/>
                <w:lang w:eastAsia="zh-CN"/>
              </w:rPr>
              <w:t>蚌埠市“十四五”危险废物工业固体废物污染环境防治规划》《蚌埠市医疗废物管理条例》</w:t>
            </w:r>
            <w:r>
              <w:rPr>
                <w:rFonts w:cs="Times New Roman"/>
                <w:color w:val="auto"/>
                <w:kern w:val="2"/>
                <w:sz w:val="21"/>
                <w:szCs w:val="24"/>
                <w:lang w:eastAsia="zh-CN"/>
              </w:rPr>
              <w:t>等要求，防止土壤污染风险。</w:t>
            </w:r>
          </w:p>
        </w:tc>
        <w:tc>
          <w:tcPr>
            <w:tcW w:w="3225" w:type="dxa"/>
            <w:vAlign w:val="center"/>
          </w:tcPr>
          <w:p w14:paraId="70A3FC68">
            <w:pPr>
              <w:adjustRightInd w:val="0"/>
              <w:snapToGrid w:val="0"/>
              <w:jc w:val="center"/>
              <w:rPr>
                <w:rFonts w:ascii="Times New Roman" w:hAnsi="Times New Roman" w:cs="Times New Roman"/>
                <w:bCs/>
                <w:color w:val="auto"/>
                <w:sz w:val="21"/>
                <w:lang w:eastAsia="zh-CN"/>
              </w:rPr>
            </w:pPr>
            <w:r>
              <w:rPr>
                <w:rFonts w:hint="eastAsia" w:ascii="Times New Roman" w:hAnsi="Times New Roman" w:cs="Times New Roman"/>
                <w:bCs/>
                <w:color w:val="auto"/>
                <w:sz w:val="21"/>
                <w:lang w:eastAsia="zh-CN"/>
              </w:rPr>
              <w:t>本项目建成后对厂区采取分区防渗措施，综合车间、刻蚀液混配车间、无水氟化氢库房、丁类仓库、原料及产品罐区、戊类罐区二、污水处理站及管网、</w:t>
            </w:r>
            <w:r>
              <w:rPr>
                <w:rFonts w:ascii="Times New Roman" w:hAnsi="Times New Roman" w:cs="Times New Roman"/>
                <w:bCs/>
                <w:color w:val="auto"/>
                <w:sz w:val="21"/>
                <w:lang w:eastAsia="zh-CN"/>
              </w:rPr>
              <w:t>事故应急池、初期雨水池、危废库</w:t>
            </w:r>
            <w:r>
              <w:rPr>
                <w:rFonts w:hint="eastAsia" w:ascii="Times New Roman" w:hAnsi="Times New Roman" w:cs="Times New Roman"/>
                <w:bCs/>
                <w:color w:val="auto"/>
                <w:sz w:val="21"/>
                <w:lang w:eastAsia="zh-CN"/>
              </w:rPr>
              <w:t>等实施重点防渗，</w:t>
            </w:r>
            <w:r>
              <w:rPr>
                <w:rFonts w:ascii="Times New Roman" w:hAnsi="Times New Roman" w:cs="Times New Roman"/>
                <w:bCs/>
                <w:color w:val="auto"/>
                <w:sz w:val="21"/>
                <w:lang w:eastAsia="zh-CN"/>
              </w:rPr>
              <w:t>同时将进一步加强对土壤的跟踪管理和监控，预防对土壤产生不利影响</w:t>
            </w:r>
          </w:p>
        </w:tc>
      </w:tr>
    </w:tbl>
    <w:p w14:paraId="35635631">
      <w:pPr>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3</w:t>
      </w:r>
      <w:r>
        <w:rPr>
          <w:rFonts w:ascii="Times New Roman" w:hAnsi="Times New Roman" w:cs="Times New Roman"/>
          <w:color w:val="auto"/>
          <w:szCs w:val="24"/>
          <w:lang w:eastAsia="zh-CN"/>
        </w:rPr>
        <w:t>、资源利用上线</w:t>
      </w:r>
    </w:p>
    <w:p w14:paraId="3EEE73C3">
      <w:pPr>
        <w:spacing w:line="360" w:lineRule="auto"/>
        <w:ind w:firstLine="480" w:firstLineChars="200"/>
        <w:jc w:val="both"/>
        <w:rPr>
          <w:rFonts w:ascii="Times New Roman" w:hAnsi="Times New Roman" w:cs="Times New Roman"/>
          <w:color w:val="auto"/>
          <w:szCs w:val="24"/>
          <w:lang w:eastAsia="zh-CN"/>
        </w:rPr>
      </w:pPr>
      <w:bookmarkStart w:id="391" w:name="_Hlk163833921"/>
      <w:r>
        <w:rPr>
          <w:rFonts w:ascii="Times New Roman" w:hAnsi="Times New Roman" w:cs="Times New Roman"/>
          <w:color w:val="auto"/>
          <w:szCs w:val="24"/>
          <w:lang w:eastAsia="zh-CN"/>
        </w:rPr>
        <w:t>拟建项目位于蚌埠精细化工高新技术产业基地内，项目用地性质为工业用地，项目利用</w:t>
      </w:r>
      <w:r>
        <w:rPr>
          <w:rFonts w:hint="eastAsia" w:ascii="Times New Roman" w:hAnsi="Times New Roman" w:cs="Times New Roman"/>
          <w:color w:val="auto"/>
          <w:szCs w:val="24"/>
          <w:lang w:eastAsia="zh-CN"/>
        </w:rPr>
        <w:t>园区内土地</w:t>
      </w:r>
      <w:r>
        <w:rPr>
          <w:rFonts w:ascii="Times New Roman" w:hAnsi="Times New Roman" w:cs="Times New Roman"/>
          <w:color w:val="auto"/>
          <w:szCs w:val="24"/>
          <w:lang w:eastAsia="zh-CN"/>
        </w:rPr>
        <w:t>，项目未突破开发区土地资源总量上限的要求；项目用水取自园区给水管网，园区供水系统富余能力完全满足本项目需求。</w:t>
      </w:r>
    </w:p>
    <w:p w14:paraId="77F3089F">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本项目生产设备使用能源为电能，采用园区供电，区域电网能够满足本项目供电需要。</w:t>
      </w:r>
    </w:p>
    <w:p w14:paraId="1290557E">
      <w:pPr>
        <w:spacing w:line="360" w:lineRule="auto"/>
        <w:ind w:firstLine="480" w:firstLineChars="200"/>
        <w:jc w:val="both"/>
        <w:rPr>
          <w:rFonts w:ascii="Times New Roman" w:hAnsi="Times New Roman" w:cs="Times New Roman"/>
          <w:color w:val="auto"/>
          <w:szCs w:val="24"/>
          <w:lang w:val="zh-CN" w:eastAsia="zh-CN"/>
        </w:rPr>
      </w:pPr>
      <w:r>
        <w:rPr>
          <w:rFonts w:ascii="Times New Roman" w:hAnsi="Times New Roman" w:cs="Times New Roman"/>
          <w:color w:val="auto"/>
          <w:szCs w:val="24"/>
          <w:lang w:eastAsia="zh-CN"/>
        </w:rPr>
        <w:t>因此，拟建项目资源利用均在蚌埠精细化工高新技术产业基地可承受范围内，</w:t>
      </w:r>
      <w:r>
        <w:rPr>
          <w:rFonts w:ascii="Times New Roman" w:hAnsi="Times New Roman" w:cs="Times New Roman"/>
          <w:color w:val="auto"/>
          <w:szCs w:val="24"/>
          <w:lang w:val="zh-CN" w:eastAsia="zh-CN"/>
        </w:rPr>
        <w:t>项目建设符合资源利用上线要求</w:t>
      </w:r>
      <w:bookmarkEnd w:id="391"/>
      <w:r>
        <w:rPr>
          <w:rFonts w:ascii="Times New Roman" w:hAnsi="Times New Roman" w:cs="Times New Roman"/>
          <w:color w:val="auto"/>
          <w:szCs w:val="24"/>
          <w:lang w:val="zh-CN" w:eastAsia="zh-CN"/>
        </w:rPr>
        <w:t>。</w:t>
      </w:r>
    </w:p>
    <w:p w14:paraId="7C60BFD5">
      <w:pPr>
        <w:topLinePunct/>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 xml:space="preserve">4、生态环境准入清单 </w:t>
      </w:r>
    </w:p>
    <w:p w14:paraId="26AC460B">
      <w:pPr>
        <w:topLinePunct/>
        <w:spacing w:line="360" w:lineRule="auto"/>
        <w:ind w:firstLine="480" w:firstLineChars="200"/>
        <w:jc w:val="both"/>
        <w:rPr>
          <w:rFonts w:ascii="Times New Roman" w:hAnsi="Times New Roman" w:eastAsia="新宋体" w:cs="Times New Roman"/>
          <w:color w:val="auto"/>
          <w:szCs w:val="24"/>
          <w:lang w:eastAsia="zh-CN"/>
        </w:rPr>
      </w:pPr>
      <w:r>
        <w:rPr>
          <w:rFonts w:hint="eastAsia" w:ascii="Times New Roman" w:hAnsi="Times New Roman" w:eastAsia="新宋体" w:cs="Times New Roman"/>
          <w:color w:val="auto"/>
          <w:szCs w:val="24"/>
          <w:lang w:eastAsia="zh-CN"/>
        </w:rPr>
        <w:t>根据</w:t>
      </w:r>
      <w:r>
        <w:rPr>
          <w:rFonts w:ascii="Times New Roman" w:hAnsi="Times New Roman" w:eastAsia="新宋体" w:cs="Times New Roman"/>
          <w:color w:val="auto"/>
          <w:szCs w:val="24"/>
          <w:lang w:eastAsia="zh-CN"/>
        </w:rPr>
        <w:t>蚌埠市生态环境分区管控成果动态更新生态环境准入清单</w:t>
      </w:r>
      <w:r>
        <w:rPr>
          <w:rFonts w:hint="eastAsia" w:ascii="Times New Roman" w:hAnsi="Times New Roman" w:eastAsia="新宋体" w:cs="Times New Roman"/>
          <w:color w:val="auto"/>
          <w:szCs w:val="24"/>
          <w:lang w:eastAsia="zh-CN"/>
        </w:rPr>
        <w:t>，本项目位于蚌埠精细化工高新技术产业基地，属于大气、水、土壤重点管控区，与生态环境准入清单符合性分析</w:t>
      </w:r>
      <w:r>
        <w:rPr>
          <w:rFonts w:ascii="Times New Roman" w:hAnsi="Times New Roman" w:eastAsia="新宋体" w:cs="Times New Roman"/>
          <w:color w:val="auto"/>
          <w:szCs w:val="24"/>
          <w:lang w:eastAsia="zh-CN"/>
        </w:rPr>
        <w:t>见下表。</w:t>
      </w:r>
    </w:p>
    <w:p w14:paraId="3A07CA9F">
      <w:pPr>
        <w:pStyle w:val="42"/>
        <w:spacing w:line="360" w:lineRule="auto"/>
        <w:jc w:val="center"/>
        <w:rPr>
          <w:rFonts w:eastAsia="新宋体"/>
          <w:b/>
          <w:bCs/>
          <w:color w:val="auto"/>
        </w:rPr>
      </w:pPr>
      <w:r>
        <w:rPr>
          <w:rFonts w:eastAsia="新宋体"/>
          <w:b/>
          <w:bCs/>
          <w:color w:val="auto"/>
        </w:rPr>
        <w:t>表2.5-</w:t>
      </w:r>
      <w:r>
        <w:rPr>
          <w:rFonts w:hint="eastAsia" w:eastAsia="新宋体"/>
          <w:b/>
          <w:bCs/>
          <w:color w:val="auto"/>
        </w:rPr>
        <w:t xml:space="preserve">7 </w:t>
      </w:r>
      <w:r>
        <w:rPr>
          <w:rFonts w:eastAsia="新宋体"/>
          <w:b/>
          <w:bCs/>
          <w:color w:val="auto"/>
        </w:rPr>
        <w:t>生态环境准入清单一览表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709"/>
        <w:gridCol w:w="873"/>
        <w:gridCol w:w="5043"/>
        <w:gridCol w:w="2495"/>
        <w:gridCol w:w="626"/>
      </w:tblGrid>
      <w:tr w14:paraId="44792D5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64" w:type="pct"/>
            <w:vAlign w:val="center"/>
          </w:tcPr>
          <w:p w14:paraId="57F4F932">
            <w:pPr>
              <w:adjustRightInd w:val="0"/>
              <w:snapToGrid w:val="0"/>
              <w:jc w:val="center"/>
              <w:textAlignment w:val="center"/>
              <w:rPr>
                <w:rFonts w:ascii="Times New Roman" w:hAnsi="Times New Roman" w:cs="Times New Roman"/>
                <w:b/>
                <w:bCs/>
                <w:sz w:val="21"/>
              </w:rPr>
            </w:pPr>
            <w:r>
              <w:rPr>
                <w:rFonts w:ascii="Times New Roman" w:hAnsi="Times New Roman" w:cs="Times New Roman"/>
                <w:b/>
                <w:bCs/>
                <w:color w:val="auto"/>
                <w:sz w:val="21"/>
                <w:lang w:eastAsia="zh-CN" w:bidi="ar"/>
              </w:rPr>
              <w:t>分类</w:t>
            </w:r>
          </w:p>
        </w:tc>
        <w:tc>
          <w:tcPr>
            <w:tcW w:w="448" w:type="pct"/>
            <w:vAlign w:val="center"/>
          </w:tcPr>
          <w:p w14:paraId="6C08DF49">
            <w:pPr>
              <w:adjustRightInd w:val="0"/>
              <w:snapToGrid w:val="0"/>
              <w:jc w:val="center"/>
              <w:textAlignment w:val="center"/>
              <w:rPr>
                <w:rFonts w:ascii="Times New Roman" w:hAnsi="Times New Roman" w:cs="Times New Roman"/>
                <w:b/>
                <w:bCs/>
                <w:sz w:val="21"/>
              </w:rPr>
            </w:pPr>
            <w:r>
              <w:rPr>
                <w:rFonts w:ascii="Times New Roman" w:hAnsi="Times New Roman" w:cs="Times New Roman"/>
                <w:b/>
                <w:bCs/>
                <w:sz w:val="21"/>
                <w:lang w:eastAsia="zh-CN"/>
              </w:rPr>
              <w:t>内容</w:t>
            </w:r>
          </w:p>
        </w:tc>
        <w:tc>
          <w:tcPr>
            <w:tcW w:w="2587" w:type="pct"/>
            <w:vAlign w:val="center"/>
          </w:tcPr>
          <w:p w14:paraId="2B6AD17B">
            <w:pPr>
              <w:adjustRightInd w:val="0"/>
              <w:snapToGrid w:val="0"/>
              <w:jc w:val="center"/>
              <w:textAlignment w:val="center"/>
              <w:rPr>
                <w:rFonts w:ascii="Times New Roman" w:hAnsi="Times New Roman" w:cs="Times New Roman"/>
                <w:b/>
                <w:bCs/>
                <w:sz w:val="21"/>
              </w:rPr>
            </w:pPr>
            <w:r>
              <w:rPr>
                <w:rFonts w:ascii="Times New Roman" w:hAnsi="Times New Roman" w:cs="Times New Roman"/>
                <w:b/>
                <w:bCs/>
                <w:color w:val="auto"/>
                <w:sz w:val="21"/>
                <w:lang w:eastAsia="zh-CN" w:bidi="ar"/>
              </w:rPr>
              <w:t>管控要求</w:t>
            </w:r>
          </w:p>
        </w:tc>
        <w:tc>
          <w:tcPr>
            <w:tcW w:w="1280" w:type="pct"/>
            <w:vAlign w:val="center"/>
          </w:tcPr>
          <w:p w14:paraId="3BF32D22">
            <w:pPr>
              <w:adjustRightInd w:val="0"/>
              <w:snapToGrid w:val="0"/>
              <w:jc w:val="center"/>
              <w:textAlignment w:val="center"/>
              <w:rPr>
                <w:rFonts w:ascii="Times New Roman" w:hAnsi="Times New Roman" w:cs="Times New Roman"/>
                <w:b/>
                <w:bCs/>
                <w:color w:val="auto"/>
                <w:sz w:val="21"/>
                <w:lang w:eastAsia="zh-CN" w:bidi="ar"/>
              </w:rPr>
            </w:pPr>
            <w:r>
              <w:rPr>
                <w:rFonts w:ascii="Times New Roman" w:hAnsi="Times New Roman" w:cs="Times New Roman"/>
                <w:b/>
                <w:bCs/>
                <w:color w:val="auto"/>
                <w:sz w:val="21"/>
                <w:lang w:eastAsia="zh-CN" w:bidi="ar"/>
              </w:rPr>
              <w:t>项目建设情况</w:t>
            </w:r>
          </w:p>
        </w:tc>
        <w:tc>
          <w:tcPr>
            <w:tcW w:w="321" w:type="pct"/>
            <w:vAlign w:val="center"/>
          </w:tcPr>
          <w:p w14:paraId="7B1735D5">
            <w:pPr>
              <w:adjustRightInd w:val="0"/>
              <w:snapToGrid w:val="0"/>
              <w:jc w:val="center"/>
              <w:textAlignment w:val="center"/>
              <w:rPr>
                <w:rFonts w:ascii="Times New Roman" w:hAnsi="Times New Roman" w:cs="Times New Roman"/>
                <w:b/>
                <w:bCs/>
                <w:color w:val="auto"/>
                <w:sz w:val="21"/>
                <w:lang w:eastAsia="zh-CN" w:bidi="ar"/>
              </w:rPr>
            </w:pPr>
            <w:r>
              <w:rPr>
                <w:rFonts w:ascii="Times New Roman" w:hAnsi="Times New Roman" w:cs="Times New Roman"/>
                <w:b/>
                <w:bCs/>
                <w:color w:val="auto"/>
                <w:sz w:val="21"/>
                <w:lang w:eastAsia="zh-CN" w:bidi="ar"/>
              </w:rPr>
              <w:t>符合性</w:t>
            </w:r>
          </w:p>
        </w:tc>
      </w:tr>
      <w:tr w14:paraId="4C80373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64" w:type="pct"/>
            <w:vMerge w:val="restart"/>
            <w:vAlign w:val="center"/>
          </w:tcPr>
          <w:p w14:paraId="77CCE094">
            <w:pPr>
              <w:adjustRightInd w:val="0"/>
              <w:snapToGrid w:val="0"/>
              <w:jc w:val="center"/>
              <w:textAlignment w:val="center"/>
              <w:rPr>
                <w:rFonts w:ascii="Times New Roman" w:hAnsi="Times New Roman" w:cs="Times New Roman"/>
                <w:sz w:val="21"/>
              </w:rPr>
            </w:pPr>
            <w:r>
              <w:rPr>
                <w:rFonts w:ascii="Times New Roman" w:hAnsi="Times New Roman" w:cs="Times New Roman"/>
                <w:color w:val="auto"/>
                <w:sz w:val="21"/>
                <w:lang w:eastAsia="zh-CN" w:bidi="ar"/>
              </w:rPr>
              <w:t>大气重点管控区</w:t>
            </w:r>
          </w:p>
        </w:tc>
        <w:tc>
          <w:tcPr>
            <w:tcW w:w="448" w:type="pct"/>
            <w:vMerge w:val="restart"/>
            <w:vAlign w:val="center"/>
          </w:tcPr>
          <w:p w14:paraId="09D091A5">
            <w:pPr>
              <w:adjustRightInd w:val="0"/>
              <w:snapToGrid w:val="0"/>
              <w:jc w:val="center"/>
              <w:textAlignment w:val="center"/>
              <w:rPr>
                <w:rFonts w:ascii="Times New Roman" w:hAnsi="Times New Roman" w:cs="Times New Roman"/>
                <w:sz w:val="21"/>
              </w:rPr>
            </w:pPr>
            <w:r>
              <w:rPr>
                <w:rFonts w:ascii="Times New Roman" w:hAnsi="Times New Roman" w:cs="Times New Roman"/>
                <w:color w:val="auto"/>
                <w:sz w:val="21"/>
                <w:lang w:eastAsia="zh-CN" w:bidi="ar"/>
              </w:rPr>
              <w:t>空间布局约束</w:t>
            </w:r>
          </w:p>
        </w:tc>
        <w:tc>
          <w:tcPr>
            <w:tcW w:w="2587" w:type="pct"/>
            <w:vAlign w:val="center"/>
          </w:tcPr>
          <w:p w14:paraId="21700E6E">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color w:val="auto"/>
                <w:sz w:val="21"/>
                <w:lang w:eastAsia="zh-CN" w:bidi="ar"/>
              </w:rPr>
              <w:t>禁止淘汰落后类的产业进入开发区。</w:t>
            </w:r>
          </w:p>
        </w:tc>
        <w:tc>
          <w:tcPr>
            <w:tcW w:w="1280" w:type="pct"/>
            <w:vAlign w:val="center"/>
          </w:tcPr>
          <w:p w14:paraId="62E6613C">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本项目不属于</w:t>
            </w:r>
            <w:r>
              <w:rPr>
                <w:rFonts w:ascii="Times New Roman" w:hAnsi="Times New Roman" w:cs="Times New Roman"/>
                <w:color w:val="auto"/>
                <w:sz w:val="21"/>
                <w:lang w:eastAsia="zh-CN" w:bidi="ar"/>
              </w:rPr>
              <w:t>《产业结构调整指导目录（20</w:t>
            </w:r>
            <w:r>
              <w:rPr>
                <w:rFonts w:hint="eastAsia" w:ascii="Times New Roman" w:hAnsi="Times New Roman" w:cs="Times New Roman"/>
                <w:color w:val="auto"/>
                <w:sz w:val="21"/>
                <w:lang w:eastAsia="zh-CN" w:bidi="ar"/>
              </w:rPr>
              <w:t>24</w:t>
            </w:r>
            <w:r>
              <w:rPr>
                <w:rFonts w:ascii="Times New Roman" w:hAnsi="Times New Roman" w:cs="Times New Roman"/>
                <w:color w:val="auto"/>
                <w:sz w:val="21"/>
                <w:lang w:eastAsia="zh-CN" w:bidi="ar"/>
              </w:rPr>
              <w:t>年本）》</w:t>
            </w:r>
            <w:r>
              <w:rPr>
                <w:rFonts w:hint="eastAsia" w:ascii="Times New Roman" w:hAnsi="Times New Roman" w:cs="Times New Roman"/>
                <w:color w:val="auto"/>
                <w:sz w:val="21"/>
                <w:lang w:eastAsia="zh-CN" w:bidi="ar"/>
              </w:rPr>
              <w:t>中限制类和淘汰类项目，项目属于精细化工行业，符合蚌埠精细化工高新技术产业基地的主导产业定位</w:t>
            </w:r>
          </w:p>
        </w:tc>
        <w:tc>
          <w:tcPr>
            <w:tcW w:w="321" w:type="pct"/>
            <w:vAlign w:val="center"/>
          </w:tcPr>
          <w:p w14:paraId="3B2D1B61">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符合</w:t>
            </w:r>
          </w:p>
        </w:tc>
      </w:tr>
      <w:tr w14:paraId="749C974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64" w:type="pct"/>
            <w:vMerge w:val="continue"/>
            <w:vAlign w:val="center"/>
          </w:tcPr>
          <w:p w14:paraId="6DD45203">
            <w:pPr>
              <w:adjustRightInd w:val="0"/>
              <w:snapToGrid w:val="0"/>
              <w:jc w:val="center"/>
              <w:rPr>
                <w:rFonts w:ascii="Times New Roman" w:hAnsi="Times New Roman" w:cs="Times New Roman"/>
                <w:sz w:val="21"/>
                <w:lang w:eastAsia="zh-CN"/>
              </w:rPr>
            </w:pPr>
          </w:p>
        </w:tc>
        <w:tc>
          <w:tcPr>
            <w:tcW w:w="448" w:type="pct"/>
            <w:vMerge w:val="continue"/>
            <w:vAlign w:val="center"/>
          </w:tcPr>
          <w:p w14:paraId="055B2D09">
            <w:pPr>
              <w:adjustRightInd w:val="0"/>
              <w:snapToGrid w:val="0"/>
              <w:jc w:val="center"/>
              <w:rPr>
                <w:rFonts w:ascii="Times New Roman" w:hAnsi="Times New Roman" w:cs="Times New Roman"/>
                <w:sz w:val="21"/>
                <w:lang w:eastAsia="zh-CN"/>
              </w:rPr>
            </w:pPr>
          </w:p>
        </w:tc>
        <w:tc>
          <w:tcPr>
            <w:tcW w:w="2587" w:type="pct"/>
            <w:vAlign w:val="center"/>
          </w:tcPr>
          <w:p w14:paraId="15DB7422">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color w:val="auto"/>
                <w:sz w:val="21"/>
                <w:lang w:eastAsia="zh-CN" w:bidi="ar"/>
              </w:rPr>
              <w:t>企业应当全面推进清洁生产，优先采用能源和原材料利用效率高、污染物排放量少的清洁生产技术、工艺和设备，淘汰严重污染大气环境质量的产品、落后工艺和落后设备，减少大气污染物的产生和排放。</w:t>
            </w:r>
          </w:p>
        </w:tc>
        <w:tc>
          <w:tcPr>
            <w:tcW w:w="1280" w:type="pct"/>
            <w:vAlign w:val="center"/>
          </w:tcPr>
          <w:p w14:paraId="1F03093B">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本项目采用先进的生产技术、工艺和设备，清洁生产水平较高，能够减少大气污染物的产生和排放</w:t>
            </w:r>
          </w:p>
        </w:tc>
        <w:tc>
          <w:tcPr>
            <w:tcW w:w="321" w:type="pct"/>
            <w:vAlign w:val="center"/>
          </w:tcPr>
          <w:p w14:paraId="5285DDD8">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符合</w:t>
            </w:r>
          </w:p>
        </w:tc>
      </w:tr>
      <w:tr w14:paraId="3F9A7D7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64" w:type="pct"/>
            <w:vMerge w:val="continue"/>
            <w:vAlign w:val="center"/>
          </w:tcPr>
          <w:p w14:paraId="3663BF7B">
            <w:pPr>
              <w:adjustRightInd w:val="0"/>
              <w:snapToGrid w:val="0"/>
              <w:jc w:val="center"/>
              <w:rPr>
                <w:rFonts w:ascii="Times New Roman" w:hAnsi="Times New Roman" w:cs="Times New Roman"/>
                <w:sz w:val="21"/>
                <w:lang w:eastAsia="zh-CN"/>
              </w:rPr>
            </w:pPr>
          </w:p>
        </w:tc>
        <w:tc>
          <w:tcPr>
            <w:tcW w:w="448" w:type="pct"/>
            <w:vMerge w:val="restart"/>
            <w:vAlign w:val="center"/>
          </w:tcPr>
          <w:p w14:paraId="2BB598F1">
            <w:pPr>
              <w:adjustRightInd w:val="0"/>
              <w:snapToGrid w:val="0"/>
              <w:jc w:val="center"/>
              <w:textAlignment w:val="center"/>
              <w:rPr>
                <w:rFonts w:ascii="Times New Roman" w:hAnsi="Times New Roman" w:cs="Times New Roman"/>
                <w:sz w:val="21"/>
              </w:rPr>
            </w:pPr>
            <w:r>
              <w:rPr>
                <w:rFonts w:ascii="Times New Roman" w:hAnsi="Times New Roman" w:cs="Times New Roman"/>
                <w:color w:val="auto"/>
                <w:sz w:val="21"/>
                <w:lang w:eastAsia="zh-CN" w:bidi="ar"/>
              </w:rPr>
              <w:t>污染物排放管控</w:t>
            </w:r>
          </w:p>
        </w:tc>
        <w:tc>
          <w:tcPr>
            <w:tcW w:w="2587" w:type="pct"/>
            <w:vAlign w:val="center"/>
          </w:tcPr>
          <w:p w14:paraId="70B9256C">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color w:val="auto"/>
                <w:sz w:val="21"/>
                <w:lang w:eastAsia="zh-CN" w:bidi="ar"/>
              </w:rPr>
              <w:t>新建、改建、扩建排放重点大气污染物的项目不符合总量控制要求的，不得通过环境影响评价。</w:t>
            </w:r>
          </w:p>
        </w:tc>
        <w:tc>
          <w:tcPr>
            <w:tcW w:w="1280" w:type="pct"/>
            <w:vAlign w:val="center"/>
          </w:tcPr>
          <w:p w14:paraId="09DD9234">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本项目排放的大气污染物主要为氟化物、氯化氢，无需申请总量</w:t>
            </w:r>
          </w:p>
        </w:tc>
        <w:tc>
          <w:tcPr>
            <w:tcW w:w="321" w:type="pct"/>
            <w:vAlign w:val="center"/>
          </w:tcPr>
          <w:p w14:paraId="143E9302">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符合</w:t>
            </w:r>
          </w:p>
        </w:tc>
      </w:tr>
      <w:tr w14:paraId="2ED84A3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64" w:type="pct"/>
            <w:vMerge w:val="continue"/>
            <w:vAlign w:val="center"/>
          </w:tcPr>
          <w:p w14:paraId="24CBC128">
            <w:pPr>
              <w:adjustRightInd w:val="0"/>
              <w:snapToGrid w:val="0"/>
              <w:jc w:val="center"/>
              <w:rPr>
                <w:rFonts w:ascii="Times New Roman" w:hAnsi="Times New Roman" w:cs="Times New Roman"/>
                <w:sz w:val="21"/>
                <w:lang w:eastAsia="zh-CN"/>
              </w:rPr>
            </w:pPr>
          </w:p>
        </w:tc>
        <w:tc>
          <w:tcPr>
            <w:tcW w:w="448" w:type="pct"/>
            <w:vMerge w:val="continue"/>
            <w:vAlign w:val="center"/>
          </w:tcPr>
          <w:p w14:paraId="37BDD23B">
            <w:pPr>
              <w:adjustRightInd w:val="0"/>
              <w:snapToGrid w:val="0"/>
              <w:jc w:val="center"/>
              <w:rPr>
                <w:rFonts w:ascii="Times New Roman" w:hAnsi="Times New Roman" w:cs="Times New Roman"/>
                <w:sz w:val="21"/>
                <w:lang w:eastAsia="zh-CN"/>
              </w:rPr>
            </w:pPr>
          </w:p>
        </w:tc>
        <w:tc>
          <w:tcPr>
            <w:tcW w:w="2587" w:type="pct"/>
            <w:vAlign w:val="center"/>
          </w:tcPr>
          <w:p w14:paraId="0836EBD7">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color w:val="auto"/>
                <w:sz w:val="21"/>
                <w:lang w:eastAsia="zh-CN" w:bidi="ar"/>
              </w:rPr>
              <w:t>按《挥发性有机物无组织排放控制标准》（GB 37822-2019）要求，做好VOCs物料储存、物料转移和输送、工艺过程、设备与管线组件、敞开液面VOCs排放，以及VOCs无组织排放废气收集处理系统要求。</w:t>
            </w:r>
          </w:p>
        </w:tc>
        <w:tc>
          <w:tcPr>
            <w:tcW w:w="1280" w:type="pct"/>
            <w:vAlign w:val="center"/>
          </w:tcPr>
          <w:p w14:paraId="3E0258BE">
            <w:pPr>
              <w:adjustRightInd w:val="0"/>
              <w:snapToGrid w:val="0"/>
              <w:jc w:val="center"/>
              <w:textAlignment w:val="center"/>
              <w:rPr>
                <w:rFonts w:ascii="Times New Roman" w:hAnsi="Times New Roman" w:cs="Times New Roman"/>
                <w:color w:val="EE0000"/>
                <w:sz w:val="21"/>
                <w:lang w:eastAsia="zh-CN" w:bidi="ar"/>
              </w:rPr>
            </w:pPr>
            <w:r>
              <w:rPr>
                <w:rFonts w:hint="eastAsia" w:ascii="Times New Roman" w:hAnsi="Times New Roman" w:cs="Times New Roman"/>
                <w:color w:val="auto"/>
                <w:sz w:val="21"/>
                <w:lang w:eastAsia="zh-CN" w:bidi="ar"/>
              </w:rPr>
              <w:t>本项目不涉及VOCs</w:t>
            </w:r>
            <w:r>
              <w:rPr>
                <w:rFonts w:ascii="Times New Roman" w:hAnsi="Times New Roman" w:cs="Times New Roman"/>
                <w:color w:val="auto"/>
                <w:sz w:val="21"/>
                <w:lang w:eastAsia="zh-CN" w:bidi="ar"/>
              </w:rPr>
              <w:t xml:space="preserve"> </w:t>
            </w:r>
          </w:p>
        </w:tc>
        <w:tc>
          <w:tcPr>
            <w:tcW w:w="321" w:type="pct"/>
            <w:vAlign w:val="center"/>
          </w:tcPr>
          <w:p w14:paraId="7B134F5B">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符合</w:t>
            </w:r>
          </w:p>
        </w:tc>
      </w:tr>
      <w:tr w14:paraId="629891C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64" w:type="pct"/>
            <w:vMerge w:val="continue"/>
            <w:vAlign w:val="center"/>
          </w:tcPr>
          <w:p w14:paraId="3AA34EFC">
            <w:pPr>
              <w:adjustRightInd w:val="0"/>
              <w:snapToGrid w:val="0"/>
              <w:jc w:val="center"/>
              <w:rPr>
                <w:rFonts w:ascii="Times New Roman" w:hAnsi="Times New Roman" w:cs="Times New Roman"/>
                <w:sz w:val="21"/>
                <w:lang w:eastAsia="zh-CN"/>
              </w:rPr>
            </w:pPr>
          </w:p>
        </w:tc>
        <w:tc>
          <w:tcPr>
            <w:tcW w:w="448" w:type="pct"/>
            <w:vMerge w:val="continue"/>
            <w:vAlign w:val="center"/>
          </w:tcPr>
          <w:p w14:paraId="2619E5D3">
            <w:pPr>
              <w:adjustRightInd w:val="0"/>
              <w:snapToGrid w:val="0"/>
              <w:jc w:val="center"/>
              <w:rPr>
                <w:rFonts w:ascii="Times New Roman" w:hAnsi="Times New Roman" w:cs="Times New Roman"/>
                <w:sz w:val="21"/>
                <w:lang w:eastAsia="zh-CN"/>
              </w:rPr>
            </w:pPr>
          </w:p>
        </w:tc>
        <w:tc>
          <w:tcPr>
            <w:tcW w:w="2587" w:type="pct"/>
            <w:vAlign w:val="center"/>
          </w:tcPr>
          <w:p w14:paraId="4A92A60B">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color w:val="auto"/>
                <w:sz w:val="21"/>
                <w:lang w:eastAsia="zh-CN" w:bidi="ar"/>
              </w:rPr>
              <w:t>建筑工程施工现场扬尘污染防治应做到工地周边围挡、物料堆放覆盖、路面硬化、土方开挖湿法作业、出入车辆清洗、渣土车辆密闭运输“六个百分之百”。具体要求执行《建筑工程施工和预拌混凝土生产扬尘污染防治标准》（试行）。</w:t>
            </w:r>
          </w:p>
        </w:tc>
        <w:tc>
          <w:tcPr>
            <w:tcW w:w="1280" w:type="pct"/>
            <w:vAlign w:val="center"/>
          </w:tcPr>
          <w:p w14:paraId="76F8DE64">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项目施工期落实</w:t>
            </w:r>
            <w:r>
              <w:rPr>
                <w:rFonts w:ascii="Times New Roman" w:hAnsi="Times New Roman" w:cs="Times New Roman"/>
                <w:color w:val="auto"/>
                <w:sz w:val="21"/>
                <w:lang w:eastAsia="zh-CN" w:bidi="ar"/>
              </w:rPr>
              <w:t>“六个百分之百”</w:t>
            </w:r>
          </w:p>
        </w:tc>
        <w:tc>
          <w:tcPr>
            <w:tcW w:w="321" w:type="pct"/>
            <w:vAlign w:val="center"/>
          </w:tcPr>
          <w:p w14:paraId="44789FD5">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符合</w:t>
            </w:r>
          </w:p>
        </w:tc>
      </w:tr>
      <w:tr w14:paraId="2AE0C95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64" w:type="pct"/>
            <w:vMerge w:val="continue"/>
            <w:vAlign w:val="center"/>
          </w:tcPr>
          <w:p w14:paraId="121E8D77">
            <w:pPr>
              <w:adjustRightInd w:val="0"/>
              <w:snapToGrid w:val="0"/>
              <w:jc w:val="center"/>
              <w:rPr>
                <w:rFonts w:ascii="Times New Roman" w:hAnsi="Times New Roman" w:cs="Times New Roman"/>
                <w:sz w:val="21"/>
                <w:lang w:eastAsia="zh-CN"/>
              </w:rPr>
            </w:pPr>
          </w:p>
        </w:tc>
        <w:tc>
          <w:tcPr>
            <w:tcW w:w="448" w:type="pct"/>
            <w:vAlign w:val="center"/>
          </w:tcPr>
          <w:p w14:paraId="3925CAD9">
            <w:pPr>
              <w:adjustRightInd w:val="0"/>
              <w:snapToGrid w:val="0"/>
              <w:jc w:val="center"/>
              <w:rPr>
                <w:rFonts w:ascii="Times New Roman" w:hAnsi="Times New Roman" w:cs="Times New Roman"/>
                <w:sz w:val="21"/>
                <w:lang w:eastAsia="zh-CN"/>
              </w:rPr>
            </w:pPr>
            <w:r>
              <w:rPr>
                <w:rFonts w:hint="eastAsia" w:ascii="Times New Roman" w:hAnsi="Times New Roman" w:cs="Times New Roman"/>
                <w:sz w:val="21"/>
                <w:lang w:eastAsia="zh-CN"/>
              </w:rPr>
              <w:t>环境风险防控</w:t>
            </w:r>
          </w:p>
        </w:tc>
        <w:tc>
          <w:tcPr>
            <w:tcW w:w="2587" w:type="pct"/>
            <w:vAlign w:val="center"/>
          </w:tcPr>
          <w:p w14:paraId="79E3BEA5">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对使用有毒有害化学物质或在生产过程中排放有毒有害物质的企业，全面实施强制性清洁生产审核，严格执行产品质量标准中有毒有害化学物质的含量限值，加强农药、石化、涂料、印染、医药等行业新污染物环境风险管控。</w:t>
            </w:r>
          </w:p>
        </w:tc>
        <w:tc>
          <w:tcPr>
            <w:tcW w:w="1280" w:type="pct"/>
            <w:vAlign w:val="center"/>
          </w:tcPr>
          <w:p w14:paraId="3115BBA6">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本项目后续生产过程落实相关要求</w:t>
            </w:r>
          </w:p>
        </w:tc>
        <w:tc>
          <w:tcPr>
            <w:tcW w:w="321" w:type="pct"/>
            <w:vAlign w:val="center"/>
          </w:tcPr>
          <w:p w14:paraId="29CCA4F3">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符合</w:t>
            </w:r>
          </w:p>
        </w:tc>
      </w:tr>
      <w:tr w14:paraId="72450EA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64" w:type="pct"/>
            <w:vMerge w:val="restart"/>
            <w:vAlign w:val="center"/>
          </w:tcPr>
          <w:p w14:paraId="0C99820D">
            <w:pPr>
              <w:adjustRightInd w:val="0"/>
              <w:snapToGrid w:val="0"/>
              <w:jc w:val="center"/>
              <w:rPr>
                <w:rFonts w:ascii="Times New Roman" w:hAnsi="Times New Roman" w:cs="Times New Roman"/>
                <w:sz w:val="21"/>
                <w:lang w:eastAsia="zh-CN"/>
              </w:rPr>
            </w:pPr>
            <w:r>
              <w:rPr>
                <w:rFonts w:hint="eastAsia" w:ascii="Times New Roman" w:hAnsi="Times New Roman" w:cs="Times New Roman"/>
                <w:sz w:val="21"/>
                <w:lang w:eastAsia="zh-CN"/>
              </w:rPr>
              <w:t>水重点管控区</w:t>
            </w:r>
          </w:p>
        </w:tc>
        <w:tc>
          <w:tcPr>
            <w:tcW w:w="448" w:type="pct"/>
            <w:vAlign w:val="center"/>
          </w:tcPr>
          <w:p w14:paraId="781EE5F7">
            <w:pPr>
              <w:adjustRightInd w:val="0"/>
              <w:snapToGrid w:val="0"/>
              <w:jc w:val="center"/>
              <w:rPr>
                <w:rFonts w:ascii="Times New Roman" w:hAnsi="Times New Roman" w:cs="Times New Roman"/>
                <w:sz w:val="21"/>
                <w:lang w:eastAsia="zh-CN"/>
              </w:rPr>
            </w:pPr>
            <w:r>
              <w:rPr>
                <w:rFonts w:ascii="Times New Roman" w:hAnsi="Times New Roman" w:cs="Times New Roman"/>
                <w:color w:val="auto"/>
                <w:sz w:val="21"/>
                <w:lang w:eastAsia="zh-CN" w:bidi="ar"/>
              </w:rPr>
              <w:t>空间布局约束</w:t>
            </w:r>
          </w:p>
        </w:tc>
        <w:tc>
          <w:tcPr>
            <w:tcW w:w="2587" w:type="pct"/>
            <w:vAlign w:val="center"/>
          </w:tcPr>
          <w:p w14:paraId="54692C3D">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国家禁止新建不符合国家产业政策的小型造纸、制革、印染、染料、炼焦、炼硫、炼砷、炼汞、炼油、电镀、农药、石棉、水泥、玻璃、钢铁、火电以及其他严重污染水环境的生产项目。</w:t>
            </w:r>
          </w:p>
        </w:tc>
        <w:tc>
          <w:tcPr>
            <w:tcW w:w="1280" w:type="pct"/>
            <w:vAlign w:val="center"/>
          </w:tcPr>
          <w:p w14:paraId="61D31592">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本项目的建设符合国家产业政策要求，且不属于上述所列行业，不属于严重污染水环境项目</w:t>
            </w:r>
          </w:p>
        </w:tc>
        <w:tc>
          <w:tcPr>
            <w:tcW w:w="321" w:type="pct"/>
            <w:vAlign w:val="center"/>
          </w:tcPr>
          <w:p w14:paraId="79EF7414">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符合</w:t>
            </w:r>
          </w:p>
        </w:tc>
      </w:tr>
      <w:tr w14:paraId="353B6E4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64" w:type="pct"/>
            <w:vMerge w:val="continue"/>
            <w:vAlign w:val="center"/>
          </w:tcPr>
          <w:p w14:paraId="5E4F684B">
            <w:pPr>
              <w:adjustRightInd w:val="0"/>
              <w:snapToGrid w:val="0"/>
              <w:jc w:val="center"/>
              <w:rPr>
                <w:rFonts w:ascii="Times New Roman" w:hAnsi="Times New Roman" w:cs="Times New Roman"/>
                <w:sz w:val="21"/>
                <w:lang w:eastAsia="zh-CN"/>
              </w:rPr>
            </w:pPr>
          </w:p>
        </w:tc>
        <w:tc>
          <w:tcPr>
            <w:tcW w:w="448" w:type="pct"/>
            <w:vMerge w:val="restart"/>
            <w:vAlign w:val="center"/>
          </w:tcPr>
          <w:p w14:paraId="2760E070">
            <w:pPr>
              <w:adjustRightInd w:val="0"/>
              <w:snapToGrid w:val="0"/>
              <w:jc w:val="center"/>
              <w:rPr>
                <w:rFonts w:ascii="Times New Roman" w:hAnsi="Times New Roman" w:cs="Times New Roman"/>
                <w:sz w:val="21"/>
                <w:lang w:eastAsia="zh-CN"/>
              </w:rPr>
            </w:pPr>
            <w:r>
              <w:rPr>
                <w:rFonts w:ascii="Times New Roman" w:hAnsi="Times New Roman" w:cs="Times New Roman"/>
                <w:color w:val="auto"/>
                <w:sz w:val="21"/>
                <w:lang w:eastAsia="zh-CN" w:bidi="ar"/>
              </w:rPr>
              <w:t>污染物排放管控</w:t>
            </w:r>
          </w:p>
        </w:tc>
        <w:tc>
          <w:tcPr>
            <w:tcW w:w="2587" w:type="pct"/>
            <w:vAlign w:val="center"/>
          </w:tcPr>
          <w:p w14:paraId="4A8EDE56">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所有排污单位必须依法实现全面达标排放。逐一排查工业企业排污情况，达标企业应采取措施确保稳定达标；对超标和超总量的企业予以</w:t>
            </w:r>
            <w:r>
              <w:rPr>
                <w:rFonts w:ascii="Times New Roman" w:hAnsi="Times New Roman" w:cs="Times New Roman"/>
                <w:color w:val="auto"/>
                <w:sz w:val="21"/>
                <w:lang w:eastAsia="zh-CN" w:bidi="ar"/>
              </w:rPr>
              <w:t>“</w:t>
            </w:r>
            <w:r>
              <w:rPr>
                <w:rFonts w:hint="eastAsia" w:ascii="Times New Roman" w:hAnsi="Times New Roman" w:cs="Times New Roman"/>
                <w:color w:val="auto"/>
                <w:sz w:val="21"/>
                <w:lang w:eastAsia="zh-CN" w:bidi="ar"/>
              </w:rPr>
              <w:t>黄牌</w:t>
            </w:r>
            <w:r>
              <w:rPr>
                <w:rFonts w:ascii="Times New Roman" w:hAnsi="Times New Roman" w:cs="Times New Roman"/>
                <w:color w:val="auto"/>
                <w:sz w:val="21"/>
                <w:lang w:eastAsia="zh-CN" w:bidi="ar"/>
              </w:rPr>
              <w:t>”</w:t>
            </w:r>
            <w:r>
              <w:rPr>
                <w:rFonts w:hint="eastAsia" w:ascii="Times New Roman" w:hAnsi="Times New Roman" w:cs="Times New Roman"/>
                <w:color w:val="auto"/>
                <w:sz w:val="21"/>
                <w:lang w:eastAsia="zh-CN" w:bidi="ar"/>
              </w:rPr>
              <w:t>警示，一律限制生产或停产整治；对整治仍不能达到要求且情节严重的企业予以</w:t>
            </w:r>
            <w:r>
              <w:rPr>
                <w:rFonts w:ascii="Times New Roman" w:hAnsi="Times New Roman" w:cs="Times New Roman"/>
                <w:color w:val="auto"/>
                <w:sz w:val="21"/>
                <w:lang w:eastAsia="zh-CN" w:bidi="ar"/>
              </w:rPr>
              <w:t>“</w:t>
            </w:r>
            <w:r>
              <w:rPr>
                <w:rFonts w:hint="eastAsia" w:ascii="Times New Roman" w:hAnsi="Times New Roman" w:cs="Times New Roman"/>
                <w:color w:val="auto"/>
                <w:sz w:val="21"/>
                <w:lang w:eastAsia="zh-CN" w:bidi="ar"/>
              </w:rPr>
              <w:t>红牌</w:t>
            </w:r>
            <w:r>
              <w:rPr>
                <w:rFonts w:ascii="Times New Roman" w:hAnsi="Times New Roman" w:cs="Times New Roman"/>
                <w:color w:val="auto"/>
                <w:sz w:val="21"/>
                <w:lang w:eastAsia="zh-CN" w:bidi="ar"/>
              </w:rPr>
              <w:t>”</w:t>
            </w:r>
            <w:r>
              <w:rPr>
                <w:rFonts w:hint="eastAsia" w:ascii="Times New Roman" w:hAnsi="Times New Roman" w:cs="Times New Roman"/>
                <w:color w:val="auto"/>
                <w:sz w:val="21"/>
                <w:lang w:eastAsia="zh-CN" w:bidi="ar"/>
              </w:rPr>
              <w:t>处罚，一律停业、关闭。</w:t>
            </w:r>
          </w:p>
        </w:tc>
        <w:tc>
          <w:tcPr>
            <w:tcW w:w="1280" w:type="pct"/>
            <w:vAlign w:val="center"/>
          </w:tcPr>
          <w:p w14:paraId="65F4652D">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项目废水排放能够满足沫河口污水处理厂接管标准以及</w:t>
            </w:r>
            <w:r>
              <w:rPr>
                <w:rFonts w:hint="eastAsia" w:ascii="Times New Roman" w:hAnsi="Times New Roman" w:cs="Times New Roman"/>
                <w:color w:val="auto"/>
                <w:sz w:val="21"/>
                <w:lang w:eastAsia="zh-CN"/>
              </w:rPr>
              <w:t>《无机化学工业污染物排放标准》（GB31573-2015）、</w:t>
            </w:r>
            <w:r>
              <w:rPr>
                <w:rFonts w:ascii="Times New Roman" w:hAnsi="Times New Roman" w:cs="Times New Roman"/>
                <w:color w:val="auto"/>
                <w:sz w:val="21"/>
                <w:lang w:eastAsia="zh-CN"/>
              </w:rPr>
              <w:t>《电子工业水污染物排放标准》（GB39731-2020）</w:t>
            </w:r>
            <w:r>
              <w:rPr>
                <w:rFonts w:hint="eastAsia" w:ascii="Times New Roman" w:hAnsi="Times New Roman" w:cs="Times New Roman"/>
                <w:color w:val="auto"/>
                <w:sz w:val="21"/>
                <w:lang w:eastAsia="zh-CN" w:bidi="ar"/>
              </w:rPr>
              <w:t>限值要求</w:t>
            </w:r>
          </w:p>
        </w:tc>
        <w:tc>
          <w:tcPr>
            <w:tcW w:w="321" w:type="pct"/>
            <w:vAlign w:val="center"/>
          </w:tcPr>
          <w:p w14:paraId="6BDA6AAD">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符合</w:t>
            </w:r>
          </w:p>
        </w:tc>
      </w:tr>
      <w:tr w14:paraId="303331E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64" w:type="pct"/>
            <w:vMerge w:val="continue"/>
            <w:vAlign w:val="center"/>
          </w:tcPr>
          <w:p w14:paraId="440358C3">
            <w:pPr>
              <w:adjustRightInd w:val="0"/>
              <w:snapToGrid w:val="0"/>
              <w:jc w:val="center"/>
              <w:rPr>
                <w:rFonts w:ascii="Times New Roman" w:hAnsi="Times New Roman" w:cs="Times New Roman"/>
                <w:sz w:val="21"/>
                <w:lang w:eastAsia="zh-CN"/>
              </w:rPr>
            </w:pPr>
          </w:p>
        </w:tc>
        <w:tc>
          <w:tcPr>
            <w:tcW w:w="448" w:type="pct"/>
            <w:vMerge w:val="continue"/>
            <w:vAlign w:val="center"/>
          </w:tcPr>
          <w:p w14:paraId="4F71140B">
            <w:pPr>
              <w:adjustRightInd w:val="0"/>
              <w:snapToGrid w:val="0"/>
              <w:jc w:val="center"/>
              <w:rPr>
                <w:rFonts w:ascii="Times New Roman" w:hAnsi="Times New Roman" w:cs="Times New Roman"/>
                <w:sz w:val="21"/>
                <w:lang w:eastAsia="zh-CN"/>
              </w:rPr>
            </w:pPr>
          </w:p>
        </w:tc>
        <w:tc>
          <w:tcPr>
            <w:tcW w:w="2587" w:type="pct"/>
            <w:vAlign w:val="center"/>
          </w:tcPr>
          <w:p w14:paraId="401AD6B8">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开展经济技术开发区、高新技术产业开发区、出口加工区等工业集聚区水污染治理设施排查和污染治理，全面推行工业集聚区企业废水量、水污染物纳管总量双控制度。集聚区内工业废水必须经预处理达到集中处理要求，方可进入污水集中处理设施。</w:t>
            </w:r>
          </w:p>
        </w:tc>
        <w:tc>
          <w:tcPr>
            <w:tcW w:w="1280" w:type="pct"/>
            <w:vAlign w:val="center"/>
          </w:tcPr>
          <w:p w14:paraId="60AC19D2">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本项目落实水量、总量双控制度，废水经处理达到集中处理要求后，进入园区污水集中处理设施</w:t>
            </w:r>
          </w:p>
        </w:tc>
        <w:tc>
          <w:tcPr>
            <w:tcW w:w="321" w:type="pct"/>
            <w:vAlign w:val="center"/>
          </w:tcPr>
          <w:p w14:paraId="45678A58">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符合</w:t>
            </w:r>
          </w:p>
        </w:tc>
      </w:tr>
      <w:tr w14:paraId="1C864C0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64" w:type="pct"/>
            <w:vMerge w:val="continue"/>
            <w:vAlign w:val="center"/>
          </w:tcPr>
          <w:p w14:paraId="370D4B66">
            <w:pPr>
              <w:adjustRightInd w:val="0"/>
              <w:snapToGrid w:val="0"/>
              <w:jc w:val="center"/>
              <w:rPr>
                <w:rFonts w:ascii="Times New Roman" w:hAnsi="Times New Roman" w:cs="Times New Roman"/>
                <w:sz w:val="21"/>
                <w:lang w:eastAsia="zh-CN"/>
              </w:rPr>
            </w:pPr>
          </w:p>
        </w:tc>
        <w:tc>
          <w:tcPr>
            <w:tcW w:w="448" w:type="pct"/>
            <w:vAlign w:val="center"/>
          </w:tcPr>
          <w:p w14:paraId="1412468C">
            <w:pPr>
              <w:adjustRightInd w:val="0"/>
              <w:snapToGrid w:val="0"/>
              <w:jc w:val="center"/>
              <w:rPr>
                <w:rFonts w:ascii="Times New Roman" w:hAnsi="Times New Roman" w:cs="Times New Roman"/>
                <w:sz w:val="21"/>
                <w:lang w:eastAsia="zh-CN"/>
              </w:rPr>
            </w:pPr>
            <w:r>
              <w:rPr>
                <w:rFonts w:hint="eastAsia" w:ascii="Times New Roman" w:hAnsi="Times New Roman" w:cs="Times New Roman"/>
                <w:sz w:val="21"/>
                <w:lang w:eastAsia="zh-CN"/>
              </w:rPr>
              <w:t>环境风险防控</w:t>
            </w:r>
          </w:p>
        </w:tc>
        <w:tc>
          <w:tcPr>
            <w:tcW w:w="2587" w:type="pct"/>
            <w:vAlign w:val="center"/>
          </w:tcPr>
          <w:p w14:paraId="1C292F12">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落实工业企业环境风险防范主体责任，以石油、化工、涉重金属等企业为重点，合理布设企业生产设施，强化工业企业应急导流槽、事故调蓄池、应急闸坝等事故排水收集截留设施以及事故水输送设施建设，合理设置消防事故水池。</w:t>
            </w:r>
          </w:p>
        </w:tc>
        <w:tc>
          <w:tcPr>
            <w:tcW w:w="1280" w:type="pct"/>
            <w:vAlign w:val="center"/>
          </w:tcPr>
          <w:p w14:paraId="72FF8094">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rPr>
              <w:t>现有厂区已建1座672.3</w:t>
            </w:r>
            <w:r>
              <w:rPr>
                <w:rFonts w:ascii="Times New Roman" w:hAnsi="Times New Roman" w:cs="Times New Roman"/>
                <w:color w:val="auto"/>
                <w:sz w:val="21"/>
                <w:lang w:eastAsia="zh-CN"/>
              </w:rPr>
              <w:t>m</w:t>
            </w:r>
            <w:r>
              <w:rPr>
                <w:rFonts w:ascii="Times New Roman" w:hAnsi="Times New Roman" w:cs="Times New Roman"/>
                <w:color w:val="auto"/>
                <w:sz w:val="21"/>
                <w:vertAlign w:val="superscript"/>
                <w:lang w:eastAsia="zh-CN"/>
              </w:rPr>
              <w:t>3</w:t>
            </w:r>
            <w:r>
              <w:rPr>
                <w:rFonts w:ascii="Times New Roman" w:hAnsi="Times New Roman" w:cs="Times New Roman"/>
                <w:color w:val="auto"/>
                <w:sz w:val="21"/>
                <w:lang w:eastAsia="zh-CN"/>
              </w:rPr>
              <w:t>事故应急池</w:t>
            </w:r>
            <w:r>
              <w:rPr>
                <w:rFonts w:hint="eastAsia" w:ascii="Times New Roman" w:hAnsi="Times New Roman" w:cs="Times New Roman"/>
                <w:color w:val="auto"/>
                <w:sz w:val="21"/>
                <w:lang w:eastAsia="zh-CN"/>
              </w:rPr>
              <w:t>，能够满足企业事故废水暂存要求</w:t>
            </w:r>
          </w:p>
        </w:tc>
        <w:tc>
          <w:tcPr>
            <w:tcW w:w="321" w:type="pct"/>
            <w:vAlign w:val="center"/>
          </w:tcPr>
          <w:p w14:paraId="4EF4B310">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符合</w:t>
            </w:r>
          </w:p>
        </w:tc>
      </w:tr>
      <w:tr w14:paraId="74F0A9A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64" w:type="pct"/>
            <w:vMerge w:val="restart"/>
            <w:vAlign w:val="center"/>
          </w:tcPr>
          <w:p w14:paraId="67203D07">
            <w:pPr>
              <w:adjustRightInd w:val="0"/>
              <w:snapToGrid w:val="0"/>
              <w:jc w:val="center"/>
              <w:rPr>
                <w:rFonts w:ascii="Times New Roman" w:hAnsi="Times New Roman" w:cs="Times New Roman"/>
                <w:sz w:val="21"/>
                <w:lang w:eastAsia="zh-CN"/>
              </w:rPr>
            </w:pPr>
            <w:r>
              <w:rPr>
                <w:rFonts w:hint="eastAsia" w:ascii="Times New Roman" w:hAnsi="Times New Roman" w:cs="Times New Roman"/>
                <w:sz w:val="21"/>
                <w:lang w:eastAsia="zh-CN"/>
              </w:rPr>
              <w:t>土壤重点管控区</w:t>
            </w:r>
          </w:p>
        </w:tc>
        <w:tc>
          <w:tcPr>
            <w:tcW w:w="448" w:type="pct"/>
            <w:vMerge w:val="restart"/>
            <w:vAlign w:val="center"/>
          </w:tcPr>
          <w:p w14:paraId="5AD2191F">
            <w:pPr>
              <w:adjustRightInd w:val="0"/>
              <w:snapToGrid w:val="0"/>
              <w:jc w:val="center"/>
              <w:rPr>
                <w:rFonts w:ascii="Times New Roman" w:hAnsi="Times New Roman" w:cs="Times New Roman"/>
                <w:sz w:val="21"/>
                <w:lang w:eastAsia="zh-CN"/>
              </w:rPr>
            </w:pPr>
            <w:r>
              <w:rPr>
                <w:rFonts w:hint="eastAsia" w:ascii="Times New Roman" w:hAnsi="Times New Roman" w:cs="Times New Roman"/>
                <w:sz w:val="21"/>
                <w:lang w:eastAsia="zh-CN"/>
              </w:rPr>
              <w:t>建设用地污染风险防控区</w:t>
            </w:r>
          </w:p>
        </w:tc>
        <w:tc>
          <w:tcPr>
            <w:tcW w:w="2587" w:type="pct"/>
            <w:vAlign w:val="center"/>
          </w:tcPr>
          <w:p w14:paraId="491AA376">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重点单位通过新、改、扩建项目的土壤和地下水环境现状调查，发现项目用地污染物含量超过国家或者地方有关建设用地土壤污染风险管控标准的，土地使用权人或者污染责任人应当参照污染地块土壤环境管理有关规定开展详细调查、风险评估、风险管控、治理与修复等活动。</w:t>
            </w:r>
          </w:p>
        </w:tc>
        <w:tc>
          <w:tcPr>
            <w:tcW w:w="1280" w:type="pct"/>
            <w:vAlign w:val="center"/>
          </w:tcPr>
          <w:p w14:paraId="1DFDC09C">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根据现状监测，土壤满足</w:t>
            </w:r>
            <w:r>
              <w:rPr>
                <w:rFonts w:ascii="Times New Roman" w:hAnsi="Times New Roman" w:cs="Times New Roman"/>
                <w:color w:val="auto"/>
                <w:sz w:val="21"/>
                <w:lang w:eastAsia="zh-CN" w:bidi="ar"/>
              </w:rPr>
              <w:t>《土壤环境质量 建设用地土壤污染风险管控标准（试行）》</w:t>
            </w:r>
            <w:r>
              <w:fldChar w:fldCharType="begin"/>
            </w:r>
            <w:r>
              <w:instrText xml:space="preserve"> HYPERLINK "http://kjs.mep.gov.cn/hjbhbz/bzwb/trhj/trhjzlbz/201807/t20180703_446027.shtml" </w:instrText>
            </w:r>
            <w:r>
              <w:fldChar w:fldCharType="separate"/>
            </w:r>
            <w:r>
              <w:rPr>
                <w:rStyle w:val="40"/>
                <w:rFonts w:ascii="Times New Roman" w:hAnsi="Times New Roman" w:cs="Times New Roman"/>
                <w:color w:val="auto"/>
                <w:sz w:val="21"/>
                <w:u w:val="none"/>
                <w:lang w:eastAsia="zh-CN" w:bidi="ar"/>
              </w:rPr>
              <w:t>（GB36600-2018）</w:t>
            </w:r>
            <w:r>
              <w:rPr>
                <w:rStyle w:val="40"/>
                <w:rFonts w:ascii="Times New Roman" w:hAnsi="Times New Roman" w:cs="Times New Roman"/>
                <w:color w:val="auto"/>
                <w:sz w:val="21"/>
                <w:u w:val="none"/>
                <w:lang w:eastAsia="zh-CN" w:bidi="ar"/>
              </w:rPr>
              <w:fldChar w:fldCharType="end"/>
            </w:r>
          </w:p>
        </w:tc>
        <w:tc>
          <w:tcPr>
            <w:tcW w:w="321" w:type="pct"/>
            <w:vAlign w:val="center"/>
          </w:tcPr>
          <w:p w14:paraId="2AD2D2E0">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符合</w:t>
            </w:r>
          </w:p>
        </w:tc>
      </w:tr>
      <w:tr w14:paraId="19A8D2D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64" w:type="pct"/>
            <w:vMerge w:val="continue"/>
            <w:vAlign w:val="center"/>
          </w:tcPr>
          <w:p w14:paraId="4FAA2491">
            <w:pPr>
              <w:adjustRightInd w:val="0"/>
              <w:snapToGrid w:val="0"/>
              <w:jc w:val="center"/>
              <w:rPr>
                <w:rFonts w:ascii="Times New Roman" w:hAnsi="Times New Roman" w:cs="Times New Roman"/>
                <w:sz w:val="21"/>
                <w:lang w:eastAsia="zh-CN"/>
              </w:rPr>
            </w:pPr>
          </w:p>
        </w:tc>
        <w:tc>
          <w:tcPr>
            <w:tcW w:w="448" w:type="pct"/>
            <w:vMerge w:val="continue"/>
            <w:vAlign w:val="center"/>
          </w:tcPr>
          <w:p w14:paraId="4D49BCE5">
            <w:pPr>
              <w:adjustRightInd w:val="0"/>
              <w:snapToGrid w:val="0"/>
              <w:jc w:val="center"/>
              <w:rPr>
                <w:rFonts w:ascii="Times New Roman" w:hAnsi="Times New Roman" w:cs="Times New Roman"/>
                <w:sz w:val="21"/>
                <w:lang w:eastAsia="zh-CN"/>
              </w:rPr>
            </w:pPr>
          </w:p>
        </w:tc>
        <w:tc>
          <w:tcPr>
            <w:tcW w:w="2587" w:type="pct"/>
            <w:vAlign w:val="center"/>
          </w:tcPr>
          <w:p w14:paraId="20E07E73">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重点单位建设涉及有毒有害物质的生产装置、储罐和管道，或者建设污水处理池、应急池等存在土壤污染风险的设施，应当按照国家有关标准和规范的要求，设计、建设和安装有关防腐蚀、防泄漏设施和泄漏监测装置，防止有毒有害物质污染土壤和地下水。</w:t>
            </w:r>
          </w:p>
        </w:tc>
        <w:tc>
          <w:tcPr>
            <w:tcW w:w="1280" w:type="pct"/>
            <w:vAlign w:val="center"/>
          </w:tcPr>
          <w:p w14:paraId="5F5FD2C6">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项目</w:t>
            </w:r>
            <w:r>
              <w:rPr>
                <w:rFonts w:hint="eastAsia" w:ascii="Times New Roman" w:hAnsi="Times New Roman" w:cs="Times New Roman"/>
                <w:bCs/>
                <w:color w:val="auto"/>
                <w:sz w:val="21"/>
                <w:lang w:eastAsia="zh-CN"/>
              </w:rPr>
              <w:t>综合车间、刻蚀液混配车间、无水氟化氢库房、丁类仓库、原料及产品罐区、戊类罐区二、污水处理站及管网、</w:t>
            </w:r>
            <w:r>
              <w:rPr>
                <w:rFonts w:ascii="Times New Roman" w:hAnsi="Times New Roman" w:cs="Times New Roman"/>
                <w:bCs/>
                <w:color w:val="auto"/>
                <w:sz w:val="21"/>
                <w:lang w:eastAsia="zh-CN"/>
              </w:rPr>
              <w:t>事故应急池、初期雨水池、危废库</w:t>
            </w:r>
            <w:r>
              <w:rPr>
                <w:rFonts w:hint="eastAsia" w:ascii="Times New Roman" w:hAnsi="Times New Roman" w:cs="Times New Roman"/>
                <w:color w:val="auto"/>
                <w:sz w:val="21"/>
                <w:lang w:eastAsia="zh-CN" w:bidi="ar"/>
              </w:rPr>
              <w:t>等采取重点防渗措施</w:t>
            </w:r>
          </w:p>
        </w:tc>
        <w:tc>
          <w:tcPr>
            <w:tcW w:w="321" w:type="pct"/>
            <w:vAlign w:val="center"/>
          </w:tcPr>
          <w:p w14:paraId="7A25DD54">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符合</w:t>
            </w:r>
          </w:p>
        </w:tc>
      </w:tr>
      <w:tr w14:paraId="5ABC357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64" w:type="pct"/>
            <w:vMerge w:val="continue"/>
            <w:vAlign w:val="center"/>
          </w:tcPr>
          <w:p w14:paraId="7CACFDD5">
            <w:pPr>
              <w:adjustRightInd w:val="0"/>
              <w:snapToGrid w:val="0"/>
              <w:jc w:val="center"/>
              <w:rPr>
                <w:rFonts w:ascii="Times New Roman" w:hAnsi="Times New Roman" w:cs="Times New Roman"/>
                <w:sz w:val="21"/>
                <w:lang w:eastAsia="zh-CN"/>
              </w:rPr>
            </w:pPr>
          </w:p>
        </w:tc>
        <w:tc>
          <w:tcPr>
            <w:tcW w:w="448" w:type="pct"/>
            <w:vMerge w:val="continue"/>
            <w:vAlign w:val="center"/>
          </w:tcPr>
          <w:p w14:paraId="1392C706">
            <w:pPr>
              <w:adjustRightInd w:val="0"/>
              <w:snapToGrid w:val="0"/>
              <w:jc w:val="center"/>
              <w:rPr>
                <w:rFonts w:ascii="Times New Roman" w:hAnsi="Times New Roman" w:cs="Times New Roman"/>
                <w:sz w:val="21"/>
                <w:lang w:eastAsia="zh-CN"/>
              </w:rPr>
            </w:pPr>
          </w:p>
        </w:tc>
        <w:tc>
          <w:tcPr>
            <w:tcW w:w="2587" w:type="pct"/>
            <w:vAlign w:val="center"/>
          </w:tcPr>
          <w:p w14:paraId="00E9E15D">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严格建设项目土壤环境影响评价制度。对涉及有毒有害物质可能造成土壤污染的新（改、扩）建项目，依法进行环境影响评价，提出并落实防腐蚀、防渗漏、防遗撒等土壤污染防治具体措施。</w:t>
            </w:r>
          </w:p>
        </w:tc>
        <w:tc>
          <w:tcPr>
            <w:tcW w:w="1280" w:type="pct"/>
            <w:vAlign w:val="center"/>
          </w:tcPr>
          <w:p w14:paraId="27775865">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项目正在履行环境影响评价手续，项目对</w:t>
            </w:r>
            <w:r>
              <w:rPr>
                <w:rFonts w:hint="eastAsia" w:ascii="Times New Roman" w:hAnsi="Times New Roman" w:cs="Times New Roman"/>
                <w:bCs/>
                <w:color w:val="auto"/>
                <w:sz w:val="21"/>
                <w:lang w:eastAsia="zh-CN"/>
              </w:rPr>
              <w:t>综合车间、刻蚀液混配车间、无水氟化氢库房、丁类仓库、原料及产品罐区、戊类罐区二、污水处理站及管网、</w:t>
            </w:r>
            <w:r>
              <w:rPr>
                <w:rFonts w:ascii="Times New Roman" w:hAnsi="Times New Roman" w:cs="Times New Roman"/>
                <w:bCs/>
                <w:color w:val="auto"/>
                <w:sz w:val="21"/>
                <w:lang w:eastAsia="zh-CN"/>
              </w:rPr>
              <w:t>事故应急池、初期雨水池、危废库</w:t>
            </w:r>
            <w:r>
              <w:rPr>
                <w:rFonts w:hint="eastAsia" w:ascii="Times New Roman" w:hAnsi="Times New Roman" w:cs="Times New Roman"/>
                <w:color w:val="auto"/>
                <w:sz w:val="21"/>
                <w:lang w:eastAsia="zh-CN" w:bidi="ar"/>
              </w:rPr>
              <w:t>等采取防腐蚀、防渗漏、防遗撒措施</w:t>
            </w:r>
          </w:p>
        </w:tc>
        <w:tc>
          <w:tcPr>
            <w:tcW w:w="321" w:type="pct"/>
            <w:vAlign w:val="center"/>
          </w:tcPr>
          <w:p w14:paraId="2886E998">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符合</w:t>
            </w:r>
          </w:p>
        </w:tc>
      </w:tr>
    </w:tbl>
    <w:p w14:paraId="015BCBC5">
      <w:pPr>
        <w:pStyle w:val="16"/>
        <w:snapToGrid w:val="0"/>
        <w:jc w:val="center"/>
        <w:rPr>
          <w:rFonts w:ascii="Times New Roman" w:hAnsi="Times New Roman"/>
          <w:b w:val="0"/>
          <w:bCs/>
          <w:szCs w:val="24"/>
          <w:lang w:eastAsia="zh-CN"/>
        </w:rPr>
      </w:pPr>
      <w:r>
        <w:rPr>
          <w:rFonts w:ascii="Times New Roman" w:hAnsi="Times New Roman"/>
          <w:bCs/>
          <w:szCs w:val="24"/>
          <w:lang w:eastAsia="zh-CN"/>
        </w:rPr>
        <w:t>表</w:t>
      </w:r>
      <w:r>
        <w:rPr>
          <w:rFonts w:hint="eastAsia" w:ascii="Times New Roman" w:hAnsi="Times New Roman"/>
          <w:bCs/>
          <w:szCs w:val="24"/>
          <w:lang w:eastAsia="zh-CN"/>
        </w:rPr>
        <w:t>2.5</w:t>
      </w:r>
      <w:r>
        <w:rPr>
          <w:rFonts w:ascii="Times New Roman" w:hAnsi="Times New Roman"/>
          <w:bCs/>
          <w:szCs w:val="24"/>
          <w:lang w:eastAsia="zh-CN"/>
        </w:rPr>
        <w:t>-</w:t>
      </w:r>
      <w:r>
        <w:rPr>
          <w:rFonts w:hint="eastAsia" w:ascii="Times New Roman" w:hAnsi="Times New Roman"/>
          <w:bCs/>
          <w:szCs w:val="24"/>
          <w:lang w:eastAsia="zh-CN"/>
        </w:rPr>
        <w:t>8  与</w:t>
      </w:r>
      <w:r>
        <w:rPr>
          <w:rFonts w:ascii="Times New Roman" w:hAnsi="Times New Roman"/>
          <w:bCs/>
          <w:szCs w:val="24"/>
          <w:lang w:eastAsia="zh-CN"/>
        </w:rPr>
        <w:t>安徽省“三线一单”公众服务平台</w:t>
      </w:r>
      <w:r>
        <w:rPr>
          <w:rFonts w:hint="eastAsia" w:ascii="Times New Roman" w:hAnsi="Times New Roman"/>
          <w:bCs/>
          <w:szCs w:val="24"/>
          <w:lang w:eastAsia="zh-CN"/>
        </w:rPr>
        <w:t>分区管控符合性分析</w:t>
      </w:r>
      <w:r>
        <w:rPr>
          <w:rFonts w:ascii="Times New Roman" w:hAnsi="Times New Roman"/>
          <w:bCs/>
          <w:szCs w:val="24"/>
          <w:lang w:eastAsia="zh-CN"/>
        </w:rPr>
        <w:t>一览表</w:t>
      </w:r>
      <w:r>
        <w:rPr>
          <w:rFonts w:hint="eastAsia" w:ascii="Times New Roman" w:hAnsi="Times New Roman"/>
          <w:bCs/>
          <w:szCs w:val="24"/>
          <w:lang w:eastAsia="zh-CN"/>
        </w:rPr>
        <w:t>（摘录）</w:t>
      </w:r>
    </w:p>
    <w:tbl>
      <w:tblPr>
        <w:tblStyle w:val="35"/>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710"/>
        <w:gridCol w:w="5245"/>
        <w:gridCol w:w="3319"/>
        <w:gridCol w:w="472"/>
      </w:tblGrid>
      <w:tr w14:paraId="3E3F7FA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40" w:hRule="atLeast"/>
          <w:jc w:val="center"/>
        </w:trPr>
        <w:tc>
          <w:tcPr>
            <w:tcW w:w="364" w:type="pct"/>
            <w:tcBorders>
              <w:tl2br w:val="nil"/>
              <w:tr2bl w:val="nil"/>
            </w:tcBorders>
            <w:vAlign w:val="center"/>
          </w:tcPr>
          <w:p w14:paraId="39A502E8">
            <w:pPr>
              <w:adjustRightInd w:val="0"/>
              <w:snapToGrid w:val="0"/>
              <w:jc w:val="center"/>
              <w:textAlignment w:val="center"/>
              <w:rPr>
                <w:rFonts w:ascii="Times New Roman" w:hAnsi="Times New Roman" w:cs="Times New Roman"/>
                <w:b/>
                <w:bCs/>
                <w:color w:val="auto"/>
                <w:sz w:val="21"/>
                <w:lang w:eastAsia="zh-CN" w:bidi="ar"/>
              </w:rPr>
            </w:pPr>
            <w:r>
              <w:rPr>
                <w:rFonts w:ascii="Times New Roman" w:hAnsi="Times New Roman" w:cs="Times New Roman"/>
                <w:b/>
                <w:bCs/>
                <w:color w:val="auto"/>
                <w:sz w:val="21"/>
                <w:lang w:eastAsia="zh-CN" w:bidi="ar"/>
              </w:rPr>
              <w:t>管控</w:t>
            </w:r>
          </w:p>
          <w:p w14:paraId="0A6D5CEC">
            <w:pPr>
              <w:adjustRightInd w:val="0"/>
              <w:snapToGrid w:val="0"/>
              <w:jc w:val="center"/>
              <w:textAlignment w:val="center"/>
              <w:rPr>
                <w:rFonts w:ascii="Times New Roman" w:hAnsi="Times New Roman" w:cs="Times New Roman"/>
                <w:b/>
                <w:bCs/>
                <w:color w:val="auto"/>
                <w:sz w:val="21"/>
                <w:lang w:eastAsia="zh-CN" w:bidi="ar"/>
              </w:rPr>
            </w:pPr>
            <w:r>
              <w:rPr>
                <w:rFonts w:ascii="Times New Roman" w:hAnsi="Times New Roman" w:cs="Times New Roman"/>
                <w:b/>
                <w:bCs/>
                <w:color w:val="auto"/>
                <w:sz w:val="21"/>
                <w:lang w:eastAsia="zh-CN" w:bidi="ar"/>
              </w:rPr>
              <w:t>类型</w:t>
            </w:r>
          </w:p>
        </w:tc>
        <w:tc>
          <w:tcPr>
            <w:tcW w:w="2691" w:type="pct"/>
            <w:tcBorders>
              <w:tl2br w:val="nil"/>
              <w:tr2bl w:val="nil"/>
            </w:tcBorders>
            <w:vAlign w:val="center"/>
          </w:tcPr>
          <w:p w14:paraId="2092721F">
            <w:pPr>
              <w:adjustRightInd w:val="0"/>
              <w:snapToGrid w:val="0"/>
              <w:jc w:val="center"/>
              <w:textAlignment w:val="center"/>
              <w:rPr>
                <w:rFonts w:ascii="Times New Roman" w:hAnsi="Times New Roman" w:cs="Times New Roman"/>
                <w:b/>
                <w:bCs/>
                <w:color w:val="auto"/>
                <w:sz w:val="21"/>
                <w:lang w:eastAsia="zh-CN" w:bidi="ar"/>
              </w:rPr>
            </w:pPr>
            <w:r>
              <w:rPr>
                <w:rFonts w:ascii="Times New Roman" w:hAnsi="Times New Roman" w:cs="Times New Roman"/>
                <w:b/>
                <w:bCs/>
                <w:color w:val="auto"/>
                <w:sz w:val="21"/>
                <w:lang w:eastAsia="zh-CN" w:bidi="ar"/>
              </w:rPr>
              <w:t>管控要求</w:t>
            </w:r>
          </w:p>
        </w:tc>
        <w:tc>
          <w:tcPr>
            <w:tcW w:w="1703" w:type="pct"/>
            <w:tcBorders>
              <w:tl2br w:val="nil"/>
              <w:tr2bl w:val="nil"/>
            </w:tcBorders>
            <w:vAlign w:val="center"/>
          </w:tcPr>
          <w:p w14:paraId="2D30E56E">
            <w:pPr>
              <w:adjustRightInd w:val="0"/>
              <w:snapToGrid w:val="0"/>
              <w:jc w:val="center"/>
              <w:textAlignment w:val="center"/>
              <w:rPr>
                <w:rFonts w:ascii="Times New Roman" w:hAnsi="Times New Roman" w:cs="Times New Roman"/>
                <w:b/>
                <w:bCs/>
                <w:color w:val="auto"/>
                <w:sz w:val="21"/>
                <w:lang w:eastAsia="zh-CN" w:bidi="ar"/>
              </w:rPr>
            </w:pPr>
            <w:r>
              <w:rPr>
                <w:rFonts w:ascii="Times New Roman" w:hAnsi="Times New Roman" w:cs="Times New Roman"/>
                <w:b/>
                <w:bCs/>
                <w:color w:val="auto"/>
                <w:sz w:val="21"/>
                <w:lang w:eastAsia="zh-CN" w:bidi="ar"/>
              </w:rPr>
              <w:t>本项目情况</w:t>
            </w:r>
          </w:p>
        </w:tc>
        <w:tc>
          <w:tcPr>
            <w:tcW w:w="242" w:type="pct"/>
            <w:tcBorders>
              <w:tl2br w:val="nil"/>
              <w:tr2bl w:val="nil"/>
            </w:tcBorders>
            <w:vAlign w:val="center"/>
          </w:tcPr>
          <w:p w14:paraId="47DE8274">
            <w:pPr>
              <w:adjustRightInd w:val="0"/>
              <w:snapToGrid w:val="0"/>
              <w:jc w:val="center"/>
              <w:textAlignment w:val="center"/>
              <w:rPr>
                <w:rFonts w:ascii="Times New Roman" w:hAnsi="Times New Roman" w:cs="Times New Roman"/>
                <w:b/>
                <w:bCs/>
                <w:color w:val="auto"/>
                <w:sz w:val="21"/>
                <w:lang w:eastAsia="zh-CN" w:bidi="ar"/>
              </w:rPr>
            </w:pPr>
            <w:r>
              <w:rPr>
                <w:rFonts w:ascii="Times New Roman" w:hAnsi="Times New Roman" w:cs="Times New Roman"/>
                <w:b/>
                <w:bCs/>
                <w:color w:val="auto"/>
                <w:sz w:val="21"/>
                <w:lang w:eastAsia="zh-CN" w:bidi="ar"/>
              </w:rPr>
              <w:t>结论</w:t>
            </w:r>
          </w:p>
        </w:tc>
      </w:tr>
      <w:tr w14:paraId="5AA9393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64" w:type="pct"/>
            <w:tcBorders>
              <w:tl2br w:val="nil"/>
              <w:tr2bl w:val="nil"/>
            </w:tcBorders>
            <w:vAlign w:val="center"/>
          </w:tcPr>
          <w:p w14:paraId="2510BF2D">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空间布局约束</w:t>
            </w:r>
          </w:p>
        </w:tc>
        <w:tc>
          <w:tcPr>
            <w:tcW w:w="2691" w:type="pct"/>
            <w:tcBorders>
              <w:tl2br w:val="nil"/>
              <w:tr2bl w:val="nil"/>
            </w:tcBorders>
            <w:vAlign w:val="center"/>
          </w:tcPr>
          <w:p w14:paraId="0E82D9D9">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1、在城市城区及其近郊禁止新建、扩建钢铁、有色、石化、水泥、化工等重污染企业；</w:t>
            </w:r>
          </w:p>
          <w:p w14:paraId="4CEC0BA9">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2、禁止新建燃料类煤气发生炉（园区现有企业统一建设的清洁煤制气中心除外）；</w:t>
            </w:r>
          </w:p>
          <w:p w14:paraId="16882438">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3、严禁新增钢铁、焦化、电解铝、铸造、水泥和平板玻璃等产能；严格执行钢铁、水泥、平板玻璃等行业产能置换实施办法；</w:t>
            </w:r>
          </w:p>
          <w:p w14:paraId="7FE2394E">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4、严格执行国家关于“两高”产业准入目录和产能总量控制政策措施。严禁新增钢铁、焦化、电解铝、铸造、水泥和平板玻璃等产能；新、改、扩建涉及大宗物料运输的建设项目，原则上不得采用公路运输；</w:t>
            </w:r>
          </w:p>
          <w:p w14:paraId="24BD51AF">
            <w:pPr>
              <w:pStyle w:val="12"/>
              <w:adjustRightInd w:val="0"/>
              <w:snapToGrid w:val="0"/>
              <w:spacing w:after="0"/>
              <w:ind w:left="0" w:leftChars="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5</w:t>
            </w:r>
            <w:r>
              <w:rPr>
                <w:rFonts w:ascii="Times New Roman" w:hAnsi="Times New Roman" w:cs="Times New Roman"/>
                <w:color w:val="auto"/>
                <w:sz w:val="21"/>
                <w:lang w:eastAsia="zh-CN" w:bidi="ar"/>
              </w:rPr>
              <w:t>、在城市建成区及居民区、医院、学校等环境敏感区域，严禁现场露天灰土拌合；</w:t>
            </w:r>
          </w:p>
          <w:p w14:paraId="0DF3733B">
            <w:pPr>
              <w:pStyle w:val="12"/>
              <w:adjustRightInd w:val="0"/>
              <w:snapToGrid w:val="0"/>
              <w:spacing w:after="0"/>
              <w:ind w:left="0" w:leftChars="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6、禁止建设生产和使用高挥发性有机物含量涂料、油墨、胶黏剂、清洗剂等项目；</w:t>
            </w:r>
          </w:p>
          <w:p w14:paraId="4F984AF1">
            <w:pPr>
              <w:pStyle w:val="19"/>
              <w:adjustRightInd w:val="0"/>
              <w:snapToGrid w:val="0"/>
              <w:spacing w:after="0" w:line="240" w:lineRule="auto"/>
              <w:ind w:left="0" w:leftChars="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7、禁止新建、扩建分散燃煤供热锅炉；</w:t>
            </w:r>
          </w:p>
          <w:p w14:paraId="207FD559">
            <w:pPr>
              <w:overflowPunct w:val="0"/>
              <w:topLinePunct/>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8、</w:t>
            </w:r>
            <w:r>
              <w:rPr>
                <w:rFonts w:hint="eastAsia" w:ascii="Times New Roman" w:hAnsi="Times New Roman" w:cs="Times New Roman"/>
                <w:color w:val="auto"/>
                <w:sz w:val="21"/>
                <w:lang w:eastAsia="zh-CN" w:bidi="ar"/>
              </w:rPr>
              <w:t>重点区域钢铁、水泥、焦化、石化、化工、有色等行业，二氧化硫、氮氧化物、颗粒物、挥发性有机物</w:t>
            </w:r>
          </w:p>
          <w:p w14:paraId="632869FB">
            <w:pPr>
              <w:overflowPunct w:val="0"/>
              <w:topLinePunct/>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（VOCs）排放全面执行大气污染物特别排放限值</w:t>
            </w:r>
            <w:r>
              <w:rPr>
                <w:rFonts w:ascii="Times New Roman" w:hAnsi="Times New Roman" w:cs="Times New Roman"/>
                <w:color w:val="auto"/>
                <w:sz w:val="21"/>
                <w:lang w:eastAsia="zh-CN" w:bidi="ar"/>
              </w:rPr>
              <w:t>；</w:t>
            </w:r>
          </w:p>
          <w:p w14:paraId="2076BA4C">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9、</w:t>
            </w:r>
            <w:r>
              <w:rPr>
                <w:rFonts w:hint="eastAsia" w:ascii="Times New Roman" w:hAnsi="Times New Roman" w:cs="Times New Roman"/>
                <w:color w:val="auto"/>
                <w:sz w:val="21"/>
                <w:lang w:eastAsia="zh-CN" w:bidi="ar"/>
              </w:rPr>
              <w:t>依法开展环境影响评价工作，严格落实生态环境损害责任追究问责制度，对不符合要求占用的岸线、河段、土地和布局的产业，必须无条件退出</w:t>
            </w:r>
            <w:r>
              <w:rPr>
                <w:rFonts w:ascii="Times New Roman" w:hAnsi="Times New Roman" w:cs="Times New Roman"/>
                <w:color w:val="auto"/>
                <w:sz w:val="21"/>
                <w:lang w:eastAsia="zh-CN" w:bidi="ar"/>
              </w:rPr>
              <w:t>；</w:t>
            </w:r>
          </w:p>
          <w:p w14:paraId="05D5AF9C">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10、</w:t>
            </w:r>
            <w:r>
              <w:rPr>
                <w:rFonts w:hint="eastAsia" w:ascii="Times New Roman" w:hAnsi="Times New Roman" w:cs="Times New Roman"/>
                <w:color w:val="auto"/>
                <w:sz w:val="21"/>
                <w:lang w:eastAsia="zh-CN" w:bidi="ar"/>
              </w:rPr>
              <w:t>严格项目准入，所有新建的化工、制药、废弃资源综合利用等产生危险废物的重点行业企业应进入工业园区</w:t>
            </w:r>
            <w:r>
              <w:rPr>
                <w:rFonts w:ascii="Times New Roman" w:hAnsi="Times New Roman" w:cs="Times New Roman"/>
                <w:color w:val="auto"/>
                <w:sz w:val="21"/>
                <w:lang w:eastAsia="zh-CN" w:bidi="ar"/>
              </w:rPr>
              <w:t>；</w:t>
            </w:r>
          </w:p>
        </w:tc>
        <w:tc>
          <w:tcPr>
            <w:tcW w:w="1703" w:type="pct"/>
            <w:tcBorders>
              <w:tl2br w:val="nil"/>
              <w:tr2bl w:val="nil"/>
            </w:tcBorders>
            <w:vAlign w:val="center"/>
          </w:tcPr>
          <w:p w14:paraId="71BE9769">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1、本项目</w:t>
            </w:r>
            <w:r>
              <w:rPr>
                <w:rFonts w:hint="eastAsia" w:ascii="Times New Roman" w:hAnsi="Times New Roman" w:cs="Times New Roman"/>
                <w:color w:val="auto"/>
                <w:sz w:val="21"/>
                <w:lang w:eastAsia="zh-CN" w:bidi="ar"/>
              </w:rPr>
              <w:t>位于蚌埠沫河口工业园区，不属于</w:t>
            </w:r>
            <w:r>
              <w:rPr>
                <w:rFonts w:ascii="Times New Roman" w:hAnsi="Times New Roman" w:cs="Times New Roman"/>
                <w:color w:val="auto"/>
                <w:sz w:val="21"/>
                <w:lang w:eastAsia="zh-CN" w:bidi="ar"/>
              </w:rPr>
              <w:t>城市城区及其近</w:t>
            </w:r>
            <w:r>
              <w:rPr>
                <w:rFonts w:hint="eastAsia" w:ascii="Times New Roman" w:hAnsi="Times New Roman" w:cs="Times New Roman"/>
                <w:color w:val="auto"/>
                <w:sz w:val="21"/>
                <w:lang w:eastAsia="zh-CN" w:bidi="ar"/>
              </w:rPr>
              <w:t>范围</w:t>
            </w:r>
            <w:r>
              <w:rPr>
                <w:rFonts w:ascii="Times New Roman" w:hAnsi="Times New Roman" w:cs="Times New Roman"/>
                <w:color w:val="auto"/>
                <w:sz w:val="21"/>
                <w:lang w:eastAsia="zh-CN" w:bidi="ar"/>
              </w:rPr>
              <w:t>；</w:t>
            </w:r>
          </w:p>
          <w:p w14:paraId="37C389A3">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2、本项目不涉及燃料类煤气发生炉；</w:t>
            </w:r>
          </w:p>
          <w:p w14:paraId="6383FAAB">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3、本项目不属于钢铁、焦化、电解铝、铸造、水泥和平板玻璃等项目；</w:t>
            </w:r>
          </w:p>
          <w:p w14:paraId="593464C3">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4、本项目不属于两高项目，项目不涉及大宗物料运输；</w:t>
            </w:r>
          </w:p>
          <w:p w14:paraId="4A0A633B">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5、本项目不涉及露天灰土拌合；</w:t>
            </w:r>
          </w:p>
          <w:p w14:paraId="0B8DB8D6">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6、本项目</w:t>
            </w:r>
            <w:r>
              <w:rPr>
                <w:rFonts w:hint="eastAsia" w:ascii="Times New Roman" w:hAnsi="Times New Roman" w:cs="Times New Roman"/>
                <w:color w:val="auto"/>
                <w:sz w:val="21"/>
                <w:lang w:eastAsia="zh-CN" w:bidi="ar"/>
              </w:rPr>
              <w:t>不涉及</w:t>
            </w:r>
            <w:r>
              <w:rPr>
                <w:rFonts w:ascii="Times New Roman" w:hAnsi="Times New Roman" w:cs="Times New Roman"/>
                <w:color w:val="auto"/>
                <w:sz w:val="21"/>
                <w:lang w:eastAsia="zh-CN" w:bidi="ar"/>
              </w:rPr>
              <w:t>涂料、油墨、胶黏剂、清洗剂；</w:t>
            </w:r>
          </w:p>
          <w:p w14:paraId="56F89A85">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7、本项目不涉及分散燃煤供热锅炉；</w:t>
            </w:r>
          </w:p>
          <w:p w14:paraId="1A4CC3AD">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8、本项目</w:t>
            </w:r>
            <w:r>
              <w:rPr>
                <w:rFonts w:hint="eastAsia" w:ascii="Times New Roman" w:hAnsi="Times New Roman" w:cs="Times New Roman"/>
                <w:color w:val="auto"/>
                <w:sz w:val="21"/>
                <w:lang w:eastAsia="zh-CN" w:bidi="ar"/>
              </w:rPr>
              <w:t>废气</w:t>
            </w:r>
            <w:r>
              <w:rPr>
                <w:rFonts w:ascii="Times New Roman" w:hAnsi="Times New Roman" w:cs="Times New Roman"/>
                <w:color w:val="auto"/>
                <w:sz w:val="21"/>
                <w:lang w:eastAsia="zh-CN" w:bidi="ar"/>
              </w:rPr>
              <w:t>污染物氯化氢、</w:t>
            </w:r>
            <w:r>
              <w:rPr>
                <w:rFonts w:hint="eastAsia" w:ascii="Times New Roman" w:hAnsi="Times New Roman" w:cs="Times New Roman"/>
                <w:color w:val="auto"/>
                <w:sz w:val="21"/>
                <w:lang w:eastAsia="zh-CN" w:bidi="ar"/>
              </w:rPr>
              <w:t>氟化物</w:t>
            </w:r>
            <w:r>
              <w:rPr>
                <w:rFonts w:ascii="Times New Roman" w:hAnsi="Times New Roman" w:cs="Times New Roman"/>
                <w:color w:val="auto"/>
                <w:sz w:val="21"/>
                <w:lang w:eastAsia="zh-CN" w:bidi="ar"/>
              </w:rPr>
              <w:t>排放执行《无机化学工业污染物排放标准》（GB31573-2015）中特别排放限值；</w:t>
            </w:r>
          </w:p>
          <w:p w14:paraId="0DFB71C8">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9、本项目</w:t>
            </w:r>
            <w:r>
              <w:rPr>
                <w:rFonts w:hint="eastAsia" w:ascii="Times New Roman" w:hAnsi="Times New Roman" w:cs="Times New Roman"/>
                <w:color w:val="auto"/>
                <w:sz w:val="21"/>
                <w:lang w:eastAsia="zh-CN" w:bidi="ar"/>
              </w:rPr>
              <w:t>正在履行环境影响评价手续，本项目建设符合园区规划、规划环评及审查意见要求，符合蚌埠市生态环境分区管控要求</w:t>
            </w:r>
            <w:r>
              <w:rPr>
                <w:rFonts w:ascii="Times New Roman" w:hAnsi="Times New Roman" w:cs="Times New Roman"/>
                <w:color w:val="auto"/>
                <w:sz w:val="21"/>
                <w:lang w:eastAsia="zh-CN" w:bidi="ar"/>
              </w:rPr>
              <w:t>；</w:t>
            </w:r>
          </w:p>
          <w:p w14:paraId="0248C666">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10、</w:t>
            </w:r>
            <w:r>
              <w:rPr>
                <w:rFonts w:hint="eastAsia" w:ascii="Times New Roman" w:hAnsi="Times New Roman" w:cs="Times New Roman"/>
                <w:color w:val="auto"/>
                <w:sz w:val="21"/>
                <w:lang w:eastAsia="zh-CN" w:bidi="ar"/>
              </w:rPr>
              <w:t>本项目属于改扩建项目，</w:t>
            </w:r>
            <w:r>
              <w:rPr>
                <w:rFonts w:ascii="Times New Roman" w:hAnsi="Times New Roman" w:cs="Times New Roman"/>
                <w:color w:val="auto"/>
                <w:sz w:val="21"/>
                <w:lang w:eastAsia="zh-CN"/>
              </w:rPr>
              <w:t>项目所在的</w:t>
            </w:r>
            <w:r>
              <w:rPr>
                <w:rFonts w:hint="eastAsia" w:ascii="Times New Roman" w:hAnsi="Times New Roman" w:cs="Times New Roman"/>
                <w:color w:val="auto"/>
                <w:sz w:val="21"/>
                <w:lang w:eastAsia="zh-CN"/>
              </w:rPr>
              <w:t>蚌埠精细化工高新技术产业基地</w:t>
            </w:r>
            <w:r>
              <w:rPr>
                <w:rFonts w:ascii="Times New Roman" w:hAnsi="Times New Roman" w:cs="Times New Roman"/>
                <w:color w:val="auto"/>
                <w:sz w:val="21"/>
                <w:lang w:eastAsia="zh-CN"/>
              </w:rPr>
              <w:t>属于安徽省政府认定规范的化工园区</w:t>
            </w:r>
            <w:r>
              <w:rPr>
                <w:rFonts w:ascii="Times New Roman" w:hAnsi="Times New Roman" w:cs="Times New Roman"/>
                <w:color w:val="auto"/>
                <w:sz w:val="21"/>
                <w:lang w:eastAsia="zh-CN" w:bidi="ar"/>
              </w:rPr>
              <w:t>；</w:t>
            </w:r>
          </w:p>
        </w:tc>
        <w:tc>
          <w:tcPr>
            <w:tcW w:w="242" w:type="pct"/>
            <w:tcBorders>
              <w:tl2br w:val="nil"/>
              <w:tr2bl w:val="nil"/>
            </w:tcBorders>
            <w:vAlign w:val="center"/>
          </w:tcPr>
          <w:p w14:paraId="3CEFE822">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符合</w:t>
            </w:r>
          </w:p>
        </w:tc>
      </w:tr>
      <w:tr w14:paraId="56C1B0D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64" w:type="pct"/>
            <w:vMerge w:val="restart"/>
            <w:tcBorders>
              <w:tl2br w:val="nil"/>
              <w:tr2bl w:val="nil"/>
            </w:tcBorders>
            <w:vAlign w:val="center"/>
          </w:tcPr>
          <w:p w14:paraId="2904F429">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污染物排放管控</w:t>
            </w:r>
          </w:p>
        </w:tc>
        <w:tc>
          <w:tcPr>
            <w:tcW w:w="2691" w:type="pct"/>
            <w:tcBorders>
              <w:tl2br w:val="nil"/>
              <w:tr2bl w:val="nil"/>
            </w:tcBorders>
            <w:vAlign w:val="center"/>
          </w:tcPr>
          <w:p w14:paraId="3E178211">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新建、改建、扩建排放重点大气污染物的项目不符合总量控制要求的，不得通过环境影响评价</w:t>
            </w:r>
          </w:p>
        </w:tc>
        <w:tc>
          <w:tcPr>
            <w:tcW w:w="1703" w:type="pct"/>
            <w:tcBorders>
              <w:tl2br w:val="nil"/>
              <w:tr2bl w:val="nil"/>
            </w:tcBorders>
            <w:vAlign w:val="center"/>
          </w:tcPr>
          <w:p w14:paraId="26E5905B">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本项目正在履行环境影响评价手续，项目废气污染物氟化物、氯化氢无需申请总量</w:t>
            </w:r>
          </w:p>
        </w:tc>
        <w:tc>
          <w:tcPr>
            <w:tcW w:w="242" w:type="pct"/>
            <w:tcBorders>
              <w:tl2br w:val="nil"/>
              <w:tr2bl w:val="nil"/>
            </w:tcBorders>
            <w:vAlign w:val="center"/>
          </w:tcPr>
          <w:p w14:paraId="4FDFC627">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符合</w:t>
            </w:r>
          </w:p>
        </w:tc>
      </w:tr>
      <w:tr w14:paraId="455B5CC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64" w:type="pct"/>
            <w:vMerge w:val="continue"/>
            <w:tcBorders>
              <w:tl2br w:val="nil"/>
              <w:tr2bl w:val="nil"/>
            </w:tcBorders>
            <w:vAlign w:val="center"/>
          </w:tcPr>
          <w:p w14:paraId="5FAB014C">
            <w:pPr>
              <w:adjustRightInd w:val="0"/>
              <w:snapToGrid w:val="0"/>
              <w:jc w:val="center"/>
              <w:textAlignment w:val="center"/>
              <w:rPr>
                <w:rFonts w:ascii="Times New Roman" w:hAnsi="Times New Roman" w:cs="Times New Roman"/>
                <w:color w:val="auto"/>
                <w:sz w:val="21"/>
                <w:lang w:eastAsia="zh-CN" w:bidi="ar"/>
              </w:rPr>
            </w:pPr>
          </w:p>
        </w:tc>
        <w:tc>
          <w:tcPr>
            <w:tcW w:w="2691" w:type="pct"/>
            <w:tcBorders>
              <w:tl2br w:val="nil"/>
              <w:tr2bl w:val="nil"/>
            </w:tcBorders>
            <w:vAlign w:val="center"/>
          </w:tcPr>
          <w:p w14:paraId="3E5DB9D8">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全面推动挥发性有机物纳入排污许可管理。禁止建设生产和使用高挥发性有机物含量涂料、油墨、胶粘剂、清洗剂等项目。加快推进石化、化工、涂装、医药、包装印刷和油品储运销等重点行业挥发性有机物深度治理，全面提升废气收集率、治理设施同步运行率和去除率，提高水性、高固体分、无溶剂、粉末、辐射固化等低挥发性有机物含量产品的比重。加大工业涂装、包装印刷等行业低挥发性有机物含量原辅材料替代力度，严格执行涂料、油墨、胶粘剂、清洗剂挥发性有机物含量限值标准，确保生产、销售、进口、使用符合标准的产品</w:t>
            </w:r>
          </w:p>
        </w:tc>
        <w:tc>
          <w:tcPr>
            <w:tcW w:w="1703" w:type="pct"/>
            <w:tcBorders>
              <w:tl2br w:val="nil"/>
              <w:tr2bl w:val="nil"/>
            </w:tcBorders>
            <w:vAlign w:val="center"/>
          </w:tcPr>
          <w:p w14:paraId="2CAF6943">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本项目</w:t>
            </w:r>
            <w:r>
              <w:rPr>
                <w:rFonts w:hint="eastAsia" w:ascii="Times New Roman" w:hAnsi="Times New Roman" w:cs="Times New Roman"/>
                <w:color w:val="auto"/>
                <w:sz w:val="21"/>
                <w:lang w:eastAsia="zh-CN" w:bidi="ar"/>
              </w:rPr>
              <w:t>不涉及挥发性有机物</w:t>
            </w:r>
          </w:p>
        </w:tc>
        <w:tc>
          <w:tcPr>
            <w:tcW w:w="242" w:type="pct"/>
            <w:tcBorders>
              <w:tl2br w:val="nil"/>
              <w:tr2bl w:val="nil"/>
            </w:tcBorders>
            <w:vAlign w:val="center"/>
          </w:tcPr>
          <w:p w14:paraId="6066085A">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符合</w:t>
            </w:r>
          </w:p>
        </w:tc>
      </w:tr>
      <w:tr w14:paraId="20410C0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64" w:type="pct"/>
            <w:vMerge w:val="continue"/>
            <w:tcBorders>
              <w:tl2br w:val="nil"/>
              <w:tr2bl w:val="nil"/>
            </w:tcBorders>
            <w:vAlign w:val="center"/>
          </w:tcPr>
          <w:p w14:paraId="5D042B31">
            <w:pPr>
              <w:adjustRightInd w:val="0"/>
              <w:snapToGrid w:val="0"/>
              <w:jc w:val="center"/>
              <w:textAlignment w:val="center"/>
              <w:rPr>
                <w:rFonts w:ascii="Times New Roman" w:hAnsi="Times New Roman" w:cs="Times New Roman"/>
                <w:color w:val="auto"/>
                <w:sz w:val="21"/>
                <w:lang w:eastAsia="zh-CN" w:bidi="ar"/>
              </w:rPr>
            </w:pPr>
          </w:p>
        </w:tc>
        <w:tc>
          <w:tcPr>
            <w:tcW w:w="2691" w:type="pct"/>
            <w:tcBorders>
              <w:tl2br w:val="nil"/>
              <w:tr2bl w:val="nil"/>
            </w:tcBorders>
            <w:vAlign w:val="center"/>
          </w:tcPr>
          <w:p w14:paraId="03F9E746">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污染物排放标准中有特别排放限值的标准的行业，二氧化硫、氮氧化物、颗粒物、挥发性有机物（VOCs）全面执行大气污染物特别排放限值。已核发排污许可证的，应严格执行许可要求</w:t>
            </w:r>
          </w:p>
        </w:tc>
        <w:tc>
          <w:tcPr>
            <w:tcW w:w="1703" w:type="pct"/>
            <w:tcBorders>
              <w:tl2br w:val="nil"/>
              <w:tr2bl w:val="nil"/>
            </w:tcBorders>
            <w:vAlign w:val="center"/>
          </w:tcPr>
          <w:p w14:paraId="252A0E32">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本项目</w:t>
            </w:r>
            <w:r>
              <w:rPr>
                <w:rFonts w:hint="eastAsia" w:ascii="Times New Roman" w:hAnsi="Times New Roman" w:cs="Times New Roman"/>
                <w:color w:val="auto"/>
                <w:sz w:val="21"/>
                <w:lang w:eastAsia="zh-CN" w:bidi="ar"/>
              </w:rPr>
              <w:t>废气</w:t>
            </w:r>
            <w:r>
              <w:rPr>
                <w:rFonts w:ascii="Times New Roman" w:hAnsi="Times New Roman" w:cs="Times New Roman"/>
                <w:color w:val="auto"/>
                <w:sz w:val="21"/>
                <w:lang w:eastAsia="zh-CN" w:bidi="ar"/>
              </w:rPr>
              <w:t>污染物氯化氢、</w:t>
            </w:r>
            <w:r>
              <w:rPr>
                <w:rFonts w:hint="eastAsia" w:ascii="Times New Roman" w:hAnsi="Times New Roman" w:cs="Times New Roman"/>
                <w:color w:val="auto"/>
                <w:sz w:val="21"/>
                <w:lang w:eastAsia="zh-CN" w:bidi="ar"/>
              </w:rPr>
              <w:t>氟化物</w:t>
            </w:r>
            <w:r>
              <w:rPr>
                <w:rFonts w:ascii="Times New Roman" w:hAnsi="Times New Roman" w:cs="Times New Roman"/>
                <w:color w:val="auto"/>
                <w:sz w:val="21"/>
                <w:lang w:eastAsia="zh-CN" w:bidi="ar"/>
              </w:rPr>
              <w:t>排放执行《无机化学工业污染物排放标准》（GB31573-2015）中特别排放限值</w:t>
            </w:r>
          </w:p>
        </w:tc>
        <w:tc>
          <w:tcPr>
            <w:tcW w:w="242" w:type="pct"/>
            <w:tcBorders>
              <w:tl2br w:val="nil"/>
              <w:tr2bl w:val="nil"/>
            </w:tcBorders>
            <w:vAlign w:val="center"/>
          </w:tcPr>
          <w:p w14:paraId="596F5C9E">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符合</w:t>
            </w:r>
          </w:p>
        </w:tc>
      </w:tr>
      <w:tr w14:paraId="58CC728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64" w:type="pct"/>
            <w:vMerge w:val="continue"/>
            <w:tcBorders>
              <w:tl2br w:val="nil"/>
              <w:tr2bl w:val="nil"/>
            </w:tcBorders>
            <w:vAlign w:val="center"/>
          </w:tcPr>
          <w:p w14:paraId="7A77B206">
            <w:pPr>
              <w:adjustRightInd w:val="0"/>
              <w:snapToGrid w:val="0"/>
              <w:jc w:val="center"/>
              <w:textAlignment w:val="center"/>
              <w:rPr>
                <w:rFonts w:ascii="Times New Roman" w:hAnsi="Times New Roman" w:cs="Times New Roman"/>
                <w:color w:val="auto"/>
                <w:sz w:val="21"/>
                <w:lang w:eastAsia="zh-CN" w:bidi="ar"/>
              </w:rPr>
            </w:pPr>
          </w:p>
        </w:tc>
        <w:tc>
          <w:tcPr>
            <w:tcW w:w="2691" w:type="pct"/>
            <w:tcBorders>
              <w:tl2br w:val="nil"/>
              <w:tr2bl w:val="nil"/>
            </w:tcBorders>
            <w:vAlign w:val="center"/>
          </w:tcPr>
          <w:p w14:paraId="5CF57A94">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建设项目所在水环境控制单元或断面总磷超标的，实施总磷排放量2倍或以上削减替代。所在水环境控制单元或断面总磷达标的，实施总磷排放量等量或以上削减替代。替代量应来源于项目同一水环境控制单元或断面上游拟实施关停、升级改造的工业企业，不得来源于农业源、城镇污水处理厂或已列入流域环境质量改善计划的工业企业。相应的减排措施应确保在项目投产前完成</w:t>
            </w:r>
          </w:p>
        </w:tc>
        <w:tc>
          <w:tcPr>
            <w:tcW w:w="1703" w:type="pct"/>
            <w:tcBorders>
              <w:tl2br w:val="nil"/>
              <w:tr2bl w:val="nil"/>
            </w:tcBorders>
            <w:vAlign w:val="center"/>
          </w:tcPr>
          <w:p w14:paraId="506C56E8">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本项目</w:t>
            </w:r>
            <w:r>
              <w:rPr>
                <w:rFonts w:hint="eastAsia" w:ascii="Times New Roman" w:hAnsi="Times New Roman" w:cs="Times New Roman"/>
                <w:color w:val="auto"/>
                <w:sz w:val="21"/>
                <w:lang w:eastAsia="zh-CN" w:bidi="ar"/>
              </w:rPr>
              <w:t>所使用的原辅材料均不含磷</w:t>
            </w:r>
          </w:p>
        </w:tc>
        <w:tc>
          <w:tcPr>
            <w:tcW w:w="242" w:type="pct"/>
            <w:tcBorders>
              <w:tl2br w:val="nil"/>
              <w:tr2bl w:val="nil"/>
            </w:tcBorders>
            <w:vAlign w:val="center"/>
          </w:tcPr>
          <w:p w14:paraId="674EE5A2">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符合</w:t>
            </w:r>
          </w:p>
        </w:tc>
      </w:tr>
      <w:tr w14:paraId="492C49D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64" w:type="pct"/>
            <w:tcBorders>
              <w:tl2br w:val="nil"/>
              <w:tr2bl w:val="nil"/>
            </w:tcBorders>
            <w:vAlign w:val="center"/>
          </w:tcPr>
          <w:p w14:paraId="3651CC54">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环境风险管控</w:t>
            </w:r>
          </w:p>
        </w:tc>
        <w:tc>
          <w:tcPr>
            <w:tcW w:w="2691" w:type="pct"/>
            <w:tcBorders>
              <w:tl2br w:val="nil"/>
              <w:tr2bl w:val="nil"/>
            </w:tcBorders>
            <w:vAlign w:val="center"/>
          </w:tcPr>
          <w:p w14:paraId="7B1889F4">
            <w:pPr>
              <w:overflowPunct w:val="0"/>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排污单位发生事故或者其他突发性事件，造成或者可</w:t>
            </w:r>
          </w:p>
          <w:p w14:paraId="777154DE">
            <w:pPr>
              <w:overflowPunct w:val="0"/>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能造成水污染事故的，应当立即启动本单位的应急方案，采取隔离等应急措施，防止水污染物进入水体，并向事故发生地的县级以上人民政府或者生态环境行政主管部门报告</w:t>
            </w:r>
          </w:p>
        </w:tc>
        <w:tc>
          <w:tcPr>
            <w:tcW w:w="1703" w:type="pct"/>
            <w:tcBorders>
              <w:tl2br w:val="nil"/>
              <w:tr2bl w:val="nil"/>
            </w:tcBorders>
            <w:vAlign w:val="center"/>
          </w:tcPr>
          <w:p w14:paraId="51D1B2F9">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本项目在运行投产前，需编制突发环境事件应急预案，并报当地生态环境部门备案</w:t>
            </w:r>
          </w:p>
        </w:tc>
        <w:tc>
          <w:tcPr>
            <w:tcW w:w="242" w:type="pct"/>
            <w:tcBorders>
              <w:tl2br w:val="nil"/>
              <w:tr2bl w:val="nil"/>
            </w:tcBorders>
            <w:vAlign w:val="center"/>
          </w:tcPr>
          <w:p w14:paraId="74CBCAB4">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符合</w:t>
            </w:r>
          </w:p>
        </w:tc>
      </w:tr>
      <w:tr w14:paraId="0E961E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64" w:type="pct"/>
            <w:tcBorders>
              <w:tl2br w:val="nil"/>
              <w:tr2bl w:val="nil"/>
            </w:tcBorders>
            <w:vAlign w:val="center"/>
          </w:tcPr>
          <w:p w14:paraId="431966B1">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资源开发效率要求</w:t>
            </w:r>
          </w:p>
        </w:tc>
        <w:tc>
          <w:tcPr>
            <w:tcW w:w="2691" w:type="pct"/>
            <w:tcBorders>
              <w:tl2br w:val="nil"/>
              <w:tr2bl w:val="nil"/>
            </w:tcBorders>
            <w:vAlign w:val="center"/>
          </w:tcPr>
          <w:p w14:paraId="408566DF">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实施“煤改气”和“以电代煤”。在陶瓷、玻璃、铸造等行业积极推进天然气替代煤气化工程，有序实施燃煤设施煤改气。结合区域和行业用能特点，积极推进工业生产、建筑供暖供冷、交通运输、农业生产、居民生活五大领域实施“以电代煤”，着力提高电能占终端能源消费比重</w:t>
            </w:r>
          </w:p>
        </w:tc>
        <w:tc>
          <w:tcPr>
            <w:tcW w:w="1703" w:type="pct"/>
            <w:tcBorders>
              <w:tl2br w:val="nil"/>
              <w:tr2bl w:val="nil"/>
            </w:tcBorders>
            <w:vAlign w:val="center"/>
          </w:tcPr>
          <w:p w14:paraId="58C8594B">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本项目使用清洁能源电能，不涉及煤</w:t>
            </w:r>
          </w:p>
        </w:tc>
        <w:tc>
          <w:tcPr>
            <w:tcW w:w="242" w:type="pct"/>
            <w:tcBorders>
              <w:tl2br w:val="nil"/>
              <w:tr2bl w:val="nil"/>
            </w:tcBorders>
            <w:vAlign w:val="center"/>
          </w:tcPr>
          <w:p w14:paraId="19167BBF">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符合</w:t>
            </w:r>
          </w:p>
        </w:tc>
      </w:tr>
    </w:tbl>
    <w:p w14:paraId="30221B4C">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项目选址位于已经规划的蚌埠精细化工高新技术产业基地，本项目产品为</w:t>
      </w:r>
      <w:r>
        <w:rPr>
          <w:rFonts w:hint="eastAsia" w:ascii="Times New Roman" w:hAnsi="Times New Roman" w:eastAsia="新宋体" w:cs="Times New Roman"/>
          <w:color w:val="auto"/>
          <w:szCs w:val="24"/>
          <w:lang w:eastAsia="zh-CN"/>
        </w:rPr>
        <w:t>化学纯氢氟酸、刻蚀液</w:t>
      </w:r>
      <w:r>
        <w:rPr>
          <w:rFonts w:ascii="Times New Roman" w:hAnsi="Times New Roman" w:eastAsia="新宋体" w:cs="Times New Roman"/>
          <w:color w:val="auto"/>
          <w:szCs w:val="24"/>
          <w:lang w:eastAsia="zh-CN"/>
        </w:rPr>
        <w:t>，对照</w:t>
      </w:r>
      <w:r>
        <w:rPr>
          <w:rFonts w:ascii="Times New Roman" w:hAnsi="Times New Roman" w:cs="Times New Roman"/>
          <w:color w:val="auto"/>
          <w:lang w:eastAsia="zh-CN"/>
        </w:rPr>
        <w:t>《国民经济行业分类与代码》（GB/T4754-2017）</w:t>
      </w:r>
      <w:r>
        <w:rPr>
          <w:rFonts w:ascii="Times New Roman" w:hAnsi="Times New Roman" w:eastAsia="新宋体" w:cs="Times New Roman"/>
          <w:color w:val="auto"/>
          <w:szCs w:val="24"/>
          <w:lang w:eastAsia="zh-CN"/>
        </w:rPr>
        <w:t>，项目产品行业属于</w:t>
      </w:r>
      <w:r>
        <w:rPr>
          <w:rFonts w:hint="eastAsia" w:ascii="Times New Roman" w:hAnsi="Times New Roman" w:cs="Times New Roman"/>
          <w:color w:val="auto"/>
          <w:lang w:eastAsia="zh-CN"/>
        </w:rPr>
        <w:t>C2669其他专用化学产品制造、C3985电子专用材料制造</w:t>
      </w:r>
      <w:r>
        <w:rPr>
          <w:rFonts w:ascii="Times New Roman" w:hAnsi="Times New Roman" w:eastAsia="新宋体" w:cs="Times New Roman"/>
          <w:color w:val="auto"/>
          <w:szCs w:val="24"/>
          <w:lang w:eastAsia="zh-CN"/>
        </w:rPr>
        <w:t>，为园区主导产业，符合园区产业定位要求。</w:t>
      </w:r>
    </w:p>
    <w:p w14:paraId="419EC4F5">
      <w:pPr>
        <w:spacing w:line="360" w:lineRule="auto"/>
        <w:ind w:firstLine="480" w:firstLineChars="200"/>
        <w:jc w:val="both"/>
        <w:rPr>
          <w:rFonts w:ascii="Times New Roman" w:hAnsi="Times New Roman" w:cs="Times New Roman"/>
          <w:color w:val="auto"/>
          <w:szCs w:val="24"/>
          <w:lang w:val="zh-CN" w:eastAsia="zh-CN"/>
        </w:rPr>
        <w:sectPr>
          <w:pgSz w:w="11906" w:h="16838"/>
          <w:pgMar w:top="1440" w:right="1080" w:bottom="1440" w:left="1080" w:header="851" w:footer="992" w:gutter="0"/>
          <w:cols w:space="720" w:num="1"/>
          <w:docGrid w:type="lines" w:linePitch="312" w:charSpace="0"/>
        </w:sectPr>
      </w:pPr>
      <w:r>
        <w:rPr>
          <w:rFonts w:ascii="Times New Roman" w:hAnsi="Times New Roman" w:eastAsia="新宋体" w:cs="Times New Roman"/>
          <w:color w:val="auto"/>
          <w:szCs w:val="24"/>
          <w:lang w:eastAsia="zh-CN"/>
        </w:rPr>
        <w:t>综上所述，本项目建设符合</w:t>
      </w:r>
      <w:r>
        <w:rPr>
          <w:rFonts w:hint="eastAsia" w:ascii="Times New Roman" w:hAnsi="Times New Roman" w:eastAsia="新宋体" w:cs="Times New Roman"/>
          <w:color w:val="auto"/>
          <w:szCs w:val="24"/>
          <w:lang w:eastAsia="zh-CN"/>
        </w:rPr>
        <w:t>生态环境分区管控</w:t>
      </w:r>
      <w:r>
        <w:rPr>
          <w:rFonts w:ascii="Times New Roman" w:hAnsi="Times New Roman" w:eastAsia="新宋体" w:cs="Times New Roman"/>
          <w:color w:val="auto"/>
          <w:szCs w:val="24"/>
          <w:lang w:eastAsia="zh-CN"/>
        </w:rPr>
        <w:t>要求。</w:t>
      </w:r>
    </w:p>
    <w:p w14:paraId="02F6B4F6">
      <w:pPr>
        <w:spacing w:line="360" w:lineRule="auto"/>
        <w:jc w:val="center"/>
        <w:rPr>
          <w:rFonts w:ascii="Times New Roman" w:hAnsi="Times New Roman" w:eastAsia="新宋体" w:cs="Times New Roman"/>
          <w:color w:val="auto"/>
          <w:szCs w:val="24"/>
          <w:lang w:eastAsia="zh-CN"/>
        </w:rPr>
      </w:pPr>
      <w:r>
        <w:rPr>
          <w:rFonts w:ascii="Times New Roman" w:hAnsi="Times New Roman" w:cs="Times New Roman"/>
          <w:color w:val="auto"/>
        </w:rPr>
        <mc:AlternateContent>
          <mc:Choice Requires="wps">
            <w:drawing>
              <wp:anchor distT="0" distB="0" distL="114300" distR="114300" simplePos="0" relativeHeight="251708416" behindDoc="0" locked="0" layoutInCell="1" allowOverlap="1">
                <wp:simplePos x="0" y="0"/>
                <wp:positionH relativeFrom="column">
                  <wp:posOffset>6423660</wp:posOffset>
                </wp:positionH>
                <wp:positionV relativeFrom="paragraph">
                  <wp:posOffset>2122805</wp:posOffset>
                </wp:positionV>
                <wp:extent cx="977900" cy="297815"/>
                <wp:effectExtent l="133350" t="0" r="12700" b="540385"/>
                <wp:wrapNone/>
                <wp:docPr id="1315176493" name="自选图形 4338"/>
                <wp:cNvGraphicFramePr/>
                <a:graphic xmlns:a="http://schemas.openxmlformats.org/drawingml/2006/main">
                  <a:graphicData uri="http://schemas.microsoft.com/office/word/2010/wordprocessingShape">
                    <wps:wsp>
                      <wps:cNvSpPr>
                        <a:spLocks noChangeArrowheads="1"/>
                      </wps:cNvSpPr>
                      <wps:spPr bwMode="auto">
                        <a:xfrm>
                          <a:off x="0" y="0"/>
                          <a:ext cx="977900" cy="297815"/>
                        </a:xfrm>
                        <a:prstGeom prst="wedgeRoundRectCallout">
                          <a:avLst>
                            <a:gd name="adj1" fmla="val -60579"/>
                            <a:gd name="adj2" fmla="val 205435"/>
                            <a:gd name="adj3" fmla="val 16667"/>
                          </a:avLst>
                        </a:prstGeom>
                        <a:solidFill>
                          <a:srgbClr val="FFFFFF"/>
                        </a:solidFill>
                        <a:ln w="9525">
                          <a:solidFill>
                            <a:srgbClr val="000000"/>
                          </a:solidFill>
                          <a:miter lim="800000"/>
                        </a:ln>
                      </wps:spPr>
                      <wps:txbx>
                        <w:txbxContent>
                          <w:p w14:paraId="58AF5627">
                            <w:pPr>
                              <w:jc w:val="center"/>
                              <w:rPr>
                                <w:b/>
                                <w:bCs/>
                                <w:lang w:eastAsia="zh-CN"/>
                              </w:rPr>
                            </w:pPr>
                            <w:r>
                              <w:rPr>
                                <w:rFonts w:hint="eastAsia"/>
                                <w:b/>
                                <w:bCs/>
                                <w:lang w:eastAsia="zh-CN"/>
                              </w:rPr>
                              <w:t>项目位置</w:t>
                            </w:r>
                          </w:p>
                        </w:txbxContent>
                      </wps:txbx>
                      <wps:bodyPr rot="0" vert="horz" wrap="square" lIns="91440" tIns="45720" rIns="91440" bIns="45720" anchor="t" anchorCtr="0" upright="1">
                        <a:noAutofit/>
                      </wps:bodyPr>
                    </wps:wsp>
                  </a:graphicData>
                </a:graphic>
              </wp:anchor>
            </w:drawing>
          </mc:Choice>
          <mc:Fallback>
            <w:pict>
              <v:shape id="自选图形 4338" o:spid="_x0000_s1026" o:spt="62" type="#_x0000_t62" style="position:absolute;left:0pt;margin-left:505.8pt;margin-top:167.15pt;height:23.45pt;width:77pt;z-index:251708416;mso-width-relative:page;mso-height-relative:page;" fillcolor="#FFFFFF" filled="t" stroked="t" coordsize="21600,21600" o:gfxdata="UEsDBAoAAAAAAIdO4kAAAAAAAAAAAAAAAAAEAAAAZHJzL1BLAwQUAAAACACHTuJASCH8pdgAAAAN&#10;AQAADwAAAGRycy9kb3ducmV2LnhtbE2PwU7DMBBE70j8g7VI3KjtBKIS4lQIwYkTJQe4ufGSRI3X&#10;Uew2ha9ne4LjzD7NzlSbkx/FEec4BDKgVwoEUhvcQJ2B5v3lZg0iJkvOjoHQwDdG2NSXF5UtXVjo&#10;DY/b1AkOoVhaA31KUyllbHv0Nq7ChMS3rzB7m1jOnXSzXTjcjzJTqpDeDsQfejvhU4/tfnvwBrLM&#10;Nh+P6mdRnyktOD03r/ft3pjrK60eQCQ8pT8YzvW5OtTcaRcO5KIYWSutC2YN5PltDuKM6OKOrR1b&#10;a52BrCv5f0X9C1BLAwQUAAAACACHTuJAHOxlyIkCAAATBQAADgAAAGRycy9lMm9Eb2MueG1srVRL&#10;btRAEN0jcYdW7xN/ZjyeseKJoomCkAJECRygp922G/pjutvjCSt2iDOwY8kd4DaR4BaU207iBBYs&#10;8MKqclW9+rwqHx3vpUA7ZizXKsfRYYgRU1QXXFU5fvP67GCJkXVEFURoxXJ8zSw+Xj99ctQ1GYt1&#10;rUXBDAIQZbOuyXHtXJMFgaU1k8Qe6oYpMJbaSOJANVVQGNIBuhRBHIaLoNOmaIymzFr4ejoY8Yho&#10;/gVQlyWn7FTTVjLlBlTDBHHQkq15Y/HaV1uWjLpXZWmZQyLH0Knzb0gC8rZ/B+sjklWGNDWnYwnk&#10;X0p41JMkXEHSO6hT4ghqDf8DSnJqtNWlO6RaBkMjfiLQRRQ+ms1VTRrme4FR2+Zu6Pb/wdKXuwuD&#10;eAGbMIuSKF3MVzOMFJHA/M9P3359/Hzz5cfN969oPpst+2l1jc0g6Kq5MH2/tjnX9J1FSm9qoip2&#10;YozuakYKqDHq/YMHAb1iIRRtuxe6gBykddoPbl8a2QPCSNDe83N9xw/bO0Th4ypNVyEwR8EUr9Jl&#10;lPgMJLsNbox1z5iWqBdy3LGiYpe6VcUlLMKGCKFb57OR3bl1nq9ibJYUbyOMSimA/h0R6GARJulq&#10;3I+JUzx1isNkPvNFAPMTJxjhPVK0WCzSsdAxb0Cy21L9ELXgxRkXwium2m6EQVBEjs/8MwbbqZtQ&#10;qIOJJHHiG3pgs1OI0D9/g5DcwSULLnO8nDoJNdLWMzUw7vbb/Uj+VhfXQKDRwy3BnwSEWpsPGHVw&#10;Rzm271tiGEbiuYIlWEXzeX94XpknaQyKmVq2UwtRFKBy7DAaxI0bjrVtDK9qyBT5dpU+gcUpubvd&#10;sKGqsW64FZAeHONU9173/7L1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Egh/KXYAAAADQEAAA8A&#10;AAAAAAAAAQAgAAAAIgAAAGRycy9kb3ducmV2LnhtbFBLAQIUABQAAAAIAIdO4kAc7GXIiQIAABMF&#10;AAAOAAAAAAAAAAEAIAAAACcBAABkcnMvZTJvRG9jLnhtbFBLBQYAAAAABgAGAFkBAAAiBgAAAAA=&#10;" adj="-2285,55174,14400">
                <v:fill on="t" focussize="0,0"/>
                <v:stroke color="#000000" miterlimit="8" joinstyle="miter"/>
                <v:imagedata o:title=""/>
                <o:lock v:ext="edit" aspectratio="f"/>
                <v:textbox>
                  <w:txbxContent>
                    <w:p w14:paraId="58AF5627">
                      <w:pPr>
                        <w:jc w:val="center"/>
                        <w:rPr>
                          <w:b/>
                          <w:bCs/>
                          <w:lang w:eastAsia="zh-CN"/>
                        </w:rPr>
                      </w:pPr>
                      <w:r>
                        <w:rPr>
                          <w:rFonts w:hint="eastAsia"/>
                          <w:b/>
                          <w:bCs/>
                          <w:lang w:eastAsia="zh-CN"/>
                        </w:rPr>
                        <w:t>项目位置</w:t>
                      </w:r>
                    </w:p>
                  </w:txbxContent>
                </v:textbox>
              </v:shape>
            </w:pict>
          </mc:Fallback>
        </mc:AlternateContent>
      </w:r>
      <w:r>
        <w:rPr>
          <w:rFonts w:ascii="Times New Roman" w:hAnsi="Times New Roman" w:cs="Times New Roman"/>
          <w:snapToGrid/>
          <w:color w:val="auto"/>
        </w:rPr>
        <mc:AlternateContent>
          <mc:Choice Requires="wps">
            <w:drawing>
              <wp:anchor distT="0" distB="0" distL="114300" distR="114300" simplePos="0" relativeHeight="251888640" behindDoc="0" locked="0" layoutInCell="1" allowOverlap="1">
                <wp:simplePos x="0" y="0"/>
                <wp:positionH relativeFrom="column">
                  <wp:posOffset>6241415</wp:posOffset>
                </wp:positionH>
                <wp:positionV relativeFrom="paragraph">
                  <wp:posOffset>2760980</wp:posOffset>
                </wp:positionV>
                <wp:extent cx="214630" cy="397510"/>
                <wp:effectExtent l="0" t="0" r="13970" b="21590"/>
                <wp:wrapNone/>
                <wp:docPr id="1890799449" name="矩形 728"/>
                <wp:cNvGraphicFramePr/>
                <a:graphic xmlns:a="http://schemas.openxmlformats.org/drawingml/2006/main">
                  <a:graphicData uri="http://schemas.microsoft.com/office/word/2010/wordprocessingShape">
                    <wps:wsp>
                      <wps:cNvSpPr/>
                      <wps:spPr>
                        <a:xfrm>
                          <a:off x="0" y="0"/>
                          <a:ext cx="214685" cy="397566"/>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728" o:spid="_x0000_s1026" o:spt="1" style="position:absolute;left:0pt;margin-left:491.45pt;margin-top:217.4pt;height:31.3pt;width:16.9pt;z-index:251888640;v-text-anchor:middle;mso-width-relative:page;mso-height-relative:page;" filled="f" stroked="t" coordsize="21600,21600" o:gfxdata="UEsDBAoAAAAAAIdO4kAAAAAAAAAAAAAAAAAEAAAAZHJzL1BLAwQUAAAACACHTuJAziYKX9sAAAAM&#10;AQAADwAAAGRycy9kb3ducmV2LnhtbE2Py07DMBBF90j8gzVI7KidENImjVMJpNJFJR6lH+DGQxyI&#10;x1HstOXvcVewnJmjO+dWq7Pt2RFH3zmSkMwEMKTG6Y5aCfuP9d0CmA+KtOodoYQf9LCqr68qVWp3&#10;onc87kLLYgj5UkkwIQwl574xaJWfuQEp3j7daFWI49hyPapTDLc9T4XIuVUdxQ9GDfhksPneTVbC&#10;y8Y/b77yKd0KNeb4ujZvD9tHKW9vErEEFvAc/mC46Ed1qKPTwU2kPeslFIu0iKiE7D6LHS6ESPI5&#10;sENcFfMMeF3x/yXqX1BLAwQUAAAACACHTuJAZiM4ZXYCAADVBAAADgAAAGRycy9lMm9Eb2MueG1s&#10;rVTNbhMxEL4j8Q6W73Q3Ic3PqpsqalqEVNFKBXF2vHbWkv8YO9mUl0Hi1ofgcRCvwdi7/aFw6IEc&#10;NjOe8Yy/z9/45PRgNNkLCMrZmo6OSkqE5a5RdlvTTx8v3swpCZHZhmlnRU1vRaCny9evTjpfibFr&#10;nW4EECxiQ9X5mrYx+qooAm+FYeHIeWExKB0YFtGFbdEA67C60cW4LKdF56Dx4LgIAVfXfZAOFeEl&#10;BZ2Uiou14zsjbOyrgtAsIqTQKh/oMp9WSsHjlZRBRKJrikhj/mITtDfpWyxPWLUF5lvFhyOwlxzh&#10;GSbDlMWmD6XWLDKyA/VXKaM4uOBkPOLOFD2QzAiiGJXPuLlpmRcZC1Id/APp4f+V5R/210BUg0qY&#10;L8rZYjGZLCixzODN//p29/PHdzIbzxNNnQ8VZt/4axi8gGbCfJBg0j+iIYdM7e0DteIQCcfF8Wgy&#10;nR9TwjH0djE7nk5TzeJxs4cQ3wlnSDJqCnhzmVC2vwyxT71PSb2su1Ba4zqrtCUdHn88K/FSOUNJ&#10;SpQCmsYjrGC3lDC9Ra3zCLlkcFo1aXvaHWC7OdNA9gwVcn5e4m842R9pqfeahbbPy6GUxiqjIo6D&#10;Vqam87T5fre2CC9x1rOUrI1rbpFscL0Kg+cXCsteshCvGaDs8Pw4mPEKP1I7BOUGi5LWwdd/rad8&#10;VANGKelQxgj4y46BoES/t6iTxWgySbrPzuR4NkYHnkY2TyN2Z84c8jDCJ8DzbKb8qO9NCc58xvld&#10;pa4YYpZj757awTmL/XjhC8DFapXTUOuexUt743kq3l/gahedVPluH9kZSEO1Z3UMk5nG6amfsx5f&#10;o+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ziYKX9sAAAAMAQAADwAAAAAAAAABACAAAAAiAAAA&#10;ZHJzL2Rvd25yZXYueG1sUEsBAhQAFAAAAAgAh07iQGYjOGV2AgAA1QQAAA4AAAAAAAAAAQAgAAAA&#10;KgEAAGRycy9lMm9Eb2MueG1sUEsFBgAAAAAGAAYAWQEAABIGAAAAAA==&#10;">
                <v:fill on="f" focussize="0,0"/>
                <v:stroke weight="1pt" color="#EE0000 [3204]" miterlimit="8" joinstyle="miter"/>
                <v:imagedata o:title=""/>
                <o:lock v:ext="edit" aspectratio="f"/>
              </v:rect>
            </w:pict>
          </mc:Fallback>
        </mc:AlternateContent>
      </w:r>
      <w:r>
        <w:rPr>
          <w:snapToGrid/>
          <w:lang w:eastAsia="zh-CN"/>
        </w:rPr>
        <w:t xml:space="preserve"> </w:t>
      </w:r>
      <w:r>
        <w:rPr>
          <w:snapToGrid/>
        </w:rPr>
        <w:drawing>
          <wp:inline distT="0" distB="0" distL="0" distR="0">
            <wp:extent cx="8863330" cy="5368290"/>
            <wp:effectExtent l="0" t="0" r="0" b="3810"/>
            <wp:docPr id="16044315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431542" name="图片 1"/>
                    <pic:cNvPicPr>
                      <a:picLocks noChangeAspect="1"/>
                    </pic:cNvPicPr>
                  </pic:nvPicPr>
                  <pic:blipFill>
                    <a:blip r:embed="rId52"/>
                    <a:stretch>
                      <a:fillRect/>
                    </a:stretch>
                  </pic:blipFill>
                  <pic:spPr>
                    <a:xfrm>
                      <a:off x="0" y="0"/>
                      <a:ext cx="8863330" cy="5368290"/>
                    </a:xfrm>
                    <a:prstGeom prst="rect">
                      <a:avLst/>
                    </a:prstGeom>
                  </pic:spPr>
                </pic:pic>
              </a:graphicData>
            </a:graphic>
          </wp:inline>
        </w:drawing>
      </w:r>
    </w:p>
    <w:p w14:paraId="4D88FF8F">
      <w:pPr>
        <w:spacing w:line="360" w:lineRule="auto"/>
        <w:ind w:firstLine="482"/>
        <w:jc w:val="center"/>
        <w:rPr>
          <w:rFonts w:ascii="Times New Roman" w:hAnsi="Times New Roman" w:eastAsia="新宋体" w:cs="Times New Roman"/>
          <w:color w:val="auto"/>
          <w:szCs w:val="24"/>
          <w:lang w:eastAsia="zh-CN"/>
        </w:rPr>
        <w:sectPr>
          <w:pgSz w:w="16838" w:h="11906" w:orient="landscape"/>
          <w:pgMar w:top="1080" w:right="1440" w:bottom="1080" w:left="1440" w:header="851" w:footer="992" w:gutter="0"/>
          <w:cols w:space="720" w:num="1"/>
          <w:docGrid w:type="lines" w:linePitch="312" w:charSpace="0"/>
        </w:sectPr>
      </w:pPr>
      <w:r>
        <w:rPr>
          <w:rFonts w:ascii="Times New Roman" w:hAnsi="Times New Roman" w:eastAsia="新宋体" w:cs="Times New Roman"/>
          <w:b/>
          <w:bCs/>
          <w:color w:val="auto"/>
          <w:szCs w:val="24"/>
          <w:lang w:eastAsia="zh-CN"/>
        </w:rPr>
        <w:t>图2.5-</w:t>
      </w:r>
      <w:r>
        <w:rPr>
          <w:rFonts w:hint="eastAsia" w:ascii="Times New Roman" w:hAnsi="Times New Roman" w:eastAsia="新宋体" w:cs="Times New Roman"/>
          <w:b/>
          <w:bCs/>
          <w:color w:val="auto"/>
          <w:szCs w:val="24"/>
          <w:lang w:eastAsia="zh-CN"/>
        </w:rPr>
        <w:t>3</w:t>
      </w:r>
      <w:r>
        <w:rPr>
          <w:rFonts w:ascii="Times New Roman" w:hAnsi="Times New Roman" w:eastAsia="新宋体" w:cs="Times New Roman"/>
          <w:b/>
          <w:bCs/>
          <w:color w:val="auto"/>
          <w:szCs w:val="24"/>
          <w:lang w:eastAsia="zh-CN"/>
        </w:rPr>
        <w:t xml:space="preserve"> 安徽省“三线一单”平台截图</w:t>
      </w:r>
    </w:p>
    <w:p w14:paraId="1BC0E1A7">
      <w:pPr>
        <w:spacing w:line="360" w:lineRule="auto"/>
        <w:jc w:val="center"/>
        <w:rPr>
          <w:rFonts w:ascii="Times New Roman" w:hAnsi="Times New Roman" w:cs="Times New Roman"/>
          <w:color w:val="auto"/>
        </w:rPr>
        <w:sectPr>
          <w:pgSz w:w="16838" w:h="11906" w:orient="landscape"/>
          <w:pgMar w:top="1080" w:right="1440" w:bottom="1080" w:left="1440" w:header="851" w:footer="992" w:gutter="0"/>
          <w:cols w:space="720" w:num="1"/>
          <w:docGrid w:type="lines" w:linePitch="312" w:charSpace="0"/>
        </w:sectPr>
      </w:pPr>
      <w:r>
        <w:rPr>
          <w:rFonts w:ascii="Times New Roman" w:hAnsi="Times New Roman" w:cs="Times New Roman"/>
          <w:color w:val="auto"/>
        </w:rPr>
        <mc:AlternateContent>
          <mc:Choice Requires="wps">
            <w:drawing>
              <wp:anchor distT="0" distB="0" distL="114300" distR="114300" simplePos="0" relativeHeight="251830272" behindDoc="0" locked="0" layoutInCell="1" allowOverlap="1">
                <wp:simplePos x="0" y="0"/>
                <wp:positionH relativeFrom="column">
                  <wp:posOffset>4576445</wp:posOffset>
                </wp:positionH>
                <wp:positionV relativeFrom="paragraph">
                  <wp:posOffset>2939415</wp:posOffset>
                </wp:positionV>
                <wp:extent cx="1224280" cy="333375"/>
                <wp:effectExtent l="304800" t="0" r="13970" b="866775"/>
                <wp:wrapNone/>
                <wp:docPr id="1900916447" name="自选图形 4338"/>
                <wp:cNvGraphicFramePr/>
                <a:graphic xmlns:a="http://schemas.openxmlformats.org/drawingml/2006/main">
                  <a:graphicData uri="http://schemas.microsoft.com/office/word/2010/wordprocessingShape">
                    <wps:wsp>
                      <wps:cNvSpPr>
                        <a:spLocks noChangeArrowheads="1"/>
                      </wps:cNvSpPr>
                      <wps:spPr bwMode="auto">
                        <a:xfrm>
                          <a:off x="0" y="0"/>
                          <a:ext cx="1224280" cy="333375"/>
                        </a:xfrm>
                        <a:prstGeom prst="wedgeRoundRectCallout">
                          <a:avLst>
                            <a:gd name="adj1" fmla="val -71169"/>
                            <a:gd name="adj2" fmla="val 282683"/>
                            <a:gd name="adj3" fmla="val 16667"/>
                          </a:avLst>
                        </a:prstGeom>
                        <a:solidFill>
                          <a:srgbClr val="FFFFFF"/>
                        </a:solidFill>
                        <a:ln w="9525">
                          <a:solidFill>
                            <a:srgbClr val="000000"/>
                          </a:solidFill>
                          <a:miter lim="800000"/>
                        </a:ln>
                      </wps:spPr>
                      <wps:txbx>
                        <w:txbxContent>
                          <w:p w14:paraId="5D509CE0">
                            <w:pPr>
                              <w:jc w:val="center"/>
                              <w:rPr>
                                <w:b/>
                                <w:bCs/>
                                <w:lang w:eastAsia="zh-CN"/>
                              </w:rPr>
                            </w:pPr>
                            <w:r>
                              <w:rPr>
                                <w:rFonts w:hint="eastAsia"/>
                                <w:b/>
                                <w:bCs/>
                                <w:lang w:eastAsia="zh-CN"/>
                              </w:rPr>
                              <w:t>项目位置</w:t>
                            </w:r>
                          </w:p>
                        </w:txbxContent>
                      </wps:txbx>
                      <wps:bodyPr rot="0" vert="horz" wrap="square" lIns="91440" tIns="45720" rIns="91440" bIns="45720" anchor="t" anchorCtr="0" upright="1">
                        <a:noAutofit/>
                      </wps:bodyPr>
                    </wps:wsp>
                  </a:graphicData>
                </a:graphic>
              </wp:anchor>
            </w:drawing>
          </mc:Choice>
          <mc:Fallback>
            <w:pict>
              <v:shape id="自选图形 4338" o:spid="_x0000_s1026" o:spt="62" type="#_x0000_t62" style="position:absolute;left:0pt;margin-left:360.35pt;margin-top:231.45pt;height:26.25pt;width:96.4pt;z-index:251830272;mso-width-relative:page;mso-height-relative:page;" fillcolor="#FFFFFF" filled="t" stroked="t" coordsize="21600,21600" o:gfxdata="UEsDBAoAAAAAAIdO4kAAAAAAAAAAAAAAAAAEAAAAZHJzL1BLAwQUAAAACACHTuJAgdSaqdwAAAAL&#10;AQAADwAAAGRycy9kb3ducmV2LnhtbE2Py07DMBBF90j8gzVI7Kid0KQkxKlURFUe3TSF/TQ2SUQ8&#10;DrGblr/HrGA5ukf3nimWZ9OzSY+usyQhmglgmmqrOmokvO3XN3fAnEdS2FvSEr61g2V5eVFgruyJ&#10;dnqqfMNCCbkcJbTeDznnrm61QTezg6aQfdjRoA/n2HA14imUm57HQqTcYEdhocVBP7S6/qyORsJ+&#10;9TU9b57w5ZHWr9vtJlul1ftOyuurSNwD8/rs/2D41Q/qUAangz2ScqyXsIjFIqAS5mmcAQtEFt0m&#10;wA4SkiiZAy8L/v+H8gdQSwMEFAAAAAgAh07iQHk6af6FAgAAFAUAAA4AAABkcnMvZTJvRG9jLnht&#10;bK1UzW7UMBC+I/EOlu9tfjab3Y2araqtipAKVC08gNd2EoNjB9vZbDlxQzwDN468A7xNJXgLJk5a&#10;0pYDB3yIPJmZb36+GR8d72uJdtxYoVWOo8MQI66oZkKVOX7z+uxgiZF1RDEiteI5vuYWH6+fPjnq&#10;mozHutKScYMARNmsa3JcOddkQWBpxWtiD3XDFSgLbWriQDRlwAzpAL2WQRyGadBpwxqjKbcW/p4O&#10;Sjwimn8B1EUhKD/VtK25cgOq4ZI4KMlWorF47bMtCk7dq6Kw3CGZY6jU+S8Egfu2/wbrI5KVhjSV&#10;oGMK5F9SeFBTTYSCoHdQp8QR1BrxCKoW1GirC3dIdR0MhfiOQBVR+KA3VxVpuK8FWm2bu6bb/wdL&#10;X+4uDBIMJmEVhqsoTZIFRorUwPzPT99+ffx88+XHzfevKJnNln23usZm4HTVXJi+Xtuca/rOIqU3&#10;FVElPzFGdxUnDHKMevvgnkMvWHBF2+6FZhCDtE77xu0LU/eA0BK09/xc3/HD9w5R+BnFcRIvgToK&#10;uhmcxdyHINmtd2Ose8Z1jfpLjjvOSn6pW8UuYRI2RErdOh+O7M6t84SxsVrC3kYYFbUE/ndEooNF&#10;FKWrcUAmRvHUKF7G6XL22Gg2NYrSNF2MiY5xA5Ldpuq7qKVgZ0JKL5hyu5EGQRI5PvNndLZTM6lQ&#10;l+PVPJ77gu7p7BQi9OdvELVwsMpS1DleTo2kGnnrqRood/vtfmR/q9k1MGj0sEzwlMCl0uYDRh0s&#10;Uo7t+5YYjpF8rmAKVlGS9JvnhWS+iEEwU812qiGKAlSOHUbDdeOGbW0bI8oKIkW+XKVPYHIK4W5H&#10;bMhqzBuWBW73tnEqe6s/j9n6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IHUmqncAAAACwEAAA8A&#10;AAAAAAAAAQAgAAAAIgAAAGRycy9kb3ducmV2LnhtbFBLAQIUABQAAAAIAIdO4kB5Omn+hQIAABQF&#10;AAAOAAAAAAAAAAEAIAAAACsBAABkcnMvZTJvRG9jLnhtbFBLBQYAAAAABgAGAFkBAAAiBgAAAAA=&#10;" adj="-4573,71860,14400">
                <v:fill on="t" focussize="0,0"/>
                <v:stroke color="#000000" miterlimit="8" joinstyle="miter"/>
                <v:imagedata o:title=""/>
                <o:lock v:ext="edit" aspectratio="f"/>
                <v:textbox>
                  <w:txbxContent>
                    <w:p w14:paraId="5D509CE0">
                      <w:pPr>
                        <w:jc w:val="center"/>
                        <w:rPr>
                          <w:b/>
                          <w:bCs/>
                          <w:lang w:eastAsia="zh-CN"/>
                        </w:rPr>
                      </w:pPr>
                      <w:r>
                        <w:rPr>
                          <w:rFonts w:hint="eastAsia"/>
                          <w:b/>
                          <w:bCs/>
                          <w:lang w:eastAsia="zh-CN"/>
                        </w:rPr>
                        <w:t>项目位置</w:t>
                      </w:r>
                    </w:p>
                  </w:txbxContent>
                </v:textbox>
              </v:shape>
            </w:pict>
          </mc:Fallback>
        </mc:AlternateContent>
      </w:r>
      <w:r>
        <w:rPr>
          <w:snapToGrid/>
          <w:lang w:eastAsia="zh-CN"/>
        </w:rPr>
        <w:drawing>
          <wp:inline distT="0" distB="0" distL="0" distR="0">
            <wp:extent cx="8715375" cy="6191250"/>
            <wp:effectExtent l="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8715375" cy="6191250"/>
                    </a:xfrm>
                    <a:prstGeom prst="rect">
                      <a:avLst/>
                    </a:prstGeom>
                    <a:noFill/>
                    <a:ln>
                      <a:noFill/>
                    </a:ln>
                  </pic:spPr>
                </pic:pic>
              </a:graphicData>
            </a:graphic>
          </wp:inline>
        </w:drawing>
      </w:r>
      <w:r>
        <w:rPr>
          <w:rFonts w:ascii="Times New Roman" w:hAnsi="Times New Roman" w:cs="Times New Roman"/>
          <w:color w:val="auto"/>
        </w:rPr>
        <mc:AlternateContent>
          <mc:Choice Requires="wps">
            <w:drawing>
              <wp:anchor distT="0" distB="0" distL="114300" distR="114300" simplePos="0" relativeHeight="251665408" behindDoc="0" locked="0" layoutInCell="1" allowOverlap="1">
                <wp:simplePos x="0" y="0"/>
                <wp:positionH relativeFrom="column">
                  <wp:posOffset>3175</wp:posOffset>
                </wp:positionH>
                <wp:positionV relativeFrom="paragraph">
                  <wp:posOffset>5794375</wp:posOffset>
                </wp:positionV>
                <wp:extent cx="8865870" cy="352425"/>
                <wp:effectExtent l="0" t="0" r="0" b="0"/>
                <wp:wrapNone/>
                <wp:docPr id="1656051103" name="文本框 60"/>
                <wp:cNvGraphicFramePr/>
                <a:graphic xmlns:a="http://schemas.openxmlformats.org/drawingml/2006/main">
                  <a:graphicData uri="http://schemas.microsoft.com/office/word/2010/wordprocessingShape">
                    <wps:wsp>
                      <wps:cNvSpPr txBox="1"/>
                      <wps:spPr>
                        <a:xfrm>
                          <a:off x="0" y="0"/>
                          <a:ext cx="8865870" cy="352425"/>
                        </a:xfrm>
                        <a:prstGeom prst="rect">
                          <a:avLst/>
                        </a:prstGeom>
                        <a:noFill/>
                        <a:ln w="6350">
                          <a:noFill/>
                        </a:ln>
                      </wps:spPr>
                      <wps:txbx>
                        <w:txbxContent>
                          <w:p w14:paraId="77075BE7">
                            <w:pPr>
                              <w:ind w:firstLine="482"/>
                              <w:jc w:val="center"/>
                              <w:rPr>
                                <w:rFonts w:ascii="Times New Roman" w:hAnsi="Times New Roman" w:cs="Times New Roman"/>
                                <w:b/>
                                <w:bCs/>
                                <w:lang w:eastAsia="zh-CN"/>
                              </w:rPr>
                            </w:pPr>
                            <w:r>
                              <w:rPr>
                                <w:rFonts w:ascii="Times New Roman" w:hAnsi="Times New Roman" w:cs="Times New Roman"/>
                                <w:b/>
                                <w:bCs/>
                                <w:lang w:eastAsia="zh-CN"/>
                              </w:rPr>
                              <w:t>图2.5-</w:t>
                            </w:r>
                            <w:r>
                              <w:rPr>
                                <w:rFonts w:hint="eastAsia" w:ascii="Times New Roman" w:hAnsi="Times New Roman" w:cs="Times New Roman"/>
                                <w:b/>
                                <w:bCs/>
                                <w:lang w:eastAsia="zh-CN"/>
                              </w:rPr>
                              <w:t>4</w:t>
                            </w:r>
                            <w:r>
                              <w:rPr>
                                <w:rFonts w:ascii="Times New Roman" w:hAnsi="Times New Roman" w:cs="Times New Roman"/>
                                <w:b/>
                                <w:bCs/>
                                <w:lang w:eastAsia="zh-CN"/>
                              </w:rPr>
                              <w:t xml:space="preserve"> 项目选址与</w:t>
                            </w:r>
                            <w:r>
                              <w:rPr>
                                <w:rFonts w:hint="eastAsia" w:ascii="Times New Roman" w:hAnsi="Times New Roman" w:cs="Times New Roman"/>
                                <w:b/>
                                <w:bCs/>
                                <w:lang w:eastAsia="zh-CN"/>
                              </w:rPr>
                              <w:t>蚌埠</w:t>
                            </w:r>
                            <w:r>
                              <w:rPr>
                                <w:rFonts w:ascii="Times New Roman" w:hAnsi="Times New Roman" w:cs="Times New Roman"/>
                                <w:b/>
                                <w:bCs/>
                                <w:lang w:eastAsia="zh-CN"/>
                              </w:rPr>
                              <w:t>市生态保护红线的位置关系图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60" o:spid="_x0000_s1026" o:spt="202" type="#_x0000_t202" style="position:absolute;left:0pt;margin-left:0.25pt;margin-top:456.25pt;height:27.75pt;width:698.1pt;z-index:251665408;mso-width-relative:page;mso-height-relative:page;" filled="f" stroked="f" coordsize="21600,21600" o:gfxdata="UEsDBAoAAAAAAIdO4kAAAAAAAAAAAAAAAAAEAAAAZHJzL1BLAwQUAAAACACHTuJAKbe8mdoAAAAJ&#10;AQAADwAAAGRycy9kb3ducmV2LnhtbE2PzU7DMBCE70i8g7VI3KidoIY0jVOhSBUSgkNLL705sZtE&#10;2OsQuz/w9GxPcNvdGc1+U64uzrKTmcLgUUIyE8AMtl4P2EnYfawfcmAhKtTKejQSvk2AVXV7U6pC&#10;+zNuzGkbO0YhGAoloY9xLDgPbW+cCjM/GiTt4CenIq1Tx/WkzhTuLE+FyLhTA9KHXo2m7k37uT06&#10;Ca/1+l1tmtTlP7Z+eTs8j1+7/VzK+7tELIFFc4l/ZrjiEzpUxNT4I+rArIQ5+SQskpSGq/y4yJ6A&#10;NXTKcgG8Kvn/BtUvUEsDBBQAAAAIAIdO4kBnObqbRAIAAHAEAAAOAAAAZHJzL2Uyb0RvYy54bWyt&#10;VMFu2zAMvQ/YPwi6L7bT2M2COEXWIsOAYi3QDTsrslwbkERNUmp3H7D9QU+77L7vyneMkt2k6Hbo&#10;YReZIqlH8pH08qxXktwJ61rQJc0mKSVCc6hafVvSz582b+aUOM90xSRoUdJ74ejZ6vWrZWcWYgoN&#10;yEpYgiDaLTpT0sZ7s0gSxxuhmJuAERqNNVjFPF7tbVJZ1iG6ksk0TYukA1sZC1w4h9qLwUhHRPsS&#10;QKjrlosL4DsltB9QrZDMY0muaY2jq5htXQvur+raCU9kSbFSH08MgvI2nMlqyRa3lpmm5WMK7CUp&#10;PKtJsVZj0APUBfOM7Gz7F5RquQUHtZ9wUMlQSGQEq8jSZ9zcNMyIWAtS7cyBdPf/YPnHu2tL2gon&#10;ociLNM+y9IQSzRR2fv/wY//z9/7Xd1JEojrjFuh/Y/CF799Bj48CgUHvUBnq72urwhcrI2hHmu8P&#10;NIveE47K+bzI56do4mg7yaezaR5gkuNrY51/L0CRIJTUYhsju+zu0vnB9dElBNOwaaWMrZSadCUt&#10;TvI0PjhYEFxqjHHMNUi+3/ZjAVuo7rEuC8OIOMM3LQa/ZM5fM4szgfni1vgrPGoJGARGiZIG7Ld/&#10;6YM/tgqtlHQ4YyV1X3fMCkrkB41NfJvNZgjr42WWn07xYp9atk8teqfOAcc4w/00PIrB38tHsbag&#10;vuByrUNUNDHNMXZJ/aN47ofJx+XkYr2OTjiGhvlLfWN4gB7oXO881G1kOtA0cDOyh4MYezUuTZj0&#10;p/fodfxRrP4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Kbe8mdoAAAAJAQAADwAAAAAAAAABACAA&#10;AAAiAAAAZHJzL2Rvd25yZXYueG1sUEsBAhQAFAAAAAgAh07iQGc5uptEAgAAcAQAAA4AAAAAAAAA&#10;AQAgAAAAKQEAAGRycy9lMm9Eb2MueG1sUEsFBgAAAAAGAAYAWQEAAN8FAAAAAA==&#10;">
                <v:fill on="f" focussize="0,0"/>
                <v:stroke on="f" weight="0.5pt"/>
                <v:imagedata o:title=""/>
                <o:lock v:ext="edit" aspectratio="f"/>
                <v:textbox>
                  <w:txbxContent>
                    <w:p w14:paraId="77075BE7">
                      <w:pPr>
                        <w:ind w:firstLine="482"/>
                        <w:jc w:val="center"/>
                        <w:rPr>
                          <w:rFonts w:ascii="Times New Roman" w:hAnsi="Times New Roman" w:cs="Times New Roman"/>
                          <w:b/>
                          <w:bCs/>
                          <w:lang w:eastAsia="zh-CN"/>
                        </w:rPr>
                      </w:pPr>
                      <w:r>
                        <w:rPr>
                          <w:rFonts w:ascii="Times New Roman" w:hAnsi="Times New Roman" w:cs="Times New Roman"/>
                          <w:b/>
                          <w:bCs/>
                          <w:lang w:eastAsia="zh-CN"/>
                        </w:rPr>
                        <w:t>图2.5-</w:t>
                      </w:r>
                      <w:r>
                        <w:rPr>
                          <w:rFonts w:hint="eastAsia" w:ascii="Times New Roman" w:hAnsi="Times New Roman" w:cs="Times New Roman"/>
                          <w:b/>
                          <w:bCs/>
                          <w:lang w:eastAsia="zh-CN"/>
                        </w:rPr>
                        <w:t>4</w:t>
                      </w:r>
                      <w:r>
                        <w:rPr>
                          <w:rFonts w:ascii="Times New Roman" w:hAnsi="Times New Roman" w:cs="Times New Roman"/>
                          <w:b/>
                          <w:bCs/>
                          <w:lang w:eastAsia="zh-CN"/>
                        </w:rPr>
                        <w:t xml:space="preserve"> 项目选址与</w:t>
                      </w:r>
                      <w:r>
                        <w:rPr>
                          <w:rFonts w:hint="eastAsia" w:ascii="Times New Roman" w:hAnsi="Times New Roman" w:cs="Times New Roman"/>
                          <w:b/>
                          <w:bCs/>
                          <w:lang w:eastAsia="zh-CN"/>
                        </w:rPr>
                        <w:t>蚌埠</w:t>
                      </w:r>
                      <w:r>
                        <w:rPr>
                          <w:rFonts w:ascii="Times New Roman" w:hAnsi="Times New Roman" w:cs="Times New Roman"/>
                          <w:b/>
                          <w:bCs/>
                          <w:lang w:eastAsia="zh-CN"/>
                        </w:rPr>
                        <w:t>市生态保护红线的位置关系图</w:t>
                      </w:r>
                    </w:p>
                  </w:txbxContent>
                </v:textbox>
              </v:shape>
            </w:pict>
          </mc:Fallback>
        </mc:AlternateContent>
      </w:r>
    </w:p>
    <w:p w14:paraId="519D7FD6">
      <w:pPr>
        <w:spacing w:line="360" w:lineRule="auto"/>
        <w:jc w:val="center"/>
        <w:rPr>
          <w:rFonts w:ascii="Times New Roman" w:hAnsi="Times New Roman" w:cs="Times New Roman"/>
          <w:color w:val="auto"/>
          <w:szCs w:val="24"/>
          <w:lang w:eastAsia="zh-CN"/>
        </w:rPr>
        <w:sectPr>
          <w:pgSz w:w="16838" w:h="11906" w:orient="landscape"/>
          <w:pgMar w:top="1080" w:right="1440" w:bottom="1080" w:left="1440" w:header="851" w:footer="992" w:gutter="0"/>
          <w:cols w:space="720" w:num="1"/>
          <w:docGrid w:type="lines" w:linePitch="312" w:charSpace="0"/>
        </w:sectPr>
      </w:pPr>
      <w:r>
        <w:rPr>
          <w:rFonts w:ascii="Times New Roman" w:hAnsi="Times New Roman" w:cs="Times New Roman"/>
          <w:color w:val="auto"/>
        </w:rPr>
        <mc:AlternateContent>
          <mc:Choice Requires="wps">
            <w:drawing>
              <wp:anchor distT="0" distB="0" distL="114300" distR="114300" simplePos="0" relativeHeight="251831296" behindDoc="0" locked="0" layoutInCell="1" allowOverlap="1">
                <wp:simplePos x="0" y="0"/>
                <wp:positionH relativeFrom="column">
                  <wp:posOffset>4746625</wp:posOffset>
                </wp:positionH>
                <wp:positionV relativeFrom="paragraph">
                  <wp:posOffset>2919095</wp:posOffset>
                </wp:positionV>
                <wp:extent cx="1224280" cy="333375"/>
                <wp:effectExtent l="304800" t="0" r="13970" b="847725"/>
                <wp:wrapNone/>
                <wp:docPr id="2033777722" name="自选图形 4338"/>
                <wp:cNvGraphicFramePr/>
                <a:graphic xmlns:a="http://schemas.openxmlformats.org/drawingml/2006/main">
                  <a:graphicData uri="http://schemas.microsoft.com/office/word/2010/wordprocessingShape">
                    <wps:wsp>
                      <wps:cNvSpPr>
                        <a:spLocks noChangeArrowheads="1"/>
                      </wps:cNvSpPr>
                      <wps:spPr bwMode="auto">
                        <a:xfrm>
                          <a:off x="0" y="0"/>
                          <a:ext cx="1224280" cy="333375"/>
                        </a:xfrm>
                        <a:prstGeom prst="wedgeRoundRectCallout">
                          <a:avLst>
                            <a:gd name="adj1" fmla="val -71726"/>
                            <a:gd name="adj2" fmla="val 276542"/>
                            <a:gd name="adj3" fmla="val 16667"/>
                          </a:avLst>
                        </a:prstGeom>
                        <a:solidFill>
                          <a:srgbClr val="FFFFFF"/>
                        </a:solidFill>
                        <a:ln w="9525">
                          <a:solidFill>
                            <a:srgbClr val="000000"/>
                          </a:solidFill>
                          <a:miter lim="800000"/>
                        </a:ln>
                      </wps:spPr>
                      <wps:txbx>
                        <w:txbxContent>
                          <w:p w14:paraId="4D30A84E">
                            <w:pPr>
                              <w:jc w:val="center"/>
                              <w:rPr>
                                <w:b/>
                                <w:bCs/>
                                <w:lang w:eastAsia="zh-CN"/>
                              </w:rPr>
                            </w:pPr>
                            <w:r>
                              <w:rPr>
                                <w:rFonts w:hint="eastAsia"/>
                                <w:b/>
                                <w:bCs/>
                                <w:lang w:eastAsia="zh-CN"/>
                              </w:rPr>
                              <w:t>项目位置</w:t>
                            </w:r>
                          </w:p>
                        </w:txbxContent>
                      </wps:txbx>
                      <wps:bodyPr rot="0" vert="horz" wrap="square" lIns="91440" tIns="45720" rIns="91440" bIns="45720" anchor="t" anchorCtr="0" upright="1">
                        <a:noAutofit/>
                      </wps:bodyPr>
                    </wps:wsp>
                  </a:graphicData>
                </a:graphic>
              </wp:anchor>
            </w:drawing>
          </mc:Choice>
          <mc:Fallback>
            <w:pict>
              <v:shape id="自选图形 4338" o:spid="_x0000_s1026" o:spt="62" type="#_x0000_t62" style="position:absolute;left:0pt;margin-left:373.75pt;margin-top:229.85pt;height:26.25pt;width:96.4pt;z-index:251831296;mso-width-relative:page;mso-height-relative:page;" fillcolor="#FFFFFF" filled="t" stroked="t" coordsize="21600,21600" o:gfxdata="UEsDBAoAAAAAAIdO4kAAAAAAAAAAAAAAAAAEAAAAZHJzL1BLAwQUAAAACACHTuJAbezV+tkAAAAL&#10;AQAADwAAAGRycy9kb3ducmV2LnhtbE2PPU/DMBBAdyT+g3VIbNROmjRpiNMBCcTA0lCJ1YmvSURs&#10;R7b79e85JhhP9/TuXb27mpmd0YfJWQnJSgBD2zs92UHC4fP1qQQWorJazc6ihBsG2DX3d7WqtLvY&#10;PZ7bODCS2FApCWOMS8V56Ec0KqzcgpZ2R+eNijT6gWuvLiQ3M0+F2HCjJksXRrXgy4j9d3syErLy&#10;6+NY3jZrNPu3qV2Srns/eCkfHxLxDCziNf7B8JtP6dBQU+dOVgc2SyiyIieUZPm2AEbENhNrYJ2E&#10;PElT4E3N///Q/ABQSwMEFAAAAAgAh07iQAxvd5aEAgAAFAUAAA4AAABkcnMvZTJvRG9jLnhtbK1U&#10;zW7UMBC+I/EOlu9tNtmfbKNmq2qrIqQCVQsP4I2dxOA/bGez5cQN8QzcOPIO8DaV4C2YOGmbthx6&#10;wIfIk5n55ueb8eHRTgq0ZdZxrXIc708wYqrQlKsqx+/enu4tMXKeKEqEVizHV8zho9XzZ4etyVii&#10;ay0oswhAlMtak+Pae5NFkStqJonb14YpUJbaSuJBtFVELWkBXYoomUwWUastNVYXzDn4e9Ir8YBo&#10;nwKoy5IX7EQXjWTK96iWCeKhJFdz4/AqZFuWrPBvytIxj0SOoVIfvhAE7pvuG60OSVZZYmpeDCmQ&#10;p6TwoCZJuIKgt1AnxBPUWP4ISvLCaqdLv19oGfWFhI5AFfHkQW8ua2JYqAVa7cxt093/gy1eb88t&#10;4jTHyWQ6TeEkCUaKSGD+95cffz5/vf726/rndzSbTpddt1rjMnC6NOe2q9eZM118cEjpdU1UxY6t&#10;1W3NCIUc484+uufQCQ5c0aZ9pSnEII3XoXG70soOEFqCdoGfq1t+2M6jAn7GSTJLlkBdAbopnHQe&#10;QpDsxttY518wLVF3yXHLaMUudKPoBUzCmgihGx/Cke2Z84EwOlRL6PsYo1IK4H9LBNpL4zRZDAMy&#10;MoL23Bkl6WI+Sx4bTcdG8WKxSIdEh7gRyW5SDV3UgtNTLkQQbLVZC4sgiRyfhjM4u7GZUKjN8cE8&#10;mYeC7uncGGISzr8gJPewyoLLHC/HRkINvHVU9ZT73WY3sL/R9AoYtLpfJnhK4FJr+wmjFhYpx+5j&#10;QyzDSLxUMAUH8WzWbV4QZvM0AcGONZuxhqgCoHLsMeqva99va2Msr2qIFIdylT6GySm5vxmxPqsh&#10;b1gWuN3bxrEcrO4es9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bezV+tkAAAALAQAADwAAAAAA&#10;AAABACAAAAAiAAAAZHJzL2Rvd25yZXYueG1sUEsBAhQAFAAAAAgAh07iQAxvd5aEAgAAFAUAAA4A&#10;AAAAAAAAAQAgAAAAKAEAAGRycy9lMm9Eb2MueG1sUEsFBgAAAAAGAAYAWQEAAB4GAAAAAA==&#10;" adj="-4693,70533,14400">
                <v:fill on="t" focussize="0,0"/>
                <v:stroke color="#000000" miterlimit="8" joinstyle="miter"/>
                <v:imagedata o:title=""/>
                <o:lock v:ext="edit" aspectratio="f"/>
                <v:textbox>
                  <w:txbxContent>
                    <w:p w14:paraId="4D30A84E">
                      <w:pPr>
                        <w:jc w:val="center"/>
                        <w:rPr>
                          <w:b/>
                          <w:bCs/>
                          <w:lang w:eastAsia="zh-CN"/>
                        </w:rPr>
                      </w:pPr>
                      <w:r>
                        <w:rPr>
                          <w:rFonts w:hint="eastAsia"/>
                          <w:b/>
                          <w:bCs/>
                          <w:lang w:eastAsia="zh-CN"/>
                        </w:rPr>
                        <w:t>项目位置</w:t>
                      </w:r>
                    </w:p>
                  </w:txbxContent>
                </v:textbox>
              </v:shape>
            </w:pict>
          </mc:Fallback>
        </mc:AlternateContent>
      </w:r>
      <w:r>
        <w:rPr>
          <w:snapToGrid/>
          <w:lang w:eastAsia="zh-CN"/>
        </w:rPr>
        <w:drawing>
          <wp:inline distT="0" distB="0" distL="0" distR="0">
            <wp:extent cx="8858250" cy="6172200"/>
            <wp:effectExtent l="0" t="0" r="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8858250" cy="6172200"/>
                    </a:xfrm>
                    <a:prstGeom prst="rect">
                      <a:avLst/>
                    </a:prstGeom>
                    <a:noFill/>
                    <a:ln>
                      <a:noFill/>
                    </a:ln>
                  </pic:spPr>
                </pic:pic>
              </a:graphicData>
            </a:graphic>
          </wp:inline>
        </w:drawing>
      </w:r>
      <w:r>
        <w:rPr>
          <w:rFonts w:ascii="Times New Roman" w:hAnsi="Times New Roman" w:cs="Times New Roman"/>
          <w:color w:val="auto"/>
        </w:rPr>
        <mc:AlternateContent>
          <mc:Choice Requires="wps">
            <w:drawing>
              <wp:anchor distT="0" distB="0" distL="114300" distR="114300" simplePos="0" relativeHeight="251664384" behindDoc="0" locked="0" layoutInCell="1" allowOverlap="1">
                <wp:simplePos x="0" y="0"/>
                <wp:positionH relativeFrom="column">
                  <wp:posOffset>88900</wp:posOffset>
                </wp:positionH>
                <wp:positionV relativeFrom="paragraph">
                  <wp:posOffset>5785485</wp:posOffset>
                </wp:positionV>
                <wp:extent cx="8865870" cy="352425"/>
                <wp:effectExtent l="0" t="0" r="0" b="0"/>
                <wp:wrapNone/>
                <wp:docPr id="365683453" name="文本框 59"/>
                <wp:cNvGraphicFramePr/>
                <a:graphic xmlns:a="http://schemas.openxmlformats.org/drawingml/2006/main">
                  <a:graphicData uri="http://schemas.microsoft.com/office/word/2010/wordprocessingShape">
                    <wps:wsp>
                      <wps:cNvSpPr txBox="1"/>
                      <wps:spPr>
                        <a:xfrm>
                          <a:off x="0" y="0"/>
                          <a:ext cx="8865870" cy="352425"/>
                        </a:xfrm>
                        <a:prstGeom prst="rect">
                          <a:avLst/>
                        </a:prstGeom>
                        <a:noFill/>
                        <a:ln w="6350">
                          <a:noFill/>
                        </a:ln>
                      </wps:spPr>
                      <wps:txbx>
                        <w:txbxContent>
                          <w:p w14:paraId="52A248A2">
                            <w:pPr>
                              <w:ind w:firstLine="482"/>
                              <w:jc w:val="center"/>
                              <w:rPr>
                                <w:rFonts w:ascii="Times New Roman" w:hAnsi="Times New Roman" w:cs="Times New Roman"/>
                                <w:b/>
                                <w:bCs/>
                                <w:lang w:eastAsia="zh-CN"/>
                              </w:rPr>
                            </w:pPr>
                            <w:r>
                              <w:rPr>
                                <w:rFonts w:ascii="Times New Roman" w:hAnsi="Times New Roman" w:cs="Times New Roman"/>
                                <w:b/>
                                <w:bCs/>
                                <w:lang w:eastAsia="zh-CN"/>
                              </w:rPr>
                              <w:t>图2.5-</w:t>
                            </w:r>
                            <w:r>
                              <w:rPr>
                                <w:rFonts w:hint="eastAsia" w:ascii="Times New Roman" w:hAnsi="Times New Roman" w:cs="Times New Roman"/>
                                <w:b/>
                                <w:bCs/>
                                <w:lang w:eastAsia="zh-CN"/>
                              </w:rPr>
                              <w:t>5</w:t>
                            </w:r>
                            <w:r>
                              <w:rPr>
                                <w:rFonts w:ascii="Times New Roman" w:hAnsi="Times New Roman" w:cs="Times New Roman"/>
                                <w:b/>
                                <w:bCs/>
                                <w:lang w:eastAsia="zh-CN"/>
                              </w:rPr>
                              <w:t xml:space="preserve"> 项目选址与</w:t>
                            </w:r>
                            <w:r>
                              <w:rPr>
                                <w:rFonts w:hint="eastAsia" w:ascii="Times New Roman" w:hAnsi="Times New Roman" w:cs="Times New Roman"/>
                                <w:b/>
                                <w:bCs/>
                                <w:lang w:eastAsia="zh-CN"/>
                              </w:rPr>
                              <w:t>蚌埠</w:t>
                            </w:r>
                            <w:r>
                              <w:rPr>
                                <w:rFonts w:ascii="Times New Roman" w:hAnsi="Times New Roman" w:cs="Times New Roman"/>
                                <w:b/>
                                <w:bCs/>
                                <w:lang w:eastAsia="zh-CN"/>
                              </w:rPr>
                              <w:t>市水环境分区管控的位置关系图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59" o:spid="_x0000_s1026" o:spt="202" type="#_x0000_t202" style="position:absolute;left:0pt;margin-left:7pt;margin-top:455.55pt;height:27.75pt;width:698.1pt;z-index:251664384;mso-width-relative:page;mso-height-relative:page;" filled="f" stroked="f" coordsize="21600,21600" o:gfxdata="UEsDBAoAAAAAAIdO4kAAAAAAAAAAAAAAAAAEAAAAZHJzL1BLAwQUAAAACACHTuJAOuh7v9oAAAAL&#10;AQAADwAAAGRycy9kb3ducmV2LnhtbE2PzU7DMBCE70i8g7VI3KjtqEQlxKlQpAoJwaGlF25OvE0i&#10;7HWI3R/69HVPcJzZ0ew35fLkLDvgFAZPCuRMAENqvRmoU7D9XD0sgIWoyWjrCRX8YoBldXtT6sL4&#10;I63xsIkdSyUUCq2gj3EsOA9tj06HmR+R0m3nJ6djklPHzaSPqdxZngmRc6cHSh96PWLdY/u92TsF&#10;b/XqQ6+bzC3Otn59372MP9uvR6Xu76R4BhbxFP/CcMVP6FAlpsbvyQRmk56nKVHBk5QS2DUwlyID&#10;1iQrz3PgVcn/b6guUEsDBBQAAAAIAIdO4kD7+mGsRAIAAG8EAAAOAAAAZHJzL2Uyb0RvYy54bWyt&#10;VM2O2jAQvlfqO1i+l/AXlkWEFV1EVQl1V6JVz8ZxSCTb49qGhD5A+wY99dJ7n4vn6NgBFm172EMv&#10;ztgz/sbfNzOZ3jVKkr2wrgKd0V6nS4nQHPJKbzP66ePyzZgS55nOmQQtMnoQjt7NXr+a1mYi+lCC&#10;zIUlCKLdpDYZLb03kyRxvBSKuQ4YodFZgFXM49Zuk9yyGtGVTPrd7iipwebGAhfO4emiddITon0J&#10;IBRFxcUC+E4J7VtUKyTzSMmVlXF0Fl9bFIL7h6JwwhOZUWTq44pJ0N6ENZlN2WRrmSkrfnoCe8kT&#10;nnFSrNKY9AK1YJ6Rna3+glIVt+Cg8B0OKmmJREWQRa/7TJt1yYyIXFBqZy6iu/8Hyz/sHy2p8owO&#10;RuloPBimA0o0U1j444/vx5+/j7++kfQ26FQbN8HwtcELvnkLDXbP+dzhYaDfFFaFLxIj6EeVDxeV&#10;ReMJx8PxeJSOb9DF0TdI+8N+GmCSp9vGOv9OgCLByKjFKkZx2X7lfBt6DgnJNCwrKWMlpSZ1RkeD&#10;tBsvXDwILjXmCBzatwbLN5vmRGwD+QF5WWg7xBm+rDD5ijn/yCy2BL4Xh8Y/4FJIwCRwsigpwX79&#10;13mIx0qhl5IaWyyj7suOWUGJfK+xhre94RBhfdwM05s+buy1Z3Pt0Tt1D9jFPRxPw6MZ4r08m4UF&#10;9Rlnax6yootpjrkz6s/mvW8bH2eTi/k8BmEXGuZXem14gG7lnO88FFVUOsjUanNSD/sw1uo0M6HR&#10;r/cx6uk/Mfs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Ouh7v9oAAAALAQAADwAAAAAAAAABACAA&#10;AAAiAAAAZHJzL2Rvd25yZXYueG1sUEsBAhQAFAAAAAgAh07iQPv6YaxEAgAAbwQAAA4AAAAAAAAA&#10;AQAgAAAAKQEAAGRycy9lMm9Eb2MueG1sUEsFBgAAAAAGAAYAWQEAAN8FAAAAAA==&#10;">
                <v:fill on="f" focussize="0,0"/>
                <v:stroke on="f" weight="0.5pt"/>
                <v:imagedata o:title=""/>
                <o:lock v:ext="edit" aspectratio="f"/>
                <v:textbox>
                  <w:txbxContent>
                    <w:p w14:paraId="52A248A2">
                      <w:pPr>
                        <w:ind w:firstLine="482"/>
                        <w:jc w:val="center"/>
                        <w:rPr>
                          <w:rFonts w:ascii="Times New Roman" w:hAnsi="Times New Roman" w:cs="Times New Roman"/>
                          <w:b/>
                          <w:bCs/>
                          <w:lang w:eastAsia="zh-CN"/>
                        </w:rPr>
                      </w:pPr>
                      <w:r>
                        <w:rPr>
                          <w:rFonts w:ascii="Times New Roman" w:hAnsi="Times New Roman" w:cs="Times New Roman"/>
                          <w:b/>
                          <w:bCs/>
                          <w:lang w:eastAsia="zh-CN"/>
                        </w:rPr>
                        <w:t>图2.5-</w:t>
                      </w:r>
                      <w:r>
                        <w:rPr>
                          <w:rFonts w:hint="eastAsia" w:ascii="Times New Roman" w:hAnsi="Times New Roman" w:cs="Times New Roman"/>
                          <w:b/>
                          <w:bCs/>
                          <w:lang w:eastAsia="zh-CN"/>
                        </w:rPr>
                        <w:t>5</w:t>
                      </w:r>
                      <w:r>
                        <w:rPr>
                          <w:rFonts w:ascii="Times New Roman" w:hAnsi="Times New Roman" w:cs="Times New Roman"/>
                          <w:b/>
                          <w:bCs/>
                          <w:lang w:eastAsia="zh-CN"/>
                        </w:rPr>
                        <w:t xml:space="preserve"> 项目选址与</w:t>
                      </w:r>
                      <w:r>
                        <w:rPr>
                          <w:rFonts w:hint="eastAsia" w:ascii="Times New Roman" w:hAnsi="Times New Roman" w:cs="Times New Roman"/>
                          <w:b/>
                          <w:bCs/>
                          <w:lang w:eastAsia="zh-CN"/>
                        </w:rPr>
                        <w:t>蚌埠</w:t>
                      </w:r>
                      <w:r>
                        <w:rPr>
                          <w:rFonts w:ascii="Times New Roman" w:hAnsi="Times New Roman" w:cs="Times New Roman"/>
                          <w:b/>
                          <w:bCs/>
                          <w:lang w:eastAsia="zh-CN"/>
                        </w:rPr>
                        <w:t>市水环境分区管控的位置关系图</w:t>
                      </w:r>
                    </w:p>
                  </w:txbxContent>
                </v:textbox>
              </v:shape>
            </w:pict>
          </mc:Fallback>
        </mc:AlternateContent>
      </w:r>
    </w:p>
    <w:p w14:paraId="223E091D">
      <w:pPr>
        <w:spacing w:line="360" w:lineRule="auto"/>
        <w:jc w:val="center"/>
        <w:rPr>
          <w:rFonts w:ascii="Times New Roman" w:hAnsi="Times New Roman" w:eastAsia="新宋体" w:cs="Times New Roman"/>
          <w:color w:val="auto"/>
          <w:szCs w:val="24"/>
          <w:lang w:eastAsia="zh-CN"/>
        </w:rPr>
        <w:sectPr>
          <w:pgSz w:w="16838" w:h="11906" w:orient="landscape"/>
          <w:pgMar w:top="1080" w:right="1440" w:bottom="1080" w:left="1440" w:header="851" w:footer="992" w:gutter="0"/>
          <w:cols w:space="720" w:num="1"/>
          <w:docGrid w:type="lines" w:linePitch="312" w:charSpace="0"/>
        </w:sectPr>
      </w:pPr>
      <w:r>
        <w:rPr>
          <w:rFonts w:ascii="Times New Roman" w:hAnsi="Times New Roman" w:cs="Times New Roman"/>
          <w:color w:val="auto"/>
        </w:rPr>
        <mc:AlternateContent>
          <mc:Choice Requires="wps">
            <w:drawing>
              <wp:anchor distT="0" distB="0" distL="114300" distR="114300" simplePos="0" relativeHeight="251832320" behindDoc="0" locked="0" layoutInCell="1" allowOverlap="1">
                <wp:simplePos x="0" y="0"/>
                <wp:positionH relativeFrom="column">
                  <wp:posOffset>4658360</wp:posOffset>
                </wp:positionH>
                <wp:positionV relativeFrom="paragraph">
                  <wp:posOffset>2816860</wp:posOffset>
                </wp:positionV>
                <wp:extent cx="1224280" cy="333375"/>
                <wp:effectExtent l="304800" t="0" r="13970" b="866775"/>
                <wp:wrapNone/>
                <wp:docPr id="1374753796" name="自选图形 4338"/>
                <wp:cNvGraphicFramePr/>
                <a:graphic xmlns:a="http://schemas.openxmlformats.org/drawingml/2006/main">
                  <a:graphicData uri="http://schemas.microsoft.com/office/word/2010/wordprocessingShape">
                    <wps:wsp>
                      <wps:cNvSpPr>
                        <a:spLocks noChangeArrowheads="1"/>
                      </wps:cNvSpPr>
                      <wps:spPr bwMode="auto">
                        <a:xfrm>
                          <a:off x="0" y="0"/>
                          <a:ext cx="1224280" cy="333375"/>
                        </a:xfrm>
                        <a:prstGeom prst="wedgeRoundRectCallout">
                          <a:avLst>
                            <a:gd name="adj1" fmla="val -70611"/>
                            <a:gd name="adj2" fmla="val 282683"/>
                            <a:gd name="adj3" fmla="val 16667"/>
                          </a:avLst>
                        </a:prstGeom>
                        <a:solidFill>
                          <a:srgbClr val="FFFFFF"/>
                        </a:solidFill>
                        <a:ln w="9525">
                          <a:solidFill>
                            <a:srgbClr val="000000"/>
                          </a:solidFill>
                          <a:miter lim="800000"/>
                        </a:ln>
                      </wps:spPr>
                      <wps:txbx>
                        <w:txbxContent>
                          <w:p w14:paraId="7DA2DCB0">
                            <w:pPr>
                              <w:jc w:val="center"/>
                              <w:rPr>
                                <w:b/>
                                <w:bCs/>
                                <w:lang w:eastAsia="zh-CN"/>
                              </w:rPr>
                            </w:pPr>
                            <w:r>
                              <w:rPr>
                                <w:rFonts w:hint="eastAsia"/>
                                <w:b/>
                                <w:bCs/>
                                <w:lang w:eastAsia="zh-CN"/>
                              </w:rPr>
                              <w:t>项目位置</w:t>
                            </w:r>
                          </w:p>
                        </w:txbxContent>
                      </wps:txbx>
                      <wps:bodyPr rot="0" vert="horz" wrap="square" lIns="91440" tIns="45720" rIns="91440" bIns="45720" anchor="t" anchorCtr="0" upright="1">
                        <a:noAutofit/>
                      </wps:bodyPr>
                    </wps:wsp>
                  </a:graphicData>
                </a:graphic>
              </wp:anchor>
            </w:drawing>
          </mc:Choice>
          <mc:Fallback>
            <w:pict>
              <v:shape id="自选图形 4338" o:spid="_x0000_s1026" o:spt="62" type="#_x0000_t62" style="position:absolute;left:0pt;margin-left:366.8pt;margin-top:221.8pt;height:26.25pt;width:96.4pt;z-index:251832320;mso-width-relative:page;mso-height-relative:page;" fillcolor="#FFFFFF" filled="t" stroked="t" coordsize="21600,21600" o:gfxdata="UEsDBAoAAAAAAIdO4kAAAAAAAAAAAAAAAAAEAAAAZHJzL1BLAwQUAAAACACHTuJAO6sLjN0AAAAL&#10;AQAADwAAAGRycy9kb3ducmV2LnhtbE2PTU+DQBCG7yb+h82YeDF2oSVUkKUHEz9iTBNbD/a2sCMQ&#10;2Vlkl7b6652e9DYfT955plgdbS/2OPrOkYJ4FoFAqp3pqFHwtr2/vgHhgyaje0eo4Bs9rMrzs0Ln&#10;xh3oFfeb0AgOIZ9rBW0IQy6lr1u02s/cgMS7DzdaHbgdG2lGfeBw28t5FKXS6o74QqsHvGux/txM&#10;VsHjrltuf56m5P25Wn9l693kXx6ulLq8iKNbEAGP4Q+Gkz6rQ8lOlZvIeNErWC4WKaMKkuRUMJHN&#10;0wRExZMsjUGWhfz/Q/kLUEsDBBQAAAAIAIdO4kCmb5daiAIAABQFAAAOAAAAZHJzL2Uyb0RvYy54&#10;bWytVM1u1DAQviPxDpbvbTbJbrIbNVtVWxUhFahaeABv7CQG/wTb2Ww5cUM8AzeOvAO8TSV4CyZO&#10;WtLCoQdyiDyZ8TfzzTeTo+O9FGjHjOVa5Tg8nGHEVKEpV1WO37w+O1hiZB1RlAitWI6vmcXH66dP&#10;jromY5GutaDMIABRNuuaHNfONVkQ2KJmkthD3TAFzlIbSRyYpgqoIR2gSxFEs1kSdNrQxuiCWQtf&#10;TwcnHhHNYwB1WfKCneqilUy5AdUwQRxQsjVvLF77asuSFe5VWVrmkMgxMHX+DUngvO3fwfqIZJUh&#10;Tc2LsQTymBIecJKEK0h6B3VKHEGt4X9BSV4YbXXpDgstg4GI7wiwCGcPenNVk4Z5LtBq29w13f4/&#10;2OLl7sIgTmES4nSeLuJ0lWCkiATlf3769uvj55svP26+f0XzOF723eoam8Glq+bC9Hxtc66LdxYp&#10;vamJqtiJMbqrGaFQY9jHB/cu9IaFq2jbvdAUcpDWad+4fWlkDwgtQXuvz/WdPmzvUAEfwyiaR0uQ&#10;rgBfDE+68ClIdnu7MdY9Y1qi/pDjjtGKXepW0UuYhA0RQrfOpyO7c+u8YHRkS+jbEKNSCtB/RwQ6&#10;SGdJ6CmAqpOgaBoULaNkGY9TNAmKp0FhkiTpWOiYNyDZbam+i1pwesaF8IapththEBSR4zP/jJft&#10;NEwo1OV4tYgWntA9n51CzPzzLwjJHayy4DLHy2mQUKNuvVSD5G6/3Y/qbzW9BgWNHpYJfiVwqLX5&#10;gFEHi5Rj+74lhmEkniuYglU4n/eb5435Io3AMFPPduohqgCoHDuMhuPGDdvaNoZXNWQKPV2lT2By&#10;Su5uR2yoaqwblgVO97ZxavuoPz+z9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A7qwuM3QAAAAsB&#10;AAAPAAAAAAAAAAEAIAAAACIAAABkcnMvZG93bnJldi54bWxQSwECFAAUAAAACACHTuJApm+XWogC&#10;AAAUBQAADgAAAAAAAAABACAAAAAsAQAAZHJzL2Uyb0RvYy54bWxQSwUGAAAAAAYABgBZAQAAJgYA&#10;AAAA&#10;" adj="-4452,71860,14400">
                <v:fill on="t" focussize="0,0"/>
                <v:stroke color="#000000" miterlimit="8" joinstyle="miter"/>
                <v:imagedata o:title=""/>
                <o:lock v:ext="edit" aspectratio="f"/>
                <v:textbox>
                  <w:txbxContent>
                    <w:p w14:paraId="7DA2DCB0">
                      <w:pPr>
                        <w:jc w:val="center"/>
                        <w:rPr>
                          <w:b/>
                          <w:bCs/>
                          <w:lang w:eastAsia="zh-CN"/>
                        </w:rPr>
                      </w:pPr>
                      <w:r>
                        <w:rPr>
                          <w:rFonts w:hint="eastAsia"/>
                          <w:b/>
                          <w:bCs/>
                          <w:lang w:eastAsia="zh-CN"/>
                        </w:rPr>
                        <w:t>项目位置</w:t>
                      </w:r>
                    </w:p>
                  </w:txbxContent>
                </v:textbox>
              </v:shape>
            </w:pict>
          </mc:Fallback>
        </mc:AlternateContent>
      </w:r>
      <w:r>
        <w:rPr>
          <w:snapToGrid/>
          <w:lang w:eastAsia="zh-CN"/>
        </w:rPr>
        <w:drawing>
          <wp:inline distT="0" distB="0" distL="0" distR="0">
            <wp:extent cx="8820150" cy="6191250"/>
            <wp:effectExtent l="0" t="0" r="0"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8820150" cy="6191250"/>
                    </a:xfrm>
                    <a:prstGeom prst="rect">
                      <a:avLst/>
                    </a:prstGeom>
                    <a:noFill/>
                    <a:ln>
                      <a:noFill/>
                    </a:ln>
                  </pic:spPr>
                </pic:pic>
              </a:graphicData>
            </a:graphic>
          </wp:inline>
        </w:drawing>
      </w:r>
      <w:r>
        <w:rPr>
          <w:rFonts w:ascii="Times New Roman" w:hAnsi="Times New Roman" w:cs="Times New Roman"/>
          <w:color w:val="auto"/>
        </w:rPr>
        <mc:AlternateContent>
          <mc:Choice Requires="wps">
            <w:drawing>
              <wp:anchor distT="0" distB="0" distL="114300" distR="114300" simplePos="0" relativeHeight="251663360" behindDoc="0" locked="0" layoutInCell="1" allowOverlap="1">
                <wp:simplePos x="0" y="0"/>
                <wp:positionH relativeFrom="column">
                  <wp:posOffset>69850</wp:posOffset>
                </wp:positionH>
                <wp:positionV relativeFrom="paragraph">
                  <wp:posOffset>5805170</wp:posOffset>
                </wp:positionV>
                <wp:extent cx="8865870" cy="352425"/>
                <wp:effectExtent l="0" t="0" r="0" b="0"/>
                <wp:wrapNone/>
                <wp:docPr id="20" name="文本框 58"/>
                <wp:cNvGraphicFramePr/>
                <a:graphic xmlns:a="http://schemas.openxmlformats.org/drawingml/2006/main">
                  <a:graphicData uri="http://schemas.microsoft.com/office/word/2010/wordprocessingShape">
                    <wps:wsp>
                      <wps:cNvSpPr txBox="1"/>
                      <wps:spPr>
                        <a:xfrm>
                          <a:off x="0" y="0"/>
                          <a:ext cx="8865870" cy="352425"/>
                        </a:xfrm>
                        <a:prstGeom prst="rect">
                          <a:avLst/>
                        </a:prstGeom>
                        <a:noFill/>
                        <a:ln w="6350">
                          <a:noFill/>
                        </a:ln>
                      </wps:spPr>
                      <wps:txbx>
                        <w:txbxContent>
                          <w:p w14:paraId="65E1DE59">
                            <w:pPr>
                              <w:ind w:firstLine="482"/>
                              <w:jc w:val="center"/>
                              <w:rPr>
                                <w:rFonts w:ascii="Times New Roman" w:hAnsi="Times New Roman" w:cs="Times New Roman"/>
                                <w:b/>
                                <w:bCs/>
                                <w:lang w:eastAsia="zh-CN"/>
                              </w:rPr>
                            </w:pPr>
                            <w:r>
                              <w:rPr>
                                <w:rFonts w:ascii="Times New Roman" w:hAnsi="Times New Roman" w:cs="Times New Roman"/>
                                <w:b/>
                                <w:bCs/>
                                <w:lang w:eastAsia="zh-CN"/>
                              </w:rPr>
                              <w:t>图2.5-</w:t>
                            </w:r>
                            <w:r>
                              <w:rPr>
                                <w:rFonts w:hint="eastAsia" w:ascii="Times New Roman" w:hAnsi="Times New Roman" w:cs="Times New Roman"/>
                                <w:b/>
                                <w:bCs/>
                                <w:lang w:eastAsia="zh-CN"/>
                              </w:rPr>
                              <w:t>6</w:t>
                            </w:r>
                            <w:r>
                              <w:rPr>
                                <w:rFonts w:ascii="Times New Roman" w:hAnsi="Times New Roman" w:cs="Times New Roman"/>
                                <w:b/>
                                <w:bCs/>
                                <w:lang w:eastAsia="zh-CN"/>
                              </w:rPr>
                              <w:t xml:space="preserve"> 项目选址与</w:t>
                            </w:r>
                            <w:r>
                              <w:rPr>
                                <w:rFonts w:hint="eastAsia" w:ascii="Times New Roman" w:hAnsi="Times New Roman" w:cs="Times New Roman"/>
                                <w:b/>
                                <w:bCs/>
                                <w:lang w:eastAsia="zh-CN"/>
                              </w:rPr>
                              <w:t>蚌埠</w:t>
                            </w:r>
                            <w:r>
                              <w:rPr>
                                <w:rFonts w:ascii="Times New Roman" w:hAnsi="Times New Roman" w:cs="Times New Roman"/>
                                <w:b/>
                                <w:bCs/>
                                <w:lang w:eastAsia="zh-CN"/>
                              </w:rPr>
                              <w:t>市大气环境分区管控的位置关系图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58" o:spid="_x0000_s1026" o:spt="202" type="#_x0000_t202" style="position:absolute;left:0pt;margin-left:5.5pt;margin-top:457.1pt;height:27.75pt;width:698.1pt;z-index:251663360;mso-width-relative:page;mso-height-relative:page;" filled="f" stroked="f" coordsize="21600,21600" o:gfxdata="UEsDBAoAAAAAAIdO4kAAAAAAAAAAAAAAAAAEAAAAZHJzL1BLAwQUAAAACACHTuJAcY5C89sAAAAL&#10;AQAADwAAAGRycy9kb3ducmV2LnhtbE2PS0/DMBCE70j8B2uRuFE7UekjxKlQpAoJwaGlF25Osk0i&#10;7HWI3Qf8eranctvZHc1+k6/OzoojjqH3pCGZKBBItW96ajXsPtYPCxAhGmqM9YQafjDAqri9yU3W&#10;+BNt8LiNreAQCpnR0MU4ZFKGukNnwsQPSHzb+9GZyHJsZTOaE4c7K1OlZtKZnvhDZwYsO6y/tgen&#10;4bVcv5tNlbrFry1f3vbPw/fu81Hr+7tEPYGIeI5XM1zwGR0KZqr8gZogLOuEq0QNy2SagrgYpmrO&#10;U8Wr2XIOssjl/w7FH1BLAwQUAAAACACHTuJAPXXPxz0CAABoBAAADgAAAGRycy9lMm9Eb2MueG1s&#10;rVTBjtowEL1X6j9YvpcAS1iKCCu6iKrSqrsSrXo2jkMi2R7XNiT0A9o/2FMvvfe7+I6OncCibQ97&#10;6MWMPZM3897MMLtplCR7YV0FOqODXp8SoTnkld5m9POn1ZsJJc4znTMJWmT0IBy9mb9+NavNVAyh&#10;BJkLSxBEu2ltMlp6b6ZJ4ngpFHM9MEKjswCrmMer3Sa5ZTWiK5kM+/1xUoPNjQUunMPXZeukHaJ9&#10;CSAURcXFEvhOCe1bVCsk80jJlZVxdB6rLQrB/X1ROOGJzCgy9fHEJGhvwpnMZ2y6tcyUFe9KYC8p&#10;4RknxSqNSc9QS+YZ2dnqLyhVcQsOCt/joJKWSFQEWQz6z7RZl8yIyAWlduYsuvt/sPzj/sGSKs/o&#10;ECXRTGHHj48/jj9/H399J+kkCFQbN8W4tcFI37yDBsfm9O7wMfBuCqvCLzIi6Eesw1le0XjC8XEy&#10;GaeTa3Rx9F2lw9EwDTDJ09fGOv9egCLByKjF9kVV2f7O+Tb0FBKSaVhVUsYWSk3qjI6v0n784OxB&#10;cKkxR+DQ1hos32yajtgG8gPystCOhjN8VWHyO+b8A7M4C1gvbou/x6OQgEmgsygpwX7713uIxxah&#10;l5IaZyuj7uuOWUGJ/KCxeW8HoxHC+ngZpddBenvp2Vx69E7dAo7vAPfS8GiGeC9PZmFBfcGlWoSs&#10;6GKaY+6M+pN569uJx6XkYrGIQTh+hvk7vTY8QLdyLnYeiioqHWRqtenUwwGMveqWJUz45T1GPf1B&#10;zP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cY5C89sAAAALAQAADwAAAAAAAAABACAAAAAiAAAA&#10;ZHJzL2Rvd25yZXYueG1sUEsBAhQAFAAAAAgAh07iQD11z8c9AgAAaAQAAA4AAAAAAAAAAQAgAAAA&#10;KgEAAGRycy9lMm9Eb2MueG1sUEsFBgAAAAAGAAYAWQEAANkFAAAAAA==&#10;">
                <v:fill on="f" focussize="0,0"/>
                <v:stroke on="f" weight="0.5pt"/>
                <v:imagedata o:title=""/>
                <o:lock v:ext="edit" aspectratio="f"/>
                <v:textbox>
                  <w:txbxContent>
                    <w:p w14:paraId="65E1DE59">
                      <w:pPr>
                        <w:ind w:firstLine="482"/>
                        <w:jc w:val="center"/>
                        <w:rPr>
                          <w:rFonts w:ascii="Times New Roman" w:hAnsi="Times New Roman" w:cs="Times New Roman"/>
                          <w:b/>
                          <w:bCs/>
                          <w:lang w:eastAsia="zh-CN"/>
                        </w:rPr>
                      </w:pPr>
                      <w:r>
                        <w:rPr>
                          <w:rFonts w:ascii="Times New Roman" w:hAnsi="Times New Roman" w:cs="Times New Roman"/>
                          <w:b/>
                          <w:bCs/>
                          <w:lang w:eastAsia="zh-CN"/>
                        </w:rPr>
                        <w:t>图2.5-</w:t>
                      </w:r>
                      <w:r>
                        <w:rPr>
                          <w:rFonts w:hint="eastAsia" w:ascii="Times New Roman" w:hAnsi="Times New Roman" w:cs="Times New Roman"/>
                          <w:b/>
                          <w:bCs/>
                          <w:lang w:eastAsia="zh-CN"/>
                        </w:rPr>
                        <w:t>6</w:t>
                      </w:r>
                      <w:r>
                        <w:rPr>
                          <w:rFonts w:ascii="Times New Roman" w:hAnsi="Times New Roman" w:cs="Times New Roman"/>
                          <w:b/>
                          <w:bCs/>
                          <w:lang w:eastAsia="zh-CN"/>
                        </w:rPr>
                        <w:t xml:space="preserve"> 项目选址与</w:t>
                      </w:r>
                      <w:r>
                        <w:rPr>
                          <w:rFonts w:hint="eastAsia" w:ascii="Times New Roman" w:hAnsi="Times New Roman" w:cs="Times New Roman"/>
                          <w:b/>
                          <w:bCs/>
                          <w:lang w:eastAsia="zh-CN"/>
                        </w:rPr>
                        <w:t>蚌埠</w:t>
                      </w:r>
                      <w:r>
                        <w:rPr>
                          <w:rFonts w:ascii="Times New Roman" w:hAnsi="Times New Roman" w:cs="Times New Roman"/>
                          <w:b/>
                          <w:bCs/>
                          <w:lang w:eastAsia="zh-CN"/>
                        </w:rPr>
                        <w:t>市大气环境分区管控的位置关系图</w:t>
                      </w:r>
                    </w:p>
                  </w:txbxContent>
                </v:textbox>
              </v:shape>
            </w:pict>
          </mc:Fallback>
        </mc:AlternateContent>
      </w:r>
    </w:p>
    <w:p w14:paraId="40F0653E">
      <w:pPr>
        <w:spacing w:line="360" w:lineRule="auto"/>
        <w:jc w:val="center"/>
        <w:rPr>
          <w:rFonts w:ascii="Times New Roman" w:hAnsi="Times New Roman" w:cs="Times New Roman"/>
          <w:color w:val="auto"/>
          <w:lang w:eastAsia="zh-CN"/>
        </w:rPr>
      </w:pPr>
      <w:r>
        <w:rPr>
          <w:rFonts w:ascii="Times New Roman" w:hAnsi="Times New Roman" w:cs="Times New Roman"/>
          <w:color w:val="auto"/>
        </w:rPr>
        <mc:AlternateContent>
          <mc:Choice Requires="wps">
            <w:drawing>
              <wp:anchor distT="0" distB="0" distL="114300" distR="114300" simplePos="0" relativeHeight="251833344" behindDoc="0" locked="0" layoutInCell="1" allowOverlap="1">
                <wp:simplePos x="0" y="0"/>
                <wp:positionH relativeFrom="column">
                  <wp:posOffset>4621530</wp:posOffset>
                </wp:positionH>
                <wp:positionV relativeFrom="paragraph">
                  <wp:posOffset>2700655</wp:posOffset>
                </wp:positionV>
                <wp:extent cx="1224280" cy="361315"/>
                <wp:effectExtent l="133350" t="0" r="13970" b="667385"/>
                <wp:wrapNone/>
                <wp:docPr id="1564813186" name="自选图形 4338"/>
                <wp:cNvGraphicFramePr/>
                <a:graphic xmlns:a="http://schemas.openxmlformats.org/drawingml/2006/main">
                  <a:graphicData uri="http://schemas.microsoft.com/office/word/2010/wordprocessingShape">
                    <wps:wsp>
                      <wps:cNvSpPr>
                        <a:spLocks noChangeArrowheads="1"/>
                      </wps:cNvSpPr>
                      <wps:spPr bwMode="auto">
                        <a:xfrm>
                          <a:off x="0" y="0"/>
                          <a:ext cx="1224280" cy="361315"/>
                        </a:xfrm>
                        <a:prstGeom prst="wedgeRoundRectCallout">
                          <a:avLst>
                            <a:gd name="adj1" fmla="val -58349"/>
                            <a:gd name="adj2" fmla="val 214829"/>
                            <a:gd name="adj3" fmla="val 16667"/>
                          </a:avLst>
                        </a:prstGeom>
                        <a:solidFill>
                          <a:srgbClr val="FFFFFF"/>
                        </a:solidFill>
                        <a:ln w="9525">
                          <a:solidFill>
                            <a:srgbClr val="000000"/>
                          </a:solidFill>
                          <a:miter lim="800000"/>
                        </a:ln>
                      </wps:spPr>
                      <wps:txbx>
                        <w:txbxContent>
                          <w:p w14:paraId="06546355">
                            <w:pPr>
                              <w:jc w:val="center"/>
                              <w:rPr>
                                <w:b/>
                                <w:bCs/>
                                <w:lang w:eastAsia="zh-CN"/>
                              </w:rPr>
                            </w:pPr>
                            <w:r>
                              <w:rPr>
                                <w:rFonts w:hint="eastAsia"/>
                                <w:b/>
                                <w:bCs/>
                                <w:lang w:eastAsia="zh-CN"/>
                              </w:rPr>
                              <w:t>项目位置</w:t>
                            </w:r>
                          </w:p>
                        </w:txbxContent>
                      </wps:txbx>
                      <wps:bodyPr rot="0" vert="horz" wrap="square" lIns="91440" tIns="45720" rIns="91440" bIns="45720" anchor="t" anchorCtr="0" upright="1">
                        <a:noAutofit/>
                      </wps:bodyPr>
                    </wps:wsp>
                  </a:graphicData>
                </a:graphic>
              </wp:anchor>
            </w:drawing>
          </mc:Choice>
          <mc:Fallback>
            <w:pict>
              <v:shape id="自选图形 4338" o:spid="_x0000_s1026" o:spt="62" type="#_x0000_t62" style="position:absolute;left:0pt;margin-left:363.9pt;margin-top:212.65pt;height:28.45pt;width:96.4pt;z-index:251833344;mso-width-relative:page;mso-height-relative:page;" fillcolor="#FFFFFF" filled="t" stroked="t" coordsize="21600,21600" o:gfxdata="UEsDBAoAAAAAAIdO4kAAAAAAAAAAAAAAAAAEAAAAZHJzL1BLAwQUAAAACACHTuJAQq1wztgAAAAL&#10;AQAADwAAAGRycy9kb3ducmV2LnhtbE2PzU7DMBCE70i8g7WVuFG7hv6QxukBiRNcKBzKbRs7TlR7&#10;HcVOE94ec4Ljzo5mvikPs3fsaobYBVKwWgpghuqgO7IKPj9e7nfAYkLS6AIZBd8mwqG6vSmx0GGi&#10;d3M9JstyCMUCFbQp9QXnsW6Nx7gMvaH8a8LgMeVzsFwPOOVw77gUYsM9dpQbWuzNc2vqy3H0Ctw8&#10;cSnXdh7t5etVvk0Nnk6NUneLldgDS2ZOf2b4xc/oUGWmcxhJR+YUbOU2oycFj3L9ACw7nqTYADtn&#10;ZScl8Krk/zdUP1BLAwQUAAAACACHTuJAcwvM34QCAAAUBQAADgAAAGRycy9lMm9Eb2MueG1srVTN&#10;btQwEL4j8Q6W72022WxIo2araqsipAJVCw/gtZ2NwT/BdjZbTtwQz8CNI+8Ab1MJ3oKJk5a09NAD&#10;OUQzmZlvfr6ZHB7tlERbbp0wusTx/gwjrqlhQm9K/PbN6V6OkfNEMyKN5iW+4g4fLZ8+Oeyagiem&#10;NpJxiwBEu6JrSlx73xRR5GjNFXH7puEajJWxinhQ7SZilnSArmSUzGZZ1BnLGmsodw6+ngxGPCLa&#10;xwCaqhKUnxjaKq79gGq5JB5acrVoHF6GaquKU/+6qhz3SJYYOvXhDUlAXvfvaHlIio0lTS3oWAJ5&#10;TAn3elJEaEh6C3VCPEGtFf9AKUGtcaby+9SoaGgkTAS6iGf3ZnNZk4aHXmDUrrkduvt/sPTV9twi&#10;wWATFlmax/M4zzDSRAHzvz5///3py/XXn9c/vqF0Ps/7aXWNKyDosjm3fb+uOTP0vUParGqiN/zY&#10;WtPVnDCoMe79ozsBveIgFK27l4ZBDtJ6Ewa3q6zqAWEkaBf4ubrlh+88ovAxTpI0yYE6CrZ5BsUu&#10;QgpS3EQ31vnn3CjUCyXuONvwC9NqdgGbsCJSmtaHdGR75nwgjI3dEvYuxqhSEvjfEon2Fvk8PRgX&#10;ZOKUTJ2SOM2TB5zmU6c4y7JnY6Fj3ogUN6WGKRop2KmQMih2s15Ji6CIEp+GZwx2UzepUVfig0Wy&#10;CA3dsbkpxCw8D0Eo4eGUpVAlzqdOUo+89VQNlPvdejeyvzbsChi0Zjgm+JWAUBv7EaMODqnE7kNL&#10;LMdIvtCwBQdxmvaXF5R08SwBxU4t66mFaApQJfYYDeLKD9faNlZsasgUh3a1OYbNqYS/WbGhqrFu&#10;OBaQ7lzjVA9ef39myz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BCrXDO2AAAAAsBAAAPAAAAAAAA&#10;AAEAIAAAACIAAABkcnMvZG93bnJldi54bWxQSwECFAAUAAAACACHTuJAcwvM34QCAAAUBQAADgAA&#10;AAAAAAABACAAAAAnAQAAZHJzL2Uyb0RvYy54bWxQSwUGAAAAAAYABgBZAQAAHQYAAAAA&#10;" adj="-1803,57203,14400">
                <v:fill on="t" focussize="0,0"/>
                <v:stroke color="#000000" miterlimit="8" joinstyle="miter"/>
                <v:imagedata o:title=""/>
                <o:lock v:ext="edit" aspectratio="f"/>
                <v:textbox>
                  <w:txbxContent>
                    <w:p w14:paraId="06546355">
                      <w:pPr>
                        <w:jc w:val="center"/>
                        <w:rPr>
                          <w:b/>
                          <w:bCs/>
                          <w:lang w:eastAsia="zh-CN"/>
                        </w:rPr>
                      </w:pPr>
                      <w:r>
                        <w:rPr>
                          <w:rFonts w:hint="eastAsia"/>
                          <w:b/>
                          <w:bCs/>
                          <w:lang w:eastAsia="zh-CN"/>
                        </w:rPr>
                        <w:t>项目位置</w:t>
                      </w:r>
                    </w:p>
                  </w:txbxContent>
                </v:textbox>
              </v:shape>
            </w:pict>
          </mc:Fallback>
        </mc:AlternateContent>
      </w:r>
      <w:r>
        <w:rPr>
          <w:rFonts w:ascii="Times New Roman" w:hAnsi="Times New Roman" w:cs="Times New Roman"/>
          <w:color w:val="auto"/>
        </w:rPr>
        <mc:AlternateContent>
          <mc:Choice Requires="wps">
            <w:drawing>
              <wp:anchor distT="0" distB="0" distL="114300" distR="114300" simplePos="0" relativeHeight="251662336" behindDoc="0" locked="0" layoutInCell="1" allowOverlap="1">
                <wp:simplePos x="0" y="0"/>
                <wp:positionH relativeFrom="column">
                  <wp:posOffset>20320</wp:posOffset>
                </wp:positionH>
                <wp:positionV relativeFrom="paragraph">
                  <wp:posOffset>5925185</wp:posOffset>
                </wp:positionV>
                <wp:extent cx="8865870" cy="352425"/>
                <wp:effectExtent l="0" t="0" r="0" b="0"/>
                <wp:wrapNone/>
                <wp:docPr id="24" name="文本框 56"/>
                <wp:cNvGraphicFramePr/>
                <a:graphic xmlns:a="http://schemas.openxmlformats.org/drawingml/2006/main">
                  <a:graphicData uri="http://schemas.microsoft.com/office/word/2010/wordprocessingShape">
                    <wps:wsp>
                      <wps:cNvSpPr txBox="1"/>
                      <wps:spPr>
                        <a:xfrm>
                          <a:off x="0" y="0"/>
                          <a:ext cx="8865870" cy="352425"/>
                        </a:xfrm>
                        <a:prstGeom prst="rect">
                          <a:avLst/>
                        </a:prstGeom>
                        <a:noFill/>
                        <a:ln w="6350">
                          <a:noFill/>
                        </a:ln>
                      </wps:spPr>
                      <wps:txbx>
                        <w:txbxContent>
                          <w:p w14:paraId="384A63C7">
                            <w:pPr>
                              <w:ind w:firstLine="482"/>
                              <w:jc w:val="center"/>
                              <w:rPr>
                                <w:rFonts w:ascii="Times New Roman" w:hAnsi="Times New Roman" w:cs="Times New Roman"/>
                                <w:b/>
                                <w:bCs/>
                                <w:lang w:eastAsia="zh-CN"/>
                              </w:rPr>
                            </w:pPr>
                            <w:r>
                              <w:rPr>
                                <w:rFonts w:ascii="Times New Roman" w:hAnsi="Times New Roman" w:cs="Times New Roman"/>
                                <w:b/>
                                <w:bCs/>
                                <w:lang w:eastAsia="zh-CN"/>
                              </w:rPr>
                              <w:t>图2.5-</w:t>
                            </w:r>
                            <w:r>
                              <w:rPr>
                                <w:rFonts w:hint="eastAsia" w:ascii="Times New Roman" w:hAnsi="Times New Roman" w:cs="Times New Roman"/>
                                <w:b/>
                                <w:bCs/>
                                <w:lang w:eastAsia="zh-CN"/>
                              </w:rPr>
                              <w:t>7</w:t>
                            </w:r>
                            <w:r>
                              <w:rPr>
                                <w:rFonts w:ascii="Times New Roman" w:hAnsi="Times New Roman" w:cs="Times New Roman"/>
                                <w:b/>
                                <w:bCs/>
                                <w:lang w:eastAsia="zh-CN"/>
                              </w:rPr>
                              <w:t xml:space="preserve"> 项目选址与</w:t>
                            </w:r>
                            <w:r>
                              <w:rPr>
                                <w:rFonts w:hint="eastAsia" w:ascii="Times New Roman" w:hAnsi="Times New Roman" w:cs="Times New Roman"/>
                                <w:b/>
                                <w:bCs/>
                                <w:lang w:eastAsia="zh-CN"/>
                              </w:rPr>
                              <w:t>蚌埠</w:t>
                            </w:r>
                            <w:r>
                              <w:rPr>
                                <w:rFonts w:ascii="Times New Roman" w:hAnsi="Times New Roman" w:cs="Times New Roman"/>
                                <w:b/>
                                <w:bCs/>
                                <w:lang w:eastAsia="zh-CN"/>
                              </w:rPr>
                              <w:t>市土壤环境分区管控的位置关系</w:t>
                            </w:r>
                            <w:r>
                              <w:rPr>
                                <w:rFonts w:hint="eastAsia" w:ascii="Times New Roman" w:hAnsi="Times New Roman" w:cs="Times New Roman"/>
                                <w:b/>
                                <w:bCs/>
                                <w:lang w:eastAsia="zh-CN"/>
                              </w:rPr>
                              <w:t>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56" o:spid="_x0000_s1026" o:spt="202" type="#_x0000_t202" style="position:absolute;left:0pt;margin-left:1.6pt;margin-top:466.55pt;height:27.75pt;width:698.1pt;z-index:251662336;mso-width-relative:page;mso-height-relative:page;" filled="f" stroked="f" coordsize="21600,21600" o:gfxdata="UEsDBAoAAAAAAIdO4kAAAAAAAAAAAAAAAAAEAAAAZHJzL1BLAwQUAAAACACHTuJAcjvtfNsAAAAK&#10;AQAADwAAAGRycy9kb3ducmV2LnhtbE2PS0/DMBCE70j8B2uRuFHnAVUS4lQoUoWE4NDSC7dNvE0i&#10;4nWI3Qf8etwTHGdnNPNtuTqbURxpdoNlBfEiAkHcWj1wp2D3vr7LQDiPrHG0TAq+ycGqur4qsdD2&#10;xBs6bn0nQgm7AhX03k+FlK7tyaBb2Ik4eHs7G/RBzp3UM55CuRllEkVLaXDgsNDjRHVP7ef2YBS8&#10;1Os33DSJyX7G+vl1/zR97T4elLq9iaNHEJ7O/i8MF/yADlVgauyBtROjgjQJQQV5msYgLn6a5/cg&#10;mnDKsiXIqpT/X6h+AVBLAwQUAAAACACHTuJAxPQxlD4CAABoBAAADgAAAGRycy9lMm9Eb2MueG1s&#10;rVTBjtowEL1X6j9YvpdAlrAUEVZ0EVWlVXclWvVsHIdEsj2ubUjoB7R/sKdeeu938R0dO8CibQ97&#10;6MWMPZM3897MML1plSQ7YV0NOqeDXp8SoTkUtd7k9POn5ZsxJc4zXTAJWuR0Lxy9mb1+NW3MRKRQ&#10;gSyEJQii3aQxOa28N5MkcbwSirkeGKHRWYJVzOPVbpLCsgbRlUzSfn+UNGALY4EL5/B10TnpEdG+&#10;BBDKsuZiAXyrhPYdqhWSeaTkqto4OovVlqXg/r4snfBE5hSZ+nhiErTX4UxmUzbZWGaqmh9LYC8p&#10;4RknxWqNSc9QC+YZ2dr6LyhVcwsOSt/joJKOSFQEWQz6z7RZVcyIyAWlduYsuvt/sPzj7sGSushp&#10;OqREM4UdPzz+OPz8ffj1nWSjIFBj3ATjVgYjffsOWhyb07vDx8C7La0Kv8iIoB/l3Z/lFa0nHB/H&#10;41E2vkYXR99Vlg7TLMAkT18b6/x7AYoEI6cW2xdVZbs757vQU0hIpmFZSxlbKDVpcjq6yvrxg7MH&#10;waXGHIFDV2uwfLtuj8TWUOyRl4VuNJzhyxqT3zHnH5jFWcB6cVv8PR6lBEwCR4uSCuy3f72HeGwR&#10;eilpcLZy6r5umRWUyA8am/d2MBwirI+XYXad4sVeetaXHr1Vt4DjO8C9NDyaId7Lk1laUF9wqeYh&#10;K7qY5pg7p/5k3vpu4nEpuZjPYxCOn2H+Tq8MD9CdnPOth7KOSgeZOm2O6uEAxl4dlyVM+OU9Rj39&#10;Qc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HI77XzbAAAACgEAAA8AAAAAAAAAAQAgAAAAIgAA&#10;AGRycy9kb3ducmV2LnhtbFBLAQIUABQAAAAIAIdO4kDE9DGUPgIAAGgEAAAOAAAAAAAAAAEAIAAA&#10;ACoBAABkcnMvZTJvRG9jLnhtbFBLBQYAAAAABgAGAFkBAADaBQAAAAA=&#10;">
                <v:fill on="f" focussize="0,0"/>
                <v:stroke on="f" weight="0.5pt"/>
                <v:imagedata o:title=""/>
                <o:lock v:ext="edit" aspectratio="f"/>
                <v:textbox>
                  <w:txbxContent>
                    <w:p w14:paraId="384A63C7">
                      <w:pPr>
                        <w:ind w:firstLine="482"/>
                        <w:jc w:val="center"/>
                        <w:rPr>
                          <w:rFonts w:ascii="Times New Roman" w:hAnsi="Times New Roman" w:cs="Times New Roman"/>
                          <w:b/>
                          <w:bCs/>
                          <w:lang w:eastAsia="zh-CN"/>
                        </w:rPr>
                      </w:pPr>
                      <w:r>
                        <w:rPr>
                          <w:rFonts w:ascii="Times New Roman" w:hAnsi="Times New Roman" w:cs="Times New Roman"/>
                          <w:b/>
                          <w:bCs/>
                          <w:lang w:eastAsia="zh-CN"/>
                        </w:rPr>
                        <w:t>图2.5-</w:t>
                      </w:r>
                      <w:r>
                        <w:rPr>
                          <w:rFonts w:hint="eastAsia" w:ascii="Times New Roman" w:hAnsi="Times New Roman" w:cs="Times New Roman"/>
                          <w:b/>
                          <w:bCs/>
                          <w:lang w:eastAsia="zh-CN"/>
                        </w:rPr>
                        <w:t>7</w:t>
                      </w:r>
                      <w:r>
                        <w:rPr>
                          <w:rFonts w:ascii="Times New Roman" w:hAnsi="Times New Roman" w:cs="Times New Roman"/>
                          <w:b/>
                          <w:bCs/>
                          <w:lang w:eastAsia="zh-CN"/>
                        </w:rPr>
                        <w:t xml:space="preserve"> 项目选址与</w:t>
                      </w:r>
                      <w:r>
                        <w:rPr>
                          <w:rFonts w:hint="eastAsia" w:ascii="Times New Roman" w:hAnsi="Times New Roman" w:cs="Times New Roman"/>
                          <w:b/>
                          <w:bCs/>
                          <w:lang w:eastAsia="zh-CN"/>
                        </w:rPr>
                        <w:t>蚌埠</w:t>
                      </w:r>
                      <w:r>
                        <w:rPr>
                          <w:rFonts w:ascii="Times New Roman" w:hAnsi="Times New Roman" w:cs="Times New Roman"/>
                          <w:b/>
                          <w:bCs/>
                          <w:lang w:eastAsia="zh-CN"/>
                        </w:rPr>
                        <w:t>市土壤环境分区管控的位置关系</w:t>
                      </w:r>
                      <w:r>
                        <w:rPr>
                          <w:rFonts w:hint="eastAsia" w:ascii="Times New Roman" w:hAnsi="Times New Roman" w:cs="Times New Roman"/>
                          <w:b/>
                          <w:bCs/>
                          <w:lang w:eastAsia="zh-CN"/>
                        </w:rPr>
                        <w:t>图</w:t>
                      </w:r>
                    </w:p>
                  </w:txbxContent>
                </v:textbox>
              </v:shape>
            </w:pict>
          </mc:Fallback>
        </mc:AlternateContent>
      </w:r>
      <w:r>
        <w:rPr>
          <w:rFonts w:ascii="Times New Roman" w:hAnsi="Times New Roman" w:cs="Times New Roman"/>
          <w:lang w:eastAsia="zh-CN"/>
        </w:rPr>
        <w:t xml:space="preserve"> </w:t>
      </w:r>
      <w:r>
        <w:rPr>
          <w:snapToGrid/>
          <w:lang w:eastAsia="zh-CN"/>
        </w:rPr>
        <w:drawing>
          <wp:inline distT="0" distB="0" distL="0" distR="0">
            <wp:extent cx="8162925" cy="5686425"/>
            <wp:effectExtent l="0" t="0" r="0"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8162925" cy="5686425"/>
                    </a:xfrm>
                    <a:prstGeom prst="rect">
                      <a:avLst/>
                    </a:prstGeom>
                    <a:noFill/>
                    <a:ln>
                      <a:noFill/>
                    </a:ln>
                  </pic:spPr>
                </pic:pic>
              </a:graphicData>
            </a:graphic>
          </wp:inline>
        </w:drawing>
      </w:r>
    </w:p>
    <w:p w14:paraId="6168CED8">
      <w:pPr>
        <w:spacing w:line="360" w:lineRule="auto"/>
        <w:ind w:firstLine="480"/>
        <w:rPr>
          <w:rFonts w:ascii="Times New Roman" w:hAnsi="Times New Roman" w:eastAsia="新宋体" w:cs="Times New Roman"/>
          <w:color w:val="auto"/>
          <w:szCs w:val="24"/>
          <w:lang w:eastAsia="zh-CN"/>
        </w:rPr>
        <w:sectPr>
          <w:pgSz w:w="16838" w:h="11906" w:orient="landscape"/>
          <w:pgMar w:top="1080" w:right="1440" w:bottom="1080" w:left="1440" w:header="851" w:footer="992" w:gutter="0"/>
          <w:cols w:space="720" w:num="1"/>
          <w:docGrid w:type="lines" w:linePitch="312" w:charSpace="0"/>
        </w:sectPr>
      </w:pPr>
    </w:p>
    <w:p w14:paraId="786B320E">
      <w:pPr>
        <w:spacing w:line="360" w:lineRule="auto"/>
        <w:ind w:firstLine="482"/>
        <w:jc w:val="both"/>
        <w:outlineLvl w:val="2"/>
        <w:rPr>
          <w:rFonts w:ascii="Times New Roman" w:hAnsi="Times New Roman" w:eastAsia="新宋体" w:cs="Times New Roman"/>
          <w:b/>
          <w:bCs/>
          <w:color w:val="auto"/>
          <w:szCs w:val="24"/>
          <w:lang w:eastAsia="zh-CN"/>
        </w:rPr>
      </w:pPr>
      <w:bookmarkStart w:id="392" w:name="_Toc237508255"/>
      <w:bookmarkStart w:id="393" w:name="_Toc224674640"/>
      <w:bookmarkStart w:id="394" w:name="_Toc223425002"/>
      <w:bookmarkStart w:id="395" w:name="_Toc175164253"/>
      <w:bookmarkStart w:id="396" w:name="_Toc231828541"/>
      <w:bookmarkStart w:id="397" w:name="_Toc204515161"/>
      <w:bookmarkStart w:id="398" w:name="_Toc221900784"/>
      <w:bookmarkStart w:id="399" w:name="_Toc176512989"/>
      <w:bookmarkStart w:id="400" w:name="_Toc236641272"/>
      <w:bookmarkStart w:id="401" w:name="_Toc218784227"/>
      <w:bookmarkStart w:id="402" w:name="_Toc236641789"/>
      <w:bookmarkStart w:id="403" w:name="_Toc173740259"/>
      <w:bookmarkStart w:id="404" w:name="_Toc225784001"/>
      <w:bookmarkStart w:id="405" w:name="_Toc203926961"/>
      <w:bookmarkStart w:id="406" w:name="_Toc204448426"/>
      <w:bookmarkStart w:id="407" w:name="_Toc173743363"/>
      <w:bookmarkStart w:id="408" w:name="_Toc178602329"/>
      <w:bookmarkStart w:id="409" w:name="_Toc172555632"/>
      <w:bookmarkStart w:id="410" w:name="_Toc217662617"/>
      <w:r>
        <w:rPr>
          <w:rFonts w:ascii="Times New Roman" w:hAnsi="Times New Roman" w:eastAsia="新宋体" w:cs="Times New Roman"/>
          <w:b/>
          <w:bCs/>
          <w:color w:val="auto"/>
          <w:szCs w:val="24"/>
          <w:lang w:eastAsia="zh-CN"/>
        </w:rPr>
        <w:t>2.5.6 环境功能区划</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14:paraId="436C4084">
      <w:pPr>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项目选址位于蚌埠精细化工高新技术产业基地，区域环境内的环境功能区划汇总见下表。</w:t>
      </w:r>
    </w:p>
    <w:p w14:paraId="2AF3E47E">
      <w:pPr>
        <w:spacing w:line="360" w:lineRule="auto"/>
        <w:jc w:val="center"/>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表2.5-</w:t>
      </w:r>
      <w:r>
        <w:rPr>
          <w:rFonts w:hint="eastAsia" w:ascii="Times New Roman" w:hAnsi="Times New Roman" w:eastAsia="新宋体" w:cs="Times New Roman"/>
          <w:b/>
          <w:bCs/>
          <w:color w:val="auto"/>
          <w:szCs w:val="24"/>
          <w:lang w:eastAsia="zh-CN"/>
        </w:rPr>
        <w:t>9</w:t>
      </w:r>
      <w:r>
        <w:rPr>
          <w:rFonts w:ascii="Times New Roman" w:hAnsi="Times New Roman" w:eastAsia="新宋体" w:cs="Times New Roman"/>
          <w:b/>
          <w:bCs/>
          <w:color w:val="auto"/>
          <w:szCs w:val="24"/>
          <w:lang w:eastAsia="zh-CN"/>
        </w:rPr>
        <w:t xml:space="preserve"> 区域环境功能区划汇总一览表</w:t>
      </w:r>
    </w:p>
    <w:tbl>
      <w:tblPr>
        <w:tblStyle w:val="35"/>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67"/>
        <w:gridCol w:w="1743"/>
        <w:gridCol w:w="7336"/>
      </w:tblGrid>
      <w:tr w14:paraId="66C69B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Align w:val="center"/>
          </w:tcPr>
          <w:p w14:paraId="699175C3">
            <w:pPr>
              <w:widowControl w:val="0"/>
              <w:adjustRightInd w:val="0"/>
              <w:snapToGrid w:val="0"/>
              <w:jc w:val="center"/>
              <w:rPr>
                <w:rFonts w:ascii="Times New Roman" w:hAnsi="Times New Roman" w:cs="Times New Roman"/>
                <w:b/>
                <w:bCs/>
                <w:color w:val="auto"/>
                <w:sz w:val="21"/>
                <w:lang w:eastAsia="zh-CN"/>
              </w:rPr>
            </w:pPr>
            <w:bookmarkStart w:id="411" w:name="_Hlk202967828"/>
            <w:r>
              <w:rPr>
                <w:rFonts w:ascii="Times New Roman" w:hAnsi="Times New Roman" w:cs="Times New Roman"/>
                <w:b/>
                <w:bCs/>
                <w:color w:val="auto"/>
                <w:sz w:val="21"/>
                <w:lang w:eastAsia="zh-CN"/>
              </w:rPr>
              <w:t>序号</w:t>
            </w:r>
          </w:p>
        </w:tc>
        <w:tc>
          <w:tcPr>
            <w:tcW w:w="1743" w:type="dxa"/>
            <w:vAlign w:val="center"/>
          </w:tcPr>
          <w:p w14:paraId="0C5F9854">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环境要素</w:t>
            </w:r>
          </w:p>
        </w:tc>
        <w:tc>
          <w:tcPr>
            <w:tcW w:w="7336" w:type="dxa"/>
            <w:vAlign w:val="center"/>
          </w:tcPr>
          <w:p w14:paraId="4A6383DD">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环境功能区划</w:t>
            </w:r>
          </w:p>
        </w:tc>
      </w:tr>
      <w:tr w14:paraId="39953D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Align w:val="center"/>
          </w:tcPr>
          <w:p w14:paraId="6C507A91">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w:t>
            </w:r>
          </w:p>
        </w:tc>
        <w:tc>
          <w:tcPr>
            <w:tcW w:w="1743" w:type="dxa"/>
            <w:vAlign w:val="center"/>
          </w:tcPr>
          <w:p w14:paraId="667B0AA1">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大气</w:t>
            </w:r>
          </w:p>
        </w:tc>
        <w:tc>
          <w:tcPr>
            <w:tcW w:w="7336" w:type="dxa"/>
            <w:vAlign w:val="center"/>
          </w:tcPr>
          <w:p w14:paraId="1953A95E">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《环境空气质量标准》（GB395-20</w:t>
            </w:r>
            <w:r>
              <w:rPr>
                <w:rFonts w:hint="eastAsia" w:ascii="Times New Roman" w:hAnsi="Times New Roman" w:cs="Times New Roman"/>
                <w:color w:val="auto"/>
                <w:sz w:val="21"/>
                <w:lang w:eastAsia="zh-CN"/>
              </w:rPr>
              <w:t>26</w:t>
            </w:r>
            <w:r>
              <w:rPr>
                <w:rFonts w:ascii="Times New Roman" w:hAnsi="Times New Roman" w:cs="Times New Roman"/>
                <w:color w:val="auto"/>
                <w:sz w:val="21"/>
                <w:lang w:eastAsia="zh-CN"/>
              </w:rPr>
              <w:t>）中二类区</w:t>
            </w:r>
          </w:p>
        </w:tc>
      </w:tr>
      <w:tr w14:paraId="012AD8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restart"/>
            <w:vAlign w:val="center"/>
          </w:tcPr>
          <w:p w14:paraId="2D6C47CE">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w:t>
            </w:r>
          </w:p>
        </w:tc>
        <w:tc>
          <w:tcPr>
            <w:tcW w:w="1743" w:type="dxa"/>
            <w:vAlign w:val="center"/>
          </w:tcPr>
          <w:p w14:paraId="2E0B6C86">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地表水—淮</w:t>
            </w:r>
            <w:r>
              <w:rPr>
                <w:rFonts w:hint="eastAsia" w:ascii="Times New Roman" w:hAnsi="Times New Roman" w:cs="Times New Roman"/>
                <w:color w:val="auto"/>
                <w:sz w:val="21"/>
                <w:lang w:eastAsia="zh-CN"/>
              </w:rPr>
              <w:t>河</w:t>
            </w:r>
          </w:p>
        </w:tc>
        <w:tc>
          <w:tcPr>
            <w:tcW w:w="7336" w:type="dxa"/>
            <w:vAlign w:val="center"/>
          </w:tcPr>
          <w:p w14:paraId="074F1D7C">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《地表水环境质量标准》（GB388-2002）III类水体</w:t>
            </w:r>
          </w:p>
        </w:tc>
      </w:tr>
      <w:tr w14:paraId="3C7C50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vAlign w:val="center"/>
          </w:tcPr>
          <w:p w14:paraId="63C02753">
            <w:pPr>
              <w:widowControl w:val="0"/>
              <w:adjustRightInd w:val="0"/>
              <w:snapToGrid w:val="0"/>
              <w:jc w:val="center"/>
              <w:rPr>
                <w:rFonts w:ascii="Times New Roman" w:hAnsi="Times New Roman" w:cs="Times New Roman"/>
                <w:color w:val="auto"/>
                <w:sz w:val="21"/>
                <w:lang w:eastAsia="zh-CN"/>
              </w:rPr>
            </w:pPr>
          </w:p>
        </w:tc>
        <w:tc>
          <w:tcPr>
            <w:tcW w:w="1743" w:type="dxa"/>
            <w:vAlign w:val="center"/>
          </w:tcPr>
          <w:p w14:paraId="5DB174EB">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地表水—沫冲引河、三铺大沟</w:t>
            </w:r>
          </w:p>
        </w:tc>
        <w:tc>
          <w:tcPr>
            <w:tcW w:w="7336" w:type="dxa"/>
            <w:vAlign w:val="center"/>
          </w:tcPr>
          <w:p w14:paraId="7BDF3189">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《地表水环境质量标准》（GB388-2002）IV类水体</w:t>
            </w:r>
          </w:p>
        </w:tc>
      </w:tr>
      <w:tr w14:paraId="7E8161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Align w:val="center"/>
          </w:tcPr>
          <w:p w14:paraId="082DEDB5">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3</w:t>
            </w:r>
          </w:p>
        </w:tc>
        <w:tc>
          <w:tcPr>
            <w:tcW w:w="1743" w:type="dxa"/>
            <w:vAlign w:val="center"/>
          </w:tcPr>
          <w:p w14:paraId="6504FB97">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地下水</w:t>
            </w:r>
          </w:p>
        </w:tc>
        <w:tc>
          <w:tcPr>
            <w:tcW w:w="7336" w:type="dxa"/>
            <w:vAlign w:val="center"/>
          </w:tcPr>
          <w:p w14:paraId="0B34AA99">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《地下水质量标准》（GB/T14848-2017）中III类指标</w:t>
            </w:r>
          </w:p>
        </w:tc>
      </w:tr>
      <w:tr w14:paraId="45C953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Align w:val="center"/>
          </w:tcPr>
          <w:p w14:paraId="44912A52">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4</w:t>
            </w:r>
          </w:p>
        </w:tc>
        <w:tc>
          <w:tcPr>
            <w:tcW w:w="1743" w:type="dxa"/>
            <w:vAlign w:val="center"/>
          </w:tcPr>
          <w:p w14:paraId="10115E97">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声</w:t>
            </w:r>
          </w:p>
        </w:tc>
        <w:tc>
          <w:tcPr>
            <w:tcW w:w="7336" w:type="dxa"/>
            <w:vAlign w:val="center"/>
          </w:tcPr>
          <w:p w14:paraId="05666F52">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《声环境质量标准》（GB3096-2008）中3类区标准</w:t>
            </w:r>
          </w:p>
        </w:tc>
      </w:tr>
      <w:tr w14:paraId="471F36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Align w:val="center"/>
          </w:tcPr>
          <w:p w14:paraId="57978CAF">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5</w:t>
            </w:r>
          </w:p>
        </w:tc>
        <w:tc>
          <w:tcPr>
            <w:tcW w:w="1743" w:type="dxa"/>
            <w:vAlign w:val="center"/>
          </w:tcPr>
          <w:p w14:paraId="6BFCF974">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土壤</w:t>
            </w:r>
          </w:p>
        </w:tc>
        <w:tc>
          <w:tcPr>
            <w:tcW w:w="7336" w:type="dxa"/>
            <w:vAlign w:val="center"/>
          </w:tcPr>
          <w:p w14:paraId="62FAB5D9">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建设用地土壤环境质量执行《土壤环境质量建设用地土壤污染风险管控标准》（GB36600-2018）中筛选值标准</w:t>
            </w:r>
            <w:r>
              <w:rPr>
                <w:rFonts w:hint="eastAsia" w:ascii="Times New Roman" w:hAnsi="Times New Roman" w:cs="Times New Roman"/>
                <w:color w:val="auto"/>
                <w:sz w:val="21"/>
                <w:lang w:eastAsia="zh-CN"/>
              </w:rPr>
              <w:t>；农用地土壤环境执行《土壤环境质量农用地土壤污染风险管控标准（试行）》（GB15618-2018）中筛选值标准</w:t>
            </w:r>
          </w:p>
        </w:tc>
      </w:tr>
      <w:bookmarkEnd w:id="411"/>
    </w:tbl>
    <w:p w14:paraId="1378B3D8">
      <w:pPr>
        <w:spacing w:line="360" w:lineRule="auto"/>
        <w:ind w:firstLine="562"/>
        <w:jc w:val="both"/>
        <w:outlineLvl w:val="1"/>
        <w:rPr>
          <w:rFonts w:ascii="Times New Roman" w:hAnsi="Times New Roman" w:eastAsia="新宋体" w:cs="Times New Roman"/>
          <w:color w:val="auto"/>
          <w:szCs w:val="24"/>
          <w:lang w:eastAsia="zh-CN"/>
        </w:rPr>
      </w:pPr>
      <w:bookmarkStart w:id="412" w:name="_Toc237508256"/>
      <w:r>
        <w:rPr>
          <w:rFonts w:ascii="Times New Roman" w:hAnsi="Times New Roman" w:eastAsia="新宋体" w:cs="Times New Roman"/>
          <w:b/>
          <w:bCs/>
          <w:color w:val="auto"/>
          <w:sz w:val="28"/>
          <w:szCs w:val="28"/>
          <w:lang w:eastAsia="zh-CN"/>
        </w:rPr>
        <w:t>2.6 环境保护目标</w:t>
      </w:r>
      <w:bookmarkEnd w:id="412"/>
    </w:p>
    <w:p w14:paraId="189825AF">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项目选址位于安徽省蚌埠市淮上区沫河口工业园</w:t>
      </w:r>
      <w:r>
        <w:rPr>
          <w:rFonts w:hint="eastAsia" w:ascii="Times New Roman" w:hAnsi="Times New Roman" w:cs="Times New Roman"/>
          <w:color w:val="auto"/>
          <w:szCs w:val="24"/>
          <w:lang w:eastAsia="zh-CN"/>
        </w:rPr>
        <w:t>淝河北路599号</w:t>
      </w:r>
      <w:r>
        <w:rPr>
          <w:rFonts w:ascii="Times New Roman" w:hAnsi="Times New Roman" w:cs="Times New Roman"/>
          <w:color w:val="auto"/>
          <w:szCs w:val="24"/>
          <w:lang w:eastAsia="zh-CN"/>
        </w:rPr>
        <w:t>。经过现场勘查，评价范围内不涉及自然保护区、风景旅游点和文物古迹等需要特殊保护的环境保护目标。区域主要环境保护目标分布见表2.6-1和图2.6-1所示。</w:t>
      </w:r>
    </w:p>
    <w:p w14:paraId="1FEA779A">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表2.6-1 环境保护目标一览表</w:t>
      </w:r>
    </w:p>
    <w:tbl>
      <w:tblPr>
        <w:tblStyle w:val="35"/>
        <w:tblW w:w="5008" w:type="pct"/>
        <w:jc w:val="center"/>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Layout w:type="fixed"/>
        <w:tblCellMar>
          <w:top w:w="0" w:type="dxa"/>
          <w:left w:w="0" w:type="dxa"/>
          <w:bottom w:w="0" w:type="dxa"/>
          <w:right w:w="0" w:type="dxa"/>
        </w:tblCellMar>
      </w:tblPr>
      <w:tblGrid>
        <w:gridCol w:w="525"/>
        <w:gridCol w:w="1345"/>
        <w:gridCol w:w="758"/>
        <w:gridCol w:w="826"/>
        <w:gridCol w:w="1933"/>
        <w:gridCol w:w="709"/>
        <w:gridCol w:w="1712"/>
        <w:gridCol w:w="849"/>
        <w:gridCol w:w="1105"/>
      </w:tblGrid>
      <w:tr w14:paraId="6D9A53D2">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tblHeader/>
          <w:jc w:val="center"/>
        </w:trPr>
        <w:tc>
          <w:tcPr>
            <w:tcW w:w="269" w:type="pct"/>
            <w:vMerge w:val="restart"/>
            <w:vAlign w:val="center"/>
          </w:tcPr>
          <w:p w14:paraId="00FB1E4C">
            <w:pPr>
              <w:adjustRightInd w:val="0"/>
              <w:snapToGrid w:val="0"/>
              <w:jc w:val="center"/>
              <w:rPr>
                <w:rFonts w:ascii="Times New Roman" w:hAnsi="Times New Roman" w:cs="Times New Roman"/>
                <w:b/>
                <w:color w:val="auto"/>
                <w:sz w:val="21"/>
              </w:rPr>
            </w:pPr>
            <w:bookmarkStart w:id="413" w:name="_Hlk176942082"/>
            <w:r>
              <w:rPr>
                <w:rFonts w:ascii="Times New Roman" w:hAnsi="Times New Roman" w:cs="Times New Roman"/>
                <w:b/>
                <w:color w:val="auto"/>
                <w:sz w:val="21"/>
              </w:rPr>
              <w:t>序号</w:t>
            </w:r>
          </w:p>
        </w:tc>
        <w:tc>
          <w:tcPr>
            <w:tcW w:w="689" w:type="pct"/>
            <w:vMerge w:val="restart"/>
            <w:vAlign w:val="center"/>
          </w:tcPr>
          <w:p w14:paraId="3CC60ACC">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环境保护目标名称</w:t>
            </w:r>
          </w:p>
        </w:tc>
        <w:tc>
          <w:tcPr>
            <w:tcW w:w="811" w:type="pct"/>
            <w:gridSpan w:val="2"/>
            <w:vAlign w:val="center"/>
          </w:tcPr>
          <w:p w14:paraId="14990F00">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坐标/m</w:t>
            </w:r>
          </w:p>
        </w:tc>
        <w:tc>
          <w:tcPr>
            <w:tcW w:w="990" w:type="pct"/>
            <w:vMerge w:val="restart"/>
            <w:vAlign w:val="center"/>
          </w:tcPr>
          <w:p w14:paraId="4EE13E9A">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保护对象规模</w:t>
            </w:r>
          </w:p>
        </w:tc>
        <w:tc>
          <w:tcPr>
            <w:tcW w:w="363" w:type="pct"/>
            <w:vMerge w:val="restart"/>
            <w:vAlign w:val="center"/>
          </w:tcPr>
          <w:p w14:paraId="322B7E5A">
            <w:pPr>
              <w:adjustRightInd w:val="0"/>
              <w:snapToGrid w:val="0"/>
              <w:jc w:val="center"/>
              <w:rPr>
                <w:rFonts w:ascii="Times New Roman" w:hAnsi="Times New Roman" w:cs="Times New Roman"/>
                <w:color w:val="auto"/>
                <w:sz w:val="21"/>
                <w:lang w:eastAsia="zh-CN"/>
              </w:rPr>
            </w:pPr>
            <w:r>
              <w:rPr>
                <w:rFonts w:ascii="Times New Roman" w:hAnsi="Times New Roman" w:cs="Times New Roman"/>
                <w:b/>
                <w:color w:val="auto"/>
                <w:sz w:val="21"/>
              </w:rPr>
              <w:t>保护内容</w:t>
            </w:r>
          </w:p>
        </w:tc>
        <w:tc>
          <w:tcPr>
            <w:tcW w:w="877" w:type="pct"/>
            <w:vMerge w:val="restart"/>
            <w:vAlign w:val="center"/>
          </w:tcPr>
          <w:p w14:paraId="499B0575">
            <w:pPr>
              <w:adjustRightInd w:val="0"/>
              <w:snapToGrid w:val="0"/>
              <w:jc w:val="center"/>
              <w:rPr>
                <w:rFonts w:ascii="Times New Roman" w:hAnsi="Times New Roman" w:cs="Times New Roman"/>
                <w:color w:val="auto"/>
                <w:sz w:val="21"/>
                <w:lang w:eastAsia="zh-CN"/>
              </w:rPr>
            </w:pPr>
            <w:r>
              <w:rPr>
                <w:rFonts w:ascii="Times New Roman" w:hAnsi="Times New Roman" w:cs="Times New Roman"/>
                <w:b/>
                <w:color w:val="auto"/>
                <w:sz w:val="21"/>
              </w:rPr>
              <w:t>环境功能区</w:t>
            </w:r>
          </w:p>
        </w:tc>
        <w:tc>
          <w:tcPr>
            <w:tcW w:w="435" w:type="pct"/>
            <w:vMerge w:val="restart"/>
            <w:vAlign w:val="center"/>
          </w:tcPr>
          <w:p w14:paraId="5B2D2D46">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相对厂区方位</w:t>
            </w:r>
          </w:p>
        </w:tc>
        <w:tc>
          <w:tcPr>
            <w:tcW w:w="566" w:type="pct"/>
            <w:vMerge w:val="restart"/>
            <w:vAlign w:val="center"/>
          </w:tcPr>
          <w:p w14:paraId="6F2EB31D">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相对厂界距离/m</w:t>
            </w:r>
          </w:p>
        </w:tc>
      </w:tr>
      <w:tr w14:paraId="02AF147E">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tblHeader/>
          <w:jc w:val="center"/>
        </w:trPr>
        <w:tc>
          <w:tcPr>
            <w:tcW w:w="269" w:type="pct"/>
            <w:vMerge w:val="continue"/>
            <w:vAlign w:val="center"/>
          </w:tcPr>
          <w:p w14:paraId="548E9BE5">
            <w:pPr>
              <w:adjustRightInd w:val="0"/>
              <w:snapToGrid w:val="0"/>
              <w:jc w:val="center"/>
              <w:rPr>
                <w:rFonts w:ascii="Times New Roman" w:hAnsi="Times New Roman" w:cs="Times New Roman"/>
                <w:b/>
                <w:color w:val="auto"/>
                <w:sz w:val="21"/>
              </w:rPr>
            </w:pPr>
          </w:p>
        </w:tc>
        <w:tc>
          <w:tcPr>
            <w:tcW w:w="689" w:type="pct"/>
            <w:vMerge w:val="continue"/>
            <w:vAlign w:val="center"/>
          </w:tcPr>
          <w:p w14:paraId="7DFF7CB9">
            <w:pPr>
              <w:adjustRightInd w:val="0"/>
              <w:snapToGrid w:val="0"/>
              <w:jc w:val="center"/>
              <w:rPr>
                <w:rFonts w:ascii="Times New Roman" w:hAnsi="Times New Roman" w:cs="Times New Roman"/>
                <w:b/>
                <w:color w:val="auto"/>
                <w:sz w:val="21"/>
              </w:rPr>
            </w:pPr>
          </w:p>
        </w:tc>
        <w:tc>
          <w:tcPr>
            <w:tcW w:w="388" w:type="pct"/>
            <w:vAlign w:val="center"/>
          </w:tcPr>
          <w:p w14:paraId="4D60D1EC">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X</w:t>
            </w:r>
          </w:p>
        </w:tc>
        <w:tc>
          <w:tcPr>
            <w:tcW w:w="423" w:type="pct"/>
            <w:vAlign w:val="center"/>
          </w:tcPr>
          <w:p w14:paraId="1662295F">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Y</w:t>
            </w:r>
          </w:p>
        </w:tc>
        <w:tc>
          <w:tcPr>
            <w:tcW w:w="990" w:type="pct"/>
            <w:vMerge w:val="continue"/>
            <w:vAlign w:val="center"/>
          </w:tcPr>
          <w:p w14:paraId="4ED9E4CC">
            <w:pPr>
              <w:adjustRightInd w:val="0"/>
              <w:snapToGrid w:val="0"/>
              <w:jc w:val="center"/>
              <w:rPr>
                <w:rFonts w:ascii="Times New Roman" w:hAnsi="Times New Roman" w:cs="Times New Roman"/>
                <w:b/>
                <w:color w:val="auto"/>
                <w:sz w:val="21"/>
              </w:rPr>
            </w:pPr>
          </w:p>
        </w:tc>
        <w:tc>
          <w:tcPr>
            <w:tcW w:w="363" w:type="pct"/>
            <w:vMerge w:val="continue"/>
            <w:vAlign w:val="center"/>
          </w:tcPr>
          <w:p w14:paraId="182B444C">
            <w:pPr>
              <w:adjustRightInd w:val="0"/>
              <w:snapToGrid w:val="0"/>
              <w:jc w:val="center"/>
              <w:rPr>
                <w:rFonts w:ascii="Times New Roman" w:hAnsi="Times New Roman" w:cs="Times New Roman"/>
                <w:b/>
                <w:color w:val="auto"/>
                <w:sz w:val="21"/>
              </w:rPr>
            </w:pPr>
          </w:p>
        </w:tc>
        <w:tc>
          <w:tcPr>
            <w:tcW w:w="877" w:type="pct"/>
            <w:vMerge w:val="continue"/>
            <w:vAlign w:val="center"/>
          </w:tcPr>
          <w:p w14:paraId="4EE7D773">
            <w:pPr>
              <w:adjustRightInd w:val="0"/>
              <w:snapToGrid w:val="0"/>
              <w:jc w:val="center"/>
              <w:rPr>
                <w:rFonts w:ascii="Times New Roman" w:hAnsi="Times New Roman" w:cs="Times New Roman"/>
                <w:b/>
                <w:color w:val="auto"/>
                <w:sz w:val="21"/>
              </w:rPr>
            </w:pPr>
          </w:p>
        </w:tc>
        <w:tc>
          <w:tcPr>
            <w:tcW w:w="435" w:type="pct"/>
            <w:vMerge w:val="continue"/>
            <w:vAlign w:val="center"/>
          </w:tcPr>
          <w:p w14:paraId="2F412754">
            <w:pPr>
              <w:adjustRightInd w:val="0"/>
              <w:snapToGrid w:val="0"/>
              <w:jc w:val="center"/>
              <w:rPr>
                <w:rFonts w:ascii="Times New Roman" w:hAnsi="Times New Roman" w:cs="Times New Roman"/>
                <w:b/>
                <w:color w:val="auto"/>
                <w:sz w:val="21"/>
              </w:rPr>
            </w:pPr>
          </w:p>
        </w:tc>
        <w:tc>
          <w:tcPr>
            <w:tcW w:w="566" w:type="pct"/>
            <w:vMerge w:val="continue"/>
            <w:vAlign w:val="center"/>
          </w:tcPr>
          <w:p w14:paraId="718E7F1B">
            <w:pPr>
              <w:adjustRightInd w:val="0"/>
              <w:snapToGrid w:val="0"/>
              <w:jc w:val="center"/>
              <w:rPr>
                <w:rFonts w:ascii="Times New Roman" w:hAnsi="Times New Roman" w:cs="Times New Roman"/>
                <w:b/>
                <w:color w:val="auto"/>
                <w:sz w:val="21"/>
              </w:rPr>
            </w:pPr>
          </w:p>
        </w:tc>
      </w:tr>
      <w:tr w14:paraId="32B588BD">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11B1C59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w:t>
            </w:r>
          </w:p>
        </w:tc>
        <w:tc>
          <w:tcPr>
            <w:tcW w:w="689" w:type="pct"/>
            <w:vAlign w:val="center"/>
          </w:tcPr>
          <w:p w14:paraId="6BF71FCE">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大柏村</w:t>
            </w:r>
          </w:p>
        </w:tc>
        <w:tc>
          <w:tcPr>
            <w:tcW w:w="388" w:type="pct"/>
            <w:vAlign w:val="center"/>
          </w:tcPr>
          <w:p w14:paraId="028C17C7">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101</w:t>
            </w:r>
            <w:r>
              <w:rPr>
                <w:rFonts w:hint="eastAsia" w:ascii="Times New Roman" w:hAnsi="Times New Roman" w:cs="Times New Roman"/>
                <w:color w:val="000000" w:themeColor="text1"/>
                <w:sz w:val="21"/>
                <w:lang w:eastAsia="zh-CN"/>
                <w14:textFill>
                  <w14:solidFill>
                    <w14:schemeClr w14:val="tx1"/>
                  </w14:solidFill>
                </w14:textFill>
              </w:rPr>
              <w:t>0</w:t>
            </w:r>
          </w:p>
        </w:tc>
        <w:tc>
          <w:tcPr>
            <w:tcW w:w="423" w:type="pct"/>
            <w:vAlign w:val="center"/>
          </w:tcPr>
          <w:p w14:paraId="5378DD2C">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6</w:t>
            </w:r>
            <w:r>
              <w:rPr>
                <w:rFonts w:hint="eastAsia" w:ascii="Times New Roman" w:hAnsi="Times New Roman" w:cs="Times New Roman"/>
                <w:color w:val="000000" w:themeColor="text1"/>
                <w:sz w:val="21"/>
                <w:lang w:eastAsia="zh-CN"/>
                <w14:textFill>
                  <w14:solidFill>
                    <w14:schemeClr w14:val="tx1"/>
                  </w14:solidFill>
                </w14:textFill>
              </w:rPr>
              <w:t>60</w:t>
            </w:r>
          </w:p>
        </w:tc>
        <w:tc>
          <w:tcPr>
            <w:tcW w:w="990" w:type="pct"/>
            <w:vAlign w:val="center"/>
          </w:tcPr>
          <w:p w14:paraId="5EC9BD72">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约186户，455人</w:t>
            </w:r>
          </w:p>
        </w:tc>
        <w:tc>
          <w:tcPr>
            <w:tcW w:w="363" w:type="pct"/>
            <w:vMerge w:val="restart"/>
            <w:vAlign w:val="center"/>
          </w:tcPr>
          <w:p w14:paraId="7C75B4C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环境空气</w:t>
            </w:r>
          </w:p>
        </w:tc>
        <w:tc>
          <w:tcPr>
            <w:tcW w:w="877" w:type="pct"/>
            <w:vMerge w:val="restart"/>
            <w:vAlign w:val="center"/>
          </w:tcPr>
          <w:p w14:paraId="4AA5F603">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rPr>
              <w:t>GB3095-20</w:t>
            </w:r>
            <w:r>
              <w:rPr>
                <w:rFonts w:ascii="Times New Roman" w:hAnsi="Times New Roman" w:cs="Times New Roman"/>
                <w:color w:val="auto"/>
                <w:sz w:val="21"/>
                <w:lang w:eastAsia="zh-CN"/>
              </w:rPr>
              <w:t>26</w:t>
            </w:r>
          </w:p>
          <w:p w14:paraId="5BDBAD5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二类</w:t>
            </w:r>
          </w:p>
        </w:tc>
        <w:tc>
          <w:tcPr>
            <w:tcW w:w="435" w:type="pct"/>
            <w:vAlign w:val="center"/>
          </w:tcPr>
          <w:p w14:paraId="159539FF">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NE</w:t>
            </w:r>
          </w:p>
        </w:tc>
        <w:tc>
          <w:tcPr>
            <w:tcW w:w="566" w:type="pct"/>
            <w:vAlign w:val="center"/>
          </w:tcPr>
          <w:p w14:paraId="18DEB43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7</w:t>
            </w:r>
            <w:r>
              <w:rPr>
                <w:rFonts w:hint="eastAsia" w:ascii="Times New Roman" w:hAnsi="Times New Roman" w:cs="Times New Roman"/>
                <w:color w:val="000000" w:themeColor="text1"/>
                <w:sz w:val="21"/>
                <w:lang w:eastAsia="zh-CN"/>
                <w14:textFill>
                  <w14:solidFill>
                    <w14:schemeClr w14:val="tx1"/>
                  </w14:solidFill>
                </w14:textFill>
              </w:rPr>
              <w:t>60</w:t>
            </w:r>
          </w:p>
        </w:tc>
      </w:tr>
      <w:tr w14:paraId="5867C8C1">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794B88C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w:t>
            </w:r>
          </w:p>
        </w:tc>
        <w:tc>
          <w:tcPr>
            <w:tcW w:w="689" w:type="pct"/>
            <w:vAlign w:val="center"/>
          </w:tcPr>
          <w:p w14:paraId="61CC5858">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草杨</w:t>
            </w:r>
            <w:r>
              <w:rPr>
                <w:rFonts w:hint="eastAsia" w:ascii="Times New Roman" w:hAnsi="Times New Roman" w:cs="Times New Roman"/>
                <w:color w:val="000000" w:themeColor="text1"/>
                <w:sz w:val="21"/>
                <w:lang w:eastAsia="zh-CN"/>
                <w14:textFill>
                  <w14:solidFill>
                    <w14:schemeClr w14:val="tx1"/>
                  </w14:solidFill>
                </w14:textFill>
              </w:rPr>
              <w:t>家</w:t>
            </w:r>
          </w:p>
        </w:tc>
        <w:tc>
          <w:tcPr>
            <w:tcW w:w="388" w:type="pct"/>
            <w:vAlign w:val="center"/>
          </w:tcPr>
          <w:p w14:paraId="77661E94">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15</w:t>
            </w:r>
            <w:r>
              <w:rPr>
                <w:rFonts w:hint="eastAsia" w:ascii="Times New Roman" w:hAnsi="Times New Roman" w:cs="Times New Roman"/>
                <w:color w:val="000000" w:themeColor="text1"/>
                <w:sz w:val="21"/>
                <w:lang w:eastAsia="zh-CN"/>
                <w14:textFill>
                  <w14:solidFill>
                    <w14:schemeClr w14:val="tx1"/>
                  </w14:solidFill>
                </w14:textFill>
              </w:rPr>
              <w:t>20</w:t>
            </w:r>
          </w:p>
        </w:tc>
        <w:tc>
          <w:tcPr>
            <w:tcW w:w="423" w:type="pct"/>
            <w:vAlign w:val="center"/>
          </w:tcPr>
          <w:p w14:paraId="23B00236">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w:t>
            </w:r>
            <w:r>
              <w:rPr>
                <w:rFonts w:hint="eastAsia" w:ascii="Times New Roman" w:hAnsi="Times New Roman" w:cs="Times New Roman"/>
                <w:color w:val="000000" w:themeColor="text1"/>
                <w:sz w:val="21"/>
                <w:lang w:eastAsia="zh-CN"/>
                <w14:textFill>
                  <w14:solidFill>
                    <w14:schemeClr w14:val="tx1"/>
                  </w14:solidFill>
                </w14:textFill>
              </w:rPr>
              <w:t>70</w:t>
            </w:r>
          </w:p>
        </w:tc>
        <w:tc>
          <w:tcPr>
            <w:tcW w:w="990" w:type="pct"/>
            <w:vAlign w:val="center"/>
          </w:tcPr>
          <w:p w14:paraId="3251A191">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约35户，150人</w:t>
            </w:r>
          </w:p>
        </w:tc>
        <w:tc>
          <w:tcPr>
            <w:tcW w:w="363" w:type="pct"/>
            <w:vMerge w:val="continue"/>
            <w:vAlign w:val="center"/>
          </w:tcPr>
          <w:p w14:paraId="00B00A40">
            <w:pPr>
              <w:adjustRightInd w:val="0"/>
              <w:snapToGrid w:val="0"/>
              <w:jc w:val="center"/>
              <w:rPr>
                <w:rFonts w:ascii="Times New Roman" w:hAnsi="Times New Roman" w:cs="Times New Roman"/>
                <w:color w:val="auto"/>
                <w:sz w:val="21"/>
              </w:rPr>
            </w:pPr>
          </w:p>
        </w:tc>
        <w:tc>
          <w:tcPr>
            <w:tcW w:w="877" w:type="pct"/>
            <w:vMerge w:val="continue"/>
            <w:vAlign w:val="center"/>
          </w:tcPr>
          <w:p w14:paraId="7C85F32B">
            <w:pPr>
              <w:adjustRightInd w:val="0"/>
              <w:snapToGrid w:val="0"/>
              <w:jc w:val="center"/>
              <w:rPr>
                <w:rFonts w:ascii="Times New Roman" w:hAnsi="Times New Roman" w:cs="Times New Roman"/>
                <w:color w:val="auto"/>
                <w:sz w:val="21"/>
              </w:rPr>
            </w:pPr>
          </w:p>
        </w:tc>
        <w:tc>
          <w:tcPr>
            <w:tcW w:w="435" w:type="pct"/>
            <w:vAlign w:val="center"/>
          </w:tcPr>
          <w:p w14:paraId="39CEA21F">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E</w:t>
            </w:r>
          </w:p>
        </w:tc>
        <w:tc>
          <w:tcPr>
            <w:tcW w:w="566" w:type="pct"/>
            <w:vAlign w:val="center"/>
          </w:tcPr>
          <w:p w14:paraId="472E5B0C">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105</w:t>
            </w:r>
            <w:r>
              <w:rPr>
                <w:rFonts w:hint="eastAsia" w:ascii="Times New Roman" w:hAnsi="Times New Roman" w:cs="Times New Roman"/>
                <w:color w:val="000000" w:themeColor="text1"/>
                <w:sz w:val="21"/>
                <w:lang w:eastAsia="zh-CN"/>
                <w14:textFill>
                  <w14:solidFill>
                    <w14:schemeClr w14:val="tx1"/>
                  </w14:solidFill>
                </w14:textFill>
              </w:rPr>
              <w:t>0</w:t>
            </w:r>
          </w:p>
        </w:tc>
      </w:tr>
      <w:tr w14:paraId="0DE28484">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208D757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3</w:t>
            </w:r>
          </w:p>
        </w:tc>
        <w:tc>
          <w:tcPr>
            <w:tcW w:w="689" w:type="pct"/>
            <w:vAlign w:val="center"/>
          </w:tcPr>
          <w:p w14:paraId="6DDF6E61">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大柏小学</w:t>
            </w:r>
          </w:p>
        </w:tc>
        <w:tc>
          <w:tcPr>
            <w:tcW w:w="388" w:type="pct"/>
            <w:vAlign w:val="center"/>
          </w:tcPr>
          <w:p w14:paraId="2F9A628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150</w:t>
            </w:r>
            <w:r>
              <w:rPr>
                <w:rFonts w:hint="eastAsia" w:ascii="Times New Roman" w:hAnsi="Times New Roman" w:cs="Times New Roman"/>
                <w:color w:val="000000" w:themeColor="text1"/>
                <w:sz w:val="21"/>
                <w:lang w:eastAsia="zh-CN"/>
                <w14:textFill>
                  <w14:solidFill>
                    <w14:schemeClr w14:val="tx1"/>
                  </w14:solidFill>
                </w14:textFill>
              </w:rPr>
              <w:t>0</w:t>
            </w:r>
          </w:p>
        </w:tc>
        <w:tc>
          <w:tcPr>
            <w:tcW w:w="423" w:type="pct"/>
            <w:vAlign w:val="center"/>
          </w:tcPr>
          <w:p w14:paraId="50C255B7">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69</w:t>
            </w:r>
            <w:r>
              <w:rPr>
                <w:rFonts w:hint="eastAsia" w:ascii="Times New Roman" w:hAnsi="Times New Roman" w:cs="Times New Roman"/>
                <w:color w:val="000000" w:themeColor="text1"/>
                <w:sz w:val="21"/>
                <w:lang w:eastAsia="zh-CN"/>
                <w14:textFill>
                  <w14:solidFill>
                    <w14:schemeClr w14:val="tx1"/>
                  </w14:solidFill>
                </w14:textFill>
              </w:rPr>
              <w:t>0</w:t>
            </w:r>
          </w:p>
        </w:tc>
        <w:tc>
          <w:tcPr>
            <w:tcW w:w="990" w:type="pct"/>
            <w:vAlign w:val="center"/>
          </w:tcPr>
          <w:p w14:paraId="4A5F3FAC">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约300名师生</w:t>
            </w:r>
          </w:p>
        </w:tc>
        <w:tc>
          <w:tcPr>
            <w:tcW w:w="363" w:type="pct"/>
            <w:vMerge w:val="continue"/>
            <w:vAlign w:val="center"/>
          </w:tcPr>
          <w:p w14:paraId="431A7C6E">
            <w:pPr>
              <w:adjustRightInd w:val="0"/>
              <w:snapToGrid w:val="0"/>
              <w:jc w:val="center"/>
              <w:rPr>
                <w:rFonts w:ascii="Times New Roman" w:hAnsi="Times New Roman" w:cs="Times New Roman"/>
                <w:color w:val="auto"/>
                <w:sz w:val="21"/>
              </w:rPr>
            </w:pPr>
          </w:p>
        </w:tc>
        <w:tc>
          <w:tcPr>
            <w:tcW w:w="877" w:type="pct"/>
            <w:vMerge w:val="continue"/>
            <w:vAlign w:val="center"/>
          </w:tcPr>
          <w:p w14:paraId="6A2464B8">
            <w:pPr>
              <w:adjustRightInd w:val="0"/>
              <w:snapToGrid w:val="0"/>
              <w:jc w:val="center"/>
              <w:rPr>
                <w:rFonts w:ascii="Times New Roman" w:hAnsi="Times New Roman" w:cs="Times New Roman"/>
                <w:color w:val="auto"/>
                <w:sz w:val="21"/>
              </w:rPr>
            </w:pPr>
          </w:p>
        </w:tc>
        <w:tc>
          <w:tcPr>
            <w:tcW w:w="435" w:type="pct"/>
            <w:vAlign w:val="center"/>
          </w:tcPr>
          <w:p w14:paraId="1138E21B">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NE</w:t>
            </w:r>
          </w:p>
        </w:tc>
        <w:tc>
          <w:tcPr>
            <w:tcW w:w="566" w:type="pct"/>
            <w:vAlign w:val="center"/>
          </w:tcPr>
          <w:p w14:paraId="4E46D191">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12</w:t>
            </w:r>
            <w:r>
              <w:rPr>
                <w:rFonts w:hint="eastAsia" w:ascii="Times New Roman" w:hAnsi="Times New Roman" w:cs="Times New Roman"/>
                <w:color w:val="000000" w:themeColor="text1"/>
                <w:sz w:val="21"/>
                <w:lang w:eastAsia="zh-CN"/>
                <w14:textFill>
                  <w14:solidFill>
                    <w14:schemeClr w14:val="tx1"/>
                  </w14:solidFill>
                </w14:textFill>
              </w:rPr>
              <w:t>80</w:t>
            </w:r>
          </w:p>
        </w:tc>
      </w:tr>
      <w:tr w14:paraId="026E9D3E">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4602717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4</w:t>
            </w:r>
          </w:p>
        </w:tc>
        <w:tc>
          <w:tcPr>
            <w:tcW w:w="689" w:type="pct"/>
            <w:vAlign w:val="center"/>
          </w:tcPr>
          <w:p w14:paraId="66C73D24">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夏家湖</w:t>
            </w:r>
          </w:p>
        </w:tc>
        <w:tc>
          <w:tcPr>
            <w:tcW w:w="388" w:type="pct"/>
            <w:vAlign w:val="center"/>
          </w:tcPr>
          <w:p w14:paraId="04816B4B">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159</w:t>
            </w:r>
            <w:r>
              <w:rPr>
                <w:rFonts w:hint="eastAsia" w:ascii="Times New Roman" w:hAnsi="Times New Roman" w:cs="Times New Roman"/>
                <w:color w:val="000000" w:themeColor="text1"/>
                <w:sz w:val="21"/>
                <w:lang w:eastAsia="zh-CN"/>
                <w14:textFill>
                  <w14:solidFill>
                    <w14:schemeClr w14:val="tx1"/>
                  </w14:solidFill>
                </w14:textFill>
              </w:rPr>
              <w:t>0</w:t>
            </w:r>
          </w:p>
        </w:tc>
        <w:tc>
          <w:tcPr>
            <w:tcW w:w="423" w:type="pct"/>
            <w:vAlign w:val="center"/>
          </w:tcPr>
          <w:p w14:paraId="73FDCE38">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-11</w:t>
            </w:r>
            <w:r>
              <w:rPr>
                <w:rFonts w:hint="eastAsia" w:ascii="Times New Roman" w:hAnsi="Times New Roman" w:cs="Times New Roman"/>
                <w:color w:val="000000" w:themeColor="text1"/>
                <w:sz w:val="21"/>
                <w:lang w:eastAsia="zh-CN"/>
                <w14:textFill>
                  <w14:solidFill>
                    <w14:schemeClr w14:val="tx1"/>
                  </w14:solidFill>
                </w14:textFill>
              </w:rPr>
              <w:t>90</w:t>
            </w:r>
          </w:p>
        </w:tc>
        <w:tc>
          <w:tcPr>
            <w:tcW w:w="990" w:type="pct"/>
            <w:vAlign w:val="center"/>
          </w:tcPr>
          <w:p w14:paraId="6ADD4077">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约70户，300人</w:t>
            </w:r>
          </w:p>
        </w:tc>
        <w:tc>
          <w:tcPr>
            <w:tcW w:w="363" w:type="pct"/>
            <w:vMerge w:val="continue"/>
            <w:vAlign w:val="center"/>
          </w:tcPr>
          <w:p w14:paraId="44FEF477">
            <w:pPr>
              <w:adjustRightInd w:val="0"/>
              <w:snapToGrid w:val="0"/>
              <w:jc w:val="center"/>
              <w:rPr>
                <w:rFonts w:ascii="Times New Roman" w:hAnsi="Times New Roman" w:cs="Times New Roman"/>
                <w:color w:val="auto"/>
                <w:sz w:val="21"/>
              </w:rPr>
            </w:pPr>
          </w:p>
        </w:tc>
        <w:tc>
          <w:tcPr>
            <w:tcW w:w="877" w:type="pct"/>
            <w:vMerge w:val="continue"/>
            <w:vAlign w:val="center"/>
          </w:tcPr>
          <w:p w14:paraId="03F54DFA">
            <w:pPr>
              <w:adjustRightInd w:val="0"/>
              <w:snapToGrid w:val="0"/>
              <w:jc w:val="center"/>
              <w:rPr>
                <w:rFonts w:ascii="Times New Roman" w:hAnsi="Times New Roman" w:cs="Times New Roman"/>
                <w:color w:val="auto"/>
                <w:sz w:val="21"/>
              </w:rPr>
            </w:pPr>
          </w:p>
        </w:tc>
        <w:tc>
          <w:tcPr>
            <w:tcW w:w="435" w:type="pct"/>
            <w:vAlign w:val="center"/>
          </w:tcPr>
          <w:p w14:paraId="74BD3401">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SE</w:t>
            </w:r>
          </w:p>
        </w:tc>
        <w:tc>
          <w:tcPr>
            <w:tcW w:w="566" w:type="pct"/>
            <w:vAlign w:val="center"/>
          </w:tcPr>
          <w:p w14:paraId="1980EF72">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13</w:t>
            </w:r>
            <w:r>
              <w:rPr>
                <w:rFonts w:hint="eastAsia" w:ascii="Times New Roman" w:hAnsi="Times New Roman" w:cs="Times New Roman"/>
                <w:color w:val="000000" w:themeColor="text1"/>
                <w:sz w:val="21"/>
                <w:lang w:eastAsia="zh-CN"/>
                <w14:textFill>
                  <w14:solidFill>
                    <w14:schemeClr w14:val="tx1"/>
                  </w14:solidFill>
                </w14:textFill>
              </w:rPr>
              <w:t>90</w:t>
            </w:r>
          </w:p>
        </w:tc>
      </w:tr>
      <w:tr w14:paraId="0264DCCC">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6893092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5</w:t>
            </w:r>
          </w:p>
        </w:tc>
        <w:tc>
          <w:tcPr>
            <w:tcW w:w="689" w:type="pct"/>
            <w:vAlign w:val="center"/>
          </w:tcPr>
          <w:p w14:paraId="6BD3B8EC">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高王家</w:t>
            </w:r>
          </w:p>
        </w:tc>
        <w:tc>
          <w:tcPr>
            <w:tcW w:w="388" w:type="pct"/>
            <w:vAlign w:val="center"/>
          </w:tcPr>
          <w:p w14:paraId="346A21B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-8</w:t>
            </w:r>
            <w:r>
              <w:rPr>
                <w:rFonts w:hint="eastAsia" w:ascii="Times New Roman" w:hAnsi="Times New Roman" w:cs="Times New Roman"/>
                <w:color w:val="000000" w:themeColor="text1"/>
                <w:sz w:val="21"/>
                <w:lang w:eastAsia="zh-CN"/>
                <w14:textFill>
                  <w14:solidFill>
                    <w14:schemeClr w14:val="tx1"/>
                  </w14:solidFill>
                </w14:textFill>
              </w:rPr>
              <w:t>50</w:t>
            </w:r>
          </w:p>
        </w:tc>
        <w:tc>
          <w:tcPr>
            <w:tcW w:w="423" w:type="pct"/>
            <w:vAlign w:val="center"/>
          </w:tcPr>
          <w:p w14:paraId="669BECDA">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20</w:t>
            </w:r>
            <w:r>
              <w:rPr>
                <w:rFonts w:hint="eastAsia" w:ascii="Times New Roman" w:hAnsi="Times New Roman" w:cs="Times New Roman"/>
                <w:color w:val="000000" w:themeColor="text1"/>
                <w:sz w:val="21"/>
                <w:lang w:eastAsia="zh-CN"/>
                <w14:textFill>
                  <w14:solidFill>
                    <w14:schemeClr w14:val="tx1"/>
                  </w14:solidFill>
                </w14:textFill>
              </w:rPr>
              <w:t>30</w:t>
            </w:r>
          </w:p>
        </w:tc>
        <w:tc>
          <w:tcPr>
            <w:tcW w:w="990" w:type="pct"/>
            <w:vAlign w:val="center"/>
          </w:tcPr>
          <w:p w14:paraId="06DA47B5">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约90户，380人</w:t>
            </w:r>
          </w:p>
        </w:tc>
        <w:tc>
          <w:tcPr>
            <w:tcW w:w="363" w:type="pct"/>
            <w:vMerge w:val="continue"/>
            <w:vAlign w:val="center"/>
          </w:tcPr>
          <w:p w14:paraId="7EFD9C6E">
            <w:pPr>
              <w:adjustRightInd w:val="0"/>
              <w:snapToGrid w:val="0"/>
              <w:jc w:val="center"/>
              <w:rPr>
                <w:rFonts w:ascii="Times New Roman" w:hAnsi="Times New Roman" w:cs="Times New Roman"/>
                <w:color w:val="auto"/>
                <w:sz w:val="21"/>
              </w:rPr>
            </w:pPr>
          </w:p>
        </w:tc>
        <w:tc>
          <w:tcPr>
            <w:tcW w:w="877" w:type="pct"/>
            <w:vMerge w:val="continue"/>
            <w:vAlign w:val="center"/>
          </w:tcPr>
          <w:p w14:paraId="62671235">
            <w:pPr>
              <w:adjustRightInd w:val="0"/>
              <w:snapToGrid w:val="0"/>
              <w:jc w:val="center"/>
              <w:rPr>
                <w:rFonts w:ascii="Times New Roman" w:hAnsi="Times New Roman" w:cs="Times New Roman"/>
                <w:color w:val="auto"/>
                <w:sz w:val="21"/>
              </w:rPr>
            </w:pPr>
          </w:p>
        </w:tc>
        <w:tc>
          <w:tcPr>
            <w:tcW w:w="435" w:type="pct"/>
            <w:vAlign w:val="center"/>
          </w:tcPr>
          <w:p w14:paraId="27326AF9">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NW</w:t>
            </w:r>
          </w:p>
        </w:tc>
        <w:tc>
          <w:tcPr>
            <w:tcW w:w="566" w:type="pct"/>
            <w:vAlign w:val="center"/>
          </w:tcPr>
          <w:p w14:paraId="543EA5A0">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17</w:t>
            </w:r>
            <w:r>
              <w:rPr>
                <w:rFonts w:hint="eastAsia" w:ascii="Times New Roman" w:hAnsi="Times New Roman" w:cs="Times New Roman"/>
                <w:color w:val="000000" w:themeColor="text1"/>
                <w:sz w:val="21"/>
                <w:lang w:eastAsia="zh-CN"/>
                <w14:textFill>
                  <w14:solidFill>
                    <w14:schemeClr w14:val="tx1"/>
                  </w14:solidFill>
                </w14:textFill>
              </w:rPr>
              <w:t>90</w:t>
            </w:r>
          </w:p>
        </w:tc>
      </w:tr>
      <w:tr w14:paraId="382B7891">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72772046">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6</w:t>
            </w:r>
          </w:p>
        </w:tc>
        <w:tc>
          <w:tcPr>
            <w:tcW w:w="689" w:type="pct"/>
            <w:vAlign w:val="center"/>
          </w:tcPr>
          <w:p w14:paraId="5F1E170A">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三铺中学</w:t>
            </w:r>
          </w:p>
        </w:tc>
        <w:tc>
          <w:tcPr>
            <w:tcW w:w="388" w:type="pct"/>
            <w:vAlign w:val="center"/>
          </w:tcPr>
          <w:p w14:paraId="2066C3E9">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-1720</w:t>
            </w:r>
          </w:p>
        </w:tc>
        <w:tc>
          <w:tcPr>
            <w:tcW w:w="423" w:type="pct"/>
            <w:vAlign w:val="center"/>
          </w:tcPr>
          <w:p w14:paraId="21767CFD">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10</w:t>
            </w:r>
            <w:r>
              <w:rPr>
                <w:rFonts w:hint="eastAsia" w:ascii="Times New Roman" w:hAnsi="Times New Roman" w:cs="Times New Roman"/>
                <w:color w:val="000000" w:themeColor="text1"/>
                <w:sz w:val="21"/>
                <w:lang w:eastAsia="zh-CN"/>
                <w14:textFill>
                  <w14:solidFill>
                    <w14:schemeClr w14:val="tx1"/>
                  </w14:solidFill>
                </w14:textFill>
              </w:rPr>
              <w:t>40</w:t>
            </w:r>
          </w:p>
        </w:tc>
        <w:tc>
          <w:tcPr>
            <w:tcW w:w="990" w:type="pct"/>
            <w:vAlign w:val="center"/>
          </w:tcPr>
          <w:p w14:paraId="59A5CA5A">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约2000名师生</w:t>
            </w:r>
          </w:p>
        </w:tc>
        <w:tc>
          <w:tcPr>
            <w:tcW w:w="363" w:type="pct"/>
            <w:vMerge w:val="continue"/>
            <w:vAlign w:val="center"/>
          </w:tcPr>
          <w:p w14:paraId="4850D3BC">
            <w:pPr>
              <w:adjustRightInd w:val="0"/>
              <w:snapToGrid w:val="0"/>
              <w:jc w:val="center"/>
              <w:rPr>
                <w:rFonts w:ascii="Times New Roman" w:hAnsi="Times New Roman" w:cs="Times New Roman"/>
                <w:color w:val="auto"/>
                <w:sz w:val="21"/>
              </w:rPr>
            </w:pPr>
          </w:p>
        </w:tc>
        <w:tc>
          <w:tcPr>
            <w:tcW w:w="877" w:type="pct"/>
            <w:vMerge w:val="continue"/>
            <w:vAlign w:val="center"/>
          </w:tcPr>
          <w:p w14:paraId="5FD7A27F">
            <w:pPr>
              <w:adjustRightInd w:val="0"/>
              <w:snapToGrid w:val="0"/>
              <w:jc w:val="center"/>
              <w:rPr>
                <w:rFonts w:ascii="Times New Roman" w:hAnsi="Times New Roman" w:cs="Times New Roman"/>
                <w:color w:val="auto"/>
                <w:sz w:val="21"/>
              </w:rPr>
            </w:pPr>
          </w:p>
        </w:tc>
        <w:tc>
          <w:tcPr>
            <w:tcW w:w="435" w:type="pct"/>
            <w:vAlign w:val="center"/>
          </w:tcPr>
          <w:p w14:paraId="6E81BBC0">
            <w:pPr>
              <w:adjustRightInd w:val="0"/>
              <w:snapToGrid w:val="0"/>
              <w:jc w:val="center"/>
              <w:rPr>
                <w:rFonts w:ascii="Times New Roman" w:hAnsi="Times New Roman" w:cs="Times New Roman"/>
                <w:color w:val="auto"/>
                <w:sz w:val="21"/>
              </w:rPr>
            </w:pPr>
            <w:r>
              <w:rPr>
                <w:rFonts w:hint="eastAsia" w:ascii="Times New Roman" w:hAnsi="Times New Roman" w:cs="Times New Roman"/>
                <w:color w:val="000000" w:themeColor="text1"/>
                <w:sz w:val="21"/>
                <w:lang w:eastAsia="zh-CN"/>
                <w14:textFill>
                  <w14:solidFill>
                    <w14:schemeClr w14:val="tx1"/>
                  </w14:solidFill>
                </w14:textFill>
              </w:rPr>
              <w:t>N</w:t>
            </w:r>
            <w:r>
              <w:rPr>
                <w:rFonts w:ascii="Times New Roman" w:hAnsi="Times New Roman" w:cs="Times New Roman"/>
                <w:color w:val="000000" w:themeColor="text1"/>
                <w:sz w:val="21"/>
                <w14:textFill>
                  <w14:solidFill>
                    <w14:schemeClr w14:val="tx1"/>
                  </w14:solidFill>
                </w14:textFill>
              </w:rPr>
              <w:t>W</w:t>
            </w:r>
          </w:p>
        </w:tc>
        <w:tc>
          <w:tcPr>
            <w:tcW w:w="566" w:type="pct"/>
            <w:vAlign w:val="center"/>
          </w:tcPr>
          <w:p w14:paraId="020C97E2">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19</w:t>
            </w:r>
            <w:r>
              <w:rPr>
                <w:rFonts w:hint="eastAsia" w:ascii="Times New Roman" w:hAnsi="Times New Roman" w:cs="Times New Roman"/>
                <w:color w:val="000000" w:themeColor="text1"/>
                <w:sz w:val="21"/>
                <w:lang w:eastAsia="zh-CN"/>
                <w14:textFill>
                  <w14:solidFill>
                    <w14:schemeClr w14:val="tx1"/>
                  </w14:solidFill>
                </w14:textFill>
              </w:rPr>
              <w:t>60</w:t>
            </w:r>
          </w:p>
        </w:tc>
      </w:tr>
      <w:tr w14:paraId="19E28475">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76BD26B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7</w:t>
            </w:r>
          </w:p>
        </w:tc>
        <w:tc>
          <w:tcPr>
            <w:tcW w:w="689" w:type="pct"/>
            <w:vAlign w:val="center"/>
          </w:tcPr>
          <w:p w14:paraId="51845696">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杜家湖</w:t>
            </w:r>
          </w:p>
        </w:tc>
        <w:tc>
          <w:tcPr>
            <w:tcW w:w="388" w:type="pct"/>
            <w:vAlign w:val="center"/>
          </w:tcPr>
          <w:p w14:paraId="5CFA933B">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228</w:t>
            </w:r>
            <w:r>
              <w:rPr>
                <w:rFonts w:hint="eastAsia" w:ascii="Times New Roman" w:hAnsi="Times New Roman" w:cs="Times New Roman"/>
                <w:color w:val="000000" w:themeColor="text1"/>
                <w:sz w:val="21"/>
                <w:lang w:eastAsia="zh-CN"/>
                <w14:textFill>
                  <w14:solidFill>
                    <w14:schemeClr w14:val="tx1"/>
                  </w14:solidFill>
                </w14:textFill>
              </w:rPr>
              <w:t>0</w:t>
            </w:r>
          </w:p>
        </w:tc>
        <w:tc>
          <w:tcPr>
            <w:tcW w:w="423" w:type="pct"/>
            <w:vAlign w:val="center"/>
          </w:tcPr>
          <w:p w14:paraId="13EF1700">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220</w:t>
            </w:r>
            <w:r>
              <w:rPr>
                <w:rFonts w:hint="eastAsia" w:ascii="Times New Roman" w:hAnsi="Times New Roman" w:cs="Times New Roman"/>
                <w:color w:val="000000" w:themeColor="text1"/>
                <w:sz w:val="21"/>
                <w:lang w:eastAsia="zh-CN"/>
                <w14:textFill>
                  <w14:solidFill>
                    <w14:schemeClr w14:val="tx1"/>
                  </w14:solidFill>
                </w14:textFill>
              </w:rPr>
              <w:t>0</w:t>
            </w:r>
          </w:p>
        </w:tc>
        <w:tc>
          <w:tcPr>
            <w:tcW w:w="990" w:type="pct"/>
            <w:vAlign w:val="center"/>
          </w:tcPr>
          <w:p w14:paraId="5652294D">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约70户，295人</w:t>
            </w:r>
          </w:p>
        </w:tc>
        <w:tc>
          <w:tcPr>
            <w:tcW w:w="363" w:type="pct"/>
            <w:vMerge w:val="continue"/>
            <w:vAlign w:val="center"/>
          </w:tcPr>
          <w:p w14:paraId="290741B2">
            <w:pPr>
              <w:adjustRightInd w:val="0"/>
              <w:snapToGrid w:val="0"/>
              <w:jc w:val="center"/>
              <w:rPr>
                <w:rFonts w:ascii="Times New Roman" w:hAnsi="Times New Roman" w:cs="Times New Roman"/>
                <w:color w:val="auto"/>
                <w:sz w:val="21"/>
              </w:rPr>
            </w:pPr>
          </w:p>
        </w:tc>
        <w:tc>
          <w:tcPr>
            <w:tcW w:w="877" w:type="pct"/>
            <w:vMerge w:val="continue"/>
            <w:vAlign w:val="center"/>
          </w:tcPr>
          <w:p w14:paraId="16701186">
            <w:pPr>
              <w:adjustRightInd w:val="0"/>
              <w:snapToGrid w:val="0"/>
              <w:jc w:val="center"/>
              <w:rPr>
                <w:rFonts w:ascii="Times New Roman" w:hAnsi="Times New Roman" w:cs="Times New Roman"/>
                <w:color w:val="auto"/>
                <w:sz w:val="21"/>
              </w:rPr>
            </w:pPr>
          </w:p>
        </w:tc>
        <w:tc>
          <w:tcPr>
            <w:tcW w:w="435" w:type="pct"/>
            <w:vAlign w:val="center"/>
          </w:tcPr>
          <w:p w14:paraId="645CFC92">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NE</w:t>
            </w:r>
          </w:p>
        </w:tc>
        <w:tc>
          <w:tcPr>
            <w:tcW w:w="566" w:type="pct"/>
            <w:vAlign w:val="center"/>
          </w:tcPr>
          <w:p w14:paraId="5E526466">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285</w:t>
            </w:r>
            <w:r>
              <w:rPr>
                <w:rFonts w:hint="eastAsia" w:ascii="Times New Roman" w:hAnsi="Times New Roman" w:cs="Times New Roman"/>
                <w:color w:val="000000" w:themeColor="text1"/>
                <w:sz w:val="21"/>
                <w:lang w:eastAsia="zh-CN"/>
                <w14:textFill>
                  <w14:solidFill>
                    <w14:schemeClr w14:val="tx1"/>
                  </w14:solidFill>
                </w14:textFill>
              </w:rPr>
              <w:t>0</w:t>
            </w:r>
          </w:p>
        </w:tc>
      </w:tr>
      <w:tr w14:paraId="120A2D88">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37D3F5A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w:t>
            </w:r>
          </w:p>
        </w:tc>
        <w:tc>
          <w:tcPr>
            <w:tcW w:w="689" w:type="pct"/>
            <w:vAlign w:val="center"/>
          </w:tcPr>
          <w:p w14:paraId="5983D8BD">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大柏村</w:t>
            </w:r>
          </w:p>
        </w:tc>
        <w:tc>
          <w:tcPr>
            <w:tcW w:w="388" w:type="pct"/>
            <w:vAlign w:val="center"/>
          </w:tcPr>
          <w:p w14:paraId="321EB908">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101</w:t>
            </w:r>
            <w:r>
              <w:rPr>
                <w:rFonts w:hint="eastAsia" w:ascii="Times New Roman" w:hAnsi="Times New Roman" w:cs="Times New Roman"/>
                <w:color w:val="000000" w:themeColor="text1"/>
                <w:sz w:val="21"/>
                <w:lang w:eastAsia="zh-CN"/>
                <w14:textFill>
                  <w14:solidFill>
                    <w14:schemeClr w14:val="tx1"/>
                  </w14:solidFill>
                </w14:textFill>
              </w:rPr>
              <w:t>0</w:t>
            </w:r>
          </w:p>
        </w:tc>
        <w:tc>
          <w:tcPr>
            <w:tcW w:w="423" w:type="pct"/>
            <w:vAlign w:val="center"/>
          </w:tcPr>
          <w:p w14:paraId="5FAD30BC">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6</w:t>
            </w:r>
            <w:r>
              <w:rPr>
                <w:rFonts w:hint="eastAsia" w:ascii="Times New Roman" w:hAnsi="Times New Roman" w:cs="Times New Roman"/>
                <w:color w:val="000000" w:themeColor="text1"/>
                <w:sz w:val="21"/>
                <w:lang w:eastAsia="zh-CN"/>
                <w14:textFill>
                  <w14:solidFill>
                    <w14:schemeClr w14:val="tx1"/>
                  </w14:solidFill>
                </w14:textFill>
              </w:rPr>
              <w:t>60</w:t>
            </w:r>
          </w:p>
        </w:tc>
        <w:tc>
          <w:tcPr>
            <w:tcW w:w="990" w:type="pct"/>
            <w:vAlign w:val="center"/>
          </w:tcPr>
          <w:p w14:paraId="12338B6B">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约186户，455人</w:t>
            </w:r>
          </w:p>
        </w:tc>
        <w:tc>
          <w:tcPr>
            <w:tcW w:w="363" w:type="pct"/>
            <w:vMerge w:val="restart"/>
            <w:vAlign w:val="center"/>
          </w:tcPr>
          <w:p w14:paraId="47AE9E4D">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rPr>
              <w:t>环境</w:t>
            </w:r>
            <w:r>
              <w:rPr>
                <w:rFonts w:ascii="Times New Roman" w:hAnsi="Times New Roman" w:cs="Times New Roman"/>
                <w:color w:val="auto"/>
                <w:sz w:val="21"/>
                <w:lang w:eastAsia="zh-CN"/>
              </w:rPr>
              <w:t>风险</w:t>
            </w:r>
          </w:p>
        </w:tc>
        <w:tc>
          <w:tcPr>
            <w:tcW w:w="877" w:type="pct"/>
            <w:vMerge w:val="restart"/>
            <w:vAlign w:val="center"/>
          </w:tcPr>
          <w:p w14:paraId="10FBDBD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435" w:type="pct"/>
            <w:vAlign w:val="center"/>
          </w:tcPr>
          <w:p w14:paraId="292EC312">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NE</w:t>
            </w:r>
          </w:p>
        </w:tc>
        <w:tc>
          <w:tcPr>
            <w:tcW w:w="566" w:type="pct"/>
            <w:vAlign w:val="center"/>
          </w:tcPr>
          <w:p w14:paraId="01FE40D7">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7</w:t>
            </w:r>
            <w:r>
              <w:rPr>
                <w:rFonts w:hint="eastAsia" w:ascii="Times New Roman" w:hAnsi="Times New Roman" w:cs="Times New Roman"/>
                <w:color w:val="000000" w:themeColor="text1"/>
                <w:sz w:val="21"/>
                <w:lang w:eastAsia="zh-CN"/>
                <w14:textFill>
                  <w14:solidFill>
                    <w14:schemeClr w14:val="tx1"/>
                  </w14:solidFill>
                </w14:textFill>
              </w:rPr>
              <w:t>60</w:t>
            </w:r>
          </w:p>
        </w:tc>
      </w:tr>
      <w:tr w14:paraId="0044380C">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2B818171">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w:t>
            </w:r>
          </w:p>
        </w:tc>
        <w:tc>
          <w:tcPr>
            <w:tcW w:w="689" w:type="pct"/>
            <w:vAlign w:val="center"/>
          </w:tcPr>
          <w:p w14:paraId="224F9E06">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草杨</w:t>
            </w:r>
            <w:r>
              <w:rPr>
                <w:rFonts w:hint="eastAsia" w:ascii="Times New Roman" w:hAnsi="Times New Roman" w:cs="Times New Roman"/>
                <w:color w:val="000000" w:themeColor="text1"/>
                <w:sz w:val="21"/>
                <w:lang w:eastAsia="zh-CN"/>
                <w14:textFill>
                  <w14:solidFill>
                    <w14:schemeClr w14:val="tx1"/>
                  </w14:solidFill>
                </w14:textFill>
              </w:rPr>
              <w:t>家</w:t>
            </w:r>
          </w:p>
        </w:tc>
        <w:tc>
          <w:tcPr>
            <w:tcW w:w="388" w:type="pct"/>
            <w:vAlign w:val="center"/>
          </w:tcPr>
          <w:p w14:paraId="636E1B14">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15</w:t>
            </w:r>
            <w:r>
              <w:rPr>
                <w:rFonts w:hint="eastAsia" w:ascii="Times New Roman" w:hAnsi="Times New Roman" w:cs="Times New Roman"/>
                <w:color w:val="000000" w:themeColor="text1"/>
                <w:sz w:val="21"/>
                <w:lang w:eastAsia="zh-CN"/>
                <w14:textFill>
                  <w14:solidFill>
                    <w14:schemeClr w14:val="tx1"/>
                  </w14:solidFill>
                </w14:textFill>
              </w:rPr>
              <w:t>20</w:t>
            </w:r>
          </w:p>
        </w:tc>
        <w:tc>
          <w:tcPr>
            <w:tcW w:w="423" w:type="pct"/>
            <w:vAlign w:val="center"/>
          </w:tcPr>
          <w:p w14:paraId="1211B25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w:t>
            </w:r>
            <w:r>
              <w:rPr>
                <w:rFonts w:hint="eastAsia" w:ascii="Times New Roman" w:hAnsi="Times New Roman" w:cs="Times New Roman"/>
                <w:color w:val="000000" w:themeColor="text1"/>
                <w:sz w:val="21"/>
                <w:lang w:eastAsia="zh-CN"/>
                <w14:textFill>
                  <w14:solidFill>
                    <w14:schemeClr w14:val="tx1"/>
                  </w14:solidFill>
                </w14:textFill>
              </w:rPr>
              <w:t>70</w:t>
            </w:r>
          </w:p>
        </w:tc>
        <w:tc>
          <w:tcPr>
            <w:tcW w:w="990" w:type="pct"/>
            <w:vAlign w:val="center"/>
          </w:tcPr>
          <w:p w14:paraId="4BF4B3C3">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约35户，150人</w:t>
            </w:r>
          </w:p>
        </w:tc>
        <w:tc>
          <w:tcPr>
            <w:tcW w:w="363" w:type="pct"/>
            <w:vMerge w:val="continue"/>
            <w:vAlign w:val="center"/>
          </w:tcPr>
          <w:p w14:paraId="05A12419">
            <w:pPr>
              <w:adjustRightInd w:val="0"/>
              <w:snapToGrid w:val="0"/>
              <w:jc w:val="center"/>
              <w:rPr>
                <w:rFonts w:ascii="Times New Roman" w:hAnsi="Times New Roman" w:cs="Times New Roman"/>
                <w:color w:val="auto"/>
                <w:sz w:val="21"/>
                <w:lang w:eastAsia="zh-CN"/>
              </w:rPr>
            </w:pPr>
          </w:p>
        </w:tc>
        <w:tc>
          <w:tcPr>
            <w:tcW w:w="877" w:type="pct"/>
            <w:vMerge w:val="continue"/>
            <w:vAlign w:val="center"/>
          </w:tcPr>
          <w:p w14:paraId="11F287E9">
            <w:pPr>
              <w:adjustRightInd w:val="0"/>
              <w:snapToGrid w:val="0"/>
              <w:jc w:val="center"/>
              <w:rPr>
                <w:rFonts w:ascii="Times New Roman" w:hAnsi="Times New Roman" w:cs="Times New Roman"/>
                <w:color w:val="auto"/>
                <w:sz w:val="21"/>
                <w:lang w:eastAsia="zh-CN"/>
              </w:rPr>
            </w:pPr>
          </w:p>
        </w:tc>
        <w:tc>
          <w:tcPr>
            <w:tcW w:w="435" w:type="pct"/>
            <w:vAlign w:val="center"/>
          </w:tcPr>
          <w:p w14:paraId="2054AB4C">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E</w:t>
            </w:r>
          </w:p>
        </w:tc>
        <w:tc>
          <w:tcPr>
            <w:tcW w:w="566" w:type="pct"/>
            <w:vAlign w:val="center"/>
          </w:tcPr>
          <w:p w14:paraId="6B3C382E">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105</w:t>
            </w:r>
            <w:r>
              <w:rPr>
                <w:rFonts w:hint="eastAsia" w:ascii="Times New Roman" w:hAnsi="Times New Roman" w:cs="Times New Roman"/>
                <w:color w:val="000000" w:themeColor="text1"/>
                <w:sz w:val="21"/>
                <w:lang w:eastAsia="zh-CN"/>
                <w14:textFill>
                  <w14:solidFill>
                    <w14:schemeClr w14:val="tx1"/>
                  </w14:solidFill>
                </w14:textFill>
              </w:rPr>
              <w:t>0</w:t>
            </w:r>
          </w:p>
        </w:tc>
      </w:tr>
      <w:tr w14:paraId="2673A98A">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5426D73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3</w:t>
            </w:r>
          </w:p>
        </w:tc>
        <w:tc>
          <w:tcPr>
            <w:tcW w:w="689" w:type="pct"/>
            <w:vAlign w:val="center"/>
          </w:tcPr>
          <w:p w14:paraId="711BFF73">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大柏小学</w:t>
            </w:r>
          </w:p>
        </w:tc>
        <w:tc>
          <w:tcPr>
            <w:tcW w:w="388" w:type="pct"/>
            <w:vAlign w:val="center"/>
          </w:tcPr>
          <w:p w14:paraId="5A23C128">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150</w:t>
            </w:r>
            <w:r>
              <w:rPr>
                <w:rFonts w:hint="eastAsia" w:ascii="Times New Roman" w:hAnsi="Times New Roman" w:cs="Times New Roman"/>
                <w:color w:val="000000" w:themeColor="text1"/>
                <w:sz w:val="21"/>
                <w:lang w:eastAsia="zh-CN"/>
                <w14:textFill>
                  <w14:solidFill>
                    <w14:schemeClr w14:val="tx1"/>
                  </w14:solidFill>
                </w14:textFill>
              </w:rPr>
              <w:t>0</w:t>
            </w:r>
          </w:p>
        </w:tc>
        <w:tc>
          <w:tcPr>
            <w:tcW w:w="423" w:type="pct"/>
            <w:vAlign w:val="center"/>
          </w:tcPr>
          <w:p w14:paraId="28B60867">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69</w:t>
            </w:r>
            <w:r>
              <w:rPr>
                <w:rFonts w:hint="eastAsia" w:ascii="Times New Roman" w:hAnsi="Times New Roman" w:cs="Times New Roman"/>
                <w:color w:val="000000" w:themeColor="text1"/>
                <w:sz w:val="21"/>
                <w:lang w:eastAsia="zh-CN"/>
                <w14:textFill>
                  <w14:solidFill>
                    <w14:schemeClr w14:val="tx1"/>
                  </w14:solidFill>
                </w14:textFill>
              </w:rPr>
              <w:t>0</w:t>
            </w:r>
          </w:p>
        </w:tc>
        <w:tc>
          <w:tcPr>
            <w:tcW w:w="990" w:type="pct"/>
            <w:vAlign w:val="center"/>
          </w:tcPr>
          <w:p w14:paraId="6A6D2E55">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约300名师生</w:t>
            </w:r>
          </w:p>
        </w:tc>
        <w:tc>
          <w:tcPr>
            <w:tcW w:w="363" w:type="pct"/>
            <w:vMerge w:val="continue"/>
            <w:vAlign w:val="center"/>
          </w:tcPr>
          <w:p w14:paraId="799767B0">
            <w:pPr>
              <w:adjustRightInd w:val="0"/>
              <w:snapToGrid w:val="0"/>
              <w:jc w:val="center"/>
              <w:rPr>
                <w:rFonts w:ascii="Times New Roman" w:hAnsi="Times New Roman" w:cs="Times New Roman"/>
                <w:color w:val="auto"/>
                <w:sz w:val="21"/>
                <w:lang w:eastAsia="zh-CN"/>
              </w:rPr>
            </w:pPr>
          </w:p>
        </w:tc>
        <w:tc>
          <w:tcPr>
            <w:tcW w:w="877" w:type="pct"/>
            <w:vMerge w:val="continue"/>
            <w:vAlign w:val="center"/>
          </w:tcPr>
          <w:p w14:paraId="4071D1F5">
            <w:pPr>
              <w:adjustRightInd w:val="0"/>
              <w:snapToGrid w:val="0"/>
              <w:jc w:val="center"/>
              <w:rPr>
                <w:rFonts w:ascii="Times New Roman" w:hAnsi="Times New Roman" w:cs="Times New Roman"/>
                <w:color w:val="auto"/>
                <w:sz w:val="21"/>
                <w:lang w:eastAsia="zh-CN"/>
              </w:rPr>
            </w:pPr>
          </w:p>
        </w:tc>
        <w:tc>
          <w:tcPr>
            <w:tcW w:w="435" w:type="pct"/>
            <w:vAlign w:val="center"/>
          </w:tcPr>
          <w:p w14:paraId="69908A21">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NE</w:t>
            </w:r>
          </w:p>
        </w:tc>
        <w:tc>
          <w:tcPr>
            <w:tcW w:w="566" w:type="pct"/>
            <w:vAlign w:val="center"/>
          </w:tcPr>
          <w:p w14:paraId="691003EE">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12</w:t>
            </w:r>
            <w:r>
              <w:rPr>
                <w:rFonts w:hint="eastAsia" w:ascii="Times New Roman" w:hAnsi="Times New Roman" w:cs="Times New Roman"/>
                <w:color w:val="000000" w:themeColor="text1"/>
                <w:sz w:val="21"/>
                <w:lang w:eastAsia="zh-CN"/>
                <w14:textFill>
                  <w14:solidFill>
                    <w14:schemeClr w14:val="tx1"/>
                  </w14:solidFill>
                </w14:textFill>
              </w:rPr>
              <w:t>80</w:t>
            </w:r>
          </w:p>
        </w:tc>
      </w:tr>
      <w:tr w14:paraId="7FB2667D">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3E3BD21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4</w:t>
            </w:r>
          </w:p>
        </w:tc>
        <w:tc>
          <w:tcPr>
            <w:tcW w:w="689" w:type="pct"/>
            <w:vAlign w:val="center"/>
          </w:tcPr>
          <w:p w14:paraId="17F6EC8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夏家湖</w:t>
            </w:r>
          </w:p>
        </w:tc>
        <w:tc>
          <w:tcPr>
            <w:tcW w:w="388" w:type="pct"/>
            <w:vAlign w:val="center"/>
          </w:tcPr>
          <w:p w14:paraId="76DDF2A0">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159</w:t>
            </w:r>
            <w:r>
              <w:rPr>
                <w:rFonts w:hint="eastAsia" w:ascii="Times New Roman" w:hAnsi="Times New Roman" w:cs="Times New Roman"/>
                <w:color w:val="000000" w:themeColor="text1"/>
                <w:sz w:val="21"/>
                <w:lang w:eastAsia="zh-CN"/>
                <w14:textFill>
                  <w14:solidFill>
                    <w14:schemeClr w14:val="tx1"/>
                  </w14:solidFill>
                </w14:textFill>
              </w:rPr>
              <w:t>0</w:t>
            </w:r>
          </w:p>
        </w:tc>
        <w:tc>
          <w:tcPr>
            <w:tcW w:w="423" w:type="pct"/>
            <w:vAlign w:val="center"/>
          </w:tcPr>
          <w:p w14:paraId="3BB1EBAC">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-11</w:t>
            </w:r>
            <w:r>
              <w:rPr>
                <w:rFonts w:hint="eastAsia" w:ascii="Times New Roman" w:hAnsi="Times New Roman" w:cs="Times New Roman"/>
                <w:color w:val="000000" w:themeColor="text1"/>
                <w:sz w:val="21"/>
                <w:lang w:eastAsia="zh-CN"/>
                <w14:textFill>
                  <w14:solidFill>
                    <w14:schemeClr w14:val="tx1"/>
                  </w14:solidFill>
                </w14:textFill>
              </w:rPr>
              <w:t>90</w:t>
            </w:r>
          </w:p>
        </w:tc>
        <w:tc>
          <w:tcPr>
            <w:tcW w:w="990" w:type="pct"/>
            <w:vAlign w:val="center"/>
          </w:tcPr>
          <w:p w14:paraId="33AAEF97">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约70户，300人</w:t>
            </w:r>
          </w:p>
        </w:tc>
        <w:tc>
          <w:tcPr>
            <w:tcW w:w="363" w:type="pct"/>
            <w:vMerge w:val="continue"/>
            <w:vAlign w:val="center"/>
          </w:tcPr>
          <w:p w14:paraId="3FB63FFC">
            <w:pPr>
              <w:adjustRightInd w:val="0"/>
              <w:snapToGrid w:val="0"/>
              <w:jc w:val="center"/>
              <w:rPr>
                <w:rFonts w:ascii="Times New Roman" w:hAnsi="Times New Roman" w:cs="Times New Roman"/>
                <w:color w:val="auto"/>
                <w:sz w:val="21"/>
                <w:lang w:eastAsia="zh-CN"/>
              </w:rPr>
            </w:pPr>
          </w:p>
        </w:tc>
        <w:tc>
          <w:tcPr>
            <w:tcW w:w="877" w:type="pct"/>
            <w:vMerge w:val="continue"/>
            <w:vAlign w:val="center"/>
          </w:tcPr>
          <w:p w14:paraId="4DC16F01">
            <w:pPr>
              <w:adjustRightInd w:val="0"/>
              <w:snapToGrid w:val="0"/>
              <w:jc w:val="center"/>
              <w:rPr>
                <w:rFonts w:ascii="Times New Roman" w:hAnsi="Times New Roman" w:cs="Times New Roman"/>
                <w:color w:val="auto"/>
                <w:sz w:val="21"/>
                <w:lang w:eastAsia="zh-CN"/>
              </w:rPr>
            </w:pPr>
          </w:p>
        </w:tc>
        <w:tc>
          <w:tcPr>
            <w:tcW w:w="435" w:type="pct"/>
            <w:vAlign w:val="center"/>
          </w:tcPr>
          <w:p w14:paraId="10CC45A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SE</w:t>
            </w:r>
          </w:p>
        </w:tc>
        <w:tc>
          <w:tcPr>
            <w:tcW w:w="566" w:type="pct"/>
            <w:vAlign w:val="center"/>
          </w:tcPr>
          <w:p w14:paraId="07987AF9">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13</w:t>
            </w:r>
            <w:r>
              <w:rPr>
                <w:rFonts w:hint="eastAsia" w:ascii="Times New Roman" w:hAnsi="Times New Roman" w:cs="Times New Roman"/>
                <w:color w:val="000000" w:themeColor="text1"/>
                <w:sz w:val="21"/>
                <w:lang w:eastAsia="zh-CN"/>
                <w14:textFill>
                  <w14:solidFill>
                    <w14:schemeClr w14:val="tx1"/>
                  </w14:solidFill>
                </w14:textFill>
              </w:rPr>
              <w:t>90</w:t>
            </w:r>
          </w:p>
        </w:tc>
      </w:tr>
      <w:tr w14:paraId="0C4939D6">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7A12C6E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5</w:t>
            </w:r>
          </w:p>
        </w:tc>
        <w:tc>
          <w:tcPr>
            <w:tcW w:w="689" w:type="pct"/>
            <w:vAlign w:val="center"/>
          </w:tcPr>
          <w:p w14:paraId="3D65E270">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高王家</w:t>
            </w:r>
          </w:p>
        </w:tc>
        <w:tc>
          <w:tcPr>
            <w:tcW w:w="388" w:type="pct"/>
            <w:vAlign w:val="center"/>
          </w:tcPr>
          <w:p w14:paraId="08ACBE07">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-8</w:t>
            </w:r>
            <w:r>
              <w:rPr>
                <w:rFonts w:hint="eastAsia" w:ascii="Times New Roman" w:hAnsi="Times New Roman" w:cs="Times New Roman"/>
                <w:color w:val="000000" w:themeColor="text1"/>
                <w:sz w:val="21"/>
                <w:lang w:eastAsia="zh-CN"/>
                <w14:textFill>
                  <w14:solidFill>
                    <w14:schemeClr w14:val="tx1"/>
                  </w14:solidFill>
                </w14:textFill>
              </w:rPr>
              <w:t>50</w:t>
            </w:r>
          </w:p>
        </w:tc>
        <w:tc>
          <w:tcPr>
            <w:tcW w:w="423" w:type="pct"/>
            <w:vAlign w:val="center"/>
          </w:tcPr>
          <w:p w14:paraId="6602D620">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20</w:t>
            </w:r>
            <w:r>
              <w:rPr>
                <w:rFonts w:hint="eastAsia" w:ascii="Times New Roman" w:hAnsi="Times New Roman" w:cs="Times New Roman"/>
                <w:color w:val="000000" w:themeColor="text1"/>
                <w:sz w:val="21"/>
                <w:lang w:eastAsia="zh-CN"/>
                <w14:textFill>
                  <w14:solidFill>
                    <w14:schemeClr w14:val="tx1"/>
                  </w14:solidFill>
                </w14:textFill>
              </w:rPr>
              <w:t>30</w:t>
            </w:r>
          </w:p>
        </w:tc>
        <w:tc>
          <w:tcPr>
            <w:tcW w:w="990" w:type="pct"/>
            <w:vAlign w:val="center"/>
          </w:tcPr>
          <w:p w14:paraId="15DD83B0">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约90户，380人</w:t>
            </w:r>
          </w:p>
        </w:tc>
        <w:tc>
          <w:tcPr>
            <w:tcW w:w="363" w:type="pct"/>
            <w:vMerge w:val="continue"/>
            <w:vAlign w:val="center"/>
          </w:tcPr>
          <w:p w14:paraId="6E11A64A">
            <w:pPr>
              <w:adjustRightInd w:val="0"/>
              <w:snapToGrid w:val="0"/>
              <w:jc w:val="center"/>
              <w:rPr>
                <w:rFonts w:ascii="Times New Roman" w:hAnsi="Times New Roman" w:cs="Times New Roman"/>
                <w:color w:val="auto"/>
                <w:sz w:val="21"/>
                <w:lang w:eastAsia="zh-CN"/>
              </w:rPr>
            </w:pPr>
          </w:p>
        </w:tc>
        <w:tc>
          <w:tcPr>
            <w:tcW w:w="877" w:type="pct"/>
            <w:vMerge w:val="continue"/>
            <w:vAlign w:val="center"/>
          </w:tcPr>
          <w:p w14:paraId="36255D4B">
            <w:pPr>
              <w:adjustRightInd w:val="0"/>
              <w:snapToGrid w:val="0"/>
              <w:jc w:val="center"/>
              <w:rPr>
                <w:rFonts w:ascii="Times New Roman" w:hAnsi="Times New Roman" w:cs="Times New Roman"/>
                <w:color w:val="auto"/>
                <w:sz w:val="21"/>
                <w:lang w:eastAsia="zh-CN"/>
              </w:rPr>
            </w:pPr>
          </w:p>
        </w:tc>
        <w:tc>
          <w:tcPr>
            <w:tcW w:w="435" w:type="pct"/>
            <w:vAlign w:val="center"/>
          </w:tcPr>
          <w:p w14:paraId="5278DC30">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NW</w:t>
            </w:r>
          </w:p>
        </w:tc>
        <w:tc>
          <w:tcPr>
            <w:tcW w:w="566" w:type="pct"/>
            <w:vAlign w:val="center"/>
          </w:tcPr>
          <w:p w14:paraId="01A4046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17</w:t>
            </w:r>
            <w:r>
              <w:rPr>
                <w:rFonts w:hint="eastAsia" w:ascii="Times New Roman" w:hAnsi="Times New Roman" w:cs="Times New Roman"/>
                <w:color w:val="000000" w:themeColor="text1"/>
                <w:sz w:val="21"/>
                <w:lang w:eastAsia="zh-CN"/>
                <w14:textFill>
                  <w14:solidFill>
                    <w14:schemeClr w14:val="tx1"/>
                  </w14:solidFill>
                </w14:textFill>
              </w:rPr>
              <w:t>90</w:t>
            </w:r>
          </w:p>
        </w:tc>
      </w:tr>
      <w:tr w14:paraId="1DBA17AF">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703C817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6</w:t>
            </w:r>
          </w:p>
        </w:tc>
        <w:tc>
          <w:tcPr>
            <w:tcW w:w="689" w:type="pct"/>
            <w:vAlign w:val="center"/>
          </w:tcPr>
          <w:p w14:paraId="5C4066F9">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杜家湖</w:t>
            </w:r>
          </w:p>
        </w:tc>
        <w:tc>
          <w:tcPr>
            <w:tcW w:w="388" w:type="pct"/>
            <w:vAlign w:val="center"/>
          </w:tcPr>
          <w:p w14:paraId="2DBB3680">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25</w:t>
            </w:r>
            <w:r>
              <w:rPr>
                <w:rFonts w:hint="eastAsia" w:ascii="Times New Roman" w:hAnsi="Times New Roman" w:cs="Times New Roman"/>
                <w:color w:val="000000" w:themeColor="text1"/>
                <w:sz w:val="21"/>
                <w:lang w:eastAsia="zh-CN"/>
                <w14:textFill>
                  <w14:solidFill>
                    <w14:schemeClr w14:val="tx1"/>
                  </w14:solidFill>
                </w14:textFill>
              </w:rPr>
              <w:t>30</w:t>
            </w:r>
          </w:p>
        </w:tc>
        <w:tc>
          <w:tcPr>
            <w:tcW w:w="423" w:type="pct"/>
            <w:vAlign w:val="center"/>
          </w:tcPr>
          <w:p w14:paraId="02269064">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25</w:t>
            </w:r>
            <w:r>
              <w:rPr>
                <w:rFonts w:hint="eastAsia" w:ascii="Times New Roman" w:hAnsi="Times New Roman" w:cs="Times New Roman"/>
                <w:color w:val="000000" w:themeColor="text1"/>
                <w:sz w:val="21"/>
                <w:lang w:eastAsia="zh-CN"/>
                <w14:textFill>
                  <w14:solidFill>
                    <w14:schemeClr w14:val="tx1"/>
                  </w14:solidFill>
                </w14:textFill>
              </w:rPr>
              <w:t>20</w:t>
            </w:r>
          </w:p>
        </w:tc>
        <w:tc>
          <w:tcPr>
            <w:tcW w:w="990" w:type="pct"/>
            <w:vAlign w:val="center"/>
          </w:tcPr>
          <w:p w14:paraId="1C7DEF2C">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约70户，295人</w:t>
            </w:r>
          </w:p>
        </w:tc>
        <w:tc>
          <w:tcPr>
            <w:tcW w:w="363" w:type="pct"/>
            <w:vMerge w:val="continue"/>
            <w:vAlign w:val="center"/>
          </w:tcPr>
          <w:p w14:paraId="264D3039">
            <w:pPr>
              <w:adjustRightInd w:val="0"/>
              <w:snapToGrid w:val="0"/>
              <w:jc w:val="center"/>
              <w:rPr>
                <w:rFonts w:ascii="Times New Roman" w:hAnsi="Times New Roman" w:cs="Times New Roman"/>
                <w:color w:val="auto"/>
                <w:sz w:val="21"/>
                <w:lang w:eastAsia="zh-CN"/>
              </w:rPr>
            </w:pPr>
          </w:p>
        </w:tc>
        <w:tc>
          <w:tcPr>
            <w:tcW w:w="877" w:type="pct"/>
            <w:vMerge w:val="continue"/>
            <w:vAlign w:val="center"/>
          </w:tcPr>
          <w:p w14:paraId="7A3FBEE3">
            <w:pPr>
              <w:adjustRightInd w:val="0"/>
              <w:snapToGrid w:val="0"/>
              <w:jc w:val="center"/>
              <w:rPr>
                <w:rFonts w:ascii="Times New Roman" w:hAnsi="Times New Roman" w:cs="Times New Roman"/>
                <w:color w:val="auto"/>
                <w:sz w:val="21"/>
                <w:lang w:eastAsia="zh-CN"/>
              </w:rPr>
            </w:pPr>
          </w:p>
        </w:tc>
        <w:tc>
          <w:tcPr>
            <w:tcW w:w="435" w:type="pct"/>
            <w:vAlign w:val="center"/>
          </w:tcPr>
          <w:p w14:paraId="7A8B15E7">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NE</w:t>
            </w:r>
          </w:p>
        </w:tc>
        <w:tc>
          <w:tcPr>
            <w:tcW w:w="566" w:type="pct"/>
            <w:vAlign w:val="center"/>
          </w:tcPr>
          <w:p w14:paraId="44D44078">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285</w:t>
            </w:r>
            <w:r>
              <w:rPr>
                <w:rFonts w:hint="eastAsia" w:ascii="Times New Roman" w:hAnsi="Times New Roman" w:cs="Times New Roman"/>
                <w:color w:val="000000" w:themeColor="text1"/>
                <w:sz w:val="21"/>
                <w:lang w:eastAsia="zh-CN"/>
                <w14:textFill>
                  <w14:solidFill>
                    <w14:schemeClr w14:val="tx1"/>
                  </w14:solidFill>
                </w14:textFill>
              </w:rPr>
              <w:t>0</w:t>
            </w:r>
          </w:p>
        </w:tc>
      </w:tr>
      <w:tr w14:paraId="5B3AEC03">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072B511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7</w:t>
            </w:r>
          </w:p>
        </w:tc>
        <w:tc>
          <w:tcPr>
            <w:tcW w:w="689" w:type="pct"/>
            <w:vAlign w:val="center"/>
          </w:tcPr>
          <w:p w14:paraId="23D3BCC0">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三铺中学</w:t>
            </w:r>
          </w:p>
        </w:tc>
        <w:tc>
          <w:tcPr>
            <w:tcW w:w="388" w:type="pct"/>
            <w:vAlign w:val="center"/>
          </w:tcPr>
          <w:p w14:paraId="0CFCC4DB">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-1720</w:t>
            </w:r>
          </w:p>
        </w:tc>
        <w:tc>
          <w:tcPr>
            <w:tcW w:w="423" w:type="pct"/>
            <w:vAlign w:val="center"/>
          </w:tcPr>
          <w:p w14:paraId="5818B463">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10</w:t>
            </w:r>
            <w:r>
              <w:rPr>
                <w:rFonts w:hint="eastAsia" w:ascii="Times New Roman" w:hAnsi="Times New Roman" w:cs="Times New Roman"/>
                <w:color w:val="000000" w:themeColor="text1"/>
                <w:sz w:val="21"/>
                <w:lang w:eastAsia="zh-CN"/>
                <w14:textFill>
                  <w14:solidFill>
                    <w14:schemeClr w14:val="tx1"/>
                  </w14:solidFill>
                </w14:textFill>
              </w:rPr>
              <w:t>40</w:t>
            </w:r>
          </w:p>
        </w:tc>
        <w:tc>
          <w:tcPr>
            <w:tcW w:w="990" w:type="pct"/>
            <w:vAlign w:val="center"/>
          </w:tcPr>
          <w:p w14:paraId="46CD27F6">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约2000名师生</w:t>
            </w:r>
          </w:p>
        </w:tc>
        <w:tc>
          <w:tcPr>
            <w:tcW w:w="363" w:type="pct"/>
            <w:vMerge w:val="continue"/>
            <w:vAlign w:val="center"/>
          </w:tcPr>
          <w:p w14:paraId="4782D4B8">
            <w:pPr>
              <w:adjustRightInd w:val="0"/>
              <w:snapToGrid w:val="0"/>
              <w:jc w:val="center"/>
              <w:rPr>
                <w:rFonts w:ascii="Times New Roman" w:hAnsi="Times New Roman" w:cs="Times New Roman"/>
                <w:color w:val="auto"/>
                <w:sz w:val="21"/>
                <w:lang w:eastAsia="zh-CN"/>
              </w:rPr>
            </w:pPr>
          </w:p>
        </w:tc>
        <w:tc>
          <w:tcPr>
            <w:tcW w:w="877" w:type="pct"/>
            <w:vMerge w:val="continue"/>
            <w:vAlign w:val="center"/>
          </w:tcPr>
          <w:p w14:paraId="01277435">
            <w:pPr>
              <w:adjustRightInd w:val="0"/>
              <w:snapToGrid w:val="0"/>
              <w:jc w:val="center"/>
              <w:rPr>
                <w:rFonts w:ascii="Times New Roman" w:hAnsi="Times New Roman" w:cs="Times New Roman"/>
                <w:color w:val="auto"/>
                <w:sz w:val="21"/>
                <w:lang w:eastAsia="zh-CN"/>
              </w:rPr>
            </w:pPr>
          </w:p>
        </w:tc>
        <w:tc>
          <w:tcPr>
            <w:tcW w:w="435" w:type="pct"/>
            <w:vAlign w:val="center"/>
          </w:tcPr>
          <w:p w14:paraId="61A1D52A">
            <w:pPr>
              <w:adjustRightInd w:val="0"/>
              <w:snapToGrid w:val="0"/>
              <w:jc w:val="center"/>
              <w:rPr>
                <w:rFonts w:ascii="Times New Roman" w:hAnsi="Times New Roman" w:cs="Times New Roman"/>
                <w:color w:val="auto"/>
                <w:sz w:val="21"/>
              </w:rPr>
            </w:pPr>
            <w:r>
              <w:rPr>
                <w:rFonts w:hint="eastAsia" w:ascii="Times New Roman" w:hAnsi="Times New Roman" w:cs="Times New Roman"/>
                <w:color w:val="000000" w:themeColor="text1"/>
                <w:sz w:val="21"/>
                <w:lang w:eastAsia="zh-CN"/>
                <w14:textFill>
                  <w14:solidFill>
                    <w14:schemeClr w14:val="tx1"/>
                  </w14:solidFill>
                </w14:textFill>
              </w:rPr>
              <w:t>N</w:t>
            </w:r>
            <w:r>
              <w:rPr>
                <w:rFonts w:ascii="Times New Roman" w:hAnsi="Times New Roman" w:cs="Times New Roman"/>
                <w:color w:val="000000" w:themeColor="text1"/>
                <w:sz w:val="21"/>
                <w14:textFill>
                  <w14:solidFill>
                    <w14:schemeClr w14:val="tx1"/>
                  </w14:solidFill>
                </w14:textFill>
              </w:rPr>
              <w:t>W</w:t>
            </w:r>
          </w:p>
        </w:tc>
        <w:tc>
          <w:tcPr>
            <w:tcW w:w="566" w:type="pct"/>
            <w:vAlign w:val="center"/>
          </w:tcPr>
          <w:p w14:paraId="187BAA24">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19</w:t>
            </w:r>
            <w:r>
              <w:rPr>
                <w:rFonts w:hint="eastAsia" w:ascii="Times New Roman" w:hAnsi="Times New Roman" w:cs="Times New Roman"/>
                <w:color w:val="000000" w:themeColor="text1"/>
                <w:sz w:val="21"/>
                <w:lang w:eastAsia="zh-CN"/>
                <w14:textFill>
                  <w14:solidFill>
                    <w14:schemeClr w14:val="tx1"/>
                  </w14:solidFill>
                </w14:textFill>
              </w:rPr>
              <w:t>60</w:t>
            </w:r>
          </w:p>
        </w:tc>
      </w:tr>
      <w:tr w14:paraId="2F67155B">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7E7D0D1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8</w:t>
            </w:r>
          </w:p>
        </w:tc>
        <w:tc>
          <w:tcPr>
            <w:tcW w:w="689" w:type="pct"/>
            <w:vAlign w:val="center"/>
          </w:tcPr>
          <w:p w14:paraId="1E6D5CE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三铺村</w:t>
            </w:r>
          </w:p>
        </w:tc>
        <w:tc>
          <w:tcPr>
            <w:tcW w:w="388" w:type="pct"/>
            <w:vAlign w:val="center"/>
          </w:tcPr>
          <w:p w14:paraId="64916FC4">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-2440</w:t>
            </w:r>
          </w:p>
        </w:tc>
        <w:tc>
          <w:tcPr>
            <w:tcW w:w="423" w:type="pct"/>
            <w:vAlign w:val="center"/>
          </w:tcPr>
          <w:p w14:paraId="3A79A358">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6</w:t>
            </w:r>
            <w:r>
              <w:rPr>
                <w:rFonts w:hint="eastAsia" w:ascii="Times New Roman" w:hAnsi="Times New Roman" w:cs="Times New Roman"/>
                <w:color w:val="000000" w:themeColor="text1"/>
                <w:sz w:val="21"/>
                <w:lang w:eastAsia="zh-CN"/>
                <w14:textFill>
                  <w14:solidFill>
                    <w14:schemeClr w14:val="tx1"/>
                  </w14:solidFill>
                </w14:textFill>
              </w:rPr>
              <w:t>30</w:t>
            </w:r>
          </w:p>
        </w:tc>
        <w:tc>
          <w:tcPr>
            <w:tcW w:w="990" w:type="pct"/>
            <w:vAlign w:val="center"/>
          </w:tcPr>
          <w:p w14:paraId="677C4B72">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约300户，1000人</w:t>
            </w:r>
          </w:p>
        </w:tc>
        <w:tc>
          <w:tcPr>
            <w:tcW w:w="363" w:type="pct"/>
            <w:vMerge w:val="continue"/>
            <w:vAlign w:val="center"/>
          </w:tcPr>
          <w:p w14:paraId="26674482">
            <w:pPr>
              <w:adjustRightInd w:val="0"/>
              <w:snapToGrid w:val="0"/>
              <w:jc w:val="center"/>
              <w:rPr>
                <w:rFonts w:ascii="Times New Roman" w:hAnsi="Times New Roman" w:cs="Times New Roman"/>
                <w:color w:val="auto"/>
                <w:sz w:val="21"/>
                <w:lang w:eastAsia="zh-CN"/>
              </w:rPr>
            </w:pPr>
          </w:p>
        </w:tc>
        <w:tc>
          <w:tcPr>
            <w:tcW w:w="877" w:type="pct"/>
            <w:vMerge w:val="continue"/>
            <w:vAlign w:val="center"/>
          </w:tcPr>
          <w:p w14:paraId="62BBFEE0">
            <w:pPr>
              <w:adjustRightInd w:val="0"/>
              <w:snapToGrid w:val="0"/>
              <w:jc w:val="center"/>
              <w:rPr>
                <w:rFonts w:ascii="Times New Roman" w:hAnsi="Times New Roman" w:cs="Times New Roman"/>
                <w:color w:val="auto"/>
                <w:sz w:val="21"/>
                <w:lang w:eastAsia="zh-CN"/>
              </w:rPr>
            </w:pPr>
          </w:p>
        </w:tc>
        <w:tc>
          <w:tcPr>
            <w:tcW w:w="435" w:type="pct"/>
            <w:vAlign w:val="center"/>
          </w:tcPr>
          <w:p w14:paraId="612DB46F">
            <w:pPr>
              <w:adjustRightInd w:val="0"/>
              <w:snapToGrid w:val="0"/>
              <w:jc w:val="center"/>
              <w:rPr>
                <w:rFonts w:ascii="Times New Roman" w:hAnsi="Times New Roman" w:cs="Times New Roman"/>
                <w:color w:val="auto"/>
                <w:sz w:val="21"/>
              </w:rPr>
            </w:pPr>
            <w:r>
              <w:rPr>
                <w:rFonts w:hint="eastAsia" w:ascii="Times New Roman" w:hAnsi="Times New Roman" w:cs="Times New Roman"/>
                <w:color w:val="000000" w:themeColor="text1"/>
                <w:sz w:val="21"/>
                <w:lang w:eastAsia="zh-CN"/>
                <w14:textFill>
                  <w14:solidFill>
                    <w14:schemeClr w14:val="tx1"/>
                  </w14:solidFill>
                </w14:textFill>
              </w:rPr>
              <w:t>N</w:t>
            </w:r>
            <w:r>
              <w:rPr>
                <w:rFonts w:ascii="Times New Roman" w:hAnsi="Times New Roman" w:cs="Times New Roman"/>
                <w:color w:val="000000" w:themeColor="text1"/>
                <w:sz w:val="21"/>
                <w14:textFill>
                  <w14:solidFill>
                    <w14:schemeClr w14:val="tx1"/>
                  </w14:solidFill>
                </w14:textFill>
              </w:rPr>
              <w:t>W</w:t>
            </w:r>
          </w:p>
        </w:tc>
        <w:tc>
          <w:tcPr>
            <w:tcW w:w="566" w:type="pct"/>
            <w:vAlign w:val="center"/>
          </w:tcPr>
          <w:p w14:paraId="316FF718">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2680</w:t>
            </w:r>
          </w:p>
        </w:tc>
      </w:tr>
      <w:tr w14:paraId="033174CE">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20AB226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9</w:t>
            </w:r>
          </w:p>
        </w:tc>
        <w:tc>
          <w:tcPr>
            <w:tcW w:w="689" w:type="pct"/>
            <w:vAlign w:val="center"/>
          </w:tcPr>
          <w:p w14:paraId="60534A77">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三铺小学</w:t>
            </w:r>
          </w:p>
        </w:tc>
        <w:tc>
          <w:tcPr>
            <w:tcW w:w="388" w:type="pct"/>
            <w:vAlign w:val="center"/>
          </w:tcPr>
          <w:p w14:paraId="765CA5E6">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-2290</w:t>
            </w:r>
          </w:p>
        </w:tc>
        <w:tc>
          <w:tcPr>
            <w:tcW w:w="423" w:type="pct"/>
            <w:vAlign w:val="center"/>
          </w:tcPr>
          <w:p w14:paraId="5B554D42">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11</w:t>
            </w:r>
            <w:r>
              <w:rPr>
                <w:rFonts w:hint="eastAsia" w:ascii="Times New Roman" w:hAnsi="Times New Roman" w:cs="Times New Roman"/>
                <w:color w:val="000000" w:themeColor="text1"/>
                <w:sz w:val="21"/>
                <w:lang w:eastAsia="zh-CN"/>
                <w14:textFill>
                  <w14:solidFill>
                    <w14:schemeClr w14:val="tx1"/>
                  </w14:solidFill>
                </w14:textFill>
              </w:rPr>
              <w:t>40</w:t>
            </w:r>
          </w:p>
        </w:tc>
        <w:tc>
          <w:tcPr>
            <w:tcW w:w="990" w:type="pct"/>
            <w:vAlign w:val="center"/>
          </w:tcPr>
          <w:p w14:paraId="7281BB9C">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约500名师生</w:t>
            </w:r>
          </w:p>
        </w:tc>
        <w:tc>
          <w:tcPr>
            <w:tcW w:w="363" w:type="pct"/>
            <w:vMerge w:val="continue"/>
            <w:vAlign w:val="center"/>
          </w:tcPr>
          <w:p w14:paraId="76073951">
            <w:pPr>
              <w:adjustRightInd w:val="0"/>
              <w:snapToGrid w:val="0"/>
              <w:jc w:val="center"/>
              <w:rPr>
                <w:rFonts w:ascii="Times New Roman" w:hAnsi="Times New Roman" w:cs="Times New Roman"/>
                <w:color w:val="auto"/>
                <w:sz w:val="21"/>
                <w:lang w:eastAsia="zh-CN"/>
              </w:rPr>
            </w:pPr>
          </w:p>
        </w:tc>
        <w:tc>
          <w:tcPr>
            <w:tcW w:w="877" w:type="pct"/>
            <w:vMerge w:val="continue"/>
            <w:vAlign w:val="center"/>
          </w:tcPr>
          <w:p w14:paraId="0E2EDD21">
            <w:pPr>
              <w:adjustRightInd w:val="0"/>
              <w:snapToGrid w:val="0"/>
              <w:jc w:val="center"/>
              <w:rPr>
                <w:rFonts w:ascii="Times New Roman" w:hAnsi="Times New Roman" w:cs="Times New Roman"/>
                <w:color w:val="auto"/>
                <w:sz w:val="21"/>
                <w:lang w:eastAsia="zh-CN"/>
              </w:rPr>
            </w:pPr>
          </w:p>
        </w:tc>
        <w:tc>
          <w:tcPr>
            <w:tcW w:w="435" w:type="pct"/>
            <w:vAlign w:val="center"/>
          </w:tcPr>
          <w:p w14:paraId="36E5E27A">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W</w:t>
            </w:r>
          </w:p>
        </w:tc>
        <w:tc>
          <w:tcPr>
            <w:tcW w:w="566" w:type="pct"/>
            <w:vAlign w:val="center"/>
          </w:tcPr>
          <w:p w14:paraId="2C2E3199">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25</w:t>
            </w:r>
            <w:r>
              <w:rPr>
                <w:rFonts w:hint="eastAsia" w:ascii="Times New Roman" w:hAnsi="Times New Roman" w:cs="Times New Roman"/>
                <w:color w:val="000000" w:themeColor="text1"/>
                <w:sz w:val="21"/>
                <w:lang w:eastAsia="zh-CN"/>
                <w14:textFill>
                  <w14:solidFill>
                    <w14:schemeClr w14:val="tx1"/>
                  </w14:solidFill>
                </w14:textFill>
              </w:rPr>
              <w:t>50</w:t>
            </w:r>
          </w:p>
        </w:tc>
      </w:tr>
      <w:tr w14:paraId="4B11E26A">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1B5ABB7C">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10</w:t>
            </w:r>
          </w:p>
        </w:tc>
        <w:tc>
          <w:tcPr>
            <w:tcW w:w="689" w:type="pct"/>
            <w:vAlign w:val="center"/>
          </w:tcPr>
          <w:p w14:paraId="02D743D1">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尚家湖</w:t>
            </w:r>
          </w:p>
        </w:tc>
        <w:tc>
          <w:tcPr>
            <w:tcW w:w="388" w:type="pct"/>
            <w:vAlign w:val="center"/>
          </w:tcPr>
          <w:p w14:paraId="17516326">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10</w:t>
            </w:r>
            <w:r>
              <w:rPr>
                <w:rFonts w:hint="eastAsia" w:ascii="Times New Roman" w:hAnsi="Times New Roman" w:cs="Times New Roman"/>
                <w:color w:val="000000" w:themeColor="text1"/>
                <w:sz w:val="21"/>
                <w:lang w:eastAsia="zh-CN"/>
                <w14:textFill>
                  <w14:solidFill>
                    <w14:schemeClr w14:val="tx1"/>
                  </w14:solidFill>
                </w14:textFill>
              </w:rPr>
              <w:t>30</w:t>
            </w:r>
          </w:p>
        </w:tc>
        <w:tc>
          <w:tcPr>
            <w:tcW w:w="423" w:type="pct"/>
            <w:vAlign w:val="center"/>
          </w:tcPr>
          <w:p w14:paraId="28556174">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302</w:t>
            </w:r>
            <w:r>
              <w:rPr>
                <w:rFonts w:hint="eastAsia" w:ascii="Times New Roman" w:hAnsi="Times New Roman" w:cs="Times New Roman"/>
                <w:color w:val="000000" w:themeColor="text1"/>
                <w:sz w:val="21"/>
                <w:lang w:eastAsia="zh-CN"/>
                <w14:textFill>
                  <w14:solidFill>
                    <w14:schemeClr w14:val="tx1"/>
                  </w14:solidFill>
                </w14:textFill>
              </w:rPr>
              <w:t>0</w:t>
            </w:r>
          </w:p>
        </w:tc>
        <w:tc>
          <w:tcPr>
            <w:tcW w:w="990" w:type="pct"/>
            <w:vAlign w:val="center"/>
          </w:tcPr>
          <w:p w14:paraId="6E8875E8">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约80户，330人</w:t>
            </w:r>
          </w:p>
        </w:tc>
        <w:tc>
          <w:tcPr>
            <w:tcW w:w="363" w:type="pct"/>
            <w:vMerge w:val="continue"/>
            <w:vAlign w:val="center"/>
          </w:tcPr>
          <w:p w14:paraId="04202C29">
            <w:pPr>
              <w:adjustRightInd w:val="0"/>
              <w:snapToGrid w:val="0"/>
              <w:jc w:val="center"/>
              <w:rPr>
                <w:rFonts w:ascii="Times New Roman" w:hAnsi="Times New Roman" w:cs="Times New Roman"/>
                <w:color w:val="auto"/>
                <w:sz w:val="21"/>
                <w:lang w:eastAsia="zh-CN"/>
              </w:rPr>
            </w:pPr>
          </w:p>
        </w:tc>
        <w:tc>
          <w:tcPr>
            <w:tcW w:w="877" w:type="pct"/>
            <w:vMerge w:val="continue"/>
            <w:vAlign w:val="center"/>
          </w:tcPr>
          <w:p w14:paraId="614AE381">
            <w:pPr>
              <w:adjustRightInd w:val="0"/>
              <w:snapToGrid w:val="0"/>
              <w:jc w:val="center"/>
              <w:rPr>
                <w:rFonts w:ascii="Times New Roman" w:hAnsi="Times New Roman" w:cs="Times New Roman"/>
                <w:color w:val="auto"/>
                <w:sz w:val="21"/>
                <w:lang w:eastAsia="zh-CN"/>
              </w:rPr>
            </w:pPr>
          </w:p>
        </w:tc>
        <w:tc>
          <w:tcPr>
            <w:tcW w:w="435" w:type="pct"/>
            <w:vAlign w:val="center"/>
          </w:tcPr>
          <w:p w14:paraId="1106B810">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NE</w:t>
            </w:r>
          </w:p>
        </w:tc>
        <w:tc>
          <w:tcPr>
            <w:tcW w:w="566" w:type="pct"/>
            <w:vAlign w:val="center"/>
          </w:tcPr>
          <w:p w14:paraId="49CFFC61">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26</w:t>
            </w:r>
            <w:r>
              <w:rPr>
                <w:rFonts w:hint="eastAsia" w:ascii="Times New Roman" w:hAnsi="Times New Roman" w:cs="Times New Roman"/>
                <w:color w:val="000000" w:themeColor="text1"/>
                <w:sz w:val="21"/>
                <w:lang w:eastAsia="zh-CN"/>
                <w14:textFill>
                  <w14:solidFill>
                    <w14:schemeClr w14:val="tx1"/>
                  </w14:solidFill>
                </w14:textFill>
              </w:rPr>
              <w:t>10</w:t>
            </w:r>
          </w:p>
        </w:tc>
      </w:tr>
      <w:tr w14:paraId="06FD5429">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0827D9CC">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11</w:t>
            </w:r>
          </w:p>
        </w:tc>
        <w:tc>
          <w:tcPr>
            <w:tcW w:w="689" w:type="pct"/>
            <w:vAlign w:val="center"/>
          </w:tcPr>
          <w:p w14:paraId="7BDB200D">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汪刑村</w:t>
            </w:r>
          </w:p>
        </w:tc>
        <w:tc>
          <w:tcPr>
            <w:tcW w:w="388" w:type="pct"/>
            <w:vAlign w:val="center"/>
          </w:tcPr>
          <w:p w14:paraId="206994BA">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-7</w:t>
            </w:r>
            <w:r>
              <w:rPr>
                <w:rFonts w:hint="eastAsia" w:ascii="Times New Roman" w:hAnsi="Times New Roman" w:cs="Times New Roman"/>
                <w:color w:val="000000" w:themeColor="text1"/>
                <w:sz w:val="21"/>
                <w:lang w:eastAsia="zh-CN"/>
                <w14:textFill>
                  <w14:solidFill>
                    <w14:schemeClr w14:val="tx1"/>
                  </w14:solidFill>
                </w14:textFill>
              </w:rPr>
              <w:t>90</w:t>
            </w:r>
          </w:p>
        </w:tc>
        <w:tc>
          <w:tcPr>
            <w:tcW w:w="423" w:type="pct"/>
            <w:vAlign w:val="center"/>
          </w:tcPr>
          <w:p w14:paraId="0D7B5CBE">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329</w:t>
            </w:r>
            <w:r>
              <w:rPr>
                <w:rFonts w:hint="eastAsia" w:ascii="Times New Roman" w:hAnsi="Times New Roman" w:cs="Times New Roman"/>
                <w:color w:val="000000" w:themeColor="text1"/>
                <w:sz w:val="21"/>
                <w:lang w:eastAsia="zh-CN"/>
                <w14:textFill>
                  <w14:solidFill>
                    <w14:schemeClr w14:val="tx1"/>
                  </w14:solidFill>
                </w14:textFill>
              </w:rPr>
              <w:t>0</w:t>
            </w:r>
          </w:p>
        </w:tc>
        <w:tc>
          <w:tcPr>
            <w:tcW w:w="990" w:type="pct"/>
            <w:vAlign w:val="center"/>
          </w:tcPr>
          <w:p w14:paraId="50A1AF34">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约65户，270人</w:t>
            </w:r>
          </w:p>
        </w:tc>
        <w:tc>
          <w:tcPr>
            <w:tcW w:w="363" w:type="pct"/>
            <w:vMerge w:val="continue"/>
            <w:vAlign w:val="center"/>
          </w:tcPr>
          <w:p w14:paraId="65CB30FC">
            <w:pPr>
              <w:adjustRightInd w:val="0"/>
              <w:snapToGrid w:val="0"/>
              <w:jc w:val="center"/>
              <w:rPr>
                <w:rFonts w:ascii="Times New Roman" w:hAnsi="Times New Roman" w:cs="Times New Roman"/>
                <w:color w:val="auto"/>
                <w:sz w:val="21"/>
                <w:lang w:eastAsia="zh-CN"/>
              </w:rPr>
            </w:pPr>
          </w:p>
        </w:tc>
        <w:tc>
          <w:tcPr>
            <w:tcW w:w="877" w:type="pct"/>
            <w:vMerge w:val="continue"/>
            <w:vAlign w:val="center"/>
          </w:tcPr>
          <w:p w14:paraId="3F231E3F">
            <w:pPr>
              <w:adjustRightInd w:val="0"/>
              <w:snapToGrid w:val="0"/>
              <w:jc w:val="center"/>
              <w:rPr>
                <w:rFonts w:ascii="Times New Roman" w:hAnsi="Times New Roman" w:cs="Times New Roman"/>
                <w:color w:val="auto"/>
                <w:sz w:val="21"/>
                <w:lang w:eastAsia="zh-CN"/>
              </w:rPr>
            </w:pPr>
          </w:p>
        </w:tc>
        <w:tc>
          <w:tcPr>
            <w:tcW w:w="435" w:type="pct"/>
            <w:vAlign w:val="center"/>
          </w:tcPr>
          <w:p w14:paraId="414C238A">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NW</w:t>
            </w:r>
          </w:p>
        </w:tc>
        <w:tc>
          <w:tcPr>
            <w:tcW w:w="566" w:type="pct"/>
            <w:vAlign w:val="center"/>
          </w:tcPr>
          <w:p w14:paraId="20FC3801">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30</w:t>
            </w:r>
            <w:r>
              <w:rPr>
                <w:rFonts w:hint="eastAsia" w:ascii="Times New Roman" w:hAnsi="Times New Roman" w:cs="Times New Roman"/>
                <w:color w:val="000000" w:themeColor="text1"/>
                <w:sz w:val="21"/>
                <w:lang w:eastAsia="zh-CN"/>
                <w14:textFill>
                  <w14:solidFill>
                    <w14:schemeClr w14:val="tx1"/>
                  </w14:solidFill>
                </w14:textFill>
              </w:rPr>
              <w:t>70</w:t>
            </w:r>
          </w:p>
        </w:tc>
      </w:tr>
      <w:tr w14:paraId="717A8E4A">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3F925B8C">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12</w:t>
            </w:r>
          </w:p>
        </w:tc>
        <w:tc>
          <w:tcPr>
            <w:tcW w:w="689" w:type="pct"/>
            <w:vAlign w:val="center"/>
          </w:tcPr>
          <w:p w14:paraId="6CCEDB9B">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邓郭</w:t>
            </w:r>
          </w:p>
        </w:tc>
        <w:tc>
          <w:tcPr>
            <w:tcW w:w="388" w:type="pct"/>
            <w:vAlign w:val="center"/>
          </w:tcPr>
          <w:p w14:paraId="56CBA9AA">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-2380</w:t>
            </w:r>
          </w:p>
        </w:tc>
        <w:tc>
          <w:tcPr>
            <w:tcW w:w="423" w:type="pct"/>
            <w:vAlign w:val="center"/>
          </w:tcPr>
          <w:p w14:paraId="5E38CF60">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329</w:t>
            </w:r>
            <w:r>
              <w:rPr>
                <w:rFonts w:hint="eastAsia" w:ascii="Times New Roman" w:hAnsi="Times New Roman" w:cs="Times New Roman"/>
                <w:color w:val="000000" w:themeColor="text1"/>
                <w:sz w:val="21"/>
                <w:lang w:eastAsia="zh-CN"/>
                <w14:textFill>
                  <w14:solidFill>
                    <w14:schemeClr w14:val="tx1"/>
                  </w14:solidFill>
                </w14:textFill>
              </w:rPr>
              <w:t>0</w:t>
            </w:r>
          </w:p>
        </w:tc>
        <w:tc>
          <w:tcPr>
            <w:tcW w:w="990" w:type="pct"/>
            <w:vAlign w:val="center"/>
          </w:tcPr>
          <w:p w14:paraId="44786FF0">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约40户，180人</w:t>
            </w:r>
          </w:p>
        </w:tc>
        <w:tc>
          <w:tcPr>
            <w:tcW w:w="363" w:type="pct"/>
            <w:vMerge w:val="continue"/>
            <w:vAlign w:val="center"/>
          </w:tcPr>
          <w:p w14:paraId="5B6B30C3">
            <w:pPr>
              <w:adjustRightInd w:val="0"/>
              <w:snapToGrid w:val="0"/>
              <w:jc w:val="center"/>
              <w:rPr>
                <w:rFonts w:ascii="Times New Roman" w:hAnsi="Times New Roman" w:cs="Times New Roman"/>
                <w:color w:val="auto"/>
                <w:sz w:val="21"/>
                <w:lang w:eastAsia="zh-CN"/>
              </w:rPr>
            </w:pPr>
          </w:p>
        </w:tc>
        <w:tc>
          <w:tcPr>
            <w:tcW w:w="877" w:type="pct"/>
            <w:vMerge w:val="continue"/>
            <w:vAlign w:val="center"/>
          </w:tcPr>
          <w:p w14:paraId="3A3A9C3B">
            <w:pPr>
              <w:adjustRightInd w:val="0"/>
              <w:snapToGrid w:val="0"/>
              <w:jc w:val="center"/>
              <w:rPr>
                <w:rFonts w:ascii="Times New Roman" w:hAnsi="Times New Roman" w:cs="Times New Roman"/>
                <w:color w:val="auto"/>
                <w:sz w:val="21"/>
                <w:lang w:eastAsia="zh-CN"/>
              </w:rPr>
            </w:pPr>
          </w:p>
        </w:tc>
        <w:tc>
          <w:tcPr>
            <w:tcW w:w="435" w:type="pct"/>
            <w:vAlign w:val="center"/>
          </w:tcPr>
          <w:p w14:paraId="758852C8">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NW</w:t>
            </w:r>
          </w:p>
        </w:tc>
        <w:tc>
          <w:tcPr>
            <w:tcW w:w="566" w:type="pct"/>
            <w:vAlign w:val="center"/>
          </w:tcPr>
          <w:p w14:paraId="09DCAA36">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371</w:t>
            </w:r>
            <w:r>
              <w:rPr>
                <w:rFonts w:hint="eastAsia" w:ascii="Times New Roman" w:hAnsi="Times New Roman" w:cs="Times New Roman"/>
                <w:color w:val="000000" w:themeColor="text1"/>
                <w:sz w:val="21"/>
                <w:lang w:eastAsia="zh-CN"/>
                <w14:textFill>
                  <w14:solidFill>
                    <w14:schemeClr w14:val="tx1"/>
                  </w14:solidFill>
                </w14:textFill>
              </w:rPr>
              <w:t>0</w:t>
            </w:r>
          </w:p>
        </w:tc>
      </w:tr>
      <w:tr w14:paraId="04B0FA2D">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05B1A153">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13</w:t>
            </w:r>
          </w:p>
        </w:tc>
        <w:tc>
          <w:tcPr>
            <w:tcW w:w="689" w:type="pct"/>
            <w:vAlign w:val="center"/>
          </w:tcPr>
          <w:p w14:paraId="0A86AB1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湖圩</w:t>
            </w:r>
          </w:p>
        </w:tc>
        <w:tc>
          <w:tcPr>
            <w:tcW w:w="388" w:type="pct"/>
            <w:vAlign w:val="center"/>
          </w:tcPr>
          <w:p w14:paraId="6B5F800D">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31</w:t>
            </w:r>
            <w:r>
              <w:rPr>
                <w:rFonts w:hint="eastAsia" w:ascii="Times New Roman" w:hAnsi="Times New Roman" w:cs="Times New Roman"/>
                <w:color w:val="000000" w:themeColor="text1"/>
                <w:sz w:val="21"/>
                <w:lang w:eastAsia="zh-CN"/>
                <w14:textFill>
                  <w14:solidFill>
                    <w14:schemeClr w14:val="tx1"/>
                  </w14:solidFill>
                </w14:textFill>
              </w:rPr>
              <w:t>10</w:t>
            </w:r>
          </w:p>
        </w:tc>
        <w:tc>
          <w:tcPr>
            <w:tcW w:w="423" w:type="pct"/>
            <w:vAlign w:val="center"/>
          </w:tcPr>
          <w:p w14:paraId="49C070FA">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-258</w:t>
            </w:r>
            <w:r>
              <w:rPr>
                <w:rFonts w:hint="eastAsia" w:ascii="Times New Roman" w:hAnsi="Times New Roman" w:cs="Times New Roman"/>
                <w:color w:val="000000" w:themeColor="text1"/>
                <w:sz w:val="21"/>
                <w:lang w:eastAsia="zh-CN"/>
                <w14:textFill>
                  <w14:solidFill>
                    <w14:schemeClr w14:val="tx1"/>
                  </w14:solidFill>
                </w14:textFill>
              </w:rPr>
              <w:t>0</w:t>
            </w:r>
          </w:p>
        </w:tc>
        <w:tc>
          <w:tcPr>
            <w:tcW w:w="990" w:type="pct"/>
            <w:vAlign w:val="center"/>
          </w:tcPr>
          <w:p w14:paraId="76BB0334">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约129户，390人</w:t>
            </w:r>
          </w:p>
        </w:tc>
        <w:tc>
          <w:tcPr>
            <w:tcW w:w="363" w:type="pct"/>
            <w:vMerge w:val="continue"/>
            <w:vAlign w:val="center"/>
          </w:tcPr>
          <w:p w14:paraId="7F76E0AA">
            <w:pPr>
              <w:adjustRightInd w:val="0"/>
              <w:snapToGrid w:val="0"/>
              <w:jc w:val="center"/>
              <w:rPr>
                <w:rFonts w:ascii="Times New Roman" w:hAnsi="Times New Roman" w:cs="Times New Roman"/>
                <w:color w:val="auto"/>
                <w:sz w:val="21"/>
                <w:lang w:eastAsia="zh-CN"/>
              </w:rPr>
            </w:pPr>
          </w:p>
        </w:tc>
        <w:tc>
          <w:tcPr>
            <w:tcW w:w="877" w:type="pct"/>
            <w:vMerge w:val="continue"/>
            <w:vAlign w:val="center"/>
          </w:tcPr>
          <w:p w14:paraId="0E95E6DA">
            <w:pPr>
              <w:adjustRightInd w:val="0"/>
              <w:snapToGrid w:val="0"/>
              <w:jc w:val="center"/>
              <w:rPr>
                <w:rFonts w:ascii="Times New Roman" w:hAnsi="Times New Roman" w:cs="Times New Roman"/>
                <w:color w:val="auto"/>
                <w:sz w:val="21"/>
                <w:lang w:eastAsia="zh-CN"/>
              </w:rPr>
            </w:pPr>
          </w:p>
        </w:tc>
        <w:tc>
          <w:tcPr>
            <w:tcW w:w="435" w:type="pct"/>
            <w:vAlign w:val="center"/>
          </w:tcPr>
          <w:p w14:paraId="27C5EDD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SE</w:t>
            </w:r>
          </w:p>
        </w:tc>
        <w:tc>
          <w:tcPr>
            <w:tcW w:w="566" w:type="pct"/>
            <w:vAlign w:val="center"/>
          </w:tcPr>
          <w:p w14:paraId="6F435216">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365</w:t>
            </w:r>
            <w:r>
              <w:rPr>
                <w:rFonts w:hint="eastAsia" w:ascii="Times New Roman" w:hAnsi="Times New Roman" w:cs="Times New Roman"/>
                <w:color w:val="000000" w:themeColor="text1"/>
                <w:sz w:val="21"/>
                <w:lang w:eastAsia="zh-CN"/>
                <w14:textFill>
                  <w14:solidFill>
                    <w14:schemeClr w14:val="tx1"/>
                  </w14:solidFill>
                </w14:textFill>
              </w:rPr>
              <w:t>0</w:t>
            </w:r>
          </w:p>
        </w:tc>
      </w:tr>
      <w:tr w14:paraId="2BDE9F86">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147A3E48">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14</w:t>
            </w:r>
          </w:p>
        </w:tc>
        <w:tc>
          <w:tcPr>
            <w:tcW w:w="689" w:type="pct"/>
            <w:vAlign w:val="center"/>
          </w:tcPr>
          <w:p w14:paraId="30B410E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前刘后刘</w:t>
            </w:r>
          </w:p>
        </w:tc>
        <w:tc>
          <w:tcPr>
            <w:tcW w:w="388" w:type="pct"/>
            <w:vAlign w:val="center"/>
          </w:tcPr>
          <w:p w14:paraId="06F8F8A3">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-8</w:t>
            </w:r>
            <w:r>
              <w:rPr>
                <w:rFonts w:hint="eastAsia" w:ascii="Times New Roman" w:hAnsi="Times New Roman" w:cs="Times New Roman"/>
                <w:color w:val="000000" w:themeColor="text1"/>
                <w:sz w:val="21"/>
                <w:lang w:eastAsia="zh-CN"/>
                <w14:textFill>
                  <w14:solidFill>
                    <w14:schemeClr w14:val="tx1"/>
                  </w14:solidFill>
                </w14:textFill>
              </w:rPr>
              <w:t>20</w:t>
            </w:r>
          </w:p>
        </w:tc>
        <w:tc>
          <w:tcPr>
            <w:tcW w:w="423" w:type="pct"/>
            <w:vAlign w:val="center"/>
          </w:tcPr>
          <w:p w14:paraId="186737B8">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335</w:t>
            </w:r>
            <w:r>
              <w:rPr>
                <w:rFonts w:hint="eastAsia" w:ascii="Times New Roman" w:hAnsi="Times New Roman" w:cs="Times New Roman"/>
                <w:color w:val="000000" w:themeColor="text1"/>
                <w:sz w:val="21"/>
                <w:lang w:eastAsia="zh-CN"/>
                <w14:textFill>
                  <w14:solidFill>
                    <w14:schemeClr w14:val="tx1"/>
                  </w14:solidFill>
                </w14:textFill>
              </w:rPr>
              <w:t>0</w:t>
            </w:r>
          </w:p>
        </w:tc>
        <w:tc>
          <w:tcPr>
            <w:tcW w:w="990" w:type="pct"/>
            <w:vAlign w:val="center"/>
          </w:tcPr>
          <w:p w14:paraId="4AD151A7">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约78户，234人</w:t>
            </w:r>
          </w:p>
        </w:tc>
        <w:tc>
          <w:tcPr>
            <w:tcW w:w="363" w:type="pct"/>
            <w:vMerge w:val="continue"/>
            <w:vAlign w:val="center"/>
          </w:tcPr>
          <w:p w14:paraId="5B365C44">
            <w:pPr>
              <w:adjustRightInd w:val="0"/>
              <w:snapToGrid w:val="0"/>
              <w:jc w:val="center"/>
              <w:rPr>
                <w:rFonts w:ascii="Times New Roman" w:hAnsi="Times New Roman" w:cs="Times New Roman"/>
                <w:color w:val="auto"/>
                <w:sz w:val="21"/>
                <w:lang w:eastAsia="zh-CN"/>
              </w:rPr>
            </w:pPr>
          </w:p>
        </w:tc>
        <w:tc>
          <w:tcPr>
            <w:tcW w:w="877" w:type="pct"/>
            <w:vMerge w:val="continue"/>
            <w:vAlign w:val="center"/>
          </w:tcPr>
          <w:p w14:paraId="4F7E8C6C">
            <w:pPr>
              <w:adjustRightInd w:val="0"/>
              <w:snapToGrid w:val="0"/>
              <w:jc w:val="center"/>
              <w:rPr>
                <w:rFonts w:ascii="Times New Roman" w:hAnsi="Times New Roman" w:cs="Times New Roman"/>
                <w:color w:val="auto"/>
                <w:sz w:val="21"/>
                <w:lang w:eastAsia="zh-CN"/>
              </w:rPr>
            </w:pPr>
          </w:p>
        </w:tc>
        <w:tc>
          <w:tcPr>
            <w:tcW w:w="435" w:type="pct"/>
            <w:vAlign w:val="center"/>
          </w:tcPr>
          <w:p w14:paraId="44DDDE68">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NW</w:t>
            </w:r>
          </w:p>
        </w:tc>
        <w:tc>
          <w:tcPr>
            <w:tcW w:w="566" w:type="pct"/>
            <w:vAlign w:val="center"/>
          </w:tcPr>
          <w:p w14:paraId="0EAA0716">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39</w:t>
            </w:r>
            <w:r>
              <w:rPr>
                <w:rFonts w:hint="eastAsia" w:ascii="Times New Roman" w:hAnsi="Times New Roman" w:cs="Times New Roman"/>
                <w:color w:val="000000" w:themeColor="text1"/>
                <w:sz w:val="21"/>
                <w:lang w:eastAsia="zh-CN"/>
                <w14:textFill>
                  <w14:solidFill>
                    <w14:schemeClr w14:val="tx1"/>
                  </w14:solidFill>
                </w14:textFill>
              </w:rPr>
              <w:t>50</w:t>
            </w:r>
          </w:p>
        </w:tc>
      </w:tr>
      <w:tr w14:paraId="13D89AF3">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169AAAEE">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15</w:t>
            </w:r>
          </w:p>
        </w:tc>
        <w:tc>
          <w:tcPr>
            <w:tcW w:w="689" w:type="pct"/>
            <w:vAlign w:val="center"/>
          </w:tcPr>
          <w:p w14:paraId="469C185E">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后沈家</w:t>
            </w:r>
          </w:p>
        </w:tc>
        <w:tc>
          <w:tcPr>
            <w:tcW w:w="388" w:type="pct"/>
            <w:vAlign w:val="center"/>
          </w:tcPr>
          <w:p w14:paraId="6D5FB8EB">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-4660</w:t>
            </w:r>
          </w:p>
        </w:tc>
        <w:tc>
          <w:tcPr>
            <w:tcW w:w="423" w:type="pct"/>
            <w:vAlign w:val="center"/>
          </w:tcPr>
          <w:p w14:paraId="0C46095C">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-27</w:t>
            </w:r>
            <w:r>
              <w:rPr>
                <w:rFonts w:hint="eastAsia" w:ascii="Times New Roman" w:hAnsi="Times New Roman" w:cs="Times New Roman"/>
                <w:color w:val="000000" w:themeColor="text1"/>
                <w:sz w:val="21"/>
                <w:lang w:eastAsia="zh-CN"/>
                <w14:textFill>
                  <w14:solidFill>
                    <w14:schemeClr w14:val="tx1"/>
                  </w14:solidFill>
                </w14:textFill>
              </w:rPr>
              <w:t>40</w:t>
            </w:r>
          </w:p>
        </w:tc>
        <w:tc>
          <w:tcPr>
            <w:tcW w:w="990" w:type="pct"/>
            <w:vAlign w:val="center"/>
          </w:tcPr>
          <w:p w14:paraId="75E1B6CE">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约12户，36人</w:t>
            </w:r>
          </w:p>
        </w:tc>
        <w:tc>
          <w:tcPr>
            <w:tcW w:w="363" w:type="pct"/>
            <w:vMerge w:val="continue"/>
            <w:vAlign w:val="center"/>
          </w:tcPr>
          <w:p w14:paraId="6F2EF95D">
            <w:pPr>
              <w:adjustRightInd w:val="0"/>
              <w:snapToGrid w:val="0"/>
              <w:jc w:val="center"/>
              <w:rPr>
                <w:rFonts w:ascii="Times New Roman" w:hAnsi="Times New Roman" w:cs="Times New Roman"/>
                <w:color w:val="auto"/>
                <w:sz w:val="21"/>
                <w:lang w:eastAsia="zh-CN"/>
              </w:rPr>
            </w:pPr>
          </w:p>
        </w:tc>
        <w:tc>
          <w:tcPr>
            <w:tcW w:w="877" w:type="pct"/>
            <w:vMerge w:val="continue"/>
            <w:vAlign w:val="center"/>
          </w:tcPr>
          <w:p w14:paraId="782160CA">
            <w:pPr>
              <w:adjustRightInd w:val="0"/>
              <w:snapToGrid w:val="0"/>
              <w:jc w:val="center"/>
              <w:rPr>
                <w:rFonts w:ascii="Times New Roman" w:hAnsi="Times New Roman" w:cs="Times New Roman"/>
                <w:color w:val="auto"/>
                <w:sz w:val="21"/>
                <w:lang w:eastAsia="zh-CN"/>
              </w:rPr>
            </w:pPr>
          </w:p>
        </w:tc>
        <w:tc>
          <w:tcPr>
            <w:tcW w:w="435" w:type="pct"/>
            <w:vAlign w:val="center"/>
          </w:tcPr>
          <w:p w14:paraId="338B16E6">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SW</w:t>
            </w:r>
          </w:p>
        </w:tc>
        <w:tc>
          <w:tcPr>
            <w:tcW w:w="566" w:type="pct"/>
            <w:vAlign w:val="center"/>
          </w:tcPr>
          <w:p w14:paraId="79FA569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41</w:t>
            </w:r>
            <w:r>
              <w:rPr>
                <w:rFonts w:hint="eastAsia" w:ascii="Times New Roman" w:hAnsi="Times New Roman" w:cs="Times New Roman"/>
                <w:color w:val="000000" w:themeColor="text1"/>
                <w:sz w:val="21"/>
                <w:lang w:eastAsia="zh-CN"/>
                <w14:textFill>
                  <w14:solidFill>
                    <w14:schemeClr w14:val="tx1"/>
                  </w14:solidFill>
                </w14:textFill>
              </w:rPr>
              <w:t>60</w:t>
            </w:r>
          </w:p>
        </w:tc>
      </w:tr>
      <w:tr w14:paraId="32BDED34">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77BD29D3">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16</w:t>
            </w:r>
          </w:p>
        </w:tc>
        <w:tc>
          <w:tcPr>
            <w:tcW w:w="689" w:type="pct"/>
            <w:vAlign w:val="center"/>
          </w:tcPr>
          <w:p w14:paraId="2EFA83C8">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郭台子</w:t>
            </w:r>
          </w:p>
        </w:tc>
        <w:tc>
          <w:tcPr>
            <w:tcW w:w="388" w:type="pct"/>
            <w:vAlign w:val="center"/>
          </w:tcPr>
          <w:p w14:paraId="5B9E5A82">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337</w:t>
            </w:r>
            <w:r>
              <w:rPr>
                <w:rFonts w:hint="eastAsia" w:ascii="Times New Roman" w:hAnsi="Times New Roman" w:cs="Times New Roman"/>
                <w:color w:val="000000" w:themeColor="text1"/>
                <w:sz w:val="21"/>
                <w:lang w:eastAsia="zh-CN"/>
                <w14:textFill>
                  <w14:solidFill>
                    <w14:schemeClr w14:val="tx1"/>
                  </w14:solidFill>
                </w14:textFill>
              </w:rPr>
              <w:t>0</w:t>
            </w:r>
          </w:p>
        </w:tc>
        <w:tc>
          <w:tcPr>
            <w:tcW w:w="423" w:type="pct"/>
            <w:vAlign w:val="center"/>
          </w:tcPr>
          <w:p w14:paraId="650318AC">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-1130</w:t>
            </w:r>
          </w:p>
        </w:tc>
        <w:tc>
          <w:tcPr>
            <w:tcW w:w="990" w:type="pct"/>
            <w:vAlign w:val="center"/>
          </w:tcPr>
          <w:p w14:paraId="42D66A7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约50户，250人</w:t>
            </w:r>
          </w:p>
        </w:tc>
        <w:tc>
          <w:tcPr>
            <w:tcW w:w="363" w:type="pct"/>
            <w:vMerge w:val="continue"/>
            <w:vAlign w:val="center"/>
          </w:tcPr>
          <w:p w14:paraId="36BEDA87">
            <w:pPr>
              <w:adjustRightInd w:val="0"/>
              <w:snapToGrid w:val="0"/>
              <w:jc w:val="center"/>
              <w:rPr>
                <w:rFonts w:ascii="Times New Roman" w:hAnsi="Times New Roman" w:cs="Times New Roman"/>
                <w:color w:val="auto"/>
                <w:sz w:val="21"/>
                <w:lang w:eastAsia="zh-CN"/>
              </w:rPr>
            </w:pPr>
          </w:p>
        </w:tc>
        <w:tc>
          <w:tcPr>
            <w:tcW w:w="877" w:type="pct"/>
            <w:vMerge w:val="continue"/>
            <w:vAlign w:val="center"/>
          </w:tcPr>
          <w:p w14:paraId="52D24695">
            <w:pPr>
              <w:adjustRightInd w:val="0"/>
              <w:snapToGrid w:val="0"/>
              <w:jc w:val="center"/>
              <w:rPr>
                <w:rFonts w:ascii="Times New Roman" w:hAnsi="Times New Roman" w:cs="Times New Roman"/>
                <w:color w:val="auto"/>
                <w:sz w:val="21"/>
                <w:lang w:eastAsia="zh-CN"/>
              </w:rPr>
            </w:pPr>
          </w:p>
        </w:tc>
        <w:tc>
          <w:tcPr>
            <w:tcW w:w="435" w:type="pct"/>
            <w:vAlign w:val="center"/>
          </w:tcPr>
          <w:p w14:paraId="67EA9E4A">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SE</w:t>
            </w:r>
          </w:p>
        </w:tc>
        <w:tc>
          <w:tcPr>
            <w:tcW w:w="566" w:type="pct"/>
            <w:vAlign w:val="center"/>
          </w:tcPr>
          <w:p w14:paraId="2EC766C2">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344</w:t>
            </w:r>
            <w:r>
              <w:rPr>
                <w:rFonts w:hint="eastAsia" w:ascii="Times New Roman" w:hAnsi="Times New Roman" w:cs="Times New Roman"/>
                <w:color w:val="000000" w:themeColor="text1"/>
                <w:sz w:val="21"/>
                <w:lang w:eastAsia="zh-CN"/>
                <w14:textFill>
                  <w14:solidFill>
                    <w14:schemeClr w14:val="tx1"/>
                  </w14:solidFill>
                </w14:textFill>
              </w:rPr>
              <w:t>0</w:t>
            </w:r>
          </w:p>
        </w:tc>
      </w:tr>
      <w:tr w14:paraId="1F588C02">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3B41BDBB">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17</w:t>
            </w:r>
          </w:p>
        </w:tc>
        <w:tc>
          <w:tcPr>
            <w:tcW w:w="689" w:type="pct"/>
            <w:vAlign w:val="center"/>
          </w:tcPr>
          <w:p w14:paraId="6418809B">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小史家</w:t>
            </w:r>
          </w:p>
        </w:tc>
        <w:tc>
          <w:tcPr>
            <w:tcW w:w="388" w:type="pct"/>
            <w:vAlign w:val="center"/>
          </w:tcPr>
          <w:p w14:paraId="1B0A93B3">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36</w:t>
            </w:r>
            <w:r>
              <w:rPr>
                <w:rFonts w:hint="eastAsia" w:ascii="Times New Roman" w:hAnsi="Times New Roman" w:cs="Times New Roman"/>
                <w:color w:val="000000" w:themeColor="text1"/>
                <w:sz w:val="21"/>
                <w:lang w:eastAsia="zh-CN"/>
                <w14:textFill>
                  <w14:solidFill>
                    <w14:schemeClr w14:val="tx1"/>
                  </w14:solidFill>
                </w14:textFill>
              </w:rPr>
              <w:t>30</w:t>
            </w:r>
          </w:p>
        </w:tc>
        <w:tc>
          <w:tcPr>
            <w:tcW w:w="423" w:type="pct"/>
            <w:vAlign w:val="center"/>
          </w:tcPr>
          <w:p w14:paraId="7FD10840">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30</w:t>
            </w:r>
          </w:p>
        </w:tc>
        <w:tc>
          <w:tcPr>
            <w:tcW w:w="990" w:type="pct"/>
            <w:vAlign w:val="center"/>
          </w:tcPr>
          <w:p w14:paraId="1136715E">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约30户，130人</w:t>
            </w:r>
          </w:p>
        </w:tc>
        <w:tc>
          <w:tcPr>
            <w:tcW w:w="363" w:type="pct"/>
            <w:vMerge w:val="continue"/>
            <w:vAlign w:val="center"/>
          </w:tcPr>
          <w:p w14:paraId="70A7EF33">
            <w:pPr>
              <w:adjustRightInd w:val="0"/>
              <w:snapToGrid w:val="0"/>
              <w:jc w:val="center"/>
              <w:rPr>
                <w:rFonts w:ascii="Times New Roman" w:hAnsi="Times New Roman" w:cs="Times New Roman"/>
                <w:color w:val="auto"/>
                <w:sz w:val="21"/>
                <w:lang w:eastAsia="zh-CN"/>
              </w:rPr>
            </w:pPr>
          </w:p>
        </w:tc>
        <w:tc>
          <w:tcPr>
            <w:tcW w:w="877" w:type="pct"/>
            <w:vMerge w:val="continue"/>
            <w:vAlign w:val="center"/>
          </w:tcPr>
          <w:p w14:paraId="75905F60">
            <w:pPr>
              <w:adjustRightInd w:val="0"/>
              <w:snapToGrid w:val="0"/>
              <w:jc w:val="center"/>
              <w:rPr>
                <w:rFonts w:ascii="Times New Roman" w:hAnsi="Times New Roman" w:cs="Times New Roman"/>
                <w:color w:val="auto"/>
                <w:sz w:val="21"/>
                <w:lang w:eastAsia="zh-CN"/>
              </w:rPr>
            </w:pPr>
          </w:p>
        </w:tc>
        <w:tc>
          <w:tcPr>
            <w:tcW w:w="435" w:type="pct"/>
            <w:vAlign w:val="center"/>
          </w:tcPr>
          <w:p w14:paraId="3EA7DCC9">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E</w:t>
            </w:r>
          </w:p>
        </w:tc>
        <w:tc>
          <w:tcPr>
            <w:tcW w:w="566" w:type="pct"/>
            <w:vAlign w:val="center"/>
          </w:tcPr>
          <w:p w14:paraId="48CDEF0C">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3360</w:t>
            </w:r>
          </w:p>
        </w:tc>
      </w:tr>
      <w:tr w14:paraId="0D98AE60">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22FFEABE">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18</w:t>
            </w:r>
          </w:p>
        </w:tc>
        <w:tc>
          <w:tcPr>
            <w:tcW w:w="689" w:type="pct"/>
            <w:vAlign w:val="center"/>
          </w:tcPr>
          <w:p w14:paraId="4EDD2F79">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费府寺</w:t>
            </w:r>
          </w:p>
        </w:tc>
        <w:tc>
          <w:tcPr>
            <w:tcW w:w="388" w:type="pct"/>
            <w:vAlign w:val="center"/>
          </w:tcPr>
          <w:p w14:paraId="1673147E">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425</w:t>
            </w:r>
            <w:r>
              <w:rPr>
                <w:rFonts w:hint="eastAsia" w:ascii="Times New Roman" w:hAnsi="Times New Roman" w:cs="Times New Roman"/>
                <w:color w:val="000000" w:themeColor="text1"/>
                <w:sz w:val="21"/>
                <w:lang w:eastAsia="zh-CN"/>
                <w14:textFill>
                  <w14:solidFill>
                    <w14:schemeClr w14:val="tx1"/>
                  </w14:solidFill>
                </w14:textFill>
              </w:rPr>
              <w:t>0</w:t>
            </w:r>
          </w:p>
        </w:tc>
        <w:tc>
          <w:tcPr>
            <w:tcW w:w="423" w:type="pct"/>
            <w:vAlign w:val="center"/>
          </w:tcPr>
          <w:p w14:paraId="57E5EFF4">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14</w:t>
            </w:r>
            <w:r>
              <w:rPr>
                <w:rFonts w:hint="eastAsia" w:ascii="Times New Roman" w:hAnsi="Times New Roman" w:cs="Times New Roman"/>
                <w:color w:val="000000" w:themeColor="text1"/>
                <w:sz w:val="21"/>
                <w:lang w:eastAsia="zh-CN"/>
                <w14:textFill>
                  <w14:solidFill>
                    <w14:schemeClr w14:val="tx1"/>
                  </w14:solidFill>
                </w14:textFill>
              </w:rPr>
              <w:t>30</w:t>
            </w:r>
          </w:p>
        </w:tc>
        <w:tc>
          <w:tcPr>
            <w:tcW w:w="990" w:type="pct"/>
            <w:vAlign w:val="center"/>
          </w:tcPr>
          <w:p w14:paraId="2B3336BD">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约40户，180人</w:t>
            </w:r>
          </w:p>
        </w:tc>
        <w:tc>
          <w:tcPr>
            <w:tcW w:w="363" w:type="pct"/>
            <w:vMerge w:val="continue"/>
            <w:vAlign w:val="center"/>
          </w:tcPr>
          <w:p w14:paraId="66C7B4FE">
            <w:pPr>
              <w:adjustRightInd w:val="0"/>
              <w:snapToGrid w:val="0"/>
              <w:jc w:val="center"/>
              <w:rPr>
                <w:rFonts w:ascii="Times New Roman" w:hAnsi="Times New Roman" w:cs="Times New Roman"/>
                <w:color w:val="auto"/>
                <w:sz w:val="21"/>
                <w:lang w:eastAsia="zh-CN"/>
              </w:rPr>
            </w:pPr>
          </w:p>
        </w:tc>
        <w:tc>
          <w:tcPr>
            <w:tcW w:w="877" w:type="pct"/>
            <w:vMerge w:val="continue"/>
            <w:vAlign w:val="center"/>
          </w:tcPr>
          <w:p w14:paraId="1677674B">
            <w:pPr>
              <w:adjustRightInd w:val="0"/>
              <w:snapToGrid w:val="0"/>
              <w:jc w:val="center"/>
              <w:rPr>
                <w:rFonts w:ascii="Times New Roman" w:hAnsi="Times New Roman" w:cs="Times New Roman"/>
                <w:color w:val="auto"/>
                <w:sz w:val="21"/>
                <w:lang w:eastAsia="zh-CN"/>
              </w:rPr>
            </w:pPr>
          </w:p>
        </w:tc>
        <w:tc>
          <w:tcPr>
            <w:tcW w:w="435" w:type="pct"/>
            <w:vAlign w:val="center"/>
          </w:tcPr>
          <w:p w14:paraId="7DC254C0">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NE</w:t>
            </w:r>
          </w:p>
        </w:tc>
        <w:tc>
          <w:tcPr>
            <w:tcW w:w="566" w:type="pct"/>
            <w:vAlign w:val="center"/>
          </w:tcPr>
          <w:p w14:paraId="233A45E9">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39</w:t>
            </w:r>
            <w:r>
              <w:rPr>
                <w:rFonts w:hint="eastAsia" w:ascii="Times New Roman" w:hAnsi="Times New Roman" w:cs="Times New Roman"/>
                <w:color w:val="000000" w:themeColor="text1"/>
                <w:sz w:val="21"/>
                <w:lang w:eastAsia="zh-CN"/>
                <w14:textFill>
                  <w14:solidFill>
                    <w14:schemeClr w14:val="tx1"/>
                  </w14:solidFill>
                </w14:textFill>
              </w:rPr>
              <w:t>20</w:t>
            </w:r>
          </w:p>
        </w:tc>
      </w:tr>
      <w:tr w14:paraId="5670E56C">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35664B3A">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19</w:t>
            </w:r>
          </w:p>
        </w:tc>
        <w:tc>
          <w:tcPr>
            <w:tcW w:w="689" w:type="pct"/>
            <w:vAlign w:val="center"/>
          </w:tcPr>
          <w:p w14:paraId="3060CC4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大老徐家</w:t>
            </w:r>
          </w:p>
        </w:tc>
        <w:tc>
          <w:tcPr>
            <w:tcW w:w="388" w:type="pct"/>
            <w:vAlign w:val="center"/>
          </w:tcPr>
          <w:p w14:paraId="0C8ABD2E">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431</w:t>
            </w:r>
            <w:r>
              <w:rPr>
                <w:rFonts w:hint="eastAsia" w:ascii="Times New Roman" w:hAnsi="Times New Roman" w:cs="Times New Roman"/>
                <w:color w:val="000000" w:themeColor="text1"/>
                <w:sz w:val="21"/>
                <w:lang w:eastAsia="zh-CN"/>
                <w14:textFill>
                  <w14:solidFill>
                    <w14:schemeClr w14:val="tx1"/>
                  </w14:solidFill>
                </w14:textFill>
              </w:rPr>
              <w:t>0</w:t>
            </w:r>
          </w:p>
        </w:tc>
        <w:tc>
          <w:tcPr>
            <w:tcW w:w="423" w:type="pct"/>
            <w:vAlign w:val="center"/>
          </w:tcPr>
          <w:p w14:paraId="41885651">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-68</w:t>
            </w:r>
            <w:r>
              <w:rPr>
                <w:rFonts w:hint="eastAsia" w:ascii="Times New Roman" w:hAnsi="Times New Roman" w:cs="Times New Roman"/>
                <w:color w:val="000000" w:themeColor="text1"/>
                <w:sz w:val="21"/>
                <w:lang w:eastAsia="zh-CN"/>
                <w14:textFill>
                  <w14:solidFill>
                    <w14:schemeClr w14:val="tx1"/>
                  </w14:solidFill>
                </w14:textFill>
              </w:rPr>
              <w:t>0</w:t>
            </w:r>
          </w:p>
        </w:tc>
        <w:tc>
          <w:tcPr>
            <w:tcW w:w="990" w:type="pct"/>
            <w:vAlign w:val="center"/>
          </w:tcPr>
          <w:p w14:paraId="26643BA4">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约132户，396人</w:t>
            </w:r>
          </w:p>
        </w:tc>
        <w:tc>
          <w:tcPr>
            <w:tcW w:w="363" w:type="pct"/>
            <w:vMerge w:val="continue"/>
            <w:vAlign w:val="center"/>
          </w:tcPr>
          <w:p w14:paraId="6E50D0BA">
            <w:pPr>
              <w:adjustRightInd w:val="0"/>
              <w:snapToGrid w:val="0"/>
              <w:jc w:val="center"/>
              <w:rPr>
                <w:rFonts w:ascii="Times New Roman" w:hAnsi="Times New Roman" w:cs="Times New Roman"/>
                <w:color w:val="auto"/>
                <w:sz w:val="21"/>
                <w:lang w:eastAsia="zh-CN"/>
              </w:rPr>
            </w:pPr>
          </w:p>
        </w:tc>
        <w:tc>
          <w:tcPr>
            <w:tcW w:w="877" w:type="pct"/>
            <w:vMerge w:val="continue"/>
            <w:vAlign w:val="center"/>
          </w:tcPr>
          <w:p w14:paraId="2D645AB8">
            <w:pPr>
              <w:adjustRightInd w:val="0"/>
              <w:snapToGrid w:val="0"/>
              <w:jc w:val="center"/>
              <w:rPr>
                <w:rFonts w:ascii="Times New Roman" w:hAnsi="Times New Roman" w:cs="Times New Roman"/>
                <w:color w:val="auto"/>
                <w:sz w:val="21"/>
                <w:lang w:eastAsia="zh-CN"/>
              </w:rPr>
            </w:pPr>
          </w:p>
        </w:tc>
        <w:tc>
          <w:tcPr>
            <w:tcW w:w="435" w:type="pct"/>
            <w:vAlign w:val="center"/>
          </w:tcPr>
          <w:p w14:paraId="7DF91517">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SE</w:t>
            </w:r>
          </w:p>
        </w:tc>
        <w:tc>
          <w:tcPr>
            <w:tcW w:w="566" w:type="pct"/>
            <w:vAlign w:val="center"/>
          </w:tcPr>
          <w:p w14:paraId="57AB01CC">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41</w:t>
            </w:r>
            <w:r>
              <w:rPr>
                <w:rFonts w:hint="eastAsia" w:ascii="Times New Roman" w:hAnsi="Times New Roman" w:cs="Times New Roman"/>
                <w:color w:val="000000" w:themeColor="text1"/>
                <w:sz w:val="21"/>
                <w:lang w:eastAsia="zh-CN"/>
                <w14:textFill>
                  <w14:solidFill>
                    <w14:schemeClr w14:val="tx1"/>
                  </w14:solidFill>
                </w14:textFill>
              </w:rPr>
              <w:t>90</w:t>
            </w:r>
          </w:p>
        </w:tc>
      </w:tr>
      <w:tr w14:paraId="06B737F0">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441E32CE">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20</w:t>
            </w:r>
          </w:p>
        </w:tc>
        <w:tc>
          <w:tcPr>
            <w:tcW w:w="689" w:type="pct"/>
            <w:vAlign w:val="center"/>
          </w:tcPr>
          <w:p w14:paraId="558FE91E">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二铺</w:t>
            </w:r>
          </w:p>
        </w:tc>
        <w:tc>
          <w:tcPr>
            <w:tcW w:w="388" w:type="pct"/>
            <w:vAlign w:val="center"/>
          </w:tcPr>
          <w:p w14:paraId="0CEF0D67">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6</w:t>
            </w:r>
            <w:r>
              <w:rPr>
                <w:rFonts w:hint="eastAsia" w:ascii="Times New Roman" w:hAnsi="Times New Roman" w:cs="Times New Roman"/>
                <w:color w:val="000000" w:themeColor="text1"/>
                <w:sz w:val="21"/>
                <w:lang w:eastAsia="zh-CN"/>
                <w14:textFill>
                  <w14:solidFill>
                    <w14:schemeClr w14:val="tx1"/>
                  </w14:solidFill>
                </w14:textFill>
              </w:rPr>
              <w:t>10</w:t>
            </w:r>
          </w:p>
        </w:tc>
        <w:tc>
          <w:tcPr>
            <w:tcW w:w="423" w:type="pct"/>
            <w:vAlign w:val="center"/>
          </w:tcPr>
          <w:p w14:paraId="49E1D24D">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-355</w:t>
            </w:r>
            <w:r>
              <w:rPr>
                <w:rFonts w:hint="eastAsia" w:ascii="Times New Roman" w:hAnsi="Times New Roman" w:cs="Times New Roman"/>
                <w:color w:val="000000" w:themeColor="text1"/>
                <w:sz w:val="21"/>
                <w:lang w:eastAsia="zh-CN"/>
                <w14:textFill>
                  <w14:solidFill>
                    <w14:schemeClr w14:val="tx1"/>
                  </w14:solidFill>
                </w14:textFill>
              </w:rPr>
              <w:t>0</w:t>
            </w:r>
          </w:p>
        </w:tc>
        <w:tc>
          <w:tcPr>
            <w:tcW w:w="990" w:type="pct"/>
            <w:vAlign w:val="center"/>
          </w:tcPr>
          <w:p w14:paraId="774DC26A">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约60户，260人</w:t>
            </w:r>
          </w:p>
        </w:tc>
        <w:tc>
          <w:tcPr>
            <w:tcW w:w="363" w:type="pct"/>
            <w:vMerge w:val="continue"/>
            <w:vAlign w:val="center"/>
          </w:tcPr>
          <w:p w14:paraId="7D2852AB">
            <w:pPr>
              <w:adjustRightInd w:val="0"/>
              <w:snapToGrid w:val="0"/>
              <w:jc w:val="center"/>
              <w:rPr>
                <w:rFonts w:ascii="Times New Roman" w:hAnsi="Times New Roman" w:cs="Times New Roman"/>
                <w:color w:val="auto"/>
                <w:sz w:val="21"/>
              </w:rPr>
            </w:pPr>
          </w:p>
        </w:tc>
        <w:tc>
          <w:tcPr>
            <w:tcW w:w="877" w:type="pct"/>
            <w:vMerge w:val="continue"/>
            <w:vAlign w:val="center"/>
          </w:tcPr>
          <w:p w14:paraId="0EF85532">
            <w:pPr>
              <w:adjustRightInd w:val="0"/>
              <w:snapToGrid w:val="0"/>
              <w:jc w:val="center"/>
              <w:rPr>
                <w:rFonts w:ascii="Times New Roman" w:hAnsi="Times New Roman" w:cs="Times New Roman"/>
                <w:color w:val="auto"/>
                <w:sz w:val="21"/>
              </w:rPr>
            </w:pPr>
          </w:p>
        </w:tc>
        <w:tc>
          <w:tcPr>
            <w:tcW w:w="435" w:type="pct"/>
            <w:vAlign w:val="center"/>
          </w:tcPr>
          <w:p w14:paraId="67E9285E">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S</w:t>
            </w:r>
            <w:r>
              <w:rPr>
                <w:rFonts w:hint="eastAsia" w:ascii="Times New Roman" w:hAnsi="Times New Roman" w:cs="Times New Roman"/>
                <w:color w:val="000000" w:themeColor="text1"/>
                <w:sz w:val="21"/>
                <w:lang w:eastAsia="zh-CN"/>
                <w14:textFill>
                  <w14:solidFill>
                    <w14:schemeClr w14:val="tx1"/>
                  </w14:solidFill>
                </w14:textFill>
              </w:rPr>
              <w:t>E</w:t>
            </w:r>
          </w:p>
        </w:tc>
        <w:tc>
          <w:tcPr>
            <w:tcW w:w="566" w:type="pct"/>
            <w:vAlign w:val="center"/>
          </w:tcPr>
          <w:p w14:paraId="76BE89BE">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35</w:t>
            </w:r>
            <w:r>
              <w:rPr>
                <w:rFonts w:hint="eastAsia" w:ascii="Times New Roman" w:hAnsi="Times New Roman" w:cs="Times New Roman"/>
                <w:color w:val="000000" w:themeColor="text1"/>
                <w:sz w:val="21"/>
                <w:lang w:eastAsia="zh-CN"/>
                <w14:textFill>
                  <w14:solidFill>
                    <w14:schemeClr w14:val="tx1"/>
                  </w14:solidFill>
                </w14:textFill>
              </w:rPr>
              <w:t>30</w:t>
            </w:r>
          </w:p>
        </w:tc>
      </w:tr>
      <w:tr w14:paraId="3937B5D0">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3DE993AE">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21</w:t>
            </w:r>
          </w:p>
        </w:tc>
        <w:tc>
          <w:tcPr>
            <w:tcW w:w="689" w:type="pct"/>
            <w:vAlign w:val="center"/>
          </w:tcPr>
          <w:p w14:paraId="44D35B78">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石家</w:t>
            </w:r>
          </w:p>
        </w:tc>
        <w:tc>
          <w:tcPr>
            <w:tcW w:w="388" w:type="pct"/>
            <w:vAlign w:val="center"/>
          </w:tcPr>
          <w:p w14:paraId="7B68DB97">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-14</w:t>
            </w:r>
            <w:r>
              <w:rPr>
                <w:rFonts w:hint="eastAsia" w:ascii="Times New Roman" w:hAnsi="Times New Roman" w:cs="Times New Roman"/>
                <w:color w:val="000000" w:themeColor="text1"/>
                <w:sz w:val="21"/>
                <w:lang w:eastAsia="zh-CN"/>
                <w14:textFill>
                  <w14:solidFill>
                    <w14:schemeClr w14:val="tx1"/>
                  </w14:solidFill>
                </w14:textFill>
              </w:rPr>
              <w:t>10</w:t>
            </w:r>
          </w:p>
        </w:tc>
        <w:tc>
          <w:tcPr>
            <w:tcW w:w="423" w:type="pct"/>
            <w:vAlign w:val="center"/>
          </w:tcPr>
          <w:p w14:paraId="00BD1743">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-428</w:t>
            </w:r>
            <w:r>
              <w:rPr>
                <w:rFonts w:hint="eastAsia" w:ascii="Times New Roman" w:hAnsi="Times New Roman" w:cs="Times New Roman"/>
                <w:color w:val="000000" w:themeColor="text1"/>
                <w:sz w:val="21"/>
                <w:lang w:eastAsia="zh-CN"/>
                <w14:textFill>
                  <w14:solidFill>
                    <w14:schemeClr w14:val="tx1"/>
                  </w14:solidFill>
                </w14:textFill>
              </w:rPr>
              <w:t>0</w:t>
            </w:r>
          </w:p>
        </w:tc>
        <w:tc>
          <w:tcPr>
            <w:tcW w:w="990" w:type="pct"/>
            <w:vAlign w:val="center"/>
          </w:tcPr>
          <w:p w14:paraId="71320BED">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约30户，130人</w:t>
            </w:r>
          </w:p>
        </w:tc>
        <w:tc>
          <w:tcPr>
            <w:tcW w:w="363" w:type="pct"/>
            <w:vMerge w:val="continue"/>
            <w:vAlign w:val="center"/>
          </w:tcPr>
          <w:p w14:paraId="280071D8">
            <w:pPr>
              <w:adjustRightInd w:val="0"/>
              <w:snapToGrid w:val="0"/>
              <w:jc w:val="center"/>
              <w:rPr>
                <w:rFonts w:ascii="Times New Roman" w:hAnsi="Times New Roman" w:cs="Times New Roman"/>
                <w:color w:val="auto"/>
                <w:sz w:val="21"/>
              </w:rPr>
            </w:pPr>
          </w:p>
        </w:tc>
        <w:tc>
          <w:tcPr>
            <w:tcW w:w="877" w:type="pct"/>
            <w:vMerge w:val="continue"/>
            <w:vAlign w:val="center"/>
          </w:tcPr>
          <w:p w14:paraId="341C3C51">
            <w:pPr>
              <w:adjustRightInd w:val="0"/>
              <w:snapToGrid w:val="0"/>
              <w:jc w:val="center"/>
              <w:rPr>
                <w:rFonts w:ascii="Times New Roman" w:hAnsi="Times New Roman" w:cs="Times New Roman"/>
                <w:color w:val="auto"/>
                <w:sz w:val="21"/>
              </w:rPr>
            </w:pPr>
          </w:p>
        </w:tc>
        <w:tc>
          <w:tcPr>
            <w:tcW w:w="435" w:type="pct"/>
            <w:vAlign w:val="center"/>
          </w:tcPr>
          <w:p w14:paraId="3A42C8E4">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SW</w:t>
            </w:r>
          </w:p>
        </w:tc>
        <w:tc>
          <w:tcPr>
            <w:tcW w:w="566" w:type="pct"/>
            <w:vAlign w:val="center"/>
          </w:tcPr>
          <w:p w14:paraId="2F21A806">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447</w:t>
            </w:r>
            <w:r>
              <w:rPr>
                <w:rFonts w:hint="eastAsia" w:ascii="Times New Roman" w:hAnsi="Times New Roman" w:cs="Times New Roman"/>
                <w:color w:val="000000" w:themeColor="text1"/>
                <w:sz w:val="21"/>
                <w:lang w:eastAsia="zh-CN"/>
                <w14:textFill>
                  <w14:solidFill>
                    <w14:schemeClr w14:val="tx1"/>
                  </w14:solidFill>
                </w14:textFill>
              </w:rPr>
              <w:t>0</w:t>
            </w:r>
          </w:p>
        </w:tc>
      </w:tr>
      <w:tr w14:paraId="6E3C6EC3">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2946B8EB">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22</w:t>
            </w:r>
          </w:p>
        </w:tc>
        <w:tc>
          <w:tcPr>
            <w:tcW w:w="689" w:type="pct"/>
            <w:vAlign w:val="center"/>
          </w:tcPr>
          <w:p w14:paraId="1930C65F">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邓庙</w:t>
            </w:r>
          </w:p>
        </w:tc>
        <w:tc>
          <w:tcPr>
            <w:tcW w:w="388" w:type="pct"/>
            <w:vAlign w:val="center"/>
          </w:tcPr>
          <w:p w14:paraId="7F36EA6C">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-35</w:t>
            </w:r>
            <w:r>
              <w:rPr>
                <w:rFonts w:hint="eastAsia" w:ascii="Times New Roman" w:hAnsi="Times New Roman" w:cs="Times New Roman"/>
                <w:color w:val="000000" w:themeColor="text1"/>
                <w:sz w:val="21"/>
                <w:lang w:eastAsia="zh-CN"/>
                <w14:textFill>
                  <w14:solidFill>
                    <w14:schemeClr w14:val="tx1"/>
                  </w14:solidFill>
                </w14:textFill>
              </w:rPr>
              <w:t>50</w:t>
            </w:r>
          </w:p>
        </w:tc>
        <w:tc>
          <w:tcPr>
            <w:tcW w:w="423" w:type="pct"/>
            <w:vAlign w:val="center"/>
          </w:tcPr>
          <w:p w14:paraId="78CC2F1C">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192</w:t>
            </w:r>
            <w:r>
              <w:rPr>
                <w:rFonts w:hint="eastAsia" w:ascii="Times New Roman" w:hAnsi="Times New Roman" w:cs="Times New Roman"/>
                <w:color w:val="000000" w:themeColor="text1"/>
                <w:sz w:val="21"/>
                <w:lang w:eastAsia="zh-CN"/>
                <w14:textFill>
                  <w14:solidFill>
                    <w14:schemeClr w14:val="tx1"/>
                  </w14:solidFill>
                </w14:textFill>
              </w:rPr>
              <w:t>0</w:t>
            </w:r>
          </w:p>
        </w:tc>
        <w:tc>
          <w:tcPr>
            <w:tcW w:w="990" w:type="pct"/>
            <w:vAlign w:val="center"/>
          </w:tcPr>
          <w:p w14:paraId="4C384B5E">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约40户，180人</w:t>
            </w:r>
          </w:p>
        </w:tc>
        <w:tc>
          <w:tcPr>
            <w:tcW w:w="363" w:type="pct"/>
            <w:vMerge w:val="continue"/>
            <w:vAlign w:val="center"/>
          </w:tcPr>
          <w:p w14:paraId="26B03B47">
            <w:pPr>
              <w:adjustRightInd w:val="0"/>
              <w:snapToGrid w:val="0"/>
              <w:jc w:val="center"/>
              <w:rPr>
                <w:rFonts w:ascii="Times New Roman" w:hAnsi="Times New Roman" w:cs="Times New Roman"/>
                <w:color w:val="auto"/>
                <w:sz w:val="21"/>
              </w:rPr>
            </w:pPr>
          </w:p>
        </w:tc>
        <w:tc>
          <w:tcPr>
            <w:tcW w:w="877" w:type="pct"/>
            <w:vMerge w:val="continue"/>
            <w:vAlign w:val="center"/>
          </w:tcPr>
          <w:p w14:paraId="51DEDC5F">
            <w:pPr>
              <w:adjustRightInd w:val="0"/>
              <w:snapToGrid w:val="0"/>
              <w:jc w:val="center"/>
              <w:rPr>
                <w:rFonts w:ascii="Times New Roman" w:hAnsi="Times New Roman" w:cs="Times New Roman"/>
                <w:color w:val="auto"/>
                <w:sz w:val="21"/>
              </w:rPr>
            </w:pPr>
          </w:p>
        </w:tc>
        <w:tc>
          <w:tcPr>
            <w:tcW w:w="435" w:type="pct"/>
            <w:vAlign w:val="center"/>
          </w:tcPr>
          <w:p w14:paraId="6DB91096">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NW</w:t>
            </w:r>
          </w:p>
        </w:tc>
        <w:tc>
          <w:tcPr>
            <w:tcW w:w="566" w:type="pct"/>
            <w:vAlign w:val="center"/>
          </w:tcPr>
          <w:p w14:paraId="6FBE2FCB">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40</w:t>
            </w:r>
            <w:r>
              <w:rPr>
                <w:rFonts w:hint="eastAsia" w:ascii="Times New Roman" w:hAnsi="Times New Roman" w:cs="Times New Roman"/>
                <w:color w:val="000000" w:themeColor="text1"/>
                <w:sz w:val="21"/>
                <w:lang w:eastAsia="zh-CN"/>
                <w14:textFill>
                  <w14:solidFill>
                    <w14:schemeClr w14:val="tx1"/>
                  </w14:solidFill>
                </w14:textFill>
              </w:rPr>
              <w:t>1</w:t>
            </w:r>
            <w:r>
              <w:rPr>
                <w:rFonts w:ascii="Times New Roman" w:hAnsi="Times New Roman" w:cs="Times New Roman"/>
                <w:color w:val="000000" w:themeColor="text1"/>
                <w:sz w:val="21"/>
                <w14:textFill>
                  <w14:solidFill>
                    <w14:schemeClr w14:val="tx1"/>
                  </w14:solidFill>
                </w14:textFill>
              </w:rPr>
              <w:t>0</w:t>
            </w:r>
          </w:p>
        </w:tc>
      </w:tr>
      <w:tr w14:paraId="050A0541">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1F721DF6">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23</w:t>
            </w:r>
          </w:p>
        </w:tc>
        <w:tc>
          <w:tcPr>
            <w:tcW w:w="689" w:type="pct"/>
            <w:vAlign w:val="center"/>
          </w:tcPr>
          <w:p w14:paraId="77F4283A">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任桥</w:t>
            </w:r>
          </w:p>
        </w:tc>
        <w:tc>
          <w:tcPr>
            <w:tcW w:w="388" w:type="pct"/>
            <w:vAlign w:val="center"/>
          </w:tcPr>
          <w:p w14:paraId="6CB82C4F">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-338</w:t>
            </w:r>
            <w:r>
              <w:rPr>
                <w:rFonts w:hint="eastAsia" w:ascii="Times New Roman" w:hAnsi="Times New Roman" w:cs="Times New Roman"/>
                <w:color w:val="000000" w:themeColor="text1"/>
                <w:sz w:val="21"/>
                <w:lang w:eastAsia="zh-CN"/>
                <w14:textFill>
                  <w14:solidFill>
                    <w14:schemeClr w14:val="tx1"/>
                  </w14:solidFill>
                </w14:textFill>
              </w:rPr>
              <w:t>0</w:t>
            </w:r>
          </w:p>
        </w:tc>
        <w:tc>
          <w:tcPr>
            <w:tcW w:w="423" w:type="pct"/>
            <w:vAlign w:val="center"/>
          </w:tcPr>
          <w:p w14:paraId="7088BA9F">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30</w:t>
            </w:r>
            <w:r>
              <w:rPr>
                <w:rFonts w:hint="eastAsia" w:ascii="Times New Roman" w:hAnsi="Times New Roman" w:cs="Times New Roman"/>
                <w:color w:val="000000" w:themeColor="text1"/>
                <w:sz w:val="21"/>
                <w:lang w:eastAsia="zh-CN"/>
                <w14:textFill>
                  <w14:solidFill>
                    <w14:schemeClr w14:val="tx1"/>
                  </w14:solidFill>
                </w14:textFill>
              </w:rPr>
              <w:t>80</w:t>
            </w:r>
          </w:p>
        </w:tc>
        <w:tc>
          <w:tcPr>
            <w:tcW w:w="990" w:type="pct"/>
            <w:vAlign w:val="center"/>
          </w:tcPr>
          <w:p w14:paraId="486C6391">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约45户，135人</w:t>
            </w:r>
          </w:p>
        </w:tc>
        <w:tc>
          <w:tcPr>
            <w:tcW w:w="363" w:type="pct"/>
            <w:vMerge w:val="continue"/>
            <w:vAlign w:val="center"/>
          </w:tcPr>
          <w:p w14:paraId="01348A9F">
            <w:pPr>
              <w:adjustRightInd w:val="0"/>
              <w:snapToGrid w:val="0"/>
              <w:jc w:val="center"/>
              <w:rPr>
                <w:rFonts w:ascii="Times New Roman" w:hAnsi="Times New Roman" w:cs="Times New Roman"/>
                <w:color w:val="auto"/>
                <w:sz w:val="21"/>
              </w:rPr>
            </w:pPr>
          </w:p>
        </w:tc>
        <w:tc>
          <w:tcPr>
            <w:tcW w:w="877" w:type="pct"/>
            <w:vMerge w:val="continue"/>
            <w:vAlign w:val="center"/>
          </w:tcPr>
          <w:p w14:paraId="57B69A2D">
            <w:pPr>
              <w:adjustRightInd w:val="0"/>
              <w:snapToGrid w:val="0"/>
              <w:jc w:val="center"/>
              <w:rPr>
                <w:rFonts w:ascii="Times New Roman" w:hAnsi="Times New Roman" w:cs="Times New Roman"/>
                <w:color w:val="auto"/>
                <w:sz w:val="21"/>
              </w:rPr>
            </w:pPr>
          </w:p>
        </w:tc>
        <w:tc>
          <w:tcPr>
            <w:tcW w:w="435" w:type="pct"/>
            <w:vAlign w:val="center"/>
          </w:tcPr>
          <w:p w14:paraId="134594D5">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NW</w:t>
            </w:r>
          </w:p>
        </w:tc>
        <w:tc>
          <w:tcPr>
            <w:tcW w:w="566" w:type="pct"/>
            <w:vAlign w:val="center"/>
          </w:tcPr>
          <w:p w14:paraId="6F6B5E3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45</w:t>
            </w:r>
            <w:r>
              <w:rPr>
                <w:rFonts w:hint="eastAsia" w:ascii="Times New Roman" w:hAnsi="Times New Roman" w:cs="Times New Roman"/>
                <w:color w:val="000000" w:themeColor="text1"/>
                <w:sz w:val="21"/>
                <w:lang w:eastAsia="zh-CN"/>
                <w14:textFill>
                  <w14:solidFill>
                    <w14:schemeClr w14:val="tx1"/>
                  </w14:solidFill>
                </w14:textFill>
              </w:rPr>
              <w:t>10</w:t>
            </w:r>
          </w:p>
        </w:tc>
      </w:tr>
      <w:tr w14:paraId="4253F03E">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6C783499">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24</w:t>
            </w:r>
          </w:p>
        </w:tc>
        <w:tc>
          <w:tcPr>
            <w:tcW w:w="689" w:type="pct"/>
            <w:vAlign w:val="center"/>
          </w:tcPr>
          <w:p w14:paraId="5A86D54E">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李圩子</w:t>
            </w:r>
          </w:p>
        </w:tc>
        <w:tc>
          <w:tcPr>
            <w:tcW w:w="388" w:type="pct"/>
            <w:vAlign w:val="center"/>
          </w:tcPr>
          <w:p w14:paraId="01B1F7C4">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-39</w:t>
            </w:r>
            <w:r>
              <w:rPr>
                <w:rFonts w:hint="eastAsia" w:ascii="Times New Roman" w:hAnsi="Times New Roman" w:cs="Times New Roman"/>
                <w:color w:val="000000" w:themeColor="text1"/>
                <w:sz w:val="21"/>
                <w:lang w:eastAsia="zh-CN"/>
                <w14:textFill>
                  <w14:solidFill>
                    <w14:schemeClr w14:val="tx1"/>
                  </w14:solidFill>
                </w14:textFill>
              </w:rPr>
              <w:t>80</w:t>
            </w:r>
          </w:p>
        </w:tc>
        <w:tc>
          <w:tcPr>
            <w:tcW w:w="423" w:type="pct"/>
            <w:vAlign w:val="center"/>
          </w:tcPr>
          <w:p w14:paraId="237AD94B">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25</w:t>
            </w:r>
            <w:r>
              <w:rPr>
                <w:rFonts w:hint="eastAsia" w:ascii="Times New Roman" w:hAnsi="Times New Roman" w:cs="Times New Roman"/>
                <w:color w:val="000000" w:themeColor="text1"/>
                <w:sz w:val="21"/>
                <w:lang w:eastAsia="zh-CN"/>
                <w14:textFill>
                  <w14:solidFill>
                    <w14:schemeClr w14:val="tx1"/>
                  </w14:solidFill>
                </w14:textFill>
              </w:rPr>
              <w:t>20</w:t>
            </w:r>
          </w:p>
        </w:tc>
        <w:tc>
          <w:tcPr>
            <w:tcW w:w="990" w:type="pct"/>
            <w:vAlign w:val="center"/>
          </w:tcPr>
          <w:p w14:paraId="3AEEE9D7">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约55户，165人</w:t>
            </w:r>
          </w:p>
        </w:tc>
        <w:tc>
          <w:tcPr>
            <w:tcW w:w="363" w:type="pct"/>
            <w:vMerge w:val="continue"/>
            <w:vAlign w:val="center"/>
          </w:tcPr>
          <w:p w14:paraId="7A8DB48B">
            <w:pPr>
              <w:adjustRightInd w:val="0"/>
              <w:snapToGrid w:val="0"/>
              <w:jc w:val="center"/>
              <w:rPr>
                <w:rFonts w:ascii="Times New Roman" w:hAnsi="Times New Roman" w:cs="Times New Roman"/>
                <w:color w:val="auto"/>
                <w:sz w:val="21"/>
              </w:rPr>
            </w:pPr>
          </w:p>
        </w:tc>
        <w:tc>
          <w:tcPr>
            <w:tcW w:w="877" w:type="pct"/>
            <w:vMerge w:val="continue"/>
            <w:vAlign w:val="center"/>
          </w:tcPr>
          <w:p w14:paraId="295437BA">
            <w:pPr>
              <w:adjustRightInd w:val="0"/>
              <w:snapToGrid w:val="0"/>
              <w:jc w:val="center"/>
              <w:rPr>
                <w:rFonts w:ascii="Times New Roman" w:hAnsi="Times New Roman" w:cs="Times New Roman"/>
                <w:color w:val="auto"/>
                <w:sz w:val="21"/>
              </w:rPr>
            </w:pPr>
          </w:p>
        </w:tc>
        <w:tc>
          <w:tcPr>
            <w:tcW w:w="435" w:type="pct"/>
            <w:vAlign w:val="center"/>
          </w:tcPr>
          <w:p w14:paraId="1EEA9E88">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NW</w:t>
            </w:r>
          </w:p>
        </w:tc>
        <w:tc>
          <w:tcPr>
            <w:tcW w:w="566" w:type="pct"/>
            <w:vAlign w:val="center"/>
          </w:tcPr>
          <w:p w14:paraId="29D0979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45</w:t>
            </w:r>
            <w:r>
              <w:rPr>
                <w:rFonts w:hint="eastAsia" w:ascii="Times New Roman" w:hAnsi="Times New Roman" w:cs="Times New Roman"/>
                <w:color w:val="000000" w:themeColor="text1"/>
                <w:sz w:val="21"/>
                <w:lang w:eastAsia="zh-CN"/>
                <w14:textFill>
                  <w14:solidFill>
                    <w14:schemeClr w14:val="tx1"/>
                  </w14:solidFill>
                </w14:textFill>
              </w:rPr>
              <w:t>50</w:t>
            </w:r>
          </w:p>
        </w:tc>
      </w:tr>
      <w:tr w14:paraId="68ADA487">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29344E72">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25</w:t>
            </w:r>
          </w:p>
        </w:tc>
        <w:tc>
          <w:tcPr>
            <w:tcW w:w="689" w:type="pct"/>
            <w:vAlign w:val="center"/>
          </w:tcPr>
          <w:p w14:paraId="56B22FAC">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曹吴村</w:t>
            </w:r>
          </w:p>
        </w:tc>
        <w:tc>
          <w:tcPr>
            <w:tcW w:w="388" w:type="pct"/>
            <w:vAlign w:val="center"/>
          </w:tcPr>
          <w:p w14:paraId="0CDBC589">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-448</w:t>
            </w:r>
            <w:r>
              <w:rPr>
                <w:rFonts w:hint="eastAsia" w:ascii="Times New Roman" w:hAnsi="Times New Roman" w:cs="Times New Roman"/>
                <w:color w:val="000000" w:themeColor="text1"/>
                <w:sz w:val="21"/>
                <w:lang w:eastAsia="zh-CN"/>
                <w14:textFill>
                  <w14:solidFill>
                    <w14:schemeClr w14:val="tx1"/>
                  </w14:solidFill>
                </w14:textFill>
              </w:rPr>
              <w:t>0</w:t>
            </w:r>
          </w:p>
        </w:tc>
        <w:tc>
          <w:tcPr>
            <w:tcW w:w="423" w:type="pct"/>
            <w:vAlign w:val="center"/>
          </w:tcPr>
          <w:p w14:paraId="6635C96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19</w:t>
            </w:r>
            <w:r>
              <w:rPr>
                <w:rFonts w:hint="eastAsia" w:ascii="Times New Roman" w:hAnsi="Times New Roman" w:cs="Times New Roman"/>
                <w:color w:val="000000" w:themeColor="text1"/>
                <w:sz w:val="21"/>
                <w:lang w:eastAsia="zh-CN"/>
                <w14:textFill>
                  <w14:solidFill>
                    <w14:schemeClr w14:val="tx1"/>
                  </w14:solidFill>
                </w14:textFill>
              </w:rPr>
              <w:t>10</w:t>
            </w:r>
          </w:p>
        </w:tc>
        <w:tc>
          <w:tcPr>
            <w:tcW w:w="990" w:type="pct"/>
            <w:vAlign w:val="center"/>
          </w:tcPr>
          <w:p w14:paraId="387C2379">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约30户，130人</w:t>
            </w:r>
          </w:p>
        </w:tc>
        <w:tc>
          <w:tcPr>
            <w:tcW w:w="363" w:type="pct"/>
            <w:vMerge w:val="continue"/>
            <w:vAlign w:val="center"/>
          </w:tcPr>
          <w:p w14:paraId="0D69B57F">
            <w:pPr>
              <w:adjustRightInd w:val="0"/>
              <w:snapToGrid w:val="0"/>
              <w:jc w:val="center"/>
              <w:rPr>
                <w:rFonts w:ascii="Times New Roman" w:hAnsi="Times New Roman" w:cs="Times New Roman"/>
                <w:color w:val="auto"/>
                <w:sz w:val="21"/>
              </w:rPr>
            </w:pPr>
          </w:p>
        </w:tc>
        <w:tc>
          <w:tcPr>
            <w:tcW w:w="877" w:type="pct"/>
            <w:vMerge w:val="continue"/>
            <w:vAlign w:val="center"/>
          </w:tcPr>
          <w:p w14:paraId="2B648921">
            <w:pPr>
              <w:adjustRightInd w:val="0"/>
              <w:snapToGrid w:val="0"/>
              <w:jc w:val="center"/>
              <w:rPr>
                <w:rFonts w:ascii="Times New Roman" w:hAnsi="Times New Roman" w:cs="Times New Roman"/>
                <w:color w:val="auto"/>
                <w:sz w:val="21"/>
              </w:rPr>
            </w:pPr>
          </w:p>
        </w:tc>
        <w:tc>
          <w:tcPr>
            <w:tcW w:w="435" w:type="pct"/>
            <w:vAlign w:val="center"/>
          </w:tcPr>
          <w:p w14:paraId="4AED6F1C">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NW</w:t>
            </w:r>
          </w:p>
        </w:tc>
        <w:tc>
          <w:tcPr>
            <w:tcW w:w="566" w:type="pct"/>
            <w:vAlign w:val="center"/>
          </w:tcPr>
          <w:p w14:paraId="11CC60E3">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47</w:t>
            </w:r>
            <w:r>
              <w:rPr>
                <w:rFonts w:hint="eastAsia" w:ascii="Times New Roman" w:hAnsi="Times New Roman" w:cs="Times New Roman"/>
                <w:color w:val="000000" w:themeColor="text1"/>
                <w:sz w:val="21"/>
                <w:lang w:eastAsia="zh-CN"/>
                <w14:textFill>
                  <w14:solidFill>
                    <w14:schemeClr w14:val="tx1"/>
                  </w14:solidFill>
                </w14:textFill>
              </w:rPr>
              <w:t>50</w:t>
            </w:r>
          </w:p>
        </w:tc>
      </w:tr>
      <w:tr w14:paraId="4ADAC8B7">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688DB47E">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26</w:t>
            </w:r>
          </w:p>
        </w:tc>
        <w:tc>
          <w:tcPr>
            <w:tcW w:w="689" w:type="pct"/>
            <w:vAlign w:val="center"/>
          </w:tcPr>
          <w:p w14:paraId="1F5243BB">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小石家</w:t>
            </w:r>
          </w:p>
        </w:tc>
        <w:tc>
          <w:tcPr>
            <w:tcW w:w="388" w:type="pct"/>
            <w:vAlign w:val="center"/>
          </w:tcPr>
          <w:p w14:paraId="31FD1D60">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-45</w:t>
            </w:r>
            <w:r>
              <w:rPr>
                <w:rFonts w:hint="eastAsia" w:ascii="Times New Roman" w:hAnsi="Times New Roman" w:cs="Times New Roman"/>
                <w:color w:val="000000" w:themeColor="text1"/>
                <w:sz w:val="21"/>
                <w:lang w:eastAsia="zh-CN"/>
                <w14:textFill>
                  <w14:solidFill>
                    <w14:schemeClr w14:val="tx1"/>
                  </w14:solidFill>
                </w14:textFill>
              </w:rPr>
              <w:t>30</w:t>
            </w:r>
          </w:p>
        </w:tc>
        <w:tc>
          <w:tcPr>
            <w:tcW w:w="423" w:type="pct"/>
            <w:vAlign w:val="center"/>
          </w:tcPr>
          <w:p w14:paraId="565CA771">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6</w:t>
            </w:r>
            <w:r>
              <w:rPr>
                <w:rFonts w:hint="eastAsia" w:ascii="Times New Roman" w:hAnsi="Times New Roman" w:cs="Times New Roman"/>
                <w:color w:val="000000" w:themeColor="text1"/>
                <w:sz w:val="21"/>
                <w:lang w:eastAsia="zh-CN"/>
                <w14:textFill>
                  <w14:solidFill>
                    <w14:schemeClr w14:val="tx1"/>
                  </w14:solidFill>
                </w14:textFill>
              </w:rPr>
              <w:t>30</w:t>
            </w:r>
          </w:p>
        </w:tc>
        <w:tc>
          <w:tcPr>
            <w:tcW w:w="990" w:type="pct"/>
            <w:vAlign w:val="center"/>
          </w:tcPr>
          <w:p w14:paraId="3B908367">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约35户，145人</w:t>
            </w:r>
          </w:p>
        </w:tc>
        <w:tc>
          <w:tcPr>
            <w:tcW w:w="363" w:type="pct"/>
            <w:vMerge w:val="continue"/>
            <w:vAlign w:val="center"/>
          </w:tcPr>
          <w:p w14:paraId="320DC8BB">
            <w:pPr>
              <w:adjustRightInd w:val="0"/>
              <w:snapToGrid w:val="0"/>
              <w:jc w:val="center"/>
              <w:rPr>
                <w:rFonts w:ascii="Times New Roman" w:hAnsi="Times New Roman" w:cs="Times New Roman"/>
                <w:color w:val="auto"/>
                <w:sz w:val="21"/>
              </w:rPr>
            </w:pPr>
          </w:p>
        </w:tc>
        <w:tc>
          <w:tcPr>
            <w:tcW w:w="877" w:type="pct"/>
            <w:vMerge w:val="continue"/>
            <w:vAlign w:val="center"/>
          </w:tcPr>
          <w:p w14:paraId="55DA7E41">
            <w:pPr>
              <w:adjustRightInd w:val="0"/>
              <w:snapToGrid w:val="0"/>
              <w:jc w:val="center"/>
              <w:rPr>
                <w:rFonts w:ascii="Times New Roman" w:hAnsi="Times New Roman" w:cs="Times New Roman"/>
                <w:color w:val="auto"/>
                <w:sz w:val="21"/>
              </w:rPr>
            </w:pPr>
          </w:p>
        </w:tc>
        <w:tc>
          <w:tcPr>
            <w:tcW w:w="435" w:type="pct"/>
            <w:vAlign w:val="center"/>
          </w:tcPr>
          <w:p w14:paraId="3A2A7907">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W</w:t>
            </w:r>
          </w:p>
        </w:tc>
        <w:tc>
          <w:tcPr>
            <w:tcW w:w="566" w:type="pct"/>
            <w:vAlign w:val="center"/>
          </w:tcPr>
          <w:p w14:paraId="0A71CD39">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45</w:t>
            </w:r>
            <w:r>
              <w:rPr>
                <w:rFonts w:hint="eastAsia" w:ascii="Times New Roman" w:hAnsi="Times New Roman" w:cs="Times New Roman"/>
                <w:color w:val="000000" w:themeColor="text1"/>
                <w:sz w:val="21"/>
                <w:lang w:eastAsia="zh-CN"/>
                <w14:textFill>
                  <w14:solidFill>
                    <w14:schemeClr w14:val="tx1"/>
                  </w14:solidFill>
                </w14:textFill>
              </w:rPr>
              <w:t>40</w:t>
            </w:r>
          </w:p>
        </w:tc>
      </w:tr>
      <w:tr w14:paraId="543AE5DC">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4652F97C">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27</w:t>
            </w:r>
          </w:p>
        </w:tc>
        <w:tc>
          <w:tcPr>
            <w:tcW w:w="689" w:type="pct"/>
            <w:vAlign w:val="center"/>
          </w:tcPr>
          <w:p w14:paraId="7839DE30">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小周家</w:t>
            </w:r>
          </w:p>
        </w:tc>
        <w:tc>
          <w:tcPr>
            <w:tcW w:w="388" w:type="pct"/>
            <w:vAlign w:val="center"/>
          </w:tcPr>
          <w:p w14:paraId="5F0DD6F7">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-8</w:t>
            </w:r>
            <w:r>
              <w:rPr>
                <w:rFonts w:hint="eastAsia" w:ascii="Times New Roman" w:hAnsi="Times New Roman" w:cs="Times New Roman"/>
                <w:color w:val="000000" w:themeColor="text1"/>
                <w:sz w:val="21"/>
                <w:lang w:eastAsia="zh-CN"/>
                <w14:textFill>
                  <w14:solidFill>
                    <w14:schemeClr w14:val="tx1"/>
                  </w14:solidFill>
                </w14:textFill>
              </w:rPr>
              <w:t>0</w:t>
            </w:r>
          </w:p>
        </w:tc>
        <w:tc>
          <w:tcPr>
            <w:tcW w:w="423" w:type="pct"/>
            <w:vAlign w:val="center"/>
          </w:tcPr>
          <w:p w14:paraId="30FCA191">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4</w:t>
            </w:r>
            <w:r>
              <w:rPr>
                <w:rFonts w:hint="eastAsia" w:ascii="Times New Roman" w:hAnsi="Times New Roman" w:cs="Times New Roman"/>
                <w:color w:val="000000" w:themeColor="text1"/>
                <w:sz w:val="21"/>
                <w:lang w:eastAsia="zh-CN"/>
                <w14:textFill>
                  <w14:solidFill>
                    <w14:schemeClr w14:val="tx1"/>
                  </w14:solidFill>
                </w14:textFill>
              </w:rPr>
              <w:t>900</w:t>
            </w:r>
          </w:p>
        </w:tc>
        <w:tc>
          <w:tcPr>
            <w:tcW w:w="990" w:type="pct"/>
            <w:vAlign w:val="center"/>
          </w:tcPr>
          <w:p w14:paraId="66CEF75D">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约13户，39人</w:t>
            </w:r>
          </w:p>
        </w:tc>
        <w:tc>
          <w:tcPr>
            <w:tcW w:w="363" w:type="pct"/>
            <w:vMerge w:val="continue"/>
            <w:vAlign w:val="center"/>
          </w:tcPr>
          <w:p w14:paraId="2CF493C3">
            <w:pPr>
              <w:adjustRightInd w:val="0"/>
              <w:snapToGrid w:val="0"/>
              <w:jc w:val="center"/>
              <w:rPr>
                <w:rFonts w:ascii="Times New Roman" w:hAnsi="Times New Roman" w:cs="Times New Roman"/>
                <w:color w:val="auto"/>
                <w:sz w:val="21"/>
              </w:rPr>
            </w:pPr>
          </w:p>
        </w:tc>
        <w:tc>
          <w:tcPr>
            <w:tcW w:w="877" w:type="pct"/>
            <w:vMerge w:val="continue"/>
            <w:vAlign w:val="center"/>
          </w:tcPr>
          <w:p w14:paraId="3DD565AC">
            <w:pPr>
              <w:adjustRightInd w:val="0"/>
              <w:snapToGrid w:val="0"/>
              <w:jc w:val="center"/>
              <w:rPr>
                <w:rFonts w:ascii="Times New Roman" w:hAnsi="Times New Roman" w:cs="Times New Roman"/>
                <w:color w:val="auto"/>
                <w:sz w:val="21"/>
              </w:rPr>
            </w:pPr>
          </w:p>
        </w:tc>
        <w:tc>
          <w:tcPr>
            <w:tcW w:w="435" w:type="pct"/>
            <w:vAlign w:val="center"/>
          </w:tcPr>
          <w:p w14:paraId="3EAA5C6A">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NW</w:t>
            </w:r>
          </w:p>
        </w:tc>
        <w:tc>
          <w:tcPr>
            <w:tcW w:w="566" w:type="pct"/>
            <w:vAlign w:val="center"/>
          </w:tcPr>
          <w:p w14:paraId="28A81BB0">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4820</w:t>
            </w:r>
          </w:p>
        </w:tc>
      </w:tr>
      <w:tr w14:paraId="4734DB69">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7291083A">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28</w:t>
            </w:r>
          </w:p>
        </w:tc>
        <w:tc>
          <w:tcPr>
            <w:tcW w:w="689" w:type="pct"/>
            <w:vAlign w:val="center"/>
          </w:tcPr>
          <w:p w14:paraId="40F59B12">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横岭村</w:t>
            </w:r>
          </w:p>
        </w:tc>
        <w:tc>
          <w:tcPr>
            <w:tcW w:w="388" w:type="pct"/>
            <w:vAlign w:val="center"/>
          </w:tcPr>
          <w:p w14:paraId="294AE113">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7</w:t>
            </w:r>
            <w:r>
              <w:rPr>
                <w:rFonts w:hint="eastAsia" w:ascii="Times New Roman" w:hAnsi="Times New Roman" w:cs="Times New Roman"/>
                <w:color w:val="000000" w:themeColor="text1"/>
                <w:sz w:val="21"/>
                <w:lang w:eastAsia="zh-CN"/>
                <w14:textFill>
                  <w14:solidFill>
                    <w14:schemeClr w14:val="tx1"/>
                  </w14:solidFill>
                </w14:textFill>
              </w:rPr>
              <w:t>10</w:t>
            </w:r>
          </w:p>
        </w:tc>
        <w:tc>
          <w:tcPr>
            <w:tcW w:w="423" w:type="pct"/>
            <w:vAlign w:val="center"/>
          </w:tcPr>
          <w:p w14:paraId="38A9601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497</w:t>
            </w:r>
            <w:r>
              <w:rPr>
                <w:rFonts w:hint="eastAsia" w:ascii="Times New Roman" w:hAnsi="Times New Roman" w:cs="Times New Roman"/>
                <w:color w:val="000000" w:themeColor="text1"/>
                <w:sz w:val="21"/>
                <w:lang w:eastAsia="zh-CN"/>
                <w14:textFill>
                  <w14:solidFill>
                    <w14:schemeClr w14:val="tx1"/>
                  </w14:solidFill>
                </w14:textFill>
              </w:rPr>
              <w:t>0</w:t>
            </w:r>
          </w:p>
        </w:tc>
        <w:tc>
          <w:tcPr>
            <w:tcW w:w="990" w:type="pct"/>
            <w:vAlign w:val="center"/>
          </w:tcPr>
          <w:p w14:paraId="54D7D8B9">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约20户，60人</w:t>
            </w:r>
          </w:p>
        </w:tc>
        <w:tc>
          <w:tcPr>
            <w:tcW w:w="363" w:type="pct"/>
            <w:vMerge w:val="continue"/>
            <w:vAlign w:val="center"/>
          </w:tcPr>
          <w:p w14:paraId="77A21BE7">
            <w:pPr>
              <w:adjustRightInd w:val="0"/>
              <w:snapToGrid w:val="0"/>
              <w:jc w:val="center"/>
              <w:rPr>
                <w:rFonts w:ascii="Times New Roman" w:hAnsi="Times New Roman" w:cs="Times New Roman"/>
                <w:color w:val="auto"/>
                <w:sz w:val="21"/>
              </w:rPr>
            </w:pPr>
          </w:p>
        </w:tc>
        <w:tc>
          <w:tcPr>
            <w:tcW w:w="877" w:type="pct"/>
            <w:vMerge w:val="continue"/>
            <w:vAlign w:val="center"/>
          </w:tcPr>
          <w:p w14:paraId="21155FEF">
            <w:pPr>
              <w:adjustRightInd w:val="0"/>
              <w:snapToGrid w:val="0"/>
              <w:jc w:val="center"/>
              <w:rPr>
                <w:rFonts w:ascii="Times New Roman" w:hAnsi="Times New Roman" w:cs="Times New Roman"/>
                <w:color w:val="auto"/>
                <w:sz w:val="21"/>
              </w:rPr>
            </w:pPr>
          </w:p>
        </w:tc>
        <w:tc>
          <w:tcPr>
            <w:tcW w:w="435" w:type="pct"/>
            <w:vAlign w:val="center"/>
          </w:tcPr>
          <w:p w14:paraId="4C0E26C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N</w:t>
            </w:r>
            <w:r>
              <w:rPr>
                <w:rFonts w:hint="eastAsia" w:ascii="Times New Roman" w:hAnsi="Times New Roman" w:cs="Times New Roman"/>
                <w:color w:val="000000" w:themeColor="text1"/>
                <w:sz w:val="21"/>
                <w:lang w:eastAsia="zh-CN"/>
                <w14:textFill>
                  <w14:solidFill>
                    <w14:schemeClr w14:val="tx1"/>
                  </w14:solidFill>
                </w14:textFill>
              </w:rPr>
              <w:t>E</w:t>
            </w:r>
          </w:p>
        </w:tc>
        <w:tc>
          <w:tcPr>
            <w:tcW w:w="566" w:type="pct"/>
            <w:vAlign w:val="center"/>
          </w:tcPr>
          <w:p w14:paraId="55F23054">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4850</w:t>
            </w:r>
          </w:p>
        </w:tc>
      </w:tr>
      <w:tr w14:paraId="46A19289">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51D21D44">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29</w:t>
            </w:r>
          </w:p>
        </w:tc>
        <w:tc>
          <w:tcPr>
            <w:tcW w:w="689" w:type="pct"/>
            <w:vAlign w:val="center"/>
          </w:tcPr>
          <w:p w14:paraId="04B9968B">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李洼</w:t>
            </w:r>
          </w:p>
        </w:tc>
        <w:tc>
          <w:tcPr>
            <w:tcW w:w="388" w:type="pct"/>
            <w:vAlign w:val="center"/>
          </w:tcPr>
          <w:p w14:paraId="5ED107FE">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4370</w:t>
            </w:r>
          </w:p>
        </w:tc>
        <w:tc>
          <w:tcPr>
            <w:tcW w:w="423" w:type="pct"/>
            <w:vAlign w:val="center"/>
          </w:tcPr>
          <w:p w14:paraId="142C8FA4">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43</w:t>
            </w:r>
            <w:r>
              <w:rPr>
                <w:rFonts w:ascii="Times New Roman" w:hAnsi="Times New Roman" w:cs="Times New Roman"/>
                <w:color w:val="auto"/>
                <w:sz w:val="21"/>
                <w:lang w:eastAsia="zh-CN"/>
              </w:rPr>
              <w:t>0</w:t>
            </w:r>
          </w:p>
        </w:tc>
        <w:tc>
          <w:tcPr>
            <w:tcW w:w="990" w:type="pct"/>
            <w:vAlign w:val="center"/>
          </w:tcPr>
          <w:p w14:paraId="0C8F3D6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约</w:t>
            </w:r>
            <w:r>
              <w:rPr>
                <w:rFonts w:ascii="Times New Roman" w:hAnsi="Times New Roman" w:cs="Times New Roman"/>
                <w:color w:val="auto"/>
                <w:sz w:val="21"/>
                <w:lang w:eastAsia="zh-CN"/>
              </w:rPr>
              <w:t>7</w:t>
            </w:r>
            <w:r>
              <w:rPr>
                <w:rFonts w:hint="eastAsia" w:ascii="Times New Roman" w:hAnsi="Times New Roman" w:cs="Times New Roman"/>
                <w:color w:val="auto"/>
                <w:sz w:val="21"/>
                <w:lang w:eastAsia="zh-CN"/>
              </w:rPr>
              <w:t>5</w:t>
            </w:r>
            <w:r>
              <w:rPr>
                <w:rFonts w:ascii="Times New Roman" w:hAnsi="Times New Roman" w:cs="Times New Roman"/>
                <w:color w:val="auto"/>
                <w:sz w:val="21"/>
              </w:rPr>
              <w:t>户，</w:t>
            </w:r>
            <w:r>
              <w:rPr>
                <w:rFonts w:ascii="Times New Roman" w:hAnsi="Times New Roman" w:cs="Times New Roman"/>
                <w:color w:val="auto"/>
                <w:sz w:val="21"/>
                <w:lang w:eastAsia="zh-CN"/>
              </w:rPr>
              <w:t>2</w:t>
            </w:r>
            <w:r>
              <w:rPr>
                <w:rFonts w:hint="eastAsia" w:ascii="Times New Roman" w:hAnsi="Times New Roman" w:cs="Times New Roman"/>
                <w:color w:val="auto"/>
                <w:sz w:val="21"/>
                <w:lang w:eastAsia="zh-CN"/>
              </w:rPr>
              <w:t>3</w:t>
            </w:r>
            <w:r>
              <w:rPr>
                <w:rFonts w:ascii="Times New Roman" w:hAnsi="Times New Roman" w:cs="Times New Roman"/>
                <w:color w:val="auto"/>
                <w:sz w:val="21"/>
                <w:lang w:eastAsia="zh-CN"/>
              </w:rPr>
              <w:t>0</w:t>
            </w:r>
            <w:r>
              <w:rPr>
                <w:rFonts w:ascii="Times New Roman" w:hAnsi="Times New Roman" w:cs="Times New Roman"/>
                <w:color w:val="auto"/>
                <w:sz w:val="21"/>
              </w:rPr>
              <w:t>人</w:t>
            </w:r>
          </w:p>
        </w:tc>
        <w:tc>
          <w:tcPr>
            <w:tcW w:w="363" w:type="pct"/>
            <w:vMerge w:val="continue"/>
            <w:vAlign w:val="center"/>
          </w:tcPr>
          <w:p w14:paraId="6E3456F0">
            <w:pPr>
              <w:adjustRightInd w:val="0"/>
              <w:snapToGrid w:val="0"/>
              <w:jc w:val="center"/>
              <w:rPr>
                <w:rFonts w:ascii="Times New Roman" w:hAnsi="Times New Roman" w:cs="Times New Roman"/>
                <w:color w:val="auto"/>
                <w:sz w:val="21"/>
              </w:rPr>
            </w:pPr>
          </w:p>
        </w:tc>
        <w:tc>
          <w:tcPr>
            <w:tcW w:w="877" w:type="pct"/>
            <w:vMerge w:val="continue"/>
            <w:vAlign w:val="center"/>
          </w:tcPr>
          <w:p w14:paraId="68F814F2">
            <w:pPr>
              <w:adjustRightInd w:val="0"/>
              <w:snapToGrid w:val="0"/>
              <w:jc w:val="center"/>
              <w:rPr>
                <w:rFonts w:ascii="Times New Roman" w:hAnsi="Times New Roman" w:cs="Times New Roman"/>
                <w:color w:val="auto"/>
                <w:sz w:val="21"/>
              </w:rPr>
            </w:pPr>
          </w:p>
        </w:tc>
        <w:tc>
          <w:tcPr>
            <w:tcW w:w="435" w:type="pct"/>
            <w:vAlign w:val="center"/>
          </w:tcPr>
          <w:p w14:paraId="10486727">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w:t>
            </w:r>
          </w:p>
        </w:tc>
        <w:tc>
          <w:tcPr>
            <w:tcW w:w="566" w:type="pct"/>
            <w:vAlign w:val="center"/>
          </w:tcPr>
          <w:p w14:paraId="44A9F179">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4360</w:t>
            </w:r>
          </w:p>
        </w:tc>
      </w:tr>
      <w:tr w14:paraId="1083F767">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3F7F7AF8">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30</w:t>
            </w:r>
          </w:p>
        </w:tc>
        <w:tc>
          <w:tcPr>
            <w:tcW w:w="689" w:type="pct"/>
            <w:vAlign w:val="center"/>
          </w:tcPr>
          <w:p w14:paraId="189D56D6">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丽豪佳园</w:t>
            </w:r>
          </w:p>
        </w:tc>
        <w:tc>
          <w:tcPr>
            <w:tcW w:w="388" w:type="pct"/>
            <w:vAlign w:val="center"/>
          </w:tcPr>
          <w:p w14:paraId="671901F1">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-4640</w:t>
            </w:r>
          </w:p>
        </w:tc>
        <w:tc>
          <w:tcPr>
            <w:tcW w:w="423" w:type="pct"/>
            <w:vAlign w:val="center"/>
          </w:tcPr>
          <w:p w14:paraId="456C6F37">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8</w:t>
            </w:r>
            <w:r>
              <w:rPr>
                <w:rFonts w:ascii="Times New Roman" w:hAnsi="Times New Roman" w:cs="Times New Roman"/>
                <w:color w:val="auto"/>
                <w:sz w:val="21"/>
                <w:lang w:eastAsia="zh-CN"/>
              </w:rPr>
              <w:t>0</w:t>
            </w:r>
          </w:p>
        </w:tc>
        <w:tc>
          <w:tcPr>
            <w:tcW w:w="990" w:type="pct"/>
            <w:vAlign w:val="center"/>
          </w:tcPr>
          <w:p w14:paraId="6BF363B3">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rPr>
              <w:t>约</w:t>
            </w:r>
            <w:r>
              <w:rPr>
                <w:rFonts w:hint="eastAsia" w:ascii="Times New Roman" w:hAnsi="Times New Roman" w:cs="Times New Roman"/>
                <w:color w:val="auto"/>
                <w:sz w:val="21"/>
                <w:lang w:eastAsia="zh-CN"/>
              </w:rPr>
              <w:t>500</w:t>
            </w:r>
            <w:r>
              <w:rPr>
                <w:rFonts w:ascii="Times New Roman" w:hAnsi="Times New Roman" w:cs="Times New Roman"/>
                <w:color w:val="auto"/>
                <w:sz w:val="21"/>
              </w:rPr>
              <w:t>户，</w:t>
            </w:r>
            <w:r>
              <w:rPr>
                <w:rFonts w:ascii="Times New Roman" w:hAnsi="Times New Roman" w:cs="Times New Roman"/>
                <w:color w:val="auto"/>
                <w:sz w:val="21"/>
                <w:lang w:eastAsia="zh-CN"/>
              </w:rPr>
              <w:t>15</w:t>
            </w:r>
            <w:r>
              <w:rPr>
                <w:rFonts w:ascii="Times New Roman" w:hAnsi="Times New Roman" w:cs="Times New Roman"/>
                <w:color w:val="auto"/>
                <w:sz w:val="21"/>
              </w:rPr>
              <w:t>00人</w:t>
            </w:r>
          </w:p>
        </w:tc>
        <w:tc>
          <w:tcPr>
            <w:tcW w:w="363" w:type="pct"/>
            <w:vMerge w:val="continue"/>
            <w:vAlign w:val="center"/>
          </w:tcPr>
          <w:p w14:paraId="7344B83E">
            <w:pPr>
              <w:adjustRightInd w:val="0"/>
              <w:snapToGrid w:val="0"/>
              <w:jc w:val="center"/>
              <w:rPr>
                <w:rFonts w:ascii="Times New Roman" w:hAnsi="Times New Roman" w:cs="Times New Roman"/>
                <w:color w:val="auto"/>
                <w:sz w:val="21"/>
              </w:rPr>
            </w:pPr>
          </w:p>
        </w:tc>
        <w:tc>
          <w:tcPr>
            <w:tcW w:w="877" w:type="pct"/>
            <w:vMerge w:val="continue"/>
            <w:vAlign w:val="center"/>
          </w:tcPr>
          <w:p w14:paraId="2E5D2A38">
            <w:pPr>
              <w:adjustRightInd w:val="0"/>
              <w:snapToGrid w:val="0"/>
              <w:jc w:val="center"/>
              <w:rPr>
                <w:rFonts w:ascii="Times New Roman" w:hAnsi="Times New Roman" w:cs="Times New Roman"/>
                <w:color w:val="auto"/>
                <w:sz w:val="21"/>
              </w:rPr>
            </w:pPr>
          </w:p>
        </w:tc>
        <w:tc>
          <w:tcPr>
            <w:tcW w:w="435" w:type="pct"/>
            <w:vAlign w:val="center"/>
          </w:tcPr>
          <w:p w14:paraId="47297E62">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S</w:t>
            </w:r>
            <w:r>
              <w:rPr>
                <w:rFonts w:hint="eastAsia" w:ascii="Times New Roman" w:hAnsi="Times New Roman" w:cs="Times New Roman"/>
                <w:color w:val="auto"/>
                <w:sz w:val="21"/>
                <w:lang w:eastAsia="zh-CN"/>
              </w:rPr>
              <w:t>W</w:t>
            </w:r>
          </w:p>
        </w:tc>
        <w:tc>
          <w:tcPr>
            <w:tcW w:w="566" w:type="pct"/>
            <w:vAlign w:val="center"/>
          </w:tcPr>
          <w:p w14:paraId="1DE25FDA">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4730</w:t>
            </w:r>
          </w:p>
        </w:tc>
      </w:tr>
      <w:tr w14:paraId="07BB2586">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Merge w:val="restart"/>
            <w:vAlign w:val="center"/>
          </w:tcPr>
          <w:p w14:paraId="6DC6D94D">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w:t>
            </w:r>
          </w:p>
        </w:tc>
        <w:tc>
          <w:tcPr>
            <w:tcW w:w="1500" w:type="pct"/>
            <w:gridSpan w:val="3"/>
            <w:vAlign w:val="center"/>
          </w:tcPr>
          <w:p w14:paraId="008B4002">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沫冲引河</w:t>
            </w:r>
          </w:p>
        </w:tc>
        <w:tc>
          <w:tcPr>
            <w:tcW w:w="990" w:type="pct"/>
            <w:vAlign w:val="center"/>
          </w:tcPr>
          <w:p w14:paraId="792348E4">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小型河流</w:t>
            </w:r>
          </w:p>
        </w:tc>
        <w:tc>
          <w:tcPr>
            <w:tcW w:w="363" w:type="pct"/>
            <w:vMerge w:val="restart"/>
            <w:vAlign w:val="center"/>
          </w:tcPr>
          <w:p w14:paraId="59B04D90">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地表水环境</w:t>
            </w:r>
          </w:p>
        </w:tc>
        <w:tc>
          <w:tcPr>
            <w:tcW w:w="877" w:type="pct"/>
            <w:vMerge w:val="restart"/>
            <w:vAlign w:val="center"/>
          </w:tcPr>
          <w:p w14:paraId="5B9C608E">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（GB3838-2002）IV类</w:t>
            </w:r>
          </w:p>
        </w:tc>
        <w:tc>
          <w:tcPr>
            <w:tcW w:w="435" w:type="pct"/>
            <w:vAlign w:val="center"/>
          </w:tcPr>
          <w:p w14:paraId="19312039">
            <w:pPr>
              <w:adjustRightInd w:val="0"/>
              <w:snapToGrid w:val="0"/>
              <w:jc w:val="center"/>
              <w:rPr>
                <w:rFonts w:ascii="Times New Roman" w:hAnsi="Times New Roman" w:cs="Times New Roman"/>
                <w:color w:val="auto"/>
                <w:sz w:val="21"/>
                <w:highlight w:val="yellow"/>
                <w:lang w:eastAsia="zh-CN"/>
              </w:rPr>
            </w:pPr>
            <w:r>
              <w:rPr>
                <w:rFonts w:ascii="Times New Roman" w:hAnsi="Times New Roman" w:cs="Times New Roman"/>
                <w:color w:val="auto"/>
                <w:sz w:val="21"/>
              </w:rPr>
              <w:t>S</w:t>
            </w:r>
          </w:p>
        </w:tc>
        <w:tc>
          <w:tcPr>
            <w:tcW w:w="566" w:type="pct"/>
            <w:vAlign w:val="center"/>
          </w:tcPr>
          <w:p w14:paraId="0CADEF1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2770</w:t>
            </w:r>
          </w:p>
        </w:tc>
      </w:tr>
      <w:tr w14:paraId="693F3D24">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Merge w:val="continue"/>
            <w:vAlign w:val="center"/>
          </w:tcPr>
          <w:p w14:paraId="319B2E11">
            <w:pPr>
              <w:adjustRightInd w:val="0"/>
              <w:snapToGrid w:val="0"/>
              <w:jc w:val="center"/>
              <w:rPr>
                <w:rFonts w:ascii="Times New Roman" w:hAnsi="Times New Roman" w:cs="Times New Roman"/>
                <w:color w:val="auto"/>
                <w:sz w:val="21"/>
                <w:lang w:eastAsia="zh-CN"/>
              </w:rPr>
            </w:pPr>
          </w:p>
        </w:tc>
        <w:tc>
          <w:tcPr>
            <w:tcW w:w="1500" w:type="pct"/>
            <w:gridSpan w:val="3"/>
            <w:vAlign w:val="center"/>
          </w:tcPr>
          <w:p w14:paraId="29431858">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三铺大沟</w:t>
            </w:r>
          </w:p>
        </w:tc>
        <w:tc>
          <w:tcPr>
            <w:tcW w:w="990" w:type="pct"/>
            <w:vAlign w:val="center"/>
          </w:tcPr>
          <w:p w14:paraId="0E09BD77">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小型河流</w:t>
            </w:r>
          </w:p>
        </w:tc>
        <w:tc>
          <w:tcPr>
            <w:tcW w:w="363" w:type="pct"/>
            <w:vMerge w:val="continue"/>
            <w:vAlign w:val="center"/>
          </w:tcPr>
          <w:p w14:paraId="26B63B60">
            <w:pPr>
              <w:adjustRightInd w:val="0"/>
              <w:snapToGrid w:val="0"/>
              <w:jc w:val="center"/>
              <w:rPr>
                <w:rFonts w:ascii="Times New Roman" w:hAnsi="Times New Roman" w:cs="Times New Roman"/>
                <w:color w:val="auto"/>
                <w:sz w:val="21"/>
                <w:lang w:eastAsia="zh-CN"/>
              </w:rPr>
            </w:pPr>
          </w:p>
        </w:tc>
        <w:tc>
          <w:tcPr>
            <w:tcW w:w="877" w:type="pct"/>
            <w:vMerge w:val="continue"/>
            <w:vAlign w:val="center"/>
          </w:tcPr>
          <w:p w14:paraId="38108DBE">
            <w:pPr>
              <w:adjustRightInd w:val="0"/>
              <w:snapToGrid w:val="0"/>
              <w:jc w:val="center"/>
              <w:rPr>
                <w:rFonts w:ascii="Times New Roman" w:hAnsi="Times New Roman" w:cs="Times New Roman"/>
                <w:color w:val="auto"/>
                <w:sz w:val="21"/>
                <w:lang w:eastAsia="zh-CN"/>
              </w:rPr>
            </w:pPr>
          </w:p>
        </w:tc>
        <w:tc>
          <w:tcPr>
            <w:tcW w:w="435" w:type="pct"/>
            <w:vAlign w:val="center"/>
          </w:tcPr>
          <w:p w14:paraId="6E1A90E1">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w:t>
            </w:r>
          </w:p>
        </w:tc>
        <w:tc>
          <w:tcPr>
            <w:tcW w:w="566" w:type="pct"/>
            <w:vAlign w:val="center"/>
          </w:tcPr>
          <w:p w14:paraId="0C35064C">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2600</w:t>
            </w:r>
          </w:p>
        </w:tc>
      </w:tr>
      <w:tr w14:paraId="2B946BD9">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Merge w:val="continue"/>
            <w:vAlign w:val="center"/>
          </w:tcPr>
          <w:p w14:paraId="3A197C60">
            <w:pPr>
              <w:adjustRightInd w:val="0"/>
              <w:snapToGrid w:val="0"/>
              <w:jc w:val="center"/>
              <w:rPr>
                <w:rFonts w:ascii="Times New Roman" w:hAnsi="Times New Roman" w:cs="Times New Roman"/>
                <w:color w:val="auto"/>
                <w:sz w:val="21"/>
                <w:lang w:eastAsia="zh-CN"/>
              </w:rPr>
            </w:pPr>
          </w:p>
        </w:tc>
        <w:tc>
          <w:tcPr>
            <w:tcW w:w="1500" w:type="pct"/>
            <w:gridSpan w:val="3"/>
            <w:vAlign w:val="center"/>
          </w:tcPr>
          <w:p w14:paraId="7EC530BC">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淮河蚌埠段</w:t>
            </w:r>
          </w:p>
        </w:tc>
        <w:tc>
          <w:tcPr>
            <w:tcW w:w="990" w:type="pct"/>
            <w:vAlign w:val="center"/>
          </w:tcPr>
          <w:p w14:paraId="6DEB8F89">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大型</w:t>
            </w:r>
          </w:p>
        </w:tc>
        <w:tc>
          <w:tcPr>
            <w:tcW w:w="363" w:type="pct"/>
            <w:vMerge w:val="continue"/>
            <w:vAlign w:val="center"/>
          </w:tcPr>
          <w:p w14:paraId="00EE62B3">
            <w:pPr>
              <w:adjustRightInd w:val="0"/>
              <w:snapToGrid w:val="0"/>
              <w:jc w:val="center"/>
              <w:rPr>
                <w:rFonts w:ascii="Times New Roman" w:hAnsi="Times New Roman" w:cs="Times New Roman"/>
                <w:color w:val="auto"/>
                <w:sz w:val="21"/>
                <w:lang w:eastAsia="zh-CN"/>
              </w:rPr>
            </w:pPr>
          </w:p>
        </w:tc>
        <w:tc>
          <w:tcPr>
            <w:tcW w:w="877" w:type="pct"/>
            <w:vMerge w:val="restart"/>
            <w:vAlign w:val="center"/>
          </w:tcPr>
          <w:p w14:paraId="544D1E1B">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（GB3838-2002）Ⅲ类</w:t>
            </w:r>
          </w:p>
        </w:tc>
        <w:tc>
          <w:tcPr>
            <w:tcW w:w="435" w:type="pct"/>
            <w:vAlign w:val="center"/>
          </w:tcPr>
          <w:p w14:paraId="2D88CAAD">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S</w:t>
            </w:r>
          </w:p>
        </w:tc>
        <w:tc>
          <w:tcPr>
            <w:tcW w:w="566" w:type="pct"/>
            <w:vAlign w:val="center"/>
          </w:tcPr>
          <w:p w14:paraId="73D41E1E">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6050</w:t>
            </w:r>
          </w:p>
        </w:tc>
      </w:tr>
      <w:tr w14:paraId="336EC081">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Merge w:val="continue"/>
            <w:vAlign w:val="center"/>
          </w:tcPr>
          <w:p w14:paraId="77FA1C8D">
            <w:pPr>
              <w:adjustRightInd w:val="0"/>
              <w:snapToGrid w:val="0"/>
              <w:jc w:val="center"/>
              <w:rPr>
                <w:rFonts w:ascii="Times New Roman" w:hAnsi="Times New Roman" w:cs="Times New Roman"/>
                <w:color w:val="auto"/>
                <w:sz w:val="21"/>
                <w:lang w:eastAsia="zh-CN"/>
              </w:rPr>
            </w:pPr>
          </w:p>
        </w:tc>
        <w:tc>
          <w:tcPr>
            <w:tcW w:w="1500" w:type="pct"/>
            <w:gridSpan w:val="3"/>
            <w:vMerge w:val="restart"/>
            <w:vAlign w:val="center"/>
          </w:tcPr>
          <w:p w14:paraId="51263A51">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凤阳县经开区二水厂水源地（淮河）</w:t>
            </w:r>
          </w:p>
        </w:tc>
        <w:tc>
          <w:tcPr>
            <w:tcW w:w="990" w:type="pct"/>
            <w:vMerge w:val="restart"/>
            <w:vAlign w:val="center"/>
          </w:tcPr>
          <w:p w14:paraId="4298213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363" w:type="pct"/>
            <w:vMerge w:val="continue"/>
            <w:vAlign w:val="center"/>
          </w:tcPr>
          <w:p w14:paraId="61405656">
            <w:pPr>
              <w:adjustRightInd w:val="0"/>
              <w:snapToGrid w:val="0"/>
              <w:jc w:val="center"/>
              <w:rPr>
                <w:rFonts w:ascii="Times New Roman" w:hAnsi="Times New Roman" w:cs="Times New Roman"/>
                <w:color w:val="auto"/>
                <w:sz w:val="21"/>
                <w:lang w:eastAsia="zh-CN"/>
              </w:rPr>
            </w:pPr>
          </w:p>
        </w:tc>
        <w:tc>
          <w:tcPr>
            <w:tcW w:w="877" w:type="pct"/>
            <w:vMerge w:val="continue"/>
            <w:vAlign w:val="center"/>
          </w:tcPr>
          <w:p w14:paraId="7C3D0305">
            <w:pPr>
              <w:adjustRightInd w:val="0"/>
              <w:snapToGrid w:val="0"/>
              <w:jc w:val="center"/>
              <w:rPr>
                <w:rFonts w:ascii="Times New Roman" w:hAnsi="Times New Roman" w:cs="Times New Roman"/>
                <w:color w:val="auto"/>
                <w:sz w:val="21"/>
                <w:lang w:eastAsia="zh-CN"/>
              </w:rPr>
            </w:pPr>
          </w:p>
        </w:tc>
        <w:tc>
          <w:tcPr>
            <w:tcW w:w="435" w:type="pct"/>
            <w:vAlign w:val="center"/>
          </w:tcPr>
          <w:p w14:paraId="4BA9D898">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SW</w:t>
            </w:r>
          </w:p>
        </w:tc>
        <w:tc>
          <w:tcPr>
            <w:tcW w:w="566" w:type="pct"/>
            <w:vAlign w:val="center"/>
          </w:tcPr>
          <w:p w14:paraId="4DE709C6">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距准保护区6320</w:t>
            </w:r>
          </w:p>
        </w:tc>
      </w:tr>
      <w:tr w14:paraId="1832E82A">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Merge w:val="continue"/>
            <w:vAlign w:val="center"/>
          </w:tcPr>
          <w:p w14:paraId="3ADBEAF5">
            <w:pPr>
              <w:adjustRightInd w:val="0"/>
              <w:snapToGrid w:val="0"/>
              <w:jc w:val="center"/>
              <w:rPr>
                <w:rFonts w:ascii="Times New Roman" w:hAnsi="Times New Roman" w:cs="Times New Roman"/>
                <w:color w:val="auto"/>
                <w:sz w:val="21"/>
                <w:lang w:eastAsia="zh-CN"/>
              </w:rPr>
            </w:pPr>
          </w:p>
        </w:tc>
        <w:tc>
          <w:tcPr>
            <w:tcW w:w="1500" w:type="pct"/>
            <w:gridSpan w:val="3"/>
            <w:vMerge w:val="continue"/>
            <w:vAlign w:val="center"/>
          </w:tcPr>
          <w:p w14:paraId="21D18788">
            <w:pPr>
              <w:adjustRightInd w:val="0"/>
              <w:snapToGrid w:val="0"/>
              <w:jc w:val="center"/>
              <w:rPr>
                <w:rFonts w:ascii="Times New Roman" w:hAnsi="Times New Roman" w:cs="Times New Roman"/>
                <w:color w:val="auto"/>
                <w:sz w:val="21"/>
                <w:lang w:eastAsia="zh-CN"/>
              </w:rPr>
            </w:pPr>
          </w:p>
        </w:tc>
        <w:tc>
          <w:tcPr>
            <w:tcW w:w="990" w:type="pct"/>
            <w:vMerge w:val="continue"/>
            <w:vAlign w:val="center"/>
          </w:tcPr>
          <w:p w14:paraId="7E492DAA">
            <w:pPr>
              <w:adjustRightInd w:val="0"/>
              <w:snapToGrid w:val="0"/>
              <w:jc w:val="center"/>
              <w:rPr>
                <w:rFonts w:ascii="Times New Roman" w:hAnsi="Times New Roman" w:cs="Times New Roman"/>
                <w:color w:val="auto"/>
                <w:sz w:val="21"/>
                <w:lang w:eastAsia="zh-CN"/>
              </w:rPr>
            </w:pPr>
          </w:p>
        </w:tc>
        <w:tc>
          <w:tcPr>
            <w:tcW w:w="363" w:type="pct"/>
            <w:vMerge w:val="continue"/>
            <w:vAlign w:val="center"/>
          </w:tcPr>
          <w:p w14:paraId="5869DAFA">
            <w:pPr>
              <w:adjustRightInd w:val="0"/>
              <w:snapToGrid w:val="0"/>
              <w:jc w:val="center"/>
              <w:rPr>
                <w:rFonts w:ascii="Times New Roman" w:hAnsi="Times New Roman" w:cs="Times New Roman"/>
                <w:color w:val="auto"/>
                <w:sz w:val="21"/>
                <w:lang w:eastAsia="zh-CN"/>
              </w:rPr>
            </w:pPr>
          </w:p>
        </w:tc>
        <w:tc>
          <w:tcPr>
            <w:tcW w:w="877" w:type="pct"/>
            <w:vMerge w:val="continue"/>
            <w:vAlign w:val="center"/>
          </w:tcPr>
          <w:p w14:paraId="70028B59">
            <w:pPr>
              <w:adjustRightInd w:val="0"/>
              <w:snapToGrid w:val="0"/>
              <w:jc w:val="center"/>
              <w:rPr>
                <w:rFonts w:ascii="Times New Roman" w:hAnsi="Times New Roman" w:cs="Times New Roman"/>
                <w:color w:val="auto"/>
                <w:sz w:val="21"/>
                <w:lang w:eastAsia="zh-CN"/>
              </w:rPr>
            </w:pPr>
          </w:p>
        </w:tc>
        <w:tc>
          <w:tcPr>
            <w:tcW w:w="435" w:type="pct"/>
            <w:vAlign w:val="center"/>
          </w:tcPr>
          <w:p w14:paraId="2CA8D011">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SW</w:t>
            </w:r>
          </w:p>
        </w:tc>
        <w:tc>
          <w:tcPr>
            <w:tcW w:w="566" w:type="pct"/>
            <w:vAlign w:val="center"/>
          </w:tcPr>
          <w:p w14:paraId="6342E408">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距二级保护区6850</w:t>
            </w:r>
          </w:p>
        </w:tc>
      </w:tr>
      <w:tr w14:paraId="499FF9E6">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Merge w:val="continue"/>
            <w:vAlign w:val="center"/>
          </w:tcPr>
          <w:p w14:paraId="74016441">
            <w:pPr>
              <w:adjustRightInd w:val="0"/>
              <w:snapToGrid w:val="0"/>
              <w:jc w:val="center"/>
              <w:rPr>
                <w:rFonts w:ascii="Times New Roman" w:hAnsi="Times New Roman" w:cs="Times New Roman"/>
                <w:color w:val="auto"/>
                <w:sz w:val="21"/>
                <w:lang w:eastAsia="zh-CN"/>
              </w:rPr>
            </w:pPr>
          </w:p>
        </w:tc>
        <w:tc>
          <w:tcPr>
            <w:tcW w:w="1500" w:type="pct"/>
            <w:gridSpan w:val="3"/>
            <w:vMerge w:val="continue"/>
            <w:vAlign w:val="center"/>
          </w:tcPr>
          <w:p w14:paraId="746FF903">
            <w:pPr>
              <w:adjustRightInd w:val="0"/>
              <w:snapToGrid w:val="0"/>
              <w:jc w:val="center"/>
              <w:rPr>
                <w:rFonts w:ascii="Times New Roman" w:hAnsi="Times New Roman" w:cs="Times New Roman"/>
                <w:color w:val="auto"/>
                <w:sz w:val="21"/>
                <w:lang w:eastAsia="zh-CN"/>
              </w:rPr>
            </w:pPr>
          </w:p>
        </w:tc>
        <w:tc>
          <w:tcPr>
            <w:tcW w:w="990" w:type="pct"/>
            <w:vMerge w:val="continue"/>
            <w:vAlign w:val="center"/>
          </w:tcPr>
          <w:p w14:paraId="06B0DB69">
            <w:pPr>
              <w:adjustRightInd w:val="0"/>
              <w:snapToGrid w:val="0"/>
              <w:jc w:val="center"/>
              <w:rPr>
                <w:rFonts w:ascii="Times New Roman" w:hAnsi="Times New Roman" w:cs="Times New Roman"/>
                <w:color w:val="auto"/>
                <w:sz w:val="21"/>
                <w:lang w:eastAsia="zh-CN"/>
              </w:rPr>
            </w:pPr>
          </w:p>
        </w:tc>
        <w:tc>
          <w:tcPr>
            <w:tcW w:w="363" w:type="pct"/>
            <w:vMerge w:val="continue"/>
            <w:vAlign w:val="center"/>
          </w:tcPr>
          <w:p w14:paraId="49DDED3D">
            <w:pPr>
              <w:adjustRightInd w:val="0"/>
              <w:snapToGrid w:val="0"/>
              <w:jc w:val="center"/>
              <w:rPr>
                <w:rFonts w:ascii="Times New Roman" w:hAnsi="Times New Roman" w:cs="Times New Roman"/>
                <w:color w:val="auto"/>
                <w:sz w:val="21"/>
                <w:lang w:eastAsia="zh-CN"/>
              </w:rPr>
            </w:pPr>
          </w:p>
        </w:tc>
        <w:tc>
          <w:tcPr>
            <w:tcW w:w="877" w:type="pct"/>
            <w:vMerge w:val="continue"/>
            <w:vAlign w:val="center"/>
          </w:tcPr>
          <w:p w14:paraId="61E3096F">
            <w:pPr>
              <w:adjustRightInd w:val="0"/>
              <w:snapToGrid w:val="0"/>
              <w:jc w:val="center"/>
              <w:rPr>
                <w:rFonts w:ascii="Times New Roman" w:hAnsi="Times New Roman" w:cs="Times New Roman"/>
                <w:color w:val="auto"/>
                <w:sz w:val="21"/>
                <w:lang w:eastAsia="zh-CN"/>
              </w:rPr>
            </w:pPr>
          </w:p>
        </w:tc>
        <w:tc>
          <w:tcPr>
            <w:tcW w:w="435" w:type="pct"/>
            <w:vAlign w:val="center"/>
          </w:tcPr>
          <w:p w14:paraId="5DEDE414">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SW</w:t>
            </w:r>
          </w:p>
        </w:tc>
        <w:tc>
          <w:tcPr>
            <w:tcW w:w="566" w:type="pct"/>
            <w:vAlign w:val="center"/>
          </w:tcPr>
          <w:p w14:paraId="0A53BDAB">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距一级保护区7470</w:t>
            </w:r>
          </w:p>
        </w:tc>
      </w:tr>
      <w:tr w14:paraId="23EA67ED">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Merge w:val="continue"/>
            <w:vAlign w:val="center"/>
          </w:tcPr>
          <w:p w14:paraId="1942CFEA">
            <w:pPr>
              <w:adjustRightInd w:val="0"/>
              <w:snapToGrid w:val="0"/>
              <w:jc w:val="center"/>
              <w:rPr>
                <w:rFonts w:ascii="Times New Roman" w:hAnsi="Times New Roman" w:cs="Times New Roman"/>
                <w:color w:val="auto"/>
                <w:sz w:val="21"/>
                <w:lang w:eastAsia="zh-CN"/>
              </w:rPr>
            </w:pPr>
          </w:p>
        </w:tc>
        <w:tc>
          <w:tcPr>
            <w:tcW w:w="1500" w:type="pct"/>
            <w:gridSpan w:val="3"/>
            <w:vMerge w:val="continue"/>
            <w:vAlign w:val="center"/>
          </w:tcPr>
          <w:p w14:paraId="332EF1F1">
            <w:pPr>
              <w:adjustRightInd w:val="0"/>
              <w:snapToGrid w:val="0"/>
              <w:jc w:val="center"/>
              <w:rPr>
                <w:rFonts w:ascii="Times New Roman" w:hAnsi="Times New Roman" w:cs="Times New Roman"/>
                <w:color w:val="auto"/>
                <w:sz w:val="21"/>
                <w:lang w:eastAsia="zh-CN"/>
              </w:rPr>
            </w:pPr>
          </w:p>
        </w:tc>
        <w:tc>
          <w:tcPr>
            <w:tcW w:w="990" w:type="pct"/>
            <w:vMerge w:val="continue"/>
            <w:vAlign w:val="center"/>
          </w:tcPr>
          <w:p w14:paraId="2B046B4A">
            <w:pPr>
              <w:adjustRightInd w:val="0"/>
              <w:snapToGrid w:val="0"/>
              <w:jc w:val="center"/>
              <w:rPr>
                <w:rFonts w:ascii="Times New Roman" w:hAnsi="Times New Roman" w:cs="Times New Roman"/>
                <w:color w:val="auto"/>
                <w:sz w:val="21"/>
                <w:lang w:eastAsia="zh-CN"/>
              </w:rPr>
            </w:pPr>
          </w:p>
        </w:tc>
        <w:tc>
          <w:tcPr>
            <w:tcW w:w="363" w:type="pct"/>
            <w:vMerge w:val="continue"/>
            <w:vAlign w:val="center"/>
          </w:tcPr>
          <w:p w14:paraId="6394CD53">
            <w:pPr>
              <w:adjustRightInd w:val="0"/>
              <w:snapToGrid w:val="0"/>
              <w:jc w:val="center"/>
              <w:rPr>
                <w:rFonts w:ascii="Times New Roman" w:hAnsi="Times New Roman" w:cs="Times New Roman"/>
                <w:color w:val="auto"/>
                <w:sz w:val="21"/>
                <w:lang w:eastAsia="zh-CN"/>
              </w:rPr>
            </w:pPr>
          </w:p>
        </w:tc>
        <w:tc>
          <w:tcPr>
            <w:tcW w:w="877" w:type="pct"/>
            <w:vMerge w:val="continue"/>
            <w:vAlign w:val="center"/>
          </w:tcPr>
          <w:p w14:paraId="5E95C204">
            <w:pPr>
              <w:adjustRightInd w:val="0"/>
              <w:snapToGrid w:val="0"/>
              <w:jc w:val="center"/>
              <w:rPr>
                <w:rFonts w:ascii="Times New Roman" w:hAnsi="Times New Roman" w:cs="Times New Roman"/>
                <w:color w:val="auto"/>
                <w:sz w:val="21"/>
                <w:lang w:eastAsia="zh-CN"/>
              </w:rPr>
            </w:pPr>
          </w:p>
        </w:tc>
        <w:tc>
          <w:tcPr>
            <w:tcW w:w="435" w:type="pct"/>
            <w:vAlign w:val="center"/>
          </w:tcPr>
          <w:p w14:paraId="3240FDA1">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SW</w:t>
            </w:r>
          </w:p>
        </w:tc>
        <w:tc>
          <w:tcPr>
            <w:tcW w:w="566" w:type="pct"/>
            <w:vAlign w:val="center"/>
          </w:tcPr>
          <w:p w14:paraId="024ECBBB">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距取水口8120</w:t>
            </w:r>
          </w:p>
        </w:tc>
      </w:tr>
      <w:tr w14:paraId="05ED7440">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72A1C24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w:t>
            </w:r>
          </w:p>
        </w:tc>
        <w:tc>
          <w:tcPr>
            <w:tcW w:w="1500" w:type="pct"/>
            <w:gridSpan w:val="3"/>
            <w:vAlign w:val="center"/>
          </w:tcPr>
          <w:p w14:paraId="42A6B35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厂界外200m</w:t>
            </w:r>
          </w:p>
        </w:tc>
        <w:tc>
          <w:tcPr>
            <w:tcW w:w="990" w:type="pct"/>
            <w:vAlign w:val="center"/>
          </w:tcPr>
          <w:p w14:paraId="103C2958">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363" w:type="pct"/>
            <w:vAlign w:val="center"/>
          </w:tcPr>
          <w:p w14:paraId="6F0AC2AC">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声环境</w:t>
            </w:r>
          </w:p>
        </w:tc>
        <w:tc>
          <w:tcPr>
            <w:tcW w:w="877" w:type="pct"/>
            <w:vAlign w:val="center"/>
          </w:tcPr>
          <w:p w14:paraId="0ADB390C">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（GB3096-2008）3类</w:t>
            </w:r>
          </w:p>
        </w:tc>
        <w:tc>
          <w:tcPr>
            <w:tcW w:w="435" w:type="pct"/>
            <w:vAlign w:val="center"/>
          </w:tcPr>
          <w:p w14:paraId="17283EE1">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566" w:type="pct"/>
            <w:vAlign w:val="center"/>
          </w:tcPr>
          <w:p w14:paraId="7E00F61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r>
      <w:tr w14:paraId="256913D0">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Align w:val="center"/>
          </w:tcPr>
          <w:p w14:paraId="01916F08">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3</w:t>
            </w:r>
          </w:p>
        </w:tc>
        <w:tc>
          <w:tcPr>
            <w:tcW w:w="1500" w:type="pct"/>
            <w:gridSpan w:val="3"/>
            <w:vAlign w:val="center"/>
          </w:tcPr>
          <w:p w14:paraId="435D26BA">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区域浅层地下水</w:t>
            </w:r>
          </w:p>
        </w:tc>
        <w:tc>
          <w:tcPr>
            <w:tcW w:w="990" w:type="pct"/>
            <w:vAlign w:val="center"/>
          </w:tcPr>
          <w:p w14:paraId="67A3767A">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场地及区域20km</w:t>
            </w:r>
            <w:r>
              <w:rPr>
                <w:rFonts w:ascii="Times New Roman" w:hAnsi="Times New Roman" w:cs="Times New Roman"/>
                <w:color w:val="auto"/>
                <w:sz w:val="21"/>
                <w:vertAlign w:val="superscript"/>
                <w:lang w:eastAsia="zh-CN"/>
              </w:rPr>
              <w:t>2</w:t>
            </w:r>
            <w:r>
              <w:rPr>
                <w:rFonts w:ascii="Times New Roman" w:hAnsi="Times New Roman" w:cs="Times New Roman"/>
                <w:color w:val="auto"/>
                <w:sz w:val="21"/>
                <w:lang w:eastAsia="zh-CN"/>
              </w:rPr>
              <w:t>范围</w:t>
            </w:r>
          </w:p>
        </w:tc>
        <w:tc>
          <w:tcPr>
            <w:tcW w:w="363" w:type="pct"/>
            <w:vAlign w:val="center"/>
          </w:tcPr>
          <w:p w14:paraId="05050183">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地下水环境</w:t>
            </w:r>
          </w:p>
        </w:tc>
        <w:tc>
          <w:tcPr>
            <w:tcW w:w="877" w:type="pct"/>
            <w:vAlign w:val="center"/>
          </w:tcPr>
          <w:p w14:paraId="2C17B43D">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（GB/T14848-2017）III类</w:t>
            </w:r>
          </w:p>
        </w:tc>
        <w:tc>
          <w:tcPr>
            <w:tcW w:w="435" w:type="pct"/>
            <w:vAlign w:val="center"/>
          </w:tcPr>
          <w:p w14:paraId="246A6419">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566" w:type="pct"/>
            <w:vAlign w:val="center"/>
          </w:tcPr>
          <w:p w14:paraId="208EE80E">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r>
      <w:tr w14:paraId="40E93902">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Merge w:val="restart"/>
            <w:tcBorders>
              <w:bottom w:val="single" w:color="000000" w:sz="2" w:space="0"/>
            </w:tcBorders>
            <w:vAlign w:val="center"/>
          </w:tcPr>
          <w:p w14:paraId="4B29EB47">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4</w:t>
            </w:r>
          </w:p>
        </w:tc>
        <w:tc>
          <w:tcPr>
            <w:tcW w:w="1500" w:type="pct"/>
            <w:gridSpan w:val="3"/>
            <w:vMerge w:val="restart"/>
            <w:tcBorders>
              <w:bottom w:val="single" w:color="000000" w:sz="2" w:space="0"/>
            </w:tcBorders>
            <w:vAlign w:val="center"/>
          </w:tcPr>
          <w:p w14:paraId="2233DF08">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区域及周边土壤</w:t>
            </w:r>
          </w:p>
        </w:tc>
        <w:tc>
          <w:tcPr>
            <w:tcW w:w="990" w:type="pct"/>
            <w:tcBorders>
              <w:bottom w:val="single" w:color="000000" w:sz="2" w:space="0"/>
            </w:tcBorders>
            <w:vAlign w:val="center"/>
          </w:tcPr>
          <w:p w14:paraId="3B000063">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厂内及周边1000m范围内的建设用地</w:t>
            </w:r>
          </w:p>
        </w:tc>
        <w:tc>
          <w:tcPr>
            <w:tcW w:w="363" w:type="pct"/>
            <w:vMerge w:val="restart"/>
            <w:vAlign w:val="center"/>
          </w:tcPr>
          <w:p w14:paraId="0A1B9E93">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土壤环境</w:t>
            </w:r>
          </w:p>
        </w:tc>
        <w:tc>
          <w:tcPr>
            <w:tcW w:w="877" w:type="pct"/>
            <w:tcBorders>
              <w:bottom w:val="single" w:color="000000" w:sz="2" w:space="0"/>
            </w:tcBorders>
            <w:vAlign w:val="center"/>
          </w:tcPr>
          <w:p w14:paraId="609F2140">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建设用地执行（GB36600-2018</w:t>
            </w:r>
            <w:r>
              <w:rPr>
                <w:rStyle w:val="41"/>
                <w:rFonts w:ascii="Times New Roman" w:hAnsi="Times New Roman" w:cs="Times New Roman"/>
                <w:color w:val="auto"/>
                <w:lang w:eastAsia="zh-CN"/>
              </w:rPr>
              <w:t>）用地筛选值</w:t>
            </w:r>
          </w:p>
        </w:tc>
        <w:tc>
          <w:tcPr>
            <w:tcW w:w="435" w:type="pct"/>
            <w:tcBorders>
              <w:bottom w:val="single" w:color="000000" w:sz="2" w:space="0"/>
            </w:tcBorders>
            <w:vAlign w:val="center"/>
          </w:tcPr>
          <w:p w14:paraId="53CB88C3">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566" w:type="pct"/>
            <w:tcBorders>
              <w:bottom w:val="single" w:color="000000" w:sz="2" w:space="0"/>
            </w:tcBorders>
            <w:vAlign w:val="center"/>
          </w:tcPr>
          <w:p w14:paraId="424A8BFD">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r>
      <w:tr w14:paraId="26A30D75">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27" w:hRule="atLeast"/>
          <w:jc w:val="center"/>
        </w:trPr>
        <w:tc>
          <w:tcPr>
            <w:tcW w:w="269" w:type="pct"/>
            <w:vMerge w:val="continue"/>
            <w:vAlign w:val="center"/>
          </w:tcPr>
          <w:p w14:paraId="4E3CE23C">
            <w:pPr>
              <w:adjustRightInd w:val="0"/>
              <w:snapToGrid w:val="0"/>
              <w:jc w:val="center"/>
              <w:rPr>
                <w:rFonts w:ascii="Times New Roman" w:hAnsi="Times New Roman" w:cs="Times New Roman"/>
                <w:color w:val="auto"/>
                <w:sz w:val="21"/>
                <w:lang w:eastAsia="zh-CN"/>
              </w:rPr>
            </w:pPr>
          </w:p>
        </w:tc>
        <w:tc>
          <w:tcPr>
            <w:tcW w:w="1500" w:type="pct"/>
            <w:gridSpan w:val="3"/>
            <w:vMerge w:val="continue"/>
            <w:vAlign w:val="center"/>
          </w:tcPr>
          <w:p w14:paraId="10BFEFD7">
            <w:pPr>
              <w:adjustRightInd w:val="0"/>
              <w:snapToGrid w:val="0"/>
              <w:jc w:val="center"/>
              <w:rPr>
                <w:rFonts w:ascii="Times New Roman" w:hAnsi="Times New Roman" w:cs="Times New Roman"/>
                <w:color w:val="auto"/>
                <w:sz w:val="21"/>
                <w:lang w:eastAsia="zh-CN"/>
              </w:rPr>
            </w:pPr>
          </w:p>
        </w:tc>
        <w:tc>
          <w:tcPr>
            <w:tcW w:w="990" w:type="pct"/>
            <w:vAlign w:val="center"/>
          </w:tcPr>
          <w:p w14:paraId="2E60CEFE">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周边1000m农用地</w:t>
            </w:r>
          </w:p>
        </w:tc>
        <w:tc>
          <w:tcPr>
            <w:tcW w:w="363" w:type="pct"/>
            <w:vMerge w:val="continue"/>
            <w:vAlign w:val="center"/>
          </w:tcPr>
          <w:p w14:paraId="52F1AF7A">
            <w:pPr>
              <w:adjustRightInd w:val="0"/>
              <w:snapToGrid w:val="0"/>
              <w:jc w:val="center"/>
              <w:rPr>
                <w:rFonts w:ascii="Times New Roman" w:hAnsi="Times New Roman" w:cs="Times New Roman"/>
                <w:color w:val="auto"/>
                <w:sz w:val="21"/>
                <w:lang w:eastAsia="zh-CN"/>
              </w:rPr>
            </w:pPr>
          </w:p>
        </w:tc>
        <w:tc>
          <w:tcPr>
            <w:tcW w:w="877" w:type="pct"/>
            <w:vAlign w:val="center"/>
          </w:tcPr>
          <w:p w14:paraId="1CE5C6EB">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农用地执行（GB15618-2018）中筛选值标准</w:t>
            </w:r>
          </w:p>
        </w:tc>
        <w:tc>
          <w:tcPr>
            <w:tcW w:w="435" w:type="pct"/>
            <w:vAlign w:val="center"/>
          </w:tcPr>
          <w:p w14:paraId="360CF8EB">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566" w:type="pct"/>
            <w:vAlign w:val="center"/>
          </w:tcPr>
          <w:p w14:paraId="2AB61727">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r>
      <w:bookmarkEnd w:id="413"/>
    </w:tbl>
    <w:p w14:paraId="6098B8C9">
      <w:pPr>
        <w:spacing w:line="360" w:lineRule="auto"/>
        <w:ind w:firstLine="420"/>
        <w:rPr>
          <w:rFonts w:ascii="Times New Roman" w:hAnsi="Times New Roman" w:eastAsia="新宋体" w:cs="Times New Roman"/>
          <w:color w:val="auto"/>
          <w:sz w:val="21"/>
          <w:lang w:eastAsia="zh-CN"/>
        </w:rPr>
      </w:pPr>
      <w:r>
        <w:rPr>
          <w:rFonts w:ascii="Times New Roman" w:hAnsi="Times New Roman" w:eastAsia="新宋体" w:cs="Times New Roman"/>
          <w:color w:val="auto"/>
          <w:sz w:val="21"/>
          <w:lang w:eastAsia="zh-CN"/>
        </w:rPr>
        <w:t>注：以厂界西南为坐标原点（0，0）。</w:t>
      </w:r>
    </w:p>
    <w:p w14:paraId="08161C35">
      <w:pPr>
        <w:rPr>
          <w:rFonts w:eastAsia="新宋体"/>
          <w:color w:val="auto"/>
        </w:rPr>
      </w:pPr>
      <w:r>
        <w:rPr>
          <w:lang w:eastAsia="zh-CN"/>
        </w:rPr>
        <w:br w:type="page"/>
      </w:r>
      <w:r>
        <mc:AlternateContent>
          <mc:Choice Requires="wps">
            <w:drawing>
              <wp:anchor distT="0" distB="0" distL="114300" distR="114300" simplePos="0" relativeHeight="251863040" behindDoc="0" locked="0" layoutInCell="1" allowOverlap="1">
                <wp:simplePos x="0" y="0"/>
                <wp:positionH relativeFrom="column">
                  <wp:posOffset>2000885</wp:posOffset>
                </wp:positionH>
                <wp:positionV relativeFrom="paragraph">
                  <wp:posOffset>2152015</wp:posOffset>
                </wp:positionV>
                <wp:extent cx="835660" cy="365760"/>
                <wp:effectExtent l="635" t="0" r="1905" b="0"/>
                <wp:wrapNone/>
                <wp:docPr id="1904532468" name="自选图形 5655"/>
                <wp:cNvGraphicFramePr/>
                <a:graphic xmlns:a="http://schemas.openxmlformats.org/drawingml/2006/main">
                  <a:graphicData uri="http://schemas.microsoft.com/office/word/2010/wordprocessingShape">
                    <wps:wsp>
                      <wps:cNvSpPr>
                        <a:spLocks noChangeArrowheads="1"/>
                      </wps:cNvSpPr>
                      <wps:spPr bwMode="auto">
                        <a:xfrm>
                          <a:off x="0" y="0"/>
                          <a:ext cx="835660" cy="365760"/>
                        </a:xfrm>
                        <a:prstGeom prst="wedgeRoundRectCallout">
                          <a:avLst>
                            <a:gd name="adj1" fmla="val -126671"/>
                            <a:gd name="adj2" fmla="val 6426"/>
                            <a:gd name="adj3" fmla="val 16667"/>
                          </a:avLst>
                        </a:prstGeom>
                        <a:noFill/>
                        <a:ln>
                          <a:noFill/>
                        </a:ln>
                      </wps:spPr>
                      <wps:txbx>
                        <w:txbxContent>
                          <w:p w14:paraId="6457F0DF">
                            <w:pPr>
                              <w:rPr>
                                <w:rFonts w:ascii="Times New Roman" w:hAnsi="Times New Roman" w:cs="Times New Roman"/>
                                <w:b/>
                                <w:bCs/>
                                <w:color w:val="FFFF00"/>
                              </w:rPr>
                            </w:pPr>
                            <w:r>
                              <w:rPr>
                                <w:rFonts w:ascii="Times New Roman" w:hAnsi="Times New Roman" w:cs="Times New Roman"/>
                                <w:b/>
                                <w:bCs/>
                                <w:color w:val="FFFF00"/>
                                <w:lang w:eastAsia="zh-CN"/>
                              </w:rPr>
                              <w:t>5</w:t>
                            </w:r>
                            <w:r>
                              <w:rPr>
                                <w:rFonts w:hint="eastAsia" w:ascii="Times New Roman" w:hAnsi="Times New Roman" w:cs="Times New Roman"/>
                                <w:b/>
                                <w:bCs/>
                                <w:color w:val="FFFF00"/>
                                <w:lang w:eastAsia="zh-CN"/>
                              </w:rPr>
                              <w:t>60</w:t>
                            </w:r>
                            <w:r>
                              <w:rPr>
                                <w:rFonts w:ascii="Times New Roman" w:hAnsi="Times New Roman" w:cs="Times New Roman"/>
                                <w:b/>
                                <w:bCs/>
                                <w:color w:val="FFFF00"/>
                                <w:lang w:eastAsia="zh-CN"/>
                              </w:rPr>
                              <w:t>0m</w:t>
                            </w:r>
                          </w:p>
                        </w:txbxContent>
                      </wps:txbx>
                      <wps:bodyPr rot="0" vert="horz" wrap="square" lIns="91440" tIns="45720" rIns="91440" bIns="45720" anchor="t" anchorCtr="0" upright="1">
                        <a:noAutofit/>
                      </wps:bodyPr>
                    </wps:wsp>
                  </a:graphicData>
                </a:graphic>
              </wp:anchor>
            </w:drawing>
          </mc:Choice>
          <mc:Fallback>
            <w:pict>
              <v:shape id="自选图形 5655" o:spid="_x0000_s1026" o:spt="62" type="#_x0000_t62" style="position:absolute;left:0pt;margin-left:157.55pt;margin-top:169.45pt;height:28.8pt;width:65.8pt;z-index:251863040;mso-width-relative:page;mso-height-relative:page;" filled="f" stroked="f" coordsize="21600,21600" o:gfxdata="UEsDBAoAAAAAAIdO4kAAAAAAAAAAAAAAAAAEAAAAZHJzL1BLAwQUAAAACACHTuJAqZp3wdgAAAAL&#10;AQAADwAAAGRycy9kb3ducmV2LnhtbE2Py07DMBBF90j8gzVI7KgTkiZtiFNFoO7Y0LJg6cZDHOFH&#10;sN0Hf8+wort5HN05024u1rAThjh5JyBfZMDQDV5NbhTwvt8+rIDFJJ2SxjsU8IMRNt3tTSsb5c/u&#10;DU+7NDIKcbGRAnRKc8N5HDRaGRd+Rke7Tx+sTNSGkasgzxRuDX/MsopbOTm6oOWMzxqHr93RCvgw&#10;fqtfhrLah9ei/i76Pk11L8T9XZ49AUt4Sf8w/OmTOnTkdPBHpyIzAop8mRNKRbFaAyOiLKsa2IEm&#10;62oJvGv59Q/dL1BLAwQUAAAACACHTuJAUPpYvl8CAACgBAAADgAAAGRycy9lMm9Eb2MueG1srVTB&#10;btQwEL0j8Q+W72022U3arpqtqq2KkApULXyA13Y2AcdjbGez5dQb4hu4ceQf4G8qwV8wcdIlLZce&#10;uEQznvGbmffGOT7Z1opspHUV6JzG+xNKpOYgKr3O6bu353uHlDjPtGAKtMzpjXT0ZPH82XFr5jKB&#10;EpSQliCIdvPW5LT03syjyPFS1sztg5EagwXYmnl07ToSlrWIXqsomUyyqAUrjAUuncPTsz5IB0T7&#10;FEAoiorLM+BNLbXvUa1UzONIrqyMo4vQbVFI7t8UhZOeqJzipD58sQjaq+4bLY7ZfG2ZKSs+tMCe&#10;0sKjmWpWaSy6gzpjnpHGVv9A1RW34KDw+xzqqB8kMIJTxJNH3FyXzMgwC1LtzI509/9g+evNpSWV&#10;wE04mszSaTLLUH/NalT+1+fvv2+/3H39effjG0mzNO3Yao2b46Vrc2m7eZ25AP7BEQ3Lkum1PLUW&#10;2lIygT3GXX704ELnOLxKVu0rEFiDNR4CcdvC1h0gUkK2QZ+bnT5y6wnHw8NpmmWoHMfQNEsP0O4q&#10;sPn9ZWOdfyGhJp2R01aKtbyCRosrXIQlUwoaH6qxzYXzQS8xDMvE+5iSolYo/4YpshcnWXYQRkBV&#10;R1nJOCubJdmwQ6OU6TglzhBn6HMoix3fd9r1oOG8UipsotIPDjCxOwkcdrT19PvtajsosQJxg2xa&#10;6BcbnzUaJdhPlLS41Dl1HxtmJSXqpUZFjuLZrHsFwZmlBwk6dhxZjSNMc4TKqaekN5e+fzmNsdW6&#10;xEpxIFPDKapYVP5e7r6roW9c3KDR8Mi6lzH2Q9bfH8vi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mad8HYAAAACwEAAA8AAAAAAAAAAQAgAAAAIgAAAGRycy9kb3ducmV2LnhtbFBLAQIUABQAAAAI&#10;AIdO4kBQ+li+XwIAAKAEAAAOAAAAAAAAAAEAIAAAACcBAABkcnMvZTJvRG9jLnhtbFBLBQYAAAAA&#10;BgAGAFkBAAD4BQAAAAA=&#10;" adj="-16561,12188,14400">
                <v:fill on="f" focussize="0,0"/>
                <v:stroke on="f"/>
                <v:imagedata o:title=""/>
                <o:lock v:ext="edit" aspectratio="f"/>
                <v:textbox>
                  <w:txbxContent>
                    <w:p w14:paraId="6457F0DF">
                      <w:pPr>
                        <w:rPr>
                          <w:rFonts w:ascii="Times New Roman" w:hAnsi="Times New Roman" w:cs="Times New Roman"/>
                          <w:b/>
                          <w:bCs/>
                          <w:color w:val="FFFF00"/>
                        </w:rPr>
                      </w:pPr>
                      <w:r>
                        <w:rPr>
                          <w:rFonts w:ascii="Times New Roman" w:hAnsi="Times New Roman" w:cs="Times New Roman"/>
                          <w:b/>
                          <w:bCs/>
                          <w:color w:val="FFFF00"/>
                          <w:lang w:eastAsia="zh-CN"/>
                        </w:rPr>
                        <w:t>5</w:t>
                      </w:r>
                      <w:r>
                        <w:rPr>
                          <w:rFonts w:hint="eastAsia" w:ascii="Times New Roman" w:hAnsi="Times New Roman" w:cs="Times New Roman"/>
                          <w:b/>
                          <w:bCs/>
                          <w:color w:val="FFFF00"/>
                          <w:lang w:eastAsia="zh-CN"/>
                        </w:rPr>
                        <w:t>60</w:t>
                      </w:r>
                      <w:r>
                        <w:rPr>
                          <w:rFonts w:ascii="Times New Roman" w:hAnsi="Times New Roman" w:cs="Times New Roman"/>
                          <w:b/>
                          <w:bCs/>
                          <w:color w:val="FFFF00"/>
                          <w:lang w:eastAsia="zh-CN"/>
                        </w:rPr>
                        <w:t>0m</w:t>
                      </w:r>
                    </w:p>
                  </w:txbxContent>
                </v:textbox>
              </v:shape>
            </w:pict>
          </mc:Fallback>
        </mc:AlternateContent>
      </w:r>
      <w:r>
        <mc:AlternateContent>
          <mc:Choice Requires="wps">
            <w:drawing>
              <wp:anchor distT="0" distB="0" distL="114300" distR="114300" simplePos="0" relativeHeight="251828224" behindDoc="0" locked="0" layoutInCell="1" allowOverlap="1">
                <wp:simplePos x="0" y="0"/>
                <wp:positionH relativeFrom="column">
                  <wp:posOffset>388620</wp:posOffset>
                </wp:positionH>
                <wp:positionV relativeFrom="paragraph">
                  <wp:posOffset>2750185</wp:posOffset>
                </wp:positionV>
                <wp:extent cx="733425" cy="292735"/>
                <wp:effectExtent l="0" t="0" r="66675" b="69850"/>
                <wp:wrapNone/>
                <wp:docPr id="965602667" name="自选图形 7277"/>
                <wp:cNvGraphicFramePr/>
                <a:graphic xmlns:a="http://schemas.openxmlformats.org/drawingml/2006/main">
                  <a:graphicData uri="http://schemas.microsoft.com/office/word/2010/wordprocessingShape">
                    <wps:wsp>
                      <wps:cNvCnPr>
                        <a:cxnSpLocks noChangeShapeType="1"/>
                      </wps:cNvCnPr>
                      <wps:spPr bwMode="auto">
                        <a:xfrm>
                          <a:off x="0" y="0"/>
                          <a:ext cx="733530" cy="292672"/>
                        </a:xfrm>
                        <a:prstGeom prst="straightConnector1">
                          <a:avLst/>
                        </a:prstGeom>
                        <a:noFill/>
                        <a:ln w="19050">
                          <a:solidFill>
                            <a:srgbClr val="EE0000"/>
                          </a:solidFill>
                          <a:round/>
                          <a:tailEnd type="triangle" w="med" len="med"/>
                        </a:ln>
                      </wps:spPr>
                      <wps:bodyPr/>
                    </wps:wsp>
                  </a:graphicData>
                </a:graphic>
              </wp:anchor>
            </w:drawing>
          </mc:Choice>
          <mc:Fallback>
            <w:pict>
              <v:shape id="自选图形 7277" o:spid="_x0000_s1026" o:spt="32" type="#_x0000_t32" style="position:absolute;left:0pt;margin-left:30.6pt;margin-top:216.55pt;height:23.05pt;width:57.75pt;z-index:251828224;mso-width-relative:page;mso-height-relative:page;" filled="f" stroked="t" coordsize="21600,21600" o:gfxdata="UEsDBAoAAAAAAIdO4kAAAAAAAAAAAAAAAAAEAAAAZHJzL1BLAwQUAAAACACHTuJAXimY4NYAAAAK&#10;AQAADwAAAGRycy9kb3ducmV2LnhtbE2PTU+EMBCG7yb+h2ZMvLktLAFByh4kejX74b3QEYjtlNCy&#10;u/57uyc9zsyTd5633l2tYWdc/ORIQrIRwJB6pycaJJyOb0/PwHxQpJVxhBJ+0MOuub+rVaXdhfZ4&#10;PoSBxRDylZIwhjBXnPt+RKv8xs1I8fblFqtCHJeB60VdYrg1PBUi51ZNFD+MasbXEfvvw2ol2L3/&#10;aE2WHd+7thSt+NR9uZZSPj4k4gVYwGv4g+GmH9WhiU6dW0l7ZiTkSRpJCdl2mwC7AUVeAOvipihT&#10;4E3N/1dofgFQSwMEFAAAAAgAh07iQDrmBOUYAgAA8wMAAA4AAABkcnMvZTJvRG9jLnhtbK1TwY7T&#10;MBC9I/EPlu80aaomNGq6h7bLZYGVdvkA13ESC8dj2W7T3rghvoEbR/5h+ZuV4C8Yu93CLpc94INl&#10;e2bevHkznl/se0V2wjoJuqLjUUqJ0BxqqduKfri9fPWaEueZrpkCLSp6EI5eLF6+mA+mFBl0oGph&#10;CYJoVw6mop33pkwSxzvRMzcCIzQaG7A983i1bVJbNiB6r5IsTfNkAFsbC1w4h6+ro5GeEO1zAKFp&#10;JBcr4NteaH9EtUIxjyW5ThpHF5Ft0wju3zeNE56oimKlPu6YBM+bsCeLOStby0wn+YkCew6FJzX1&#10;TGpMeoZaMc/I1sp/oHrJLTho/IhDnxwLiYpgFeP0iTY3HTMi1oJSO3MW3f0/WP5ud22JrCs6y6d5&#10;muV5QYlmPTb+5+fvvz59uf/64/7uGymyoghiDcaVGLPU1zaUy/f6xlwB/+iIhmXHdCsi6duDQYRx&#10;iEgehYSLM5hyM7yFGn3Y1kNUbt/YPkCiJmQfG3Q4N0jsPeH4WEwm0wm2jqMpm2V5kcUMrHwINtb5&#10;NwJ6Eg4Vdd4y2XZ+CVrjKIAdx1Rsd+V8oMbKh4CQWcOlVCpOhNJkQP6zdJrGCAdK1sEa/JxtN0tl&#10;yY7hUK3XKa4TjUduFra6jmieSbXWNfFRFW8l6qQEDSl6UVOiBP7EcDpyUvqkWhDqKPkG6sO1DeYg&#10;IM5CJH+a2zBsf9+j15+/uv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XimY4NYAAAAKAQAADwAA&#10;AAAAAAABACAAAAAiAAAAZHJzL2Rvd25yZXYueG1sUEsBAhQAFAAAAAgAh07iQDrmBOUYAgAA8wMA&#10;AA4AAAAAAAAAAQAgAAAAJQEAAGRycy9lMm9Eb2MueG1sUEsFBgAAAAAGAAYAWQEAAK8FAAAAAA==&#10;">
                <v:fill on="f" focussize="0,0"/>
                <v:stroke weight="1.5pt" color="#EE0000" joinstyle="round" endarrow="block"/>
                <v:imagedata o:title=""/>
                <o:lock v:ext="edit" aspectratio="f"/>
              </v:shape>
            </w:pict>
          </mc:Fallback>
        </mc:AlternateContent>
      </w:r>
      <w:r>
        <mc:AlternateContent>
          <mc:Choice Requires="wps">
            <w:drawing>
              <wp:anchor distT="0" distB="0" distL="114300" distR="114300" simplePos="0" relativeHeight="251909120" behindDoc="0" locked="0" layoutInCell="1" allowOverlap="1">
                <wp:simplePos x="0" y="0"/>
                <wp:positionH relativeFrom="column">
                  <wp:posOffset>1946275</wp:posOffset>
                </wp:positionH>
                <wp:positionV relativeFrom="paragraph">
                  <wp:posOffset>3721100</wp:posOffset>
                </wp:positionV>
                <wp:extent cx="426720" cy="499110"/>
                <wp:effectExtent l="38100" t="38100" r="49530" b="53340"/>
                <wp:wrapNone/>
                <wp:docPr id="1270597565" name="直接箭头连接符 753"/>
                <wp:cNvGraphicFramePr/>
                <a:graphic xmlns:a="http://schemas.openxmlformats.org/drawingml/2006/main">
                  <a:graphicData uri="http://schemas.microsoft.com/office/word/2010/wordprocessingShape">
                    <wps:wsp>
                      <wps:cNvCnPr/>
                      <wps:spPr>
                        <a:xfrm flipH="1" flipV="1">
                          <a:off x="0" y="0"/>
                          <a:ext cx="426868" cy="499288"/>
                        </a:xfrm>
                        <a:prstGeom prst="straightConnector1">
                          <a:avLst/>
                        </a:prstGeom>
                        <a:ln w="28575">
                          <a:solidFill>
                            <a:srgbClr val="FFFF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753" o:spid="_x0000_s1026" o:spt="32" type="#_x0000_t32" style="position:absolute;left:0pt;flip:x y;margin-left:153.25pt;margin-top:293pt;height:39.3pt;width:33.6pt;z-index:251909120;mso-width-relative:page;mso-height-relative:page;" filled="f" stroked="t" coordsize="21600,21600" o:gfxdata="UEsDBAoAAAAAAIdO4kAAAAAAAAAAAAAAAAAEAAAAZHJzL1BLAwQUAAAACACHTuJA9JI7gNoAAAAL&#10;AQAADwAAAGRycy9kb3ducmV2LnhtbE2PwU7DMBBE70j8g7WVuFG7hLpVyKYSSHBBgFqQenWTbZIS&#10;ryPbbQpfjznBcbVPM2+K1dn24kQ+dI4RZlMFgrhydccNwsf74/USRIiGa9M7JoQvCrAqLy8Kk9du&#10;5DWdNrERKYRDbhDaGIdcylC1ZE2YuoE4/fbOWxPT6RtZezOmcNvLG6W0tKbj1NCagR5aqj43R4vw&#10;FO+9jvp5dPLt8L193fP6JdsiXk1m6g5EpHP8g+FXP6lDmZx27sh1ED1CpvQ8oQjzpU6jEpEtsgWI&#10;HYLWtxpkWcj/G8ofUEsDBBQAAAAIAIdO4kCR5LZRKQIAACEEAAAOAAAAZHJzL2Uyb0RvYy54bWyt&#10;U72OEzEQ7pF4B8s92b1w+Vtlc0VCoEAQiZ9+4vXuWvKfbF82eQleAIkKrgKq63kaOB6DsTcEOCiu&#10;wIU1nvF8M/P58/xiryTZceeF0SU9G+SUcM1MJXRT0lcv1w+mlPgAugJpNC/pgXt6sbh/b97Zgg9N&#10;a2TFHUEQ7YvOlrQNwRZZ5lnLFfiBsVxjsDZOQcCja7LKQYfoSmbDPB9nnXGVdYZx79G76oP0iOju&#10;AmjqWjC+MuxScR16VMclBBzJt8J6ukjd1jVn4Xldex6ILClOGtKORdDexj1bzKFoHNhWsGMLcJcW&#10;bs2kQGgseoJaQQBy6cRfUEowZ7ypw4AZlfWDJEZwirP8FjcvWrA8zYJUe3si3f8/WPZst3FEVKiE&#10;4SQfzSaj8YgSDQpf/ubt9bc3H24+f/r6/vr7l3fR/nhFJqOHkbXO+gKTl3rjjidvNy5SsK+dIrUU&#10;9gmC0mS9jlaM4cBkn9g/nNjn+0AYOs+H4+kYxccwdD6bDafTWCfrAWOydT485kaRaJTUBweiacPS&#10;aI3vbFxfAnZPfegTfybEZG3WQkr0QyE16Uo6nI4mOCoD1HCN2kFTWeTB64YSkA1+DhZc6tobKaqY&#10;HrO9a7ZL6cgOUFJrXHlSEfb5x7VYewW+7e+lUC82JQL+HylUSad5XL275VA90hUJB4vUBydAN5L3&#10;sQBC/juGVaVGkuJr9PxHa2uqQ3qW5EflJBqPKo/S/P2csn/97MU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9JI7gNoAAAALAQAADwAAAAAAAAABACAAAAAiAAAAZHJzL2Rvd25yZXYueG1sUEsBAhQA&#10;FAAAAAgAh07iQJHktlEpAgAAIQQAAA4AAAAAAAAAAQAgAAAAKQEAAGRycy9lMm9Eb2MueG1sUEsF&#10;BgAAAAAGAAYAWQEAAMQFAAAAAA==&#10;">
                <v:fill on="f" focussize="0,0"/>
                <v:stroke weight="2.25pt" color="#FFFF00 [3204]" miterlimit="8" joinstyle="miter" startarrow="block" endarrow="block"/>
                <v:imagedata o:title=""/>
                <o:lock v:ext="edit" aspectratio="f"/>
              </v:shape>
            </w:pict>
          </mc:Fallback>
        </mc:AlternateContent>
      </w:r>
      <w:r>
        <mc:AlternateContent>
          <mc:Choice Requires="wps">
            <w:drawing>
              <wp:anchor distT="0" distB="0" distL="114300" distR="114300" simplePos="0" relativeHeight="251908096" behindDoc="0" locked="0" layoutInCell="1" allowOverlap="1">
                <wp:simplePos x="0" y="0"/>
                <wp:positionH relativeFrom="column">
                  <wp:posOffset>1531620</wp:posOffset>
                </wp:positionH>
                <wp:positionV relativeFrom="paragraph">
                  <wp:posOffset>3227705</wp:posOffset>
                </wp:positionV>
                <wp:extent cx="398145" cy="478155"/>
                <wp:effectExtent l="38100" t="38100" r="40640" b="55245"/>
                <wp:wrapNone/>
                <wp:docPr id="1879094300" name="直接箭头连接符 753"/>
                <wp:cNvGraphicFramePr/>
                <a:graphic xmlns:a="http://schemas.openxmlformats.org/drawingml/2006/main">
                  <a:graphicData uri="http://schemas.microsoft.com/office/word/2010/wordprocessingShape">
                    <wps:wsp>
                      <wps:cNvCnPr/>
                      <wps:spPr>
                        <a:xfrm flipH="1" flipV="1">
                          <a:off x="0" y="0"/>
                          <a:ext cx="397835" cy="478466"/>
                        </a:xfrm>
                        <a:prstGeom prst="straightConnector1">
                          <a:avLst/>
                        </a:prstGeom>
                        <a:ln w="28575">
                          <a:solidFill>
                            <a:srgbClr val="FFFF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753" o:spid="_x0000_s1026" o:spt="32" type="#_x0000_t32" style="position:absolute;left:0pt;flip:x y;margin-left:120.6pt;margin-top:254.15pt;height:37.65pt;width:31.35pt;z-index:251908096;mso-width-relative:page;mso-height-relative:page;" filled="f" stroked="t" coordsize="21600,21600" o:gfxdata="UEsDBAoAAAAAAIdO4kAAAAAAAAAAAAAAAAAEAAAAZHJzL1BLAwQUAAAACACHTuJAGyZ+QdoAAAAL&#10;AQAADwAAAGRycy9kb3ducmV2LnhtbE2PwU7DMAyG70i8Q2QkbixpA1UpTSeBBBcE0wbSrlnjtYXG&#10;qZJsHTw94QRH259+f3+9PNmRHdGHwZGCbCGAIbXODNQpeH97vCqBhajJ6NERKvjCAMvm/KzWlXEz&#10;rfG4iR1LIRQqraCPcao4D22PVoeFm5DSbe+81TGNvuPG6zmF25HnQhTc6oHSh15P+NBj+7k5WAVP&#10;8d4XsXieHV99fG9f97R+kVulLi8ycQcs4in+wfCrn9ShSU47dyAT2Kggv87yhCq4EaUElggp5C2w&#10;XdqUsgDe1Px/h+YHUEsDBBQAAAAIAIdO4kCFWkR2KAIAACEEAAAOAAAAZHJzL2Uyb0RvYy54bWyt&#10;U82O0zAQviPxDpbvNNn+plHTPbQUDggq8XOfOk5iyX+yvU37ErwAEifgBJz2ztPA8hiMk1Jg4bAH&#10;fLDGM/6+mfk8XlwelCR77rwwuqAXg5QSrpkpha4L+vLF5kFGiQ+gS5BG84IeuaeXy/v3Fq3N+dA0&#10;RpbcESTRPm9tQZsQbJ4knjVcgR8YyzUGK+MUBDy6OikdtMiuZDJM02nSGldaZxj3Hr3rPkhPjO4u&#10;hKaqBONrw64U16FndVxCwJZ8I6yny67aquIsPKsqzwORBcVOQ7djErR3cU+WC8hrB7YR7FQC3KWE&#10;Wz0pEBqTnqnWEIBcOfEXlRLMGW+qMGBGJX0jnSLYxUV6S5vnDVje9YJSe3sW3f8/WvZ0v3VElDgJ&#10;2WyezsejFKXRoPDlb95cf3v9/ubzp6/vrr9/eRvtjx/IbDKKqrXW5whe6a07nbzduijBoXKKVFLY&#10;x0hKO+tVtGIMGyaHTv3jWX1+CIShczSfZaMJJQxD41k2nk5jnqQnjGDrfHjEjSLRKKgPDkTdhJXR&#10;Gt/ZuD4F7J/40AN/AiJYm42QEv2QS03agg6zySxmA5zhCmcHTWVRB69rSkDW+DlYcF3V3khRRnhE&#10;e1fvVtKRPeBIbXChYH26P67F3GvwTX+vC8VrkCsR8P9IoQqapXH17oZD+VCXJBwtSh+cAF1L3scC&#10;CPnvGKojNYoUX6PXP1o7Ux67Z+n8ODmdjKcpj6P5+7lD//rZyx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bJn5B2gAAAAsBAAAPAAAAAAAAAAEAIAAAACIAAABkcnMvZG93bnJldi54bWxQSwECFAAU&#10;AAAACACHTuJAhVpEdigCAAAhBAAADgAAAAAAAAABACAAAAApAQAAZHJzL2Uyb0RvYy54bWxQSwUG&#10;AAAAAAYABgBZAQAAwwUAAAAA&#10;">
                <v:fill on="f" focussize="0,0"/>
                <v:stroke weight="2.25pt" color="#FFFF00 [3204]" miterlimit="8" joinstyle="miter" startarrow="block" endarrow="block"/>
                <v:imagedata o:title=""/>
                <o:lock v:ext="edit" aspectratio="f"/>
              </v:shape>
            </w:pict>
          </mc:Fallback>
        </mc:AlternateContent>
      </w:r>
      <w:r>
        <mc:AlternateContent>
          <mc:Choice Requires="wps">
            <w:drawing>
              <wp:anchor distT="0" distB="0" distL="114300" distR="114300" simplePos="0" relativeHeight="251907072" behindDoc="0" locked="0" layoutInCell="1" allowOverlap="1">
                <wp:simplePos x="0" y="0"/>
                <wp:positionH relativeFrom="column">
                  <wp:posOffset>1515110</wp:posOffset>
                </wp:positionH>
                <wp:positionV relativeFrom="paragraph">
                  <wp:posOffset>2727960</wp:posOffset>
                </wp:positionV>
                <wp:extent cx="260350" cy="504190"/>
                <wp:effectExtent l="38100" t="38100" r="44450" b="48895"/>
                <wp:wrapNone/>
                <wp:docPr id="1315589541" name="直接箭头连接符 753"/>
                <wp:cNvGraphicFramePr/>
                <a:graphic xmlns:a="http://schemas.openxmlformats.org/drawingml/2006/main">
                  <a:graphicData uri="http://schemas.microsoft.com/office/word/2010/wordprocessingShape">
                    <wps:wsp>
                      <wps:cNvCnPr/>
                      <wps:spPr>
                        <a:xfrm flipH="1">
                          <a:off x="0" y="0"/>
                          <a:ext cx="260660" cy="504161"/>
                        </a:xfrm>
                        <a:prstGeom prst="straightConnector1">
                          <a:avLst/>
                        </a:prstGeom>
                        <a:ln w="28575">
                          <a:solidFill>
                            <a:srgbClr val="FFFF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753" o:spid="_x0000_s1026" o:spt="32" type="#_x0000_t32" style="position:absolute;left:0pt;flip:x;margin-left:119.3pt;margin-top:214.8pt;height:39.7pt;width:20.5pt;z-index:251907072;mso-width-relative:page;mso-height-relative:page;" filled="f" stroked="t" coordsize="21600,21600" o:gfxdata="UEsDBAoAAAAAAIdO4kAAAAAAAAAAAAAAAAAEAAAAZHJzL1BLAwQUAAAACACHTuJATQLfeNoAAAAL&#10;AQAADwAAAGRycy9kb3ducmV2LnhtbE2PTU/DMAyG70j8h8hIXCqWtMDYSt0dkKZdkNAKSByz1jQV&#10;TVIl2Qf8erwT3F7Lj14/rlYnO4oDhTh4h5DPFAhyre8G1yO8va5vFiBi0q7To3eE8E0RVvXlRaXL&#10;zh/dlg5N6gWXuFhqBJPSVEoZW0NWx5mfyPHu0werE4+hl13QRy63oyyUmkurB8cXjJ7oyVD71ewt&#10;Ar2EDWXK9O8+xJ+PZpNn2fMa8foqV48gEp3SHwxnfVaHmp12fu+6KEaE4nYxZxThrlhyYKJ4OIcd&#10;wr1aKpB1Jf//UP8CUEsDBBQAAAAIAIdO4kDMDN8jJQIAABcEAAAOAAAAZHJzL2Uyb0RvYy54bWyt&#10;U82O0zAQviPxDpbvNEl30y1R0z20FA4IKgEPMHWcxJL/ZHv78xK8ABIn4ASc9s7TwPIYjJ1SYOGw&#10;B3KwxjOZb2a++Ty73CtJttx5YXRNi1FOCdfMNEJ3NX31cvVgSokPoBuQRvOaHrinl/P792Y7W/Gx&#10;6Y1suCMIon21szXtQ7BVlnnWcwV+ZCzXGGyNUxDw6rqscbBDdCWzcZ5Psp1xjXWGce/RuxyC9Ijo&#10;7gJo2lYwvjTsSnEdBlTHJQQcyffCejpP3bYtZ+F523oeiKwpThrSiUXQ3sQzm8+g6hzYXrBjC3CX&#10;Fm7NpEBoLHqCWkIAcuXEX1BKMGe8acOIGZUNgyRGcIoiv8XNix4sT7Mg1d6eSPf/D5Y9264dEQ0q&#10;4awoy+nD8rygRIPCzd+8uf72+v3N509f311///I22h8/kIvyLLK2s77C5IVeu+PN27WLFOxbp0gr&#10;hX2CoIkUHJPsE+eHE+d8HwhD53iSTya4DYahMj8vJkVEzwaYCGedD4+5USQaNfXBgej6sDBa43aN&#10;G0rA9qkPQ+LPhJiszUpIiX6opCY7LDctL0qsBqjcFhWDprI4vdcdJSA7fBIsuNS1N1I0MT1me9dt&#10;FtKRLaCQVvjlSTvY5x+/xdpL8P3wXwoNElMi4KuRQtV0msdvcPccmke6IeFgkfDgBOhO8iEWQMh/&#10;x7Cq1EhS3MHAerQ2pjmkZSQ/6iXReNR2FOTv95T96z3P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NAt942gAAAAsBAAAPAAAAAAAAAAEAIAAAACIAAABkcnMvZG93bnJldi54bWxQSwECFAAUAAAA&#10;CACHTuJAzAzfIyUCAAAXBAAADgAAAAAAAAABACAAAAApAQAAZHJzL2Uyb0RvYy54bWxQSwUGAAAA&#10;AAYABgBZAQAAwAUAAAAA&#10;">
                <v:fill on="f" focussize="0,0"/>
                <v:stroke weight="2.25pt" color="#FFFF00 [3204]" miterlimit="8" joinstyle="miter" startarrow="block" endarrow="block"/>
                <v:imagedata o:title=""/>
                <o:lock v:ext="edit" aspectratio="f"/>
              </v:shape>
            </w:pict>
          </mc:Fallback>
        </mc:AlternateContent>
      </w:r>
      <w:r>
        <mc:AlternateContent>
          <mc:Choice Requires="wps">
            <w:drawing>
              <wp:anchor distT="0" distB="0" distL="114300" distR="114300" simplePos="0" relativeHeight="251906048" behindDoc="0" locked="0" layoutInCell="1" allowOverlap="1">
                <wp:simplePos x="0" y="0"/>
                <wp:positionH relativeFrom="column">
                  <wp:posOffset>1823085</wp:posOffset>
                </wp:positionH>
                <wp:positionV relativeFrom="paragraph">
                  <wp:posOffset>2440940</wp:posOffset>
                </wp:positionV>
                <wp:extent cx="122555" cy="280670"/>
                <wp:effectExtent l="38100" t="38100" r="48895" b="43180"/>
                <wp:wrapNone/>
                <wp:docPr id="2080574822" name="直接箭头连接符 753"/>
                <wp:cNvGraphicFramePr/>
                <a:graphic xmlns:a="http://schemas.openxmlformats.org/drawingml/2006/main">
                  <a:graphicData uri="http://schemas.microsoft.com/office/word/2010/wordprocessingShape">
                    <wps:wsp>
                      <wps:cNvCnPr/>
                      <wps:spPr>
                        <a:xfrm flipH="1">
                          <a:off x="0" y="0"/>
                          <a:ext cx="122643" cy="280877"/>
                        </a:xfrm>
                        <a:prstGeom prst="straightConnector1">
                          <a:avLst/>
                        </a:prstGeom>
                        <a:ln w="28575">
                          <a:solidFill>
                            <a:srgbClr val="FFFF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753" o:spid="_x0000_s1026" o:spt="32" type="#_x0000_t32" style="position:absolute;left:0pt;flip:x;margin-left:143.55pt;margin-top:192.2pt;height:22.1pt;width:9.65pt;z-index:251906048;mso-width-relative:page;mso-height-relative:page;" filled="f" stroked="t" coordsize="21600,21600" o:gfxdata="UEsDBAoAAAAAAIdO4kAAAAAAAAAAAAAAAAAEAAAAZHJzL1BLAwQUAAAACACHTuJACrG1vtoAAAAL&#10;AQAADwAAAGRycy9kb3ducmV2LnhtbE2PTUvEMBCG74L/IYzgpbhJu6WW2nQPwrIXQewqeMw2Y1Ns&#10;kpJkP/TXO570NsM8vPO87eZiZ3bCECfvJOQrAQzd4PXkRgmv++1dDSwm5bSavUMJXxhh011ftarR&#10;/uxe8NSnkVGIi42SYFJaGs7jYNCquPILOrp9+GBVojWMXAd1pnA780KIils1Ofpg1IKPBofP/mgl&#10;4HPYYSbM+OZD/H7vd3mWPW2lvL3JxQOwhJf0B8OvPqlDR04Hf3Q6sllCUd/nhEpY12UJjIi1qGg4&#10;SCiLugLetfx/h+4HUEsDBBQAAAAIAIdO4kBEMcHoJQIAABcEAAAOAAAAZHJzL2Uyb0RvYy54bWyt&#10;U0uOEzEQ3SNxB8t70p2eyaTVSmcWCYEFgkjAASpud7cl/2R78rkEF0BiBawYVrPnNDAcg7I7BBhY&#10;zAIvrHKV61XV8/Pscq8k2XLnhdE1HY9ySrhmphG6q+nrV6tHJSU+gG5AGs1reuCeXs4fPpjtbMUL&#10;0xvZcEcQRPtqZ2vah2CrLPOs5wr8yFiuMdgapyDg0XVZ42CH6EpmRZ5fZDvjGusM496jdzkE6RHR&#10;3QfQtK1gfGnYleI6DKiOSwg4ku+F9XSeum1bzsKLtvU8EFlTnDSkHYugvYl7Np9B1TmwvWDHFuA+&#10;LdyZSYHQWPQEtYQA5MqJv6CUYM5404YRMyobBkmM4BTj/A43L3uwPM2CVHt7It3/P1j2fLt2RDQ1&#10;LfIyn0zPy6KgRIPCl799e/PtzYfbz9df3998//Iu2p8+kunkLLK2s77C5IVeu+PJ27WLFOxbp0gr&#10;hX2K8kqk4Jhknzg/nDjn+0AYOsdFcXF+RgnDUFHm5XQa0bMBJsJZ58MTbhSJRk19cCC6PiyM1vi6&#10;xg0lYPvMhyHxZ0JM1mYlpEQ/VFKTXSwxmU6wGqByW1QMmsri9F53lIDs8Euw4FLX3kjRxPSY7V23&#10;WUhHtoBCWuHKk3awzz+uxdpL8P1wL4UGiSkR8NdIoWpa5nEN7p5D81g3JBwsEh6cAN1JPsQCCPnv&#10;GFaVGkmKbzCwHq2NaQ7pMZIf9ZJoPGo7CvL3c8r+9Z/nP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KsbW+2gAAAAsBAAAPAAAAAAAAAAEAIAAAACIAAABkcnMvZG93bnJldi54bWxQSwECFAAUAAAA&#10;CACHTuJARDHB6CUCAAAXBAAADgAAAAAAAAABACAAAAApAQAAZHJzL2Uyb0RvYy54bWxQSwUGAAAA&#10;AAYABgBZAQAAwAUAAAAA&#10;">
                <v:fill on="f" focussize="0,0"/>
                <v:stroke weight="2.25pt" color="#FFFF00 [3204]" miterlimit="8" joinstyle="miter" startarrow="block" endarrow="block"/>
                <v:imagedata o:title=""/>
                <o:lock v:ext="edit" aspectratio="f"/>
              </v:shape>
            </w:pict>
          </mc:Fallback>
        </mc:AlternateContent>
      </w:r>
      <w:r>
        <mc:AlternateContent>
          <mc:Choice Requires="wps">
            <w:drawing>
              <wp:anchor distT="0" distB="0" distL="114300" distR="114300" simplePos="0" relativeHeight="251905024" behindDoc="0" locked="0" layoutInCell="1" allowOverlap="1">
                <wp:simplePos x="0" y="0"/>
                <wp:positionH relativeFrom="column">
                  <wp:posOffset>1946275</wp:posOffset>
                </wp:positionH>
                <wp:positionV relativeFrom="paragraph">
                  <wp:posOffset>1993900</wp:posOffset>
                </wp:positionV>
                <wp:extent cx="212725" cy="398145"/>
                <wp:effectExtent l="38100" t="38100" r="54610" b="40640"/>
                <wp:wrapNone/>
                <wp:docPr id="664689512" name="直接箭头连接符 753"/>
                <wp:cNvGraphicFramePr/>
                <a:graphic xmlns:a="http://schemas.openxmlformats.org/drawingml/2006/main">
                  <a:graphicData uri="http://schemas.microsoft.com/office/word/2010/wordprocessingShape">
                    <wps:wsp>
                      <wps:cNvCnPr/>
                      <wps:spPr>
                        <a:xfrm flipH="1">
                          <a:off x="0" y="0"/>
                          <a:ext cx="212651" cy="397835"/>
                        </a:xfrm>
                        <a:prstGeom prst="straightConnector1">
                          <a:avLst/>
                        </a:prstGeom>
                        <a:ln w="28575">
                          <a:solidFill>
                            <a:srgbClr val="FFFF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753" o:spid="_x0000_s1026" o:spt="32" type="#_x0000_t32" style="position:absolute;left:0pt;flip:x;margin-left:153.25pt;margin-top:157pt;height:31.35pt;width:16.75pt;z-index:251905024;mso-width-relative:page;mso-height-relative:page;" filled="f" stroked="t" coordsize="21600,21600" o:gfxdata="UEsDBAoAAAAAAIdO4kAAAAAAAAAAAAAAAAAEAAAAZHJzL1BLAwQUAAAACACHTuJA2k3pM9kAAAAL&#10;AQAADwAAAGRycy9kb3ducmV2LnhtbE2PzU7DMBCE70i8g7VIXKLWDi0pCnF6QKp6QUIEkHp0kyWO&#10;iNeR7f7A07Oc6G1GO5r9plqf3SiOGOLgSUM+VyCQWt8N1Gt4f9vMHkDEZKgzoyfU8I0R1vX1VWXK&#10;zp/oFY9N6gWXUCyNBpvSVEoZW4vOxLmfkPj26YMziW3oZRfMicvdKO+UKqQzA/EHayZ8sth+NQen&#10;AV/CFjNl+w8f4s+u2eZZ9rzR+vYmV48gEp7Tfxj+8Bkdamba+wN1UYwaFqq45yiLfMmjOLFYKhZ7&#10;FqtiBbKu5OWG+hdQSwMEFAAAAAgAh07iQByEvlklAgAAFgQAAA4AAABkcnMvZTJvRG9jLnhtbK1T&#10;S44TMRDdI3EHy3vSnYROMq10ZpEQWCCIBByg4nZ3W/JPtiefS3ABJFbACljNntPAcAzK7hBgYDEL&#10;vLDKVa5XVc/P88uDkmTHnRdGV3Q4yCnhmpla6Lair16uH8wo8QF0DdJoXtEj9/Rycf/efG9LPjKd&#10;kTV3BEG0L/e2ol0ItswyzzquwA+M5RqDjXEKAh5dm9UO9oiuZDbK80m2N662zjDuPXpXfZCeEN1d&#10;AE3TCMZXhl0prkOP6riEgCP5TlhPF6nbpuEsPG8azwORFcVJQ9qxCNrbuGeLOZStA9sJdmoB7tLC&#10;rZkUCI1Fz1ArCECunPgLSgnmjDdNGDCjsn6QxAhOMcxvcfOiA8vTLEi1t2fS/f+DZc92G0dEXdHJ&#10;5OFkdlEMR5RoUPjwN2+uv71+f/P509d319+/vI32xw9kWowjaXvrS8xd6o07nbzduMjAoXGKNFLY&#10;J6iuxAlOSQ6J8uOZcn4IhKFzNBxNiiElDEPji+lsXET0rIeJcNb58JgbRaJRUR8ciLYLS6M1Pq5x&#10;fQnYPfWhT/yZEJO1WQsp0Q+l1GSP5WbFtMBqgMJtUDBoKovDe91SArLFH8GCS117I0Ud02O2d+12&#10;KR3ZAepojStP0sE+/7gWa6/Ad/29FOoVpkTATyOFqugsj6t3dxzqR7om4WiR8OAE6FbyPhZAyH/H&#10;sKrUSFJ8g571aG1NfUyPkfwol0TjSdpRj7+fU/av77z4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NpN6TPZAAAACwEAAA8AAAAAAAAAAQAgAAAAIgAAAGRycy9kb3ducmV2LnhtbFBLAQIUABQAAAAI&#10;AIdO4kAchL5ZJQIAABYEAAAOAAAAAAAAAAEAIAAAACgBAABkcnMvZTJvRG9jLnhtbFBLBQYAAAAA&#10;BgAGAFkBAAC/BQAAAAA=&#10;">
                <v:fill on="f" focussize="0,0"/>
                <v:stroke weight="2.25pt" color="#FFFF00 [3204]" miterlimit="8" joinstyle="miter" startarrow="block" endarrow="block"/>
                <v:imagedata o:title=""/>
                <o:lock v:ext="edit" aspectratio="f"/>
              </v:shape>
            </w:pict>
          </mc:Fallback>
        </mc:AlternateContent>
      </w:r>
      <w:r>
        <mc:AlternateContent>
          <mc:Choice Requires="wps">
            <w:drawing>
              <wp:anchor distT="0" distB="0" distL="114300" distR="114300" simplePos="0" relativeHeight="251904000" behindDoc="0" locked="0" layoutInCell="1" allowOverlap="1">
                <wp:simplePos x="0" y="0"/>
                <wp:positionH relativeFrom="column">
                  <wp:posOffset>2162175</wp:posOffset>
                </wp:positionH>
                <wp:positionV relativeFrom="paragraph">
                  <wp:posOffset>1668145</wp:posOffset>
                </wp:positionV>
                <wp:extent cx="393700" cy="318770"/>
                <wp:effectExtent l="38100" t="38100" r="45085" b="43180"/>
                <wp:wrapNone/>
                <wp:docPr id="100001200" name="直接箭头连接符 753"/>
                <wp:cNvGraphicFramePr/>
                <a:graphic xmlns:a="http://schemas.openxmlformats.org/drawingml/2006/main">
                  <a:graphicData uri="http://schemas.microsoft.com/office/word/2010/wordprocessingShape">
                    <wps:wsp>
                      <wps:cNvCnPr/>
                      <wps:spPr>
                        <a:xfrm flipH="1">
                          <a:off x="0" y="0"/>
                          <a:ext cx="393405" cy="318977"/>
                        </a:xfrm>
                        <a:prstGeom prst="straightConnector1">
                          <a:avLst/>
                        </a:prstGeom>
                        <a:ln w="28575">
                          <a:solidFill>
                            <a:srgbClr val="FFFF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753" o:spid="_x0000_s1026" o:spt="32" type="#_x0000_t32" style="position:absolute;left:0pt;flip:x;margin-left:170.25pt;margin-top:131.35pt;height:25.1pt;width:31pt;z-index:251904000;mso-width-relative:page;mso-height-relative:page;" filled="f" stroked="t" coordsize="21600,21600" o:gfxdata="UEsDBAoAAAAAAIdO4kAAAAAAAAAAAAAAAAAEAAAAZHJzL1BLAwQUAAAACACHTuJAwlnVb9oAAAAL&#10;AQAADwAAAGRycy9kb3ducmV2LnhtbE2Py07DMBBF90j8gzVIbKLWjikFQpwukKpukFADlVi68RBH&#10;xHZkuw/4eoYVLGfu0Z0z9ersRnbEmIbgFZRzAQx9F8zgewVvr+vZPbCUtTd6DB4VfGGCVXN5UevK&#10;hJPf4rHNPaMSnyqtwOY8VZynzqLTaR4m9JR9hOh0pjH23ER9onI3cinEkjs9eLpg9YRPFrvP9uAU&#10;4EvcYCFsvwsxfb+3m7IontdKXV+V4hFYxnP+g+FXn9ShIad9OHiT2KjgZiFuCVUgl/IOGBELIWmz&#10;p6iUD8Cbmv//ofkBUEsDBBQAAAAIAIdO4kBqAgMJIwIAABYEAAAOAAAAZHJzL2Uyb0RvYy54bWyt&#10;U72OEzEQ7pF4B8s92U1CSG6VzRUJgQJBJI4HmHi9u5b8J9uXTV6CF0CiAqqD6nqe5jgeg7E3BDgo&#10;rsCFNfb4+2bmm/H8fK8k2XHnhdElHQ5ySrhmphK6Kembi/WjGSU+gK5AGs1LeuCeni8ePph3tuAj&#10;0xpZcUeQRPuisyVtQ7BFlnnWcgV+YCzX6KyNUxDw6JqsctAhu5LZKM+fZJ1xlXWGce/xdtU76ZHR&#10;3YfQ1LVgfGXYpeI69KyOSwhYkm+F9XSRsq1rzsKruvY8EFlSrDSkHYOgvY17tphD0TiwrWDHFOA+&#10;KdypSYHQGPREtYIA5NKJv6iUYM54U4cBMyrrC0mKYBXD/I42r1uwPNWCUnt7Et3/P1r2crdxRFQ4&#10;CTmuIXaIEg0KG3/77vrb24+3Xz7ffLj+/vV9tK8+kelkHEXrrC8Qu9Qbdzx5u3FRgX3tFKmlsM+R&#10;M2mCVZJ9kvxwkpzvA2F4OT4bP84nlDB0jYezs+k0smc9TaSzzodn3CgSjZL64EA0bVgarbG5xvUh&#10;YPfChx74ExDB2qyFlHgPhdSkK+loNpnGaICDW+PAoKksFu91QwnIBn8ECy5l7Y0UVYRHtHfNdikd&#10;2QHO0RoXytSH++NZjL0C3/bvkis+g0KJgJ9GClXSWdT5OHgth+qprkg4WBQ8OAG6kbyHBBDy3z5U&#10;R2oUKfagVz1aW1MdUjPSPY5LkvE42nEefz8n9K/vvPg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wlnVb9oAAAALAQAADwAAAAAAAAABACAAAAAiAAAAZHJzL2Rvd25yZXYueG1sUEsBAhQAFAAAAAgA&#10;h07iQGoCAwkjAgAAFgQAAA4AAAAAAAAAAQAgAAAAKQEAAGRycy9lMm9Eb2MueG1sUEsFBgAAAAAG&#10;AAYAWQEAAL4FAAAAAA==&#10;">
                <v:fill on="f" focussize="0,0"/>
                <v:stroke weight="2.25pt" color="#FFFF00 [3204]" miterlimit="8" joinstyle="miter" startarrow="block" endarrow="block"/>
                <v:imagedata o:title=""/>
                <o:lock v:ext="edit" aspectratio="f"/>
              </v:shape>
            </w:pict>
          </mc:Fallback>
        </mc:AlternateContent>
      </w:r>
      <w:r>
        <mc:AlternateContent>
          <mc:Choice Requires="wps">
            <w:drawing>
              <wp:anchor distT="0" distB="0" distL="114300" distR="114300" simplePos="0" relativeHeight="251902976" behindDoc="0" locked="0" layoutInCell="1" allowOverlap="1">
                <wp:simplePos x="0" y="0"/>
                <wp:positionH relativeFrom="column">
                  <wp:posOffset>2588895</wp:posOffset>
                </wp:positionH>
                <wp:positionV relativeFrom="paragraph">
                  <wp:posOffset>1329055</wp:posOffset>
                </wp:positionV>
                <wp:extent cx="393700" cy="318770"/>
                <wp:effectExtent l="38100" t="38100" r="45085" b="43180"/>
                <wp:wrapNone/>
                <wp:docPr id="689810827" name="直接箭头连接符 753"/>
                <wp:cNvGraphicFramePr/>
                <a:graphic xmlns:a="http://schemas.openxmlformats.org/drawingml/2006/main">
                  <a:graphicData uri="http://schemas.microsoft.com/office/word/2010/wordprocessingShape">
                    <wps:wsp>
                      <wps:cNvCnPr/>
                      <wps:spPr>
                        <a:xfrm flipH="1">
                          <a:off x="0" y="0"/>
                          <a:ext cx="393405" cy="318977"/>
                        </a:xfrm>
                        <a:prstGeom prst="straightConnector1">
                          <a:avLst/>
                        </a:prstGeom>
                        <a:ln w="28575">
                          <a:solidFill>
                            <a:srgbClr val="FFFF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753" o:spid="_x0000_s1026" o:spt="32" type="#_x0000_t32" style="position:absolute;left:0pt;flip:x;margin-left:203.85pt;margin-top:104.65pt;height:25.1pt;width:31pt;z-index:251902976;mso-width-relative:page;mso-height-relative:page;" filled="f" stroked="t" coordsize="21600,21600" o:gfxdata="UEsDBAoAAAAAAIdO4kAAAAAAAAAAAAAAAAAEAAAAZHJzL1BLAwQUAAAACACHTuJATEz/B9oAAAAL&#10;AQAADwAAAGRycy9kb3ducmV2LnhtbE2PTUvEMBCG74L/IYzgpbhJ1/2wtekehGUvglgVPGbbsSk2&#10;k5JkP/TXO570OO88vPNMtTm7URwxxMGThnymQCC1vhuo1/D6sr25AxGToc6MnlDDF0bY1JcXlSk7&#10;f6JnPDapF1xCsTQabEpTKWVsLToTZ35C4t2HD84kHkMvu2BOXO5GOVdqJZ0ZiC9YM+GDxfazOTgN&#10;+BR2mCnbv/kQv9+bXZ5lj1utr69ydQ8i4Tn9wfCrz+pQs9PeH6iLYtSwUOs1oxrmqrgFwcRiVXCy&#10;52RZLEHWlfz/Q/0DUEsDBBQAAAAIAIdO4kB5GnkVJAIAABYEAAAOAAAAZHJzL2Uyb0RvYy54bWyt&#10;U0uOEzEQ3SNxB8t70p2ETDqtdGaREFggiAQcoOJ2d1vyT7Ynn0twASRWwApYzZ7TwHAMyu4QYGAx&#10;C7ywylWuV1XPz/PLg5Jkx50XRld0OMgp4ZqZWui2oq9erh8UlPgAugZpNK/okXt6ubh/b763JR+Z&#10;zsiaO4Ig2pd7W9EuBFtmmWcdV+AHxnKNwcY4BQGPrs1qB3tEVzIb5flFtjeuts4w7j16V32QnhDd&#10;XQBN0wjGV4ZdKa5Dj+q4hIAj+U5YTxep26bhLDxvGs8DkRXFSUPasQja27hnizmUrQPbCXZqAe7S&#10;wq2ZFAiNRc9QKwhArpz4C0oJ5ow3TRgwo7J+kMQITjHMb3HzogPL0yxItbdn0v3/g2XPdhtHRF3R&#10;i2JWDPNiNKVEg8KHv3lz/e31+5vPn76+u/7+5W20P34g08k4kra3vsTcpd6408nbjYsMHBqnSCOF&#10;fYLqSpzglOSQKD+eKeeHQBg6x7Pxw3xCCcPQeFjMptOInvUwEc46Hx5zo0g0KuqDA9F2YWm0xsc1&#10;ri8Bu6c+9Ik/E2KyNmshJfqhlJrsKzoqJtNYDVC4DQoGTWVxeK9bSkC2+CNYcKlrb6SoY3rM9q7d&#10;LqUjO0AdrXHlSTrY5x/XYu0V+K6/l0K9wpQI+GmkUBUt8rh6d8ehfqRrEo4WCQ9OgG4l72MBhPx3&#10;DKtKjSTFN+hZj9bW1Mf0GMmPckk0nqQd9fj7OWX/+s6L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ExM/wfaAAAACwEAAA8AAAAAAAAAAQAgAAAAIgAAAGRycy9kb3ducmV2LnhtbFBLAQIUABQAAAAI&#10;AIdO4kB5GnkVJAIAABYEAAAOAAAAAAAAAAEAIAAAACkBAABkcnMvZTJvRG9jLnhtbFBLBQYAAAAA&#10;BgAGAFkBAAC/BQAAAAA=&#10;">
                <v:fill on="f" focussize="0,0"/>
                <v:stroke weight="2.25pt" color="#FFFF00 [3204]" miterlimit="8" joinstyle="miter" startarrow="block" endarrow="block"/>
                <v:imagedata o:title=""/>
                <o:lock v:ext="edit" aspectratio="f"/>
              </v:shape>
            </w:pict>
          </mc:Fallback>
        </mc:AlternateContent>
      </w:r>
      <w:r>
        <mc:AlternateContent>
          <mc:Choice Requires="wps">
            <w:drawing>
              <wp:anchor distT="0" distB="0" distL="114300" distR="114300" simplePos="0" relativeHeight="251862016" behindDoc="0" locked="0" layoutInCell="1" allowOverlap="1">
                <wp:simplePos x="0" y="0"/>
                <wp:positionH relativeFrom="column">
                  <wp:posOffset>1707515</wp:posOffset>
                </wp:positionH>
                <wp:positionV relativeFrom="paragraph">
                  <wp:posOffset>1462405</wp:posOffset>
                </wp:positionV>
                <wp:extent cx="707390" cy="890270"/>
                <wp:effectExtent l="38100" t="0" r="35560" b="62230"/>
                <wp:wrapNone/>
                <wp:docPr id="930989427" name="自选图形 7277"/>
                <wp:cNvGraphicFramePr/>
                <a:graphic xmlns:a="http://schemas.openxmlformats.org/drawingml/2006/main">
                  <a:graphicData uri="http://schemas.microsoft.com/office/word/2010/wordprocessingShape">
                    <wps:wsp>
                      <wps:cNvCnPr>
                        <a:cxnSpLocks noChangeShapeType="1"/>
                      </wps:cNvCnPr>
                      <wps:spPr bwMode="auto">
                        <a:xfrm flipH="1">
                          <a:off x="0" y="0"/>
                          <a:ext cx="707666" cy="890546"/>
                        </a:xfrm>
                        <a:prstGeom prst="straightConnector1">
                          <a:avLst/>
                        </a:prstGeom>
                        <a:noFill/>
                        <a:ln w="12700">
                          <a:solidFill>
                            <a:srgbClr val="EE0000"/>
                          </a:solidFill>
                          <a:round/>
                          <a:tailEnd type="triangle" w="med" len="med"/>
                        </a:ln>
                      </wps:spPr>
                      <wps:bodyPr/>
                    </wps:wsp>
                  </a:graphicData>
                </a:graphic>
              </wp:anchor>
            </w:drawing>
          </mc:Choice>
          <mc:Fallback>
            <w:pict>
              <v:shape id="自选图形 7277" o:spid="_x0000_s1026" o:spt="32" type="#_x0000_t32" style="position:absolute;left:0pt;flip:x;margin-left:134.45pt;margin-top:115.15pt;height:70.1pt;width:55.7pt;z-index:251862016;mso-width-relative:page;mso-height-relative:page;" filled="f" stroked="t" coordsize="21600,21600" o:gfxdata="UEsDBAoAAAAAAIdO4kAAAAAAAAAAAAAAAAAEAAAAZHJzL1BLAwQUAAAACACHTuJAy0XE7dsAAAAL&#10;AQAADwAAAGRycy9kb3ducmV2LnhtbE2PwUrDQBCG74LvsIzgze62oWmM2RQRvBREWoXqbZudJqHZ&#10;2ZDdtLVP7/Skt2+Yn3++KZZn14kjDqH1pGE6USCQKm9bqjV8frw+ZCBCNGRN5wk1/GCAZXl7U5jc&#10;+hOt8biJteASCrnR0MTY51KGqkFnwsT3SLzb+8GZyONQSzuYE5e7Ts6USqUzLfGFxvT40mB12IxO&#10;w3hZvX/P1/1h26bPb4vt5Svbr7zW93dT9QQi4jn+heGqz+pQstPOj2SD6DTM0uyRowyJSkBwIsmu&#10;sGNYqDnIspD/fyh/AVBLAwQUAAAACACHTuJAxtE0eh0CAAD9AwAADgAAAGRycy9lMm9Eb2MueG1s&#10;rVPBjtMwEL0j8Q+W7zRpWZo2arqHtguHBSrt8gGu4zQWtsey3aa9cUN8AzeO/AP8zUrwF4ydqssu&#10;lz2QQ2R75r158zyeXR60InvhvART0eEgp0QYDrU024p+uL16MaHEB2ZqpsCIih6Fp5fz589mnS3F&#10;CFpQtXAESYwvO1vRNgRbZpnnrdDMD8AKg8EGnGYBt26b1Y51yK5VNsrzcdaBq60DLrzH02UfpCdG&#10;9xRCaBrJxRL4TgsTelYnFAvYkm+l9XSe1DaN4OF903gRiKoodhrSH4vgehP/2XzGyq1jtpX8JIE9&#10;RcKjnjSTBoueqZYsMLJz8h8qLbkDD00YcNBZ30hyBLsY5o+8uWmZFakXtNrbs+n+/9Hyd/u1I7Ku&#10;6PRlPp1ML0YFJYZpvPhfn7///vTl7uvPux/fSDEqimhWZ32JmIVZu9guP5gbew38oycGFi0zW5FE&#10;3x4tMgwjInsAiRtvseSmews15rBdgOTcoXGaNEraNxEYydEdckhXdTxflTgEwvGwyIvxeEwJx9Bk&#10;mr+6GKdarIw0EWydD68FaBIXFfXBMbltwwKMwaEA15dg+2sfosh7QAQbuJJKpdlQhnQoaFTkeRLl&#10;Qck6RmOed9vNQjmyZzheq1WO30nGgzQHO1MntsCkWpmahORPcBIdU4LGElrUlCiBbzKuek3KnPyL&#10;lvXmb6A+rl0MRytxKpL40wTHsft7n7LuX+38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MtFxO3b&#10;AAAACwEAAA8AAAAAAAAAAQAgAAAAIgAAAGRycy9kb3ducmV2LnhtbFBLAQIUABQAAAAIAIdO4kDG&#10;0TR6HQIAAP0DAAAOAAAAAAAAAAEAIAAAACoBAABkcnMvZTJvRG9jLnhtbFBLBQYAAAAABgAGAFkB&#10;AAC5BQAAAAA=&#10;">
                <v:fill on="f" focussize="0,0"/>
                <v:stroke weight="1pt" color="#EE0000" joinstyle="round" endarrow="block"/>
                <v:imagedata o:title=""/>
                <o:lock v:ext="edit" aspectratio="f"/>
              </v:shape>
            </w:pict>
          </mc:Fallback>
        </mc:AlternateContent>
      </w:r>
      <w:r>
        <mc:AlternateContent>
          <mc:Choice Requires="wps">
            <w:drawing>
              <wp:anchor distT="0" distB="0" distL="114300" distR="114300" simplePos="0" relativeHeight="251901952" behindDoc="0" locked="0" layoutInCell="1" allowOverlap="1">
                <wp:simplePos x="0" y="0"/>
                <wp:positionH relativeFrom="margin">
                  <wp:posOffset>1326515</wp:posOffset>
                </wp:positionH>
                <wp:positionV relativeFrom="paragraph">
                  <wp:posOffset>1861185</wp:posOffset>
                </wp:positionV>
                <wp:extent cx="1161415" cy="365760"/>
                <wp:effectExtent l="0" t="0" r="0" b="0"/>
                <wp:wrapNone/>
                <wp:docPr id="1445839921" name="自选图形 7278"/>
                <wp:cNvGraphicFramePr/>
                <a:graphic xmlns:a="http://schemas.openxmlformats.org/drawingml/2006/main">
                  <a:graphicData uri="http://schemas.microsoft.com/office/word/2010/wordprocessingShape">
                    <wps:wsp>
                      <wps:cNvSpPr>
                        <a:spLocks noChangeArrowheads="1"/>
                      </wps:cNvSpPr>
                      <wps:spPr bwMode="auto">
                        <a:xfrm>
                          <a:off x="0" y="0"/>
                          <a:ext cx="1161415" cy="365760"/>
                        </a:xfrm>
                        <a:prstGeom prst="wedgeRoundRectCallout">
                          <a:avLst>
                            <a:gd name="adj1" fmla="val -124139"/>
                            <a:gd name="adj2" fmla="val -93579"/>
                            <a:gd name="adj3" fmla="val 16667"/>
                          </a:avLst>
                        </a:prstGeom>
                        <a:noFill/>
                        <a:ln>
                          <a:noFill/>
                        </a:ln>
                      </wps:spPr>
                      <wps:txbx>
                        <w:txbxContent>
                          <w:p w14:paraId="54E2DC24">
                            <w:pPr>
                              <w:rPr>
                                <w:b/>
                                <w:bCs/>
                                <w:color w:val="FF0000"/>
                              </w:rPr>
                            </w:pPr>
                            <w:r>
                              <w:rPr>
                                <w:rFonts w:hint="eastAsia"/>
                                <w:b/>
                                <w:bCs/>
                                <w:color w:val="FF0000"/>
                                <w:lang w:eastAsia="zh-CN"/>
                              </w:rPr>
                              <w:t>水流方向</w:t>
                            </w:r>
                          </w:p>
                        </w:txbxContent>
                      </wps:txbx>
                      <wps:bodyPr rot="0" vert="horz" wrap="square" lIns="91440" tIns="45720" rIns="91440" bIns="45720" anchor="t" anchorCtr="0" upright="1">
                        <a:noAutofit/>
                      </wps:bodyPr>
                    </wps:wsp>
                  </a:graphicData>
                </a:graphic>
              </wp:anchor>
            </w:drawing>
          </mc:Choice>
          <mc:Fallback>
            <w:pict>
              <v:shape id="自选图形 7278" o:spid="_x0000_s1026" o:spt="62" type="#_x0000_t62" style="position:absolute;left:0pt;margin-left:104.45pt;margin-top:146.55pt;height:28.8pt;width:91.45pt;mso-position-horizontal-relative:margin;z-index:251901952;mso-width-relative:page;mso-height-relative:page;" filled="f" stroked="f" coordsize="21600,21600" o:gfxdata="UEsDBAoAAAAAAIdO4kAAAAAAAAAAAAAAAAAEAAAAZHJzL1BLAwQUAAAACACHTuJAmWTtedoAAAAL&#10;AQAADwAAAGRycy9kb3ducmV2LnhtbE2PwU7DMBBE70j8g7VIXBC106qlCXF6qFQEEkIigLi68ZIE&#10;4nVku035e5YT3Ga0T7Mz5ebkBnHEEHtPGrKZAoHUeNtTq+H1ZXe9BhGTIWsGT6jhGyNsqvOz0hTW&#10;T/SMxzq1gkMoFkZDl9JYSBmbDp2JMz8i8e3DB2cS29BKG8zE4W6Qc6VW0pme+ENnRtx22HzVB6ch&#10;1O+fT/cTXm3flne7sIqNf+gftb68yNQtiISn9AfDb32uDhV32vsD2SgGDXO1zhllkS8yEEws8ozH&#10;7Fks1Q3IqpT/N1Q/UEsDBBQAAAAIAIdO4kCGNouRXgIAAKMEAAAOAAAAZHJzL2Uyb0RvYy54bWyt&#10;VMFu1DAQvSPxD5bvbTbZ3exu1GxVtSpCKlC18AFe29kEHI+xnc2WEzfEN3DjyD/A31SCv2DipGW3&#10;cOiBSzTjGb+ZeW+co+NtrchGWleBzml8OKJEag6i0uucvnl9fjCnxHmmBVOgZU5vpKPHy6dPjlqT&#10;yQRKUEJagiDaZa3Jaem9yaLI8VLWzB2CkRqDBdiaeXTtOhKWtYheqygZjdKoBSuMBS6dw9OzPkgH&#10;RPsYQCiKissz4E0tte9RrVTM40iurIyjy9BtUUjuXxWFk56onOKkPnyxCNqr7hstj1i2tsyUFR9a&#10;YI9p4cFMNas0Fr2HOmOekcZWf0HVFbfgoPCHHOqoHyQwglPEowfcXJfMyDALUu3MPenu/8Hyl5tL&#10;SyqBmzCZTOfjxSKJKdGsRuV/fvr26+Pn2y8/br9/JbNkNu/Yao3L8NK1ubTdvM5cAH/niIbTkum1&#10;PLEW2lIygT3GXX60d6FzHF4lq/YFCKzBGg+BuG1h6w4QKSHboM/NvT5y6wnHwzhO40k8pYRjbJxO&#10;Z2kQMGLZ3W1jnX8moSadkdNWirW8gkaLK9yEU6YUND6UY5sL54NgYpiWibc4eVEr1H/DFDmIk0k8&#10;XgwbspOV7GUtxtPZP5LGu0lxmqazQAbLhsLY812vXRcaziulwjIqvXeAid1JoLFjrlfAb1fbQYwV&#10;iBsk1EK/2/iy0SjBfqCkxb3OqXvfMCspUc81irJAnbuHEJzJdJagY3cjq90I0xyhcuop6c1T3z+e&#10;xthqXWKlONCp4QSFLCp/p3jf1dA37i5ae49j1w9Zf/4ty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ZZO152gAAAAsBAAAPAAAAAAAAAAEAIAAAACIAAABkcnMvZG93bnJldi54bWxQSwECFAAUAAAA&#10;CACHTuJAhjaLkV4CAACjBAAADgAAAAAAAAABACAAAAApAQAAZHJzL2Uyb0RvYy54bWxQSwUGAAAA&#10;AAYABgBZAQAA+QUAAAAA&#10;" adj="-16014,-9413,14400">
                <v:fill on="f" focussize="0,0"/>
                <v:stroke on="f"/>
                <v:imagedata o:title=""/>
                <o:lock v:ext="edit" aspectratio="f"/>
                <v:textbox>
                  <w:txbxContent>
                    <w:p w14:paraId="54E2DC24">
                      <w:pPr>
                        <w:rPr>
                          <w:b/>
                          <w:bCs/>
                          <w:color w:val="FF0000"/>
                        </w:rPr>
                      </w:pPr>
                      <w:r>
                        <w:rPr>
                          <w:rFonts w:hint="eastAsia"/>
                          <w:b/>
                          <w:bCs/>
                          <w:color w:val="FF0000"/>
                          <w:lang w:eastAsia="zh-CN"/>
                        </w:rPr>
                        <w:t>水流方向</w:t>
                      </w:r>
                    </w:p>
                  </w:txbxContent>
                </v:textbox>
              </v:shape>
            </w:pict>
          </mc:Fallback>
        </mc:AlternateContent>
      </w:r>
      <w:r>
        <mc:AlternateContent>
          <mc:Choice Requires="wps">
            <w:drawing>
              <wp:anchor distT="0" distB="0" distL="114300" distR="114300" simplePos="0" relativeHeight="251814912" behindDoc="0" locked="0" layoutInCell="1" allowOverlap="1">
                <wp:simplePos x="0" y="0"/>
                <wp:positionH relativeFrom="column">
                  <wp:posOffset>5190490</wp:posOffset>
                </wp:positionH>
                <wp:positionV relativeFrom="paragraph">
                  <wp:posOffset>3109595</wp:posOffset>
                </wp:positionV>
                <wp:extent cx="835660" cy="365760"/>
                <wp:effectExtent l="0" t="0" r="0" b="0"/>
                <wp:wrapNone/>
                <wp:docPr id="1536629798" name="自选图形 5658"/>
                <wp:cNvGraphicFramePr/>
                <a:graphic xmlns:a="http://schemas.openxmlformats.org/drawingml/2006/main">
                  <a:graphicData uri="http://schemas.microsoft.com/office/word/2010/wordprocessingShape">
                    <wps:wsp>
                      <wps:cNvSpPr>
                        <a:spLocks noChangeArrowheads="1"/>
                      </wps:cNvSpPr>
                      <wps:spPr bwMode="auto">
                        <a:xfrm>
                          <a:off x="0" y="0"/>
                          <a:ext cx="835660" cy="365760"/>
                        </a:xfrm>
                        <a:prstGeom prst="wedgeRoundRectCallout">
                          <a:avLst>
                            <a:gd name="adj1" fmla="val -192023"/>
                            <a:gd name="adj2" fmla="val -93579"/>
                            <a:gd name="adj3" fmla="val 16667"/>
                          </a:avLst>
                        </a:prstGeom>
                        <a:noFill/>
                        <a:ln>
                          <a:noFill/>
                        </a:ln>
                      </wps:spPr>
                      <wps:txbx>
                        <w:txbxContent>
                          <w:p w14:paraId="0492533B">
                            <w:pPr>
                              <w:rPr>
                                <w:color w:val="FF0000"/>
                              </w:rPr>
                            </w:pPr>
                            <w:r>
                              <w:rPr>
                                <w:rFonts w:hint="eastAsia"/>
                                <w:color w:val="FF0000"/>
                                <w:lang w:eastAsia="zh-CN"/>
                              </w:rPr>
                              <w:t>8120m</w:t>
                            </w:r>
                          </w:p>
                        </w:txbxContent>
                      </wps:txbx>
                      <wps:bodyPr rot="0" vert="horz" wrap="square" lIns="91440" tIns="45720" rIns="91440" bIns="45720" anchor="t" anchorCtr="0" upright="1">
                        <a:noAutofit/>
                      </wps:bodyPr>
                    </wps:wsp>
                  </a:graphicData>
                </a:graphic>
              </wp:anchor>
            </w:drawing>
          </mc:Choice>
          <mc:Fallback>
            <w:pict>
              <v:shape id="自选图形 5658" o:spid="_x0000_s1026" o:spt="62" type="#_x0000_t62" style="position:absolute;left:0pt;margin-left:408.7pt;margin-top:244.85pt;height:28.8pt;width:65.8pt;z-index:251814912;mso-width-relative:page;mso-height-relative:page;" filled="f" stroked="f" coordsize="21600,21600" o:gfxdata="UEsDBAoAAAAAAIdO4kAAAAAAAAAAAAAAAAAEAAAAZHJzL1BLAwQUAAAACACHTuJAi6jKzNoAAAAL&#10;AQAADwAAAGRycy9kb3ducmV2LnhtbE2Py07DMBBF90j8gzVI3VEnaSAP4nRRiSKxqSjZsHPiIY6w&#10;x1HsPvh7zAqWozm699xme7WGnXHxkyMB6ToBhjQ4NdEooHt/vi+B+SBJSeMIBXyjh217e9PIWrkL&#10;veH5GEYWQ8jXUoAOYa4594NGK/3azUjx9+kWK0M8l5GrRV5iuDU8S5JHbuVEsUHLGXcah6/jyQog&#10;v+n7g+l2L4eOXvU+yz48z4RY3aXJE7CA1/AHw69+VIc2OvXuRMozI6BMizyiAvKyKoBFosqruK4X&#10;8JAXG+Btw/9vaH8AUEsDBBQAAAAIAIdO4kBl5vYkXwIAAKIEAAAOAAAAZHJzL2Uyb0RvYy54bWyt&#10;VM1u1DAQviPxDpbvbTbZJvujZquqVRFSgaqFB/DazibgeIztbLacuCGegRtH3gHephK8BRMnXXbb&#10;Sw9cohnP+JuZ7xvn+GRTK7KW1lWgcxofjiiRmoOo9Cqn795eHEwpcZ5pwRRomdNb6ejJ4vmz49bM&#10;ZQIlKCEtQRDt5q3Jaem9mUeR46WsmTsEIzUGC7A18+jaVSQsaxG9VlEyGmVRC1YYC1w6h6fnfZAO&#10;iPYpgFAUFZfnwJtaat+jWqmYx5FcWRlHF6HbopDcvykKJz1ROcVJffhiEbSX3TdaHLP5yjJTVnxo&#10;gT2lhQcz1azSWHQLdc48I42tHkHVFbfgoPCHHOqoHyQwglPEowfc3JTMyDALUu3MlnT3/2D56/WV&#10;JZXATUjHWZbMJjPUX7Malf/95cefz1/vvv26+/mdpFk67dhqjZvjpRtzZbt5nbkE/sERDWcl0yt5&#10;ai20pWQCe4y7/GjvQuc4vEqW7SsQWIM1HgJxm8LWHSBSQjZBn9utPnLjCcfD6TjNMlSOY2icpRO0&#10;uwpsfn/ZWOdfSKhJZ+S0lWIlr6HR4hoX4YwpBY0P1dj60vmglxiGZeJ9TElRK5R/zRQ5iGfJKBkP&#10;C7KTlexlzcbpZPY4abybFGdZNhk6HQpjz/e9dl1ouKiUCruo9N4BJnYngcWOuF4Av1luBi2WIG6R&#10;Twv9auPDRqME+4mSFtc6p+5jw6ykRL3UqMksPjrq3kFwjtJJgo7djSx3I0xzhMqpp6Q3z3z/dhpj&#10;q1WJleJAp4ZT1LGo/L3gfVdD37i6QaXhmXVvY9cPWf9+LYu/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i6jKzNoAAAALAQAADwAAAAAAAAABACAAAAAiAAAAZHJzL2Rvd25yZXYueG1sUEsBAhQAFAAA&#10;AAgAh07iQGXm9iRfAgAAogQAAA4AAAAAAAAAAQAgAAAAKQEAAGRycy9lMm9Eb2MueG1sUEsFBgAA&#10;AAAGAAYAWQEAAPoFAAAAAA==&#10;" adj="-30677,-9413,14400">
                <v:fill on="f" focussize="0,0"/>
                <v:stroke on="f"/>
                <v:imagedata o:title=""/>
                <o:lock v:ext="edit" aspectratio="f"/>
                <v:textbox>
                  <w:txbxContent>
                    <w:p w14:paraId="0492533B">
                      <w:pPr>
                        <w:rPr>
                          <w:color w:val="FF0000"/>
                        </w:rPr>
                      </w:pPr>
                      <w:r>
                        <w:rPr>
                          <w:rFonts w:hint="eastAsia"/>
                          <w:color w:val="FF0000"/>
                          <w:lang w:eastAsia="zh-CN"/>
                        </w:rPr>
                        <w:t>8120m</w:t>
                      </w:r>
                    </w:p>
                  </w:txbxContent>
                </v:textbox>
              </v:shape>
            </w:pict>
          </mc:Fallback>
        </mc:AlternateContent>
      </w:r>
      <w:r>
        <mc:AlternateContent>
          <mc:Choice Requires="wps">
            <w:drawing>
              <wp:anchor distT="0" distB="0" distL="114300" distR="114300" simplePos="0" relativeHeight="251813888" behindDoc="0" locked="0" layoutInCell="1" allowOverlap="1">
                <wp:simplePos x="0" y="0"/>
                <wp:positionH relativeFrom="column">
                  <wp:posOffset>4358640</wp:posOffset>
                </wp:positionH>
                <wp:positionV relativeFrom="paragraph">
                  <wp:posOffset>3893820</wp:posOffset>
                </wp:positionV>
                <wp:extent cx="835660" cy="365760"/>
                <wp:effectExtent l="2540" t="1270" r="0" b="4445"/>
                <wp:wrapNone/>
                <wp:docPr id="1462921213" name="自选图形 5657"/>
                <wp:cNvGraphicFramePr/>
                <a:graphic xmlns:a="http://schemas.openxmlformats.org/drawingml/2006/main">
                  <a:graphicData uri="http://schemas.microsoft.com/office/word/2010/wordprocessingShape">
                    <wps:wsp>
                      <wps:cNvSpPr>
                        <a:spLocks noChangeArrowheads="1"/>
                      </wps:cNvSpPr>
                      <wps:spPr bwMode="auto">
                        <a:xfrm>
                          <a:off x="0" y="0"/>
                          <a:ext cx="835660" cy="365760"/>
                        </a:xfrm>
                        <a:prstGeom prst="wedgeRoundRectCallout">
                          <a:avLst>
                            <a:gd name="adj1" fmla="val -214056"/>
                            <a:gd name="adj2" fmla="val 6426"/>
                            <a:gd name="adj3" fmla="val 16667"/>
                          </a:avLst>
                        </a:prstGeom>
                        <a:noFill/>
                        <a:ln>
                          <a:noFill/>
                        </a:ln>
                      </wps:spPr>
                      <wps:txbx>
                        <w:txbxContent>
                          <w:p w14:paraId="634D62EE">
                            <w:pPr>
                              <w:rPr>
                                <w:color w:val="FF0000"/>
                              </w:rPr>
                            </w:pPr>
                            <w:r>
                              <w:rPr>
                                <w:rFonts w:hint="eastAsia"/>
                                <w:color w:val="FF0000"/>
                                <w:lang w:eastAsia="zh-CN"/>
                              </w:rPr>
                              <w:t>7470m</w:t>
                            </w:r>
                          </w:p>
                        </w:txbxContent>
                      </wps:txbx>
                      <wps:bodyPr rot="0" vert="horz" wrap="square" lIns="91440" tIns="45720" rIns="91440" bIns="45720" anchor="t" anchorCtr="0" upright="1">
                        <a:noAutofit/>
                      </wps:bodyPr>
                    </wps:wsp>
                  </a:graphicData>
                </a:graphic>
              </wp:anchor>
            </w:drawing>
          </mc:Choice>
          <mc:Fallback>
            <w:pict>
              <v:shape id="自选图形 5657" o:spid="_x0000_s1026" o:spt="62" type="#_x0000_t62" style="position:absolute;left:0pt;margin-left:343.2pt;margin-top:306.6pt;height:28.8pt;width:65.8pt;z-index:251813888;mso-width-relative:page;mso-height-relative:page;" filled="f" stroked="f" coordsize="21600,21600" o:gfxdata="UEsDBAoAAAAAAIdO4kAAAAAAAAAAAAAAAAAEAAAAZHJzL1BLAwQUAAAACACHTuJAZDWjL9gAAAAL&#10;AQAADwAAAGRycy9kb3ducmV2LnhtbE2PQUvEMBCF74L/IYzgRdykq9RQmy5UKHi1u8Ies0m2LTaT&#10;0mS39d87nvQ2M+/x5nvlbvUju7o5DgEVZBsBzKEJdsBOwWHfPEpgMWm0egzoFHy7CLvq9qbUhQ0L&#10;frhrmzpGIRgLraBPaSo4j6Z3XsdNmBySdg6z14nWueN21guF+5Fvhci51wPSh15P7q135qu9eAVd&#10;s8jjQ3hv9ro+1u3500xrbZS6v8vEK7Dk1vRnhl98QoeKmE7hgjayUUEu82ey0pA9bYGRQ2aS2p3o&#10;8iIk8Krk/ztUP1BLAwQUAAAACACHTuJAwt1VyV4CAACgBAAADgAAAGRycy9lMm9Eb2MueG1srVTB&#10;btQwEL0j8Q+W72022d20XTVbVa2KkApULXyA13Y2AcdjbGez5dQb4hu4ceQf4G8qwV8wdtLttnDo&#10;gUs04xm/mXlvnMOjdaPISlpXgy5oujuiRGoOotbLgr57e7azT4nzTAumQMuCXktHj+bPnx12ZiYz&#10;qEAJaQmCaDfrTEEr780sSRyvZMPcLhipMViCbZhH1y4TYVmH6I1KstEoTzqwwljg0jk8Pe2DdEC0&#10;TwGEsqy5PAXeNlL7HtVKxTyO5KraODqP3Zal5P5NWTrpiSooTurjF4ugvQjfZH7IZkvLTFXzoQX2&#10;lBYezdSwWmPRDdQp84y0tv4Lqqm5BQel3+XQJP0gkRGcIh094uaqYkbGWZBqZzaku/8Hy1+vLiyp&#10;BW7CJM8OsjRLx5Ro1qDyvz5//33z5fbrz9sf38g0n+4FtjrjZnjpylzYMK8z58A/OKLhpGJ6KY+t&#10;ha6STGCPachPHlwIjsOrZNG9AoE1WOshErcubRMAkRKyjvpcb/SRa084Hu6Pp3mOynEMjbEftEMF&#10;Nru7bKzzLyQ0JBgF7aRYyktotbjERThhSkHrYzW2Onc+6iWGYZl4n1JSNgrlXzFFdrJ0Mprmw4Js&#10;ZWXbWfkk+0cKMngPlOZ5HpnDPoeyaN11GnrQcFYrFTdR6QcHmBhOIoeBtp5+v16sByUWIK6RTQv9&#10;YuOzRqMC+4mSDpe6oO5jy6ykRL3UqMhBOpmEVxCdyXQvQ8duRxbbEaY5QhXUU9KbJ75/Oa2x9bLC&#10;SmkkU8MxqljW/k7uvquhb1zcqNHwyMLL2PZj1v2PZf4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DWjL9gAAAALAQAADwAAAAAAAAABACAAAAAiAAAAZHJzL2Rvd25yZXYueG1sUEsBAhQAFAAAAAgA&#10;h07iQMLdVcleAgAAoAQAAA4AAAAAAAAAAQAgAAAAJwEAAGRycy9lMm9Eb2MueG1sUEsFBgAAAAAG&#10;AAYAWQEAAPcFAAAAAA==&#10;" adj="-35436,12188,14400">
                <v:fill on="f" focussize="0,0"/>
                <v:stroke on="f"/>
                <v:imagedata o:title=""/>
                <o:lock v:ext="edit" aspectratio="f"/>
                <v:textbox>
                  <w:txbxContent>
                    <w:p w14:paraId="634D62EE">
                      <w:pPr>
                        <w:rPr>
                          <w:color w:val="FF0000"/>
                        </w:rPr>
                      </w:pPr>
                      <w:r>
                        <w:rPr>
                          <w:rFonts w:hint="eastAsia"/>
                          <w:color w:val="FF0000"/>
                          <w:lang w:eastAsia="zh-CN"/>
                        </w:rPr>
                        <w:t>7470m</w:t>
                      </w:r>
                    </w:p>
                  </w:txbxContent>
                </v:textbox>
              </v:shape>
            </w:pict>
          </mc:Fallback>
        </mc:AlternateContent>
      </w:r>
      <w:r>
        <mc:AlternateContent>
          <mc:Choice Requires="wps">
            <w:drawing>
              <wp:anchor distT="0" distB="0" distL="114300" distR="114300" simplePos="0" relativeHeight="251812864" behindDoc="0" locked="0" layoutInCell="1" allowOverlap="1">
                <wp:simplePos x="0" y="0"/>
                <wp:positionH relativeFrom="column">
                  <wp:posOffset>3957955</wp:posOffset>
                </wp:positionH>
                <wp:positionV relativeFrom="paragraph">
                  <wp:posOffset>3159760</wp:posOffset>
                </wp:positionV>
                <wp:extent cx="835660" cy="365760"/>
                <wp:effectExtent l="0" t="1270" r="0" b="4445"/>
                <wp:wrapNone/>
                <wp:docPr id="786949867" name="自选图形 5656"/>
                <wp:cNvGraphicFramePr/>
                <a:graphic xmlns:a="http://schemas.openxmlformats.org/drawingml/2006/main">
                  <a:graphicData uri="http://schemas.microsoft.com/office/word/2010/wordprocessingShape">
                    <wps:wsp>
                      <wps:cNvSpPr>
                        <a:spLocks noChangeArrowheads="1"/>
                      </wps:cNvSpPr>
                      <wps:spPr bwMode="auto">
                        <a:xfrm>
                          <a:off x="0" y="0"/>
                          <a:ext cx="835660" cy="365760"/>
                        </a:xfrm>
                        <a:prstGeom prst="wedgeRoundRectCallout">
                          <a:avLst>
                            <a:gd name="adj1" fmla="val -200685"/>
                            <a:gd name="adj2" fmla="val -57120"/>
                            <a:gd name="adj3" fmla="val 16667"/>
                          </a:avLst>
                        </a:prstGeom>
                        <a:noFill/>
                        <a:ln>
                          <a:noFill/>
                        </a:ln>
                      </wps:spPr>
                      <wps:txbx>
                        <w:txbxContent>
                          <w:p w14:paraId="6A2696B5">
                            <w:pPr>
                              <w:rPr>
                                <w:color w:val="FF0000"/>
                              </w:rPr>
                            </w:pPr>
                            <w:r>
                              <w:rPr>
                                <w:rFonts w:hint="eastAsia"/>
                                <w:color w:val="FF0000"/>
                                <w:lang w:eastAsia="zh-CN"/>
                              </w:rPr>
                              <w:t>6850m</w:t>
                            </w:r>
                          </w:p>
                        </w:txbxContent>
                      </wps:txbx>
                      <wps:bodyPr rot="0" vert="horz" wrap="square" lIns="91440" tIns="45720" rIns="91440" bIns="45720" anchor="t" anchorCtr="0" upright="1">
                        <a:noAutofit/>
                      </wps:bodyPr>
                    </wps:wsp>
                  </a:graphicData>
                </a:graphic>
              </wp:anchor>
            </w:drawing>
          </mc:Choice>
          <mc:Fallback>
            <w:pict>
              <v:shape id="自选图形 5656" o:spid="_x0000_s1026" o:spt="62" type="#_x0000_t62" style="position:absolute;left:0pt;margin-left:311.65pt;margin-top:248.8pt;height:28.8pt;width:65.8pt;z-index:251812864;mso-width-relative:page;mso-height-relative:page;" filled="f" stroked="f" coordsize="21600,21600" o:gfxdata="UEsDBAoAAAAAAIdO4kAAAAAAAAAAAAAAAAAEAAAAZHJzL1BLAwQUAAAACACHTuJABLVwydgAAAAL&#10;AQAADwAAAGRycy9kb3ducmV2LnhtbE2Py27CMBAA75X6D9ZW6q04BBxKiMMhCHFrVdoPMPESR/iR&#10;xubRv+/2VI6rHc3OVuubs+yCY+yDlzCdZMDQt0H3vpPw9bl9eQUWk/Ja2eBRwg9GWNePD5Uqdbj6&#10;D7zsU8dI4mOpJJiUhpLz2Bp0Kk7CgJ52xzA6lWgcO65HdSW5szzPsoI71Xu6YNSAjcH2tD87CXP1&#10;ZjfNbiNOfDvuTPi2TfNupXx+mmYrYAlv6R+Gv3xKh5qaDuHsdWRWQpHPZoSSbLkogBGxEPMlsIME&#10;IUQOvK74/Q/1L1BLAwQUAAAACACHTuJAGUfUwmECAAChBAAADgAAAGRycy9lMm9Eb2MueG1srVTB&#10;btQwEL0j8Q+W72022012N2q2qloVIRWoWvgAr+1sAo7H2M5my4kb4hu4ceQf4G8qwV8wTtLtbrn0&#10;wCWa8YzfzLw3zvHJplZkLa2rQOc0PhxRIjUHUelVTt+9vTiYUeI804Ip0DKnt9LRk8XzZ8etyeQY&#10;SlBCWoIg2mWtyWnpvcmiyPFS1swdgpEagwXYmnl07SoSlrWIXqtoPBqlUQtWGAtcOoen532QDoj2&#10;KYBQFBWX58CbWmrfo1qpmMeRXFkZRxddt0UhuX9TFE56onKKk/rui0XQXoZvtDhm2coyU1Z8aIE9&#10;pYVHM9Ws0lh0C3XOPCONrf6BqituwUHhDznUUT9IxwhOEY8ecXNTMiO7WZBqZ7aku/8Hy1+vryyp&#10;RE6ns3Q+mc/SKSWa1Sj87y8//nz+evft193P7yRJkzSQ1RqX4Z0bc2XDuM5cAv/giIazkumVPLUW&#10;2lIygS3GIT/auxAch1fJsn0FAmuwxkPH26awdQBERsimk+d2K4/ceMLxcHaUpCkKxzF0lCZTtEMF&#10;lt1fNtb5FxJqEoyctlKs5DU0WlzjHpwxpaDxXTW2vnS+k0sMwzLxPqakqBWqv2aKHIRVnSXDfuxk&#10;jfeykmk8vl+inaSj3aQ4TZHUvtOhMPZ832voQsNFpRRmsEzpvQNMDCcdi4G4XgC/WW4wO7C5BHGL&#10;fFroNxvfNRol2E+UtLjVOXUfG2YlJeqlRk3m8WQSnkHnTJIpNk/sbmS5G2GaI1ROPSW9eeb7p9MY&#10;W61KrBR3dGo4RR2LyochH7oaHNzcTqXhlYWnset3WQ9/ls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LVwydgAAAALAQAADwAAAAAAAAABACAAAAAiAAAAZHJzL2Rvd25yZXYueG1sUEsBAhQAFAAA&#10;AAgAh07iQBlH1MJhAgAAoQQAAA4AAAAAAAAAAQAgAAAAJwEAAGRycy9lMm9Eb2MueG1sUEsFBgAA&#10;AAAGAAYAWQEAAPoFAAAAAA==&#10;" adj="-32548,-1538,14400">
                <v:fill on="f" focussize="0,0"/>
                <v:stroke on="f"/>
                <v:imagedata o:title=""/>
                <o:lock v:ext="edit" aspectratio="f"/>
                <v:textbox>
                  <w:txbxContent>
                    <w:p w14:paraId="6A2696B5">
                      <w:pPr>
                        <w:rPr>
                          <w:color w:val="FF0000"/>
                        </w:rPr>
                      </w:pPr>
                      <w:r>
                        <w:rPr>
                          <w:rFonts w:hint="eastAsia"/>
                          <w:color w:val="FF0000"/>
                          <w:lang w:eastAsia="zh-CN"/>
                        </w:rPr>
                        <w:t>6850m</w:t>
                      </w:r>
                    </w:p>
                  </w:txbxContent>
                </v:textbox>
              </v:shape>
            </w:pict>
          </mc:Fallback>
        </mc:AlternateContent>
      </w:r>
      <w:r>
        <mc:AlternateContent>
          <mc:Choice Requires="wps">
            <w:drawing>
              <wp:anchor distT="0" distB="0" distL="114300" distR="114300" simplePos="0" relativeHeight="251811840" behindDoc="0" locked="0" layoutInCell="1" allowOverlap="1">
                <wp:simplePos x="0" y="0"/>
                <wp:positionH relativeFrom="column">
                  <wp:posOffset>3053715</wp:posOffset>
                </wp:positionH>
                <wp:positionV relativeFrom="paragraph">
                  <wp:posOffset>3032125</wp:posOffset>
                </wp:positionV>
                <wp:extent cx="835660" cy="365760"/>
                <wp:effectExtent l="635" t="0" r="1905" b="0"/>
                <wp:wrapNone/>
                <wp:docPr id="163129255" name="自选图形 5655"/>
                <wp:cNvGraphicFramePr/>
                <a:graphic xmlns:a="http://schemas.openxmlformats.org/drawingml/2006/main">
                  <a:graphicData uri="http://schemas.microsoft.com/office/word/2010/wordprocessingShape">
                    <wps:wsp>
                      <wps:cNvSpPr>
                        <a:spLocks noChangeArrowheads="1"/>
                      </wps:cNvSpPr>
                      <wps:spPr bwMode="auto">
                        <a:xfrm>
                          <a:off x="0" y="0"/>
                          <a:ext cx="835660" cy="365760"/>
                        </a:xfrm>
                        <a:prstGeom prst="wedgeRoundRectCallout">
                          <a:avLst>
                            <a:gd name="adj1" fmla="val -126671"/>
                            <a:gd name="adj2" fmla="val 6426"/>
                            <a:gd name="adj3" fmla="val 16667"/>
                          </a:avLst>
                        </a:prstGeom>
                        <a:noFill/>
                        <a:ln>
                          <a:noFill/>
                        </a:ln>
                      </wps:spPr>
                      <wps:txbx>
                        <w:txbxContent>
                          <w:p w14:paraId="2885FE6D">
                            <w:pPr>
                              <w:rPr>
                                <w:color w:val="FF0000"/>
                              </w:rPr>
                            </w:pPr>
                            <w:r>
                              <w:rPr>
                                <w:rFonts w:hint="eastAsia"/>
                                <w:color w:val="FF0000"/>
                                <w:lang w:eastAsia="zh-CN"/>
                              </w:rPr>
                              <w:t>6320m</w:t>
                            </w:r>
                          </w:p>
                        </w:txbxContent>
                      </wps:txbx>
                      <wps:bodyPr rot="0" vert="horz" wrap="square" lIns="91440" tIns="45720" rIns="91440" bIns="45720" anchor="t" anchorCtr="0" upright="1">
                        <a:noAutofit/>
                      </wps:bodyPr>
                    </wps:wsp>
                  </a:graphicData>
                </a:graphic>
              </wp:anchor>
            </w:drawing>
          </mc:Choice>
          <mc:Fallback>
            <w:pict>
              <v:shape id="自选图形 5655" o:spid="_x0000_s1026" o:spt="62" type="#_x0000_t62" style="position:absolute;left:0pt;margin-left:240.45pt;margin-top:238.75pt;height:28.8pt;width:65.8pt;z-index:251811840;mso-width-relative:page;mso-height-relative:page;" filled="f" stroked="f" coordsize="21600,21600" o:gfxdata="UEsDBAoAAAAAAIdO4kAAAAAAAAAAAAAAAAAEAAAAZHJzL1BLAwQUAAAACACHTuJAjjSb9tkAAAAL&#10;AQAADwAAAGRycy9kb3ducmV2LnhtbE2PPU/DMBCGdyT+g3VIbNRJ0yQlxKkiUDcWWgZGNzZxhH0O&#10;tvvBv+eY6Pae7tF7z7Wbi7PspEOcPArIFxkwjYNXE44C3vfbhzWwmCQqaT1qAT86wqa7vWllo/wZ&#10;3/Rpl0ZGJRgbKcCkNDecx8FoJ+PCzxpp9+mDk4nGMHIV5JnKneXLLKu4kxPSBSNn/Wz08LU7OgEf&#10;1m/Ny7Cq9uG1qL+Lvk9T3Qtxf5dnT8CSvqR/GP70SR06cjr4I6rIrIDVOnsklEJdl8CIqPIlhYOA&#10;sihz4F3Lr3/ofgFQSwMEFAAAAAgAh07iQMZkbRVeAgAAnwQAAA4AAABkcnMvZTJvRG9jLnhtbK1U&#10;wW7UMBC9I/EPlu/dbLK7abvabFV1VYRUoGrhA7y2swk4HmM7my2n3hDfwI0j/wB/Uwn+gomTLWm5&#10;9MAlmvGM38y8N87iZFcpspXWlaAzGo/GlEjNQZR6k9F3b88PjihxnmnBFGiZ0Rvp6Mny+bNFY+Yy&#10;gQKUkJYgiHbzxmS08N7Mo8jxQlbMjcBIjcEcbMU8unYTCcsaRK9UlIzHadSAFcYCl87h6aoL0h7R&#10;PgUQ8rzkcgW8rqT2HaqVinkcyRWlcXQZus1zyf2bPHfSE5VRnNSHLxZBe91+o+WCzTeWmaLkfQvs&#10;KS08mqlipcai91Ar5hmpbfkPVFVyCw5yP+JQRd0ggRGcIh4/4ua6YEaGWZBqZ+5Jd/8Plr/eXlpS&#10;CtyEdBInx8lsRolmFQr/6/P337df7r7+vPvxjcxSDCBZjXFzvHNtLm07rjMXwD84ouGsYHojT62F&#10;ppBMYItxmx89uNA6Dq+SdfMKBNZgtYfA2y63VQuIjJBdkOfmXh6584Tj4dFklqYoHMfQJJ0dot1W&#10;YPP9ZWOdfyGhIq2R0UaKjbyCWosr3IMzphTUPlRj2wvng1yiH5aJ9zEleaVQ/S1T5CBO0vQwjICi&#10;DrKSYVY6TdJ+hQYpk2FKnCJO32dfFjved9r2oOG8VCosotIPDjCxPQkctrR19PvdetcrsQZxg2xa&#10;6PYaXzUaBdhPlDS40xl1H2tmJSXqpUZFjuPptH0EwZnODhN07DCyHkaY5giVUU9JZ5757uHUxpab&#10;AivFgUwNp6hiXvq93F1Xfd+4t0Gj/o21D2Poh6y//5Xl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I40m/bZAAAACwEAAA8AAAAAAAAAAQAgAAAAIgAAAGRycy9kb3ducmV2LnhtbFBLAQIUABQAAAAI&#10;AIdO4kDGZG0VXgIAAJ8EAAAOAAAAAAAAAAEAIAAAACgBAABkcnMvZTJvRG9jLnhtbFBLBQYAAAAA&#10;BgAGAFkBAAD4BQAAAAA=&#10;" adj="-16561,12188,14400">
                <v:fill on="f" focussize="0,0"/>
                <v:stroke on="f"/>
                <v:imagedata o:title=""/>
                <o:lock v:ext="edit" aspectratio="f"/>
                <v:textbox>
                  <w:txbxContent>
                    <w:p w14:paraId="2885FE6D">
                      <w:pPr>
                        <w:rPr>
                          <w:color w:val="FF0000"/>
                        </w:rPr>
                      </w:pPr>
                      <w:r>
                        <w:rPr>
                          <w:rFonts w:hint="eastAsia"/>
                          <w:color w:val="FF0000"/>
                          <w:lang w:eastAsia="zh-CN"/>
                        </w:rPr>
                        <w:t>6320m</w:t>
                      </w:r>
                    </w:p>
                  </w:txbxContent>
                </v:textbox>
              </v:shape>
            </w:pict>
          </mc:Fallback>
        </mc:AlternateContent>
      </w:r>
      <w:r>
        <mc:AlternateContent>
          <mc:Choice Requires="wps">
            <w:drawing>
              <wp:anchor distT="0" distB="0" distL="114300" distR="114300" simplePos="0" relativeHeight="251809792" behindDoc="0" locked="0" layoutInCell="1" allowOverlap="1">
                <wp:simplePos x="0" y="0"/>
                <wp:positionH relativeFrom="column">
                  <wp:posOffset>4966970</wp:posOffset>
                </wp:positionH>
                <wp:positionV relativeFrom="paragraph">
                  <wp:posOffset>1278255</wp:posOffset>
                </wp:positionV>
                <wp:extent cx="467995" cy="5631180"/>
                <wp:effectExtent l="38100" t="38100" r="65405" b="64770"/>
                <wp:wrapNone/>
                <wp:docPr id="2119083884" name="自选图形 5653"/>
                <wp:cNvGraphicFramePr/>
                <a:graphic xmlns:a="http://schemas.openxmlformats.org/drawingml/2006/main">
                  <a:graphicData uri="http://schemas.microsoft.com/office/word/2010/wordprocessingShape">
                    <wps:wsp>
                      <wps:cNvCnPr>
                        <a:cxnSpLocks noChangeShapeType="1"/>
                      </wps:cNvCnPr>
                      <wps:spPr bwMode="auto">
                        <a:xfrm flipH="1">
                          <a:off x="0" y="0"/>
                          <a:ext cx="468189" cy="5631180"/>
                        </a:xfrm>
                        <a:prstGeom prst="straightConnector1">
                          <a:avLst/>
                        </a:prstGeom>
                        <a:noFill/>
                        <a:ln w="9525">
                          <a:solidFill>
                            <a:srgbClr val="FF0000"/>
                          </a:solidFill>
                          <a:round/>
                          <a:headEnd type="triangle" w="med" len="med"/>
                          <a:tailEnd type="triangle" w="med" len="med"/>
                        </a:ln>
                      </wps:spPr>
                      <wps:bodyPr/>
                    </wps:wsp>
                  </a:graphicData>
                </a:graphic>
              </wp:anchor>
            </w:drawing>
          </mc:Choice>
          <mc:Fallback>
            <w:pict>
              <v:shape id="自选图形 5653" o:spid="_x0000_s1026" o:spt="32" type="#_x0000_t32" style="position:absolute;left:0pt;flip:x;margin-left:391.1pt;margin-top:100.65pt;height:443.4pt;width:36.85pt;z-index:251809792;mso-width-relative:page;mso-height-relative:page;" filled="f" stroked="t" coordsize="21600,21600" o:gfxdata="UEsDBAoAAAAAAIdO4kAAAAAAAAAAAAAAAAAEAAAAZHJzL1BLAwQUAAAACACHTuJAp08h59sAAAAM&#10;AQAADwAAAGRycy9kb3ducmV2LnhtbE2Py07DMBBF90j8gzVIbBC1HdTWDXGqCsGmCyRaJLZuPCQR&#10;fkSx+yBfz7CC5ege3XumWl+8YyccUx+DBjkTwDA00fah1fC+f7lXwFI2wRoXA2r4xgTr+vqqMqWN&#10;5/CGp11uGZWEVBoNXc5DyXlqOvQmzeKAgbLPOHqT6RxbbkdzpnLveCHEgnvTB1rozIBPHTZfu6PX&#10;oDYfbtpvVkvey633z9u7aVq8an17I8UjsIyX/AfDrz6pQ01Oh3gMNjGnYamKglANhZAPwIhQ8/kK&#10;2IFQoZQEXlf8/xP1D1BLAwQUAAAACACHTuJAIs1MTSYCAAAsBAAADgAAAGRycy9lMm9Eb2MueG1s&#10;rVOxjhMxEO2R+AfLPdnd5BJtomyuSAgUB0S64wMc25u18Hos28kmHR3iG+go7x/gb06Cv2DsRLnj&#10;aFLgwrI9M2/mvRlPr/etJjvpvAJT0aKXUyINB6HMpqIf75avSkp8YEYwDUZW9CA9vZ69fDHt7ET2&#10;oQEtpCMIYvyksxVtQrCTLPO8kS3zPbDSoLEG17KAV7fJhGMdorc66+f5KOvACeuAS+/xdXE00hOi&#10;uwQQ6lpxuQC+baUJR1QnNQtIyTfKejpL1da15OFDXXsZiK4oMg1pxyR4Xsc9m03ZZOOYbRQ/lcAu&#10;KeEZp5Ypg0nPUAsWGNk69Q9Uq7gDD3XocWizI5GkCLIo8mfa3DbMysQFpfb2LLr/f7D8/W7liBIV&#10;7RfFOC8HZXlFiWEtdv7Xl/vfn78+fPv58OM7GY6Gg6hWZ/0Eg+Zm5SJfvje39gb4J08MzBtmNjJV&#10;fXewiFDEiOyvkHjxFnOuu3cg0IdtAyTp9rVrSa2VfRsDIzjKQ/apV4dzr+Q+EI6PV6OyKMeUcDQN&#10;R4OiKFMzMzaJODHaOh/eSGhJPFTUB8fUpglzMAbHAtwxB9vd+BCrfAyIwQaWSus0HdqQrqLjYX+Y&#10;ivKglYjG6ObdZj3XjuwYztdymeNKlNHy1M3B1ogE1kgmXhtBQtInOIWKaUljhlYKSrTETxlPyTsw&#10;pS/1RgLanNSOAh9btQZxWLnILwqPQ5SYngY+TunTe/J6/OSz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KdPIefbAAAADAEAAA8AAAAAAAAAAQAgAAAAIgAAAGRycy9kb3ducmV2LnhtbFBLAQIUABQA&#10;AAAIAIdO4kAizUxNJgIAACwEAAAOAAAAAAAAAAEAIAAAACoBAABkcnMvZTJvRG9jLnhtbFBLBQYA&#10;AAAABgAGAFkBAADCBQAAAAA=&#10;">
                <v:fill on="f" focussize="0,0"/>
                <v:stroke color="#FF0000" joinstyle="round" startarrow="block" endarrow="block"/>
                <v:imagedata o:title=""/>
                <o:lock v:ext="edit" aspectratio="f"/>
              </v:shape>
            </w:pict>
          </mc:Fallback>
        </mc:AlternateContent>
      </w:r>
      <w:r>
        <mc:AlternateContent>
          <mc:Choice Requires="wps">
            <w:drawing>
              <wp:anchor distT="0" distB="0" distL="114300" distR="114300" simplePos="0" relativeHeight="251810816" behindDoc="0" locked="0" layoutInCell="1" allowOverlap="1">
                <wp:simplePos x="0" y="0"/>
                <wp:positionH relativeFrom="column">
                  <wp:posOffset>4526280</wp:posOffset>
                </wp:positionH>
                <wp:positionV relativeFrom="paragraph">
                  <wp:posOffset>1287780</wp:posOffset>
                </wp:positionV>
                <wp:extent cx="911860" cy="5110480"/>
                <wp:effectExtent l="57150" t="38100" r="59690" b="52705"/>
                <wp:wrapNone/>
                <wp:docPr id="1238691221" name="自选图形 5654"/>
                <wp:cNvGraphicFramePr/>
                <a:graphic xmlns:a="http://schemas.openxmlformats.org/drawingml/2006/main">
                  <a:graphicData uri="http://schemas.microsoft.com/office/word/2010/wordprocessingShape">
                    <wps:wsp>
                      <wps:cNvCnPr>
                        <a:cxnSpLocks noChangeShapeType="1"/>
                      </wps:cNvCnPr>
                      <wps:spPr bwMode="auto">
                        <a:xfrm flipH="1">
                          <a:off x="0" y="0"/>
                          <a:ext cx="912053" cy="5110177"/>
                        </a:xfrm>
                        <a:prstGeom prst="straightConnector1">
                          <a:avLst/>
                        </a:prstGeom>
                        <a:noFill/>
                        <a:ln w="9525">
                          <a:solidFill>
                            <a:srgbClr val="FF0000"/>
                          </a:solidFill>
                          <a:round/>
                          <a:headEnd type="triangle" w="med" len="med"/>
                          <a:tailEnd type="triangle" w="med" len="med"/>
                        </a:ln>
                      </wps:spPr>
                      <wps:bodyPr/>
                    </wps:wsp>
                  </a:graphicData>
                </a:graphic>
              </wp:anchor>
            </w:drawing>
          </mc:Choice>
          <mc:Fallback>
            <w:pict>
              <v:shape id="自选图形 5654" o:spid="_x0000_s1026" o:spt="32" type="#_x0000_t32" style="position:absolute;left:0pt;flip:x;margin-left:356.4pt;margin-top:101.4pt;height:402.4pt;width:71.8pt;z-index:251810816;mso-width-relative:page;mso-height-relative:page;" filled="f" stroked="t" coordsize="21600,21600" o:gfxdata="UEsDBAoAAAAAAIdO4kAAAAAAAAAAAAAAAAAEAAAAZHJzL1BLAwQUAAAACACHTuJAkwMTAtsAAAAM&#10;AQAADwAAAGRycy9kb3ducmV2LnhtbE2PTU/DMAyG70j8h8hIXBBLWkFbStNpQnDZAYkNiWvWmLai&#10;caom+6C/Hu/Ebrb86PXzVsuTG8QBp9B70pAsFAikxtueWg2f27f7AkSIhqwZPKGGXwywrK+vKlNa&#10;f6QPPGxiKziEQmk0dDGOpZSh6dCZsPAjEt++/eRM5HVqpZ3MkcPdIFOlMulMT/yhMyO+dNj8bPZO&#10;Q7H6Gubt6imXfbJ27nV9N8/Zu9a3N4l6BhHxFP9hOOuzOtTstPN7skEMGvIkZfWoIVXngYniMXsA&#10;sWNUqTwDWVfyskT9B1BLAwQUAAAACACHTuJATYCuNCQCAAAsBAAADgAAAGRycy9lMm9Eb2MueG1s&#10;rVPNbhMxEL4j8Q6W72R/StqyyqaHhMChQKSWB3Bs766F12PZTja5cUM8A7ceeQd4m0rwFoydKKXl&#10;kgN7WNmemW++7/N4crXtNdlI5xWYmhajnBJpOAhl2pp+vF28uKTEB2YE02BkTXfS06vp82eTwVay&#10;hA60kI4giPHVYGvahWCrLPO8kz3zI7DSYLAB17OAW9dmwrEB0XudlXl+ng3ghHXApfd4Ot8H6QHR&#10;nQIITaO4nANf99KEPaqTmgWU5DtlPZ0mtk0jefjQNF4GomuKSkP6YxNcr+I/m05Y1TpmO8UPFNgp&#10;FJ5o6pky2PQINWeBkbVT/0D1ijvw0IQRhz7bC0mOoIoif+LNTcesTFrQam+Ppvv/B8vfb5aOKIGT&#10;UJ5dnr8qyrKgxLAeb/7Xl++/P3+9//bz/scdGZ+PX0a3BusrLJqZpYt6+dbc2GvgnzwxMOuYaWVi&#10;fbuziFDEiuxRSdx4iz1XwzsQmMPWAZJ128b1pNHKvo2FERztIdt0V7vjXcltIBwPkWk+PqOEY2hc&#10;FHlxcZGasSrixGrrfHgjoSdxUVMfHFNtF2ZgDI4FuH0Ptrn2IbJ8KIjFBhZK6zQd2pAB+43LcSLl&#10;QSsRgzHNu3Y1045sGM7XYpHjd2DxKM3B2ogE1kkmXhtBQvInOIWOaUljh14KSrTERxlXKTswpU/N&#10;RgHaHNyOBu+vagVit3RRXzQehygpPQx8nNK/9ynr4ZFP/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TAxMC2wAAAAwBAAAPAAAAAAAAAAEAIAAAACIAAABkcnMvZG93bnJldi54bWxQSwECFAAUAAAA&#10;CACHTuJATYCuNCQCAAAsBAAADgAAAAAAAAABACAAAAAqAQAAZHJzL2Uyb0RvYy54bWxQSwUGAAAA&#10;AAYABgBZAQAAwAUAAAAA&#10;">
                <v:fill on="f" focussize="0,0"/>
                <v:stroke color="#FF0000" joinstyle="round" startarrow="block" endarrow="block"/>
                <v:imagedata o:title=""/>
                <o:lock v:ext="edit" aspectratio="f"/>
              </v:shape>
            </w:pict>
          </mc:Fallback>
        </mc:AlternateContent>
      </w:r>
      <w:r>
        <mc:AlternateContent>
          <mc:Choice Requires="wps">
            <w:drawing>
              <wp:anchor distT="0" distB="0" distL="114300" distR="114300" simplePos="0" relativeHeight="251808768" behindDoc="0" locked="0" layoutInCell="1" allowOverlap="1">
                <wp:simplePos x="0" y="0"/>
                <wp:positionH relativeFrom="column">
                  <wp:posOffset>3464560</wp:posOffset>
                </wp:positionH>
                <wp:positionV relativeFrom="paragraph">
                  <wp:posOffset>1276350</wp:posOffset>
                </wp:positionV>
                <wp:extent cx="1976120" cy="4082415"/>
                <wp:effectExtent l="38100" t="38100" r="62865" b="52070"/>
                <wp:wrapNone/>
                <wp:docPr id="1536859008" name="自选图形 5652"/>
                <wp:cNvGraphicFramePr/>
                <a:graphic xmlns:a="http://schemas.openxmlformats.org/drawingml/2006/main">
                  <a:graphicData uri="http://schemas.microsoft.com/office/word/2010/wordprocessingShape">
                    <wps:wsp>
                      <wps:cNvCnPr>
                        <a:cxnSpLocks noChangeShapeType="1"/>
                      </wps:cNvCnPr>
                      <wps:spPr bwMode="auto">
                        <a:xfrm flipH="1">
                          <a:off x="0" y="0"/>
                          <a:ext cx="1975954" cy="4082249"/>
                        </a:xfrm>
                        <a:prstGeom prst="straightConnector1">
                          <a:avLst/>
                        </a:prstGeom>
                        <a:noFill/>
                        <a:ln w="9525">
                          <a:solidFill>
                            <a:srgbClr val="FF0000"/>
                          </a:solidFill>
                          <a:round/>
                          <a:headEnd type="triangle" w="med" len="med"/>
                          <a:tailEnd type="triangle" w="med" len="med"/>
                        </a:ln>
                      </wps:spPr>
                      <wps:bodyPr/>
                    </wps:wsp>
                  </a:graphicData>
                </a:graphic>
              </wp:anchor>
            </w:drawing>
          </mc:Choice>
          <mc:Fallback>
            <w:pict>
              <v:shape id="自选图形 5652" o:spid="_x0000_s1026" o:spt="32" type="#_x0000_t32" style="position:absolute;left:0pt;flip:x;margin-left:272.8pt;margin-top:100.5pt;height:321.45pt;width:155.6pt;z-index:251808768;mso-width-relative:page;mso-height-relative:page;" filled="f" stroked="t" coordsize="21600,21600" o:gfxdata="UEsDBAoAAAAAAIdO4kAAAAAAAAAAAAAAAAAEAAAAZHJzL1BLAwQUAAAACACHTuJAs8Lq3dsAAAAL&#10;AQAADwAAAGRycy9kb3ducmV2LnhtbE2PTU/DMAyG70j8h8hIXBBLO9bSlabThOCywyQ2JK5ZY9qK&#10;xKma7IP+eswJbrb86PXzVquLs+KEY+g9KUhnCQikxpueWgXv+9f7AkSImoy2nlDBNwZY1ddXlS6N&#10;P9MbnnaxFRxCodQKuhiHUsrQdOh0mPkBiW+ffnQ68jq20oz6zOHOynmS5NLpnvhDpwd87rD52h2d&#10;gmL9Yaf9evko+3Tj3MvmbpryrVK3N2nyBCLiJf7B8KvP6lCz08EfyQRhFWSLLGdUwTxJuRQTRZZz&#10;mQMPi4clyLqS/zvUP1BLAwQUAAAACACHTuJA24QY9yUCAAAtBAAADgAAAGRycy9lMm9Eb2MueG1s&#10;rVOxjhMxEO2R+AfLPdlNyIZklc0VCYHigEh3fIBje7MWXo9lO9mko0N8A92V/AP8zUnwF4ydKMcd&#10;TQpcWLZn5s28N+Pp1b7VZCedV2Aq2u/llEjDQSizqejH2+WLMSU+MCOYBiMrepCeXs2eP5t2tpQD&#10;aEAL6QiCGF92tqJNCLbMMs8b2TLfAysNGmtwLQt4dZtMONYhequzQZ6Psg6csA649B5fF0cjPSG6&#10;SwChrhWXC+DbVppwRHVSs4CUfKOsp7NUbV1LHj7UtZeB6Ioi05B2TILnddyz2ZSVG8dso/ipBHZJ&#10;CU84tUwZTHqGWrDAyNapf6BaxR14qEOPQ5sdiSRFkEU/f6LNTcOsTFxQam/Povv/B8vf71aOKIGT&#10;ULwcjYtJnmP/DWux87++fP/9+ev9t5/3P+5IMSoGUa3O+hKD5mblIl++Nzf2GvgnTwzMG2Y2MlV9&#10;e7CI0I8R2aOQePEWc667dyDQh20DJOn2tWtJrZV9GwMjOMpD9qlXh3Ov5D4Qjo/9yatiUgwp4Wgb&#10;5uPBYDhJ2VgZgWK4dT68kdCSeKioD46pTRPmYAzOBbhjEra79iGW+RAQgw0sldZpPLQhXUUnxaBI&#10;VXnQSkRjdPNus55rR3YMB2y5zHGdqnjk5mBrRAJrJBOvjSAhCRScQsm0pDFDKwUlWuKvjKfkHZjS&#10;l3ojAW1OckeFj71agzisXOQXlccpSkxPEx/H9O978nr45bM/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8Lq3dsAAAALAQAADwAAAAAAAAABACAAAAAiAAAAZHJzL2Rvd25yZXYueG1sUEsBAhQAFAAA&#10;AAgAh07iQNuEGPclAgAALQQAAA4AAAAAAAAAAQAgAAAAKgEAAGRycy9lMm9Eb2MueG1sUEsFBgAA&#10;AAAGAAYAWQEAAMEFAAAAAA==&#10;">
                <v:fill on="f" focussize="0,0"/>
                <v:stroke color="#FF0000" joinstyle="round" startarrow="block" endarrow="block"/>
                <v:imagedata o:title=""/>
                <o:lock v:ext="edit" aspectratio="f"/>
              </v:shape>
            </w:pict>
          </mc:Fallback>
        </mc:AlternateContent>
      </w:r>
      <w:r>
        <mc:AlternateContent>
          <mc:Choice Requires="wps">
            <w:drawing>
              <wp:anchor distT="0" distB="0" distL="114300" distR="114300" simplePos="0" relativeHeight="251807744" behindDoc="0" locked="0" layoutInCell="1" allowOverlap="1">
                <wp:simplePos x="0" y="0"/>
                <wp:positionH relativeFrom="column">
                  <wp:posOffset>2414905</wp:posOffset>
                </wp:positionH>
                <wp:positionV relativeFrom="paragraph">
                  <wp:posOffset>1305560</wp:posOffset>
                </wp:positionV>
                <wp:extent cx="3021965" cy="2936875"/>
                <wp:effectExtent l="38100" t="38100" r="64135" b="53975"/>
                <wp:wrapNone/>
                <wp:docPr id="1663025785" name="自选图形 5651"/>
                <wp:cNvGraphicFramePr/>
                <a:graphic xmlns:a="http://schemas.openxmlformats.org/drawingml/2006/main">
                  <a:graphicData uri="http://schemas.microsoft.com/office/word/2010/wordprocessingShape">
                    <wps:wsp>
                      <wps:cNvCnPr>
                        <a:cxnSpLocks noChangeShapeType="1"/>
                      </wps:cNvCnPr>
                      <wps:spPr bwMode="auto">
                        <a:xfrm flipH="1">
                          <a:off x="0" y="0"/>
                          <a:ext cx="3022213" cy="2936903"/>
                        </a:xfrm>
                        <a:prstGeom prst="straightConnector1">
                          <a:avLst/>
                        </a:prstGeom>
                        <a:noFill/>
                        <a:ln w="9525">
                          <a:solidFill>
                            <a:srgbClr val="FF0000"/>
                          </a:solidFill>
                          <a:round/>
                          <a:headEnd type="triangle" w="med" len="med"/>
                          <a:tailEnd type="triangle" w="med" len="med"/>
                        </a:ln>
                      </wps:spPr>
                      <wps:bodyPr/>
                    </wps:wsp>
                  </a:graphicData>
                </a:graphic>
              </wp:anchor>
            </w:drawing>
          </mc:Choice>
          <mc:Fallback>
            <w:pict>
              <v:shape id="自选图形 5651" o:spid="_x0000_s1026" o:spt="32" type="#_x0000_t32" style="position:absolute;left:0pt;flip:x;margin-left:190.15pt;margin-top:102.8pt;height:231.25pt;width:237.95pt;z-index:251807744;mso-width-relative:page;mso-height-relative:page;" filled="f" stroked="t" coordsize="21600,21600" o:gfxdata="UEsDBAoAAAAAAIdO4kAAAAAAAAAAAAAAAAAEAAAAZHJzL1BLAwQUAAAACACHTuJA/UaAMdsAAAAL&#10;AQAADwAAAGRycy9kb3ducmV2LnhtbE2Py07DMBBF90j8gzVIbBC1k6rGDZlUFYJNF0i0SN268ZBE&#10;xHYUuw/y9ZgVXY7u0b1nytXF9uxEY+i8Q8hmAhi52pvONQifu7dHBSxE7YzuvSOEHwqwqm5vSl0Y&#10;f3YfdNrGhqUSFwqN0MY4FJyHuiWrw8wP5FL25UerYzrHhptRn1O57XkuhORWdy4ttHqgl5bq7+3R&#10;Iqj1vp926+UT77KNta+bh2mS74j3d5l4BhbpEv9h+NNP6lAlp4M/OhNYjzBXYp5QhFwsJLBEqIXM&#10;gR0QpFQZ8Krk1z9Uv1BLAwQUAAAACACHTuJApEK3PyUCAAAtBAAADgAAAGRycy9lMm9Eb2MueG1s&#10;rVPBjtMwEL0j8Q+W72zSVCnbqukeWgqHBSrt8gGu7TQWjsey3aa9cUN8AzeO+w/wNyvBXzB2uoVd&#10;Lj2QQ2R75r2Z9zyeXu1bTXbSeQWmooOLnBJpOAhlNhX9cLt8cUmJD8wIpsHIih6kp1ez58+mnZ3I&#10;AhrQQjqCJMZPOlvRJgQ7yTLPG9kyfwFWGgzW4FoWcOs2mXCsQ/ZWZ0Wej7IOnLAOuPQeTxd9kB4Z&#10;3TmEUNeKywXwbStN6Fmd1CygJN8o6+ksdVvXkof3de1lILqiqDSkPxbB9Tr+s9mUTTaO2UbxYwvs&#10;nBaeaGqZMlj0RLVggZGtU/9QtYo78FCHCw5t1gtJjqCKQf7Em5uGWZm0oNXenkz3/4+Wv9utHFEC&#10;J2E0GuZF+fKypMSwFm/+5+e7X5++3H/9cf/9GylH5SC61Vk/QdDcrFzUy/fmxl4D/+iJgXnDzEam&#10;rm8PFhkSInsEiRtvsea6ewsCc9g2QLJuX7uW1FrZNxEYydEesk93dTjdldwHwvEQey2KwZASjrFi&#10;PByN82HsL2OTSBTh1vnwWkJL4qKiPjimNk2YgzE4F+D6Imx37UMPfABEsIGl0jqNhzakq+i4LMrU&#10;lQetRAzGNO8267l2ZMdwwJbLHL9jF4/SHGyNSGSNZOKVESQkg4JTaJmWNFZopaBES3yVcZWyA1P6&#10;3GxUrg0a8OBwf1drEIeVi/riOU5Rsug48XFM/96nrD+vfPY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aAMdsAAAALAQAADwAAAAAAAAABACAAAAAiAAAAZHJzL2Rvd25yZXYueG1sUEsBAhQAFAAA&#10;AAgAh07iQKRCtz8lAgAALQQAAA4AAAAAAAAAAQAgAAAAKgEAAGRycy9lMm9Eb2MueG1sUEsFBgAA&#10;AAAGAAYAWQEAAMEFAAAAAA==&#10;">
                <v:fill on="f" focussize="0,0"/>
                <v:stroke color="#FF0000" joinstyle="round" startarrow="block" endarrow="block"/>
                <v:imagedata o:title=""/>
                <o:lock v:ext="edit" aspectratio="f"/>
              </v:shape>
            </w:pict>
          </mc:Fallback>
        </mc:AlternateContent>
      </w:r>
      <w:r>
        <mc:AlternateContent>
          <mc:Choice Requires="wps">
            <w:drawing>
              <wp:anchor distT="0" distB="0" distL="114300" distR="114300" simplePos="0" relativeHeight="251799552" behindDoc="0" locked="0" layoutInCell="1" allowOverlap="1">
                <wp:simplePos x="0" y="0"/>
                <wp:positionH relativeFrom="margin">
                  <wp:align>right</wp:align>
                </wp:positionH>
                <wp:positionV relativeFrom="paragraph">
                  <wp:posOffset>5722620</wp:posOffset>
                </wp:positionV>
                <wp:extent cx="1318260" cy="499745"/>
                <wp:effectExtent l="0" t="0" r="15240" b="795655"/>
                <wp:wrapNone/>
                <wp:docPr id="1618918301" name="自选图形 5643"/>
                <wp:cNvGraphicFramePr/>
                <a:graphic xmlns:a="http://schemas.openxmlformats.org/drawingml/2006/main">
                  <a:graphicData uri="http://schemas.microsoft.com/office/word/2010/wordprocessingShape">
                    <wps:wsp>
                      <wps:cNvSpPr>
                        <a:spLocks noChangeArrowheads="1"/>
                      </wps:cNvSpPr>
                      <wps:spPr bwMode="auto">
                        <a:xfrm>
                          <a:off x="5543550" y="6635750"/>
                          <a:ext cx="1318260" cy="499745"/>
                        </a:xfrm>
                        <a:prstGeom prst="wedgeRoundRectCallout">
                          <a:avLst>
                            <a:gd name="adj1" fmla="val -41424"/>
                            <a:gd name="adj2" fmla="val 199681"/>
                            <a:gd name="adj3" fmla="val 16667"/>
                          </a:avLst>
                        </a:prstGeom>
                        <a:solidFill>
                          <a:srgbClr val="FFFFFF"/>
                        </a:solidFill>
                        <a:ln w="9525">
                          <a:solidFill>
                            <a:srgbClr val="FF0000"/>
                          </a:solidFill>
                          <a:miter lim="800000"/>
                        </a:ln>
                      </wps:spPr>
                      <wps:txbx>
                        <w:txbxContent>
                          <w:p w14:paraId="313C061C">
                            <w:pPr>
                              <w:rPr>
                                <w:color w:val="FF0000"/>
                              </w:rPr>
                            </w:pPr>
                            <w:r>
                              <w:rPr>
                                <w:rFonts w:hint="eastAsia"/>
                                <w:color w:val="FF0000"/>
                                <w:lang w:eastAsia="zh-CN"/>
                              </w:rPr>
                              <w:t>取水口位置</w:t>
                            </w:r>
                          </w:p>
                        </w:txbxContent>
                      </wps:txbx>
                      <wps:bodyPr rot="0" vert="horz" wrap="square" lIns="91440" tIns="45720" rIns="91440" bIns="45720" anchor="t" anchorCtr="0" upright="1">
                        <a:noAutofit/>
                      </wps:bodyPr>
                    </wps:wsp>
                  </a:graphicData>
                </a:graphic>
              </wp:anchor>
            </w:drawing>
          </mc:Choice>
          <mc:Fallback>
            <w:pict>
              <v:shape id="自选图形 5643" o:spid="_x0000_s1026" o:spt="62" type="#_x0000_t62" style="position:absolute;left:0pt;margin-top:450.6pt;height:39.35pt;width:103.8pt;mso-position-horizontal:right;mso-position-horizontal-relative:margin;z-index:251799552;mso-width-relative:page;mso-height-relative:page;" fillcolor="#FFFFFF" filled="t" stroked="t" coordsize="21600,21600" o:gfxdata="UEsDBAoAAAAAAIdO4kAAAAAAAAAAAAAAAAAEAAAAZHJzL1BLAwQUAAAACACHTuJAWavyC9oAAAAI&#10;AQAADwAAAGRycy9kb3ducmV2LnhtbE2PzU7DMBCE70h9B2srcaN2ItQ0IU5VVUICDpUoIJWbGy9J&#10;aLyOYveHt2c5lePsrGa+KZcX14sTjqHzpCGZKRBItbcdNRre3x7vFiBCNGRN7wk1/GCAZTW5KU1h&#10;/Zle8bSNjeAQCoXR0MY4FFKGukVnwswPSOx9+dGZyHJspB3NmcNdL1Ol5tKZjrihNQOuW6wP26PT&#10;sFnE1D9l/uN7s7q3L7vVc97sPrW+nSbqAUTES7w+wx8+o0PFTHt/JBtEr4GHRA25SlIQbKcqm4PY&#10;8yXLc5BVKf8PqH4BUEsDBBQAAAAIAIdO4kBtes+tlwIAACAFAAAOAAAAZHJzL2Uyb0RvYy54bWyt&#10;VE1u1DAU3iNxB8v7NpNMkplEzVTVVEVIBaoWDuCJncTg2MF2JlNW7BBnYMeSO8BtKsEteHEyJVNY&#10;dEEW0Xvx5++97/3k5HRXC7Rl2nAlM+wfzzBiMleUyzLDb15fHC0xMpZISoSSLMO3zODT1dMnJ12T&#10;skBVSlCmEZBIk3ZNhitrm9TzTF6xmphj1TAJh4XSNbHg6tKjmnTAXgsvmM1ir1OaNlrlzBj4ej4c&#10;4pFRP4ZQFQXP2bnK25pJO7BqJogFSabijcErl21RsNy+KgrDLBIZBqXWvSEI2Jv+7a1OSFpq0lQ8&#10;H1Mgj0nhgaaacAlB76nOiSWo1fwvqprnWhlV2ONc1d4gxFUEVPizB7W5qUjDnBYotWnui27+H23+&#10;cnulEacwCbG/TPzlfOZjJEkNnf/56duvj5/vvvy4+/4VRXE476vVNSaFSzfNle71muZS5e8Mkmpd&#10;EVmyM61VVzFCIUe/x3sHF3rHwFW06V4oCjFIa5Ur3K7QdU8IJUG7DEdROI8i6NJthuN4Hi3Adr1i&#10;O4tyAPhzfxnEAMgBESbJIoxcOJLumRpt7DOmatQbGe4YLdm1aiW9hqlYEyFUa11osr001jWPjsoJ&#10;fQtVKGoBs7AlAh2FfhiEQwLlBBRMQX6SxEunGcZgApofgOI4XoyJjnE9ku5TdRVVgtMLLoRzdLlZ&#10;C40giQxfuGe8bKYwIVGX4SQKIifo4MwcUszg+RdFzS2steB1hpc9Zg8Scuxh37ah/Xa32Y2TsFH0&#10;Frqp1bBY8FsBo1L6A0YdLFWGzfuWaIaReC5hIhI/DPstdE4YLQJw9PRkMz0hMgeqDFuMBnNth81t&#10;G83LCiL5Tq5UZzBFBbf7cRuyGvOGxQHrYDOnvkP9+bGt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BZq/IL2gAAAAgBAAAPAAAAAAAAAAEAIAAAACIAAABkcnMvZG93bnJldi54bWxQSwECFAAUAAAA&#10;CACHTuJAbXrPrZcCAAAgBQAADgAAAAAAAAABACAAAAApAQAAZHJzL2Uyb0RvYy54bWxQSwUGAAAA&#10;AAYABgBZAQAAMgYAAAAA&#10;" adj="1852,53931,14400">
                <v:fill on="t" focussize="0,0"/>
                <v:stroke color="#FF0000" miterlimit="8" joinstyle="miter"/>
                <v:imagedata o:title=""/>
                <o:lock v:ext="edit" aspectratio="f"/>
                <v:textbox>
                  <w:txbxContent>
                    <w:p w14:paraId="313C061C">
                      <w:pPr>
                        <w:rPr>
                          <w:color w:val="FF0000"/>
                        </w:rPr>
                      </w:pPr>
                      <w:r>
                        <w:rPr>
                          <w:rFonts w:hint="eastAsia"/>
                          <w:color w:val="FF0000"/>
                          <w:lang w:eastAsia="zh-CN"/>
                        </w:rPr>
                        <w:t>取水口位置</w:t>
                      </w:r>
                    </w:p>
                  </w:txbxContent>
                </v:textbox>
              </v:shape>
            </w:pict>
          </mc:Fallback>
        </mc:AlternateContent>
      </w:r>
      <w:r>
        <mc:AlternateContent>
          <mc:Choice Requires="wps">
            <w:drawing>
              <wp:anchor distT="0" distB="0" distL="114300" distR="114300" simplePos="0" relativeHeight="251800576" behindDoc="0" locked="0" layoutInCell="1" allowOverlap="1">
                <wp:simplePos x="0" y="0"/>
                <wp:positionH relativeFrom="column">
                  <wp:posOffset>4813300</wp:posOffset>
                </wp:positionH>
                <wp:positionV relativeFrom="paragraph">
                  <wp:posOffset>6860540</wp:posOffset>
                </wp:positionV>
                <wp:extent cx="254635" cy="180975"/>
                <wp:effectExtent l="31750" t="18415" r="27940" b="19685"/>
                <wp:wrapNone/>
                <wp:docPr id="1551941103" name="自选图形 5644"/>
                <wp:cNvGraphicFramePr/>
                <a:graphic xmlns:a="http://schemas.openxmlformats.org/drawingml/2006/main">
                  <a:graphicData uri="http://schemas.microsoft.com/office/word/2010/wordprocessingShape">
                    <wps:wsp>
                      <wps:cNvSpPr>
                        <a:spLocks noChangeArrowheads="1"/>
                      </wps:cNvSpPr>
                      <wps:spPr bwMode="auto">
                        <a:xfrm>
                          <a:off x="0" y="0"/>
                          <a:ext cx="254635" cy="180975"/>
                        </a:xfrm>
                        <a:prstGeom prst="star5">
                          <a:avLst/>
                        </a:prstGeom>
                        <a:solidFill>
                          <a:srgbClr val="FF0000"/>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自选图形 5644" o:spid="_x0000_s1026" style="position:absolute;left:0pt;margin-left:379pt;margin-top:540.2pt;height:14.25pt;width:20.05pt;z-index:251800576;mso-width-relative:page;mso-height-relative:page;" fillcolor="#FF0000" filled="t" stroked="t" coordsize="254635,180975" o:gfxdata="UEsDBAoAAAAAAIdO4kAAAAAAAAAAAAAAAAAEAAAAZHJzL1BLAwQUAAAACACHTuJAZqwubdsAAAAN&#10;AQAADwAAAGRycy9kb3ducmV2LnhtbE2PzU7DMBCE70i8g7VI3KidqNAkjVMJJMQB1IqCenbjbRIa&#10;r9PY/eHtWU5w3JnR7Dfl4uJ6ccIxdJ40JBMFAqn2tqNGw+fH810GIkRD1vSeUMM3BlhU11elKaw/&#10;0zue1rERXEKhMBraGIdCylC36EyY+AGJvZ0fnYl8jo20ozlzuetlqtSDdKYj/tCaAZ9arPfro9Mw&#10;W272by9fB3mg6XL1+JqnY9pstL69SdQcRMRL/AvDLz6jQ8VMW38kG0TPHfcZb4lsqExNQXBklmcJ&#10;iC1LrOUgq1L+X1H9AFBLAwQUAAAACACHTuJA3x9rSUkCAACBBAAADgAAAGRycy9lMm9Eb2MueG1s&#10;rVTNbtQwEL4j8Q6W7zTJNmm7UbNV1WoRUoFKhQfwOs7Gwn+MvZstJ26IZ+DGkXeAt6kEb8HY2ZZt&#10;4dADOVgez8w3M9/M5PhkoxVZC/DSmoYWezklwnDbSrNs6Ns382dHlPjATMuUNaKh18LTk9nTJ8eD&#10;q8XE9la1AgiCGF8PrqF9CK7OMs97oZnfs04YVHYWNAsowjJrgQ2IrlU2yfODbLDQOrBceI+v56OS&#10;bhHhMYC26yQX55avtDBhRAWhWMCSfC+dp7OUbdcJHl53nReBqIZipSGdGATvi3hms2NWL4G5XvJt&#10;CuwxKTyoSTNpMOgd1DkLjKxA/gWlJQfrbRf2uNXZWEhiBKso8gfcXPXMiVQLUu3dHen+/8HyV+tL&#10;ILLFSaiqYloWRb5PiWEaO//z07dfHz/ffPlx8/0rqQ7KMrI1OF+j05W7hFivdxeWv/PE2LOemaU4&#10;BbBDL1iLORbRPrvnEAWPrmQxvLQtxmCrYBNxmw50BERKyCb15/quP2ITCMfHSVUe7FeUcFQVR/n0&#10;sEoRWH3r7MCH58JqEi8NxTGGKqGz9YUPMRtW39qk7K2S7VwqlQRYLs4UkDXDWZnPc/y28H7XTBky&#10;NHRaTUbkezq/CxEB/g2hZcAVUlI39GjXSJktX5GikeqFba+RLrDj5OLe4qW38IGSAacWa3y/YiAo&#10;US8MUj4tyjKOeRLK6nCCAuxqFrsaZjhCNTRQMl7PwrgaKwdy2WOkIrFn7Cm2qZOJwdjCMattsjiZ&#10;idjtFsXR35WT1Z8/x+w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ZqwubdsAAAANAQAADwAAAAAA&#10;AAABACAAAAAiAAAAZHJzL2Rvd25yZXYueG1sUEsBAhQAFAAAAAgAh07iQN8fa0lJAgAAgQQAAA4A&#10;AAAAAAAAAQAgAAAAKgEAAGRycy9lMm9Eb2MueG1sUEsFBgAAAAAGAAYAWQEAAOUFAAAAAA==&#10;" path="m0,69126l97262,69126,127317,0,157372,69126,254634,69126,175947,111848,206003,180974,127317,138251,48631,180974,78687,111848xe">
                <v:path o:connectlocs="127317,0;0,69126;48631,180974;206003,180974;254634,69126" o:connectangles="247,164,82,82,0"/>
                <v:fill on="t" focussize="0,0"/>
                <v:stroke color="#000000" miterlimit="8" joinstyle="miter"/>
                <v:imagedata o:title=""/>
                <o:lock v:ext="edit" aspectratio="f"/>
              </v:shape>
            </w:pict>
          </mc:Fallback>
        </mc:AlternateContent>
      </w:r>
      <w:r>
        <mc:AlternateContent>
          <mc:Choice Requires="wps">
            <w:drawing>
              <wp:anchor distT="0" distB="0" distL="114300" distR="114300" simplePos="0" relativeHeight="251798528" behindDoc="0" locked="0" layoutInCell="1" allowOverlap="1">
                <wp:simplePos x="0" y="0"/>
                <wp:positionH relativeFrom="column">
                  <wp:posOffset>4107180</wp:posOffset>
                </wp:positionH>
                <wp:positionV relativeFrom="paragraph">
                  <wp:posOffset>6363970</wp:posOffset>
                </wp:positionV>
                <wp:extent cx="998220" cy="992505"/>
                <wp:effectExtent l="0" t="0" r="11430" b="17145"/>
                <wp:wrapNone/>
                <wp:docPr id="475948620" name="任意多边形 5642"/>
                <wp:cNvGraphicFramePr/>
                <a:graphic xmlns:a="http://schemas.openxmlformats.org/drawingml/2006/main">
                  <a:graphicData uri="http://schemas.microsoft.com/office/word/2010/wordprocessingShape">
                    <wps:wsp>
                      <wps:cNvSpPr/>
                      <wps:spPr bwMode="auto">
                        <a:xfrm>
                          <a:off x="0" y="0"/>
                          <a:ext cx="998220" cy="992505"/>
                        </a:xfrm>
                        <a:custGeom>
                          <a:avLst/>
                          <a:gdLst>
                            <a:gd name="T0" fmla="*/ 0 w 2143"/>
                            <a:gd name="T1" fmla="*/ 904 h 2009"/>
                            <a:gd name="T2" fmla="*/ 502 w 2143"/>
                            <a:gd name="T3" fmla="*/ 1406 h 2009"/>
                            <a:gd name="T4" fmla="*/ 1122 w 2143"/>
                            <a:gd name="T5" fmla="*/ 1691 h 2009"/>
                            <a:gd name="T6" fmla="*/ 1390 w 2143"/>
                            <a:gd name="T7" fmla="*/ 1892 h 2009"/>
                            <a:gd name="T8" fmla="*/ 1791 w 2143"/>
                            <a:gd name="T9" fmla="*/ 2009 h 2009"/>
                            <a:gd name="T10" fmla="*/ 2143 w 2143"/>
                            <a:gd name="T11" fmla="*/ 1239 h 2009"/>
                            <a:gd name="T12" fmla="*/ 904 w 2143"/>
                            <a:gd name="T13" fmla="*/ 0 h 2009"/>
                            <a:gd name="T14" fmla="*/ 0 w 2143"/>
                            <a:gd name="T15" fmla="*/ 904 h 200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43" h="2009">
                              <a:moveTo>
                                <a:pt x="0" y="904"/>
                              </a:moveTo>
                              <a:lnTo>
                                <a:pt x="502" y="1406"/>
                              </a:lnTo>
                              <a:lnTo>
                                <a:pt x="1122" y="1691"/>
                              </a:lnTo>
                              <a:lnTo>
                                <a:pt x="1390" y="1892"/>
                              </a:lnTo>
                              <a:lnTo>
                                <a:pt x="1791" y="2009"/>
                              </a:lnTo>
                              <a:lnTo>
                                <a:pt x="2143" y="1239"/>
                              </a:lnTo>
                              <a:lnTo>
                                <a:pt x="904" y="0"/>
                              </a:lnTo>
                              <a:lnTo>
                                <a:pt x="0" y="904"/>
                              </a:lnTo>
                              <a:close/>
                            </a:path>
                          </a:pathLst>
                        </a:custGeom>
                        <a:solidFill>
                          <a:srgbClr val="FFC000"/>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任意多边形 5642" o:spid="_x0000_s1026" o:spt="100" style="position:absolute;left:0pt;margin-left:323.4pt;margin-top:501.1pt;height:78.15pt;width:78.6pt;z-index:251798528;mso-width-relative:page;mso-height-relative:page;" fillcolor="#FFC000" filled="t" stroked="t" coordsize="2143,2009" o:gfxdata="UEsDBAoAAAAAAIdO4kAAAAAAAAAAAAAAAAAEAAAAZHJzL1BLAwQUAAAACACHTuJAcfY0WtsAAAAN&#10;AQAADwAAAGRycy9kb3ducmV2LnhtbE2PwU7DMBBE70j8g7VI3KidqAlRiFMJpPaAuNCWAzc33iaB&#10;eB3FbtP+PcsJjjszmn1TrS5uEGecQu9JQ7JQIJAab3tqNex364cCRIiGrBk8oYYrBljVtzeVKa2f&#10;6R3P29gKLqFQGg1djGMpZWg6dCYs/IjE3tFPzkQ+p1baycxc7gaZKpVLZ3riD50Z8aXD5nt7chr6&#10;ZP3xuo+fb9n81cjN89U9huNG6/u7RD2BiHiJf2H4xWd0qJnp4E9kgxg05Muc0SMbSqUpCI4Uasnz&#10;DiwlWZGBrCv5f0X9A1BLAwQUAAAACACHTuJA5ioGe6MDAAD5CQAADgAAAGRycy9lMm9Eb2MueG1s&#10;rVbBjts2EL0X6D8QOgboStTK9spYb1DsYoMAbRMg2w+gKcoSIJEqSVvennPPPceiP1EEydckQT6j&#10;M6Tk5W4iZw+52JT49GbmzQyH50/3bUN2QptayVVET5KICMlVUcvNKvrz5vqXs4gYy2TBGiXFKroV&#10;Jnp68fNP5323FKmqVFMITYBEmmXfraLK2m4Zx4ZXomXmRHVCwmapdMssPOpNXGjWA3vbxGmSzONe&#10;6aLTigtj4O2V34wGRv0YQlWWNRdXim9bIa1n1aJhFkIyVd2Z6MJ5W5aC2xdlaYQlzSqCSK37BSOw&#10;XuNvfHHOlhvNuqrmgwvsMS48iKlltQSjB6orZhnZ6vorqrbmWhlV2hOu2tgH4hSBKGjyQJtXFeuE&#10;iwWkNt1BdPPjaPkfu5ea1MUqyhazPDubp6CMZC0k/uO7d59fv/n079svH/779P4fMptnKerVd2YJ&#10;n73qXurhycCSrPvfVQGfsa1VTop9qVuUBIIke6f47UFxsbeEw8s8P0vRIoetPE9nyQwtxGw5fsy3&#10;xj4TyhGx3W/G+oQVsHJyF4OzN0BStg3k7klMEtKTlGanQ3YPGBpg8iQjFYGCzB+i0gA1S9IJrtMA&#10;RbNkPkGWhTCaTrHNQtg8pxNs8xB2mk/FuQhhZ3k6wQaNfpCMLsDot1XLAxjqNcFGwwyg+hN0NMwC&#10;TU8n+cI8YLa+7R0NE5FM+RamYUo1GibhfnlAQW7GkmPVWIV8L4cyhBVheH4mrvI7ZbDisSahrm/o&#10;UNOAwpqdAEO4CHZFC/aOgyEeBI/dchwMVYPgxaPcgKJAsOuK77qBOUc05NS37XFH6BAj5OxR8CFK&#10;SEwA904Nwms44B8e7dod7Wv8hi07ZjFf45L0q8idDKSCBTY/7rRqJ26Uw9i7owpKYLB7t9/IEAen&#10;g4sf+3+AjoDxv3OEFDrfI6G3jyOhqz0S+vY4EjrWIcczDIQZrY7/3roPGPKE3XaUE0PGhLq5OMnn&#10;HbyTZ7TGG2WEzxTK7s7xg/6YtuAsN6qpi+u6aVB1ozfry0aTHYMpfX19mSSjA/dgjcT05bMUGpW3&#10;HcwsIzcugfdg99iAaoJNq60svLcN9GWMYw0HmR9wa1XcwlDTyt8Y4L4Ei0rpvyPSw20BTP+1ZVpE&#10;pHkuYRznNMtAFusestkCZ5oOd9bhDpMcqFaRjeDUwOWl9VeSbafrTQWWqAtLql9hmJY1Dj3nn/dq&#10;eIAbgZN4uL3glSN8dqi7G9v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cGAABbQ29udGVudF9UeXBlc10ueG1sUEsBAhQACgAAAAAAh07iQAAA&#10;AAAAAAAAAAAAAAYAAAAAAAAAAAAQAAAA+QQAAF9yZWxzL1BLAQIUABQAAAAIAIdO4kCKFGY80QAA&#10;AJQBAAALAAAAAAAAAAEAIAAAAB0FAABfcmVscy8ucmVsc1BLAQIUAAoAAAAAAIdO4kAAAAAAAAAA&#10;AAAAAAAEAAAAAAAAAAAAEAAAAAAAAABkcnMvUEsBAhQAFAAAAAgAh07iQHH2NFrbAAAADQEAAA8A&#10;AAAAAAAAAQAgAAAAIgAAAGRycy9kb3ducmV2LnhtbFBLAQIUABQAAAAIAIdO4kDmKgZ7owMAAPkJ&#10;AAAOAAAAAAAAAAEAIAAAACoBAABkcnMvZTJvRG9jLnhtbFBLBQYAAAAABgAGAFkBAAA/BwAAAAA=&#10;" path="m0,904l502,1406,1122,1691,1390,1892,1791,2009,2143,1239,904,0,0,904xe">
                <v:path o:connectlocs="0,446602;233834,694605;522633,835403;647468,934703;834256,992505;998220,612102;421087,0;0,446602" o:connectangles="0,0,0,0,0,0,0,0"/>
                <v:fill on="t" focussize="0,0"/>
                <v:stroke color="#000000" joinstyle="round"/>
                <v:imagedata o:title=""/>
                <o:lock v:ext="edit" aspectratio="f"/>
              </v:shape>
            </w:pict>
          </mc:Fallback>
        </mc:AlternateContent>
      </w:r>
      <w:r>
        <mc:AlternateContent>
          <mc:Choice Requires="wps">
            <w:drawing>
              <wp:anchor distT="0" distB="0" distL="114300" distR="114300" simplePos="0" relativeHeight="251797504" behindDoc="0" locked="0" layoutInCell="1" allowOverlap="1">
                <wp:simplePos x="0" y="0"/>
                <wp:positionH relativeFrom="column">
                  <wp:posOffset>3141980</wp:posOffset>
                </wp:positionH>
                <wp:positionV relativeFrom="paragraph">
                  <wp:posOffset>5345430</wp:posOffset>
                </wp:positionV>
                <wp:extent cx="1391920" cy="1439545"/>
                <wp:effectExtent l="0" t="0" r="17780" b="27305"/>
                <wp:wrapNone/>
                <wp:docPr id="1873967402" name="任意多边形 5641"/>
                <wp:cNvGraphicFramePr/>
                <a:graphic xmlns:a="http://schemas.openxmlformats.org/drawingml/2006/main">
                  <a:graphicData uri="http://schemas.microsoft.com/office/word/2010/wordprocessingShape">
                    <wps:wsp>
                      <wps:cNvSpPr/>
                      <wps:spPr bwMode="auto">
                        <a:xfrm>
                          <a:off x="0" y="0"/>
                          <a:ext cx="1391920" cy="1439545"/>
                        </a:xfrm>
                        <a:custGeom>
                          <a:avLst/>
                          <a:gdLst>
                            <a:gd name="T0" fmla="*/ 0 w 3047"/>
                            <a:gd name="T1" fmla="*/ 569 h 3198"/>
                            <a:gd name="T2" fmla="*/ 619 w 3047"/>
                            <a:gd name="T3" fmla="*/ 1323 h 3198"/>
                            <a:gd name="T4" fmla="*/ 887 w 3047"/>
                            <a:gd name="T5" fmla="*/ 1658 h 3198"/>
                            <a:gd name="T6" fmla="*/ 1255 w 3047"/>
                            <a:gd name="T7" fmla="*/ 2177 h 3198"/>
                            <a:gd name="T8" fmla="*/ 1607 w 3047"/>
                            <a:gd name="T9" fmla="*/ 2612 h 3198"/>
                            <a:gd name="T10" fmla="*/ 2143 w 3047"/>
                            <a:gd name="T11" fmla="*/ 3198 h 3198"/>
                            <a:gd name="T12" fmla="*/ 2930 w 3047"/>
                            <a:gd name="T13" fmla="*/ 2411 h 3198"/>
                            <a:gd name="T14" fmla="*/ 3047 w 3047"/>
                            <a:gd name="T15" fmla="*/ 2277 h 3198"/>
                            <a:gd name="T16" fmla="*/ 669 w 3047"/>
                            <a:gd name="T17" fmla="*/ 0 h 3198"/>
                            <a:gd name="T18" fmla="*/ 0 w 3047"/>
                            <a:gd name="T19" fmla="*/ 569 h 3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47" h="3198">
                              <a:moveTo>
                                <a:pt x="0" y="569"/>
                              </a:moveTo>
                              <a:lnTo>
                                <a:pt x="619" y="1323"/>
                              </a:lnTo>
                              <a:lnTo>
                                <a:pt x="887" y="1658"/>
                              </a:lnTo>
                              <a:lnTo>
                                <a:pt x="1255" y="2177"/>
                              </a:lnTo>
                              <a:lnTo>
                                <a:pt x="1607" y="2612"/>
                              </a:lnTo>
                              <a:lnTo>
                                <a:pt x="2143" y="3198"/>
                              </a:lnTo>
                              <a:lnTo>
                                <a:pt x="2930" y="2411"/>
                              </a:lnTo>
                              <a:lnTo>
                                <a:pt x="3047" y="2277"/>
                              </a:lnTo>
                              <a:lnTo>
                                <a:pt x="669" y="0"/>
                              </a:lnTo>
                              <a:lnTo>
                                <a:pt x="0" y="569"/>
                              </a:lnTo>
                              <a:close/>
                            </a:path>
                          </a:pathLst>
                        </a:custGeom>
                        <a:solidFill>
                          <a:srgbClr val="FFFF00"/>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任意多边形 5641" o:spid="_x0000_s1026" o:spt="100" style="position:absolute;left:0pt;margin-left:247.4pt;margin-top:420.9pt;height:113.35pt;width:109.6pt;z-index:251797504;mso-width-relative:page;mso-height-relative:page;" fillcolor="#FFFF00" filled="t" stroked="t" coordsize="3047,3198" o:gfxdata="UEsDBAoAAAAAAIdO4kAAAAAAAAAAAAAAAAAEAAAAZHJzL1BLAwQUAAAACACHTuJAnkZhJtsAAAAM&#10;AQAADwAAAGRycy9kb3ducmV2LnhtbE2PTU/DMAyG70j8h8hI3FhSVNZSmu4wiQsIQTuEOGaN15Y1&#10;TtVkH/x7zAlutvzo9fOWq7MbxRHnMHjSkCwUCKTW24E6De+bx5scRIiGrBk9oYZvDLCqLi9KU1h/&#10;ohqPTewEh1AojIY+xqmQMrQ9OhMWfkLi287PzkRe507a2Zw43I3yVqmldGYg/tCbCdc9tvvm4DTs&#10;s/rr4ynb7KbnF/lZd00T317XWl9fJeoBRMRz/IPhV5/VoWKnrT+QDWLUkN6nrB415GnCAxNZknK7&#10;LaNqmd+BrEr5v0T1A1BLAwQUAAAACACHTuJAXi+lVeUDAABMCwAADgAAAGRycy9lMm9Eb2MueG1s&#10;rVZLjuM2EN0HyB0ILQOkJepny2j3IJhGBwHyGWA6B6AlyhIgiQpJfzrr7LOfZZBLBIPMaWaCHCNV&#10;pOSmO6DjRbywKfPpsapeVbFuXx37juy5VK0Y1gG9iQLCh1JU7bBdBz8+Pny5DIjSbKhYJwa+Dp64&#10;Cl7dff7Z7WFc8Vg0oqu4JEAyqNVhXAeN1uMqDFXZ8J6pGzHyATZrIXum4VFuw0qyA7D3XRhHUR4e&#10;hKxGKUquFPx7bzeDiVFeQyjqui35vSh3PR+0ZZW8YxpcUk07quDOWFvXvNQ/1LXimnTrADzV5hsO&#10;gfUGv8O7W7baSjY2bTmZwK4x4YVPPWsHOPREdc80IzvZ/ouqb0splKj1TSn60DpiIgJe0OhFbN42&#10;bOTGFwi1Gk9BV/8fbfn9/o0kbQWZsFwkRb5IozggA+tB+Y/v3//1y6+ffn/394c/Pv35G8nylGLA&#10;DqNawXtvxzdyelKwJJvDd6KC19hOCxOLYy17jAl4SY4m5E+nkPOjJiX8SZOCFjGoUcIeTZMiSzM8&#10;I2Sr+fVyp/TXXBgqtv9WaatZBSsT8Woy9xFY6r4D+b4ISUQOJInSxSTwCUMdTJYXpCEJLZYvURCC&#10;E1NOCw9X4qBoEicestSBLZcLD1nmoGieLT1kuQuLs8zDtnBgMV0sPGxQ6ic/aR75bCscWJzT2MNG&#10;XQFiENNjHHVFwPD7+FwZ4iLxauoKEaeU+vhcJTA5fPa5WsSxN3rUFSOHZPKknCtG5LPNlcLrqCvE&#10;efZCvWznimDNXCTlcZiqBFaEYYePTGmOQmFJYslA3T2asgYKQGFJecAgB4KTqT4vgyHWCJ6L+TIY&#10;AolgU63/aQZECsHFVWZgTiIacs52lcuG0MlHep2TdPKSXucmJowx5jpH6eQpPXPVxmeSVcIF9/Jq&#10;k+Zq29ieNjKN2YCq4pIc1oFpi6SBBXY+3OnFnj8Kg9HPnRoSbIrZ8343uDhojcYhbH4TdAbMv6Mh&#10;hLZngdDYLgIptDSDxKZ1GQntyiKhIV1EYicyyLnTQwRn8+Zfayb2GMsJTeQip40haInt4SIS+oKh&#10;NKOG92R77HPEZ7vKTihuExflM/fiSVLMBOduVKJrq4e261BIJbeb150kewaDzwN8otmAM1g3YEYU&#10;WQxRL/sRxgA1bE1OnMHO2CLzmZw+g0mxGyprbQeNJMRBAUcDOzJsRPUEY4IUdgiDERQWjZA/B+QA&#10;Axgc/dOOSR6Q7psBJpyCpimERZuHNFvgkCDdnY27w4YSqNaBDqDN4fK1tlPebpTttoGTqHFrEF/B&#10;eFK3OEQY+6xV0wMMWSbE00CIU5z7bFDPQ/Dd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kGAABbQ29udGVudF9UeXBlc10ueG1sUEsBAhQACgAA&#10;AAAAh07iQAAAAAAAAAAAAAAAAAYAAAAAAAAAAAAQAAAAOwUAAF9yZWxzL1BLAQIUABQAAAAIAIdO&#10;4kCKFGY80QAAAJQBAAALAAAAAAAAAAEAIAAAAF8FAABfcmVscy8ucmVsc1BLAQIUAAoAAAAAAIdO&#10;4kAAAAAAAAAAAAAAAAAEAAAAAAAAAAAAEAAAAAAAAABkcnMvUEsBAhQAFAAAAAgAh07iQJ5GYSbb&#10;AAAADAEAAA8AAAAAAAAAAQAgAAAAIgAAAGRycy9kb3ducmV2LnhtbFBLAQIUABQAAAAIAIdO4kBe&#10;L6VV5QMAAEwLAAAOAAAAAAAAAAEAIAAAACoBAABkcnMvZTJvRG9jLnhtbFBLBQYAAAAABgAGAFkB&#10;AACBBwAAAAA=&#10;" path="m0,569l619,1323,887,1658,1255,2177,1607,2612,2143,3198,2930,2411,3047,2277,669,0,0,569xe">
                <v:path o:connectlocs="0,256129;282769,595534;405196,746330;573304,979952;734104,1175763;978957,1439545;1338472,1085285;1391920,1024966;305610,0;0,256129" o:connectangles="0,0,0,0,0,0,0,0,0,0"/>
                <v:fill on="t" focussize="0,0"/>
                <v:stroke color="#000000" joinstyle="round"/>
                <v:imagedata o:title=""/>
                <o:lock v:ext="edit" aspectratio="f"/>
              </v:shape>
            </w:pict>
          </mc:Fallback>
        </mc:AlternateContent>
      </w:r>
      <w:r>
        <mc:AlternateContent>
          <mc:Choice Requires="wps">
            <w:drawing>
              <wp:anchor distT="0" distB="0" distL="114300" distR="114300" simplePos="0" relativeHeight="251796480" behindDoc="0" locked="0" layoutInCell="1" allowOverlap="1">
                <wp:simplePos x="0" y="0"/>
                <wp:positionH relativeFrom="column">
                  <wp:posOffset>2251710</wp:posOffset>
                </wp:positionH>
                <wp:positionV relativeFrom="paragraph">
                  <wp:posOffset>4243705</wp:posOffset>
                </wp:positionV>
                <wp:extent cx="1163955" cy="1347470"/>
                <wp:effectExtent l="19685" t="20320" r="16510" b="13335"/>
                <wp:wrapNone/>
                <wp:docPr id="270124464" name="任意多边形 5639"/>
                <wp:cNvGraphicFramePr/>
                <a:graphic xmlns:a="http://schemas.openxmlformats.org/drawingml/2006/main">
                  <a:graphicData uri="http://schemas.microsoft.com/office/word/2010/wordprocessingShape">
                    <wps:wsp>
                      <wps:cNvSpPr/>
                      <wps:spPr bwMode="auto">
                        <a:xfrm>
                          <a:off x="0" y="0"/>
                          <a:ext cx="1163955" cy="1347470"/>
                        </a:xfrm>
                        <a:custGeom>
                          <a:avLst/>
                          <a:gdLst>
                            <a:gd name="T0" fmla="*/ 0 w 2478"/>
                            <a:gd name="T1" fmla="*/ 251 h 2947"/>
                            <a:gd name="T2" fmla="*/ 402 w 2478"/>
                            <a:gd name="T3" fmla="*/ 888 h 2947"/>
                            <a:gd name="T4" fmla="*/ 720 w 2478"/>
                            <a:gd name="T5" fmla="*/ 1306 h 2947"/>
                            <a:gd name="T6" fmla="*/ 921 w 2478"/>
                            <a:gd name="T7" fmla="*/ 1541 h 2947"/>
                            <a:gd name="T8" fmla="*/ 1088 w 2478"/>
                            <a:gd name="T9" fmla="*/ 2010 h 2947"/>
                            <a:gd name="T10" fmla="*/ 1389 w 2478"/>
                            <a:gd name="T11" fmla="*/ 2227 h 2947"/>
                            <a:gd name="T12" fmla="*/ 1858 w 2478"/>
                            <a:gd name="T13" fmla="*/ 2847 h 2947"/>
                            <a:gd name="T14" fmla="*/ 1909 w 2478"/>
                            <a:gd name="T15" fmla="*/ 2947 h 2947"/>
                            <a:gd name="T16" fmla="*/ 2478 w 2478"/>
                            <a:gd name="T17" fmla="*/ 2432 h 2947"/>
                            <a:gd name="T18" fmla="*/ 301 w 2478"/>
                            <a:gd name="T19" fmla="*/ 0 h 2947"/>
                            <a:gd name="T20" fmla="*/ 0 w 2478"/>
                            <a:gd name="T21" fmla="*/ 251 h 2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478" h="2947">
                              <a:moveTo>
                                <a:pt x="0" y="251"/>
                              </a:moveTo>
                              <a:lnTo>
                                <a:pt x="402" y="888"/>
                              </a:lnTo>
                              <a:lnTo>
                                <a:pt x="720" y="1306"/>
                              </a:lnTo>
                              <a:lnTo>
                                <a:pt x="921" y="1541"/>
                              </a:lnTo>
                              <a:lnTo>
                                <a:pt x="1088" y="2010"/>
                              </a:lnTo>
                              <a:lnTo>
                                <a:pt x="1389" y="2227"/>
                              </a:lnTo>
                              <a:lnTo>
                                <a:pt x="1858" y="2847"/>
                              </a:lnTo>
                              <a:lnTo>
                                <a:pt x="1909" y="2947"/>
                              </a:lnTo>
                              <a:lnTo>
                                <a:pt x="2478" y="2432"/>
                              </a:lnTo>
                              <a:lnTo>
                                <a:pt x="301" y="0"/>
                              </a:lnTo>
                              <a:lnTo>
                                <a:pt x="0" y="251"/>
                              </a:lnTo>
                              <a:close/>
                            </a:path>
                          </a:pathLst>
                        </a:custGeom>
                        <a:blipFill dpi="0" rotWithShape="1">
                          <a:blip r:embed="rId57"/>
                          <a:srcRect/>
                          <a:tile tx="0" ty="0" sx="100000" sy="100000" flip="none" algn="tl"/>
                        </a:blip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任意多边形 5639" o:spid="_x0000_s1026" o:spt="100" style="position:absolute;left:0pt;margin-left:177.3pt;margin-top:334.15pt;height:106.1pt;width:91.65pt;z-index:251796480;mso-width-relative:page;mso-height-relative:page;" filled="t" stroked="t" coordsize="2478,2947" o:gfxdata="UEsDBAoAAAAAAIdO4kAAAAAAAAAAAAAAAAAEAAAAZHJzL1BLAwQUAAAACACHTuJAfN2K49kAAAAL&#10;AQAADwAAAGRycy9kb3ducmV2LnhtbE2PTU+EMBCG7yb+h2ZMvLktIiwiwx5IPOhF3d3Ea6EjEOmU&#10;0O7Xv7ee9Dh5n7zvM9XmbCdxpMWPjhGSlQJB3Dkzco+w3z3fFSB80Gz05JgQLuRhU19fVbo07sQf&#10;dNyGXsQS9qVGGEKYSyl9N5DVfuVm4ph9ucXqEM+ll2bRp1huJ3mvVC6tHjkuDHqmZqDue3uwCM3L&#10;m917UhTeP1+TZW7abndZI97eJOoJRKBz+IPhVz+qQx2dWndg48WEkGYPeUQR8rxIQUQiS9ePIFqE&#10;olAZyLqS/3+ofwBQSwMEFAAAAAgAh07iQPdoBd1GBAAApQwAAA4AAABkcnMvZTJvRG9jLnhtbK1X&#10;TY/bNhC9F+h/IHQs0LUoy+sPrDcoskgRoB9Bs0XPtERZAiRRJen1bs+5995j0T8RBOmvaYr+jL4h&#10;JZu7rRwfsgebMp+G8+bNDGevnt03NbuT2lSqXUf8Io6YbDOVV+12Hf14++LLRcSMFW0uatXKdfQg&#10;TfTs+vPPrvbdSiaqVHUuNYOR1qz23Toqre1Wk4nJStkIc6E62WKzULoRFo96O8m12MN6U0+SOL6c&#10;7JXOO60yaQx+vfGbUW9Rn2NQFUWVyRuV7RrZWm9Vy1pYUDJl1Zno2nlbFDKz3xeFkZbV6whMrfvE&#10;IVhv6HNyfSVWWy26ssp6F8Q5Ljzh1IiqxaEHUzfCCrbT1X9MNVWmlVGFvchUM/FEXETAgsdPYvO6&#10;FJ10XBBq0x2Cbj6d2ey7u1eaVfk6SuYxT9L0Mo1YKxoI/9e7d3+/+fXDH7/98+fbD+9/Z7PL6ZLi&#10;te/MCq+97l7p/slgyTb7b1WO18TOKheK+0I3FBKQZPcu4g+HiMt7yzL8yDmMzmYRy7DHp+k8nTtN&#10;JmI1vJ7tjP1aKmdK3H1jrJcsx8oFPO/dvYWkRVNDvS8mLGZ7lqTzRa/vAcMDTDLjrGTJMp0/RSUB&#10;Ko2TEVvTALVYLEZsIZwHr+bJmF+IwAHFp/HliLHLALZM+Ihj8wDFZ+kYS9T58cwYBP4/ZMsARjk6&#10;4hoPw8+ni+WIOf5IgiSZj9kLReCL2Zh7PJQhWaSj9kIh+DIe9S+UgpJjzL9QC0q1Mb6hGkk6Tcbs&#10;hXJM4zFteSjHmBZJqMVYyiWPhHhUC6i+7VBfohxKLrtv+5rDigm6LmJX6J0yVOBUgKjiW07lBBNA&#10;UYGOgCEvgadngaEdgWdngSEMgV1Vf9QNRJ3ArrF9FEw5Tmjk8DkUec8RKXoWvGfJz6PJe578PKK8&#10;Z4oEOscZSiGiiiwJ4D5CfRZoXK5Pr1XtrtUNvSNWnbCUPMOS7XHJUE9mJRbUdmmnUXfyVjmMPV4T&#10;6M39ucf9ug1x6MvOQ3TeHjnsD9+ds4ee63DUVU8C0U89EB3zJJCjVzokdcPTSLRBj0SfO41Eg/NI&#10;dLDTSLQuj+wvLmgyMB6+PXMfa4hIXeekTbQbZ/I0Gx/HozLDaVmtjPRJQoq72j9ITxkTXOCbuupe&#10;VHXN8q5yI4FW9qfKlm7SwQTgUoJAn3YcZHolm43ElKNf5k5dsTI6+wEZ7DLVVrVk1g8pFhEDVUPT&#10;SUx/WOOnYV3AuXXUYjSOmKi3GKFt3Qd3IEfJXLeU7stZQrNN0+Fk024dO6PqKqcYEMzo7eZ5rdmd&#10;oPnUH+dD+Qim1a7N/e81muqERjAauvwwtlH5AwYwhNJ5jtkei1LpXyK2x2SLo3/eCQ1/65ctRscl&#10;T1OQsu4hnbkC0eHOJtwRbQZTYAm6bvnc+vF51+lqW+IkL1qrvsLgV1QUUOef96p/wPTq8qKftGk8&#10;Dp8d6vjfxfW/UEsDBAoAAAAAAIdO4kAAAAAAAAAAAAAAAAAKAAAAZHJzL21lZGlhL1BLAwQUAAAA&#10;CACHTuJAjrXBSnYAAABxAAAAFAAAAGRycy9tZWRpYS9pbWFnZTEucG5nAXEAjv+JUE5HDQoaCgAA&#10;AA1JSERSAAAACAAAAAgIAgAAAEttKdwAAAABc1JHQgCuzhzpAAAACXBIWXMAAA7EAAAOxAGVKw4b&#10;AAAAFklEQVQYV2O0kAhgwAaYsIoCBQenBACCsACwonduJAAAAABJRU5ErkJgg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CqJg6+tgAAACEBAAAZ&#10;AAAAZHJzL19yZWxzL2Uyb0RvYy54bWwucmVsc4WPQWrDMBBF94XcQcw+lp1FKMWyN6HgbUgOMEhj&#10;WcQaCUkt9e0jyCaBQJfzP/89ph///Cp+KWUXWEHXtCCIdTCOrYLr5Xv/CSIXZINrYFKwUYZx2H30&#10;Z1qx1FFeXMyiUjgrWEqJX1JmvZDH3IRIXJs5JI+lnsnKiPqGluShbY8yPTNgeGGKyShIk+lAXLZY&#10;zf+zwzw7TaegfzxxeaOQzld3BWKyVBR4Mg4fYddEtiCHXr48NtwBUEsDBBQAAAAIAIdO4kB557oE&#10;BAEAABMCAAATAAAAW0NvbnRlbnRfVHlwZXNdLnhtbJWRwU7DMAyG70i8Q5QralN2QAit3YGOIyA0&#10;HiBK3DaicaI4lO3tSbpNgokh7Rjb3+8vyXK1tSObIJBxWPPbsuIMUDltsK/5++apuOeMokQtR4dQ&#10;8x0QXzXXV8vNzgOxRCPVfIjRPwhBagArqXQeMHU6F6yM6Rh64aX6kD2IRVXdCeUwAsYi5gzeLFvo&#10;5OcY2XqbynsTjz1nj/u5vKrmxmY+18WfRICRThDp/WiUjOluYkJ94lUcnMpEzjM0GE83SfzMhtz5&#10;7fRzwYF7SY8ZjAb2KkN8ljaZCx1IaPeFAaby/5BsaalwXWcUlG2gNmFvMB2tzqXDwrVOXRq+nqlj&#10;tpi/tPkGUEsBAhQAFAAAAAgAh07iQHnnugQEAQAAEwIAABMAAAAAAAAAAQAgAAAAnQgAAFtDb250&#10;ZW50X1R5cGVzXS54bWxQSwECFAAKAAAAAACHTuJAAAAAAAAAAAAAAAAABgAAAAAAAAAAABAAAABq&#10;BgAAX3JlbHMvUEsBAhQAFAAAAAgAh07iQIoUZjzRAAAAlAEAAAsAAAAAAAAAAQAgAAAAjgYAAF9y&#10;ZWxzLy5yZWxzUEsBAhQACgAAAAAAh07iQAAAAAAAAAAAAAAAAAQAAAAAAAAAAAAQAAAAAAAAAGRy&#10;cy9QSwECFAAKAAAAAACHTuJAAAAAAAAAAAAAAAAACgAAAAAAAAAAABAAAACIBwAAZHJzL19yZWxz&#10;L1BLAQIUABQAAAAIAIdO4kCqJg6+tgAAACEBAAAZAAAAAAAAAAEAIAAAALAHAABkcnMvX3JlbHMv&#10;ZTJvRG9jLnhtbC5yZWxzUEsBAhQAFAAAAAgAh07iQHzdiuPZAAAACwEAAA8AAAAAAAAAAQAgAAAA&#10;IgAAAGRycy9kb3ducmV2LnhtbFBLAQIUABQAAAAIAIdO4kD3aAXdRgQAAKUMAAAOAAAAAAAAAAEA&#10;IAAAACgBAABkcnMvZTJvRG9jLnhtbFBLAQIUAAoAAAAAAIdO4kAAAAAAAAAAAAAAAAAKAAAAAAAA&#10;AAAAEAAAAJoFAABkcnMvbWVkaWEvUEsBAhQAFAAAAAgAh07iQI61wUp2AAAAcQAAABQAAAAAAAAA&#10;AQAgAAAAwgUAAGRycy9tZWRpYS9pbWFnZTEucG5nUEsFBgAAAAAKAAoAUgIAANIJAAAAAA==&#10;" path="m0,251l402,888,720,1306,921,1541,1088,2010,1389,2227,1858,2847,1909,2947,2478,2432,301,0,0,251xe">
                <v:path o:connectlocs="0,114765;188825,406024;338195,597148;432607,704598;511050,919041;652434,1018261;872731,1301746;896686,1347470;1163955,1111994;141384,0;0,114765" o:connectangles="0,0,0,0,0,0,0,0,0,0,0"/>
                <v:fill type="tile" on="t" focussize="0,0" recolor="t" rotate="t" r:id="rId57"/>
                <v:stroke color="#000000" joinstyle="round"/>
                <v:imagedata o:title=""/>
                <o:lock v:ext="edit" aspectratio="f"/>
              </v:shape>
            </w:pict>
          </mc:Fallback>
        </mc:AlternateContent>
      </w:r>
      <w:r>
        <mc:AlternateContent>
          <mc:Choice Requires="wps">
            <w:drawing>
              <wp:anchor distT="0" distB="0" distL="114300" distR="114300" simplePos="0" relativeHeight="251829248" behindDoc="0" locked="0" layoutInCell="1" allowOverlap="1">
                <wp:simplePos x="0" y="0"/>
                <wp:positionH relativeFrom="margin">
                  <wp:align>left</wp:align>
                </wp:positionH>
                <wp:positionV relativeFrom="paragraph">
                  <wp:posOffset>2275205</wp:posOffset>
                </wp:positionV>
                <wp:extent cx="1161415" cy="365760"/>
                <wp:effectExtent l="0" t="0" r="0" b="0"/>
                <wp:wrapNone/>
                <wp:docPr id="1819811440" name="自选图形 7278"/>
                <wp:cNvGraphicFramePr/>
                <a:graphic xmlns:a="http://schemas.openxmlformats.org/drawingml/2006/main">
                  <a:graphicData uri="http://schemas.microsoft.com/office/word/2010/wordprocessingShape">
                    <wps:wsp>
                      <wps:cNvSpPr>
                        <a:spLocks noChangeArrowheads="1"/>
                      </wps:cNvSpPr>
                      <wps:spPr bwMode="auto">
                        <a:xfrm>
                          <a:off x="0" y="0"/>
                          <a:ext cx="1161415" cy="365760"/>
                        </a:xfrm>
                        <a:prstGeom prst="wedgeRoundRectCallout">
                          <a:avLst>
                            <a:gd name="adj1" fmla="val -124139"/>
                            <a:gd name="adj2" fmla="val -93579"/>
                            <a:gd name="adj3" fmla="val 16667"/>
                          </a:avLst>
                        </a:prstGeom>
                        <a:noFill/>
                        <a:ln>
                          <a:noFill/>
                        </a:ln>
                      </wps:spPr>
                      <wps:txbx>
                        <w:txbxContent>
                          <w:p w14:paraId="4840308B">
                            <w:pPr>
                              <w:rPr>
                                <w:b/>
                                <w:bCs/>
                                <w:color w:val="FF0000"/>
                              </w:rPr>
                            </w:pPr>
                            <w:r>
                              <w:rPr>
                                <w:rFonts w:hint="eastAsia"/>
                                <w:b/>
                                <w:bCs/>
                                <w:color w:val="FF0000"/>
                                <w:lang w:eastAsia="zh-CN"/>
                              </w:rPr>
                              <w:t>水流方向</w:t>
                            </w:r>
                          </w:p>
                        </w:txbxContent>
                      </wps:txbx>
                      <wps:bodyPr rot="0" vert="horz" wrap="square" lIns="91440" tIns="45720" rIns="91440" bIns="45720" anchor="t" anchorCtr="0" upright="1">
                        <a:noAutofit/>
                      </wps:bodyPr>
                    </wps:wsp>
                  </a:graphicData>
                </a:graphic>
              </wp:anchor>
            </w:drawing>
          </mc:Choice>
          <mc:Fallback>
            <w:pict>
              <v:shape id="自选图形 7278" o:spid="_x0000_s1026" o:spt="62" type="#_x0000_t62" style="position:absolute;left:0pt;margin-top:179.15pt;height:28.8pt;width:91.45pt;mso-position-horizontal:left;mso-position-horizontal-relative:margin;z-index:251829248;mso-width-relative:page;mso-height-relative:page;" filled="f" stroked="f" coordsize="21600,21600" o:gfxdata="UEsDBAoAAAAAAIdO4kAAAAAAAAAAAAAAAAAEAAAAZHJzL1BLAwQUAAAACACHTuJACsS+PdkAAAAI&#10;AQAADwAAAGRycy9kb3ducmV2LnhtbE2PQUvDQBSE74L/YXmCF7GbtKakMS89FCoKUjAqXrfZZxLN&#10;vg2726b+e7cnPQ4zzHxTrk9mEEdyvreMkM4SEMSN1T23CG+v29schA+KtRosE8IPeVhXlxelKrSd&#10;+IWOdWhFLGFfKIQuhLGQ0jcdGeVndiSO3qd1RoUoXSu1U1MsN4OcJ8lSGtVzXOjUSJuOmu/6YBBc&#10;/fG1e5zoZvOePWzd0jf2qX9GvL5Kk3sQgU7hLwxn/IgOVWTa2wNrLwaEeCQgLLJ8AeJs5/MViD3C&#10;XZqtQFal/H+g+gVQSwMEFAAAAAgAh07iQAP7zwZdAgAAowQAAA4AAABkcnMvZTJvRG9jLnhtbK1U&#10;zW7UMBC+I/EOlu9t1vuT3Y2araqtipAKVC08gNdxNgHHY2xns+XEDfEM3DjyDvA2leAtmDjpsls4&#10;9MAlGs+Mv5n5vnFOTreVIhtpXQk6pex4QInUArJSr1P65vXF0YwS57nOuAItU3orHT1dPH1y0phE&#10;DqEAlUlLEES7pDEpLbw3SRQ5UciKu2MwUmMwB1txj0e7jjLLG0SvVDQcDOKoAZsZC0I6h97zLkh7&#10;RPsYQMjzUshzEHUlte9QrVTc40iuKI2ji9BtnkvhX+W5k56olOKkPnyxCNqr9hstTniyttwUpehb&#10;4I9p4cFMFS81Ft1BnXPPSW3Lv6CqUlhwkPtjAVXUDRIYwSnY4AE3NwU3MsyCVDuzI939P1jxcnNl&#10;SZnhJszYfMbYeIzUaF6h8j8/ffv18fPdlx9337+S6XA6a9lqjEvw0o25su28zlyCeOeIhmXB9Vqe&#10;WQtNIXmGPbI2Pzq40B4cXiWr5gVkWIPXHgJx29xWLSBSQrZBn9udPnLriUAnYzEbswklAmOjeDKN&#10;g4ART+5vG+v8MwkVaY2UNjJby2uodXaNm7DkSkHtQzm+uXQ+CJb10/LsLaMkrxTqv+GKHLHhmI3m&#10;/YbsZQ0PsuajyfQfSaP9JBbH8TSQwZO+MPZ832vbhYaLUqmwjEofODCx9QQaW+Y6Bfx2te3FWEF2&#10;i4Ra6HYbXzYaBdgPlDS41yl172tuJSXquUZR5p3CPhzGk+kQ5bb7kdV+hGuBUCn1lHTm0nePpza2&#10;XBdYiQU6NZyhkHnp7xXvuur7xt1F6+Bx7J9D1p9/y+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CsS+PdkAAAAIAQAADwAAAAAAAAABACAAAAAiAAAAZHJzL2Rvd25yZXYueG1sUEsBAhQAFAAAAAgA&#10;h07iQAP7zwZdAgAAowQAAA4AAAAAAAAAAQAgAAAAKAEAAGRycy9lMm9Eb2MueG1sUEsFBgAAAAAG&#10;AAYAWQEAAPcFAAAAAA==&#10;" adj="-16014,-9413,14400">
                <v:fill on="f" focussize="0,0"/>
                <v:stroke on="f"/>
                <v:imagedata o:title=""/>
                <o:lock v:ext="edit" aspectratio="f"/>
                <v:textbox>
                  <w:txbxContent>
                    <w:p w14:paraId="4840308B">
                      <w:pPr>
                        <w:rPr>
                          <w:b/>
                          <w:bCs/>
                          <w:color w:val="FF0000"/>
                        </w:rPr>
                      </w:pPr>
                      <w:r>
                        <w:rPr>
                          <w:rFonts w:hint="eastAsia"/>
                          <w:b/>
                          <w:bCs/>
                          <w:color w:val="FF0000"/>
                          <w:lang w:eastAsia="zh-CN"/>
                        </w:rPr>
                        <w:t>水流方向</w:t>
                      </w:r>
                    </w:p>
                  </w:txbxContent>
                </v:textbox>
              </v:shape>
            </w:pict>
          </mc:Fallback>
        </mc:AlternateContent>
      </w:r>
      <w:r>
        <mc:AlternateContent>
          <mc:Choice Requires="wps">
            <w:drawing>
              <wp:anchor distT="0" distB="0" distL="114300" distR="114300" simplePos="0" relativeHeight="251860992" behindDoc="0" locked="0" layoutInCell="1" allowOverlap="1">
                <wp:simplePos x="0" y="0"/>
                <wp:positionH relativeFrom="column">
                  <wp:posOffset>3120390</wp:posOffset>
                </wp:positionH>
                <wp:positionV relativeFrom="paragraph">
                  <wp:posOffset>644525</wp:posOffset>
                </wp:positionV>
                <wp:extent cx="1014730" cy="315595"/>
                <wp:effectExtent l="133350" t="0" r="13970" b="313055"/>
                <wp:wrapNone/>
                <wp:docPr id="1476582518" name="自选图形 5637"/>
                <wp:cNvGraphicFramePr/>
                <a:graphic xmlns:a="http://schemas.openxmlformats.org/drawingml/2006/main">
                  <a:graphicData uri="http://schemas.microsoft.com/office/word/2010/wordprocessingShape">
                    <wps:wsp>
                      <wps:cNvSpPr>
                        <a:spLocks noChangeArrowheads="1"/>
                      </wps:cNvSpPr>
                      <wps:spPr bwMode="auto">
                        <a:xfrm>
                          <a:off x="0" y="0"/>
                          <a:ext cx="1014730" cy="315595"/>
                        </a:xfrm>
                        <a:prstGeom prst="wedgeRoundRectCallout">
                          <a:avLst>
                            <a:gd name="adj1" fmla="val -58417"/>
                            <a:gd name="adj2" fmla="val 130202"/>
                            <a:gd name="adj3" fmla="val 16667"/>
                          </a:avLst>
                        </a:prstGeom>
                        <a:solidFill>
                          <a:srgbClr val="FFFFFF"/>
                        </a:solidFill>
                        <a:ln w="9525">
                          <a:solidFill>
                            <a:srgbClr val="FF0000"/>
                          </a:solidFill>
                          <a:miter lim="800000"/>
                        </a:ln>
                      </wps:spPr>
                      <wps:txbx>
                        <w:txbxContent>
                          <w:p w14:paraId="1532424B">
                            <w:pPr>
                              <w:jc w:val="center"/>
                              <w:rPr>
                                <w:color w:val="FF0000"/>
                              </w:rPr>
                            </w:pPr>
                            <w:r>
                              <w:rPr>
                                <w:rFonts w:hint="eastAsia"/>
                                <w:color w:val="FF0000"/>
                                <w:lang w:eastAsia="zh-CN"/>
                              </w:rPr>
                              <w:t>园区雨水口</w:t>
                            </w:r>
                          </w:p>
                        </w:txbxContent>
                      </wps:txbx>
                      <wps:bodyPr rot="0" vert="horz" wrap="square" lIns="91440" tIns="45720" rIns="91440" bIns="45720" anchor="t" anchorCtr="0" upright="1">
                        <a:noAutofit/>
                      </wps:bodyPr>
                    </wps:wsp>
                  </a:graphicData>
                </a:graphic>
              </wp:anchor>
            </w:drawing>
          </mc:Choice>
          <mc:Fallback>
            <w:pict>
              <v:shape id="自选图形 5637" o:spid="_x0000_s1026" o:spt="62" type="#_x0000_t62" style="position:absolute;left:0pt;margin-left:245.7pt;margin-top:50.75pt;height:24.85pt;width:79.9pt;z-index:251860992;mso-width-relative:page;mso-height-relative:page;" fillcolor="#FFFFFF" filled="t" stroked="t" coordsize="21600,21600" o:gfxdata="UEsDBAoAAAAAAIdO4kAAAAAAAAAAAAAAAAAEAAAAZHJzL1BLAwQUAAAACACHTuJAbrLDKtYAAAAL&#10;AQAADwAAAGRycy9kb3ducmV2LnhtbE2PwU7DMAyG70i8Q2QkbixJtU1Qmu4waWLitrIHSFuvqWic&#10;0mTr9vZ4J7jZ/n///lxsrn4QF5xiH8iAXigQSE1oe+oMHL92L68gYrLU2iEQGrhhhE35+FDYvA0z&#10;HfBSpU5wCMXcGnApjbmUsXHobVyEEYm1U5i8TdxOnWwnO3O4H2Sm1Fp62xNfcHbErcPmuzp7xnDb&#10;z3Cr/E897/Qe9wf50WcnY56ftHoHkfCa/sxwx+cdKJmpDmdqoxgMLN/0kq0sKL0CwY71Smcgap7c&#10;C1kW8v8P5S9QSwMEFAAAAAgAh07iQCO/g0uJAgAAFAUAAA4AAABkcnMvZTJvRG9jLnhtbK1UzW7U&#10;MBC+I/EOlu9tfnaz3UbNVtVWRUgFqhYewBs7icF/2N7NlhM3xDNw48g7wNtUgrdg4mRLtnDogRwi&#10;T2b8zXzzzeTkdCsF2jDruFYFTg5jjJgqNeWqLvCb1xcHc4ycJ4oSoRUr8C1z+HTx9MlJa3KW6kYL&#10;yiwCEOXy1hS48d7kUeTKhkniDrVhCpyVtpJ4MG0dUUtaQJciSuN4FrXaUmN1yZyDr+e9Ew+I9jGA&#10;uqp4yc51uZZM+R7VMkE8UHINNw4vQrVVxUr/qqoc80gUGJj68IYkcF5172hxQvLaEtPwciiBPKaE&#10;B5wk4QqS3kOdE0/Q2vK/oCQvrXa68oelllFPJHQEWCTxg97cNMSwwAVa7cx9093/gy1fbq4s4hQm&#10;YXo0y+ZploD+ikhQ/uenb78+fr778uPu+1eUzSZHXbda43K4dGOubMfXmUtdvnNI6WVDVM3OrNVt&#10;wwiFGpMuPtq70BkOrqJV+0JTyEHWXofGbSsrO0BoCdoGfW7v9WFbj0r4mMRQ5ASkK8E3SbLsOAsp&#10;SL67bazzz5iWqDsUuGW0Ztd6reg1TMKSCKHXPqQjm0vng2B0YEvo2wSjSgrQf0MEOsjm0yRQBlVH&#10;Qek4KJnEaZwOUzQKmuwFzWazABSRfMgLp12poYtacHrBhQiGrVdLYREUUeCL8Aws3ThMKNQW+DhL&#10;s0Boz+f2IWJ4/gUhuYdVFlwWeN7F7IKEGnTrpOol99vVdlB/pektKGh1v0zwK4FDo+0HjFpYpAK7&#10;92tiGUbiuYIpOE6m027zgjHNjlIw7NizGnuIKgGqwB6j/rj0/baujeV1A5mSQFfpM5icivvdiPVV&#10;DXXDssBpbxvHdoj68zNb/A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BussMq1gAAAAsBAAAPAAAA&#10;AAAAAAEAIAAAACIAAABkcnMvZG93bnJldi54bWxQSwECFAAUAAAACACHTuJAI7+DS4kCAAAUBQAA&#10;DgAAAAAAAAABACAAAAAlAQAAZHJzL2Uyb0RvYy54bWxQSwUGAAAAAAYABgBZAQAAIAYAAAAA&#10;" adj="-1818,38924,14400">
                <v:fill on="t" focussize="0,0"/>
                <v:stroke color="#FF0000" miterlimit="8" joinstyle="miter"/>
                <v:imagedata o:title=""/>
                <o:lock v:ext="edit" aspectratio="f"/>
                <v:textbox>
                  <w:txbxContent>
                    <w:p w14:paraId="1532424B">
                      <w:pPr>
                        <w:jc w:val="center"/>
                        <w:rPr>
                          <w:color w:val="FF0000"/>
                        </w:rPr>
                      </w:pPr>
                      <w:r>
                        <w:rPr>
                          <w:rFonts w:hint="eastAsia"/>
                          <w:color w:val="FF0000"/>
                          <w:lang w:eastAsia="zh-CN"/>
                        </w:rPr>
                        <w:t>园区雨水口</w:t>
                      </w:r>
                    </w:p>
                  </w:txbxContent>
                </v:textbox>
              </v:shape>
            </w:pict>
          </mc:Fallback>
        </mc:AlternateContent>
      </w:r>
      <w:r>
        <mc:AlternateContent>
          <mc:Choice Requires="wps">
            <w:drawing>
              <wp:anchor distT="0" distB="0" distL="114300" distR="114300" simplePos="0" relativeHeight="251859968" behindDoc="0" locked="0" layoutInCell="1" allowOverlap="1">
                <wp:simplePos x="0" y="0"/>
                <wp:positionH relativeFrom="column">
                  <wp:posOffset>2946400</wp:posOffset>
                </wp:positionH>
                <wp:positionV relativeFrom="paragraph">
                  <wp:posOffset>1160145</wp:posOffset>
                </wp:positionV>
                <wp:extent cx="136525" cy="143510"/>
                <wp:effectExtent l="0" t="0" r="16510" b="28575"/>
                <wp:wrapNone/>
                <wp:docPr id="400586853" name="流程图: 汇总连接 1415"/>
                <wp:cNvGraphicFramePr/>
                <a:graphic xmlns:a="http://schemas.openxmlformats.org/drawingml/2006/main">
                  <a:graphicData uri="http://schemas.microsoft.com/office/word/2010/wordprocessingShape">
                    <wps:wsp>
                      <wps:cNvSpPr/>
                      <wps:spPr>
                        <a:xfrm>
                          <a:off x="0" y="0"/>
                          <a:ext cx="136477" cy="143302"/>
                        </a:xfrm>
                        <a:prstGeom prst="flowChartSummingJunction">
                          <a:avLst/>
                        </a:prstGeom>
                        <a:solidFill>
                          <a:schemeClr val="tx1"/>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流程图: 汇总连接 1415" o:spid="_x0000_s1026" o:spt="123" type="#_x0000_t123" style="position:absolute;left:0pt;margin-left:232pt;margin-top:91.35pt;height:11.3pt;width:10.75pt;z-index:251859968;v-text-anchor:middle;mso-width-relative:page;mso-height-relative:page;" fillcolor="#000000 [3213]" filled="t" stroked="t" coordsize="21600,21600" o:gfxdata="UEsDBAoAAAAAAIdO4kAAAAAAAAAAAAAAAAAEAAAAZHJzL1BLAwQUAAAACACHTuJAJ8duM9wAAAAL&#10;AQAADwAAAGRycy9kb3ducmV2LnhtbE2PzU7DMBCE70i8g7VIXBC1m582CnEqQOKEqNSWQ49uvCSB&#10;eB3ZbtPy9JgTHEczmvmmWp3NwE7ofG9JwnwmgCE1VvfUSnjfvdwXwHxQpNVgCSVc0MOqvr6qVKnt&#10;RBs8bUPLYgn5UknoQhhLzn3ToVF+Zkek6H1YZ1SI0rVcOzXFcjPwRIgFN6qnuNCpEZ87bL62RyPh&#10;9eIei8/v9dOUbt7Su33mhl3qpLy9mYsHYAHP4S8Mv/gRHerIdLBH0p4NErJFFr+EaBTJElhMZEWe&#10;AztISESeAq8r/v9D/QNQSwMEFAAAAAgAh07iQDHylsukAgAAIwUAAA4AAABkcnMvZTJvRG9jLnht&#10;bK1UzW4TMRC+I/EOlu90d/PThKibKkpaBKpopYA4O15v1pL/sJ1syomeOCDxAkjckLhy4IQET0Pg&#10;MRh7t21aeuiBPXhnPONvZj7P+OBwIwVaM+u4VjnO9lKMmKK64GqZ45cvjh8NMXKeqIIIrViOz5nD&#10;h+OHDw5qM2IdXWlRMIsARLlRbXJceW9GSeJoxSRxe9owBcZSW0k8qHaZFJbUgC5F0knT/aTWtjBW&#10;U+Yc7M4aI24R7X0AdVlyymaariRTvkG1TBAPJbmKG4fHMduyZNSflqVjHokcQ6U+rhAE5EVYk/EB&#10;GS0tMRWnbQrkPincqkkSriDoFdSMeIJWlv8DJTm12unS71Etk6aQyAhUkaW3uJlXxLBYC1DtzBXp&#10;7v/B0ufrM4t4keNemvaH+8N+FyNFJFz89tvF7y/vf338MULbr++2b7//+flp++EzynpZP/BWGzeC&#10;43NzZlvNgRhI2JRWhj+UhzaR6/MrrtnGIwqbWXe/NxhgRMGU9brdtBMwk+vDxjr/hGmJgpDjUuh6&#10;WhHr5yspoW+erRQN9x1ZJ+sT55vjl8dCfKcFL465EFGxy8VUWLQmoRXi10a84SYUqiGjziCFFqEE&#10;GryExgJRGiDJqSVGRCxhcqi3MfaN0243yNFRiHJXkJDkjLiqSSYiBDcyktzDcAkuczzcTVEo4CYQ&#10;3lAcpIUuzuHqrG562hl6zAH2hDh/Riw0MeQPY+5PYQnk5Vi3EkaVtm/u2g/+0FtgxaiGoYCCX6+I&#10;ZRiJpwq67nHW64UpikqvP+iAYncti12LWsmpBrIzeFAMjWLw9+JSLK2Wr+A1mISoYCKKQuyG2laZ&#10;+mZY4T2hbDKJbjA5hvgTNTc0gAfelJ6svC55bIJrdlrSYHZia7VzHoZzV49e12/b+C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AAAAAZHJz&#10;L1BLAQIUABQAAAAIAIdO4kAnx24z3AAAAAsBAAAPAAAAAAAAAAEAIAAAACIAAABkcnMvZG93bnJl&#10;di54bWxQSwECFAAUAAAACACHTuJAMfKWy6QCAAAjBQAADgAAAAAAAAABACAAAAArAQAAZHJzL2Uy&#10;b0RvYy54bWxQSwUGAAAAAAYABgBZAQAAQQYAAAAA&#10;">
                <v:fill on="t" focussize="0,0"/>
                <v:stroke weight="1pt" color="#EE0000 [3204]" miterlimit="8" joinstyle="miter"/>
                <v:imagedata o:title=""/>
                <o:lock v:ext="edit" aspectratio="f"/>
              </v:shape>
            </w:pict>
          </mc:Fallback>
        </mc:AlternateContent>
      </w:r>
      <w:r>
        <mc:AlternateContent>
          <mc:Choice Requires="wps">
            <w:drawing>
              <wp:anchor distT="0" distB="0" distL="114300" distR="114300" simplePos="0" relativeHeight="251794432" behindDoc="0" locked="0" layoutInCell="1" allowOverlap="1">
                <wp:simplePos x="0" y="0"/>
                <wp:positionH relativeFrom="margin">
                  <wp:posOffset>4521835</wp:posOffset>
                </wp:positionH>
                <wp:positionV relativeFrom="paragraph">
                  <wp:posOffset>476885</wp:posOffset>
                </wp:positionV>
                <wp:extent cx="1014730" cy="315595"/>
                <wp:effectExtent l="0" t="0" r="13970" b="389255"/>
                <wp:wrapNone/>
                <wp:docPr id="778834649" name="自选图形 5637"/>
                <wp:cNvGraphicFramePr/>
                <a:graphic xmlns:a="http://schemas.openxmlformats.org/drawingml/2006/main">
                  <a:graphicData uri="http://schemas.microsoft.com/office/word/2010/wordprocessingShape">
                    <wps:wsp>
                      <wps:cNvSpPr>
                        <a:spLocks noChangeArrowheads="1"/>
                      </wps:cNvSpPr>
                      <wps:spPr bwMode="auto">
                        <a:xfrm>
                          <a:off x="0" y="0"/>
                          <a:ext cx="1014730" cy="315595"/>
                        </a:xfrm>
                        <a:prstGeom prst="wedgeRoundRectCallout">
                          <a:avLst>
                            <a:gd name="adj1" fmla="val 46998"/>
                            <a:gd name="adj2" fmla="val 149397"/>
                            <a:gd name="adj3" fmla="val 16667"/>
                          </a:avLst>
                        </a:prstGeom>
                        <a:solidFill>
                          <a:srgbClr val="FFFFFF"/>
                        </a:solidFill>
                        <a:ln w="9525">
                          <a:solidFill>
                            <a:srgbClr val="FF0000"/>
                          </a:solidFill>
                          <a:miter lim="800000"/>
                        </a:ln>
                      </wps:spPr>
                      <wps:txbx>
                        <w:txbxContent>
                          <w:p w14:paraId="31EDAF32">
                            <w:pPr>
                              <w:jc w:val="center"/>
                              <w:rPr>
                                <w:color w:val="FF0000"/>
                              </w:rPr>
                            </w:pPr>
                            <w:r>
                              <w:rPr>
                                <w:rFonts w:hint="eastAsia"/>
                                <w:color w:val="FF0000"/>
                                <w:lang w:eastAsia="zh-CN"/>
                              </w:rPr>
                              <w:t>项目位置</w:t>
                            </w:r>
                          </w:p>
                        </w:txbxContent>
                      </wps:txbx>
                      <wps:bodyPr rot="0" vert="horz" wrap="square" lIns="91440" tIns="45720" rIns="91440" bIns="45720" anchor="t" anchorCtr="0" upright="1">
                        <a:noAutofit/>
                      </wps:bodyPr>
                    </wps:wsp>
                  </a:graphicData>
                </a:graphic>
              </wp:anchor>
            </w:drawing>
          </mc:Choice>
          <mc:Fallback>
            <w:pict>
              <v:shape id="自选图形 5637" o:spid="_x0000_s1026" o:spt="62" type="#_x0000_t62" style="position:absolute;left:0pt;margin-left:356.05pt;margin-top:37.55pt;height:24.85pt;width:79.9pt;mso-position-horizontal-relative:margin;z-index:251794432;mso-width-relative:page;mso-height-relative:page;" fillcolor="#FFFFFF" filled="t" stroked="t" coordsize="21600,21600" o:gfxdata="UEsDBAoAAAAAAIdO4kAAAAAAAAAAAAAAAAAEAAAAZHJzL1BLAwQUAAAACACHTuJA+dBJrNoAAAAK&#10;AQAADwAAAGRycy9kb3ducmV2LnhtbE2PTU/DMAyG70j8h8hIXNCWpgzWlqYTGh/ihMS2y25ZkzUV&#10;jRM12de/x5zgZFt+9PpxvTi7gR3NGHuPEsQ0A2aw9brHTsJm/TYpgMWkUKvBo5FwMREWzfVVrSrt&#10;T/hljqvUMQrBWCkJNqVQcR5ba5yKUx8M0m7vR6cSjWPH9ahOFO4GnmfZI3eqR7pgVTBLa9rv1cFJ&#10;mKVwWdrtx8vzvd6X75vXz3UZ7qS8vRHZE7BkzukPhl99UoeGnHb+gDqyQcJc5IJQah6oElDMRQls&#10;R2Q+K4A3Nf//QvMDUEsDBBQAAAAIAIdO4kD5R9VMigIAABIFAAAOAAAAZHJzL2Uyb0RvYy54bWyt&#10;VM1u1DAQviPxDpbvNJvdJLuJmq2qrYqQClQtPIDXcRKDf4Lt3Ww59YZ4Bm4ceQd4m0rwFkycbMkW&#10;Dj2QQzSTGX8z33yeHJ/spEBbZizXKsfh0QQjpqguuKpy/PbN+bMFRtYRVRChFcvxDbP4ZPn0yXHb&#10;ZGyqay0KZhCAKJu1TY5r55osCCytmST2SDdMQbDURhIHrqmCwpAW0KUIppNJErTaFI3RlFkLX8/6&#10;IB4QzWMAdVlyys403UimXI9qmCAOKNmaNxYvfbdlyah7XZaWOSRyDEydf0MRsNfdO1gek6wypKk5&#10;HVogj2nhASdJuIKi91BnxBG0MfwvKMmp0VaX7ohqGfRE/ESARTh5MJvrmjTMc4FR2+Z+6Pb/wdJX&#10;20uDeJHj+XyxmEVJlGKkiAThf3769uv2892XH3ffv6I4mc27YbWNzeDMdXNpOrq2udD0vUVKr2qi&#10;KnZqjG5rRgpoMezyg4MDnWPhKFq3L3UBNcjGaT+3XWlkBwgTQTsvz829PGznEIWP4SSM5jNQjkJs&#10;FsZxGvsSJNufbox1z5mWqDNy3LKiYld6o4oruAgrIoTeOF+ObC+s83oVA1tSvAsxKqUA+bdEoChJ&#10;08VwPUY503FOGKWz1I8FhB8lzQ6SkiTxOQHJhrJg7Tv1Q9SCF+dcCO+Yar0SBkEPOT73z0DSjtOE&#10;Qm2O03gaez4HMXsIMYHnXxCSO1hkwWWOF13OPkmoQbZOqV5xt1vvBvHXurgBAY3uVwl+JGDU2nzE&#10;qIU1yrH9sCGGYSReKLgEaRhF3d55J4rnU3DMOLIeR4iiAJVjh1Fvrly/q5vG8KqGSqGnq/QpXJyS&#10;u/0N67sa+oZVAetgF8e+z/rzK1v+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PnQSazaAAAACgEA&#10;AA8AAAAAAAAAAQAgAAAAIgAAAGRycy9kb3ducmV2LnhtbFBLAQIUABQAAAAIAIdO4kD5R9VMigIA&#10;ABIFAAAOAAAAAAAAAAEAIAAAACkBAABkcnMvZTJvRG9jLnhtbFBLBQYAAAAABgAGAFkBAAAlBgAA&#10;AAA=&#10;" adj="20952,43070,14400">
                <v:fill on="t" focussize="0,0"/>
                <v:stroke color="#FF0000" miterlimit="8" joinstyle="miter"/>
                <v:imagedata o:title=""/>
                <o:lock v:ext="edit" aspectratio="f"/>
                <v:textbox>
                  <w:txbxContent>
                    <w:p w14:paraId="31EDAF32">
                      <w:pPr>
                        <w:jc w:val="center"/>
                        <w:rPr>
                          <w:color w:val="FF0000"/>
                        </w:rPr>
                      </w:pPr>
                      <w:r>
                        <w:rPr>
                          <w:rFonts w:hint="eastAsia"/>
                          <w:color w:val="FF0000"/>
                          <w:lang w:eastAsia="zh-CN"/>
                        </w:rPr>
                        <w:t>项目位置</w:t>
                      </w:r>
                    </w:p>
                  </w:txbxContent>
                </v:textbox>
              </v:shape>
            </w:pict>
          </mc:Fallback>
        </mc:AlternateContent>
      </w:r>
      <w:r>
        <mc:AlternateContent>
          <mc:Choice Requires="wps">
            <w:drawing>
              <wp:anchor distT="0" distB="0" distL="114300" distR="114300" simplePos="0" relativeHeight="251900928" behindDoc="0" locked="0" layoutInCell="1" allowOverlap="1">
                <wp:simplePos x="0" y="0"/>
                <wp:positionH relativeFrom="column">
                  <wp:posOffset>5436235</wp:posOffset>
                </wp:positionH>
                <wp:positionV relativeFrom="paragraph">
                  <wp:posOffset>1092200</wp:posOffset>
                </wp:positionV>
                <wp:extent cx="86995" cy="182245"/>
                <wp:effectExtent l="0" t="0" r="27940" b="27305"/>
                <wp:wrapNone/>
                <wp:docPr id="20842929" name="矩形 752"/>
                <wp:cNvGraphicFramePr/>
                <a:graphic xmlns:a="http://schemas.openxmlformats.org/drawingml/2006/main">
                  <a:graphicData uri="http://schemas.microsoft.com/office/word/2010/wordprocessingShape">
                    <wps:wsp>
                      <wps:cNvSpPr/>
                      <wps:spPr>
                        <a:xfrm>
                          <a:off x="0" y="0"/>
                          <a:ext cx="86857" cy="182439"/>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752" o:spid="_x0000_s1026" o:spt="1" style="position:absolute;left:0pt;margin-left:428.05pt;margin-top:86pt;height:14.35pt;width:6.85pt;z-index:251900928;v-text-anchor:middle;mso-width-relative:page;mso-height-relative:page;" filled="f" stroked="t" coordsize="21600,21600" o:gfxdata="UEsDBAoAAAAAAIdO4kAAAAAAAAAAAAAAAAAEAAAAZHJzL1BLAwQUAAAACACHTuJAiMExxtgAAAAL&#10;AQAADwAAAGRycy9kb3ducmV2LnhtbE2PzU7DMBCE70i8g7VI3KidSHVDiFMJpNJDJX4KD+DGSxyI&#10;7ch22vL2LCc4jmY0802zPruRHTGmIXgFxUIAQ98FM/hewfvb5qYClrL2Ro/Bo4JvTLBuLy8aXZtw&#10;8q943OeeUYlPtVZgc55qzlNn0em0CBN68j5CdDqTjD03UZ+o3I28FEJypwdPC1ZP+GCx+9rPTsHT&#10;Nj1uP+Vc7oSOEp839mW5u1fq+qoQd8AynvNfGH7xCR1aYjqE2ZvERgXVUhYUJWNV0ilKVPKWzhwU&#10;0PAKeNvw/x/aH1BLAwQUAAAACACHTuJAQlvZIXICAADSBAAADgAAAGRycy9lMm9Eb2MueG1srVTL&#10;bhMxFN0j8Q+W93QmQ0qSUSdV1LQIqaKVCmJ947EzlvzCdjIpP4PEjo/gcxC/wbVn+qCw6IIsnGvf&#10;62Of43Pn5PSgFdlzH6Q1DZ0clZRww2wrzbahHz9cvJpTEiKYFpQ1vKG3PNDT5csXJ72reWU7q1ru&#10;CYKYUPeuoV2Mri6KwDquIRxZxw0mhfUaIk79tmg99IiuVVGV5Zuit7513jIeAq6uhyQdEf1zAK0Q&#10;kvG1ZTvNTRxQPVcQkVLopAt0mW8rBGfxSojAI1ENRaYxj3gIxps0FssTqLceXCfZeAV4zhWecNIg&#10;DR56D7WGCGTn5V9QWjJvgxXxiFldDESyIshiUj7R5qYDxzMXlDq4e9HD/4Nl7/fXnsi2oVU5n1aL&#10;akGJAY3v/uvr958/vpHZcZVE6l2osfbGXftxFjBMjA/C6/SPXMghC3t7Lyw/RMJwcf5mfjyjhGFm&#10;Mq+mrxcJsnjY63yIb7nVJAUN9fhsWU3YX4Y4lN6VpKOMvZBK4TrUypAeQatZiS/KAP0o0AcYaoec&#10;gtlSAmqLRmfRZ8hglWzT9rQ7+O3mTHmyB7TH+XmJv/Fmf5Sls9cQuqEup1IZ1FpG7AUlNVJMm+92&#10;K4P0kmSDSCna2PYWlfZ2sGBw7EIi7CWEeA0ePYf3x66MVzgIZZGUHSNKOuu//Gs91aMVMEtJjx5G&#10;wp934Dkl6p1Bkywm02kyfZ5Mj2cVTvzjzOZxxuz0mUUdJtj/juUw1Ud1Fwpv9Sds3lU6FVNgGJ49&#10;SDtOzuLQW9j+jK9WuQyN7iBemhvHEvjwgKtdtELmt31QZxQNrZ7dMbZl6qXH81z18Cla/g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CIwTHG2AAAAAsBAAAPAAAAAAAAAAEAIAAAACIAAABkcnMvZG93&#10;bnJldi54bWxQSwECFAAUAAAACACHTuJAQlvZIXICAADSBAAADgAAAAAAAAABACAAAAAnAQAAZHJz&#10;L2Uyb0RvYy54bWxQSwUGAAAAAAYABgBZAQAACwYAAAAA&#10;">
                <v:fill on="f" focussize="0,0"/>
                <v:stroke weight="1pt" color="#EE0000 [3204]" miterlimit="8" joinstyle="miter"/>
                <v:imagedata o:title=""/>
                <o:lock v:ext="edit" aspectratio="f"/>
              </v:rect>
            </w:pict>
          </mc:Fallback>
        </mc:AlternateContent>
      </w:r>
      <w:r>
        <mc:AlternateContent>
          <mc:Choice Requires="wps">
            <w:drawing>
              <wp:anchor distT="0" distB="0" distL="114300" distR="114300" simplePos="0" relativeHeight="251806720" behindDoc="0" locked="0" layoutInCell="1" allowOverlap="1">
                <wp:simplePos x="0" y="0"/>
                <wp:positionH relativeFrom="column">
                  <wp:posOffset>168910</wp:posOffset>
                </wp:positionH>
                <wp:positionV relativeFrom="paragraph">
                  <wp:posOffset>6750685</wp:posOffset>
                </wp:positionV>
                <wp:extent cx="254635" cy="180975"/>
                <wp:effectExtent l="26035" t="26035" r="24130" b="21590"/>
                <wp:wrapNone/>
                <wp:docPr id="2032672894" name="自选图形 5650"/>
                <wp:cNvGraphicFramePr/>
                <a:graphic xmlns:a="http://schemas.openxmlformats.org/drawingml/2006/main">
                  <a:graphicData uri="http://schemas.microsoft.com/office/word/2010/wordprocessingShape">
                    <wps:wsp>
                      <wps:cNvSpPr>
                        <a:spLocks noChangeArrowheads="1"/>
                      </wps:cNvSpPr>
                      <wps:spPr bwMode="auto">
                        <a:xfrm>
                          <a:off x="0" y="0"/>
                          <a:ext cx="254635" cy="180975"/>
                        </a:xfrm>
                        <a:prstGeom prst="star5">
                          <a:avLst/>
                        </a:prstGeom>
                        <a:solidFill>
                          <a:srgbClr val="FF0000"/>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自选图形 5650" o:spid="_x0000_s1026" style="position:absolute;left:0pt;margin-left:13.3pt;margin-top:531.55pt;height:14.25pt;width:20.05pt;z-index:251806720;mso-width-relative:page;mso-height-relative:page;" fillcolor="#FF0000" filled="t" stroked="t" coordsize="254635,180975" o:gfxdata="UEsDBAoAAAAAAIdO4kAAAAAAAAAAAAAAAAAEAAAAZHJzL1BLAwQUAAAACACHTuJAtPlnUNkAAAAL&#10;AQAADwAAAGRycy9kb3ducmV2LnhtbE2PTU/DMAyG70j8h8hI3FjSgjJWmk4CCXEAbWKgnbPGtGWN&#10;0zXZB/8e7wRHv370+nE5P/leHHCMXSAD2USBQKqD66gx8PnxfHMPIiZLzvaB0MAPRphXlxelLVw4&#10;0jseVqkRXEKxsAbalIZCyli36G2chAGJd19h9DbxODbSjfbI5b6XuVJaetsRX2jtgE8t1tvV3huY&#10;Ltbbt5fvndzR3WL5+DrLx7xZG3N9lakHEAlP6Q+Gsz6rQ8VOm7AnF0VvINeaSc6Vvs1AMKH1FMTm&#10;nMwyDbIq5f8fql9QSwMEFAAAAAgAh07iQKQlZbFKAgAAgQQAAA4AAABkcnMvZTJvRG9jLnhtbK1U&#10;zW7TQBC+I/EOq71TO26cJlacqkoUhFSgUuEBNut1vGL/mN3EKSduqM/AjSPvAG9TCd6C8Tpt08Kh&#10;B3xY7ezMfDPzzYynpzutyFaAl9aUdHCUUiIMt5U065K+f7d8MabEB2YqpqwRJb0Snp7Onj+btq4Q&#10;mW2sqgQQBDG+aF1JmxBckSSeN0Izf2SdMKisLWgWUIR1UgFrEV2rJEvTUdJaqBxYLrzH10WvpHtE&#10;eAqgrWvJxcLyjRYm9KggFAtYkm+k83QWs61rwcPbuvYiEFVSrDTEE4PgfdWdyWzKijUw10i+T4E9&#10;JYVHNWkmDQa9g1qwwMgG5F9QWnKw3tbhiFud9IVERrCKQfqIm8uGORFrQaq9uyPd/z9Y/mZ7AURW&#10;Jc3S42x0ko0nQ0oM09j5X1++//58ffP1582PbyQf5ZGt1vkCnS7dBXT1endu+QdPjJ03zKzFGYBt&#10;G8EqzHHQsZs8cOgEj65k1b62FcZgm2AjcbsadAeIlJBd7M/VXX/ELhCOj1k+HB3nlHBUDcbp5CSP&#10;EVhx6+zAh5fCatJdSopjDHlEZ9tzH7psWHFrE7O3SlZLqVQUYL2aKyBbhrOyXKb47eH9oZkypC3p&#10;JM965Ac6fwjRAfwbQsuAK6SkLun40EiZPV8dRd0I+2JlqyukC2w/ubi3eGksfKKkxanFGj9uGAhK&#10;1CuDlE8Gw2E35lEY5icZCnCoWR1qmOEIVdJASX+dh341Ng7kusFIg8iesWfYplpGBu+z2ieLkxmJ&#10;3W9RN/qHcrS6/3PM/g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0+WdQ2QAAAAsBAAAPAAAAAAAA&#10;AAEAIAAAACIAAABkcnMvZG93bnJldi54bWxQSwECFAAUAAAACACHTuJApCVlsUoCAACBBAAADgAA&#10;AAAAAAABACAAAAAoAQAAZHJzL2Uyb0RvYy54bWxQSwUGAAAAAAYABgBZAQAA5AUAAAAA&#10;" path="m0,69126l97262,69126,127317,0,157372,69126,254634,69126,175947,111848,206003,180974,127317,138251,48631,180974,78687,111848xe">
                <v:path o:connectlocs="127317,0;0,69126;48631,180974;206003,180974;254634,69126" o:connectangles="247,164,82,82,0"/>
                <v:fill on="t" focussize="0,0"/>
                <v:stroke color="#000000" miterlimit="8" joinstyle="miter"/>
                <v:imagedata o:title=""/>
                <o:lock v:ext="edit" aspectratio="f"/>
              </v:shape>
            </w:pict>
          </mc:Fallback>
        </mc:AlternateContent>
      </w:r>
      <w:r>
        <mc:AlternateContent>
          <mc:Choice Requires="wps">
            <w:drawing>
              <wp:anchor distT="0" distB="0" distL="114300" distR="114300" simplePos="0" relativeHeight="251805696" behindDoc="0" locked="0" layoutInCell="1" allowOverlap="1">
                <wp:simplePos x="0" y="0"/>
                <wp:positionH relativeFrom="column">
                  <wp:posOffset>172720</wp:posOffset>
                </wp:positionH>
                <wp:positionV relativeFrom="paragraph">
                  <wp:posOffset>6538595</wp:posOffset>
                </wp:positionV>
                <wp:extent cx="215900" cy="144145"/>
                <wp:effectExtent l="0" t="0" r="0" b="8255"/>
                <wp:wrapNone/>
                <wp:docPr id="1196235556" name="矩形 70"/>
                <wp:cNvGraphicFramePr/>
                <a:graphic xmlns:a="http://schemas.openxmlformats.org/drawingml/2006/main">
                  <a:graphicData uri="http://schemas.microsoft.com/office/word/2010/wordprocessingShape">
                    <wps:wsp>
                      <wps:cNvSpPr>
                        <a:spLocks noChangeArrowheads="1"/>
                      </wps:cNvSpPr>
                      <wps:spPr bwMode="auto">
                        <a:xfrm>
                          <a:off x="0" y="0"/>
                          <a:ext cx="215900" cy="144145"/>
                        </a:xfrm>
                        <a:prstGeom prst="rect">
                          <a:avLst/>
                        </a:prstGeom>
                        <a:solidFill>
                          <a:srgbClr val="FFC000"/>
                        </a:solidFill>
                        <a:ln>
                          <a:noFill/>
                        </a:ln>
                        <a:effectLst/>
                      </wps:spPr>
                      <wps:bodyPr rot="0" vert="horz" wrap="square" lIns="91440" tIns="45720" rIns="91440" bIns="45720" anchor="ctr" anchorCtr="0" upright="1">
                        <a:noAutofit/>
                      </wps:bodyPr>
                    </wps:wsp>
                  </a:graphicData>
                </a:graphic>
              </wp:anchor>
            </w:drawing>
          </mc:Choice>
          <mc:Fallback>
            <w:pict>
              <v:rect id="矩形 70" o:spid="_x0000_s1026" o:spt="1" style="position:absolute;left:0pt;margin-left:13.6pt;margin-top:514.85pt;height:11.35pt;width:17pt;z-index:251805696;v-text-anchor:middle;mso-width-relative:page;mso-height-relative:page;" fillcolor="#FFC000" filled="t" stroked="f" coordsize="21600,21600" o:gfxdata="UEsDBAoAAAAAAIdO4kAAAAAAAAAAAAAAAAAEAAAAZHJzL1BLAwQUAAAACACHTuJAG1r8sNsAAAAL&#10;AQAADwAAAGRycy9kb3ducmV2LnhtbE2PTU/DMAyG70j8h8hI3FjaaKysNN2B8XFhQhtIwC1rTFto&#10;nNJkW/n3eCc4+vGr14+Lxeg6scchtJ40pJMEBFLlbUu1hpfnu4srECEasqbzhBp+MMCiPD0pTG79&#10;gda438RacAmF3GhoYuxzKUPVoDNh4nsk3n34wZnI41BLO5gDl7tOqiSZSWda4guN6fGmweprs3Ma&#10;5q+P2f3at8un28+VHZff0/eH+k3r87M0uQYRcYx/YTjqszqU7LT1O7JBdBpUpjjJPFHzDAQnZimT&#10;7ZFcqinIspD/fyh/AVBLAwQUAAAACACHTuJAp2ks5ykCAAA/BAAADgAAAGRycy9lMm9Eb2MueG1s&#10;rVPBjtMwEL0j8Q+W7zRJabo0arpatSpCWmClhQ9wHSexSDxm7DYtP4PEbT+Cz0H8BhOn7Zblsgcu&#10;lscz82bmzfP8et82bKfQaTA5T0YxZ8pIKLSpcv750/rVG86cF6YQDRiV84Ny/Hrx8sW8s5kaQw1N&#10;oZARiHFZZ3Nee2+zKHKyVq1wI7DKkLMEbIUnE6uoQNERettE4zieRh1gYRGkco5eV4OTHxHxOYBQ&#10;llqqFchtq4wfUFE1wtNIrtbW8UXotiyV9B/L0inPmpzTpD6cVITum/6MFnORVShsreWxBfGcFp7M&#10;1AptqOgZaiW8YFvU/0C1WiI4KP1IQhsNgwRGaIokfsLNfS2sCrMQ1c6eSXf/D1Z+2N0h0wUpIZlN&#10;x6/TNJ1yZkRLm//9/eHXzx/sKrDUWZdR8L29w35OZ29BfnHMwLIWplI3iNDVShTUW9KzGv2V0BuO&#10;Utmmew8FYYuth0DYvsS2ByQq2D7s5XDei9p7JulxnKSzmDYmyZVMJskkDRVEdkq26PxbBS3rLzlH&#10;WnsAF7tb5/tmRHYKCc1Do4u1bppgYLVZNsh2giSyXi9jqjSkuMuwxvTBBvq0wT28qCCyY5nTmL38&#10;XLaB4kAjIwyqoz9HlxrwG2cdKS7n7utWoOKseWeIthmN1ks0GJP0akwGXno2lx5hJEHlXHrkbDCW&#10;fhD21qKuaqqVBBIM3BDZpQ5EPPZ1XBHpKvBz/AO9cC/tEPX47xd/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ta/LDbAAAACwEAAA8AAAAAAAAAAQAgAAAAIgAAAGRycy9kb3ducmV2LnhtbFBLAQIU&#10;ABQAAAAIAIdO4kCnaSznKQIAAD8EAAAOAAAAAAAAAAEAIAAAACoBAABkcnMvZTJvRG9jLnhtbFBL&#10;BQYAAAAABgAGAFkBAADFBQAAAAA=&#10;">
                <v:fill on="t" focussize="0,0"/>
                <v:stroke on="f"/>
                <v:imagedata o:title=""/>
                <o:lock v:ext="edit" aspectratio="f"/>
              </v:rect>
            </w:pict>
          </mc:Fallback>
        </mc:AlternateContent>
      </w:r>
      <w:r>
        <mc:AlternateContent>
          <mc:Choice Requires="wps">
            <w:drawing>
              <wp:anchor distT="0" distB="0" distL="114300" distR="114300" simplePos="0" relativeHeight="251804672" behindDoc="0" locked="0" layoutInCell="1" allowOverlap="1">
                <wp:simplePos x="0" y="0"/>
                <wp:positionH relativeFrom="column">
                  <wp:posOffset>168910</wp:posOffset>
                </wp:positionH>
                <wp:positionV relativeFrom="paragraph">
                  <wp:posOffset>6327775</wp:posOffset>
                </wp:positionV>
                <wp:extent cx="215900" cy="144145"/>
                <wp:effectExtent l="0" t="3175" r="0" b="0"/>
                <wp:wrapNone/>
                <wp:docPr id="870278771" name="矩形 70"/>
                <wp:cNvGraphicFramePr/>
                <a:graphic xmlns:a="http://schemas.openxmlformats.org/drawingml/2006/main">
                  <a:graphicData uri="http://schemas.microsoft.com/office/word/2010/wordprocessingShape">
                    <wps:wsp>
                      <wps:cNvSpPr>
                        <a:spLocks noChangeArrowheads="1"/>
                      </wps:cNvSpPr>
                      <wps:spPr bwMode="auto">
                        <a:xfrm>
                          <a:off x="0" y="0"/>
                          <a:ext cx="215900" cy="144145"/>
                        </a:xfrm>
                        <a:prstGeom prst="rect">
                          <a:avLst/>
                        </a:prstGeom>
                        <a:solidFill>
                          <a:srgbClr val="FFFF00"/>
                        </a:solidFill>
                        <a:ln>
                          <a:noFill/>
                        </a:ln>
                        <a:effectLst/>
                      </wps:spPr>
                      <wps:bodyPr rot="0" vert="horz" wrap="square" lIns="91440" tIns="45720" rIns="91440" bIns="45720" anchor="ctr" anchorCtr="0" upright="1">
                        <a:noAutofit/>
                      </wps:bodyPr>
                    </wps:wsp>
                  </a:graphicData>
                </a:graphic>
              </wp:anchor>
            </w:drawing>
          </mc:Choice>
          <mc:Fallback>
            <w:pict>
              <v:rect id="矩形 70" o:spid="_x0000_s1026" o:spt="1" style="position:absolute;left:0pt;margin-left:13.3pt;margin-top:498.25pt;height:11.35pt;width:17pt;z-index:251804672;v-text-anchor:middle;mso-width-relative:page;mso-height-relative:page;" fillcolor="#FFFF00" filled="t" stroked="f" coordsize="21600,21600" o:gfxdata="UEsDBAoAAAAAAIdO4kAAAAAAAAAAAAAAAAAEAAAAZHJzL1BLAwQUAAAACACHTuJAqM1KCNYAAAAK&#10;AQAADwAAAGRycy9kb3ducmV2LnhtbE2Py07DMBBF90j8gzVIbBC1EwmLhDhdIKhQd235gGnsPCAe&#10;h9hNy98zrGA5M0d3zq3WFz+Kxc1xCGQgWykQjppgB+oMvB9e7x9BxIRkcQzkDHy7COv6+qrC0oYz&#10;7dyyT53gEIolGuhTmkopY9M7j3EVJkd8a8PsMfE4d9LOeOZwP8pcKS09DsQfepzcc++az/3JG8g/&#10;dnebjWy3w1b1by/FV2oXTMbc3mTqCURyl/QHw68+q0PNTsdwIhvFyBlaM2mgKPQDCAa04sWRQZUV&#10;Oci6kv8r1D9QSwMEFAAAAAgAh07iQDLBL3gnAgAAPgQAAA4AAABkcnMvZTJvRG9jLnhtbK1TwY7T&#10;MBC9I/EPlu80SdXS3ajpatWqCGmBlRY+wHWcxCLxmLHbtPwMEjc+gs9B/AZjp+2W5bIHcog8npk3&#10;896M5zf7rmU7hU6DKXg2SjlTRkKpTV3wTx/Xr644c16YUrRgVMEPyvGbxcsX897magwNtKVCRiDG&#10;5b0teOO9zZPEyUZ1wo3AKkPOCrATnkyskxJFT+hdm4zT9HXSA5YWQSrn6HY1OPkREZ8DCFWlpVqB&#10;3HbK+AEVVSs8UXKNto4vYrdVpaT/UFVOedYWnJj6+KcidN6Ef7KYi7xGYRstjy2I57TwhFMntKGi&#10;Z6iV8IJtUf8D1WmJ4KDyIwldMhCJihCLLH2izUMjrIpcSGpnz6K7/wcr3+/ukemy4FezdDy7ms0y&#10;zozoaPC/v/349fM7m0WReutyin2w9xhoOnsH8rNjBpaNMLW6RYS+UaKk1rIgavJXQjAcpbJN/w5K&#10;whZbD1GvfYVdACQl2D6O5XAei9p7JulynE2vUxqYJFc2mWSTaawg8lOyReffKOhYOBQcaeoRXOzu&#10;nA/NiPwUEpuHVpdr3bbRwHqzbJHtBG3Imj6qNKS4y7DWhGADIW1wDzcq7tixzIlm2D6Xb6A8EGWE&#10;YenoydGhAfzKWU8LV3D3ZStQcda+NSTbNVELGxqNyXQ2JgMvPZtLjzCSoAouPXI2GEs/7PXWoq4b&#10;qpVFEQzcktiVjkI89nUcEa1V1Of4BMLeXtox6vHZL/4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qM1KCNYAAAAKAQAADwAAAAAAAAABACAAAAAiAAAAZHJzL2Rvd25yZXYueG1sUEsBAhQAFAAAAAgA&#10;h07iQDLBL3gnAgAAPgQAAA4AAAAAAAAAAQAgAAAAJQEAAGRycy9lMm9Eb2MueG1sUEsFBgAAAAAG&#10;AAYAWQEAAL4FAAAAAA==&#10;">
                <v:fill on="t" focussize="0,0"/>
                <v:stroke on="f"/>
                <v:imagedata o:title=""/>
                <o:lock v:ext="edit" aspectratio="f"/>
              </v:rect>
            </w:pict>
          </mc:Fallback>
        </mc:AlternateContent>
      </w:r>
      <w:r>
        <mc:AlternateContent>
          <mc:Choice Requires="wps">
            <w:drawing>
              <wp:anchor distT="0" distB="0" distL="114300" distR="114300" simplePos="0" relativeHeight="251803648" behindDoc="0" locked="0" layoutInCell="1" allowOverlap="1">
                <wp:simplePos x="0" y="0"/>
                <wp:positionH relativeFrom="column">
                  <wp:posOffset>172720</wp:posOffset>
                </wp:positionH>
                <wp:positionV relativeFrom="paragraph">
                  <wp:posOffset>6131560</wp:posOffset>
                </wp:positionV>
                <wp:extent cx="215900" cy="144145"/>
                <wp:effectExtent l="1270" t="0" r="1905" b="1270"/>
                <wp:wrapNone/>
                <wp:docPr id="659425571" name="矩形 70"/>
                <wp:cNvGraphicFramePr/>
                <a:graphic xmlns:a="http://schemas.openxmlformats.org/drawingml/2006/main">
                  <a:graphicData uri="http://schemas.microsoft.com/office/word/2010/wordprocessingShape">
                    <wps:wsp>
                      <wps:cNvSpPr>
                        <a:spLocks noChangeArrowheads="1"/>
                      </wps:cNvSpPr>
                      <wps:spPr bwMode="auto">
                        <a:xfrm>
                          <a:off x="0" y="0"/>
                          <a:ext cx="215900" cy="144145"/>
                        </a:xfrm>
                        <a:prstGeom prst="rect">
                          <a:avLst/>
                        </a:prstGeom>
                        <a:solidFill>
                          <a:srgbClr val="7030A0"/>
                        </a:solidFill>
                        <a:ln>
                          <a:noFill/>
                        </a:ln>
                        <a:effectLst/>
                      </wps:spPr>
                      <wps:bodyPr rot="0" vert="horz" wrap="square" lIns="91440" tIns="45720" rIns="91440" bIns="45720" anchor="ctr" anchorCtr="0" upright="1">
                        <a:noAutofit/>
                      </wps:bodyPr>
                    </wps:wsp>
                  </a:graphicData>
                </a:graphic>
              </wp:anchor>
            </w:drawing>
          </mc:Choice>
          <mc:Fallback>
            <w:pict>
              <v:rect id="矩形 70" o:spid="_x0000_s1026" o:spt="1" style="position:absolute;left:0pt;margin-left:13.6pt;margin-top:482.8pt;height:11.35pt;width:17pt;z-index:251803648;v-text-anchor:middle;mso-width-relative:page;mso-height-relative:page;" fillcolor="#7030A0" filled="t" stroked="f" coordsize="21600,21600" o:gfxdata="UEsDBAoAAAAAAIdO4kAAAAAAAAAAAAAAAAAEAAAAZHJzL1BLAwQUAAAACACHTuJA3Py1ltcAAAAJ&#10;AQAADwAAAGRycy9kb3ducmV2LnhtbE2PTU+EMBCG7yb+h2ZMvLkFjIhI2Rg/rrofRuOt0JES6ZTQ&#10;Lrv663c86XHeefJ+VMuDG8SMU+g9KUgXCQik1pueOgWv26eLAkSImowePKGCbwywrE9PKl0av6c1&#10;zpvYCTahUGoFNsaxlDK0Fp0OCz8i8e/TT05HPqdOmknv2dwNMkuSXDrdEydYPeK9xfZrs3Mcsnpr&#10;Vu388R5levf48Bzsy/ZnrdT5WZrcgoh4iH8w/Nbn6lBzp8bvyAQxKMiuMyYV3ORXOQgG8pSFhoWi&#10;uARZV/L/gvoIUEsDBBQAAAAIAIdO4kAhjbkCKQIAAD4EAAAOAAAAZHJzL2Uyb0RvYy54bWytU8GO&#10;0zAQvSPxD5bvNElptjRquqpaLUJaYKWFD3AdJ7FIPGbsNi0/g8RtP4LPQfwGE6ftluWyBy6WxzPz&#10;Zt6b8fx63zZsp9BpMDlPRjFnykgotKly/vnTzas3nDkvTCEaMCrnB+X49eLli3lnMzWGGppCISMQ&#10;47LO5rz23mZR5GStWuFGYJUhZwnYCk8mVlGBoiP0tonGcXwVdYCFRZDKOXpdD05+RMTnAEJZaqnW&#10;ILetMn5ARdUIT5Rcra3ji9BtWSrpP5alU541OSemPpxUhO6b/owWc5FVKGyt5bEF8ZwWnnBqhTZU&#10;9Ay1Fl6wLep/oFotERyUfiShjQYiQRFikcRPtLmvhVWBC0nt7Fl09/9g5YfdHTJd5PwqnU3GaTpN&#10;ODOipcH//v7w6+cPNg0iddZlFHtv77Cn6ewtyC+OGVjVwlRqiQhdrURBrSW9qNFfCb3hKJVtuvdQ&#10;ELbYegh67Utse0BSgu3DWA7nsai9Z5Iex0k6i2lgklzJZJJM0lBBZKdki86/VdCy/pJzpKkHcLG7&#10;db5vRmSnkNA8NLq40U0TDKw2qwbZTtCGTOPX8TLwpRR3GdaYPthAnzYgDi8q7NixzIlmv30u20Bx&#10;IMoIw9LRl6NLDfiNs44WLufu61ag4qx5Z0i2GVHrNzQYk3Q6JgMvPZtLjzCSoHIuPXI2GCs/7PXW&#10;oq5qqpUEEQwsSexSByEe+zqOiNYq6HP8Av3eXtoh6vHbL/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3Py1ltcAAAAJAQAADwAAAAAAAAABACAAAAAiAAAAZHJzL2Rvd25yZXYueG1sUEsBAhQAFAAA&#10;AAgAh07iQCGNuQIpAgAAPgQAAA4AAAAAAAAAAQAgAAAAJgEAAGRycy9lMm9Eb2MueG1sUEsFBgAA&#10;AAAGAAYAWQEAAMEFAAAAAA==&#10;">
                <v:fill on="t" focussize="0,0"/>
                <v:stroke on="f"/>
                <v:imagedata o:title=""/>
                <o:lock v:ext="edit" aspectratio="f"/>
              </v:rect>
            </w:pict>
          </mc:Fallback>
        </mc:AlternateContent>
      </w:r>
      <w:r>
        <mc:AlternateContent>
          <mc:Choice Requires="wps">
            <w:drawing>
              <wp:anchor distT="0" distB="0" distL="114300" distR="114300" simplePos="0" relativeHeight="251802624" behindDoc="0" locked="0" layoutInCell="1" allowOverlap="1">
                <wp:simplePos x="0" y="0"/>
                <wp:positionH relativeFrom="column">
                  <wp:posOffset>172720</wp:posOffset>
                </wp:positionH>
                <wp:positionV relativeFrom="paragraph">
                  <wp:posOffset>5928995</wp:posOffset>
                </wp:positionV>
                <wp:extent cx="215900" cy="144145"/>
                <wp:effectExtent l="10795" t="13970" r="11430" b="13335"/>
                <wp:wrapNone/>
                <wp:docPr id="1558369163" name="矩形 70"/>
                <wp:cNvGraphicFramePr/>
                <a:graphic xmlns:a="http://schemas.openxmlformats.org/drawingml/2006/main">
                  <a:graphicData uri="http://schemas.microsoft.com/office/word/2010/wordprocessingShape">
                    <wps:wsp>
                      <wps:cNvSpPr>
                        <a:spLocks noChangeArrowheads="1"/>
                      </wps:cNvSpPr>
                      <wps:spPr bwMode="auto">
                        <a:xfrm>
                          <a:off x="0" y="0"/>
                          <a:ext cx="215900" cy="144145"/>
                        </a:xfrm>
                        <a:prstGeom prst="rect">
                          <a:avLst/>
                        </a:prstGeom>
                        <a:noFill/>
                        <a:ln w="12700">
                          <a:solidFill>
                            <a:srgbClr val="FF0000"/>
                          </a:solidFill>
                          <a:miter lim="800000"/>
                        </a:ln>
                        <a:effectLst/>
                      </wps:spPr>
                      <wps:bodyPr rot="0" vert="horz" wrap="square" lIns="91440" tIns="45720" rIns="91440" bIns="45720" anchor="ctr" anchorCtr="0" upright="1">
                        <a:noAutofit/>
                      </wps:bodyPr>
                    </wps:wsp>
                  </a:graphicData>
                </a:graphic>
              </wp:anchor>
            </w:drawing>
          </mc:Choice>
          <mc:Fallback>
            <w:pict>
              <v:rect id="矩形 70" o:spid="_x0000_s1026" o:spt="1" style="position:absolute;left:0pt;margin-left:13.6pt;margin-top:466.85pt;height:11.35pt;width:17pt;z-index:251802624;v-text-anchor:middle;mso-width-relative:page;mso-height-relative:page;" filled="f" stroked="t" coordsize="21600,21600" o:gfxdata="UEsDBAoAAAAAAIdO4kAAAAAAAAAAAAAAAAAEAAAAZHJzL1BLAwQUAAAACACHTuJAQ6pTv9YAAAAJ&#10;AQAADwAAAGRycy9kb3ducmV2LnhtbE2PMU/DMBCFdyT+g3VIbNRJCgmEOB0QnRiAUonVjY8kqn22&#10;YqcN/55jgvHevXv3vWazOCtOOMXRk4J8lYFA6rwZqVew/9je3IOISZPR1hMq+MYIm/byotG18Wd6&#10;x9Mu9YJDKNZawZBSqKWM3YBOx5UPSLz78pPTicepl2bSZw53VhZZVkqnR+IPgw74NGB33M2OMYJ9&#10;C2Z+Pe4/82U7PZuXqPtKqeurPHsEkXBJf2b4xecbaJnp4GcyUVgFRVWwU8HDel2BYEOZs3Bg4a68&#10;Bdk28n+D9gdQSwMEFAAAAAgAh07iQFgM9pQ9AgAAYAQAAA4AAABkcnMvZTJvRG9jLnhtbK1UwW4T&#10;MRC9I/EPlu90s2nSpqtsqipVEFKBSoUPcLzerIXtMWMnm/IzSNz6EXwO4jcYO0kbyqUHcljt7Izf&#10;zHvznOnl1hq2URg0uJqXJwPOlJPQaLeq+edPizcTzkIUrhEGnKr5vQr8cvb61bT3lRpCB6ZRyAjE&#10;har3Ne9i9FVRBNkpK8IJeOUo2QJaESnEVdGg6AndmmI4GJwVPWDjEaQKgb5e75J8j4gvAYS21VJd&#10;g1xb5eIOFZURkSiFTvvAZ3natlUyfmzboCIzNSemMT+pCb0v07OYTUW1QuE7LfcjiJeM8IyTFdpR&#10;00eoaxEFW6P+B8pqiRCgjScSbLEjkhUhFuXgmTZ3nfAqcyGpg38UPfw/WPlhc4tMN+SE8XhyenZR&#10;np1y5oSlzf/+/vDr5w92nlXqfaio+M7fYuIZ/A3IL4E5mHfCrdQVIvSdEg3NViZVi78OpCDQUbbs&#10;30ND2GIdIQu2bdEmQJKCbfNe7h/3oraRSfo4LMcXA9qYpFQ5GpWjce4gqsNhjyG+VWBZeqk50toz&#10;uNjchJiGEdWhJPVysNDG5NUbx3oCHZ4TfuYFRjcpmwNcLecG2UaQexaLAf32jcNxmdWRboTRtuaT&#10;VHMoMi6BqOzC/RwHHZI/Q7WE5p40QdjZki4lvXSA3zjryZI1D1/XAhVn5p0jXS+Ie/JwDkbj8yEF&#10;eJxZHmeEkwRVcxmRs10wjzvnrz3qVUe9yszZwRVto9VZqae59jsk42UB95ckOfs4zlVPfwyz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EOqU7/WAAAACQEAAA8AAAAAAAAAAQAgAAAAIgAAAGRycy9k&#10;b3ducmV2LnhtbFBLAQIUABQAAAAIAIdO4kBYDPaUPQIAAGAEAAAOAAAAAAAAAAEAIAAAACUBAABk&#10;cnMvZTJvRG9jLnhtbFBLBQYAAAAABgAGAFkBAADUBQAAAAA=&#10;">
                <v:fill on="f" focussize="0,0"/>
                <v:stroke weight="1pt" color="#FF0000" miterlimit="8" joinstyle="miter"/>
                <v:imagedata o:title=""/>
                <o:lock v:ext="edit" aspectratio="f"/>
              </v:rect>
            </w:pict>
          </mc:Fallback>
        </mc:AlternateContent>
      </w:r>
      <w:r>
        <mc:AlternateContent>
          <mc:Choice Requires="wps">
            <w:drawing>
              <wp:anchor distT="0" distB="0" distL="114300" distR="114300" simplePos="0" relativeHeight="251801600" behindDoc="0" locked="0" layoutInCell="1" allowOverlap="1">
                <wp:simplePos x="0" y="0"/>
                <wp:positionH relativeFrom="column">
                  <wp:posOffset>40005</wp:posOffset>
                </wp:positionH>
                <wp:positionV relativeFrom="paragraph">
                  <wp:posOffset>5664835</wp:posOffset>
                </wp:positionV>
                <wp:extent cx="2336800" cy="1358265"/>
                <wp:effectExtent l="0" t="0" r="0" b="0"/>
                <wp:wrapNone/>
                <wp:docPr id="69" name="文本框 54"/>
                <wp:cNvGraphicFramePr/>
                <a:graphic xmlns:a="http://schemas.openxmlformats.org/drawingml/2006/main">
                  <a:graphicData uri="http://schemas.microsoft.com/office/word/2010/wordprocessingShape">
                    <wps:wsp>
                      <wps:cNvSpPr txBox="1"/>
                      <wps:spPr>
                        <a:xfrm>
                          <a:off x="0" y="0"/>
                          <a:ext cx="2336800" cy="1358265"/>
                        </a:xfrm>
                        <a:prstGeom prst="rect">
                          <a:avLst/>
                        </a:prstGeom>
                        <a:noFill/>
                        <a:ln w="6350">
                          <a:noFill/>
                        </a:ln>
                      </wps:spPr>
                      <wps:txbx>
                        <w:txbxContent>
                          <w:p w14:paraId="6B1990CF">
                            <w:pPr>
                              <w:ind w:firstLine="482"/>
                              <w:jc w:val="center"/>
                              <w:rPr>
                                <w:b/>
                                <w:bCs/>
                                <w:color w:val="FFFFFF"/>
                                <w:lang w:eastAsia="zh-CN"/>
                              </w:rPr>
                            </w:pPr>
                            <w:r>
                              <w:rPr>
                                <w:rFonts w:hint="eastAsia"/>
                                <w:b/>
                                <w:bCs/>
                                <w:color w:val="FFFFFF"/>
                                <w:lang w:eastAsia="zh-CN"/>
                              </w:rPr>
                              <w:t>图例</w:t>
                            </w:r>
                          </w:p>
                          <w:p w14:paraId="4ED55733">
                            <w:pPr>
                              <w:ind w:firstLine="482"/>
                              <w:jc w:val="center"/>
                              <w:rPr>
                                <w:b/>
                                <w:bCs/>
                                <w:color w:val="FFFFFF"/>
                                <w:lang w:eastAsia="zh-CN"/>
                              </w:rPr>
                            </w:pPr>
                            <w:r>
                              <w:rPr>
                                <w:rFonts w:hint="eastAsia"/>
                                <w:b/>
                                <w:bCs/>
                                <w:color w:val="FFFFFF"/>
                                <w:lang w:eastAsia="zh-CN"/>
                              </w:rPr>
                              <w:t>项目位置</w:t>
                            </w:r>
                          </w:p>
                          <w:p w14:paraId="697F1F0F">
                            <w:pPr>
                              <w:ind w:firstLine="482"/>
                              <w:jc w:val="center"/>
                              <w:rPr>
                                <w:b/>
                                <w:bCs/>
                                <w:color w:val="FFFFFF"/>
                                <w:lang w:eastAsia="zh-CN"/>
                              </w:rPr>
                            </w:pPr>
                            <w:r>
                              <w:rPr>
                                <w:rFonts w:hint="eastAsia"/>
                                <w:b/>
                                <w:bCs/>
                                <w:color w:val="FFFFFF"/>
                                <w:lang w:eastAsia="zh-CN"/>
                              </w:rPr>
                              <w:t>准保护区</w:t>
                            </w:r>
                          </w:p>
                          <w:p w14:paraId="4CD772FE">
                            <w:pPr>
                              <w:ind w:firstLine="482"/>
                              <w:jc w:val="center"/>
                              <w:rPr>
                                <w:b/>
                                <w:bCs/>
                                <w:color w:val="FFFFFF"/>
                                <w:lang w:eastAsia="zh-CN"/>
                              </w:rPr>
                            </w:pPr>
                            <w:r>
                              <w:rPr>
                                <w:rFonts w:hint="eastAsia"/>
                                <w:b/>
                                <w:bCs/>
                                <w:color w:val="FFFFFF"/>
                                <w:lang w:eastAsia="zh-CN"/>
                              </w:rPr>
                              <w:t>二级保护区</w:t>
                            </w:r>
                          </w:p>
                          <w:p w14:paraId="00634D60">
                            <w:pPr>
                              <w:ind w:firstLine="482"/>
                              <w:jc w:val="center"/>
                              <w:rPr>
                                <w:b/>
                                <w:bCs/>
                                <w:color w:val="FFFFFF"/>
                                <w:lang w:eastAsia="zh-CN"/>
                              </w:rPr>
                            </w:pPr>
                            <w:r>
                              <w:rPr>
                                <w:rFonts w:hint="eastAsia"/>
                                <w:b/>
                                <w:bCs/>
                                <w:color w:val="FFFFFF"/>
                                <w:lang w:eastAsia="zh-CN"/>
                              </w:rPr>
                              <w:t>一级保护区</w:t>
                            </w:r>
                          </w:p>
                          <w:p w14:paraId="7C9BF9D8">
                            <w:pPr>
                              <w:pStyle w:val="42"/>
                              <w:ind w:firstLine="480"/>
                              <w:rPr>
                                <w:b/>
                                <w:bCs/>
                                <w:color w:val="FFFFFF"/>
                              </w:rPr>
                            </w:pPr>
                            <w:r>
                              <w:rPr>
                                <w:rFonts w:hint="eastAsia"/>
                              </w:rPr>
                              <w:t xml:space="preserve">           </w:t>
                            </w:r>
                            <w:r>
                              <w:rPr>
                                <w:rFonts w:hint="eastAsia"/>
                                <w:b/>
                                <w:bCs/>
                                <w:color w:val="FFFFFF"/>
                              </w:rPr>
                              <w:t>取水口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54" o:spid="_x0000_s1026" o:spt="202" type="#_x0000_t202" style="position:absolute;left:0pt;margin-left:3.15pt;margin-top:446.05pt;height:106.95pt;width:184pt;z-index:251801600;mso-width-relative:page;mso-height-relative:page;" filled="f" stroked="f" coordsize="21600,21600" o:gfxdata="UEsDBAoAAAAAAIdO4kAAAAAAAAAAAAAAAAAEAAAAZHJzL1BLAwQUAAAACACHTuJATk2d+dsAAAAK&#10;AQAADwAAAGRycy9kb3ducmV2LnhtbE2Py07DMBBF90j8gzVI7KidFEIa4lQoUoWE6KKlm+6c2E0i&#10;7HGI3Qd8PcMKljP36M6Zcnlxlp3MFAaPEpKZAGaw9XrATsLufXWXAwtRoVbWo5HwZQIsq+urUhXa&#10;n3FjTtvYMSrBUCgJfYxjwXloe+NUmPnRIGUHPzkVaZw6rid1pnJneSpExp0akC70ajR1b9qP7dFJ&#10;eK1Xa7VpUpd/2/rl7fA8fu72D1Le3iTiCVg0l/gHw68+qUNFTo0/og7MSsjmBErIF2kCjPL54z1t&#10;GgITkQngVcn/v1D9AFBLAwQUAAAACACHTuJAGiVAuT4CAABpBAAADgAAAGRycy9lMm9Eb2MueG1s&#10;rVTNjtowEL5X6jtYvpeE37KIsKKLqCqh7kq06tk4Dolke1zbkNAHaN9gT7303ufiOTp2gEXbHvbQ&#10;ixl7Jt/M980M09tGSbIX1lWgM9rtpJQIzSGv9Dajnz8t34wpcZ7pnEnQIqMH4ejt7PWraW0mogcl&#10;yFxYgiDaTWqT0dJ7M0kSx0uhmOuAERqdBVjFPF7tNsktqxFdyaSXpqOkBpsbC1w4h6+L1klPiPYl&#10;gFAUFRcL4DsltG9RrZDMIyVXVsbRWay2KAT390XhhCcyo8jUxxOToL0JZzKbssnWMlNW/FQCe0kJ&#10;zzgpVmlMeoFaMM/IzlZ/QamKW3BQ+A4HlbREoiLIops+02ZdMiMiF5TamYvo7v/B8o/7B0uqPKOj&#10;G0o0U9jx4+OP48/fx1/fyXAQBKqNm2Dc2mCkb95Bg2Nzfnf4GHg3hVXhFxkR9KO8h4u8ovGE42Ov&#10;3x+NU3Rx9HX7w3FvNAw4ydPnxjr/XoAiwcioxf5FWdl+5Xwbeg4J2TQsKyljD6UmNZLoD9P4wcWD&#10;4FJjjkCiLTZYvtk0J2YbyA9IzEI7G87wZYXJV8z5B2ZxGLBgXBd/j0chAZPAyaKkBPvtX+8hHnuE&#10;XkpqHK6Muq87ZgUl8oPG7t10BwOE9fEyGL7t4cVeezbXHr1Td4Dz28XFNDyaId7Ls1lYUF9wq+Yh&#10;K7qY5pg7o/5s3vl25HEruZjPYxDOn2F+pdeGB+hWzvnOQ1FFpYNMrTYn9XACY69O2xJG/Poeo57+&#10;IW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E5NnfnbAAAACgEAAA8AAAAAAAAAAQAgAAAAIgAA&#10;AGRycy9kb3ducmV2LnhtbFBLAQIUABQAAAAIAIdO4kAaJUC5PgIAAGkEAAAOAAAAAAAAAAEAIAAA&#10;ACoBAABkcnMvZTJvRG9jLnhtbFBLBQYAAAAABgAGAFkBAADaBQAAAAA=&#10;">
                <v:fill on="f" focussize="0,0"/>
                <v:stroke on="f" weight="0.5pt"/>
                <v:imagedata o:title=""/>
                <o:lock v:ext="edit" aspectratio="f"/>
                <v:textbox>
                  <w:txbxContent>
                    <w:p w14:paraId="6B1990CF">
                      <w:pPr>
                        <w:ind w:firstLine="482"/>
                        <w:jc w:val="center"/>
                        <w:rPr>
                          <w:b/>
                          <w:bCs/>
                          <w:color w:val="FFFFFF"/>
                          <w:lang w:eastAsia="zh-CN"/>
                        </w:rPr>
                      </w:pPr>
                      <w:r>
                        <w:rPr>
                          <w:rFonts w:hint="eastAsia"/>
                          <w:b/>
                          <w:bCs/>
                          <w:color w:val="FFFFFF"/>
                          <w:lang w:eastAsia="zh-CN"/>
                        </w:rPr>
                        <w:t>图例</w:t>
                      </w:r>
                    </w:p>
                    <w:p w14:paraId="4ED55733">
                      <w:pPr>
                        <w:ind w:firstLine="482"/>
                        <w:jc w:val="center"/>
                        <w:rPr>
                          <w:b/>
                          <w:bCs/>
                          <w:color w:val="FFFFFF"/>
                          <w:lang w:eastAsia="zh-CN"/>
                        </w:rPr>
                      </w:pPr>
                      <w:r>
                        <w:rPr>
                          <w:rFonts w:hint="eastAsia"/>
                          <w:b/>
                          <w:bCs/>
                          <w:color w:val="FFFFFF"/>
                          <w:lang w:eastAsia="zh-CN"/>
                        </w:rPr>
                        <w:t>项目位置</w:t>
                      </w:r>
                    </w:p>
                    <w:p w14:paraId="697F1F0F">
                      <w:pPr>
                        <w:ind w:firstLine="482"/>
                        <w:jc w:val="center"/>
                        <w:rPr>
                          <w:b/>
                          <w:bCs/>
                          <w:color w:val="FFFFFF"/>
                          <w:lang w:eastAsia="zh-CN"/>
                        </w:rPr>
                      </w:pPr>
                      <w:r>
                        <w:rPr>
                          <w:rFonts w:hint="eastAsia"/>
                          <w:b/>
                          <w:bCs/>
                          <w:color w:val="FFFFFF"/>
                          <w:lang w:eastAsia="zh-CN"/>
                        </w:rPr>
                        <w:t>准保护区</w:t>
                      </w:r>
                    </w:p>
                    <w:p w14:paraId="4CD772FE">
                      <w:pPr>
                        <w:ind w:firstLine="482"/>
                        <w:jc w:val="center"/>
                        <w:rPr>
                          <w:b/>
                          <w:bCs/>
                          <w:color w:val="FFFFFF"/>
                          <w:lang w:eastAsia="zh-CN"/>
                        </w:rPr>
                      </w:pPr>
                      <w:r>
                        <w:rPr>
                          <w:rFonts w:hint="eastAsia"/>
                          <w:b/>
                          <w:bCs/>
                          <w:color w:val="FFFFFF"/>
                          <w:lang w:eastAsia="zh-CN"/>
                        </w:rPr>
                        <w:t>二级保护区</w:t>
                      </w:r>
                    </w:p>
                    <w:p w14:paraId="00634D60">
                      <w:pPr>
                        <w:ind w:firstLine="482"/>
                        <w:jc w:val="center"/>
                        <w:rPr>
                          <w:b/>
                          <w:bCs/>
                          <w:color w:val="FFFFFF"/>
                          <w:lang w:eastAsia="zh-CN"/>
                        </w:rPr>
                      </w:pPr>
                      <w:r>
                        <w:rPr>
                          <w:rFonts w:hint="eastAsia"/>
                          <w:b/>
                          <w:bCs/>
                          <w:color w:val="FFFFFF"/>
                          <w:lang w:eastAsia="zh-CN"/>
                        </w:rPr>
                        <w:t>一级保护区</w:t>
                      </w:r>
                    </w:p>
                    <w:p w14:paraId="7C9BF9D8">
                      <w:pPr>
                        <w:pStyle w:val="42"/>
                        <w:ind w:firstLine="480"/>
                        <w:rPr>
                          <w:b/>
                          <w:bCs/>
                          <w:color w:val="FFFFFF"/>
                        </w:rPr>
                      </w:pPr>
                      <w:r>
                        <w:rPr>
                          <w:rFonts w:hint="eastAsia"/>
                        </w:rPr>
                        <w:t xml:space="preserve">           </w:t>
                      </w:r>
                      <w:r>
                        <w:rPr>
                          <w:rFonts w:hint="eastAsia"/>
                          <w:b/>
                          <w:bCs/>
                          <w:color w:val="FFFFFF"/>
                        </w:rPr>
                        <w:t>取水口</w:t>
                      </w:r>
                    </w:p>
                  </w:txbxContent>
                </v:textbox>
              </v:shape>
            </w:pict>
          </mc:Fallback>
        </mc:AlternateContent>
      </w:r>
      <w:r>
        <w:drawing>
          <wp:anchor distT="0" distB="0" distL="114300" distR="114300" simplePos="0" relativeHeight="251795456" behindDoc="0" locked="0" layoutInCell="1" allowOverlap="1">
            <wp:simplePos x="0" y="0"/>
            <wp:positionH relativeFrom="column">
              <wp:posOffset>5586095</wp:posOffset>
            </wp:positionH>
            <wp:positionV relativeFrom="paragraph">
              <wp:posOffset>60960</wp:posOffset>
            </wp:positionV>
            <wp:extent cx="610870" cy="461645"/>
            <wp:effectExtent l="0" t="0" r="0" b="0"/>
            <wp:wrapNone/>
            <wp:docPr id="5638" name="图片 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8" name="图片 189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610870" cy="461645"/>
                    </a:xfrm>
                    <a:prstGeom prst="rect">
                      <a:avLst/>
                    </a:prstGeom>
                    <a:noFill/>
                    <a:ln>
                      <a:noFill/>
                    </a:ln>
                  </pic:spPr>
                </pic:pic>
              </a:graphicData>
            </a:graphic>
          </wp:anchor>
        </w:drawing>
      </w:r>
      <w:r>
        <w:drawing>
          <wp:inline distT="0" distB="0" distL="0" distR="0">
            <wp:extent cx="6188710" cy="7736205"/>
            <wp:effectExtent l="0" t="0" r="2540" b="0"/>
            <wp:docPr id="7857014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701469" name="图片 1"/>
                    <pic:cNvPicPr>
                      <a:picLocks noChangeAspect="1"/>
                    </pic:cNvPicPr>
                  </pic:nvPicPr>
                  <pic:blipFill>
                    <a:blip r:embed="rId59"/>
                    <a:stretch>
                      <a:fillRect/>
                    </a:stretch>
                  </pic:blipFill>
                  <pic:spPr>
                    <a:xfrm>
                      <a:off x="0" y="0"/>
                      <a:ext cx="6188710" cy="7736205"/>
                    </a:xfrm>
                    <a:prstGeom prst="rect">
                      <a:avLst/>
                    </a:prstGeom>
                  </pic:spPr>
                </pic:pic>
              </a:graphicData>
            </a:graphic>
          </wp:inline>
        </w:drawing>
      </w:r>
    </w:p>
    <w:p w14:paraId="1092ACA4">
      <w:pPr>
        <w:tabs>
          <w:tab w:val="center" w:pos="4873"/>
        </w:tabs>
        <w:rPr>
          <w:lang w:eastAsia="zh-CN"/>
        </w:rPr>
        <w:sectPr>
          <w:pgSz w:w="11906" w:h="16838"/>
          <w:pgMar w:top="1440" w:right="1080" w:bottom="1440" w:left="1080" w:header="851" w:footer="992" w:gutter="0"/>
          <w:cols w:space="720" w:num="1"/>
          <w:docGrid w:type="lines" w:linePitch="312" w:charSpace="0"/>
        </w:sectPr>
      </w:pPr>
      <w:r>
        <mc:AlternateContent>
          <mc:Choice Requires="wps">
            <w:drawing>
              <wp:anchor distT="0" distB="0" distL="114300" distR="114300" simplePos="0" relativeHeight="251746304" behindDoc="0" locked="0" layoutInCell="1" allowOverlap="1">
                <wp:simplePos x="0" y="0"/>
                <wp:positionH relativeFrom="margin">
                  <wp:posOffset>1457325</wp:posOffset>
                </wp:positionH>
                <wp:positionV relativeFrom="paragraph">
                  <wp:posOffset>619125</wp:posOffset>
                </wp:positionV>
                <wp:extent cx="3457575" cy="346710"/>
                <wp:effectExtent l="0" t="0" r="0" b="0"/>
                <wp:wrapNone/>
                <wp:docPr id="867650528" name="文本框 52"/>
                <wp:cNvGraphicFramePr/>
                <a:graphic xmlns:a="http://schemas.openxmlformats.org/drawingml/2006/main">
                  <a:graphicData uri="http://schemas.microsoft.com/office/word/2010/wordprocessingShape">
                    <wps:wsp>
                      <wps:cNvSpPr txBox="1"/>
                      <wps:spPr>
                        <a:xfrm>
                          <a:off x="0" y="0"/>
                          <a:ext cx="3457575" cy="346710"/>
                        </a:xfrm>
                        <a:prstGeom prst="rect">
                          <a:avLst/>
                        </a:prstGeom>
                        <a:noFill/>
                        <a:ln w="6350">
                          <a:noFill/>
                        </a:ln>
                      </wps:spPr>
                      <wps:txbx>
                        <w:txbxContent>
                          <w:p w14:paraId="78E76460">
                            <w:pPr>
                              <w:jc w:val="center"/>
                              <w:rPr>
                                <w:rFonts w:ascii="Times New Roman" w:hAnsi="Times New Roman" w:cs="Times New Roman"/>
                                <w:b/>
                                <w:bCs/>
                                <w:lang w:eastAsia="zh-CN"/>
                              </w:rPr>
                            </w:pPr>
                            <w:r>
                              <w:rPr>
                                <w:rFonts w:ascii="Times New Roman" w:hAnsi="Times New Roman" w:cs="Times New Roman"/>
                                <w:b/>
                                <w:bCs/>
                                <w:lang w:eastAsia="zh-CN"/>
                              </w:rPr>
                              <w:t>图2.6-</w:t>
                            </w:r>
                            <w:r>
                              <w:rPr>
                                <w:rFonts w:hint="eastAsia" w:ascii="Times New Roman" w:hAnsi="Times New Roman" w:cs="Times New Roman"/>
                                <w:b/>
                                <w:bCs/>
                                <w:lang w:eastAsia="zh-CN"/>
                              </w:rPr>
                              <w:t>1</w:t>
                            </w:r>
                            <w:r>
                              <w:rPr>
                                <w:rFonts w:ascii="Times New Roman" w:hAnsi="Times New Roman" w:cs="Times New Roman"/>
                                <w:b/>
                                <w:bCs/>
                                <w:lang w:eastAsia="zh-CN"/>
                              </w:rPr>
                              <w:t xml:space="preserve"> </w:t>
                            </w:r>
                            <w:r>
                              <w:rPr>
                                <w:rFonts w:hint="eastAsia" w:ascii="Times New Roman" w:hAnsi="Times New Roman" w:cs="Times New Roman"/>
                                <w:b/>
                                <w:bCs/>
                                <w:lang w:eastAsia="zh-CN"/>
                              </w:rPr>
                              <w:t>凤阳县经开区二水厂水源地划分</w:t>
                            </w:r>
                            <w:r>
                              <w:rPr>
                                <w:rFonts w:ascii="Times New Roman" w:hAnsi="Times New Roman" w:cs="Times New Roman"/>
                                <w:b/>
                                <w:bCs/>
                                <w:lang w:eastAsia="zh-CN"/>
                              </w:rPr>
                              <w:t>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52" o:spid="_x0000_s1026" o:spt="202" type="#_x0000_t202" style="position:absolute;left:0pt;margin-left:114.75pt;margin-top:48.75pt;height:27.3pt;width:272.25pt;mso-position-horizontal-relative:margin;z-index:251746304;mso-width-relative:page;mso-height-relative:page;" filled="f" stroked="f" coordsize="21600,21600" o:gfxdata="UEsDBAoAAAAAAIdO4kAAAAAAAAAAAAAAAAAEAAAAZHJzL1BLAwQUAAAACACHTuJAE/bC/9sAAAAK&#10;AQAADwAAAGRycy9kb3ducmV2LnhtbE2PTUvDQBCG74L/YZmCN7vJYkwbsykSKILoobUXb5vsNAnd&#10;j5jdfuivdzzV0zDMwzvPW64u1rATTmHwTkI6T4Cha70eXCdh97G+XwALUTmtjHco4RsDrKrbm1IV&#10;2p/dBk/b2DEKcaFQEvoYx4Lz0PZoVZj7ER3d9n6yKtI6dVxP6kzh1nCRJI/cqsHRh16NWPfYHrZH&#10;K+G1Xr+rTSPs4sfUL2/75/Fr95lJeTdLkydgES/xCsOfPqlDRU6NPzodmJEgxDIjVMIyp0lAnj9Q&#10;uYbITKTAq5L/r1D9AlBLAwQUAAAACACHTuJAR94i+UMCAABvBAAADgAAAGRycy9lMm9Eb2MueG1s&#10;rVTNbhMxEL4j8Q6W73STNElL1E0VqIqQKlqpIM6O19tdyfYY2+lueQB4A05cuPNcfQ4+e5O0Khx6&#10;QJGcsef3+2ZmT057o9mt8qElW/LxwYgzZSVVrb0p+aeP56+OOQtR2Eposqrkdyrw0+XLFyedW6gJ&#10;NaQr5RmC2LDoXMmbGN2iKIJslBHhgJyyUNbkjYi4+pui8qJDdKOLyWg0LzrylfMkVQh4PRuUfBvR&#10;Pycg1XUr1RnJjVE2DlG90iICUmhaF/gyV1vXSsbLug4qMl1yII35RBLI63QWyxOxuPHCNa3cliCe&#10;U8ITTEa0Fkn3oc5EFGzj279CmVZ6ClTHA0mmGIBkRoBiPHrCzXUjnMpYQHVwe9LD/wsrP9xeedZW&#10;JT+eH81no9kE7bfCoPH3P77f//x9/+sbm00ST50LC5hfOzjE/g31mJ7de8Bjgt/X3qR/AGPQg+W7&#10;Pcuqj0zi8XA6O8KPMwnd4XR+NM5tKB68nQ/xnSLDklByjy5mcsXtRYioBKY7k5TM0nmrde6ktqwr&#10;+fxwNsoOew08tIVjwjDUmqTYr/stsDVVd8DlaZiQ4OR5i+QXIsQr4TESgIKliZc4ak1IQluJs4b8&#10;13+9J3t0ClrOOoxYycOXjfCKM/3eooevx9Npmsl8ASkTXPxjzfqxxm7MW8IUj7GeTmYx2Ue9E2tP&#10;5jN2a5WyQiWsRO6Sx534Ng6Dj92UarXKRphCJ+KFvXYyhR7oXG0i1W1mOtE0cLNlD3OYG7DdmTTo&#10;j+/Z6uE7sfw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E/bC/9sAAAAKAQAADwAAAAAAAAABACAA&#10;AAAiAAAAZHJzL2Rvd25yZXYueG1sUEsBAhQAFAAAAAgAh07iQEfeIvlDAgAAbwQAAA4AAAAAAAAA&#10;AQAgAAAAKgEAAGRycy9lMm9Eb2MueG1sUEsFBgAAAAAGAAYAWQEAAN8FAAAAAA==&#10;">
                <v:fill on="f" focussize="0,0"/>
                <v:stroke on="f" weight="0.5pt"/>
                <v:imagedata o:title=""/>
                <o:lock v:ext="edit" aspectratio="f"/>
                <v:textbox>
                  <w:txbxContent>
                    <w:p w14:paraId="78E76460">
                      <w:pPr>
                        <w:jc w:val="center"/>
                        <w:rPr>
                          <w:rFonts w:ascii="Times New Roman" w:hAnsi="Times New Roman" w:cs="Times New Roman"/>
                          <w:b/>
                          <w:bCs/>
                          <w:lang w:eastAsia="zh-CN"/>
                        </w:rPr>
                      </w:pPr>
                      <w:r>
                        <w:rPr>
                          <w:rFonts w:ascii="Times New Roman" w:hAnsi="Times New Roman" w:cs="Times New Roman"/>
                          <w:b/>
                          <w:bCs/>
                          <w:lang w:eastAsia="zh-CN"/>
                        </w:rPr>
                        <w:t>图2.6-</w:t>
                      </w:r>
                      <w:r>
                        <w:rPr>
                          <w:rFonts w:hint="eastAsia" w:ascii="Times New Roman" w:hAnsi="Times New Roman" w:cs="Times New Roman"/>
                          <w:b/>
                          <w:bCs/>
                          <w:lang w:eastAsia="zh-CN"/>
                        </w:rPr>
                        <w:t>1</w:t>
                      </w:r>
                      <w:r>
                        <w:rPr>
                          <w:rFonts w:ascii="Times New Roman" w:hAnsi="Times New Roman" w:cs="Times New Roman"/>
                          <w:b/>
                          <w:bCs/>
                          <w:lang w:eastAsia="zh-CN"/>
                        </w:rPr>
                        <w:t xml:space="preserve"> </w:t>
                      </w:r>
                      <w:r>
                        <w:rPr>
                          <w:rFonts w:hint="eastAsia" w:ascii="Times New Roman" w:hAnsi="Times New Roman" w:cs="Times New Roman"/>
                          <w:b/>
                          <w:bCs/>
                          <w:lang w:eastAsia="zh-CN"/>
                        </w:rPr>
                        <w:t>凤阳县经开区二水厂水源地划分</w:t>
                      </w:r>
                      <w:r>
                        <w:rPr>
                          <w:rFonts w:ascii="Times New Roman" w:hAnsi="Times New Roman" w:cs="Times New Roman"/>
                          <w:b/>
                          <w:bCs/>
                          <w:lang w:eastAsia="zh-CN"/>
                        </w:rPr>
                        <w:t>图</w:t>
                      </w:r>
                    </w:p>
                  </w:txbxContent>
                </v:textbox>
              </v:shape>
            </w:pict>
          </mc:Fallback>
        </mc:AlternateContent>
      </w:r>
      <w:r>
        <w:rPr>
          <w:lang w:eastAsia="zh-CN"/>
        </w:rPr>
        <w:tab/>
      </w:r>
    </w:p>
    <w:p w14:paraId="7DC1658F">
      <w:pPr>
        <w:adjustRightInd w:val="0"/>
        <w:snapToGrid w:val="0"/>
        <w:spacing w:line="360" w:lineRule="auto"/>
        <w:jc w:val="center"/>
        <w:rPr>
          <w:rFonts w:ascii="Times New Roman" w:hAnsi="Times New Roman" w:eastAsia="新宋体" w:cs="Times New Roman"/>
          <w:color w:val="auto"/>
          <w:szCs w:val="24"/>
          <w:lang w:eastAsia="zh-CN"/>
        </w:rPr>
      </w:pPr>
      <w:r>
        <w:rPr>
          <w:lang w:eastAsia="zh-CN"/>
        </w:rPr>
        <w:drawing>
          <wp:anchor distT="0" distB="0" distL="114300" distR="114300" simplePos="0" relativeHeight="251773952" behindDoc="0" locked="0" layoutInCell="1" allowOverlap="1">
            <wp:simplePos x="0" y="0"/>
            <wp:positionH relativeFrom="column">
              <wp:posOffset>7241540</wp:posOffset>
            </wp:positionH>
            <wp:positionV relativeFrom="paragraph">
              <wp:posOffset>257810</wp:posOffset>
            </wp:positionV>
            <wp:extent cx="1062990" cy="803910"/>
            <wp:effectExtent l="0" t="0" r="0" b="0"/>
            <wp:wrapNone/>
            <wp:docPr id="5403"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3" name="图片 12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1062990" cy="803910"/>
                    </a:xfrm>
                    <a:prstGeom prst="rect">
                      <a:avLst/>
                    </a:prstGeom>
                    <a:noFill/>
                    <a:ln>
                      <a:noFill/>
                    </a:ln>
                    <a:effectLst/>
                  </pic:spPr>
                </pic:pic>
              </a:graphicData>
            </a:graphic>
          </wp:anchor>
        </w:drawing>
      </w:r>
      <w:r>
        <w:rPr>
          <w:snapToGrid/>
          <w:lang w:eastAsia="zh-CN"/>
        </w:rPr>
        <mc:AlternateContent>
          <mc:Choice Requires="wps">
            <w:drawing>
              <wp:anchor distT="0" distB="0" distL="114300" distR="114300" simplePos="0" relativeHeight="251912192" behindDoc="0" locked="0" layoutInCell="1" allowOverlap="1">
                <wp:simplePos x="0" y="0"/>
                <wp:positionH relativeFrom="column">
                  <wp:posOffset>2371725</wp:posOffset>
                </wp:positionH>
                <wp:positionV relativeFrom="paragraph">
                  <wp:posOffset>2449195</wp:posOffset>
                </wp:positionV>
                <wp:extent cx="437515" cy="263525"/>
                <wp:effectExtent l="0" t="0" r="0" b="3175"/>
                <wp:wrapNone/>
                <wp:docPr id="1683637816" name="矩形 7270"/>
                <wp:cNvGraphicFramePr/>
                <a:graphic xmlns:a="http://schemas.openxmlformats.org/drawingml/2006/main">
                  <a:graphicData uri="http://schemas.microsoft.com/office/word/2010/wordprocessingShape">
                    <wps:wsp>
                      <wps:cNvSpPr>
                        <a:spLocks noChangeArrowheads="1"/>
                      </wps:cNvSpPr>
                      <wps:spPr bwMode="auto">
                        <a:xfrm>
                          <a:off x="0" y="0"/>
                          <a:ext cx="437565" cy="263661"/>
                        </a:xfrm>
                        <a:prstGeom prst="rect">
                          <a:avLst/>
                        </a:prstGeom>
                        <a:noFill/>
                        <a:ln>
                          <a:noFill/>
                        </a:ln>
                      </wps:spPr>
                      <wps:txbx>
                        <w:txbxContent>
                          <w:p w14:paraId="08F3D9D3">
                            <w:pPr>
                              <w:rPr>
                                <w:rFonts w:hint="eastAsia" w:ascii="黑体" w:hAnsi="黑体" w:eastAsia="黑体" w:cs="Times New Roman"/>
                                <w:color w:val="EE0000"/>
                                <w:sz w:val="18"/>
                                <w:szCs w:val="15"/>
                              </w:rPr>
                            </w:pPr>
                            <w:r>
                              <w:rPr>
                                <w:rFonts w:hint="eastAsia" w:ascii="黑体" w:hAnsi="黑体" w:eastAsia="黑体" w:cs="Times New Roman"/>
                                <w:color w:val="FFFF00"/>
                                <w:sz w:val="16"/>
                                <w:szCs w:val="13"/>
                                <w:lang w:eastAsia="zh-CN"/>
                              </w:rPr>
                              <w:t>李洼</w:t>
                            </w:r>
                          </w:p>
                        </w:txbxContent>
                      </wps:txbx>
                      <wps:bodyPr rot="0" vert="horz" wrap="square" lIns="91440" tIns="45720" rIns="91440" bIns="45720" anchor="t" anchorCtr="0" upright="1">
                        <a:noAutofit/>
                      </wps:bodyPr>
                    </wps:wsp>
                  </a:graphicData>
                </a:graphic>
              </wp:anchor>
            </w:drawing>
          </mc:Choice>
          <mc:Fallback>
            <w:pict>
              <v:rect id="矩形 7270" o:spid="_x0000_s1026" o:spt="1" style="position:absolute;left:0pt;margin-left:186.75pt;margin-top:192.85pt;height:20.75pt;width:34.45pt;z-index:251912192;mso-width-relative:page;mso-height-relative:page;" filled="f" stroked="f" coordsize="21600,21600" o:gfxdata="UEsDBAoAAAAAAIdO4kAAAAAAAAAAAAAAAAAEAAAAZHJzL1BLAwQUAAAACACHTuJAXIg9NdsAAAAL&#10;AQAADwAAAGRycy9kb3ducmV2LnhtbE2PwUrDQBCG74LvsIzgReymaWpKzKaHglhEKKba8zY7JsHs&#10;bJrdJvXtHU96+4f5+OebfH2xnRhx8K0jBfNZBAKpcqalWsH7/ul+BcIHTUZ3jlDBN3pYF9dXuc6M&#10;m+gNxzLUgkvIZ1pBE0KfSemrBq32M9cj8e7TDVYHHodamkFPXG47GUfRg7S6Jb7Q6B43DVZf5dkq&#10;mKrdeNi/Psvd3WHr6LQ9bcqPF6Vub+bRI4iAl/AHw68+q0PBTkd3JuNFp2CRLpaMclgtUxBMJEmc&#10;gDhyiNMYZJHL/z8UP1BLAwQUAAAACACHTuJAjyWzeRcCAAATBAAADgAAAGRycy9lMm9Eb2MueG1s&#10;rVPNbtswDL4P2DsIui+O8+NkRpyiaNBhQLcV6PYAiizHwmxRo5Q42csM2K0PsccZ9hqj5DRNu0sP&#10;uwikSH3k95FaXOzbhu0UOg2m4OlgyJkyEkptNgX/8vn6zZwz54UpRQNGFfygHL9Yvn616GyuRlBD&#10;UypkBGJc3tmC197bPEmcrFUr3ACsMhSsAFvhycVNUqLoCL1tktFwmCUdYGkRpHKObld9kB8R8SWA&#10;UFVaqhXIbauM71FRNcITJVdr6/gydltVSvpPVeWUZ03BiamPJxUhex3OZLkQ+QaFrbU8tiBe0sIz&#10;Tq3QhoqeoFbCC7ZF/Q9UqyWCg8oPJLRJTyQqQizS4TNt7mphVeRCUjt7Et39P1j5cXeLTJe0Cdl8&#10;nI1n8zTjzIiWJv/nx/3vXz/ZbDSLOnXW5ZR+Z28xMHX2BuRXxwxc1cJs1CUidLUSJXWXBl2TJw+C&#10;4+gpW3cfoCR0sfUQJdtX2AZAEoPt42QOp8movWeSLifj2TSbciYpNMrGWdZXEPnDY4vOv1PQsmAU&#10;HGnwEVzsbpwPzYj8ISXUMnCtmyYOvzFPLigx3MTmQ79hk1zu9+s9ZQdzDeWBaCD0u0Q/iYwa8Dtn&#10;He1Rwd23rUDFWfPekBRv08kkLF50JtPZiBw8j6zPI8JIgiq456w3r3y/rFuLelNTpTTSMnBJ8lU6&#10;Unvs6tg37UpkfNzrsIznfsx6/MvLv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FyIPTXbAAAACwEA&#10;AA8AAAAAAAAAAQAgAAAAIgAAAGRycy9kb3ducmV2LnhtbFBLAQIUABQAAAAIAIdO4kCPJbN5FwIA&#10;ABMEAAAOAAAAAAAAAAEAIAAAACoBAABkcnMvZTJvRG9jLnhtbFBLBQYAAAAABgAGAFkBAACzBQAA&#10;AAA=&#10;">
                <v:fill on="f" focussize="0,0"/>
                <v:stroke on="f"/>
                <v:imagedata o:title=""/>
                <o:lock v:ext="edit" aspectratio="f"/>
                <v:textbox>
                  <w:txbxContent>
                    <w:p w14:paraId="08F3D9D3">
                      <w:pPr>
                        <w:rPr>
                          <w:rFonts w:hint="eastAsia" w:ascii="黑体" w:hAnsi="黑体" w:eastAsia="黑体" w:cs="Times New Roman"/>
                          <w:color w:val="EE0000"/>
                          <w:sz w:val="18"/>
                          <w:szCs w:val="15"/>
                        </w:rPr>
                      </w:pPr>
                      <w:r>
                        <w:rPr>
                          <w:rFonts w:hint="eastAsia" w:ascii="黑体" w:hAnsi="黑体" w:eastAsia="黑体" w:cs="Times New Roman"/>
                          <w:color w:val="FFFF00"/>
                          <w:sz w:val="16"/>
                          <w:szCs w:val="13"/>
                          <w:lang w:eastAsia="zh-CN"/>
                        </w:rPr>
                        <w:t>李洼</w:t>
                      </w:r>
                    </w:p>
                  </w:txbxContent>
                </v:textbox>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913216" behindDoc="0" locked="0" layoutInCell="1" allowOverlap="1">
                <wp:simplePos x="0" y="0"/>
                <wp:positionH relativeFrom="column">
                  <wp:posOffset>2371725</wp:posOffset>
                </wp:positionH>
                <wp:positionV relativeFrom="paragraph">
                  <wp:posOffset>2546985</wp:posOffset>
                </wp:positionV>
                <wp:extent cx="87630" cy="83185"/>
                <wp:effectExtent l="0" t="0" r="8255" b="0"/>
                <wp:wrapNone/>
                <wp:docPr id="1042089699" name="椭圆 5166"/>
                <wp:cNvGraphicFramePr/>
                <a:graphic xmlns:a="http://schemas.openxmlformats.org/drawingml/2006/main">
                  <a:graphicData uri="http://schemas.microsoft.com/office/word/2010/wordprocessingShape">
                    <wps:wsp>
                      <wps:cNvSpPr>
                        <a:spLocks noChangeArrowheads="1"/>
                      </wps:cNvSpPr>
                      <wps:spPr bwMode="auto">
                        <a:xfrm>
                          <a:off x="0" y="0"/>
                          <a:ext cx="87465" cy="83489"/>
                        </a:xfrm>
                        <a:prstGeom prst="ellipse">
                          <a:avLst/>
                        </a:prstGeom>
                        <a:solidFill>
                          <a:srgbClr val="EE0000"/>
                        </a:solidFill>
                        <a:ln w="9525" algn="ctr">
                          <a:noFill/>
                          <a:round/>
                        </a:ln>
                        <a:effectLst/>
                      </wps:spPr>
                      <wps:bodyPr rot="0" vert="horz" wrap="square" lIns="91440" tIns="45720" rIns="91440" bIns="45720" anchor="t" anchorCtr="0" upright="1">
                        <a:noAutofit/>
                      </wps:bodyPr>
                    </wps:wsp>
                  </a:graphicData>
                </a:graphic>
              </wp:anchor>
            </w:drawing>
          </mc:Choice>
          <mc:Fallback>
            <w:pict>
              <v:shape id="椭圆 5166" o:spid="_x0000_s1026" o:spt="3" type="#_x0000_t3" style="position:absolute;left:0pt;margin-left:186.75pt;margin-top:200.55pt;height:6.55pt;width:6.9pt;z-index:251913216;mso-width-relative:page;mso-height-relative:page;" fillcolor="#EE0000" filled="t" stroked="f" coordsize="21600,21600" o:gfxdata="UEsDBAoAAAAAAIdO4kAAAAAAAAAAAAAAAAAEAAAAZHJzL1BLAwQUAAAACACHTuJAP5puO9kAAAAL&#10;AQAADwAAAGRycy9kb3ducmV2LnhtbE2PwU6EMBCG7ya+QzMm3tzS7bJsWMoeTEz0YiJr9FpoBbJ0&#10;SmgX8O0dT3qcmS//fH9xWt3AZjuF3qMCsUmAWWy86bFV8H5+ejgAC1Gj0YNHq+DbBjiVtzeFzo1f&#10;8M3OVWwZhWDItYIuxjHnPDSddTps/GiRbl9+cjrSOLXcTHqhcDfwbZLsudM90odOj/axs82lujoF&#10;L9Wq5boXH+nz8jnja0yzrE6Vur8TyRFYtGv8g+FXn9ShJKfaX9EENiiQmUwJVbBLhABGhDxkElhN&#10;G7HbAi8L/r9D+QNQSwMEFAAAAAgAh07iQOKPoIhBAgAAXgQAAA4AAABkcnMvZTJvRG9jLnhtbK1U&#10;S27bMBDdF+gdCO4bya7t2ELkIMinKJC2AdIegKYoiSjFYYe05fQAPUWW3fZY7Tk6pJTUTTdZVAuB&#10;oxm+efP4qJPTfWfYTqHXYEs+Oco5U1ZCpW1T8k8fr14tOfNB2EoYsKrkd8rz0/XLFye9K9QUWjCV&#10;QkYg1he9K3kbgiuyzMtWdcIfgVOWkjVgJwKF2GQVip7QO5NN83yR9YCVQ5DKe/p6MST5iIjPAYS6&#10;1lJdgNx2yoYBFZURgUbyrXaerxPbulYyfKhrrwIzJadJQ3pTE1pv4jtbn4iiQeFaLUcK4jkUnszU&#10;CW2p6SPUhQiCbVH/A9VpieChDkcSumwYJClCU0zyJ9rctsKpNAtJ7d2j6P7/wcr3uxtkuiIn5LNp&#10;vlwtVivOrOjo5H99//Hz/hubTxaLqFPvfEHlt+4G46TeXYP87JmF81bYRp0hQt8qURG7SazP/toQ&#10;A09b2aZ/BxWhi22AJNm+xi4Ckhhsn07m7vFk1D4wSR+Xx7PFnDNJmeXr2XKV8EXxsNWhD28UdCwu&#10;Sq6MIRNE5UQhdtc+RDaieKhK7MHo6kobkwJsNucG2U6QSy4vc3rGBv6wzFjWl3w1nxITYRq6PTJg&#10;amIhQiUvIWxtNfQzNoKr5MKRxIMKg5obqO5IEYTBlnQpadECfuWsJ0uW3H/ZClScmbeWVF1NZrPo&#10;4RTM5sdTCvAwsznMCCsJquSByKbleRh8v3Wom5Y6TUbuZ3QStU4iRX4Dq/H8yHZJu/GKRF8fxqnq&#10;z29h/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mm472QAAAAsBAAAPAAAAAAAAAAEAIAAAACIA&#10;AABkcnMvZG93bnJldi54bWxQSwECFAAUAAAACACHTuJA4o+giEECAABeBAAADgAAAAAAAAABACAA&#10;AAAoAQAAZHJzL2Uyb0RvYy54bWxQSwUGAAAAAAYABgBZAQAA2wUAAAAA&#10;">
                <v:fill on="t" focussize="0,0"/>
                <v:stroke on="f" joinstyle="round"/>
                <v:imagedata o:title=""/>
                <o:lock v:ext="edit" aspectratio="f"/>
              </v:shape>
            </w:pict>
          </mc:Fallback>
        </mc:AlternateContent>
      </w:r>
      <w:r>
        <w:rPr>
          <w:snapToGrid/>
          <w:lang w:eastAsia="zh-CN"/>
        </w:rPr>
        <mc:AlternateContent>
          <mc:Choice Requires="wps">
            <w:drawing>
              <wp:anchor distT="0" distB="0" distL="114300" distR="114300" simplePos="0" relativeHeight="251911168" behindDoc="0" locked="0" layoutInCell="1" allowOverlap="1">
                <wp:simplePos x="0" y="0"/>
                <wp:positionH relativeFrom="column">
                  <wp:posOffset>1995805</wp:posOffset>
                </wp:positionH>
                <wp:positionV relativeFrom="paragraph">
                  <wp:posOffset>2840990</wp:posOffset>
                </wp:positionV>
                <wp:extent cx="796290" cy="330835"/>
                <wp:effectExtent l="0" t="0" r="0" b="0"/>
                <wp:wrapNone/>
                <wp:docPr id="467522853" name="矩形 7270"/>
                <wp:cNvGraphicFramePr/>
                <a:graphic xmlns:a="http://schemas.openxmlformats.org/drawingml/2006/main">
                  <a:graphicData uri="http://schemas.microsoft.com/office/word/2010/wordprocessingShape">
                    <wps:wsp>
                      <wps:cNvSpPr>
                        <a:spLocks noChangeArrowheads="1"/>
                      </wps:cNvSpPr>
                      <wps:spPr bwMode="auto">
                        <a:xfrm>
                          <a:off x="0" y="0"/>
                          <a:ext cx="796594" cy="330979"/>
                        </a:xfrm>
                        <a:prstGeom prst="rect">
                          <a:avLst/>
                        </a:prstGeom>
                        <a:noFill/>
                        <a:ln>
                          <a:noFill/>
                        </a:ln>
                      </wps:spPr>
                      <wps:txbx>
                        <w:txbxContent>
                          <w:p w14:paraId="4B1ED325">
                            <w:pPr>
                              <w:rPr>
                                <w:rFonts w:hint="eastAsia" w:ascii="黑体" w:hAnsi="黑体" w:eastAsia="黑体" w:cs="Times New Roman"/>
                                <w:color w:val="EE0000"/>
                                <w:sz w:val="18"/>
                                <w:szCs w:val="15"/>
                              </w:rPr>
                            </w:pPr>
                            <w:r>
                              <w:rPr>
                                <w:rFonts w:hint="eastAsia" w:ascii="黑体" w:hAnsi="黑体" w:eastAsia="黑体" w:cs="Times New Roman"/>
                                <w:color w:val="FFFF00"/>
                                <w:sz w:val="16"/>
                                <w:szCs w:val="13"/>
                                <w:lang w:eastAsia="zh-CN"/>
                              </w:rPr>
                              <w:t>丽豪佳园</w:t>
                            </w:r>
                          </w:p>
                        </w:txbxContent>
                      </wps:txbx>
                      <wps:bodyPr rot="0" vert="horz" wrap="square" lIns="91440" tIns="45720" rIns="91440" bIns="45720" anchor="t" anchorCtr="0" upright="1">
                        <a:noAutofit/>
                      </wps:bodyPr>
                    </wps:wsp>
                  </a:graphicData>
                </a:graphic>
              </wp:anchor>
            </w:drawing>
          </mc:Choice>
          <mc:Fallback>
            <w:pict>
              <v:rect id="矩形 7270" o:spid="_x0000_s1026" o:spt="1" style="position:absolute;left:0pt;margin-left:157.15pt;margin-top:223.7pt;height:26.05pt;width:62.7pt;z-index:251911168;mso-width-relative:page;mso-height-relative:page;" filled="f" stroked="f" coordsize="21600,21600" o:gfxdata="UEsDBAoAAAAAAIdO4kAAAAAAAAAAAAAAAAAEAAAAZHJzL1BLAwQUAAAACACHTuJAcY7zj90AAAAL&#10;AQAADwAAAGRycy9kb3ducmV2LnhtbE2PwU7DMAyG70i8Q2QkLmhLSwOjpekOkxATmjTRjZ2zJrQV&#10;jdM1WTveHnOCmy1/+v39+fJiOzaawbcOJcTzCJjByukWawn73cvsCZgPCrXqHBoJ38bDsri+ylWm&#10;3YTvZixDzSgEfaYkNCH0Gee+aoxVfu56g3T7dINVgdah5npQE4Xbjt9H0SO3qkX60KjerBpTfZVn&#10;K2GqtuNht3nl27vD2uFpfVqVH29S3t7E0TOwYC7hD4ZffVKHgpyO7ozas05CEouEUAlCLAQwIkSS&#10;LoAdaUjTB+BFzv93KH4AUEsDBBQAAAAIAIdO4kCsXbVNGAIAABIEAAAOAAAAZHJzL2Uyb0RvYy54&#10;bWytU81u2zAMvg/YOwi6L06cv8aIUxQNOgzotgLdHkCR5ViYLWqUEjt7mQG77SH2OMNeY5Scpml3&#10;6WEXgRSpj/w+UsvLrqnZXqHTYHI+Ggw5U0ZCoc02558/3by54Mx5YQpRg1E5PyjHL1evXy1bm6kU&#10;KqgLhYxAjMtam/PKe5sliZOVaoQbgFWGgiVgIzy5uE0KFC2hN3WSDoezpAUsLIJUztHtug/yIyK+&#10;BBDKUku1BrlrlPE9KqpaeKLkKm0dX8Vuy1JJ/7EsnfKszjkx9fGkImRvwpmsliLborCVlscWxEta&#10;eMapEdpQ0RPUWnjBdqj/gWq0RHBQ+oGEJumJREWIxWj4TJv7SlgVuZDUzp5Ed/8PVn7Y3yHTRc4n&#10;s/k0TS+mY86MaGjwf77//P3rB5un8yhTa11G2ff2DgNRZ29BfnHMwHUlzFZdIUJbKVFQc6Mga/Lk&#10;QXAcPWWb9j0UhC52HqJiXYlNACQtWBcHczgNRnWeSbqcL2bTxYQzSaHxeLiYL2IFkT08tuj8WwUN&#10;C0bOkeYewcX+1vnQjMgeUkItAze6ruPsa/PkghLDTWw+9BsWyWW+23SUHcwNFAeigdCvEn0kMirA&#10;b5y1tEY5d193AhVn9TtDUixGk0nYu+hMpvOUHDyPbM4jwkiCyrnnrDevfb+rO4t6W1GlUaRl4Irk&#10;K3Wk9tjVsW9alcj4uNZhF8/9mPX4lVd/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HGO84/dAAAA&#10;CwEAAA8AAAAAAAAAAQAgAAAAIgAAAGRycy9kb3ducmV2LnhtbFBLAQIUABQAAAAIAIdO4kCsXbVN&#10;GAIAABIEAAAOAAAAAAAAAAEAIAAAACwBAABkcnMvZTJvRG9jLnhtbFBLBQYAAAAABgAGAFkBAAC2&#10;BQAAAAA=&#10;">
                <v:fill on="f" focussize="0,0"/>
                <v:stroke on="f"/>
                <v:imagedata o:title=""/>
                <o:lock v:ext="edit" aspectratio="f"/>
                <v:textbox>
                  <w:txbxContent>
                    <w:p w14:paraId="4B1ED325">
                      <w:pPr>
                        <w:rPr>
                          <w:rFonts w:hint="eastAsia" w:ascii="黑体" w:hAnsi="黑体" w:eastAsia="黑体" w:cs="Times New Roman"/>
                          <w:color w:val="EE0000"/>
                          <w:sz w:val="18"/>
                          <w:szCs w:val="15"/>
                        </w:rPr>
                      </w:pPr>
                      <w:r>
                        <w:rPr>
                          <w:rFonts w:hint="eastAsia" w:ascii="黑体" w:hAnsi="黑体" w:eastAsia="黑体" w:cs="Times New Roman"/>
                          <w:color w:val="FFFF00"/>
                          <w:sz w:val="16"/>
                          <w:szCs w:val="13"/>
                          <w:lang w:eastAsia="zh-CN"/>
                        </w:rPr>
                        <w:t>丽豪佳园</w:t>
                      </w:r>
                    </w:p>
                  </w:txbxContent>
                </v:textbox>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910144" behindDoc="0" locked="0" layoutInCell="1" allowOverlap="1">
                <wp:simplePos x="0" y="0"/>
                <wp:positionH relativeFrom="column">
                  <wp:posOffset>2074545</wp:posOffset>
                </wp:positionH>
                <wp:positionV relativeFrom="paragraph">
                  <wp:posOffset>2821940</wp:posOffset>
                </wp:positionV>
                <wp:extent cx="87630" cy="83185"/>
                <wp:effectExtent l="0" t="0" r="8255" b="0"/>
                <wp:wrapNone/>
                <wp:docPr id="1900603517" name="椭圆 5166"/>
                <wp:cNvGraphicFramePr/>
                <a:graphic xmlns:a="http://schemas.openxmlformats.org/drawingml/2006/main">
                  <a:graphicData uri="http://schemas.microsoft.com/office/word/2010/wordprocessingShape">
                    <wps:wsp>
                      <wps:cNvSpPr>
                        <a:spLocks noChangeArrowheads="1"/>
                      </wps:cNvSpPr>
                      <wps:spPr bwMode="auto">
                        <a:xfrm>
                          <a:off x="0" y="0"/>
                          <a:ext cx="87465" cy="83489"/>
                        </a:xfrm>
                        <a:prstGeom prst="ellipse">
                          <a:avLst/>
                        </a:prstGeom>
                        <a:solidFill>
                          <a:srgbClr val="EE0000"/>
                        </a:solidFill>
                        <a:ln w="9525" algn="ctr">
                          <a:noFill/>
                          <a:round/>
                        </a:ln>
                        <a:effectLst/>
                      </wps:spPr>
                      <wps:bodyPr rot="0" vert="horz" wrap="square" lIns="91440" tIns="45720" rIns="91440" bIns="45720" anchor="t" anchorCtr="0" upright="1">
                        <a:noAutofit/>
                      </wps:bodyPr>
                    </wps:wsp>
                  </a:graphicData>
                </a:graphic>
              </wp:anchor>
            </w:drawing>
          </mc:Choice>
          <mc:Fallback>
            <w:pict>
              <v:shape id="椭圆 5166" o:spid="_x0000_s1026" o:spt="3" type="#_x0000_t3" style="position:absolute;left:0pt;margin-left:163.35pt;margin-top:222.2pt;height:6.55pt;width:6.9pt;z-index:251910144;mso-width-relative:page;mso-height-relative:page;" fillcolor="#EE0000" filled="t" stroked="f" coordsize="21600,21600" o:gfxdata="UEsDBAoAAAAAAIdO4kAAAAAAAAAAAAAAAAAEAAAAZHJzL1BLAwQUAAAACACHTuJAAezoCNcAAAAL&#10;AQAADwAAAGRycy9kb3ducmV2LnhtbE2PwU6EMBCG7ya+QzMm3tyWZQsbpOzBxEQvJqLRa6FdINIp&#10;oV3At3c86dxm5ss/35SnzY1ssXMYPCpIdgKYxdabATsF72+Pd0dgIWo0evRoFXzbAKfq+qrUhfEr&#10;vtqljh2jEAyFVtDHOBWch7a3ToednyzS7uxnpyO1c8fNrFcKdyPfC5FxpwekC72e7ENv26/64hQ8&#10;15tOtyz5kE/r54IvUeZ5I5W6vUnEPbBot/gHw68+qUNFTo2/oAlsVJDus5xQBQcqYESkByGBNTSR&#10;uQRelfz/D9UPUEsDBBQAAAAIAIdO4kA8imKeQQIAAF4EAAAOAAAAZHJzL2Uyb0RvYy54bWytVEtu&#10;2zAQ3RfoHQjuG1mO7dhC5CDIpyiQtgHSHoCmKIkoxWGHtOX0AD1Fl932WO05OqSU1E03WVQLgaMh&#10;37x586jTs31n2E6h12BLnh9NOFNWQqVtU/KPH65fLTnzQdhKGLCq5PfK87P1yxenvSvUFFowlUJG&#10;INYXvSt5G4IrsszLVnXCH4FTlpI1YCcChdhkFYqe0DuTTSeTRdYDVg5BKu/p6+WQ5CMiPgcQ6lpL&#10;dQly2ykbBlRURgRqybfaeb5ObOtayfC+rr0KzJScOg3pTUVovYnvbH0qigaFa7UcKYjnUHjSUye0&#10;paKPUJciCLZF/Q9UpyWChzocSeiyoZGkCHWRT55oc9cKp1IvJLV3j6L7/wcr3+1ukemKnLCi4UyO&#10;5/kJZ1Z0NPlf33/8/PaVzfPFIurUO1/Q9jt3i7FT725AfvLMwkUrbKPOEaFvlaiIXR73Z38diIGn&#10;o2zTv4WK0MU2QJJsX2MXAUkMtk+TuX+cjNoHJunj8mS2mHMmKbM8ni1XCV8UD0cd+vBaQcfiouTK&#10;GDJBVE4UYnfjQ2QjioddiT0YXV1rY1KAzebCINsJcsnV1YSesYA/3GYs60u+mk+JiTAN3R4ZMBWx&#10;EKGSlxC2thrqGRvBVXLhSOJBhUHNDVT3pAjCYEu6lLRoAb9w1pMlS+4/bwUqzswbS6qu8tksejgF&#10;s/nJlAI8zGwOM8JKgip5ILJpeREG328d6qalSvnI/ZwmUeskUuQ3sBrnR7ZL2o1XJPr6ME67/vwW&#10;1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AezoCNcAAAALAQAADwAAAAAAAAABACAAAAAiAAAA&#10;ZHJzL2Rvd25yZXYueG1sUEsBAhQAFAAAAAgAh07iQDyKYp5BAgAAXgQAAA4AAAAAAAAAAQAgAAAA&#10;JgEAAGRycy9lMm9Eb2MueG1sUEsFBgAAAAAGAAYAWQEAANkFAAAAAA==&#10;">
                <v:fill on="t" focussize="0,0"/>
                <v:stroke on="f" joinstyle="round"/>
                <v:imagedata o:title=""/>
                <o:lock v:ext="edit" aspectratio="f"/>
              </v:shape>
            </w:pict>
          </mc:Fallback>
        </mc:AlternateContent>
      </w:r>
      <w:r>
        <w:rPr>
          <w:snapToGrid/>
          <w:lang w:eastAsia="zh-CN"/>
        </w:rPr>
        <mc:AlternateContent>
          <mc:Choice Requires="wps">
            <w:drawing>
              <wp:anchor distT="0" distB="0" distL="114300" distR="114300" simplePos="0" relativeHeight="251824128" behindDoc="0" locked="0" layoutInCell="1" allowOverlap="1">
                <wp:simplePos x="0" y="0"/>
                <wp:positionH relativeFrom="column">
                  <wp:posOffset>3437890</wp:posOffset>
                </wp:positionH>
                <wp:positionV relativeFrom="paragraph">
                  <wp:posOffset>2355215</wp:posOffset>
                </wp:positionV>
                <wp:extent cx="883920" cy="517525"/>
                <wp:effectExtent l="2540" t="3175" r="0" b="3175"/>
                <wp:wrapNone/>
                <wp:docPr id="439827150" name="矩形 7270"/>
                <wp:cNvGraphicFramePr/>
                <a:graphic xmlns:a="http://schemas.openxmlformats.org/drawingml/2006/main">
                  <a:graphicData uri="http://schemas.microsoft.com/office/word/2010/wordprocessingShape">
                    <wps:wsp>
                      <wps:cNvSpPr>
                        <a:spLocks noChangeArrowheads="1"/>
                      </wps:cNvSpPr>
                      <wps:spPr bwMode="auto">
                        <a:xfrm>
                          <a:off x="0" y="0"/>
                          <a:ext cx="883920" cy="517525"/>
                        </a:xfrm>
                        <a:prstGeom prst="rect">
                          <a:avLst/>
                        </a:prstGeom>
                        <a:noFill/>
                        <a:ln>
                          <a:noFill/>
                        </a:ln>
                      </wps:spPr>
                      <wps:txbx>
                        <w:txbxContent>
                          <w:p w14:paraId="34D76DB4">
                            <w:pPr>
                              <w:rPr>
                                <w:rFonts w:ascii="Times New Roman" w:hAnsi="Times New Roman" w:cs="Times New Roman"/>
                                <w:b/>
                                <w:bCs/>
                                <w:color w:val="EE0000"/>
                                <w:sz w:val="28"/>
                                <w:szCs w:val="22"/>
                              </w:rPr>
                            </w:pPr>
                            <w:r>
                              <w:rPr>
                                <w:rFonts w:ascii="Times New Roman" w:hAnsi="Times New Roman" w:cs="Times New Roman"/>
                                <w:b/>
                                <w:bCs/>
                                <w:color w:val="EE0000"/>
                                <w:sz w:val="28"/>
                                <w:szCs w:val="22"/>
                                <w:lang w:eastAsia="zh-CN"/>
                              </w:rPr>
                              <w:t>2500m</w:t>
                            </w:r>
                            <w:r>
                              <w:rPr>
                                <w:rFonts w:ascii="Times New Roman" w:hAnsi="Times New Roman" w:cs="Times New Roman"/>
                                <w:b/>
                                <w:bCs/>
                                <w:color w:val="EE0000"/>
                                <w:sz w:val="28"/>
                                <w:szCs w:val="22"/>
                                <w:lang w:eastAsia="zh-CN"/>
                              </w:rPr>
                              <w:drawing>
                                <wp:inline distT="0" distB="0" distL="0" distR="0">
                                  <wp:extent cx="1485900" cy="114300"/>
                                  <wp:effectExtent l="0" t="0" r="0" b="0"/>
                                  <wp:docPr id="37679419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794196" name="图片 1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1485900" cy="114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rect id="矩形 7270" o:spid="_x0000_s1026" o:spt="1" style="position:absolute;left:0pt;margin-left:270.7pt;margin-top:185.45pt;height:40.75pt;width:69.6pt;z-index:251824128;mso-width-relative:page;mso-height-relative:page;" filled="f" stroked="f" coordsize="21600,21600" o:gfxdata="UEsDBAoAAAAAAIdO4kAAAAAAAAAAAAAAAAAEAAAAZHJzL1BLAwQUAAAACACHTuJArjhAENwAAAAL&#10;AQAADwAAAGRycy9kb3ducmV2LnhtbE2PQUvDQBCF74L/YRnBi9jd1DTWmEkPBbGIUEy1520yJsHs&#10;bJrdJvXfu570OLyP977JVmfTiZEG11pGiGYKBHFpq5ZrhPfd0+0ShPOaK91ZJoRvcrDKLy8ynVZ2&#10;4jcaC1+LUMIu1QiN930qpSsbMtrNbE8csk87GO3DOdSyGvQUyk0n50ol0uiWw0Kje1o3VH4VJ4Mw&#10;ldtxv3t9ltub/cbycXNcFx8viNdXkXoE4ens/2D41Q/qkAengz1x5USHsIijOKAId/fqAUQgkqVK&#10;QBwQ4sU8Bpln8v8P+Q9QSwMEFAAAAAgAh07iQH2f7DkWAgAAEgQAAA4AAABkcnMvZTJvRG9jLnht&#10;bK1TQW7bMBC8F+gfCN5rWYpd24LlIIiRokDaBkj7AJqiLKISl13SltLPFOgtj+hzin6jS8pxnPSS&#10;Qy/CkrucnZldLc/7tmF7hU6DKXg6GnOmjIRSm23Bv3y+ejPnzHlhStGAUQW/U46fr16/WnY2VxnU&#10;0JQKGYEYl3e24LX3Nk8SJ2vVCjcCqwwlK8BWeDriNilRdITeNkk2Hr9NOsDSIkjlHN2uhyQ/IOJL&#10;AKGqtFRrkLtWGT+gomqEJ0mu1tbxVWRbVUr6T1XllGdNwUmpj19qQvEmfJPVUuRbFLbW8kBBvITC&#10;M02t0IaaHqHWwgu2Q/0PVKslgoPKjyS0ySAkOkIq0vEzb25rYVXUQlY7ezTd/T9Y+XF/g0yXBZ+c&#10;LebZLJ2SM0a0NPg/P+5///rJZtks2tRZl1P1rb3BINTZa5BfHTNwWQuzVReI0NVKlEQuDbYmTx6E&#10;g6OnbNN9gJLQxc5DdKyvsA2A5AXr42DujoNRvWeSLufzs0VGxCSlpulsmk1jB5E/PLbo/DsFLQtB&#10;wZHmHsHF/tr5QEbkDyWhl4Er3TRx9o15ckGF4SaSD3zDIrnc95ueqkO4gfKOZCAMq0Q/EgU14HfO&#10;OlqjgrtvO4GKs+a9ISsW6WQS9i4eJtNZUIGnmc1pRhhJUAX3nA3hpR92dWdRb2vqlEZZBi7IvkpH&#10;aY+sDrxpVaLiw1qHXTw9x6rHX3n1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K44QBDcAAAACwEA&#10;AA8AAAAAAAAAAQAgAAAAIgAAAGRycy9kb3ducmV2LnhtbFBLAQIUABQAAAAIAIdO4kB9n+w5FgIA&#10;ABIEAAAOAAAAAAAAAAEAIAAAACsBAABkcnMvZTJvRG9jLnhtbFBLBQYAAAAABgAGAFkBAACzBQAA&#10;AAA=&#10;">
                <v:fill on="f" focussize="0,0"/>
                <v:stroke on="f"/>
                <v:imagedata o:title=""/>
                <o:lock v:ext="edit" aspectratio="f"/>
                <v:textbox>
                  <w:txbxContent>
                    <w:p w14:paraId="34D76DB4">
                      <w:pPr>
                        <w:rPr>
                          <w:rFonts w:ascii="Times New Roman" w:hAnsi="Times New Roman" w:cs="Times New Roman"/>
                          <w:b/>
                          <w:bCs/>
                          <w:color w:val="EE0000"/>
                          <w:sz w:val="28"/>
                          <w:szCs w:val="22"/>
                        </w:rPr>
                      </w:pPr>
                      <w:r>
                        <w:rPr>
                          <w:rFonts w:ascii="Times New Roman" w:hAnsi="Times New Roman" w:cs="Times New Roman"/>
                          <w:b/>
                          <w:bCs/>
                          <w:color w:val="EE0000"/>
                          <w:sz w:val="28"/>
                          <w:szCs w:val="22"/>
                          <w:lang w:eastAsia="zh-CN"/>
                        </w:rPr>
                        <w:t>2500m</w:t>
                      </w:r>
                      <w:r>
                        <w:rPr>
                          <w:rFonts w:ascii="Times New Roman" w:hAnsi="Times New Roman" w:cs="Times New Roman"/>
                          <w:b/>
                          <w:bCs/>
                          <w:color w:val="EE0000"/>
                          <w:sz w:val="28"/>
                          <w:szCs w:val="22"/>
                          <w:lang w:eastAsia="zh-CN"/>
                        </w:rPr>
                        <w:drawing>
                          <wp:inline distT="0" distB="0" distL="0" distR="0">
                            <wp:extent cx="1485900" cy="114300"/>
                            <wp:effectExtent l="0" t="0" r="0" b="0"/>
                            <wp:docPr id="37679419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794196" name="图片 1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1485900" cy="114300"/>
                                    </a:xfrm>
                                    <a:prstGeom prst="rect">
                                      <a:avLst/>
                                    </a:prstGeom>
                                    <a:noFill/>
                                    <a:ln>
                                      <a:noFill/>
                                    </a:ln>
                                  </pic:spPr>
                                </pic:pic>
                              </a:graphicData>
                            </a:graphic>
                          </wp:inline>
                        </w:drawing>
                      </w:r>
                    </w:p>
                  </w:txbxContent>
                </v:textbox>
              </v:rect>
            </w:pict>
          </mc:Fallback>
        </mc:AlternateContent>
      </w:r>
      <w:r>
        <w:rPr>
          <w:snapToGrid/>
          <w:lang w:eastAsia="zh-CN"/>
        </w:rPr>
        <mc:AlternateContent>
          <mc:Choice Requires="wps">
            <w:drawing>
              <wp:anchor distT="0" distB="0" distL="114300" distR="114300" simplePos="0" relativeHeight="251825152" behindDoc="0" locked="0" layoutInCell="1" allowOverlap="1">
                <wp:simplePos x="0" y="0"/>
                <wp:positionH relativeFrom="column">
                  <wp:posOffset>3220085</wp:posOffset>
                </wp:positionH>
                <wp:positionV relativeFrom="paragraph">
                  <wp:posOffset>2703830</wp:posOffset>
                </wp:positionV>
                <wp:extent cx="1200785" cy="0"/>
                <wp:effectExtent l="38100" t="76200" r="18415" b="95250"/>
                <wp:wrapNone/>
                <wp:docPr id="66927902" name="自选图形 7271"/>
                <wp:cNvGraphicFramePr/>
                <a:graphic xmlns:a="http://schemas.openxmlformats.org/drawingml/2006/main">
                  <a:graphicData uri="http://schemas.microsoft.com/office/word/2010/wordprocessingShape">
                    <wps:wsp>
                      <wps:cNvCnPr>
                        <a:cxnSpLocks noChangeShapeType="1"/>
                      </wps:cNvCnPr>
                      <wps:spPr bwMode="auto">
                        <a:xfrm>
                          <a:off x="0" y="0"/>
                          <a:ext cx="1200896" cy="0"/>
                        </a:xfrm>
                        <a:prstGeom prst="straightConnector1">
                          <a:avLst/>
                        </a:prstGeom>
                        <a:noFill/>
                        <a:ln w="19050">
                          <a:solidFill>
                            <a:srgbClr val="EE0000"/>
                          </a:solidFill>
                          <a:round/>
                          <a:headEnd type="triangle" w="med" len="med"/>
                          <a:tailEnd type="triangle" w="med" len="med"/>
                        </a:ln>
                      </wps:spPr>
                      <wps:bodyPr/>
                    </wps:wsp>
                  </a:graphicData>
                </a:graphic>
              </wp:anchor>
            </w:drawing>
          </mc:Choice>
          <mc:Fallback>
            <w:pict>
              <v:shape id="自选图形 7271" o:spid="_x0000_s1026" o:spt="32" type="#_x0000_t32" style="position:absolute;left:0pt;margin-left:253.55pt;margin-top:212.9pt;height:0pt;width:94.55pt;z-index:251825152;mso-width-relative:page;mso-height-relative:page;" filled="f" stroked="t" coordsize="21600,21600" o:gfxdata="UEsDBAoAAAAAAIdO4kAAAAAAAAAAAAAAAAAEAAAAZHJzL1BLAwQUAAAACACHTuJAFhCm+toAAAAL&#10;AQAADwAAAGRycy9kb3ducmV2LnhtbE2PTUvEMBCG74L/IYzgzU1abNXadEFxPeyC6K4seMs20w9s&#10;JqXJfvjvHUHQ48w8vPO85fzkBnHAKfSeNCQzBQKp9ranVsP7ZnF1CyJEQ9YMnlDDFwaYV+dnpSms&#10;P9IbHtaxFRxCoTAauhjHQspQd+hMmPkRiW+Nn5yJPE6ttJM5crgbZKpULp3piT90ZsTHDuvP9d5p&#10;WD2tlottJvv2efuyfN2kjX34aLS+vEjUPYiIp/gHw48+q0PFTju/JxvEoCFTNwmjGq7TjDswkd/l&#10;KYjd70ZWpfzfofoGUEsDBBQAAAAIAIdO4kCZ/KzSFwIAABwEAAAOAAAAZHJzL2Uyb0RvYy54bWyt&#10;U0uOEzEQ3SNxB8t70p1IJJMonVkkGTYDRJrhAI7t7rawXZbtpJMdO8QZ2LHkDsxtRoJbUHY+MMMm&#10;C3rRsl1V79V7Lk+vd0aTrfRBga1ov1dSIi0HoWxT0Q/3N6+uKAmRWcE0WFnRvQz0evbyxbRzEzmA&#10;FrSQniCIDZPOVbSN0U2KIvBWGhZ64KTFYA3esIhb3xTCsw7RjS4GZTksOvDCeeAyBDxdHIL0iOgv&#10;AYS6VlwugG+MtPGA6qVmESWFVrlAZ7nbupY8vq/rICPRFUWlMf+RBNfr9C9mUzZpPHOt4scW2CUt&#10;PNNkmLJIeoZasMjIxqt/oIziHgLUscfBFAch2RFU0S+feXPXMiezFrQ6uLPp4f/B8nfblSdKVHQ4&#10;HA9G43JAiWUG7/3n5++/Pn15/Prw+OMbGQ1G/eRV58IES+Z25ZNavrN37hb4x0AszFtmG5l7vt87&#10;RMgVxZOStAkOGdfdWxCYwzYRsnG72psEiZaQXb6f/fl+5C4Sjod9nJ+r8ZASfooVbHIqdD7ENxIM&#10;SYuKhuiZato4B2txCsD3Mw3b3oaIQrDwVJBYLdworfMwaEs6pBqXr8tcEUArkaIpL/hmPdeebBnO&#10;03JZ4pdsQbQnaR42VmS0VjKxtILE7Ej0Cj3SkiYKIwUlWuIjTKucHZnSl2Yjp7ZIfbL0cDlrEPuV&#10;Ty2lcxya3NxxwNNU/r3PWX8e9ew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FhCm+toAAAALAQAA&#10;DwAAAAAAAAABACAAAAAiAAAAZHJzL2Rvd25yZXYueG1sUEsBAhQAFAAAAAgAh07iQJn8rNIXAgAA&#10;HAQAAA4AAAAAAAAAAQAgAAAAKQEAAGRycy9lMm9Eb2MueG1sUEsFBgAAAAAGAAYAWQEAALIFAAAA&#10;AA==&#10;">
                <v:fill on="f" focussize="0,0"/>
                <v:stroke weight="1.5pt" color="#EE0000" joinstyle="round" startarrow="block" endarrow="block"/>
                <v:imagedata o:title=""/>
                <o:lock v:ext="edit" aspectratio="f"/>
              </v:shape>
            </w:pict>
          </mc:Fallback>
        </mc:AlternateContent>
      </w:r>
      <w:r>
        <w:rPr>
          <w:snapToGrid/>
          <w:lang w:eastAsia="zh-CN"/>
        </w:rPr>
        <mc:AlternateContent>
          <mc:Choice Requires="wps">
            <w:drawing>
              <wp:anchor distT="0" distB="0" distL="114300" distR="114300" simplePos="0" relativeHeight="251826176" behindDoc="0" locked="0" layoutInCell="1" allowOverlap="1">
                <wp:simplePos x="0" y="0"/>
                <wp:positionH relativeFrom="column">
                  <wp:posOffset>4472305</wp:posOffset>
                </wp:positionH>
                <wp:positionV relativeFrom="paragraph">
                  <wp:posOffset>177165</wp:posOffset>
                </wp:positionV>
                <wp:extent cx="0" cy="2401570"/>
                <wp:effectExtent l="76200" t="38100" r="57150" b="55880"/>
                <wp:wrapNone/>
                <wp:docPr id="817435770" name="自选图形 7273"/>
                <wp:cNvGraphicFramePr/>
                <a:graphic xmlns:a="http://schemas.openxmlformats.org/drawingml/2006/main">
                  <a:graphicData uri="http://schemas.microsoft.com/office/word/2010/wordprocessingShape">
                    <wps:wsp>
                      <wps:cNvCnPr>
                        <a:cxnSpLocks noChangeShapeType="1"/>
                      </wps:cNvCnPr>
                      <wps:spPr bwMode="auto">
                        <a:xfrm flipH="1" flipV="1">
                          <a:off x="0" y="0"/>
                          <a:ext cx="0" cy="2401791"/>
                        </a:xfrm>
                        <a:prstGeom prst="straightConnector1">
                          <a:avLst/>
                        </a:prstGeom>
                        <a:noFill/>
                        <a:ln w="19050">
                          <a:solidFill>
                            <a:srgbClr val="EE0000"/>
                          </a:solidFill>
                          <a:round/>
                          <a:headEnd type="triangle" w="med" len="med"/>
                          <a:tailEnd type="triangle" w="med" len="med"/>
                        </a:ln>
                      </wps:spPr>
                      <wps:bodyPr/>
                    </wps:wsp>
                  </a:graphicData>
                </a:graphic>
              </wp:anchor>
            </w:drawing>
          </mc:Choice>
          <mc:Fallback>
            <w:pict>
              <v:shape id="自选图形 7273" o:spid="_x0000_s1026" o:spt="32" type="#_x0000_t32" style="position:absolute;left:0pt;flip:x y;margin-left:352.15pt;margin-top:13.95pt;height:189.1pt;width:0pt;z-index:251826176;mso-width-relative:page;mso-height-relative:page;" filled="f" stroked="t" coordsize="21600,21600" o:gfxdata="UEsDBAoAAAAAAIdO4kAAAAAAAAAAAAAAAAAEAAAAZHJzL1BLAwQUAAAACACHTuJAlBeJRNcAAAAK&#10;AQAADwAAAGRycy9kb3ducmV2LnhtbE2Py07DMBBF90j8gzVI7KidUKU0zaRCFUhsaYPE0o2ncYQf&#10;aey24e8xYlGWM3N059xqPVnDzjSG3juEbCaAkWu96l2H0OxeH56AhSidksY7QvimAOv69qaSpfIX&#10;907nbexYCnGhlAg6xqHkPLSarAwzP5BLt4MfrYxpHDuuRnlJ4dbwXIiCW9m79EHLgTaa2q/tySK8&#10;6eljc1wWJn9R/Sd/PjbtLm8Q7+8ysQIWaYpXGH71kzrUyWnvT04FZhAWYv6YUIR8sQSWgL/FHmEu&#10;igx4XfH/FeofUEsDBBQAAAAIAIdO4kC5frRFIwIAADEEAAAOAAAAZHJzL2Uyb0RvYy54bWytU8Fy&#10;0zAQvTPDP2h0p3bSFreeOD0kKRwKZKaFuyLJtgZZq5GUOLlxY/gGbhz5B/ibzsBfsJIzaSmXHPDB&#10;s9Luvt33djW52naabKTzCkxFRyc5JdJwEMo0FX1/d/3ighIfmBFMg5EV3UlPr6bPn016W8oxtKCF&#10;dARBjC97W9E2BFtmmeet7Jg/ASsNOmtwHQt4dE0mHOsRvdPZOM9fZj04YR1w6T3ezgcn3SO6YwCh&#10;rhWXc+DrTpowoDqpWUBKvlXW02nqtq4lD+/q2stAdEWRaUh/LIL2Kv6z6YSVjWO2VXzfAjumhSec&#10;OqYMFj1AzVlgZO3UP1Cd4g481OGEQ5cNRJIiyGKUP9HmtmVWJi4otbcH0f3/g+VvN0tHlKjoxag4&#10;Oz0vClTGsA4H/+vz99+fvtx//Xn/4xspxsVpFKu3vsScmVm6SJdvza29Af7REwOzlplGpqbvdhYR&#10;RjEj+yslHrzFkqv+DQiMYesASblt7TpSa2Vfx8RkfYhWLIM6kW0a2u4wNLkNhA+XHG/HZ/mouBwq&#10;sjKCxUTrfHgloSPRqKgPjqmmDTMwBlcD3ADPNjc+xFYfEmKygWulddoQbUiPzVzm53lqyINWInpj&#10;nHfNaqYd2TBcssUixy8RR8/jMAdrIxJaK5lYGEFCUik4hbppSWOJTgpKtMSXGa0UHZjSx0YjA232&#10;mkeZh4GtQOyWLhKM8uMmJar7rY+r+vicoh5e+vQ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lBeJ&#10;RNcAAAAKAQAADwAAAAAAAAABACAAAAAiAAAAZHJzL2Rvd25yZXYueG1sUEsBAhQAFAAAAAgAh07i&#10;QLl+tEUjAgAAMQQAAA4AAAAAAAAAAQAgAAAAJgEAAGRycy9lMm9Eb2MueG1sUEsFBgAAAAAGAAYA&#10;WQEAALsFAAAAAA==&#10;">
                <v:fill on="f" focussize="0,0"/>
                <v:stroke weight="1.5pt" color="#EE0000" joinstyle="round" startarrow="block" endarrow="block"/>
                <v:imagedata o:title=""/>
                <o:lock v:ext="edit" aspectratio="f"/>
              </v:shape>
            </w:pict>
          </mc:Fallback>
        </mc:AlternateContent>
      </w:r>
      <w:r>
        <w:rPr>
          <w:snapToGrid/>
          <w:lang w:eastAsia="zh-CN"/>
        </w:rPr>
        <mc:AlternateContent>
          <mc:Choice Requires="wps">
            <w:drawing>
              <wp:anchor distT="0" distB="0" distL="114300" distR="114300" simplePos="0" relativeHeight="251827200" behindDoc="0" locked="0" layoutInCell="1" allowOverlap="1">
                <wp:simplePos x="0" y="0"/>
                <wp:positionH relativeFrom="column">
                  <wp:posOffset>4044950</wp:posOffset>
                </wp:positionH>
                <wp:positionV relativeFrom="paragraph">
                  <wp:posOffset>1356360</wp:posOffset>
                </wp:positionV>
                <wp:extent cx="883920" cy="517525"/>
                <wp:effectExtent l="2540" t="0" r="0" b="0"/>
                <wp:wrapNone/>
                <wp:docPr id="594270615" name="矩形 7274"/>
                <wp:cNvGraphicFramePr/>
                <a:graphic xmlns:a="http://schemas.openxmlformats.org/drawingml/2006/main">
                  <a:graphicData uri="http://schemas.microsoft.com/office/word/2010/wordprocessingShape">
                    <wps:wsp>
                      <wps:cNvSpPr>
                        <a:spLocks noChangeArrowheads="1"/>
                      </wps:cNvSpPr>
                      <wps:spPr bwMode="auto">
                        <a:xfrm>
                          <a:off x="0" y="0"/>
                          <a:ext cx="883920" cy="517525"/>
                        </a:xfrm>
                        <a:prstGeom prst="rect">
                          <a:avLst/>
                        </a:prstGeom>
                        <a:noFill/>
                        <a:ln>
                          <a:noFill/>
                        </a:ln>
                      </wps:spPr>
                      <wps:txbx>
                        <w:txbxContent>
                          <w:p w14:paraId="62EE6F52">
                            <w:pPr>
                              <w:rPr>
                                <w:rFonts w:ascii="Times New Roman" w:hAnsi="Times New Roman" w:cs="Times New Roman"/>
                                <w:b/>
                                <w:bCs/>
                                <w:color w:val="EE0000"/>
                                <w:sz w:val="28"/>
                                <w:szCs w:val="22"/>
                              </w:rPr>
                            </w:pPr>
                            <w:r>
                              <w:rPr>
                                <w:rFonts w:hint="eastAsia" w:ascii="Times New Roman" w:hAnsi="Times New Roman" w:cs="Times New Roman"/>
                                <w:b/>
                                <w:bCs/>
                                <w:color w:val="EE0000"/>
                                <w:sz w:val="28"/>
                                <w:szCs w:val="22"/>
                                <w:lang w:eastAsia="zh-CN"/>
                              </w:rPr>
                              <w:t>50</w:t>
                            </w:r>
                            <w:r>
                              <w:rPr>
                                <w:rFonts w:ascii="Times New Roman" w:hAnsi="Times New Roman" w:cs="Times New Roman"/>
                                <w:b/>
                                <w:bCs/>
                                <w:color w:val="EE0000"/>
                                <w:sz w:val="28"/>
                                <w:szCs w:val="22"/>
                                <w:lang w:eastAsia="zh-CN"/>
                              </w:rPr>
                              <w:t>00m</w:t>
                            </w:r>
                            <w:r>
                              <w:rPr>
                                <w:rFonts w:ascii="Times New Roman" w:hAnsi="Times New Roman" w:cs="Times New Roman"/>
                                <w:b/>
                                <w:bCs/>
                                <w:color w:val="EE0000"/>
                                <w:sz w:val="28"/>
                                <w:szCs w:val="22"/>
                                <w:lang w:eastAsia="zh-CN"/>
                              </w:rPr>
                              <w:drawing>
                                <wp:inline distT="0" distB="0" distL="0" distR="0">
                                  <wp:extent cx="1485900" cy="114300"/>
                                  <wp:effectExtent l="0" t="0" r="0" b="0"/>
                                  <wp:docPr id="100735054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350549" name="图片 1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1485900" cy="114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rect id="矩形 7274" o:spid="_x0000_s1026" o:spt="1" style="position:absolute;left:0pt;margin-left:318.5pt;margin-top:106.8pt;height:40.75pt;width:69.6pt;z-index:251827200;mso-width-relative:page;mso-height-relative:page;" filled="f" stroked="f" coordsize="21600,21600" o:gfxdata="UEsDBAoAAAAAAIdO4kAAAAAAAAAAAAAAAAAEAAAAZHJzL1BLAwQUAAAACACHTuJAi/KymtwAAAAL&#10;AQAADwAAAGRycy9kb3ducmV2LnhtbE2PQU+DQBCF7yb+h82YeDF2gUZQZOmhibExJo1Ue96yIxDZ&#10;Wcpuof57x5Me37yXN98rVmfbiwlH3zlSEC8iEEi1Mx01Ct53T7f3IHzQZHTvCBV8o4dVeXlR6Ny4&#10;md5wqkIjuIR8rhW0IQy5lL5u0Wq/cAMSe59utDqwHBtpRj1zue1lEkWptLoj/tDqAdct1l/VySqY&#10;6+20370+y+3NfuPouDmuq48Xpa6v4ugRRMBz+AvDLz6jQ8lMB3ci40WvIF1mvCUoSOJlCoITWZYm&#10;IA58ebiLQZaF/L+h/AFQSwMEFAAAAAgAh07iQIDjI2MWAgAAEgQAAA4AAABkcnMvZTJvRG9jLnht&#10;bK1TwY7TMBC9I/EPlu80TWm2bdR0tdpqEdICKy18gOs4jUXiMWO3SfkZJG58BJ+D+A3GTrd0l8se&#10;uFi2Z/zmvTfj5WXfNmyv0GkwBU9HY86UkVBqsy34p483r+acOS9MKRowquAH5fjl6uWLZWdzNYEa&#10;mlIhIxDj8s4WvPbe5kniZK1a4UZglaFgBdgKT0fcJiWKjtDbJpmMxxdJB1haBKmco9v1EORHRHwO&#10;IFSVlmoNctcq4wdUVI3wJMnV2jq+imyrSkn/oaqc8qwpOCn1caUitN+ENVktRb5FYWstjxTEcyg8&#10;0dQKbajoCWotvGA71P9AtVoiOKj8SEKbDEKiI6QiHT/x5r4WVkUtZLWzJ9Pd/4OV7/d3yHRZ8Gwx&#10;nczGF2nGmREtNf73tx+/fn5ns8lsGmzqrMsp+97eYRDq7C3Iz44ZuK6F2aorROhqJUoil4b85NGD&#10;cHD0lG26d1ASuth5iI71FbYBkLxgfWzM4dQY1Xsm6XI+f72YUMskhbJ0lk2yWEHkD48tOv9GQcvC&#10;puBIfY/gYn/rfCAj8oeUUMvAjW6a2PvGPLqgxHATyQe+g27fb/qjBRsoDyQDYRgl+ki0qQG/ctbR&#10;GBXcfdkJVJw1bw1ZsUin0zB38TDNZkEFnkc25xFhJEEV3HM2bK/9MKs7i3pbU6U0yjJwRfZVOkoL&#10;1g6sjrxpVKLi41iHWTw/x6y/X3n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vysprcAAAACwEA&#10;AA8AAAAAAAAAAQAgAAAAIgAAAGRycy9kb3ducmV2LnhtbFBLAQIUABQAAAAIAIdO4kCA4yNjFgIA&#10;ABIEAAAOAAAAAAAAAAEAIAAAACsBAABkcnMvZTJvRG9jLnhtbFBLBQYAAAAABgAGAFkBAACzBQAA&#10;AAA=&#10;">
                <v:fill on="f" focussize="0,0"/>
                <v:stroke on="f"/>
                <v:imagedata o:title=""/>
                <o:lock v:ext="edit" aspectratio="f"/>
                <v:textbox>
                  <w:txbxContent>
                    <w:p w14:paraId="62EE6F52">
                      <w:pPr>
                        <w:rPr>
                          <w:rFonts w:ascii="Times New Roman" w:hAnsi="Times New Roman" w:cs="Times New Roman"/>
                          <w:b/>
                          <w:bCs/>
                          <w:color w:val="EE0000"/>
                          <w:sz w:val="28"/>
                          <w:szCs w:val="22"/>
                        </w:rPr>
                      </w:pPr>
                      <w:r>
                        <w:rPr>
                          <w:rFonts w:hint="eastAsia" w:ascii="Times New Roman" w:hAnsi="Times New Roman" w:cs="Times New Roman"/>
                          <w:b/>
                          <w:bCs/>
                          <w:color w:val="EE0000"/>
                          <w:sz w:val="28"/>
                          <w:szCs w:val="22"/>
                          <w:lang w:eastAsia="zh-CN"/>
                        </w:rPr>
                        <w:t>50</w:t>
                      </w:r>
                      <w:r>
                        <w:rPr>
                          <w:rFonts w:ascii="Times New Roman" w:hAnsi="Times New Roman" w:cs="Times New Roman"/>
                          <w:b/>
                          <w:bCs/>
                          <w:color w:val="EE0000"/>
                          <w:sz w:val="28"/>
                          <w:szCs w:val="22"/>
                          <w:lang w:eastAsia="zh-CN"/>
                        </w:rPr>
                        <w:t>00m</w:t>
                      </w:r>
                      <w:r>
                        <w:rPr>
                          <w:rFonts w:ascii="Times New Roman" w:hAnsi="Times New Roman" w:cs="Times New Roman"/>
                          <w:b/>
                          <w:bCs/>
                          <w:color w:val="EE0000"/>
                          <w:sz w:val="28"/>
                          <w:szCs w:val="22"/>
                          <w:lang w:eastAsia="zh-CN"/>
                        </w:rPr>
                        <w:drawing>
                          <wp:inline distT="0" distB="0" distL="0" distR="0">
                            <wp:extent cx="1485900" cy="114300"/>
                            <wp:effectExtent l="0" t="0" r="0" b="0"/>
                            <wp:docPr id="100735054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350549" name="图片 1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1485900" cy="114300"/>
                                    </a:xfrm>
                                    <a:prstGeom prst="rect">
                                      <a:avLst/>
                                    </a:prstGeom>
                                    <a:noFill/>
                                    <a:ln>
                                      <a:noFill/>
                                    </a:ln>
                                  </pic:spPr>
                                </pic:pic>
                              </a:graphicData>
                            </a:graphic>
                          </wp:inline>
                        </w:drawing>
                      </w:r>
                    </w:p>
                  </w:txbxContent>
                </v:textbox>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62688" behindDoc="0" locked="0" layoutInCell="1" allowOverlap="1">
                <wp:simplePos x="0" y="0"/>
                <wp:positionH relativeFrom="column">
                  <wp:posOffset>6669405</wp:posOffset>
                </wp:positionH>
                <wp:positionV relativeFrom="paragraph">
                  <wp:posOffset>5326380</wp:posOffset>
                </wp:positionV>
                <wp:extent cx="197485" cy="199390"/>
                <wp:effectExtent l="0" t="0" r="12065" b="10160"/>
                <wp:wrapNone/>
                <wp:docPr id="753949619" name="椭圆 5168"/>
                <wp:cNvGraphicFramePr/>
                <a:graphic xmlns:a="http://schemas.openxmlformats.org/drawingml/2006/main">
                  <a:graphicData uri="http://schemas.microsoft.com/office/word/2010/wordprocessingShape">
                    <wps:wsp>
                      <wps:cNvSpPr>
                        <a:spLocks noChangeArrowheads="1"/>
                      </wps:cNvSpPr>
                      <wps:spPr bwMode="auto">
                        <a:xfrm>
                          <a:off x="0" y="0"/>
                          <a:ext cx="197510" cy="199390"/>
                        </a:xfrm>
                        <a:prstGeom prst="ellipse">
                          <a:avLst/>
                        </a:prstGeom>
                        <a:noFill/>
                        <a:ln w="19050" algn="ctr">
                          <a:solidFill>
                            <a:srgbClr val="FFFF00"/>
                          </a:solidFill>
                          <a:round/>
                        </a:ln>
                        <a:effectLst/>
                      </wps:spPr>
                      <wps:bodyPr rot="0" vert="horz" wrap="square" lIns="91440" tIns="45720" rIns="91440" bIns="45720" anchor="t" anchorCtr="0" upright="1">
                        <a:noAutofit/>
                      </wps:bodyPr>
                    </wps:wsp>
                  </a:graphicData>
                </a:graphic>
              </wp:anchor>
            </w:drawing>
          </mc:Choice>
          <mc:Fallback>
            <w:pict>
              <v:shape id="椭圆 5168" o:spid="_x0000_s1026" o:spt="3" type="#_x0000_t3" style="position:absolute;left:0pt;margin-left:525.15pt;margin-top:419.4pt;height:15.7pt;width:15.55pt;z-index:251762688;mso-width-relative:page;mso-height-relative:page;" filled="f" stroked="t" coordsize="21600,21600" o:gfxdata="UEsDBAoAAAAAAIdO4kAAAAAAAAAAAAAAAAAEAAAAZHJzL1BLAwQUAAAACACHTuJAGgJOMdoAAAAN&#10;AQAADwAAAGRycy9kb3ducmV2LnhtbE2PzU7DMBCE70i8g7VIXFBrpyVgQpweinpCHCgcenSTJT/E&#10;6yh2m/bt2Z7ocWY/zc7kq5PrxRHH0HoykMwVCKTSVy3VBr6/NjMNIkRLle09oYEzBlgVtze5zSo/&#10;0Scet7EWHEIhswaaGIdMylA26GyY+wGJbz9+dDayHGtZjXbicNfLhVJP0tmW+ENjB1w3WP5uD87A&#10;Ognnro46fX/ZbeLbR9o9TLYz5v4uUa8gIp7iPwyX+lwdCu609weqguhZq1QtmTWgl5pHXBClk0cQ&#10;e7ae1QJkkcvrFcUfUEsDBBQAAAAIAIdO4kCooSnFQQIAAGAEAAAOAAAAZHJzL2Uyb0RvYy54bWyt&#10;VMFu2zAMvQ/YPwi6r47TpKmNOkXRosOAbivQ7QMUWbaFyaJGKXG6D9hX7NjrPmv7jlFykrXdpYfl&#10;YIgi+cj3SOXsfNsbtlHoNdiK50cTzpSVUGvbVvzzp+s3p5z5IGwtDFhV8Xvl+fny9auzwZVqCh2Y&#10;WiEjEOvLwVW8C8GVWeZlp3rhj8ApS84GsBeBTGyzGsVA6L3JppPJSTYA1g5BKu/p9mp08h0ivgQQ&#10;mkZLdQVy3SsbRlRURgSi5DvtPF+mbptGyfCxabwKzFScmIb0pSJ0XsVvtjwTZYvCdVruWhAvaeEZ&#10;p15oS0UPUFciCLZG/Q9UryWChyYcSeizkUhShFjkk2fa3HXCqcSFpPbuILr/f7Dyw+YWma4rvpgf&#10;F7PiJC84s6Knwf9++Pnrx3c2z09Oo0yD8yVF37lbjES9uwH5xTMLl52wrbpAhKFToqbm8hifPUmI&#10;hqdUthreQ03oYh0gKbZtsI+ApAXbpsHcHwajtoFJusyLxTynkUly5UVxXKTBZaLcJzv04a2CnsVD&#10;xZUxtAVROlGKzY0PsR9R7qPitYVrbUwav7FsiLiTOZUQpqVnIQOmZA9G1zEwUcZ2dWmQbQQt0zX9&#10;Jvs2noQhrG09FjQ25qm0h7su9kKMgq6gvidREMbFpGdJhw7wG2cDLWXF/de1QMWZeWdJ2CKfzeIW&#10;J2M2X0zJwMee1WOPsJKgKh6IVTpehnHz1w5121GlPJG0cEHDaHRSKfY3drUbIS1eEm/3SOJmP7ZT&#10;1N8/hu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GgJOMdoAAAANAQAADwAAAAAAAAABACAAAAAi&#10;AAAAZHJzL2Rvd25yZXYueG1sUEsBAhQAFAAAAAgAh07iQKihKcVBAgAAYAQAAA4AAAAAAAAAAQAg&#10;AAAAKQEAAGRycy9lMm9Eb2MueG1sUEsFBgAAAAAGAAYAWQEAANwFAAAAAA==&#10;">
                <v:fill on="f" focussize="0,0"/>
                <v:stroke weight="1.5pt" color="#FFFF00" joinstyle="round"/>
                <v:imagedata o:title=""/>
                <o:lock v:ext="edit" aspectratio="f"/>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61664" behindDoc="0" locked="0" layoutInCell="1" allowOverlap="1">
                <wp:simplePos x="0" y="0"/>
                <wp:positionH relativeFrom="column">
                  <wp:posOffset>6607175</wp:posOffset>
                </wp:positionH>
                <wp:positionV relativeFrom="paragraph">
                  <wp:posOffset>5074285</wp:posOffset>
                </wp:positionV>
                <wp:extent cx="257175" cy="160020"/>
                <wp:effectExtent l="19050" t="19050" r="28575" b="11430"/>
                <wp:wrapNone/>
                <wp:docPr id="1848777865" name="矩形 5167"/>
                <wp:cNvGraphicFramePr/>
                <a:graphic xmlns:a="http://schemas.openxmlformats.org/drawingml/2006/main">
                  <a:graphicData uri="http://schemas.microsoft.com/office/word/2010/wordprocessingShape">
                    <wps:wsp>
                      <wps:cNvSpPr>
                        <a:spLocks noChangeArrowheads="1"/>
                      </wps:cNvSpPr>
                      <wps:spPr bwMode="auto">
                        <a:xfrm>
                          <a:off x="0" y="0"/>
                          <a:ext cx="257175" cy="160020"/>
                        </a:xfrm>
                        <a:prstGeom prst="rect">
                          <a:avLst/>
                        </a:prstGeom>
                        <a:noFill/>
                        <a:ln w="28575" algn="ctr">
                          <a:solidFill>
                            <a:srgbClr val="2909E7"/>
                          </a:solidFill>
                          <a:miter lim="800000"/>
                        </a:ln>
                        <a:effectLst/>
                      </wps:spPr>
                      <wps:bodyPr rot="0" vert="horz" wrap="square" lIns="91440" tIns="45720" rIns="91440" bIns="45720" anchor="t" anchorCtr="0" upright="1">
                        <a:noAutofit/>
                      </wps:bodyPr>
                    </wps:wsp>
                  </a:graphicData>
                </a:graphic>
              </wp:anchor>
            </w:drawing>
          </mc:Choice>
          <mc:Fallback>
            <w:pict>
              <v:rect id="矩形 5167" o:spid="_x0000_s1026" o:spt="1" style="position:absolute;left:0pt;margin-left:520.25pt;margin-top:399.55pt;height:12.6pt;width:20.25pt;z-index:251761664;mso-width-relative:page;mso-height-relative:page;" filled="f" stroked="t" coordsize="21600,21600" o:gfxdata="UEsDBAoAAAAAAIdO4kAAAAAAAAAAAAAAAAAEAAAAZHJzL1BLAwQUAAAACACHTuJAwp1dM9wAAAAN&#10;AQAADwAAAGRycy9kb3ducmV2LnhtbE2Py07DMBBF90j8gzVI7KidptA0xKkQEmIBqtRSsXbjIQmN&#10;x1Hs9MHXM13B8mqO7pxbLE+uEwccQutJQzJRIJAqb1uqNWw/Xu4yECEasqbzhBrOGGBZXl8VJrf+&#10;SGs8bGItuIRCbjQ0Mfa5lKFq0Jkw8T0S37784EzkONTSDubI5a6TU6UepDMt8YfG9PjcYLXfjE7D&#10;k6rfP9PvbJy/njFd/aTbtXvba317k6hHEBFP8Q+Giz6rQ8lOOz+SDaLjrGbqnlkN88UiAXFBVJbw&#10;vp2GbDpLQZaF/L+i/AVQSwMEFAAAAAgAh07iQBHMIK9KAgAAawQAAA4AAABkcnMvZTJvRG9jLnht&#10;bK1UwW7UMBC9I/EPlu80yWp3s42araqWIqQClQof4HWcxMLxmLF3s+VnkLjxEXwO4jcYO9vSlksP&#10;5GDZnvGbeW9mcnK6HwzbKfQabM2Lo5wzZSU02nY1//Tx8tWKMx+EbYQBq2p+qzw/Xb98cTK6Ss2g&#10;B9MoZARifTW6mvchuCrLvOzVIPwROGXJ2AIOItARu6xBMRL6YLJZni+zEbBxCFJ5T7cXk5EfEPE5&#10;gNC2WqoLkNtB2TChojIiECXfa+f5OmXbtkqGD23rVWCm5sQ0pJWC0H4T12x9IqoOheu1PKQgnpPC&#10;E06D0JaC3kNdiCDYFvU/UIOWCB7acCRhyCYiSRFiUeRPtLnphVOJC0nt3b3o/v/Byve7a2S6oU5Y&#10;zVdlWa6WC86sGKjyv7/9+PXzO1sUyzLqNDpfkfuNu8bI1LsrkJ89s3DeC9upM0QYeyUayq6I/tmj&#10;B/Hg6SnbjO+gIXSxDZAk27c4REASg+1TZW7vK6P2gUm6nC3KoqTEJJmKZZ7PUuUyUd09dujDGwUD&#10;i5uaIxU+gYvdlQ8xGVHducRYFi61Man4xrKRAqwWEV+YjoZCBkyPPRjdRMfEF7vNuUG2E9RKs+P8&#10;+HVShYAfuQ060HgYPdR8lccvSSEqYyOISi15SOlOkknaDTS3JA/C1KM0obTpAb9yNlJ/1tx/2QpU&#10;nJm3liQ+Lubz2NDpMF+UpAjDh5bNQ4uwkqBqHohi2p6HaQi2DnXXU6QiMbZwRmVpdZIs5jdldSgm&#10;9WBS8jAvsckfnpPX33/E+g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CnV0z3AAAAA0BAAAPAAAA&#10;AAAAAAEAIAAAACIAAABkcnMvZG93bnJldi54bWxQSwECFAAUAAAACACHTuJAEcwgr0oCAABrBAAA&#10;DgAAAAAAAAABACAAAAArAQAAZHJzL2Uyb0RvYy54bWxQSwUGAAAAAAYABgBZAQAA5wUAAAAA&#10;">
                <v:fill on="f" focussize="0,0"/>
                <v:stroke weight="2.25pt" color="#2909E7" miterlimit="8" joinstyle="miter"/>
                <v:imagedata o:title=""/>
                <o:lock v:ext="edit" aspectratio="f"/>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60640" behindDoc="0" locked="0" layoutInCell="1" allowOverlap="1">
                <wp:simplePos x="0" y="0"/>
                <wp:positionH relativeFrom="column">
                  <wp:posOffset>6714490</wp:posOffset>
                </wp:positionH>
                <wp:positionV relativeFrom="paragraph">
                  <wp:posOffset>4841240</wp:posOffset>
                </wp:positionV>
                <wp:extent cx="134620" cy="125095"/>
                <wp:effectExtent l="0" t="0" r="0" b="8255"/>
                <wp:wrapNone/>
                <wp:docPr id="494575000" name="椭圆 5166"/>
                <wp:cNvGraphicFramePr/>
                <a:graphic xmlns:a="http://schemas.openxmlformats.org/drawingml/2006/main">
                  <a:graphicData uri="http://schemas.microsoft.com/office/word/2010/wordprocessingShape">
                    <wps:wsp>
                      <wps:cNvSpPr>
                        <a:spLocks noChangeArrowheads="1"/>
                      </wps:cNvSpPr>
                      <wps:spPr bwMode="auto">
                        <a:xfrm>
                          <a:off x="0" y="0"/>
                          <a:ext cx="134620" cy="125095"/>
                        </a:xfrm>
                        <a:prstGeom prst="ellipse">
                          <a:avLst/>
                        </a:prstGeom>
                        <a:solidFill>
                          <a:srgbClr val="EE0000"/>
                        </a:solidFill>
                        <a:ln w="9525" algn="ctr">
                          <a:noFill/>
                          <a:round/>
                        </a:ln>
                        <a:effectLst/>
                      </wps:spPr>
                      <wps:bodyPr rot="0" vert="horz" wrap="square" lIns="91440" tIns="45720" rIns="91440" bIns="45720" anchor="t" anchorCtr="0" upright="1">
                        <a:noAutofit/>
                      </wps:bodyPr>
                    </wps:wsp>
                  </a:graphicData>
                </a:graphic>
              </wp:anchor>
            </w:drawing>
          </mc:Choice>
          <mc:Fallback>
            <w:pict>
              <v:shape id="椭圆 5166" o:spid="_x0000_s1026" o:spt="3" type="#_x0000_t3" style="position:absolute;left:0pt;margin-left:528.7pt;margin-top:381.2pt;height:9.85pt;width:10.6pt;z-index:251760640;mso-width-relative:page;mso-height-relative:page;" fillcolor="#EE0000" filled="t" stroked="f" coordsize="21600,21600" o:gfxdata="UEsDBAoAAAAAAIdO4kAAAAAAAAAAAAAAAAAEAAAAZHJzL1BLAwQUAAAACACHTuJAWgQdEtgAAAAN&#10;AQAADwAAAGRycy9kb3ducmV2LnhtbE2PQU+EMBCF7yb+h2ZMvLktKJQgZQ8mJnoxEY1eC61ApFNC&#10;u4D/3tmT3ubNvLz5XnXc3cRWu4TRo4LkIIBZ7LwZsVfw/vZ4UwALUaPRk0er4McGONaXF5Uujd/w&#10;1a5N7BmFYCi1giHGueQ8dIN1Ohz8bJFuX35xOpJcem4WvVG4m3gqRM6dHpE+DHq2D4PtvpuTU/Dc&#10;7Pp2z5OP7Gn7XPElZlK2mVLXV4m4BxbtHv/McMYndKiJqfUnNIFNpEUm78irQOYpDWeLkEUOrKVV&#10;kSbA64r/b1H/AlBLAwQUAAAACACHTuJAkcPYg0ACAABfBAAADgAAAGRycy9lMm9Eb2MueG1srVTN&#10;btQwEL4j8Q6W7zTJslnYqNmq6g9CKlCp8ABex0ksHI8ZezdbHoCn6JErjwXPwdjZlqVceuAS2Z7x&#10;N9988znHJ7vBsK1Cr8HWvDjKOVNWQqNtV/NPHy9fvObMB2EbYcCqmt8qz09Wz58dj65SM+jBNAoZ&#10;gVhfja7mfQiuyjIvezUIfwROWQq2gIMItMUua1CMhD6YbJbni2wEbByCVN7T6fkU5HtEfAogtK2W&#10;6hzkZlA2TKiojAjUku+183yV2LatkuFD23oVmKk5dRrSl4rQeh2/2epYVB0K12u5pyCeQuFRT4PQ&#10;loo+QJ2LINgG9T9Qg5YIHtpwJGHIpkaSItRFkT/S5qYXTqVeSGrvHkT3/w9Wvt9eI9NNzefLefmq&#10;zHNSxoqBBv/r+4+fd99YWSwWUabR+Yqyb9w1xka9uwL52TMLZ72wnTpFhLFXoiFyRczP/roQN56u&#10;svX4DhpCF5sASbFdi0MEJC3YLg3m9mEwaheYpMPi5XwxI2KSQsWszJdlqiCq+8sOfXijYGBxUXNl&#10;DLkgSicqsb3yIfIR1X1W4g9GN5famLTBbn1mkG0F2eTigkRIzqAr/jDNWDbWfFnOSs6E6ej5yICp&#10;iIUIlcyEsLHNVM/YCK6SDfck7nWY9FxDc0uaIEy+pFdJix7wK2cjebLm/stGoOLMvLWk67KYz6OJ&#10;04amFSXBw8j6MCKsJKiaByKblmdhMv7Goe56qlTsuZ/SLFqdRIr8Jlb7CZLvknb7NxKNfbhPWX/+&#10;C6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WgQdEtgAAAANAQAADwAAAAAAAAABACAAAAAiAAAA&#10;ZHJzL2Rvd25yZXYueG1sUEsBAhQAFAAAAAgAh07iQJHD2INAAgAAXwQAAA4AAAAAAAAAAQAgAAAA&#10;JwEAAGRycy9lMm9Eb2MueG1sUEsFBgAAAAAGAAYAWQEAANkFAAAAAA==&#10;">
                <v:fill on="t" focussize="0,0"/>
                <v:stroke on="f" joinstyle="round"/>
                <v:imagedata o:title=""/>
                <o:lock v:ext="edit" aspectratio="f"/>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59616" behindDoc="0" locked="0" layoutInCell="1" allowOverlap="1">
                <wp:simplePos x="0" y="0"/>
                <wp:positionH relativeFrom="column">
                  <wp:posOffset>6510655</wp:posOffset>
                </wp:positionH>
                <wp:positionV relativeFrom="paragraph">
                  <wp:posOffset>4583430</wp:posOffset>
                </wp:positionV>
                <wp:extent cx="447675" cy="165735"/>
                <wp:effectExtent l="7620" t="10160" r="11430" b="5080"/>
                <wp:wrapNone/>
                <wp:docPr id="2035464114" name="矩形 5165"/>
                <wp:cNvGraphicFramePr/>
                <a:graphic xmlns:a="http://schemas.openxmlformats.org/drawingml/2006/main">
                  <a:graphicData uri="http://schemas.microsoft.com/office/word/2010/wordprocessingShape">
                    <wps:wsp>
                      <wps:cNvSpPr>
                        <a:spLocks noChangeArrowheads="1"/>
                      </wps:cNvSpPr>
                      <wps:spPr bwMode="auto">
                        <a:xfrm>
                          <a:off x="0" y="0"/>
                          <a:ext cx="447675" cy="165735"/>
                        </a:xfrm>
                        <a:prstGeom prst="rect">
                          <a:avLst/>
                        </a:prstGeom>
                        <a:noFill/>
                        <a:ln w="9525" algn="ctr">
                          <a:solidFill>
                            <a:srgbClr val="EE0000"/>
                          </a:solidFill>
                          <a:miter lim="800000"/>
                        </a:ln>
                        <a:effectLst/>
                      </wps:spPr>
                      <wps:bodyPr rot="0" vert="horz" wrap="square" lIns="91440" tIns="45720" rIns="91440" bIns="45720" anchor="t" anchorCtr="0" upright="1">
                        <a:noAutofit/>
                      </wps:bodyPr>
                    </wps:wsp>
                  </a:graphicData>
                </a:graphic>
              </wp:anchor>
            </w:drawing>
          </mc:Choice>
          <mc:Fallback>
            <w:pict>
              <v:rect id="矩形 5165" o:spid="_x0000_s1026" o:spt="1" style="position:absolute;left:0pt;margin-left:512.65pt;margin-top:360.9pt;height:13.05pt;width:35.25pt;z-index:251759616;mso-width-relative:page;mso-height-relative:page;" filled="f" stroked="t" coordsize="21600,21600" o:gfxdata="UEsDBAoAAAAAAIdO4kAAAAAAAAAAAAAAAAAEAAAAZHJzL1BLAwQUAAAACACHTuJAkRs9RdsAAAAN&#10;AQAADwAAAGRycy9kb3ducmV2LnhtbE2PzU7DMBCE70i8g7VIXBC1kyaUhjiVioQ4AAdaDhzdZIkj&#10;4nVkuz+8PdsT3HZ2R7Pf1KuTG8UBQxw8achmCgRS67uBeg0f26fbexAxGerM6Ak1/GCEVXN5UZuq&#10;80d6x8Mm9YJDKFZGg01pqqSMrUVn4sxPSHz78sGZxDL0sgvmyOFulLlSd9KZgfiDNRM+Wmy/N3un&#10;Yf65tevizT7fvJa5S2sZTPEStL6+ytQDiISn9GeGMz6jQ8NMO7+nLoqRtcrLOXs1LPKMS5wtalny&#10;tONVsViCbGr5v0XzC1BLAwQUAAAACACHTuJAgrslZkkCAABqBAAADgAAAGRycy9lMm9Eb2MueG1s&#10;rVRLbtswEN0X6B0I7htZjmwnQuQgyKcokLYB0h6ApiiJKMVhh7Tl9DIFuushepyi1+iQslM33WRR&#10;LQSOOHx8782Mzs63vWEbhV6DrXh+NOFMWQm1tm3FP364eXXCmQ/C1sKAVRV/UJ6fL1++OBtcqabQ&#10;gakVMgKxvhxcxbsQXJllXnaqF/4InLK02QD2IlCIbVajGAi9N9l0MplnA2DtEKTynr5ejZt8h4jP&#10;AYSm0VJdgVz3yoYRFZURgST5TjvPl4lt0ygZ3jeNV4GZipPSkN50Ca1X8Z0tz0TZonCdljsK4jkU&#10;nmjqhbZ06SPUlQiCrVH/A9VrieChCUcS+mwUkhwhFfnkiTf3nXAqaSGrvXs03f8/WPluc4dM1xWf&#10;To5nxbzI84IzK3qq/K+v33/++MZm+XwWfRqcLyn93t1hVOrdLchPnlm47IRt1QUiDJ0SNbHLY372&#10;14EYeDrKVsNbqAldrAMky7YN9hGQzGDbVJmHx8qobWCSPhbFYr6YcSZpi+gsjhOjTJT7ww59eK2g&#10;Z3FRcaTCJ3CxufUhkhHlPiXeZeFGG5OKbywbKn46mxK8MC3NhAyYznowuo55SS62q0uDbCOok66v&#10;J/QkkWTEYVqvA02H0X3FT2LOPsnYCKJSR+4Y7R0ZnV1B/UDuIIwtSgNKiw7wC2cDtWfF/ee1QMWZ&#10;eWPJ4dO8KGI/p6CYLaYU4OHO6nBHWElQFQ8kMS0vwzgDa4e67eimPCm2cEFVaXRyLPIbWe1qSS2Y&#10;jNyNS+zxwzhl/flFLH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kRs9RdsAAAANAQAADwAAAAAA&#10;AAABACAAAAAiAAAAZHJzL2Rvd25yZXYueG1sUEsBAhQAFAAAAAgAh07iQIK7JWZJAgAAagQAAA4A&#10;AAAAAAAAAQAgAAAAKgEAAGRycy9lMm9Eb2MueG1sUEsFBgAAAAAGAAYAWQEAAOUFAAAAAA==&#10;">
                <v:fill on="f" focussize="0,0"/>
                <v:stroke color="#EE0000" miterlimit="8" joinstyle="miter"/>
                <v:imagedata o:title=""/>
                <o:lock v:ext="edit" aspectratio="f"/>
              </v:rect>
            </w:pict>
          </mc:Fallback>
        </mc:AlternateContent>
      </w:r>
      <w:r>
        <w:rPr>
          <w:rFonts w:ascii="Times New Roman" w:hAnsi="Times New Roman" w:cs="Times New Roman"/>
          <w:color w:val="auto"/>
        </w:rPr>
        <mc:AlternateContent>
          <mc:Choice Requires="wps">
            <w:drawing>
              <wp:anchor distT="0" distB="0" distL="114300" distR="114300" simplePos="0" relativeHeight="251667456" behindDoc="0" locked="0" layoutInCell="1" allowOverlap="1">
                <wp:simplePos x="0" y="0"/>
                <wp:positionH relativeFrom="margin">
                  <wp:align>right</wp:align>
                </wp:positionH>
                <wp:positionV relativeFrom="paragraph">
                  <wp:posOffset>4257675</wp:posOffset>
                </wp:positionV>
                <wp:extent cx="2424430" cy="1284605"/>
                <wp:effectExtent l="0" t="0" r="0" b="0"/>
                <wp:wrapNone/>
                <wp:docPr id="1553666621" name="文本框 69"/>
                <wp:cNvGraphicFramePr/>
                <a:graphic xmlns:a="http://schemas.openxmlformats.org/drawingml/2006/main">
                  <a:graphicData uri="http://schemas.microsoft.com/office/word/2010/wordprocessingShape">
                    <wps:wsp>
                      <wps:cNvSpPr txBox="1">
                        <a:spLocks noChangeArrowheads="1"/>
                      </wps:cNvSpPr>
                      <wps:spPr bwMode="auto">
                        <a:xfrm>
                          <a:off x="0" y="0"/>
                          <a:ext cx="2424583" cy="1284605"/>
                        </a:xfrm>
                        <a:prstGeom prst="rect">
                          <a:avLst/>
                        </a:prstGeom>
                        <a:solidFill>
                          <a:srgbClr val="FFFFFF"/>
                        </a:solidFill>
                        <a:ln>
                          <a:noFill/>
                        </a:ln>
                        <a:effectLst/>
                      </wps:spPr>
                      <wps:txbx>
                        <w:txbxContent>
                          <w:p w14:paraId="22061D23">
                            <w:pPr>
                              <w:spacing w:line="288" w:lineRule="auto"/>
                              <w:ind w:firstLine="482"/>
                              <w:jc w:val="center"/>
                              <w:rPr>
                                <w:b/>
                                <w:bCs/>
                                <w:color w:val="EE0000"/>
                                <w:lang w:eastAsia="zh-CN"/>
                              </w:rPr>
                            </w:pPr>
                            <w:r>
                              <w:rPr>
                                <w:rFonts w:hint="eastAsia"/>
                                <w:b/>
                                <w:bCs/>
                                <w:color w:val="EE0000"/>
                                <w:lang w:eastAsia="zh-CN"/>
                              </w:rPr>
                              <w:t>图例</w:t>
                            </w:r>
                          </w:p>
                          <w:p w14:paraId="5F9896FD">
                            <w:pPr>
                              <w:spacing w:line="288" w:lineRule="auto"/>
                              <w:ind w:firstLine="482"/>
                              <w:jc w:val="center"/>
                              <w:rPr>
                                <w:b/>
                                <w:bCs/>
                                <w:color w:val="EE0000"/>
                                <w:lang w:eastAsia="zh-CN"/>
                              </w:rPr>
                            </w:pPr>
                            <w:r>
                              <w:rPr>
                                <w:rFonts w:hint="eastAsia"/>
                                <w:b/>
                                <w:bCs/>
                                <w:color w:val="EE0000"/>
                                <w:lang w:eastAsia="zh-CN"/>
                              </w:rPr>
                              <w:t xml:space="preserve"> 拟建项目厂址</w:t>
                            </w:r>
                          </w:p>
                          <w:p w14:paraId="7BE5487D">
                            <w:pPr>
                              <w:spacing w:line="288" w:lineRule="auto"/>
                              <w:ind w:firstLine="482"/>
                              <w:jc w:val="center"/>
                              <w:rPr>
                                <w:b/>
                                <w:bCs/>
                                <w:color w:val="EE0000"/>
                                <w:lang w:eastAsia="zh-CN"/>
                              </w:rPr>
                            </w:pPr>
                            <w:r>
                              <w:rPr>
                                <w:rFonts w:hint="eastAsia"/>
                                <w:b/>
                                <w:bCs/>
                                <w:color w:val="EE0000"/>
                                <w:lang w:eastAsia="zh-CN"/>
                              </w:rPr>
                              <w:t xml:space="preserve">   大气、风险环境保护目标</w:t>
                            </w:r>
                          </w:p>
                          <w:p w14:paraId="261AE8C9">
                            <w:pPr>
                              <w:spacing w:line="288" w:lineRule="auto"/>
                              <w:ind w:firstLine="482"/>
                              <w:jc w:val="center"/>
                              <w:rPr>
                                <w:b/>
                                <w:bCs/>
                                <w:color w:val="EE0000"/>
                                <w:lang w:eastAsia="zh-CN"/>
                              </w:rPr>
                            </w:pPr>
                            <w:r>
                              <w:rPr>
                                <w:rFonts w:hint="eastAsia"/>
                                <w:b/>
                                <w:bCs/>
                                <w:color w:val="EE0000"/>
                                <w:lang w:eastAsia="zh-CN"/>
                              </w:rPr>
                              <w:t>大气环境评价范围</w:t>
                            </w:r>
                          </w:p>
                          <w:p w14:paraId="716126C8">
                            <w:pPr>
                              <w:spacing w:line="288" w:lineRule="auto"/>
                              <w:ind w:firstLine="482"/>
                              <w:jc w:val="center"/>
                              <w:rPr>
                                <w:b/>
                                <w:bCs/>
                                <w:color w:val="EE0000"/>
                                <w:lang w:eastAsia="zh-CN"/>
                              </w:rPr>
                            </w:pPr>
                            <w:r>
                              <w:rPr>
                                <w:rFonts w:hint="eastAsia"/>
                                <w:b/>
                                <w:bCs/>
                                <w:color w:val="EE0000"/>
                                <w:lang w:eastAsia="zh-CN"/>
                              </w:rPr>
                              <w:t>环境风险评价范围</w:t>
                            </w:r>
                          </w:p>
                        </w:txbxContent>
                      </wps:txbx>
                      <wps:bodyPr rot="0" vert="horz" wrap="square" lIns="91440" tIns="45720" rIns="91440" bIns="45720" anchor="t" anchorCtr="0" upright="1">
                        <a:noAutofit/>
                      </wps:bodyPr>
                    </wps:wsp>
                  </a:graphicData>
                </a:graphic>
              </wp:anchor>
            </w:drawing>
          </mc:Choice>
          <mc:Fallback>
            <w:pict>
              <v:shape id="文本框 69" o:spid="_x0000_s1026" o:spt="202" type="#_x0000_t202" style="position:absolute;left:0pt;margin-top:335.25pt;height:101.15pt;width:190.9pt;mso-position-horizontal:right;mso-position-horizontal-relative:margin;z-index:251667456;mso-width-relative:page;mso-height-relative:page;" fillcolor="#FFFFFF" filled="t" stroked="f" coordsize="21600,21600" o:gfxdata="UEsDBAoAAAAAAIdO4kAAAAAAAAAAAAAAAAAEAAAAZHJzL1BLAwQUAAAACACHTuJAvkRLRdcAAAAI&#10;AQAADwAAAGRycy9kb3ducmV2LnhtbE2Py07DMBBF90j8gzVIbBC1U2gS0jiVQAKx7eMDnHiaRI3H&#10;Uew27d8zrGA5uqN7zyk3VzeIC06h96QhWSgQSI23PbUaDvvP5xxEiIasGTyhhhsG2FT3d6UprJ9p&#10;i5ddbAWXUCiMhi7GsZAyNB06ExZ+ROLs6CdnIp9TK+1kZi53g1wqlUpneuKFzoz40WFz2p2dhuP3&#10;/LR6m+uveMi2r+m76bPa37R+fEjUGkTEa/x7hl98RoeKmWp/JhvEoIFFooY0UysQHL/kCZvUGvJs&#10;mYOsSvlfoPoBUEsDBBQAAAAIAIdO4kDyOakOOgIAAFcEAAAOAAAAZHJzL2Uyb0RvYy54bWytVM1u&#10;2zAMvg/YOwi6L07cJGuNOEWXIMOA7gfo9gCKLMfCbFGjlNjdA6xvsNMuu++58hyjZLfLuksP88EQ&#10;RfIjv4+0F5ddU7ODQqfB5HwyGnOmjIRCm13OP33cvDjnzHlhClGDUTm/VY5fLp8/W7Q2UylUUBcK&#10;GYEYl7U255X3NksSJyvVCDcCqww5S8BGeDJxlxQoWkJv6iQdj+dJC1hYBKmco9t17+QDIj4FEMpS&#10;S7UGuW+U8T0qqlp4ouQqbR1fxm7LUkn/viyd8qzOOTH18U1F6LwN72S5ENkOha20HFoQT2nhEadG&#10;aENFH6DWwgu2R/0PVKMlgoPSjyQ0SU8kKkIsJuNH2txUwqrIhaR29kF09/9g5bvDB2S6oE2Yzc7m&#10;9KQTzoxoaPLH73fHH7+OP7+x+UUQqrUuo/gbSxm+ewUdJUXSzl6D/OyYgVUlzE5dIUJbKVFQo5OQ&#10;mZyk9jgugGzbt1BQIbH3EIG6EpugIunCCJ2GdPswJNV5JukynabT2fkZZ5J8k/R8Oh/PYg2R3adb&#10;dP61goaFQ86RtiDCi8O186Edkd2HhGoOal1sdF1HA3fbVY3sIGhjNvEZ0P8Kq00INhDSesT+RsWd&#10;G8oE1oFoT9l3225QcQvFLfFH6PeRvkY6VIBfOWtpF3PuvuwFKs7qN4Y0vJhMp2F5ozGdvUzJwFPP&#10;9tQjjCSonHvO+uPK9wu/t6h3FVXqp2bginQvdVQktNp3NUyL9i0KNXwbYaFP7Rj153+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REtF1wAAAAgBAAAPAAAAAAAAAAEAIAAAACIAAABkcnMvZG93&#10;bnJldi54bWxQSwECFAAUAAAACACHTuJA8jmpDjoCAABXBAAADgAAAAAAAAABACAAAAAmAQAAZHJz&#10;L2Uyb0RvYy54bWxQSwUGAAAAAAYABgBZAQAA0gUAAAAA&#10;">
                <v:fill on="t" focussize="0,0"/>
                <v:stroke on="f"/>
                <v:imagedata o:title=""/>
                <o:lock v:ext="edit" aspectratio="f"/>
                <v:textbox>
                  <w:txbxContent>
                    <w:p w14:paraId="22061D23">
                      <w:pPr>
                        <w:spacing w:line="288" w:lineRule="auto"/>
                        <w:ind w:firstLine="482"/>
                        <w:jc w:val="center"/>
                        <w:rPr>
                          <w:b/>
                          <w:bCs/>
                          <w:color w:val="EE0000"/>
                          <w:lang w:eastAsia="zh-CN"/>
                        </w:rPr>
                      </w:pPr>
                      <w:r>
                        <w:rPr>
                          <w:rFonts w:hint="eastAsia"/>
                          <w:b/>
                          <w:bCs/>
                          <w:color w:val="EE0000"/>
                          <w:lang w:eastAsia="zh-CN"/>
                        </w:rPr>
                        <w:t>图例</w:t>
                      </w:r>
                    </w:p>
                    <w:p w14:paraId="5F9896FD">
                      <w:pPr>
                        <w:spacing w:line="288" w:lineRule="auto"/>
                        <w:ind w:firstLine="482"/>
                        <w:jc w:val="center"/>
                        <w:rPr>
                          <w:b/>
                          <w:bCs/>
                          <w:color w:val="EE0000"/>
                          <w:lang w:eastAsia="zh-CN"/>
                        </w:rPr>
                      </w:pPr>
                      <w:r>
                        <w:rPr>
                          <w:rFonts w:hint="eastAsia"/>
                          <w:b/>
                          <w:bCs/>
                          <w:color w:val="EE0000"/>
                          <w:lang w:eastAsia="zh-CN"/>
                        </w:rPr>
                        <w:t xml:space="preserve"> 拟建项目厂址</w:t>
                      </w:r>
                    </w:p>
                    <w:p w14:paraId="7BE5487D">
                      <w:pPr>
                        <w:spacing w:line="288" w:lineRule="auto"/>
                        <w:ind w:firstLine="482"/>
                        <w:jc w:val="center"/>
                        <w:rPr>
                          <w:b/>
                          <w:bCs/>
                          <w:color w:val="EE0000"/>
                          <w:lang w:eastAsia="zh-CN"/>
                        </w:rPr>
                      </w:pPr>
                      <w:r>
                        <w:rPr>
                          <w:rFonts w:hint="eastAsia"/>
                          <w:b/>
                          <w:bCs/>
                          <w:color w:val="EE0000"/>
                          <w:lang w:eastAsia="zh-CN"/>
                        </w:rPr>
                        <w:t xml:space="preserve">   大气、风险环境保护目标</w:t>
                      </w:r>
                    </w:p>
                    <w:p w14:paraId="261AE8C9">
                      <w:pPr>
                        <w:spacing w:line="288" w:lineRule="auto"/>
                        <w:ind w:firstLine="482"/>
                        <w:jc w:val="center"/>
                        <w:rPr>
                          <w:b/>
                          <w:bCs/>
                          <w:color w:val="EE0000"/>
                          <w:lang w:eastAsia="zh-CN"/>
                        </w:rPr>
                      </w:pPr>
                      <w:r>
                        <w:rPr>
                          <w:rFonts w:hint="eastAsia"/>
                          <w:b/>
                          <w:bCs/>
                          <w:color w:val="EE0000"/>
                          <w:lang w:eastAsia="zh-CN"/>
                        </w:rPr>
                        <w:t>大气环境评价范围</w:t>
                      </w:r>
                    </w:p>
                    <w:p w14:paraId="716126C8">
                      <w:pPr>
                        <w:spacing w:line="288" w:lineRule="auto"/>
                        <w:ind w:firstLine="482"/>
                        <w:jc w:val="center"/>
                        <w:rPr>
                          <w:b/>
                          <w:bCs/>
                          <w:color w:val="EE0000"/>
                          <w:lang w:eastAsia="zh-CN"/>
                        </w:rPr>
                      </w:pPr>
                      <w:r>
                        <w:rPr>
                          <w:rFonts w:hint="eastAsia"/>
                          <w:b/>
                          <w:bCs/>
                          <w:color w:val="EE0000"/>
                          <w:lang w:eastAsia="zh-CN"/>
                        </w:rPr>
                        <w:t>环境风险评价范围</w:t>
                      </w:r>
                    </w:p>
                  </w:txbxContent>
                </v:textbox>
              </v:shape>
            </w:pict>
          </mc:Fallback>
        </mc:AlternateContent>
      </w:r>
      <w:r>
        <w:rPr>
          <w:snapToGrid/>
        </w:rPr>
        <w:drawing>
          <wp:inline distT="0" distB="0" distL="0" distR="0">
            <wp:extent cx="8862060" cy="5557520"/>
            <wp:effectExtent l="0" t="0" r="0" b="5080"/>
            <wp:docPr id="3733619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61963" name="图片 1"/>
                    <pic:cNvPicPr>
                      <a:picLocks noChangeAspect="1"/>
                    </pic:cNvPicPr>
                  </pic:nvPicPr>
                  <pic:blipFill>
                    <a:blip r:embed="rId61"/>
                    <a:stretch>
                      <a:fillRect/>
                    </a:stretch>
                  </pic:blipFill>
                  <pic:spPr>
                    <a:xfrm>
                      <a:off x="0" y="0"/>
                      <a:ext cx="8883114" cy="5570560"/>
                    </a:xfrm>
                    <a:prstGeom prst="rect">
                      <a:avLst/>
                    </a:prstGeom>
                  </pic:spPr>
                </pic:pic>
              </a:graphicData>
            </a:graphic>
          </wp:inline>
        </w:drawing>
      </w:r>
    </w:p>
    <w:p w14:paraId="65F5CDB1">
      <w:pPr>
        <w:tabs>
          <w:tab w:val="center" w:pos="6979"/>
        </w:tabs>
        <w:rPr>
          <w:rFonts w:ascii="Times New Roman" w:hAnsi="Times New Roman" w:eastAsia="新宋体" w:cs="Times New Roman"/>
          <w:szCs w:val="24"/>
          <w:lang w:eastAsia="zh-CN"/>
        </w:rPr>
        <w:sectPr>
          <w:headerReference r:id="rId19" w:type="first"/>
          <w:headerReference r:id="rId17" w:type="default"/>
          <w:footerReference r:id="rId20" w:type="default"/>
          <w:headerReference r:id="rId18" w:type="even"/>
          <w:pgSz w:w="16838" w:h="11906" w:orient="landscape"/>
          <w:pgMar w:top="1080" w:right="1440" w:bottom="1080" w:left="1440" w:header="851" w:footer="992" w:gutter="0"/>
          <w:cols w:space="720" w:num="1"/>
          <w:docGrid w:type="lines" w:linePitch="312" w:charSpace="0"/>
        </w:sectPr>
      </w:pPr>
      <w:r>
        <w:rPr>
          <w:rFonts w:ascii="Times New Roman" w:hAnsi="Times New Roman" w:cs="Times New Roman"/>
          <w:color w:val="auto"/>
        </w:rPr>
        <mc:AlternateContent>
          <mc:Choice Requires="wps">
            <w:drawing>
              <wp:anchor distT="0" distB="0" distL="114300" distR="114300" simplePos="0" relativeHeight="251668480" behindDoc="0" locked="0" layoutInCell="1" allowOverlap="1">
                <wp:simplePos x="0" y="0"/>
                <wp:positionH relativeFrom="margin">
                  <wp:posOffset>3554730</wp:posOffset>
                </wp:positionH>
                <wp:positionV relativeFrom="paragraph">
                  <wp:posOffset>162560</wp:posOffset>
                </wp:positionV>
                <wp:extent cx="2357755" cy="346710"/>
                <wp:effectExtent l="0" t="0" r="0" b="0"/>
                <wp:wrapNone/>
                <wp:docPr id="1951586669" name="文本框 51"/>
                <wp:cNvGraphicFramePr/>
                <a:graphic xmlns:a="http://schemas.openxmlformats.org/drawingml/2006/main">
                  <a:graphicData uri="http://schemas.microsoft.com/office/word/2010/wordprocessingShape">
                    <wps:wsp>
                      <wps:cNvSpPr txBox="1"/>
                      <wps:spPr>
                        <a:xfrm>
                          <a:off x="0" y="0"/>
                          <a:ext cx="2357851" cy="346710"/>
                        </a:xfrm>
                        <a:prstGeom prst="rect">
                          <a:avLst/>
                        </a:prstGeom>
                        <a:noFill/>
                        <a:ln w="6350">
                          <a:noFill/>
                        </a:ln>
                      </wps:spPr>
                      <wps:txbx>
                        <w:txbxContent>
                          <w:p w14:paraId="707EF3CE">
                            <w:pPr>
                              <w:jc w:val="center"/>
                              <w:rPr>
                                <w:rFonts w:ascii="Times New Roman" w:hAnsi="Times New Roman" w:cs="Times New Roman"/>
                                <w:b/>
                                <w:bCs/>
                                <w:lang w:eastAsia="zh-CN"/>
                              </w:rPr>
                            </w:pPr>
                            <w:r>
                              <w:rPr>
                                <w:rFonts w:ascii="Times New Roman" w:hAnsi="Times New Roman" w:cs="Times New Roman"/>
                                <w:b/>
                                <w:bCs/>
                                <w:lang w:eastAsia="zh-CN"/>
                              </w:rPr>
                              <w:t>图2.6-</w:t>
                            </w:r>
                            <w:r>
                              <w:rPr>
                                <w:rFonts w:hint="eastAsia" w:ascii="Times New Roman" w:hAnsi="Times New Roman" w:cs="Times New Roman"/>
                                <w:b/>
                                <w:bCs/>
                                <w:lang w:eastAsia="zh-CN"/>
                              </w:rPr>
                              <w:t>2</w:t>
                            </w:r>
                            <w:r>
                              <w:rPr>
                                <w:rFonts w:ascii="Times New Roman" w:hAnsi="Times New Roman" w:cs="Times New Roman"/>
                                <w:b/>
                                <w:bCs/>
                                <w:lang w:eastAsia="zh-CN"/>
                              </w:rPr>
                              <w:t xml:space="preserve"> 环境保护目标图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51" o:spid="_x0000_s1026" o:spt="202" type="#_x0000_t202" style="position:absolute;left:0pt;margin-left:279.9pt;margin-top:12.8pt;height:27.3pt;width:185.65pt;mso-position-horizontal-relative:margin;z-index:251668480;mso-width-relative:page;mso-height-relative:page;" filled="f" stroked="f" coordsize="21600,21600" o:gfxdata="UEsDBAoAAAAAAIdO4kAAAAAAAAAAAAAAAAAEAAAAZHJzL1BLAwQUAAAACACHTuJA2Rk++doAAAAJ&#10;AQAADwAAAGRycy9kb3ducmV2LnhtbE2PzU7DMBCE70i8g7VI3KidoFRpyKZCkSokBIeWXrhtYjeJ&#10;iNchdn/g6TEnOI5mNPNNub7YUZzM7AfHCMlCgTDcOj1wh7B/29zlIHwg1jQ6NghfxsO6ur4qqdDu&#10;zFtz2oVOxBL2BSH0IUyFlL7tjSW/cJPh6B3cbClEOXdSz3SO5XaUqVJLaWnguNDTZOretB+7o0V4&#10;rjevtG1Sm3+P9dPL4XH63L9niLc3iXoAEcwl/IXhFz+iQxWZGndk7cWIkGWriB4Q0mwJIgZW90kC&#10;okHIVQqyKuX/B9UPUEsDBBQAAAAIAIdO4kCxzulyQQIAAHAEAAAOAAAAZHJzL2Uyb0RvYy54bWyt&#10;VMtuEzEU3SPxD5b3ZPJuGnVShUZBSBWtVBBrx+PJjOQXttOZ8gHwB6zYsOe78h0ce5K0Kiy6YOO5&#10;vu9z7vVcXLZKknvhfG10Tge9PiVCc1PUepvTTx/Xb2aU+MB0waTRIqcPwtPLxetXF42di6GpjCyE&#10;I0ii/byxOa1CsPMs87wSivmesULDWBqnWMDVbbPCsQbZlcyG/f40a4wrrDNceA/tqjPSQ0b3koSm&#10;LGsuVobvlNChy+qEZAGQfFVbTxep27IUPNyUpReByJwCaUgnikDexDNbXLD51jFb1fzQAntJC88w&#10;KVZrFD2lWrHAyM7Vf6VSNXfGmzL0uFFZByQxAhSD/jNu7ipmRcICqr09ke7/X1r+4f7WkbrAJpxP&#10;BpPZdDo9p0Qzhcnvf3zf//y9//WNTAaRqMb6OfzvLCJC+9a0CDrqPZQRf1s6Fb9ARmAHzQ8nmkUb&#10;CIdyOJqczZCScNhG4+nZIM0he4y2zod3wigShZw6jDGxy+6vfUAncD26xGLarGsp0yilJk1Op6NJ&#10;PwWcLIiQGoERQ9drlEK7aQ/ANqZ4AC5nuhXxlq9rFL9mPtwyh50AFLyacIOjlAZFzEGipDLu67/0&#10;0R+jgpWSBjuWU/9lx5ygRL7XGOL5YDyOS5ku48nZEBf31LJ5atE7dWWwxiAO3SUx+gd5FEtn1Gc8&#10;rmWsChPTHLVzGo7iVeg2H4+Ti+UyOWENLQvX+s7ymLqjc7kLpqwT05GmjpsDe1jENIDDo4mb/vSe&#10;vB5/FIs/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2Rk++doAAAAJAQAADwAAAAAAAAABACAAAAAi&#10;AAAAZHJzL2Rvd25yZXYueG1sUEsBAhQAFAAAAAgAh07iQLHO6XJBAgAAcAQAAA4AAAAAAAAAAQAg&#10;AAAAKQEAAGRycy9lMm9Eb2MueG1sUEsFBgAAAAAGAAYAWQEAANwFAAAAAA==&#10;">
                <v:fill on="f" focussize="0,0"/>
                <v:stroke on="f" weight="0.5pt"/>
                <v:imagedata o:title=""/>
                <o:lock v:ext="edit" aspectratio="f"/>
                <v:textbox>
                  <w:txbxContent>
                    <w:p w14:paraId="707EF3CE">
                      <w:pPr>
                        <w:jc w:val="center"/>
                        <w:rPr>
                          <w:rFonts w:ascii="Times New Roman" w:hAnsi="Times New Roman" w:cs="Times New Roman"/>
                          <w:b/>
                          <w:bCs/>
                          <w:lang w:eastAsia="zh-CN"/>
                        </w:rPr>
                      </w:pPr>
                      <w:r>
                        <w:rPr>
                          <w:rFonts w:ascii="Times New Roman" w:hAnsi="Times New Roman" w:cs="Times New Roman"/>
                          <w:b/>
                          <w:bCs/>
                          <w:lang w:eastAsia="zh-CN"/>
                        </w:rPr>
                        <w:t>图2.6-</w:t>
                      </w:r>
                      <w:r>
                        <w:rPr>
                          <w:rFonts w:hint="eastAsia" w:ascii="Times New Roman" w:hAnsi="Times New Roman" w:cs="Times New Roman"/>
                          <w:b/>
                          <w:bCs/>
                          <w:lang w:eastAsia="zh-CN"/>
                        </w:rPr>
                        <w:t>2</w:t>
                      </w:r>
                      <w:r>
                        <w:rPr>
                          <w:rFonts w:ascii="Times New Roman" w:hAnsi="Times New Roman" w:cs="Times New Roman"/>
                          <w:b/>
                          <w:bCs/>
                          <w:lang w:eastAsia="zh-CN"/>
                        </w:rPr>
                        <w:t xml:space="preserve"> 环境保护目标图</w:t>
                      </w:r>
                    </w:p>
                  </w:txbxContent>
                </v:textbox>
              </v:shape>
            </w:pict>
          </mc:Fallback>
        </mc:AlternateContent>
      </w:r>
      <w:r>
        <w:rPr>
          <w:rFonts w:ascii="Times New Roman" w:hAnsi="Times New Roman" w:eastAsia="新宋体" w:cs="Times New Roman"/>
          <w:szCs w:val="24"/>
          <w:lang w:eastAsia="zh-CN"/>
        </w:rPr>
        <w:tab/>
      </w:r>
    </w:p>
    <w:p w14:paraId="21E0EF65">
      <w:pPr>
        <w:spacing w:line="360" w:lineRule="auto"/>
        <w:jc w:val="center"/>
        <w:outlineLvl w:val="0"/>
        <w:rPr>
          <w:rFonts w:ascii="Times New Roman" w:hAnsi="Times New Roman" w:cs="Times New Roman"/>
          <w:b/>
          <w:bCs/>
          <w:color w:val="auto"/>
          <w:sz w:val="32"/>
          <w:szCs w:val="24"/>
          <w:lang w:eastAsia="zh-CN"/>
        </w:rPr>
      </w:pPr>
      <w:bookmarkStart w:id="414" w:name="_Toc237508257"/>
      <w:r>
        <w:rPr>
          <w:rFonts w:ascii="Times New Roman" w:hAnsi="Times New Roman" w:cs="Times New Roman"/>
          <w:b/>
          <w:bCs/>
          <w:color w:val="auto"/>
          <w:sz w:val="32"/>
          <w:szCs w:val="24"/>
          <w:lang w:eastAsia="zh-CN"/>
        </w:rPr>
        <w:t xml:space="preserve">3  </w:t>
      </w:r>
      <w:r>
        <w:rPr>
          <w:rFonts w:hint="eastAsia" w:ascii="Times New Roman" w:hAnsi="Times New Roman" w:cs="Times New Roman"/>
          <w:b/>
          <w:bCs/>
          <w:color w:val="auto"/>
          <w:sz w:val="32"/>
          <w:szCs w:val="24"/>
          <w:lang w:eastAsia="zh-CN"/>
        </w:rPr>
        <w:t>现有工程</w:t>
      </w:r>
      <w:r>
        <w:rPr>
          <w:rFonts w:ascii="Times New Roman" w:hAnsi="Times New Roman" w:cs="Times New Roman"/>
          <w:b/>
          <w:bCs/>
          <w:color w:val="auto"/>
          <w:sz w:val="32"/>
          <w:szCs w:val="24"/>
          <w:lang w:eastAsia="zh-CN"/>
        </w:rPr>
        <w:t>内容回顾</w:t>
      </w:r>
      <w:bookmarkEnd w:id="414"/>
    </w:p>
    <w:p w14:paraId="4D4CC557">
      <w:pPr>
        <w:spacing w:line="360" w:lineRule="auto"/>
        <w:ind w:firstLine="562"/>
        <w:rPr>
          <w:rFonts w:ascii="Times New Roman" w:hAnsi="Times New Roman" w:cs="Times New Roman"/>
          <w:b/>
          <w:bCs/>
          <w:color w:val="auto"/>
          <w:sz w:val="28"/>
          <w:szCs w:val="22"/>
          <w:lang w:eastAsia="zh-CN"/>
        </w:rPr>
      </w:pPr>
    </w:p>
    <w:p w14:paraId="153B77AB">
      <w:pPr>
        <w:spacing w:line="360" w:lineRule="auto"/>
        <w:ind w:firstLine="562"/>
        <w:jc w:val="both"/>
        <w:outlineLvl w:val="1"/>
        <w:rPr>
          <w:rFonts w:ascii="Times New Roman" w:hAnsi="Times New Roman" w:cs="Times New Roman"/>
          <w:color w:val="auto"/>
          <w:sz w:val="28"/>
          <w:szCs w:val="22"/>
          <w:lang w:eastAsia="zh-CN"/>
        </w:rPr>
      </w:pPr>
      <w:bookmarkStart w:id="415" w:name="_Toc237508258"/>
      <w:r>
        <w:rPr>
          <w:rFonts w:ascii="Times New Roman" w:hAnsi="Times New Roman" w:cs="Times New Roman"/>
          <w:b/>
          <w:bCs/>
          <w:color w:val="auto"/>
          <w:sz w:val="28"/>
          <w:szCs w:val="22"/>
          <w:lang w:eastAsia="zh-CN"/>
        </w:rPr>
        <w:t>3.</w:t>
      </w:r>
      <w:r>
        <w:rPr>
          <w:rFonts w:hint="eastAsia" w:ascii="Times New Roman" w:hAnsi="Times New Roman" w:cs="Times New Roman"/>
          <w:b/>
          <w:bCs/>
          <w:color w:val="auto"/>
          <w:sz w:val="28"/>
          <w:szCs w:val="22"/>
          <w:lang w:eastAsia="zh-CN"/>
        </w:rPr>
        <w:t>1 现有工程概况</w:t>
      </w:r>
      <w:bookmarkEnd w:id="415"/>
    </w:p>
    <w:p w14:paraId="12FAC49F">
      <w:pPr>
        <w:adjustRightInd w:val="0"/>
        <w:snapToGrid w:val="0"/>
        <w:spacing w:line="360" w:lineRule="auto"/>
        <w:ind w:firstLine="482"/>
        <w:jc w:val="both"/>
        <w:outlineLvl w:val="2"/>
        <w:rPr>
          <w:rFonts w:ascii="Times New Roman" w:hAnsi="Times New Roman" w:cs="Times New Roman"/>
          <w:b/>
          <w:bCs/>
          <w:color w:val="auto"/>
          <w:szCs w:val="24"/>
          <w:lang w:eastAsia="zh-CN"/>
        </w:rPr>
      </w:pPr>
      <w:bookmarkStart w:id="416" w:name="_Toc236641793"/>
      <w:bookmarkStart w:id="417" w:name="_Toc225784006"/>
      <w:bookmarkStart w:id="418" w:name="_Toc236641276"/>
      <w:bookmarkStart w:id="419" w:name="_Toc223425007"/>
      <w:bookmarkStart w:id="420" w:name="_Toc217662622"/>
      <w:bookmarkStart w:id="421" w:name="_Toc237508259"/>
      <w:bookmarkStart w:id="422" w:name="_Toc231828545"/>
      <w:bookmarkStart w:id="423" w:name="_Toc224674645"/>
      <w:bookmarkStart w:id="424" w:name="_Toc218784232"/>
      <w:bookmarkStart w:id="425" w:name="_Toc221900789"/>
      <w:r>
        <w:rPr>
          <w:rFonts w:ascii="Times New Roman" w:hAnsi="Times New Roman" w:cs="Times New Roman"/>
          <w:b/>
          <w:bCs/>
          <w:color w:val="auto"/>
          <w:szCs w:val="24"/>
          <w:lang w:eastAsia="zh-CN"/>
        </w:rPr>
        <w:t>3.</w:t>
      </w:r>
      <w:r>
        <w:rPr>
          <w:rFonts w:hint="eastAsia" w:ascii="Times New Roman" w:hAnsi="Times New Roman" w:cs="Times New Roman"/>
          <w:b/>
          <w:bCs/>
          <w:color w:val="auto"/>
          <w:szCs w:val="24"/>
          <w:lang w:eastAsia="zh-CN"/>
        </w:rPr>
        <w:t>1</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1 现有工程“三同时”履行情况</w:t>
      </w:r>
      <w:bookmarkEnd w:id="416"/>
      <w:bookmarkEnd w:id="417"/>
      <w:bookmarkEnd w:id="418"/>
      <w:bookmarkEnd w:id="419"/>
      <w:bookmarkEnd w:id="420"/>
      <w:bookmarkEnd w:id="421"/>
      <w:bookmarkEnd w:id="422"/>
      <w:bookmarkEnd w:id="423"/>
      <w:bookmarkEnd w:id="424"/>
      <w:bookmarkEnd w:id="425"/>
    </w:p>
    <w:p w14:paraId="45EC88E4">
      <w:pPr>
        <w:widowControl w:val="0"/>
        <w:topLinePunct/>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安徽氟瑞星化工有限公司</w:t>
      </w:r>
      <w:r>
        <w:rPr>
          <w:rFonts w:ascii="Times New Roman" w:hAnsi="Times New Roman" w:cs="Times New Roman"/>
          <w:color w:val="auto"/>
          <w:szCs w:val="24"/>
          <w:lang w:eastAsia="zh-CN"/>
        </w:rPr>
        <w:t>成立于2021年12月07日，注册地位于安徽省蚌埠市淮上区沫河口镇工业园淝河北路599号</w:t>
      </w:r>
      <w:r>
        <w:rPr>
          <w:rFonts w:hint="eastAsia" w:ascii="Times New Roman" w:hAnsi="Times New Roman" w:cs="Times New Roman"/>
          <w:color w:val="auto"/>
          <w:szCs w:val="24"/>
          <w:lang w:eastAsia="zh-CN"/>
        </w:rPr>
        <w:t>。</w:t>
      </w:r>
    </w:p>
    <w:p w14:paraId="3DF7D860">
      <w:pPr>
        <w:widowControl w:val="0"/>
        <w:topLinePunct/>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 xml:space="preserve"> 2022年委托编制了《安徽氟瑞星化工有限公司年产4万吨电子级氢氟酸、4万吨化学纯氢氟酸及4.5万吨刻蚀液项目（一期工程）环境影响报告书》。</w:t>
      </w:r>
    </w:p>
    <w:p w14:paraId="4E48003C">
      <w:pPr>
        <w:topLinePunct/>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2023年7月28日，蚌埠市生态环境局以“蚌环许[2023]37号”文对《安徽氟瑞星化工有限公司年产4万吨电子级氢氟酸、4万吨化学纯氢氟酸及4.5万吨刻蚀液项目（一期工程）环境影响报告书》进行了批复，批复产品方案为：</w:t>
      </w:r>
      <w:r>
        <w:rPr>
          <w:rFonts w:hint="eastAsia" w:ascii="Times New Roman" w:hAnsi="Times New Roman" w:cs="Times New Roman"/>
          <w:b/>
          <w:bCs/>
          <w:color w:val="auto"/>
          <w:szCs w:val="24"/>
          <w:lang w:eastAsia="zh-CN"/>
        </w:rPr>
        <w:t>年产2万吨电子级氢氟酸、4万吨化学纯氢氟酸、4.5万吨刻蚀液</w:t>
      </w:r>
      <w:r>
        <w:rPr>
          <w:rFonts w:hint="eastAsia" w:ascii="Times New Roman" w:hAnsi="Times New Roman" w:cs="Times New Roman"/>
          <w:color w:val="auto"/>
          <w:szCs w:val="24"/>
          <w:lang w:eastAsia="zh-CN"/>
        </w:rPr>
        <w:t>。</w:t>
      </w:r>
    </w:p>
    <w:p w14:paraId="20F1ACCB">
      <w:pPr>
        <w:topLinePunct/>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2024年8月，委托编制《</w:t>
      </w:r>
      <w:r>
        <w:rPr>
          <w:rFonts w:ascii="Times New Roman" w:hAnsi="Times New Roman" w:cs="Times New Roman"/>
          <w:color w:val="auto"/>
          <w:szCs w:val="24"/>
          <w:lang w:eastAsia="zh-CN"/>
        </w:rPr>
        <w:t>安徽氟瑞星化工有限公司年产4万吨电子级氢氟酸、4万吨化学纯氢氟酸及4.5万吨刻蚀液项目（一期工程）废气处理风量论证报告</w:t>
      </w:r>
      <w:r>
        <w:rPr>
          <w:rFonts w:hint="eastAsia" w:ascii="Times New Roman" w:hAnsi="Times New Roman" w:cs="Times New Roman"/>
          <w:color w:val="auto"/>
          <w:szCs w:val="24"/>
          <w:lang w:eastAsia="zh-CN"/>
        </w:rPr>
        <w:t>》，变动内容为原环评</w:t>
      </w:r>
      <w:r>
        <w:rPr>
          <w:rFonts w:ascii="Times New Roman" w:hAnsi="Times New Roman" w:cs="Times New Roman"/>
          <w:color w:val="auto"/>
          <w:szCs w:val="24"/>
          <w:lang w:eastAsia="zh-CN"/>
        </w:rPr>
        <w:t>废气风量由25000m</w:t>
      </w:r>
      <w:r>
        <w:rPr>
          <w:rFonts w:ascii="Times New Roman" w:hAnsi="Times New Roman" w:cs="Times New Roman"/>
          <w:color w:val="auto"/>
          <w:szCs w:val="24"/>
          <w:vertAlign w:val="superscript"/>
          <w:lang w:eastAsia="zh-CN"/>
        </w:rPr>
        <w:t>3</w:t>
      </w:r>
      <w:r>
        <w:rPr>
          <w:rFonts w:ascii="Times New Roman" w:hAnsi="Times New Roman" w:cs="Times New Roman"/>
          <w:color w:val="auto"/>
          <w:szCs w:val="24"/>
          <w:lang w:eastAsia="zh-CN"/>
        </w:rPr>
        <w:t>/h变为11000m</w:t>
      </w:r>
      <w:r>
        <w:rPr>
          <w:rFonts w:ascii="Times New Roman" w:hAnsi="Times New Roman" w:cs="Times New Roman"/>
          <w:color w:val="auto"/>
          <w:szCs w:val="24"/>
          <w:vertAlign w:val="superscript"/>
          <w:lang w:eastAsia="zh-CN"/>
        </w:rPr>
        <w:t>3</w:t>
      </w:r>
      <w:r>
        <w:rPr>
          <w:rFonts w:ascii="Times New Roman" w:hAnsi="Times New Roman" w:cs="Times New Roman"/>
          <w:color w:val="auto"/>
          <w:szCs w:val="24"/>
          <w:lang w:eastAsia="zh-CN"/>
        </w:rPr>
        <w:t>/h</w:t>
      </w:r>
      <w:r>
        <w:rPr>
          <w:rFonts w:hint="eastAsia" w:ascii="Times New Roman" w:hAnsi="Times New Roman" w:cs="Times New Roman"/>
          <w:color w:val="auto"/>
          <w:szCs w:val="24"/>
          <w:lang w:eastAsia="zh-CN"/>
        </w:rPr>
        <w:t>。</w:t>
      </w:r>
    </w:p>
    <w:p w14:paraId="261E647D">
      <w:pPr>
        <w:topLinePunct/>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排污许可证：2024年11月15日申领排污许可证，证书编号：91340311MA8NGN583P001W。</w:t>
      </w:r>
    </w:p>
    <w:p w14:paraId="2B9CDE96">
      <w:pPr>
        <w:topLinePunct/>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应急预案：2025年11月28日，企业突发环境事件应急预案在蚌埠市淮上区生态环境分局进行了备案，备案编号：340311-2025-037-M。</w:t>
      </w:r>
    </w:p>
    <w:p w14:paraId="2C9B76F5">
      <w:pPr>
        <w:topLinePunct/>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2025年12月9日，建设单位对《安徽氟瑞星化工有限公司年产4万吨电子级氢氟酸、4万吨化学纯氢氟酸及4.5万吨刻蚀液项目（一期工程）》进行了自主验收。</w:t>
      </w:r>
    </w:p>
    <w:p w14:paraId="75FC6AA2">
      <w:pPr>
        <w:spacing w:line="360" w:lineRule="auto"/>
        <w:jc w:val="center"/>
        <w:rPr>
          <w:rFonts w:ascii="Times New Roman" w:hAnsi="Times New Roman" w:cs="Times New Roman"/>
          <w:b/>
          <w:bCs/>
          <w:lang w:eastAsia="zh-CN"/>
        </w:rPr>
      </w:pPr>
      <w:r>
        <w:rPr>
          <w:rFonts w:ascii="Times New Roman" w:hAnsi="Times New Roman" w:cs="Times New Roman"/>
          <w:b/>
          <w:bCs/>
          <w:lang w:eastAsia="zh-CN"/>
        </w:rPr>
        <w:t>表3.</w:t>
      </w:r>
      <w:r>
        <w:rPr>
          <w:rFonts w:hint="eastAsia" w:ascii="Times New Roman" w:hAnsi="Times New Roman" w:cs="Times New Roman"/>
          <w:b/>
          <w:bCs/>
          <w:lang w:eastAsia="zh-CN"/>
        </w:rPr>
        <w:t>1</w:t>
      </w:r>
      <w:r>
        <w:rPr>
          <w:rFonts w:ascii="Times New Roman" w:hAnsi="Times New Roman" w:cs="Times New Roman"/>
          <w:b/>
          <w:bCs/>
          <w:lang w:eastAsia="zh-CN"/>
        </w:rPr>
        <w:t xml:space="preserve">-1 </w:t>
      </w:r>
      <w:r>
        <w:rPr>
          <w:rFonts w:hint="eastAsia" w:ascii="Times New Roman" w:hAnsi="Times New Roman" w:cs="Times New Roman"/>
          <w:b/>
          <w:bCs/>
          <w:lang w:eastAsia="zh-CN"/>
        </w:rPr>
        <w:t>现有</w:t>
      </w:r>
      <w:r>
        <w:rPr>
          <w:rFonts w:ascii="Times New Roman" w:hAnsi="Times New Roman" w:cs="Times New Roman"/>
          <w:b/>
          <w:bCs/>
          <w:lang w:eastAsia="zh-CN"/>
        </w:rPr>
        <w:t>项目</w:t>
      </w:r>
      <w:r>
        <w:rPr>
          <w:rFonts w:hint="eastAsia" w:ascii="Times New Roman" w:hAnsi="Times New Roman" w:cs="Times New Roman"/>
          <w:b/>
          <w:bCs/>
          <w:lang w:eastAsia="zh-CN"/>
        </w:rPr>
        <w:t>三同时履行情况</w:t>
      </w:r>
      <w:r>
        <w:rPr>
          <w:rFonts w:ascii="Times New Roman" w:hAnsi="Times New Roman" w:cs="Times New Roman"/>
          <w:b/>
          <w:bCs/>
          <w:lang w:eastAsia="zh-CN"/>
        </w:rPr>
        <w:t>一览表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267"/>
        <w:gridCol w:w="1419"/>
        <w:gridCol w:w="1560"/>
        <w:gridCol w:w="1419"/>
        <w:gridCol w:w="2361"/>
      </w:tblGrid>
      <w:tr w14:paraId="4235133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0" w:hRule="atLeast"/>
          <w:tblHeader/>
          <w:jc w:val="center"/>
        </w:trPr>
        <w:tc>
          <w:tcPr>
            <w:tcW w:w="1256" w:type="pct"/>
            <w:vAlign w:val="center"/>
          </w:tcPr>
          <w:p w14:paraId="6F93B785">
            <w:pPr>
              <w:pStyle w:val="96"/>
              <w:rPr>
                <w:b/>
                <w:bCs/>
                <w:kern w:val="0"/>
              </w:rPr>
            </w:pPr>
            <w:r>
              <w:rPr>
                <w:rFonts w:hint="eastAsia"/>
                <w:b/>
                <w:bCs/>
                <w:kern w:val="0"/>
              </w:rPr>
              <w:t>项目名称</w:t>
            </w:r>
          </w:p>
        </w:tc>
        <w:tc>
          <w:tcPr>
            <w:tcW w:w="2436" w:type="pct"/>
            <w:gridSpan w:val="3"/>
            <w:vAlign w:val="center"/>
          </w:tcPr>
          <w:p w14:paraId="10F44E19">
            <w:pPr>
              <w:pStyle w:val="96"/>
              <w:rPr>
                <w:b/>
                <w:bCs/>
                <w:kern w:val="0"/>
              </w:rPr>
            </w:pPr>
            <w:r>
              <w:rPr>
                <w:rFonts w:hint="eastAsia"/>
                <w:b/>
                <w:bCs/>
                <w:kern w:val="0"/>
              </w:rPr>
              <w:t>环境影响评价</w:t>
            </w:r>
          </w:p>
        </w:tc>
        <w:tc>
          <w:tcPr>
            <w:tcW w:w="1308" w:type="pct"/>
            <w:vAlign w:val="center"/>
          </w:tcPr>
          <w:p w14:paraId="0764D466">
            <w:pPr>
              <w:pStyle w:val="96"/>
              <w:rPr>
                <w:b/>
                <w:bCs/>
                <w:kern w:val="0"/>
              </w:rPr>
            </w:pPr>
            <w:r>
              <w:rPr>
                <w:rFonts w:hint="eastAsia"/>
                <w:b/>
                <w:bCs/>
                <w:kern w:val="0"/>
              </w:rPr>
              <w:t>竣工环境保护验收</w:t>
            </w:r>
          </w:p>
        </w:tc>
      </w:tr>
      <w:tr w14:paraId="23765D9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0" w:hRule="atLeast"/>
          <w:jc w:val="center"/>
        </w:trPr>
        <w:tc>
          <w:tcPr>
            <w:tcW w:w="1256" w:type="pct"/>
            <w:vMerge w:val="restart"/>
            <w:vAlign w:val="center"/>
          </w:tcPr>
          <w:p w14:paraId="092DF2E1">
            <w:pPr>
              <w:pStyle w:val="96"/>
              <w:rPr>
                <w:kern w:val="0"/>
              </w:rPr>
            </w:pPr>
            <w:r>
              <w:rPr>
                <w:rFonts w:hint="eastAsia"/>
                <w:kern w:val="0"/>
              </w:rPr>
              <w:t>年产4万吨电子级氢氟酸、4万吨化学纯氢氟酸及4.5万吨刻蚀液项目（一期工程）</w:t>
            </w:r>
          </w:p>
        </w:tc>
        <w:tc>
          <w:tcPr>
            <w:tcW w:w="786" w:type="pct"/>
            <w:vAlign w:val="center"/>
          </w:tcPr>
          <w:p w14:paraId="42CB5E6E">
            <w:pPr>
              <w:pStyle w:val="96"/>
              <w:rPr>
                <w:kern w:val="0"/>
              </w:rPr>
            </w:pPr>
            <w:r>
              <w:rPr>
                <w:rFonts w:hint="eastAsia"/>
                <w:kern w:val="0"/>
              </w:rPr>
              <w:t>审批单位</w:t>
            </w:r>
          </w:p>
        </w:tc>
        <w:tc>
          <w:tcPr>
            <w:tcW w:w="864" w:type="pct"/>
            <w:vAlign w:val="center"/>
          </w:tcPr>
          <w:p w14:paraId="0EF280C0">
            <w:pPr>
              <w:pStyle w:val="96"/>
              <w:rPr>
                <w:kern w:val="0"/>
              </w:rPr>
            </w:pPr>
            <w:r>
              <w:rPr>
                <w:rFonts w:hint="eastAsia"/>
                <w:kern w:val="0"/>
              </w:rPr>
              <w:t>批准文号</w:t>
            </w:r>
          </w:p>
        </w:tc>
        <w:tc>
          <w:tcPr>
            <w:tcW w:w="786" w:type="pct"/>
            <w:vAlign w:val="center"/>
          </w:tcPr>
          <w:p w14:paraId="0841F09D">
            <w:pPr>
              <w:pStyle w:val="96"/>
              <w:rPr>
                <w:kern w:val="0"/>
              </w:rPr>
            </w:pPr>
            <w:r>
              <w:rPr>
                <w:rFonts w:hint="eastAsia"/>
                <w:kern w:val="0"/>
              </w:rPr>
              <w:t>批复时间</w:t>
            </w:r>
          </w:p>
        </w:tc>
        <w:tc>
          <w:tcPr>
            <w:tcW w:w="1308" w:type="pct"/>
            <w:vAlign w:val="center"/>
          </w:tcPr>
          <w:p w14:paraId="31B2626A">
            <w:pPr>
              <w:pStyle w:val="96"/>
              <w:rPr>
                <w:kern w:val="0"/>
              </w:rPr>
            </w:pPr>
            <w:r>
              <w:rPr>
                <w:rFonts w:hint="eastAsia"/>
                <w:kern w:val="0"/>
              </w:rPr>
              <w:t>/</w:t>
            </w:r>
          </w:p>
        </w:tc>
      </w:tr>
      <w:tr w14:paraId="25898C7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92" w:hRule="atLeast"/>
          <w:jc w:val="center"/>
        </w:trPr>
        <w:tc>
          <w:tcPr>
            <w:tcW w:w="1256" w:type="pct"/>
            <w:vMerge w:val="continue"/>
            <w:vAlign w:val="center"/>
          </w:tcPr>
          <w:p w14:paraId="0EF23976">
            <w:pPr>
              <w:pStyle w:val="96"/>
              <w:rPr>
                <w:kern w:val="0"/>
              </w:rPr>
            </w:pPr>
          </w:p>
        </w:tc>
        <w:tc>
          <w:tcPr>
            <w:tcW w:w="786" w:type="pct"/>
            <w:vAlign w:val="center"/>
          </w:tcPr>
          <w:p w14:paraId="7D932D25">
            <w:pPr>
              <w:pStyle w:val="96"/>
              <w:rPr>
                <w:kern w:val="0"/>
              </w:rPr>
            </w:pPr>
            <w:r>
              <w:rPr>
                <w:rFonts w:hint="eastAsia"/>
                <w:kern w:val="0"/>
              </w:rPr>
              <w:t>蚌埠市生态环境局</w:t>
            </w:r>
          </w:p>
        </w:tc>
        <w:tc>
          <w:tcPr>
            <w:tcW w:w="864" w:type="pct"/>
            <w:vAlign w:val="center"/>
          </w:tcPr>
          <w:p w14:paraId="1237D703">
            <w:pPr>
              <w:pStyle w:val="96"/>
              <w:rPr>
                <w:kern w:val="0"/>
              </w:rPr>
            </w:pPr>
            <w:r>
              <w:rPr>
                <w:rFonts w:hint="eastAsia"/>
                <w:szCs w:val="24"/>
              </w:rPr>
              <w:t>蚌环许[2023]37号</w:t>
            </w:r>
          </w:p>
        </w:tc>
        <w:tc>
          <w:tcPr>
            <w:tcW w:w="786" w:type="pct"/>
            <w:vAlign w:val="center"/>
          </w:tcPr>
          <w:p w14:paraId="0340373B">
            <w:pPr>
              <w:pStyle w:val="96"/>
              <w:rPr>
                <w:kern w:val="0"/>
              </w:rPr>
            </w:pPr>
            <w:r>
              <w:rPr>
                <w:rFonts w:hint="eastAsia"/>
                <w:szCs w:val="24"/>
              </w:rPr>
              <w:t>2023年7月28日</w:t>
            </w:r>
          </w:p>
        </w:tc>
        <w:tc>
          <w:tcPr>
            <w:tcW w:w="1308" w:type="pct"/>
            <w:vAlign w:val="center"/>
          </w:tcPr>
          <w:p w14:paraId="2907A675">
            <w:pPr>
              <w:pStyle w:val="96"/>
              <w:rPr>
                <w:kern w:val="0"/>
              </w:rPr>
            </w:pPr>
            <w:r>
              <w:rPr>
                <w:rFonts w:hint="eastAsia"/>
                <w:kern w:val="0"/>
              </w:rPr>
              <w:t>2025</w:t>
            </w:r>
            <w:r>
              <w:rPr>
                <w:kern w:val="0"/>
              </w:rPr>
              <w:t>年</w:t>
            </w:r>
            <w:r>
              <w:rPr>
                <w:rFonts w:hint="eastAsia"/>
                <w:kern w:val="0"/>
              </w:rPr>
              <w:t>12</w:t>
            </w:r>
            <w:r>
              <w:rPr>
                <w:kern w:val="0"/>
              </w:rPr>
              <w:t>月</w:t>
            </w:r>
            <w:r>
              <w:rPr>
                <w:rFonts w:hint="eastAsia"/>
                <w:kern w:val="0"/>
              </w:rPr>
              <w:t>9</w:t>
            </w:r>
            <w:r>
              <w:rPr>
                <w:kern w:val="0"/>
              </w:rPr>
              <w:t>日</w:t>
            </w:r>
            <w:r>
              <w:rPr>
                <w:rFonts w:hint="eastAsia"/>
                <w:kern w:val="0"/>
              </w:rPr>
              <w:t>，进行了自主验收</w:t>
            </w:r>
          </w:p>
        </w:tc>
      </w:tr>
    </w:tbl>
    <w:p w14:paraId="3BBDB4CB">
      <w:pPr>
        <w:spacing w:line="360" w:lineRule="auto"/>
        <w:ind w:firstLine="482"/>
        <w:jc w:val="both"/>
        <w:outlineLvl w:val="2"/>
        <w:rPr>
          <w:rFonts w:ascii="Times New Roman" w:hAnsi="Times New Roman" w:cs="Times New Roman"/>
          <w:b/>
          <w:bCs/>
          <w:color w:val="auto"/>
          <w:szCs w:val="24"/>
          <w:lang w:eastAsia="zh-CN"/>
        </w:rPr>
      </w:pPr>
      <w:bookmarkStart w:id="426" w:name="_Toc203926966"/>
      <w:bookmarkStart w:id="427" w:name="_Toc218784234"/>
      <w:bookmarkStart w:id="428" w:name="_Toc236641794"/>
      <w:bookmarkStart w:id="429" w:name="_Toc221900791"/>
      <w:bookmarkStart w:id="430" w:name="_Toc237508260"/>
      <w:bookmarkStart w:id="431" w:name="_Toc231828546"/>
      <w:bookmarkStart w:id="432" w:name="_Toc224674647"/>
      <w:bookmarkStart w:id="433" w:name="_Toc217662624"/>
      <w:bookmarkStart w:id="434" w:name="_Toc223425009"/>
      <w:bookmarkStart w:id="435" w:name="_Toc225784008"/>
      <w:bookmarkStart w:id="436" w:name="_Toc236641277"/>
      <w:bookmarkStart w:id="437" w:name="_Toc204448431"/>
      <w:bookmarkStart w:id="438" w:name="_Toc204515166"/>
      <w:r>
        <w:rPr>
          <w:rFonts w:ascii="Times New Roman" w:hAnsi="Times New Roman" w:cs="Times New Roman"/>
          <w:b/>
          <w:bCs/>
          <w:color w:val="auto"/>
          <w:szCs w:val="24"/>
          <w:lang w:eastAsia="zh-CN"/>
        </w:rPr>
        <w:t>3.</w:t>
      </w:r>
      <w:r>
        <w:rPr>
          <w:rFonts w:hint="eastAsia" w:ascii="Times New Roman" w:hAnsi="Times New Roman" w:cs="Times New Roman"/>
          <w:b/>
          <w:bCs/>
          <w:color w:val="auto"/>
          <w:szCs w:val="24"/>
          <w:lang w:eastAsia="zh-CN"/>
        </w:rPr>
        <w:t>1</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2 现有工程</w:t>
      </w:r>
      <w:r>
        <w:rPr>
          <w:rFonts w:ascii="Times New Roman" w:hAnsi="Times New Roman" w:cs="Times New Roman"/>
          <w:b/>
          <w:bCs/>
          <w:color w:val="auto"/>
          <w:szCs w:val="24"/>
          <w:lang w:eastAsia="zh-CN"/>
        </w:rPr>
        <w:t>组成及建设内容</w:t>
      </w:r>
      <w:bookmarkEnd w:id="426"/>
      <w:bookmarkEnd w:id="427"/>
      <w:bookmarkEnd w:id="428"/>
      <w:bookmarkEnd w:id="429"/>
      <w:bookmarkEnd w:id="430"/>
      <w:bookmarkEnd w:id="431"/>
      <w:bookmarkEnd w:id="432"/>
      <w:bookmarkEnd w:id="433"/>
      <w:bookmarkEnd w:id="434"/>
      <w:bookmarkEnd w:id="435"/>
      <w:bookmarkEnd w:id="436"/>
      <w:bookmarkEnd w:id="437"/>
      <w:bookmarkEnd w:id="438"/>
    </w:p>
    <w:p w14:paraId="77CDA649">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结合环评及环评批复、验收及验收批复、变动分析报告以及排污许可证填报内容，现有工程实际</w:t>
      </w:r>
      <w:r>
        <w:rPr>
          <w:rFonts w:ascii="Times New Roman" w:hAnsi="Times New Roman" w:cs="Times New Roman"/>
          <w:color w:val="auto"/>
          <w:szCs w:val="24"/>
          <w:lang w:eastAsia="zh-CN"/>
        </w:rPr>
        <w:t>建设内容详见</w:t>
      </w:r>
      <w:r>
        <w:rPr>
          <w:rFonts w:hint="eastAsia" w:ascii="Times New Roman" w:hAnsi="Times New Roman" w:cs="Times New Roman"/>
          <w:color w:val="auto"/>
          <w:szCs w:val="24"/>
          <w:lang w:eastAsia="zh-CN"/>
        </w:rPr>
        <w:t>下表</w:t>
      </w:r>
      <w:r>
        <w:rPr>
          <w:rFonts w:ascii="Times New Roman" w:hAnsi="Times New Roman" w:cs="Times New Roman"/>
          <w:color w:val="auto"/>
          <w:szCs w:val="24"/>
          <w:lang w:eastAsia="zh-CN"/>
        </w:rPr>
        <w:t>。</w:t>
      </w:r>
    </w:p>
    <w:p w14:paraId="277136DB">
      <w:pPr>
        <w:pStyle w:val="42"/>
        <w:sectPr>
          <w:footerReference r:id="rId21" w:type="default"/>
          <w:pgSz w:w="11906" w:h="16838"/>
          <w:pgMar w:top="1440" w:right="1440" w:bottom="1440" w:left="1440" w:header="851" w:footer="992" w:gutter="0"/>
          <w:cols w:space="720" w:num="1"/>
          <w:docGrid w:type="lines" w:linePitch="312" w:charSpace="0"/>
        </w:sectPr>
      </w:pPr>
    </w:p>
    <w:p w14:paraId="0F34265A">
      <w:pPr>
        <w:spacing w:line="360" w:lineRule="auto"/>
        <w:jc w:val="center"/>
        <w:rPr>
          <w:rFonts w:ascii="Times New Roman" w:hAnsi="Times New Roman" w:cs="Times New Roman"/>
          <w:b/>
          <w:bCs/>
          <w:lang w:eastAsia="zh-CN"/>
        </w:rPr>
      </w:pPr>
      <w:r>
        <w:rPr>
          <w:rFonts w:ascii="Times New Roman" w:hAnsi="Times New Roman" w:cs="Times New Roman"/>
          <w:b/>
          <w:bCs/>
          <w:lang w:eastAsia="zh-CN"/>
        </w:rPr>
        <w:t>表3.</w:t>
      </w:r>
      <w:r>
        <w:rPr>
          <w:rFonts w:hint="eastAsia" w:ascii="Times New Roman" w:hAnsi="Times New Roman" w:cs="Times New Roman"/>
          <w:b/>
          <w:bCs/>
          <w:lang w:eastAsia="zh-CN"/>
        </w:rPr>
        <w:t>1</w:t>
      </w:r>
      <w:r>
        <w:rPr>
          <w:rFonts w:ascii="Times New Roman" w:hAnsi="Times New Roman" w:cs="Times New Roman"/>
          <w:b/>
          <w:bCs/>
          <w:lang w:eastAsia="zh-CN"/>
        </w:rPr>
        <w:t>-</w:t>
      </w:r>
      <w:r>
        <w:rPr>
          <w:rFonts w:hint="eastAsia" w:ascii="Times New Roman" w:hAnsi="Times New Roman" w:cs="Times New Roman"/>
          <w:b/>
          <w:bCs/>
          <w:lang w:eastAsia="zh-CN"/>
        </w:rPr>
        <w:t>2</w:t>
      </w:r>
      <w:r>
        <w:rPr>
          <w:rFonts w:ascii="Times New Roman" w:hAnsi="Times New Roman" w:cs="Times New Roman"/>
          <w:b/>
          <w:bCs/>
          <w:lang w:eastAsia="zh-CN"/>
        </w:rPr>
        <w:t xml:space="preserve"> </w:t>
      </w:r>
      <w:r>
        <w:rPr>
          <w:rFonts w:hint="eastAsia" w:ascii="Times New Roman" w:hAnsi="Times New Roman" w:cs="Times New Roman"/>
          <w:b/>
          <w:bCs/>
          <w:lang w:eastAsia="zh-CN"/>
        </w:rPr>
        <w:t>现有工程</w:t>
      </w:r>
      <w:r>
        <w:rPr>
          <w:rFonts w:ascii="Times New Roman" w:hAnsi="Times New Roman" w:cs="Times New Roman"/>
          <w:b/>
          <w:bCs/>
          <w:lang w:eastAsia="zh-CN"/>
        </w:rPr>
        <w:t>建设内容组成一览表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944"/>
        <w:gridCol w:w="1608"/>
        <w:gridCol w:w="11406"/>
      </w:tblGrid>
      <w:tr w14:paraId="4736A08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338" w:type="pct"/>
            <w:vAlign w:val="center"/>
          </w:tcPr>
          <w:p w14:paraId="5EAFF434">
            <w:pPr>
              <w:pStyle w:val="96"/>
              <w:rPr>
                <w:b/>
                <w:bCs/>
                <w:kern w:val="0"/>
              </w:rPr>
            </w:pPr>
            <w:bookmarkStart w:id="439" w:name="_Hlk205198251"/>
            <w:r>
              <w:rPr>
                <w:b/>
                <w:bCs/>
                <w:kern w:val="0"/>
              </w:rPr>
              <w:t>类别</w:t>
            </w:r>
          </w:p>
        </w:tc>
        <w:tc>
          <w:tcPr>
            <w:tcW w:w="576" w:type="pct"/>
            <w:vAlign w:val="center"/>
          </w:tcPr>
          <w:p w14:paraId="1F3860DC">
            <w:pPr>
              <w:pStyle w:val="96"/>
              <w:rPr>
                <w:b/>
                <w:bCs/>
                <w:kern w:val="0"/>
              </w:rPr>
            </w:pPr>
            <w:r>
              <w:rPr>
                <w:b/>
                <w:bCs/>
                <w:kern w:val="0"/>
              </w:rPr>
              <w:t>工程名称</w:t>
            </w:r>
          </w:p>
        </w:tc>
        <w:tc>
          <w:tcPr>
            <w:tcW w:w="4086" w:type="pct"/>
            <w:vAlign w:val="center"/>
          </w:tcPr>
          <w:p w14:paraId="50E895F6">
            <w:pPr>
              <w:pStyle w:val="96"/>
              <w:rPr>
                <w:b/>
                <w:bCs/>
                <w:kern w:val="0"/>
              </w:rPr>
            </w:pPr>
            <w:r>
              <w:rPr>
                <w:b/>
                <w:bCs/>
                <w:kern w:val="0"/>
              </w:rPr>
              <w:t>现有工程实际建设内容</w:t>
            </w:r>
            <w:r>
              <w:rPr>
                <w:rFonts w:hint="eastAsia"/>
                <w:b/>
                <w:bCs/>
                <w:kern w:val="0"/>
              </w:rPr>
              <w:t>及规模</w:t>
            </w:r>
          </w:p>
        </w:tc>
      </w:tr>
      <w:tr w14:paraId="20AA54E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7" w:hRule="atLeast"/>
          <w:jc w:val="center"/>
        </w:trPr>
        <w:tc>
          <w:tcPr>
            <w:tcW w:w="338" w:type="pct"/>
            <w:vMerge w:val="restart"/>
            <w:vAlign w:val="center"/>
          </w:tcPr>
          <w:p w14:paraId="15B9D12F">
            <w:pPr>
              <w:pStyle w:val="96"/>
              <w:rPr>
                <w:kern w:val="0"/>
              </w:rPr>
            </w:pPr>
            <w:r>
              <w:rPr>
                <w:kern w:val="0"/>
              </w:rPr>
              <w:t>主体工程</w:t>
            </w:r>
          </w:p>
        </w:tc>
        <w:tc>
          <w:tcPr>
            <w:tcW w:w="576" w:type="pct"/>
            <w:vMerge w:val="restart"/>
            <w:vAlign w:val="center"/>
          </w:tcPr>
          <w:p w14:paraId="149AC601">
            <w:pPr>
              <w:pStyle w:val="96"/>
              <w:rPr>
                <w:kern w:val="0"/>
              </w:rPr>
            </w:pPr>
            <w:r>
              <w:rPr>
                <w:rFonts w:hint="eastAsia"/>
                <w:kern w:val="0"/>
              </w:rPr>
              <w:t>综合车间</w:t>
            </w:r>
          </w:p>
        </w:tc>
        <w:tc>
          <w:tcPr>
            <w:tcW w:w="4086" w:type="pct"/>
            <w:vAlign w:val="center"/>
          </w:tcPr>
          <w:p w14:paraId="10AAC43F">
            <w:pPr>
              <w:pStyle w:val="96"/>
              <w:rPr>
                <w:kern w:val="0"/>
              </w:rPr>
            </w:pPr>
          </w:p>
        </w:tc>
      </w:tr>
      <w:tr w14:paraId="1B75D13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7" w:hRule="atLeast"/>
          <w:jc w:val="center"/>
        </w:trPr>
        <w:tc>
          <w:tcPr>
            <w:tcW w:w="338" w:type="pct"/>
            <w:vMerge w:val="continue"/>
            <w:vAlign w:val="center"/>
          </w:tcPr>
          <w:p w14:paraId="0109CBA0">
            <w:pPr>
              <w:pStyle w:val="96"/>
              <w:rPr>
                <w:kern w:val="0"/>
              </w:rPr>
            </w:pPr>
          </w:p>
        </w:tc>
        <w:tc>
          <w:tcPr>
            <w:tcW w:w="576" w:type="pct"/>
            <w:vMerge w:val="continue"/>
            <w:vAlign w:val="center"/>
          </w:tcPr>
          <w:p w14:paraId="6FD558E4">
            <w:pPr>
              <w:pStyle w:val="96"/>
              <w:rPr>
                <w:kern w:val="0"/>
              </w:rPr>
            </w:pPr>
          </w:p>
        </w:tc>
        <w:tc>
          <w:tcPr>
            <w:tcW w:w="4086" w:type="pct"/>
            <w:vAlign w:val="center"/>
          </w:tcPr>
          <w:p w14:paraId="66C023A1">
            <w:pPr>
              <w:pStyle w:val="96"/>
              <w:rPr>
                <w:kern w:val="0"/>
              </w:rPr>
            </w:pPr>
          </w:p>
        </w:tc>
      </w:tr>
      <w:tr w14:paraId="7507994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38" w:type="pct"/>
            <w:vMerge w:val="restart"/>
            <w:vAlign w:val="center"/>
          </w:tcPr>
          <w:p w14:paraId="7AC3147B">
            <w:pPr>
              <w:pStyle w:val="96"/>
              <w:rPr>
                <w:kern w:val="0"/>
              </w:rPr>
            </w:pPr>
            <w:r>
              <w:rPr>
                <w:kern w:val="0"/>
              </w:rPr>
              <w:t>辅助工程</w:t>
            </w:r>
          </w:p>
        </w:tc>
        <w:tc>
          <w:tcPr>
            <w:tcW w:w="576" w:type="pct"/>
            <w:vAlign w:val="center"/>
          </w:tcPr>
          <w:p w14:paraId="28F5BDAD">
            <w:pPr>
              <w:pStyle w:val="96"/>
              <w:rPr>
                <w:kern w:val="0"/>
              </w:rPr>
            </w:pPr>
            <w:r>
              <w:rPr>
                <w:kern w:val="0"/>
              </w:rPr>
              <w:t>办公</w:t>
            </w:r>
            <w:r>
              <w:rPr>
                <w:rFonts w:hint="eastAsia"/>
                <w:kern w:val="0"/>
              </w:rPr>
              <w:t>综合</w:t>
            </w:r>
            <w:r>
              <w:rPr>
                <w:kern w:val="0"/>
              </w:rPr>
              <w:t>楼</w:t>
            </w:r>
          </w:p>
        </w:tc>
        <w:tc>
          <w:tcPr>
            <w:tcW w:w="4086" w:type="pct"/>
            <w:vAlign w:val="center"/>
          </w:tcPr>
          <w:p w14:paraId="767A6D96">
            <w:pPr>
              <w:pStyle w:val="96"/>
              <w:rPr>
                <w:kern w:val="0"/>
              </w:rPr>
            </w:pPr>
          </w:p>
        </w:tc>
      </w:tr>
      <w:tr w14:paraId="4420E33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38" w:type="pct"/>
            <w:vMerge w:val="continue"/>
            <w:vAlign w:val="center"/>
          </w:tcPr>
          <w:p w14:paraId="3F8FE41A">
            <w:pPr>
              <w:pStyle w:val="96"/>
              <w:rPr>
                <w:kern w:val="0"/>
              </w:rPr>
            </w:pPr>
          </w:p>
        </w:tc>
        <w:tc>
          <w:tcPr>
            <w:tcW w:w="576" w:type="pct"/>
            <w:vAlign w:val="center"/>
          </w:tcPr>
          <w:p w14:paraId="0E2E92FD">
            <w:pPr>
              <w:pStyle w:val="96"/>
              <w:rPr>
                <w:kern w:val="0"/>
              </w:rPr>
            </w:pPr>
            <w:r>
              <w:rPr>
                <w:rFonts w:hint="eastAsia"/>
                <w:kern w:val="0"/>
              </w:rPr>
              <w:t>辅助用房</w:t>
            </w:r>
          </w:p>
        </w:tc>
        <w:tc>
          <w:tcPr>
            <w:tcW w:w="4086" w:type="pct"/>
            <w:vAlign w:val="center"/>
          </w:tcPr>
          <w:p w14:paraId="2BC9A9B6">
            <w:pPr>
              <w:pStyle w:val="96"/>
              <w:rPr>
                <w:kern w:val="0"/>
              </w:rPr>
            </w:pPr>
          </w:p>
        </w:tc>
      </w:tr>
      <w:tr w14:paraId="46C474D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38" w:type="pct"/>
            <w:vMerge w:val="continue"/>
            <w:vAlign w:val="center"/>
          </w:tcPr>
          <w:p w14:paraId="3DC931EB">
            <w:pPr>
              <w:pStyle w:val="96"/>
              <w:rPr>
                <w:kern w:val="0"/>
              </w:rPr>
            </w:pPr>
          </w:p>
        </w:tc>
        <w:tc>
          <w:tcPr>
            <w:tcW w:w="576" w:type="pct"/>
            <w:vAlign w:val="center"/>
          </w:tcPr>
          <w:p w14:paraId="6A8CD91D">
            <w:pPr>
              <w:pStyle w:val="96"/>
              <w:rPr>
                <w:kern w:val="0"/>
              </w:rPr>
            </w:pPr>
            <w:r>
              <w:t>消防泵房</w:t>
            </w:r>
          </w:p>
        </w:tc>
        <w:tc>
          <w:tcPr>
            <w:tcW w:w="4086" w:type="pct"/>
            <w:vAlign w:val="center"/>
          </w:tcPr>
          <w:p w14:paraId="38721815">
            <w:pPr>
              <w:pStyle w:val="96"/>
            </w:pPr>
          </w:p>
        </w:tc>
      </w:tr>
      <w:tr w14:paraId="75CB1BA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38" w:type="pct"/>
            <w:vMerge w:val="continue"/>
            <w:vAlign w:val="center"/>
          </w:tcPr>
          <w:p w14:paraId="3E01EA8B">
            <w:pPr>
              <w:pStyle w:val="96"/>
              <w:rPr>
                <w:kern w:val="0"/>
              </w:rPr>
            </w:pPr>
          </w:p>
        </w:tc>
        <w:tc>
          <w:tcPr>
            <w:tcW w:w="576" w:type="pct"/>
            <w:vAlign w:val="center"/>
          </w:tcPr>
          <w:p w14:paraId="6A8FB5A7">
            <w:pPr>
              <w:pStyle w:val="96"/>
              <w:rPr>
                <w:kern w:val="0"/>
              </w:rPr>
            </w:pPr>
            <w:r>
              <w:rPr>
                <w:rFonts w:hint="eastAsia"/>
              </w:rPr>
              <w:t>五金机修间</w:t>
            </w:r>
          </w:p>
        </w:tc>
        <w:tc>
          <w:tcPr>
            <w:tcW w:w="4086" w:type="pct"/>
            <w:vAlign w:val="center"/>
          </w:tcPr>
          <w:p w14:paraId="2638BBBC">
            <w:pPr>
              <w:pStyle w:val="96"/>
              <w:rPr>
                <w:kern w:val="0"/>
              </w:rPr>
            </w:pPr>
          </w:p>
        </w:tc>
      </w:tr>
      <w:tr w14:paraId="3551CB8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38" w:type="pct"/>
            <w:vMerge w:val="continue"/>
            <w:vAlign w:val="center"/>
          </w:tcPr>
          <w:p w14:paraId="428F1661">
            <w:pPr>
              <w:pStyle w:val="96"/>
              <w:rPr>
                <w:kern w:val="0"/>
              </w:rPr>
            </w:pPr>
          </w:p>
        </w:tc>
        <w:tc>
          <w:tcPr>
            <w:tcW w:w="576" w:type="pct"/>
            <w:vAlign w:val="center"/>
          </w:tcPr>
          <w:p w14:paraId="065A6AE6">
            <w:pPr>
              <w:pStyle w:val="96"/>
            </w:pPr>
            <w:r>
              <w:rPr>
                <w:rFonts w:hint="eastAsia"/>
              </w:rPr>
              <w:t>公用工程房</w:t>
            </w:r>
          </w:p>
        </w:tc>
        <w:tc>
          <w:tcPr>
            <w:tcW w:w="4086" w:type="pct"/>
            <w:vAlign w:val="center"/>
          </w:tcPr>
          <w:p w14:paraId="55C39CFF">
            <w:pPr>
              <w:pStyle w:val="96"/>
              <w:rPr>
                <w:color w:val="000000" w:themeColor="text1"/>
                <w14:textFill>
                  <w14:solidFill>
                    <w14:schemeClr w14:val="tx1"/>
                  </w14:solidFill>
                </w14:textFill>
              </w:rPr>
            </w:pPr>
          </w:p>
        </w:tc>
      </w:tr>
      <w:tr w14:paraId="4D9267E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38" w:type="pct"/>
            <w:vMerge w:val="continue"/>
            <w:vAlign w:val="center"/>
          </w:tcPr>
          <w:p w14:paraId="064011B3">
            <w:pPr>
              <w:pStyle w:val="96"/>
              <w:rPr>
                <w:kern w:val="0"/>
              </w:rPr>
            </w:pPr>
          </w:p>
        </w:tc>
        <w:tc>
          <w:tcPr>
            <w:tcW w:w="576" w:type="pct"/>
            <w:vAlign w:val="center"/>
          </w:tcPr>
          <w:p w14:paraId="62F3A8B6">
            <w:pPr>
              <w:pStyle w:val="96"/>
            </w:pPr>
            <w:r>
              <w:t>门卫室</w:t>
            </w:r>
            <w:r>
              <w:rPr>
                <w:rFonts w:hint="eastAsia"/>
              </w:rPr>
              <w:t>一</w:t>
            </w:r>
          </w:p>
        </w:tc>
        <w:tc>
          <w:tcPr>
            <w:tcW w:w="4086" w:type="pct"/>
            <w:vAlign w:val="center"/>
          </w:tcPr>
          <w:p w14:paraId="389C4029">
            <w:pPr>
              <w:pStyle w:val="96"/>
              <w:rPr>
                <w:color w:val="000000" w:themeColor="text1"/>
                <w14:textFill>
                  <w14:solidFill>
                    <w14:schemeClr w14:val="tx1"/>
                  </w14:solidFill>
                </w14:textFill>
              </w:rPr>
            </w:pPr>
          </w:p>
        </w:tc>
      </w:tr>
      <w:tr w14:paraId="4F88662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38" w:type="pct"/>
            <w:vMerge w:val="continue"/>
            <w:vAlign w:val="center"/>
          </w:tcPr>
          <w:p w14:paraId="3CB98ED2">
            <w:pPr>
              <w:pStyle w:val="96"/>
              <w:rPr>
                <w:kern w:val="0"/>
              </w:rPr>
            </w:pPr>
          </w:p>
        </w:tc>
        <w:tc>
          <w:tcPr>
            <w:tcW w:w="576" w:type="pct"/>
            <w:vAlign w:val="center"/>
          </w:tcPr>
          <w:p w14:paraId="35A8DFF6">
            <w:pPr>
              <w:pStyle w:val="96"/>
              <w:rPr>
                <w:kern w:val="0"/>
              </w:rPr>
            </w:pPr>
            <w:r>
              <w:rPr>
                <w:kern w:val="0"/>
              </w:rPr>
              <w:t>门卫室</w:t>
            </w:r>
            <w:r>
              <w:rPr>
                <w:rFonts w:hint="eastAsia"/>
                <w:kern w:val="0"/>
              </w:rPr>
              <w:t>二</w:t>
            </w:r>
          </w:p>
        </w:tc>
        <w:tc>
          <w:tcPr>
            <w:tcW w:w="4086" w:type="pct"/>
            <w:vAlign w:val="center"/>
          </w:tcPr>
          <w:p w14:paraId="2AA4B9C2">
            <w:pPr>
              <w:pStyle w:val="96"/>
              <w:rPr>
                <w:color w:val="EE0000"/>
                <w:kern w:val="0"/>
              </w:rPr>
            </w:pPr>
          </w:p>
        </w:tc>
      </w:tr>
      <w:tr w14:paraId="68447AC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38" w:type="pct"/>
            <w:vMerge w:val="restart"/>
            <w:vAlign w:val="center"/>
          </w:tcPr>
          <w:p w14:paraId="520034F8">
            <w:pPr>
              <w:pStyle w:val="96"/>
              <w:rPr>
                <w:kern w:val="0"/>
              </w:rPr>
            </w:pPr>
            <w:r>
              <w:rPr>
                <w:kern w:val="0"/>
              </w:rPr>
              <w:t>储运工程</w:t>
            </w:r>
          </w:p>
        </w:tc>
        <w:tc>
          <w:tcPr>
            <w:tcW w:w="576" w:type="pct"/>
            <w:vAlign w:val="center"/>
          </w:tcPr>
          <w:p w14:paraId="6CFCEDB3">
            <w:pPr>
              <w:pStyle w:val="96"/>
              <w:rPr>
                <w:kern w:val="0"/>
              </w:rPr>
            </w:pPr>
            <w:r>
              <w:rPr>
                <w:rFonts w:hint="eastAsia"/>
                <w:kern w:val="0"/>
              </w:rPr>
              <w:t>无水氟化氢库房</w:t>
            </w:r>
          </w:p>
        </w:tc>
        <w:tc>
          <w:tcPr>
            <w:tcW w:w="4086" w:type="pct"/>
            <w:vAlign w:val="center"/>
          </w:tcPr>
          <w:p w14:paraId="3E37E38A">
            <w:pPr>
              <w:pStyle w:val="96"/>
              <w:rPr>
                <w:kern w:val="0"/>
              </w:rPr>
            </w:pPr>
          </w:p>
        </w:tc>
      </w:tr>
      <w:tr w14:paraId="3783175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38" w:type="pct"/>
            <w:vMerge w:val="continue"/>
            <w:vAlign w:val="center"/>
          </w:tcPr>
          <w:p w14:paraId="26260320">
            <w:pPr>
              <w:pStyle w:val="96"/>
              <w:rPr>
                <w:kern w:val="0"/>
              </w:rPr>
            </w:pPr>
          </w:p>
        </w:tc>
        <w:tc>
          <w:tcPr>
            <w:tcW w:w="576" w:type="pct"/>
            <w:vMerge w:val="restart"/>
            <w:vAlign w:val="center"/>
          </w:tcPr>
          <w:p w14:paraId="1B52ACBB">
            <w:pPr>
              <w:pStyle w:val="96"/>
              <w:rPr>
                <w:color w:val="000000" w:themeColor="text1"/>
                <w:kern w:val="0"/>
                <w14:textFill>
                  <w14:solidFill>
                    <w14:schemeClr w14:val="tx1"/>
                  </w14:solidFill>
                </w14:textFill>
              </w:rPr>
            </w:pPr>
            <w:r>
              <w:rPr>
                <w:rFonts w:hint="eastAsia"/>
                <w:color w:val="000000" w:themeColor="text1"/>
                <w:kern w:val="0"/>
                <w14:textFill>
                  <w14:solidFill>
                    <w14:schemeClr w14:val="tx1"/>
                  </w14:solidFill>
                </w14:textFill>
              </w:rPr>
              <w:t>原料及产品</w:t>
            </w:r>
            <w:r>
              <w:rPr>
                <w:color w:val="000000" w:themeColor="text1"/>
                <w:kern w:val="0"/>
                <w14:textFill>
                  <w14:solidFill>
                    <w14:schemeClr w14:val="tx1"/>
                  </w14:solidFill>
                </w14:textFill>
              </w:rPr>
              <w:t>罐区</w:t>
            </w:r>
            <w:r>
              <w:rPr>
                <w:rFonts w:hint="eastAsia"/>
                <w:color w:val="000000" w:themeColor="text1"/>
                <w:kern w:val="0"/>
                <w14:textFill>
                  <w14:solidFill>
                    <w14:schemeClr w14:val="tx1"/>
                  </w14:solidFill>
                </w14:textFill>
              </w:rPr>
              <w:t>（</w:t>
            </w:r>
            <w:r>
              <w:rPr>
                <w:rFonts w:hAnsi="宋体"/>
              </w:rPr>
              <w:t>围堰尺寸</w:t>
            </w:r>
            <w:r>
              <w:t>51.6m×46.6m×1.5m</w:t>
            </w:r>
            <w:r>
              <w:rPr>
                <w:rFonts w:hint="eastAsia" w:hAnsi="宋体"/>
              </w:rPr>
              <w:t>）</w:t>
            </w:r>
          </w:p>
        </w:tc>
        <w:tc>
          <w:tcPr>
            <w:tcW w:w="4086" w:type="pct"/>
            <w:vAlign w:val="center"/>
          </w:tcPr>
          <w:p w14:paraId="4DB94E0F">
            <w:pPr>
              <w:pStyle w:val="96"/>
              <w:rPr>
                <w:color w:val="000000" w:themeColor="text1"/>
                <w:kern w:val="0"/>
                <w14:textFill>
                  <w14:solidFill>
                    <w14:schemeClr w14:val="tx1"/>
                  </w14:solidFill>
                </w14:textFill>
              </w:rPr>
            </w:pPr>
          </w:p>
        </w:tc>
      </w:tr>
      <w:tr w14:paraId="74DF085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38" w:type="pct"/>
            <w:vMerge w:val="continue"/>
            <w:vAlign w:val="center"/>
          </w:tcPr>
          <w:p w14:paraId="353AEE7F">
            <w:pPr>
              <w:pStyle w:val="96"/>
              <w:rPr>
                <w:kern w:val="0"/>
              </w:rPr>
            </w:pPr>
          </w:p>
        </w:tc>
        <w:tc>
          <w:tcPr>
            <w:tcW w:w="576" w:type="pct"/>
            <w:vMerge w:val="continue"/>
            <w:vAlign w:val="center"/>
          </w:tcPr>
          <w:p w14:paraId="30DC53DB">
            <w:pPr>
              <w:pStyle w:val="96"/>
              <w:rPr>
                <w:color w:val="000000" w:themeColor="text1"/>
                <w:kern w:val="0"/>
                <w14:textFill>
                  <w14:solidFill>
                    <w14:schemeClr w14:val="tx1"/>
                  </w14:solidFill>
                </w14:textFill>
              </w:rPr>
            </w:pPr>
          </w:p>
        </w:tc>
        <w:tc>
          <w:tcPr>
            <w:tcW w:w="4086" w:type="pct"/>
            <w:vAlign w:val="center"/>
          </w:tcPr>
          <w:p w14:paraId="0F89CA9C">
            <w:pPr>
              <w:pStyle w:val="96"/>
              <w:rPr>
                <w:color w:val="000000" w:themeColor="text1"/>
                <w:kern w:val="0"/>
                <w14:textFill>
                  <w14:solidFill>
                    <w14:schemeClr w14:val="tx1"/>
                  </w14:solidFill>
                </w14:textFill>
              </w:rPr>
            </w:pPr>
          </w:p>
        </w:tc>
      </w:tr>
      <w:tr w14:paraId="5019560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38" w:type="pct"/>
            <w:vMerge w:val="continue"/>
            <w:vAlign w:val="center"/>
          </w:tcPr>
          <w:p w14:paraId="1A8C9747">
            <w:pPr>
              <w:pStyle w:val="96"/>
              <w:rPr>
                <w:kern w:val="0"/>
              </w:rPr>
            </w:pPr>
          </w:p>
        </w:tc>
        <w:tc>
          <w:tcPr>
            <w:tcW w:w="576" w:type="pct"/>
            <w:vMerge w:val="continue"/>
            <w:vAlign w:val="center"/>
          </w:tcPr>
          <w:p w14:paraId="1E942EF9">
            <w:pPr>
              <w:pStyle w:val="96"/>
              <w:rPr>
                <w:color w:val="000000" w:themeColor="text1"/>
                <w:kern w:val="0"/>
                <w14:textFill>
                  <w14:solidFill>
                    <w14:schemeClr w14:val="tx1"/>
                  </w14:solidFill>
                </w14:textFill>
              </w:rPr>
            </w:pPr>
          </w:p>
        </w:tc>
        <w:tc>
          <w:tcPr>
            <w:tcW w:w="4086" w:type="pct"/>
            <w:vAlign w:val="center"/>
          </w:tcPr>
          <w:p w14:paraId="35DAD86E">
            <w:pPr>
              <w:pStyle w:val="96"/>
              <w:rPr>
                <w:color w:val="000000" w:themeColor="text1"/>
                <w:kern w:val="0"/>
                <w14:textFill>
                  <w14:solidFill>
                    <w14:schemeClr w14:val="tx1"/>
                  </w14:solidFill>
                </w14:textFill>
              </w:rPr>
            </w:pPr>
          </w:p>
        </w:tc>
      </w:tr>
      <w:tr w14:paraId="38A213A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38" w:type="pct"/>
            <w:vMerge w:val="continue"/>
            <w:vAlign w:val="center"/>
          </w:tcPr>
          <w:p w14:paraId="581E7606">
            <w:pPr>
              <w:pStyle w:val="96"/>
              <w:rPr>
                <w:kern w:val="0"/>
              </w:rPr>
            </w:pPr>
          </w:p>
        </w:tc>
        <w:tc>
          <w:tcPr>
            <w:tcW w:w="576" w:type="pct"/>
            <w:vMerge w:val="continue"/>
            <w:vAlign w:val="center"/>
          </w:tcPr>
          <w:p w14:paraId="23A2AD88">
            <w:pPr>
              <w:pStyle w:val="96"/>
              <w:rPr>
                <w:color w:val="000000" w:themeColor="text1"/>
                <w:kern w:val="0"/>
                <w14:textFill>
                  <w14:solidFill>
                    <w14:schemeClr w14:val="tx1"/>
                  </w14:solidFill>
                </w14:textFill>
              </w:rPr>
            </w:pPr>
          </w:p>
        </w:tc>
        <w:tc>
          <w:tcPr>
            <w:tcW w:w="4086" w:type="pct"/>
            <w:vAlign w:val="center"/>
          </w:tcPr>
          <w:p w14:paraId="32E7FCB8">
            <w:pPr>
              <w:pStyle w:val="96"/>
              <w:rPr>
                <w:color w:val="000000" w:themeColor="text1"/>
                <w:kern w:val="0"/>
                <w14:textFill>
                  <w14:solidFill>
                    <w14:schemeClr w14:val="tx1"/>
                  </w14:solidFill>
                </w14:textFill>
              </w:rPr>
            </w:pPr>
          </w:p>
        </w:tc>
      </w:tr>
      <w:tr w14:paraId="5FA32C2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38" w:type="pct"/>
            <w:vMerge w:val="continue"/>
            <w:vAlign w:val="center"/>
          </w:tcPr>
          <w:p w14:paraId="3FC62572">
            <w:pPr>
              <w:pStyle w:val="96"/>
              <w:rPr>
                <w:kern w:val="0"/>
              </w:rPr>
            </w:pPr>
          </w:p>
        </w:tc>
        <w:tc>
          <w:tcPr>
            <w:tcW w:w="576" w:type="pct"/>
            <w:vMerge w:val="continue"/>
            <w:vAlign w:val="center"/>
          </w:tcPr>
          <w:p w14:paraId="2F9762F4">
            <w:pPr>
              <w:pStyle w:val="96"/>
              <w:rPr>
                <w:color w:val="000000" w:themeColor="text1"/>
                <w:kern w:val="0"/>
                <w14:textFill>
                  <w14:solidFill>
                    <w14:schemeClr w14:val="tx1"/>
                  </w14:solidFill>
                </w14:textFill>
              </w:rPr>
            </w:pPr>
          </w:p>
        </w:tc>
        <w:tc>
          <w:tcPr>
            <w:tcW w:w="4086" w:type="pct"/>
            <w:vAlign w:val="center"/>
          </w:tcPr>
          <w:p w14:paraId="5DBBEAA1">
            <w:pPr>
              <w:pStyle w:val="96"/>
              <w:rPr>
                <w:color w:val="000000" w:themeColor="text1"/>
                <w:kern w:val="0"/>
                <w14:textFill>
                  <w14:solidFill>
                    <w14:schemeClr w14:val="tx1"/>
                  </w14:solidFill>
                </w14:textFill>
              </w:rPr>
            </w:pPr>
          </w:p>
        </w:tc>
      </w:tr>
      <w:tr w14:paraId="5E4231B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38" w:type="pct"/>
            <w:vMerge w:val="continue"/>
            <w:vAlign w:val="center"/>
          </w:tcPr>
          <w:p w14:paraId="3B23615D">
            <w:pPr>
              <w:pStyle w:val="96"/>
              <w:rPr>
                <w:kern w:val="0"/>
              </w:rPr>
            </w:pPr>
          </w:p>
        </w:tc>
        <w:tc>
          <w:tcPr>
            <w:tcW w:w="576" w:type="pct"/>
            <w:vAlign w:val="center"/>
          </w:tcPr>
          <w:p w14:paraId="575AF0D2">
            <w:pPr>
              <w:pStyle w:val="96"/>
              <w:rPr>
                <w:kern w:val="0"/>
              </w:rPr>
            </w:pPr>
            <w:r>
              <w:rPr>
                <w:color w:val="000000" w:themeColor="text1"/>
                <w14:textFill>
                  <w14:solidFill>
                    <w14:schemeClr w14:val="tx1"/>
                  </w14:solidFill>
                </w14:textFill>
              </w:rPr>
              <w:t>丁类仓库</w:t>
            </w:r>
          </w:p>
        </w:tc>
        <w:tc>
          <w:tcPr>
            <w:tcW w:w="4086" w:type="pct"/>
            <w:vAlign w:val="center"/>
          </w:tcPr>
          <w:p w14:paraId="56D57F6E">
            <w:pPr>
              <w:pStyle w:val="96"/>
              <w:rPr>
                <w:kern w:val="0"/>
              </w:rPr>
            </w:pPr>
          </w:p>
        </w:tc>
      </w:tr>
      <w:tr w14:paraId="1C642A6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38" w:type="pct"/>
            <w:vMerge w:val="restart"/>
            <w:vAlign w:val="center"/>
          </w:tcPr>
          <w:p w14:paraId="737CA5EF">
            <w:pPr>
              <w:pStyle w:val="96"/>
              <w:rPr>
                <w:kern w:val="0"/>
              </w:rPr>
            </w:pPr>
            <w:r>
              <w:rPr>
                <w:kern w:val="0"/>
              </w:rPr>
              <w:t>公用工程</w:t>
            </w:r>
          </w:p>
        </w:tc>
        <w:tc>
          <w:tcPr>
            <w:tcW w:w="576" w:type="pct"/>
            <w:vAlign w:val="center"/>
          </w:tcPr>
          <w:p w14:paraId="0FF6A449">
            <w:pPr>
              <w:pStyle w:val="96"/>
              <w:rPr>
                <w:kern w:val="0"/>
              </w:rPr>
            </w:pPr>
            <w:r>
              <w:rPr>
                <w:kern w:val="0"/>
              </w:rPr>
              <w:t>供水</w:t>
            </w:r>
          </w:p>
        </w:tc>
        <w:tc>
          <w:tcPr>
            <w:tcW w:w="4086" w:type="pct"/>
            <w:vAlign w:val="center"/>
          </w:tcPr>
          <w:p w14:paraId="6EDE9884">
            <w:pPr>
              <w:pStyle w:val="96"/>
              <w:rPr>
                <w:color w:val="EE0000"/>
                <w:kern w:val="0"/>
              </w:rPr>
            </w:pPr>
          </w:p>
        </w:tc>
      </w:tr>
      <w:tr w14:paraId="18C4D90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38" w:type="pct"/>
            <w:vMerge w:val="continue"/>
            <w:vAlign w:val="center"/>
          </w:tcPr>
          <w:p w14:paraId="49BB8650">
            <w:pPr>
              <w:pStyle w:val="96"/>
              <w:rPr>
                <w:kern w:val="0"/>
              </w:rPr>
            </w:pPr>
          </w:p>
        </w:tc>
        <w:tc>
          <w:tcPr>
            <w:tcW w:w="576" w:type="pct"/>
            <w:vAlign w:val="center"/>
          </w:tcPr>
          <w:p w14:paraId="3A1C7D2F">
            <w:pPr>
              <w:pStyle w:val="96"/>
              <w:rPr>
                <w:kern w:val="0"/>
              </w:rPr>
            </w:pPr>
            <w:r>
              <w:rPr>
                <w:kern w:val="0"/>
              </w:rPr>
              <w:t>排水</w:t>
            </w:r>
          </w:p>
        </w:tc>
        <w:tc>
          <w:tcPr>
            <w:tcW w:w="4086" w:type="pct"/>
            <w:vAlign w:val="center"/>
          </w:tcPr>
          <w:p w14:paraId="515BD682">
            <w:pPr>
              <w:pStyle w:val="96"/>
              <w:rPr>
                <w:kern w:val="0"/>
              </w:rPr>
            </w:pPr>
          </w:p>
        </w:tc>
      </w:tr>
      <w:tr w14:paraId="57DB9CC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38" w:type="pct"/>
            <w:vMerge w:val="continue"/>
            <w:vAlign w:val="center"/>
          </w:tcPr>
          <w:p w14:paraId="52C68B47">
            <w:pPr>
              <w:pStyle w:val="96"/>
              <w:rPr>
                <w:kern w:val="0"/>
              </w:rPr>
            </w:pPr>
          </w:p>
        </w:tc>
        <w:tc>
          <w:tcPr>
            <w:tcW w:w="576" w:type="pct"/>
            <w:vAlign w:val="center"/>
          </w:tcPr>
          <w:p w14:paraId="25DA034D">
            <w:pPr>
              <w:pStyle w:val="96"/>
              <w:rPr>
                <w:kern w:val="0"/>
              </w:rPr>
            </w:pPr>
            <w:r>
              <w:rPr>
                <w:kern w:val="0"/>
              </w:rPr>
              <w:t>供电</w:t>
            </w:r>
          </w:p>
        </w:tc>
        <w:tc>
          <w:tcPr>
            <w:tcW w:w="4086" w:type="pct"/>
            <w:vAlign w:val="center"/>
          </w:tcPr>
          <w:p w14:paraId="37BD7904">
            <w:pPr>
              <w:pStyle w:val="96"/>
              <w:rPr>
                <w:kern w:val="0"/>
              </w:rPr>
            </w:pPr>
          </w:p>
        </w:tc>
      </w:tr>
      <w:tr w14:paraId="1A8A1D3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38" w:type="pct"/>
            <w:vMerge w:val="continue"/>
            <w:vAlign w:val="center"/>
          </w:tcPr>
          <w:p w14:paraId="1F1B9CE0">
            <w:pPr>
              <w:pStyle w:val="96"/>
              <w:rPr>
                <w:kern w:val="0"/>
              </w:rPr>
            </w:pPr>
          </w:p>
        </w:tc>
        <w:tc>
          <w:tcPr>
            <w:tcW w:w="576" w:type="pct"/>
            <w:vAlign w:val="center"/>
          </w:tcPr>
          <w:p w14:paraId="015DF187">
            <w:pPr>
              <w:pStyle w:val="96"/>
              <w:rPr>
                <w:kern w:val="0"/>
              </w:rPr>
            </w:pPr>
            <w:r>
              <w:rPr>
                <w:kern w:val="0"/>
              </w:rPr>
              <w:t>供热</w:t>
            </w:r>
          </w:p>
        </w:tc>
        <w:tc>
          <w:tcPr>
            <w:tcW w:w="4086" w:type="pct"/>
            <w:vAlign w:val="center"/>
          </w:tcPr>
          <w:p w14:paraId="0C078BB5">
            <w:pPr>
              <w:pStyle w:val="96"/>
              <w:rPr>
                <w:kern w:val="0"/>
              </w:rPr>
            </w:pPr>
          </w:p>
        </w:tc>
      </w:tr>
      <w:tr w14:paraId="2AD994C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38" w:type="pct"/>
            <w:vMerge w:val="continue"/>
            <w:vAlign w:val="center"/>
          </w:tcPr>
          <w:p w14:paraId="3F8E7525">
            <w:pPr>
              <w:pStyle w:val="96"/>
              <w:rPr>
                <w:kern w:val="0"/>
              </w:rPr>
            </w:pPr>
          </w:p>
        </w:tc>
        <w:tc>
          <w:tcPr>
            <w:tcW w:w="576" w:type="pct"/>
            <w:vAlign w:val="center"/>
          </w:tcPr>
          <w:p w14:paraId="5730DF33">
            <w:pPr>
              <w:pStyle w:val="96"/>
              <w:rPr>
                <w:kern w:val="0"/>
              </w:rPr>
            </w:pPr>
            <w:r>
              <w:rPr>
                <w:kern w:val="0"/>
              </w:rPr>
              <w:t>循环水系统</w:t>
            </w:r>
          </w:p>
        </w:tc>
        <w:tc>
          <w:tcPr>
            <w:tcW w:w="4086" w:type="pct"/>
            <w:vAlign w:val="center"/>
          </w:tcPr>
          <w:p w14:paraId="08EF8617">
            <w:pPr>
              <w:pStyle w:val="96"/>
              <w:rPr>
                <w:kern w:val="0"/>
              </w:rPr>
            </w:pPr>
          </w:p>
        </w:tc>
      </w:tr>
      <w:tr w14:paraId="10EA2E0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38" w:type="pct"/>
            <w:vMerge w:val="continue"/>
            <w:vAlign w:val="center"/>
          </w:tcPr>
          <w:p w14:paraId="782DEF35">
            <w:pPr>
              <w:pStyle w:val="96"/>
              <w:rPr>
                <w:kern w:val="0"/>
              </w:rPr>
            </w:pPr>
          </w:p>
        </w:tc>
        <w:tc>
          <w:tcPr>
            <w:tcW w:w="576" w:type="pct"/>
            <w:vAlign w:val="center"/>
          </w:tcPr>
          <w:p w14:paraId="153EBEB1">
            <w:pPr>
              <w:pStyle w:val="96"/>
              <w:rPr>
                <w:kern w:val="0"/>
              </w:rPr>
            </w:pPr>
            <w:r>
              <w:rPr>
                <w:kern w:val="0"/>
              </w:rPr>
              <w:t>制冷</w:t>
            </w:r>
          </w:p>
        </w:tc>
        <w:tc>
          <w:tcPr>
            <w:tcW w:w="4086" w:type="pct"/>
            <w:vAlign w:val="center"/>
          </w:tcPr>
          <w:p w14:paraId="23263849">
            <w:pPr>
              <w:pStyle w:val="96"/>
              <w:rPr>
                <w:kern w:val="0"/>
              </w:rPr>
            </w:pPr>
          </w:p>
        </w:tc>
      </w:tr>
      <w:tr w14:paraId="19A9A0D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38" w:type="pct"/>
            <w:vMerge w:val="continue"/>
            <w:vAlign w:val="center"/>
          </w:tcPr>
          <w:p w14:paraId="5E5A0216">
            <w:pPr>
              <w:pStyle w:val="96"/>
              <w:rPr>
                <w:kern w:val="0"/>
              </w:rPr>
            </w:pPr>
          </w:p>
        </w:tc>
        <w:tc>
          <w:tcPr>
            <w:tcW w:w="576" w:type="pct"/>
            <w:vAlign w:val="center"/>
          </w:tcPr>
          <w:p w14:paraId="3E0EFCAE">
            <w:pPr>
              <w:pStyle w:val="96"/>
              <w:rPr>
                <w:kern w:val="0"/>
              </w:rPr>
            </w:pPr>
            <w:r>
              <w:rPr>
                <w:rFonts w:hint="eastAsia"/>
                <w:kern w:val="0"/>
              </w:rPr>
              <w:t>超纯水制备</w:t>
            </w:r>
          </w:p>
        </w:tc>
        <w:tc>
          <w:tcPr>
            <w:tcW w:w="4086" w:type="pct"/>
            <w:vAlign w:val="center"/>
          </w:tcPr>
          <w:p w14:paraId="60006E42">
            <w:pPr>
              <w:pStyle w:val="96"/>
              <w:rPr>
                <w:kern w:val="0"/>
              </w:rPr>
            </w:pPr>
          </w:p>
        </w:tc>
      </w:tr>
      <w:tr w14:paraId="7D94BDB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38" w:type="pct"/>
            <w:vMerge w:val="continue"/>
            <w:vAlign w:val="center"/>
          </w:tcPr>
          <w:p w14:paraId="02F59E37">
            <w:pPr>
              <w:pStyle w:val="96"/>
              <w:rPr>
                <w:kern w:val="0"/>
              </w:rPr>
            </w:pPr>
          </w:p>
        </w:tc>
        <w:tc>
          <w:tcPr>
            <w:tcW w:w="576" w:type="pct"/>
            <w:vAlign w:val="center"/>
          </w:tcPr>
          <w:p w14:paraId="23C35044">
            <w:pPr>
              <w:pStyle w:val="96"/>
              <w:rPr>
                <w:kern w:val="0"/>
              </w:rPr>
            </w:pPr>
            <w:r>
              <w:rPr>
                <w:kern w:val="0"/>
              </w:rPr>
              <w:t>空压、制氮系统</w:t>
            </w:r>
          </w:p>
        </w:tc>
        <w:tc>
          <w:tcPr>
            <w:tcW w:w="4086" w:type="pct"/>
            <w:vAlign w:val="center"/>
          </w:tcPr>
          <w:p w14:paraId="16EB0199">
            <w:pPr>
              <w:pStyle w:val="96"/>
              <w:rPr>
                <w:kern w:val="0"/>
              </w:rPr>
            </w:pPr>
          </w:p>
        </w:tc>
      </w:tr>
      <w:tr w14:paraId="05C00E1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38" w:type="pct"/>
            <w:vMerge w:val="restart"/>
            <w:vAlign w:val="center"/>
          </w:tcPr>
          <w:p w14:paraId="4E3F013A">
            <w:pPr>
              <w:pStyle w:val="96"/>
              <w:rPr>
                <w:kern w:val="0"/>
              </w:rPr>
            </w:pPr>
            <w:r>
              <w:rPr>
                <w:kern w:val="0"/>
              </w:rPr>
              <w:t>环保工程</w:t>
            </w:r>
          </w:p>
        </w:tc>
        <w:tc>
          <w:tcPr>
            <w:tcW w:w="576" w:type="pct"/>
            <w:vAlign w:val="center"/>
          </w:tcPr>
          <w:p w14:paraId="621EEFB3">
            <w:pPr>
              <w:pStyle w:val="96"/>
              <w:rPr>
                <w:kern w:val="0"/>
              </w:rPr>
            </w:pPr>
            <w:r>
              <w:rPr>
                <w:kern w:val="0"/>
              </w:rPr>
              <w:t>废气治理</w:t>
            </w:r>
          </w:p>
        </w:tc>
        <w:tc>
          <w:tcPr>
            <w:tcW w:w="4086" w:type="pct"/>
            <w:vAlign w:val="center"/>
          </w:tcPr>
          <w:p w14:paraId="25D5E14C">
            <w:pPr>
              <w:pStyle w:val="96"/>
              <w:rPr>
                <w:kern w:val="0"/>
              </w:rPr>
            </w:pPr>
          </w:p>
        </w:tc>
      </w:tr>
      <w:tr w14:paraId="5AB4DBC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38" w:type="pct"/>
            <w:vMerge w:val="continue"/>
            <w:vAlign w:val="center"/>
          </w:tcPr>
          <w:p w14:paraId="33E85A86">
            <w:pPr>
              <w:pStyle w:val="96"/>
              <w:rPr>
                <w:kern w:val="0"/>
              </w:rPr>
            </w:pPr>
          </w:p>
        </w:tc>
        <w:tc>
          <w:tcPr>
            <w:tcW w:w="576" w:type="pct"/>
            <w:vAlign w:val="center"/>
          </w:tcPr>
          <w:p w14:paraId="73E590EE">
            <w:pPr>
              <w:pStyle w:val="96"/>
              <w:rPr>
                <w:kern w:val="0"/>
              </w:rPr>
            </w:pPr>
            <w:r>
              <w:rPr>
                <w:kern w:val="0"/>
              </w:rPr>
              <w:t>废水治理</w:t>
            </w:r>
          </w:p>
        </w:tc>
        <w:tc>
          <w:tcPr>
            <w:tcW w:w="4086" w:type="pct"/>
            <w:vAlign w:val="center"/>
          </w:tcPr>
          <w:p w14:paraId="48F5FAE3">
            <w:pPr>
              <w:pStyle w:val="96"/>
              <w:rPr>
                <w:color w:val="EE0000"/>
                <w:kern w:val="0"/>
              </w:rPr>
            </w:pPr>
          </w:p>
        </w:tc>
      </w:tr>
      <w:tr w14:paraId="24D0BA9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38" w:type="pct"/>
            <w:vMerge w:val="continue"/>
            <w:vAlign w:val="center"/>
          </w:tcPr>
          <w:p w14:paraId="675FB54F">
            <w:pPr>
              <w:pStyle w:val="96"/>
              <w:rPr>
                <w:kern w:val="0"/>
              </w:rPr>
            </w:pPr>
          </w:p>
        </w:tc>
        <w:tc>
          <w:tcPr>
            <w:tcW w:w="576" w:type="pct"/>
            <w:vAlign w:val="center"/>
          </w:tcPr>
          <w:p w14:paraId="5DBB7FFF">
            <w:pPr>
              <w:pStyle w:val="96"/>
              <w:rPr>
                <w:kern w:val="0"/>
              </w:rPr>
            </w:pPr>
            <w:r>
              <w:rPr>
                <w:kern w:val="0"/>
              </w:rPr>
              <w:t>噪声治理</w:t>
            </w:r>
          </w:p>
        </w:tc>
        <w:tc>
          <w:tcPr>
            <w:tcW w:w="4086" w:type="pct"/>
            <w:vAlign w:val="center"/>
          </w:tcPr>
          <w:p w14:paraId="7D2A53D7">
            <w:pPr>
              <w:pStyle w:val="96"/>
              <w:rPr>
                <w:kern w:val="0"/>
              </w:rPr>
            </w:pPr>
          </w:p>
        </w:tc>
      </w:tr>
      <w:tr w14:paraId="14D2AAC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38" w:type="pct"/>
            <w:vMerge w:val="continue"/>
            <w:vAlign w:val="center"/>
          </w:tcPr>
          <w:p w14:paraId="7692A451">
            <w:pPr>
              <w:adjustRightInd w:val="0"/>
              <w:snapToGrid w:val="0"/>
              <w:jc w:val="center"/>
              <w:rPr>
                <w:rFonts w:ascii="Times New Roman" w:hAnsi="Times New Roman" w:cs="Times New Roman"/>
                <w:kern w:val="1"/>
                <w:sz w:val="21"/>
                <w:lang w:eastAsia="zh-CN"/>
              </w:rPr>
            </w:pPr>
          </w:p>
        </w:tc>
        <w:tc>
          <w:tcPr>
            <w:tcW w:w="576" w:type="pct"/>
            <w:vMerge w:val="restart"/>
            <w:vAlign w:val="center"/>
          </w:tcPr>
          <w:p w14:paraId="72B6AE7C">
            <w:pPr>
              <w:pStyle w:val="96"/>
              <w:rPr>
                <w:kern w:val="0"/>
              </w:rPr>
            </w:pPr>
            <w:r>
              <w:rPr>
                <w:kern w:val="0"/>
              </w:rPr>
              <w:t>固废治理</w:t>
            </w:r>
          </w:p>
        </w:tc>
        <w:tc>
          <w:tcPr>
            <w:tcW w:w="4086" w:type="pct"/>
            <w:vAlign w:val="center"/>
          </w:tcPr>
          <w:p w14:paraId="6550BD03">
            <w:pPr>
              <w:pStyle w:val="96"/>
              <w:rPr>
                <w:color w:val="000000" w:themeColor="text1"/>
                <w:kern w:val="0"/>
                <w14:textFill>
                  <w14:solidFill>
                    <w14:schemeClr w14:val="tx1"/>
                  </w14:solidFill>
                </w14:textFill>
              </w:rPr>
            </w:pPr>
          </w:p>
        </w:tc>
      </w:tr>
      <w:tr w14:paraId="1A4BB61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38" w:type="pct"/>
            <w:vMerge w:val="continue"/>
            <w:vAlign w:val="center"/>
          </w:tcPr>
          <w:p w14:paraId="70EE1736">
            <w:pPr>
              <w:adjustRightInd w:val="0"/>
              <w:snapToGrid w:val="0"/>
              <w:jc w:val="center"/>
              <w:rPr>
                <w:rFonts w:ascii="Times New Roman" w:hAnsi="Times New Roman" w:cs="Times New Roman"/>
                <w:kern w:val="1"/>
                <w:sz w:val="21"/>
                <w:lang w:eastAsia="zh-CN"/>
              </w:rPr>
            </w:pPr>
          </w:p>
        </w:tc>
        <w:tc>
          <w:tcPr>
            <w:tcW w:w="576" w:type="pct"/>
            <w:vMerge w:val="continue"/>
            <w:vAlign w:val="center"/>
          </w:tcPr>
          <w:p w14:paraId="78FD760A">
            <w:pPr>
              <w:pStyle w:val="96"/>
              <w:rPr>
                <w:kern w:val="0"/>
              </w:rPr>
            </w:pPr>
          </w:p>
        </w:tc>
        <w:tc>
          <w:tcPr>
            <w:tcW w:w="4086" w:type="pct"/>
            <w:vAlign w:val="center"/>
          </w:tcPr>
          <w:p w14:paraId="2EA64E8D">
            <w:pPr>
              <w:pStyle w:val="96"/>
              <w:rPr>
                <w:color w:val="000000" w:themeColor="text1"/>
                <w:kern w:val="0"/>
                <w14:textFill>
                  <w14:solidFill>
                    <w14:schemeClr w14:val="tx1"/>
                  </w14:solidFill>
                </w14:textFill>
              </w:rPr>
            </w:pPr>
          </w:p>
        </w:tc>
      </w:tr>
      <w:tr w14:paraId="6021DDC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38" w:type="pct"/>
            <w:vMerge w:val="continue"/>
            <w:vAlign w:val="center"/>
          </w:tcPr>
          <w:p w14:paraId="6594C14E">
            <w:pPr>
              <w:adjustRightInd w:val="0"/>
              <w:snapToGrid w:val="0"/>
              <w:jc w:val="center"/>
              <w:rPr>
                <w:rFonts w:ascii="Times New Roman" w:hAnsi="Times New Roman" w:cs="Times New Roman"/>
                <w:kern w:val="1"/>
                <w:sz w:val="21"/>
                <w:lang w:eastAsia="zh-CN"/>
              </w:rPr>
            </w:pPr>
          </w:p>
        </w:tc>
        <w:tc>
          <w:tcPr>
            <w:tcW w:w="576" w:type="pct"/>
            <w:vAlign w:val="center"/>
          </w:tcPr>
          <w:p w14:paraId="16C8B557">
            <w:pPr>
              <w:adjustRightInd w:val="0"/>
              <w:snapToGrid w:val="0"/>
              <w:jc w:val="center"/>
              <w:rPr>
                <w:rFonts w:ascii="Times New Roman" w:hAnsi="Times New Roman" w:cs="Times New Roman"/>
                <w:color w:val="000000" w:themeColor="text1"/>
                <w:kern w:val="1"/>
                <w:sz w:val="21"/>
                <w14:textFill>
                  <w14:solidFill>
                    <w14:schemeClr w14:val="tx1"/>
                  </w14:solidFill>
                </w14:textFill>
              </w:rPr>
            </w:pPr>
            <w:r>
              <w:rPr>
                <w:rFonts w:ascii="Times New Roman" w:hAnsi="Times New Roman" w:cs="Times New Roman"/>
                <w:color w:val="000000" w:themeColor="text1"/>
                <w:kern w:val="1"/>
                <w:sz w:val="21"/>
                <w14:textFill>
                  <w14:solidFill>
                    <w14:schemeClr w14:val="tx1"/>
                  </w14:solidFill>
                </w14:textFill>
              </w:rPr>
              <w:t>地下水治理</w:t>
            </w:r>
          </w:p>
        </w:tc>
        <w:tc>
          <w:tcPr>
            <w:tcW w:w="4086" w:type="pct"/>
            <w:vAlign w:val="center"/>
          </w:tcPr>
          <w:p w14:paraId="2CE18294">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r>
      <w:tr w14:paraId="1D84878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38" w:type="pct"/>
            <w:vMerge w:val="continue"/>
            <w:vAlign w:val="center"/>
          </w:tcPr>
          <w:p w14:paraId="0E46E62E">
            <w:pPr>
              <w:adjustRightInd w:val="0"/>
              <w:snapToGrid w:val="0"/>
              <w:jc w:val="center"/>
              <w:rPr>
                <w:rFonts w:ascii="Times New Roman" w:hAnsi="Times New Roman" w:cs="Times New Roman"/>
                <w:kern w:val="1"/>
                <w:sz w:val="21"/>
                <w:lang w:eastAsia="zh-CN"/>
              </w:rPr>
            </w:pPr>
          </w:p>
        </w:tc>
        <w:tc>
          <w:tcPr>
            <w:tcW w:w="576" w:type="pct"/>
            <w:vAlign w:val="center"/>
          </w:tcPr>
          <w:p w14:paraId="50F92AFB">
            <w:pPr>
              <w:adjustRightInd w:val="0"/>
              <w:snapToGrid w:val="0"/>
              <w:jc w:val="center"/>
              <w:rPr>
                <w:rFonts w:ascii="Times New Roman" w:hAnsi="Times New Roman" w:cs="Times New Roman"/>
                <w:kern w:val="1"/>
                <w:sz w:val="21"/>
              </w:rPr>
            </w:pPr>
            <w:r>
              <w:rPr>
                <w:rFonts w:ascii="Times New Roman" w:hAnsi="Times New Roman" w:cs="Times New Roman"/>
                <w:kern w:val="1"/>
                <w:sz w:val="21"/>
              </w:rPr>
              <w:t>环境风险</w:t>
            </w:r>
          </w:p>
        </w:tc>
        <w:tc>
          <w:tcPr>
            <w:tcW w:w="4086" w:type="pct"/>
            <w:vAlign w:val="center"/>
          </w:tcPr>
          <w:p w14:paraId="01F2C8D6">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r>
      <w:bookmarkEnd w:id="439"/>
    </w:tbl>
    <w:p w14:paraId="702087F5">
      <w:pPr>
        <w:rPr>
          <w:rFonts w:ascii="Times New Roman" w:hAnsi="Times New Roman" w:cs="Times New Roman"/>
          <w:b/>
          <w:bCs/>
          <w:color w:val="auto"/>
          <w:szCs w:val="24"/>
          <w:lang w:eastAsia="zh-CN"/>
        </w:rPr>
        <w:sectPr>
          <w:pgSz w:w="16838" w:h="11906" w:orient="landscape"/>
          <w:pgMar w:top="1440" w:right="1440" w:bottom="1440" w:left="1440" w:header="851" w:footer="992" w:gutter="0"/>
          <w:cols w:space="720" w:num="1"/>
          <w:docGrid w:type="lines" w:linePitch="326" w:charSpace="0"/>
        </w:sectPr>
      </w:pPr>
    </w:p>
    <w:p w14:paraId="17EC359B">
      <w:pPr>
        <w:spacing w:line="360" w:lineRule="auto"/>
        <w:ind w:firstLine="482"/>
        <w:jc w:val="both"/>
        <w:outlineLvl w:val="2"/>
        <w:rPr>
          <w:rFonts w:ascii="Times New Roman" w:hAnsi="Times New Roman" w:cs="Times New Roman"/>
          <w:b/>
          <w:bCs/>
          <w:color w:val="auto"/>
          <w:szCs w:val="24"/>
          <w:lang w:eastAsia="zh-CN"/>
        </w:rPr>
      </w:pPr>
      <w:bookmarkStart w:id="440" w:name="_Toc217662625"/>
      <w:bookmarkStart w:id="441" w:name="_Toc231828547"/>
      <w:bookmarkStart w:id="442" w:name="_Toc223425010"/>
      <w:bookmarkStart w:id="443" w:name="_Toc236641795"/>
      <w:bookmarkStart w:id="444" w:name="_Toc224674648"/>
      <w:bookmarkStart w:id="445" w:name="_Toc204515167"/>
      <w:bookmarkStart w:id="446" w:name="_Toc237508261"/>
      <w:bookmarkStart w:id="447" w:name="_Toc236641278"/>
      <w:bookmarkStart w:id="448" w:name="_Toc225784009"/>
      <w:bookmarkStart w:id="449" w:name="_Toc203926967"/>
      <w:bookmarkStart w:id="450" w:name="_Toc204448432"/>
      <w:bookmarkStart w:id="451" w:name="_Toc221900792"/>
      <w:bookmarkStart w:id="452" w:name="_Toc218784235"/>
      <w:r>
        <w:rPr>
          <w:rFonts w:ascii="Times New Roman" w:hAnsi="Times New Roman" w:cs="Times New Roman"/>
          <w:b/>
          <w:bCs/>
          <w:color w:val="auto"/>
          <w:szCs w:val="24"/>
          <w:lang w:eastAsia="zh-CN"/>
        </w:rPr>
        <w:t>3.</w:t>
      </w:r>
      <w:r>
        <w:rPr>
          <w:rFonts w:hint="eastAsia" w:ascii="Times New Roman" w:hAnsi="Times New Roman" w:cs="Times New Roman"/>
          <w:b/>
          <w:bCs/>
          <w:color w:val="auto"/>
          <w:szCs w:val="24"/>
          <w:lang w:eastAsia="zh-CN"/>
        </w:rPr>
        <w:t>1</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3 现有工程</w:t>
      </w:r>
      <w:r>
        <w:rPr>
          <w:rFonts w:ascii="Times New Roman" w:hAnsi="Times New Roman" w:cs="Times New Roman"/>
          <w:b/>
          <w:bCs/>
          <w:color w:val="auto"/>
          <w:szCs w:val="24"/>
          <w:lang w:eastAsia="zh-CN"/>
        </w:rPr>
        <w:t>产品方案</w:t>
      </w:r>
      <w:bookmarkEnd w:id="440"/>
      <w:bookmarkEnd w:id="441"/>
      <w:bookmarkEnd w:id="442"/>
      <w:bookmarkEnd w:id="443"/>
      <w:bookmarkEnd w:id="444"/>
      <w:bookmarkEnd w:id="445"/>
      <w:bookmarkEnd w:id="446"/>
      <w:bookmarkEnd w:id="447"/>
      <w:bookmarkEnd w:id="448"/>
      <w:bookmarkEnd w:id="449"/>
      <w:bookmarkEnd w:id="450"/>
      <w:bookmarkEnd w:id="451"/>
      <w:bookmarkEnd w:id="452"/>
    </w:p>
    <w:p w14:paraId="5BD12EA2">
      <w:pPr>
        <w:widowControl w:val="0"/>
        <w:spacing w:line="360" w:lineRule="auto"/>
        <w:ind w:firstLine="480" w:firstLineChars="200"/>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现有工程</w:t>
      </w:r>
      <w:r>
        <w:rPr>
          <w:rFonts w:ascii="Times New Roman" w:hAnsi="Times New Roman" w:cs="Times New Roman"/>
          <w:color w:val="auto"/>
          <w:szCs w:val="24"/>
          <w:lang w:eastAsia="zh-CN"/>
        </w:rPr>
        <w:t>产品方案详见下表。</w:t>
      </w:r>
    </w:p>
    <w:p w14:paraId="02F6E6F4">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表3.</w:t>
      </w:r>
      <w:r>
        <w:rPr>
          <w:rFonts w:hint="eastAsia" w:ascii="Times New Roman" w:hAnsi="Times New Roman" w:cs="Times New Roman"/>
          <w:b/>
          <w:bCs/>
          <w:color w:val="auto"/>
          <w:lang w:eastAsia="zh-CN"/>
        </w:rPr>
        <w:t>1</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2</w:t>
      </w:r>
      <w:r>
        <w:rPr>
          <w:rFonts w:ascii="Times New Roman" w:hAnsi="Times New Roman" w:cs="Times New Roman"/>
          <w:b/>
          <w:bCs/>
          <w:color w:val="auto"/>
          <w:lang w:eastAsia="zh-CN"/>
        </w:rPr>
        <w:t xml:space="preserve"> </w:t>
      </w:r>
      <w:r>
        <w:rPr>
          <w:rFonts w:hint="eastAsia" w:ascii="Times New Roman" w:hAnsi="Times New Roman" w:cs="Times New Roman"/>
          <w:b/>
          <w:bCs/>
          <w:color w:val="auto"/>
          <w:lang w:eastAsia="zh-CN"/>
        </w:rPr>
        <w:t>现有工程</w:t>
      </w:r>
      <w:r>
        <w:rPr>
          <w:rFonts w:ascii="Times New Roman" w:hAnsi="Times New Roman" w:cs="Times New Roman"/>
          <w:b/>
          <w:bCs/>
          <w:color w:val="auto"/>
          <w:lang w:eastAsia="zh-CN"/>
        </w:rPr>
        <w:t>产品方案一览表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933"/>
        <w:gridCol w:w="2488"/>
        <w:gridCol w:w="2802"/>
        <w:gridCol w:w="2803"/>
      </w:tblGrid>
      <w:tr w14:paraId="66E0579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517" w:type="pct"/>
            <w:vAlign w:val="center"/>
          </w:tcPr>
          <w:p w14:paraId="5506D9E8">
            <w:pPr>
              <w:adjustRightInd w:val="0"/>
              <w:snapToGrid w:val="0"/>
              <w:jc w:val="center"/>
              <w:rPr>
                <w:rFonts w:ascii="Times New Roman" w:hAnsi="Times New Roman" w:cs="Times New Roman"/>
                <w:b/>
                <w:bCs/>
                <w:sz w:val="21"/>
              </w:rPr>
            </w:pPr>
            <w:r>
              <w:rPr>
                <w:rFonts w:ascii="Times New Roman" w:hAnsi="Times New Roman" w:cs="Times New Roman"/>
                <w:b/>
                <w:bCs/>
                <w:sz w:val="21"/>
              </w:rPr>
              <w:t>序号</w:t>
            </w:r>
          </w:p>
        </w:tc>
        <w:tc>
          <w:tcPr>
            <w:tcW w:w="1378" w:type="pct"/>
            <w:vAlign w:val="center"/>
          </w:tcPr>
          <w:p w14:paraId="02E28D20">
            <w:pPr>
              <w:adjustRightInd w:val="0"/>
              <w:snapToGrid w:val="0"/>
              <w:jc w:val="center"/>
              <w:rPr>
                <w:rFonts w:ascii="Times New Roman" w:hAnsi="Times New Roman" w:cs="Times New Roman"/>
                <w:b/>
                <w:bCs/>
                <w:sz w:val="21"/>
              </w:rPr>
            </w:pPr>
            <w:r>
              <w:rPr>
                <w:rFonts w:ascii="Times New Roman" w:hAnsi="Times New Roman" w:cs="Times New Roman"/>
                <w:b/>
                <w:bCs/>
                <w:sz w:val="21"/>
              </w:rPr>
              <w:t>产品名称</w:t>
            </w:r>
          </w:p>
        </w:tc>
        <w:tc>
          <w:tcPr>
            <w:tcW w:w="1552" w:type="pct"/>
            <w:vAlign w:val="center"/>
          </w:tcPr>
          <w:p w14:paraId="6D96E261">
            <w:pPr>
              <w:adjustRightInd w:val="0"/>
              <w:snapToGrid w:val="0"/>
              <w:jc w:val="center"/>
              <w:rPr>
                <w:rFonts w:ascii="Times New Roman" w:hAnsi="Times New Roman" w:cs="Times New Roman"/>
                <w:b/>
                <w:bCs/>
                <w:sz w:val="21"/>
              </w:rPr>
            </w:pPr>
            <w:r>
              <w:rPr>
                <w:rFonts w:hint="eastAsia" w:ascii="Times New Roman" w:hAnsi="Times New Roman" w:cs="Times New Roman"/>
                <w:b/>
                <w:bCs/>
                <w:sz w:val="21"/>
                <w:lang w:eastAsia="zh-CN"/>
              </w:rPr>
              <w:t>规格</w:t>
            </w:r>
          </w:p>
        </w:tc>
        <w:tc>
          <w:tcPr>
            <w:tcW w:w="1552" w:type="pct"/>
            <w:vAlign w:val="center"/>
          </w:tcPr>
          <w:p w14:paraId="244277B4">
            <w:pPr>
              <w:adjustRightInd w:val="0"/>
              <w:snapToGrid w:val="0"/>
              <w:jc w:val="center"/>
              <w:rPr>
                <w:rFonts w:ascii="Times New Roman" w:hAnsi="Times New Roman" w:cs="Times New Roman"/>
                <w:b/>
                <w:bCs/>
                <w:sz w:val="21"/>
                <w:lang w:eastAsia="zh-CN"/>
              </w:rPr>
            </w:pPr>
            <w:r>
              <w:rPr>
                <w:rFonts w:ascii="Times New Roman" w:hAnsi="Times New Roman" w:cs="Times New Roman"/>
                <w:b/>
                <w:bCs/>
                <w:sz w:val="21"/>
              </w:rPr>
              <w:t>产能t/a</w:t>
            </w:r>
          </w:p>
        </w:tc>
      </w:tr>
      <w:tr w14:paraId="128B4C6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517" w:type="pct"/>
            <w:vAlign w:val="center"/>
          </w:tcPr>
          <w:p w14:paraId="664F8136">
            <w:pPr>
              <w:adjustRightInd w:val="0"/>
              <w:snapToGrid w:val="0"/>
              <w:jc w:val="center"/>
              <w:rPr>
                <w:rFonts w:ascii="Times New Roman" w:hAnsi="Times New Roman" w:cs="Times New Roman"/>
                <w:sz w:val="21"/>
              </w:rPr>
            </w:pPr>
            <w:r>
              <w:rPr>
                <w:rFonts w:ascii="Times New Roman" w:hAnsi="Times New Roman" w:cs="Times New Roman"/>
                <w:sz w:val="21"/>
              </w:rPr>
              <w:t>1</w:t>
            </w:r>
          </w:p>
        </w:tc>
        <w:tc>
          <w:tcPr>
            <w:tcW w:w="1378" w:type="pct"/>
            <w:vAlign w:val="center"/>
          </w:tcPr>
          <w:p w14:paraId="131CF32D">
            <w:pPr>
              <w:adjustRightInd w:val="0"/>
              <w:snapToGrid w:val="0"/>
              <w:jc w:val="center"/>
              <w:rPr>
                <w:rFonts w:ascii="Times New Roman" w:hAnsi="Times New Roman" w:cs="Times New Roman"/>
                <w:sz w:val="21"/>
                <w:lang w:eastAsia="zh-CN"/>
              </w:rPr>
            </w:pPr>
            <w:r>
              <w:rPr>
                <w:rFonts w:hint="eastAsia" w:ascii="Times New Roman" w:hAnsi="Times New Roman" w:cs="Times New Roman"/>
                <w:color w:val="auto"/>
                <w:sz w:val="21"/>
                <w:lang w:eastAsia="zh-CN"/>
              </w:rPr>
              <w:t>电子级氢氟酸</w:t>
            </w:r>
          </w:p>
        </w:tc>
        <w:tc>
          <w:tcPr>
            <w:tcW w:w="1552" w:type="pct"/>
            <w:vAlign w:val="center"/>
          </w:tcPr>
          <w:p w14:paraId="1619ED82">
            <w:pPr>
              <w:adjustRightInd w:val="0"/>
              <w:snapToGrid w:val="0"/>
              <w:jc w:val="center"/>
              <w:rPr>
                <w:rFonts w:ascii="Times New Roman" w:hAnsi="Times New Roman" w:cs="Times New Roman"/>
                <w:sz w:val="21"/>
                <w:lang w:eastAsia="zh-CN"/>
              </w:rPr>
            </w:pPr>
            <w:r>
              <w:rPr>
                <w:rFonts w:hint="eastAsia" w:ascii="Times New Roman" w:hAnsi="Times New Roman" w:cs="Times New Roman"/>
                <w:color w:val="auto"/>
                <w:sz w:val="21"/>
                <w:lang w:eastAsia="zh-CN"/>
              </w:rPr>
              <w:t>HF49%</w:t>
            </w:r>
          </w:p>
        </w:tc>
        <w:tc>
          <w:tcPr>
            <w:tcW w:w="1552" w:type="pct"/>
            <w:vAlign w:val="center"/>
          </w:tcPr>
          <w:p w14:paraId="02E62A08">
            <w:pPr>
              <w:adjustRightInd w:val="0"/>
              <w:snapToGrid w:val="0"/>
              <w:jc w:val="center"/>
              <w:rPr>
                <w:rFonts w:ascii="Times New Roman" w:hAnsi="Times New Roman" w:cs="Times New Roman"/>
                <w:sz w:val="21"/>
              </w:rPr>
            </w:pPr>
            <w:r>
              <w:rPr>
                <w:rFonts w:hint="eastAsia" w:ascii="Times New Roman" w:hAnsi="Times New Roman" w:cs="Times New Roman"/>
                <w:color w:val="auto"/>
                <w:sz w:val="21"/>
                <w:lang w:eastAsia="zh-CN"/>
              </w:rPr>
              <w:t>2万</w:t>
            </w:r>
          </w:p>
        </w:tc>
      </w:tr>
      <w:tr w14:paraId="0014A72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517" w:type="pct"/>
            <w:vAlign w:val="center"/>
          </w:tcPr>
          <w:p w14:paraId="04FFE764">
            <w:pPr>
              <w:adjustRightInd w:val="0"/>
              <w:snapToGrid w:val="0"/>
              <w:jc w:val="center"/>
              <w:rPr>
                <w:rFonts w:ascii="Times New Roman" w:hAnsi="Times New Roman" w:cs="Times New Roman"/>
                <w:sz w:val="21"/>
                <w:lang w:eastAsia="zh-CN"/>
              </w:rPr>
            </w:pPr>
            <w:r>
              <w:rPr>
                <w:rFonts w:hint="eastAsia" w:ascii="Times New Roman" w:hAnsi="Times New Roman" w:cs="Times New Roman"/>
                <w:sz w:val="21"/>
                <w:lang w:eastAsia="zh-CN"/>
              </w:rPr>
              <w:t>2</w:t>
            </w:r>
          </w:p>
        </w:tc>
        <w:tc>
          <w:tcPr>
            <w:tcW w:w="1378" w:type="pct"/>
            <w:vAlign w:val="center"/>
          </w:tcPr>
          <w:p w14:paraId="685C891E">
            <w:pPr>
              <w:adjustRightInd w:val="0"/>
              <w:snapToGrid w:val="0"/>
              <w:jc w:val="center"/>
              <w:rPr>
                <w:rFonts w:ascii="Times New Roman" w:hAnsi="Times New Roman" w:cs="Times New Roman"/>
                <w:sz w:val="21"/>
                <w:lang w:eastAsia="zh-CN"/>
              </w:rPr>
            </w:pPr>
            <w:r>
              <w:rPr>
                <w:rFonts w:hint="eastAsia" w:ascii="Times New Roman" w:hAnsi="Times New Roman" w:cs="Times New Roman"/>
                <w:color w:val="auto"/>
                <w:sz w:val="21"/>
                <w:lang w:eastAsia="zh-CN"/>
              </w:rPr>
              <w:t>化学纯氢氟酸</w:t>
            </w:r>
          </w:p>
        </w:tc>
        <w:tc>
          <w:tcPr>
            <w:tcW w:w="1552" w:type="pct"/>
            <w:vAlign w:val="center"/>
          </w:tcPr>
          <w:p w14:paraId="0FD520FC">
            <w:pPr>
              <w:adjustRightInd w:val="0"/>
              <w:snapToGrid w:val="0"/>
              <w:jc w:val="center"/>
              <w:rPr>
                <w:rFonts w:ascii="Times New Roman" w:hAnsi="Times New Roman" w:cs="Times New Roman"/>
                <w:sz w:val="21"/>
                <w:lang w:eastAsia="zh-CN"/>
              </w:rPr>
            </w:pPr>
            <w:r>
              <w:rPr>
                <w:rFonts w:hint="eastAsia" w:ascii="Times New Roman" w:hAnsi="Times New Roman" w:cs="Times New Roman"/>
                <w:color w:val="auto"/>
                <w:sz w:val="21"/>
                <w:lang w:eastAsia="zh-CN"/>
              </w:rPr>
              <w:t>HF55%</w:t>
            </w:r>
          </w:p>
        </w:tc>
        <w:tc>
          <w:tcPr>
            <w:tcW w:w="1552" w:type="pct"/>
            <w:vAlign w:val="center"/>
          </w:tcPr>
          <w:p w14:paraId="0AB107CD">
            <w:pPr>
              <w:adjustRightInd w:val="0"/>
              <w:snapToGrid w:val="0"/>
              <w:jc w:val="center"/>
              <w:rPr>
                <w:rFonts w:ascii="Times New Roman" w:hAnsi="Times New Roman" w:cs="Times New Roman"/>
                <w:sz w:val="21"/>
                <w:lang w:eastAsia="zh-CN"/>
              </w:rPr>
            </w:pPr>
            <w:r>
              <w:rPr>
                <w:rFonts w:hint="eastAsia" w:ascii="Times New Roman" w:hAnsi="Times New Roman" w:cs="Times New Roman"/>
                <w:color w:val="auto"/>
                <w:sz w:val="21"/>
                <w:lang w:eastAsia="zh-CN"/>
              </w:rPr>
              <w:t>4万</w:t>
            </w:r>
          </w:p>
        </w:tc>
      </w:tr>
      <w:tr w14:paraId="405D5C6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517" w:type="pct"/>
            <w:vAlign w:val="center"/>
          </w:tcPr>
          <w:p w14:paraId="335C2169">
            <w:pPr>
              <w:adjustRightInd w:val="0"/>
              <w:snapToGrid w:val="0"/>
              <w:jc w:val="center"/>
              <w:rPr>
                <w:rFonts w:ascii="Times New Roman" w:hAnsi="Times New Roman" w:cs="Times New Roman"/>
                <w:sz w:val="21"/>
                <w:lang w:eastAsia="zh-CN"/>
              </w:rPr>
            </w:pPr>
            <w:r>
              <w:rPr>
                <w:rFonts w:hint="eastAsia" w:ascii="Times New Roman" w:hAnsi="Times New Roman" w:cs="Times New Roman"/>
                <w:sz w:val="21"/>
                <w:lang w:eastAsia="zh-CN"/>
              </w:rPr>
              <w:t>3</w:t>
            </w:r>
          </w:p>
        </w:tc>
        <w:tc>
          <w:tcPr>
            <w:tcW w:w="1378" w:type="pct"/>
            <w:vAlign w:val="center"/>
          </w:tcPr>
          <w:p w14:paraId="707A881E">
            <w:pPr>
              <w:adjustRightInd w:val="0"/>
              <w:snapToGrid w:val="0"/>
              <w:jc w:val="center"/>
              <w:rPr>
                <w:rFonts w:ascii="Times New Roman" w:hAnsi="Times New Roman" w:cs="Times New Roman"/>
                <w:sz w:val="21"/>
              </w:rPr>
            </w:pPr>
            <w:r>
              <w:rPr>
                <w:rFonts w:hint="eastAsia" w:ascii="Times New Roman" w:hAnsi="Times New Roman" w:cs="Times New Roman"/>
                <w:color w:val="auto"/>
                <w:sz w:val="21"/>
                <w:lang w:eastAsia="zh-CN"/>
              </w:rPr>
              <w:t>刻蚀液</w:t>
            </w:r>
          </w:p>
        </w:tc>
        <w:tc>
          <w:tcPr>
            <w:tcW w:w="1552" w:type="pct"/>
            <w:vAlign w:val="center"/>
          </w:tcPr>
          <w:p w14:paraId="59B02E6A">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HF</w:t>
            </w:r>
            <w:r>
              <w:rPr>
                <w:rFonts w:hint="eastAsia" w:ascii="Times New Roman" w:hAnsi="Times New Roman" w:cs="Times New Roman"/>
                <w:color w:val="auto"/>
                <w:sz w:val="21"/>
              </w:rPr>
              <w:t>30-40%</w:t>
            </w:r>
          </w:p>
          <w:p w14:paraId="23C6330A">
            <w:pPr>
              <w:adjustRightInd w:val="0"/>
              <w:snapToGrid w:val="0"/>
              <w:jc w:val="center"/>
              <w:rPr>
                <w:rFonts w:ascii="Times New Roman" w:hAnsi="Times New Roman" w:cs="Times New Roman"/>
                <w:sz w:val="21"/>
                <w:lang w:eastAsia="zh-CN"/>
              </w:rPr>
            </w:pPr>
            <w:r>
              <w:rPr>
                <w:rFonts w:hint="eastAsia" w:ascii="Times New Roman" w:hAnsi="Times New Roman" w:cs="Times New Roman"/>
                <w:color w:val="auto"/>
                <w:sz w:val="21"/>
              </w:rPr>
              <w:t>HCl 5-7%</w:t>
            </w:r>
          </w:p>
        </w:tc>
        <w:tc>
          <w:tcPr>
            <w:tcW w:w="1552" w:type="pct"/>
            <w:vAlign w:val="center"/>
          </w:tcPr>
          <w:p w14:paraId="487724B9">
            <w:pPr>
              <w:adjustRightInd w:val="0"/>
              <w:snapToGrid w:val="0"/>
              <w:jc w:val="center"/>
              <w:rPr>
                <w:rFonts w:ascii="Times New Roman" w:hAnsi="Times New Roman" w:cs="Times New Roman"/>
                <w:sz w:val="21"/>
                <w:lang w:eastAsia="zh-CN"/>
              </w:rPr>
            </w:pPr>
            <w:r>
              <w:rPr>
                <w:rFonts w:hint="eastAsia" w:ascii="Times New Roman" w:hAnsi="Times New Roman" w:cs="Times New Roman"/>
                <w:color w:val="auto"/>
                <w:sz w:val="21"/>
                <w:lang w:eastAsia="zh-CN"/>
              </w:rPr>
              <w:t>4.5万</w:t>
            </w:r>
          </w:p>
        </w:tc>
      </w:tr>
    </w:tbl>
    <w:p w14:paraId="58ADF4EA">
      <w:pPr>
        <w:spacing w:line="360" w:lineRule="auto"/>
        <w:ind w:firstLine="482"/>
        <w:jc w:val="both"/>
        <w:outlineLvl w:val="2"/>
        <w:rPr>
          <w:rFonts w:ascii="Times New Roman" w:hAnsi="Times New Roman" w:cs="Times New Roman"/>
          <w:b/>
          <w:bCs/>
          <w:color w:val="auto"/>
          <w:szCs w:val="24"/>
          <w:lang w:eastAsia="zh-CN"/>
        </w:rPr>
      </w:pPr>
      <w:bookmarkStart w:id="453" w:name="_Toc223425011"/>
      <w:bookmarkStart w:id="454" w:name="_Toc224674649"/>
      <w:bookmarkStart w:id="455" w:name="_Toc231828548"/>
      <w:bookmarkStart w:id="456" w:name="_Toc203926968"/>
      <w:bookmarkStart w:id="457" w:name="_Toc237508262"/>
      <w:bookmarkStart w:id="458" w:name="_Toc225784010"/>
      <w:bookmarkStart w:id="459" w:name="_Toc204448433"/>
      <w:bookmarkStart w:id="460" w:name="_Toc217662626"/>
      <w:bookmarkStart w:id="461" w:name="_Toc218784236"/>
      <w:bookmarkStart w:id="462" w:name="_Toc204515168"/>
      <w:bookmarkStart w:id="463" w:name="_Toc236641279"/>
      <w:bookmarkStart w:id="464" w:name="_Toc236641796"/>
      <w:bookmarkStart w:id="465" w:name="_Toc221900793"/>
      <w:r>
        <w:rPr>
          <w:rFonts w:ascii="Times New Roman" w:hAnsi="Times New Roman" w:cs="Times New Roman"/>
          <w:b/>
          <w:bCs/>
          <w:color w:val="auto"/>
          <w:szCs w:val="24"/>
          <w:lang w:eastAsia="zh-CN"/>
        </w:rPr>
        <w:t>3.</w:t>
      </w:r>
      <w:r>
        <w:rPr>
          <w:rFonts w:hint="eastAsia" w:ascii="Times New Roman" w:hAnsi="Times New Roman" w:cs="Times New Roman"/>
          <w:b/>
          <w:bCs/>
          <w:color w:val="auto"/>
          <w:szCs w:val="24"/>
          <w:lang w:eastAsia="zh-CN"/>
        </w:rPr>
        <w:t>1</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4 现有工程</w:t>
      </w:r>
      <w:r>
        <w:rPr>
          <w:rFonts w:ascii="Times New Roman" w:hAnsi="Times New Roman" w:cs="Times New Roman"/>
          <w:b/>
          <w:bCs/>
          <w:color w:val="auto"/>
          <w:szCs w:val="24"/>
          <w:lang w:eastAsia="zh-CN"/>
        </w:rPr>
        <w:t>原辅材料及能源消耗</w:t>
      </w:r>
      <w:bookmarkEnd w:id="453"/>
      <w:bookmarkEnd w:id="454"/>
      <w:bookmarkEnd w:id="455"/>
      <w:bookmarkEnd w:id="456"/>
      <w:bookmarkEnd w:id="457"/>
      <w:bookmarkEnd w:id="458"/>
      <w:bookmarkEnd w:id="459"/>
      <w:bookmarkEnd w:id="460"/>
      <w:bookmarkEnd w:id="461"/>
      <w:bookmarkEnd w:id="462"/>
      <w:bookmarkEnd w:id="463"/>
      <w:bookmarkEnd w:id="464"/>
      <w:bookmarkEnd w:id="465"/>
    </w:p>
    <w:p w14:paraId="2499A2A1">
      <w:pPr>
        <w:widowControl w:val="0"/>
        <w:spacing w:line="360" w:lineRule="auto"/>
        <w:ind w:firstLine="480" w:firstLineChars="200"/>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现有工程</w:t>
      </w:r>
      <w:r>
        <w:rPr>
          <w:rFonts w:ascii="Times New Roman" w:hAnsi="Times New Roman" w:cs="Times New Roman"/>
          <w:color w:val="auto"/>
          <w:szCs w:val="24"/>
          <w:lang w:eastAsia="zh-CN"/>
        </w:rPr>
        <w:t>原辅材料及能源消耗详见下表。</w:t>
      </w:r>
    </w:p>
    <w:p w14:paraId="035DA506">
      <w:pPr>
        <w:pStyle w:val="101"/>
        <w:spacing w:line="360" w:lineRule="auto"/>
        <w:rPr>
          <w:rFonts w:eastAsia="宋体"/>
          <w:b/>
          <w:bCs/>
        </w:rPr>
      </w:pPr>
      <w:bookmarkStart w:id="466" w:name="_Hlk205198961"/>
      <w:r>
        <w:rPr>
          <w:rFonts w:eastAsia="宋体"/>
          <w:b/>
          <w:bCs/>
        </w:rPr>
        <w:t>表3.</w:t>
      </w:r>
      <w:r>
        <w:rPr>
          <w:rFonts w:hint="eastAsia" w:eastAsia="宋体"/>
          <w:b/>
          <w:bCs/>
        </w:rPr>
        <w:t>1</w:t>
      </w:r>
      <w:r>
        <w:rPr>
          <w:rFonts w:eastAsia="宋体"/>
          <w:b/>
          <w:bCs/>
        </w:rPr>
        <w:t>-</w:t>
      </w:r>
      <w:r>
        <w:rPr>
          <w:rFonts w:hint="eastAsia" w:eastAsia="宋体"/>
          <w:b/>
          <w:bCs/>
        </w:rPr>
        <w:t>3 现有工程</w:t>
      </w:r>
      <w:r>
        <w:rPr>
          <w:rFonts w:eastAsia="宋体"/>
          <w:b/>
          <w:bCs/>
        </w:rPr>
        <w:t>原辅材料情况一览表</w:t>
      </w:r>
    </w:p>
    <w:tbl>
      <w:tblPr>
        <w:tblStyle w:val="35"/>
        <w:tblW w:w="5000"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1089"/>
        <w:gridCol w:w="1881"/>
        <w:gridCol w:w="1487"/>
        <w:gridCol w:w="1486"/>
        <w:gridCol w:w="1287"/>
        <w:gridCol w:w="1796"/>
      </w:tblGrid>
      <w:tr w14:paraId="3859D86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tblHeader/>
          <w:jc w:val="center"/>
        </w:trPr>
        <w:tc>
          <w:tcPr>
            <w:tcW w:w="603" w:type="pct"/>
            <w:vAlign w:val="center"/>
          </w:tcPr>
          <w:p w14:paraId="3A9089D5">
            <w:pPr>
              <w:pStyle w:val="96"/>
              <w:rPr>
                <w:b/>
                <w:bCs/>
                <w:color w:val="000000" w:themeColor="text1"/>
                <w:kern w:val="0"/>
                <w14:textFill>
                  <w14:solidFill>
                    <w14:schemeClr w14:val="tx1"/>
                  </w14:solidFill>
                </w14:textFill>
              </w:rPr>
            </w:pPr>
            <w:r>
              <w:rPr>
                <w:b/>
                <w:bCs/>
                <w:color w:val="000000" w:themeColor="text1"/>
                <w:kern w:val="0"/>
                <w14:textFill>
                  <w14:solidFill>
                    <w14:schemeClr w14:val="tx1"/>
                  </w14:solidFill>
                </w14:textFill>
              </w:rPr>
              <w:t>序号</w:t>
            </w:r>
          </w:p>
        </w:tc>
        <w:tc>
          <w:tcPr>
            <w:tcW w:w="1042" w:type="pct"/>
            <w:vAlign w:val="center"/>
          </w:tcPr>
          <w:p w14:paraId="56048220">
            <w:pPr>
              <w:pStyle w:val="96"/>
              <w:rPr>
                <w:b/>
                <w:bCs/>
                <w:color w:val="000000" w:themeColor="text1"/>
                <w:kern w:val="0"/>
                <w14:textFill>
                  <w14:solidFill>
                    <w14:schemeClr w14:val="tx1"/>
                  </w14:solidFill>
                </w14:textFill>
              </w:rPr>
            </w:pPr>
            <w:r>
              <w:rPr>
                <w:b/>
                <w:bCs/>
                <w:color w:val="000000" w:themeColor="text1"/>
                <w:kern w:val="0"/>
                <w14:textFill>
                  <w14:solidFill>
                    <w14:schemeClr w14:val="tx1"/>
                  </w14:solidFill>
                </w14:textFill>
              </w:rPr>
              <w:t>原料</w:t>
            </w:r>
          </w:p>
        </w:tc>
        <w:tc>
          <w:tcPr>
            <w:tcW w:w="824" w:type="pct"/>
            <w:vAlign w:val="center"/>
          </w:tcPr>
          <w:p w14:paraId="0600E5FD">
            <w:pPr>
              <w:pStyle w:val="96"/>
              <w:rPr>
                <w:b/>
                <w:bCs/>
                <w:color w:val="000000" w:themeColor="text1"/>
                <w:kern w:val="0"/>
                <w14:textFill>
                  <w14:solidFill>
                    <w14:schemeClr w14:val="tx1"/>
                  </w14:solidFill>
                </w14:textFill>
              </w:rPr>
            </w:pPr>
            <w:r>
              <w:rPr>
                <w:b/>
                <w:bCs/>
                <w:color w:val="000000" w:themeColor="text1"/>
                <w:kern w:val="0"/>
                <w14:textFill>
                  <w14:solidFill>
                    <w14:schemeClr w14:val="tx1"/>
                  </w14:solidFill>
                </w14:textFill>
              </w:rPr>
              <w:t>性状</w:t>
            </w:r>
          </w:p>
        </w:tc>
        <w:tc>
          <w:tcPr>
            <w:tcW w:w="823" w:type="pct"/>
            <w:vAlign w:val="center"/>
          </w:tcPr>
          <w:p w14:paraId="6B83BEA6">
            <w:pPr>
              <w:pStyle w:val="96"/>
              <w:rPr>
                <w:b/>
                <w:bCs/>
                <w:color w:val="000000" w:themeColor="text1"/>
                <w:kern w:val="0"/>
                <w14:textFill>
                  <w14:solidFill>
                    <w14:schemeClr w14:val="tx1"/>
                  </w14:solidFill>
                </w14:textFill>
              </w:rPr>
            </w:pPr>
            <w:r>
              <w:rPr>
                <w:b/>
                <w:bCs/>
                <w:color w:val="000000" w:themeColor="text1"/>
                <w:kern w:val="0"/>
                <w14:textFill>
                  <w14:solidFill>
                    <w14:schemeClr w14:val="tx1"/>
                  </w14:solidFill>
                </w14:textFill>
              </w:rPr>
              <w:t>规格</w:t>
            </w:r>
          </w:p>
        </w:tc>
        <w:tc>
          <w:tcPr>
            <w:tcW w:w="713" w:type="pct"/>
            <w:vAlign w:val="center"/>
          </w:tcPr>
          <w:p w14:paraId="3835D8CC">
            <w:pPr>
              <w:pStyle w:val="96"/>
              <w:rPr>
                <w:b/>
                <w:bCs/>
                <w:color w:val="000000" w:themeColor="text1"/>
                <w:kern w:val="0"/>
                <w14:textFill>
                  <w14:solidFill>
                    <w14:schemeClr w14:val="tx1"/>
                  </w14:solidFill>
                </w14:textFill>
              </w:rPr>
            </w:pPr>
            <w:r>
              <w:rPr>
                <w:b/>
                <w:bCs/>
                <w:color w:val="000000" w:themeColor="text1"/>
                <w:kern w:val="0"/>
                <w14:textFill>
                  <w14:solidFill>
                    <w14:schemeClr w14:val="tx1"/>
                  </w14:solidFill>
                </w14:textFill>
              </w:rPr>
              <w:t>包装方式</w:t>
            </w:r>
          </w:p>
        </w:tc>
        <w:tc>
          <w:tcPr>
            <w:tcW w:w="995" w:type="pct"/>
            <w:vAlign w:val="center"/>
          </w:tcPr>
          <w:p w14:paraId="04CAD292">
            <w:pPr>
              <w:pStyle w:val="96"/>
              <w:rPr>
                <w:b/>
                <w:bCs/>
                <w:color w:val="000000" w:themeColor="text1"/>
                <w:kern w:val="0"/>
                <w14:textFill>
                  <w14:solidFill>
                    <w14:schemeClr w14:val="tx1"/>
                  </w14:solidFill>
                </w14:textFill>
              </w:rPr>
            </w:pPr>
            <w:r>
              <w:rPr>
                <w:b/>
                <w:bCs/>
                <w:color w:val="000000" w:themeColor="text1"/>
                <w:kern w:val="0"/>
                <w14:textFill>
                  <w14:solidFill>
                    <w14:schemeClr w14:val="tx1"/>
                  </w14:solidFill>
                </w14:textFill>
              </w:rPr>
              <w:t>消耗量（t/a）</w:t>
            </w:r>
          </w:p>
        </w:tc>
      </w:tr>
      <w:tr w14:paraId="405B389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5000" w:type="pct"/>
            <w:gridSpan w:val="6"/>
            <w:vAlign w:val="center"/>
          </w:tcPr>
          <w:p w14:paraId="07007F21">
            <w:pPr>
              <w:pStyle w:val="96"/>
              <w:rPr>
                <w:b/>
                <w:bCs/>
                <w:color w:val="000000" w:themeColor="text1"/>
                <w:kern w:val="0"/>
                <w14:textFill>
                  <w14:solidFill>
                    <w14:schemeClr w14:val="tx1"/>
                  </w14:solidFill>
                </w14:textFill>
              </w:rPr>
            </w:pPr>
            <w:r>
              <w:rPr>
                <w:b/>
                <w:bCs/>
                <w:color w:val="000000" w:themeColor="text1"/>
                <w:kern w:val="0"/>
                <w14:textFill>
                  <w14:solidFill>
                    <w14:schemeClr w14:val="tx1"/>
                  </w14:solidFill>
                </w14:textFill>
              </w:rPr>
              <w:t>电子级氢氟酸</w:t>
            </w:r>
          </w:p>
        </w:tc>
      </w:tr>
      <w:tr w14:paraId="2B4221A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603" w:type="pct"/>
            <w:vAlign w:val="center"/>
          </w:tcPr>
          <w:p w14:paraId="0695E759">
            <w:pPr>
              <w:pStyle w:val="96"/>
              <w:rPr>
                <w:color w:val="000000" w:themeColor="text1"/>
                <w:kern w:val="0"/>
                <w14:textFill>
                  <w14:solidFill>
                    <w14:schemeClr w14:val="tx1"/>
                  </w14:solidFill>
                </w14:textFill>
              </w:rPr>
            </w:pPr>
            <w:r>
              <w:rPr>
                <w:color w:val="000000" w:themeColor="text1"/>
                <w:kern w:val="0"/>
                <w14:textFill>
                  <w14:solidFill>
                    <w14:schemeClr w14:val="tx1"/>
                  </w14:solidFill>
                </w14:textFill>
              </w:rPr>
              <w:t>1</w:t>
            </w:r>
          </w:p>
        </w:tc>
        <w:tc>
          <w:tcPr>
            <w:tcW w:w="1042" w:type="pct"/>
            <w:vAlign w:val="center"/>
          </w:tcPr>
          <w:p w14:paraId="3FD8FE8C">
            <w:pPr>
              <w:pStyle w:val="96"/>
              <w:rPr>
                <w:color w:val="000000" w:themeColor="text1"/>
                <w:kern w:val="0"/>
                <w14:textFill>
                  <w14:solidFill>
                    <w14:schemeClr w14:val="tx1"/>
                  </w14:solidFill>
                </w14:textFill>
              </w:rPr>
            </w:pPr>
          </w:p>
        </w:tc>
        <w:tc>
          <w:tcPr>
            <w:tcW w:w="824" w:type="pct"/>
            <w:vAlign w:val="center"/>
          </w:tcPr>
          <w:p w14:paraId="02AA2A10">
            <w:pPr>
              <w:pStyle w:val="96"/>
              <w:rPr>
                <w:color w:val="000000" w:themeColor="text1"/>
                <w:kern w:val="0"/>
                <w14:textFill>
                  <w14:solidFill>
                    <w14:schemeClr w14:val="tx1"/>
                  </w14:solidFill>
                </w14:textFill>
              </w:rPr>
            </w:pPr>
          </w:p>
        </w:tc>
        <w:tc>
          <w:tcPr>
            <w:tcW w:w="823" w:type="pct"/>
            <w:vAlign w:val="center"/>
          </w:tcPr>
          <w:p w14:paraId="551C5C30">
            <w:pPr>
              <w:pStyle w:val="96"/>
              <w:rPr>
                <w:color w:val="000000" w:themeColor="text1"/>
                <w:kern w:val="0"/>
                <w14:textFill>
                  <w14:solidFill>
                    <w14:schemeClr w14:val="tx1"/>
                  </w14:solidFill>
                </w14:textFill>
              </w:rPr>
            </w:pPr>
          </w:p>
        </w:tc>
        <w:tc>
          <w:tcPr>
            <w:tcW w:w="713" w:type="pct"/>
            <w:vAlign w:val="center"/>
          </w:tcPr>
          <w:p w14:paraId="3C097601">
            <w:pPr>
              <w:pStyle w:val="96"/>
              <w:rPr>
                <w:color w:val="000000" w:themeColor="text1"/>
                <w:kern w:val="0"/>
                <w14:textFill>
                  <w14:solidFill>
                    <w14:schemeClr w14:val="tx1"/>
                  </w14:solidFill>
                </w14:textFill>
              </w:rPr>
            </w:pPr>
          </w:p>
        </w:tc>
        <w:tc>
          <w:tcPr>
            <w:tcW w:w="995" w:type="pct"/>
            <w:vAlign w:val="center"/>
          </w:tcPr>
          <w:p w14:paraId="5200E9AA">
            <w:pPr>
              <w:pStyle w:val="96"/>
              <w:rPr>
                <w:color w:val="000000" w:themeColor="text1"/>
                <w:kern w:val="0"/>
                <w14:textFill>
                  <w14:solidFill>
                    <w14:schemeClr w14:val="tx1"/>
                  </w14:solidFill>
                </w14:textFill>
              </w:rPr>
            </w:pPr>
          </w:p>
        </w:tc>
      </w:tr>
      <w:tr w14:paraId="1E37183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603" w:type="pct"/>
            <w:vAlign w:val="center"/>
          </w:tcPr>
          <w:p w14:paraId="23115A9C">
            <w:pPr>
              <w:pStyle w:val="96"/>
              <w:rPr>
                <w:color w:val="000000" w:themeColor="text1"/>
                <w:kern w:val="0"/>
                <w14:textFill>
                  <w14:solidFill>
                    <w14:schemeClr w14:val="tx1"/>
                  </w14:solidFill>
                </w14:textFill>
              </w:rPr>
            </w:pPr>
            <w:r>
              <w:rPr>
                <w:color w:val="000000" w:themeColor="text1"/>
                <w:kern w:val="0"/>
                <w14:textFill>
                  <w14:solidFill>
                    <w14:schemeClr w14:val="tx1"/>
                  </w14:solidFill>
                </w14:textFill>
              </w:rPr>
              <w:t>2</w:t>
            </w:r>
          </w:p>
        </w:tc>
        <w:tc>
          <w:tcPr>
            <w:tcW w:w="1042" w:type="pct"/>
            <w:vAlign w:val="center"/>
          </w:tcPr>
          <w:p w14:paraId="6BCDD7D4">
            <w:pPr>
              <w:pStyle w:val="96"/>
              <w:rPr>
                <w:color w:val="000000" w:themeColor="text1"/>
                <w:kern w:val="0"/>
                <w14:textFill>
                  <w14:solidFill>
                    <w14:schemeClr w14:val="tx1"/>
                  </w14:solidFill>
                </w14:textFill>
              </w:rPr>
            </w:pPr>
          </w:p>
        </w:tc>
        <w:tc>
          <w:tcPr>
            <w:tcW w:w="824" w:type="pct"/>
            <w:vAlign w:val="center"/>
          </w:tcPr>
          <w:p w14:paraId="52DDD2F4">
            <w:pPr>
              <w:pStyle w:val="96"/>
              <w:rPr>
                <w:color w:val="000000" w:themeColor="text1"/>
                <w:kern w:val="0"/>
                <w14:textFill>
                  <w14:solidFill>
                    <w14:schemeClr w14:val="tx1"/>
                  </w14:solidFill>
                </w14:textFill>
              </w:rPr>
            </w:pPr>
          </w:p>
        </w:tc>
        <w:tc>
          <w:tcPr>
            <w:tcW w:w="823" w:type="pct"/>
            <w:vAlign w:val="center"/>
          </w:tcPr>
          <w:p w14:paraId="22F2CD0F">
            <w:pPr>
              <w:pStyle w:val="96"/>
              <w:rPr>
                <w:color w:val="000000" w:themeColor="text1"/>
                <w:kern w:val="0"/>
                <w14:textFill>
                  <w14:solidFill>
                    <w14:schemeClr w14:val="tx1"/>
                  </w14:solidFill>
                </w14:textFill>
              </w:rPr>
            </w:pPr>
          </w:p>
        </w:tc>
        <w:tc>
          <w:tcPr>
            <w:tcW w:w="713" w:type="pct"/>
            <w:vAlign w:val="center"/>
          </w:tcPr>
          <w:p w14:paraId="57B179EF">
            <w:pPr>
              <w:pStyle w:val="96"/>
              <w:rPr>
                <w:color w:val="000000" w:themeColor="text1"/>
                <w:kern w:val="0"/>
                <w14:textFill>
                  <w14:solidFill>
                    <w14:schemeClr w14:val="tx1"/>
                  </w14:solidFill>
                </w14:textFill>
              </w:rPr>
            </w:pPr>
          </w:p>
        </w:tc>
        <w:tc>
          <w:tcPr>
            <w:tcW w:w="995" w:type="pct"/>
            <w:vAlign w:val="center"/>
          </w:tcPr>
          <w:p w14:paraId="4E9FBC96">
            <w:pPr>
              <w:pStyle w:val="96"/>
              <w:rPr>
                <w:color w:val="000000" w:themeColor="text1"/>
                <w:kern w:val="0"/>
                <w14:textFill>
                  <w14:solidFill>
                    <w14:schemeClr w14:val="tx1"/>
                  </w14:solidFill>
                </w14:textFill>
              </w:rPr>
            </w:pPr>
          </w:p>
        </w:tc>
      </w:tr>
      <w:tr w14:paraId="3A207F4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5000" w:type="pct"/>
            <w:gridSpan w:val="6"/>
            <w:vAlign w:val="center"/>
          </w:tcPr>
          <w:p w14:paraId="5EECC24B">
            <w:pPr>
              <w:pStyle w:val="96"/>
              <w:rPr>
                <w:color w:val="000000" w:themeColor="text1"/>
                <w:kern w:val="0"/>
                <w14:textFill>
                  <w14:solidFill>
                    <w14:schemeClr w14:val="tx1"/>
                  </w14:solidFill>
                </w14:textFill>
              </w:rPr>
            </w:pPr>
            <w:r>
              <w:rPr>
                <w:b/>
                <w:bCs/>
                <w:color w:val="000000" w:themeColor="text1"/>
                <w:kern w:val="0"/>
                <w14:textFill>
                  <w14:solidFill>
                    <w14:schemeClr w14:val="tx1"/>
                  </w14:solidFill>
                </w14:textFill>
              </w:rPr>
              <w:t>化学纯氢氟酸</w:t>
            </w:r>
          </w:p>
        </w:tc>
      </w:tr>
      <w:tr w14:paraId="436C559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603" w:type="pct"/>
            <w:vAlign w:val="center"/>
          </w:tcPr>
          <w:p w14:paraId="0BBF7B79">
            <w:pPr>
              <w:pStyle w:val="96"/>
              <w:rPr>
                <w:color w:val="000000" w:themeColor="text1"/>
                <w:kern w:val="0"/>
                <w14:textFill>
                  <w14:solidFill>
                    <w14:schemeClr w14:val="tx1"/>
                  </w14:solidFill>
                </w14:textFill>
              </w:rPr>
            </w:pPr>
            <w:r>
              <w:rPr>
                <w:color w:val="000000" w:themeColor="text1"/>
                <w:kern w:val="0"/>
                <w14:textFill>
                  <w14:solidFill>
                    <w14:schemeClr w14:val="tx1"/>
                  </w14:solidFill>
                </w14:textFill>
              </w:rPr>
              <w:t>1</w:t>
            </w:r>
          </w:p>
        </w:tc>
        <w:tc>
          <w:tcPr>
            <w:tcW w:w="1042" w:type="pct"/>
            <w:vAlign w:val="center"/>
          </w:tcPr>
          <w:p w14:paraId="4BF078AB">
            <w:pPr>
              <w:pStyle w:val="96"/>
              <w:rPr>
                <w:color w:val="000000" w:themeColor="text1"/>
                <w:kern w:val="0"/>
                <w14:textFill>
                  <w14:solidFill>
                    <w14:schemeClr w14:val="tx1"/>
                  </w14:solidFill>
                </w14:textFill>
              </w:rPr>
            </w:pPr>
          </w:p>
        </w:tc>
        <w:tc>
          <w:tcPr>
            <w:tcW w:w="824" w:type="pct"/>
            <w:vAlign w:val="center"/>
          </w:tcPr>
          <w:p w14:paraId="63521C4C">
            <w:pPr>
              <w:pStyle w:val="96"/>
              <w:rPr>
                <w:color w:val="000000" w:themeColor="text1"/>
                <w:kern w:val="0"/>
                <w14:textFill>
                  <w14:solidFill>
                    <w14:schemeClr w14:val="tx1"/>
                  </w14:solidFill>
                </w14:textFill>
              </w:rPr>
            </w:pPr>
          </w:p>
        </w:tc>
        <w:tc>
          <w:tcPr>
            <w:tcW w:w="823" w:type="pct"/>
            <w:vAlign w:val="center"/>
          </w:tcPr>
          <w:p w14:paraId="60148A31">
            <w:pPr>
              <w:pStyle w:val="96"/>
              <w:rPr>
                <w:color w:val="000000" w:themeColor="text1"/>
                <w:kern w:val="0"/>
                <w14:textFill>
                  <w14:solidFill>
                    <w14:schemeClr w14:val="tx1"/>
                  </w14:solidFill>
                </w14:textFill>
              </w:rPr>
            </w:pPr>
          </w:p>
        </w:tc>
        <w:tc>
          <w:tcPr>
            <w:tcW w:w="713" w:type="pct"/>
            <w:vAlign w:val="center"/>
          </w:tcPr>
          <w:p w14:paraId="0F0659F0">
            <w:pPr>
              <w:pStyle w:val="96"/>
              <w:rPr>
                <w:color w:val="000000" w:themeColor="text1"/>
                <w:kern w:val="0"/>
                <w14:textFill>
                  <w14:solidFill>
                    <w14:schemeClr w14:val="tx1"/>
                  </w14:solidFill>
                </w14:textFill>
              </w:rPr>
            </w:pPr>
          </w:p>
        </w:tc>
        <w:tc>
          <w:tcPr>
            <w:tcW w:w="995" w:type="pct"/>
            <w:vAlign w:val="center"/>
          </w:tcPr>
          <w:p w14:paraId="01B50164">
            <w:pPr>
              <w:pStyle w:val="96"/>
              <w:rPr>
                <w:color w:val="000000" w:themeColor="text1"/>
                <w:kern w:val="0"/>
                <w14:textFill>
                  <w14:solidFill>
                    <w14:schemeClr w14:val="tx1"/>
                  </w14:solidFill>
                </w14:textFill>
              </w:rPr>
            </w:pPr>
          </w:p>
        </w:tc>
      </w:tr>
      <w:tr w14:paraId="7550155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603" w:type="pct"/>
            <w:vAlign w:val="center"/>
          </w:tcPr>
          <w:p w14:paraId="2E1C4046">
            <w:pPr>
              <w:pStyle w:val="96"/>
              <w:rPr>
                <w:color w:val="000000" w:themeColor="text1"/>
                <w:kern w:val="0"/>
                <w14:textFill>
                  <w14:solidFill>
                    <w14:schemeClr w14:val="tx1"/>
                  </w14:solidFill>
                </w14:textFill>
              </w:rPr>
            </w:pPr>
            <w:r>
              <w:rPr>
                <w:color w:val="000000" w:themeColor="text1"/>
                <w:kern w:val="0"/>
                <w14:textFill>
                  <w14:solidFill>
                    <w14:schemeClr w14:val="tx1"/>
                  </w14:solidFill>
                </w14:textFill>
              </w:rPr>
              <w:t>2</w:t>
            </w:r>
          </w:p>
        </w:tc>
        <w:tc>
          <w:tcPr>
            <w:tcW w:w="1042" w:type="pct"/>
            <w:vAlign w:val="center"/>
          </w:tcPr>
          <w:p w14:paraId="0CDA7CAC">
            <w:pPr>
              <w:pStyle w:val="96"/>
              <w:rPr>
                <w:color w:val="000000" w:themeColor="text1"/>
                <w:kern w:val="0"/>
                <w14:textFill>
                  <w14:solidFill>
                    <w14:schemeClr w14:val="tx1"/>
                  </w14:solidFill>
                </w14:textFill>
              </w:rPr>
            </w:pPr>
          </w:p>
        </w:tc>
        <w:tc>
          <w:tcPr>
            <w:tcW w:w="824" w:type="pct"/>
            <w:vAlign w:val="center"/>
          </w:tcPr>
          <w:p w14:paraId="34ED91A6">
            <w:pPr>
              <w:pStyle w:val="96"/>
              <w:rPr>
                <w:color w:val="000000" w:themeColor="text1"/>
                <w:kern w:val="0"/>
                <w14:textFill>
                  <w14:solidFill>
                    <w14:schemeClr w14:val="tx1"/>
                  </w14:solidFill>
                </w14:textFill>
              </w:rPr>
            </w:pPr>
          </w:p>
        </w:tc>
        <w:tc>
          <w:tcPr>
            <w:tcW w:w="823" w:type="pct"/>
            <w:vAlign w:val="center"/>
          </w:tcPr>
          <w:p w14:paraId="18F96BDE">
            <w:pPr>
              <w:pStyle w:val="96"/>
              <w:rPr>
                <w:color w:val="000000" w:themeColor="text1"/>
                <w:kern w:val="0"/>
                <w14:textFill>
                  <w14:solidFill>
                    <w14:schemeClr w14:val="tx1"/>
                  </w14:solidFill>
                </w14:textFill>
              </w:rPr>
            </w:pPr>
          </w:p>
        </w:tc>
        <w:tc>
          <w:tcPr>
            <w:tcW w:w="713" w:type="pct"/>
            <w:vAlign w:val="center"/>
          </w:tcPr>
          <w:p w14:paraId="33ABDFF7">
            <w:pPr>
              <w:pStyle w:val="96"/>
              <w:rPr>
                <w:color w:val="000000" w:themeColor="text1"/>
                <w:kern w:val="0"/>
                <w14:textFill>
                  <w14:solidFill>
                    <w14:schemeClr w14:val="tx1"/>
                  </w14:solidFill>
                </w14:textFill>
              </w:rPr>
            </w:pPr>
          </w:p>
        </w:tc>
        <w:tc>
          <w:tcPr>
            <w:tcW w:w="995" w:type="pct"/>
            <w:vAlign w:val="center"/>
          </w:tcPr>
          <w:p w14:paraId="63BBE909">
            <w:pPr>
              <w:pStyle w:val="96"/>
              <w:rPr>
                <w:color w:val="000000" w:themeColor="text1"/>
                <w:kern w:val="0"/>
                <w14:textFill>
                  <w14:solidFill>
                    <w14:schemeClr w14:val="tx1"/>
                  </w14:solidFill>
                </w14:textFill>
              </w:rPr>
            </w:pPr>
          </w:p>
        </w:tc>
      </w:tr>
      <w:tr w14:paraId="4C8C7D1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5000" w:type="pct"/>
            <w:gridSpan w:val="6"/>
            <w:vAlign w:val="center"/>
          </w:tcPr>
          <w:p w14:paraId="4B81C5C2">
            <w:pPr>
              <w:pStyle w:val="96"/>
              <w:rPr>
                <w:b/>
                <w:bCs/>
                <w:color w:val="000000" w:themeColor="text1"/>
                <w:kern w:val="0"/>
                <w14:textFill>
                  <w14:solidFill>
                    <w14:schemeClr w14:val="tx1"/>
                  </w14:solidFill>
                </w14:textFill>
              </w:rPr>
            </w:pPr>
            <w:r>
              <w:rPr>
                <w:b/>
                <w:bCs/>
                <w:color w:val="000000" w:themeColor="text1"/>
                <w14:textFill>
                  <w14:solidFill>
                    <w14:schemeClr w14:val="tx1"/>
                  </w14:solidFill>
                </w14:textFill>
              </w:rPr>
              <w:t>刻蚀液</w:t>
            </w:r>
          </w:p>
        </w:tc>
      </w:tr>
      <w:tr w14:paraId="3DEBDA4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603" w:type="pct"/>
            <w:vAlign w:val="center"/>
          </w:tcPr>
          <w:p w14:paraId="69328282">
            <w:pPr>
              <w:pStyle w:val="96"/>
              <w:rPr>
                <w:color w:val="000000" w:themeColor="text1"/>
                <w:kern w:val="0"/>
                <w14:textFill>
                  <w14:solidFill>
                    <w14:schemeClr w14:val="tx1"/>
                  </w14:solidFill>
                </w14:textFill>
              </w:rPr>
            </w:pPr>
            <w:r>
              <w:rPr>
                <w:rFonts w:hint="eastAsia"/>
                <w:color w:val="000000" w:themeColor="text1"/>
                <w:kern w:val="0"/>
                <w14:textFill>
                  <w14:solidFill>
                    <w14:schemeClr w14:val="tx1"/>
                  </w14:solidFill>
                </w14:textFill>
              </w:rPr>
              <w:t>1</w:t>
            </w:r>
          </w:p>
        </w:tc>
        <w:tc>
          <w:tcPr>
            <w:tcW w:w="1042" w:type="pct"/>
            <w:vAlign w:val="center"/>
          </w:tcPr>
          <w:p w14:paraId="51C5A445">
            <w:pPr>
              <w:pStyle w:val="96"/>
              <w:rPr>
                <w:color w:val="000000" w:themeColor="text1"/>
                <w:szCs w:val="24"/>
                <w14:textFill>
                  <w14:solidFill>
                    <w14:schemeClr w14:val="tx1"/>
                  </w14:solidFill>
                </w14:textFill>
              </w:rPr>
            </w:pPr>
          </w:p>
        </w:tc>
        <w:tc>
          <w:tcPr>
            <w:tcW w:w="824" w:type="pct"/>
            <w:vAlign w:val="center"/>
          </w:tcPr>
          <w:p w14:paraId="263BCC40">
            <w:pPr>
              <w:pStyle w:val="96"/>
              <w:rPr>
                <w:color w:val="000000" w:themeColor="text1"/>
                <w:kern w:val="0"/>
                <w14:textFill>
                  <w14:solidFill>
                    <w14:schemeClr w14:val="tx1"/>
                  </w14:solidFill>
                </w14:textFill>
              </w:rPr>
            </w:pPr>
          </w:p>
        </w:tc>
        <w:tc>
          <w:tcPr>
            <w:tcW w:w="823" w:type="pct"/>
            <w:vAlign w:val="center"/>
          </w:tcPr>
          <w:p w14:paraId="5F177D47">
            <w:pPr>
              <w:pStyle w:val="96"/>
              <w:rPr>
                <w:color w:val="000000" w:themeColor="text1"/>
                <w:kern w:val="0"/>
                <w14:textFill>
                  <w14:solidFill>
                    <w14:schemeClr w14:val="tx1"/>
                  </w14:solidFill>
                </w14:textFill>
              </w:rPr>
            </w:pPr>
          </w:p>
        </w:tc>
        <w:tc>
          <w:tcPr>
            <w:tcW w:w="713" w:type="pct"/>
            <w:vAlign w:val="center"/>
          </w:tcPr>
          <w:p w14:paraId="232DF851">
            <w:pPr>
              <w:pStyle w:val="96"/>
              <w:rPr>
                <w:color w:val="000000" w:themeColor="text1"/>
                <w:kern w:val="0"/>
                <w14:textFill>
                  <w14:solidFill>
                    <w14:schemeClr w14:val="tx1"/>
                  </w14:solidFill>
                </w14:textFill>
              </w:rPr>
            </w:pPr>
          </w:p>
        </w:tc>
        <w:tc>
          <w:tcPr>
            <w:tcW w:w="995" w:type="pct"/>
            <w:vAlign w:val="center"/>
          </w:tcPr>
          <w:p w14:paraId="359C0801">
            <w:pPr>
              <w:pStyle w:val="96"/>
              <w:rPr>
                <w:color w:val="000000" w:themeColor="text1"/>
                <w:kern w:val="0"/>
                <w14:textFill>
                  <w14:solidFill>
                    <w14:schemeClr w14:val="tx1"/>
                  </w14:solidFill>
                </w14:textFill>
              </w:rPr>
            </w:pPr>
          </w:p>
        </w:tc>
      </w:tr>
      <w:tr w14:paraId="62F8A46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603" w:type="pct"/>
            <w:vAlign w:val="center"/>
          </w:tcPr>
          <w:p w14:paraId="1688A12A">
            <w:pPr>
              <w:pStyle w:val="96"/>
              <w:rPr>
                <w:color w:val="000000" w:themeColor="text1"/>
                <w:kern w:val="0"/>
                <w14:textFill>
                  <w14:solidFill>
                    <w14:schemeClr w14:val="tx1"/>
                  </w14:solidFill>
                </w14:textFill>
              </w:rPr>
            </w:pPr>
            <w:r>
              <w:rPr>
                <w:rFonts w:hint="eastAsia"/>
                <w:color w:val="000000" w:themeColor="text1"/>
                <w:kern w:val="0"/>
                <w14:textFill>
                  <w14:solidFill>
                    <w14:schemeClr w14:val="tx1"/>
                  </w14:solidFill>
                </w14:textFill>
              </w:rPr>
              <w:t>2</w:t>
            </w:r>
          </w:p>
        </w:tc>
        <w:tc>
          <w:tcPr>
            <w:tcW w:w="1042" w:type="pct"/>
            <w:vAlign w:val="center"/>
          </w:tcPr>
          <w:p w14:paraId="129B8361">
            <w:pPr>
              <w:pStyle w:val="96"/>
              <w:rPr>
                <w:color w:val="000000" w:themeColor="text1"/>
                <w:szCs w:val="24"/>
                <w14:textFill>
                  <w14:solidFill>
                    <w14:schemeClr w14:val="tx1"/>
                  </w14:solidFill>
                </w14:textFill>
              </w:rPr>
            </w:pPr>
          </w:p>
        </w:tc>
        <w:tc>
          <w:tcPr>
            <w:tcW w:w="824" w:type="pct"/>
            <w:vAlign w:val="center"/>
          </w:tcPr>
          <w:p w14:paraId="730BDFC6">
            <w:pPr>
              <w:pStyle w:val="96"/>
              <w:rPr>
                <w:color w:val="000000" w:themeColor="text1"/>
                <w:kern w:val="0"/>
                <w14:textFill>
                  <w14:solidFill>
                    <w14:schemeClr w14:val="tx1"/>
                  </w14:solidFill>
                </w14:textFill>
              </w:rPr>
            </w:pPr>
          </w:p>
        </w:tc>
        <w:tc>
          <w:tcPr>
            <w:tcW w:w="823" w:type="pct"/>
            <w:vAlign w:val="center"/>
          </w:tcPr>
          <w:p w14:paraId="2994B055">
            <w:pPr>
              <w:pStyle w:val="96"/>
              <w:rPr>
                <w:color w:val="000000" w:themeColor="text1"/>
                <w:kern w:val="0"/>
                <w14:textFill>
                  <w14:solidFill>
                    <w14:schemeClr w14:val="tx1"/>
                  </w14:solidFill>
                </w14:textFill>
              </w:rPr>
            </w:pPr>
          </w:p>
        </w:tc>
        <w:tc>
          <w:tcPr>
            <w:tcW w:w="713" w:type="pct"/>
            <w:vAlign w:val="center"/>
          </w:tcPr>
          <w:p w14:paraId="483D7B07">
            <w:pPr>
              <w:pStyle w:val="96"/>
              <w:rPr>
                <w:color w:val="000000" w:themeColor="text1"/>
                <w:kern w:val="0"/>
                <w14:textFill>
                  <w14:solidFill>
                    <w14:schemeClr w14:val="tx1"/>
                  </w14:solidFill>
                </w14:textFill>
              </w:rPr>
            </w:pPr>
          </w:p>
        </w:tc>
        <w:tc>
          <w:tcPr>
            <w:tcW w:w="995" w:type="pct"/>
            <w:vAlign w:val="center"/>
          </w:tcPr>
          <w:p w14:paraId="79A5A6B0">
            <w:pPr>
              <w:pStyle w:val="96"/>
              <w:rPr>
                <w:color w:val="000000" w:themeColor="text1"/>
                <w:kern w:val="0"/>
                <w14:textFill>
                  <w14:solidFill>
                    <w14:schemeClr w14:val="tx1"/>
                  </w14:solidFill>
                </w14:textFill>
              </w:rPr>
            </w:pPr>
          </w:p>
        </w:tc>
      </w:tr>
      <w:tr w14:paraId="7A3F037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5000" w:type="pct"/>
            <w:gridSpan w:val="6"/>
            <w:vAlign w:val="center"/>
          </w:tcPr>
          <w:p w14:paraId="7B229F1D">
            <w:pPr>
              <w:pStyle w:val="96"/>
              <w:rPr>
                <w:b/>
                <w:bCs/>
                <w:color w:val="000000" w:themeColor="text1"/>
                <w:kern w:val="0"/>
                <w14:textFill>
                  <w14:solidFill>
                    <w14:schemeClr w14:val="tx1"/>
                  </w14:solidFill>
                </w14:textFill>
              </w:rPr>
            </w:pPr>
            <w:r>
              <w:rPr>
                <w:rFonts w:hint="eastAsia"/>
                <w:b/>
                <w:bCs/>
                <w:color w:val="000000" w:themeColor="text1"/>
                <w:kern w:val="0"/>
                <w14:textFill>
                  <w14:solidFill>
                    <w14:schemeClr w14:val="tx1"/>
                  </w14:solidFill>
                </w14:textFill>
              </w:rPr>
              <w:t>合计</w:t>
            </w:r>
          </w:p>
        </w:tc>
      </w:tr>
      <w:tr w14:paraId="269149C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603" w:type="pct"/>
            <w:vAlign w:val="center"/>
          </w:tcPr>
          <w:p w14:paraId="55EEB1B8">
            <w:pPr>
              <w:pStyle w:val="96"/>
              <w:rPr>
                <w:color w:val="000000" w:themeColor="text1"/>
                <w:kern w:val="0"/>
                <w14:textFill>
                  <w14:solidFill>
                    <w14:schemeClr w14:val="tx1"/>
                  </w14:solidFill>
                </w14:textFill>
              </w:rPr>
            </w:pPr>
            <w:r>
              <w:rPr>
                <w:rFonts w:hint="eastAsia"/>
                <w:color w:val="000000" w:themeColor="text1"/>
                <w:kern w:val="0"/>
                <w14:textFill>
                  <w14:solidFill>
                    <w14:schemeClr w14:val="tx1"/>
                  </w14:solidFill>
                </w14:textFill>
              </w:rPr>
              <w:t>1</w:t>
            </w:r>
          </w:p>
        </w:tc>
        <w:tc>
          <w:tcPr>
            <w:tcW w:w="1042" w:type="pct"/>
            <w:vAlign w:val="center"/>
          </w:tcPr>
          <w:p w14:paraId="4124B5C9">
            <w:pPr>
              <w:pStyle w:val="96"/>
              <w:rPr>
                <w:color w:val="000000" w:themeColor="text1"/>
                <w:kern w:val="0"/>
                <w14:textFill>
                  <w14:solidFill>
                    <w14:schemeClr w14:val="tx1"/>
                  </w14:solidFill>
                </w14:textFill>
              </w:rPr>
            </w:pPr>
          </w:p>
        </w:tc>
        <w:tc>
          <w:tcPr>
            <w:tcW w:w="824" w:type="pct"/>
            <w:vAlign w:val="center"/>
          </w:tcPr>
          <w:p w14:paraId="385EC6F9">
            <w:pPr>
              <w:pStyle w:val="96"/>
              <w:rPr>
                <w:color w:val="000000" w:themeColor="text1"/>
                <w:kern w:val="0"/>
                <w14:textFill>
                  <w14:solidFill>
                    <w14:schemeClr w14:val="tx1"/>
                  </w14:solidFill>
                </w14:textFill>
              </w:rPr>
            </w:pPr>
          </w:p>
        </w:tc>
        <w:tc>
          <w:tcPr>
            <w:tcW w:w="823" w:type="pct"/>
            <w:vAlign w:val="center"/>
          </w:tcPr>
          <w:p w14:paraId="270407F7">
            <w:pPr>
              <w:pStyle w:val="96"/>
              <w:rPr>
                <w:color w:val="000000" w:themeColor="text1"/>
                <w:kern w:val="0"/>
                <w14:textFill>
                  <w14:solidFill>
                    <w14:schemeClr w14:val="tx1"/>
                  </w14:solidFill>
                </w14:textFill>
              </w:rPr>
            </w:pPr>
          </w:p>
        </w:tc>
        <w:tc>
          <w:tcPr>
            <w:tcW w:w="713" w:type="pct"/>
            <w:vAlign w:val="center"/>
          </w:tcPr>
          <w:p w14:paraId="60B24979">
            <w:pPr>
              <w:pStyle w:val="96"/>
              <w:rPr>
                <w:color w:val="000000" w:themeColor="text1"/>
                <w:kern w:val="0"/>
                <w14:textFill>
                  <w14:solidFill>
                    <w14:schemeClr w14:val="tx1"/>
                  </w14:solidFill>
                </w14:textFill>
              </w:rPr>
            </w:pPr>
          </w:p>
        </w:tc>
        <w:tc>
          <w:tcPr>
            <w:tcW w:w="995" w:type="pct"/>
            <w:vAlign w:val="center"/>
          </w:tcPr>
          <w:p w14:paraId="32B99062">
            <w:pPr>
              <w:pStyle w:val="96"/>
              <w:rPr>
                <w:color w:val="000000" w:themeColor="text1"/>
                <w:kern w:val="0"/>
                <w14:textFill>
                  <w14:solidFill>
                    <w14:schemeClr w14:val="tx1"/>
                  </w14:solidFill>
                </w14:textFill>
              </w:rPr>
            </w:pPr>
          </w:p>
        </w:tc>
      </w:tr>
      <w:tr w14:paraId="1966209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603" w:type="pct"/>
            <w:vAlign w:val="center"/>
          </w:tcPr>
          <w:p w14:paraId="2EC785FF">
            <w:pPr>
              <w:pStyle w:val="96"/>
              <w:rPr>
                <w:color w:val="000000" w:themeColor="text1"/>
                <w:kern w:val="0"/>
                <w14:textFill>
                  <w14:solidFill>
                    <w14:schemeClr w14:val="tx1"/>
                  </w14:solidFill>
                </w14:textFill>
              </w:rPr>
            </w:pPr>
            <w:r>
              <w:rPr>
                <w:rFonts w:hint="eastAsia"/>
                <w:color w:val="000000" w:themeColor="text1"/>
                <w:kern w:val="0"/>
                <w14:textFill>
                  <w14:solidFill>
                    <w14:schemeClr w14:val="tx1"/>
                  </w14:solidFill>
                </w14:textFill>
              </w:rPr>
              <w:t>2</w:t>
            </w:r>
          </w:p>
        </w:tc>
        <w:tc>
          <w:tcPr>
            <w:tcW w:w="1042" w:type="pct"/>
            <w:vAlign w:val="center"/>
          </w:tcPr>
          <w:p w14:paraId="376C5E68">
            <w:pPr>
              <w:pStyle w:val="96"/>
              <w:rPr>
                <w:color w:val="000000" w:themeColor="text1"/>
                <w:kern w:val="0"/>
                <w14:textFill>
                  <w14:solidFill>
                    <w14:schemeClr w14:val="tx1"/>
                  </w14:solidFill>
                </w14:textFill>
              </w:rPr>
            </w:pPr>
          </w:p>
        </w:tc>
        <w:tc>
          <w:tcPr>
            <w:tcW w:w="824" w:type="pct"/>
            <w:vAlign w:val="center"/>
          </w:tcPr>
          <w:p w14:paraId="536E7C4B">
            <w:pPr>
              <w:pStyle w:val="96"/>
              <w:rPr>
                <w:color w:val="000000" w:themeColor="text1"/>
                <w:kern w:val="0"/>
                <w14:textFill>
                  <w14:solidFill>
                    <w14:schemeClr w14:val="tx1"/>
                  </w14:solidFill>
                </w14:textFill>
              </w:rPr>
            </w:pPr>
          </w:p>
        </w:tc>
        <w:tc>
          <w:tcPr>
            <w:tcW w:w="823" w:type="pct"/>
            <w:vAlign w:val="center"/>
          </w:tcPr>
          <w:p w14:paraId="50A33225">
            <w:pPr>
              <w:pStyle w:val="96"/>
              <w:rPr>
                <w:color w:val="000000" w:themeColor="text1"/>
                <w:kern w:val="0"/>
                <w14:textFill>
                  <w14:solidFill>
                    <w14:schemeClr w14:val="tx1"/>
                  </w14:solidFill>
                </w14:textFill>
              </w:rPr>
            </w:pPr>
          </w:p>
        </w:tc>
        <w:tc>
          <w:tcPr>
            <w:tcW w:w="713" w:type="pct"/>
            <w:vAlign w:val="center"/>
          </w:tcPr>
          <w:p w14:paraId="1FC79AAC">
            <w:pPr>
              <w:pStyle w:val="96"/>
              <w:rPr>
                <w:color w:val="000000" w:themeColor="text1"/>
                <w:kern w:val="0"/>
                <w14:textFill>
                  <w14:solidFill>
                    <w14:schemeClr w14:val="tx1"/>
                  </w14:solidFill>
                </w14:textFill>
              </w:rPr>
            </w:pPr>
          </w:p>
        </w:tc>
        <w:tc>
          <w:tcPr>
            <w:tcW w:w="995" w:type="pct"/>
            <w:vAlign w:val="center"/>
          </w:tcPr>
          <w:p w14:paraId="47857B2C">
            <w:pPr>
              <w:pStyle w:val="96"/>
              <w:rPr>
                <w:color w:val="000000" w:themeColor="text1"/>
                <w:kern w:val="0"/>
                <w14:textFill>
                  <w14:solidFill>
                    <w14:schemeClr w14:val="tx1"/>
                  </w14:solidFill>
                </w14:textFill>
              </w:rPr>
            </w:pPr>
          </w:p>
        </w:tc>
      </w:tr>
      <w:tr w14:paraId="169305C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603" w:type="pct"/>
            <w:vAlign w:val="center"/>
          </w:tcPr>
          <w:p w14:paraId="7DFC3470">
            <w:pPr>
              <w:pStyle w:val="96"/>
              <w:rPr>
                <w:color w:val="000000" w:themeColor="text1"/>
                <w:kern w:val="0"/>
                <w14:textFill>
                  <w14:solidFill>
                    <w14:schemeClr w14:val="tx1"/>
                  </w14:solidFill>
                </w14:textFill>
              </w:rPr>
            </w:pPr>
            <w:r>
              <w:rPr>
                <w:rFonts w:hint="eastAsia"/>
                <w:color w:val="000000" w:themeColor="text1"/>
                <w:kern w:val="0"/>
                <w14:textFill>
                  <w14:solidFill>
                    <w14:schemeClr w14:val="tx1"/>
                  </w14:solidFill>
                </w14:textFill>
              </w:rPr>
              <w:t>3</w:t>
            </w:r>
          </w:p>
        </w:tc>
        <w:tc>
          <w:tcPr>
            <w:tcW w:w="1042" w:type="pct"/>
            <w:vAlign w:val="center"/>
          </w:tcPr>
          <w:p w14:paraId="4F749DC1">
            <w:pPr>
              <w:pStyle w:val="96"/>
              <w:rPr>
                <w:color w:val="000000" w:themeColor="text1"/>
                <w:kern w:val="0"/>
                <w14:textFill>
                  <w14:solidFill>
                    <w14:schemeClr w14:val="tx1"/>
                  </w14:solidFill>
                </w14:textFill>
              </w:rPr>
            </w:pPr>
          </w:p>
        </w:tc>
        <w:tc>
          <w:tcPr>
            <w:tcW w:w="824" w:type="pct"/>
            <w:vAlign w:val="center"/>
          </w:tcPr>
          <w:p w14:paraId="47D4D2B3">
            <w:pPr>
              <w:pStyle w:val="96"/>
              <w:rPr>
                <w:color w:val="000000" w:themeColor="text1"/>
                <w:kern w:val="0"/>
                <w14:textFill>
                  <w14:solidFill>
                    <w14:schemeClr w14:val="tx1"/>
                  </w14:solidFill>
                </w14:textFill>
              </w:rPr>
            </w:pPr>
          </w:p>
        </w:tc>
        <w:tc>
          <w:tcPr>
            <w:tcW w:w="823" w:type="pct"/>
            <w:vAlign w:val="center"/>
          </w:tcPr>
          <w:p w14:paraId="4AA3F1D9">
            <w:pPr>
              <w:pStyle w:val="96"/>
              <w:rPr>
                <w:color w:val="000000" w:themeColor="text1"/>
                <w:kern w:val="0"/>
                <w14:textFill>
                  <w14:solidFill>
                    <w14:schemeClr w14:val="tx1"/>
                  </w14:solidFill>
                </w14:textFill>
              </w:rPr>
            </w:pPr>
          </w:p>
        </w:tc>
        <w:tc>
          <w:tcPr>
            <w:tcW w:w="713" w:type="pct"/>
            <w:vAlign w:val="center"/>
          </w:tcPr>
          <w:p w14:paraId="0E81DCFD">
            <w:pPr>
              <w:pStyle w:val="96"/>
              <w:rPr>
                <w:color w:val="000000" w:themeColor="text1"/>
                <w:kern w:val="0"/>
                <w14:textFill>
                  <w14:solidFill>
                    <w14:schemeClr w14:val="tx1"/>
                  </w14:solidFill>
                </w14:textFill>
              </w:rPr>
            </w:pPr>
          </w:p>
        </w:tc>
        <w:tc>
          <w:tcPr>
            <w:tcW w:w="995" w:type="pct"/>
            <w:vAlign w:val="center"/>
          </w:tcPr>
          <w:p w14:paraId="27079082">
            <w:pPr>
              <w:pStyle w:val="96"/>
              <w:rPr>
                <w:color w:val="000000" w:themeColor="text1"/>
                <w:kern w:val="0"/>
                <w14:textFill>
                  <w14:solidFill>
                    <w14:schemeClr w14:val="tx1"/>
                  </w14:solidFill>
                </w14:textFill>
              </w:rPr>
            </w:pPr>
          </w:p>
        </w:tc>
      </w:tr>
      <w:tr w14:paraId="1B56C7D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603" w:type="pct"/>
            <w:vAlign w:val="center"/>
          </w:tcPr>
          <w:p w14:paraId="21523994">
            <w:pPr>
              <w:pStyle w:val="96"/>
              <w:rPr>
                <w:color w:val="000000" w:themeColor="text1"/>
                <w:kern w:val="0"/>
                <w14:textFill>
                  <w14:solidFill>
                    <w14:schemeClr w14:val="tx1"/>
                  </w14:solidFill>
                </w14:textFill>
              </w:rPr>
            </w:pPr>
            <w:r>
              <w:rPr>
                <w:rFonts w:hint="eastAsia"/>
                <w:color w:val="000000" w:themeColor="text1"/>
                <w:kern w:val="0"/>
                <w14:textFill>
                  <w14:solidFill>
                    <w14:schemeClr w14:val="tx1"/>
                  </w14:solidFill>
                </w14:textFill>
              </w:rPr>
              <w:t>4</w:t>
            </w:r>
          </w:p>
        </w:tc>
        <w:tc>
          <w:tcPr>
            <w:tcW w:w="1042" w:type="pct"/>
            <w:vAlign w:val="center"/>
          </w:tcPr>
          <w:p w14:paraId="6A77ADC4">
            <w:pPr>
              <w:pStyle w:val="96"/>
              <w:rPr>
                <w:color w:val="000000" w:themeColor="text1"/>
                <w:kern w:val="0"/>
                <w14:textFill>
                  <w14:solidFill>
                    <w14:schemeClr w14:val="tx1"/>
                  </w14:solidFill>
                </w14:textFill>
              </w:rPr>
            </w:pPr>
          </w:p>
        </w:tc>
        <w:tc>
          <w:tcPr>
            <w:tcW w:w="824" w:type="pct"/>
            <w:vAlign w:val="center"/>
          </w:tcPr>
          <w:p w14:paraId="0C523197">
            <w:pPr>
              <w:pStyle w:val="96"/>
              <w:rPr>
                <w:color w:val="000000" w:themeColor="text1"/>
                <w:kern w:val="0"/>
                <w14:textFill>
                  <w14:solidFill>
                    <w14:schemeClr w14:val="tx1"/>
                  </w14:solidFill>
                </w14:textFill>
              </w:rPr>
            </w:pPr>
          </w:p>
        </w:tc>
        <w:tc>
          <w:tcPr>
            <w:tcW w:w="823" w:type="pct"/>
            <w:vAlign w:val="center"/>
          </w:tcPr>
          <w:p w14:paraId="48452B39">
            <w:pPr>
              <w:pStyle w:val="96"/>
              <w:rPr>
                <w:color w:val="000000" w:themeColor="text1"/>
                <w:kern w:val="0"/>
                <w14:textFill>
                  <w14:solidFill>
                    <w14:schemeClr w14:val="tx1"/>
                  </w14:solidFill>
                </w14:textFill>
              </w:rPr>
            </w:pPr>
          </w:p>
        </w:tc>
        <w:tc>
          <w:tcPr>
            <w:tcW w:w="713" w:type="pct"/>
            <w:vAlign w:val="center"/>
          </w:tcPr>
          <w:p w14:paraId="2097FA7B">
            <w:pPr>
              <w:pStyle w:val="96"/>
              <w:rPr>
                <w:color w:val="000000" w:themeColor="text1"/>
                <w:kern w:val="0"/>
                <w14:textFill>
                  <w14:solidFill>
                    <w14:schemeClr w14:val="tx1"/>
                  </w14:solidFill>
                </w14:textFill>
              </w:rPr>
            </w:pPr>
          </w:p>
        </w:tc>
        <w:tc>
          <w:tcPr>
            <w:tcW w:w="995" w:type="pct"/>
            <w:vAlign w:val="center"/>
          </w:tcPr>
          <w:p w14:paraId="0171132F">
            <w:pPr>
              <w:pStyle w:val="96"/>
              <w:rPr>
                <w:color w:val="000000" w:themeColor="text1"/>
                <w:kern w:val="0"/>
                <w14:textFill>
                  <w14:solidFill>
                    <w14:schemeClr w14:val="tx1"/>
                  </w14:solidFill>
                </w14:textFill>
              </w:rPr>
            </w:pPr>
          </w:p>
        </w:tc>
      </w:tr>
      <w:bookmarkEnd w:id="466"/>
    </w:tbl>
    <w:p w14:paraId="3BFD06B8">
      <w:pPr>
        <w:spacing w:line="360" w:lineRule="auto"/>
        <w:ind w:firstLine="482"/>
        <w:jc w:val="both"/>
        <w:outlineLvl w:val="2"/>
        <w:rPr>
          <w:rFonts w:ascii="Times New Roman" w:hAnsi="Times New Roman" w:cs="Times New Roman"/>
          <w:b/>
          <w:bCs/>
          <w:color w:val="auto"/>
          <w:szCs w:val="24"/>
          <w:lang w:eastAsia="zh-CN"/>
        </w:rPr>
      </w:pPr>
      <w:bookmarkStart w:id="467" w:name="_Toc236641797"/>
      <w:bookmarkStart w:id="468" w:name="_Toc204448434"/>
      <w:bookmarkStart w:id="469" w:name="_Toc225784011"/>
      <w:bookmarkStart w:id="470" w:name="_Toc218784237"/>
      <w:bookmarkStart w:id="471" w:name="_Toc203926969"/>
      <w:bookmarkStart w:id="472" w:name="_Toc221900794"/>
      <w:bookmarkStart w:id="473" w:name="_Toc217662627"/>
      <w:bookmarkStart w:id="474" w:name="_Toc204515169"/>
      <w:bookmarkStart w:id="475" w:name="_Toc231828549"/>
      <w:bookmarkStart w:id="476" w:name="_Toc237508263"/>
      <w:bookmarkStart w:id="477" w:name="_Toc224674650"/>
      <w:bookmarkStart w:id="478" w:name="_Toc223425012"/>
      <w:bookmarkStart w:id="479" w:name="_Toc236641280"/>
      <w:r>
        <w:rPr>
          <w:rFonts w:ascii="Times New Roman" w:hAnsi="Times New Roman" w:cs="Times New Roman"/>
          <w:b/>
          <w:bCs/>
          <w:color w:val="auto"/>
          <w:szCs w:val="24"/>
          <w:lang w:eastAsia="zh-CN"/>
        </w:rPr>
        <w:t>3.</w:t>
      </w:r>
      <w:r>
        <w:rPr>
          <w:rFonts w:hint="eastAsia" w:ascii="Times New Roman" w:hAnsi="Times New Roman" w:cs="Times New Roman"/>
          <w:b/>
          <w:bCs/>
          <w:color w:val="auto"/>
          <w:szCs w:val="24"/>
          <w:lang w:eastAsia="zh-CN"/>
        </w:rPr>
        <w:t>1</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5 现有工程</w:t>
      </w:r>
      <w:r>
        <w:rPr>
          <w:rFonts w:ascii="Times New Roman" w:hAnsi="Times New Roman" w:cs="Times New Roman"/>
          <w:b/>
          <w:bCs/>
          <w:color w:val="auto"/>
          <w:szCs w:val="24"/>
          <w:lang w:eastAsia="zh-CN"/>
        </w:rPr>
        <w:t>生产设备</w:t>
      </w:r>
      <w:bookmarkEnd w:id="467"/>
      <w:bookmarkEnd w:id="468"/>
      <w:bookmarkEnd w:id="469"/>
      <w:bookmarkEnd w:id="470"/>
      <w:bookmarkEnd w:id="471"/>
      <w:bookmarkEnd w:id="472"/>
      <w:bookmarkEnd w:id="473"/>
      <w:bookmarkEnd w:id="474"/>
      <w:bookmarkEnd w:id="475"/>
      <w:bookmarkEnd w:id="476"/>
      <w:bookmarkEnd w:id="477"/>
      <w:bookmarkEnd w:id="478"/>
      <w:bookmarkEnd w:id="479"/>
    </w:p>
    <w:p w14:paraId="74F79E34">
      <w:pPr>
        <w:widowControl w:val="0"/>
        <w:spacing w:line="360" w:lineRule="auto"/>
        <w:ind w:firstLine="480" w:firstLineChars="200"/>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现有工程</w:t>
      </w:r>
      <w:r>
        <w:rPr>
          <w:rFonts w:ascii="Times New Roman" w:hAnsi="Times New Roman" w:cs="Times New Roman"/>
          <w:color w:val="auto"/>
          <w:szCs w:val="24"/>
          <w:lang w:eastAsia="zh-CN"/>
        </w:rPr>
        <w:t>生产设备情况详见下表。</w:t>
      </w:r>
    </w:p>
    <w:p w14:paraId="5A7D172B">
      <w:pPr>
        <w:pStyle w:val="101"/>
        <w:spacing w:line="360" w:lineRule="auto"/>
        <w:rPr>
          <w:rFonts w:eastAsia="宋体"/>
          <w:b/>
          <w:bCs/>
        </w:rPr>
      </w:pPr>
      <w:bookmarkStart w:id="480" w:name="_Hlk205199020"/>
      <w:r>
        <w:rPr>
          <w:rFonts w:eastAsia="宋体"/>
          <w:b/>
          <w:bCs/>
        </w:rPr>
        <w:t>表3.</w:t>
      </w:r>
      <w:r>
        <w:rPr>
          <w:rFonts w:hint="eastAsia" w:eastAsia="宋体"/>
          <w:b/>
          <w:bCs/>
        </w:rPr>
        <w:t>1</w:t>
      </w:r>
      <w:r>
        <w:rPr>
          <w:rFonts w:eastAsia="宋体"/>
          <w:b/>
          <w:bCs/>
        </w:rPr>
        <w:t>-</w:t>
      </w:r>
      <w:r>
        <w:rPr>
          <w:rFonts w:hint="eastAsia" w:eastAsia="宋体"/>
          <w:b/>
          <w:bCs/>
        </w:rPr>
        <w:t>4</w:t>
      </w:r>
      <w:r>
        <w:rPr>
          <w:rFonts w:eastAsia="宋体"/>
          <w:b/>
          <w:bCs/>
        </w:rPr>
        <w:t xml:space="preserve">  </w:t>
      </w:r>
      <w:r>
        <w:rPr>
          <w:rFonts w:hint="eastAsia" w:eastAsia="宋体"/>
          <w:b/>
          <w:bCs/>
        </w:rPr>
        <w:t>现有工程</w:t>
      </w:r>
      <w:r>
        <w:rPr>
          <w:rFonts w:eastAsia="宋体"/>
          <w:b/>
          <w:bCs/>
        </w:rPr>
        <w:t>生产设备情况一览表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688"/>
        <w:gridCol w:w="874"/>
        <w:gridCol w:w="2267"/>
        <w:gridCol w:w="2693"/>
        <w:gridCol w:w="1841"/>
        <w:gridCol w:w="663"/>
      </w:tblGrid>
      <w:tr w14:paraId="365988D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81" w:type="pct"/>
            <w:vAlign w:val="center"/>
          </w:tcPr>
          <w:p w14:paraId="2D189F93">
            <w:pPr>
              <w:widowControl w:val="0"/>
              <w:jc w:val="center"/>
              <w:rPr>
                <w:rFonts w:ascii="Times New Roman" w:hAnsi="Times New Roman" w:cs="Times New Roman"/>
                <w:b/>
                <w:color w:val="auto"/>
                <w:spacing w:val="-2"/>
                <w:sz w:val="21"/>
              </w:rPr>
            </w:pPr>
            <w:r>
              <w:rPr>
                <w:rFonts w:ascii="Times New Roman" w:hAnsi="Times New Roman" w:cs="Times New Roman"/>
                <w:b/>
                <w:color w:val="auto"/>
                <w:spacing w:val="-2"/>
                <w:sz w:val="21"/>
              </w:rPr>
              <w:t>序号</w:t>
            </w:r>
          </w:p>
        </w:tc>
        <w:tc>
          <w:tcPr>
            <w:tcW w:w="484" w:type="pct"/>
            <w:vAlign w:val="center"/>
          </w:tcPr>
          <w:p w14:paraId="24AEA07F">
            <w:pPr>
              <w:widowControl w:val="0"/>
              <w:jc w:val="center"/>
              <w:rPr>
                <w:rFonts w:ascii="Times New Roman" w:hAnsi="Times New Roman" w:cs="Times New Roman"/>
                <w:b/>
                <w:color w:val="auto"/>
                <w:spacing w:val="-2"/>
                <w:sz w:val="21"/>
              </w:rPr>
            </w:pPr>
            <w:r>
              <w:rPr>
                <w:rFonts w:ascii="Times New Roman" w:hAnsi="Times New Roman" w:cs="Times New Roman"/>
                <w:b/>
                <w:color w:val="auto"/>
                <w:spacing w:val="-2"/>
                <w:sz w:val="21"/>
              </w:rPr>
              <w:t>位置</w:t>
            </w:r>
          </w:p>
        </w:tc>
        <w:tc>
          <w:tcPr>
            <w:tcW w:w="1256" w:type="pct"/>
            <w:vAlign w:val="center"/>
          </w:tcPr>
          <w:p w14:paraId="5A4FF6A9">
            <w:pPr>
              <w:widowControl w:val="0"/>
              <w:jc w:val="center"/>
              <w:rPr>
                <w:rFonts w:ascii="Times New Roman" w:hAnsi="Times New Roman" w:cs="Times New Roman"/>
                <w:b/>
                <w:color w:val="auto"/>
                <w:spacing w:val="-2"/>
                <w:sz w:val="21"/>
              </w:rPr>
            </w:pPr>
            <w:r>
              <w:rPr>
                <w:rFonts w:ascii="Times New Roman" w:hAnsi="Times New Roman" w:cs="Times New Roman"/>
                <w:b/>
                <w:color w:val="auto"/>
                <w:spacing w:val="-2"/>
                <w:sz w:val="21"/>
              </w:rPr>
              <w:t>设备名称</w:t>
            </w:r>
          </w:p>
        </w:tc>
        <w:tc>
          <w:tcPr>
            <w:tcW w:w="1492" w:type="pct"/>
            <w:vAlign w:val="center"/>
          </w:tcPr>
          <w:p w14:paraId="201936AD">
            <w:pPr>
              <w:widowControl w:val="0"/>
              <w:jc w:val="center"/>
              <w:rPr>
                <w:rFonts w:ascii="Times New Roman" w:hAnsi="Times New Roman" w:cs="Times New Roman"/>
                <w:b/>
                <w:color w:val="auto"/>
                <w:spacing w:val="-2"/>
                <w:sz w:val="21"/>
              </w:rPr>
            </w:pPr>
            <w:r>
              <w:rPr>
                <w:rFonts w:ascii="Times New Roman" w:hAnsi="Times New Roman" w:cs="Times New Roman"/>
                <w:b/>
                <w:color w:val="auto"/>
                <w:spacing w:val="-2"/>
                <w:sz w:val="21"/>
              </w:rPr>
              <w:t>规格型号</w:t>
            </w:r>
          </w:p>
        </w:tc>
        <w:tc>
          <w:tcPr>
            <w:tcW w:w="1020" w:type="pct"/>
            <w:vAlign w:val="center"/>
          </w:tcPr>
          <w:p w14:paraId="025346DF">
            <w:pPr>
              <w:widowControl w:val="0"/>
              <w:jc w:val="center"/>
              <w:rPr>
                <w:rFonts w:ascii="Times New Roman" w:hAnsi="Times New Roman" w:cs="Times New Roman"/>
                <w:b/>
                <w:color w:val="auto"/>
                <w:spacing w:val="-2"/>
                <w:sz w:val="21"/>
              </w:rPr>
            </w:pPr>
            <w:r>
              <w:rPr>
                <w:rFonts w:ascii="Times New Roman" w:hAnsi="Times New Roman" w:cs="Times New Roman"/>
                <w:b/>
                <w:color w:val="auto"/>
                <w:spacing w:val="-2"/>
                <w:sz w:val="21"/>
              </w:rPr>
              <w:t>材质</w:t>
            </w:r>
          </w:p>
        </w:tc>
        <w:tc>
          <w:tcPr>
            <w:tcW w:w="367" w:type="pct"/>
            <w:vAlign w:val="center"/>
          </w:tcPr>
          <w:p w14:paraId="51784E35">
            <w:pPr>
              <w:widowControl w:val="0"/>
              <w:jc w:val="center"/>
              <w:rPr>
                <w:rFonts w:ascii="Times New Roman" w:hAnsi="Times New Roman" w:cs="Times New Roman"/>
                <w:b/>
                <w:color w:val="auto"/>
                <w:spacing w:val="-2"/>
                <w:sz w:val="21"/>
              </w:rPr>
            </w:pPr>
            <w:r>
              <w:rPr>
                <w:rFonts w:ascii="Times New Roman" w:hAnsi="Times New Roman" w:cs="Times New Roman"/>
                <w:b/>
                <w:color w:val="auto"/>
                <w:spacing w:val="-2"/>
                <w:sz w:val="21"/>
              </w:rPr>
              <w:t>数量</w:t>
            </w:r>
          </w:p>
        </w:tc>
      </w:tr>
      <w:tr w14:paraId="34F26EB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81" w:type="pct"/>
            <w:vAlign w:val="center"/>
          </w:tcPr>
          <w:p w14:paraId="23E2A5F9">
            <w:pPr>
              <w:widowControl w:val="0"/>
              <w:jc w:val="center"/>
              <w:rPr>
                <w:rFonts w:ascii="Times New Roman" w:hAnsi="Times New Roman" w:cs="Times New Roman"/>
                <w:color w:val="auto"/>
                <w:spacing w:val="-2"/>
                <w:sz w:val="21"/>
              </w:rPr>
            </w:pPr>
            <w:r>
              <w:rPr>
                <w:rFonts w:ascii="Times New Roman" w:hAnsi="Times New Roman" w:cs="Times New Roman"/>
                <w:color w:val="auto"/>
                <w:spacing w:val="-2"/>
                <w:sz w:val="21"/>
              </w:rPr>
              <w:t>1</w:t>
            </w:r>
          </w:p>
        </w:tc>
        <w:tc>
          <w:tcPr>
            <w:tcW w:w="484" w:type="pct"/>
            <w:vMerge w:val="restart"/>
            <w:vAlign w:val="center"/>
          </w:tcPr>
          <w:p w14:paraId="49061873">
            <w:pPr>
              <w:widowControl w:val="0"/>
              <w:jc w:val="center"/>
              <w:rPr>
                <w:rFonts w:ascii="Times New Roman" w:hAnsi="Times New Roman" w:cs="Times New Roman"/>
                <w:color w:val="auto"/>
                <w:spacing w:val="-2"/>
                <w:sz w:val="21"/>
              </w:rPr>
            </w:pPr>
            <w:r>
              <w:rPr>
                <w:rFonts w:ascii="Times New Roman" w:hAnsi="Times New Roman" w:cs="Times New Roman"/>
                <w:color w:val="auto"/>
                <w:spacing w:val="-2"/>
                <w:sz w:val="21"/>
              </w:rPr>
              <w:t>电子级氢氟酸生产线</w:t>
            </w:r>
          </w:p>
        </w:tc>
        <w:tc>
          <w:tcPr>
            <w:tcW w:w="1256" w:type="pct"/>
            <w:vAlign w:val="center"/>
          </w:tcPr>
          <w:p w14:paraId="09E4C933">
            <w:pPr>
              <w:widowControl w:val="0"/>
              <w:jc w:val="center"/>
              <w:rPr>
                <w:rFonts w:ascii="Times New Roman" w:hAnsi="Times New Roman" w:cs="Times New Roman"/>
                <w:color w:val="auto"/>
                <w:spacing w:val="-2"/>
                <w:sz w:val="21"/>
              </w:rPr>
            </w:pPr>
          </w:p>
        </w:tc>
        <w:tc>
          <w:tcPr>
            <w:tcW w:w="1492" w:type="pct"/>
            <w:vAlign w:val="center"/>
          </w:tcPr>
          <w:p w14:paraId="1AEF3C62">
            <w:pPr>
              <w:widowControl w:val="0"/>
              <w:jc w:val="center"/>
              <w:rPr>
                <w:rFonts w:ascii="Times New Roman" w:hAnsi="Times New Roman" w:cs="Times New Roman"/>
                <w:color w:val="auto"/>
                <w:spacing w:val="-2"/>
                <w:sz w:val="21"/>
              </w:rPr>
            </w:pPr>
          </w:p>
        </w:tc>
        <w:tc>
          <w:tcPr>
            <w:tcW w:w="1020" w:type="pct"/>
            <w:vAlign w:val="center"/>
          </w:tcPr>
          <w:p w14:paraId="66EC33B9">
            <w:pPr>
              <w:widowControl w:val="0"/>
              <w:jc w:val="center"/>
              <w:rPr>
                <w:rFonts w:ascii="Times New Roman" w:hAnsi="Times New Roman" w:cs="Times New Roman"/>
                <w:color w:val="auto"/>
                <w:spacing w:val="-2"/>
                <w:sz w:val="21"/>
              </w:rPr>
            </w:pPr>
          </w:p>
        </w:tc>
        <w:tc>
          <w:tcPr>
            <w:tcW w:w="367" w:type="pct"/>
            <w:vAlign w:val="center"/>
          </w:tcPr>
          <w:p w14:paraId="3D00ECCC">
            <w:pPr>
              <w:widowControl w:val="0"/>
              <w:jc w:val="center"/>
              <w:rPr>
                <w:rFonts w:ascii="Times New Roman" w:hAnsi="Times New Roman" w:cs="Times New Roman"/>
                <w:color w:val="auto"/>
                <w:spacing w:val="-2"/>
                <w:sz w:val="21"/>
              </w:rPr>
            </w:pPr>
          </w:p>
        </w:tc>
      </w:tr>
      <w:tr w14:paraId="78CB9C8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81" w:type="pct"/>
            <w:vAlign w:val="center"/>
          </w:tcPr>
          <w:p w14:paraId="538E6AC6">
            <w:pPr>
              <w:widowControl w:val="0"/>
              <w:jc w:val="center"/>
              <w:rPr>
                <w:rFonts w:ascii="Times New Roman" w:hAnsi="Times New Roman" w:cs="Times New Roman"/>
                <w:color w:val="auto"/>
                <w:spacing w:val="-2"/>
                <w:sz w:val="21"/>
              </w:rPr>
            </w:pPr>
            <w:r>
              <w:rPr>
                <w:rFonts w:ascii="Times New Roman" w:hAnsi="Times New Roman" w:cs="Times New Roman"/>
                <w:color w:val="auto"/>
                <w:spacing w:val="-2"/>
                <w:sz w:val="21"/>
              </w:rPr>
              <w:t>2</w:t>
            </w:r>
          </w:p>
        </w:tc>
        <w:tc>
          <w:tcPr>
            <w:tcW w:w="484" w:type="pct"/>
            <w:vMerge w:val="continue"/>
            <w:vAlign w:val="center"/>
          </w:tcPr>
          <w:p w14:paraId="19A31748">
            <w:pPr>
              <w:widowControl w:val="0"/>
              <w:jc w:val="center"/>
              <w:rPr>
                <w:rFonts w:ascii="Times New Roman" w:hAnsi="Times New Roman" w:cs="Times New Roman"/>
                <w:color w:val="auto"/>
                <w:spacing w:val="-2"/>
                <w:sz w:val="21"/>
              </w:rPr>
            </w:pPr>
          </w:p>
        </w:tc>
        <w:tc>
          <w:tcPr>
            <w:tcW w:w="1256" w:type="pct"/>
            <w:vAlign w:val="center"/>
          </w:tcPr>
          <w:p w14:paraId="20C0E778">
            <w:pPr>
              <w:widowControl w:val="0"/>
              <w:jc w:val="center"/>
              <w:rPr>
                <w:rFonts w:ascii="Times New Roman" w:hAnsi="Times New Roman" w:cs="Times New Roman"/>
                <w:color w:val="auto"/>
                <w:spacing w:val="-2"/>
                <w:sz w:val="21"/>
              </w:rPr>
            </w:pPr>
          </w:p>
        </w:tc>
        <w:tc>
          <w:tcPr>
            <w:tcW w:w="1492" w:type="pct"/>
            <w:vAlign w:val="center"/>
          </w:tcPr>
          <w:p w14:paraId="0282246D">
            <w:pPr>
              <w:widowControl w:val="0"/>
              <w:jc w:val="center"/>
              <w:rPr>
                <w:rFonts w:ascii="Times New Roman" w:hAnsi="Times New Roman" w:cs="Times New Roman"/>
                <w:color w:val="auto"/>
                <w:spacing w:val="-2"/>
                <w:sz w:val="21"/>
              </w:rPr>
            </w:pPr>
          </w:p>
        </w:tc>
        <w:tc>
          <w:tcPr>
            <w:tcW w:w="1020" w:type="pct"/>
            <w:vAlign w:val="center"/>
          </w:tcPr>
          <w:p w14:paraId="55BC0EE9">
            <w:pPr>
              <w:widowControl w:val="0"/>
              <w:jc w:val="center"/>
              <w:rPr>
                <w:rFonts w:ascii="Times New Roman" w:hAnsi="Times New Roman" w:cs="Times New Roman"/>
                <w:color w:val="auto"/>
                <w:spacing w:val="-2"/>
                <w:sz w:val="21"/>
              </w:rPr>
            </w:pPr>
          </w:p>
        </w:tc>
        <w:tc>
          <w:tcPr>
            <w:tcW w:w="367" w:type="pct"/>
            <w:vAlign w:val="center"/>
          </w:tcPr>
          <w:p w14:paraId="2E2F5176">
            <w:pPr>
              <w:widowControl w:val="0"/>
              <w:jc w:val="center"/>
              <w:rPr>
                <w:rFonts w:ascii="Times New Roman" w:hAnsi="Times New Roman" w:cs="Times New Roman"/>
                <w:color w:val="auto"/>
                <w:spacing w:val="-2"/>
                <w:sz w:val="21"/>
              </w:rPr>
            </w:pPr>
          </w:p>
        </w:tc>
      </w:tr>
      <w:tr w14:paraId="1E42AED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81" w:type="pct"/>
            <w:vAlign w:val="center"/>
          </w:tcPr>
          <w:p w14:paraId="3640B831">
            <w:pPr>
              <w:widowControl w:val="0"/>
              <w:jc w:val="center"/>
              <w:rPr>
                <w:rFonts w:ascii="Times New Roman" w:hAnsi="Times New Roman" w:cs="Times New Roman"/>
                <w:color w:val="auto"/>
                <w:spacing w:val="-2"/>
                <w:sz w:val="21"/>
              </w:rPr>
            </w:pPr>
            <w:r>
              <w:rPr>
                <w:rFonts w:ascii="Times New Roman" w:hAnsi="Times New Roman" w:cs="Times New Roman"/>
                <w:color w:val="auto"/>
                <w:spacing w:val="-2"/>
                <w:sz w:val="21"/>
              </w:rPr>
              <w:t>3</w:t>
            </w:r>
          </w:p>
        </w:tc>
        <w:tc>
          <w:tcPr>
            <w:tcW w:w="484" w:type="pct"/>
            <w:vMerge w:val="continue"/>
            <w:vAlign w:val="center"/>
          </w:tcPr>
          <w:p w14:paraId="6BE6FED9">
            <w:pPr>
              <w:widowControl w:val="0"/>
              <w:jc w:val="center"/>
              <w:rPr>
                <w:rFonts w:ascii="Times New Roman" w:hAnsi="Times New Roman" w:cs="Times New Roman"/>
                <w:color w:val="auto"/>
                <w:spacing w:val="-2"/>
                <w:sz w:val="21"/>
              </w:rPr>
            </w:pPr>
          </w:p>
        </w:tc>
        <w:tc>
          <w:tcPr>
            <w:tcW w:w="1256" w:type="pct"/>
            <w:vAlign w:val="center"/>
          </w:tcPr>
          <w:p w14:paraId="17CBBCE0">
            <w:pPr>
              <w:widowControl w:val="0"/>
              <w:jc w:val="center"/>
              <w:rPr>
                <w:rFonts w:ascii="Times New Roman" w:hAnsi="Times New Roman" w:cs="Times New Roman"/>
                <w:color w:val="auto"/>
                <w:spacing w:val="-2"/>
                <w:sz w:val="21"/>
              </w:rPr>
            </w:pPr>
          </w:p>
        </w:tc>
        <w:tc>
          <w:tcPr>
            <w:tcW w:w="1492" w:type="pct"/>
            <w:vAlign w:val="center"/>
          </w:tcPr>
          <w:p w14:paraId="387D2E59">
            <w:pPr>
              <w:widowControl w:val="0"/>
              <w:jc w:val="center"/>
              <w:rPr>
                <w:rFonts w:ascii="Times New Roman" w:hAnsi="Times New Roman" w:cs="Times New Roman"/>
                <w:color w:val="auto"/>
                <w:spacing w:val="-2"/>
                <w:sz w:val="21"/>
              </w:rPr>
            </w:pPr>
          </w:p>
        </w:tc>
        <w:tc>
          <w:tcPr>
            <w:tcW w:w="1020" w:type="pct"/>
            <w:vAlign w:val="center"/>
          </w:tcPr>
          <w:p w14:paraId="3567D863">
            <w:pPr>
              <w:widowControl w:val="0"/>
              <w:jc w:val="center"/>
              <w:rPr>
                <w:rFonts w:ascii="Times New Roman" w:hAnsi="Times New Roman" w:cs="Times New Roman"/>
                <w:color w:val="auto"/>
                <w:spacing w:val="-2"/>
                <w:sz w:val="21"/>
              </w:rPr>
            </w:pPr>
          </w:p>
        </w:tc>
        <w:tc>
          <w:tcPr>
            <w:tcW w:w="367" w:type="pct"/>
            <w:vAlign w:val="center"/>
          </w:tcPr>
          <w:p w14:paraId="4D8EA58A">
            <w:pPr>
              <w:widowControl w:val="0"/>
              <w:jc w:val="center"/>
              <w:rPr>
                <w:rFonts w:ascii="Times New Roman" w:hAnsi="Times New Roman" w:cs="Times New Roman"/>
                <w:color w:val="auto"/>
                <w:spacing w:val="-2"/>
                <w:sz w:val="21"/>
              </w:rPr>
            </w:pPr>
          </w:p>
        </w:tc>
      </w:tr>
      <w:tr w14:paraId="0471775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81" w:type="pct"/>
            <w:vAlign w:val="center"/>
          </w:tcPr>
          <w:p w14:paraId="7F3A7652">
            <w:pPr>
              <w:widowControl w:val="0"/>
              <w:jc w:val="center"/>
              <w:rPr>
                <w:rFonts w:ascii="Times New Roman" w:hAnsi="Times New Roman" w:cs="Times New Roman"/>
                <w:color w:val="auto"/>
                <w:spacing w:val="-2"/>
                <w:sz w:val="21"/>
              </w:rPr>
            </w:pPr>
            <w:r>
              <w:rPr>
                <w:rFonts w:ascii="Times New Roman" w:hAnsi="Times New Roman" w:cs="Times New Roman"/>
                <w:color w:val="auto"/>
                <w:spacing w:val="-2"/>
                <w:sz w:val="21"/>
              </w:rPr>
              <w:t>4</w:t>
            </w:r>
          </w:p>
        </w:tc>
        <w:tc>
          <w:tcPr>
            <w:tcW w:w="484" w:type="pct"/>
            <w:vMerge w:val="continue"/>
            <w:vAlign w:val="center"/>
          </w:tcPr>
          <w:p w14:paraId="00DA308A">
            <w:pPr>
              <w:widowControl w:val="0"/>
              <w:jc w:val="center"/>
              <w:rPr>
                <w:rFonts w:ascii="Times New Roman" w:hAnsi="Times New Roman" w:cs="Times New Roman"/>
                <w:color w:val="auto"/>
                <w:spacing w:val="-2"/>
                <w:sz w:val="21"/>
              </w:rPr>
            </w:pPr>
          </w:p>
        </w:tc>
        <w:tc>
          <w:tcPr>
            <w:tcW w:w="1256" w:type="pct"/>
            <w:vAlign w:val="center"/>
          </w:tcPr>
          <w:p w14:paraId="4D84BE47">
            <w:pPr>
              <w:widowControl w:val="0"/>
              <w:jc w:val="center"/>
              <w:rPr>
                <w:rFonts w:ascii="Times New Roman" w:hAnsi="Times New Roman" w:cs="Times New Roman"/>
                <w:color w:val="auto"/>
                <w:spacing w:val="-2"/>
                <w:sz w:val="21"/>
              </w:rPr>
            </w:pPr>
          </w:p>
        </w:tc>
        <w:tc>
          <w:tcPr>
            <w:tcW w:w="1492" w:type="pct"/>
            <w:vAlign w:val="center"/>
          </w:tcPr>
          <w:p w14:paraId="0E4AA009">
            <w:pPr>
              <w:widowControl w:val="0"/>
              <w:jc w:val="center"/>
              <w:rPr>
                <w:rFonts w:ascii="Times New Roman" w:hAnsi="Times New Roman" w:cs="Times New Roman"/>
                <w:color w:val="auto"/>
                <w:spacing w:val="-2"/>
                <w:sz w:val="21"/>
              </w:rPr>
            </w:pPr>
          </w:p>
        </w:tc>
        <w:tc>
          <w:tcPr>
            <w:tcW w:w="1020" w:type="pct"/>
            <w:vAlign w:val="center"/>
          </w:tcPr>
          <w:p w14:paraId="5FEA2B8B">
            <w:pPr>
              <w:widowControl w:val="0"/>
              <w:jc w:val="center"/>
              <w:rPr>
                <w:rFonts w:ascii="Times New Roman" w:hAnsi="Times New Roman" w:cs="Times New Roman"/>
                <w:color w:val="auto"/>
                <w:spacing w:val="-2"/>
                <w:sz w:val="21"/>
                <w:lang w:eastAsia="zh-CN"/>
              </w:rPr>
            </w:pPr>
          </w:p>
        </w:tc>
        <w:tc>
          <w:tcPr>
            <w:tcW w:w="367" w:type="pct"/>
            <w:vAlign w:val="center"/>
          </w:tcPr>
          <w:p w14:paraId="40D51397">
            <w:pPr>
              <w:widowControl w:val="0"/>
              <w:jc w:val="center"/>
              <w:rPr>
                <w:rFonts w:ascii="Times New Roman" w:hAnsi="Times New Roman" w:cs="Times New Roman"/>
                <w:color w:val="auto"/>
                <w:spacing w:val="-2"/>
                <w:sz w:val="21"/>
              </w:rPr>
            </w:pPr>
          </w:p>
        </w:tc>
      </w:tr>
      <w:tr w14:paraId="3455109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81" w:type="pct"/>
            <w:vAlign w:val="center"/>
          </w:tcPr>
          <w:p w14:paraId="0FFB946E">
            <w:pPr>
              <w:widowControl w:val="0"/>
              <w:jc w:val="center"/>
              <w:rPr>
                <w:rFonts w:ascii="Times New Roman" w:hAnsi="Times New Roman" w:cs="Times New Roman"/>
                <w:color w:val="auto"/>
                <w:spacing w:val="-2"/>
                <w:sz w:val="21"/>
              </w:rPr>
            </w:pPr>
            <w:r>
              <w:rPr>
                <w:rFonts w:ascii="Times New Roman" w:hAnsi="Times New Roman" w:cs="Times New Roman"/>
                <w:color w:val="auto"/>
                <w:spacing w:val="-2"/>
                <w:sz w:val="21"/>
              </w:rPr>
              <w:t>5</w:t>
            </w:r>
          </w:p>
        </w:tc>
        <w:tc>
          <w:tcPr>
            <w:tcW w:w="484" w:type="pct"/>
            <w:vMerge w:val="continue"/>
            <w:vAlign w:val="center"/>
          </w:tcPr>
          <w:p w14:paraId="4179FB4E">
            <w:pPr>
              <w:widowControl w:val="0"/>
              <w:jc w:val="center"/>
              <w:rPr>
                <w:rFonts w:ascii="Times New Roman" w:hAnsi="Times New Roman" w:cs="Times New Roman"/>
                <w:color w:val="auto"/>
                <w:spacing w:val="-2"/>
                <w:sz w:val="21"/>
              </w:rPr>
            </w:pPr>
          </w:p>
        </w:tc>
        <w:tc>
          <w:tcPr>
            <w:tcW w:w="1256" w:type="pct"/>
            <w:vAlign w:val="center"/>
          </w:tcPr>
          <w:p w14:paraId="7FAAB3C7">
            <w:pPr>
              <w:widowControl w:val="0"/>
              <w:jc w:val="center"/>
              <w:rPr>
                <w:rFonts w:ascii="Times New Roman" w:hAnsi="Times New Roman" w:cs="Times New Roman"/>
                <w:color w:val="auto"/>
                <w:spacing w:val="-2"/>
                <w:sz w:val="21"/>
              </w:rPr>
            </w:pPr>
          </w:p>
        </w:tc>
        <w:tc>
          <w:tcPr>
            <w:tcW w:w="1492" w:type="pct"/>
            <w:vAlign w:val="center"/>
          </w:tcPr>
          <w:p w14:paraId="235B623B">
            <w:pPr>
              <w:widowControl w:val="0"/>
              <w:jc w:val="center"/>
              <w:rPr>
                <w:rFonts w:ascii="Times New Roman" w:hAnsi="Times New Roman" w:cs="Times New Roman"/>
                <w:color w:val="auto"/>
                <w:spacing w:val="-2"/>
                <w:sz w:val="21"/>
              </w:rPr>
            </w:pPr>
          </w:p>
        </w:tc>
        <w:tc>
          <w:tcPr>
            <w:tcW w:w="1020" w:type="pct"/>
            <w:vAlign w:val="center"/>
          </w:tcPr>
          <w:p w14:paraId="03D432A0">
            <w:pPr>
              <w:widowControl w:val="0"/>
              <w:jc w:val="center"/>
              <w:rPr>
                <w:rFonts w:ascii="Times New Roman" w:hAnsi="Times New Roman" w:cs="Times New Roman"/>
                <w:color w:val="auto"/>
                <w:spacing w:val="-2"/>
                <w:sz w:val="21"/>
              </w:rPr>
            </w:pPr>
          </w:p>
        </w:tc>
        <w:tc>
          <w:tcPr>
            <w:tcW w:w="367" w:type="pct"/>
            <w:vAlign w:val="center"/>
          </w:tcPr>
          <w:p w14:paraId="61D23ECE">
            <w:pPr>
              <w:widowControl w:val="0"/>
              <w:jc w:val="center"/>
              <w:rPr>
                <w:rFonts w:ascii="Times New Roman" w:hAnsi="Times New Roman" w:cs="Times New Roman"/>
                <w:color w:val="auto"/>
                <w:spacing w:val="-2"/>
                <w:sz w:val="21"/>
              </w:rPr>
            </w:pPr>
          </w:p>
        </w:tc>
      </w:tr>
      <w:tr w14:paraId="50A7B9A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81" w:type="pct"/>
            <w:vAlign w:val="center"/>
          </w:tcPr>
          <w:p w14:paraId="3E6A4F44">
            <w:pPr>
              <w:widowControl w:val="0"/>
              <w:jc w:val="center"/>
              <w:rPr>
                <w:rFonts w:ascii="Times New Roman" w:hAnsi="Times New Roman" w:cs="Times New Roman"/>
                <w:color w:val="auto"/>
                <w:spacing w:val="-2"/>
                <w:sz w:val="21"/>
              </w:rPr>
            </w:pPr>
            <w:r>
              <w:rPr>
                <w:rFonts w:ascii="Times New Roman" w:hAnsi="Times New Roman" w:cs="Times New Roman"/>
                <w:color w:val="auto"/>
                <w:spacing w:val="-2"/>
                <w:sz w:val="21"/>
              </w:rPr>
              <w:t>6</w:t>
            </w:r>
          </w:p>
        </w:tc>
        <w:tc>
          <w:tcPr>
            <w:tcW w:w="484" w:type="pct"/>
            <w:vMerge w:val="continue"/>
            <w:vAlign w:val="center"/>
          </w:tcPr>
          <w:p w14:paraId="0F6FB873">
            <w:pPr>
              <w:widowControl w:val="0"/>
              <w:jc w:val="center"/>
              <w:rPr>
                <w:rFonts w:ascii="Times New Roman" w:hAnsi="Times New Roman" w:cs="Times New Roman"/>
                <w:color w:val="auto"/>
                <w:spacing w:val="-2"/>
                <w:sz w:val="21"/>
              </w:rPr>
            </w:pPr>
          </w:p>
        </w:tc>
        <w:tc>
          <w:tcPr>
            <w:tcW w:w="1256" w:type="pct"/>
            <w:noWrap/>
            <w:vAlign w:val="center"/>
          </w:tcPr>
          <w:p w14:paraId="4C03D7F6">
            <w:pPr>
              <w:widowControl w:val="0"/>
              <w:jc w:val="center"/>
              <w:rPr>
                <w:rFonts w:ascii="Times New Roman" w:hAnsi="Times New Roman" w:cs="Times New Roman"/>
                <w:color w:val="auto"/>
                <w:spacing w:val="-2"/>
                <w:sz w:val="21"/>
              </w:rPr>
            </w:pPr>
          </w:p>
        </w:tc>
        <w:tc>
          <w:tcPr>
            <w:tcW w:w="1492" w:type="pct"/>
            <w:noWrap/>
            <w:vAlign w:val="center"/>
          </w:tcPr>
          <w:p w14:paraId="4CBC3987">
            <w:pPr>
              <w:widowControl w:val="0"/>
              <w:jc w:val="center"/>
              <w:rPr>
                <w:rFonts w:ascii="Times New Roman" w:hAnsi="Times New Roman" w:cs="Times New Roman"/>
                <w:color w:val="auto"/>
                <w:spacing w:val="-2"/>
                <w:sz w:val="21"/>
              </w:rPr>
            </w:pPr>
          </w:p>
        </w:tc>
        <w:tc>
          <w:tcPr>
            <w:tcW w:w="1020" w:type="pct"/>
            <w:vAlign w:val="center"/>
          </w:tcPr>
          <w:p w14:paraId="6BF7C516">
            <w:pPr>
              <w:widowControl w:val="0"/>
              <w:jc w:val="center"/>
              <w:rPr>
                <w:rFonts w:ascii="Times New Roman" w:hAnsi="Times New Roman" w:cs="Times New Roman"/>
                <w:color w:val="auto"/>
                <w:spacing w:val="-2"/>
                <w:sz w:val="21"/>
              </w:rPr>
            </w:pPr>
          </w:p>
        </w:tc>
        <w:tc>
          <w:tcPr>
            <w:tcW w:w="367" w:type="pct"/>
            <w:vAlign w:val="center"/>
          </w:tcPr>
          <w:p w14:paraId="03717078">
            <w:pPr>
              <w:widowControl w:val="0"/>
              <w:jc w:val="center"/>
              <w:rPr>
                <w:rFonts w:ascii="Times New Roman" w:hAnsi="Times New Roman" w:cs="Times New Roman"/>
                <w:color w:val="auto"/>
                <w:spacing w:val="-2"/>
                <w:sz w:val="21"/>
              </w:rPr>
            </w:pPr>
          </w:p>
        </w:tc>
      </w:tr>
      <w:tr w14:paraId="445E874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81" w:type="pct"/>
            <w:vAlign w:val="center"/>
          </w:tcPr>
          <w:p w14:paraId="4D89042B">
            <w:pPr>
              <w:widowControl w:val="0"/>
              <w:jc w:val="center"/>
              <w:rPr>
                <w:rFonts w:ascii="Times New Roman" w:hAnsi="Times New Roman" w:cs="Times New Roman"/>
                <w:color w:val="auto"/>
                <w:spacing w:val="-2"/>
                <w:sz w:val="21"/>
              </w:rPr>
            </w:pPr>
            <w:r>
              <w:rPr>
                <w:rFonts w:ascii="Times New Roman" w:hAnsi="Times New Roman" w:cs="Times New Roman"/>
                <w:color w:val="auto"/>
                <w:spacing w:val="-2"/>
                <w:sz w:val="21"/>
              </w:rPr>
              <w:t>7</w:t>
            </w:r>
          </w:p>
        </w:tc>
        <w:tc>
          <w:tcPr>
            <w:tcW w:w="484" w:type="pct"/>
            <w:vMerge w:val="continue"/>
            <w:vAlign w:val="center"/>
          </w:tcPr>
          <w:p w14:paraId="1C71C5AF">
            <w:pPr>
              <w:widowControl w:val="0"/>
              <w:jc w:val="center"/>
              <w:rPr>
                <w:rFonts w:ascii="Times New Roman" w:hAnsi="Times New Roman" w:cs="Times New Roman"/>
                <w:color w:val="auto"/>
                <w:spacing w:val="-2"/>
                <w:sz w:val="21"/>
              </w:rPr>
            </w:pPr>
          </w:p>
        </w:tc>
        <w:tc>
          <w:tcPr>
            <w:tcW w:w="1256" w:type="pct"/>
            <w:vAlign w:val="center"/>
          </w:tcPr>
          <w:p w14:paraId="53B978CE">
            <w:pPr>
              <w:widowControl w:val="0"/>
              <w:jc w:val="center"/>
              <w:rPr>
                <w:rFonts w:ascii="Times New Roman" w:hAnsi="Times New Roman" w:cs="Times New Roman"/>
                <w:color w:val="auto"/>
                <w:spacing w:val="-2"/>
                <w:sz w:val="21"/>
              </w:rPr>
            </w:pPr>
          </w:p>
        </w:tc>
        <w:tc>
          <w:tcPr>
            <w:tcW w:w="1492" w:type="pct"/>
            <w:vAlign w:val="center"/>
          </w:tcPr>
          <w:p w14:paraId="7D1FEBA8">
            <w:pPr>
              <w:widowControl w:val="0"/>
              <w:jc w:val="center"/>
              <w:rPr>
                <w:rFonts w:ascii="Times New Roman" w:hAnsi="Times New Roman" w:cs="Times New Roman"/>
                <w:color w:val="auto"/>
                <w:spacing w:val="-2"/>
                <w:sz w:val="21"/>
              </w:rPr>
            </w:pPr>
          </w:p>
        </w:tc>
        <w:tc>
          <w:tcPr>
            <w:tcW w:w="1020" w:type="pct"/>
            <w:noWrap/>
            <w:vAlign w:val="center"/>
          </w:tcPr>
          <w:p w14:paraId="4CA08E7B">
            <w:pPr>
              <w:widowControl w:val="0"/>
              <w:jc w:val="center"/>
              <w:rPr>
                <w:rFonts w:ascii="Times New Roman" w:hAnsi="Times New Roman" w:cs="Times New Roman"/>
                <w:color w:val="auto"/>
                <w:spacing w:val="-2"/>
                <w:sz w:val="21"/>
              </w:rPr>
            </w:pPr>
          </w:p>
        </w:tc>
        <w:tc>
          <w:tcPr>
            <w:tcW w:w="367" w:type="pct"/>
            <w:vAlign w:val="center"/>
          </w:tcPr>
          <w:p w14:paraId="40723C93">
            <w:pPr>
              <w:widowControl w:val="0"/>
              <w:jc w:val="center"/>
              <w:rPr>
                <w:rFonts w:ascii="Times New Roman" w:hAnsi="Times New Roman" w:cs="Times New Roman"/>
                <w:color w:val="auto"/>
                <w:spacing w:val="-2"/>
                <w:sz w:val="21"/>
              </w:rPr>
            </w:pPr>
          </w:p>
        </w:tc>
      </w:tr>
      <w:tr w14:paraId="3A4770F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81" w:type="pct"/>
            <w:vAlign w:val="center"/>
          </w:tcPr>
          <w:p w14:paraId="79780162">
            <w:pPr>
              <w:widowControl w:val="0"/>
              <w:jc w:val="center"/>
              <w:rPr>
                <w:rFonts w:ascii="Times New Roman" w:hAnsi="Times New Roman" w:cs="Times New Roman"/>
                <w:color w:val="auto"/>
                <w:spacing w:val="-2"/>
                <w:sz w:val="21"/>
              </w:rPr>
            </w:pPr>
            <w:r>
              <w:rPr>
                <w:rFonts w:ascii="Times New Roman" w:hAnsi="Times New Roman" w:cs="Times New Roman"/>
                <w:color w:val="auto"/>
                <w:spacing w:val="-2"/>
                <w:sz w:val="21"/>
              </w:rPr>
              <w:t>8</w:t>
            </w:r>
          </w:p>
        </w:tc>
        <w:tc>
          <w:tcPr>
            <w:tcW w:w="484" w:type="pct"/>
            <w:vMerge w:val="continue"/>
            <w:vAlign w:val="center"/>
          </w:tcPr>
          <w:p w14:paraId="0BDA09F6">
            <w:pPr>
              <w:widowControl w:val="0"/>
              <w:jc w:val="center"/>
              <w:rPr>
                <w:rFonts w:ascii="Times New Roman" w:hAnsi="Times New Roman" w:cs="Times New Roman"/>
                <w:color w:val="auto"/>
                <w:spacing w:val="-2"/>
                <w:sz w:val="21"/>
              </w:rPr>
            </w:pPr>
          </w:p>
        </w:tc>
        <w:tc>
          <w:tcPr>
            <w:tcW w:w="1256" w:type="pct"/>
            <w:noWrap/>
            <w:vAlign w:val="center"/>
          </w:tcPr>
          <w:p w14:paraId="46BCD17F">
            <w:pPr>
              <w:widowControl w:val="0"/>
              <w:jc w:val="center"/>
              <w:rPr>
                <w:rFonts w:ascii="Times New Roman" w:hAnsi="Times New Roman" w:cs="Times New Roman"/>
                <w:color w:val="auto"/>
                <w:spacing w:val="-2"/>
                <w:sz w:val="21"/>
              </w:rPr>
            </w:pPr>
          </w:p>
        </w:tc>
        <w:tc>
          <w:tcPr>
            <w:tcW w:w="1492" w:type="pct"/>
            <w:noWrap/>
            <w:vAlign w:val="center"/>
          </w:tcPr>
          <w:p w14:paraId="122CEDD0">
            <w:pPr>
              <w:widowControl w:val="0"/>
              <w:jc w:val="center"/>
              <w:rPr>
                <w:rFonts w:ascii="Times New Roman" w:hAnsi="Times New Roman" w:cs="Times New Roman"/>
                <w:color w:val="auto"/>
                <w:spacing w:val="-2"/>
                <w:sz w:val="21"/>
              </w:rPr>
            </w:pPr>
          </w:p>
        </w:tc>
        <w:tc>
          <w:tcPr>
            <w:tcW w:w="1020" w:type="pct"/>
            <w:vAlign w:val="center"/>
          </w:tcPr>
          <w:p w14:paraId="60ABFD0F">
            <w:pPr>
              <w:widowControl w:val="0"/>
              <w:jc w:val="center"/>
              <w:rPr>
                <w:rFonts w:ascii="Times New Roman" w:hAnsi="Times New Roman" w:cs="Times New Roman"/>
                <w:color w:val="auto"/>
                <w:spacing w:val="-2"/>
                <w:sz w:val="21"/>
              </w:rPr>
            </w:pPr>
          </w:p>
        </w:tc>
        <w:tc>
          <w:tcPr>
            <w:tcW w:w="367" w:type="pct"/>
            <w:vAlign w:val="center"/>
          </w:tcPr>
          <w:p w14:paraId="50DD6566">
            <w:pPr>
              <w:widowControl w:val="0"/>
              <w:jc w:val="center"/>
              <w:rPr>
                <w:rFonts w:ascii="Times New Roman" w:hAnsi="Times New Roman" w:cs="Times New Roman"/>
                <w:color w:val="auto"/>
                <w:spacing w:val="-2"/>
                <w:sz w:val="21"/>
              </w:rPr>
            </w:pPr>
          </w:p>
        </w:tc>
      </w:tr>
      <w:tr w14:paraId="0C8C430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81" w:type="pct"/>
            <w:vAlign w:val="center"/>
          </w:tcPr>
          <w:p w14:paraId="61C6ABA5">
            <w:pPr>
              <w:widowControl w:val="0"/>
              <w:jc w:val="center"/>
              <w:rPr>
                <w:rFonts w:ascii="Times New Roman" w:hAnsi="Times New Roman" w:cs="Times New Roman"/>
                <w:color w:val="auto"/>
                <w:spacing w:val="-2"/>
                <w:sz w:val="21"/>
              </w:rPr>
            </w:pPr>
            <w:r>
              <w:rPr>
                <w:rFonts w:ascii="Times New Roman" w:hAnsi="Times New Roman" w:cs="Times New Roman"/>
                <w:color w:val="auto"/>
                <w:spacing w:val="-2"/>
                <w:sz w:val="21"/>
              </w:rPr>
              <w:t>9</w:t>
            </w:r>
          </w:p>
        </w:tc>
        <w:tc>
          <w:tcPr>
            <w:tcW w:w="484" w:type="pct"/>
            <w:vMerge w:val="continue"/>
            <w:vAlign w:val="center"/>
          </w:tcPr>
          <w:p w14:paraId="1DB3BDF2">
            <w:pPr>
              <w:widowControl w:val="0"/>
              <w:jc w:val="center"/>
              <w:rPr>
                <w:rFonts w:ascii="Times New Roman" w:hAnsi="Times New Roman" w:cs="Times New Roman"/>
                <w:color w:val="auto"/>
                <w:spacing w:val="-2"/>
                <w:sz w:val="21"/>
              </w:rPr>
            </w:pPr>
          </w:p>
        </w:tc>
        <w:tc>
          <w:tcPr>
            <w:tcW w:w="1256" w:type="pct"/>
            <w:noWrap/>
            <w:vAlign w:val="center"/>
          </w:tcPr>
          <w:p w14:paraId="138AC110">
            <w:pPr>
              <w:widowControl w:val="0"/>
              <w:jc w:val="center"/>
              <w:rPr>
                <w:rFonts w:ascii="Times New Roman" w:hAnsi="Times New Roman" w:cs="Times New Roman"/>
                <w:color w:val="auto"/>
                <w:spacing w:val="-2"/>
                <w:sz w:val="21"/>
              </w:rPr>
            </w:pPr>
          </w:p>
        </w:tc>
        <w:tc>
          <w:tcPr>
            <w:tcW w:w="1492" w:type="pct"/>
            <w:noWrap/>
            <w:vAlign w:val="center"/>
          </w:tcPr>
          <w:p w14:paraId="749EA7B7">
            <w:pPr>
              <w:widowControl w:val="0"/>
              <w:jc w:val="center"/>
              <w:rPr>
                <w:rFonts w:ascii="Times New Roman" w:hAnsi="Times New Roman" w:cs="Times New Roman"/>
                <w:color w:val="auto"/>
                <w:spacing w:val="-2"/>
                <w:sz w:val="21"/>
              </w:rPr>
            </w:pPr>
          </w:p>
        </w:tc>
        <w:tc>
          <w:tcPr>
            <w:tcW w:w="1020" w:type="pct"/>
            <w:vAlign w:val="center"/>
          </w:tcPr>
          <w:p w14:paraId="059515F7">
            <w:pPr>
              <w:widowControl w:val="0"/>
              <w:jc w:val="center"/>
              <w:rPr>
                <w:rFonts w:ascii="Times New Roman" w:hAnsi="Times New Roman" w:cs="Times New Roman"/>
                <w:color w:val="auto"/>
                <w:spacing w:val="-2"/>
                <w:sz w:val="21"/>
              </w:rPr>
            </w:pPr>
          </w:p>
        </w:tc>
        <w:tc>
          <w:tcPr>
            <w:tcW w:w="367" w:type="pct"/>
            <w:vAlign w:val="center"/>
          </w:tcPr>
          <w:p w14:paraId="789DD4CA">
            <w:pPr>
              <w:widowControl w:val="0"/>
              <w:jc w:val="center"/>
              <w:rPr>
                <w:rFonts w:ascii="Times New Roman" w:hAnsi="Times New Roman" w:cs="Times New Roman"/>
                <w:color w:val="auto"/>
                <w:spacing w:val="-2"/>
                <w:sz w:val="21"/>
              </w:rPr>
            </w:pPr>
          </w:p>
        </w:tc>
      </w:tr>
      <w:tr w14:paraId="086867F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81" w:type="pct"/>
            <w:vAlign w:val="center"/>
          </w:tcPr>
          <w:p w14:paraId="7BF4AEAC">
            <w:pPr>
              <w:widowControl w:val="0"/>
              <w:jc w:val="center"/>
              <w:rPr>
                <w:rFonts w:ascii="Times New Roman" w:hAnsi="Times New Roman" w:cs="Times New Roman"/>
                <w:color w:val="auto"/>
                <w:spacing w:val="-2"/>
                <w:sz w:val="21"/>
              </w:rPr>
            </w:pPr>
            <w:r>
              <w:rPr>
                <w:rFonts w:ascii="Times New Roman" w:hAnsi="Times New Roman" w:cs="Times New Roman"/>
                <w:color w:val="auto"/>
                <w:spacing w:val="-2"/>
                <w:sz w:val="21"/>
              </w:rPr>
              <w:t>10</w:t>
            </w:r>
          </w:p>
        </w:tc>
        <w:tc>
          <w:tcPr>
            <w:tcW w:w="484" w:type="pct"/>
            <w:vMerge w:val="continue"/>
            <w:vAlign w:val="center"/>
          </w:tcPr>
          <w:p w14:paraId="74DDE6BB">
            <w:pPr>
              <w:widowControl w:val="0"/>
              <w:jc w:val="center"/>
              <w:rPr>
                <w:rFonts w:ascii="Times New Roman" w:hAnsi="Times New Roman" w:cs="Times New Roman"/>
                <w:color w:val="auto"/>
                <w:spacing w:val="-2"/>
                <w:sz w:val="21"/>
              </w:rPr>
            </w:pPr>
          </w:p>
        </w:tc>
        <w:tc>
          <w:tcPr>
            <w:tcW w:w="1256" w:type="pct"/>
            <w:noWrap/>
            <w:vAlign w:val="center"/>
          </w:tcPr>
          <w:p w14:paraId="7FE983A6">
            <w:pPr>
              <w:widowControl w:val="0"/>
              <w:jc w:val="center"/>
              <w:rPr>
                <w:rFonts w:ascii="Times New Roman" w:hAnsi="Times New Roman" w:cs="Times New Roman"/>
                <w:color w:val="auto"/>
                <w:spacing w:val="-2"/>
                <w:sz w:val="21"/>
              </w:rPr>
            </w:pPr>
          </w:p>
        </w:tc>
        <w:tc>
          <w:tcPr>
            <w:tcW w:w="1492" w:type="pct"/>
            <w:noWrap/>
            <w:vAlign w:val="center"/>
          </w:tcPr>
          <w:p w14:paraId="2734935B">
            <w:pPr>
              <w:widowControl w:val="0"/>
              <w:jc w:val="center"/>
              <w:rPr>
                <w:rFonts w:ascii="Times New Roman" w:hAnsi="Times New Roman" w:cs="Times New Roman"/>
                <w:color w:val="auto"/>
                <w:spacing w:val="-2"/>
                <w:sz w:val="21"/>
              </w:rPr>
            </w:pPr>
          </w:p>
        </w:tc>
        <w:tc>
          <w:tcPr>
            <w:tcW w:w="1020" w:type="pct"/>
            <w:vAlign w:val="center"/>
          </w:tcPr>
          <w:p w14:paraId="2705D570">
            <w:pPr>
              <w:widowControl w:val="0"/>
              <w:jc w:val="center"/>
              <w:rPr>
                <w:rFonts w:ascii="Times New Roman" w:hAnsi="Times New Roman" w:cs="Times New Roman"/>
                <w:color w:val="auto"/>
                <w:spacing w:val="-2"/>
                <w:sz w:val="21"/>
              </w:rPr>
            </w:pPr>
          </w:p>
        </w:tc>
        <w:tc>
          <w:tcPr>
            <w:tcW w:w="367" w:type="pct"/>
            <w:vAlign w:val="center"/>
          </w:tcPr>
          <w:p w14:paraId="36397590">
            <w:pPr>
              <w:widowControl w:val="0"/>
              <w:jc w:val="center"/>
              <w:rPr>
                <w:rFonts w:ascii="Times New Roman" w:hAnsi="Times New Roman" w:cs="Times New Roman"/>
                <w:color w:val="auto"/>
                <w:spacing w:val="-2"/>
                <w:sz w:val="21"/>
              </w:rPr>
            </w:pPr>
          </w:p>
        </w:tc>
      </w:tr>
      <w:tr w14:paraId="4D96F70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81" w:type="pct"/>
            <w:vAlign w:val="center"/>
          </w:tcPr>
          <w:p w14:paraId="286A4BE6">
            <w:pPr>
              <w:widowControl w:val="0"/>
              <w:jc w:val="center"/>
              <w:rPr>
                <w:rFonts w:ascii="Times New Roman" w:hAnsi="Times New Roman" w:cs="Times New Roman"/>
                <w:color w:val="auto"/>
                <w:spacing w:val="-2"/>
                <w:sz w:val="21"/>
              </w:rPr>
            </w:pPr>
            <w:r>
              <w:rPr>
                <w:rFonts w:ascii="Times New Roman" w:hAnsi="Times New Roman" w:cs="Times New Roman"/>
                <w:color w:val="auto"/>
                <w:spacing w:val="-2"/>
                <w:sz w:val="21"/>
              </w:rPr>
              <w:t>11</w:t>
            </w:r>
          </w:p>
        </w:tc>
        <w:tc>
          <w:tcPr>
            <w:tcW w:w="484" w:type="pct"/>
            <w:vMerge w:val="continue"/>
            <w:vAlign w:val="center"/>
          </w:tcPr>
          <w:p w14:paraId="10EE7B1E">
            <w:pPr>
              <w:widowControl w:val="0"/>
              <w:jc w:val="center"/>
              <w:rPr>
                <w:rFonts w:ascii="Times New Roman" w:hAnsi="Times New Roman" w:cs="Times New Roman"/>
                <w:color w:val="auto"/>
                <w:spacing w:val="-2"/>
                <w:sz w:val="21"/>
              </w:rPr>
            </w:pPr>
          </w:p>
        </w:tc>
        <w:tc>
          <w:tcPr>
            <w:tcW w:w="1256" w:type="pct"/>
            <w:noWrap/>
            <w:vAlign w:val="center"/>
          </w:tcPr>
          <w:p w14:paraId="27F5E918">
            <w:pPr>
              <w:widowControl w:val="0"/>
              <w:jc w:val="center"/>
              <w:rPr>
                <w:rFonts w:ascii="Times New Roman" w:hAnsi="Times New Roman" w:cs="Times New Roman"/>
                <w:color w:val="auto"/>
                <w:spacing w:val="-2"/>
                <w:sz w:val="21"/>
              </w:rPr>
            </w:pPr>
          </w:p>
        </w:tc>
        <w:tc>
          <w:tcPr>
            <w:tcW w:w="1492" w:type="pct"/>
            <w:noWrap/>
            <w:vAlign w:val="center"/>
          </w:tcPr>
          <w:p w14:paraId="223AFBFD">
            <w:pPr>
              <w:widowControl w:val="0"/>
              <w:jc w:val="center"/>
              <w:rPr>
                <w:rFonts w:ascii="Times New Roman" w:hAnsi="Times New Roman" w:cs="Times New Roman"/>
                <w:color w:val="auto"/>
                <w:spacing w:val="-2"/>
                <w:sz w:val="21"/>
              </w:rPr>
            </w:pPr>
          </w:p>
        </w:tc>
        <w:tc>
          <w:tcPr>
            <w:tcW w:w="1020" w:type="pct"/>
            <w:vAlign w:val="center"/>
          </w:tcPr>
          <w:p w14:paraId="4BE1E75C">
            <w:pPr>
              <w:widowControl w:val="0"/>
              <w:jc w:val="center"/>
              <w:rPr>
                <w:rFonts w:ascii="Times New Roman" w:hAnsi="Times New Roman" w:cs="Times New Roman"/>
                <w:color w:val="auto"/>
                <w:spacing w:val="-2"/>
                <w:sz w:val="21"/>
              </w:rPr>
            </w:pPr>
          </w:p>
        </w:tc>
        <w:tc>
          <w:tcPr>
            <w:tcW w:w="367" w:type="pct"/>
            <w:vAlign w:val="center"/>
          </w:tcPr>
          <w:p w14:paraId="1DE5063F">
            <w:pPr>
              <w:widowControl w:val="0"/>
              <w:jc w:val="center"/>
              <w:rPr>
                <w:rFonts w:ascii="Times New Roman" w:hAnsi="Times New Roman" w:cs="Times New Roman"/>
                <w:color w:val="auto"/>
                <w:spacing w:val="-2"/>
                <w:sz w:val="21"/>
              </w:rPr>
            </w:pPr>
          </w:p>
        </w:tc>
      </w:tr>
      <w:tr w14:paraId="2B5C3FE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81" w:type="pct"/>
            <w:vAlign w:val="center"/>
          </w:tcPr>
          <w:p w14:paraId="33908564">
            <w:pPr>
              <w:widowControl w:val="0"/>
              <w:jc w:val="center"/>
              <w:rPr>
                <w:rFonts w:ascii="Times New Roman" w:hAnsi="Times New Roman" w:cs="Times New Roman"/>
                <w:color w:val="auto"/>
                <w:spacing w:val="-2"/>
                <w:sz w:val="21"/>
              </w:rPr>
            </w:pPr>
            <w:r>
              <w:rPr>
                <w:rFonts w:ascii="Times New Roman" w:hAnsi="Times New Roman" w:cs="Times New Roman"/>
                <w:color w:val="auto"/>
                <w:spacing w:val="-2"/>
                <w:sz w:val="21"/>
              </w:rPr>
              <w:t>12</w:t>
            </w:r>
          </w:p>
        </w:tc>
        <w:tc>
          <w:tcPr>
            <w:tcW w:w="484" w:type="pct"/>
            <w:vMerge w:val="continue"/>
            <w:vAlign w:val="center"/>
          </w:tcPr>
          <w:p w14:paraId="4A5A14BC">
            <w:pPr>
              <w:widowControl w:val="0"/>
              <w:jc w:val="center"/>
              <w:rPr>
                <w:rFonts w:ascii="Times New Roman" w:hAnsi="Times New Roman" w:cs="Times New Roman"/>
                <w:color w:val="auto"/>
                <w:spacing w:val="-2"/>
                <w:sz w:val="21"/>
              </w:rPr>
            </w:pPr>
          </w:p>
        </w:tc>
        <w:tc>
          <w:tcPr>
            <w:tcW w:w="1256" w:type="pct"/>
            <w:noWrap/>
            <w:vAlign w:val="center"/>
          </w:tcPr>
          <w:p w14:paraId="7CDA4E1B">
            <w:pPr>
              <w:widowControl w:val="0"/>
              <w:jc w:val="center"/>
              <w:rPr>
                <w:rFonts w:ascii="Times New Roman" w:hAnsi="Times New Roman" w:cs="Times New Roman"/>
                <w:color w:val="auto"/>
                <w:spacing w:val="-2"/>
                <w:sz w:val="21"/>
              </w:rPr>
            </w:pPr>
          </w:p>
        </w:tc>
        <w:tc>
          <w:tcPr>
            <w:tcW w:w="1492" w:type="pct"/>
            <w:vAlign w:val="center"/>
          </w:tcPr>
          <w:p w14:paraId="59A585A2">
            <w:pPr>
              <w:widowControl w:val="0"/>
              <w:jc w:val="center"/>
              <w:rPr>
                <w:rFonts w:ascii="Times New Roman" w:hAnsi="Times New Roman" w:cs="Times New Roman"/>
                <w:color w:val="auto"/>
                <w:spacing w:val="-2"/>
                <w:sz w:val="21"/>
              </w:rPr>
            </w:pPr>
          </w:p>
        </w:tc>
        <w:tc>
          <w:tcPr>
            <w:tcW w:w="1020" w:type="pct"/>
            <w:vAlign w:val="center"/>
          </w:tcPr>
          <w:p w14:paraId="3E0480E7">
            <w:pPr>
              <w:widowControl w:val="0"/>
              <w:jc w:val="center"/>
              <w:rPr>
                <w:rFonts w:ascii="Times New Roman" w:hAnsi="Times New Roman" w:cs="Times New Roman"/>
                <w:color w:val="auto"/>
                <w:spacing w:val="-2"/>
                <w:sz w:val="21"/>
              </w:rPr>
            </w:pPr>
          </w:p>
        </w:tc>
        <w:tc>
          <w:tcPr>
            <w:tcW w:w="367" w:type="pct"/>
            <w:vAlign w:val="center"/>
          </w:tcPr>
          <w:p w14:paraId="092675A8">
            <w:pPr>
              <w:widowControl w:val="0"/>
              <w:jc w:val="center"/>
              <w:rPr>
                <w:rFonts w:ascii="Times New Roman" w:hAnsi="Times New Roman" w:cs="Times New Roman"/>
                <w:color w:val="auto"/>
                <w:spacing w:val="-2"/>
                <w:sz w:val="21"/>
              </w:rPr>
            </w:pPr>
          </w:p>
        </w:tc>
      </w:tr>
      <w:tr w14:paraId="6810566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81" w:type="pct"/>
            <w:vAlign w:val="center"/>
          </w:tcPr>
          <w:p w14:paraId="0D0B51F7">
            <w:pPr>
              <w:widowControl w:val="0"/>
              <w:jc w:val="center"/>
              <w:rPr>
                <w:rFonts w:ascii="Times New Roman" w:hAnsi="Times New Roman" w:cs="Times New Roman"/>
                <w:color w:val="auto"/>
                <w:spacing w:val="-2"/>
                <w:sz w:val="21"/>
              </w:rPr>
            </w:pPr>
            <w:r>
              <w:rPr>
                <w:rFonts w:ascii="Times New Roman" w:hAnsi="Times New Roman" w:cs="Times New Roman"/>
                <w:color w:val="auto"/>
                <w:spacing w:val="-2"/>
                <w:sz w:val="21"/>
              </w:rPr>
              <w:t>13</w:t>
            </w:r>
          </w:p>
        </w:tc>
        <w:tc>
          <w:tcPr>
            <w:tcW w:w="484" w:type="pct"/>
            <w:vMerge w:val="continue"/>
            <w:vAlign w:val="center"/>
          </w:tcPr>
          <w:p w14:paraId="06541F31">
            <w:pPr>
              <w:widowControl w:val="0"/>
              <w:jc w:val="center"/>
              <w:rPr>
                <w:rFonts w:ascii="Times New Roman" w:hAnsi="Times New Roman" w:cs="Times New Roman"/>
                <w:color w:val="auto"/>
                <w:spacing w:val="-2"/>
                <w:sz w:val="21"/>
              </w:rPr>
            </w:pPr>
          </w:p>
        </w:tc>
        <w:tc>
          <w:tcPr>
            <w:tcW w:w="1256" w:type="pct"/>
            <w:vAlign w:val="center"/>
          </w:tcPr>
          <w:p w14:paraId="643D3F97">
            <w:pPr>
              <w:widowControl w:val="0"/>
              <w:jc w:val="center"/>
              <w:rPr>
                <w:rFonts w:ascii="Times New Roman" w:hAnsi="Times New Roman" w:cs="Times New Roman"/>
                <w:color w:val="auto"/>
                <w:spacing w:val="-2"/>
                <w:sz w:val="21"/>
              </w:rPr>
            </w:pPr>
          </w:p>
        </w:tc>
        <w:tc>
          <w:tcPr>
            <w:tcW w:w="1492" w:type="pct"/>
            <w:vAlign w:val="center"/>
          </w:tcPr>
          <w:p w14:paraId="029ED340">
            <w:pPr>
              <w:widowControl w:val="0"/>
              <w:jc w:val="center"/>
              <w:rPr>
                <w:rFonts w:ascii="Times New Roman" w:hAnsi="Times New Roman" w:cs="Times New Roman"/>
                <w:color w:val="auto"/>
                <w:spacing w:val="-2"/>
                <w:sz w:val="21"/>
                <w:lang w:eastAsia="zh-CN"/>
              </w:rPr>
            </w:pPr>
          </w:p>
        </w:tc>
        <w:tc>
          <w:tcPr>
            <w:tcW w:w="1020" w:type="pct"/>
            <w:vAlign w:val="center"/>
          </w:tcPr>
          <w:p w14:paraId="221AE357">
            <w:pPr>
              <w:widowControl w:val="0"/>
              <w:jc w:val="center"/>
              <w:rPr>
                <w:rFonts w:ascii="Times New Roman" w:hAnsi="Times New Roman" w:cs="Times New Roman"/>
                <w:color w:val="auto"/>
                <w:spacing w:val="-2"/>
                <w:sz w:val="21"/>
              </w:rPr>
            </w:pPr>
          </w:p>
        </w:tc>
        <w:tc>
          <w:tcPr>
            <w:tcW w:w="367" w:type="pct"/>
            <w:vAlign w:val="center"/>
          </w:tcPr>
          <w:p w14:paraId="486955E9">
            <w:pPr>
              <w:widowControl w:val="0"/>
              <w:jc w:val="center"/>
              <w:rPr>
                <w:rFonts w:ascii="Times New Roman" w:hAnsi="Times New Roman" w:cs="Times New Roman"/>
                <w:color w:val="auto"/>
                <w:spacing w:val="-2"/>
                <w:sz w:val="21"/>
              </w:rPr>
            </w:pPr>
          </w:p>
        </w:tc>
      </w:tr>
      <w:tr w14:paraId="0632DAA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81" w:type="pct"/>
            <w:vAlign w:val="center"/>
          </w:tcPr>
          <w:p w14:paraId="55CFEC09">
            <w:pPr>
              <w:widowControl w:val="0"/>
              <w:jc w:val="center"/>
              <w:rPr>
                <w:rFonts w:ascii="Times New Roman" w:hAnsi="Times New Roman" w:cs="Times New Roman"/>
                <w:color w:val="auto"/>
                <w:spacing w:val="-2"/>
                <w:sz w:val="21"/>
              </w:rPr>
            </w:pPr>
            <w:r>
              <w:rPr>
                <w:rFonts w:ascii="Times New Roman" w:hAnsi="Times New Roman" w:cs="Times New Roman"/>
                <w:color w:val="auto"/>
                <w:spacing w:val="-2"/>
                <w:sz w:val="21"/>
              </w:rPr>
              <w:t>14</w:t>
            </w:r>
          </w:p>
        </w:tc>
        <w:tc>
          <w:tcPr>
            <w:tcW w:w="484" w:type="pct"/>
            <w:vMerge w:val="restart"/>
            <w:vAlign w:val="center"/>
          </w:tcPr>
          <w:p w14:paraId="249EF2B5">
            <w:pPr>
              <w:widowControl w:val="0"/>
              <w:jc w:val="center"/>
              <w:rPr>
                <w:rFonts w:ascii="Times New Roman" w:hAnsi="Times New Roman" w:cs="Times New Roman"/>
                <w:color w:val="auto"/>
                <w:spacing w:val="-2"/>
                <w:sz w:val="21"/>
                <w:lang w:eastAsia="zh-CN"/>
              </w:rPr>
            </w:pPr>
            <w:r>
              <w:rPr>
                <w:rFonts w:ascii="Times New Roman" w:hAnsi="Times New Roman" w:cs="Times New Roman"/>
                <w:color w:val="auto"/>
                <w:spacing w:val="-2"/>
                <w:sz w:val="21"/>
                <w:lang w:eastAsia="zh-CN"/>
              </w:rPr>
              <w:t>化学纯氢氟酸</w:t>
            </w:r>
          </w:p>
          <w:p w14:paraId="00D1D0A4">
            <w:pPr>
              <w:widowControl w:val="0"/>
              <w:jc w:val="center"/>
              <w:rPr>
                <w:rFonts w:ascii="Times New Roman" w:hAnsi="Times New Roman" w:cs="Times New Roman"/>
                <w:color w:val="auto"/>
                <w:spacing w:val="-2"/>
                <w:sz w:val="21"/>
                <w:lang w:eastAsia="zh-CN"/>
              </w:rPr>
            </w:pPr>
            <w:r>
              <w:rPr>
                <w:rFonts w:ascii="Times New Roman" w:hAnsi="Times New Roman" w:cs="Times New Roman"/>
                <w:color w:val="auto"/>
                <w:spacing w:val="-2"/>
                <w:sz w:val="21"/>
                <w:lang w:eastAsia="zh-CN"/>
              </w:rPr>
              <w:t>及刻蚀液生产线</w:t>
            </w:r>
          </w:p>
        </w:tc>
        <w:tc>
          <w:tcPr>
            <w:tcW w:w="1256" w:type="pct"/>
            <w:vAlign w:val="center"/>
          </w:tcPr>
          <w:p w14:paraId="0C3DD09D">
            <w:pPr>
              <w:widowControl w:val="0"/>
              <w:jc w:val="center"/>
              <w:rPr>
                <w:rFonts w:ascii="Times New Roman" w:hAnsi="Times New Roman" w:cs="Times New Roman"/>
                <w:color w:val="auto"/>
                <w:spacing w:val="-2"/>
                <w:sz w:val="21"/>
              </w:rPr>
            </w:pPr>
          </w:p>
        </w:tc>
        <w:tc>
          <w:tcPr>
            <w:tcW w:w="1492" w:type="pct"/>
            <w:vAlign w:val="center"/>
          </w:tcPr>
          <w:p w14:paraId="47F235C5">
            <w:pPr>
              <w:widowControl w:val="0"/>
              <w:jc w:val="center"/>
              <w:rPr>
                <w:rFonts w:ascii="Times New Roman" w:hAnsi="Times New Roman" w:cs="Times New Roman"/>
                <w:color w:val="auto"/>
                <w:spacing w:val="-2"/>
                <w:sz w:val="21"/>
              </w:rPr>
            </w:pPr>
          </w:p>
        </w:tc>
        <w:tc>
          <w:tcPr>
            <w:tcW w:w="1020" w:type="pct"/>
            <w:vAlign w:val="center"/>
          </w:tcPr>
          <w:p w14:paraId="3205A99F">
            <w:pPr>
              <w:widowControl w:val="0"/>
              <w:jc w:val="center"/>
              <w:rPr>
                <w:rFonts w:ascii="Times New Roman" w:hAnsi="Times New Roman" w:cs="Times New Roman"/>
                <w:color w:val="auto"/>
                <w:spacing w:val="-2"/>
                <w:sz w:val="21"/>
              </w:rPr>
            </w:pPr>
          </w:p>
        </w:tc>
        <w:tc>
          <w:tcPr>
            <w:tcW w:w="367" w:type="pct"/>
            <w:vAlign w:val="center"/>
          </w:tcPr>
          <w:p w14:paraId="75192714">
            <w:pPr>
              <w:widowControl w:val="0"/>
              <w:jc w:val="center"/>
              <w:rPr>
                <w:rFonts w:ascii="Times New Roman" w:hAnsi="Times New Roman" w:cs="Times New Roman"/>
                <w:color w:val="auto"/>
                <w:spacing w:val="-2"/>
                <w:sz w:val="21"/>
              </w:rPr>
            </w:pPr>
          </w:p>
        </w:tc>
      </w:tr>
      <w:tr w14:paraId="23973B0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81" w:type="pct"/>
            <w:vAlign w:val="center"/>
          </w:tcPr>
          <w:p w14:paraId="67FAEF4A">
            <w:pPr>
              <w:widowControl w:val="0"/>
              <w:jc w:val="center"/>
              <w:rPr>
                <w:rFonts w:ascii="Times New Roman" w:hAnsi="Times New Roman" w:cs="Times New Roman"/>
                <w:color w:val="auto"/>
                <w:spacing w:val="-2"/>
                <w:sz w:val="21"/>
              </w:rPr>
            </w:pPr>
            <w:r>
              <w:rPr>
                <w:rFonts w:ascii="Times New Roman" w:hAnsi="Times New Roman" w:cs="Times New Roman"/>
                <w:color w:val="auto"/>
                <w:spacing w:val="-2"/>
                <w:sz w:val="21"/>
              </w:rPr>
              <w:t>15</w:t>
            </w:r>
          </w:p>
        </w:tc>
        <w:tc>
          <w:tcPr>
            <w:tcW w:w="484" w:type="pct"/>
            <w:vMerge w:val="continue"/>
            <w:vAlign w:val="center"/>
          </w:tcPr>
          <w:p w14:paraId="20BAD3AF">
            <w:pPr>
              <w:widowControl w:val="0"/>
              <w:jc w:val="center"/>
              <w:rPr>
                <w:rFonts w:ascii="Times New Roman" w:hAnsi="Times New Roman" w:cs="Times New Roman"/>
                <w:color w:val="auto"/>
                <w:spacing w:val="-2"/>
                <w:sz w:val="21"/>
              </w:rPr>
            </w:pPr>
          </w:p>
        </w:tc>
        <w:tc>
          <w:tcPr>
            <w:tcW w:w="1256" w:type="pct"/>
            <w:vAlign w:val="center"/>
          </w:tcPr>
          <w:p w14:paraId="3A57A655">
            <w:pPr>
              <w:widowControl w:val="0"/>
              <w:jc w:val="center"/>
              <w:rPr>
                <w:rFonts w:ascii="Times New Roman" w:hAnsi="Times New Roman" w:cs="Times New Roman"/>
                <w:color w:val="auto"/>
                <w:spacing w:val="-2"/>
                <w:sz w:val="21"/>
              </w:rPr>
            </w:pPr>
          </w:p>
        </w:tc>
        <w:tc>
          <w:tcPr>
            <w:tcW w:w="1492" w:type="pct"/>
            <w:vAlign w:val="center"/>
          </w:tcPr>
          <w:p w14:paraId="2D00B955">
            <w:pPr>
              <w:widowControl w:val="0"/>
              <w:jc w:val="center"/>
              <w:rPr>
                <w:rFonts w:ascii="Times New Roman" w:hAnsi="Times New Roman" w:cs="Times New Roman"/>
                <w:color w:val="auto"/>
                <w:spacing w:val="-2"/>
                <w:sz w:val="21"/>
              </w:rPr>
            </w:pPr>
          </w:p>
        </w:tc>
        <w:tc>
          <w:tcPr>
            <w:tcW w:w="1020" w:type="pct"/>
            <w:vAlign w:val="center"/>
          </w:tcPr>
          <w:p w14:paraId="0FD2AE59">
            <w:pPr>
              <w:widowControl w:val="0"/>
              <w:jc w:val="center"/>
              <w:rPr>
                <w:rFonts w:ascii="Times New Roman" w:hAnsi="Times New Roman" w:cs="Times New Roman"/>
                <w:color w:val="auto"/>
                <w:spacing w:val="-2"/>
                <w:sz w:val="21"/>
              </w:rPr>
            </w:pPr>
          </w:p>
        </w:tc>
        <w:tc>
          <w:tcPr>
            <w:tcW w:w="367" w:type="pct"/>
            <w:vAlign w:val="center"/>
          </w:tcPr>
          <w:p w14:paraId="1D333334">
            <w:pPr>
              <w:widowControl w:val="0"/>
              <w:jc w:val="center"/>
              <w:rPr>
                <w:rFonts w:ascii="Times New Roman" w:hAnsi="Times New Roman" w:cs="Times New Roman"/>
                <w:color w:val="auto"/>
                <w:spacing w:val="-2"/>
                <w:sz w:val="21"/>
              </w:rPr>
            </w:pPr>
          </w:p>
        </w:tc>
      </w:tr>
      <w:tr w14:paraId="6779F90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81" w:type="pct"/>
            <w:vAlign w:val="center"/>
          </w:tcPr>
          <w:p w14:paraId="7BC030AA">
            <w:pPr>
              <w:widowControl w:val="0"/>
              <w:jc w:val="center"/>
              <w:rPr>
                <w:rFonts w:ascii="Times New Roman" w:hAnsi="Times New Roman" w:cs="Times New Roman"/>
                <w:color w:val="auto"/>
                <w:spacing w:val="-2"/>
                <w:sz w:val="21"/>
              </w:rPr>
            </w:pPr>
            <w:r>
              <w:rPr>
                <w:rFonts w:ascii="Times New Roman" w:hAnsi="Times New Roman" w:cs="Times New Roman"/>
                <w:color w:val="auto"/>
                <w:spacing w:val="-2"/>
                <w:sz w:val="21"/>
              </w:rPr>
              <w:t>16</w:t>
            </w:r>
          </w:p>
        </w:tc>
        <w:tc>
          <w:tcPr>
            <w:tcW w:w="484" w:type="pct"/>
            <w:vMerge w:val="continue"/>
            <w:vAlign w:val="center"/>
          </w:tcPr>
          <w:p w14:paraId="1717E1A5">
            <w:pPr>
              <w:widowControl w:val="0"/>
              <w:jc w:val="center"/>
              <w:rPr>
                <w:rFonts w:ascii="Times New Roman" w:hAnsi="Times New Roman" w:cs="Times New Roman"/>
                <w:color w:val="auto"/>
                <w:spacing w:val="-2"/>
                <w:sz w:val="21"/>
              </w:rPr>
            </w:pPr>
          </w:p>
        </w:tc>
        <w:tc>
          <w:tcPr>
            <w:tcW w:w="1256" w:type="pct"/>
            <w:vAlign w:val="center"/>
          </w:tcPr>
          <w:p w14:paraId="0A384266">
            <w:pPr>
              <w:widowControl w:val="0"/>
              <w:jc w:val="center"/>
              <w:rPr>
                <w:rFonts w:ascii="Times New Roman" w:hAnsi="Times New Roman" w:cs="Times New Roman"/>
                <w:color w:val="auto"/>
                <w:spacing w:val="-2"/>
                <w:sz w:val="21"/>
              </w:rPr>
            </w:pPr>
          </w:p>
        </w:tc>
        <w:tc>
          <w:tcPr>
            <w:tcW w:w="1492" w:type="pct"/>
            <w:vAlign w:val="center"/>
          </w:tcPr>
          <w:p w14:paraId="681836E5">
            <w:pPr>
              <w:widowControl w:val="0"/>
              <w:jc w:val="center"/>
              <w:rPr>
                <w:rFonts w:ascii="Times New Roman" w:hAnsi="Times New Roman" w:cs="Times New Roman"/>
                <w:color w:val="auto"/>
                <w:spacing w:val="-2"/>
                <w:sz w:val="21"/>
              </w:rPr>
            </w:pPr>
          </w:p>
        </w:tc>
        <w:tc>
          <w:tcPr>
            <w:tcW w:w="1020" w:type="pct"/>
            <w:vAlign w:val="center"/>
          </w:tcPr>
          <w:p w14:paraId="03FEE894">
            <w:pPr>
              <w:widowControl w:val="0"/>
              <w:jc w:val="center"/>
              <w:rPr>
                <w:rFonts w:ascii="Times New Roman" w:hAnsi="Times New Roman" w:cs="Times New Roman"/>
                <w:color w:val="auto"/>
                <w:spacing w:val="-2"/>
                <w:sz w:val="21"/>
              </w:rPr>
            </w:pPr>
          </w:p>
        </w:tc>
        <w:tc>
          <w:tcPr>
            <w:tcW w:w="367" w:type="pct"/>
            <w:vAlign w:val="center"/>
          </w:tcPr>
          <w:p w14:paraId="120F7021">
            <w:pPr>
              <w:widowControl w:val="0"/>
              <w:jc w:val="center"/>
              <w:rPr>
                <w:rFonts w:ascii="Times New Roman" w:hAnsi="Times New Roman" w:cs="Times New Roman"/>
                <w:color w:val="auto"/>
                <w:spacing w:val="-2"/>
                <w:sz w:val="21"/>
              </w:rPr>
            </w:pPr>
          </w:p>
        </w:tc>
      </w:tr>
      <w:tr w14:paraId="3F628B1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81" w:type="pct"/>
            <w:vAlign w:val="center"/>
          </w:tcPr>
          <w:p w14:paraId="4D532B0E">
            <w:pPr>
              <w:widowControl w:val="0"/>
              <w:jc w:val="center"/>
              <w:rPr>
                <w:rFonts w:ascii="Times New Roman" w:hAnsi="Times New Roman" w:cs="Times New Roman"/>
                <w:color w:val="auto"/>
                <w:spacing w:val="-2"/>
                <w:sz w:val="21"/>
              </w:rPr>
            </w:pPr>
            <w:r>
              <w:rPr>
                <w:rFonts w:ascii="Times New Roman" w:hAnsi="Times New Roman" w:cs="Times New Roman"/>
                <w:color w:val="auto"/>
                <w:spacing w:val="-2"/>
                <w:sz w:val="21"/>
              </w:rPr>
              <w:t>17</w:t>
            </w:r>
          </w:p>
        </w:tc>
        <w:tc>
          <w:tcPr>
            <w:tcW w:w="484" w:type="pct"/>
            <w:vMerge w:val="continue"/>
            <w:vAlign w:val="center"/>
          </w:tcPr>
          <w:p w14:paraId="0AA783B1">
            <w:pPr>
              <w:widowControl w:val="0"/>
              <w:jc w:val="center"/>
              <w:rPr>
                <w:rFonts w:ascii="Times New Roman" w:hAnsi="Times New Roman" w:cs="Times New Roman"/>
                <w:color w:val="auto"/>
                <w:spacing w:val="-2"/>
                <w:sz w:val="21"/>
              </w:rPr>
            </w:pPr>
          </w:p>
        </w:tc>
        <w:tc>
          <w:tcPr>
            <w:tcW w:w="1256" w:type="pct"/>
            <w:vAlign w:val="center"/>
          </w:tcPr>
          <w:p w14:paraId="5773DB57">
            <w:pPr>
              <w:widowControl w:val="0"/>
              <w:jc w:val="center"/>
              <w:rPr>
                <w:rFonts w:ascii="Times New Roman" w:hAnsi="Times New Roman" w:cs="Times New Roman"/>
                <w:color w:val="auto"/>
                <w:spacing w:val="-2"/>
                <w:sz w:val="21"/>
              </w:rPr>
            </w:pPr>
          </w:p>
        </w:tc>
        <w:tc>
          <w:tcPr>
            <w:tcW w:w="1492" w:type="pct"/>
            <w:vAlign w:val="center"/>
          </w:tcPr>
          <w:p w14:paraId="6527B6B4">
            <w:pPr>
              <w:widowControl w:val="0"/>
              <w:jc w:val="center"/>
              <w:rPr>
                <w:rFonts w:ascii="Times New Roman" w:hAnsi="Times New Roman" w:cs="Times New Roman"/>
                <w:color w:val="auto"/>
                <w:spacing w:val="-2"/>
                <w:sz w:val="21"/>
              </w:rPr>
            </w:pPr>
          </w:p>
        </w:tc>
        <w:tc>
          <w:tcPr>
            <w:tcW w:w="1020" w:type="pct"/>
            <w:vAlign w:val="center"/>
          </w:tcPr>
          <w:p w14:paraId="3F98F414">
            <w:pPr>
              <w:widowControl w:val="0"/>
              <w:jc w:val="center"/>
              <w:rPr>
                <w:rFonts w:ascii="Times New Roman" w:hAnsi="Times New Roman" w:cs="Times New Roman"/>
                <w:color w:val="auto"/>
                <w:spacing w:val="-2"/>
                <w:sz w:val="21"/>
              </w:rPr>
            </w:pPr>
          </w:p>
        </w:tc>
        <w:tc>
          <w:tcPr>
            <w:tcW w:w="367" w:type="pct"/>
            <w:vAlign w:val="center"/>
          </w:tcPr>
          <w:p w14:paraId="2F7B3B0B">
            <w:pPr>
              <w:widowControl w:val="0"/>
              <w:jc w:val="center"/>
              <w:rPr>
                <w:rFonts w:ascii="Times New Roman" w:hAnsi="Times New Roman" w:cs="Times New Roman"/>
                <w:color w:val="auto"/>
                <w:spacing w:val="-2"/>
                <w:sz w:val="21"/>
              </w:rPr>
            </w:pPr>
          </w:p>
        </w:tc>
      </w:tr>
      <w:tr w14:paraId="41664A2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81" w:type="pct"/>
            <w:vAlign w:val="center"/>
          </w:tcPr>
          <w:p w14:paraId="427E0CE0">
            <w:pPr>
              <w:widowControl w:val="0"/>
              <w:jc w:val="center"/>
              <w:rPr>
                <w:rFonts w:ascii="Times New Roman" w:hAnsi="Times New Roman" w:cs="Times New Roman"/>
                <w:color w:val="auto"/>
                <w:spacing w:val="-2"/>
                <w:sz w:val="21"/>
              </w:rPr>
            </w:pPr>
            <w:r>
              <w:rPr>
                <w:rFonts w:ascii="Times New Roman" w:hAnsi="Times New Roman" w:cs="Times New Roman"/>
                <w:color w:val="auto"/>
                <w:spacing w:val="-2"/>
                <w:sz w:val="21"/>
              </w:rPr>
              <w:t>18</w:t>
            </w:r>
          </w:p>
        </w:tc>
        <w:tc>
          <w:tcPr>
            <w:tcW w:w="484" w:type="pct"/>
            <w:vMerge w:val="continue"/>
            <w:vAlign w:val="center"/>
          </w:tcPr>
          <w:p w14:paraId="78C0D752">
            <w:pPr>
              <w:widowControl w:val="0"/>
              <w:jc w:val="center"/>
              <w:rPr>
                <w:rFonts w:ascii="Times New Roman" w:hAnsi="Times New Roman" w:cs="Times New Roman"/>
                <w:color w:val="auto"/>
                <w:spacing w:val="-2"/>
                <w:sz w:val="21"/>
              </w:rPr>
            </w:pPr>
          </w:p>
        </w:tc>
        <w:tc>
          <w:tcPr>
            <w:tcW w:w="1256" w:type="pct"/>
            <w:vAlign w:val="center"/>
          </w:tcPr>
          <w:p w14:paraId="19115EDA">
            <w:pPr>
              <w:widowControl w:val="0"/>
              <w:jc w:val="center"/>
              <w:rPr>
                <w:rFonts w:ascii="Times New Roman" w:hAnsi="Times New Roman" w:cs="Times New Roman"/>
                <w:color w:val="auto"/>
                <w:spacing w:val="-2"/>
                <w:sz w:val="21"/>
              </w:rPr>
            </w:pPr>
          </w:p>
        </w:tc>
        <w:tc>
          <w:tcPr>
            <w:tcW w:w="1492" w:type="pct"/>
            <w:vAlign w:val="center"/>
          </w:tcPr>
          <w:p w14:paraId="59035323">
            <w:pPr>
              <w:widowControl w:val="0"/>
              <w:jc w:val="center"/>
              <w:rPr>
                <w:rFonts w:ascii="Times New Roman" w:hAnsi="Times New Roman" w:cs="Times New Roman"/>
                <w:color w:val="auto"/>
                <w:spacing w:val="-2"/>
                <w:sz w:val="21"/>
              </w:rPr>
            </w:pPr>
          </w:p>
        </w:tc>
        <w:tc>
          <w:tcPr>
            <w:tcW w:w="1020" w:type="pct"/>
            <w:vAlign w:val="center"/>
          </w:tcPr>
          <w:p w14:paraId="6F995DD3">
            <w:pPr>
              <w:widowControl w:val="0"/>
              <w:jc w:val="center"/>
              <w:rPr>
                <w:rFonts w:ascii="Times New Roman" w:hAnsi="Times New Roman" w:cs="Times New Roman"/>
                <w:color w:val="auto"/>
                <w:spacing w:val="-2"/>
                <w:sz w:val="21"/>
              </w:rPr>
            </w:pPr>
          </w:p>
        </w:tc>
        <w:tc>
          <w:tcPr>
            <w:tcW w:w="367" w:type="pct"/>
            <w:vAlign w:val="center"/>
          </w:tcPr>
          <w:p w14:paraId="51246558">
            <w:pPr>
              <w:widowControl w:val="0"/>
              <w:jc w:val="center"/>
              <w:rPr>
                <w:rFonts w:ascii="Times New Roman" w:hAnsi="Times New Roman" w:cs="Times New Roman"/>
                <w:color w:val="auto"/>
                <w:spacing w:val="-2"/>
                <w:sz w:val="21"/>
              </w:rPr>
            </w:pPr>
          </w:p>
        </w:tc>
      </w:tr>
      <w:tr w14:paraId="3F15B45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81" w:type="pct"/>
            <w:vAlign w:val="center"/>
          </w:tcPr>
          <w:p w14:paraId="0C376A20">
            <w:pPr>
              <w:widowControl w:val="0"/>
              <w:jc w:val="center"/>
              <w:rPr>
                <w:rFonts w:ascii="Times New Roman" w:hAnsi="Times New Roman" w:cs="Times New Roman"/>
                <w:color w:val="auto"/>
                <w:spacing w:val="-2"/>
                <w:sz w:val="21"/>
              </w:rPr>
            </w:pPr>
            <w:r>
              <w:rPr>
                <w:rFonts w:ascii="Times New Roman" w:hAnsi="Times New Roman" w:cs="Times New Roman"/>
                <w:color w:val="auto"/>
                <w:spacing w:val="-2"/>
                <w:sz w:val="21"/>
              </w:rPr>
              <w:t>19</w:t>
            </w:r>
          </w:p>
        </w:tc>
        <w:tc>
          <w:tcPr>
            <w:tcW w:w="484" w:type="pct"/>
            <w:vMerge w:val="restart"/>
            <w:noWrap/>
            <w:vAlign w:val="center"/>
          </w:tcPr>
          <w:p w14:paraId="44EF0AB1">
            <w:pPr>
              <w:widowControl w:val="0"/>
              <w:jc w:val="center"/>
              <w:rPr>
                <w:rFonts w:ascii="Times New Roman" w:hAnsi="Times New Roman" w:cs="Times New Roman"/>
                <w:color w:val="auto"/>
                <w:spacing w:val="-2"/>
                <w:sz w:val="21"/>
              </w:rPr>
            </w:pPr>
            <w:r>
              <w:rPr>
                <w:rFonts w:ascii="Times New Roman" w:hAnsi="Times New Roman" w:cs="Times New Roman"/>
                <w:color w:val="auto"/>
                <w:spacing w:val="-2"/>
                <w:sz w:val="21"/>
              </w:rPr>
              <w:t>公辅工程</w:t>
            </w:r>
          </w:p>
        </w:tc>
        <w:tc>
          <w:tcPr>
            <w:tcW w:w="1256" w:type="pct"/>
            <w:vAlign w:val="center"/>
          </w:tcPr>
          <w:p w14:paraId="217A0391">
            <w:pPr>
              <w:widowControl w:val="0"/>
              <w:jc w:val="center"/>
              <w:rPr>
                <w:rFonts w:ascii="Times New Roman" w:hAnsi="Times New Roman" w:cs="Times New Roman"/>
                <w:color w:val="auto"/>
                <w:spacing w:val="-2"/>
                <w:sz w:val="21"/>
              </w:rPr>
            </w:pPr>
          </w:p>
        </w:tc>
        <w:tc>
          <w:tcPr>
            <w:tcW w:w="1492" w:type="pct"/>
            <w:vAlign w:val="center"/>
          </w:tcPr>
          <w:p w14:paraId="2E4AAB10">
            <w:pPr>
              <w:widowControl w:val="0"/>
              <w:jc w:val="center"/>
              <w:rPr>
                <w:rFonts w:ascii="Times New Roman" w:hAnsi="Times New Roman" w:cs="Times New Roman"/>
                <w:b/>
                <w:color w:val="auto"/>
                <w:spacing w:val="-2"/>
                <w:sz w:val="21"/>
              </w:rPr>
            </w:pPr>
          </w:p>
        </w:tc>
        <w:tc>
          <w:tcPr>
            <w:tcW w:w="1020" w:type="pct"/>
            <w:vAlign w:val="center"/>
          </w:tcPr>
          <w:p w14:paraId="01915A29">
            <w:pPr>
              <w:widowControl w:val="0"/>
              <w:jc w:val="center"/>
              <w:rPr>
                <w:rFonts w:ascii="Times New Roman" w:hAnsi="Times New Roman" w:cs="Times New Roman"/>
                <w:color w:val="auto"/>
                <w:spacing w:val="-2"/>
                <w:sz w:val="21"/>
              </w:rPr>
            </w:pPr>
          </w:p>
        </w:tc>
        <w:tc>
          <w:tcPr>
            <w:tcW w:w="367" w:type="pct"/>
            <w:vAlign w:val="center"/>
          </w:tcPr>
          <w:p w14:paraId="6CF1578E">
            <w:pPr>
              <w:widowControl w:val="0"/>
              <w:jc w:val="center"/>
              <w:rPr>
                <w:rFonts w:ascii="Times New Roman" w:hAnsi="Times New Roman" w:cs="Times New Roman"/>
                <w:color w:val="auto"/>
                <w:spacing w:val="-2"/>
                <w:sz w:val="21"/>
              </w:rPr>
            </w:pPr>
          </w:p>
        </w:tc>
      </w:tr>
      <w:tr w14:paraId="4458E48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81" w:type="pct"/>
            <w:vAlign w:val="center"/>
          </w:tcPr>
          <w:p w14:paraId="3EB55D34">
            <w:pPr>
              <w:widowControl w:val="0"/>
              <w:jc w:val="center"/>
              <w:rPr>
                <w:rFonts w:ascii="Times New Roman" w:hAnsi="Times New Roman" w:cs="Times New Roman"/>
                <w:color w:val="auto"/>
                <w:spacing w:val="-2"/>
                <w:sz w:val="21"/>
              </w:rPr>
            </w:pPr>
            <w:r>
              <w:rPr>
                <w:rFonts w:ascii="Times New Roman" w:hAnsi="Times New Roman" w:cs="Times New Roman"/>
                <w:color w:val="auto"/>
                <w:spacing w:val="-2"/>
                <w:sz w:val="21"/>
              </w:rPr>
              <w:t>20</w:t>
            </w:r>
          </w:p>
        </w:tc>
        <w:tc>
          <w:tcPr>
            <w:tcW w:w="484" w:type="pct"/>
            <w:vMerge w:val="continue"/>
            <w:vAlign w:val="center"/>
          </w:tcPr>
          <w:p w14:paraId="4EC572AD">
            <w:pPr>
              <w:widowControl w:val="0"/>
              <w:jc w:val="center"/>
              <w:rPr>
                <w:rFonts w:ascii="Times New Roman" w:hAnsi="Times New Roman" w:cs="Times New Roman"/>
                <w:color w:val="auto"/>
                <w:spacing w:val="-2"/>
                <w:sz w:val="21"/>
              </w:rPr>
            </w:pPr>
          </w:p>
        </w:tc>
        <w:tc>
          <w:tcPr>
            <w:tcW w:w="1256" w:type="pct"/>
            <w:vAlign w:val="center"/>
          </w:tcPr>
          <w:p w14:paraId="07CD2813">
            <w:pPr>
              <w:widowControl w:val="0"/>
              <w:jc w:val="center"/>
              <w:rPr>
                <w:rFonts w:ascii="Times New Roman" w:hAnsi="Times New Roman" w:cs="Times New Roman"/>
                <w:color w:val="auto"/>
                <w:spacing w:val="-2"/>
                <w:sz w:val="21"/>
              </w:rPr>
            </w:pPr>
          </w:p>
        </w:tc>
        <w:tc>
          <w:tcPr>
            <w:tcW w:w="1492" w:type="pct"/>
            <w:vAlign w:val="center"/>
          </w:tcPr>
          <w:p w14:paraId="2C9025A3">
            <w:pPr>
              <w:widowControl w:val="0"/>
              <w:jc w:val="center"/>
              <w:rPr>
                <w:rFonts w:ascii="Times New Roman" w:hAnsi="Times New Roman" w:cs="Times New Roman"/>
                <w:color w:val="auto"/>
                <w:spacing w:val="-2"/>
                <w:sz w:val="21"/>
              </w:rPr>
            </w:pPr>
          </w:p>
        </w:tc>
        <w:tc>
          <w:tcPr>
            <w:tcW w:w="1020" w:type="pct"/>
            <w:vAlign w:val="center"/>
          </w:tcPr>
          <w:p w14:paraId="3100A7B9">
            <w:pPr>
              <w:widowControl w:val="0"/>
              <w:jc w:val="center"/>
              <w:rPr>
                <w:rFonts w:ascii="Times New Roman" w:hAnsi="Times New Roman" w:cs="Times New Roman"/>
                <w:color w:val="auto"/>
                <w:spacing w:val="-2"/>
                <w:sz w:val="21"/>
              </w:rPr>
            </w:pPr>
          </w:p>
        </w:tc>
        <w:tc>
          <w:tcPr>
            <w:tcW w:w="367" w:type="pct"/>
            <w:vAlign w:val="center"/>
          </w:tcPr>
          <w:p w14:paraId="07C339B5">
            <w:pPr>
              <w:widowControl w:val="0"/>
              <w:jc w:val="center"/>
              <w:rPr>
                <w:rFonts w:ascii="Times New Roman" w:hAnsi="Times New Roman" w:cs="Times New Roman"/>
                <w:color w:val="auto"/>
                <w:spacing w:val="-2"/>
                <w:sz w:val="21"/>
              </w:rPr>
            </w:pPr>
          </w:p>
        </w:tc>
      </w:tr>
      <w:tr w14:paraId="22AE87F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81" w:type="pct"/>
            <w:vAlign w:val="center"/>
          </w:tcPr>
          <w:p w14:paraId="2144AE18">
            <w:pPr>
              <w:widowControl w:val="0"/>
              <w:jc w:val="center"/>
              <w:rPr>
                <w:rFonts w:ascii="Times New Roman" w:hAnsi="Times New Roman" w:cs="Times New Roman"/>
                <w:color w:val="auto"/>
                <w:spacing w:val="-2"/>
                <w:sz w:val="21"/>
              </w:rPr>
            </w:pPr>
            <w:r>
              <w:rPr>
                <w:rFonts w:ascii="Times New Roman" w:hAnsi="Times New Roman" w:cs="Times New Roman"/>
                <w:color w:val="auto"/>
                <w:spacing w:val="-2"/>
                <w:sz w:val="21"/>
              </w:rPr>
              <w:t>21</w:t>
            </w:r>
          </w:p>
        </w:tc>
        <w:tc>
          <w:tcPr>
            <w:tcW w:w="484" w:type="pct"/>
            <w:vMerge w:val="continue"/>
            <w:vAlign w:val="center"/>
          </w:tcPr>
          <w:p w14:paraId="62D7A363">
            <w:pPr>
              <w:widowControl w:val="0"/>
              <w:jc w:val="center"/>
              <w:rPr>
                <w:rFonts w:ascii="Times New Roman" w:hAnsi="Times New Roman" w:cs="Times New Roman"/>
                <w:color w:val="auto"/>
                <w:spacing w:val="-2"/>
                <w:sz w:val="21"/>
              </w:rPr>
            </w:pPr>
          </w:p>
        </w:tc>
        <w:tc>
          <w:tcPr>
            <w:tcW w:w="1256" w:type="pct"/>
            <w:vAlign w:val="center"/>
          </w:tcPr>
          <w:p w14:paraId="05A3F08C">
            <w:pPr>
              <w:widowControl w:val="0"/>
              <w:jc w:val="center"/>
              <w:rPr>
                <w:rFonts w:ascii="Times New Roman" w:hAnsi="Times New Roman" w:cs="Times New Roman"/>
                <w:color w:val="auto"/>
                <w:spacing w:val="-2"/>
                <w:sz w:val="21"/>
              </w:rPr>
            </w:pPr>
          </w:p>
        </w:tc>
        <w:tc>
          <w:tcPr>
            <w:tcW w:w="1492" w:type="pct"/>
            <w:vAlign w:val="center"/>
          </w:tcPr>
          <w:p w14:paraId="7E5EA066">
            <w:pPr>
              <w:widowControl w:val="0"/>
              <w:jc w:val="center"/>
              <w:rPr>
                <w:rFonts w:ascii="Times New Roman" w:hAnsi="Times New Roman" w:cs="Times New Roman"/>
                <w:color w:val="auto"/>
                <w:spacing w:val="-2"/>
                <w:sz w:val="21"/>
              </w:rPr>
            </w:pPr>
          </w:p>
        </w:tc>
        <w:tc>
          <w:tcPr>
            <w:tcW w:w="1020" w:type="pct"/>
            <w:vAlign w:val="center"/>
          </w:tcPr>
          <w:p w14:paraId="0F3C6810">
            <w:pPr>
              <w:widowControl w:val="0"/>
              <w:jc w:val="center"/>
              <w:rPr>
                <w:rFonts w:ascii="Times New Roman" w:hAnsi="Times New Roman" w:cs="Times New Roman"/>
                <w:color w:val="auto"/>
                <w:spacing w:val="-2"/>
                <w:sz w:val="21"/>
              </w:rPr>
            </w:pPr>
          </w:p>
        </w:tc>
        <w:tc>
          <w:tcPr>
            <w:tcW w:w="367" w:type="pct"/>
            <w:vAlign w:val="center"/>
          </w:tcPr>
          <w:p w14:paraId="53D32D50">
            <w:pPr>
              <w:widowControl w:val="0"/>
              <w:jc w:val="center"/>
              <w:rPr>
                <w:rFonts w:ascii="Times New Roman" w:hAnsi="Times New Roman" w:cs="Times New Roman"/>
                <w:color w:val="auto"/>
                <w:spacing w:val="-2"/>
                <w:sz w:val="21"/>
              </w:rPr>
            </w:pPr>
          </w:p>
        </w:tc>
      </w:tr>
      <w:tr w14:paraId="16AA867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81" w:type="pct"/>
            <w:vAlign w:val="center"/>
          </w:tcPr>
          <w:p w14:paraId="1CA33034">
            <w:pPr>
              <w:widowControl w:val="0"/>
              <w:jc w:val="center"/>
              <w:rPr>
                <w:rFonts w:ascii="Times New Roman" w:hAnsi="Times New Roman" w:cs="Times New Roman"/>
                <w:color w:val="auto"/>
                <w:spacing w:val="-2"/>
                <w:sz w:val="21"/>
              </w:rPr>
            </w:pPr>
            <w:r>
              <w:rPr>
                <w:rFonts w:ascii="Times New Roman" w:hAnsi="Times New Roman" w:cs="Times New Roman"/>
                <w:color w:val="auto"/>
                <w:spacing w:val="-2"/>
                <w:sz w:val="21"/>
              </w:rPr>
              <w:t>22</w:t>
            </w:r>
          </w:p>
        </w:tc>
        <w:tc>
          <w:tcPr>
            <w:tcW w:w="484" w:type="pct"/>
            <w:vMerge w:val="continue"/>
            <w:vAlign w:val="center"/>
          </w:tcPr>
          <w:p w14:paraId="3B7CFF13">
            <w:pPr>
              <w:widowControl w:val="0"/>
              <w:jc w:val="center"/>
              <w:rPr>
                <w:rFonts w:ascii="Times New Roman" w:hAnsi="Times New Roman" w:cs="Times New Roman"/>
                <w:color w:val="auto"/>
                <w:spacing w:val="-2"/>
                <w:sz w:val="21"/>
              </w:rPr>
            </w:pPr>
          </w:p>
        </w:tc>
        <w:tc>
          <w:tcPr>
            <w:tcW w:w="1256" w:type="pct"/>
            <w:vAlign w:val="center"/>
          </w:tcPr>
          <w:p w14:paraId="455260FB">
            <w:pPr>
              <w:widowControl w:val="0"/>
              <w:jc w:val="center"/>
              <w:rPr>
                <w:rFonts w:ascii="Times New Roman" w:hAnsi="Times New Roman" w:cs="Times New Roman"/>
                <w:color w:val="auto"/>
                <w:spacing w:val="-2"/>
                <w:sz w:val="21"/>
              </w:rPr>
            </w:pPr>
          </w:p>
        </w:tc>
        <w:tc>
          <w:tcPr>
            <w:tcW w:w="1492" w:type="pct"/>
            <w:vAlign w:val="center"/>
          </w:tcPr>
          <w:p w14:paraId="58CB30A7">
            <w:pPr>
              <w:widowControl w:val="0"/>
              <w:jc w:val="center"/>
              <w:rPr>
                <w:rFonts w:ascii="Times New Roman" w:hAnsi="Times New Roman" w:cs="Times New Roman"/>
                <w:color w:val="auto"/>
                <w:spacing w:val="-2"/>
                <w:sz w:val="21"/>
              </w:rPr>
            </w:pPr>
          </w:p>
        </w:tc>
        <w:tc>
          <w:tcPr>
            <w:tcW w:w="1020" w:type="pct"/>
            <w:vAlign w:val="center"/>
          </w:tcPr>
          <w:p w14:paraId="061656BB">
            <w:pPr>
              <w:widowControl w:val="0"/>
              <w:jc w:val="center"/>
              <w:rPr>
                <w:rFonts w:ascii="Times New Roman" w:hAnsi="Times New Roman" w:cs="Times New Roman"/>
                <w:color w:val="auto"/>
                <w:spacing w:val="-2"/>
                <w:sz w:val="21"/>
              </w:rPr>
            </w:pPr>
          </w:p>
        </w:tc>
        <w:tc>
          <w:tcPr>
            <w:tcW w:w="367" w:type="pct"/>
            <w:vAlign w:val="center"/>
          </w:tcPr>
          <w:p w14:paraId="729C11DE">
            <w:pPr>
              <w:widowControl w:val="0"/>
              <w:jc w:val="center"/>
              <w:rPr>
                <w:rFonts w:ascii="Times New Roman" w:hAnsi="Times New Roman" w:cs="Times New Roman"/>
                <w:color w:val="auto"/>
                <w:spacing w:val="-2"/>
                <w:sz w:val="21"/>
              </w:rPr>
            </w:pPr>
          </w:p>
        </w:tc>
      </w:tr>
    </w:tbl>
    <w:p w14:paraId="1B0E61E4">
      <w:pPr>
        <w:widowControl w:val="0"/>
        <w:spacing w:line="360" w:lineRule="auto"/>
        <w:jc w:val="center"/>
        <w:rPr>
          <w:rFonts w:ascii="Times New Roman"/>
          <w:b/>
          <w:bCs/>
          <w:lang w:eastAsia="zh-CN"/>
        </w:rPr>
      </w:pPr>
      <w:r>
        <w:rPr>
          <w:rFonts w:hint="eastAsia" w:ascii="Times New Roman"/>
          <w:b/>
          <w:bCs/>
          <w:lang w:eastAsia="zh-CN"/>
        </w:rPr>
        <w:t>表3</w:t>
      </w:r>
      <w:r>
        <w:rPr>
          <w:rFonts w:ascii="Times New Roman"/>
          <w:b/>
          <w:bCs/>
          <w:lang w:eastAsia="zh-CN"/>
        </w:rPr>
        <w:t>.</w:t>
      </w:r>
      <w:r>
        <w:rPr>
          <w:rFonts w:hint="eastAsia" w:ascii="Times New Roman"/>
          <w:b/>
          <w:bCs/>
          <w:lang w:eastAsia="zh-CN"/>
        </w:rPr>
        <w:t>1</w:t>
      </w:r>
      <w:r>
        <w:rPr>
          <w:rFonts w:ascii="Times New Roman"/>
          <w:b/>
          <w:bCs/>
          <w:lang w:eastAsia="zh-CN"/>
        </w:rPr>
        <w:t>-</w:t>
      </w:r>
      <w:r>
        <w:rPr>
          <w:rFonts w:hint="eastAsia" w:ascii="Times New Roman"/>
          <w:b/>
          <w:bCs/>
          <w:lang w:eastAsia="zh-CN"/>
        </w:rPr>
        <w:t>5</w:t>
      </w:r>
      <w:r>
        <w:rPr>
          <w:rFonts w:ascii="Times New Roman"/>
          <w:b/>
          <w:bCs/>
          <w:lang w:eastAsia="zh-CN"/>
        </w:rPr>
        <w:t xml:space="preserve">  </w:t>
      </w:r>
      <w:r>
        <w:rPr>
          <w:rFonts w:hint="eastAsia" w:ascii="Times New Roman"/>
          <w:b/>
          <w:bCs/>
          <w:lang w:eastAsia="zh-CN"/>
        </w:rPr>
        <w:t>储罐的建设情况</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16"/>
        <w:gridCol w:w="1148"/>
        <w:gridCol w:w="887"/>
        <w:gridCol w:w="887"/>
        <w:gridCol w:w="1260"/>
        <w:gridCol w:w="849"/>
        <w:gridCol w:w="1004"/>
        <w:gridCol w:w="883"/>
        <w:gridCol w:w="1092"/>
      </w:tblGrid>
      <w:tr w14:paraId="1A7F65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3" w:type="pct"/>
            <w:vAlign w:val="center"/>
          </w:tcPr>
          <w:p w14:paraId="59125D9D">
            <w:pPr>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名称</w:t>
            </w:r>
          </w:p>
        </w:tc>
        <w:tc>
          <w:tcPr>
            <w:tcW w:w="1127" w:type="pct"/>
            <w:gridSpan w:val="2"/>
            <w:vAlign w:val="center"/>
          </w:tcPr>
          <w:p w14:paraId="309E36D7">
            <w:pPr>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罐体类型</w:t>
            </w:r>
          </w:p>
        </w:tc>
        <w:tc>
          <w:tcPr>
            <w:tcW w:w="491" w:type="pct"/>
            <w:vAlign w:val="center"/>
          </w:tcPr>
          <w:p w14:paraId="40AA91AC">
            <w:pPr>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压力温度</w:t>
            </w:r>
          </w:p>
        </w:tc>
        <w:tc>
          <w:tcPr>
            <w:tcW w:w="698" w:type="pct"/>
            <w:vAlign w:val="center"/>
          </w:tcPr>
          <w:p w14:paraId="6AA35CD5">
            <w:pPr>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储存物质</w:t>
            </w:r>
          </w:p>
        </w:tc>
        <w:tc>
          <w:tcPr>
            <w:tcW w:w="470" w:type="pct"/>
            <w:vAlign w:val="center"/>
          </w:tcPr>
          <w:p w14:paraId="182D400E">
            <w:pPr>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数量（座）</w:t>
            </w:r>
          </w:p>
        </w:tc>
        <w:tc>
          <w:tcPr>
            <w:tcW w:w="556" w:type="pct"/>
            <w:vAlign w:val="center"/>
          </w:tcPr>
          <w:p w14:paraId="1AFF2969">
            <w:pPr>
              <w:jc w:val="center"/>
              <w:rPr>
                <w:rFonts w:ascii="Times New Roman" w:hAnsi="Times New Roman" w:cs="Times New Roman"/>
                <w:b/>
                <w:bCs/>
                <w:color w:val="000000" w:themeColor="text1"/>
                <w:sz w:val="21"/>
                <w:lang w:eastAsia="zh-CN"/>
                <w14:textFill>
                  <w14:solidFill>
                    <w14:schemeClr w14:val="tx1"/>
                  </w14:solidFill>
                </w14:textFill>
              </w:rPr>
            </w:pPr>
            <w:r>
              <w:rPr>
                <w:rFonts w:hint="eastAsia" w:ascii="Times New Roman" w:hAnsi="Times New Roman" w:cs="Times New Roman"/>
                <w:b/>
                <w:bCs/>
                <w:color w:val="000000" w:themeColor="text1"/>
                <w:sz w:val="21"/>
                <w:lang w:eastAsia="zh-CN"/>
                <w14:textFill>
                  <w14:solidFill>
                    <w14:schemeClr w14:val="tx1"/>
                  </w14:solidFill>
                </w14:textFill>
              </w:rPr>
              <w:t>储罐</w:t>
            </w:r>
          </w:p>
          <w:p w14:paraId="49E47032">
            <w:pPr>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尺寸</w:t>
            </w:r>
          </w:p>
        </w:tc>
        <w:tc>
          <w:tcPr>
            <w:tcW w:w="489" w:type="pct"/>
            <w:vAlign w:val="center"/>
          </w:tcPr>
          <w:p w14:paraId="5BB0F9D7">
            <w:pPr>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容积（m</w:t>
            </w:r>
            <w:r>
              <w:rPr>
                <w:rFonts w:ascii="Times New Roman" w:hAnsi="Times New Roman" w:cs="Times New Roman"/>
                <w:b/>
                <w:bCs/>
                <w:color w:val="000000" w:themeColor="text1"/>
                <w:sz w:val="21"/>
                <w:vertAlign w:val="superscript"/>
                <w:lang w:eastAsia="zh-CN"/>
                <w14:textFill>
                  <w14:solidFill>
                    <w14:schemeClr w14:val="tx1"/>
                  </w14:solidFill>
                </w14:textFill>
              </w:rPr>
              <w:t>3</w:t>
            </w:r>
            <w:r>
              <w:rPr>
                <w:rFonts w:ascii="Times New Roman" w:hAnsi="Times New Roman" w:cs="Times New Roman"/>
                <w:b/>
                <w:bCs/>
                <w:color w:val="000000" w:themeColor="text1"/>
                <w:sz w:val="21"/>
                <w:lang w:eastAsia="zh-CN"/>
                <w14:textFill>
                  <w14:solidFill>
                    <w14:schemeClr w14:val="tx1"/>
                  </w14:solidFill>
                </w14:textFill>
              </w:rPr>
              <w:t>）</w:t>
            </w:r>
          </w:p>
        </w:tc>
        <w:tc>
          <w:tcPr>
            <w:tcW w:w="605" w:type="pct"/>
            <w:vAlign w:val="center"/>
          </w:tcPr>
          <w:p w14:paraId="2F6D987B">
            <w:pPr>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围堰尺寸（m）</w:t>
            </w:r>
          </w:p>
        </w:tc>
      </w:tr>
      <w:tr w14:paraId="6C3FCC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3" w:type="pct"/>
            <w:vAlign w:val="center"/>
          </w:tcPr>
          <w:p w14:paraId="245EF54D">
            <w:pPr>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无水氟化氢库房</w:t>
            </w:r>
          </w:p>
        </w:tc>
        <w:tc>
          <w:tcPr>
            <w:tcW w:w="636" w:type="pct"/>
            <w:vAlign w:val="center"/>
          </w:tcPr>
          <w:p w14:paraId="69F53DC6">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91" w:type="pct"/>
            <w:vAlign w:val="center"/>
          </w:tcPr>
          <w:p w14:paraId="004FB49E">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91" w:type="pct"/>
            <w:vAlign w:val="center"/>
          </w:tcPr>
          <w:p w14:paraId="0CD0C327">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698" w:type="pct"/>
            <w:vAlign w:val="center"/>
          </w:tcPr>
          <w:p w14:paraId="3FDB7A06">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70" w:type="pct"/>
            <w:vAlign w:val="center"/>
          </w:tcPr>
          <w:p w14:paraId="61E50BA4">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56" w:type="pct"/>
            <w:vAlign w:val="center"/>
          </w:tcPr>
          <w:p w14:paraId="2AFC6A78">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89" w:type="pct"/>
            <w:vAlign w:val="center"/>
          </w:tcPr>
          <w:p w14:paraId="308D59E8">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605" w:type="pct"/>
            <w:vAlign w:val="center"/>
          </w:tcPr>
          <w:p w14:paraId="39BEEABB">
            <w:pPr>
              <w:jc w:val="center"/>
              <w:textAlignment w:val="center"/>
              <w:rPr>
                <w:rFonts w:ascii="Times New Roman" w:hAnsi="Times New Roman" w:cs="Times New Roman"/>
                <w:color w:val="EE0000"/>
                <w:kern w:val="2"/>
                <w:sz w:val="21"/>
                <w:lang w:eastAsia="zh-CN"/>
              </w:rPr>
            </w:pPr>
            <w:r>
              <w:rPr>
                <w:rFonts w:hint="eastAsia" w:ascii="Times New Roman" w:hAnsi="Times New Roman" w:cs="Times New Roman"/>
                <w:color w:val="000000" w:themeColor="text1"/>
                <w:kern w:val="2"/>
                <w:sz w:val="21"/>
                <w:lang w:eastAsia="zh-CN"/>
                <w14:textFill>
                  <w14:solidFill>
                    <w14:schemeClr w14:val="tx1"/>
                  </w14:solidFill>
                </w14:textFill>
              </w:rPr>
              <w:t>/</w:t>
            </w:r>
          </w:p>
        </w:tc>
      </w:tr>
      <w:tr w14:paraId="160551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3" w:type="pct"/>
            <w:vMerge w:val="restart"/>
            <w:vAlign w:val="center"/>
          </w:tcPr>
          <w:p w14:paraId="6691FF75">
            <w:pPr>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原料及产品罐区</w:t>
            </w:r>
          </w:p>
        </w:tc>
        <w:tc>
          <w:tcPr>
            <w:tcW w:w="636" w:type="pct"/>
            <w:vAlign w:val="center"/>
          </w:tcPr>
          <w:p w14:paraId="0A021C93">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91" w:type="pct"/>
            <w:vAlign w:val="center"/>
          </w:tcPr>
          <w:p w14:paraId="0E0EEA8E">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91" w:type="pct"/>
            <w:vAlign w:val="center"/>
          </w:tcPr>
          <w:p w14:paraId="6D48F112">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698" w:type="pct"/>
            <w:vAlign w:val="center"/>
          </w:tcPr>
          <w:p w14:paraId="2255352E">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70" w:type="pct"/>
            <w:vAlign w:val="center"/>
          </w:tcPr>
          <w:p w14:paraId="39E5E015">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56" w:type="pct"/>
            <w:vAlign w:val="center"/>
          </w:tcPr>
          <w:p w14:paraId="42D24C36">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89" w:type="pct"/>
            <w:vAlign w:val="center"/>
          </w:tcPr>
          <w:p w14:paraId="18C29181">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605" w:type="pct"/>
            <w:vMerge w:val="restart"/>
            <w:vAlign w:val="center"/>
          </w:tcPr>
          <w:p w14:paraId="7F2A54D4">
            <w:pPr>
              <w:jc w:val="center"/>
              <w:textAlignment w:val="center"/>
              <w:rPr>
                <w:rFonts w:ascii="Times New Roman" w:hAnsi="Times New Roman" w:cs="Times New Roman"/>
                <w:color w:val="000000" w:themeColor="text1"/>
                <w:kern w:val="2"/>
                <w:sz w:val="21"/>
                <w:lang w:eastAsia="zh-CN"/>
                <w14:textFill>
                  <w14:solidFill>
                    <w14:schemeClr w14:val="tx1"/>
                  </w14:solidFill>
                </w14:textFill>
              </w:rPr>
            </w:pPr>
          </w:p>
        </w:tc>
      </w:tr>
      <w:tr w14:paraId="58473C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3" w:type="pct"/>
            <w:vMerge w:val="continue"/>
            <w:vAlign w:val="center"/>
          </w:tcPr>
          <w:p w14:paraId="65242C16">
            <w:pPr>
              <w:jc w:val="center"/>
              <w:rPr>
                <w:rFonts w:ascii="Times New Roman" w:hAnsi="Times New Roman" w:cs="Times New Roman"/>
                <w:color w:val="auto"/>
                <w:kern w:val="2"/>
                <w:sz w:val="21"/>
                <w:lang w:eastAsia="zh-CN"/>
              </w:rPr>
            </w:pPr>
          </w:p>
        </w:tc>
        <w:tc>
          <w:tcPr>
            <w:tcW w:w="636" w:type="pct"/>
            <w:vAlign w:val="center"/>
          </w:tcPr>
          <w:p w14:paraId="37BC3D08">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91" w:type="pct"/>
            <w:vAlign w:val="center"/>
          </w:tcPr>
          <w:p w14:paraId="4B7E2B1B">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91" w:type="pct"/>
            <w:vAlign w:val="center"/>
          </w:tcPr>
          <w:p w14:paraId="4248846C">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698" w:type="pct"/>
            <w:vAlign w:val="center"/>
          </w:tcPr>
          <w:p w14:paraId="730D065D">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70" w:type="pct"/>
            <w:vAlign w:val="center"/>
          </w:tcPr>
          <w:p w14:paraId="55BA0389">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56" w:type="pct"/>
            <w:vAlign w:val="center"/>
          </w:tcPr>
          <w:p w14:paraId="5C269262">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89" w:type="pct"/>
            <w:vAlign w:val="center"/>
          </w:tcPr>
          <w:p w14:paraId="4ECA9DDB">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605" w:type="pct"/>
            <w:vMerge w:val="continue"/>
            <w:vAlign w:val="center"/>
          </w:tcPr>
          <w:p w14:paraId="4E16B5BF">
            <w:pPr>
              <w:jc w:val="center"/>
              <w:textAlignment w:val="center"/>
              <w:rPr>
                <w:rFonts w:ascii="Times New Roman" w:hAnsi="Times New Roman" w:cs="Times New Roman"/>
                <w:color w:val="000000" w:themeColor="text1"/>
                <w:kern w:val="2"/>
                <w:sz w:val="21"/>
                <w:lang w:eastAsia="zh-CN"/>
                <w14:textFill>
                  <w14:solidFill>
                    <w14:schemeClr w14:val="tx1"/>
                  </w14:solidFill>
                </w14:textFill>
              </w:rPr>
            </w:pPr>
          </w:p>
        </w:tc>
      </w:tr>
      <w:tr w14:paraId="634E4D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3" w:type="pct"/>
            <w:vMerge w:val="continue"/>
            <w:vAlign w:val="center"/>
          </w:tcPr>
          <w:p w14:paraId="19538D56">
            <w:pPr>
              <w:jc w:val="center"/>
              <w:rPr>
                <w:rFonts w:ascii="Times New Roman" w:hAnsi="Times New Roman" w:cs="Times New Roman"/>
                <w:color w:val="auto"/>
                <w:kern w:val="2"/>
                <w:sz w:val="21"/>
                <w:lang w:eastAsia="zh-CN"/>
              </w:rPr>
            </w:pPr>
          </w:p>
        </w:tc>
        <w:tc>
          <w:tcPr>
            <w:tcW w:w="636" w:type="pct"/>
            <w:vAlign w:val="center"/>
          </w:tcPr>
          <w:p w14:paraId="3561E479">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91" w:type="pct"/>
            <w:vAlign w:val="center"/>
          </w:tcPr>
          <w:p w14:paraId="0786D3B2">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91" w:type="pct"/>
            <w:vAlign w:val="center"/>
          </w:tcPr>
          <w:p w14:paraId="5A74100E">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698" w:type="pct"/>
            <w:vAlign w:val="center"/>
          </w:tcPr>
          <w:p w14:paraId="3198D25D">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70" w:type="pct"/>
            <w:vAlign w:val="center"/>
          </w:tcPr>
          <w:p w14:paraId="4ECAF521">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56" w:type="pct"/>
            <w:vAlign w:val="center"/>
          </w:tcPr>
          <w:p w14:paraId="5B2AC76E">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89" w:type="pct"/>
            <w:vAlign w:val="center"/>
          </w:tcPr>
          <w:p w14:paraId="1331BC01">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605" w:type="pct"/>
            <w:vMerge w:val="continue"/>
            <w:vAlign w:val="center"/>
          </w:tcPr>
          <w:p w14:paraId="76061B32">
            <w:pPr>
              <w:jc w:val="center"/>
              <w:textAlignment w:val="center"/>
              <w:rPr>
                <w:rFonts w:ascii="Times New Roman" w:hAnsi="Times New Roman" w:cs="Times New Roman"/>
                <w:color w:val="000000" w:themeColor="text1"/>
                <w:kern w:val="2"/>
                <w:sz w:val="21"/>
                <w:lang w:eastAsia="zh-CN"/>
                <w14:textFill>
                  <w14:solidFill>
                    <w14:schemeClr w14:val="tx1"/>
                  </w14:solidFill>
                </w14:textFill>
              </w:rPr>
            </w:pPr>
          </w:p>
        </w:tc>
      </w:tr>
      <w:tr w14:paraId="2E0407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3" w:type="pct"/>
            <w:vMerge w:val="continue"/>
            <w:vAlign w:val="center"/>
          </w:tcPr>
          <w:p w14:paraId="3FE4F0FE">
            <w:pPr>
              <w:jc w:val="center"/>
              <w:rPr>
                <w:rFonts w:ascii="Times New Roman" w:hAnsi="Times New Roman" w:cs="Times New Roman"/>
                <w:color w:val="auto"/>
                <w:kern w:val="2"/>
                <w:sz w:val="21"/>
                <w:lang w:eastAsia="zh-CN"/>
              </w:rPr>
            </w:pPr>
          </w:p>
        </w:tc>
        <w:tc>
          <w:tcPr>
            <w:tcW w:w="636" w:type="pct"/>
            <w:vAlign w:val="center"/>
          </w:tcPr>
          <w:p w14:paraId="4CFE153E">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91" w:type="pct"/>
            <w:vAlign w:val="center"/>
          </w:tcPr>
          <w:p w14:paraId="4A81C49D">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91" w:type="pct"/>
            <w:vAlign w:val="center"/>
          </w:tcPr>
          <w:p w14:paraId="6F6093BF">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698" w:type="pct"/>
            <w:vAlign w:val="center"/>
          </w:tcPr>
          <w:p w14:paraId="671108FC">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70" w:type="pct"/>
            <w:vAlign w:val="center"/>
          </w:tcPr>
          <w:p w14:paraId="13929C78">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56" w:type="pct"/>
            <w:vAlign w:val="center"/>
          </w:tcPr>
          <w:p w14:paraId="7A8950CD">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89" w:type="pct"/>
            <w:vAlign w:val="center"/>
          </w:tcPr>
          <w:p w14:paraId="00EDC4EF">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605" w:type="pct"/>
            <w:vMerge w:val="continue"/>
            <w:vAlign w:val="center"/>
          </w:tcPr>
          <w:p w14:paraId="3CA8AD10">
            <w:pPr>
              <w:jc w:val="center"/>
              <w:textAlignment w:val="center"/>
              <w:rPr>
                <w:rFonts w:ascii="Times New Roman" w:hAnsi="Times New Roman" w:cs="Times New Roman"/>
                <w:color w:val="000000" w:themeColor="text1"/>
                <w:kern w:val="2"/>
                <w:sz w:val="21"/>
                <w:lang w:eastAsia="zh-CN"/>
                <w14:textFill>
                  <w14:solidFill>
                    <w14:schemeClr w14:val="tx1"/>
                  </w14:solidFill>
                </w14:textFill>
              </w:rPr>
            </w:pPr>
          </w:p>
        </w:tc>
      </w:tr>
      <w:bookmarkEnd w:id="480"/>
    </w:tbl>
    <w:p w14:paraId="60D1BA06">
      <w:pPr>
        <w:spacing w:line="360" w:lineRule="auto"/>
        <w:ind w:firstLine="482"/>
        <w:jc w:val="both"/>
        <w:outlineLvl w:val="2"/>
        <w:rPr>
          <w:rFonts w:ascii="Times New Roman" w:hAnsi="Times New Roman" w:cs="Times New Roman"/>
          <w:b/>
          <w:bCs/>
          <w:color w:val="auto"/>
          <w:szCs w:val="24"/>
          <w:lang w:eastAsia="zh-CN"/>
        </w:rPr>
      </w:pPr>
      <w:bookmarkStart w:id="481" w:name="_Toc224674651"/>
      <w:bookmarkStart w:id="482" w:name="_Toc204448436"/>
      <w:bookmarkStart w:id="483" w:name="_Toc203926971"/>
      <w:bookmarkStart w:id="484" w:name="_Toc231828550"/>
      <w:bookmarkStart w:id="485" w:name="_Toc217662628"/>
      <w:bookmarkStart w:id="486" w:name="_Toc204515171"/>
      <w:bookmarkStart w:id="487" w:name="_Toc221900795"/>
      <w:bookmarkStart w:id="488" w:name="_Toc223425013"/>
      <w:bookmarkStart w:id="489" w:name="_Toc225784012"/>
      <w:bookmarkStart w:id="490" w:name="_Toc218784238"/>
      <w:bookmarkStart w:id="491" w:name="_Toc236641798"/>
      <w:bookmarkStart w:id="492" w:name="_Toc236641281"/>
      <w:bookmarkStart w:id="493" w:name="_Toc237508264"/>
      <w:r>
        <w:rPr>
          <w:rFonts w:ascii="Times New Roman" w:hAnsi="Times New Roman" w:cs="Times New Roman"/>
          <w:b/>
          <w:bCs/>
          <w:color w:val="auto"/>
          <w:szCs w:val="24"/>
          <w:lang w:eastAsia="zh-CN"/>
        </w:rPr>
        <w:t>3.</w:t>
      </w:r>
      <w:r>
        <w:rPr>
          <w:rFonts w:hint="eastAsia" w:ascii="Times New Roman" w:hAnsi="Times New Roman" w:cs="Times New Roman"/>
          <w:b/>
          <w:bCs/>
          <w:color w:val="auto"/>
          <w:szCs w:val="24"/>
          <w:lang w:eastAsia="zh-CN"/>
        </w:rPr>
        <w:t>1</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6 现有工程</w:t>
      </w:r>
      <w:r>
        <w:rPr>
          <w:rFonts w:ascii="Times New Roman" w:hAnsi="Times New Roman" w:cs="Times New Roman"/>
          <w:b/>
          <w:bCs/>
          <w:color w:val="auto"/>
          <w:szCs w:val="24"/>
          <w:lang w:eastAsia="zh-CN"/>
        </w:rPr>
        <w:t>生产工艺流程</w:t>
      </w:r>
      <w:bookmarkEnd w:id="481"/>
      <w:bookmarkEnd w:id="482"/>
      <w:bookmarkEnd w:id="483"/>
      <w:bookmarkEnd w:id="484"/>
      <w:bookmarkEnd w:id="485"/>
      <w:bookmarkEnd w:id="486"/>
      <w:bookmarkEnd w:id="487"/>
      <w:bookmarkEnd w:id="488"/>
      <w:bookmarkEnd w:id="489"/>
      <w:bookmarkEnd w:id="490"/>
      <w:bookmarkEnd w:id="491"/>
      <w:bookmarkEnd w:id="492"/>
      <w:bookmarkEnd w:id="493"/>
    </w:p>
    <w:p w14:paraId="68DA60ED">
      <w:pPr>
        <w:spacing w:line="360" w:lineRule="auto"/>
        <w:ind w:firstLine="482"/>
        <w:jc w:val="both"/>
        <w:outlineLvl w:val="3"/>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3.</w:t>
      </w:r>
      <w:r>
        <w:rPr>
          <w:rFonts w:hint="eastAsia" w:ascii="Times New Roman" w:hAnsi="Times New Roman" w:cs="Times New Roman"/>
          <w:b/>
          <w:bCs/>
          <w:color w:val="auto"/>
          <w:szCs w:val="24"/>
          <w:lang w:eastAsia="zh-CN"/>
        </w:rPr>
        <w:t>1</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6</w:t>
      </w:r>
      <w:r>
        <w:rPr>
          <w:rFonts w:ascii="Times New Roman" w:hAnsi="Times New Roman" w:cs="Times New Roman"/>
          <w:b/>
          <w:bCs/>
          <w:color w:val="auto"/>
          <w:szCs w:val="24"/>
          <w:lang w:eastAsia="zh-CN"/>
        </w:rPr>
        <w:t>.1</w:t>
      </w:r>
      <w:r>
        <w:rPr>
          <w:rFonts w:hint="eastAsia" w:ascii="Times New Roman" w:hAnsi="Times New Roman" w:cs="Times New Roman"/>
          <w:b/>
          <w:bCs/>
          <w:color w:val="auto"/>
          <w:szCs w:val="24"/>
          <w:lang w:eastAsia="zh-CN"/>
        </w:rPr>
        <w:t xml:space="preserve"> 电子级氢氟酸</w:t>
      </w:r>
    </w:p>
    <w:p w14:paraId="71EAA5DE">
      <w:pPr>
        <w:pStyle w:val="11"/>
        <w:widowControl w:val="0"/>
        <w:spacing w:line="360" w:lineRule="auto"/>
        <w:ind w:firstLine="480" w:firstLineChars="200"/>
        <w:jc w:val="both"/>
        <w:rPr>
          <w:rFonts w:ascii="Times New Roman" w:hAnsi="Times New Roman" w:cs="Times New Roman"/>
          <w:sz w:val="24"/>
          <w:szCs w:val="24"/>
          <w:lang w:eastAsia="zh-CN"/>
        </w:rPr>
      </w:pPr>
    </w:p>
    <w:p w14:paraId="27C51DB4">
      <w:pPr>
        <w:spacing w:line="360" w:lineRule="auto"/>
        <w:ind w:firstLine="482"/>
        <w:jc w:val="both"/>
        <w:outlineLvl w:val="3"/>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3.</w:t>
      </w:r>
      <w:r>
        <w:rPr>
          <w:rFonts w:hint="eastAsia" w:ascii="Times New Roman" w:hAnsi="Times New Roman" w:cs="Times New Roman"/>
          <w:b/>
          <w:bCs/>
          <w:color w:val="auto"/>
          <w:szCs w:val="24"/>
          <w:lang w:eastAsia="zh-CN"/>
        </w:rPr>
        <w:t>1</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6</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2 化学纯氢氟酸</w:t>
      </w:r>
    </w:p>
    <w:p w14:paraId="20128A1A">
      <w:pPr>
        <w:widowControl w:val="0"/>
        <w:spacing w:line="360" w:lineRule="auto"/>
        <w:ind w:firstLine="480" w:firstLineChars="200"/>
        <w:jc w:val="both"/>
        <w:rPr>
          <w:rFonts w:ascii="Times New Roman" w:hAnsi="Times New Roman" w:cs="Times New Roman"/>
          <w:szCs w:val="24"/>
          <w:lang w:eastAsia="zh-CN"/>
        </w:rPr>
      </w:pPr>
    </w:p>
    <w:p w14:paraId="3CC18FB0">
      <w:pPr>
        <w:widowControl w:val="0"/>
        <w:spacing w:line="360" w:lineRule="auto"/>
        <w:ind w:firstLine="480" w:firstLineChars="200"/>
        <w:jc w:val="both"/>
        <w:rPr>
          <w:rFonts w:ascii="Times New Roman" w:hAnsi="Times New Roman" w:cs="Times New Roman"/>
          <w:szCs w:val="24"/>
          <w:lang w:eastAsia="zh-CN"/>
        </w:rPr>
      </w:pPr>
    </w:p>
    <w:p w14:paraId="17FC44FF">
      <w:pPr>
        <w:widowControl w:val="0"/>
        <w:spacing w:line="360" w:lineRule="auto"/>
        <w:ind w:firstLine="480" w:firstLineChars="200"/>
        <w:jc w:val="both"/>
        <w:rPr>
          <w:rFonts w:ascii="Times New Roman" w:hAnsi="Times New Roman" w:cs="Times New Roman"/>
          <w:szCs w:val="24"/>
          <w:lang w:eastAsia="zh-CN"/>
        </w:rPr>
      </w:pPr>
    </w:p>
    <w:p w14:paraId="6C3D48D5">
      <w:pPr>
        <w:spacing w:line="360" w:lineRule="auto"/>
        <w:ind w:firstLine="482"/>
        <w:jc w:val="both"/>
        <w:outlineLvl w:val="3"/>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3.</w:t>
      </w:r>
      <w:r>
        <w:rPr>
          <w:rFonts w:hint="eastAsia" w:ascii="Times New Roman" w:hAnsi="Times New Roman" w:cs="Times New Roman"/>
          <w:b/>
          <w:bCs/>
          <w:color w:val="auto"/>
          <w:szCs w:val="24"/>
          <w:lang w:eastAsia="zh-CN"/>
        </w:rPr>
        <w:t>1</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6</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3 刻蚀液</w:t>
      </w:r>
    </w:p>
    <w:p w14:paraId="67223C8E">
      <w:pPr>
        <w:widowControl w:val="0"/>
        <w:spacing w:line="360" w:lineRule="auto"/>
        <w:ind w:firstLine="480" w:firstLineChars="200"/>
        <w:jc w:val="both"/>
        <w:rPr>
          <w:rFonts w:ascii="Times New Roman" w:hAnsi="Times New Roman" w:cs="Times New Roman"/>
          <w:szCs w:val="24"/>
          <w:lang w:eastAsia="zh-CN"/>
        </w:rPr>
      </w:pPr>
    </w:p>
    <w:p w14:paraId="754A4742">
      <w:pPr>
        <w:widowControl w:val="0"/>
        <w:spacing w:line="360" w:lineRule="auto"/>
        <w:jc w:val="both"/>
        <w:rPr>
          <w:rFonts w:ascii="Times New Roman" w:hAnsi="Times New Roman" w:cs="Times New Roman"/>
          <w:szCs w:val="24"/>
          <w:lang w:eastAsia="zh-CN"/>
        </w:rPr>
      </w:pPr>
    </w:p>
    <w:p w14:paraId="136B3CF1">
      <w:pPr>
        <w:spacing w:line="360" w:lineRule="auto"/>
        <w:ind w:firstLine="562"/>
        <w:jc w:val="both"/>
        <w:outlineLvl w:val="1"/>
        <w:rPr>
          <w:rFonts w:ascii="Times New Roman" w:hAnsi="Times New Roman" w:cs="Times New Roman"/>
          <w:color w:val="auto"/>
          <w:sz w:val="28"/>
          <w:szCs w:val="22"/>
          <w:lang w:eastAsia="zh-CN"/>
        </w:rPr>
      </w:pPr>
      <w:bookmarkStart w:id="494" w:name="_Toc237508265"/>
      <w:r>
        <w:rPr>
          <w:rFonts w:ascii="Times New Roman" w:hAnsi="Times New Roman" w:cs="Times New Roman"/>
          <w:b/>
          <w:bCs/>
          <w:color w:val="auto"/>
          <w:sz w:val="28"/>
          <w:szCs w:val="22"/>
          <w:lang w:eastAsia="zh-CN"/>
        </w:rPr>
        <w:t>3.</w:t>
      </w:r>
      <w:r>
        <w:rPr>
          <w:rFonts w:hint="eastAsia" w:ascii="Times New Roman" w:hAnsi="Times New Roman" w:cs="Times New Roman"/>
          <w:b/>
          <w:bCs/>
          <w:color w:val="auto"/>
          <w:sz w:val="28"/>
          <w:szCs w:val="22"/>
          <w:lang w:eastAsia="zh-CN"/>
        </w:rPr>
        <w:t>2</w:t>
      </w:r>
      <w:r>
        <w:rPr>
          <w:rFonts w:ascii="Times New Roman" w:hAnsi="Times New Roman" w:cs="Times New Roman"/>
          <w:b/>
          <w:bCs/>
          <w:color w:val="auto"/>
          <w:sz w:val="28"/>
          <w:szCs w:val="22"/>
          <w:lang w:eastAsia="zh-CN"/>
        </w:rPr>
        <w:t xml:space="preserve"> </w:t>
      </w:r>
      <w:bookmarkStart w:id="495" w:name="_Hlk200721343"/>
      <w:r>
        <w:rPr>
          <w:rFonts w:hint="eastAsia" w:ascii="Times New Roman" w:hAnsi="Times New Roman" w:cs="Times New Roman"/>
          <w:b/>
          <w:bCs/>
          <w:color w:val="auto"/>
          <w:sz w:val="28"/>
          <w:szCs w:val="22"/>
          <w:lang w:eastAsia="zh-CN"/>
        </w:rPr>
        <w:t>现有工程</w:t>
      </w:r>
      <w:bookmarkEnd w:id="495"/>
      <w:r>
        <w:rPr>
          <w:rFonts w:hint="eastAsia" w:ascii="Times New Roman" w:hAnsi="Times New Roman" w:cs="Times New Roman"/>
          <w:b/>
          <w:bCs/>
          <w:color w:val="auto"/>
          <w:sz w:val="28"/>
          <w:szCs w:val="22"/>
          <w:lang w:eastAsia="zh-CN"/>
        </w:rPr>
        <w:t>污染源概况</w:t>
      </w:r>
      <w:bookmarkEnd w:id="494"/>
    </w:p>
    <w:p w14:paraId="23E2E4EE">
      <w:pPr>
        <w:adjustRightInd w:val="0"/>
        <w:snapToGrid w:val="0"/>
        <w:spacing w:line="360" w:lineRule="auto"/>
        <w:ind w:firstLine="482"/>
        <w:jc w:val="both"/>
        <w:outlineLvl w:val="2"/>
        <w:rPr>
          <w:rFonts w:ascii="Times New Roman" w:hAnsi="Times New Roman" w:cs="Times New Roman"/>
          <w:b/>
          <w:bCs/>
          <w:color w:val="auto"/>
          <w:szCs w:val="24"/>
          <w:lang w:eastAsia="zh-CN"/>
        </w:rPr>
      </w:pPr>
      <w:bookmarkStart w:id="496" w:name="_Toc203926972"/>
      <w:bookmarkStart w:id="497" w:name="_Toc204448437"/>
      <w:bookmarkStart w:id="498" w:name="_Toc204515172"/>
      <w:bookmarkStart w:id="499" w:name="_Toc217662630"/>
      <w:bookmarkStart w:id="500" w:name="_Toc237508266"/>
      <w:bookmarkStart w:id="501" w:name="_Toc231828552"/>
      <w:bookmarkStart w:id="502" w:name="_Toc224674653"/>
      <w:bookmarkStart w:id="503" w:name="_Toc223425015"/>
      <w:bookmarkStart w:id="504" w:name="_Toc218784240"/>
      <w:bookmarkStart w:id="505" w:name="_Toc221900797"/>
      <w:bookmarkStart w:id="506" w:name="_Toc236641800"/>
      <w:bookmarkStart w:id="507" w:name="_Toc236641283"/>
      <w:bookmarkStart w:id="508" w:name="_Toc225784014"/>
      <w:r>
        <w:rPr>
          <w:rFonts w:ascii="Times New Roman" w:hAnsi="Times New Roman" w:cs="Times New Roman"/>
          <w:b/>
          <w:bCs/>
          <w:color w:val="auto"/>
          <w:szCs w:val="24"/>
          <w:lang w:eastAsia="zh-CN"/>
        </w:rPr>
        <w:t>3.</w:t>
      </w:r>
      <w:r>
        <w:rPr>
          <w:rFonts w:hint="eastAsia" w:ascii="Times New Roman" w:hAnsi="Times New Roman" w:cs="Times New Roman"/>
          <w:b/>
          <w:bCs/>
          <w:color w:val="auto"/>
          <w:szCs w:val="24"/>
          <w:lang w:eastAsia="zh-CN"/>
        </w:rPr>
        <w:t>2</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 xml:space="preserve">1 </w:t>
      </w:r>
      <w:bookmarkEnd w:id="496"/>
      <w:bookmarkEnd w:id="497"/>
      <w:bookmarkEnd w:id="498"/>
      <w:r>
        <w:rPr>
          <w:rFonts w:hint="eastAsia" w:ascii="Times New Roman" w:hAnsi="Times New Roman" w:cs="Times New Roman"/>
          <w:b/>
          <w:bCs/>
          <w:color w:val="auto"/>
          <w:szCs w:val="24"/>
          <w:lang w:eastAsia="zh-CN"/>
        </w:rPr>
        <w:t>废气</w:t>
      </w:r>
      <w:bookmarkEnd w:id="499"/>
      <w:bookmarkEnd w:id="500"/>
      <w:bookmarkEnd w:id="501"/>
      <w:bookmarkEnd w:id="502"/>
      <w:bookmarkEnd w:id="503"/>
      <w:bookmarkEnd w:id="504"/>
      <w:bookmarkEnd w:id="505"/>
      <w:bookmarkEnd w:id="506"/>
      <w:bookmarkEnd w:id="507"/>
      <w:bookmarkEnd w:id="508"/>
    </w:p>
    <w:p w14:paraId="3EE34DE8">
      <w:pPr>
        <w:pStyle w:val="19"/>
        <w:adjustRightInd w:val="0"/>
        <w:snapToGrid w:val="0"/>
        <w:spacing w:after="0" w:line="360" w:lineRule="auto"/>
        <w:ind w:left="0" w:leftChars="0" w:firstLine="482" w:firstLineChars="200"/>
        <w:jc w:val="both"/>
        <w:rPr>
          <w:rFonts w:ascii="Times New Roman" w:hAnsi="Times New Roman" w:cs="Times New Roman"/>
          <w:b/>
          <w:bCs/>
          <w:color w:val="auto"/>
          <w:szCs w:val="24"/>
          <w:lang w:eastAsia="zh-CN"/>
        </w:rPr>
      </w:pPr>
      <w:r>
        <w:rPr>
          <w:rFonts w:hint="eastAsia" w:ascii="Times New Roman" w:hAnsi="Times New Roman" w:cs="Times New Roman"/>
          <w:b/>
          <w:bCs/>
          <w:color w:val="auto"/>
          <w:szCs w:val="24"/>
          <w:lang w:eastAsia="zh-CN"/>
        </w:rPr>
        <w:t>1、现有工程废气收集处理措施</w:t>
      </w:r>
    </w:p>
    <w:p w14:paraId="76E6C063">
      <w:pPr>
        <w:pStyle w:val="19"/>
        <w:adjustRightInd w:val="0"/>
        <w:snapToGrid w:val="0"/>
        <w:spacing w:after="0" w:line="360" w:lineRule="auto"/>
        <w:ind w:left="0" w:leftChars="0" w:firstLine="480" w:firstLineChars="200"/>
        <w:jc w:val="both"/>
        <w:rPr>
          <w:rFonts w:ascii="Times New Roman" w:hAnsi="Times New Roman" w:cs="Times New Roman"/>
          <w:lang w:eastAsia="zh-CN"/>
        </w:rPr>
      </w:pPr>
      <w:r>
        <w:rPr>
          <w:rFonts w:hint="eastAsia" w:ascii="Times New Roman" w:hAnsi="Times New Roman" w:cs="Times New Roman"/>
          <w:color w:val="auto"/>
          <w:szCs w:val="24"/>
          <w:lang w:eastAsia="zh-CN"/>
        </w:rPr>
        <w:t>经过现场调查，结合环评及环评批复、验收及验收批复</w:t>
      </w:r>
      <w:r>
        <w:rPr>
          <w:rFonts w:hint="eastAsia" w:ascii="Times New Roman" w:hAnsi="Times New Roman" w:cs="Times New Roman"/>
          <w:color w:val="000000" w:themeColor="text1"/>
          <w:szCs w:val="24"/>
          <w:lang w:eastAsia="zh-CN"/>
          <w14:textFill>
            <w14:solidFill>
              <w14:schemeClr w14:val="tx1"/>
            </w14:solidFill>
          </w14:textFill>
        </w:rPr>
        <w:t>以及变动分析报</w:t>
      </w:r>
      <w:r>
        <w:rPr>
          <w:rFonts w:hint="eastAsia" w:ascii="Times New Roman" w:hAnsi="Times New Roman" w:cs="Times New Roman"/>
          <w:color w:val="auto"/>
          <w:szCs w:val="24"/>
          <w:lang w:eastAsia="zh-CN"/>
        </w:rPr>
        <w:t>告，现有工程废气收集处理措施汇总如下：</w:t>
      </w:r>
      <w:r>
        <w:rPr>
          <w:rFonts w:hint="eastAsia" w:ascii="Times New Roman" w:hAnsi="Times New Roman" w:cs="Times New Roman"/>
          <w:lang w:eastAsia="zh-CN"/>
        </w:rPr>
        <w:t xml:space="preserve"> </w:t>
      </w:r>
    </w:p>
    <w:p w14:paraId="237F6BBB">
      <w:pPr>
        <w:adjustRightInd w:val="0"/>
        <w:snapToGrid w:val="0"/>
        <w:spacing w:line="360" w:lineRule="auto"/>
        <w:jc w:val="center"/>
        <w:rPr>
          <w:rFonts w:ascii="Times New Roman" w:hAnsi="Times New Roman" w:cs="Times New Roman"/>
          <w:b/>
          <w:bCs/>
          <w:lang w:eastAsia="zh-CN"/>
        </w:rPr>
      </w:pPr>
      <w:r>
        <w:rPr>
          <w:rFonts w:ascii="Times New Roman" w:hAnsi="Times New Roman" w:cs="Times New Roman"/>
          <w:b/>
          <w:bCs/>
          <w:lang w:eastAsia="zh-CN"/>
        </w:rPr>
        <w:t>表3.</w:t>
      </w:r>
      <w:r>
        <w:rPr>
          <w:rFonts w:hint="eastAsia" w:ascii="Times New Roman" w:hAnsi="Times New Roman" w:cs="Times New Roman"/>
          <w:b/>
          <w:bCs/>
          <w:lang w:eastAsia="zh-CN"/>
        </w:rPr>
        <w:t>2</w:t>
      </w:r>
      <w:r>
        <w:rPr>
          <w:rFonts w:ascii="Times New Roman" w:hAnsi="Times New Roman" w:cs="Times New Roman"/>
          <w:b/>
          <w:bCs/>
          <w:lang w:eastAsia="zh-CN"/>
        </w:rPr>
        <w:t>-</w:t>
      </w:r>
      <w:r>
        <w:rPr>
          <w:rFonts w:hint="eastAsia" w:ascii="Times New Roman" w:hAnsi="Times New Roman" w:cs="Times New Roman"/>
          <w:b/>
          <w:bCs/>
          <w:lang w:eastAsia="zh-CN"/>
        </w:rPr>
        <w:t>1</w:t>
      </w:r>
      <w:r>
        <w:rPr>
          <w:rFonts w:ascii="Times New Roman" w:hAnsi="Times New Roman" w:cs="Times New Roman"/>
          <w:b/>
          <w:bCs/>
          <w:lang w:eastAsia="zh-CN"/>
        </w:rPr>
        <w:t xml:space="preserve"> </w:t>
      </w:r>
      <w:r>
        <w:rPr>
          <w:rFonts w:hint="eastAsia" w:ascii="Times New Roman" w:hAnsi="Times New Roman" w:cs="Times New Roman"/>
          <w:b/>
          <w:bCs/>
          <w:lang w:eastAsia="zh-CN"/>
        </w:rPr>
        <w:t>现有工程废气收集处理措施</w:t>
      </w:r>
      <w:r>
        <w:rPr>
          <w:rFonts w:ascii="Times New Roman" w:hAnsi="Times New Roman" w:cs="Times New Roman"/>
          <w:b/>
          <w:bCs/>
          <w:lang w:eastAsia="zh-CN"/>
        </w:rPr>
        <w:t>一览表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11" w:type="dxa"/>
          <w:left w:w="57" w:type="dxa"/>
          <w:bottom w:w="11" w:type="dxa"/>
          <w:right w:w="57" w:type="dxa"/>
        </w:tblCellMar>
      </w:tblPr>
      <w:tblGrid>
        <w:gridCol w:w="897"/>
        <w:gridCol w:w="980"/>
        <w:gridCol w:w="1666"/>
        <w:gridCol w:w="1986"/>
        <w:gridCol w:w="3497"/>
      </w:tblGrid>
      <w:tr w14:paraId="2FB7B1B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497" w:type="pct"/>
            <w:vAlign w:val="center"/>
          </w:tcPr>
          <w:p w14:paraId="6A54BB40">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项目</w:t>
            </w:r>
          </w:p>
        </w:tc>
        <w:tc>
          <w:tcPr>
            <w:tcW w:w="543" w:type="pct"/>
            <w:vAlign w:val="center"/>
          </w:tcPr>
          <w:p w14:paraId="4FA069AE">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编号</w:t>
            </w:r>
          </w:p>
        </w:tc>
        <w:tc>
          <w:tcPr>
            <w:tcW w:w="923" w:type="pct"/>
            <w:vAlign w:val="center"/>
          </w:tcPr>
          <w:p w14:paraId="58031379">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污染源</w:t>
            </w:r>
          </w:p>
        </w:tc>
        <w:tc>
          <w:tcPr>
            <w:tcW w:w="1100" w:type="pct"/>
            <w:vAlign w:val="center"/>
          </w:tcPr>
          <w:p w14:paraId="090EEBF1">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主要污染物</w:t>
            </w:r>
          </w:p>
        </w:tc>
        <w:tc>
          <w:tcPr>
            <w:tcW w:w="1937" w:type="pct"/>
            <w:vAlign w:val="center"/>
          </w:tcPr>
          <w:p w14:paraId="1C7E2E02">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收集处理措施</w:t>
            </w:r>
          </w:p>
        </w:tc>
      </w:tr>
      <w:tr w14:paraId="58F50A0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497" w:type="pct"/>
            <w:vMerge w:val="restart"/>
            <w:vAlign w:val="center"/>
          </w:tcPr>
          <w:p w14:paraId="35294253">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电子级氢氟酸生产装置</w:t>
            </w:r>
          </w:p>
        </w:tc>
        <w:tc>
          <w:tcPr>
            <w:tcW w:w="543" w:type="pct"/>
            <w:vAlign w:val="center"/>
          </w:tcPr>
          <w:p w14:paraId="0AE22E44">
            <w:pPr>
              <w:widowControl w:val="0"/>
              <w:adjustRightInd w:val="0"/>
              <w:snapToGrid w:val="0"/>
              <w:jc w:val="center"/>
              <w:rPr>
                <w:rFonts w:ascii="Times New Roman" w:hAnsi="Times New Roman" w:cs="Times New Roman"/>
                <w:color w:val="auto"/>
                <w:sz w:val="21"/>
                <w:lang w:eastAsia="zh-CN"/>
              </w:rPr>
            </w:pPr>
          </w:p>
        </w:tc>
        <w:tc>
          <w:tcPr>
            <w:tcW w:w="923" w:type="pct"/>
            <w:vAlign w:val="center"/>
          </w:tcPr>
          <w:p w14:paraId="22159E74">
            <w:pPr>
              <w:widowControl w:val="0"/>
              <w:adjustRightInd w:val="0"/>
              <w:snapToGrid w:val="0"/>
              <w:jc w:val="center"/>
              <w:rPr>
                <w:rFonts w:ascii="Times New Roman" w:hAnsi="Times New Roman" w:cs="Times New Roman"/>
                <w:color w:val="auto"/>
                <w:sz w:val="21"/>
                <w:lang w:eastAsia="zh-CN"/>
              </w:rPr>
            </w:pPr>
          </w:p>
        </w:tc>
        <w:tc>
          <w:tcPr>
            <w:tcW w:w="1100" w:type="pct"/>
            <w:vAlign w:val="center"/>
          </w:tcPr>
          <w:p w14:paraId="326C8103">
            <w:pPr>
              <w:widowControl w:val="0"/>
              <w:adjustRightInd w:val="0"/>
              <w:snapToGrid w:val="0"/>
              <w:jc w:val="center"/>
              <w:rPr>
                <w:rFonts w:ascii="Times New Roman" w:hAnsi="Times New Roman" w:cs="Times New Roman"/>
                <w:color w:val="auto"/>
                <w:sz w:val="21"/>
                <w:lang w:eastAsia="zh-CN"/>
              </w:rPr>
            </w:pPr>
          </w:p>
        </w:tc>
        <w:tc>
          <w:tcPr>
            <w:tcW w:w="1937" w:type="pct"/>
            <w:vMerge w:val="restart"/>
            <w:vAlign w:val="center"/>
          </w:tcPr>
          <w:p w14:paraId="079E24C3">
            <w:pPr>
              <w:widowControl w:val="0"/>
              <w:adjustRightInd w:val="0"/>
              <w:snapToGrid w:val="0"/>
              <w:jc w:val="center"/>
              <w:rPr>
                <w:rFonts w:ascii="Times New Roman" w:hAnsi="Times New Roman" w:cs="Times New Roman"/>
                <w:color w:val="auto"/>
                <w:sz w:val="21"/>
                <w:lang w:eastAsia="zh-CN"/>
              </w:rPr>
            </w:pPr>
          </w:p>
        </w:tc>
      </w:tr>
      <w:tr w14:paraId="22A0743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497" w:type="pct"/>
            <w:vMerge w:val="continue"/>
            <w:vAlign w:val="center"/>
          </w:tcPr>
          <w:p w14:paraId="4B8FA449">
            <w:pPr>
              <w:widowControl w:val="0"/>
              <w:adjustRightInd w:val="0"/>
              <w:snapToGrid w:val="0"/>
              <w:jc w:val="center"/>
              <w:rPr>
                <w:rFonts w:ascii="Times New Roman" w:hAnsi="Times New Roman" w:cs="Times New Roman"/>
                <w:color w:val="auto"/>
                <w:sz w:val="21"/>
                <w:lang w:eastAsia="zh-CN"/>
              </w:rPr>
            </w:pPr>
          </w:p>
        </w:tc>
        <w:tc>
          <w:tcPr>
            <w:tcW w:w="543" w:type="pct"/>
            <w:vAlign w:val="center"/>
          </w:tcPr>
          <w:p w14:paraId="609E5F42">
            <w:pPr>
              <w:widowControl w:val="0"/>
              <w:adjustRightInd w:val="0"/>
              <w:snapToGrid w:val="0"/>
              <w:jc w:val="center"/>
              <w:rPr>
                <w:rFonts w:ascii="Times New Roman" w:hAnsi="Times New Roman" w:cs="Times New Roman"/>
                <w:color w:val="auto"/>
                <w:sz w:val="21"/>
                <w:vertAlign w:val="subscript"/>
                <w:lang w:eastAsia="zh-CN"/>
              </w:rPr>
            </w:pPr>
          </w:p>
        </w:tc>
        <w:tc>
          <w:tcPr>
            <w:tcW w:w="923" w:type="pct"/>
            <w:vAlign w:val="center"/>
          </w:tcPr>
          <w:p w14:paraId="36B93F8B">
            <w:pPr>
              <w:widowControl w:val="0"/>
              <w:adjustRightInd w:val="0"/>
              <w:snapToGrid w:val="0"/>
              <w:jc w:val="center"/>
              <w:rPr>
                <w:rFonts w:ascii="Times New Roman" w:hAnsi="Times New Roman" w:cs="Times New Roman"/>
                <w:color w:val="auto"/>
                <w:sz w:val="21"/>
                <w:lang w:eastAsia="zh-CN"/>
              </w:rPr>
            </w:pPr>
          </w:p>
        </w:tc>
        <w:tc>
          <w:tcPr>
            <w:tcW w:w="1100" w:type="pct"/>
            <w:vAlign w:val="center"/>
          </w:tcPr>
          <w:p w14:paraId="7BC785CB">
            <w:pPr>
              <w:widowControl w:val="0"/>
              <w:adjustRightInd w:val="0"/>
              <w:snapToGrid w:val="0"/>
              <w:jc w:val="center"/>
              <w:rPr>
                <w:rFonts w:ascii="Times New Roman" w:hAnsi="Times New Roman" w:cs="Times New Roman"/>
                <w:color w:val="auto"/>
                <w:sz w:val="21"/>
                <w:lang w:eastAsia="zh-CN"/>
              </w:rPr>
            </w:pPr>
          </w:p>
        </w:tc>
        <w:tc>
          <w:tcPr>
            <w:tcW w:w="1937" w:type="pct"/>
            <w:vMerge w:val="continue"/>
            <w:vAlign w:val="center"/>
          </w:tcPr>
          <w:p w14:paraId="3064B5D5">
            <w:pPr>
              <w:widowControl w:val="0"/>
              <w:adjustRightInd w:val="0"/>
              <w:snapToGrid w:val="0"/>
              <w:jc w:val="center"/>
              <w:rPr>
                <w:rFonts w:ascii="Times New Roman" w:hAnsi="Times New Roman" w:cs="Times New Roman"/>
                <w:color w:val="auto"/>
                <w:kern w:val="2"/>
                <w:sz w:val="21"/>
                <w:lang w:eastAsia="zh-CN"/>
              </w:rPr>
            </w:pPr>
          </w:p>
        </w:tc>
      </w:tr>
      <w:tr w14:paraId="5A46C7E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497" w:type="pct"/>
            <w:vMerge w:val="continue"/>
            <w:vAlign w:val="center"/>
          </w:tcPr>
          <w:p w14:paraId="0098030F">
            <w:pPr>
              <w:widowControl w:val="0"/>
              <w:adjustRightInd w:val="0"/>
              <w:snapToGrid w:val="0"/>
              <w:jc w:val="center"/>
              <w:rPr>
                <w:rFonts w:ascii="Times New Roman" w:hAnsi="Times New Roman" w:cs="Times New Roman"/>
                <w:color w:val="auto"/>
                <w:sz w:val="21"/>
                <w:lang w:eastAsia="zh-CN"/>
              </w:rPr>
            </w:pPr>
          </w:p>
        </w:tc>
        <w:tc>
          <w:tcPr>
            <w:tcW w:w="543" w:type="pct"/>
            <w:vAlign w:val="center"/>
          </w:tcPr>
          <w:p w14:paraId="62BA0115">
            <w:pPr>
              <w:widowControl w:val="0"/>
              <w:adjustRightInd w:val="0"/>
              <w:snapToGrid w:val="0"/>
              <w:jc w:val="center"/>
              <w:rPr>
                <w:rFonts w:ascii="Times New Roman" w:hAnsi="Times New Roman" w:cs="Times New Roman"/>
                <w:color w:val="auto"/>
                <w:sz w:val="21"/>
                <w:lang w:eastAsia="zh-CN"/>
              </w:rPr>
            </w:pPr>
          </w:p>
        </w:tc>
        <w:tc>
          <w:tcPr>
            <w:tcW w:w="923" w:type="pct"/>
            <w:vAlign w:val="center"/>
          </w:tcPr>
          <w:p w14:paraId="14C86A09">
            <w:pPr>
              <w:widowControl w:val="0"/>
              <w:adjustRightInd w:val="0"/>
              <w:snapToGrid w:val="0"/>
              <w:jc w:val="center"/>
              <w:rPr>
                <w:rFonts w:ascii="Times New Roman" w:hAnsi="Times New Roman" w:cs="Times New Roman"/>
                <w:color w:val="auto"/>
                <w:sz w:val="21"/>
                <w:lang w:eastAsia="zh-CN"/>
              </w:rPr>
            </w:pPr>
          </w:p>
        </w:tc>
        <w:tc>
          <w:tcPr>
            <w:tcW w:w="1100" w:type="pct"/>
            <w:vAlign w:val="center"/>
          </w:tcPr>
          <w:p w14:paraId="67988D52">
            <w:pPr>
              <w:widowControl w:val="0"/>
              <w:adjustRightInd w:val="0"/>
              <w:snapToGrid w:val="0"/>
              <w:jc w:val="center"/>
              <w:rPr>
                <w:rFonts w:ascii="Times New Roman" w:hAnsi="Times New Roman" w:cs="Times New Roman"/>
                <w:color w:val="auto"/>
                <w:sz w:val="21"/>
                <w:lang w:eastAsia="zh-CN"/>
              </w:rPr>
            </w:pPr>
          </w:p>
        </w:tc>
        <w:tc>
          <w:tcPr>
            <w:tcW w:w="1937" w:type="pct"/>
            <w:vMerge w:val="continue"/>
            <w:vAlign w:val="center"/>
          </w:tcPr>
          <w:p w14:paraId="62726984">
            <w:pPr>
              <w:widowControl w:val="0"/>
              <w:adjustRightInd w:val="0"/>
              <w:snapToGrid w:val="0"/>
              <w:jc w:val="center"/>
              <w:rPr>
                <w:rFonts w:ascii="Times New Roman" w:hAnsi="Times New Roman" w:cs="Times New Roman"/>
                <w:color w:val="auto"/>
                <w:kern w:val="2"/>
                <w:sz w:val="21"/>
                <w:lang w:eastAsia="zh-CN"/>
              </w:rPr>
            </w:pPr>
          </w:p>
        </w:tc>
      </w:tr>
      <w:tr w14:paraId="3FF5643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497" w:type="pct"/>
            <w:vMerge w:val="continue"/>
            <w:vAlign w:val="center"/>
          </w:tcPr>
          <w:p w14:paraId="6870497A">
            <w:pPr>
              <w:widowControl w:val="0"/>
              <w:adjustRightInd w:val="0"/>
              <w:snapToGrid w:val="0"/>
              <w:jc w:val="center"/>
              <w:rPr>
                <w:rFonts w:ascii="Times New Roman" w:hAnsi="Times New Roman" w:cs="Times New Roman"/>
                <w:color w:val="auto"/>
                <w:sz w:val="21"/>
                <w:lang w:eastAsia="zh-CN"/>
              </w:rPr>
            </w:pPr>
          </w:p>
        </w:tc>
        <w:tc>
          <w:tcPr>
            <w:tcW w:w="543" w:type="pct"/>
            <w:vAlign w:val="center"/>
          </w:tcPr>
          <w:p w14:paraId="36BFB59F">
            <w:pPr>
              <w:widowControl w:val="0"/>
              <w:adjustRightInd w:val="0"/>
              <w:snapToGrid w:val="0"/>
              <w:jc w:val="center"/>
              <w:rPr>
                <w:rFonts w:ascii="Times New Roman" w:hAnsi="Times New Roman" w:cs="Times New Roman"/>
                <w:color w:val="auto"/>
                <w:sz w:val="21"/>
                <w:lang w:eastAsia="zh-CN"/>
              </w:rPr>
            </w:pPr>
          </w:p>
        </w:tc>
        <w:tc>
          <w:tcPr>
            <w:tcW w:w="923" w:type="pct"/>
            <w:vAlign w:val="center"/>
          </w:tcPr>
          <w:p w14:paraId="73A7689B">
            <w:pPr>
              <w:widowControl w:val="0"/>
              <w:adjustRightInd w:val="0"/>
              <w:snapToGrid w:val="0"/>
              <w:jc w:val="center"/>
              <w:rPr>
                <w:rFonts w:ascii="Times New Roman" w:hAnsi="Times New Roman" w:cs="Times New Roman"/>
                <w:color w:val="auto"/>
                <w:sz w:val="21"/>
                <w:lang w:eastAsia="zh-CN"/>
              </w:rPr>
            </w:pPr>
          </w:p>
        </w:tc>
        <w:tc>
          <w:tcPr>
            <w:tcW w:w="1100" w:type="pct"/>
            <w:vAlign w:val="center"/>
          </w:tcPr>
          <w:p w14:paraId="7864E5F6">
            <w:pPr>
              <w:widowControl w:val="0"/>
              <w:adjustRightInd w:val="0"/>
              <w:snapToGrid w:val="0"/>
              <w:jc w:val="center"/>
              <w:rPr>
                <w:rFonts w:ascii="Times New Roman" w:hAnsi="Times New Roman" w:cs="Times New Roman"/>
                <w:color w:val="auto"/>
                <w:sz w:val="21"/>
                <w:lang w:eastAsia="zh-CN"/>
              </w:rPr>
            </w:pPr>
          </w:p>
        </w:tc>
        <w:tc>
          <w:tcPr>
            <w:tcW w:w="1937" w:type="pct"/>
            <w:vMerge w:val="continue"/>
            <w:vAlign w:val="center"/>
          </w:tcPr>
          <w:p w14:paraId="51D6FEAF">
            <w:pPr>
              <w:widowControl w:val="0"/>
              <w:adjustRightInd w:val="0"/>
              <w:snapToGrid w:val="0"/>
              <w:jc w:val="center"/>
              <w:rPr>
                <w:rFonts w:ascii="Times New Roman" w:hAnsi="Times New Roman" w:cs="Times New Roman"/>
                <w:color w:val="auto"/>
                <w:kern w:val="2"/>
                <w:sz w:val="21"/>
                <w:lang w:eastAsia="zh-CN"/>
              </w:rPr>
            </w:pPr>
          </w:p>
        </w:tc>
      </w:tr>
      <w:tr w14:paraId="6D54E10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497" w:type="pct"/>
            <w:vMerge w:val="continue"/>
            <w:vAlign w:val="center"/>
          </w:tcPr>
          <w:p w14:paraId="4411F68F">
            <w:pPr>
              <w:widowControl w:val="0"/>
              <w:adjustRightInd w:val="0"/>
              <w:snapToGrid w:val="0"/>
              <w:jc w:val="center"/>
              <w:rPr>
                <w:rFonts w:ascii="Times New Roman" w:hAnsi="Times New Roman" w:cs="Times New Roman"/>
                <w:color w:val="auto"/>
                <w:sz w:val="21"/>
                <w:lang w:eastAsia="zh-CN"/>
              </w:rPr>
            </w:pPr>
          </w:p>
        </w:tc>
        <w:tc>
          <w:tcPr>
            <w:tcW w:w="543" w:type="pct"/>
            <w:vAlign w:val="center"/>
          </w:tcPr>
          <w:p w14:paraId="002C935C">
            <w:pPr>
              <w:widowControl w:val="0"/>
              <w:adjustRightInd w:val="0"/>
              <w:snapToGrid w:val="0"/>
              <w:jc w:val="center"/>
              <w:rPr>
                <w:rFonts w:ascii="Times New Roman" w:hAnsi="Times New Roman" w:cs="Times New Roman"/>
                <w:color w:val="auto"/>
                <w:sz w:val="21"/>
                <w:lang w:eastAsia="zh-CN"/>
              </w:rPr>
            </w:pPr>
          </w:p>
        </w:tc>
        <w:tc>
          <w:tcPr>
            <w:tcW w:w="923" w:type="pct"/>
            <w:vAlign w:val="center"/>
          </w:tcPr>
          <w:p w14:paraId="491DE7DE">
            <w:pPr>
              <w:widowControl w:val="0"/>
              <w:adjustRightInd w:val="0"/>
              <w:snapToGrid w:val="0"/>
              <w:jc w:val="center"/>
              <w:rPr>
                <w:rFonts w:ascii="Times New Roman" w:hAnsi="Times New Roman" w:cs="Times New Roman"/>
                <w:color w:val="auto"/>
                <w:sz w:val="21"/>
                <w:lang w:eastAsia="zh-CN"/>
              </w:rPr>
            </w:pPr>
          </w:p>
        </w:tc>
        <w:tc>
          <w:tcPr>
            <w:tcW w:w="1100" w:type="pct"/>
            <w:vAlign w:val="center"/>
          </w:tcPr>
          <w:p w14:paraId="1B551960">
            <w:pPr>
              <w:widowControl w:val="0"/>
              <w:adjustRightInd w:val="0"/>
              <w:snapToGrid w:val="0"/>
              <w:jc w:val="center"/>
              <w:rPr>
                <w:rFonts w:ascii="Times New Roman" w:hAnsi="Times New Roman" w:cs="Times New Roman"/>
                <w:color w:val="auto"/>
                <w:sz w:val="21"/>
                <w:lang w:eastAsia="zh-CN"/>
              </w:rPr>
            </w:pPr>
          </w:p>
        </w:tc>
        <w:tc>
          <w:tcPr>
            <w:tcW w:w="1937" w:type="pct"/>
            <w:vMerge w:val="continue"/>
            <w:vAlign w:val="center"/>
          </w:tcPr>
          <w:p w14:paraId="2ABB450E">
            <w:pPr>
              <w:widowControl w:val="0"/>
              <w:adjustRightInd w:val="0"/>
              <w:snapToGrid w:val="0"/>
              <w:jc w:val="center"/>
              <w:rPr>
                <w:rFonts w:ascii="Times New Roman" w:hAnsi="Times New Roman" w:cs="Times New Roman"/>
                <w:color w:val="auto"/>
                <w:sz w:val="21"/>
                <w:lang w:eastAsia="zh-CN"/>
              </w:rPr>
            </w:pPr>
          </w:p>
        </w:tc>
      </w:tr>
      <w:tr w14:paraId="49F8829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497" w:type="pct"/>
            <w:vMerge w:val="continue"/>
            <w:vAlign w:val="center"/>
          </w:tcPr>
          <w:p w14:paraId="6C48E908">
            <w:pPr>
              <w:widowControl w:val="0"/>
              <w:adjustRightInd w:val="0"/>
              <w:snapToGrid w:val="0"/>
              <w:jc w:val="center"/>
              <w:rPr>
                <w:rFonts w:ascii="Times New Roman" w:hAnsi="Times New Roman" w:cs="Times New Roman"/>
                <w:color w:val="auto"/>
                <w:sz w:val="21"/>
                <w:lang w:eastAsia="zh-CN"/>
              </w:rPr>
            </w:pPr>
          </w:p>
        </w:tc>
        <w:tc>
          <w:tcPr>
            <w:tcW w:w="543" w:type="pct"/>
            <w:vAlign w:val="center"/>
          </w:tcPr>
          <w:p w14:paraId="4420D9E8">
            <w:pPr>
              <w:widowControl w:val="0"/>
              <w:adjustRightInd w:val="0"/>
              <w:snapToGrid w:val="0"/>
              <w:jc w:val="center"/>
              <w:rPr>
                <w:rFonts w:ascii="Times New Roman" w:hAnsi="Times New Roman" w:cs="Times New Roman"/>
                <w:color w:val="auto"/>
                <w:sz w:val="21"/>
                <w:lang w:eastAsia="zh-CN"/>
              </w:rPr>
            </w:pPr>
          </w:p>
        </w:tc>
        <w:tc>
          <w:tcPr>
            <w:tcW w:w="923" w:type="pct"/>
            <w:vAlign w:val="center"/>
          </w:tcPr>
          <w:p w14:paraId="3B5478D1">
            <w:pPr>
              <w:widowControl w:val="0"/>
              <w:adjustRightInd w:val="0"/>
              <w:snapToGrid w:val="0"/>
              <w:jc w:val="center"/>
              <w:rPr>
                <w:rFonts w:ascii="Times New Roman" w:hAnsi="Times New Roman" w:cs="Times New Roman"/>
                <w:color w:val="auto"/>
                <w:sz w:val="21"/>
                <w:lang w:eastAsia="zh-CN"/>
              </w:rPr>
            </w:pPr>
          </w:p>
        </w:tc>
        <w:tc>
          <w:tcPr>
            <w:tcW w:w="1100" w:type="pct"/>
            <w:vAlign w:val="center"/>
          </w:tcPr>
          <w:p w14:paraId="32ABB41B">
            <w:pPr>
              <w:widowControl w:val="0"/>
              <w:adjustRightInd w:val="0"/>
              <w:snapToGrid w:val="0"/>
              <w:jc w:val="center"/>
              <w:rPr>
                <w:rFonts w:ascii="Times New Roman" w:hAnsi="Times New Roman" w:cs="Times New Roman"/>
                <w:color w:val="auto"/>
                <w:sz w:val="21"/>
                <w:lang w:eastAsia="zh-CN"/>
              </w:rPr>
            </w:pPr>
          </w:p>
        </w:tc>
        <w:tc>
          <w:tcPr>
            <w:tcW w:w="1937" w:type="pct"/>
            <w:vAlign w:val="center"/>
          </w:tcPr>
          <w:p w14:paraId="002942E9">
            <w:pPr>
              <w:widowControl w:val="0"/>
              <w:adjustRightInd w:val="0"/>
              <w:snapToGrid w:val="0"/>
              <w:jc w:val="center"/>
              <w:rPr>
                <w:rFonts w:ascii="Times New Roman" w:hAnsi="Times New Roman" w:cs="Times New Roman"/>
                <w:color w:val="auto"/>
                <w:sz w:val="21"/>
                <w:lang w:eastAsia="zh-CN"/>
              </w:rPr>
            </w:pPr>
          </w:p>
        </w:tc>
      </w:tr>
      <w:tr w14:paraId="3E95360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497" w:type="pct"/>
            <w:vMerge w:val="restart"/>
            <w:vAlign w:val="center"/>
          </w:tcPr>
          <w:p w14:paraId="5DFA92AF">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化学纯氢氟酸及刻蚀液生产装置</w:t>
            </w:r>
          </w:p>
        </w:tc>
        <w:tc>
          <w:tcPr>
            <w:tcW w:w="543" w:type="pct"/>
            <w:vAlign w:val="center"/>
          </w:tcPr>
          <w:p w14:paraId="70DA21AE">
            <w:pPr>
              <w:widowControl w:val="0"/>
              <w:adjustRightInd w:val="0"/>
              <w:snapToGrid w:val="0"/>
              <w:jc w:val="center"/>
              <w:rPr>
                <w:rFonts w:ascii="Times New Roman" w:hAnsi="Times New Roman" w:cs="Times New Roman"/>
                <w:color w:val="auto"/>
                <w:sz w:val="21"/>
                <w:lang w:eastAsia="zh-CN"/>
              </w:rPr>
            </w:pPr>
          </w:p>
        </w:tc>
        <w:tc>
          <w:tcPr>
            <w:tcW w:w="923" w:type="pct"/>
            <w:vAlign w:val="center"/>
          </w:tcPr>
          <w:p w14:paraId="7B4B15CE">
            <w:pPr>
              <w:widowControl w:val="0"/>
              <w:adjustRightInd w:val="0"/>
              <w:snapToGrid w:val="0"/>
              <w:jc w:val="center"/>
              <w:rPr>
                <w:rFonts w:ascii="Times New Roman" w:hAnsi="Times New Roman" w:cs="Times New Roman"/>
                <w:color w:val="auto"/>
                <w:sz w:val="21"/>
                <w:lang w:eastAsia="zh-CN"/>
              </w:rPr>
            </w:pPr>
          </w:p>
        </w:tc>
        <w:tc>
          <w:tcPr>
            <w:tcW w:w="1100" w:type="pct"/>
            <w:vAlign w:val="center"/>
          </w:tcPr>
          <w:p w14:paraId="0A907AF2">
            <w:pPr>
              <w:widowControl w:val="0"/>
              <w:adjustRightInd w:val="0"/>
              <w:snapToGrid w:val="0"/>
              <w:jc w:val="center"/>
              <w:rPr>
                <w:rFonts w:ascii="Times New Roman" w:hAnsi="Times New Roman" w:cs="Times New Roman"/>
                <w:color w:val="auto"/>
                <w:sz w:val="21"/>
                <w:lang w:eastAsia="zh-CN"/>
              </w:rPr>
            </w:pPr>
          </w:p>
        </w:tc>
        <w:tc>
          <w:tcPr>
            <w:tcW w:w="1937" w:type="pct"/>
            <w:vMerge w:val="restart"/>
            <w:vAlign w:val="center"/>
          </w:tcPr>
          <w:p w14:paraId="63C95A2C">
            <w:pPr>
              <w:widowControl w:val="0"/>
              <w:adjustRightInd w:val="0"/>
              <w:snapToGrid w:val="0"/>
              <w:jc w:val="center"/>
              <w:rPr>
                <w:rFonts w:ascii="Times New Roman" w:hAnsi="Times New Roman" w:cs="Times New Roman"/>
                <w:color w:val="auto"/>
                <w:sz w:val="21"/>
                <w:lang w:eastAsia="zh-CN"/>
              </w:rPr>
            </w:pPr>
          </w:p>
        </w:tc>
      </w:tr>
      <w:tr w14:paraId="143908A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497" w:type="pct"/>
            <w:vMerge w:val="continue"/>
            <w:vAlign w:val="center"/>
          </w:tcPr>
          <w:p w14:paraId="40C4E4BA">
            <w:pPr>
              <w:widowControl w:val="0"/>
              <w:adjustRightInd w:val="0"/>
              <w:snapToGrid w:val="0"/>
              <w:jc w:val="center"/>
              <w:rPr>
                <w:rFonts w:ascii="Times New Roman" w:hAnsi="Times New Roman" w:cs="Times New Roman"/>
                <w:color w:val="auto"/>
                <w:sz w:val="21"/>
                <w:lang w:eastAsia="zh-CN"/>
              </w:rPr>
            </w:pPr>
          </w:p>
        </w:tc>
        <w:tc>
          <w:tcPr>
            <w:tcW w:w="543" w:type="pct"/>
            <w:vAlign w:val="center"/>
          </w:tcPr>
          <w:p w14:paraId="5C878F48">
            <w:pPr>
              <w:widowControl w:val="0"/>
              <w:adjustRightInd w:val="0"/>
              <w:snapToGrid w:val="0"/>
              <w:jc w:val="center"/>
              <w:rPr>
                <w:rFonts w:ascii="Times New Roman" w:hAnsi="Times New Roman" w:cs="Times New Roman"/>
                <w:color w:val="auto"/>
                <w:sz w:val="21"/>
                <w:lang w:eastAsia="zh-CN"/>
              </w:rPr>
            </w:pPr>
          </w:p>
        </w:tc>
        <w:tc>
          <w:tcPr>
            <w:tcW w:w="923" w:type="pct"/>
            <w:vAlign w:val="center"/>
          </w:tcPr>
          <w:p w14:paraId="5790A395">
            <w:pPr>
              <w:widowControl w:val="0"/>
              <w:adjustRightInd w:val="0"/>
              <w:snapToGrid w:val="0"/>
              <w:jc w:val="center"/>
              <w:rPr>
                <w:rFonts w:ascii="Times New Roman" w:hAnsi="Times New Roman" w:cs="Times New Roman"/>
                <w:color w:val="auto"/>
                <w:sz w:val="21"/>
                <w:lang w:eastAsia="zh-CN"/>
              </w:rPr>
            </w:pPr>
          </w:p>
        </w:tc>
        <w:tc>
          <w:tcPr>
            <w:tcW w:w="1100" w:type="pct"/>
            <w:vAlign w:val="center"/>
          </w:tcPr>
          <w:p w14:paraId="62E07094">
            <w:pPr>
              <w:widowControl w:val="0"/>
              <w:adjustRightInd w:val="0"/>
              <w:snapToGrid w:val="0"/>
              <w:jc w:val="center"/>
              <w:rPr>
                <w:rFonts w:ascii="Times New Roman" w:hAnsi="Times New Roman" w:cs="Times New Roman"/>
                <w:color w:val="auto"/>
                <w:sz w:val="21"/>
                <w:lang w:eastAsia="zh-CN"/>
              </w:rPr>
            </w:pPr>
          </w:p>
        </w:tc>
        <w:tc>
          <w:tcPr>
            <w:tcW w:w="1937" w:type="pct"/>
            <w:vMerge w:val="continue"/>
            <w:vAlign w:val="center"/>
          </w:tcPr>
          <w:p w14:paraId="574BDBB8">
            <w:pPr>
              <w:widowControl w:val="0"/>
              <w:adjustRightInd w:val="0"/>
              <w:snapToGrid w:val="0"/>
              <w:jc w:val="center"/>
              <w:rPr>
                <w:rFonts w:ascii="Times New Roman" w:hAnsi="Times New Roman" w:cs="Times New Roman"/>
                <w:color w:val="auto"/>
                <w:sz w:val="21"/>
                <w:lang w:eastAsia="zh-CN"/>
              </w:rPr>
            </w:pPr>
          </w:p>
        </w:tc>
      </w:tr>
      <w:tr w14:paraId="20504D1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497" w:type="pct"/>
            <w:vMerge w:val="continue"/>
            <w:vAlign w:val="center"/>
          </w:tcPr>
          <w:p w14:paraId="11FC807B">
            <w:pPr>
              <w:widowControl w:val="0"/>
              <w:adjustRightInd w:val="0"/>
              <w:snapToGrid w:val="0"/>
              <w:jc w:val="center"/>
              <w:rPr>
                <w:rFonts w:ascii="Times New Roman" w:hAnsi="Times New Roman" w:cs="Times New Roman"/>
                <w:color w:val="auto"/>
                <w:sz w:val="21"/>
                <w:lang w:eastAsia="zh-CN"/>
              </w:rPr>
            </w:pPr>
          </w:p>
        </w:tc>
        <w:tc>
          <w:tcPr>
            <w:tcW w:w="543" w:type="pct"/>
            <w:vAlign w:val="center"/>
          </w:tcPr>
          <w:p w14:paraId="1ED99832">
            <w:pPr>
              <w:widowControl w:val="0"/>
              <w:adjustRightInd w:val="0"/>
              <w:snapToGrid w:val="0"/>
              <w:jc w:val="center"/>
              <w:rPr>
                <w:rFonts w:ascii="Times New Roman" w:hAnsi="Times New Roman" w:cs="Times New Roman"/>
                <w:color w:val="auto"/>
                <w:sz w:val="21"/>
                <w:lang w:eastAsia="zh-CN"/>
              </w:rPr>
            </w:pPr>
          </w:p>
        </w:tc>
        <w:tc>
          <w:tcPr>
            <w:tcW w:w="923" w:type="pct"/>
            <w:vAlign w:val="center"/>
          </w:tcPr>
          <w:p w14:paraId="1CB081C5">
            <w:pPr>
              <w:widowControl w:val="0"/>
              <w:adjustRightInd w:val="0"/>
              <w:snapToGrid w:val="0"/>
              <w:jc w:val="center"/>
              <w:rPr>
                <w:rFonts w:ascii="Times New Roman" w:hAnsi="Times New Roman" w:cs="Times New Roman"/>
                <w:color w:val="auto"/>
                <w:sz w:val="21"/>
                <w:lang w:eastAsia="zh-CN"/>
              </w:rPr>
            </w:pPr>
          </w:p>
        </w:tc>
        <w:tc>
          <w:tcPr>
            <w:tcW w:w="1100" w:type="pct"/>
            <w:vAlign w:val="center"/>
          </w:tcPr>
          <w:p w14:paraId="3A6F209C">
            <w:pPr>
              <w:widowControl w:val="0"/>
              <w:adjustRightInd w:val="0"/>
              <w:snapToGrid w:val="0"/>
              <w:jc w:val="center"/>
              <w:rPr>
                <w:rFonts w:ascii="Times New Roman" w:hAnsi="Times New Roman" w:cs="Times New Roman"/>
                <w:color w:val="auto"/>
                <w:sz w:val="21"/>
                <w:lang w:eastAsia="zh-CN"/>
              </w:rPr>
            </w:pPr>
          </w:p>
        </w:tc>
        <w:tc>
          <w:tcPr>
            <w:tcW w:w="1937" w:type="pct"/>
            <w:vMerge w:val="continue"/>
            <w:vAlign w:val="center"/>
          </w:tcPr>
          <w:p w14:paraId="5442C36F">
            <w:pPr>
              <w:widowControl w:val="0"/>
              <w:adjustRightInd w:val="0"/>
              <w:snapToGrid w:val="0"/>
              <w:jc w:val="center"/>
              <w:rPr>
                <w:rFonts w:ascii="Times New Roman" w:hAnsi="Times New Roman" w:cs="Times New Roman"/>
                <w:color w:val="auto"/>
                <w:sz w:val="21"/>
                <w:lang w:eastAsia="zh-CN"/>
              </w:rPr>
            </w:pPr>
          </w:p>
        </w:tc>
      </w:tr>
      <w:tr w14:paraId="6B39678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497" w:type="pct"/>
            <w:vMerge w:val="continue"/>
            <w:vAlign w:val="center"/>
          </w:tcPr>
          <w:p w14:paraId="17756453">
            <w:pPr>
              <w:widowControl w:val="0"/>
              <w:adjustRightInd w:val="0"/>
              <w:snapToGrid w:val="0"/>
              <w:jc w:val="center"/>
              <w:rPr>
                <w:rFonts w:ascii="Times New Roman" w:hAnsi="Times New Roman" w:cs="Times New Roman"/>
                <w:color w:val="auto"/>
                <w:sz w:val="21"/>
                <w:lang w:eastAsia="zh-CN"/>
              </w:rPr>
            </w:pPr>
          </w:p>
        </w:tc>
        <w:tc>
          <w:tcPr>
            <w:tcW w:w="543" w:type="pct"/>
            <w:vAlign w:val="center"/>
          </w:tcPr>
          <w:p w14:paraId="0D968412">
            <w:pPr>
              <w:widowControl w:val="0"/>
              <w:adjustRightInd w:val="0"/>
              <w:snapToGrid w:val="0"/>
              <w:jc w:val="center"/>
              <w:rPr>
                <w:rFonts w:ascii="Times New Roman" w:hAnsi="Times New Roman" w:cs="Times New Roman"/>
                <w:color w:val="auto"/>
                <w:sz w:val="21"/>
                <w:lang w:eastAsia="zh-CN"/>
              </w:rPr>
            </w:pPr>
          </w:p>
        </w:tc>
        <w:tc>
          <w:tcPr>
            <w:tcW w:w="923" w:type="pct"/>
            <w:vAlign w:val="center"/>
          </w:tcPr>
          <w:p w14:paraId="625557B1">
            <w:pPr>
              <w:widowControl w:val="0"/>
              <w:adjustRightInd w:val="0"/>
              <w:snapToGrid w:val="0"/>
              <w:jc w:val="center"/>
              <w:rPr>
                <w:rFonts w:ascii="Times New Roman" w:hAnsi="Times New Roman" w:cs="Times New Roman"/>
                <w:color w:val="auto"/>
                <w:sz w:val="21"/>
                <w:lang w:eastAsia="zh-CN"/>
              </w:rPr>
            </w:pPr>
          </w:p>
        </w:tc>
        <w:tc>
          <w:tcPr>
            <w:tcW w:w="1100" w:type="pct"/>
            <w:vAlign w:val="center"/>
          </w:tcPr>
          <w:p w14:paraId="7F120121">
            <w:pPr>
              <w:widowControl w:val="0"/>
              <w:adjustRightInd w:val="0"/>
              <w:snapToGrid w:val="0"/>
              <w:jc w:val="center"/>
              <w:rPr>
                <w:rFonts w:ascii="Times New Roman" w:hAnsi="Times New Roman" w:cs="Times New Roman"/>
                <w:color w:val="auto"/>
                <w:sz w:val="21"/>
                <w:lang w:eastAsia="zh-CN"/>
              </w:rPr>
            </w:pPr>
          </w:p>
        </w:tc>
        <w:tc>
          <w:tcPr>
            <w:tcW w:w="1937" w:type="pct"/>
            <w:vMerge w:val="continue"/>
            <w:vAlign w:val="center"/>
          </w:tcPr>
          <w:p w14:paraId="70C25B67">
            <w:pPr>
              <w:widowControl w:val="0"/>
              <w:adjustRightInd w:val="0"/>
              <w:snapToGrid w:val="0"/>
              <w:jc w:val="center"/>
              <w:rPr>
                <w:rFonts w:ascii="Times New Roman" w:hAnsi="Times New Roman" w:cs="Times New Roman"/>
                <w:color w:val="auto"/>
                <w:sz w:val="21"/>
                <w:lang w:eastAsia="zh-CN"/>
              </w:rPr>
            </w:pPr>
          </w:p>
        </w:tc>
      </w:tr>
    </w:tbl>
    <w:p w14:paraId="560E54AB">
      <w:pPr>
        <w:pStyle w:val="19"/>
        <w:adjustRightInd w:val="0"/>
        <w:snapToGrid w:val="0"/>
        <w:spacing w:after="0" w:line="360" w:lineRule="auto"/>
        <w:ind w:left="0" w:leftChars="0" w:firstLine="482" w:firstLineChars="200"/>
        <w:jc w:val="both"/>
        <w:rPr>
          <w:rFonts w:ascii="Times New Roman" w:hAnsi="Times New Roman" w:cs="Times New Roman"/>
          <w:b/>
          <w:bCs/>
          <w:color w:val="auto"/>
          <w:szCs w:val="24"/>
          <w:lang w:eastAsia="zh-CN"/>
        </w:rPr>
      </w:pPr>
      <w:r>
        <w:rPr>
          <w:rFonts w:hint="eastAsia" w:ascii="Times New Roman" w:hAnsi="Times New Roman" w:cs="Times New Roman"/>
          <w:b/>
          <w:bCs/>
          <w:color w:val="auto"/>
          <w:szCs w:val="24"/>
          <w:lang w:eastAsia="zh-CN"/>
        </w:rPr>
        <w:t>2、现有工程废气达标排放情况</w:t>
      </w:r>
    </w:p>
    <w:p w14:paraId="607966DF">
      <w:pPr>
        <w:widowControl w:val="0"/>
        <w:adjustRightInd w:val="0"/>
        <w:snapToGrid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根据建设单位于2026年7月15日委托对厂区DA001排气筒废气以及无组织废气进行监测，现有工程废气达标情况详见下表</w:t>
      </w:r>
      <w:r>
        <w:rPr>
          <w:rFonts w:ascii="Times New Roman" w:hAnsi="Times New Roman" w:cs="Times New Roman"/>
          <w:color w:val="auto"/>
          <w:szCs w:val="24"/>
          <w:lang w:eastAsia="zh-CN"/>
        </w:rPr>
        <w:t>。</w:t>
      </w:r>
    </w:p>
    <w:p w14:paraId="2B9716BE">
      <w:pPr>
        <w:adjustRightInd w:val="0"/>
        <w:snapToGrid w:val="0"/>
        <w:spacing w:line="360" w:lineRule="auto"/>
        <w:jc w:val="center"/>
        <w:rPr>
          <w:rFonts w:ascii="Times New Roman" w:hAnsi="Times New Roman" w:cs="Times New Roman"/>
          <w:b/>
          <w:bCs/>
          <w:vertAlign w:val="superscript"/>
          <w:lang w:eastAsia="zh-CN"/>
        </w:rPr>
      </w:pPr>
      <w:r>
        <w:rPr>
          <w:rFonts w:ascii="Times New Roman" w:hAnsi="Times New Roman" w:cs="Times New Roman"/>
          <w:b/>
          <w:bCs/>
          <w:lang w:eastAsia="zh-CN"/>
        </w:rPr>
        <w:t>表3.</w:t>
      </w:r>
      <w:r>
        <w:rPr>
          <w:rFonts w:hint="eastAsia" w:ascii="Times New Roman" w:hAnsi="Times New Roman" w:cs="Times New Roman"/>
          <w:b/>
          <w:bCs/>
          <w:lang w:eastAsia="zh-CN"/>
        </w:rPr>
        <w:t>2</w:t>
      </w:r>
      <w:r>
        <w:rPr>
          <w:rFonts w:ascii="Times New Roman" w:hAnsi="Times New Roman" w:cs="Times New Roman"/>
          <w:b/>
          <w:bCs/>
          <w:lang w:eastAsia="zh-CN"/>
        </w:rPr>
        <w:t>-</w:t>
      </w:r>
      <w:r>
        <w:rPr>
          <w:rFonts w:hint="eastAsia" w:ascii="Times New Roman" w:hAnsi="Times New Roman" w:cs="Times New Roman"/>
          <w:b/>
          <w:bCs/>
          <w:lang w:eastAsia="zh-CN"/>
        </w:rPr>
        <w:t>2</w:t>
      </w:r>
      <w:r>
        <w:rPr>
          <w:rFonts w:ascii="Times New Roman" w:hAnsi="Times New Roman" w:cs="Times New Roman"/>
          <w:b/>
          <w:bCs/>
          <w:lang w:eastAsia="zh-CN"/>
        </w:rPr>
        <w:t xml:space="preserve"> </w:t>
      </w:r>
      <w:r>
        <w:rPr>
          <w:rFonts w:hint="eastAsia" w:ascii="Times New Roman" w:hAnsi="Times New Roman" w:cs="Times New Roman"/>
          <w:b/>
          <w:bCs/>
          <w:lang w:eastAsia="zh-CN"/>
        </w:rPr>
        <w:t>现有工程有组织废气监测结果</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11" w:type="dxa"/>
          <w:left w:w="57" w:type="dxa"/>
          <w:bottom w:w="11" w:type="dxa"/>
          <w:right w:w="57" w:type="dxa"/>
        </w:tblCellMar>
      </w:tblPr>
      <w:tblGrid>
        <w:gridCol w:w="1276"/>
        <w:gridCol w:w="993"/>
        <w:gridCol w:w="991"/>
        <w:gridCol w:w="1274"/>
        <w:gridCol w:w="1190"/>
        <w:gridCol w:w="1323"/>
        <w:gridCol w:w="1404"/>
        <w:gridCol w:w="575"/>
      </w:tblGrid>
      <w:tr w14:paraId="6CBC032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707" w:type="pct"/>
            <w:vMerge w:val="restart"/>
            <w:vAlign w:val="center"/>
          </w:tcPr>
          <w:p w14:paraId="4888F37C">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监测时间</w:t>
            </w:r>
          </w:p>
        </w:tc>
        <w:tc>
          <w:tcPr>
            <w:tcW w:w="550" w:type="pct"/>
            <w:vMerge w:val="restart"/>
            <w:vAlign w:val="center"/>
          </w:tcPr>
          <w:p w14:paraId="48F1BDE7">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排放口</w:t>
            </w:r>
          </w:p>
        </w:tc>
        <w:tc>
          <w:tcPr>
            <w:tcW w:w="549" w:type="pct"/>
            <w:vMerge w:val="restart"/>
            <w:vAlign w:val="center"/>
          </w:tcPr>
          <w:p w14:paraId="7D0F294C">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污染物</w:t>
            </w:r>
          </w:p>
        </w:tc>
        <w:tc>
          <w:tcPr>
            <w:tcW w:w="1365" w:type="pct"/>
            <w:gridSpan w:val="2"/>
            <w:vAlign w:val="center"/>
          </w:tcPr>
          <w:p w14:paraId="49B03568">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监测结果</w:t>
            </w:r>
          </w:p>
        </w:tc>
        <w:tc>
          <w:tcPr>
            <w:tcW w:w="1511" w:type="pct"/>
            <w:gridSpan w:val="2"/>
            <w:vAlign w:val="center"/>
          </w:tcPr>
          <w:p w14:paraId="07FDA6BC">
            <w:pPr>
              <w:widowControl w:val="0"/>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（GB31573-2015）</w:t>
            </w:r>
            <w:r>
              <w:rPr>
                <w:rFonts w:ascii="Times New Roman" w:hAnsi="Times New Roman" w:cs="Times New Roman"/>
                <w:b/>
                <w:bCs/>
                <w:color w:val="auto"/>
                <w:sz w:val="21"/>
                <w:lang w:eastAsia="zh-CN"/>
              </w:rPr>
              <w:t>标准</w:t>
            </w:r>
          </w:p>
        </w:tc>
        <w:tc>
          <w:tcPr>
            <w:tcW w:w="318" w:type="pct"/>
            <w:vMerge w:val="restart"/>
            <w:vAlign w:val="center"/>
          </w:tcPr>
          <w:p w14:paraId="28F22682">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达标情况</w:t>
            </w:r>
          </w:p>
        </w:tc>
      </w:tr>
      <w:tr w14:paraId="48BCB33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707" w:type="pct"/>
            <w:vMerge w:val="continue"/>
            <w:vAlign w:val="center"/>
          </w:tcPr>
          <w:p w14:paraId="18F26CCD">
            <w:pPr>
              <w:widowControl w:val="0"/>
              <w:adjustRightInd w:val="0"/>
              <w:snapToGrid w:val="0"/>
              <w:jc w:val="center"/>
              <w:rPr>
                <w:rFonts w:ascii="Times New Roman" w:hAnsi="Times New Roman" w:cs="Times New Roman"/>
                <w:b/>
                <w:bCs/>
                <w:color w:val="auto"/>
                <w:sz w:val="21"/>
                <w:lang w:eastAsia="zh-CN"/>
              </w:rPr>
            </w:pPr>
          </w:p>
        </w:tc>
        <w:tc>
          <w:tcPr>
            <w:tcW w:w="550" w:type="pct"/>
            <w:vMerge w:val="continue"/>
            <w:vAlign w:val="center"/>
          </w:tcPr>
          <w:p w14:paraId="2744BC8E">
            <w:pPr>
              <w:widowControl w:val="0"/>
              <w:adjustRightInd w:val="0"/>
              <w:snapToGrid w:val="0"/>
              <w:jc w:val="center"/>
              <w:rPr>
                <w:rFonts w:ascii="Times New Roman" w:hAnsi="Times New Roman" w:cs="Times New Roman"/>
                <w:b/>
                <w:bCs/>
                <w:color w:val="auto"/>
                <w:sz w:val="21"/>
                <w:lang w:eastAsia="zh-CN"/>
              </w:rPr>
            </w:pPr>
          </w:p>
        </w:tc>
        <w:tc>
          <w:tcPr>
            <w:tcW w:w="549" w:type="pct"/>
            <w:vMerge w:val="continue"/>
            <w:vAlign w:val="center"/>
          </w:tcPr>
          <w:p w14:paraId="13026363">
            <w:pPr>
              <w:widowControl w:val="0"/>
              <w:adjustRightInd w:val="0"/>
              <w:snapToGrid w:val="0"/>
              <w:jc w:val="center"/>
              <w:rPr>
                <w:rFonts w:ascii="Times New Roman" w:hAnsi="Times New Roman" w:cs="Times New Roman"/>
                <w:b/>
                <w:bCs/>
                <w:color w:val="auto"/>
                <w:sz w:val="21"/>
                <w:lang w:eastAsia="zh-CN"/>
              </w:rPr>
            </w:pPr>
          </w:p>
        </w:tc>
        <w:tc>
          <w:tcPr>
            <w:tcW w:w="706" w:type="pct"/>
            <w:vAlign w:val="center"/>
          </w:tcPr>
          <w:p w14:paraId="5DAB9199">
            <w:pPr>
              <w:widowControl w:val="0"/>
              <w:adjustRightInd w:val="0"/>
              <w:snapToGrid w:val="0"/>
              <w:jc w:val="center"/>
              <w:rPr>
                <w:rFonts w:ascii="Times New Roman" w:hAnsi="Times New Roman" w:cs="Times New Roman"/>
                <w:b/>
                <w:bCs/>
                <w:color w:val="auto"/>
                <w:sz w:val="21"/>
                <w:vertAlign w:val="superscript"/>
                <w:lang w:eastAsia="zh-CN"/>
              </w:rPr>
            </w:pPr>
            <w:r>
              <w:rPr>
                <w:rFonts w:ascii="Times New Roman" w:hAnsi="Times New Roman" w:cs="Times New Roman"/>
                <w:b/>
                <w:bCs/>
                <w:color w:val="auto"/>
                <w:sz w:val="21"/>
                <w:lang w:eastAsia="zh-CN"/>
              </w:rPr>
              <w:t>排放浓度mg/m</w:t>
            </w:r>
            <w:r>
              <w:rPr>
                <w:rFonts w:ascii="Times New Roman" w:hAnsi="Times New Roman" w:cs="Times New Roman"/>
                <w:b/>
                <w:bCs/>
                <w:color w:val="auto"/>
                <w:sz w:val="21"/>
                <w:vertAlign w:val="superscript"/>
                <w:lang w:eastAsia="zh-CN"/>
              </w:rPr>
              <w:t>3</w:t>
            </w:r>
          </w:p>
        </w:tc>
        <w:tc>
          <w:tcPr>
            <w:tcW w:w="659" w:type="pct"/>
            <w:vAlign w:val="center"/>
          </w:tcPr>
          <w:p w14:paraId="19FD831C">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排放速率kg/h</w:t>
            </w:r>
          </w:p>
        </w:tc>
        <w:tc>
          <w:tcPr>
            <w:tcW w:w="733" w:type="pct"/>
            <w:vAlign w:val="center"/>
          </w:tcPr>
          <w:p w14:paraId="2D9B8B8F">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浓度限值mg/m</w:t>
            </w:r>
            <w:r>
              <w:rPr>
                <w:rFonts w:ascii="Times New Roman" w:hAnsi="Times New Roman" w:cs="Times New Roman"/>
                <w:b/>
                <w:bCs/>
                <w:color w:val="auto"/>
                <w:sz w:val="21"/>
                <w:vertAlign w:val="superscript"/>
                <w:lang w:eastAsia="zh-CN"/>
              </w:rPr>
              <w:t>3</w:t>
            </w:r>
          </w:p>
        </w:tc>
        <w:tc>
          <w:tcPr>
            <w:tcW w:w="778" w:type="pct"/>
            <w:vAlign w:val="center"/>
          </w:tcPr>
          <w:p w14:paraId="4345C43E">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速率限值kg/h</w:t>
            </w:r>
          </w:p>
        </w:tc>
        <w:tc>
          <w:tcPr>
            <w:tcW w:w="318" w:type="pct"/>
            <w:vMerge w:val="continue"/>
            <w:vAlign w:val="center"/>
          </w:tcPr>
          <w:p w14:paraId="66864973">
            <w:pPr>
              <w:widowControl w:val="0"/>
              <w:adjustRightInd w:val="0"/>
              <w:snapToGrid w:val="0"/>
              <w:jc w:val="center"/>
              <w:rPr>
                <w:rFonts w:ascii="Times New Roman" w:hAnsi="Times New Roman" w:cs="Times New Roman"/>
                <w:b/>
                <w:bCs/>
                <w:color w:val="auto"/>
                <w:sz w:val="21"/>
                <w:lang w:eastAsia="zh-CN"/>
              </w:rPr>
            </w:pPr>
          </w:p>
        </w:tc>
      </w:tr>
      <w:tr w14:paraId="325CB9A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707" w:type="pct"/>
            <w:vMerge w:val="restart"/>
            <w:vAlign w:val="center"/>
          </w:tcPr>
          <w:p w14:paraId="6C2A4510">
            <w:pPr>
              <w:widowControl w:val="0"/>
              <w:adjustRightInd w:val="0"/>
              <w:snapToGrid w:val="0"/>
              <w:jc w:val="center"/>
              <w:rPr>
                <w:rFonts w:ascii="Times New Roman" w:hAnsi="Times New Roman" w:cs="Times New Roman"/>
                <w:color w:val="auto"/>
                <w:sz w:val="21"/>
                <w:lang w:eastAsia="zh-CN"/>
              </w:rPr>
            </w:pPr>
          </w:p>
        </w:tc>
        <w:tc>
          <w:tcPr>
            <w:tcW w:w="550" w:type="pct"/>
            <w:vMerge w:val="restart"/>
            <w:vAlign w:val="center"/>
          </w:tcPr>
          <w:p w14:paraId="2CA87332">
            <w:pPr>
              <w:widowControl w:val="0"/>
              <w:adjustRightInd w:val="0"/>
              <w:snapToGrid w:val="0"/>
              <w:jc w:val="center"/>
              <w:rPr>
                <w:rFonts w:ascii="Times New Roman" w:hAnsi="Times New Roman" w:cs="Times New Roman"/>
                <w:b/>
                <w:bCs/>
                <w:color w:val="auto"/>
                <w:sz w:val="21"/>
                <w:lang w:eastAsia="zh-CN"/>
              </w:rPr>
            </w:pPr>
          </w:p>
        </w:tc>
        <w:tc>
          <w:tcPr>
            <w:tcW w:w="549" w:type="pct"/>
            <w:vMerge w:val="restart"/>
            <w:vAlign w:val="center"/>
          </w:tcPr>
          <w:p w14:paraId="55580CB8">
            <w:pPr>
              <w:widowControl w:val="0"/>
              <w:adjustRightInd w:val="0"/>
              <w:snapToGrid w:val="0"/>
              <w:jc w:val="center"/>
              <w:rPr>
                <w:rFonts w:ascii="Times New Roman" w:hAnsi="Times New Roman" w:cs="Times New Roman"/>
                <w:b/>
                <w:bCs/>
                <w:color w:val="auto"/>
                <w:sz w:val="21"/>
                <w:lang w:eastAsia="zh-CN"/>
              </w:rPr>
            </w:pPr>
          </w:p>
        </w:tc>
        <w:tc>
          <w:tcPr>
            <w:tcW w:w="706" w:type="pct"/>
            <w:vAlign w:val="center"/>
          </w:tcPr>
          <w:p w14:paraId="2DECDA98">
            <w:pPr>
              <w:widowControl w:val="0"/>
              <w:adjustRightInd w:val="0"/>
              <w:snapToGrid w:val="0"/>
              <w:jc w:val="center"/>
              <w:rPr>
                <w:rFonts w:ascii="Times New Roman" w:hAnsi="Times New Roman" w:cs="Times New Roman"/>
                <w:b/>
                <w:bCs/>
                <w:color w:val="auto"/>
                <w:sz w:val="21"/>
                <w:lang w:eastAsia="zh-CN"/>
              </w:rPr>
            </w:pPr>
          </w:p>
        </w:tc>
        <w:tc>
          <w:tcPr>
            <w:tcW w:w="659" w:type="pct"/>
            <w:vAlign w:val="center"/>
          </w:tcPr>
          <w:p w14:paraId="728AB456">
            <w:pPr>
              <w:widowControl w:val="0"/>
              <w:adjustRightInd w:val="0"/>
              <w:snapToGrid w:val="0"/>
              <w:jc w:val="center"/>
              <w:rPr>
                <w:rFonts w:ascii="Times New Roman" w:hAnsi="Times New Roman" w:cs="Times New Roman"/>
                <w:b/>
                <w:bCs/>
                <w:color w:val="auto"/>
                <w:sz w:val="21"/>
                <w:lang w:eastAsia="zh-CN"/>
              </w:rPr>
            </w:pPr>
          </w:p>
        </w:tc>
        <w:tc>
          <w:tcPr>
            <w:tcW w:w="733" w:type="pct"/>
            <w:vMerge w:val="restart"/>
            <w:vAlign w:val="center"/>
          </w:tcPr>
          <w:p w14:paraId="4E352D25">
            <w:pPr>
              <w:widowControl w:val="0"/>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color w:val="auto"/>
                <w:sz w:val="21"/>
                <w:lang w:eastAsia="zh-CN"/>
              </w:rPr>
              <w:t>10</w:t>
            </w:r>
          </w:p>
        </w:tc>
        <w:tc>
          <w:tcPr>
            <w:tcW w:w="778" w:type="pct"/>
            <w:vMerge w:val="restart"/>
            <w:vAlign w:val="center"/>
          </w:tcPr>
          <w:p w14:paraId="6911BF7A">
            <w:pPr>
              <w:widowControl w:val="0"/>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color w:val="auto"/>
                <w:sz w:val="21"/>
                <w:lang w:eastAsia="zh-CN"/>
              </w:rPr>
              <w:t>/</w:t>
            </w:r>
          </w:p>
        </w:tc>
        <w:tc>
          <w:tcPr>
            <w:tcW w:w="318" w:type="pct"/>
            <w:vMerge w:val="restart"/>
            <w:vAlign w:val="center"/>
          </w:tcPr>
          <w:p w14:paraId="68EB9FC2">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达标</w:t>
            </w:r>
          </w:p>
        </w:tc>
      </w:tr>
      <w:tr w14:paraId="1FD710E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707" w:type="pct"/>
            <w:vMerge w:val="continue"/>
            <w:vAlign w:val="center"/>
          </w:tcPr>
          <w:p w14:paraId="226D1563">
            <w:pPr>
              <w:widowControl w:val="0"/>
              <w:adjustRightInd w:val="0"/>
              <w:snapToGrid w:val="0"/>
              <w:jc w:val="center"/>
              <w:rPr>
                <w:rFonts w:ascii="Times New Roman" w:hAnsi="Times New Roman" w:cs="Times New Roman"/>
                <w:b/>
                <w:bCs/>
                <w:color w:val="auto"/>
                <w:sz w:val="21"/>
                <w:lang w:eastAsia="zh-CN"/>
              </w:rPr>
            </w:pPr>
          </w:p>
        </w:tc>
        <w:tc>
          <w:tcPr>
            <w:tcW w:w="550" w:type="pct"/>
            <w:vMerge w:val="continue"/>
            <w:vAlign w:val="center"/>
          </w:tcPr>
          <w:p w14:paraId="4DDA2C2A">
            <w:pPr>
              <w:widowControl w:val="0"/>
              <w:adjustRightInd w:val="0"/>
              <w:snapToGrid w:val="0"/>
              <w:jc w:val="center"/>
              <w:rPr>
                <w:rFonts w:ascii="Times New Roman" w:hAnsi="Times New Roman" w:cs="Times New Roman"/>
                <w:b/>
                <w:bCs/>
                <w:color w:val="auto"/>
                <w:sz w:val="21"/>
                <w:lang w:eastAsia="zh-CN"/>
              </w:rPr>
            </w:pPr>
          </w:p>
        </w:tc>
        <w:tc>
          <w:tcPr>
            <w:tcW w:w="549" w:type="pct"/>
            <w:vMerge w:val="continue"/>
            <w:vAlign w:val="center"/>
          </w:tcPr>
          <w:p w14:paraId="45DD1FC0">
            <w:pPr>
              <w:widowControl w:val="0"/>
              <w:adjustRightInd w:val="0"/>
              <w:snapToGrid w:val="0"/>
              <w:jc w:val="center"/>
              <w:rPr>
                <w:rFonts w:ascii="Times New Roman" w:hAnsi="Times New Roman" w:cs="Times New Roman"/>
                <w:b/>
                <w:bCs/>
                <w:color w:val="auto"/>
                <w:sz w:val="21"/>
                <w:lang w:eastAsia="zh-CN"/>
              </w:rPr>
            </w:pPr>
          </w:p>
        </w:tc>
        <w:tc>
          <w:tcPr>
            <w:tcW w:w="706" w:type="pct"/>
            <w:vAlign w:val="center"/>
          </w:tcPr>
          <w:p w14:paraId="4F17D015">
            <w:pPr>
              <w:widowControl w:val="0"/>
              <w:adjustRightInd w:val="0"/>
              <w:snapToGrid w:val="0"/>
              <w:jc w:val="center"/>
              <w:rPr>
                <w:rFonts w:ascii="Times New Roman" w:hAnsi="Times New Roman" w:cs="Times New Roman"/>
                <w:b/>
                <w:bCs/>
                <w:color w:val="auto"/>
                <w:sz w:val="21"/>
                <w:lang w:eastAsia="zh-CN"/>
              </w:rPr>
            </w:pPr>
          </w:p>
        </w:tc>
        <w:tc>
          <w:tcPr>
            <w:tcW w:w="659" w:type="pct"/>
            <w:vAlign w:val="center"/>
          </w:tcPr>
          <w:p w14:paraId="5F968C78">
            <w:pPr>
              <w:widowControl w:val="0"/>
              <w:adjustRightInd w:val="0"/>
              <w:snapToGrid w:val="0"/>
              <w:jc w:val="center"/>
              <w:rPr>
                <w:rFonts w:ascii="Times New Roman" w:hAnsi="Times New Roman" w:cs="Times New Roman"/>
                <w:b/>
                <w:bCs/>
                <w:color w:val="auto"/>
                <w:sz w:val="21"/>
                <w:lang w:eastAsia="zh-CN"/>
              </w:rPr>
            </w:pPr>
          </w:p>
        </w:tc>
        <w:tc>
          <w:tcPr>
            <w:tcW w:w="733" w:type="pct"/>
            <w:vMerge w:val="continue"/>
            <w:vAlign w:val="center"/>
          </w:tcPr>
          <w:p w14:paraId="2D97C571">
            <w:pPr>
              <w:widowControl w:val="0"/>
              <w:adjustRightInd w:val="0"/>
              <w:snapToGrid w:val="0"/>
              <w:jc w:val="center"/>
              <w:rPr>
                <w:rFonts w:ascii="Times New Roman" w:hAnsi="Times New Roman" w:cs="Times New Roman"/>
                <w:b/>
                <w:bCs/>
                <w:color w:val="auto"/>
                <w:sz w:val="21"/>
                <w:lang w:eastAsia="zh-CN"/>
              </w:rPr>
            </w:pPr>
          </w:p>
        </w:tc>
        <w:tc>
          <w:tcPr>
            <w:tcW w:w="778" w:type="pct"/>
            <w:vMerge w:val="continue"/>
            <w:vAlign w:val="center"/>
          </w:tcPr>
          <w:p w14:paraId="327E3E78">
            <w:pPr>
              <w:widowControl w:val="0"/>
              <w:adjustRightInd w:val="0"/>
              <w:snapToGrid w:val="0"/>
              <w:jc w:val="center"/>
              <w:rPr>
                <w:rFonts w:ascii="Times New Roman" w:hAnsi="Times New Roman" w:cs="Times New Roman"/>
                <w:b/>
                <w:bCs/>
                <w:color w:val="auto"/>
                <w:sz w:val="21"/>
                <w:lang w:eastAsia="zh-CN"/>
              </w:rPr>
            </w:pPr>
          </w:p>
        </w:tc>
        <w:tc>
          <w:tcPr>
            <w:tcW w:w="318" w:type="pct"/>
            <w:vMerge w:val="continue"/>
            <w:vAlign w:val="center"/>
          </w:tcPr>
          <w:p w14:paraId="302F40D6">
            <w:pPr>
              <w:widowControl w:val="0"/>
              <w:adjustRightInd w:val="0"/>
              <w:snapToGrid w:val="0"/>
              <w:jc w:val="center"/>
              <w:rPr>
                <w:rFonts w:ascii="Times New Roman" w:hAnsi="Times New Roman" w:cs="Times New Roman"/>
                <w:color w:val="auto"/>
                <w:sz w:val="21"/>
                <w:lang w:eastAsia="zh-CN"/>
              </w:rPr>
            </w:pPr>
          </w:p>
        </w:tc>
      </w:tr>
      <w:tr w14:paraId="0A52D3C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707" w:type="pct"/>
            <w:vMerge w:val="continue"/>
            <w:vAlign w:val="center"/>
          </w:tcPr>
          <w:p w14:paraId="443284C9">
            <w:pPr>
              <w:widowControl w:val="0"/>
              <w:adjustRightInd w:val="0"/>
              <w:snapToGrid w:val="0"/>
              <w:jc w:val="center"/>
              <w:rPr>
                <w:rFonts w:ascii="Times New Roman" w:hAnsi="Times New Roman" w:cs="Times New Roman"/>
                <w:b/>
                <w:bCs/>
                <w:color w:val="auto"/>
                <w:sz w:val="21"/>
                <w:lang w:eastAsia="zh-CN"/>
              </w:rPr>
            </w:pPr>
          </w:p>
        </w:tc>
        <w:tc>
          <w:tcPr>
            <w:tcW w:w="550" w:type="pct"/>
            <w:vMerge w:val="continue"/>
            <w:vAlign w:val="center"/>
          </w:tcPr>
          <w:p w14:paraId="611CF553">
            <w:pPr>
              <w:widowControl w:val="0"/>
              <w:adjustRightInd w:val="0"/>
              <w:snapToGrid w:val="0"/>
              <w:jc w:val="center"/>
              <w:rPr>
                <w:rFonts w:ascii="Times New Roman" w:hAnsi="Times New Roman" w:cs="Times New Roman"/>
                <w:b/>
                <w:bCs/>
                <w:color w:val="auto"/>
                <w:sz w:val="21"/>
                <w:lang w:eastAsia="zh-CN"/>
              </w:rPr>
            </w:pPr>
          </w:p>
        </w:tc>
        <w:tc>
          <w:tcPr>
            <w:tcW w:w="549" w:type="pct"/>
            <w:vMerge w:val="continue"/>
            <w:vAlign w:val="center"/>
          </w:tcPr>
          <w:p w14:paraId="2EFC56FB">
            <w:pPr>
              <w:widowControl w:val="0"/>
              <w:adjustRightInd w:val="0"/>
              <w:snapToGrid w:val="0"/>
              <w:jc w:val="center"/>
              <w:rPr>
                <w:rFonts w:ascii="Times New Roman" w:hAnsi="Times New Roman" w:cs="Times New Roman"/>
                <w:b/>
                <w:bCs/>
                <w:color w:val="auto"/>
                <w:sz w:val="21"/>
                <w:lang w:eastAsia="zh-CN"/>
              </w:rPr>
            </w:pPr>
          </w:p>
        </w:tc>
        <w:tc>
          <w:tcPr>
            <w:tcW w:w="706" w:type="pct"/>
            <w:vAlign w:val="center"/>
          </w:tcPr>
          <w:p w14:paraId="21A1AF41">
            <w:pPr>
              <w:widowControl w:val="0"/>
              <w:adjustRightInd w:val="0"/>
              <w:snapToGrid w:val="0"/>
              <w:jc w:val="center"/>
              <w:rPr>
                <w:rFonts w:ascii="Times New Roman" w:hAnsi="Times New Roman" w:cs="Times New Roman"/>
                <w:b/>
                <w:bCs/>
                <w:color w:val="auto"/>
                <w:sz w:val="21"/>
                <w:lang w:eastAsia="zh-CN"/>
              </w:rPr>
            </w:pPr>
          </w:p>
        </w:tc>
        <w:tc>
          <w:tcPr>
            <w:tcW w:w="659" w:type="pct"/>
            <w:vAlign w:val="center"/>
          </w:tcPr>
          <w:p w14:paraId="52CD22CF">
            <w:pPr>
              <w:widowControl w:val="0"/>
              <w:adjustRightInd w:val="0"/>
              <w:snapToGrid w:val="0"/>
              <w:jc w:val="center"/>
              <w:rPr>
                <w:rFonts w:ascii="Times New Roman" w:hAnsi="Times New Roman" w:cs="Times New Roman"/>
                <w:b/>
                <w:bCs/>
                <w:color w:val="auto"/>
                <w:sz w:val="21"/>
                <w:lang w:eastAsia="zh-CN"/>
              </w:rPr>
            </w:pPr>
          </w:p>
        </w:tc>
        <w:tc>
          <w:tcPr>
            <w:tcW w:w="733" w:type="pct"/>
            <w:vMerge w:val="continue"/>
            <w:vAlign w:val="center"/>
          </w:tcPr>
          <w:p w14:paraId="22BD4301">
            <w:pPr>
              <w:widowControl w:val="0"/>
              <w:adjustRightInd w:val="0"/>
              <w:snapToGrid w:val="0"/>
              <w:jc w:val="center"/>
              <w:rPr>
                <w:rFonts w:ascii="Times New Roman" w:hAnsi="Times New Roman" w:cs="Times New Roman"/>
                <w:b/>
                <w:bCs/>
                <w:color w:val="auto"/>
                <w:sz w:val="21"/>
                <w:lang w:eastAsia="zh-CN"/>
              </w:rPr>
            </w:pPr>
          </w:p>
        </w:tc>
        <w:tc>
          <w:tcPr>
            <w:tcW w:w="778" w:type="pct"/>
            <w:vMerge w:val="continue"/>
            <w:vAlign w:val="center"/>
          </w:tcPr>
          <w:p w14:paraId="51C0551B">
            <w:pPr>
              <w:widowControl w:val="0"/>
              <w:adjustRightInd w:val="0"/>
              <w:snapToGrid w:val="0"/>
              <w:jc w:val="center"/>
              <w:rPr>
                <w:rFonts w:ascii="Times New Roman" w:hAnsi="Times New Roman" w:cs="Times New Roman"/>
                <w:b/>
                <w:bCs/>
                <w:color w:val="auto"/>
                <w:sz w:val="21"/>
                <w:lang w:eastAsia="zh-CN"/>
              </w:rPr>
            </w:pPr>
          </w:p>
        </w:tc>
        <w:tc>
          <w:tcPr>
            <w:tcW w:w="318" w:type="pct"/>
            <w:vMerge w:val="continue"/>
            <w:vAlign w:val="center"/>
          </w:tcPr>
          <w:p w14:paraId="5A8DBB2F">
            <w:pPr>
              <w:widowControl w:val="0"/>
              <w:adjustRightInd w:val="0"/>
              <w:snapToGrid w:val="0"/>
              <w:jc w:val="center"/>
              <w:rPr>
                <w:rFonts w:ascii="Times New Roman" w:hAnsi="Times New Roman" w:cs="Times New Roman"/>
                <w:color w:val="auto"/>
                <w:sz w:val="21"/>
                <w:lang w:eastAsia="zh-CN"/>
              </w:rPr>
            </w:pPr>
          </w:p>
        </w:tc>
      </w:tr>
      <w:tr w14:paraId="024CA1C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707" w:type="pct"/>
            <w:vMerge w:val="continue"/>
            <w:vAlign w:val="center"/>
          </w:tcPr>
          <w:p w14:paraId="6859DDD1">
            <w:pPr>
              <w:widowControl w:val="0"/>
              <w:adjustRightInd w:val="0"/>
              <w:snapToGrid w:val="0"/>
              <w:jc w:val="center"/>
              <w:rPr>
                <w:rFonts w:ascii="Times New Roman" w:hAnsi="Times New Roman" w:cs="Times New Roman"/>
                <w:b/>
                <w:bCs/>
                <w:color w:val="auto"/>
                <w:sz w:val="21"/>
                <w:lang w:eastAsia="zh-CN"/>
              </w:rPr>
            </w:pPr>
          </w:p>
        </w:tc>
        <w:tc>
          <w:tcPr>
            <w:tcW w:w="550" w:type="pct"/>
            <w:vMerge w:val="continue"/>
            <w:vAlign w:val="center"/>
          </w:tcPr>
          <w:p w14:paraId="5A9F8EC3">
            <w:pPr>
              <w:widowControl w:val="0"/>
              <w:adjustRightInd w:val="0"/>
              <w:snapToGrid w:val="0"/>
              <w:jc w:val="center"/>
              <w:rPr>
                <w:rFonts w:ascii="Times New Roman" w:hAnsi="Times New Roman" w:cs="Times New Roman"/>
                <w:b/>
                <w:bCs/>
                <w:color w:val="auto"/>
                <w:sz w:val="21"/>
                <w:lang w:eastAsia="zh-CN"/>
              </w:rPr>
            </w:pPr>
          </w:p>
        </w:tc>
        <w:tc>
          <w:tcPr>
            <w:tcW w:w="549" w:type="pct"/>
            <w:vMerge w:val="restart"/>
            <w:vAlign w:val="center"/>
          </w:tcPr>
          <w:p w14:paraId="3634C800">
            <w:pPr>
              <w:widowControl w:val="0"/>
              <w:adjustRightInd w:val="0"/>
              <w:snapToGrid w:val="0"/>
              <w:jc w:val="center"/>
              <w:rPr>
                <w:rFonts w:ascii="Times New Roman" w:hAnsi="Times New Roman" w:cs="Times New Roman"/>
                <w:b/>
                <w:bCs/>
                <w:color w:val="auto"/>
                <w:sz w:val="21"/>
                <w:lang w:eastAsia="zh-CN"/>
              </w:rPr>
            </w:pPr>
          </w:p>
        </w:tc>
        <w:tc>
          <w:tcPr>
            <w:tcW w:w="706" w:type="pct"/>
            <w:vAlign w:val="center"/>
          </w:tcPr>
          <w:p w14:paraId="21E976D4">
            <w:pPr>
              <w:widowControl w:val="0"/>
              <w:adjustRightInd w:val="0"/>
              <w:snapToGrid w:val="0"/>
              <w:jc w:val="center"/>
              <w:rPr>
                <w:rFonts w:ascii="Times New Roman" w:hAnsi="Times New Roman" w:cs="Times New Roman"/>
                <w:b/>
                <w:bCs/>
                <w:color w:val="auto"/>
                <w:sz w:val="21"/>
                <w:lang w:eastAsia="zh-CN"/>
              </w:rPr>
            </w:pPr>
          </w:p>
        </w:tc>
        <w:tc>
          <w:tcPr>
            <w:tcW w:w="659" w:type="pct"/>
            <w:vAlign w:val="center"/>
          </w:tcPr>
          <w:p w14:paraId="148059CB">
            <w:pPr>
              <w:widowControl w:val="0"/>
              <w:adjustRightInd w:val="0"/>
              <w:snapToGrid w:val="0"/>
              <w:jc w:val="center"/>
              <w:rPr>
                <w:rFonts w:ascii="Times New Roman" w:hAnsi="Times New Roman" w:cs="Times New Roman"/>
                <w:b/>
                <w:bCs/>
                <w:color w:val="auto"/>
                <w:sz w:val="21"/>
                <w:lang w:eastAsia="zh-CN"/>
              </w:rPr>
            </w:pPr>
          </w:p>
        </w:tc>
        <w:tc>
          <w:tcPr>
            <w:tcW w:w="733" w:type="pct"/>
            <w:vMerge w:val="restart"/>
            <w:vAlign w:val="center"/>
          </w:tcPr>
          <w:p w14:paraId="1B016BC2">
            <w:pPr>
              <w:widowControl w:val="0"/>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color w:val="auto"/>
                <w:kern w:val="2"/>
                <w:sz w:val="21"/>
                <w:lang w:eastAsia="zh-CN"/>
              </w:rPr>
              <w:t>3</w:t>
            </w:r>
          </w:p>
        </w:tc>
        <w:tc>
          <w:tcPr>
            <w:tcW w:w="778" w:type="pct"/>
            <w:vMerge w:val="restart"/>
            <w:vAlign w:val="center"/>
          </w:tcPr>
          <w:p w14:paraId="208FAEFF">
            <w:pPr>
              <w:widowControl w:val="0"/>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color w:val="auto"/>
                <w:kern w:val="2"/>
                <w:sz w:val="21"/>
                <w:lang w:eastAsia="zh-CN"/>
              </w:rPr>
              <w:t>/</w:t>
            </w:r>
          </w:p>
        </w:tc>
        <w:tc>
          <w:tcPr>
            <w:tcW w:w="318" w:type="pct"/>
            <w:vMerge w:val="restart"/>
            <w:vAlign w:val="center"/>
          </w:tcPr>
          <w:p w14:paraId="433924FC">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达标</w:t>
            </w:r>
          </w:p>
        </w:tc>
      </w:tr>
      <w:tr w14:paraId="2668B70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707" w:type="pct"/>
            <w:vMerge w:val="continue"/>
            <w:vAlign w:val="center"/>
          </w:tcPr>
          <w:p w14:paraId="71A8E159">
            <w:pPr>
              <w:widowControl w:val="0"/>
              <w:adjustRightInd w:val="0"/>
              <w:snapToGrid w:val="0"/>
              <w:jc w:val="center"/>
              <w:rPr>
                <w:rFonts w:ascii="Times New Roman" w:hAnsi="Times New Roman" w:cs="Times New Roman"/>
                <w:b/>
                <w:bCs/>
                <w:color w:val="auto"/>
                <w:sz w:val="21"/>
                <w:lang w:eastAsia="zh-CN"/>
              </w:rPr>
            </w:pPr>
          </w:p>
        </w:tc>
        <w:tc>
          <w:tcPr>
            <w:tcW w:w="550" w:type="pct"/>
            <w:vMerge w:val="continue"/>
            <w:vAlign w:val="center"/>
          </w:tcPr>
          <w:p w14:paraId="76D9F75C">
            <w:pPr>
              <w:widowControl w:val="0"/>
              <w:adjustRightInd w:val="0"/>
              <w:snapToGrid w:val="0"/>
              <w:jc w:val="center"/>
              <w:rPr>
                <w:rFonts w:ascii="Times New Roman" w:hAnsi="Times New Roman" w:cs="Times New Roman"/>
                <w:b/>
                <w:bCs/>
                <w:color w:val="auto"/>
                <w:sz w:val="21"/>
                <w:lang w:eastAsia="zh-CN"/>
              </w:rPr>
            </w:pPr>
          </w:p>
        </w:tc>
        <w:tc>
          <w:tcPr>
            <w:tcW w:w="549" w:type="pct"/>
            <w:vMerge w:val="continue"/>
            <w:vAlign w:val="center"/>
          </w:tcPr>
          <w:p w14:paraId="22F37125">
            <w:pPr>
              <w:widowControl w:val="0"/>
              <w:adjustRightInd w:val="0"/>
              <w:snapToGrid w:val="0"/>
              <w:jc w:val="center"/>
              <w:rPr>
                <w:rFonts w:ascii="Times New Roman" w:hAnsi="Times New Roman" w:cs="Times New Roman"/>
                <w:b/>
                <w:bCs/>
                <w:color w:val="auto"/>
                <w:sz w:val="21"/>
                <w:lang w:eastAsia="zh-CN"/>
              </w:rPr>
            </w:pPr>
          </w:p>
        </w:tc>
        <w:tc>
          <w:tcPr>
            <w:tcW w:w="706" w:type="pct"/>
            <w:vAlign w:val="center"/>
          </w:tcPr>
          <w:p w14:paraId="7048617E">
            <w:pPr>
              <w:widowControl w:val="0"/>
              <w:adjustRightInd w:val="0"/>
              <w:snapToGrid w:val="0"/>
              <w:jc w:val="center"/>
              <w:rPr>
                <w:rFonts w:ascii="Times New Roman" w:hAnsi="Times New Roman" w:cs="Times New Roman"/>
                <w:b/>
                <w:bCs/>
                <w:color w:val="auto"/>
                <w:sz w:val="21"/>
                <w:lang w:eastAsia="zh-CN"/>
              </w:rPr>
            </w:pPr>
          </w:p>
        </w:tc>
        <w:tc>
          <w:tcPr>
            <w:tcW w:w="659" w:type="pct"/>
            <w:vAlign w:val="center"/>
          </w:tcPr>
          <w:p w14:paraId="23D122CD">
            <w:pPr>
              <w:widowControl w:val="0"/>
              <w:adjustRightInd w:val="0"/>
              <w:snapToGrid w:val="0"/>
              <w:jc w:val="center"/>
              <w:rPr>
                <w:rFonts w:ascii="Times New Roman" w:hAnsi="Times New Roman" w:cs="Times New Roman"/>
                <w:b/>
                <w:bCs/>
                <w:color w:val="auto"/>
                <w:sz w:val="21"/>
                <w:lang w:eastAsia="zh-CN"/>
              </w:rPr>
            </w:pPr>
          </w:p>
        </w:tc>
        <w:tc>
          <w:tcPr>
            <w:tcW w:w="733" w:type="pct"/>
            <w:vMerge w:val="continue"/>
            <w:vAlign w:val="center"/>
          </w:tcPr>
          <w:p w14:paraId="2930C80C">
            <w:pPr>
              <w:widowControl w:val="0"/>
              <w:adjustRightInd w:val="0"/>
              <w:snapToGrid w:val="0"/>
              <w:jc w:val="center"/>
              <w:rPr>
                <w:rFonts w:ascii="Times New Roman" w:hAnsi="Times New Roman" w:cs="Times New Roman"/>
                <w:b/>
                <w:bCs/>
                <w:color w:val="auto"/>
                <w:sz w:val="21"/>
                <w:lang w:eastAsia="zh-CN"/>
              </w:rPr>
            </w:pPr>
          </w:p>
        </w:tc>
        <w:tc>
          <w:tcPr>
            <w:tcW w:w="778" w:type="pct"/>
            <w:vMerge w:val="continue"/>
            <w:vAlign w:val="center"/>
          </w:tcPr>
          <w:p w14:paraId="4F774954">
            <w:pPr>
              <w:widowControl w:val="0"/>
              <w:adjustRightInd w:val="0"/>
              <w:snapToGrid w:val="0"/>
              <w:jc w:val="center"/>
              <w:rPr>
                <w:rFonts w:ascii="Times New Roman" w:hAnsi="Times New Roman" w:cs="Times New Roman"/>
                <w:b/>
                <w:bCs/>
                <w:color w:val="auto"/>
                <w:sz w:val="21"/>
                <w:lang w:eastAsia="zh-CN"/>
              </w:rPr>
            </w:pPr>
          </w:p>
        </w:tc>
        <w:tc>
          <w:tcPr>
            <w:tcW w:w="318" w:type="pct"/>
            <w:vMerge w:val="continue"/>
            <w:vAlign w:val="center"/>
          </w:tcPr>
          <w:p w14:paraId="2E44F49B">
            <w:pPr>
              <w:widowControl w:val="0"/>
              <w:adjustRightInd w:val="0"/>
              <w:snapToGrid w:val="0"/>
              <w:jc w:val="center"/>
              <w:rPr>
                <w:rFonts w:ascii="Times New Roman" w:hAnsi="Times New Roman" w:cs="Times New Roman"/>
                <w:color w:val="auto"/>
                <w:sz w:val="21"/>
                <w:lang w:eastAsia="zh-CN"/>
              </w:rPr>
            </w:pPr>
          </w:p>
        </w:tc>
      </w:tr>
      <w:tr w14:paraId="34056D7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707" w:type="pct"/>
            <w:vMerge w:val="continue"/>
            <w:vAlign w:val="center"/>
          </w:tcPr>
          <w:p w14:paraId="7A3AFC59">
            <w:pPr>
              <w:widowControl w:val="0"/>
              <w:adjustRightInd w:val="0"/>
              <w:snapToGrid w:val="0"/>
              <w:jc w:val="center"/>
              <w:rPr>
                <w:rFonts w:ascii="Times New Roman" w:hAnsi="Times New Roman" w:cs="Times New Roman"/>
                <w:b/>
                <w:bCs/>
                <w:color w:val="auto"/>
                <w:sz w:val="21"/>
                <w:lang w:eastAsia="zh-CN"/>
              </w:rPr>
            </w:pPr>
          </w:p>
        </w:tc>
        <w:tc>
          <w:tcPr>
            <w:tcW w:w="550" w:type="pct"/>
            <w:vMerge w:val="continue"/>
            <w:vAlign w:val="center"/>
          </w:tcPr>
          <w:p w14:paraId="43EFD14D">
            <w:pPr>
              <w:widowControl w:val="0"/>
              <w:adjustRightInd w:val="0"/>
              <w:snapToGrid w:val="0"/>
              <w:jc w:val="center"/>
              <w:rPr>
                <w:rFonts w:ascii="Times New Roman" w:hAnsi="Times New Roman" w:cs="Times New Roman"/>
                <w:b/>
                <w:bCs/>
                <w:color w:val="auto"/>
                <w:sz w:val="21"/>
                <w:lang w:eastAsia="zh-CN"/>
              </w:rPr>
            </w:pPr>
          </w:p>
        </w:tc>
        <w:tc>
          <w:tcPr>
            <w:tcW w:w="549" w:type="pct"/>
            <w:vMerge w:val="continue"/>
            <w:vAlign w:val="center"/>
          </w:tcPr>
          <w:p w14:paraId="623D5142">
            <w:pPr>
              <w:widowControl w:val="0"/>
              <w:adjustRightInd w:val="0"/>
              <w:snapToGrid w:val="0"/>
              <w:jc w:val="center"/>
              <w:rPr>
                <w:rFonts w:ascii="Times New Roman" w:hAnsi="Times New Roman" w:cs="Times New Roman"/>
                <w:b/>
                <w:bCs/>
                <w:color w:val="auto"/>
                <w:sz w:val="21"/>
                <w:lang w:eastAsia="zh-CN"/>
              </w:rPr>
            </w:pPr>
          </w:p>
        </w:tc>
        <w:tc>
          <w:tcPr>
            <w:tcW w:w="706" w:type="pct"/>
            <w:vAlign w:val="center"/>
          </w:tcPr>
          <w:p w14:paraId="65634C75">
            <w:pPr>
              <w:widowControl w:val="0"/>
              <w:adjustRightInd w:val="0"/>
              <w:snapToGrid w:val="0"/>
              <w:jc w:val="center"/>
              <w:rPr>
                <w:rFonts w:ascii="Times New Roman" w:hAnsi="Times New Roman" w:cs="Times New Roman"/>
                <w:b/>
                <w:bCs/>
                <w:color w:val="auto"/>
                <w:sz w:val="21"/>
                <w:lang w:eastAsia="zh-CN"/>
              </w:rPr>
            </w:pPr>
          </w:p>
        </w:tc>
        <w:tc>
          <w:tcPr>
            <w:tcW w:w="659" w:type="pct"/>
            <w:vAlign w:val="center"/>
          </w:tcPr>
          <w:p w14:paraId="2D790B88">
            <w:pPr>
              <w:widowControl w:val="0"/>
              <w:adjustRightInd w:val="0"/>
              <w:snapToGrid w:val="0"/>
              <w:jc w:val="center"/>
              <w:rPr>
                <w:rFonts w:ascii="Times New Roman" w:hAnsi="Times New Roman" w:cs="Times New Roman"/>
                <w:b/>
                <w:bCs/>
                <w:color w:val="auto"/>
                <w:sz w:val="21"/>
                <w:lang w:eastAsia="zh-CN"/>
              </w:rPr>
            </w:pPr>
          </w:p>
        </w:tc>
        <w:tc>
          <w:tcPr>
            <w:tcW w:w="733" w:type="pct"/>
            <w:vMerge w:val="continue"/>
            <w:vAlign w:val="center"/>
          </w:tcPr>
          <w:p w14:paraId="17BC30E2">
            <w:pPr>
              <w:widowControl w:val="0"/>
              <w:adjustRightInd w:val="0"/>
              <w:snapToGrid w:val="0"/>
              <w:jc w:val="center"/>
              <w:rPr>
                <w:rFonts w:ascii="Times New Roman" w:hAnsi="Times New Roman" w:cs="Times New Roman"/>
                <w:b/>
                <w:bCs/>
                <w:color w:val="auto"/>
                <w:sz w:val="21"/>
                <w:lang w:eastAsia="zh-CN"/>
              </w:rPr>
            </w:pPr>
          </w:p>
        </w:tc>
        <w:tc>
          <w:tcPr>
            <w:tcW w:w="778" w:type="pct"/>
            <w:vMerge w:val="continue"/>
            <w:vAlign w:val="center"/>
          </w:tcPr>
          <w:p w14:paraId="29AC04BA">
            <w:pPr>
              <w:widowControl w:val="0"/>
              <w:adjustRightInd w:val="0"/>
              <w:snapToGrid w:val="0"/>
              <w:jc w:val="center"/>
              <w:rPr>
                <w:rFonts w:ascii="Times New Roman" w:hAnsi="Times New Roman" w:cs="Times New Roman"/>
                <w:b/>
                <w:bCs/>
                <w:color w:val="auto"/>
                <w:sz w:val="21"/>
                <w:lang w:eastAsia="zh-CN"/>
              </w:rPr>
            </w:pPr>
          </w:p>
        </w:tc>
        <w:tc>
          <w:tcPr>
            <w:tcW w:w="318" w:type="pct"/>
            <w:vMerge w:val="continue"/>
            <w:vAlign w:val="center"/>
          </w:tcPr>
          <w:p w14:paraId="473E1701">
            <w:pPr>
              <w:widowControl w:val="0"/>
              <w:adjustRightInd w:val="0"/>
              <w:snapToGrid w:val="0"/>
              <w:jc w:val="center"/>
              <w:rPr>
                <w:rFonts w:ascii="Times New Roman" w:hAnsi="Times New Roman" w:cs="Times New Roman"/>
                <w:color w:val="auto"/>
                <w:sz w:val="21"/>
                <w:lang w:eastAsia="zh-CN"/>
              </w:rPr>
            </w:pPr>
          </w:p>
        </w:tc>
      </w:tr>
    </w:tbl>
    <w:p w14:paraId="47F44486">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根据监测结果，现有工程有组织废气污染物氟化物、氯化氢排放满足</w:t>
      </w:r>
      <w:r>
        <w:rPr>
          <w:rFonts w:ascii="Times New Roman" w:hAnsi="Times New Roman" w:cs="Times New Roman"/>
          <w:color w:val="auto"/>
          <w:lang w:eastAsia="zh-CN"/>
        </w:rPr>
        <w:t>《</w:t>
      </w:r>
      <w:r>
        <w:rPr>
          <w:rFonts w:hint="eastAsia" w:ascii="Times New Roman" w:hAnsi="Times New Roman" w:cs="Times New Roman"/>
          <w:color w:val="auto"/>
          <w:lang w:eastAsia="zh-CN"/>
        </w:rPr>
        <w:t>无机化学工业污染物排放标准》（GB31573-2015）中特别排放限值</w:t>
      </w:r>
      <w:r>
        <w:rPr>
          <w:rFonts w:hint="eastAsia" w:ascii="Times New Roman" w:hAnsi="Times New Roman" w:cs="Times New Roman"/>
          <w:color w:val="auto"/>
          <w:szCs w:val="24"/>
          <w:lang w:eastAsia="zh-CN"/>
        </w:rPr>
        <w:t>要求。</w:t>
      </w:r>
    </w:p>
    <w:p w14:paraId="24F86A3E">
      <w:pPr>
        <w:adjustRightInd w:val="0"/>
        <w:snapToGrid w:val="0"/>
        <w:spacing w:line="360" w:lineRule="auto"/>
        <w:jc w:val="center"/>
        <w:rPr>
          <w:rFonts w:ascii="Times New Roman" w:hAnsi="Times New Roman" w:cs="Times New Roman"/>
          <w:b/>
          <w:bCs/>
          <w:vertAlign w:val="superscript"/>
          <w:lang w:eastAsia="zh-CN"/>
        </w:rPr>
      </w:pPr>
      <w:r>
        <w:rPr>
          <w:rFonts w:ascii="Times New Roman" w:hAnsi="Times New Roman" w:cs="Times New Roman"/>
          <w:b/>
          <w:bCs/>
          <w:lang w:eastAsia="zh-CN"/>
        </w:rPr>
        <w:t>表3.</w:t>
      </w:r>
      <w:r>
        <w:rPr>
          <w:rFonts w:hint="eastAsia" w:ascii="Times New Roman" w:hAnsi="Times New Roman" w:cs="Times New Roman"/>
          <w:b/>
          <w:bCs/>
          <w:lang w:eastAsia="zh-CN"/>
        </w:rPr>
        <w:t>2</w:t>
      </w:r>
      <w:r>
        <w:rPr>
          <w:rFonts w:ascii="Times New Roman" w:hAnsi="Times New Roman" w:cs="Times New Roman"/>
          <w:b/>
          <w:bCs/>
          <w:lang w:eastAsia="zh-CN"/>
        </w:rPr>
        <w:t>-</w:t>
      </w:r>
      <w:r>
        <w:rPr>
          <w:rFonts w:hint="eastAsia" w:ascii="Times New Roman" w:hAnsi="Times New Roman" w:cs="Times New Roman"/>
          <w:b/>
          <w:bCs/>
          <w:lang w:eastAsia="zh-CN"/>
        </w:rPr>
        <w:t>3</w:t>
      </w:r>
      <w:r>
        <w:rPr>
          <w:rFonts w:ascii="Times New Roman" w:hAnsi="Times New Roman" w:cs="Times New Roman"/>
          <w:b/>
          <w:bCs/>
          <w:lang w:eastAsia="zh-CN"/>
        </w:rPr>
        <w:t xml:space="preserve"> </w:t>
      </w:r>
      <w:r>
        <w:rPr>
          <w:rFonts w:hint="eastAsia" w:ascii="Times New Roman" w:hAnsi="Times New Roman" w:cs="Times New Roman"/>
          <w:b/>
          <w:bCs/>
          <w:lang w:eastAsia="zh-CN"/>
        </w:rPr>
        <w:t>现有工程无组织废气例行监测结果  单位：</w:t>
      </w:r>
      <w:r>
        <w:rPr>
          <w:rFonts w:ascii="Times New Roman" w:hAnsi="Times New Roman" w:cs="Times New Roman"/>
          <w:b/>
          <w:bCs/>
          <w:lang w:eastAsia="zh-CN"/>
        </w:rPr>
        <w:t>mg/m</w:t>
      </w:r>
      <w:r>
        <w:rPr>
          <w:rFonts w:ascii="Times New Roman" w:hAnsi="Times New Roman" w:cs="Times New Roman"/>
          <w:b/>
          <w:bCs/>
          <w:vertAlign w:val="superscript"/>
          <w:lang w:eastAsia="zh-CN"/>
        </w:rPr>
        <w:t>3</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1132"/>
        <w:gridCol w:w="791"/>
        <w:gridCol w:w="961"/>
        <w:gridCol w:w="957"/>
        <w:gridCol w:w="964"/>
        <w:gridCol w:w="817"/>
        <w:gridCol w:w="819"/>
        <w:gridCol w:w="1957"/>
        <w:gridCol w:w="628"/>
      </w:tblGrid>
      <w:tr w14:paraId="76C9AE6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jc w:val="center"/>
        </w:trPr>
        <w:tc>
          <w:tcPr>
            <w:tcW w:w="645" w:type="pct"/>
            <w:vAlign w:val="center"/>
          </w:tcPr>
          <w:p w14:paraId="24D7EF8B">
            <w:pPr>
              <w:widowControl w:val="0"/>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监测时间</w:t>
            </w:r>
          </w:p>
        </w:tc>
        <w:tc>
          <w:tcPr>
            <w:tcW w:w="456" w:type="pct"/>
            <w:vAlign w:val="center"/>
          </w:tcPr>
          <w:p w14:paraId="0B0D74AD">
            <w:pPr>
              <w:widowControl w:val="0"/>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污染物</w:t>
            </w:r>
          </w:p>
        </w:tc>
        <w:tc>
          <w:tcPr>
            <w:tcW w:w="550" w:type="pct"/>
            <w:vAlign w:val="center"/>
          </w:tcPr>
          <w:p w14:paraId="1E41C7C6">
            <w:pPr>
              <w:widowControl w:val="0"/>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监测点位</w:t>
            </w:r>
          </w:p>
        </w:tc>
        <w:tc>
          <w:tcPr>
            <w:tcW w:w="548" w:type="pct"/>
            <w:vAlign w:val="center"/>
          </w:tcPr>
          <w:p w14:paraId="5C99AFE0">
            <w:pPr>
              <w:widowControl w:val="0"/>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上风向1#</w:t>
            </w:r>
          </w:p>
        </w:tc>
        <w:tc>
          <w:tcPr>
            <w:tcW w:w="551" w:type="pct"/>
            <w:vAlign w:val="center"/>
          </w:tcPr>
          <w:p w14:paraId="6B4E632D">
            <w:pPr>
              <w:widowControl w:val="0"/>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下风向2#</w:t>
            </w:r>
          </w:p>
        </w:tc>
        <w:tc>
          <w:tcPr>
            <w:tcW w:w="470" w:type="pct"/>
            <w:vAlign w:val="center"/>
          </w:tcPr>
          <w:p w14:paraId="175A89CA">
            <w:pPr>
              <w:widowControl w:val="0"/>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下风向3#</w:t>
            </w:r>
          </w:p>
        </w:tc>
        <w:tc>
          <w:tcPr>
            <w:tcW w:w="471" w:type="pct"/>
            <w:vAlign w:val="center"/>
          </w:tcPr>
          <w:p w14:paraId="03D4084C">
            <w:pPr>
              <w:widowControl w:val="0"/>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下风向4#</w:t>
            </w:r>
          </w:p>
        </w:tc>
        <w:tc>
          <w:tcPr>
            <w:tcW w:w="944" w:type="pct"/>
            <w:vAlign w:val="center"/>
          </w:tcPr>
          <w:p w14:paraId="0EFD0004">
            <w:pPr>
              <w:widowControl w:val="0"/>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（GB31573-2015）排放标准</w:t>
            </w:r>
          </w:p>
        </w:tc>
        <w:tc>
          <w:tcPr>
            <w:tcW w:w="365" w:type="pct"/>
            <w:vAlign w:val="center"/>
          </w:tcPr>
          <w:p w14:paraId="1AF6528D">
            <w:pPr>
              <w:widowControl w:val="0"/>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达标情况</w:t>
            </w:r>
          </w:p>
        </w:tc>
      </w:tr>
      <w:tr w14:paraId="162E1C8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jc w:val="center"/>
        </w:trPr>
        <w:tc>
          <w:tcPr>
            <w:tcW w:w="645" w:type="pct"/>
            <w:vMerge w:val="restart"/>
            <w:vAlign w:val="center"/>
          </w:tcPr>
          <w:p w14:paraId="509C2B75">
            <w:pPr>
              <w:widowControl w:val="0"/>
              <w:adjustRightInd w:val="0"/>
              <w:snapToGrid w:val="0"/>
              <w:jc w:val="center"/>
              <w:rPr>
                <w:rFonts w:ascii="Times New Roman" w:hAnsi="Times New Roman" w:cs="Times New Roman"/>
                <w:color w:val="auto"/>
                <w:sz w:val="21"/>
                <w:lang w:eastAsia="zh-CN"/>
              </w:rPr>
            </w:pPr>
          </w:p>
        </w:tc>
        <w:tc>
          <w:tcPr>
            <w:tcW w:w="456" w:type="pct"/>
            <w:vMerge w:val="restart"/>
            <w:vAlign w:val="center"/>
          </w:tcPr>
          <w:p w14:paraId="123BF7AE">
            <w:pPr>
              <w:widowControl w:val="0"/>
              <w:adjustRightInd w:val="0"/>
              <w:snapToGrid w:val="0"/>
              <w:jc w:val="center"/>
              <w:rPr>
                <w:rFonts w:ascii="Times New Roman" w:hAnsi="Times New Roman" w:cs="Times New Roman"/>
                <w:color w:val="auto"/>
                <w:sz w:val="21"/>
                <w:lang w:eastAsia="zh-CN"/>
              </w:rPr>
            </w:pPr>
          </w:p>
        </w:tc>
        <w:tc>
          <w:tcPr>
            <w:tcW w:w="550" w:type="pct"/>
            <w:vAlign w:val="center"/>
          </w:tcPr>
          <w:p w14:paraId="21998F53">
            <w:pPr>
              <w:widowControl w:val="0"/>
              <w:adjustRightInd w:val="0"/>
              <w:snapToGrid w:val="0"/>
              <w:jc w:val="center"/>
              <w:rPr>
                <w:rFonts w:ascii="Times New Roman" w:hAnsi="Times New Roman" w:cs="Times New Roman"/>
                <w:color w:val="auto"/>
                <w:sz w:val="21"/>
                <w:lang w:eastAsia="zh-CN"/>
              </w:rPr>
            </w:pPr>
          </w:p>
        </w:tc>
        <w:tc>
          <w:tcPr>
            <w:tcW w:w="548" w:type="pct"/>
            <w:vAlign w:val="center"/>
          </w:tcPr>
          <w:p w14:paraId="1B1C3713">
            <w:pPr>
              <w:widowControl w:val="0"/>
              <w:adjustRightInd w:val="0"/>
              <w:snapToGrid w:val="0"/>
              <w:jc w:val="center"/>
              <w:rPr>
                <w:rFonts w:ascii="Times New Roman" w:hAnsi="Times New Roman" w:cs="Times New Roman"/>
                <w:color w:val="auto"/>
                <w:sz w:val="21"/>
                <w:lang w:eastAsia="zh-CN"/>
              </w:rPr>
            </w:pPr>
          </w:p>
        </w:tc>
        <w:tc>
          <w:tcPr>
            <w:tcW w:w="551" w:type="pct"/>
            <w:vAlign w:val="center"/>
          </w:tcPr>
          <w:p w14:paraId="5B5E5CF7">
            <w:pPr>
              <w:widowControl w:val="0"/>
              <w:adjustRightInd w:val="0"/>
              <w:snapToGrid w:val="0"/>
              <w:jc w:val="center"/>
              <w:rPr>
                <w:rFonts w:ascii="Times New Roman" w:hAnsi="Times New Roman" w:cs="Times New Roman"/>
                <w:color w:val="auto"/>
                <w:sz w:val="21"/>
                <w:lang w:eastAsia="zh-CN"/>
              </w:rPr>
            </w:pPr>
          </w:p>
        </w:tc>
        <w:tc>
          <w:tcPr>
            <w:tcW w:w="470" w:type="pct"/>
            <w:vAlign w:val="center"/>
          </w:tcPr>
          <w:p w14:paraId="40C5BC38">
            <w:pPr>
              <w:widowControl w:val="0"/>
              <w:adjustRightInd w:val="0"/>
              <w:snapToGrid w:val="0"/>
              <w:jc w:val="center"/>
              <w:rPr>
                <w:rFonts w:ascii="Times New Roman" w:hAnsi="Times New Roman" w:cs="Times New Roman"/>
                <w:color w:val="auto"/>
                <w:sz w:val="21"/>
                <w:lang w:eastAsia="zh-CN"/>
              </w:rPr>
            </w:pPr>
          </w:p>
        </w:tc>
        <w:tc>
          <w:tcPr>
            <w:tcW w:w="471" w:type="pct"/>
            <w:vAlign w:val="center"/>
          </w:tcPr>
          <w:p w14:paraId="08F0486D">
            <w:pPr>
              <w:widowControl w:val="0"/>
              <w:adjustRightInd w:val="0"/>
              <w:snapToGrid w:val="0"/>
              <w:jc w:val="center"/>
              <w:rPr>
                <w:rFonts w:ascii="Times New Roman" w:hAnsi="Times New Roman" w:cs="Times New Roman"/>
                <w:color w:val="auto"/>
                <w:sz w:val="21"/>
                <w:lang w:eastAsia="zh-CN"/>
              </w:rPr>
            </w:pPr>
          </w:p>
        </w:tc>
        <w:tc>
          <w:tcPr>
            <w:tcW w:w="944" w:type="pct"/>
            <w:vMerge w:val="restart"/>
            <w:vAlign w:val="center"/>
          </w:tcPr>
          <w:p w14:paraId="2479982A">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0.02</w:t>
            </w:r>
          </w:p>
        </w:tc>
        <w:tc>
          <w:tcPr>
            <w:tcW w:w="365" w:type="pct"/>
            <w:vMerge w:val="restart"/>
            <w:vAlign w:val="center"/>
          </w:tcPr>
          <w:p w14:paraId="67CF48F0">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w:t>
            </w:r>
          </w:p>
        </w:tc>
      </w:tr>
      <w:tr w14:paraId="26650C4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jc w:val="center"/>
        </w:trPr>
        <w:tc>
          <w:tcPr>
            <w:tcW w:w="645" w:type="pct"/>
            <w:vMerge w:val="continue"/>
            <w:vAlign w:val="center"/>
          </w:tcPr>
          <w:p w14:paraId="4E604E8B">
            <w:pPr>
              <w:widowControl w:val="0"/>
              <w:adjustRightInd w:val="0"/>
              <w:snapToGrid w:val="0"/>
              <w:jc w:val="center"/>
              <w:rPr>
                <w:rFonts w:ascii="Times New Roman" w:hAnsi="Times New Roman" w:cs="Times New Roman"/>
                <w:color w:val="auto"/>
                <w:sz w:val="21"/>
                <w:lang w:eastAsia="zh-CN"/>
              </w:rPr>
            </w:pPr>
          </w:p>
        </w:tc>
        <w:tc>
          <w:tcPr>
            <w:tcW w:w="456" w:type="pct"/>
            <w:vMerge w:val="continue"/>
            <w:vAlign w:val="center"/>
          </w:tcPr>
          <w:p w14:paraId="5FB210D9">
            <w:pPr>
              <w:widowControl w:val="0"/>
              <w:adjustRightInd w:val="0"/>
              <w:snapToGrid w:val="0"/>
              <w:jc w:val="center"/>
              <w:rPr>
                <w:rFonts w:ascii="Times New Roman" w:hAnsi="Times New Roman" w:cs="Times New Roman"/>
                <w:color w:val="auto"/>
                <w:sz w:val="21"/>
                <w:lang w:eastAsia="zh-CN"/>
              </w:rPr>
            </w:pPr>
          </w:p>
        </w:tc>
        <w:tc>
          <w:tcPr>
            <w:tcW w:w="550" w:type="pct"/>
            <w:vAlign w:val="center"/>
          </w:tcPr>
          <w:p w14:paraId="4D3D4A52">
            <w:pPr>
              <w:widowControl w:val="0"/>
              <w:adjustRightInd w:val="0"/>
              <w:snapToGrid w:val="0"/>
              <w:jc w:val="center"/>
              <w:rPr>
                <w:rFonts w:ascii="Times New Roman" w:hAnsi="Times New Roman" w:cs="Times New Roman"/>
                <w:color w:val="auto"/>
                <w:sz w:val="21"/>
                <w:lang w:eastAsia="zh-CN"/>
              </w:rPr>
            </w:pPr>
          </w:p>
        </w:tc>
        <w:tc>
          <w:tcPr>
            <w:tcW w:w="548" w:type="pct"/>
            <w:vAlign w:val="center"/>
          </w:tcPr>
          <w:p w14:paraId="4358FE6F">
            <w:pPr>
              <w:widowControl w:val="0"/>
              <w:adjustRightInd w:val="0"/>
              <w:snapToGrid w:val="0"/>
              <w:jc w:val="center"/>
              <w:rPr>
                <w:rFonts w:ascii="Times New Roman" w:hAnsi="Times New Roman" w:cs="Times New Roman"/>
                <w:color w:val="auto"/>
                <w:sz w:val="21"/>
                <w:lang w:eastAsia="zh-CN"/>
              </w:rPr>
            </w:pPr>
          </w:p>
        </w:tc>
        <w:tc>
          <w:tcPr>
            <w:tcW w:w="551" w:type="pct"/>
            <w:vAlign w:val="center"/>
          </w:tcPr>
          <w:p w14:paraId="72742524">
            <w:pPr>
              <w:widowControl w:val="0"/>
              <w:adjustRightInd w:val="0"/>
              <w:snapToGrid w:val="0"/>
              <w:jc w:val="center"/>
              <w:rPr>
                <w:rFonts w:ascii="Times New Roman" w:hAnsi="Times New Roman" w:cs="Times New Roman"/>
                <w:color w:val="auto"/>
                <w:sz w:val="21"/>
                <w:lang w:eastAsia="zh-CN"/>
              </w:rPr>
            </w:pPr>
          </w:p>
        </w:tc>
        <w:tc>
          <w:tcPr>
            <w:tcW w:w="470" w:type="pct"/>
            <w:vAlign w:val="center"/>
          </w:tcPr>
          <w:p w14:paraId="365F03FA">
            <w:pPr>
              <w:widowControl w:val="0"/>
              <w:adjustRightInd w:val="0"/>
              <w:snapToGrid w:val="0"/>
              <w:jc w:val="center"/>
              <w:rPr>
                <w:rFonts w:ascii="Times New Roman" w:hAnsi="Times New Roman" w:cs="Times New Roman"/>
                <w:color w:val="auto"/>
                <w:sz w:val="21"/>
                <w:lang w:eastAsia="zh-CN"/>
              </w:rPr>
            </w:pPr>
          </w:p>
        </w:tc>
        <w:tc>
          <w:tcPr>
            <w:tcW w:w="471" w:type="pct"/>
            <w:vAlign w:val="center"/>
          </w:tcPr>
          <w:p w14:paraId="68465A9A">
            <w:pPr>
              <w:widowControl w:val="0"/>
              <w:adjustRightInd w:val="0"/>
              <w:snapToGrid w:val="0"/>
              <w:jc w:val="center"/>
              <w:rPr>
                <w:rFonts w:ascii="Times New Roman" w:hAnsi="Times New Roman" w:cs="Times New Roman"/>
                <w:color w:val="auto"/>
                <w:sz w:val="21"/>
                <w:lang w:eastAsia="zh-CN"/>
              </w:rPr>
            </w:pPr>
          </w:p>
        </w:tc>
        <w:tc>
          <w:tcPr>
            <w:tcW w:w="944" w:type="pct"/>
            <w:vMerge w:val="continue"/>
            <w:vAlign w:val="center"/>
          </w:tcPr>
          <w:p w14:paraId="4825CF93">
            <w:pPr>
              <w:widowControl w:val="0"/>
              <w:adjustRightInd w:val="0"/>
              <w:snapToGrid w:val="0"/>
              <w:jc w:val="center"/>
              <w:rPr>
                <w:rFonts w:ascii="Times New Roman" w:hAnsi="Times New Roman" w:cs="Times New Roman"/>
                <w:color w:val="auto"/>
                <w:sz w:val="21"/>
                <w:lang w:eastAsia="zh-CN"/>
              </w:rPr>
            </w:pPr>
          </w:p>
        </w:tc>
        <w:tc>
          <w:tcPr>
            <w:tcW w:w="365" w:type="pct"/>
            <w:vMerge w:val="continue"/>
            <w:vAlign w:val="center"/>
          </w:tcPr>
          <w:p w14:paraId="6D991FC7">
            <w:pPr>
              <w:widowControl w:val="0"/>
              <w:adjustRightInd w:val="0"/>
              <w:snapToGrid w:val="0"/>
              <w:jc w:val="center"/>
              <w:rPr>
                <w:rFonts w:ascii="Times New Roman" w:hAnsi="Times New Roman" w:cs="Times New Roman"/>
                <w:color w:val="auto"/>
                <w:sz w:val="21"/>
                <w:lang w:eastAsia="zh-CN"/>
              </w:rPr>
            </w:pPr>
          </w:p>
        </w:tc>
      </w:tr>
      <w:tr w14:paraId="0345082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jc w:val="center"/>
        </w:trPr>
        <w:tc>
          <w:tcPr>
            <w:tcW w:w="645" w:type="pct"/>
            <w:vMerge w:val="continue"/>
            <w:vAlign w:val="center"/>
          </w:tcPr>
          <w:p w14:paraId="24FD500A">
            <w:pPr>
              <w:widowControl w:val="0"/>
              <w:adjustRightInd w:val="0"/>
              <w:snapToGrid w:val="0"/>
              <w:jc w:val="center"/>
              <w:rPr>
                <w:rFonts w:ascii="Times New Roman" w:hAnsi="Times New Roman" w:cs="Times New Roman"/>
                <w:color w:val="auto"/>
                <w:sz w:val="21"/>
                <w:lang w:eastAsia="zh-CN"/>
              </w:rPr>
            </w:pPr>
          </w:p>
        </w:tc>
        <w:tc>
          <w:tcPr>
            <w:tcW w:w="456" w:type="pct"/>
            <w:vMerge w:val="continue"/>
            <w:vAlign w:val="center"/>
          </w:tcPr>
          <w:p w14:paraId="24F45624">
            <w:pPr>
              <w:widowControl w:val="0"/>
              <w:adjustRightInd w:val="0"/>
              <w:snapToGrid w:val="0"/>
              <w:jc w:val="center"/>
              <w:rPr>
                <w:rFonts w:ascii="Times New Roman" w:hAnsi="Times New Roman" w:cs="Times New Roman"/>
                <w:color w:val="auto"/>
                <w:sz w:val="21"/>
                <w:lang w:eastAsia="zh-CN"/>
              </w:rPr>
            </w:pPr>
          </w:p>
        </w:tc>
        <w:tc>
          <w:tcPr>
            <w:tcW w:w="550" w:type="pct"/>
            <w:vAlign w:val="center"/>
          </w:tcPr>
          <w:p w14:paraId="4C9979FF">
            <w:pPr>
              <w:widowControl w:val="0"/>
              <w:adjustRightInd w:val="0"/>
              <w:snapToGrid w:val="0"/>
              <w:jc w:val="center"/>
              <w:rPr>
                <w:rFonts w:ascii="Times New Roman" w:hAnsi="Times New Roman" w:cs="Times New Roman"/>
                <w:color w:val="auto"/>
                <w:sz w:val="21"/>
                <w:lang w:eastAsia="zh-CN"/>
              </w:rPr>
            </w:pPr>
          </w:p>
        </w:tc>
        <w:tc>
          <w:tcPr>
            <w:tcW w:w="548" w:type="pct"/>
            <w:vAlign w:val="center"/>
          </w:tcPr>
          <w:p w14:paraId="36E9FA16">
            <w:pPr>
              <w:widowControl w:val="0"/>
              <w:adjustRightInd w:val="0"/>
              <w:snapToGrid w:val="0"/>
              <w:jc w:val="center"/>
              <w:rPr>
                <w:rFonts w:ascii="Times New Roman" w:hAnsi="Times New Roman" w:cs="Times New Roman"/>
                <w:color w:val="auto"/>
                <w:sz w:val="21"/>
                <w:lang w:eastAsia="zh-CN"/>
              </w:rPr>
            </w:pPr>
          </w:p>
        </w:tc>
        <w:tc>
          <w:tcPr>
            <w:tcW w:w="551" w:type="pct"/>
            <w:vAlign w:val="center"/>
          </w:tcPr>
          <w:p w14:paraId="63323ABB">
            <w:pPr>
              <w:widowControl w:val="0"/>
              <w:adjustRightInd w:val="0"/>
              <w:snapToGrid w:val="0"/>
              <w:jc w:val="center"/>
              <w:rPr>
                <w:rFonts w:ascii="Times New Roman" w:hAnsi="Times New Roman" w:cs="Times New Roman"/>
                <w:color w:val="auto"/>
                <w:sz w:val="21"/>
                <w:lang w:eastAsia="zh-CN"/>
              </w:rPr>
            </w:pPr>
          </w:p>
        </w:tc>
        <w:tc>
          <w:tcPr>
            <w:tcW w:w="470" w:type="pct"/>
            <w:vAlign w:val="center"/>
          </w:tcPr>
          <w:p w14:paraId="05B3605E">
            <w:pPr>
              <w:widowControl w:val="0"/>
              <w:adjustRightInd w:val="0"/>
              <w:snapToGrid w:val="0"/>
              <w:jc w:val="center"/>
              <w:rPr>
                <w:rFonts w:ascii="Times New Roman" w:hAnsi="Times New Roman" w:cs="Times New Roman"/>
                <w:color w:val="auto"/>
                <w:sz w:val="21"/>
                <w:lang w:eastAsia="zh-CN"/>
              </w:rPr>
            </w:pPr>
          </w:p>
        </w:tc>
        <w:tc>
          <w:tcPr>
            <w:tcW w:w="471" w:type="pct"/>
            <w:vAlign w:val="center"/>
          </w:tcPr>
          <w:p w14:paraId="47673664">
            <w:pPr>
              <w:widowControl w:val="0"/>
              <w:adjustRightInd w:val="0"/>
              <w:snapToGrid w:val="0"/>
              <w:jc w:val="center"/>
              <w:rPr>
                <w:rFonts w:ascii="Times New Roman" w:hAnsi="Times New Roman" w:cs="Times New Roman"/>
                <w:color w:val="auto"/>
                <w:sz w:val="21"/>
                <w:lang w:eastAsia="zh-CN"/>
              </w:rPr>
            </w:pPr>
          </w:p>
        </w:tc>
        <w:tc>
          <w:tcPr>
            <w:tcW w:w="944" w:type="pct"/>
            <w:vMerge w:val="continue"/>
            <w:vAlign w:val="center"/>
          </w:tcPr>
          <w:p w14:paraId="492BFEA6">
            <w:pPr>
              <w:widowControl w:val="0"/>
              <w:adjustRightInd w:val="0"/>
              <w:snapToGrid w:val="0"/>
              <w:jc w:val="center"/>
              <w:rPr>
                <w:rFonts w:ascii="Times New Roman" w:hAnsi="Times New Roman" w:cs="Times New Roman"/>
                <w:color w:val="auto"/>
                <w:sz w:val="21"/>
                <w:lang w:eastAsia="zh-CN"/>
              </w:rPr>
            </w:pPr>
          </w:p>
        </w:tc>
        <w:tc>
          <w:tcPr>
            <w:tcW w:w="365" w:type="pct"/>
            <w:vMerge w:val="continue"/>
            <w:vAlign w:val="center"/>
          </w:tcPr>
          <w:p w14:paraId="37D50C48">
            <w:pPr>
              <w:widowControl w:val="0"/>
              <w:adjustRightInd w:val="0"/>
              <w:snapToGrid w:val="0"/>
              <w:jc w:val="center"/>
              <w:rPr>
                <w:rFonts w:ascii="Times New Roman" w:hAnsi="Times New Roman" w:cs="Times New Roman"/>
                <w:color w:val="auto"/>
                <w:sz w:val="21"/>
                <w:lang w:eastAsia="zh-CN"/>
              </w:rPr>
            </w:pPr>
          </w:p>
        </w:tc>
      </w:tr>
      <w:tr w14:paraId="16D7156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jc w:val="center"/>
        </w:trPr>
        <w:tc>
          <w:tcPr>
            <w:tcW w:w="645" w:type="pct"/>
            <w:vMerge w:val="continue"/>
            <w:vAlign w:val="center"/>
          </w:tcPr>
          <w:p w14:paraId="4876DEF7">
            <w:pPr>
              <w:widowControl w:val="0"/>
              <w:adjustRightInd w:val="0"/>
              <w:snapToGrid w:val="0"/>
              <w:jc w:val="center"/>
              <w:rPr>
                <w:rFonts w:ascii="Times New Roman" w:hAnsi="Times New Roman" w:cs="Times New Roman"/>
                <w:color w:val="auto"/>
                <w:sz w:val="21"/>
                <w:lang w:eastAsia="zh-CN"/>
              </w:rPr>
            </w:pPr>
          </w:p>
        </w:tc>
        <w:tc>
          <w:tcPr>
            <w:tcW w:w="456" w:type="pct"/>
            <w:vMerge w:val="restart"/>
            <w:vAlign w:val="center"/>
          </w:tcPr>
          <w:p w14:paraId="135485E5">
            <w:pPr>
              <w:widowControl w:val="0"/>
              <w:adjustRightInd w:val="0"/>
              <w:snapToGrid w:val="0"/>
              <w:jc w:val="center"/>
              <w:rPr>
                <w:rFonts w:ascii="Times New Roman" w:hAnsi="Times New Roman" w:cs="Times New Roman"/>
                <w:color w:val="auto"/>
                <w:sz w:val="21"/>
                <w:lang w:eastAsia="zh-CN"/>
              </w:rPr>
            </w:pPr>
          </w:p>
        </w:tc>
        <w:tc>
          <w:tcPr>
            <w:tcW w:w="550" w:type="pct"/>
            <w:vAlign w:val="center"/>
          </w:tcPr>
          <w:p w14:paraId="2CA165B4">
            <w:pPr>
              <w:widowControl w:val="0"/>
              <w:adjustRightInd w:val="0"/>
              <w:snapToGrid w:val="0"/>
              <w:jc w:val="center"/>
              <w:rPr>
                <w:rFonts w:ascii="Times New Roman" w:hAnsi="Times New Roman" w:cs="Times New Roman"/>
                <w:color w:val="auto"/>
                <w:sz w:val="21"/>
                <w:lang w:eastAsia="zh-CN"/>
              </w:rPr>
            </w:pPr>
          </w:p>
        </w:tc>
        <w:tc>
          <w:tcPr>
            <w:tcW w:w="548" w:type="pct"/>
            <w:vAlign w:val="center"/>
          </w:tcPr>
          <w:p w14:paraId="46C7771E">
            <w:pPr>
              <w:widowControl w:val="0"/>
              <w:adjustRightInd w:val="0"/>
              <w:snapToGrid w:val="0"/>
              <w:jc w:val="center"/>
              <w:rPr>
                <w:rFonts w:ascii="Times New Roman" w:hAnsi="Times New Roman" w:cs="Times New Roman"/>
                <w:color w:val="auto"/>
                <w:sz w:val="21"/>
                <w:lang w:eastAsia="zh-CN"/>
              </w:rPr>
            </w:pPr>
          </w:p>
        </w:tc>
        <w:tc>
          <w:tcPr>
            <w:tcW w:w="551" w:type="pct"/>
            <w:vAlign w:val="center"/>
          </w:tcPr>
          <w:p w14:paraId="5B9CB184">
            <w:pPr>
              <w:widowControl w:val="0"/>
              <w:adjustRightInd w:val="0"/>
              <w:snapToGrid w:val="0"/>
              <w:jc w:val="center"/>
              <w:rPr>
                <w:rFonts w:ascii="Times New Roman" w:hAnsi="Times New Roman" w:cs="Times New Roman"/>
                <w:color w:val="auto"/>
                <w:sz w:val="21"/>
                <w:lang w:eastAsia="zh-CN"/>
              </w:rPr>
            </w:pPr>
          </w:p>
        </w:tc>
        <w:tc>
          <w:tcPr>
            <w:tcW w:w="470" w:type="pct"/>
            <w:vAlign w:val="center"/>
          </w:tcPr>
          <w:p w14:paraId="286D1A54">
            <w:pPr>
              <w:widowControl w:val="0"/>
              <w:adjustRightInd w:val="0"/>
              <w:snapToGrid w:val="0"/>
              <w:jc w:val="center"/>
              <w:rPr>
                <w:rFonts w:ascii="Times New Roman" w:hAnsi="Times New Roman" w:cs="Times New Roman"/>
                <w:color w:val="auto"/>
                <w:sz w:val="21"/>
                <w:lang w:eastAsia="zh-CN"/>
              </w:rPr>
            </w:pPr>
          </w:p>
        </w:tc>
        <w:tc>
          <w:tcPr>
            <w:tcW w:w="471" w:type="pct"/>
            <w:vAlign w:val="center"/>
          </w:tcPr>
          <w:p w14:paraId="2F335FBE">
            <w:pPr>
              <w:widowControl w:val="0"/>
              <w:adjustRightInd w:val="0"/>
              <w:snapToGrid w:val="0"/>
              <w:jc w:val="center"/>
              <w:rPr>
                <w:rFonts w:ascii="Times New Roman" w:hAnsi="Times New Roman" w:cs="Times New Roman"/>
                <w:color w:val="auto"/>
                <w:sz w:val="21"/>
                <w:lang w:eastAsia="zh-CN"/>
              </w:rPr>
            </w:pPr>
          </w:p>
        </w:tc>
        <w:tc>
          <w:tcPr>
            <w:tcW w:w="944" w:type="pct"/>
            <w:vMerge w:val="restart"/>
            <w:vAlign w:val="center"/>
          </w:tcPr>
          <w:p w14:paraId="6D3193BC">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0.05</w:t>
            </w:r>
          </w:p>
        </w:tc>
        <w:tc>
          <w:tcPr>
            <w:tcW w:w="365" w:type="pct"/>
            <w:vMerge w:val="restart"/>
            <w:vAlign w:val="center"/>
          </w:tcPr>
          <w:p w14:paraId="21FD8B56">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w:t>
            </w:r>
          </w:p>
        </w:tc>
      </w:tr>
      <w:tr w14:paraId="392715F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jc w:val="center"/>
        </w:trPr>
        <w:tc>
          <w:tcPr>
            <w:tcW w:w="645" w:type="pct"/>
            <w:vMerge w:val="continue"/>
            <w:vAlign w:val="center"/>
          </w:tcPr>
          <w:p w14:paraId="22EBCAC8">
            <w:pPr>
              <w:widowControl w:val="0"/>
              <w:adjustRightInd w:val="0"/>
              <w:snapToGrid w:val="0"/>
              <w:jc w:val="center"/>
              <w:rPr>
                <w:rFonts w:ascii="Times New Roman" w:hAnsi="Times New Roman" w:cs="Times New Roman"/>
                <w:color w:val="auto"/>
                <w:sz w:val="21"/>
                <w:lang w:eastAsia="zh-CN"/>
              </w:rPr>
            </w:pPr>
          </w:p>
        </w:tc>
        <w:tc>
          <w:tcPr>
            <w:tcW w:w="456" w:type="pct"/>
            <w:vMerge w:val="continue"/>
            <w:vAlign w:val="center"/>
          </w:tcPr>
          <w:p w14:paraId="4ACF2762">
            <w:pPr>
              <w:widowControl w:val="0"/>
              <w:adjustRightInd w:val="0"/>
              <w:snapToGrid w:val="0"/>
              <w:jc w:val="center"/>
              <w:rPr>
                <w:rFonts w:ascii="Times New Roman" w:hAnsi="Times New Roman" w:cs="Times New Roman"/>
                <w:color w:val="auto"/>
                <w:sz w:val="21"/>
                <w:lang w:eastAsia="zh-CN"/>
              </w:rPr>
            </w:pPr>
          </w:p>
        </w:tc>
        <w:tc>
          <w:tcPr>
            <w:tcW w:w="550" w:type="pct"/>
            <w:vAlign w:val="center"/>
          </w:tcPr>
          <w:p w14:paraId="0826B472">
            <w:pPr>
              <w:widowControl w:val="0"/>
              <w:adjustRightInd w:val="0"/>
              <w:snapToGrid w:val="0"/>
              <w:jc w:val="center"/>
              <w:rPr>
                <w:rFonts w:ascii="Times New Roman" w:hAnsi="Times New Roman" w:cs="Times New Roman"/>
                <w:color w:val="auto"/>
                <w:sz w:val="21"/>
                <w:lang w:eastAsia="zh-CN"/>
              </w:rPr>
            </w:pPr>
          </w:p>
        </w:tc>
        <w:tc>
          <w:tcPr>
            <w:tcW w:w="548" w:type="pct"/>
            <w:vAlign w:val="center"/>
          </w:tcPr>
          <w:p w14:paraId="4FE524B9">
            <w:pPr>
              <w:widowControl w:val="0"/>
              <w:adjustRightInd w:val="0"/>
              <w:snapToGrid w:val="0"/>
              <w:jc w:val="center"/>
              <w:rPr>
                <w:rFonts w:ascii="Times New Roman" w:hAnsi="Times New Roman" w:cs="Times New Roman"/>
                <w:color w:val="auto"/>
                <w:sz w:val="21"/>
                <w:lang w:eastAsia="zh-CN"/>
              </w:rPr>
            </w:pPr>
          </w:p>
        </w:tc>
        <w:tc>
          <w:tcPr>
            <w:tcW w:w="551" w:type="pct"/>
            <w:vAlign w:val="center"/>
          </w:tcPr>
          <w:p w14:paraId="7DEF81C1">
            <w:pPr>
              <w:widowControl w:val="0"/>
              <w:adjustRightInd w:val="0"/>
              <w:snapToGrid w:val="0"/>
              <w:jc w:val="center"/>
              <w:rPr>
                <w:rFonts w:ascii="Times New Roman" w:hAnsi="Times New Roman" w:cs="Times New Roman"/>
                <w:color w:val="auto"/>
                <w:sz w:val="21"/>
                <w:lang w:eastAsia="zh-CN"/>
              </w:rPr>
            </w:pPr>
          </w:p>
        </w:tc>
        <w:tc>
          <w:tcPr>
            <w:tcW w:w="470" w:type="pct"/>
            <w:vAlign w:val="center"/>
          </w:tcPr>
          <w:p w14:paraId="654D22D9">
            <w:pPr>
              <w:widowControl w:val="0"/>
              <w:adjustRightInd w:val="0"/>
              <w:snapToGrid w:val="0"/>
              <w:jc w:val="center"/>
              <w:rPr>
                <w:rFonts w:ascii="Times New Roman" w:hAnsi="Times New Roman" w:cs="Times New Roman"/>
                <w:color w:val="auto"/>
                <w:sz w:val="21"/>
                <w:lang w:eastAsia="zh-CN"/>
              </w:rPr>
            </w:pPr>
          </w:p>
        </w:tc>
        <w:tc>
          <w:tcPr>
            <w:tcW w:w="471" w:type="pct"/>
            <w:vAlign w:val="center"/>
          </w:tcPr>
          <w:p w14:paraId="74F87D71">
            <w:pPr>
              <w:widowControl w:val="0"/>
              <w:adjustRightInd w:val="0"/>
              <w:snapToGrid w:val="0"/>
              <w:jc w:val="center"/>
              <w:rPr>
                <w:rFonts w:ascii="Times New Roman" w:hAnsi="Times New Roman" w:cs="Times New Roman"/>
                <w:color w:val="auto"/>
                <w:sz w:val="21"/>
                <w:lang w:eastAsia="zh-CN"/>
              </w:rPr>
            </w:pPr>
          </w:p>
        </w:tc>
        <w:tc>
          <w:tcPr>
            <w:tcW w:w="944" w:type="pct"/>
            <w:vMerge w:val="continue"/>
            <w:vAlign w:val="center"/>
          </w:tcPr>
          <w:p w14:paraId="24BEA699">
            <w:pPr>
              <w:widowControl w:val="0"/>
              <w:adjustRightInd w:val="0"/>
              <w:snapToGrid w:val="0"/>
              <w:jc w:val="center"/>
              <w:rPr>
                <w:rFonts w:ascii="Times New Roman" w:hAnsi="Times New Roman" w:cs="Times New Roman"/>
                <w:color w:val="auto"/>
                <w:sz w:val="21"/>
                <w:lang w:eastAsia="zh-CN"/>
              </w:rPr>
            </w:pPr>
          </w:p>
        </w:tc>
        <w:tc>
          <w:tcPr>
            <w:tcW w:w="365" w:type="pct"/>
            <w:vMerge w:val="continue"/>
            <w:vAlign w:val="center"/>
          </w:tcPr>
          <w:p w14:paraId="410A09CF">
            <w:pPr>
              <w:widowControl w:val="0"/>
              <w:adjustRightInd w:val="0"/>
              <w:snapToGrid w:val="0"/>
              <w:jc w:val="center"/>
              <w:rPr>
                <w:rFonts w:ascii="Times New Roman" w:hAnsi="Times New Roman" w:cs="Times New Roman"/>
                <w:color w:val="auto"/>
                <w:sz w:val="21"/>
                <w:lang w:eastAsia="zh-CN"/>
              </w:rPr>
            </w:pPr>
          </w:p>
        </w:tc>
      </w:tr>
      <w:tr w14:paraId="3F521CB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jc w:val="center"/>
        </w:trPr>
        <w:tc>
          <w:tcPr>
            <w:tcW w:w="645" w:type="pct"/>
            <w:vMerge w:val="continue"/>
            <w:vAlign w:val="center"/>
          </w:tcPr>
          <w:p w14:paraId="34EB7748">
            <w:pPr>
              <w:widowControl w:val="0"/>
              <w:adjustRightInd w:val="0"/>
              <w:snapToGrid w:val="0"/>
              <w:jc w:val="center"/>
              <w:rPr>
                <w:rFonts w:ascii="Times New Roman" w:hAnsi="Times New Roman" w:cs="Times New Roman"/>
                <w:color w:val="auto"/>
                <w:sz w:val="21"/>
                <w:lang w:eastAsia="zh-CN"/>
              </w:rPr>
            </w:pPr>
          </w:p>
        </w:tc>
        <w:tc>
          <w:tcPr>
            <w:tcW w:w="456" w:type="pct"/>
            <w:vMerge w:val="continue"/>
            <w:vAlign w:val="center"/>
          </w:tcPr>
          <w:p w14:paraId="484BD9AD">
            <w:pPr>
              <w:widowControl w:val="0"/>
              <w:adjustRightInd w:val="0"/>
              <w:snapToGrid w:val="0"/>
              <w:jc w:val="center"/>
              <w:rPr>
                <w:rFonts w:ascii="Times New Roman" w:hAnsi="Times New Roman" w:cs="Times New Roman"/>
                <w:color w:val="auto"/>
                <w:sz w:val="21"/>
                <w:lang w:eastAsia="zh-CN"/>
              </w:rPr>
            </w:pPr>
          </w:p>
        </w:tc>
        <w:tc>
          <w:tcPr>
            <w:tcW w:w="550" w:type="pct"/>
            <w:vAlign w:val="center"/>
          </w:tcPr>
          <w:p w14:paraId="20EA977E">
            <w:pPr>
              <w:widowControl w:val="0"/>
              <w:adjustRightInd w:val="0"/>
              <w:snapToGrid w:val="0"/>
              <w:jc w:val="center"/>
              <w:rPr>
                <w:rFonts w:ascii="Times New Roman" w:hAnsi="Times New Roman" w:cs="Times New Roman"/>
                <w:color w:val="auto"/>
                <w:sz w:val="21"/>
                <w:lang w:eastAsia="zh-CN"/>
              </w:rPr>
            </w:pPr>
          </w:p>
        </w:tc>
        <w:tc>
          <w:tcPr>
            <w:tcW w:w="548" w:type="pct"/>
            <w:vAlign w:val="center"/>
          </w:tcPr>
          <w:p w14:paraId="62C287DA">
            <w:pPr>
              <w:widowControl w:val="0"/>
              <w:adjustRightInd w:val="0"/>
              <w:snapToGrid w:val="0"/>
              <w:jc w:val="center"/>
              <w:rPr>
                <w:rFonts w:ascii="Times New Roman" w:hAnsi="Times New Roman" w:cs="Times New Roman"/>
                <w:color w:val="auto"/>
                <w:sz w:val="21"/>
                <w:lang w:eastAsia="zh-CN"/>
              </w:rPr>
            </w:pPr>
          </w:p>
        </w:tc>
        <w:tc>
          <w:tcPr>
            <w:tcW w:w="551" w:type="pct"/>
            <w:vAlign w:val="center"/>
          </w:tcPr>
          <w:p w14:paraId="2323CB81">
            <w:pPr>
              <w:widowControl w:val="0"/>
              <w:adjustRightInd w:val="0"/>
              <w:snapToGrid w:val="0"/>
              <w:jc w:val="center"/>
              <w:rPr>
                <w:rFonts w:ascii="Times New Roman" w:hAnsi="Times New Roman" w:cs="Times New Roman"/>
                <w:color w:val="auto"/>
                <w:sz w:val="21"/>
                <w:lang w:eastAsia="zh-CN"/>
              </w:rPr>
            </w:pPr>
          </w:p>
        </w:tc>
        <w:tc>
          <w:tcPr>
            <w:tcW w:w="470" w:type="pct"/>
            <w:vAlign w:val="center"/>
          </w:tcPr>
          <w:p w14:paraId="11DD5D89">
            <w:pPr>
              <w:widowControl w:val="0"/>
              <w:adjustRightInd w:val="0"/>
              <w:snapToGrid w:val="0"/>
              <w:jc w:val="center"/>
              <w:rPr>
                <w:rFonts w:ascii="Times New Roman" w:hAnsi="Times New Roman" w:cs="Times New Roman"/>
                <w:color w:val="auto"/>
                <w:sz w:val="21"/>
                <w:lang w:eastAsia="zh-CN"/>
              </w:rPr>
            </w:pPr>
          </w:p>
        </w:tc>
        <w:tc>
          <w:tcPr>
            <w:tcW w:w="471" w:type="pct"/>
            <w:vAlign w:val="center"/>
          </w:tcPr>
          <w:p w14:paraId="747D4B3D">
            <w:pPr>
              <w:widowControl w:val="0"/>
              <w:adjustRightInd w:val="0"/>
              <w:snapToGrid w:val="0"/>
              <w:jc w:val="center"/>
              <w:rPr>
                <w:rFonts w:ascii="Times New Roman" w:hAnsi="Times New Roman" w:cs="Times New Roman"/>
                <w:color w:val="auto"/>
                <w:sz w:val="21"/>
                <w:lang w:eastAsia="zh-CN"/>
              </w:rPr>
            </w:pPr>
          </w:p>
        </w:tc>
        <w:tc>
          <w:tcPr>
            <w:tcW w:w="944" w:type="pct"/>
            <w:vMerge w:val="continue"/>
            <w:vAlign w:val="center"/>
          </w:tcPr>
          <w:p w14:paraId="5BE2902F">
            <w:pPr>
              <w:widowControl w:val="0"/>
              <w:adjustRightInd w:val="0"/>
              <w:snapToGrid w:val="0"/>
              <w:jc w:val="center"/>
              <w:rPr>
                <w:rFonts w:ascii="Times New Roman" w:hAnsi="Times New Roman" w:cs="Times New Roman"/>
                <w:color w:val="auto"/>
                <w:sz w:val="21"/>
                <w:lang w:eastAsia="zh-CN"/>
              </w:rPr>
            </w:pPr>
          </w:p>
        </w:tc>
        <w:tc>
          <w:tcPr>
            <w:tcW w:w="365" w:type="pct"/>
            <w:vMerge w:val="continue"/>
            <w:vAlign w:val="center"/>
          </w:tcPr>
          <w:p w14:paraId="1DC23AAF">
            <w:pPr>
              <w:widowControl w:val="0"/>
              <w:adjustRightInd w:val="0"/>
              <w:snapToGrid w:val="0"/>
              <w:jc w:val="center"/>
              <w:rPr>
                <w:rFonts w:ascii="Times New Roman" w:hAnsi="Times New Roman" w:cs="Times New Roman"/>
                <w:color w:val="auto"/>
                <w:sz w:val="21"/>
                <w:lang w:eastAsia="zh-CN"/>
              </w:rPr>
            </w:pPr>
          </w:p>
        </w:tc>
      </w:tr>
    </w:tbl>
    <w:p w14:paraId="2EA72B90">
      <w:pPr>
        <w:widowControl w:val="0"/>
        <w:adjustRightInd w:val="0"/>
        <w:snapToGrid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根据监测结果，现有工程无组织废气污染物氟化物、氯化氢排放满足</w:t>
      </w:r>
      <w:r>
        <w:rPr>
          <w:rFonts w:ascii="Times New Roman" w:hAnsi="Times New Roman" w:cs="Times New Roman"/>
          <w:color w:val="auto"/>
          <w:lang w:eastAsia="zh-CN"/>
        </w:rPr>
        <w:t>《</w:t>
      </w:r>
      <w:r>
        <w:rPr>
          <w:rFonts w:hint="eastAsia" w:ascii="Times New Roman" w:hAnsi="Times New Roman" w:cs="Times New Roman"/>
          <w:color w:val="auto"/>
          <w:lang w:eastAsia="zh-CN"/>
        </w:rPr>
        <w:t>无机化学工业污染物排放标准》（GB31573-2015）中排放限值</w:t>
      </w:r>
      <w:r>
        <w:rPr>
          <w:rFonts w:hint="eastAsia" w:ascii="Times New Roman" w:hAnsi="Times New Roman" w:cs="Times New Roman"/>
          <w:color w:val="auto"/>
          <w:szCs w:val="24"/>
          <w:lang w:eastAsia="zh-CN"/>
        </w:rPr>
        <w:t>要求。</w:t>
      </w:r>
    </w:p>
    <w:p w14:paraId="6CE2F1F5">
      <w:pPr>
        <w:adjustRightInd w:val="0"/>
        <w:snapToGrid w:val="0"/>
        <w:spacing w:line="360" w:lineRule="auto"/>
        <w:ind w:firstLine="482"/>
        <w:jc w:val="both"/>
        <w:outlineLvl w:val="2"/>
        <w:rPr>
          <w:rFonts w:ascii="Times New Roman" w:hAnsi="Times New Roman" w:cs="Times New Roman"/>
          <w:b/>
          <w:bCs/>
          <w:color w:val="auto"/>
          <w:szCs w:val="24"/>
          <w:lang w:eastAsia="zh-CN"/>
        </w:rPr>
      </w:pPr>
      <w:bookmarkStart w:id="509" w:name="_Toc237508267"/>
      <w:bookmarkStart w:id="510" w:name="_Toc236641284"/>
      <w:bookmarkStart w:id="511" w:name="_Toc231828553"/>
      <w:bookmarkStart w:id="512" w:name="_Toc236641801"/>
      <w:r>
        <w:rPr>
          <w:rFonts w:ascii="Times New Roman" w:hAnsi="Times New Roman" w:cs="Times New Roman"/>
          <w:b/>
          <w:bCs/>
          <w:color w:val="auto"/>
          <w:szCs w:val="24"/>
          <w:lang w:eastAsia="zh-CN"/>
        </w:rPr>
        <w:t>3.</w:t>
      </w:r>
      <w:r>
        <w:rPr>
          <w:rFonts w:hint="eastAsia" w:ascii="Times New Roman" w:hAnsi="Times New Roman" w:cs="Times New Roman"/>
          <w:b/>
          <w:bCs/>
          <w:color w:val="auto"/>
          <w:szCs w:val="24"/>
          <w:lang w:eastAsia="zh-CN"/>
        </w:rPr>
        <w:t>2</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2 废水</w:t>
      </w:r>
      <w:bookmarkEnd w:id="509"/>
      <w:bookmarkEnd w:id="510"/>
      <w:bookmarkEnd w:id="511"/>
      <w:bookmarkEnd w:id="512"/>
    </w:p>
    <w:p w14:paraId="532F42B3">
      <w:pPr>
        <w:pStyle w:val="19"/>
        <w:adjustRightInd w:val="0"/>
        <w:snapToGrid w:val="0"/>
        <w:spacing w:after="0" w:line="360" w:lineRule="auto"/>
        <w:ind w:left="0" w:leftChars="0" w:firstLine="482" w:firstLineChars="200"/>
        <w:jc w:val="both"/>
        <w:rPr>
          <w:rFonts w:ascii="Times New Roman" w:hAnsi="Times New Roman" w:cs="Times New Roman"/>
          <w:b/>
          <w:bCs/>
          <w:color w:val="auto"/>
          <w:szCs w:val="24"/>
          <w:lang w:eastAsia="zh-CN"/>
        </w:rPr>
      </w:pPr>
      <w:r>
        <w:rPr>
          <w:rFonts w:hint="eastAsia" w:ascii="Times New Roman" w:hAnsi="Times New Roman" w:cs="Times New Roman"/>
          <w:b/>
          <w:bCs/>
          <w:color w:val="auto"/>
          <w:szCs w:val="24"/>
          <w:lang w:eastAsia="zh-CN"/>
        </w:rPr>
        <w:t>1、现有工程废水治理措施</w:t>
      </w:r>
    </w:p>
    <w:p w14:paraId="79D20E12">
      <w:pPr>
        <w:pStyle w:val="19"/>
        <w:adjustRightInd w:val="0"/>
        <w:snapToGrid w:val="0"/>
        <w:spacing w:after="0" w:line="360" w:lineRule="auto"/>
        <w:ind w:left="0" w:leftChars="0" w:firstLine="480" w:firstLineChars="200"/>
        <w:jc w:val="both"/>
        <w:rPr>
          <w:rFonts w:ascii="Times New Roman" w:hAnsi="Times New Roman" w:eastAsia="新宋体" w:cs="Times New Roman"/>
          <w:color w:val="auto"/>
          <w:szCs w:val="24"/>
          <w:lang w:eastAsia="zh-CN"/>
        </w:rPr>
      </w:pPr>
      <w:r>
        <w:rPr>
          <w:rFonts w:hint="eastAsia" w:ascii="Times New Roman" w:hAnsi="Times New Roman" w:cs="Times New Roman"/>
          <w:color w:val="auto"/>
          <w:szCs w:val="24"/>
          <w:lang w:eastAsia="zh-CN"/>
        </w:rPr>
        <w:t>经过现场调查，结合环评及环评批复、验收及验收意见，</w:t>
      </w:r>
      <w:r>
        <w:rPr>
          <w:rFonts w:hint="eastAsia" w:ascii="Times New Roman" w:hAnsi="Times New Roman" w:cs="Times New Roman"/>
          <w:lang w:eastAsia="zh-CN"/>
        </w:rPr>
        <w:t>现有工程废水主要为碱喷淋塔置换废水、循环冷却水排水、设备及地面清洁废水、纯水制备废水、生活污水、初期雨水。现有工程碱喷淋塔置换废水、设备及地面清洁废水、初期雨水通过厂区污水处理站（</w:t>
      </w:r>
      <w:r>
        <w:rPr>
          <w:rFonts w:ascii="Times New Roman" w:hAnsi="Times New Roman" w:cs="Times New Roman"/>
          <w:lang w:eastAsia="zh-CN"/>
        </w:rPr>
        <w:t>四级除氟反应+四级除氟沉淀</w:t>
      </w:r>
      <w:r>
        <w:rPr>
          <w:rFonts w:hint="eastAsia" w:ascii="Times New Roman" w:hAnsi="Times New Roman" w:cs="Times New Roman"/>
          <w:lang w:eastAsia="zh-CN"/>
        </w:rPr>
        <w:t>）</w:t>
      </w:r>
      <w:r>
        <w:rPr>
          <w:rFonts w:ascii="Times New Roman" w:hAnsi="Times New Roman" w:cs="Times New Roman"/>
          <w:lang w:eastAsia="zh-CN"/>
        </w:rPr>
        <w:t>处理</w:t>
      </w:r>
      <w:r>
        <w:rPr>
          <w:rFonts w:hint="eastAsia" w:ascii="Times New Roman" w:hAnsi="Times New Roman" w:cs="Times New Roman"/>
          <w:lang w:eastAsia="zh-CN"/>
        </w:rPr>
        <w:t>后，</w:t>
      </w:r>
      <w:r>
        <w:rPr>
          <w:rFonts w:hint="eastAsia" w:ascii="Times New Roman" w:hAnsi="Times New Roman" w:eastAsia="新宋体" w:cs="Times New Roman"/>
          <w:color w:val="auto"/>
          <w:szCs w:val="24"/>
          <w:lang w:eastAsia="zh-CN"/>
        </w:rPr>
        <w:t>与</w:t>
      </w:r>
      <w:r>
        <w:rPr>
          <w:rFonts w:hint="eastAsia" w:ascii="Times New Roman" w:hAnsi="Times New Roman" w:cs="Times New Roman"/>
          <w:lang w:eastAsia="zh-CN"/>
        </w:rPr>
        <w:t>循环冷却水排水、纯水制备废水、生活污水一同</w:t>
      </w:r>
      <w:r>
        <w:rPr>
          <w:rFonts w:ascii="Times New Roman" w:hAnsi="Times New Roman" w:eastAsia="新宋体" w:cs="Times New Roman"/>
          <w:color w:val="auto"/>
          <w:szCs w:val="24"/>
          <w:lang w:eastAsia="zh-CN"/>
        </w:rPr>
        <w:t>接管沫河口污水处理厂</w:t>
      </w:r>
      <w:r>
        <w:rPr>
          <w:rFonts w:hint="eastAsia" w:ascii="Times New Roman" w:hAnsi="Times New Roman" w:eastAsia="新宋体" w:cs="Times New Roman"/>
          <w:color w:val="auto"/>
          <w:szCs w:val="24"/>
          <w:lang w:eastAsia="zh-CN"/>
        </w:rPr>
        <w:t>，</w:t>
      </w:r>
      <w:r>
        <w:rPr>
          <w:rFonts w:ascii="Times New Roman" w:hAnsi="Times New Roman" w:eastAsia="新宋体" w:cs="Times New Roman"/>
          <w:color w:val="auto"/>
          <w:szCs w:val="24"/>
          <w:lang w:eastAsia="zh-CN"/>
        </w:rPr>
        <w:t>经沫河口污水处理厂处理达到《城镇污水处理厂污染物排放标准》（GB18918-2002）中一级 A 标准后，排</w:t>
      </w:r>
      <w:r>
        <w:rPr>
          <w:rFonts w:ascii="Times New Roman" w:hAnsi="Times New Roman" w:cs="Times New Roman"/>
          <w:color w:val="auto"/>
          <w:lang w:eastAsia="zh-CN"/>
        </w:rPr>
        <w:t>入</w:t>
      </w:r>
      <w:r>
        <w:rPr>
          <w:rFonts w:ascii="Times New Roman" w:hAnsi="Times New Roman" w:cs="Times New Roman"/>
          <w:color w:val="auto"/>
          <w:szCs w:val="24"/>
          <w:lang w:eastAsia="zh-CN"/>
        </w:rPr>
        <w:t>三铺大沟</w:t>
      </w:r>
      <w:r>
        <w:rPr>
          <w:rFonts w:ascii="Times New Roman" w:hAnsi="Times New Roman" w:cs="Times New Roman"/>
          <w:color w:val="auto"/>
          <w:lang w:eastAsia="zh-CN"/>
        </w:rPr>
        <w:t>，最终汇入淮河</w:t>
      </w:r>
      <w:r>
        <w:rPr>
          <w:rFonts w:hint="eastAsia" w:ascii="Times New Roman" w:hAnsi="Times New Roman" w:cs="Times New Roman"/>
          <w:color w:val="auto"/>
          <w:lang w:eastAsia="zh-CN"/>
        </w:rPr>
        <w:t>。</w:t>
      </w:r>
    </w:p>
    <w:p w14:paraId="49E2253D">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表3.</w:t>
      </w:r>
      <w:r>
        <w:rPr>
          <w:rFonts w:hint="eastAsia" w:ascii="Times New Roman" w:hAnsi="Times New Roman" w:cs="Times New Roman"/>
          <w:b/>
          <w:bCs/>
          <w:color w:val="auto"/>
          <w:lang w:eastAsia="zh-CN"/>
        </w:rPr>
        <w:t>2</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4</w:t>
      </w:r>
      <w:r>
        <w:rPr>
          <w:rFonts w:ascii="Times New Roman" w:hAnsi="Times New Roman" w:cs="Times New Roman"/>
          <w:b/>
          <w:bCs/>
          <w:color w:val="auto"/>
          <w:lang w:eastAsia="zh-CN"/>
        </w:rPr>
        <w:t xml:space="preserve"> </w:t>
      </w:r>
      <w:r>
        <w:rPr>
          <w:rFonts w:hint="eastAsia" w:ascii="Times New Roman" w:hAnsi="Times New Roman" w:cs="Times New Roman"/>
          <w:b/>
          <w:bCs/>
          <w:color w:val="auto"/>
          <w:lang w:eastAsia="zh-CN"/>
        </w:rPr>
        <w:t>现有工程废水治理措施</w:t>
      </w:r>
      <w:r>
        <w:rPr>
          <w:rFonts w:ascii="Times New Roman" w:hAnsi="Times New Roman" w:cs="Times New Roman"/>
          <w:b/>
          <w:bCs/>
          <w:color w:val="auto"/>
          <w:lang w:eastAsia="zh-CN"/>
        </w:rPr>
        <w:t>一览表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11" w:type="dxa"/>
          <w:left w:w="57" w:type="dxa"/>
          <w:bottom w:w="11" w:type="dxa"/>
          <w:right w:w="57" w:type="dxa"/>
        </w:tblCellMar>
      </w:tblPr>
      <w:tblGrid>
        <w:gridCol w:w="1843"/>
        <w:gridCol w:w="4394"/>
        <w:gridCol w:w="2789"/>
      </w:tblGrid>
      <w:tr w14:paraId="3F58DCE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tblHeader/>
          <w:jc w:val="center"/>
        </w:trPr>
        <w:tc>
          <w:tcPr>
            <w:tcW w:w="1021" w:type="pct"/>
            <w:vAlign w:val="center"/>
          </w:tcPr>
          <w:p w14:paraId="03BB773F">
            <w:pPr>
              <w:widowControl w:val="0"/>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污染源</w:t>
            </w:r>
          </w:p>
        </w:tc>
        <w:tc>
          <w:tcPr>
            <w:tcW w:w="2434" w:type="pct"/>
            <w:vAlign w:val="center"/>
          </w:tcPr>
          <w:p w14:paraId="49DA5672">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主要污染物</w:t>
            </w:r>
          </w:p>
        </w:tc>
        <w:tc>
          <w:tcPr>
            <w:tcW w:w="1545" w:type="pct"/>
            <w:vAlign w:val="center"/>
          </w:tcPr>
          <w:p w14:paraId="583333D8">
            <w:pPr>
              <w:widowControl w:val="0"/>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处理</w:t>
            </w:r>
            <w:r>
              <w:rPr>
                <w:rFonts w:ascii="Times New Roman" w:hAnsi="Times New Roman" w:cs="Times New Roman"/>
                <w:b/>
                <w:bCs/>
                <w:color w:val="auto"/>
                <w:sz w:val="21"/>
                <w:lang w:eastAsia="zh-CN"/>
              </w:rPr>
              <w:t>措施</w:t>
            </w:r>
          </w:p>
        </w:tc>
      </w:tr>
      <w:tr w14:paraId="404D95F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1021" w:type="pct"/>
            <w:vAlign w:val="center"/>
          </w:tcPr>
          <w:p w14:paraId="4F1F7849">
            <w:pPr>
              <w:widowControl w:val="0"/>
              <w:adjustRightInd w:val="0"/>
              <w:snapToGrid w:val="0"/>
              <w:jc w:val="center"/>
              <w:rPr>
                <w:rFonts w:ascii="Times New Roman" w:hAnsi="Times New Roman" w:cs="Times New Roman"/>
                <w:color w:val="auto"/>
                <w:sz w:val="21"/>
                <w:lang w:eastAsia="zh-CN"/>
              </w:rPr>
            </w:pPr>
          </w:p>
        </w:tc>
        <w:tc>
          <w:tcPr>
            <w:tcW w:w="2434" w:type="pct"/>
            <w:vAlign w:val="center"/>
          </w:tcPr>
          <w:p w14:paraId="055677B8">
            <w:pPr>
              <w:widowControl w:val="0"/>
              <w:adjustRightInd w:val="0"/>
              <w:snapToGrid w:val="0"/>
              <w:jc w:val="center"/>
              <w:rPr>
                <w:rFonts w:ascii="Times New Roman" w:hAnsi="Times New Roman" w:cs="Times New Roman"/>
                <w:color w:val="auto"/>
                <w:sz w:val="21"/>
                <w:lang w:eastAsia="zh-CN"/>
              </w:rPr>
            </w:pPr>
          </w:p>
        </w:tc>
        <w:tc>
          <w:tcPr>
            <w:tcW w:w="1545" w:type="pct"/>
            <w:vMerge w:val="restart"/>
            <w:vAlign w:val="center"/>
          </w:tcPr>
          <w:p w14:paraId="613B703C">
            <w:pPr>
              <w:widowControl w:val="0"/>
              <w:adjustRightInd w:val="0"/>
              <w:snapToGrid w:val="0"/>
              <w:jc w:val="center"/>
              <w:rPr>
                <w:rFonts w:ascii="Times New Roman" w:hAnsi="Times New Roman" w:cs="Times New Roman"/>
                <w:color w:val="auto"/>
                <w:sz w:val="21"/>
                <w:lang w:eastAsia="zh-CN"/>
              </w:rPr>
            </w:pPr>
          </w:p>
        </w:tc>
      </w:tr>
      <w:tr w14:paraId="51134F4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1021" w:type="pct"/>
            <w:vAlign w:val="center"/>
          </w:tcPr>
          <w:p w14:paraId="7B7E512F">
            <w:pPr>
              <w:widowControl w:val="0"/>
              <w:adjustRightInd w:val="0"/>
              <w:snapToGrid w:val="0"/>
              <w:jc w:val="center"/>
              <w:rPr>
                <w:rFonts w:ascii="Times New Roman" w:hAnsi="Times New Roman" w:cs="Times New Roman"/>
                <w:color w:val="auto"/>
                <w:sz w:val="21"/>
                <w:lang w:eastAsia="zh-CN"/>
              </w:rPr>
            </w:pPr>
          </w:p>
        </w:tc>
        <w:tc>
          <w:tcPr>
            <w:tcW w:w="2434" w:type="pct"/>
            <w:vAlign w:val="center"/>
          </w:tcPr>
          <w:p w14:paraId="37FD63F9">
            <w:pPr>
              <w:widowControl w:val="0"/>
              <w:adjustRightInd w:val="0"/>
              <w:snapToGrid w:val="0"/>
              <w:jc w:val="center"/>
              <w:rPr>
                <w:rFonts w:ascii="Times New Roman" w:hAnsi="Times New Roman" w:cs="Times New Roman"/>
                <w:color w:val="auto"/>
                <w:sz w:val="21"/>
                <w:lang w:eastAsia="zh-CN"/>
              </w:rPr>
            </w:pPr>
          </w:p>
        </w:tc>
        <w:tc>
          <w:tcPr>
            <w:tcW w:w="1545" w:type="pct"/>
            <w:vMerge w:val="continue"/>
            <w:vAlign w:val="center"/>
          </w:tcPr>
          <w:p w14:paraId="0EF11084">
            <w:pPr>
              <w:widowControl w:val="0"/>
              <w:adjustRightInd w:val="0"/>
              <w:snapToGrid w:val="0"/>
              <w:jc w:val="center"/>
              <w:rPr>
                <w:rFonts w:ascii="Times New Roman" w:hAnsi="Times New Roman" w:cs="Times New Roman"/>
                <w:color w:val="auto"/>
                <w:sz w:val="21"/>
                <w:lang w:eastAsia="zh-CN"/>
              </w:rPr>
            </w:pPr>
          </w:p>
        </w:tc>
      </w:tr>
      <w:tr w14:paraId="5B390D5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1021" w:type="pct"/>
            <w:vAlign w:val="center"/>
          </w:tcPr>
          <w:p w14:paraId="6CD42609">
            <w:pPr>
              <w:widowControl w:val="0"/>
              <w:adjustRightInd w:val="0"/>
              <w:snapToGrid w:val="0"/>
              <w:jc w:val="center"/>
              <w:rPr>
                <w:rFonts w:ascii="Times New Roman" w:hAnsi="Times New Roman" w:cs="Times New Roman"/>
                <w:color w:val="auto"/>
                <w:sz w:val="21"/>
                <w:lang w:eastAsia="zh-CN"/>
              </w:rPr>
            </w:pPr>
          </w:p>
        </w:tc>
        <w:tc>
          <w:tcPr>
            <w:tcW w:w="2434" w:type="pct"/>
            <w:vAlign w:val="center"/>
          </w:tcPr>
          <w:p w14:paraId="21C414AB">
            <w:pPr>
              <w:widowControl w:val="0"/>
              <w:adjustRightInd w:val="0"/>
              <w:snapToGrid w:val="0"/>
              <w:jc w:val="center"/>
              <w:rPr>
                <w:rFonts w:ascii="Times New Roman" w:hAnsi="Times New Roman" w:cs="Times New Roman"/>
                <w:color w:val="auto"/>
                <w:sz w:val="21"/>
                <w:lang w:eastAsia="zh-CN"/>
              </w:rPr>
            </w:pPr>
          </w:p>
        </w:tc>
        <w:tc>
          <w:tcPr>
            <w:tcW w:w="1545" w:type="pct"/>
            <w:vMerge w:val="continue"/>
            <w:vAlign w:val="center"/>
          </w:tcPr>
          <w:p w14:paraId="7A599F16">
            <w:pPr>
              <w:widowControl w:val="0"/>
              <w:adjustRightInd w:val="0"/>
              <w:snapToGrid w:val="0"/>
              <w:jc w:val="center"/>
              <w:rPr>
                <w:rFonts w:ascii="Times New Roman" w:hAnsi="Times New Roman" w:cs="Times New Roman"/>
                <w:color w:val="auto"/>
                <w:sz w:val="21"/>
                <w:lang w:eastAsia="zh-CN"/>
              </w:rPr>
            </w:pPr>
          </w:p>
        </w:tc>
      </w:tr>
      <w:tr w14:paraId="1F2A6CB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1021" w:type="pct"/>
            <w:vAlign w:val="center"/>
          </w:tcPr>
          <w:p w14:paraId="36C0E638">
            <w:pPr>
              <w:widowControl w:val="0"/>
              <w:adjustRightInd w:val="0"/>
              <w:snapToGrid w:val="0"/>
              <w:jc w:val="center"/>
              <w:rPr>
                <w:rFonts w:ascii="Times New Roman" w:hAnsi="Times New Roman" w:cs="Times New Roman"/>
                <w:color w:val="auto"/>
                <w:sz w:val="21"/>
                <w:lang w:eastAsia="zh-CN"/>
              </w:rPr>
            </w:pPr>
          </w:p>
        </w:tc>
        <w:tc>
          <w:tcPr>
            <w:tcW w:w="2434" w:type="pct"/>
            <w:vAlign w:val="center"/>
          </w:tcPr>
          <w:p w14:paraId="214CCD9C">
            <w:pPr>
              <w:widowControl w:val="0"/>
              <w:adjustRightInd w:val="0"/>
              <w:snapToGrid w:val="0"/>
              <w:jc w:val="center"/>
              <w:rPr>
                <w:rFonts w:ascii="Times New Roman" w:hAnsi="Times New Roman" w:cs="Times New Roman"/>
                <w:color w:val="auto"/>
                <w:sz w:val="21"/>
                <w:lang w:eastAsia="zh-CN"/>
              </w:rPr>
            </w:pPr>
          </w:p>
        </w:tc>
        <w:tc>
          <w:tcPr>
            <w:tcW w:w="1545" w:type="pct"/>
            <w:vMerge w:val="continue"/>
            <w:vAlign w:val="center"/>
          </w:tcPr>
          <w:p w14:paraId="1A78964B">
            <w:pPr>
              <w:widowControl w:val="0"/>
              <w:adjustRightInd w:val="0"/>
              <w:snapToGrid w:val="0"/>
              <w:jc w:val="center"/>
              <w:rPr>
                <w:rFonts w:ascii="Times New Roman" w:hAnsi="Times New Roman" w:cs="Times New Roman"/>
                <w:color w:val="auto"/>
                <w:sz w:val="21"/>
                <w:lang w:eastAsia="zh-CN"/>
              </w:rPr>
            </w:pPr>
          </w:p>
        </w:tc>
      </w:tr>
      <w:tr w14:paraId="7D2E6BC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1021" w:type="pct"/>
            <w:vAlign w:val="center"/>
          </w:tcPr>
          <w:p w14:paraId="3998E45F">
            <w:pPr>
              <w:widowControl w:val="0"/>
              <w:adjustRightInd w:val="0"/>
              <w:snapToGrid w:val="0"/>
              <w:jc w:val="center"/>
              <w:rPr>
                <w:rFonts w:ascii="Times New Roman" w:hAnsi="Times New Roman" w:cs="Times New Roman"/>
                <w:color w:val="auto"/>
                <w:sz w:val="21"/>
                <w:lang w:eastAsia="zh-CN"/>
              </w:rPr>
            </w:pPr>
          </w:p>
        </w:tc>
        <w:tc>
          <w:tcPr>
            <w:tcW w:w="2434" w:type="pct"/>
            <w:vAlign w:val="center"/>
          </w:tcPr>
          <w:p w14:paraId="397DE615">
            <w:pPr>
              <w:widowControl w:val="0"/>
              <w:adjustRightInd w:val="0"/>
              <w:snapToGrid w:val="0"/>
              <w:jc w:val="center"/>
              <w:rPr>
                <w:rFonts w:ascii="Times New Roman" w:hAnsi="Times New Roman" w:cs="Times New Roman"/>
                <w:color w:val="auto"/>
                <w:sz w:val="21"/>
                <w:lang w:eastAsia="zh-CN"/>
              </w:rPr>
            </w:pPr>
          </w:p>
        </w:tc>
        <w:tc>
          <w:tcPr>
            <w:tcW w:w="1545" w:type="pct"/>
            <w:vAlign w:val="center"/>
          </w:tcPr>
          <w:p w14:paraId="2DF077BD">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r>
      <w:tr w14:paraId="16F48BF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1021" w:type="pct"/>
            <w:vAlign w:val="center"/>
          </w:tcPr>
          <w:p w14:paraId="78E943CC">
            <w:pPr>
              <w:widowControl w:val="0"/>
              <w:adjustRightInd w:val="0"/>
              <w:snapToGrid w:val="0"/>
              <w:jc w:val="center"/>
              <w:rPr>
                <w:rFonts w:ascii="Times New Roman" w:hAnsi="Times New Roman" w:cs="Times New Roman"/>
                <w:color w:val="auto"/>
                <w:sz w:val="21"/>
                <w:lang w:eastAsia="zh-CN"/>
              </w:rPr>
            </w:pPr>
          </w:p>
        </w:tc>
        <w:tc>
          <w:tcPr>
            <w:tcW w:w="2434" w:type="pct"/>
            <w:vAlign w:val="center"/>
          </w:tcPr>
          <w:p w14:paraId="27DAE438">
            <w:pPr>
              <w:widowControl w:val="0"/>
              <w:adjustRightInd w:val="0"/>
              <w:snapToGrid w:val="0"/>
              <w:jc w:val="center"/>
              <w:rPr>
                <w:rFonts w:ascii="Times New Roman" w:hAnsi="Times New Roman" w:cs="Times New Roman"/>
                <w:color w:val="auto"/>
                <w:sz w:val="21"/>
                <w:lang w:eastAsia="zh-CN"/>
              </w:rPr>
            </w:pPr>
          </w:p>
        </w:tc>
        <w:tc>
          <w:tcPr>
            <w:tcW w:w="1545" w:type="pct"/>
            <w:vAlign w:val="center"/>
          </w:tcPr>
          <w:p w14:paraId="1371FC9B">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r>
      <w:tr w14:paraId="7B38097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1021" w:type="pct"/>
            <w:vAlign w:val="center"/>
          </w:tcPr>
          <w:p w14:paraId="3EAB6644">
            <w:pPr>
              <w:widowControl w:val="0"/>
              <w:adjustRightInd w:val="0"/>
              <w:snapToGrid w:val="0"/>
              <w:jc w:val="center"/>
              <w:rPr>
                <w:rFonts w:ascii="Times New Roman" w:hAnsi="Times New Roman" w:cs="Times New Roman"/>
                <w:color w:val="auto"/>
                <w:sz w:val="21"/>
                <w:lang w:eastAsia="zh-CN"/>
              </w:rPr>
            </w:pPr>
          </w:p>
        </w:tc>
        <w:tc>
          <w:tcPr>
            <w:tcW w:w="2434" w:type="pct"/>
            <w:vAlign w:val="center"/>
          </w:tcPr>
          <w:p w14:paraId="507F141F">
            <w:pPr>
              <w:widowControl w:val="0"/>
              <w:adjustRightInd w:val="0"/>
              <w:snapToGrid w:val="0"/>
              <w:jc w:val="center"/>
              <w:rPr>
                <w:rFonts w:ascii="Times New Roman" w:hAnsi="Times New Roman" w:cs="Times New Roman"/>
                <w:color w:val="auto"/>
                <w:sz w:val="21"/>
                <w:lang w:eastAsia="zh-CN"/>
              </w:rPr>
            </w:pPr>
          </w:p>
        </w:tc>
        <w:tc>
          <w:tcPr>
            <w:tcW w:w="1545" w:type="pct"/>
            <w:vAlign w:val="center"/>
          </w:tcPr>
          <w:p w14:paraId="3633C5CD">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r>
    </w:tbl>
    <w:p w14:paraId="3A77E653">
      <w:pPr>
        <w:pStyle w:val="19"/>
        <w:adjustRightInd w:val="0"/>
        <w:snapToGrid w:val="0"/>
        <w:spacing w:after="0" w:line="360" w:lineRule="auto"/>
        <w:ind w:left="0" w:leftChars="0" w:firstLine="482" w:firstLineChars="200"/>
        <w:jc w:val="both"/>
        <w:rPr>
          <w:rFonts w:ascii="Times New Roman" w:hAnsi="Times New Roman" w:cs="Times New Roman"/>
          <w:b/>
          <w:bCs/>
          <w:color w:val="auto"/>
          <w:szCs w:val="24"/>
          <w:lang w:eastAsia="zh-CN"/>
        </w:rPr>
      </w:pPr>
      <w:r>
        <w:rPr>
          <w:rFonts w:hint="eastAsia" w:ascii="Times New Roman" w:hAnsi="Times New Roman" w:cs="Times New Roman"/>
          <w:b/>
          <w:bCs/>
          <w:color w:val="auto"/>
          <w:szCs w:val="24"/>
          <w:lang w:eastAsia="zh-CN"/>
        </w:rPr>
        <w:t>2、现有工程废水达标排放情况</w:t>
      </w:r>
    </w:p>
    <w:p w14:paraId="24CBDAFE">
      <w:pPr>
        <w:widowControl w:val="0"/>
        <w:adjustRightInd w:val="0"/>
        <w:snapToGrid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建设单位于2025年4月14日委托对厂区DW001废水总排口进行监测，根据监测报告，现有工程废水达标情况详见下表</w:t>
      </w:r>
      <w:r>
        <w:rPr>
          <w:rFonts w:ascii="Times New Roman" w:hAnsi="Times New Roman" w:cs="Times New Roman"/>
          <w:color w:val="auto"/>
          <w:szCs w:val="24"/>
          <w:lang w:eastAsia="zh-CN"/>
        </w:rPr>
        <w:t>。</w:t>
      </w:r>
    </w:p>
    <w:p w14:paraId="3B9CF7C6">
      <w:pPr>
        <w:adjustRightInd w:val="0"/>
        <w:snapToGrid w:val="0"/>
        <w:spacing w:line="360" w:lineRule="auto"/>
        <w:jc w:val="center"/>
        <w:rPr>
          <w:rFonts w:ascii="Times New Roman" w:hAnsi="Times New Roman" w:cs="Times New Roman"/>
          <w:b/>
          <w:bCs/>
          <w:vertAlign w:val="superscript"/>
          <w:lang w:eastAsia="zh-CN"/>
        </w:rPr>
      </w:pPr>
      <w:r>
        <w:rPr>
          <w:rFonts w:ascii="Times New Roman" w:hAnsi="Times New Roman" w:cs="Times New Roman"/>
          <w:b/>
          <w:bCs/>
          <w:lang w:eastAsia="zh-CN"/>
        </w:rPr>
        <w:t>表3.</w:t>
      </w:r>
      <w:r>
        <w:rPr>
          <w:rFonts w:hint="eastAsia" w:ascii="Times New Roman" w:hAnsi="Times New Roman" w:cs="Times New Roman"/>
          <w:b/>
          <w:bCs/>
          <w:lang w:eastAsia="zh-CN"/>
        </w:rPr>
        <w:t>2</w:t>
      </w:r>
      <w:r>
        <w:rPr>
          <w:rFonts w:ascii="Times New Roman" w:hAnsi="Times New Roman" w:cs="Times New Roman"/>
          <w:b/>
          <w:bCs/>
          <w:lang w:eastAsia="zh-CN"/>
        </w:rPr>
        <w:t>-</w:t>
      </w:r>
      <w:r>
        <w:rPr>
          <w:rFonts w:hint="eastAsia" w:ascii="Times New Roman" w:hAnsi="Times New Roman" w:cs="Times New Roman"/>
          <w:b/>
          <w:bCs/>
          <w:lang w:eastAsia="zh-CN"/>
        </w:rPr>
        <w:t>5</w:t>
      </w:r>
      <w:r>
        <w:rPr>
          <w:rFonts w:ascii="Times New Roman" w:hAnsi="Times New Roman" w:cs="Times New Roman"/>
          <w:b/>
          <w:bCs/>
          <w:lang w:eastAsia="zh-CN"/>
        </w:rPr>
        <w:t xml:space="preserve"> </w:t>
      </w:r>
      <w:r>
        <w:rPr>
          <w:rFonts w:hint="eastAsia" w:ascii="Times New Roman" w:hAnsi="Times New Roman" w:cs="Times New Roman"/>
          <w:b/>
          <w:bCs/>
          <w:lang w:eastAsia="zh-CN"/>
        </w:rPr>
        <w:t>现有工程废水监测结果   单位：mg/L</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11" w:type="dxa"/>
          <w:left w:w="57" w:type="dxa"/>
          <w:bottom w:w="11" w:type="dxa"/>
          <w:right w:w="57" w:type="dxa"/>
        </w:tblCellMar>
      </w:tblPr>
      <w:tblGrid>
        <w:gridCol w:w="1191"/>
        <w:gridCol w:w="1016"/>
        <w:gridCol w:w="1482"/>
        <w:gridCol w:w="989"/>
        <w:gridCol w:w="993"/>
        <w:gridCol w:w="850"/>
        <w:gridCol w:w="1415"/>
        <w:gridCol w:w="1090"/>
      </w:tblGrid>
      <w:tr w14:paraId="384DD31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660" w:type="pct"/>
            <w:vAlign w:val="center"/>
          </w:tcPr>
          <w:p w14:paraId="0FDA34EF">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监测时间</w:t>
            </w:r>
          </w:p>
        </w:tc>
        <w:tc>
          <w:tcPr>
            <w:tcW w:w="563" w:type="pct"/>
            <w:vAlign w:val="center"/>
          </w:tcPr>
          <w:p w14:paraId="412D6BAC">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排放口</w:t>
            </w:r>
          </w:p>
        </w:tc>
        <w:tc>
          <w:tcPr>
            <w:tcW w:w="821" w:type="pct"/>
            <w:vAlign w:val="center"/>
          </w:tcPr>
          <w:p w14:paraId="06887DD4">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污染物</w:t>
            </w:r>
          </w:p>
        </w:tc>
        <w:tc>
          <w:tcPr>
            <w:tcW w:w="1569" w:type="pct"/>
            <w:gridSpan w:val="3"/>
            <w:vAlign w:val="center"/>
          </w:tcPr>
          <w:p w14:paraId="3D4FE769">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监测结果</w:t>
            </w:r>
            <w:r>
              <w:rPr>
                <w:rFonts w:hint="eastAsia" w:ascii="Times New Roman" w:hAnsi="Times New Roman" w:cs="Times New Roman"/>
                <w:b/>
                <w:bCs/>
                <w:color w:val="auto"/>
                <w:sz w:val="21"/>
                <w:lang w:eastAsia="zh-CN"/>
              </w:rPr>
              <w:t>（mg/L）</w:t>
            </w:r>
          </w:p>
        </w:tc>
        <w:tc>
          <w:tcPr>
            <w:tcW w:w="784" w:type="pct"/>
            <w:vAlign w:val="center"/>
          </w:tcPr>
          <w:p w14:paraId="3D6D863B">
            <w:pPr>
              <w:widowControl w:val="0"/>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排放标准限值</w:t>
            </w:r>
          </w:p>
        </w:tc>
        <w:tc>
          <w:tcPr>
            <w:tcW w:w="603" w:type="pct"/>
            <w:vAlign w:val="center"/>
          </w:tcPr>
          <w:p w14:paraId="2DC34C2B">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达标情况</w:t>
            </w:r>
          </w:p>
        </w:tc>
      </w:tr>
      <w:tr w14:paraId="249F27F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660" w:type="pct"/>
            <w:vMerge w:val="restart"/>
            <w:vAlign w:val="center"/>
          </w:tcPr>
          <w:p w14:paraId="1CA78EB8">
            <w:pPr>
              <w:widowControl w:val="0"/>
              <w:adjustRightInd w:val="0"/>
              <w:snapToGrid w:val="0"/>
              <w:jc w:val="center"/>
              <w:rPr>
                <w:rFonts w:ascii="Times New Roman" w:hAnsi="Times New Roman" w:cs="Times New Roman"/>
                <w:color w:val="auto"/>
                <w:sz w:val="21"/>
                <w:lang w:eastAsia="zh-CN"/>
              </w:rPr>
            </w:pPr>
          </w:p>
        </w:tc>
        <w:tc>
          <w:tcPr>
            <w:tcW w:w="563" w:type="pct"/>
            <w:vMerge w:val="restart"/>
            <w:vAlign w:val="center"/>
          </w:tcPr>
          <w:p w14:paraId="631AE443">
            <w:pPr>
              <w:widowControl w:val="0"/>
              <w:adjustRightInd w:val="0"/>
              <w:snapToGrid w:val="0"/>
              <w:jc w:val="center"/>
              <w:rPr>
                <w:rFonts w:ascii="Times New Roman" w:hAnsi="Times New Roman" w:cs="Times New Roman"/>
                <w:color w:val="auto"/>
                <w:sz w:val="21"/>
                <w:lang w:eastAsia="zh-CN"/>
              </w:rPr>
            </w:pPr>
          </w:p>
        </w:tc>
        <w:tc>
          <w:tcPr>
            <w:tcW w:w="821" w:type="pct"/>
            <w:vAlign w:val="center"/>
          </w:tcPr>
          <w:p w14:paraId="19B3B9C1">
            <w:pPr>
              <w:widowControl w:val="0"/>
              <w:adjustRightInd w:val="0"/>
              <w:snapToGrid w:val="0"/>
              <w:jc w:val="center"/>
              <w:rPr>
                <w:rFonts w:ascii="Times New Roman" w:hAnsi="Times New Roman" w:cs="Times New Roman"/>
                <w:color w:val="auto"/>
                <w:sz w:val="21"/>
                <w:lang w:eastAsia="zh-CN"/>
              </w:rPr>
            </w:pPr>
          </w:p>
        </w:tc>
        <w:tc>
          <w:tcPr>
            <w:tcW w:w="548" w:type="pct"/>
            <w:vAlign w:val="center"/>
          </w:tcPr>
          <w:p w14:paraId="1EE9EBAB">
            <w:pPr>
              <w:widowControl w:val="0"/>
              <w:adjustRightInd w:val="0"/>
              <w:snapToGrid w:val="0"/>
              <w:jc w:val="center"/>
              <w:rPr>
                <w:rFonts w:ascii="Times New Roman" w:hAnsi="Times New Roman" w:cs="Times New Roman"/>
                <w:color w:val="auto"/>
                <w:sz w:val="21"/>
                <w:lang w:eastAsia="zh-CN"/>
              </w:rPr>
            </w:pPr>
          </w:p>
        </w:tc>
        <w:tc>
          <w:tcPr>
            <w:tcW w:w="550" w:type="pct"/>
            <w:vAlign w:val="center"/>
          </w:tcPr>
          <w:p w14:paraId="0F02CEB3">
            <w:pPr>
              <w:widowControl w:val="0"/>
              <w:adjustRightInd w:val="0"/>
              <w:snapToGrid w:val="0"/>
              <w:jc w:val="center"/>
              <w:rPr>
                <w:rFonts w:ascii="Times New Roman" w:hAnsi="Times New Roman" w:cs="Times New Roman"/>
                <w:color w:val="auto"/>
                <w:sz w:val="21"/>
                <w:lang w:eastAsia="zh-CN"/>
              </w:rPr>
            </w:pPr>
          </w:p>
        </w:tc>
        <w:tc>
          <w:tcPr>
            <w:tcW w:w="471" w:type="pct"/>
            <w:vAlign w:val="center"/>
          </w:tcPr>
          <w:p w14:paraId="79C058C1">
            <w:pPr>
              <w:widowControl w:val="0"/>
              <w:adjustRightInd w:val="0"/>
              <w:snapToGrid w:val="0"/>
              <w:jc w:val="center"/>
              <w:rPr>
                <w:rFonts w:ascii="Times New Roman" w:hAnsi="Times New Roman" w:cs="Times New Roman"/>
                <w:color w:val="auto"/>
                <w:sz w:val="21"/>
                <w:lang w:eastAsia="zh-CN"/>
              </w:rPr>
            </w:pPr>
          </w:p>
        </w:tc>
        <w:tc>
          <w:tcPr>
            <w:tcW w:w="784" w:type="pct"/>
            <w:vAlign w:val="center"/>
          </w:tcPr>
          <w:p w14:paraId="6319D900">
            <w:pPr>
              <w:widowControl w:val="0"/>
              <w:adjustRightInd w:val="0"/>
              <w:snapToGrid w:val="0"/>
              <w:jc w:val="center"/>
              <w:rPr>
                <w:rFonts w:ascii="Times New Roman" w:hAnsi="Times New Roman" w:cs="Times New Roman"/>
                <w:color w:val="auto"/>
                <w:sz w:val="21"/>
                <w:lang w:eastAsia="zh-CN"/>
              </w:rPr>
            </w:pPr>
          </w:p>
        </w:tc>
        <w:tc>
          <w:tcPr>
            <w:tcW w:w="603" w:type="pct"/>
            <w:vAlign w:val="center"/>
          </w:tcPr>
          <w:p w14:paraId="71A6BCA0">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达标</w:t>
            </w:r>
          </w:p>
        </w:tc>
      </w:tr>
      <w:tr w14:paraId="1392EAB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660" w:type="pct"/>
            <w:vMerge w:val="continue"/>
            <w:vAlign w:val="center"/>
          </w:tcPr>
          <w:p w14:paraId="08CDAAB8">
            <w:pPr>
              <w:widowControl w:val="0"/>
              <w:adjustRightInd w:val="0"/>
              <w:snapToGrid w:val="0"/>
              <w:jc w:val="center"/>
              <w:rPr>
                <w:rFonts w:ascii="Times New Roman" w:hAnsi="Times New Roman" w:cs="Times New Roman"/>
                <w:color w:val="auto"/>
                <w:sz w:val="21"/>
                <w:lang w:eastAsia="zh-CN"/>
              </w:rPr>
            </w:pPr>
          </w:p>
        </w:tc>
        <w:tc>
          <w:tcPr>
            <w:tcW w:w="563" w:type="pct"/>
            <w:vMerge w:val="continue"/>
            <w:vAlign w:val="center"/>
          </w:tcPr>
          <w:p w14:paraId="551B02D9">
            <w:pPr>
              <w:widowControl w:val="0"/>
              <w:adjustRightInd w:val="0"/>
              <w:snapToGrid w:val="0"/>
              <w:jc w:val="center"/>
              <w:rPr>
                <w:rFonts w:ascii="Times New Roman" w:hAnsi="Times New Roman" w:cs="Times New Roman"/>
                <w:color w:val="auto"/>
                <w:sz w:val="21"/>
                <w:lang w:eastAsia="zh-CN"/>
              </w:rPr>
            </w:pPr>
          </w:p>
        </w:tc>
        <w:tc>
          <w:tcPr>
            <w:tcW w:w="821" w:type="pct"/>
            <w:vAlign w:val="center"/>
          </w:tcPr>
          <w:p w14:paraId="08492CE8">
            <w:pPr>
              <w:widowControl w:val="0"/>
              <w:adjustRightInd w:val="0"/>
              <w:snapToGrid w:val="0"/>
              <w:jc w:val="center"/>
              <w:rPr>
                <w:rFonts w:ascii="Times New Roman" w:hAnsi="Times New Roman" w:cs="Times New Roman"/>
                <w:color w:val="auto"/>
                <w:sz w:val="21"/>
                <w:lang w:eastAsia="zh-CN"/>
              </w:rPr>
            </w:pPr>
          </w:p>
        </w:tc>
        <w:tc>
          <w:tcPr>
            <w:tcW w:w="548" w:type="pct"/>
            <w:vAlign w:val="center"/>
          </w:tcPr>
          <w:p w14:paraId="7A4C6D3C">
            <w:pPr>
              <w:widowControl w:val="0"/>
              <w:adjustRightInd w:val="0"/>
              <w:snapToGrid w:val="0"/>
              <w:jc w:val="center"/>
              <w:rPr>
                <w:rFonts w:ascii="Times New Roman" w:hAnsi="Times New Roman" w:cs="Times New Roman"/>
                <w:color w:val="auto"/>
                <w:sz w:val="21"/>
                <w:lang w:eastAsia="zh-CN"/>
              </w:rPr>
            </w:pPr>
          </w:p>
        </w:tc>
        <w:tc>
          <w:tcPr>
            <w:tcW w:w="550" w:type="pct"/>
            <w:vAlign w:val="center"/>
          </w:tcPr>
          <w:p w14:paraId="61079666">
            <w:pPr>
              <w:widowControl w:val="0"/>
              <w:adjustRightInd w:val="0"/>
              <w:snapToGrid w:val="0"/>
              <w:jc w:val="center"/>
              <w:rPr>
                <w:rFonts w:ascii="Times New Roman" w:hAnsi="Times New Roman" w:cs="Times New Roman"/>
                <w:color w:val="auto"/>
                <w:sz w:val="21"/>
                <w:lang w:eastAsia="zh-CN"/>
              </w:rPr>
            </w:pPr>
          </w:p>
        </w:tc>
        <w:tc>
          <w:tcPr>
            <w:tcW w:w="471" w:type="pct"/>
            <w:vAlign w:val="center"/>
          </w:tcPr>
          <w:p w14:paraId="7B21ADC7">
            <w:pPr>
              <w:widowControl w:val="0"/>
              <w:adjustRightInd w:val="0"/>
              <w:snapToGrid w:val="0"/>
              <w:jc w:val="center"/>
              <w:rPr>
                <w:rFonts w:ascii="Times New Roman" w:hAnsi="Times New Roman" w:cs="Times New Roman"/>
                <w:color w:val="auto"/>
                <w:sz w:val="21"/>
                <w:lang w:eastAsia="zh-CN"/>
              </w:rPr>
            </w:pPr>
          </w:p>
        </w:tc>
        <w:tc>
          <w:tcPr>
            <w:tcW w:w="784" w:type="pct"/>
            <w:vAlign w:val="center"/>
          </w:tcPr>
          <w:p w14:paraId="5614AC9E">
            <w:pPr>
              <w:widowControl w:val="0"/>
              <w:adjustRightInd w:val="0"/>
              <w:snapToGrid w:val="0"/>
              <w:jc w:val="center"/>
              <w:rPr>
                <w:rFonts w:ascii="Times New Roman" w:hAnsi="Times New Roman" w:cs="Times New Roman"/>
                <w:color w:val="auto"/>
                <w:sz w:val="21"/>
                <w:lang w:eastAsia="zh-CN"/>
              </w:rPr>
            </w:pPr>
          </w:p>
        </w:tc>
        <w:tc>
          <w:tcPr>
            <w:tcW w:w="603" w:type="pct"/>
            <w:vAlign w:val="center"/>
          </w:tcPr>
          <w:p w14:paraId="722F1704">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w:t>
            </w:r>
          </w:p>
        </w:tc>
      </w:tr>
      <w:tr w14:paraId="7A306B4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660" w:type="pct"/>
            <w:vMerge w:val="continue"/>
            <w:vAlign w:val="center"/>
          </w:tcPr>
          <w:p w14:paraId="0642540F">
            <w:pPr>
              <w:widowControl w:val="0"/>
              <w:adjustRightInd w:val="0"/>
              <w:snapToGrid w:val="0"/>
              <w:jc w:val="center"/>
              <w:rPr>
                <w:rFonts w:ascii="Times New Roman" w:hAnsi="Times New Roman" w:cs="Times New Roman"/>
                <w:color w:val="auto"/>
                <w:sz w:val="21"/>
                <w:lang w:eastAsia="zh-CN"/>
              </w:rPr>
            </w:pPr>
          </w:p>
        </w:tc>
        <w:tc>
          <w:tcPr>
            <w:tcW w:w="563" w:type="pct"/>
            <w:vMerge w:val="continue"/>
            <w:vAlign w:val="center"/>
          </w:tcPr>
          <w:p w14:paraId="399F6910">
            <w:pPr>
              <w:widowControl w:val="0"/>
              <w:adjustRightInd w:val="0"/>
              <w:snapToGrid w:val="0"/>
              <w:jc w:val="center"/>
              <w:rPr>
                <w:rFonts w:ascii="Times New Roman" w:hAnsi="Times New Roman" w:cs="Times New Roman"/>
                <w:color w:val="auto"/>
                <w:sz w:val="21"/>
                <w:lang w:eastAsia="zh-CN"/>
              </w:rPr>
            </w:pPr>
          </w:p>
        </w:tc>
        <w:tc>
          <w:tcPr>
            <w:tcW w:w="821" w:type="pct"/>
            <w:vAlign w:val="center"/>
          </w:tcPr>
          <w:p w14:paraId="338E6BB2">
            <w:pPr>
              <w:widowControl w:val="0"/>
              <w:adjustRightInd w:val="0"/>
              <w:snapToGrid w:val="0"/>
              <w:jc w:val="center"/>
              <w:rPr>
                <w:rFonts w:ascii="Times New Roman" w:hAnsi="Times New Roman" w:cs="Times New Roman"/>
                <w:color w:val="auto"/>
                <w:sz w:val="21"/>
                <w:vertAlign w:val="subscript"/>
                <w:lang w:eastAsia="zh-CN"/>
              </w:rPr>
            </w:pPr>
          </w:p>
        </w:tc>
        <w:tc>
          <w:tcPr>
            <w:tcW w:w="548" w:type="pct"/>
            <w:vAlign w:val="center"/>
          </w:tcPr>
          <w:p w14:paraId="79C6602E">
            <w:pPr>
              <w:widowControl w:val="0"/>
              <w:adjustRightInd w:val="0"/>
              <w:snapToGrid w:val="0"/>
              <w:jc w:val="center"/>
              <w:rPr>
                <w:rFonts w:ascii="Times New Roman" w:hAnsi="Times New Roman" w:cs="Times New Roman"/>
                <w:color w:val="auto"/>
                <w:sz w:val="21"/>
                <w:lang w:eastAsia="zh-CN"/>
              </w:rPr>
            </w:pPr>
          </w:p>
        </w:tc>
        <w:tc>
          <w:tcPr>
            <w:tcW w:w="550" w:type="pct"/>
            <w:vAlign w:val="center"/>
          </w:tcPr>
          <w:p w14:paraId="4A64C0B8">
            <w:pPr>
              <w:widowControl w:val="0"/>
              <w:adjustRightInd w:val="0"/>
              <w:snapToGrid w:val="0"/>
              <w:jc w:val="center"/>
              <w:rPr>
                <w:rFonts w:ascii="Times New Roman" w:hAnsi="Times New Roman" w:cs="Times New Roman"/>
                <w:color w:val="auto"/>
                <w:sz w:val="21"/>
                <w:lang w:eastAsia="zh-CN"/>
              </w:rPr>
            </w:pPr>
          </w:p>
        </w:tc>
        <w:tc>
          <w:tcPr>
            <w:tcW w:w="471" w:type="pct"/>
            <w:vAlign w:val="center"/>
          </w:tcPr>
          <w:p w14:paraId="16421E00">
            <w:pPr>
              <w:widowControl w:val="0"/>
              <w:adjustRightInd w:val="0"/>
              <w:snapToGrid w:val="0"/>
              <w:jc w:val="center"/>
              <w:rPr>
                <w:rFonts w:ascii="Times New Roman" w:hAnsi="Times New Roman" w:cs="Times New Roman"/>
                <w:color w:val="auto"/>
                <w:sz w:val="21"/>
                <w:lang w:eastAsia="zh-CN"/>
              </w:rPr>
            </w:pPr>
          </w:p>
        </w:tc>
        <w:tc>
          <w:tcPr>
            <w:tcW w:w="784" w:type="pct"/>
            <w:vAlign w:val="center"/>
          </w:tcPr>
          <w:p w14:paraId="0185A099">
            <w:pPr>
              <w:widowControl w:val="0"/>
              <w:adjustRightInd w:val="0"/>
              <w:snapToGrid w:val="0"/>
              <w:jc w:val="center"/>
              <w:rPr>
                <w:rFonts w:ascii="Times New Roman" w:hAnsi="Times New Roman" w:cs="Times New Roman"/>
                <w:color w:val="auto"/>
                <w:sz w:val="21"/>
                <w:lang w:eastAsia="zh-CN"/>
              </w:rPr>
            </w:pPr>
          </w:p>
        </w:tc>
        <w:tc>
          <w:tcPr>
            <w:tcW w:w="603" w:type="pct"/>
            <w:vAlign w:val="center"/>
          </w:tcPr>
          <w:p w14:paraId="7E6EC2B4">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kern w:val="2"/>
                <w:sz w:val="21"/>
                <w:lang w:eastAsia="zh-CN"/>
              </w:rPr>
              <w:t>达标</w:t>
            </w:r>
          </w:p>
        </w:tc>
      </w:tr>
      <w:tr w14:paraId="049546E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660" w:type="pct"/>
            <w:vMerge w:val="continue"/>
            <w:vAlign w:val="center"/>
          </w:tcPr>
          <w:p w14:paraId="2E9059C9">
            <w:pPr>
              <w:widowControl w:val="0"/>
              <w:adjustRightInd w:val="0"/>
              <w:snapToGrid w:val="0"/>
              <w:jc w:val="center"/>
              <w:rPr>
                <w:rFonts w:ascii="Times New Roman" w:hAnsi="Times New Roman" w:cs="Times New Roman"/>
                <w:color w:val="auto"/>
                <w:sz w:val="21"/>
                <w:lang w:eastAsia="zh-CN"/>
              </w:rPr>
            </w:pPr>
          </w:p>
        </w:tc>
        <w:tc>
          <w:tcPr>
            <w:tcW w:w="563" w:type="pct"/>
            <w:vMerge w:val="continue"/>
            <w:vAlign w:val="center"/>
          </w:tcPr>
          <w:p w14:paraId="72D14983">
            <w:pPr>
              <w:widowControl w:val="0"/>
              <w:adjustRightInd w:val="0"/>
              <w:snapToGrid w:val="0"/>
              <w:jc w:val="center"/>
              <w:rPr>
                <w:rFonts w:ascii="Times New Roman" w:hAnsi="Times New Roman" w:cs="Times New Roman"/>
                <w:color w:val="auto"/>
                <w:sz w:val="21"/>
                <w:lang w:eastAsia="zh-CN"/>
              </w:rPr>
            </w:pPr>
          </w:p>
        </w:tc>
        <w:tc>
          <w:tcPr>
            <w:tcW w:w="821" w:type="pct"/>
            <w:vAlign w:val="center"/>
          </w:tcPr>
          <w:p w14:paraId="61FE0A18">
            <w:pPr>
              <w:widowControl w:val="0"/>
              <w:adjustRightInd w:val="0"/>
              <w:snapToGrid w:val="0"/>
              <w:jc w:val="center"/>
              <w:rPr>
                <w:rFonts w:ascii="Times New Roman" w:hAnsi="Times New Roman" w:cs="Times New Roman"/>
                <w:color w:val="auto"/>
                <w:sz w:val="21"/>
                <w:lang w:eastAsia="zh-CN"/>
              </w:rPr>
            </w:pPr>
          </w:p>
        </w:tc>
        <w:tc>
          <w:tcPr>
            <w:tcW w:w="548" w:type="pct"/>
            <w:vAlign w:val="center"/>
          </w:tcPr>
          <w:p w14:paraId="69D61CF3">
            <w:pPr>
              <w:widowControl w:val="0"/>
              <w:adjustRightInd w:val="0"/>
              <w:snapToGrid w:val="0"/>
              <w:jc w:val="center"/>
              <w:rPr>
                <w:rFonts w:ascii="Times New Roman" w:hAnsi="Times New Roman" w:cs="Times New Roman"/>
                <w:color w:val="auto"/>
                <w:sz w:val="21"/>
                <w:lang w:eastAsia="zh-CN"/>
              </w:rPr>
            </w:pPr>
          </w:p>
        </w:tc>
        <w:tc>
          <w:tcPr>
            <w:tcW w:w="550" w:type="pct"/>
            <w:vAlign w:val="center"/>
          </w:tcPr>
          <w:p w14:paraId="56217523">
            <w:pPr>
              <w:widowControl w:val="0"/>
              <w:adjustRightInd w:val="0"/>
              <w:snapToGrid w:val="0"/>
              <w:jc w:val="center"/>
              <w:rPr>
                <w:rFonts w:ascii="Times New Roman" w:hAnsi="Times New Roman" w:cs="Times New Roman"/>
                <w:color w:val="auto"/>
                <w:sz w:val="21"/>
                <w:lang w:eastAsia="zh-CN"/>
              </w:rPr>
            </w:pPr>
          </w:p>
        </w:tc>
        <w:tc>
          <w:tcPr>
            <w:tcW w:w="471" w:type="pct"/>
            <w:vAlign w:val="center"/>
          </w:tcPr>
          <w:p w14:paraId="5C9797E7">
            <w:pPr>
              <w:widowControl w:val="0"/>
              <w:adjustRightInd w:val="0"/>
              <w:snapToGrid w:val="0"/>
              <w:jc w:val="center"/>
              <w:rPr>
                <w:rFonts w:ascii="Times New Roman" w:hAnsi="Times New Roman" w:cs="Times New Roman"/>
                <w:color w:val="auto"/>
                <w:sz w:val="21"/>
                <w:lang w:eastAsia="zh-CN"/>
              </w:rPr>
            </w:pPr>
          </w:p>
        </w:tc>
        <w:tc>
          <w:tcPr>
            <w:tcW w:w="784" w:type="pct"/>
            <w:vAlign w:val="center"/>
          </w:tcPr>
          <w:p w14:paraId="3EAB711A">
            <w:pPr>
              <w:widowControl w:val="0"/>
              <w:adjustRightInd w:val="0"/>
              <w:snapToGrid w:val="0"/>
              <w:jc w:val="center"/>
              <w:rPr>
                <w:rFonts w:ascii="Times New Roman" w:hAnsi="Times New Roman" w:cs="Times New Roman"/>
                <w:color w:val="auto"/>
                <w:sz w:val="21"/>
                <w:lang w:eastAsia="zh-CN"/>
              </w:rPr>
            </w:pPr>
          </w:p>
        </w:tc>
        <w:tc>
          <w:tcPr>
            <w:tcW w:w="603" w:type="pct"/>
            <w:vAlign w:val="center"/>
          </w:tcPr>
          <w:p w14:paraId="521ED9C5">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kern w:val="2"/>
                <w:sz w:val="21"/>
                <w:lang w:eastAsia="zh-CN"/>
              </w:rPr>
              <w:t>达标</w:t>
            </w:r>
          </w:p>
        </w:tc>
      </w:tr>
      <w:tr w14:paraId="51A0F4E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660" w:type="pct"/>
            <w:vMerge w:val="continue"/>
            <w:vAlign w:val="center"/>
          </w:tcPr>
          <w:p w14:paraId="6DCE4B82">
            <w:pPr>
              <w:widowControl w:val="0"/>
              <w:adjustRightInd w:val="0"/>
              <w:snapToGrid w:val="0"/>
              <w:jc w:val="center"/>
              <w:rPr>
                <w:rFonts w:ascii="Times New Roman" w:hAnsi="Times New Roman" w:cs="Times New Roman"/>
                <w:color w:val="auto"/>
                <w:sz w:val="21"/>
                <w:lang w:eastAsia="zh-CN"/>
              </w:rPr>
            </w:pPr>
          </w:p>
        </w:tc>
        <w:tc>
          <w:tcPr>
            <w:tcW w:w="563" w:type="pct"/>
            <w:vMerge w:val="continue"/>
            <w:vAlign w:val="center"/>
          </w:tcPr>
          <w:p w14:paraId="1E33A587">
            <w:pPr>
              <w:widowControl w:val="0"/>
              <w:adjustRightInd w:val="0"/>
              <w:snapToGrid w:val="0"/>
              <w:jc w:val="center"/>
              <w:rPr>
                <w:rFonts w:ascii="Times New Roman" w:hAnsi="Times New Roman" w:cs="Times New Roman"/>
                <w:color w:val="auto"/>
                <w:sz w:val="21"/>
                <w:lang w:eastAsia="zh-CN"/>
              </w:rPr>
            </w:pPr>
          </w:p>
        </w:tc>
        <w:tc>
          <w:tcPr>
            <w:tcW w:w="821" w:type="pct"/>
            <w:vAlign w:val="center"/>
          </w:tcPr>
          <w:p w14:paraId="3E61E3B7">
            <w:pPr>
              <w:widowControl w:val="0"/>
              <w:adjustRightInd w:val="0"/>
              <w:snapToGrid w:val="0"/>
              <w:jc w:val="center"/>
              <w:rPr>
                <w:rFonts w:ascii="Times New Roman" w:hAnsi="Times New Roman" w:cs="Times New Roman"/>
                <w:color w:val="auto"/>
                <w:sz w:val="21"/>
                <w:lang w:eastAsia="zh-CN"/>
              </w:rPr>
            </w:pPr>
          </w:p>
        </w:tc>
        <w:tc>
          <w:tcPr>
            <w:tcW w:w="548" w:type="pct"/>
            <w:vAlign w:val="center"/>
          </w:tcPr>
          <w:p w14:paraId="4C69BBBF">
            <w:pPr>
              <w:widowControl w:val="0"/>
              <w:adjustRightInd w:val="0"/>
              <w:snapToGrid w:val="0"/>
              <w:jc w:val="center"/>
              <w:rPr>
                <w:rFonts w:ascii="Times New Roman" w:hAnsi="Times New Roman" w:cs="Times New Roman"/>
                <w:color w:val="auto"/>
                <w:sz w:val="21"/>
                <w:lang w:eastAsia="zh-CN"/>
              </w:rPr>
            </w:pPr>
          </w:p>
        </w:tc>
        <w:tc>
          <w:tcPr>
            <w:tcW w:w="550" w:type="pct"/>
            <w:vAlign w:val="center"/>
          </w:tcPr>
          <w:p w14:paraId="0F54672E">
            <w:pPr>
              <w:widowControl w:val="0"/>
              <w:adjustRightInd w:val="0"/>
              <w:snapToGrid w:val="0"/>
              <w:jc w:val="center"/>
              <w:rPr>
                <w:rFonts w:ascii="Times New Roman" w:hAnsi="Times New Roman" w:cs="Times New Roman"/>
                <w:color w:val="auto"/>
                <w:sz w:val="21"/>
                <w:lang w:eastAsia="zh-CN"/>
              </w:rPr>
            </w:pPr>
          </w:p>
        </w:tc>
        <w:tc>
          <w:tcPr>
            <w:tcW w:w="471" w:type="pct"/>
            <w:vAlign w:val="center"/>
          </w:tcPr>
          <w:p w14:paraId="34070C8E">
            <w:pPr>
              <w:widowControl w:val="0"/>
              <w:adjustRightInd w:val="0"/>
              <w:snapToGrid w:val="0"/>
              <w:jc w:val="center"/>
              <w:rPr>
                <w:rFonts w:ascii="Times New Roman" w:hAnsi="Times New Roman" w:cs="Times New Roman"/>
                <w:color w:val="auto"/>
                <w:sz w:val="21"/>
                <w:lang w:eastAsia="zh-CN"/>
              </w:rPr>
            </w:pPr>
          </w:p>
        </w:tc>
        <w:tc>
          <w:tcPr>
            <w:tcW w:w="784" w:type="pct"/>
            <w:vAlign w:val="center"/>
          </w:tcPr>
          <w:p w14:paraId="0D7969F2">
            <w:pPr>
              <w:widowControl w:val="0"/>
              <w:adjustRightInd w:val="0"/>
              <w:snapToGrid w:val="0"/>
              <w:jc w:val="center"/>
              <w:rPr>
                <w:rFonts w:ascii="Times New Roman" w:hAnsi="Times New Roman" w:cs="Times New Roman"/>
                <w:color w:val="auto"/>
                <w:kern w:val="2"/>
                <w:sz w:val="21"/>
                <w:lang w:eastAsia="zh-CN"/>
              </w:rPr>
            </w:pPr>
          </w:p>
        </w:tc>
        <w:tc>
          <w:tcPr>
            <w:tcW w:w="603" w:type="pct"/>
            <w:vAlign w:val="center"/>
          </w:tcPr>
          <w:p w14:paraId="05E231E6">
            <w:pPr>
              <w:widowControl w:val="0"/>
              <w:adjustRightInd w:val="0"/>
              <w:snapToGrid w:val="0"/>
              <w:jc w:val="center"/>
              <w:rPr>
                <w:rFonts w:ascii="Times New Roman" w:hAnsi="Times New Roman" w:cs="Times New Roman"/>
                <w:color w:val="auto"/>
                <w:kern w:val="2"/>
                <w:sz w:val="21"/>
                <w:lang w:eastAsia="zh-CN"/>
              </w:rPr>
            </w:pPr>
            <w:r>
              <w:rPr>
                <w:rFonts w:ascii="Times New Roman" w:hAnsi="Times New Roman" w:cs="Times New Roman"/>
                <w:color w:val="auto"/>
                <w:kern w:val="2"/>
                <w:sz w:val="21"/>
                <w:lang w:eastAsia="zh-CN"/>
              </w:rPr>
              <w:t>达标</w:t>
            </w:r>
          </w:p>
        </w:tc>
      </w:tr>
      <w:tr w14:paraId="37E85BD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660" w:type="pct"/>
            <w:vMerge w:val="continue"/>
            <w:vAlign w:val="center"/>
          </w:tcPr>
          <w:p w14:paraId="26DF6203">
            <w:pPr>
              <w:widowControl w:val="0"/>
              <w:adjustRightInd w:val="0"/>
              <w:snapToGrid w:val="0"/>
              <w:jc w:val="center"/>
              <w:rPr>
                <w:rFonts w:ascii="Times New Roman" w:hAnsi="Times New Roman" w:cs="Times New Roman"/>
                <w:color w:val="auto"/>
                <w:sz w:val="21"/>
                <w:lang w:eastAsia="zh-CN"/>
              </w:rPr>
            </w:pPr>
          </w:p>
        </w:tc>
        <w:tc>
          <w:tcPr>
            <w:tcW w:w="563" w:type="pct"/>
            <w:vMerge w:val="continue"/>
            <w:vAlign w:val="center"/>
          </w:tcPr>
          <w:p w14:paraId="62BFD3BF">
            <w:pPr>
              <w:widowControl w:val="0"/>
              <w:adjustRightInd w:val="0"/>
              <w:snapToGrid w:val="0"/>
              <w:jc w:val="center"/>
              <w:rPr>
                <w:rFonts w:ascii="Times New Roman" w:hAnsi="Times New Roman" w:cs="Times New Roman"/>
                <w:color w:val="auto"/>
                <w:sz w:val="21"/>
                <w:lang w:eastAsia="zh-CN"/>
              </w:rPr>
            </w:pPr>
          </w:p>
        </w:tc>
        <w:tc>
          <w:tcPr>
            <w:tcW w:w="821" w:type="pct"/>
            <w:vAlign w:val="center"/>
          </w:tcPr>
          <w:p w14:paraId="742B2B3D">
            <w:pPr>
              <w:widowControl w:val="0"/>
              <w:adjustRightInd w:val="0"/>
              <w:snapToGrid w:val="0"/>
              <w:jc w:val="center"/>
              <w:rPr>
                <w:rFonts w:ascii="Times New Roman" w:hAnsi="Times New Roman" w:cs="Times New Roman"/>
                <w:color w:val="auto"/>
                <w:sz w:val="21"/>
                <w:lang w:eastAsia="zh-CN"/>
              </w:rPr>
            </w:pPr>
          </w:p>
        </w:tc>
        <w:tc>
          <w:tcPr>
            <w:tcW w:w="548" w:type="pct"/>
            <w:vAlign w:val="center"/>
          </w:tcPr>
          <w:p w14:paraId="3726AFBB">
            <w:pPr>
              <w:widowControl w:val="0"/>
              <w:adjustRightInd w:val="0"/>
              <w:snapToGrid w:val="0"/>
              <w:jc w:val="center"/>
              <w:rPr>
                <w:rFonts w:ascii="Times New Roman" w:hAnsi="Times New Roman" w:cs="Times New Roman"/>
                <w:color w:val="auto"/>
                <w:sz w:val="21"/>
                <w:lang w:eastAsia="zh-CN"/>
              </w:rPr>
            </w:pPr>
          </w:p>
        </w:tc>
        <w:tc>
          <w:tcPr>
            <w:tcW w:w="550" w:type="pct"/>
            <w:vAlign w:val="center"/>
          </w:tcPr>
          <w:p w14:paraId="62307A6A">
            <w:pPr>
              <w:widowControl w:val="0"/>
              <w:adjustRightInd w:val="0"/>
              <w:snapToGrid w:val="0"/>
              <w:jc w:val="center"/>
              <w:rPr>
                <w:rFonts w:ascii="Times New Roman" w:hAnsi="Times New Roman" w:cs="Times New Roman"/>
                <w:color w:val="auto"/>
                <w:sz w:val="21"/>
                <w:lang w:eastAsia="zh-CN"/>
              </w:rPr>
            </w:pPr>
          </w:p>
        </w:tc>
        <w:tc>
          <w:tcPr>
            <w:tcW w:w="471" w:type="pct"/>
            <w:vAlign w:val="center"/>
          </w:tcPr>
          <w:p w14:paraId="78D51A68">
            <w:pPr>
              <w:widowControl w:val="0"/>
              <w:adjustRightInd w:val="0"/>
              <w:snapToGrid w:val="0"/>
              <w:jc w:val="center"/>
              <w:rPr>
                <w:rFonts w:ascii="Times New Roman" w:hAnsi="Times New Roman" w:cs="Times New Roman"/>
                <w:color w:val="auto"/>
                <w:sz w:val="21"/>
                <w:lang w:eastAsia="zh-CN"/>
              </w:rPr>
            </w:pPr>
          </w:p>
        </w:tc>
        <w:tc>
          <w:tcPr>
            <w:tcW w:w="784" w:type="pct"/>
            <w:vAlign w:val="center"/>
          </w:tcPr>
          <w:p w14:paraId="2263092F">
            <w:pPr>
              <w:widowControl w:val="0"/>
              <w:adjustRightInd w:val="0"/>
              <w:snapToGrid w:val="0"/>
              <w:jc w:val="center"/>
              <w:rPr>
                <w:rFonts w:ascii="Times New Roman" w:hAnsi="Times New Roman" w:cs="Times New Roman"/>
                <w:color w:val="auto"/>
                <w:sz w:val="21"/>
                <w:lang w:eastAsia="zh-CN"/>
              </w:rPr>
            </w:pPr>
          </w:p>
        </w:tc>
        <w:tc>
          <w:tcPr>
            <w:tcW w:w="603" w:type="pct"/>
            <w:vAlign w:val="center"/>
          </w:tcPr>
          <w:p w14:paraId="4C641E39">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kern w:val="2"/>
                <w:sz w:val="21"/>
                <w:lang w:eastAsia="zh-CN"/>
              </w:rPr>
              <w:t>达标</w:t>
            </w:r>
          </w:p>
        </w:tc>
      </w:tr>
      <w:tr w14:paraId="0E73AD1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27" w:hRule="atLeast"/>
          <w:jc w:val="center"/>
        </w:trPr>
        <w:tc>
          <w:tcPr>
            <w:tcW w:w="660" w:type="pct"/>
            <w:vMerge w:val="continue"/>
            <w:vAlign w:val="center"/>
          </w:tcPr>
          <w:p w14:paraId="6818B0A8">
            <w:pPr>
              <w:widowControl w:val="0"/>
              <w:adjustRightInd w:val="0"/>
              <w:snapToGrid w:val="0"/>
              <w:jc w:val="center"/>
              <w:rPr>
                <w:rFonts w:ascii="Times New Roman" w:hAnsi="Times New Roman" w:cs="Times New Roman"/>
                <w:color w:val="auto"/>
                <w:sz w:val="21"/>
                <w:lang w:eastAsia="zh-CN"/>
              </w:rPr>
            </w:pPr>
          </w:p>
        </w:tc>
        <w:tc>
          <w:tcPr>
            <w:tcW w:w="563" w:type="pct"/>
            <w:vMerge w:val="continue"/>
            <w:vAlign w:val="center"/>
          </w:tcPr>
          <w:p w14:paraId="163DFD8B">
            <w:pPr>
              <w:widowControl w:val="0"/>
              <w:adjustRightInd w:val="0"/>
              <w:snapToGrid w:val="0"/>
              <w:jc w:val="center"/>
              <w:rPr>
                <w:rFonts w:ascii="Times New Roman" w:hAnsi="Times New Roman" w:cs="Times New Roman"/>
                <w:color w:val="auto"/>
                <w:sz w:val="21"/>
                <w:lang w:eastAsia="zh-CN"/>
              </w:rPr>
            </w:pPr>
          </w:p>
        </w:tc>
        <w:tc>
          <w:tcPr>
            <w:tcW w:w="821" w:type="pct"/>
            <w:vAlign w:val="center"/>
          </w:tcPr>
          <w:p w14:paraId="63346F2C">
            <w:pPr>
              <w:widowControl w:val="0"/>
              <w:adjustRightInd w:val="0"/>
              <w:snapToGrid w:val="0"/>
              <w:jc w:val="center"/>
              <w:rPr>
                <w:rFonts w:ascii="Times New Roman" w:hAnsi="Times New Roman" w:cs="Times New Roman"/>
                <w:color w:val="auto"/>
                <w:sz w:val="21"/>
                <w:lang w:eastAsia="zh-CN"/>
              </w:rPr>
            </w:pPr>
          </w:p>
        </w:tc>
        <w:tc>
          <w:tcPr>
            <w:tcW w:w="548" w:type="pct"/>
            <w:vAlign w:val="center"/>
          </w:tcPr>
          <w:p w14:paraId="6D99D53B">
            <w:pPr>
              <w:widowControl w:val="0"/>
              <w:adjustRightInd w:val="0"/>
              <w:snapToGrid w:val="0"/>
              <w:jc w:val="center"/>
              <w:rPr>
                <w:rFonts w:ascii="Times New Roman" w:hAnsi="Times New Roman" w:cs="Times New Roman"/>
                <w:color w:val="auto"/>
                <w:sz w:val="21"/>
                <w:lang w:eastAsia="zh-CN"/>
              </w:rPr>
            </w:pPr>
          </w:p>
        </w:tc>
        <w:tc>
          <w:tcPr>
            <w:tcW w:w="550" w:type="pct"/>
            <w:vAlign w:val="center"/>
          </w:tcPr>
          <w:p w14:paraId="41962801">
            <w:pPr>
              <w:widowControl w:val="0"/>
              <w:adjustRightInd w:val="0"/>
              <w:snapToGrid w:val="0"/>
              <w:jc w:val="center"/>
              <w:rPr>
                <w:rFonts w:ascii="Times New Roman" w:hAnsi="Times New Roman" w:cs="Times New Roman"/>
                <w:color w:val="auto"/>
                <w:sz w:val="21"/>
                <w:lang w:eastAsia="zh-CN"/>
              </w:rPr>
            </w:pPr>
          </w:p>
        </w:tc>
        <w:tc>
          <w:tcPr>
            <w:tcW w:w="471" w:type="pct"/>
            <w:vAlign w:val="center"/>
          </w:tcPr>
          <w:p w14:paraId="388973AC">
            <w:pPr>
              <w:widowControl w:val="0"/>
              <w:adjustRightInd w:val="0"/>
              <w:snapToGrid w:val="0"/>
              <w:jc w:val="center"/>
              <w:rPr>
                <w:rFonts w:ascii="Times New Roman" w:hAnsi="Times New Roman" w:cs="Times New Roman"/>
                <w:color w:val="auto"/>
                <w:sz w:val="21"/>
                <w:lang w:eastAsia="zh-CN"/>
              </w:rPr>
            </w:pPr>
          </w:p>
        </w:tc>
        <w:tc>
          <w:tcPr>
            <w:tcW w:w="784" w:type="pct"/>
            <w:vAlign w:val="center"/>
          </w:tcPr>
          <w:p w14:paraId="0C276800">
            <w:pPr>
              <w:widowControl w:val="0"/>
              <w:adjustRightInd w:val="0"/>
              <w:snapToGrid w:val="0"/>
              <w:jc w:val="center"/>
              <w:rPr>
                <w:rFonts w:ascii="Times New Roman" w:hAnsi="Times New Roman" w:cs="Times New Roman"/>
                <w:color w:val="auto"/>
                <w:sz w:val="21"/>
                <w:lang w:eastAsia="zh-CN"/>
              </w:rPr>
            </w:pPr>
          </w:p>
        </w:tc>
        <w:tc>
          <w:tcPr>
            <w:tcW w:w="603" w:type="pct"/>
            <w:vAlign w:val="center"/>
          </w:tcPr>
          <w:p w14:paraId="5ECD8BA9">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kern w:val="2"/>
                <w:sz w:val="21"/>
                <w:lang w:eastAsia="zh-CN"/>
              </w:rPr>
              <w:t>/</w:t>
            </w:r>
          </w:p>
        </w:tc>
      </w:tr>
    </w:tbl>
    <w:p w14:paraId="06C2EA0D">
      <w:pPr>
        <w:widowControl w:val="0"/>
        <w:adjustRightInd w:val="0"/>
        <w:snapToGrid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根据国发平台重点排污单位自动监控与基础数据库系统（</w:t>
      </w:r>
      <w:r>
        <w:fldChar w:fldCharType="begin"/>
      </w:r>
      <w:r>
        <w:instrText xml:space="preserve"> HYPERLINK "http://14.18.155.171:44080/amOnline/zdjk-company-base/login）中2024年度、2025" </w:instrText>
      </w:r>
      <w:r>
        <w:fldChar w:fldCharType="separate"/>
      </w:r>
      <w:r>
        <w:rPr>
          <w:rStyle w:val="40"/>
          <w:rFonts w:ascii="Times New Roman" w:hAnsi="Times New Roman" w:cs="Times New Roman"/>
          <w:color w:val="auto"/>
          <w:szCs w:val="24"/>
          <w:lang w:eastAsia="zh-CN"/>
        </w:rPr>
        <w:t>http://14.18.155.171:44080/amOnline/zdjk-company-base/login</w:t>
      </w:r>
      <w:r>
        <w:rPr>
          <w:rStyle w:val="40"/>
          <w:rFonts w:hint="eastAsia" w:ascii="Times New Roman" w:hAnsi="Times New Roman" w:cs="Times New Roman"/>
          <w:color w:val="auto"/>
          <w:szCs w:val="24"/>
          <w:lang w:eastAsia="zh-CN"/>
        </w:rPr>
        <w:t>）中2025</w:t>
      </w:r>
      <w:r>
        <w:rPr>
          <w:rStyle w:val="40"/>
          <w:rFonts w:hint="eastAsia" w:ascii="Times New Roman" w:hAnsi="Times New Roman" w:cs="Times New Roman"/>
          <w:color w:val="auto"/>
          <w:szCs w:val="24"/>
          <w:lang w:eastAsia="zh-CN"/>
        </w:rPr>
        <w:fldChar w:fldCharType="end"/>
      </w:r>
      <w:r>
        <w:rPr>
          <w:rFonts w:hint="eastAsia" w:ascii="Times New Roman" w:hAnsi="Times New Roman" w:cs="Times New Roman"/>
          <w:color w:val="auto"/>
          <w:szCs w:val="24"/>
          <w:lang w:eastAsia="zh-CN"/>
        </w:rPr>
        <w:t>年度在线监测数据，现有工程废水氟化物达标情况如下。</w:t>
      </w:r>
    </w:p>
    <w:p w14:paraId="7E99A0C7">
      <w:pPr>
        <w:adjustRightInd w:val="0"/>
        <w:snapToGrid w:val="0"/>
        <w:spacing w:line="360" w:lineRule="auto"/>
        <w:jc w:val="center"/>
        <w:rPr>
          <w:rFonts w:ascii="Times New Roman" w:hAnsi="Times New Roman" w:cs="Times New Roman"/>
          <w:b/>
          <w:bCs/>
          <w:vertAlign w:val="superscript"/>
          <w:lang w:eastAsia="zh-CN"/>
        </w:rPr>
      </w:pPr>
      <w:r>
        <w:rPr>
          <w:rFonts w:ascii="Times New Roman" w:hAnsi="Times New Roman" w:cs="Times New Roman"/>
          <w:b/>
          <w:bCs/>
          <w:lang w:eastAsia="zh-CN"/>
        </w:rPr>
        <w:t>表3.</w:t>
      </w:r>
      <w:r>
        <w:rPr>
          <w:rFonts w:hint="eastAsia" w:ascii="Times New Roman" w:hAnsi="Times New Roman" w:cs="Times New Roman"/>
          <w:b/>
          <w:bCs/>
          <w:lang w:eastAsia="zh-CN"/>
        </w:rPr>
        <w:t>2</w:t>
      </w:r>
      <w:r>
        <w:rPr>
          <w:rFonts w:ascii="Times New Roman" w:hAnsi="Times New Roman" w:cs="Times New Roman"/>
          <w:b/>
          <w:bCs/>
          <w:lang w:eastAsia="zh-CN"/>
        </w:rPr>
        <w:t>-</w:t>
      </w:r>
      <w:r>
        <w:rPr>
          <w:rFonts w:hint="eastAsia" w:ascii="Times New Roman" w:hAnsi="Times New Roman" w:cs="Times New Roman"/>
          <w:b/>
          <w:bCs/>
          <w:lang w:eastAsia="zh-CN"/>
        </w:rPr>
        <w:t>6</w:t>
      </w:r>
      <w:r>
        <w:rPr>
          <w:rFonts w:ascii="Times New Roman" w:hAnsi="Times New Roman" w:cs="Times New Roman"/>
          <w:b/>
          <w:bCs/>
          <w:lang w:eastAsia="zh-CN"/>
        </w:rPr>
        <w:t xml:space="preserve"> </w:t>
      </w:r>
      <w:r>
        <w:rPr>
          <w:rFonts w:hint="eastAsia" w:ascii="Times New Roman" w:hAnsi="Times New Roman" w:cs="Times New Roman"/>
          <w:b/>
          <w:bCs/>
          <w:lang w:eastAsia="zh-CN"/>
        </w:rPr>
        <w:t>现有工程废水在线监测结果</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11" w:type="dxa"/>
          <w:left w:w="57" w:type="dxa"/>
          <w:bottom w:w="11" w:type="dxa"/>
          <w:right w:w="57" w:type="dxa"/>
        </w:tblCellMar>
      </w:tblPr>
      <w:tblGrid>
        <w:gridCol w:w="1072"/>
        <w:gridCol w:w="1074"/>
        <w:gridCol w:w="1509"/>
        <w:gridCol w:w="2343"/>
        <w:gridCol w:w="1691"/>
        <w:gridCol w:w="1337"/>
      </w:tblGrid>
      <w:tr w14:paraId="2D491A1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83" w:hRule="atLeast"/>
          <w:jc w:val="center"/>
        </w:trPr>
        <w:tc>
          <w:tcPr>
            <w:tcW w:w="594" w:type="pct"/>
            <w:vAlign w:val="center"/>
          </w:tcPr>
          <w:p w14:paraId="66B9EB00">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监测时间</w:t>
            </w:r>
          </w:p>
        </w:tc>
        <w:tc>
          <w:tcPr>
            <w:tcW w:w="595" w:type="pct"/>
            <w:vAlign w:val="center"/>
          </w:tcPr>
          <w:p w14:paraId="057950D2">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排放口</w:t>
            </w:r>
          </w:p>
        </w:tc>
        <w:tc>
          <w:tcPr>
            <w:tcW w:w="836" w:type="pct"/>
            <w:vAlign w:val="center"/>
          </w:tcPr>
          <w:p w14:paraId="1A1E3865">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污染物</w:t>
            </w:r>
          </w:p>
        </w:tc>
        <w:tc>
          <w:tcPr>
            <w:tcW w:w="1298" w:type="pct"/>
            <w:vAlign w:val="center"/>
          </w:tcPr>
          <w:p w14:paraId="146645B3">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监测结果</w:t>
            </w:r>
            <w:r>
              <w:rPr>
                <w:rFonts w:hint="eastAsia" w:ascii="Times New Roman" w:hAnsi="Times New Roman" w:cs="Times New Roman"/>
                <w:b/>
                <w:bCs/>
                <w:color w:val="auto"/>
                <w:sz w:val="21"/>
                <w:lang w:eastAsia="zh-CN"/>
              </w:rPr>
              <w:t>（mg/L）</w:t>
            </w:r>
          </w:p>
        </w:tc>
        <w:tc>
          <w:tcPr>
            <w:tcW w:w="937" w:type="pct"/>
            <w:vAlign w:val="center"/>
          </w:tcPr>
          <w:p w14:paraId="328C90B0">
            <w:pPr>
              <w:widowControl w:val="0"/>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标准值（mg/L）</w:t>
            </w:r>
          </w:p>
        </w:tc>
        <w:tc>
          <w:tcPr>
            <w:tcW w:w="740" w:type="pct"/>
            <w:vAlign w:val="center"/>
          </w:tcPr>
          <w:p w14:paraId="55976D4E">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达标情况</w:t>
            </w:r>
          </w:p>
        </w:tc>
      </w:tr>
      <w:tr w14:paraId="73E2376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83" w:hRule="atLeast"/>
          <w:jc w:val="center"/>
        </w:trPr>
        <w:tc>
          <w:tcPr>
            <w:tcW w:w="594" w:type="pct"/>
            <w:vMerge w:val="restart"/>
            <w:vAlign w:val="center"/>
          </w:tcPr>
          <w:p w14:paraId="687B76AA">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2025年1月～12月</w:t>
            </w:r>
          </w:p>
        </w:tc>
        <w:tc>
          <w:tcPr>
            <w:tcW w:w="595" w:type="pct"/>
            <w:vMerge w:val="restart"/>
            <w:vAlign w:val="center"/>
          </w:tcPr>
          <w:p w14:paraId="6384576F">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DW001废水总排口</w:t>
            </w:r>
          </w:p>
        </w:tc>
        <w:tc>
          <w:tcPr>
            <w:tcW w:w="836" w:type="pct"/>
            <w:vAlign w:val="center"/>
          </w:tcPr>
          <w:p w14:paraId="671B2AF1">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氟化物</w:t>
            </w:r>
          </w:p>
        </w:tc>
        <w:tc>
          <w:tcPr>
            <w:tcW w:w="1298" w:type="pct"/>
            <w:vAlign w:val="center"/>
          </w:tcPr>
          <w:p w14:paraId="184B55CA">
            <w:pPr>
              <w:widowControl w:val="0"/>
              <w:adjustRightInd w:val="0"/>
              <w:snapToGrid w:val="0"/>
              <w:jc w:val="center"/>
              <w:rPr>
                <w:rFonts w:ascii="Times New Roman" w:hAnsi="Times New Roman" w:cs="Times New Roman"/>
                <w:color w:val="auto"/>
                <w:sz w:val="21"/>
                <w:lang w:eastAsia="zh-CN"/>
              </w:rPr>
            </w:pPr>
          </w:p>
        </w:tc>
        <w:tc>
          <w:tcPr>
            <w:tcW w:w="937" w:type="pct"/>
            <w:vAlign w:val="center"/>
          </w:tcPr>
          <w:p w14:paraId="1D26F1FD">
            <w:pPr>
              <w:widowControl w:val="0"/>
              <w:adjustRightInd w:val="0"/>
              <w:snapToGrid w:val="0"/>
              <w:jc w:val="center"/>
              <w:rPr>
                <w:rFonts w:ascii="Times New Roman" w:hAnsi="Times New Roman" w:cs="Times New Roman"/>
                <w:color w:val="auto"/>
                <w:sz w:val="21"/>
                <w:lang w:eastAsia="zh-CN"/>
              </w:rPr>
            </w:pPr>
          </w:p>
        </w:tc>
        <w:tc>
          <w:tcPr>
            <w:tcW w:w="740" w:type="pct"/>
            <w:vAlign w:val="center"/>
          </w:tcPr>
          <w:p w14:paraId="7A1E34F3">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达标</w:t>
            </w:r>
          </w:p>
        </w:tc>
      </w:tr>
      <w:tr w14:paraId="16D7893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83" w:hRule="atLeast"/>
          <w:jc w:val="center"/>
        </w:trPr>
        <w:tc>
          <w:tcPr>
            <w:tcW w:w="594" w:type="pct"/>
            <w:vMerge w:val="continue"/>
            <w:vAlign w:val="center"/>
          </w:tcPr>
          <w:p w14:paraId="48743E43">
            <w:pPr>
              <w:widowControl w:val="0"/>
              <w:adjustRightInd w:val="0"/>
              <w:snapToGrid w:val="0"/>
              <w:jc w:val="center"/>
              <w:rPr>
                <w:rFonts w:ascii="Times New Roman" w:hAnsi="Times New Roman" w:cs="Times New Roman"/>
                <w:color w:val="auto"/>
                <w:sz w:val="21"/>
                <w:lang w:eastAsia="zh-CN"/>
              </w:rPr>
            </w:pPr>
          </w:p>
        </w:tc>
        <w:tc>
          <w:tcPr>
            <w:tcW w:w="595" w:type="pct"/>
            <w:vMerge w:val="continue"/>
            <w:vAlign w:val="center"/>
          </w:tcPr>
          <w:p w14:paraId="2E857412">
            <w:pPr>
              <w:widowControl w:val="0"/>
              <w:adjustRightInd w:val="0"/>
              <w:snapToGrid w:val="0"/>
              <w:jc w:val="center"/>
              <w:rPr>
                <w:rFonts w:ascii="Times New Roman" w:hAnsi="Times New Roman" w:cs="Times New Roman"/>
                <w:color w:val="auto"/>
                <w:sz w:val="21"/>
                <w:lang w:eastAsia="zh-CN"/>
              </w:rPr>
            </w:pPr>
          </w:p>
        </w:tc>
        <w:tc>
          <w:tcPr>
            <w:tcW w:w="836" w:type="pct"/>
            <w:vAlign w:val="center"/>
          </w:tcPr>
          <w:p w14:paraId="50C2A750">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流量</w:t>
            </w:r>
          </w:p>
        </w:tc>
        <w:tc>
          <w:tcPr>
            <w:tcW w:w="1298" w:type="pct"/>
            <w:vAlign w:val="center"/>
          </w:tcPr>
          <w:p w14:paraId="56997A8F">
            <w:pPr>
              <w:widowControl w:val="0"/>
              <w:adjustRightInd w:val="0"/>
              <w:snapToGrid w:val="0"/>
              <w:jc w:val="center"/>
              <w:rPr>
                <w:rFonts w:ascii="Times New Roman" w:hAnsi="Times New Roman" w:cs="Times New Roman"/>
                <w:color w:val="auto"/>
                <w:sz w:val="21"/>
                <w:lang w:eastAsia="zh-CN"/>
              </w:rPr>
            </w:pPr>
          </w:p>
        </w:tc>
        <w:tc>
          <w:tcPr>
            <w:tcW w:w="937" w:type="pct"/>
            <w:vAlign w:val="center"/>
          </w:tcPr>
          <w:p w14:paraId="58FF9943">
            <w:pPr>
              <w:widowControl w:val="0"/>
              <w:adjustRightInd w:val="0"/>
              <w:snapToGrid w:val="0"/>
              <w:jc w:val="center"/>
              <w:rPr>
                <w:rFonts w:ascii="Times New Roman" w:hAnsi="Times New Roman" w:cs="Times New Roman"/>
                <w:color w:val="auto"/>
                <w:kern w:val="2"/>
                <w:sz w:val="21"/>
                <w:lang w:eastAsia="zh-CN"/>
              </w:rPr>
            </w:pPr>
          </w:p>
        </w:tc>
        <w:tc>
          <w:tcPr>
            <w:tcW w:w="740" w:type="pct"/>
            <w:vAlign w:val="center"/>
          </w:tcPr>
          <w:p w14:paraId="60A78CF5">
            <w:pPr>
              <w:widowControl w:val="0"/>
              <w:adjustRightInd w:val="0"/>
              <w:snapToGrid w:val="0"/>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w:t>
            </w:r>
          </w:p>
        </w:tc>
      </w:tr>
    </w:tbl>
    <w:p w14:paraId="65B8DB20">
      <w:pPr>
        <w:widowControl w:val="0"/>
        <w:adjustRightInd w:val="0"/>
        <w:snapToGrid w:val="0"/>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hint="eastAsia" w:ascii="Times New Roman" w:hAnsi="Times New Roman" w:cs="Times New Roman"/>
          <w:color w:val="000000" w:themeColor="text1"/>
          <w:szCs w:val="24"/>
          <w:lang w:eastAsia="zh-CN"/>
          <w14:textFill>
            <w14:solidFill>
              <w14:schemeClr w14:val="tx1"/>
            </w14:solidFill>
          </w14:textFill>
        </w:rPr>
        <w:t>根据监测结果，现有工程</w:t>
      </w:r>
      <w:r>
        <w:rPr>
          <w:rFonts w:ascii="Times New Roman" w:hAnsi="Times New Roman" w:eastAsia="新宋体" w:cs="Times New Roman"/>
          <w:color w:val="000000" w:themeColor="text1"/>
          <w:szCs w:val="24"/>
          <w:lang w:eastAsia="zh-CN"/>
          <w14:textFill>
            <w14:solidFill>
              <w14:schemeClr w14:val="tx1"/>
            </w14:solidFill>
          </w14:textFill>
        </w:rPr>
        <w:t>废水经处理</w:t>
      </w:r>
      <w:r>
        <w:rPr>
          <w:rFonts w:hint="eastAsia" w:ascii="Times New Roman" w:hAnsi="Times New Roman" w:eastAsia="新宋体" w:cs="Times New Roman"/>
          <w:color w:val="000000" w:themeColor="text1"/>
          <w:szCs w:val="24"/>
          <w:lang w:eastAsia="zh-CN"/>
          <w14:textFill>
            <w14:solidFill>
              <w14:schemeClr w14:val="tx1"/>
            </w14:solidFill>
          </w14:textFill>
        </w:rPr>
        <w:t>后，</w:t>
      </w:r>
      <w:r>
        <w:rPr>
          <w:rFonts w:hint="eastAsia" w:ascii="Times New Roman" w:hAnsi="Times New Roman" w:cs="Times New Roman"/>
          <w:color w:val="000000" w:themeColor="text1"/>
          <w:szCs w:val="24"/>
          <w:lang w:eastAsia="zh-CN"/>
          <w14:textFill>
            <w14:solidFill>
              <w14:schemeClr w14:val="tx1"/>
            </w14:solidFill>
          </w14:textFill>
        </w:rPr>
        <w:t>废水排放满足沫河口污水处理厂接管标准限值要求以及</w:t>
      </w:r>
      <w:r>
        <w:rPr>
          <w:rFonts w:hint="eastAsia" w:ascii="Times New Roman" w:hAnsi="Times New Roman" w:eastAsia="新宋体" w:cs="Times New Roman"/>
          <w:color w:val="000000" w:themeColor="text1"/>
          <w:szCs w:val="24"/>
          <w:lang w:eastAsia="zh-CN"/>
          <w14:textFill>
            <w14:solidFill>
              <w14:schemeClr w14:val="tx1"/>
            </w14:solidFill>
          </w14:textFill>
        </w:rPr>
        <w:t>《无机化学工业污染物排放标准》（GB31573-2015）、</w:t>
      </w:r>
      <w:r>
        <w:rPr>
          <w:rFonts w:ascii="Times New Roman" w:hAnsi="Times New Roman" w:cs="Times New Roman"/>
          <w:color w:val="auto"/>
          <w:szCs w:val="24"/>
          <w:lang w:eastAsia="zh-CN"/>
        </w:rPr>
        <w:t>《电子工业水污染物排放标准》（GB39731-2020）</w:t>
      </w:r>
      <w:r>
        <w:rPr>
          <w:rFonts w:hint="eastAsia" w:ascii="Times New Roman" w:hAnsi="Times New Roman" w:cs="Times New Roman"/>
          <w:color w:val="000000" w:themeColor="text1"/>
          <w:szCs w:val="24"/>
          <w:lang w:eastAsia="zh-CN"/>
          <w14:textFill>
            <w14:solidFill>
              <w14:schemeClr w14:val="tx1"/>
            </w14:solidFill>
          </w14:textFill>
        </w:rPr>
        <w:t>中标准限值要求。</w:t>
      </w:r>
    </w:p>
    <w:p w14:paraId="3A85E984">
      <w:pPr>
        <w:spacing w:line="360" w:lineRule="auto"/>
        <w:jc w:val="center"/>
      </w:pPr>
      <w:bookmarkStart w:id="513" w:name="_MON_1826805260"/>
      <w:bookmarkEnd w:id="513"/>
    </w:p>
    <w:p w14:paraId="4D35A942">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图</w:t>
      </w:r>
      <w:r>
        <w:rPr>
          <w:rFonts w:hint="eastAsia" w:ascii="Times New Roman" w:hAnsi="Times New Roman" w:cs="Times New Roman"/>
          <w:b/>
          <w:bCs/>
          <w:color w:val="auto"/>
          <w:lang w:eastAsia="zh-CN"/>
        </w:rPr>
        <w:t>3</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2</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1</w:t>
      </w:r>
      <w:r>
        <w:rPr>
          <w:rFonts w:ascii="Times New Roman" w:hAnsi="Times New Roman" w:cs="Times New Roman"/>
          <w:b/>
          <w:bCs/>
          <w:color w:val="auto"/>
          <w:lang w:eastAsia="zh-CN"/>
        </w:rPr>
        <w:t xml:space="preserve">  </w:t>
      </w:r>
      <w:r>
        <w:rPr>
          <w:rFonts w:hint="eastAsia" w:ascii="Times New Roman" w:hAnsi="Times New Roman" w:cs="Times New Roman"/>
          <w:b/>
          <w:bCs/>
          <w:color w:val="auto"/>
          <w:lang w:eastAsia="zh-CN"/>
        </w:rPr>
        <w:t>现有工程</w:t>
      </w:r>
      <w:r>
        <w:rPr>
          <w:rFonts w:ascii="Times New Roman" w:hAnsi="Times New Roman" w:cs="Times New Roman"/>
          <w:b/>
          <w:bCs/>
          <w:color w:val="auto"/>
          <w:lang w:eastAsia="zh-CN"/>
        </w:rPr>
        <w:t>水平衡图（t/d）</w:t>
      </w:r>
    </w:p>
    <w:p w14:paraId="71133ECD">
      <w:pPr>
        <w:adjustRightInd w:val="0"/>
        <w:snapToGrid w:val="0"/>
        <w:spacing w:line="360" w:lineRule="auto"/>
        <w:ind w:firstLine="482"/>
        <w:jc w:val="both"/>
        <w:outlineLvl w:val="2"/>
        <w:rPr>
          <w:rFonts w:ascii="Times New Roman" w:hAnsi="Times New Roman" w:cs="Times New Roman"/>
          <w:b/>
          <w:bCs/>
          <w:color w:val="auto"/>
          <w:szCs w:val="24"/>
          <w:lang w:eastAsia="zh-CN"/>
        </w:rPr>
      </w:pPr>
      <w:bookmarkStart w:id="514" w:name="_Toc221900799"/>
      <w:bookmarkStart w:id="515" w:name="_Toc217662632"/>
      <w:bookmarkStart w:id="516" w:name="_Toc236641285"/>
      <w:bookmarkStart w:id="517" w:name="_Toc224674655"/>
      <w:bookmarkStart w:id="518" w:name="_Toc225784016"/>
      <w:bookmarkStart w:id="519" w:name="_Toc237508268"/>
      <w:bookmarkStart w:id="520" w:name="_Toc231828554"/>
      <w:bookmarkStart w:id="521" w:name="_Toc236641802"/>
      <w:bookmarkStart w:id="522" w:name="_Toc218784242"/>
      <w:bookmarkStart w:id="523" w:name="_Toc223425017"/>
      <w:r>
        <w:rPr>
          <w:rFonts w:ascii="Times New Roman" w:hAnsi="Times New Roman" w:cs="Times New Roman"/>
          <w:b/>
          <w:bCs/>
          <w:color w:val="auto"/>
          <w:szCs w:val="24"/>
          <w:lang w:eastAsia="zh-CN"/>
        </w:rPr>
        <w:t>3.</w:t>
      </w:r>
      <w:r>
        <w:rPr>
          <w:rFonts w:hint="eastAsia" w:ascii="Times New Roman" w:hAnsi="Times New Roman" w:cs="Times New Roman"/>
          <w:b/>
          <w:bCs/>
          <w:color w:val="auto"/>
          <w:szCs w:val="24"/>
          <w:lang w:eastAsia="zh-CN"/>
        </w:rPr>
        <w:t>2</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3 噪声</w:t>
      </w:r>
      <w:bookmarkEnd w:id="514"/>
      <w:bookmarkEnd w:id="515"/>
      <w:bookmarkEnd w:id="516"/>
      <w:bookmarkEnd w:id="517"/>
      <w:bookmarkEnd w:id="518"/>
      <w:bookmarkEnd w:id="519"/>
      <w:bookmarkEnd w:id="520"/>
      <w:bookmarkEnd w:id="521"/>
      <w:bookmarkEnd w:id="522"/>
      <w:bookmarkEnd w:id="523"/>
    </w:p>
    <w:p w14:paraId="52BC564B">
      <w:pPr>
        <w:pStyle w:val="19"/>
        <w:adjustRightInd w:val="0"/>
        <w:snapToGrid w:val="0"/>
        <w:spacing w:after="0" w:line="360" w:lineRule="auto"/>
        <w:ind w:left="0" w:leftChars="0"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现有工程主要噪声源为风机、泵、冷却塔等，企业采取了以下措施：</w:t>
      </w:r>
    </w:p>
    <w:p w14:paraId="491F2F6B">
      <w:pPr>
        <w:snapToGrid w:val="0"/>
        <w:spacing w:line="360" w:lineRule="auto"/>
        <w:ind w:firstLine="480" w:firstLineChars="200"/>
        <w:jc w:val="both"/>
        <w:rPr>
          <w:rFonts w:ascii="Times New Roman"/>
          <w:color w:val="auto"/>
          <w:lang w:eastAsia="zh-CN"/>
        </w:rPr>
      </w:pPr>
      <w:r>
        <w:rPr>
          <w:rFonts w:hint="eastAsia" w:ascii="Times New Roman"/>
          <w:color w:val="auto"/>
          <w:lang w:eastAsia="zh-CN"/>
        </w:rPr>
        <w:t>①</w:t>
      </w:r>
      <w:r>
        <w:rPr>
          <w:rFonts w:ascii="Times New Roman"/>
          <w:color w:val="auto"/>
          <w:lang w:eastAsia="zh-CN"/>
        </w:rPr>
        <w:t>根据项目噪声源特征，</w:t>
      </w:r>
      <w:r>
        <w:rPr>
          <w:rFonts w:hint="eastAsia" w:ascii="Times New Roman"/>
          <w:color w:val="auto"/>
          <w:lang w:eastAsia="zh-CN"/>
        </w:rPr>
        <w:t>企业</w:t>
      </w:r>
      <w:r>
        <w:rPr>
          <w:rFonts w:ascii="Times New Roman"/>
          <w:color w:val="auto"/>
          <w:lang w:eastAsia="zh-CN"/>
        </w:rPr>
        <w:t>在设计和设备采购阶段，优先选用低噪声设备，如低噪的泵、冷却塔等，从而从声源上降低设备本身的噪声。</w:t>
      </w:r>
    </w:p>
    <w:p w14:paraId="4C6AEBF8">
      <w:pPr>
        <w:snapToGrid w:val="0"/>
        <w:spacing w:line="360" w:lineRule="auto"/>
        <w:ind w:firstLine="480" w:firstLineChars="200"/>
        <w:jc w:val="both"/>
        <w:rPr>
          <w:rFonts w:ascii="Times New Roman"/>
          <w:color w:val="auto"/>
          <w:lang w:eastAsia="zh-CN"/>
        </w:rPr>
      </w:pPr>
      <w:r>
        <w:rPr>
          <w:rFonts w:hint="eastAsia" w:ascii="Times New Roman"/>
          <w:color w:val="auto"/>
          <w:lang w:eastAsia="zh-CN"/>
        </w:rPr>
        <w:t>②</w:t>
      </w:r>
      <w:r>
        <w:rPr>
          <w:rFonts w:ascii="Times New Roman"/>
          <w:color w:val="auto"/>
          <w:lang w:eastAsia="zh-CN"/>
        </w:rPr>
        <w:t>项目通过对风机安装减震垫、消音器和厂房隔声，可使其噪声源强降低25dB</w:t>
      </w:r>
      <w:r>
        <w:rPr>
          <w:rFonts w:hint="eastAsia" w:ascii="Times New Roman"/>
          <w:color w:val="auto"/>
          <w:lang w:eastAsia="zh-CN"/>
        </w:rPr>
        <w:t>（</w:t>
      </w:r>
      <w:r>
        <w:rPr>
          <w:rFonts w:ascii="Times New Roman"/>
          <w:color w:val="auto"/>
          <w:lang w:eastAsia="zh-CN"/>
        </w:rPr>
        <w:t>A</w:t>
      </w:r>
      <w:r>
        <w:rPr>
          <w:rFonts w:hint="eastAsia" w:ascii="Times New Roman"/>
          <w:color w:val="auto"/>
          <w:lang w:eastAsia="zh-CN"/>
        </w:rPr>
        <w:t>）</w:t>
      </w:r>
      <w:r>
        <w:rPr>
          <w:rFonts w:ascii="Times New Roman"/>
          <w:color w:val="auto"/>
          <w:lang w:eastAsia="zh-CN"/>
        </w:rPr>
        <w:t>。</w:t>
      </w:r>
    </w:p>
    <w:p w14:paraId="3CEB699A">
      <w:pPr>
        <w:snapToGrid w:val="0"/>
        <w:spacing w:line="360" w:lineRule="auto"/>
        <w:ind w:firstLine="480" w:firstLineChars="200"/>
        <w:jc w:val="both"/>
        <w:rPr>
          <w:rFonts w:ascii="Times New Roman"/>
          <w:color w:val="auto"/>
          <w:lang w:eastAsia="zh-CN"/>
        </w:rPr>
      </w:pPr>
      <w:r>
        <w:rPr>
          <w:rFonts w:hint="eastAsia" w:ascii="Times New Roman"/>
          <w:color w:val="auto"/>
          <w:lang w:eastAsia="zh-CN"/>
        </w:rPr>
        <w:t>③</w:t>
      </w:r>
      <w:r>
        <w:rPr>
          <w:rFonts w:ascii="Times New Roman"/>
          <w:color w:val="auto"/>
          <w:lang w:eastAsia="zh-CN"/>
        </w:rPr>
        <w:t>采用合理布局的设施原则，将高噪声源远离厂界和敏感点。在日常管理中加强设备维护，确保设备处于良好的运转状态，杜绝因设备不正常运转时产生的高噪声现象。</w:t>
      </w:r>
    </w:p>
    <w:p w14:paraId="3C0FE70A">
      <w:pPr>
        <w:pStyle w:val="19"/>
        <w:adjustRightInd w:val="0"/>
        <w:snapToGrid w:val="0"/>
        <w:spacing w:after="0" w:line="360" w:lineRule="auto"/>
        <w:ind w:left="0" w:leftChars="0"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根据安徽省佳逸环保科技有限公司2025年4月15日对现有厂界监测数据，现有工程厂界噪声的监测结果详见下表。</w:t>
      </w:r>
    </w:p>
    <w:p w14:paraId="3699C7BF">
      <w:pPr>
        <w:spacing w:line="360" w:lineRule="auto"/>
        <w:jc w:val="center"/>
        <w:rPr>
          <w:rFonts w:ascii="Times New Roman" w:hAnsi="Times New Roman" w:cs="Times New Roman"/>
          <w:b/>
          <w:bCs/>
          <w:lang w:eastAsia="zh-CN"/>
        </w:rPr>
      </w:pPr>
      <w:r>
        <w:rPr>
          <w:rFonts w:ascii="Times New Roman" w:hAnsi="Times New Roman" w:cs="Times New Roman"/>
          <w:b/>
          <w:bCs/>
          <w:lang w:eastAsia="zh-CN"/>
        </w:rPr>
        <w:t>表3.</w:t>
      </w:r>
      <w:r>
        <w:rPr>
          <w:rFonts w:hint="eastAsia" w:ascii="Times New Roman" w:hAnsi="Times New Roman" w:cs="Times New Roman"/>
          <w:b/>
          <w:bCs/>
          <w:lang w:eastAsia="zh-CN"/>
        </w:rPr>
        <w:t>2</w:t>
      </w:r>
      <w:r>
        <w:rPr>
          <w:rFonts w:ascii="Times New Roman" w:hAnsi="Times New Roman" w:cs="Times New Roman"/>
          <w:b/>
          <w:bCs/>
          <w:lang w:eastAsia="zh-CN"/>
        </w:rPr>
        <w:t>-</w:t>
      </w:r>
      <w:r>
        <w:rPr>
          <w:rFonts w:hint="eastAsia" w:ascii="Times New Roman" w:hAnsi="Times New Roman" w:cs="Times New Roman"/>
          <w:b/>
          <w:bCs/>
          <w:lang w:eastAsia="zh-CN"/>
        </w:rPr>
        <w:t>7</w:t>
      </w:r>
      <w:r>
        <w:rPr>
          <w:rFonts w:ascii="Times New Roman" w:hAnsi="Times New Roman" w:cs="Times New Roman"/>
          <w:b/>
          <w:bCs/>
          <w:lang w:eastAsia="zh-CN"/>
        </w:rPr>
        <w:t xml:space="preserve"> </w:t>
      </w:r>
      <w:r>
        <w:rPr>
          <w:rFonts w:hint="eastAsia" w:ascii="Times New Roman" w:hAnsi="Times New Roman" w:cs="Times New Roman"/>
          <w:b/>
          <w:bCs/>
          <w:lang w:eastAsia="zh-CN"/>
        </w:rPr>
        <w:t>厂界噪声监测结果</w:t>
      </w:r>
      <w:r>
        <w:rPr>
          <w:rFonts w:ascii="Times New Roman" w:hAnsi="Times New Roman" w:cs="Times New Roman"/>
          <w:b/>
          <w:bCs/>
          <w:lang w:eastAsia="zh-CN"/>
        </w:rPr>
        <w:t>一览表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11" w:type="dxa"/>
          <w:left w:w="57" w:type="dxa"/>
          <w:bottom w:w="11" w:type="dxa"/>
          <w:right w:w="57" w:type="dxa"/>
        </w:tblCellMar>
      </w:tblPr>
      <w:tblGrid>
        <w:gridCol w:w="1134"/>
        <w:gridCol w:w="1276"/>
        <w:gridCol w:w="1932"/>
        <w:gridCol w:w="1397"/>
        <w:gridCol w:w="1399"/>
        <w:gridCol w:w="946"/>
        <w:gridCol w:w="942"/>
      </w:tblGrid>
      <w:tr w14:paraId="61C08FF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83" w:hRule="atLeast"/>
          <w:tblHeader/>
          <w:jc w:val="center"/>
        </w:trPr>
        <w:tc>
          <w:tcPr>
            <w:tcW w:w="628" w:type="pct"/>
            <w:vMerge w:val="restart"/>
            <w:vAlign w:val="center"/>
          </w:tcPr>
          <w:p w14:paraId="7D3E1F59">
            <w:pPr>
              <w:widowControl w:val="0"/>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监测时间</w:t>
            </w:r>
          </w:p>
        </w:tc>
        <w:tc>
          <w:tcPr>
            <w:tcW w:w="707" w:type="pct"/>
            <w:vMerge w:val="restart"/>
            <w:vAlign w:val="center"/>
          </w:tcPr>
          <w:p w14:paraId="53458EBE">
            <w:pPr>
              <w:widowControl w:val="0"/>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监测点位</w:t>
            </w:r>
          </w:p>
        </w:tc>
        <w:tc>
          <w:tcPr>
            <w:tcW w:w="1844" w:type="pct"/>
            <w:gridSpan w:val="2"/>
            <w:vAlign w:val="center"/>
          </w:tcPr>
          <w:p w14:paraId="7D3612DF">
            <w:pPr>
              <w:widowControl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监测结果dB（A）</w:t>
            </w:r>
          </w:p>
        </w:tc>
        <w:tc>
          <w:tcPr>
            <w:tcW w:w="1299" w:type="pct"/>
            <w:gridSpan w:val="2"/>
            <w:vAlign w:val="center"/>
          </w:tcPr>
          <w:p w14:paraId="5C5E8A53">
            <w:pPr>
              <w:widowControl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标准值dB（A）</w:t>
            </w:r>
          </w:p>
        </w:tc>
        <w:tc>
          <w:tcPr>
            <w:tcW w:w="522" w:type="pct"/>
            <w:vMerge w:val="restart"/>
            <w:vAlign w:val="center"/>
          </w:tcPr>
          <w:p w14:paraId="3CEEBDB4">
            <w:pPr>
              <w:widowControl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达标情况</w:t>
            </w:r>
          </w:p>
        </w:tc>
      </w:tr>
      <w:tr w14:paraId="73AF9DF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83" w:hRule="atLeast"/>
          <w:tblHeader/>
          <w:jc w:val="center"/>
        </w:trPr>
        <w:tc>
          <w:tcPr>
            <w:tcW w:w="628" w:type="pct"/>
            <w:vMerge w:val="continue"/>
            <w:vAlign w:val="center"/>
          </w:tcPr>
          <w:p w14:paraId="18038097">
            <w:pPr>
              <w:widowControl w:val="0"/>
              <w:adjustRightInd w:val="0"/>
              <w:snapToGrid w:val="0"/>
              <w:jc w:val="center"/>
              <w:rPr>
                <w:rFonts w:ascii="Times New Roman" w:hAnsi="Times New Roman" w:cs="Times New Roman"/>
                <w:b/>
                <w:bCs/>
                <w:color w:val="auto"/>
                <w:sz w:val="21"/>
                <w:lang w:eastAsia="zh-CN"/>
              </w:rPr>
            </w:pPr>
          </w:p>
        </w:tc>
        <w:tc>
          <w:tcPr>
            <w:tcW w:w="707" w:type="pct"/>
            <w:vMerge w:val="continue"/>
            <w:vAlign w:val="center"/>
          </w:tcPr>
          <w:p w14:paraId="5968D8E7">
            <w:pPr>
              <w:widowControl w:val="0"/>
              <w:adjustRightInd w:val="0"/>
              <w:snapToGrid w:val="0"/>
              <w:jc w:val="center"/>
              <w:rPr>
                <w:rFonts w:ascii="Times New Roman" w:hAnsi="Times New Roman" w:cs="Times New Roman"/>
                <w:b/>
                <w:bCs/>
                <w:color w:val="auto"/>
                <w:sz w:val="21"/>
                <w:lang w:eastAsia="zh-CN"/>
              </w:rPr>
            </w:pPr>
          </w:p>
        </w:tc>
        <w:tc>
          <w:tcPr>
            <w:tcW w:w="1070" w:type="pct"/>
            <w:vAlign w:val="center"/>
          </w:tcPr>
          <w:p w14:paraId="2655EAAA">
            <w:pPr>
              <w:widowControl w:val="0"/>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昼间</w:t>
            </w:r>
          </w:p>
        </w:tc>
        <w:tc>
          <w:tcPr>
            <w:tcW w:w="774" w:type="pct"/>
            <w:vAlign w:val="center"/>
          </w:tcPr>
          <w:p w14:paraId="49183FF1">
            <w:pPr>
              <w:widowControl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夜间</w:t>
            </w:r>
          </w:p>
        </w:tc>
        <w:tc>
          <w:tcPr>
            <w:tcW w:w="775" w:type="pct"/>
            <w:vAlign w:val="center"/>
          </w:tcPr>
          <w:p w14:paraId="4259E5A1">
            <w:pPr>
              <w:widowControl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昼间</w:t>
            </w:r>
          </w:p>
        </w:tc>
        <w:tc>
          <w:tcPr>
            <w:tcW w:w="524" w:type="pct"/>
            <w:vAlign w:val="center"/>
          </w:tcPr>
          <w:p w14:paraId="0DCB2C9B">
            <w:pPr>
              <w:widowControl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夜间</w:t>
            </w:r>
          </w:p>
        </w:tc>
        <w:tc>
          <w:tcPr>
            <w:tcW w:w="522" w:type="pct"/>
            <w:vMerge w:val="continue"/>
            <w:vAlign w:val="center"/>
          </w:tcPr>
          <w:p w14:paraId="467AE4FD">
            <w:pPr>
              <w:widowControl w:val="0"/>
              <w:jc w:val="center"/>
              <w:rPr>
                <w:rFonts w:ascii="Times New Roman" w:hAnsi="Times New Roman" w:cs="Times New Roman"/>
                <w:b/>
                <w:bCs/>
                <w:color w:val="auto"/>
                <w:sz w:val="21"/>
                <w:lang w:eastAsia="zh-CN"/>
              </w:rPr>
            </w:pPr>
          </w:p>
        </w:tc>
      </w:tr>
      <w:tr w14:paraId="5B12FE3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83" w:hRule="atLeast"/>
          <w:jc w:val="center"/>
        </w:trPr>
        <w:tc>
          <w:tcPr>
            <w:tcW w:w="628" w:type="pct"/>
            <w:vMerge w:val="restart"/>
            <w:vAlign w:val="center"/>
          </w:tcPr>
          <w:p w14:paraId="02C4E9AF">
            <w:pPr>
              <w:widowControl w:val="0"/>
              <w:adjustRightInd w:val="0"/>
              <w:snapToGrid w:val="0"/>
              <w:jc w:val="center"/>
              <w:rPr>
                <w:rFonts w:ascii="Times New Roman" w:hAnsi="Times New Roman" w:cs="Times New Roman"/>
                <w:color w:val="auto"/>
                <w:sz w:val="21"/>
                <w:lang w:eastAsia="zh-CN"/>
              </w:rPr>
            </w:pPr>
          </w:p>
        </w:tc>
        <w:tc>
          <w:tcPr>
            <w:tcW w:w="707" w:type="pct"/>
            <w:vAlign w:val="center"/>
          </w:tcPr>
          <w:p w14:paraId="5745834A">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东厂界</w:t>
            </w:r>
          </w:p>
        </w:tc>
        <w:tc>
          <w:tcPr>
            <w:tcW w:w="1070" w:type="pct"/>
            <w:vAlign w:val="center"/>
          </w:tcPr>
          <w:p w14:paraId="20CA87E0">
            <w:pPr>
              <w:widowControl w:val="0"/>
              <w:adjustRightInd w:val="0"/>
              <w:snapToGrid w:val="0"/>
              <w:jc w:val="center"/>
              <w:rPr>
                <w:rFonts w:ascii="Times New Roman" w:hAnsi="Times New Roman" w:cs="Times New Roman"/>
                <w:color w:val="auto"/>
                <w:sz w:val="21"/>
                <w:lang w:eastAsia="zh-CN"/>
              </w:rPr>
            </w:pPr>
          </w:p>
        </w:tc>
        <w:tc>
          <w:tcPr>
            <w:tcW w:w="774" w:type="pct"/>
            <w:vAlign w:val="center"/>
          </w:tcPr>
          <w:p w14:paraId="0575A90B">
            <w:pPr>
              <w:widowControl w:val="0"/>
              <w:jc w:val="center"/>
              <w:rPr>
                <w:rFonts w:ascii="Times New Roman" w:hAnsi="Times New Roman" w:cs="Times New Roman"/>
                <w:color w:val="auto"/>
                <w:sz w:val="21"/>
                <w:lang w:eastAsia="zh-CN"/>
              </w:rPr>
            </w:pPr>
          </w:p>
        </w:tc>
        <w:tc>
          <w:tcPr>
            <w:tcW w:w="775" w:type="pct"/>
            <w:vAlign w:val="center"/>
          </w:tcPr>
          <w:p w14:paraId="14CB6CA0">
            <w:pPr>
              <w:widowControl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65</w:t>
            </w:r>
          </w:p>
        </w:tc>
        <w:tc>
          <w:tcPr>
            <w:tcW w:w="524" w:type="pct"/>
            <w:vAlign w:val="center"/>
          </w:tcPr>
          <w:p w14:paraId="7C7FDF01">
            <w:pPr>
              <w:widowControl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55</w:t>
            </w:r>
          </w:p>
        </w:tc>
        <w:tc>
          <w:tcPr>
            <w:tcW w:w="522" w:type="pct"/>
            <w:vAlign w:val="center"/>
          </w:tcPr>
          <w:p w14:paraId="7BC6ED07">
            <w:pPr>
              <w:widowControl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w:t>
            </w:r>
          </w:p>
        </w:tc>
      </w:tr>
      <w:tr w14:paraId="79365F3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83" w:hRule="atLeast"/>
          <w:jc w:val="center"/>
        </w:trPr>
        <w:tc>
          <w:tcPr>
            <w:tcW w:w="628" w:type="pct"/>
            <w:vMerge w:val="continue"/>
            <w:vAlign w:val="center"/>
          </w:tcPr>
          <w:p w14:paraId="0FAE68B9">
            <w:pPr>
              <w:widowControl w:val="0"/>
              <w:adjustRightInd w:val="0"/>
              <w:snapToGrid w:val="0"/>
              <w:jc w:val="center"/>
              <w:rPr>
                <w:rFonts w:ascii="Times New Roman" w:hAnsi="Times New Roman" w:cs="Times New Roman"/>
                <w:color w:val="auto"/>
                <w:sz w:val="21"/>
                <w:vertAlign w:val="subscript"/>
                <w:lang w:eastAsia="zh-CN"/>
              </w:rPr>
            </w:pPr>
          </w:p>
        </w:tc>
        <w:tc>
          <w:tcPr>
            <w:tcW w:w="707" w:type="pct"/>
            <w:vAlign w:val="center"/>
          </w:tcPr>
          <w:p w14:paraId="30F4435F">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南厂界</w:t>
            </w:r>
          </w:p>
        </w:tc>
        <w:tc>
          <w:tcPr>
            <w:tcW w:w="1070" w:type="pct"/>
            <w:vAlign w:val="center"/>
          </w:tcPr>
          <w:p w14:paraId="25C96CE7">
            <w:pPr>
              <w:widowControl w:val="0"/>
              <w:adjustRightInd w:val="0"/>
              <w:snapToGrid w:val="0"/>
              <w:jc w:val="center"/>
              <w:rPr>
                <w:rFonts w:ascii="Times New Roman" w:hAnsi="Times New Roman" w:cs="Times New Roman"/>
                <w:color w:val="auto"/>
                <w:sz w:val="21"/>
                <w:lang w:eastAsia="zh-CN"/>
              </w:rPr>
            </w:pPr>
          </w:p>
        </w:tc>
        <w:tc>
          <w:tcPr>
            <w:tcW w:w="774" w:type="pct"/>
            <w:vAlign w:val="center"/>
          </w:tcPr>
          <w:p w14:paraId="50CB8172">
            <w:pPr>
              <w:widowControl w:val="0"/>
              <w:jc w:val="center"/>
              <w:rPr>
                <w:rFonts w:ascii="Times New Roman" w:hAnsi="Times New Roman" w:cs="Times New Roman"/>
                <w:color w:val="auto"/>
                <w:kern w:val="2"/>
                <w:sz w:val="21"/>
                <w:lang w:eastAsia="zh-CN"/>
              </w:rPr>
            </w:pPr>
          </w:p>
        </w:tc>
        <w:tc>
          <w:tcPr>
            <w:tcW w:w="775" w:type="pct"/>
            <w:vAlign w:val="center"/>
          </w:tcPr>
          <w:p w14:paraId="3B63A825">
            <w:pPr>
              <w:widowControl w:val="0"/>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65</w:t>
            </w:r>
          </w:p>
        </w:tc>
        <w:tc>
          <w:tcPr>
            <w:tcW w:w="524" w:type="pct"/>
          </w:tcPr>
          <w:p w14:paraId="68017A9A">
            <w:pPr>
              <w:widowControl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55</w:t>
            </w:r>
          </w:p>
        </w:tc>
        <w:tc>
          <w:tcPr>
            <w:tcW w:w="522" w:type="pct"/>
            <w:vAlign w:val="center"/>
          </w:tcPr>
          <w:p w14:paraId="6368CB3D">
            <w:pPr>
              <w:widowControl w:val="0"/>
              <w:jc w:val="center"/>
              <w:rPr>
                <w:rFonts w:ascii="Times New Roman" w:hAnsi="Times New Roman" w:cs="Times New Roman"/>
                <w:color w:val="auto"/>
                <w:kern w:val="2"/>
                <w:sz w:val="21"/>
                <w:lang w:eastAsia="zh-CN"/>
              </w:rPr>
            </w:pPr>
            <w:r>
              <w:rPr>
                <w:rFonts w:hint="eastAsia" w:ascii="Times New Roman" w:hAnsi="Times New Roman" w:cs="Times New Roman"/>
                <w:color w:val="auto"/>
                <w:sz w:val="21"/>
                <w:lang w:eastAsia="zh-CN"/>
              </w:rPr>
              <w:t>达标</w:t>
            </w:r>
          </w:p>
        </w:tc>
      </w:tr>
      <w:tr w14:paraId="0B5AC5F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83" w:hRule="atLeast"/>
          <w:jc w:val="center"/>
        </w:trPr>
        <w:tc>
          <w:tcPr>
            <w:tcW w:w="628" w:type="pct"/>
            <w:vMerge w:val="continue"/>
            <w:vAlign w:val="center"/>
          </w:tcPr>
          <w:p w14:paraId="2540BF1D">
            <w:pPr>
              <w:widowControl w:val="0"/>
              <w:adjustRightInd w:val="0"/>
              <w:snapToGrid w:val="0"/>
              <w:jc w:val="center"/>
              <w:rPr>
                <w:rFonts w:ascii="Times New Roman" w:hAnsi="Times New Roman" w:cs="Times New Roman"/>
                <w:color w:val="auto"/>
                <w:sz w:val="21"/>
                <w:lang w:eastAsia="zh-CN"/>
              </w:rPr>
            </w:pPr>
          </w:p>
        </w:tc>
        <w:tc>
          <w:tcPr>
            <w:tcW w:w="707" w:type="pct"/>
            <w:vAlign w:val="center"/>
          </w:tcPr>
          <w:p w14:paraId="3FF077A1">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西厂界</w:t>
            </w:r>
          </w:p>
        </w:tc>
        <w:tc>
          <w:tcPr>
            <w:tcW w:w="1070" w:type="pct"/>
            <w:vAlign w:val="center"/>
          </w:tcPr>
          <w:p w14:paraId="072A28E5">
            <w:pPr>
              <w:widowControl w:val="0"/>
              <w:adjustRightInd w:val="0"/>
              <w:snapToGrid w:val="0"/>
              <w:jc w:val="center"/>
              <w:rPr>
                <w:rFonts w:ascii="Times New Roman" w:hAnsi="Times New Roman" w:cs="Times New Roman"/>
                <w:color w:val="auto"/>
                <w:sz w:val="21"/>
                <w:lang w:eastAsia="zh-CN"/>
              </w:rPr>
            </w:pPr>
          </w:p>
        </w:tc>
        <w:tc>
          <w:tcPr>
            <w:tcW w:w="774" w:type="pct"/>
            <w:vAlign w:val="center"/>
          </w:tcPr>
          <w:p w14:paraId="52E311E1">
            <w:pPr>
              <w:widowControl w:val="0"/>
              <w:jc w:val="center"/>
              <w:rPr>
                <w:rFonts w:ascii="Times New Roman" w:hAnsi="Times New Roman" w:cs="Times New Roman"/>
                <w:color w:val="auto"/>
                <w:kern w:val="2"/>
                <w:sz w:val="21"/>
                <w:lang w:eastAsia="zh-CN"/>
              </w:rPr>
            </w:pPr>
          </w:p>
        </w:tc>
        <w:tc>
          <w:tcPr>
            <w:tcW w:w="775" w:type="pct"/>
            <w:vAlign w:val="center"/>
          </w:tcPr>
          <w:p w14:paraId="776F7EA7">
            <w:pPr>
              <w:widowControl w:val="0"/>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65</w:t>
            </w:r>
          </w:p>
        </w:tc>
        <w:tc>
          <w:tcPr>
            <w:tcW w:w="524" w:type="pct"/>
          </w:tcPr>
          <w:p w14:paraId="141962C1">
            <w:pPr>
              <w:widowControl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55</w:t>
            </w:r>
          </w:p>
        </w:tc>
        <w:tc>
          <w:tcPr>
            <w:tcW w:w="522" w:type="pct"/>
            <w:vAlign w:val="center"/>
          </w:tcPr>
          <w:p w14:paraId="196DF1F0">
            <w:pPr>
              <w:widowControl w:val="0"/>
              <w:jc w:val="center"/>
              <w:rPr>
                <w:rFonts w:ascii="Times New Roman" w:hAnsi="Times New Roman" w:cs="Times New Roman"/>
                <w:color w:val="auto"/>
                <w:kern w:val="2"/>
                <w:sz w:val="21"/>
                <w:lang w:eastAsia="zh-CN"/>
              </w:rPr>
            </w:pPr>
            <w:r>
              <w:rPr>
                <w:rFonts w:hint="eastAsia" w:ascii="Times New Roman" w:hAnsi="Times New Roman" w:cs="Times New Roman"/>
                <w:color w:val="auto"/>
                <w:sz w:val="21"/>
                <w:lang w:eastAsia="zh-CN"/>
              </w:rPr>
              <w:t>达标</w:t>
            </w:r>
          </w:p>
        </w:tc>
      </w:tr>
      <w:tr w14:paraId="3EF26EB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83" w:hRule="atLeast"/>
          <w:jc w:val="center"/>
        </w:trPr>
        <w:tc>
          <w:tcPr>
            <w:tcW w:w="628" w:type="pct"/>
            <w:vMerge w:val="continue"/>
            <w:vAlign w:val="center"/>
          </w:tcPr>
          <w:p w14:paraId="5D75DCE4">
            <w:pPr>
              <w:widowControl w:val="0"/>
              <w:adjustRightInd w:val="0"/>
              <w:snapToGrid w:val="0"/>
              <w:jc w:val="center"/>
              <w:rPr>
                <w:rFonts w:ascii="Times New Roman" w:hAnsi="Times New Roman" w:cs="Times New Roman"/>
                <w:color w:val="auto"/>
                <w:sz w:val="21"/>
                <w:lang w:eastAsia="zh-CN"/>
              </w:rPr>
            </w:pPr>
          </w:p>
        </w:tc>
        <w:tc>
          <w:tcPr>
            <w:tcW w:w="707" w:type="pct"/>
            <w:vAlign w:val="center"/>
          </w:tcPr>
          <w:p w14:paraId="0DA80B32">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北厂界</w:t>
            </w:r>
          </w:p>
        </w:tc>
        <w:tc>
          <w:tcPr>
            <w:tcW w:w="1070" w:type="pct"/>
            <w:vAlign w:val="center"/>
          </w:tcPr>
          <w:p w14:paraId="02C23404">
            <w:pPr>
              <w:widowControl w:val="0"/>
              <w:adjustRightInd w:val="0"/>
              <w:snapToGrid w:val="0"/>
              <w:jc w:val="center"/>
              <w:rPr>
                <w:rFonts w:ascii="Times New Roman" w:hAnsi="Times New Roman" w:cs="Times New Roman"/>
                <w:color w:val="auto"/>
                <w:sz w:val="21"/>
                <w:lang w:eastAsia="zh-CN"/>
              </w:rPr>
            </w:pPr>
          </w:p>
        </w:tc>
        <w:tc>
          <w:tcPr>
            <w:tcW w:w="774" w:type="pct"/>
            <w:vAlign w:val="center"/>
          </w:tcPr>
          <w:p w14:paraId="4E180687">
            <w:pPr>
              <w:widowControl w:val="0"/>
              <w:jc w:val="center"/>
              <w:rPr>
                <w:rFonts w:ascii="Times New Roman" w:hAnsi="Times New Roman" w:cs="Times New Roman"/>
                <w:color w:val="auto"/>
                <w:kern w:val="2"/>
                <w:sz w:val="21"/>
                <w:lang w:eastAsia="zh-CN"/>
              </w:rPr>
            </w:pPr>
          </w:p>
        </w:tc>
        <w:tc>
          <w:tcPr>
            <w:tcW w:w="775" w:type="pct"/>
            <w:vAlign w:val="center"/>
          </w:tcPr>
          <w:p w14:paraId="6F522F6E">
            <w:pPr>
              <w:widowControl w:val="0"/>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65</w:t>
            </w:r>
          </w:p>
        </w:tc>
        <w:tc>
          <w:tcPr>
            <w:tcW w:w="524" w:type="pct"/>
          </w:tcPr>
          <w:p w14:paraId="49A88D17">
            <w:pPr>
              <w:widowControl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55</w:t>
            </w:r>
          </w:p>
        </w:tc>
        <w:tc>
          <w:tcPr>
            <w:tcW w:w="522" w:type="pct"/>
            <w:vAlign w:val="center"/>
          </w:tcPr>
          <w:p w14:paraId="272C9C79">
            <w:pPr>
              <w:widowControl w:val="0"/>
              <w:jc w:val="center"/>
              <w:rPr>
                <w:rFonts w:ascii="Times New Roman" w:hAnsi="Times New Roman" w:cs="Times New Roman"/>
                <w:color w:val="auto"/>
                <w:kern w:val="2"/>
                <w:sz w:val="21"/>
                <w:lang w:eastAsia="zh-CN"/>
              </w:rPr>
            </w:pPr>
            <w:r>
              <w:rPr>
                <w:rFonts w:hint="eastAsia" w:ascii="Times New Roman" w:hAnsi="Times New Roman" w:cs="Times New Roman"/>
                <w:color w:val="auto"/>
                <w:sz w:val="21"/>
                <w:lang w:eastAsia="zh-CN"/>
              </w:rPr>
              <w:t>达标</w:t>
            </w:r>
          </w:p>
        </w:tc>
      </w:tr>
    </w:tbl>
    <w:p w14:paraId="3F692B65">
      <w:pPr>
        <w:widowControl w:val="0"/>
        <w:adjustRightInd w:val="0"/>
        <w:snapToGrid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根据监测结果，现有工程</w:t>
      </w:r>
      <w:r>
        <w:rPr>
          <w:rFonts w:hint="eastAsia" w:ascii="Times New Roman" w:hAnsi="Times New Roman" w:eastAsia="新宋体" w:cs="Times New Roman"/>
          <w:color w:val="auto"/>
          <w:szCs w:val="24"/>
          <w:lang w:eastAsia="zh-CN"/>
        </w:rPr>
        <w:t>厂界噪声能够满足《工业企业厂界环境噪声排放标准》</w:t>
      </w:r>
      <w:r>
        <w:rPr>
          <w:rFonts w:ascii="Times New Roman" w:hAnsi="Times New Roman" w:eastAsia="新宋体" w:cs="Times New Roman"/>
          <w:color w:val="auto"/>
          <w:szCs w:val="24"/>
          <w:lang w:eastAsia="zh-CN"/>
        </w:rPr>
        <w:t>（GB12348-2008）3类</w:t>
      </w:r>
      <w:r>
        <w:rPr>
          <w:rFonts w:hint="eastAsia" w:ascii="Times New Roman" w:hAnsi="Times New Roman" w:eastAsia="新宋体" w:cs="Times New Roman"/>
          <w:color w:val="auto"/>
          <w:szCs w:val="24"/>
          <w:lang w:eastAsia="zh-CN"/>
        </w:rPr>
        <w:t>标准</w:t>
      </w:r>
      <w:r>
        <w:rPr>
          <w:rFonts w:ascii="Times New Roman" w:hAnsi="Times New Roman" w:eastAsia="新宋体" w:cs="Times New Roman"/>
          <w:color w:val="auto"/>
          <w:szCs w:val="24"/>
          <w:lang w:eastAsia="zh-CN"/>
        </w:rPr>
        <w:t>要求</w:t>
      </w:r>
      <w:r>
        <w:rPr>
          <w:rFonts w:hint="eastAsia" w:ascii="Times New Roman" w:hAnsi="Times New Roman" w:cs="Times New Roman"/>
          <w:color w:val="auto"/>
          <w:szCs w:val="24"/>
          <w:lang w:eastAsia="zh-CN"/>
        </w:rPr>
        <w:t>。</w:t>
      </w:r>
    </w:p>
    <w:p w14:paraId="7D2CA370">
      <w:pPr>
        <w:widowControl w:val="0"/>
        <w:adjustRightInd w:val="0"/>
        <w:snapToGrid w:val="0"/>
        <w:spacing w:line="360" w:lineRule="auto"/>
        <w:ind w:firstLine="482"/>
        <w:jc w:val="both"/>
        <w:outlineLvl w:val="2"/>
        <w:rPr>
          <w:rFonts w:ascii="Times New Roman" w:hAnsi="Times New Roman" w:cs="Times New Roman"/>
          <w:b/>
          <w:bCs/>
          <w:color w:val="auto"/>
          <w:szCs w:val="24"/>
          <w:lang w:eastAsia="zh-CN"/>
        </w:rPr>
      </w:pPr>
      <w:bookmarkStart w:id="524" w:name="_Toc236641803"/>
      <w:bookmarkStart w:id="525" w:name="_Toc236641286"/>
      <w:bookmarkStart w:id="526" w:name="_Toc224674656"/>
      <w:bookmarkStart w:id="527" w:name="_Toc217662633"/>
      <w:bookmarkStart w:id="528" w:name="_Toc221900800"/>
      <w:bookmarkStart w:id="529" w:name="_Toc225784017"/>
      <w:bookmarkStart w:id="530" w:name="_Toc218784243"/>
      <w:bookmarkStart w:id="531" w:name="_Toc237508269"/>
      <w:bookmarkStart w:id="532" w:name="_Toc223425018"/>
      <w:bookmarkStart w:id="533" w:name="_Toc231828555"/>
      <w:r>
        <w:rPr>
          <w:rFonts w:ascii="Times New Roman" w:hAnsi="Times New Roman" w:cs="Times New Roman"/>
          <w:b/>
          <w:bCs/>
          <w:color w:val="auto"/>
          <w:szCs w:val="24"/>
          <w:lang w:eastAsia="zh-CN"/>
        </w:rPr>
        <w:t>3.</w:t>
      </w:r>
      <w:r>
        <w:rPr>
          <w:rFonts w:hint="eastAsia" w:ascii="Times New Roman" w:hAnsi="Times New Roman" w:cs="Times New Roman"/>
          <w:b/>
          <w:bCs/>
          <w:color w:val="auto"/>
          <w:szCs w:val="24"/>
          <w:lang w:eastAsia="zh-CN"/>
        </w:rPr>
        <w:t>2</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4 固废</w:t>
      </w:r>
      <w:bookmarkEnd w:id="524"/>
      <w:bookmarkEnd w:id="525"/>
      <w:bookmarkEnd w:id="526"/>
      <w:bookmarkEnd w:id="527"/>
      <w:bookmarkEnd w:id="528"/>
      <w:bookmarkEnd w:id="529"/>
      <w:bookmarkEnd w:id="530"/>
      <w:bookmarkEnd w:id="531"/>
      <w:bookmarkEnd w:id="532"/>
      <w:bookmarkEnd w:id="533"/>
    </w:p>
    <w:p w14:paraId="613EEBAE">
      <w:pPr>
        <w:pStyle w:val="19"/>
        <w:widowControl w:val="0"/>
        <w:adjustRightInd w:val="0"/>
        <w:snapToGrid w:val="0"/>
        <w:spacing w:after="0" w:line="360" w:lineRule="auto"/>
        <w:ind w:left="0" w:leftChars="0"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现有工程实际产生的固体废物主要包括危险废物、一般固废以及生活垃圾，其中危险废物主要为废包装桶、废滤芯、废活性炭、</w:t>
      </w:r>
      <w:r>
        <w:rPr>
          <w:rFonts w:ascii="Times New Roman" w:hAnsi="Times New Roman" w:cs="Times New Roman"/>
          <w:color w:val="auto"/>
          <w:szCs w:val="24"/>
          <w:lang w:eastAsia="zh-CN"/>
        </w:rPr>
        <w:t>废机油</w:t>
      </w:r>
      <w:r>
        <w:rPr>
          <w:rFonts w:hint="eastAsia" w:ascii="Times New Roman" w:hAnsi="Times New Roman" w:cs="Times New Roman"/>
          <w:color w:val="auto"/>
          <w:szCs w:val="24"/>
          <w:lang w:eastAsia="zh-CN"/>
        </w:rPr>
        <w:t>、废油桶、实验室废液、在线检测废液。</w:t>
      </w:r>
    </w:p>
    <w:p w14:paraId="5546B750">
      <w:pPr>
        <w:widowControl w:val="0"/>
        <w:snapToGrid w:val="0"/>
        <w:spacing w:line="360" w:lineRule="auto"/>
        <w:ind w:firstLine="480" w:firstLineChars="200"/>
        <w:jc w:val="both"/>
        <w:rPr>
          <w:rFonts w:ascii="Times New Roman"/>
          <w:color w:val="auto"/>
          <w:lang w:eastAsia="zh-CN"/>
        </w:rPr>
      </w:pPr>
      <w:r>
        <w:rPr>
          <w:rFonts w:hint="eastAsia" w:ascii="Times New Roman"/>
          <w:color w:val="auto"/>
          <w:lang w:eastAsia="zh-CN"/>
        </w:rPr>
        <w:t>现有工程固体废物产生与处置情况详见下表。</w:t>
      </w:r>
    </w:p>
    <w:p w14:paraId="3B7D68CE">
      <w:pPr>
        <w:adjustRightInd w:val="0"/>
        <w:snapToGrid w:val="0"/>
        <w:spacing w:line="360" w:lineRule="auto"/>
        <w:jc w:val="center"/>
        <w:rPr>
          <w:rFonts w:ascii="Times New Roman" w:hAnsi="Times New Roman" w:cs="Times New Roman"/>
          <w:b/>
          <w:bCs/>
          <w:lang w:eastAsia="zh-CN"/>
        </w:rPr>
      </w:pPr>
      <w:r>
        <w:rPr>
          <w:rFonts w:ascii="Times New Roman" w:hAnsi="Times New Roman" w:cs="Times New Roman"/>
          <w:b/>
          <w:bCs/>
          <w:lang w:eastAsia="zh-CN"/>
        </w:rPr>
        <w:t>表3.</w:t>
      </w:r>
      <w:r>
        <w:rPr>
          <w:rFonts w:hint="eastAsia" w:ascii="Times New Roman" w:hAnsi="Times New Roman" w:cs="Times New Roman"/>
          <w:b/>
          <w:bCs/>
          <w:lang w:eastAsia="zh-CN"/>
        </w:rPr>
        <w:t>2</w:t>
      </w:r>
      <w:r>
        <w:rPr>
          <w:rFonts w:ascii="Times New Roman" w:hAnsi="Times New Roman" w:cs="Times New Roman"/>
          <w:b/>
          <w:bCs/>
          <w:lang w:eastAsia="zh-CN"/>
        </w:rPr>
        <w:t>-</w:t>
      </w:r>
      <w:r>
        <w:rPr>
          <w:rFonts w:hint="eastAsia" w:ascii="Times New Roman" w:hAnsi="Times New Roman" w:cs="Times New Roman"/>
          <w:b/>
          <w:bCs/>
          <w:lang w:eastAsia="zh-CN"/>
        </w:rPr>
        <w:t>8</w:t>
      </w:r>
      <w:r>
        <w:rPr>
          <w:rFonts w:ascii="Times New Roman" w:hAnsi="Times New Roman" w:cs="Times New Roman"/>
          <w:b/>
          <w:bCs/>
          <w:lang w:eastAsia="zh-CN"/>
        </w:rPr>
        <w:t xml:space="preserve"> </w:t>
      </w:r>
      <w:r>
        <w:rPr>
          <w:rFonts w:hint="eastAsia" w:ascii="Times New Roman" w:hAnsi="Times New Roman" w:cs="Times New Roman"/>
          <w:b/>
          <w:bCs/>
          <w:lang w:eastAsia="zh-CN"/>
        </w:rPr>
        <w:t>现有工程固体废物产生及处置情况</w:t>
      </w:r>
      <w:r>
        <w:rPr>
          <w:rFonts w:ascii="Times New Roman" w:hAnsi="Times New Roman" w:cs="Times New Roman"/>
          <w:b/>
          <w:bCs/>
          <w:lang w:eastAsia="zh-CN"/>
        </w:rPr>
        <w:t>一览表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11" w:type="dxa"/>
          <w:left w:w="57" w:type="dxa"/>
          <w:bottom w:w="11" w:type="dxa"/>
          <w:right w:w="57" w:type="dxa"/>
        </w:tblCellMar>
      </w:tblPr>
      <w:tblGrid>
        <w:gridCol w:w="1418"/>
        <w:gridCol w:w="1134"/>
        <w:gridCol w:w="1558"/>
        <w:gridCol w:w="1986"/>
        <w:gridCol w:w="1417"/>
        <w:gridCol w:w="1513"/>
      </w:tblGrid>
      <w:tr w14:paraId="5861142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83" w:hRule="atLeast"/>
          <w:jc w:val="center"/>
        </w:trPr>
        <w:tc>
          <w:tcPr>
            <w:tcW w:w="786" w:type="pct"/>
            <w:vAlign w:val="center"/>
          </w:tcPr>
          <w:p w14:paraId="552A767C">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固废名称</w:t>
            </w:r>
          </w:p>
        </w:tc>
        <w:tc>
          <w:tcPr>
            <w:tcW w:w="628" w:type="pct"/>
            <w:vAlign w:val="center"/>
          </w:tcPr>
          <w:p w14:paraId="5910501B">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类别</w:t>
            </w:r>
          </w:p>
        </w:tc>
        <w:tc>
          <w:tcPr>
            <w:tcW w:w="863" w:type="pct"/>
            <w:vAlign w:val="center"/>
          </w:tcPr>
          <w:p w14:paraId="61DE0C93">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产生工序</w:t>
            </w:r>
          </w:p>
        </w:tc>
        <w:tc>
          <w:tcPr>
            <w:tcW w:w="1100" w:type="pct"/>
            <w:vAlign w:val="center"/>
          </w:tcPr>
          <w:p w14:paraId="1E954B68">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固废代码</w:t>
            </w:r>
          </w:p>
        </w:tc>
        <w:tc>
          <w:tcPr>
            <w:tcW w:w="785" w:type="pct"/>
            <w:vAlign w:val="center"/>
          </w:tcPr>
          <w:p w14:paraId="607A8CC0">
            <w:pPr>
              <w:widowControl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产生量（t/a）</w:t>
            </w:r>
          </w:p>
        </w:tc>
        <w:tc>
          <w:tcPr>
            <w:tcW w:w="838" w:type="pct"/>
            <w:vAlign w:val="center"/>
          </w:tcPr>
          <w:p w14:paraId="587695E3">
            <w:pPr>
              <w:widowControl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处置单位</w:t>
            </w:r>
          </w:p>
        </w:tc>
      </w:tr>
      <w:tr w14:paraId="342671B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83" w:hRule="atLeast"/>
          <w:jc w:val="center"/>
        </w:trPr>
        <w:tc>
          <w:tcPr>
            <w:tcW w:w="786" w:type="pct"/>
            <w:vAlign w:val="center"/>
          </w:tcPr>
          <w:p w14:paraId="1F4E410F">
            <w:pPr>
              <w:widowControl w:val="0"/>
              <w:adjustRightInd w:val="0"/>
              <w:snapToGrid w:val="0"/>
              <w:jc w:val="center"/>
              <w:rPr>
                <w:rFonts w:ascii="Times New Roman" w:hAnsi="Times New Roman" w:cs="Times New Roman"/>
                <w:color w:val="auto"/>
                <w:sz w:val="21"/>
                <w:lang w:eastAsia="zh-CN"/>
              </w:rPr>
            </w:pPr>
          </w:p>
        </w:tc>
        <w:tc>
          <w:tcPr>
            <w:tcW w:w="628" w:type="pct"/>
            <w:vAlign w:val="center"/>
          </w:tcPr>
          <w:p w14:paraId="182294B9">
            <w:pPr>
              <w:widowControl w:val="0"/>
              <w:adjustRightInd w:val="0"/>
              <w:snapToGrid w:val="0"/>
              <w:jc w:val="center"/>
              <w:rPr>
                <w:rFonts w:ascii="Times New Roman" w:hAnsi="Times New Roman" w:cs="Times New Roman"/>
                <w:color w:val="auto"/>
                <w:sz w:val="21"/>
                <w:lang w:eastAsia="zh-CN"/>
              </w:rPr>
            </w:pPr>
          </w:p>
        </w:tc>
        <w:tc>
          <w:tcPr>
            <w:tcW w:w="863" w:type="pct"/>
            <w:vAlign w:val="center"/>
          </w:tcPr>
          <w:p w14:paraId="01B0407F">
            <w:pPr>
              <w:widowControl w:val="0"/>
              <w:adjustRightInd w:val="0"/>
              <w:snapToGrid w:val="0"/>
              <w:jc w:val="center"/>
              <w:rPr>
                <w:rFonts w:ascii="Times New Roman" w:hAnsi="Times New Roman" w:cs="Times New Roman"/>
                <w:color w:val="auto"/>
                <w:sz w:val="21"/>
                <w:lang w:eastAsia="zh-CN"/>
              </w:rPr>
            </w:pPr>
          </w:p>
        </w:tc>
        <w:tc>
          <w:tcPr>
            <w:tcW w:w="1100" w:type="pct"/>
            <w:vAlign w:val="center"/>
          </w:tcPr>
          <w:p w14:paraId="61A6FFF5">
            <w:pPr>
              <w:widowControl w:val="0"/>
              <w:adjustRightInd w:val="0"/>
              <w:snapToGrid w:val="0"/>
              <w:jc w:val="center"/>
              <w:rPr>
                <w:rFonts w:ascii="Times New Roman" w:hAnsi="Times New Roman" w:cs="Times New Roman"/>
                <w:color w:val="auto"/>
                <w:sz w:val="21"/>
                <w:lang w:eastAsia="zh-CN"/>
              </w:rPr>
            </w:pPr>
          </w:p>
        </w:tc>
        <w:tc>
          <w:tcPr>
            <w:tcW w:w="785" w:type="pct"/>
            <w:vAlign w:val="center"/>
          </w:tcPr>
          <w:p w14:paraId="5EB64035">
            <w:pPr>
              <w:widowControl w:val="0"/>
              <w:jc w:val="center"/>
              <w:rPr>
                <w:rFonts w:ascii="Times New Roman" w:hAnsi="Times New Roman" w:cs="Times New Roman"/>
                <w:color w:val="auto"/>
                <w:sz w:val="21"/>
                <w:lang w:eastAsia="zh-CN"/>
              </w:rPr>
            </w:pPr>
          </w:p>
        </w:tc>
        <w:tc>
          <w:tcPr>
            <w:tcW w:w="838" w:type="pct"/>
            <w:vMerge w:val="restart"/>
            <w:vAlign w:val="center"/>
          </w:tcPr>
          <w:p w14:paraId="10CA18CF">
            <w:pPr>
              <w:widowControl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蚌埠市康源生态环境科技有限公司</w:t>
            </w:r>
          </w:p>
        </w:tc>
      </w:tr>
      <w:tr w14:paraId="4EC8702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83" w:hRule="atLeast"/>
          <w:jc w:val="center"/>
        </w:trPr>
        <w:tc>
          <w:tcPr>
            <w:tcW w:w="786" w:type="pct"/>
            <w:vAlign w:val="center"/>
          </w:tcPr>
          <w:p w14:paraId="462BACC0">
            <w:pPr>
              <w:widowControl w:val="0"/>
              <w:adjustRightInd w:val="0"/>
              <w:snapToGrid w:val="0"/>
              <w:jc w:val="center"/>
              <w:rPr>
                <w:rFonts w:ascii="Times New Roman" w:hAnsi="Times New Roman" w:cs="Times New Roman"/>
                <w:color w:val="auto"/>
                <w:sz w:val="21"/>
                <w:lang w:eastAsia="zh-CN"/>
              </w:rPr>
            </w:pPr>
          </w:p>
        </w:tc>
        <w:tc>
          <w:tcPr>
            <w:tcW w:w="628" w:type="pct"/>
            <w:vAlign w:val="center"/>
          </w:tcPr>
          <w:p w14:paraId="148F0BA2">
            <w:pPr>
              <w:widowControl w:val="0"/>
              <w:adjustRightInd w:val="0"/>
              <w:snapToGrid w:val="0"/>
              <w:jc w:val="center"/>
              <w:rPr>
                <w:rFonts w:ascii="Times New Roman" w:hAnsi="Times New Roman" w:cs="Times New Roman"/>
                <w:color w:val="auto"/>
                <w:sz w:val="21"/>
                <w:lang w:eastAsia="zh-CN"/>
              </w:rPr>
            </w:pPr>
          </w:p>
        </w:tc>
        <w:tc>
          <w:tcPr>
            <w:tcW w:w="863" w:type="pct"/>
            <w:vAlign w:val="center"/>
          </w:tcPr>
          <w:p w14:paraId="4EBE088A">
            <w:pPr>
              <w:widowControl w:val="0"/>
              <w:adjustRightInd w:val="0"/>
              <w:snapToGrid w:val="0"/>
              <w:jc w:val="center"/>
              <w:rPr>
                <w:rFonts w:ascii="Times New Roman" w:hAnsi="Times New Roman" w:cs="Times New Roman"/>
                <w:color w:val="auto"/>
                <w:sz w:val="21"/>
                <w:lang w:eastAsia="zh-CN"/>
              </w:rPr>
            </w:pPr>
          </w:p>
        </w:tc>
        <w:tc>
          <w:tcPr>
            <w:tcW w:w="1100" w:type="pct"/>
            <w:vAlign w:val="center"/>
          </w:tcPr>
          <w:p w14:paraId="6B5A62EF">
            <w:pPr>
              <w:widowControl w:val="0"/>
              <w:adjustRightInd w:val="0"/>
              <w:snapToGrid w:val="0"/>
              <w:jc w:val="center"/>
              <w:rPr>
                <w:rFonts w:ascii="Times New Roman" w:hAnsi="Times New Roman" w:cs="Times New Roman"/>
                <w:color w:val="auto"/>
                <w:sz w:val="21"/>
                <w:lang w:eastAsia="zh-CN"/>
              </w:rPr>
            </w:pPr>
          </w:p>
        </w:tc>
        <w:tc>
          <w:tcPr>
            <w:tcW w:w="785" w:type="pct"/>
            <w:vAlign w:val="center"/>
          </w:tcPr>
          <w:p w14:paraId="05924BA3">
            <w:pPr>
              <w:widowControl w:val="0"/>
              <w:jc w:val="center"/>
              <w:rPr>
                <w:rFonts w:ascii="Times New Roman" w:hAnsi="Times New Roman" w:cs="Times New Roman"/>
                <w:color w:val="auto"/>
                <w:sz w:val="21"/>
                <w:lang w:eastAsia="zh-CN"/>
              </w:rPr>
            </w:pPr>
          </w:p>
        </w:tc>
        <w:tc>
          <w:tcPr>
            <w:tcW w:w="838" w:type="pct"/>
            <w:vMerge w:val="continue"/>
            <w:vAlign w:val="center"/>
          </w:tcPr>
          <w:p w14:paraId="586C5367">
            <w:pPr>
              <w:widowControl w:val="0"/>
              <w:jc w:val="center"/>
              <w:rPr>
                <w:rFonts w:ascii="Times New Roman" w:hAnsi="Times New Roman" w:cs="Times New Roman"/>
                <w:color w:val="auto"/>
                <w:sz w:val="21"/>
                <w:lang w:eastAsia="zh-CN"/>
              </w:rPr>
            </w:pPr>
          </w:p>
        </w:tc>
      </w:tr>
      <w:tr w14:paraId="583CCCA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83" w:hRule="atLeast"/>
          <w:jc w:val="center"/>
        </w:trPr>
        <w:tc>
          <w:tcPr>
            <w:tcW w:w="786" w:type="pct"/>
            <w:vAlign w:val="center"/>
          </w:tcPr>
          <w:p w14:paraId="7D1D2F9C">
            <w:pPr>
              <w:widowControl w:val="0"/>
              <w:adjustRightInd w:val="0"/>
              <w:snapToGrid w:val="0"/>
              <w:jc w:val="center"/>
              <w:rPr>
                <w:rFonts w:ascii="Times New Roman" w:hAnsi="Times New Roman" w:cs="Times New Roman"/>
                <w:color w:val="auto"/>
                <w:sz w:val="21"/>
                <w:lang w:eastAsia="zh-CN"/>
              </w:rPr>
            </w:pPr>
          </w:p>
        </w:tc>
        <w:tc>
          <w:tcPr>
            <w:tcW w:w="628" w:type="pct"/>
            <w:vAlign w:val="center"/>
          </w:tcPr>
          <w:p w14:paraId="63B87BF7">
            <w:pPr>
              <w:widowControl w:val="0"/>
              <w:adjustRightInd w:val="0"/>
              <w:snapToGrid w:val="0"/>
              <w:jc w:val="center"/>
              <w:rPr>
                <w:rFonts w:ascii="Times New Roman" w:hAnsi="Times New Roman" w:cs="Times New Roman"/>
                <w:color w:val="auto"/>
                <w:sz w:val="21"/>
                <w:lang w:eastAsia="zh-CN"/>
              </w:rPr>
            </w:pPr>
          </w:p>
        </w:tc>
        <w:tc>
          <w:tcPr>
            <w:tcW w:w="863" w:type="pct"/>
            <w:vAlign w:val="center"/>
          </w:tcPr>
          <w:p w14:paraId="37789C28">
            <w:pPr>
              <w:widowControl w:val="0"/>
              <w:adjustRightInd w:val="0"/>
              <w:snapToGrid w:val="0"/>
              <w:jc w:val="center"/>
              <w:rPr>
                <w:rFonts w:ascii="Times New Roman" w:hAnsi="Times New Roman" w:cs="Times New Roman"/>
                <w:color w:val="auto"/>
                <w:sz w:val="21"/>
                <w:lang w:eastAsia="zh-CN"/>
              </w:rPr>
            </w:pPr>
          </w:p>
        </w:tc>
        <w:tc>
          <w:tcPr>
            <w:tcW w:w="1100" w:type="pct"/>
            <w:vAlign w:val="center"/>
          </w:tcPr>
          <w:p w14:paraId="290B73D0">
            <w:pPr>
              <w:widowControl w:val="0"/>
              <w:adjustRightInd w:val="0"/>
              <w:snapToGrid w:val="0"/>
              <w:jc w:val="center"/>
              <w:rPr>
                <w:rFonts w:ascii="Times New Roman" w:hAnsi="Times New Roman" w:cs="Times New Roman"/>
                <w:color w:val="auto"/>
                <w:sz w:val="21"/>
                <w:lang w:eastAsia="zh-CN"/>
              </w:rPr>
            </w:pPr>
          </w:p>
        </w:tc>
        <w:tc>
          <w:tcPr>
            <w:tcW w:w="785" w:type="pct"/>
            <w:vAlign w:val="center"/>
          </w:tcPr>
          <w:p w14:paraId="3766BEC4">
            <w:pPr>
              <w:widowControl w:val="0"/>
              <w:jc w:val="center"/>
              <w:rPr>
                <w:rFonts w:ascii="Times New Roman" w:hAnsi="Times New Roman" w:cs="Times New Roman"/>
                <w:color w:val="auto"/>
                <w:sz w:val="21"/>
                <w:lang w:eastAsia="zh-CN"/>
              </w:rPr>
            </w:pPr>
          </w:p>
        </w:tc>
        <w:tc>
          <w:tcPr>
            <w:tcW w:w="838" w:type="pct"/>
            <w:vMerge w:val="continue"/>
            <w:vAlign w:val="center"/>
          </w:tcPr>
          <w:p w14:paraId="7BB134A0">
            <w:pPr>
              <w:widowControl w:val="0"/>
              <w:jc w:val="center"/>
              <w:rPr>
                <w:rFonts w:ascii="Times New Roman" w:hAnsi="Times New Roman" w:cs="Times New Roman"/>
                <w:color w:val="auto"/>
                <w:sz w:val="21"/>
                <w:lang w:eastAsia="zh-CN"/>
              </w:rPr>
            </w:pPr>
          </w:p>
        </w:tc>
      </w:tr>
      <w:tr w14:paraId="2438438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83" w:hRule="atLeast"/>
          <w:jc w:val="center"/>
        </w:trPr>
        <w:tc>
          <w:tcPr>
            <w:tcW w:w="786" w:type="pct"/>
            <w:vAlign w:val="center"/>
          </w:tcPr>
          <w:p w14:paraId="41E5ACB6">
            <w:pPr>
              <w:widowControl w:val="0"/>
              <w:adjustRightInd w:val="0"/>
              <w:snapToGrid w:val="0"/>
              <w:jc w:val="center"/>
              <w:rPr>
                <w:rFonts w:ascii="Times New Roman" w:hAnsi="Times New Roman" w:cs="Times New Roman"/>
                <w:color w:val="auto"/>
                <w:sz w:val="21"/>
                <w:lang w:eastAsia="zh-CN"/>
              </w:rPr>
            </w:pPr>
          </w:p>
        </w:tc>
        <w:tc>
          <w:tcPr>
            <w:tcW w:w="628" w:type="pct"/>
            <w:vAlign w:val="center"/>
          </w:tcPr>
          <w:p w14:paraId="231F882D">
            <w:pPr>
              <w:widowControl w:val="0"/>
              <w:adjustRightInd w:val="0"/>
              <w:snapToGrid w:val="0"/>
              <w:jc w:val="center"/>
              <w:rPr>
                <w:rFonts w:ascii="Times New Roman" w:hAnsi="Times New Roman" w:cs="Times New Roman"/>
                <w:color w:val="auto"/>
                <w:sz w:val="21"/>
                <w:vertAlign w:val="subscript"/>
                <w:lang w:eastAsia="zh-CN"/>
              </w:rPr>
            </w:pPr>
          </w:p>
        </w:tc>
        <w:tc>
          <w:tcPr>
            <w:tcW w:w="863" w:type="pct"/>
            <w:vAlign w:val="center"/>
          </w:tcPr>
          <w:p w14:paraId="0BB7F9D2">
            <w:pPr>
              <w:widowControl w:val="0"/>
              <w:adjustRightInd w:val="0"/>
              <w:snapToGrid w:val="0"/>
              <w:jc w:val="center"/>
              <w:rPr>
                <w:rFonts w:ascii="Times New Roman" w:hAnsi="Times New Roman" w:cs="Times New Roman"/>
                <w:color w:val="auto"/>
                <w:sz w:val="21"/>
                <w:lang w:eastAsia="zh-CN"/>
              </w:rPr>
            </w:pPr>
          </w:p>
        </w:tc>
        <w:tc>
          <w:tcPr>
            <w:tcW w:w="1100" w:type="pct"/>
            <w:vAlign w:val="center"/>
          </w:tcPr>
          <w:p w14:paraId="2BF7AE1B">
            <w:pPr>
              <w:widowControl w:val="0"/>
              <w:adjustRightInd w:val="0"/>
              <w:snapToGrid w:val="0"/>
              <w:jc w:val="center"/>
              <w:rPr>
                <w:rFonts w:ascii="Times New Roman" w:hAnsi="Times New Roman" w:cs="Times New Roman"/>
                <w:color w:val="auto"/>
                <w:sz w:val="21"/>
                <w:lang w:eastAsia="zh-CN"/>
              </w:rPr>
            </w:pPr>
          </w:p>
        </w:tc>
        <w:tc>
          <w:tcPr>
            <w:tcW w:w="785" w:type="pct"/>
            <w:vAlign w:val="center"/>
          </w:tcPr>
          <w:p w14:paraId="57DEF9DB">
            <w:pPr>
              <w:widowControl w:val="0"/>
              <w:jc w:val="center"/>
              <w:rPr>
                <w:rFonts w:ascii="Times New Roman" w:hAnsi="Times New Roman" w:cs="Times New Roman"/>
                <w:color w:val="auto"/>
                <w:kern w:val="2"/>
                <w:sz w:val="21"/>
                <w:lang w:eastAsia="zh-CN"/>
              </w:rPr>
            </w:pPr>
          </w:p>
        </w:tc>
        <w:tc>
          <w:tcPr>
            <w:tcW w:w="838" w:type="pct"/>
            <w:vMerge w:val="continue"/>
            <w:vAlign w:val="center"/>
          </w:tcPr>
          <w:p w14:paraId="20241B4E">
            <w:pPr>
              <w:widowControl w:val="0"/>
              <w:jc w:val="center"/>
              <w:rPr>
                <w:rFonts w:ascii="Times New Roman" w:hAnsi="Times New Roman" w:cs="Times New Roman"/>
                <w:color w:val="auto"/>
                <w:kern w:val="2"/>
                <w:sz w:val="21"/>
                <w:lang w:eastAsia="zh-CN"/>
              </w:rPr>
            </w:pPr>
          </w:p>
        </w:tc>
      </w:tr>
      <w:tr w14:paraId="5CCF12D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83" w:hRule="atLeast"/>
          <w:jc w:val="center"/>
        </w:trPr>
        <w:tc>
          <w:tcPr>
            <w:tcW w:w="786" w:type="pct"/>
            <w:vAlign w:val="center"/>
          </w:tcPr>
          <w:p w14:paraId="4C3C0F27">
            <w:pPr>
              <w:widowControl w:val="0"/>
              <w:adjustRightInd w:val="0"/>
              <w:snapToGrid w:val="0"/>
              <w:jc w:val="center"/>
              <w:rPr>
                <w:rFonts w:ascii="Times New Roman" w:hAnsi="Times New Roman" w:cs="Times New Roman"/>
                <w:color w:val="auto"/>
                <w:sz w:val="21"/>
                <w:lang w:eastAsia="zh-CN"/>
              </w:rPr>
            </w:pPr>
          </w:p>
        </w:tc>
        <w:tc>
          <w:tcPr>
            <w:tcW w:w="628" w:type="pct"/>
            <w:vAlign w:val="center"/>
          </w:tcPr>
          <w:p w14:paraId="371E2442">
            <w:pPr>
              <w:widowControl w:val="0"/>
              <w:adjustRightInd w:val="0"/>
              <w:snapToGrid w:val="0"/>
              <w:jc w:val="center"/>
              <w:rPr>
                <w:rFonts w:ascii="Times New Roman" w:hAnsi="Times New Roman" w:cs="Times New Roman"/>
                <w:color w:val="auto"/>
                <w:sz w:val="21"/>
                <w:lang w:eastAsia="zh-CN"/>
              </w:rPr>
            </w:pPr>
          </w:p>
        </w:tc>
        <w:tc>
          <w:tcPr>
            <w:tcW w:w="863" w:type="pct"/>
            <w:vAlign w:val="center"/>
          </w:tcPr>
          <w:p w14:paraId="1A61D0B2">
            <w:pPr>
              <w:widowControl w:val="0"/>
              <w:adjustRightInd w:val="0"/>
              <w:snapToGrid w:val="0"/>
              <w:jc w:val="center"/>
              <w:rPr>
                <w:rFonts w:ascii="Times New Roman" w:hAnsi="Times New Roman" w:cs="Times New Roman"/>
                <w:color w:val="auto"/>
                <w:sz w:val="21"/>
                <w:lang w:eastAsia="zh-CN"/>
              </w:rPr>
            </w:pPr>
          </w:p>
        </w:tc>
        <w:tc>
          <w:tcPr>
            <w:tcW w:w="1100" w:type="pct"/>
            <w:vAlign w:val="center"/>
          </w:tcPr>
          <w:p w14:paraId="358FF28A">
            <w:pPr>
              <w:widowControl w:val="0"/>
              <w:adjustRightInd w:val="0"/>
              <w:snapToGrid w:val="0"/>
              <w:jc w:val="center"/>
              <w:rPr>
                <w:rFonts w:ascii="Times New Roman" w:hAnsi="Times New Roman" w:cs="Times New Roman"/>
                <w:color w:val="auto"/>
                <w:sz w:val="21"/>
                <w:lang w:eastAsia="zh-CN"/>
              </w:rPr>
            </w:pPr>
          </w:p>
        </w:tc>
        <w:tc>
          <w:tcPr>
            <w:tcW w:w="785" w:type="pct"/>
            <w:vAlign w:val="center"/>
          </w:tcPr>
          <w:p w14:paraId="6E58629C">
            <w:pPr>
              <w:widowControl w:val="0"/>
              <w:jc w:val="center"/>
              <w:rPr>
                <w:rFonts w:ascii="Times New Roman" w:hAnsi="Times New Roman" w:cs="Times New Roman"/>
                <w:color w:val="auto"/>
                <w:kern w:val="2"/>
                <w:sz w:val="21"/>
                <w:lang w:eastAsia="zh-CN"/>
              </w:rPr>
            </w:pPr>
          </w:p>
        </w:tc>
        <w:tc>
          <w:tcPr>
            <w:tcW w:w="838" w:type="pct"/>
            <w:vMerge w:val="continue"/>
            <w:vAlign w:val="center"/>
          </w:tcPr>
          <w:p w14:paraId="4FCBE9A4">
            <w:pPr>
              <w:widowControl w:val="0"/>
              <w:jc w:val="center"/>
              <w:rPr>
                <w:rFonts w:ascii="Times New Roman" w:hAnsi="Times New Roman" w:cs="Times New Roman"/>
                <w:color w:val="auto"/>
                <w:kern w:val="2"/>
                <w:sz w:val="21"/>
                <w:lang w:eastAsia="zh-CN"/>
              </w:rPr>
            </w:pPr>
          </w:p>
        </w:tc>
      </w:tr>
      <w:tr w14:paraId="07FC79E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83" w:hRule="atLeast"/>
          <w:jc w:val="center"/>
        </w:trPr>
        <w:tc>
          <w:tcPr>
            <w:tcW w:w="786" w:type="pct"/>
            <w:vAlign w:val="center"/>
          </w:tcPr>
          <w:p w14:paraId="5F70FB8D">
            <w:pPr>
              <w:widowControl w:val="0"/>
              <w:adjustRightInd w:val="0"/>
              <w:snapToGrid w:val="0"/>
              <w:jc w:val="center"/>
              <w:rPr>
                <w:rFonts w:ascii="Times New Roman" w:hAnsi="Times New Roman" w:cs="Times New Roman"/>
                <w:color w:val="auto"/>
                <w:sz w:val="21"/>
                <w:lang w:eastAsia="zh-CN"/>
              </w:rPr>
            </w:pPr>
          </w:p>
        </w:tc>
        <w:tc>
          <w:tcPr>
            <w:tcW w:w="628" w:type="pct"/>
            <w:vAlign w:val="center"/>
          </w:tcPr>
          <w:p w14:paraId="0C6F312F">
            <w:pPr>
              <w:widowControl w:val="0"/>
              <w:adjustRightInd w:val="0"/>
              <w:snapToGrid w:val="0"/>
              <w:jc w:val="center"/>
              <w:rPr>
                <w:rFonts w:ascii="Times New Roman" w:hAnsi="Times New Roman" w:cs="Times New Roman"/>
                <w:color w:val="auto"/>
                <w:sz w:val="21"/>
                <w:lang w:eastAsia="zh-CN"/>
              </w:rPr>
            </w:pPr>
          </w:p>
        </w:tc>
        <w:tc>
          <w:tcPr>
            <w:tcW w:w="863" w:type="pct"/>
            <w:vAlign w:val="center"/>
          </w:tcPr>
          <w:p w14:paraId="20BE8D33">
            <w:pPr>
              <w:widowControl w:val="0"/>
              <w:adjustRightInd w:val="0"/>
              <w:snapToGrid w:val="0"/>
              <w:jc w:val="center"/>
              <w:rPr>
                <w:rFonts w:ascii="Times New Roman" w:hAnsi="Times New Roman" w:cs="Times New Roman"/>
                <w:color w:val="auto"/>
                <w:sz w:val="21"/>
                <w:lang w:eastAsia="zh-CN"/>
              </w:rPr>
            </w:pPr>
          </w:p>
        </w:tc>
        <w:tc>
          <w:tcPr>
            <w:tcW w:w="1100" w:type="pct"/>
            <w:vAlign w:val="center"/>
          </w:tcPr>
          <w:p w14:paraId="493BAF0D">
            <w:pPr>
              <w:widowControl w:val="0"/>
              <w:adjustRightInd w:val="0"/>
              <w:snapToGrid w:val="0"/>
              <w:jc w:val="center"/>
              <w:rPr>
                <w:rFonts w:ascii="Times New Roman" w:hAnsi="Times New Roman" w:cs="Times New Roman"/>
                <w:color w:val="auto"/>
                <w:sz w:val="21"/>
                <w:lang w:eastAsia="zh-CN"/>
              </w:rPr>
            </w:pPr>
          </w:p>
        </w:tc>
        <w:tc>
          <w:tcPr>
            <w:tcW w:w="785" w:type="pct"/>
            <w:vAlign w:val="center"/>
          </w:tcPr>
          <w:p w14:paraId="11B7512E">
            <w:pPr>
              <w:widowControl w:val="0"/>
              <w:jc w:val="center"/>
              <w:rPr>
                <w:rFonts w:ascii="Times New Roman" w:hAnsi="Times New Roman" w:cs="Times New Roman"/>
                <w:color w:val="auto"/>
                <w:kern w:val="2"/>
                <w:sz w:val="21"/>
                <w:lang w:eastAsia="zh-CN"/>
              </w:rPr>
            </w:pPr>
          </w:p>
        </w:tc>
        <w:tc>
          <w:tcPr>
            <w:tcW w:w="838" w:type="pct"/>
            <w:vMerge w:val="continue"/>
            <w:vAlign w:val="center"/>
          </w:tcPr>
          <w:p w14:paraId="40B201D1">
            <w:pPr>
              <w:widowControl w:val="0"/>
              <w:jc w:val="center"/>
              <w:rPr>
                <w:rFonts w:ascii="Times New Roman" w:hAnsi="Times New Roman" w:cs="Times New Roman"/>
                <w:color w:val="auto"/>
                <w:kern w:val="2"/>
                <w:sz w:val="21"/>
                <w:lang w:eastAsia="zh-CN"/>
              </w:rPr>
            </w:pPr>
          </w:p>
        </w:tc>
      </w:tr>
      <w:tr w14:paraId="216EFE1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83" w:hRule="atLeast"/>
          <w:jc w:val="center"/>
        </w:trPr>
        <w:tc>
          <w:tcPr>
            <w:tcW w:w="786" w:type="pct"/>
            <w:vAlign w:val="center"/>
          </w:tcPr>
          <w:p w14:paraId="1D832A66">
            <w:pPr>
              <w:widowControl w:val="0"/>
              <w:adjustRightInd w:val="0"/>
              <w:snapToGrid w:val="0"/>
              <w:jc w:val="center"/>
              <w:rPr>
                <w:rFonts w:ascii="Times New Roman" w:hAnsi="Times New Roman" w:cs="Times New Roman"/>
                <w:color w:val="auto"/>
                <w:sz w:val="21"/>
                <w:lang w:eastAsia="zh-CN"/>
              </w:rPr>
            </w:pPr>
          </w:p>
        </w:tc>
        <w:tc>
          <w:tcPr>
            <w:tcW w:w="628" w:type="pct"/>
            <w:vAlign w:val="center"/>
          </w:tcPr>
          <w:p w14:paraId="4BFE3FCE">
            <w:pPr>
              <w:widowControl w:val="0"/>
              <w:adjustRightInd w:val="0"/>
              <w:snapToGrid w:val="0"/>
              <w:jc w:val="center"/>
              <w:rPr>
                <w:rFonts w:ascii="Times New Roman" w:hAnsi="Times New Roman" w:cs="Times New Roman"/>
                <w:color w:val="auto"/>
                <w:sz w:val="21"/>
                <w:lang w:eastAsia="zh-CN"/>
              </w:rPr>
            </w:pPr>
          </w:p>
        </w:tc>
        <w:tc>
          <w:tcPr>
            <w:tcW w:w="863" w:type="pct"/>
            <w:vAlign w:val="center"/>
          </w:tcPr>
          <w:p w14:paraId="73E296E0">
            <w:pPr>
              <w:widowControl w:val="0"/>
              <w:adjustRightInd w:val="0"/>
              <w:snapToGrid w:val="0"/>
              <w:jc w:val="center"/>
              <w:rPr>
                <w:rFonts w:ascii="Times New Roman" w:hAnsi="Times New Roman" w:cs="Times New Roman"/>
                <w:color w:val="auto"/>
                <w:sz w:val="21"/>
                <w:lang w:eastAsia="zh-CN"/>
              </w:rPr>
            </w:pPr>
          </w:p>
        </w:tc>
        <w:tc>
          <w:tcPr>
            <w:tcW w:w="1100" w:type="pct"/>
            <w:vAlign w:val="center"/>
          </w:tcPr>
          <w:p w14:paraId="56C315CC">
            <w:pPr>
              <w:widowControl w:val="0"/>
              <w:adjustRightInd w:val="0"/>
              <w:snapToGrid w:val="0"/>
              <w:jc w:val="center"/>
              <w:rPr>
                <w:rFonts w:ascii="Times New Roman" w:hAnsi="Times New Roman" w:cs="Times New Roman"/>
                <w:color w:val="auto"/>
                <w:sz w:val="21"/>
                <w:lang w:eastAsia="zh-CN"/>
              </w:rPr>
            </w:pPr>
          </w:p>
        </w:tc>
        <w:tc>
          <w:tcPr>
            <w:tcW w:w="785" w:type="pct"/>
            <w:vAlign w:val="center"/>
          </w:tcPr>
          <w:p w14:paraId="152807DB">
            <w:pPr>
              <w:widowControl w:val="0"/>
              <w:jc w:val="center"/>
              <w:rPr>
                <w:rFonts w:ascii="Times New Roman" w:hAnsi="Times New Roman" w:cs="Times New Roman"/>
                <w:color w:val="auto"/>
                <w:kern w:val="2"/>
                <w:sz w:val="21"/>
                <w:lang w:eastAsia="zh-CN"/>
              </w:rPr>
            </w:pPr>
          </w:p>
        </w:tc>
        <w:tc>
          <w:tcPr>
            <w:tcW w:w="838" w:type="pct"/>
            <w:vMerge w:val="continue"/>
            <w:vAlign w:val="center"/>
          </w:tcPr>
          <w:p w14:paraId="3BC220BE">
            <w:pPr>
              <w:widowControl w:val="0"/>
              <w:jc w:val="center"/>
              <w:rPr>
                <w:rFonts w:ascii="Times New Roman" w:hAnsi="Times New Roman" w:cs="Times New Roman"/>
                <w:color w:val="auto"/>
                <w:kern w:val="2"/>
                <w:sz w:val="21"/>
                <w:lang w:eastAsia="zh-CN"/>
              </w:rPr>
            </w:pPr>
          </w:p>
        </w:tc>
      </w:tr>
      <w:tr w14:paraId="106B591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83" w:hRule="atLeast"/>
          <w:jc w:val="center"/>
        </w:trPr>
        <w:tc>
          <w:tcPr>
            <w:tcW w:w="786" w:type="pct"/>
            <w:vAlign w:val="center"/>
          </w:tcPr>
          <w:p w14:paraId="380A6B79">
            <w:pPr>
              <w:topLinePunct/>
              <w:spacing w:line="276" w:lineRule="auto"/>
              <w:jc w:val="center"/>
              <w:rPr>
                <w:rFonts w:ascii="Times New Roman" w:hAnsi="Times New Roman" w:cs="Times New Roman"/>
                <w:color w:val="000000" w:themeColor="text1"/>
                <w:sz w:val="21"/>
                <w14:textFill>
                  <w14:solidFill>
                    <w14:schemeClr w14:val="tx1"/>
                  </w14:solidFill>
                </w14:textFill>
              </w:rPr>
            </w:pPr>
          </w:p>
        </w:tc>
        <w:tc>
          <w:tcPr>
            <w:tcW w:w="628" w:type="pct"/>
            <w:vAlign w:val="center"/>
          </w:tcPr>
          <w:p w14:paraId="02C9D960">
            <w:pPr>
              <w:widowControl w:val="0"/>
              <w:adjustRightInd w:val="0"/>
              <w:snapToGrid w:val="0"/>
              <w:jc w:val="center"/>
              <w:rPr>
                <w:rFonts w:ascii="Times New Roman" w:hAnsi="Times New Roman" w:cs="Times New Roman"/>
                <w:color w:val="auto"/>
                <w:sz w:val="21"/>
                <w:lang w:eastAsia="zh-CN"/>
              </w:rPr>
            </w:pPr>
          </w:p>
        </w:tc>
        <w:tc>
          <w:tcPr>
            <w:tcW w:w="863" w:type="pct"/>
            <w:vAlign w:val="center"/>
          </w:tcPr>
          <w:p w14:paraId="14A4F83E">
            <w:pPr>
              <w:widowControl w:val="0"/>
              <w:adjustRightInd w:val="0"/>
              <w:snapToGrid w:val="0"/>
              <w:jc w:val="center"/>
              <w:rPr>
                <w:rFonts w:ascii="Times New Roman" w:hAnsi="Times New Roman" w:cs="Times New Roman"/>
                <w:color w:val="auto"/>
                <w:sz w:val="21"/>
                <w:lang w:eastAsia="zh-CN"/>
              </w:rPr>
            </w:pPr>
          </w:p>
        </w:tc>
        <w:tc>
          <w:tcPr>
            <w:tcW w:w="1100" w:type="pct"/>
            <w:vAlign w:val="center"/>
          </w:tcPr>
          <w:p w14:paraId="17D41721">
            <w:pPr>
              <w:widowControl w:val="0"/>
              <w:adjustRightInd w:val="0"/>
              <w:snapToGrid w:val="0"/>
              <w:jc w:val="center"/>
              <w:rPr>
                <w:rFonts w:ascii="Times New Roman" w:hAnsi="Times New Roman" w:cs="Times New Roman"/>
                <w:color w:val="auto"/>
                <w:sz w:val="21"/>
                <w:lang w:eastAsia="zh-CN"/>
              </w:rPr>
            </w:pPr>
          </w:p>
        </w:tc>
        <w:tc>
          <w:tcPr>
            <w:tcW w:w="785" w:type="pct"/>
            <w:vAlign w:val="center"/>
          </w:tcPr>
          <w:p w14:paraId="3E8804BC">
            <w:pPr>
              <w:widowControl w:val="0"/>
              <w:jc w:val="center"/>
              <w:rPr>
                <w:rFonts w:ascii="Times New Roman" w:hAnsi="Times New Roman" w:cs="Times New Roman"/>
                <w:color w:val="auto"/>
                <w:kern w:val="2"/>
                <w:sz w:val="21"/>
                <w:lang w:eastAsia="zh-CN"/>
              </w:rPr>
            </w:pPr>
          </w:p>
        </w:tc>
        <w:tc>
          <w:tcPr>
            <w:tcW w:w="838" w:type="pct"/>
            <w:vAlign w:val="center"/>
          </w:tcPr>
          <w:p w14:paraId="032A7F89">
            <w:pPr>
              <w:widowControl w:val="0"/>
              <w:jc w:val="center"/>
              <w:rPr>
                <w:rFonts w:ascii="Times New Roman" w:hAnsi="Times New Roman" w:cs="Times New Roman"/>
                <w:color w:val="auto"/>
                <w:kern w:val="2"/>
                <w:sz w:val="21"/>
                <w:lang w:eastAsia="zh-CN"/>
              </w:rPr>
            </w:pPr>
            <w:r>
              <w:rPr>
                <w:rFonts w:ascii="Times New Roman" w:hAnsi="Times New Roman" w:cs="Times New Roman"/>
                <w:color w:val="000000" w:themeColor="text1"/>
                <w:sz w:val="21"/>
                <w14:textFill>
                  <w14:solidFill>
                    <w14:schemeClr w14:val="tx1"/>
                  </w14:solidFill>
                </w14:textFill>
              </w:rPr>
              <w:t>厂家回收</w:t>
            </w:r>
          </w:p>
        </w:tc>
      </w:tr>
      <w:tr w14:paraId="3D9190A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83" w:hRule="atLeast"/>
          <w:jc w:val="center"/>
        </w:trPr>
        <w:tc>
          <w:tcPr>
            <w:tcW w:w="786" w:type="pct"/>
            <w:vAlign w:val="center"/>
          </w:tcPr>
          <w:p w14:paraId="487DA391">
            <w:pPr>
              <w:widowControl w:val="0"/>
              <w:adjustRightInd w:val="0"/>
              <w:snapToGrid w:val="0"/>
              <w:jc w:val="center"/>
              <w:rPr>
                <w:rFonts w:ascii="Times New Roman" w:hAnsi="Times New Roman" w:cs="Times New Roman"/>
                <w:color w:val="auto"/>
                <w:sz w:val="21"/>
                <w:lang w:eastAsia="zh-CN"/>
              </w:rPr>
            </w:pPr>
          </w:p>
        </w:tc>
        <w:tc>
          <w:tcPr>
            <w:tcW w:w="628" w:type="pct"/>
            <w:vAlign w:val="center"/>
          </w:tcPr>
          <w:p w14:paraId="16F8D8C8">
            <w:pPr>
              <w:widowControl w:val="0"/>
              <w:adjustRightInd w:val="0"/>
              <w:snapToGrid w:val="0"/>
              <w:jc w:val="center"/>
              <w:rPr>
                <w:rFonts w:ascii="Times New Roman" w:hAnsi="Times New Roman" w:cs="Times New Roman"/>
                <w:color w:val="auto"/>
                <w:sz w:val="21"/>
                <w:lang w:eastAsia="zh-CN"/>
              </w:rPr>
            </w:pPr>
          </w:p>
        </w:tc>
        <w:tc>
          <w:tcPr>
            <w:tcW w:w="863" w:type="pct"/>
            <w:vAlign w:val="center"/>
          </w:tcPr>
          <w:p w14:paraId="63A121BC">
            <w:pPr>
              <w:widowControl w:val="0"/>
              <w:adjustRightInd w:val="0"/>
              <w:snapToGrid w:val="0"/>
              <w:jc w:val="center"/>
              <w:rPr>
                <w:rFonts w:ascii="Times New Roman" w:hAnsi="Times New Roman" w:cs="Times New Roman"/>
                <w:color w:val="auto"/>
                <w:sz w:val="21"/>
                <w:lang w:eastAsia="zh-CN"/>
              </w:rPr>
            </w:pPr>
          </w:p>
        </w:tc>
        <w:tc>
          <w:tcPr>
            <w:tcW w:w="1100" w:type="pct"/>
            <w:vAlign w:val="center"/>
          </w:tcPr>
          <w:p w14:paraId="3798022A">
            <w:pPr>
              <w:widowControl w:val="0"/>
              <w:adjustRightInd w:val="0"/>
              <w:snapToGrid w:val="0"/>
              <w:jc w:val="center"/>
              <w:rPr>
                <w:rFonts w:ascii="Times New Roman" w:hAnsi="Times New Roman" w:cs="Times New Roman"/>
                <w:color w:val="auto"/>
                <w:sz w:val="21"/>
                <w:lang w:eastAsia="zh-CN"/>
              </w:rPr>
            </w:pPr>
          </w:p>
        </w:tc>
        <w:tc>
          <w:tcPr>
            <w:tcW w:w="785" w:type="pct"/>
            <w:vAlign w:val="center"/>
          </w:tcPr>
          <w:p w14:paraId="5D97C911">
            <w:pPr>
              <w:widowControl w:val="0"/>
              <w:jc w:val="center"/>
              <w:rPr>
                <w:rFonts w:ascii="Times New Roman" w:hAnsi="Times New Roman" w:cs="Times New Roman"/>
                <w:color w:val="auto"/>
                <w:kern w:val="2"/>
                <w:sz w:val="21"/>
                <w:lang w:eastAsia="zh-CN"/>
              </w:rPr>
            </w:pPr>
          </w:p>
        </w:tc>
        <w:tc>
          <w:tcPr>
            <w:tcW w:w="838" w:type="pct"/>
            <w:vAlign w:val="center"/>
          </w:tcPr>
          <w:p w14:paraId="230979C7">
            <w:pPr>
              <w:widowControl w:val="0"/>
              <w:jc w:val="center"/>
              <w:rPr>
                <w:rFonts w:ascii="Times New Roman" w:hAnsi="Times New Roman" w:cs="Times New Roman"/>
                <w:color w:val="auto"/>
                <w:kern w:val="2"/>
                <w:sz w:val="21"/>
                <w:lang w:eastAsia="zh-CN"/>
              </w:rPr>
            </w:pPr>
            <w:r>
              <w:rPr>
                <w:rFonts w:ascii="Times New Roman" w:hAnsi="Times New Roman" w:cs="Times New Roman"/>
                <w:color w:val="000000" w:themeColor="text1"/>
                <w:sz w:val="21"/>
                <w14:textFill>
                  <w14:solidFill>
                    <w14:schemeClr w14:val="tx1"/>
                  </w14:solidFill>
                </w14:textFill>
              </w:rPr>
              <w:t>厂家回收</w:t>
            </w:r>
          </w:p>
        </w:tc>
      </w:tr>
      <w:tr w14:paraId="3AD0351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83" w:hRule="atLeast"/>
          <w:jc w:val="center"/>
        </w:trPr>
        <w:tc>
          <w:tcPr>
            <w:tcW w:w="786" w:type="pct"/>
            <w:vAlign w:val="center"/>
          </w:tcPr>
          <w:p w14:paraId="1D7B13FD">
            <w:pPr>
              <w:widowControl w:val="0"/>
              <w:adjustRightInd w:val="0"/>
              <w:snapToGrid w:val="0"/>
              <w:jc w:val="center"/>
              <w:rPr>
                <w:rFonts w:ascii="Times New Roman" w:hAnsi="Times New Roman" w:cs="Times New Roman"/>
                <w:color w:val="auto"/>
                <w:sz w:val="21"/>
                <w:lang w:eastAsia="zh-CN"/>
              </w:rPr>
            </w:pPr>
          </w:p>
        </w:tc>
        <w:tc>
          <w:tcPr>
            <w:tcW w:w="628" w:type="pct"/>
            <w:vAlign w:val="center"/>
          </w:tcPr>
          <w:p w14:paraId="15BA9672">
            <w:pPr>
              <w:widowControl w:val="0"/>
              <w:adjustRightInd w:val="0"/>
              <w:snapToGrid w:val="0"/>
              <w:jc w:val="center"/>
              <w:rPr>
                <w:rFonts w:ascii="Times New Roman" w:hAnsi="Times New Roman" w:cs="Times New Roman"/>
                <w:color w:val="auto"/>
                <w:sz w:val="21"/>
                <w:lang w:eastAsia="zh-CN"/>
              </w:rPr>
            </w:pPr>
          </w:p>
        </w:tc>
        <w:tc>
          <w:tcPr>
            <w:tcW w:w="863" w:type="pct"/>
            <w:vAlign w:val="center"/>
          </w:tcPr>
          <w:p w14:paraId="322A5C78">
            <w:pPr>
              <w:widowControl w:val="0"/>
              <w:adjustRightInd w:val="0"/>
              <w:snapToGrid w:val="0"/>
              <w:jc w:val="center"/>
              <w:rPr>
                <w:rFonts w:ascii="Times New Roman" w:hAnsi="Times New Roman" w:cs="Times New Roman"/>
                <w:color w:val="auto"/>
                <w:sz w:val="21"/>
                <w:lang w:eastAsia="zh-CN"/>
              </w:rPr>
            </w:pPr>
          </w:p>
        </w:tc>
        <w:tc>
          <w:tcPr>
            <w:tcW w:w="1100" w:type="pct"/>
            <w:vAlign w:val="center"/>
          </w:tcPr>
          <w:p w14:paraId="1E2A4542">
            <w:pPr>
              <w:widowControl w:val="0"/>
              <w:adjustRightInd w:val="0"/>
              <w:snapToGrid w:val="0"/>
              <w:jc w:val="center"/>
              <w:rPr>
                <w:rFonts w:ascii="Times New Roman" w:hAnsi="Times New Roman" w:cs="Times New Roman"/>
                <w:color w:val="auto"/>
                <w:sz w:val="21"/>
                <w:lang w:eastAsia="zh-CN"/>
              </w:rPr>
            </w:pPr>
          </w:p>
        </w:tc>
        <w:tc>
          <w:tcPr>
            <w:tcW w:w="785" w:type="pct"/>
            <w:vAlign w:val="center"/>
          </w:tcPr>
          <w:p w14:paraId="56AFAA66">
            <w:pPr>
              <w:widowControl w:val="0"/>
              <w:jc w:val="center"/>
              <w:rPr>
                <w:rFonts w:ascii="Times New Roman" w:hAnsi="Times New Roman" w:cs="Times New Roman"/>
                <w:color w:val="auto"/>
                <w:kern w:val="2"/>
                <w:sz w:val="21"/>
                <w:lang w:eastAsia="zh-CN"/>
              </w:rPr>
            </w:pPr>
          </w:p>
        </w:tc>
        <w:tc>
          <w:tcPr>
            <w:tcW w:w="838" w:type="pct"/>
            <w:vAlign w:val="center"/>
          </w:tcPr>
          <w:p w14:paraId="2C28F874">
            <w:pPr>
              <w:widowControl w:val="0"/>
              <w:jc w:val="center"/>
              <w:rPr>
                <w:rFonts w:ascii="Times New Roman" w:hAnsi="Times New Roman" w:cs="Times New Roman"/>
                <w:color w:val="auto"/>
                <w:kern w:val="2"/>
                <w:sz w:val="21"/>
                <w:lang w:eastAsia="zh-CN"/>
              </w:rPr>
            </w:pPr>
            <w:r>
              <w:rPr>
                <w:rFonts w:ascii="Times New Roman" w:hAnsi="Times New Roman" w:cs="Times New Roman"/>
                <w:color w:val="auto"/>
                <w:sz w:val="21"/>
                <w:lang w:eastAsia="zh-CN"/>
              </w:rPr>
              <w:t>交由巢湖市爱华环保科技有限公司利用</w:t>
            </w:r>
          </w:p>
        </w:tc>
      </w:tr>
      <w:tr w14:paraId="087BF70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11" w:type="dxa"/>
            <w:left w:w="57" w:type="dxa"/>
            <w:bottom w:w="11" w:type="dxa"/>
            <w:right w:w="57" w:type="dxa"/>
          </w:tblCellMar>
        </w:tblPrEx>
        <w:trPr>
          <w:trHeight w:val="283" w:hRule="atLeast"/>
          <w:jc w:val="center"/>
        </w:trPr>
        <w:tc>
          <w:tcPr>
            <w:tcW w:w="786" w:type="pct"/>
            <w:vAlign w:val="center"/>
          </w:tcPr>
          <w:p w14:paraId="3D76B203">
            <w:pPr>
              <w:widowControl w:val="0"/>
              <w:adjustRightInd w:val="0"/>
              <w:snapToGrid w:val="0"/>
              <w:jc w:val="center"/>
              <w:rPr>
                <w:rFonts w:ascii="Times New Roman" w:hAnsi="Times New Roman" w:cs="Times New Roman"/>
                <w:color w:val="auto"/>
                <w:sz w:val="21"/>
                <w:lang w:eastAsia="zh-CN"/>
              </w:rPr>
            </w:pPr>
          </w:p>
        </w:tc>
        <w:tc>
          <w:tcPr>
            <w:tcW w:w="628" w:type="pct"/>
            <w:vAlign w:val="center"/>
          </w:tcPr>
          <w:p w14:paraId="0D980000">
            <w:pPr>
              <w:widowControl w:val="0"/>
              <w:adjustRightInd w:val="0"/>
              <w:snapToGrid w:val="0"/>
              <w:jc w:val="center"/>
              <w:rPr>
                <w:rFonts w:ascii="Times New Roman" w:hAnsi="Times New Roman" w:cs="Times New Roman"/>
                <w:color w:val="auto"/>
                <w:sz w:val="21"/>
                <w:lang w:eastAsia="zh-CN"/>
              </w:rPr>
            </w:pPr>
          </w:p>
        </w:tc>
        <w:tc>
          <w:tcPr>
            <w:tcW w:w="863" w:type="pct"/>
            <w:vAlign w:val="center"/>
          </w:tcPr>
          <w:p w14:paraId="1B44AA7D">
            <w:pPr>
              <w:widowControl w:val="0"/>
              <w:adjustRightInd w:val="0"/>
              <w:snapToGrid w:val="0"/>
              <w:jc w:val="center"/>
              <w:rPr>
                <w:rFonts w:ascii="Times New Roman" w:hAnsi="Times New Roman" w:cs="Times New Roman"/>
                <w:color w:val="auto"/>
                <w:sz w:val="21"/>
                <w:lang w:eastAsia="zh-CN"/>
              </w:rPr>
            </w:pPr>
          </w:p>
        </w:tc>
        <w:tc>
          <w:tcPr>
            <w:tcW w:w="1100" w:type="pct"/>
            <w:vAlign w:val="center"/>
          </w:tcPr>
          <w:p w14:paraId="344D3083">
            <w:pPr>
              <w:widowControl w:val="0"/>
              <w:adjustRightInd w:val="0"/>
              <w:snapToGrid w:val="0"/>
              <w:jc w:val="center"/>
              <w:rPr>
                <w:rFonts w:ascii="Times New Roman" w:hAnsi="Times New Roman" w:cs="Times New Roman"/>
                <w:color w:val="auto"/>
                <w:sz w:val="21"/>
                <w:lang w:eastAsia="zh-CN"/>
              </w:rPr>
            </w:pPr>
          </w:p>
        </w:tc>
        <w:tc>
          <w:tcPr>
            <w:tcW w:w="785" w:type="pct"/>
            <w:vAlign w:val="center"/>
          </w:tcPr>
          <w:p w14:paraId="104AE6C9">
            <w:pPr>
              <w:widowControl w:val="0"/>
              <w:jc w:val="center"/>
              <w:rPr>
                <w:rFonts w:ascii="Times New Roman" w:hAnsi="Times New Roman" w:cs="Times New Roman"/>
                <w:color w:val="auto"/>
                <w:kern w:val="2"/>
                <w:sz w:val="21"/>
                <w:lang w:eastAsia="zh-CN"/>
              </w:rPr>
            </w:pPr>
          </w:p>
        </w:tc>
        <w:tc>
          <w:tcPr>
            <w:tcW w:w="838" w:type="pct"/>
            <w:vAlign w:val="center"/>
          </w:tcPr>
          <w:p w14:paraId="248474A7">
            <w:pPr>
              <w:widowControl w:val="0"/>
              <w:jc w:val="center"/>
              <w:rPr>
                <w:rFonts w:ascii="Times New Roman" w:hAnsi="Times New Roman" w:cs="Times New Roman"/>
                <w:color w:val="auto"/>
                <w:kern w:val="2"/>
                <w:sz w:val="21"/>
                <w:lang w:eastAsia="zh-CN"/>
              </w:rPr>
            </w:pPr>
            <w:r>
              <w:rPr>
                <w:rFonts w:ascii="Times New Roman" w:hAnsi="Times New Roman" w:cs="Times New Roman"/>
                <w:color w:val="000000" w:themeColor="text1"/>
                <w:sz w:val="21"/>
                <w14:textFill>
                  <w14:solidFill>
                    <w14:schemeClr w14:val="tx1"/>
                  </w14:solidFill>
                </w14:textFill>
              </w:rPr>
              <w:t>环卫部门统一清运</w:t>
            </w:r>
          </w:p>
        </w:tc>
      </w:tr>
    </w:tbl>
    <w:p w14:paraId="6EE92918">
      <w:pPr>
        <w:adjustRightInd w:val="0"/>
        <w:snapToGrid w:val="0"/>
        <w:spacing w:line="360" w:lineRule="auto"/>
        <w:ind w:firstLine="482"/>
        <w:jc w:val="both"/>
        <w:outlineLvl w:val="2"/>
        <w:rPr>
          <w:rFonts w:ascii="Times New Roman" w:hAnsi="Times New Roman" w:cs="Times New Roman"/>
          <w:b/>
          <w:bCs/>
          <w:color w:val="auto"/>
          <w:szCs w:val="24"/>
          <w:lang w:eastAsia="zh-CN"/>
        </w:rPr>
      </w:pPr>
      <w:bookmarkStart w:id="534" w:name="_Toc221900801"/>
      <w:bookmarkStart w:id="535" w:name="_Toc217662634"/>
      <w:bookmarkStart w:id="536" w:name="_Toc218784244"/>
      <w:bookmarkStart w:id="537" w:name="_Toc223425019"/>
      <w:bookmarkStart w:id="538" w:name="_Toc231828556"/>
      <w:bookmarkStart w:id="539" w:name="_Toc224674657"/>
      <w:bookmarkStart w:id="540" w:name="_Toc225784018"/>
      <w:bookmarkStart w:id="541" w:name="_Toc236641804"/>
      <w:bookmarkStart w:id="542" w:name="_Toc237508270"/>
      <w:bookmarkStart w:id="543" w:name="_Toc236641287"/>
      <w:r>
        <w:rPr>
          <w:rFonts w:ascii="Times New Roman" w:hAnsi="Times New Roman" w:cs="Times New Roman"/>
          <w:b/>
          <w:bCs/>
          <w:color w:val="auto"/>
          <w:szCs w:val="24"/>
          <w:lang w:eastAsia="zh-CN"/>
        </w:rPr>
        <w:t>3.</w:t>
      </w:r>
      <w:r>
        <w:rPr>
          <w:rFonts w:hint="eastAsia" w:ascii="Times New Roman" w:hAnsi="Times New Roman" w:cs="Times New Roman"/>
          <w:b/>
          <w:bCs/>
          <w:color w:val="auto"/>
          <w:szCs w:val="24"/>
          <w:lang w:eastAsia="zh-CN"/>
        </w:rPr>
        <w:t>2</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5 地下水</w:t>
      </w:r>
      <w:bookmarkEnd w:id="534"/>
      <w:bookmarkEnd w:id="535"/>
      <w:bookmarkEnd w:id="536"/>
      <w:bookmarkEnd w:id="537"/>
      <w:r>
        <w:rPr>
          <w:rFonts w:hint="eastAsia" w:ascii="Times New Roman" w:hAnsi="Times New Roman" w:cs="Times New Roman"/>
          <w:b/>
          <w:bCs/>
          <w:color w:val="auto"/>
          <w:szCs w:val="24"/>
          <w:lang w:eastAsia="zh-CN"/>
        </w:rPr>
        <w:t>及土壤</w:t>
      </w:r>
      <w:bookmarkEnd w:id="538"/>
      <w:bookmarkEnd w:id="539"/>
      <w:bookmarkEnd w:id="540"/>
      <w:bookmarkEnd w:id="541"/>
      <w:bookmarkEnd w:id="542"/>
      <w:bookmarkEnd w:id="543"/>
    </w:p>
    <w:p w14:paraId="4D024727">
      <w:pPr>
        <w:pStyle w:val="19"/>
        <w:widowControl w:val="0"/>
        <w:adjustRightInd w:val="0"/>
        <w:snapToGrid w:val="0"/>
        <w:spacing w:after="0" w:line="360" w:lineRule="auto"/>
        <w:ind w:left="0" w:leftChars="0"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为了及时准确的掌握厂区地下水环境污染控制状况，企业建立厂区地下水环境监控体系，包括地下水污染监控制度和环境管理体系、制定监测计划、配备必要的检测仪器和设备，以便及时发现地下水水质污染，采取措施加以控制，现有厂区已布设1座地下水跟踪监测井。建设单位于2026年5月19日委托安徽省华泽检测科技有限公司对厂区地下水环境进行了检测，检测结果如下。</w:t>
      </w:r>
    </w:p>
    <w:p w14:paraId="354EA63C">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w:t>
      </w:r>
      <w:r>
        <w:rPr>
          <w:rFonts w:hint="eastAsia" w:ascii="Times New Roman" w:hAnsi="Times New Roman" w:cs="Times New Roman"/>
          <w:b/>
          <w:bCs/>
          <w:color w:val="auto"/>
          <w:lang w:eastAsia="zh-CN"/>
        </w:rPr>
        <w:t>3.2</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 xml:space="preserve">  地下水</w:t>
      </w:r>
      <w:r>
        <w:rPr>
          <w:rFonts w:hint="eastAsia" w:ascii="Times New Roman" w:hAnsi="Times New Roman" w:cs="Times New Roman"/>
          <w:b/>
          <w:bCs/>
          <w:color w:val="auto"/>
          <w:lang w:eastAsia="zh-CN"/>
        </w:rPr>
        <w:t>例行检测</w:t>
      </w:r>
      <w:r>
        <w:rPr>
          <w:rFonts w:ascii="Times New Roman" w:hAnsi="Times New Roman" w:cs="Times New Roman"/>
          <w:b/>
          <w:bCs/>
          <w:color w:val="auto"/>
          <w:lang w:eastAsia="zh-CN"/>
        </w:rPr>
        <w:t>结果一览表  单位：mg/L ，pH 无量纲</w:t>
      </w:r>
    </w:p>
    <w:tbl>
      <w:tblPr>
        <w:tblStyle w:val="35"/>
        <w:tblW w:w="5000" w:type="pct"/>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autofit"/>
        <w:tblCellMar>
          <w:top w:w="0" w:type="dxa"/>
          <w:left w:w="0" w:type="dxa"/>
          <w:bottom w:w="0" w:type="dxa"/>
          <w:right w:w="0" w:type="dxa"/>
        </w:tblCellMar>
      </w:tblPr>
      <w:tblGrid>
        <w:gridCol w:w="3276"/>
        <w:gridCol w:w="2101"/>
        <w:gridCol w:w="1868"/>
        <w:gridCol w:w="1781"/>
      </w:tblGrid>
      <w:tr w14:paraId="1B5A9E8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PrEx>
        <w:trPr>
          <w:trHeight w:val="283" w:hRule="atLeast"/>
          <w:jc w:val="center"/>
        </w:trPr>
        <w:tc>
          <w:tcPr>
            <w:tcW w:w="1815" w:type="pct"/>
            <w:vAlign w:val="center"/>
          </w:tcPr>
          <w:p w14:paraId="254C2D21">
            <w:pPr>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检测因子</w:t>
            </w:r>
          </w:p>
        </w:tc>
        <w:tc>
          <w:tcPr>
            <w:tcW w:w="1164" w:type="pct"/>
            <w:vAlign w:val="center"/>
          </w:tcPr>
          <w:p w14:paraId="766C22F3">
            <w:pPr>
              <w:jc w:val="center"/>
              <w:rPr>
                <w:rFonts w:ascii="Times New Roman" w:hAnsi="Times New Roman" w:cs="Times New Roman"/>
                <w:b/>
                <w:bCs/>
                <w:color w:val="auto"/>
                <w:sz w:val="21"/>
              </w:rPr>
            </w:pPr>
            <w:r>
              <w:rPr>
                <w:rFonts w:hint="eastAsia" w:ascii="Times New Roman" w:hAnsi="Times New Roman" w:cs="Times New Roman"/>
                <w:b/>
                <w:bCs/>
                <w:color w:val="auto"/>
                <w:sz w:val="21"/>
                <w:lang w:eastAsia="zh-CN"/>
              </w:rPr>
              <w:t>检测结果</w:t>
            </w:r>
          </w:p>
        </w:tc>
        <w:tc>
          <w:tcPr>
            <w:tcW w:w="1035" w:type="pct"/>
            <w:vAlign w:val="center"/>
          </w:tcPr>
          <w:p w14:paraId="2D85CDEC">
            <w:pPr>
              <w:jc w:val="center"/>
              <w:rPr>
                <w:rFonts w:ascii="Times New Roman" w:hAnsi="Times New Roman" w:cs="Times New Roman"/>
                <w:b/>
                <w:bCs/>
                <w:color w:val="auto"/>
                <w:sz w:val="21"/>
              </w:rPr>
            </w:pPr>
            <w:r>
              <w:rPr>
                <w:rFonts w:hint="eastAsia" w:ascii="Times New Roman" w:hAnsi="Times New Roman" w:cs="Times New Roman"/>
                <w:b/>
                <w:bCs/>
                <w:color w:val="auto"/>
                <w:sz w:val="21"/>
                <w:lang w:eastAsia="zh-CN"/>
              </w:rPr>
              <w:t>标准值</w:t>
            </w:r>
          </w:p>
        </w:tc>
        <w:tc>
          <w:tcPr>
            <w:tcW w:w="986" w:type="pct"/>
            <w:vAlign w:val="center"/>
          </w:tcPr>
          <w:p w14:paraId="0139A424">
            <w:pPr>
              <w:jc w:val="center"/>
              <w:rPr>
                <w:rFonts w:ascii="Times New Roman" w:hAnsi="Times New Roman" w:cs="Times New Roman"/>
                <w:b/>
                <w:bCs/>
                <w:color w:val="auto"/>
                <w:sz w:val="21"/>
              </w:rPr>
            </w:pPr>
            <w:r>
              <w:rPr>
                <w:rFonts w:hint="eastAsia" w:ascii="Times New Roman" w:hAnsi="Times New Roman" w:cs="Times New Roman"/>
                <w:b/>
                <w:bCs/>
                <w:color w:val="auto"/>
                <w:sz w:val="21"/>
                <w:lang w:eastAsia="zh-CN"/>
              </w:rPr>
              <w:t>达标情况</w:t>
            </w:r>
          </w:p>
        </w:tc>
      </w:tr>
      <w:tr w14:paraId="2C3C690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815" w:type="pct"/>
            <w:vAlign w:val="center"/>
          </w:tcPr>
          <w:p w14:paraId="7E810D70">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pH</w:t>
            </w:r>
          </w:p>
        </w:tc>
        <w:tc>
          <w:tcPr>
            <w:tcW w:w="1164" w:type="pct"/>
            <w:vAlign w:val="center"/>
          </w:tcPr>
          <w:p w14:paraId="37ED9050">
            <w:pPr>
              <w:jc w:val="center"/>
              <w:rPr>
                <w:rFonts w:ascii="Times New Roman" w:hAnsi="Times New Roman" w:cs="Times New Roman"/>
                <w:color w:val="auto"/>
                <w:sz w:val="21"/>
                <w:lang w:eastAsia="zh-CN"/>
              </w:rPr>
            </w:pPr>
          </w:p>
        </w:tc>
        <w:tc>
          <w:tcPr>
            <w:tcW w:w="1035" w:type="pct"/>
            <w:vAlign w:val="center"/>
          </w:tcPr>
          <w:p w14:paraId="2FC630A5">
            <w:pPr>
              <w:jc w:val="center"/>
              <w:rPr>
                <w:rFonts w:ascii="Times New Roman" w:hAnsi="Times New Roman" w:cs="Times New Roman"/>
                <w:color w:val="auto"/>
                <w:sz w:val="21"/>
                <w:lang w:eastAsia="zh-CN"/>
              </w:rPr>
            </w:pPr>
          </w:p>
        </w:tc>
        <w:tc>
          <w:tcPr>
            <w:tcW w:w="986" w:type="pct"/>
            <w:vAlign w:val="center"/>
          </w:tcPr>
          <w:p w14:paraId="6144ECC7">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w:t>
            </w:r>
          </w:p>
        </w:tc>
      </w:tr>
      <w:tr w14:paraId="7BA8776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815" w:type="pct"/>
            <w:vAlign w:val="center"/>
          </w:tcPr>
          <w:p w14:paraId="24963079">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总硬度</w:t>
            </w:r>
          </w:p>
        </w:tc>
        <w:tc>
          <w:tcPr>
            <w:tcW w:w="1164" w:type="pct"/>
            <w:vAlign w:val="center"/>
          </w:tcPr>
          <w:p w14:paraId="30CE6042">
            <w:pPr>
              <w:jc w:val="center"/>
              <w:rPr>
                <w:rFonts w:ascii="Times New Roman" w:hAnsi="Times New Roman" w:cs="Times New Roman"/>
                <w:b/>
                <w:bCs/>
                <w:color w:val="auto"/>
                <w:sz w:val="21"/>
                <w:lang w:eastAsia="zh-CN"/>
              </w:rPr>
            </w:pPr>
          </w:p>
        </w:tc>
        <w:tc>
          <w:tcPr>
            <w:tcW w:w="1035" w:type="pct"/>
            <w:vAlign w:val="center"/>
          </w:tcPr>
          <w:p w14:paraId="784F96B2">
            <w:pPr>
              <w:jc w:val="center"/>
              <w:rPr>
                <w:rFonts w:ascii="Times New Roman" w:hAnsi="Times New Roman" w:cs="Times New Roman"/>
                <w:b/>
                <w:bCs/>
                <w:color w:val="auto"/>
                <w:sz w:val="21"/>
                <w:lang w:eastAsia="zh-CN"/>
              </w:rPr>
            </w:pPr>
          </w:p>
        </w:tc>
        <w:tc>
          <w:tcPr>
            <w:tcW w:w="986" w:type="pct"/>
            <w:vAlign w:val="center"/>
          </w:tcPr>
          <w:p w14:paraId="205518E3">
            <w:pPr>
              <w:jc w:val="center"/>
              <w:rPr>
                <w:rFonts w:ascii="Times New Roman" w:hAnsi="Times New Roman" w:cs="Times New Roman"/>
                <w:b/>
                <w:bCs/>
                <w:color w:val="auto"/>
                <w:sz w:val="21"/>
              </w:rPr>
            </w:pPr>
            <w:r>
              <w:rPr>
                <w:rFonts w:hint="eastAsia" w:ascii="Times New Roman" w:hAnsi="Times New Roman" w:cs="Times New Roman"/>
                <w:b/>
                <w:bCs/>
                <w:color w:val="auto"/>
                <w:sz w:val="21"/>
                <w:lang w:eastAsia="zh-CN"/>
              </w:rPr>
              <w:t>不达标</w:t>
            </w:r>
          </w:p>
        </w:tc>
      </w:tr>
      <w:tr w14:paraId="1FD9562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815" w:type="pct"/>
            <w:vAlign w:val="center"/>
          </w:tcPr>
          <w:p w14:paraId="08FAB54B">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溶解性总固体</w:t>
            </w:r>
          </w:p>
        </w:tc>
        <w:tc>
          <w:tcPr>
            <w:tcW w:w="1164" w:type="pct"/>
            <w:vAlign w:val="center"/>
          </w:tcPr>
          <w:p w14:paraId="1509BB51">
            <w:pPr>
              <w:jc w:val="center"/>
              <w:rPr>
                <w:rFonts w:ascii="Times New Roman" w:hAnsi="Times New Roman" w:cs="Times New Roman"/>
                <w:color w:val="auto"/>
                <w:sz w:val="21"/>
                <w:lang w:eastAsia="zh-CN"/>
              </w:rPr>
            </w:pPr>
          </w:p>
        </w:tc>
        <w:tc>
          <w:tcPr>
            <w:tcW w:w="1035" w:type="pct"/>
            <w:vAlign w:val="center"/>
          </w:tcPr>
          <w:p w14:paraId="3163C754">
            <w:pPr>
              <w:jc w:val="center"/>
              <w:rPr>
                <w:rFonts w:ascii="Times New Roman" w:hAnsi="Times New Roman" w:cs="Times New Roman"/>
                <w:color w:val="auto"/>
                <w:sz w:val="21"/>
                <w:lang w:eastAsia="zh-CN"/>
              </w:rPr>
            </w:pPr>
          </w:p>
        </w:tc>
        <w:tc>
          <w:tcPr>
            <w:tcW w:w="986" w:type="pct"/>
            <w:vAlign w:val="center"/>
          </w:tcPr>
          <w:p w14:paraId="5BE29E22">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达标</w:t>
            </w:r>
          </w:p>
        </w:tc>
      </w:tr>
      <w:tr w14:paraId="126B3B8D">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815" w:type="pct"/>
            <w:vAlign w:val="center"/>
          </w:tcPr>
          <w:p w14:paraId="6FCB84F6">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挥发性酚类</w:t>
            </w:r>
          </w:p>
        </w:tc>
        <w:tc>
          <w:tcPr>
            <w:tcW w:w="1164" w:type="pct"/>
            <w:vAlign w:val="center"/>
          </w:tcPr>
          <w:p w14:paraId="6DB8CD4C">
            <w:pPr>
              <w:jc w:val="center"/>
              <w:rPr>
                <w:rFonts w:ascii="Times New Roman" w:hAnsi="Times New Roman" w:cs="Times New Roman"/>
                <w:color w:val="auto"/>
                <w:sz w:val="21"/>
              </w:rPr>
            </w:pPr>
          </w:p>
        </w:tc>
        <w:tc>
          <w:tcPr>
            <w:tcW w:w="1035" w:type="pct"/>
            <w:vAlign w:val="center"/>
          </w:tcPr>
          <w:p w14:paraId="65A8C73B">
            <w:pPr>
              <w:jc w:val="center"/>
              <w:rPr>
                <w:rFonts w:ascii="Times New Roman" w:hAnsi="Times New Roman" w:cs="Times New Roman"/>
                <w:color w:val="auto"/>
                <w:sz w:val="21"/>
                <w:lang w:eastAsia="zh-CN"/>
              </w:rPr>
            </w:pPr>
          </w:p>
        </w:tc>
        <w:tc>
          <w:tcPr>
            <w:tcW w:w="986" w:type="pct"/>
            <w:vAlign w:val="center"/>
          </w:tcPr>
          <w:p w14:paraId="16F00E8F">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达标</w:t>
            </w:r>
          </w:p>
        </w:tc>
      </w:tr>
      <w:tr w14:paraId="0E60B0EC">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815" w:type="pct"/>
            <w:vAlign w:val="center"/>
          </w:tcPr>
          <w:p w14:paraId="36D83B28">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硫酸盐</w:t>
            </w:r>
          </w:p>
        </w:tc>
        <w:tc>
          <w:tcPr>
            <w:tcW w:w="1164" w:type="pct"/>
            <w:vAlign w:val="center"/>
          </w:tcPr>
          <w:p w14:paraId="20624A72">
            <w:pPr>
              <w:jc w:val="center"/>
              <w:rPr>
                <w:rFonts w:ascii="Times New Roman" w:hAnsi="Times New Roman" w:cs="Times New Roman"/>
                <w:color w:val="auto"/>
                <w:sz w:val="21"/>
                <w:lang w:eastAsia="zh-CN"/>
              </w:rPr>
            </w:pPr>
          </w:p>
        </w:tc>
        <w:tc>
          <w:tcPr>
            <w:tcW w:w="1035" w:type="pct"/>
            <w:vAlign w:val="center"/>
          </w:tcPr>
          <w:p w14:paraId="75CEB3E1">
            <w:pPr>
              <w:jc w:val="center"/>
              <w:rPr>
                <w:rFonts w:ascii="Times New Roman" w:hAnsi="Times New Roman" w:cs="Times New Roman"/>
                <w:color w:val="auto"/>
                <w:sz w:val="21"/>
                <w:lang w:eastAsia="zh-CN"/>
              </w:rPr>
            </w:pPr>
          </w:p>
        </w:tc>
        <w:tc>
          <w:tcPr>
            <w:tcW w:w="986" w:type="pct"/>
            <w:vAlign w:val="center"/>
          </w:tcPr>
          <w:p w14:paraId="15D7AEFC">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达标</w:t>
            </w:r>
          </w:p>
        </w:tc>
      </w:tr>
      <w:tr w14:paraId="00C622B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815" w:type="pct"/>
            <w:vAlign w:val="center"/>
          </w:tcPr>
          <w:p w14:paraId="2E700A21">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氯化物</w:t>
            </w:r>
          </w:p>
        </w:tc>
        <w:tc>
          <w:tcPr>
            <w:tcW w:w="1164" w:type="pct"/>
            <w:vAlign w:val="center"/>
          </w:tcPr>
          <w:p w14:paraId="1B4156E7">
            <w:pPr>
              <w:jc w:val="center"/>
              <w:rPr>
                <w:rFonts w:ascii="Times New Roman" w:hAnsi="Times New Roman" w:cs="Times New Roman"/>
                <w:color w:val="auto"/>
                <w:sz w:val="21"/>
                <w:lang w:eastAsia="zh-CN"/>
              </w:rPr>
            </w:pPr>
          </w:p>
        </w:tc>
        <w:tc>
          <w:tcPr>
            <w:tcW w:w="1035" w:type="pct"/>
            <w:vAlign w:val="center"/>
          </w:tcPr>
          <w:p w14:paraId="34AF9743">
            <w:pPr>
              <w:jc w:val="center"/>
              <w:rPr>
                <w:rFonts w:ascii="Times New Roman" w:hAnsi="Times New Roman" w:cs="Times New Roman"/>
                <w:color w:val="auto"/>
                <w:sz w:val="21"/>
                <w:lang w:eastAsia="zh-CN"/>
              </w:rPr>
            </w:pPr>
          </w:p>
        </w:tc>
        <w:tc>
          <w:tcPr>
            <w:tcW w:w="986" w:type="pct"/>
            <w:vAlign w:val="center"/>
          </w:tcPr>
          <w:p w14:paraId="4F4AB9C9">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达标</w:t>
            </w:r>
          </w:p>
        </w:tc>
      </w:tr>
      <w:tr w14:paraId="6A9A51E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815" w:type="pct"/>
            <w:vAlign w:val="center"/>
          </w:tcPr>
          <w:p w14:paraId="4C2DD5DD">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氟化物</w:t>
            </w:r>
          </w:p>
        </w:tc>
        <w:tc>
          <w:tcPr>
            <w:tcW w:w="1164" w:type="pct"/>
            <w:vAlign w:val="center"/>
          </w:tcPr>
          <w:p w14:paraId="157258E7">
            <w:pPr>
              <w:jc w:val="center"/>
              <w:rPr>
                <w:rFonts w:ascii="Times New Roman" w:hAnsi="Times New Roman" w:cs="Times New Roman"/>
                <w:color w:val="auto"/>
                <w:sz w:val="21"/>
                <w:lang w:eastAsia="zh-CN"/>
              </w:rPr>
            </w:pPr>
          </w:p>
        </w:tc>
        <w:tc>
          <w:tcPr>
            <w:tcW w:w="1035" w:type="pct"/>
            <w:vAlign w:val="center"/>
          </w:tcPr>
          <w:p w14:paraId="5EC95E26">
            <w:pPr>
              <w:jc w:val="center"/>
              <w:rPr>
                <w:rFonts w:ascii="Times New Roman" w:hAnsi="Times New Roman" w:cs="Times New Roman"/>
                <w:color w:val="auto"/>
                <w:sz w:val="21"/>
                <w:lang w:eastAsia="zh-CN"/>
              </w:rPr>
            </w:pPr>
          </w:p>
        </w:tc>
        <w:tc>
          <w:tcPr>
            <w:tcW w:w="986" w:type="pct"/>
            <w:vAlign w:val="center"/>
          </w:tcPr>
          <w:p w14:paraId="6E2DB58A">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达标</w:t>
            </w:r>
          </w:p>
        </w:tc>
      </w:tr>
      <w:tr w14:paraId="62D13F21">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815" w:type="pct"/>
            <w:vAlign w:val="center"/>
          </w:tcPr>
          <w:p w14:paraId="3D445AE4">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硝酸盐氮</w:t>
            </w:r>
          </w:p>
        </w:tc>
        <w:tc>
          <w:tcPr>
            <w:tcW w:w="1164" w:type="pct"/>
            <w:vAlign w:val="center"/>
          </w:tcPr>
          <w:p w14:paraId="025FA61D">
            <w:pPr>
              <w:jc w:val="center"/>
              <w:rPr>
                <w:rFonts w:ascii="Times New Roman" w:hAnsi="Times New Roman" w:cs="Times New Roman"/>
                <w:color w:val="auto"/>
                <w:sz w:val="21"/>
                <w:lang w:eastAsia="zh-CN"/>
              </w:rPr>
            </w:pPr>
          </w:p>
        </w:tc>
        <w:tc>
          <w:tcPr>
            <w:tcW w:w="1035" w:type="pct"/>
            <w:vAlign w:val="center"/>
          </w:tcPr>
          <w:p w14:paraId="2A744C60">
            <w:pPr>
              <w:jc w:val="center"/>
              <w:rPr>
                <w:rFonts w:ascii="Times New Roman" w:hAnsi="Times New Roman" w:cs="Times New Roman"/>
                <w:color w:val="auto"/>
                <w:sz w:val="21"/>
                <w:lang w:eastAsia="zh-CN"/>
              </w:rPr>
            </w:pPr>
          </w:p>
        </w:tc>
        <w:tc>
          <w:tcPr>
            <w:tcW w:w="986" w:type="pct"/>
            <w:vAlign w:val="center"/>
          </w:tcPr>
          <w:p w14:paraId="4AA2CE4D">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达标</w:t>
            </w:r>
          </w:p>
        </w:tc>
      </w:tr>
      <w:tr w14:paraId="2F3FC8ED">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815" w:type="pct"/>
            <w:vAlign w:val="center"/>
          </w:tcPr>
          <w:p w14:paraId="106FC90E">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耗氧量</w:t>
            </w:r>
          </w:p>
        </w:tc>
        <w:tc>
          <w:tcPr>
            <w:tcW w:w="1164" w:type="pct"/>
            <w:vAlign w:val="center"/>
          </w:tcPr>
          <w:p w14:paraId="2B80DF6D">
            <w:pPr>
              <w:jc w:val="center"/>
              <w:rPr>
                <w:rFonts w:ascii="Times New Roman" w:hAnsi="Times New Roman" w:cs="Times New Roman"/>
                <w:color w:val="auto"/>
                <w:sz w:val="21"/>
                <w:lang w:eastAsia="zh-CN"/>
              </w:rPr>
            </w:pPr>
          </w:p>
        </w:tc>
        <w:tc>
          <w:tcPr>
            <w:tcW w:w="1035" w:type="pct"/>
            <w:vAlign w:val="center"/>
          </w:tcPr>
          <w:p w14:paraId="0A081B10">
            <w:pPr>
              <w:jc w:val="center"/>
              <w:rPr>
                <w:rFonts w:ascii="Times New Roman" w:hAnsi="Times New Roman" w:cs="Times New Roman"/>
                <w:color w:val="auto"/>
                <w:sz w:val="21"/>
                <w:lang w:eastAsia="zh-CN"/>
              </w:rPr>
            </w:pPr>
          </w:p>
        </w:tc>
        <w:tc>
          <w:tcPr>
            <w:tcW w:w="986" w:type="pct"/>
            <w:vAlign w:val="center"/>
          </w:tcPr>
          <w:p w14:paraId="7402ECB5">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达标</w:t>
            </w:r>
          </w:p>
        </w:tc>
      </w:tr>
      <w:tr w14:paraId="67B2F7F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815" w:type="pct"/>
            <w:vAlign w:val="center"/>
          </w:tcPr>
          <w:p w14:paraId="3D0BF89A">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亚硝酸盐氮</w:t>
            </w:r>
          </w:p>
        </w:tc>
        <w:tc>
          <w:tcPr>
            <w:tcW w:w="1164" w:type="pct"/>
          </w:tcPr>
          <w:p w14:paraId="0F4CF0E2">
            <w:pPr>
              <w:jc w:val="center"/>
              <w:rPr>
                <w:rFonts w:ascii="Times New Roman" w:hAnsi="Times New Roman" w:cs="Times New Roman"/>
                <w:color w:val="auto"/>
                <w:sz w:val="21"/>
                <w:lang w:eastAsia="zh-CN"/>
              </w:rPr>
            </w:pPr>
          </w:p>
        </w:tc>
        <w:tc>
          <w:tcPr>
            <w:tcW w:w="1035" w:type="pct"/>
            <w:vAlign w:val="center"/>
          </w:tcPr>
          <w:p w14:paraId="15C1C5C7">
            <w:pPr>
              <w:jc w:val="center"/>
              <w:rPr>
                <w:rFonts w:ascii="Times New Roman" w:hAnsi="Times New Roman" w:cs="Times New Roman"/>
                <w:color w:val="auto"/>
                <w:sz w:val="21"/>
                <w:lang w:eastAsia="zh-CN"/>
              </w:rPr>
            </w:pPr>
          </w:p>
        </w:tc>
        <w:tc>
          <w:tcPr>
            <w:tcW w:w="986" w:type="pct"/>
            <w:vAlign w:val="center"/>
          </w:tcPr>
          <w:p w14:paraId="45CD1532">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达标</w:t>
            </w:r>
          </w:p>
        </w:tc>
      </w:tr>
      <w:tr w14:paraId="56FF8E3D">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815" w:type="pct"/>
            <w:vAlign w:val="center"/>
          </w:tcPr>
          <w:p w14:paraId="57DF2ED8">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总大肠菌群（MPN/100mL）</w:t>
            </w:r>
          </w:p>
        </w:tc>
        <w:tc>
          <w:tcPr>
            <w:tcW w:w="1164" w:type="pct"/>
          </w:tcPr>
          <w:p w14:paraId="28150131">
            <w:pPr>
              <w:jc w:val="center"/>
              <w:rPr>
                <w:rFonts w:ascii="Times New Roman" w:hAnsi="Times New Roman" w:cs="Times New Roman"/>
                <w:color w:val="auto"/>
                <w:sz w:val="21"/>
                <w:lang w:eastAsia="zh-CN"/>
              </w:rPr>
            </w:pPr>
          </w:p>
        </w:tc>
        <w:tc>
          <w:tcPr>
            <w:tcW w:w="1035" w:type="pct"/>
            <w:vAlign w:val="center"/>
          </w:tcPr>
          <w:p w14:paraId="48DB7DC8">
            <w:pPr>
              <w:jc w:val="center"/>
              <w:rPr>
                <w:rFonts w:ascii="Times New Roman" w:hAnsi="Times New Roman" w:cs="Times New Roman"/>
                <w:color w:val="auto"/>
                <w:sz w:val="21"/>
                <w:lang w:eastAsia="zh-CN"/>
              </w:rPr>
            </w:pPr>
          </w:p>
        </w:tc>
        <w:tc>
          <w:tcPr>
            <w:tcW w:w="986" w:type="pct"/>
            <w:vAlign w:val="center"/>
          </w:tcPr>
          <w:p w14:paraId="2775385A">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w:t>
            </w:r>
          </w:p>
        </w:tc>
      </w:tr>
      <w:tr w14:paraId="3230812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815" w:type="pct"/>
            <w:vAlign w:val="center"/>
          </w:tcPr>
          <w:p w14:paraId="2500A72F">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氨氮</w:t>
            </w:r>
          </w:p>
        </w:tc>
        <w:tc>
          <w:tcPr>
            <w:tcW w:w="1164" w:type="pct"/>
            <w:vAlign w:val="center"/>
          </w:tcPr>
          <w:p w14:paraId="251A7491">
            <w:pPr>
              <w:jc w:val="center"/>
              <w:rPr>
                <w:rFonts w:ascii="Times New Roman" w:hAnsi="Times New Roman" w:cs="Times New Roman"/>
                <w:color w:val="auto"/>
                <w:sz w:val="21"/>
                <w:lang w:eastAsia="zh-CN"/>
              </w:rPr>
            </w:pPr>
          </w:p>
        </w:tc>
        <w:tc>
          <w:tcPr>
            <w:tcW w:w="1035" w:type="pct"/>
            <w:vAlign w:val="center"/>
          </w:tcPr>
          <w:p w14:paraId="02F6A4E3">
            <w:pPr>
              <w:jc w:val="center"/>
              <w:rPr>
                <w:rFonts w:ascii="Times New Roman" w:hAnsi="Times New Roman" w:cs="Times New Roman"/>
                <w:color w:val="auto"/>
                <w:sz w:val="21"/>
                <w:lang w:eastAsia="zh-CN"/>
              </w:rPr>
            </w:pPr>
          </w:p>
        </w:tc>
        <w:tc>
          <w:tcPr>
            <w:tcW w:w="986" w:type="pct"/>
            <w:vAlign w:val="center"/>
          </w:tcPr>
          <w:p w14:paraId="4B205382">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达标</w:t>
            </w:r>
          </w:p>
        </w:tc>
      </w:tr>
      <w:tr w14:paraId="41F558A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815" w:type="pct"/>
            <w:vAlign w:val="center"/>
          </w:tcPr>
          <w:p w14:paraId="09D7F80F">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氰化物</w:t>
            </w:r>
          </w:p>
        </w:tc>
        <w:tc>
          <w:tcPr>
            <w:tcW w:w="1164" w:type="pct"/>
          </w:tcPr>
          <w:p w14:paraId="3D541C16">
            <w:pPr>
              <w:jc w:val="center"/>
              <w:rPr>
                <w:rFonts w:ascii="Times New Roman" w:hAnsi="Times New Roman" w:cs="Times New Roman"/>
                <w:color w:val="auto"/>
                <w:sz w:val="21"/>
                <w:lang w:eastAsia="zh-CN"/>
              </w:rPr>
            </w:pPr>
          </w:p>
        </w:tc>
        <w:tc>
          <w:tcPr>
            <w:tcW w:w="1035" w:type="pct"/>
            <w:vAlign w:val="center"/>
          </w:tcPr>
          <w:p w14:paraId="5EC63A27">
            <w:pPr>
              <w:jc w:val="center"/>
              <w:rPr>
                <w:rFonts w:ascii="Times New Roman" w:hAnsi="Times New Roman" w:cs="Times New Roman"/>
                <w:color w:val="auto"/>
                <w:sz w:val="21"/>
                <w:lang w:eastAsia="zh-CN"/>
              </w:rPr>
            </w:pPr>
          </w:p>
        </w:tc>
        <w:tc>
          <w:tcPr>
            <w:tcW w:w="986" w:type="pct"/>
            <w:vAlign w:val="center"/>
          </w:tcPr>
          <w:p w14:paraId="75B1D2EA">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达标</w:t>
            </w:r>
          </w:p>
        </w:tc>
      </w:tr>
      <w:tr w14:paraId="3A3D028D">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815" w:type="pct"/>
            <w:vAlign w:val="center"/>
          </w:tcPr>
          <w:p w14:paraId="7C573CC2">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六价铬</w:t>
            </w:r>
          </w:p>
        </w:tc>
        <w:tc>
          <w:tcPr>
            <w:tcW w:w="1164" w:type="pct"/>
          </w:tcPr>
          <w:p w14:paraId="39C2D7DC">
            <w:pPr>
              <w:jc w:val="center"/>
              <w:rPr>
                <w:rFonts w:ascii="Times New Roman" w:hAnsi="Times New Roman" w:cs="Times New Roman"/>
                <w:color w:val="auto"/>
                <w:sz w:val="21"/>
              </w:rPr>
            </w:pPr>
          </w:p>
        </w:tc>
        <w:tc>
          <w:tcPr>
            <w:tcW w:w="1035" w:type="pct"/>
            <w:vAlign w:val="center"/>
          </w:tcPr>
          <w:p w14:paraId="02DFF6A8">
            <w:pPr>
              <w:jc w:val="center"/>
              <w:rPr>
                <w:rFonts w:ascii="Times New Roman" w:hAnsi="Times New Roman" w:cs="Times New Roman"/>
                <w:color w:val="auto"/>
                <w:sz w:val="21"/>
                <w:lang w:eastAsia="zh-CN"/>
              </w:rPr>
            </w:pPr>
          </w:p>
        </w:tc>
        <w:tc>
          <w:tcPr>
            <w:tcW w:w="986" w:type="pct"/>
            <w:vAlign w:val="center"/>
          </w:tcPr>
          <w:p w14:paraId="65063570">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达标</w:t>
            </w:r>
          </w:p>
        </w:tc>
      </w:tr>
      <w:tr w14:paraId="73D6368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815" w:type="pct"/>
            <w:vAlign w:val="center"/>
          </w:tcPr>
          <w:p w14:paraId="5197A52D">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铁</w:t>
            </w:r>
          </w:p>
        </w:tc>
        <w:tc>
          <w:tcPr>
            <w:tcW w:w="1164" w:type="pct"/>
            <w:vAlign w:val="center"/>
          </w:tcPr>
          <w:p w14:paraId="41A893E7">
            <w:pPr>
              <w:jc w:val="center"/>
              <w:rPr>
                <w:rFonts w:ascii="Times New Roman" w:hAnsi="Times New Roman" w:cs="Times New Roman"/>
                <w:color w:val="auto"/>
                <w:sz w:val="21"/>
                <w:lang w:eastAsia="zh-CN"/>
              </w:rPr>
            </w:pPr>
          </w:p>
        </w:tc>
        <w:tc>
          <w:tcPr>
            <w:tcW w:w="1035" w:type="pct"/>
            <w:vAlign w:val="center"/>
          </w:tcPr>
          <w:p w14:paraId="7B3ED59D">
            <w:pPr>
              <w:jc w:val="center"/>
              <w:rPr>
                <w:rFonts w:ascii="Times New Roman" w:hAnsi="Times New Roman" w:cs="Times New Roman"/>
                <w:color w:val="auto"/>
                <w:sz w:val="21"/>
                <w:lang w:eastAsia="zh-CN"/>
              </w:rPr>
            </w:pPr>
          </w:p>
        </w:tc>
        <w:tc>
          <w:tcPr>
            <w:tcW w:w="986" w:type="pct"/>
            <w:vAlign w:val="center"/>
          </w:tcPr>
          <w:p w14:paraId="3495D9ED">
            <w:pPr>
              <w:jc w:val="center"/>
              <w:rPr>
                <w:rFonts w:ascii="Times New Roman" w:hAnsi="Times New Roman" w:cs="Times New Roman"/>
                <w:b/>
                <w:bCs/>
                <w:color w:val="auto"/>
                <w:sz w:val="21"/>
              </w:rPr>
            </w:pPr>
            <w:r>
              <w:rPr>
                <w:rFonts w:hint="eastAsia" w:ascii="Times New Roman" w:hAnsi="Times New Roman" w:cs="Times New Roman"/>
                <w:color w:val="auto"/>
                <w:sz w:val="21"/>
                <w:lang w:eastAsia="zh-CN"/>
              </w:rPr>
              <w:t>达标</w:t>
            </w:r>
          </w:p>
        </w:tc>
      </w:tr>
      <w:tr w14:paraId="7F3CF2F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815" w:type="pct"/>
            <w:vAlign w:val="center"/>
          </w:tcPr>
          <w:p w14:paraId="7BF6ECA6">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锰</w:t>
            </w:r>
          </w:p>
        </w:tc>
        <w:tc>
          <w:tcPr>
            <w:tcW w:w="1164" w:type="pct"/>
            <w:vAlign w:val="center"/>
          </w:tcPr>
          <w:p w14:paraId="4AE19636">
            <w:pPr>
              <w:jc w:val="center"/>
              <w:rPr>
                <w:rFonts w:ascii="Times New Roman" w:hAnsi="Times New Roman" w:cs="Times New Roman"/>
                <w:color w:val="auto"/>
                <w:sz w:val="21"/>
                <w:lang w:eastAsia="zh-CN"/>
              </w:rPr>
            </w:pPr>
          </w:p>
        </w:tc>
        <w:tc>
          <w:tcPr>
            <w:tcW w:w="1035" w:type="pct"/>
            <w:vAlign w:val="center"/>
          </w:tcPr>
          <w:p w14:paraId="4B4C83D6">
            <w:pPr>
              <w:jc w:val="center"/>
              <w:rPr>
                <w:rFonts w:ascii="Times New Roman" w:hAnsi="Times New Roman" w:cs="Times New Roman"/>
                <w:color w:val="auto"/>
                <w:sz w:val="21"/>
                <w:lang w:eastAsia="zh-CN"/>
              </w:rPr>
            </w:pPr>
          </w:p>
        </w:tc>
        <w:tc>
          <w:tcPr>
            <w:tcW w:w="986" w:type="pct"/>
            <w:vAlign w:val="center"/>
          </w:tcPr>
          <w:p w14:paraId="516A8A00">
            <w:pPr>
              <w:jc w:val="center"/>
              <w:rPr>
                <w:rFonts w:ascii="Times New Roman" w:hAnsi="Times New Roman" w:cs="Times New Roman"/>
                <w:b/>
                <w:bCs/>
                <w:color w:val="auto"/>
                <w:sz w:val="21"/>
              </w:rPr>
            </w:pPr>
            <w:r>
              <w:rPr>
                <w:rFonts w:hint="eastAsia" w:ascii="Times New Roman" w:hAnsi="Times New Roman" w:cs="Times New Roman"/>
                <w:color w:val="auto"/>
                <w:sz w:val="21"/>
                <w:lang w:eastAsia="zh-CN"/>
              </w:rPr>
              <w:t>达标</w:t>
            </w:r>
          </w:p>
        </w:tc>
      </w:tr>
      <w:tr w14:paraId="55C2281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815" w:type="pct"/>
            <w:vAlign w:val="center"/>
          </w:tcPr>
          <w:p w14:paraId="60430809">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钠</w:t>
            </w:r>
          </w:p>
        </w:tc>
        <w:tc>
          <w:tcPr>
            <w:tcW w:w="1164" w:type="pct"/>
            <w:vAlign w:val="center"/>
          </w:tcPr>
          <w:p w14:paraId="06983497">
            <w:pPr>
              <w:jc w:val="center"/>
              <w:rPr>
                <w:rFonts w:ascii="Times New Roman" w:hAnsi="Times New Roman" w:cs="Times New Roman"/>
                <w:color w:val="auto"/>
                <w:sz w:val="21"/>
                <w:lang w:eastAsia="zh-CN"/>
              </w:rPr>
            </w:pPr>
          </w:p>
        </w:tc>
        <w:tc>
          <w:tcPr>
            <w:tcW w:w="1035" w:type="pct"/>
            <w:vAlign w:val="center"/>
          </w:tcPr>
          <w:p w14:paraId="182626E0">
            <w:pPr>
              <w:jc w:val="center"/>
              <w:rPr>
                <w:rFonts w:ascii="Times New Roman" w:hAnsi="Times New Roman" w:cs="Times New Roman"/>
                <w:color w:val="auto"/>
                <w:sz w:val="21"/>
                <w:lang w:eastAsia="zh-CN"/>
              </w:rPr>
            </w:pPr>
          </w:p>
        </w:tc>
        <w:tc>
          <w:tcPr>
            <w:tcW w:w="986" w:type="pct"/>
            <w:vAlign w:val="center"/>
          </w:tcPr>
          <w:p w14:paraId="0AAE24B0">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达标</w:t>
            </w:r>
          </w:p>
        </w:tc>
      </w:tr>
      <w:tr w14:paraId="16B0A44C">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815" w:type="pct"/>
            <w:vAlign w:val="center"/>
          </w:tcPr>
          <w:p w14:paraId="1488BE05">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铅</w:t>
            </w:r>
          </w:p>
        </w:tc>
        <w:tc>
          <w:tcPr>
            <w:tcW w:w="1164" w:type="pct"/>
            <w:vAlign w:val="center"/>
          </w:tcPr>
          <w:p w14:paraId="5CEE7A1D">
            <w:pPr>
              <w:jc w:val="center"/>
              <w:rPr>
                <w:rFonts w:ascii="Times New Roman" w:hAnsi="Times New Roman" w:cs="Times New Roman"/>
                <w:color w:val="auto"/>
                <w:sz w:val="21"/>
                <w:lang w:eastAsia="zh-CN"/>
              </w:rPr>
            </w:pPr>
          </w:p>
        </w:tc>
        <w:tc>
          <w:tcPr>
            <w:tcW w:w="1035" w:type="pct"/>
            <w:vAlign w:val="center"/>
          </w:tcPr>
          <w:p w14:paraId="43CFA27F">
            <w:pPr>
              <w:jc w:val="center"/>
              <w:rPr>
                <w:rFonts w:ascii="Times New Roman" w:hAnsi="Times New Roman" w:cs="Times New Roman"/>
                <w:color w:val="auto"/>
                <w:sz w:val="21"/>
                <w:lang w:eastAsia="zh-CN"/>
              </w:rPr>
            </w:pPr>
          </w:p>
        </w:tc>
        <w:tc>
          <w:tcPr>
            <w:tcW w:w="986" w:type="pct"/>
          </w:tcPr>
          <w:p w14:paraId="0F99B490">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w:t>
            </w:r>
          </w:p>
        </w:tc>
      </w:tr>
      <w:tr w14:paraId="626D345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815" w:type="pct"/>
            <w:vAlign w:val="center"/>
          </w:tcPr>
          <w:p w14:paraId="119BC2FE">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镉</w:t>
            </w:r>
          </w:p>
        </w:tc>
        <w:tc>
          <w:tcPr>
            <w:tcW w:w="1164" w:type="pct"/>
          </w:tcPr>
          <w:p w14:paraId="1F943369">
            <w:pPr>
              <w:jc w:val="center"/>
              <w:rPr>
                <w:rFonts w:ascii="Times New Roman" w:hAnsi="Times New Roman" w:cs="Times New Roman"/>
                <w:color w:val="auto"/>
                <w:sz w:val="21"/>
                <w:lang w:eastAsia="zh-CN"/>
              </w:rPr>
            </w:pPr>
          </w:p>
        </w:tc>
        <w:tc>
          <w:tcPr>
            <w:tcW w:w="1035" w:type="pct"/>
            <w:vAlign w:val="center"/>
          </w:tcPr>
          <w:p w14:paraId="13851246">
            <w:pPr>
              <w:jc w:val="center"/>
              <w:rPr>
                <w:rFonts w:ascii="Times New Roman" w:hAnsi="Times New Roman" w:cs="Times New Roman"/>
                <w:color w:val="auto"/>
                <w:sz w:val="21"/>
                <w:lang w:eastAsia="zh-CN"/>
              </w:rPr>
            </w:pPr>
          </w:p>
        </w:tc>
        <w:tc>
          <w:tcPr>
            <w:tcW w:w="986" w:type="pct"/>
          </w:tcPr>
          <w:p w14:paraId="731AB3B6">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w:t>
            </w:r>
          </w:p>
        </w:tc>
      </w:tr>
      <w:tr w14:paraId="014D68D1">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815" w:type="pct"/>
            <w:vAlign w:val="center"/>
          </w:tcPr>
          <w:p w14:paraId="127EDFAE">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砷</w:t>
            </w:r>
          </w:p>
        </w:tc>
        <w:tc>
          <w:tcPr>
            <w:tcW w:w="1164" w:type="pct"/>
            <w:vAlign w:val="center"/>
          </w:tcPr>
          <w:p w14:paraId="2857CE69">
            <w:pPr>
              <w:jc w:val="center"/>
              <w:rPr>
                <w:rFonts w:ascii="Times New Roman" w:hAnsi="Times New Roman" w:cs="Times New Roman"/>
                <w:color w:val="auto"/>
                <w:sz w:val="21"/>
                <w:lang w:eastAsia="zh-CN"/>
              </w:rPr>
            </w:pPr>
          </w:p>
        </w:tc>
        <w:tc>
          <w:tcPr>
            <w:tcW w:w="1035" w:type="pct"/>
            <w:vAlign w:val="center"/>
          </w:tcPr>
          <w:p w14:paraId="4B964E76">
            <w:pPr>
              <w:jc w:val="center"/>
              <w:rPr>
                <w:rFonts w:ascii="Times New Roman" w:hAnsi="Times New Roman" w:cs="Times New Roman"/>
                <w:color w:val="auto"/>
                <w:sz w:val="21"/>
                <w:lang w:eastAsia="zh-CN"/>
              </w:rPr>
            </w:pPr>
          </w:p>
        </w:tc>
        <w:tc>
          <w:tcPr>
            <w:tcW w:w="986" w:type="pct"/>
          </w:tcPr>
          <w:p w14:paraId="604CE72C">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w:t>
            </w:r>
          </w:p>
        </w:tc>
      </w:tr>
      <w:tr w14:paraId="6BB0B7A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815" w:type="pct"/>
            <w:vAlign w:val="center"/>
          </w:tcPr>
          <w:p w14:paraId="11BAC7A3">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汞</w:t>
            </w:r>
          </w:p>
        </w:tc>
        <w:tc>
          <w:tcPr>
            <w:tcW w:w="1164" w:type="pct"/>
          </w:tcPr>
          <w:p w14:paraId="4589640D">
            <w:pPr>
              <w:jc w:val="center"/>
              <w:rPr>
                <w:rFonts w:ascii="Times New Roman" w:hAnsi="Times New Roman" w:cs="Times New Roman"/>
                <w:color w:val="auto"/>
                <w:sz w:val="21"/>
                <w:lang w:eastAsia="zh-CN"/>
              </w:rPr>
            </w:pPr>
          </w:p>
        </w:tc>
        <w:tc>
          <w:tcPr>
            <w:tcW w:w="1035" w:type="pct"/>
            <w:vAlign w:val="center"/>
          </w:tcPr>
          <w:p w14:paraId="42D00FAA">
            <w:pPr>
              <w:jc w:val="center"/>
              <w:rPr>
                <w:rFonts w:ascii="Times New Roman" w:hAnsi="Times New Roman" w:cs="Times New Roman"/>
                <w:color w:val="auto"/>
                <w:sz w:val="21"/>
                <w:lang w:eastAsia="zh-CN"/>
              </w:rPr>
            </w:pPr>
          </w:p>
        </w:tc>
        <w:tc>
          <w:tcPr>
            <w:tcW w:w="986" w:type="pct"/>
          </w:tcPr>
          <w:p w14:paraId="42F5D31C">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w:t>
            </w:r>
          </w:p>
        </w:tc>
      </w:tr>
    </w:tbl>
    <w:p w14:paraId="7CAE3838">
      <w:pPr>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根据企业例行检测结果，地下水因子总硬度不满足</w:t>
      </w:r>
      <w:r>
        <w:rPr>
          <w:rFonts w:ascii="Times New Roman" w:hAnsi="Times New Roman" w:cs="Times New Roman"/>
          <w:color w:val="auto"/>
          <w:lang w:eastAsia="zh-CN"/>
        </w:rPr>
        <w:t>《地下水质量标准》（GB/T14848-2017）中的Ⅲ类标准</w:t>
      </w:r>
      <w:r>
        <w:rPr>
          <w:rFonts w:hint="eastAsia" w:ascii="Times New Roman" w:hAnsi="Times New Roman" w:cs="Times New Roman"/>
          <w:color w:val="auto"/>
          <w:lang w:eastAsia="zh-CN"/>
        </w:rPr>
        <w:t>，其余因子能够满足</w:t>
      </w:r>
      <w:r>
        <w:rPr>
          <w:rFonts w:ascii="Times New Roman" w:hAnsi="Times New Roman" w:cs="Times New Roman"/>
          <w:color w:val="auto"/>
          <w:lang w:eastAsia="zh-CN"/>
        </w:rPr>
        <w:t>《地下水质量标准》（GB/T14848-2017）中的Ⅲ类标准</w:t>
      </w:r>
      <w:r>
        <w:rPr>
          <w:rFonts w:hint="eastAsia" w:ascii="Times New Roman" w:hAnsi="Times New Roman" w:cs="Times New Roman"/>
          <w:color w:val="auto"/>
          <w:lang w:eastAsia="zh-CN"/>
        </w:rPr>
        <w:t>。</w:t>
      </w:r>
    </w:p>
    <w:p w14:paraId="163A7401">
      <w:pPr>
        <w:widowControl w:val="0"/>
        <w:adjustRightInd w:val="0"/>
        <w:snapToGrid w:val="0"/>
        <w:spacing w:line="360" w:lineRule="auto"/>
        <w:ind w:firstLine="482"/>
        <w:jc w:val="both"/>
        <w:outlineLvl w:val="2"/>
        <w:rPr>
          <w:rFonts w:ascii="Times New Roman" w:hAnsi="Times New Roman" w:cs="Times New Roman"/>
          <w:b/>
          <w:bCs/>
          <w:color w:val="auto"/>
          <w:szCs w:val="24"/>
          <w:lang w:eastAsia="zh-CN"/>
        </w:rPr>
      </w:pPr>
      <w:bookmarkStart w:id="544" w:name="_Toc221900802"/>
      <w:bookmarkStart w:id="545" w:name="_Toc225784019"/>
      <w:bookmarkStart w:id="546" w:name="_Toc218784245"/>
      <w:bookmarkStart w:id="547" w:name="_Toc224674658"/>
      <w:bookmarkStart w:id="548" w:name="_Toc236641805"/>
      <w:bookmarkStart w:id="549" w:name="_Toc236641288"/>
      <w:bookmarkStart w:id="550" w:name="_Toc237508271"/>
      <w:bookmarkStart w:id="551" w:name="_Toc223425020"/>
      <w:bookmarkStart w:id="552" w:name="_Toc217662635"/>
      <w:bookmarkStart w:id="553" w:name="_Toc231828557"/>
      <w:r>
        <w:rPr>
          <w:rFonts w:ascii="Times New Roman" w:hAnsi="Times New Roman" w:cs="Times New Roman"/>
          <w:b/>
          <w:bCs/>
          <w:color w:val="auto"/>
          <w:szCs w:val="24"/>
          <w:lang w:eastAsia="zh-CN"/>
        </w:rPr>
        <w:t>3.</w:t>
      </w:r>
      <w:r>
        <w:rPr>
          <w:rFonts w:hint="eastAsia" w:ascii="Times New Roman" w:hAnsi="Times New Roman" w:cs="Times New Roman"/>
          <w:b/>
          <w:bCs/>
          <w:color w:val="auto"/>
          <w:szCs w:val="24"/>
          <w:lang w:eastAsia="zh-CN"/>
        </w:rPr>
        <w:t>2</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6 环境风险环境防护距离</w:t>
      </w:r>
      <w:bookmarkEnd w:id="544"/>
      <w:bookmarkEnd w:id="545"/>
      <w:bookmarkEnd w:id="546"/>
      <w:bookmarkEnd w:id="547"/>
      <w:bookmarkEnd w:id="548"/>
      <w:bookmarkEnd w:id="549"/>
      <w:bookmarkEnd w:id="550"/>
      <w:bookmarkEnd w:id="551"/>
      <w:bookmarkEnd w:id="552"/>
      <w:bookmarkEnd w:id="553"/>
    </w:p>
    <w:p w14:paraId="1D5830A9">
      <w:pPr>
        <w:pStyle w:val="19"/>
        <w:widowControl w:val="0"/>
        <w:adjustRightInd w:val="0"/>
        <w:snapToGrid w:val="0"/>
        <w:spacing w:after="0" w:line="360" w:lineRule="auto"/>
        <w:ind w:left="0" w:leftChars="0"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根据《安徽氟瑞星化工有限公司年产4万吨电子级氢氟酸、4万吨化学纯氢氟酸及4.5万吨刻蚀液项目（一期工程）环境影响报告书》及环评批复（蚌环许[2023]37号），现有工程以厂界</w:t>
      </w:r>
      <w:r>
        <w:rPr>
          <w:rFonts w:ascii="Times New Roman" w:hAnsi="Times New Roman" w:cs="Times New Roman"/>
          <w:color w:val="auto"/>
          <w:szCs w:val="24"/>
          <w:lang w:eastAsia="zh-CN"/>
        </w:rPr>
        <w:t>设置</w:t>
      </w:r>
      <w:r>
        <w:rPr>
          <w:rFonts w:hint="eastAsia" w:ascii="Times New Roman" w:hAnsi="Times New Roman" w:cs="Times New Roman"/>
          <w:color w:val="auto"/>
          <w:szCs w:val="24"/>
          <w:lang w:eastAsia="zh-CN"/>
        </w:rPr>
        <w:t>650</w:t>
      </w:r>
      <w:r>
        <w:rPr>
          <w:rFonts w:ascii="Times New Roman" w:hAnsi="Times New Roman" w:cs="Times New Roman"/>
          <w:color w:val="auto"/>
          <w:szCs w:val="24"/>
          <w:lang w:eastAsia="zh-CN"/>
        </w:rPr>
        <w:t>米的</w:t>
      </w:r>
      <w:r>
        <w:rPr>
          <w:rFonts w:hint="eastAsia" w:ascii="Times New Roman" w:hAnsi="Times New Roman" w:cs="Times New Roman"/>
          <w:color w:val="auto"/>
          <w:szCs w:val="24"/>
          <w:lang w:eastAsia="zh-CN"/>
        </w:rPr>
        <w:t>环境</w:t>
      </w:r>
      <w:r>
        <w:rPr>
          <w:rFonts w:ascii="Times New Roman" w:hAnsi="Times New Roman" w:cs="Times New Roman"/>
          <w:color w:val="auto"/>
          <w:szCs w:val="24"/>
          <w:lang w:eastAsia="zh-CN"/>
        </w:rPr>
        <w:t>防护距离</w:t>
      </w:r>
      <w:r>
        <w:rPr>
          <w:rFonts w:hint="eastAsia" w:ascii="Times New Roman" w:hAnsi="Times New Roman" w:cs="Times New Roman"/>
          <w:color w:val="auto"/>
          <w:szCs w:val="24"/>
          <w:lang w:eastAsia="zh-CN"/>
        </w:rPr>
        <w:t>。</w:t>
      </w:r>
    </w:p>
    <w:p w14:paraId="2F6BD3F3">
      <w:pPr>
        <w:adjustRightInd w:val="0"/>
        <w:snapToGrid w:val="0"/>
        <w:spacing w:line="360" w:lineRule="auto"/>
        <w:ind w:firstLine="561"/>
        <w:jc w:val="both"/>
        <w:outlineLvl w:val="1"/>
        <w:rPr>
          <w:rFonts w:ascii="Times New Roman" w:hAnsi="Times New Roman" w:cs="Times New Roman"/>
          <w:color w:val="auto"/>
          <w:sz w:val="28"/>
          <w:szCs w:val="22"/>
          <w:lang w:eastAsia="zh-CN"/>
        </w:rPr>
      </w:pPr>
      <w:bookmarkStart w:id="554" w:name="_Toc237508272"/>
      <w:r>
        <w:rPr>
          <w:rFonts w:ascii="Times New Roman" w:hAnsi="Times New Roman" w:cs="Times New Roman"/>
          <w:b/>
          <w:bCs/>
          <w:color w:val="auto"/>
          <w:sz w:val="28"/>
          <w:szCs w:val="22"/>
          <w:lang w:eastAsia="zh-CN"/>
        </w:rPr>
        <w:t>3.</w:t>
      </w:r>
      <w:r>
        <w:rPr>
          <w:rFonts w:hint="eastAsia" w:ascii="Times New Roman" w:hAnsi="Times New Roman" w:cs="Times New Roman"/>
          <w:b/>
          <w:bCs/>
          <w:color w:val="auto"/>
          <w:sz w:val="28"/>
          <w:szCs w:val="22"/>
          <w:lang w:eastAsia="zh-CN"/>
        </w:rPr>
        <w:t>3</w:t>
      </w:r>
      <w:r>
        <w:rPr>
          <w:rFonts w:ascii="Times New Roman" w:hAnsi="Times New Roman" w:cs="Times New Roman"/>
          <w:b/>
          <w:bCs/>
          <w:color w:val="auto"/>
          <w:sz w:val="28"/>
          <w:szCs w:val="22"/>
          <w:lang w:eastAsia="zh-CN"/>
        </w:rPr>
        <w:t xml:space="preserve"> </w:t>
      </w:r>
      <w:r>
        <w:rPr>
          <w:rFonts w:hint="eastAsia" w:ascii="Times New Roman" w:hAnsi="Times New Roman" w:cs="Times New Roman"/>
          <w:b/>
          <w:bCs/>
          <w:color w:val="auto"/>
          <w:sz w:val="28"/>
          <w:szCs w:val="22"/>
          <w:lang w:eastAsia="zh-CN"/>
        </w:rPr>
        <w:t>现有工程</w:t>
      </w:r>
      <w:r>
        <w:rPr>
          <w:rFonts w:ascii="Times New Roman" w:hAnsi="Times New Roman" w:cs="Times New Roman"/>
          <w:b/>
          <w:bCs/>
          <w:color w:val="auto"/>
          <w:sz w:val="28"/>
          <w:szCs w:val="22"/>
          <w:lang w:eastAsia="zh-CN"/>
        </w:rPr>
        <w:t>污染物</w:t>
      </w:r>
      <w:r>
        <w:rPr>
          <w:rFonts w:hint="eastAsia" w:ascii="Times New Roman" w:hAnsi="Times New Roman" w:cs="Times New Roman"/>
          <w:b/>
          <w:bCs/>
          <w:color w:val="auto"/>
          <w:sz w:val="28"/>
          <w:szCs w:val="22"/>
          <w:lang w:eastAsia="zh-CN"/>
        </w:rPr>
        <w:t>总量控制</w:t>
      </w:r>
      <w:bookmarkEnd w:id="554"/>
    </w:p>
    <w:p w14:paraId="79E547F6">
      <w:pPr>
        <w:widowControl w:val="0"/>
        <w:topLinePunct/>
        <w:adjustRightInd w:val="0"/>
        <w:snapToGrid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现有工程总量达标分析如下表。</w:t>
      </w:r>
    </w:p>
    <w:p w14:paraId="4CD1C9B0">
      <w:pPr>
        <w:pStyle w:val="101"/>
        <w:adjustRightInd w:val="0"/>
        <w:snapToGrid w:val="0"/>
        <w:spacing w:line="360" w:lineRule="auto"/>
        <w:rPr>
          <w:rFonts w:eastAsia="宋体"/>
          <w:b/>
          <w:bCs/>
          <w:color w:val="000000" w:themeColor="text1"/>
          <w14:textFill>
            <w14:solidFill>
              <w14:schemeClr w14:val="tx1"/>
            </w14:solidFill>
          </w14:textFill>
        </w:rPr>
      </w:pPr>
      <w:r>
        <w:rPr>
          <w:rFonts w:eastAsia="宋体"/>
          <w:b/>
          <w:bCs/>
          <w:color w:val="000000" w:themeColor="text1"/>
          <w14:textFill>
            <w14:solidFill>
              <w14:schemeClr w14:val="tx1"/>
            </w14:solidFill>
          </w14:textFill>
        </w:rPr>
        <w:t>表3.</w:t>
      </w:r>
      <w:r>
        <w:rPr>
          <w:rFonts w:hint="eastAsia" w:eastAsia="宋体"/>
          <w:b/>
          <w:bCs/>
          <w:color w:val="000000" w:themeColor="text1"/>
          <w14:textFill>
            <w14:solidFill>
              <w14:schemeClr w14:val="tx1"/>
            </w14:solidFill>
          </w14:textFill>
        </w:rPr>
        <w:t>3</w:t>
      </w:r>
      <w:r>
        <w:rPr>
          <w:rFonts w:eastAsia="宋体"/>
          <w:b/>
          <w:bCs/>
          <w:color w:val="000000" w:themeColor="text1"/>
          <w14:textFill>
            <w14:solidFill>
              <w14:schemeClr w14:val="tx1"/>
            </w14:solidFill>
          </w14:textFill>
        </w:rPr>
        <w:t>-</w:t>
      </w:r>
      <w:r>
        <w:rPr>
          <w:rFonts w:hint="eastAsia" w:eastAsia="宋体"/>
          <w:b/>
          <w:bCs/>
          <w:color w:val="000000" w:themeColor="text1"/>
          <w14:textFill>
            <w14:solidFill>
              <w14:schemeClr w14:val="tx1"/>
            </w14:solidFill>
          </w14:textFill>
        </w:rPr>
        <w:t>1</w:t>
      </w:r>
      <w:r>
        <w:rPr>
          <w:rFonts w:eastAsia="宋体"/>
          <w:b/>
          <w:bCs/>
          <w:color w:val="000000" w:themeColor="text1"/>
          <w14:textFill>
            <w14:solidFill>
              <w14:schemeClr w14:val="tx1"/>
            </w14:solidFill>
          </w14:textFill>
        </w:rPr>
        <w:t xml:space="preserve"> </w:t>
      </w:r>
      <w:r>
        <w:rPr>
          <w:rFonts w:hint="eastAsia" w:eastAsia="宋体"/>
          <w:b/>
          <w:bCs/>
          <w:color w:val="000000" w:themeColor="text1"/>
          <w14:textFill>
            <w14:solidFill>
              <w14:schemeClr w14:val="tx1"/>
            </w14:solidFill>
          </w14:textFill>
        </w:rPr>
        <w:t>现有工程</w:t>
      </w:r>
      <w:r>
        <w:rPr>
          <w:rFonts w:eastAsia="宋体"/>
          <w:b/>
          <w:bCs/>
          <w:color w:val="000000" w:themeColor="text1"/>
          <w14:textFill>
            <w14:solidFill>
              <w14:schemeClr w14:val="tx1"/>
            </w14:solidFill>
          </w14:textFill>
        </w:rPr>
        <w:t>污染</w:t>
      </w:r>
      <w:r>
        <w:rPr>
          <w:rFonts w:hint="eastAsia" w:eastAsia="宋体"/>
          <w:b/>
          <w:bCs/>
          <w:color w:val="000000" w:themeColor="text1"/>
          <w14:textFill>
            <w14:solidFill>
              <w14:schemeClr w14:val="tx1"/>
            </w14:solidFill>
          </w14:textFill>
        </w:rPr>
        <w:t>总量达标分析一览表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043"/>
        <w:gridCol w:w="1367"/>
        <w:gridCol w:w="3540"/>
        <w:gridCol w:w="3076"/>
      </w:tblGrid>
      <w:tr w14:paraId="02DA06D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blHeader/>
          <w:jc w:val="center"/>
        </w:trPr>
        <w:tc>
          <w:tcPr>
            <w:tcW w:w="1335" w:type="pct"/>
            <w:gridSpan w:val="2"/>
            <w:vAlign w:val="center"/>
          </w:tcPr>
          <w:p w14:paraId="273331F7">
            <w:pPr>
              <w:pStyle w:val="96"/>
              <w:rPr>
                <w:b/>
                <w:bCs/>
                <w:color w:val="000000" w:themeColor="text1"/>
                <w:kern w:val="0"/>
                <w14:textFill>
                  <w14:solidFill>
                    <w14:schemeClr w14:val="tx1"/>
                  </w14:solidFill>
                </w14:textFill>
              </w:rPr>
            </w:pPr>
            <w:r>
              <w:rPr>
                <w:b/>
                <w:bCs/>
                <w:color w:val="000000" w:themeColor="text1"/>
                <w:kern w:val="0"/>
                <w14:textFill>
                  <w14:solidFill>
                    <w14:schemeClr w14:val="tx1"/>
                  </w14:solidFill>
                </w14:textFill>
              </w:rPr>
              <w:t>项目</w:t>
            </w:r>
          </w:p>
        </w:tc>
        <w:tc>
          <w:tcPr>
            <w:tcW w:w="1961" w:type="pct"/>
            <w:vAlign w:val="center"/>
          </w:tcPr>
          <w:p w14:paraId="2A1744B4">
            <w:pPr>
              <w:pStyle w:val="96"/>
              <w:rPr>
                <w:b/>
                <w:bCs/>
                <w:color w:val="000000" w:themeColor="text1"/>
                <w:kern w:val="0"/>
                <w14:textFill>
                  <w14:solidFill>
                    <w14:schemeClr w14:val="tx1"/>
                  </w14:solidFill>
                </w14:textFill>
              </w:rPr>
            </w:pPr>
            <w:r>
              <w:rPr>
                <w:rFonts w:hint="eastAsia"/>
                <w:b/>
                <w:bCs/>
                <w:color w:val="000000" w:themeColor="text1"/>
                <w:kern w:val="0"/>
                <w14:textFill>
                  <w14:solidFill>
                    <w14:schemeClr w14:val="tx1"/>
                  </w14:solidFill>
                </w14:textFill>
              </w:rPr>
              <w:t>现有工程污染物实际排放量（t/a）</w:t>
            </w:r>
          </w:p>
        </w:tc>
        <w:tc>
          <w:tcPr>
            <w:tcW w:w="1704" w:type="pct"/>
            <w:vAlign w:val="center"/>
          </w:tcPr>
          <w:p w14:paraId="7210A014">
            <w:pPr>
              <w:pStyle w:val="96"/>
              <w:rPr>
                <w:b/>
                <w:bCs/>
                <w:color w:val="000000" w:themeColor="text1"/>
                <w:kern w:val="0"/>
                <w14:textFill>
                  <w14:solidFill>
                    <w14:schemeClr w14:val="tx1"/>
                  </w14:solidFill>
                </w14:textFill>
              </w:rPr>
            </w:pPr>
            <w:r>
              <w:rPr>
                <w:rFonts w:hint="eastAsia"/>
                <w:b/>
                <w:bCs/>
                <w:color w:val="000000" w:themeColor="text1"/>
                <w:kern w:val="0"/>
                <w14:textFill>
                  <w14:solidFill>
                    <w14:schemeClr w14:val="tx1"/>
                  </w14:solidFill>
                </w14:textFill>
              </w:rPr>
              <w:t>现有工程总量控制指标</w:t>
            </w:r>
            <w:r>
              <w:rPr>
                <w:b/>
                <w:bCs/>
                <w:color w:val="000000" w:themeColor="text1"/>
                <w:kern w:val="0"/>
                <w14:textFill>
                  <w14:solidFill>
                    <w14:schemeClr w14:val="tx1"/>
                  </w14:solidFill>
                </w14:textFill>
              </w:rPr>
              <w:t>（t/a）</w:t>
            </w:r>
          </w:p>
        </w:tc>
      </w:tr>
      <w:tr w14:paraId="27675E8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78" w:type="pct"/>
            <w:vMerge w:val="restart"/>
            <w:vAlign w:val="center"/>
          </w:tcPr>
          <w:p w14:paraId="01445AF8">
            <w:pPr>
              <w:pStyle w:val="96"/>
              <w:rPr>
                <w:color w:val="000000" w:themeColor="text1"/>
                <w:kern w:val="0"/>
                <w14:textFill>
                  <w14:solidFill>
                    <w14:schemeClr w14:val="tx1"/>
                  </w14:solidFill>
                </w14:textFill>
              </w:rPr>
            </w:pPr>
            <w:r>
              <w:rPr>
                <w:color w:val="000000" w:themeColor="text1"/>
                <w:kern w:val="0"/>
                <w14:textFill>
                  <w14:solidFill>
                    <w14:schemeClr w14:val="tx1"/>
                  </w14:solidFill>
                </w14:textFill>
              </w:rPr>
              <w:t>废水</w:t>
            </w:r>
          </w:p>
        </w:tc>
        <w:tc>
          <w:tcPr>
            <w:tcW w:w="757" w:type="pct"/>
            <w:vAlign w:val="center"/>
          </w:tcPr>
          <w:p w14:paraId="366283CF">
            <w:pPr>
              <w:pStyle w:val="96"/>
              <w:rPr>
                <w:color w:val="000000" w:themeColor="text1"/>
                <w:kern w:val="0"/>
                <w14:textFill>
                  <w14:solidFill>
                    <w14:schemeClr w14:val="tx1"/>
                  </w14:solidFill>
                </w14:textFill>
              </w:rPr>
            </w:pPr>
            <w:r>
              <w:rPr>
                <w:rFonts w:hint="eastAsia"/>
                <w:color w:val="000000" w:themeColor="text1"/>
                <w:kern w:val="0"/>
                <w14:textFill>
                  <w14:solidFill>
                    <w14:schemeClr w14:val="tx1"/>
                  </w14:solidFill>
                </w14:textFill>
              </w:rPr>
              <w:t>COD</w:t>
            </w:r>
          </w:p>
        </w:tc>
        <w:tc>
          <w:tcPr>
            <w:tcW w:w="1961" w:type="pct"/>
            <w:vAlign w:val="center"/>
          </w:tcPr>
          <w:p w14:paraId="5438980F">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704" w:type="pct"/>
            <w:vAlign w:val="center"/>
          </w:tcPr>
          <w:p w14:paraId="7C677102">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r>
      <w:tr w14:paraId="61F4359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78" w:type="pct"/>
            <w:vMerge w:val="continue"/>
            <w:vAlign w:val="center"/>
          </w:tcPr>
          <w:p w14:paraId="6144B8C0">
            <w:pPr>
              <w:pStyle w:val="96"/>
              <w:rPr>
                <w:color w:val="000000" w:themeColor="text1"/>
                <w:kern w:val="0"/>
                <w14:textFill>
                  <w14:solidFill>
                    <w14:schemeClr w14:val="tx1"/>
                  </w14:solidFill>
                </w14:textFill>
              </w:rPr>
            </w:pPr>
          </w:p>
        </w:tc>
        <w:tc>
          <w:tcPr>
            <w:tcW w:w="757" w:type="pct"/>
            <w:vAlign w:val="center"/>
          </w:tcPr>
          <w:p w14:paraId="24709590">
            <w:pPr>
              <w:pStyle w:val="96"/>
              <w:rPr>
                <w:color w:val="000000" w:themeColor="text1"/>
                <w:kern w:val="0"/>
                <w14:textFill>
                  <w14:solidFill>
                    <w14:schemeClr w14:val="tx1"/>
                  </w14:solidFill>
                </w14:textFill>
              </w:rPr>
            </w:pPr>
            <w:r>
              <w:rPr>
                <w:rFonts w:hint="eastAsia"/>
                <w:color w:val="000000" w:themeColor="text1"/>
                <w:kern w:val="0"/>
                <w14:textFill>
                  <w14:solidFill>
                    <w14:schemeClr w14:val="tx1"/>
                  </w14:solidFill>
                </w14:textFill>
              </w:rPr>
              <w:t>氨氮</w:t>
            </w:r>
          </w:p>
        </w:tc>
        <w:tc>
          <w:tcPr>
            <w:tcW w:w="1961" w:type="pct"/>
            <w:vAlign w:val="center"/>
          </w:tcPr>
          <w:p w14:paraId="0E2679CD">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704" w:type="pct"/>
            <w:vAlign w:val="center"/>
          </w:tcPr>
          <w:p w14:paraId="751B61B2">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r>
    </w:tbl>
    <w:p w14:paraId="3293F9FC">
      <w:pPr>
        <w:widowControl w:val="0"/>
        <w:topLinePunct/>
        <w:adjustRightInd w:val="0"/>
        <w:snapToGrid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根据上表，现有工程全年废水污染物COD、氨氮排放量能够满足总量控制指标要求。</w:t>
      </w:r>
    </w:p>
    <w:p w14:paraId="1E386B7F">
      <w:pPr>
        <w:adjustRightInd w:val="0"/>
        <w:snapToGrid w:val="0"/>
        <w:spacing w:line="360" w:lineRule="auto"/>
        <w:ind w:firstLine="562" w:firstLineChars="200"/>
        <w:jc w:val="both"/>
        <w:outlineLvl w:val="1"/>
        <w:rPr>
          <w:rFonts w:ascii="Times New Roman" w:hAnsi="Times New Roman" w:cs="Times New Roman"/>
          <w:color w:val="auto"/>
          <w:sz w:val="28"/>
          <w:szCs w:val="22"/>
          <w:lang w:eastAsia="zh-CN"/>
        </w:rPr>
      </w:pPr>
      <w:bookmarkStart w:id="555" w:name="_Toc237508273"/>
      <w:r>
        <w:rPr>
          <w:rFonts w:ascii="Times New Roman" w:hAnsi="Times New Roman" w:cs="Times New Roman"/>
          <w:b/>
          <w:bCs/>
          <w:color w:val="auto"/>
          <w:sz w:val="28"/>
          <w:szCs w:val="22"/>
          <w:lang w:eastAsia="zh-CN"/>
        </w:rPr>
        <w:t>3.</w:t>
      </w:r>
      <w:r>
        <w:rPr>
          <w:rFonts w:hint="eastAsia" w:ascii="Times New Roman" w:hAnsi="Times New Roman" w:cs="Times New Roman"/>
          <w:b/>
          <w:bCs/>
          <w:color w:val="auto"/>
          <w:sz w:val="28"/>
          <w:szCs w:val="22"/>
          <w:lang w:eastAsia="zh-CN"/>
        </w:rPr>
        <w:t>4</w:t>
      </w:r>
      <w:r>
        <w:rPr>
          <w:rFonts w:ascii="Times New Roman" w:hAnsi="Times New Roman" w:cs="Times New Roman"/>
          <w:b/>
          <w:bCs/>
          <w:color w:val="auto"/>
          <w:sz w:val="28"/>
          <w:szCs w:val="22"/>
          <w:lang w:eastAsia="zh-CN"/>
        </w:rPr>
        <w:t xml:space="preserve"> </w:t>
      </w:r>
      <w:r>
        <w:rPr>
          <w:rFonts w:hint="eastAsia" w:ascii="Times New Roman" w:hAnsi="Times New Roman" w:cs="Times New Roman"/>
          <w:b/>
          <w:bCs/>
          <w:color w:val="auto"/>
          <w:sz w:val="28"/>
          <w:szCs w:val="22"/>
          <w:lang w:eastAsia="zh-CN"/>
        </w:rPr>
        <w:t>现有工程存在的环境问题及整改措施</w:t>
      </w:r>
      <w:bookmarkEnd w:id="555"/>
    </w:p>
    <w:p w14:paraId="7580B8E1">
      <w:pPr>
        <w:pStyle w:val="19"/>
        <w:adjustRightInd w:val="0"/>
        <w:snapToGrid w:val="0"/>
        <w:spacing w:after="0" w:line="360" w:lineRule="auto"/>
        <w:ind w:left="0" w:leftChars="0" w:firstLine="480" w:firstLineChars="200"/>
        <w:jc w:val="both"/>
        <w:rPr>
          <w:rFonts w:ascii="Times New Roman" w:hAnsi="Times New Roman" w:cs="Times New Roman"/>
          <w:bCs/>
          <w:color w:val="auto"/>
          <w:lang w:eastAsia="zh-CN" w:bidi="ar"/>
        </w:rPr>
      </w:pPr>
      <w:r>
        <w:rPr>
          <w:rFonts w:hint="eastAsia" w:ascii="Times New Roman" w:hAnsi="Times New Roman" w:cs="Times New Roman"/>
          <w:bCs/>
          <w:color w:val="auto"/>
          <w:lang w:eastAsia="zh-CN" w:bidi="ar"/>
        </w:rPr>
        <w:t>现有工程严格执行了环境影响评价和“三同时”制度，现有工程废气、废水污染物均可达标排放，固体废物均得到妥善处置。</w:t>
      </w:r>
    </w:p>
    <w:p w14:paraId="6A9A8C66">
      <w:pPr>
        <w:pStyle w:val="19"/>
        <w:adjustRightInd w:val="0"/>
        <w:snapToGrid w:val="0"/>
        <w:spacing w:after="0" w:line="360" w:lineRule="auto"/>
        <w:ind w:left="0" w:leftChars="0" w:firstLine="480" w:firstLineChars="200"/>
        <w:jc w:val="both"/>
        <w:rPr>
          <w:rFonts w:ascii="Times New Roman" w:hAnsi="Times New Roman" w:cs="Times New Roman"/>
          <w:bCs/>
          <w:color w:val="auto"/>
          <w:lang w:eastAsia="zh-CN" w:bidi="ar"/>
        </w:rPr>
      </w:pPr>
      <w:r>
        <w:rPr>
          <w:rFonts w:hint="eastAsia" w:ascii="Times New Roman" w:hAnsi="Times New Roman" w:cs="Times New Roman"/>
          <w:bCs/>
          <w:color w:val="auto"/>
          <w:lang w:eastAsia="zh-CN" w:bidi="ar"/>
        </w:rPr>
        <w:t>现有工程存在的环境问题及整改措施如下。</w:t>
      </w:r>
    </w:p>
    <w:p w14:paraId="56BB789E">
      <w:pPr>
        <w:pStyle w:val="101"/>
        <w:adjustRightInd w:val="0"/>
        <w:snapToGrid w:val="0"/>
        <w:spacing w:line="360" w:lineRule="auto"/>
        <w:rPr>
          <w:rFonts w:eastAsia="宋体"/>
          <w:b/>
          <w:bCs/>
        </w:rPr>
      </w:pPr>
      <w:r>
        <w:rPr>
          <w:rFonts w:eastAsia="宋体"/>
          <w:b/>
          <w:bCs/>
        </w:rPr>
        <w:t>表3.</w:t>
      </w:r>
      <w:r>
        <w:rPr>
          <w:rFonts w:hint="eastAsia" w:eastAsia="宋体"/>
          <w:b/>
          <w:bCs/>
        </w:rPr>
        <w:t>4</w:t>
      </w:r>
      <w:r>
        <w:rPr>
          <w:rFonts w:eastAsia="宋体"/>
          <w:b/>
          <w:bCs/>
        </w:rPr>
        <w:t>-</w:t>
      </w:r>
      <w:r>
        <w:rPr>
          <w:rFonts w:hint="eastAsia" w:eastAsia="宋体"/>
          <w:b/>
          <w:bCs/>
        </w:rPr>
        <w:t>1</w:t>
      </w:r>
      <w:r>
        <w:rPr>
          <w:rFonts w:eastAsia="宋体"/>
          <w:b/>
          <w:bCs/>
        </w:rPr>
        <w:t xml:space="preserve"> </w:t>
      </w:r>
      <w:r>
        <w:rPr>
          <w:rFonts w:hint="eastAsia" w:eastAsia="宋体"/>
          <w:b/>
          <w:bCs/>
        </w:rPr>
        <w:t>现有工程环境问题及整改措施表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709"/>
        <w:gridCol w:w="3119"/>
        <w:gridCol w:w="3258"/>
        <w:gridCol w:w="1940"/>
      </w:tblGrid>
      <w:tr w14:paraId="2EEA027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93" w:type="pct"/>
            <w:vAlign w:val="center"/>
          </w:tcPr>
          <w:p w14:paraId="710F2DB2">
            <w:pPr>
              <w:pStyle w:val="96"/>
              <w:rPr>
                <w:b/>
                <w:bCs/>
                <w:color w:val="000000" w:themeColor="text1"/>
                <w:kern w:val="0"/>
                <w14:textFill>
                  <w14:solidFill>
                    <w14:schemeClr w14:val="tx1"/>
                  </w14:solidFill>
                </w14:textFill>
              </w:rPr>
            </w:pPr>
            <w:r>
              <w:rPr>
                <w:rFonts w:hint="eastAsia"/>
                <w:b/>
                <w:bCs/>
                <w:color w:val="000000" w:themeColor="text1"/>
                <w:kern w:val="0"/>
                <w14:textFill>
                  <w14:solidFill>
                    <w14:schemeClr w14:val="tx1"/>
                  </w14:solidFill>
                </w14:textFill>
              </w:rPr>
              <w:t>序号</w:t>
            </w:r>
          </w:p>
        </w:tc>
        <w:tc>
          <w:tcPr>
            <w:tcW w:w="1728" w:type="pct"/>
            <w:vAlign w:val="center"/>
          </w:tcPr>
          <w:p w14:paraId="6E58FFDF">
            <w:pPr>
              <w:pStyle w:val="96"/>
              <w:rPr>
                <w:b/>
                <w:bCs/>
                <w:color w:val="000000" w:themeColor="text1"/>
                <w:kern w:val="0"/>
                <w14:textFill>
                  <w14:solidFill>
                    <w14:schemeClr w14:val="tx1"/>
                  </w14:solidFill>
                </w14:textFill>
              </w:rPr>
            </w:pPr>
            <w:r>
              <w:rPr>
                <w:rFonts w:hint="eastAsia"/>
                <w:b/>
                <w:bCs/>
                <w:color w:val="000000" w:themeColor="text1"/>
                <w:kern w:val="0"/>
                <w14:textFill>
                  <w14:solidFill>
                    <w14:schemeClr w14:val="tx1"/>
                  </w14:solidFill>
                </w14:textFill>
              </w:rPr>
              <w:t>现有环境问题</w:t>
            </w:r>
          </w:p>
        </w:tc>
        <w:tc>
          <w:tcPr>
            <w:tcW w:w="1805" w:type="pct"/>
            <w:vAlign w:val="center"/>
          </w:tcPr>
          <w:p w14:paraId="675CF1BD">
            <w:pPr>
              <w:pStyle w:val="96"/>
              <w:rPr>
                <w:b/>
                <w:bCs/>
                <w:color w:val="000000" w:themeColor="text1"/>
                <w:kern w:val="0"/>
                <w14:textFill>
                  <w14:solidFill>
                    <w14:schemeClr w14:val="tx1"/>
                  </w14:solidFill>
                </w14:textFill>
              </w:rPr>
            </w:pPr>
            <w:r>
              <w:rPr>
                <w:rFonts w:hint="eastAsia"/>
                <w:b/>
                <w:bCs/>
                <w:color w:val="000000" w:themeColor="text1"/>
                <w:kern w:val="0"/>
                <w14:textFill>
                  <w14:solidFill>
                    <w14:schemeClr w14:val="tx1"/>
                  </w14:solidFill>
                </w14:textFill>
              </w:rPr>
              <w:t>整改措施</w:t>
            </w:r>
          </w:p>
        </w:tc>
        <w:tc>
          <w:tcPr>
            <w:tcW w:w="1074" w:type="pct"/>
            <w:vAlign w:val="center"/>
          </w:tcPr>
          <w:p w14:paraId="73B2D6DE">
            <w:pPr>
              <w:pStyle w:val="96"/>
              <w:rPr>
                <w:b/>
                <w:bCs/>
                <w:color w:val="000000" w:themeColor="text1"/>
                <w:kern w:val="0"/>
                <w14:textFill>
                  <w14:solidFill>
                    <w14:schemeClr w14:val="tx1"/>
                  </w14:solidFill>
                </w14:textFill>
              </w:rPr>
            </w:pPr>
            <w:r>
              <w:rPr>
                <w:rFonts w:hint="eastAsia"/>
                <w:b/>
                <w:bCs/>
                <w:color w:val="000000" w:themeColor="text1"/>
                <w:kern w:val="0"/>
                <w14:textFill>
                  <w14:solidFill>
                    <w14:schemeClr w14:val="tx1"/>
                  </w14:solidFill>
                </w14:textFill>
              </w:rPr>
              <w:t>整改时限</w:t>
            </w:r>
          </w:p>
        </w:tc>
      </w:tr>
      <w:tr w14:paraId="1387110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93" w:type="pct"/>
            <w:vAlign w:val="center"/>
          </w:tcPr>
          <w:p w14:paraId="626DD7A9">
            <w:pPr>
              <w:pStyle w:val="96"/>
              <w:rPr>
                <w:color w:val="000000" w:themeColor="text1"/>
                <w:kern w:val="0"/>
                <w14:textFill>
                  <w14:solidFill>
                    <w14:schemeClr w14:val="tx1"/>
                  </w14:solidFill>
                </w14:textFill>
              </w:rPr>
            </w:pPr>
            <w:r>
              <w:rPr>
                <w:rFonts w:hint="eastAsia"/>
                <w:color w:val="000000" w:themeColor="text1"/>
                <w:kern w:val="0"/>
                <w14:textFill>
                  <w14:solidFill>
                    <w14:schemeClr w14:val="tx1"/>
                  </w14:solidFill>
                </w14:textFill>
              </w:rPr>
              <w:t>1</w:t>
            </w:r>
          </w:p>
        </w:tc>
        <w:tc>
          <w:tcPr>
            <w:tcW w:w="1728" w:type="pct"/>
            <w:vAlign w:val="center"/>
          </w:tcPr>
          <w:p w14:paraId="2AF76A54">
            <w:pPr>
              <w:pStyle w:val="96"/>
              <w:rPr>
                <w:color w:val="000000" w:themeColor="text1"/>
                <w:kern w:val="0"/>
                <w14:textFill>
                  <w14:solidFill>
                    <w14:schemeClr w14:val="tx1"/>
                  </w14:solidFill>
                </w14:textFill>
              </w:rPr>
            </w:pPr>
          </w:p>
        </w:tc>
        <w:tc>
          <w:tcPr>
            <w:tcW w:w="1805" w:type="pct"/>
            <w:vAlign w:val="center"/>
          </w:tcPr>
          <w:p w14:paraId="70B6DC9F">
            <w:pPr>
              <w:jc w:val="center"/>
              <w:rPr>
                <w:rFonts w:ascii="Times New Roman" w:hAnsi="Times New Roman" w:cs="Times New Roman"/>
                <w:color w:val="000000" w:themeColor="text1"/>
                <w:sz w:val="21"/>
                <w:lang w:eastAsia="zh-CN"/>
                <w14:textFill>
                  <w14:solidFill>
                    <w14:schemeClr w14:val="tx1"/>
                  </w14:solidFill>
                </w14:textFill>
              </w:rPr>
            </w:pPr>
          </w:p>
        </w:tc>
        <w:tc>
          <w:tcPr>
            <w:tcW w:w="1074" w:type="pct"/>
            <w:vAlign w:val="center"/>
          </w:tcPr>
          <w:p w14:paraId="323AC43C">
            <w:pPr>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2027年底前</w:t>
            </w:r>
          </w:p>
        </w:tc>
      </w:tr>
    </w:tbl>
    <w:p w14:paraId="00C14A92">
      <w:pPr>
        <w:pStyle w:val="101"/>
        <w:adjustRightInd w:val="0"/>
        <w:snapToGrid w:val="0"/>
        <w:spacing w:line="360" w:lineRule="auto"/>
        <w:rPr>
          <w:rFonts w:eastAsia="宋体"/>
          <w:b/>
          <w:bCs/>
        </w:rPr>
      </w:pPr>
    </w:p>
    <w:p w14:paraId="4311219E">
      <w:pPr>
        <w:rPr>
          <w:rFonts w:ascii="Times New Roman" w:hAnsi="Times New Roman" w:cs="Times New Roman"/>
          <w:b/>
          <w:bCs/>
          <w:snapToGrid/>
          <w:color w:val="auto"/>
          <w:szCs w:val="20"/>
          <w:lang w:eastAsia="zh-CN"/>
        </w:rPr>
      </w:pPr>
      <w:r>
        <w:rPr>
          <w:b/>
          <w:bCs/>
          <w:lang w:eastAsia="zh-CN"/>
        </w:rPr>
        <w:br w:type="page"/>
      </w:r>
    </w:p>
    <w:p w14:paraId="00DA5A4B">
      <w:pPr>
        <w:spacing w:line="360" w:lineRule="auto"/>
        <w:ind w:firstLine="420"/>
        <w:jc w:val="center"/>
        <w:outlineLvl w:val="0"/>
        <w:rPr>
          <w:rFonts w:ascii="Times New Roman" w:hAnsi="Times New Roman" w:cs="Times New Roman"/>
          <w:b/>
          <w:bCs/>
          <w:color w:val="auto"/>
          <w:sz w:val="32"/>
          <w:szCs w:val="24"/>
          <w:lang w:eastAsia="zh-CN"/>
        </w:rPr>
      </w:pPr>
      <w:bookmarkStart w:id="556" w:name="_Toc237508274"/>
      <w:r>
        <w:rPr>
          <w:rFonts w:ascii="Times New Roman" w:hAnsi="Times New Roman" w:cs="Times New Roman"/>
          <w:b/>
          <w:bCs/>
          <w:color w:val="auto"/>
          <w:sz w:val="32"/>
          <w:szCs w:val="24"/>
          <w:lang w:eastAsia="zh-CN"/>
        </w:rPr>
        <w:t xml:space="preserve">4  </w:t>
      </w:r>
      <w:r>
        <w:rPr>
          <w:rFonts w:hint="eastAsia" w:ascii="Times New Roman" w:hAnsi="Times New Roman" w:cs="Times New Roman"/>
          <w:b/>
          <w:bCs/>
          <w:color w:val="auto"/>
          <w:sz w:val="32"/>
          <w:szCs w:val="24"/>
          <w:lang w:eastAsia="zh-CN"/>
        </w:rPr>
        <w:t>拟建</w:t>
      </w:r>
      <w:r>
        <w:rPr>
          <w:rFonts w:ascii="Times New Roman" w:hAnsi="Times New Roman" w:cs="Times New Roman"/>
          <w:b/>
          <w:bCs/>
          <w:color w:val="auto"/>
          <w:sz w:val="32"/>
          <w:szCs w:val="24"/>
          <w:lang w:eastAsia="zh-CN"/>
        </w:rPr>
        <w:t>项目概况及工程分析</w:t>
      </w:r>
      <w:bookmarkEnd w:id="556"/>
    </w:p>
    <w:p w14:paraId="53C69888">
      <w:pPr>
        <w:spacing w:line="360" w:lineRule="auto"/>
        <w:ind w:firstLine="562"/>
        <w:rPr>
          <w:rFonts w:ascii="Times New Roman" w:hAnsi="Times New Roman" w:cs="Times New Roman"/>
          <w:b/>
          <w:bCs/>
          <w:color w:val="auto"/>
          <w:sz w:val="28"/>
          <w:szCs w:val="22"/>
          <w:lang w:eastAsia="zh-CN"/>
        </w:rPr>
      </w:pPr>
      <w:bookmarkStart w:id="557" w:name="_Toc180574282"/>
      <w:bookmarkStart w:id="558" w:name="_Toc231787447"/>
      <w:bookmarkStart w:id="559" w:name="_Toc176790866"/>
      <w:bookmarkStart w:id="560" w:name="_Toc233192310"/>
      <w:bookmarkStart w:id="561" w:name="_Toc202021511"/>
      <w:bookmarkStart w:id="562" w:name="_Toc177176998"/>
      <w:bookmarkStart w:id="563" w:name="_Toc48287592"/>
      <w:bookmarkStart w:id="564" w:name="_Toc182318573"/>
      <w:bookmarkStart w:id="565" w:name="_Toc202689901"/>
      <w:bookmarkStart w:id="566" w:name="_Toc181075087"/>
      <w:bookmarkStart w:id="567" w:name="_Toc199754104"/>
    </w:p>
    <w:p w14:paraId="04D67679">
      <w:pPr>
        <w:spacing w:line="360" w:lineRule="auto"/>
        <w:ind w:firstLine="562"/>
        <w:jc w:val="both"/>
        <w:outlineLvl w:val="1"/>
        <w:rPr>
          <w:rFonts w:ascii="Times New Roman" w:hAnsi="Times New Roman" w:cs="Times New Roman"/>
          <w:color w:val="auto"/>
          <w:sz w:val="28"/>
          <w:szCs w:val="22"/>
          <w:lang w:eastAsia="zh-CN"/>
        </w:rPr>
      </w:pPr>
      <w:bookmarkStart w:id="568" w:name="_Toc237508275"/>
      <w:r>
        <w:rPr>
          <w:rFonts w:ascii="Times New Roman" w:hAnsi="Times New Roman" w:cs="Times New Roman"/>
          <w:b/>
          <w:bCs/>
          <w:color w:val="auto"/>
          <w:sz w:val="28"/>
          <w:szCs w:val="22"/>
          <w:lang w:eastAsia="zh-CN"/>
        </w:rPr>
        <w:t>4.1 项目概况</w:t>
      </w:r>
      <w:bookmarkEnd w:id="557"/>
      <w:bookmarkEnd w:id="558"/>
      <w:bookmarkEnd w:id="559"/>
      <w:bookmarkEnd w:id="560"/>
      <w:bookmarkEnd w:id="561"/>
      <w:bookmarkEnd w:id="562"/>
      <w:bookmarkEnd w:id="563"/>
      <w:bookmarkEnd w:id="564"/>
      <w:bookmarkEnd w:id="565"/>
      <w:bookmarkEnd w:id="566"/>
      <w:bookmarkEnd w:id="567"/>
      <w:bookmarkEnd w:id="568"/>
    </w:p>
    <w:p w14:paraId="328BAF76">
      <w:pPr>
        <w:spacing w:line="360" w:lineRule="auto"/>
        <w:ind w:firstLine="482"/>
        <w:jc w:val="both"/>
        <w:outlineLvl w:val="2"/>
        <w:rPr>
          <w:rFonts w:ascii="Times New Roman" w:hAnsi="Times New Roman" w:cs="Times New Roman"/>
          <w:b/>
          <w:bCs/>
          <w:color w:val="auto"/>
          <w:szCs w:val="24"/>
          <w:lang w:eastAsia="zh-CN"/>
        </w:rPr>
      </w:pPr>
      <w:bookmarkStart w:id="569" w:name="_Toc236641294"/>
      <w:bookmarkStart w:id="570" w:name="_Toc172555636"/>
      <w:bookmarkStart w:id="571" w:name="_Toc217662645"/>
      <w:bookmarkStart w:id="572" w:name="_Toc231828563"/>
      <w:bookmarkStart w:id="573" w:name="_Toc204515181"/>
      <w:bookmarkStart w:id="574" w:name="_Toc225784029"/>
      <w:bookmarkStart w:id="575" w:name="_Toc173740263"/>
      <w:bookmarkStart w:id="576" w:name="_Toc218784255"/>
      <w:bookmarkStart w:id="577" w:name="_Toc175164257"/>
      <w:bookmarkStart w:id="578" w:name="_Toc178602333"/>
      <w:bookmarkStart w:id="579" w:name="_Toc203926980"/>
      <w:bookmarkStart w:id="580" w:name="_Toc223425030"/>
      <w:bookmarkStart w:id="581" w:name="_Toc221900812"/>
      <w:bookmarkStart w:id="582" w:name="_Toc224674668"/>
      <w:bookmarkStart w:id="583" w:name="_Toc237508276"/>
      <w:bookmarkStart w:id="584" w:name="_Toc204448446"/>
      <w:bookmarkStart w:id="585" w:name="_Toc176512993"/>
      <w:bookmarkStart w:id="586" w:name="_Toc173743367"/>
      <w:bookmarkStart w:id="587" w:name="_Toc236641811"/>
      <w:r>
        <w:rPr>
          <w:rFonts w:ascii="Times New Roman" w:hAnsi="Times New Roman" w:cs="Times New Roman"/>
          <w:b/>
          <w:bCs/>
          <w:color w:val="auto"/>
          <w:szCs w:val="24"/>
          <w:lang w:eastAsia="zh-CN"/>
        </w:rPr>
        <w:t>4.1.1 项目基本概况</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p>
    <w:p w14:paraId="33D721DA">
      <w:pPr>
        <w:topLinePunct/>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1、项目名称：</w:t>
      </w:r>
      <w:r>
        <w:rPr>
          <w:rFonts w:hint="eastAsia" w:ascii="Times New Roman" w:hAnsi="Times New Roman" w:cs="Times New Roman"/>
          <w:color w:val="auto"/>
          <w:szCs w:val="24"/>
          <w:lang w:eastAsia="zh-CN"/>
        </w:rPr>
        <w:t xml:space="preserve">年产5万吨化学纯氢氟酸及1.5万吨刻蚀液扩产项目   </w:t>
      </w:r>
    </w:p>
    <w:p w14:paraId="5F3A75D2">
      <w:pPr>
        <w:topLinePunct/>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2、建设性质：</w:t>
      </w:r>
      <w:r>
        <w:rPr>
          <w:rFonts w:hint="eastAsia" w:ascii="Times New Roman" w:hAnsi="Times New Roman" w:cs="Times New Roman"/>
          <w:color w:val="auto"/>
          <w:szCs w:val="24"/>
          <w:lang w:eastAsia="zh-CN"/>
        </w:rPr>
        <w:t>改扩</w:t>
      </w:r>
      <w:r>
        <w:rPr>
          <w:rFonts w:ascii="Times New Roman" w:hAnsi="Times New Roman" w:cs="Times New Roman"/>
          <w:color w:val="auto"/>
          <w:szCs w:val="24"/>
          <w:lang w:eastAsia="zh-CN"/>
        </w:rPr>
        <w:t>建</w:t>
      </w:r>
    </w:p>
    <w:p w14:paraId="60C6DA05">
      <w:pPr>
        <w:topLinePunct/>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3、建设单位：</w:t>
      </w:r>
      <w:r>
        <w:rPr>
          <w:rFonts w:hint="eastAsia" w:ascii="Times New Roman" w:hAnsi="Times New Roman" w:cs="Times New Roman"/>
          <w:color w:val="auto"/>
          <w:szCs w:val="24"/>
          <w:lang w:eastAsia="zh-CN"/>
        </w:rPr>
        <w:t>安徽氟瑞星化工有限公司</w:t>
      </w:r>
    </w:p>
    <w:p w14:paraId="47A6DEC3">
      <w:pPr>
        <w:topLinePunct/>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4、建设地点：</w:t>
      </w:r>
      <w:bookmarkStart w:id="588" w:name="_Hlk204347281"/>
      <w:r>
        <w:rPr>
          <w:rFonts w:ascii="Times New Roman" w:hAnsi="Times New Roman" w:cs="Times New Roman"/>
          <w:color w:val="auto"/>
          <w:szCs w:val="24"/>
          <w:lang w:eastAsia="zh-CN"/>
        </w:rPr>
        <w:t>安徽省蚌埠市淮上区沫河口工业园</w:t>
      </w:r>
      <w:bookmarkEnd w:id="588"/>
      <w:r>
        <w:rPr>
          <w:rFonts w:hint="eastAsia" w:ascii="Times New Roman" w:hAnsi="Times New Roman" w:cs="Times New Roman"/>
          <w:color w:val="auto"/>
          <w:szCs w:val="24"/>
          <w:lang w:eastAsia="zh-CN"/>
        </w:rPr>
        <w:t>淝河北路599号</w:t>
      </w:r>
    </w:p>
    <w:p w14:paraId="67BCBCB9">
      <w:pPr>
        <w:topLinePunct/>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5、建设内容及规模：</w:t>
      </w:r>
      <w:bookmarkStart w:id="589" w:name="_Hlk204347291"/>
      <w:r>
        <w:rPr>
          <w:rFonts w:hint="eastAsia" w:ascii="Times New Roman" w:hAnsi="Times New Roman" w:cs="Times New Roman"/>
          <w:color w:val="auto"/>
          <w:szCs w:val="24"/>
          <w:lang w:eastAsia="zh-CN"/>
        </w:rPr>
        <w:t>现有厂区</w:t>
      </w:r>
      <w:r>
        <w:rPr>
          <w:rFonts w:ascii="Times New Roman" w:hAnsi="Times New Roman" w:cs="Times New Roman"/>
          <w:color w:val="auto"/>
          <w:szCs w:val="24"/>
          <w:lang w:eastAsia="zh-CN"/>
        </w:rPr>
        <w:t>占地面积</w:t>
      </w:r>
      <w:r>
        <w:rPr>
          <w:rFonts w:hint="eastAsia" w:ascii="Times New Roman" w:hAnsi="Times New Roman" w:cs="Times New Roman"/>
          <w:color w:val="auto"/>
          <w:szCs w:val="24"/>
          <w:lang w:eastAsia="zh-CN"/>
        </w:rPr>
        <w:t>36566.12</w:t>
      </w:r>
      <w:r>
        <w:rPr>
          <w:rFonts w:ascii="Times New Roman" w:hAnsi="Times New Roman" w:cs="Times New Roman"/>
          <w:color w:val="auto"/>
          <w:szCs w:val="24"/>
          <w:lang w:eastAsia="zh-CN"/>
        </w:rPr>
        <w:t>m</w:t>
      </w:r>
      <w:r>
        <w:rPr>
          <w:rFonts w:ascii="Times New Roman" w:hAnsi="Times New Roman" w:cs="Times New Roman"/>
          <w:color w:val="auto"/>
          <w:szCs w:val="24"/>
          <w:vertAlign w:val="superscript"/>
          <w:lang w:eastAsia="zh-CN"/>
        </w:rPr>
        <w:t>2</w:t>
      </w:r>
      <w:r>
        <w:rPr>
          <w:rFonts w:hint="eastAsia" w:ascii="Times New Roman" w:hAnsi="Times New Roman" w:cs="Times New Roman"/>
          <w:color w:val="auto"/>
          <w:szCs w:val="24"/>
          <w:lang w:eastAsia="zh-CN"/>
        </w:rPr>
        <w:t>，本项目对现有厂区《</w:t>
      </w:r>
      <w:r>
        <w:rPr>
          <w:rFonts w:ascii="Times New Roman" w:hAnsi="Times New Roman" w:cs="Times New Roman"/>
          <w:color w:val="auto"/>
          <w:szCs w:val="24"/>
          <w:lang w:eastAsia="zh-CN"/>
        </w:rPr>
        <w:t>年产4万吨电子级氢氟酸、4万吨化学纯氢氟酸及4.5万吨刻蚀液项目（一期工程）</w:t>
      </w:r>
      <w:r>
        <w:rPr>
          <w:rFonts w:hint="eastAsia" w:ascii="Times New Roman" w:hAnsi="Times New Roman" w:cs="Times New Roman"/>
          <w:color w:val="auto"/>
          <w:szCs w:val="24"/>
          <w:lang w:eastAsia="zh-CN"/>
        </w:rPr>
        <w:t>项目》中的</w:t>
      </w:r>
      <w:r>
        <w:rPr>
          <w:rFonts w:ascii="Times New Roman" w:hAnsi="Times New Roman" w:cs="Times New Roman"/>
          <w:color w:val="auto"/>
          <w:szCs w:val="24"/>
          <w:lang w:eastAsia="zh-CN"/>
        </w:rPr>
        <w:t>化学纯氢氟酸及刻蚀液</w:t>
      </w:r>
      <w:r>
        <w:rPr>
          <w:rFonts w:hint="eastAsia" w:ascii="Times New Roman" w:hAnsi="Times New Roman" w:cs="Times New Roman"/>
          <w:color w:val="auto"/>
          <w:szCs w:val="24"/>
          <w:lang w:eastAsia="zh-CN"/>
        </w:rPr>
        <w:t>生产方案进行部分调整，新增2套化学纯氢氟酸生产装置（4台调配器），用于生产化学纯氢氟酸；新增 6套刻蚀液生产装置（6台调配罐），用于生产刻蚀液；新增一座戊类罐区二；项目建成后，全厂形成年产9</w:t>
      </w:r>
      <w:r>
        <w:rPr>
          <w:rFonts w:ascii="Times New Roman" w:hAnsi="Times New Roman" w:cs="Times New Roman"/>
          <w:color w:val="auto"/>
          <w:szCs w:val="24"/>
          <w:lang w:eastAsia="zh-CN"/>
        </w:rPr>
        <w:t>万</w:t>
      </w:r>
      <w:r>
        <w:rPr>
          <w:rFonts w:hint="eastAsia" w:ascii="Times New Roman" w:hAnsi="Times New Roman" w:cs="Times New Roman"/>
          <w:color w:val="auto"/>
          <w:szCs w:val="24"/>
          <w:lang w:eastAsia="zh-CN"/>
        </w:rPr>
        <w:t>t/a化学纯氢氟酸（其中5</w:t>
      </w:r>
      <w:r>
        <w:rPr>
          <w:rFonts w:ascii="Times New Roman" w:hAnsi="Times New Roman" w:cs="Times New Roman"/>
          <w:color w:val="auto"/>
          <w:szCs w:val="24"/>
          <w:lang w:eastAsia="zh-CN"/>
        </w:rPr>
        <w:t>万t/a外售，</w:t>
      </w:r>
      <w:r>
        <w:rPr>
          <w:rFonts w:hint="eastAsia" w:ascii="Times New Roman" w:hAnsi="Times New Roman" w:cs="Times New Roman"/>
          <w:color w:val="auto"/>
          <w:szCs w:val="24"/>
          <w:lang w:eastAsia="zh-CN"/>
        </w:rPr>
        <w:t>4</w:t>
      </w:r>
      <w:r>
        <w:rPr>
          <w:rFonts w:ascii="Times New Roman" w:hAnsi="Times New Roman" w:cs="Times New Roman"/>
          <w:color w:val="auto"/>
          <w:szCs w:val="24"/>
          <w:lang w:eastAsia="zh-CN"/>
        </w:rPr>
        <w:t>万t/a</w:t>
      </w:r>
      <w:r>
        <w:rPr>
          <w:rFonts w:hint="eastAsia" w:ascii="Times New Roman" w:hAnsi="Times New Roman" w:cs="Times New Roman"/>
          <w:color w:val="auto"/>
          <w:szCs w:val="24"/>
          <w:lang w:eastAsia="zh-CN"/>
        </w:rPr>
        <w:t>用于生产刻蚀液）、6万t/</w:t>
      </w:r>
      <w:r>
        <w:rPr>
          <w:rFonts w:ascii="Times New Roman" w:hAnsi="Times New Roman" w:cs="Times New Roman"/>
          <w:color w:val="auto"/>
          <w:szCs w:val="24"/>
          <w:lang w:eastAsia="zh-CN"/>
        </w:rPr>
        <w:t>a刻蚀液</w:t>
      </w:r>
      <w:bookmarkEnd w:id="589"/>
      <w:r>
        <w:rPr>
          <w:rFonts w:hint="eastAsia" w:ascii="Times New Roman" w:hAnsi="Times New Roman" w:cs="Times New Roman"/>
          <w:color w:val="auto"/>
          <w:szCs w:val="24"/>
          <w:lang w:eastAsia="zh-CN"/>
        </w:rPr>
        <w:t>的生产能力</w:t>
      </w:r>
      <w:r>
        <w:rPr>
          <w:rFonts w:ascii="Times New Roman" w:hAnsi="Times New Roman" w:cs="Times New Roman"/>
          <w:color w:val="auto"/>
          <w:szCs w:val="24"/>
          <w:lang w:eastAsia="zh-CN"/>
        </w:rPr>
        <w:t>。</w:t>
      </w:r>
    </w:p>
    <w:p w14:paraId="4EA0F5E6">
      <w:pPr>
        <w:widowControl w:val="0"/>
        <w:topLinePunct/>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6、项目总投资：总投资</w:t>
      </w:r>
      <w:r>
        <w:rPr>
          <w:rFonts w:hint="eastAsia" w:ascii="Times New Roman" w:hAnsi="Times New Roman" w:cs="Times New Roman"/>
          <w:color w:val="auto"/>
          <w:szCs w:val="24"/>
          <w:lang w:eastAsia="zh-CN"/>
        </w:rPr>
        <w:t>11000</w:t>
      </w:r>
      <w:r>
        <w:rPr>
          <w:rFonts w:ascii="Times New Roman" w:hAnsi="Times New Roman" w:cs="Times New Roman"/>
          <w:color w:val="auto"/>
          <w:szCs w:val="24"/>
          <w:lang w:eastAsia="zh-CN"/>
        </w:rPr>
        <w:t>万元</w:t>
      </w:r>
      <w:r>
        <w:rPr>
          <w:rFonts w:ascii="Times New Roman" w:hAnsi="Times New Roman" w:cs="Times New Roman"/>
          <w:color w:val="000000" w:themeColor="text1"/>
          <w:szCs w:val="24"/>
          <w:lang w:eastAsia="zh-CN"/>
          <w14:textFill>
            <w14:solidFill>
              <w14:schemeClr w14:val="tx1"/>
            </w14:solidFill>
          </w14:textFill>
        </w:rPr>
        <w:t>，其中环保投资</w:t>
      </w:r>
      <w:r>
        <w:rPr>
          <w:rFonts w:hint="eastAsia" w:ascii="Times New Roman" w:hAnsi="Times New Roman" w:cs="Times New Roman"/>
          <w:color w:val="000000" w:themeColor="text1"/>
          <w:szCs w:val="24"/>
          <w:lang w:eastAsia="zh-CN"/>
          <w14:textFill>
            <w14:solidFill>
              <w14:schemeClr w14:val="tx1"/>
            </w14:solidFill>
          </w14:textFill>
        </w:rPr>
        <w:t>260</w:t>
      </w:r>
      <w:r>
        <w:rPr>
          <w:rFonts w:ascii="Times New Roman" w:hAnsi="Times New Roman" w:cs="Times New Roman"/>
          <w:color w:val="000000" w:themeColor="text1"/>
          <w:szCs w:val="24"/>
          <w:lang w:eastAsia="zh-CN"/>
          <w14:textFill>
            <w14:solidFill>
              <w14:schemeClr w14:val="tx1"/>
            </w14:solidFill>
          </w14:textFill>
        </w:rPr>
        <w:t>万元。</w:t>
      </w:r>
    </w:p>
    <w:p w14:paraId="10065997">
      <w:pPr>
        <w:widowControl w:val="0"/>
        <w:topLinePunct/>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ascii="Times New Roman" w:hAnsi="Times New Roman" w:cs="Times New Roman"/>
          <w:color w:val="000000" w:themeColor="text1"/>
          <w:szCs w:val="24"/>
          <w:lang w:eastAsia="zh-CN"/>
          <w14:textFill>
            <w14:solidFill>
              <w14:schemeClr w14:val="tx1"/>
            </w14:solidFill>
          </w14:textFill>
        </w:rPr>
        <w:t>7、排污许可类别：</w:t>
      </w:r>
      <w:r>
        <w:rPr>
          <w:rFonts w:hint="eastAsia" w:ascii="Times New Roman" w:hAnsi="Times New Roman" w:cs="Times New Roman"/>
          <w:color w:val="000000" w:themeColor="text1"/>
          <w:szCs w:val="24"/>
          <w:lang w:eastAsia="zh-CN"/>
          <w14:textFill>
            <w14:solidFill>
              <w14:schemeClr w14:val="tx1"/>
            </w14:solidFill>
          </w14:textFill>
        </w:rPr>
        <w:t>三十四、计算机、通信和其他电子设备制造业39；89、电子元件及电子专用材料制造398，重点管理；纳入重点排污单位名录的（根据蚌埠市2025年度环境监管重点单位名录，安徽氟瑞星化工有限公司属于水重点排污单位）</w:t>
      </w:r>
      <w:r>
        <w:rPr>
          <w:rFonts w:ascii="Times New Roman" w:hAnsi="Times New Roman" w:cs="Times New Roman"/>
          <w:color w:val="000000" w:themeColor="text1"/>
          <w:szCs w:val="24"/>
          <w:lang w:eastAsia="zh-CN"/>
          <w14:textFill>
            <w14:solidFill>
              <w14:schemeClr w14:val="tx1"/>
            </w14:solidFill>
          </w14:textFill>
        </w:rPr>
        <w:t>。</w:t>
      </w:r>
    </w:p>
    <w:p w14:paraId="5EA7B1F2">
      <w:pPr>
        <w:spacing w:line="360" w:lineRule="auto"/>
        <w:ind w:firstLine="482"/>
        <w:jc w:val="both"/>
        <w:outlineLvl w:val="2"/>
        <w:rPr>
          <w:rFonts w:ascii="Times New Roman" w:hAnsi="Times New Roman" w:cs="Times New Roman"/>
          <w:b/>
          <w:bCs/>
          <w:color w:val="auto"/>
          <w:szCs w:val="24"/>
          <w:lang w:eastAsia="zh-CN"/>
        </w:rPr>
      </w:pPr>
      <w:bookmarkStart w:id="590" w:name="_Toc231828564"/>
      <w:bookmarkStart w:id="591" w:name="_Toc175164258"/>
      <w:bookmarkStart w:id="592" w:name="_Toc204448447"/>
      <w:bookmarkStart w:id="593" w:name="_Toc203926981"/>
      <w:bookmarkStart w:id="594" w:name="_Toc176512994"/>
      <w:bookmarkStart w:id="595" w:name="_Toc225784030"/>
      <w:bookmarkStart w:id="596" w:name="_Toc178602334"/>
      <w:bookmarkStart w:id="597" w:name="_Toc173740264"/>
      <w:bookmarkStart w:id="598" w:name="_Toc221900813"/>
      <w:bookmarkStart w:id="599" w:name="_Toc217662646"/>
      <w:bookmarkStart w:id="600" w:name="_Toc173743368"/>
      <w:bookmarkStart w:id="601" w:name="_Toc218784256"/>
      <w:bookmarkStart w:id="602" w:name="_Toc223425031"/>
      <w:bookmarkStart w:id="603" w:name="_Toc224674669"/>
      <w:bookmarkStart w:id="604" w:name="_Toc236641295"/>
      <w:bookmarkStart w:id="605" w:name="_Toc204515182"/>
      <w:bookmarkStart w:id="606" w:name="_Toc172555637"/>
      <w:bookmarkStart w:id="607" w:name="_Toc236641812"/>
      <w:bookmarkStart w:id="608" w:name="_Toc237508277"/>
      <w:r>
        <w:rPr>
          <w:rFonts w:ascii="Times New Roman" w:hAnsi="Times New Roman" w:cs="Times New Roman"/>
          <w:b/>
          <w:bCs/>
          <w:color w:val="auto"/>
          <w:szCs w:val="24"/>
          <w:lang w:eastAsia="zh-CN"/>
        </w:rPr>
        <w:t>4.1.2 项目建设内容</w:t>
      </w:r>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p w14:paraId="4FDE14F3">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安徽氟瑞星化工有限公司</w:t>
      </w:r>
      <w:r>
        <w:rPr>
          <w:rFonts w:ascii="Times New Roman" w:hAnsi="Times New Roman" w:cs="Times New Roman"/>
          <w:color w:val="auto"/>
          <w:szCs w:val="24"/>
          <w:lang w:eastAsia="zh-CN"/>
        </w:rPr>
        <w:t>拟投资</w:t>
      </w:r>
      <w:r>
        <w:rPr>
          <w:rFonts w:hint="eastAsia" w:ascii="Times New Roman" w:hAnsi="Times New Roman" w:cs="Times New Roman"/>
          <w:color w:val="auto"/>
          <w:szCs w:val="24"/>
          <w:lang w:eastAsia="zh-CN"/>
        </w:rPr>
        <w:t>11000</w:t>
      </w:r>
      <w:r>
        <w:rPr>
          <w:rFonts w:ascii="Times New Roman" w:hAnsi="Times New Roman" w:cs="Times New Roman"/>
          <w:color w:val="auto"/>
          <w:szCs w:val="24"/>
          <w:lang w:eastAsia="zh-CN"/>
        </w:rPr>
        <w:t>万元在安徽省蚌埠市淮上区沫河口工业园</w:t>
      </w:r>
      <w:r>
        <w:rPr>
          <w:rFonts w:hint="eastAsia" w:ascii="Times New Roman" w:hAnsi="Times New Roman" w:cs="Times New Roman"/>
          <w:color w:val="auto"/>
          <w:szCs w:val="24"/>
          <w:lang w:eastAsia="zh-CN"/>
        </w:rPr>
        <w:t>现有厂区内，对现有《</w:t>
      </w:r>
      <w:r>
        <w:rPr>
          <w:rFonts w:ascii="Times New Roman" w:hAnsi="Times New Roman" w:cs="Times New Roman"/>
          <w:color w:val="auto"/>
          <w:szCs w:val="24"/>
          <w:lang w:eastAsia="zh-CN"/>
        </w:rPr>
        <w:t>年产4万吨电子级氢氟酸、4万吨化学纯氢氟酸及4.5万吨刻蚀液项目（一期工程）</w:t>
      </w:r>
      <w:r>
        <w:rPr>
          <w:rFonts w:hint="eastAsia" w:ascii="Times New Roman" w:hAnsi="Times New Roman" w:cs="Times New Roman"/>
          <w:color w:val="auto"/>
          <w:szCs w:val="24"/>
          <w:lang w:eastAsia="zh-CN"/>
        </w:rPr>
        <w:t>项目》中的</w:t>
      </w:r>
      <w:r>
        <w:rPr>
          <w:rFonts w:ascii="Times New Roman" w:hAnsi="Times New Roman" w:cs="Times New Roman"/>
          <w:color w:val="auto"/>
          <w:szCs w:val="24"/>
          <w:lang w:eastAsia="zh-CN"/>
        </w:rPr>
        <w:t>化学纯氢氟酸及刻蚀液</w:t>
      </w:r>
      <w:r>
        <w:rPr>
          <w:rFonts w:hint="eastAsia" w:ascii="Times New Roman" w:hAnsi="Times New Roman" w:cs="Times New Roman"/>
          <w:color w:val="auto"/>
          <w:szCs w:val="24"/>
          <w:lang w:eastAsia="zh-CN"/>
        </w:rPr>
        <w:t>生产方案进行部分调整（不涉及电子级氢氟酸），</w:t>
      </w:r>
      <w:r>
        <w:rPr>
          <w:rFonts w:ascii="Times New Roman" w:hAnsi="Times New Roman" w:cs="Times New Roman"/>
          <w:color w:val="auto"/>
          <w:szCs w:val="24"/>
          <w:lang w:eastAsia="zh-CN"/>
        </w:rPr>
        <w:t>建设</w:t>
      </w:r>
      <w:r>
        <w:rPr>
          <w:rFonts w:hint="eastAsia" w:ascii="Times New Roman" w:hAnsi="Times New Roman" w:cs="Times New Roman"/>
          <w:color w:val="auto"/>
          <w:szCs w:val="24"/>
          <w:lang w:eastAsia="zh-CN"/>
        </w:rPr>
        <w:t>全厂年产9</w:t>
      </w:r>
      <w:r>
        <w:rPr>
          <w:rFonts w:ascii="Times New Roman" w:hAnsi="Times New Roman" w:cs="Times New Roman"/>
          <w:color w:val="auto"/>
          <w:szCs w:val="24"/>
          <w:lang w:eastAsia="zh-CN"/>
        </w:rPr>
        <w:t>万</w:t>
      </w:r>
      <w:r>
        <w:rPr>
          <w:rFonts w:hint="eastAsia" w:ascii="Times New Roman" w:hAnsi="Times New Roman" w:cs="Times New Roman"/>
          <w:color w:val="auto"/>
          <w:szCs w:val="24"/>
          <w:lang w:eastAsia="zh-CN"/>
        </w:rPr>
        <w:t>t/a化学纯氢氟酸（其中5</w:t>
      </w:r>
      <w:r>
        <w:rPr>
          <w:rFonts w:ascii="Times New Roman" w:hAnsi="Times New Roman" w:cs="Times New Roman"/>
          <w:color w:val="auto"/>
          <w:szCs w:val="24"/>
          <w:lang w:eastAsia="zh-CN"/>
        </w:rPr>
        <w:t>万t/a外售，</w:t>
      </w:r>
      <w:r>
        <w:rPr>
          <w:rFonts w:hint="eastAsia" w:ascii="Times New Roman" w:hAnsi="Times New Roman" w:cs="Times New Roman"/>
          <w:color w:val="auto"/>
          <w:szCs w:val="24"/>
          <w:lang w:eastAsia="zh-CN"/>
        </w:rPr>
        <w:t>4</w:t>
      </w:r>
      <w:r>
        <w:rPr>
          <w:rFonts w:ascii="Times New Roman" w:hAnsi="Times New Roman" w:cs="Times New Roman"/>
          <w:color w:val="auto"/>
          <w:szCs w:val="24"/>
          <w:lang w:eastAsia="zh-CN"/>
        </w:rPr>
        <w:t>万t/a</w:t>
      </w:r>
      <w:r>
        <w:rPr>
          <w:rFonts w:hint="eastAsia" w:ascii="Times New Roman" w:hAnsi="Times New Roman" w:cs="Times New Roman"/>
          <w:color w:val="auto"/>
          <w:szCs w:val="24"/>
          <w:lang w:eastAsia="zh-CN"/>
        </w:rPr>
        <w:t>用于生产刻蚀液）、6万t/</w:t>
      </w:r>
      <w:r>
        <w:rPr>
          <w:rFonts w:ascii="Times New Roman" w:hAnsi="Times New Roman" w:cs="Times New Roman"/>
          <w:color w:val="auto"/>
          <w:szCs w:val="24"/>
          <w:lang w:eastAsia="zh-CN"/>
        </w:rPr>
        <w:t>a刻蚀液生产装置，配套建设公辅工程、环保工程等设施。</w:t>
      </w:r>
    </w:p>
    <w:p w14:paraId="57EEA06F">
      <w:pPr>
        <w:widowControl w:val="0"/>
        <w:topLinePunct/>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主要调整内容如下：</w:t>
      </w:r>
    </w:p>
    <w:p w14:paraId="781C2266">
      <w:pPr>
        <w:widowControl w:val="0"/>
        <w:topLinePunct/>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1、生产装置及产能</w:t>
      </w:r>
    </w:p>
    <w:p w14:paraId="6C61E0C8">
      <w:pPr>
        <w:widowControl w:val="0"/>
        <w:topLinePunct/>
        <w:spacing w:line="360" w:lineRule="auto"/>
        <w:ind w:firstLine="480" w:firstLineChars="200"/>
        <w:jc w:val="both"/>
        <w:rPr>
          <w:rFonts w:ascii="Times New Roman" w:hAnsi="Times New Roman" w:cs="Times New Roman"/>
          <w:color w:val="auto"/>
          <w:szCs w:val="24"/>
          <w:lang w:eastAsia="zh-CN"/>
        </w:rPr>
      </w:pPr>
    </w:p>
    <w:p w14:paraId="1BC6C441">
      <w:pPr>
        <w:widowControl w:val="0"/>
        <w:topLinePunct/>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2、生产原料及工艺</w:t>
      </w:r>
    </w:p>
    <w:p w14:paraId="0C5C7657">
      <w:pPr>
        <w:widowControl w:val="0"/>
        <w:topLinePunct/>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3、平面布置</w:t>
      </w:r>
    </w:p>
    <w:p w14:paraId="7888D309">
      <w:pPr>
        <w:widowControl w:val="0"/>
        <w:spacing w:line="360" w:lineRule="auto"/>
        <w:ind w:firstLine="480" w:firstLineChars="200"/>
        <w:rPr>
          <w:rFonts w:ascii="Times New Roman" w:hAnsi="Times New Roman" w:cs="Times New Roman"/>
          <w:color w:val="FF0000"/>
          <w:szCs w:val="24"/>
          <w:lang w:eastAsia="zh-CN"/>
        </w:rPr>
        <w:sectPr>
          <w:footerReference r:id="rId22" w:type="default"/>
          <w:pgSz w:w="11906" w:h="16838"/>
          <w:pgMar w:top="1440" w:right="1440" w:bottom="1440" w:left="1440" w:header="851" w:footer="992" w:gutter="0"/>
          <w:cols w:space="720" w:num="1"/>
          <w:docGrid w:type="lines" w:linePitch="312" w:charSpace="0"/>
        </w:sectPr>
      </w:pPr>
      <w:r>
        <w:rPr>
          <w:rFonts w:ascii="Times New Roman" w:hAnsi="Times New Roman" w:cs="Times New Roman"/>
          <w:color w:val="auto"/>
          <w:szCs w:val="24"/>
          <w:lang w:eastAsia="zh-CN"/>
        </w:rPr>
        <w:t>本项目具体建设内容详见表4.1-1。</w:t>
      </w:r>
    </w:p>
    <w:p w14:paraId="3414F994">
      <w:pPr>
        <w:spacing w:line="360" w:lineRule="auto"/>
        <w:jc w:val="center"/>
        <w:rPr>
          <w:rFonts w:ascii="Times New Roman" w:hAnsi="Times New Roman" w:cs="Times New Roman"/>
          <w:b/>
          <w:bCs/>
          <w:color w:val="auto"/>
          <w:lang w:eastAsia="zh-CN"/>
        </w:rPr>
      </w:pPr>
      <w:bookmarkStart w:id="609" w:name="_Hlk178066126"/>
      <w:r>
        <w:rPr>
          <w:rFonts w:ascii="Times New Roman" w:hAnsi="Times New Roman" w:cs="Times New Roman"/>
          <w:b/>
          <w:bCs/>
          <w:color w:val="auto"/>
          <w:lang w:eastAsia="zh-CN"/>
        </w:rPr>
        <w:t>表4.1-1 拟建项目工程建设内容组成一览表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05"/>
        <w:gridCol w:w="1277"/>
        <w:gridCol w:w="5751"/>
        <w:gridCol w:w="4700"/>
        <w:gridCol w:w="1494"/>
      </w:tblGrid>
      <w:tr w14:paraId="0A1098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Align w:val="center"/>
          </w:tcPr>
          <w:p w14:paraId="51A712CF">
            <w:pPr>
              <w:adjustRightInd w:val="0"/>
              <w:snapToGrid w:val="0"/>
              <w:jc w:val="center"/>
              <w:rPr>
                <w:rFonts w:ascii="Times New Roman" w:hAnsi="Times New Roman" w:cs="Times New Roman"/>
                <w:b/>
                <w:color w:val="auto"/>
                <w:sz w:val="21"/>
              </w:rPr>
            </w:pPr>
            <w:bookmarkStart w:id="610" w:name="_Hlk25670554"/>
            <w:r>
              <w:rPr>
                <w:rFonts w:ascii="Times New Roman" w:hAnsi="Times New Roman" w:cs="Times New Roman"/>
                <w:b/>
                <w:color w:val="auto"/>
                <w:sz w:val="21"/>
              </w:rPr>
              <w:t>工程类别</w:t>
            </w:r>
          </w:p>
        </w:tc>
        <w:tc>
          <w:tcPr>
            <w:tcW w:w="641" w:type="pct"/>
            <w:gridSpan w:val="2"/>
            <w:vAlign w:val="center"/>
          </w:tcPr>
          <w:p w14:paraId="11895D34">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工程名称</w:t>
            </w:r>
          </w:p>
        </w:tc>
        <w:tc>
          <w:tcPr>
            <w:tcW w:w="1959" w:type="pct"/>
            <w:vAlign w:val="center"/>
          </w:tcPr>
          <w:p w14:paraId="4E22B905">
            <w:pPr>
              <w:adjustRightInd w:val="0"/>
              <w:snapToGrid w:val="0"/>
              <w:jc w:val="center"/>
              <w:rPr>
                <w:rFonts w:ascii="Times New Roman" w:hAnsi="Times New Roman" w:cs="Times New Roman"/>
                <w:b/>
                <w:color w:val="auto"/>
                <w:sz w:val="21"/>
                <w:lang w:eastAsia="zh-CN"/>
              </w:rPr>
            </w:pPr>
            <w:r>
              <w:rPr>
                <w:rFonts w:hint="eastAsia" w:ascii="Times New Roman" w:hAnsi="Times New Roman" w:cs="Times New Roman"/>
                <w:b/>
                <w:color w:val="auto"/>
                <w:sz w:val="21"/>
                <w:lang w:eastAsia="zh-CN"/>
              </w:rPr>
              <w:t>现有工程建设</w:t>
            </w:r>
            <w:r>
              <w:rPr>
                <w:rFonts w:ascii="Times New Roman" w:hAnsi="Times New Roman" w:cs="Times New Roman"/>
                <w:b/>
                <w:color w:val="auto"/>
                <w:sz w:val="21"/>
                <w:lang w:eastAsia="zh-CN"/>
              </w:rPr>
              <w:t>内容</w:t>
            </w:r>
            <w:r>
              <w:rPr>
                <w:rFonts w:hint="eastAsia" w:ascii="Times New Roman" w:hAnsi="Times New Roman" w:cs="Times New Roman"/>
                <w:b/>
                <w:color w:val="auto"/>
                <w:sz w:val="21"/>
                <w:lang w:eastAsia="zh-CN"/>
              </w:rPr>
              <w:t>及规模</w:t>
            </w:r>
          </w:p>
        </w:tc>
        <w:tc>
          <w:tcPr>
            <w:tcW w:w="1601" w:type="pct"/>
            <w:vAlign w:val="center"/>
          </w:tcPr>
          <w:p w14:paraId="5DC94ABD">
            <w:pPr>
              <w:adjustRightInd w:val="0"/>
              <w:snapToGrid w:val="0"/>
              <w:jc w:val="center"/>
              <w:rPr>
                <w:rFonts w:ascii="Times New Roman" w:hAnsi="Times New Roman" w:cs="Times New Roman"/>
                <w:b/>
                <w:color w:val="auto"/>
                <w:sz w:val="21"/>
                <w:lang w:eastAsia="zh-CN"/>
              </w:rPr>
            </w:pPr>
            <w:r>
              <w:rPr>
                <w:rFonts w:hint="eastAsia" w:ascii="Times New Roman" w:hAnsi="Times New Roman" w:cs="Times New Roman"/>
                <w:b/>
                <w:color w:val="auto"/>
                <w:sz w:val="21"/>
                <w:lang w:eastAsia="zh-CN"/>
              </w:rPr>
              <w:t>改扩建项目建设内容及规模</w:t>
            </w:r>
          </w:p>
        </w:tc>
        <w:tc>
          <w:tcPr>
            <w:tcW w:w="509" w:type="pct"/>
            <w:vAlign w:val="center"/>
          </w:tcPr>
          <w:p w14:paraId="0E450D01">
            <w:pPr>
              <w:adjustRightInd w:val="0"/>
              <w:snapToGrid w:val="0"/>
              <w:jc w:val="center"/>
              <w:rPr>
                <w:rFonts w:ascii="Times New Roman" w:hAnsi="Times New Roman" w:cs="Times New Roman"/>
                <w:b/>
                <w:color w:val="auto"/>
                <w:sz w:val="21"/>
                <w:lang w:eastAsia="zh-CN"/>
              </w:rPr>
            </w:pPr>
            <w:r>
              <w:rPr>
                <w:rFonts w:ascii="Times New Roman" w:hAnsi="Times New Roman" w:cs="Times New Roman"/>
                <w:b/>
                <w:color w:val="auto"/>
                <w:sz w:val="21"/>
                <w:lang w:eastAsia="zh-CN"/>
              </w:rPr>
              <w:t>备注</w:t>
            </w:r>
          </w:p>
        </w:tc>
      </w:tr>
      <w:tr w14:paraId="4EF5CE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restart"/>
            <w:vAlign w:val="center"/>
          </w:tcPr>
          <w:p w14:paraId="39C12990">
            <w:pPr>
              <w:adjustRightInd w:val="0"/>
              <w:snapToGrid w:val="0"/>
              <w:jc w:val="center"/>
              <w:rPr>
                <w:rFonts w:ascii="Times New Roman" w:hAnsi="Times New Roman" w:cs="Times New Roman"/>
                <w:sz w:val="21"/>
              </w:rPr>
            </w:pPr>
            <w:r>
              <w:rPr>
                <w:rFonts w:ascii="Times New Roman" w:hAnsi="Times New Roman" w:cs="Times New Roman"/>
                <w:sz w:val="21"/>
              </w:rPr>
              <w:t>主体</w:t>
            </w:r>
          </w:p>
          <w:p w14:paraId="4264400C">
            <w:pPr>
              <w:adjustRightInd w:val="0"/>
              <w:snapToGrid w:val="0"/>
              <w:jc w:val="center"/>
              <w:rPr>
                <w:rFonts w:ascii="Times New Roman" w:hAnsi="Times New Roman" w:cs="Times New Roman"/>
                <w:sz w:val="21"/>
              </w:rPr>
            </w:pPr>
            <w:r>
              <w:rPr>
                <w:rFonts w:ascii="Times New Roman" w:hAnsi="Times New Roman" w:cs="Times New Roman"/>
                <w:sz w:val="21"/>
              </w:rPr>
              <w:t>工程</w:t>
            </w:r>
          </w:p>
        </w:tc>
        <w:tc>
          <w:tcPr>
            <w:tcW w:w="641" w:type="pct"/>
            <w:gridSpan w:val="2"/>
            <w:vMerge w:val="restart"/>
            <w:vAlign w:val="center"/>
          </w:tcPr>
          <w:p w14:paraId="45CFCA86">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综合</w:t>
            </w:r>
            <w:r>
              <w:rPr>
                <w:rFonts w:ascii="Times New Roman" w:hAnsi="Times New Roman" w:cs="Times New Roman"/>
                <w:color w:val="auto"/>
                <w:sz w:val="21"/>
                <w:lang w:eastAsia="zh-CN"/>
              </w:rPr>
              <w:t>车间</w:t>
            </w:r>
            <w:r>
              <w:rPr>
                <w:rFonts w:hint="eastAsia" w:ascii="Times New Roman" w:hAnsi="Times New Roman" w:cs="Times New Roman"/>
                <w:color w:val="auto"/>
                <w:sz w:val="21"/>
                <w:lang w:eastAsia="zh-CN"/>
              </w:rPr>
              <w:t>（位于厂区东侧，1</w:t>
            </w:r>
            <w:r>
              <w:rPr>
                <w:rFonts w:ascii="Times New Roman" w:hAnsi="Times New Roman" w:cs="Times New Roman"/>
                <w:color w:val="auto"/>
                <w:sz w:val="21"/>
                <w:lang w:eastAsia="zh-CN"/>
              </w:rPr>
              <w:t>F</w:t>
            </w:r>
            <w:r>
              <w:rPr>
                <w:rFonts w:hint="eastAsia" w:ascii="Times New Roman" w:hAnsi="Times New Roman" w:cs="Times New Roman"/>
                <w:color w:val="auto"/>
                <w:sz w:val="21"/>
                <w:lang w:eastAsia="zh-CN"/>
              </w:rPr>
              <w:t>，H23.65</w:t>
            </w:r>
            <w:r>
              <w:rPr>
                <w:rFonts w:ascii="Times New Roman" w:hAnsi="Times New Roman" w:cs="Times New Roman"/>
                <w:color w:val="auto"/>
                <w:sz w:val="21"/>
                <w:lang w:eastAsia="zh-CN"/>
              </w:rPr>
              <w:t>m，</w:t>
            </w:r>
          </w:p>
          <w:p w14:paraId="7CF3275F">
            <w:pPr>
              <w:adjustRightInd w:val="0"/>
              <w:snapToGrid w:val="0"/>
              <w:jc w:val="center"/>
              <w:rPr>
                <w:rFonts w:ascii="Times New Roman" w:hAnsi="Times New Roman" w:cs="Times New Roman"/>
                <w:sz w:val="21"/>
                <w:lang w:eastAsia="zh-CN"/>
              </w:rPr>
            </w:pPr>
            <w:r>
              <w:rPr>
                <w:rFonts w:ascii="Times New Roman" w:hAnsi="Times New Roman" w:cs="Times New Roman"/>
                <w:color w:val="auto"/>
                <w:sz w:val="21"/>
                <w:lang w:eastAsia="zh-CN"/>
              </w:rPr>
              <w:t>面积</w:t>
            </w:r>
            <w:r>
              <w:rPr>
                <w:rFonts w:hint="eastAsia" w:ascii="Times New Roman" w:hAnsi="Times New Roman" w:cs="Times New Roman"/>
                <w:color w:val="auto"/>
                <w:sz w:val="21"/>
                <w:lang w:eastAsia="zh-CN"/>
              </w:rPr>
              <w:t>1922</w:t>
            </w:r>
            <w:r>
              <w:rPr>
                <w:rFonts w:ascii="Times New Roman" w:hAnsi="Times New Roman" w:cs="Times New Roman"/>
                <w:color w:val="auto"/>
                <w:sz w:val="21"/>
                <w:lang w:eastAsia="zh-CN"/>
              </w:rPr>
              <w:t>m</w:t>
            </w:r>
            <w:r>
              <w:rPr>
                <w:rFonts w:ascii="Times New Roman" w:hAnsi="Times New Roman" w:cs="Times New Roman"/>
                <w:color w:val="auto"/>
                <w:sz w:val="21"/>
                <w:vertAlign w:val="superscript"/>
                <w:lang w:eastAsia="zh-CN"/>
              </w:rPr>
              <w:t>2</w:t>
            </w:r>
            <w:r>
              <w:rPr>
                <w:rFonts w:hint="eastAsia" w:ascii="Times New Roman" w:hAnsi="Times New Roman" w:cs="Times New Roman"/>
                <w:color w:val="auto"/>
                <w:sz w:val="21"/>
                <w:lang w:eastAsia="zh-CN"/>
              </w:rPr>
              <w:t>）</w:t>
            </w:r>
          </w:p>
        </w:tc>
        <w:tc>
          <w:tcPr>
            <w:tcW w:w="1959" w:type="pct"/>
            <w:vAlign w:val="center"/>
          </w:tcPr>
          <w:p w14:paraId="0D9E4886">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601" w:type="pct"/>
            <w:vAlign w:val="center"/>
          </w:tcPr>
          <w:p w14:paraId="173A6FA9">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09" w:type="pct"/>
            <w:vAlign w:val="center"/>
          </w:tcPr>
          <w:p w14:paraId="37DA5B85">
            <w:pPr>
              <w:adjustRightInd w:val="0"/>
              <w:snapToGrid w:val="0"/>
              <w:jc w:val="center"/>
              <w:rPr>
                <w:rFonts w:ascii="Times New Roman" w:hAnsi="Times New Roman" w:cs="Times New Roman"/>
                <w:sz w:val="21"/>
                <w:lang w:eastAsia="zh-CN"/>
              </w:rPr>
            </w:pPr>
          </w:p>
        </w:tc>
      </w:tr>
      <w:tr w14:paraId="3814C1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continue"/>
            <w:vAlign w:val="center"/>
          </w:tcPr>
          <w:p w14:paraId="4DCE8655">
            <w:pPr>
              <w:adjustRightInd w:val="0"/>
              <w:snapToGrid w:val="0"/>
              <w:jc w:val="center"/>
              <w:rPr>
                <w:rFonts w:ascii="Times New Roman" w:hAnsi="Times New Roman" w:cs="Times New Roman"/>
                <w:sz w:val="21"/>
                <w:lang w:eastAsia="zh-CN"/>
              </w:rPr>
            </w:pPr>
          </w:p>
        </w:tc>
        <w:tc>
          <w:tcPr>
            <w:tcW w:w="641" w:type="pct"/>
            <w:gridSpan w:val="2"/>
            <w:vMerge w:val="continue"/>
            <w:vAlign w:val="center"/>
          </w:tcPr>
          <w:p w14:paraId="4D1192E2">
            <w:pPr>
              <w:adjustRightInd w:val="0"/>
              <w:snapToGrid w:val="0"/>
              <w:jc w:val="center"/>
              <w:rPr>
                <w:rFonts w:ascii="Times New Roman" w:hAnsi="Times New Roman" w:cs="Times New Roman"/>
                <w:sz w:val="21"/>
                <w:lang w:eastAsia="zh-CN"/>
              </w:rPr>
            </w:pPr>
          </w:p>
        </w:tc>
        <w:tc>
          <w:tcPr>
            <w:tcW w:w="1959" w:type="pct"/>
            <w:vAlign w:val="center"/>
          </w:tcPr>
          <w:p w14:paraId="363CB787">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601" w:type="pct"/>
            <w:vAlign w:val="center"/>
          </w:tcPr>
          <w:p w14:paraId="52597E33">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09" w:type="pct"/>
            <w:vAlign w:val="center"/>
          </w:tcPr>
          <w:p w14:paraId="4E4B414B">
            <w:pPr>
              <w:adjustRightInd w:val="0"/>
              <w:snapToGrid w:val="0"/>
              <w:jc w:val="center"/>
              <w:rPr>
                <w:rFonts w:ascii="Times New Roman" w:hAnsi="Times New Roman" w:cs="Times New Roman"/>
                <w:sz w:val="21"/>
                <w:lang w:eastAsia="zh-CN"/>
              </w:rPr>
            </w:pPr>
          </w:p>
        </w:tc>
      </w:tr>
      <w:tr w14:paraId="3A54E1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continue"/>
            <w:vAlign w:val="center"/>
          </w:tcPr>
          <w:p w14:paraId="52DB7417">
            <w:pPr>
              <w:adjustRightInd w:val="0"/>
              <w:snapToGrid w:val="0"/>
              <w:jc w:val="center"/>
              <w:rPr>
                <w:rFonts w:ascii="Times New Roman" w:hAnsi="Times New Roman" w:cs="Times New Roman"/>
                <w:sz w:val="21"/>
                <w:lang w:eastAsia="zh-CN"/>
              </w:rPr>
            </w:pPr>
          </w:p>
        </w:tc>
        <w:tc>
          <w:tcPr>
            <w:tcW w:w="641" w:type="pct"/>
            <w:gridSpan w:val="2"/>
            <w:vAlign w:val="center"/>
          </w:tcPr>
          <w:p w14:paraId="54611EAA">
            <w:pPr>
              <w:adjustRightInd w:val="0"/>
              <w:snapToGrid w:val="0"/>
              <w:jc w:val="center"/>
              <w:rPr>
                <w:rFonts w:ascii="Times New Roman" w:hAnsi="Times New Roman" w:cs="Times New Roman"/>
                <w:sz w:val="21"/>
                <w:lang w:eastAsia="zh-CN"/>
              </w:rPr>
            </w:pPr>
            <w:r>
              <w:rPr>
                <w:rFonts w:hint="eastAsia" w:ascii="Times New Roman" w:hAnsi="Times New Roman" w:cs="Times New Roman"/>
                <w:sz w:val="21"/>
                <w:lang w:eastAsia="zh-CN"/>
              </w:rPr>
              <w:t>刻蚀液混配车间</w:t>
            </w:r>
          </w:p>
          <w:p w14:paraId="7C2589B8">
            <w:pPr>
              <w:adjustRightInd w:val="0"/>
              <w:snapToGrid w:val="0"/>
              <w:jc w:val="center"/>
              <w:rPr>
                <w:rFonts w:ascii="Times New Roman" w:hAnsi="Times New Roman" w:cs="Times New Roman"/>
                <w:sz w:val="21"/>
                <w:lang w:eastAsia="zh-CN"/>
              </w:rPr>
            </w:pPr>
            <w:r>
              <w:rPr>
                <w:rFonts w:hint="eastAsia" w:ascii="Times New Roman" w:hAnsi="Times New Roman" w:cs="Times New Roman"/>
                <w:sz w:val="21"/>
                <w:lang w:eastAsia="zh-CN"/>
              </w:rPr>
              <w:t>（原五金机修间）</w:t>
            </w:r>
          </w:p>
        </w:tc>
        <w:tc>
          <w:tcPr>
            <w:tcW w:w="1959" w:type="pct"/>
            <w:vAlign w:val="center"/>
          </w:tcPr>
          <w:p w14:paraId="527ADD09">
            <w:pPr>
              <w:widowControl w:val="0"/>
              <w:adjustRightInd w:val="0"/>
              <w:snapToGrid w:val="0"/>
              <w:jc w:val="center"/>
              <w:rPr>
                <w:rFonts w:ascii="Times New Roman" w:hAnsi="Times New Roman" w:cs="Times New Roman"/>
                <w:color w:val="FF0000"/>
                <w:sz w:val="21"/>
                <w:lang w:eastAsia="zh-CN"/>
              </w:rPr>
            </w:pPr>
          </w:p>
        </w:tc>
        <w:tc>
          <w:tcPr>
            <w:tcW w:w="1601" w:type="pct"/>
            <w:vAlign w:val="center"/>
          </w:tcPr>
          <w:p w14:paraId="4721496F">
            <w:pPr>
              <w:widowControl w:val="0"/>
              <w:adjustRightInd w:val="0"/>
              <w:snapToGrid w:val="0"/>
              <w:jc w:val="center"/>
              <w:rPr>
                <w:rFonts w:ascii="Times New Roman" w:hAnsi="Times New Roman" w:cs="Times New Roman"/>
                <w:color w:val="FF0000"/>
                <w:sz w:val="21"/>
                <w:lang w:eastAsia="zh-CN"/>
              </w:rPr>
            </w:pPr>
          </w:p>
        </w:tc>
        <w:tc>
          <w:tcPr>
            <w:tcW w:w="509" w:type="pct"/>
            <w:vAlign w:val="center"/>
          </w:tcPr>
          <w:p w14:paraId="630B0F3F">
            <w:pPr>
              <w:adjustRightInd w:val="0"/>
              <w:snapToGrid w:val="0"/>
              <w:jc w:val="center"/>
              <w:rPr>
                <w:rFonts w:ascii="Times New Roman" w:hAnsi="Times New Roman" w:cs="Times New Roman"/>
                <w:color w:val="FF0000"/>
                <w:sz w:val="21"/>
                <w:lang w:eastAsia="zh-CN"/>
              </w:rPr>
            </w:pPr>
          </w:p>
        </w:tc>
      </w:tr>
      <w:tr w14:paraId="4DBBF9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restart"/>
            <w:vAlign w:val="center"/>
          </w:tcPr>
          <w:p w14:paraId="65603C4B">
            <w:pPr>
              <w:adjustRightInd w:val="0"/>
              <w:snapToGrid w:val="0"/>
              <w:jc w:val="center"/>
              <w:rPr>
                <w:rFonts w:ascii="Times New Roman" w:hAnsi="Times New Roman" w:cs="Times New Roman"/>
                <w:sz w:val="21"/>
              </w:rPr>
            </w:pPr>
            <w:r>
              <w:rPr>
                <w:rFonts w:ascii="Times New Roman" w:hAnsi="Times New Roman" w:cs="Times New Roman"/>
                <w:sz w:val="21"/>
              </w:rPr>
              <w:t>储运</w:t>
            </w:r>
          </w:p>
          <w:p w14:paraId="37F5F78B">
            <w:pPr>
              <w:adjustRightInd w:val="0"/>
              <w:snapToGrid w:val="0"/>
              <w:jc w:val="center"/>
              <w:rPr>
                <w:rFonts w:ascii="Times New Roman" w:hAnsi="Times New Roman" w:cs="Times New Roman"/>
                <w:sz w:val="21"/>
                <w:lang w:eastAsia="zh-CN"/>
              </w:rPr>
            </w:pPr>
            <w:r>
              <w:rPr>
                <w:rFonts w:ascii="Times New Roman" w:hAnsi="Times New Roman" w:cs="Times New Roman"/>
                <w:sz w:val="21"/>
              </w:rPr>
              <w:t>工程</w:t>
            </w:r>
          </w:p>
        </w:tc>
        <w:tc>
          <w:tcPr>
            <w:tcW w:w="641" w:type="pct"/>
            <w:gridSpan w:val="2"/>
            <w:vAlign w:val="center"/>
          </w:tcPr>
          <w:p w14:paraId="7226515B">
            <w:pPr>
              <w:adjustRightInd w:val="0"/>
              <w:snapToGrid w:val="0"/>
              <w:jc w:val="center"/>
              <w:rPr>
                <w:rFonts w:ascii="Times New Roman" w:hAnsi="Times New Roman" w:cs="Times New Roman"/>
                <w:sz w:val="21"/>
                <w:lang w:eastAsia="zh-CN"/>
              </w:rPr>
            </w:pPr>
            <w:r>
              <w:rPr>
                <w:rFonts w:hint="eastAsia" w:ascii="Times New Roman" w:hAnsi="Times New Roman" w:cs="Times New Roman"/>
                <w:sz w:val="21"/>
                <w:lang w:eastAsia="zh-CN"/>
              </w:rPr>
              <w:t>无水氟化氢库房</w:t>
            </w:r>
          </w:p>
        </w:tc>
        <w:tc>
          <w:tcPr>
            <w:tcW w:w="1959" w:type="pct"/>
            <w:vAlign w:val="center"/>
          </w:tcPr>
          <w:p w14:paraId="6D8EA755">
            <w:pPr>
              <w:adjustRightInd w:val="0"/>
              <w:snapToGrid w:val="0"/>
              <w:jc w:val="center"/>
              <w:rPr>
                <w:rFonts w:ascii="Times New Roman" w:hAnsi="Times New Roman" w:cs="Times New Roman"/>
                <w:color w:val="FF0000"/>
                <w:sz w:val="21"/>
                <w:lang w:eastAsia="zh-CN"/>
              </w:rPr>
            </w:pPr>
          </w:p>
        </w:tc>
        <w:tc>
          <w:tcPr>
            <w:tcW w:w="1601" w:type="pct"/>
            <w:vAlign w:val="center"/>
          </w:tcPr>
          <w:p w14:paraId="430C034C">
            <w:pPr>
              <w:adjustRightInd w:val="0"/>
              <w:snapToGrid w:val="0"/>
              <w:jc w:val="center"/>
              <w:rPr>
                <w:rFonts w:ascii="Times New Roman" w:hAnsi="Times New Roman" w:cs="Times New Roman"/>
                <w:color w:val="FF0000"/>
                <w:sz w:val="21"/>
                <w:lang w:eastAsia="zh-CN"/>
              </w:rPr>
            </w:pPr>
          </w:p>
        </w:tc>
        <w:tc>
          <w:tcPr>
            <w:tcW w:w="509" w:type="pct"/>
            <w:vAlign w:val="center"/>
          </w:tcPr>
          <w:p w14:paraId="3EE76289">
            <w:pPr>
              <w:adjustRightInd w:val="0"/>
              <w:snapToGrid w:val="0"/>
              <w:jc w:val="center"/>
              <w:rPr>
                <w:rFonts w:ascii="Times New Roman" w:hAnsi="Times New Roman" w:cs="Times New Roman"/>
                <w:sz w:val="21"/>
                <w:lang w:eastAsia="zh-CN"/>
              </w:rPr>
            </w:pPr>
          </w:p>
        </w:tc>
      </w:tr>
      <w:tr w14:paraId="0A8545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continue"/>
            <w:vAlign w:val="center"/>
          </w:tcPr>
          <w:p w14:paraId="07AAC9E4">
            <w:pPr>
              <w:adjustRightInd w:val="0"/>
              <w:snapToGrid w:val="0"/>
              <w:jc w:val="center"/>
              <w:rPr>
                <w:rFonts w:ascii="Times New Roman" w:hAnsi="Times New Roman" w:cs="Times New Roman"/>
                <w:sz w:val="21"/>
                <w:lang w:eastAsia="zh-CN"/>
              </w:rPr>
            </w:pPr>
          </w:p>
        </w:tc>
        <w:tc>
          <w:tcPr>
            <w:tcW w:w="641" w:type="pct"/>
            <w:gridSpan w:val="2"/>
            <w:vMerge w:val="restart"/>
            <w:vAlign w:val="center"/>
          </w:tcPr>
          <w:p w14:paraId="1E7C3B86">
            <w:pPr>
              <w:adjustRightInd w:val="0"/>
              <w:snapToGrid w:val="0"/>
              <w:jc w:val="center"/>
              <w:rPr>
                <w:rFonts w:ascii="Times New Roman" w:hAnsi="Times New Roman" w:cs="Times New Roman"/>
                <w:sz w:val="21"/>
                <w:lang w:eastAsia="zh-CN"/>
              </w:rPr>
            </w:pPr>
            <w:r>
              <w:rPr>
                <w:rFonts w:hint="eastAsia" w:ascii="Times New Roman" w:hAnsi="Times New Roman" w:cs="Times New Roman"/>
                <w:sz w:val="21"/>
                <w:lang w:eastAsia="zh-CN"/>
              </w:rPr>
              <w:t>原料及产品</w:t>
            </w:r>
            <w:r>
              <w:rPr>
                <w:rFonts w:ascii="Times New Roman" w:hAnsi="Times New Roman" w:cs="Times New Roman"/>
                <w:sz w:val="21"/>
                <w:lang w:eastAsia="zh-CN"/>
              </w:rPr>
              <w:t>罐区</w:t>
            </w:r>
          </w:p>
          <w:p w14:paraId="67C43744">
            <w:pPr>
              <w:adjustRightInd w:val="0"/>
              <w:snapToGrid w:val="0"/>
              <w:jc w:val="center"/>
              <w:rPr>
                <w:rFonts w:ascii="Times New Roman" w:hAnsi="Times New Roman" w:cs="Times New Roman"/>
                <w:sz w:val="21"/>
                <w:lang w:eastAsia="zh-CN"/>
              </w:rPr>
            </w:pPr>
            <w:r>
              <w:rPr>
                <w:rFonts w:hint="eastAsia" w:ascii="Times New Roman" w:hAnsi="Times New Roman" w:cs="Times New Roman"/>
                <w:sz w:val="21"/>
                <w:lang w:eastAsia="zh-CN"/>
              </w:rPr>
              <w:t>（</w:t>
            </w:r>
            <w:r>
              <w:rPr>
                <w:rFonts w:ascii="Times New Roman" w:hAnsi="Times New Roman" w:cs="Times New Roman"/>
                <w:sz w:val="21"/>
                <w:lang w:eastAsia="zh-CN"/>
              </w:rPr>
              <w:t>围堰尺寸51.6m×46.6m</w:t>
            </w:r>
          </w:p>
          <w:p w14:paraId="40412DA8">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×1.5m，各储罐</w:t>
            </w:r>
          </w:p>
          <w:p w14:paraId="3E736046">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中间设置0.5m</w:t>
            </w:r>
          </w:p>
          <w:p w14:paraId="3E0FE0D5">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高隔提</w:t>
            </w:r>
            <w:r>
              <w:rPr>
                <w:rFonts w:hint="eastAsia" w:ascii="Times New Roman" w:hAnsi="Times New Roman" w:cs="Times New Roman"/>
                <w:sz w:val="21"/>
                <w:lang w:eastAsia="zh-CN"/>
              </w:rPr>
              <w:t>）</w:t>
            </w:r>
          </w:p>
        </w:tc>
        <w:tc>
          <w:tcPr>
            <w:tcW w:w="1959" w:type="pct"/>
            <w:vAlign w:val="center"/>
          </w:tcPr>
          <w:p w14:paraId="001BFF37">
            <w:pPr>
              <w:adjustRightInd w:val="0"/>
              <w:snapToGrid w:val="0"/>
              <w:jc w:val="center"/>
              <w:rPr>
                <w:rFonts w:ascii="Times New Roman" w:hAnsi="Times New Roman" w:cs="Times New Roman"/>
                <w:color w:val="FF0000"/>
                <w:sz w:val="21"/>
                <w:lang w:eastAsia="zh-CN"/>
              </w:rPr>
            </w:pPr>
          </w:p>
        </w:tc>
        <w:tc>
          <w:tcPr>
            <w:tcW w:w="1601" w:type="pct"/>
            <w:vMerge w:val="restart"/>
            <w:vAlign w:val="center"/>
          </w:tcPr>
          <w:p w14:paraId="02311D48">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09" w:type="pct"/>
            <w:vMerge w:val="restart"/>
            <w:vAlign w:val="center"/>
          </w:tcPr>
          <w:p w14:paraId="313CF4BA">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r>
      <w:tr w14:paraId="7E0BE0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continue"/>
            <w:vAlign w:val="center"/>
          </w:tcPr>
          <w:p w14:paraId="331B3628">
            <w:pPr>
              <w:adjustRightInd w:val="0"/>
              <w:snapToGrid w:val="0"/>
              <w:jc w:val="center"/>
              <w:rPr>
                <w:rFonts w:ascii="Times New Roman" w:hAnsi="Times New Roman" w:cs="Times New Roman"/>
                <w:sz w:val="21"/>
                <w:lang w:eastAsia="zh-CN"/>
              </w:rPr>
            </w:pPr>
          </w:p>
        </w:tc>
        <w:tc>
          <w:tcPr>
            <w:tcW w:w="641" w:type="pct"/>
            <w:gridSpan w:val="2"/>
            <w:vMerge w:val="continue"/>
            <w:vAlign w:val="center"/>
          </w:tcPr>
          <w:p w14:paraId="35F960CB">
            <w:pPr>
              <w:adjustRightInd w:val="0"/>
              <w:snapToGrid w:val="0"/>
              <w:jc w:val="center"/>
              <w:rPr>
                <w:rFonts w:ascii="Times New Roman" w:hAnsi="Times New Roman" w:cs="Times New Roman"/>
                <w:sz w:val="21"/>
                <w:lang w:eastAsia="zh-CN"/>
              </w:rPr>
            </w:pPr>
          </w:p>
        </w:tc>
        <w:tc>
          <w:tcPr>
            <w:tcW w:w="1959" w:type="pct"/>
            <w:vAlign w:val="center"/>
          </w:tcPr>
          <w:p w14:paraId="3B03116E">
            <w:pPr>
              <w:adjustRightInd w:val="0"/>
              <w:snapToGrid w:val="0"/>
              <w:jc w:val="center"/>
              <w:rPr>
                <w:rFonts w:ascii="Times New Roman" w:hAnsi="Times New Roman" w:cs="Times New Roman"/>
                <w:color w:val="auto"/>
                <w:sz w:val="21"/>
                <w:lang w:eastAsia="zh-CN"/>
              </w:rPr>
            </w:pPr>
          </w:p>
        </w:tc>
        <w:tc>
          <w:tcPr>
            <w:tcW w:w="1601" w:type="pct"/>
            <w:vMerge w:val="continue"/>
            <w:vAlign w:val="center"/>
          </w:tcPr>
          <w:p w14:paraId="7FC07FF3">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09" w:type="pct"/>
            <w:vMerge w:val="continue"/>
            <w:vAlign w:val="center"/>
          </w:tcPr>
          <w:p w14:paraId="16F98910">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r>
      <w:tr w14:paraId="1C0885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continue"/>
            <w:vAlign w:val="center"/>
          </w:tcPr>
          <w:p w14:paraId="4FCF109F">
            <w:pPr>
              <w:adjustRightInd w:val="0"/>
              <w:snapToGrid w:val="0"/>
              <w:jc w:val="center"/>
              <w:rPr>
                <w:rFonts w:ascii="Times New Roman" w:hAnsi="Times New Roman" w:cs="Times New Roman"/>
                <w:sz w:val="21"/>
                <w:lang w:eastAsia="zh-CN"/>
              </w:rPr>
            </w:pPr>
          </w:p>
        </w:tc>
        <w:tc>
          <w:tcPr>
            <w:tcW w:w="641" w:type="pct"/>
            <w:gridSpan w:val="2"/>
            <w:vMerge w:val="continue"/>
            <w:vAlign w:val="center"/>
          </w:tcPr>
          <w:p w14:paraId="55BD7176">
            <w:pPr>
              <w:adjustRightInd w:val="0"/>
              <w:snapToGrid w:val="0"/>
              <w:jc w:val="center"/>
              <w:rPr>
                <w:rFonts w:ascii="Times New Roman" w:hAnsi="Times New Roman" w:cs="Times New Roman"/>
                <w:sz w:val="21"/>
                <w:lang w:eastAsia="zh-CN"/>
              </w:rPr>
            </w:pPr>
          </w:p>
        </w:tc>
        <w:tc>
          <w:tcPr>
            <w:tcW w:w="1959" w:type="pct"/>
            <w:vAlign w:val="center"/>
          </w:tcPr>
          <w:p w14:paraId="5FB6A391">
            <w:pPr>
              <w:adjustRightInd w:val="0"/>
              <w:snapToGrid w:val="0"/>
              <w:jc w:val="center"/>
              <w:rPr>
                <w:rFonts w:ascii="Times New Roman" w:hAnsi="Times New Roman" w:cs="Times New Roman"/>
                <w:color w:val="auto"/>
                <w:sz w:val="21"/>
                <w:lang w:eastAsia="zh-CN"/>
              </w:rPr>
            </w:pPr>
          </w:p>
        </w:tc>
        <w:tc>
          <w:tcPr>
            <w:tcW w:w="1601" w:type="pct"/>
            <w:vAlign w:val="center"/>
          </w:tcPr>
          <w:p w14:paraId="7CADDA7F">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09" w:type="pct"/>
            <w:vAlign w:val="center"/>
          </w:tcPr>
          <w:p w14:paraId="34A43EC3">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r>
      <w:tr w14:paraId="1F0547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continue"/>
            <w:vAlign w:val="center"/>
          </w:tcPr>
          <w:p w14:paraId="2981F71D">
            <w:pPr>
              <w:adjustRightInd w:val="0"/>
              <w:snapToGrid w:val="0"/>
              <w:jc w:val="center"/>
              <w:rPr>
                <w:rFonts w:ascii="Times New Roman" w:hAnsi="Times New Roman" w:cs="Times New Roman"/>
                <w:sz w:val="21"/>
                <w:lang w:eastAsia="zh-CN"/>
              </w:rPr>
            </w:pPr>
          </w:p>
        </w:tc>
        <w:tc>
          <w:tcPr>
            <w:tcW w:w="641" w:type="pct"/>
            <w:gridSpan w:val="2"/>
            <w:vMerge w:val="continue"/>
            <w:vAlign w:val="center"/>
          </w:tcPr>
          <w:p w14:paraId="79F1D71E">
            <w:pPr>
              <w:adjustRightInd w:val="0"/>
              <w:snapToGrid w:val="0"/>
              <w:jc w:val="center"/>
              <w:rPr>
                <w:rFonts w:ascii="Times New Roman" w:hAnsi="Times New Roman" w:cs="Times New Roman"/>
                <w:sz w:val="21"/>
                <w:lang w:eastAsia="zh-CN"/>
              </w:rPr>
            </w:pPr>
          </w:p>
        </w:tc>
        <w:tc>
          <w:tcPr>
            <w:tcW w:w="1959" w:type="pct"/>
            <w:vAlign w:val="center"/>
          </w:tcPr>
          <w:p w14:paraId="4DD693F5">
            <w:pPr>
              <w:adjustRightInd w:val="0"/>
              <w:snapToGrid w:val="0"/>
              <w:jc w:val="center"/>
              <w:rPr>
                <w:rFonts w:ascii="Times New Roman" w:hAnsi="Times New Roman" w:cs="Times New Roman"/>
                <w:color w:val="auto"/>
                <w:sz w:val="21"/>
                <w:lang w:eastAsia="zh-CN"/>
              </w:rPr>
            </w:pPr>
          </w:p>
        </w:tc>
        <w:tc>
          <w:tcPr>
            <w:tcW w:w="1601" w:type="pct"/>
            <w:vMerge w:val="restart"/>
            <w:vAlign w:val="center"/>
          </w:tcPr>
          <w:p w14:paraId="3BF6F3CC">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09" w:type="pct"/>
            <w:vMerge w:val="restart"/>
            <w:vAlign w:val="center"/>
          </w:tcPr>
          <w:p w14:paraId="0BF3B221">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r>
      <w:tr w14:paraId="27CAD5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continue"/>
            <w:vAlign w:val="center"/>
          </w:tcPr>
          <w:p w14:paraId="28C87779">
            <w:pPr>
              <w:adjustRightInd w:val="0"/>
              <w:snapToGrid w:val="0"/>
              <w:jc w:val="center"/>
              <w:rPr>
                <w:rFonts w:ascii="Times New Roman" w:hAnsi="Times New Roman" w:cs="Times New Roman"/>
                <w:sz w:val="21"/>
                <w:lang w:eastAsia="zh-CN"/>
              </w:rPr>
            </w:pPr>
          </w:p>
        </w:tc>
        <w:tc>
          <w:tcPr>
            <w:tcW w:w="641" w:type="pct"/>
            <w:gridSpan w:val="2"/>
            <w:vMerge w:val="continue"/>
            <w:vAlign w:val="center"/>
          </w:tcPr>
          <w:p w14:paraId="2D9C341A">
            <w:pPr>
              <w:adjustRightInd w:val="0"/>
              <w:snapToGrid w:val="0"/>
              <w:jc w:val="center"/>
              <w:rPr>
                <w:rFonts w:ascii="Times New Roman" w:hAnsi="Times New Roman" w:cs="Times New Roman"/>
                <w:sz w:val="21"/>
                <w:lang w:eastAsia="zh-CN"/>
              </w:rPr>
            </w:pPr>
          </w:p>
        </w:tc>
        <w:tc>
          <w:tcPr>
            <w:tcW w:w="1959" w:type="pct"/>
            <w:vAlign w:val="center"/>
          </w:tcPr>
          <w:p w14:paraId="5C87866F">
            <w:pPr>
              <w:adjustRightInd w:val="0"/>
              <w:snapToGrid w:val="0"/>
              <w:jc w:val="center"/>
              <w:rPr>
                <w:rFonts w:ascii="Times New Roman" w:hAnsi="Times New Roman" w:cs="Times New Roman"/>
                <w:color w:val="auto"/>
                <w:sz w:val="21"/>
                <w:lang w:eastAsia="zh-CN"/>
              </w:rPr>
            </w:pPr>
          </w:p>
        </w:tc>
        <w:tc>
          <w:tcPr>
            <w:tcW w:w="1601" w:type="pct"/>
            <w:vMerge w:val="continue"/>
            <w:vAlign w:val="center"/>
          </w:tcPr>
          <w:p w14:paraId="563D4AFB">
            <w:pPr>
              <w:adjustRightInd w:val="0"/>
              <w:snapToGrid w:val="0"/>
              <w:jc w:val="center"/>
              <w:rPr>
                <w:rFonts w:ascii="Times New Roman" w:hAnsi="Times New Roman" w:cs="Times New Roman"/>
                <w:color w:val="FF0000"/>
                <w:sz w:val="21"/>
                <w:lang w:eastAsia="zh-CN"/>
              </w:rPr>
            </w:pPr>
          </w:p>
        </w:tc>
        <w:tc>
          <w:tcPr>
            <w:tcW w:w="509" w:type="pct"/>
            <w:vMerge w:val="continue"/>
            <w:vAlign w:val="center"/>
          </w:tcPr>
          <w:p w14:paraId="0872664A">
            <w:pPr>
              <w:adjustRightInd w:val="0"/>
              <w:snapToGrid w:val="0"/>
              <w:jc w:val="center"/>
              <w:rPr>
                <w:rFonts w:ascii="Times New Roman" w:hAnsi="Times New Roman" w:cs="Times New Roman"/>
                <w:sz w:val="21"/>
                <w:lang w:eastAsia="zh-CN"/>
              </w:rPr>
            </w:pPr>
          </w:p>
        </w:tc>
      </w:tr>
      <w:tr w14:paraId="6C2B39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continue"/>
            <w:vAlign w:val="center"/>
          </w:tcPr>
          <w:p w14:paraId="766292E7">
            <w:pPr>
              <w:adjustRightInd w:val="0"/>
              <w:snapToGrid w:val="0"/>
              <w:jc w:val="center"/>
              <w:rPr>
                <w:rFonts w:ascii="Times New Roman" w:hAnsi="Times New Roman" w:cs="Times New Roman"/>
                <w:sz w:val="21"/>
                <w:lang w:eastAsia="zh-CN"/>
              </w:rPr>
            </w:pPr>
          </w:p>
        </w:tc>
        <w:tc>
          <w:tcPr>
            <w:tcW w:w="641" w:type="pct"/>
            <w:gridSpan w:val="2"/>
            <w:vMerge w:val="restart"/>
            <w:vAlign w:val="center"/>
          </w:tcPr>
          <w:p w14:paraId="73BC67EB">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戊类罐区二</w:t>
            </w:r>
          </w:p>
          <w:p w14:paraId="40485FDC">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w:t>
            </w:r>
            <w:r>
              <w:rPr>
                <w:rFonts w:ascii="Times New Roman" w:hAnsi="Times New Roman" w:cs="Times New Roman"/>
                <w:color w:val="000000" w:themeColor="text1"/>
                <w:sz w:val="21"/>
                <w:lang w:eastAsia="zh-CN"/>
                <w14:textFill>
                  <w14:solidFill>
                    <w14:schemeClr w14:val="tx1"/>
                  </w14:solidFill>
                </w14:textFill>
              </w:rPr>
              <w:t>围堰尺寸</w:t>
            </w:r>
            <w:r>
              <w:rPr>
                <w:rFonts w:hint="eastAsia" w:ascii="Times New Roman" w:hAnsi="Times New Roman" w:cs="Times New Roman"/>
                <w:color w:val="000000" w:themeColor="text1"/>
                <w:sz w:val="21"/>
                <w:lang w:eastAsia="zh-CN"/>
                <w14:textFill>
                  <w14:solidFill>
                    <w14:schemeClr w14:val="tx1"/>
                  </w14:solidFill>
                </w14:textFill>
              </w:rPr>
              <w:t>75.1</w:t>
            </w:r>
            <w:r>
              <w:rPr>
                <w:rFonts w:ascii="Times New Roman" w:hAnsi="Times New Roman" w:cs="Times New Roman"/>
                <w:color w:val="000000" w:themeColor="text1"/>
                <w:sz w:val="21"/>
                <w:lang w:eastAsia="zh-CN"/>
                <w14:textFill>
                  <w14:solidFill>
                    <w14:schemeClr w14:val="tx1"/>
                  </w14:solidFill>
                </w14:textFill>
              </w:rPr>
              <w:t>m×</w:t>
            </w:r>
            <w:r>
              <w:rPr>
                <w:rFonts w:hint="eastAsia" w:ascii="Times New Roman" w:hAnsi="Times New Roman" w:cs="Times New Roman"/>
                <w:color w:val="000000" w:themeColor="text1"/>
                <w:sz w:val="21"/>
                <w:lang w:eastAsia="zh-CN"/>
                <w14:textFill>
                  <w14:solidFill>
                    <w14:schemeClr w14:val="tx1"/>
                  </w14:solidFill>
                </w14:textFill>
              </w:rPr>
              <w:t>49.6</w:t>
            </w:r>
            <w:r>
              <w:rPr>
                <w:rFonts w:ascii="Times New Roman" w:hAnsi="Times New Roman" w:cs="Times New Roman"/>
                <w:color w:val="000000" w:themeColor="text1"/>
                <w:sz w:val="21"/>
                <w:lang w:eastAsia="zh-CN"/>
                <w14:textFill>
                  <w14:solidFill>
                    <w14:schemeClr w14:val="tx1"/>
                  </w14:solidFill>
                </w14:textFill>
              </w:rPr>
              <w:t>m</w:t>
            </w:r>
          </w:p>
          <w:p w14:paraId="0E719E09">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×1.5m，各储罐</w:t>
            </w:r>
          </w:p>
          <w:p w14:paraId="1F34A314">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中间设置0.5m</w:t>
            </w:r>
          </w:p>
          <w:p w14:paraId="3EAAA533">
            <w:pPr>
              <w:adjustRightInd w:val="0"/>
              <w:snapToGrid w:val="0"/>
              <w:jc w:val="center"/>
              <w:rPr>
                <w:rFonts w:ascii="Times New Roman" w:hAnsi="Times New Roman" w:cs="Times New Roman"/>
                <w:sz w:val="21"/>
                <w:lang w:eastAsia="zh-CN"/>
              </w:rPr>
            </w:pPr>
            <w:r>
              <w:rPr>
                <w:rFonts w:ascii="Times New Roman" w:hAnsi="Times New Roman" w:cs="Times New Roman"/>
                <w:color w:val="000000" w:themeColor="text1"/>
                <w:sz w:val="21"/>
                <w:lang w:eastAsia="zh-CN"/>
                <w14:textFill>
                  <w14:solidFill>
                    <w14:schemeClr w14:val="tx1"/>
                  </w14:solidFill>
                </w14:textFill>
              </w:rPr>
              <w:t>高隔提</w:t>
            </w:r>
            <w:r>
              <w:rPr>
                <w:rFonts w:hint="eastAsia" w:ascii="Times New Roman" w:hAnsi="Times New Roman" w:cs="Times New Roman"/>
                <w:color w:val="000000" w:themeColor="text1"/>
                <w:sz w:val="21"/>
                <w:lang w:eastAsia="zh-CN"/>
                <w14:textFill>
                  <w14:solidFill>
                    <w14:schemeClr w14:val="tx1"/>
                  </w14:solidFill>
                </w14:textFill>
              </w:rPr>
              <w:t>）</w:t>
            </w:r>
          </w:p>
        </w:tc>
        <w:tc>
          <w:tcPr>
            <w:tcW w:w="1959" w:type="pct"/>
            <w:vAlign w:val="center"/>
          </w:tcPr>
          <w:p w14:paraId="339063FA">
            <w:pPr>
              <w:adjustRightInd w:val="0"/>
              <w:snapToGrid w:val="0"/>
              <w:jc w:val="center"/>
              <w:rPr>
                <w:rFonts w:ascii="Times New Roman" w:hAnsi="Times New Roman" w:cs="Times New Roman"/>
                <w:color w:val="auto"/>
                <w:sz w:val="21"/>
                <w:lang w:eastAsia="zh-CN"/>
              </w:rPr>
            </w:pPr>
          </w:p>
        </w:tc>
        <w:tc>
          <w:tcPr>
            <w:tcW w:w="1601" w:type="pct"/>
            <w:vAlign w:val="center"/>
          </w:tcPr>
          <w:p w14:paraId="45584E7A">
            <w:pPr>
              <w:adjustRightInd w:val="0"/>
              <w:snapToGrid w:val="0"/>
              <w:jc w:val="center"/>
              <w:rPr>
                <w:rFonts w:ascii="Times New Roman" w:hAnsi="Times New Roman" w:cs="Times New Roman"/>
                <w:color w:val="auto"/>
                <w:sz w:val="21"/>
                <w:lang w:eastAsia="zh-CN"/>
              </w:rPr>
            </w:pPr>
          </w:p>
        </w:tc>
        <w:tc>
          <w:tcPr>
            <w:tcW w:w="509" w:type="pct"/>
            <w:vMerge w:val="restart"/>
            <w:vAlign w:val="center"/>
          </w:tcPr>
          <w:p w14:paraId="67C7844C">
            <w:pPr>
              <w:adjustRightInd w:val="0"/>
              <w:snapToGrid w:val="0"/>
              <w:jc w:val="center"/>
              <w:rPr>
                <w:rFonts w:ascii="Times New Roman" w:hAnsi="Times New Roman" w:cs="Times New Roman"/>
                <w:sz w:val="21"/>
                <w:lang w:eastAsia="zh-CN"/>
              </w:rPr>
            </w:pPr>
          </w:p>
        </w:tc>
      </w:tr>
      <w:tr w14:paraId="705E93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continue"/>
            <w:vAlign w:val="center"/>
          </w:tcPr>
          <w:p w14:paraId="099DEF1E">
            <w:pPr>
              <w:adjustRightInd w:val="0"/>
              <w:snapToGrid w:val="0"/>
              <w:jc w:val="center"/>
              <w:rPr>
                <w:rFonts w:ascii="Times New Roman" w:hAnsi="Times New Roman" w:cs="Times New Roman"/>
                <w:sz w:val="21"/>
                <w:lang w:eastAsia="zh-CN"/>
              </w:rPr>
            </w:pPr>
          </w:p>
        </w:tc>
        <w:tc>
          <w:tcPr>
            <w:tcW w:w="641" w:type="pct"/>
            <w:gridSpan w:val="2"/>
            <w:vMerge w:val="continue"/>
            <w:vAlign w:val="center"/>
          </w:tcPr>
          <w:p w14:paraId="0AEAFF89">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959" w:type="pct"/>
            <w:vAlign w:val="center"/>
          </w:tcPr>
          <w:p w14:paraId="7459CFA2">
            <w:pPr>
              <w:adjustRightInd w:val="0"/>
              <w:snapToGrid w:val="0"/>
              <w:jc w:val="center"/>
              <w:rPr>
                <w:rFonts w:ascii="Times New Roman" w:hAnsi="Times New Roman" w:cs="Times New Roman"/>
                <w:color w:val="auto"/>
                <w:sz w:val="21"/>
                <w:lang w:eastAsia="zh-CN"/>
              </w:rPr>
            </w:pPr>
          </w:p>
        </w:tc>
        <w:tc>
          <w:tcPr>
            <w:tcW w:w="1601" w:type="pct"/>
            <w:vAlign w:val="center"/>
          </w:tcPr>
          <w:p w14:paraId="347F61C7">
            <w:pPr>
              <w:adjustRightInd w:val="0"/>
              <w:snapToGrid w:val="0"/>
              <w:jc w:val="center"/>
              <w:rPr>
                <w:rFonts w:ascii="Times New Roman" w:hAnsi="Times New Roman" w:cs="Times New Roman"/>
                <w:color w:val="auto"/>
                <w:sz w:val="21"/>
                <w:lang w:eastAsia="zh-CN"/>
              </w:rPr>
            </w:pPr>
          </w:p>
        </w:tc>
        <w:tc>
          <w:tcPr>
            <w:tcW w:w="509" w:type="pct"/>
            <w:vMerge w:val="continue"/>
            <w:vAlign w:val="center"/>
          </w:tcPr>
          <w:p w14:paraId="15D6E6BD">
            <w:pPr>
              <w:adjustRightInd w:val="0"/>
              <w:snapToGrid w:val="0"/>
              <w:jc w:val="center"/>
              <w:rPr>
                <w:rFonts w:ascii="Times New Roman" w:hAnsi="Times New Roman" w:cs="Times New Roman"/>
                <w:sz w:val="21"/>
                <w:lang w:eastAsia="zh-CN"/>
              </w:rPr>
            </w:pPr>
          </w:p>
        </w:tc>
      </w:tr>
      <w:tr w14:paraId="232C18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continue"/>
            <w:vAlign w:val="center"/>
          </w:tcPr>
          <w:p w14:paraId="16760EF4">
            <w:pPr>
              <w:adjustRightInd w:val="0"/>
              <w:snapToGrid w:val="0"/>
              <w:jc w:val="center"/>
              <w:rPr>
                <w:rFonts w:ascii="Times New Roman" w:hAnsi="Times New Roman" w:cs="Times New Roman"/>
                <w:sz w:val="21"/>
                <w:lang w:eastAsia="zh-CN"/>
              </w:rPr>
            </w:pPr>
          </w:p>
        </w:tc>
        <w:tc>
          <w:tcPr>
            <w:tcW w:w="641" w:type="pct"/>
            <w:gridSpan w:val="2"/>
            <w:vMerge w:val="continue"/>
            <w:vAlign w:val="center"/>
          </w:tcPr>
          <w:p w14:paraId="4A28602F">
            <w:pPr>
              <w:adjustRightInd w:val="0"/>
              <w:snapToGrid w:val="0"/>
              <w:jc w:val="center"/>
              <w:rPr>
                <w:rFonts w:ascii="Times New Roman" w:hAnsi="Times New Roman" w:cs="Times New Roman"/>
                <w:sz w:val="21"/>
                <w:lang w:eastAsia="zh-CN"/>
              </w:rPr>
            </w:pPr>
          </w:p>
        </w:tc>
        <w:tc>
          <w:tcPr>
            <w:tcW w:w="1959" w:type="pct"/>
            <w:vAlign w:val="center"/>
          </w:tcPr>
          <w:p w14:paraId="09FED819">
            <w:pPr>
              <w:adjustRightInd w:val="0"/>
              <w:snapToGrid w:val="0"/>
              <w:jc w:val="center"/>
              <w:rPr>
                <w:rFonts w:ascii="Times New Roman" w:hAnsi="Times New Roman" w:cs="Times New Roman"/>
                <w:color w:val="auto"/>
                <w:sz w:val="21"/>
                <w:lang w:eastAsia="zh-CN"/>
              </w:rPr>
            </w:pPr>
          </w:p>
        </w:tc>
        <w:tc>
          <w:tcPr>
            <w:tcW w:w="1601" w:type="pct"/>
            <w:vAlign w:val="center"/>
          </w:tcPr>
          <w:p w14:paraId="10B4F593">
            <w:pPr>
              <w:adjustRightInd w:val="0"/>
              <w:snapToGrid w:val="0"/>
              <w:jc w:val="center"/>
              <w:rPr>
                <w:rFonts w:ascii="Times New Roman" w:hAnsi="Times New Roman" w:cs="Times New Roman"/>
                <w:color w:val="auto"/>
                <w:sz w:val="21"/>
                <w:lang w:eastAsia="zh-CN"/>
              </w:rPr>
            </w:pPr>
          </w:p>
        </w:tc>
        <w:tc>
          <w:tcPr>
            <w:tcW w:w="509" w:type="pct"/>
            <w:vMerge w:val="continue"/>
            <w:vAlign w:val="center"/>
          </w:tcPr>
          <w:p w14:paraId="093DCE9D">
            <w:pPr>
              <w:adjustRightInd w:val="0"/>
              <w:snapToGrid w:val="0"/>
              <w:jc w:val="center"/>
              <w:rPr>
                <w:rFonts w:ascii="Times New Roman" w:hAnsi="Times New Roman" w:cs="Times New Roman"/>
                <w:sz w:val="21"/>
                <w:lang w:eastAsia="zh-CN"/>
              </w:rPr>
            </w:pPr>
          </w:p>
        </w:tc>
      </w:tr>
      <w:tr w14:paraId="24DC0F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continue"/>
            <w:vAlign w:val="center"/>
          </w:tcPr>
          <w:p w14:paraId="35C59734">
            <w:pPr>
              <w:adjustRightInd w:val="0"/>
              <w:snapToGrid w:val="0"/>
              <w:jc w:val="center"/>
              <w:rPr>
                <w:rFonts w:ascii="Times New Roman" w:hAnsi="Times New Roman" w:cs="Times New Roman"/>
                <w:color w:val="FF0000"/>
                <w:sz w:val="21"/>
                <w:lang w:eastAsia="zh-CN"/>
              </w:rPr>
            </w:pPr>
          </w:p>
        </w:tc>
        <w:tc>
          <w:tcPr>
            <w:tcW w:w="641" w:type="pct"/>
            <w:gridSpan w:val="2"/>
            <w:vAlign w:val="center"/>
          </w:tcPr>
          <w:p w14:paraId="78468499">
            <w:pPr>
              <w:adjustRightInd w:val="0"/>
              <w:snapToGrid w:val="0"/>
              <w:jc w:val="center"/>
              <w:rPr>
                <w:rFonts w:ascii="Times New Roman" w:hAnsi="Times New Roman" w:cs="Times New Roman"/>
                <w:sz w:val="21"/>
                <w:lang w:eastAsia="zh-CN"/>
              </w:rPr>
            </w:pPr>
            <w:r>
              <w:rPr>
                <w:rFonts w:hint="eastAsia" w:ascii="Times New Roman" w:hAnsi="Times New Roman" w:cs="Times New Roman"/>
                <w:sz w:val="21"/>
                <w:lang w:eastAsia="zh-CN"/>
              </w:rPr>
              <w:t>丁类仓库</w:t>
            </w:r>
          </w:p>
        </w:tc>
        <w:tc>
          <w:tcPr>
            <w:tcW w:w="1959" w:type="pct"/>
            <w:vAlign w:val="center"/>
          </w:tcPr>
          <w:p w14:paraId="5CF87DE7">
            <w:pPr>
              <w:adjustRightInd w:val="0"/>
              <w:snapToGrid w:val="0"/>
              <w:jc w:val="center"/>
              <w:rPr>
                <w:rFonts w:ascii="Times New Roman" w:hAnsi="Times New Roman" w:cs="Times New Roman"/>
                <w:color w:val="FF0000"/>
                <w:sz w:val="21"/>
                <w:lang w:eastAsia="zh-CN"/>
              </w:rPr>
            </w:pPr>
          </w:p>
        </w:tc>
        <w:tc>
          <w:tcPr>
            <w:tcW w:w="1601" w:type="pct"/>
            <w:vAlign w:val="center"/>
          </w:tcPr>
          <w:p w14:paraId="4459D233">
            <w:pPr>
              <w:adjustRightInd w:val="0"/>
              <w:snapToGrid w:val="0"/>
              <w:jc w:val="center"/>
              <w:rPr>
                <w:rFonts w:ascii="Times New Roman" w:hAnsi="Times New Roman" w:cs="Times New Roman"/>
                <w:color w:val="FF0000"/>
                <w:sz w:val="21"/>
                <w:lang w:eastAsia="zh-CN"/>
              </w:rPr>
            </w:pPr>
          </w:p>
        </w:tc>
        <w:tc>
          <w:tcPr>
            <w:tcW w:w="509" w:type="pct"/>
            <w:vAlign w:val="center"/>
          </w:tcPr>
          <w:p w14:paraId="44E1C8AB">
            <w:pPr>
              <w:adjustRightInd w:val="0"/>
              <w:snapToGrid w:val="0"/>
              <w:jc w:val="center"/>
              <w:rPr>
                <w:rFonts w:ascii="Times New Roman" w:hAnsi="Times New Roman" w:cs="Times New Roman"/>
                <w:color w:val="FF0000"/>
                <w:sz w:val="21"/>
                <w:lang w:eastAsia="zh-CN"/>
              </w:rPr>
            </w:pPr>
          </w:p>
        </w:tc>
      </w:tr>
      <w:tr w14:paraId="168952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restart"/>
            <w:vAlign w:val="center"/>
          </w:tcPr>
          <w:p w14:paraId="2943EC3E">
            <w:pPr>
              <w:adjustRightInd w:val="0"/>
              <w:snapToGrid w:val="0"/>
              <w:jc w:val="center"/>
              <w:rPr>
                <w:rFonts w:ascii="Times New Roman" w:hAnsi="Times New Roman" w:cs="Times New Roman"/>
                <w:sz w:val="21"/>
              </w:rPr>
            </w:pPr>
            <w:r>
              <w:rPr>
                <w:rFonts w:ascii="Times New Roman" w:hAnsi="Times New Roman" w:cs="Times New Roman"/>
                <w:sz w:val="21"/>
              </w:rPr>
              <w:t>辅助</w:t>
            </w:r>
          </w:p>
          <w:p w14:paraId="2DCAD640">
            <w:pPr>
              <w:adjustRightInd w:val="0"/>
              <w:snapToGrid w:val="0"/>
              <w:jc w:val="center"/>
              <w:rPr>
                <w:rFonts w:ascii="Times New Roman" w:hAnsi="Times New Roman" w:cs="Times New Roman"/>
                <w:color w:val="FF0000"/>
                <w:sz w:val="21"/>
              </w:rPr>
            </w:pPr>
            <w:r>
              <w:rPr>
                <w:rFonts w:ascii="Times New Roman" w:hAnsi="Times New Roman" w:cs="Times New Roman"/>
                <w:sz w:val="21"/>
              </w:rPr>
              <w:t>工程</w:t>
            </w:r>
          </w:p>
        </w:tc>
        <w:tc>
          <w:tcPr>
            <w:tcW w:w="641" w:type="pct"/>
            <w:gridSpan w:val="2"/>
            <w:vAlign w:val="center"/>
          </w:tcPr>
          <w:p w14:paraId="598A12EA">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办公</w:t>
            </w:r>
            <w:r>
              <w:rPr>
                <w:rFonts w:hint="eastAsia" w:ascii="Times New Roman" w:hAnsi="Times New Roman" w:cs="Times New Roman"/>
                <w:sz w:val="21"/>
                <w:lang w:eastAsia="zh-CN"/>
              </w:rPr>
              <w:t>综合</w:t>
            </w:r>
            <w:r>
              <w:rPr>
                <w:rFonts w:ascii="Times New Roman" w:hAnsi="Times New Roman" w:cs="Times New Roman"/>
                <w:sz w:val="21"/>
                <w:lang w:eastAsia="zh-CN"/>
              </w:rPr>
              <w:t>楼</w:t>
            </w:r>
          </w:p>
        </w:tc>
        <w:tc>
          <w:tcPr>
            <w:tcW w:w="1959" w:type="pct"/>
            <w:vAlign w:val="center"/>
          </w:tcPr>
          <w:p w14:paraId="79965E34">
            <w:pPr>
              <w:adjustRightInd w:val="0"/>
              <w:snapToGrid w:val="0"/>
              <w:jc w:val="center"/>
              <w:rPr>
                <w:rFonts w:ascii="Times New Roman" w:hAnsi="Times New Roman" w:cs="Times New Roman"/>
                <w:color w:val="FF0000"/>
                <w:sz w:val="21"/>
                <w:lang w:eastAsia="zh-CN"/>
              </w:rPr>
            </w:pPr>
          </w:p>
        </w:tc>
        <w:tc>
          <w:tcPr>
            <w:tcW w:w="1601" w:type="pct"/>
            <w:vAlign w:val="center"/>
          </w:tcPr>
          <w:p w14:paraId="210487A8">
            <w:pPr>
              <w:adjustRightInd w:val="0"/>
              <w:snapToGrid w:val="0"/>
              <w:jc w:val="center"/>
              <w:rPr>
                <w:rFonts w:ascii="Times New Roman" w:hAnsi="Times New Roman" w:cs="Times New Roman"/>
                <w:color w:val="auto"/>
                <w:sz w:val="21"/>
                <w:lang w:eastAsia="zh-CN"/>
              </w:rPr>
            </w:pPr>
          </w:p>
        </w:tc>
        <w:tc>
          <w:tcPr>
            <w:tcW w:w="509" w:type="pct"/>
            <w:vMerge w:val="restart"/>
            <w:vAlign w:val="center"/>
          </w:tcPr>
          <w:p w14:paraId="45D4FA0B">
            <w:pPr>
              <w:widowControl w:val="0"/>
              <w:adjustRightInd w:val="0"/>
              <w:snapToGrid w:val="0"/>
              <w:jc w:val="center"/>
              <w:rPr>
                <w:rFonts w:ascii="Times New Roman" w:hAnsi="Times New Roman" w:cs="Times New Roman"/>
                <w:color w:val="FF0000"/>
                <w:sz w:val="21"/>
                <w:lang w:eastAsia="zh-CN"/>
              </w:rPr>
            </w:pPr>
          </w:p>
        </w:tc>
      </w:tr>
      <w:tr w14:paraId="57ABF9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continue"/>
            <w:vAlign w:val="center"/>
          </w:tcPr>
          <w:p w14:paraId="125A7B29">
            <w:pPr>
              <w:adjustRightInd w:val="0"/>
              <w:snapToGrid w:val="0"/>
              <w:jc w:val="center"/>
              <w:rPr>
                <w:rFonts w:ascii="Times New Roman" w:hAnsi="Times New Roman" w:cs="Times New Roman"/>
                <w:sz w:val="21"/>
              </w:rPr>
            </w:pPr>
          </w:p>
        </w:tc>
        <w:tc>
          <w:tcPr>
            <w:tcW w:w="641" w:type="pct"/>
            <w:gridSpan w:val="2"/>
            <w:vAlign w:val="center"/>
          </w:tcPr>
          <w:p w14:paraId="34339CA7">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辅助用房</w:t>
            </w:r>
          </w:p>
        </w:tc>
        <w:tc>
          <w:tcPr>
            <w:tcW w:w="1959" w:type="pct"/>
            <w:vAlign w:val="center"/>
          </w:tcPr>
          <w:p w14:paraId="3B0D7475">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601" w:type="pct"/>
            <w:vAlign w:val="center"/>
          </w:tcPr>
          <w:p w14:paraId="0E39726A">
            <w:pPr>
              <w:adjustRightInd w:val="0"/>
              <w:snapToGrid w:val="0"/>
              <w:jc w:val="center"/>
              <w:rPr>
                <w:rFonts w:ascii="Times New Roman" w:hAnsi="Times New Roman" w:cs="Times New Roman"/>
                <w:color w:val="auto"/>
                <w:sz w:val="21"/>
                <w:lang w:eastAsia="zh-CN"/>
              </w:rPr>
            </w:pPr>
          </w:p>
        </w:tc>
        <w:tc>
          <w:tcPr>
            <w:tcW w:w="509" w:type="pct"/>
            <w:vMerge w:val="continue"/>
            <w:vAlign w:val="center"/>
          </w:tcPr>
          <w:p w14:paraId="4CE7120A">
            <w:pPr>
              <w:widowControl w:val="0"/>
              <w:adjustRightInd w:val="0"/>
              <w:snapToGrid w:val="0"/>
              <w:jc w:val="center"/>
              <w:rPr>
                <w:rFonts w:ascii="Times New Roman" w:hAnsi="Times New Roman" w:cs="Times New Roman"/>
                <w:sz w:val="21"/>
                <w:lang w:eastAsia="zh-CN"/>
              </w:rPr>
            </w:pPr>
          </w:p>
        </w:tc>
      </w:tr>
      <w:tr w14:paraId="1411A5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continue"/>
            <w:vAlign w:val="center"/>
          </w:tcPr>
          <w:p w14:paraId="71040D6C">
            <w:pPr>
              <w:adjustRightInd w:val="0"/>
              <w:snapToGrid w:val="0"/>
              <w:jc w:val="center"/>
              <w:rPr>
                <w:rFonts w:ascii="Times New Roman" w:hAnsi="Times New Roman" w:cs="Times New Roman"/>
                <w:sz w:val="21"/>
                <w:lang w:eastAsia="zh-CN"/>
              </w:rPr>
            </w:pPr>
          </w:p>
        </w:tc>
        <w:tc>
          <w:tcPr>
            <w:tcW w:w="641" w:type="pct"/>
            <w:gridSpan w:val="2"/>
            <w:vAlign w:val="center"/>
          </w:tcPr>
          <w:p w14:paraId="4383D136">
            <w:pPr>
              <w:adjustRightInd w:val="0"/>
              <w:snapToGrid w:val="0"/>
              <w:jc w:val="center"/>
              <w:rPr>
                <w:rFonts w:ascii="Times New Roman" w:hAnsi="Times New Roman" w:cs="Times New Roman"/>
                <w:sz w:val="21"/>
                <w:lang w:eastAsia="zh-CN"/>
              </w:rPr>
            </w:pPr>
            <w:r>
              <w:rPr>
                <w:rFonts w:ascii="Times New Roman" w:hAnsi="Times New Roman" w:cs="Times New Roman"/>
                <w:color w:val="auto"/>
                <w:sz w:val="21"/>
                <w:lang w:eastAsia="zh-CN"/>
              </w:rPr>
              <w:t>消防泵房</w:t>
            </w:r>
          </w:p>
        </w:tc>
        <w:tc>
          <w:tcPr>
            <w:tcW w:w="1959" w:type="pct"/>
            <w:vAlign w:val="center"/>
          </w:tcPr>
          <w:p w14:paraId="32FDCA87">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601" w:type="pct"/>
            <w:vAlign w:val="center"/>
          </w:tcPr>
          <w:p w14:paraId="4D4F6293">
            <w:pPr>
              <w:adjustRightInd w:val="0"/>
              <w:snapToGrid w:val="0"/>
              <w:jc w:val="center"/>
              <w:rPr>
                <w:rFonts w:ascii="Times New Roman" w:hAnsi="Times New Roman" w:cs="Times New Roman"/>
                <w:color w:val="auto"/>
                <w:sz w:val="21"/>
                <w:lang w:eastAsia="zh-CN"/>
              </w:rPr>
            </w:pPr>
          </w:p>
        </w:tc>
        <w:tc>
          <w:tcPr>
            <w:tcW w:w="509" w:type="pct"/>
            <w:vMerge w:val="continue"/>
            <w:vAlign w:val="center"/>
          </w:tcPr>
          <w:p w14:paraId="798590D1">
            <w:pPr>
              <w:widowControl w:val="0"/>
              <w:adjustRightInd w:val="0"/>
              <w:snapToGrid w:val="0"/>
              <w:jc w:val="center"/>
              <w:rPr>
                <w:rFonts w:ascii="Times New Roman" w:hAnsi="Times New Roman" w:cs="Times New Roman"/>
                <w:sz w:val="21"/>
                <w:lang w:eastAsia="zh-CN"/>
              </w:rPr>
            </w:pPr>
          </w:p>
        </w:tc>
      </w:tr>
      <w:tr w14:paraId="3CDF8C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continue"/>
            <w:vAlign w:val="center"/>
          </w:tcPr>
          <w:p w14:paraId="5F856C35">
            <w:pPr>
              <w:adjustRightInd w:val="0"/>
              <w:snapToGrid w:val="0"/>
              <w:jc w:val="center"/>
              <w:rPr>
                <w:rFonts w:ascii="Times New Roman" w:hAnsi="Times New Roman" w:cs="Times New Roman"/>
                <w:sz w:val="21"/>
                <w:lang w:eastAsia="zh-CN"/>
              </w:rPr>
            </w:pPr>
          </w:p>
        </w:tc>
        <w:tc>
          <w:tcPr>
            <w:tcW w:w="641" w:type="pct"/>
            <w:gridSpan w:val="2"/>
            <w:vAlign w:val="center"/>
          </w:tcPr>
          <w:p w14:paraId="1C951029">
            <w:pPr>
              <w:adjustRightInd w:val="0"/>
              <w:snapToGrid w:val="0"/>
              <w:jc w:val="center"/>
              <w:rPr>
                <w:rFonts w:ascii="Times New Roman" w:hAnsi="Times New Roman" w:cs="Times New Roman"/>
                <w:sz w:val="21"/>
                <w:lang w:eastAsia="zh-CN"/>
              </w:rPr>
            </w:pPr>
            <w:r>
              <w:rPr>
                <w:rFonts w:hint="eastAsia" w:ascii="Times New Roman" w:hAnsi="Times New Roman" w:cs="Times New Roman"/>
                <w:color w:val="auto"/>
                <w:sz w:val="21"/>
                <w:lang w:eastAsia="zh-CN"/>
              </w:rPr>
              <w:t>公用工程房</w:t>
            </w:r>
          </w:p>
        </w:tc>
        <w:tc>
          <w:tcPr>
            <w:tcW w:w="1959" w:type="pct"/>
            <w:vAlign w:val="center"/>
          </w:tcPr>
          <w:p w14:paraId="1D99C5BF">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601" w:type="pct"/>
            <w:vAlign w:val="center"/>
          </w:tcPr>
          <w:p w14:paraId="2F43E37D">
            <w:pPr>
              <w:adjustRightInd w:val="0"/>
              <w:snapToGrid w:val="0"/>
              <w:jc w:val="center"/>
              <w:rPr>
                <w:rFonts w:ascii="Times New Roman" w:hAnsi="Times New Roman" w:cs="Times New Roman"/>
                <w:color w:val="auto"/>
                <w:sz w:val="21"/>
                <w:lang w:eastAsia="zh-CN"/>
              </w:rPr>
            </w:pPr>
          </w:p>
        </w:tc>
        <w:tc>
          <w:tcPr>
            <w:tcW w:w="509" w:type="pct"/>
            <w:vMerge w:val="continue"/>
            <w:vAlign w:val="center"/>
          </w:tcPr>
          <w:p w14:paraId="5A7B079A">
            <w:pPr>
              <w:widowControl w:val="0"/>
              <w:adjustRightInd w:val="0"/>
              <w:snapToGrid w:val="0"/>
              <w:jc w:val="center"/>
              <w:rPr>
                <w:rFonts w:ascii="Times New Roman" w:hAnsi="Times New Roman" w:cs="Times New Roman"/>
                <w:sz w:val="21"/>
                <w:lang w:eastAsia="zh-CN"/>
              </w:rPr>
            </w:pPr>
          </w:p>
        </w:tc>
      </w:tr>
      <w:tr w14:paraId="201A3E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continue"/>
            <w:vAlign w:val="center"/>
          </w:tcPr>
          <w:p w14:paraId="444C53BF">
            <w:pPr>
              <w:adjustRightInd w:val="0"/>
              <w:snapToGrid w:val="0"/>
              <w:jc w:val="center"/>
              <w:rPr>
                <w:rFonts w:ascii="Times New Roman" w:hAnsi="Times New Roman" w:cs="Times New Roman"/>
                <w:sz w:val="21"/>
                <w:lang w:eastAsia="zh-CN"/>
              </w:rPr>
            </w:pPr>
          </w:p>
        </w:tc>
        <w:tc>
          <w:tcPr>
            <w:tcW w:w="641" w:type="pct"/>
            <w:gridSpan w:val="2"/>
            <w:vAlign w:val="center"/>
          </w:tcPr>
          <w:p w14:paraId="3F359B22">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门卫室</w:t>
            </w:r>
            <w:r>
              <w:rPr>
                <w:rFonts w:hint="eastAsia" w:ascii="Times New Roman" w:hAnsi="Times New Roman" w:cs="Times New Roman"/>
                <w:sz w:val="21"/>
                <w:lang w:eastAsia="zh-CN"/>
              </w:rPr>
              <w:t>一</w:t>
            </w:r>
          </w:p>
        </w:tc>
        <w:tc>
          <w:tcPr>
            <w:tcW w:w="1959" w:type="pct"/>
            <w:vAlign w:val="center"/>
          </w:tcPr>
          <w:p w14:paraId="068D2B8A">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601" w:type="pct"/>
            <w:vAlign w:val="center"/>
          </w:tcPr>
          <w:p w14:paraId="70CC0BD8">
            <w:pPr>
              <w:adjustRightInd w:val="0"/>
              <w:snapToGrid w:val="0"/>
              <w:jc w:val="center"/>
              <w:rPr>
                <w:rFonts w:ascii="Times New Roman" w:hAnsi="Times New Roman" w:cs="Times New Roman"/>
                <w:color w:val="auto"/>
                <w:sz w:val="21"/>
                <w:lang w:eastAsia="zh-CN"/>
              </w:rPr>
            </w:pPr>
          </w:p>
        </w:tc>
        <w:tc>
          <w:tcPr>
            <w:tcW w:w="509" w:type="pct"/>
            <w:vMerge w:val="continue"/>
            <w:vAlign w:val="center"/>
          </w:tcPr>
          <w:p w14:paraId="5EEF5EF1">
            <w:pPr>
              <w:widowControl w:val="0"/>
              <w:adjustRightInd w:val="0"/>
              <w:snapToGrid w:val="0"/>
              <w:jc w:val="center"/>
              <w:rPr>
                <w:rFonts w:ascii="Times New Roman" w:hAnsi="Times New Roman" w:cs="Times New Roman"/>
                <w:sz w:val="21"/>
                <w:lang w:eastAsia="zh-CN"/>
              </w:rPr>
            </w:pPr>
          </w:p>
        </w:tc>
      </w:tr>
      <w:tr w14:paraId="50A6C9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continue"/>
            <w:vAlign w:val="center"/>
          </w:tcPr>
          <w:p w14:paraId="25FC4E0E">
            <w:pPr>
              <w:adjustRightInd w:val="0"/>
              <w:snapToGrid w:val="0"/>
              <w:jc w:val="center"/>
              <w:rPr>
                <w:rFonts w:ascii="Times New Roman" w:hAnsi="Times New Roman" w:cs="Times New Roman"/>
                <w:sz w:val="21"/>
                <w:lang w:eastAsia="zh-CN"/>
              </w:rPr>
            </w:pPr>
          </w:p>
        </w:tc>
        <w:tc>
          <w:tcPr>
            <w:tcW w:w="641" w:type="pct"/>
            <w:gridSpan w:val="2"/>
            <w:vAlign w:val="center"/>
          </w:tcPr>
          <w:p w14:paraId="5B4B463A">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门卫室</w:t>
            </w:r>
            <w:r>
              <w:rPr>
                <w:rFonts w:hint="eastAsia" w:ascii="Times New Roman" w:hAnsi="Times New Roman" w:cs="Times New Roman"/>
                <w:sz w:val="21"/>
                <w:lang w:eastAsia="zh-CN"/>
              </w:rPr>
              <w:t>二</w:t>
            </w:r>
          </w:p>
        </w:tc>
        <w:tc>
          <w:tcPr>
            <w:tcW w:w="1959" w:type="pct"/>
            <w:vAlign w:val="center"/>
          </w:tcPr>
          <w:p w14:paraId="71D2026C">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601" w:type="pct"/>
            <w:vAlign w:val="center"/>
          </w:tcPr>
          <w:p w14:paraId="20B3E3E5">
            <w:pPr>
              <w:adjustRightInd w:val="0"/>
              <w:snapToGrid w:val="0"/>
              <w:jc w:val="center"/>
              <w:rPr>
                <w:rFonts w:ascii="Times New Roman" w:hAnsi="Times New Roman" w:cs="Times New Roman"/>
                <w:color w:val="auto"/>
                <w:sz w:val="21"/>
                <w:lang w:eastAsia="zh-CN"/>
              </w:rPr>
            </w:pPr>
          </w:p>
        </w:tc>
        <w:tc>
          <w:tcPr>
            <w:tcW w:w="509" w:type="pct"/>
            <w:vMerge w:val="continue"/>
            <w:vAlign w:val="center"/>
          </w:tcPr>
          <w:p w14:paraId="303A8901">
            <w:pPr>
              <w:widowControl w:val="0"/>
              <w:adjustRightInd w:val="0"/>
              <w:snapToGrid w:val="0"/>
              <w:jc w:val="center"/>
              <w:rPr>
                <w:rFonts w:ascii="Times New Roman" w:hAnsi="Times New Roman" w:cs="Times New Roman"/>
                <w:sz w:val="21"/>
                <w:lang w:eastAsia="zh-CN"/>
              </w:rPr>
            </w:pPr>
          </w:p>
        </w:tc>
      </w:tr>
      <w:tr w14:paraId="551F52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restart"/>
            <w:vAlign w:val="center"/>
          </w:tcPr>
          <w:p w14:paraId="4952846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公用</w:t>
            </w:r>
          </w:p>
          <w:p w14:paraId="7DAEE278">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工程</w:t>
            </w:r>
          </w:p>
        </w:tc>
        <w:tc>
          <w:tcPr>
            <w:tcW w:w="641" w:type="pct"/>
            <w:gridSpan w:val="2"/>
            <w:vAlign w:val="center"/>
          </w:tcPr>
          <w:p w14:paraId="3933217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供水</w:t>
            </w:r>
          </w:p>
        </w:tc>
        <w:tc>
          <w:tcPr>
            <w:tcW w:w="1959" w:type="pct"/>
            <w:vAlign w:val="center"/>
          </w:tcPr>
          <w:p w14:paraId="6C91E9A6">
            <w:pPr>
              <w:adjustRightInd w:val="0"/>
              <w:snapToGrid w:val="0"/>
              <w:jc w:val="center"/>
              <w:rPr>
                <w:rFonts w:ascii="Times New Roman" w:hAnsi="Times New Roman" w:cs="Times New Roman"/>
                <w:color w:val="FF0000"/>
                <w:sz w:val="21"/>
                <w:lang w:eastAsia="zh-CN"/>
              </w:rPr>
            </w:pPr>
          </w:p>
        </w:tc>
        <w:tc>
          <w:tcPr>
            <w:tcW w:w="1601" w:type="pct"/>
            <w:vAlign w:val="center"/>
          </w:tcPr>
          <w:p w14:paraId="799870AE">
            <w:pPr>
              <w:adjustRightInd w:val="0"/>
              <w:snapToGrid w:val="0"/>
              <w:jc w:val="center"/>
              <w:rPr>
                <w:rFonts w:ascii="Times New Roman" w:hAnsi="Times New Roman" w:cs="Times New Roman"/>
                <w:b/>
                <w:bCs/>
                <w:color w:val="FF0000"/>
                <w:sz w:val="21"/>
                <w:lang w:eastAsia="zh-CN"/>
              </w:rPr>
            </w:pPr>
          </w:p>
        </w:tc>
        <w:tc>
          <w:tcPr>
            <w:tcW w:w="509" w:type="pct"/>
            <w:vAlign w:val="center"/>
          </w:tcPr>
          <w:p w14:paraId="6827ACDC">
            <w:pPr>
              <w:adjustRightInd w:val="0"/>
              <w:snapToGrid w:val="0"/>
              <w:jc w:val="center"/>
              <w:rPr>
                <w:rFonts w:ascii="Times New Roman" w:hAnsi="Times New Roman" w:cs="Times New Roman"/>
                <w:color w:val="auto"/>
                <w:sz w:val="21"/>
                <w:lang w:eastAsia="zh-CN"/>
              </w:rPr>
            </w:pPr>
          </w:p>
        </w:tc>
      </w:tr>
      <w:tr w14:paraId="7DF3D4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continue"/>
            <w:vAlign w:val="center"/>
          </w:tcPr>
          <w:p w14:paraId="2DA37BC1">
            <w:pPr>
              <w:adjustRightInd w:val="0"/>
              <w:snapToGrid w:val="0"/>
              <w:jc w:val="center"/>
              <w:rPr>
                <w:rFonts w:ascii="Times New Roman" w:hAnsi="Times New Roman" w:cs="Times New Roman"/>
                <w:color w:val="auto"/>
                <w:sz w:val="21"/>
                <w:lang w:eastAsia="zh-CN"/>
              </w:rPr>
            </w:pPr>
          </w:p>
        </w:tc>
        <w:tc>
          <w:tcPr>
            <w:tcW w:w="641" w:type="pct"/>
            <w:gridSpan w:val="2"/>
            <w:vAlign w:val="center"/>
          </w:tcPr>
          <w:p w14:paraId="73CF636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供电</w:t>
            </w:r>
          </w:p>
        </w:tc>
        <w:tc>
          <w:tcPr>
            <w:tcW w:w="1959" w:type="pct"/>
            <w:vAlign w:val="center"/>
          </w:tcPr>
          <w:p w14:paraId="60C55A97">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601" w:type="pct"/>
            <w:vAlign w:val="center"/>
          </w:tcPr>
          <w:p w14:paraId="7625E492">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09" w:type="pct"/>
            <w:vAlign w:val="center"/>
          </w:tcPr>
          <w:p w14:paraId="26BEBA0A">
            <w:pPr>
              <w:adjustRightInd w:val="0"/>
              <w:snapToGrid w:val="0"/>
              <w:jc w:val="center"/>
              <w:rPr>
                <w:rFonts w:ascii="Times New Roman" w:hAnsi="Times New Roman" w:cs="Times New Roman"/>
                <w:color w:val="auto"/>
                <w:sz w:val="21"/>
              </w:rPr>
            </w:pPr>
          </w:p>
        </w:tc>
      </w:tr>
      <w:tr w14:paraId="0D1A08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continue"/>
            <w:vAlign w:val="center"/>
          </w:tcPr>
          <w:p w14:paraId="0E3EF96E">
            <w:pPr>
              <w:adjustRightInd w:val="0"/>
              <w:snapToGrid w:val="0"/>
              <w:jc w:val="center"/>
              <w:rPr>
                <w:rFonts w:ascii="Times New Roman" w:hAnsi="Times New Roman" w:cs="Times New Roman"/>
                <w:color w:val="auto"/>
                <w:sz w:val="21"/>
              </w:rPr>
            </w:pPr>
          </w:p>
        </w:tc>
        <w:tc>
          <w:tcPr>
            <w:tcW w:w="641" w:type="pct"/>
            <w:gridSpan w:val="2"/>
            <w:vAlign w:val="center"/>
          </w:tcPr>
          <w:p w14:paraId="20F3ACD5">
            <w:pPr>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循环水</w:t>
            </w:r>
          </w:p>
        </w:tc>
        <w:tc>
          <w:tcPr>
            <w:tcW w:w="1959" w:type="pct"/>
            <w:vAlign w:val="center"/>
          </w:tcPr>
          <w:p w14:paraId="1EBB27D8">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601" w:type="pct"/>
            <w:vAlign w:val="center"/>
          </w:tcPr>
          <w:p w14:paraId="3F3A1FE0">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09" w:type="pct"/>
            <w:vAlign w:val="center"/>
          </w:tcPr>
          <w:p w14:paraId="33E5AC91">
            <w:pPr>
              <w:adjustRightInd w:val="0"/>
              <w:snapToGrid w:val="0"/>
              <w:jc w:val="center"/>
              <w:rPr>
                <w:rFonts w:ascii="Times New Roman" w:hAnsi="Times New Roman" w:cs="Times New Roman"/>
                <w:color w:val="auto"/>
                <w:sz w:val="21"/>
                <w:lang w:eastAsia="zh-CN"/>
              </w:rPr>
            </w:pPr>
          </w:p>
        </w:tc>
      </w:tr>
      <w:tr w14:paraId="672FBF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continue"/>
            <w:vAlign w:val="center"/>
          </w:tcPr>
          <w:p w14:paraId="73B1949B">
            <w:pPr>
              <w:adjustRightInd w:val="0"/>
              <w:snapToGrid w:val="0"/>
              <w:jc w:val="center"/>
              <w:rPr>
                <w:rFonts w:ascii="Times New Roman" w:hAnsi="Times New Roman" w:cs="Times New Roman"/>
                <w:color w:val="auto"/>
                <w:sz w:val="21"/>
                <w:lang w:eastAsia="zh-CN"/>
              </w:rPr>
            </w:pPr>
          </w:p>
        </w:tc>
        <w:tc>
          <w:tcPr>
            <w:tcW w:w="641" w:type="pct"/>
            <w:gridSpan w:val="2"/>
            <w:vAlign w:val="center"/>
          </w:tcPr>
          <w:p w14:paraId="7E9EFD75">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排水</w:t>
            </w:r>
          </w:p>
        </w:tc>
        <w:tc>
          <w:tcPr>
            <w:tcW w:w="1959" w:type="pct"/>
            <w:vAlign w:val="center"/>
          </w:tcPr>
          <w:p w14:paraId="0D624728">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601" w:type="pct"/>
            <w:vAlign w:val="center"/>
          </w:tcPr>
          <w:p w14:paraId="0D772E36">
            <w:pPr>
              <w:widowControl w:val="0"/>
              <w:adjustRightInd w:val="0"/>
              <w:snapToGrid w:val="0"/>
              <w:jc w:val="center"/>
              <w:rPr>
                <w:rFonts w:ascii="Times New Roman" w:hAnsi="Times New Roman" w:cs="Times New Roman"/>
                <w:color w:val="auto"/>
                <w:sz w:val="21"/>
                <w:lang w:eastAsia="zh-CN"/>
              </w:rPr>
            </w:pPr>
          </w:p>
        </w:tc>
        <w:tc>
          <w:tcPr>
            <w:tcW w:w="509" w:type="pct"/>
            <w:vAlign w:val="center"/>
          </w:tcPr>
          <w:p w14:paraId="30347315">
            <w:pPr>
              <w:adjustRightInd w:val="0"/>
              <w:snapToGrid w:val="0"/>
              <w:jc w:val="center"/>
              <w:rPr>
                <w:rFonts w:ascii="Times New Roman" w:hAnsi="Times New Roman" w:cs="Times New Roman"/>
                <w:color w:val="auto"/>
                <w:sz w:val="21"/>
                <w:lang w:eastAsia="zh-CN"/>
              </w:rPr>
            </w:pPr>
          </w:p>
        </w:tc>
      </w:tr>
      <w:tr w14:paraId="4753E8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continue"/>
            <w:vAlign w:val="center"/>
          </w:tcPr>
          <w:p w14:paraId="2779E962">
            <w:pPr>
              <w:adjustRightInd w:val="0"/>
              <w:snapToGrid w:val="0"/>
              <w:jc w:val="center"/>
              <w:rPr>
                <w:rFonts w:ascii="Times New Roman" w:hAnsi="Times New Roman" w:cs="Times New Roman"/>
                <w:color w:val="auto"/>
                <w:sz w:val="21"/>
                <w:lang w:eastAsia="zh-CN"/>
              </w:rPr>
            </w:pPr>
          </w:p>
        </w:tc>
        <w:tc>
          <w:tcPr>
            <w:tcW w:w="641" w:type="pct"/>
            <w:gridSpan w:val="2"/>
            <w:vAlign w:val="center"/>
          </w:tcPr>
          <w:p w14:paraId="0AFB28AD">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超纯水制备</w:t>
            </w:r>
          </w:p>
        </w:tc>
        <w:tc>
          <w:tcPr>
            <w:tcW w:w="1959" w:type="pct"/>
            <w:vAlign w:val="center"/>
          </w:tcPr>
          <w:p w14:paraId="6AB2141C">
            <w:pPr>
              <w:widowControl w:val="0"/>
              <w:adjustRightInd w:val="0"/>
              <w:snapToGrid w:val="0"/>
              <w:jc w:val="center"/>
              <w:rPr>
                <w:rFonts w:ascii="Times New Roman" w:hAnsi="Times New Roman" w:cs="Times New Roman"/>
                <w:color w:val="auto"/>
                <w:sz w:val="21"/>
                <w:lang w:eastAsia="zh-CN"/>
              </w:rPr>
            </w:pPr>
          </w:p>
        </w:tc>
        <w:tc>
          <w:tcPr>
            <w:tcW w:w="1601" w:type="pct"/>
            <w:vAlign w:val="center"/>
          </w:tcPr>
          <w:p w14:paraId="16769705">
            <w:pPr>
              <w:widowControl w:val="0"/>
              <w:adjustRightInd w:val="0"/>
              <w:snapToGrid w:val="0"/>
              <w:jc w:val="center"/>
              <w:rPr>
                <w:rFonts w:ascii="Times New Roman" w:hAnsi="Times New Roman" w:cs="Times New Roman"/>
                <w:color w:val="auto"/>
                <w:sz w:val="21"/>
                <w:lang w:eastAsia="zh-CN"/>
              </w:rPr>
            </w:pPr>
          </w:p>
        </w:tc>
        <w:tc>
          <w:tcPr>
            <w:tcW w:w="509" w:type="pct"/>
            <w:vAlign w:val="center"/>
          </w:tcPr>
          <w:p w14:paraId="5E8C4C31">
            <w:pPr>
              <w:adjustRightInd w:val="0"/>
              <w:snapToGrid w:val="0"/>
              <w:jc w:val="center"/>
              <w:rPr>
                <w:rFonts w:ascii="Times New Roman" w:hAnsi="Times New Roman" w:cs="Times New Roman"/>
                <w:color w:val="auto"/>
                <w:sz w:val="21"/>
                <w:lang w:eastAsia="zh-CN"/>
              </w:rPr>
            </w:pPr>
          </w:p>
        </w:tc>
      </w:tr>
      <w:tr w14:paraId="5326C6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continue"/>
            <w:vAlign w:val="center"/>
          </w:tcPr>
          <w:p w14:paraId="2DD5472A">
            <w:pPr>
              <w:adjustRightInd w:val="0"/>
              <w:snapToGrid w:val="0"/>
              <w:jc w:val="center"/>
              <w:rPr>
                <w:rFonts w:ascii="Times New Roman" w:hAnsi="Times New Roman" w:cs="Times New Roman"/>
                <w:color w:val="FF0000"/>
                <w:sz w:val="21"/>
                <w:lang w:eastAsia="zh-CN"/>
              </w:rPr>
            </w:pPr>
          </w:p>
        </w:tc>
        <w:tc>
          <w:tcPr>
            <w:tcW w:w="641" w:type="pct"/>
            <w:gridSpan w:val="2"/>
            <w:vAlign w:val="center"/>
          </w:tcPr>
          <w:p w14:paraId="6A17EB26">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制冷</w:t>
            </w:r>
          </w:p>
        </w:tc>
        <w:tc>
          <w:tcPr>
            <w:tcW w:w="1959" w:type="pct"/>
            <w:vAlign w:val="center"/>
          </w:tcPr>
          <w:p w14:paraId="5378EC02">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601" w:type="pct"/>
            <w:vAlign w:val="center"/>
          </w:tcPr>
          <w:p w14:paraId="32A5094A">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09" w:type="pct"/>
            <w:vMerge w:val="restart"/>
            <w:vAlign w:val="center"/>
          </w:tcPr>
          <w:p w14:paraId="006238B9">
            <w:pPr>
              <w:adjustRightInd w:val="0"/>
              <w:snapToGrid w:val="0"/>
              <w:jc w:val="center"/>
              <w:rPr>
                <w:rFonts w:ascii="Times New Roman" w:hAnsi="Times New Roman" w:cs="Times New Roman"/>
                <w:color w:val="auto"/>
                <w:sz w:val="21"/>
                <w:lang w:eastAsia="zh-CN"/>
              </w:rPr>
            </w:pPr>
          </w:p>
        </w:tc>
      </w:tr>
      <w:tr w14:paraId="0AA7C4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continue"/>
            <w:vAlign w:val="center"/>
          </w:tcPr>
          <w:p w14:paraId="11A1DBC2">
            <w:pPr>
              <w:adjustRightInd w:val="0"/>
              <w:snapToGrid w:val="0"/>
              <w:jc w:val="center"/>
              <w:rPr>
                <w:rFonts w:ascii="Times New Roman" w:hAnsi="Times New Roman" w:cs="Times New Roman"/>
                <w:color w:val="FF0000"/>
                <w:sz w:val="21"/>
                <w:lang w:eastAsia="zh-CN"/>
              </w:rPr>
            </w:pPr>
          </w:p>
        </w:tc>
        <w:tc>
          <w:tcPr>
            <w:tcW w:w="641" w:type="pct"/>
            <w:gridSpan w:val="2"/>
            <w:vAlign w:val="center"/>
          </w:tcPr>
          <w:p w14:paraId="097866B7">
            <w:pPr>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供热</w:t>
            </w:r>
          </w:p>
        </w:tc>
        <w:tc>
          <w:tcPr>
            <w:tcW w:w="1959" w:type="pct"/>
            <w:vAlign w:val="center"/>
          </w:tcPr>
          <w:p w14:paraId="0A3CE224">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601" w:type="pct"/>
            <w:vAlign w:val="center"/>
          </w:tcPr>
          <w:p w14:paraId="6B0927A9">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09" w:type="pct"/>
            <w:vMerge w:val="continue"/>
            <w:vAlign w:val="center"/>
          </w:tcPr>
          <w:p w14:paraId="59436C8A">
            <w:pPr>
              <w:adjustRightInd w:val="0"/>
              <w:snapToGrid w:val="0"/>
              <w:jc w:val="center"/>
              <w:rPr>
                <w:rFonts w:ascii="Times New Roman" w:hAnsi="Times New Roman" w:cs="Times New Roman"/>
                <w:sz w:val="21"/>
              </w:rPr>
            </w:pPr>
          </w:p>
        </w:tc>
      </w:tr>
      <w:tr w14:paraId="1E0755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continue"/>
            <w:vAlign w:val="center"/>
          </w:tcPr>
          <w:p w14:paraId="612CF818">
            <w:pPr>
              <w:adjustRightInd w:val="0"/>
              <w:snapToGrid w:val="0"/>
              <w:jc w:val="center"/>
              <w:rPr>
                <w:rFonts w:ascii="Times New Roman" w:hAnsi="Times New Roman" w:cs="Times New Roman"/>
                <w:color w:val="FF0000"/>
                <w:sz w:val="21"/>
              </w:rPr>
            </w:pPr>
          </w:p>
        </w:tc>
        <w:tc>
          <w:tcPr>
            <w:tcW w:w="641" w:type="pct"/>
            <w:gridSpan w:val="2"/>
            <w:vAlign w:val="center"/>
          </w:tcPr>
          <w:p w14:paraId="15368F82">
            <w:pPr>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空压、制氮</w:t>
            </w:r>
          </w:p>
        </w:tc>
        <w:tc>
          <w:tcPr>
            <w:tcW w:w="1959" w:type="pct"/>
            <w:vAlign w:val="center"/>
          </w:tcPr>
          <w:p w14:paraId="093C594B">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601" w:type="pct"/>
            <w:vAlign w:val="center"/>
          </w:tcPr>
          <w:p w14:paraId="692C1915">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09" w:type="pct"/>
            <w:vAlign w:val="center"/>
          </w:tcPr>
          <w:p w14:paraId="5BCB36EF">
            <w:pPr>
              <w:adjustRightInd w:val="0"/>
              <w:snapToGrid w:val="0"/>
              <w:jc w:val="center"/>
              <w:rPr>
                <w:rFonts w:ascii="Times New Roman" w:hAnsi="Times New Roman" w:cs="Times New Roman"/>
                <w:color w:val="auto"/>
                <w:sz w:val="21"/>
              </w:rPr>
            </w:pPr>
          </w:p>
        </w:tc>
      </w:tr>
      <w:tr w14:paraId="60B955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restart"/>
            <w:vAlign w:val="center"/>
          </w:tcPr>
          <w:p w14:paraId="61149BF3">
            <w:pPr>
              <w:adjustRightInd w:val="0"/>
              <w:snapToGrid w:val="0"/>
              <w:jc w:val="center"/>
              <w:rPr>
                <w:rFonts w:ascii="Times New Roman" w:hAnsi="Times New Roman" w:cs="Times New Roman"/>
                <w:sz w:val="21"/>
              </w:rPr>
            </w:pPr>
            <w:r>
              <w:rPr>
                <w:rFonts w:ascii="Times New Roman" w:hAnsi="Times New Roman" w:cs="Times New Roman"/>
                <w:sz w:val="21"/>
              </w:rPr>
              <w:t>环保</w:t>
            </w:r>
          </w:p>
          <w:p w14:paraId="6EAFAEC3">
            <w:pPr>
              <w:adjustRightInd w:val="0"/>
              <w:snapToGrid w:val="0"/>
              <w:jc w:val="center"/>
              <w:rPr>
                <w:rFonts w:ascii="Times New Roman" w:hAnsi="Times New Roman" w:cs="Times New Roman"/>
                <w:sz w:val="21"/>
              </w:rPr>
            </w:pPr>
            <w:r>
              <w:rPr>
                <w:rFonts w:ascii="Times New Roman" w:hAnsi="Times New Roman" w:cs="Times New Roman"/>
                <w:sz w:val="21"/>
              </w:rPr>
              <w:t>工程</w:t>
            </w:r>
          </w:p>
        </w:tc>
        <w:tc>
          <w:tcPr>
            <w:tcW w:w="206" w:type="pct"/>
            <w:vMerge w:val="restart"/>
            <w:vAlign w:val="center"/>
          </w:tcPr>
          <w:p w14:paraId="283353B6">
            <w:pPr>
              <w:adjustRightInd w:val="0"/>
              <w:snapToGrid w:val="0"/>
              <w:jc w:val="center"/>
              <w:rPr>
                <w:rFonts w:ascii="Times New Roman" w:hAnsi="Times New Roman" w:cs="Times New Roman"/>
                <w:sz w:val="21"/>
                <w:lang w:eastAsia="zh-CN"/>
              </w:rPr>
            </w:pPr>
            <w:r>
              <w:rPr>
                <w:rFonts w:ascii="Times New Roman" w:hAnsi="Times New Roman" w:cs="Times New Roman"/>
                <w:sz w:val="21"/>
              </w:rPr>
              <w:t>废气</w:t>
            </w:r>
          </w:p>
          <w:p w14:paraId="4CFB7F78">
            <w:pPr>
              <w:adjustRightInd w:val="0"/>
              <w:snapToGrid w:val="0"/>
              <w:jc w:val="center"/>
              <w:rPr>
                <w:rFonts w:ascii="Times New Roman" w:hAnsi="Times New Roman" w:cs="Times New Roman"/>
                <w:sz w:val="21"/>
              </w:rPr>
            </w:pPr>
            <w:r>
              <w:rPr>
                <w:rFonts w:ascii="Times New Roman" w:hAnsi="Times New Roman" w:cs="Times New Roman"/>
                <w:sz w:val="21"/>
              </w:rPr>
              <w:t>治理</w:t>
            </w:r>
          </w:p>
        </w:tc>
        <w:tc>
          <w:tcPr>
            <w:tcW w:w="435" w:type="pct"/>
            <w:vAlign w:val="center"/>
          </w:tcPr>
          <w:p w14:paraId="6755F356">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电子级氢氟酸生产装置</w:t>
            </w:r>
          </w:p>
        </w:tc>
        <w:tc>
          <w:tcPr>
            <w:tcW w:w="1959" w:type="pct"/>
            <w:vMerge w:val="restart"/>
            <w:vAlign w:val="center"/>
          </w:tcPr>
          <w:p w14:paraId="472E44E7">
            <w:pPr>
              <w:widowControl w:val="0"/>
              <w:adjustRightInd w:val="0"/>
              <w:snapToGrid w:val="0"/>
              <w:jc w:val="center"/>
              <w:rPr>
                <w:rFonts w:ascii="Times New Roman" w:hAnsi="Times New Roman" w:cs="Times New Roman"/>
                <w:color w:val="auto"/>
                <w:sz w:val="21"/>
                <w:lang w:eastAsia="zh-CN"/>
              </w:rPr>
            </w:pPr>
          </w:p>
        </w:tc>
        <w:tc>
          <w:tcPr>
            <w:tcW w:w="1601" w:type="pct"/>
            <w:vMerge w:val="restart"/>
            <w:vAlign w:val="center"/>
          </w:tcPr>
          <w:p w14:paraId="2A2CD729">
            <w:pPr>
              <w:widowControl w:val="0"/>
              <w:adjustRightInd w:val="0"/>
              <w:snapToGrid w:val="0"/>
              <w:jc w:val="center"/>
              <w:rPr>
                <w:rFonts w:hint="eastAsia" w:ascii="宋体" w:hAnsi="宋体" w:cs="Cambria Math"/>
                <w:color w:val="auto"/>
                <w:sz w:val="21"/>
                <w:lang w:eastAsia="zh-CN"/>
              </w:rPr>
            </w:pPr>
          </w:p>
        </w:tc>
        <w:tc>
          <w:tcPr>
            <w:tcW w:w="509" w:type="pct"/>
            <w:vMerge w:val="restart"/>
            <w:vAlign w:val="center"/>
          </w:tcPr>
          <w:p w14:paraId="154705E1">
            <w:pPr>
              <w:adjustRightInd w:val="0"/>
              <w:snapToGrid w:val="0"/>
              <w:jc w:val="center"/>
              <w:rPr>
                <w:rFonts w:ascii="Times New Roman" w:hAnsi="Times New Roman" w:cs="Times New Roman"/>
                <w:sz w:val="21"/>
                <w:lang w:eastAsia="zh-CN"/>
              </w:rPr>
            </w:pPr>
          </w:p>
        </w:tc>
      </w:tr>
      <w:tr w14:paraId="4ADE62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continue"/>
            <w:vAlign w:val="center"/>
          </w:tcPr>
          <w:p w14:paraId="4107F075">
            <w:pPr>
              <w:adjustRightInd w:val="0"/>
              <w:snapToGrid w:val="0"/>
              <w:jc w:val="center"/>
              <w:rPr>
                <w:rFonts w:ascii="Times New Roman" w:hAnsi="Times New Roman" w:cs="Times New Roman"/>
                <w:color w:val="FF0000"/>
                <w:sz w:val="21"/>
                <w:lang w:eastAsia="zh-CN"/>
              </w:rPr>
            </w:pPr>
          </w:p>
        </w:tc>
        <w:tc>
          <w:tcPr>
            <w:tcW w:w="206" w:type="pct"/>
            <w:vMerge w:val="continue"/>
            <w:vAlign w:val="center"/>
          </w:tcPr>
          <w:p w14:paraId="1A1FBAE7">
            <w:pPr>
              <w:adjustRightInd w:val="0"/>
              <w:snapToGrid w:val="0"/>
              <w:jc w:val="center"/>
              <w:rPr>
                <w:rFonts w:ascii="Times New Roman" w:hAnsi="Times New Roman" w:cs="Times New Roman"/>
                <w:color w:val="FF0000"/>
                <w:sz w:val="21"/>
                <w:lang w:eastAsia="zh-CN"/>
              </w:rPr>
            </w:pPr>
          </w:p>
        </w:tc>
        <w:tc>
          <w:tcPr>
            <w:tcW w:w="435" w:type="pct"/>
            <w:vAlign w:val="center"/>
          </w:tcPr>
          <w:p w14:paraId="4E51DD06">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化学纯氢氟酸生产装置</w:t>
            </w:r>
          </w:p>
        </w:tc>
        <w:tc>
          <w:tcPr>
            <w:tcW w:w="1959" w:type="pct"/>
            <w:vMerge w:val="continue"/>
            <w:vAlign w:val="center"/>
          </w:tcPr>
          <w:p w14:paraId="5CE22A5E">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601" w:type="pct"/>
            <w:vMerge w:val="continue"/>
            <w:vAlign w:val="center"/>
          </w:tcPr>
          <w:p w14:paraId="73BC0465">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09" w:type="pct"/>
            <w:vMerge w:val="continue"/>
            <w:vAlign w:val="center"/>
          </w:tcPr>
          <w:p w14:paraId="0F0195D9">
            <w:pPr>
              <w:adjustRightInd w:val="0"/>
              <w:snapToGrid w:val="0"/>
              <w:jc w:val="center"/>
              <w:rPr>
                <w:rFonts w:ascii="Times New Roman" w:hAnsi="Times New Roman" w:cs="Times New Roman"/>
                <w:sz w:val="21"/>
                <w:lang w:eastAsia="zh-CN"/>
              </w:rPr>
            </w:pPr>
          </w:p>
        </w:tc>
      </w:tr>
      <w:tr w14:paraId="137FA7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continue"/>
            <w:vAlign w:val="center"/>
          </w:tcPr>
          <w:p w14:paraId="2BF0C290">
            <w:pPr>
              <w:adjustRightInd w:val="0"/>
              <w:snapToGrid w:val="0"/>
              <w:jc w:val="center"/>
              <w:rPr>
                <w:rFonts w:ascii="Times New Roman" w:hAnsi="Times New Roman" w:cs="Times New Roman"/>
                <w:color w:val="FF0000"/>
                <w:sz w:val="21"/>
                <w:lang w:eastAsia="zh-CN"/>
              </w:rPr>
            </w:pPr>
          </w:p>
        </w:tc>
        <w:tc>
          <w:tcPr>
            <w:tcW w:w="206" w:type="pct"/>
            <w:vMerge w:val="continue"/>
            <w:vAlign w:val="center"/>
          </w:tcPr>
          <w:p w14:paraId="4E64DA37">
            <w:pPr>
              <w:adjustRightInd w:val="0"/>
              <w:snapToGrid w:val="0"/>
              <w:jc w:val="center"/>
              <w:rPr>
                <w:rFonts w:ascii="Times New Roman" w:hAnsi="Times New Roman" w:cs="Times New Roman"/>
                <w:color w:val="FF0000"/>
                <w:sz w:val="21"/>
                <w:lang w:eastAsia="zh-CN"/>
              </w:rPr>
            </w:pPr>
          </w:p>
        </w:tc>
        <w:tc>
          <w:tcPr>
            <w:tcW w:w="435" w:type="pct"/>
            <w:vAlign w:val="center"/>
          </w:tcPr>
          <w:p w14:paraId="0E1449E6">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刻蚀液生产装置</w:t>
            </w:r>
          </w:p>
        </w:tc>
        <w:tc>
          <w:tcPr>
            <w:tcW w:w="1959" w:type="pct"/>
            <w:vMerge w:val="continue"/>
            <w:vAlign w:val="center"/>
          </w:tcPr>
          <w:p w14:paraId="234EFB25">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601" w:type="pct"/>
            <w:vMerge w:val="continue"/>
            <w:vAlign w:val="center"/>
          </w:tcPr>
          <w:p w14:paraId="29A10CE8">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09" w:type="pct"/>
            <w:vMerge w:val="continue"/>
            <w:vAlign w:val="center"/>
          </w:tcPr>
          <w:p w14:paraId="2278E897">
            <w:pPr>
              <w:adjustRightInd w:val="0"/>
              <w:snapToGrid w:val="0"/>
              <w:jc w:val="center"/>
              <w:rPr>
                <w:rFonts w:ascii="Times New Roman" w:hAnsi="Times New Roman" w:cs="Times New Roman"/>
                <w:sz w:val="21"/>
                <w:lang w:eastAsia="zh-CN"/>
              </w:rPr>
            </w:pPr>
          </w:p>
        </w:tc>
      </w:tr>
      <w:tr w14:paraId="1FCFE3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continue"/>
            <w:tcBorders>
              <w:bottom w:val="single" w:color="auto" w:sz="4" w:space="0"/>
            </w:tcBorders>
            <w:vAlign w:val="center"/>
          </w:tcPr>
          <w:p w14:paraId="401B2365">
            <w:pPr>
              <w:adjustRightInd w:val="0"/>
              <w:snapToGrid w:val="0"/>
              <w:jc w:val="center"/>
              <w:rPr>
                <w:rFonts w:ascii="Times New Roman" w:hAnsi="Times New Roman" w:cs="Times New Roman"/>
                <w:color w:val="FF0000"/>
                <w:sz w:val="21"/>
                <w:lang w:eastAsia="zh-CN"/>
              </w:rPr>
            </w:pPr>
          </w:p>
        </w:tc>
        <w:tc>
          <w:tcPr>
            <w:tcW w:w="206" w:type="pct"/>
            <w:vMerge w:val="continue"/>
            <w:tcBorders>
              <w:bottom w:val="single" w:color="auto" w:sz="4" w:space="0"/>
            </w:tcBorders>
            <w:vAlign w:val="center"/>
          </w:tcPr>
          <w:p w14:paraId="6C29BA1F">
            <w:pPr>
              <w:adjustRightInd w:val="0"/>
              <w:snapToGrid w:val="0"/>
              <w:jc w:val="center"/>
              <w:rPr>
                <w:rFonts w:ascii="Times New Roman" w:hAnsi="Times New Roman" w:cs="Times New Roman"/>
                <w:color w:val="FF0000"/>
                <w:sz w:val="21"/>
                <w:lang w:eastAsia="zh-CN"/>
              </w:rPr>
            </w:pPr>
          </w:p>
        </w:tc>
        <w:tc>
          <w:tcPr>
            <w:tcW w:w="435" w:type="pct"/>
            <w:tcBorders>
              <w:bottom w:val="single" w:color="auto" w:sz="4" w:space="0"/>
            </w:tcBorders>
            <w:vAlign w:val="center"/>
          </w:tcPr>
          <w:p w14:paraId="0ECA5130">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储罐</w:t>
            </w:r>
          </w:p>
        </w:tc>
        <w:tc>
          <w:tcPr>
            <w:tcW w:w="1959" w:type="pct"/>
            <w:vMerge w:val="continue"/>
            <w:tcBorders>
              <w:bottom w:val="single" w:color="auto" w:sz="4" w:space="0"/>
            </w:tcBorders>
            <w:vAlign w:val="center"/>
          </w:tcPr>
          <w:p w14:paraId="52A4DA1F">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601" w:type="pct"/>
            <w:vMerge w:val="continue"/>
            <w:tcBorders>
              <w:bottom w:val="single" w:color="auto" w:sz="4" w:space="0"/>
            </w:tcBorders>
            <w:vAlign w:val="center"/>
          </w:tcPr>
          <w:p w14:paraId="4E7274FB">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09" w:type="pct"/>
            <w:vMerge w:val="continue"/>
            <w:tcBorders>
              <w:bottom w:val="single" w:color="auto" w:sz="4" w:space="0"/>
            </w:tcBorders>
            <w:vAlign w:val="center"/>
          </w:tcPr>
          <w:p w14:paraId="17FEAA17">
            <w:pPr>
              <w:adjustRightInd w:val="0"/>
              <w:snapToGrid w:val="0"/>
              <w:jc w:val="center"/>
              <w:rPr>
                <w:rFonts w:ascii="Times New Roman" w:hAnsi="Times New Roman" w:cs="Times New Roman"/>
                <w:color w:val="auto"/>
                <w:sz w:val="21"/>
                <w:lang w:eastAsia="zh-CN"/>
              </w:rPr>
            </w:pPr>
          </w:p>
        </w:tc>
      </w:tr>
      <w:tr w14:paraId="5253BB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continue"/>
            <w:vAlign w:val="center"/>
          </w:tcPr>
          <w:p w14:paraId="2FB9EEE6">
            <w:pPr>
              <w:adjustRightInd w:val="0"/>
              <w:snapToGrid w:val="0"/>
              <w:jc w:val="center"/>
              <w:rPr>
                <w:rFonts w:ascii="Times New Roman" w:hAnsi="Times New Roman" w:cs="Times New Roman"/>
                <w:color w:val="FF0000"/>
                <w:sz w:val="21"/>
                <w:lang w:eastAsia="zh-CN"/>
              </w:rPr>
            </w:pPr>
          </w:p>
        </w:tc>
        <w:tc>
          <w:tcPr>
            <w:tcW w:w="641" w:type="pct"/>
            <w:gridSpan w:val="2"/>
            <w:vAlign w:val="center"/>
          </w:tcPr>
          <w:p w14:paraId="0B0ECC1E">
            <w:pPr>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废水治理</w:t>
            </w:r>
          </w:p>
        </w:tc>
        <w:tc>
          <w:tcPr>
            <w:tcW w:w="1959" w:type="pct"/>
            <w:vAlign w:val="center"/>
          </w:tcPr>
          <w:p w14:paraId="71BBF3D9">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601" w:type="pct"/>
            <w:vAlign w:val="center"/>
          </w:tcPr>
          <w:p w14:paraId="4E53BB49">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09" w:type="pct"/>
            <w:vAlign w:val="center"/>
          </w:tcPr>
          <w:p w14:paraId="7D44C558">
            <w:pPr>
              <w:adjustRightInd w:val="0"/>
              <w:snapToGrid w:val="0"/>
              <w:jc w:val="center"/>
              <w:rPr>
                <w:rFonts w:ascii="Times New Roman" w:hAnsi="Times New Roman" w:cs="Times New Roman"/>
                <w:color w:val="auto"/>
                <w:sz w:val="21"/>
                <w:lang w:eastAsia="zh-CN"/>
              </w:rPr>
            </w:pPr>
          </w:p>
        </w:tc>
      </w:tr>
      <w:tr w14:paraId="31B67D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continue"/>
            <w:vAlign w:val="center"/>
          </w:tcPr>
          <w:p w14:paraId="714930C3">
            <w:pPr>
              <w:adjustRightInd w:val="0"/>
              <w:snapToGrid w:val="0"/>
              <w:jc w:val="center"/>
              <w:rPr>
                <w:rFonts w:ascii="Times New Roman" w:hAnsi="Times New Roman" w:cs="Times New Roman"/>
                <w:color w:val="FF0000"/>
                <w:sz w:val="21"/>
                <w:lang w:eastAsia="zh-CN"/>
              </w:rPr>
            </w:pPr>
          </w:p>
        </w:tc>
        <w:tc>
          <w:tcPr>
            <w:tcW w:w="641" w:type="pct"/>
            <w:gridSpan w:val="2"/>
            <w:vAlign w:val="center"/>
          </w:tcPr>
          <w:p w14:paraId="1FE09A9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噪声治理</w:t>
            </w:r>
          </w:p>
        </w:tc>
        <w:tc>
          <w:tcPr>
            <w:tcW w:w="1959" w:type="pct"/>
            <w:vAlign w:val="center"/>
          </w:tcPr>
          <w:p w14:paraId="71437BED">
            <w:pPr>
              <w:adjustRightInd w:val="0"/>
              <w:snapToGrid w:val="0"/>
              <w:jc w:val="center"/>
              <w:rPr>
                <w:rFonts w:ascii="Times New Roman" w:hAnsi="Times New Roman" w:cs="Times New Roman"/>
                <w:color w:val="auto"/>
                <w:sz w:val="21"/>
                <w:lang w:eastAsia="zh-CN"/>
              </w:rPr>
            </w:pPr>
          </w:p>
        </w:tc>
        <w:tc>
          <w:tcPr>
            <w:tcW w:w="1601" w:type="pct"/>
            <w:vAlign w:val="center"/>
          </w:tcPr>
          <w:p w14:paraId="069715C8">
            <w:pPr>
              <w:adjustRightInd w:val="0"/>
              <w:snapToGrid w:val="0"/>
              <w:jc w:val="center"/>
              <w:rPr>
                <w:rFonts w:ascii="Times New Roman" w:hAnsi="Times New Roman" w:cs="Times New Roman"/>
                <w:color w:val="auto"/>
                <w:sz w:val="21"/>
                <w:lang w:eastAsia="zh-CN"/>
              </w:rPr>
            </w:pPr>
          </w:p>
        </w:tc>
        <w:tc>
          <w:tcPr>
            <w:tcW w:w="509" w:type="pct"/>
            <w:vAlign w:val="center"/>
          </w:tcPr>
          <w:p w14:paraId="6D2B505A">
            <w:pPr>
              <w:adjustRightInd w:val="0"/>
              <w:snapToGrid w:val="0"/>
              <w:jc w:val="center"/>
              <w:rPr>
                <w:rFonts w:ascii="Times New Roman" w:hAnsi="Times New Roman" w:cs="Times New Roman"/>
                <w:color w:val="auto"/>
                <w:sz w:val="21"/>
                <w:lang w:eastAsia="zh-CN"/>
              </w:rPr>
            </w:pPr>
          </w:p>
        </w:tc>
      </w:tr>
      <w:tr w14:paraId="61804E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continue"/>
            <w:vAlign w:val="center"/>
          </w:tcPr>
          <w:p w14:paraId="40F7FFF1">
            <w:pPr>
              <w:adjustRightInd w:val="0"/>
              <w:snapToGrid w:val="0"/>
              <w:jc w:val="center"/>
              <w:rPr>
                <w:rFonts w:ascii="Times New Roman" w:hAnsi="Times New Roman" w:cs="Times New Roman"/>
                <w:color w:val="FF0000"/>
                <w:sz w:val="21"/>
              </w:rPr>
            </w:pPr>
          </w:p>
        </w:tc>
        <w:tc>
          <w:tcPr>
            <w:tcW w:w="641" w:type="pct"/>
            <w:gridSpan w:val="2"/>
            <w:vAlign w:val="center"/>
          </w:tcPr>
          <w:p w14:paraId="0522A5DC">
            <w:pPr>
              <w:adjustRightInd w:val="0"/>
              <w:snapToGrid w:val="0"/>
              <w:jc w:val="center"/>
              <w:rPr>
                <w:rFonts w:ascii="Times New Roman" w:hAnsi="Times New Roman" w:cs="Times New Roman"/>
                <w:sz w:val="21"/>
              </w:rPr>
            </w:pPr>
            <w:r>
              <w:rPr>
                <w:rFonts w:ascii="Times New Roman" w:hAnsi="Times New Roman" w:cs="Times New Roman"/>
                <w:sz w:val="21"/>
              </w:rPr>
              <w:t>固体废物</w:t>
            </w:r>
          </w:p>
        </w:tc>
        <w:tc>
          <w:tcPr>
            <w:tcW w:w="1959" w:type="pct"/>
            <w:vAlign w:val="center"/>
          </w:tcPr>
          <w:p w14:paraId="1E4D70FA">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601" w:type="pct"/>
            <w:vAlign w:val="center"/>
          </w:tcPr>
          <w:p w14:paraId="1D418C37">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09" w:type="pct"/>
            <w:vAlign w:val="center"/>
          </w:tcPr>
          <w:p w14:paraId="76ACE2A8">
            <w:pPr>
              <w:adjustRightInd w:val="0"/>
              <w:snapToGrid w:val="0"/>
              <w:jc w:val="center"/>
              <w:rPr>
                <w:rFonts w:ascii="Times New Roman" w:hAnsi="Times New Roman" w:cs="Times New Roman"/>
                <w:sz w:val="21"/>
                <w:lang w:eastAsia="zh-CN"/>
              </w:rPr>
            </w:pPr>
          </w:p>
        </w:tc>
      </w:tr>
      <w:tr w14:paraId="730255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continue"/>
            <w:vAlign w:val="center"/>
          </w:tcPr>
          <w:p w14:paraId="23BE8F26">
            <w:pPr>
              <w:adjustRightInd w:val="0"/>
              <w:snapToGrid w:val="0"/>
              <w:jc w:val="center"/>
              <w:rPr>
                <w:rFonts w:ascii="Times New Roman" w:hAnsi="Times New Roman" w:cs="Times New Roman"/>
                <w:color w:val="FF0000"/>
                <w:sz w:val="21"/>
                <w:lang w:eastAsia="zh-CN"/>
              </w:rPr>
            </w:pPr>
          </w:p>
        </w:tc>
        <w:tc>
          <w:tcPr>
            <w:tcW w:w="641" w:type="pct"/>
            <w:gridSpan w:val="2"/>
            <w:vAlign w:val="center"/>
          </w:tcPr>
          <w:p w14:paraId="60867BF2">
            <w:pPr>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地下水污染防治要求</w:t>
            </w:r>
          </w:p>
        </w:tc>
        <w:tc>
          <w:tcPr>
            <w:tcW w:w="1959" w:type="pct"/>
            <w:vAlign w:val="center"/>
          </w:tcPr>
          <w:p w14:paraId="003F288F">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601" w:type="pct"/>
            <w:vAlign w:val="center"/>
          </w:tcPr>
          <w:p w14:paraId="224DD645">
            <w:pPr>
              <w:adjustRightInd w:val="0"/>
              <w:snapToGrid w:val="0"/>
              <w:jc w:val="center"/>
              <w:rPr>
                <w:rFonts w:ascii="Times New Roman" w:hAnsi="Times New Roman" w:cs="Times New Roman"/>
                <w:sz w:val="21"/>
                <w:lang w:eastAsia="zh-CN"/>
              </w:rPr>
            </w:pPr>
          </w:p>
        </w:tc>
        <w:tc>
          <w:tcPr>
            <w:tcW w:w="509" w:type="pct"/>
            <w:vAlign w:val="center"/>
          </w:tcPr>
          <w:p w14:paraId="1F21E95D">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r>
      <w:tr w14:paraId="3614A1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continue"/>
            <w:vAlign w:val="center"/>
          </w:tcPr>
          <w:p w14:paraId="3B97CD1F">
            <w:pPr>
              <w:adjustRightInd w:val="0"/>
              <w:snapToGrid w:val="0"/>
              <w:jc w:val="center"/>
              <w:rPr>
                <w:rFonts w:ascii="Times New Roman" w:hAnsi="Times New Roman" w:cs="Times New Roman"/>
                <w:color w:val="FF0000"/>
                <w:sz w:val="21"/>
              </w:rPr>
            </w:pPr>
          </w:p>
        </w:tc>
        <w:tc>
          <w:tcPr>
            <w:tcW w:w="641" w:type="pct"/>
            <w:gridSpan w:val="2"/>
            <w:vMerge w:val="restart"/>
            <w:vAlign w:val="center"/>
          </w:tcPr>
          <w:p w14:paraId="49A4F734">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环境风险防范措施和应急措施</w:t>
            </w:r>
          </w:p>
        </w:tc>
        <w:tc>
          <w:tcPr>
            <w:tcW w:w="1959" w:type="pct"/>
            <w:vAlign w:val="center"/>
          </w:tcPr>
          <w:p w14:paraId="2CE576E6">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601" w:type="pct"/>
            <w:vAlign w:val="center"/>
          </w:tcPr>
          <w:p w14:paraId="58AC50AB">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09" w:type="pct"/>
            <w:vAlign w:val="center"/>
          </w:tcPr>
          <w:p w14:paraId="659F9499">
            <w:pPr>
              <w:adjustRightInd w:val="0"/>
              <w:snapToGrid w:val="0"/>
              <w:jc w:val="center"/>
              <w:rPr>
                <w:rFonts w:ascii="Times New Roman" w:hAnsi="Times New Roman" w:cs="Times New Roman"/>
                <w:color w:val="auto"/>
                <w:sz w:val="21"/>
                <w:lang w:eastAsia="zh-CN"/>
              </w:rPr>
            </w:pPr>
          </w:p>
        </w:tc>
      </w:tr>
      <w:tr w14:paraId="32CFF7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 w:type="pct"/>
            <w:vMerge w:val="continue"/>
            <w:vAlign w:val="center"/>
          </w:tcPr>
          <w:p w14:paraId="508B397F">
            <w:pPr>
              <w:adjustRightInd w:val="0"/>
              <w:snapToGrid w:val="0"/>
              <w:jc w:val="center"/>
              <w:rPr>
                <w:rFonts w:ascii="Times New Roman" w:hAnsi="Times New Roman" w:cs="Times New Roman"/>
                <w:color w:val="FF0000"/>
                <w:sz w:val="21"/>
                <w:lang w:eastAsia="zh-CN"/>
              </w:rPr>
            </w:pPr>
          </w:p>
        </w:tc>
        <w:tc>
          <w:tcPr>
            <w:tcW w:w="641" w:type="pct"/>
            <w:gridSpan w:val="2"/>
            <w:vMerge w:val="continue"/>
            <w:vAlign w:val="center"/>
          </w:tcPr>
          <w:p w14:paraId="08299A34">
            <w:pPr>
              <w:adjustRightInd w:val="0"/>
              <w:snapToGrid w:val="0"/>
              <w:jc w:val="center"/>
              <w:rPr>
                <w:rFonts w:ascii="Times New Roman" w:hAnsi="Times New Roman" w:cs="Times New Roman"/>
                <w:color w:val="auto"/>
                <w:sz w:val="21"/>
                <w:lang w:eastAsia="zh-CN"/>
              </w:rPr>
            </w:pPr>
          </w:p>
        </w:tc>
        <w:tc>
          <w:tcPr>
            <w:tcW w:w="1959" w:type="pct"/>
            <w:vAlign w:val="center"/>
          </w:tcPr>
          <w:p w14:paraId="2744C530">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601" w:type="pct"/>
            <w:vAlign w:val="center"/>
          </w:tcPr>
          <w:p w14:paraId="3F0D60EE">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09" w:type="pct"/>
            <w:vAlign w:val="center"/>
          </w:tcPr>
          <w:p w14:paraId="7F4C7275">
            <w:pPr>
              <w:adjustRightInd w:val="0"/>
              <w:snapToGrid w:val="0"/>
              <w:jc w:val="center"/>
              <w:rPr>
                <w:rFonts w:ascii="Times New Roman" w:hAnsi="Times New Roman" w:cs="Times New Roman"/>
                <w:color w:val="auto"/>
                <w:sz w:val="21"/>
                <w:lang w:eastAsia="zh-CN"/>
              </w:rPr>
            </w:pPr>
          </w:p>
        </w:tc>
      </w:tr>
      <w:bookmarkEnd w:id="609"/>
      <w:bookmarkEnd w:id="610"/>
    </w:tbl>
    <w:p w14:paraId="322FEF80">
      <w:pPr>
        <w:ind w:firstLine="482"/>
        <w:rPr>
          <w:rFonts w:ascii="Times New Roman" w:hAnsi="Times New Roman" w:cs="Times New Roman"/>
          <w:b/>
          <w:bCs/>
          <w:color w:val="auto"/>
          <w:lang w:eastAsia="zh-CN"/>
        </w:rPr>
      </w:pPr>
      <w:r>
        <w:rPr>
          <w:rFonts w:hint="eastAsia" w:ascii="Times New Roman" w:hAnsi="Times New Roman" w:cs="Times New Roman"/>
          <w:b/>
          <w:bCs/>
          <w:color w:val="auto"/>
          <w:lang w:eastAsia="zh-CN"/>
        </w:rPr>
        <w:t>依托可行性分析：</w:t>
      </w:r>
    </w:p>
    <w:p w14:paraId="0D50503D">
      <w:pPr>
        <w:ind w:firstLine="482"/>
        <w:rPr>
          <w:rFonts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本次改扩建项目，项目依托可行性分析如下。</w:t>
      </w:r>
    </w:p>
    <w:p w14:paraId="0DDA0B50">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ab/>
      </w:r>
      <w:r>
        <w:rPr>
          <w:rFonts w:ascii="Times New Roman" w:hAnsi="Times New Roman" w:cs="Times New Roman"/>
          <w:b/>
          <w:bCs/>
          <w:color w:val="auto"/>
          <w:lang w:eastAsia="zh-CN"/>
        </w:rPr>
        <w:t>表4.1-</w:t>
      </w:r>
      <w:r>
        <w:rPr>
          <w:rFonts w:hint="eastAsia" w:ascii="Times New Roman" w:hAnsi="Times New Roman" w:cs="Times New Roman"/>
          <w:b/>
          <w:bCs/>
          <w:color w:val="auto"/>
          <w:lang w:eastAsia="zh-CN"/>
        </w:rPr>
        <w:t>2</w:t>
      </w:r>
      <w:r>
        <w:rPr>
          <w:rFonts w:ascii="Times New Roman" w:hAnsi="Times New Roman" w:cs="Times New Roman"/>
          <w:b/>
          <w:bCs/>
          <w:color w:val="auto"/>
          <w:lang w:eastAsia="zh-CN"/>
        </w:rPr>
        <w:t xml:space="preserve"> 拟建项目</w:t>
      </w:r>
      <w:r>
        <w:rPr>
          <w:rFonts w:hint="eastAsia" w:ascii="Times New Roman" w:hAnsi="Times New Roman" w:cs="Times New Roman"/>
          <w:b/>
          <w:bCs/>
          <w:color w:val="auto"/>
          <w:lang w:eastAsia="zh-CN"/>
        </w:rPr>
        <w:t>与现有工程依托可行性分析</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33"/>
        <w:gridCol w:w="4679"/>
        <w:gridCol w:w="7515"/>
        <w:gridCol w:w="1351"/>
      </w:tblGrid>
      <w:tr w14:paraId="1ED848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386" w:type="pct"/>
            <w:vAlign w:val="center"/>
          </w:tcPr>
          <w:p w14:paraId="2E0F2159">
            <w:pPr>
              <w:jc w:val="center"/>
              <w:rPr>
                <w:rFonts w:ascii="Times New Roman" w:hAnsi="Times New Roman" w:cs="Times New Roman"/>
                <w:b/>
                <w:color w:val="000000" w:themeColor="text1"/>
                <w:sz w:val="21"/>
                <w14:textFill>
                  <w14:solidFill>
                    <w14:schemeClr w14:val="tx1"/>
                  </w14:solidFill>
                </w14:textFill>
              </w:rPr>
            </w:pPr>
            <w:r>
              <w:rPr>
                <w:rFonts w:hint="eastAsia" w:ascii="Times New Roman" w:hAnsi="Times New Roman" w:cs="Times New Roman"/>
                <w:b/>
                <w:color w:val="000000" w:themeColor="text1"/>
                <w:sz w:val="21"/>
                <w:lang w:eastAsia="zh-CN"/>
                <w14:textFill>
                  <w14:solidFill>
                    <w14:schemeClr w14:val="tx1"/>
                  </w14:solidFill>
                </w14:textFill>
              </w:rPr>
              <w:t>依托工程</w:t>
            </w:r>
          </w:p>
        </w:tc>
        <w:tc>
          <w:tcPr>
            <w:tcW w:w="1594" w:type="pct"/>
            <w:vAlign w:val="center"/>
          </w:tcPr>
          <w:p w14:paraId="157F1978">
            <w:pPr>
              <w:jc w:val="center"/>
              <w:rPr>
                <w:rFonts w:ascii="Times New Roman" w:hAnsi="Times New Roman" w:cs="Times New Roman"/>
                <w:b/>
                <w:color w:val="000000" w:themeColor="text1"/>
                <w:sz w:val="21"/>
                <w:lang w:eastAsia="zh-CN"/>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工程</w:t>
            </w:r>
            <w:r>
              <w:rPr>
                <w:rFonts w:hint="eastAsia" w:ascii="Times New Roman" w:hAnsi="Times New Roman" w:cs="Times New Roman"/>
                <w:b/>
                <w:color w:val="000000" w:themeColor="text1"/>
                <w:sz w:val="21"/>
                <w:lang w:eastAsia="zh-CN"/>
                <w14:textFill>
                  <w14:solidFill>
                    <w14:schemeClr w14:val="tx1"/>
                  </w14:solidFill>
                </w14:textFill>
              </w:rPr>
              <w:t>现状</w:t>
            </w:r>
          </w:p>
        </w:tc>
        <w:tc>
          <w:tcPr>
            <w:tcW w:w="2560" w:type="pct"/>
            <w:vAlign w:val="center"/>
          </w:tcPr>
          <w:p w14:paraId="4800D02C">
            <w:pPr>
              <w:jc w:val="center"/>
              <w:rPr>
                <w:rFonts w:ascii="Times New Roman" w:hAnsi="Times New Roman" w:cs="Times New Roman"/>
                <w:b/>
                <w:color w:val="000000" w:themeColor="text1"/>
                <w:sz w:val="21"/>
                <w:lang w:eastAsia="zh-CN"/>
                <w14:textFill>
                  <w14:solidFill>
                    <w14:schemeClr w14:val="tx1"/>
                  </w14:solidFill>
                </w14:textFill>
              </w:rPr>
            </w:pPr>
            <w:r>
              <w:rPr>
                <w:rFonts w:hint="eastAsia" w:ascii="Times New Roman" w:hAnsi="Times New Roman" w:cs="Times New Roman"/>
                <w:b/>
                <w:color w:val="000000" w:themeColor="text1"/>
                <w:sz w:val="21"/>
                <w:lang w:eastAsia="zh-CN"/>
                <w14:textFill>
                  <w14:solidFill>
                    <w14:schemeClr w14:val="tx1"/>
                  </w14:solidFill>
                </w14:textFill>
              </w:rPr>
              <w:t>本项目概况</w:t>
            </w:r>
          </w:p>
        </w:tc>
        <w:tc>
          <w:tcPr>
            <w:tcW w:w="460" w:type="pct"/>
            <w:vAlign w:val="center"/>
          </w:tcPr>
          <w:p w14:paraId="46964858">
            <w:pPr>
              <w:jc w:val="center"/>
              <w:rPr>
                <w:rFonts w:ascii="Times New Roman" w:hAnsi="Times New Roman" w:cs="Times New Roman"/>
                <w:b/>
                <w:color w:val="000000" w:themeColor="text1"/>
                <w:sz w:val="21"/>
                <w:lang w:eastAsia="zh-CN"/>
                <w14:textFill>
                  <w14:solidFill>
                    <w14:schemeClr w14:val="tx1"/>
                  </w14:solidFill>
                </w14:textFill>
              </w:rPr>
            </w:pPr>
            <w:r>
              <w:rPr>
                <w:rFonts w:hint="eastAsia" w:ascii="Times New Roman" w:hAnsi="Times New Roman" w:cs="Times New Roman"/>
                <w:b/>
                <w:color w:val="000000" w:themeColor="text1"/>
                <w:sz w:val="21"/>
                <w:lang w:eastAsia="zh-CN"/>
                <w14:textFill>
                  <w14:solidFill>
                    <w14:schemeClr w14:val="tx1"/>
                  </w14:solidFill>
                </w14:textFill>
              </w:rPr>
              <w:t>依托可行性</w:t>
            </w:r>
          </w:p>
        </w:tc>
      </w:tr>
      <w:tr w14:paraId="413E8C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6" w:type="pct"/>
            <w:vAlign w:val="center"/>
          </w:tcPr>
          <w:p w14:paraId="5727BEF5">
            <w:pPr>
              <w:jc w:val="center"/>
              <w:rPr>
                <w:rFonts w:ascii="Times New Roman" w:hAnsi="Times New Roman" w:cs="Times New Roman"/>
                <w:color w:val="000000" w:themeColor="text1"/>
                <w:sz w:val="21"/>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废水治理</w:t>
            </w:r>
          </w:p>
        </w:tc>
        <w:tc>
          <w:tcPr>
            <w:tcW w:w="1594" w:type="pct"/>
            <w:vAlign w:val="center"/>
          </w:tcPr>
          <w:p w14:paraId="5547DC04">
            <w:pPr>
              <w:jc w:val="center"/>
              <w:rPr>
                <w:rFonts w:ascii="Times New Roman" w:hAnsi="Times New Roman" w:cs="Times New Roman"/>
                <w:color w:val="000000" w:themeColor="text1"/>
                <w:sz w:val="21"/>
                <w:lang w:eastAsia="zh-CN"/>
                <w14:textFill>
                  <w14:solidFill>
                    <w14:schemeClr w14:val="tx1"/>
                  </w14:solidFill>
                </w14:textFill>
              </w:rPr>
            </w:pPr>
          </w:p>
        </w:tc>
        <w:tc>
          <w:tcPr>
            <w:tcW w:w="2560" w:type="pct"/>
            <w:vAlign w:val="center"/>
          </w:tcPr>
          <w:p w14:paraId="40D069C8">
            <w:pPr>
              <w:jc w:val="center"/>
              <w:rPr>
                <w:rFonts w:ascii="Times New Roman" w:hAnsi="Times New Roman" w:cs="Times New Roman"/>
                <w:color w:val="000000" w:themeColor="text1"/>
                <w:sz w:val="21"/>
                <w:lang w:eastAsia="zh-CN"/>
                <w14:textFill>
                  <w14:solidFill>
                    <w14:schemeClr w14:val="tx1"/>
                  </w14:solidFill>
                </w14:textFill>
              </w:rPr>
            </w:pPr>
          </w:p>
        </w:tc>
        <w:tc>
          <w:tcPr>
            <w:tcW w:w="460" w:type="pct"/>
            <w:vAlign w:val="center"/>
          </w:tcPr>
          <w:p w14:paraId="6690F5B7">
            <w:pPr>
              <w:jc w:val="center"/>
              <w:rPr>
                <w:rFonts w:ascii="Times New Roman" w:hAnsi="Times New Roman" w:cs="Times New Roman"/>
                <w:color w:val="000000" w:themeColor="text1"/>
                <w:sz w:val="21"/>
                <w:lang w:eastAsia="zh-CN"/>
                <w14:textFill>
                  <w14:solidFill>
                    <w14:schemeClr w14:val="tx1"/>
                  </w14:solidFill>
                </w14:textFill>
              </w:rPr>
            </w:pPr>
          </w:p>
        </w:tc>
      </w:tr>
      <w:tr w14:paraId="0911EC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6" w:type="pct"/>
            <w:vAlign w:val="center"/>
          </w:tcPr>
          <w:p w14:paraId="19B3D1E1">
            <w:pPr>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废气治理</w:t>
            </w:r>
          </w:p>
        </w:tc>
        <w:tc>
          <w:tcPr>
            <w:tcW w:w="1594" w:type="pct"/>
            <w:vAlign w:val="center"/>
          </w:tcPr>
          <w:p w14:paraId="22875837">
            <w:pPr>
              <w:jc w:val="center"/>
              <w:rPr>
                <w:rFonts w:ascii="Times New Roman" w:hAnsi="Times New Roman" w:cs="Times New Roman"/>
                <w:bCs/>
                <w:color w:val="000000" w:themeColor="text1"/>
                <w:sz w:val="21"/>
                <w:lang w:eastAsia="zh-CN"/>
                <w14:textFill>
                  <w14:solidFill>
                    <w14:schemeClr w14:val="tx1"/>
                  </w14:solidFill>
                </w14:textFill>
              </w:rPr>
            </w:pPr>
          </w:p>
        </w:tc>
        <w:tc>
          <w:tcPr>
            <w:tcW w:w="2560" w:type="pct"/>
            <w:vAlign w:val="center"/>
          </w:tcPr>
          <w:p w14:paraId="3D5007A7">
            <w:pPr>
              <w:jc w:val="center"/>
              <w:rPr>
                <w:rFonts w:ascii="Times New Roman" w:hAnsi="Times New Roman" w:cs="Times New Roman"/>
                <w:color w:val="000000" w:themeColor="text1"/>
                <w:sz w:val="21"/>
                <w:lang w:eastAsia="zh-CN"/>
                <w14:textFill>
                  <w14:solidFill>
                    <w14:schemeClr w14:val="tx1"/>
                  </w14:solidFill>
                </w14:textFill>
              </w:rPr>
            </w:pPr>
          </w:p>
        </w:tc>
        <w:tc>
          <w:tcPr>
            <w:tcW w:w="460" w:type="pct"/>
            <w:vAlign w:val="center"/>
          </w:tcPr>
          <w:p w14:paraId="42426B0F">
            <w:pPr>
              <w:jc w:val="center"/>
              <w:rPr>
                <w:rFonts w:ascii="Times New Roman" w:hAnsi="Times New Roman" w:cs="Times New Roman"/>
                <w:color w:val="000000" w:themeColor="text1"/>
                <w:sz w:val="21"/>
                <w:lang w:eastAsia="zh-CN"/>
                <w14:textFill>
                  <w14:solidFill>
                    <w14:schemeClr w14:val="tx1"/>
                  </w14:solidFill>
                </w14:textFill>
              </w:rPr>
            </w:pPr>
          </w:p>
        </w:tc>
      </w:tr>
    </w:tbl>
    <w:p w14:paraId="2867F2FF">
      <w:pPr>
        <w:tabs>
          <w:tab w:val="left" w:pos="6570"/>
        </w:tabs>
        <w:rPr>
          <w:rFonts w:ascii="Times New Roman" w:hAnsi="Times New Roman" w:cs="Times New Roman"/>
          <w:lang w:eastAsia="zh-CN"/>
        </w:rPr>
        <w:sectPr>
          <w:pgSz w:w="16838" w:h="11906" w:orient="landscape"/>
          <w:pgMar w:top="1440" w:right="1080" w:bottom="1440" w:left="1080" w:header="851" w:footer="992" w:gutter="0"/>
          <w:cols w:space="720" w:num="1"/>
          <w:docGrid w:type="lines" w:linePitch="326" w:charSpace="0"/>
        </w:sectPr>
      </w:pPr>
    </w:p>
    <w:p w14:paraId="36E1FB13">
      <w:pPr>
        <w:spacing w:line="360" w:lineRule="auto"/>
        <w:ind w:firstLine="482"/>
        <w:jc w:val="both"/>
        <w:outlineLvl w:val="2"/>
        <w:rPr>
          <w:rFonts w:ascii="Times New Roman" w:hAnsi="Times New Roman" w:cs="Times New Roman"/>
          <w:b/>
          <w:bCs/>
          <w:color w:val="auto"/>
          <w:szCs w:val="24"/>
          <w:lang w:eastAsia="zh-CN"/>
        </w:rPr>
      </w:pPr>
      <w:bookmarkStart w:id="611" w:name="_Toc236641296"/>
      <w:bookmarkStart w:id="612" w:name="_Toc224674670"/>
      <w:bookmarkStart w:id="613" w:name="_Toc175164259"/>
      <w:bookmarkStart w:id="614" w:name="_Toc217662647"/>
      <w:bookmarkStart w:id="615" w:name="_Toc172555638"/>
      <w:bookmarkStart w:id="616" w:name="_Toc178602335"/>
      <w:bookmarkStart w:id="617" w:name="_Toc221900814"/>
      <w:bookmarkStart w:id="618" w:name="_Toc176512995"/>
      <w:bookmarkStart w:id="619" w:name="_Toc173743369"/>
      <w:bookmarkStart w:id="620" w:name="_Toc225784031"/>
      <w:bookmarkStart w:id="621" w:name="_Toc231828565"/>
      <w:bookmarkStart w:id="622" w:name="_Toc236641813"/>
      <w:bookmarkStart w:id="623" w:name="_Toc173740265"/>
      <w:bookmarkStart w:id="624" w:name="_Toc204448448"/>
      <w:bookmarkStart w:id="625" w:name="_Toc223425032"/>
      <w:bookmarkStart w:id="626" w:name="_Toc204515183"/>
      <w:bookmarkStart w:id="627" w:name="_Toc237508278"/>
      <w:bookmarkStart w:id="628" w:name="_Toc203926982"/>
      <w:bookmarkStart w:id="629" w:name="_Toc218784257"/>
      <w:r>
        <w:rPr>
          <w:rFonts w:ascii="Times New Roman" w:hAnsi="Times New Roman" w:cs="Times New Roman"/>
          <w:b/>
          <w:bCs/>
          <w:color w:val="auto"/>
          <w:szCs w:val="24"/>
          <w:lang w:eastAsia="zh-CN"/>
        </w:rPr>
        <w:t>4.1.3 产品方案及质量指标</w:t>
      </w:r>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p>
    <w:p w14:paraId="1669EAF6">
      <w:pPr>
        <w:spacing w:line="360" w:lineRule="auto"/>
        <w:ind w:firstLine="482"/>
        <w:jc w:val="both"/>
        <w:outlineLvl w:val="3"/>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4.1.3.1 产品方案</w:t>
      </w:r>
    </w:p>
    <w:p w14:paraId="786797C9">
      <w:pPr>
        <w:spacing w:line="360" w:lineRule="auto"/>
        <w:ind w:firstLine="480" w:firstLineChars="200"/>
        <w:rPr>
          <w:rFonts w:ascii="Times New Roman" w:hAnsi="Times New Roman" w:cs="Times New Roman"/>
          <w:bCs/>
          <w:color w:val="auto"/>
          <w:szCs w:val="24"/>
          <w:lang w:eastAsia="zh-CN"/>
        </w:rPr>
      </w:pPr>
      <w:r>
        <w:rPr>
          <w:rFonts w:hint="eastAsia" w:ascii="Times New Roman" w:hAnsi="Times New Roman"/>
          <w:bCs/>
          <w:color w:val="auto"/>
          <w:szCs w:val="24"/>
          <w:lang w:eastAsia="zh-CN"/>
        </w:rPr>
        <w:t>改扩建后，全厂</w:t>
      </w:r>
      <w:r>
        <w:rPr>
          <w:rFonts w:ascii="Times New Roman" w:hAnsi="Times New Roman" w:cs="Times New Roman"/>
          <w:bCs/>
          <w:color w:val="auto"/>
          <w:szCs w:val="24"/>
          <w:lang w:eastAsia="zh-CN"/>
        </w:rPr>
        <w:t>产品方案</w:t>
      </w:r>
      <w:r>
        <w:rPr>
          <w:rFonts w:hint="eastAsia" w:ascii="Times New Roman" w:hAnsi="Times New Roman" w:cs="Times New Roman"/>
          <w:bCs/>
          <w:color w:val="auto"/>
          <w:szCs w:val="24"/>
          <w:lang w:eastAsia="zh-CN"/>
        </w:rPr>
        <w:t>变化情况</w:t>
      </w:r>
      <w:r>
        <w:rPr>
          <w:rFonts w:ascii="Times New Roman" w:hAnsi="Times New Roman" w:cs="Times New Roman"/>
          <w:bCs/>
          <w:color w:val="auto"/>
          <w:szCs w:val="24"/>
          <w:lang w:eastAsia="zh-CN"/>
        </w:rPr>
        <w:t>见</w:t>
      </w:r>
      <w:r>
        <w:rPr>
          <w:rFonts w:hint="eastAsia" w:ascii="Times New Roman" w:hAnsi="Times New Roman" w:cs="Times New Roman"/>
          <w:bCs/>
          <w:color w:val="auto"/>
          <w:szCs w:val="24"/>
          <w:lang w:eastAsia="zh-CN"/>
        </w:rPr>
        <w:t>下表</w:t>
      </w:r>
      <w:r>
        <w:rPr>
          <w:rFonts w:ascii="Times New Roman" w:hAnsi="Times New Roman" w:cs="Times New Roman"/>
          <w:bCs/>
          <w:color w:val="auto"/>
          <w:szCs w:val="24"/>
          <w:lang w:eastAsia="zh-CN"/>
        </w:rPr>
        <w:t>。</w:t>
      </w:r>
    </w:p>
    <w:p w14:paraId="4C64A487">
      <w:pPr>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表4.1-</w:t>
      </w:r>
      <w:r>
        <w:rPr>
          <w:rFonts w:hint="eastAsia" w:ascii="Times New Roman" w:hAnsi="Times New Roman" w:cs="Times New Roman"/>
          <w:b/>
          <w:bCs/>
          <w:color w:val="auto"/>
          <w:szCs w:val="24"/>
          <w:lang w:eastAsia="zh-CN"/>
        </w:rPr>
        <w:t>3 改扩建后，全厂</w:t>
      </w:r>
      <w:r>
        <w:rPr>
          <w:rFonts w:ascii="Times New Roman" w:hAnsi="Times New Roman" w:cs="Times New Roman"/>
          <w:b/>
          <w:bCs/>
          <w:color w:val="auto"/>
          <w:szCs w:val="24"/>
          <w:lang w:eastAsia="zh-CN"/>
        </w:rPr>
        <w:t>产品方案</w:t>
      </w:r>
      <w:r>
        <w:rPr>
          <w:rFonts w:hint="eastAsia" w:ascii="Times New Roman" w:hAnsi="Times New Roman" w:cs="Times New Roman"/>
          <w:b/>
          <w:bCs/>
          <w:color w:val="auto"/>
          <w:szCs w:val="24"/>
          <w:lang w:eastAsia="zh-CN"/>
        </w:rPr>
        <w:t>变化情况</w:t>
      </w:r>
      <w:r>
        <w:rPr>
          <w:rFonts w:ascii="Times New Roman" w:hAnsi="Times New Roman" w:cs="Times New Roman"/>
          <w:b/>
          <w:bCs/>
          <w:color w:val="auto"/>
          <w:szCs w:val="24"/>
          <w:lang w:eastAsia="zh-CN"/>
        </w:rPr>
        <w:t>一览表</w:t>
      </w:r>
    </w:p>
    <w:tbl>
      <w:tblPr>
        <w:tblStyle w:val="35"/>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150"/>
        <w:gridCol w:w="609"/>
        <w:gridCol w:w="882"/>
        <w:gridCol w:w="668"/>
        <w:gridCol w:w="1265"/>
        <w:gridCol w:w="704"/>
        <w:gridCol w:w="1404"/>
        <w:gridCol w:w="706"/>
        <w:gridCol w:w="1512"/>
      </w:tblGrid>
      <w:tr w14:paraId="5F53E4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0" w:type="dxa"/>
            <w:vAlign w:val="center"/>
          </w:tcPr>
          <w:p w14:paraId="132CC62A">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产品名称</w:t>
            </w:r>
          </w:p>
        </w:tc>
        <w:tc>
          <w:tcPr>
            <w:tcW w:w="1091" w:type="dxa"/>
            <w:vAlign w:val="center"/>
          </w:tcPr>
          <w:p w14:paraId="37BAE5C5">
            <w:pPr>
              <w:widowControl w:val="0"/>
              <w:adjustRightInd w:val="0"/>
              <w:snapToGrid w:val="0"/>
              <w:jc w:val="center"/>
              <w:rPr>
                <w:rFonts w:ascii="Times New Roman" w:hAnsi="Times New Roman" w:cs="Times New Roman"/>
                <w:b/>
                <w:bCs/>
                <w:color w:val="auto"/>
                <w:sz w:val="21"/>
              </w:rPr>
            </w:pPr>
            <w:r>
              <w:rPr>
                <w:rFonts w:hint="eastAsia" w:ascii="Times New Roman" w:hAnsi="Times New Roman" w:cs="Times New Roman"/>
                <w:b/>
                <w:bCs/>
                <w:color w:val="auto"/>
                <w:sz w:val="21"/>
                <w:lang w:eastAsia="zh-CN"/>
              </w:rPr>
              <w:t>规格</w:t>
            </w:r>
          </w:p>
        </w:tc>
        <w:tc>
          <w:tcPr>
            <w:tcW w:w="611" w:type="dxa"/>
            <w:vAlign w:val="center"/>
          </w:tcPr>
          <w:p w14:paraId="180D7D00">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单位</w:t>
            </w:r>
          </w:p>
        </w:tc>
        <w:tc>
          <w:tcPr>
            <w:tcW w:w="886" w:type="dxa"/>
            <w:vAlign w:val="center"/>
          </w:tcPr>
          <w:p w14:paraId="588138F3">
            <w:pPr>
              <w:widowControl w:val="0"/>
              <w:adjustRightInd w:val="0"/>
              <w:snapToGrid w:val="0"/>
              <w:jc w:val="center"/>
              <w:rPr>
                <w:rFonts w:ascii="Times New Roman" w:hAnsi="Times New Roman" w:cs="Times New Roman"/>
                <w:b/>
                <w:bCs/>
                <w:color w:val="auto"/>
                <w:sz w:val="21"/>
              </w:rPr>
            </w:pPr>
            <w:r>
              <w:rPr>
                <w:rFonts w:hint="eastAsia" w:ascii="Times New Roman" w:hAnsi="Times New Roman" w:cs="Times New Roman"/>
                <w:b/>
                <w:bCs/>
                <w:color w:val="auto"/>
                <w:sz w:val="21"/>
                <w:lang w:eastAsia="zh-CN"/>
              </w:rPr>
              <w:t>现有工程</w:t>
            </w:r>
            <w:r>
              <w:rPr>
                <w:rFonts w:ascii="Times New Roman" w:hAnsi="Times New Roman" w:cs="Times New Roman"/>
                <w:b/>
                <w:bCs/>
                <w:color w:val="auto"/>
                <w:sz w:val="21"/>
              </w:rPr>
              <w:t>产能</w:t>
            </w:r>
          </w:p>
        </w:tc>
        <w:tc>
          <w:tcPr>
            <w:tcW w:w="1949" w:type="dxa"/>
            <w:gridSpan w:val="2"/>
            <w:vAlign w:val="center"/>
          </w:tcPr>
          <w:p w14:paraId="4AE44604">
            <w:pPr>
              <w:widowControl w:val="0"/>
              <w:adjustRightInd w:val="0"/>
              <w:snapToGrid w:val="0"/>
              <w:jc w:val="center"/>
              <w:rPr>
                <w:rFonts w:ascii="Times New Roman" w:hAnsi="Times New Roman" w:cs="Times New Roman"/>
                <w:b/>
                <w:bCs/>
                <w:color w:val="EE0000"/>
                <w:sz w:val="21"/>
                <w:lang w:eastAsia="zh-CN"/>
              </w:rPr>
            </w:pPr>
            <w:r>
              <w:rPr>
                <w:rFonts w:hint="eastAsia" w:ascii="Times New Roman" w:hAnsi="Times New Roman" w:cs="Times New Roman"/>
                <w:b/>
                <w:bCs/>
                <w:color w:val="auto"/>
                <w:sz w:val="21"/>
                <w:lang w:eastAsia="zh-CN"/>
              </w:rPr>
              <w:t>改扩建后全厂产能</w:t>
            </w:r>
          </w:p>
        </w:tc>
        <w:tc>
          <w:tcPr>
            <w:tcW w:w="2126" w:type="dxa"/>
            <w:gridSpan w:val="2"/>
            <w:vAlign w:val="center"/>
          </w:tcPr>
          <w:p w14:paraId="76C5291D">
            <w:pPr>
              <w:widowControl w:val="0"/>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产品变化情况</w:t>
            </w:r>
          </w:p>
        </w:tc>
        <w:tc>
          <w:tcPr>
            <w:tcW w:w="709" w:type="dxa"/>
            <w:vAlign w:val="center"/>
          </w:tcPr>
          <w:p w14:paraId="04C7271D">
            <w:pPr>
              <w:widowControl w:val="0"/>
              <w:adjustRightInd w:val="0"/>
              <w:snapToGrid w:val="0"/>
              <w:jc w:val="center"/>
              <w:rPr>
                <w:rFonts w:ascii="Times New Roman" w:hAnsi="Times New Roman" w:cs="Times New Roman"/>
                <w:b/>
                <w:bCs/>
                <w:color w:val="auto"/>
                <w:sz w:val="21"/>
              </w:rPr>
            </w:pPr>
            <w:r>
              <w:rPr>
                <w:rFonts w:hint="eastAsia" w:ascii="Times New Roman" w:hAnsi="Times New Roman" w:cs="Times New Roman"/>
                <w:b/>
                <w:bCs/>
                <w:color w:val="auto"/>
                <w:sz w:val="21"/>
                <w:lang w:eastAsia="zh-CN"/>
              </w:rPr>
              <w:t>储存</w:t>
            </w:r>
            <w:r>
              <w:rPr>
                <w:rFonts w:ascii="Times New Roman" w:hAnsi="Times New Roman" w:cs="Times New Roman"/>
                <w:b/>
                <w:bCs/>
                <w:color w:val="auto"/>
                <w:sz w:val="21"/>
                <w:lang w:eastAsia="zh-CN"/>
              </w:rPr>
              <w:t>方式</w:t>
            </w:r>
          </w:p>
        </w:tc>
        <w:tc>
          <w:tcPr>
            <w:tcW w:w="1524" w:type="dxa"/>
            <w:vAlign w:val="center"/>
          </w:tcPr>
          <w:p w14:paraId="67343476">
            <w:pPr>
              <w:widowControl w:val="0"/>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行业类别</w:t>
            </w:r>
          </w:p>
        </w:tc>
      </w:tr>
      <w:tr w14:paraId="27AE70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0" w:type="dxa"/>
            <w:vAlign w:val="center"/>
          </w:tcPr>
          <w:p w14:paraId="4A8E33F6">
            <w:pPr>
              <w:pStyle w:val="66"/>
              <w:widowControl w:val="0"/>
              <w:tabs>
                <w:tab w:val="clear" w:pos="1080"/>
              </w:tabs>
              <w:adjustRightInd w:val="0"/>
              <w:snapToGrid w:val="0"/>
              <w:spacing w:line="240" w:lineRule="auto"/>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电子级氢氟酸</w:t>
            </w:r>
          </w:p>
        </w:tc>
        <w:tc>
          <w:tcPr>
            <w:tcW w:w="1091" w:type="dxa"/>
            <w:vAlign w:val="center"/>
          </w:tcPr>
          <w:p w14:paraId="4C6C5249">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HF49%</w:t>
            </w:r>
          </w:p>
        </w:tc>
        <w:tc>
          <w:tcPr>
            <w:tcW w:w="611" w:type="dxa"/>
            <w:vAlign w:val="center"/>
          </w:tcPr>
          <w:p w14:paraId="729DA643">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t/a</w:t>
            </w:r>
          </w:p>
        </w:tc>
        <w:tc>
          <w:tcPr>
            <w:tcW w:w="886" w:type="dxa"/>
            <w:vAlign w:val="center"/>
          </w:tcPr>
          <w:p w14:paraId="25006030">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2万</w:t>
            </w:r>
          </w:p>
        </w:tc>
        <w:tc>
          <w:tcPr>
            <w:tcW w:w="1949" w:type="dxa"/>
            <w:gridSpan w:val="2"/>
            <w:vAlign w:val="center"/>
          </w:tcPr>
          <w:p w14:paraId="7C96F02F">
            <w:pPr>
              <w:widowControl w:val="0"/>
              <w:adjustRightInd w:val="0"/>
              <w:snapToGrid w:val="0"/>
              <w:jc w:val="center"/>
              <w:rPr>
                <w:rFonts w:ascii="Times New Roman" w:hAnsi="Times New Roman" w:cs="Times New Roman"/>
                <w:color w:val="EE0000"/>
                <w:sz w:val="21"/>
                <w:lang w:eastAsia="zh-CN"/>
              </w:rPr>
            </w:pPr>
          </w:p>
        </w:tc>
        <w:tc>
          <w:tcPr>
            <w:tcW w:w="2126" w:type="dxa"/>
            <w:gridSpan w:val="2"/>
            <w:vAlign w:val="center"/>
          </w:tcPr>
          <w:p w14:paraId="5B3EC1BA">
            <w:pPr>
              <w:widowControl w:val="0"/>
              <w:adjustRightInd w:val="0"/>
              <w:snapToGrid w:val="0"/>
              <w:jc w:val="center"/>
              <w:rPr>
                <w:rFonts w:ascii="Times New Roman" w:hAnsi="Times New Roman" w:cs="Times New Roman"/>
                <w:color w:val="auto"/>
                <w:sz w:val="21"/>
                <w:lang w:eastAsia="zh-CN"/>
              </w:rPr>
            </w:pPr>
          </w:p>
        </w:tc>
        <w:tc>
          <w:tcPr>
            <w:tcW w:w="709" w:type="dxa"/>
            <w:vAlign w:val="center"/>
          </w:tcPr>
          <w:p w14:paraId="119AECE4">
            <w:pPr>
              <w:widowControl w:val="0"/>
              <w:adjustRightInd w:val="0"/>
              <w:snapToGrid w:val="0"/>
              <w:jc w:val="center"/>
              <w:rPr>
                <w:rFonts w:ascii="Times New Roman" w:hAnsi="Times New Roman" w:cs="Times New Roman"/>
                <w:color w:val="auto"/>
                <w:sz w:val="21"/>
                <w:lang w:eastAsia="zh-CN"/>
              </w:rPr>
            </w:pPr>
          </w:p>
        </w:tc>
        <w:tc>
          <w:tcPr>
            <w:tcW w:w="1524" w:type="dxa"/>
            <w:vMerge w:val="restart"/>
            <w:vAlign w:val="center"/>
          </w:tcPr>
          <w:p w14:paraId="7F7EA504">
            <w:pPr>
              <w:widowControl w:val="0"/>
              <w:adjustRightInd w:val="0"/>
              <w:snapToGrid w:val="0"/>
              <w:jc w:val="center"/>
              <w:rPr>
                <w:rFonts w:ascii="Times New Roman" w:hAnsi="Times New Roman" w:cs="Times New Roman"/>
                <w:color w:val="auto"/>
                <w:sz w:val="21"/>
                <w:lang w:eastAsia="zh-CN"/>
              </w:rPr>
            </w:pPr>
          </w:p>
        </w:tc>
      </w:tr>
      <w:tr w14:paraId="72A942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0" w:type="dxa"/>
            <w:vMerge w:val="restart"/>
            <w:vAlign w:val="center"/>
          </w:tcPr>
          <w:p w14:paraId="0251C70B">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化学纯氢氟酸</w:t>
            </w:r>
          </w:p>
        </w:tc>
        <w:tc>
          <w:tcPr>
            <w:tcW w:w="1091" w:type="dxa"/>
            <w:vMerge w:val="restart"/>
            <w:vAlign w:val="center"/>
          </w:tcPr>
          <w:p w14:paraId="164DA752">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HF55%</w:t>
            </w:r>
          </w:p>
        </w:tc>
        <w:tc>
          <w:tcPr>
            <w:tcW w:w="611" w:type="dxa"/>
            <w:vMerge w:val="restart"/>
            <w:vAlign w:val="center"/>
          </w:tcPr>
          <w:p w14:paraId="3C18C2B8">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t/a</w:t>
            </w:r>
          </w:p>
        </w:tc>
        <w:tc>
          <w:tcPr>
            <w:tcW w:w="886" w:type="dxa"/>
            <w:vMerge w:val="restart"/>
            <w:vAlign w:val="center"/>
          </w:tcPr>
          <w:p w14:paraId="1CF2D3BA">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4万</w:t>
            </w:r>
          </w:p>
        </w:tc>
        <w:tc>
          <w:tcPr>
            <w:tcW w:w="673" w:type="dxa"/>
            <w:vMerge w:val="restart"/>
            <w:vAlign w:val="center"/>
          </w:tcPr>
          <w:p w14:paraId="1F46E999">
            <w:pPr>
              <w:widowControl w:val="0"/>
              <w:adjustRightInd w:val="0"/>
              <w:snapToGrid w:val="0"/>
              <w:jc w:val="center"/>
              <w:rPr>
                <w:rFonts w:ascii="Times New Roman" w:hAnsi="Times New Roman" w:cs="Times New Roman"/>
                <w:color w:val="EE0000"/>
                <w:sz w:val="21"/>
                <w:lang w:eastAsia="zh-CN"/>
              </w:rPr>
            </w:pPr>
          </w:p>
        </w:tc>
        <w:tc>
          <w:tcPr>
            <w:tcW w:w="1276" w:type="dxa"/>
            <w:vAlign w:val="center"/>
          </w:tcPr>
          <w:p w14:paraId="3A04E360">
            <w:pPr>
              <w:widowControl w:val="0"/>
              <w:adjustRightInd w:val="0"/>
              <w:snapToGrid w:val="0"/>
              <w:jc w:val="center"/>
              <w:rPr>
                <w:rFonts w:ascii="Times New Roman" w:hAnsi="Times New Roman" w:cs="Times New Roman"/>
                <w:color w:val="auto"/>
                <w:sz w:val="21"/>
                <w:lang w:eastAsia="zh-CN"/>
              </w:rPr>
            </w:pPr>
          </w:p>
        </w:tc>
        <w:tc>
          <w:tcPr>
            <w:tcW w:w="709" w:type="dxa"/>
            <w:vMerge w:val="restart"/>
            <w:vAlign w:val="center"/>
          </w:tcPr>
          <w:p w14:paraId="47F08E6A">
            <w:pPr>
              <w:widowControl w:val="0"/>
              <w:adjustRightInd w:val="0"/>
              <w:snapToGrid w:val="0"/>
              <w:jc w:val="center"/>
              <w:rPr>
                <w:rFonts w:ascii="Times New Roman" w:hAnsi="Times New Roman" w:cs="Times New Roman"/>
                <w:color w:val="auto"/>
                <w:sz w:val="21"/>
                <w:lang w:eastAsia="zh-CN"/>
              </w:rPr>
            </w:pPr>
          </w:p>
        </w:tc>
        <w:tc>
          <w:tcPr>
            <w:tcW w:w="1417" w:type="dxa"/>
            <w:vAlign w:val="center"/>
          </w:tcPr>
          <w:p w14:paraId="70D538F0">
            <w:pPr>
              <w:widowControl w:val="0"/>
              <w:adjustRightInd w:val="0"/>
              <w:snapToGrid w:val="0"/>
              <w:jc w:val="center"/>
              <w:rPr>
                <w:rFonts w:ascii="Times New Roman" w:hAnsi="Times New Roman" w:cs="Times New Roman"/>
                <w:color w:val="auto"/>
                <w:sz w:val="21"/>
                <w:lang w:eastAsia="zh-CN"/>
              </w:rPr>
            </w:pPr>
          </w:p>
        </w:tc>
        <w:tc>
          <w:tcPr>
            <w:tcW w:w="709" w:type="dxa"/>
            <w:vAlign w:val="center"/>
          </w:tcPr>
          <w:p w14:paraId="3EF631B8">
            <w:pPr>
              <w:widowControl w:val="0"/>
              <w:adjustRightInd w:val="0"/>
              <w:snapToGrid w:val="0"/>
              <w:jc w:val="center"/>
              <w:rPr>
                <w:rFonts w:ascii="Times New Roman" w:hAnsi="Times New Roman" w:cs="Times New Roman"/>
                <w:color w:val="auto"/>
                <w:sz w:val="21"/>
                <w:lang w:eastAsia="zh-CN"/>
              </w:rPr>
            </w:pPr>
          </w:p>
        </w:tc>
        <w:tc>
          <w:tcPr>
            <w:tcW w:w="1524" w:type="dxa"/>
            <w:vMerge w:val="continue"/>
            <w:vAlign w:val="center"/>
          </w:tcPr>
          <w:p w14:paraId="05DE344B">
            <w:pPr>
              <w:widowControl w:val="0"/>
              <w:adjustRightInd w:val="0"/>
              <w:snapToGrid w:val="0"/>
              <w:jc w:val="center"/>
              <w:rPr>
                <w:rFonts w:ascii="Times New Roman" w:hAnsi="Times New Roman" w:cs="Times New Roman"/>
                <w:color w:val="auto"/>
                <w:sz w:val="21"/>
                <w:lang w:eastAsia="zh-CN"/>
              </w:rPr>
            </w:pPr>
          </w:p>
        </w:tc>
      </w:tr>
      <w:tr w14:paraId="35C9F1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0" w:type="dxa"/>
            <w:vMerge w:val="continue"/>
            <w:vAlign w:val="center"/>
          </w:tcPr>
          <w:p w14:paraId="37E3002F">
            <w:pPr>
              <w:widowControl w:val="0"/>
              <w:adjustRightInd w:val="0"/>
              <w:snapToGrid w:val="0"/>
              <w:jc w:val="center"/>
              <w:rPr>
                <w:rFonts w:ascii="Times New Roman" w:hAnsi="Times New Roman" w:cs="Times New Roman"/>
                <w:color w:val="auto"/>
                <w:sz w:val="21"/>
                <w:lang w:eastAsia="zh-CN"/>
              </w:rPr>
            </w:pPr>
          </w:p>
        </w:tc>
        <w:tc>
          <w:tcPr>
            <w:tcW w:w="1091" w:type="dxa"/>
            <w:vMerge w:val="continue"/>
            <w:vAlign w:val="center"/>
          </w:tcPr>
          <w:p w14:paraId="1A8ADD59">
            <w:pPr>
              <w:widowControl w:val="0"/>
              <w:adjustRightInd w:val="0"/>
              <w:snapToGrid w:val="0"/>
              <w:jc w:val="center"/>
              <w:rPr>
                <w:rFonts w:ascii="Times New Roman" w:hAnsi="Times New Roman" w:cs="Times New Roman"/>
                <w:color w:val="auto"/>
                <w:sz w:val="21"/>
                <w:lang w:eastAsia="zh-CN"/>
              </w:rPr>
            </w:pPr>
          </w:p>
        </w:tc>
        <w:tc>
          <w:tcPr>
            <w:tcW w:w="611" w:type="dxa"/>
            <w:vMerge w:val="continue"/>
            <w:vAlign w:val="center"/>
          </w:tcPr>
          <w:p w14:paraId="5C5A63BD">
            <w:pPr>
              <w:widowControl w:val="0"/>
              <w:adjustRightInd w:val="0"/>
              <w:snapToGrid w:val="0"/>
              <w:jc w:val="center"/>
              <w:rPr>
                <w:rFonts w:ascii="Times New Roman" w:hAnsi="Times New Roman" w:cs="Times New Roman"/>
                <w:color w:val="auto"/>
                <w:sz w:val="21"/>
              </w:rPr>
            </w:pPr>
          </w:p>
        </w:tc>
        <w:tc>
          <w:tcPr>
            <w:tcW w:w="886" w:type="dxa"/>
            <w:vMerge w:val="continue"/>
            <w:vAlign w:val="center"/>
          </w:tcPr>
          <w:p w14:paraId="12B143A6">
            <w:pPr>
              <w:widowControl w:val="0"/>
              <w:adjustRightInd w:val="0"/>
              <w:snapToGrid w:val="0"/>
              <w:jc w:val="center"/>
              <w:rPr>
                <w:rFonts w:ascii="Times New Roman" w:hAnsi="Times New Roman" w:cs="Times New Roman"/>
                <w:color w:val="auto"/>
                <w:sz w:val="21"/>
                <w:lang w:eastAsia="zh-CN"/>
              </w:rPr>
            </w:pPr>
          </w:p>
        </w:tc>
        <w:tc>
          <w:tcPr>
            <w:tcW w:w="673" w:type="dxa"/>
            <w:vMerge w:val="continue"/>
            <w:vAlign w:val="center"/>
          </w:tcPr>
          <w:p w14:paraId="433E2E3E">
            <w:pPr>
              <w:widowControl w:val="0"/>
              <w:adjustRightInd w:val="0"/>
              <w:snapToGrid w:val="0"/>
              <w:jc w:val="center"/>
              <w:rPr>
                <w:rFonts w:ascii="Times New Roman" w:hAnsi="Times New Roman" w:cs="Times New Roman"/>
                <w:color w:val="auto"/>
                <w:sz w:val="21"/>
                <w:lang w:eastAsia="zh-CN"/>
              </w:rPr>
            </w:pPr>
          </w:p>
        </w:tc>
        <w:tc>
          <w:tcPr>
            <w:tcW w:w="1276" w:type="dxa"/>
            <w:vAlign w:val="center"/>
          </w:tcPr>
          <w:p w14:paraId="357CDFB1">
            <w:pPr>
              <w:widowControl w:val="0"/>
              <w:adjustRightInd w:val="0"/>
              <w:snapToGrid w:val="0"/>
              <w:jc w:val="center"/>
              <w:rPr>
                <w:rFonts w:ascii="Times New Roman" w:hAnsi="Times New Roman" w:cs="Times New Roman"/>
                <w:color w:val="auto"/>
                <w:sz w:val="21"/>
                <w:lang w:eastAsia="zh-CN"/>
              </w:rPr>
            </w:pPr>
          </w:p>
        </w:tc>
        <w:tc>
          <w:tcPr>
            <w:tcW w:w="709" w:type="dxa"/>
            <w:vMerge w:val="continue"/>
            <w:vAlign w:val="center"/>
          </w:tcPr>
          <w:p w14:paraId="140D134E">
            <w:pPr>
              <w:widowControl w:val="0"/>
              <w:adjustRightInd w:val="0"/>
              <w:snapToGrid w:val="0"/>
              <w:jc w:val="center"/>
              <w:rPr>
                <w:rFonts w:ascii="Times New Roman" w:hAnsi="Times New Roman" w:cs="Times New Roman"/>
                <w:color w:val="auto"/>
                <w:sz w:val="21"/>
                <w:lang w:eastAsia="zh-CN"/>
              </w:rPr>
            </w:pPr>
          </w:p>
        </w:tc>
        <w:tc>
          <w:tcPr>
            <w:tcW w:w="1417" w:type="dxa"/>
            <w:vAlign w:val="center"/>
          </w:tcPr>
          <w:p w14:paraId="129E5F79">
            <w:pPr>
              <w:widowControl w:val="0"/>
              <w:adjustRightInd w:val="0"/>
              <w:snapToGrid w:val="0"/>
              <w:jc w:val="center"/>
              <w:rPr>
                <w:rFonts w:ascii="Times New Roman" w:hAnsi="Times New Roman" w:cs="Times New Roman"/>
                <w:color w:val="auto"/>
                <w:sz w:val="21"/>
                <w:lang w:eastAsia="zh-CN"/>
              </w:rPr>
            </w:pPr>
          </w:p>
        </w:tc>
        <w:tc>
          <w:tcPr>
            <w:tcW w:w="709" w:type="dxa"/>
            <w:vAlign w:val="center"/>
          </w:tcPr>
          <w:p w14:paraId="60C15416">
            <w:pPr>
              <w:widowControl w:val="0"/>
              <w:adjustRightInd w:val="0"/>
              <w:snapToGrid w:val="0"/>
              <w:jc w:val="center"/>
              <w:rPr>
                <w:rFonts w:ascii="Times New Roman" w:hAnsi="Times New Roman" w:cs="Times New Roman"/>
                <w:color w:val="auto"/>
                <w:sz w:val="21"/>
                <w:lang w:eastAsia="zh-CN"/>
              </w:rPr>
            </w:pPr>
          </w:p>
        </w:tc>
        <w:tc>
          <w:tcPr>
            <w:tcW w:w="1524" w:type="dxa"/>
            <w:vMerge w:val="continue"/>
            <w:vAlign w:val="center"/>
          </w:tcPr>
          <w:p w14:paraId="73C3B37E">
            <w:pPr>
              <w:widowControl w:val="0"/>
              <w:adjustRightInd w:val="0"/>
              <w:snapToGrid w:val="0"/>
              <w:jc w:val="center"/>
              <w:rPr>
                <w:rFonts w:ascii="Times New Roman" w:hAnsi="Times New Roman" w:cs="Times New Roman"/>
                <w:color w:val="auto"/>
                <w:sz w:val="21"/>
                <w:lang w:eastAsia="zh-CN"/>
              </w:rPr>
            </w:pPr>
          </w:p>
        </w:tc>
      </w:tr>
      <w:tr w14:paraId="6B2B36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0" w:type="dxa"/>
            <w:vMerge w:val="continue"/>
            <w:vAlign w:val="center"/>
          </w:tcPr>
          <w:p w14:paraId="5401E7D8">
            <w:pPr>
              <w:widowControl w:val="0"/>
              <w:adjustRightInd w:val="0"/>
              <w:snapToGrid w:val="0"/>
              <w:jc w:val="center"/>
              <w:rPr>
                <w:rFonts w:ascii="Times New Roman" w:hAnsi="Times New Roman" w:cs="Times New Roman"/>
                <w:color w:val="auto"/>
                <w:sz w:val="21"/>
                <w:lang w:eastAsia="zh-CN"/>
              </w:rPr>
            </w:pPr>
          </w:p>
        </w:tc>
        <w:tc>
          <w:tcPr>
            <w:tcW w:w="1091" w:type="dxa"/>
            <w:vMerge w:val="continue"/>
            <w:vAlign w:val="center"/>
          </w:tcPr>
          <w:p w14:paraId="6828252E">
            <w:pPr>
              <w:widowControl w:val="0"/>
              <w:adjustRightInd w:val="0"/>
              <w:snapToGrid w:val="0"/>
              <w:jc w:val="center"/>
              <w:rPr>
                <w:rFonts w:ascii="Times New Roman" w:hAnsi="Times New Roman" w:cs="Times New Roman"/>
                <w:color w:val="auto"/>
                <w:sz w:val="21"/>
                <w:lang w:eastAsia="zh-CN"/>
              </w:rPr>
            </w:pPr>
          </w:p>
        </w:tc>
        <w:tc>
          <w:tcPr>
            <w:tcW w:w="611" w:type="dxa"/>
            <w:vMerge w:val="continue"/>
            <w:vAlign w:val="center"/>
          </w:tcPr>
          <w:p w14:paraId="67273C23">
            <w:pPr>
              <w:widowControl w:val="0"/>
              <w:adjustRightInd w:val="0"/>
              <w:snapToGrid w:val="0"/>
              <w:jc w:val="center"/>
              <w:rPr>
                <w:rFonts w:ascii="Times New Roman" w:hAnsi="Times New Roman" w:cs="Times New Roman"/>
                <w:color w:val="auto"/>
                <w:sz w:val="21"/>
              </w:rPr>
            </w:pPr>
          </w:p>
        </w:tc>
        <w:tc>
          <w:tcPr>
            <w:tcW w:w="886" w:type="dxa"/>
            <w:vMerge w:val="continue"/>
            <w:vAlign w:val="center"/>
          </w:tcPr>
          <w:p w14:paraId="673AF02A">
            <w:pPr>
              <w:widowControl w:val="0"/>
              <w:adjustRightInd w:val="0"/>
              <w:snapToGrid w:val="0"/>
              <w:jc w:val="center"/>
              <w:rPr>
                <w:rFonts w:ascii="Times New Roman" w:hAnsi="Times New Roman" w:cs="Times New Roman"/>
                <w:color w:val="auto"/>
                <w:sz w:val="21"/>
                <w:lang w:eastAsia="zh-CN"/>
              </w:rPr>
            </w:pPr>
          </w:p>
        </w:tc>
        <w:tc>
          <w:tcPr>
            <w:tcW w:w="673" w:type="dxa"/>
            <w:vMerge w:val="continue"/>
            <w:vAlign w:val="center"/>
          </w:tcPr>
          <w:p w14:paraId="33EA266A">
            <w:pPr>
              <w:widowControl w:val="0"/>
              <w:adjustRightInd w:val="0"/>
              <w:snapToGrid w:val="0"/>
              <w:jc w:val="center"/>
              <w:rPr>
                <w:rFonts w:ascii="Times New Roman" w:hAnsi="Times New Roman" w:cs="Times New Roman"/>
                <w:color w:val="auto"/>
                <w:sz w:val="21"/>
                <w:lang w:eastAsia="zh-CN"/>
              </w:rPr>
            </w:pPr>
          </w:p>
        </w:tc>
        <w:tc>
          <w:tcPr>
            <w:tcW w:w="1276" w:type="dxa"/>
            <w:vAlign w:val="center"/>
          </w:tcPr>
          <w:p w14:paraId="5B1C7936">
            <w:pPr>
              <w:widowControl w:val="0"/>
              <w:adjustRightInd w:val="0"/>
              <w:snapToGrid w:val="0"/>
              <w:jc w:val="center"/>
              <w:rPr>
                <w:rFonts w:ascii="Times New Roman" w:hAnsi="Times New Roman" w:cs="Times New Roman"/>
                <w:color w:val="auto"/>
                <w:sz w:val="21"/>
                <w:lang w:eastAsia="zh-CN"/>
              </w:rPr>
            </w:pPr>
          </w:p>
        </w:tc>
        <w:tc>
          <w:tcPr>
            <w:tcW w:w="709" w:type="dxa"/>
            <w:vMerge w:val="continue"/>
            <w:vAlign w:val="center"/>
          </w:tcPr>
          <w:p w14:paraId="2A18B04C">
            <w:pPr>
              <w:widowControl w:val="0"/>
              <w:adjustRightInd w:val="0"/>
              <w:snapToGrid w:val="0"/>
              <w:jc w:val="center"/>
              <w:rPr>
                <w:rFonts w:ascii="Times New Roman" w:hAnsi="Times New Roman" w:cs="Times New Roman"/>
                <w:color w:val="auto"/>
                <w:sz w:val="21"/>
                <w:lang w:eastAsia="zh-CN"/>
              </w:rPr>
            </w:pPr>
          </w:p>
        </w:tc>
        <w:tc>
          <w:tcPr>
            <w:tcW w:w="1417" w:type="dxa"/>
            <w:vAlign w:val="center"/>
          </w:tcPr>
          <w:p w14:paraId="6E62F36B">
            <w:pPr>
              <w:widowControl w:val="0"/>
              <w:adjustRightInd w:val="0"/>
              <w:snapToGrid w:val="0"/>
              <w:jc w:val="center"/>
              <w:rPr>
                <w:rFonts w:ascii="Times New Roman" w:hAnsi="Times New Roman" w:cs="Times New Roman"/>
                <w:color w:val="auto"/>
                <w:sz w:val="21"/>
                <w:lang w:eastAsia="zh-CN"/>
              </w:rPr>
            </w:pPr>
          </w:p>
        </w:tc>
        <w:tc>
          <w:tcPr>
            <w:tcW w:w="709" w:type="dxa"/>
            <w:vAlign w:val="center"/>
          </w:tcPr>
          <w:p w14:paraId="652131CD">
            <w:pPr>
              <w:widowControl w:val="0"/>
              <w:adjustRightInd w:val="0"/>
              <w:snapToGrid w:val="0"/>
              <w:jc w:val="center"/>
              <w:rPr>
                <w:rFonts w:ascii="Times New Roman" w:hAnsi="Times New Roman" w:cs="Times New Roman"/>
                <w:color w:val="auto"/>
                <w:sz w:val="21"/>
                <w:lang w:eastAsia="zh-CN"/>
              </w:rPr>
            </w:pPr>
          </w:p>
        </w:tc>
        <w:tc>
          <w:tcPr>
            <w:tcW w:w="1524" w:type="dxa"/>
            <w:vMerge w:val="continue"/>
            <w:vAlign w:val="center"/>
          </w:tcPr>
          <w:p w14:paraId="45806EE6">
            <w:pPr>
              <w:widowControl w:val="0"/>
              <w:adjustRightInd w:val="0"/>
              <w:snapToGrid w:val="0"/>
              <w:jc w:val="center"/>
              <w:rPr>
                <w:rFonts w:ascii="Times New Roman" w:hAnsi="Times New Roman" w:cs="Times New Roman"/>
                <w:color w:val="auto"/>
                <w:sz w:val="21"/>
                <w:lang w:eastAsia="zh-CN"/>
              </w:rPr>
            </w:pPr>
          </w:p>
        </w:tc>
      </w:tr>
      <w:tr w14:paraId="29756A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0" w:type="dxa"/>
            <w:vAlign w:val="center"/>
          </w:tcPr>
          <w:p w14:paraId="45A30EC1">
            <w:pPr>
              <w:widowControl w:val="0"/>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刻蚀液</w:t>
            </w:r>
          </w:p>
        </w:tc>
        <w:tc>
          <w:tcPr>
            <w:tcW w:w="1091" w:type="dxa"/>
            <w:vAlign w:val="center"/>
          </w:tcPr>
          <w:p w14:paraId="1B79CF5E">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HF</w:t>
            </w:r>
            <w:r>
              <w:rPr>
                <w:rFonts w:hint="eastAsia" w:ascii="Times New Roman" w:hAnsi="Times New Roman" w:cs="Times New Roman"/>
                <w:color w:val="auto"/>
                <w:sz w:val="21"/>
              </w:rPr>
              <w:t>30-40%</w:t>
            </w:r>
          </w:p>
          <w:p w14:paraId="2B15070A">
            <w:pPr>
              <w:widowControl w:val="0"/>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rPr>
              <w:t>HCl 5-7%</w:t>
            </w:r>
          </w:p>
        </w:tc>
        <w:tc>
          <w:tcPr>
            <w:tcW w:w="611" w:type="dxa"/>
            <w:vAlign w:val="center"/>
          </w:tcPr>
          <w:p w14:paraId="60BBE5D2">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t/a</w:t>
            </w:r>
          </w:p>
        </w:tc>
        <w:tc>
          <w:tcPr>
            <w:tcW w:w="886" w:type="dxa"/>
            <w:vAlign w:val="center"/>
          </w:tcPr>
          <w:p w14:paraId="236C854E">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4.5万</w:t>
            </w:r>
          </w:p>
        </w:tc>
        <w:tc>
          <w:tcPr>
            <w:tcW w:w="1949" w:type="dxa"/>
            <w:gridSpan w:val="2"/>
            <w:vAlign w:val="center"/>
          </w:tcPr>
          <w:p w14:paraId="0370FB88">
            <w:pPr>
              <w:widowControl w:val="0"/>
              <w:adjustRightInd w:val="0"/>
              <w:snapToGrid w:val="0"/>
              <w:jc w:val="center"/>
              <w:rPr>
                <w:rFonts w:ascii="Times New Roman" w:hAnsi="Times New Roman" w:cs="Times New Roman"/>
                <w:color w:val="EE0000"/>
                <w:sz w:val="21"/>
                <w:lang w:eastAsia="zh-CN"/>
              </w:rPr>
            </w:pPr>
          </w:p>
        </w:tc>
        <w:tc>
          <w:tcPr>
            <w:tcW w:w="2126" w:type="dxa"/>
            <w:gridSpan w:val="2"/>
            <w:vAlign w:val="center"/>
          </w:tcPr>
          <w:p w14:paraId="3B6FDD9D">
            <w:pPr>
              <w:widowControl w:val="0"/>
              <w:adjustRightInd w:val="0"/>
              <w:snapToGrid w:val="0"/>
              <w:jc w:val="center"/>
              <w:rPr>
                <w:rFonts w:ascii="Times New Roman" w:hAnsi="Times New Roman" w:cs="Times New Roman"/>
                <w:color w:val="auto"/>
                <w:sz w:val="21"/>
                <w:lang w:eastAsia="zh-CN"/>
              </w:rPr>
            </w:pPr>
          </w:p>
        </w:tc>
        <w:tc>
          <w:tcPr>
            <w:tcW w:w="709" w:type="dxa"/>
            <w:vAlign w:val="center"/>
          </w:tcPr>
          <w:p w14:paraId="4D95A920">
            <w:pPr>
              <w:widowControl w:val="0"/>
              <w:adjustRightInd w:val="0"/>
              <w:snapToGrid w:val="0"/>
              <w:jc w:val="center"/>
              <w:rPr>
                <w:rFonts w:ascii="Times New Roman" w:hAnsi="Times New Roman" w:cs="Times New Roman"/>
                <w:color w:val="auto"/>
                <w:sz w:val="21"/>
                <w:lang w:eastAsia="zh-CN"/>
              </w:rPr>
            </w:pPr>
          </w:p>
        </w:tc>
        <w:tc>
          <w:tcPr>
            <w:tcW w:w="1524" w:type="dxa"/>
            <w:vAlign w:val="center"/>
          </w:tcPr>
          <w:p w14:paraId="01860958">
            <w:pPr>
              <w:widowControl w:val="0"/>
              <w:adjustRightInd w:val="0"/>
              <w:snapToGrid w:val="0"/>
              <w:jc w:val="center"/>
              <w:rPr>
                <w:rFonts w:ascii="Times New Roman" w:hAnsi="Times New Roman" w:cs="Times New Roman"/>
                <w:color w:val="auto"/>
                <w:sz w:val="21"/>
                <w:lang w:eastAsia="zh-CN"/>
              </w:rPr>
            </w:pPr>
          </w:p>
        </w:tc>
      </w:tr>
    </w:tbl>
    <w:p w14:paraId="48B0D6D2">
      <w:pPr>
        <w:jc w:val="both"/>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注：化学纯氢氟酸主要用于石英砂、硅片清洗工序；刻蚀液主要用于大规模</w:t>
      </w:r>
      <w:r>
        <w:rPr>
          <w:rFonts w:ascii="Times New Roman" w:hAnsi="Times New Roman" w:cs="Times New Roman"/>
          <w:b/>
          <w:bCs/>
          <w:color w:val="auto"/>
          <w:sz w:val="21"/>
          <w:lang w:eastAsia="zh-CN"/>
        </w:rPr>
        <w:t>集成电路、半导体、液晶显示面板等电子行业蚀刻工段</w:t>
      </w:r>
      <w:r>
        <w:rPr>
          <w:rFonts w:hint="eastAsia" w:ascii="Times New Roman" w:hAnsi="Times New Roman" w:cs="Times New Roman"/>
          <w:b/>
          <w:bCs/>
          <w:color w:val="auto"/>
          <w:sz w:val="21"/>
          <w:lang w:eastAsia="zh-CN"/>
        </w:rPr>
        <w:t>。</w:t>
      </w:r>
    </w:p>
    <w:p w14:paraId="3193AFE4">
      <w:pPr>
        <w:spacing w:line="360" w:lineRule="auto"/>
        <w:ind w:firstLine="482"/>
        <w:jc w:val="both"/>
        <w:outlineLvl w:val="3"/>
        <w:rPr>
          <w:rFonts w:ascii="Times New Roman" w:hAnsi="Times New Roman" w:cs="Times New Roman"/>
          <w:b/>
          <w:bCs/>
          <w:color w:val="auto"/>
          <w:lang w:eastAsia="zh-CN"/>
        </w:rPr>
      </w:pPr>
      <w:bookmarkStart w:id="630" w:name="_Toc23480"/>
      <w:r>
        <w:rPr>
          <w:rFonts w:ascii="Times New Roman" w:hAnsi="Times New Roman" w:cs="Times New Roman"/>
          <w:b/>
          <w:bCs/>
          <w:color w:val="auto"/>
          <w:lang w:eastAsia="zh-CN"/>
        </w:rPr>
        <w:t>4.1.3.2 产品质量指标</w:t>
      </w:r>
      <w:bookmarkEnd w:id="630"/>
    </w:p>
    <w:p w14:paraId="09CF895C">
      <w:pPr>
        <w:topLinePunct/>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项目</w:t>
      </w:r>
      <w:r>
        <w:rPr>
          <w:rFonts w:hint="eastAsia" w:ascii="Times New Roman" w:hAnsi="Times New Roman" w:cs="Times New Roman"/>
          <w:color w:val="auto"/>
          <w:lang w:eastAsia="zh-CN"/>
        </w:rPr>
        <w:t>产品化学纯</w:t>
      </w:r>
      <w:r>
        <w:rPr>
          <w:rFonts w:ascii="Times New Roman" w:hAnsi="Times New Roman" w:cs="Times New Roman"/>
          <w:color w:val="auto"/>
          <w:lang w:eastAsia="zh-CN"/>
        </w:rPr>
        <w:t>氢氟酸执行《工业氢氟酸》（GB</w:t>
      </w:r>
      <w:r>
        <w:rPr>
          <w:rFonts w:hint="eastAsia" w:ascii="Times New Roman" w:hAnsi="Times New Roman" w:cs="Times New Roman"/>
          <w:color w:val="auto"/>
          <w:lang w:eastAsia="zh-CN"/>
        </w:rPr>
        <w:t>/T</w:t>
      </w:r>
      <w:r>
        <w:rPr>
          <w:rFonts w:ascii="Times New Roman" w:hAnsi="Times New Roman" w:cs="Times New Roman"/>
          <w:color w:val="auto"/>
          <w:lang w:eastAsia="zh-CN"/>
        </w:rPr>
        <w:t>7744-2</w:t>
      </w:r>
      <w:r>
        <w:rPr>
          <w:rFonts w:hint="eastAsia" w:ascii="Times New Roman" w:hAnsi="Times New Roman" w:cs="Times New Roman"/>
          <w:color w:val="auto"/>
          <w:lang w:eastAsia="zh-CN"/>
        </w:rPr>
        <w:t>023</w:t>
      </w:r>
      <w:r>
        <w:rPr>
          <w:rFonts w:ascii="Times New Roman" w:hAnsi="Times New Roman" w:cs="Times New Roman"/>
          <w:color w:val="auto"/>
          <w:lang w:eastAsia="zh-CN"/>
        </w:rPr>
        <w:t>）中标准</w:t>
      </w:r>
      <w:r>
        <w:rPr>
          <w:rFonts w:hint="eastAsia" w:ascii="Times New Roman" w:hAnsi="Times New Roman" w:cs="Times New Roman"/>
          <w:color w:val="auto"/>
          <w:lang w:eastAsia="zh-CN"/>
        </w:rPr>
        <w:t>，产品刻蚀液执行企业标准《酸性刻蚀液》（</w:t>
      </w:r>
      <w:r>
        <w:rPr>
          <w:rFonts w:ascii="Times New Roman" w:hAnsi="Times New Roman" w:cs="Times New Roman"/>
          <w:color w:val="auto"/>
          <w:lang w:eastAsia="zh-CN"/>
        </w:rPr>
        <w:t>Q/FLOURISH</w:t>
      </w:r>
      <w:r>
        <w:rPr>
          <w:rFonts w:hint="eastAsia" w:ascii="Times New Roman" w:hAnsi="Times New Roman" w:cs="Times New Roman"/>
          <w:color w:val="auto"/>
          <w:lang w:eastAsia="zh-CN"/>
        </w:rPr>
        <w:t>），企业标准已在“全国企业标准信息公共服务平台”进行了公开。项目产品标准</w:t>
      </w:r>
      <w:r>
        <w:rPr>
          <w:rFonts w:ascii="Times New Roman" w:hAnsi="Times New Roman" w:cs="Times New Roman"/>
          <w:color w:val="auto"/>
          <w:lang w:eastAsia="zh-CN"/>
        </w:rPr>
        <w:t>具体指标见下表。</w:t>
      </w:r>
    </w:p>
    <w:p w14:paraId="121AD12D">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表4.1-</w:t>
      </w:r>
      <w:r>
        <w:rPr>
          <w:rFonts w:hint="eastAsia" w:ascii="Times New Roman" w:hAnsi="Times New Roman" w:cs="Times New Roman"/>
          <w:b/>
          <w:bCs/>
          <w:color w:val="auto"/>
          <w:lang w:eastAsia="zh-CN"/>
        </w:rPr>
        <w:t>4</w:t>
      </w:r>
      <w:r>
        <w:rPr>
          <w:rFonts w:ascii="Times New Roman" w:hAnsi="Times New Roman" w:cs="Times New Roman"/>
          <w:b/>
          <w:bCs/>
          <w:color w:val="auto"/>
          <w:lang w:eastAsia="zh-CN"/>
        </w:rPr>
        <w:t xml:space="preserve">  产品质量标准</w:t>
      </w:r>
    </w:p>
    <w:tbl>
      <w:tblPr>
        <w:tblStyle w:val="35"/>
        <w:tblW w:w="4994"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977"/>
        <w:gridCol w:w="849"/>
        <w:gridCol w:w="835"/>
        <w:gridCol w:w="866"/>
        <w:gridCol w:w="876"/>
        <w:gridCol w:w="853"/>
        <w:gridCol w:w="837"/>
        <w:gridCol w:w="790"/>
      </w:tblGrid>
      <w:tr w14:paraId="64E25C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7" w:type="pct"/>
            <w:vMerge w:val="restart"/>
            <w:noWrap/>
            <w:vAlign w:val="center"/>
          </w:tcPr>
          <w:p w14:paraId="29D75E73">
            <w:pPr>
              <w:widowControl w:val="0"/>
              <w:adjustRightInd w:val="0"/>
              <w:snapToGrid w:val="0"/>
              <w:spacing w:before="80" w:after="8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14:textFill>
                  <w14:solidFill>
                    <w14:schemeClr w14:val="tx1"/>
                  </w14:solidFill>
                </w14:textFill>
              </w:rPr>
              <w:t>产品名称</w:t>
            </w:r>
          </w:p>
        </w:tc>
        <w:tc>
          <w:tcPr>
            <w:tcW w:w="1529" w:type="pct"/>
            <w:vMerge w:val="restart"/>
            <w:noWrap/>
            <w:vAlign w:val="center"/>
          </w:tcPr>
          <w:p w14:paraId="464F36F9">
            <w:pPr>
              <w:widowControl w:val="0"/>
              <w:adjustRightInd w:val="0"/>
              <w:snapToGrid w:val="0"/>
              <w:spacing w:before="80" w:after="8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14:textFill>
                  <w14:solidFill>
                    <w14:schemeClr w14:val="tx1"/>
                  </w14:solidFill>
                </w14:textFill>
              </w:rPr>
              <w:t>项目</w:t>
            </w:r>
          </w:p>
        </w:tc>
        <w:tc>
          <w:tcPr>
            <w:tcW w:w="3034" w:type="pct"/>
            <w:gridSpan w:val="7"/>
            <w:noWrap/>
            <w:vAlign w:val="center"/>
          </w:tcPr>
          <w:p w14:paraId="67FCB616">
            <w:pPr>
              <w:widowControl w:val="0"/>
              <w:adjustRightInd w:val="0"/>
              <w:snapToGrid w:val="0"/>
              <w:spacing w:before="80" w:after="8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14:textFill>
                  <w14:solidFill>
                    <w14:schemeClr w14:val="tx1"/>
                  </w14:solidFill>
                </w14:textFill>
              </w:rPr>
              <w:t>技术指标</w:t>
            </w:r>
          </w:p>
        </w:tc>
      </w:tr>
      <w:tr w14:paraId="0109F2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437" w:type="pct"/>
            <w:vMerge w:val="continue"/>
            <w:noWrap/>
            <w:vAlign w:val="center"/>
          </w:tcPr>
          <w:p w14:paraId="5B0B691D">
            <w:pPr>
              <w:widowControl w:val="0"/>
              <w:adjustRightInd w:val="0"/>
              <w:snapToGrid w:val="0"/>
              <w:spacing w:before="80" w:after="80"/>
              <w:jc w:val="center"/>
              <w:rPr>
                <w:rFonts w:ascii="Times New Roman" w:hAnsi="Times New Roman" w:cs="Times New Roman"/>
                <w:color w:val="000000" w:themeColor="text1"/>
                <w:sz w:val="21"/>
                <w14:textFill>
                  <w14:solidFill>
                    <w14:schemeClr w14:val="tx1"/>
                  </w14:solidFill>
                </w14:textFill>
              </w:rPr>
            </w:pPr>
          </w:p>
        </w:tc>
        <w:tc>
          <w:tcPr>
            <w:tcW w:w="1529" w:type="pct"/>
            <w:vMerge w:val="continue"/>
            <w:noWrap/>
            <w:vAlign w:val="center"/>
          </w:tcPr>
          <w:p w14:paraId="5FCC63D0">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p>
        </w:tc>
        <w:tc>
          <w:tcPr>
            <w:tcW w:w="1310" w:type="pct"/>
            <w:gridSpan w:val="3"/>
            <w:noWrap/>
            <w:vAlign w:val="center"/>
          </w:tcPr>
          <w:p w14:paraId="3F1DFA14">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Ⅰ类</w:t>
            </w:r>
          </w:p>
        </w:tc>
        <w:tc>
          <w:tcPr>
            <w:tcW w:w="1724" w:type="pct"/>
            <w:gridSpan w:val="4"/>
            <w:vAlign w:val="center"/>
          </w:tcPr>
          <w:p w14:paraId="7C0FB118">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Ⅱ类</w:t>
            </w:r>
          </w:p>
        </w:tc>
      </w:tr>
      <w:tr w14:paraId="23920C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437" w:type="pct"/>
            <w:vMerge w:val="continue"/>
            <w:noWrap/>
            <w:vAlign w:val="center"/>
          </w:tcPr>
          <w:p w14:paraId="759AEB79">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p>
        </w:tc>
        <w:tc>
          <w:tcPr>
            <w:tcW w:w="1529" w:type="pct"/>
            <w:vMerge w:val="continue"/>
            <w:noWrap/>
            <w:vAlign w:val="center"/>
          </w:tcPr>
          <w:p w14:paraId="53487B17">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p>
        </w:tc>
        <w:tc>
          <w:tcPr>
            <w:tcW w:w="436" w:type="pct"/>
            <w:noWrap/>
            <w:vAlign w:val="center"/>
          </w:tcPr>
          <w:p w14:paraId="1EA70995">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HF-Ⅰ-</w:t>
            </w:r>
          </w:p>
          <w:p w14:paraId="09276602">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40</w:t>
            </w:r>
          </w:p>
        </w:tc>
        <w:tc>
          <w:tcPr>
            <w:tcW w:w="429" w:type="pct"/>
            <w:vAlign w:val="center"/>
          </w:tcPr>
          <w:p w14:paraId="47811C24">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HF-Ⅰ-</w:t>
            </w:r>
          </w:p>
          <w:p w14:paraId="3F215A82">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55</w:t>
            </w:r>
          </w:p>
        </w:tc>
        <w:tc>
          <w:tcPr>
            <w:tcW w:w="445" w:type="pct"/>
            <w:vAlign w:val="center"/>
          </w:tcPr>
          <w:p w14:paraId="7D9A075D">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HF-Ⅰ-</w:t>
            </w:r>
          </w:p>
          <w:p w14:paraId="19196855">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70</w:t>
            </w:r>
          </w:p>
        </w:tc>
        <w:tc>
          <w:tcPr>
            <w:tcW w:w="450" w:type="pct"/>
            <w:vAlign w:val="center"/>
          </w:tcPr>
          <w:p w14:paraId="7EC44DEE">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HF-Ⅱ-30</w:t>
            </w:r>
          </w:p>
        </w:tc>
        <w:tc>
          <w:tcPr>
            <w:tcW w:w="438" w:type="pct"/>
            <w:vAlign w:val="center"/>
          </w:tcPr>
          <w:p w14:paraId="4BEEA77C">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HF-Ⅱ-40</w:t>
            </w:r>
          </w:p>
        </w:tc>
        <w:tc>
          <w:tcPr>
            <w:tcW w:w="430" w:type="pct"/>
            <w:vAlign w:val="center"/>
          </w:tcPr>
          <w:p w14:paraId="1D9C1BFC">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HF-Ⅱ-50</w:t>
            </w:r>
          </w:p>
        </w:tc>
        <w:tc>
          <w:tcPr>
            <w:tcW w:w="406" w:type="pct"/>
            <w:vAlign w:val="center"/>
          </w:tcPr>
          <w:p w14:paraId="08EA6785">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HF-Ⅱ-55</w:t>
            </w:r>
          </w:p>
        </w:tc>
      </w:tr>
      <w:tr w14:paraId="06DC37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437" w:type="pct"/>
            <w:vMerge w:val="restart"/>
            <w:noWrap/>
            <w:vAlign w:val="center"/>
          </w:tcPr>
          <w:p w14:paraId="34E4DAB6">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化学纯</w:t>
            </w:r>
          </w:p>
          <w:p w14:paraId="4AA7545B">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氢氟酸</w:t>
            </w:r>
          </w:p>
        </w:tc>
        <w:tc>
          <w:tcPr>
            <w:tcW w:w="1529" w:type="pct"/>
            <w:noWrap/>
            <w:vAlign w:val="center"/>
          </w:tcPr>
          <w:p w14:paraId="105BF18A">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氢氟酸（HF）</w:t>
            </w:r>
            <w:r>
              <w:rPr>
                <w:rFonts w:ascii="Times New Roman" w:hAnsi="Times New Roman" w:cs="Times New Roman"/>
                <w:color w:val="000000" w:themeColor="text1"/>
                <w:sz w:val="21"/>
                <w14:textFill>
                  <w14:solidFill>
                    <w14:schemeClr w14:val="tx1"/>
                  </w14:solidFill>
                </w14:textFill>
              </w:rPr>
              <w:t>ω</w:t>
            </w:r>
            <w:r>
              <w:rPr>
                <w:rFonts w:ascii="Times New Roman" w:hAnsi="Times New Roman" w:cs="Times New Roman"/>
                <w:color w:val="000000" w:themeColor="text1"/>
                <w:sz w:val="21"/>
                <w:lang w:eastAsia="zh-CN"/>
                <w14:textFill>
                  <w14:solidFill>
                    <w14:schemeClr w14:val="tx1"/>
                  </w14:solidFill>
                </w14:textFill>
              </w:rPr>
              <w:t>/%</w:t>
            </w:r>
          </w:p>
        </w:tc>
        <w:tc>
          <w:tcPr>
            <w:tcW w:w="436" w:type="pct"/>
            <w:noWrap/>
            <w:vAlign w:val="center"/>
          </w:tcPr>
          <w:p w14:paraId="324E03BD">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≥40.0</w:t>
            </w:r>
          </w:p>
        </w:tc>
        <w:tc>
          <w:tcPr>
            <w:tcW w:w="429" w:type="pct"/>
            <w:vAlign w:val="center"/>
          </w:tcPr>
          <w:p w14:paraId="75F243DF">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≥55.0</w:t>
            </w:r>
          </w:p>
        </w:tc>
        <w:tc>
          <w:tcPr>
            <w:tcW w:w="445" w:type="pct"/>
            <w:vAlign w:val="center"/>
          </w:tcPr>
          <w:p w14:paraId="6A22B686">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≥70.0</w:t>
            </w:r>
          </w:p>
        </w:tc>
        <w:tc>
          <w:tcPr>
            <w:tcW w:w="450" w:type="pct"/>
            <w:vAlign w:val="center"/>
          </w:tcPr>
          <w:p w14:paraId="50C11DE7">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≥30.0</w:t>
            </w:r>
          </w:p>
        </w:tc>
        <w:tc>
          <w:tcPr>
            <w:tcW w:w="438" w:type="pct"/>
            <w:vAlign w:val="center"/>
          </w:tcPr>
          <w:p w14:paraId="1BA4FDFD">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≥40.0</w:t>
            </w:r>
          </w:p>
        </w:tc>
        <w:tc>
          <w:tcPr>
            <w:tcW w:w="430" w:type="pct"/>
            <w:vAlign w:val="center"/>
          </w:tcPr>
          <w:p w14:paraId="23B088EF">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≥50.0</w:t>
            </w:r>
          </w:p>
        </w:tc>
        <w:tc>
          <w:tcPr>
            <w:tcW w:w="406" w:type="pct"/>
            <w:vAlign w:val="center"/>
          </w:tcPr>
          <w:p w14:paraId="4682113D">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≥55.0</w:t>
            </w:r>
          </w:p>
        </w:tc>
      </w:tr>
      <w:tr w14:paraId="543434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437" w:type="pct"/>
            <w:vMerge w:val="continue"/>
            <w:noWrap/>
            <w:vAlign w:val="center"/>
          </w:tcPr>
          <w:p w14:paraId="4958DA6D">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p>
        </w:tc>
        <w:tc>
          <w:tcPr>
            <w:tcW w:w="1529" w:type="pct"/>
            <w:noWrap/>
            <w:vAlign w:val="center"/>
          </w:tcPr>
          <w:p w14:paraId="70C07511">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氟硅酸（H</w:t>
            </w:r>
            <w:r>
              <w:rPr>
                <w:rFonts w:hint="eastAsia" w:ascii="Times New Roman" w:hAnsi="Times New Roman" w:cs="Times New Roman"/>
                <w:color w:val="000000" w:themeColor="text1"/>
                <w:sz w:val="21"/>
                <w:vertAlign w:val="subscript"/>
                <w:lang w:eastAsia="zh-CN"/>
                <w14:textFill>
                  <w14:solidFill>
                    <w14:schemeClr w14:val="tx1"/>
                  </w14:solidFill>
                </w14:textFill>
              </w:rPr>
              <w:t>2</w:t>
            </w:r>
            <w:r>
              <w:rPr>
                <w:rFonts w:ascii="Times New Roman" w:hAnsi="Times New Roman" w:cs="Times New Roman"/>
                <w:color w:val="000000" w:themeColor="text1"/>
                <w:sz w:val="21"/>
                <w:lang w:eastAsia="zh-CN"/>
                <w14:textFill>
                  <w14:solidFill>
                    <w14:schemeClr w14:val="tx1"/>
                  </w14:solidFill>
                </w14:textFill>
              </w:rPr>
              <w:t>SiF</w:t>
            </w:r>
            <w:r>
              <w:rPr>
                <w:rFonts w:hint="eastAsia" w:ascii="Times New Roman" w:hAnsi="Times New Roman" w:cs="Times New Roman"/>
                <w:color w:val="000000" w:themeColor="text1"/>
                <w:sz w:val="21"/>
                <w:vertAlign w:val="subscript"/>
                <w:lang w:eastAsia="zh-CN"/>
                <w14:textFill>
                  <w14:solidFill>
                    <w14:schemeClr w14:val="tx1"/>
                  </w14:solidFill>
                </w14:textFill>
              </w:rPr>
              <w:t>6</w:t>
            </w:r>
            <w:r>
              <w:rPr>
                <w:rFonts w:ascii="Times New Roman" w:hAnsi="Times New Roman" w:cs="Times New Roman"/>
                <w:color w:val="000000" w:themeColor="text1"/>
                <w:sz w:val="21"/>
                <w:lang w:eastAsia="zh-CN"/>
                <w14:textFill>
                  <w14:solidFill>
                    <w14:schemeClr w14:val="tx1"/>
                  </w14:solidFill>
                </w14:textFill>
              </w:rPr>
              <w:t>）</w:t>
            </w:r>
            <w:r>
              <w:rPr>
                <w:rFonts w:ascii="Times New Roman" w:hAnsi="Times New Roman" w:cs="Times New Roman"/>
                <w:color w:val="000000" w:themeColor="text1"/>
                <w:sz w:val="21"/>
                <w14:textFill>
                  <w14:solidFill>
                    <w14:schemeClr w14:val="tx1"/>
                  </w14:solidFill>
                </w14:textFill>
              </w:rPr>
              <w:t>ω</w:t>
            </w:r>
            <w:r>
              <w:rPr>
                <w:rFonts w:ascii="Times New Roman" w:hAnsi="Times New Roman" w:cs="Times New Roman"/>
                <w:color w:val="000000" w:themeColor="text1"/>
                <w:sz w:val="21"/>
                <w:lang w:eastAsia="zh-CN"/>
                <w14:textFill>
                  <w14:solidFill>
                    <w14:schemeClr w14:val="tx1"/>
                  </w14:solidFill>
                </w14:textFill>
              </w:rPr>
              <w:t>/%</w:t>
            </w:r>
          </w:p>
        </w:tc>
        <w:tc>
          <w:tcPr>
            <w:tcW w:w="1310" w:type="pct"/>
            <w:gridSpan w:val="3"/>
            <w:noWrap/>
            <w:vAlign w:val="center"/>
          </w:tcPr>
          <w:p w14:paraId="2257F57A">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≤0.02</w:t>
            </w:r>
          </w:p>
        </w:tc>
        <w:tc>
          <w:tcPr>
            <w:tcW w:w="450" w:type="pct"/>
            <w:vAlign w:val="center"/>
          </w:tcPr>
          <w:p w14:paraId="23711D2B">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≤2.5</w:t>
            </w:r>
          </w:p>
        </w:tc>
        <w:tc>
          <w:tcPr>
            <w:tcW w:w="438" w:type="pct"/>
            <w:vAlign w:val="center"/>
          </w:tcPr>
          <w:p w14:paraId="4578B7EA">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≤5.0</w:t>
            </w:r>
          </w:p>
        </w:tc>
        <w:tc>
          <w:tcPr>
            <w:tcW w:w="430" w:type="pct"/>
            <w:vAlign w:val="center"/>
          </w:tcPr>
          <w:p w14:paraId="433455D0">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≤8.0</w:t>
            </w:r>
          </w:p>
        </w:tc>
        <w:tc>
          <w:tcPr>
            <w:tcW w:w="406" w:type="pct"/>
            <w:vAlign w:val="center"/>
          </w:tcPr>
          <w:p w14:paraId="49CCE32E">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≤10.0</w:t>
            </w:r>
          </w:p>
        </w:tc>
      </w:tr>
      <w:tr w14:paraId="004199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437" w:type="pct"/>
            <w:vMerge w:val="continue"/>
            <w:noWrap/>
            <w:vAlign w:val="center"/>
          </w:tcPr>
          <w:p w14:paraId="71D4B572">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p>
        </w:tc>
        <w:tc>
          <w:tcPr>
            <w:tcW w:w="1529" w:type="pct"/>
            <w:noWrap/>
            <w:vAlign w:val="center"/>
          </w:tcPr>
          <w:p w14:paraId="0841BAE6">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不挥发酸（H</w:t>
            </w:r>
            <w:r>
              <w:rPr>
                <w:rFonts w:hint="eastAsia" w:ascii="Times New Roman" w:hAnsi="Times New Roman" w:cs="Times New Roman"/>
                <w:color w:val="000000" w:themeColor="text1"/>
                <w:sz w:val="21"/>
                <w:vertAlign w:val="subscript"/>
                <w:lang w:eastAsia="zh-CN"/>
                <w14:textFill>
                  <w14:solidFill>
                    <w14:schemeClr w14:val="tx1"/>
                  </w14:solidFill>
                </w14:textFill>
              </w:rPr>
              <w:t>2</w:t>
            </w:r>
            <w:r>
              <w:rPr>
                <w:rFonts w:ascii="Times New Roman" w:hAnsi="Times New Roman" w:cs="Times New Roman"/>
                <w:color w:val="000000" w:themeColor="text1"/>
                <w:sz w:val="21"/>
                <w:lang w:eastAsia="zh-CN"/>
                <w14:textFill>
                  <w14:solidFill>
                    <w14:schemeClr w14:val="tx1"/>
                  </w14:solidFill>
                </w14:textFill>
              </w:rPr>
              <w:t>SO</w:t>
            </w:r>
            <w:r>
              <w:rPr>
                <w:rFonts w:hint="eastAsia" w:ascii="Times New Roman" w:hAnsi="Times New Roman" w:cs="Times New Roman"/>
                <w:color w:val="000000" w:themeColor="text1"/>
                <w:sz w:val="21"/>
                <w:vertAlign w:val="subscript"/>
                <w:lang w:eastAsia="zh-CN"/>
                <w14:textFill>
                  <w14:solidFill>
                    <w14:schemeClr w14:val="tx1"/>
                  </w14:solidFill>
                </w14:textFill>
              </w:rPr>
              <w:t>4</w:t>
            </w:r>
            <w:r>
              <w:rPr>
                <w:rFonts w:ascii="Times New Roman" w:hAnsi="Times New Roman" w:cs="Times New Roman"/>
                <w:color w:val="000000" w:themeColor="text1"/>
                <w:sz w:val="21"/>
                <w:lang w:eastAsia="zh-CN"/>
                <w14:textFill>
                  <w14:solidFill>
                    <w14:schemeClr w14:val="tx1"/>
                  </w14:solidFill>
                </w14:textFill>
              </w:rPr>
              <w:t>）</w:t>
            </w:r>
            <w:r>
              <w:rPr>
                <w:rFonts w:ascii="Times New Roman" w:hAnsi="Times New Roman" w:cs="Times New Roman"/>
                <w:color w:val="000000" w:themeColor="text1"/>
                <w:sz w:val="21"/>
                <w14:textFill>
                  <w14:solidFill>
                    <w14:schemeClr w14:val="tx1"/>
                  </w14:solidFill>
                </w14:textFill>
              </w:rPr>
              <w:t>ω</w:t>
            </w:r>
            <w:r>
              <w:rPr>
                <w:rFonts w:ascii="Times New Roman" w:hAnsi="Times New Roman" w:cs="Times New Roman"/>
                <w:color w:val="000000" w:themeColor="text1"/>
                <w:sz w:val="21"/>
                <w:lang w:eastAsia="zh-CN"/>
                <w14:textFill>
                  <w14:solidFill>
                    <w14:schemeClr w14:val="tx1"/>
                  </w14:solidFill>
                </w14:textFill>
              </w:rPr>
              <w:t>/%</w:t>
            </w:r>
          </w:p>
        </w:tc>
        <w:tc>
          <w:tcPr>
            <w:tcW w:w="436" w:type="pct"/>
            <w:noWrap/>
            <w:vAlign w:val="center"/>
          </w:tcPr>
          <w:p w14:paraId="5CABACFF">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≤0.02</w:t>
            </w:r>
          </w:p>
        </w:tc>
        <w:tc>
          <w:tcPr>
            <w:tcW w:w="429" w:type="pct"/>
            <w:vAlign w:val="center"/>
          </w:tcPr>
          <w:p w14:paraId="41188941">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≤0.08</w:t>
            </w:r>
          </w:p>
        </w:tc>
        <w:tc>
          <w:tcPr>
            <w:tcW w:w="445" w:type="pct"/>
            <w:vAlign w:val="center"/>
          </w:tcPr>
          <w:p w14:paraId="65565B8D">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≤0.08</w:t>
            </w:r>
          </w:p>
        </w:tc>
        <w:tc>
          <w:tcPr>
            <w:tcW w:w="450" w:type="pct"/>
            <w:vAlign w:val="center"/>
          </w:tcPr>
          <w:p w14:paraId="3D03215D">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≤1.0</w:t>
            </w:r>
          </w:p>
        </w:tc>
        <w:tc>
          <w:tcPr>
            <w:tcW w:w="438" w:type="pct"/>
            <w:vAlign w:val="center"/>
          </w:tcPr>
          <w:p w14:paraId="3C23D144">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≤1.0</w:t>
            </w:r>
          </w:p>
        </w:tc>
        <w:tc>
          <w:tcPr>
            <w:tcW w:w="430" w:type="pct"/>
            <w:vAlign w:val="center"/>
          </w:tcPr>
          <w:p w14:paraId="451FE76F">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≤2.0</w:t>
            </w:r>
          </w:p>
        </w:tc>
        <w:tc>
          <w:tcPr>
            <w:tcW w:w="406" w:type="pct"/>
            <w:vAlign w:val="center"/>
          </w:tcPr>
          <w:p w14:paraId="73FE5CF8">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≤2.0</w:t>
            </w:r>
          </w:p>
        </w:tc>
      </w:tr>
      <w:tr w14:paraId="235A40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437" w:type="pct"/>
            <w:vMerge w:val="continue"/>
            <w:noWrap/>
            <w:vAlign w:val="center"/>
          </w:tcPr>
          <w:p w14:paraId="6FAB4DDE">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p>
        </w:tc>
        <w:tc>
          <w:tcPr>
            <w:tcW w:w="1529" w:type="pct"/>
            <w:noWrap/>
            <w:vAlign w:val="center"/>
          </w:tcPr>
          <w:p w14:paraId="19D73397">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灼烧残渣</w:t>
            </w:r>
            <w:r>
              <w:rPr>
                <w:rFonts w:ascii="Times New Roman" w:hAnsi="Times New Roman" w:cs="Times New Roman"/>
                <w:color w:val="000000" w:themeColor="text1"/>
                <w:sz w:val="21"/>
                <w14:textFill>
                  <w14:solidFill>
                    <w14:schemeClr w14:val="tx1"/>
                  </w14:solidFill>
                </w14:textFill>
              </w:rPr>
              <w:t>ω</w:t>
            </w:r>
            <w:r>
              <w:rPr>
                <w:rFonts w:ascii="Times New Roman" w:hAnsi="Times New Roman" w:cs="Times New Roman"/>
                <w:color w:val="000000" w:themeColor="text1"/>
                <w:sz w:val="21"/>
                <w:lang w:eastAsia="zh-CN"/>
                <w14:textFill>
                  <w14:solidFill>
                    <w14:schemeClr w14:val="tx1"/>
                  </w14:solidFill>
                </w14:textFill>
              </w:rPr>
              <w:t>/%</w:t>
            </w:r>
          </w:p>
        </w:tc>
        <w:tc>
          <w:tcPr>
            <w:tcW w:w="1310" w:type="pct"/>
            <w:gridSpan w:val="3"/>
            <w:noWrap/>
            <w:vAlign w:val="center"/>
          </w:tcPr>
          <w:p w14:paraId="6FE2E5F8">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≤0.05</w:t>
            </w:r>
          </w:p>
        </w:tc>
        <w:tc>
          <w:tcPr>
            <w:tcW w:w="1724" w:type="pct"/>
            <w:gridSpan w:val="4"/>
            <w:vAlign w:val="center"/>
          </w:tcPr>
          <w:p w14:paraId="6E9D4B2F">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w:t>
            </w:r>
          </w:p>
        </w:tc>
      </w:tr>
      <w:tr w14:paraId="7A1108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437" w:type="pct"/>
            <w:vMerge w:val="continue"/>
            <w:noWrap/>
            <w:vAlign w:val="center"/>
          </w:tcPr>
          <w:p w14:paraId="58596920">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p>
        </w:tc>
        <w:tc>
          <w:tcPr>
            <w:tcW w:w="1529" w:type="pct"/>
            <w:noWrap/>
            <w:vAlign w:val="center"/>
          </w:tcPr>
          <w:p w14:paraId="7922E85B">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铁（Fe）</w:t>
            </w:r>
            <w:r>
              <w:rPr>
                <w:rFonts w:ascii="Times New Roman" w:hAnsi="Times New Roman" w:cs="Times New Roman"/>
                <w:color w:val="000000" w:themeColor="text1"/>
                <w:sz w:val="21"/>
                <w14:textFill>
                  <w14:solidFill>
                    <w14:schemeClr w14:val="tx1"/>
                  </w14:solidFill>
                </w14:textFill>
              </w:rPr>
              <w:t>ω</w:t>
            </w:r>
            <w:r>
              <w:rPr>
                <w:rFonts w:ascii="Times New Roman" w:hAnsi="Times New Roman" w:cs="Times New Roman"/>
                <w:color w:val="000000" w:themeColor="text1"/>
                <w:sz w:val="21"/>
                <w:lang w:eastAsia="zh-CN"/>
                <w14:textFill>
                  <w14:solidFill>
                    <w14:schemeClr w14:val="tx1"/>
                  </w14:solidFill>
                </w14:textFill>
              </w:rPr>
              <w:t>/（mg/kg）</w:t>
            </w:r>
          </w:p>
        </w:tc>
        <w:tc>
          <w:tcPr>
            <w:tcW w:w="1310" w:type="pct"/>
            <w:gridSpan w:val="3"/>
            <w:noWrap/>
            <w:vAlign w:val="center"/>
          </w:tcPr>
          <w:p w14:paraId="4B38F54D">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≤10</w:t>
            </w:r>
          </w:p>
        </w:tc>
        <w:tc>
          <w:tcPr>
            <w:tcW w:w="1724" w:type="pct"/>
            <w:gridSpan w:val="4"/>
            <w:vAlign w:val="center"/>
          </w:tcPr>
          <w:p w14:paraId="632769C1">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w:t>
            </w:r>
          </w:p>
        </w:tc>
      </w:tr>
      <w:tr w14:paraId="299124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437" w:type="pct"/>
            <w:vMerge w:val="continue"/>
            <w:noWrap/>
            <w:vAlign w:val="center"/>
          </w:tcPr>
          <w:p w14:paraId="7A8790F8">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p>
        </w:tc>
        <w:tc>
          <w:tcPr>
            <w:tcW w:w="1529" w:type="pct"/>
            <w:noWrap/>
            <w:vAlign w:val="center"/>
          </w:tcPr>
          <w:p w14:paraId="3DD1611F">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铅（Pb）</w:t>
            </w:r>
            <w:r>
              <w:rPr>
                <w:rFonts w:ascii="Times New Roman" w:hAnsi="Times New Roman" w:cs="Times New Roman"/>
                <w:color w:val="000000" w:themeColor="text1"/>
                <w:sz w:val="21"/>
                <w14:textFill>
                  <w14:solidFill>
                    <w14:schemeClr w14:val="tx1"/>
                  </w14:solidFill>
                </w14:textFill>
              </w:rPr>
              <w:t>ω</w:t>
            </w:r>
            <w:r>
              <w:rPr>
                <w:rFonts w:ascii="Times New Roman" w:hAnsi="Times New Roman" w:cs="Times New Roman"/>
                <w:color w:val="000000" w:themeColor="text1"/>
                <w:sz w:val="21"/>
                <w:lang w:eastAsia="zh-CN"/>
                <w14:textFill>
                  <w14:solidFill>
                    <w14:schemeClr w14:val="tx1"/>
                  </w14:solidFill>
                </w14:textFill>
              </w:rPr>
              <w:t>/（mg/kg）</w:t>
            </w:r>
          </w:p>
        </w:tc>
        <w:tc>
          <w:tcPr>
            <w:tcW w:w="1310" w:type="pct"/>
            <w:gridSpan w:val="3"/>
            <w:noWrap/>
            <w:vAlign w:val="center"/>
          </w:tcPr>
          <w:p w14:paraId="2487B2D0">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≤10</w:t>
            </w:r>
          </w:p>
        </w:tc>
        <w:tc>
          <w:tcPr>
            <w:tcW w:w="1724" w:type="pct"/>
            <w:gridSpan w:val="4"/>
            <w:vAlign w:val="center"/>
          </w:tcPr>
          <w:p w14:paraId="04E39328">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w:t>
            </w:r>
          </w:p>
        </w:tc>
      </w:tr>
      <w:tr w14:paraId="595E73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7" w:type="pct"/>
            <w:vMerge w:val="restart"/>
            <w:noWrap/>
            <w:vAlign w:val="center"/>
          </w:tcPr>
          <w:p w14:paraId="403F5EF7">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刻蚀液</w:t>
            </w:r>
          </w:p>
        </w:tc>
        <w:tc>
          <w:tcPr>
            <w:tcW w:w="1529" w:type="pct"/>
            <w:noWrap/>
            <w:vAlign w:val="center"/>
          </w:tcPr>
          <w:p w14:paraId="5A2B042B">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氢氟酸（HF）</w:t>
            </w:r>
            <w:r>
              <w:rPr>
                <w:rFonts w:ascii="Times New Roman" w:hAnsi="Times New Roman" w:cs="Times New Roman"/>
                <w:color w:val="000000" w:themeColor="text1"/>
                <w:sz w:val="21"/>
                <w14:textFill>
                  <w14:solidFill>
                    <w14:schemeClr w14:val="tx1"/>
                  </w14:solidFill>
                </w14:textFill>
              </w:rPr>
              <w:t>ω</w:t>
            </w:r>
            <w:r>
              <w:rPr>
                <w:rFonts w:ascii="Times New Roman" w:hAnsi="Times New Roman" w:cs="Times New Roman"/>
                <w:color w:val="000000" w:themeColor="text1"/>
                <w:sz w:val="21"/>
                <w:lang w:eastAsia="zh-CN"/>
                <w14:textFill>
                  <w14:solidFill>
                    <w14:schemeClr w14:val="tx1"/>
                  </w14:solidFill>
                </w14:textFill>
              </w:rPr>
              <w:t>/%</w:t>
            </w:r>
          </w:p>
        </w:tc>
        <w:tc>
          <w:tcPr>
            <w:tcW w:w="3034" w:type="pct"/>
            <w:gridSpan w:val="7"/>
            <w:noWrap/>
            <w:vAlign w:val="center"/>
          </w:tcPr>
          <w:p w14:paraId="3F4BC8AD">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30%～40%</w:t>
            </w:r>
          </w:p>
        </w:tc>
      </w:tr>
      <w:tr w14:paraId="786D02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7" w:type="pct"/>
            <w:vMerge w:val="continue"/>
            <w:noWrap/>
            <w:vAlign w:val="center"/>
          </w:tcPr>
          <w:p w14:paraId="1786DF14">
            <w:pPr>
              <w:widowControl w:val="0"/>
              <w:adjustRightInd w:val="0"/>
              <w:snapToGrid w:val="0"/>
              <w:spacing w:before="80" w:after="80"/>
              <w:jc w:val="center"/>
              <w:rPr>
                <w:rFonts w:ascii="Times New Roman" w:hAnsi="Times New Roman" w:cs="Times New Roman"/>
                <w:color w:val="000000" w:themeColor="text1"/>
                <w:sz w:val="21"/>
                <w14:textFill>
                  <w14:solidFill>
                    <w14:schemeClr w14:val="tx1"/>
                  </w14:solidFill>
                </w14:textFill>
              </w:rPr>
            </w:pPr>
          </w:p>
        </w:tc>
        <w:tc>
          <w:tcPr>
            <w:tcW w:w="1529" w:type="pct"/>
            <w:noWrap/>
            <w:vAlign w:val="center"/>
          </w:tcPr>
          <w:p w14:paraId="2C28B1D9">
            <w:pPr>
              <w:widowControl w:val="0"/>
              <w:adjustRightInd w:val="0"/>
              <w:snapToGrid w:val="0"/>
              <w:spacing w:before="80" w:after="8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氯化氢（HCl）</w:t>
            </w:r>
            <w:r>
              <w:rPr>
                <w:rFonts w:ascii="Times New Roman" w:hAnsi="Times New Roman" w:cs="Times New Roman"/>
                <w:color w:val="000000" w:themeColor="text1"/>
                <w:sz w:val="21"/>
                <w14:textFill>
                  <w14:solidFill>
                    <w14:schemeClr w14:val="tx1"/>
                  </w14:solidFill>
                </w14:textFill>
              </w:rPr>
              <w:t>ω</w:t>
            </w:r>
            <w:r>
              <w:rPr>
                <w:rFonts w:ascii="Times New Roman" w:hAnsi="Times New Roman" w:cs="Times New Roman"/>
                <w:color w:val="000000" w:themeColor="text1"/>
                <w:sz w:val="21"/>
                <w:lang w:eastAsia="zh-CN"/>
                <w14:textFill>
                  <w14:solidFill>
                    <w14:schemeClr w14:val="tx1"/>
                  </w14:solidFill>
                </w14:textFill>
              </w:rPr>
              <w:t>/%</w:t>
            </w:r>
          </w:p>
        </w:tc>
        <w:tc>
          <w:tcPr>
            <w:tcW w:w="3034" w:type="pct"/>
            <w:gridSpan w:val="7"/>
            <w:noWrap/>
            <w:vAlign w:val="center"/>
          </w:tcPr>
          <w:p w14:paraId="303B926C">
            <w:pPr>
              <w:widowControl w:val="0"/>
              <w:adjustRightInd w:val="0"/>
              <w:snapToGrid w:val="0"/>
              <w:spacing w:before="80" w:after="8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5%～7%</w:t>
            </w:r>
          </w:p>
        </w:tc>
      </w:tr>
    </w:tbl>
    <w:p w14:paraId="5FA88873">
      <w:pPr>
        <w:spacing w:line="360" w:lineRule="auto"/>
        <w:jc w:val="center"/>
        <w:rPr>
          <w:rFonts w:ascii="Times New Roman" w:hAnsi="Times New Roman" w:cs="Times New Roman"/>
          <w:b/>
          <w:bCs/>
          <w:color w:val="auto"/>
          <w:lang w:eastAsia="zh-CN"/>
        </w:rPr>
        <w:sectPr>
          <w:pgSz w:w="11906" w:h="16838"/>
          <w:pgMar w:top="1440" w:right="1080" w:bottom="1440" w:left="1080" w:header="851" w:footer="992" w:gutter="0"/>
          <w:cols w:space="720" w:num="1"/>
          <w:docGrid w:type="lines" w:linePitch="312" w:charSpace="0"/>
        </w:sectPr>
      </w:pPr>
    </w:p>
    <w:p w14:paraId="0F2D9681">
      <w:pPr>
        <w:spacing w:line="360" w:lineRule="auto"/>
        <w:ind w:firstLine="482"/>
        <w:jc w:val="both"/>
        <w:outlineLvl w:val="2"/>
        <w:rPr>
          <w:rFonts w:ascii="Times New Roman" w:hAnsi="Times New Roman" w:cs="Times New Roman"/>
          <w:b/>
          <w:bCs/>
          <w:color w:val="auto"/>
          <w:lang w:eastAsia="zh-CN"/>
        </w:rPr>
      </w:pPr>
      <w:bookmarkStart w:id="631" w:name="_Toc221900815"/>
      <w:bookmarkStart w:id="632" w:name="_Toc237508279"/>
      <w:bookmarkStart w:id="633" w:name="_Toc218784258"/>
      <w:bookmarkStart w:id="634" w:name="_Toc236641814"/>
      <w:bookmarkStart w:id="635" w:name="_Toc172555639"/>
      <w:bookmarkStart w:id="636" w:name="_Toc204448449"/>
      <w:bookmarkStart w:id="637" w:name="_Toc178602336"/>
      <w:bookmarkStart w:id="638" w:name="_Toc217662648"/>
      <w:bookmarkStart w:id="639" w:name="_Toc17493"/>
      <w:bookmarkStart w:id="640" w:name="_Toc236641297"/>
      <w:bookmarkStart w:id="641" w:name="_Toc173740266"/>
      <w:bookmarkStart w:id="642" w:name="_Toc173743370"/>
      <w:bookmarkStart w:id="643" w:name="_Toc231828566"/>
      <w:bookmarkStart w:id="644" w:name="_Toc176512996"/>
      <w:bookmarkStart w:id="645" w:name="_Toc175164260"/>
      <w:bookmarkStart w:id="646" w:name="_Toc203926983"/>
      <w:bookmarkStart w:id="647" w:name="_Toc204515184"/>
      <w:bookmarkStart w:id="648" w:name="_Toc224674671"/>
      <w:bookmarkStart w:id="649" w:name="_Toc223425033"/>
      <w:bookmarkStart w:id="650" w:name="_Toc225784032"/>
      <w:r>
        <w:rPr>
          <w:rFonts w:ascii="Times New Roman" w:hAnsi="Times New Roman" w:cs="Times New Roman"/>
          <w:b/>
          <w:bCs/>
          <w:color w:val="auto"/>
          <w:lang w:eastAsia="zh-CN"/>
        </w:rPr>
        <w:t>4.1.4 主要原辅材料及产品储运情况</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p>
    <w:p w14:paraId="62F392B3">
      <w:pPr>
        <w:spacing w:line="360" w:lineRule="auto"/>
        <w:jc w:val="center"/>
        <w:rPr>
          <w:rFonts w:ascii="Times New Roman" w:hAnsi="Times New Roman" w:cs="Times New Roman"/>
          <w:b/>
          <w:color w:val="auto"/>
          <w:lang w:eastAsia="zh-CN"/>
        </w:rPr>
      </w:pPr>
      <w:r>
        <w:rPr>
          <w:rFonts w:ascii="Times New Roman" w:hAnsi="Times New Roman" w:cs="Times New Roman"/>
          <w:b/>
          <w:color w:val="auto"/>
          <w:lang w:eastAsia="zh-CN"/>
        </w:rPr>
        <w:t>表4.1-</w:t>
      </w:r>
      <w:r>
        <w:rPr>
          <w:rFonts w:hint="eastAsia" w:ascii="Times New Roman" w:hAnsi="Times New Roman" w:cs="Times New Roman"/>
          <w:b/>
          <w:color w:val="auto"/>
          <w:lang w:eastAsia="zh-CN"/>
        </w:rPr>
        <w:t>7  改扩建后，全厂</w:t>
      </w:r>
      <w:r>
        <w:rPr>
          <w:rFonts w:ascii="Times New Roman" w:hAnsi="Times New Roman" w:cs="Times New Roman"/>
          <w:b/>
          <w:color w:val="auto"/>
          <w:lang w:eastAsia="zh-CN"/>
        </w:rPr>
        <w:t>原、辅料及产品储运情况一览表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47"/>
        <w:gridCol w:w="999"/>
        <w:gridCol w:w="966"/>
        <w:gridCol w:w="1306"/>
        <w:gridCol w:w="1415"/>
        <w:gridCol w:w="1287"/>
        <w:gridCol w:w="1415"/>
        <w:gridCol w:w="1136"/>
        <w:gridCol w:w="882"/>
        <w:gridCol w:w="1133"/>
        <w:gridCol w:w="963"/>
        <w:gridCol w:w="1132"/>
        <w:gridCol w:w="777"/>
      </w:tblGrid>
      <w:tr w14:paraId="2B73E3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6" w:type="pct"/>
            <w:tcMar>
              <w:left w:w="0" w:type="dxa"/>
              <w:right w:w="0" w:type="dxa"/>
            </w:tcMar>
            <w:vAlign w:val="center"/>
          </w:tcPr>
          <w:p w14:paraId="354FD3F1">
            <w:pPr>
              <w:jc w:val="center"/>
              <w:rPr>
                <w:rFonts w:ascii="Times New Roman" w:hAnsi="Times New Roman" w:cs="Times New Roman"/>
                <w:b/>
                <w:color w:val="auto"/>
                <w:sz w:val="21"/>
              </w:rPr>
            </w:pPr>
            <w:r>
              <w:rPr>
                <w:rFonts w:ascii="Times New Roman" w:hAnsi="Times New Roman" w:cs="Times New Roman"/>
                <w:b/>
                <w:color w:val="auto"/>
                <w:sz w:val="21"/>
              </w:rPr>
              <w:t>序号</w:t>
            </w:r>
          </w:p>
        </w:tc>
        <w:tc>
          <w:tcPr>
            <w:tcW w:w="358" w:type="pct"/>
            <w:vAlign w:val="center"/>
          </w:tcPr>
          <w:p w14:paraId="52828224">
            <w:pPr>
              <w:jc w:val="center"/>
              <w:rPr>
                <w:rFonts w:ascii="Times New Roman" w:hAnsi="Times New Roman" w:cs="Times New Roman"/>
                <w:b/>
                <w:color w:val="auto"/>
                <w:sz w:val="21"/>
              </w:rPr>
            </w:pPr>
            <w:r>
              <w:rPr>
                <w:rFonts w:ascii="Times New Roman" w:hAnsi="Times New Roman" w:cs="Times New Roman"/>
                <w:b/>
                <w:color w:val="auto"/>
                <w:sz w:val="21"/>
                <w:lang w:eastAsia="zh-CN"/>
              </w:rPr>
              <w:t>生产装置</w:t>
            </w:r>
          </w:p>
        </w:tc>
        <w:tc>
          <w:tcPr>
            <w:tcW w:w="346" w:type="pct"/>
            <w:vAlign w:val="center"/>
          </w:tcPr>
          <w:p w14:paraId="73C784C1">
            <w:pPr>
              <w:jc w:val="center"/>
              <w:rPr>
                <w:rFonts w:ascii="Times New Roman" w:hAnsi="Times New Roman" w:cs="Times New Roman"/>
                <w:b/>
                <w:color w:val="auto"/>
                <w:sz w:val="21"/>
              </w:rPr>
            </w:pPr>
            <w:r>
              <w:rPr>
                <w:rFonts w:ascii="Times New Roman" w:hAnsi="Times New Roman" w:cs="Times New Roman"/>
                <w:b/>
                <w:color w:val="auto"/>
                <w:sz w:val="21"/>
                <w:lang w:eastAsia="zh-CN"/>
              </w:rPr>
              <w:t>产品名称</w:t>
            </w:r>
          </w:p>
        </w:tc>
        <w:tc>
          <w:tcPr>
            <w:tcW w:w="468" w:type="pct"/>
            <w:vAlign w:val="center"/>
          </w:tcPr>
          <w:p w14:paraId="483CCC9C">
            <w:pPr>
              <w:jc w:val="center"/>
              <w:rPr>
                <w:rFonts w:ascii="Times New Roman" w:hAnsi="Times New Roman" w:cs="Times New Roman"/>
                <w:b/>
                <w:color w:val="auto"/>
                <w:sz w:val="21"/>
              </w:rPr>
            </w:pPr>
            <w:r>
              <w:rPr>
                <w:rFonts w:ascii="Times New Roman" w:hAnsi="Times New Roman" w:cs="Times New Roman"/>
                <w:b/>
                <w:color w:val="auto"/>
                <w:sz w:val="21"/>
              </w:rPr>
              <w:t>物料名称</w:t>
            </w:r>
          </w:p>
        </w:tc>
        <w:tc>
          <w:tcPr>
            <w:tcW w:w="507" w:type="pct"/>
            <w:vAlign w:val="center"/>
          </w:tcPr>
          <w:p w14:paraId="5F1310F0">
            <w:pPr>
              <w:jc w:val="center"/>
              <w:rPr>
                <w:rFonts w:ascii="Times New Roman" w:hAnsi="Times New Roman" w:cs="Times New Roman"/>
                <w:b/>
                <w:color w:val="auto"/>
                <w:sz w:val="21"/>
                <w:lang w:eastAsia="zh-CN"/>
              </w:rPr>
            </w:pPr>
            <w:r>
              <w:rPr>
                <w:rFonts w:ascii="Times New Roman" w:hAnsi="Times New Roman" w:cs="Times New Roman"/>
                <w:b/>
                <w:color w:val="auto"/>
                <w:sz w:val="21"/>
                <w:lang w:eastAsia="zh-CN"/>
              </w:rPr>
              <w:t>现有工程用量（t/a）</w:t>
            </w:r>
          </w:p>
        </w:tc>
        <w:tc>
          <w:tcPr>
            <w:tcW w:w="461" w:type="pct"/>
            <w:tcMar>
              <w:left w:w="0" w:type="dxa"/>
              <w:right w:w="0" w:type="dxa"/>
            </w:tcMar>
            <w:vAlign w:val="center"/>
          </w:tcPr>
          <w:p w14:paraId="2654B03B">
            <w:pPr>
              <w:jc w:val="center"/>
              <w:rPr>
                <w:rFonts w:ascii="Times New Roman" w:hAnsi="Times New Roman" w:cs="Times New Roman"/>
                <w:b/>
                <w:color w:val="auto"/>
                <w:sz w:val="21"/>
              </w:rPr>
            </w:pPr>
            <w:r>
              <w:rPr>
                <w:rFonts w:ascii="Times New Roman" w:hAnsi="Times New Roman" w:cs="Times New Roman"/>
                <w:b/>
                <w:color w:val="auto"/>
                <w:sz w:val="21"/>
                <w:lang w:eastAsia="zh-CN"/>
              </w:rPr>
              <w:t>改扩建后全厂用</w:t>
            </w:r>
            <w:r>
              <w:rPr>
                <w:rFonts w:ascii="Times New Roman" w:hAnsi="Times New Roman" w:cs="Times New Roman"/>
                <w:b/>
                <w:color w:val="auto"/>
                <w:sz w:val="21"/>
              </w:rPr>
              <w:t>量(t/a)</w:t>
            </w:r>
          </w:p>
        </w:tc>
        <w:tc>
          <w:tcPr>
            <w:tcW w:w="507" w:type="pct"/>
            <w:vAlign w:val="center"/>
          </w:tcPr>
          <w:p w14:paraId="047C27E3">
            <w:pPr>
              <w:jc w:val="center"/>
              <w:rPr>
                <w:rFonts w:ascii="Times New Roman" w:hAnsi="Times New Roman" w:cs="Times New Roman"/>
                <w:b/>
                <w:color w:val="auto"/>
                <w:sz w:val="21"/>
                <w:lang w:eastAsia="zh-CN"/>
              </w:rPr>
            </w:pPr>
            <w:r>
              <w:rPr>
                <w:rFonts w:ascii="Times New Roman" w:hAnsi="Times New Roman" w:cs="Times New Roman"/>
                <w:b/>
                <w:color w:val="auto"/>
                <w:sz w:val="21"/>
                <w:lang w:eastAsia="zh-CN"/>
              </w:rPr>
              <w:t>变化量（t/a）</w:t>
            </w:r>
          </w:p>
        </w:tc>
        <w:tc>
          <w:tcPr>
            <w:tcW w:w="407" w:type="pct"/>
            <w:tcMar>
              <w:left w:w="0" w:type="dxa"/>
              <w:right w:w="0" w:type="dxa"/>
            </w:tcMar>
            <w:vAlign w:val="center"/>
          </w:tcPr>
          <w:p w14:paraId="19F97FDB">
            <w:pPr>
              <w:jc w:val="center"/>
              <w:rPr>
                <w:rFonts w:ascii="Times New Roman" w:hAnsi="Times New Roman" w:cs="Times New Roman"/>
                <w:b/>
                <w:color w:val="auto"/>
                <w:sz w:val="21"/>
                <w:lang w:eastAsia="zh-CN"/>
              </w:rPr>
            </w:pPr>
            <w:r>
              <w:rPr>
                <w:rFonts w:ascii="Times New Roman" w:hAnsi="Times New Roman" w:cs="Times New Roman"/>
                <w:b/>
                <w:color w:val="auto"/>
                <w:sz w:val="21"/>
                <w:lang w:eastAsia="zh-CN"/>
              </w:rPr>
              <w:t>厂区最大储存量（t）</w:t>
            </w:r>
          </w:p>
        </w:tc>
        <w:tc>
          <w:tcPr>
            <w:tcW w:w="316" w:type="pct"/>
            <w:vAlign w:val="center"/>
          </w:tcPr>
          <w:p w14:paraId="13AAC5C9">
            <w:pPr>
              <w:jc w:val="center"/>
              <w:rPr>
                <w:rFonts w:ascii="Times New Roman" w:hAnsi="Times New Roman" w:cs="Times New Roman"/>
                <w:b/>
                <w:color w:val="auto"/>
                <w:sz w:val="21"/>
              </w:rPr>
            </w:pPr>
            <w:r>
              <w:rPr>
                <w:rFonts w:ascii="Times New Roman" w:hAnsi="Times New Roman" w:cs="Times New Roman"/>
                <w:b/>
                <w:color w:val="auto"/>
                <w:sz w:val="21"/>
              </w:rPr>
              <w:t>储存周期</w:t>
            </w:r>
          </w:p>
        </w:tc>
        <w:tc>
          <w:tcPr>
            <w:tcW w:w="406" w:type="pct"/>
            <w:vAlign w:val="center"/>
          </w:tcPr>
          <w:p w14:paraId="19725F9A">
            <w:pPr>
              <w:jc w:val="center"/>
              <w:rPr>
                <w:rFonts w:ascii="Times New Roman" w:hAnsi="Times New Roman" w:cs="Times New Roman"/>
                <w:b/>
                <w:color w:val="auto"/>
                <w:sz w:val="21"/>
              </w:rPr>
            </w:pPr>
            <w:r>
              <w:rPr>
                <w:rFonts w:ascii="Times New Roman" w:hAnsi="Times New Roman" w:cs="Times New Roman"/>
                <w:b/>
                <w:bCs/>
                <w:color w:val="auto"/>
                <w:sz w:val="21"/>
                <w:lang w:eastAsia="zh-CN"/>
              </w:rPr>
              <w:t>规格</w:t>
            </w:r>
            <w:r>
              <w:rPr>
                <w:rFonts w:ascii="Times New Roman" w:hAnsi="Times New Roman" w:cs="Times New Roman"/>
                <w:b/>
                <w:bCs/>
                <w:color w:val="auto"/>
                <w:sz w:val="21"/>
              </w:rPr>
              <w:t>形态</w:t>
            </w:r>
          </w:p>
        </w:tc>
        <w:tc>
          <w:tcPr>
            <w:tcW w:w="345" w:type="pct"/>
            <w:vAlign w:val="center"/>
          </w:tcPr>
          <w:p w14:paraId="53CA5788">
            <w:pPr>
              <w:jc w:val="center"/>
              <w:rPr>
                <w:rFonts w:ascii="Times New Roman" w:hAnsi="Times New Roman" w:cs="Times New Roman"/>
                <w:b/>
                <w:color w:val="auto"/>
                <w:sz w:val="21"/>
              </w:rPr>
            </w:pPr>
            <w:r>
              <w:rPr>
                <w:rFonts w:ascii="Times New Roman" w:hAnsi="Times New Roman" w:cs="Times New Roman"/>
                <w:b/>
                <w:color w:val="auto"/>
                <w:sz w:val="21"/>
                <w:lang w:eastAsia="zh-CN"/>
              </w:rPr>
              <w:t>储存方式</w:t>
            </w:r>
          </w:p>
        </w:tc>
        <w:tc>
          <w:tcPr>
            <w:tcW w:w="405" w:type="pct"/>
            <w:vAlign w:val="center"/>
          </w:tcPr>
          <w:p w14:paraId="148CEC47">
            <w:pPr>
              <w:jc w:val="center"/>
              <w:textAlignment w:val="center"/>
              <w:rPr>
                <w:rFonts w:ascii="Times New Roman" w:hAnsi="Times New Roman" w:cs="Times New Roman"/>
                <w:b/>
                <w:bCs/>
                <w:color w:val="auto"/>
                <w:sz w:val="21"/>
                <w:lang w:bidi="ar"/>
              </w:rPr>
            </w:pPr>
            <w:r>
              <w:rPr>
                <w:rFonts w:ascii="Times New Roman" w:hAnsi="Times New Roman" w:cs="Times New Roman"/>
                <w:b/>
                <w:bCs/>
                <w:color w:val="auto"/>
                <w:sz w:val="21"/>
                <w:lang w:bidi="ar"/>
              </w:rPr>
              <w:t>储存地点</w:t>
            </w:r>
          </w:p>
        </w:tc>
        <w:tc>
          <w:tcPr>
            <w:tcW w:w="278" w:type="pct"/>
            <w:vAlign w:val="center"/>
          </w:tcPr>
          <w:p w14:paraId="7D511A89">
            <w:pPr>
              <w:jc w:val="center"/>
              <w:textAlignment w:val="center"/>
              <w:rPr>
                <w:rFonts w:ascii="Times New Roman" w:hAnsi="Times New Roman" w:cs="Times New Roman"/>
                <w:b/>
                <w:bCs/>
                <w:color w:val="auto"/>
                <w:sz w:val="21"/>
                <w:lang w:bidi="ar"/>
              </w:rPr>
            </w:pPr>
            <w:r>
              <w:rPr>
                <w:rFonts w:ascii="Times New Roman" w:hAnsi="Times New Roman" w:cs="Times New Roman"/>
                <w:b/>
                <w:bCs/>
                <w:color w:val="auto"/>
                <w:sz w:val="21"/>
                <w:lang w:bidi="ar"/>
              </w:rPr>
              <w:t>运输方式</w:t>
            </w:r>
          </w:p>
        </w:tc>
      </w:tr>
      <w:tr w14:paraId="7D9CC7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13"/>
            <w:vAlign w:val="center"/>
          </w:tcPr>
          <w:p w14:paraId="17DFBE86">
            <w:pPr>
              <w:jc w:val="center"/>
              <w:rPr>
                <w:rFonts w:ascii="Times New Roman" w:hAnsi="Times New Roman" w:cs="Times New Roman"/>
                <w:b/>
                <w:color w:val="auto"/>
                <w:sz w:val="21"/>
              </w:rPr>
            </w:pPr>
            <w:r>
              <w:rPr>
                <w:rFonts w:ascii="Times New Roman" w:hAnsi="Times New Roman" w:cs="Times New Roman"/>
                <w:b/>
                <w:color w:val="auto"/>
                <w:sz w:val="21"/>
              </w:rPr>
              <w:t>一、原、辅材料</w:t>
            </w:r>
          </w:p>
        </w:tc>
      </w:tr>
      <w:tr w14:paraId="51F1FA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6" w:type="pct"/>
            <w:tcMar>
              <w:left w:w="0" w:type="dxa"/>
              <w:right w:w="0" w:type="dxa"/>
            </w:tcMar>
            <w:vAlign w:val="center"/>
          </w:tcPr>
          <w:p w14:paraId="029DD1B8">
            <w:pPr>
              <w:jc w:val="center"/>
              <w:textAlignment w:val="center"/>
              <w:rPr>
                <w:rFonts w:ascii="Times New Roman" w:hAnsi="Times New Roman" w:cs="Times New Roman"/>
                <w:color w:val="auto"/>
                <w:sz w:val="21"/>
              </w:rPr>
            </w:pPr>
            <w:r>
              <w:rPr>
                <w:rFonts w:ascii="Times New Roman" w:hAnsi="Times New Roman" w:cs="Times New Roman"/>
                <w:color w:val="auto"/>
                <w:sz w:val="21"/>
                <w:lang w:bidi="ar"/>
              </w:rPr>
              <w:t>1</w:t>
            </w:r>
          </w:p>
        </w:tc>
        <w:tc>
          <w:tcPr>
            <w:tcW w:w="358" w:type="pct"/>
            <w:vMerge w:val="restart"/>
            <w:vAlign w:val="center"/>
          </w:tcPr>
          <w:p w14:paraId="7B832215">
            <w:pPr>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电子级氢氟酸生产装置</w:t>
            </w:r>
          </w:p>
        </w:tc>
        <w:tc>
          <w:tcPr>
            <w:tcW w:w="346" w:type="pct"/>
            <w:vMerge w:val="restart"/>
            <w:tcMar>
              <w:left w:w="0" w:type="dxa"/>
              <w:right w:w="0" w:type="dxa"/>
            </w:tcMar>
            <w:vAlign w:val="center"/>
          </w:tcPr>
          <w:p w14:paraId="70BF8035">
            <w:pPr>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电子级氢氟酸</w:t>
            </w:r>
          </w:p>
        </w:tc>
        <w:tc>
          <w:tcPr>
            <w:tcW w:w="468" w:type="pct"/>
            <w:tcMar>
              <w:left w:w="0" w:type="dxa"/>
              <w:right w:w="0" w:type="dxa"/>
            </w:tcMar>
            <w:vAlign w:val="center"/>
          </w:tcPr>
          <w:p w14:paraId="7DA6567B">
            <w:pPr>
              <w:jc w:val="center"/>
              <w:textAlignment w:val="center"/>
              <w:rPr>
                <w:rFonts w:ascii="Times New Roman" w:hAnsi="Times New Roman" w:cs="Times New Roman"/>
                <w:color w:val="auto"/>
                <w:sz w:val="21"/>
                <w:lang w:eastAsia="zh-CN"/>
              </w:rPr>
            </w:pPr>
          </w:p>
        </w:tc>
        <w:tc>
          <w:tcPr>
            <w:tcW w:w="507" w:type="pct"/>
            <w:vAlign w:val="center"/>
          </w:tcPr>
          <w:p w14:paraId="5C4307BD">
            <w:pPr>
              <w:spacing w:before="60" w:after="60"/>
              <w:jc w:val="center"/>
              <w:rPr>
                <w:rFonts w:ascii="Times New Roman" w:hAnsi="Times New Roman" w:cs="Times New Roman"/>
                <w:color w:val="auto"/>
                <w:sz w:val="21"/>
                <w:lang w:eastAsia="zh-CN" w:bidi="ar"/>
              </w:rPr>
            </w:pPr>
          </w:p>
        </w:tc>
        <w:tc>
          <w:tcPr>
            <w:tcW w:w="461" w:type="pct"/>
            <w:tcMar>
              <w:left w:w="0" w:type="dxa"/>
              <w:right w:w="0" w:type="dxa"/>
            </w:tcMar>
            <w:vAlign w:val="center"/>
          </w:tcPr>
          <w:p w14:paraId="715095CE">
            <w:pPr>
              <w:spacing w:before="60" w:after="60"/>
              <w:jc w:val="center"/>
              <w:rPr>
                <w:rFonts w:ascii="Times New Roman" w:hAnsi="Times New Roman" w:cs="Times New Roman"/>
                <w:color w:val="auto"/>
                <w:sz w:val="21"/>
                <w:lang w:eastAsia="zh-CN" w:bidi="ar"/>
              </w:rPr>
            </w:pPr>
          </w:p>
        </w:tc>
        <w:tc>
          <w:tcPr>
            <w:tcW w:w="507" w:type="pct"/>
            <w:vAlign w:val="center"/>
          </w:tcPr>
          <w:p w14:paraId="233B94B7">
            <w:pPr>
              <w:jc w:val="center"/>
              <w:textAlignment w:val="center"/>
              <w:rPr>
                <w:rFonts w:ascii="Times New Roman" w:hAnsi="Times New Roman" w:cs="Times New Roman"/>
                <w:color w:val="auto"/>
                <w:sz w:val="21"/>
                <w:lang w:eastAsia="zh-CN" w:bidi="ar"/>
              </w:rPr>
            </w:pPr>
          </w:p>
        </w:tc>
        <w:tc>
          <w:tcPr>
            <w:tcW w:w="407" w:type="pct"/>
            <w:tcMar>
              <w:left w:w="0" w:type="dxa"/>
              <w:right w:w="0" w:type="dxa"/>
            </w:tcMar>
            <w:vAlign w:val="center"/>
          </w:tcPr>
          <w:p w14:paraId="3B8FFA0B">
            <w:pPr>
              <w:jc w:val="center"/>
              <w:textAlignment w:val="center"/>
              <w:rPr>
                <w:rFonts w:ascii="Times New Roman" w:hAnsi="Times New Roman" w:cs="Times New Roman"/>
                <w:color w:val="auto"/>
                <w:sz w:val="21"/>
                <w:lang w:eastAsia="zh-CN" w:bidi="ar"/>
              </w:rPr>
            </w:pPr>
          </w:p>
        </w:tc>
        <w:tc>
          <w:tcPr>
            <w:tcW w:w="316" w:type="pct"/>
            <w:vAlign w:val="center"/>
          </w:tcPr>
          <w:p w14:paraId="1D785BBA">
            <w:pPr>
              <w:jc w:val="center"/>
              <w:textAlignment w:val="center"/>
              <w:rPr>
                <w:rFonts w:ascii="Times New Roman" w:hAnsi="Times New Roman" w:cs="Times New Roman"/>
                <w:color w:val="auto"/>
                <w:sz w:val="21"/>
                <w:lang w:eastAsia="zh-CN" w:bidi="ar"/>
              </w:rPr>
            </w:pPr>
          </w:p>
        </w:tc>
        <w:tc>
          <w:tcPr>
            <w:tcW w:w="406" w:type="pct"/>
            <w:vAlign w:val="center"/>
          </w:tcPr>
          <w:p w14:paraId="66B06576">
            <w:pPr>
              <w:jc w:val="center"/>
              <w:textAlignment w:val="center"/>
              <w:rPr>
                <w:rFonts w:ascii="Times New Roman" w:hAnsi="Times New Roman" w:cs="Times New Roman"/>
                <w:color w:val="auto"/>
                <w:sz w:val="21"/>
                <w:lang w:bidi="ar"/>
              </w:rPr>
            </w:pPr>
          </w:p>
        </w:tc>
        <w:tc>
          <w:tcPr>
            <w:tcW w:w="345" w:type="pct"/>
            <w:vAlign w:val="center"/>
          </w:tcPr>
          <w:p w14:paraId="18315F8C">
            <w:pPr>
              <w:jc w:val="center"/>
              <w:textAlignment w:val="center"/>
              <w:rPr>
                <w:rFonts w:ascii="Times New Roman" w:hAnsi="Times New Roman" w:cs="Times New Roman"/>
                <w:color w:val="auto"/>
                <w:sz w:val="21"/>
              </w:rPr>
            </w:pPr>
          </w:p>
        </w:tc>
        <w:tc>
          <w:tcPr>
            <w:tcW w:w="405" w:type="pct"/>
            <w:vAlign w:val="center"/>
          </w:tcPr>
          <w:p w14:paraId="392B451E">
            <w:pPr>
              <w:jc w:val="center"/>
              <w:textAlignment w:val="center"/>
              <w:rPr>
                <w:rFonts w:ascii="Times New Roman" w:hAnsi="Times New Roman" w:cs="Times New Roman"/>
                <w:color w:val="auto"/>
                <w:sz w:val="21"/>
              </w:rPr>
            </w:pPr>
          </w:p>
        </w:tc>
        <w:tc>
          <w:tcPr>
            <w:tcW w:w="278" w:type="pct"/>
            <w:vAlign w:val="center"/>
          </w:tcPr>
          <w:p w14:paraId="4C075FC6">
            <w:pPr>
              <w:jc w:val="center"/>
              <w:textAlignment w:val="center"/>
              <w:rPr>
                <w:rFonts w:ascii="Times New Roman" w:hAnsi="Times New Roman" w:cs="Times New Roman"/>
                <w:color w:val="auto"/>
                <w:sz w:val="21"/>
              </w:rPr>
            </w:pPr>
            <w:r>
              <w:rPr>
                <w:rFonts w:ascii="Times New Roman" w:hAnsi="Times New Roman" w:cs="Times New Roman"/>
                <w:color w:val="auto"/>
                <w:sz w:val="21"/>
              </w:rPr>
              <w:t>汽车运输</w:t>
            </w:r>
          </w:p>
        </w:tc>
      </w:tr>
      <w:tr w14:paraId="45DA10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6" w:type="pct"/>
            <w:tcMar>
              <w:left w:w="0" w:type="dxa"/>
              <w:right w:w="0" w:type="dxa"/>
            </w:tcMar>
            <w:vAlign w:val="center"/>
          </w:tcPr>
          <w:p w14:paraId="4B2517CF">
            <w:pPr>
              <w:jc w:val="center"/>
              <w:textAlignment w:val="center"/>
              <w:rPr>
                <w:rFonts w:ascii="Times New Roman" w:hAnsi="Times New Roman" w:cs="Times New Roman"/>
                <w:color w:val="auto"/>
                <w:sz w:val="21"/>
              </w:rPr>
            </w:pPr>
            <w:r>
              <w:rPr>
                <w:rFonts w:ascii="Times New Roman" w:hAnsi="Times New Roman" w:cs="Times New Roman"/>
                <w:color w:val="auto"/>
                <w:sz w:val="21"/>
                <w:lang w:bidi="ar"/>
              </w:rPr>
              <w:t>2</w:t>
            </w:r>
          </w:p>
        </w:tc>
        <w:tc>
          <w:tcPr>
            <w:tcW w:w="358" w:type="pct"/>
            <w:vMerge w:val="continue"/>
            <w:vAlign w:val="center"/>
          </w:tcPr>
          <w:p w14:paraId="690F4952">
            <w:pPr>
              <w:jc w:val="center"/>
              <w:textAlignment w:val="center"/>
              <w:rPr>
                <w:rFonts w:ascii="Times New Roman" w:hAnsi="Times New Roman" w:cs="Times New Roman"/>
                <w:color w:val="auto"/>
                <w:sz w:val="21"/>
              </w:rPr>
            </w:pPr>
          </w:p>
        </w:tc>
        <w:tc>
          <w:tcPr>
            <w:tcW w:w="346" w:type="pct"/>
            <w:vMerge w:val="continue"/>
            <w:tcMar>
              <w:left w:w="0" w:type="dxa"/>
              <w:right w:w="0" w:type="dxa"/>
            </w:tcMar>
            <w:vAlign w:val="center"/>
          </w:tcPr>
          <w:p w14:paraId="0A7CC8ED">
            <w:pPr>
              <w:jc w:val="center"/>
              <w:textAlignment w:val="center"/>
              <w:rPr>
                <w:rFonts w:ascii="Times New Roman" w:hAnsi="Times New Roman" w:cs="Times New Roman"/>
                <w:color w:val="auto"/>
                <w:sz w:val="21"/>
              </w:rPr>
            </w:pPr>
          </w:p>
        </w:tc>
        <w:tc>
          <w:tcPr>
            <w:tcW w:w="468" w:type="pct"/>
            <w:tcMar>
              <w:left w:w="0" w:type="dxa"/>
              <w:right w:w="0" w:type="dxa"/>
            </w:tcMar>
            <w:vAlign w:val="center"/>
          </w:tcPr>
          <w:p w14:paraId="7034E26B">
            <w:pPr>
              <w:jc w:val="center"/>
              <w:textAlignment w:val="center"/>
              <w:rPr>
                <w:rFonts w:ascii="Times New Roman" w:hAnsi="Times New Roman" w:cs="Times New Roman"/>
                <w:color w:val="auto"/>
                <w:sz w:val="21"/>
              </w:rPr>
            </w:pPr>
          </w:p>
        </w:tc>
        <w:tc>
          <w:tcPr>
            <w:tcW w:w="507" w:type="pct"/>
            <w:vAlign w:val="center"/>
          </w:tcPr>
          <w:p w14:paraId="403C8390">
            <w:pPr>
              <w:spacing w:before="60" w:after="60"/>
              <w:jc w:val="center"/>
              <w:rPr>
                <w:rFonts w:ascii="Times New Roman" w:hAnsi="Times New Roman" w:cs="Times New Roman"/>
                <w:color w:val="auto"/>
                <w:sz w:val="21"/>
                <w:lang w:eastAsia="zh-CN"/>
              </w:rPr>
            </w:pPr>
          </w:p>
        </w:tc>
        <w:tc>
          <w:tcPr>
            <w:tcW w:w="461" w:type="pct"/>
            <w:tcMar>
              <w:left w:w="0" w:type="dxa"/>
              <w:right w:w="0" w:type="dxa"/>
            </w:tcMar>
            <w:vAlign w:val="center"/>
          </w:tcPr>
          <w:p w14:paraId="37DF1729">
            <w:pPr>
              <w:spacing w:before="60" w:after="60"/>
              <w:jc w:val="center"/>
              <w:rPr>
                <w:rFonts w:ascii="Times New Roman" w:hAnsi="Times New Roman" w:cs="Times New Roman"/>
                <w:color w:val="auto"/>
                <w:sz w:val="21"/>
                <w:lang w:eastAsia="zh-CN" w:bidi="ar"/>
              </w:rPr>
            </w:pPr>
          </w:p>
        </w:tc>
        <w:tc>
          <w:tcPr>
            <w:tcW w:w="507" w:type="pct"/>
            <w:vAlign w:val="center"/>
          </w:tcPr>
          <w:p w14:paraId="01C5A485">
            <w:pPr>
              <w:jc w:val="center"/>
              <w:textAlignment w:val="center"/>
              <w:rPr>
                <w:rFonts w:ascii="Times New Roman" w:hAnsi="Times New Roman" w:cs="Times New Roman"/>
                <w:color w:val="auto"/>
                <w:sz w:val="21"/>
                <w:lang w:eastAsia="zh-CN" w:bidi="ar"/>
              </w:rPr>
            </w:pPr>
          </w:p>
        </w:tc>
        <w:tc>
          <w:tcPr>
            <w:tcW w:w="407" w:type="pct"/>
            <w:tcMar>
              <w:left w:w="0" w:type="dxa"/>
              <w:right w:w="0" w:type="dxa"/>
            </w:tcMar>
            <w:vAlign w:val="center"/>
          </w:tcPr>
          <w:p w14:paraId="04885624">
            <w:pPr>
              <w:jc w:val="center"/>
              <w:textAlignment w:val="center"/>
              <w:rPr>
                <w:rFonts w:ascii="Times New Roman" w:hAnsi="Times New Roman" w:cs="Times New Roman"/>
                <w:color w:val="auto"/>
                <w:sz w:val="21"/>
                <w:lang w:eastAsia="zh-CN" w:bidi="ar"/>
              </w:rPr>
            </w:pPr>
          </w:p>
        </w:tc>
        <w:tc>
          <w:tcPr>
            <w:tcW w:w="316" w:type="pct"/>
            <w:vAlign w:val="center"/>
          </w:tcPr>
          <w:p w14:paraId="7D5D592C">
            <w:pPr>
              <w:jc w:val="center"/>
              <w:textAlignment w:val="center"/>
              <w:rPr>
                <w:rFonts w:ascii="Times New Roman" w:hAnsi="Times New Roman" w:cs="Times New Roman"/>
                <w:color w:val="auto"/>
                <w:sz w:val="21"/>
                <w:lang w:eastAsia="zh-CN" w:bidi="ar"/>
              </w:rPr>
            </w:pPr>
          </w:p>
        </w:tc>
        <w:tc>
          <w:tcPr>
            <w:tcW w:w="406" w:type="pct"/>
            <w:vAlign w:val="center"/>
          </w:tcPr>
          <w:p w14:paraId="0132F2BC">
            <w:pPr>
              <w:jc w:val="center"/>
              <w:textAlignment w:val="center"/>
              <w:rPr>
                <w:rFonts w:ascii="Times New Roman" w:hAnsi="Times New Roman" w:cs="Times New Roman"/>
                <w:color w:val="auto"/>
                <w:sz w:val="21"/>
                <w:lang w:bidi="ar"/>
              </w:rPr>
            </w:pPr>
          </w:p>
        </w:tc>
        <w:tc>
          <w:tcPr>
            <w:tcW w:w="345" w:type="pct"/>
            <w:vAlign w:val="center"/>
          </w:tcPr>
          <w:p w14:paraId="1A96D29E">
            <w:pPr>
              <w:jc w:val="center"/>
              <w:textAlignment w:val="center"/>
              <w:rPr>
                <w:rFonts w:ascii="Times New Roman" w:hAnsi="Times New Roman" w:cs="Times New Roman"/>
                <w:color w:val="auto"/>
                <w:sz w:val="21"/>
              </w:rPr>
            </w:pPr>
          </w:p>
        </w:tc>
        <w:tc>
          <w:tcPr>
            <w:tcW w:w="405" w:type="pct"/>
            <w:vAlign w:val="center"/>
          </w:tcPr>
          <w:p w14:paraId="271AB358">
            <w:pPr>
              <w:jc w:val="center"/>
              <w:textAlignment w:val="center"/>
              <w:rPr>
                <w:rFonts w:ascii="Times New Roman" w:hAnsi="Times New Roman" w:cs="Times New Roman"/>
                <w:color w:val="auto"/>
                <w:sz w:val="21"/>
              </w:rPr>
            </w:pPr>
          </w:p>
        </w:tc>
        <w:tc>
          <w:tcPr>
            <w:tcW w:w="278" w:type="pct"/>
            <w:vAlign w:val="center"/>
          </w:tcPr>
          <w:p w14:paraId="465F01EF">
            <w:pPr>
              <w:jc w:val="center"/>
              <w:textAlignment w:val="center"/>
              <w:rPr>
                <w:rFonts w:ascii="Times New Roman" w:hAnsi="Times New Roman" w:cs="Times New Roman"/>
                <w:color w:val="auto"/>
                <w:sz w:val="21"/>
              </w:rPr>
            </w:pPr>
            <w:r>
              <w:rPr>
                <w:rFonts w:ascii="Times New Roman" w:hAnsi="Times New Roman" w:cs="Times New Roman"/>
                <w:color w:val="auto"/>
                <w:sz w:val="21"/>
              </w:rPr>
              <w:t>汽车运输</w:t>
            </w:r>
          </w:p>
        </w:tc>
      </w:tr>
      <w:tr w14:paraId="2E44EB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6" w:type="pct"/>
            <w:tcMar>
              <w:left w:w="0" w:type="dxa"/>
              <w:right w:w="0" w:type="dxa"/>
            </w:tcMar>
            <w:vAlign w:val="center"/>
          </w:tcPr>
          <w:p w14:paraId="3ABC0CC1">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1</w:t>
            </w:r>
          </w:p>
        </w:tc>
        <w:tc>
          <w:tcPr>
            <w:tcW w:w="358" w:type="pct"/>
            <w:vMerge w:val="restart"/>
            <w:vAlign w:val="center"/>
          </w:tcPr>
          <w:p w14:paraId="5B420E05">
            <w:pPr>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化学纯氢氟酸生产装置</w:t>
            </w:r>
          </w:p>
        </w:tc>
        <w:tc>
          <w:tcPr>
            <w:tcW w:w="346" w:type="pct"/>
            <w:vMerge w:val="restart"/>
            <w:tcMar>
              <w:left w:w="0" w:type="dxa"/>
              <w:right w:w="0" w:type="dxa"/>
            </w:tcMar>
            <w:vAlign w:val="center"/>
          </w:tcPr>
          <w:p w14:paraId="1020C1B7">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rPr>
              <w:t>化学纯氢氟酸</w:t>
            </w:r>
          </w:p>
        </w:tc>
        <w:tc>
          <w:tcPr>
            <w:tcW w:w="468" w:type="pct"/>
            <w:tcMar>
              <w:left w:w="0" w:type="dxa"/>
              <w:right w:w="0" w:type="dxa"/>
            </w:tcMar>
            <w:vAlign w:val="center"/>
          </w:tcPr>
          <w:p w14:paraId="53B45289">
            <w:pPr>
              <w:jc w:val="center"/>
              <w:textAlignment w:val="center"/>
              <w:rPr>
                <w:rFonts w:ascii="Times New Roman" w:hAnsi="Times New Roman" w:cs="Times New Roman"/>
                <w:color w:val="auto"/>
                <w:sz w:val="21"/>
                <w:lang w:eastAsia="zh-CN"/>
              </w:rPr>
            </w:pPr>
          </w:p>
        </w:tc>
        <w:tc>
          <w:tcPr>
            <w:tcW w:w="507" w:type="pct"/>
            <w:vAlign w:val="center"/>
          </w:tcPr>
          <w:p w14:paraId="47CF2F6E">
            <w:pPr>
              <w:spacing w:before="60" w:after="60"/>
              <w:jc w:val="center"/>
              <w:rPr>
                <w:rFonts w:ascii="Times New Roman" w:hAnsi="Times New Roman" w:cs="Times New Roman"/>
                <w:color w:val="auto"/>
                <w:sz w:val="21"/>
              </w:rPr>
            </w:pPr>
          </w:p>
        </w:tc>
        <w:tc>
          <w:tcPr>
            <w:tcW w:w="461" w:type="pct"/>
            <w:tcMar>
              <w:left w:w="0" w:type="dxa"/>
              <w:right w:w="0" w:type="dxa"/>
            </w:tcMar>
            <w:vAlign w:val="center"/>
          </w:tcPr>
          <w:p w14:paraId="725B6ABF">
            <w:pPr>
              <w:spacing w:before="60" w:after="60"/>
              <w:jc w:val="center"/>
              <w:rPr>
                <w:rFonts w:ascii="Times New Roman" w:hAnsi="Times New Roman" w:cs="Times New Roman"/>
                <w:color w:val="auto"/>
                <w:sz w:val="21"/>
                <w:lang w:eastAsia="zh-CN"/>
              </w:rPr>
            </w:pPr>
          </w:p>
        </w:tc>
        <w:tc>
          <w:tcPr>
            <w:tcW w:w="507" w:type="pct"/>
            <w:vAlign w:val="center"/>
          </w:tcPr>
          <w:p w14:paraId="381B0EC8">
            <w:pPr>
              <w:jc w:val="center"/>
              <w:textAlignment w:val="center"/>
              <w:rPr>
                <w:rFonts w:ascii="Times New Roman" w:hAnsi="Times New Roman" w:cs="Times New Roman"/>
                <w:color w:val="auto"/>
                <w:sz w:val="21"/>
                <w:lang w:eastAsia="zh-CN" w:bidi="ar"/>
              </w:rPr>
            </w:pPr>
          </w:p>
        </w:tc>
        <w:tc>
          <w:tcPr>
            <w:tcW w:w="407" w:type="pct"/>
            <w:tcMar>
              <w:left w:w="0" w:type="dxa"/>
              <w:right w:w="0" w:type="dxa"/>
            </w:tcMar>
            <w:vAlign w:val="center"/>
          </w:tcPr>
          <w:p w14:paraId="0112EFFE">
            <w:pPr>
              <w:jc w:val="center"/>
              <w:textAlignment w:val="center"/>
              <w:rPr>
                <w:rFonts w:ascii="Times New Roman" w:hAnsi="Times New Roman" w:cs="Times New Roman"/>
                <w:color w:val="auto"/>
                <w:sz w:val="21"/>
                <w:lang w:eastAsia="zh-CN" w:bidi="ar"/>
              </w:rPr>
            </w:pPr>
          </w:p>
        </w:tc>
        <w:tc>
          <w:tcPr>
            <w:tcW w:w="316" w:type="pct"/>
            <w:vAlign w:val="center"/>
          </w:tcPr>
          <w:p w14:paraId="4E8D94E0">
            <w:pPr>
              <w:jc w:val="center"/>
              <w:textAlignment w:val="center"/>
              <w:rPr>
                <w:rFonts w:ascii="Times New Roman" w:hAnsi="Times New Roman" w:cs="Times New Roman"/>
                <w:color w:val="auto"/>
                <w:sz w:val="21"/>
                <w:lang w:eastAsia="zh-CN" w:bidi="ar"/>
              </w:rPr>
            </w:pPr>
          </w:p>
        </w:tc>
        <w:tc>
          <w:tcPr>
            <w:tcW w:w="406" w:type="pct"/>
            <w:vAlign w:val="center"/>
          </w:tcPr>
          <w:p w14:paraId="289538A8">
            <w:pPr>
              <w:jc w:val="center"/>
              <w:textAlignment w:val="center"/>
              <w:rPr>
                <w:rFonts w:ascii="Times New Roman" w:hAnsi="Times New Roman" w:cs="Times New Roman"/>
                <w:color w:val="auto"/>
                <w:sz w:val="21"/>
                <w:lang w:eastAsia="zh-CN" w:bidi="ar"/>
              </w:rPr>
            </w:pPr>
          </w:p>
        </w:tc>
        <w:tc>
          <w:tcPr>
            <w:tcW w:w="345" w:type="pct"/>
            <w:vAlign w:val="center"/>
          </w:tcPr>
          <w:p w14:paraId="7FAB5DD1">
            <w:pPr>
              <w:jc w:val="center"/>
              <w:textAlignment w:val="center"/>
              <w:rPr>
                <w:rFonts w:ascii="Times New Roman" w:hAnsi="Times New Roman" w:cs="Times New Roman"/>
                <w:color w:val="auto"/>
                <w:sz w:val="21"/>
                <w:lang w:eastAsia="zh-CN"/>
              </w:rPr>
            </w:pPr>
          </w:p>
        </w:tc>
        <w:tc>
          <w:tcPr>
            <w:tcW w:w="405" w:type="pct"/>
            <w:vAlign w:val="center"/>
          </w:tcPr>
          <w:p w14:paraId="6C3B247E">
            <w:pPr>
              <w:jc w:val="center"/>
              <w:textAlignment w:val="center"/>
              <w:rPr>
                <w:rFonts w:ascii="Times New Roman" w:hAnsi="Times New Roman" w:cs="Times New Roman"/>
                <w:color w:val="auto"/>
                <w:sz w:val="21"/>
                <w:lang w:eastAsia="zh-CN"/>
              </w:rPr>
            </w:pPr>
          </w:p>
        </w:tc>
        <w:tc>
          <w:tcPr>
            <w:tcW w:w="278" w:type="pct"/>
            <w:vAlign w:val="center"/>
          </w:tcPr>
          <w:p w14:paraId="33F3E27F">
            <w:pPr>
              <w:jc w:val="center"/>
              <w:textAlignment w:val="center"/>
              <w:rPr>
                <w:rFonts w:ascii="Times New Roman" w:hAnsi="Times New Roman" w:cs="Times New Roman"/>
                <w:color w:val="auto"/>
                <w:sz w:val="21"/>
              </w:rPr>
            </w:pPr>
            <w:r>
              <w:rPr>
                <w:rFonts w:ascii="Times New Roman" w:hAnsi="Times New Roman" w:cs="Times New Roman"/>
                <w:color w:val="auto"/>
                <w:sz w:val="21"/>
              </w:rPr>
              <w:t>汽车运输</w:t>
            </w:r>
          </w:p>
        </w:tc>
      </w:tr>
      <w:tr w14:paraId="6A58E0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6" w:type="pct"/>
            <w:tcMar>
              <w:left w:w="0" w:type="dxa"/>
              <w:right w:w="0" w:type="dxa"/>
            </w:tcMar>
            <w:vAlign w:val="center"/>
          </w:tcPr>
          <w:p w14:paraId="60064F36">
            <w:pPr>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2</w:t>
            </w:r>
          </w:p>
        </w:tc>
        <w:tc>
          <w:tcPr>
            <w:tcW w:w="358" w:type="pct"/>
            <w:vMerge w:val="continue"/>
            <w:vAlign w:val="center"/>
          </w:tcPr>
          <w:p w14:paraId="6D19A906">
            <w:pPr>
              <w:jc w:val="center"/>
              <w:textAlignment w:val="center"/>
              <w:rPr>
                <w:rFonts w:ascii="Times New Roman" w:hAnsi="Times New Roman" w:cs="Times New Roman"/>
                <w:color w:val="auto"/>
                <w:sz w:val="21"/>
                <w:lang w:eastAsia="zh-CN"/>
              </w:rPr>
            </w:pPr>
          </w:p>
        </w:tc>
        <w:tc>
          <w:tcPr>
            <w:tcW w:w="346" w:type="pct"/>
            <w:vMerge w:val="continue"/>
            <w:tcMar>
              <w:left w:w="0" w:type="dxa"/>
              <w:right w:w="0" w:type="dxa"/>
            </w:tcMar>
            <w:vAlign w:val="center"/>
          </w:tcPr>
          <w:p w14:paraId="0C76464A">
            <w:pPr>
              <w:jc w:val="center"/>
              <w:textAlignment w:val="center"/>
              <w:rPr>
                <w:rFonts w:ascii="Times New Roman" w:hAnsi="Times New Roman" w:cs="Times New Roman"/>
                <w:color w:val="auto"/>
                <w:sz w:val="21"/>
                <w:lang w:eastAsia="zh-CN"/>
              </w:rPr>
            </w:pPr>
          </w:p>
        </w:tc>
        <w:tc>
          <w:tcPr>
            <w:tcW w:w="468" w:type="pct"/>
            <w:tcMar>
              <w:left w:w="0" w:type="dxa"/>
              <w:right w:w="0" w:type="dxa"/>
            </w:tcMar>
            <w:vAlign w:val="center"/>
          </w:tcPr>
          <w:p w14:paraId="30734925">
            <w:pPr>
              <w:jc w:val="center"/>
              <w:textAlignment w:val="center"/>
              <w:rPr>
                <w:rFonts w:ascii="Times New Roman" w:hAnsi="Times New Roman" w:cs="Times New Roman"/>
                <w:color w:val="auto"/>
                <w:sz w:val="21"/>
                <w:lang w:eastAsia="zh-CN"/>
              </w:rPr>
            </w:pPr>
          </w:p>
        </w:tc>
        <w:tc>
          <w:tcPr>
            <w:tcW w:w="507" w:type="pct"/>
            <w:vAlign w:val="center"/>
          </w:tcPr>
          <w:p w14:paraId="51C9D620">
            <w:pPr>
              <w:spacing w:before="60" w:after="60"/>
              <w:jc w:val="center"/>
              <w:rPr>
                <w:rFonts w:ascii="Times New Roman" w:hAnsi="Times New Roman" w:cs="Times New Roman"/>
                <w:color w:val="auto"/>
                <w:sz w:val="21"/>
                <w:lang w:eastAsia="zh-CN"/>
              </w:rPr>
            </w:pPr>
          </w:p>
        </w:tc>
        <w:tc>
          <w:tcPr>
            <w:tcW w:w="461" w:type="pct"/>
            <w:tcMar>
              <w:left w:w="0" w:type="dxa"/>
              <w:right w:w="0" w:type="dxa"/>
            </w:tcMar>
            <w:vAlign w:val="center"/>
          </w:tcPr>
          <w:p w14:paraId="4728609E">
            <w:pPr>
              <w:spacing w:before="60" w:after="60"/>
              <w:jc w:val="center"/>
              <w:rPr>
                <w:rFonts w:ascii="Times New Roman" w:hAnsi="Times New Roman" w:cs="Times New Roman"/>
                <w:color w:val="auto"/>
                <w:sz w:val="21"/>
                <w:lang w:val="zh-CN" w:eastAsia="zh-CN"/>
              </w:rPr>
            </w:pPr>
          </w:p>
        </w:tc>
        <w:tc>
          <w:tcPr>
            <w:tcW w:w="507" w:type="pct"/>
            <w:vAlign w:val="center"/>
          </w:tcPr>
          <w:p w14:paraId="730F62D0">
            <w:pPr>
              <w:jc w:val="center"/>
              <w:textAlignment w:val="center"/>
              <w:rPr>
                <w:rFonts w:ascii="Times New Roman" w:hAnsi="Times New Roman" w:cs="Times New Roman"/>
                <w:color w:val="auto"/>
                <w:sz w:val="21"/>
                <w:lang w:eastAsia="zh-CN" w:bidi="ar"/>
              </w:rPr>
            </w:pPr>
          </w:p>
        </w:tc>
        <w:tc>
          <w:tcPr>
            <w:tcW w:w="407" w:type="pct"/>
            <w:tcMar>
              <w:left w:w="0" w:type="dxa"/>
              <w:right w:w="0" w:type="dxa"/>
            </w:tcMar>
            <w:vAlign w:val="center"/>
          </w:tcPr>
          <w:p w14:paraId="304EC877">
            <w:pPr>
              <w:jc w:val="center"/>
              <w:textAlignment w:val="center"/>
              <w:rPr>
                <w:rFonts w:ascii="Times New Roman" w:hAnsi="Times New Roman" w:cs="Times New Roman"/>
                <w:color w:val="auto"/>
                <w:sz w:val="21"/>
                <w:lang w:eastAsia="zh-CN" w:bidi="ar"/>
              </w:rPr>
            </w:pPr>
          </w:p>
        </w:tc>
        <w:tc>
          <w:tcPr>
            <w:tcW w:w="316" w:type="pct"/>
            <w:vAlign w:val="center"/>
          </w:tcPr>
          <w:p w14:paraId="596D3D4B">
            <w:pPr>
              <w:jc w:val="center"/>
              <w:textAlignment w:val="center"/>
              <w:rPr>
                <w:rFonts w:ascii="Times New Roman" w:hAnsi="Times New Roman" w:cs="Times New Roman"/>
                <w:color w:val="auto"/>
                <w:sz w:val="21"/>
                <w:lang w:eastAsia="zh-CN" w:bidi="ar"/>
              </w:rPr>
            </w:pPr>
          </w:p>
        </w:tc>
        <w:tc>
          <w:tcPr>
            <w:tcW w:w="406" w:type="pct"/>
            <w:vAlign w:val="center"/>
          </w:tcPr>
          <w:p w14:paraId="4ED54BB3">
            <w:pPr>
              <w:jc w:val="center"/>
              <w:textAlignment w:val="center"/>
              <w:rPr>
                <w:rFonts w:ascii="Times New Roman" w:hAnsi="Times New Roman" w:cs="Times New Roman"/>
                <w:color w:val="auto"/>
                <w:sz w:val="21"/>
                <w:lang w:eastAsia="zh-CN" w:bidi="ar"/>
              </w:rPr>
            </w:pPr>
          </w:p>
        </w:tc>
        <w:tc>
          <w:tcPr>
            <w:tcW w:w="345" w:type="pct"/>
            <w:vAlign w:val="center"/>
          </w:tcPr>
          <w:p w14:paraId="67C5E99E">
            <w:pPr>
              <w:jc w:val="center"/>
              <w:textAlignment w:val="center"/>
              <w:rPr>
                <w:rFonts w:ascii="Times New Roman" w:hAnsi="Times New Roman" w:cs="Times New Roman"/>
                <w:color w:val="auto"/>
                <w:sz w:val="21"/>
                <w:lang w:eastAsia="zh-CN"/>
              </w:rPr>
            </w:pPr>
          </w:p>
        </w:tc>
        <w:tc>
          <w:tcPr>
            <w:tcW w:w="405" w:type="pct"/>
            <w:vAlign w:val="center"/>
          </w:tcPr>
          <w:p w14:paraId="2EA03934">
            <w:pPr>
              <w:jc w:val="center"/>
              <w:textAlignment w:val="center"/>
              <w:rPr>
                <w:rFonts w:ascii="Times New Roman" w:hAnsi="Times New Roman" w:cs="Times New Roman"/>
                <w:color w:val="auto"/>
                <w:sz w:val="21"/>
                <w:lang w:eastAsia="zh-CN"/>
              </w:rPr>
            </w:pPr>
          </w:p>
        </w:tc>
        <w:tc>
          <w:tcPr>
            <w:tcW w:w="278" w:type="pct"/>
            <w:vAlign w:val="center"/>
          </w:tcPr>
          <w:p w14:paraId="53BF3B75">
            <w:pPr>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r>
      <w:tr w14:paraId="302A11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6" w:type="pct"/>
            <w:tcMar>
              <w:left w:w="0" w:type="dxa"/>
              <w:right w:w="0" w:type="dxa"/>
            </w:tcMar>
            <w:vAlign w:val="center"/>
          </w:tcPr>
          <w:p w14:paraId="03AD28B8">
            <w:pPr>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3</w:t>
            </w:r>
          </w:p>
        </w:tc>
        <w:tc>
          <w:tcPr>
            <w:tcW w:w="358" w:type="pct"/>
            <w:vMerge w:val="continue"/>
            <w:vAlign w:val="center"/>
          </w:tcPr>
          <w:p w14:paraId="24FFC9C0">
            <w:pPr>
              <w:jc w:val="center"/>
              <w:textAlignment w:val="center"/>
              <w:rPr>
                <w:rFonts w:ascii="Times New Roman" w:hAnsi="Times New Roman" w:cs="Times New Roman"/>
                <w:color w:val="auto"/>
                <w:sz w:val="21"/>
              </w:rPr>
            </w:pPr>
          </w:p>
        </w:tc>
        <w:tc>
          <w:tcPr>
            <w:tcW w:w="346" w:type="pct"/>
            <w:vMerge w:val="continue"/>
            <w:tcMar>
              <w:left w:w="0" w:type="dxa"/>
              <w:right w:w="0" w:type="dxa"/>
            </w:tcMar>
            <w:vAlign w:val="center"/>
          </w:tcPr>
          <w:p w14:paraId="03EB995B">
            <w:pPr>
              <w:jc w:val="center"/>
              <w:textAlignment w:val="center"/>
              <w:rPr>
                <w:rFonts w:ascii="Times New Roman" w:hAnsi="Times New Roman" w:cs="Times New Roman"/>
                <w:color w:val="auto"/>
                <w:sz w:val="21"/>
              </w:rPr>
            </w:pPr>
          </w:p>
        </w:tc>
        <w:tc>
          <w:tcPr>
            <w:tcW w:w="468" w:type="pct"/>
            <w:tcMar>
              <w:left w:w="0" w:type="dxa"/>
              <w:right w:w="0" w:type="dxa"/>
            </w:tcMar>
            <w:vAlign w:val="center"/>
          </w:tcPr>
          <w:p w14:paraId="0066D9EE">
            <w:pPr>
              <w:jc w:val="center"/>
              <w:textAlignment w:val="center"/>
              <w:rPr>
                <w:rFonts w:ascii="Times New Roman" w:hAnsi="Times New Roman" w:cs="Times New Roman"/>
                <w:color w:val="auto"/>
                <w:sz w:val="21"/>
                <w:lang w:eastAsia="zh-CN"/>
              </w:rPr>
            </w:pPr>
          </w:p>
        </w:tc>
        <w:tc>
          <w:tcPr>
            <w:tcW w:w="507" w:type="pct"/>
            <w:vAlign w:val="center"/>
          </w:tcPr>
          <w:p w14:paraId="04C336D6">
            <w:pPr>
              <w:spacing w:before="60" w:after="60"/>
              <w:jc w:val="center"/>
              <w:rPr>
                <w:rFonts w:ascii="Times New Roman" w:hAnsi="Times New Roman" w:cs="Times New Roman"/>
                <w:color w:val="auto"/>
                <w:sz w:val="21"/>
              </w:rPr>
            </w:pPr>
          </w:p>
        </w:tc>
        <w:tc>
          <w:tcPr>
            <w:tcW w:w="461" w:type="pct"/>
            <w:tcMar>
              <w:left w:w="0" w:type="dxa"/>
              <w:right w:w="0" w:type="dxa"/>
            </w:tcMar>
            <w:vAlign w:val="center"/>
          </w:tcPr>
          <w:p w14:paraId="501B6C23">
            <w:pPr>
              <w:spacing w:before="60" w:after="60"/>
              <w:jc w:val="center"/>
              <w:rPr>
                <w:rFonts w:ascii="Times New Roman" w:hAnsi="Times New Roman" w:cs="Times New Roman"/>
                <w:color w:val="auto"/>
                <w:sz w:val="21"/>
                <w:lang w:eastAsia="zh-CN"/>
              </w:rPr>
            </w:pPr>
          </w:p>
        </w:tc>
        <w:tc>
          <w:tcPr>
            <w:tcW w:w="507" w:type="pct"/>
            <w:vAlign w:val="center"/>
          </w:tcPr>
          <w:p w14:paraId="47104BFF">
            <w:pPr>
              <w:jc w:val="center"/>
              <w:textAlignment w:val="center"/>
              <w:rPr>
                <w:rFonts w:ascii="Times New Roman" w:hAnsi="Times New Roman" w:cs="Times New Roman"/>
                <w:color w:val="auto"/>
                <w:sz w:val="21"/>
                <w:lang w:eastAsia="zh-CN" w:bidi="ar"/>
              </w:rPr>
            </w:pPr>
          </w:p>
        </w:tc>
        <w:tc>
          <w:tcPr>
            <w:tcW w:w="407" w:type="pct"/>
            <w:tcMar>
              <w:left w:w="0" w:type="dxa"/>
              <w:right w:w="0" w:type="dxa"/>
            </w:tcMar>
            <w:vAlign w:val="center"/>
          </w:tcPr>
          <w:p w14:paraId="5740620F">
            <w:pPr>
              <w:jc w:val="center"/>
              <w:textAlignment w:val="center"/>
              <w:rPr>
                <w:rFonts w:ascii="Times New Roman" w:hAnsi="Times New Roman" w:cs="Times New Roman"/>
                <w:color w:val="auto"/>
                <w:sz w:val="21"/>
                <w:lang w:eastAsia="zh-CN" w:bidi="ar"/>
              </w:rPr>
            </w:pPr>
          </w:p>
        </w:tc>
        <w:tc>
          <w:tcPr>
            <w:tcW w:w="316" w:type="pct"/>
            <w:vAlign w:val="center"/>
          </w:tcPr>
          <w:p w14:paraId="5BFEACEB">
            <w:pPr>
              <w:jc w:val="center"/>
              <w:textAlignment w:val="center"/>
              <w:rPr>
                <w:rFonts w:ascii="Times New Roman" w:hAnsi="Times New Roman" w:cs="Times New Roman"/>
                <w:color w:val="auto"/>
                <w:sz w:val="21"/>
                <w:lang w:eastAsia="zh-CN" w:bidi="ar"/>
              </w:rPr>
            </w:pPr>
          </w:p>
        </w:tc>
        <w:tc>
          <w:tcPr>
            <w:tcW w:w="406" w:type="pct"/>
            <w:vAlign w:val="center"/>
          </w:tcPr>
          <w:p w14:paraId="543C9A8C">
            <w:pPr>
              <w:jc w:val="center"/>
              <w:textAlignment w:val="center"/>
              <w:rPr>
                <w:rFonts w:ascii="Times New Roman" w:hAnsi="Times New Roman" w:cs="Times New Roman"/>
                <w:color w:val="auto"/>
                <w:sz w:val="21"/>
                <w:lang w:eastAsia="zh-CN" w:bidi="ar"/>
              </w:rPr>
            </w:pPr>
          </w:p>
        </w:tc>
        <w:tc>
          <w:tcPr>
            <w:tcW w:w="345" w:type="pct"/>
            <w:vAlign w:val="center"/>
          </w:tcPr>
          <w:p w14:paraId="3401CB45">
            <w:pPr>
              <w:jc w:val="center"/>
              <w:textAlignment w:val="center"/>
              <w:rPr>
                <w:rFonts w:ascii="Times New Roman" w:hAnsi="Times New Roman" w:cs="Times New Roman"/>
                <w:color w:val="auto"/>
                <w:sz w:val="21"/>
                <w:lang w:eastAsia="zh-CN"/>
              </w:rPr>
            </w:pPr>
          </w:p>
        </w:tc>
        <w:tc>
          <w:tcPr>
            <w:tcW w:w="405" w:type="pct"/>
            <w:vAlign w:val="center"/>
          </w:tcPr>
          <w:p w14:paraId="43DFEACF">
            <w:pPr>
              <w:jc w:val="center"/>
              <w:textAlignment w:val="center"/>
              <w:rPr>
                <w:rFonts w:ascii="Times New Roman" w:hAnsi="Times New Roman" w:cs="Times New Roman"/>
                <w:color w:val="auto"/>
                <w:sz w:val="21"/>
                <w:lang w:eastAsia="zh-CN"/>
              </w:rPr>
            </w:pPr>
          </w:p>
        </w:tc>
        <w:tc>
          <w:tcPr>
            <w:tcW w:w="278" w:type="pct"/>
            <w:vAlign w:val="center"/>
          </w:tcPr>
          <w:p w14:paraId="003FF1C0">
            <w:pPr>
              <w:jc w:val="center"/>
              <w:textAlignment w:val="center"/>
              <w:rPr>
                <w:rFonts w:ascii="Times New Roman" w:hAnsi="Times New Roman" w:cs="Times New Roman"/>
                <w:color w:val="auto"/>
                <w:sz w:val="21"/>
              </w:rPr>
            </w:pPr>
            <w:r>
              <w:rPr>
                <w:rFonts w:ascii="Times New Roman" w:hAnsi="Times New Roman" w:cs="Times New Roman"/>
                <w:color w:val="auto"/>
                <w:sz w:val="21"/>
              </w:rPr>
              <w:t>汽车运输</w:t>
            </w:r>
          </w:p>
        </w:tc>
      </w:tr>
      <w:tr w14:paraId="6C2CBB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6" w:type="pct"/>
            <w:tcMar>
              <w:left w:w="0" w:type="dxa"/>
              <w:right w:w="0" w:type="dxa"/>
            </w:tcMar>
            <w:vAlign w:val="center"/>
          </w:tcPr>
          <w:p w14:paraId="59B97711">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bidi="ar"/>
              </w:rPr>
              <w:t>1</w:t>
            </w:r>
          </w:p>
        </w:tc>
        <w:tc>
          <w:tcPr>
            <w:tcW w:w="358" w:type="pct"/>
            <w:vMerge w:val="restart"/>
            <w:vAlign w:val="center"/>
          </w:tcPr>
          <w:p w14:paraId="3B19A776">
            <w:pPr>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刻蚀液生产装置</w:t>
            </w:r>
          </w:p>
        </w:tc>
        <w:tc>
          <w:tcPr>
            <w:tcW w:w="346" w:type="pct"/>
            <w:vMerge w:val="restart"/>
            <w:tcMar>
              <w:left w:w="0" w:type="dxa"/>
              <w:right w:w="0" w:type="dxa"/>
            </w:tcMar>
            <w:vAlign w:val="center"/>
          </w:tcPr>
          <w:p w14:paraId="623A1D00">
            <w:pPr>
              <w:jc w:val="center"/>
              <w:textAlignment w:val="center"/>
              <w:rPr>
                <w:rFonts w:ascii="Times New Roman" w:hAnsi="Times New Roman" w:cs="Times New Roman"/>
                <w:color w:val="auto"/>
                <w:sz w:val="21"/>
                <w:lang w:val="zh-CN" w:eastAsia="zh-CN"/>
              </w:rPr>
            </w:pPr>
            <w:r>
              <w:rPr>
                <w:rFonts w:ascii="Times New Roman" w:hAnsi="Times New Roman" w:cs="Times New Roman"/>
                <w:color w:val="auto"/>
                <w:sz w:val="21"/>
                <w:lang w:eastAsia="zh-CN"/>
              </w:rPr>
              <w:t>刻蚀液</w:t>
            </w:r>
          </w:p>
        </w:tc>
        <w:tc>
          <w:tcPr>
            <w:tcW w:w="468" w:type="pct"/>
            <w:tcMar>
              <w:left w:w="0" w:type="dxa"/>
              <w:right w:w="0" w:type="dxa"/>
            </w:tcMar>
            <w:vAlign w:val="center"/>
          </w:tcPr>
          <w:p w14:paraId="6A777F9C">
            <w:pPr>
              <w:jc w:val="center"/>
              <w:textAlignment w:val="center"/>
              <w:rPr>
                <w:rFonts w:ascii="Times New Roman" w:hAnsi="Times New Roman" w:cs="Times New Roman"/>
                <w:color w:val="auto"/>
                <w:sz w:val="21"/>
                <w:lang w:eastAsia="zh-CN"/>
              </w:rPr>
            </w:pPr>
          </w:p>
        </w:tc>
        <w:tc>
          <w:tcPr>
            <w:tcW w:w="507" w:type="pct"/>
            <w:vAlign w:val="center"/>
          </w:tcPr>
          <w:p w14:paraId="6AF7884A">
            <w:pPr>
              <w:jc w:val="center"/>
              <w:textAlignment w:val="center"/>
              <w:rPr>
                <w:rFonts w:ascii="Times New Roman" w:hAnsi="Times New Roman" w:cs="Times New Roman"/>
                <w:color w:val="auto"/>
                <w:sz w:val="21"/>
                <w:lang w:eastAsia="zh-CN"/>
              </w:rPr>
            </w:pPr>
          </w:p>
        </w:tc>
        <w:tc>
          <w:tcPr>
            <w:tcW w:w="461" w:type="pct"/>
            <w:tcMar>
              <w:left w:w="0" w:type="dxa"/>
              <w:right w:w="0" w:type="dxa"/>
            </w:tcMar>
            <w:vAlign w:val="center"/>
          </w:tcPr>
          <w:p w14:paraId="0567721F">
            <w:pPr>
              <w:jc w:val="center"/>
              <w:textAlignment w:val="center"/>
              <w:rPr>
                <w:rFonts w:ascii="Times New Roman" w:hAnsi="Times New Roman" w:cs="Times New Roman"/>
                <w:color w:val="auto"/>
                <w:sz w:val="21"/>
                <w:lang w:eastAsia="zh-CN" w:bidi="ar"/>
              </w:rPr>
            </w:pPr>
          </w:p>
        </w:tc>
        <w:tc>
          <w:tcPr>
            <w:tcW w:w="507" w:type="pct"/>
            <w:vAlign w:val="center"/>
          </w:tcPr>
          <w:p w14:paraId="7AA5E1F7">
            <w:pPr>
              <w:jc w:val="center"/>
              <w:textAlignment w:val="center"/>
              <w:rPr>
                <w:rFonts w:ascii="Times New Roman" w:hAnsi="Times New Roman" w:cs="Times New Roman"/>
                <w:color w:val="auto"/>
                <w:sz w:val="21"/>
                <w:lang w:eastAsia="zh-CN" w:bidi="ar"/>
              </w:rPr>
            </w:pPr>
          </w:p>
        </w:tc>
        <w:tc>
          <w:tcPr>
            <w:tcW w:w="407" w:type="pct"/>
            <w:tcMar>
              <w:left w:w="0" w:type="dxa"/>
              <w:right w:w="0" w:type="dxa"/>
            </w:tcMar>
            <w:vAlign w:val="center"/>
          </w:tcPr>
          <w:p w14:paraId="6C91B8B2">
            <w:pPr>
              <w:jc w:val="center"/>
              <w:textAlignment w:val="center"/>
              <w:rPr>
                <w:rFonts w:ascii="Times New Roman" w:hAnsi="Times New Roman" w:cs="Times New Roman"/>
                <w:color w:val="auto"/>
                <w:sz w:val="21"/>
                <w:lang w:eastAsia="zh-CN" w:bidi="ar"/>
              </w:rPr>
            </w:pPr>
          </w:p>
        </w:tc>
        <w:tc>
          <w:tcPr>
            <w:tcW w:w="316" w:type="pct"/>
            <w:vAlign w:val="center"/>
          </w:tcPr>
          <w:p w14:paraId="2D676FAA">
            <w:pPr>
              <w:jc w:val="center"/>
              <w:textAlignment w:val="center"/>
              <w:rPr>
                <w:rFonts w:ascii="Times New Roman" w:hAnsi="Times New Roman" w:cs="Times New Roman"/>
                <w:color w:val="auto"/>
                <w:sz w:val="21"/>
                <w:lang w:eastAsia="zh-CN" w:bidi="ar"/>
              </w:rPr>
            </w:pPr>
          </w:p>
        </w:tc>
        <w:tc>
          <w:tcPr>
            <w:tcW w:w="406" w:type="pct"/>
            <w:vAlign w:val="center"/>
          </w:tcPr>
          <w:p w14:paraId="74338EEB">
            <w:pPr>
              <w:jc w:val="center"/>
              <w:textAlignment w:val="center"/>
              <w:rPr>
                <w:rFonts w:ascii="Times New Roman" w:hAnsi="Times New Roman" w:cs="Times New Roman"/>
                <w:color w:val="auto"/>
                <w:sz w:val="21"/>
                <w:lang w:bidi="ar"/>
              </w:rPr>
            </w:pPr>
          </w:p>
        </w:tc>
        <w:tc>
          <w:tcPr>
            <w:tcW w:w="345" w:type="pct"/>
            <w:vAlign w:val="center"/>
          </w:tcPr>
          <w:p w14:paraId="78FEB61E">
            <w:pPr>
              <w:jc w:val="center"/>
              <w:textAlignment w:val="center"/>
              <w:rPr>
                <w:rFonts w:ascii="Times New Roman" w:hAnsi="Times New Roman" w:cs="Times New Roman"/>
                <w:color w:val="auto"/>
                <w:sz w:val="21"/>
              </w:rPr>
            </w:pPr>
          </w:p>
        </w:tc>
        <w:tc>
          <w:tcPr>
            <w:tcW w:w="405" w:type="pct"/>
            <w:vAlign w:val="center"/>
          </w:tcPr>
          <w:p w14:paraId="5E9D9AB4">
            <w:pPr>
              <w:jc w:val="center"/>
              <w:textAlignment w:val="center"/>
              <w:rPr>
                <w:rFonts w:ascii="Times New Roman" w:hAnsi="Times New Roman" w:cs="Times New Roman"/>
                <w:color w:val="auto"/>
                <w:sz w:val="21"/>
                <w:lang w:eastAsia="zh-CN"/>
              </w:rPr>
            </w:pPr>
          </w:p>
        </w:tc>
        <w:tc>
          <w:tcPr>
            <w:tcW w:w="278" w:type="pct"/>
            <w:vAlign w:val="center"/>
          </w:tcPr>
          <w:p w14:paraId="5F44C454">
            <w:pPr>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rPr>
              <w:t>汽车运输</w:t>
            </w:r>
          </w:p>
        </w:tc>
      </w:tr>
      <w:tr w14:paraId="7CD4C4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6" w:type="pct"/>
            <w:tcMar>
              <w:left w:w="0" w:type="dxa"/>
              <w:right w:w="0" w:type="dxa"/>
            </w:tcMar>
            <w:vAlign w:val="center"/>
          </w:tcPr>
          <w:p w14:paraId="0B280083">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bidi="ar"/>
              </w:rPr>
              <w:t>2</w:t>
            </w:r>
          </w:p>
        </w:tc>
        <w:tc>
          <w:tcPr>
            <w:tcW w:w="358" w:type="pct"/>
            <w:vMerge w:val="continue"/>
            <w:vAlign w:val="center"/>
          </w:tcPr>
          <w:p w14:paraId="18A86B66">
            <w:pPr>
              <w:jc w:val="center"/>
              <w:textAlignment w:val="center"/>
              <w:rPr>
                <w:rFonts w:ascii="Times New Roman" w:hAnsi="Times New Roman" w:cs="Times New Roman"/>
                <w:color w:val="auto"/>
                <w:sz w:val="21"/>
                <w:lang w:val="zh-CN"/>
              </w:rPr>
            </w:pPr>
          </w:p>
        </w:tc>
        <w:tc>
          <w:tcPr>
            <w:tcW w:w="346" w:type="pct"/>
            <w:vMerge w:val="continue"/>
            <w:tcMar>
              <w:left w:w="0" w:type="dxa"/>
              <w:right w:w="0" w:type="dxa"/>
            </w:tcMar>
            <w:vAlign w:val="center"/>
          </w:tcPr>
          <w:p w14:paraId="102CD850">
            <w:pPr>
              <w:jc w:val="center"/>
              <w:textAlignment w:val="center"/>
              <w:rPr>
                <w:rFonts w:ascii="Times New Roman" w:hAnsi="Times New Roman" w:cs="Times New Roman"/>
                <w:color w:val="auto"/>
                <w:sz w:val="21"/>
                <w:lang w:val="zh-CN"/>
              </w:rPr>
            </w:pPr>
          </w:p>
        </w:tc>
        <w:tc>
          <w:tcPr>
            <w:tcW w:w="468" w:type="pct"/>
            <w:tcMar>
              <w:left w:w="0" w:type="dxa"/>
              <w:right w:w="0" w:type="dxa"/>
            </w:tcMar>
            <w:vAlign w:val="center"/>
          </w:tcPr>
          <w:p w14:paraId="237327A4">
            <w:pPr>
              <w:jc w:val="center"/>
              <w:textAlignment w:val="center"/>
              <w:rPr>
                <w:rFonts w:ascii="Times New Roman" w:hAnsi="Times New Roman" w:cs="Times New Roman"/>
                <w:color w:val="auto"/>
                <w:sz w:val="21"/>
              </w:rPr>
            </w:pPr>
          </w:p>
        </w:tc>
        <w:tc>
          <w:tcPr>
            <w:tcW w:w="507" w:type="pct"/>
            <w:vAlign w:val="center"/>
          </w:tcPr>
          <w:p w14:paraId="352DF817">
            <w:pPr>
              <w:jc w:val="center"/>
              <w:textAlignment w:val="center"/>
              <w:rPr>
                <w:rFonts w:ascii="Times New Roman" w:hAnsi="Times New Roman" w:cs="Times New Roman"/>
                <w:color w:val="auto"/>
                <w:sz w:val="21"/>
                <w:lang w:eastAsia="zh-CN"/>
              </w:rPr>
            </w:pPr>
          </w:p>
        </w:tc>
        <w:tc>
          <w:tcPr>
            <w:tcW w:w="461" w:type="pct"/>
            <w:tcMar>
              <w:left w:w="0" w:type="dxa"/>
              <w:right w:w="0" w:type="dxa"/>
            </w:tcMar>
            <w:vAlign w:val="center"/>
          </w:tcPr>
          <w:p w14:paraId="13C4895C">
            <w:pPr>
              <w:jc w:val="center"/>
              <w:textAlignment w:val="center"/>
              <w:rPr>
                <w:rFonts w:ascii="Times New Roman" w:hAnsi="Times New Roman" w:cs="Times New Roman"/>
                <w:color w:val="auto"/>
                <w:sz w:val="21"/>
                <w:lang w:eastAsia="zh-CN" w:bidi="ar"/>
              </w:rPr>
            </w:pPr>
          </w:p>
        </w:tc>
        <w:tc>
          <w:tcPr>
            <w:tcW w:w="507" w:type="pct"/>
            <w:vAlign w:val="center"/>
          </w:tcPr>
          <w:p w14:paraId="0AE64579">
            <w:pPr>
              <w:jc w:val="center"/>
              <w:textAlignment w:val="center"/>
              <w:rPr>
                <w:rFonts w:ascii="Times New Roman" w:hAnsi="Times New Roman" w:cs="Times New Roman"/>
                <w:color w:val="auto"/>
                <w:sz w:val="21"/>
                <w:lang w:eastAsia="zh-CN" w:bidi="ar"/>
              </w:rPr>
            </w:pPr>
          </w:p>
        </w:tc>
        <w:tc>
          <w:tcPr>
            <w:tcW w:w="407" w:type="pct"/>
            <w:tcMar>
              <w:left w:w="0" w:type="dxa"/>
              <w:right w:w="0" w:type="dxa"/>
            </w:tcMar>
            <w:vAlign w:val="center"/>
          </w:tcPr>
          <w:p w14:paraId="75D64C89">
            <w:pPr>
              <w:jc w:val="center"/>
              <w:textAlignment w:val="center"/>
              <w:rPr>
                <w:rFonts w:ascii="Times New Roman" w:hAnsi="Times New Roman" w:cs="Times New Roman"/>
                <w:color w:val="auto"/>
                <w:sz w:val="21"/>
                <w:lang w:eastAsia="zh-CN" w:bidi="ar"/>
              </w:rPr>
            </w:pPr>
          </w:p>
        </w:tc>
        <w:tc>
          <w:tcPr>
            <w:tcW w:w="316" w:type="pct"/>
            <w:vAlign w:val="center"/>
          </w:tcPr>
          <w:p w14:paraId="394313DD">
            <w:pPr>
              <w:jc w:val="center"/>
              <w:textAlignment w:val="center"/>
              <w:rPr>
                <w:rFonts w:ascii="Times New Roman" w:hAnsi="Times New Roman" w:cs="Times New Roman"/>
                <w:color w:val="auto"/>
                <w:sz w:val="21"/>
                <w:lang w:eastAsia="zh-CN" w:bidi="ar"/>
              </w:rPr>
            </w:pPr>
          </w:p>
        </w:tc>
        <w:tc>
          <w:tcPr>
            <w:tcW w:w="406" w:type="pct"/>
            <w:vAlign w:val="center"/>
          </w:tcPr>
          <w:p w14:paraId="73BEB1E2">
            <w:pPr>
              <w:jc w:val="center"/>
              <w:textAlignment w:val="center"/>
              <w:rPr>
                <w:rFonts w:ascii="Times New Roman" w:hAnsi="Times New Roman" w:cs="Times New Roman"/>
                <w:color w:val="auto"/>
                <w:sz w:val="21"/>
                <w:lang w:bidi="ar"/>
              </w:rPr>
            </w:pPr>
          </w:p>
        </w:tc>
        <w:tc>
          <w:tcPr>
            <w:tcW w:w="345" w:type="pct"/>
            <w:vAlign w:val="center"/>
          </w:tcPr>
          <w:p w14:paraId="75BB1BDE">
            <w:pPr>
              <w:jc w:val="center"/>
              <w:textAlignment w:val="center"/>
              <w:rPr>
                <w:rFonts w:ascii="Times New Roman" w:hAnsi="Times New Roman" w:cs="Times New Roman"/>
                <w:color w:val="auto"/>
                <w:sz w:val="21"/>
              </w:rPr>
            </w:pPr>
          </w:p>
        </w:tc>
        <w:tc>
          <w:tcPr>
            <w:tcW w:w="405" w:type="pct"/>
            <w:vAlign w:val="center"/>
          </w:tcPr>
          <w:p w14:paraId="2628FBBA">
            <w:pPr>
              <w:jc w:val="center"/>
              <w:textAlignment w:val="center"/>
              <w:rPr>
                <w:rFonts w:ascii="Times New Roman" w:hAnsi="Times New Roman" w:cs="Times New Roman"/>
                <w:color w:val="auto"/>
                <w:sz w:val="21"/>
              </w:rPr>
            </w:pPr>
          </w:p>
        </w:tc>
        <w:tc>
          <w:tcPr>
            <w:tcW w:w="278" w:type="pct"/>
            <w:vAlign w:val="center"/>
          </w:tcPr>
          <w:p w14:paraId="0D4DCD97">
            <w:pPr>
              <w:jc w:val="center"/>
              <w:textAlignment w:val="center"/>
              <w:rPr>
                <w:rFonts w:ascii="Times New Roman" w:hAnsi="Times New Roman" w:cs="Times New Roman"/>
                <w:color w:val="auto"/>
                <w:sz w:val="21"/>
              </w:rPr>
            </w:pPr>
            <w:r>
              <w:rPr>
                <w:rFonts w:ascii="Times New Roman" w:hAnsi="Times New Roman" w:cs="Times New Roman"/>
                <w:color w:val="auto"/>
                <w:sz w:val="21"/>
              </w:rPr>
              <w:t>汽车运输</w:t>
            </w:r>
          </w:p>
        </w:tc>
      </w:tr>
      <w:tr w14:paraId="06D18D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6" w:type="pct"/>
            <w:tcMar>
              <w:left w:w="0" w:type="dxa"/>
              <w:right w:w="0" w:type="dxa"/>
            </w:tcMar>
            <w:vAlign w:val="center"/>
          </w:tcPr>
          <w:p w14:paraId="000B6C0E">
            <w:pPr>
              <w:jc w:val="center"/>
              <w:textAlignment w:val="center"/>
              <w:rPr>
                <w:rFonts w:ascii="Times New Roman" w:hAnsi="Times New Roman" w:cs="Times New Roman"/>
                <w:color w:val="auto"/>
                <w:sz w:val="21"/>
                <w:lang w:eastAsia="zh-CN" w:bidi="ar"/>
              </w:rPr>
            </w:pPr>
          </w:p>
        </w:tc>
        <w:tc>
          <w:tcPr>
            <w:tcW w:w="358" w:type="pct"/>
            <w:vMerge w:val="continue"/>
            <w:vAlign w:val="center"/>
          </w:tcPr>
          <w:p w14:paraId="513D0EEE">
            <w:pPr>
              <w:jc w:val="center"/>
              <w:textAlignment w:val="center"/>
              <w:rPr>
                <w:rFonts w:ascii="Times New Roman" w:hAnsi="Times New Roman" w:cs="Times New Roman"/>
                <w:color w:val="auto"/>
                <w:sz w:val="21"/>
                <w:lang w:val="zh-CN"/>
              </w:rPr>
            </w:pPr>
          </w:p>
        </w:tc>
        <w:tc>
          <w:tcPr>
            <w:tcW w:w="346" w:type="pct"/>
            <w:vMerge w:val="continue"/>
            <w:tcMar>
              <w:left w:w="0" w:type="dxa"/>
              <w:right w:w="0" w:type="dxa"/>
            </w:tcMar>
            <w:vAlign w:val="center"/>
          </w:tcPr>
          <w:p w14:paraId="2E72A2FF">
            <w:pPr>
              <w:jc w:val="center"/>
              <w:textAlignment w:val="center"/>
              <w:rPr>
                <w:rFonts w:ascii="Times New Roman" w:hAnsi="Times New Roman" w:cs="Times New Roman"/>
                <w:color w:val="auto"/>
                <w:sz w:val="21"/>
                <w:lang w:val="zh-CN"/>
              </w:rPr>
            </w:pPr>
          </w:p>
        </w:tc>
        <w:tc>
          <w:tcPr>
            <w:tcW w:w="468" w:type="pct"/>
            <w:tcMar>
              <w:left w:w="0" w:type="dxa"/>
              <w:right w:w="0" w:type="dxa"/>
            </w:tcMar>
            <w:vAlign w:val="center"/>
          </w:tcPr>
          <w:p w14:paraId="7EE3CC47">
            <w:pPr>
              <w:jc w:val="center"/>
              <w:textAlignment w:val="center"/>
              <w:rPr>
                <w:rFonts w:ascii="Times New Roman" w:hAnsi="Times New Roman" w:cs="Times New Roman"/>
                <w:color w:val="auto"/>
                <w:sz w:val="21"/>
                <w:lang w:eastAsia="zh-CN"/>
              </w:rPr>
            </w:pPr>
          </w:p>
        </w:tc>
        <w:tc>
          <w:tcPr>
            <w:tcW w:w="507" w:type="pct"/>
            <w:vAlign w:val="center"/>
          </w:tcPr>
          <w:p w14:paraId="0420B01D">
            <w:pPr>
              <w:jc w:val="center"/>
              <w:textAlignment w:val="center"/>
              <w:rPr>
                <w:rFonts w:ascii="Times New Roman" w:hAnsi="Times New Roman" w:cs="Times New Roman"/>
                <w:color w:val="auto"/>
                <w:sz w:val="21"/>
                <w:lang w:eastAsia="zh-CN"/>
              </w:rPr>
            </w:pPr>
          </w:p>
        </w:tc>
        <w:tc>
          <w:tcPr>
            <w:tcW w:w="461" w:type="pct"/>
            <w:tcMar>
              <w:left w:w="0" w:type="dxa"/>
              <w:right w:w="0" w:type="dxa"/>
            </w:tcMar>
            <w:vAlign w:val="center"/>
          </w:tcPr>
          <w:p w14:paraId="751106CC">
            <w:pPr>
              <w:jc w:val="center"/>
              <w:textAlignment w:val="center"/>
              <w:rPr>
                <w:rFonts w:ascii="Times New Roman" w:hAnsi="Times New Roman" w:cs="Times New Roman"/>
                <w:color w:val="auto"/>
                <w:sz w:val="21"/>
                <w:lang w:eastAsia="zh-CN"/>
              </w:rPr>
            </w:pPr>
          </w:p>
        </w:tc>
        <w:tc>
          <w:tcPr>
            <w:tcW w:w="507" w:type="pct"/>
            <w:vAlign w:val="center"/>
          </w:tcPr>
          <w:p w14:paraId="293EBE24">
            <w:pPr>
              <w:jc w:val="center"/>
              <w:textAlignment w:val="center"/>
              <w:rPr>
                <w:rFonts w:ascii="Times New Roman" w:hAnsi="Times New Roman" w:cs="Times New Roman"/>
                <w:color w:val="auto"/>
                <w:sz w:val="21"/>
                <w:lang w:eastAsia="zh-CN" w:bidi="ar"/>
              </w:rPr>
            </w:pPr>
          </w:p>
        </w:tc>
        <w:tc>
          <w:tcPr>
            <w:tcW w:w="407" w:type="pct"/>
            <w:tcMar>
              <w:left w:w="0" w:type="dxa"/>
              <w:right w:w="0" w:type="dxa"/>
            </w:tcMar>
            <w:vAlign w:val="center"/>
          </w:tcPr>
          <w:p w14:paraId="671132A2">
            <w:pPr>
              <w:jc w:val="center"/>
              <w:textAlignment w:val="center"/>
              <w:rPr>
                <w:rFonts w:ascii="Times New Roman" w:hAnsi="Times New Roman" w:cs="Times New Roman"/>
                <w:color w:val="auto"/>
                <w:sz w:val="21"/>
                <w:lang w:eastAsia="zh-CN" w:bidi="ar"/>
              </w:rPr>
            </w:pPr>
          </w:p>
        </w:tc>
        <w:tc>
          <w:tcPr>
            <w:tcW w:w="316" w:type="pct"/>
            <w:vAlign w:val="center"/>
          </w:tcPr>
          <w:p w14:paraId="19D05C9A">
            <w:pPr>
              <w:jc w:val="center"/>
              <w:textAlignment w:val="center"/>
              <w:rPr>
                <w:rFonts w:ascii="Times New Roman" w:hAnsi="Times New Roman" w:cs="Times New Roman"/>
                <w:color w:val="auto"/>
                <w:sz w:val="21"/>
                <w:lang w:eastAsia="zh-CN" w:bidi="ar"/>
              </w:rPr>
            </w:pPr>
          </w:p>
        </w:tc>
        <w:tc>
          <w:tcPr>
            <w:tcW w:w="406" w:type="pct"/>
            <w:vAlign w:val="center"/>
          </w:tcPr>
          <w:p w14:paraId="697D3B10">
            <w:pPr>
              <w:jc w:val="center"/>
              <w:textAlignment w:val="center"/>
              <w:rPr>
                <w:rFonts w:ascii="Times New Roman" w:hAnsi="Times New Roman" w:cs="Times New Roman"/>
                <w:color w:val="auto"/>
                <w:sz w:val="21"/>
                <w:lang w:eastAsia="zh-CN" w:bidi="ar"/>
              </w:rPr>
            </w:pPr>
          </w:p>
        </w:tc>
        <w:tc>
          <w:tcPr>
            <w:tcW w:w="345" w:type="pct"/>
            <w:vAlign w:val="center"/>
          </w:tcPr>
          <w:p w14:paraId="044FBAB8">
            <w:pPr>
              <w:jc w:val="center"/>
              <w:textAlignment w:val="center"/>
              <w:rPr>
                <w:rFonts w:ascii="Times New Roman" w:hAnsi="Times New Roman" w:cs="Times New Roman"/>
                <w:color w:val="auto"/>
                <w:sz w:val="21"/>
                <w:lang w:eastAsia="zh-CN" w:bidi="ar"/>
              </w:rPr>
            </w:pPr>
          </w:p>
        </w:tc>
        <w:tc>
          <w:tcPr>
            <w:tcW w:w="405" w:type="pct"/>
            <w:vAlign w:val="center"/>
          </w:tcPr>
          <w:p w14:paraId="01BAD986">
            <w:pPr>
              <w:jc w:val="center"/>
              <w:textAlignment w:val="center"/>
              <w:rPr>
                <w:rFonts w:ascii="Times New Roman" w:hAnsi="Times New Roman" w:cs="Times New Roman"/>
                <w:color w:val="auto"/>
                <w:sz w:val="21"/>
                <w:lang w:eastAsia="zh-CN"/>
              </w:rPr>
            </w:pPr>
          </w:p>
        </w:tc>
        <w:tc>
          <w:tcPr>
            <w:tcW w:w="278" w:type="pct"/>
            <w:vAlign w:val="center"/>
          </w:tcPr>
          <w:p w14:paraId="78379163">
            <w:pPr>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r>
      <w:tr w14:paraId="48B872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6" w:type="pct"/>
            <w:tcMar>
              <w:left w:w="0" w:type="dxa"/>
              <w:right w:w="0" w:type="dxa"/>
            </w:tcMar>
            <w:vAlign w:val="center"/>
          </w:tcPr>
          <w:p w14:paraId="6D1F5F82">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bidi="ar"/>
              </w:rPr>
              <w:t>1</w:t>
            </w:r>
          </w:p>
        </w:tc>
        <w:tc>
          <w:tcPr>
            <w:tcW w:w="704" w:type="pct"/>
            <w:gridSpan w:val="2"/>
            <w:vMerge w:val="restart"/>
            <w:vAlign w:val="center"/>
          </w:tcPr>
          <w:p w14:paraId="679FF1C4">
            <w:pPr>
              <w:jc w:val="center"/>
              <w:textAlignment w:val="center"/>
              <w:rPr>
                <w:rFonts w:ascii="Times New Roman" w:hAnsi="Times New Roman" w:cs="Times New Roman"/>
                <w:color w:val="auto"/>
                <w:sz w:val="21"/>
                <w:lang w:val="zh-CN"/>
              </w:rPr>
            </w:pPr>
            <w:r>
              <w:rPr>
                <w:rFonts w:ascii="Times New Roman" w:hAnsi="Times New Roman" w:cs="Times New Roman"/>
                <w:color w:val="auto"/>
                <w:sz w:val="21"/>
                <w:lang w:val="zh-CN" w:eastAsia="zh-CN"/>
              </w:rPr>
              <w:t>合计</w:t>
            </w:r>
          </w:p>
        </w:tc>
        <w:tc>
          <w:tcPr>
            <w:tcW w:w="468" w:type="pct"/>
            <w:tcMar>
              <w:left w:w="0" w:type="dxa"/>
              <w:right w:w="0" w:type="dxa"/>
            </w:tcMar>
            <w:vAlign w:val="center"/>
          </w:tcPr>
          <w:p w14:paraId="7E0AC9A3">
            <w:pPr>
              <w:jc w:val="center"/>
              <w:textAlignment w:val="center"/>
              <w:rPr>
                <w:rFonts w:ascii="Times New Roman" w:hAnsi="Times New Roman" w:cs="Times New Roman"/>
                <w:color w:val="auto"/>
                <w:sz w:val="21"/>
              </w:rPr>
            </w:pPr>
          </w:p>
        </w:tc>
        <w:tc>
          <w:tcPr>
            <w:tcW w:w="507" w:type="pct"/>
            <w:vAlign w:val="center"/>
          </w:tcPr>
          <w:p w14:paraId="304902B4">
            <w:pPr>
              <w:spacing w:before="60" w:after="60"/>
              <w:jc w:val="center"/>
              <w:rPr>
                <w:rFonts w:ascii="Times New Roman" w:hAnsi="Times New Roman" w:cs="Times New Roman"/>
                <w:color w:val="auto"/>
                <w:sz w:val="21"/>
                <w:lang w:val="zh-CN" w:eastAsia="zh-CN"/>
              </w:rPr>
            </w:pPr>
          </w:p>
        </w:tc>
        <w:tc>
          <w:tcPr>
            <w:tcW w:w="461" w:type="pct"/>
            <w:tcMar>
              <w:left w:w="0" w:type="dxa"/>
              <w:right w:w="0" w:type="dxa"/>
            </w:tcMar>
            <w:vAlign w:val="center"/>
          </w:tcPr>
          <w:p w14:paraId="7EE65F75">
            <w:pPr>
              <w:spacing w:before="60" w:after="60"/>
              <w:jc w:val="center"/>
              <w:rPr>
                <w:rFonts w:ascii="Times New Roman" w:hAnsi="Times New Roman" w:cs="Times New Roman"/>
                <w:color w:val="auto"/>
                <w:sz w:val="21"/>
                <w:lang w:eastAsia="zh-CN" w:bidi="ar"/>
              </w:rPr>
            </w:pPr>
          </w:p>
        </w:tc>
        <w:tc>
          <w:tcPr>
            <w:tcW w:w="507" w:type="pct"/>
            <w:vAlign w:val="center"/>
          </w:tcPr>
          <w:p w14:paraId="20561E56">
            <w:pPr>
              <w:jc w:val="center"/>
              <w:textAlignment w:val="center"/>
              <w:rPr>
                <w:rFonts w:ascii="Times New Roman" w:hAnsi="Times New Roman" w:cs="Times New Roman"/>
                <w:color w:val="auto"/>
                <w:sz w:val="21"/>
                <w:lang w:eastAsia="zh-CN" w:bidi="ar"/>
              </w:rPr>
            </w:pPr>
          </w:p>
        </w:tc>
        <w:tc>
          <w:tcPr>
            <w:tcW w:w="407" w:type="pct"/>
            <w:tcMar>
              <w:left w:w="0" w:type="dxa"/>
              <w:right w:w="0" w:type="dxa"/>
            </w:tcMar>
            <w:vAlign w:val="center"/>
          </w:tcPr>
          <w:p w14:paraId="66E90569">
            <w:pPr>
              <w:jc w:val="center"/>
              <w:textAlignment w:val="center"/>
              <w:rPr>
                <w:rFonts w:ascii="Times New Roman" w:hAnsi="Times New Roman" w:cs="Times New Roman"/>
                <w:color w:val="auto"/>
                <w:sz w:val="21"/>
                <w:lang w:eastAsia="zh-CN" w:bidi="ar"/>
              </w:rPr>
            </w:pPr>
          </w:p>
        </w:tc>
        <w:tc>
          <w:tcPr>
            <w:tcW w:w="316" w:type="pct"/>
            <w:vAlign w:val="center"/>
          </w:tcPr>
          <w:p w14:paraId="14817B5E">
            <w:pPr>
              <w:jc w:val="center"/>
              <w:textAlignment w:val="center"/>
              <w:rPr>
                <w:rFonts w:ascii="Times New Roman" w:hAnsi="Times New Roman" w:cs="Times New Roman"/>
                <w:color w:val="auto"/>
                <w:sz w:val="21"/>
                <w:lang w:eastAsia="zh-CN" w:bidi="ar"/>
              </w:rPr>
            </w:pPr>
          </w:p>
        </w:tc>
        <w:tc>
          <w:tcPr>
            <w:tcW w:w="406" w:type="pct"/>
            <w:vAlign w:val="center"/>
          </w:tcPr>
          <w:p w14:paraId="4666800B">
            <w:pPr>
              <w:jc w:val="center"/>
              <w:textAlignment w:val="center"/>
              <w:rPr>
                <w:rFonts w:ascii="Times New Roman" w:hAnsi="Times New Roman" w:cs="Times New Roman"/>
                <w:color w:val="auto"/>
                <w:sz w:val="21"/>
                <w:lang w:bidi="ar"/>
              </w:rPr>
            </w:pPr>
          </w:p>
        </w:tc>
        <w:tc>
          <w:tcPr>
            <w:tcW w:w="345" w:type="pct"/>
            <w:vAlign w:val="center"/>
          </w:tcPr>
          <w:p w14:paraId="654AF6FE">
            <w:pPr>
              <w:jc w:val="center"/>
              <w:textAlignment w:val="center"/>
              <w:rPr>
                <w:rFonts w:ascii="Times New Roman" w:hAnsi="Times New Roman" w:cs="Times New Roman"/>
                <w:color w:val="auto"/>
                <w:sz w:val="21"/>
              </w:rPr>
            </w:pPr>
          </w:p>
        </w:tc>
        <w:tc>
          <w:tcPr>
            <w:tcW w:w="405" w:type="pct"/>
            <w:vAlign w:val="center"/>
          </w:tcPr>
          <w:p w14:paraId="07F255AE">
            <w:pPr>
              <w:jc w:val="center"/>
              <w:textAlignment w:val="center"/>
              <w:rPr>
                <w:rFonts w:ascii="Times New Roman" w:hAnsi="Times New Roman" w:cs="Times New Roman"/>
                <w:color w:val="auto"/>
                <w:sz w:val="21"/>
              </w:rPr>
            </w:pPr>
          </w:p>
        </w:tc>
        <w:tc>
          <w:tcPr>
            <w:tcW w:w="278" w:type="pct"/>
            <w:vAlign w:val="center"/>
          </w:tcPr>
          <w:p w14:paraId="76CD9ACC">
            <w:pPr>
              <w:jc w:val="center"/>
              <w:textAlignment w:val="center"/>
              <w:rPr>
                <w:rFonts w:ascii="Times New Roman" w:hAnsi="Times New Roman" w:cs="Times New Roman"/>
                <w:color w:val="auto"/>
                <w:sz w:val="21"/>
              </w:rPr>
            </w:pPr>
            <w:r>
              <w:rPr>
                <w:rFonts w:ascii="Times New Roman" w:hAnsi="Times New Roman" w:cs="Times New Roman"/>
                <w:color w:val="auto"/>
                <w:sz w:val="21"/>
              </w:rPr>
              <w:t>汽车运输</w:t>
            </w:r>
          </w:p>
        </w:tc>
      </w:tr>
      <w:tr w14:paraId="1C7694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6" w:type="pct"/>
            <w:tcMar>
              <w:left w:w="0" w:type="dxa"/>
              <w:right w:w="0" w:type="dxa"/>
            </w:tcMar>
            <w:vAlign w:val="center"/>
          </w:tcPr>
          <w:p w14:paraId="671B0104">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bidi="ar"/>
              </w:rPr>
              <w:t>2</w:t>
            </w:r>
          </w:p>
        </w:tc>
        <w:tc>
          <w:tcPr>
            <w:tcW w:w="704" w:type="pct"/>
            <w:gridSpan w:val="2"/>
            <w:vMerge w:val="continue"/>
            <w:vAlign w:val="center"/>
          </w:tcPr>
          <w:p w14:paraId="1202DEE8">
            <w:pPr>
              <w:jc w:val="center"/>
              <w:textAlignment w:val="center"/>
              <w:rPr>
                <w:rFonts w:ascii="Times New Roman" w:hAnsi="Times New Roman" w:cs="Times New Roman"/>
                <w:color w:val="auto"/>
                <w:sz w:val="21"/>
                <w:lang w:val="zh-CN"/>
              </w:rPr>
            </w:pPr>
          </w:p>
        </w:tc>
        <w:tc>
          <w:tcPr>
            <w:tcW w:w="468" w:type="pct"/>
            <w:tcMar>
              <w:left w:w="0" w:type="dxa"/>
              <w:right w:w="0" w:type="dxa"/>
            </w:tcMar>
            <w:vAlign w:val="center"/>
          </w:tcPr>
          <w:p w14:paraId="132E25B4">
            <w:pPr>
              <w:jc w:val="center"/>
              <w:textAlignment w:val="center"/>
              <w:rPr>
                <w:rFonts w:ascii="Times New Roman" w:hAnsi="Times New Roman" w:cs="Times New Roman"/>
                <w:color w:val="auto"/>
                <w:sz w:val="21"/>
              </w:rPr>
            </w:pPr>
          </w:p>
        </w:tc>
        <w:tc>
          <w:tcPr>
            <w:tcW w:w="507" w:type="pct"/>
            <w:vAlign w:val="center"/>
          </w:tcPr>
          <w:p w14:paraId="2BDD6DF3">
            <w:pPr>
              <w:spacing w:before="60" w:after="60"/>
              <w:jc w:val="center"/>
              <w:rPr>
                <w:rFonts w:ascii="Times New Roman" w:hAnsi="Times New Roman" w:cs="Times New Roman"/>
                <w:color w:val="auto"/>
                <w:sz w:val="21"/>
                <w:lang w:eastAsia="zh-CN" w:bidi="ar"/>
              </w:rPr>
            </w:pPr>
          </w:p>
        </w:tc>
        <w:tc>
          <w:tcPr>
            <w:tcW w:w="461" w:type="pct"/>
            <w:tcMar>
              <w:left w:w="0" w:type="dxa"/>
              <w:right w:w="0" w:type="dxa"/>
            </w:tcMar>
            <w:vAlign w:val="center"/>
          </w:tcPr>
          <w:p w14:paraId="6C691F70">
            <w:pPr>
              <w:spacing w:before="60" w:after="60"/>
              <w:jc w:val="center"/>
              <w:rPr>
                <w:rFonts w:ascii="Times New Roman" w:hAnsi="Times New Roman" w:cs="Times New Roman"/>
                <w:color w:val="auto"/>
                <w:sz w:val="21"/>
                <w:lang w:eastAsia="zh-CN" w:bidi="ar"/>
              </w:rPr>
            </w:pPr>
          </w:p>
        </w:tc>
        <w:tc>
          <w:tcPr>
            <w:tcW w:w="507" w:type="pct"/>
            <w:vAlign w:val="center"/>
          </w:tcPr>
          <w:p w14:paraId="1C724E60">
            <w:pPr>
              <w:jc w:val="center"/>
              <w:textAlignment w:val="center"/>
              <w:rPr>
                <w:rFonts w:ascii="Times New Roman" w:hAnsi="Times New Roman" w:cs="Times New Roman"/>
                <w:color w:val="auto"/>
                <w:sz w:val="21"/>
                <w:lang w:eastAsia="zh-CN" w:bidi="ar"/>
              </w:rPr>
            </w:pPr>
          </w:p>
        </w:tc>
        <w:tc>
          <w:tcPr>
            <w:tcW w:w="407" w:type="pct"/>
            <w:tcMar>
              <w:left w:w="0" w:type="dxa"/>
              <w:right w:w="0" w:type="dxa"/>
            </w:tcMar>
            <w:vAlign w:val="center"/>
          </w:tcPr>
          <w:p w14:paraId="17E7FC9B">
            <w:pPr>
              <w:jc w:val="center"/>
              <w:textAlignment w:val="center"/>
              <w:rPr>
                <w:rFonts w:ascii="Times New Roman" w:hAnsi="Times New Roman" w:cs="Times New Roman"/>
                <w:color w:val="auto"/>
                <w:sz w:val="21"/>
                <w:lang w:eastAsia="zh-CN" w:bidi="ar"/>
              </w:rPr>
            </w:pPr>
          </w:p>
        </w:tc>
        <w:tc>
          <w:tcPr>
            <w:tcW w:w="316" w:type="pct"/>
            <w:vAlign w:val="center"/>
          </w:tcPr>
          <w:p w14:paraId="39D295F5">
            <w:pPr>
              <w:jc w:val="center"/>
              <w:textAlignment w:val="center"/>
              <w:rPr>
                <w:rFonts w:ascii="Times New Roman" w:hAnsi="Times New Roman" w:cs="Times New Roman"/>
                <w:color w:val="auto"/>
                <w:sz w:val="21"/>
                <w:lang w:eastAsia="zh-CN" w:bidi="ar"/>
              </w:rPr>
            </w:pPr>
          </w:p>
        </w:tc>
        <w:tc>
          <w:tcPr>
            <w:tcW w:w="406" w:type="pct"/>
            <w:vAlign w:val="center"/>
          </w:tcPr>
          <w:p w14:paraId="5ECFB510">
            <w:pPr>
              <w:jc w:val="center"/>
              <w:textAlignment w:val="center"/>
              <w:rPr>
                <w:rFonts w:ascii="Times New Roman" w:hAnsi="Times New Roman" w:cs="Times New Roman"/>
                <w:color w:val="auto"/>
                <w:sz w:val="21"/>
                <w:lang w:bidi="ar"/>
              </w:rPr>
            </w:pPr>
          </w:p>
        </w:tc>
        <w:tc>
          <w:tcPr>
            <w:tcW w:w="345" w:type="pct"/>
            <w:vAlign w:val="center"/>
          </w:tcPr>
          <w:p w14:paraId="61621794">
            <w:pPr>
              <w:jc w:val="center"/>
              <w:textAlignment w:val="center"/>
              <w:rPr>
                <w:rFonts w:ascii="Times New Roman" w:hAnsi="Times New Roman" w:cs="Times New Roman"/>
                <w:color w:val="auto"/>
                <w:sz w:val="21"/>
              </w:rPr>
            </w:pPr>
          </w:p>
        </w:tc>
        <w:tc>
          <w:tcPr>
            <w:tcW w:w="405" w:type="pct"/>
            <w:vAlign w:val="center"/>
          </w:tcPr>
          <w:p w14:paraId="0B2F70C5">
            <w:pPr>
              <w:jc w:val="center"/>
              <w:textAlignment w:val="center"/>
              <w:rPr>
                <w:rFonts w:ascii="Times New Roman" w:hAnsi="Times New Roman" w:cs="Times New Roman"/>
                <w:color w:val="auto"/>
                <w:sz w:val="21"/>
              </w:rPr>
            </w:pPr>
          </w:p>
        </w:tc>
        <w:tc>
          <w:tcPr>
            <w:tcW w:w="278" w:type="pct"/>
            <w:vAlign w:val="center"/>
          </w:tcPr>
          <w:p w14:paraId="3605ED8A">
            <w:pPr>
              <w:jc w:val="center"/>
              <w:textAlignment w:val="center"/>
              <w:rPr>
                <w:rFonts w:ascii="Times New Roman" w:hAnsi="Times New Roman" w:cs="Times New Roman"/>
                <w:color w:val="auto"/>
                <w:sz w:val="21"/>
              </w:rPr>
            </w:pPr>
            <w:r>
              <w:rPr>
                <w:rFonts w:ascii="Times New Roman" w:hAnsi="Times New Roman" w:cs="Times New Roman"/>
                <w:color w:val="auto"/>
                <w:sz w:val="21"/>
              </w:rPr>
              <w:t>汽车运输</w:t>
            </w:r>
          </w:p>
        </w:tc>
      </w:tr>
      <w:tr w14:paraId="5074CB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6" w:type="pct"/>
            <w:tcMar>
              <w:left w:w="0" w:type="dxa"/>
              <w:right w:w="0" w:type="dxa"/>
            </w:tcMar>
            <w:vAlign w:val="center"/>
          </w:tcPr>
          <w:p w14:paraId="42017DB3">
            <w:pPr>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3</w:t>
            </w:r>
          </w:p>
        </w:tc>
        <w:tc>
          <w:tcPr>
            <w:tcW w:w="704" w:type="pct"/>
            <w:gridSpan w:val="2"/>
            <w:vMerge w:val="continue"/>
            <w:vAlign w:val="center"/>
          </w:tcPr>
          <w:p w14:paraId="4E401544">
            <w:pPr>
              <w:jc w:val="center"/>
              <w:textAlignment w:val="center"/>
              <w:rPr>
                <w:rFonts w:ascii="Times New Roman" w:hAnsi="Times New Roman" w:cs="Times New Roman"/>
                <w:color w:val="auto"/>
                <w:sz w:val="21"/>
                <w:lang w:val="zh-CN"/>
              </w:rPr>
            </w:pPr>
          </w:p>
        </w:tc>
        <w:tc>
          <w:tcPr>
            <w:tcW w:w="468" w:type="pct"/>
            <w:tcMar>
              <w:left w:w="0" w:type="dxa"/>
              <w:right w:w="0" w:type="dxa"/>
            </w:tcMar>
            <w:vAlign w:val="center"/>
          </w:tcPr>
          <w:p w14:paraId="0B7CB85C">
            <w:pPr>
              <w:jc w:val="center"/>
              <w:textAlignment w:val="center"/>
              <w:rPr>
                <w:rFonts w:ascii="Times New Roman" w:hAnsi="Times New Roman" w:cs="Times New Roman"/>
                <w:color w:val="auto"/>
                <w:sz w:val="21"/>
                <w:lang w:eastAsia="zh-CN"/>
              </w:rPr>
            </w:pPr>
          </w:p>
        </w:tc>
        <w:tc>
          <w:tcPr>
            <w:tcW w:w="507" w:type="pct"/>
            <w:vAlign w:val="center"/>
          </w:tcPr>
          <w:p w14:paraId="4AB94F0E">
            <w:pPr>
              <w:spacing w:before="60" w:after="60"/>
              <w:jc w:val="center"/>
              <w:rPr>
                <w:rFonts w:ascii="Times New Roman" w:hAnsi="Times New Roman" w:cs="Times New Roman"/>
                <w:color w:val="auto"/>
                <w:sz w:val="21"/>
              </w:rPr>
            </w:pPr>
          </w:p>
        </w:tc>
        <w:tc>
          <w:tcPr>
            <w:tcW w:w="461" w:type="pct"/>
            <w:tcMar>
              <w:left w:w="0" w:type="dxa"/>
              <w:right w:w="0" w:type="dxa"/>
            </w:tcMar>
            <w:vAlign w:val="center"/>
          </w:tcPr>
          <w:p w14:paraId="421A9750">
            <w:pPr>
              <w:spacing w:before="60" w:after="60"/>
              <w:jc w:val="center"/>
              <w:rPr>
                <w:rFonts w:ascii="Times New Roman" w:hAnsi="Times New Roman" w:cs="Times New Roman"/>
                <w:color w:val="auto"/>
                <w:sz w:val="21"/>
                <w:lang w:val="zh-CN" w:eastAsia="zh-CN"/>
              </w:rPr>
            </w:pPr>
          </w:p>
        </w:tc>
        <w:tc>
          <w:tcPr>
            <w:tcW w:w="507" w:type="pct"/>
            <w:vAlign w:val="center"/>
          </w:tcPr>
          <w:p w14:paraId="112BBFFE">
            <w:pPr>
              <w:jc w:val="center"/>
              <w:textAlignment w:val="center"/>
              <w:rPr>
                <w:rFonts w:ascii="Times New Roman" w:hAnsi="Times New Roman" w:cs="Times New Roman"/>
                <w:color w:val="auto"/>
                <w:sz w:val="21"/>
                <w:lang w:eastAsia="zh-CN" w:bidi="ar"/>
              </w:rPr>
            </w:pPr>
          </w:p>
        </w:tc>
        <w:tc>
          <w:tcPr>
            <w:tcW w:w="407" w:type="pct"/>
            <w:tcMar>
              <w:left w:w="0" w:type="dxa"/>
              <w:right w:w="0" w:type="dxa"/>
            </w:tcMar>
            <w:vAlign w:val="center"/>
          </w:tcPr>
          <w:p w14:paraId="56712447">
            <w:pPr>
              <w:jc w:val="center"/>
              <w:textAlignment w:val="center"/>
              <w:rPr>
                <w:rFonts w:ascii="Times New Roman" w:hAnsi="Times New Roman" w:cs="Times New Roman"/>
                <w:color w:val="auto"/>
                <w:sz w:val="21"/>
                <w:lang w:eastAsia="zh-CN" w:bidi="ar"/>
              </w:rPr>
            </w:pPr>
          </w:p>
        </w:tc>
        <w:tc>
          <w:tcPr>
            <w:tcW w:w="316" w:type="pct"/>
            <w:vAlign w:val="center"/>
          </w:tcPr>
          <w:p w14:paraId="4D8989B0">
            <w:pPr>
              <w:jc w:val="center"/>
              <w:textAlignment w:val="center"/>
              <w:rPr>
                <w:rFonts w:ascii="Times New Roman" w:hAnsi="Times New Roman" w:cs="Times New Roman"/>
                <w:color w:val="auto"/>
                <w:sz w:val="21"/>
                <w:lang w:eastAsia="zh-CN" w:bidi="ar"/>
              </w:rPr>
            </w:pPr>
          </w:p>
        </w:tc>
        <w:tc>
          <w:tcPr>
            <w:tcW w:w="406" w:type="pct"/>
            <w:vAlign w:val="center"/>
          </w:tcPr>
          <w:p w14:paraId="3074133C">
            <w:pPr>
              <w:jc w:val="center"/>
              <w:textAlignment w:val="center"/>
              <w:rPr>
                <w:rFonts w:ascii="Times New Roman" w:hAnsi="Times New Roman" w:cs="Times New Roman"/>
                <w:color w:val="auto"/>
                <w:sz w:val="21"/>
                <w:lang w:eastAsia="zh-CN" w:bidi="ar"/>
              </w:rPr>
            </w:pPr>
          </w:p>
        </w:tc>
        <w:tc>
          <w:tcPr>
            <w:tcW w:w="345" w:type="pct"/>
            <w:vAlign w:val="center"/>
          </w:tcPr>
          <w:p w14:paraId="7012A6A8">
            <w:pPr>
              <w:jc w:val="center"/>
              <w:textAlignment w:val="center"/>
              <w:rPr>
                <w:rFonts w:ascii="Times New Roman" w:hAnsi="Times New Roman" w:cs="Times New Roman"/>
                <w:color w:val="auto"/>
                <w:sz w:val="21"/>
                <w:lang w:eastAsia="zh-CN"/>
              </w:rPr>
            </w:pPr>
          </w:p>
        </w:tc>
        <w:tc>
          <w:tcPr>
            <w:tcW w:w="405" w:type="pct"/>
            <w:vAlign w:val="center"/>
          </w:tcPr>
          <w:p w14:paraId="16906E46">
            <w:pPr>
              <w:jc w:val="center"/>
              <w:textAlignment w:val="center"/>
              <w:rPr>
                <w:rFonts w:ascii="Times New Roman" w:hAnsi="Times New Roman" w:cs="Times New Roman"/>
                <w:color w:val="auto"/>
                <w:sz w:val="21"/>
                <w:lang w:eastAsia="zh-CN"/>
              </w:rPr>
            </w:pPr>
          </w:p>
        </w:tc>
        <w:tc>
          <w:tcPr>
            <w:tcW w:w="278" w:type="pct"/>
            <w:vAlign w:val="center"/>
          </w:tcPr>
          <w:p w14:paraId="3DE334FE">
            <w:pPr>
              <w:jc w:val="center"/>
              <w:textAlignment w:val="center"/>
              <w:rPr>
                <w:rFonts w:ascii="Times New Roman" w:hAnsi="Times New Roman" w:cs="Times New Roman"/>
                <w:color w:val="auto"/>
                <w:sz w:val="21"/>
              </w:rPr>
            </w:pPr>
            <w:r>
              <w:rPr>
                <w:rFonts w:ascii="Times New Roman" w:hAnsi="Times New Roman" w:cs="Times New Roman"/>
                <w:color w:val="auto"/>
                <w:sz w:val="21"/>
              </w:rPr>
              <w:t>汽车运输</w:t>
            </w:r>
          </w:p>
        </w:tc>
      </w:tr>
      <w:tr w14:paraId="36CCCC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6" w:type="pct"/>
            <w:tcMar>
              <w:left w:w="0" w:type="dxa"/>
              <w:right w:w="0" w:type="dxa"/>
            </w:tcMar>
            <w:vAlign w:val="center"/>
          </w:tcPr>
          <w:p w14:paraId="04FABFB8">
            <w:pPr>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4</w:t>
            </w:r>
          </w:p>
        </w:tc>
        <w:tc>
          <w:tcPr>
            <w:tcW w:w="704" w:type="pct"/>
            <w:gridSpan w:val="2"/>
            <w:vMerge w:val="continue"/>
            <w:vAlign w:val="center"/>
          </w:tcPr>
          <w:p w14:paraId="22999D68">
            <w:pPr>
              <w:jc w:val="center"/>
              <w:textAlignment w:val="center"/>
              <w:rPr>
                <w:rFonts w:ascii="Times New Roman" w:hAnsi="Times New Roman" w:cs="Times New Roman"/>
                <w:color w:val="auto"/>
                <w:sz w:val="21"/>
                <w:lang w:val="zh-CN"/>
              </w:rPr>
            </w:pPr>
          </w:p>
        </w:tc>
        <w:tc>
          <w:tcPr>
            <w:tcW w:w="468" w:type="pct"/>
            <w:tcMar>
              <w:left w:w="0" w:type="dxa"/>
              <w:right w:w="0" w:type="dxa"/>
            </w:tcMar>
            <w:vAlign w:val="center"/>
          </w:tcPr>
          <w:p w14:paraId="7A387505">
            <w:pPr>
              <w:jc w:val="center"/>
              <w:textAlignment w:val="center"/>
              <w:rPr>
                <w:rFonts w:ascii="Times New Roman" w:hAnsi="Times New Roman" w:cs="Times New Roman"/>
                <w:color w:val="auto"/>
                <w:sz w:val="21"/>
                <w:lang w:eastAsia="zh-CN"/>
              </w:rPr>
            </w:pPr>
          </w:p>
        </w:tc>
        <w:tc>
          <w:tcPr>
            <w:tcW w:w="507" w:type="pct"/>
            <w:vAlign w:val="center"/>
          </w:tcPr>
          <w:p w14:paraId="62EE43A4">
            <w:pPr>
              <w:spacing w:before="60" w:after="60"/>
              <w:jc w:val="center"/>
              <w:rPr>
                <w:rFonts w:ascii="Times New Roman" w:hAnsi="Times New Roman" w:cs="Times New Roman"/>
                <w:color w:val="auto"/>
                <w:sz w:val="21"/>
              </w:rPr>
            </w:pPr>
          </w:p>
        </w:tc>
        <w:tc>
          <w:tcPr>
            <w:tcW w:w="461" w:type="pct"/>
            <w:tcMar>
              <w:left w:w="0" w:type="dxa"/>
              <w:right w:w="0" w:type="dxa"/>
            </w:tcMar>
            <w:vAlign w:val="center"/>
          </w:tcPr>
          <w:p w14:paraId="69A5CA1C">
            <w:pPr>
              <w:spacing w:before="60" w:after="60"/>
              <w:jc w:val="center"/>
              <w:rPr>
                <w:rFonts w:ascii="Times New Roman" w:hAnsi="Times New Roman" w:cs="Times New Roman"/>
                <w:color w:val="auto"/>
                <w:sz w:val="21"/>
                <w:lang w:val="zh-CN" w:eastAsia="zh-CN"/>
              </w:rPr>
            </w:pPr>
          </w:p>
        </w:tc>
        <w:tc>
          <w:tcPr>
            <w:tcW w:w="507" w:type="pct"/>
            <w:vAlign w:val="center"/>
          </w:tcPr>
          <w:p w14:paraId="184784B8">
            <w:pPr>
              <w:jc w:val="center"/>
              <w:textAlignment w:val="center"/>
              <w:rPr>
                <w:rFonts w:ascii="Times New Roman" w:hAnsi="Times New Roman" w:cs="Times New Roman"/>
                <w:color w:val="auto"/>
                <w:sz w:val="21"/>
                <w:lang w:eastAsia="zh-CN" w:bidi="ar"/>
              </w:rPr>
            </w:pPr>
          </w:p>
        </w:tc>
        <w:tc>
          <w:tcPr>
            <w:tcW w:w="407" w:type="pct"/>
            <w:tcMar>
              <w:left w:w="0" w:type="dxa"/>
              <w:right w:w="0" w:type="dxa"/>
            </w:tcMar>
            <w:vAlign w:val="center"/>
          </w:tcPr>
          <w:p w14:paraId="0ABB3394">
            <w:pPr>
              <w:jc w:val="center"/>
              <w:textAlignment w:val="center"/>
              <w:rPr>
                <w:rFonts w:ascii="Times New Roman" w:hAnsi="Times New Roman" w:cs="Times New Roman"/>
                <w:color w:val="auto"/>
                <w:sz w:val="21"/>
                <w:lang w:eastAsia="zh-CN" w:bidi="ar"/>
              </w:rPr>
            </w:pPr>
          </w:p>
        </w:tc>
        <w:tc>
          <w:tcPr>
            <w:tcW w:w="316" w:type="pct"/>
            <w:vAlign w:val="center"/>
          </w:tcPr>
          <w:p w14:paraId="4AB6791A">
            <w:pPr>
              <w:jc w:val="center"/>
              <w:textAlignment w:val="center"/>
              <w:rPr>
                <w:rFonts w:ascii="Times New Roman" w:hAnsi="Times New Roman" w:cs="Times New Roman"/>
                <w:color w:val="auto"/>
                <w:sz w:val="21"/>
                <w:lang w:eastAsia="zh-CN" w:bidi="ar"/>
              </w:rPr>
            </w:pPr>
          </w:p>
        </w:tc>
        <w:tc>
          <w:tcPr>
            <w:tcW w:w="406" w:type="pct"/>
            <w:vAlign w:val="center"/>
          </w:tcPr>
          <w:p w14:paraId="5550A719">
            <w:pPr>
              <w:jc w:val="center"/>
              <w:textAlignment w:val="center"/>
              <w:rPr>
                <w:rFonts w:ascii="Times New Roman" w:hAnsi="Times New Roman" w:cs="Times New Roman"/>
                <w:color w:val="auto"/>
                <w:sz w:val="21"/>
                <w:lang w:eastAsia="zh-CN" w:bidi="ar"/>
              </w:rPr>
            </w:pPr>
          </w:p>
        </w:tc>
        <w:tc>
          <w:tcPr>
            <w:tcW w:w="345" w:type="pct"/>
            <w:vAlign w:val="center"/>
          </w:tcPr>
          <w:p w14:paraId="12273CF5">
            <w:pPr>
              <w:jc w:val="center"/>
              <w:textAlignment w:val="center"/>
              <w:rPr>
                <w:rFonts w:ascii="Times New Roman" w:hAnsi="Times New Roman" w:cs="Times New Roman"/>
                <w:color w:val="auto"/>
                <w:sz w:val="21"/>
                <w:lang w:eastAsia="zh-CN"/>
              </w:rPr>
            </w:pPr>
          </w:p>
        </w:tc>
        <w:tc>
          <w:tcPr>
            <w:tcW w:w="405" w:type="pct"/>
            <w:vAlign w:val="center"/>
          </w:tcPr>
          <w:p w14:paraId="065A3270">
            <w:pPr>
              <w:jc w:val="center"/>
              <w:textAlignment w:val="center"/>
              <w:rPr>
                <w:rFonts w:ascii="Times New Roman" w:hAnsi="Times New Roman" w:cs="Times New Roman"/>
                <w:color w:val="auto"/>
                <w:sz w:val="21"/>
                <w:lang w:eastAsia="zh-CN"/>
              </w:rPr>
            </w:pPr>
          </w:p>
        </w:tc>
        <w:tc>
          <w:tcPr>
            <w:tcW w:w="278" w:type="pct"/>
            <w:vAlign w:val="center"/>
          </w:tcPr>
          <w:p w14:paraId="4D4DA557">
            <w:pPr>
              <w:jc w:val="center"/>
              <w:textAlignment w:val="center"/>
              <w:rPr>
                <w:rFonts w:ascii="Times New Roman" w:hAnsi="Times New Roman" w:cs="Times New Roman"/>
                <w:color w:val="auto"/>
                <w:sz w:val="21"/>
              </w:rPr>
            </w:pPr>
            <w:r>
              <w:rPr>
                <w:rFonts w:ascii="Times New Roman" w:hAnsi="Times New Roman" w:cs="Times New Roman"/>
                <w:color w:val="auto"/>
                <w:sz w:val="21"/>
              </w:rPr>
              <w:t>汽车运输</w:t>
            </w:r>
          </w:p>
        </w:tc>
      </w:tr>
      <w:tr w14:paraId="682F41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13"/>
            <w:vAlign w:val="center"/>
          </w:tcPr>
          <w:p w14:paraId="164B775F">
            <w:pPr>
              <w:jc w:val="center"/>
              <w:textAlignment w:val="center"/>
              <w:rPr>
                <w:rFonts w:ascii="Times New Roman" w:hAnsi="Times New Roman" w:cs="Times New Roman"/>
                <w:color w:val="auto"/>
                <w:sz w:val="21"/>
                <w:lang w:bidi="ar"/>
              </w:rPr>
            </w:pPr>
            <w:r>
              <w:rPr>
                <w:rFonts w:ascii="Times New Roman" w:hAnsi="Times New Roman" w:cs="Times New Roman"/>
                <w:b/>
                <w:color w:val="auto"/>
                <w:sz w:val="21"/>
              </w:rPr>
              <w:t>二、产品</w:t>
            </w:r>
          </w:p>
        </w:tc>
      </w:tr>
      <w:tr w14:paraId="1A1AFE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6" w:type="pct"/>
            <w:tcMar>
              <w:left w:w="0" w:type="dxa"/>
              <w:right w:w="0" w:type="dxa"/>
            </w:tcMar>
            <w:vAlign w:val="center"/>
          </w:tcPr>
          <w:p w14:paraId="77FDB622">
            <w:pPr>
              <w:jc w:val="center"/>
              <w:rPr>
                <w:rFonts w:ascii="Times New Roman" w:hAnsi="Times New Roman" w:cs="Times New Roman"/>
                <w:color w:val="auto"/>
                <w:sz w:val="21"/>
              </w:rPr>
            </w:pPr>
            <w:r>
              <w:rPr>
                <w:rFonts w:ascii="Times New Roman" w:hAnsi="Times New Roman" w:cs="Times New Roman"/>
                <w:color w:val="auto"/>
                <w:sz w:val="21"/>
                <w:lang w:bidi="ar"/>
              </w:rPr>
              <w:t>1</w:t>
            </w:r>
          </w:p>
        </w:tc>
        <w:tc>
          <w:tcPr>
            <w:tcW w:w="1172" w:type="pct"/>
            <w:gridSpan w:val="3"/>
            <w:vAlign w:val="center"/>
          </w:tcPr>
          <w:p w14:paraId="5B413F2B">
            <w:pPr>
              <w:pStyle w:val="66"/>
              <w:tabs>
                <w:tab w:val="clear" w:pos="1080"/>
              </w:tabs>
              <w:spacing w:line="240" w:lineRule="auto"/>
              <w:jc w:val="center"/>
              <w:rPr>
                <w:rFonts w:ascii="Times New Roman" w:hAnsi="Times New Roman" w:cs="Times New Roman"/>
                <w:color w:val="auto"/>
                <w:sz w:val="21"/>
              </w:rPr>
            </w:pPr>
            <w:r>
              <w:rPr>
                <w:rFonts w:hint="eastAsia" w:ascii="Times New Roman" w:hAnsi="Times New Roman" w:cs="Times New Roman"/>
                <w:color w:val="auto"/>
                <w:sz w:val="21"/>
                <w:lang w:eastAsia="zh-CN"/>
              </w:rPr>
              <w:t>电子级氢氟酸</w:t>
            </w:r>
          </w:p>
        </w:tc>
        <w:tc>
          <w:tcPr>
            <w:tcW w:w="507" w:type="pct"/>
            <w:vAlign w:val="center"/>
          </w:tcPr>
          <w:p w14:paraId="7B223E38">
            <w:pPr>
              <w:pStyle w:val="66"/>
              <w:tabs>
                <w:tab w:val="clear" w:pos="1080"/>
              </w:tabs>
              <w:spacing w:line="240" w:lineRule="auto"/>
              <w:jc w:val="center"/>
              <w:rPr>
                <w:rFonts w:ascii="Times New Roman" w:hAnsi="Times New Roman" w:cs="Times New Roman"/>
                <w:color w:val="auto"/>
                <w:sz w:val="21"/>
                <w:lang w:val="zh-CN" w:eastAsia="zh-CN"/>
              </w:rPr>
            </w:pPr>
          </w:p>
        </w:tc>
        <w:tc>
          <w:tcPr>
            <w:tcW w:w="461" w:type="pct"/>
            <w:tcMar>
              <w:left w:w="0" w:type="dxa"/>
              <w:right w:w="0" w:type="dxa"/>
            </w:tcMar>
            <w:vAlign w:val="center"/>
          </w:tcPr>
          <w:p w14:paraId="71214888">
            <w:pPr>
              <w:pStyle w:val="66"/>
              <w:tabs>
                <w:tab w:val="clear" w:pos="1080"/>
              </w:tabs>
              <w:spacing w:line="240" w:lineRule="auto"/>
              <w:jc w:val="center"/>
              <w:rPr>
                <w:rFonts w:ascii="Times New Roman" w:hAnsi="Times New Roman" w:cs="Times New Roman"/>
                <w:color w:val="auto"/>
                <w:sz w:val="21"/>
                <w:lang w:eastAsia="zh-CN"/>
              </w:rPr>
            </w:pPr>
          </w:p>
        </w:tc>
        <w:tc>
          <w:tcPr>
            <w:tcW w:w="507" w:type="pct"/>
            <w:vAlign w:val="center"/>
          </w:tcPr>
          <w:p w14:paraId="222F8433">
            <w:pPr>
              <w:pStyle w:val="66"/>
              <w:tabs>
                <w:tab w:val="clear" w:pos="1080"/>
              </w:tabs>
              <w:spacing w:line="240" w:lineRule="auto"/>
              <w:jc w:val="center"/>
              <w:rPr>
                <w:rFonts w:ascii="Times New Roman" w:hAnsi="Times New Roman" w:cs="Times New Roman"/>
                <w:color w:val="auto"/>
                <w:sz w:val="21"/>
                <w:lang w:eastAsia="zh-CN"/>
              </w:rPr>
            </w:pPr>
          </w:p>
        </w:tc>
        <w:tc>
          <w:tcPr>
            <w:tcW w:w="407" w:type="pct"/>
            <w:tcMar>
              <w:left w:w="0" w:type="dxa"/>
              <w:right w:w="0" w:type="dxa"/>
            </w:tcMar>
            <w:vAlign w:val="center"/>
          </w:tcPr>
          <w:p w14:paraId="24E88989">
            <w:pPr>
              <w:pStyle w:val="66"/>
              <w:tabs>
                <w:tab w:val="clear" w:pos="1080"/>
              </w:tabs>
              <w:spacing w:line="240" w:lineRule="auto"/>
              <w:jc w:val="center"/>
              <w:rPr>
                <w:rFonts w:ascii="Times New Roman" w:hAnsi="Times New Roman" w:cs="Times New Roman"/>
                <w:color w:val="auto"/>
                <w:sz w:val="21"/>
                <w:lang w:eastAsia="zh-CN"/>
              </w:rPr>
            </w:pPr>
          </w:p>
        </w:tc>
        <w:tc>
          <w:tcPr>
            <w:tcW w:w="316" w:type="pct"/>
            <w:vAlign w:val="center"/>
          </w:tcPr>
          <w:p w14:paraId="07F117A0">
            <w:pPr>
              <w:jc w:val="center"/>
              <w:textAlignment w:val="center"/>
              <w:rPr>
                <w:rFonts w:ascii="Times New Roman" w:hAnsi="Times New Roman" w:cs="Times New Roman"/>
                <w:color w:val="auto"/>
                <w:sz w:val="21"/>
                <w:lang w:eastAsia="zh-CN"/>
              </w:rPr>
            </w:pPr>
          </w:p>
        </w:tc>
        <w:tc>
          <w:tcPr>
            <w:tcW w:w="406" w:type="pct"/>
            <w:vAlign w:val="center"/>
          </w:tcPr>
          <w:p w14:paraId="47241A35">
            <w:pPr>
              <w:jc w:val="center"/>
              <w:rPr>
                <w:rFonts w:ascii="Times New Roman" w:hAnsi="Times New Roman" w:cs="Times New Roman"/>
                <w:color w:val="auto"/>
                <w:sz w:val="21"/>
                <w:lang w:eastAsia="zh-CN"/>
              </w:rPr>
            </w:pPr>
          </w:p>
        </w:tc>
        <w:tc>
          <w:tcPr>
            <w:tcW w:w="345" w:type="pct"/>
            <w:vAlign w:val="center"/>
          </w:tcPr>
          <w:p w14:paraId="4F0E4F3A">
            <w:pPr>
              <w:jc w:val="center"/>
              <w:rPr>
                <w:rFonts w:ascii="Times New Roman" w:hAnsi="Times New Roman" w:cs="Times New Roman"/>
                <w:color w:val="auto"/>
                <w:sz w:val="21"/>
              </w:rPr>
            </w:pPr>
          </w:p>
        </w:tc>
        <w:tc>
          <w:tcPr>
            <w:tcW w:w="405" w:type="pct"/>
            <w:vAlign w:val="center"/>
          </w:tcPr>
          <w:p w14:paraId="73023417">
            <w:pPr>
              <w:jc w:val="center"/>
              <w:textAlignment w:val="center"/>
              <w:rPr>
                <w:rFonts w:ascii="Times New Roman" w:hAnsi="Times New Roman" w:cs="Times New Roman"/>
                <w:color w:val="auto"/>
                <w:sz w:val="21"/>
                <w:lang w:eastAsia="zh-CN" w:bidi="ar"/>
              </w:rPr>
            </w:pPr>
          </w:p>
        </w:tc>
        <w:tc>
          <w:tcPr>
            <w:tcW w:w="278" w:type="pct"/>
            <w:vAlign w:val="center"/>
          </w:tcPr>
          <w:p w14:paraId="36955642">
            <w:pPr>
              <w:jc w:val="center"/>
              <w:textAlignment w:val="center"/>
              <w:rPr>
                <w:rFonts w:ascii="Times New Roman" w:hAnsi="Times New Roman" w:cs="Times New Roman"/>
                <w:color w:val="auto"/>
                <w:sz w:val="21"/>
                <w:lang w:bidi="ar"/>
              </w:rPr>
            </w:pPr>
            <w:r>
              <w:rPr>
                <w:rFonts w:ascii="Times New Roman" w:hAnsi="Times New Roman" w:cs="Times New Roman"/>
                <w:color w:val="auto"/>
                <w:sz w:val="21"/>
              </w:rPr>
              <w:t>汽车运输</w:t>
            </w:r>
          </w:p>
        </w:tc>
      </w:tr>
      <w:tr w14:paraId="003F16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96" w:type="pct"/>
            <w:vMerge w:val="restart"/>
            <w:tcMar>
              <w:left w:w="0" w:type="dxa"/>
              <w:right w:w="0" w:type="dxa"/>
            </w:tcMar>
            <w:vAlign w:val="center"/>
          </w:tcPr>
          <w:p w14:paraId="18974E76">
            <w:pPr>
              <w:jc w:val="center"/>
              <w:rPr>
                <w:rFonts w:ascii="Times New Roman" w:hAnsi="Times New Roman" w:cs="Times New Roman"/>
                <w:color w:val="auto"/>
                <w:sz w:val="21"/>
              </w:rPr>
            </w:pPr>
            <w:r>
              <w:rPr>
                <w:rFonts w:ascii="Times New Roman" w:hAnsi="Times New Roman" w:cs="Times New Roman"/>
                <w:color w:val="auto"/>
                <w:sz w:val="21"/>
                <w:lang w:bidi="ar"/>
              </w:rPr>
              <w:t>2</w:t>
            </w:r>
          </w:p>
        </w:tc>
        <w:tc>
          <w:tcPr>
            <w:tcW w:w="1172" w:type="pct"/>
            <w:gridSpan w:val="3"/>
            <w:vMerge w:val="restart"/>
            <w:vAlign w:val="center"/>
          </w:tcPr>
          <w:p w14:paraId="7FA9CD78">
            <w:pPr>
              <w:pStyle w:val="66"/>
              <w:tabs>
                <w:tab w:val="clear" w:pos="1080"/>
              </w:tabs>
              <w:spacing w:line="240" w:lineRule="auto"/>
              <w:jc w:val="center"/>
              <w:rPr>
                <w:rFonts w:ascii="Times New Roman" w:hAnsi="Times New Roman" w:cs="Times New Roman"/>
                <w:color w:val="auto"/>
                <w:sz w:val="22"/>
                <w:lang w:val="zh-CN" w:eastAsia="zh-CN"/>
              </w:rPr>
            </w:pPr>
            <w:r>
              <w:rPr>
                <w:rFonts w:hint="eastAsia" w:ascii="Times New Roman" w:hAnsi="Times New Roman" w:cs="Times New Roman"/>
                <w:color w:val="auto"/>
                <w:sz w:val="21"/>
                <w:lang w:eastAsia="zh-CN"/>
              </w:rPr>
              <w:t>化学纯氢氟酸</w:t>
            </w:r>
          </w:p>
        </w:tc>
        <w:tc>
          <w:tcPr>
            <w:tcW w:w="507" w:type="pct"/>
            <w:vMerge w:val="restart"/>
            <w:vAlign w:val="center"/>
          </w:tcPr>
          <w:p w14:paraId="52A1FA0F">
            <w:pPr>
              <w:pStyle w:val="66"/>
              <w:tabs>
                <w:tab w:val="clear" w:pos="1080"/>
              </w:tabs>
              <w:spacing w:line="240" w:lineRule="auto"/>
              <w:jc w:val="center"/>
              <w:rPr>
                <w:rFonts w:ascii="Times New Roman" w:hAnsi="Times New Roman" w:cs="Times New Roman"/>
                <w:color w:val="auto"/>
                <w:sz w:val="21"/>
                <w:lang w:eastAsia="zh-CN"/>
              </w:rPr>
            </w:pPr>
          </w:p>
        </w:tc>
        <w:tc>
          <w:tcPr>
            <w:tcW w:w="461" w:type="pct"/>
            <w:vMerge w:val="restart"/>
            <w:tcMar>
              <w:left w:w="0" w:type="dxa"/>
              <w:right w:w="0" w:type="dxa"/>
            </w:tcMar>
            <w:vAlign w:val="center"/>
          </w:tcPr>
          <w:p w14:paraId="303C752C">
            <w:pPr>
              <w:pStyle w:val="66"/>
              <w:tabs>
                <w:tab w:val="clear" w:pos="1080"/>
              </w:tabs>
              <w:spacing w:line="240" w:lineRule="auto"/>
              <w:jc w:val="center"/>
              <w:rPr>
                <w:rFonts w:ascii="Times New Roman" w:hAnsi="Times New Roman" w:cs="Times New Roman"/>
                <w:color w:val="auto"/>
                <w:sz w:val="21"/>
                <w:lang w:eastAsia="zh-CN"/>
              </w:rPr>
            </w:pPr>
          </w:p>
        </w:tc>
        <w:tc>
          <w:tcPr>
            <w:tcW w:w="507" w:type="pct"/>
            <w:vMerge w:val="restart"/>
            <w:vAlign w:val="center"/>
          </w:tcPr>
          <w:p w14:paraId="63795807">
            <w:pPr>
              <w:pStyle w:val="66"/>
              <w:tabs>
                <w:tab w:val="clear" w:pos="1080"/>
              </w:tabs>
              <w:spacing w:line="240" w:lineRule="auto"/>
              <w:jc w:val="center"/>
              <w:rPr>
                <w:rFonts w:ascii="Times New Roman" w:hAnsi="Times New Roman" w:cs="Times New Roman"/>
                <w:color w:val="auto"/>
                <w:sz w:val="21"/>
                <w:lang w:eastAsia="zh-CN"/>
              </w:rPr>
            </w:pPr>
          </w:p>
        </w:tc>
        <w:tc>
          <w:tcPr>
            <w:tcW w:w="407" w:type="pct"/>
            <w:tcMar>
              <w:left w:w="0" w:type="dxa"/>
              <w:right w:w="0" w:type="dxa"/>
            </w:tcMar>
            <w:vAlign w:val="center"/>
          </w:tcPr>
          <w:p w14:paraId="1A67E723">
            <w:pPr>
              <w:pStyle w:val="66"/>
              <w:tabs>
                <w:tab w:val="clear" w:pos="1080"/>
              </w:tabs>
              <w:spacing w:line="240" w:lineRule="auto"/>
              <w:jc w:val="center"/>
              <w:rPr>
                <w:rFonts w:ascii="Times New Roman" w:hAnsi="Times New Roman" w:cs="Times New Roman"/>
                <w:color w:val="auto"/>
                <w:sz w:val="21"/>
                <w:lang w:eastAsia="zh-CN"/>
              </w:rPr>
            </w:pPr>
          </w:p>
        </w:tc>
        <w:tc>
          <w:tcPr>
            <w:tcW w:w="316" w:type="pct"/>
            <w:vAlign w:val="center"/>
          </w:tcPr>
          <w:p w14:paraId="1F1AEE80">
            <w:pPr>
              <w:jc w:val="center"/>
              <w:textAlignment w:val="center"/>
              <w:rPr>
                <w:rFonts w:ascii="Times New Roman" w:hAnsi="Times New Roman" w:cs="Times New Roman"/>
                <w:color w:val="auto"/>
                <w:sz w:val="21"/>
                <w:lang w:eastAsia="zh-CN"/>
              </w:rPr>
            </w:pPr>
          </w:p>
        </w:tc>
        <w:tc>
          <w:tcPr>
            <w:tcW w:w="406" w:type="pct"/>
            <w:vMerge w:val="restart"/>
            <w:vAlign w:val="center"/>
          </w:tcPr>
          <w:p w14:paraId="673C7499">
            <w:pPr>
              <w:jc w:val="center"/>
              <w:rPr>
                <w:rFonts w:ascii="Times New Roman" w:hAnsi="Times New Roman" w:cs="Times New Roman"/>
                <w:color w:val="auto"/>
                <w:sz w:val="21"/>
                <w:lang w:eastAsia="zh-CN"/>
              </w:rPr>
            </w:pPr>
          </w:p>
        </w:tc>
        <w:tc>
          <w:tcPr>
            <w:tcW w:w="345" w:type="pct"/>
            <w:vAlign w:val="center"/>
          </w:tcPr>
          <w:p w14:paraId="1551F218">
            <w:pPr>
              <w:jc w:val="center"/>
              <w:rPr>
                <w:rFonts w:ascii="Times New Roman" w:hAnsi="Times New Roman" w:cs="Times New Roman"/>
                <w:color w:val="auto"/>
                <w:sz w:val="21"/>
                <w:lang w:eastAsia="zh-CN"/>
              </w:rPr>
            </w:pPr>
          </w:p>
        </w:tc>
        <w:tc>
          <w:tcPr>
            <w:tcW w:w="405" w:type="pct"/>
            <w:vAlign w:val="center"/>
          </w:tcPr>
          <w:p w14:paraId="03C13466">
            <w:pPr>
              <w:jc w:val="center"/>
              <w:textAlignment w:val="center"/>
              <w:rPr>
                <w:rFonts w:ascii="Times New Roman" w:hAnsi="Times New Roman" w:cs="Times New Roman"/>
                <w:color w:val="auto"/>
                <w:sz w:val="21"/>
                <w:lang w:eastAsia="zh-CN"/>
              </w:rPr>
            </w:pPr>
          </w:p>
        </w:tc>
        <w:tc>
          <w:tcPr>
            <w:tcW w:w="278" w:type="pct"/>
            <w:vMerge w:val="restart"/>
            <w:vAlign w:val="center"/>
          </w:tcPr>
          <w:p w14:paraId="2603F0F1">
            <w:pPr>
              <w:jc w:val="center"/>
              <w:textAlignment w:val="center"/>
              <w:rPr>
                <w:rFonts w:ascii="Times New Roman" w:hAnsi="Times New Roman" w:cs="Times New Roman"/>
                <w:color w:val="auto"/>
                <w:sz w:val="21"/>
              </w:rPr>
            </w:pPr>
            <w:r>
              <w:rPr>
                <w:rFonts w:ascii="Times New Roman" w:hAnsi="Times New Roman" w:cs="Times New Roman"/>
                <w:color w:val="auto"/>
                <w:sz w:val="21"/>
              </w:rPr>
              <w:t>汽车运输</w:t>
            </w:r>
          </w:p>
        </w:tc>
      </w:tr>
      <w:tr w14:paraId="09B5BC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96" w:type="pct"/>
            <w:vMerge w:val="continue"/>
            <w:tcMar>
              <w:left w:w="0" w:type="dxa"/>
              <w:right w:w="0" w:type="dxa"/>
            </w:tcMar>
            <w:vAlign w:val="center"/>
          </w:tcPr>
          <w:p w14:paraId="33761A43">
            <w:pPr>
              <w:jc w:val="center"/>
              <w:rPr>
                <w:rFonts w:ascii="Times New Roman" w:hAnsi="Times New Roman" w:cs="Times New Roman"/>
                <w:color w:val="auto"/>
                <w:sz w:val="21"/>
                <w:lang w:bidi="ar"/>
              </w:rPr>
            </w:pPr>
          </w:p>
        </w:tc>
        <w:tc>
          <w:tcPr>
            <w:tcW w:w="1172" w:type="pct"/>
            <w:gridSpan w:val="3"/>
            <w:vMerge w:val="continue"/>
            <w:vAlign w:val="center"/>
          </w:tcPr>
          <w:p w14:paraId="54DA56B4">
            <w:pPr>
              <w:pStyle w:val="66"/>
              <w:tabs>
                <w:tab w:val="clear" w:pos="1080"/>
              </w:tabs>
              <w:spacing w:line="240" w:lineRule="auto"/>
              <w:jc w:val="center"/>
              <w:rPr>
                <w:rFonts w:ascii="Times New Roman" w:hAnsi="Times New Roman" w:cs="Times New Roman"/>
                <w:color w:val="auto"/>
                <w:sz w:val="21"/>
                <w:lang w:eastAsia="zh-CN"/>
              </w:rPr>
            </w:pPr>
          </w:p>
        </w:tc>
        <w:tc>
          <w:tcPr>
            <w:tcW w:w="507" w:type="pct"/>
            <w:vMerge w:val="continue"/>
            <w:vAlign w:val="center"/>
          </w:tcPr>
          <w:p w14:paraId="573D137A">
            <w:pPr>
              <w:pStyle w:val="66"/>
              <w:tabs>
                <w:tab w:val="clear" w:pos="1080"/>
              </w:tabs>
              <w:spacing w:line="240" w:lineRule="auto"/>
              <w:jc w:val="center"/>
              <w:rPr>
                <w:rFonts w:ascii="Times New Roman" w:hAnsi="Times New Roman" w:cs="Times New Roman"/>
                <w:color w:val="auto"/>
                <w:sz w:val="21"/>
                <w:lang w:eastAsia="zh-CN"/>
              </w:rPr>
            </w:pPr>
          </w:p>
        </w:tc>
        <w:tc>
          <w:tcPr>
            <w:tcW w:w="461" w:type="pct"/>
            <w:vMerge w:val="continue"/>
            <w:tcMar>
              <w:left w:w="0" w:type="dxa"/>
              <w:right w:w="0" w:type="dxa"/>
            </w:tcMar>
            <w:vAlign w:val="center"/>
          </w:tcPr>
          <w:p w14:paraId="5D211239">
            <w:pPr>
              <w:pStyle w:val="66"/>
              <w:tabs>
                <w:tab w:val="clear" w:pos="1080"/>
              </w:tabs>
              <w:spacing w:line="240" w:lineRule="auto"/>
              <w:jc w:val="center"/>
              <w:rPr>
                <w:rFonts w:ascii="Times New Roman" w:hAnsi="Times New Roman" w:cs="Times New Roman"/>
                <w:color w:val="auto"/>
                <w:sz w:val="21"/>
                <w:lang w:eastAsia="zh-CN"/>
              </w:rPr>
            </w:pPr>
          </w:p>
        </w:tc>
        <w:tc>
          <w:tcPr>
            <w:tcW w:w="507" w:type="pct"/>
            <w:vMerge w:val="continue"/>
            <w:vAlign w:val="center"/>
          </w:tcPr>
          <w:p w14:paraId="58C50BEB">
            <w:pPr>
              <w:pStyle w:val="66"/>
              <w:tabs>
                <w:tab w:val="clear" w:pos="1080"/>
              </w:tabs>
              <w:spacing w:line="240" w:lineRule="auto"/>
              <w:jc w:val="center"/>
              <w:rPr>
                <w:rFonts w:ascii="Times New Roman" w:hAnsi="Times New Roman" w:cs="Times New Roman"/>
                <w:color w:val="auto"/>
                <w:sz w:val="21"/>
                <w:lang w:eastAsia="zh-CN"/>
              </w:rPr>
            </w:pPr>
          </w:p>
        </w:tc>
        <w:tc>
          <w:tcPr>
            <w:tcW w:w="407" w:type="pct"/>
            <w:tcMar>
              <w:left w:w="0" w:type="dxa"/>
              <w:right w:w="0" w:type="dxa"/>
            </w:tcMar>
            <w:vAlign w:val="center"/>
          </w:tcPr>
          <w:p w14:paraId="1A670FD7">
            <w:pPr>
              <w:pStyle w:val="66"/>
              <w:tabs>
                <w:tab w:val="clear" w:pos="1080"/>
              </w:tabs>
              <w:spacing w:line="240" w:lineRule="auto"/>
              <w:jc w:val="center"/>
              <w:rPr>
                <w:rFonts w:ascii="Times New Roman" w:hAnsi="Times New Roman" w:cs="Times New Roman"/>
                <w:color w:val="auto"/>
                <w:sz w:val="21"/>
                <w:lang w:eastAsia="zh-CN"/>
              </w:rPr>
            </w:pPr>
          </w:p>
        </w:tc>
        <w:tc>
          <w:tcPr>
            <w:tcW w:w="316" w:type="pct"/>
            <w:vAlign w:val="center"/>
          </w:tcPr>
          <w:p w14:paraId="7ED759EF">
            <w:pPr>
              <w:jc w:val="center"/>
              <w:textAlignment w:val="center"/>
              <w:rPr>
                <w:rFonts w:ascii="Times New Roman" w:hAnsi="Times New Roman" w:cs="Times New Roman"/>
                <w:color w:val="auto"/>
                <w:sz w:val="21"/>
                <w:lang w:eastAsia="zh-CN"/>
              </w:rPr>
            </w:pPr>
          </w:p>
        </w:tc>
        <w:tc>
          <w:tcPr>
            <w:tcW w:w="406" w:type="pct"/>
            <w:vMerge w:val="continue"/>
            <w:vAlign w:val="center"/>
          </w:tcPr>
          <w:p w14:paraId="26A213D2">
            <w:pPr>
              <w:jc w:val="center"/>
              <w:rPr>
                <w:rFonts w:ascii="Times New Roman" w:hAnsi="Times New Roman" w:cs="Times New Roman"/>
                <w:color w:val="auto"/>
                <w:sz w:val="21"/>
                <w:lang w:eastAsia="zh-CN" w:bidi="ar"/>
              </w:rPr>
            </w:pPr>
          </w:p>
        </w:tc>
        <w:tc>
          <w:tcPr>
            <w:tcW w:w="345" w:type="pct"/>
            <w:vAlign w:val="center"/>
          </w:tcPr>
          <w:p w14:paraId="32DF2BA4">
            <w:pPr>
              <w:jc w:val="center"/>
              <w:rPr>
                <w:rFonts w:ascii="Times New Roman" w:hAnsi="Times New Roman" w:cs="Times New Roman"/>
                <w:color w:val="auto"/>
                <w:sz w:val="21"/>
                <w:lang w:eastAsia="zh-CN"/>
              </w:rPr>
            </w:pPr>
          </w:p>
        </w:tc>
        <w:tc>
          <w:tcPr>
            <w:tcW w:w="405" w:type="pct"/>
            <w:vAlign w:val="center"/>
          </w:tcPr>
          <w:p w14:paraId="369A0FF1">
            <w:pPr>
              <w:jc w:val="center"/>
              <w:textAlignment w:val="center"/>
              <w:rPr>
                <w:rFonts w:ascii="Times New Roman" w:hAnsi="Times New Roman" w:cs="Times New Roman"/>
                <w:color w:val="auto"/>
                <w:sz w:val="21"/>
                <w:lang w:eastAsia="zh-CN"/>
              </w:rPr>
            </w:pPr>
          </w:p>
        </w:tc>
        <w:tc>
          <w:tcPr>
            <w:tcW w:w="278" w:type="pct"/>
            <w:vMerge w:val="continue"/>
            <w:vAlign w:val="center"/>
          </w:tcPr>
          <w:p w14:paraId="4F625077">
            <w:pPr>
              <w:jc w:val="center"/>
              <w:textAlignment w:val="center"/>
              <w:rPr>
                <w:rFonts w:ascii="Times New Roman" w:hAnsi="Times New Roman" w:cs="Times New Roman"/>
                <w:color w:val="auto"/>
                <w:sz w:val="21"/>
              </w:rPr>
            </w:pPr>
          </w:p>
        </w:tc>
      </w:tr>
      <w:tr w14:paraId="3D51FA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96" w:type="pct"/>
            <w:vMerge w:val="continue"/>
            <w:tcMar>
              <w:left w:w="0" w:type="dxa"/>
              <w:right w:w="0" w:type="dxa"/>
            </w:tcMar>
            <w:vAlign w:val="center"/>
          </w:tcPr>
          <w:p w14:paraId="1C16CB39">
            <w:pPr>
              <w:jc w:val="center"/>
              <w:rPr>
                <w:rFonts w:ascii="Times New Roman" w:hAnsi="Times New Roman" w:cs="Times New Roman"/>
                <w:color w:val="auto"/>
                <w:sz w:val="21"/>
                <w:lang w:bidi="ar"/>
              </w:rPr>
            </w:pPr>
          </w:p>
        </w:tc>
        <w:tc>
          <w:tcPr>
            <w:tcW w:w="1172" w:type="pct"/>
            <w:gridSpan w:val="3"/>
            <w:vMerge w:val="continue"/>
            <w:vAlign w:val="center"/>
          </w:tcPr>
          <w:p w14:paraId="317F0966">
            <w:pPr>
              <w:pStyle w:val="66"/>
              <w:tabs>
                <w:tab w:val="clear" w:pos="1080"/>
              </w:tabs>
              <w:spacing w:line="240" w:lineRule="auto"/>
              <w:jc w:val="center"/>
              <w:rPr>
                <w:rFonts w:ascii="Times New Roman" w:hAnsi="Times New Roman" w:cs="Times New Roman"/>
                <w:color w:val="auto"/>
                <w:sz w:val="21"/>
                <w:lang w:eastAsia="zh-CN"/>
              </w:rPr>
            </w:pPr>
          </w:p>
        </w:tc>
        <w:tc>
          <w:tcPr>
            <w:tcW w:w="507" w:type="pct"/>
            <w:vMerge w:val="continue"/>
            <w:vAlign w:val="center"/>
          </w:tcPr>
          <w:p w14:paraId="719850AA">
            <w:pPr>
              <w:pStyle w:val="66"/>
              <w:tabs>
                <w:tab w:val="clear" w:pos="1080"/>
              </w:tabs>
              <w:spacing w:line="240" w:lineRule="auto"/>
              <w:jc w:val="center"/>
              <w:rPr>
                <w:rFonts w:ascii="Times New Roman" w:hAnsi="Times New Roman" w:cs="Times New Roman"/>
                <w:color w:val="auto"/>
                <w:sz w:val="21"/>
                <w:lang w:eastAsia="zh-CN"/>
              </w:rPr>
            </w:pPr>
          </w:p>
        </w:tc>
        <w:tc>
          <w:tcPr>
            <w:tcW w:w="461" w:type="pct"/>
            <w:vMerge w:val="continue"/>
            <w:tcMar>
              <w:left w:w="0" w:type="dxa"/>
              <w:right w:w="0" w:type="dxa"/>
            </w:tcMar>
            <w:vAlign w:val="center"/>
          </w:tcPr>
          <w:p w14:paraId="7B5B75F3">
            <w:pPr>
              <w:pStyle w:val="66"/>
              <w:tabs>
                <w:tab w:val="clear" w:pos="1080"/>
              </w:tabs>
              <w:spacing w:line="240" w:lineRule="auto"/>
              <w:jc w:val="center"/>
              <w:rPr>
                <w:rFonts w:ascii="Times New Roman" w:hAnsi="Times New Roman" w:cs="Times New Roman"/>
                <w:color w:val="auto"/>
                <w:sz w:val="21"/>
                <w:lang w:eastAsia="zh-CN"/>
              </w:rPr>
            </w:pPr>
          </w:p>
        </w:tc>
        <w:tc>
          <w:tcPr>
            <w:tcW w:w="507" w:type="pct"/>
            <w:vMerge w:val="continue"/>
            <w:vAlign w:val="center"/>
          </w:tcPr>
          <w:p w14:paraId="7EC8F691">
            <w:pPr>
              <w:pStyle w:val="66"/>
              <w:tabs>
                <w:tab w:val="clear" w:pos="1080"/>
              </w:tabs>
              <w:spacing w:line="240" w:lineRule="auto"/>
              <w:jc w:val="center"/>
              <w:rPr>
                <w:rFonts w:ascii="Times New Roman" w:hAnsi="Times New Roman" w:cs="Times New Roman"/>
                <w:color w:val="auto"/>
                <w:sz w:val="21"/>
                <w:lang w:eastAsia="zh-CN"/>
              </w:rPr>
            </w:pPr>
          </w:p>
        </w:tc>
        <w:tc>
          <w:tcPr>
            <w:tcW w:w="407" w:type="pct"/>
            <w:tcMar>
              <w:left w:w="0" w:type="dxa"/>
              <w:right w:w="0" w:type="dxa"/>
            </w:tcMar>
            <w:vAlign w:val="center"/>
          </w:tcPr>
          <w:p w14:paraId="7EA80C49">
            <w:pPr>
              <w:pStyle w:val="66"/>
              <w:tabs>
                <w:tab w:val="clear" w:pos="1080"/>
              </w:tabs>
              <w:spacing w:line="240" w:lineRule="auto"/>
              <w:jc w:val="center"/>
              <w:rPr>
                <w:rFonts w:ascii="Times New Roman" w:hAnsi="Times New Roman" w:cs="Times New Roman"/>
                <w:color w:val="auto"/>
                <w:sz w:val="21"/>
                <w:lang w:eastAsia="zh-CN"/>
              </w:rPr>
            </w:pPr>
          </w:p>
        </w:tc>
        <w:tc>
          <w:tcPr>
            <w:tcW w:w="316" w:type="pct"/>
            <w:vAlign w:val="center"/>
          </w:tcPr>
          <w:p w14:paraId="0FEC5737">
            <w:pPr>
              <w:jc w:val="center"/>
              <w:textAlignment w:val="center"/>
              <w:rPr>
                <w:rFonts w:ascii="Times New Roman" w:hAnsi="Times New Roman" w:cs="Times New Roman"/>
                <w:color w:val="auto"/>
                <w:sz w:val="21"/>
                <w:lang w:eastAsia="zh-CN"/>
              </w:rPr>
            </w:pPr>
          </w:p>
        </w:tc>
        <w:tc>
          <w:tcPr>
            <w:tcW w:w="406" w:type="pct"/>
            <w:vMerge w:val="continue"/>
            <w:vAlign w:val="center"/>
          </w:tcPr>
          <w:p w14:paraId="78DA94D8">
            <w:pPr>
              <w:jc w:val="center"/>
              <w:rPr>
                <w:rFonts w:ascii="Times New Roman" w:hAnsi="Times New Roman" w:cs="Times New Roman"/>
                <w:color w:val="auto"/>
                <w:sz w:val="21"/>
                <w:lang w:eastAsia="zh-CN" w:bidi="ar"/>
              </w:rPr>
            </w:pPr>
          </w:p>
        </w:tc>
        <w:tc>
          <w:tcPr>
            <w:tcW w:w="345" w:type="pct"/>
            <w:vAlign w:val="center"/>
          </w:tcPr>
          <w:p w14:paraId="748D27B0">
            <w:pPr>
              <w:jc w:val="center"/>
              <w:rPr>
                <w:rFonts w:ascii="Times New Roman" w:hAnsi="Times New Roman" w:cs="Times New Roman"/>
                <w:color w:val="auto"/>
                <w:sz w:val="21"/>
                <w:lang w:eastAsia="zh-CN"/>
              </w:rPr>
            </w:pPr>
          </w:p>
        </w:tc>
        <w:tc>
          <w:tcPr>
            <w:tcW w:w="405" w:type="pct"/>
            <w:vAlign w:val="center"/>
          </w:tcPr>
          <w:p w14:paraId="663889A4">
            <w:pPr>
              <w:jc w:val="center"/>
              <w:textAlignment w:val="center"/>
              <w:rPr>
                <w:rFonts w:ascii="Times New Roman" w:hAnsi="Times New Roman" w:cs="Times New Roman"/>
                <w:color w:val="auto"/>
                <w:sz w:val="21"/>
                <w:lang w:eastAsia="zh-CN"/>
              </w:rPr>
            </w:pPr>
          </w:p>
        </w:tc>
        <w:tc>
          <w:tcPr>
            <w:tcW w:w="278" w:type="pct"/>
            <w:vMerge w:val="continue"/>
            <w:vAlign w:val="center"/>
          </w:tcPr>
          <w:p w14:paraId="2205386A">
            <w:pPr>
              <w:jc w:val="center"/>
              <w:textAlignment w:val="center"/>
              <w:rPr>
                <w:rFonts w:ascii="Times New Roman" w:hAnsi="Times New Roman" w:cs="Times New Roman"/>
                <w:color w:val="auto"/>
                <w:sz w:val="21"/>
              </w:rPr>
            </w:pPr>
          </w:p>
        </w:tc>
      </w:tr>
      <w:tr w14:paraId="64B38D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6" w:type="pct"/>
            <w:tcMar>
              <w:left w:w="0" w:type="dxa"/>
              <w:right w:w="0" w:type="dxa"/>
            </w:tcMar>
            <w:vAlign w:val="center"/>
          </w:tcPr>
          <w:p w14:paraId="0B7539BA">
            <w:pPr>
              <w:jc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3</w:t>
            </w:r>
          </w:p>
        </w:tc>
        <w:tc>
          <w:tcPr>
            <w:tcW w:w="1172" w:type="pct"/>
            <w:gridSpan w:val="3"/>
            <w:vAlign w:val="center"/>
          </w:tcPr>
          <w:p w14:paraId="2B3455E9">
            <w:pPr>
              <w:pStyle w:val="66"/>
              <w:tabs>
                <w:tab w:val="clear" w:pos="1080"/>
              </w:tabs>
              <w:spacing w:line="240" w:lineRule="auto"/>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刻蚀液</w:t>
            </w:r>
          </w:p>
        </w:tc>
        <w:tc>
          <w:tcPr>
            <w:tcW w:w="507" w:type="pct"/>
            <w:vAlign w:val="center"/>
          </w:tcPr>
          <w:p w14:paraId="11D08E1C">
            <w:pPr>
              <w:pStyle w:val="66"/>
              <w:tabs>
                <w:tab w:val="clear" w:pos="1080"/>
              </w:tabs>
              <w:spacing w:line="240" w:lineRule="auto"/>
              <w:jc w:val="center"/>
              <w:rPr>
                <w:rFonts w:ascii="Times New Roman" w:hAnsi="Times New Roman" w:cs="Times New Roman"/>
                <w:color w:val="auto"/>
                <w:sz w:val="21"/>
                <w:lang w:eastAsia="zh-CN"/>
              </w:rPr>
            </w:pPr>
          </w:p>
        </w:tc>
        <w:tc>
          <w:tcPr>
            <w:tcW w:w="461" w:type="pct"/>
            <w:tcMar>
              <w:left w:w="0" w:type="dxa"/>
              <w:right w:w="0" w:type="dxa"/>
            </w:tcMar>
            <w:vAlign w:val="center"/>
          </w:tcPr>
          <w:p w14:paraId="08E88012">
            <w:pPr>
              <w:pStyle w:val="66"/>
              <w:tabs>
                <w:tab w:val="clear" w:pos="1080"/>
              </w:tabs>
              <w:spacing w:line="240" w:lineRule="auto"/>
              <w:jc w:val="center"/>
              <w:rPr>
                <w:rFonts w:ascii="Times New Roman" w:hAnsi="Times New Roman" w:cs="Times New Roman"/>
                <w:color w:val="auto"/>
                <w:sz w:val="21"/>
                <w:lang w:eastAsia="zh-CN"/>
              </w:rPr>
            </w:pPr>
          </w:p>
        </w:tc>
        <w:tc>
          <w:tcPr>
            <w:tcW w:w="507" w:type="pct"/>
            <w:vAlign w:val="center"/>
          </w:tcPr>
          <w:p w14:paraId="5A85F958">
            <w:pPr>
              <w:pStyle w:val="66"/>
              <w:tabs>
                <w:tab w:val="clear" w:pos="1080"/>
              </w:tabs>
              <w:spacing w:line="240" w:lineRule="auto"/>
              <w:jc w:val="center"/>
              <w:rPr>
                <w:rFonts w:ascii="Times New Roman" w:hAnsi="Times New Roman" w:cs="Times New Roman"/>
                <w:color w:val="auto"/>
                <w:sz w:val="21"/>
                <w:lang w:eastAsia="zh-CN"/>
              </w:rPr>
            </w:pPr>
          </w:p>
        </w:tc>
        <w:tc>
          <w:tcPr>
            <w:tcW w:w="407" w:type="pct"/>
            <w:tcMar>
              <w:left w:w="0" w:type="dxa"/>
              <w:right w:w="0" w:type="dxa"/>
            </w:tcMar>
            <w:vAlign w:val="center"/>
          </w:tcPr>
          <w:p w14:paraId="60BB97C2">
            <w:pPr>
              <w:pStyle w:val="66"/>
              <w:tabs>
                <w:tab w:val="clear" w:pos="1080"/>
              </w:tabs>
              <w:spacing w:line="240" w:lineRule="auto"/>
              <w:jc w:val="center"/>
              <w:rPr>
                <w:rFonts w:ascii="Times New Roman" w:hAnsi="Times New Roman" w:cs="Times New Roman"/>
                <w:color w:val="auto"/>
                <w:sz w:val="21"/>
                <w:lang w:eastAsia="zh-CN"/>
              </w:rPr>
            </w:pPr>
          </w:p>
        </w:tc>
        <w:tc>
          <w:tcPr>
            <w:tcW w:w="316" w:type="pct"/>
            <w:vAlign w:val="center"/>
          </w:tcPr>
          <w:p w14:paraId="17B9D1CF">
            <w:pPr>
              <w:jc w:val="center"/>
              <w:textAlignment w:val="center"/>
              <w:rPr>
                <w:rFonts w:ascii="Times New Roman" w:hAnsi="Times New Roman" w:cs="Times New Roman"/>
                <w:color w:val="auto"/>
                <w:sz w:val="21"/>
                <w:lang w:eastAsia="zh-CN"/>
              </w:rPr>
            </w:pPr>
          </w:p>
        </w:tc>
        <w:tc>
          <w:tcPr>
            <w:tcW w:w="406" w:type="pct"/>
            <w:vAlign w:val="center"/>
          </w:tcPr>
          <w:p w14:paraId="4EB2ADFE">
            <w:pPr>
              <w:jc w:val="center"/>
              <w:rPr>
                <w:rFonts w:ascii="Times New Roman" w:hAnsi="Times New Roman" w:cs="Times New Roman"/>
                <w:color w:val="auto"/>
                <w:sz w:val="21"/>
                <w:lang w:eastAsia="zh-CN" w:bidi="ar"/>
              </w:rPr>
            </w:pPr>
          </w:p>
        </w:tc>
        <w:tc>
          <w:tcPr>
            <w:tcW w:w="345" w:type="pct"/>
            <w:vAlign w:val="center"/>
          </w:tcPr>
          <w:p w14:paraId="37C9C12A">
            <w:pPr>
              <w:jc w:val="center"/>
              <w:rPr>
                <w:rFonts w:ascii="Times New Roman" w:hAnsi="Times New Roman" w:cs="Times New Roman"/>
                <w:color w:val="auto"/>
                <w:sz w:val="21"/>
                <w:lang w:eastAsia="zh-CN"/>
              </w:rPr>
            </w:pPr>
          </w:p>
        </w:tc>
        <w:tc>
          <w:tcPr>
            <w:tcW w:w="405" w:type="pct"/>
            <w:vAlign w:val="center"/>
          </w:tcPr>
          <w:p w14:paraId="52044492">
            <w:pPr>
              <w:jc w:val="center"/>
              <w:textAlignment w:val="center"/>
              <w:rPr>
                <w:rFonts w:ascii="Times New Roman" w:hAnsi="Times New Roman" w:cs="Times New Roman"/>
                <w:color w:val="auto"/>
                <w:sz w:val="21"/>
                <w:lang w:eastAsia="zh-CN"/>
              </w:rPr>
            </w:pPr>
          </w:p>
        </w:tc>
        <w:tc>
          <w:tcPr>
            <w:tcW w:w="278" w:type="pct"/>
            <w:vAlign w:val="center"/>
          </w:tcPr>
          <w:p w14:paraId="08C7667D">
            <w:pPr>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rPr>
              <w:t>汽车运输</w:t>
            </w:r>
          </w:p>
        </w:tc>
      </w:tr>
    </w:tbl>
    <w:p w14:paraId="5772778F">
      <w:pPr>
        <w:spacing w:before="163" w:beforeLines="50"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表4.1-</w:t>
      </w:r>
      <w:r>
        <w:rPr>
          <w:rFonts w:hint="eastAsia" w:ascii="Times New Roman" w:hAnsi="Times New Roman" w:cs="Times New Roman"/>
          <w:b/>
          <w:bCs/>
          <w:color w:val="auto"/>
          <w:lang w:eastAsia="zh-CN"/>
        </w:rPr>
        <w:t>8</w:t>
      </w:r>
      <w:r>
        <w:rPr>
          <w:rFonts w:ascii="Times New Roman" w:hAnsi="Times New Roman" w:cs="Times New Roman"/>
          <w:b/>
          <w:bCs/>
          <w:color w:val="auto"/>
          <w:lang w:eastAsia="zh-CN"/>
        </w:rPr>
        <w:t xml:space="preserve">  各产品原辅材料消耗一览表</w:t>
      </w:r>
    </w:p>
    <w:tbl>
      <w:tblPr>
        <w:tblStyle w:val="35"/>
        <w:tblW w:w="4991"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903"/>
        <w:gridCol w:w="3355"/>
        <w:gridCol w:w="1432"/>
        <w:gridCol w:w="2229"/>
        <w:gridCol w:w="6005"/>
        <w:gridCol w:w="9"/>
      </w:tblGrid>
      <w:tr w14:paraId="2676626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324" w:type="pct"/>
            <w:vAlign w:val="center"/>
          </w:tcPr>
          <w:p w14:paraId="5D61876F">
            <w:pPr>
              <w:spacing w:before="60" w:after="6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14:textFill>
                  <w14:solidFill>
                    <w14:schemeClr w14:val="tx1"/>
                  </w14:solidFill>
                </w14:textFill>
              </w:rPr>
              <w:t>序号</w:t>
            </w:r>
          </w:p>
        </w:tc>
        <w:tc>
          <w:tcPr>
            <w:tcW w:w="1204" w:type="pct"/>
            <w:vAlign w:val="center"/>
          </w:tcPr>
          <w:p w14:paraId="0195890A">
            <w:pPr>
              <w:spacing w:before="60" w:after="6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14:textFill>
                  <w14:solidFill>
                    <w14:schemeClr w14:val="tx1"/>
                  </w14:solidFill>
                </w14:textFill>
              </w:rPr>
              <w:t>原料名称</w:t>
            </w:r>
          </w:p>
        </w:tc>
        <w:tc>
          <w:tcPr>
            <w:tcW w:w="514" w:type="pct"/>
            <w:vAlign w:val="center"/>
          </w:tcPr>
          <w:p w14:paraId="60B704B2">
            <w:pPr>
              <w:spacing w:before="60" w:after="6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14:textFill>
                  <w14:solidFill>
                    <w14:schemeClr w14:val="tx1"/>
                  </w14:solidFill>
                </w14:textFill>
              </w:rPr>
              <w:t>形态</w:t>
            </w:r>
          </w:p>
        </w:tc>
        <w:tc>
          <w:tcPr>
            <w:tcW w:w="800" w:type="pct"/>
            <w:tcBorders>
              <w:right w:val="single" w:color="auto" w:sz="4" w:space="0"/>
            </w:tcBorders>
            <w:vAlign w:val="center"/>
          </w:tcPr>
          <w:p w14:paraId="683C061E">
            <w:pPr>
              <w:spacing w:before="60" w:after="6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14:textFill>
                  <w14:solidFill>
                    <w14:schemeClr w14:val="tx1"/>
                  </w14:solidFill>
                </w14:textFill>
              </w:rPr>
              <w:t>产品消耗</w:t>
            </w:r>
            <w:r>
              <w:rPr>
                <w:rFonts w:ascii="Times New Roman" w:hAnsi="Times New Roman" w:cs="Times New Roman"/>
                <w:b/>
                <w:bCs/>
                <w:color w:val="000000" w:themeColor="text1"/>
                <w:sz w:val="21"/>
                <w:lang w:eastAsia="zh-CN"/>
                <w14:textFill>
                  <w14:solidFill>
                    <w14:schemeClr w14:val="tx1"/>
                  </w14:solidFill>
                </w14:textFill>
              </w:rPr>
              <w:t>（</w:t>
            </w:r>
            <w:r>
              <w:rPr>
                <w:rFonts w:ascii="Times New Roman" w:hAnsi="Times New Roman" w:cs="Times New Roman"/>
                <w:b/>
                <w:bCs/>
                <w:color w:val="000000" w:themeColor="text1"/>
                <w:sz w:val="21"/>
                <w14:textFill>
                  <w14:solidFill>
                    <w14:schemeClr w14:val="tx1"/>
                  </w14:solidFill>
                </w14:textFill>
              </w:rPr>
              <w:t>t/a</w:t>
            </w:r>
            <w:r>
              <w:rPr>
                <w:rFonts w:ascii="Times New Roman" w:hAnsi="Times New Roman" w:cs="Times New Roman"/>
                <w:b/>
                <w:bCs/>
                <w:color w:val="000000" w:themeColor="text1"/>
                <w:sz w:val="21"/>
                <w:lang w:eastAsia="zh-CN"/>
                <w14:textFill>
                  <w14:solidFill>
                    <w14:schemeClr w14:val="tx1"/>
                  </w14:solidFill>
                </w14:textFill>
              </w:rPr>
              <w:t>）</w:t>
            </w:r>
          </w:p>
        </w:tc>
        <w:tc>
          <w:tcPr>
            <w:tcW w:w="2158" w:type="pct"/>
            <w:gridSpan w:val="2"/>
            <w:vAlign w:val="center"/>
          </w:tcPr>
          <w:p w14:paraId="61C38FF4">
            <w:pPr>
              <w:spacing w:before="60" w:after="6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14:textFill>
                  <w14:solidFill>
                    <w14:schemeClr w14:val="tx1"/>
                  </w14:solidFill>
                </w14:textFill>
              </w:rPr>
              <w:t>物料投加方式</w:t>
            </w:r>
          </w:p>
        </w:tc>
      </w:tr>
      <w:tr w14:paraId="7FB40E3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gridAfter w:val="1"/>
          <w:wAfter w:w="3" w:type="pct"/>
          <w:trHeight w:val="340" w:hRule="atLeast"/>
          <w:jc w:val="center"/>
        </w:trPr>
        <w:tc>
          <w:tcPr>
            <w:tcW w:w="4997" w:type="pct"/>
            <w:gridSpan w:val="5"/>
            <w:vAlign w:val="center"/>
          </w:tcPr>
          <w:p w14:paraId="26AAC0D2">
            <w:pPr>
              <w:spacing w:before="60" w:after="6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一、电子级氢氟酸</w:t>
            </w:r>
          </w:p>
        </w:tc>
      </w:tr>
      <w:tr w14:paraId="3753442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gridAfter w:val="1"/>
          <w:wAfter w:w="3" w:type="pct"/>
          <w:trHeight w:val="340" w:hRule="atLeast"/>
          <w:jc w:val="center"/>
        </w:trPr>
        <w:tc>
          <w:tcPr>
            <w:tcW w:w="324" w:type="pct"/>
            <w:vAlign w:val="center"/>
          </w:tcPr>
          <w:p w14:paraId="3992D463">
            <w:pPr>
              <w:spacing w:before="60" w:after="60"/>
              <w:jc w:val="center"/>
              <w:textAlignment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bidi="ar"/>
                <w14:textFill>
                  <w14:solidFill>
                    <w14:schemeClr w14:val="tx1"/>
                  </w14:solidFill>
                </w14:textFill>
              </w:rPr>
              <w:t>1</w:t>
            </w:r>
          </w:p>
        </w:tc>
        <w:tc>
          <w:tcPr>
            <w:tcW w:w="1204" w:type="pct"/>
            <w:vAlign w:val="center"/>
          </w:tcPr>
          <w:p w14:paraId="50EAA39E">
            <w:pPr>
              <w:spacing w:before="60" w:after="60"/>
              <w:jc w:val="center"/>
              <w:textAlignment w:val="center"/>
              <w:rPr>
                <w:rFonts w:ascii="Times New Roman" w:hAnsi="Times New Roman" w:cs="Times New Roman"/>
                <w:color w:val="000000" w:themeColor="text1"/>
                <w:sz w:val="21"/>
                <w14:textFill>
                  <w14:solidFill>
                    <w14:schemeClr w14:val="tx1"/>
                  </w14:solidFill>
                </w14:textFill>
              </w:rPr>
            </w:pPr>
          </w:p>
        </w:tc>
        <w:tc>
          <w:tcPr>
            <w:tcW w:w="514" w:type="pct"/>
            <w:vAlign w:val="center"/>
          </w:tcPr>
          <w:p w14:paraId="5493D371">
            <w:pPr>
              <w:spacing w:before="60" w:after="60"/>
              <w:jc w:val="center"/>
              <w:rPr>
                <w:rFonts w:ascii="Times New Roman" w:hAnsi="Times New Roman" w:cs="Times New Roman"/>
                <w:color w:val="000000" w:themeColor="text1"/>
                <w:sz w:val="21"/>
                <w:lang w:eastAsia="zh-CN"/>
                <w14:textFill>
                  <w14:solidFill>
                    <w14:schemeClr w14:val="tx1"/>
                  </w14:solidFill>
                </w14:textFill>
              </w:rPr>
            </w:pPr>
          </w:p>
        </w:tc>
        <w:tc>
          <w:tcPr>
            <w:tcW w:w="800" w:type="pct"/>
            <w:vAlign w:val="center"/>
          </w:tcPr>
          <w:p w14:paraId="4623773C">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155" w:type="pct"/>
            <w:tcBorders>
              <w:left w:val="single" w:color="auto" w:sz="4" w:space="0"/>
            </w:tcBorders>
            <w:vAlign w:val="center"/>
          </w:tcPr>
          <w:p w14:paraId="59A202D3">
            <w:pPr>
              <w:spacing w:before="60" w:after="60"/>
              <w:jc w:val="center"/>
              <w:rPr>
                <w:rFonts w:ascii="Times New Roman" w:hAnsi="Times New Roman" w:cs="Times New Roman"/>
                <w:color w:val="000000" w:themeColor="text1"/>
                <w:sz w:val="21"/>
                <w:lang w:eastAsia="zh-CN"/>
                <w14:textFill>
                  <w14:solidFill>
                    <w14:schemeClr w14:val="tx1"/>
                  </w14:solidFill>
                </w14:textFill>
              </w:rPr>
            </w:pPr>
          </w:p>
        </w:tc>
      </w:tr>
      <w:tr w14:paraId="46935AD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gridAfter w:val="1"/>
          <w:wAfter w:w="3" w:type="pct"/>
          <w:trHeight w:val="340" w:hRule="atLeast"/>
          <w:jc w:val="center"/>
        </w:trPr>
        <w:tc>
          <w:tcPr>
            <w:tcW w:w="324" w:type="pct"/>
            <w:vAlign w:val="center"/>
          </w:tcPr>
          <w:p w14:paraId="106B3EED">
            <w:pPr>
              <w:spacing w:before="60" w:after="60"/>
              <w:jc w:val="center"/>
              <w:textAlignment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bidi="ar"/>
                <w14:textFill>
                  <w14:solidFill>
                    <w14:schemeClr w14:val="tx1"/>
                  </w14:solidFill>
                </w14:textFill>
              </w:rPr>
              <w:t>2</w:t>
            </w:r>
          </w:p>
        </w:tc>
        <w:tc>
          <w:tcPr>
            <w:tcW w:w="1204" w:type="pct"/>
            <w:vAlign w:val="center"/>
          </w:tcPr>
          <w:p w14:paraId="7D59D5FF">
            <w:pPr>
              <w:spacing w:before="60" w:after="60"/>
              <w:jc w:val="center"/>
              <w:textAlignment w:val="center"/>
              <w:rPr>
                <w:rFonts w:ascii="Times New Roman" w:hAnsi="Times New Roman" w:cs="Times New Roman"/>
                <w:color w:val="000000" w:themeColor="text1"/>
                <w:sz w:val="21"/>
                <w:lang w:val="zh-CN" w:eastAsia="zh-CN"/>
                <w14:textFill>
                  <w14:solidFill>
                    <w14:schemeClr w14:val="tx1"/>
                  </w14:solidFill>
                </w14:textFill>
              </w:rPr>
            </w:pPr>
          </w:p>
        </w:tc>
        <w:tc>
          <w:tcPr>
            <w:tcW w:w="514" w:type="pct"/>
            <w:vAlign w:val="center"/>
          </w:tcPr>
          <w:p w14:paraId="7A7397E9">
            <w:pPr>
              <w:spacing w:before="60" w:after="60"/>
              <w:jc w:val="center"/>
              <w:rPr>
                <w:rFonts w:ascii="Times New Roman" w:hAnsi="Times New Roman" w:cs="Times New Roman"/>
                <w:color w:val="000000" w:themeColor="text1"/>
                <w:sz w:val="21"/>
                <w14:textFill>
                  <w14:solidFill>
                    <w14:schemeClr w14:val="tx1"/>
                  </w14:solidFill>
                </w14:textFill>
              </w:rPr>
            </w:pPr>
          </w:p>
        </w:tc>
        <w:tc>
          <w:tcPr>
            <w:tcW w:w="800" w:type="pct"/>
            <w:vAlign w:val="center"/>
          </w:tcPr>
          <w:p w14:paraId="3F97C4A6">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155" w:type="pct"/>
            <w:vAlign w:val="center"/>
          </w:tcPr>
          <w:p w14:paraId="3C5FE9A6">
            <w:pPr>
              <w:spacing w:before="60" w:after="60"/>
              <w:jc w:val="center"/>
              <w:rPr>
                <w:rFonts w:ascii="Times New Roman" w:hAnsi="Times New Roman" w:cs="Times New Roman"/>
                <w:color w:val="000000" w:themeColor="text1"/>
                <w:sz w:val="21"/>
                <w:lang w:eastAsia="zh-CN"/>
                <w14:textFill>
                  <w14:solidFill>
                    <w14:schemeClr w14:val="tx1"/>
                  </w14:solidFill>
                </w14:textFill>
              </w:rPr>
            </w:pPr>
          </w:p>
        </w:tc>
      </w:tr>
      <w:tr w14:paraId="34B5FE2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gridAfter w:val="1"/>
          <w:wAfter w:w="3" w:type="pct"/>
          <w:trHeight w:val="340" w:hRule="atLeast"/>
          <w:jc w:val="center"/>
        </w:trPr>
        <w:tc>
          <w:tcPr>
            <w:tcW w:w="4997" w:type="pct"/>
            <w:gridSpan w:val="5"/>
            <w:vAlign w:val="center"/>
          </w:tcPr>
          <w:p w14:paraId="1E12077D">
            <w:pPr>
              <w:spacing w:before="60" w:after="6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二、化学纯氢氟酸</w:t>
            </w:r>
          </w:p>
        </w:tc>
      </w:tr>
      <w:tr w14:paraId="3975121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324" w:type="pct"/>
            <w:vAlign w:val="center"/>
          </w:tcPr>
          <w:p w14:paraId="44E423C4">
            <w:pPr>
              <w:spacing w:before="60" w:after="60"/>
              <w:jc w:val="center"/>
              <w:textAlignment w:val="center"/>
              <w:rPr>
                <w:rFonts w:ascii="Times New Roman" w:hAnsi="Times New Roman" w:cs="Times New Roman"/>
                <w:color w:val="000000" w:themeColor="text1"/>
                <w:sz w:val="21"/>
                <w:lang w:val="zh-CN"/>
                <w14:textFill>
                  <w14:solidFill>
                    <w14:schemeClr w14:val="tx1"/>
                  </w14:solidFill>
                </w14:textFill>
              </w:rPr>
            </w:pPr>
            <w:r>
              <w:rPr>
                <w:rFonts w:ascii="Times New Roman" w:hAnsi="Times New Roman" w:cs="Times New Roman"/>
                <w:color w:val="000000" w:themeColor="text1"/>
                <w:sz w:val="21"/>
                <w:lang w:bidi="ar"/>
                <w14:textFill>
                  <w14:solidFill>
                    <w14:schemeClr w14:val="tx1"/>
                  </w14:solidFill>
                </w14:textFill>
              </w:rPr>
              <w:t>1</w:t>
            </w:r>
          </w:p>
        </w:tc>
        <w:tc>
          <w:tcPr>
            <w:tcW w:w="1204" w:type="pct"/>
            <w:vAlign w:val="center"/>
          </w:tcPr>
          <w:p w14:paraId="7F3CEADE">
            <w:pPr>
              <w:spacing w:before="60" w:after="60"/>
              <w:jc w:val="center"/>
              <w:textAlignment w:val="center"/>
              <w:rPr>
                <w:rFonts w:ascii="Times New Roman" w:hAnsi="Times New Roman" w:cs="Times New Roman"/>
                <w:color w:val="000000" w:themeColor="text1"/>
                <w:sz w:val="21"/>
                <w14:textFill>
                  <w14:solidFill>
                    <w14:schemeClr w14:val="tx1"/>
                  </w14:solidFill>
                </w14:textFill>
              </w:rPr>
            </w:pPr>
          </w:p>
        </w:tc>
        <w:tc>
          <w:tcPr>
            <w:tcW w:w="514" w:type="pct"/>
            <w:tcBorders>
              <w:right w:val="single" w:color="auto" w:sz="4" w:space="0"/>
            </w:tcBorders>
            <w:vAlign w:val="center"/>
          </w:tcPr>
          <w:p w14:paraId="5F0B5097">
            <w:pPr>
              <w:spacing w:before="60" w:after="60"/>
              <w:jc w:val="center"/>
              <w:rPr>
                <w:rFonts w:ascii="Times New Roman" w:hAnsi="Times New Roman" w:cs="Times New Roman"/>
                <w:color w:val="000000" w:themeColor="text1"/>
                <w:sz w:val="21"/>
                <w14:textFill>
                  <w14:solidFill>
                    <w14:schemeClr w14:val="tx1"/>
                  </w14:solidFill>
                </w14:textFill>
              </w:rPr>
            </w:pPr>
          </w:p>
        </w:tc>
        <w:tc>
          <w:tcPr>
            <w:tcW w:w="800" w:type="pct"/>
            <w:tcBorders>
              <w:right w:val="single" w:color="auto" w:sz="4" w:space="0"/>
            </w:tcBorders>
            <w:vAlign w:val="center"/>
          </w:tcPr>
          <w:p w14:paraId="501F9A21">
            <w:pPr>
              <w:jc w:val="center"/>
              <w:rPr>
                <w:rFonts w:ascii="Times New Roman" w:hAnsi="Times New Roman" w:cs="Times New Roman"/>
                <w:color w:val="000000" w:themeColor="text1"/>
                <w:sz w:val="21"/>
                <w14:textFill>
                  <w14:solidFill>
                    <w14:schemeClr w14:val="tx1"/>
                  </w14:solidFill>
                </w14:textFill>
              </w:rPr>
            </w:pPr>
          </w:p>
        </w:tc>
        <w:tc>
          <w:tcPr>
            <w:tcW w:w="2158" w:type="pct"/>
            <w:gridSpan w:val="2"/>
            <w:vAlign w:val="center"/>
          </w:tcPr>
          <w:p w14:paraId="6768C5B1">
            <w:pPr>
              <w:spacing w:before="60" w:after="60"/>
              <w:jc w:val="center"/>
              <w:rPr>
                <w:rFonts w:ascii="Times New Roman" w:hAnsi="Times New Roman" w:cs="Times New Roman"/>
                <w:color w:val="000000" w:themeColor="text1"/>
                <w:sz w:val="21"/>
                <w:lang w:eastAsia="zh-CN"/>
                <w14:textFill>
                  <w14:solidFill>
                    <w14:schemeClr w14:val="tx1"/>
                  </w14:solidFill>
                </w14:textFill>
              </w:rPr>
            </w:pPr>
          </w:p>
        </w:tc>
      </w:tr>
      <w:tr w14:paraId="4F8CF89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324" w:type="pct"/>
            <w:vAlign w:val="center"/>
          </w:tcPr>
          <w:p w14:paraId="5B448AD8">
            <w:pPr>
              <w:spacing w:before="60" w:after="60"/>
              <w:jc w:val="center"/>
              <w:textAlignment w:val="center"/>
              <w:rPr>
                <w:rFonts w:ascii="Times New Roman" w:hAnsi="Times New Roman" w:cs="Times New Roman"/>
                <w:color w:val="000000" w:themeColor="text1"/>
                <w:sz w:val="21"/>
                <w:lang w:val="zh-CN"/>
                <w14:textFill>
                  <w14:solidFill>
                    <w14:schemeClr w14:val="tx1"/>
                  </w14:solidFill>
                </w14:textFill>
              </w:rPr>
            </w:pPr>
            <w:r>
              <w:rPr>
                <w:rFonts w:ascii="Times New Roman" w:hAnsi="Times New Roman" w:cs="Times New Roman"/>
                <w:color w:val="000000" w:themeColor="text1"/>
                <w:sz w:val="21"/>
                <w:lang w:bidi="ar"/>
                <w14:textFill>
                  <w14:solidFill>
                    <w14:schemeClr w14:val="tx1"/>
                  </w14:solidFill>
                </w14:textFill>
              </w:rPr>
              <w:t>2</w:t>
            </w:r>
          </w:p>
        </w:tc>
        <w:tc>
          <w:tcPr>
            <w:tcW w:w="1204" w:type="pct"/>
            <w:vAlign w:val="center"/>
          </w:tcPr>
          <w:p w14:paraId="6F8F7607">
            <w:pPr>
              <w:spacing w:before="60" w:after="60"/>
              <w:jc w:val="center"/>
              <w:textAlignment w:val="center"/>
              <w:rPr>
                <w:rFonts w:ascii="Times New Roman" w:hAnsi="Times New Roman" w:cs="Times New Roman"/>
                <w:color w:val="000000" w:themeColor="text1"/>
                <w:sz w:val="21"/>
                <w14:textFill>
                  <w14:solidFill>
                    <w14:schemeClr w14:val="tx1"/>
                  </w14:solidFill>
                </w14:textFill>
              </w:rPr>
            </w:pPr>
          </w:p>
        </w:tc>
        <w:tc>
          <w:tcPr>
            <w:tcW w:w="514" w:type="pct"/>
            <w:vAlign w:val="center"/>
          </w:tcPr>
          <w:p w14:paraId="6DAFEA85">
            <w:pPr>
              <w:spacing w:before="60" w:after="60"/>
              <w:jc w:val="center"/>
              <w:rPr>
                <w:rFonts w:ascii="Times New Roman" w:hAnsi="Times New Roman" w:cs="Times New Roman"/>
                <w:color w:val="000000" w:themeColor="text1"/>
                <w:sz w:val="21"/>
                <w:lang w:val="zh-CN"/>
                <w14:textFill>
                  <w14:solidFill>
                    <w14:schemeClr w14:val="tx1"/>
                  </w14:solidFill>
                </w14:textFill>
              </w:rPr>
            </w:pPr>
          </w:p>
        </w:tc>
        <w:tc>
          <w:tcPr>
            <w:tcW w:w="800" w:type="pct"/>
            <w:vAlign w:val="center"/>
          </w:tcPr>
          <w:p w14:paraId="10C4D373">
            <w:pPr>
              <w:jc w:val="center"/>
              <w:rPr>
                <w:rFonts w:ascii="Times New Roman" w:hAnsi="Times New Roman" w:cs="Times New Roman"/>
                <w:color w:val="000000" w:themeColor="text1"/>
                <w:sz w:val="21"/>
                <w14:textFill>
                  <w14:solidFill>
                    <w14:schemeClr w14:val="tx1"/>
                  </w14:solidFill>
                </w14:textFill>
              </w:rPr>
            </w:pPr>
          </w:p>
        </w:tc>
        <w:tc>
          <w:tcPr>
            <w:tcW w:w="2158" w:type="pct"/>
            <w:gridSpan w:val="2"/>
            <w:vAlign w:val="center"/>
          </w:tcPr>
          <w:p w14:paraId="69F0A23D">
            <w:pPr>
              <w:spacing w:before="60" w:after="60"/>
              <w:jc w:val="center"/>
              <w:rPr>
                <w:rFonts w:ascii="Times New Roman" w:hAnsi="Times New Roman" w:cs="Times New Roman"/>
                <w:color w:val="000000" w:themeColor="text1"/>
                <w:sz w:val="21"/>
                <w:lang w:eastAsia="zh-CN"/>
                <w14:textFill>
                  <w14:solidFill>
                    <w14:schemeClr w14:val="tx1"/>
                  </w14:solidFill>
                </w14:textFill>
              </w:rPr>
            </w:pPr>
          </w:p>
        </w:tc>
      </w:tr>
      <w:tr w14:paraId="30FC418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5000" w:type="pct"/>
            <w:gridSpan w:val="6"/>
            <w:vAlign w:val="center"/>
          </w:tcPr>
          <w:p w14:paraId="05D3FF78">
            <w:pPr>
              <w:spacing w:before="60" w:after="6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三、刻蚀液</w:t>
            </w:r>
          </w:p>
        </w:tc>
      </w:tr>
      <w:tr w14:paraId="5D08AF5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324" w:type="pct"/>
            <w:vAlign w:val="center"/>
          </w:tcPr>
          <w:p w14:paraId="1CE0897F">
            <w:pPr>
              <w:spacing w:before="60" w:after="60"/>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lang w:eastAsia="zh-CN" w:bidi="ar"/>
                <w14:textFill>
                  <w14:solidFill>
                    <w14:schemeClr w14:val="tx1"/>
                  </w14:solidFill>
                </w14:textFill>
              </w:rPr>
              <w:t>1</w:t>
            </w:r>
          </w:p>
        </w:tc>
        <w:tc>
          <w:tcPr>
            <w:tcW w:w="1204" w:type="pct"/>
            <w:vAlign w:val="center"/>
          </w:tcPr>
          <w:p w14:paraId="6D078435">
            <w:pPr>
              <w:spacing w:before="60" w:after="6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514" w:type="pct"/>
            <w:vAlign w:val="center"/>
          </w:tcPr>
          <w:p w14:paraId="5467D280">
            <w:pPr>
              <w:spacing w:before="60" w:after="60"/>
              <w:jc w:val="center"/>
              <w:rPr>
                <w:rFonts w:ascii="Times New Roman" w:hAnsi="Times New Roman" w:cs="Times New Roman"/>
                <w:color w:val="000000" w:themeColor="text1"/>
                <w:sz w:val="21"/>
                <w:lang w:eastAsia="zh-CN"/>
                <w14:textFill>
                  <w14:solidFill>
                    <w14:schemeClr w14:val="tx1"/>
                  </w14:solidFill>
                </w14:textFill>
              </w:rPr>
            </w:pPr>
          </w:p>
        </w:tc>
        <w:tc>
          <w:tcPr>
            <w:tcW w:w="800" w:type="pct"/>
            <w:tcBorders>
              <w:right w:val="single" w:color="auto" w:sz="4" w:space="0"/>
            </w:tcBorders>
            <w:vAlign w:val="center"/>
          </w:tcPr>
          <w:p w14:paraId="2E034C0C">
            <w:pPr>
              <w:jc w:val="center"/>
              <w:rPr>
                <w:rFonts w:ascii="Times New Roman" w:hAnsi="Times New Roman" w:cs="Times New Roman"/>
                <w:color w:val="000000" w:themeColor="text1"/>
                <w:sz w:val="21"/>
                <w:szCs w:val="18"/>
                <w:lang w:eastAsia="zh-CN"/>
                <w14:textFill>
                  <w14:solidFill>
                    <w14:schemeClr w14:val="tx1"/>
                  </w14:solidFill>
                </w14:textFill>
              </w:rPr>
            </w:pPr>
          </w:p>
        </w:tc>
        <w:tc>
          <w:tcPr>
            <w:tcW w:w="2158" w:type="pct"/>
            <w:gridSpan w:val="2"/>
            <w:tcBorders>
              <w:left w:val="single" w:color="auto" w:sz="4" w:space="0"/>
            </w:tcBorders>
            <w:vAlign w:val="center"/>
          </w:tcPr>
          <w:p w14:paraId="4F893024">
            <w:pPr>
              <w:spacing w:before="60" w:after="60"/>
              <w:jc w:val="center"/>
              <w:rPr>
                <w:rFonts w:ascii="Times New Roman" w:hAnsi="Times New Roman" w:cs="Times New Roman"/>
                <w:color w:val="000000" w:themeColor="text1"/>
                <w:sz w:val="21"/>
                <w:lang w:eastAsia="zh-CN"/>
                <w14:textFill>
                  <w14:solidFill>
                    <w14:schemeClr w14:val="tx1"/>
                  </w14:solidFill>
                </w14:textFill>
              </w:rPr>
            </w:pPr>
          </w:p>
        </w:tc>
      </w:tr>
      <w:tr w14:paraId="3AADDA3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324" w:type="pct"/>
            <w:vAlign w:val="center"/>
          </w:tcPr>
          <w:p w14:paraId="4CC032C5">
            <w:pPr>
              <w:spacing w:before="60" w:after="60"/>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hint="eastAsia" w:ascii="Times New Roman" w:hAnsi="Times New Roman" w:cs="Times New Roman"/>
                <w:color w:val="000000" w:themeColor="text1"/>
                <w:sz w:val="21"/>
                <w:lang w:eastAsia="zh-CN" w:bidi="ar"/>
                <w14:textFill>
                  <w14:solidFill>
                    <w14:schemeClr w14:val="tx1"/>
                  </w14:solidFill>
                </w14:textFill>
              </w:rPr>
              <w:t>2</w:t>
            </w:r>
          </w:p>
        </w:tc>
        <w:tc>
          <w:tcPr>
            <w:tcW w:w="1204" w:type="pct"/>
            <w:vAlign w:val="center"/>
          </w:tcPr>
          <w:p w14:paraId="04688031">
            <w:pPr>
              <w:spacing w:before="60" w:after="6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514" w:type="pct"/>
            <w:vAlign w:val="center"/>
          </w:tcPr>
          <w:p w14:paraId="380A9C5C">
            <w:pPr>
              <w:spacing w:before="60" w:after="60"/>
              <w:jc w:val="center"/>
              <w:rPr>
                <w:rFonts w:ascii="Times New Roman" w:hAnsi="Times New Roman" w:cs="Times New Roman"/>
                <w:color w:val="000000" w:themeColor="text1"/>
                <w:sz w:val="21"/>
                <w:lang w:eastAsia="zh-CN"/>
                <w14:textFill>
                  <w14:solidFill>
                    <w14:schemeClr w14:val="tx1"/>
                  </w14:solidFill>
                </w14:textFill>
              </w:rPr>
            </w:pPr>
          </w:p>
        </w:tc>
        <w:tc>
          <w:tcPr>
            <w:tcW w:w="800" w:type="pct"/>
            <w:tcBorders>
              <w:right w:val="single" w:color="auto" w:sz="4" w:space="0"/>
            </w:tcBorders>
            <w:vAlign w:val="center"/>
          </w:tcPr>
          <w:p w14:paraId="0A1D56FB">
            <w:pPr>
              <w:jc w:val="center"/>
              <w:rPr>
                <w:rFonts w:ascii="Times New Roman" w:hAnsi="Times New Roman" w:cs="Times New Roman"/>
                <w:color w:val="000000" w:themeColor="text1"/>
                <w:sz w:val="21"/>
                <w:szCs w:val="18"/>
                <w:lang w:eastAsia="zh-CN"/>
                <w14:textFill>
                  <w14:solidFill>
                    <w14:schemeClr w14:val="tx1"/>
                  </w14:solidFill>
                </w14:textFill>
              </w:rPr>
            </w:pPr>
          </w:p>
        </w:tc>
        <w:tc>
          <w:tcPr>
            <w:tcW w:w="2158" w:type="pct"/>
            <w:gridSpan w:val="2"/>
            <w:tcBorders>
              <w:left w:val="single" w:color="auto" w:sz="4" w:space="0"/>
            </w:tcBorders>
            <w:vAlign w:val="center"/>
          </w:tcPr>
          <w:p w14:paraId="229EA1B1">
            <w:pPr>
              <w:spacing w:before="60" w:after="60"/>
              <w:jc w:val="center"/>
              <w:rPr>
                <w:rFonts w:ascii="Times New Roman" w:hAnsi="Times New Roman" w:cs="Times New Roman"/>
                <w:color w:val="000000" w:themeColor="text1"/>
                <w:sz w:val="21"/>
                <w:lang w:eastAsia="zh-CN"/>
                <w14:textFill>
                  <w14:solidFill>
                    <w14:schemeClr w14:val="tx1"/>
                  </w14:solidFill>
                </w14:textFill>
              </w:rPr>
            </w:pPr>
          </w:p>
        </w:tc>
      </w:tr>
    </w:tbl>
    <w:p w14:paraId="62C8C66B">
      <w:pPr>
        <w:spacing w:line="400" w:lineRule="exact"/>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本项目主要原辅材料理化性质、毒性毒理见下表。</w:t>
      </w:r>
    </w:p>
    <w:p w14:paraId="4B70E2B1">
      <w:pPr>
        <w:spacing w:line="360" w:lineRule="auto"/>
        <w:jc w:val="center"/>
        <w:rPr>
          <w:rFonts w:ascii="Times New Roman" w:hAnsi="Times New Roman" w:cs="Times New Roman"/>
          <w:b/>
          <w:color w:val="auto"/>
          <w:spacing w:val="8"/>
          <w:lang w:eastAsia="zh-CN"/>
        </w:rPr>
      </w:pPr>
      <w:r>
        <w:rPr>
          <w:rFonts w:ascii="Times New Roman" w:hAnsi="Times New Roman" w:cs="Times New Roman"/>
          <w:b/>
          <w:color w:val="auto"/>
          <w:spacing w:val="8"/>
          <w:lang w:eastAsia="zh-CN"/>
        </w:rPr>
        <w:t>表4.1-</w:t>
      </w:r>
      <w:r>
        <w:rPr>
          <w:rFonts w:hint="eastAsia" w:ascii="Times New Roman" w:hAnsi="Times New Roman" w:cs="Times New Roman"/>
          <w:b/>
          <w:color w:val="auto"/>
          <w:spacing w:val="8"/>
          <w:lang w:eastAsia="zh-CN"/>
        </w:rPr>
        <w:t>9</w:t>
      </w:r>
      <w:r>
        <w:rPr>
          <w:rFonts w:ascii="Times New Roman" w:hAnsi="Times New Roman" w:cs="Times New Roman"/>
          <w:b/>
          <w:color w:val="auto"/>
          <w:spacing w:val="8"/>
          <w:lang w:eastAsia="zh-CN"/>
        </w:rPr>
        <w:t xml:space="preserve"> 拟建项目</w:t>
      </w:r>
      <w:r>
        <w:rPr>
          <w:rFonts w:ascii="Times New Roman" w:hAnsi="Times New Roman" w:cs="Times New Roman"/>
          <w:b/>
          <w:color w:val="auto"/>
          <w:lang w:eastAsia="zh-CN"/>
        </w:rPr>
        <w:t>原辅材料</w:t>
      </w:r>
      <w:r>
        <w:rPr>
          <w:rFonts w:ascii="Times New Roman" w:hAnsi="Times New Roman" w:cs="Times New Roman"/>
          <w:b/>
          <w:color w:val="auto"/>
          <w:spacing w:val="8"/>
          <w:lang w:eastAsia="zh-CN"/>
        </w:rPr>
        <w:t>理化性质一览表</w:t>
      </w:r>
    </w:p>
    <w:tbl>
      <w:tblPr>
        <w:tblStyle w:val="35"/>
        <w:tblW w:w="499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5483"/>
        <w:gridCol w:w="2552"/>
        <w:gridCol w:w="3879"/>
      </w:tblGrid>
      <w:tr w14:paraId="7FA5A6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8" w:type="pct"/>
            <w:vAlign w:val="center"/>
          </w:tcPr>
          <w:p w14:paraId="44B588C0">
            <w:pPr>
              <w:adjustRightInd w:val="0"/>
              <w:snapToGrid w:val="0"/>
              <w:spacing w:before="40" w:after="40"/>
              <w:jc w:val="center"/>
              <w:rPr>
                <w:rFonts w:ascii="Times New Roman" w:hAnsi="Times New Roman" w:cs="Times New Roman"/>
                <w:b/>
                <w:bCs/>
                <w:color w:val="auto"/>
                <w:sz w:val="21"/>
                <w:lang w:eastAsia="zh-CN"/>
              </w:rPr>
            </w:pPr>
            <w:r>
              <w:rPr>
                <w:rFonts w:ascii="Times New Roman" w:hAnsi="Times New Roman" w:cs="Times New Roman"/>
                <w:b/>
                <w:bCs/>
                <w:color w:val="auto"/>
                <w:sz w:val="21"/>
              </w:rPr>
              <w:t>名称</w:t>
            </w:r>
          </w:p>
        </w:tc>
        <w:tc>
          <w:tcPr>
            <w:tcW w:w="1966" w:type="pct"/>
            <w:vAlign w:val="center"/>
          </w:tcPr>
          <w:p w14:paraId="034C0F89">
            <w:pPr>
              <w:adjustRightInd w:val="0"/>
              <w:snapToGrid w:val="0"/>
              <w:spacing w:before="40" w:after="40"/>
              <w:jc w:val="center"/>
              <w:rPr>
                <w:rFonts w:ascii="Times New Roman" w:hAnsi="Times New Roman" w:cs="Times New Roman"/>
                <w:b/>
                <w:bCs/>
                <w:color w:val="auto"/>
                <w:sz w:val="21"/>
              </w:rPr>
            </w:pPr>
            <w:r>
              <w:rPr>
                <w:rFonts w:ascii="Times New Roman" w:hAnsi="Times New Roman" w:cs="Times New Roman"/>
                <w:b/>
                <w:bCs/>
                <w:color w:val="auto"/>
                <w:sz w:val="21"/>
              </w:rPr>
              <w:t>理化性质</w:t>
            </w:r>
          </w:p>
        </w:tc>
        <w:tc>
          <w:tcPr>
            <w:tcW w:w="915" w:type="pct"/>
            <w:vAlign w:val="center"/>
          </w:tcPr>
          <w:p w14:paraId="17FCAFD2">
            <w:pPr>
              <w:adjustRightInd w:val="0"/>
              <w:snapToGrid w:val="0"/>
              <w:spacing w:before="40" w:after="40"/>
              <w:jc w:val="center"/>
              <w:rPr>
                <w:rFonts w:ascii="Times New Roman" w:hAnsi="Times New Roman" w:cs="Times New Roman"/>
                <w:b/>
                <w:bCs/>
                <w:color w:val="auto"/>
                <w:sz w:val="21"/>
              </w:rPr>
            </w:pPr>
            <w:r>
              <w:rPr>
                <w:rFonts w:ascii="Times New Roman" w:hAnsi="Times New Roman" w:cs="Times New Roman"/>
                <w:b/>
                <w:bCs/>
                <w:color w:val="auto"/>
                <w:sz w:val="21"/>
              </w:rPr>
              <w:t>燃烧爆炸性</w:t>
            </w:r>
          </w:p>
        </w:tc>
        <w:tc>
          <w:tcPr>
            <w:tcW w:w="1391" w:type="pct"/>
            <w:vAlign w:val="center"/>
          </w:tcPr>
          <w:p w14:paraId="53F1D5D8">
            <w:pPr>
              <w:adjustRightInd w:val="0"/>
              <w:snapToGrid w:val="0"/>
              <w:spacing w:before="40" w:after="40"/>
              <w:jc w:val="center"/>
              <w:rPr>
                <w:rFonts w:ascii="Times New Roman" w:hAnsi="Times New Roman" w:cs="Times New Roman"/>
                <w:b/>
                <w:bCs/>
                <w:color w:val="auto"/>
                <w:sz w:val="21"/>
              </w:rPr>
            </w:pPr>
            <w:r>
              <w:rPr>
                <w:rFonts w:ascii="Times New Roman" w:hAnsi="Times New Roman" w:cs="Times New Roman"/>
                <w:b/>
                <w:bCs/>
                <w:color w:val="auto"/>
                <w:sz w:val="21"/>
              </w:rPr>
              <w:t>毒理性</w:t>
            </w:r>
          </w:p>
        </w:tc>
      </w:tr>
      <w:tr w14:paraId="61F17E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8" w:type="pct"/>
            <w:vAlign w:val="center"/>
          </w:tcPr>
          <w:p w14:paraId="00CEA1B9">
            <w:pPr>
              <w:adjustRightInd w:val="0"/>
              <w:snapToGrid w:val="0"/>
              <w:spacing w:before="40" w:after="4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无水氟化氢</w:t>
            </w:r>
          </w:p>
          <w:p w14:paraId="78BC9050">
            <w:pPr>
              <w:adjustRightInd w:val="0"/>
              <w:snapToGrid w:val="0"/>
              <w:spacing w:before="40" w:after="40"/>
              <w:jc w:val="center"/>
              <w:rPr>
                <w:rFonts w:ascii="Times New Roman" w:hAnsi="Times New Roman" w:cs="Times New Roman"/>
                <w:bCs/>
                <w:color w:val="auto"/>
                <w:sz w:val="21"/>
                <w:lang w:eastAsia="zh-CN"/>
              </w:rPr>
            </w:pPr>
            <w:r>
              <w:rPr>
                <w:rFonts w:ascii="Times New Roman" w:hAnsi="Times New Roman" w:cs="Times New Roman"/>
                <w:bCs/>
                <w:color w:val="auto"/>
                <w:sz w:val="21"/>
              </w:rPr>
              <w:t>C</w:t>
            </w:r>
            <w:r>
              <w:rPr>
                <w:rFonts w:ascii="Times New Roman" w:hAnsi="Times New Roman" w:cs="Times New Roman"/>
                <w:bCs/>
                <w:color w:val="auto"/>
                <w:sz w:val="21"/>
                <w:vertAlign w:val="subscript"/>
                <w:lang w:eastAsia="zh-CN"/>
              </w:rPr>
              <w:t>6</w:t>
            </w:r>
            <w:r>
              <w:rPr>
                <w:rFonts w:ascii="Times New Roman" w:hAnsi="Times New Roman" w:cs="Times New Roman"/>
                <w:bCs/>
                <w:color w:val="auto"/>
                <w:sz w:val="21"/>
              </w:rPr>
              <w:t>H</w:t>
            </w:r>
            <w:r>
              <w:rPr>
                <w:rFonts w:ascii="Times New Roman" w:hAnsi="Times New Roman" w:cs="Times New Roman"/>
                <w:bCs/>
                <w:color w:val="auto"/>
                <w:sz w:val="21"/>
                <w:vertAlign w:val="subscript"/>
                <w:lang w:eastAsia="zh-CN"/>
              </w:rPr>
              <w:t>6</w:t>
            </w:r>
            <w:r>
              <w:rPr>
                <w:rFonts w:ascii="Times New Roman" w:hAnsi="Times New Roman" w:cs="Times New Roman"/>
                <w:bCs/>
                <w:color w:val="auto"/>
                <w:sz w:val="21"/>
              </w:rPr>
              <w:t>O</w:t>
            </w:r>
          </w:p>
        </w:tc>
        <w:tc>
          <w:tcPr>
            <w:tcW w:w="1966" w:type="pct"/>
            <w:vAlign w:val="center"/>
          </w:tcPr>
          <w:p w14:paraId="74F9349C">
            <w:pPr>
              <w:adjustRightInd w:val="0"/>
              <w:snapToGrid w:val="0"/>
              <w:spacing w:before="40" w:after="40"/>
              <w:jc w:val="center"/>
              <w:rPr>
                <w:rFonts w:ascii="Times New Roman" w:hAnsi="Times New Roman" w:cs="Times New Roman"/>
                <w:color w:val="auto"/>
                <w:sz w:val="21"/>
                <w:shd w:val="clear" w:color="auto" w:fill="FFFFFF"/>
                <w:lang w:eastAsia="zh-CN"/>
              </w:rPr>
            </w:pPr>
            <w:r>
              <w:rPr>
                <w:rFonts w:ascii="Times New Roman" w:hAnsi="Times New Roman" w:cs="Times New Roman"/>
                <w:color w:val="auto"/>
                <w:sz w:val="21"/>
                <w:shd w:val="clear" w:color="auto" w:fill="FFFFFF"/>
                <w:lang w:eastAsia="zh-CN"/>
              </w:rPr>
              <w:t>分子量：</w:t>
            </w:r>
            <w:r>
              <w:rPr>
                <w:rFonts w:hint="eastAsia" w:ascii="Times New Roman" w:hAnsi="Times New Roman" w:cs="Times New Roman"/>
                <w:color w:val="auto"/>
                <w:sz w:val="21"/>
                <w:shd w:val="clear" w:color="auto" w:fill="FFFFFF"/>
                <w:lang w:eastAsia="zh-CN"/>
              </w:rPr>
              <w:t>20</w:t>
            </w:r>
            <w:r>
              <w:rPr>
                <w:rFonts w:ascii="Times New Roman" w:hAnsi="Times New Roman" w:cs="Times New Roman"/>
                <w:color w:val="auto"/>
                <w:sz w:val="21"/>
                <w:shd w:val="clear" w:color="auto" w:fill="FFFFFF"/>
                <w:lang w:eastAsia="zh-CN"/>
              </w:rPr>
              <w:t>；相对密度：</w:t>
            </w:r>
            <w:r>
              <w:rPr>
                <w:rFonts w:hint="eastAsia" w:ascii="Times New Roman" w:hAnsi="Times New Roman" w:cs="Times New Roman"/>
                <w:color w:val="auto"/>
                <w:sz w:val="21"/>
                <w:shd w:val="clear" w:color="auto" w:fill="FFFFFF"/>
                <w:lang w:eastAsia="zh-CN"/>
              </w:rPr>
              <w:t>1.008</w:t>
            </w:r>
            <w:r>
              <w:rPr>
                <w:rFonts w:ascii="Times New Roman" w:hAnsi="Times New Roman" w:cs="Times New Roman"/>
                <w:color w:val="auto"/>
                <w:sz w:val="21"/>
                <w:shd w:val="clear" w:color="auto" w:fill="FFFFFF"/>
                <w:lang w:eastAsia="zh-CN"/>
              </w:rPr>
              <w:t>；熔点(℃)：</w:t>
            </w:r>
            <w:r>
              <w:rPr>
                <w:rFonts w:hint="eastAsia" w:ascii="Times New Roman" w:hAnsi="Times New Roman" w:cs="Times New Roman"/>
                <w:color w:val="auto"/>
                <w:sz w:val="21"/>
                <w:shd w:val="clear" w:color="auto" w:fill="FFFFFF"/>
                <w:lang w:eastAsia="zh-CN"/>
              </w:rPr>
              <w:t>-83.36</w:t>
            </w:r>
            <w:r>
              <w:rPr>
                <w:rFonts w:ascii="Times New Roman" w:hAnsi="Times New Roman" w:cs="Times New Roman"/>
                <w:color w:val="auto"/>
                <w:sz w:val="21"/>
                <w:shd w:val="clear" w:color="auto" w:fill="FFFFFF"/>
                <w:lang w:eastAsia="zh-CN"/>
              </w:rPr>
              <w:t>；沸点(℃)：</w:t>
            </w:r>
            <w:r>
              <w:rPr>
                <w:rFonts w:hint="eastAsia" w:ascii="Times New Roman" w:hAnsi="Times New Roman" w:cs="Times New Roman"/>
                <w:color w:val="auto"/>
                <w:sz w:val="21"/>
                <w:shd w:val="clear" w:color="auto" w:fill="FFFFFF"/>
                <w:lang w:eastAsia="zh-CN"/>
              </w:rPr>
              <w:t>19.52</w:t>
            </w:r>
            <w:r>
              <w:rPr>
                <w:rFonts w:ascii="Times New Roman" w:hAnsi="Times New Roman" w:cs="Times New Roman"/>
                <w:color w:val="auto"/>
                <w:sz w:val="21"/>
                <w:shd w:val="clear" w:color="auto" w:fill="FFFFFF"/>
                <w:lang w:eastAsia="zh-CN"/>
              </w:rPr>
              <w:t>；</w:t>
            </w:r>
            <w:r>
              <w:rPr>
                <w:rFonts w:ascii="Times New Roman" w:hAnsi="Times New Roman" w:cs="Times New Roman"/>
                <w:bCs/>
                <w:color w:val="auto"/>
                <w:sz w:val="21"/>
                <w:shd w:val="clear" w:color="auto" w:fill="FFFFFF"/>
                <w:lang w:eastAsia="zh-CN"/>
              </w:rPr>
              <w:t>具有强</w:t>
            </w:r>
            <w:r>
              <w:fldChar w:fldCharType="begin"/>
            </w:r>
            <w:r>
              <w:instrText xml:space="preserve"> HYPERLINK "https://baike.baidu.com/item/%E5%90%B8%E6%B9%BF%E6%80%A7/10930709?fromModule=lemma_inlink" \t "_blank" </w:instrText>
            </w:r>
            <w:r>
              <w:fldChar w:fldCharType="separate"/>
            </w:r>
            <w:r>
              <w:rPr>
                <w:rStyle w:val="40"/>
                <w:rFonts w:ascii="Times New Roman" w:hAnsi="Times New Roman" w:cs="Times New Roman"/>
                <w:bCs/>
                <w:color w:val="auto"/>
                <w:sz w:val="21"/>
                <w:u w:val="none"/>
                <w:shd w:val="clear" w:color="auto" w:fill="FFFFFF"/>
                <w:lang w:eastAsia="zh-CN"/>
              </w:rPr>
              <w:t>吸湿性</w:t>
            </w:r>
            <w:r>
              <w:rPr>
                <w:rStyle w:val="40"/>
                <w:rFonts w:ascii="Times New Roman" w:hAnsi="Times New Roman" w:cs="Times New Roman"/>
                <w:bCs/>
                <w:color w:val="auto"/>
                <w:sz w:val="21"/>
                <w:u w:val="none"/>
                <w:shd w:val="clear" w:color="auto" w:fill="FFFFFF"/>
                <w:lang w:eastAsia="zh-CN"/>
              </w:rPr>
              <w:fldChar w:fldCharType="end"/>
            </w:r>
            <w:r>
              <w:rPr>
                <w:rFonts w:ascii="Times New Roman" w:hAnsi="Times New Roman" w:cs="Times New Roman"/>
                <w:bCs/>
                <w:color w:val="auto"/>
                <w:sz w:val="21"/>
                <w:shd w:val="clear" w:color="auto" w:fill="FFFFFF"/>
                <w:lang w:eastAsia="zh-CN"/>
              </w:rPr>
              <w:t>和</w:t>
            </w:r>
            <w:r>
              <w:fldChar w:fldCharType="begin"/>
            </w:r>
            <w:r>
              <w:instrText xml:space="preserve"> HYPERLINK "https://baike.baidu.com/item/%E8%85%90%E8%9A%80%E6%80%A7/770500?fromModule=lemma_inlink" \t "_blank" </w:instrText>
            </w:r>
            <w:r>
              <w:fldChar w:fldCharType="separate"/>
            </w:r>
            <w:r>
              <w:rPr>
                <w:rStyle w:val="40"/>
                <w:rFonts w:ascii="Times New Roman" w:hAnsi="Times New Roman" w:cs="Times New Roman"/>
                <w:bCs/>
                <w:color w:val="auto"/>
                <w:sz w:val="21"/>
                <w:u w:val="none"/>
                <w:shd w:val="clear" w:color="auto" w:fill="FFFFFF"/>
                <w:lang w:eastAsia="zh-CN"/>
              </w:rPr>
              <w:t>腐蚀性</w:t>
            </w:r>
            <w:r>
              <w:rPr>
                <w:rStyle w:val="40"/>
                <w:rFonts w:ascii="Times New Roman" w:hAnsi="Times New Roman" w:cs="Times New Roman"/>
                <w:bCs/>
                <w:color w:val="auto"/>
                <w:sz w:val="21"/>
                <w:u w:val="none"/>
                <w:shd w:val="clear" w:color="auto" w:fill="FFFFFF"/>
                <w:lang w:eastAsia="zh-CN"/>
              </w:rPr>
              <w:fldChar w:fldCharType="end"/>
            </w:r>
            <w:r>
              <w:rPr>
                <w:rFonts w:ascii="Times New Roman" w:hAnsi="Times New Roman" w:cs="Times New Roman"/>
                <w:bCs/>
                <w:color w:val="auto"/>
                <w:sz w:val="21"/>
                <w:shd w:val="clear" w:color="auto" w:fill="FFFFFF"/>
                <w:lang w:eastAsia="zh-CN"/>
              </w:rPr>
              <w:t>，暴露于空气中易与水蒸气结合产生白雾（</w:t>
            </w:r>
            <w:r>
              <w:fldChar w:fldCharType="begin"/>
            </w:r>
            <w:r>
              <w:instrText xml:space="preserve"> HYPERLINK "https://baike.baidu.com/item/%E9%85%B8%E9%9B%BE/2466808?fromModule=lemma_inlink" \t "_blank" </w:instrText>
            </w:r>
            <w:r>
              <w:fldChar w:fldCharType="separate"/>
            </w:r>
            <w:r>
              <w:rPr>
                <w:rStyle w:val="40"/>
                <w:rFonts w:ascii="Times New Roman" w:hAnsi="Times New Roman" w:cs="Times New Roman"/>
                <w:bCs/>
                <w:color w:val="auto"/>
                <w:sz w:val="21"/>
                <w:u w:val="none"/>
                <w:shd w:val="clear" w:color="auto" w:fill="FFFFFF"/>
                <w:lang w:eastAsia="zh-CN"/>
              </w:rPr>
              <w:t>酸雾</w:t>
            </w:r>
            <w:r>
              <w:rPr>
                <w:rStyle w:val="40"/>
                <w:rFonts w:ascii="Times New Roman" w:hAnsi="Times New Roman" w:cs="Times New Roman"/>
                <w:bCs/>
                <w:color w:val="auto"/>
                <w:sz w:val="21"/>
                <w:u w:val="none"/>
                <w:shd w:val="clear" w:color="auto" w:fill="FFFFFF"/>
                <w:lang w:eastAsia="zh-CN"/>
              </w:rPr>
              <w:fldChar w:fldCharType="end"/>
            </w:r>
            <w:r>
              <w:rPr>
                <w:rFonts w:ascii="Times New Roman" w:hAnsi="Times New Roman" w:cs="Times New Roman"/>
                <w:bCs/>
                <w:color w:val="auto"/>
                <w:sz w:val="21"/>
                <w:shd w:val="clear" w:color="auto" w:fill="FFFFFF"/>
                <w:lang w:eastAsia="zh-CN"/>
              </w:rPr>
              <w:t>），易溶于水</w:t>
            </w:r>
            <w:r>
              <w:rPr>
                <w:rFonts w:ascii="Times New Roman" w:hAnsi="Times New Roman" w:cs="Times New Roman"/>
                <w:color w:val="auto"/>
                <w:sz w:val="21"/>
                <w:shd w:val="clear" w:color="auto" w:fill="FFFFFF"/>
                <w:lang w:eastAsia="zh-CN"/>
              </w:rPr>
              <w:t>。</w:t>
            </w:r>
          </w:p>
        </w:tc>
        <w:tc>
          <w:tcPr>
            <w:tcW w:w="915" w:type="pct"/>
            <w:vAlign w:val="center"/>
          </w:tcPr>
          <w:p w14:paraId="17644613">
            <w:pPr>
              <w:adjustRightInd w:val="0"/>
              <w:snapToGrid w:val="0"/>
              <w:spacing w:before="40" w:after="40"/>
              <w:jc w:val="center"/>
              <w:rPr>
                <w:rFonts w:ascii="Times New Roman" w:hAnsi="Times New Roman" w:cs="Times New Roman"/>
                <w:color w:val="auto"/>
                <w:sz w:val="21"/>
                <w:lang w:eastAsia="zh-CN"/>
              </w:rPr>
            </w:pPr>
            <w:r>
              <w:rPr>
                <w:rFonts w:ascii="Times New Roman" w:hAnsi="Times New Roman" w:cs="Times New Roman"/>
                <w:bCs/>
                <w:color w:val="auto"/>
                <w:sz w:val="21"/>
                <w:shd w:val="clear" w:color="auto" w:fill="FFFFFF"/>
                <w:lang w:eastAsia="zh-CN"/>
              </w:rPr>
              <w:t>不燃，具有刺激性</w:t>
            </w:r>
          </w:p>
        </w:tc>
        <w:tc>
          <w:tcPr>
            <w:tcW w:w="1391" w:type="pct"/>
            <w:vAlign w:val="center"/>
          </w:tcPr>
          <w:p w14:paraId="7CE1150D">
            <w:pPr>
              <w:adjustRightInd w:val="0"/>
              <w:snapToGrid w:val="0"/>
              <w:spacing w:before="40" w:after="40"/>
              <w:jc w:val="center"/>
              <w:rPr>
                <w:rFonts w:ascii="Times New Roman" w:hAnsi="Times New Roman" w:cs="Times New Roman"/>
                <w:color w:val="auto"/>
                <w:sz w:val="21"/>
                <w:shd w:val="clear" w:color="auto" w:fill="FFFFFF"/>
                <w:lang w:eastAsia="zh-CN"/>
              </w:rPr>
            </w:pPr>
            <w:r>
              <w:rPr>
                <w:rFonts w:ascii="Times New Roman" w:hAnsi="Times New Roman" w:cs="Times New Roman"/>
                <w:color w:val="auto"/>
                <w:sz w:val="21"/>
                <w:shd w:val="clear" w:color="auto" w:fill="FFFFFF"/>
                <w:lang w:eastAsia="zh-CN"/>
              </w:rPr>
              <w:t>LC</w:t>
            </w:r>
            <w:r>
              <w:rPr>
                <w:rFonts w:ascii="Times New Roman" w:hAnsi="Times New Roman" w:cs="Times New Roman"/>
                <w:color w:val="auto"/>
                <w:sz w:val="21"/>
                <w:shd w:val="clear" w:color="auto" w:fill="FFFFFF"/>
                <w:vertAlign w:val="subscript"/>
                <w:lang w:eastAsia="zh-CN"/>
              </w:rPr>
              <w:t>50</w:t>
            </w:r>
            <w:r>
              <w:rPr>
                <w:rFonts w:ascii="Times New Roman" w:hAnsi="Times New Roman" w:cs="Times New Roman"/>
                <w:color w:val="auto"/>
                <w:sz w:val="21"/>
                <w:shd w:val="clear" w:color="auto" w:fill="FFFFFF"/>
                <w:lang w:eastAsia="zh-CN"/>
              </w:rPr>
              <w:t>：</w:t>
            </w:r>
            <w:r>
              <w:rPr>
                <w:rFonts w:hint="eastAsia" w:ascii="Times New Roman" w:hAnsi="Times New Roman" w:cs="Times New Roman"/>
                <w:color w:val="auto"/>
                <w:sz w:val="21"/>
                <w:shd w:val="clear" w:color="auto" w:fill="FFFFFF"/>
                <w:lang w:eastAsia="zh-CN"/>
              </w:rPr>
              <w:t>1276</w:t>
            </w:r>
            <w:r>
              <w:rPr>
                <w:rFonts w:ascii="Times New Roman" w:hAnsi="Times New Roman" w:cs="Times New Roman"/>
                <w:color w:val="auto"/>
                <w:sz w:val="21"/>
                <w:shd w:val="clear" w:color="auto" w:fill="FFFFFF"/>
                <w:lang w:eastAsia="zh-CN"/>
              </w:rPr>
              <w:t>mg/m</w:t>
            </w:r>
            <w:r>
              <w:rPr>
                <w:rFonts w:ascii="Times New Roman" w:hAnsi="Times New Roman" w:cs="Times New Roman"/>
                <w:color w:val="auto"/>
                <w:sz w:val="21"/>
                <w:shd w:val="clear" w:color="auto" w:fill="FFFFFF"/>
                <w:vertAlign w:val="superscript"/>
                <w:lang w:eastAsia="zh-CN"/>
              </w:rPr>
              <w:t>3</w:t>
            </w:r>
            <w:r>
              <w:rPr>
                <w:rFonts w:ascii="Times New Roman" w:hAnsi="Times New Roman" w:cs="Times New Roman"/>
                <w:color w:val="auto"/>
                <w:sz w:val="21"/>
                <w:shd w:val="clear" w:color="auto" w:fill="FFFFFF"/>
                <w:lang w:eastAsia="zh-CN"/>
              </w:rPr>
              <w:t>（大鼠吸入</w:t>
            </w:r>
            <w:r>
              <w:rPr>
                <w:rFonts w:hint="eastAsia" w:ascii="Times New Roman" w:hAnsi="Times New Roman" w:cs="Times New Roman"/>
                <w:color w:val="auto"/>
                <w:sz w:val="21"/>
                <w:shd w:val="clear" w:color="auto" w:fill="FFFFFF"/>
                <w:lang w:eastAsia="zh-CN"/>
              </w:rPr>
              <w:t>，1h</w:t>
            </w:r>
            <w:r>
              <w:rPr>
                <w:rFonts w:ascii="Times New Roman" w:hAnsi="Times New Roman" w:cs="Times New Roman"/>
                <w:color w:val="auto"/>
                <w:sz w:val="21"/>
                <w:shd w:val="clear" w:color="auto" w:fill="FFFFFF"/>
                <w:lang w:eastAsia="zh-CN"/>
              </w:rPr>
              <w:t>）</w:t>
            </w:r>
          </w:p>
        </w:tc>
      </w:tr>
      <w:tr w14:paraId="574DA1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8" w:type="pct"/>
            <w:vAlign w:val="center"/>
          </w:tcPr>
          <w:p w14:paraId="0A462F6D">
            <w:pPr>
              <w:adjustRightInd w:val="0"/>
              <w:snapToGrid w:val="0"/>
              <w:spacing w:before="40" w:after="40"/>
              <w:jc w:val="center"/>
              <w:rPr>
                <w:rFonts w:ascii="Times New Roman" w:hAnsi="Times New Roman" w:cs="Times New Roman"/>
                <w:color w:val="auto"/>
                <w:sz w:val="21"/>
                <w:vertAlign w:val="subscript"/>
                <w:lang w:eastAsia="zh-CN"/>
              </w:rPr>
            </w:pPr>
            <w:r>
              <w:rPr>
                <w:rFonts w:hint="eastAsia" w:ascii="Times New Roman" w:hAnsi="Times New Roman" w:cs="Times New Roman"/>
                <w:color w:val="auto"/>
                <w:sz w:val="21"/>
                <w:lang w:eastAsia="zh-CN"/>
              </w:rPr>
              <w:t>31%盐酸</w:t>
            </w:r>
          </w:p>
        </w:tc>
        <w:tc>
          <w:tcPr>
            <w:tcW w:w="1966" w:type="pct"/>
            <w:vAlign w:val="center"/>
          </w:tcPr>
          <w:p w14:paraId="41961209">
            <w:pPr>
              <w:adjustRightInd w:val="0"/>
              <w:snapToGrid w:val="0"/>
              <w:spacing w:before="40" w:after="40"/>
              <w:jc w:val="center"/>
              <w:rPr>
                <w:rFonts w:ascii="Times New Roman" w:hAnsi="Times New Roman" w:cs="Times New Roman"/>
                <w:color w:val="auto"/>
                <w:sz w:val="21"/>
                <w:shd w:val="clear" w:color="auto" w:fill="FFFFFF"/>
                <w:lang w:eastAsia="zh-CN"/>
              </w:rPr>
            </w:pPr>
            <w:r>
              <w:rPr>
                <w:rFonts w:ascii="Times New Roman" w:hAnsi="Times New Roman" w:cs="Times New Roman"/>
                <w:color w:val="auto"/>
                <w:sz w:val="21"/>
                <w:shd w:val="clear" w:color="auto" w:fill="FFFFFF"/>
                <w:lang w:eastAsia="zh-CN"/>
              </w:rPr>
              <w:t>无色或微黄色液体‌，有‌强烈刺激性气味‌；相对密度：</w:t>
            </w:r>
            <w:r>
              <w:rPr>
                <w:rFonts w:hint="eastAsia" w:ascii="Times New Roman" w:hAnsi="Times New Roman" w:cs="Times New Roman"/>
                <w:color w:val="auto"/>
                <w:sz w:val="21"/>
                <w:shd w:val="clear" w:color="auto" w:fill="FFFFFF"/>
                <w:lang w:eastAsia="zh-CN"/>
              </w:rPr>
              <w:t>1.16</w:t>
            </w:r>
            <w:r>
              <w:rPr>
                <w:rFonts w:ascii="Times New Roman" w:hAnsi="Times New Roman" w:cs="Times New Roman"/>
                <w:color w:val="auto"/>
                <w:sz w:val="21"/>
                <w:shd w:val="clear" w:color="auto" w:fill="FFFFFF"/>
                <w:lang w:eastAsia="zh-CN"/>
              </w:rPr>
              <w:t>；熔点(℃)：</w:t>
            </w:r>
            <w:r>
              <w:rPr>
                <w:rFonts w:hint="eastAsia" w:ascii="Times New Roman" w:hAnsi="Times New Roman" w:cs="Times New Roman"/>
                <w:color w:val="auto"/>
                <w:sz w:val="21"/>
                <w:shd w:val="clear" w:color="auto" w:fill="FFFFFF"/>
                <w:lang w:eastAsia="zh-CN"/>
              </w:rPr>
              <w:t>-26</w:t>
            </w:r>
            <w:r>
              <w:rPr>
                <w:rFonts w:ascii="Times New Roman" w:hAnsi="Times New Roman" w:cs="Times New Roman"/>
                <w:color w:val="auto"/>
                <w:sz w:val="21"/>
                <w:shd w:val="clear" w:color="auto" w:fill="FFFFFF"/>
                <w:lang w:eastAsia="zh-CN"/>
              </w:rPr>
              <w:t>；沸点(℃)：</w:t>
            </w:r>
            <w:r>
              <w:rPr>
                <w:rFonts w:hint="eastAsia" w:ascii="Times New Roman" w:hAnsi="Times New Roman" w:cs="Times New Roman"/>
                <w:color w:val="auto"/>
                <w:sz w:val="21"/>
                <w:shd w:val="clear" w:color="auto" w:fill="FFFFFF"/>
                <w:lang w:eastAsia="zh-CN"/>
              </w:rPr>
              <w:t>48</w:t>
            </w:r>
            <w:r>
              <w:rPr>
                <w:rFonts w:ascii="Times New Roman" w:hAnsi="Times New Roman" w:cs="Times New Roman"/>
                <w:sz w:val="21"/>
                <w:shd w:val="clear" w:color="auto" w:fill="FFFFFF"/>
                <w:lang w:eastAsia="zh-CN"/>
              </w:rPr>
              <w:t>。</w:t>
            </w:r>
          </w:p>
        </w:tc>
        <w:tc>
          <w:tcPr>
            <w:tcW w:w="915" w:type="pct"/>
            <w:vAlign w:val="center"/>
          </w:tcPr>
          <w:p w14:paraId="353EA7E8">
            <w:pPr>
              <w:adjustRightInd w:val="0"/>
              <w:snapToGrid w:val="0"/>
              <w:spacing w:before="40" w:after="40"/>
              <w:jc w:val="center"/>
              <w:rPr>
                <w:rFonts w:ascii="Times New Roman" w:hAnsi="Times New Roman" w:cs="Times New Roman"/>
                <w:bCs/>
                <w:color w:val="auto"/>
                <w:sz w:val="21"/>
                <w:shd w:val="clear" w:color="auto" w:fill="FFFFFF"/>
                <w:lang w:eastAsia="zh-CN"/>
              </w:rPr>
            </w:pPr>
            <w:r>
              <w:rPr>
                <w:rFonts w:ascii="Times New Roman" w:hAnsi="Times New Roman" w:cs="Times New Roman"/>
                <w:bCs/>
                <w:color w:val="auto"/>
                <w:sz w:val="21"/>
                <w:shd w:val="clear" w:color="auto" w:fill="FFFFFF"/>
                <w:lang w:eastAsia="zh-CN"/>
              </w:rPr>
              <w:t>不燃，具有刺激性</w:t>
            </w:r>
          </w:p>
        </w:tc>
        <w:tc>
          <w:tcPr>
            <w:tcW w:w="1391" w:type="pct"/>
            <w:vAlign w:val="center"/>
          </w:tcPr>
          <w:p w14:paraId="5454E121">
            <w:pPr>
              <w:adjustRightInd w:val="0"/>
              <w:snapToGrid w:val="0"/>
              <w:spacing w:before="40" w:after="40"/>
              <w:jc w:val="center"/>
              <w:rPr>
                <w:rFonts w:ascii="Times New Roman" w:hAnsi="Times New Roman" w:cs="Times New Roman"/>
                <w:color w:val="auto"/>
                <w:sz w:val="21"/>
                <w:shd w:val="clear" w:color="auto" w:fill="FFFFFF"/>
                <w:lang w:eastAsia="zh-CN"/>
              </w:rPr>
            </w:pPr>
            <w:r>
              <w:rPr>
                <w:rFonts w:ascii="Times New Roman" w:hAnsi="Times New Roman" w:cs="Times New Roman"/>
                <w:color w:val="auto"/>
                <w:sz w:val="21"/>
                <w:shd w:val="clear" w:color="auto" w:fill="FFFFFF"/>
                <w:lang w:eastAsia="zh-CN"/>
              </w:rPr>
              <w:t>LC</w:t>
            </w:r>
            <w:r>
              <w:rPr>
                <w:rFonts w:ascii="Times New Roman" w:hAnsi="Times New Roman" w:cs="Times New Roman"/>
                <w:color w:val="auto"/>
                <w:sz w:val="21"/>
                <w:shd w:val="clear" w:color="auto" w:fill="FFFFFF"/>
                <w:vertAlign w:val="subscript"/>
                <w:lang w:eastAsia="zh-CN"/>
              </w:rPr>
              <w:t>50</w:t>
            </w:r>
            <w:r>
              <w:rPr>
                <w:rFonts w:ascii="Times New Roman" w:hAnsi="Times New Roman" w:cs="Times New Roman"/>
                <w:color w:val="auto"/>
                <w:sz w:val="21"/>
                <w:shd w:val="clear" w:color="auto" w:fill="FFFFFF"/>
                <w:lang w:eastAsia="zh-CN"/>
              </w:rPr>
              <w:t>：</w:t>
            </w:r>
            <w:r>
              <w:rPr>
                <w:rFonts w:hint="eastAsia" w:ascii="Times New Roman" w:hAnsi="Times New Roman" w:cs="Times New Roman"/>
                <w:color w:val="auto"/>
                <w:sz w:val="21"/>
                <w:shd w:val="clear" w:color="auto" w:fill="FFFFFF"/>
                <w:lang w:eastAsia="zh-CN"/>
              </w:rPr>
              <w:t>1108</w:t>
            </w:r>
            <w:r>
              <w:rPr>
                <w:rFonts w:ascii="Times New Roman" w:hAnsi="Times New Roman" w:cs="Times New Roman"/>
                <w:color w:val="auto"/>
                <w:sz w:val="21"/>
                <w:shd w:val="clear" w:color="auto" w:fill="FFFFFF"/>
                <w:lang w:eastAsia="zh-CN"/>
              </w:rPr>
              <w:t>mg/ m</w:t>
            </w:r>
            <w:r>
              <w:rPr>
                <w:rFonts w:ascii="Times New Roman" w:hAnsi="Times New Roman" w:cs="Times New Roman"/>
                <w:color w:val="auto"/>
                <w:sz w:val="21"/>
                <w:shd w:val="clear" w:color="auto" w:fill="FFFFFF"/>
                <w:vertAlign w:val="superscript"/>
                <w:lang w:eastAsia="zh-CN"/>
              </w:rPr>
              <w:t>3</w:t>
            </w:r>
            <w:r>
              <w:rPr>
                <w:rFonts w:ascii="Times New Roman" w:hAnsi="Times New Roman" w:cs="Times New Roman"/>
                <w:color w:val="auto"/>
                <w:sz w:val="21"/>
                <w:shd w:val="clear" w:color="auto" w:fill="FFFFFF"/>
                <w:lang w:eastAsia="zh-CN"/>
              </w:rPr>
              <w:t>（</w:t>
            </w:r>
            <w:r>
              <w:rPr>
                <w:rFonts w:hint="eastAsia" w:ascii="Times New Roman" w:hAnsi="Times New Roman" w:cs="Times New Roman"/>
                <w:color w:val="auto"/>
                <w:sz w:val="21"/>
                <w:shd w:val="clear" w:color="auto" w:fill="FFFFFF"/>
                <w:lang w:eastAsia="zh-CN"/>
              </w:rPr>
              <w:t>小鼠吸入，10min</w:t>
            </w:r>
            <w:r>
              <w:rPr>
                <w:rFonts w:ascii="Times New Roman" w:hAnsi="Times New Roman" w:cs="Times New Roman"/>
                <w:color w:val="auto"/>
                <w:sz w:val="21"/>
                <w:shd w:val="clear" w:color="auto" w:fill="FFFFFF"/>
                <w:lang w:eastAsia="zh-CN"/>
              </w:rPr>
              <w:t>）</w:t>
            </w:r>
          </w:p>
        </w:tc>
      </w:tr>
    </w:tbl>
    <w:p w14:paraId="74345BC1">
      <w:pPr>
        <w:spacing w:line="360" w:lineRule="auto"/>
        <w:ind w:firstLine="482"/>
        <w:jc w:val="both"/>
        <w:outlineLvl w:val="2"/>
        <w:rPr>
          <w:rFonts w:ascii="Times New Roman" w:hAnsi="Times New Roman" w:cs="Times New Roman"/>
          <w:b/>
          <w:bCs/>
          <w:color w:val="auto"/>
          <w:lang w:eastAsia="zh-CN"/>
        </w:rPr>
      </w:pPr>
      <w:bookmarkStart w:id="651" w:name="_Toc176512997"/>
      <w:bookmarkStart w:id="652" w:name="_Toc221900816"/>
      <w:bookmarkStart w:id="653" w:name="_Toc204448450"/>
      <w:bookmarkStart w:id="654" w:name="_Toc172555640"/>
      <w:bookmarkStart w:id="655" w:name="_Toc203926984"/>
      <w:bookmarkStart w:id="656" w:name="_Toc236641298"/>
      <w:bookmarkStart w:id="657" w:name="_Toc133333600"/>
      <w:bookmarkStart w:id="658" w:name="_Toc173740267"/>
      <w:bookmarkStart w:id="659" w:name="_Toc133183054"/>
      <w:bookmarkStart w:id="660" w:name="_Toc217662649"/>
      <w:bookmarkStart w:id="661" w:name="_Toc237508280"/>
      <w:bookmarkStart w:id="662" w:name="_Toc178602337"/>
      <w:bookmarkStart w:id="663" w:name="_Toc175164261"/>
      <w:bookmarkStart w:id="664" w:name="_Toc173743371"/>
      <w:bookmarkStart w:id="665" w:name="_Toc224674672"/>
      <w:bookmarkStart w:id="666" w:name="_Toc231828567"/>
      <w:bookmarkStart w:id="667" w:name="_Toc218784259"/>
      <w:bookmarkStart w:id="668" w:name="_Toc225784033"/>
      <w:bookmarkStart w:id="669" w:name="_Toc236641815"/>
      <w:bookmarkStart w:id="670" w:name="_Toc204515185"/>
      <w:bookmarkStart w:id="671" w:name="_Toc23324"/>
      <w:bookmarkStart w:id="672" w:name="_Toc223425034"/>
      <w:r>
        <w:rPr>
          <w:rFonts w:ascii="Times New Roman" w:hAnsi="Times New Roman" w:cs="Times New Roman"/>
          <w:b/>
          <w:bCs/>
          <w:color w:val="auto"/>
          <w:lang w:eastAsia="zh-CN"/>
        </w:rPr>
        <w:t>4.1.5 项目主要生产设备</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p>
    <w:p w14:paraId="17B0DE8C">
      <w:pPr>
        <w:pStyle w:val="74"/>
        <w:adjustRightInd/>
        <w:snapToGrid/>
        <w:ind w:firstLine="482"/>
        <w:jc w:val="both"/>
        <w:rPr>
          <w:rFonts w:cs="Times New Roman"/>
          <w:color w:val="auto"/>
          <w:lang w:eastAsia="zh-CN"/>
        </w:rPr>
      </w:pPr>
      <w:r>
        <w:rPr>
          <w:rFonts w:cs="Times New Roman"/>
          <w:color w:val="auto"/>
          <w:lang w:eastAsia="zh-CN"/>
        </w:rPr>
        <w:t>4.1.5.1 主要生产设备</w:t>
      </w:r>
    </w:p>
    <w:p w14:paraId="775655D5">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bCs/>
          <w:color w:val="auto"/>
          <w:lang w:eastAsia="zh-CN"/>
        </w:rPr>
        <w:t>改扩建后，全厂主要工艺设备变化情况见</w:t>
      </w:r>
      <w:r>
        <w:rPr>
          <w:rFonts w:ascii="Times New Roman" w:hAnsi="Times New Roman" w:cs="Times New Roman"/>
          <w:color w:val="auto"/>
          <w:lang w:eastAsia="zh-CN"/>
        </w:rPr>
        <w:t>下表：</w:t>
      </w:r>
    </w:p>
    <w:p w14:paraId="4627B654">
      <w:pPr>
        <w:pStyle w:val="75"/>
        <w:spacing w:line="360" w:lineRule="auto"/>
        <w:rPr>
          <w:rFonts w:ascii="Times New Roman" w:hAnsi="Times New Roman"/>
          <w:b/>
          <w:color w:val="auto"/>
          <w:sz w:val="24"/>
          <w:szCs w:val="24"/>
          <w:lang w:eastAsia="zh-CN"/>
        </w:rPr>
      </w:pPr>
      <w:r>
        <w:rPr>
          <w:rFonts w:ascii="Times New Roman" w:hAnsi="Times New Roman"/>
          <w:b/>
          <w:color w:val="auto"/>
          <w:sz w:val="24"/>
          <w:szCs w:val="24"/>
          <w:lang w:eastAsia="zh-CN"/>
        </w:rPr>
        <w:t>表4.1-</w:t>
      </w:r>
      <w:r>
        <w:rPr>
          <w:rFonts w:hint="eastAsia" w:ascii="Times New Roman" w:hAnsi="Times New Roman"/>
          <w:b/>
          <w:color w:val="auto"/>
          <w:sz w:val="24"/>
          <w:szCs w:val="24"/>
          <w:lang w:eastAsia="zh-CN"/>
        </w:rPr>
        <w:t>10</w:t>
      </w:r>
      <w:r>
        <w:rPr>
          <w:rFonts w:ascii="Times New Roman" w:hAnsi="Times New Roman"/>
          <w:b/>
          <w:color w:val="auto"/>
          <w:sz w:val="24"/>
          <w:szCs w:val="24"/>
          <w:lang w:eastAsia="zh-CN"/>
        </w:rPr>
        <w:t xml:space="preserve"> </w:t>
      </w:r>
      <w:r>
        <w:rPr>
          <w:rFonts w:hint="eastAsia" w:ascii="Times New Roman" w:hAnsi="Times New Roman"/>
          <w:b/>
          <w:color w:val="auto"/>
          <w:sz w:val="24"/>
          <w:szCs w:val="24"/>
          <w:lang w:eastAsia="zh-CN"/>
        </w:rPr>
        <w:t>改扩建后，全厂</w:t>
      </w:r>
      <w:r>
        <w:rPr>
          <w:rFonts w:ascii="Times New Roman" w:hAnsi="Times New Roman"/>
          <w:b/>
          <w:color w:val="auto"/>
          <w:sz w:val="24"/>
          <w:szCs w:val="24"/>
          <w:lang w:eastAsia="zh-CN"/>
        </w:rPr>
        <w:t>主要工艺设备</w:t>
      </w:r>
      <w:r>
        <w:rPr>
          <w:rFonts w:hint="eastAsia" w:ascii="Times New Roman" w:hAnsi="Times New Roman"/>
          <w:b/>
          <w:color w:val="auto"/>
          <w:sz w:val="24"/>
          <w:szCs w:val="24"/>
          <w:lang w:eastAsia="zh-CN"/>
        </w:rPr>
        <w:t>变化情况</w:t>
      </w:r>
      <w:r>
        <w:rPr>
          <w:rFonts w:ascii="Times New Roman" w:hAnsi="Times New Roman"/>
          <w:b/>
          <w:color w:val="auto"/>
          <w:sz w:val="24"/>
          <w:szCs w:val="24"/>
          <w:lang w:eastAsia="zh-CN"/>
        </w:rPr>
        <w:t>一览表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427"/>
        <w:gridCol w:w="677"/>
        <w:gridCol w:w="686"/>
        <w:gridCol w:w="1496"/>
        <w:gridCol w:w="2443"/>
        <w:gridCol w:w="849"/>
        <w:gridCol w:w="966"/>
        <w:gridCol w:w="754"/>
        <w:gridCol w:w="1611"/>
        <w:gridCol w:w="2443"/>
        <w:gridCol w:w="849"/>
        <w:gridCol w:w="757"/>
      </w:tblGrid>
      <w:tr w14:paraId="125172E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53" w:type="pct"/>
            <w:vMerge w:val="restart"/>
            <w:vAlign w:val="center"/>
          </w:tcPr>
          <w:p w14:paraId="7C8A885B">
            <w:pPr>
              <w:jc w:val="center"/>
              <w:rPr>
                <w:rFonts w:ascii="Times New Roman" w:hAnsi="Times New Roman" w:cs="Times New Roman"/>
                <w:color w:val="auto"/>
                <w:sz w:val="21"/>
              </w:rPr>
            </w:pPr>
            <w:r>
              <w:rPr>
                <w:rFonts w:ascii="Times New Roman" w:hAnsi="Times New Roman" w:cs="Times New Roman"/>
                <w:b/>
                <w:bCs/>
                <w:color w:val="auto"/>
                <w:sz w:val="21"/>
              </w:rPr>
              <w:t>序号</w:t>
            </w:r>
          </w:p>
        </w:tc>
        <w:tc>
          <w:tcPr>
            <w:tcW w:w="2203" w:type="pct"/>
            <w:gridSpan w:val="5"/>
            <w:vAlign w:val="center"/>
          </w:tcPr>
          <w:p w14:paraId="2DB00AE2">
            <w:pPr>
              <w:jc w:val="center"/>
              <w:rPr>
                <w:rFonts w:ascii="Times New Roman" w:hAnsi="Times New Roman" w:cs="Times New Roman"/>
                <w:b/>
                <w:color w:val="auto"/>
                <w:sz w:val="21"/>
              </w:rPr>
            </w:pPr>
            <w:r>
              <w:rPr>
                <w:rFonts w:ascii="Times New Roman" w:hAnsi="Times New Roman" w:cs="Times New Roman"/>
                <w:b/>
                <w:color w:val="auto"/>
                <w:sz w:val="21"/>
                <w:lang w:eastAsia="zh-CN"/>
              </w:rPr>
              <w:t>现有工程</w:t>
            </w:r>
            <w:r>
              <w:rPr>
                <w:rFonts w:hint="eastAsia" w:ascii="Times New Roman" w:hAnsi="Times New Roman" w:cs="Times New Roman"/>
                <w:b/>
                <w:color w:val="auto"/>
                <w:sz w:val="21"/>
                <w:lang w:eastAsia="zh-CN"/>
              </w:rPr>
              <w:t>设备</w:t>
            </w:r>
            <w:r>
              <w:rPr>
                <w:rFonts w:ascii="Times New Roman" w:hAnsi="Times New Roman" w:cs="Times New Roman"/>
                <w:b/>
                <w:color w:val="auto"/>
                <w:sz w:val="21"/>
                <w:lang w:eastAsia="zh-CN"/>
              </w:rPr>
              <w:t>情况</w:t>
            </w:r>
          </w:p>
        </w:tc>
        <w:tc>
          <w:tcPr>
            <w:tcW w:w="2372" w:type="pct"/>
            <w:gridSpan w:val="5"/>
            <w:vAlign w:val="center"/>
          </w:tcPr>
          <w:p w14:paraId="686FC178">
            <w:pPr>
              <w:jc w:val="center"/>
              <w:rPr>
                <w:rFonts w:ascii="Times New Roman" w:hAnsi="Times New Roman" w:cs="Times New Roman"/>
                <w:b/>
                <w:color w:val="auto"/>
                <w:sz w:val="21"/>
                <w:lang w:eastAsia="zh-CN"/>
              </w:rPr>
            </w:pPr>
            <w:r>
              <w:rPr>
                <w:rFonts w:ascii="Times New Roman" w:hAnsi="Times New Roman" w:cs="Times New Roman"/>
                <w:b/>
                <w:color w:val="auto"/>
                <w:sz w:val="21"/>
                <w:lang w:eastAsia="zh-CN"/>
              </w:rPr>
              <w:t>改扩建后全厂</w:t>
            </w:r>
            <w:r>
              <w:rPr>
                <w:rFonts w:hint="eastAsia" w:ascii="Times New Roman" w:hAnsi="Times New Roman" w:cs="Times New Roman"/>
                <w:b/>
                <w:color w:val="auto"/>
                <w:sz w:val="21"/>
                <w:lang w:eastAsia="zh-CN"/>
              </w:rPr>
              <w:t>设备</w:t>
            </w:r>
            <w:r>
              <w:rPr>
                <w:rFonts w:ascii="Times New Roman" w:hAnsi="Times New Roman" w:cs="Times New Roman"/>
                <w:b/>
                <w:color w:val="auto"/>
                <w:sz w:val="21"/>
                <w:lang w:eastAsia="zh-CN"/>
              </w:rPr>
              <w:t>情况</w:t>
            </w:r>
          </w:p>
        </w:tc>
        <w:tc>
          <w:tcPr>
            <w:tcW w:w="271" w:type="pct"/>
            <w:vMerge w:val="restart"/>
            <w:vAlign w:val="center"/>
          </w:tcPr>
          <w:p w14:paraId="363B0C3E">
            <w:pPr>
              <w:jc w:val="center"/>
              <w:rPr>
                <w:rFonts w:ascii="Times New Roman" w:hAnsi="Times New Roman" w:cs="Times New Roman"/>
                <w:b/>
                <w:color w:val="auto"/>
                <w:sz w:val="21"/>
                <w:lang w:eastAsia="zh-CN"/>
              </w:rPr>
            </w:pPr>
            <w:r>
              <w:rPr>
                <w:rFonts w:ascii="Times New Roman" w:hAnsi="Times New Roman" w:cs="Times New Roman"/>
                <w:b/>
                <w:color w:val="auto"/>
                <w:sz w:val="21"/>
                <w:lang w:eastAsia="zh-CN"/>
              </w:rPr>
              <w:t>变化情况</w:t>
            </w:r>
          </w:p>
        </w:tc>
      </w:tr>
      <w:tr w14:paraId="19DEA0C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53" w:type="pct"/>
            <w:vMerge w:val="continue"/>
            <w:vAlign w:val="center"/>
          </w:tcPr>
          <w:p w14:paraId="15684722">
            <w:pPr>
              <w:jc w:val="center"/>
              <w:rPr>
                <w:rFonts w:ascii="Times New Roman" w:hAnsi="Times New Roman" w:cs="Times New Roman"/>
                <w:b/>
                <w:bCs/>
                <w:color w:val="auto"/>
                <w:sz w:val="21"/>
              </w:rPr>
            </w:pPr>
          </w:p>
        </w:tc>
        <w:tc>
          <w:tcPr>
            <w:tcW w:w="243" w:type="pct"/>
            <w:vAlign w:val="center"/>
          </w:tcPr>
          <w:p w14:paraId="5C7DB313">
            <w:pPr>
              <w:jc w:val="center"/>
              <w:rPr>
                <w:rFonts w:ascii="Times New Roman" w:hAnsi="Times New Roman" w:cs="Times New Roman"/>
                <w:b/>
                <w:color w:val="auto"/>
                <w:sz w:val="21"/>
                <w:lang w:eastAsia="zh-CN"/>
              </w:rPr>
            </w:pPr>
            <w:r>
              <w:rPr>
                <w:rFonts w:ascii="Times New Roman" w:hAnsi="Times New Roman" w:cs="Times New Roman"/>
                <w:b/>
                <w:color w:val="auto"/>
                <w:sz w:val="21"/>
                <w:lang w:eastAsia="zh-CN"/>
              </w:rPr>
              <w:t>装置</w:t>
            </w:r>
          </w:p>
        </w:tc>
        <w:tc>
          <w:tcPr>
            <w:tcW w:w="246" w:type="pct"/>
            <w:vAlign w:val="center"/>
          </w:tcPr>
          <w:p w14:paraId="5D4BC3EE">
            <w:pPr>
              <w:jc w:val="center"/>
              <w:rPr>
                <w:rFonts w:ascii="Times New Roman" w:hAnsi="Times New Roman" w:cs="Times New Roman"/>
                <w:b/>
                <w:color w:val="auto"/>
                <w:sz w:val="21"/>
                <w:lang w:eastAsia="zh-CN"/>
              </w:rPr>
            </w:pPr>
            <w:r>
              <w:rPr>
                <w:rFonts w:ascii="Times New Roman" w:hAnsi="Times New Roman" w:cs="Times New Roman"/>
                <w:b/>
                <w:color w:val="auto"/>
                <w:sz w:val="21"/>
                <w:lang w:eastAsia="zh-CN"/>
              </w:rPr>
              <w:t>产品名称</w:t>
            </w:r>
          </w:p>
        </w:tc>
        <w:tc>
          <w:tcPr>
            <w:tcW w:w="536" w:type="pct"/>
            <w:vAlign w:val="center"/>
          </w:tcPr>
          <w:p w14:paraId="3EA86E1B">
            <w:pPr>
              <w:jc w:val="center"/>
              <w:rPr>
                <w:rFonts w:ascii="Times New Roman" w:hAnsi="Times New Roman" w:cs="Times New Roman"/>
                <w:b/>
                <w:color w:val="auto"/>
                <w:sz w:val="21"/>
                <w:lang w:eastAsia="zh-CN"/>
              </w:rPr>
            </w:pPr>
            <w:r>
              <w:rPr>
                <w:rFonts w:ascii="Times New Roman" w:hAnsi="Times New Roman" w:cs="Times New Roman"/>
                <w:b/>
                <w:color w:val="auto"/>
                <w:sz w:val="21"/>
              </w:rPr>
              <w:t>设备名称</w:t>
            </w:r>
          </w:p>
        </w:tc>
        <w:tc>
          <w:tcPr>
            <w:tcW w:w="875" w:type="pct"/>
            <w:vAlign w:val="center"/>
          </w:tcPr>
          <w:p w14:paraId="5E94EA2F">
            <w:pPr>
              <w:jc w:val="center"/>
              <w:rPr>
                <w:rFonts w:ascii="Times New Roman" w:hAnsi="Times New Roman" w:cs="Times New Roman"/>
                <w:b/>
                <w:color w:val="auto"/>
                <w:sz w:val="21"/>
                <w:lang w:eastAsia="zh-CN"/>
              </w:rPr>
            </w:pPr>
            <w:r>
              <w:rPr>
                <w:rFonts w:ascii="Times New Roman" w:hAnsi="Times New Roman" w:cs="Times New Roman"/>
                <w:b/>
                <w:color w:val="auto"/>
                <w:sz w:val="21"/>
              </w:rPr>
              <w:t>规格型号</w:t>
            </w:r>
          </w:p>
        </w:tc>
        <w:tc>
          <w:tcPr>
            <w:tcW w:w="304" w:type="pct"/>
            <w:vAlign w:val="center"/>
          </w:tcPr>
          <w:p w14:paraId="1402DBE2">
            <w:pPr>
              <w:jc w:val="center"/>
              <w:rPr>
                <w:rFonts w:ascii="Times New Roman" w:hAnsi="Times New Roman" w:cs="Times New Roman"/>
                <w:b/>
                <w:color w:val="auto"/>
                <w:sz w:val="21"/>
                <w:lang w:eastAsia="zh-CN"/>
              </w:rPr>
            </w:pPr>
            <w:r>
              <w:rPr>
                <w:rFonts w:ascii="Times New Roman" w:hAnsi="Times New Roman" w:cs="Times New Roman"/>
                <w:b/>
                <w:color w:val="auto"/>
                <w:sz w:val="21"/>
                <w:lang w:eastAsia="zh-CN"/>
              </w:rPr>
              <w:t>数量</w:t>
            </w:r>
          </w:p>
          <w:p w14:paraId="11E8E7E4">
            <w:pPr>
              <w:jc w:val="center"/>
              <w:rPr>
                <w:rFonts w:ascii="Times New Roman" w:hAnsi="Times New Roman" w:cs="Times New Roman"/>
                <w:b/>
                <w:color w:val="auto"/>
                <w:sz w:val="21"/>
              </w:rPr>
            </w:pPr>
            <w:r>
              <w:rPr>
                <w:rFonts w:ascii="Times New Roman" w:hAnsi="Times New Roman" w:cs="Times New Roman"/>
                <w:b/>
                <w:color w:val="auto"/>
                <w:sz w:val="21"/>
                <w:lang w:eastAsia="zh-CN"/>
              </w:rPr>
              <w:t>（台）</w:t>
            </w:r>
          </w:p>
        </w:tc>
        <w:tc>
          <w:tcPr>
            <w:tcW w:w="346" w:type="pct"/>
            <w:vAlign w:val="center"/>
          </w:tcPr>
          <w:p w14:paraId="3525A1D4">
            <w:pPr>
              <w:jc w:val="center"/>
              <w:rPr>
                <w:rFonts w:ascii="Times New Roman" w:hAnsi="Times New Roman" w:cs="Times New Roman"/>
                <w:b/>
                <w:color w:val="auto"/>
                <w:sz w:val="21"/>
              </w:rPr>
            </w:pPr>
            <w:r>
              <w:rPr>
                <w:rFonts w:ascii="Times New Roman" w:hAnsi="Times New Roman" w:cs="Times New Roman"/>
                <w:b/>
                <w:color w:val="auto"/>
                <w:sz w:val="21"/>
                <w:lang w:eastAsia="zh-CN"/>
              </w:rPr>
              <w:t>装置</w:t>
            </w:r>
          </w:p>
        </w:tc>
        <w:tc>
          <w:tcPr>
            <w:tcW w:w="270" w:type="pct"/>
            <w:vAlign w:val="center"/>
          </w:tcPr>
          <w:p w14:paraId="2007D221">
            <w:pPr>
              <w:jc w:val="center"/>
              <w:rPr>
                <w:rFonts w:ascii="Times New Roman" w:hAnsi="Times New Roman" w:cs="Times New Roman"/>
                <w:b/>
                <w:color w:val="auto"/>
                <w:sz w:val="21"/>
              </w:rPr>
            </w:pPr>
            <w:r>
              <w:rPr>
                <w:rFonts w:ascii="Times New Roman" w:hAnsi="Times New Roman" w:cs="Times New Roman"/>
                <w:b/>
                <w:color w:val="auto"/>
                <w:sz w:val="21"/>
                <w:lang w:eastAsia="zh-CN"/>
              </w:rPr>
              <w:t>产品名称</w:t>
            </w:r>
          </w:p>
        </w:tc>
        <w:tc>
          <w:tcPr>
            <w:tcW w:w="577" w:type="pct"/>
            <w:vAlign w:val="center"/>
          </w:tcPr>
          <w:p w14:paraId="2F14CF00">
            <w:pPr>
              <w:jc w:val="center"/>
              <w:rPr>
                <w:rFonts w:ascii="Times New Roman" w:hAnsi="Times New Roman" w:cs="Times New Roman"/>
                <w:b/>
                <w:color w:val="auto"/>
                <w:sz w:val="21"/>
              </w:rPr>
            </w:pPr>
            <w:r>
              <w:rPr>
                <w:rFonts w:ascii="Times New Roman" w:hAnsi="Times New Roman" w:cs="Times New Roman"/>
                <w:b/>
                <w:color w:val="auto"/>
                <w:sz w:val="21"/>
              </w:rPr>
              <w:t>设备名称</w:t>
            </w:r>
          </w:p>
        </w:tc>
        <w:tc>
          <w:tcPr>
            <w:tcW w:w="875" w:type="pct"/>
            <w:vAlign w:val="center"/>
          </w:tcPr>
          <w:p w14:paraId="736BC830">
            <w:pPr>
              <w:jc w:val="center"/>
              <w:rPr>
                <w:rFonts w:ascii="Times New Roman" w:hAnsi="Times New Roman" w:cs="Times New Roman"/>
                <w:b/>
                <w:color w:val="auto"/>
                <w:sz w:val="21"/>
                <w:lang w:eastAsia="zh-CN"/>
              </w:rPr>
            </w:pPr>
            <w:r>
              <w:rPr>
                <w:rFonts w:ascii="Times New Roman" w:hAnsi="Times New Roman" w:cs="Times New Roman"/>
                <w:b/>
                <w:color w:val="auto"/>
                <w:sz w:val="21"/>
              </w:rPr>
              <w:t>规格型号</w:t>
            </w:r>
          </w:p>
        </w:tc>
        <w:tc>
          <w:tcPr>
            <w:tcW w:w="304" w:type="pct"/>
            <w:vAlign w:val="center"/>
          </w:tcPr>
          <w:p w14:paraId="199EC60F">
            <w:pPr>
              <w:jc w:val="center"/>
              <w:rPr>
                <w:rFonts w:ascii="Times New Roman" w:hAnsi="Times New Roman" w:cs="Times New Roman"/>
                <w:b/>
                <w:color w:val="auto"/>
                <w:sz w:val="21"/>
                <w:lang w:eastAsia="zh-CN"/>
              </w:rPr>
            </w:pPr>
            <w:r>
              <w:rPr>
                <w:rFonts w:ascii="Times New Roman" w:hAnsi="Times New Roman" w:cs="Times New Roman"/>
                <w:b/>
                <w:color w:val="auto"/>
                <w:sz w:val="21"/>
                <w:lang w:eastAsia="zh-CN"/>
              </w:rPr>
              <w:t>数量</w:t>
            </w:r>
          </w:p>
          <w:p w14:paraId="0A2D125C">
            <w:pPr>
              <w:jc w:val="center"/>
              <w:rPr>
                <w:rFonts w:ascii="Times New Roman" w:hAnsi="Times New Roman" w:cs="Times New Roman"/>
                <w:b/>
                <w:color w:val="auto"/>
                <w:sz w:val="21"/>
                <w:lang w:eastAsia="zh-CN"/>
              </w:rPr>
            </w:pPr>
            <w:r>
              <w:rPr>
                <w:rFonts w:ascii="Times New Roman" w:hAnsi="Times New Roman" w:cs="Times New Roman"/>
                <w:b/>
                <w:color w:val="auto"/>
                <w:sz w:val="21"/>
                <w:lang w:eastAsia="zh-CN"/>
              </w:rPr>
              <w:t>（台）</w:t>
            </w:r>
          </w:p>
        </w:tc>
        <w:tc>
          <w:tcPr>
            <w:tcW w:w="271" w:type="pct"/>
            <w:vMerge w:val="continue"/>
            <w:vAlign w:val="center"/>
          </w:tcPr>
          <w:p w14:paraId="4C55FD2E">
            <w:pPr>
              <w:jc w:val="center"/>
              <w:rPr>
                <w:rFonts w:ascii="Times New Roman" w:hAnsi="Times New Roman" w:cs="Times New Roman"/>
                <w:b/>
                <w:color w:val="auto"/>
                <w:sz w:val="21"/>
                <w:lang w:eastAsia="zh-CN"/>
              </w:rPr>
            </w:pPr>
          </w:p>
        </w:tc>
      </w:tr>
      <w:tr w14:paraId="7CD4866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53" w:type="pct"/>
            <w:vAlign w:val="center"/>
          </w:tcPr>
          <w:p w14:paraId="324C59DC">
            <w:pPr>
              <w:jc w:val="center"/>
              <w:rPr>
                <w:rFonts w:ascii="Times New Roman" w:hAnsi="Times New Roman" w:cs="Times New Roman"/>
                <w:b/>
                <w:bCs/>
                <w:color w:val="auto"/>
                <w:sz w:val="21"/>
              </w:rPr>
            </w:pPr>
            <w:r>
              <w:rPr>
                <w:rFonts w:ascii="Times New Roman" w:hAnsi="Times New Roman" w:cs="Times New Roman"/>
                <w:color w:val="auto"/>
                <w:spacing w:val="-2"/>
                <w:sz w:val="21"/>
              </w:rPr>
              <w:t>1</w:t>
            </w:r>
          </w:p>
        </w:tc>
        <w:tc>
          <w:tcPr>
            <w:tcW w:w="243" w:type="pct"/>
            <w:vMerge w:val="restart"/>
            <w:vAlign w:val="center"/>
          </w:tcPr>
          <w:p w14:paraId="36202484">
            <w:pPr>
              <w:jc w:val="center"/>
              <w:rPr>
                <w:rFonts w:ascii="Times New Roman" w:hAnsi="Times New Roman" w:cs="Times New Roman"/>
                <w:b/>
                <w:color w:val="auto"/>
                <w:sz w:val="21"/>
                <w:lang w:eastAsia="zh-CN"/>
              </w:rPr>
            </w:pPr>
            <w:r>
              <w:rPr>
                <w:rFonts w:ascii="Times New Roman" w:hAnsi="Times New Roman" w:cs="Times New Roman"/>
                <w:color w:val="auto"/>
                <w:spacing w:val="-2"/>
                <w:sz w:val="21"/>
                <w:lang w:eastAsia="zh-CN"/>
              </w:rPr>
              <w:t>电子级氢氟酸生产装置</w:t>
            </w:r>
          </w:p>
        </w:tc>
        <w:tc>
          <w:tcPr>
            <w:tcW w:w="246" w:type="pct"/>
            <w:vMerge w:val="restart"/>
            <w:vAlign w:val="center"/>
          </w:tcPr>
          <w:p w14:paraId="0A259C65">
            <w:pPr>
              <w:jc w:val="center"/>
              <w:rPr>
                <w:rFonts w:ascii="Times New Roman" w:hAnsi="Times New Roman" w:cs="Times New Roman"/>
                <w:b/>
                <w:color w:val="auto"/>
                <w:sz w:val="21"/>
                <w:lang w:eastAsia="zh-CN"/>
              </w:rPr>
            </w:pPr>
            <w:r>
              <w:rPr>
                <w:rFonts w:ascii="Times New Roman" w:hAnsi="Times New Roman" w:cs="Times New Roman"/>
                <w:color w:val="auto"/>
                <w:spacing w:val="-2"/>
                <w:sz w:val="21"/>
              </w:rPr>
              <w:t>电子级氢氟酸</w:t>
            </w:r>
          </w:p>
        </w:tc>
        <w:tc>
          <w:tcPr>
            <w:tcW w:w="536" w:type="pct"/>
            <w:vAlign w:val="center"/>
          </w:tcPr>
          <w:p w14:paraId="5FED8A42">
            <w:pPr>
              <w:jc w:val="center"/>
              <w:rPr>
                <w:rFonts w:ascii="Times New Roman" w:hAnsi="Times New Roman" w:cs="Times New Roman"/>
                <w:b/>
                <w:color w:val="auto"/>
                <w:sz w:val="21"/>
              </w:rPr>
            </w:pPr>
          </w:p>
        </w:tc>
        <w:tc>
          <w:tcPr>
            <w:tcW w:w="875" w:type="pct"/>
            <w:vAlign w:val="center"/>
          </w:tcPr>
          <w:p w14:paraId="36DDEF54">
            <w:pPr>
              <w:jc w:val="center"/>
              <w:rPr>
                <w:rFonts w:ascii="Times New Roman" w:hAnsi="Times New Roman" w:cs="Times New Roman"/>
                <w:b/>
                <w:color w:val="auto"/>
                <w:sz w:val="21"/>
              </w:rPr>
            </w:pPr>
          </w:p>
        </w:tc>
        <w:tc>
          <w:tcPr>
            <w:tcW w:w="304" w:type="pct"/>
            <w:vAlign w:val="center"/>
          </w:tcPr>
          <w:p w14:paraId="7B332BD3">
            <w:pPr>
              <w:jc w:val="center"/>
              <w:rPr>
                <w:rFonts w:ascii="Times New Roman" w:hAnsi="Times New Roman" w:cs="Times New Roman"/>
                <w:b/>
                <w:color w:val="auto"/>
                <w:sz w:val="21"/>
                <w:lang w:eastAsia="zh-CN"/>
              </w:rPr>
            </w:pPr>
          </w:p>
        </w:tc>
        <w:tc>
          <w:tcPr>
            <w:tcW w:w="346" w:type="pct"/>
            <w:vMerge w:val="restart"/>
            <w:vAlign w:val="center"/>
          </w:tcPr>
          <w:p w14:paraId="75253456">
            <w:pPr>
              <w:jc w:val="center"/>
              <w:rPr>
                <w:rFonts w:ascii="Times New Roman" w:hAnsi="Times New Roman" w:cs="Times New Roman"/>
                <w:b/>
                <w:color w:val="auto"/>
                <w:sz w:val="21"/>
                <w:lang w:eastAsia="zh-CN"/>
              </w:rPr>
            </w:pPr>
            <w:r>
              <w:rPr>
                <w:rFonts w:ascii="Times New Roman" w:hAnsi="Times New Roman" w:cs="Times New Roman"/>
                <w:color w:val="auto"/>
                <w:spacing w:val="-2"/>
                <w:sz w:val="21"/>
                <w:lang w:eastAsia="zh-CN"/>
              </w:rPr>
              <w:t>电子级氢氟酸生产装置</w:t>
            </w:r>
          </w:p>
        </w:tc>
        <w:tc>
          <w:tcPr>
            <w:tcW w:w="270" w:type="pct"/>
            <w:vMerge w:val="restart"/>
            <w:vAlign w:val="center"/>
          </w:tcPr>
          <w:p w14:paraId="2F55BCA8">
            <w:pPr>
              <w:jc w:val="center"/>
              <w:rPr>
                <w:rFonts w:ascii="Times New Roman" w:hAnsi="Times New Roman" w:cs="Times New Roman"/>
                <w:b/>
                <w:color w:val="auto"/>
                <w:sz w:val="21"/>
                <w:lang w:eastAsia="zh-CN"/>
              </w:rPr>
            </w:pPr>
            <w:r>
              <w:rPr>
                <w:rFonts w:ascii="Times New Roman" w:hAnsi="Times New Roman" w:cs="Times New Roman"/>
                <w:color w:val="auto"/>
                <w:spacing w:val="-2"/>
                <w:sz w:val="21"/>
              </w:rPr>
              <w:t>电子级氢氟酸</w:t>
            </w:r>
          </w:p>
        </w:tc>
        <w:tc>
          <w:tcPr>
            <w:tcW w:w="577" w:type="pct"/>
            <w:vAlign w:val="center"/>
          </w:tcPr>
          <w:p w14:paraId="073344CA">
            <w:pPr>
              <w:jc w:val="center"/>
              <w:rPr>
                <w:rFonts w:ascii="Times New Roman" w:hAnsi="Times New Roman" w:cs="Times New Roman"/>
                <w:b/>
                <w:color w:val="auto"/>
                <w:sz w:val="21"/>
              </w:rPr>
            </w:pPr>
          </w:p>
        </w:tc>
        <w:tc>
          <w:tcPr>
            <w:tcW w:w="875" w:type="pct"/>
            <w:vAlign w:val="center"/>
          </w:tcPr>
          <w:p w14:paraId="54E29EFF">
            <w:pPr>
              <w:jc w:val="center"/>
              <w:rPr>
                <w:rFonts w:ascii="Times New Roman" w:hAnsi="Times New Roman" w:cs="Times New Roman"/>
                <w:b/>
                <w:color w:val="auto"/>
                <w:sz w:val="21"/>
              </w:rPr>
            </w:pPr>
          </w:p>
        </w:tc>
        <w:tc>
          <w:tcPr>
            <w:tcW w:w="304" w:type="pct"/>
            <w:vAlign w:val="center"/>
          </w:tcPr>
          <w:p w14:paraId="14FA7D86">
            <w:pPr>
              <w:jc w:val="center"/>
              <w:rPr>
                <w:rFonts w:ascii="Times New Roman" w:hAnsi="Times New Roman" w:cs="Times New Roman"/>
                <w:b/>
                <w:color w:val="auto"/>
                <w:sz w:val="21"/>
                <w:lang w:eastAsia="zh-CN"/>
              </w:rPr>
            </w:pPr>
          </w:p>
        </w:tc>
        <w:tc>
          <w:tcPr>
            <w:tcW w:w="271" w:type="pct"/>
            <w:vAlign w:val="center"/>
          </w:tcPr>
          <w:p w14:paraId="68AE2BD5">
            <w:pPr>
              <w:jc w:val="center"/>
              <w:rPr>
                <w:rFonts w:ascii="Times New Roman" w:hAnsi="Times New Roman" w:cs="Times New Roman"/>
                <w:bCs/>
                <w:color w:val="auto"/>
                <w:sz w:val="21"/>
                <w:lang w:eastAsia="zh-CN"/>
              </w:rPr>
            </w:pPr>
            <w:r>
              <w:rPr>
                <w:rFonts w:ascii="Times New Roman" w:hAnsi="Times New Roman" w:cs="Times New Roman"/>
                <w:bCs/>
                <w:color w:val="auto"/>
                <w:sz w:val="21"/>
                <w:lang w:eastAsia="zh-CN"/>
              </w:rPr>
              <w:t>不变</w:t>
            </w:r>
          </w:p>
        </w:tc>
      </w:tr>
      <w:tr w14:paraId="695C2D6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53" w:type="pct"/>
            <w:vAlign w:val="center"/>
          </w:tcPr>
          <w:p w14:paraId="0DAA8899">
            <w:pPr>
              <w:jc w:val="center"/>
              <w:rPr>
                <w:rFonts w:ascii="Times New Roman" w:hAnsi="Times New Roman" w:cs="Times New Roman"/>
                <w:b/>
                <w:bCs/>
                <w:color w:val="auto"/>
                <w:sz w:val="21"/>
              </w:rPr>
            </w:pPr>
            <w:r>
              <w:rPr>
                <w:rFonts w:ascii="Times New Roman" w:hAnsi="Times New Roman" w:cs="Times New Roman"/>
                <w:color w:val="auto"/>
                <w:spacing w:val="-2"/>
                <w:sz w:val="21"/>
              </w:rPr>
              <w:t>2</w:t>
            </w:r>
          </w:p>
        </w:tc>
        <w:tc>
          <w:tcPr>
            <w:tcW w:w="243" w:type="pct"/>
            <w:vMerge w:val="continue"/>
            <w:vAlign w:val="center"/>
          </w:tcPr>
          <w:p w14:paraId="62471365">
            <w:pPr>
              <w:jc w:val="center"/>
              <w:rPr>
                <w:rFonts w:ascii="Times New Roman" w:hAnsi="Times New Roman" w:cs="Times New Roman"/>
                <w:b/>
                <w:color w:val="auto"/>
                <w:sz w:val="21"/>
                <w:lang w:eastAsia="zh-CN"/>
              </w:rPr>
            </w:pPr>
          </w:p>
        </w:tc>
        <w:tc>
          <w:tcPr>
            <w:tcW w:w="246" w:type="pct"/>
            <w:vMerge w:val="continue"/>
            <w:vAlign w:val="center"/>
          </w:tcPr>
          <w:p w14:paraId="5BC00446">
            <w:pPr>
              <w:jc w:val="center"/>
              <w:rPr>
                <w:rFonts w:ascii="Times New Roman" w:hAnsi="Times New Roman" w:cs="Times New Roman"/>
                <w:b/>
                <w:color w:val="auto"/>
                <w:sz w:val="21"/>
                <w:lang w:eastAsia="zh-CN"/>
              </w:rPr>
            </w:pPr>
          </w:p>
        </w:tc>
        <w:tc>
          <w:tcPr>
            <w:tcW w:w="536" w:type="pct"/>
            <w:vAlign w:val="center"/>
          </w:tcPr>
          <w:p w14:paraId="7070D18F">
            <w:pPr>
              <w:jc w:val="center"/>
              <w:rPr>
                <w:rFonts w:ascii="Times New Roman" w:hAnsi="Times New Roman" w:cs="Times New Roman"/>
                <w:b/>
                <w:color w:val="auto"/>
                <w:sz w:val="21"/>
              </w:rPr>
            </w:pPr>
          </w:p>
        </w:tc>
        <w:tc>
          <w:tcPr>
            <w:tcW w:w="875" w:type="pct"/>
            <w:vAlign w:val="center"/>
          </w:tcPr>
          <w:p w14:paraId="33245CE0">
            <w:pPr>
              <w:jc w:val="center"/>
              <w:rPr>
                <w:rFonts w:ascii="Times New Roman" w:hAnsi="Times New Roman" w:cs="Times New Roman"/>
                <w:b/>
                <w:color w:val="auto"/>
                <w:sz w:val="21"/>
              </w:rPr>
            </w:pPr>
          </w:p>
        </w:tc>
        <w:tc>
          <w:tcPr>
            <w:tcW w:w="304" w:type="pct"/>
            <w:vAlign w:val="center"/>
          </w:tcPr>
          <w:p w14:paraId="150BD605">
            <w:pPr>
              <w:jc w:val="center"/>
              <w:rPr>
                <w:rFonts w:ascii="Times New Roman" w:hAnsi="Times New Roman" w:cs="Times New Roman"/>
                <w:b/>
                <w:color w:val="auto"/>
                <w:sz w:val="21"/>
                <w:lang w:eastAsia="zh-CN"/>
              </w:rPr>
            </w:pPr>
          </w:p>
        </w:tc>
        <w:tc>
          <w:tcPr>
            <w:tcW w:w="346" w:type="pct"/>
            <w:vMerge w:val="continue"/>
            <w:vAlign w:val="center"/>
          </w:tcPr>
          <w:p w14:paraId="021E2CBA">
            <w:pPr>
              <w:jc w:val="center"/>
              <w:rPr>
                <w:rFonts w:ascii="Times New Roman" w:hAnsi="Times New Roman" w:cs="Times New Roman"/>
                <w:b/>
                <w:color w:val="auto"/>
                <w:sz w:val="21"/>
                <w:lang w:eastAsia="zh-CN"/>
              </w:rPr>
            </w:pPr>
          </w:p>
        </w:tc>
        <w:tc>
          <w:tcPr>
            <w:tcW w:w="270" w:type="pct"/>
            <w:vMerge w:val="continue"/>
            <w:vAlign w:val="center"/>
          </w:tcPr>
          <w:p w14:paraId="5AA683CE">
            <w:pPr>
              <w:jc w:val="center"/>
              <w:rPr>
                <w:rFonts w:ascii="Times New Roman" w:hAnsi="Times New Roman" w:cs="Times New Roman"/>
                <w:b/>
                <w:color w:val="auto"/>
                <w:sz w:val="21"/>
                <w:lang w:eastAsia="zh-CN"/>
              </w:rPr>
            </w:pPr>
          </w:p>
        </w:tc>
        <w:tc>
          <w:tcPr>
            <w:tcW w:w="577" w:type="pct"/>
            <w:vAlign w:val="center"/>
          </w:tcPr>
          <w:p w14:paraId="411B646F">
            <w:pPr>
              <w:jc w:val="center"/>
              <w:rPr>
                <w:rFonts w:ascii="Times New Roman" w:hAnsi="Times New Roman" w:cs="Times New Roman"/>
                <w:b/>
                <w:color w:val="auto"/>
                <w:sz w:val="21"/>
              </w:rPr>
            </w:pPr>
          </w:p>
        </w:tc>
        <w:tc>
          <w:tcPr>
            <w:tcW w:w="875" w:type="pct"/>
            <w:vAlign w:val="center"/>
          </w:tcPr>
          <w:p w14:paraId="52E8C4B3">
            <w:pPr>
              <w:jc w:val="center"/>
              <w:rPr>
                <w:rFonts w:ascii="Times New Roman" w:hAnsi="Times New Roman" w:cs="Times New Roman"/>
                <w:b/>
                <w:color w:val="auto"/>
                <w:sz w:val="21"/>
              </w:rPr>
            </w:pPr>
          </w:p>
        </w:tc>
        <w:tc>
          <w:tcPr>
            <w:tcW w:w="304" w:type="pct"/>
            <w:vAlign w:val="center"/>
          </w:tcPr>
          <w:p w14:paraId="46CEE0B7">
            <w:pPr>
              <w:jc w:val="center"/>
              <w:rPr>
                <w:rFonts w:ascii="Times New Roman" w:hAnsi="Times New Roman" w:cs="Times New Roman"/>
                <w:b/>
                <w:color w:val="auto"/>
                <w:sz w:val="21"/>
                <w:lang w:eastAsia="zh-CN"/>
              </w:rPr>
            </w:pPr>
          </w:p>
        </w:tc>
        <w:tc>
          <w:tcPr>
            <w:tcW w:w="271" w:type="pct"/>
            <w:vAlign w:val="center"/>
          </w:tcPr>
          <w:p w14:paraId="098FB695">
            <w:pPr>
              <w:jc w:val="center"/>
              <w:rPr>
                <w:rFonts w:ascii="Times New Roman" w:hAnsi="Times New Roman" w:cs="Times New Roman"/>
                <w:b/>
                <w:color w:val="auto"/>
                <w:sz w:val="21"/>
                <w:lang w:eastAsia="zh-CN"/>
              </w:rPr>
            </w:pPr>
            <w:r>
              <w:rPr>
                <w:rFonts w:ascii="Times New Roman" w:hAnsi="Times New Roman" w:cs="Times New Roman"/>
                <w:bCs/>
                <w:color w:val="auto"/>
                <w:sz w:val="21"/>
                <w:lang w:eastAsia="zh-CN"/>
              </w:rPr>
              <w:t>不变</w:t>
            </w:r>
          </w:p>
        </w:tc>
      </w:tr>
      <w:tr w14:paraId="50A9A20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53" w:type="pct"/>
            <w:vAlign w:val="center"/>
          </w:tcPr>
          <w:p w14:paraId="4A6F976F">
            <w:pPr>
              <w:jc w:val="center"/>
              <w:rPr>
                <w:rFonts w:ascii="Times New Roman" w:hAnsi="Times New Roman" w:cs="Times New Roman"/>
                <w:b/>
                <w:bCs/>
                <w:color w:val="auto"/>
                <w:sz w:val="21"/>
              </w:rPr>
            </w:pPr>
            <w:r>
              <w:rPr>
                <w:rFonts w:ascii="Times New Roman" w:hAnsi="Times New Roman" w:cs="Times New Roman"/>
                <w:color w:val="auto"/>
                <w:spacing w:val="-2"/>
                <w:sz w:val="21"/>
              </w:rPr>
              <w:t>3</w:t>
            </w:r>
          </w:p>
        </w:tc>
        <w:tc>
          <w:tcPr>
            <w:tcW w:w="243" w:type="pct"/>
            <w:vMerge w:val="continue"/>
            <w:vAlign w:val="center"/>
          </w:tcPr>
          <w:p w14:paraId="361153CB">
            <w:pPr>
              <w:jc w:val="center"/>
              <w:rPr>
                <w:rFonts w:ascii="Times New Roman" w:hAnsi="Times New Roman" w:cs="Times New Roman"/>
                <w:b/>
                <w:color w:val="auto"/>
                <w:sz w:val="21"/>
                <w:lang w:eastAsia="zh-CN"/>
              </w:rPr>
            </w:pPr>
          </w:p>
        </w:tc>
        <w:tc>
          <w:tcPr>
            <w:tcW w:w="246" w:type="pct"/>
            <w:vMerge w:val="continue"/>
            <w:vAlign w:val="center"/>
          </w:tcPr>
          <w:p w14:paraId="51C85DC0">
            <w:pPr>
              <w:jc w:val="center"/>
              <w:rPr>
                <w:rFonts w:ascii="Times New Roman" w:hAnsi="Times New Roman" w:cs="Times New Roman"/>
                <w:b/>
                <w:color w:val="auto"/>
                <w:sz w:val="21"/>
                <w:lang w:eastAsia="zh-CN"/>
              </w:rPr>
            </w:pPr>
          </w:p>
        </w:tc>
        <w:tc>
          <w:tcPr>
            <w:tcW w:w="536" w:type="pct"/>
            <w:vAlign w:val="center"/>
          </w:tcPr>
          <w:p w14:paraId="0EC161C6">
            <w:pPr>
              <w:jc w:val="center"/>
              <w:rPr>
                <w:rFonts w:ascii="Times New Roman" w:hAnsi="Times New Roman" w:cs="Times New Roman"/>
                <w:b/>
                <w:color w:val="auto"/>
                <w:sz w:val="21"/>
              </w:rPr>
            </w:pPr>
          </w:p>
        </w:tc>
        <w:tc>
          <w:tcPr>
            <w:tcW w:w="875" w:type="pct"/>
            <w:vAlign w:val="center"/>
          </w:tcPr>
          <w:p w14:paraId="2BD0A64C">
            <w:pPr>
              <w:jc w:val="center"/>
              <w:rPr>
                <w:rFonts w:ascii="Times New Roman" w:hAnsi="Times New Roman" w:cs="Times New Roman"/>
                <w:b/>
                <w:color w:val="auto"/>
                <w:sz w:val="21"/>
              </w:rPr>
            </w:pPr>
          </w:p>
        </w:tc>
        <w:tc>
          <w:tcPr>
            <w:tcW w:w="304" w:type="pct"/>
            <w:vAlign w:val="center"/>
          </w:tcPr>
          <w:p w14:paraId="7E888261">
            <w:pPr>
              <w:jc w:val="center"/>
              <w:rPr>
                <w:rFonts w:ascii="Times New Roman" w:hAnsi="Times New Roman" w:cs="Times New Roman"/>
                <w:b/>
                <w:color w:val="auto"/>
                <w:sz w:val="21"/>
                <w:lang w:eastAsia="zh-CN"/>
              </w:rPr>
            </w:pPr>
          </w:p>
        </w:tc>
        <w:tc>
          <w:tcPr>
            <w:tcW w:w="346" w:type="pct"/>
            <w:vMerge w:val="continue"/>
            <w:vAlign w:val="center"/>
          </w:tcPr>
          <w:p w14:paraId="55FEBC19">
            <w:pPr>
              <w:jc w:val="center"/>
              <w:rPr>
                <w:rFonts w:ascii="Times New Roman" w:hAnsi="Times New Roman" w:cs="Times New Roman"/>
                <w:b/>
                <w:color w:val="auto"/>
                <w:sz w:val="21"/>
                <w:lang w:eastAsia="zh-CN"/>
              </w:rPr>
            </w:pPr>
          </w:p>
        </w:tc>
        <w:tc>
          <w:tcPr>
            <w:tcW w:w="270" w:type="pct"/>
            <w:vMerge w:val="continue"/>
            <w:vAlign w:val="center"/>
          </w:tcPr>
          <w:p w14:paraId="2882E479">
            <w:pPr>
              <w:jc w:val="center"/>
              <w:rPr>
                <w:rFonts w:ascii="Times New Roman" w:hAnsi="Times New Roman" w:cs="Times New Roman"/>
                <w:b/>
                <w:color w:val="auto"/>
                <w:sz w:val="21"/>
                <w:lang w:eastAsia="zh-CN"/>
              </w:rPr>
            </w:pPr>
          </w:p>
        </w:tc>
        <w:tc>
          <w:tcPr>
            <w:tcW w:w="577" w:type="pct"/>
            <w:vAlign w:val="center"/>
          </w:tcPr>
          <w:p w14:paraId="4083C42F">
            <w:pPr>
              <w:jc w:val="center"/>
              <w:rPr>
                <w:rFonts w:ascii="Times New Roman" w:hAnsi="Times New Roman" w:cs="Times New Roman"/>
                <w:b/>
                <w:color w:val="auto"/>
                <w:sz w:val="21"/>
              </w:rPr>
            </w:pPr>
          </w:p>
        </w:tc>
        <w:tc>
          <w:tcPr>
            <w:tcW w:w="875" w:type="pct"/>
            <w:vAlign w:val="center"/>
          </w:tcPr>
          <w:p w14:paraId="1A0A0AD4">
            <w:pPr>
              <w:jc w:val="center"/>
              <w:rPr>
                <w:rFonts w:ascii="Times New Roman" w:hAnsi="Times New Roman" w:cs="Times New Roman"/>
                <w:b/>
                <w:color w:val="auto"/>
                <w:sz w:val="21"/>
              </w:rPr>
            </w:pPr>
          </w:p>
        </w:tc>
        <w:tc>
          <w:tcPr>
            <w:tcW w:w="304" w:type="pct"/>
            <w:vAlign w:val="center"/>
          </w:tcPr>
          <w:p w14:paraId="0E4E32FF">
            <w:pPr>
              <w:jc w:val="center"/>
              <w:rPr>
                <w:rFonts w:ascii="Times New Roman" w:hAnsi="Times New Roman" w:cs="Times New Roman"/>
                <w:b/>
                <w:color w:val="auto"/>
                <w:sz w:val="21"/>
                <w:lang w:eastAsia="zh-CN"/>
              </w:rPr>
            </w:pPr>
          </w:p>
        </w:tc>
        <w:tc>
          <w:tcPr>
            <w:tcW w:w="271" w:type="pct"/>
            <w:vAlign w:val="center"/>
          </w:tcPr>
          <w:p w14:paraId="69071B27">
            <w:pPr>
              <w:jc w:val="center"/>
              <w:rPr>
                <w:rFonts w:ascii="Times New Roman" w:hAnsi="Times New Roman" w:cs="Times New Roman"/>
                <w:b/>
                <w:color w:val="auto"/>
                <w:sz w:val="21"/>
                <w:lang w:eastAsia="zh-CN"/>
              </w:rPr>
            </w:pPr>
            <w:r>
              <w:rPr>
                <w:rFonts w:ascii="Times New Roman" w:hAnsi="Times New Roman" w:cs="Times New Roman"/>
                <w:bCs/>
                <w:color w:val="auto"/>
                <w:sz w:val="21"/>
                <w:lang w:eastAsia="zh-CN"/>
              </w:rPr>
              <w:t>不变</w:t>
            </w:r>
          </w:p>
        </w:tc>
      </w:tr>
      <w:tr w14:paraId="10D76E9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53" w:type="pct"/>
            <w:vAlign w:val="center"/>
          </w:tcPr>
          <w:p w14:paraId="3ADD94F1">
            <w:pPr>
              <w:jc w:val="center"/>
              <w:rPr>
                <w:rFonts w:ascii="Times New Roman" w:hAnsi="Times New Roman" w:cs="Times New Roman"/>
                <w:b/>
                <w:bCs/>
                <w:color w:val="auto"/>
                <w:sz w:val="21"/>
              </w:rPr>
            </w:pPr>
            <w:r>
              <w:rPr>
                <w:rFonts w:ascii="Times New Roman" w:hAnsi="Times New Roman" w:cs="Times New Roman"/>
                <w:color w:val="auto"/>
                <w:spacing w:val="-2"/>
                <w:sz w:val="21"/>
              </w:rPr>
              <w:t>4</w:t>
            </w:r>
          </w:p>
        </w:tc>
        <w:tc>
          <w:tcPr>
            <w:tcW w:w="243" w:type="pct"/>
            <w:vMerge w:val="continue"/>
            <w:vAlign w:val="center"/>
          </w:tcPr>
          <w:p w14:paraId="61A7B53E">
            <w:pPr>
              <w:jc w:val="center"/>
              <w:rPr>
                <w:rFonts w:ascii="Times New Roman" w:hAnsi="Times New Roman" w:cs="Times New Roman"/>
                <w:b/>
                <w:color w:val="auto"/>
                <w:sz w:val="21"/>
                <w:lang w:eastAsia="zh-CN"/>
              </w:rPr>
            </w:pPr>
          </w:p>
        </w:tc>
        <w:tc>
          <w:tcPr>
            <w:tcW w:w="246" w:type="pct"/>
            <w:vMerge w:val="continue"/>
            <w:vAlign w:val="center"/>
          </w:tcPr>
          <w:p w14:paraId="79E1079A">
            <w:pPr>
              <w:jc w:val="center"/>
              <w:rPr>
                <w:rFonts w:ascii="Times New Roman" w:hAnsi="Times New Roman" w:cs="Times New Roman"/>
                <w:b/>
                <w:color w:val="auto"/>
                <w:sz w:val="21"/>
                <w:lang w:eastAsia="zh-CN"/>
              </w:rPr>
            </w:pPr>
          </w:p>
        </w:tc>
        <w:tc>
          <w:tcPr>
            <w:tcW w:w="536" w:type="pct"/>
            <w:vAlign w:val="center"/>
          </w:tcPr>
          <w:p w14:paraId="48ED975B">
            <w:pPr>
              <w:jc w:val="center"/>
              <w:rPr>
                <w:rFonts w:ascii="Times New Roman" w:hAnsi="Times New Roman" w:cs="Times New Roman"/>
                <w:b/>
                <w:color w:val="auto"/>
                <w:sz w:val="21"/>
              </w:rPr>
            </w:pPr>
          </w:p>
        </w:tc>
        <w:tc>
          <w:tcPr>
            <w:tcW w:w="875" w:type="pct"/>
            <w:vAlign w:val="center"/>
          </w:tcPr>
          <w:p w14:paraId="5DD45400">
            <w:pPr>
              <w:jc w:val="center"/>
              <w:rPr>
                <w:rFonts w:ascii="Times New Roman" w:hAnsi="Times New Roman" w:cs="Times New Roman"/>
                <w:b/>
                <w:color w:val="auto"/>
                <w:sz w:val="21"/>
              </w:rPr>
            </w:pPr>
          </w:p>
        </w:tc>
        <w:tc>
          <w:tcPr>
            <w:tcW w:w="304" w:type="pct"/>
            <w:vAlign w:val="center"/>
          </w:tcPr>
          <w:p w14:paraId="35A76AF4">
            <w:pPr>
              <w:jc w:val="center"/>
              <w:rPr>
                <w:rFonts w:ascii="Times New Roman" w:hAnsi="Times New Roman" w:cs="Times New Roman"/>
                <w:b/>
                <w:color w:val="auto"/>
                <w:sz w:val="21"/>
                <w:lang w:eastAsia="zh-CN"/>
              </w:rPr>
            </w:pPr>
          </w:p>
        </w:tc>
        <w:tc>
          <w:tcPr>
            <w:tcW w:w="346" w:type="pct"/>
            <w:vMerge w:val="continue"/>
            <w:vAlign w:val="center"/>
          </w:tcPr>
          <w:p w14:paraId="72BEDC24">
            <w:pPr>
              <w:jc w:val="center"/>
              <w:rPr>
                <w:rFonts w:ascii="Times New Roman" w:hAnsi="Times New Roman" w:cs="Times New Roman"/>
                <w:b/>
                <w:color w:val="auto"/>
                <w:sz w:val="21"/>
                <w:lang w:eastAsia="zh-CN"/>
              </w:rPr>
            </w:pPr>
          </w:p>
        </w:tc>
        <w:tc>
          <w:tcPr>
            <w:tcW w:w="270" w:type="pct"/>
            <w:vMerge w:val="continue"/>
            <w:vAlign w:val="center"/>
          </w:tcPr>
          <w:p w14:paraId="1F10588D">
            <w:pPr>
              <w:jc w:val="center"/>
              <w:rPr>
                <w:rFonts w:ascii="Times New Roman" w:hAnsi="Times New Roman" w:cs="Times New Roman"/>
                <w:b/>
                <w:color w:val="auto"/>
                <w:sz w:val="21"/>
                <w:lang w:eastAsia="zh-CN"/>
              </w:rPr>
            </w:pPr>
          </w:p>
        </w:tc>
        <w:tc>
          <w:tcPr>
            <w:tcW w:w="577" w:type="pct"/>
            <w:vAlign w:val="center"/>
          </w:tcPr>
          <w:p w14:paraId="5121DC48">
            <w:pPr>
              <w:jc w:val="center"/>
              <w:rPr>
                <w:rFonts w:ascii="Times New Roman" w:hAnsi="Times New Roman" w:cs="Times New Roman"/>
                <w:b/>
                <w:color w:val="auto"/>
                <w:sz w:val="21"/>
              </w:rPr>
            </w:pPr>
          </w:p>
        </w:tc>
        <w:tc>
          <w:tcPr>
            <w:tcW w:w="875" w:type="pct"/>
            <w:vAlign w:val="center"/>
          </w:tcPr>
          <w:p w14:paraId="1B0CA5CD">
            <w:pPr>
              <w:jc w:val="center"/>
              <w:rPr>
                <w:rFonts w:ascii="Times New Roman" w:hAnsi="Times New Roman" w:cs="Times New Roman"/>
                <w:b/>
                <w:color w:val="auto"/>
                <w:sz w:val="21"/>
              </w:rPr>
            </w:pPr>
          </w:p>
        </w:tc>
        <w:tc>
          <w:tcPr>
            <w:tcW w:w="304" w:type="pct"/>
            <w:vAlign w:val="center"/>
          </w:tcPr>
          <w:p w14:paraId="4F4175AD">
            <w:pPr>
              <w:jc w:val="center"/>
              <w:rPr>
                <w:rFonts w:ascii="Times New Roman" w:hAnsi="Times New Roman" w:cs="Times New Roman"/>
                <w:b/>
                <w:color w:val="auto"/>
                <w:sz w:val="21"/>
                <w:lang w:eastAsia="zh-CN"/>
              </w:rPr>
            </w:pPr>
          </w:p>
        </w:tc>
        <w:tc>
          <w:tcPr>
            <w:tcW w:w="271" w:type="pct"/>
            <w:vAlign w:val="center"/>
          </w:tcPr>
          <w:p w14:paraId="1D4C3D46">
            <w:pPr>
              <w:jc w:val="center"/>
              <w:rPr>
                <w:rFonts w:ascii="Times New Roman" w:hAnsi="Times New Roman" w:cs="Times New Roman"/>
                <w:b/>
                <w:color w:val="auto"/>
                <w:sz w:val="21"/>
                <w:lang w:eastAsia="zh-CN"/>
              </w:rPr>
            </w:pPr>
            <w:r>
              <w:rPr>
                <w:rFonts w:ascii="Times New Roman" w:hAnsi="Times New Roman" w:cs="Times New Roman"/>
                <w:bCs/>
                <w:color w:val="auto"/>
                <w:sz w:val="21"/>
                <w:lang w:eastAsia="zh-CN"/>
              </w:rPr>
              <w:t>不变</w:t>
            </w:r>
          </w:p>
        </w:tc>
      </w:tr>
      <w:tr w14:paraId="42322EA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53" w:type="pct"/>
            <w:vAlign w:val="center"/>
          </w:tcPr>
          <w:p w14:paraId="5BA8E6E6">
            <w:pPr>
              <w:jc w:val="center"/>
              <w:rPr>
                <w:rFonts w:ascii="Times New Roman" w:hAnsi="Times New Roman" w:cs="Times New Roman"/>
                <w:b/>
                <w:bCs/>
                <w:color w:val="auto"/>
                <w:sz w:val="21"/>
              </w:rPr>
            </w:pPr>
            <w:r>
              <w:rPr>
                <w:rFonts w:ascii="Times New Roman" w:hAnsi="Times New Roman" w:cs="Times New Roman"/>
                <w:color w:val="auto"/>
                <w:spacing w:val="-2"/>
                <w:sz w:val="21"/>
              </w:rPr>
              <w:t>5</w:t>
            </w:r>
          </w:p>
        </w:tc>
        <w:tc>
          <w:tcPr>
            <w:tcW w:w="243" w:type="pct"/>
            <w:vMerge w:val="continue"/>
            <w:vAlign w:val="center"/>
          </w:tcPr>
          <w:p w14:paraId="79AEED2D">
            <w:pPr>
              <w:jc w:val="center"/>
              <w:rPr>
                <w:rFonts w:ascii="Times New Roman" w:hAnsi="Times New Roman" w:cs="Times New Roman"/>
                <w:b/>
                <w:color w:val="auto"/>
                <w:sz w:val="21"/>
                <w:lang w:eastAsia="zh-CN"/>
              </w:rPr>
            </w:pPr>
          </w:p>
        </w:tc>
        <w:tc>
          <w:tcPr>
            <w:tcW w:w="246" w:type="pct"/>
            <w:vMerge w:val="continue"/>
            <w:vAlign w:val="center"/>
          </w:tcPr>
          <w:p w14:paraId="46CDDF91">
            <w:pPr>
              <w:jc w:val="center"/>
              <w:rPr>
                <w:rFonts w:ascii="Times New Roman" w:hAnsi="Times New Roman" w:cs="Times New Roman"/>
                <w:b/>
                <w:color w:val="auto"/>
                <w:sz w:val="21"/>
                <w:lang w:eastAsia="zh-CN"/>
              </w:rPr>
            </w:pPr>
          </w:p>
        </w:tc>
        <w:tc>
          <w:tcPr>
            <w:tcW w:w="536" w:type="pct"/>
            <w:vAlign w:val="center"/>
          </w:tcPr>
          <w:p w14:paraId="6306A034">
            <w:pPr>
              <w:jc w:val="center"/>
              <w:rPr>
                <w:rFonts w:ascii="Times New Roman" w:hAnsi="Times New Roman" w:cs="Times New Roman"/>
                <w:b/>
                <w:color w:val="auto"/>
                <w:sz w:val="21"/>
              </w:rPr>
            </w:pPr>
          </w:p>
        </w:tc>
        <w:tc>
          <w:tcPr>
            <w:tcW w:w="875" w:type="pct"/>
            <w:vAlign w:val="center"/>
          </w:tcPr>
          <w:p w14:paraId="103CE5A0">
            <w:pPr>
              <w:jc w:val="center"/>
              <w:rPr>
                <w:rFonts w:ascii="Times New Roman" w:hAnsi="Times New Roman" w:cs="Times New Roman"/>
                <w:b/>
                <w:color w:val="auto"/>
                <w:sz w:val="21"/>
              </w:rPr>
            </w:pPr>
          </w:p>
        </w:tc>
        <w:tc>
          <w:tcPr>
            <w:tcW w:w="304" w:type="pct"/>
            <w:vAlign w:val="center"/>
          </w:tcPr>
          <w:p w14:paraId="0B41F2D6">
            <w:pPr>
              <w:jc w:val="center"/>
              <w:rPr>
                <w:rFonts w:ascii="Times New Roman" w:hAnsi="Times New Roman" w:cs="Times New Roman"/>
                <w:b/>
                <w:color w:val="auto"/>
                <w:sz w:val="21"/>
                <w:lang w:eastAsia="zh-CN"/>
              </w:rPr>
            </w:pPr>
          </w:p>
        </w:tc>
        <w:tc>
          <w:tcPr>
            <w:tcW w:w="346" w:type="pct"/>
            <w:vMerge w:val="continue"/>
            <w:vAlign w:val="center"/>
          </w:tcPr>
          <w:p w14:paraId="7C0DA8B2">
            <w:pPr>
              <w:jc w:val="center"/>
              <w:rPr>
                <w:rFonts w:ascii="Times New Roman" w:hAnsi="Times New Roman" w:cs="Times New Roman"/>
                <w:b/>
                <w:color w:val="auto"/>
                <w:sz w:val="21"/>
                <w:lang w:eastAsia="zh-CN"/>
              </w:rPr>
            </w:pPr>
          </w:p>
        </w:tc>
        <w:tc>
          <w:tcPr>
            <w:tcW w:w="270" w:type="pct"/>
            <w:vMerge w:val="continue"/>
            <w:vAlign w:val="center"/>
          </w:tcPr>
          <w:p w14:paraId="330DB445">
            <w:pPr>
              <w:jc w:val="center"/>
              <w:rPr>
                <w:rFonts w:ascii="Times New Roman" w:hAnsi="Times New Roman" w:cs="Times New Roman"/>
                <w:b/>
                <w:color w:val="auto"/>
                <w:sz w:val="21"/>
                <w:lang w:eastAsia="zh-CN"/>
              </w:rPr>
            </w:pPr>
          </w:p>
        </w:tc>
        <w:tc>
          <w:tcPr>
            <w:tcW w:w="577" w:type="pct"/>
            <w:vAlign w:val="center"/>
          </w:tcPr>
          <w:p w14:paraId="2FC97B6E">
            <w:pPr>
              <w:jc w:val="center"/>
              <w:rPr>
                <w:rFonts w:ascii="Times New Roman" w:hAnsi="Times New Roman" w:cs="Times New Roman"/>
                <w:b/>
                <w:color w:val="auto"/>
                <w:sz w:val="21"/>
              </w:rPr>
            </w:pPr>
          </w:p>
        </w:tc>
        <w:tc>
          <w:tcPr>
            <w:tcW w:w="875" w:type="pct"/>
            <w:vAlign w:val="center"/>
          </w:tcPr>
          <w:p w14:paraId="5F9105EC">
            <w:pPr>
              <w:jc w:val="center"/>
              <w:rPr>
                <w:rFonts w:ascii="Times New Roman" w:hAnsi="Times New Roman" w:cs="Times New Roman"/>
                <w:b/>
                <w:color w:val="auto"/>
                <w:sz w:val="21"/>
              </w:rPr>
            </w:pPr>
          </w:p>
        </w:tc>
        <w:tc>
          <w:tcPr>
            <w:tcW w:w="304" w:type="pct"/>
            <w:vAlign w:val="center"/>
          </w:tcPr>
          <w:p w14:paraId="599D1C34">
            <w:pPr>
              <w:jc w:val="center"/>
              <w:rPr>
                <w:rFonts w:ascii="Times New Roman" w:hAnsi="Times New Roman" w:cs="Times New Roman"/>
                <w:b/>
                <w:color w:val="auto"/>
                <w:sz w:val="21"/>
                <w:lang w:eastAsia="zh-CN"/>
              </w:rPr>
            </w:pPr>
          </w:p>
        </w:tc>
        <w:tc>
          <w:tcPr>
            <w:tcW w:w="271" w:type="pct"/>
            <w:vAlign w:val="center"/>
          </w:tcPr>
          <w:p w14:paraId="7B4FDF30">
            <w:pPr>
              <w:jc w:val="center"/>
              <w:rPr>
                <w:rFonts w:ascii="Times New Roman" w:hAnsi="Times New Roman" w:cs="Times New Roman"/>
                <w:b/>
                <w:color w:val="auto"/>
                <w:sz w:val="21"/>
                <w:lang w:eastAsia="zh-CN"/>
              </w:rPr>
            </w:pPr>
            <w:r>
              <w:rPr>
                <w:rFonts w:ascii="Times New Roman" w:hAnsi="Times New Roman" w:cs="Times New Roman"/>
                <w:bCs/>
                <w:color w:val="auto"/>
                <w:sz w:val="21"/>
                <w:lang w:eastAsia="zh-CN"/>
              </w:rPr>
              <w:t>不变</w:t>
            </w:r>
          </w:p>
        </w:tc>
      </w:tr>
      <w:tr w14:paraId="2F3CA62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53" w:type="pct"/>
            <w:vAlign w:val="center"/>
          </w:tcPr>
          <w:p w14:paraId="53DD13B9">
            <w:pPr>
              <w:jc w:val="center"/>
              <w:rPr>
                <w:rFonts w:ascii="Times New Roman" w:hAnsi="Times New Roman" w:cs="Times New Roman"/>
                <w:b/>
                <w:bCs/>
                <w:color w:val="auto"/>
                <w:sz w:val="21"/>
              </w:rPr>
            </w:pPr>
            <w:r>
              <w:rPr>
                <w:rFonts w:ascii="Times New Roman" w:hAnsi="Times New Roman" w:cs="Times New Roman"/>
                <w:color w:val="auto"/>
                <w:spacing w:val="-2"/>
                <w:sz w:val="21"/>
              </w:rPr>
              <w:t>6</w:t>
            </w:r>
          </w:p>
        </w:tc>
        <w:tc>
          <w:tcPr>
            <w:tcW w:w="243" w:type="pct"/>
            <w:vMerge w:val="continue"/>
            <w:vAlign w:val="center"/>
          </w:tcPr>
          <w:p w14:paraId="634A6FEE">
            <w:pPr>
              <w:jc w:val="center"/>
              <w:rPr>
                <w:rFonts w:ascii="Times New Roman" w:hAnsi="Times New Roman" w:cs="Times New Roman"/>
                <w:b/>
                <w:color w:val="auto"/>
                <w:sz w:val="21"/>
                <w:lang w:eastAsia="zh-CN"/>
              </w:rPr>
            </w:pPr>
          </w:p>
        </w:tc>
        <w:tc>
          <w:tcPr>
            <w:tcW w:w="246" w:type="pct"/>
            <w:vMerge w:val="continue"/>
            <w:vAlign w:val="center"/>
          </w:tcPr>
          <w:p w14:paraId="39B4E17E">
            <w:pPr>
              <w:jc w:val="center"/>
              <w:rPr>
                <w:rFonts w:ascii="Times New Roman" w:hAnsi="Times New Roman" w:cs="Times New Roman"/>
                <w:b/>
                <w:color w:val="auto"/>
                <w:sz w:val="21"/>
                <w:lang w:eastAsia="zh-CN"/>
              </w:rPr>
            </w:pPr>
          </w:p>
        </w:tc>
        <w:tc>
          <w:tcPr>
            <w:tcW w:w="536" w:type="pct"/>
            <w:vAlign w:val="center"/>
          </w:tcPr>
          <w:p w14:paraId="6B3B650E">
            <w:pPr>
              <w:jc w:val="center"/>
              <w:rPr>
                <w:rFonts w:ascii="Times New Roman" w:hAnsi="Times New Roman" w:cs="Times New Roman"/>
                <w:b/>
                <w:color w:val="auto"/>
                <w:sz w:val="21"/>
              </w:rPr>
            </w:pPr>
          </w:p>
        </w:tc>
        <w:tc>
          <w:tcPr>
            <w:tcW w:w="875" w:type="pct"/>
            <w:vAlign w:val="center"/>
          </w:tcPr>
          <w:p w14:paraId="60A0B276">
            <w:pPr>
              <w:jc w:val="center"/>
              <w:rPr>
                <w:rFonts w:ascii="Times New Roman" w:hAnsi="Times New Roman" w:cs="Times New Roman"/>
                <w:b/>
                <w:color w:val="auto"/>
                <w:sz w:val="21"/>
              </w:rPr>
            </w:pPr>
          </w:p>
        </w:tc>
        <w:tc>
          <w:tcPr>
            <w:tcW w:w="304" w:type="pct"/>
            <w:vAlign w:val="center"/>
          </w:tcPr>
          <w:p w14:paraId="0FEB33C2">
            <w:pPr>
              <w:jc w:val="center"/>
              <w:rPr>
                <w:rFonts w:ascii="Times New Roman" w:hAnsi="Times New Roman" w:cs="Times New Roman"/>
                <w:b/>
                <w:color w:val="auto"/>
                <w:sz w:val="21"/>
                <w:lang w:eastAsia="zh-CN"/>
              </w:rPr>
            </w:pPr>
          </w:p>
        </w:tc>
        <w:tc>
          <w:tcPr>
            <w:tcW w:w="346" w:type="pct"/>
            <w:vMerge w:val="continue"/>
            <w:vAlign w:val="center"/>
          </w:tcPr>
          <w:p w14:paraId="4D2D599D">
            <w:pPr>
              <w:jc w:val="center"/>
              <w:rPr>
                <w:rFonts w:ascii="Times New Roman" w:hAnsi="Times New Roman" w:cs="Times New Roman"/>
                <w:b/>
                <w:color w:val="auto"/>
                <w:sz w:val="21"/>
                <w:lang w:eastAsia="zh-CN"/>
              </w:rPr>
            </w:pPr>
          </w:p>
        </w:tc>
        <w:tc>
          <w:tcPr>
            <w:tcW w:w="270" w:type="pct"/>
            <w:vMerge w:val="continue"/>
            <w:vAlign w:val="center"/>
          </w:tcPr>
          <w:p w14:paraId="5FD3C874">
            <w:pPr>
              <w:jc w:val="center"/>
              <w:rPr>
                <w:rFonts w:ascii="Times New Roman" w:hAnsi="Times New Roman" w:cs="Times New Roman"/>
                <w:b/>
                <w:color w:val="auto"/>
                <w:sz w:val="21"/>
                <w:lang w:eastAsia="zh-CN"/>
              </w:rPr>
            </w:pPr>
          </w:p>
        </w:tc>
        <w:tc>
          <w:tcPr>
            <w:tcW w:w="577" w:type="pct"/>
            <w:vAlign w:val="center"/>
          </w:tcPr>
          <w:p w14:paraId="5ABE03F9">
            <w:pPr>
              <w:jc w:val="center"/>
              <w:rPr>
                <w:rFonts w:ascii="Times New Roman" w:hAnsi="Times New Roman" w:cs="Times New Roman"/>
                <w:b/>
                <w:color w:val="auto"/>
                <w:sz w:val="21"/>
              </w:rPr>
            </w:pPr>
          </w:p>
        </w:tc>
        <w:tc>
          <w:tcPr>
            <w:tcW w:w="875" w:type="pct"/>
            <w:vAlign w:val="center"/>
          </w:tcPr>
          <w:p w14:paraId="46AB4EA2">
            <w:pPr>
              <w:jc w:val="center"/>
              <w:rPr>
                <w:rFonts w:ascii="Times New Roman" w:hAnsi="Times New Roman" w:cs="Times New Roman"/>
                <w:b/>
                <w:color w:val="auto"/>
                <w:sz w:val="21"/>
              </w:rPr>
            </w:pPr>
          </w:p>
        </w:tc>
        <w:tc>
          <w:tcPr>
            <w:tcW w:w="304" w:type="pct"/>
            <w:vAlign w:val="center"/>
          </w:tcPr>
          <w:p w14:paraId="34F47B43">
            <w:pPr>
              <w:jc w:val="center"/>
              <w:rPr>
                <w:rFonts w:ascii="Times New Roman" w:hAnsi="Times New Roman" w:cs="Times New Roman"/>
                <w:b/>
                <w:color w:val="auto"/>
                <w:sz w:val="21"/>
                <w:lang w:eastAsia="zh-CN"/>
              </w:rPr>
            </w:pPr>
          </w:p>
        </w:tc>
        <w:tc>
          <w:tcPr>
            <w:tcW w:w="271" w:type="pct"/>
            <w:vAlign w:val="center"/>
          </w:tcPr>
          <w:p w14:paraId="22298E16">
            <w:pPr>
              <w:jc w:val="center"/>
              <w:rPr>
                <w:rFonts w:ascii="Times New Roman" w:hAnsi="Times New Roman" w:cs="Times New Roman"/>
                <w:b/>
                <w:color w:val="auto"/>
                <w:sz w:val="21"/>
                <w:lang w:eastAsia="zh-CN"/>
              </w:rPr>
            </w:pPr>
            <w:r>
              <w:rPr>
                <w:rFonts w:ascii="Times New Roman" w:hAnsi="Times New Roman" w:cs="Times New Roman"/>
                <w:bCs/>
                <w:color w:val="auto"/>
                <w:sz w:val="21"/>
                <w:lang w:eastAsia="zh-CN"/>
              </w:rPr>
              <w:t>不变</w:t>
            </w:r>
          </w:p>
        </w:tc>
      </w:tr>
      <w:tr w14:paraId="6D1B341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53" w:type="pct"/>
            <w:vAlign w:val="center"/>
          </w:tcPr>
          <w:p w14:paraId="08CB0AD7">
            <w:pPr>
              <w:jc w:val="center"/>
              <w:rPr>
                <w:rFonts w:ascii="Times New Roman" w:hAnsi="Times New Roman" w:cs="Times New Roman"/>
                <w:b/>
                <w:bCs/>
                <w:color w:val="auto"/>
                <w:sz w:val="21"/>
              </w:rPr>
            </w:pPr>
            <w:r>
              <w:rPr>
                <w:rFonts w:ascii="Times New Roman" w:hAnsi="Times New Roman" w:cs="Times New Roman"/>
                <w:color w:val="auto"/>
                <w:spacing w:val="-2"/>
                <w:sz w:val="21"/>
              </w:rPr>
              <w:t>7</w:t>
            </w:r>
          </w:p>
        </w:tc>
        <w:tc>
          <w:tcPr>
            <w:tcW w:w="243" w:type="pct"/>
            <w:vMerge w:val="continue"/>
            <w:vAlign w:val="center"/>
          </w:tcPr>
          <w:p w14:paraId="706B9A17">
            <w:pPr>
              <w:jc w:val="center"/>
              <w:rPr>
                <w:rFonts w:ascii="Times New Roman" w:hAnsi="Times New Roman" w:cs="Times New Roman"/>
                <w:b/>
                <w:color w:val="auto"/>
                <w:sz w:val="21"/>
                <w:lang w:eastAsia="zh-CN"/>
              </w:rPr>
            </w:pPr>
          </w:p>
        </w:tc>
        <w:tc>
          <w:tcPr>
            <w:tcW w:w="246" w:type="pct"/>
            <w:vMerge w:val="continue"/>
            <w:vAlign w:val="center"/>
          </w:tcPr>
          <w:p w14:paraId="6B036933">
            <w:pPr>
              <w:jc w:val="center"/>
              <w:rPr>
                <w:rFonts w:ascii="Times New Roman" w:hAnsi="Times New Roman" w:cs="Times New Roman"/>
                <w:b/>
                <w:color w:val="auto"/>
                <w:sz w:val="21"/>
                <w:lang w:eastAsia="zh-CN"/>
              </w:rPr>
            </w:pPr>
          </w:p>
        </w:tc>
        <w:tc>
          <w:tcPr>
            <w:tcW w:w="536" w:type="pct"/>
            <w:vAlign w:val="center"/>
          </w:tcPr>
          <w:p w14:paraId="7CE7CBAD">
            <w:pPr>
              <w:jc w:val="center"/>
              <w:rPr>
                <w:rFonts w:ascii="Times New Roman" w:hAnsi="Times New Roman" w:cs="Times New Roman"/>
                <w:b/>
                <w:color w:val="auto"/>
                <w:sz w:val="21"/>
              </w:rPr>
            </w:pPr>
          </w:p>
        </w:tc>
        <w:tc>
          <w:tcPr>
            <w:tcW w:w="875" w:type="pct"/>
            <w:vAlign w:val="center"/>
          </w:tcPr>
          <w:p w14:paraId="637D9951">
            <w:pPr>
              <w:jc w:val="center"/>
              <w:rPr>
                <w:rFonts w:ascii="Times New Roman" w:hAnsi="Times New Roman" w:cs="Times New Roman"/>
                <w:b/>
                <w:color w:val="auto"/>
                <w:sz w:val="21"/>
              </w:rPr>
            </w:pPr>
          </w:p>
        </w:tc>
        <w:tc>
          <w:tcPr>
            <w:tcW w:w="304" w:type="pct"/>
            <w:vAlign w:val="center"/>
          </w:tcPr>
          <w:p w14:paraId="646FA0CD">
            <w:pPr>
              <w:jc w:val="center"/>
              <w:rPr>
                <w:rFonts w:ascii="Times New Roman" w:hAnsi="Times New Roman" w:cs="Times New Roman"/>
                <w:b/>
                <w:color w:val="auto"/>
                <w:sz w:val="21"/>
                <w:lang w:eastAsia="zh-CN"/>
              </w:rPr>
            </w:pPr>
          </w:p>
        </w:tc>
        <w:tc>
          <w:tcPr>
            <w:tcW w:w="346" w:type="pct"/>
            <w:vMerge w:val="continue"/>
            <w:vAlign w:val="center"/>
          </w:tcPr>
          <w:p w14:paraId="2978B34A">
            <w:pPr>
              <w:jc w:val="center"/>
              <w:rPr>
                <w:rFonts w:ascii="Times New Roman" w:hAnsi="Times New Roman" w:cs="Times New Roman"/>
                <w:b/>
                <w:color w:val="auto"/>
                <w:sz w:val="21"/>
                <w:lang w:eastAsia="zh-CN"/>
              </w:rPr>
            </w:pPr>
          </w:p>
        </w:tc>
        <w:tc>
          <w:tcPr>
            <w:tcW w:w="270" w:type="pct"/>
            <w:vMerge w:val="continue"/>
            <w:vAlign w:val="center"/>
          </w:tcPr>
          <w:p w14:paraId="1682D70E">
            <w:pPr>
              <w:jc w:val="center"/>
              <w:rPr>
                <w:rFonts w:ascii="Times New Roman" w:hAnsi="Times New Roman" w:cs="Times New Roman"/>
                <w:b/>
                <w:color w:val="auto"/>
                <w:sz w:val="21"/>
                <w:lang w:eastAsia="zh-CN"/>
              </w:rPr>
            </w:pPr>
          </w:p>
        </w:tc>
        <w:tc>
          <w:tcPr>
            <w:tcW w:w="577" w:type="pct"/>
            <w:vAlign w:val="center"/>
          </w:tcPr>
          <w:p w14:paraId="3480FE44">
            <w:pPr>
              <w:jc w:val="center"/>
              <w:rPr>
                <w:rFonts w:ascii="Times New Roman" w:hAnsi="Times New Roman" w:cs="Times New Roman"/>
                <w:b/>
                <w:color w:val="auto"/>
                <w:sz w:val="21"/>
              </w:rPr>
            </w:pPr>
          </w:p>
        </w:tc>
        <w:tc>
          <w:tcPr>
            <w:tcW w:w="875" w:type="pct"/>
            <w:vAlign w:val="center"/>
          </w:tcPr>
          <w:p w14:paraId="53A749CC">
            <w:pPr>
              <w:jc w:val="center"/>
              <w:rPr>
                <w:rFonts w:ascii="Times New Roman" w:hAnsi="Times New Roman" w:cs="Times New Roman"/>
                <w:b/>
                <w:color w:val="auto"/>
                <w:sz w:val="21"/>
              </w:rPr>
            </w:pPr>
          </w:p>
        </w:tc>
        <w:tc>
          <w:tcPr>
            <w:tcW w:w="304" w:type="pct"/>
            <w:vAlign w:val="center"/>
          </w:tcPr>
          <w:p w14:paraId="53C701CE">
            <w:pPr>
              <w:jc w:val="center"/>
              <w:rPr>
                <w:rFonts w:ascii="Times New Roman" w:hAnsi="Times New Roman" w:cs="Times New Roman"/>
                <w:b/>
                <w:color w:val="auto"/>
                <w:sz w:val="21"/>
                <w:lang w:eastAsia="zh-CN"/>
              </w:rPr>
            </w:pPr>
          </w:p>
        </w:tc>
        <w:tc>
          <w:tcPr>
            <w:tcW w:w="271" w:type="pct"/>
            <w:vAlign w:val="center"/>
          </w:tcPr>
          <w:p w14:paraId="149D2EDB">
            <w:pPr>
              <w:jc w:val="center"/>
              <w:rPr>
                <w:rFonts w:ascii="Times New Roman" w:hAnsi="Times New Roman" w:cs="Times New Roman"/>
                <w:b/>
                <w:color w:val="auto"/>
                <w:sz w:val="21"/>
                <w:lang w:eastAsia="zh-CN"/>
              </w:rPr>
            </w:pPr>
            <w:r>
              <w:rPr>
                <w:rFonts w:ascii="Times New Roman" w:hAnsi="Times New Roman" w:cs="Times New Roman"/>
                <w:bCs/>
                <w:color w:val="auto"/>
                <w:sz w:val="21"/>
                <w:lang w:eastAsia="zh-CN"/>
              </w:rPr>
              <w:t>不变</w:t>
            </w:r>
          </w:p>
        </w:tc>
      </w:tr>
      <w:tr w14:paraId="093A418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53" w:type="pct"/>
            <w:vAlign w:val="center"/>
          </w:tcPr>
          <w:p w14:paraId="55AD5F90">
            <w:pPr>
              <w:jc w:val="center"/>
              <w:rPr>
                <w:rFonts w:ascii="Times New Roman" w:hAnsi="Times New Roman" w:cs="Times New Roman"/>
                <w:b/>
                <w:bCs/>
                <w:color w:val="auto"/>
                <w:sz w:val="21"/>
              </w:rPr>
            </w:pPr>
            <w:r>
              <w:rPr>
                <w:rFonts w:ascii="Times New Roman" w:hAnsi="Times New Roman" w:cs="Times New Roman"/>
                <w:color w:val="auto"/>
                <w:spacing w:val="-2"/>
                <w:sz w:val="21"/>
              </w:rPr>
              <w:t>8</w:t>
            </w:r>
          </w:p>
        </w:tc>
        <w:tc>
          <w:tcPr>
            <w:tcW w:w="243" w:type="pct"/>
            <w:vMerge w:val="continue"/>
            <w:vAlign w:val="center"/>
          </w:tcPr>
          <w:p w14:paraId="7737FF89">
            <w:pPr>
              <w:jc w:val="center"/>
              <w:rPr>
                <w:rFonts w:ascii="Times New Roman" w:hAnsi="Times New Roman" w:cs="Times New Roman"/>
                <w:b/>
                <w:color w:val="auto"/>
                <w:sz w:val="21"/>
                <w:lang w:eastAsia="zh-CN"/>
              </w:rPr>
            </w:pPr>
          </w:p>
        </w:tc>
        <w:tc>
          <w:tcPr>
            <w:tcW w:w="246" w:type="pct"/>
            <w:vMerge w:val="continue"/>
            <w:vAlign w:val="center"/>
          </w:tcPr>
          <w:p w14:paraId="3A531E03">
            <w:pPr>
              <w:jc w:val="center"/>
              <w:rPr>
                <w:rFonts w:ascii="Times New Roman" w:hAnsi="Times New Roman" w:cs="Times New Roman"/>
                <w:b/>
                <w:color w:val="auto"/>
                <w:sz w:val="21"/>
                <w:lang w:eastAsia="zh-CN"/>
              </w:rPr>
            </w:pPr>
          </w:p>
        </w:tc>
        <w:tc>
          <w:tcPr>
            <w:tcW w:w="536" w:type="pct"/>
            <w:vAlign w:val="center"/>
          </w:tcPr>
          <w:p w14:paraId="21B31AA7">
            <w:pPr>
              <w:jc w:val="center"/>
              <w:rPr>
                <w:rFonts w:ascii="Times New Roman" w:hAnsi="Times New Roman" w:cs="Times New Roman"/>
                <w:b/>
                <w:color w:val="auto"/>
                <w:sz w:val="21"/>
              </w:rPr>
            </w:pPr>
          </w:p>
        </w:tc>
        <w:tc>
          <w:tcPr>
            <w:tcW w:w="875" w:type="pct"/>
            <w:vAlign w:val="center"/>
          </w:tcPr>
          <w:p w14:paraId="6F125008">
            <w:pPr>
              <w:jc w:val="center"/>
              <w:rPr>
                <w:rFonts w:ascii="Times New Roman" w:hAnsi="Times New Roman" w:cs="Times New Roman"/>
                <w:b/>
                <w:color w:val="auto"/>
                <w:sz w:val="21"/>
              </w:rPr>
            </w:pPr>
          </w:p>
        </w:tc>
        <w:tc>
          <w:tcPr>
            <w:tcW w:w="304" w:type="pct"/>
            <w:vAlign w:val="center"/>
          </w:tcPr>
          <w:p w14:paraId="2C953B2B">
            <w:pPr>
              <w:jc w:val="center"/>
              <w:rPr>
                <w:rFonts w:ascii="Times New Roman" w:hAnsi="Times New Roman" w:cs="Times New Roman"/>
                <w:b/>
                <w:color w:val="auto"/>
                <w:sz w:val="21"/>
                <w:lang w:eastAsia="zh-CN"/>
              </w:rPr>
            </w:pPr>
          </w:p>
        </w:tc>
        <w:tc>
          <w:tcPr>
            <w:tcW w:w="346" w:type="pct"/>
            <w:vMerge w:val="continue"/>
            <w:vAlign w:val="center"/>
          </w:tcPr>
          <w:p w14:paraId="740BA8A0">
            <w:pPr>
              <w:jc w:val="center"/>
              <w:rPr>
                <w:rFonts w:ascii="Times New Roman" w:hAnsi="Times New Roman" w:cs="Times New Roman"/>
                <w:b/>
                <w:color w:val="auto"/>
                <w:sz w:val="21"/>
                <w:lang w:eastAsia="zh-CN"/>
              </w:rPr>
            </w:pPr>
          </w:p>
        </w:tc>
        <w:tc>
          <w:tcPr>
            <w:tcW w:w="270" w:type="pct"/>
            <w:vMerge w:val="continue"/>
            <w:vAlign w:val="center"/>
          </w:tcPr>
          <w:p w14:paraId="7E50F151">
            <w:pPr>
              <w:jc w:val="center"/>
              <w:rPr>
                <w:rFonts w:ascii="Times New Roman" w:hAnsi="Times New Roman" w:cs="Times New Roman"/>
                <w:b/>
                <w:color w:val="auto"/>
                <w:sz w:val="21"/>
                <w:lang w:eastAsia="zh-CN"/>
              </w:rPr>
            </w:pPr>
          </w:p>
        </w:tc>
        <w:tc>
          <w:tcPr>
            <w:tcW w:w="577" w:type="pct"/>
            <w:vAlign w:val="center"/>
          </w:tcPr>
          <w:p w14:paraId="02469F8C">
            <w:pPr>
              <w:jc w:val="center"/>
              <w:rPr>
                <w:rFonts w:ascii="Times New Roman" w:hAnsi="Times New Roman" w:cs="Times New Roman"/>
                <w:b/>
                <w:color w:val="auto"/>
                <w:sz w:val="21"/>
              </w:rPr>
            </w:pPr>
          </w:p>
        </w:tc>
        <w:tc>
          <w:tcPr>
            <w:tcW w:w="875" w:type="pct"/>
            <w:vAlign w:val="center"/>
          </w:tcPr>
          <w:p w14:paraId="6A637FB8">
            <w:pPr>
              <w:jc w:val="center"/>
              <w:rPr>
                <w:rFonts w:ascii="Times New Roman" w:hAnsi="Times New Roman" w:cs="Times New Roman"/>
                <w:b/>
                <w:color w:val="auto"/>
                <w:sz w:val="21"/>
              </w:rPr>
            </w:pPr>
          </w:p>
        </w:tc>
        <w:tc>
          <w:tcPr>
            <w:tcW w:w="304" w:type="pct"/>
            <w:vAlign w:val="center"/>
          </w:tcPr>
          <w:p w14:paraId="0627A917">
            <w:pPr>
              <w:jc w:val="center"/>
              <w:rPr>
                <w:rFonts w:ascii="Times New Roman" w:hAnsi="Times New Roman" w:cs="Times New Roman"/>
                <w:b/>
                <w:color w:val="auto"/>
                <w:sz w:val="21"/>
                <w:lang w:eastAsia="zh-CN"/>
              </w:rPr>
            </w:pPr>
          </w:p>
        </w:tc>
        <w:tc>
          <w:tcPr>
            <w:tcW w:w="271" w:type="pct"/>
            <w:vAlign w:val="center"/>
          </w:tcPr>
          <w:p w14:paraId="3A8E8969">
            <w:pPr>
              <w:jc w:val="center"/>
              <w:rPr>
                <w:rFonts w:ascii="Times New Roman" w:hAnsi="Times New Roman" w:cs="Times New Roman"/>
                <w:b/>
                <w:color w:val="auto"/>
                <w:sz w:val="21"/>
                <w:lang w:eastAsia="zh-CN"/>
              </w:rPr>
            </w:pPr>
            <w:r>
              <w:rPr>
                <w:rFonts w:ascii="Times New Roman" w:hAnsi="Times New Roman" w:cs="Times New Roman"/>
                <w:bCs/>
                <w:color w:val="auto"/>
                <w:sz w:val="21"/>
                <w:lang w:eastAsia="zh-CN"/>
              </w:rPr>
              <w:t>不变</w:t>
            </w:r>
          </w:p>
        </w:tc>
      </w:tr>
      <w:tr w14:paraId="1599F52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53" w:type="pct"/>
            <w:vAlign w:val="center"/>
          </w:tcPr>
          <w:p w14:paraId="18599CAF">
            <w:pPr>
              <w:jc w:val="center"/>
              <w:rPr>
                <w:rFonts w:ascii="Times New Roman" w:hAnsi="Times New Roman" w:cs="Times New Roman"/>
                <w:b/>
                <w:bCs/>
                <w:color w:val="auto"/>
                <w:sz w:val="21"/>
              </w:rPr>
            </w:pPr>
            <w:r>
              <w:rPr>
                <w:rFonts w:ascii="Times New Roman" w:hAnsi="Times New Roman" w:cs="Times New Roman"/>
                <w:color w:val="auto"/>
                <w:spacing w:val="-2"/>
                <w:sz w:val="21"/>
              </w:rPr>
              <w:t>9</w:t>
            </w:r>
          </w:p>
        </w:tc>
        <w:tc>
          <w:tcPr>
            <w:tcW w:w="243" w:type="pct"/>
            <w:vMerge w:val="continue"/>
            <w:vAlign w:val="center"/>
          </w:tcPr>
          <w:p w14:paraId="40DC9AD9">
            <w:pPr>
              <w:jc w:val="center"/>
              <w:rPr>
                <w:rFonts w:ascii="Times New Roman" w:hAnsi="Times New Roman" w:cs="Times New Roman"/>
                <w:b/>
                <w:color w:val="auto"/>
                <w:sz w:val="21"/>
                <w:lang w:eastAsia="zh-CN"/>
              </w:rPr>
            </w:pPr>
          </w:p>
        </w:tc>
        <w:tc>
          <w:tcPr>
            <w:tcW w:w="246" w:type="pct"/>
            <w:vMerge w:val="continue"/>
            <w:vAlign w:val="center"/>
          </w:tcPr>
          <w:p w14:paraId="6A2D564A">
            <w:pPr>
              <w:jc w:val="center"/>
              <w:rPr>
                <w:rFonts w:ascii="Times New Roman" w:hAnsi="Times New Roman" w:cs="Times New Roman"/>
                <w:b/>
                <w:color w:val="auto"/>
                <w:sz w:val="21"/>
                <w:lang w:eastAsia="zh-CN"/>
              </w:rPr>
            </w:pPr>
          </w:p>
        </w:tc>
        <w:tc>
          <w:tcPr>
            <w:tcW w:w="536" w:type="pct"/>
            <w:vAlign w:val="center"/>
          </w:tcPr>
          <w:p w14:paraId="68543E74">
            <w:pPr>
              <w:jc w:val="center"/>
              <w:rPr>
                <w:rFonts w:ascii="Times New Roman" w:hAnsi="Times New Roman" w:cs="Times New Roman"/>
                <w:b/>
                <w:color w:val="auto"/>
                <w:sz w:val="21"/>
              </w:rPr>
            </w:pPr>
          </w:p>
        </w:tc>
        <w:tc>
          <w:tcPr>
            <w:tcW w:w="875" w:type="pct"/>
            <w:vAlign w:val="center"/>
          </w:tcPr>
          <w:p w14:paraId="02ECE5B9">
            <w:pPr>
              <w:jc w:val="center"/>
              <w:rPr>
                <w:rFonts w:ascii="Times New Roman" w:hAnsi="Times New Roman" w:cs="Times New Roman"/>
                <w:b/>
                <w:color w:val="auto"/>
                <w:sz w:val="21"/>
              </w:rPr>
            </w:pPr>
          </w:p>
        </w:tc>
        <w:tc>
          <w:tcPr>
            <w:tcW w:w="304" w:type="pct"/>
            <w:vAlign w:val="center"/>
          </w:tcPr>
          <w:p w14:paraId="5535AE2B">
            <w:pPr>
              <w:jc w:val="center"/>
              <w:rPr>
                <w:rFonts w:ascii="Times New Roman" w:hAnsi="Times New Roman" w:cs="Times New Roman"/>
                <w:b/>
                <w:color w:val="auto"/>
                <w:sz w:val="21"/>
                <w:lang w:eastAsia="zh-CN"/>
              </w:rPr>
            </w:pPr>
          </w:p>
        </w:tc>
        <w:tc>
          <w:tcPr>
            <w:tcW w:w="346" w:type="pct"/>
            <w:vMerge w:val="continue"/>
            <w:vAlign w:val="center"/>
          </w:tcPr>
          <w:p w14:paraId="076777CD">
            <w:pPr>
              <w:jc w:val="center"/>
              <w:rPr>
                <w:rFonts w:ascii="Times New Roman" w:hAnsi="Times New Roman" w:cs="Times New Roman"/>
                <w:b/>
                <w:color w:val="auto"/>
                <w:sz w:val="21"/>
                <w:lang w:eastAsia="zh-CN"/>
              </w:rPr>
            </w:pPr>
          </w:p>
        </w:tc>
        <w:tc>
          <w:tcPr>
            <w:tcW w:w="270" w:type="pct"/>
            <w:vMerge w:val="continue"/>
            <w:vAlign w:val="center"/>
          </w:tcPr>
          <w:p w14:paraId="276BA53A">
            <w:pPr>
              <w:jc w:val="center"/>
              <w:rPr>
                <w:rFonts w:ascii="Times New Roman" w:hAnsi="Times New Roman" w:cs="Times New Roman"/>
                <w:b/>
                <w:color w:val="auto"/>
                <w:sz w:val="21"/>
                <w:lang w:eastAsia="zh-CN"/>
              </w:rPr>
            </w:pPr>
          </w:p>
        </w:tc>
        <w:tc>
          <w:tcPr>
            <w:tcW w:w="577" w:type="pct"/>
            <w:vAlign w:val="center"/>
          </w:tcPr>
          <w:p w14:paraId="67AE6CEC">
            <w:pPr>
              <w:jc w:val="center"/>
              <w:rPr>
                <w:rFonts w:ascii="Times New Roman" w:hAnsi="Times New Roman" w:cs="Times New Roman"/>
                <w:b/>
                <w:color w:val="auto"/>
                <w:sz w:val="21"/>
              </w:rPr>
            </w:pPr>
          </w:p>
        </w:tc>
        <w:tc>
          <w:tcPr>
            <w:tcW w:w="875" w:type="pct"/>
            <w:vAlign w:val="center"/>
          </w:tcPr>
          <w:p w14:paraId="2995852F">
            <w:pPr>
              <w:jc w:val="center"/>
              <w:rPr>
                <w:rFonts w:ascii="Times New Roman" w:hAnsi="Times New Roman" w:cs="Times New Roman"/>
                <w:b/>
                <w:color w:val="auto"/>
                <w:sz w:val="21"/>
              </w:rPr>
            </w:pPr>
          </w:p>
        </w:tc>
        <w:tc>
          <w:tcPr>
            <w:tcW w:w="304" w:type="pct"/>
            <w:vAlign w:val="center"/>
          </w:tcPr>
          <w:p w14:paraId="682321AE">
            <w:pPr>
              <w:jc w:val="center"/>
              <w:rPr>
                <w:rFonts w:ascii="Times New Roman" w:hAnsi="Times New Roman" w:cs="Times New Roman"/>
                <w:b/>
                <w:color w:val="auto"/>
                <w:sz w:val="21"/>
                <w:lang w:eastAsia="zh-CN"/>
              </w:rPr>
            </w:pPr>
          </w:p>
        </w:tc>
        <w:tc>
          <w:tcPr>
            <w:tcW w:w="271" w:type="pct"/>
            <w:vAlign w:val="center"/>
          </w:tcPr>
          <w:p w14:paraId="26D00699">
            <w:pPr>
              <w:jc w:val="center"/>
              <w:rPr>
                <w:rFonts w:ascii="Times New Roman" w:hAnsi="Times New Roman" w:cs="Times New Roman"/>
                <w:b/>
                <w:color w:val="auto"/>
                <w:sz w:val="21"/>
                <w:lang w:eastAsia="zh-CN"/>
              </w:rPr>
            </w:pPr>
            <w:r>
              <w:rPr>
                <w:rFonts w:ascii="Times New Roman" w:hAnsi="Times New Roman" w:cs="Times New Roman"/>
                <w:bCs/>
                <w:color w:val="auto"/>
                <w:sz w:val="21"/>
                <w:lang w:eastAsia="zh-CN"/>
              </w:rPr>
              <w:t>不变</w:t>
            </w:r>
          </w:p>
        </w:tc>
      </w:tr>
      <w:tr w14:paraId="6D562A4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53" w:type="pct"/>
            <w:vAlign w:val="center"/>
          </w:tcPr>
          <w:p w14:paraId="747731D9">
            <w:pPr>
              <w:jc w:val="center"/>
              <w:rPr>
                <w:rFonts w:ascii="Times New Roman" w:hAnsi="Times New Roman" w:cs="Times New Roman"/>
                <w:b/>
                <w:bCs/>
                <w:color w:val="auto"/>
                <w:sz w:val="21"/>
              </w:rPr>
            </w:pPr>
            <w:r>
              <w:rPr>
                <w:rFonts w:ascii="Times New Roman" w:hAnsi="Times New Roman" w:cs="Times New Roman"/>
                <w:color w:val="auto"/>
                <w:spacing w:val="-2"/>
                <w:sz w:val="21"/>
              </w:rPr>
              <w:t>10</w:t>
            </w:r>
          </w:p>
        </w:tc>
        <w:tc>
          <w:tcPr>
            <w:tcW w:w="243" w:type="pct"/>
            <w:vMerge w:val="continue"/>
            <w:vAlign w:val="center"/>
          </w:tcPr>
          <w:p w14:paraId="1BC046DF">
            <w:pPr>
              <w:jc w:val="center"/>
              <w:rPr>
                <w:rFonts w:ascii="Times New Roman" w:hAnsi="Times New Roman" w:cs="Times New Roman"/>
                <w:b/>
                <w:color w:val="auto"/>
                <w:sz w:val="21"/>
                <w:lang w:eastAsia="zh-CN"/>
              </w:rPr>
            </w:pPr>
          </w:p>
        </w:tc>
        <w:tc>
          <w:tcPr>
            <w:tcW w:w="246" w:type="pct"/>
            <w:vMerge w:val="continue"/>
            <w:vAlign w:val="center"/>
          </w:tcPr>
          <w:p w14:paraId="3A6BA85D">
            <w:pPr>
              <w:jc w:val="center"/>
              <w:rPr>
                <w:rFonts w:ascii="Times New Roman" w:hAnsi="Times New Roman" w:cs="Times New Roman"/>
                <w:b/>
                <w:color w:val="auto"/>
                <w:sz w:val="21"/>
                <w:lang w:eastAsia="zh-CN"/>
              </w:rPr>
            </w:pPr>
          </w:p>
        </w:tc>
        <w:tc>
          <w:tcPr>
            <w:tcW w:w="536" w:type="pct"/>
            <w:vAlign w:val="center"/>
          </w:tcPr>
          <w:p w14:paraId="4F26B8F9">
            <w:pPr>
              <w:jc w:val="center"/>
              <w:rPr>
                <w:rFonts w:ascii="Times New Roman" w:hAnsi="Times New Roman" w:cs="Times New Roman"/>
                <w:b/>
                <w:color w:val="auto"/>
                <w:sz w:val="21"/>
              </w:rPr>
            </w:pPr>
          </w:p>
        </w:tc>
        <w:tc>
          <w:tcPr>
            <w:tcW w:w="875" w:type="pct"/>
            <w:vAlign w:val="center"/>
          </w:tcPr>
          <w:p w14:paraId="1B930359">
            <w:pPr>
              <w:jc w:val="center"/>
              <w:rPr>
                <w:rFonts w:ascii="Times New Roman" w:hAnsi="Times New Roman" w:cs="Times New Roman"/>
                <w:b/>
                <w:color w:val="auto"/>
                <w:sz w:val="21"/>
              </w:rPr>
            </w:pPr>
          </w:p>
        </w:tc>
        <w:tc>
          <w:tcPr>
            <w:tcW w:w="304" w:type="pct"/>
            <w:vAlign w:val="center"/>
          </w:tcPr>
          <w:p w14:paraId="71F42D78">
            <w:pPr>
              <w:jc w:val="center"/>
              <w:rPr>
                <w:rFonts w:ascii="Times New Roman" w:hAnsi="Times New Roman" w:cs="Times New Roman"/>
                <w:b/>
                <w:color w:val="auto"/>
                <w:sz w:val="21"/>
                <w:lang w:eastAsia="zh-CN"/>
              </w:rPr>
            </w:pPr>
          </w:p>
        </w:tc>
        <w:tc>
          <w:tcPr>
            <w:tcW w:w="346" w:type="pct"/>
            <w:vMerge w:val="continue"/>
            <w:vAlign w:val="center"/>
          </w:tcPr>
          <w:p w14:paraId="3F814104">
            <w:pPr>
              <w:jc w:val="center"/>
              <w:rPr>
                <w:rFonts w:ascii="Times New Roman" w:hAnsi="Times New Roman" w:cs="Times New Roman"/>
                <w:b/>
                <w:color w:val="auto"/>
                <w:sz w:val="21"/>
                <w:lang w:eastAsia="zh-CN"/>
              </w:rPr>
            </w:pPr>
          </w:p>
        </w:tc>
        <w:tc>
          <w:tcPr>
            <w:tcW w:w="270" w:type="pct"/>
            <w:vMerge w:val="continue"/>
            <w:vAlign w:val="center"/>
          </w:tcPr>
          <w:p w14:paraId="5CA809FF">
            <w:pPr>
              <w:jc w:val="center"/>
              <w:rPr>
                <w:rFonts w:ascii="Times New Roman" w:hAnsi="Times New Roman" w:cs="Times New Roman"/>
                <w:b/>
                <w:color w:val="auto"/>
                <w:sz w:val="21"/>
                <w:lang w:eastAsia="zh-CN"/>
              </w:rPr>
            </w:pPr>
          </w:p>
        </w:tc>
        <w:tc>
          <w:tcPr>
            <w:tcW w:w="577" w:type="pct"/>
            <w:vAlign w:val="center"/>
          </w:tcPr>
          <w:p w14:paraId="359469C8">
            <w:pPr>
              <w:jc w:val="center"/>
              <w:rPr>
                <w:rFonts w:ascii="Times New Roman" w:hAnsi="Times New Roman" w:cs="Times New Roman"/>
                <w:b/>
                <w:color w:val="auto"/>
                <w:sz w:val="21"/>
              </w:rPr>
            </w:pPr>
          </w:p>
        </w:tc>
        <w:tc>
          <w:tcPr>
            <w:tcW w:w="875" w:type="pct"/>
            <w:vAlign w:val="center"/>
          </w:tcPr>
          <w:p w14:paraId="19AAF7F3">
            <w:pPr>
              <w:jc w:val="center"/>
              <w:rPr>
                <w:rFonts w:ascii="Times New Roman" w:hAnsi="Times New Roman" w:cs="Times New Roman"/>
                <w:b/>
                <w:color w:val="auto"/>
                <w:sz w:val="21"/>
              </w:rPr>
            </w:pPr>
          </w:p>
        </w:tc>
        <w:tc>
          <w:tcPr>
            <w:tcW w:w="304" w:type="pct"/>
            <w:vAlign w:val="center"/>
          </w:tcPr>
          <w:p w14:paraId="4EF6D408">
            <w:pPr>
              <w:jc w:val="center"/>
              <w:rPr>
                <w:rFonts w:ascii="Times New Roman" w:hAnsi="Times New Roman" w:cs="Times New Roman"/>
                <w:b/>
                <w:color w:val="auto"/>
                <w:sz w:val="21"/>
                <w:lang w:eastAsia="zh-CN"/>
              </w:rPr>
            </w:pPr>
          </w:p>
        </w:tc>
        <w:tc>
          <w:tcPr>
            <w:tcW w:w="271" w:type="pct"/>
            <w:vAlign w:val="center"/>
          </w:tcPr>
          <w:p w14:paraId="6E311DEE">
            <w:pPr>
              <w:jc w:val="center"/>
              <w:rPr>
                <w:rFonts w:ascii="Times New Roman" w:hAnsi="Times New Roman" w:cs="Times New Roman"/>
                <w:b/>
                <w:color w:val="auto"/>
                <w:sz w:val="21"/>
                <w:lang w:eastAsia="zh-CN"/>
              </w:rPr>
            </w:pPr>
            <w:r>
              <w:rPr>
                <w:rFonts w:ascii="Times New Roman" w:hAnsi="Times New Roman" w:cs="Times New Roman"/>
                <w:bCs/>
                <w:color w:val="auto"/>
                <w:sz w:val="21"/>
                <w:lang w:eastAsia="zh-CN"/>
              </w:rPr>
              <w:t>不变</w:t>
            </w:r>
          </w:p>
        </w:tc>
      </w:tr>
      <w:tr w14:paraId="45C5833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53" w:type="pct"/>
            <w:vAlign w:val="center"/>
          </w:tcPr>
          <w:p w14:paraId="60BED24A">
            <w:pPr>
              <w:jc w:val="center"/>
              <w:rPr>
                <w:rFonts w:ascii="Times New Roman" w:hAnsi="Times New Roman" w:cs="Times New Roman"/>
                <w:b/>
                <w:bCs/>
                <w:color w:val="auto"/>
                <w:sz w:val="21"/>
              </w:rPr>
            </w:pPr>
            <w:r>
              <w:rPr>
                <w:rFonts w:ascii="Times New Roman" w:hAnsi="Times New Roman" w:cs="Times New Roman"/>
                <w:color w:val="auto"/>
                <w:spacing w:val="-2"/>
                <w:sz w:val="21"/>
              </w:rPr>
              <w:t>11</w:t>
            </w:r>
          </w:p>
        </w:tc>
        <w:tc>
          <w:tcPr>
            <w:tcW w:w="243" w:type="pct"/>
            <w:vMerge w:val="continue"/>
            <w:vAlign w:val="center"/>
          </w:tcPr>
          <w:p w14:paraId="13965938">
            <w:pPr>
              <w:jc w:val="center"/>
              <w:rPr>
                <w:rFonts w:ascii="Times New Roman" w:hAnsi="Times New Roman" w:cs="Times New Roman"/>
                <w:b/>
                <w:color w:val="auto"/>
                <w:sz w:val="21"/>
                <w:lang w:eastAsia="zh-CN"/>
              </w:rPr>
            </w:pPr>
          </w:p>
        </w:tc>
        <w:tc>
          <w:tcPr>
            <w:tcW w:w="246" w:type="pct"/>
            <w:vMerge w:val="continue"/>
            <w:vAlign w:val="center"/>
          </w:tcPr>
          <w:p w14:paraId="09E9883F">
            <w:pPr>
              <w:jc w:val="center"/>
              <w:rPr>
                <w:rFonts w:ascii="Times New Roman" w:hAnsi="Times New Roman" w:cs="Times New Roman"/>
                <w:b/>
                <w:color w:val="auto"/>
                <w:sz w:val="21"/>
                <w:lang w:eastAsia="zh-CN"/>
              </w:rPr>
            </w:pPr>
          </w:p>
        </w:tc>
        <w:tc>
          <w:tcPr>
            <w:tcW w:w="536" w:type="pct"/>
            <w:vAlign w:val="center"/>
          </w:tcPr>
          <w:p w14:paraId="5F1C96A0">
            <w:pPr>
              <w:jc w:val="center"/>
              <w:rPr>
                <w:rFonts w:ascii="Times New Roman" w:hAnsi="Times New Roman" w:cs="Times New Roman"/>
                <w:b/>
                <w:color w:val="auto"/>
                <w:sz w:val="21"/>
              </w:rPr>
            </w:pPr>
          </w:p>
        </w:tc>
        <w:tc>
          <w:tcPr>
            <w:tcW w:w="875" w:type="pct"/>
            <w:vAlign w:val="center"/>
          </w:tcPr>
          <w:p w14:paraId="66CB6BBD">
            <w:pPr>
              <w:jc w:val="center"/>
              <w:rPr>
                <w:rFonts w:ascii="Times New Roman" w:hAnsi="Times New Roman" w:cs="Times New Roman"/>
                <w:b/>
                <w:color w:val="auto"/>
                <w:sz w:val="21"/>
              </w:rPr>
            </w:pPr>
          </w:p>
        </w:tc>
        <w:tc>
          <w:tcPr>
            <w:tcW w:w="304" w:type="pct"/>
            <w:vAlign w:val="center"/>
          </w:tcPr>
          <w:p w14:paraId="24F115EB">
            <w:pPr>
              <w:jc w:val="center"/>
              <w:rPr>
                <w:rFonts w:ascii="Times New Roman" w:hAnsi="Times New Roman" w:cs="Times New Roman"/>
                <w:b/>
                <w:color w:val="auto"/>
                <w:sz w:val="21"/>
                <w:lang w:eastAsia="zh-CN"/>
              </w:rPr>
            </w:pPr>
          </w:p>
        </w:tc>
        <w:tc>
          <w:tcPr>
            <w:tcW w:w="346" w:type="pct"/>
            <w:vMerge w:val="continue"/>
            <w:vAlign w:val="center"/>
          </w:tcPr>
          <w:p w14:paraId="4FE28D32">
            <w:pPr>
              <w:jc w:val="center"/>
              <w:rPr>
                <w:rFonts w:ascii="Times New Roman" w:hAnsi="Times New Roman" w:cs="Times New Roman"/>
                <w:b/>
                <w:color w:val="auto"/>
                <w:sz w:val="21"/>
                <w:lang w:eastAsia="zh-CN"/>
              </w:rPr>
            </w:pPr>
          </w:p>
        </w:tc>
        <w:tc>
          <w:tcPr>
            <w:tcW w:w="270" w:type="pct"/>
            <w:vMerge w:val="continue"/>
            <w:vAlign w:val="center"/>
          </w:tcPr>
          <w:p w14:paraId="414F932D">
            <w:pPr>
              <w:jc w:val="center"/>
              <w:rPr>
                <w:rFonts w:ascii="Times New Roman" w:hAnsi="Times New Roman" w:cs="Times New Roman"/>
                <w:b/>
                <w:color w:val="auto"/>
                <w:sz w:val="21"/>
                <w:lang w:eastAsia="zh-CN"/>
              </w:rPr>
            </w:pPr>
          </w:p>
        </w:tc>
        <w:tc>
          <w:tcPr>
            <w:tcW w:w="577" w:type="pct"/>
            <w:vAlign w:val="center"/>
          </w:tcPr>
          <w:p w14:paraId="24CE0149">
            <w:pPr>
              <w:jc w:val="center"/>
              <w:rPr>
                <w:rFonts w:ascii="Times New Roman" w:hAnsi="Times New Roman" w:cs="Times New Roman"/>
                <w:b/>
                <w:color w:val="auto"/>
                <w:sz w:val="21"/>
              </w:rPr>
            </w:pPr>
          </w:p>
        </w:tc>
        <w:tc>
          <w:tcPr>
            <w:tcW w:w="875" w:type="pct"/>
            <w:vAlign w:val="center"/>
          </w:tcPr>
          <w:p w14:paraId="0E14227E">
            <w:pPr>
              <w:jc w:val="center"/>
              <w:rPr>
                <w:rFonts w:ascii="Times New Roman" w:hAnsi="Times New Roman" w:cs="Times New Roman"/>
                <w:b/>
                <w:color w:val="auto"/>
                <w:sz w:val="21"/>
              </w:rPr>
            </w:pPr>
          </w:p>
        </w:tc>
        <w:tc>
          <w:tcPr>
            <w:tcW w:w="304" w:type="pct"/>
            <w:vAlign w:val="center"/>
          </w:tcPr>
          <w:p w14:paraId="357BEE80">
            <w:pPr>
              <w:jc w:val="center"/>
              <w:rPr>
                <w:rFonts w:ascii="Times New Roman" w:hAnsi="Times New Roman" w:cs="Times New Roman"/>
                <w:b/>
                <w:color w:val="auto"/>
                <w:sz w:val="21"/>
                <w:lang w:eastAsia="zh-CN"/>
              </w:rPr>
            </w:pPr>
          </w:p>
        </w:tc>
        <w:tc>
          <w:tcPr>
            <w:tcW w:w="271" w:type="pct"/>
            <w:vAlign w:val="center"/>
          </w:tcPr>
          <w:p w14:paraId="6E797D36">
            <w:pPr>
              <w:jc w:val="center"/>
              <w:rPr>
                <w:rFonts w:ascii="Times New Roman" w:hAnsi="Times New Roman" w:cs="Times New Roman"/>
                <w:b/>
                <w:color w:val="auto"/>
                <w:sz w:val="21"/>
                <w:lang w:eastAsia="zh-CN"/>
              </w:rPr>
            </w:pPr>
            <w:r>
              <w:rPr>
                <w:rFonts w:ascii="Times New Roman" w:hAnsi="Times New Roman" w:cs="Times New Roman"/>
                <w:bCs/>
                <w:color w:val="auto"/>
                <w:sz w:val="21"/>
                <w:lang w:eastAsia="zh-CN"/>
              </w:rPr>
              <w:t>不变</w:t>
            </w:r>
          </w:p>
        </w:tc>
      </w:tr>
      <w:tr w14:paraId="1927525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53" w:type="pct"/>
            <w:vAlign w:val="center"/>
          </w:tcPr>
          <w:p w14:paraId="2EF0E454">
            <w:pPr>
              <w:jc w:val="center"/>
              <w:rPr>
                <w:rFonts w:ascii="Times New Roman" w:hAnsi="Times New Roman" w:cs="Times New Roman"/>
                <w:b/>
                <w:bCs/>
                <w:color w:val="auto"/>
                <w:sz w:val="21"/>
              </w:rPr>
            </w:pPr>
            <w:r>
              <w:rPr>
                <w:rFonts w:ascii="Times New Roman" w:hAnsi="Times New Roman" w:cs="Times New Roman"/>
                <w:color w:val="auto"/>
                <w:spacing w:val="-2"/>
                <w:sz w:val="21"/>
              </w:rPr>
              <w:t>12</w:t>
            </w:r>
          </w:p>
        </w:tc>
        <w:tc>
          <w:tcPr>
            <w:tcW w:w="243" w:type="pct"/>
            <w:vMerge w:val="continue"/>
            <w:vAlign w:val="center"/>
          </w:tcPr>
          <w:p w14:paraId="6A7448B3">
            <w:pPr>
              <w:jc w:val="center"/>
              <w:rPr>
                <w:rFonts w:ascii="Times New Roman" w:hAnsi="Times New Roman" w:cs="Times New Roman"/>
                <w:b/>
                <w:color w:val="auto"/>
                <w:sz w:val="21"/>
                <w:lang w:eastAsia="zh-CN"/>
              </w:rPr>
            </w:pPr>
          </w:p>
        </w:tc>
        <w:tc>
          <w:tcPr>
            <w:tcW w:w="246" w:type="pct"/>
            <w:vMerge w:val="continue"/>
            <w:vAlign w:val="center"/>
          </w:tcPr>
          <w:p w14:paraId="0A15E13C">
            <w:pPr>
              <w:jc w:val="center"/>
              <w:rPr>
                <w:rFonts w:ascii="Times New Roman" w:hAnsi="Times New Roman" w:cs="Times New Roman"/>
                <w:b/>
                <w:color w:val="auto"/>
                <w:sz w:val="21"/>
                <w:lang w:eastAsia="zh-CN"/>
              </w:rPr>
            </w:pPr>
          </w:p>
        </w:tc>
        <w:tc>
          <w:tcPr>
            <w:tcW w:w="536" w:type="pct"/>
            <w:vAlign w:val="center"/>
          </w:tcPr>
          <w:p w14:paraId="046E64FC">
            <w:pPr>
              <w:jc w:val="center"/>
              <w:rPr>
                <w:rFonts w:ascii="Times New Roman" w:hAnsi="Times New Roman" w:cs="Times New Roman"/>
                <w:b/>
                <w:color w:val="auto"/>
                <w:sz w:val="21"/>
              </w:rPr>
            </w:pPr>
          </w:p>
        </w:tc>
        <w:tc>
          <w:tcPr>
            <w:tcW w:w="875" w:type="pct"/>
            <w:vAlign w:val="center"/>
          </w:tcPr>
          <w:p w14:paraId="1A24D524">
            <w:pPr>
              <w:jc w:val="center"/>
              <w:rPr>
                <w:rFonts w:ascii="Times New Roman" w:hAnsi="Times New Roman" w:cs="Times New Roman"/>
                <w:b/>
                <w:color w:val="auto"/>
                <w:sz w:val="21"/>
              </w:rPr>
            </w:pPr>
          </w:p>
        </w:tc>
        <w:tc>
          <w:tcPr>
            <w:tcW w:w="304" w:type="pct"/>
            <w:vAlign w:val="center"/>
          </w:tcPr>
          <w:p w14:paraId="12118565">
            <w:pPr>
              <w:jc w:val="center"/>
              <w:rPr>
                <w:rFonts w:ascii="Times New Roman" w:hAnsi="Times New Roman" w:cs="Times New Roman"/>
                <w:b/>
                <w:color w:val="auto"/>
                <w:sz w:val="21"/>
                <w:lang w:eastAsia="zh-CN"/>
              </w:rPr>
            </w:pPr>
          </w:p>
        </w:tc>
        <w:tc>
          <w:tcPr>
            <w:tcW w:w="346" w:type="pct"/>
            <w:vMerge w:val="continue"/>
            <w:vAlign w:val="center"/>
          </w:tcPr>
          <w:p w14:paraId="453739D3">
            <w:pPr>
              <w:jc w:val="center"/>
              <w:rPr>
                <w:rFonts w:ascii="Times New Roman" w:hAnsi="Times New Roman" w:cs="Times New Roman"/>
                <w:b/>
                <w:color w:val="auto"/>
                <w:sz w:val="21"/>
                <w:lang w:eastAsia="zh-CN"/>
              </w:rPr>
            </w:pPr>
          </w:p>
        </w:tc>
        <w:tc>
          <w:tcPr>
            <w:tcW w:w="270" w:type="pct"/>
            <w:vMerge w:val="continue"/>
            <w:vAlign w:val="center"/>
          </w:tcPr>
          <w:p w14:paraId="72B22E17">
            <w:pPr>
              <w:jc w:val="center"/>
              <w:rPr>
                <w:rFonts w:ascii="Times New Roman" w:hAnsi="Times New Roman" w:cs="Times New Roman"/>
                <w:b/>
                <w:color w:val="auto"/>
                <w:sz w:val="21"/>
                <w:lang w:eastAsia="zh-CN"/>
              </w:rPr>
            </w:pPr>
          </w:p>
        </w:tc>
        <w:tc>
          <w:tcPr>
            <w:tcW w:w="577" w:type="pct"/>
            <w:vAlign w:val="center"/>
          </w:tcPr>
          <w:p w14:paraId="389F0B69">
            <w:pPr>
              <w:jc w:val="center"/>
              <w:rPr>
                <w:rFonts w:ascii="Times New Roman" w:hAnsi="Times New Roman" w:cs="Times New Roman"/>
                <w:b/>
                <w:color w:val="auto"/>
                <w:sz w:val="21"/>
              </w:rPr>
            </w:pPr>
          </w:p>
        </w:tc>
        <w:tc>
          <w:tcPr>
            <w:tcW w:w="875" w:type="pct"/>
            <w:vAlign w:val="center"/>
          </w:tcPr>
          <w:p w14:paraId="48859A14">
            <w:pPr>
              <w:jc w:val="center"/>
              <w:rPr>
                <w:rFonts w:ascii="Times New Roman" w:hAnsi="Times New Roman" w:cs="Times New Roman"/>
                <w:b/>
                <w:color w:val="auto"/>
                <w:sz w:val="21"/>
              </w:rPr>
            </w:pPr>
          </w:p>
        </w:tc>
        <w:tc>
          <w:tcPr>
            <w:tcW w:w="304" w:type="pct"/>
            <w:vAlign w:val="center"/>
          </w:tcPr>
          <w:p w14:paraId="4874D06D">
            <w:pPr>
              <w:jc w:val="center"/>
              <w:rPr>
                <w:rFonts w:ascii="Times New Roman" w:hAnsi="Times New Roman" w:cs="Times New Roman"/>
                <w:b/>
                <w:color w:val="auto"/>
                <w:sz w:val="21"/>
                <w:lang w:eastAsia="zh-CN"/>
              </w:rPr>
            </w:pPr>
          </w:p>
        </w:tc>
        <w:tc>
          <w:tcPr>
            <w:tcW w:w="271" w:type="pct"/>
            <w:vAlign w:val="center"/>
          </w:tcPr>
          <w:p w14:paraId="446CB34C">
            <w:pPr>
              <w:jc w:val="center"/>
              <w:rPr>
                <w:rFonts w:ascii="Times New Roman" w:hAnsi="Times New Roman" w:cs="Times New Roman"/>
                <w:b/>
                <w:color w:val="auto"/>
                <w:sz w:val="21"/>
                <w:lang w:eastAsia="zh-CN"/>
              </w:rPr>
            </w:pPr>
            <w:r>
              <w:rPr>
                <w:rFonts w:ascii="Times New Roman" w:hAnsi="Times New Roman" w:cs="Times New Roman"/>
                <w:bCs/>
                <w:color w:val="auto"/>
                <w:sz w:val="21"/>
                <w:lang w:eastAsia="zh-CN"/>
              </w:rPr>
              <w:t>不变</w:t>
            </w:r>
          </w:p>
        </w:tc>
      </w:tr>
      <w:tr w14:paraId="028F6CE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53" w:type="pct"/>
            <w:vAlign w:val="center"/>
          </w:tcPr>
          <w:p w14:paraId="2A820BC4">
            <w:pPr>
              <w:jc w:val="center"/>
              <w:rPr>
                <w:rFonts w:ascii="Times New Roman" w:hAnsi="Times New Roman" w:cs="Times New Roman"/>
                <w:b/>
                <w:bCs/>
                <w:color w:val="auto"/>
                <w:sz w:val="21"/>
              </w:rPr>
            </w:pPr>
            <w:r>
              <w:rPr>
                <w:rFonts w:ascii="Times New Roman" w:hAnsi="Times New Roman" w:cs="Times New Roman"/>
                <w:color w:val="auto"/>
                <w:spacing w:val="-2"/>
                <w:sz w:val="21"/>
              </w:rPr>
              <w:t>13</w:t>
            </w:r>
          </w:p>
        </w:tc>
        <w:tc>
          <w:tcPr>
            <w:tcW w:w="243" w:type="pct"/>
            <w:vMerge w:val="continue"/>
            <w:vAlign w:val="center"/>
          </w:tcPr>
          <w:p w14:paraId="5A0A31BF">
            <w:pPr>
              <w:jc w:val="center"/>
              <w:rPr>
                <w:rFonts w:ascii="Times New Roman" w:hAnsi="Times New Roman" w:cs="Times New Roman"/>
                <w:b/>
                <w:color w:val="auto"/>
                <w:sz w:val="21"/>
                <w:lang w:eastAsia="zh-CN"/>
              </w:rPr>
            </w:pPr>
          </w:p>
        </w:tc>
        <w:tc>
          <w:tcPr>
            <w:tcW w:w="246" w:type="pct"/>
            <w:vMerge w:val="continue"/>
            <w:vAlign w:val="center"/>
          </w:tcPr>
          <w:p w14:paraId="54235A88">
            <w:pPr>
              <w:jc w:val="center"/>
              <w:rPr>
                <w:rFonts w:ascii="Times New Roman" w:hAnsi="Times New Roman" w:cs="Times New Roman"/>
                <w:b/>
                <w:color w:val="auto"/>
                <w:sz w:val="21"/>
                <w:lang w:eastAsia="zh-CN"/>
              </w:rPr>
            </w:pPr>
          </w:p>
        </w:tc>
        <w:tc>
          <w:tcPr>
            <w:tcW w:w="536" w:type="pct"/>
            <w:vAlign w:val="center"/>
          </w:tcPr>
          <w:p w14:paraId="6B54EDB1">
            <w:pPr>
              <w:jc w:val="center"/>
              <w:rPr>
                <w:rFonts w:ascii="Times New Roman" w:hAnsi="Times New Roman" w:cs="Times New Roman"/>
                <w:b/>
                <w:color w:val="auto"/>
                <w:sz w:val="21"/>
              </w:rPr>
            </w:pPr>
          </w:p>
        </w:tc>
        <w:tc>
          <w:tcPr>
            <w:tcW w:w="875" w:type="pct"/>
            <w:vAlign w:val="center"/>
          </w:tcPr>
          <w:p w14:paraId="342F9AC9">
            <w:pPr>
              <w:jc w:val="center"/>
              <w:rPr>
                <w:rFonts w:ascii="Times New Roman" w:hAnsi="Times New Roman" w:cs="Times New Roman"/>
                <w:b/>
                <w:color w:val="auto"/>
                <w:sz w:val="21"/>
                <w:lang w:eastAsia="zh-CN"/>
              </w:rPr>
            </w:pPr>
          </w:p>
        </w:tc>
        <w:tc>
          <w:tcPr>
            <w:tcW w:w="304" w:type="pct"/>
            <w:vAlign w:val="center"/>
          </w:tcPr>
          <w:p w14:paraId="2151D1AF">
            <w:pPr>
              <w:jc w:val="center"/>
              <w:rPr>
                <w:rFonts w:ascii="Times New Roman" w:hAnsi="Times New Roman" w:cs="Times New Roman"/>
                <w:b/>
                <w:color w:val="auto"/>
                <w:sz w:val="21"/>
                <w:lang w:eastAsia="zh-CN"/>
              </w:rPr>
            </w:pPr>
          </w:p>
        </w:tc>
        <w:tc>
          <w:tcPr>
            <w:tcW w:w="346" w:type="pct"/>
            <w:vMerge w:val="continue"/>
            <w:vAlign w:val="center"/>
          </w:tcPr>
          <w:p w14:paraId="5AE5F70C">
            <w:pPr>
              <w:jc w:val="center"/>
              <w:rPr>
                <w:rFonts w:ascii="Times New Roman" w:hAnsi="Times New Roman" w:cs="Times New Roman"/>
                <w:b/>
                <w:color w:val="auto"/>
                <w:sz w:val="21"/>
                <w:lang w:eastAsia="zh-CN"/>
              </w:rPr>
            </w:pPr>
          </w:p>
        </w:tc>
        <w:tc>
          <w:tcPr>
            <w:tcW w:w="270" w:type="pct"/>
            <w:vMerge w:val="continue"/>
            <w:vAlign w:val="center"/>
          </w:tcPr>
          <w:p w14:paraId="43436458">
            <w:pPr>
              <w:jc w:val="center"/>
              <w:rPr>
                <w:rFonts w:ascii="Times New Roman" w:hAnsi="Times New Roman" w:cs="Times New Roman"/>
                <w:b/>
                <w:color w:val="auto"/>
                <w:sz w:val="21"/>
                <w:lang w:eastAsia="zh-CN"/>
              </w:rPr>
            </w:pPr>
          </w:p>
        </w:tc>
        <w:tc>
          <w:tcPr>
            <w:tcW w:w="577" w:type="pct"/>
            <w:vAlign w:val="center"/>
          </w:tcPr>
          <w:p w14:paraId="0B6D6DC5">
            <w:pPr>
              <w:jc w:val="center"/>
              <w:rPr>
                <w:rFonts w:ascii="Times New Roman" w:hAnsi="Times New Roman" w:cs="Times New Roman"/>
                <w:b/>
                <w:color w:val="auto"/>
                <w:sz w:val="21"/>
                <w:lang w:eastAsia="zh-CN"/>
              </w:rPr>
            </w:pPr>
          </w:p>
        </w:tc>
        <w:tc>
          <w:tcPr>
            <w:tcW w:w="875" w:type="pct"/>
            <w:vAlign w:val="center"/>
          </w:tcPr>
          <w:p w14:paraId="0018E454">
            <w:pPr>
              <w:jc w:val="center"/>
              <w:rPr>
                <w:rFonts w:ascii="Times New Roman" w:hAnsi="Times New Roman" w:cs="Times New Roman"/>
                <w:b/>
                <w:color w:val="auto"/>
                <w:sz w:val="21"/>
                <w:lang w:eastAsia="zh-CN"/>
              </w:rPr>
            </w:pPr>
          </w:p>
        </w:tc>
        <w:tc>
          <w:tcPr>
            <w:tcW w:w="304" w:type="pct"/>
            <w:vAlign w:val="center"/>
          </w:tcPr>
          <w:p w14:paraId="55FC221D">
            <w:pPr>
              <w:jc w:val="center"/>
              <w:rPr>
                <w:rFonts w:ascii="Times New Roman" w:hAnsi="Times New Roman" w:cs="Times New Roman"/>
                <w:b/>
                <w:color w:val="auto"/>
                <w:sz w:val="21"/>
                <w:lang w:eastAsia="zh-CN"/>
              </w:rPr>
            </w:pPr>
          </w:p>
        </w:tc>
        <w:tc>
          <w:tcPr>
            <w:tcW w:w="271" w:type="pct"/>
            <w:vAlign w:val="center"/>
          </w:tcPr>
          <w:p w14:paraId="44B583D5">
            <w:pPr>
              <w:jc w:val="center"/>
              <w:rPr>
                <w:rFonts w:ascii="Times New Roman" w:hAnsi="Times New Roman" w:cs="Times New Roman"/>
                <w:b/>
                <w:color w:val="auto"/>
                <w:sz w:val="21"/>
                <w:lang w:eastAsia="zh-CN"/>
              </w:rPr>
            </w:pPr>
            <w:r>
              <w:rPr>
                <w:rFonts w:ascii="Times New Roman" w:hAnsi="Times New Roman" w:cs="Times New Roman"/>
                <w:bCs/>
                <w:color w:val="auto"/>
                <w:sz w:val="21"/>
                <w:lang w:eastAsia="zh-CN"/>
              </w:rPr>
              <w:t>不变</w:t>
            </w:r>
          </w:p>
        </w:tc>
      </w:tr>
      <w:tr w14:paraId="4C54748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53" w:type="pct"/>
            <w:vAlign w:val="center"/>
          </w:tcPr>
          <w:p w14:paraId="59B0D8BC">
            <w:pPr>
              <w:jc w:val="center"/>
              <w:textAlignment w:val="center"/>
              <w:rPr>
                <w:rFonts w:ascii="Times New Roman" w:hAnsi="Times New Roman" w:cs="Times New Roman"/>
                <w:color w:val="auto"/>
                <w:sz w:val="21"/>
              </w:rPr>
            </w:pPr>
            <w:r>
              <w:rPr>
                <w:rFonts w:ascii="Times New Roman" w:hAnsi="Times New Roman" w:cs="Times New Roman"/>
                <w:color w:val="auto"/>
                <w:sz w:val="21"/>
                <w:lang w:bidi="ar"/>
              </w:rPr>
              <w:t>1</w:t>
            </w:r>
          </w:p>
        </w:tc>
        <w:tc>
          <w:tcPr>
            <w:tcW w:w="243" w:type="pct"/>
            <w:vMerge w:val="restart"/>
            <w:vAlign w:val="center"/>
          </w:tcPr>
          <w:p w14:paraId="70778A92">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化学纯氢氟酸及刻蚀液生产装置</w:t>
            </w:r>
          </w:p>
        </w:tc>
        <w:tc>
          <w:tcPr>
            <w:tcW w:w="246" w:type="pct"/>
            <w:vMerge w:val="restart"/>
            <w:vAlign w:val="center"/>
          </w:tcPr>
          <w:p w14:paraId="350C00EB">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化学纯氢氟酸及刻蚀液</w:t>
            </w:r>
          </w:p>
        </w:tc>
        <w:tc>
          <w:tcPr>
            <w:tcW w:w="536" w:type="pct"/>
            <w:vAlign w:val="center"/>
          </w:tcPr>
          <w:p w14:paraId="288C1735">
            <w:pPr>
              <w:jc w:val="center"/>
              <w:rPr>
                <w:rFonts w:ascii="Times New Roman" w:hAnsi="Times New Roman" w:cs="Times New Roman"/>
                <w:color w:val="auto"/>
                <w:sz w:val="21"/>
                <w:lang w:eastAsia="zh-CN"/>
              </w:rPr>
            </w:pPr>
          </w:p>
        </w:tc>
        <w:tc>
          <w:tcPr>
            <w:tcW w:w="875" w:type="pct"/>
            <w:vAlign w:val="center"/>
          </w:tcPr>
          <w:p w14:paraId="21630BF2">
            <w:pPr>
              <w:jc w:val="center"/>
              <w:rPr>
                <w:rFonts w:ascii="Times New Roman" w:hAnsi="Times New Roman" w:cs="Times New Roman"/>
                <w:sz w:val="21"/>
                <w:lang w:eastAsia="zh-CN"/>
              </w:rPr>
            </w:pPr>
          </w:p>
        </w:tc>
        <w:tc>
          <w:tcPr>
            <w:tcW w:w="304" w:type="pct"/>
            <w:vAlign w:val="center"/>
          </w:tcPr>
          <w:p w14:paraId="6FCE0586">
            <w:pPr>
              <w:jc w:val="center"/>
              <w:rPr>
                <w:rFonts w:ascii="Times New Roman" w:hAnsi="Times New Roman" w:cs="Times New Roman"/>
                <w:color w:val="auto"/>
                <w:sz w:val="21"/>
                <w:lang w:eastAsia="zh-CN"/>
              </w:rPr>
            </w:pPr>
          </w:p>
        </w:tc>
        <w:tc>
          <w:tcPr>
            <w:tcW w:w="346" w:type="pct"/>
            <w:vMerge w:val="restart"/>
            <w:vAlign w:val="center"/>
          </w:tcPr>
          <w:p w14:paraId="37543F5E">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化学纯氢氟酸生产装置</w:t>
            </w:r>
          </w:p>
        </w:tc>
        <w:tc>
          <w:tcPr>
            <w:tcW w:w="270" w:type="pct"/>
            <w:vMerge w:val="restart"/>
            <w:vAlign w:val="center"/>
          </w:tcPr>
          <w:p w14:paraId="29057BF9">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化学纯氢氟酸</w:t>
            </w:r>
          </w:p>
        </w:tc>
        <w:tc>
          <w:tcPr>
            <w:tcW w:w="577" w:type="pct"/>
            <w:vAlign w:val="center"/>
          </w:tcPr>
          <w:p w14:paraId="4DB6D1E0">
            <w:pPr>
              <w:jc w:val="center"/>
              <w:rPr>
                <w:rFonts w:ascii="Times New Roman" w:hAnsi="Times New Roman" w:cs="Times New Roman"/>
                <w:color w:val="auto"/>
                <w:sz w:val="21"/>
                <w:lang w:eastAsia="zh-CN"/>
              </w:rPr>
            </w:pPr>
          </w:p>
        </w:tc>
        <w:tc>
          <w:tcPr>
            <w:tcW w:w="875" w:type="pct"/>
            <w:vAlign w:val="center"/>
          </w:tcPr>
          <w:p w14:paraId="599C2AAC">
            <w:pPr>
              <w:jc w:val="center"/>
              <w:rPr>
                <w:rFonts w:ascii="Times New Roman" w:hAnsi="Times New Roman" w:cs="Times New Roman"/>
                <w:color w:val="auto"/>
                <w:sz w:val="21"/>
                <w:lang w:eastAsia="zh-CN"/>
              </w:rPr>
            </w:pPr>
          </w:p>
        </w:tc>
        <w:tc>
          <w:tcPr>
            <w:tcW w:w="304" w:type="pct"/>
            <w:vAlign w:val="center"/>
          </w:tcPr>
          <w:p w14:paraId="15BAE205">
            <w:pPr>
              <w:jc w:val="center"/>
              <w:rPr>
                <w:rFonts w:ascii="Times New Roman" w:hAnsi="Times New Roman" w:cs="Times New Roman"/>
                <w:color w:val="auto"/>
                <w:sz w:val="21"/>
                <w:lang w:eastAsia="zh-CN"/>
              </w:rPr>
            </w:pPr>
          </w:p>
        </w:tc>
        <w:tc>
          <w:tcPr>
            <w:tcW w:w="271" w:type="pct"/>
            <w:vAlign w:val="center"/>
          </w:tcPr>
          <w:p w14:paraId="799E634D">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+4台</w:t>
            </w:r>
          </w:p>
        </w:tc>
      </w:tr>
      <w:tr w14:paraId="1862EEE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53" w:type="pct"/>
            <w:vAlign w:val="center"/>
          </w:tcPr>
          <w:p w14:paraId="5F06A306">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2</w:t>
            </w:r>
          </w:p>
        </w:tc>
        <w:tc>
          <w:tcPr>
            <w:tcW w:w="243" w:type="pct"/>
            <w:vMerge w:val="continue"/>
            <w:vAlign w:val="center"/>
          </w:tcPr>
          <w:p w14:paraId="1CA90A6D">
            <w:pPr>
              <w:jc w:val="center"/>
              <w:rPr>
                <w:rFonts w:ascii="Times New Roman" w:hAnsi="Times New Roman" w:cs="Times New Roman"/>
                <w:color w:val="auto"/>
                <w:sz w:val="21"/>
                <w:lang w:eastAsia="zh-CN"/>
              </w:rPr>
            </w:pPr>
          </w:p>
        </w:tc>
        <w:tc>
          <w:tcPr>
            <w:tcW w:w="246" w:type="pct"/>
            <w:vMerge w:val="continue"/>
            <w:vAlign w:val="center"/>
          </w:tcPr>
          <w:p w14:paraId="1C01CAFF">
            <w:pPr>
              <w:jc w:val="center"/>
              <w:rPr>
                <w:rFonts w:ascii="Times New Roman" w:hAnsi="Times New Roman" w:cs="Times New Roman"/>
                <w:color w:val="auto"/>
                <w:sz w:val="21"/>
                <w:lang w:eastAsia="zh-CN"/>
              </w:rPr>
            </w:pPr>
          </w:p>
        </w:tc>
        <w:tc>
          <w:tcPr>
            <w:tcW w:w="536" w:type="pct"/>
            <w:vAlign w:val="center"/>
          </w:tcPr>
          <w:p w14:paraId="0BD5527C">
            <w:pPr>
              <w:jc w:val="center"/>
              <w:rPr>
                <w:rFonts w:ascii="Times New Roman" w:hAnsi="Times New Roman" w:cs="Times New Roman"/>
                <w:color w:val="auto"/>
                <w:sz w:val="21"/>
                <w:lang w:eastAsia="zh-CN"/>
              </w:rPr>
            </w:pPr>
          </w:p>
        </w:tc>
        <w:tc>
          <w:tcPr>
            <w:tcW w:w="875" w:type="pct"/>
            <w:vAlign w:val="center"/>
          </w:tcPr>
          <w:p w14:paraId="11CA1B38">
            <w:pPr>
              <w:jc w:val="center"/>
              <w:rPr>
                <w:rFonts w:ascii="Times New Roman" w:hAnsi="Times New Roman" w:cs="Times New Roman"/>
                <w:sz w:val="21"/>
                <w:lang w:eastAsia="zh-CN"/>
              </w:rPr>
            </w:pPr>
          </w:p>
        </w:tc>
        <w:tc>
          <w:tcPr>
            <w:tcW w:w="304" w:type="pct"/>
            <w:vAlign w:val="center"/>
          </w:tcPr>
          <w:p w14:paraId="1182E15A">
            <w:pPr>
              <w:jc w:val="center"/>
              <w:rPr>
                <w:rFonts w:ascii="Times New Roman" w:hAnsi="Times New Roman" w:cs="Times New Roman"/>
                <w:color w:val="auto"/>
                <w:sz w:val="21"/>
                <w:lang w:eastAsia="zh-CN"/>
              </w:rPr>
            </w:pPr>
          </w:p>
        </w:tc>
        <w:tc>
          <w:tcPr>
            <w:tcW w:w="346" w:type="pct"/>
            <w:vMerge w:val="continue"/>
            <w:vAlign w:val="center"/>
          </w:tcPr>
          <w:p w14:paraId="152167FC">
            <w:pPr>
              <w:jc w:val="center"/>
              <w:rPr>
                <w:rFonts w:ascii="Times New Roman" w:hAnsi="Times New Roman" w:cs="Times New Roman"/>
                <w:color w:val="auto"/>
                <w:sz w:val="21"/>
                <w:lang w:eastAsia="zh-CN"/>
              </w:rPr>
            </w:pPr>
          </w:p>
        </w:tc>
        <w:tc>
          <w:tcPr>
            <w:tcW w:w="270" w:type="pct"/>
            <w:vMerge w:val="continue"/>
            <w:vAlign w:val="center"/>
          </w:tcPr>
          <w:p w14:paraId="72FADDAD">
            <w:pPr>
              <w:jc w:val="center"/>
              <w:rPr>
                <w:rFonts w:ascii="Times New Roman" w:hAnsi="Times New Roman" w:cs="Times New Roman"/>
                <w:color w:val="auto"/>
                <w:sz w:val="21"/>
                <w:lang w:eastAsia="zh-CN"/>
              </w:rPr>
            </w:pPr>
          </w:p>
        </w:tc>
        <w:tc>
          <w:tcPr>
            <w:tcW w:w="577" w:type="pct"/>
            <w:vAlign w:val="center"/>
          </w:tcPr>
          <w:p w14:paraId="650C0166">
            <w:pPr>
              <w:jc w:val="center"/>
              <w:rPr>
                <w:rFonts w:ascii="Times New Roman" w:hAnsi="Times New Roman" w:cs="Times New Roman"/>
                <w:color w:val="auto"/>
                <w:sz w:val="21"/>
                <w:lang w:eastAsia="zh-CN"/>
              </w:rPr>
            </w:pPr>
          </w:p>
        </w:tc>
        <w:tc>
          <w:tcPr>
            <w:tcW w:w="875" w:type="pct"/>
            <w:vAlign w:val="center"/>
          </w:tcPr>
          <w:p w14:paraId="3420D20E">
            <w:pPr>
              <w:jc w:val="center"/>
              <w:rPr>
                <w:rFonts w:ascii="Times New Roman" w:hAnsi="Times New Roman" w:cs="Times New Roman"/>
                <w:color w:val="auto"/>
                <w:sz w:val="21"/>
                <w:lang w:eastAsia="zh-CN"/>
              </w:rPr>
            </w:pPr>
          </w:p>
        </w:tc>
        <w:tc>
          <w:tcPr>
            <w:tcW w:w="304" w:type="pct"/>
            <w:vAlign w:val="center"/>
          </w:tcPr>
          <w:p w14:paraId="16CA2F17">
            <w:pPr>
              <w:jc w:val="center"/>
              <w:rPr>
                <w:rFonts w:ascii="Times New Roman" w:hAnsi="Times New Roman" w:cs="Times New Roman"/>
                <w:color w:val="auto"/>
                <w:sz w:val="21"/>
                <w:lang w:eastAsia="zh-CN"/>
              </w:rPr>
            </w:pPr>
          </w:p>
        </w:tc>
        <w:tc>
          <w:tcPr>
            <w:tcW w:w="271" w:type="pct"/>
            <w:vAlign w:val="center"/>
          </w:tcPr>
          <w:p w14:paraId="189E9FBE">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+2台</w:t>
            </w:r>
          </w:p>
        </w:tc>
      </w:tr>
      <w:tr w14:paraId="2042E26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53" w:type="pct"/>
            <w:vAlign w:val="center"/>
          </w:tcPr>
          <w:p w14:paraId="2673D435">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3</w:t>
            </w:r>
          </w:p>
        </w:tc>
        <w:tc>
          <w:tcPr>
            <w:tcW w:w="243" w:type="pct"/>
            <w:vMerge w:val="continue"/>
            <w:vAlign w:val="center"/>
          </w:tcPr>
          <w:p w14:paraId="44A0C940">
            <w:pPr>
              <w:jc w:val="center"/>
              <w:rPr>
                <w:rFonts w:ascii="Times New Roman" w:hAnsi="Times New Roman" w:cs="Times New Roman"/>
                <w:color w:val="auto"/>
                <w:sz w:val="21"/>
                <w:lang w:eastAsia="zh-CN"/>
              </w:rPr>
            </w:pPr>
          </w:p>
        </w:tc>
        <w:tc>
          <w:tcPr>
            <w:tcW w:w="246" w:type="pct"/>
            <w:vMerge w:val="continue"/>
            <w:vAlign w:val="center"/>
          </w:tcPr>
          <w:p w14:paraId="6755677A">
            <w:pPr>
              <w:jc w:val="center"/>
              <w:rPr>
                <w:rFonts w:ascii="Times New Roman" w:hAnsi="Times New Roman" w:cs="Times New Roman"/>
                <w:color w:val="auto"/>
                <w:sz w:val="21"/>
                <w:lang w:eastAsia="zh-CN"/>
              </w:rPr>
            </w:pPr>
          </w:p>
        </w:tc>
        <w:tc>
          <w:tcPr>
            <w:tcW w:w="536" w:type="pct"/>
            <w:vAlign w:val="center"/>
          </w:tcPr>
          <w:p w14:paraId="526F9B3F">
            <w:pPr>
              <w:jc w:val="center"/>
              <w:rPr>
                <w:rFonts w:ascii="Times New Roman" w:hAnsi="Times New Roman" w:cs="Times New Roman"/>
                <w:color w:val="auto"/>
                <w:sz w:val="21"/>
                <w:lang w:eastAsia="zh-CN"/>
              </w:rPr>
            </w:pPr>
          </w:p>
        </w:tc>
        <w:tc>
          <w:tcPr>
            <w:tcW w:w="875" w:type="pct"/>
            <w:vAlign w:val="center"/>
          </w:tcPr>
          <w:p w14:paraId="1EA39741">
            <w:pPr>
              <w:jc w:val="center"/>
              <w:rPr>
                <w:rFonts w:ascii="Times New Roman" w:hAnsi="Times New Roman" w:cs="Times New Roman"/>
                <w:sz w:val="21"/>
                <w:lang w:eastAsia="zh-CN"/>
              </w:rPr>
            </w:pPr>
          </w:p>
        </w:tc>
        <w:tc>
          <w:tcPr>
            <w:tcW w:w="304" w:type="pct"/>
            <w:vAlign w:val="center"/>
          </w:tcPr>
          <w:p w14:paraId="04EE6A84">
            <w:pPr>
              <w:jc w:val="center"/>
              <w:rPr>
                <w:rFonts w:ascii="Times New Roman" w:hAnsi="Times New Roman" w:cs="Times New Roman"/>
                <w:color w:val="auto"/>
                <w:sz w:val="21"/>
                <w:lang w:eastAsia="zh-CN"/>
              </w:rPr>
            </w:pPr>
          </w:p>
        </w:tc>
        <w:tc>
          <w:tcPr>
            <w:tcW w:w="346" w:type="pct"/>
            <w:vMerge w:val="continue"/>
            <w:vAlign w:val="center"/>
          </w:tcPr>
          <w:p w14:paraId="168DAC9C">
            <w:pPr>
              <w:jc w:val="center"/>
              <w:rPr>
                <w:rFonts w:ascii="Times New Roman" w:hAnsi="Times New Roman" w:cs="Times New Roman"/>
                <w:color w:val="auto"/>
                <w:sz w:val="21"/>
                <w:lang w:eastAsia="zh-CN"/>
              </w:rPr>
            </w:pPr>
          </w:p>
        </w:tc>
        <w:tc>
          <w:tcPr>
            <w:tcW w:w="270" w:type="pct"/>
            <w:vMerge w:val="continue"/>
            <w:vAlign w:val="center"/>
          </w:tcPr>
          <w:p w14:paraId="1F16DBBF">
            <w:pPr>
              <w:jc w:val="center"/>
              <w:rPr>
                <w:rFonts w:ascii="Times New Roman" w:hAnsi="Times New Roman" w:cs="Times New Roman"/>
                <w:color w:val="auto"/>
                <w:sz w:val="21"/>
                <w:lang w:eastAsia="zh-CN"/>
              </w:rPr>
            </w:pPr>
          </w:p>
        </w:tc>
        <w:tc>
          <w:tcPr>
            <w:tcW w:w="577" w:type="pct"/>
            <w:vAlign w:val="center"/>
          </w:tcPr>
          <w:p w14:paraId="4978EB85">
            <w:pPr>
              <w:jc w:val="center"/>
              <w:rPr>
                <w:rFonts w:ascii="Times New Roman" w:hAnsi="Times New Roman" w:cs="Times New Roman"/>
                <w:color w:val="auto"/>
                <w:sz w:val="21"/>
                <w:lang w:eastAsia="zh-CN"/>
              </w:rPr>
            </w:pPr>
          </w:p>
        </w:tc>
        <w:tc>
          <w:tcPr>
            <w:tcW w:w="875" w:type="pct"/>
            <w:vAlign w:val="center"/>
          </w:tcPr>
          <w:p w14:paraId="7A45B0B6">
            <w:pPr>
              <w:jc w:val="center"/>
              <w:rPr>
                <w:rFonts w:ascii="Times New Roman" w:hAnsi="Times New Roman" w:cs="Times New Roman"/>
                <w:color w:val="auto"/>
                <w:sz w:val="21"/>
                <w:lang w:eastAsia="zh-CN"/>
              </w:rPr>
            </w:pPr>
          </w:p>
        </w:tc>
        <w:tc>
          <w:tcPr>
            <w:tcW w:w="304" w:type="pct"/>
            <w:vAlign w:val="center"/>
          </w:tcPr>
          <w:p w14:paraId="1210BD00">
            <w:pPr>
              <w:jc w:val="center"/>
              <w:rPr>
                <w:rFonts w:ascii="Times New Roman" w:hAnsi="Times New Roman" w:cs="Times New Roman"/>
                <w:color w:val="auto"/>
                <w:sz w:val="21"/>
                <w:lang w:eastAsia="zh-CN"/>
              </w:rPr>
            </w:pPr>
          </w:p>
        </w:tc>
        <w:tc>
          <w:tcPr>
            <w:tcW w:w="271" w:type="pct"/>
            <w:vAlign w:val="center"/>
          </w:tcPr>
          <w:p w14:paraId="3EF0358B">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+2台</w:t>
            </w:r>
          </w:p>
        </w:tc>
      </w:tr>
      <w:tr w14:paraId="6091136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53" w:type="pct"/>
            <w:vAlign w:val="center"/>
          </w:tcPr>
          <w:p w14:paraId="40F33E4A">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4</w:t>
            </w:r>
          </w:p>
        </w:tc>
        <w:tc>
          <w:tcPr>
            <w:tcW w:w="243" w:type="pct"/>
            <w:vMerge w:val="continue"/>
            <w:vAlign w:val="center"/>
          </w:tcPr>
          <w:p w14:paraId="4EA96650">
            <w:pPr>
              <w:jc w:val="center"/>
              <w:rPr>
                <w:rFonts w:ascii="Times New Roman" w:hAnsi="Times New Roman" w:cs="Times New Roman"/>
                <w:color w:val="auto"/>
                <w:sz w:val="21"/>
                <w:lang w:eastAsia="zh-CN"/>
              </w:rPr>
            </w:pPr>
          </w:p>
        </w:tc>
        <w:tc>
          <w:tcPr>
            <w:tcW w:w="246" w:type="pct"/>
            <w:vMerge w:val="continue"/>
            <w:vAlign w:val="center"/>
          </w:tcPr>
          <w:p w14:paraId="53C6E533">
            <w:pPr>
              <w:jc w:val="center"/>
              <w:rPr>
                <w:rFonts w:ascii="Times New Roman" w:hAnsi="Times New Roman" w:cs="Times New Roman"/>
                <w:color w:val="auto"/>
                <w:sz w:val="21"/>
                <w:lang w:eastAsia="zh-CN"/>
              </w:rPr>
            </w:pPr>
          </w:p>
        </w:tc>
        <w:tc>
          <w:tcPr>
            <w:tcW w:w="536" w:type="pct"/>
            <w:vAlign w:val="center"/>
          </w:tcPr>
          <w:p w14:paraId="1053C313">
            <w:pPr>
              <w:jc w:val="center"/>
              <w:rPr>
                <w:rFonts w:ascii="Times New Roman" w:hAnsi="Times New Roman" w:cs="Times New Roman"/>
                <w:color w:val="auto"/>
                <w:sz w:val="21"/>
                <w:lang w:eastAsia="zh-CN"/>
              </w:rPr>
            </w:pPr>
          </w:p>
        </w:tc>
        <w:tc>
          <w:tcPr>
            <w:tcW w:w="875" w:type="pct"/>
            <w:vAlign w:val="center"/>
          </w:tcPr>
          <w:p w14:paraId="786F78CE">
            <w:pPr>
              <w:jc w:val="center"/>
              <w:rPr>
                <w:rFonts w:ascii="Times New Roman" w:hAnsi="Times New Roman" w:cs="Times New Roman"/>
                <w:sz w:val="21"/>
                <w:lang w:eastAsia="zh-CN"/>
              </w:rPr>
            </w:pPr>
          </w:p>
        </w:tc>
        <w:tc>
          <w:tcPr>
            <w:tcW w:w="304" w:type="pct"/>
            <w:vAlign w:val="center"/>
          </w:tcPr>
          <w:p w14:paraId="677A6CEC">
            <w:pPr>
              <w:jc w:val="center"/>
              <w:rPr>
                <w:rFonts w:ascii="Times New Roman" w:hAnsi="Times New Roman" w:cs="Times New Roman"/>
                <w:color w:val="auto"/>
                <w:sz w:val="21"/>
                <w:lang w:eastAsia="zh-CN"/>
              </w:rPr>
            </w:pPr>
          </w:p>
        </w:tc>
        <w:tc>
          <w:tcPr>
            <w:tcW w:w="346" w:type="pct"/>
            <w:vMerge w:val="continue"/>
            <w:vAlign w:val="center"/>
          </w:tcPr>
          <w:p w14:paraId="73A8901C">
            <w:pPr>
              <w:jc w:val="center"/>
              <w:rPr>
                <w:rFonts w:ascii="Times New Roman" w:hAnsi="Times New Roman" w:cs="Times New Roman"/>
                <w:color w:val="auto"/>
                <w:sz w:val="21"/>
                <w:lang w:eastAsia="zh-CN"/>
              </w:rPr>
            </w:pPr>
          </w:p>
        </w:tc>
        <w:tc>
          <w:tcPr>
            <w:tcW w:w="270" w:type="pct"/>
            <w:vMerge w:val="continue"/>
            <w:vAlign w:val="center"/>
          </w:tcPr>
          <w:p w14:paraId="4C59264A">
            <w:pPr>
              <w:jc w:val="center"/>
              <w:rPr>
                <w:rFonts w:ascii="Times New Roman" w:hAnsi="Times New Roman" w:cs="Times New Roman"/>
                <w:color w:val="auto"/>
                <w:sz w:val="21"/>
                <w:lang w:eastAsia="zh-CN"/>
              </w:rPr>
            </w:pPr>
          </w:p>
        </w:tc>
        <w:tc>
          <w:tcPr>
            <w:tcW w:w="577" w:type="pct"/>
            <w:vAlign w:val="center"/>
          </w:tcPr>
          <w:p w14:paraId="5EB17DC3">
            <w:pPr>
              <w:jc w:val="center"/>
              <w:rPr>
                <w:rFonts w:ascii="Times New Roman" w:hAnsi="Times New Roman" w:cs="Times New Roman"/>
                <w:color w:val="auto"/>
                <w:sz w:val="21"/>
                <w:lang w:eastAsia="zh-CN"/>
              </w:rPr>
            </w:pPr>
          </w:p>
        </w:tc>
        <w:tc>
          <w:tcPr>
            <w:tcW w:w="875" w:type="pct"/>
            <w:vAlign w:val="center"/>
          </w:tcPr>
          <w:p w14:paraId="36ABDAC7">
            <w:pPr>
              <w:jc w:val="center"/>
              <w:rPr>
                <w:rFonts w:ascii="Times New Roman" w:hAnsi="Times New Roman" w:cs="Times New Roman"/>
                <w:color w:val="auto"/>
                <w:sz w:val="21"/>
                <w:lang w:eastAsia="zh-CN"/>
              </w:rPr>
            </w:pPr>
          </w:p>
        </w:tc>
        <w:tc>
          <w:tcPr>
            <w:tcW w:w="304" w:type="pct"/>
            <w:vAlign w:val="center"/>
          </w:tcPr>
          <w:p w14:paraId="5F070579">
            <w:pPr>
              <w:jc w:val="center"/>
              <w:rPr>
                <w:rFonts w:ascii="Times New Roman" w:hAnsi="Times New Roman" w:cs="Times New Roman"/>
                <w:color w:val="auto"/>
                <w:sz w:val="21"/>
                <w:lang w:eastAsia="zh-CN"/>
              </w:rPr>
            </w:pPr>
          </w:p>
        </w:tc>
        <w:tc>
          <w:tcPr>
            <w:tcW w:w="271" w:type="pct"/>
            <w:vAlign w:val="center"/>
          </w:tcPr>
          <w:p w14:paraId="5A328E7C">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+4台</w:t>
            </w:r>
          </w:p>
        </w:tc>
      </w:tr>
      <w:tr w14:paraId="076673C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53" w:type="pct"/>
            <w:vAlign w:val="center"/>
          </w:tcPr>
          <w:p w14:paraId="38A2F10C">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5</w:t>
            </w:r>
          </w:p>
        </w:tc>
        <w:tc>
          <w:tcPr>
            <w:tcW w:w="243" w:type="pct"/>
            <w:vMerge w:val="continue"/>
            <w:vAlign w:val="center"/>
          </w:tcPr>
          <w:p w14:paraId="5E0638E4">
            <w:pPr>
              <w:jc w:val="center"/>
              <w:rPr>
                <w:rFonts w:ascii="Times New Roman" w:hAnsi="Times New Roman" w:cs="Times New Roman"/>
                <w:color w:val="auto"/>
                <w:sz w:val="21"/>
                <w:lang w:eastAsia="zh-CN"/>
              </w:rPr>
            </w:pPr>
          </w:p>
        </w:tc>
        <w:tc>
          <w:tcPr>
            <w:tcW w:w="246" w:type="pct"/>
            <w:vMerge w:val="continue"/>
            <w:vAlign w:val="center"/>
          </w:tcPr>
          <w:p w14:paraId="2FC1735F">
            <w:pPr>
              <w:jc w:val="center"/>
              <w:rPr>
                <w:rFonts w:ascii="Times New Roman" w:hAnsi="Times New Roman" w:cs="Times New Roman"/>
                <w:color w:val="auto"/>
                <w:sz w:val="21"/>
                <w:lang w:eastAsia="zh-CN"/>
              </w:rPr>
            </w:pPr>
          </w:p>
        </w:tc>
        <w:tc>
          <w:tcPr>
            <w:tcW w:w="536" w:type="pct"/>
            <w:vAlign w:val="center"/>
          </w:tcPr>
          <w:p w14:paraId="2B73D69C">
            <w:pPr>
              <w:jc w:val="center"/>
              <w:rPr>
                <w:rFonts w:ascii="Times New Roman" w:hAnsi="Times New Roman" w:cs="Times New Roman"/>
                <w:color w:val="auto"/>
                <w:sz w:val="21"/>
                <w:lang w:eastAsia="zh-CN"/>
              </w:rPr>
            </w:pPr>
          </w:p>
        </w:tc>
        <w:tc>
          <w:tcPr>
            <w:tcW w:w="875" w:type="pct"/>
            <w:vAlign w:val="center"/>
          </w:tcPr>
          <w:p w14:paraId="15FCE302">
            <w:pPr>
              <w:jc w:val="center"/>
              <w:rPr>
                <w:rFonts w:ascii="Times New Roman" w:hAnsi="Times New Roman" w:cs="Times New Roman"/>
                <w:sz w:val="21"/>
                <w:lang w:eastAsia="zh-CN"/>
              </w:rPr>
            </w:pPr>
          </w:p>
        </w:tc>
        <w:tc>
          <w:tcPr>
            <w:tcW w:w="304" w:type="pct"/>
            <w:vAlign w:val="center"/>
          </w:tcPr>
          <w:p w14:paraId="219D9061">
            <w:pPr>
              <w:jc w:val="center"/>
              <w:rPr>
                <w:rFonts w:ascii="Times New Roman" w:hAnsi="Times New Roman" w:cs="Times New Roman"/>
                <w:color w:val="auto"/>
                <w:sz w:val="21"/>
                <w:lang w:eastAsia="zh-CN"/>
              </w:rPr>
            </w:pPr>
          </w:p>
        </w:tc>
        <w:tc>
          <w:tcPr>
            <w:tcW w:w="346" w:type="pct"/>
            <w:vMerge w:val="continue"/>
            <w:vAlign w:val="center"/>
          </w:tcPr>
          <w:p w14:paraId="308EE1B1">
            <w:pPr>
              <w:jc w:val="center"/>
              <w:rPr>
                <w:rFonts w:ascii="Times New Roman" w:hAnsi="Times New Roman" w:cs="Times New Roman"/>
                <w:color w:val="auto"/>
                <w:sz w:val="21"/>
                <w:lang w:eastAsia="zh-CN"/>
              </w:rPr>
            </w:pPr>
          </w:p>
        </w:tc>
        <w:tc>
          <w:tcPr>
            <w:tcW w:w="270" w:type="pct"/>
            <w:vMerge w:val="continue"/>
            <w:vAlign w:val="center"/>
          </w:tcPr>
          <w:p w14:paraId="1CC6F98C">
            <w:pPr>
              <w:jc w:val="center"/>
              <w:rPr>
                <w:rFonts w:ascii="Times New Roman" w:hAnsi="Times New Roman" w:cs="Times New Roman"/>
                <w:color w:val="auto"/>
                <w:sz w:val="21"/>
                <w:lang w:eastAsia="zh-CN"/>
              </w:rPr>
            </w:pPr>
          </w:p>
        </w:tc>
        <w:tc>
          <w:tcPr>
            <w:tcW w:w="577" w:type="pct"/>
            <w:vAlign w:val="center"/>
          </w:tcPr>
          <w:p w14:paraId="34B8AC1C">
            <w:pPr>
              <w:jc w:val="center"/>
              <w:rPr>
                <w:rFonts w:ascii="Times New Roman" w:hAnsi="Times New Roman" w:cs="Times New Roman"/>
                <w:color w:val="auto"/>
                <w:sz w:val="21"/>
                <w:lang w:eastAsia="zh-CN"/>
              </w:rPr>
            </w:pPr>
          </w:p>
        </w:tc>
        <w:tc>
          <w:tcPr>
            <w:tcW w:w="875" w:type="pct"/>
            <w:vAlign w:val="center"/>
          </w:tcPr>
          <w:p w14:paraId="3E0F5D29">
            <w:pPr>
              <w:jc w:val="center"/>
              <w:rPr>
                <w:rFonts w:ascii="Times New Roman" w:hAnsi="Times New Roman" w:cs="Times New Roman"/>
                <w:color w:val="auto"/>
                <w:sz w:val="21"/>
                <w:lang w:eastAsia="zh-CN"/>
              </w:rPr>
            </w:pPr>
          </w:p>
        </w:tc>
        <w:tc>
          <w:tcPr>
            <w:tcW w:w="304" w:type="pct"/>
            <w:vAlign w:val="center"/>
          </w:tcPr>
          <w:p w14:paraId="18189ACC">
            <w:pPr>
              <w:jc w:val="center"/>
              <w:rPr>
                <w:rFonts w:ascii="Times New Roman" w:hAnsi="Times New Roman" w:cs="Times New Roman"/>
                <w:color w:val="auto"/>
                <w:sz w:val="21"/>
                <w:lang w:eastAsia="zh-CN"/>
              </w:rPr>
            </w:pPr>
          </w:p>
        </w:tc>
        <w:tc>
          <w:tcPr>
            <w:tcW w:w="271" w:type="pct"/>
            <w:vAlign w:val="center"/>
          </w:tcPr>
          <w:p w14:paraId="2BAF83F7">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不变</w:t>
            </w:r>
          </w:p>
        </w:tc>
      </w:tr>
      <w:tr w14:paraId="4CCE237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53" w:type="pct"/>
            <w:vAlign w:val="center"/>
          </w:tcPr>
          <w:p w14:paraId="00733823">
            <w:pPr>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bidi="ar"/>
              </w:rPr>
              <w:t>6</w:t>
            </w:r>
          </w:p>
        </w:tc>
        <w:tc>
          <w:tcPr>
            <w:tcW w:w="243" w:type="pct"/>
            <w:vMerge w:val="continue"/>
            <w:vAlign w:val="center"/>
          </w:tcPr>
          <w:p w14:paraId="5F3D50B5">
            <w:pPr>
              <w:jc w:val="center"/>
              <w:textAlignment w:val="center"/>
              <w:rPr>
                <w:rFonts w:ascii="Times New Roman" w:hAnsi="Times New Roman" w:cs="Times New Roman"/>
                <w:color w:val="auto"/>
                <w:sz w:val="21"/>
                <w:lang w:eastAsia="zh-CN"/>
              </w:rPr>
            </w:pPr>
          </w:p>
        </w:tc>
        <w:tc>
          <w:tcPr>
            <w:tcW w:w="246" w:type="pct"/>
            <w:vMerge w:val="continue"/>
            <w:vAlign w:val="center"/>
          </w:tcPr>
          <w:p w14:paraId="4E4E2039">
            <w:pPr>
              <w:jc w:val="center"/>
              <w:textAlignment w:val="center"/>
              <w:rPr>
                <w:rFonts w:ascii="Times New Roman" w:hAnsi="Times New Roman" w:cs="Times New Roman"/>
                <w:color w:val="auto"/>
                <w:sz w:val="21"/>
                <w:lang w:eastAsia="zh-CN"/>
              </w:rPr>
            </w:pPr>
          </w:p>
        </w:tc>
        <w:tc>
          <w:tcPr>
            <w:tcW w:w="536" w:type="pct"/>
            <w:vAlign w:val="center"/>
          </w:tcPr>
          <w:p w14:paraId="2637024D">
            <w:pPr>
              <w:jc w:val="center"/>
              <w:textAlignment w:val="center"/>
              <w:rPr>
                <w:rFonts w:ascii="Times New Roman" w:hAnsi="Times New Roman" w:cs="Times New Roman"/>
                <w:color w:val="auto"/>
                <w:sz w:val="21"/>
                <w:lang w:eastAsia="zh-CN"/>
              </w:rPr>
            </w:pPr>
          </w:p>
        </w:tc>
        <w:tc>
          <w:tcPr>
            <w:tcW w:w="875" w:type="pct"/>
            <w:vAlign w:val="center"/>
          </w:tcPr>
          <w:p w14:paraId="2760046A">
            <w:pPr>
              <w:jc w:val="center"/>
              <w:rPr>
                <w:rFonts w:ascii="Times New Roman" w:hAnsi="Times New Roman" w:cs="Times New Roman"/>
                <w:sz w:val="21"/>
                <w:lang w:eastAsia="zh-CN"/>
              </w:rPr>
            </w:pPr>
          </w:p>
        </w:tc>
        <w:tc>
          <w:tcPr>
            <w:tcW w:w="304" w:type="pct"/>
            <w:vAlign w:val="center"/>
          </w:tcPr>
          <w:p w14:paraId="29961214">
            <w:pPr>
              <w:jc w:val="center"/>
              <w:rPr>
                <w:rFonts w:ascii="Times New Roman" w:hAnsi="Times New Roman" w:cs="Times New Roman"/>
                <w:color w:val="auto"/>
                <w:sz w:val="21"/>
              </w:rPr>
            </w:pPr>
          </w:p>
        </w:tc>
        <w:tc>
          <w:tcPr>
            <w:tcW w:w="346" w:type="pct"/>
            <w:vMerge w:val="restart"/>
            <w:vAlign w:val="center"/>
          </w:tcPr>
          <w:p w14:paraId="48A185A4">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刻蚀液生产装置</w:t>
            </w:r>
          </w:p>
        </w:tc>
        <w:tc>
          <w:tcPr>
            <w:tcW w:w="270" w:type="pct"/>
            <w:vMerge w:val="restart"/>
            <w:vAlign w:val="center"/>
          </w:tcPr>
          <w:p w14:paraId="3C497FA1">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刻蚀液</w:t>
            </w:r>
          </w:p>
        </w:tc>
        <w:tc>
          <w:tcPr>
            <w:tcW w:w="577" w:type="pct"/>
            <w:vAlign w:val="center"/>
          </w:tcPr>
          <w:p w14:paraId="7D404C40">
            <w:pPr>
              <w:jc w:val="center"/>
              <w:rPr>
                <w:rFonts w:ascii="Times New Roman" w:hAnsi="Times New Roman" w:cs="Times New Roman"/>
                <w:color w:val="auto"/>
                <w:sz w:val="21"/>
                <w:lang w:eastAsia="zh-CN"/>
              </w:rPr>
            </w:pPr>
          </w:p>
        </w:tc>
        <w:tc>
          <w:tcPr>
            <w:tcW w:w="875" w:type="pct"/>
            <w:vAlign w:val="center"/>
          </w:tcPr>
          <w:p w14:paraId="347FAB5F">
            <w:pPr>
              <w:jc w:val="center"/>
              <w:rPr>
                <w:rFonts w:ascii="Times New Roman" w:hAnsi="Times New Roman" w:cs="Times New Roman"/>
                <w:color w:val="auto"/>
                <w:sz w:val="21"/>
                <w:lang w:eastAsia="zh-CN"/>
              </w:rPr>
            </w:pPr>
          </w:p>
        </w:tc>
        <w:tc>
          <w:tcPr>
            <w:tcW w:w="304" w:type="pct"/>
            <w:vAlign w:val="center"/>
          </w:tcPr>
          <w:p w14:paraId="62A33593">
            <w:pPr>
              <w:jc w:val="center"/>
              <w:rPr>
                <w:rFonts w:ascii="Times New Roman" w:hAnsi="Times New Roman" w:cs="Times New Roman"/>
                <w:color w:val="auto"/>
                <w:sz w:val="21"/>
                <w:lang w:eastAsia="zh-CN"/>
              </w:rPr>
            </w:pPr>
          </w:p>
        </w:tc>
        <w:tc>
          <w:tcPr>
            <w:tcW w:w="271" w:type="pct"/>
            <w:vAlign w:val="center"/>
          </w:tcPr>
          <w:p w14:paraId="26BA1BED">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+6台</w:t>
            </w:r>
          </w:p>
        </w:tc>
      </w:tr>
      <w:tr w14:paraId="059A21F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53" w:type="pct"/>
            <w:vAlign w:val="center"/>
          </w:tcPr>
          <w:p w14:paraId="1B349528">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7</w:t>
            </w:r>
          </w:p>
        </w:tc>
        <w:tc>
          <w:tcPr>
            <w:tcW w:w="243" w:type="pct"/>
            <w:vMerge w:val="continue"/>
            <w:vAlign w:val="center"/>
          </w:tcPr>
          <w:p w14:paraId="4B4AE716">
            <w:pPr>
              <w:jc w:val="center"/>
              <w:rPr>
                <w:rFonts w:ascii="Times New Roman" w:hAnsi="Times New Roman" w:cs="Times New Roman"/>
                <w:color w:val="auto"/>
                <w:sz w:val="21"/>
                <w:lang w:eastAsia="zh-CN"/>
              </w:rPr>
            </w:pPr>
          </w:p>
        </w:tc>
        <w:tc>
          <w:tcPr>
            <w:tcW w:w="246" w:type="pct"/>
            <w:vMerge w:val="continue"/>
            <w:vAlign w:val="center"/>
          </w:tcPr>
          <w:p w14:paraId="139022BE">
            <w:pPr>
              <w:jc w:val="center"/>
              <w:rPr>
                <w:rFonts w:ascii="Times New Roman" w:hAnsi="Times New Roman" w:cs="Times New Roman"/>
                <w:color w:val="auto"/>
                <w:sz w:val="21"/>
                <w:lang w:eastAsia="zh-CN"/>
              </w:rPr>
            </w:pPr>
          </w:p>
        </w:tc>
        <w:tc>
          <w:tcPr>
            <w:tcW w:w="536" w:type="pct"/>
            <w:vAlign w:val="center"/>
          </w:tcPr>
          <w:p w14:paraId="1B918E25">
            <w:pPr>
              <w:jc w:val="center"/>
              <w:rPr>
                <w:rFonts w:ascii="Times New Roman" w:hAnsi="Times New Roman" w:cs="Times New Roman"/>
                <w:color w:val="auto"/>
                <w:sz w:val="21"/>
                <w:lang w:eastAsia="zh-CN"/>
              </w:rPr>
            </w:pPr>
          </w:p>
        </w:tc>
        <w:tc>
          <w:tcPr>
            <w:tcW w:w="875" w:type="pct"/>
            <w:vAlign w:val="center"/>
          </w:tcPr>
          <w:p w14:paraId="3A06E0FB">
            <w:pPr>
              <w:jc w:val="center"/>
              <w:rPr>
                <w:rFonts w:ascii="Times New Roman" w:hAnsi="Times New Roman" w:cs="Times New Roman"/>
                <w:sz w:val="21"/>
                <w:lang w:eastAsia="zh-CN"/>
              </w:rPr>
            </w:pPr>
          </w:p>
        </w:tc>
        <w:tc>
          <w:tcPr>
            <w:tcW w:w="304" w:type="pct"/>
            <w:vAlign w:val="center"/>
          </w:tcPr>
          <w:p w14:paraId="34F1D839">
            <w:pPr>
              <w:jc w:val="center"/>
              <w:rPr>
                <w:rFonts w:ascii="Times New Roman" w:hAnsi="Times New Roman" w:cs="Times New Roman"/>
                <w:color w:val="auto"/>
                <w:sz w:val="21"/>
                <w:lang w:eastAsia="zh-CN"/>
              </w:rPr>
            </w:pPr>
          </w:p>
        </w:tc>
        <w:tc>
          <w:tcPr>
            <w:tcW w:w="346" w:type="pct"/>
            <w:vMerge w:val="continue"/>
            <w:vAlign w:val="center"/>
          </w:tcPr>
          <w:p w14:paraId="099201C4">
            <w:pPr>
              <w:jc w:val="center"/>
              <w:rPr>
                <w:rFonts w:ascii="Times New Roman" w:hAnsi="Times New Roman" w:cs="Times New Roman"/>
                <w:color w:val="auto"/>
                <w:sz w:val="21"/>
                <w:lang w:eastAsia="zh-CN"/>
              </w:rPr>
            </w:pPr>
          </w:p>
        </w:tc>
        <w:tc>
          <w:tcPr>
            <w:tcW w:w="270" w:type="pct"/>
            <w:vMerge w:val="continue"/>
            <w:vAlign w:val="center"/>
          </w:tcPr>
          <w:p w14:paraId="4CDCDF8B">
            <w:pPr>
              <w:jc w:val="center"/>
              <w:rPr>
                <w:rFonts w:ascii="Times New Roman" w:hAnsi="Times New Roman" w:cs="Times New Roman"/>
                <w:color w:val="auto"/>
                <w:sz w:val="21"/>
                <w:lang w:eastAsia="zh-CN"/>
              </w:rPr>
            </w:pPr>
          </w:p>
        </w:tc>
        <w:tc>
          <w:tcPr>
            <w:tcW w:w="577" w:type="pct"/>
            <w:vAlign w:val="center"/>
          </w:tcPr>
          <w:p w14:paraId="3D00D0C8">
            <w:pPr>
              <w:jc w:val="center"/>
              <w:rPr>
                <w:rFonts w:ascii="Times New Roman" w:hAnsi="Times New Roman" w:cs="Times New Roman"/>
                <w:color w:val="auto"/>
                <w:sz w:val="21"/>
                <w:lang w:eastAsia="zh-CN"/>
              </w:rPr>
            </w:pPr>
          </w:p>
        </w:tc>
        <w:tc>
          <w:tcPr>
            <w:tcW w:w="875" w:type="pct"/>
            <w:vAlign w:val="center"/>
          </w:tcPr>
          <w:p w14:paraId="052DAC57">
            <w:pPr>
              <w:jc w:val="center"/>
              <w:rPr>
                <w:rFonts w:ascii="Times New Roman" w:hAnsi="Times New Roman" w:cs="Times New Roman"/>
                <w:color w:val="auto"/>
                <w:sz w:val="21"/>
                <w:lang w:eastAsia="zh-CN"/>
              </w:rPr>
            </w:pPr>
          </w:p>
        </w:tc>
        <w:tc>
          <w:tcPr>
            <w:tcW w:w="304" w:type="pct"/>
            <w:vAlign w:val="center"/>
          </w:tcPr>
          <w:p w14:paraId="219B341C">
            <w:pPr>
              <w:jc w:val="center"/>
              <w:rPr>
                <w:rFonts w:ascii="Times New Roman" w:hAnsi="Times New Roman" w:cs="Times New Roman"/>
                <w:color w:val="auto"/>
                <w:sz w:val="21"/>
                <w:lang w:eastAsia="zh-CN"/>
              </w:rPr>
            </w:pPr>
          </w:p>
        </w:tc>
        <w:tc>
          <w:tcPr>
            <w:tcW w:w="271" w:type="pct"/>
            <w:vAlign w:val="center"/>
          </w:tcPr>
          <w:p w14:paraId="63566CD5">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+6台</w:t>
            </w:r>
          </w:p>
        </w:tc>
      </w:tr>
    </w:tbl>
    <w:p w14:paraId="4D36AD7D">
      <w:pPr>
        <w:widowControl w:val="0"/>
        <w:topLinePunct/>
        <w:spacing w:line="360" w:lineRule="auto"/>
        <w:ind w:firstLine="482" w:firstLineChars="200"/>
        <w:jc w:val="both"/>
        <w:rPr>
          <w:rFonts w:ascii="Times New Roman" w:hAnsi="Times New Roman" w:cs="Times New Roman"/>
          <w:b/>
          <w:bCs/>
          <w:color w:val="auto"/>
          <w:szCs w:val="24"/>
          <w:lang w:eastAsia="zh-CN"/>
        </w:rPr>
      </w:pPr>
    </w:p>
    <w:p w14:paraId="04FF777D">
      <w:pPr>
        <w:widowControl w:val="0"/>
        <w:topLinePunct/>
        <w:spacing w:line="360" w:lineRule="auto"/>
        <w:ind w:firstLine="482" w:firstLineChars="200"/>
        <w:jc w:val="both"/>
        <w:rPr>
          <w:rFonts w:ascii="Times New Roman" w:hAnsi="Times New Roman" w:cs="Times New Roman"/>
          <w:b/>
          <w:bCs/>
          <w:color w:val="auto"/>
          <w:szCs w:val="24"/>
          <w:lang w:eastAsia="zh-CN"/>
        </w:rPr>
      </w:pPr>
    </w:p>
    <w:p w14:paraId="6E6ED161">
      <w:pPr>
        <w:widowControl w:val="0"/>
        <w:topLinePunct/>
        <w:spacing w:line="360" w:lineRule="auto"/>
        <w:ind w:firstLine="482" w:firstLineChars="200"/>
        <w:jc w:val="both"/>
        <w:rPr>
          <w:rFonts w:ascii="Times New Roman" w:hAnsi="Times New Roman" w:cs="Times New Roman"/>
          <w:b/>
          <w:bCs/>
          <w:color w:val="auto"/>
          <w:szCs w:val="24"/>
          <w:lang w:eastAsia="zh-CN"/>
        </w:rPr>
      </w:pPr>
    </w:p>
    <w:p w14:paraId="35F7BA5F">
      <w:pPr>
        <w:widowControl w:val="0"/>
        <w:topLinePunct/>
        <w:spacing w:line="360" w:lineRule="auto"/>
        <w:jc w:val="both"/>
        <w:rPr>
          <w:rFonts w:ascii="Times New Roman" w:hAnsi="Times New Roman" w:cs="Times New Roman"/>
          <w:b/>
          <w:bCs/>
          <w:color w:val="auto"/>
          <w:szCs w:val="24"/>
          <w:lang w:eastAsia="zh-CN"/>
        </w:rPr>
      </w:pPr>
    </w:p>
    <w:p w14:paraId="06252616">
      <w:pPr>
        <w:pStyle w:val="74"/>
        <w:adjustRightInd/>
        <w:snapToGrid/>
        <w:ind w:firstLine="482"/>
        <w:jc w:val="both"/>
        <w:rPr>
          <w:rFonts w:cs="Times New Roman"/>
          <w:color w:val="auto"/>
          <w:lang w:eastAsia="zh-CN"/>
        </w:rPr>
      </w:pPr>
      <w:r>
        <w:rPr>
          <w:rFonts w:cs="Times New Roman"/>
          <w:color w:val="auto"/>
          <w:lang w:eastAsia="zh-CN"/>
        </w:rPr>
        <w:t>4.1.5.2 设备与产能匹配性分析</w:t>
      </w:r>
    </w:p>
    <w:p w14:paraId="673C0C77">
      <w:pPr>
        <w:widowControl w:val="0"/>
        <w:topLinePunct/>
        <w:spacing w:line="360" w:lineRule="auto"/>
        <w:ind w:firstLine="482" w:firstLineChars="200"/>
        <w:jc w:val="both"/>
        <w:rPr>
          <w:rFonts w:ascii="Times New Roman" w:hAnsi="Times New Roman" w:cs="Times New Roman"/>
          <w:b/>
          <w:bCs/>
          <w:color w:val="auto"/>
          <w:szCs w:val="24"/>
          <w:lang w:eastAsia="zh-CN"/>
        </w:rPr>
      </w:pPr>
      <w:r>
        <w:rPr>
          <w:rFonts w:hint="eastAsia" w:ascii="Times New Roman" w:hAnsi="Times New Roman" w:cs="Times New Roman"/>
          <w:b/>
          <w:bCs/>
          <w:color w:val="auto"/>
          <w:szCs w:val="24"/>
          <w:lang w:eastAsia="zh-CN"/>
        </w:rPr>
        <w:t>由于本次改扩建过程中对化学纯氢氟酸、刻蚀液产品生产工艺进行了调整，故本次化学纯氢氟酸、刻蚀液产能匹配性分析按照本次改扩建后，全厂化学纯氢氟酸、刻蚀液总产量进行核算。</w:t>
      </w:r>
    </w:p>
    <w:p w14:paraId="05B72320">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szCs w:val="24"/>
          <w:lang w:eastAsia="zh-CN"/>
        </w:rPr>
        <w:t>产品</w:t>
      </w:r>
      <w:r>
        <w:rPr>
          <w:rFonts w:hint="eastAsia" w:ascii="Times New Roman" w:hAnsi="Times New Roman" w:cs="Times New Roman"/>
          <w:color w:val="auto"/>
          <w:szCs w:val="24"/>
          <w:lang w:eastAsia="zh-CN"/>
        </w:rPr>
        <w:t>化学纯氢氟酸</w:t>
      </w:r>
      <w:r>
        <w:rPr>
          <w:rFonts w:ascii="Times New Roman" w:hAnsi="Times New Roman" w:cs="Times New Roman"/>
          <w:color w:val="auto"/>
          <w:lang w:eastAsia="zh-CN"/>
        </w:rPr>
        <w:t>装置决定产品产能的关键生产设备为</w:t>
      </w:r>
      <w:r>
        <w:rPr>
          <w:rFonts w:hint="eastAsia" w:ascii="Times New Roman" w:hAnsi="Times New Roman" w:cs="Times New Roman"/>
          <w:color w:val="auto"/>
          <w:lang w:eastAsia="zh-CN"/>
        </w:rPr>
        <w:t>调配器，</w:t>
      </w:r>
      <w:r>
        <w:rPr>
          <w:rFonts w:hint="eastAsia" w:ascii="Times New Roman" w:hAnsi="Times New Roman" w:cs="Times New Roman"/>
          <w:color w:val="auto"/>
          <w:szCs w:val="24"/>
          <w:lang w:eastAsia="zh-CN"/>
        </w:rPr>
        <w:t>刻蚀液</w:t>
      </w:r>
      <w:r>
        <w:rPr>
          <w:rFonts w:ascii="Times New Roman" w:hAnsi="Times New Roman" w:cs="Times New Roman"/>
          <w:color w:val="auto"/>
          <w:lang w:eastAsia="zh-CN"/>
        </w:rPr>
        <w:t>生产装置决定产品产能的关键生产设备为</w:t>
      </w:r>
      <w:r>
        <w:rPr>
          <w:rFonts w:hint="eastAsia" w:ascii="Times New Roman" w:hAnsi="Times New Roman" w:cs="Times New Roman"/>
          <w:color w:val="auto"/>
          <w:lang w:eastAsia="zh-CN"/>
        </w:rPr>
        <w:t>调配罐</w:t>
      </w:r>
      <w:r>
        <w:rPr>
          <w:rFonts w:ascii="Times New Roman" w:hAnsi="Times New Roman" w:cs="Times New Roman"/>
          <w:color w:val="auto"/>
          <w:lang w:eastAsia="zh-CN"/>
        </w:rPr>
        <w:t>。</w:t>
      </w:r>
    </w:p>
    <w:p w14:paraId="5DCB39B2">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本项目各产品生产周期和年工作时间见</w:t>
      </w:r>
      <w:r>
        <w:rPr>
          <w:rFonts w:hint="eastAsia" w:ascii="Times New Roman" w:hAnsi="Times New Roman" w:cs="Times New Roman"/>
          <w:color w:val="auto"/>
          <w:lang w:eastAsia="zh-CN"/>
        </w:rPr>
        <w:t>下表</w:t>
      </w:r>
      <w:r>
        <w:rPr>
          <w:rFonts w:ascii="Times New Roman" w:hAnsi="Times New Roman" w:cs="Times New Roman"/>
          <w:color w:val="auto"/>
          <w:lang w:eastAsia="zh-CN"/>
        </w:rPr>
        <w:t>。</w:t>
      </w:r>
    </w:p>
    <w:p w14:paraId="0A4C9F70">
      <w:pPr>
        <w:pStyle w:val="12"/>
        <w:spacing w:after="0" w:line="360" w:lineRule="auto"/>
        <w:ind w:left="0" w:leftChars="0"/>
        <w:jc w:val="center"/>
        <w:rPr>
          <w:rFonts w:ascii="Times New Roman" w:hAnsi="Times New Roman" w:cs="Times New Roman"/>
          <w:b/>
          <w:color w:val="auto"/>
          <w:lang w:eastAsia="zh-CN"/>
        </w:rPr>
      </w:pPr>
      <w:r>
        <w:rPr>
          <w:rFonts w:ascii="Times New Roman" w:hAnsi="Times New Roman" w:cs="Times New Roman"/>
          <w:b/>
          <w:color w:val="auto"/>
          <w:lang w:eastAsia="zh-CN"/>
        </w:rPr>
        <w:t>表4.1-</w:t>
      </w:r>
      <w:r>
        <w:rPr>
          <w:rFonts w:hint="eastAsia" w:ascii="Times New Roman" w:hAnsi="Times New Roman" w:cs="Times New Roman"/>
          <w:b/>
          <w:color w:val="auto"/>
          <w:lang w:eastAsia="zh-CN"/>
        </w:rPr>
        <w:t>11</w:t>
      </w:r>
      <w:r>
        <w:rPr>
          <w:rFonts w:ascii="Times New Roman" w:hAnsi="Times New Roman" w:cs="Times New Roman"/>
          <w:b/>
          <w:color w:val="auto"/>
          <w:lang w:eastAsia="zh-CN"/>
        </w:rPr>
        <w:t xml:space="preserve"> 各产品的生产周期和年工作时间表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47"/>
        <w:gridCol w:w="1262"/>
        <w:gridCol w:w="1413"/>
        <w:gridCol w:w="2557"/>
        <w:gridCol w:w="1133"/>
        <w:gridCol w:w="994"/>
        <w:gridCol w:w="1267"/>
        <w:gridCol w:w="913"/>
        <w:gridCol w:w="1066"/>
        <w:gridCol w:w="1223"/>
        <w:gridCol w:w="983"/>
      </w:tblGrid>
      <w:tr w14:paraId="7BB868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1" w:type="pct"/>
            <w:vAlign w:val="center"/>
          </w:tcPr>
          <w:p w14:paraId="388D5472">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装置</w:t>
            </w:r>
            <w:r>
              <w:rPr>
                <w:rFonts w:ascii="Times New Roman" w:hAnsi="Times New Roman" w:cs="Times New Roman"/>
                <w:b/>
                <w:bCs/>
                <w:color w:val="auto"/>
                <w:sz w:val="21"/>
              </w:rPr>
              <w:t>名称</w:t>
            </w:r>
          </w:p>
        </w:tc>
        <w:tc>
          <w:tcPr>
            <w:tcW w:w="452" w:type="pct"/>
            <w:vAlign w:val="center"/>
          </w:tcPr>
          <w:p w14:paraId="20ED5B34">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产品</w:t>
            </w:r>
            <w:r>
              <w:rPr>
                <w:rFonts w:ascii="Times New Roman" w:hAnsi="Times New Roman" w:cs="Times New Roman"/>
                <w:b/>
                <w:bCs/>
                <w:color w:val="auto"/>
                <w:sz w:val="21"/>
              </w:rPr>
              <w:t>名称</w:t>
            </w:r>
          </w:p>
        </w:tc>
        <w:tc>
          <w:tcPr>
            <w:tcW w:w="506" w:type="pct"/>
            <w:vAlign w:val="center"/>
          </w:tcPr>
          <w:p w14:paraId="4CD09FCC">
            <w:pPr>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容积</w:t>
            </w:r>
            <w:r>
              <w:rPr>
                <w:rFonts w:ascii="Times New Roman" w:hAnsi="Times New Roman" w:cs="Times New Roman"/>
                <w:b/>
                <w:bCs/>
                <w:color w:val="auto"/>
                <w:sz w:val="21"/>
              </w:rPr>
              <w:t>(</w:t>
            </w:r>
            <w:r>
              <w:rPr>
                <w:rFonts w:hint="eastAsia" w:ascii="Times New Roman" w:hAnsi="Times New Roman" w:cs="Times New Roman"/>
                <w:b/>
                <w:bCs/>
                <w:color w:val="auto"/>
                <w:sz w:val="21"/>
                <w:lang w:eastAsia="zh-CN"/>
              </w:rPr>
              <w:t>m</w:t>
            </w:r>
            <w:r>
              <w:rPr>
                <w:rFonts w:hint="eastAsia" w:ascii="Times New Roman" w:hAnsi="Times New Roman" w:cs="Times New Roman"/>
                <w:b/>
                <w:bCs/>
                <w:color w:val="auto"/>
                <w:sz w:val="21"/>
                <w:vertAlign w:val="superscript"/>
                <w:lang w:eastAsia="zh-CN"/>
              </w:rPr>
              <w:t>3</w:t>
            </w:r>
            <w:r>
              <w:rPr>
                <w:rFonts w:ascii="Times New Roman" w:hAnsi="Times New Roman" w:cs="Times New Roman"/>
                <w:b/>
                <w:bCs/>
                <w:color w:val="auto"/>
                <w:sz w:val="21"/>
              </w:rPr>
              <w:t>)</w:t>
            </w:r>
          </w:p>
        </w:tc>
        <w:tc>
          <w:tcPr>
            <w:tcW w:w="916" w:type="pct"/>
            <w:vAlign w:val="center"/>
          </w:tcPr>
          <w:p w14:paraId="7A8F4101">
            <w:pPr>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每批物料</w:t>
            </w:r>
          </w:p>
        </w:tc>
        <w:tc>
          <w:tcPr>
            <w:tcW w:w="406" w:type="pct"/>
            <w:vAlign w:val="center"/>
          </w:tcPr>
          <w:p w14:paraId="64BDB2C8">
            <w:pPr>
              <w:adjustRightInd w:val="0"/>
              <w:snapToGrid w:val="0"/>
              <w:jc w:val="center"/>
              <w:rPr>
                <w:rFonts w:ascii="Times New Roman" w:hAnsi="Times New Roman" w:cs="Times New Roman"/>
                <w:b/>
                <w:bCs/>
                <w:color w:val="auto"/>
                <w:sz w:val="21"/>
              </w:rPr>
            </w:pPr>
            <w:r>
              <w:rPr>
                <w:rFonts w:hint="eastAsia" w:ascii="Times New Roman" w:hAnsi="Times New Roman" w:cs="Times New Roman"/>
                <w:b/>
                <w:bCs/>
                <w:color w:val="auto"/>
                <w:sz w:val="21"/>
                <w:lang w:eastAsia="zh-CN"/>
              </w:rPr>
              <w:t>每批</w:t>
            </w:r>
            <w:r>
              <w:rPr>
                <w:rFonts w:ascii="Times New Roman" w:hAnsi="Times New Roman" w:cs="Times New Roman"/>
                <w:b/>
                <w:bCs/>
                <w:color w:val="auto"/>
                <w:sz w:val="21"/>
              </w:rPr>
              <w:t>生产量(kg)</w:t>
            </w:r>
          </w:p>
        </w:tc>
        <w:tc>
          <w:tcPr>
            <w:tcW w:w="356" w:type="pct"/>
            <w:vAlign w:val="center"/>
          </w:tcPr>
          <w:p w14:paraId="5C808064">
            <w:pPr>
              <w:adjustRightInd w:val="0"/>
              <w:snapToGrid w:val="0"/>
              <w:jc w:val="center"/>
              <w:rPr>
                <w:rFonts w:ascii="Times New Roman" w:hAnsi="Times New Roman" w:cs="Times New Roman"/>
                <w:b/>
                <w:bCs/>
                <w:color w:val="auto"/>
                <w:sz w:val="21"/>
              </w:rPr>
            </w:pPr>
            <w:r>
              <w:rPr>
                <w:rFonts w:hint="eastAsia" w:ascii="Times New Roman" w:hAnsi="Times New Roman" w:cs="Times New Roman"/>
                <w:b/>
                <w:bCs/>
                <w:color w:val="auto"/>
                <w:sz w:val="21"/>
                <w:lang w:eastAsia="zh-CN"/>
              </w:rPr>
              <w:t>每批</w:t>
            </w:r>
            <w:r>
              <w:rPr>
                <w:rFonts w:ascii="Times New Roman" w:hAnsi="Times New Roman" w:cs="Times New Roman"/>
                <w:b/>
                <w:bCs/>
                <w:color w:val="auto"/>
                <w:sz w:val="21"/>
              </w:rPr>
              <w:t>时间(h)</w:t>
            </w:r>
          </w:p>
        </w:tc>
        <w:tc>
          <w:tcPr>
            <w:tcW w:w="454" w:type="pct"/>
            <w:vAlign w:val="center"/>
          </w:tcPr>
          <w:p w14:paraId="48CA5F15">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每日生产时间</w:t>
            </w:r>
            <w:r>
              <w:rPr>
                <w:rFonts w:ascii="Times New Roman" w:hAnsi="Times New Roman" w:cs="Times New Roman"/>
                <w:b/>
                <w:bCs/>
                <w:color w:val="auto"/>
                <w:sz w:val="21"/>
                <w:lang w:eastAsia="zh-CN"/>
              </w:rPr>
              <w:t>（h）</w:t>
            </w:r>
          </w:p>
        </w:tc>
        <w:tc>
          <w:tcPr>
            <w:tcW w:w="327" w:type="pct"/>
            <w:vAlign w:val="center"/>
          </w:tcPr>
          <w:p w14:paraId="16AE91E8">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年生产</w:t>
            </w:r>
            <w:r>
              <w:rPr>
                <w:rFonts w:hint="eastAsia" w:ascii="Times New Roman" w:hAnsi="Times New Roman" w:cs="Times New Roman"/>
                <w:b/>
                <w:bCs/>
                <w:color w:val="auto"/>
                <w:sz w:val="21"/>
                <w:lang w:eastAsia="zh-CN"/>
              </w:rPr>
              <w:t>批</w:t>
            </w:r>
            <w:r>
              <w:rPr>
                <w:rFonts w:ascii="Times New Roman" w:hAnsi="Times New Roman" w:cs="Times New Roman"/>
                <w:b/>
                <w:bCs/>
                <w:color w:val="auto"/>
                <w:sz w:val="21"/>
              </w:rPr>
              <w:t>数</w:t>
            </w:r>
          </w:p>
        </w:tc>
        <w:tc>
          <w:tcPr>
            <w:tcW w:w="382" w:type="pct"/>
            <w:vAlign w:val="center"/>
          </w:tcPr>
          <w:p w14:paraId="42202CA0">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年生产时间(天)</w:t>
            </w:r>
          </w:p>
        </w:tc>
        <w:tc>
          <w:tcPr>
            <w:tcW w:w="438" w:type="pct"/>
            <w:vAlign w:val="center"/>
          </w:tcPr>
          <w:p w14:paraId="675CCA91">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生产装置</w:t>
            </w:r>
            <w:r>
              <w:rPr>
                <w:rFonts w:ascii="Times New Roman" w:hAnsi="Times New Roman" w:cs="Times New Roman"/>
                <w:b/>
                <w:bCs/>
                <w:color w:val="auto"/>
                <w:sz w:val="21"/>
              </w:rPr>
              <w:t>产能(t/a)</w:t>
            </w:r>
          </w:p>
        </w:tc>
        <w:tc>
          <w:tcPr>
            <w:tcW w:w="352" w:type="pct"/>
            <w:vAlign w:val="center"/>
          </w:tcPr>
          <w:p w14:paraId="6DD411B6">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设计</w:t>
            </w:r>
            <w:r>
              <w:rPr>
                <w:rFonts w:ascii="Times New Roman" w:hAnsi="Times New Roman" w:cs="Times New Roman"/>
                <w:b/>
                <w:bCs/>
                <w:color w:val="auto"/>
                <w:sz w:val="21"/>
              </w:rPr>
              <w:t>产能(t/a)</w:t>
            </w:r>
          </w:p>
        </w:tc>
      </w:tr>
      <w:tr w14:paraId="455854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1" w:type="pct"/>
            <w:vAlign w:val="center"/>
          </w:tcPr>
          <w:p w14:paraId="6C94B4E6">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化学纯氢氟酸</w:t>
            </w:r>
            <w:r>
              <w:rPr>
                <w:rFonts w:ascii="Times New Roman" w:hAnsi="Times New Roman" w:cs="Times New Roman"/>
                <w:color w:val="auto"/>
                <w:sz w:val="21"/>
                <w:lang w:eastAsia="zh-CN"/>
              </w:rPr>
              <w:t>生产装置</w:t>
            </w:r>
          </w:p>
        </w:tc>
        <w:tc>
          <w:tcPr>
            <w:tcW w:w="452" w:type="pct"/>
            <w:vAlign w:val="center"/>
          </w:tcPr>
          <w:p w14:paraId="1FECC5BB">
            <w:pPr>
              <w:adjustRightInd w:val="0"/>
              <w:snapToGrid w:val="0"/>
              <w:jc w:val="center"/>
              <w:rPr>
                <w:rFonts w:ascii="Times New Roman" w:hAnsi="Times New Roman" w:cs="Times New Roman"/>
                <w:color w:val="auto"/>
                <w:sz w:val="21"/>
                <w:lang w:eastAsia="zh-CN"/>
              </w:rPr>
            </w:pPr>
          </w:p>
        </w:tc>
        <w:tc>
          <w:tcPr>
            <w:tcW w:w="506" w:type="pct"/>
            <w:vAlign w:val="center"/>
          </w:tcPr>
          <w:p w14:paraId="5FEE9635">
            <w:pPr>
              <w:adjustRightInd w:val="0"/>
              <w:snapToGrid w:val="0"/>
              <w:jc w:val="center"/>
              <w:rPr>
                <w:rFonts w:ascii="Times New Roman" w:hAnsi="Times New Roman" w:cs="Times New Roman"/>
                <w:color w:val="EE0000"/>
                <w:sz w:val="21"/>
                <w:lang w:eastAsia="zh-CN"/>
              </w:rPr>
            </w:pPr>
          </w:p>
        </w:tc>
        <w:tc>
          <w:tcPr>
            <w:tcW w:w="916" w:type="pct"/>
            <w:vAlign w:val="center"/>
          </w:tcPr>
          <w:p w14:paraId="5F0564AA">
            <w:pPr>
              <w:adjustRightInd w:val="0"/>
              <w:snapToGrid w:val="0"/>
              <w:jc w:val="center"/>
              <w:rPr>
                <w:rFonts w:ascii="Times New Roman" w:hAnsi="Times New Roman" w:cs="Times New Roman"/>
                <w:color w:val="EE0000"/>
                <w:sz w:val="21"/>
                <w:lang w:eastAsia="zh-CN"/>
              </w:rPr>
            </w:pPr>
          </w:p>
        </w:tc>
        <w:tc>
          <w:tcPr>
            <w:tcW w:w="406" w:type="pct"/>
            <w:vAlign w:val="center"/>
          </w:tcPr>
          <w:p w14:paraId="6CF3BFCC">
            <w:pPr>
              <w:adjustRightInd w:val="0"/>
              <w:snapToGrid w:val="0"/>
              <w:jc w:val="center"/>
              <w:rPr>
                <w:rFonts w:ascii="Times New Roman" w:hAnsi="Times New Roman" w:cs="Times New Roman"/>
                <w:color w:val="auto"/>
                <w:sz w:val="21"/>
              </w:rPr>
            </w:pPr>
          </w:p>
        </w:tc>
        <w:tc>
          <w:tcPr>
            <w:tcW w:w="356" w:type="pct"/>
            <w:vAlign w:val="center"/>
          </w:tcPr>
          <w:p w14:paraId="5E11E07B">
            <w:pPr>
              <w:adjustRightInd w:val="0"/>
              <w:snapToGrid w:val="0"/>
              <w:jc w:val="center"/>
              <w:rPr>
                <w:rFonts w:ascii="Times New Roman" w:hAnsi="Times New Roman" w:cs="Times New Roman"/>
                <w:color w:val="auto"/>
                <w:sz w:val="21"/>
                <w:lang w:eastAsia="zh-CN"/>
              </w:rPr>
            </w:pPr>
          </w:p>
        </w:tc>
        <w:tc>
          <w:tcPr>
            <w:tcW w:w="454" w:type="pct"/>
            <w:vAlign w:val="center"/>
          </w:tcPr>
          <w:p w14:paraId="6EDDB3C2">
            <w:pPr>
              <w:adjustRightInd w:val="0"/>
              <w:snapToGrid w:val="0"/>
              <w:jc w:val="center"/>
              <w:rPr>
                <w:rFonts w:ascii="Times New Roman" w:hAnsi="Times New Roman" w:cs="Times New Roman"/>
                <w:color w:val="auto"/>
                <w:sz w:val="21"/>
                <w:lang w:eastAsia="zh-CN"/>
              </w:rPr>
            </w:pPr>
          </w:p>
        </w:tc>
        <w:tc>
          <w:tcPr>
            <w:tcW w:w="327" w:type="pct"/>
            <w:vAlign w:val="center"/>
          </w:tcPr>
          <w:p w14:paraId="4A461AF4">
            <w:pPr>
              <w:adjustRightInd w:val="0"/>
              <w:snapToGrid w:val="0"/>
              <w:jc w:val="center"/>
              <w:rPr>
                <w:rFonts w:ascii="Times New Roman" w:hAnsi="Times New Roman" w:cs="Times New Roman"/>
                <w:color w:val="auto"/>
                <w:sz w:val="21"/>
                <w:lang w:eastAsia="zh-CN"/>
              </w:rPr>
            </w:pPr>
          </w:p>
        </w:tc>
        <w:tc>
          <w:tcPr>
            <w:tcW w:w="382" w:type="pct"/>
            <w:vAlign w:val="center"/>
          </w:tcPr>
          <w:p w14:paraId="7E84D7AE">
            <w:pPr>
              <w:adjustRightInd w:val="0"/>
              <w:snapToGrid w:val="0"/>
              <w:jc w:val="center"/>
              <w:rPr>
                <w:rFonts w:ascii="Times New Roman" w:hAnsi="Times New Roman" w:cs="Times New Roman"/>
                <w:color w:val="auto"/>
                <w:sz w:val="21"/>
                <w:lang w:eastAsia="zh-CN"/>
              </w:rPr>
            </w:pPr>
          </w:p>
        </w:tc>
        <w:tc>
          <w:tcPr>
            <w:tcW w:w="438" w:type="pct"/>
            <w:vAlign w:val="center"/>
          </w:tcPr>
          <w:p w14:paraId="495334A2">
            <w:pPr>
              <w:adjustRightInd w:val="0"/>
              <w:snapToGrid w:val="0"/>
              <w:jc w:val="center"/>
              <w:rPr>
                <w:rFonts w:ascii="Times New Roman" w:hAnsi="Times New Roman" w:cs="Times New Roman"/>
                <w:color w:val="auto"/>
                <w:sz w:val="21"/>
                <w:lang w:eastAsia="zh-CN"/>
              </w:rPr>
            </w:pPr>
          </w:p>
        </w:tc>
        <w:tc>
          <w:tcPr>
            <w:tcW w:w="352" w:type="pct"/>
            <w:vAlign w:val="center"/>
          </w:tcPr>
          <w:p w14:paraId="1816FF99">
            <w:pPr>
              <w:adjustRightInd w:val="0"/>
              <w:snapToGrid w:val="0"/>
              <w:jc w:val="center"/>
              <w:rPr>
                <w:rFonts w:ascii="Times New Roman" w:hAnsi="Times New Roman" w:cs="Times New Roman"/>
                <w:color w:val="auto"/>
                <w:sz w:val="21"/>
                <w:lang w:eastAsia="zh-CN"/>
              </w:rPr>
            </w:pPr>
          </w:p>
        </w:tc>
      </w:tr>
      <w:tr w14:paraId="01BDEB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1" w:type="pct"/>
            <w:vAlign w:val="center"/>
          </w:tcPr>
          <w:p w14:paraId="68B8C847">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刻蚀液</w:t>
            </w:r>
            <w:r>
              <w:rPr>
                <w:rFonts w:ascii="Times New Roman" w:hAnsi="Times New Roman" w:cs="Times New Roman"/>
                <w:color w:val="auto"/>
                <w:sz w:val="21"/>
                <w:lang w:eastAsia="zh-CN"/>
              </w:rPr>
              <w:t>生产装置</w:t>
            </w:r>
          </w:p>
        </w:tc>
        <w:tc>
          <w:tcPr>
            <w:tcW w:w="452" w:type="pct"/>
            <w:vAlign w:val="center"/>
          </w:tcPr>
          <w:p w14:paraId="13E84D46">
            <w:pPr>
              <w:adjustRightInd w:val="0"/>
              <w:snapToGrid w:val="0"/>
              <w:jc w:val="center"/>
              <w:rPr>
                <w:rFonts w:ascii="Times New Roman" w:hAnsi="Times New Roman" w:cs="Times New Roman"/>
                <w:color w:val="auto"/>
                <w:sz w:val="21"/>
                <w:lang w:eastAsia="zh-CN"/>
              </w:rPr>
            </w:pPr>
          </w:p>
        </w:tc>
        <w:tc>
          <w:tcPr>
            <w:tcW w:w="506" w:type="pct"/>
            <w:vAlign w:val="center"/>
          </w:tcPr>
          <w:p w14:paraId="7841833A">
            <w:pPr>
              <w:adjustRightInd w:val="0"/>
              <w:snapToGrid w:val="0"/>
              <w:jc w:val="center"/>
              <w:rPr>
                <w:rFonts w:ascii="Times New Roman" w:hAnsi="Times New Roman" w:cs="Times New Roman"/>
                <w:color w:val="auto"/>
                <w:sz w:val="21"/>
                <w:lang w:eastAsia="zh-CN"/>
              </w:rPr>
            </w:pPr>
          </w:p>
        </w:tc>
        <w:tc>
          <w:tcPr>
            <w:tcW w:w="916" w:type="pct"/>
            <w:vAlign w:val="center"/>
          </w:tcPr>
          <w:p w14:paraId="04544308">
            <w:pPr>
              <w:adjustRightInd w:val="0"/>
              <w:snapToGrid w:val="0"/>
              <w:jc w:val="center"/>
              <w:rPr>
                <w:rFonts w:ascii="Times New Roman" w:hAnsi="Times New Roman" w:cs="Times New Roman"/>
                <w:color w:val="auto"/>
                <w:sz w:val="21"/>
                <w:lang w:eastAsia="zh-CN"/>
              </w:rPr>
            </w:pPr>
          </w:p>
        </w:tc>
        <w:tc>
          <w:tcPr>
            <w:tcW w:w="406" w:type="pct"/>
            <w:vAlign w:val="center"/>
          </w:tcPr>
          <w:p w14:paraId="2F9C403B">
            <w:pPr>
              <w:adjustRightInd w:val="0"/>
              <w:snapToGrid w:val="0"/>
              <w:jc w:val="center"/>
              <w:rPr>
                <w:rFonts w:ascii="Times New Roman" w:hAnsi="Times New Roman" w:cs="Times New Roman"/>
                <w:color w:val="auto"/>
                <w:sz w:val="21"/>
                <w:lang w:eastAsia="zh-CN"/>
              </w:rPr>
            </w:pPr>
          </w:p>
        </w:tc>
        <w:tc>
          <w:tcPr>
            <w:tcW w:w="356" w:type="pct"/>
            <w:vAlign w:val="center"/>
          </w:tcPr>
          <w:p w14:paraId="1858E55D">
            <w:pPr>
              <w:adjustRightInd w:val="0"/>
              <w:snapToGrid w:val="0"/>
              <w:jc w:val="center"/>
              <w:rPr>
                <w:rFonts w:ascii="Times New Roman" w:hAnsi="Times New Roman" w:cs="Times New Roman"/>
                <w:color w:val="auto"/>
                <w:sz w:val="21"/>
                <w:lang w:eastAsia="zh-CN"/>
              </w:rPr>
            </w:pPr>
          </w:p>
        </w:tc>
        <w:tc>
          <w:tcPr>
            <w:tcW w:w="454" w:type="pct"/>
            <w:vAlign w:val="center"/>
          </w:tcPr>
          <w:p w14:paraId="2563D0AB">
            <w:pPr>
              <w:adjustRightInd w:val="0"/>
              <w:snapToGrid w:val="0"/>
              <w:jc w:val="center"/>
              <w:rPr>
                <w:rFonts w:ascii="Times New Roman" w:hAnsi="Times New Roman" w:cs="Times New Roman"/>
                <w:color w:val="auto"/>
                <w:sz w:val="21"/>
              </w:rPr>
            </w:pPr>
          </w:p>
        </w:tc>
        <w:tc>
          <w:tcPr>
            <w:tcW w:w="327" w:type="pct"/>
            <w:vAlign w:val="center"/>
          </w:tcPr>
          <w:p w14:paraId="0148E639">
            <w:pPr>
              <w:adjustRightInd w:val="0"/>
              <w:snapToGrid w:val="0"/>
              <w:jc w:val="center"/>
              <w:rPr>
                <w:rFonts w:ascii="Times New Roman" w:hAnsi="Times New Roman" w:cs="Times New Roman"/>
                <w:color w:val="auto"/>
                <w:sz w:val="21"/>
                <w:lang w:eastAsia="zh-CN"/>
              </w:rPr>
            </w:pPr>
          </w:p>
        </w:tc>
        <w:tc>
          <w:tcPr>
            <w:tcW w:w="382" w:type="pct"/>
            <w:vAlign w:val="center"/>
          </w:tcPr>
          <w:p w14:paraId="64B4D1BA">
            <w:pPr>
              <w:adjustRightInd w:val="0"/>
              <w:snapToGrid w:val="0"/>
              <w:jc w:val="center"/>
              <w:rPr>
                <w:rFonts w:ascii="Times New Roman" w:hAnsi="Times New Roman" w:cs="Times New Roman"/>
                <w:color w:val="auto"/>
                <w:sz w:val="21"/>
                <w:lang w:eastAsia="zh-CN"/>
              </w:rPr>
            </w:pPr>
          </w:p>
        </w:tc>
        <w:tc>
          <w:tcPr>
            <w:tcW w:w="438" w:type="pct"/>
            <w:vAlign w:val="center"/>
          </w:tcPr>
          <w:p w14:paraId="07DEAF2E">
            <w:pPr>
              <w:adjustRightInd w:val="0"/>
              <w:snapToGrid w:val="0"/>
              <w:jc w:val="center"/>
              <w:rPr>
                <w:rFonts w:ascii="Times New Roman" w:hAnsi="Times New Roman" w:cs="Times New Roman"/>
                <w:color w:val="auto"/>
                <w:sz w:val="21"/>
                <w:lang w:eastAsia="zh-CN"/>
              </w:rPr>
            </w:pPr>
          </w:p>
        </w:tc>
        <w:tc>
          <w:tcPr>
            <w:tcW w:w="352" w:type="pct"/>
            <w:vAlign w:val="center"/>
          </w:tcPr>
          <w:p w14:paraId="04F33827">
            <w:pPr>
              <w:adjustRightInd w:val="0"/>
              <w:snapToGrid w:val="0"/>
              <w:jc w:val="center"/>
              <w:rPr>
                <w:rFonts w:ascii="Times New Roman" w:hAnsi="Times New Roman" w:cs="Times New Roman"/>
                <w:color w:val="auto"/>
                <w:sz w:val="21"/>
                <w:lang w:eastAsia="zh-CN"/>
              </w:rPr>
            </w:pPr>
          </w:p>
        </w:tc>
      </w:tr>
    </w:tbl>
    <w:p w14:paraId="6E0974A5">
      <w:pPr>
        <w:tabs>
          <w:tab w:val="left" w:pos="5600"/>
        </w:tabs>
        <w:rPr>
          <w:lang w:eastAsia="zh-CN"/>
        </w:rPr>
        <w:sectPr>
          <w:pgSz w:w="16838" w:h="11906" w:orient="landscape"/>
          <w:pgMar w:top="1080" w:right="1440" w:bottom="1080" w:left="1440" w:header="851" w:footer="992" w:gutter="0"/>
          <w:cols w:space="720" w:num="1"/>
          <w:docGrid w:type="lines" w:linePitch="326" w:charSpace="0"/>
        </w:sectPr>
      </w:pPr>
      <w:r>
        <w:rPr>
          <w:lang w:eastAsia="zh-CN"/>
        </w:rPr>
        <w:tab/>
      </w:r>
    </w:p>
    <w:p w14:paraId="61C0E9D9">
      <w:pPr>
        <w:spacing w:line="360" w:lineRule="auto"/>
        <w:ind w:firstLine="482"/>
        <w:outlineLvl w:val="2"/>
        <w:rPr>
          <w:rFonts w:ascii="Times New Roman" w:hAnsi="Times New Roman" w:cs="Times New Roman"/>
          <w:b/>
          <w:bCs/>
          <w:color w:val="auto"/>
          <w:lang w:eastAsia="zh-CN"/>
        </w:rPr>
      </w:pPr>
      <w:bookmarkStart w:id="673" w:name="_Toc204448451"/>
      <w:bookmarkStart w:id="674" w:name="_Toc217662650"/>
      <w:bookmarkStart w:id="675" w:name="_Toc237508281"/>
      <w:bookmarkStart w:id="676" w:name="_Toc175164262"/>
      <w:bookmarkStart w:id="677" w:name="_Toc178602338"/>
      <w:bookmarkStart w:id="678" w:name="_Toc221900817"/>
      <w:bookmarkStart w:id="679" w:name="_Toc172555641"/>
      <w:bookmarkStart w:id="680" w:name="_Toc231828568"/>
      <w:bookmarkStart w:id="681" w:name="_Toc225784034"/>
      <w:bookmarkStart w:id="682" w:name="_Toc224674673"/>
      <w:bookmarkStart w:id="683" w:name="_Toc176512998"/>
      <w:bookmarkStart w:id="684" w:name="_Toc204515186"/>
      <w:bookmarkStart w:id="685" w:name="_Toc236641299"/>
      <w:bookmarkStart w:id="686" w:name="_Toc173740268"/>
      <w:bookmarkStart w:id="687" w:name="_Toc223425035"/>
      <w:bookmarkStart w:id="688" w:name="_Toc203926985"/>
      <w:bookmarkStart w:id="689" w:name="_Toc3214"/>
      <w:bookmarkStart w:id="690" w:name="_Toc236641816"/>
      <w:bookmarkStart w:id="691" w:name="_Toc218784260"/>
      <w:bookmarkStart w:id="692" w:name="_Toc173743372"/>
      <w:r>
        <w:rPr>
          <w:rFonts w:ascii="Times New Roman" w:hAnsi="Times New Roman" w:cs="Times New Roman"/>
          <w:b/>
          <w:bCs/>
          <w:color w:val="auto"/>
          <w:lang w:eastAsia="zh-CN"/>
        </w:rPr>
        <w:t>4.1.6 储运工程</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14:paraId="40D80B17">
      <w:pPr>
        <w:topLinePunct/>
        <w:spacing w:line="360" w:lineRule="auto"/>
        <w:ind w:firstLine="480" w:firstLineChars="200"/>
        <w:jc w:val="both"/>
        <w:rPr>
          <w:rFonts w:ascii="Times New Roman" w:hAnsi="Times New Roman" w:cs="Times New Roman"/>
          <w:color w:val="auto"/>
          <w:lang w:eastAsia="zh-CN"/>
        </w:rPr>
      </w:pPr>
      <w:bookmarkStart w:id="693" w:name="_Toc172555642"/>
      <w:bookmarkStart w:id="694" w:name="_Toc6070"/>
      <w:r>
        <w:rPr>
          <w:rFonts w:hint="eastAsia" w:ascii="Times New Roman" w:hAnsi="Times New Roman" w:cs="Times New Roman"/>
          <w:color w:val="auto"/>
          <w:lang w:eastAsia="zh-CN"/>
        </w:rPr>
        <w:t>改扩建后，全厂储运工程主要涉及无水氟化氢库房</w:t>
      </w:r>
      <w:r>
        <w:rPr>
          <w:rFonts w:ascii="Times New Roman" w:hAnsi="Times New Roman" w:cs="Times New Roman"/>
          <w:color w:val="auto"/>
          <w:lang w:eastAsia="zh-CN"/>
        </w:rPr>
        <w:t>、</w:t>
      </w:r>
      <w:r>
        <w:rPr>
          <w:rFonts w:hint="eastAsia" w:ascii="Times New Roman" w:hAnsi="Times New Roman" w:cs="Times New Roman"/>
          <w:color w:val="auto"/>
          <w:lang w:eastAsia="zh-CN"/>
        </w:rPr>
        <w:t>原料及产品罐区</w:t>
      </w:r>
      <w:r>
        <w:rPr>
          <w:rFonts w:ascii="Times New Roman" w:hAnsi="Times New Roman" w:cs="Times New Roman"/>
          <w:color w:val="auto"/>
          <w:lang w:eastAsia="zh-CN"/>
        </w:rPr>
        <w:t>、</w:t>
      </w:r>
      <w:r>
        <w:rPr>
          <w:rFonts w:hint="eastAsia" w:ascii="Times New Roman" w:hAnsi="Times New Roman" w:cs="Times New Roman"/>
          <w:color w:val="auto"/>
          <w:lang w:eastAsia="zh-CN"/>
        </w:rPr>
        <w:t>戊类罐区二</w:t>
      </w:r>
      <w:r>
        <w:rPr>
          <w:rFonts w:ascii="Times New Roman" w:hAnsi="Times New Roman" w:cs="Times New Roman"/>
          <w:color w:val="auto"/>
          <w:lang w:eastAsia="zh-CN"/>
        </w:rPr>
        <w:t>。各物质严格按照《危险化学品仓库建设及储存安全规范》（DB11755-2010）进行分区、分类贮存。拟建项目储运设施详见下表。</w:t>
      </w:r>
    </w:p>
    <w:p w14:paraId="73661725">
      <w:pPr>
        <w:pStyle w:val="12"/>
        <w:spacing w:after="0" w:line="360" w:lineRule="auto"/>
        <w:ind w:left="0" w:leftChars="0"/>
        <w:jc w:val="center"/>
        <w:rPr>
          <w:rFonts w:ascii="Times New Roman" w:hAnsi="Times New Roman" w:cs="Times New Roman"/>
          <w:b/>
          <w:color w:val="auto"/>
          <w:lang w:eastAsia="zh-CN"/>
        </w:rPr>
      </w:pPr>
      <w:r>
        <w:rPr>
          <w:rFonts w:ascii="Times New Roman" w:hAnsi="Times New Roman" w:cs="Times New Roman"/>
          <w:b/>
          <w:color w:val="auto"/>
          <w:lang w:eastAsia="zh-CN"/>
        </w:rPr>
        <w:t>表4.1-1</w:t>
      </w:r>
      <w:r>
        <w:rPr>
          <w:rFonts w:hint="eastAsia" w:ascii="Times New Roman" w:hAnsi="Times New Roman" w:cs="Times New Roman"/>
          <w:b/>
          <w:color w:val="auto"/>
          <w:lang w:eastAsia="zh-CN"/>
        </w:rPr>
        <w:t>2</w:t>
      </w:r>
      <w:r>
        <w:rPr>
          <w:rFonts w:ascii="Times New Roman" w:hAnsi="Times New Roman" w:cs="Times New Roman"/>
          <w:b/>
          <w:color w:val="auto"/>
          <w:lang w:eastAsia="zh-CN"/>
        </w:rPr>
        <w:t xml:space="preserve"> </w:t>
      </w:r>
      <w:r>
        <w:rPr>
          <w:rFonts w:hint="eastAsia" w:ascii="Times New Roman" w:hAnsi="Times New Roman" w:cs="Times New Roman"/>
          <w:b/>
          <w:color w:val="auto"/>
          <w:lang w:eastAsia="zh-CN"/>
        </w:rPr>
        <w:t>改扩建后，全厂</w:t>
      </w:r>
      <w:r>
        <w:rPr>
          <w:rFonts w:ascii="Times New Roman" w:hAnsi="Times New Roman" w:cs="Times New Roman"/>
          <w:b/>
          <w:color w:val="auto"/>
          <w:lang w:eastAsia="zh-CN"/>
        </w:rPr>
        <w:t>储运工程一览表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27"/>
        <w:gridCol w:w="1272"/>
        <w:gridCol w:w="985"/>
        <w:gridCol w:w="987"/>
        <w:gridCol w:w="1129"/>
        <w:gridCol w:w="849"/>
        <w:gridCol w:w="995"/>
        <w:gridCol w:w="882"/>
        <w:gridCol w:w="1520"/>
      </w:tblGrid>
      <w:tr w14:paraId="7A171E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81" w:type="pct"/>
            <w:vAlign w:val="center"/>
          </w:tcPr>
          <w:p w14:paraId="2E92D676">
            <w:pPr>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罐区名称</w:t>
            </w:r>
          </w:p>
        </w:tc>
        <w:tc>
          <w:tcPr>
            <w:tcW w:w="1163" w:type="pct"/>
            <w:gridSpan w:val="2"/>
            <w:vAlign w:val="center"/>
          </w:tcPr>
          <w:p w14:paraId="523A359F">
            <w:pPr>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罐体类型</w:t>
            </w:r>
          </w:p>
        </w:tc>
        <w:tc>
          <w:tcPr>
            <w:tcW w:w="509" w:type="pct"/>
            <w:vAlign w:val="center"/>
          </w:tcPr>
          <w:p w14:paraId="1E27FCEA">
            <w:pPr>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压力温度</w:t>
            </w:r>
          </w:p>
        </w:tc>
        <w:tc>
          <w:tcPr>
            <w:tcW w:w="582" w:type="pct"/>
            <w:vAlign w:val="center"/>
          </w:tcPr>
          <w:p w14:paraId="7F1E62EA">
            <w:pPr>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储存物质</w:t>
            </w:r>
          </w:p>
        </w:tc>
        <w:tc>
          <w:tcPr>
            <w:tcW w:w="436" w:type="pct"/>
            <w:vAlign w:val="center"/>
          </w:tcPr>
          <w:p w14:paraId="4BC596E7">
            <w:pPr>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数量（座）</w:t>
            </w:r>
          </w:p>
        </w:tc>
        <w:tc>
          <w:tcPr>
            <w:tcW w:w="515" w:type="pct"/>
            <w:vAlign w:val="center"/>
          </w:tcPr>
          <w:p w14:paraId="763B0B55">
            <w:pPr>
              <w:jc w:val="center"/>
              <w:rPr>
                <w:rFonts w:ascii="Times New Roman" w:hAnsi="Times New Roman" w:cs="Times New Roman"/>
                <w:b/>
                <w:bCs/>
                <w:color w:val="000000" w:themeColor="text1"/>
                <w:sz w:val="21"/>
                <w:lang w:eastAsia="zh-CN"/>
                <w14:textFill>
                  <w14:solidFill>
                    <w14:schemeClr w14:val="tx1"/>
                  </w14:solidFill>
                </w14:textFill>
              </w:rPr>
            </w:pPr>
            <w:r>
              <w:rPr>
                <w:rFonts w:hint="eastAsia" w:ascii="Times New Roman" w:hAnsi="Times New Roman" w:cs="Times New Roman"/>
                <w:b/>
                <w:bCs/>
                <w:color w:val="000000" w:themeColor="text1"/>
                <w:sz w:val="21"/>
                <w:lang w:eastAsia="zh-CN"/>
                <w14:textFill>
                  <w14:solidFill>
                    <w14:schemeClr w14:val="tx1"/>
                  </w14:solidFill>
                </w14:textFill>
              </w:rPr>
              <w:t>储罐</w:t>
            </w:r>
          </w:p>
          <w:p w14:paraId="522EBFE7">
            <w:pPr>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尺寸</w:t>
            </w:r>
          </w:p>
        </w:tc>
        <w:tc>
          <w:tcPr>
            <w:tcW w:w="432" w:type="pct"/>
            <w:vAlign w:val="center"/>
          </w:tcPr>
          <w:p w14:paraId="6684DCDA">
            <w:pPr>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容积（m</w:t>
            </w:r>
            <w:r>
              <w:rPr>
                <w:rFonts w:ascii="Times New Roman" w:hAnsi="Times New Roman" w:cs="Times New Roman"/>
                <w:b/>
                <w:bCs/>
                <w:color w:val="000000" w:themeColor="text1"/>
                <w:sz w:val="21"/>
                <w:vertAlign w:val="superscript"/>
                <w:lang w:eastAsia="zh-CN"/>
                <w14:textFill>
                  <w14:solidFill>
                    <w14:schemeClr w14:val="tx1"/>
                  </w14:solidFill>
                </w14:textFill>
              </w:rPr>
              <w:t>3</w:t>
            </w:r>
            <w:r>
              <w:rPr>
                <w:rFonts w:ascii="Times New Roman" w:hAnsi="Times New Roman" w:cs="Times New Roman"/>
                <w:b/>
                <w:bCs/>
                <w:color w:val="000000" w:themeColor="text1"/>
                <w:sz w:val="21"/>
                <w:lang w:eastAsia="zh-CN"/>
                <w14:textFill>
                  <w14:solidFill>
                    <w14:schemeClr w14:val="tx1"/>
                  </w14:solidFill>
                </w14:textFill>
              </w:rPr>
              <w:t>）</w:t>
            </w:r>
          </w:p>
        </w:tc>
        <w:tc>
          <w:tcPr>
            <w:tcW w:w="782" w:type="pct"/>
            <w:vAlign w:val="center"/>
          </w:tcPr>
          <w:p w14:paraId="12199288">
            <w:pPr>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围堰尺寸（m）</w:t>
            </w:r>
          </w:p>
        </w:tc>
      </w:tr>
      <w:tr w14:paraId="41EA51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81" w:type="pct"/>
            <w:vAlign w:val="center"/>
          </w:tcPr>
          <w:p w14:paraId="63EBD711">
            <w:pPr>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无水氟化氢库房</w:t>
            </w:r>
          </w:p>
        </w:tc>
        <w:tc>
          <w:tcPr>
            <w:tcW w:w="655" w:type="pct"/>
            <w:vAlign w:val="center"/>
          </w:tcPr>
          <w:p w14:paraId="69A68369">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08" w:type="pct"/>
            <w:vAlign w:val="center"/>
          </w:tcPr>
          <w:p w14:paraId="340C43FD">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09" w:type="pct"/>
            <w:vAlign w:val="center"/>
          </w:tcPr>
          <w:p w14:paraId="55990984">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82" w:type="pct"/>
            <w:vAlign w:val="center"/>
          </w:tcPr>
          <w:p w14:paraId="6B0EE72A">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36" w:type="pct"/>
            <w:vAlign w:val="center"/>
          </w:tcPr>
          <w:p w14:paraId="35C72AC6">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15" w:type="pct"/>
            <w:vAlign w:val="center"/>
          </w:tcPr>
          <w:p w14:paraId="34C0B2CA">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32" w:type="pct"/>
            <w:vAlign w:val="center"/>
          </w:tcPr>
          <w:p w14:paraId="5F97C673">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782" w:type="pct"/>
            <w:vAlign w:val="center"/>
          </w:tcPr>
          <w:p w14:paraId="5CA5062A">
            <w:pPr>
              <w:jc w:val="center"/>
              <w:textAlignment w:val="center"/>
              <w:rPr>
                <w:rFonts w:ascii="Times New Roman" w:hAnsi="Times New Roman" w:cs="Times New Roman"/>
                <w:color w:val="EE0000"/>
                <w:kern w:val="2"/>
                <w:sz w:val="21"/>
                <w:lang w:eastAsia="zh-CN"/>
              </w:rPr>
            </w:pPr>
            <w:r>
              <w:rPr>
                <w:rFonts w:hint="eastAsia" w:ascii="Times New Roman" w:hAnsi="Times New Roman" w:cs="Times New Roman"/>
                <w:color w:val="000000" w:themeColor="text1"/>
                <w:kern w:val="2"/>
                <w:sz w:val="21"/>
                <w:lang w:eastAsia="zh-CN"/>
                <w14:textFill>
                  <w14:solidFill>
                    <w14:schemeClr w14:val="tx1"/>
                  </w14:solidFill>
                </w14:textFill>
              </w:rPr>
              <w:t>/</w:t>
            </w:r>
          </w:p>
        </w:tc>
      </w:tr>
      <w:tr w14:paraId="1B11C5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81" w:type="pct"/>
            <w:vMerge w:val="restart"/>
            <w:vAlign w:val="center"/>
          </w:tcPr>
          <w:p w14:paraId="554C1A36">
            <w:pPr>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原料及产品罐区</w:t>
            </w:r>
          </w:p>
        </w:tc>
        <w:tc>
          <w:tcPr>
            <w:tcW w:w="655" w:type="pct"/>
            <w:vAlign w:val="center"/>
          </w:tcPr>
          <w:p w14:paraId="63966494">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08" w:type="pct"/>
            <w:vAlign w:val="center"/>
          </w:tcPr>
          <w:p w14:paraId="1B9D6F3D">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09" w:type="pct"/>
            <w:vAlign w:val="center"/>
          </w:tcPr>
          <w:p w14:paraId="01C1391A">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82" w:type="pct"/>
            <w:vAlign w:val="center"/>
          </w:tcPr>
          <w:p w14:paraId="6CB847ED">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36" w:type="pct"/>
            <w:vAlign w:val="center"/>
          </w:tcPr>
          <w:p w14:paraId="74AC32C0">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15" w:type="pct"/>
            <w:vAlign w:val="center"/>
          </w:tcPr>
          <w:p w14:paraId="0D23F700">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32" w:type="pct"/>
            <w:vAlign w:val="center"/>
          </w:tcPr>
          <w:p w14:paraId="37C7693B">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782" w:type="pct"/>
            <w:vMerge w:val="restart"/>
            <w:vAlign w:val="center"/>
          </w:tcPr>
          <w:p w14:paraId="05BF6852">
            <w:pPr>
              <w:jc w:val="center"/>
              <w:textAlignment w:val="center"/>
              <w:rPr>
                <w:rFonts w:ascii="Times New Roman" w:hAnsi="Times New Roman" w:cs="Times New Roman"/>
                <w:color w:val="000000" w:themeColor="text1"/>
                <w:kern w:val="2"/>
                <w:sz w:val="21"/>
                <w:lang w:eastAsia="zh-CN"/>
                <w14:textFill>
                  <w14:solidFill>
                    <w14:schemeClr w14:val="tx1"/>
                  </w14:solidFill>
                </w14:textFill>
              </w:rPr>
            </w:pPr>
          </w:p>
        </w:tc>
      </w:tr>
      <w:tr w14:paraId="4B2A67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81" w:type="pct"/>
            <w:vMerge w:val="continue"/>
            <w:vAlign w:val="center"/>
          </w:tcPr>
          <w:p w14:paraId="13E09258">
            <w:pPr>
              <w:jc w:val="center"/>
              <w:rPr>
                <w:rFonts w:ascii="Times New Roman" w:hAnsi="Times New Roman" w:cs="Times New Roman"/>
                <w:color w:val="auto"/>
                <w:kern w:val="2"/>
                <w:sz w:val="21"/>
                <w:lang w:eastAsia="zh-CN"/>
              </w:rPr>
            </w:pPr>
          </w:p>
        </w:tc>
        <w:tc>
          <w:tcPr>
            <w:tcW w:w="655" w:type="pct"/>
            <w:vAlign w:val="center"/>
          </w:tcPr>
          <w:p w14:paraId="295AF264">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08" w:type="pct"/>
            <w:vAlign w:val="center"/>
          </w:tcPr>
          <w:p w14:paraId="2111B78D">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09" w:type="pct"/>
            <w:vAlign w:val="center"/>
          </w:tcPr>
          <w:p w14:paraId="3FBB722A">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82" w:type="pct"/>
            <w:vAlign w:val="center"/>
          </w:tcPr>
          <w:p w14:paraId="15179C36">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36" w:type="pct"/>
            <w:vAlign w:val="center"/>
          </w:tcPr>
          <w:p w14:paraId="45D08D1F">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15" w:type="pct"/>
            <w:vAlign w:val="center"/>
          </w:tcPr>
          <w:p w14:paraId="6CC2BF5E">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32" w:type="pct"/>
            <w:vAlign w:val="center"/>
          </w:tcPr>
          <w:p w14:paraId="06346294">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782" w:type="pct"/>
            <w:vMerge w:val="continue"/>
            <w:vAlign w:val="center"/>
          </w:tcPr>
          <w:p w14:paraId="22B66AC2">
            <w:pPr>
              <w:jc w:val="center"/>
              <w:textAlignment w:val="center"/>
              <w:rPr>
                <w:rFonts w:ascii="Times New Roman" w:hAnsi="Times New Roman" w:cs="Times New Roman"/>
                <w:color w:val="000000" w:themeColor="text1"/>
                <w:kern w:val="2"/>
                <w:sz w:val="21"/>
                <w:lang w:eastAsia="zh-CN"/>
                <w14:textFill>
                  <w14:solidFill>
                    <w14:schemeClr w14:val="tx1"/>
                  </w14:solidFill>
                </w14:textFill>
              </w:rPr>
            </w:pPr>
          </w:p>
        </w:tc>
      </w:tr>
      <w:tr w14:paraId="3DFF7B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81" w:type="pct"/>
            <w:vMerge w:val="continue"/>
            <w:vAlign w:val="center"/>
          </w:tcPr>
          <w:p w14:paraId="34D7169C">
            <w:pPr>
              <w:jc w:val="center"/>
              <w:rPr>
                <w:rFonts w:ascii="Times New Roman" w:hAnsi="Times New Roman" w:cs="Times New Roman"/>
                <w:color w:val="auto"/>
                <w:kern w:val="2"/>
                <w:sz w:val="21"/>
                <w:lang w:eastAsia="zh-CN"/>
              </w:rPr>
            </w:pPr>
          </w:p>
        </w:tc>
        <w:tc>
          <w:tcPr>
            <w:tcW w:w="655" w:type="pct"/>
            <w:vAlign w:val="center"/>
          </w:tcPr>
          <w:p w14:paraId="3A8B2734">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08" w:type="pct"/>
            <w:vAlign w:val="center"/>
          </w:tcPr>
          <w:p w14:paraId="076BC924">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09" w:type="pct"/>
            <w:vAlign w:val="center"/>
          </w:tcPr>
          <w:p w14:paraId="4D1015FC">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82" w:type="pct"/>
            <w:vAlign w:val="center"/>
          </w:tcPr>
          <w:p w14:paraId="7D284F51">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36" w:type="pct"/>
            <w:vAlign w:val="center"/>
          </w:tcPr>
          <w:p w14:paraId="0E77D06A">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15" w:type="pct"/>
            <w:vAlign w:val="center"/>
          </w:tcPr>
          <w:p w14:paraId="25831AE5">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32" w:type="pct"/>
            <w:vAlign w:val="center"/>
          </w:tcPr>
          <w:p w14:paraId="31AB995C">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782" w:type="pct"/>
            <w:vMerge w:val="continue"/>
            <w:vAlign w:val="center"/>
          </w:tcPr>
          <w:p w14:paraId="1F2733EB">
            <w:pPr>
              <w:jc w:val="center"/>
              <w:textAlignment w:val="center"/>
              <w:rPr>
                <w:rFonts w:ascii="Times New Roman" w:hAnsi="Times New Roman" w:cs="Times New Roman"/>
                <w:color w:val="000000" w:themeColor="text1"/>
                <w:kern w:val="2"/>
                <w:sz w:val="21"/>
                <w:lang w:eastAsia="zh-CN"/>
                <w14:textFill>
                  <w14:solidFill>
                    <w14:schemeClr w14:val="tx1"/>
                  </w14:solidFill>
                </w14:textFill>
              </w:rPr>
            </w:pPr>
          </w:p>
        </w:tc>
      </w:tr>
      <w:tr w14:paraId="5E440C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81" w:type="pct"/>
            <w:vMerge w:val="restart"/>
            <w:vAlign w:val="center"/>
          </w:tcPr>
          <w:p w14:paraId="0D3232D3">
            <w:pPr>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戊类罐区二</w:t>
            </w:r>
          </w:p>
        </w:tc>
        <w:tc>
          <w:tcPr>
            <w:tcW w:w="655" w:type="pct"/>
            <w:vAlign w:val="center"/>
          </w:tcPr>
          <w:p w14:paraId="59D48126">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08" w:type="pct"/>
            <w:vAlign w:val="center"/>
          </w:tcPr>
          <w:p w14:paraId="486B66FF">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09" w:type="pct"/>
            <w:vAlign w:val="center"/>
          </w:tcPr>
          <w:p w14:paraId="5B5B1675">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82" w:type="pct"/>
            <w:vAlign w:val="center"/>
          </w:tcPr>
          <w:p w14:paraId="50796DD4">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36" w:type="pct"/>
            <w:vAlign w:val="center"/>
          </w:tcPr>
          <w:p w14:paraId="5D774A5C">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15" w:type="pct"/>
            <w:vAlign w:val="center"/>
          </w:tcPr>
          <w:p w14:paraId="446C9E49">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32" w:type="pct"/>
            <w:vAlign w:val="center"/>
          </w:tcPr>
          <w:p w14:paraId="160141D2">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782" w:type="pct"/>
            <w:vMerge w:val="restart"/>
            <w:vAlign w:val="center"/>
          </w:tcPr>
          <w:p w14:paraId="3C31D1A2">
            <w:pPr>
              <w:jc w:val="center"/>
              <w:textAlignment w:val="center"/>
              <w:rPr>
                <w:rFonts w:ascii="Times New Roman" w:hAnsi="Times New Roman" w:cs="Times New Roman"/>
                <w:color w:val="000000" w:themeColor="text1"/>
                <w:kern w:val="2"/>
                <w:sz w:val="21"/>
                <w:lang w:eastAsia="zh-CN"/>
                <w14:textFill>
                  <w14:solidFill>
                    <w14:schemeClr w14:val="tx1"/>
                  </w14:solidFill>
                </w14:textFill>
              </w:rPr>
            </w:pPr>
          </w:p>
        </w:tc>
      </w:tr>
      <w:tr w14:paraId="6DE4BA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81" w:type="pct"/>
            <w:vMerge w:val="continue"/>
            <w:vAlign w:val="center"/>
          </w:tcPr>
          <w:p w14:paraId="73A5D2C8">
            <w:pPr>
              <w:jc w:val="center"/>
              <w:rPr>
                <w:rFonts w:ascii="Times New Roman" w:hAnsi="Times New Roman" w:cs="Times New Roman"/>
                <w:color w:val="auto"/>
                <w:kern w:val="2"/>
                <w:sz w:val="21"/>
                <w:lang w:eastAsia="zh-CN"/>
              </w:rPr>
            </w:pPr>
          </w:p>
        </w:tc>
        <w:tc>
          <w:tcPr>
            <w:tcW w:w="655" w:type="pct"/>
            <w:vAlign w:val="center"/>
          </w:tcPr>
          <w:p w14:paraId="3B942F61">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08" w:type="pct"/>
            <w:vAlign w:val="center"/>
          </w:tcPr>
          <w:p w14:paraId="3EEA654B">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09" w:type="pct"/>
            <w:vAlign w:val="center"/>
          </w:tcPr>
          <w:p w14:paraId="413CCBE8">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82" w:type="pct"/>
            <w:vAlign w:val="center"/>
          </w:tcPr>
          <w:p w14:paraId="54675F11">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36" w:type="pct"/>
            <w:vAlign w:val="center"/>
          </w:tcPr>
          <w:p w14:paraId="1CB6FC93">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15" w:type="pct"/>
            <w:vAlign w:val="center"/>
          </w:tcPr>
          <w:p w14:paraId="33044E5F">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32" w:type="pct"/>
            <w:vAlign w:val="center"/>
          </w:tcPr>
          <w:p w14:paraId="473F6A7A">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782" w:type="pct"/>
            <w:vMerge w:val="continue"/>
            <w:vAlign w:val="center"/>
          </w:tcPr>
          <w:p w14:paraId="66E4AD99">
            <w:pPr>
              <w:jc w:val="center"/>
              <w:textAlignment w:val="center"/>
              <w:rPr>
                <w:rFonts w:ascii="Times New Roman" w:hAnsi="Times New Roman" w:cs="Times New Roman"/>
                <w:color w:val="000000" w:themeColor="text1"/>
                <w:kern w:val="2"/>
                <w:sz w:val="21"/>
                <w:lang w:eastAsia="zh-CN"/>
                <w14:textFill>
                  <w14:solidFill>
                    <w14:schemeClr w14:val="tx1"/>
                  </w14:solidFill>
                </w14:textFill>
              </w:rPr>
            </w:pPr>
          </w:p>
        </w:tc>
      </w:tr>
      <w:tr w14:paraId="0DB58A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81" w:type="pct"/>
            <w:vMerge w:val="continue"/>
            <w:vAlign w:val="center"/>
          </w:tcPr>
          <w:p w14:paraId="7ACAD449">
            <w:pPr>
              <w:jc w:val="center"/>
              <w:rPr>
                <w:rFonts w:ascii="Times New Roman" w:hAnsi="Times New Roman" w:cs="Times New Roman"/>
                <w:color w:val="auto"/>
                <w:kern w:val="2"/>
                <w:sz w:val="21"/>
                <w:lang w:eastAsia="zh-CN"/>
              </w:rPr>
            </w:pPr>
          </w:p>
        </w:tc>
        <w:tc>
          <w:tcPr>
            <w:tcW w:w="655" w:type="pct"/>
            <w:vAlign w:val="center"/>
          </w:tcPr>
          <w:p w14:paraId="523EF206">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08" w:type="pct"/>
            <w:vAlign w:val="center"/>
          </w:tcPr>
          <w:p w14:paraId="53D7B39C">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09" w:type="pct"/>
            <w:vAlign w:val="center"/>
          </w:tcPr>
          <w:p w14:paraId="151242F0">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82" w:type="pct"/>
            <w:vAlign w:val="center"/>
          </w:tcPr>
          <w:p w14:paraId="789EADCD">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36" w:type="pct"/>
            <w:vAlign w:val="center"/>
          </w:tcPr>
          <w:p w14:paraId="7A7E8FA6">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15" w:type="pct"/>
            <w:vAlign w:val="center"/>
          </w:tcPr>
          <w:p w14:paraId="6459CF02">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432" w:type="pct"/>
            <w:vAlign w:val="center"/>
          </w:tcPr>
          <w:p w14:paraId="64677BBB">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782" w:type="pct"/>
            <w:vMerge w:val="continue"/>
            <w:vAlign w:val="center"/>
          </w:tcPr>
          <w:p w14:paraId="7102A65F">
            <w:pPr>
              <w:jc w:val="center"/>
              <w:textAlignment w:val="center"/>
              <w:rPr>
                <w:rFonts w:ascii="Times New Roman" w:hAnsi="Times New Roman" w:cs="Times New Roman"/>
                <w:color w:val="000000" w:themeColor="text1"/>
                <w:kern w:val="2"/>
                <w:sz w:val="21"/>
                <w:lang w:eastAsia="zh-CN"/>
                <w14:textFill>
                  <w14:solidFill>
                    <w14:schemeClr w14:val="tx1"/>
                  </w14:solidFill>
                </w14:textFill>
              </w:rPr>
            </w:pPr>
          </w:p>
        </w:tc>
      </w:tr>
    </w:tbl>
    <w:p w14:paraId="7DD84935">
      <w:pPr>
        <w:spacing w:line="360" w:lineRule="auto"/>
        <w:ind w:firstLine="482"/>
        <w:outlineLvl w:val="2"/>
        <w:rPr>
          <w:rFonts w:ascii="Times New Roman" w:hAnsi="Times New Roman" w:cs="Times New Roman"/>
          <w:b/>
          <w:bCs/>
          <w:color w:val="auto"/>
          <w:lang w:eastAsia="zh-CN"/>
        </w:rPr>
      </w:pPr>
      <w:bookmarkStart w:id="695" w:name="_Toc178602339"/>
      <w:bookmarkStart w:id="696" w:name="_Toc221900818"/>
      <w:bookmarkStart w:id="697" w:name="_Toc203926986"/>
      <w:bookmarkStart w:id="698" w:name="_Toc223425036"/>
      <w:bookmarkStart w:id="699" w:name="_Toc218784261"/>
      <w:bookmarkStart w:id="700" w:name="_Toc204448452"/>
      <w:bookmarkStart w:id="701" w:name="_Toc236641817"/>
      <w:bookmarkStart w:id="702" w:name="_Toc175164263"/>
      <w:bookmarkStart w:id="703" w:name="_Toc204515187"/>
      <w:bookmarkStart w:id="704" w:name="_Toc224674674"/>
      <w:bookmarkStart w:id="705" w:name="_Toc225784035"/>
      <w:bookmarkStart w:id="706" w:name="_Toc173743373"/>
      <w:bookmarkStart w:id="707" w:name="_Toc173740269"/>
      <w:bookmarkStart w:id="708" w:name="_Toc231828569"/>
      <w:bookmarkStart w:id="709" w:name="_Toc236641300"/>
      <w:bookmarkStart w:id="710" w:name="_Toc237508282"/>
      <w:bookmarkStart w:id="711" w:name="_Toc217662651"/>
      <w:bookmarkStart w:id="712" w:name="_Toc176512999"/>
      <w:r>
        <w:rPr>
          <w:rFonts w:ascii="Times New Roman" w:hAnsi="Times New Roman" w:cs="Times New Roman"/>
          <w:b/>
          <w:bCs/>
          <w:color w:val="auto"/>
          <w:lang w:eastAsia="zh-CN"/>
        </w:rPr>
        <w:t>4.1.7 总平面布置及合理性分析</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p>
    <w:p w14:paraId="4D64AF1E">
      <w:pPr>
        <w:widowControl w:val="0"/>
        <w:spacing w:line="360" w:lineRule="auto"/>
        <w:ind w:firstLine="512" w:firstLineChars="200"/>
        <w:jc w:val="both"/>
        <w:rPr>
          <w:rFonts w:ascii="Times New Roman" w:hAnsi="Times New Roman" w:cs="Times New Roman"/>
          <w:color w:val="auto"/>
          <w:spacing w:val="8"/>
          <w:lang w:eastAsia="zh-CN"/>
        </w:rPr>
      </w:pPr>
      <w:r>
        <w:rPr>
          <w:rFonts w:ascii="Times New Roman" w:hAnsi="Times New Roman" w:cs="Times New Roman"/>
          <w:color w:val="000000" w:themeColor="text1"/>
          <w:spacing w:val="8"/>
          <w:lang w:eastAsia="zh-CN"/>
          <w14:textFill>
            <w14:solidFill>
              <w14:schemeClr w14:val="tx1"/>
            </w14:solidFill>
          </w14:textFill>
        </w:rPr>
        <w:t>项目厂区</w:t>
      </w:r>
      <w:r>
        <w:rPr>
          <w:rFonts w:ascii="Times New Roman" w:hAnsi="Times New Roman" w:cs="Times New Roman"/>
          <w:color w:val="auto"/>
          <w:spacing w:val="8"/>
          <w:lang w:eastAsia="zh-CN"/>
        </w:rPr>
        <w:t>布置依据《化工企业总图运输设计规范》（GB50489-2009）、《精细化工企业工程设计防火标准》（GB51283-2020）、</w:t>
      </w:r>
      <w:r>
        <w:rPr>
          <w:rFonts w:hint="eastAsia" w:ascii="Times New Roman" w:hAnsi="Times New Roman" w:cs="Times New Roman"/>
          <w:color w:val="auto"/>
          <w:spacing w:val="8"/>
          <w:lang w:eastAsia="zh-CN"/>
        </w:rPr>
        <w:t>《石油化学企业设计防火标准》（GB50160-2008）、</w:t>
      </w:r>
      <w:r>
        <w:rPr>
          <w:rFonts w:ascii="Times New Roman" w:hAnsi="Times New Roman" w:cs="Times New Roman"/>
          <w:color w:val="auto"/>
          <w:spacing w:val="8"/>
          <w:lang w:eastAsia="zh-CN"/>
        </w:rPr>
        <w:t>《化工企业安全卫生设计规范》（HG20571-2014）、《工业企业总平面设计规范》（GB50187-2012）等进行设计。</w:t>
      </w:r>
      <w:r>
        <w:rPr>
          <w:rFonts w:ascii="Times New Roman" w:hAnsi="Times New Roman" w:cs="Times New Roman"/>
          <w:color w:val="000000" w:themeColor="text1"/>
          <w:spacing w:val="8"/>
          <w:lang w:eastAsia="zh-CN"/>
          <w14:textFill>
            <w14:solidFill>
              <w14:schemeClr w14:val="tx1"/>
            </w14:solidFill>
          </w14:textFill>
        </w:rPr>
        <w:t>厂区南侧布置非生产区：</w:t>
      </w:r>
      <w:r>
        <w:rPr>
          <w:rFonts w:hint="eastAsia" w:ascii="Times New Roman" w:hAnsi="Times New Roman" w:cs="Times New Roman"/>
          <w:color w:val="000000" w:themeColor="text1"/>
          <w:spacing w:val="8"/>
          <w:lang w:eastAsia="zh-CN"/>
          <w14:textFill>
            <w14:solidFill>
              <w14:schemeClr w14:val="tx1"/>
            </w14:solidFill>
          </w14:textFill>
        </w:rPr>
        <w:t>办公综合楼</w:t>
      </w:r>
      <w:r>
        <w:rPr>
          <w:rFonts w:ascii="Times New Roman" w:hAnsi="Times New Roman" w:cs="Times New Roman"/>
          <w:color w:val="000000" w:themeColor="text1"/>
          <w:spacing w:val="8"/>
          <w:lang w:eastAsia="zh-CN"/>
          <w14:textFill>
            <w14:solidFill>
              <w14:schemeClr w14:val="tx1"/>
            </w14:solidFill>
          </w14:textFill>
        </w:rPr>
        <w:t>、</w:t>
      </w:r>
      <w:r>
        <w:rPr>
          <w:rFonts w:hint="eastAsia" w:ascii="Times New Roman" w:hAnsi="Times New Roman" w:cs="Times New Roman"/>
          <w:color w:val="000000" w:themeColor="text1"/>
          <w:spacing w:val="8"/>
          <w:lang w:eastAsia="zh-CN"/>
          <w14:textFill>
            <w14:solidFill>
              <w14:schemeClr w14:val="tx1"/>
            </w14:solidFill>
          </w14:textFill>
        </w:rPr>
        <w:t>辅助用房、消防水池</w:t>
      </w:r>
      <w:r>
        <w:rPr>
          <w:rFonts w:ascii="Times New Roman" w:hAnsi="Times New Roman" w:cs="Times New Roman"/>
          <w:color w:val="000000" w:themeColor="text1"/>
          <w:spacing w:val="8"/>
          <w:lang w:eastAsia="zh-CN"/>
          <w14:textFill>
            <w14:solidFill>
              <w14:schemeClr w14:val="tx1"/>
            </w14:solidFill>
          </w14:textFill>
        </w:rPr>
        <w:t>；厂区</w:t>
      </w:r>
      <w:r>
        <w:rPr>
          <w:rFonts w:hint="eastAsia" w:ascii="Times New Roman" w:hAnsi="Times New Roman" w:cs="Times New Roman"/>
          <w:color w:val="000000" w:themeColor="text1"/>
          <w:spacing w:val="8"/>
          <w:lang w:eastAsia="zh-CN"/>
          <w14:textFill>
            <w14:solidFill>
              <w14:schemeClr w14:val="tx1"/>
            </w14:solidFill>
          </w14:textFill>
        </w:rPr>
        <w:t>北侧</w:t>
      </w:r>
      <w:r>
        <w:rPr>
          <w:rFonts w:ascii="Times New Roman" w:hAnsi="Times New Roman" w:cs="Times New Roman"/>
          <w:color w:val="000000" w:themeColor="text1"/>
          <w:spacing w:val="8"/>
          <w:lang w:eastAsia="zh-CN"/>
          <w14:textFill>
            <w14:solidFill>
              <w14:schemeClr w14:val="tx1"/>
            </w14:solidFill>
          </w14:textFill>
        </w:rPr>
        <w:t>布置生产区：</w:t>
      </w:r>
      <w:r>
        <w:rPr>
          <w:rFonts w:hint="eastAsia" w:ascii="Times New Roman" w:hAnsi="Times New Roman" w:cs="Times New Roman"/>
          <w:color w:val="000000" w:themeColor="text1"/>
          <w:spacing w:val="8"/>
          <w:lang w:eastAsia="zh-CN"/>
          <w14:textFill>
            <w14:solidFill>
              <w14:schemeClr w14:val="tx1"/>
            </w14:solidFill>
          </w14:textFill>
        </w:rPr>
        <w:t>原料及产品罐区、污水氟化氢库房、综合车间、丁类仓库、刻蚀液混配车间、戊类罐区二</w:t>
      </w:r>
      <w:r>
        <w:rPr>
          <w:rFonts w:ascii="Times New Roman" w:hAnsi="Times New Roman" w:cs="Times New Roman"/>
          <w:color w:val="000000" w:themeColor="text1"/>
          <w:spacing w:val="8"/>
          <w:lang w:eastAsia="zh-CN"/>
          <w14:textFill>
            <w14:solidFill>
              <w14:schemeClr w14:val="tx1"/>
            </w14:solidFill>
          </w14:textFill>
        </w:rPr>
        <w:t>。</w:t>
      </w:r>
    </w:p>
    <w:p w14:paraId="2A9EEFDC">
      <w:pPr>
        <w:widowControl w:val="0"/>
        <w:spacing w:line="360" w:lineRule="auto"/>
        <w:ind w:firstLine="512" w:firstLineChars="200"/>
        <w:jc w:val="both"/>
        <w:rPr>
          <w:rFonts w:ascii="Times New Roman" w:hAnsi="Times New Roman" w:cs="Times New Roman"/>
          <w:color w:val="auto"/>
          <w:spacing w:val="8"/>
          <w:lang w:eastAsia="zh-CN"/>
        </w:rPr>
      </w:pPr>
      <w:r>
        <w:rPr>
          <w:rFonts w:ascii="Times New Roman" w:hAnsi="Times New Roman" w:cs="Times New Roman"/>
          <w:color w:val="auto"/>
          <w:spacing w:val="8"/>
          <w:lang w:eastAsia="zh-CN"/>
        </w:rPr>
        <w:t>各功能分区以及各建筑单体在厂区内的位置排列，主要考虑了工艺的合理性、生产的相互关联性和减少生产对环境的影响。厂区</w:t>
      </w:r>
      <w:r>
        <w:rPr>
          <w:rFonts w:hint="eastAsia" w:ascii="Times New Roman" w:hAnsi="Times New Roman" w:cs="Times New Roman"/>
          <w:color w:val="auto"/>
          <w:spacing w:val="8"/>
          <w:lang w:eastAsia="zh-CN"/>
        </w:rPr>
        <w:t>南</w:t>
      </w:r>
      <w:r>
        <w:rPr>
          <w:rFonts w:ascii="Times New Roman" w:hAnsi="Times New Roman" w:cs="Times New Roman"/>
          <w:color w:val="auto"/>
          <w:spacing w:val="8"/>
          <w:lang w:eastAsia="zh-CN"/>
        </w:rPr>
        <w:t>部靠近</w:t>
      </w:r>
      <w:r>
        <w:rPr>
          <w:rFonts w:hint="eastAsia" w:ascii="Times New Roman" w:hAnsi="Times New Roman" w:cs="Times New Roman"/>
          <w:color w:val="auto"/>
          <w:spacing w:val="8"/>
          <w:lang w:eastAsia="zh-CN"/>
        </w:rPr>
        <w:t>淝河北</w:t>
      </w:r>
      <w:r>
        <w:rPr>
          <w:rFonts w:ascii="Times New Roman" w:hAnsi="Times New Roman" w:cs="Times New Roman"/>
          <w:color w:val="auto"/>
          <w:spacing w:val="8"/>
          <w:lang w:eastAsia="zh-CN"/>
        </w:rPr>
        <w:t>路设置1个物流出入口，物流运输集中在仓储区域；在厂区南侧设置1个出入口，人员经南侧出入口进入厂区后直接到达办公区，以减少人货交叉干扰，车间、仓库、储罐区四周设计环形通道。</w:t>
      </w:r>
    </w:p>
    <w:p w14:paraId="2E64A7AF">
      <w:pPr>
        <w:widowControl w:val="0"/>
        <w:spacing w:line="360" w:lineRule="auto"/>
        <w:ind w:firstLine="512" w:firstLineChars="200"/>
        <w:jc w:val="both"/>
        <w:rPr>
          <w:rFonts w:ascii="Times New Roman" w:hAnsi="Times New Roman" w:cs="Times New Roman"/>
          <w:color w:val="auto"/>
          <w:spacing w:val="8"/>
          <w:lang w:eastAsia="zh-CN"/>
        </w:rPr>
      </w:pPr>
      <w:r>
        <w:rPr>
          <w:rFonts w:ascii="Times New Roman" w:hAnsi="Times New Roman" w:cs="Times New Roman"/>
          <w:color w:val="auto"/>
          <w:spacing w:val="8"/>
          <w:lang w:eastAsia="zh-CN"/>
        </w:rPr>
        <w:t>厂区总平面布置遵循《精细化工企业工程设计防火标准》（GB51283-2020）、</w:t>
      </w:r>
      <w:r>
        <w:rPr>
          <w:rFonts w:hint="eastAsia" w:ascii="Times New Roman" w:hAnsi="Times New Roman" w:cs="Times New Roman"/>
          <w:color w:val="auto"/>
          <w:spacing w:val="8"/>
          <w:lang w:eastAsia="zh-CN"/>
        </w:rPr>
        <w:t>《石油化学企业设计防火标准》（GB50160-2008）</w:t>
      </w:r>
      <w:r>
        <w:rPr>
          <w:rFonts w:ascii="Times New Roman" w:hAnsi="Times New Roman" w:cs="Times New Roman"/>
          <w:color w:val="auto"/>
          <w:spacing w:val="8"/>
          <w:lang w:eastAsia="zh-CN"/>
        </w:rPr>
        <w:t>、《建筑设计防火规范》（GB50016-2014，2018年版）的要求，总平面布置的防火间距符合相应的规定要求。</w:t>
      </w:r>
    </w:p>
    <w:p w14:paraId="6681B977">
      <w:pPr>
        <w:spacing w:line="360" w:lineRule="auto"/>
        <w:ind w:firstLine="512" w:firstLineChars="200"/>
        <w:jc w:val="both"/>
        <w:rPr>
          <w:rFonts w:ascii="Times New Roman" w:hAnsi="Times New Roman" w:cs="Times New Roman"/>
          <w:color w:val="auto"/>
          <w:spacing w:val="8"/>
          <w:lang w:eastAsia="zh-CN"/>
        </w:rPr>
        <w:sectPr>
          <w:pgSz w:w="11906" w:h="16838"/>
          <w:pgMar w:top="1440" w:right="1080" w:bottom="1440" w:left="1080" w:header="851" w:footer="992" w:gutter="0"/>
          <w:cols w:space="720" w:num="1"/>
          <w:docGrid w:type="lines" w:linePitch="312" w:charSpace="0"/>
        </w:sectPr>
      </w:pPr>
    </w:p>
    <w:p w14:paraId="50360351">
      <w:pPr>
        <w:spacing w:line="360" w:lineRule="auto"/>
        <w:jc w:val="center"/>
        <w:rPr>
          <w:rFonts w:ascii="Times New Roman" w:hAnsi="Times New Roman" w:cs="Times New Roman"/>
          <w:color w:val="auto"/>
          <w:lang w:eastAsia="zh-CN"/>
        </w:rPr>
      </w:pPr>
      <w:bookmarkStart w:id="713" w:name="_Toc15423"/>
      <w:r>
        <w:rPr>
          <w:rFonts w:ascii="Times New Roman" w:hAnsi="Times New Roman" w:cs="Times New Roman"/>
          <w:snapToGrid/>
          <w:color w:val="auto"/>
          <w:lang w:eastAsia="zh-CN"/>
        </w:rPr>
        <mc:AlternateContent>
          <mc:Choice Requires="wps">
            <w:drawing>
              <wp:anchor distT="0" distB="0" distL="114300" distR="114300" simplePos="0" relativeHeight="251742208" behindDoc="0" locked="0" layoutInCell="1" allowOverlap="1">
                <wp:simplePos x="0" y="0"/>
                <wp:positionH relativeFrom="margin">
                  <wp:posOffset>1306195</wp:posOffset>
                </wp:positionH>
                <wp:positionV relativeFrom="paragraph">
                  <wp:posOffset>-66040</wp:posOffset>
                </wp:positionV>
                <wp:extent cx="3391535" cy="342900"/>
                <wp:effectExtent l="0" t="0" r="0" b="0"/>
                <wp:wrapNone/>
                <wp:docPr id="308285066" name="矩形 2299"/>
                <wp:cNvGraphicFramePr/>
                <a:graphic xmlns:a="http://schemas.openxmlformats.org/drawingml/2006/main">
                  <a:graphicData uri="http://schemas.microsoft.com/office/word/2010/wordprocessingShape">
                    <wps:wsp>
                      <wps:cNvSpPr>
                        <a:spLocks noChangeArrowheads="1"/>
                      </wps:cNvSpPr>
                      <wps:spPr bwMode="auto">
                        <a:xfrm>
                          <a:off x="0" y="0"/>
                          <a:ext cx="3391786" cy="342900"/>
                        </a:xfrm>
                        <a:prstGeom prst="rect">
                          <a:avLst/>
                        </a:prstGeom>
                        <a:noFill/>
                        <a:ln>
                          <a:noFill/>
                        </a:ln>
                      </wps:spPr>
                      <wps:txbx>
                        <w:txbxContent>
                          <w:p w14:paraId="4901D22F">
                            <w:pPr>
                              <w:jc w:val="center"/>
                              <w:rPr>
                                <w:rFonts w:ascii="Times New Roman" w:hAnsi="Times New Roman" w:cs="Times New Roman"/>
                                <w:b/>
                                <w:bCs/>
                                <w:color w:val="auto"/>
                                <w:lang w:eastAsia="zh-CN"/>
                              </w:rPr>
                            </w:pPr>
                            <w:r>
                              <w:rPr>
                                <w:rFonts w:ascii="Times New Roman" w:hAnsi="Times New Roman" w:cs="Times New Roman"/>
                                <w:b/>
                                <w:bCs/>
                                <w:color w:val="auto"/>
                                <w:lang w:eastAsia="zh-CN"/>
                              </w:rPr>
                              <w:t xml:space="preserve">图4.1-1 </w:t>
                            </w:r>
                            <w:r>
                              <w:rPr>
                                <w:rFonts w:hint="eastAsia" w:ascii="Times New Roman" w:hAnsi="Times New Roman" w:cs="Times New Roman"/>
                                <w:b/>
                                <w:bCs/>
                                <w:color w:val="auto"/>
                                <w:lang w:eastAsia="zh-CN"/>
                              </w:rPr>
                              <w:t>本次改扩建后，全厂</w:t>
                            </w:r>
                            <w:r>
                              <w:rPr>
                                <w:rFonts w:ascii="Times New Roman" w:hAnsi="Times New Roman" w:cs="Times New Roman"/>
                                <w:b/>
                                <w:bCs/>
                                <w:color w:val="auto"/>
                                <w:lang w:eastAsia="zh-CN"/>
                              </w:rPr>
                              <w:t>总平面布置图</w:t>
                            </w:r>
                          </w:p>
                        </w:txbxContent>
                      </wps:txbx>
                      <wps:bodyPr rot="0" vert="horz" wrap="square" lIns="91440" tIns="45720" rIns="91440" bIns="45720" anchor="t" anchorCtr="0" upright="1">
                        <a:noAutofit/>
                      </wps:bodyPr>
                    </wps:wsp>
                  </a:graphicData>
                </a:graphic>
              </wp:anchor>
            </w:drawing>
          </mc:Choice>
          <mc:Fallback>
            <w:pict>
              <v:rect id="矩形 2299" o:spid="_x0000_s1026" o:spt="1" style="position:absolute;left:0pt;margin-left:102.85pt;margin-top:-5.2pt;height:27pt;width:267.05pt;mso-position-horizontal-relative:margin;z-index:251742208;mso-width-relative:page;mso-height-relative:page;" filled="f" stroked="f" coordsize="21600,21600" o:gfxdata="UEsDBAoAAAAAAIdO4kAAAAAAAAAAAAAAAAAEAAAAZHJzL1BLAwQUAAAACACHTuJAk9QHlNwAAAAK&#10;AQAADwAAAGRycy9kb3ducmV2LnhtbE2Py07DMBBF90j8gzVIbFBrpy0thEy6qISoUKWK9LF2kyGJ&#10;iMdp7Cbl7zErWI7m6N5zk+XVNKKnztWWEaKxAkGc26LmEmG/ex09gXBec6Eby4TwTQ6W6e1NouPC&#10;DvxBfeZLEULYxRqh8r6NpXR5RUa7sW2Jw+/Tdkb7cHalLDo9hHDTyIlSc2l0zaGh0i2tKsq/sotB&#10;GPJtf9xt3uT24bi2fF6fV9nhHfH+LlIvIDxd/R8Mv/pBHdLgdLIXLpxoECbqcRFQhFGkZiACsZg+&#10;hzEnhNl0DjJN5P8J6Q9QSwMEFAAAAAgAh07iQHnIFRkYAgAAEwQAAA4AAABkcnMvZTJvRG9jLnht&#10;bK1TzW4TMRC+I/EOlu9kf5KmySqbqmpUhFSgUuEBHK83a7HrMWMnm/IySNz6EDwO4jUYe9OQlksP&#10;XCyPZ/z5+74ZLy72Xct2Cp0GU/JslHKmjIRKm03JP3+6fjPjzHlhKtGCUSW/V45fLF+/WvS2UDk0&#10;0FYKGYEYV/S25I33tkgSJxvVCTcCqwwla8BOeApxk1QoekLv2iRP02nSA1YWQSrn6HQ1JPkBEV8C&#10;CHWtpVqB3HbK+AEVVSs8SXKNto4vI9u6VtJ/rGunPGtLTkp9XOkR2q/DmiwXotigsI2WBwriJRSe&#10;aeqENvToEWolvGBb1P9AdVoiOKj9SEKXDEKiI6QiS595c9cIq6IWstrZo+nu/8HKD7tbZLoq+Tid&#10;5bOzdDrlzIiOGv/7+8Ovnz9Yns/nwabeuoKq7+wtBqHO3oD84piBq0aYjbpEhL5RoiJyWahPnlwI&#10;gaOrbN2/h4rQxdZDdGxfYxcAyQu2j425PzZG7T2TdDgez7PzGTGTlBtP8nkaO5eI4vG2ReffKuhY&#10;2JQcqfERXexunA9sRPFYEh4zcK3bNja/NU8OqDCcRPaB8CDc79f7gwdrqO5JB8IwS/STaNMAfuOs&#10;pzkqufu6Fag4a98Z8mKeTSZh8GIwOTvPKcDTzPo0I4wkqJJ7zobtlR+GdWtRbxp6KYuyDFySf7WO&#10;0oK3A6sDb5qVqPgw12EYT+NY9fcvL/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k9QHlNwAAAAK&#10;AQAADwAAAAAAAAABACAAAAAiAAAAZHJzL2Rvd25yZXYueG1sUEsBAhQAFAAAAAgAh07iQHnIFRkY&#10;AgAAEwQAAA4AAAAAAAAAAQAgAAAAKwEAAGRycy9lMm9Eb2MueG1sUEsFBgAAAAAGAAYAWQEAALUF&#10;AAAAAA==&#10;">
                <v:fill on="f" focussize="0,0"/>
                <v:stroke on="f"/>
                <v:imagedata o:title=""/>
                <o:lock v:ext="edit" aspectratio="f"/>
                <v:textbox>
                  <w:txbxContent>
                    <w:p w14:paraId="4901D22F">
                      <w:pPr>
                        <w:jc w:val="center"/>
                        <w:rPr>
                          <w:rFonts w:ascii="Times New Roman" w:hAnsi="Times New Roman" w:cs="Times New Roman"/>
                          <w:b/>
                          <w:bCs/>
                          <w:color w:val="auto"/>
                          <w:lang w:eastAsia="zh-CN"/>
                        </w:rPr>
                      </w:pPr>
                      <w:r>
                        <w:rPr>
                          <w:rFonts w:ascii="Times New Roman" w:hAnsi="Times New Roman" w:cs="Times New Roman"/>
                          <w:b/>
                          <w:bCs/>
                          <w:color w:val="auto"/>
                          <w:lang w:eastAsia="zh-CN"/>
                        </w:rPr>
                        <w:t xml:space="preserve">图4.1-1 </w:t>
                      </w:r>
                      <w:r>
                        <w:rPr>
                          <w:rFonts w:hint="eastAsia" w:ascii="Times New Roman" w:hAnsi="Times New Roman" w:cs="Times New Roman"/>
                          <w:b/>
                          <w:bCs/>
                          <w:color w:val="auto"/>
                          <w:lang w:eastAsia="zh-CN"/>
                        </w:rPr>
                        <w:t>本次改扩建后，全厂</w:t>
                      </w:r>
                      <w:r>
                        <w:rPr>
                          <w:rFonts w:ascii="Times New Roman" w:hAnsi="Times New Roman" w:cs="Times New Roman"/>
                          <w:b/>
                          <w:bCs/>
                          <w:color w:val="auto"/>
                          <w:lang w:eastAsia="zh-CN"/>
                        </w:rPr>
                        <w:t>总平面布置图</w:t>
                      </w:r>
                    </w:p>
                  </w:txbxContent>
                </v:textbox>
              </v:rect>
            </w:pict>
          </mc:Fallback>
        </mc:AlternateContent>
      </w:r>
    </w:p>
    <w:p w14:paraId="432A164A">
      <w:pPr>
        <w:spacing w:line="360" w:lineRule="auto"/>
        <w:ind w:firstLine="482"/>
        <w:outlineLvl w:val="2"/>
        <w:rPr>
          <w:rFonts w:ascii="Times New Roman" w:hAnsi="Times New Roman" w:cs="Times New Roman"/>
          <w:b/>
          <w:bCs/>
          <w:color w:val="auto"/>
          <w:lang w:eastAsia="zh-CN"/>
        </w:rPr>
      </w:pPr>
      <w:bookmarkStart w:id="714" w:name="_Toc231828570"/>
      <w:bookmarkStart w:id="715" w:name="_Toc217662652"/>
      <w:bookmarkStart w:id="716" w:name="_Toc203926987"/>
      <w:bookmarkStart w:id="717" w:name="_Toc236641818"/>
      <w:bookmarkStart w:id="718" w:name="_Toc221900819"/>
      <w:bookmarkStart w:id="719" w:name="_Toc175164264"/>
      <w:bookmarkStart w:id="720" w:name="_Toc218784262"/>
      <w:bookmarkStart w:id="721" w:name="_Toc237508283"/>
      <w:bookmarkStart w:id="722" w:name="_Toc204448453"/>
      <w:bookmarkStart w:id="723" w:name="_Toc173743374"/>
      <w:bookmarkStart w:id="724" w:name="_Toc176513000"/>
      <w:bookmarkStart w:id="725" w:name="_Toc236641301"/>
      <w:bookmarkStart w:id="726" w:name="_Toc225784036"/>
      <w:bookmarkStart w:id="727" w:name="_Toc173740270"/>
      <w:bookmarkStart w:id="728" w:name="_Toc204515188"/>
      <w:bookmarkStart w:id="729" w:name="_Toc178602340"/>
      <w:bookmarkStart w:id="730" w:name="_Toc224674675"/>
      <w:bookmarkStart w:id="731" w:name="_Toc172555643"/>
      <w:bookmarkStart w:id="732" w:name="_Toc223425037"/>
      <w:r>
        <w:rPr>
          <w:rFonts w:ascii="Times New Roman" w:hAnsi="Times New Roman" w:cs="Times New Roman"/>
          <w:b/>
          <w:bCs/>
          <w:color w:val="auto"/>
          <w:lang w:eastAsia="zh-CN"/>
        </w:rPr>
        <w:t>4.1.8 劳动定员及工作制度</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p>
    <w:p w14:paraId="40A5E2E2">
      <w:pPr>
        <w:spacing w:line="360" w:lineRule="auto"/>
        <w:ind w:firstLine="512" w:firstLineChars="200"/>
        <w:jc w:val="both"/>
        <w:rPr>
          <w:rFonts w:ascii="Times New Roman" w:hAnsi="Times New Roman" w:cs="Times New Roman"/>
          <w:color w:val="auto"/>
          <w:spacing w:val="8"/>
          <w:lang w:eastAsia="zh-CN"/>
        </w:rPr>
      </w:pPr>
      <w:bookmarkStart w:id="733" w:name="_Hlk46497935"/>
      <w:r>
        <w:rPr>
          <w:rFonts w:ascii="Times New Roman" w:hAnsi="Times New Roman" w:cs="Times New Roman"/>
          <w:color w:val="auto"/>
          <w:spacing w:val="8"/>
          <w:lang w:eastAsia="zh-CN"/>
        </w:rPr>
        <w:t>本项目</w:t>
      </w:r>
      <w:r>
        <w:rPr>
          <w:rFonts w:hint="eastAsia" w:ascii="Times New Roman" w:hAnsi="Times New Roman" w:cs="Times New Roman"/>
          <w:color w:val="auto"/>
          <w:spacing w:val="8"/>
          <w:lang w:eastAsia="zh-CN"/>
        </w:rPr>
        <w:t>不新增人员，项目</w:t>
      </w:r>
      <w:r>
        <w:rPr>
          <w:rFonts w:ascii="Times New Roman" w:hAnsi="Times New Roman" w:cs="Times New Roman"/>
          <w:color w:val="auto"/>
          <w:spacing w:val="8"/>
          <w:lang w:eastAsia="zh-CN"/>
        </w:rPr>
        <w:t>采用</w:t>
      </w:r>
      <w:r>
        <w:rPr>
          <w:rFonts w:hint="eastAsia" w:ascii="Times New Roman" w:hAnsi="Times New Roman" w:cs="Times New Roman"/>
          <w:color w:val="auto"/>
          <w:spacing w:val="8"/>
          <w:lang w:eastAsia="zh-CN"/>
        </w:rPr>
        <w:t>单</w:t>
      </w:r>
      <w:r>
        <w:rPr>
          <w:rFonts w:ascii="Times New Roman" w:hAnsi="Times New Roman" w:cs="Times New Roman"/>
          <w:color w:val="auto"/>
          <w:spacing w:val="8"/>
          <w:lang w:eastAsia="zh-CN"/>
        </w:rPr>
        <w:t>班</w:t>
      </w:r>
      <w:r>
        <w:rPr>
          <w:rFonts w:hint="eastAsia" w:ascii="Times New Roman" w:hAnsi="Times New Roman" w:cs="Times New Roman"/>
          <w:color w:val="auto"/>
          <w:spacing w:val="8"/>
          <w:lang w:eastAsia="zh-CN"/>
        </w:rPr>
        <w:t>制，每天工作8h</w:t>
      </w:r>
      <w:r>
        <w:rPr>
          <w:rFonts w:ascii="Times New Roman" w:hAnsi="Times New Roman" w:cs="Times New Roman"/>
          <w:color w:val="auto"/>
          <w:spacing w:val="8"/>
          <w:lang w:eastAsia="zh-CN"/>
        </w:rPr>
        <w:t>，年工作日3</w:t>
      </w:r>
      <w:r>
        <w:rPr>
          <w:rFonts w:hint="eastAsia" w:ascii="Times New Roman" w:hAnsi="Times New Roman" w:cs="Times New Roman"/>
          <w:color w:val="auto"/>
          <w:spacing w:val="8"/>
          <w:lang w:eastAsia="zh-CN"/>
        </w:rPr>
        <w:t>3</w:t>
      </w:r>
      <w:r>
        <w:rPr>
          <w:rFonts w:ascii="Times New Roman" w:hAnsi="Times New Roman" w:cs="Times New Roman"/>
          <w:color w:val="auto"/>
          <w:spacing w:val="8"/>
          <w:lang w:eastAsia="zh-CN"/>
        </w:rPr>
        <w:t>0天。</w:t>
      </w:r>
      <w:bookmarkEnd w:id="733"/>
    </w:p>
    <w:p w14:paraId="36FDD550">
      <w:pPr>
        <w:spacing w:line="360" w:lineRule="auto"/>
        <w:ind w:firstLine="482"/>
        <w:outlineLvl w:val="2"/>
        <w:rPr>
          <w:rFonts w:ascii="Times New Roman" w:hAnsi="Times New Roman" w:cs="Times New Roman"/>
          <w:b/>
          <w:bCs/>
          <w:color w:val="auto"/>
          <w:lang w:eastAsia="zh-CN"/>
        </w:rPr>
      </w:pPr>
      <w:bookmarkStart w:id="734" w:name="_Toc221900820"/>
      <w:bookmarkStart w:id="735" w:name="_Toc176513001"/>
      <w:bookmarkStart w:id="736" w:name="_Toc231828571"/>
      <w:bookmarkStart w:id="737" w:name="_Toc223425038"/>
      <w:bookmarkStart w:id="738" w:name="_Toc218784263"/>
      <w:bookmarkStart w:id="739" w:name="_Toc217662653"/>
      <w:bookmarkStart w:id="740" w:name="_Toc178602341"/>
      <w:bookmarkStart w:id="741" w:name="_Toc173740271"/>
      <w:bookmarkStart w:id="742" w:name="_Toc237508284"/>
      <w:bookmarkStart w:id="743" w:name="_Toc236641819"/>
      <w:bookmarkStart w:id="744" w:name="_Toc203926988"/>
      <w:bookmarkStart w:id="745" w:name="_Toc204448454"/>
      <w:bookmarkStart w:id="746" w:name="_Toc224674676"/>
      <w:bookmarkStart w:id="747" w:name="_Toc236641302"/>
      <w:bookmarkStart w:id="748" w:name="_Toc175164265"/>
      <w:bookmarkStart w:id="749" w:name="_Toc225784037"/>
      <w:bookmarkStart w:id="750" w:name="_Toc172555644"/>
      <w:bookmarkStart w:id="751" w:name="_Toc29909"/>
      <w:bookmarkStart w:id="752" w:name="_Toc173743375"/>
      <w:bookmarkStart w:id="753" w:name="_Toc204515189"/>
      <w:r>
        <w:rPr>
          <w:rFonts w:ascii="Times New Roman" w:hAnsi="Times New Roman" w:cs="Times New Roman"/>
          <w:b/>
          <w:bCs/>
          <w:color w:val="auto"/>
          <w:lang w:eastAsia="zh-CN"/>
        </w:rPr>
        <w:t>4.1.9 建设周期</w:t>
      </w:r>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p>
    <w:p w14:paraId="42ED3667">
      <w:pPr>
        <w:spacing w:line="360" w:lineRule="auto"/>
        <w:ind w:firstLine="512" w:firstLineChars="200"/>
        <w:rPr>
          <w:rFonts w:ascii="Times New Roman" w:hAnsi="Times New Roman" w:cs="Times New Roman"/>
          <w:color w:val="auto"/>
          <w:spacing w:val="8"/>
          <w:lang w:eastAsia="zh-CN"/>
        </w:rPr>
      </w:pPr>
      <w:r>
        <w:rPr>
          <w:rFonts w:ascii="Times New Roman" w:hAnsi="Times New Roman" w:cs="Times New Roman"/>
          <w:color w:val="auto"/>
          <w:spacing w:val="8"/>
          <w:lang w:eastAsia="zh-CN"/>
        </w:rPr>
        <w:t>项目建设期约</w:t>
      </w:r>
      <w:r>
        <w:rPr>
          <w:rFonts w:hint="eastAsia" w:ascii="Times New Roman" w:hAnsi="Times New Roman" w:cs="Times New Roman"/>
          <w:color w:val="auto"/>
          <w:spacing w:val="8"/>
          <w:lang w:eastAsia="zh-CN"/>
        </w:rPr>
        <w:t>6</w:t>
      </w:r>
      <w:r>
        <w:rPr>
          <w:rFonts w:ascii="Times New Roman" w:hAnsi="Times New Roman" w:cs="Times New Roman"/>
          <w:color w:val="auto"/>
          <w:spacing w:val="8"/>
          <w:lang w:eastAsia="zh-CN"/>
        </w:rPr>
        <w:t>个月。</w:t>
      </w:r>
    </w:p>
    <w:p w14:paraId="214CED2E">
      <w:pPr>
        <w:spacing w:line="360" w:lineRule="auto"/>
        <w:ind w:firstLine="482"/>
        <w:outlineLvl w:val="2"/>
        <w:rPr>
          <w:rFonts w:ascii="Times New Roman" w:hAnsi="Times New Roman" w:cs="Times New Roman"/>
          <w:b/>
          <w:bCs/>
          <w:color w:val="auto"/>
          <w:lang w:eastAsia="zh-CN"/>
        </w:rPr>
      </w:pPr>
      <w:bookmarkStart w:id="754" w:name="_Toc12276"/>
      <w:bookmarkStart w:id="755" w:name="_Toc221900821"/>
      <w:bookmarkStart w:id="756" w:name="_Toc176513002"/>
      <w:bookmarkStart w:id="757" w:name="_Toc237508285"/>
      <w:bookmarkStart w:id="758" w:name="_Toc204448455"/>
      <w:bookmarkStart w:id="759" w:name="_Toc224674677"/>
      <w:bookmarkStart w:id="760" w:name="_Toc178602342"/>
      <w:bookmarkStart w:id="761" w:name="_Toc204515190"/>
      <w:bookmarkStart w:id="762" w:name="_Toc217662654"/>
      <w:bookmarkStart w:id="763" w:name="_Toc231828572"/>
      <w:bookmarkStart w:id="764" w:name="_Toc218784264"/>
      <w:bookmarkStart w:id="765" w:name="_Toc175164266"/>
      <w:bookmarkStart w:id="766" w:name="_Toc172555645"/>
      <w:bookmarkStart w:id="767" w:name="_Toc203926989"/>
      <w:bookmarkStart w:id="768" w:name="_Toc236641820"/>
      <w:bookmarkStart w:id="769" w:name="_Toc223425039"/>
      <w:bookmarkStart w:id="770" w:name="_Toc173740272"/>
      <w:bookmarkStart w:id="771" w:name="_Toc236641303"/>
      <w:bookmarkStart w:id="772" w:name="_Toc225784038"/>
      <w:bookmarkStart w:id="773" w:name="_Toc173743376"/>
      <w:r>
        <w:rPr>
          <w:rFonts w:ascii="Times New Roman" w:hAnsi="Times New Roman" w:cs="Times New Roman"/>
          <w:b/>
          <w:bCs/>
          <w:color w:val="auto"/>
          <w:lang w:eastAsia="zh-CN"/>
        </w:rPr>
        <w:t>4.1.10 拟建项目公用工程</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p>
    <w:p w14:paraId="20EC89E5">
      <w:pPr>
        <w:spacing w:line="360" w:lineRule="auto"/>
        <w:ind w:firstLine="512" w:firstLineChars="200"/>
        <w:jc w:val="both"/>
        <w:rPr>
          <w:rFonts w:ascii="Times New Roman" w:hAnsi="Times New Roman" w:cs="Times New Roman"/>
          <w:color w:val="auto"/>
          <w:lang w:eastAsia="zh-CN"/>
        </w:rPr>
      </w:pPr>
      <w:bookmarkStart w:id="774" w:name="_1784096859"/>
      <w:bookmarkEnd w:id="774"/>
      <w:r>
        <w:rPr>
          <w:rFonts w:hint="eastAsia" w:ascii="Times New Roman" w:hAnsi="Times New Roman" w:cs="Times New Roman"/>
          <w:color w:val="auto"/>
          <w:spacing w:val="8"/>
          <w:lang w:eastAsia="zh-CN"/>
        </w:rPr>
        <w:t>1</w:t>
      </w:r>
      <w:r>
        <w:rPr>
          <w:rFonts w:ascii="Times New Roman" w:hAnsi="Times New Roman" w:cs="Times New Roman"/>
          <w:color w:val="auto"/>
          <w:spacing w:val="8"/>
          <w:lang w:eastAsia="zh-CN"/>
        </w:rPr>
        <w:t>、供电</w:t>
      </w:r>
    </w:p>
    <w:p w14:paraId="2D72E0BF">
      <w:pPr>
        <w:spacing w:line="360" w:lineRule="auto"/>
        <w:ind w:firstLine="480" w:firstLineChars="200"/>
        <w:jc w:val="both"/>
        <w:rPr>
          <w:rFonts w:ascii="Times New Roman" w:hAnsi="Times New Roman" w:cs="Times New Roman"/>
          <w:color w:val="auto"/>
          <w:spacing w:val="8"/>
          <w:szCs w:val="24"/>
          <w:lang w:eastAsia="zh-CN"/>
        </w:rPr>
      </w:pPr>
      <w:r>
        <w:rPr>
          <w:rFonts w:ascii="Times New Roman" w:hAnsi="Times New Roman" w:cs="Times New Roman"/>
          <w:color w:val="auto"/>
          <w:szCs w:val="24"/>
          <w:lang w:eastAsia="zh-CN"/>
        </w:rPr>
        <w:t>本项目用电由市政电网供电，年消耗电量</w:t>
      </w:r>
      <w:r>
        <w:rPr>
          <w:rFonts w:hint="eastAsia" w:ascii="Times New Roman" w:hAnsi="Times New Roman" w:cs="Times New Roman"/>
          <w:color w:val="auto"/>
          <w:szCs w:val="24"/>
          <w:lang w:eastAsia="zh-CN"/>
        </w:rPr>
        <w:t>2</w:t>
      </w:r>
      <w:r>
        <w:rPr>
          <w:rFonts w:ascii="Times New Roman" w:hAnsi="Times New Roman" w:cs="Times New Roman"/>
          <w:color w:val="auto"/>
          <w:szCs w:val="24"/>
          <w:lang w:eastAsia="zh-CN"/>
        </w:rPr>
        <w:t>00万kW·h，可以满足本项目用电要求</w:t>
      </w:r>
      <w:r>
        <w:rPr>
          <w:rFonts w:ascii="Times New Roman" w:hAnsi="Times New Roman" w:cs="Times New Roman"/>
          <w:color w:val="auto"/>
          <w:spacing w:val="8"/>
          <w:szCs w:val="24"/>
          <w:lang w:eastAsia="zh-CN"/>
        </w:rPr>
        <w:t>。</w:t>
      </w:r>
    </w:p>
    <w:p w14:paraId="2B24CEF6">
      <w:pPr>
        <w:spacing w:line="360" w:lineRule="auto"/>
        <w:ind w:firstLine="480" w:firstLineChars="200"/>
        <w:jc w:val="both"/>
        <w:rPr>
          <w:rFonts w:ascii="Times New Roman" w:hAnsi="Times New Roman" w:cs="Times New Roman"/>
          <w:color w:val="000000" w:themeColor="text1"/>
          <w:spacing w:val="8"/>
          <w:szCs w:val="24"/>
          <w:lang w:eastAsia="zh-CN"/>
          <w14:textFill>
            <w14:solidFill>
              <w14:schemeClr w14:val="tx1"/>
            </w14:solidFill>
          </w14:textFill>
        </w:rPr>
      </w:pPr>
      <w:r>
        <w:rPr>
          <w:rFonts w:hint="eastAsia" w:ascii="Times New Roman" w:hAnsi="Times New Roman" w:cs="Times New Roman"/>
          <w:color w:val="000000" w:themeColor="text1"/>
          <w:szCs w:val="24"/>
          <w:lang w:eastAsia="zh-CN"/>
          <w14:textFill>
            <w14:solidFill>
              <w14:schemeClr w14:val="tx1"/>
            </w14:solidFill>
          </w14:textFill>
        </w:rPr>
        <w:t>2</w:t>
      </w:r>
      <w:r>
        <w:rPr>
          <w:rFonts w:ascii="Times New Roman" w:hAnsi="Times New Roman" w:cs="Times New Roman"/>
          <w:color w:val="000000" w:themeColor="text1"/>
          <w:szCs w:val="24"/>
          <w:lang w:eastAsia="zh-CN"/>
          <w14:textFill>
            <w14:solidFill>
              <w14:schemeClr w14:val="tx1"/>
            </w14:solidFill>
          </w14:textFill>
        </w:rPr>
        <w:t>、制氮系统</w:t>
      </w:r>
    </w:p>
    <w:p w14:paraId="3E248976">
      <w:pPr>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ascii="Times New Roman" w:hAnsi="Times New Roman" w:cs="Times New Roman"/>
          <w:color w:val="000000" w:themeColor="text1"/>
          <w:szCs w:val="24"/>
          <w:lang w:eastAsia="zh-CN"/>
          <w14:textFill>
            <w14:solidFill>
              <w14:schemeClr w14:val="tx1"/>
            </w14:solidFill>
          </w14:textFill>
        </w:rPr>
        <w:t>本项目选用</w:t>
      </w:r>
      <w:r>
        <w:rPr>
          <w:rFonts w:hint="eastAsia" w:ascii="Times New Roman" w:hAnsi="Times New Roman" w:cs="Times New Roman"/>
          <w:color w:val="000000" w:themeColor="text1"/>
          <w:szCs w:val="24"/>
          <w:lang w:eastAsia="zh-CN"/>
          <w14:textFill>
            <w14:solidFill>
              <w14:schemeClr w14:val="tx1"/>
            </w14:solidFill>
          </w14:textFill>
        </w:rPr>
        <w:t>1套PSA制氮机组</w:t>
      </w:r>
      <w:r>
        <w:rPr>
          <w:rFonts w:ascii="Times New Roman" w:hAnsi="Times New Roman" w:cs="Times New Roman"/>
          <w:color w:val="000000" w:themeColor="text1"/>
          <w:szCs w:val="24"/>
          <w:lang w:eastAsia="zh-CN"/>
          <w14:textFill>
            <w14:solidFill>
              <w14:schemeClr w14:val="tx1"/>
            </w14:solidFill>
          </w14:textFill>
        </w:rPr>
        <w:t>，制气量</w:t>
      </w:r>
      <w:r>
        <w:rPr>
          <w:rFonts w:hint="eastAsia" w:ascii="Times New Roman" w:hAnsi="Times New Roman" w:cs="Times New Roman"/>
          <w:color w:val="000000" w:themeColor="text1"/>
          <w:szCs w:val="24"/>
          <w:lang w:eastAsia="zh-CN"/>
          <w14:textFill>
            <w14:solidFill>
              <w14:schemeClr w14:val="tx1"/>
            </w14:solidFill>
          </w14:textFill>
        </w:rPr>
        <w:t>30</w:t>
      </w:r>
      <w:r>
        <w:rPr>
          <w:rFonts w:ascii="Times New Roman" w:hAnsi="Times New Roman" w:cs="Times New Roman"/>
          <w:color w:val="000000" w:themeColor="text1"/>
          <w:szCs w:val="24"/>
          <w:lang w:eastAsia="zh-CN"/>
          <w14:textFill>
            <w14:solidFill>
              <w14:schemeClr w14:val="tx1"/>
            </w14:solidFill>
          </w14:textFill>
        </w:rPr>
        <w:t>m</w:t>
      </w:r>
      <w:r>
        <w:rPr>
          <w:rFonts w:ascii="Times New Roman" w:hAnsi="Times New Roman" w:cs="Times New Roman"/>
          <w:color w:val="000000" w:themeColor="text1"/>
          <w:szCs w:val="24"/>
          <w:vertAlign w:val="superscript"/>
          <w:lang w:eastAsia="zh-CN"/>
          <w14:textFill>
            <w14:solidFill>
              <w14:schemeClr w14:val="tx1"/>
            </w14:solidFill>
          </w14:textFill>
        </w:rPr>
        <w:t>3</w:t>
      </w:r>
      <w:r>
        <w:rPr>
          <w:rFonts w:ascii="Times New Roman" w:hAnsi="Times New Roman" w:cs="Times New Roman"/>
          <w:color w:val="000000" w:themeColor="text1"/>
          <w:szCs w:val="24"/>
          <w:lang w:eastAsia="zh-CN"/>
          <w14:textFill>
            <w14:solidFill>
              <w14:schemeClr w14:val="tx1"/>
            </w14:solidFill>
          </w14:textFill>
        </w:rPr>
        <w:t>/h，压力0.</w:t>
      </w:r>
      <w:r>
        <w:rPr>
          <w:rFonts w:hint="eastAsia" w:ascii="Times New Roman" w:hAnsi="Times New Roman" w:cs="Times New Roman"/>
          <w:color w:val="000000" w:themeColor="text1"/>
          <w:szCs w:val="24"/>
          <w:lang w:eastAsia="zh-CN"/>
          <w14:textFill>
            <w14:solidFill>
              <w14:schemeClr w14:val="tx1"/>
            </w14:solidFill>
          </w14:textFill>
        </w:rPr>
        <w:t>5</w:t>
      </w:r>
      <w:r>
        <w:rPr>
          <w:rFonts w:ascii="Times New Roman" w:hAnsi="Times New Roman" w:cs="Times New Roman"/>
          <w:color w:val="000000" w:themeColor="text1"/>
          <w:szCs w:val="24"/>
          <w:lang w:eastAsia="zh-CN"/>
          <w14:textFill>
            <w14:solidFill>
              <w14:schemeClr w14:val="tx1"/>
            </w14:solidFill>
          </w14:textFill>
        </w:rPr>
        <w:t>MPa。</w:t>
      </w:r>
    </w:p>
    <w:p w14:paraId="2F91B7BF">
      <w:pPr>
        <w:spacing w:line="360" w:lineRule="auto"/>
        <w:ind w:firstLine="512" w:firstLineChars="200"/>
        <w:jc w:val="both"/>
        <w:rPr>
          <w:rFonts w:ascii="Times New Roman" w:hAnsi="Times New Roman" w:cs="Times New Roman"/>
          <w:color w:val="000000" w:themeColor="text1"/>
          <w:spacing w:val="8"/>
          <w:szCs w:val="24"/>
          <w:lang w:eastAsia="zh-CN"/>
          <w14:textFill>
            <w14:solidFill>
              <w14:schemeClr w14:val="tx1"/>
            </w14:solidFill>
          </w14:textFill>
        </w:rPr>
      </w:pPr>
      <w:r>
        <w:rPr>
          <w:rFonts w:hint="eastAsia" w:ascii="Times New Roman" w:hAnsi="Times New Roman" w:cs="Times New Roman"/>
          <w:color w:val="000000" w:themeColor="text1"/>
          <w:spacing w:val="8"/>
          <w:szCs w:val="24"/>
          <w:lang w:eastAsia="zh-CN"/>
          <w14:textFill>
            <w14:solidFill>
              <w14:schemeClr w14:val="tx1"/>
            </w14:solidFill>
          </w14:textFill>
        </w:rPr>
        <w:t>3</w:t>
      </w:r>
      <w:r>
        <w:rPr>
          <w:rFonts w:ascii="Times New Roman" w:hAnsi="Times New Roman" w:cs="Times New Roman"/>
          <w:color w:val="000000" w:themeColor="text1"/>
          <w:spacing w:val="8"/>
          <w:szCs w:val="24"/>
          <w:lang w:eastAsia="zh-CN"/>
          <w14:textFill>
            <w14:solidFill>
              <w14:schemeClr w14:val="tx1"/>
            </w14:solidFill>
          </w14:textFill>
        </w:rPr>
        <w:t>、供排水</w:t>
      </w:r>
    </w:p>
    <w:p w14:paraId="0442EB63">
      <w:pPr>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ascii="Times New Roman" w:hAnsi="Times New Roman" w:cs="Times New Roman"/>
          <w:color w:val="000000" w:themeColor="text1"/>
          <w:szCs w:val="24"/>
          <w:lang w:eastAsia="zh-CN"/>
          <w14:textFill>
            <w14:solidFill>
              <w14:schemeClr w14:val="tx1"/>
            </w14:solidFill>
          </w14:textFill>
        </w:rPr>
        <w:t>本项目供水水源为市政供水管网，市政给水管网压力不小于0.30M</w:t>
      </w:r>
      <w:r>
        <w:rPr>
          <w:rFonts w:hint="eastAsia" w:ascii="Times New Roman" w:hAnsi="Times New Roman" w:cs="Times New Roman"/>
          <w:color w:val="000000" w:themeColor="text1"/>
          <w:szCs w:val="24"/>
          <w:lang w:eastAsia="zh-CN"/>
          <w14:textFill>
            <w14:solidFill>
              <w14:schemeClr w14:val="tx1"/>
            </w14:solidFill>
          </w14:textFill>
        </w:rPr>
        <w:t>P</w:t>
      </w:r>
      <w:r>
        <w:rPr>
          <w:rFonts w:ascii="Times New Roman" w:hAnsi="Times New Roman" w:cs="Times New Roman"/>
          <w:color w:val="000000" w:themeColor="text1"/>
          <w:szCs w:val="24"/>
          <w:lang w:eastAsia="zh-CN"/>
          <w14:textFill>
            <w14:solidFill>
              <w14:schemeClr w14:val="tx1"/>
            </w14:solidFill>
          </w14:textFill>
        </w:rPr>
        <w:t>a。</w:t>
      </w:r>
    </w:p>
    <w:p w14:paraId="164CF601">
      <w:pPr>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ascii="Times New Roman" w:hAnsi="Times New Roman" w:cs="Times New Roman"/>
          <w:color w:val="000000" w:themeColor="text1"/>
          <w:szCs w:val="24"/>
          <w:lang w:eastAsia="zh-CN"/>
          <w14:textFill>
            <w14:solidFill>
              <w14:schemeClr w14:val="tx1"/>
            </w14:solidFill>
          </w14:textFill>
        </w:rPr>
        <w:t>（1）供水</w:t>
      </w:r>
    </w:p>
    <w:p w14:paraId="58DCD827">
      <w:pPr>
        <w:spacing w:line="360" w:lineRule="auto"/>
        <w:ind w:firstLine="480" w:firstLineChars="200"/>
        <w:jc w:val="both"/>
        <w:rPr>
          <w:rFonts w:ascii="Times New Roman" w:hAnsi="Times New Roman" w:cs="Times New Roman"/>
          <w:color w:val="000000" w:themeColor="text1"/>
          <w:lang w:eastAsia="zh-CN"/>
          <w14:textFill>
            <w14:solidFill>
              <w14:schemeClr w14:val="tx1"/>
            </w14:solidFill>
          </w14:textFill>
        </w:rPr>
      </w:pPr>
      <w:r>
        <w:rPr>
          <w:rFonts w:ascii="Times New Roman" w:hAnsi="Times New Roman" w:cs="Times New Roman"/>
          <w:color w:val="000000" w:themeColor="text1"/>
          <w:lang w:eastAsia="zh-CN"/>
          <w14:textFill>
            <w14:solidFill>
              <w14:schemeClr w14:val="tx1"/>
            </w14:solidFill>
          </w14:textFill>
        </w:rPr>
        <w:t>拟建项目给水管网系统包括生产给水系统、循环冷却水系统等，来自园区供水管网供水。项目用水主要为地面清洁用水、</w:t>
      </w:r>
      <w:r>
        <w:rPr>
          <w:rFonts w:hint="eastAsia" w:ascii="Times New Roman" w:hAnsi="Times New Roman" w:cs="Times New Roman"/>
          <w:color w:val="000000" w:themeColor="text1"/>
          <w:lang w:eastAsia="zh-CN"/>
          <w14:textFill>
            <w14:solidFill>
              <w14:schemeClr w14:val="tx1"/>
            </w14:solidFill>
          </w14:textFill>
        </w:rPr>
        <w:t>水</w:t>
      </w:r>
      <w:r>
        <w:rPr>
          <w:rFonts w:ascii="Times New Roman" w:hAnsi="Times New Roman" w:cs="Times New Roman"/>
          <w:color w:val="000000" w:themeColor="text1"/>
          <w:lang w:eastAsia="zh-CN"/>
          <w14:textFill>
            <w14:solidFill>
              <w14:schemeClr w14:val="tx1"/>
            </w14:solidFill>
          </w14:textFill>
        </w:rPr>
        <w:t>喷淋</w:t>
      </w:r>
      <w:r>
        <w:rPr>
          <w:rFonts w:hint="eastAsia" w:ascii="Times New Roman" w:hAnsi="Times New Roman" w:cs="Times New Roman"/>
          <w:color w:val="000000" w:themeColor="text1"/>
          <w:lang w:eastAsia="zh-CN"/>
          <w14:textFill>
            <w14:solidFill>
              <w14:schemeClr w14:val="tx1"/>
            </w14:solidFill>
          </w14:textFill>
        </w:rPr>
        <w:t>塔置换</w:t>
      </w:r>
      <w:r>
        <w:rPr>
          <w:rFonts w:ascii="Times New Roman" w:hAnsi="Times New Roman" w:cs="Times New Roman"/>
          <w:color w:val="000000" w:themeColor="text1"/>
          <w:lang w:eastAsia="zh-CN"/>
          <w14:textFill>
            <w14:solidFill>
              <w14:schemeClr w14:val="tx1"/>
            </w14:solidFill>
          </w14:textFill>
        </w:rPr>
        <w:t>用水、</w:t>
      </w:r>
      <w:r>
        <w:rPr>
          <w:rFonts w:hint="eastAsia" w:ascii="Times New Roman" w:hAnsi="Times New Roman" w:cs="Times New Roman"/>
          <w:color w:val="000000" w:themeColor="text1"/>
          <w:lang w:eastAsia="zh-CN"/>
          <w14:textFill>
            <w14:solidFill>
              <w14:schemeClr w14:val="tx1"/>
            </w14:solidFill>
          </w14:textFill>
        </w:rPr>
        <w:t>碱喷淋塔置换用水、</w:t>
      </w:r>
      <w:r>
        <w:rPr>
          <w:color w:val="000000" w:themeColor="text1"/>
          <w:lang w:eastAsia="zh-CN"/>
          <w14:textFill>
            <w14:solidFill>
              <w14:schemeClr w14:val="tx1"/>
            </w14:solidFill>
          </w14:textFill>
        </w:rPr>
        <w:t>循环冷却置换</w:t>
      </w:r>
      <w:r>
        <w:rPr>
          <w:rFonts w:hint="eastAsia"/>
          <w:color w:val="000000" w:themeColor="text1"/>
          <w:lang w:eastAsia="zh-CN"/>
          <w14:textFill>
            <w14:solidFill>
              <w14:schemeClr w14:val="tx1"/>
            </w14:solidFill>
          </w14:textFill>
        </w:rPr>
        <w:t>用</w:t>
      </w:r>
      <w:r>
        <w:rPr>
          <w:rFonts w:ascii="Times New Roman" w:hAnsi="Times New Roman" w:cs="Times New Roman"/>
          <w:color w:val="000000" w:themeColor="text1"/>
          <w:lang w:eastAsia="zh-CN"/>
          <w14:textFill>
            <w14:solidFill>
              <w14:schemeClr w14:val="tx1"/>
            </w14:solidFill>
          </w14:textFill>
        </w:rPr>
        <w:t>水</w:t>
      </w:r>
      <w:r>
        <w:rPr>
          <w:rFonts w:hint="eastAsia" w:ascii="Times New Roman" w:hAnsi="Times New Roman" w:cs="Times New Roman"/>
          <w:color w:val="000000" w:themeColor="text1"/>
          <w:lang w:eastAsia="zh-CN"/>
          <w14:textFill>
            <w14:solidFill>
              <w14:schemeClr w14:val="tx1"/>
            </w14:solidFill>
          </w14:textFill>
        </w:rPr>
        <w:t>、生活用水</w:t>
      </w:r>
      <w:r>
        <w:rPr>
          <w:rFonts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eastAsia="zh-CN"/>
          <w14:textFill>
            <w14:solidFill>
              <w14:schemeClr w14:val="tx1"/>
            </w14:solidFill>
          </w14:textFill>
        </w:rPr>
        <w:t>项目用水</w:t>
      </w:r>
      <w:r>
        <w:rPr>
          <w:rFonts w:ascii="Times New Roman" w:hAnsi="Times New Roman" w:cs="Times New Roman"/>
          <w:color w:val="000000" w:themeColor="text1"/>
          <w:lang w:eastAsia="zh-CN"/>
          <w14:textFill>
            <w14:solidFill>
              <w14:schemeClr w14:val="tx1"/>
            </w14:solidFill>
          </w14:textFill>
        </w:rPr>
        <w:t>具体情况如下：</w:t>
      </w:r>
    </w:p>
    <w:p w14:paraId="49E0557E">
      <w:pPr>
        <w:pStyle w:val="42"/>
        <w:adjustRightInd/>
        <w:spacing w:line="360" w:lineRule="auto"/>
        <w:ind w:firstLine="480" w:firstLineChars="200"/>
        <w:rPr>
          <w:color w:val="auto"/>
        </w:rPr>
      </w:pPr>
      <w:r>
        <w:rPr>
          <w:color w:val="auto"/>
        </w:rPr>
        <w:fldChar w:fldCharType="begin"/>
      </w:r>
      <w:r>
        <w:rPr>
          <w:color w:val="auto"/>
        </w:rPr>
        <w:instrText xml:space="preserve"> </w:instrText>
      </w:r>
      <w:r>
        <w:rPr>
          <w:rFonts w:hint="eastAsia"/>
          <w:color w:val="auto"/>
        </w:rPr>
        <w:instrText xml:space="preserve">= 1 \* GB3</w:instrText>
      </w:r>
      <w:r>
        <w:rPr>
          <w:color w:val="auto"/>
        </w:rPr>
        <w:instrText xml:space="preserve"> </w:instrText>
      </w:r>
      <w:r>
        <w:rPr>
          <w:color w:val="auto"/>
        </w:rPr>
        <w:fldChar w:fldCharType="separate"/>
      </w:r>
      <w:r>
        <w:rPr>
          <w:rFonts w:hint="eastAsia"/>
          <w:color w:val="auto"/>
        </w:rPr>
        <w:t>①</w:t>
      </w:r>
      <w:r>
        <w:rPr>
          <w:color w:val="auto"/>
        </w:rPr>
        <w:fldChar w:fldCharType="end"/>
      </w:r>
      <w:r>
        <w:rPr>
          <w:color w:val="auto"/>
        </w:rPr>
        <w:t>地面清洁</w:t>
      </w:r>
      <w:r>
        <w:rPr>
          <w:rFonts w:hint="eastAsia"/>
          <w:color w:val="auto"/>
        </w:rPr>
        <w:t>用</w:t>
      </w:r>
      <w:r>
        <w:rPr>
          <w:color w:val="auto"/>
        </w:rPr>
        <w:t>水</w:t>
      </w:r>
    </w:p>
    <w:p w14:paraId="3665B07D">
      <w:pPr>
        <w:pStyle w:val="42"/>
        <w:adjustRightInd/>
        <w:spacing w:line="360" w:lineRule="auto"/>
        <w:ind w:firstLine="480" w:firstLineChars="200"/>
        <w:rPr>
          <w:color w:val="auto"/>
        </w:rPr>
      </w:pPr>
      <w:r>
        <w:rPr>
          <w:color w:val="auto"/>
        </w:rPr>
        <w:fldChar w:fldCharType="begin"/>
      </w:r>
      <w:r>
        <w:rPr>
          <w:color w:val="auto"/>
        </w:rPr>
        <w:instrText xml:space="preserve"> </w:instrText>
      </w:r>
      <w:r>
        <w:rPr>
          <w:rFonts w:hint="eastAsia"/>
          <w:color w:val="auto"/>
        </w:rPr>
        <w:instrText xml:space="preserve">= 2 \* GB3</w:instrText>
      </w:r>
      <w:r>
        <w:rPr>
          <w:color w:val="auto"/>
        </w:rPr>
        <w:instrText xml:space="preserve"> </w:instrText>
      </w:r>
      <w:r>
        <w:rPr>
          <w:color w:val="auto"/>
        </w:rPr>
        <w:fldChar w:fldCharType="separate"/>
      </w:r>
      <w:r>
        <w:rPr>
          <w:rFonts w:hint="eastAsia"/>
          <w:color w:val="auto"/>
        </w:rPr>
        <w:t>②</w:t>
      </w:r>
      <w:r>
        <w:rPr>
          <w:color w:val="auto"/>
        </w:rPr>
        <w:fldChar w:fldCharType="end"/>
      </w:r>
      <w:r>
        <w:rPr>
          <w:rFonts w:hint="eastAsia"/>
          <w:color w:val="auto"/>
        </w:rPr>
        <w:t>水</w:t>
      </w:r>
      <w:r>
        <w:rPr>
          <w:color w:val="auto"/>
        </w:rPr>
        <w:t>喷淋塔置换</w:t>
      </w:r>
      <w:r>
        <w:rPr>
          <w:rFonts w:hint="eastAsia"/>
          <w:color w:val="auto"/>
        </w:rPr>
        <w:t>用</w:t>
      </w:r>
      <w:r>
        <w:rPr>
          <w:color w:val="auto"/>
        </w:rPr>
        <w:t>水</w:t>
      </w:r>
    </w:p>
    <w:p w14:paraId="386A8C86">
      <w:pPr>
        <w:pStyle w:val="42"/>
        <w:adjustRightInd/>
        <w:spacing w:line="360" w:lineRule="auto"/>
        <w:ind w:firstLine="480" w:firstLineChars="200"/>
        <w:rPr>
          <w:color w:val="auto"/>
        </w:rPr>
      </w:pPr>
      <w:r>
        <w:rPr>
          <w:color w:val="auto"/>
        </w:rPr>
        <w:fldChar w:fldCharType="begin"/>
      </w:r>
      <w:r>
        <w:rPr>
          <w:color w:val="auto"/>
        </w:rPr>
        <w:instrText xml:space="preserve"> </w:instrText>
      </w:r>
      <w:r>
        <w:rPr>
          <w:rFonts w:hint="eastAsia"/>
          <w:color w:val="auto"/>
        </w:rPr>
        <w:instrText xml:space="preserve">= 3 \* GB3</w:instrText>
      </w:r>
      <w:r>
        <w:rPr>
          <w:color w:val="auto"/>
        </w:rPr>
        <w:instrText xml:space="preserve"> </w:instrText>
      </w:r>
      <w:r>
        <w:rPr>
          <w:color w:val="auto"/>
        </w:rPr>
        <w:fldChar w:fldCharType="separate"/>
      </w:r>
      <w:r>
        <w:rPr>
          <w:rFonts w:hint="eastAsia"/>
          <w:color w:val="auto"/>
        </w:rPr>
        <w:t>③</w:t>
      </w:r>
      <w:r>
        <w:rPr>
          <w:color w:val="auto"/>
        </w:rPr>
        <w:fldChar w:fldCharType="end"/>
      </w:r>
      <w:r>
        <w:rPr>
          <w:rFonts w:hint="eastAsia"/>
          <w:color w:val="auto"/>
        </w:rPr>
        <w:t>碱</w:t>
      </w:r>
      <w:r>
        <w:rPr>
          <w:color w:val="auto"/>
        </w:rPr>
        <w:t>喷淋塔置换</w:t>
      </w:r>
      <w:r>
        <w:rPr>
          <w:rFonts w:hint="eastAsia"/>
          <w:color w:val="auto"/>
        </w:rPr>
        <w:t>用</w:t>
      </w:r>
      <w:r>
        <w:rPr>
          <w:color w:val="auto"/>
        </w:rPr>
        <w:t>水</w:t>
      </w:r>
    </w:p>
    <w:p w14:paraId="6A9DC6B2">
      <w:pPr>
        <w:pStyle w:val="42"/>
        <w:adjustRightInd/>
        <w:spacing w:line="360" w:lineRule="auto"/>
        <w:ind w:firstLine="480" w:firstLineChars="200"/>
        <w:rPr>
          <w:color w:val="auto"/>
        </w:rPr>
      </w:pPr>
      <w:r>
        <w:rPr>
          <w:color w:val="auto"/>
        </w:rPr>
        <w:t>。</w:t>
      </w:r>
    </w:p>
    <w:p w14:paraId="4470A7E0">
      <w:pPr>
        <w:pStyle w:val="42"/>
        <w:adjustRightInd/>
        <w:spacing w:line="360" w:lineRule="auto"/>
        <w:ind w:firstLine="472" w:firstLineChars="200"/>
        <w:rPr>
          <w:color w:val="000000" w:themeColor="text1"/>
          <w14:textFill>
            <w14:solidFill>
              <w14:schemeClr w14:val="tx1"/>
            </w14:solidFill>
          </w14:textFill>
        </w:rPr>
      </w:pPr>
      <w:r>
        <w:rPr>
          <w:rStyle w:val="41"/>
          <w:rFonts w:ascii="宋体" w:hAnsi="宋体"/>
          <w:color w:val="000000" w:themeColor="text1"/>
          <w:spacing w:val="-2"/>
          <w:sz w:val="24"/>
          <w:szCs w:val="24"/>
          <w14:textFill>
            <w14:solidFill>
              <w14:schemeClr w14:val="tx1"/>
            </w14:solidFill>
          </w14:textFill>
        </w:rPr>
        <w:fldChar w:fldCharType="begin"/>
      </w:r>
      <w:r>
        <w:rPr>
          <w:rStyle w:val="41"/>
          <w:rFonts w:ascii="宋体" w:hAnsi="宋体"/>
          <w:color w:val="000000" w:themeColor="text1"/>
          <w:spacing w:val="-2"/>
          <w:sz w:val="24"/>
          <w:szCs w:val="24"/>
          <w14:textFill>
            <w14:solidFill>
              <w14:schemeClr w14:val="tx1"/>
            </w14:solidFill>
          </w14:textFill>
        </w:rPr>
        <w:instrText xml:space="preserve"> = 4 \* GB3 </w:instrText>
      </w:r>
      <w:r>
        <w:rPr>
          <w:rStyle w:val="41"/>
          <w:rFonts w:ascii="宋体" w:hAnsi="宋体"/>
          <w:color w:val="000000" w:themeColor="text1"/>
          <w:spacing w:val="-2"/>
          <w:sz w:val="24"/>
          <w:szCs w:val="24"/>
          <w14:textFill>
            <w14:solidFill>
              <w14:schemeClr w14:val="tx1"/>
            </w14:solidFill>
          </w14:textFill>
        </w:rPr>
        <w:fldChar w:fldCharType="separate"/>
      </w:r>
      <w:r>
        <w:rPr>
          <w:rStyle w:val="41"/>
          <w:rFonts w:ascii="宋体" w:hAnsi="宋体" w:cs="Cambria Math"/>
          <w:color w:val="000000" w:themeColor="text1"/>
          <w:spacing w:val="-2"/>
          <w:sz w:val="24"/>
          <w:szCs w:val="24"/>
          <w14:textFill>
            <w14:solidFill>
              <w14:schemeClr w14:val="tx1"/>
            </w14:solidFill>
          </w14:textFill>
        </w:rPr>
        <w:t>④</w:t>
      </w:r>
      <w:r>
        <w:rPr>
          <w:rStyle w:val="41"/>
          <w:rFonts w:ascii="宋体" w:hAnsi="宋体"/>
          <w:color w:val="000000" w:themeColor="text1"/>
          <w:spacing w:val="-2"/>
          <w:sz w:val="24"/>
          <w:szCs w:val="24"/>
          <w14:textFill>
            <w14:solidFill>
              <w14:schemeClr w14:val="tx1"/>
            </w14:solidFill>
          </w14:textFill>
        </w:rPr>
        <w:fldChar w:fldCharType="end"/>
      </w:r>
      <w:r>
        <w:rPr>
          <w:color w:val="000000" w:themeColor="text1"/>
          <w14:textFill>
            <w14:solidFill>
              <w14:schemeClr w14:val="tx1"/>
            </w14:solidFill>
          </w14:textFill>
        </w:rPr>
        <w:t>循环冷却置换</w:t>
      </w:r>
      <w:r>
        <w:rPr>
          <w:rFonts w:hint="eastAsia"/>
          <w:color w:val="000000" w:themeColor="text1"/>
          <w14:textFill>
            <w14:solidFill>
              <w14:schemeClr w14:val="tx1"/>
            </w14:solidFill>
          </w14:textFill>
        </w:rPr>
        <w:t>用</w:t>
      </w:r>
      <w:r>
        <w:rPr>
          <w:color w:val="000000" w:themeColor="text1"/>
          <w14:textFill>
            <w14:solidFill>
              <w14:schemeClr w14:val="tx1"/>
            </w14:solidFill>
          </w14:textFill>
        </w:rPr>
        <w:t>水</w:t>
      </w:r>
    </w:p>
    <w:p w14:paraId="43B43BEB">
      <w:pPr>
        <w:pStyle w:val="70"/>
        <w:widowControl w:val="0"/>
        <w:overflowPunct w:val="0"/>
        <w:jc w:val="both"/>
        <w:rPr>
          <w:rFonts w:ascii="Times New Roman" w:hAnsi="Times New Roman" w:cs="Times New Roman"/>
          <w:color w:val="000000" w:themeColor="text1"/>
          <w:lang w:eastAsia="zh-CN"/>
          <w14:textFill>
            <w14:solidFill>
              <w14:schemeClr w14:val="tx1"/>
            </w14:solidFill>
          </w14:textFill>
        </w:rPr>
      </w:pPr>
      <w:r>
        <w:rPr>
          <w:rFonts w:ascii="Times New Roman" w:hAnsi="Times New Roman" w:cs="Times New Roman"/>
          <w:color w:val="000000" w:themeColor="text1"/>
          <w:lang w:eastAsia="zh-CN"/>
          <w14:textFill>
            <w14:solidFill>
              <w14:schemeClr w14:val="tx1"/>
            </w14:solidFill>
          </w14:textFill>
        </w:rPr>
        <w:fldChar w:fldCharType="begin"/>
      </w:r>
      <w:r>
        <w:rPr>
          <w:rFonts w:ascii="Times New Roman" w:hAnsi="Times New Roman" w:cs="Times New Roman"/>
          <w:color w:val="000000" w:themeColor="text1"/>
          <w:lang w:eastAsia="zh-CN"/>
          <w14:textFill>
            <w14:solidFill>
              <w14:schemeClr w14:val="tx1"/>
            </w14:solidFill>
          </w14:textFill>
        </w:rPr>
        <w:instrText xml:space="preserve"> </w:instrText>
      </w:r>
      <w:r>
        <w:rPr>
          <w:rFonts w:hint="eastAsia" w:ascii="Times New Roman" w:hAnsi="Times New Roman" w:cs="Times New Roman"/>
          <w:color w:val="000000" w:themeColor="text1"/>
          <w:lang w:eastAsia="zh-CN"/>
          <w14:textFill>
            <w14:solidFill>
              <w14:schemeClr w14:val="tx1"/>
            </w14:solidFill>
          </w14:textFill>
        </w:rPr>
        <w:instrText xml:space="preserve">= 5 \* GB3</w:instrText>
      </w:r>
      <w:r>
        <w:rPr>
          <w:rFonts w:ascii="Times New Roman" w:hAnsi="Times New Roman" w:cs="Times New Roman"/>
          <w:color w:val="000000" w:themeColor="text1"/>
          <w:lang w:eastAsia="zh-CN"/>
          <w14:textFill>
            <w14:solidFill>
              <w14:schemeClr w14:val="tx1"/>
            </w14:solidFill>
          </w14:textFill>
        </w:rPr>
        <w:instrText xml:space="preserve"> </w:instrText>
      </w:r>
      <w:r>
        <w:rPr>
          <w:rFonts w:ascii="Times New Roman" w:hAnsi="Times New Roman" w:cs="Times New Roman"/>
          <w:color w:val="000000" w:themeColor="text1"/>
          <w:lang w:eastAsia="zh-CN"/>
          <w14:textFill>
            <w14:solidFill>
              <w14:schemeClr w14:val="tx1"/>
            </w14:solidFill>
          </w14:textFill>
        </w:rPr>
        <w:fldChar w:fldCharType="separate"/>
      </w:r>
      <w:r>
        <w:rPr>
          <w:rFonts w:hint="eastAsia" w:ascii="Times New Roman" w:hAnsi="Times New Roman" w:cs="Times New Roman"/>
          <w:color w:val="000000" w:themeColor="text1"/>
          <w:lang w:eastAsia="zh-CN"/>
          <w14:textFill>
            <w14:solidFill>
              <w14:schemeClr w14:val="tx1"/>
            </w14:solidFill>
          </w14:textFill>
        </w:rPr>
        <w:t>⑤</w:t>
      </w:r>
      <w:r>
        <w:rPr>
          <w:rFonts w:ascii="Times New Roman" w:hAnsi="Times New Roman" w:cs="Times New Roman"/>
          <w:color w:val="000000" w:themeColor="text1"/>
          <w:lang w:eastAsia="zh-CN"/>
          <w14:textFill>
            <w14:solidFill>
              <w14:schemeClr w14:val="tx1"/>
            </w14:solidFill>
          </w14:textFill>
        </w:rPr>
        <w:fldChar w:fldCharType="end"/>
      </w:r>
      <w:r>
        <w:rPr>
          <w:rFonts w:hint="eastAsia" w:ascii="Times New Roman" w:hAnsi="Times New Roman" w:cs="Times New Roman"/>
          <w:color w:val="000000" w:themeColor="text1"/>
          <w:lang w:eastAsia="zh-CN"/>
          <w14:textFill>
            <w14:solidFill>
              <w14:schemeClr w14:val="tx1"/>
            </w14:solidFill>
          </w14:textFill>
        </w:rPr>
        <w:t>生活用水</w:t>
      </w:r>
    </w:p>
    <w:p w14:paraId="74D28F02">
      <w:pPr>
        <w:pStyle w:val="70"/>
        <w:widowControl w:val="0"/>
        <w:overflowPunct w:val="0"/>
        <w:jc w:val="both"/>
        <w:rPr>
          <w:rFonts w:ascii="Times New Roman" w:hAnsi="Times New Roman" w:cs="Times New Roman"/>
          <w:color w:val="auto"/>
          <w:lang w:eastAsia="zh-CN"/>
        </w:rPr>
      </w:pPr>
    </w:p>
    <w:p w14:paraId="38EA58CF">
      <w:pPr>
        <w:pStyle w:val="42"/>
        <w:adjustRightInd/>
        <w:spacing w:line="360" w:lineRule="auto"/>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（2）排水</w:t>
      </w:r>
    </w:p>
    <w:p w14:paraId="115DC283">
      <w:pPr>
        <w:spacing w:line="360" w:lineRule="auto"/>
        <w:ind w:firstLine="480" w:firstLineChars="200"/>
        <w:jc w:val="both"/>
        <w:rPr>
          <w:rFonts w:ascii="Times New Roman" w:hAnsi="Times New Roman" w:cs="Times New Roman"/>
          <w:color w:val="000000" w:themeColor="text1"/>
          <w:lang w:eastAsia="zh-CN"/>
          <w14:textFill>
            <w14:solidFill>
              <w14:schemeClr w14:val="tx1"/>
            </w14:solidFill>
          </w14:textFill>
        </w:rPr>
      </w:pPr>
      <w:r>
        <w:rPr>
          <w:rFonts w:ascii="Times New Roman" w:hAnsi="Times New Roman" w:cs="Times New Roman"/>
          <w:color w:val="000000" w:themeColor="text1"/>
          <w:lang w:eastAsia="zh-CN"/>
          <w14:textFill>
            <w14:solidFill>
              <w14:schemeClr w14:val="tx1"/>
            </w14:solidFill>
          </w14:textFill>
        </w:rPr>
        <w:t>本项目采用清污分流、雨污分流排水。</w:t>
      </w:r>
      <w:r>
        <w:rPr>
          <w:rFonts w:ascii="Times New Roman" w:hAnsi="Times New Roman" w:eastAsia="新宋体" w:cs="Times New Roman"/>
          <w:color w:val="auto"/>
          <w:szCs w:val="24"/>
          <w:lang w:eastAsia="zh-CN"/>
        </w:rPr>
        <w:t>项目废水主要为</w:t>
      </w:r>
      <w:r>
        <w:rPr>
          <w:rFonts w:hint="eastAsia" w:ascii="Times New Roman" w:hAnsi="Times New Roman" w:eastAsia="新宋体" w:cs="Times New Roman"/>
          <w:color w:val="auto"/>
          <w:szCs w:val="24"/>
          <w:lang w:eastAsia="zh-CN"/>
        </w:rPr>
        <w:t>碱</w:t>
      </w:r>
      <w:r>
        <w:rPr>
          <w:rFonts w:ascii="Times New Roman" w:hAnsi="Times New Roman" w:eastAsia="新宋体" w:cs="Times New Roman"/>
          <w:color w:val="auto"/>
          <w:szCs w:val="24"/>
          <w:lang w:eastAsia="zh-CN"/>
        </w:rPr>
        <w:t>喷淋塔置换废水、地面清洁废水、循环冷却置换废水等</w:t>
      </w:r>
      <w:r>
        <w:rPr>
          <w:rFonts w:hint="eastAsia" w:ascii="Times New Roman" w:hAnsi="Times New Roman" w:eastAsia="新宋体" w:cs="Times New Roman"/>
          <w:color w:val="auto"/>
          <w:szCs w:val="24"/>
          <w:lang w:eastAsia="zh-CN"/>
        </w:rPr>
        <w:t>。碱</w:t>
      </w:r>
      <w:r>
        <w:rPr>
          <w:rFonts w:ascii="Times New Roman" w:hAnsi="Times New Roman" w:eastAsia="新宋体" w:cs="Times New Roman"/>
          <w:color w:val="auto"/>
          <w:szCs w:val="24"/>
          <w:lang w:eastAsia="zh-CN"/>
        </w:rPr>
        <w:t>喷淋塔置换废水、</w:t>
      </w:r>
      <w:r>
        <w:rPr>
          <w:rFonts w:ascii="Times New Roman" w:hAnsi="Times New Roman" w:cs="Times New Roman"/>
          <w:color w:val="auto"/>
          <w:lang w:eastAsia="zh-CN"/>
        </w:rPr>
        <w:t>地面清洁废水</w:t>
      </w:r>
      <w:r>
        <w:rPr>
          <w:rFonts w:hint="eastAsia" w:ascii="Times New Roman" w:hAnsi="Times New Roman" w:cs="Times New Roman"/>
          <w:color w:val="auto"/>
          <w:lang w:eastAsia="zh-CN"/>
        </w:rPr>
        <w:t>依托现有厂区</w:t>
      </w:r>
      <w:r>
        <w:rPr>
          <w:rFonts w:ascii="Times New Roman" w:hAnsi="Times New Roman" w:cs="Times New Roman"/>
          <w:color w:val="auto"/>
          <w:lang w:eastAsia="zh-CN"/>
        </w:rPr>
        <w:t>污水处理站“四级除氟反应+四级除氟沉淀”处理后，</w:t>
      </w:r>
      <w:r>
        <w:rPr>
          <w:rFonts w:hint="eastAsia" w:ascii="Times New Roman" w:hAnsi="Times New Roman" w:cs="Times New Roman"/>
          <w:color w:val="auto"/>
          <w:lang w:eastAsia="zh-CN"/>
        </w:rPr>
        <w:t>与</w:t>
      </w:r>
      <w:r>
        <w:rPr>
          <w:rFonts w:ascii="Times New Roman" w:hAnsi="Times New Roman" w:eastAsia="新宋体" w:cs="Times New Roman"/>
          <w:color w:val="auto"/>
          <w:szCs w:val="24"/>
          <w:lang w:eastAsia="zh-CN"/>
        </w:rPr>
        <w:t>循环冷却置换废水</w:t>
      </w:r>
      <w:r>
        <w:rPr>
          <w:rFonts w:hint="eastAsia" w:ascii="Times New Roman" w:hAnsi="Times New Roman" w:eastAsia="新宋体" w:cs="Times New Roman"/>
          <w:color w:val="auto"/>
          <w:szCs w:val="24"/>
          <w:lang w:eastAsia="zh-CN"/>
        </w:rPr>
        <w:t>、生活污水一同</w:t>
      </w:r>
      <w:r>
        <w:rPr>
          <w:rFonts w:ascii="Times New Roman" w:hAnsi="Times New Roman" w:cs="Times New Roman"/>
          <w:color w:val="auto"/>
          <w:lang w:eastAsia="zh-CN"/>
        </w:rPr>
        <w:t>排入园区污水管网，进入沫河口污水处理厂处理</w:t>
      </w:r>
      <w:r>
        <w:rPr>
          <w:rFonts w:hint="eastAsia" w:ascii="Times New Roman" w:hAnsi="Times New Roman" w:cs="Times New Roman"/>
          <w:color w:val="auto"/>
          <w:lang w:eastAsia="zh-CN"/>
        </w:rPr>
        <w:t>，项目废水排放满足</w:t>
      </w:r>
      <w:r>
        <w:rPr>
          <w:rFonts w:ascii="Times New Roman" w:hAnsi="Times New Roman" w:cs="Times New Roman"/>
          <w:color w:val="auto"/>
          <w:lang w:eastAsia="zh-CN"/>
        </w:rPr>
        <w:t>沫河口污水处理厂接管标准以及</w:t>
      </w:r>
      <w:r>
        <w:rPr>
          <w:rFonts w:hint="eastAsia" w:ascii="Times New Roman" w:hAnsi="Times New Roman" w:cs="Times New Roman"/>
          <w:color w:val="auto"/>
          <w:lang w:eastAsia="zh-CN"/>
        </w:rPr>
        <w:t>《无机化学工业污染物排放标准》（GB31573-2015）、</w:t>
      </w:r>
      <w:r>
        <w:rPr>
          <w:rFonts w:ascii="Times New Roman" w:hAnsi="Times New Roman" w:cs="Times New Roman"/>
          <w:color w:val="auto"/>
          <w:szCs w:val="24"/>
          <w:lang w:eastAsia="zh-CN"/>
        </w:rPr>
        <w:t>《电子工业水污染物排放标准》（GB39731-2020）</w:t>
      </w:r>
      <w:r>
        <w:rPr>
          <w:rFonts w:ascii="Times New Roman" w:hAnsi="Times New Roman" w:cs="Times New Roman"/>
          <w:color w:val="auto"/>
          <w:lang w:eastAsia="zh-CN"/>
        </w:rPr>
        <w:t>排放限值要求，沫河口污水处理厂尾水</w:t>
      </w:r>
      <w:r>
        <w:rPr>
          <w:rFonts w:hint="eastAsia" w:ascii="Times New Roman" w:hAnsi="Times New Roman" w:cs="Times New Roman"/>
          <w:color w:val="auto"/>
          <w:lang w:eastAsia="zh-CN"/>
        </w:rPr>
        <w:t>处理</w:t>
      </w:r>
      <w:r>
        <w:rPr>
          <w:rFonts w:ascii="Times New Roman" w:hAnsi="Times New Roman" w:cs="Times New Roman"/>
          <w:color w:val="auto"/>
          <w:lang w:eastAsia="zh-CN"/>
        </w:rPr>
        <w:t>达到《城镇污水处理厂污染物排放标准》（GB18918-2002）中一级 A 标准后，排入</w:t>
      </w:r>
      <w:r>
        <w:rPr>
          <w:rFonts w:ascii="Times New Roman" w:hAnsi="Times New Roman" w:cs="Times New Roman"/>
          <w:color w:val="auto"/>
          <w:szCs w:val="24"/>
          <w:lang w:eastAsia="zh-CN"/>
        </w:rPr>
        <w:t>三铺大沟</w:t>
      </w:r>
      <w:r>
        <w:rPr>
          <w:rFonts w:ascii="Times New Roman" w:hAnsi="Times New Roman" w:cs="Times New Roman"/>
          <w:color w:val="auto"/>
          <w:lang w:eastAsia="zh-CN"/>
        </w:rPr>
        <w:t>，最终汇入淮河</w:t>
      </w:r>
      <w:r>
        <w:rPr>
          <w:rFonts w:ascii="Times New Roman" w:hAnsi="Times New Roman" w:cs="Times New Roman"/>
          <w:color w:val="000000" w:themeColor="text1"/>
          <w:lang w:eastAsia="zh-CN"/>
          <w14:textFill>
            <w14:solidFill>
              <w14:schemeClr w14:val="tx1"/>
            </w14:solidFill>
          </w14:textFill>
        </w:rPr>
        <w:t>。</w:t>
      </w:r>
    </w:p>
    <w:p w14:paraId="54FBCFBD">
      <w:pPr>
        <w:spacing w:line="360" w:lineRule="auto"/>
        <w:ind w:firstLine="512" w:firstLineChars="200"/>
        <w:jc w:val="both"/>
        <w:rPr>
          <w:rFonts w:ascii="Times New Roman" w:hAnsi="Times New Roman" w:cs="Times New Roman"/>
          <w:color w:val="auto"/>
          <w:spacing w:val="8"/>
          <w:szCs w:val="28"/>
          <w:lang w:eastAsia="zh-CN"/>
        </w:rPr>
      </w:pPr>
      <w:r>
        <w:rPr>
          <w:rFonts w:ascii="Times New Roman" w:hAnsi="Times New Roman" w:cs="Times New Roman"/>
          <w:color w:val="auto"/>
          <w:spacing w:val="8"/>
          <w:szCs w:val="28"/>
          <w:lang w:eastAsia="zh-CN"/>
        </w:rPr>
        <w:t>项目排水平衡见图4.1-</w:t>
      </w:r>
      <w:r>
        <w:rPr>
          <w:rFonts w:hint="eastAsia" w:ascii="Times New Roman" w:hAnsi="Times New Roman" w:cs="Times New Roman"/>
          <w:color w:val="auto"/>
          <w:spacing w:val="8"/>
          <w:szCs w:val="28"/>
          <w:lang w:eastAsia="zh-CN"/>
        </w:rPr>
        <w:t>5</w:t>
      </w:r>
      <w:r>
        <w:rPr>
          <w:rFonts w:ascii="Times New Roman" w:hAnsi="Times New Roman" w:cs="Times New Roman"/>
          <w:color w:val="auto"/>
          <w:spacing w:val="8"/>
          <w:szCs w:val="28"/>
          <w:lang w:eastAsia="zh-CN"/>
        </w:rPr>
        <w:t>。</w:t>
      </w:r>
    </w:p>
    <w:p w14:paraId="5B5D6FAF">
      <w:pPr>
        <w:pStyle w:val="42"/>
        <w:jc w:val="center"/>
      </w:pPr>
      <w:bookmarkStart w:id="775" w:name="_1783170449"/>
      <w:bookmarkEnd w:id="775"/>
      <w:bookmarkStart w:id="776" w:name="_MON_1840111446"/>
      <w:bookmarkEnd w:id="776"/>
    </w:p>
    <w:p w14:paraId="36B14ACE">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图</w:t>
      </w:r>
      <w:r>
        <w:rPr>
          <w:rFonts w:hint="eastAsia" w:ascii="Times New Roman" w:hAnsi="Times New Roman" w:cs="Times New Roman"/>
          <w:b/>
          <w:bCs/>
          <w:color w:val="auto"/>
          <w:lang w:eastAsia="zh-CN"/>
        </w:rPr>
        <w:t>4</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1</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5</w:t>
      </w:r>
      <w:r>
        <w:rPr>
          <w:rFonts w:ascii="Times New Roman" w:hAnsi="Times New Roman" w:cs="Times New Roman"/>
          <w:b/>
          <w:bCs/>
          <w:color w:val="auto"/>
          <w:lang w:eastAsia="zh-CN"/>
        </w:rPr>
        <w:t xml:space="preserve">  </w:t>
      </w:r>
      <w:r>
        <w:rPr>
          <w:rFonts w:hint="eastAsia" w:ascii="Times New Roman" w:hAnsi="Times New Roman" w:cs="Times New Roman"/>
          <w:b/>
          <w:bCs/>
          <w:color w:val="auto"/>
          <w:lang w:eastAsia="zh-CN"/>
        </w:rPr>
        <w:t>本项目</w:t>
      </w:r>
      <w:r>
        <w:rPr>
          <w:rFonts w:ascii="Times New Roman" w:hAnsi="Times New Roman" w:cs="Times New Roman"/>
          <w:b/>
          <w:bCs/>
          <w:color w:val="auto"/>
          <w:lang w:eastAsia="zh-CN"/>
        </w:rPr>
        <w:t>水平衡图（t/d）</w:t>
      </w:r>
    </w:p>
    <w:p w14:paraId="38B135BB">
      <w:pPr>
        <w:pStyle w:val="42"/>
        <w:jc w:val="center"/>
      </w:pPr>
      <w:bookmarkStart w:id="777" w:name="_MON_1840112025"/>
      <w:bookmarkEnd w:id="777"/>
    </w:p>
    <w:p w14:paraId="4D8F60C2">
      <w:pPr>
        <w:spacing w:line="360" w:lineRule="auto"/>
        <w:ind w:firstLine="562"/>
        <w:jc w:val="both"/>
        <w:outlineLvl w:val="1"/>
        <w:rPr>
          <w:rFonts w:ascii="Times New Roman" w:hAnsi="Times New Roman" w:cs="Times New Roman"/>
          <w:b/>
          <w:bCs/>
          <w:color w:val="auto"/>
          <w:sz w:val="28"/>
          <w:szCs w:val="22"/>
          <w:lang w:eastAsia="zh-CN"/>
        </w:rPr>
      </w:pPr>
      <w:bookmarkStart w:id="778" w:name="_Toc237508286"/>
      <w:r>
        <w:rPr>
          <w:rFonts w:ascii="Times New Roman" w:hAnsi="Times New Roman" w:cs="Times New Roman"/>
          <w:b/>
          <w:bCs/>
          <w:color w:val="auto"/>
          <w:sz w:val="28"/>
          <w:szCs w:val="22"/>
          <w:lang w:eastAsia="zh-CN"/>
        </w:rPr>
        <w:t>4.2 生产工艺流程及产污环节分析</w:t>
      </w:r>
      <w:bookmarkEnd w:id="778"/>
    </w:p>
    <w:p w14:paraId="107FC4E7">
      <w:pPr>
        <w:spacing w:line="360" w:lineRule="auto"/>
        <w:ind w:firstLine="482"/>
        <w:outlineLvl w:val="2"/>
        <w:rPr>
          <w:rFonts w:ascii="Times New Roman" w:hAnsi="Times New Roman" w:cs="Times New Roman"/>
          <w:b/>
          <w:bCs/>
          <w:color w:val="auto"/>
          <w:lang w:eastAsia="zh-CN"/>
        </w:rPr>
      </w:pPr>
      <w:bookmarkStart w:id="779" w:name="_Toc173740274"/>
      <w:bookmarkStart w:id="780" w:name="_Toc172555647"/>
      <w:bookmarkStart w:id="781" w:name="_Toc176513005"/>
      <w:bookmarkStart w:id="782" w:name="_Toc178602345"/>
      <w:bookmarkStart w:id="783" w:name="_Toc173743378"/>
      <w:bookmarkStart w:id="784" w:name="_Toc175164269"/>
      <w:bookmarkStart w:id="785" w:name="_Toc204515192"/>
      <w:bookmarkStart w:id="786" w:name="_Toc225784040"/>
      <w:bookmarkStart w:id="787" w:name="_Toc224674679"/>
      <w:bookmarkStart w:id="788" w:name="_Toc203926991"/>
      <w:bookmarkStart w:id="789" w:name="_Toc218784266"/>
      <w:bookmarkStart w:id="790" w:name="_Toc221900823"/>
      <w:bookmarkStart w:id="791" w:name="_Toc217662656"/>
      <w:bookmarkStart w:id="792" w:name="_Toc223425041"/>
      <w:bookmarkStart w:id="793" w:name="_Toc204448457"/>
      <w:bookmarkStart w:id="794" w:name="_Toc231828574"/>
      <w:bookmarkStart w:id="795" w:name="_Toc237508287"/>
      <w:bookmarkStart w:id="796" w:name="_Toc236641822"/>
      <w:bookmarkStart w:id="797" w:name="_Toc236641305"/>
      <w:r>
        <w:rPr>
          <w:rFonts w:ascii="Times New Roman" w:hAnsi="Times New Roman" w:cs="Times New Roman"/>
          <w:b/>
          <w:bCs/>
          <w:color w:val="auto"/>
          <w:lang w:eastAsia="zh-CN"/>
        </w:rPr>
        <w:t>4.2.1</w:t>
      </w:r>
      <w:bookmarkEnd w:id="779"/>
      <w:bookmarkEnd w:id="780"/>
      <w:bookmarkEnd w:id="781"/>
      <w:bookmarkEnd w:id="782"/>
      <w:bookmarkEnd w:id="783"/>
      <w:bookmarkEnd w:id="784"/>
      <w:r>
        <w:rPr>
          <w:rFonts w:hint="eastAsia" w:ascii="Times New Roman" w:hAnsi="Times New Roman" w:cs="Times New Roman"/>
          <w:b/>
          <w:bCs/>
          <w:color w:val="auto"/>
          <w:lang w:eastAsia="zh-CN"/>
        </w:rPr>
        <w:t xml:space="preserve"> </w:t>
      </w:r>
      <w:bookmarkEnd w:id="785"/>
      <w:bookmarkEnd w:id="786"/>
      <w:bookmarkEnd w:id="787"/>
      <w:bookmarkEnd w:id="788"/>
      <w:bookmarkEnd w:id="789"/>
      <w:bookmarkEnd w:id="790"/>
      <w:bookmarkEnd w:id="791"/>
      <w:bookmarkEnd w:id="792"/>
      <w:bookmarkEnd w:id="793"/>
      <w:r>
        <w:rPr>
          <w:rFonts w:hint="eastAsia" w:ascii="Times New Roman" w:hAnsi="Times New Roman" w:cs="Times New Roman"/>
          <w:b/>
          <w:bCs/>
          <w:color w:val="auto"/>
          <w:lang w:eastAsia="zh-CN"/>
        </w:rPr>
        <w:t>化学纯氢氟酸</w:t>
      </w:r>
      <w:bookmarkEnd w:id="794"/>
      <w:bookmarkEnd w:id="795"/>
      <w:bookmarkEnd w:id="796"/>
      <w:bookmarkEnd w:id="797"/>
    </w:p>
    <w:p w14:paraId="0C8E292F">
      <w:pPr>
        <w:spacing w:line="360" w:lineRule="auto"/>
        <w:ind w:firstLine="482"/>
        <w:jc w:val="both"/>
        <w:outlineLvl w:val="3"/>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4.2.1.3 原辅材料消耗</w:t>
      </w:r>
    </w:p>
    <w:p w14:paraId="44CEAE31">
      <w:pPr>
        <w:spacing w:line="360" w:lineRule="auto"/>
        <w:ind w:firstLine="480"/>
        <w:rPr>
          <w:rFonts w:ascii="Times New Roman" w:hAnsi="Times New Roman" w:cs="Times New Roman"/>
          <w:color w:val="auto"/>
          <w:lang w:val="zh-CN" w:eastAsia="zh-CN"/>
        </w:rPr>
      </w:pPr>
      <w:r>
        <w:rPr>
          <w:rFonts w:hint="eastAsia" w:ascii="Times New Roman" w:hAnsi="Times New Roman" w:cs="Times New Roman"/>
          <w:bCs/>
          <w:color w:val="auto"/>
          <w:lang w:eastAsia="zh-CN"/>
        </w:rPr>
        <w:t>化学纯氢氟酸</w:t>
      </w:r>
      <w:r>
        <w:rPr>
          <w:rFonts w:ascii="Times New Roman" w:hAnsi="Times New Roman" w:cs="Times New Roman"/>
          <w:color w:val="auto"/>
          <w:lang w:val="zh-CN" w:eastAsia="zh-CN"/>
        </w:rPr>
        <w:t>生产装置主要原、辅材料及消耗见下表。</w:t>
      </w:r>
    </w:p>
    <w:p w14:paraId="47FD5788">
      <w:pPr>
        <w:spacing w:line="360" w:lineRule="auto"/>
        <w:jc w:val="center"/>
        <w:rPr>
          <w:rFonts w:ascii="Times New Roman" w:hAnsi="Times New Roman" w:cs="Times New Roman"/>
          <w:b/>
          <w:bCs/>
          <w:color w:val="auto"/>
          <w:lang w:val="zh-CN" w:eastAsia="zh-CN"/>
        </w:rPr>
      </w:pPr>
      <w:r>
        <w:rPr>
          <w:rFonts w:ascii="Times New Roman" w:hAnsi="Times New Roman" w:cs="Times New Roman"/>
          <w:b/>
          <w:bCs/>
          <w:color w:val="auto"/>
          <w:lang w:val="zh-CN" w:eastAsia="zh-CN"/>
        </w:rPr>
        <w:t>表</w:t>
      </w:r>
      <w:r>
        <w:rPr>
          <w:rFonts w:ascii="Times New Roman" w:hAnsi="Times New Roman" w:cs="Times New Roman"/>
          <w:b/>
          <w:bCs/>
          <w:color w:val="auto"/>
          <w:lang w:eastAsia="zh-CN"/>
        </w:rPr>
        <w:t>4.2</w:t>
      </w:r>
      <w:r>
        <w:rPr>
          <w:rFonts w:ascii="Times New Roman" w:hAnsi="Times New Roman" w:cs="Times New Roman"/>
          <w:b/>
          <w:bCs/>
          <w:color w:val="auto"/>
          <w:lang w:val="zh-CN" w:eastAsia="zh-CN"/>
        </w:rPr>
        <w:t>-</w:t>
      </w:r>
      <w:r>
        <w:rPr>
          <w:rFonts w:ascii="Times New Roman" w:hAnsi="Times New Roman" w:cs="Times New Roman"/>
          <w:b/>
          <w:bCs/>
          <w:color w:val="auto"/>
          <w:lang w:eastAsia="zh-CN"/>
        </w:rPr>
        <w:t xml:space="preserve">2 </w:t>
      </w:r>
      <w:r>
        <w:rPr>
          <w:rFonts w:hint="eastAsia" w:ascii="Times New Roman" w:hAnsi="Times New Roman" w:cs="Times New Roman"/>
          <w:b/>
          <w:bCs/>
          <w:szCs w:val="24"/>
          <w:lang w:eastAsia="zh-CN"/>
        </w:rPr>
        <w:t>化学纯氢氟酸</w:t>
      </w:r>
      <w:r>
        <w:rPr>
          <w:rFonts w:ascii="Times New Roman" w:hAnsi="Times New Roman" w:cs="Times New Roman"/>
          <w:b/>
          <w:bCs/>
          <w:color w:val="auto"/>
          <w:lang w:val="zh-CN" w:eastAsia="zh-CN"/>
        </w:rPr>
        <w:t>生产装置原辅材料消耗一览表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41"/>
        <w:gridCol w:w="2335"/>
        <w:gridCol w:w="852"/>
        <w:gridCol w:w="1559"/>
        <w:gridCol w:w="1132"/>
        <w:gridCol w:w="3227"/>
      </w:tblGrid>
      <w:tr w14:paraId="6020BD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9" w:type="pct"/>
            <w:vAlign w:val="center"/>
          </w:tcPr>
          <w:p w14:paraId="5D13CC0E">
            <w:pPr>
              <w:jc w:val="center"/>
              <w:rPr>
                <w:rFonts w:ascii="Times New Roman" w:hAnsi="Times New Roman" w:cs="Times New Roman"/>
                <w:b/>
                <w:bCs/>
                <w:color w:val="000000" w:themeColor="text1"/>
                <w:sz w:val="21"/>
                <w:lang w:val="zh-CN"/>
                <w14:textFill>
                  <w14:solidFill>
                    <w14:schemeClr w14:val="tx1"/>
                  </w14:solidFill>
                </w14:textFill>
              </w:rPr>
            </w:pPr>
            <w:r>
              <w:rPr>
                <w:rFonts w:ascii="Times New Roman" w:hAnsi="Times New Roman" w:cs="Times New Roman"/>
                <w:b/>
                <w:bCs/>
                <w:color w:val="000000" w:themeColor="text1"/>
                <w:sz w:val="21"/>
                <w:lang w:val="zh-CN"/>
                <w14:textFill>
                  <w14:solidFill>
                    <w14:schemeClr w14:val="tx1"/>
                  </w14:solidFill>
                </w14:textFill>
              </w:rPr>
              <w:t>序号</w:t>
            </w:r>
          </w:p>
        </w:tc>
        <w:tc>
          <w:tcPr>
            <w:tcW w:w="1198" w:type="pct"/>
            <w:vAlign w:val="center"/>
          </w:tcPr>
          <w:p w14:paraId="5B881225">
            <w:pPr>
              <w:jc w:val="center"/>
              <w:rPr>
                <w:rFonts w:ascii="Times New Roman" w:hAnsi="Times New Roman" w:cs="Times New Roman"/>
                <w:b/>
                <w:bCs/>
                <w:color w:val="000000" w:themeColor="text1"/>
                <w:sz w:val="21"/>
                <w:lang w:val="zh-CN"/>
                <w14:textFill>
                  <w14:solidFill>
                    <w14:schemeClr w14:val="tx1"/>
                  </w14:solidFill>
                </w14:textFill>
              </w:rPr>
            </w:pPr>
            <w:r>
              <w:rPr>
                <w:rFonts w:ascii="Times New Roman" w:hAnsi="Times New Roman" w:cs="Times New Roman"/>
                <w:b/>
                <w:bCs/>
                <w:color w:val="000000" w:themeColor="text1"/>
                <w:sz w:val="21"/>
                <w:lang w:val="zh-CN"/>
                <w14:textFill>
                  <w14:solidFill>
                    <w14:schemeClr w14:val="tx1"/>
                  </w14:solidFill>
                </w14:textFill>
              </w:rPr>
              <w:t>物料名称</w:t>
            </w:r>
          </w:p>
        </w:tc>
        <w:tc>
          <w:tcPr>
            <w:tcW w:w="437" w:type="pct"/>
            <w:vAlign w:val="center"/>
          </w:tcPr>
          <w:p w14:paraId="0E2D0636">
            <w:pPr>
              <w:jc w:val="center"/>
              <w:rPr>
                <w:rFonts w:ascii="Times New Roman" w:hAnsi="Times New Roman" w:cs="Times New Roman"/>
                <w:b/>
                <w:bCs/>
                <w:color w:val="000000" w:themeColor="text1"/>
                <w:sz w:val="21"/>
                <w:lang w:val="zh-CN"/>
                <w14:textFill>
                  <w14:solidFill>
                    <w14:schemeClr w14:val="tx1"/>
                  </w14:solidFill>
                </w14:textFill>
              </w:rPr>
            </w:pPr>
            <w:r>
              <w:rPr>
                <w:rFonts w:ascii="Times New Roman" w:hAnsi="Times New Roman" w:cs="Times New Roman"/>
                <w:b/>
                <w:bCs/>
                <w:color w:val="000000" w:themeColor="text1"/>
                <w:sz w:val="21"/>
                <w14:textFill>
                  <w14:solidFill>
                    <w14:schemeClr w14:val="tx1"/>
                  </w14:solidFill>
                </w14:textFill>
              </w:rPr>
              <w:t>性状</w:t>
            </w:r>
          </w:p>
        </w:tc>
        <w:tc>
          <w:tcPr>
            <w:tcW w:w="800" w:type="pct"/>
            <w:vAlign w:val="center"/>
          </w:tcPr>
          <w:p w14:paraId="70540740">
            <w:pPr>
              <w:jc w:val="center"/>
              <w:rPr>
                <w:rFonts w:ascii="Times New Roman" w:hAnsi="Times New Roman" w:cs="Times New Roman"/>
                <w:b/>
                <w:bCs/>
                <w:color w:val="000000" w:themeColor="text1"/>
                <w:sz w:val="21"/>
                <w:lang w:val="zh-CN"/>
                <w14:textFill>
                  <w14:solidFill>
                    <w14:schemeClr w14:val="tx1"/>
                  </w14:solidFill>
                </w14:textFill>
              </w:rPr>
            </w:pPr>
            <w:r>
              <w:rPr>
                <w:rFonts w:ascii="Times New Roman" w:hAnsi="Times New Roman" w:cs="Times New Roman"/>
                <w:b/>
                <w:bCs/>
                <w:color w:val="000000" w:themeColor="text1"/>
                <w:sz w:val="21"/>
                <w:lang w:val="zh-CN" w:eastAsia="zh-CN"/>
                <w14:textFill>
                  <w14:solidFill>
                    <w14:schemeClr w14:val="tx1"/>
                  </w14:solidFill>
                </w14:textFill>
              </w:rPr>
              <w:t>每</w:t>
            </w:r>
            <w:r>
              <w:rPr>
                <w:rFonts w:hint="eastAsia" w:ascii="Times New Roman" w:hAnsi="Times New Roman" w:cs="Times New Roman"/>
                <w:b/>
                <w:bCs/>
                <w:color w:val="000000" w:themeColor="text1"/>
                <w:sz w:val="21"/>
                <w:lang w:val="zh-CN" w:eastAsia="zh-CN"/>
                <w14:textFill>
                  <w14:solidFill>
                    <w14:schemeClr w14:val="tx1"/>
                  </w14:solidFill>
                </w14:textFill>
              </w:rPr>
              <w:t>批</w:t>
            </w:r>
            <w:r>
              <w:rPr>
                <w:rFonts w:ascii="Times New Roman" w:hAnsi="Times New Roman" w:cs="Times New Roman"/>
                <w:b/>
                <w:bCs/>
                <w:color w:val="000000" w:themeColor="text1"/>
                <w:sz w:val="21"/>
                <w:lang w:val="zh-CN" w:eastAsia="zh-CN"/>
                <w14:textFill>
                  <w14:solidFill>
                    <w14:schemeClr w14:val="tx1"/>
                  </w14:solidFill>
                </w14:textFill>
              </w:rPr>
              <w:t>次消耗量（kg/</w:t>
            </w:r>
            <w:r>
              <w:rPr>
                <w:rFonts w:hint="eastAsia" w:ascii="Times New Roman" w:hAnsi="Times New Roman" w:cs="Times New Roman"/>
                <w:b/>
                <w:bCs/>
                <w:color w:val="000000" w:themeColor="text1"/>
                <w:sz w:val="21"/>
                <w:lang w:val="zh-CN" w:eastAsia="zh-CN"/>
                <w14:textFill>
                  <w14:solidFill>
                    <w14:schemeClr w14:val="tx1"/>
                  </w14:solidFill>
                </w14:textFill>
              </w:rPr>
              <w:t>批</w:t>
            </w:r>
            <w:r>
              <w:rPr>
                <w:rFonts w:ascii="Times New Roman" w:hAnsi="Times New Roman" w:cs="Times New Roman"/>
                <w:b/>
                <w:bCs/>
                <w:color w:val="000000" w:themeColor="text1"/>
                <w:sz w:val="21"/>
                <w:lang w:val="zh-CN" w:eastAsia="zh-CN"/>
                <w14:textFill>
                  <w14:solidFill>
                    <w14:schemeClr w14:val="tx1"/>
                  </w14:solidFill>
                </w14:textFill>
              </w:rPr>
              <w:t>）</w:t>
            </w:r>
          </w:p>
        </w:tc>
        <w:tc>
          <w:tcPr>
            <w:tcW w:w="581" w:type="pct"/>
            <w:vAlign w:val="center"/>
          </w:tcPr>
          <w:p w14:paraId="62A726F2">
            <w:pPr>
              <w:jc w:val="center"/>
              <w:rPr>
                <w:rFonts w:ascii="Times New Roman" w:hAnsi="Times New Roman" w:cs="Times New Roman"/>
                <w:b/>
                <w:bCs/>
                <w:color w:val="000000" w:themeColor="text1"/>
                <w:sz w:val="21"/>
                <w:lang w:val="zh-CN"/>
                <w14:textFill>
                  <w14:solidFill>
                    <w14:schemeClr w14:val="tx1"/>
                  </w14:solidFill>
                </w14:textFill>
              </w:rPr>
            </w:pPr>
            <w:r>
              <w:rPr>
                <w:rFonts w:ascii="Times New Roman" w:hAnsi="Times New Roman" w:cs="Times New Roman"/>
                <w:b/>
                <w:bCs/>
                <w:color w:val="000000" w:themeColor="text1"/>
                <w:sz w:val="21"/>
                <w:lang w:val="zh-CN"/>
                <w14:textFill>
                  <w14:solidFill>
                    <w14:schemeClr w14:val="tx1"/>
                  </w14:solidFill>
                </w14:textFill>
              </w:rPr>
              <w:t>年消耗量</w:t>
            </w:r>
          </w:p>
          <w:p w14:paraId="418E0621">
            <w:pPr>
              <w:jc w:val="center"/>
              <w:rPr>
                <w:rFonts w:ascii="Times New Roman" w:hAnsi="Times New Roman" w:cs="Times New Roman"/>
                <w:b/>
                <w:bCs/>
                <w:color w:val="000000" w:themeColor="text1"/>
                <w:sz w:val="21"/>
                <w:lang w:val="zh-CN"/>
                <w14:textFill>
                  <w14:solidFill>
                    <w14:schemeClr w14:val="tx1"/>
                  </w14:solidFill>
                </w14:textFill>
              </w:rPr>
            </w:pPr>
            <w:r>
              <w:rPr>
                <w:rFonts w:ascii="Times New Roman" w:hAnsi="Times New Roman" w:cs="Times New Roman"/>
                <w:b/>
                <w:bCs/>
                <w:color w:val="000000" w:themeColor="text1"/>
                <w:sz w:val="21"/>
                <w:lang w:val="zh-CN"/>
                <w14:textFill>
                  <w14:solidFill>
                    <w14:schemeClr w14:val="tx1"/>
                  </w14:solidFill>
                </w14:textFill>
              </w:rPr>
              <w:t>（t/a）</w:t>
            </w:r>
          </w:p>
        </w:tc>
        <w:tc>
          <w:tcPr>
            <w:tcW w:w="1655" w:type="pct"/>
            <w:vAlign w:val="center"/>
          </w:tcPr>
          <w:p w14:paraId="008DEF44">
            <w:pPr>
              <w:jc w:val="center"/>
              <w:rPr>
                <w:rFonts w:ascii="Times New Roman" w:hAnsi="Times New Roman" w:cs="Times New Roman"/>
                <w:b/>
                <w:bCs/>
                <w:color w:val="000000" w:themeColor="text1"/>
                <w:sz w:val="21"/>
                <w:lang w:val="zh-CN"/>
                <w14:textFill>
                  <w14:solidFill>
                    <w14:schemeClr w14:val="tx1"/>
                  </w14:solidFill>
                </w14:textFill>
              </w:rPr>
            </w:pPr>
            <w:r>
              <w:rPr>
                <w:rFonts w:ascii="Times New Roman" w:hAnsi="Times New Roman" w:cs="Times New Roman"/>
                <w:b/>
                <w:bCs/>
                <w:color w:val="000000" w:themeColor="text1"/>
                <w:sz w:val="21"/>
                <w:lang w:val="zh-CN"/>
                <w14:textFill>
                  <w14:solidFill>
                    <w14:schemeClr w14:val="tx1"/>
                  </w14:solidFill>
                </w14:textFill>
              </w:rPr>
              <w:t>物料投加方式</w:t>
            </w:r>
          </w:p>
        </w:tc>
      </w:tr>
      <w:tr w14:paraId="72C72D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9" w:type="pct"/>
            <w:vAlign w:val="center"/>
          </w:tcPr>
          <w:p w14:paraId="6322E5BE">
            <w:pPr>
              <w:jc w:val="center"/>
              <w:rPr>
                <w:rFonts w:ascii="Times New Roman" w:hAnsi="Times New Roman" w:cs="Times New Roman"/>
                <w:color w:val="000000" w:themeColor="text1"/>
                <w:sz w:val="21"/>
                <w:lang w:val="zh-CN"/>
                <w14:textFill>
                  <w14:solidFill>
                    <w14:schemeClr w14:val="tx1"/>
                  </w14:solidFill>
                </w14:textFill>
              </w:rPr>
            </w:pPr>
            <w:r>
              <w:rPr>
                <w:rFonts w:ascii="Times New Roman" w:hAnsi="Times New Roman" w:cs="Times New Roman"/>
                <w:color w:val="000000" w:themeColor="text1"/>
                <w:sz w:val="21"/>
                <w:lang w:val="zh-CN"/>
                <w14:textFill>
                  <w14:solidFill>
                    <w14:schemeClr w14:val="tx1"/>
                  </w14:solidFill>
                </w14:textFill>
              </w:rPr>
              <w:t>1</w:t>
            </w:r>
          </w:p>
        </w:tc>
        <w:tc>
          <w:tcPr>
            <w:tcW w:w="1198" w:type="pct"/>
            <w:vAlign w:val="center"/>
          </w:tcPr>
          <w:p w14:paraId="4CD49B9D">
            <w:pPr>
              <w:jc w:val="center"/>
              <w:textAlignment w:val="center"/>
              <w:rPr>
                <w:rFonts w:ascii="Times New Roman" w:hAnsi="Times New Roman" w:cs="Times New Roman"/>
                <w:color w:val="000000" w:themeColor="text1"/>
                <w:sz w:val="21"/>
                <w:lang w:val="zh-CN"/>
                <w14:textFill>
                  <w14:solidFill>
                    <w14:schemeClr w14:val="tx1"/>
                  </w14:solidFill>
                </w14:textFill>
              </w:rPr>
            </w:pPr>
          </w:p>
        </w:tc>
        <w:tc>
          <w:tcPr>
            <w:tcW w:w="437" w:type="pct"/>
            <w:vAlign w:val="center"/>
          </w:tcPr>
          <w:p w14:paraId="1362BDF7">
            <w:pPr>
              <w:spacing w:before="60" w:after="60"/>
              <w:jc w:val="center"/>
              <w:rPr>
                <w:rFonts w:ascii="Times New Roman" w:hAnsi="Times New Roman" w:cs="Times New Roman"/>
                <w:color w:val="000000" w:themeColor="text1"/>
                <w:sz w:val="21"/>
                <w:lang w:eastAsia="zh-CN"/>
                <w14:textFill>
                  <w14:solidFill>
                    <w14:schemeClr w14:val="tx1"/>
                  </w14:solidFill>
                </w14:textFill>
              </w:rPr>
            </w:pPr>
          </w:p>
        </w:tc>
        <w:tc>
          <w:tcPr>
            <w:tcW w:w="800" w:type="pct"/>
            <w:vAlign w:val="center"/>
          </w:tcPr>
          <w:p w14:paraId="4E1E5DBC">
            <w:pPr>
              <w:spacing w:before="60" w:after="60"/>
              <w:jc w:val="center"/>
              <w:rPr>
                <w:rFonts w:ascii="Times New Roman" w:hAnsi="Times New Roman" w:cs="Times New Roman"/>
                <w:color w:val="000000" w:themeColor="text1"/>
                <w:sz w:val="21"/>
                <w:lang w:eastAsia="zh-CN"/>
                <w14:textFill>
                  <w14:solidFill>
                    <w14:schemeClr w14:val="tx1"/>
                  </w14:solidFill>
                </w14:textFill>
              </w:rPr>
            </w:pPr>
          </w:p>
        </w:tc>
        <w:tc>
          <w:tcPr>
            <w:tcW w:w="581" w:type="pct"/>
            <w:vAlign w:val="center"/>
          </w:tcPr>
          <w:p w14:paraId="7DFEC731">
            <w:pPr>
              <w:spacing w:before="60" w:after="60"/>
              <w:jc w:val="center"/>
              <w:rPr>
                <w:rFonts w:ascii="Times New Roman" w:hAnsi="Times New Roman" w:cs="Times New Roman"/>
                <w:color w:val="000000" w:themeColor="text1"/>
                <w:sz w:val="21"/>
                <w:lang w:val="zh-CN" w:eastAsia="zh-CN"/>
                <w14:textFill>
                  <w14:solidFill>
                    <w14:schemeClr w14:val="tx1"/>
                  </w14:solidFill>
                </w14:textFill>
              </w:rPr>
            </w:pPr>
          </w:p>
        </w:tc>
        <w:tc>
          <w:tcPr>
            <w:tcW w:w="1655" w:type="pct"/>
            <w:vAlign w:val="center"/>
          </w:tcPr>
          <w:p w14:paraId="322C9119">
            <w:pPr>
              <w:jc w:val="center"/>
              <w:rPr>
                <w:rFonts w:ascii="Times New Roman" w:hAnsi="Times New Roman" w:cs="Times New Roman"/>
                <w:color w:val="000000" w:themeColor="text1"/>
                <w:sz w:val="21"/>
                <w:lang w:eastAsia="zh-CN"/>
                <w14:textFill>
                  <w14:solidFill>
                    <w14:schemeClr w14:val="tx1"/>
                  </w14:solidFill>
                </w14:textFill>
              </w:rPr>
            </w:pPr>
          </w:p>
        </w:tc>
      </w:tr>
      <w:tr w14:paraId="008218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9" w:type="pct"/>
            <w:vAlign w:val="center"/>
          </w:tcPr>
          <w:p w14:paraId="5E3A69CA">
            <w:pPr>
              <w:jc w:val="center"/>
              <w:rPr>
                <w:rFonts w:ascii="Times New Roman" w:hAnsi="Times New Roman" w:cs="Times New Roman"/>
                <w:color w:val="000000" w:themeColor="text1"/>
                <w:sz w:val="21"/>
                <w:lang w:val="zh-CN"/>
                <w14:textFill>
                  <w14:solidFill>
                    <w14:schemeClr w14:val="tx1"/>
                  </w14:solidFill>
                </w14:textFill>
              </w:rPr>
            </w:pPr>
            <w:r>
              <w:rPr>
                <w:rFonts w:ascii="Times New Roman" w:hAnsi="Times New Roman" w:cs="Times New Roman"/>
                <w:color w:val="000000" w:themeColor="text1"/>
                <w:sz w:val="21"/>
                <w:lang w:val="zh-CN"/>
                <w14:textFill>
                  <w14:solidFill>
                    <w14:schemeClr w14:val="tx1"/>
                  </w14:solidFill>
                </w14:textFill>
              </w:rPr>
              <w:t>2</w:t>
            </w:r>
          </w:p>
        </w:tc>
        <w:tc>
          <w:tcPr>
            <w:tcW w:w="1198" w:type="pct"/>
            <w:vAlign w:val="center"/>
          </w:tcPr>
          <w:p w14:paraId="01F95250">
            <w:pPr>
              <w:jc w:val="center"/>
              <w:textAlignment w:val="center"/>
              <w:rPr>
                <w:rFonts w:ascii="Times New Roman" w:hAnsi="Times New Roman" w:cs="Times New Roman"/>
                <w:color w:val="000000" w:themeColor="text1"/>
                <w:sz w:val="21"/>
                <w14:textFill>
                  <w14:solidFill>
                    <w14:schemeClr w14:val="tx1"/>
                  </w14:solidFill>
                </w14:textFill>
              </w:rPr>
            </w:pPr>
          </w:p>
        </w:tc>
        <w:tc>
          <w:tcPr>
            <w:tcW w:w="437" w:type="pct"/>
            <w:vAlign w:val="center"/>
          </w:tcPr>
          <w:p w14:paraId="54D77811">
            <w:pPr>
              <w:spacing w:before="60" w:after="60"/>
              <w:jc w:val="center"/>
              <w:rPr>
                <w:rFonts w:ascii="Times New Roman" w:hAnsi="Times New Roman" w:cs="Times New Roman"/>
                <w:color w:val="000000" w:themeColor="text1"/>
                <w:sz w:val="21"/>
                <w14:textFill>
                  <w14:solidFill>
                    <w14:schemeClr w14:val="tx1"/>
                  </w14:solidFill>
                </w14:textFill>
              </w:rPr>
            </w:pPr>
          </w:p>
        </w:tc>
        <w:tc>
          <w:tcPr>
            <w:tcW w:w="800" w:type="pct"/>
            <w:vAlign w:val="center"/>
          </w:tcPr>
          <w:p w14:paraId="6925F613">
            <w:pPr>
              <w:spacing w:before="60" w:after="60"/>
              <w:jc w:val="center"/>
              <w:rPr>
                <w:rFonts w:ascii="Times New Roman" w:hAnsi="Times New Roman" w:cs="Times New Roman"/>
                <w:color w:val="000000" w:themeColor="text1"/>
                <w:sz w:val="21"/>
                <w:lang w:eastAsia="zh-CN"/>
                <w14:textFill>
                  <w14:solidFill>
                    <w14:schemeClr w14:val="tx1"/>
                  </w14:solidFill>
                </w14:textFill>
              </w:rPr>
            </w:pPr>
          </w:p>
        </w:tc>
        <w:tc>
          <w:tcPr>
            <w:tcW w:w="581" w:type="pct"/>
            <w:vAlign w:val="center"/>
          </w:tcPr>
          <w:p w14:paraId="705E15D5">
            <w:pPr>
              <w:spacing w:before="60" w:after="60"/>
              <w:jc w:val="center"/>
              <w:rPr>
                <w:rFonts w:ascii="Times New Roman" w:hAnsi="Times New Roman" w:cs="Times New Roman"/>
                <w:color w:val="000000" w:themeColor="text1"/>
                <w:sz w:val="21"/>
                <w:lang w:eastAsia="zh-CN"/>
                <w14:textFill>
                  <w14:solidFill>
                    <w14:schemeClr w14:val="tx1"/>
                  </w14:solidFill>
                </w14:textFill>
              </w:rPr>
            </w:pPr>
          </w:p>
        </w:tc>
        <w:tc>
          <w:tcPr>
            <w:tcW w:w="1655" w:type="pct"/>
            <w:vAlign w:val="center"/>
          </w:tcPr>
          <w:p w14:paraId="647891E6">
            <w:pPr>
              <w:jc w:val="center"/>
              <w:rPr>
                <w:rFonts w:ascii="Times New Roman" w:hAnsi="Times New Roman" w:cs="Times New Roman"/>
                <w:color w:val="000000" w:themeColor="text1"/>
                <w:sz w:val="21"/>
                <w:lang w:eastAsia="zh-CN"/>
                <w14:textFill>
                  <w14:solidFill>
                    <w14:schemeClr w14:val="tx1"/>
                  </w14:solidFill>
                </w14:textFill>
              </w:rPr>
            </w:pPr>
          </w:p>
        </w:tc>
      </w:tr>
      <w:tr w14:paraId="066B8D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9" w:type="pct"/>
            <w:vAlign w:val="center"/>
          </w:tcPr>
          <w:p w14:paraId="4D04231D">
            <w:pPr>
              <w:jc w:val="center"/>
              <w:rPr>
                <w:rFonts w:ascii="Times New Roman" w:hAnsi="Times New Roman" w:cs="Times New Roman"/>
                <w:color w:val="000000" w:themeColor="text1"/>
                <w:sz w:val="21"/>
                <w:lang w:val="zh-CN" w:eastAsia="zh-CN"/>
                <w14:textFill>
                  <w14:solidFill>
                    <w14:schemeClr w14:val="tx1"/>
                  </w14:solidFill>
                </w14:textFill>
              </w:rPr>
            </w:pPr>
            <w:r>
              <w:rPr>
                <w:rFonts w:hint="eastAsia" w:ascii="Times New Roman" w:hAnsi="Times New Roman" w:cs="Times New Roman"/>
                <w:color w:val="000000" w:themeColor="text1"/>
                <w:sz w:val="21"/>
                <w:lang w:val="zh-CN" w:eastAsia="zh-CN"/>
                <w14:textFill>
                  <w14:solidFill>
                    <w14:schemeClr w14:val="tx1"/>
                  </w14:solidFill>
                </w14:textFill>
              </w:rPr>
              <w:t>3</w:t>
            </w:r>
          </w:p>
        </w:tc>
        <w:tc>
          <w:tcPr>
            <w:tcW w:w="1198" w:type="pct"/>
            <w:vAlign w:val="center"/>
          </w:tcPr>
          <w:p w14:paraId="32C3FD75">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437" w:type="pct"/>
            <w:vAlign w:val="center"/>
          </w:tcPr>
          <w:p w14:paraId="23DF36E4">
            <w:pPr>
              <w:spacing w:before="60" w:after="60"/>
              <w:jc w:val="center"/>
              <w:rPr>
                <w:rFonts w:ascii="Times New Roman" w:hAnsi="Times New Roman" w:cs="Times New Roman"/>
                <w:color w:val="000000" w:themeColor="text1"/>
                <w:sz w:val="21"/>
                <w:lang w:eastAsia="zh-CN"/>
                <w14:textFill>
                  <w14:solidFill>
                    <w14:schemeClr w14:val="tx1"/>
                  </w14:solidFill>
                </w14:textFill>
              </w:rPr>
            </w:pPr>
          </w:p>
        </w:tc>
        <w:tc>
          <w:tcPr>
            <w:tcW w:w="800" w:type="pct"/>
            <w:vAlign w:val="center"/>
          </w:tcPr>
          <w:p w14:paraId="454983F2">
            <w:pPr>
              <w:spacing w:before="60" w:after="60"/>
              <w:jc w:val="center"/>
              <w:rPr>
                <w:rFonts w:ascii="Times New Roman" w:hAnsi="Times New Roman" w:cs="Times New Roman"/>
                <w:color w:val="000000" w:themeColor="text1"/>
                <w:sz w:val="21"/>
                <w:lang w:eastAsia="zh-CN"/>
                <w14:textFill>
                  <w14:solidFill>
                    <w14:schemeClr w14:val="tx1"/>
                  </w14:solidFill>
                </w14:textFill>
              </w:rPr>
            </w:pPr>
          </w:p>
        </w:tc>
        <w:tc>
          <w:tcPr>
            <w:tcW w:w="581" w:type="pct"/>
            <w:vAlign w:val="center"/>
          </w:tcPr>
          <w:p w14:paraId="3057C0D1">
            <w:pPr>
              <w:spacing w:before="60" w:after="60"/>
              <w:jc w:val="center"/>
              <w:rPr>
                <w:rFonts w:ascii="Times New Roman" w:hAnsi="Times New Roman" w:cs="Times New Roman"/>
                <w:color w:val="000000" w:themeColor="text1"/>
                <w:sz w:val="21"/>
                <w:lang w:eastAsia="zh-CN"/>
                <w14:textFill>
                  <w14:solidFill>
                    <w14:schemeClr w14:val="tx1"/>
                  </w14:solidFill>
                </w14:textFill>
              </w:rPr>
            </w:pPr>
          </w:p>
        </w:tc>
        <w:tc>
          <w:tcPr>
            <w:tcW w:w="1655" w:type="pct"/>
            <w:vAlign w:val="center"/>
          </w:tcPr>
          <w:p w14:paraId="318CECF7">
            <w:pPr>
              <w:jc w:val="center"/>
              <w:rPr>
                <w:rFonts w:ascii="Times New Roman" w:hAnsi="Times New Roman" w:cs="Times New Roman"/>
                <w:color w:val="000000" w:themeColor="text1"/>
                <w:sz w:val="21"/>
                <w:lang w:eastAsia="zh-CN"/>
                <w14:textFill>
                  <w14:solidFill>
                    <w14:schemeClr w14:val="tx1"/>
                  </w14:solidFill>
                </w14:textFill>
              </w:rPr>
            </w:pPr>
          </w:p>
        </w:tc>
      </w:tr>
    </w:tbl>
    <w:p w14:paraId="19FD0CD8">
      <w:pPr>
        <w:spacing w:line="360" w:lineRule="auto"/>
        <w:ind w:firstLine="482"/>
        <w:jc w:val="both"/>
        <w:outlineLvl w:val="3"/>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4.2.1.4 生产设备</w:t>
      </w:r>
    </w:p>
    <w:p w14:paraId="1BE274B1">
      <w:pPr>
        <w:spacing w:line="360" w:lineRule="auto"/>
        <w:ind w:firstLine="480"/>
        <w:rPr>
          <w:rFonts w:ascii="Times New Roman" w:hAnsi="Times New Roman" w:cs="Times New Roman"/>
          <w:b/>
          <w:color w:val="auto"/>
          <w:lang w:eastAsia="zh-CN"/>
        </w:rPr>
      </w:pPr>
      <w:r>
        <w:rPr>
          <w:rFonts w:hint="eastAsia" w:ascii="Times New Roman" w:hAnsi="Times New Roman" w:cs="Times New Roman"/>
          <w:bCs/>
          <w:color w:val="auto"/>
          <w:lang w:eastAsia="zh-CN"/>
        </w:rPr>
        <w:t>化学纯氢氟酸</w:t>
      </w:r>
      <w:r>
        <w:rPr>
          <w:rFonts w:ascii="Times New Roman" w:hAnsi="Times New Roman" w:cs="Times New Roman"/>
          <w:color w:val="auto"/>
          <w:lang w:val="zh-CN" w:eastAsia="zh-CN"/>
        </w:rPr>
        <w:t>生产装置</w:t>
      </w:r>
      <w:r>
        <w:rPr>
          <w:rFonts w:ascii="Times New Roman" w:hAnsi="Times New Roman" w:cs="Times New Roman"/>
          <w:color w:val="auto"/>
          <w:lang w:eastAsia="zh-CN"/>
        </w:rPr>
        <w:t>主要生产设备见表</w:t>
      </w:r>
      <w:r>
        <w:rPr>
          <w:rFonts w:ascii="Times New Roman" w:hAnsi="Times New Roman" w:cs="Times New Roman"/>
          <w:color w:val="auto"/>
          <w:lang w:val="zh-CN" w:eastAsia="zh-CN"/>
        </w:rPr>
        <w:t>。</w:t>
      </w:r>
    </w:p>
    <w:p w14:paraId="232319DE">
      <w:pPr>
        <w:spacing w:line="360" w:lineRule="auto"/>
        <w:jc w:val="center"/>
        <w:rPr>
          <w:rFonts w:ascii="Times New Roman" w:hAnsi="Times New Roman" w:cs="Times New Roman"/>
          <w:b/>
          <w:color w:val="auto"/>
          <w:lang w:eastAsia="zh-CN"/>
        </w:rPr>
      </w:pPr>
      <w:r>
        <w:rPr>
          <w:rFonts w:ascii="Times New Roman" w:hAnsi="Times New Roman" w:cs="Times New Roman"/>
          <w:b/>
          <w:color w:val="auto"/>
          <w:lang w:eastAsia="zh-CN"/>
        </w:rPr>
        <w:t xml:space="preserve">表4.2-3 </w:t>
      </w:r>
      <w:r>
        <w:rPr>
          <w:rFonts w:hint="eastAsia" w:ascii="Times New Roman" w:hAnsi="Times New Roman" w:cs="Times New Roman"/>
          <w:b/>
          <w:bCs/>
          <w:color w:val="auto"/>
          <w:lang w:eastAsia="zh-CN"/>
        </w:rPr>
        <w:t>化学纯氢氟酸</w:t>
      </w:r>
      <w:r>
        <w:rPr>
          <w:rFonts w:ascii="Times New Roman" w:hAnsi="Times New Roman" w:cs="Times New Roman"/>
          <w:b/>
          <w:color w:val="auto"/>
          <w:lang w:eastAsia="zh-CN"/>
        </w:rPr>
        <w:t>生产装置主要设备表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007"/>
        <w:gridCol w:w="2396"/>
        <w:gridCol w:w="2696"/>
        <w:gridCol w:w="1982"/>
        <w:gridCol w:w="1665"/>
      </w:tblGrid>
      <w:tr w14:paraId="75CEC7C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517" w:type="pct"/>
            <w:vAlign w:val="center"/>
          </w:tcPr>
          <w:p w14:paraId="14A4184B">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b/>
                <w:bCs/>
                <w:color w:val="000000" w:themeColor="text1"/>
                <w:sz w:val="21"/>
                <w14:textFill>
                  <w14:solidFill>
                    <w14:schemeClr w14:val="tx1"/>
                  </w14:solidFill>
                </w14:textFill>
              </w:rPr>
              <w:t>序号</w:t>
            </w:r>
          </w:p>
        </w:tc>
        <w:tc>
          <w:tcPr>
            <w:tcW w:w="1229" w:type="pct"/>
            <w:vAlign w:val="center"/>
          </w:tcPr>
          <w:p w14:paraId="7644A306">
            <w:pPr>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设备名称</w:t>
            </w:r>
          </w:p>
        </w:tc>
        <w:tc>
          <w:tcPr>
            <w:tcW w:w="1383" w:type="pct"/>
            <w:vAlign w:val="center"/>
          </w:tcPr>
          <w:p w14:paraId="246D2B97">
            <w:pPr>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规格型号</w:t>
            </w:r>
          </w:p>
        </w:tc>
        <w:tc>
          <w:tcPr>
            <w:tcW w:w="1017" w:type="pct"/>
            <w:vAlign w:val="center"/>
          </w:tcPr>
          <w:p w14:paraId="0B2DFF8C">
            <w:pPr>
              <w:jc w:val="center"/>
              <w:rPr>
                <w:rFonts w:ascii="Times New Roman" w:hAnsi="Times New Roman" w:cs="Times New Roman"/>
                <w:b/>
                <w:color w:val="000000" w:themeColor="text1"/>
                <w:sz w:val="21"/>
                <w:lang w:eastAsia="zh-CN"/>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数量</w:t>
            </w:r>
            <w:r>
              <w:rPr>
                <w:rFonts w:ascii="Times New Roman" w:hAnsi="Times New Roman" w:cs="Times New Roman"/>
                <w:b/>
                <w:color w:val="000000" w:themeColor="text1"/>
                <w:sz w:val="21"/>
                <w:lang w:eastAsia="zh-CN"/>
                <w14:textFill>
                  <w14:solidFill>
                    <w14:schemeClr w14:val="tx1"/>
                  </w14:solidFill>
                </w14:textFill>
              </w:rPr>
              <w:t>（台）</w:t>
            </w:r>
          </w:p>
        </w:tc>
        <w:tc>
          <w:tcPr>
            <w:tcW w:w="855" w:type="pct"/>
            <w:vAlign w:val="center"/>
          </w:tcPr>
          <w:p w14:paraId="4F6011C5">
            <w:pPr>
              <w:jc w:val="center"/>
              <w:rPr>
                <w:rFonts w:ascii="Times New Roman" w:hAnsi="Times New Roman" w:cs="Times New Roman"/>
                <w:b/>
                <w:color w:val="000000" w:themeColor="text1"/>
                <w:sz w:val="21"/>
                <w14:textFill>
                  <w14:solidFill>
                    <w14:schemeClr w14:val="tx1"/>
                  </w14:solidFill>
                </w14:textFill>
              </w:rPr>
            </w:pPr>
            <w:r>
              <w:rPr>
                <w:rFonts w:hint="eastAsia" w:ascii="Times New Roman" w:hAnsi="Times New Roman" w:cs="Times New Roman"/>
                <w:b/>
                <w:color w:val="000000" w:themeColor="text1"/>
                <w:sz w:val="21"/>
                <w:lang w:eastAsia="zh-CN"/>
                <w14:textFill>
                  <w14:solidFill>
                    <w14:schemeClr w14:val="tx1"/>
                  </w14:solidFill>
                </w14:textFill>
              </w:rPr>
              <w:t>备注</w:t>
            </w:r>
          </w:p>
        </w:tc>
      </w:tr>
      <w:tr w14:paraId="1B7140C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517" w:type="pct"/>
            <w:vAlign w:val="center"/>
          </w:tcPr>
          <w:p w14:paraId="18D37550">
            <w:pPr>
              <w:jc w:val="center"/>
              <w:textAlignment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bidi="ar"/>
                <w14:textFill>
                  <w14:solidFill>
                    <w14:schemeClr w14:val="tx1"/>
                  </w14:solidFill>
                </w14:textFill>
              </w:rPr>
              <w:t>1</w:t>
            </w:r>
          </w:p>
        </w:tc>
        <w:tc>
          <w:tcPr>
            <w:tcW w:w="1229" w:type="pct"/>
            <w:vAlign w:val="center"/>
          </w:tcPr>
          <w:p w14:paraId="03484B51">
            <w:pPr>
              <w:jc w:val="center"/>
              <w:rPr>
                <w:rFonts w:ascii="Times New Roman" w:hAnsi="Times New Roman" w:cs="Times New Roman"/>
                <w:color w:val="000000" w:themeColor="text1"/>
                <w:sz w:val="21"/>
                <w:lang w:eastAsia="zh-CN"/>
                <w14:textFill>
                  <w14:solidFill>
                    <w14:schemeClr w14:val="tx1"/>
                  </w14:solidFill>
                </w14:textFill>
              </w:rPr>
            </w:pPr>
          </w:p>
        </w:tc>
        <w:tc>
          <w:tcPr>
            <w:tcW w:w="1383" w:type="pct"/>
            <w:vAlign w:val="center"/>
          </w:tcPr>
          <w:p w14:paraId="0CAA9E9F">
            <w:pPr>
              <w:jc w:val="center"/>
              <w:rPr>
                <w:rFonts w:ascii="Times New Roman" w:hAnsi="Times New Roman" w:cs="Times New Roman"/>
                <w:color w:val="000000" w:themeColor="text1"/>
                <w:sz w:val="21"/>
                <w:vertAlign w:val="superscript"/>
                <w:lang w:eastAsia="zh-CN"/>
                <w14:textFill>
                  <w14:solidFill>
                    <w14:schemeClr w14:val="tx1"/>
                  </w14:solidFill>
                </w14:textFill>
              </w:rPr>
            </w:pPr>
          </w:p>
        </w:tc>
        <w:tc>
          <w:tcPr>
            <w:tcW w:w="1017" w:type="pct"/>
            <w:vAlign w:val="center"/>
          </w:tcPr>
          <w:p w14:paraId="0893E00B">
            <w:pPr>
              <w:jc w:val="center"/>
              <w:rPr>
                <w:rFonts w:ascii="Times New Roman" w:hAnsi="Times New Roman" w:cs="Times New Roman"/>
                <w:color w:val="000000" w:themeColor="text1"/>
                <w:sz w:val="21"/>
                <w:lang w:eastAsia="zh-CN"/>
                <w14:textFill>
                  <w14:solidFill>
                    <w14:schemeClr w14:val="tx1"/>
                  </w14:solidFill>
                </w14:textFill>
              </w:rPr>
            </w:pPr>
          </w:p>
        </w:tc>
        <w:tc>
          <w:tcPr>
            <w:tcW w:w="855" w:type="pct"/>
            <w:vAlign w:val="center"/>
          </w:tcPr>
          <w:p w14:paraId="330DD283">
            <w:pPr>
              <w:jc w:val="center"/>
              <w:rPr>
                <w:rFonts w:ascii="Times New Roman" w:hAnsi="Times New Roman" w:cs="Times New Roman"/>
                <w:color w:val="000000" w:themeColor="text1"/>
                <w:spacing w:val="-2"/>
                <w:sz w:val="21"/>
                <w:lang w:eastAsia="zh-CN"/>
                <w14:textFill>
                  <w14:solidFill>
                    <w14:schemeClr w14:val="tx1"/>
                  </w14:solidFill>
                </w14:textFill>
              </w:rPr>
            </w:pPr>
          </w:p>
        </w:tc>
      </w:tr>
      <w:tr w14:paraId="1EAF59E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517" w:type="pct"/>
            <w:vAlign w:val="center"/>
          </w:tcPr>
          <w:p w14:paraId="62CED816">
            <w:pPr>
              <w:jc w:val="center"/>
              <w:textAlignment w:val="center"/>
              <w:rPr>
                <w:rFonts w:ascii="Times New Roman" w:hAnsi="Times New Roman" w:cs="Times New Roman"/>
                <w:color w:val="000000" w:themeColor="text1"/>
                <w:sz w:val="21"/>
                <w:lang w:bidi="ar"/>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2</w:t>
            </w:r>
          </w:p>
        </w:tc>
        <w:tc>
          <w:tcPr>
            <w:tcW w:w="1229" w:type="pct"/>
            <w:vAlign w:val="center"/>
          </w:tcPr>
          <w:p w14:paraId="3444B89E">
            <w:pPr>
              <w:jc w:val="center"/>
              <w:rPr>
                <w:rFonts w:ascii="Times New Roman" w:hAnsi="Times New Roman" w:cs="Times New Roman"/>
                <w:color w:val="000000" w:themeColor="text1"/>
                <w:sz w:val="21"/>
                <w:lang w:eastAsia="zh-CN"/>
                <w14:textFill>
                  <w14:solidFill>
                    <w14:schemeClr w14:val="tx1"/>
                  </w14:solidFill>
                </w14:textFill>
              </w:rPr>
            </w:pPr>
          </w:p>
        </w:tc>
        <w:tc>
          <w:tcPr>
            <w:tcW w:w="1383" w:type="pct"/>
            <w:vAlign w:val="center"/>
          </w:tcPr>
          <w:p w14:paraId="727C09F5">
            <w:pPr>
              <w:jc w:val="center"/>
              <w:rPr>
                <w:rFonts w:ascii="Times New Roman" w:hAnsi="Times New Roman" w:cs="Times New Roman"/>
                <w:color w:val="000000" w:themeColor="text1"/>
                <w:sz w:val="21"/>
                <w:lang w:eastAsia="zh-CN"/>
                <w14:textFill>
                  <w14:solidFill>
                    <w14:schemeClr w14:val="tx1"/>
                  </w14:solidFill>
                </w14:textFill>
              </w:rPr>
            </w:pPr>
          </w:p>
        </w:tc>
        <w:tc>
          <w:tcPr>
            <w:tcW w:w="1017" w:type="pct"/>
            <w:vAlign w:val="center"/>
          </w:tcPr>
          <w:p w14:paraId="1B96EE32">
            <w:pPr>
              <w:jc w:val="center"/>
              <w:rPr>
                <w:rFonts w:ascii="Times New Roman" w:hAnsi="Times New Roman" w:cs="Times New Roman"/>
                <w:color w:val="000000" w:themeColor="text1"/>
                <w:sz w:val="21"/>
                <w:lang w:eastAsia="zh-CN"/>
                <w14:textFill>
                  <w14:solidFill>
                    <w14:schemeClr w14:val="tx1"/>
                  </w14:solidFill>
                </w14:textFill>
              </w:rPr>
            </w:pPr>
          </w:p>
        </w:tc>
        <w:tc>
          <w:tcPr>
            <w:tcW w:w="855" w:type="pct"/>
            <w:vAlign w:val="center"/>
          </w:tcPr>
          <w:p w14:paraId="3F944432">
            <w:pPr>
              <w:jc w:val="center"/>
              <w:rPr>
                <w:rFonts w:ascii="Times New Roman" w:hAnsi="Times New Roman" w:cs="Times New Roman"/>
                <w:color w:val="000000" w:themeColor="text1"/>
                <w:spacing w:val="-2"/>
                <w:sz w:val="21"/>
                <w:lang w:eastAsia="zh-CN"/>
                <w14:textFill>
                  <w14:solidFill>
                    <w14:schemeClr w14:val="tx1"/>
                  </w14:solidFill>
                </w14:textFill>
              </w:rPr>
            </w:pPr>
          </w:p>
        </w:tc>
      </w:tr>
      <w:tr w14:paraId="660F95A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517" w:type="pct"/>
            <w:vAlign w:val="center"/>
          </w:tcPr>
          <w:p w14:paraId="4819FAB8">
            <w:pPr>
              <w:jc w:val="center"/>
              <w:textAlignment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3</w:t>
            </w:r>
          </w:p>
        </w:tc>
        <w:tc>
          <w:tcPr>
            <w:tcW w:w="1229" w:type="pct"/>
            <w:vAlign w:val="center"/>
          </w:tcPr>
          <w:p w14:paraId="27B436F8">
            <w:pPr>
              <w:jc w:val="center"/>
              <w:rPr>
                <w:rFonts w:ascii="Times New Roman" w:hAnsi="Times New Roman" w:cs="Times New Roman"/>
                <w:color w:val="000000" w:themeColor="text1"/>
                <w:sz w:val="21"/>
                <w:lang w:eastAsia="zh-CN"/>
                <w14:textFill>
                  <w14:solidFill>
                    <w14:schemeClr w14:val="tx1"/>
                  </w14:solidFill>
                </w14:textFill>
              </w:rPr>
            </w:pPr>
          </w:p>
        </w:tc>
        <w:tc>
          <w:tcPr>
            <w:tcW w:w="1383" w:type="pct"/>
            <w:vAlign w:val="center"/>
          </w:tcPr>
          <w:p w14:paraId="65DD5C89">
            <w:pPr>
              <w:jc w:val="center"/>
              <w:rPr>
                <w:rFonts w:ascii="Times New Roman" w:hAnsi="Times New Roman" w:cs="Times New Roman"/>
                <w:color w:val="000000" w:themeColor="text1"/>
                <w:sz w:val="21"/>
                <w:lang w:eastAsia="zh-CN"/>
                <w14:textFill>
                  <w14:solidFill>
                    <w14:schemeClr w14:val="tx1"/>
                  </w14:solidFill>
                </w14:textFill>
              </w:rPr>
            </w:pPr>
          </w:p>
        </w:tc>
        <w:tc>
          <w:tcPr>
            <w:tcW w:w="1017" w:type="pct"/>
            <w:vAlign w:val="center"/>
          </w:tcPr>
          <w:p w14:paraId="7833E821">
            <w:pPr>
              <w:jc w:val="center"/>
              <w:rPr>
                <w:rFonts w:ascii="Times New Roman" w:hAnsi="Times New Roman" w:cs="Times New Roman"/>
                <w:color w:val="000000" w:themeColor="text1"/>
                <w:sz w:val="21"/>
                <w:lang w:eastAsia="zh-CN"/>
                <w14:textFill>
                  <w14:solidFill>
                    <w14:schemeClr w14:val="tx1"/>
                  </w14:solidFill>
                </w14:textFill>
              </w:rPr>
            </w:pPr>
          </w:p>
        </w:tc>
        <w:tc>
          <w:tcPr>
            <w:tcW w:w="855" w:type="pct"/>
            <w:vAlign w:val="center"/>
          </w:tcPr>
          <w:p w14:paraId="11DC8E08">
            <w:pPr>
              <w:jc w:val="center"/>
              <w:rPr>
                <w:rFonts w:ascii="Times New Roman" w:hAnsi="Times New Roman" w:cs="Times New Roman"/>
                <w:color w:val="000000" w:themeColor="text1"/>
                <w:spacing w:val="-2"/>
                <w:sz w:val="21"/>
                <w:lang w:eastAsia="zh-CN"/>
                <w14:textFill>
                  <w14:solidFill>
                    <w14:schemeClr w14:val="tx1"/>
                  </w14:solidFill>
                </w14:textFill>
              </w:rPr>
            </w:pPr>
          </w:p>
        </w:tc>
      </w:tr>
      <w:tr w14:paraId="0679890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517" w:type="pct"/>
            <w:vAlign w:val="center"/>
          </w:tcPr>
          <w:p w14:paraId="7EED077F">
            <w:pPr>
              <w:jc w:val="center"/>
              <w:textAlignment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4</w:t>
            </w:r>
          </w:p>
        </w:tc>
        <w:tc>
          <w:tcPr>
            <w:tcW w:w="1229" w:type="pct"/>
            <w:vAlign w:val="center"/>
          </w:tcPr>
          <w:p w14:paraId="66459F8D">
            <w:pPr>
              <w:jc w:val="center"/>
              <w:rPr>
                <w:rFonts w:ascii="Times New Roman" w:hAnsi="Times New Roman" w:cs="Times New Roman"/>
                <w:color w:val="000000" w:themeColor="text1"/>
                <w:sz w:val="21"/>
                <w:lang w:eastAsia="zh-CN"/>
                <w14:textFill>
                  <w14:solidFill>
                    <w14:schemeClr w14:val="tx1"/>
                  </w14:solidFill>
                </w14:textFill>
              </w:rPr>
            </w:pPr>
          </w:p>
        </w:tc>
        <w:tc>
          <w:tcPr>
            <w:tcW w:w="1383" w:type="pct"/>
            <w:vAlign w:val="center"/>
          </w:tcPr>
          <w:p w14:paraId="5800A31A">
            <w:pPr>
              <w:jc w:val="center"/>
              <w:rPr>
                <w:rFonts w:ascii="Times New Roman" w:hAnsi="Times New Roman" w:cs="Times New Roman"/>
                <w:color w:val="000000" w:themeColor="text1"/>
                <w:sz w:val="21"/>
                <w:lang w:eastAsia="zh-CN"/>
                <w14:textFill>
                  <w14:solidFill>
                    <w14:schemeClr w14:val="tx1"/>
                  </w14:solidFill>
                </w14:textFill>
              </w:rPr>
            </w:pPr>
          </w:p>
        </w:tc>
        <w:tc>
          <w:tcPr>
            <w:tcW w:w="1017" w:type="pct"/>
            <w:vAlign w:val="center"/>
          </w:tcPr>
          <w:p w14:paraId="2B7DF922">
            <w:pPr>
              <w:jc w:val="center"/>
              <w:rPr>
                <w:rFonts w:ascii="Times New Roman" w:hAnsi="Times New Roman" w:cs="Times New Roman"/>
                <w:color w:val="000000" w:themeColor="text1"/>
                <w:sz w:val="21"/>
                <w:lang w:eastAsia="zh-CN"/>
                <w14:textFill>
                  <w14:solidFill>
                    <w14:schemeClr w14:val="tx1"/>
                  </w14:solidFill>
                </w14:textFill>
              </w:rPr>
            </w:pPr>
          </w:p>
        </w:tc>
        <w:tc>
          <w:tcPr>
            <w:tcW w:w="855" w:type="pct"/>
            <w:vAlign w:val="center"/>
          </w:tcPr>
          <w:p w14:paraId="4FA346DD">
            <w:pPr>
              <w:jc w:val="center"/>
              <w:rPr>
                <w:rFonts w:ascii="Times New Roman" w:hAnsi="Times New Roman" w:cs="Times New Roman"/>
                <w:color w:val="000000" w:themeColor="text1"/>
                <w:spacing w:val="-2"/>
                <w:sz w:val="21"/>
                <w:lang w:eastAsia="zh-CN"/>
                <w14:textFill>
                  <w14:solidFill>
                    <w14:schemeClr w14:val="tx1"/>
                  </w14:solidFill>
                </w14:textFill>
              </w:rPr>
            </w:pPr>
          </w:p>
        </w:tc>
      </w:tr>
      <w:tr w14:paraId="1AFF1FC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517" w:type="pct"/>
            <w:vAlign w:val="center"/>
          </w:tcPr>
          <w:p w14:paraId="7F8AFABA">
            <w:pPr>
              <w:jc w:val="center"/>
              <w:textAlignment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bidi="ar"/>
                <w14:textFill>
                  <w14:solidFill>
                    <w14:schemeClr w14:val="tx1"/>
                  </w14:solidFill>
                </w14:textFill>
              </w:rPr>
              <w:t>5</w:t>
            </w:r>
          </w:p>
        </w:tc>
        <w:tc>
          <w:tcPr>
            <w:tcW w:w="1229" w:type="pct"/>
            <w:vAlign w:val="center"/>
          </w:tcPr>
          <w:p w14:paraId="11C1B752">
            <w:pPr>
              <w:jc w:val="center"/>
              <w:rPr>
                <w:rFonts w:ascii="Times New Roman" w:hAnsi="Times New Roman" w:cs="Times New Roman"/>
                <w:color w:val="000000" w:themeColor="text1"/>
                <w:sz w:val="21"/>
                <w:lang w:eastAsia="zh-CN"/>
                <w14:textFill>
                  <w14:solidFill>
                    <w14:schemeClr w14:val="tx1"/>
                  </w14:solidFill>
                </w14:textFill>
              </w:rPr>
            </w:pPr>
          </w:p>
        </w:tc>
        <w:tc>
          <w:tcPr>
            <w:tcW w:w="1383" w:type="pct"/>
            <w:vAlign w:val="center"/>
          </w:tcPr>
          <w:p w14:paraId="283FCB1E">
            <w:pPr>
              <w:jc w:val="center"/>
              <w:rPr>
                <w:rFonts w:ascii="Times New Roman" w:hAnsi="Times New Roman" w:cs="Times New Roman"/>
                <w:color w:val="000000" w:themeColor="text1"/>
                <w:sz w:val="21"/>
                <w:lang w:eastAsia="zh-CN"/>
                <w14:textFill>
                  <w14:solidFill>
                    <w14:schemeClr w14:val="tx1"/>
                  </w14:solidFill>
                </w14:textFill>
              </w:rPr>
            </w:pPr>
          </w:p>
        </w:tc>
        <w:tc>
          <w:tcPr>
            <w:tcW w:w="1017" w:type="pct"/>
            <w:vAlign w:val="center"/>
          </w:tcPr>
          <w:p w14:paraId="325FFD5D">
            <w:pPr>
              <w:jc w:val="center"/>
              <w:rPr>
                <w:rFonts w:ascii="Times New Roman" w:hAnsi="Times New Roman" w:cs="Times New Roman"/>
                <w:color w:val="000000" w:themeColor="text1"/>
                <w:sz w:val="21"/>
                <w:lang w:eastAsia="zh-CN"/>
                <w14:textFill>
                  <w14:solidFill>
                    <w14:schemeClr w14:val="tx1"/>
                  </w14:solidFill>
                </w14:textFill>
              </w:rPr>
            </w:pPr>
          </w:p>
        </w:tc>
        <w:tc>
          <w:tcPr>
            <w:tcW w:w="855" w:type="pct"/>
            <w:vAlign w:val="center"/>
          </w:tcPr>
          <w:p w14:paraId="19F045BD">
            <w:pPr>
              <w:jc w:val="center"/>
              <w:rPr>
                <w:rFonts w:ascii="Times New Roman" w:hAnsi="Times New Roman" w:cs="Times New Roman"/>
                <w:color w:val="000000" w:themeColor="text1"/>
                <w:spacing w:val="-2"/>
                <w:sz w:val="21"/>
                <w:lang w:eastAsia="zh-CN"/>
                <w14:textFill>
                  <w14:solidFill>
                    <w14:schemeClr w14:val="tx1"/>
                  </w14:solidFill>
                </w14:textFill>
              </w:rPr>
            </w:pPr>
          </w:p>
        </w:tc>
      </w:tr>
    </w:tbl>
    <w:p w14:paraId="0CE51C78">
      <w:pPr>
        <w:spacing w:line="360" w:lineRule="auto"/>
        <w:ind w:firstLine="482"/>
        <w:jc w:val="both"/>
        <w:outlineLvl w:val="3"/>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4.2.1.5 物料平衡图</w:t>
      </w:r>
    </w:p>
    <w:p w14:paraId="4C81EC3B">
      <w:pPr>
        <w:spacing w:line="360" w:lineRule="auto"/>
        <w:ind w:firstLine="480" w:firstLineChars="200"/>
        <w:jc w:val="both"/>
        <w:rPr>
          <w:rFonts w:ascii="Times New Roman" w:hAnsi="Times New Roman" w:cs="Times New Roman"/>
          <w:color w:val="auto"/>
          <w:lang w:eastAsia="zh-CN"/>
        </w:rPr>
      </w:pPr>
      <w:bookmarkStart w:id="798" w:name="_Hlk175150256"/>
      <w:r>
        <w:rPr>
          <w:rFonts w:hint="eastAsia" w:ascii="Times New Roman" w:hAnsi="Times New Roman" w:cs="Times New Roman"/>
          <w:color w:val="auto"/>
          <w:lang w:eastAsia="zh-CN"/>
        </w:rPr>
        <w:t>年生产90000吨化学纯氢氟酸，其中40000吨化学纯氢氟酸用于生产刻蚀液，50000吨化学纯氢氟酸用于外售</w:t>
      </w:r>
      <w:r>
        <w:rPr>
          <w:rFonts w:ascii="Times New Roman" w:hAnsi="Times New Roman" w:cs="Times New Roman"/>
          <w:color w:val="auto"/>
          <w:lang w:eastAsia="zh-CN"/>
        </w:rPr>
        <w:t>。物料平衡见下图</w:t>
      </w:r>
      <w:bookmarkEnd w:id="798"/>
      <w:r>
        <w:rPr>
          <w:rFonts w:ascii="Times New Roman" w:hAnsi="Times New Roman" w:cs="Times New Roman"/>
          <w:color w:val="auto"/>
          <w:lang w:eastAsia="zh-CN"/>
        </w:rPr>
        <w:t>。</w:t>
      </w:r>
    </w:p>
    <w:p w14:paraId="2F506119">
      <w:pPr>
        <w:tabs>
          <w:tab w:val="left" w:pos="0"/>
        </w:tabs>
        <w:spacing w:line="360" w:lineRule="auto"/>
        <w:jc w:val="center"/>
        <w:rPr>
          <w:rFonts w:ascii="Times New Roman" w:hAnsi="Times New Roman" w:cs="Times New Roman"/>
          <w:b/>
          <w:color w:val="auto"/>
          <w:lang w:eastAsia="zh-CN"/>
        </w:rPr>
      </w:pPr>
      <w:r>
        <w:rPr>
          <w:rFonts w:ascii="Times New Roman" w:hAnsi="Times New Roman" w:cs="Times New Roman"/>
          <w:b/>
          <w:color w:val="auto"/>
          <w:lang w:eastAsia="zh-CN"/>
        </w:rPr>
        <w:t xml:space="preserve">表4.2-4 </w:t>
      </w:r>
      <w:r>
        <w:rPr>
          <w:rFonts w:hint="eastAsia" w:ascii="Times New Roman" w:hAnsi="Times New Roman" w:cs="Times New Roman"/>
          <w:b/>
          <w:bCs/>
          <w:color w:val="auto"/>
          <w:lang w:eastAsia="zh-CN"/>
        </w:rPr>
        <w:t>化学纯氢氟酸</w:t>
      </w:r>
      <w:r>
        <w:rPr>
          <w:rFonts w:ascii="Times New Roman" w:hAnsi="Times New Roman" w:cs="Times New Roman"/>
          <w:b/>
          <w:color w:val="auto"/>
          <w:lang w:eastAsia="zh-CN"/>
        </w:rPr>
        <w:t>设备与产能匹配性</w:t>
      </w:r>
    </w:p>
    <w:tbl>
      <w:tblPr>
        <w:tblStyle w:val="35"/>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91"/>
        <w:gridCol w:w="1246"/>
        <w:gridCol w:w="1141"/>
        <w:gridCol w:w="1556"/>
        <w:gridCol w:w="962"/>
        <w:gridCol w:w="1235"/>
        <w:gridCol w:w="1391"/>
        <w:gridCol w:w="1124"/>
      </w:tblGrid>
      <w:tr w14:paraId="77BF75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39A9CD28">
            <w:pPr>
              <w:jc w:val="center"/>
              <w:rPr>
                <w:rFonts w:ascii="Times New Roman" w:hAnsi="Times New Roman" w:cs="Times New Roman"/>
                <w:b/>
                <w:bCs/>
                <w:color w:val="auto"/>
                <w:sz w:val="21"/>
              </w:rPr>
            </w:pPr>
            <w:r>
              <w:rPr>
                <w:rFonts w:ascii="Times New Roman" w:hAnsi="Times New Roman" w:cs="Times New Roman"/>
                <w:b/>
                <w:bCs/>
                <w:color w:val="auto"/>
                <w:sz w:val="21"/>
              </w:rPr>
              <w:t>名称</w:t>
            </w:r>
          </w:p>
        </w:tc>
        <w:tc>
          <w:tcPr>
            <w:tcW w:w="0" w:type="auto"/>
            <w:vAlign w:val="center"/>
          </w:tcPr>
          <w:p w14:paraId="42303F8A">
            <w:pPr>
              <w:jc w:val="center"/>
              <w:rPr>
                <w:rFonts w:ascii="Times New Roman" w:hAnsi="Times New Roman" w:cs="Times New Roman"/>
                <w:b/>
                <w:bCs/>
                <w:color w:val="auto"/>
                <w:sz w:val="21"/>
              </w:rPr>
            </w:pPr>
            <w:r>
              <w:rPr>
                <w:rFonts w:ascii="Times New Roman" w:hAnsi="Times New Roman" w:cs="Times New Roman"/>
                <w:b/>
                <w:bCs/>
                <w:color w:val="auto"/>
                <w:sz w:val="21"/>
              </w:rPr>
              <w:t>每</w:t>
            </w:r>
            <w:r>
              <w:rPr>
                <w:rFonts w:hint="eastAsia" w:ascii="Times New Roman" w:hAnsi="Times New Roman" w:cs="Times New Roman"/>
                <w:b/>
                <w:bCs/>
                <w:color w:val="auto"/>
                <w:sz w:val="21"/>
                <w:lang w:eastAsia="zh-CN"/>
              </w:rPr>
              <w:t>批</w:t>
            </w:r>
            <w:r>
              <w:rPr>
                <w:rFonts w:ascii="Times New Roman" w:hAnsi="Times New Roman" w:cs="Times New Roman"/>
                <w:b/>
                <w:bCs/>
                <w:color w:val="auto"/>
                <w:sz w:val="21"/>
              </w:rPr>
              <w:t>生产量(kg)</w:t>
            </w:r>
          </w:p>
        </w:tc>
        <w:tc>
          <w:tcPr>
            <w:tcW w:w="0" w:type="auto"/>
            <w:vAlign w:val="center"/>
          </w:tcPr>
          <w:p w14:paraId="500259F6">
            <w:pPr>
              <w:jc w:val="center"/>
              <w:rPr>
                <w:rFonts w:ascii="Times New Roman" w:hAnsi="Times New Roman" w:cs="Times New Roman"/>
                <w:b/>
                <w:bCs/>
                <w:color w:val="auto"/>
                <w:sz w:val="21"/>
              </w:rPr>
            </w:pPr>
            <w:r>
              <w:rPr>
                <w:rFonts w:ascii="Times New Roman" w:hAnsi="Times New Roman" w:cs="Times New Roman"/>
                <w:b/>
                <w:bCs/>
                <w:color w:val="auto"/>
                <w:sz w:val="21"/>
              </w:rPr>
              <w:t>每</w:t>
            </w:r>
            <w:r>
              <w:rPr>
                <w:rFonts w:hint="eastAsia" w:ascii="Times New Roman" w:hAnsi="Times New Roman" w:cs="Times New Roman"/>
                <w:b/>
                <w:bCs/>
                <w:color w:val="auto"/>
                <w:sz w:val="21"/>
                <w:lang w:eastAsia="zh-CN"/>
              </w:rPr>
              <w:t>批</w:t>
            </w:r>
            <w:r>
              <w:rPr>
                <w:rFonts w:ascii="Times New Roman" w:hAnsi="Times New Roman" w:cs="Times New Roman"/>
                <w:b/>
                <w:bCs/>
                <w:color w:val="auto"/>
                <w:sz w:val="21"/>
              </w:rPr>
              <w:t>次时间(h)</w:t>
            </w:r>
          </w:p>
        </w:tc>
        <w:tc>
          <w:tcPr>
            <w:tcW w:w="0" w:type="auto"/>
            <w:vAlign w:val="center"/>
          </w:tcPr>
          <w:p w14:paraId="550B7A32">
            <w:pPr>
              <w:jc w:val="center"/>
              <w:rPr>
                <w:rFonts w:ascii="Times New Roman" w:hAnsi="Times New Roman" w:cs="Times New Roman"/>
                <w:b/>
                <w:bCs/>
                <w:color w:val="auto"/>
                <w:sz w:val="21"/>
              </w:rPr>
            </w:pPr>
            <w:r>
              <w:rPr>
                <w:rFonts w:ascii="Times New Roman" w:hAnsi="Times New Roman" w:cs="Times New Roman"/>
                <w:b/>
                <w:bCs/>
                <w:color w:val="auto"/>
                <w:sz w:val="21"/>
              </w:rPr>
              <w:t>每日生产时间</w:t>
            </w:r>
            <w:r>
              <w:rPr>
                <w:rFonts w:ascii="Times New Roman" w:hAnsi="Times New Roman" w:cs="Times New Roman"/>
                <w:b/>
                <w:bCs/>
                <w:color w:val="auto"/>
                <w:sz w:val="21"/>
                <w:lang w:eastAsia="zh-CN"/>
              </w:rPr>
              <w:t>（h）</w:t>
            </w:r>
          </w:p>
        </w:tc>
        <w:tc>
          <w:tcPr>
            <w:tcW w:w="0" w:type="auto"/>
            <w:vAlign w:val="center"/>
          </w:tcPr>
          <w:p w14:paraId="345BBC70">
            <w:pPr>
              <w:jc w:val="center"/>
              <w:rPr>
                <w:rFonts w:ascii="Times New Roman" w:hAnsi="Times New Roman" w:cs="Times New Roman"/>
                <w:b/>
                <w:bCs/>
                <w:color w:val="auto"/>
                <w:sz w:val="21"/>
              </w:rPr>
            </w:pPr>
            <w:r>
              <w:rPr>
                <w:rFonts w:ascii="Times New Roman" w:hAnsi="Times New Roman" w:cs="Times New Roman"/>
                <w:b/>
                <w:bCs/>
                <w:color w:val="auto"/>
                <w:sz w:val="21"/>
              </w:rPr>
              <w:t>年生产</w:t>
            </w:r>
            <w:r>
              <w:rPr>
                <w:rFonts w:hint="eastAsia" w:ascii="Times New Roman" w:hAnsi="Times New Roman" w:cs="Times New Roman"/>
                <w:b/>
                <w:bCs/>
                <w:color w:val="auto"/>
                <w:sz w:val="21"/>
                <w:lang w:eastAsia="zh-CN"/>
              </w:rPr>
              <w:t>批</w:t>
            </w:r>
            <w:r>
              <w:rPr>
                <w:rFonts w:ascii="Times New Roman" w:hAnsi="Times New Roman" w:cs="Times New Roman"/>
                <w:b/>
                <w:bCs/>
                <w:color w:val="auto"/>
                <w:sz w:val="21"/>
              </w:rPr>
              <w:t>数</w:t>
            </w:r>
          </w:p>
        </w:tc>
        <w:tc>
          <w:tcPr>
            <w:tcW w:w="0" w:type="auto"/>
            <w:vAlign w:val="center"/>
          </w:tcPr>
          <w:p w14:paraId="3E58DA39">
            <w:pPr>
              <w:jc w:val="center"/>
              <w:rPr>
                <w:rFonts w:ascii="Times New Roman" w:hAnsi="Times New Roman" w:cs="Times New Roman"/>
                <w:b/>
                <w:bCs/>
                <w:color w:val="auto"/>
                <w:sz w:val="21"/>
              </w:rPr>
            </w:pPr>
            <w:r>
              <w:rPr>
                <w:rFonts w:ascii="Times New Roman" w:hAnsi="Times New Roman" w:cs="Times New Roman"/>
                <w:b/>
                <w:bCs/>
                <w:color w:val="auto"/>
                <w:sz w:val="21"/>
              </w:rPr>
              <w:t>年生产时间(天)</w:t>
            </w:r>
          </w:p>
        </w:tc>
        <w:tc>
          <w:tcPr>
            <w:tcW w:w="0" w:type="auto"/>
            <w:vAlign w:val="center"/>
          </w:tcPr>
          <w:p w14:paraId="71B885C2">
            <w:pPr>
              <w:jc w:val="center"/>
              <w:rPr>
                <w:rFonts w:ascii="Times New Roman" w:hAnsi="Times New Roman" w:cs="Times New Roman"/>
                <w:b/>
                <w:bCs/>
                <w:color w:val="auto"/>
                <w:sz w:val="21"/>
              </w:rPr>
            </w:pPr>
            <w:r>
              <w:rPr>
                <w:rFonts w:ascii="Times New Roman" w:hAnsi="Times New Roman" w:cs="Times New Roman"/>
                <w:b/>
                <w:bCs/>
                <w:color w:val="auto"/>
                <w:sz w:val="21"/>
                <w:lang w:eastAsia="zh-CN"/>
              </w:rPr>
              <w:t>生产装置</w:t>
            </w:r>
            <w:r>
              <w:rPr>
                <w:rFonts w:ascii="Times New Roman" w:hAnsi="Times New Roman" w:cs="Times New Roman"/>
                <w:b/>
                <w:bCs/>
                <w:color w:val="auto"/>
                <w:sz w:val="21"/>
              </w:rPr>
              <w:t>产能(t/a)</w:t>
            </w:r>
          </w:p>
        </w:tc>
        <w:tc>
          <w:tcPr>
            <w:tcW w:w="0" w:type="auto"/>
            <w:vAlign w:val="center"/>
          </w:tcPr>
          <w:p w14:paraId="4EF06780">
            <w:pPr>
              <w:jc w:val="center"/>
              <w:rPr>
                <w:rFonts w:ascii="Times New Roman" w:hAnsi="Times New Roman" w:cs="Times New Roman"/>
                <w:b/>
                <w:bCs/>
                <w:color w:val="auto"/>
                <w:sz w:val="21"/>
              </w:rPr>
            </w:pPr>
            <w:r>
              <w:rPr>
                <w:rFonts w:ascii="Times New Roman" w:hAnsi="Times New Roman" w:cs="Times New Roman"/>
                <w:b/>
                <w:bCs/>
                <w:color w:val="auto"/>
                <w:sz w:val="21"/>
                <w:lang w:eastAsia="zh-CN"/>
              </w:rPr>
              <w:t>设计</w:t>
            </w:r>
            <w:r>
              <w:rPr>
                <w:rFonts w:ascii="Times New Roman" w:hAnsi="Times New Roman" w:cs="Times New Roman"/>
                <w:b/>
                <w:bCs/>
                <w:color w:val="auto"/>
                <w:sz w:val="21"/>
              </w:rPr>
              <w:t>产能(t/a)</w:t>
            </w:r>
          </w:p>
        </w:tc>
      </w:tr>
      <w:tr w14:paraId="5BA4B6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07091EA9">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化学纯氢氟酸</w:t>
            </w:r>
          </w:p>
        </w:tc>
        <w:tc>
          <w:tcPr>
            <w:tcW w:w="0" w:type="auto"/>
            <w:vAlign w:val="center"/>
          </w:tcPr>
          <w:p w14:paraId="03E9EC46">
            <w:pPr>
              <w:jc w:val="center"/>
              <w:rPr>
                <w:rFonts w:ascii="Times New Roman" w:hAnsi="Times New Roman" w:cs="Times New Roman"/>
                <w:color w:val="auto"/>
                <w:sz w:val="21"/>
                <w:lang w:eastAsia="zh-CN"/>
              </w:rPr>
            </w:pPr>
          </w:p>
        </w:tc>
        <w:tc>
          <w:tcPr>
            <w:tcW w:w="0" w:type="auto"/>
            <w:vAlign w:val="center"/>
          </w:tcPr>
          <w:p w14:paraId="4019F9B8">
            <w:pPr>
              <w:jc w:val="center"/>
              <w:rPr>
                <w:rFonts w:ascii="Times New Roman" w:hAnsi="Times New Roman" w:cs="Times New Roman"/>
                <w:color w:val="auto"/>
                <w:sz w:val="21"/>
                <w:lang w:eastAsia="zh-CN"/>
              </w:rPr>
            </w:pPr>
          </w:p>
        </w:tc>
        <w:tc>
          <w:tcPr>
            <w:tcW w:w="0" w:type="auto"/>
            <w:vAlign w:val="center"/>
          </w:tcPr>
          <w:p w14:paraId="40379255">
            <w:pPr>
              <w:jc w:val="center"/>
              <w:rPr>
                <w:rFonts w:ascii="Times New Roman" w:hAnsi="Times New Roman" w:cs="Times New Roman"/>
                <w:color w:val="auto"/>
                <w:sz w:val="21"/>
                <w:lang w:eastAsia="zh-CN"/>
              </w:rPr>
            </w:pPr>
          </w:p>
        </w:tc>
        <w:tc>
          <w:tcPr>
            <w:tcW w:w="0" w:type="auto"/>
            <w:vAlign w:val="center"/>
          </w:tcPr>
          <w:p w14:paraId="2EF5AECE">
            <w:pPr>
              <w:jc w:val="center"/>
              <w:rPr>
                <w:rFonts w:ascii="Times New Roman" w:hAnsi="Times New Roman" w:cs="Times New Roman"/>
                <w:color w:val="auto"/>
                <w:sz w:val="21"/>
                <w:lang w:eastAsia="zh-CN"/>
              </w:rPr>
            </w:pPr>
          </w:p>
        </w:tc>
        <w:tc>
          <w:tcPr>
            <w:tcW w:w="0" w:type="auto"/>
            <w:vAlign w:val="center"/>
          </w:tcPr>
          <w:p w14:paraId="223FEC34">
            <w:pPr>
              <w:jc w:val="center"/>
              <w:rPr>
                <w:rFonts w:ascii="Times New Roman" w:hAnsi="Times New Roman" w:cs="Times New Roman"/>
                <w:color w:val="auto"/>
                <w:sz w:val="21"/>
                <w:lang w:eastAsia="zh-CN"/>
              </w:rPr>
            </w:pPr>
          </w:p>
        </w:tc>
        <w:tc>
          <w:tcPr>
            <w:tcW w:w="0" w:type="auto"/>
            <w:vAlign w:val="center"/>
          </w:tcPr>
          <w:p w14:paraId="095558CA">
            <w:pPr>
              <w:jc w:val="center"/>
              <w:rPr>
                <w:rFonts w:ascii="Times New Roman" w:hAnsi="Times New Roman" w:cs="Times New Roman"/>
                <w:color w:val="auto"/>
                <w:sz w:val="21"/>
                <w:lang w:eastAsia="zh-CN"/>
              </w:rPr>
            </w:pPr>
          </w:p>
        </w:tc>
        <w:tc>
          <w:tcPr>
            <w:tcW w:w="0" w:type="auto"/>
            <w:vAlign w:val="center"/>
          </w:tcPr>
          <w:p w14:paraId="2A3C0551">
            <w:pPr>
              <w:jc w:val="center"/>
              <w:rPr>
                <w:rFonts w:ascii="Times New Roman" w:hAnsi="Times New Roman" w:cs="Times New Roman"/>
                <w:color w:val="auto"/>
                <w:sz w:val="21"/>
                <w:lang w:eastAsia="zh-CN"/>
              </w:rPr>
            </w:pPr>
          </w:p>
        </w:tc>
      </w:tr>
    </w:tbl>
    <w:p w14:paraId="2138502C">
      <w:pPr>
        <w:tabs>
          <w:tab w:val="left" w:pos="0"/>
        </w:tabs>
        <w:spacing w:line="360" w:lineRule="auto"/>
        <w:ind w:firstLine="482"/>
        <w:jc w:val="center"/>
        <w:rPr>
          <w:rFonts w:ascii="Times New Roman" w:hAnsi="Times New Roman" w:cs="Times New Roman"/>
          <w:b/>
          <w:color w:val="auto"/>
          <w:lang w:eastAsia="zh-CN"/>
        </w:rPr>
        <w:sectPr>
          <w:pgSz w:w="11906" w:h="16838"/>
          <w:pgMar w:top="1440" w:right="1080" w:bottom="1440" w:left="1080" w:header="851" w:footer="992" w:gutter="0"/>
          <w:cols w:space="720" w:num="1"/>
          <w:docGrid w:type="lines" w:linePitch="312" w:charSpace="0"/>
        </w:sectPr>
      </w:pPr>
    </w:p>
    <w:p w14:paraId="4250DA23">
      <w:pPr>
        <w:adjustRightInd w:val="0"/>
        <w:snapToGrid w:val="0"/>
        <w:spacing w:line="360" w:lineRule="auto"/>
        <w:ind w:firstLine="482" w:firstLineChars="200"/>
        <w:jc w:val="both"/>
        <w:outlineLvl w:val="3"/>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4.2.1.6 物料平衡表</w:t>
      </w:r>
    </w:p>
    <w:p w14:paraId="32CD37F9">
      <w:pPr>
        <w:spacing w:line="360" w:lineRule="auto"/>
        <w:ind w:firstLine="480" w:firstLineChars="200"/>
        <w:rPr>
          <w:rFonts w:ascii="Times New Roman" w:hAnsi="Times New Roman" w:cs="Times New Roman"/>
          <w:color w:val="auto"/>
          <w:lang w:eastAsia="zh-CN"/>
        </w:rPr>
      </w:pPr>
      <w:r>
        <w:rPr>
          <w:rFonts w:hint="eastAsia" w:ascii="Times New Roman" w:hAnsi="Times New Roman" w:cs="Times New Roman"/>
          <w:color w:val="auto"/>
          <w:lang w:eastAsia="zh-CN"/>
        </w:rPr>
        <w:t>化学纯氢氟酸</w:t>
      </w:r>
      <w:r>
        <w:rPr>
          <w:rFonts w:ascii="Times New Roman" w:hAnsi="Times New Roman" w:cs="Times New Roman"/>
          <w:color w:val="auto"/>
          <w:lang w:eastAsia="zh-CN"/>
        </w:rPr>
        <w:t>生产装置</w:t>
      </w:r>
      <w:r>
        <w:rPr>
          <w:rFonts w:ascii="Times New Roman" w:hAnsi="Times New Roman" w:cs="Times New Roman"/>
          <w:color w:val="auto"/>
          <w:lang w:val="zh-CN" w:eastAsia="zh-CN"/>
        </w:rPr>
        <w:t>物料平衡见下表。</w:t>
      </w:r>
    </w:p>
    <w:p w14:paraId="5FA704DD">
      <w:pPr>
        <w:spacing w:line="360" w:lineRule="auto"/>
        <w:jc w:val="center"/>
        <w:rPr>
          <w:rFonts w:ascii="Times New Roman" w:hAnsi="Times New Roman" w:cs="Times New Roman"/>
          <w:b/>
          <w:color w:val="auto"/>
          <w:lang w:eastAsia="zh-CN"/>
        </w:rPr>
      </w:pPr>
      <w:r>
        <w:rPr>
          <w:rFonts w:ascii="Times New Roman" w:hAnsi="Times New Roman" w:cs="Times New Roman"/>
          <w:b/>
          <w:color w:val="auto"/>
          <w:lang w:eastAsia="zh-CN"/>
        </w:rPr>
        <w:t xml:space="preserve">表4.2-5 </w:t>
      </w:r>
      <w:r>
        <w:rPr>
          <w:rFonts w:hint="eastAsia" w:ascii="Times New Roman" w:hAnsi="Times New Roman" w:cs="Times New Roman"/>
          <w:b/>
          <w:color w:val="auto"/>
          <w:lang w:eastAsia="zh-CN"/>
        </w:rPr>
        <w:t>化学纯氢氟酸</w:t>
      </w:r>
      <w:r>
        <w:rPr>
          <w:rFonts w:ascii="Times New Roman" w:hAnsi="Times New Roman" w:cs="Times New Roman"/>
          <w:b/>
          <w:color w:val="auto"/>
          <w:lang w:eastAsia="zh-CN"/>
        </w:rPr>
        <w:t>生产装置物料平衡表</w:t>
      </w:r>
    </w:p>
    <w:tbl>
      <w:tblPr>
        <w:tblStyle w:val="35"/>
        <w:tblW w:w="511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961"/>
        <w:gridCol w:w="849"/>
        <w:gridCol w:w="1135"/>
        <w:gridCol w:w="1157"/>
        <w:gridCol w:w="710"/>
        <w:gridCol w:w="851"/>
        <w:gridCol w:w="1087"/>
        <w:gridCol w:w="1111"/>
        <w:gridCol w:w="1109"/>
      </w:tblGrid>
      <w:tr w14:paraId="7BEFB7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559" w:type="pct"/>
            <w:gridSpan w:val="4"/>
            <w:vAlign w:val="center"/>
          </w:tcPr>
          <w:p w14:paraId="25728142">
            <w:pPr>
              <w:jc w:val="center"/>
              <w:rPr>
                <w:rFonts w:ascii="Times New Roman" w:hAnsi="Times New Roman" w:cs="Times New Roman"/>
                <w:b/>
                <w:bCs/>
                <w:color w:val="auto"/>
                <w:sz w:val="21"/>
              </w:rPr>
            </w:pPr>
            <w:r>
              <w:rPr>
                <w:rFonts w:ascii="Times New Roman" w:hAnsi="Times New Roman" w:cs="Times New Roman"/>
                <w:b/>
                <w:bCs/>
                <w:color w:val="auto"/>
                <w:sz w:val="21"/>
              </w:rPr>
              <w:t>投入物料</w:t>
            </w:r>
          </w:p>
        </w:tc>
        <w:tc>
          <w:tcPr>
            <w:tcW w:w="2441" w:type="pct"/>
            <w:gridSpan w:val="5"/>
            <w:vAlign w:val="center"/>
          </w:tcPr>
          <w:p w14:paraId="34D574D4">
            <w:pPr>
              <w:jc w:val="center"/>
              <w:rPr>
                <w:rFonts w:ascii="Times New Roman" w:hAnsi="Times New Roman" w:cs="Times New Roman"/>
                <w:b/>
                <w:bCs/>
                <w:color w:val="auto"/>
                <w:sz w:val="21"/>
              </w:rPr>
            </w:pPr>
            <w:r>
              <w:rPr>
                <w:rFonts w:ascii="Times New Roman" w:hAnsi="Times New Roman" w:cs="Times New Roman"/>
                <w:b/>
                <w:bCs/>
                <w:color w:val="auto"/>
                <w:sz w:val="21"/>
              </w:rPr>
              <w:t>产出物料</w:t>
            </w:r>
          </w:p>
        </w:tc>
      </w:tr>
      <w:tr w14:paraId="175B18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410" w:type="pct"/>
            <w:gridSpan w:val="2"/>
            <w:vMerge w:val="restart"/>
            <w:vAlign w:val="center"/>
          </w:tcPr>
          <w:p w14:paraId="1D6CB308">
            <w:pPr>
              <w:jc w:val="center"/>
              <w:rPr>
                <w:rFonts w:ascii="Times New Roman" w:hAnsi="Times New Roman" w:cs="Times New Roman"/>
                <w:b/>
                <w:bCs/>
                <w:color w:val="auto"/>
                <w:sz w:val="21"/>
              </w:rPr>
            </w:pPr>
            <w:r>
              <w:rPr>
                <w:rFonts w:ascii="Times New Roman" w:hAnsi="Times New Roman" w:cs="Times New Roman"/>
                <w:b/>
                <w:bCs/>
                <w:color w:val="auto"/>
                <w:sz w:val="21"/>
              </w:rPr>
              <w:t>物料名称</w:t>
            </w:r>
          </w:p>
        </w:tc>
        <w:tc>
          <w:tcPr>
            <w:tcW w:w="569" w:type="pct"/>
            <w:vAlign w:val="center"/>
          </w:tcPr>
          <w:p w14:paraId="6E1D01FC">
            <w:pPr>
              <w:jc w:val="center"/>
              <w:rPr>
                <w:rFonts w:ascii="Times New Roman" w:hAnsi="Times New Roman" w:cs="Times New Roman"/>
                <w:b/>
                <w:bCs/>
                <w:color w:val="auto"/>
                <w:sz w:val="21"/>
              </w:rPr>
            </w:pPr>
            <w:r>
              <w:rPr>
                <w:rFonts w:ascii="Times New Roman" w:hAnsi="Times New Roman" w:cs="Times New Roman"/>
                <w:b/>
                <w:bCs/>
                <w:color w:val="auto"/>
                <w:sz w:val="21"/>
              </w:rPr>
              <w:t>数量</w:t>
            </w:r>
          </w:p>
        </w:tc>
        <w:tc>
          <w:tcPr>
            <w:tcW w:w="579" w:type="pct"/>
            <w:vAlign w:val="center"/>
          </w:tcPr>
          <w:p w14:paraId="69E216B5">
            <w:pPr>
              <w:jc w:val="center"/>
              <w:rPr>
                <w:rFonts w:ascii="Times New Roman" w:hAnsi="Times New Roman" w:cs="Times New Roman"/>
                <w:b/>
                <w:bCs/>
                <w:color w:val="auto"/>
                <w:sz w:val="21"/>
              </w:rPr>
            </w:pPr>
            <w:r>
              <w:rPr>
                <w:rFonts w:ascii="Times New Roman" w:hAnsi="Times New Roman" w:cs="Times New Roman"/>
                <w:b/>
                <w:bCs/>
                <w:color w:val="auto"/>
                <w:sz w:val="21"/>
              </w:rPr>
              <w:t>数量</w:t>
            </w:r>
          </w:p>
        </w:tc>
        <w:tc>
          <w:tcPr>
            <w:tcW w:w="1328" w:type="pct"/>
            <w:gridSpan w:val="3"/>
            <w:vMerge w:val="restart"/>
            <w:vAlign w:val="center"/>
          </w:tcPr>
          <w:p w14:paraId="60F57625">
            <w:pPr>
              <w:jc w:val="center"/>
              <w:rPr>
                <w:rFonts w:ascii="Times New Roman" w:hAnsi="Times New Roman" w:cs="Times New Roman"/>
                <w:b/>
                <w:bCs/>
                <w:color w:val="auto"/>
                <w:sz w:val="21"/>
              </w:rPr>
            </w:pPr>
            <w:r>
              <w:rPr>
                <w:rFonts w:ascii="Times New Roman" w:hAnsi="Times New Roman" w:cs="Times New Roman"/>
                <w:b/>
                <w:bCs/>
                <w:color w:val="auto"/>
                <w:sz w:val="21"/>
              </w:rPr>
              <w:t>物料名称</w:t>
            </w:r>
          </w:p>
        </w:tc>
        <w:tc>
          <w:tcPr>
            <w:tcW w:w="557" w:type="pct"/>
            <w:vAlign w:val="center"/>
          </w:tcPr>
          <w:p w14:paraId="43C24E12">
            <w:pPr>
              <w:jc w:val="center"/>
              <w:rPr>
                <w:rFonts w:ascii="Times New Roman" w:hAnsi="Times New Roman" w:cs="Times New Roman"/>
                <w:b/>
                <w:bCs/>
                <w:color w:val="auto"/>
                <w:sz w:val="21"/>
              </w:rPr>
            </w:pPr>
            <w:r>
              <w:rPr>
                <w:rFonts w:ascii="Times New Roman" w:hAnsi="Times New Roman" w:cs="Times New Roman"/>
                <w:b/>
                <w:bCs/>
                <w:color w:val="auto"/>
                <w:sz w:val="21"/>
              </w:rPr>
              <w:t>数量</w:t>
            </w:r>
          </w:p>
        </w:tc>
        <w:tc>
          <w:tcPr>
            <w:tcW w:w="556" w:type="pct"/>
            <w:vAlign w:val="center"/>
          </w:tcPr>
          <w:p w14:paraId="1039E035">
            <w:pPr>
              <w:jc w:val="center"/>
              <w:rPr>
                <w:rFonts w:ascii="Times New Roman" w:hAnsi="Times New Roman" w:cs="Times New Roman"/>
                <w:b/>
                <w:bCs/>
                <w:color w:val="auto"/>
                <w:sz w:val="21"/>
              </w:rPr>
            </w:pPr>
            <w:r>
              <w:rPr>
                <w:rFonts w:ascii="Times New Roman" w:hAnsi="Times New Roman" w:cs="Times New Roman"/>
                <w:b/>
                <w:bCs/>
                <w:color w:val="auto"/>
                <w:sz w:val="21"/>
              </w:rPr>
              <w:t>数量</w:t>
            </w:r>
          </w:p>
        </w:tc>
      </w:tr>
      <w:tr w14:paraId="4CAAF9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410" w:type="pct"/>
            <w:gridSpan w:val="2"/>
            <w:vMerge w:val="continue"/>
            <w:vAlign w:val="center"/>
          </w:tcPr>
          <w:p w14:paraId="2278599E">
            <w:pPr>
              <w:jc w:val="center"/>
              <w:rPr>
                <w:rFonts w:ascii="Times New Roman" w:hAnsi="Times New Roman" w:cs="Times New Roman"/>
                <w:b/>
                <w:bCs/>
                <w:color w:val="auto"/>
                <w:sz w:val="21"/>
              </w:rPr>
            </w:pPr>
          </w:p>
        </w:tc>
        <w:tc>
          <w:tcPr>
            <w:tcW w:w="569" w:type="pct"/>
            <w:vAlign w:val="center"/>
          </w:tcPr>
          <w:p w14:paraId="7E12C12F">
            <w:pPr>
              <w:jc w:val="center"/>
              <w:rPr>
                <w:rFonts w:ascii="Times New Roman" w:hAnsi="Times New Roman" w:cs="Times New Roman"/>
                <w:b/>
                <w:bCs/>
                <w:color w:val="auto"/>
                <w:sz w:val="21"/>
                <w:lang w:eastAsia="zh-CN"/>
              </w:rPr>
            </w:pPr>
            <w:r>
              <w:rPr>
                <w:rFonts w:ascii="Times New Roman" w:hAnsi="Times New Roman" w:cs="Times New Roman"/>
                <w:b/>
                <w:bCs/>
                <w:color w:val="auto"/>
                <w:sz w:val="21"/>
              </w:rPr>
              <w:t>kg/</w:t>
            </w:r>
            <w:r>
              <w:rPr>
                <w:rFonts w:hint="eastAsia" w:ascii="Times New Roman" w:hAnsi="Times New Roman" w:cs="Times New Roman"/>
                <w:b/>
                <w:bCs/>
                <w:color w:val="auto"/>
                <w:sz w:val="21"/>
                <w:lang w:eastAsia="zh-CN"/>
              </w:rPr>
              <w:t>批</w:t>
            </w:r>
          </w:p>
        </w:tc>
        <w:tc>
          <w:tcPr>
            <w:tcW w:w="579" w:type="pct"/>
            <w:vAlign w:val="center"/>
          </w:tcPr>
          <w:p w14:paraId="308A3085">
            <w:pPr>
              <w:jc w:val="center"/>
              <w:rPr>
                <w:rFonts w:ascii="Times New Roman" w:hAnsi="Times New Roman" w:cs="Times New Roman"/>
                <w:b/>
                <w:bCs/>
                <w:color w:val="auto"/>
                <w:sz w:val="21"/>
              </w:rPr>
            </w:pPr>
            <w:r>
              <w:rPr>
                <w:rFonts w:ascii="Times New Roman" w:hAnsi="Times New Roman" w:cs="Times New Roman"/>
                <w:b/>
                <w:bCs/>
                <w:color w:val="auto"/>
                <w:sz w:val="21"/>
              </w:rPr>
              <w:t>t/a</w:t>
            </w:r>
          </w:p>
        </w:tc>
        <w:tc>
          <w:tcPr>
            <w:tcW w:w="1328" w:type="pct"/>
            <w:gridSpan w:val="3"/>
            <w:vMerge w:val="continue"/>
            <w:vAlign w:val="center"/>
          </w:tcPr>
          <w:p w14:paraId="4447F777">
            <w:pPr>
              <w:jc w:val="center"/>
              <w:rPr>
                <w:rFonts w:ascii="Times New Roman" w:hAnsi="Times New Roman" w:cs="Times New Roman"/>
                <w:b/>
                <w:bCs/>
                <w:color w:val="auto"/>
                <w:sz w:val="21"/>
              </w:rPr>
            </w:pPr>
          </w:p>
        </w:tc>
        <w:tc>
          <w:tcPr>
            <w:tcW w:w="557" w:type="pct"/>
            <w:vAlign w:val="center"/>
          </w:tcPr>
          <w:p w14:paraId="17ED5D2F">
            <w:pPr>
              <w:jc w:val="center"/>
              <w:rPr>
                <w:rFonts w:ascii="Times New Roman" w:hAnsi="Times New Roman" w:cs="Times New Roman"/>
                <w:b/>
                <w:bCs/>
                <w:color w:val="auto"/>
                <w:sz w:val="21"/>
                <w:lang w:eastAsia="zh-CN"/>
              </w:rPr>
            </w:pPr>
            <w:r>
              <w:rPr>
                <w:rFonts w:ascii="Times New Roman" w:hAnsi="Times New Roman" w:cs="Times New Roman"/>
                <w:b/>
                <w:bCs/>
                <w:color w:val="auto"/>
                <w:sz w:val="21"/>
              </w:rPr>
              <w:t>kg/</w:t>
            </w:r>
            <w:r>
              <w:rPr>
                <w:rFonts w:hint="eastAsia" w:ascii="Times New Roman" w:hAnsi="Times New Roman" w:cs="Times New Roman"/>
                <w:b/>
                <w:bCs/>
                <w:color w:val="auto"/>
                <w:sz w:val="21"/>
                <w:lang w:eastAsia="zh-CN"/>
              </w:rPr>
              <w:t>批</w:t>
            </w:r>
          </w:p>
        </w:tc>
        <w:tc>
          <w:tcPr>
            <w:tcW w:w="556" w:type="pct"/>
            <w:vAlign w:val="center"/>
          </w:tcPr>
          <w:p w14:paraId="081C9C75">
            <w:pPr>
              <w:jc w:val="center"/>
              <w:rPr>
                <w:rFonts w:ascii="Times New Roman" w:hAnsi="Times New Roman" w:cs="Times New Roman"/>
                <w:b/>
                <w:bCs/>
                <w:color w:val="auto"/>
                <w:sz w:val="21"/>
              </w:rPr>
            </w:pPr>
            <w:r>
              <w:rPr>
                <w:rFonts w:ascii="Times New Roman" w:hAnsi="Times New Roman" w:cs="Times New Roman"/>
                <w:b/>
                <w:bCs/>
                <w:color w:val="auto"/>
                <w:sz w:val="21"/>
              </w:rPr>
              <w:t>t/a</w:t>
            </w:r>
          </w:p>
        </w:tc>
      </w:tr>
      <w:tr w14:paraId="014145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84" w:type="pct"/>
            <w:vMerge w:val="restart"/>
            <w:vAlign w:val="center"/>
          </w:tcPr>
          <w:p w14:paraId="360471ED">
            <w:pPr>
              <w:jc w:val="center"/>
              <w:rPr>
                <w:rFonts w:ascii="Times New Roman" w:hAnsi="Times New Roman" w:cs="Times New Roman"/>
                <w:color w:val="auto"/>
                <w:sz w:val="21"/>
              </w:rPr>
            </w:pPr>
          </w:p>
        </w:tc>
        <w:tc>
          <w:tcPr>
            <w:tcW w:w="426" w:type="pct"/>
            <w:vAlign w:val="center"/>
          </w:tcPr>
          <w:p w14:paraId="63936BC2">
            <w:pPr>
              <w:jc w:val="center"/>
              <w:rPr>
                <w:rFonts w:ascii="Times New Roman" w:hAnsi="Times New Roman" w:cs="Times New Roman"/>
                <w:color w:val="auto"/>
                <w:sz w:val="21"/>
              </w:rPr>
            </w:pPr>
          </w:p>
        </w:tc>
        <w:tc>
          <w:tcPr>
            <w:tcW w:w="569" w:type="pct"/>
            <w:vAlign w:val="center"/>
          </w:tcPr>
          <w:p w14:paraId="2999E970">
            <w:pPr>
              <w:jc w:val="center"/>
              <w:rPr>
                <w:rFonts w:ascii="Times New Roman" w:hAnsi="Times New Roman" w:cs="Times New Roman"/>
                <w:color w:val="auto"/>
                <w:sz w:val="21"/>
                <w:lang w:eastAsia="zh-CN"/>
              </w:rPr>
            </w:pPr>
          </w:p>
        </w:tc>
        <w:tc>
          <w:tcPr>
            <w:tcW w:w="579" w:type="pct"/>
            <w:vAlign w:val="center"/>
          </w:tcPr>
          <w:p w14:paraId="109D401D">
            <w:pPr>
              <w:jc w:val="center"/>
              <w:rPr>
                <w:rFonts w:ascii="Times New Roman" w:hAnsi="Times New Roman" w:cs="Times New Roman"/>
                <w:color w:val="auto"/>
                <w:sz w:val="21"/>
                <w:lang w:eastAsia="zh-CN"/>
              </w:rPr>
            </w:pPr>
          </w:p>
        </w:tc>
        <w:tc>
          <w:tcPr>
            <w:tcW w:w="1328" w:type="pct"/>
            <w:gridSpan w:val="3"/>
            <w:vAlign w:val="center"/>
          </w:tcPr>
          <w:p w14:paraId="5A9E6DB1">
            <w:pPr>
              <w:jc w:val="center"/>
              <w:rPr>
                <w:rFonts w:ascii="Times New Roman" w:hAnsi="Times New Roman" w:cs="Times New Roman"/>
                <w:color w:val="auto"/>
                <w:sz w:val="21"/>
                <w:lang w:eastAsia="zh-CN"/>
              </w:rPr>
            </w:pPr>
          </w:p>
        </w:tc>
        <w:tc>
          <w:tcPr>
            <w:tcW w:w="557" w:type="pct"/>
            <w:vAlign w:val="center"/>
          </w:tcPr>
          <w:p w14:paraId="0AE31551">
            <w:pPr>
              <w:jc w:val="center"/>
              <w:rPr>
                <w:rFonts w:ascii="Times New Roman" w:hAnsi="Times New Roman" w:cs="Times New Roman"/>
                <w:color w:val="auto"/>
                <w:sz w:val="21"/>
                <w:lang w:eastAsia="zh-CN"/>
              </w:rPr>
            </w:pPr>
          </w:p>
        </w:tc>
        <w:tc>
          <w:tcPr>
            <w:tcW w:w="556" w:type="pct"/>
            <w:vAlign w:val="center"/>
          </w:tcPr>
          <w:p w14:paraId="44B57B20">
            <w:pPr>
              <w:jc w:val="center"/>
              <w:rPr>
                <w:rFonts w:ascii="Times New Roman" w:hAnsi="Times New Roman" w:cs="Times New Roman"/>
                <w:color w:val="auto"/>
                <w:sz w:val="21"/>
                <w:lang w:eastAsia="zh-CN"/>
              </w:rPr>
            </w:pPr>
          </w:p>
        </w:tc>
      </w:tr>
      <w:tr w14:paraId="67DE92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84" w:type="pct"/>
            <w:vMerge w:val="continue"/>
            <w:vAlign w:val="center"/>
          </w:tcPr>
          <w:p w14:paraId="289B83D5">
            <w:pPr>
              <w:jc w:val="center"/>
              <w:rPr>
                <w:rFonts w:ascii="Times New Roman" w:hAnsi="Times New Roman" w:cs="Times New Roman"/>
                <w:color w:val="auto"/>
                <w:sz w:val="21"/>
              </w:rPr>
            </w:pPr>
          </w:p>
        </w:tc>
        <w:tc>
          <w:tcPr>
            <w:tcW w:w="426" w:type="pct"/>
            <w:vAlign w:val="center"/>
          </w:tcPr>
          <w:p w14:paraId="711D5B9E">
            <w:pPr>
              <w:jc w:val="center"/>
              <w:rPr>
                <w:rFonts w:ascii="Times New Roman" w:hAnsi="Times New Roman" w:cs="Times New Roman"/>
                <w:color w:val="auto"/>
                <w:sz w:val="21"/>
              </w:rPr>
            </w:pPr>
          </w:p>
        </w:tc>
        <w:tc>
          <w:tcPr>
            <w:tcW w:w="569" w:type="pct"/>
            <w:vAlign w:val="center"/>
          </w:tcPr>
          <w:p w14:paraId="0E50A30E">
            <w:pPr>
              <w:jc w:val="center"/>
              <w:rPr>
                <w:rFonts w:ascii="Times New Roman" w:hAnsi="Times New Roman" w:cs="Times New Roman"/>
                <w:color w:val="auto"/>
                <w:sz w:val="21"/>
                <w:lang w:eastAsia="zh-CN"/>
              </w:rPr>
            </w:pPr>
          </w:p>
        </w:tc>
        <w:tc>
          <w:tcPr>
            <w:tcW w:w="579" w:type="pct"/>
            <w:vAlign w:val="center"/>
          </w:tcPr>
          <w:p w14:paraId="468BFDDE">
            <w:pPr>
              <w:jc w:val="center"/>
              <w:rPr>
                <w:rFonts w:ascii="Times New Roman" w:hAnsi="Times New Roman" w:cs="Times New Roman"/>
                <w:color w:val="auto"/>
                <w:sz w:val="21"/>
                <w:lang w:eastAsia="zh-CN"/>
              </w:rPr>
            </w:pPr>
          </w:p>
        </w:tc>
        <w:tc>
          <w:tcPr>
            <w:tcW w:w="356" w:type="pct"/>
            <w:vMerge w:val="restart"/>
            <w:vAlign w:val="center"/>
          </w:tcPr>
          <w:p w14:paraId="53ED393F">
            <w:pPr>
              <w:jc w:val="center"/>
              <w:rPr>
                <w:rFonts w:ascii="Times New Roman" w:hAnsi="Times New Roman" w:cs="Times New Roman"/>
                <w:color w:val="auto"/>
                <w:sz w:val="21"/>
              </w:rPr>
            </w:pPr>
          </w:p>
        </w:tc>
        <w:tc>
          <w:tcPr>
            <w:tcW w:w="427" w:type="pct"/>
            <w:vAlign w:val="center"/>
          </w:tcPr>
          <w:p w14:paraId="4EB9FE00">
            <w:pPr>
              <w:jc w:val="center"/>
              <w:rPr>
                <w:rFonts w:ascii="Times New Roman" w:hAnsi="Times New Roman" w:cs="Times New Roman"/>
                <w:color w:val="auto"/>
                <w:sz w:val="21"/>
              </w:rPr>
            </w:pPr>
          </w:p>
        </w:tc>
        <w:tc>
          <w:tcPr>
            <w:tcW w:w="545" w:type="pct"/>
            <w:vAlign w:val="center"/>
          </w:tcPr>
          <w:p w14:paraId="50523737">
            <w:pPr>
              <w:jc w:val="center"/>
              <w:rPr>
                <w:rFonts w:ascii="Times New Roman" w:hAnsi="Times New Roman" w:cs="Times New Roman"/>
                <w:color w:val="auto"/>
                <w:sz w:val="21"/>
              </w:rPr>
            </w:pPr>
          </w:p>
        </w:tc>
        <w:tc>
          <w:tcPr>
            <w:tcW w:w="557" w:type="pct"/>
            <w:vAlign w:val="center"/>
          </w:tcPr>
          <w:p w14:paraId="7D1D246D">
            <w:pPr>
              <w:jc w:val="center"/>
              <w:rPr>
                <w:rFonts w:ascii="Times New Roman" w:hAnsi="Times New Roman" w:cs="Times New Roman"/>
                <w:color w:val="auto"/>
                <w:sz w:val="21"/>
                <w:lang w:eastAsia="zh-CN"/>
              </w:rPr>
            </w:pPr>
          </w:p>
        </w:tc>
        <w:tc>
          <w:tcPr>
            <w:tcW w:w="556" w:type="pct"/>
            <w:vAlign w:val="center"/>
          </w:tcPr>
          <w:p w14:paraId="620B5591">
            <w:pPr>
              <w:jc w:val="center"/>
              <w:rPr>
                <w:rFonts w:ascii="Times New Roman" w:hAnsi="Times New Roman" w:cs="Times New Roman"/>
                <w:color w:val="auto"/>
                <w:sz w:val="21"/>
                <w:lang w:eastAsia="zh-CN"/>
              </w:rPr>
            </w:pPr>
          </w:p>
        </w:tc>
      </w:tr>
      <w:tr w14:paraId="58CE1C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84" w:type="pct"/>
            <w:vAlign w:val="center"/>
          </w:tcPr>
          <w:p w14:paraId="6ECF47BF">
            <w:pPr>
              <w:jc w:val="center"/>
              <w:rPr>
                <w:rFonts w:ascii="Times New Roman" w:hAnsi="Times New Roman" w:cs="Times New Roman"/>
                <w:color w:val="auto"/>
                <w:sz w:val="21"/>
              </w:rPr>
            </w:pPr>
          </w:p>
        </w:tc>
        <w:tc>
          <w:tcPr>
            <w:tcW w:w="426" w:type="pct"/>
            <w:vAlign w:val="center"/>
          </w:tcPr>
          <w:p w14:paraId="210054A3">
            <w:pPr>
              <w:jc w:val="center"/>
              <w:rPr>
                <w:rFonts w:ascii="Times New Roman" w:hAnsi="Times New Roman" w:cs="Times New Roman"/>
                <w:color w:val="auto"/>
                <w:sz w:val="21"/>
              </w:rPr>
            </w:pPr>
          </w:p>
        </w:tc>
        <w:tc>
          <w:tcPr>
            <w:tcW w:w="569" w:type="pct"/>
            <w:vAlign w:val="center"/>
          </w:tcPr>
          <w:p w14:paraId="24BBBA92">
            <w:pPr>
              <w:jc w:val="center"/>
              <w:rPr>
                <w:rFonts w:ascii="Times New Roman" w:hAnsi="Times New Roman" w:cs="Times New Roman"/>
                <w:color w:val="auto"/>
                <w:sz w:val="21"/>
                <w:lang w:eastAsia="zh-CN"/>
              </w:rPr>
            </w:pPr>
          </w:p>
        </w:tc>
        <w:tc>
          <w:tcPr>
            <w:tcW w:w="579" w:type="pct"/>
            <w:vAlign w:val="center"/>
          </w:tcPr>
          <w:p w14:paraId="50F14635">
            <w:pPr>
              <w:jc w:val="center"/>
              <w:rPr>
                <w:rFonts w:ascii="Times New Roman" w:hAnsi="Times New Roman" w:cs="Times New Roman"/>
                <w:color w:val="auto"/>
                <w:sz w:val="21"/>
                <w:lang w:eastAsia="zh-CN"/>
              </w:rPr>
            </w:pPr>
          </w:p>
        </w:tc>
        <w:tc>
          <w:tcPr>
            <w:tcW w:w="356" w:type="pct"/>
            <w:vMerge w:val="continue"/>
            <w:vAlign w:val="center"/>
          </w:tcPr>
          <w:p w14:paraId="73703643">
            <w:pPr>
              <w:jc w:val="center"/>
              <w:rPr>
                <w:rFonts w:ascii="Times New Roman" w:hAnsi="Times New Roman" w:cs="Times New Roman"/>
                <w:color w:val="auto"/>
                <w:sz w:val="21"/>
              </w:rPr>
            </w:pPr>
          </w:p>
        </w:tc>
        <w:tc>
          <w:tcPr>
            <w:tcW w:w="427" w:type="pct"/>
            <w:vAlign w:val="center"/>
          </w:tcPr>
          <w:p w14:paraId="32DEA1F3">
            <w:pPr>
              <w:jc w:val="center"/>
              <w:rPr>
                <w:rFonts w:ascii="Times New Roman" w:hAnsi="Times New Roman" w:cs="Times New Roman"/>
                <w:color w:val="auto"/>
                <w:sz w:val="21"/>
                <w:lang w:eastAsia="zh-CN"/>
              </w:rPr>
            </w:pPr>
          </w:p>
        </w:tc>
        <w:tc>
          <w:tcPr>
            <w:tcW w:w="545" w:type="pct"/>
            <w:vAlign w:val="center"/>
          </w:tcPr>
          <w:p w14:paraId="21F7B9A0">
            <w:pPr>
              <w:jc w:val="center"/>
              <w:rPr>
                <w:rFonts w:ascii="Times New Roman" w:hAnsi="Times New Roman" w:cs="Times New Roman"/>
                <w:color w:val="auto"/>
                <w:sz w:val="21"/>
              </w:rPr>
            </w:pPr>
          </w:p>
        </w:tc>
        <w:tc>
          <w:tcPr>
            <w:tcW w:w="557" w:type="pct"/>
            <w:vAlign w:val="center"/>
          </w:tcPr>
          <w:p w14:paraId="3798FA81">
            <w:pPr>
              <w:jc w:val="center"/>
              <w:rPr>
                <w:rFonts w:ascii="Times New Roman" w:hAnsi="Times New Roman" w:cs="Times New Roman"/>
                <w:color w:val="auto"/>
                <w:sz w:val="21"/>
                <w:lang w:eastAsia="zh-CN"/>
              </w:rPr>
            </w:pPr>
          </w:p>
        </w:tc>
        <w:tc>
          <w:tcPr>
            <w:tcW w:w="556" w:type="pct"/>
            <w:vAlign w:val="center"/>
          </w:tcPr>
          <w:p w14:paraId="02CEF65E">
            <w:pPr>
              <w:jc w:val="center"/>
              <w:rPr>
                <w:rFonts w:ascii="Times New Roman" w:hAnsi="Times New Roman" w:cs="Times New Roman"/>
                <w:color w:val="auto"/>
                <w:sz w:val="21"/>
                <w:lang w:eastAsia="zh-CN"/>
              </w:rPr>
            </w:pPr>
          </w:p>
        </w:tc>
      </w:tr>
      <w:tr w14:paraId="3FBF99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84" w:type="pct"/>
            <w:vMerge w:val="restart"/>
            <w:vAlign w:val="center"/>
          </w:tcPr>
          <w:p w14:paraId="59FDBA23">
            <w:pPr>
              <w:jc w:val="center"/>
              <w:rPr>
                <w:rFonts w:ascii="Times New Roman" w:hAnsi="Times New Roman" w:cs="Times New Roman"/>
                <w:color w:val="auto"/>
                <w:sz w:val="21"/>
                <w:lang w:eastAsia="zh-CN"/>
              </w:rPr>
            </w:pPr>
          </w:p>
        </w:tc>
        <w:tc>
          <w:tcPr>
            <w:tcW w:w="426" w:type="pct"/>
            <w:vAlign w:val="center"/>
          </w:tcPr>
          <w:p w14:paraId="75DAAD19">
            <w:pPr>
              <w:jc w:val="center"/>
              <w:rPr>
                <w:rFonts w:ascii="Times New Roman" w:hAnsi="Times New Roman" w:cs="Times New Roman"/>
                <w:color w:val="auto"/>
                <w:sz w:val="21"/>
                <w:lang w:eastAsia="zh-CN"/>
              </w:rPr>
            </w:pPr>
          </w:p>
        </w:tc>
        <w:tc>
          <w:tcPr>
            <w:tcW w:w="569" w:type="pct"/>
            <w:vAlign w:val="center"/>
          </w:tcPr>
          <w:p w14:paraId="612F96DC">
            <w:pPr>
              <w:jc w:val="center"/>
              <w:rPr>
                <w:rFonts w:ascii="Times New Roman" w:hAnsi="Times New Roman" w:cs="Times New Roman"/>
                <w:color w:val="auto"/>
                <w:sz w:val="21"/>
                <w:lang w:eastAsia="zh-CN"/>
              </w:rPr>
            </w:pPr>
          </w:p>
        </w:tc>
        <w:tc>
          <w:tcPr>
            <w:tcW w:w="579" w:type="pct"/>
            <w:vAlign w:val="center"/>
          </w:tcPr>
          <w:p w14:paraId="79BB5CA5">
            <w:pPr>
              <w:jc w:val="center"/>
              <w:rPr>
                <w:rFonts w:ascii="Times New Roman" w:hAnsi="Times New Roman" w:cs="Times New Roman"/>
                <w:color w:val="auto"/>
                <w:sz w:val="21"/>
                <w:lang w:eastAsia="zh-CN"/>
              </w:rPr>
            </w:pPr>
          </w:p>
        </w:tc>
        <w:tc>
          <w:tcPr>
            <w:tcW w:w="356" w:type="pct"/>
            <w:vMerge w:val="continue"/>
            <w:vAlign w:val="center"/>
          </w:tcPr>
          <w:p w14:paraId="1C954953">
            <w:pPr>
              <w:jc w:val="center"/>
              <w:rPr>
                <w:rFonts w:ascii="Times New Roman" w:hAnsi="Times New Roman" w:cs="Times New Roman"/>
                <w:color w:val="auto"/>
                <w:sz w:val="21"/>
                <w:lang w:eastAsia="zh-CN"/>
              </w:rPr>
            </w:pPr>
          </w:p>
        </w:tc>
        <w:tc>
          <w:tcPr>
            <w:tcW w:w="427" w:type="pct"/>
            <w:vAlign w:val="center"/>
          </w:tcPr>
          <w:p w14:paraId="262AC507">
            <w:pPr>
              <w:jc w:val="center"/>
              <w:rPr>
                <w:rFonts w:ascii="Times New Roman" w:hAnsi="Times New Roman" w:cs="Times New Roman"/>
                <w:color w:val="auto"/>
                <w:sz w:val="21"/>
              </w:rPr>
            </w:pPr>
          </w:p>
        </w:tc>
        <w:tc>
          <w:tcPr>
            <w:tcW w:w="545" w:type="pct"/>
            <w:vAlign w:val="center"/>
          </w:tcPr>
          <w:p w14:paraId="51D56925">
            <w:pPr>
              <w:jc w:val="center"/>
              <w:rPr>
                <w:rFonts w:ascii="Times New Roman" w:hAnsi="Times New Roman" w:cs="Times New Roman"/>
                <w:color w:val="auto"/>
                <w:sz w:val="21"/>
              </w:rPr>
            </w:pPr>
          </w:p>
        </w:tc>
        <w:tc>
          <w:tcPr>
            <w:tcW w:w="557" w:type="pct"/>
            <w:vAlign w:val="center"/>
          </w:tcPr>
          <w:p w14:paraId="032F94D9">
            <w:pPr>
              <w:jc w:val="center"/>
              <w:rPr>
                <w:rFonts w:ascii="Times New Roman" w:hAnsi="Times New Roman" w:cs="Times New Roman"/>
                <w:color w:val="auto"/>
                <w:sz w:val="21"/>
                <w:lang w:eastAsia="zh-CN"/>
              </w:rPr>
            </w:pPr>
          </w:p>
        </w:tc>
        <w:tc>
          <w:tcPr>
            <w:tcW w:w="556" w:type="pct"/>
            <w:vAlign w:val="center"/>
          </w:tcPr>
          <w:p w14:paraId="536E0B98">
            <w:pPr>
              <w:jc w:val="center"/>
              <w:rPr>
                <w:rFonts w:ascii="Times New Roman" w:hAnsi="Times New Roman" w:cs="Times New Roman"/>
                <w:color w:val="auto"/>
                <w:sz w:val="21"/>
                <w:lang w:eastAsia="zh-CN"/>
              </w:rPr>
            </w:pPr>
          </w:p>
        </w:tc>
      </w:tr>
      <w:tr w14:paraId="6E2C77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84" w:type="pct"/>
            <w:vMerge w:val="continue"/>
            <w:vAlign w:val="center"/>
          </w:tcPr>
          <w:p w14:paraId="31D042CE">
            <w:pPr>
              <w:jc w:val="center"/>
              <w:rPr>
                <w:rFonts w:ascii="Times New Roman" w:hAnsi="Times New Roman" w:cs="Times New Roman"/>
                <w:color w:val="auto"/>
                <w:sz w:val="21"/>
                <w:lang w:eastAsia="zh-CN"/>
              </w:rPr>
            </w:pPr>
          </w:p>
        </w:tc>
        <w:tc>
          <w:tcPr>
            <w:tcW w:w="426" w:type="pct"/>
            <w:vAlign w:val="center"/>
          </w:tcPr>
          <w:p w14:paraId="1D9FAFE8">
            <w:pPr>
              <w:jc w:val="center"/>
              <w:rPr>
                <w:rFonts w:ascii="Times New Roman" w:hAnsi="Times New Roman" w:cs="Times New Roman"/>
                <w:color w:val="auto"/>
                <w:sz w:val="21"/>
              </w:rPr>
            </w:pPr>
          </w:p>
        </w:tc>
        <w:tc>
          <w:tcPr>
            <w:tcW w:w="569" w:type="pct"/>
            <w:vAlign w:val="center"/>
          </w:tcPr>
          <w:p w14:paraId="122C0D4F">
            <w:pPr>
              <w:jc w:val="center"/>
              <w:rPr>
                <w:rFonts w:ascii="Times New Roman" w:hAnsi="Times New Roman" w:cs="Times New Roman"/>
                <w:color w:val="auto"/>
                <w:sz w:val="21"/>
                <w:lang w:eastAsia="zh-CN"/>
              </w:rPr>
            </w:pPr>
          </w:p>
        </w:tc>
        <w:tc>
          <w:tcPr>
            <w:tcW w:w="579" w:type="pct"/>
            <w:vAlign w:val="center"/>
          </w:tcPr>
          <w:p w14:paraId="3F0741C0">
            <w:pPr>
              <w:jc w:val="center"/>
              <w:rPr>
                <w:rFonts w:ascii="Times New Roman" w:hAnsi="Times New Roman" w:cs="Times New Roman"/>
                <w:color w:val="auto"/>
                <w:sz w:val="21"/>
                <w:lang w:eastAsia="zh-CN"/>
              </w:rPr>
            </w:pPr>
          </w:p>
        </w:tc>
        <w:tc>
          <w:tcPr>
            <w:tcW w:w="356" w:type="pct"/>
            <w:vMerge w:val="continue"/>
            <w:vAlign w:val="center"/>
          </w:tcPr>
          <w:p w14:paraId="7F79A848">
            <w:pPr>
              <w:jc w:val="center"/>
              <w:rPr>
                <w:rFonts w:ascii="Times New Roman" w:hAnsi="Times New Roman" w:cs="Times New Roman"/>
                <w:color w:val="auto"/>
                <w:sz w:val="21"/>
                <w:lang w:eastAsia="zh-CN"/>
              </w:rPr>
            </w:pPr>
          </w:p>
        </w:tc>
        <w:tc>
          <w:tcPr>
            <w:tcW w:w="427" w:type="pct"/>
            <w:vAlign w:val="center"/>
          </w:tcPr>
          <w:p w14:paraId="7939BFA0">
            <w:pPr>
              <w:jc w:val="center"/>
              <w:rPr>
                <w:rFonts w:ascii="Times New Roman" w:hAnsi="Times New Roman" w:cs="Times New Roman"/>
                <w:color w:val="auto"/>
                <w:sz w:val="21"/>
                <w:lang w:eastAsia="zh-CN"/>
              </w:rPr>
            </w:pPr>
          </w:p>
        </w:tc>
        <w:tc>
          <w:tcPr>
            <w:tcW w:w="545" w:type="pct"/>
            <w:vAlign w:val="center"/>
          </w:tcPr>
          <w:p w14:paraId="37794580">
            <w:pPr>
              <w:jc w:val="center"/>
              <w:rPr>
                <w:rFonts w:ascii="Times New Roman" w:hAnsi="Times New Roman" w:cs="Times New Roman"/>
                <w:color w:val="auto"/>
                <w:sz w:val="21"/>
              </w:rPr>
            </w:pPr>
          </w:p>
        </w:tc>
        <w:tc>
          <w:tcPr>
            <w:tcW w:w="557" w:type="pct"/>
            <w:vAlign w:val="center"/>
          </w:tcPr>
          <w:p w14:paraId="426C1A63">
            <w:pPr>
              <w:jc w:val="center"/>
              <w:rPr>
                <w:rFonts w:ascii="Times New Roman" w:hAnsi="Times New Roman" w:cs="Times New Roman"/>
                <w:color w:val="auto"/>
                <w:sz w:val="21"/>
                <w:lang w:eastAsia="zh-CN"/>
              </w:rPr>
            </w:pPr>
          </w:p>
        </w:tc>
        <w:tc>
          <w:tcPr>
            <w:tcW w:w="556" w:type="pct"/>
            <w:vAlign w:val="center"/>
          </w:tcPr>
          <w:p w14:paraId="483D2E77">
            <w:pPr>
              <w:jc w:val="center"/>
              <w:rPr>
                <w:rFonts w:ascii="Times New Roman" w:hAnsi="Times New Roman" w:cs="Times New Roman"/>
                <w:color w:val="auto"/>
                <w:sz w:val="21"/>
                <w:lang w:eastAsia="zh-CN"/>
              </w:rPr>
            </w:pPr>
          </w:p>
        </w:tc>
      </w:tr>
      <w:tr w14:paraId="46E222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410" w:type="pct"/>
            <w:gridSpan w:val="2"/>
            <w:vAlign w:val="center"/>
          </w:tcPr>
          <w:p w14:paraId="4FBDC52F">
            <w:pPr>
              <w:jc w:val="center"/>
              <w:rPr>
                <w:rFonts w:ascii="Times New Roman" w:hAnsi="Times New Roman" w:cs="Times New Roman"/>
                <w:color w:val="auto"/>
                <w:sz w:val="21"/>
              </w:rPr>
            </w:pPr>
          </w:p>
        </w:tc>
        <w:tc>
          <w:tcPr>
            <w:tcW w:w="569" w:type="pct"/>
            <w:vAlign w:val="center"/>
          </w:tcPr>
          <w:p w14:paraId="3E427BFC">
            <w:pPr>
              <w:jc w:val="center"/>
              <w:rPr>
                <w:rFonts w:ascii="Times New Roman" w:hAnsi="Times New Roman" w:cs="Times New Roman"/>
                <w:color w:val="auto"/>
                <w:sz w:val="21"/>
                <w:lang w:eastAsia="zh-CN"/>
              </w:rPr>
            </w:pPr>
          </w:p>
        </w:tc>
        <w:tc>
          <w:tcPr>
            <w:tcW w:w="579" w:type="pct"/>
            <w:vAlign w:val="center"/>
          </w:tcPr>
          <w:p w14:paraId="179B3935">
            <w:pPr>
              <w:jc w:val="center"/>
              <w:rPr>
                <w:rFonts w:ascii="Times New Roman" w:hAnsi="Times New Roman" w:cs="Times New Roman"/>
                <w:color w:val="auto"/>
                <w:sz w:val="21"/>
                <w:lang w:eastAsia="zh-CN"/>
              </w:rPr>
            </w:pPr>
          </w:p>
        </w:tc>
        <w:tc>
          <w:tcPr>
            <w:tcW w:w="1328" w:type="pct"/>
            <w:gridSpan w:val="3"/>
            <w:vAlign w:val="center"/>
          </w:tcPr>
          <w:p w14:paraId="38EE64BF">
            <w:pPr>
              <w:jc w:val="center"/>
              <w:rPr>
                <w:rFonts w:ascii="Times New Roman" w:hAnsi="Times New Roman" w:cs="Times New Roman"/>
                <w:color w:val="auto"/>
                <w:sz w:val="21"/>
              </w:rPr>
            </w:pPr>
          </w:p>
        </w:tc>
        <w:tc>
          <w:tcPr>
            <w:tcW w:w="557" w:type="pct"/>
            <w:vAlign w:val="center"/>
          </w:tcPr>
          <w:p w14:paraId="2C9BB999">
            <w:pPr>
              <w:jc w:val="center"/>
              <w:rPr>
                <w:rFonts w:ascii="Times New Roman" w:hAnsi="Times New Roman" w:cs="Times New Roman"/>
                <w:color w:val="auto"/>
                <w:sz w:val="21"/>
                <w:lang w:eastAsia="zh-CN"/>
              </w:rPr>
            </w:pPr>
          </w:p>
        </w:tc>
        <w:tc>
          <w:tcPr>
            <w:tcW w:w="556" w:type="pct"/>
            <w:vAlign w:val="center"/>
          </w:tcPr>
          <w:p w14:paraId="6D2BDDA0">
            <w:pPr>
              <w:jc w:val="center"/>
              <w:rPr>
                <w:rFonts w:ascii="Times New Roman" w:hAnsi="Times New Roman" w:cs="Times New Roman"/>
                <w:color w:val="auto"/>
                <w:sz w:val="21"/>
                <w:lang w:eastAsia="zh-CN"/>
              </w:rPr>
            </w:pPr>
          </w:p>
        </w:tc>
      </w:tr>
    </w:tbl>
    <w:p w14:paraId="6C4178AE">
      <w:pPr>
        <w:spacing w:line="360" w:lineRule="auto"/>
        <w:jc w:val="center"/>
        <w:rPr>
          <w:rFonts w:ascii="Times New Roman" w:hAnsi="Times New Roman" w:cs="Times New Roman"/>
          <w:b/>
          <w:color w:val="auto"/>
          <w:lang w:eastAsia="zh-CN"/>
        </w:rPr>
      </w:pPr>
      <w:r>
        <w:rPr>
          <w:rFonts w:ascii="Times New Roman" w:hAnsi="Times New Roman" w:cs="Times New Roman"/>
          <w:b/>
          <w:color w:val="auto"/>
          <w:lang w:eastAsia="zh-CN"/>
        </w:rPr>
        <w:t>表4.2-</w:t>
      </w:r>
      <w:r>
        <w:rPr>
          <w:rFonts w:hint="eastAsia" w:ascii="Times New Roman" w:hAnsi="Times New Roman" w:cs="Times New Roman"/>
          <w:b/>
          <w:color w:val="auto"/>
          <w:lang w:eastAsia="zh-CN"/>
        </w:rPr>
        <w:t>6</w:t>
      </w:r>
      <w:r>
        <w:rPr>
          <w:rFonts w:ascii="Times New Roman" w:hAnsi="Times New Roman" w:cs="Times New Roman"/>
          <w:b/>
          <w:color w:val="auto"/>
          <w:lang w:eastAsia="zh-CN"/>
        </w:rPr>
        <w:t xml:space="preserve"> </w:t>
      </w:r>
      <w:r>
        <w:rPr>
          <w:rFonts w:hint="eastAsia" w:ascii="Times New Roman" w:hAnsi="Times New Roman" w:cs="Times New Roman"/>
          <w:b/>
          <w:color w:val="auto"/>
          <w:lang w:eastAsia="zh-CN"/>
        </w:rPr>
        <w:t xml:space="preserve"> 氟元素</w:t>
      </w:r>
      <w:r>
        <w:rPr>
          <w:rFonts w:ascii="Times New Roman" w:hAnsi="Times New Roman" w:cs="Times New Roman"/>
          <w:b/>
          <w:color w:val="auto"/>
          <w:lang w:eastAsia="zh-CN"/>
        </w:rPr>
        <w:t>平衡表</w:t>
      </w:r>
    </w:p>
    <w:tbl>
      <w:tblPr>
        <w:tblStyle w:val="3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1417"/>
        <w:gridCol w:w="1333"/>
        <w:gridCol w:w="2054"/>
        <w:gridCol w:w="1197"/>
        <w:gridCol w:w="1618"/>
      </w:tblGrid>
      <w:tr w14:paraId="01009A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2" w:type="pct"/>
            <w:gridSpan w:val="3"/>
            <w:vAlign w:val="center"/>
          </w:tcPr>
          <w:p w14:paraId="26BFA63F">
            <w:pPr>
              <w:widowControl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物料进项</w:t>
            </w:r>
          </w:p>
        </w:tc>
        <w:tc>
          <w:tcPr>
            <w:tcW w:w="2498" w:type="pct"/>
            <w:gridSpan w:val="3"/>
            <w:vAlign w:val="center"/>
          </w:tcPr>
          <w:p w14:paraId="21597C41">
            <w:pPr>
              <w:widowControl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物料出项</w:t>
            </w:r>
          </w:p>
        </w:tc>
      </w:tr>
      <w:tr w14:paraId="2599FE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1" w:type="pct"/>
            <w:vAlign w:val="center"/>
          </w:tcPr>
          <w:p w14:paraId="0F2F9A77">
            <w:pPr>
              <w:widowControl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物料名称</w:t>
            </w:r>
          </w:p>
        </w:tc>
        <w:tc>
          <w:tcPr>
            <w:tcW w:w="727" w:type="pct"/>
            <w:vAlign w:val="center"/>
          </w:tcPr>
          <w:p w14:paraId="30457A2F">
            <w:pPr>
              <w:widowControl w:val="0"/>
              <w:jc w:val="center"/>
              <w:rPr>
                <w:rFonts w:ascii="Times New Roman" w:hAnsi="Times New Roman" w:cs="Times New Roman"/>
                <w:b/>
                <w:color w:val="000000" w:themeColor="text1"/>
                <w:sz w:val="21"/>
                <w14:textFill>
                  <w14:solidFill>
                    <w14:schemeClr w14:val="tx1"/>
                  </w14:solidFill>
                </w14:textFill>
              </w:rPr>
            </w:pPr>
            <w:r>
              <w:rPr>
                <w:rFonts w:hint="eastAsia" w:ascii="Times New Roman" w:hAnsi="Times New Roman" w:cs="Times New Roman"/>
                <w:b/>
                <w:color w:val="000000" w:themeColor="text1"/>
                <w:sz w:val="21"/>
                <w:lang w:eastAsia="zh-CN"/>
                <w14:textFill>
                  <w14:solidFill>
                    <w14:schemeClr w14:val="tx1"/>
                  </w14:solidFill>
                </w14:textFill>
              </w:rPr>
              <w:t>氟化氢</w:t>
            </w:r>
            <w:r>
              <w:rPr>
                <w:rFonts w:ascii="Times New Roman" w:hAnsi="Times New Roman" w:cs="Times New Roman"/>
                <w:b/>
                <w:color w:val="000000" w:themeColor="text1"/>
                <w:sz w:val="21"/>
                <w14:textFill>
                  <w14:solidFill>
                    <w14:schemeClr w14:val="tx1"/>
                  </w14:solidFill>
                </w14:textFill>
              </w:rPr>
              <w:t>量（t/a）</w:t>
            </w:r>
          </w:p>
        </w:tc>
        <w:tc>
          <w:tcPr>
            <w:tcW w:w="684" w:type="pct"/>
            <w:vAlign w:val="center"/>
          </w:tcPr>
          <w:p w14:paraId="746D2FD4">
            <w:pPr>
              <w:widowControl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折氟量（t/a）</w:t>
            </w:r>
          </w:p>
        </w:tc>
        <w:tc>
          <w:tcPr>
            <w:tcW w:w="1054" w:type="pct"/>
            <w:vAlign w:val="center"/>
          </w:tcPr>
          <w:p w14:paraId="1BD0DCE7">
            <w:pPr>
              <w:widowControl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物料名称</w:t>
            </w:r>
          </w:p>
        </w:tc>
        <w:tc>
          <w:tcPr>
            <w:tcW w:w="614" w:type="pct"/>
            <w:vAlign w:val="center"/>
          </w:tcPr>
          <w:p w14:paraId="36B755F9">
            <w:pPr>
              <w:widowControl w:val="0"/>
              <w:jc w:val="center"/>
              <w:rPr>
                <w:rFonts w:ascii="Times New Roman" w:hAnsi="Times New Roman" w:cs="Times New Roman"/>
                <w:b/>
                <w:color w:val="000000" w:themeColor="text1"/>
                <w:sz w:val="21"/>
                <w14:textFill>
                  <w14:solidFill>
                    <w14:schemeClr w14:val="tx1"/>
                  </w14:solidFill>
                </w14:textFill>
              </w:rPr>
            </w:pPr>
            <w:r>
              <w:rPr>
                <w:rFonts w:hint="eastAsia" w:ascii="Times New Roman" w:hAnsi="Times New Roman" w:cs="Times New Roman"/>
                <w:b/>
                <w:color w:val="000000" w:themeColor="text1"/>
                <w:sz w:val="21"/>
                <w:lang w:eastAsia="zh-CN"/>
                <w14:textFill>
                  <w14:solidFill>
                    <w14:schemeClr w14:val="tx1"/>
                  </w14:solidFill>
                </w14:textFill>
              </w:rPr>
              <w:t>物料</w:t>
            </w:r>
            <w:r>
              <w:rPr>
                <w:rFonts w:ascii="Times New Roman" w:hAnsi="Times New Roman" w:cs="Times New Roman"/>
                <w:b/>
                <w:color w:val="000000" w:themeColor="text1"/>
                <w:sz w:val="21"/>
                <w14:textFill>
                  <w14:solidFill>
                    <w14:schemeClr w14:val="tx1"/>
                  </w14:solidFill>
                </w14:textFill>
              </w:rPr>
              <w:t>量（t/a）</w:t>
            </w:r>
          </w:p>
        </w:tc>
        <w:tc>
          <w:tcPr>
            <w:tcW w:w="830" w:type="pct"/>
            <w:vAlign w:val="center"/>
          </w:tcPr>
          <w:p w14:paraId="3269F2F2">
            <w:pPr>
              <w:widowControl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折氟量（t/a）</w:t>
            </w:r>
          </w:p>
        </w:tc>
      </w:tr>
      <w:tr w14:paraId="4FC043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1" w:type="pct"/>
            <w:vAlign w:val="center"/>
          </w:tcPr>
          <w:p w14:paraId="1FBE1915">
            <w:pPr>
              <w:widowControl w:val="0"/>
              <w:jc w:val="center"/>
              <w:rPr>
                <w:rFonts w:ascii="Times New Roman" w:hAnsi="Times New Roman" w:cs="Times New Roman"/>
                <w:color w:val="000000" w:themeColor="text1"/>
                <w:spacing w:val="-10"/>
                <w:sz w:val="21"/>
                <w14:textFill>
                  <w14:solidFill>
                    <w14:schemeClr w14:val="tx1"/>
                  </w14:solidFill>
                </w14:textFill>
              </w:rPr>
            </w:pPr>
          </w:p>
        </w:tc>
        <w:tc>
          <w:tcPr>
            <w:tcW w:w="727" w:type="pct"/>
            <w:vAlign w:val="center"/>
          </w:tcPr>
          <w:p w14:paraId="5AD5022F">
            <w:pPr>
              <w:widowControl w:val="0"/>
              <w:jc w:val="center"/>
              <w:rPr>
                <w:rFonts w:ascii="Times New Roman" w:hAnsi="Times New Roman" w:cs="Times New Roman"/>
                <w:color w:val="000000" w:themeColor="text1"/>
                <w:sz w:val="21"/>
                <w:lang w:eastAsia="zh-CN"/>
                <w14:textFill>
                  <w14:solidFill>
                    <w14:schemeClr w14:val="tx1"/>
                  </w14:solidFill>
                </w14:textFill>
              </w:rPr>
            </w:pPr>
          </w:p>
        </w:tc>
        <w:tc>
          <w:tcPr>
            <w:tcW w:w="684" w:type="pct"/>
            <w:vAlign w:val="center"/>
          </w:tcPr>
          <w:p w14:paraId="38C1B0D2">
            <w:pPr>
              <w:widowControl w:val="0"/>
              <w:jc w:val="center"/>
              <w:rPr>
                <w:rFonts w:ascii="Times New Roman" w:hAnsi="Times New Roman" w:cs="Times New Roman"/>
                <w:color w:val="000000" w:themeColor="text1"/>
                <w:sz w:val="21"/>
                <w:lang w:eastAsia="zh-CN"/>
                <w14:textFill>
                  <w14:solidFill>
                    <w14:schemeClr w14:val="tx1"/>
                  </w14:solidFill>
                </w14:textFill>
              </w:rPr>
            </w:pPr>
          </w:p>
        </w:tc>
        <w:tc>
          <w:tcPr>
            <w:tcW w:w="1054" w:type="pct"/>
            <w:vAlign w:val="center"/>
          </w:tcPr>
          <w:p w14:paraId="79A949C4">
            <w:pPr>
              <w:widowControl w:val="0"/>
              <w:jc w:val="center"/>
              <w:rPr>
                <w:rFonts w:ascii="Times New Roman" w:hAnsi="Times New Roman" w:cs="Times New Roman"/>
                <w:color w:val="000000" w:themeColor="text1"/>
                <w:sz w:val="21"/>
                <w14:textFill>
                  <w14:solidFill>
                    <w14:schemeClr w14:val="tx1"/>
                  </w14:solidFill>
                </w14:textFill>
              </w:rPr>
            </w:pPr>
          </w:p>
        </w:tc>
        <w:tc>
          <w:tcPr>
            <w:tcW w:w="614" w:type="pct"/>
            <w:vAlign w:val="center"/>
          </w:tcPr>
          <w:p w14:paraId="6E7FF077">
            <w:pPr>
              <w:widowControl w:val="0"/>
              <w:jc w:val="center"/>
              <w:rPr>
                <w:rFonts w:ascii="Times New Roman" w:hAnsi="Times New Roman" w:cs="Times New Roman"/>
                <w:color w:val="000000" w:themeColor="text1"/>
                <w:sz w:val="21"/>
                <w:lang w:eastAsia="zh-CN"/>
                <w14:textFill>
                  <w14:solidFill>
                    <w14:schemeClr w14:val="tx1"/>
                  </w14:solidFill>
                </w14:textFill>
              </w:rPr>
            </w:pPr>
          </w:p>
        </w:tc>
        <w:tc>
          <w:tcPr>
            <w:tcW w:w="830" w:type="pct"/>
            <w:vAlign w:val="center"/>
          </w:tcPr>
          <w:p w14:paraId="3D3906A2">
            <w:pPr>
              <w:widowControl w:val="0"/>
              <w:jc w:val="center"/>
              <w:rPr>
                <w:rFonts w:ascii="Times New Roman" w:hAnsi="Times New Roman" w:cs="Times New Roman"/>
                <w:color w:val="000000" w:themeColor="text1"/>
                <w:sz w:val="21"/>
                <w:lang w:eastAsia="zh-CN"/>
                <w14:textFill>
                  <w14:solidFill>
                    <w14:schemeClr w14:val="tx1"/>
                  </w14:solidFill>
                </w14:textFill>
              </w:rPr>
            </w:pPr>
          </w:p>
        </w:tc>
      </w:tr>
      <w:tr w14:paraId="30F1E0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1" w:type="pct"/>
            <w:vAlign w:val="center"/>
          </w:tcPr>
          <w:p w14:paraId="1DD74226">
            <w:pPr>
              <w:widowControl w:val="0"/>
              <w:jc w:val="center"/>
              <w:rPr>
                <w:rFonts w:ascii="Times New Roman" w:hAnsi="Times New Roman" w:cs="Times New Roman"/>
                <w:color w:val="000000" w:themeColor="text1"/>
                <w:sz w:val="21"/>
                <w:lang w:eastAsia="zh-CN"/>
                <w14:textFill>
                  <w14:solidFill>
                    <w14:schemeClr w14:val="tx1"/>
                  </w14:solidFill>
                </w14:textFill>
              </w:rPr>
            </w:pPr>
          </w:p>
        </w:tc>
        <w:tc>
          <w:tcPr>
            <w:tcW w:w="727" w:type="pct"/>
            <w:vAlign w:val="center"/>
          </w:tcPr>
          <w:p w14:paraId="66117BE7">
            <w:pPr>
              <w:widowControl w:val="0"/>
              <w:jc w:val="center"/>
              <w:rPr>
                <w:rFonts w:ascii="Times New Roman" w:hAnsi="Times New Roman" w:cs="Times New Roman"/>
                <w:color w:val="000000" w:themeColor="text1"/>
                <w:sz w:val="21"/>
                <w14:textFill>
                  <w14:solidFill>
                    <w14:schemeClr w14:val="tx1"/>
                  </w14:solidFill>
                </w14:textFill>
              </w:rPr>
            </w:pPr>
          </w:p>
        </w:tc>
        <w:tc>
          <w:tcPr>
            <w:tcW w:w="684" w:type="pct"/>
            <w:vAlign w:val="center"/>
          </w:tcPr>
          <w:p w14:paraId="47CB2D6D">
            <w:pPr>
              <w:widowControl w:val="0"/>
              <w:jc w:val="center"/>
              <w:rPr>
                <w:rFonts w:ascii="Times New Roman" w:hAnsi="Times New Roman" w:cs="Times New Roman"/>
                <w:color w:val="000000" w:themeColor="text1"/>
                <w:sz w:val="21"/>
                <w:lang w:eastAsia="zh-CN"/>
                <w14:textFill>
                  <w14:solidFill>
                    <w14:schemeClr w14:val="tx1"/>
                  </w14:solidFill>
                </w14:textFill>
              </w:rPr>
            </w:pPr>
          </w:p>
        </w:tc>
        <w:tc>
          <w:tcPr>
            <w:tcW w:w="1054" w:type="pct"/>
            <w:vAlign w:val="center"/>
          </w:tcPr>
          <w:p w14:paraId="589A86A3">
            <w:pPr>
              <w:widowControl w:val="0"/>
              <w:jc w:val="center"/>
              <w:rPr>
                <w:rFonts w:ascii="Times New Roman" w:hAnsi="Times New Roman" w:cs="Times New Roman"/>
                <w:color w:val="000000" w:themeColor="text1"/>
                <w:sz w:val="21"/>
                <w14:textFill>
                  <w14:solidFill>
                    <w14:schemeClr w14:val="tx1"/>
                  </w14:solidFill>
                </w14:textFill>
              </w:rPr>
            </w:pPr>
          </w:p>
        </w:tc>
        <w:tc>
          <w:tcPr>
            <w:tcW w:w="614" w:type="pct"/>
            <w:vAlign w:val="center"/>
          </w:tcPr>
          <w:p w14:paraId="3B2C0577">
            <w:pPr>
              <w:widowControl w:val="0"/>
              <w:jc w:val="center"/>
              <w:rPr>
                <w:rFonts w:ascii="Times New Roman" w:hAnsi="Times New Roman" w:cs="Times New Roman"/>
                <w:color w:val="000000" w:themeColor="text1"/>
                <w:sz w:val="21"/>
                <w14:textFill>
                  <w14:solidFill>
                    <w14:schemeClr w14:val="tx1"/>
                  </w14:solidFill>
                </w14:textFill>
              </w:rPr>
            </w:pPr>
          </w:p>
        </w:tc>
        <w:tc>
          <w:tcPr>
            <w:tcW w:w="830" w:type="pct"/>
            <w:vAlign w:val="center"/>
          </w:tcPr>
          <w:p w14:paraId="22DA6F70">
            <w:pPr>
              <w:widowControl w:val="0"/>
              <w:jc w:val="center"/>
              <w:rPr>
                <w:rFonts w:ascii="Times New Roman" w:hAnsi="Times New Roman" w:cs="Times New Roman"/>
                <w:color w:val="000000" w:themeColor="text1"/>
                <w:sz w:val="21"/>
                <w:lang w:eastAsia="zh-CN"/>
                <w14:textFill>
                  <w14:solidFill>
                    <w14:schemeClr w14:val="tx1"/>
                  </w14:solidFill>
                </w14:textFill>
              </w:rPr>
            </w:pPr>
          </w:p>
        </w:tc>
      </w:tr>
      <w:tr w14:paraId="493A18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1" w:type="pct"/>
            <w:vMerge w:val="restart"/>
            <w:vAlign w:val="center"/>
          </w:tcPr>
          <w:p w14:paraId="4A4E9147">
            <w:pPr>
              <w:widowControl w:val="0"/>
              <w:jc w:val="center"/>
              <w:rPr>
                <w:rFonts w:ascii="Times New Roman" w:hAnsi="Times New Roman" w:cs="Times New Roman"/>
                <w:color w:val="000000" w:themeColor="text1"/>
                <w:sz w:val="21"/>
                <w:lang w:eastAsia="zh-CN"/>
                <w14:textFill>
                  <w14:solidFill>
                    <w14:schemeClr w14:val="tx1"/>
                  </w14:solidFill>
                </w14:textFill>
              </w:rPr>
            </w:pPr>
          </w:p>
        </w:tc>
        <w:tc>
          <w:tcPr>
            <w:tcW w:w="727" w:type="pct"/>
            <w:vMerge w:val="restart"/>
            <w:vAlign w:val="center"/>
          </w:tcPr>
          <w:p w14:paraId="43283EF0">
            <w:pPr>
              <w:widowControl w:val="0"/>
              <w:jc w:val="center"/>
              <w:rPr>
                <w:rFonts w:ascii="Times New Roman" w:hAnsi="Times New Roman" w:cs="Times New Roman"/>
                <w:color w:val="000000" w:themeColor="text1"/>
                <w:sz w:val="21"/>
                <w:lang w:eastAsia="zh-CN"/>
                <w14:textFill>
                  <w14:solidFill>
                    <w14:schemeClr w14:val="tx1"/>
                  </w14:solidFill>
                </w14:textFill>
              </w:rPr>
            </w:pPr>
          </w:p>
        </w:tc>
        <w:tc>
          <w:tcPr>
            <w:tcW w:w="684" w:type="pct"/>
            <w:vMerge w:val="restart"/>
            <w:vAlign w:val="center"/>
          </w:tcPr>
          <w:p w14:paraId="7A035779">
            <w:pPr>
              <w:widowControl w:val="0"/>
              <w:jc w:val="center"/>
              <w:rPr>
                <w:rFonts w:ascii="Times New Roman" w:hAnsi="Times New Roman" w:cs="Times New Roman"/>
                <w:color w:val="000000" w:themeColor="text1"/>
                <w:sz w:val="21"/>
                <w:lang w:eastAsia="zh-CN"/>
                <w14:textFill>
                  <w14:solidFill>
                    <w14:schemeClr w14:val="tx1"/>
                  </w14:solidFill>
                </w14:textFill>
              </w:rPr>
            </w:pPr>
          </w:p>
        </w:tc>
        <w:tc>
          <w:tcPr>
            <w:tcW w:w="1054" w:type="pct"/>
            <w:vAlign w:val="center"/>
          </w:tcPr>
          <w:p w14:paraId="6D3FB870">
            <w:pPr>
              <w:widowControl w:val="0"/>
              <w:jc w:val="center"/>
              <w:rPr>
                <w:rFonts w:ascii="Times New Roman" w:hAnsi="Times New Roman" w:cs="Times New Roman"/>
                <w:color w:val="000000" w:themeColor="text1"/>
                <w:sz w:val="21"/>
                <w14:textFill>
                  <w14:solidFill>
                    <w14:schemeClr w14:val="tx1"/>
                  </w14:solidFill>
                </w14:textFill>
              </w:rPr>
            </w:pPr>
          </w:p>
        </w:tc>
        <w:tc>
          <w:tcPr>
            <w:tcW w:w="614" w:type="pct"/>
            <w:vAlign w:val="center"/>
          </w:tcPr>
          <w:p w14:paraId="409387B7">
            <w:pPr>
              <w:widowControl w:val="0"/>
              <w:jc w:val="center"/>
              <w:rPr>
                <w:rFonts w:ascii="Times New Roman" w:hAnsi="Times New Roman" w:cs="Times New Roman"/>
                <w:color w:val="000000" w:themeColor="text1"/>
                <w:sz w:val="21"/>
                <w:lang w:eastAsia="zh-CN"/>
                <w14:textFill>
                  <w14:solidFill>
                    <w14:schemeClr w14:val="tx1"/>
                  </w14:solidFill>
                </w14:textFill>
              </w:rPr>
            </w:pPr>
          </w:p>
        </w:tc>
        <w:tc>
          <w:tcPr>
            <w:tcW w:w="830" w:type="pct"/>
            <w:vAlign w:val="center"/>
          </w:tcPr>
          <w:p w14:paraId="76CA4806">
            <w:pPr>
              <w:widowControl w:val="0"/>
              <w:jc w:val="center"/>
              <w:rPr>
                <w:rFonts w:ascii="Times New Roman" w:hAnsi="Times New Roman" w:cs="Times New Roman"/>
                <w:color w:val="000000" w:themeColor="text1"/>
                <w:sz w:val="21"/>
                <w:lang w:eastAsia="zh-CN"/>
                <w14:textFill>
                  <w14:solidFill>
                    <w14:schemeClr w14:val="tx1"/>
                  </w14:solidFill>
                </w14:textFill>
              </w:rPr>
            </w:pPr>
          </w:p>
        </w:tc>
      </w:tr>
      <w:tr w14:paraId="6E65EB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1" w:type="pct"/>
            <w:vMerge w:val="continue"/>
            <w:vAlign w:val="center"/>
          </w:tcPr>
          <w:p w14:paraId="43E27117">
            <w:pPr>
              <w:widowControl w:val="0"/>
              <w:jc w:val="center"/>
              <w:rPr>
                <w:rFonts w:ascii="Times New Roman" w:hAnsi="Times New Roman" w:cs="Times New Roman"/>
                <w:color w:val="auto"/>
                <w:sz w:val="21"/>
                <w:lang w:eastAsia="zh-CN"/>
              </w:rPr>
            </w:pPr>
          </w:p>
        </w:tc>
        <w:tc>
          <w:tcPr>
            <w:tcW w:w="727" w:type="pct"/>
            <w:vMerge w:val="continue"/>
            <w:vAlign w:val="center"/>
          </w:tcPr>
          <w:p w14:paraId="61196927">
            <w:pPr>
              <w:widowControl w:val="0"/>
              <w:jc w:val="center"/>
              <w:rPr>
                <w:rFonts w:ascii="Times New Roman" w:hAnsi="Times New Roman" w:cs="Times New Roman"/>
                <w:color w:val="auto"/>
                <w:sz w:val="21"/>
                <w:lang w:eastAsia="zh-CN"/>
              </w:rPr>
            </w:pPr>
          </w:p>
        </w:tc>
        <w:tc>
          <w:tcPr>
            <w:tcW w:w="684" w:type="pct"/>
            <w:vMerge w:val="continue"/>
            <w:vAlign w:val="center"/>
          </w:tcPr>
          <w:p w14:paraId="26E3E94B">
            <w:pPr>
              <w:widowControl w:val="0"/>
              <w:jc w:val="center"/>
              <w:rPr>
                <w:rFonts w:ascii="Times New Roman" w:hAnsi="Times New Roman" w:cs="Times New Roman"/>
                <w:color w:val="000000" w:themeColor="text1"/>
                <w:sz w:val="21"/>
                <w:lang w:eastAsia="zh-CN"/>
                <w14:textFill>
                  <w14:solidFill>
                    <w14:schemeClr w14:val="tx1"/>
                  </w14:solidFill>
                </w14:textFill>
              </w:rPr>
            </w:pPr>
          </w:p>
        </w:tc>
        <w:tc>
          <w:tcPr>
            <w:tcW w:w="1054" w:type="pct"/>
            <w:vAlign w:val="center"/>
          </w:tcPr>
          <w:p w14:paraId="107999D9">
            <w:pPr>
              <w:widowControl w:val="0"/>
              <w:jc w:val="center"/>
              <w:rPr>
                <w:rFonts w:ascii="Times New Roman" w:hAnsi="Times New Roman" w:cs="Times New Roman"/>
                <w:color w:val="auto"/>
                <w:sz w:val="21"/>
              </w:rPr>
            </w:pPr>
          </w:p>
        </w:tc>
        <w:tc>
          <w:tcPr>
            <w:tcW w:w="614" w:type="pct"/>
            <w:vAlign w:val="center"/>
          </w:tcPr>
          <w:p w14:paraId="240FC4C5">
            <w:pPr>
              <w:widowControl w:val="0"/>
              <w:jc w:val="center"/>
              <w:rPr>
                <w:rFonts w:ascii="Times New Roman" w:hAnsi="Times New Roman" w:cs="Times New Roman"/>
                <w:color w:val="000000" w:themeColor="text1"/>
                <w:sz w:val="21"/>
                <w:lang w:eastAsia="zh-CN"/>
                <w14:textFill>
                  <w14:solidFill>
                    <w14:schemeClr w14:val="tx1"/>
                  </w14:solidFill>
                </w14:textFill>
              </w:rPr>
            </w:pPr>
          </w:p>
        </w:tc>
        <w:tc>
          <w:tcPr>
            <w:tcW w:w="830" w:type="pct"/>
            <w:vAlign w:val="center"/>
          </w:tcPr>
          <w:p w14:paraId="0BFC701E">
            <w:pPr>
              <w:widowControl w:val="0"/>
              <w:jc w:val="center"/>
              <w:rPr>
                <w:rFonts w:ascii="Times New Roman" w:hAnsi="Times New Roman" w:cs="Times New Roman"/>
                <w:color w:val="000000" w:themeColor="text1"/>
                <w:sz w:val="21"/>
                <w:lang w:eastAsia="zh-CN"/>
                <w14:textFill>
                  <w14:solidFill>
                    <w14:schemeClr w14:val="tx1"/>
                  </w14:solidFill>
                </w14:textFill>
              </w:rPr>
            </w:pPr>
          </w:p>
        </w:tc>
      </w:tr>
      <w:tr w14:paraId="1F98D2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1" w:type="pct"/>
            <w:vAlign w:val="center"/>
          </w:tcPr>
          <w:p w14:paraId="76475046">
            <w:pPr>
              <w:widowControl w:val="0"/>
              <w:jc w:val="center"/>
              <w:rPr>
                <w:rFonts w:ascii="Times New Roman" w:hAnsi="Times New Roman" w:cs="Times New Roman"/>
                <w:color w:val="auto"/>
                <w:sz w:val="21"/>
                <w:lang w:eastAsia="zh-CN"/>
              </w:rPr>
            </w:pPr>
          </w:p>
        </w:tc>
        <w:tc>
          <w:tcPr>
            <w:tcW w:w="727" w:type="pct"/>
            <w:vAlign w:val="center"/>
          </w:tcPr>
          <w:p w14:paraId="28DF7C1A">
            <w:pPr>
              <w:widowControl w:val="0"/>
              <w:jc w:val="center"/>
              <w:rPr>
                <w:rFonts w:ascii="Times New Roman" w:hAnsi="Times New Roman" w:cs="Times New Roman"/>
                <w:color w:val="auto"/>
                <w:sz w:val="21"/>
                <w:lang w:eastAsia="zh-CN"/>
              </w:rPr>
            </w:pPr>
          </w:p>
        </w:tc>
        <w:tc>
          <w:tcPr>
            <w:tcW w:w="684" w:type="pct"/>
            <w:vAlign w:val="center"/>
          </w:tcPr>
          <w:p w14:paraId="20A8AFDD">
            <w:pPr>
              <w:widowControl w:val="0"/>
              <w:jc w:val="center"/>
              <w:rPr>
                <w:rFonts w:ascii="Times New Roman" w:hAnsi="Times New Roman" w:cs="Times New Roman"/>
                <w:color w:val="000000" w:themeColor="text1"/>
                <w:sz w:val="21"/>
                <w:lang w:eastAsia="zh-CN"/>
                <w14:textFill>
                  <w14:solidFill>
                    <w14:schemeClr w14:val="tx1"/>
                  </w14:solidFill>
                </w14:textFill>
              </w:rPr>
            </w:pPr>
          </w:p>
        </w:tc>
        <w:tc>
          <w:tcPr>
            <w:tcW w:w="1054" w:type="pct"/>
            <w:vAlign w:val="center"/>
          </w:tcPr>
          <w:p w14:paraId="026F7087">
            <w:pPr>
              <w:widowControl w:val="0"/>
              <w:jc w:val="center"/>
              <w:rPr>
                <w:rFonts w:ascii="Times New Roman" w:hAnsi="Times New Roman" w:cs="Times New Roman"/>
                <w:color w:val="auto"/>
                <w:sz w:val="21"/>
              </w:rPr>
            </w:pPr>
          </w:p>
        </w:tc>
        <w:tc>
          <w:tcPr>
            <w:tcW w:w="614" w:type="pct"/>
            <w:vAlign w:val="center"/>
          </w:tcPr>
          <w:p w14:paraId="083CAA36">
            <w:pPr>
              <w:widowControl w:val="0"/>
              <w:jc w:val="center"/>
              <w:rPr>
                <w:rFonts w:ascii="Times New Roman" w:hAnsi="Times New Roman" w:cs="Times New Roman"/>
                <w:color w:val="auto"/>
                <w:sz w:val="21"/>
                <w:lang w:eastAsia="zh-CN"/>
              </w:rPr>
            </w:pPr>
          </w:p>
        </w:tc>
        <w:tc>
          <w:tcPr>
            <w:tcW w:w="830" w:type="pct"/>
            <w:vAlign w:val="center"/>
          </w:tcPr>
          <w:p w14:paraId="1A5A91D2">
            <w:pPr>
              <w:widowControl w:val="0"/>
              <w:jc w:val="center"/>
              <w:rPr>
                <w:rFonts w:ascii="Times New Roman" w:hAnsi="Times New Roman" w:cs="Times New Roman"/>
                <w:color w:val="000000" w:themeColor="text1"/>
                <w:sz w:val="21"/>
                <w:lang w:eastAsia="zh-CN"/>
                <w14:textFill>
                  <w14:solidFill>
                    <w14:schemeClr w14:val="tx1"/>
                  </w14:solidFill>
                </w14:textFill>
              </w:rPr>
            </w:pPr>
          </w:p>
        </w:tc>
      </w:tr>
      <w:tr w14:paraId="723446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1" w:type="pct"/>
            <w:vAlign w:val="center"/>
          </w:tcPr>
          <w:p w14:paraId="41994704">
            <w:pPr>
              <w:widowControl w:val="0"/>
              <w:jc w:val="center"/>
              <w:rPr>
                <w:rFonts w:ascii="Times New Roman" w:hAnsi="Times New Roman" w:cs="Times New Roman"/>
                <w:color w:val="000000" w:themeColor="text1"/>
                <w:sz w:val="21"/>
                <w14:textFill>
                  <w14:solidFill>
                    <w14:schemeClr w14:val="tx1"/>
                  </w14:solidFill>
                </w14:textFill>
              </w:rPr>
            </w:pPr>
          </w:p>
        </w:tc>
        <w:tc>
          <w:tcPr>
            <w:tcW w:w="727" w:type="pct"/>
            <w:vAlign w:val="center"/>
          </w:tcPr>
          <w:p w14:paraId="3046318E">
            <w:pPr>
              <w:widowControl w:val="0"/>
              <w:jc w:val="center"/>
              <w:rPr>
                <w:rFonts w:ascii="Times New Roman" w:hAnsi="Times New Roman" w:cs="Times New Roman"/>
                <w:color w:val="000000" w:themeColor="text1"/>
                <w:sz w:val="21"/>
                <w:lang w:eastAsia="zh-CN"/>
                <w14:textFill>
                  <w14:solidFill>
                    <w14:schemeClr w14:val="tx1"/>
                  </w14:solidFill>
                </w14:textFill>
              </w:rPr>
            </w:pPr>
          </w:p>
        </w:tc>
        <w:tc>
          <w:tcPr>
            <w:tcW w:w="684" w:type="pct"/>
            <w:vAlign w:val="center"/>
          </w:tcPr>
          <w:p w14:paraId="0FE7EAE8">
            <w:pPr>
              <w:widowControl w:val="0"/>
              <w:jc w:val="center"/>
              <w:rPr>
                <w:rFonts w:ascii="Times New Roman" w:hAnsi="Times New Roman" w:cs="Times New Roman"/>
                <w:color w:val="000000" w:themeColor="text1"/>
                <w:sz w:val="21"/>
                <w:lang w:eastAsia="zh-CN"/>
                <w14:textFill>
                  <w14:solidFill>
                    <w14:schemeClr w14:val="tx1"/>
                  </w14:solidFill>
                </w14:textFill>
              </w:rPr>
            </w:pPr>
          </w:p>
        </w:tc>
        <w:tc>
          <w:tcPr>
            <w:tcW w:w="1054" w:type="pct"/>
            <w:vAlign w:val="center"/>
          </w:tcPr>
          <w:p w14:paraId="4F2B8359">
            <w:pPr>
              <w:widowControl w:val="0"/>
              <w:jc w:val="center"/>
              <w:rPr>
                <w:rFonts w:ascii="Times New Roman" w:hAnsi="Times New Roman" w:cs="Times New Roman"/>
                <w:color w:val="000000" w:themeColor="text1"/>
                <w:sz w:val="21"/>
                <w14:textFill>
                  <w14:solidFill>
                    <w14:schemeClr w14:val="tx1"/>
                  </w14:solidFill>
                </w14:textFill>
              </w:rPr>
            </w:pPr>
          </w:p>
        </w:tc>
        <w:tc>
          <w:tcPr>
            <w:tcW w:w="614" w:type="pct"/>
            <w:vAlign w:val="center"/>
          </w:tcPr>
          <w:p w14:paraId="535AC898">
            <w:pPr>
              <w:widowControl w:val="0"/>
              <w:jc w:val="center"/>
              <w:rPr>
                <w:rFonts w:ascii="Times New Roman" w:hAnsi="Times New Roman" w:cs="Times New Roman"/>
                <w:color w:val="000000" w:themeColor="text1"/>
                <w:sz w:val="21"/>
                <w:lang w:eastAsia="zh-CN"/>
                <w14:textFill>
                  <w14:solidFill>
                    <w14:schemeClr w14:val="tx1"/>
                  </w14:solidFill>
                </w14:textFill>
              </w:rPr>
            </w:pPr>
          </w:p>
        </w:tc>
        <w:tc>
          <w:tcPr>
            <w:tcW w:w="830" w:type="pct"/>
            <w:vAlign w:val="center"/>
          </w:tcPr>
          <w:p w14:paraId="5CCE5233">
            <w:pPr>
              <w:widowControl w:val="0"/>
              <w:jc w:val="center"/>
              <w:rPr>
                <w:rFonts w:ascii="Times New Roman" w:hAnsi="Times New Roman" w:cs="Times New Roman"/>
                <w:color w:val="000000" w:themeColor="text1"/>
                <w:sz w:val="21"/>
                <w:lang w:eastAsia="zh-CN"/>
                <w14:textFill>
                  <w14:solidFill>
                    <w14:schemeClr w14:val="tx1"/>
                  </w14:solidFill>
                </w14:textFill>
              </w:rPr>
            </w:pPr>
          </w:p>
        </w:tc>
      </w:tr>
    </w:tbl>
    <w:p w14:paraId="21EC68D3">
      <w:pPr>
        <w:spacing w:line="360" w:lineRule="auto"/>
        <w:jc w:val="center"/>
        <w:rPr>
          <w:rFonts w:ascii="Times New Roman" w:hAnsi="Times New Roman" w:cs="Times New Roman"/>
          <w:b/>
          <w:color w:val="auto"/>
          <w:lang w:eastAsia="zh-CN"/>
        </w:rPr>
      </w:pPr>
    </w:p>
    <w:p w14:paraId="551907D3">
      <w:pPr>
        <w:spacing w:line="360" w:lineRule="auto"/>
        <w:jc w:val="center"/>
        <w:rPr>
          <w:rFonts w:ascii="Times New Roman" w:hAnsi="Times New Roman" w:cs="Times New Roman"/>
          <w:b/>
          <w:color w:val="auto"/>
          <w:lang w:eastAsia="zh-CN"/>
        </w:rPr>
      </w:pPr>
    </w:p>
    <w:p w14:paraId="1B8380EF">
      <w:pPr>
        <w:spacing w:line="360" w:lineRule="auto"/>
        <w:jc w:val="center"/>
        <w:rPr>
          <w:rFonts w:ascii="Times New Roman" w:hAnsi="Times New Roman" w:cs="Times New Roman"/>
          <w:b/>
          <w:color w:val="auto"/>
          <w:lang w:eastAsia="zh-CN"/>
        </w:rPr>
      </w:pPr>
    </w:p>
    <w:p w14:paraId="61F84E26">
      <w:pPr>
        <w:spacing w:line="360" w:lineRule="auto"/>
        <w:jc w:val="center"/>
        <w:rPr>
          <w:rFonts w:ascii="Times New Roman" w:hAnsi="Times New Roman" w:cs="Times New Roman"/>
          <w:b/>
          <w:color w:val="auto"/>
          <w:lang w:eastAsia="zh-CN"/>
        </w:rPr>
      </w:pPr>
    </w:p>
    <w:p w14:paraId="1E2C7FD6">
      <w:pPr>
        <w:spacing w:line="360" w:lineRule="auto"/>
        <w:jc w:val="center"/>
        <w:rPr>
          <w:rFonts w:ascii="Times New Roman" w:hAnsi="Times New Roman" w:cs="Times New Roman"/>
          <w:b/>
          <w:color w:val="auto"/>
          <w:lang w:eastAsia="zh-CN"/>
        </w:rPr>
      </w:pPr>
    </w:p>
    <w:p w14:paraId="6B4F3DC1">
      <w:pPr>
        <w:spacing w:line="360" w:lineRule="auto"/>
        <w:jc w:val="center"/>
        <w:rPr>
          <w:rFonts w:ascii="Times New Roman" w:hAnsi="Times New Roman" w:cs="Times New Roman"/>
          <w:b/>
          <w:color w:val="auto"/>
          <w:lang w:eastAsia="zh-CN"/>
        </w:rPr>
      </w:pPr>
    </w:p>
    <w:p w14:paraId="3859DFBC">
      <w:pPr>
        <w:spacing w:line="360" w:lineRule="auto"/>
        <w:jc w:val="center"/>
        <w:rPr>
          <w:rFonts w:ascii="Times New Roman" w:hAnsi="Times New Roman" w:cs="Times New Roman"/>
          <w:b/>
          <w:color w:val="auto"/>
          <w:lang w:eastAsia="zh-CN"/>
        </w:rPr>
      </w:pPr>
    </w:p>
    <w:p w14:paraId="357E5337">
      <w:pPr>
        <w:spacing w:line="360" w:lineRule="auto"/>
        <w:jc w:val="center"/>
        <w:rPr>
          <w:rFonts w:ascii="Times New Roman" w:hAnsi="Times New Roman" w:cs="Times New Roman"/>
          <w:b/>
          <w:color w:val="auto"/>
          <w:lang w:eastAsia="zh-CN"/>
        </w:rPr>
      </w:pPr>
    </w:p>
    <w:p w14:paraId="4311E503">
      <w:pPr>
        <w:spacing w:line="360" w:lineRule="auto"/>
        <w:jc w:val="center"/>
        <w:rPr>
          <w:rFonts w:ascii="Times New Roman" w:hAnsi="Times New Roman" w:cs="Times New Roman"/>
          <w:b/>
          <w:color w:val="auto"/>
          <w:lang w:eastAsia="zh-CN"/>
        </w:rPr>
      </w:pPr>
    </w:p>
    <w:p w14:paraId="4DD20EA3">
      <w:pPr>
        <w:spacing w:line="360" w:lineRule="auto"/>
        <w:jc w:val="center"/>
        <w:rPr>
          <w:rFonts w:ascii="Times New Roman" w:hAnsi="Times New Roman" w:cs="Times New Roman"/>
          <w:b/>
          <w:color w:val="auto"/>
          <w:lang w:eastAsia="zh-CN"/>
        </w:rPr>
      </w:pPr>
    </w:p>
    <w:p w14:paraId="232F93B0">
      <w:pPr>
        <w:spacing w:line="360" w:lineRule="auto"/>
        <w:jc w:val="center"/>
        <w:rPr>
          <w:rFonts w:ascii="Times New Roman" w:hAnsi="Times New Roman" w:cs="Times New Roman"/>
          <w:b/>
          <w:color w:val="auto"/>
          <w:lang w:eastAsia="zh-CN"/>
        </w:rPr>
      </w:pPr>
    </w:p>
    <w:p w14:paraId="5D522C3D">
      <w:pPr>
        <w:spacing w:line="360" w:lineRule="auto"/>
        <w:ind w:firstLine="482" w:firstLineChars="200"/>
        <w:outlineLvl w:val="2"/>
        <w:rPr>
          <w:rFonts w:ascii="Times New Roman" w:hAnsi="Times New Roman" w:cs="Times New Roman"/>
          <w:b/>
          <w:bCs/>
          <w:color w:val="auto"/>
          <w:lang w:eastAsia="zh-CN"/>
        </w:rPr>
      </w:pPr>
      <w:bookmarkStart w:id="799" w:name="_Toc178602346"/>
      <w:bookmarkStart w:id="800" w:name="_Toc173740275"/>
      <w:bookmarkStart w:id="801" w:name="_Toc172555648"/>
      <w:bookmarkStart w:id="802" w:name="_Toc173743379"/>
      <w:bookmarkStart w:id="803" w:name="_Toc175164270"/>
      <w:bookmarkStart w:id="804" w:name="_Toc176513006"/>
      <w:bookmarkStart w:id="805" w:name="_Toc221900824"/>
      <w:bookmarkStart w:id="806" w:name="_Toc224674680"/>
      <w:bookmarkStart w:id="807" w:name="_Toc223425042"/>
      <w:bookmarkStart w:id="808" w:name="_Toc203926992"/>
      <w:bookmarkStart w:id="809" w:name="_Toc218784267"/>
      <w:bookmarkStart w:id="810" w:name="_Toc204515193"/>
      <w:bookmarkStart w:id="811" w:name="_Toc204448458"/>
      <w:bookmarkStart w:id="812" w:name="_Toc217662657"/>
      <w:bookmarkStart w:id="813" w:name="_Toc225784041"/>
      <w:bookmarkStart w:id="814" w:name="_Toc236641823"/>
      <w:bookmarkStart w:id="815" w:name="_Toc231828575"/>
      <w:bookmarkStart w:id="816" w:name="_Toc237508288"/>
      <w:bookmarkStart w:id="817" w:name="_Toc236641306"/>
      <w:r>
        <w:rPr>
          <w:rFonts w:ascii="Times New Roman" w:hAnsi="Times New Roman" w:cs="Times New Roman"/>
          <w:b/>
          <w:bCs/>
          <w:color w:val="auto"/>
          <w:lang w:eastAsia="zh-CN"/>
        </w:rPr>
        <w:t>4.2.2</w:t>
      </w:r>
      <w:bookmarkEnd w:id="799"/>
      <w:bookmarkEnd w:id="800"/>
      <w:bookmarkEnd w:id="801"/>
      <w:bookmarkEnd w:id="802"/>
      <w:bookmarkEnd w:id="803"/>
      <w:bookmarkEnd w:id="804"/>
      <w:r>
        <w:rPr>
          <w:rFonts w:hint="eastAsia" w:ascii="Times New Roman" w:hAnsi="Times New Roman" w:cs="Times New Roman"/>
          <w:b/>
          <w:bCs/>
          <w:color w:val="auto"/>
          <w:lang w:eastAsia="zh-CN"/>
        </w:rPr>
        <w:t xml:space="preserve"> </w:t>
      </w:r>
      <w:bookmarkEnd w:id="805"/>
      <w:bookmarkEnd w:id="806"/>
      <w:bookmarkEnd w:id="807"/>
      <w:bookmarkEnd w:id="808"/>
      <w:bookmarkEnd w:id="809"/>
      <w:bookmarkEnd w:id="810"/>
      <w:bookmarkEnd w:id="811"/>
      <w:bookmarkEnd w:id="812"/>
      <w:bookmarkEnd w:id="813"/>
      <w:r>
        <w:rPr>
          <w:rFonts w:hint="eastAsia" w:ascii="Times New Roman" w:hAnsi="Times New Roman" w:cs="Times New Roman"/>
          <w:b/>
          <w:bCs/>
          <w:color w:val="auto"/>
          <w:lang w:eastAsia="zh-CN"/>
        </w:rPr>
        <w:t>刻蚀液</w:t>
      </w:r>
      <w:bookmarkEnd w:id="814"/>
      <w:bookmarkEnd w:id="815"/>
      <w:bookmarkEnd w:id="816"/>
      <w:bookmarkEnd w:id="817"/>
    </w:p>
    <w:p w14:paraId="51BB89A9">
      <w:pPr>
        <w:spacing w:line="360" w:lineRule="auto"/>
        <w:ind w:firstLine="482"/>
        <w:jc w:val="both"/>
        <w:outlineLvl w:val="3"/>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4.2.2.3 原辅材料消耗</w:t>
      </w:r>
    </w:p>
    <w:p w14:paraId="229CEF9D">
      <w:pPr>
        <w:spacing w:line="360" w:lineRule="auto"/>
        <w:ind w:firstLine="480"/>
        <w:rPr>
          <w:rFonts w:ascii="Times New Roman" w:hAnsi="Times New Roman" w:cs="Times New Roman"/>
          <w:color w:val="auto"/>
          <w:lang w:val="zh-CN" w:eastAsia="zh-CN"/>
        </w:rPr>
      </w:pPr>
      <w:r>
        <w:rPr>
          <w:rFonts w:hint="eastAsia" w:ascii="Times New Roman" w:hAnsi="Times New Roman" w:cs="Times New Roman"/>
          <w:bCs/>
          <w:color w:val="auto"/>
          <w:lang w:eastAsia="zh-CN"/>
        </w:rPr>
        <w:t>刻蚀液</w:t>
      </w:r>
      <w:r>
        <w:rPr>
          <w:rFonts w:ascii="Times New Roman" w:hAnsi="Times New Roman" w:cs="Times New Roman"/>
          <w:color w:val="auto"/>
          <w:lang w:val="zh-CN" w:eastAsia="zh-CN"/>
        </w:rPr>
        <w:t>生产装置主要原、辅材料及消耗见下表。</w:t>
      </w:r>
    </w:p>
    <w:p w14:paraId="79A11DFE">
      <w:pPr>
        <w:spacing w:line="360" w:lineRule="auto"/>
        <w:jc w:val="center"/>
        <w:rPr>
          <w:rFonts w:ascii="Times New Roman" w:hAnsi="Times New Roman" w:cs="Times New Roman"/>
          <w:b/>
          <w:bCs/>
          <w:color w:val="auto"/>
          <w:lang w:val="zh-CN" w:eastAsia="zh-CN"/>
        </w:rPr>
      </w:pPr>
      <w:r>
        <w:rPr>
          <w:rFonts w:ascii="Times New Roman" w:hAnsi="Times New Roman" w:cs="Times New Roman"/>
          <w:b/>
          <w:bCs/>
          <w:color w:val="auto"/>
          <w:lang w:val="zh-CN" w:eastAsia="zh-CN"/>
        </w:rPr>
        <w:t>表</w:t>
      </w:r>
      <w:r>
        <w:rPr>
          <w:rFonts w:ascii="Times New Roman" w:hAnsi="Times New Roman" w:cs="Times New Roman"/>
          <w:b/>
          <w:bCs/>
          <w:color w:val="auto"/>
          <w:lang w:eastAsia="zh-CN"/>
        </w:rPr>
        <w:t>4.2</w:t>
      </w:r>
      <w:r>
        <w:rPr>
          <w:rFonts w:ascii="Times New Roman" w:hAnsi="Times New Roman" w:cs="Times New Roman"/>
          <w:b/>
          <w:bCs/>
          <w:color w:val="auto"/>
          <w:lang w:val="zh-CN" w:eastAsia="zh-CN"/>
        </w:rPr>
        <w:t>-</w:t>
      </w:r>
      <w:r>
        <w:rPr>
          <w:rFonts w:hint="eastAsia" w:ascii="Times New Roman" w:hAnsi="Times New Roman" w:cs="Times New Roman"/>
          <w:b/>
          <w:bCs/>
          <w:color w:val="auto"/>
          <w:lang w:eastAsia="zh-CN"/>
        </w:rPr>
        <w:t>8</w:t>
      </w:r>
      <w:r>
        <w:rPr>
          <w:rFonts w:ascii="Times New Roman" w:hAnsi="Times New Roman" w:cs="Times New Roman"/>
          <w:b/>
          <w:bCs/>
          <w:color w:val="auto"/>
          <w:lang w:eastAsia="zh-CN"/>
        </w:rPr>
        <w:t xml:space="preserve"> </w:t>
      </w:r>
      <w:r>
        <w:rPr>
          <w:rFonts w:hint="eastAsia" w:ascii="Times New Roman" w:hAnsi="Times New Roman" w:cs="Times New Roman"/>
          <w:b/>
          <w:color w:val="auto"/>
          <w:lang w:eastAsia="zh-CN"/>
        </w:rPr>
        <w:t>刻蚀液</w:t>
      </w:r>
      <w:r>
        <w:rPr>
          <w:rFonts w:ascii="Times New Roman" w:hAnsi="Times New Roman" w:cs="Times New Roman"/>
          <w:b/>
          <w:bCs/>
          <w:color w:val="auto"/>
          <w:lang w:val="zh-CN" w:eastAsia="zh-CN"/>
        </w:rPr>
        <w:t>生产装置原辅材料消耗一览表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663"/>
        <w:gridCol w:w="2598"/>
        <w:gridCol w:w="708"/>
        <w:gridCol w:w="1419"/>
        <w:gridCol w:w="1132"/>
        <w:gridCol w:w="3226"/>
      </w:tblGrid>
      <w:tr w14:paraId="5616EE0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40" w:type="pct"/>
            <w:vAlign w:val="center"/>
          </w:tcPr>
          <w:p w14:paraId="35088FD0">
            <w:pPr>
              <w:jc w:val="center"/>
              <w:rPr>
                <w:rFonts w:ascii="Times New Roman" w:hAnsi="Times New Roman" w:cs="Times New Roman"/>
                <w:b/>
                <w:bCs/>
                <w:color w:val="000000" w:themeColor="text1"/>
                <w:sz w:val="21"/>
                <w:lang w:val="zh-CN"/>
                <w14:textFill>
                  <w14:solidFill>
                    <w14:schemeClr w14:val="tx1"/>
                  </w14:solidFill>
                </w14:textFill>
              </w:rPr>
            </w:pPr>
            <w:r>
              <w:rPr>
                <w:rFonts w:ascii="Times New Roman" w:hAnsi="Times New Roman" w:cs="Times New Roman"/>
                <w:b/>
                <w:bCs/>
                <w:color w:val="000000" w:themeColor="text1"/>
                <w:sz w:val="21"/>
                <w:lang w:val="zh-CN"/>
                <w14:textFill>
                  <w14:solidFill>
                    <w14:schemeClr w14:val="tx1"/>
                  </w14:solidFill>
                </w14:textFill>
              </w:rPr>
              <w:t>序号</w:t>
            </w:r>
          </w:p>
        </w:tc>
        <w:tc>
          <w:tcPr>
            <w:tcW w:w="1333" w:type="pct"/>
            <w:vAlign w:val="center"/>
          </w:tcPr>
          <w:p w14:paraId="2481DFD4">
            <w:pPr>
              <w:jc w:val="center"/>
              <w:rPr>
                <w:rFonts w:ascii="Times New Roman" w:hAnsi="Times New Roman" w:cs="Times New Roman"/>
                <w:b/>
                <w:bCs/>
                <w:color w:val="000000" w:themeColor="text1"/>
                <w:sz w:val="21"/>
                <w:lang w:val="zh-CN"/>
                <w14:textFill>
                  <w14:solidFill>
                    <w14:schemeClr w14:val="tx1"/>
                  </w14:solidFill>
                </w14:textFill>
              </w:rPr>
            </w:pPr>
            <w:r>
              <w:rPr>
                <w:rFonts w:ascii="Times New Roman" w:hAnsi="Times New Roman" w:cs="Times New Roman"/>
                <w:b/>
                <w:bCs/>
                <w:color w:val="000000" w:themeColor="text1"/>
                <w:sz w:val="21"/>
                <w:lang w:val="zh-CN"/>
                <w14:textFill>
                  <w14:solidFill>
                    <w14:schemeClr w14:val="tx1"/>
                  </w14:solidFill>
                </w14:textFill>
              </w:rPr>
              <w:t>物料名称</w:t>
            </w:r>
          </w:p>
        </w:tc>
        <w:tc>
          <w:tcPr>
            <w:tcW w:w="363" w:type="pct"/>
            <w:vAlign w:val="center"/>
          </w:tcPr>
          <w:p w14:paraId="25748383">
            <w:pPr>
              <w:jc w:val="center"/>
              <w:rPr>
                <w:rFonts w:ascii="Times New Roman" w:hAnsi="Times New Roman" w:cs="Times New Roman"/>
                <w:b/>
                <w:bCs/>
                <w:color w:val="000000" w:themeColor="text1"/>
                <w:sz w:val="21"/>
                <w:lang w:val="zh-CN"/>
                <w14:textFill>
                  <w14:solidFill>
                    <w14:schemeClr w14:val="tx1"/>
                  </w14:solidFill>
                </w14:textFill>
              </w:rPr>
            </w:pPr>
            <w:r>
              <w:rPr>
                <w:rFonts w:ascii="Times New Roman" w:hAnsi="Times New Roman" w:cs="Times New Roman"/>
                <w:b/>
                <w:bCs/>
                <w:color w:val="000000" w:themeColor="text1"/>
                <w:sz w:val="21"/>
                <w14:textFill>
                  <w14:solidFill>
                    <w14:schemeClr w14:val="tx1"/>
                  </w14:solidFill>
                </w14:textFill>
              </w:rPr>
              <w:t>物质形态</w:t>
            </w:r>
          </w:p>
        </w:tc>
        <w:tc>
          <w:tcPr>
            <w:tcW w:w="728" w:type="pct"/>
            <w:vAlign w:val="center"/>
          </w:tcPr>
          <w:p w14:paraId="01E5F49D">
            <w:pPr>
              <w:jc w:val="center"/>
              <w:rPr>
                <w:rFonts w:ascii="Times New Roman" w:hAnsi="Times New Roman" w:cs="Times New Roman"/>
                <w:b/>
                <w:bCs/>
                <w:color w:val="000000" w:themeColor="text1"/>
                <w:sz w:val="21"/>
                <w:lang w:val="zh-CN" w:eastAsia="zh-CN"/>
                <w14:textFill>
                  <w14:solidFill>
                    <w14:schemeClr w14:val="tx1"/>
                  </w14:solidFill>
                </w14:textFill>
              </w:rPr>
            </w:pPr>
            <w:r>
              <w:rPr>
                <w:rFonts w:ascii="Times New Roman" w:hAnsi="Times New Roman" w:cs="Times New Roman"/>
                <w:b/>
                <w:bCs/>
                <w:color w:val="000000" w:themeColor="text1"/>
                <w:sz w:val="21"/>
                <w:lang w:val="zh-CN" w:eastAsia="zh-CN"/>
                <w14:textFill>
                  <w14:solidFill>
                    <w14:schemeClr w14:val="tx1"/>
                  </w14:solidFill>
                </w14:textFill>
              </w:rPr>
              <w:t>每</w:t>
            </w:r>
            <w:r>
              <w:rPr>
                <w:rFonts w:hint="eastAsia" w:ascii="Times New Roman" w:hAnsi="Times New Roman" w:cs="Times New Roman"/>
                <w:b/>
                <w:bCs/>
                <w:color w:val="000000" w:themeColor="text1"/>
                <w:sz w:val="21"/>
                <w:lang w:val="zh-CN" w:eastAsia="zh-CN"/>
                <w14:textFill>
                  <w14:solidFill>
                    <w14:schemeClr w14:val="tx1"/>
                  </w14:solidFill>
                </w14:textFill>
              </w:rPr>
              <w:t>批</w:t>
            </w:r>
            <w:r>
              <w:rPr>
                <w:rFonts w:ascii="Times New Roman" w:hAnsi="Times New Roman" w:cs="Times New Roman"/>
                <w:b/>
                <w:bCs/>
                <w:color w:val="000000" w:themeColor="text1"/>
                <w:sz w:val="21"/>
                <w:lang w:val="zh-CN" w:eastAsia="zh-CN"/>
                <w14:textFill>
                  <w14:solidFill>
                    <w14:schemeClr w14:val="tx1"/>
                  </w14:solidFill>
                </w14:textFill>
              </w:rPr>
              <w:t>次消耗量（kg/</w:t>
            </w:r>
            <w:r>
              <w:rPr>
                <w:rFonts w:hint="eastAsia" w:ascii="Times New Roman" w:hAnsi="Times New Roman" w:cs="Times New Roman"/>
                <w:b/>
                <w:bCs/>
                <w:color w:val="000000" w:themeColor="text1"/>
                <w:sz w:val="21"/>
                <w:lang w:val="zh-CN" w:eastAsia="zh-CN"/>
                <w14:textFill>
                  <w14:solidFill>
                    <w14:schemeClr w14:val="tx1"/>
                  </w14:solidFill>
                </w14:textFill>
              </w:rPr>
              <w:t>批</w:t>
            </w:r>
            <w:r>
              <w:rPr>
                <w:rFonts w:ascii="Times New Roman" w:hAnsi="Times New Roman" w:cs="Times New Roman"/>
                <w:b/>
                <w:bCs/>
                <w:color w:val="000000" w:themeColor="text1"/>
                <w:sz w:val="21"/>
                <w:lang w:val="zh-CN" w:eastAsia="zh-CN"/>
                <w14:textFill>
                  <w14:solidFill>
                    <w14:schemeClr w14:val="tx1"/>
                  </w14:solidFill>
                </w14:textFill>
              </w:rPr>
              <w:t>）</w:t>
            </w:r>
          </w:p>
        </w:tc>
        <w:tc>
          <w:tcPr>
            <w:tcW w:w="581" w:type="pct"/>
            <w:vAlign w:val="center"/>
          </w:tcPr>
          <w:p w14:paraId="6DE5CB1A">
            <w:pPr>
              <w:jc w:val="center"/>
              <w:rPr>
                <w:rFonts w:ascii="Times New Roman" w:hAnsi="Times New Roman" w:cs="Times New Roman"/>
                <w:b/>
                <w:bCs/>
                <w:color w:val="000000" w:themeColor="text1"/>
                <w:sz w:val="21"/>
                <w:lang w:val="zh-CN"/>
                <w14:textFill>
                  <w14:solidFill>
                    <w14:schemeClr w14:val="tx1"/>
                  </w14:solidFill>
                </w14:textFill>
              </w:rPr>
            </w:pPr>
            <w:r>
              <w:rPr>
                <w:rFonts w:ascii="Times New Roman" w:hAnsi="Times New Roman" w:cs="Times New Roman"/>
                <w:b/>
                <w:bCs/>
                <w:color w:val="000000" w:themeColor="text1"/>
                <w:sz w:val="21"/>
                <w:lang w:val="zh-CN"/>
                <w14:textFill>
                  <w14:solidFill>
                    <w14:schemeClr w14:val="tx1"/>
                  </w14:solidFill>
                </w14:textFill>
              </w:rPr>
              <w:t>年消耗量（t/a）</w:t>
            </w:r>
          </w:p>
        </w:tc>
        <w:tc>
          <w:tcPr>
            <w:tcW w:w="1655" w:type="pct"/>
            <w:vAlign w:val="center"/>
          </w:tcPr>
          <w:p w14:paraId="23AD9AC3">
            <w:pPr>
              <w:jc w:val="center"/>
              <w:rPr>
                <w:rFonts w:ascii="Times New Roman" w:hAnsi="Times New Roman" w:cs="Times New Roman"/>
                <w:b/>
                <w:bCs/>
                <w:color w:val="000000" w:themeColor="text1"/>
                <w:sz w:val="21"/>
                <w:lang w:val="zh-CN"/>
                <w14:textFill>
                  <w14:solidFill>
                    <w14:schemeClr w14:val="tx1"/>
                  </w14:solidFill>
                </w14:textFill>
              </w:rPr>
            </w:pPr>
            <w:r>
              <w:rPr>
                <w:rFonts w:ascii="Times New Roman" w:hAnsi="Times New Roman" w:cs="Times New Roman"/>
                <w:b/>
                <w:bCs/>
                <w:color w:val="000000" w:themeColor="text1"/>
                <w:sz w:val="21"/>
                <w:lang w:val="zh-CN"/>
                <w14:textFill>
                  <w14:solidFill>
                    <w14:schemeClr w14:val="tx1"/>
                  </w14:solidFill>
                </w14:textFill>
              </w:rPr>
              <w:t>物料投加方式</w:t>
            </w:r>
          </w:p>
        </w:tc>
      </w:tr>
      <w:tr w14:paraId="2CC742F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40" w:type="pct"/>
            <w:vAlign w:val="center"/>
          </w:tcPr>
          <w:p w14:paraId="48B73FF0">
            <w:pPr>
              <w:jc w:val="center"/>
              <w:rPr>
                <w:rFonts w:ascii="Times New Roman" w:hAnsi="Times New Roman" w:cs="Times New Roman"/>
                <w:color w:val="000000" w:themeColor="text1"/>
                <w:sz w:val="21"/>
                <w:lang w:val="zh-CN"/>
                <w14:textFill>
                  <w14:solidFill>
                    <w14:schemeClr w14:val="tx1"/>
                  </w14:solidFill>
                </w14:textFill>
              </w:rPr>
            </w:pPr>
            <w:r>
              <w:rPr>
                <w:rFonts w:ascii="Times New Roman" w:hAnsi="Times New Roman" w:cs="Times New Roman"/>
                <w:color w:val="000000" w:themeColor="text1"/>
                <w:sz w:val="21"/>
                <w:lang w:val="zh-CN"/>
                <w14:textFill>
                  <w14:solidFill>
                    <w14:schemeClr w14:val="tx1"/>
                  </w14:solidFill>
                </w14:textFill>
              </w:rPr>
              <w:t>1</w:t>
            </w:r>
          </w:p>
        </w:tc>
        <w:tc>
          <w:tcPr>
            <w:tcW w:w="1333" w:type="pct"/>
            <w:vAlign w:val="center"/>
          </w:tcPr>
          <w:p w14:paraId="391CC483">
            <w:pPr>
              <w:jc w:val="center"/>
              <w:rPr>
                <w:rFonts w:ascii="Times New Roman" w:hAnsi="Times New Roman" w:cs="Times New Roman"/>
                <w:color w:val="000000" w:themeColor="text1"/>
                <w:sz w:val="21"/>
                <w:lang w:val="zh-CN"/>
                <w14:textFill>
                  <w14:solidFill>
                    <w14:schemeClr w14:val="tx1"/>
                  </w14:solidFill>
                </w14:textFill>
              </w:rPr>
            </w:pPr>
          </w:p>
        </w:tc>
        <w:tc>
          <w:tcPr>
            <w:tcW w:w="363" w:type="pct"/>
            <w:vAlign w:val="center"/>
          </w:tcPr>
          <w:p w14:paraId="1FABA5C4">
            <w:pPr>
              <w:jc w:val="center"/>
              <w:rPr>
                <w:rFonts w:ascii="Times New Roman" w:hAnsi="Times New Roman" w:cs="Times New Roman"/>
                <w:color w:val="000000" w:themeColor="text1"/>
                <w:sz w:val="21"/>
                <w14:textFill>
                  <w14:solidFill>
                    <w14:schemeClr w14:val="tx1"/>
                  </w14:solidFill>
                </w14:textFill>
              </w:rPr>
            </w:pPr>
          </w:p>
        </w:tc>
        <w:tc>
          <w:tcPr>
            <w:tcW w:w="728" w:type="pct"/>
            <w:vAlign w:val="center"/>
          </w:tcPr>
          <w:p w14:paraId="17031152">
            <w:pPr>
              <w:jc w:val="center"/>
              <w:rPr>
                <w:rFonts w:ascii="Times New Roman" w:hAnsi="Times New Roman" w:cs="Times New Roman"/>
                <w:color w:val="000000" w:themeColor="text1"/>
                <w:sz w:val="21"/>
                <w:szCs w:val="18"/>
                <w:lang w:eastAsia="zh-CN"/>
                <w14:textFill>
                  <w14:solidFill>
                    <w14:schemeClr w14:val="tx1"/>
                  </w14:solidFill>
                </w14:textFill>
              </w:rPr>
            </w:pPr>
          </w:p>
        </w:tc>
        <w:tc>
          <w:tcPr>
            <w:tcW w:w="581" w:type="pct"/>
            <w:vAlign w:val="center"/>
          </w:tcPr>
          <w:p w14:paraId="6BBC2458">
            <w:pPr>
              <w:jc w:val="center"/>
              <w:rPr>
                <w:rFonts w:ascii="Times New Roman" w:hAnsi="Times New Roman" w:cs="Times New Roman"/>
                <w:color w:val="000000" w:themeColor="text1"/>
                <w:sz w:val="21"/>
                <w:lang w:val="zh-CN" w:eastAsia="zh-CN"/>
                <w14:textFill>
                  <w14:solidFill>
                    <w14:schemeClr w14:val="tx1"/>
                  </w14:solidFill>
                </w14:textFill>
              </w:rPr>
            </w:pPr>
          </w:p>
        </w:tc>
        <w:tc>
          <w:tcPr>
            <w:tcW w:w="1655" w:type="pct"/>
            <w:vAlign w:val="center"/>
          </w:tcPr>
          <w:p w14:paraId="2BCB2E98">
            <w:pPr>
              <w:jc w:val="center"/>
              <w:rPr>
                <w:rFonts w:ascii="Times New Roman" w:hAnsi="Times New Roman" w:cs="Times New Roman"/>
                <w:color w:val="000000" w:themeColor="text1"/>
                <w:sz w:val="21"/>
                <w:lang w:val="zh-CN" w:eastAsia="zh-CN"/>
                <w14:textFill>
                  <w14:solidFill>
                    <w14:schemeClr w14:val="tx1"/>
                  </w14:solidFill>
                </w14:textFill>
              </w:rPr>
            </w:pPr>
          </w:p>
        </w:tc>
      </w:tr>
      <w:tr w14:paraId="5C727CB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40" w:type="pct"/>
            <w:vAlign w:val="center"/>
          </w:tcPr>
          <w:p w14:paraId="73614EC7">
            <w:pPr>
              <w:jc w:val="center"/>
              <w:rPr>
                <w:rFonts w:ascii="Times New Roman" w:hAnsi="Times New Roman" w:cs="Times New Roman"/>
                <w:color w:val="000000" w:themeColor="text1"/>
                <w:sz w:val="21"/>
                <w:lang w:val="zh-CN"/>
                <w14:textFill>
                  <w14:solidFill>
                    <w14:schemeClr w14:val="tx1"/>
                  </w14:solidFill>
                </w14:textFill>
              </w:rPr>
            </w:pPr>
            <w:r>
              <w:rPr>
                <w:rFonts w:ascii="Times New Roman" w:hAnsi="Times New Roman" w:cs="Times New Roman"/>
                <w:color w:val="000000" w:themeColor="text1"/>
                <w:sz w:val="21"/>
                <w:lang w:val="zh-CN"/>
                <w14:textFill>
                  <w14:solidFill>
                    <w14:schemeClr w14:val="tx1"/>
                  </w14:solidFill>
                </w14:textFill>
              </w:rPr>
              <w:t>2</w:t>
            </w:r>
          </w:p>
        </w:tc>
        <w:tc>
          <w:tcPr>
            <w:tcW w:w="1333" w:type="pct"/>
            <w:vAlign w:val="center"/>
          </w:tcPr>
          <w:p w14:paraId="77181FF3">
            <w:pPr>
              <w:jc w:val="center"/>
              <w:rPr>
                <w:rFonts w:ascii="Times New Roman" w:hAnsi="Times New Roman" w:cs="Times New Roman"/>
                <w:color w:val="000000" w:themeColor="text1"/>
                <w:sz w:val="21"/>
                <w:lang w:val="zh-CN"/>
                <w14:textFill>
                  <w14:solidFill>
                    <w14:schemeClr w14:val="tx1"/>
                  </w14:solidFill>
                </w14:textFill>
              </w:rPr>
            </w:pPr>
          </w:p>
        </w:tc>
        <w:tc>
          <w:tcPr>
            <w:tcW w:w="363" w:type="pct"/>
            <w:vAlign w:val="center"/>
          </w:tcPr>
          <w:p w14:paraId="738EB0A0">
            <w:pPr>
              <w:jc w:val="center"/>
              <w:rPr>
                <w:rFonts w:ascii="Times New Roman" w:hAnsi="Times New Roman" w:cs="Times New Roman"/>
                <w:color w:val="000000" w:themeColor="text1"/>
                <w:sz w:val="21"/>
                <w14:textFill>
                  <w14:solidFill>
                    <w14:schemeClr w14:val="tx1"/>
                  </w14:solidFill>
                </w14:textFill>
              </w:rPr>
            </w:pPr>
          </w:p>
        </w:tc>
        <w:tc>
          <w:tcPr>
            <w:tcW w:w="728" w:type="pct"/>
            <w:vAlign w:val="center"/>
          </w:tcPr>
          <w:p w14:paraId="441AD400">
            <w:pPr>
              <w:jc w:val="center"/>
              <w:rPr>
                <w:rFonts w:ascii="Times New Roman" w:hAnsi="Times New Roman" w:cs="Times New Roman"/>
                <w:color w:val="000000" w:themeColor="text1"/>
                <w:sz w:val="21"/>
                <w:szCs w:val="18"/>
                <w:lang w:eastAsia="zh-CN"/>
                <w14:textFill>
                  <w14:solidFill>
                    <w14:schemeClr w14:val="tx1"/>
                  </w14:solidFill>
                </w14:textFill>
              </w:rPr>
            </w:pPr>
          </w:p>
        </w:tc>
        <w:tc>
          <w:tcPr>
            <w:tcW w:w="581" w:type="pct"/>
            <w:vAlign w:val="center"/>
          </w:tcPr>
          <w:p w14:paraId="5443D0CD">
            <w:pPr>
              <w:jc w:val="center"/>
              <w:rPr>
                <w:rFonts w:ascii="Times New Roman" w:hAnsi="Times New Roman" w:cs="Times New Roman"/>
                <w:color w:val="000000" w:themeColor="text1"/>
                <w:sz w:val="21"/>
                <w:lang w:eastAsia="zh-CN"/>
                <w14:textFill>
                  <w14:solidFill>
                    <w14:schemeClr w14:val="tx1"/>
                  </w14:solidFill>
                </w14:textFill>
              </w:rPr>
            </w:pPr>
          </w:p>
        </w:tc>
        <w:tc>
          <w:tcPr>
            <w:tcW w:w="1655" w:type="pct"/>
            <w:vAlign w:val="center"/>
          </w:tcPr>
          <w:p w14:paraId="48AE2948">
            <w:pPr>
              <w:jc w:val="center"/>
              <w:rPr>
                <w:rFonts w:ascii="Times New Roman" w:hAnsi="Times New Roman" w:cs="Times New Roman"/>
                <w:color w:val="000000" w:themeColor="text1"/>
                <w:sz w:val="21"/>
                <w:lang w:eastAsia="zh-CN"/>
                <w14:textFill>
                  <w14:solidFill>
                    <w14:schemeClr w14:val="tx1"/>
                  </w14:solidFill>
                </w14:textFill>
              </w:rPr>
            </w:pPr>
          </w:p>
        </w:tc>
      </w:tr>
      <w:tr w14:paraId="0C9D86C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40" w:type="pct"/>
            <w:vAlign w:val="center"/>
          </w:tcPr>
          <w:p w14:paraId="785AB1BB">
            <w:pPr>
              <w:jc w:val="center"/>
              <w:rPr>
                <w:rFonts w:ascii="Times New Roman" w:hAnsi="Times New Roman" w:cs="Times New Roman"/>
                <w:color w:val="000000" w:themeColor="text1"/>
                <w:sz w:val="21"/>
                <w:lang w:val="zh-CN" w:eastAsia="zh-CN"/>
                <w14:textFill>
                  <w14:solidFill>
                    <w14:schemeClr w14:val="tx1"/>
                  </w14:solidFill>
                </w14:textFill>
              </w:rPr>
            </w:pPr>
            <w:r>
              <w:rPr>
                <w:rFonts w:hint="eastAsia" w:ascii="Times New Roman" w:hAnsi="Times New Roman" w:cs="Times New Roman"/>
                <w:color w:val="000000" w:themeColor="text1"/>
                <w:sz w:val="21"/>
                <w:lang w:val="zh-CN" w:eastAsia="zh-CN"/>
                <w14:textFill>
                  <w14:solidFill>
                    <w14:schemeClr w14:val="tx1"/>
                  </w14:solidFill>
                </w14:textFill>
              </w:rPr>
              <w:t>3</w:t>
            </w:r>
          </w:p>
        </w:tc>
        <w:tc>
          <w:tcPr>
            <w:tcW w:w="1333" w:type="pct"/>
            <w:vAlign w:val="center"/>
          </w:tcPr>
          <w:p w14:paraId="4A6143A0">
            <w:pPr>
              <w:jc w:val="center"/>
              <w:rPr>
                <w:rFonts w:ascii="Times New Roman" w:hAnsi="Times New Roman" w:cs="Times New Roman"/>
                <w:color w:val="000000" w:themeColor="text1"/>
                <w:sz w:val="21"/>
                <w:lang w:val="zh-CN" w:eastAsia="zh-CN"/>
                <w14:textFill>
                  <w14:solidFill>
                    <w14:schemeClr w14:val="tx1"/>
                  </w14:solidFill>
                </w14:textFill>
              </w:rPr>
            </w:pPr>
          </w:p>
        </w:tc>
        <w:tc>
          <w:tcPr>
            <w:tcW w:w="363" w:type="pct"/>
            <w:vAlign w:val="center"/>
          </w:tcPr>
          <w:p w14:paraId="106C3229">
            <w:pPr>
              <w:jc w:val="center"/>
              <w:rPr>
                <w:rFonts w:ascii="Times New Roman" w:hAnsi="Times New Roman" w:cs="Times New Roman"/>
                <w:color w:val="000000" w:themeColor="text1"/>
                <w:sz w:val="21"/>
                <w:lang w:val="zh-CN"/>
                <w14:textFill>
                  <w14:solidFill>
                    <w14:schemeClr w14:val="tx1"/>
                  </w14:solidFill>
                </w14:textFill>
              </w:rPr>
            </w:pPr>
          </w:p>
        </w:tc>
        <w:tc>
          <w:tcPr>
            <w:tcW w:w="728" w:type="pct"/>
            <w:vAlign w:val="center"/>
          </w:tcPr>
          <w:p w14:paraId="21CD0AFD">
            <w:pPr>
              <w:jc w:val="center"/>
              <w:rPr>
                <w:rFonts w:ascii="Times New Roman" w:hAnsi="Times New Roman" w:cs="Times New Roman"/>
                <w:color w:val="auto"/>
                <w:sz w:val="21"/>
                <w:szCs w:val="18"/>
                <w:lang w:eastAsia="zh-CN"/>
              </w:rPr>
            </w:pPr>
          </w:p>
        </w:tc>
        <w:tc>
          <w:tcPr>
            <w:tcW w:w="581" w:type="pct"/>
            <w:vAlign w:val="center"/>
          </w:tcPr>
          <w:p w14:paraId="522B594F">
            <w:pPr>
              <w:jc w:val="center"/>
              <w:rPr>
                <w:rFonts w:ascii="Times New Roman" w:hAnsi="Times New Roman" w:cs="Times New Roman"/>
                <w:color w:val="auto"/>
                <w:sz w:val="21"/>
                <w:lang w:val="zh-CN" w:eastAsia="zh-CN"/>
              </w:rPr>
            </w:pPr>
          </w:p>
        </w:tc>
        <w:tc>
          <w:tcPr>
            <w:tcW w:w="1655" w:type="pct"/>
            <w:vAlign w:val="center"/>
          </w:tcPr>
          <w:p w14:paraId="640E1DE3">
            <w:pPr>
              <w:jc w:val="center"/>
              <w:rPr>
                <w:rFonts w:ascii="Times New Roman" w:hAnsi="Times New Roman" w:cs="Times New Roman"/>
                <w:color w:val="000000" w:themeColor="text1"/>
                <w:sz w:val="21"/>
                <w:lang w:val="zh-CN" w:eastAsia="zh-CN"/>
                <w14:textFill>
                  <w14:solidFill>
                    <w14:schemeClr w14:val="tx1"/>
                  </w14:solidFill>
                </w14:textFill>
              </w:rPr>
            </w:pPr>
          </w:p>
        </w:tc>
      </w:tr>
    </w:tbl>
    <w:p w14:paraId="4ABF0BA6">
      <w:pPr>
        <w:spacing w:line="360" w:lineRule="auto"/>
        <w:ind w:firstLine="482"/>
        <w:jc w:val="both"/>
        <w:outlineLvl w:val="3"/>
        <w:rPr>
          <w:rFonts w:ascii="Times New Roman" w:hAnsi="Times New Roman" w:cs="Times New Roman"/>
          <w:b/>
          <w:bCs/>
          <w:color w:val="auto"/>
          <w:szCs w:val="24"/>
          <w:lang w:eastAsia="zh-CN"/>
        </w:rPr>
      </w:pPr>
      <w:bookmarkStart w:id="818" w:name="_1799148753"/>
      <w:bookmarkEnd w:id="818"/>
      <w:r>
        <w:rPr>
          <w:rFonts w:ascii="Times New Roman" w:hAnsi="Times New Roman" w:cs="Times New Roman"/>
          <w:b/>
          <w:bCs/>
          <w:color w:val="auto"/>
          <w:szCs w:val="24"/>
          <w:lang w:eastAsia="zh-CN"/>
        </w:rPr>
        <w:t>4.2.2.4 生产设备</w:t>
      </w:r>
    </w:p>
    <w:p w14:paraId="1E2ECEF3">
      <w:pPr>
        <w:spacing w:line="360" w:lineRule="auto"/>
        <w:ind w:firstLine="480"/>
        <w:rPr>
          <w:rFonts w:ascii="Times New Roman" w:hAnsi="Times New Roman" w:cs="Times New Roman"/>
          <w:color w:val="auto"/>
          <w:lang w:val="zh-CN" w:eastAsia="zh-CN"/>
        </w:rPr>
      </w:pPr>
      <w:r>
        <w:rPr>
          <w:rFonts w:hint="eastAsia" w:ascii="Times New Roman" w:hAnsi="Times New Roman" w:cs="Times New Roman"/>
          <w:bCs/>
          <w:color w:val="auto"/>
          <w:lang w:eastAsia="zh-CN"/>
        </w:rPr>
        <w:t>刻蚀液</w:t>
      </w:r>
      <w:r>
        <w:rPr>
          <w:rFonts w:ascii="Times New Roman" w:hAnsi="Times New Roman" w:cs="Times New Roman"/>
          <w:color w:val="auto"/>
          <w:lang w:eastAsia="zh-CN"/>
        </w:rPr>
        <w:t>主要生产设备见下表</w:t>
      </w:r>
      <w:r>
        <w:rPr>
          <w:rFonts w:ascii="Times New Roman" w:hAnsi="Times New Roman" w:cs="Times New Roman"/>
          <w:color w:val="auto"/>
          <w:lang w:val="zh-CN" w:eastAsia="zh-CN"/>
        </w:rPr>
        <w:t>。</w:t>
      </w:r>
    </w:p>
    <w:p w14:paraId="04C60C7C">
      <w:pPr>
        <w:spacing w:line="360" w:lineRule="auto"/>
        <w:jc w:val="center"/>
        <w:rPr>
          <w:rFonts w:ascii="Times New Roman" w:hAnsi="Times New Roman" w:cs="Times New Roman"/>
          <w:b/>
          <w:color w:val="auto"/>
          <w:lang w:eastAsia="zh-CN"/>
        </w:rPr>
      </w:pPr>
      <w:r>
        <w:rPr>
          <w:rFonts w:ascii="Times New Roman" w:hAnsi="Times New Roman" w:cs="Times New Roman"/>
          <w:b/>
          <w:color w:val="auto"/>
          <w:lang w:eastAsia="zh-CN"/>
        </w:rPr>
        <w:t>表4.2-</w:t>
      </w:r>
      <w:r>
        <w:rPr>
          <w:rFonts w:hint="eastAsia" w:ascii="Times New Roman" w:hAnsi="Times New Roman" w:cs="Times New Roman"/>
          <w:b/>
          <w:color w:val="auto"/>
          <w:lang w:eastAsia="zh-CN"/>
        </w:rPr>
        <w:t>9</w:t>
      </w:r>
      <w:r>
        <w:rPr>
          <w:rFonts w:ascii="Times New Roman" w:hAnsi="Times New Roman" w:cs="Times New Roman"/>
          <w:b/>
          <w:color w:val="auto"/>
          <w:lang w:eastAsia="zh-CN"/>
        </w:rPr>
        <w:t xml:space="preserve"> </w:t>
      </w:r>
      <w:r>
        <w:rPr>
          <w:rFonts w:hint="eastAsia" w:ascii="Times New Roman" w:hAnsi="Times New Roman" w:cs="Times New Roman"/>
          <w:b/>
          <w:bCs/>
          <w:color w:val="auto"/>
          <w:lang w:eastAsia="zh-CN"/>
        </w:rPr>
        <w:t>刻蚀液</w:t>
      </w:r>
      <w:r>
        <w:rPr>
          <w:rFonts w:ascii="Times New Roman" w:hAnsi="Times New Roman" w:cs="Times New Roman"/>
          <w:b/>
          <w:color w:val="auto"/>
          <w:lang w:eastAsia="zh-CN"/>
        </w:rPr>
        <w:t>生产装置生产装置主要设备表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423"/>
        <w:gridCol w:w="3255"/>
        <w:gridCol w:w="2682"/>
        <w:gridCol w:w="2386"/>
      </w:tblGrid>
      <w:tr w14:paraId="6D91505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340" w:hRule="atLeast"/>
          <w:jc w:val="center"/>
        </w:trPr>
        <w:tc>
          <w:tcPr>
            <w:tcW w:w="730" w:type="pct"/>
            <w:vAlign w:val="center"/>
          </w:tcPr>
          <w:p w14:paraId="3CD99A1C">
            <w:pPr>
              <w:jc w:val="center"/>
              <w:rPr>
                <w:rFonts w:ascii="Times New Roman" w:hAnsi="Times New Roman" w:cs="Times New Roman"/>
                <w:color w:val="auto"/>
                <w:sz w:val="21"/>
              </w:rPr>
            </w:pPr>
            <w:r>
              <w:rPr>
                <w:rFonts w:ascii="Times New Roman" w:hAnsi="Times New Roman" w:cs="Times New Roman"/>
                <w:b/>
                <w:bCs/>
                <w:color w:val="auto"/>
                <w:sz w:val="21"/>
              </w:rPr>
              <w:t>序号</w:t>
            </w:r>
          </w:p>
        </w:tc>
        <w:tc>
          <w:tcPr>
            <w:tcW w:w="1670" w:type="pct"/>
            <w:vAlign w:val="center"/>
          </w:tcPr>
          <w:p w14:paraId="02F9EC55">
            <w:pPr>
              <w:jc w:val="center"/>
              <w:rPr>
                <w:rFonts w:ascii="Times New Roman" w:hAnsi="Times New Roman" w:cs="Times New Roman"/>
                <w:b/>
                <w:color w:val="auto"/>
                <w:sz w:val="21"/>
              </w:rPr>
            </w:pPr>
            <w:r>
              <w:rPr>
                <w:rFonts w:ascii="Times New Roman" w:hAnsi="Times New Roman" w:cs="Times New Roman"/>
                <w:b/>
                <w:color w:val="auto"/>
                <w:sz w:val="21"/>
              </w:rPr>
              <w:t>设备名称</w:t>
            </w:r>
          </w:p>
        </w:tc>
        <w:tc>
          <w:tcPr>
            <w:tcW w:w="1376" w:type="pct"/>
            <w:vAlign w:val="center"/>
          </w:tcPr>
          <w:p w14:paraId="26F89609">
            <w:pPr>
              <w:jc w:val="center"/>
              <w:rPr>
                <w:rFonts w:ascii="Times New Roman" w:hAnsi="Times New Roman" w:cs="Times New Roman"/>
                <w:b/>
                <w:color w:val="auto"/>
                <w:sz w:val="21"/>
              </w:rPr>
            </w:pPr>
            <w:r>
              <w:rPr>
                <w:rFonts w:ascii="Times New Roman" w:hAnsi="Times New Roman" w:cs="Times New Roman"/>
                <w:b/>
                <w:color w:val="auto"/>
                <w:sz w:val="21"/>
              </w:rPr>
              <w:t>规格型号</w:t>
            </w:r>
          </w:p>
        </w:tc>
        <w:tc>
          <w:tcPr>
            <w:tcW w:w="1224" w:type="pct"/>
            <w:vAlign w:val="center"/>
          </w:tcPr>
          <w:p w14:paraId="29A0B0CF">
            <w:pPr>
              <w:jc w:val="center"/>
              <w:rPr>
                <w:rFonts w:ascii="Times New Roman" w:hAnsi="Times New Roman" w:cs="Times New Roman"/>
                <w:b/>
                <w:color w:val="auto"/>
                <w:sz w:val="21"/>
                <w:lang w:eastAsia="zh-CN"/>
              </w:rPr>
            </w:pPr>
            <w:r>
              <w:rPr>
                <w:rFonts w:ascii="Times New Roman" w:hAnsi="Times New Roman" w:cs="Times New Roman"/>
                <w:b/>
                <w:color w:val="auto"/>
                <w:sz w:val="21"/>
              </w:rPr>
              <w:t>数量</w:t>
            </w:r>
            <w:r>
              <w:rPr>
                <w:rFonts w:ascii="Times New Roman" w:hAnsi="Times New Roman" w:cs="Times New Roman"/>
                <w:b/>
                <w:color w:val="auto"/>
                <w:sz w:val="21"/>
                <w:lang w:eastAsia="zh-CN"/>
              </w:rPr>
              <w:t>（台）</w:t>
            </w:r>
          </w:p>
        </w:tc>
      </w:tr>
      <w:tr w14:paraId="03447E3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30" w:type="pct"/>
            <w:vAlign w:val="center"/>
          </w:tcPr>
          <w:p w14:paraId="7AC3CD14">
            <w:pPr>
              <w:jc w:val="center"/>
              <w:textAlignment w:val="center"/>
              <w:rPr>
                <w:rFonts w:ascii="Times New Roman" w:hAnsi="Times New Roman" w:cs="Times New Roman"/>
                <w:color w:val="auto"/>
                <w:sz w:val="21"/>
              </w:rPr>
            </w:pPr>
            <w:r>
              <w:rPr>
                <w:rFonts w:ascii="Times New Roman" w:hAnsi="Times New Roman" w:cs="Times New Roman"/>
                <w:color w:val="auto"/>
                <w:sz w:val="21"/>
                <w:lang w:bidi="ar"/>
              </w:rPr>
              <w:t>1</w:t>
            </w:r>
          </w:p>
        </w:tc>
        <w:tc>
          <w:tcPr>
            <w:tcW w:w="1670" w:type="pct"/>
            <w:vAlign w:val="center"/>
          </w:tcPr>
          <w:p w14:paraId="449F7060">
            <w:pPr>
              <w:jc w:val="center"/>
              <w:rPr>
                <w:rFonts w:ascii="Times New Roman" w:hAnsi="Times New Roman" w:cs="Times New Roman"/>
                <w:color w:val="auto"/>
                <w:sz w:val="21"/>
                <w:lang w:eastAsia="zh-CN"/>
              </w:rPr>
            </w:pPr>
          </w:p>
        </w:tc>
        <w:tc>
          <w:tcPr>
            <w:tcW w:w="1376" w:type="pct"/>
            <w:vAlign w:val="center"/>
          </w:tcPr>
          <w:p w14:paraId="26D0EEC6">
            <w:pPr>
              <w:jc w:val="center"/>
              <w:rPr>
                <w:rFonts w:ascii="Times New Roman" w:hAnsi="Times New Roman" w:cs="Times New Roman"/>
                <w:color w:val="auto"/>
                <w:sz w:val="21"/>
                <w:vertAlign w:val="superscript"/>
                <w:lang w:eastAsia="zh-CN"/>
              </w:rPr>
            </w:pPr>
          </w:p>
        </w:tc>
        <w:tc>
          <w:tcPr>
            <w:tcW w:w="1224" w:type="pct"/>
            <w:vAlign w:val="center"/>
          </w:tcPr>
          <w:p w14:paraId="3864E9F0">
            <w:pPr>
              <w:jc w:val="center"/>
              <w:rPr>
                <w:rFonts w:ascii="Times New Roman" w:hAnsi="Times New Roman" w:cs="Times New Roman"/>
                <w:color w:val="auto"/>
                <w:sz w:val="21"/>
                <w:lang w:eastAsia="zh-CN"/>
              </w:rPr>
            </w:pPr>
          </w:p>
        </w:tc>
      </w:tr>
    </w:tbl>
    <w:p w14:paraId="4DF30341">
      <w:pPr>
        <w:spacing w:line="360" w:lineRule="auto"/>
        <w:ind w:firstLine="482"/>
        <w:jc w:val="both"/>
        <w:outlineLvl w:val="3"/>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4.2.2.5 物料平衡图</w:t>
      </w:r>
    </w:p>
    <w:p w14:paraId="7ED0B51E">
      <w:pPr>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年生产60000吨刻蚀液</w:t>
      </w:r>
      <w:r>
        <w:rPr>
          <w:rFonts w:ascii="Times New Roman" w:hAnsi="Times New Roman" w:cs="Times New Roman"/>
          <w:color w:val="auto"/>
          <w:lang w:eastAsia="zh-CN"/>
        </w:rPr>
        <w:t>。物料平衡见下图。</w:t>
      </w:r>
    </w:p>
    <w:p w14:paraId="27C13E4E">
      <w:pPr>
        <w:tabs>
          <w:tab w:val="left" w:pos="0"/>
        </w:tabs>
        <w:spacing w:line="360" w:lineRule="auto"/>
        <w:jc w:val="center"/>
        <w:rPr>
          <w:rFonts w:ascii="Times New Roman" w:hAnsi="Times New Roman" w:cs="Times New Roman"/>
          <w:b/>
          <w:color w:val="auto"/>
          <w:lang w:eastAsia="zh-CN"/>
        </w:rPr>
      </w:pPr>
      <w:r>
        <w:rPr>
          <w:rFonts w:ascii="Times New Roman" w:hAnsi="Times New Roman" w:cs="Times New Roman"/>
          <w:b/>
          <w:color w:val="auto"/>
          <w:lang w:eastAsia="zh-CN"/>
        </w:rPr>
        <w:t>表4.2-</w:t>
      </w:r>
      <w:r>
        <w:rPr>
          <w:rFonts w:hint="eastAsia" w:ascii="Times New Roman" w:hAnsi="Times New Roman" w:cs="Times New Roman"/>
          <w:b/>
          <w:color w:val="auto"/>
          <w:lang w:eastAsia="zh-CN"/>
        </w:rPr>
        <w:t>10</w:t>
      </w:r>
      <w:r>
        <w:rPr>
          <w:rFonts w:ascii="Times New Roman" w:hAnsi="Times New Roman" w:cs="Times New Roman"/>
          <w:b/>
          <w:color w:val="auto"/>
          <w:lang w:eastAsia="zh-CN"/>
        </w:rPr>
        <w:t xml:space="preserve"> </w:t>
      </w:r>
      <w:r>
        <w:rPr>
          <w:rFonts w:hint="eastAsia" w:ascii="Times New Roman" w:hAnsi="Times New Roman" w:cs="Times New Roman"/>
          <w:b/>
          <w:color w:val="auto"/>
          <w:lang w:eastAsia="zh-CN"/>
        </w:rPr>
        <w:t>刻蚀液</w:t>
      </w:r>
      <w:r>
        <w:rPr>
          <w:rFonts w:ascii="Times New Roman" w:hAnsi="Times New Roman" w:cs="Times New Roman"/>
          <w:b/>
          <w:color w:val="auto"/>
          <w:lang w:eastAsia="zh-CN"/>
        </w:rPr>
        <w:t>设备与产能匹配性</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84"/>
        <w:gridCol w:w="1222"/>
        <w:gridCol w:w="1066"/>
        <w:gridCol w:w="1066"/>
        <w:gridCol w:w="1222"/>
        <w:gridCol w:w="914"/>
        <w:gridCol w:w="1066"/>
        <w:gridCol w:w="1221"/>
        <w:gridCol w:w="985"/>
      </w:tblGrid>
      <w:tr w14:paraId="3DD358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5" w:type="pct"/>
            <w:vAlign w:val="center"/>
          </w:tcPr>
          <w:p w14:paraId="3B7FFA4C">
            <w:pPr>
              <w:jc w:val="center"/>
              <w:rPr>
                <w:rFonts w:ascii="Times New Roman" w:hAnsi="Times New Roman" w:cs="Times New Roman"/>
                <w:b/>
                <w:bCs/>
                <w:color w:val="auto"/>
                <w:sz w:val="21"/>
              </w:rPr>
            </w:pPr>
            <w:r>
              <w:rPr>
                <w:rFonts w:ascii="Times New Roman" w:hAnsi="Times New Roman" w:cs="Times New Roman"/>
                <w:b/>
                <w:bCs/>
                <w:color w:val="auto"/>
                <w:sz w:val="21"/>
              </w:rPr>
              <w:t>名称</w:t>
            </w:r>
          </w:p>
        </w:tc>
        <w:tc>
          <w:tcPr>
            <w:tcW w:w="627" w:type="pct"/>
            <w:vAlign w:val="center"/>
          </w:tcPr>
          <w:p w14:paraId="37B205C9">
            <w:pPr>
              <w:jc w:val="center"/>
              <w:rPr>
                <w:rFonts w:ascii="Times New Roman" w:hAnsi="Times New Roman" w:cs="Times New Roman"/>
                <w:b/>
                <w:bCs/>
                <w:color w:val="auto"/>
                <w:sz w:val="21"/>
              </w:rPr>
            </w:pPr>
            <w:r>
              <w:rPr>
                <w:rFonts w:ascii="Times New Roman" w:hAnsi="Times New Roman" w:cs="Times New Roman"/>
                <w:b/>
                <w:bCs/>
                <w:color w:val="auto"/>
                <w:sz w:val="21"/>
              </w:rPr>
              <w:t>每</w:t>
            </w:r>
            <w:r>
              <w:rPr>
                <w:rFonts w:hint="eastAsia" w:ascii="Times New Roman" w:hAnsi="Times New Roman" w:cs="Times New Roman"/>
                <w:b/>
                <w:bCs/>
                <w:color w:val="auto"/>
                <w:sz w:val="21"/>
                <w:lang w:eastAsia="zh-CN"/>
              </w:rPr>
              <w:t>批</w:t>
            </w:r>
            <w:r>
              <w:rPr>
                <w:rFonts w:ascii="Times New Roman" w:hAnsi="Times New Roman" w:cs="Times New Roman"/>
                <w:b/>
                <w:bCs/>
                <w:color w:val="auto"/>
                <w:sz w:val="21"/>
              </w:rPr>
              <w:t>生产量(kg)</w:t>
            </w:r>
          </w:p>
        </w:tc>
        <w:tc>
          <w:tcPr>
            <w:tcW w:w="547" w:type="pct"/>
            <w:vAlign w:val="center"/>
          </w:tcPr>
          <w:p w14:paraId="4394B122">
            <w:pPr>
              <w:jc w:val="center"/>
              <w:rPr>
                <w:rFonts w:ascii="Times New Roman" w:hAnsi="Times New Roman" w:cs="Times New Roman"/>
                <w:b/>
                <w:bCs/>
                <w:color w:val="auto"/>
                <w:sz w:val="21"/>
              </w:rPr>
            </w:pPr>
            <w:r>
              <w:rPr>
                <w:rFonts w:ascii="Times New Roman" w:hAnsi="Times New Roman" w:cs="Times New Roman"/>
                <w:b/>
                <w:bCs/>
                <w:color w:val="auto"/>
                <w:sz w:val="21"/>
              </w:rPr>
              <w:t>每</w:t>
            </w:r>
            <w:r>
              <w:rPr>
                <w:rFonts w:hint="eastAsia" w:ascii="Times New Roman" w:hAnsi="Times New Roman" w:cs="Times New Roman"/>
                <w:b/>
                <w:bCs/>
                <w:color w:val="auto"/>
                <w:sz w:val="21"/>
                <w:lang w:eastAsia="zh-CN"/>
              </w:rPr>
              <w:t>批</w:t>
            </w:r>
            <w:r>
              <w:rPr>
                <w:rFonts w:ascii="Times New Roman" w:hAnsi="Times New Roman" w:cs="Times New Roman"/>
                <w:b/>
                <w:bCs/>
                <w:color w:val="auto"/>
                <w:sz w:val="21"/>
              </w:rPr>
              <w:t>次时间(h)</w:t>
            </w:r>
          </w:p>
        </w:tc>
        <w:tc>
          <w:tcPr>
            <w:tcW w:w="547" w:type="pct"/>
            <w:vAlign w:val="center"/>
          </w:tcPr>
          <w:p w14:paraId="3A5C3946">
            <w:pPr>
              <w:jc w:val="center"/>
              <w:rPr>
                <w:rFonts w:ascii="Times New Roman" w:hAnsi="Times New Roman" w:cs="Times New Roman"/>
                <w:b/>
                <w:bCs/>
                <w:color w:val="auto"/>
                <w:sz w:val="21"/>
              </w:rPr>
            </w:pPr>
            <w:r>
              <w:rPr>
                <w:rFonts w:ascii="Times New Roman" w:hAnsi="Times New Roman" w:cs="Times New Roman"/>
                <w:b/>
                <w:bCs/>
                <w:color w:val="auto"/>
                <w:sz w:val="21"/>
              </w:rPr>
              <w:t>每日生产</w:t>
            </w:r>
            <w:r>
              <w:rPr>
                <w:rFonts w:hint="eastAsia" w:ascii="Times New Roman" w:hAnsi="Times New Roman" w:cs="Times New Roman"/>
                <w:b/>
                <w:bCs/>
                <w:color w:val="auto"/>
                <w:sz w:val="21"/>
                <w:lang w:eastAsia="zh-CN"/>
              </w:rPr>
              <w:t>批</w:t>
            </w:r>
            <w:r>
              <w:rPr>
                <w:rFonts w:ascii="Times New Roman" w:hAnsi="Times New Roman" w:cs="Times New Roman"/>
                <w:b/>
                <w:bCs/>
                <w:color w:val="auto"/>
                <w:sz w:val="21"/>
              </w:rPr>
              <w:t>次</w:t>
            </w:r>
          </w:p>
        </w:tc>
        <w:tc>
          <w:tcPr>
            <w:tcW w:w="627" w:type="pct"/>
            <w:vAlign w:val="center"/>
          </w:tcPr>
          <w:p w14:paraId="7F0DF6B0">
            <w:pPr>
              <w:jc w:val="center"/>
              <w:rPr>
                <w:rFonts w:ascii="Times New Roman" w:hAnsi="Times New Roman" w:cs="Times New Roman"/>
                <w:b/>
                <w:bCs/>
                <w:color w:val="auto"/>
                <w:sz w:val="21"/>
              </w:rPr>
            </w:pPr>
            <w:r>
              <w:rPr>
                <w:rFonts w:ascii="Times New Roman" w:hAnsi="Times New Roman" w:cs="Times New Roman"/>
                <w:b/>
                <w:bCs/>
                <w:color w:val="auto"/>
                <w:sz w:val="21"/>
              </w:rPr>
              <w:t>每日生产时间</w:t>
            </w:r>
            <w:r>
              <w:rPr>
                <w:rFonts w:ascii="Times New Roman" w:hAnsi="Times New Roman" w:cs="Times New Roman"/>
                <w:b/>
                <w:bCs/>
                <w:color w:val="auto"/>
                <w:sz w:val="21"/>
                <w:lang w:eastAsia="zh-CN"/>
              </w:rPr>
              <w:t>（h）</w:t>
            </w:r>
          </w:p>
        </w:tc>
        <w:tc>
          <w:tcPr>
            <w:tcW w:w="469" w:type="pct"/>
            <w:vAlign w:val="center"/>
          </w:tcPr>
          <w:p w14:paraId="55BDA9FC">
            <w:pPr>
              <w:jc w:val="center"/>
              <w:rPr>
                <w:rFonts w:ascii="Times New Roman" w:hAnsi="Times New Roman" w:cs="Times New Roman"/>
                <w:b/>
                <w:bCs/>
                <w:color w:val="auto"/>
                <w:sz w:val="21"/>
              </w:rPr>
            </w:pPr>
            <w:r>
              <w:rPr>
                <w:rFonts w:ascii="Times New Roman" w:hAnsi="Times New Roman" w:cs="Times New Roman"/>
                <w:b/>
                <w:bCs/>
                <w:color w:val="auto"/>
                <w:sz w:val="21"/>
              </w:rPr>
              <w:t>年生产</w:t>
            </w:r>
            <w:r>
              <w:rPr>
                <w:rFonts w:hint="eastAsia" w:ascii="Times New Roman" w:hAnsi="Times New Roman" w:cs="Times New Roman"/>
                <w:b/>
                <w:bCs/>
                <w:color w:val="auto"/>
                <w:sz w:val="21"/>
                <w:lang w:eastAsia="zh-CN"/>
              </w:rPr>
              <w:t>批</w:t>
            </w:r>
            <w:r>
              <w:rPr>
                <w:rFonts w:ascii="Times New Roman" w:hAnsi="Times New Roman" w:cs="Times New Roman"/>
                <w:b/>
                <w:bCs/>
                <w:color w:val="auto"/>
                <w:sz w:val="21"/>
              </w:rPr>
              <w:t>数</w:t>
            </w:r>
          </w:p>
        </w:tc>
        <w:tc>
          <w:tcPr>
            <w:tcW w:w="547" w:type="pct"/>
            <w:vAlign w:val="center"/>
          </w:tcPr>
          <w:p w14:paraId="682EFFB0">
            <w:pPr>
              <w:jc w:val="center"/>
              <w:rPr>
                <w:rFonts w:ascii="Times New Roman" w:hAnsi="Times New Roman" w:cs="Times New Roman"/>
                <w:b/>
                <w:bCs/>
                <w:color w:val="auto"/>
                <w:sz w:val="21"/>
              </w:rPr>
            </w:pPr>
            <w:r>
              <w:rPr>
                <w:rFonts w:ascii="Times New Roman" w:hAnsi="Times New Roman" w:cs="Times New Roman"/>
                <w:b/>
                <w:bCs/>
                <w:color w:val="auto"/>
                <w:sz w:val="21"/>
              </w:rPr>
              <w:t>年生产时间(天)</w:t>
            </w:r>
          </w:p>
        </w:tc>
        <w:tc>
          <w:tcPr>
            <w:tcW w:w="626" w:type="pct"/>
            <w:vAlign w:val="center"/>
          </w:tcPr>
          <w:p w14:paraId="6E13E64A">
            <w:pPr>
              <w:jc w:val="center"/>
              <w:rPr>
                <w:rFonts w:ascii="Times New Roman" w:hAnsi="Times New Roman" w:cs="Times New Roman"/>
                <w:b/>
                <w:bCs/>
                <w:color w:val="auto"/>
                <w:sz w:val="21"/>
              </w:rPr>
            </w:pPr>
            <w:r>
              <w:rPr>
                <w:rFonts w:ascii="Times New Roman" w:hAnsi="Times New Roman" w:cs="Times New Roman"/>
                <w:b/>
                <w:bCs/>
                <w:color w:val="auto"/>
                <w:sz w:val="21"/>
                <w:lang w:eastAsia="zh-CN"/>
              </w:rPr>
              <w:t>生产装置</w:t>
            </w:r>
            <w:r>
              <w:rPr>
                <w:rFonts w:ascii="Times New Roman" w:hAnsi="Times New Roman" w:cs="Times New Roman"/>
                <w:b/>
                <w:bCs/>
                <w:color w:val="auto"/>
                <w:sz w:val="21"/>
              </w:rPr>
              <w:t>产能(t/a)</w:t>
            </w:r>
          </w:p>
        </w:tc>
        <w:tc>
          <w:tcPr>
            <w:tcW w:w="505" w:type="pct"/>
            <w:vAlign w:val="center"/>
          </w:tcPr>
          <w:p w14:paraId="0C769F8B">
            <w:pPr>
              <w:jc w:val="center"/>
              <w:rPr>
                <w:rFonts w:ascii="Times New Roman" w:hAnsi="Times New Roman" w:cs="Times New Roman"/>
                <w:b/>
                <w:bCs/>
                <w:color w:val="auto"/>
                <w:sz w:val="21"/>
              </w:rPr>
            </w:pPr>
            <w:r>
              <w:rPr>
                <w:rFonts w:ascii="Times New Roman" w:hAnsi="Times New Roman" w:cs="Times New Roman"/>
                <w:b/>
                <w:bCs/>
                <w:color w:val="auto"/>
                <w:sz w:val="21"/>
                <w:lang w:eastAsia="zh-CN"/>
              </w:rPr>
              <w:t>设计</w:t>
            </w:r>
            <w:r>
              <w:rPr>
                <w:rFonts w:ascii="Times New Roman" w:hAnsi="Times New Roman" w:cs="Times New Roman"/>
                <w:b/>
                <w:bCs/>
                <w:color w:val="auto"/>
                <w:sz w:val="21"/>
              </w:rPr>
              <w:t>产能(t/a)</w:t>
            </w:r>
          </w:p>
        </w:tc>
      </w:tr>
      <w:tr w14:paraId="5EB3CD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505" w:type="pct"/>
            <w:vAlign w:val="center"/>
          </w:tcPr>
          <w:p w14:paraId="6FEFAD1B">
            <w:pPr>
              <w:jc w:val="center"/>
              <w:rPr>
                <w:rFonts w:ascii="Times New Roman" w:hAnsi="Times New Roman" w:cs="Times New Roman"/>
                <w:color w:val="auto"/>
                <w:sz w:val="21"/>
                <w:lang w:eastAsia="zh-CN"/>
              </w:rPr>
            </w:pPr>
          </w:p>
        </w:tc>
        <w:tc>
          <w:tcPr>
            <w:tcW w:w="627" w:type="pct"/>
            <w:vAlign w:val="center"/>
          </w:tcPr>
          <w:p w14:paraId="58D0DFEA">
            <w:pPr>
              <w:jc w:val="center"/>
              <w:rPr>
                <w:rFonts w:ascii="Times New Roman" w:hAnsi="Times New Roman" w:cs="Times New Roman"/>
                <w:color w:val="auto"/>
                <w:sz w:val="21"/>
              </w:rPr>
            </w:pPr>
          </w:p>
        </w:tc>
        <w:tc>
          <w:tcPr>
            <w:tcW w:w="547" w:type="pct"/>
            <w:vAlign w:val="center"/>
          </w:tcPr>
          <w:p w14:paraId="602AFEA1">
            <w:pPr>
              <w:jc w:val="center"/>
              <w:rPr>
                <w:rFonts w:ascii="Times New Roman" w:hAnsi="Times New Roman" w:cs="Times New Roman"/>
                <w:color w:val="auto"/>
                <w:sz w:val="21"/>
                <w:lang w:eastAsia="zh-CN"/>
              </w:rPr>
            </w:pPr>
          </w:p>
        </w:tc>
        <w:tc>
          <w:tcPr>
            <w:tcW w:w="547" w:type="pct"/>
            <w:vAlign w:val="center"/>
          </w:tcPr>
          <w:p w14:paraId="6C775288">
            <w:pPr>
              <w:jc w:val="center"/>
              <w:rPr>
                <w:rFonts w:ascii="Times New Roman" w:hAnsi="Times New Roman" w:cs="Times New Roman"/>
                <w:color w:val="auto"/>
                <w:sz w:val="21"/>
                <w:lang w:eastAsia="zh-CN"/>
              </w:rPr>
            </w:pPr>
          </w:p>
        </w:tc>
        <w:tc>
          <w:tcPr>
            <w:tcW w:w="627" w:type="pct"/>
            <w:vAlign w:val="center"/>
          </w:tcPr>
          <w:p w14:paraId="38A628C3">
            <w:pPr>
              <w:jc w:val="center"/>
              <w:rPr>
                <w:rFonts w:ascii="Times New Roman" w:hAnsi="Times New Roman" w:cs="Times New Roman"/>
                <w:color w:val="auto"/>
                <w:sz w:val="21"/>
              </w:rPr>
            </w:pPr>
          </w:p>
        </w:tc>
        <w:tc>
          <w:tcPr>
            <w:tcW w:w="469" w:type="pct"/>
            <w:vAlign w:val="center"/>
          </w:tcPr>
          <w:p w14:paraId="59769655">
            <w:pPr>
              <w:jc w:val="center"/>
              <w:rPr>
                <w:rFonts w:ascii="Times New Roman" w:hAnsi="Times New Roman" w:cs="Times New Roman"/>
                <w:color w:val="auto"/>
                <w:sz w:val="21"/>
                <w:lang w:eastAsia="zh-CN"/>
              </w:rPr>
            </w:pPr>
          </w:p>
        </w:tc>
        <w:tc>
          <w:tcPr>
            <w:tcW w:w="547" w:type="pct"/>
            <w:vAlign w:val="center"/>
          </w:tcPr>
          <w:p w14:paraId="35721E62">
            <w:pPr>
              <w:jc w:val="center"/>
              <w:rPr>
                <w:rFonts w:ascii="Times New Roman" w:hAnsi="Times New Roman" w:cs="Times New Roman"/>
                <w:color w:val="auto"/>
                <w:sz w:val="21"/>
                <w:lang w:eastAsia="zh-CN"/>
              </w:rPr>
            </w:pPr>
          </w:p>
        </w:tc>
        <w:tc>
          <w:tcPr>
            <w:tcW w:w="626" w:type="pct"/>
            <w:vAlign w:val="center"/>
          </w:tcPr>
          <w:p w14:paraId="760477D4">
            <w:pPr>
              <w:jc w:val="center"/>
              <w:rPr>
                <w:rFonts w:ascii="Times New Roman" w:hAnsi="Times New Roman" w:cs="Times New Roman"/>
                <w:color w:val="auto"/>
                <w:sz w:val="21"/>
                <w:lang w:eastAsia="zh-CN"/>
              </w:rPr>
            </w:pPr>
          </w:p>
        </w:tc>
        <w:tc>
          <w:tcPr>
            <w:tcW w:w="505" w:type="pct"/>
            <w:vAlign w:val="center"/>
          </w:tcPr>
          <w:p w14:paraId="2476053D">
            <w:pPr>
              <w:jc w:val="center"/>
              <w:rPr>
                <w:rFonts w:ascii="Times New Roman" w:hAnsi="Times New Roman" w:cs="Times New Roman"/>
                <w:color w:val="auto"/>
                <w:sz w:val="21"/>
                <w:lang w:eastAsia="zh-CN"/>
              </w:rPr>
            </w:pPr>
          </w:p>
        </w:tc>
      </w:tr>
    </w:tbl>
    <w:p w14:paraId="32DF8742">
      <w:pPr>
        <w:pStyle w:val="42"/>
      </w:pPr>
    </w:p>
    <w:p w14:paraId="4454CE10">
      <w:pPr>
        <w:pStyle w:val="42"/>
        <w:jc w:val="center"/>
      </w:pPr>
      <w:r>
        <w:br w:type="page"/>
      </w:r>
    </w:p>
    <w:p w14:paraId="03398399">
      <w:pPr>
        <w:rPr>
          <w:rFonts w:ascii="Times New Roman" w:hAnsi="Times New Roman" w:cs="Times New Roman"/>
          <w:color w:val="auto"/>
          <w:lang w:eastAsia="zh-CN"/>
        </w:rPr>
      </w:pPr>
    </w:p>
    <w:p w14:paraId="5AB0ACDB">
      <w:pPr>
        <w:spacing w:line="360" w:lineRule="auto"/>
        <w:ind w:firstLine="241" w:firstLineChars="100"/>
        <w:jc w:val="both"/>
        <w:outlineLvl w:val="3"/>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4.2.2.6 物料平衡表</w:t>
      </w:r>
    </w:p>
    <w:p w14:paraId="46E42DB1">
      <w:pPr>
        <w:spacing w:line="360" w:lineRule="auto"/>
        <w:ind w:firstLine="480" w:firstLineChars="200"/>
        <w:rPr>
          <w:rFonts w:ascii="Times New Roman" w:hAnsi="Times New Roman" w:cs="Times New Roman"/>
          <w:color w:val="auto"/>
          <w:lang w:eastAsia="zh-CN"/>
        </w:rPr>
      </w:pPr>
      <w:r>
        <w:rPr>
          <w:rFonts w:hint="eastAsia" w:ascii="Times New Roman" w:hAnsi="Times New Roman" w:cs="Times New Roman"/>
          <w:bCs/>
          <w:color w:val="auto"/>
          <w:lang w:eastAsia="zh-CN"/>
        </w:rPr>
        <w:t>刻蚀液</w:t>
      </w:r>
      <w:r>
        <w:rPr>
          <w:rFonts w:ascii="Times New Roman" w:hAnsi="Times New Roman" w:cs="Times New Roman"/>
          <w:color w:val="auto"/>
          <w:lang w:eastAsia="zh-CN"/>
        </w:rPr>
        <w:t>生产装置</w:t>
      </w:r>
      <w:r>
        <w:rPr>
          <w:rFonts w:ascii="Times New Roman" w:hAnsi="Times New Roman" w:cs="Times New Roman"/>
          <w:color w:val="auto"/>
          <w:lang w:val="zh-CN" w:eastAsia="zh-CN"/>
        </w:rPr>
        <w:t>物料平衡见下表。</w:t>
      </w:r>
    </w:p>
    <w:p w14:paraId="3AB9BADD">
      <w:pPr>
        <w:spacing w:line="360" w:lineRule="auto"/>
        <w:jc w:val="center"/>
        <w:rPr>
          <w:rFonts w:ascii="Times New Roman" w:hAnsi="Times New Roman" w:cs="Times New Roman"/>
          <w:b/>
          <w:color w:val="auto"/>
          <w:lang w:eastAsia="zh-CN"/>
        </w:rPr>
      </w:pPr>
      <w:r>
        <w:rPr>
          <w:rFonts w:ascii="Times New Roman" w:hAnsi="Times New Roman" w:cs="Times New Roman"/>
          <w:b/>
          <w:color w:val="auto"/>
          <w:lang w:eastAsia="zh-CN"/>
        </w:rPr>
        <w:t>表4.2-1</w:t>
      </w:r>
      <w:r>
        <w:rPr>
          <w:rFonts w:hint="eastAsia" w:ascii="Times New Roman" w:hAnsi="Times New Roman" w:cs="Times New Roman"/>
          <w:b/>
          <w:color w:val="auto"/>
          <w:lang w:eastAsia="zh-CN"/>
        </w:rPr>
        <w:t>1</w:t>
      </w:r>
      <w:r>
        <w:rPr>
          <w:rFonts w:ascii="Times New Roman" w:hAnsi="Times New Roman" w:cs="Times New Roman"/>
          <w:b/>
          <w:color w:val="auto"/>
          <w:lang w:eastAsia="zh-CN"/>
        </w:rPr>
        <w:t xml:space="preserve"> </w:t>
      </w:r>
      <w:r>
        <w:rPr>
          <w:rFonts w:hint="eastAsia" w:ascii="Times New Roman" w:hAnsi="Times New Roman" w:cs="Times New Roman"/>
          <w:b/>
          <w:color w:val="auto"/>
          <w:lang w:eastAsia="zh-CN"/>
        </w:rPr>
        <w:t>刻蚀液</w:t>
      </w:r>
      <w:r>
        <w:rPr>
          <w:rFonts w:ascii="Times New Roman" w:hAnsi="Times New Roman" w:cs="Times New Roman"/>
          <w:b/>
          <w:color w:val="auto"/>
          <w:lang w:eastAsia="zh-CN"/>
        </w:rPr>
        <w:t>生产装置物料平衡表</w:t>
      </w:r>
    </w:p>
    <w:tbl>
      <w:tblPr>
        <w:tblStyle w:val="35"/>
        <w:tblW w:w="511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00"/>
        <w:gridCol w:w="1065"/>
        <w:gridCol w:w="1109"/>
        <w:gridCol w:w="1214"/>
        <w:gridCol w:w="1029"/>
        <w:gridCol w:w="736"/>
        <w:gridCol w:w="899"/>
        <w:gridCol w:w="1109"/>
        <w:gridCol w:w="1109"/>
      </w:tblGrid>
      <w:tr w14:paraId="28F92D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552" w:type="pct"/>
            <w:gridSpan w:val="4"/>
            <w:vAlign w:val="center"/>
          </w:tcPr>
          <w:p w14:paraId="024288C8">
            <w:pPr>
              <w:jc w:val="center"/>
              <w:rPr>
                <w:rFonts w:ascii="Times New Roman" w:hAnsi="Times New Roman" w:cs="Times New Roman"/>
                <w:b/>
                <w:bCs/>
                <w:color w:val="auto"/>
                <w:sz w:val="21"/>
              </w:rPr>
            </w:pPr>
            <w:r>
              <w:rPr>
                <w:rFonts w:ascii="Times New Roman" w:hAnsi="Times New Roman" w:cs="Times New Roman"/>
                <w:b/>
                <w:bCs/>
                <w:color w:val="auto"/>
                <w:sz w:val="21"/>
              </w:rPr>
              <w:t>投入物料</w:t>
            </w:r>
          </w:p>
        </w:tc>
        <w:tc>
          <w:tcPr>
            <w:tcW w:w="2448" w:type="pct"/>
            <w:gridSpan w:val="5"/>
            <w:vAlign w:val="center"/>
          </w:tcPr>
          <w:p w14:paraId="4D8601A0">
            <w:pPr>
              <w:jc w:val="center"/>
              <w:rPr>
                <w:rFonts w:ascii="Times New Roman" w:hAnsi="Times New Roman" w:cs="Times New Roman"/>
                <w:b/>
                <w:bCs/>
                <w:color w:val="auto"/>
                <w:sz w:val="21"/>
              </w:rPr>
            </w:pPr>
            <w:r>
              <w:rPr>
                <w:rFonts w:ascii="Times New Roman" w:hAnsi="Times New Roman" w:cs="Times New Roman"/>
                <w:b/>
                <w:bCs/>
                <w:color w:val="auto"/>
                <w:sz w:val="21"/>
              </w:rPr>
              <w:t>产出物料</w:t>
            </w:r>
          </w:p>
        </w:tc>
      </w:tr>
      <w:tr w14:paraId="62F9A9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7" w:type="pct"/>
            <w:gridSpan w:val="2"/>
            <w:vMerge w:val="restart"/>
            <w:vAlign w:val="center"/>
          </w:tcPr>
          <w:p w14:paraId="7A656193">
            <w:pPr>
              <w:jc w:val="center"/>
              <w:rPr>
                <w:rFonts w:ascii="Times New Roman" w:hAnsi="Times New Roman" w:cs="Times New Roman"/>
                <w:b/>
                <w:bCs/>
                <w:color w:val="auto"/>
                <w:sz w:val="21"/>
              </w:rPr>
            </w:pPr>
            <w:r>
              <w:rPr>
                <w:rFonts w:ascii="Times New Roman" w:hAnsi="Times New Roman" w:cs="Times New Roman"/>
                <w:b/>
                <w:bCs/>
                <w:color w:val="auto"/>
                <w:sz w:val="21"/>
              </w:rPr>
              <w:t>物料名称</w:t>
            </w:r>
          </w:p>
        </w:tc>
        <w:tc>
          <w:tcPr>
            <w:tcW w:w="556" w:type="pct"/>
            <w:vAlign w:val="center"/>
          </w:tcPr>
          <w:p w14:paraId="1E5D467B">
            <w:pPr>
              <w:jc w:val="center"/>
              <w:rPr>
                <w:rFonts w:ascii="Times New Roman" w:hAnsi="Times New Roman" w:cs="Times New Roman"/>
                <w:b/>
                <w:bCs/>
                <w:color w:val="auto"/>
                <w:sz w:val="21"/>
              </w:rPr>
            </w:pPr>
            <w:r>
              <w:rPr>
                <w:rFonts w:ascii="Times New Roman" w:hAnsi="Times New Roman" w:cs="Times New Roman"/>
                <w:b/>
                <w:bCs/>
                <w:color w:val="auto"/>
                <w:sz w:val="21"/>
              </w:rPr>
              <w:t>数量</w:t>
            </w:r>
          </w:p>
        </w:tc>
        <w:tc>
          <w:tcPr>
            <w:tcW w:w="609" w:type="pct"/>
            <w:vAlign w:val="center"/>
          </w:tcPr>
          <w:p w14:paraId="7B659CBE">
            <w:pPr>
              <w:jc w:val="center"/>
              <w:rPr>
                <w:rFonts w:ascii="Times New Roman" w:hAnsi="Times New Roman" w:cs="Times New Roman"/>
                <w:b/>
                <w:bCs/>
                <w:color w:val="auto"/>
                <w:sz w:val="21"/>
              </w:rPr>
            </w:pPr>
            <w:r>
              <w:rPr>
                <w:rFonts w:ascii="Times New Roman" w:hAnsi="Times New Roman" w:cs="Times New Roman"/>
                <w:b/>
                <w:bCs/>
                <w:color w:val="auto"/>
                <w:sz w:val="21"/>
              </w:rPr>
              <w:t>数量</w:t>
            </w:r>
          </w:p>
        </w:tc>
        <w:tc>
          <w:tcPr>
            <w:tcW w:w="1336" w:type="pct"/>
            <w:gridSpan w:val="3"/>
            <w:vMerge w:val="restart"/>
            <w:vAlign w:val="center"/>
          </w:tcPr>
          <w:p w14:paraId="043B30D8">
            <w:pPr>
              <w:jc w:val="center"/>
              <w:rPr>
                <w:rFonts w:ascii="Times New Roman" w:hAnsi="Times New Roman" w:cs="Times New Roman"/>
                <w:b/>
                <w:bCs/>
                <w:color w:val="auto"/>
                <w:sz w:val="21"/>
              </w:rPr>
            </w:pPr>
            <w:r>
              <w:rPr>
                <w:rFonts w:ascii="Times New Roman" w:hAnsi="Times New Roman" w:cs="Times New Roman"/>
                <w:b/>
                <w:bCs/>
                <w:color w:val="auto"/>
                <w:sz w:val="21"/>
              </w:rPr>
              <w:t>物料名称</w:t>
            </w:r>
          </w:p>
        </w:tc>
        <w:tc>
          <w:tcPr>
            <w:tcW w:w="556" w:type="pct"/>
            <w:vAlign w:val="center"/>
          </w:tcPr>
          <w:p w14:paraId="6DCD7FD8">
            <w:pPr>
              <w:jc w:val="center"/>
              <w:rPr>
                <w:rFonts w:ascii="Times New Roman" w:hAnsi="Times New Roman" w:cs="Times New Roman"/>
                <w:b/>
                <w:bCs/>
                <w:color w:val="auto"/>
                <w:sz w:val="21"/>
              </w:rPr>
            </w:pPr>
            <w:r>
              <w:rPr>
                <w:rFonts w:ascii="Times New Roman" w:hAnsi="Times New Roman" w:cs="Times New Roman"/>
                <w:b/>
                <w:bCs/>
                <w:color w:val="auto"/>
                <w:sz w:val="21"/>
              </w:rPr>
              <w:t>数量</w:t>
            </w:r>
          </w:p>
        </w:tc>
        <w:tc>
          <w:tcPr>
            <w:tcW w:w="556" w:type="pct"/>
            <w:vAlign w:val="center"/>
          </w:tcPr>
          <w:p w14:paraId="7FAE7634">
            <w:pPr>
              <w:jc w:val="center"/>
              <w:rPr>
                <w:rFonts w:ascii="Times New Roman" w:hAnsi="Times New Roman" w:cs="Times New Roman"/>
                <w:b/>
                <w:bCs/>
                <w:color w:val="auto"/>
                <w:sz w:val="21"/>
              </w:rPr>
            </w:pPr>
            <w:r>
              <w:rPr>
                <w:rFonts w:ascii="Times New Roman" w:hAnsi="Times New Roman" w:cs="Times New Roman"/>
                <w:b/>
                <w:bCs/>
                <w:color w:val="auto"/>
                <w:sz w:val="21"/>
              </w:rPr>
              <w:t>数量</w:t>
            </w:r>
          </w:p>
        </w:tc>
      </w:tr>
      <w:tr w14:paraId="65FA84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7" w:type="pct"/>
            <w:gridSpan w:val="2"/>
            <w:vMerge w:val="continue"/>
            <w:vAlign w:val="center"/>
          </w:tcPr>
          <w:p w14:paraId="1ED8CF78">
            <w:pPr>
              <w:jc w:val="center"/>
              <w:rPr>
                <w:rFonts w:ascii="Times New Roman" w:hAnsi="Times New Roman" w:cs="Times New Roman"/>
                <w:b/>
                <w:bCs/>
                <w:color w:val="auto"/>
                <w:sz w:val="21"/>
              </w:rPr>
            </w:pPr>
          </w:p>
        </w:tc>
        <w:tc>
          <w:tcPr>
            <w:tcW w:w="556" w:type="pct"/>
            <w:vAlign w:val="center"/>
          </w:tcPr>
          <w:p w14:paraId="7E9BE896">
            <w:pPr>
              <w:jc w:val="center"/>
              <w:rPr>
                <w:rFonts w:ascii="Times New Roman" w:hAnsi="Times New Roman" w:cs="Times New Roman"/>
                <w:b/>
                <w:bCs/>
                <w:color w:val="auto"/>
                <w:sz w:val="21"/>
                <w:lang w:eastAsia="zh-CN"/>
              </w:rPr>
            </w:pPr>
            <w:r>
              <w:rPr>
                <w:rFonts w:ascii="Times New Roman" w:hAnsi="Times New Roman" w:cs="Times New Roman"/>
                <w:b/>
                <w:bCs/>
                <w:color w:val="auto"/>
                <w:sz w:val="21"/>
              </w:rPr>
              <w:t>kg/</w:t>
            </w:r>
            <w:r>
              <w:rPr>
                <w:rFonts w:hint="eastAsia" w:ascii="Times New Roman" w:hAnsi="Times New Roman" w:cs="Times New Roman"/>
                <w:b/>
                <w:bCs/>
                <w:color w:val="auto"/>
                <w:sz w:val="21"/>
                <w:lang w:eastAsia="zh-CN"/>
              </w:rPr>
              <w:t>批</w:t>
            </w:r>
          </w:p>
        </w:tc>
        <w:tc>
          <w:tcPr>
            <w:tcW w:w="609" w:type="pct"/>
            <w:vAlign w:val="center"/>
          </w:tcPr>
          <w:p w14:paraId="3E36B2F6">
            <w:pPr>
              <w:jc w:val="center"/>
              <w:rPr>
                <w:rFonts w:ascii="Times New Roman" w:hAnsi="Times New Roman" w:cs="Times New Roman"/>
                <w:b/>
                <w:bCs/>
                <w:color w:val="auto"/>
                <w:sz w:val="21"/>
              </w:rPr>
            </w:pPr>
            <w:r>
              <w:rPr>
                <w:rFonts w:ascii="Times New Roman" w:hAnsi="Times New Roman" w:cs="Times New Roman"/>
                <w:b/>
                <w:bCs/>
                <w:color w:val="auto"/>
                <w:sz w:val="21"/>
              </w:rPr>
              <w:t>t/a</w:t>
            </w:r>
          </w:p>
        </w:tc>
        <w:tc>
          <w:tcPr>
            <w:tcW w:w="1336" w:type="pct"/>
            <w:gridSpan w:val="3"/>
            <w:vMerge w:val="continue"/>
            <w:vAlign w:val="center"/>
          </w:tcPr>
          <w:p w14:paraId="537C5392">
            <w:pPr>
              <w:jc w:val="center"/>
              <w:rPr>
                <w:rFonts w:ascii="Times New Roman" w:hAnsi="Times New Roman" w:cs="Times New Roman"/>
                <w:b/>
                <w:bCs/>
                <w:color w:val="auto"/>
                <w:sz w:val="21"/>
              </w:rPr>
            </w:pPr>
          </w:p>
        </w:tc>
        <w:tc>
          <w:tcPr>
            <w:tcW w:w="556" w:type="pct"/>
            <w:vAlign w:val="center"/>
          </w:tcPr>
          <w:p w14:paraId="639ED776">
            <w:pPr>
              <w:jc w:val="center"/>
              <w:rPr>
                <w:rFonts w:ascii="Times New Roman" w:hAnsi="Times New Roman" w:cs="Times New Roman"/>
                <w:b/>
                <w:bCs/>
                <w:color w:val="auto"/>
                <w:sz w:val="21"/>
                <w:lang w:eastAsia="zh-CN"/>
              </w:rPr>
            </w:pPr>
            <w:r>
              <w:rPr>
                <w:rFonts w:ascii="Times New Roman" w:hAnsi="Times New Roman" w:cs="Times New Roman"/>
                <w:b/>
                <w:bCs/>
                <w:color w:val="auto"/>
                <w:sz w:val="21"/>
              </w:rPr>
              <w:t>kg/</w:t>
            </w:r>
            <w:r>
              <w:rPr>
                <w:rFonts w:hint="eastAsia" w:ascii="Times New Roman" w:hAnsi="Times New Roman" w:cs="Times New Roman"/>
                <w:b/>
                <w:bCs/>
                <w:color w:val="auto"/>
                <w:sz w:val="21"/>
                <w:lang w:eastAsia="zh-CN"/>
              </w:rPr>
              <w:t>批</w:t>
            </w:r>
          </w:p>
        </w:tc>
        <w:tc>
          <w:tcPr>
            <w:tcW w:w="556" w:type="pct"/>
            <w:vAlign w:val="center"/>
          </w:tcPr>
          <w:p w14:paraId="5FBCB863">
            <w:pPr>
              <w:jc w:val="center"/>
              <w:rPr>
                <w:rFonts w:ascii="Times New Roman" w:hAnsi="Times New Roman" w:cs="Times New Roman"/>
                <w:b/>
                <w:bCs/>
                <w:color w:val="auto"/>
                <w:sz w:val="21"/>
              </w:rPr>
            </w:pPr>
            <w:r>
              <w:rPr>
                <w:rFonts w:ascii="Times New Roman" w:hAnsi="Times New Roman" w:cs="Times New Roman"/>
                <w:b/>
                <w:bCs/>
                <w:color w:val="auto"/>
                <w:sz w:val="21"/>
              </w:rPr>
              <w:t>t/a</w:t>
            </w:r>
          </w:p>
        </w:tc>
      </w:tr>
      <w:tr w14:paraId="34ED2F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3" w:type="pct"/>
            <w:vMerge w:val="restart"/>
            <w:vAlign w:val="center"/>
          </w:tcPr>
          <w:p w14:paraId="56C2E0CF">
            <w:pPr>
              <w:jc w:val="center"/>
              <w:rPr>
                <w:rFonts w:ascii="Times New Roman" w:hAnsi="Times New Roman" w:cs="Times New Roman"/>
                <w:color w:val="000000" w:themeColor="text1"/>
                <w:sz w:val="21"/>
                <w14:textFill>
                  <w14:solidFill>
                    <w14:schemeClr w14:val="tx1"/>
                  </w14:solidFill>
                </w14:textFill>
              </w:rPr>
            </w:pPr>
          </w:p>
        </w:tc>
        <w:tc>
          <w:tcPr>
            <w:tcW w:w="534" w:type="pct"/>
            <w:vAlign w:val="center"/>
          </w:tcPr>
          <w:p w14:paraId="0D374E1A">
            <w:pPr>
              <w:jc w:val="center"/>
              <w:rPr>
                <w:rFonts w:ascii="Times New Roman" w:hAnsi="Times New Roman" w:cs="Times New Roman"/>
                <w:color w:val="000000" w:themeColor="text1"/>
                <w:sz w:val="21"/>
                <w14:textFill>
                  <w14:solidFill>
                    <w14:schemeClr w14:val="tx1"/>
                  </w14:solidFill>
                </w14:textFill>
              </w:rPr>
            </w:pPr>
          </w:p>
        </w:tc>
        <w:tc>
          <w:tcPr>
            <w:tcW w:w="556" w:type="pct"/>
            <w:vAlign w:val="center"/>
          </w:tcPr>
          <w:p w14:paraId="1DBBFA50">
            <w:pPr>
              <w:jc w:val="center"/>
              <w:rPr>
                <w:rFonts w:ascii="Times New Roman" w:hAnsi="Times New Roman" w:cs="Times New Roman"/>
                <w:color w:val="000000" w:themeColor="text1"/>
                <w:sz w:val="21"/>
                <w:lang w:eastAsia="zh-CN"/>
                <w14:textFill>
                  <w14:solidFill>
                    <w14:schemeClr w14:val="tx1"/>
                  </w14:solidFill>
                </w14:textFill>
              </w:rPr>
            </w:pPr>
          </w:p>
        </w:tc>
        <w:tc>
          <w:tcPr>
            <w:tcW w:w="609" w:type="pct"/>
            <w:vAlign w:val="center"/>
          </w:tcPr>
          <w:p w14:paraId="4F7E91C0">
            <w:pPr>
              <w:jc w:val="center"/>
              <w:rPr>
                <w:rFonts w:ascii="Times New Roman" w:hAnsi="Times New Roman" w:cs="Times New Roman"/>
                <w:color w:val="000000" w:themeColor="text1"/>
                <w:sz w:val="21"/>
                <w:lang w:eastAsia="zh-CN"/>
                <w14:textFill>
                  <w14:solidFill>
                    <w14:schemeClr w14:val="tx1"/>
                  </w14:solidFill>
                </w14:textFill>
              </w:rPr>
            </w:pPr>
          </w:p>
        </w:tc>
        <w:tc>
          <w:tcPr>
            <w:tcW w:w="1336" w:type="pct"/>
            <w:gridSpan w:val="3"/>
            <w:vAlign w:val="center"/>
          </w:tcPr>
          <w:p w14:paraId="45AA3F8D">
            <w:pPr>
              <w:jc w:val="center"/>
              <w:rPr>
                <w:rFonts w:ascii="Times New Roman" w:hAnsi="Times New Roman" w:cs="Times New Roman"/>
                <w:color w:val="auto"/>
                <w:sz w:val="21"/>
                <w:lang w:eastAsia="zh-CN"/>
              </w:rPr>
            </w:pPr>
          </w:p>
        </w:tc>
        <w:tc>
          <w:tcPr>
            <w:tcW w:w="556" w:type="pct"/>
            <w:vAlign w:val="center"/>
          </w:tcPr>
          <w:p w14:paraId="2F54E508">
            <w:pPr>
              <w:jc w:val="center"/>
              <w:rPr>
                <w:rFonts w:ascii="Times New Roman" w:hAnsi="Times New Roman" w:cs="Times New Roman"/>
                <w:color w:val="auto"/>
                <w:sz w:val="21"/>
                <w:lang w:eastAsia="zh-CN"/>
              </w:rPr>
            </w:pPr>
          </w:p>
        </w:tc>
        <w:tc>
          <w:tcPr>
            <w:tcW w:w="556" w:type="pct"/>
            <w:vAlign w:val="center"/>
          </w:tcPr>
          <w:p w14:paraId="66E33174">
            <w:pPr>
              <w:jc w:val="center"/>
              <w:rPr>
                <w:rFonts w:ascii="Times New Roman" w:hAnsi="Times New Roman" w:cs="Times New Roman"/>
                <w:color w:val="auto"/>
                <w:sz w:val="21"/>
                <w:lang w:eastAsia="zh-CN"/>
              </w:rPr>
            </w:pPr>
          </w:p>
        </w:tc>
      </w:tr>
      <w:tr w14:paraId="12E8E4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3" w:type="pct"/>
            <w:vMerge w:val="continue"/>
            <w:vAlign w:val="center"/>
          </w:tcPr>
          <w:p w14:paraId="0A3B34C6">
            <w:pPr>
              <w:jc w:val="center"/>
              <w:rPr>
                <w:rFonts w:ascii="Times New Roman" w:hAnsi="Times New Roman" w:cs="Times New Roman"/>
                <w:color w:val="000000" w:themeColor="text1"/>
                <w:sz w:val="21"/>
                <w14:textFill>
                  <w14:solidFill>
                    <w14:schemeClr w14:val="tx1"/>
                  </w14:solidFill>
                </w14:textFill>
              </w:rPr>
            </w:pPr>
          </w:p>
        </w:tc>
        <w:tc>
          <w:tcPr>
            <w:tcW w:w="534" w:type="pct"/>
            <w:vAlign w:val="center"/>
          </w:tcPr>
          <w:p w14:paraId="1C644714">
            <w:pPr>
              <w:jc w:val="center"/>
              <w:rPr>
                <w:rFonts w:ascii="Times New Roman" w:hAnsi="Times New Roman" w:cs="Times New Roman"/>
                <w:color w:val="000000" w:themeColor="text1"/>
                <w:sz w:val="21"/>
                <w14:textFill>
                  <w14:solidFill>
                    <w14:schemeClr w14:val="tx1"/>
                  </w14:solidFill>
                </w14:textFill>
              </w:rPr>
            </w:pPr>
          </w:p>
        </w:tc>
        <w:tc>
          <w:tcPr>
            <w:tcW w:w="556" w:type="pct"/>
            <w:vAlign w:val="center"/>
          </w:tcPr>
          <w:p w14:paraId="4E07981E">
            <w:pPr>
              <w:jc w:val="center"/>
              <w:rPr>
                <w:rFonts w:ascii="Times New Roman" w:hAnsi="Times New Roman" w:cs="Times New Roman"/>
                <w:color w:val="000000" w:themeColor="text1"/>
                <w:sz w:val="21"/>
                <w:lang w:eastAsia="zh-CN"/>
                <w14:textFill>
                  <w14:solidFill>
                    <w14:schemeClr w14:val="tx1"/>
                  </w14:solidFill>
                </w14:textFill>
              </w:rPr>
            </w:pPr>
          </w:p>
        </w:tc>
        <w:tc>
          <w:tcPr>
            <w:tcW w:w="609" w:type="pct"/>
            <w:vAlign w:val="center"/>
          </w:tcPr>
          <w:p w14:paraId="1463862D">
            <w:pPr>
              <w:jc w:val="center"/>
              <w:rPr>
                <w:rFonts w:ascii="Times New Roman" w:hAnsi="Times New Roman" w:cs="Times New Roman"/>
                <w:color w:val="000000" w:themeColor="text1"/>
                <w:sz w:val="21"/>
                <w:lang w:eastAsia="zh-CN"/>
                <w14:textFill>
                  <w14:solidFill>
                    <w14:schemeClr w14:val="tx1"/>
                  </w14:solidFill>
                </w14:textFill>
              </w:rPr>
            </w:pPr>
          </w:p>
        </w:tc>
        <w:tc>
          <w:tcPr>
            <w:tcW w:w="516" w:type="pct"/>
            <w:vMerge w:val="restart"/>
            <w:vAlign w:val="center"/>
          </w:tcPr>
          <w:p w14:paraId="491F2691">
            <w:pPr>
              <w:jc w:val="center"/>
              <w:rPr>
                <w:rFonts w:ascii="Times New Roman" w:hAnsi="Times New Roman" w:cs="Times New Roman"/>
                <w:color w:val="auto"/>
                <w:sz w:val="21"/>
              </w:rPr>
            </w:pPr>
          </w:p>
        </w:tc>
        <w:tc>
          <w:tcPr>
            <w:tcW w:w="369" w:type="pct"/>
            <w:vMerge w:val="restart"/>
            <w:vAlign w:val="center"/>
          </w:tcPr>
          <w:p w14:paraId="4B1767AF">
            <w:pPr>
              <w:jc w:val="center"/>
              <w:rPr>
                <w:rFonts w:ascii="Times New Roman" w:hAnsi="Times New Roman" w:cs="Times New Roman"/>
                <w:color w:val="auto"/>
                <w:sz w:val="21"/>
              </w:rPr>
            </w:pPr>
          </w:p>
        </w:tc>
        <w:tc>
          <w:tcPr>
            <w:tcW w:w="451" w:type="pct"/>
            <w:vAlign w:val="center"/>
          </w:tcPr>
          <w:p w14:paraId="5BF18AB3">
            <w:pPr>
              <w:jc w:val="center"/>
              <w:rPr>
                <w:rFonts w:ascii="Times New Roman" w:hAnsi="Times New Roman" w:cs="Times New Roman"/>
                <w:color w:val="auto"/>
                <w:sz w:val="21"/>
              </w:rPr>
            </w:pPr>
          </w:p>
        </w:tc>
        <w:tc>
          <w:tcPr>
            <w:tcW w:w="556" w:type="pct"/>
            <w:vAlign w:val="center"/>
          </w:tcPr>
          <w:p w14:paraId="5C62E4F8">
            <w:pPr>
              <w:jc w:val="center"/>
              <w:rPr>
                <w:rFonts w:ascii="Times New Roman" w:hAnsi="Times New Roman" w:cs="Times New Roman"/>
                <w:color w:val="auto"/>
                <w:sz w:val="21"/>
                <w:lang w:eastAsia="zh-CN"/>
              </w:rPr>
            </w:pPr>
          </w:p>
        </w:tc>
        <w:tc>
          <w:tcPr>
            <w:tcW w:w="556" w:type="pct"/>
            <w:vAlign w:val="center"/>
          </w:tcPr>
          <w:p w14:paraId="58F6E62B">
            <w:pPr>
              <w:jc w:val="center"/>
              <w:rPr>
                <w:rFonts w:ascii="Times New Roman" w:hAnsi="Times New Roman" w:cs="Times New Roman"/>
                <w:color w:val="auto"/>
                <w:sz w:val="21"/>
                <w:lang w:eastAsia="zh-CN"/>
              </w:rPr>
            </w:pPr>
          </w:p>
        </w:tc>
      </w:tr>
      <w:tr w14:paraId="0A4FB0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3" w:type="pct"/>
            <w:vMerge w:val="continue"/>
            <w:vAlign w:val="center"/>
          </w:tcPr>
          <w:p w14:paraId="0BA321C1">
            <w:pPr>
              <w:jc w:val="center"/>
              <w:rPr>
                <w:rFonts w:ascii="Times New Roman" w:hAnsi="Times New Roman" w:cs="Times New Roman"/>
                <w:color w:val="000000" w:themeColor="text1"/>
                <w:sz w:val="21"/>
                <w14:textFill>
                  <w14:solidFill>
                    <w14:schemeClr w14:val="tx1"/>
                  </w14:solidFill>
                </w14:textFill>
              </w:rPr>
            </w:pPr>
          </w:p>
        </w:tc>
        <w:tc>
          <w:tcPr>
            <w:tcW w:w="534" w:type="pct"/>
            <w:vAlign w:val="center"/>
          </w:tcPr>
          <w:p w14:paraId="0C52B1CC">
            <w:pPr>
              <w:jc w:val="center"/>
              <w:rPr>
                <w:rFonts w:ascii="Times New Roman" w:hAnsi="Times New Roman" w:cs="Times New Roman"/>
                <w:color w:val="000000" w:themeColor="text1"/>
                <w:sz w:val="21"/>
                <w14:textFill>
                  <w14:solidFill>
                    <w14:schemeClr w14:val="tx1"/>
                  </w14:solidFill>
                </w14:textFill>
              </w:rPr>
            </w:pPr>
          </w:p>
        </w:tc>
        <w:tc>
          <w:tcPr>
            <w:tcW w:w="556" w:type="pct"/>
            <w:vAlign w:val="center"/>
          </w:tcPr>
          <w:p w14:paraId="5B7B99ED">
            <w:pPr>
              <w:jc w:val="center"/>
              <w:rPr>
                <w:rFonts w:ascii="Times New Roman" w:hAnsi="Times New Roman" w:cs="Times New Roman"/>
                <w:color w:val="000000" w:themeColor="text1"/>
                <w:sz w:val="21"/>
                <w:lang w:eastAsia="zh-CN"/>
                <w14:textFill>
                  <w14:solidFill>
                    <w14:schemeClr w14:val="tx1"/>
                  </w14:solidFill>
                </w14:textFill>
              </w:rPr>
            </w:pPr>
          </w:p>
        </w:tc>
        <w:tc>
          <w:tcPr>
            <w:tcW w:w="609" w:type="pct"/>
            <w:vAlign w:val="center"/>
          </w:tcPr>
          <w:p w14:paraId="2FCD097E">
            <w:pPr>
              <w:jc w:val="center"/>
              <w:rPr>
                <w:rFonts w:ascii="Times New Roman" w:hAnsi="Times New Roman" w:cs="Times New Roman"/>
                <w:color w:val="000000" w:themeColor="text1"/>
                <w:sz w:val="21"/>
                <w:lang w:eastAsia="zh-CN"/>
                <w14:textFill>
                  <w14:solidFill>
                    <w14:schemeClr w14:val="tx1"/>
                  </w14:solidFill>
                </w14:textFill>
              </w:rPr>
            </w:pPr>
          </w:p>
        </w:tc>
        <w:tc>
          <w:tcPr>
            <w:tcW w:w="516" w:type="pct"/>
            <w:vMerge w:val="continue"/>
            <w:vAlign w:val="center"/>
          </w:tcPr>
          <w:p w14:paraId="67F1EBEE">
            <w:pPr>
              <w:jc w:val="center"/>
              <w:rPr>
                <w:rFonts w:ascii="Times New Roman" w:hAnsi="Times New Roman" w:cs="Times New Roman"/>
                <w:color w:val="auto"/>
                <w:sz w:val="21"/>
              </w:rPr>
            </w:pPr>
          </w:p>
        </w:tc>
        <w:tc>
          <w:tcPr>
            <w:tcW w:w="369" w:type="pct"/>
            <w:vMerge w:val="continue"/>
            <w:vAlign w:val="center"/>
          </w:tcPr>
          <w:p w14:paraId="46F4FC67">
            <w:pPr>
              <w:jc w:val="center"/>
              <w:rPr>
                <w:rFonts w:ascii="Times New Roman" w:hAnsi="Times New Roman" w:cs="Times New Roman"/>
                <w:color w:val="auto"/>
                <w:sz w:val="21"/>
              </w:rPr>
            </w:pPr>
          </w:p>
        </w:tc>
        <w:tc>
          <w:tcPr>
            <w:tcW w:w="451" w:type="pct"/>
            <w:vAlign w:val="center"/>
          </w:tcPr>
          <w:p w14:paraId="3F83C752">
            <w:pPr>
              <w:jc w:val="center"/>
              <w:rPr>
                <w:rFonts w:ascii="Times New Roman" w:hAnsi="Times New Roman" w:cs="Times New Roman"/>
                <w:color w:val="auto"/>
                <w:sz w:val="21"/>
              </w:rPr>
            </w:pPr>
          </w:p>
        </w:tc>
        <w:tc>
          <w:tcPr>
            <w:tcW w:w="556" w:type="pct"/>
            <w:vAlign w:val="center"/>
          </w:tcPr>
          <w:p w14:paraId="3D826EB4">
            <w:pPr>
              <w:jc w:val="center"/>
              <w:rPr>
                <w:rFonts w:ascii="Times New Roman" w:hAnsi="Times New Roman" w:cs="Times New Roman"/>
                <w:color w:val="auto"/>
                <w:sz w:val="21"/>
                <w:lang w:eastAsia="zh-CN"/>
              </w:rPr>
            </w:pPr>
          </w:p>
        </w:tc>
        <w:tc>
          <w:tcPr>
            <w:tcW w:w="556" w:type="pct"/>
            <w:vAlign w:val="center"/>
          </w:tcPr>
          <w:p w14:paraId="4FDDC808">
            <w:pPr>
              <w:jc w:val="center"/>
              <w:rPr>
                <w:rFonts w:ascii="Times New Roman" w:hAnsi="Times New Roman" w:cs="Times New Roman"/>
                <w:color w:val="auto"/>
                <w:sz w:val="21"/>
                <w:lang w:eastAsia="zh-CN"/>
              </w:rPr>
            </w:pPr>
          </w:p>
        </w:tc>
      </w:tr>
      <w:tr w14:paraId="53DE0A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3" w:type="pct"/>
            <w:vMerge w:val="restart"/>
            <w:vAlign w:val="center"/>
          </w:tcPr>
          <w:p w14:paraId="2E267CF3">
            <w:pPr>
              <w:jc w:val="center"/>
              <w:rPr>
                <w:rFonts w:ascii="Times New Roman" w:hAnsi="Times New Roman" w:cs="Times New Roman"/>
                <w:color w:val="000000" w:themeColor="text1"/>
                <w:sz w:val="21"/>
                <w14:textFill>
                  <w14:solidFill>
                    <w14:schemeClr w14:val="tx1"/>
                  </w14:solidFill>
                </w14:textFill>
              </w:rPr>
            </w:pPr>
          </w:p>
        </w:tc>
        <w:tc>
          <w:tcPr>
            <w:tcW w:w="534" w:type="pct"/>
            <w:vAlign w:val="center"/>
          </w:tcPr>
          <w:p w14:paraId="15943E83">
            <w:pPr>
              <w:jc w:val="center"/>
              <w:rPr>
                <w:rFonts w:ascii="Times New Roman" w:hAnsi="Times New Roman" w:cs="Times New Roman"/>
                <w:color w:val="000000" w:themeColor="text1"/>
                <w:sz w:val="21"/>
                <w14:textFill>
                  <w14:solidFill>
                    <w14:schemeClr w14:val="tx1"/>
                  </w14:solidFill>
                </w14:textFill>
              </w:rPr>
            </w:pPr>
          </w:p>
        </w:tc>
        <w:tc>
          <w:tcPr>
            <w:tcW w:w="556" w:type="pct"/>
            <w:vAlign w:val="center"/>
          </w:tcPr>
          <w:p w14:paraId="732EDEF6">
            <w:pPr>
              <w:jc w:val="center"/>
              <w:rPr>
                <w:rFonts w:ascii="Times New Roman" w:hAnsi="Times New Roman" w:cs="Times New Roman"/>
                <w:color w:val="000000" w:themeColor="text1"/>
                <w:sz w:val="21"/>
                <w:lang w:eastAsia="zh-CN"/>
                <w14:textFill>
                  <w14:solidFill>
                    <w14:schemeClr w14:val="tx1"/>
                  </w14:solidFill>
                </w14:textFill>
              </w:rPr>
            </w:pPr>
          </w:p>
        </w:tc>
        <w:tc>
          <w:tcPr>
            <w:tcW w:w="609" w:type="pct"/>
            <w:vAlign w:val="center"/>
          </w:tcPr>
          <w:p w14:paraId="682C661F">
            <w:pPr>
              <w:jc w:val="center"/>
              <w:rPr>
                <w:rFonts w:ascii="Times New Roman" w:hAnsi="Times New Roman" w:cs="Times New Roman"/>
                <w:color w:val="000000" w:themeColor="text1"/>
                <w:sz w:val="21"/>
                <w:lang w:eastAsia="zh-CN"/>
                <w14:textFill>
                  <w14:solidFill>
                    <w14:schemeClr w14:val="tx1"/>
                  </w14:solidFill>
                </w14:textFill>
              </w:rPr>
            </w:pPr>
          </w:p>
        </w:tc>
        <w:tc>
          <w:tcPr>
            <w:tcW w:w="516" w:type="pct"/>
            <w:vMerge w:val="continue"/>
            <w:vAlign w:val="center"/>
          </w:tcPr>
          <w:p w14:paraId="0A569CB0">
            <w:pPr>
              <w:jc w:val="center"/>
              <w:rPr>
                <w:rFonts w:ascii="Times New Roman" w:hAnsi="Times New Roman" w:cs="Times New Roman"/>
                <w:color w:val="auto"/>
                <w:sz w:val="21"/>
              </w:rPr>
            </w:pPr>
          </w:p>
        </w:tc>
        <w:tc>
          <w:tcPr>
            <w:tcW w:w="369" w:type="pct"/>
            <w:vMerge w:val="restart"/>
            <w:vAlign w:val="center"/>
          </w:tcPr>
          <w:p w14:paraId="37C5D538">
            <w:pPr>
              <w:jc w:val="center"/>
              <w:rPr>
                <w:rFonts w:ascii="Times New Roman" w:hAnsi="Times New Roman" w:cs="Times New Roman"/>
                <w:color w:val="auto"/>
                <w:sz w:val="21"/>
                <w:lang w:eastAsia="zh-CN"/>
              </w:rPr>
            </w:pPr>
          </w:p>
        </w:tc>
        <w:tc>
          <w:tcPr>
            <w:tcW w:w="451" w:type="pct"/>
            <w:vAlign w:val="center"/>
          </w:tcPr>
          <w:p w14:paraId="3B91918C">
            <w:pPr>
              <w:jc w:val="center"/>
              <w:rPr>
                <w:rFonts w:ascii="Times New Roman" w:hAnsi="Times New Roman" w:cs="Times New Roman"/>
                <w:color w:val="auto"/>
                <w:sz w:val="21"/>
              </w:rPr>
            </w:pPr>
          </w:p>
        </w:tc>
        <w:tc>
          <w:tcPr>
            <w:tcW w:w="556" w:type="pct"/>
            <w:vAlign w:val="center"/>
          </w:tcPr>
          <w:p w14:paraId="5A897748">
            <w:pPr>
              <w:jc w:val="center"/>
              <w:rPr>
                <w:rFonts w:ascii="Times New Roman" w:hAnsi="Times New Roman" w:cs="Times New Roman"/>
                <w:color w:val="auto"/>
                <w:sz w:val="21"/>
                <w:lang w:eastAsia="zh-CN"/>
              </w:rPr>
            </w:pPr>
          </w:p>
        </w:tc>
        <w:tc>
          <w:tcPr>
            <w:tcW w:w="556" w:type="pct"/>
            <w:vAlign w:val="center"/>
          </w:tcPr>
          <w:p w14:paraId="66B1F3AC">
            <w:pPr>
              <w:jc w:val="center"/>
              <w:rPr>
                <w:rFonts w:ascii="Times New Roman" w:hAnsi="Times New Roman" w:cs="Times New Roman"/>
                <w:color w:val="auto"/>
                <w:sz w:val="21"/>
                <w:lang w:eastAsia="zh-CN"/>
              </w:rPr>
            </w:pPr>
          </w:p>
        </w:tc>
      </w:tr>
      <w:tr w14:paraId="3BFBCE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3" w:type="pct"/>
            <w:vMerge w:val="continue"/>
            <w:vAlign w:val="center"/>
          </w:tcPr>
          <w:p w14:paraId="084A0FEA">
            <w:pPr>
              <w:jc w:val="center"/>
              <w:rPr>
                <w:rFonts w:ascii="Times New Roman" w:hAnsi="Times New Roman" w:cs="Times New Roman"/>
                <w:color w:val="000000" w:themeColor="text1"/>
                <w:sz w:val="21"/>
                <w:lang w:eastAsia="zh-CN"/>
                <w14:textFill>
                  <w14:solidFill>
                    <w14:schemeClr w14:val="tx1"/>
                  </w14:solidFill>
                </w14:textFill>
              </w:rPr>
            </w:pPr>
          </w:p>
        </w:tc>
        <w:tc>
          <w:tcPr>
            <w:tcW w:w="534" w:type="pct"/>
            <w:vAlign w:val="center"/>
          </w:tcPr>
          <w:p w14:paraId="1C51468C">
            <w:pPr>
              <w:jc w:val="center"/>
              <w:rPr>
                <w:rFonts w:ascii="Times New Roman" w:hAnsi="Times New Roman" w:cs="Times New Roman"/>
                <w:color w:val="000000" w:themeColor="text1"/>
                <w:sz w:val="21"/>
                <w:lang w:eastAsia="zh-CN"/>
                <w14:textFill>
                  <w14:solidFill>
                    <w14:schemeClr w14:val="tx1"/>
                  </w14:solidFill>
                </w14:textFill>
              </w:rPr>
            </w:pPr>
          </w:p>
        </w:tc>
        <w:tc>
          <w:tcPr>
            <w:tcW w:w="556" w:type="pct"/>
            <w:vAlign w:val="center"/>
          </w:tcPr>
          <w:p w14:paraId="750C27B9">
            <w:pPr>
              <w:jc w:val="center"/>
              <w:rPr>
                <w:rFonts w:ascii="Times New Roman" w:hAnsi="Times New Roman" w:cs="Times New Roman"/>
                <w:color w:val="auto"/>
                <w:sz w:val="21"/>
                <w:lang w:eastAsia="zh-CN"/>
              </w:rPr>
            </w:pPr>
          </w:p>
        </w:tc>
        <w:tc>
          <w:tcPr>
            <w:tcW w:w="609" w:type="pct"/>
            <w:vAlign w:val="center"/>
          </w:tcPr>
          <w:p w14:paraId="6E5CCD41">
            <w:pPr>
              <w:jc w:val="center"/>
              <w:rPr>
                <w:rFonts w:ascii="Times New Roman" w:hAnsi="Times New Roman" w:cs="Times New Roman"/>
                <w:color w:val="auto"/>
                <w:sz w:val="21"/>
                <w:lang w:eastAsia="zh-CN"/>
              </w:rPr>
            </w:pPr>
          </w:p>
        </w:tc>
        <w:tc>
          <w:tcPr>
            <w:tcW w:w="516" w:type="pct"/>
            <w:vMerge w:val="continue"/>
            <w:vAlign w:val="center"/>
          </w:tcPr>
          <w:p w14:paraId="793B29ED">
            <w:pPr>
              <w:jc w:val="center"/>
              <w:rPr>
                <w:rFonts w:ascii="Times New Roman" w:hAnsi="Times New Roman" w:cs="Times New Roman"/>
                <w:color w:val="auto"/>
                <w:sz w:val="21"/>
              </w:rPr>
            </w:pPr>
          </w:p>
        </w:tc>
        <w:tc>
          <w:tcPr>
            <w:tcW w:w="369" w:type="pct"/>
            <w:vMerge w:val="continue"/>
            <w:vAlign w:val="center"/>
          </w:tcPr>
          <w:p w14:paraId="6DC457EA">
            <w:pPr>
              <w:jc w:val="center"/>
              <w:rPr>
                <w:rFonts w:ascii="Times New Roman" w:hAnsi="Times New Roman" w:cs="Times New Roman"/>
                <w:color w:val="auto"/>
                <w:sz w:val="21"/>
              </w:rPr>
            </w:pPr>
          </w:p>
        </w:tc>
        <w:tc>
          <w:tcPr>
            <w:tcW w:w="451" w:type="pct"/>
            <w:vAlign w:val="center"/>
          </w:tcPr>
          <w:p w14:paraId="206D9EBA">
            <w:pPr>
              <w:jc w:val="center"/>
              <w:rPr>
                <w:rFonts w:ascii="Times New Roman" w:hAnsi="Times New Roman" w:cs="Times New Roman"/>
                <w:color w:val="auto"/>
                <w:sz w:val="21"/>
              </w:rPr>
            </w:pPr>
          </w:p>
        </w:tc>
        <w:tc>
          <w:tcPr>
            <w:tcW w:w="556" w:type="pct"/>
            <w:vAlign w:val="center"/>
          </w:tcPr>
          <w:p w14:paraId="286EFCA5">
            <w:pPr>
              <w:jc w:val="center"/>
              <w:rPr>
                <w:rFonts w:ascii="Times New Roman" w:hAnsi="Times New Roman" w:cs="Times New Roman"/>
                <w:color w:val="auto"/>
                <w:sz w:val="21"/>
                <w:lang w:eastAsia="zh-CN"/>
              </w:rPr>
            </w:pPr>
          </w:p>
        </w:tc>
        <w:tc>
          <w:tcPr>
            <w:tcW w:w="556" w:type="pct"/>
            <w:vAlign w:val="center"/>
          </w:tcPr>
          <w:p w14:paraId="44DF0CD3">
            <w:pPr>
              <w:jc w:val="center"/>
              <w:rPr>
                <w:rFonts w:ascii="Times New Roman" w:hAnsi="Times New Roman" w:cs="Times New Roman"/>
                <w:color w:val="auto"/>
                <w:sz w:val="21"/>
                <w:lang w:eastAsia="zh-CN"/>
              </w:rPr>
            </w:pPr>
          </w:p>
        </w:tc>
      </w:tr>
      <w:tr w14:paraId="167D76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3" w:type="pct"/>
            <w:vMerge w:val="restart"/>
            <w:vAlign w:val="center"/>
          </w:tcPr>
          <w:p w14:paraId="461C8291">
            <w:pPr>
              <w:jc w:val="center"/>
              <w:rPr>
                <w:rFonts w:ascii="Times New Roman" w:hAnsi="Times New Roman" w:cs="Times New Roman"/>
                <w:color w:val="000000" w:themeColor="text1"/>
                <w:sz w:val="21"/>
                <w:lang w:eastAsia="zh-CN"/>
                <w14:textFill>
                  <w14:solidFill>
                    <w14:schemeClr w14:val="tx1"/>
                  </w14:solidFill>
                </w14:textFill>
              </w:rPr>
            </w:pPr>
          </w:p>
        </w:tc>
        <w:tc>
          <w:tcPr>
            <w:tcW w:w="534" w:type="pct"/>
            <w:vAlign w:val="center"/>
          </w:tcPr>
          <w:p w14:paraId="4EC9D735">
            <w:pPr>
              <w:jc w:val="center"/>
              <w:rPr>
                <w:rFonts w:ascii="Times New Roman" w:hAnsi="Times New Roman" w:cs="Times New Roman"/>
                <w:color w:val="000000" w:themeColor="text1"/>
                <w:sz w:val="21"/>
                <w14:textFill>
                  <w14:solidFill>
                    <w14:schemeClr w14:val="tx1"/>
                  </w14:solidFill>
                </w14:textFill>
              </w:rPr>
            </w:pPr>
          </w:p>
        </w:tc>
        <w:tc>
          <w:tcPr>
            <w:tcW w:w="556" w:type="pct"/>
            <w:vAlign w:val="center"/>
          </w:tcPr>
          <w:p w14:paraId="3051E0A0">
            <w:pPr>
              <w:jc w:val="center"/>
              <w:rPr>
                <w:rFonts w:ascii="Times New Roman" w:hAnsi="Times New Roman" w:cs="Times New Roman"/>
                <w:color w:val="auto"/>
                <w:sz w:val="21"/>
                <w:lang w:eastAsia="zh-CN"/>
              </w:rPr>
            </w:pPr>
          </w:p>
        </w:tc>
        <w:tc>
          <w:tcPr>
            <w:tcW w:w="609" w:type="pct"/>
            <w:vAlign w:val="center"/>
          </w:tcPr>
          <w:p w14:paraId="502321D5">
            <w:pPr>
              <w:jc w:val="center"/>
              <w:rPr>
                <w:rFonts w:ascii="Times New Roman" w:hAnsi="Times New Roman" w:cs="Times New Roman"/>
                <w:color w:val="auto"/>
                <w:sz w:val="21"/>
                <w:lang w:eastAsia="zh-CN"/>
              </w:rPr>
            </w:pPr>
          </w:p>
        </w:tc>
        <w:tc>
          <w:tcPr>
            <w:tcW w:w="516" w:type="pct"/>
            <w:vMerge w:val="continue"/>
            <w:vAlign w:val="center"/>
          </w:tcPr>
          <w:p w14:paraId="6ED5BBB2">
            <w:pPr>
              <w:jc w:val="center"/>
              <w:rPr>
                <w:rFonts w:ascii="Times New Roman" w:hAnsi="Times New Roman" w:cs="Times New Roman"/>
                <w:color w:val="auto"/>
                <w:sz w:val="21"/>
              </w:rPr>
            </w:pPr>
          </w:p>
        </w:tc>
        <w:tc>
          <w:tcPr>
            <w:tcW w:w="369" w:type="pct"/>
            <w:vAlign w:val="center"/>
          </w:tcPr>
          <w:p w14:paraId="188E9B45">
            <w:pPr>
              <w:jc w:val="center"/>
              <w:rPr>
                <w:rFonts w:ascii="Times New Roman" w:hAnsi="Times New Roman" w:cs="Times New Roman"/>
                <w:color w:val="auto"/>
                <w:sz w:val="21"/>
                <w:lang w:eastAsia="zh-CN"/>
              </w:rPr>
            </w:pPr>
          </w:p>
        </w:tc>
        <w:tc>
          <w:tcPr>
            <w:tcW w:w="451" w:type="pct"/>
            <w:vAlign w:val="center"/>
          </w:tcPr>
          <w:p w14:paraId="31E7666E">
            <w:pPr>
              <w:jc w:val="center"/>
              <w:rPr>
                <w:rFonts w:ascii="Times New Roman" w:hAnsi="Times New Roman" w:cs="Times New Roman"/>
                <w:color w:val="auto"/>
                <w:sz w:val="21"/>
                <w:lang w:eastAsia="zh-CN"/>
              </w:rPr>
            </w:pPr>
          </w:p>
        </w:tc>
        <w:tc>
          <w:tcPr>
            <w:tcW w:w="556" w:type="pct"/>
            <w:vAlign w:val="center"/>
          </w:tcPr>
          <w:p w14:paraId="155164ED">
            <w:pPr>
              <w:jc w:val="center"/>
              <w:rPr>
                <w:rFonts w:ascii="Times New Roman" w:hAnsi="Times New Roman" w:cs="Times New Roman"/>
                <w:color w:val="auto"/>
                <w:sz w:val="21"/>
                <w:lang w:eastAsia="zh-CN"/>
              </w:rPr>
            </w:pPr>
          </w:p>
        </w:tc>
        <w:tc>
          <w:tcPr>
            <w:tcW w:w="556" w:type="pct"/>
            <w:vAlign w:val="center"/>
          </w:tcPr>
          <w:p w14:paraId="6E999F34">
            <w:pPr>
              <w:jc w:val="center"/>
              <w:rPr>
                <w:rFonts w:ascii="Times New Roman" w:hAnsi="Times New Roman" w:cs="Times New Roman"/>
                <w:color w:val="auto"/>
                <w:sz w:val="21"/>
                <w:lang w:eastAsia="zh-CN"/>
              </w:rPr>
            </w:pPr>
          </w:p>
        </w:tc>
      </w:tr>
      <w:tr w14:paraId="4063FC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3" w:type="pct"/>
            <w:vMerge w:val="continue"/>
            <w:vAlign w:val="center"/>
          </w:tcPr>
          <w:p w14:paraId="04CEC598">
            <w:pPr>
              <w:jc w:val="center"/>
              <w:rPr>
                <w:rFonts w:ascii="Times New Roman" w:hAnsi="Times New Roman" w:cs="Times New Roman"/>
                <w:color w:val="000000" w:themeColor="text1"/>
                <w:sz w:val="21"/>
                <w:lang w:eastAsia="zh-CN"/>
                <w14:textFill>
                  <w14:solidFill>
                    <w14:schemeClr w14:val="tx1"/>
                  </w14:solidFill>
                </w14:textFill>
              </w:rPr>
            </w:pPr>
          </w:p>
        </w:tc>
        <w:tc>
          <w:tcPr>
            <w:tcW w:w="534" w:type="pct"/>
            <w:vAlign w:val="center"/>
          </w:tcPr>
          <w:p w14:paraId="0B7EFC90">
            <w:pPr>
              <w:jc w:val="center"/>
              <w:rPr>
                <w:rFonts w:ascii="Times New Roman" w:hAnsi="Times New Roman" w:cs="Times New Roman"/>
                <w:color w:val="000000" w:themeColor="text1"/>
                <w:sz w:val="21"/>
                <w14:textFill>
                  <w14:solidFill>
                    <w14:schemeClr w14:val="tx1"/>
                  </w14:solidFill>
                </w14:textFill>
              </w:rPr>
            </w:pPr>
          </w:p>
        </w:tc>
        <w:tc>
          <w:tcPr>
            <w:tcW w:w="556" w:type="pct"/>
            <w:vAlign w:val="center"/>
          </w:tcPr>
          <w:p w14:paraId="21ABD776">
            <w:pPr>
              <w:jc w:val="center"/>
              <w:rPr>
                <w:rFonts w:ascii="Times New Roman" w:hAnsi="Times New Roman" w:cs="Times New Roman"/>
                <w:color w:val="auto"/>
                <w:sz w:val="21"/>
                <w:lang w:eastAsia="zh-CN"/>
              </w:rPr>
            </w:pPr>
          </w:p>
        </w:tc>
        <w:tc>
          <w:tcPr>
            <w:tcW w:w="609" w:type="pct"/>
            <w:vAlign w:val="center"/>
          </w:tcPr>
          <w:p w14:paraId="587597B7">
            <w:pPr>
              <w:jc w:val="center"/>
              <w:rPr>
                <w:rFonts w:ascii="Times New Roman" w:hAnsi="Times New Roman" w:cs="Times New Roman"/>
                <w:color w:val="auto"/>
                <w:sz w:val="21"/>
                <w:lang w:eastAsia="zh-CN"/>
              </w:rPr>
            </w:pPr>
          </w:p>
        </w:tc>
        <w:tc>
          <w:tcPr>
            <w:tcW w:w="516" w:type="pct"/>
            <w:vMerge w:val="restart"/>
            <w:vAlign w:val="center"/>
          </w:tcPr>
          <w:p w14:paraId="324A3D1E">
            <w:pPr>
              <w:jc w:val="center"/>
              <w:rPr>
                <w:rFonts w:ascii="Times New Roman" w:hAnsi="Times New Roman" w:cs="Times New Roman"/>
                <w:color w:val="auto"/>
                <w:sz w:val="21"/>
              </w:rPr>
            </w:pPr>
          </w:p>
        </w:tc>
        <w:tc>
          <w:tcPr>
            <w:tcW w:w="369" w:type="pct"/>
            <w:vMerge w:val="restart"/>
            <w:vAlign w:val="center"/>
          </w:tcPr>
          <w:p w14:paraId="6517887B">
            <w:pPr>
              <w:jc w:val="center"/>
              <w:rPr>
                <w:rFonts w:ascii="Times New Roman" w:hAnsi="Times New Roman" w:cs="Times New Roman"/>
                <w:color w:val="auto"/>
                <w:sz w:val="21"/>
              </w:rPr>
            </w:pPr>
          </w:p>
        </w:tc>
        <w:tc>
          <w:tcPr>
            <w:tcW w:w="451" w:type="pct"/>
            <w:vAlign w:val="center"/>
          </w:tcPr>
          <w:p w14:paraId="52DBB5B1">
            <w:pPr>
              <w:jc w:val="center"/>
              <w:rPr>
                <w:rFonts w:ascii="Times New Roman" w:hAnsi="Times New Roman" w:cs="Times New Roman"/>
                <w:color w:val="auto"/>
                <w:sz w:val="21"/>
              </w:rPr>
            </w:pPr>
          </w:p>
        </w:tc>
        <w:tc>
          <w:tcPr>
            <w:tcW w:w="556" w:type="pct"/>
            <w:vAlign w:val="center"/>
          </w:tcPr>
          <w:p w14:paraId="51D62D6D">
            <w:pPr>
              <w:jc w:val="center"/>
              <w:rPr>
                <w:rFonts w:ascii="Times New Roman" w:hAnsi="Times New Roman" w:cs="Times New Roman"/>
                <w:color w:val="auto"/>
                <w:sz w:val="21"/>
                <w:lang w:eastAsia="zh-CN"/>
              </w:rPr>
            </w:pPr>
          </w:p>
        </w:tc>
        <w:tc>
          <w:tcPr>
            <w:tcW w:w="556" w:type="pct"/>
            <w:vAlign w:val="center"/>
          </w:tcPr>
          <w:p w14:paraId="20999E8B">
            <w:pPr>
              <w:jc w:val="center"/>
              <w:rPr>
                <w:rFonts w:ascii="Times New Roman" w:hAnsi="Times New Roman" w:cs="Times New Roman"/>
                <w:color w:val="auto"/>
                <w:sz w:val="21"/>
                <w:lang w:eastAsia="zh-CN"/>
              </w:rPr>
            </w:pPr>
          </w:p>
        </w:tc>
      </w:tr>
      <w:tr w14:paraId="304D88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3" w:type="pct"/>
            <w:vMerge w:val="continue"/>
            <w:vAlign w:val="center"/>
          </w:tcPr>
          <w:p w14:paraId="56CF628E">
            <w:pPr>
              <w:jc w:val="center"/>
              <w:rPr>
                <w:rFonts w:ascii="Times New Roman" w:hAnsi="Times New Roman" w:cs="Times New Roman"/>
                <w:color w:val="000000" w:themeColor="text1"/>
                <w:sz w:val="21"/>
                <w:lang w:eastAsia="zh-CN"/>
                <w14:textFill>
                  <w14:solidFill>
                    <w14:schemeClr w14:val="tx1"/>
                  </w14:solidFill>
                </w14:textFill>
              </w:rPr>
            </w:pPr>
          </w:p>
        </w:tc>
        <w:tc>
          <w:tcPr>
            <w:tcW w:w="534" w:type="pct"/>
            <w:vAlign w:val="center"/>
          </w:tcPr>
          <w:p w14:paraId="6D04D19A">
            <w:pPr>
              <w:jc w:val="center"/>
              <w:rPr>
                <w:rFonts w:ascii="Times New Roman" w:hAnsi="Times New Roman" w:cs="Times New Roman"/>
                <w:color w:val="000000" w:themeColor="text1"/>
                <w:sz w:val="21"/>
                <w:lang w:eastAsia="zh-CN"/>
                <w14:textFill>
                  <w14:solidFill>
                    <w14:schemeClr w14:val="tx1"/>
                  </w14:solidFill>
                </w14:textFill>
              </w:rPr>
            </w:pPr>
          </w:p>
        </w:tc>
        <w:tc>
          <w:tcPr>
            <w:tcW w:w="556" w:type="pct"/>
            <w:vAlign w:val="center"/>
          </w:tcPr>
          <w:p w14:paraId="6CE9EFFD">
            <w:pPr>
              <w:jc w:val="center"/>
              <w:rPr>
                <w:rFonts w:ascii="Times New Roman" w:hAnsi="Times New Roman" w:cs="Times New Roman"/>
                <w:color w:val="auto"/>
                <w:sz w:val="21"/>
                <w:lang w:eastAsia="zh-CN"/>
              </w:rPr>
            </w:pPr>
          </w:p>
        </w:tc>
        <w:tc>
          <w:tcPr>
            <w:tcW w:w="609" w:type="pct"/>
            <w:vAlign w:val="center"/>
          </w:tcPr>
          <w:p w14:paraId="65A89E3D">
            <w:pPr>
              <w:jc w:val="center"/>
              <w:rPr>
                <w:rFonts w:ascii="Times New Roman" w:hAnsi="Times New Roman" w:cs="Times New Roman"/>
                <w:color w:val="auto"/>
                <w:sz w:val="21"/>
                <w:lang w:eastAsia="zh-CN"/>
              </w:rPr>
            </w:pPr>
          </w:p>
        </w:tc>
        <w:tc>
          <w:tcPr>
            <w:tcW w:w="516" w:type="pct"/>
            <w:vMerge w:val="continue"/>
            <w:vAlign w:val="center"/>
          </w:tcPr>
          <w:p w14:paraId="10CB8891">
            <w:pPr>
              <w:jc w:val="center"/>
              <w:rPr>
                <w:rFonts w:ascii="Times New Roman" w:hAnsi="Times New Roman" w:cs="Times New Roman"/>
                <w:color w:val="auto"/>
                <w:sz w:val="21"/>
              </w:rPr>
            </w:pPr>
          </w:p>
        </w:tc>
        <w:tc>
          <w:tcPr>
            <w:tcW w:w="369" w:type="pct"/>
            <w:vMerge w:val="continue"/>
            <w:vAlign w:val="center"/>
          </w:tcPr>
          <w:p w14:paraId="6B42E68F">
            <w:pPr>
              <w:jc w:val="center"/>
              <w:rPr>
                <w:rFonts w:ascii="Times New Roman" w:hAnsi="Times New Roman" w:cs="Times New Roman"/>
                <w:color w:val="auto"/>
                <w:sz w:val="21"/>
              </w:rPr>
            </w:pPr>
          </w:p>
        </w:tc>
        <w:tc>
          <w:tcPr>
            <w:tcW w:w="451" w:type="pct"/>
            <w:vAlign w:val="center"/>
          </w:tcPr>
          <w:p w14:paraId="0093EB86">
            <w:pPr>
              <w:jc w:val="center"/>
              <w:rPr>
                <w:rFonts w:ascii="Times New Roman" w:hAnsi="Times New Roman" w:cs="Times New Roman"/>
                <w:color w:val="auto"/>
                <w:sz w:val="21"/>
              </w:rPr>
            </w:pPr>
          </w:p>
        </w:tc>
        <w:tc>
          <w:tcPr>
            <w:tcW w:w="556" w:type="pct"/>
            <w:vAlign w:val="center"/>
          </w:tcPr>
          <w:p w14:paraId="45BF12A0">
            <w:pPr>
              <w:jc w:val="center"/>
              <w:rPr>
                <w:rFonts w:ascii="Times New Roman" w:hAnsi="Times New Roman" w:cs="Times New Roman"/>
                <w:color w:val="auto"/>
                <w:sz w:val="21"/>
                <w:lang w:eastAsia="zh-CN"/>
              </w:rPr>
            </w:pPr>
          </w:p>
        </w:tc>
        <w:tc>
          <w:tcPr>
            <w:tcW w:w="556" w:type="pct"/>
            <w:vAlign w:val="center"/>
          </w:tcPr>
          <w:p w14:paraId="4E3A5EA4">
            <w:pPr>
              <w:jc w:val="center"/>
              <w:rPr>
                <w:rFonts w:ascii="Times New Roman" w:hAnsi="Times New Roman" w:cs="Times New Roman"/>
                <w:color w:val="auto"/>
                <w:sz w:val="21"/>
                <w:lang w:eastAsia="zh-CN"/>
              </w:rPr>
            </w:pPr>
          </w:p>
        </w:tc>
      </w:tr>
      <w:tr w14:paraId="77F632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7" w:type="pct"/>
            <w:gridSpan w:val="2"/>
            <w:vAlign w:val="center"/>
          </w:tcPr>
          <w:p w14:paraId="37F225A1">
            <w:pPr>
              <w:jc w:val="center"/>
              <w:rPr>
                <w:rFonts w:ascii="Times New Roman" w:hAnsi="Times New Roman" w:cs="Times New Roman"/>
                <w:color w:val="auto"/>
                <w:sz w:val="21"/>
              </w:rPr>
            </w:pPr>
          </w:p>
        </w:tc>
        <w:tc>
          <w:tcPr>
            <w:tcW w:w="556" w:type="pct"/>
            <w:vAlign w:val="center"/>
          </w:tcPr>
          <w:p w14:paraId="5F9A74D7">
            <w:pPr>
              <w:jc w:val="center"/>
              <w:rPr>
                <w:rFonts w:ascii="Times New Roman" w:hAnsi="Times New Roman" w:cs="Times New Roman"/>
                <w:color w:val="auto"/>
                <w:sz w:val="21"/>
                <w:lang w:eastAsia="zh-CN"/>
              </w:rPr>
            </w:pPr>
          </w:p>
        </w:tc>
        <w:tc>
          <w:tcPr>
            <w:tcW w:w="609" w:type="pct"/>
            <w:vAlign w:val="center"/>
          </w:tcPr>
          <w:p w14:paraId="438156C3">
            <w:pPr>
              <w:jc w:val="center"/>
              <w:rPr>
                <w:rFonts w:ascii="Times New Roman" w:hAnsi="Times New Roman" w:cs="Times New Roman"/>
                <w:color w:val="auto"/>
                <w:sz w:val="21"/>
                <w:lang w:eastAsia="zh-CN"/>
              </w:rPr>
            </w:pPr>
          </w:p>
        </w:tc>
        <w:tc>
          <w:tcPr>
            <w:tcW w:w="1336" w:type="pct"/>
            <w:gridSpan w:val="3"/>
            <w:vAlign w:val="center"/>
          </w:tcPr>
          <w:p w14:paraId="53EA5DF1">
            <w:pPr>
              <w:jc w:val="center"/>
              <w:rPr>
                <w:rFonts w:ascii="Times New Roman" w:hAnsi="Times New Roman" w:cs="Times New Roman"/>
                <w:color w:val="auto"/>
                <w:sz w:val="21"/>
              </w:rPr>
            </w:pPr>
          </w:p>
        </w:tc>
        <w:tc>
          <w:tcPr>
            <w:tcW w:w="556" w:type="pct"/>
            <w:vAlign w:val="center"/>
          </w:tcPr>
          <w:p w14:paraId="6122BDFE">
            <w:pPr>
              <w:jc w:val="center"/>
              <w:rPr>
                <w:rFonts w:ascii="Times New Roman" w:hAnsi="Times New Roman" w:cs="Times New Roman"/>
                <w:color w:val="auto"/>
                <w:sz w:val="21"/>
                <w:lang w:eastAsia="zh-CN"/>
              </w:rPr>
            </w:pPr>
          </w:p>
        </w:tc>
        <w:tc>
          <w:tcPr>
            <w:tcW w:w="556" w:type="pct"/>
            <w:vAlign w:val="center"/>
          </w:tcPr>
          <w:p w14:paraId="0CDF9224">
            <w:pPr>
              <w:jc w:val="center"/>
              <w:rPr>
                <w:rFonts w:ascii="Times New Roman" w:hAnsi="Times New Roman" w:cs="Times New Roman"/>
                <w:color w:val="auto"/>
                <w:sz w:val="21"/>
                <w:lang w:eastAsia="zh-CN"/>
              </w:rPr>
            </w:pPr>
          </w:p>
        </w:tc>
      </w:tr>
    </w:tbl>
    <w:p w14:paraId="0A4C48E8">
      <w:pPr>
        <w:spacing w:line="360" w:lineRule="auto"/>
        <w:jc w:val="center"/>
        <w:rPr>
          <w:rFonts w:ascii="Times New Roman" w:hAnsi="Times New Roman" w:cs="Times New Roman"/>
          <w:b/>
          <w:color w:val="auto"/>
          <w:lang w:eastAsia="zh-CN"/>
        </w:rPr>
      </w:pPr>
      <w:r>
        <w:rPr>
          <w:rFonts w:ascii="Times New Roman" w:hAnsi="Times New Roman" w:cs="Times New Roman"/>
          <w:b/>
          <w:color w:val="auto"/>
          <w:lang w:eastAsia="zh-CN"/>
        </w:rPr>
        <w:t>表4.2-</w:t>
      </w:r>
      <w:r>
        <w:rPr>
          <w:rFonts w:hint="eastAsia" w:ascii="Times New Roman" w:hAnsi="Times New Roman" w:cs="Times New Roman"/>
          <w:b/>
          <w:color w:val="auto"/>
          <w:lang w:eastAsia="zh-CN"/>
        </w:rPr>
        <w:t>12</w:t>
      </w:r>
      <w:r>
        <w:rPr>
          <w:rFonts w:ascii="Times New Roman" w:hAnsi="Times New Roman" w:cs="Times New Roman"/>
          <w:b/>
          <w:color w:val="auto"/>
          <w:lang w:eastAsia="zh-CN"/>
        </w:rPr>
        <w:t xml:space="preserve"> </w:t>
      </w:r>
      <w:r>
        <w:rPr>
          <w:rFonts w:hint="eastAsia" w:ascii="Times New Roman" w:hAnsi="Times New Roman" w:cs="Times New Roman"/>
          <w:b/>
          <w:color w:val="auto"/>
          <w:lang w:eastAsia="zh-CN"/>
        </w:rPr>
        <w:t xml:space="preserve"> 氟元素</w:t>
      </w:r>
      <w:r>
        <w:rPr>
          <w:rFonts w:ascii="Times New Roman" w:hAnsi="Times New Roman" w:cs="Times New Roman"/>
          <w:b/>
          <w:color w:val="auto"/>
          <w:lang w:eastAsia="zh-CN"/>
        </w:rPr>
        <w:t>平衡表</w:t>
      </w:r>
    </w:p>
    <w:tbl>
      <w:tblPr>
        <w:tblStyle w:val="3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955"/>
        <w:gridCol w:w="1113"/>
        <w:gridCol w:w="1398"/>
        <w:gridCol w:w="1479"/>
        <w:gridCol w:w="1277"/>
        <w:gridCol w:w="1524"/>
      </w:tblGrid>
      <w:tr w14:paraId="7963A5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804" w:type="pct"/>
            <w:gridSpan w:val="3"/>
            <w:vAlign w:val="center"/>
          </w:tcPr>
          <w:p w14:paraId="2B9594F8">
            <w:pPr>
              <w:widowControl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物料进项</w:t>
            </w:r>
          </w:p>
        </w:tc>
        <w:tc>
          <w:tcPr>
            <w:tcW w:w="2196" w:type="pct"/>
            <w:gridSpan w:val="3"/>
            <w:vAlign w:val="center"/>
          </w:tcPr>
          <w:p w14:paraId="2480B9C6">
            <w:pPr>
              <w:widowControl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物料出项</w:t>
            </w:r>
          </w:p>
        </w:tc>
      </w:tr>
      <w:tr w14:paraId="08DC59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16" w:type="pct"/>
            <w:vAlign w:val="center"/>
          </w:tcPr>
          <w:p w14:paraId="7EE1CD30">
            <w:pPr>
              <w:widowControl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物料名称</w:t>
            </w:r>
          </w:p>
        </w:tc>
        <w:tc>
          <w:tcPr>
            <w:tcW w:w="571" w:type="pct"/>
            <w:vAlign w:val="center"/>
          </w:tcPr>
          <w:p w14:paraId="3789A4F2">
            <w:pPr>
              <w:widowControl w:val="0"/>
              <w:jc w:val="center"/>
              <w:rPr>
                <w:rFonts w:ascii="Times New Roman" w:hAnsi="Times New Roman" w:cs="Times New Roman"/>
                <w:b/>
                <w:color w:val="000000" w:themeColor="text1"/>
                <w:sz w:val="21"/>
                <w14:textFill>
                  <w14:solidFill>
                    <w14:schemeClr w14:val="tx1"/>
                  </w14:solidFill>
                </w14:textFill>
              </w:rPr>
            </w:pPr>
            <w:r>
              <w:rPr>
                <w:rFonts w:hint="eastAsia" w:ascii="Times New Roman" w:hAnsi="Times New Roman" w:cs="Times New Roman"/>
                <w:b/>
                <w:color w:val="000000" w:themeColor="text1"/>
                <w:sz w:val="21"/>
                <w:lang w:eastAsia="zh-CN"/>
                <w14:textFill>
                  <w14:solidFill>
                    <w14:schemeClr w14:val="tx1"/>
                  </w14:solidFill>
                </w14:textFill>
              </w:rPr>
              <w:t>氟化氢</w:t>
            </w:r>
            <w:r>
              <w:rPr>
                <w:rFonts w:ascii="Times New Roman" w:hAnsi="Times New Roman" w:cs="Times New Roman"/>
                <w:b/>
                <w:color w:val="000000" w:themeColor="text1"/>
                <w:sz w:val="21"/>
                <w14:textFill>
                  <w14:solidFill>
                    <w14:schemeClr w14:val="tx1"/>
                  </w14:solidFill>
                </w14:textFill>
              </w:rPr>
              <w:t>量（t/a）</w:t>
            </w:r>
          </w:p>
        </w:tc>
        <w:tc>
          <w:tcPr>
            <w:tcW w:w="717" w:type="pct"/>
            <w:vAlign w:val="center"/>
          </w:tcPr>
          <w:p w14:paraId="3689B128">
            <w:pPr>
              <w:widowControl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折氟量（t/a）</w:t>
            </w:r>
          </w:p>
        </w:tc>
        <w:tc>
          <w:tcPr>
            <w:tcW w:w="759" w:type="pct"/>
            <w:vAlign w:val="center"/>
          </w:tcPr>
          <w:p w14:paraId="5B5E0BD2">
            <w:pPr>
              <w:widowControl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物料名称</w:t>
            </w:r>
          </w:p>
        </w:tc>
        <w:tc>
          <w:tcPr>
            <w:tcW w:w="655" w:type="pct"/>
            <w:vAlign w:val="center"/>
          </w:tcPr>
          <w:p w14:paraId="41F84B49">
            <w:pPr>
              <w:widowControl w:val="0"/>
              <w:jc w:val="center"/>
              <w:rPr>
                <w:rFonts w:ascii="Times New Roman" w:hAnsi="Times New Roman" w:cs="Times New Roman"/>
                <w:b/>
                <w:color w:val="000000" w:themeColor="text1"/>
                <w:sz w:val="21"/>
                <w14:textFill>
                  <w14:solidFill>
                    <w14:schemeClr w14:val="tx1"/>
                  </w14:solidFill>
                </w14:textFill>
              </w:rPr>
            </w:pPr>
            <w:r>
              <w:rPr>
                <w:rFonts w:hint="eastAsia" w:ascii="Times New Roman" w:hAnsi="Times New Roman" w:cs="Times New Roman"/>
                <w:b/>
                <w:color w:val="000000" w:themeColor="text1"/>
                <w:sz w:val="21"/>
                <w:lang w:eastAsia="zh-CN"/>
                <w14:textFill>
                  <w14:solidFill>
                    <w14:schemeClr w14:val="tx1"/>
                  </w14:solidFill>
                </w14:textFill>
              </w:rPr>
              <w:t>氟化氢</w:t>
            </w:r>
            <w:r>
              <w:rPr>
                <w:rFonts w:ascii="Times New Roman" w:hAnsi="Times New Roman" w:cs="Times New Roman"/>
                <w:b/>
                <w:color w:val="000000" w:themeColor="text1"/>
                <w:sz w:val="21"/>
                <w14:textFill>
                  <w14:solidFill>
                    <w14:schemeClr w14:val="tx1"/>
                  </w14:solidFill>
                </w14:textFill>
              </w:rPr>
              <w:t>量（t/a）</w:t>
            </w:r>
          </w:p>
        </w:tc>
        <w:tc>
          <w:tcPr>
            <w:tcW w:w="782" w:type="pct"/>
            <w:vAlign w:val="center"/>
          </w:tcPr>
          <w:p w14:paraId="6D6CFABF">
            <w:pPr>
              <w:widowControl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折氟量（t/a）</w:t>
            </w:r>
          </w:p>
        </w:tc>
      </w:tr>
      <w:tr w14:paraId="10D0FC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16" w:type="pct"/>
            <w:vAlign w:val="center"/>
          </w:tcPr>
          <w:p w14:paraId="085B2982">
            <w:pPr>
              <w:widowControl w:val="0"/>
              <w:jc w:val="center"/>
              <w:rPr>
                <w:rFonts w:ascii="Times New Roman" w:hAnsi="Times New Roman" w:cs="Times New Roman"/>
                <w:color w:val="000000" w:themeColor="text1"/>
                <w:spacing w:val="-10"/>
                <w:sz w:val="21"/>
                <w14:textFill>
                  <w14:solidFill>
                    <w14:schemeClr w14:val="tx1"/>
                  </w14:solidFill>
                </w14:textFill>
              </w:rPr>
            </w:pPr>
          </w:p>
        </w:tc>
        <w:tc>
          <w:tcPr>
            <w:tcW w:w="571" w:type="pct"/>
            <w:vAlign w:val="center"/>
          </w:tcPr>
          <w:p w14:paraId="2C5412BB">
            <w:pPr>
              <w:widowControl w:val="0"/>
              <w:jc w:val="center"/>
              <w:rPr>
                <w:rFonts w:ascii="Times New Roman" w:hAnsi="Times New Roman" w:cs="Times New Roman"/>
                <w:color w:val="000000" w:themeColor="text1"/>
                <w:sz w:val="21"/>
                <w:lang w:eastAsia="zh-CN"/>
                <w14:textFill>
                  <w14:solidFill>
                    <w14:schemeClr w14:val="tx1"/>
                  </w14:solidFill>
                </w14:textFill>
              </w:rPr>
            </w:pPr>
          </w:p>
        </w:tc>
        <w:tc>
          <w:tcPr>
            <w:tcW w:w="717" w:type="pct"/>
            <w:vAlign w:val="center"/>
          </w:tcPr>
          <w:p w14:paraId="305F53BF">
            <w:pPr>
              <w:widowControl w:val="0"/>
              <w:jc w:val="center"/>
              <w:rPr>
                <w:rFonts w:ascii="Times New Roman" w:hAnsi="Times New Roman" w:cs="Times New Roman"/>
                <w:color w:val="000000" w:themeColor="text1"/>
                <w:sz w:val="21"/>
                <w:lang w:eastAsia="zh-CN"/>
                <w14:textFill>
                  <w14:solidFill>
                    <w14:schemeClr w14:val="tx1"/>
                  </w14:solidFill>
                </w14:textFill>
              </w:rPr>
            </w:pPr>
          </w:p>
        </w:tc>
        <w:tc>
          <w:tcPr>
            <w:tcW w:w="759" w:type="pct"/>
            <w:vAlign w:val="center"/>
          </w:tcPr>
          <w:p w14:paraId="541C889F">
            <w:pPr>
              <w:widowControl w:val="0"/>
              <w:jc w:val="center"/>
              <w:rPr>
                <w:rFonts w:ascii="Times New Roman" w:hAnsi="Times New Roman" w:cs="Times New Roman"/>
                <w:color w:val="000000" w:themeColor="text1"/>
                <w:sz w:val="21"/>
                <w14:textFill>
                  <w14:solidFill>
                    <w14:schemeClr w14:val="tx1"/>
                  </w14:solidFill>
                </w14:textFill>
              </w:rPr>
            </w:pPr>
          </w:p>
        </w:tc>
        <w:tc>
          <w:tcPr>
            <w:tcW w:w="655" w:type="pct"/>
            <w:vAlign w:val="center"/>
          </w:tcPr>
          <w:p w14:paraId="65B22B7A">
            <w:pPr>
              <w:widowControl w:val="0"/>
              <w:jc w:val="center"/>
              <w:rPr>
                <w:rFonts w:ascii="Times New Roman" w:hAnsi="Times New Roman" w:cs="Times New Roman"/>
                <w:color w:val="000000" w:themeColor="text1"/>
                <w:sz w:val="21"/>
                <w:lang w:eastAsia="zh-CN"/>
                <w14:textFill>
                  <w14:solidFill>
                    <w14:schemeClr w14:val="tx1"/>
                  </w14:solidFill>
                </w14:textFill>
              </w:rPr>
            </w:pPr>
          </w:p>
        </w:tc>
        <w:tc>
          <w:tcPr>
            <w:tcW w:w="782" w:type="pct"/>
            <w:vAlign w:val="center"/>
          </w:tcPr>
          <w:p w14:paraId="7F3AE0DA">
            <w:pPr>
              <w:widowControl w:val="0"/>
              <w:jc w:val="center"/>
              <w:rPr>
                <w:rFonts w:ascii="Times New Roman" w:hAnsi="Times New Roman" w:cs="Times New Roman"/>
                <w:color w:val="000000" w:themeColor="text1"/>
                <w:sz w:val="21"/>
                <w:lang w:eastAsia="zh-CN"/>
                <w14:textFill>
                  <w14:solidFill>
                    <w14:schemeClr w14:val="tx1"/>
                  </w14:solidFill>
                </w14:textFill>
              </w:rPr>
            </w:pPr>
          </w:p>
        </w:tc>
      </w:tr>
      <w:tr w14:paraId="5FCE4B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16" w:type="pct"/>
            <w:vAlign w:val="center"/>
          </w:tcPr>
          <w:p w14:paraId="3C8172E4">
            <w:pPr>
              <w:widowControl w:val="0"/>
              <w:jc w:val="center"/>
              <w:rPr>
                <w:rFonts w:ascii="Times New Roman" w:hAnsi="Times New Roman" w:cs="Times New Roman"/>
                <w:color w:val="000000" w:themeColor="text1"/>
                <w:sz w:val="21"/>
                <w:lang w:eastAsia="zh-CN"/>
                <w14:textFill>
                  <w14:solidFill>
                    <w14:schemeClr w14:val="tx1"/>
                  </w14:solidFill>
                </w14:textFill>
              </w:rPr>
            </w:pPr>
          </w:p>
        </w:tc>
        <w:tc>
          <w:tcPr>
            <w:tcW w:w="571" w:type="pct"/>
            <w:vAlign w:val="center"/>
          </w:tcPr>
          <w:p w14:paraId="4D216F0B">
            <w:pPr>
              <w:widowControl w:val="0"/>
              <w:jc w:val="center"/>
              <w:rPr>
                <w:rFonts w:ascii="Times New Roman" w:hAnsi="Times New Roman" w:cs="Times New Roman"/>
                <w:color w:val="000000" w:themeColor="text1"/>
                <w:sz w:val="21"/>
                <w14:textFill>
                  <w14:solidFill>
                    <w14:schemeClr w14:val="tx1"/>
                  </w14:solidFill>
                </w14:textFill>
              </w:rPr>
            </w:pPr>
          </w:p>
        </w:tc>
        <w:tc>
          <w:tcPr>
            <w:tcW w:w="717" w:type="pct"/>
            <w:vAlign w:val="center"/>
          </w:tcPr>
          <w:p w14:paraId="16ADC726">
            <w:pPr>
              <w:widowControl w:val="0"/>
              <w:jc w:val="center"/>
              <w:rPr>
                <w:rFonts w:ascii="Times New Roman" w:hAnsi="Times New Roman" w:cs="Times New Roman"/>
                <w:color w:val="000000" w:themeColor="text1"/>
                <w:sz w:val="21"/>
                <w:lang w:eastAsia="zh-CN"/>
                <w14:textFill>
                  <w14:solidFill>
                    <w14:schemeClr w14:val="tx1"/>
                  </w14:solidFill>
                </w14:textFill>
              </w:rPr>
            </w:pPr>
          </w:p>
        </w:tc>
        <w:tc>
          <w:tcPr>
            <w:tcW w:w="759" w:type="pct"/>
            <w:vAlign w:val="center"/>
          </w:tcPr>
          <w:p w14:paraId="23BDC197">
            <w:pPr>
              <w:widowControl w:val="0"/>
              <w:jc w:val="center"/>
              <w:rPr>
                <w:rFonts w:ascii="Times New Roman" w:hAnsi="Times New Roman" w:cs="Times New Roman"/>
                <w:color w:val="000000" w:themeColor="text1"/>
                <w:sz w:val="21"/>
                <w14:textFill>
                  <w14:solidFill>
                    <w14:schemeClr w14:val="tx1"/>
                  </w14:solidFill>
                </w14:textFill>
              </w:rPr>
            </w:pPr>
          </w:p>
        </w:tc>
        <w:tc>
          <w:tcPr>
            <w:tcW w:w="655" w:type="pct"/>
            <w:vAlign w:val="center"/>
          </w:tcPr>
          <w:p w14:paraId="41B88DF4">
            <w:pPr>
              <w:widowControl w:val="0"/>
              <w:jc w:val="center"/>
              <w:rPr>
                <w:rFonts w:ascii="Times New Roman" w:hAnsi="Times New Roman" w:cs="Times New Roman"/>
                <w:color w:val="000000" w:themeColor="text1"/>
                <w:sz w:val="21"/>
                <w14:textFill>
                  <w14:solidFill>
                    <w14:schemeClr w14:val="tx1"/>
                  </w14:solidFill>
                </w14:textFill>
              </w:rPr>
            </w:pPr>
          </w:p>
        </w:tc>
        <w:tc>
          <w:tcPr>
            <w:tcW w:w="782" w:type="pct"/>
            <w:vAlign w:val="center"/>
          </w:tcPr>
          <w:p w14:paraId="602AAA26">
            <w:pPr>
              <w:widowControl w:val="0"/>
              <w:jc w:val="center"/>
              <w:rPr>
                <w:rFonts w:ascii="Times New Roman" w:hAnsi="Times New Roman" w:cs="Times New Roman"/>
                <w:color w:val="000000" w:themeColor="text1"/>
                <w:sz w:val="21"/>
                <w:lang w:eastAsia="zh-CN"/>
                <w14:textFill>
                  <w14:solidFill>
                    <w14:schemeClr w14:val="tx1"/>
                  </w14:solidFill>
                </w14:textFill>
              </w:rPr>
            </w:pPr>
          </w:p>
        </w:tc>
      </w:tr>
      <w:tr w14:paraId="15DA40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16" w:type="pct"/>
            <w:vAlign w:val="center"/>
          </w:tcPr>
          <w:p w14:paraId="084087B9">
            <w:pPr>
              <w:widowControl w:val="0"/>
              <w:jc w:val="center"/>
              <w:rPr>
                <w:rFonts w:ascii="Times New Roman" w:hAnsi="Times New Roman" w:cs="Times New Roman"/>
                <w:color w:val="000000" w:themeColor="text1"/>
                <w:sz w:val="21"/>
                <w:lang w:eastAsia="zh-CN"/>
                <w14:textFill>
                  <w14:solidFill>
                    <w14:schemeClr w14:val="tx1"/>
                  </w14:solidFill>
                </w14:textFill>
              </w:rPr>
            </w:pPr>
          </w:p>
        </w:tc>
        <w:tc>
          <w:tcPr>
            <w:tcW w:w="571" w:type="pct"/>
            <w:vAlign w:val="center"/>
          </w:tcPr>
          <w:p w14:paraId="2EA3670D">
            <w:pPr>
              <w:widowControl w:val="0"/>
              <w:jc w:val="center"/>
              <w:rPr>
                <w:rFonts w:ascii="Times New Roman" w:hAnsi="Times New Roman" w:cs="Times New Roman"/>
                <w:color w:val="000000" w:themeColor="text1"/>
                <w:sz w:val="21"/>
                <w:lang w:eastAsia="zh-CN"/>
                <w14:textFill>
                  <w14:solidFill>
                    <w14:schemeClr w14:val="tx1"/>
                  </w14:solidFill>
                </w14:textFill>
              </w:rPr>
            </w:pPr>
          </w:p>
        </w:tc>
        <w:tc>
          <w:tcPr>
            <w:tcW w:w="717" w:type="pct"/>
            <w:vAlign w:val="center"/>
          </w:tcPr>
          <w:p w14:paraId="4DB522F5">
            <w:pPr>
              <w:widowControl w:val="0"/>
              <w:jc w:val="center"/>
              <w:rPr>
                <w:rFonts w:ascii="Times New Roman" w:hAnsi="Times New Roman" w:cs="Times New Roman"/>
                <w:color w:val="000000" w:themeColor="text1"/>
                <w:sz w:val="21"/>
                <w:lang w:eastAsia="zh-CN"/>
                <w14:textFill>
                  <w14:solidFill>
                    <w14:schemeClr w14:val="tx1"/>
                  </w14:solidFill>
                </w14:textFill>
              </w:rPr>
            </w:pPr>
          </w:p>
        </w:tc>
        <w:tc>
          <w:tcPr>
            <w:tcW w:w="759" w:type="pct"/>
            <w:vAlign w:val="center"/>
          </w:tcPr>
          <w:p w14:paraId="390AE48D">
            <w:pPr>
              <w:widowControl w:val="0"/>
              <w:jc w:val="center"/>
              <w:rPr>
                <w:rFonts w:ascii="Times New Roman" w:hAnsi="Times New Roman" w:cs="Times New Roman"/>
                <w:color w:val="000000" w:themeColor="text1"/>
                <w:sz w:val="21"/>
                <w:lang w:eastAsia="zh-CN"/>
                <w14:textFill>
                  <w14:solidFill>
                    <w14:schemeClr w14:val="tx1"/>
                  </w14:solidFill>
                </w14:textFill>
              </w:rPr>
            </w:pPr>
          </w:p>
        </w:tc>
        <w:tc>
          <w:tcPr>
            <w:tcW w:w="655" w:type="pct"/>
            <w:vAlign w:val="center"/>
          </w:tcPr>
          <w:p w14:paraId="71EEBD00">
            <w:pPr>
              <w:widowControl w:val="0"/>
              <w:jc w:val="center"/>
              <w:rPr>
                <w:rFonts w:ascii="Times New Roman" w:hAnsi="Times New Roman" w:cs="Times New Roman"/>
                <w:color w:val="000000" w:themeColor="text1"/>
                <w:sz w:val="21"/>
                <w:lang w:eastAsia="zh-CN"/>
                <w14:textFill>
                  <w14:solidFill>
                    <w14:schemeClr w14:val="tx1"/>
                  </w14:solidFill>
                </w14:textFill>
              </w:rPr>
            </w:pPr>
          </w:p>
        </w:tc>
        <w:tc>
          <w:tcPr>
            <w:tcW w:w="782" w:type="pct"/>
            <w:vAlign w:val="center"/>
          </w:tcPr>
          <w:p w14:paraId="6ED5A9A6">
            <w:pPr>
              <w:widowControl w:val="0"/>
              <w:jc w:val="center"/>
              <w:rPr>
                <w:rFonts w:ascii="Times New Roman" w:hAnsi="Times New Roman" w:cs="Times New Roman"/>
                <w:color w:val="000000" w:themeColor="text1"/>
                <w:sz w:val="21"/>
                <w:lang w:eastAsia="zh-CN"/>
                <w14:textFill>
                  <w14:solidFill>
                    <w14:schemeClr w14:val="tx1"/>
                  </w14:solidFill>
                </w14:textFill>
              </w:rPr>
            </w:pPr>
          </w:p>
        </w:tc>
      </w:tr>
      <w:tr w14:paraId="6093DD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16" w:type="pct"/>
            <w:vAlign w:val="center"/>
          </w:tcPr>
          <w:p w14:paraId="70F725FD">
            <w:pPr>
              <w:widowControl w:val="0"/>
              <w:jc w:val="center"/>
              <w:rPr>
                <w:rFonts w:ascii="Times New Roman" w:hAnsi="Times New Roman" w:cs="Times New Roman"/>
                <w:color w:val="000000" w:themeColor="text1"/>
                <w:sz w:val="21"/>
                <w14:textFill>
                  <w14:solidFill>
                    <w14:schemeClr w14:val="tx1"/>
                  </w14:solidFill>
                </w14:textFill>
              </w:rPr>
            </w:pPr>
          </w:p>
        </w:tc>
        <w:tc>
          <w:tcPr>
            <w:tcW w:w="571" w:type="pct"/>
            <w:vAlign w:val="center"/>
          </w:tcPr>
          <w:p w14:paraId="54795498">
            <w:pPr>
              <w:widowControl w:val="0"/>
              <w:jc w:val="center"/>
              <w:rPr>
                <w:rFonts w:ascii="Times New Roman" w:hAnsi="Times New Roman" w:cs="Times New Roman"/>
                <w:color w:val="000000" w:themeColor="text1"/>
                <w:sz w:val="21"/>
                <w:lang w:eastAsia="zh-CN"/>
                <w14:textFill>
                  <w14:solidFill>
                    <w14:schemeClr w14:val="tx1"/>
                  </w14:solidFill>
                </w14:textFill>
              </w:rPr>
            </w:pPr>
          </w:p>
        </w:tc>
        <w:tc>
          <w:tcPr>
            <w:tcW w:w="717" w:type="pct"/>
            <w:vAlign w:val="center"/>
          </w:tcPr>
          <w:p w14:paraId="4DAF2475">
            <w:pPr>
              <w:widowControl w:val="0"/>
              <w:jc w:val="center"/>
              <w:rPr>
                <w:rFonts w:ascii="Times New Roman" w:hAnsi="Times New Roman" w:cs="Times New Roman"/>
                <w:color w:val="000000" w:themeColor="text1"/>
                <w:sz w:val="21"/>
                <w:lang w:eastAsia="zh-CN"/>
                <w14:textFill>
                  <w14:solidFill>
                    <w14:schemeClr w14:val="tx1"/>
                  </w14:solidFill>
                </w14:textFill>
              </w:rPr>
            </w:pPr>
          </w:p>
        </w:tc>
        <w:tc>
          <w:tcPr>
            <w:tcW w:w="759" w:type="pct"/>
            <w:vAlign w:val="center"/>
          </w:tcPr>
          <w:p w14:paraId="53168328">
            <w:pPr>
              <w:widowControl w:val="0"/>
              <w:jc w:val="center"/>
              <w:rPr>
                <w:rFonts w:ascii="Times New Roman" w:hAnsi="Times New Roman" w:cs="Times New Roman"/>
                <w:color w:val="000000" w:themeColor="text1"/>
                <w:sz w:val="21"/>
                <w14:textFill>
                  <w14:solidFill>
                    <w14:schemeClr w14:val="tx1"/>
                  </w14:solidFill>
                </w14:textFill>
              </w:rPr>
            </w:pPr>
          </w:p>
        </w:tc>
        <w:tc>
          <w:tcPr>
            <w:tcW w:w="655" w:type="pct"/>
            <w:vAlign w:val="center"/>
          </w:tcPr>
          <w:p w14:paraId="21B26987">
            <w:pPr>
              <w:widowControl w:val="0"/>
              <w:jc w:val="center"/>
              <w:rPr>
                <w:rFonts w:ascii="Times New Roman" w:hAnsi="Times New Roman" w:cs="Times New Roman"/>
                <w:color w:val="000000" w:themeColor="text1"/>
                <w:sz w:val="21"/>
                <w:lang w:eastAsia="zh-CN"/>
                <w14:textFill>
                  <w14:solidFill>
                    <w14:schemeClr w14:val="tx1"/>
                  </w14:solidFill>
                </w14:textFill>
              </w:rPr>
            </w:pPr>
          </w:p>
        </w:tc>
        <w:tc>
          <w:tcPr>
            <w:tcW w:w="782" w:type="pct"/>
            <w:vAlign w:val="center"/>
          </w:tcPr>
          <w:p w14:paraId="54872B45">
            <w:pPr>
              <w:widowControl w:val="0"/>
              <w:jc w:val="center"/>
              <w:rPr>
                <w:rFonts w:ascii="Times New Roman" w:hAnsi="Times New Roman" w:cs="Times New Roman"/>
                <w:color w:val="000000" w:themeColor="text1"/>
                <w:sz w:val="21"/>
                <w:lang w:eastAsia="zh-CN"/>
                <w14:textFill>
                  <w14:solidFill>
                    <w14:schemeClr w14:val="tx1"/>
                  </w14:solidFill>
                </w14:textFill>
              </w:rPr>
            </w:pPr>
          </w:p>
        </w:tc>
      </w:tr>
    </w:tbl>
    <w:p w14:paraId="3DA53BE4">
      <w:pPr>
        <w:spacing w:line="360" w:lineRule="auto"/>
        <w:ind w:firstLine="562"/>
        <w:jc w:val="both"/>
        <w:outlineLvl w:val="1"/>
        <w:rPr>
          <w:rFonts w:ascii="Times New Roman" w:hAnsi="Times New Roman" w:cs="Times New Roman"/>
          <w:b/>
          <w:bCs/>
          <w:color w:val="auto"/>
          <w:sz w:val="28"/>
          <w:szCs w:val="22"/>
          <w:lang w:eastAsia="zh-CN"/>
        </w:rPr>
      </w:pPr>
      <w:bookmarkStart w:id="819" w:name="_Toc479085372"/>
      <w:bookmarkStart w:id="820" w:name="_Toc109135968"/>
      <w:bookmarkStart w:id="821" w:name="_Toc133183063"/>
      <w:bookmarkStart w:id="822" w:name="_Toc133333609"/>
      <w:bookmarkStart w:id="823" w:name="_Toc237508289"/>
      <w:bookmarkStart w:id="824" w:name="_Toc32389807"/>
      <w:r>
        <w:rPr>
          <w:rFonts w:ascii="Times New Roman" w:hAnsi="Times New Roman" w:cs="Times New Roman"/>
          <w:b/>
          <w:bCs/>
          <w:color w:val="auto"/>
          <w:sz w:val="28"/>
          <w:szCs w:val="22"/>
          <w:lang w:eastAsia="zh-CN"/>
        </w:rPr>
        <w:t>4.3 营运期污染源强分析</w:t>
      </w:r>
      <w:bookmarkEnd w:id="819"/>
      <w:r>
        <w:rPr>
          <w:rFonts w:ascii="Times New Roman" w:hAnsi="Times New Roman" w:cs="Times New Roman"/>
          <w:b/>
          <w:bCs/>
          <w:color w:val="auto"/>
          <w:sz w:val="28"/>
          <w:szCs w:val="22"/>
          <w:lang w:eastAsia="zh-CN"/>
        </w:rPr>
        <w:t>及核算</w:t>
      </w:r>
      <w:bookmarkEnd w:id="820"/>
      <w:bookmarkEnd w:id="821"/>
      <w:bookmarkEnd w:id="822"/>
      <w:bookmarkEnd w:id="823"/>
      <w:bookmarkEnd w:id="824"/>
    </w:p>
    <w:p w14:paraId="06F76848">
      <w:pPr>
        <w:spacing w:line="360" w:lineRule="auto"/>
        <w:ind w:firstLine="482"/>
        <w:outlineLvl w:val="2"/>
        <w:rPr>
          <w:rFonts w:ascii="Times New Roman" w:hAnsi="Times New Roman" w:cs="Times New Roman"/>
          <w:color w:val="auto"/>
          <w:lang w:eastAsia="zh-CN"/>
        </w:rPr>
      </w:pPr>
      <w:bookmarkStart w:id="825" w:name="_Toc231828577"/>
      <w:bookmarkStart w:id="826" w:name="_Toc204448465"/>
      <w:bookmarkStart w:id="827" w:name="_Toc176513008"/>
      <w:bookmarkStart w:id="828" w:name="_Toc173740277"/>
      <w:bookmarkStart w:id="829" w:name="_Toc173743381"/>
      <w:bookmarkStart w:id="830" w:name="_Toc236641308"/>
      <w:bookmarkStart w:id="831" w:name="_Toc172555650"/>
      <w:bookmarkStart w:id="832" w:name="_Toc221900837"/>
      <w:bookmarkStart w:id="833" w:name="_Toc218784280"/>
      <w:bookmarkStart w:id="834" w:name="_Toc203926999"/>
      <w:bookmarkStart w:id="835" w:name="_Toc217662670"/>
      <w:bookmarkStart w:id="836" w:name="_Toc175164272"/>
      <w:bookmarkStart w:id="837" w:name="_Toc237508290"/>
      <w:bookmarkStart w:id="838" w:name="_Toc236641825"/>
      <w:bookmarkStart w:id="839" w:name="_Toc223425055"/>
      <w:bookmarkStart w:id="840" w:name="_Toc204515200"/>
      <w:bookmarkStart w:id="841" w:name="_Toc178602348"/>
      <w:bookmarkStart w:id="842" w:name="_Toc133333610"/>
      <w:bookmarkStart w:id="843" w:name="_Toc224674694"/>
      <w:bookmarkStart w:id="844" w:name="_Toc225784055"/>
      <w:bookmarkStart w:id="845" w:name="_Toc133183064"/>
      <w:r>
        <w:rPr>
          <w:rFonts w:ascii="Times New Roman" w:hAnsi="Times New Roman" w:cs="Times New Roman"/>
          <w:b/>
          <w:bCs/>
          <w:color w:val="auto"/>
          <w:lang w:eastAsia="zh-CN"/>
        </w:rPr>
        <w:t>4.3.1 废气污染源分析</w:t>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p>
    <w:p w14:paraId="5C684C73">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lang w:eastAsia="zh-CN"/>
        </w:rPr>
        <w:t>由工程分析可知，本项目拟</w:t>
      </w:r>
      <w:r>
        <w:rPr>
          <w:rFonts w:hint="eastAsia" w:ascii="Times New Roman" w:hAnsi="Times New Roman" w:cs="Times New Roman"/>
          <w:color w:val="auto"/>
          <w:szCs w:val="24"/>
          <w:lang w:eastAsia="zh-CN"/>
        </w:rPr>
        <w:t>年产</w:t>
      </w:r>
      <w:r>
        <w:rPr>
          <w:rFonts w:ascii="Times New Roman" w:hAnsi="Times New Roman" w:cs="Times New Roman"/>
          <w:color w:val="auto"/>
          <w:lang w:eastAsia="zh-CN"/>
        </w:rPr>
        <w:t>。</w:t>
      </w:r>
    </w:p>
    <w:p w14:paraId="2849BDC2">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废气污染源如下：</w:t>
      </w:r>
    </w:p>
    <w:p w14:paraId="3001771F">
      <w:pPr>
        <w:widowControl w:val="0"/>
        <w:tabs>
          <w:tab w:val="left" w:pos="0"/>
        </w:tabs>
        <w:spacing w:line="360" w:lineRule="auto"/>
        <w:ind w:firstLine="468" w:firstLineChars="195"/>
        <w:jc w:val="both"/>
        <w:rPr>
          <w:rFonts w:ascii="Times New Roman" w:hAnsi="Times New Roman" w:cs="Times New Roman"/>
          <w:color w:val="auto"/>
          <w:lang w:eastAsia="zh-CN"/>
        </w:rPr>
      </w:pPr>
      <w:bookmarkStart w:id="846" w:name="_Hlk174365973"/>
      <w:r>
        <w:rPr>
          <w:rFonts w:ascii="Times New Roman" w:hAnsi="Times New Roman" w:cs="Times New Roman"/>
          <w:color w:val="auto"/>
          <w:lang w:eastAsia="zh-CN"/>
        </w:rPr>
        <w:t>一、有组织排放废气源强</w:t>
      </w:r>
    </w:p>
    <w:p w14:paraId="4343AA37">
      <w:pPr>
        <w:widowControl w:val="0"/>
        <w:tabs>
          <w:tab w:val="left" w:pos="0"/>
        </w:tabs>
        <w:spacing w:line="360" w:lineRule="auto"/>
        <w:ind w:firstLine="468" w:firstLineChars="195"/>
        <w:jc w:val="both"/>
        <w:rPr>
          <w:rFonts w:ascii="Times New Roman" w:hAnsi="Times New Roman" w:cs="Times New Roman"/>
          <w:color w:val="auto"/>
          <w:lang w:eastAsia="zh-CN"/>
        </w:rPr>
      </w:pPr>
      <w:r>
        <w:rPr>
          <w:rFonts w:ascii="Times New Roman" w:hAnsi="Times New Roman" w:cs="Times New Roman"/>
          <w:color w:val="auto"/>
          <w:lang w:eastAsia="zh-CN"/>
        </w:rPr>
        <w:t>（1）工艺废气源强分析</w:t>
      </w:r>
    </w:p>
    <w:p w14:paraId="15E5E48A">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项目废气源强核算见4.2工程分析章节第4.2.1</w:t>
      </w:r>
      <w:r>
        <w:rPr>
          <w:rFonts w:hint="eastAsia" w:ascii="Times New Roman" w:hAnsi="Times New Roman" w:cs="Times New Roman"/>
          <w:color w:val="auto"/>
          <w:szCs w:val="24"/>
          <w:lang w:eastAsia="zh-CN"/>
        </w:rPr>
        <w:t>化学纯氢氟酸</w:t>
      </w:r>
      <w:r>
        <w:rPr>
          <w:rFonts w:ascii="Times New Roman" w:hAnsi="Times New Roman" w:cs="Times New Roman"/>
          <w:color w:val="auto"/>
          <w:lang w:eastAsia="zh-CN"/>
        </w:rPr>
        <w:t>物料平衡、4.2.2</w:t>
      </w:r>
      <w:r>
        <w:rPr>
          <w:rFonts w:hint="eastAsia" w:ascii="Times New Roman" w:hAnsi="Times New Roman" w:cs="Times New Roman"/>
          <w:color w:val="auto"/>
          <w:szCs w:val="24"/>
          <w:lang w:eastAsia="zh-CN"/>
        </w:rPr>
        <w:t>刻蚀液</w:t>
      </w:r>
      <w:r>
        <w:rPr>
          <w:rFonts w:ascii="Times New Roman" w:hAnsi="Times New Roman" w:cs="Times New Roman"/>
          <w:color w:val="auto"/>
          <w:lang w:eastAsia="zh-CN"/>
        </w:rPr>
        <w:t>物料平衡。</w:t>
      </w:r>
    </w:p>
    <w:p w14:paraId="2F7D2C78">
      <w:pPr>
        <w:widowControl w:val="0"/>
        <w:spacing w:line="360" w:lineRule="auto"/>
        <w:ind w:firstLine="480" w:firstLineChars="200"/>
        <w:jc w:val="both"/>
        <w:rPr>
          <w:rFonts w:ascii="Times New Roman" w:hAnsi="Times New Roman" w:cs="Times New Roman"/>
          <w:color w:val="auto"/>
          <w:lang w:eastAsia="zh-CN"/>
        </w:rPr>
      </w:pPr>
      <w:r>
        <w:rPr>
          <w:rFonts w:ascii="宋体" w:hAnsi="宋体" w:cs="Times New Roman"/>
          <w:color w:val="auto"/>
          <w:lang w:eastAsia="zh-CN"/>
        </w:rPr>
        <w:fldChar w:fldCharType="begin"/>
      </w:r>
      <w:r>
        <w:rPr>
          <w:rFonts w:ascii="宋体" w:hAnsi="宋体" w:cs="Times New Roman"/>
          <w:color w:val="auto"/>
          <w:lang w:eastAsia="zh-CN"/>
        </w:rPr>
        <w:instrText xml:space="preserve"> = 1 \* GB3 </w:instrText>
      </w:r>
      <w:r>
        <w:rPr>
          <w:rFonts w:ascii="宋体" w:hAnsi="宋体" w:cs="Times New Roman"/>
          <w:color w:val="auto"/>
          <w:lang w:eastAsia="zh-CN"/>
        </w:rPr>
        <w:fldChar w:fldCharType="separate"/>
      </w:r>
      <w:r>
        <w:rPr>
          <w:rFonts w:ascii="宋体" w:hAnsi="宋体" w:cs="Cambria Math"/>
          <w:color w:val="auto"/>
          <w:lang w:eastAsia="zh-CN"/>
        </w:rPr>
        <w:t>①</w:t>
      </w:r>
      <w:r>
        <w:rPr>
          <w:rFonts w:ascii="宋体" w:hAnsi="宋体" w:cs="Times New Roman"/>
          <w:color w:val="auto"/>
          <w:lang w:eastAsia="zh-CN"/>
        </w:rPr>
        <w:fldChar w:fldCharType="end"/>
      </w:r>
      <w:r>
        <w:rPr>
          <w:rFonts w:hint="eastAsia" w:ascii="Times New Roman" w:hAnsi="Times New Roman" w:cs="Times New Roman"/>
          <w:color w:val="auto"/>
          <w:szCs w:val="24"/>
          <w:lang w:eastAsia="zh-CN"/>
        </w:rPr>
        <w:t>化学纯氢氟酸</w:t>
      </w:r>
      <w:r>
        <w:rPr>
          <w:rFonts w:ascii="Times New Roman" w:hAnsi="Times New Roman" w:cs="Times New Roman"/>
          <w:color w:val="auto"/>
          <w:lang w:eastAsia="zh-CN"/>
        </w:rPr>
        <w:t>生产废气（G1-1</w:t>
      </w:r>
      <w:r>
        <w:rPr>
          <w:rFonts w:hint="eastAsia" w:ascii="Times New Roman" w:hAnsi="Times New Roman" w:cs="Times New Roman"/>
          <w:color w:val="auto"/>
          <w:lang w:eastAsia="zh-CN"/>
        </w:rPr>
        <w:t>进料</w:t>
      </w:r>
      <w:r>
        <w:rPr>
          <w:rFonts w:ascii="Times New Roman" w:hAnsi="Times New Roman" w:cs="Times New Roman"/>
          <w:color w:val="auto"/>
          <w:lang w:eastAsia="zh-CN"/>
        </w:rPr>
        <w:t>废气、G1-2</w:t>
      </w:r>
      <w:r>
        <w:rPr>
          <w:rFonts w:hint="eastAsia" w:ascii="Times New Roman" w:hAnsi="Times New Roman" w:cs="Times New Roman"/>
          <w:color w:val="auto"/>
          <w:lang w:eastAsia="zh-CN"/>
        </w:rPr>
        <w:t>混合废气、</w:t>
      </w:r>
      <w:r>
        <w:rPr>
          <w:rFonts w:ascii="Times New Roman" w:hAnsi="Times New Roman" w:cs="Times New Roman"/>
          <w:color w:val="auto"/>
          <w:lang w:eastAsia="zh-CN"/>
        </w:rPr>
        <w:t>G1-</w:t>
      </w:r>
      <w:r>
        <w:rPr>
          <w:rFonts w:hint="eastAsia" w:ascii="Times New Roman" w:hAnsi="Times New Roman" w:cs="Times New Roman"/>
          <w:color w:val="auto"/>
          <w:lang w:eastAsia="zh-CN"/>
        </w:rPr>
        <w:t>3调配</w:t>
      </w:r>
      <w:r>
        <w:rPr>
          <w:rFonts w:ascii="Times New Roman" w:hAnsi="Times New Roman" w:cs="Times New Roman"/>
          <w:color w:val="auto"/>
          <w:lang w:eastAsia="zh-CN"/>
        </w:rPr>
        <w:t>废气</w:t>
      </w:r>
      <w:r>
        <w:rPr>
          <w:rFonts w:hint="eastAsia" w:ascii="Times New Roman" w:hAnsi="Times New Roman" w:cs="Times New Roman"/>
          <w:color w:val="auto"/>
          <w:lang w:eastAsia="zh-CN"/>
        </w:rPr>
        <w:t>、</w:t>
      </w:r>
      <w:r>
        <w:rPr>
          <w:rFonts w:ascii="Times New Roman" w:hAnsi="Times New Roman" w:cs="Times New Roman"/>
          <w:color w:val="auto"/>
          <w:lang w:eastAsia="zh-CN"/>
        </w:rPr>
        <w:t>G1-</w:t>
      </w:r>
      <w:r>
        <w:rPr>
          <w:rFonts w:hint="eastAsia" w:ascii="Times New Roman" w:hAnsi="Times New Roman" w:cs="Times New Roman"/>
          <w:color w:val="auto"/>
          <w:lang w:eastAsia="zh-CN"/>
        </w:rPr>
        <w:t>4灌装</w:t>
      </w:r>
      <w:r>
        <w:rPr>
          <w:rFonts w:ascii="Times New Roman" w:hAnsi="Times New Roman" w:cs="Times New Roman"/>
          <w:color w:val="auto"/>
          <w:lang w:eastAsia="zh-CN"/>
        </w:rPr>
        <w:t>废气）：</w:t>
      </w:r>
    </w:p>
    <w:p w14:paraId="701FC31E">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lang w:eastAsia="zh-CN"/>
        </w:rPr>
        <w:t>项目</w:t>
      </w:r>
      <w:r>
        <w:rPr>
          <w:rFonts w:hint="eastAsia" w:ascii="Times New Roman" w:hAnsi="Times New Roman" w:cs="Times New Roman"/>
          <w:color w:val="auto"/>
          <w:szCs w:val="24"/>
          <w:lang w:eastAsia="zh-CN"/>
        </w:rPr>
        <w:t>化学纯氢氟酸</w:t>
      </w:r>
      <w:r>
        <w:rPr>
          <w:rFonts w:ascii="Times New Roman" w:hAnsi="Times New Roman" w:cs="Times New Roman"/>
          <w:color w:val="auto"/>
          <w:lang w:eastAsia="zh-CN"/>
        </w:rPr>
        <w:t>生产过程中产生的废气主要有</w:t>
      </w:r>
      <w:r>
        <w:rPr>
          <w:rFonts w:hint="eastAsia" w:ascii="Times New Roman" w:hAnsi="Times New Roman" w:cs="Times New Roman"/>
          <w:color w:val="auto"/>
          <w:lang w:eastAsia="zh-CN"/>
        </w:rPr>
        <w:t>进料</w:t>
      </w:r>
      <w:r>
        <w:rPr>
          <w:rFonts w:ascii="Times New Roman" w:hAnsi="Times New Roman" w:cs="Times New Roman"/>
          <w:color w:val="auto"/>
          <w:lang w:eastAsia="zh-CN"/>
        </w:rPr>
        <w:t>废气、</w:t>
      </w:r>
      <w:r>
        <w:rPr>
          <w:rFonts w:hint="eastAsia" w:ascii="Times New Roman" w:hAnsi="Times New Roman" w:cs="Times New Roman"/>
          <w:color w:val="auto"/>
          <w:lang w:eastAsia="zh-CN"/>
        </w:rPr>
        <w:t>混合废气、调配</w:t>
      </w:r>
      <w:r>
        <w:rPr>
          <w:rFonts w:ascii="Times New Roman" w:hAnsi="Times New Roman" w:cs="Times New Roman"/>
          <w:color w:val="auto"/>
          <w:szCs w:val="24"/>
          <w:lang w:eastAsia="zh-CN"/>
        </w:rPr>
        <w:t>废气</w:t>
      </w:r>
      <w:r>
        <w:rPr>
          <w:rFonts w:hint="eastAsia" w:ascii="Times New Roman" w:hAnsi="Times New Roman" w:cs="Times New Roman"/>
          <w:color w:val="auto"/>
          <w:szCs w:val="24"/>
          <w:lang w:eastAsia="zh-CN"/>
        </w:rPr>
        <w:t>、灌装废气</w:t>
      </w:r>
      <w:r>
        <w:rPr>
          <w:rFonts w:ascii="Times New Roman" w:hAnsi="Times New Roman" w:cs="Times New Roman"/>
          <w:color w:val="auto"/>
          <w:szCs w:val="24"/>
          <w:lang w:eastAsia="zh-CN"/>
        </w:rPr>
        <w:t>，</w:t>
      </w:r>
      <w:r>
        <w:rPr>
          <w:rFonts w:ascii="Times New Roman" w:hAnsi="Times New Roman" w:cs="Times New Roman"/>
          <w:color w:val="auto"/>
          <w:lang w:eastAsia="zh-CN"/>
        </w:rPr>
        <w:t>主要成分为</w:t>
      </w:r>
      <w:r>
        <w:rPr>
          <w:rFonts w:hint="eastAsia" w:ascii="Times New Roman" w:hAnsi="Times New Roman" w:cs="Times New Roman"/>
          <w:color w:val="auto"/>
          <w:lang w:eastAsia="zh-CN"/>
        </w:rPr>
        <w:t>氟化物</w:t>
      </w:r>
      <w:r>
        <w:rPr>
          <w:rFonts w:ascii="Times New Roman" w:hAnsi="Times New Roman" w:cs="Times New Roman"/>
          <w:color w:val="auto"/>
          <w:lang w:eastAsia="zh-CN"/>
        </w:rPr>
        <w:t>；</w:t>
      </w:r>
      <w:r>
        <w:rPr>
          <w:rFonts w:hint="eastAsia" w:ascii="Times New Roman" w:hAnsi="Times New Roman" w:cs="Times New Roman"/>
          <w:color w:val="auto"/>
          <w:lang w:eastAsia="zh-CN"/>
        </w:rPr>
        <w:t>进料、混合、调配</w:t>
      </w:r>
      <w:r>
        <w:rPr>
          <w:rFonts w:ascii="Times New Roman" w:hAnsi="Times New Roman" w:cs="Times New Roman"/>
          <w:color w:val="auto"/>
          <w:szCs w:val="24"/>
          <w:lang w:eastAsia="zh-CN"/>
        </w:rPr>
        <w:t>废气</w:t>
      </w:r>
      <w:r>
        <w:rPr>
          <w:rFonts w:ascii="Times New Roman" w:hAnsi="Times New Roman" w:cs="Times New Roman"/>
          <w:color w:val="auto"/>
          <w:lang w:eastAsia="zh-CN"/>
        </w:rPr>
        <w:t>经管道收集至车间集气总管，</w:t>
      </w:r>
      <w:r>
        <w:rPr>
          <w:rFonts w:hint="eastAsia" w:ascii="Times New Roman" w:hAnsi="Times New Roman" w:cs="Times New Roman"/>
          <w:color w:val="auto"/>
          <w:lang w:eastAsia="zh-CN"/>
        </w:rPr>
        <w:t>灌装废气经密闭负压收集至车间集气总管，</w:t>
      </w:r>
      <w:r>
        <w:rPr>
          <w:rFonts w:ascii="Times New Roman" w:hAnsi="Times New Roman" w:cs="Times New Roman"/>
          <w:color w:val="auto"/>
          <w:lang w:eastAsia="zh-CN"/>
        </w:rPr>
        <w:t>总管废气经</w:t>
      </w:r>
      <w:r>
        <w:rPr>
          <w:rFonts w:hint="eastAsia" w:ascii="Times New Roman" w:hAnsi="Times New Roman" w:cs="Times New Roman"/>
          <w:color w:val="auto"/>
          <w:lang w:eastAsia="zh-CN"/>
        </w:rPr>
        <w:t>现有二级水喷淋塔（TA001）+现有三级碱喷淋塔（TA002）+新增一级碱喷淋塔（TA004）</w:t>
      </w:r>
      <w:r>
        <w:rPr>
          <w:rFonts w:hint="eastAsia" w:ascii="Times New Roman" w:hAnsi="Times New Roman" w:cs="Times New Roman"/>
          <w:bCs/>
          <w:color w:val="auto"/>
          <w:lang w:eastAsia="zh-CN"/>
        </w:rPr>
        <w:t>装置</w:t>
      </w:r>
      <w:r>
        <w:rPr>
          <w:rFonts w:ascii="Times New Roman" w:hAnsi="Times New Roman" w:cs="Times New Roman"/>
          <w:bCs/>
          <w:color w:val="auto"/>
          <w:lang w:eastAsia="zh-CN"/>
        </w:rPr>
        <w:t>处理，处理后</w:t>
      </w:r>
      <w:r>
        <w:rPr>
          <w:rFonts w:hint="eastAsia" w:ascii="Times New Roman" w:hAnsi="Times New Roman" w:cs="Times New Roman"/>
          <w:bCs/>
          <w:color w:val="auto"/>
          <w:lang w:eastAsia="zh-CN"/>
        </w:rPr>
        <w:t>经现有25</w:t>
      </w:r>
      <w:r>
        <w:rPr>
          <w:rFonts w:ascii="Times New Roman" w:hAnsi="Times New Roman" w:cs="Times New Roman"/>
          <w:bCs/>
          <w:color w:val="auto"/>
          <w:lang w:eastAsia="zh-CN"/>
        </w:rPr>
        <w:t>m高1#排气筒（DA001）排放</w:t>
      </w:r>
      <w:r>
        <w:rPr>
          <w:rFonts w:ascii="Times New Roman" w:hAnsi="Times New Roman" w:cs="Times New Roman"/>
          <w:color w:val="auto"/>
          <w:lang w:eastAsia="zh-CN"/>
        </w:rPr>
        <w:t>。</w:t>
      </w:r>
    </w:p>
    <w:p w14:paraId="0D8D59B3">
      <w:pPr>
        <w:widowControl w:val="0"/>
        <w:spacing w:line="360" w:lineRule="auto"/>
        <w:ind w:firstLine="480" w:firstLineChars="200"/>
        <w:jc w:val="both"/>
        <w:rPr>
          <w:rFonts w:ascii="Times New Roman" w:hAnsi="Times New Roman" w:cs="Times New Roman"/>
          <w:color w:val="auto"/>
          <w:lang w:eastAsia="zh-CN"/>
        </w:rPr>
      </w:pPr>
      <w:r>
        <w:rPr>
          <w:rFonts w:ascii="宋体" w:hAnsi="宋体" w:cs="Times New Roman"/>
          <w:color w:val="auto"/>
          <w:lang w:eastAsia="zh-CN"/>
        </w:rPr>
        <w:fldChar w:fldCharType="begin"/>
      </w:r>
      <w:r>
        <w:rPr>
          <w:rFonts w:ascii="宋体" w:hAnsi="宋体" w:cs="Times New Roman"/>
          <w:color w:val="auto"/>
          <w:lang w:eastAsia="zh-CN"/>
        </w:rPr>
        <w:instrText xml:space="preserve"> = 2 \* GB3 </w:instrText>
      </w:r>
      <w:r>
        <w:rPr>
          <w:rFonts w:ascii="宋体" w:hAnsi="宋体" w:cs="Times New Roman"/>
          <w:color w:val="auto"/>
          <w:lang w:eastAsia="zh-CN"/>
        </w:rPr>
        <w:fldChar w:fldCharType="separate"/>
      </w:r>
      <w:r>
        <w:rPr>
          <w:rFonts w:ascii="宋体" w:hAnsi="宋体" w:cs="Cambria Math"/>
          <w:color w:val="auto"/>
          <w:lang w:eastAsia="zh-CN"/>
        </w:rPr>
        <w:t>②</w:t>
      </w:r>
      <w:r>
        <w:rPr>
          <w:rFonts w:ascii="宋体" w:hAnsi="宋体" w:cs="Times New Roman"/>
          <w:color w:val="auto"/>
          <w:lang w:eastAsia="zh-CN"/>
        </w:rPr>
        <w:fldChar w:fldCharType="end"/>
      </w:r>
      <w:r>
        <w:rPr>
          <w:rFonts w:hint="eastAsia" w:ascii="Times New Roman" w:hAnsi="Times New Roman" w:cs="Times New Roman"/>
          <w:color w:val="auto"/>
          <w:lang w:eastAsia="zh-CN"/>
        </w:rPr>
        <w:t>刻蚀液</w:t>
      </w:r>
      <w:r>
        <w:rPr>
          <w:rFonts w:ascii="Times New Roman" w:hAnsi="Times New Roman" w:cs="Times New Roman"/>
          <w:color w:val="auto"/>
          <w:lang w:eastAsia="zh-CN"/>
        </w:rPr>
        <w:t>生产废气（G2-1</w:t>
      </w:r>
      <w:r>
        <w:rPr>
          <w:rFonts w:hint="eastAsia" w:ascii="Times New Roman" w:hAnsi="Times New Roman" w:cs="Times New Roman"/>
          <w:color w:val="auto"/>
          <w:lang w:eastAsia="zh-CN"/>
        </w:rPr>
        <w:t>进料混合</w:t>
      </w:r>
      <w:r>
        <w:rPr>
          <w:rFonts w:ascii="Times New Roman" w:hAnsi="Times New Roman" w:cs="Times New Roman"/>
          <w:color w:val="auto"/>
          <w:szCs w:val="24"/>
          <w:lang w:eastAsia="zh-CN"/>
        </w:rPr>
        <w:t>废气</w:t>
      </w:r>
      <w:r>
        <w:rPr>
          <w:rFonts w:hint="eastAsia" w:ascii="Times New Roman" w:hAnsi="Times New Roman" w:cs="Times New Roman"/>
          <w:color w:val="auto"/>
          <w:szCs w:val="24"/>
          <w:lang w:eastAsia="zh-CN"/>
        </w:rPr>
        <w:t>、</w:t>
      </w:r>
      <w:r>
        <w:rPr>
          <w:rFonts w:ascii="Times New Roman" w:hAnsi="Times New Roman" w:cs="Times New Roman"/>
          <w:color w:val="auto"/>
          <w:lang w:eastAsia="zh-CN"/>
        </w:rPr>
        <w:t>G2-</w:t>
      </w:r>
      <w:r>
        <w:rPr>
          <w:rFonts w:hint="eastAsia" w:ascii="Times New Roman" w:hAnsi="Times New Roman" w:cs="Times New Roman"/>
          <w:color w:val="auto"/>
          <w:lang w:eastAsia="zh-CN"/>
        </w:rPr>
        <w:t>2调配</w:t>
      </w:r>
      <w:r>
        <w:rPr>
          <w:rFonts w:ascii="Times New Roman" w:hAnsi="Times New Roman" w:cs="Times New Roman"/>
          <w:color w:val="auto"/>
          <w:szCs w:val="24"/>
          <w:lang w:eastAsia="zh-CN"/>
        </w:rPr>
        <w:t>废气</w:t>
      </w:r>
      <w:r>
        <w:rPr>
          <w:rFonts w:ascii="Times New Roman" w:hAnsi="Times New Roman" w:cs="Times New Roman"/>
          <w:color w:val="auto"/>
          <w:lang w:eastAsia="zh-CN"/>
        </w:rPr>
        <w:t>）：</w:t>
      </w:r>
    </w:p>
    <w:p w14:paraId="02B6EEFD">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项目</w:t>
      </w:r>
      <w:r>
        <w:rPr>
          <w:rFonts w:hint="eastAsia" w:ascii="Times New Roman" w:hAnsi="Times New Roman" w:cs="Times New Roman"/>
          <w:color w:val="auto"/>
          <w:lang w:eastAsia="zh-CN"/>
        </w:rPr>
        <w:t>刻蚀液</w:t>
      </w:r>
      <w:r>
        <w:rPr>
          <w:rFonts w:ascii="Times New Roman" w:hAnsi="Times New Roman" w:cs="Times New Roman"/>
          <w:color w:val="auto"/>
          <w:lang w:eastAsia="zh-CN"/>
        </w:rPr>
        <w:t>生产过程中产生的废气主要有</w:t>
      </w:r>
      <w:r>
        <w:rPr>
          <w:rFonts w:hint="eastAsia" w:ascii="Times New Roman" w:hAnsi="Times New Roman" w:cs="Times New Roman"/>
          <w:color w:val="auto"/>
          <w:lang w:eastAsia="zh-CN"/>
        </w:rPr>
        <w:t>进料混合、调配</w:t>
      </w:r>
      <w:r>
        <w:rPr>
          <w:rFonts w:ascii="Times New Roman" w:hAnsi="Times New Roman" w:cs="Times New Roman"/>
          <w:color w:val="auto"/>
          <w:szCs w:val="24"/>
          <w:lang w:eastAsia="zh-CN"/>
        </w:rPr>
        <w:t>废气，</w:t>
      </w:r>
      <w:r>
        <w:rPr>
          <w:rFonts w:ascii="Times New Roman" w:hAnsi="Times New Roman" w:cs="Times New Roman"/>
          <w:color w:val="auto"/>
          <w:lang w:eastAsia="zh-CN"/>
        </w:rPr>
        <w:t>主要成分为</w:t>
      </w:r>
      <w:r>
        <w:rPr>
          <w:rFonts w:hint="eastAsia" w:ascii="Times New Roman" w:hAnsi="Times New Roman" w:cs="Times New Roman"/>
          <w:color w:val="auto"/>
          <w:lang w:eastAsia="zh-CN"/>
        </w:rPr>
        <w:t>氟化氢、氯化氢</w:t>
      </w:r>
      <w:r>
        <w:rPr>
          <w:rFonts w:ascii="Times New Roman" w:hAnsi="Times New Roman" w:cs="Times New Roman"/>
          <w:color w:val="auto"/>
          <w:lang w:eastAsia="zh-CN"/>
        </w:rPr>
        <w:t>；</w:t>
      </w:r>
      <w:r>
        <w:rPr>
          <w:rFonts w:hint="eastAsia" w:ascii="Times New Roman" w:hAnsi="Times New Roman" w:cs="Times New Roman"/>
          <w:color w:val="auto"/>
          <w:lang w:eastAsia="zh-CN"/>
        </w:rPr>
        <w:t>进料混合、调配</w:t>
      </w:r>
      <w:r>
        <w:rPr>
          <w:rFonts w:ascii="Times New Roman" w:hAnsi="Times New Roman" w:cs="Times New Roman"/>
          <w:color w:val="auto"/>
          <w:szCs w:val="24"/>
          <w:lang w:eastAsia="zh-CN"/>
        </w:rPr>
        <w:t>废气</w:t>
      </w:r>
      <w:r>
        <w:rPr>
          <w:rFonts w:ascii="Times New Roman" w:hAnsi="Times New Roman" w:cs="Times New Roman"/>
          <w:color w:val="auto"/>
          <w:lang w:eastAsia="zh-CN"/>
        </w:rPr>
        <w:t>经管道收集至车间集气总管</w:t>
      </w:r>
      <w:r>
        <w:rPr>
          <w:rFonts w:hint="eastAsia" w:ascii="Times New Roman" w:hAnsi="Times New Roman" w:cs="Times New Roman"/>
          <w:color w:val="auto"/>
          <w:lang w:eastAsia="zh-CN"/>
        </w:rPr>
        <w:t>，</w:t>
      </w:r>
      <w:r>
        <w:rPr>
          <w:rFonts w:ascii="Times New Roman" w:hAnsi="Times New Roman" w:cs="Times New Roman"/>
          <w:color w:val="auto"/>
          <w:lang w:eastAsia="zh-CN"/>
        </w:rPr>
        <w:t>总管废气经</w:t>
      </w:r>
      <w:r>
        <w:rPr>
          <w:rFonts w:hint="eastAsia" w:ascii="Times New Roman" w:hAnsi="Times New Roman" w:cs="Times New Roman"/>
          <w:color w:val="auto"/>
          <w:lang w:eastAsia="zh-CN"/>
        </w:rPr>
        <w:t>新增二级水喷淋（TA003）+现有三级碱喷淋（TA002）+新增一级碱喷淋塔（TA004）</w:t>
      </w:r>
      <w:r>
        <w:rPr>
          <w:rFonts w:hint="eastAsia" w:ascii="Times New Roman" w:hAnsi="Times New Roman" w:cs="Times New Roman"/>
          <w:bCs/>
          <w:color w:val="auto"/>
          <w:lang w:eastAsia="zh-CN"/>
        </w:rPr>
        <w:t>装置</w:t>
      </w:r>
      <w:r>
        <w:rPr>
          <w:rFonts w:ascii="Times New Roman" w:hAnsi="Times New Roman" w:cs="Times New Roman"/>
          <w:bCs/>
          <w:color w:val="auto"/>
          <w:lang w:eastAsia="zh-CN"/>
        </w:rPr>
        <w:t>处理，处理后</w:t>
      </w:r>
      <w:r>
        <w:rPr>
          <w:rFonts w:hint="eastAsia" w:ascii="Times New Roman" w:hAnsi="Times New Roman" w:cs="Times New Roman"/>
          <w:bCs/>
          <w:color w:val="auto"/>
          <w:lang w:eastAsia="zh-CN"/>
        </w:rPr>
        <w:t>经现有25</w:t>
      </w:r>
      <w:r>
        <w:rPr>
          <w:rFonts w:ascii="Times New Roman" w:hAnsi="Times New Roman" w:cs="Times New Roman"/>
          <w:bCs/>
          <w:color w:val="auto"/>
          <w:lang w:eastAsia="zh-CN"/>
        </w:rPr>
        <w:t>m高1#排气筒（DA001）排放</w:t>
      </w:r>
      <w:r>
        <w:rPr>
          <w:rFonts w:ascii="Times New Roman" w:hAnsi="Times New Roman" w:cs="Times New Roman"/>
          <w:color w:val="auto"/>
          <w:lang w:eastAsia="zh-CN"/>
        </w:rPr>
        <w:t>。</w:t>
      </w:r>
    </w:p>
    <w:p w14:paraId="747A30BD">
      <w:pPr>
        <w:widowControl w:val="0"/>
        <w:spacing w:line="360" w:lineRule="auto"/>
        <w:ind w:firstLine="480" w:firstLineChars="200"/>
        <w:jc w:val="both"/>
        <w:rPr>
          <w:rFonts w:ascii="Times New Roman" w:hAnsi="Times New Roman" w:cs="Times New Roman"/>
          <w:bCs/>
          <w:color w:val="auto"/>
          <w:lang w:eastAsia="zh-CN"/>
        </w:rPr>
      </w:pPr>
      <w:r>
        <w:rPr>
          <w:rFonts w:ascii="Times New Roman" w:hAnsi="Times New Roman" w:cs="Times New Roman"/>
          <w:bCs/>
          <w:color w:val="auto"/>
          <w:lang w:eastAsia="zh-CN"/>
        </w:rPr>
        <w:t>（</w:t>
      </w:r>
      <w:r>
        <w:rPr>
          <w:rFonts w:hint="eastAsia" w:ascii="Times New Roman" w:hAnsi="Times New Roman" w:cs="Times New Roman"/>
          <w:bCs/>
          <w:color w:val="auto"/>
          <w:lang w:eastAsia="zh-CN"/>
        </w:rPr>
        <w:t>2</w:t>
      </w:r>
      <w:r>
        <w:rPr>
          <w:rFonts w:ascii="Times New Roman" w:hAnsi="Times New Roman" w:cs="Times New Roman"/>
          <w:bCs/>
          <w:color w:val="auto"/>
          <w:lang w:eastAsia="zh-CN"/>
        </w:rPr>
        <w:t>）储罐呼吸气源强分析</w:t>
      </w:r>
    </w:p>
    <w:p w14:paraId="6A80887B">
      <w:pPr>
        <w:widowControl w:val="0"/>
        <w:spacing w:line="360" w:lineRule="auto"/>
        <w:ind w:firstLine="480" w:firstLineChars="200"/>
        <w:jc w:val="both"/>
        <w:rPr>
          <w:rFonts w:ascii="Times New Roman" w:hAnsi="Times New Roman" w:cs="Times New Roman"/>
          <w:bCs/>
          <w:color w:val="auto"/>
          <w:lang w:eastAsia="zh-CN"/>
        </w:rPr>
      </w:pPr>
      <w:r>
        <w:rPr>
          <w:rFonts w:hint="eastAsia" w:ascii="Times New Roman" w:hAnsi="Times New Roman" w:cs="Times New Roman"/>
          <w:bCs/>
          <w:color w:val="auto"/>
          <w:lang w:eastAsia="zh-CN"/>
        </w:rPr>
        <w:t>改扩建后，无水氟化氢库房3座无水氟化氢储罐不发生变化，原料及产品罐区储罐变为24座15%氟化氢水溶液储罐、2座电子级氢氟酸储罐、10座化学纯氢氟酸储罐，各储罐均为固定顶罐，储罐呼吸气通过呼吸阀</w:t>
      </w:r>
      <w:r>
        <w:rPr>
          <w:rFonts w:ascii="Times New Roman" w:hAnsi="Times New Roman" w:cs="Times New Roman"/>
          <w:bCs/>
          <w:color w:val="auto"/>
          <w:lang w:eastAsia="zh-CN"/>
        </w:rPr>
        <w:t>引至</w:t>
      </w:r>
      <w:r>
        <w:rPr>
          <w:rFonts w:hint="eastAsia" w:ascii="Times New Roman" w:hAnsi="Times New Roman" w:cs="Times New Roman"/>
          <w:color w:val="auto"/>
          <w:lang w:eastAsia="zh-CN"/>
        </w:rPr>
        <w:t>现有二级水喷淋塔（TA001）+现有三级碱喷淋塔（TA002）+新增一级碱喷淋塔（TA004）</w:t>
      </w:r>
      <w:r>
        <w:rPr>
          <w:rFonts w:hint="eastAsia" w:ascii="Times New Roman" w:hAnsi="Times New Roman" w:cs="Times New Roman"/>
          <w:bCs/>
          <w:color w:val="auto"/>
          <w:lang w:eastAsia="zh-CN"/>
        </w:rPr>
        <w:t>装置</w:t>
      </w:r>
      <w:r>
        <w:rPr>
          <w:rFonts w:ascii="Times New Roman" w:hAnsi="Times New Roman" w:cs="Times New Roman"/>
          <w:bCs/>
          <w:color w:val="auto"/>
          <w:lang w:eastAsia="zh-CN"/>
        </w:rPr>
        <w:t>处理，处理后</w:t>
      </w:r>
      <w:r>
        <w:rPr>
          <w:rFonts w:hint="eastAsia" w:ascii="Times New Roman" w:hAnsi="Times New Roman" w:cs="Times New Roman"/>
          <w:bCs/>
          <w:color w:val="auto"/>
          <w:lang w:eastAsia="zh-CN"/>
        </w:rPr>
        <w:t>经现有25</w:t>
      </w:r>
      <w:r>
        <w:rPr>
          <w:rFonts w:ascii="Times New Roman" w:hAnsi="Times New Roman" w:cs="Times New Roman"/>
          <w:bCs/>
          <w:color w:val="auto"/>
          <w:lang w:eastAsia="zh-CN"/>
        </w:rPr>
        <w:t>m高1#排气筒（DA001）排放</w:t>
      </w:r>
      <w:r>
        <w:rPr>
          <w:rFonts w:hint="eastAsia" w:ascii="Times New Roman" w:hAnsi="Times New Roman" w:cs="Times New Roman"/>
          <w:bCs/>
          <w:color w:val="auto"/>
          <w:lang w:eastAsia="zh-CN"/>
        </w:rPr>
        <w:t>。</w:t>
      </w:r>
    </w:p>
    <w:p w14:paraId="0F385195">
      <w:pPr>
        <w:widowControl w:val="0"/>
        <w:spacing w:line="360" w:lineRule="auto"/>
        <w:ind w:firstLine="480" w:firstLineChars="200"/>
        <w:jc w:val="both"/>
        <w:rPr>
          <w:rFonts w:ascii="Times New Roman" w:hAnsi="Times New Roman" w:cs="Times New Roman"/>
          <w:bCs/>
          <w:color w:val="auto"/>
          <w:lang w:eastAsia="zh-CN"/>
        </w:rPr>
      </w:pPr>
      <w:r>
        <w:rPr>
          <w:rFonts w:hint="eastAsia" w:ascii="Times New Roman" w:hAnsi="Times New Roman" w:cs="Times New Roman"/>
          <w:bCs/>
          <w:color w:val="auto"/>
          <w:lang w:eastAsia="zh-CN"/>
        </w:rPr>
        <w:t>新建一座戊类罐区二，设置2座31%盐酸储罐、10座化学纯氢氟酸储罐、30座刻蚀液储罐，各储罐均为固定顶罐，储罐呼吸气通过呼吸阀</w:t>
      </w:r>
      <w:r>
        <w:rPr>
          <w:rFonts w:ascii="Times New Roman" w:hAnsi="Times New Roman" w:cs="Times New Roman"/>
          <w:bCs/>
          <w:color w:val="auto"/>
          <w:lang w:eastAsia="zh-CN"/>
        </w:rPr>
        <w:t>引至</w:t>
      </w:r>
      <w:r>
        <w:rPr>
          <w:rFonts w:hint="eastAsia" w:ascii="Times New Roman" w:hAnsi="Times New Roman" w:cs="Times New Roman"/>
          <w:color w:val="auto"/>
          <w:lang w:eastAsia="zh-CN"/>
        </w:rPr>
        <w:t>新增二级水喷淋（TA003）+现有三级碱喷淋（TA002）+新增一级碱喷淋塔（TA004）</w:t>
      </w:r>
      <w:r>
        <w:rPr>
          <w:rFonts w:hint="eastAsia" w:ascii="Times New Roman" w:hAnsi="Times New Roman" w:cs="Times New Roman"/>
          <w:bCs/>
          <w:color w:val="auto"/>
          <w:lang w:eastAsia="zh-CN"/>
        </w:rPr>
        <w:t>装置</w:t>
      </w:r>
      <w:r>
        <w:rPr>
          <w:rFonts w:ascii="Times New Roman" w:hAnsi="Times New Roman" w:cs="Times New Roman"/>
          <w:bCs/>
          <w:color w:val="auto"/>
          <w:lang w:eastAsia="zh-CN"/>
        </w:rPr>
        <w:t>处理，处理后</w:t>
      </w:r>
      <w:r>
        <w:rPr>
          <w:rFonts w:hint="eastAsia" w:ascii="Times New Roman" w:hAnsi="Times New Roman" w:cs="Times New Roman"/>
          <w:bCs/>
          <w:color w:val="auto"/>
          <w:lang w:eastAsia="zh-CN"/>
        </w:rPr>
        <w:t>经现有25</w:t>
      </w:r>
      <w:r>
        <w:rPr>
          <w:rFonts w:ascii="Times New Roman" w:hAnsi="Times New Roman" w:cs="Times New Roman"/>
          <w:bCs/>
          <w:color w:val="auto"/>
          <w:lang w:eastAsia="zh-CN"/>
        </w:rPr>
        <w:t>m高1#排气筒（DA001）排放</w:t>
      </w:r>
      <w:r>
        <w:rPr>
          <w:rFonts w:hint="eastAsia" w:ascii="Times New Roman" w:hAnsi="Times New Roman" w:cs="Times New Roman"/>
          <w:bCs/>
          <w:color w:val="auto"/>
          <w:lang w:eastAsia="zh-CN"/>
        </w:rPr>
        <w:t>。</w:t>
      </w:r>
    </w:p>
    <w:p w14:paraId="1363798E">
      <w:pPr>
        <w:pStyle w:val="70"/>
        <w:ind w:firstLine="0" w:firstLineChars="0"/>
        <w:jc w:val="center"/>
        <w:rPr>
          <w:rFonts w:ascii="Times New Roman" w:hAnsi="Times New Roman" w:cs="Times New Roman"/>
          <w:color w:val="auto"/>
          <w:lang w:eastAsia="zh-CN"/>
        </w:rPr>
      </w:pPr>
      <w:r>
        <w:rPr>
          <w:rFonts w:ascii="Times New Roman" w:hAnsi="Times New Roman" w:cs="Times New Roman"/>
          <w:b/>
          <w:bCs/>
          <w:color w:val="auto"/>
          <w:lang w:eastAsia="zh-CN"/>
        </w:rPr>
        <w:t xml:space="preserve">表4.3-1  </w:t>
      </w:r>
      <w:r>
        <w:rPr>
          <w:rFonts w:ascii="Times New Roman" w:hAnsi="Times New Roman" w:cs="Times New Roman"/>
          <w:b/>
          <w:bCs/>
          <w:color w:val="auto"/>
        </w:rPr>
        <w:t>项目各罐/槽一览表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559"/>
        <w:gridCol w:w="1891"/>
        <w:gridCol w:w="1526"/>
        <w:gridCol w:w="978"/>
        <w:gridCol w:w="819"/>
        <w:gridCol w:w="1244"/>
        <w:gridCol w:w="957"/>
        <w:gridCol w:w="772"/>
      </w:tblGrid>
      <w:tr w14:paraId="30CBDEC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00" w:type="pct"/>
            <w:vAlign w:val="center"/>
          </w:tcPr>
          <w:p w14:paraId="6A3AF262">
            <w:pPr>
              <w:adjustRightInd w:val="0"/>
              <w:snapToGrid w:val="0"/>
              <w:ind w:left="-120" w:leftChars="-50" w:right="-120" w:rightChars="-50"/>
              <w:jc w:val="center"/>
              <w:rPr>
                <w:rFonts w:ascii="Times New Roman" w:hAnsi="Times New Roman" w:cs="Times New Roman"/>
                <w:b/>
                <w:color w:val="auto"/>
                <w:sz w:val="21"/>
              </w:rPr>
            </w:pPr>
            <w:r>
              <w:rPr>
                <w:rFonts w:ascii="Times New Roman" w:hAnsi="Times New Roman" w:cs="Times New Roman"/>
                <w:b/>
                <w:color w:val="auto"/>
                <w:sz w:val="21"/>
              </w:rPr>
              <w:t>位置</w:t>
            </w:r>
          </w:p>
        </w:tc>
        <w:tc>
          <w:tcPr>
            <w:tcW w:w="970" w:type="pct"/>
            <w:vAlign w:val="center"/>
          </w:tcPr>
          <w:p w14:paraId="72718379">
            <w:pPr>
              <w:adjustRightInd w:val="0"/>
              <w:snapToGrid w:val="0"/>
              <w:ind w:left="-120" w:leftChars="-50" w:right="-120" w:rightChars="-50"/>
              <w:jc w:val="center"/>
              <w:rPr>
                <w:rFonts w:ascii="Times New Roman" w:hAnsi="Times New Roman" w:cs="Times New Roman"/>
                <w:b/>
                <w:color w:val="auto"/>
                <w:sz w:val="21"/>
              </w:rPr>
            </w:pPr>
            <w:r>
              <w:rPr>
                <w:rFonts w:ascii="Times New Roman" w:hAnsi="Times New Roman" w:cs="Times New Roman"/>
                <w:b/>
                <w:color w:val="auto"/>
                <w:sz w:val="21"/>
              </w:rPr>
              <w:t>储罐/槽名称</w:t>
            </w:r>
          </w:p>
        </w:tc>
        <w:tc>
          <w:tcPr>
            <w:tcW w:w="783" w:type="pct"/>
            <w:vAlign w:val="center"/>
          </w:tcPr>
          <w:p w14:paraId="07CDAC0D">
            <w:pPr>
              <w:adjustRightInd w:val="0"/>
              <w:snapToGrid w:val="0"/>
              <w:ind w:left="-120" w:leftChars="-50" w:right="-120" w:rightChars="-50"/>
              <w:jc w:val="center"/>
              <w:rPr>
                <w:rFonts w:ascii="Times New Roman" w:hAnsi="Times New Roman" w:cs="Times New Roman"/>
                <w:b/>
                <w:color w:val="auto"/>
                <w:sz w:val="21"/>
              </w:rPr>
            </w:pPr>
            <w:r>
              <w:rPr>
                <w:rFonts w:ascii="Times New Roman" w:hAnsi="Times New Roman" w:cs="Times New Roman"/>
                <w:b/>
                <w:color w:val="auto"/>
                <w:sz w:val="21"/>
              </w:rPr>
              <w:t>储存物质</w:t>
            </w:r>
          </w:p>
        </w:tc>
        <w:tc>
          <w:tcPr>
            <w:tcW w:w="502" w:type="pct"/>
            <w:vAlign w:val="center"/>
          </w:tcPr>
          <w:p w14:paraId="784E2232">
            <w:pPr>
              <w:adjustRightInd w:val="0"/>
              <w:snapToGrid w:val="0"/>
              <w:ind w:left="-120" w:leftChars="-50" w:right="-120" w:rightChars="-50"/>
              <w:jc w:val="center"/>
              <w:rPr>
                <w:rFonts w:ascii="Times New Roman" w:hAnsi="Times New Roman" w:cs="Times New Roman"/>
                <w:b/>
                <w:color w:val="auto"/>
                <w:sz w:val="21"/>
              </w:rPr>
            </w:pPr>
            <w:r>
              <w:rPr>
                <w:rFonts w:ascii="Times New Roman" w:hAnsi="Times New Roman" w:cs="Times New Roman"/>
                <w:b/>
                <w:color w:val="auto"/>
                <w:sz w:val="21"/>
              </w:rPr>
              <w:t>规格</w:t>
            </w:r>
            <w:r>
              <w:rPr>
                <w:rFonts w:ascii="Times New Roman" w:hAnsi="Times New Roman" w:cs="Times New Roman"/>
                <w:b/>
                <w:bCs/>
                <w:color w:val="auto"/>
                <w:sz w:val="21"/>
                <w:lang w:eastAsia="zh-CN"/>
              </w:rPr>
              <w:t>（m</w:t>
            </w:r>
            <w:r>
              <w:rPr>
                <w:rFonts w:ascii="Times New Roman" w:hAnsi="Times New Roman" w:cs="Times New Roman"/>
                <w:b/>
                <w:bCs/>
                <w:color w:val="auto"/>
                <w:sz w:val="21"/>
                <w:vertAlign w:val="superscript"/>
                <w:lang w:eastAsia="zh-CN"/>
              </w:rPr>
              <w:t>3</w:t>
            </w:r>
            <w:r>
              <w:rPr>
                <w:rFonts w:ascii="Times New Roman" w:hAnsi="Times New Roman" w:cs="Times New Roman"/>
                <w:b/>
                <w:bCs/>
                <w:color w:val="auto"/>
                <w:sz w:val="21"/>
                <w:lang w:eastAsia="zh-CN"/>
              </w:rPr>
              <w:t>）</w:t>
            </w:r>
          </w:p>
        </w:tc>
        <w:tc>
          <w:tcPr>
            <w:tcW w:w="420" w:type="pct"/>
            <w:vAlign w:val="center"/>
          </w:tcPr>
          <w:p w14:paraId="6882D032">
            <w:pPr>
              <w:adjustRightInd w:val="0"/>
              <w:snapToGrid w:val="0"/>
              <w:ind w:left="-120" w:leftChars="-50" w:right="-120" w:rightChars="-50"/>
              <w:jc w:val="center"/>
              <w:rPr>
                <w:rFonts w:ascii="Times New Roman" w:hAnsi="Times New Roman" w:cs="Times New Roman"/>
                <w:b/>
                <w:color w:val="auto"/>
                <w:sz w:val="21"/>
              </w:rPr>
            </w:pPr>
            <w:r>
              <w:rPr>
                <w:rFonts w:ascii="Times New Roman" w:hAnsi="Times New Roman" w:cs="Times New Roman"/>
                <w:b/>
                <w:color w:val="auto"/>
                <w:sz w:val="21"/>
              </w:rPr>
              <w:t>数量</w:t>
            </w:r>
          </w:p>
        </w:tc>
        <w:tc>
          <w:tcPr>
            <w:tcW w:w="638" w:type="pct"/>
            <w:vAlign w:val="center"/>
          </w:tcPr>
          <w:p w14:paraId="4E7A7E56">
            <w:pPr>
              <w:adjustRightInd w:val="0"/>
              <w:snapToGrid w:val="0"/>
              <w:ind w:left="-120" w:leftChars="-50" w:right="-120" w:rightChars="-50"/>
              <w:jc w:val="center"/>
              <w:rPr>
                <w:rFonts w:ascii="Times New Roman" w:hAnsi="Times New Roman" w:cs="Times New Roman"/>
                <w:b/>
                <w:color w:val="auto"/>
                <w:sz w:val="21"/>
                <w:lang w:eastAsia="zh-CN"/>
              </w:rPr>
            </w:pPr>
            <w:r>
              <w:rPr>
                <w:rFonts w:ascii="Times New Roman" w:hAnsi="Times New Roman" w:cs="Times New Roman"/>
                <w:b/>
                <w:color w:val="auto"/>
                <w:sz w:val="21"/>
                <w:lang w:eastAsia="zh-CN"/>
              </w:rPr>
              <w:t>周转量（t/a）</w:t>
            </w:r>
          </w:p>
        </w:tc>
        <w:tc>
          <w:tcPr>
            <w:tcW w:w="491" w:type="pct"/>
            <w:vAlign w:val="center"/>
          </w:tcPr>
          <w:p w14:paraId="4C4D9344">
            <w:pPr>
              <w:adjustRightInd w:val="0"/>
              <w:snapToGrid w:val="0"/>
              <w:ind w:left="-120" w:leftChars="-50" w:right="-120" w:rightChars="-50"/>
              <w:jc w:val="center"/>
              <w:rPr>
                <w:rFonts w:ascii="Times New Roman" w:hAnsi="Times New Roman" w:cs="Times New Roman"/>
                <w:b/>
                <w:color w:val="auto"/>
                <w:sz w:val="21"/>
              </w:rPr>
            </w:pPr>
            <w:r>
              <w:rPr>
                <w:rFonts w:ascii="Times New Roman" w:hAnsi="Times New Roman" w:cs="Times New Roman"/>
                <w:b/>
                <w:color w:val="auto"/>
                <w:sz w:val="21"/>
              </w:rPr>
              <w:t>周转</w:t>
            </w:r>
          </w:p>
          <w:p w14:paraId="5717725E">
            <w:pPr>
              <w:adjustRightInd w:val="0"/>
              <w:snapToGrid w:val="0"/>
              <w:ind w:left="-120" w:leftChars="-50" w:right="-120" w:rightChars="-50"/>
              <w:jc w:val="center"/>
              <w:rPr>
                <w:rFonts w:ascii="Times New Roman" w:hAnsi="Times New Roman" w:cs="Times New Roman"/>
                <w:b/>
                <w:color w:val="auto"/>
                <w:sz w:val="21"/>
              </w:rPr>
            </w:pPr>
            <w:r>
              <w:rPr>
                <w:rFonts w:ascii="Times New Roman" w:hAnsi="Times New Roman" w:cs="Times New Roman"/>
                <w:b/>
                <w:color w:val="auto"/>
                <w:sz w:val="21"/>
              </w:rPr>
              <w:t>次数</w:t>
            </w:r>
          </w:p>
        </w:tc>
        <w:tc>
          <w:tcPr>
            <w:tcW w:w="396" w:type="pct"/>
            <w:vAlign w:val="center"/>
          </w:tcPr>
          <w:p w14:paraId="398B51BF">
            <w:pPr>
              <w:adjustRightInd w:val="0"/>
              <w:snapToGrid w:val="0"/>
              <w:ind w:left="-120" w:leftChars="-50" w:right="-120" w:rightChars="-50"/>
              <w:jc w:val="center"/>
              <w:rPr>
                <w:rFonts w:ascii="Times New Roman" w:hAnsi="Times New Roman" w:cs="Times New Roman"/>
                <w:b/>
                <w:color w:val="auto"/>
                <w:sz w:val="21"/>
                <w:vertAlign w:val="superscript"/>
                <w:lang w:eastAsia="zh-CN"/>
              </w:rPr>
            </w:pPr>
            <w:r>
              <w:rPr>
                <w:rFonts w:ascii="Times New Roman" w:hAnsi="Times New Roman" w:cs="Times New Roman"/>
                <w:b/>
                <w:color w:val="auto"/>
                <w:sz w:val="21"/>
              </w:rPr>
              <w:t>密度</w:t>
            </w:r>
            <w:r>
              <w:rPr>
                <w:rFonts w:ascii="Times New Roman" w:hAnsi="Times New Roman" w:cs="Times New Roman"/>
                <w:b/>
                <w:color w:val="auto"/>
                <w:sz w:val="21"/>
                <w:lang w:eastAsia="zh-CN"/>
              </w:rPr>
              <w:t>g/cm</w:t>
            </w:r>
            <w:r>
              <w:rPr>
                <w:rFonts w:ascii="Times New Roman" w:hAnsi="Times New Roman" w:cs="Times New Roman"/>
                <w:b/>
                <w:color w:val="auto"/>
                <w:sz w:val="21"/>
                <w:vertAlign w:val="superscript"/>
                <w:lang w:eastAsia="zh-CN"/>
              </w:rPr>
              <w:t>3</w:t>
            </w:r>
          </w:p>
        </w:tc>
      </w:tr>
      <w:tr w14:paraId="650AC8B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00" w:type="pct"/>
            <w:vAlign w:val="center"/>
          </w:tcPr>
          <w:p w14:paraId="182F7D8C">
            <w:pPr>
              <w:adjustRightInd w:val="0"/>
              <w:snapToGrid w:val="0"/>
              <w:ind w:left="-120" w:leftChars="-50" w:right="-120" w:rightChars="-50"/>
              <w:jc w:val="center"/>
              <w:rPr>
                <w:rFonts w:ascii="Times New Roman" w:hAnsi="Times New Roman" w:cs="Times New Roman"/>
                <w:bCs/>
                <w:color w:val="auto"/>
                <w:sz w:val="21"/>
                <w:lang w:eastAsia="zh-CN"/>
              </w:rPr>
            </w:pPr>
            <w:r>
              <w:rPr>
                <w:rFonts w:hint="eastAsia" w:ascii="Times New Roman" w:hAnsi="Times New Roman" w:cs="Times New Roman"/>
                <w:bCs/>
                <w:color w:val="auto"/>
                <w:sz w:val="21"/>
                <w:lang w:eastAsia="zh-CN"/>
              </w:rPr>
              <w:t>无水氟化氢库房</w:t>
            </w:r>
          </w:p>
        </w:tc>
        <w:tc>
          <w:tcPr>
            <w:tcW w:w="970" w:type="pct"/>
            <w:vAlign w:val="center"/>
          </w:tcPr>
          <w:p w14:paraId="70F02F3C">
            <w:pPr>
              <w:adjustRightInd w:val="0"/>
              <w:snapToGrid w:val="0"/>
              <w:ind w:left="-120" w:leftChars="-50" w:right="-120" w:rightChars="-50"/>
              <w:jc w:val="center"/>
              <w:rPr>
                <w:rFonts w:ascii="Times New Roman" w:hAnsi="Times New Roman" w:cs="Times New Roman"/>
                <w:bCs/>
                <w:color w:val="auto"/>
                <w:sz w:val="21"/>
              </w:rPr>
            </w:pPr>
          </w:p>
        </w:tc>
        <w:tc>
          <w:tcPr>
            <w:tcW w:w="783" w:type="pct"/>
            <w:vAlign w:val="center"/>
          </w:tcPr>
          <w:p w14:paraId="495106A9">
            <w:pPr>
              <w:adjustRightInd w:val="0"/>
              <w:snapToGrid w:val="0"/>
              <w:ind w:left="-120" w:leftChars="-50" w:right="-120" w:rightChars="-50"/>
              <w:jc w:val="center"/>
              <w:rPr>
                <w:rFonts w:ascii="Times New Roman" w:hAnsi="Times New Roman" w:cs="Times New Roman"/>
                <w:bCs/>
                <w:color w:val="auto"/>
                <w:sz w:val="21"/>
              </w:rPr>
            </w:pPr>
          </w:p>
        </w:tc>
        <w:tc>
          <w:tcPr>
            <w:tcW w:w="502" w:type="pct"/>
            <w:vAlign w:val="center"/>
          </w:tcPr>
          <w:p w14:paraId="44795098">
            <w:pPr>
              <w:adjustRightInd w:val="0"/>
              <w:snapToGrid w:val="0"/>
              <w:ind w:left="-120" w:leftChars="-50" w:right="-120" w:rightChars="-50"/>
              <w:jc w:val="center"/>
              <w:rPr>
                <w:rFonts w:ascii="Times New Roman" w:hAnsi="Times New Roman" w:cs="Times New Roman"/>
                <w:bCs/>
                <w:color w:val="auto"/>
                <w:sz w:val="21"/>
              </w:rPr>
            </w:pPr>
          </w:p>
        </w:tc>
        <w:tc>
          <w:tcPr>
            <w:tcW w:w="420" w:type="pct"/>
            <w:vAlign w:val="center"/>
          </w:tcPr>
          <w:p w14:paraId="7D15B0D4">
            <w:pPr>
              <w:adjustRightInd w:val="0"/>
              <w:snapToGrid w:val="0"/>
              <w:ind w:left="-120" w:leftChars="-50" w:right="-120" w:rightChars="-50"/>
              <w:jc w:val="center"/>
              <w:rPr>
                <w:rFonts w:ascii="Times New Roman" w:hAnsi="Times New Roman" w:cs="Times New Roman"/>
                <w:bCs/>
                <w:color w:val="auto"/>
                <w:sz w:val="21"/>
                <w:lang w:eastAsia="zh-CN"/>
              </w:rPr>
            </w:pPr>
          </w:p>
        </w:tc>
        <w:tc>
          <w:tcPr>
            <w:tcW w:w="638" w:type="pct"/>
            <w:vAlign w:val="center"/>
          </w:tcPr>
          <w:p w14:paraId="442DBE82">
            <w:pPr>
              <w:adjustRightInd w:val="0"/>
              <w:snapToGrid w:val="0"/>
              <w:ind w:left="-120" w:leftChars="-50" w:right="-120" w:rightChars="-50"/>
              <w:jc w:val="center"/>
              <w:rPr>
                <w:rFonts w:ascii="Times New Roman" w:hAnsi="Times New Roman" w:cs="Times New Roman"/>
                <w:bCs/>
                <w:color w:val="auto"/>
                <w:sz w:val="21"/>
              </w:rPr>
            </w:pPr>
          </w:p>
        </w:tc>
        <w:tc>
          <w:tcPr>
            <w:tcW w:w="491" w:type="pct"/>
            <w:vAlign w:val="center"/>
          </w:tcPr>
          <w:p w14:paraId="29F2670E">
            <w:pPr>
              <w:adjustRightInd w:val="0"/>
              <w:snapToGrid w:val="0"/>
              <w:ind w:left="-120" w:leftChars="-50" w:right="-120" w:rightChars="-50"/>
              <w:jc w:val="center"/>
              <w:rPr>
                <w:rFonts w:ascii="Times New Roman" w:hAnsi="Times New Roman" w:cs="Times New Roman"/>
                <w:bCs/>
                <w:color w:val="auto"/>
                <w:sz w:val="21"/>
                <w:lang w:eastAsia="zh-CN"/>
              </w:rPr>
            </w:pPr>
          </w:p>
        </w:tc>
        <w:tc>
          <w:tcPr>
            <w:tcW w:w="396" w:type="pct"/>
            <w:vAlign w:val="center"/>
          </w:tcPr>
          <w:p w14:paraId="53685828">
            <w:pPr>
              <w:adjustRightInd w:val="0"/>
              <w:snapToGrid w:val="0"/>
              <w:ind w:left="-120" w:leftChars="-50" w:right="-120" w:rightChars="-50"/>
              <w:jc w:val="center"/>
              <w:rPr>
                <w:rFonts w:ascii="Times New Roman" w:hAnsi="Times New Roman" w:cs="Times New Roman"/>
                <w:bCs/>
                <w:color w:val="auto"/>
                <w:sz w:val="21"/>
                <w:lang w:eastAsia="zh-CN"/>
              </w:rPr>
            </w:pPr>
          </w:p>
        </w:tc>
      </w:tr>
      <w:tr w14:paraId="2C67201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00" w:type="pct"/>
            <w:vMerge w:val="restart"/>
            <w:vAlign w:val="center"/>
          </w:tcPr>
          <w:p w14:paraId="37306DDA">
            <w:pPr>
              <w:adjustRightInd w:val="0"/>
              <w:snapToGrid w:val="0"/>
              <w:ind w:left="-120" w:leftChars="-50" w:right="-120" w:rightChars="-50"/>
              <w:jc w:val="center"/>
              <w:rPr>
                <w:rFonts w:ascii="Times New Roman" w:hAnsi="Times New Roman" w:cs="Times New Roman"/>
                <w:bCs/>
                <w:color w:val="auto"/>
                <w:sz w:val="21"/>
                <w:lang w:eastAsia="zh-CN"/>
              </w:rPr>
            </w:pPr>
            <w:r>
              <w:rPr>
                <w:rFonts w:hint="eastAsia" w:ascii="Times New Roman" w:hAnsi="Times New Roman" w:cs="Times New Roman"/>
                <w:bCs/>
                <w:color w:val="auto"/>
                <w:sz w:val="21"/>
                <w:lang w:eastAsia="zh-CN"/>
              </w:rPr>
              <w:t>原料及产品罐区</w:t>
            </w:r>
          </w:p>
        </w:tc>
        <w:tc>
          <w:tcPr>
            <w:tcW w:w="970" w:type="pct"/>
            <w:vAlign w:val="center"/>
          </w:tcPr>
          <w:p w14:paraId="57F307B4">
            <w:pPr>
              <w:adjustRightInd w:val="0"/>
              <w:snapToGrid w:val="0"/>
              <w:ind w:left="-120" w:leftChars="-50" w:right="-120" w:rightChars="-50"/>
              <w:jc w:val="center"/>
              <w:rPr>
                <w:rFonts w:ascii="Times New Roman" w:hAnsi="Times New Roman" w:cs="Times New Roman"/>
                <w:color w:val="auto"/>
                <w:kern w:val="2"/>
                <w:sz w:val="21"/>
                <w:lang w:eastAsia="zh-CN"/>
              </w:rPr>
            </w:pPr>
          </w:p>
        </w:tc>
        <w:tc>
          <w:tcPr>
            <w:tcW w:w="783" w:type="pct"/>
            <w:vAlign w:val="center"/>
          </w:tcPr>
          <w:p w14:paraId="217B777C">
            <w:pPr>
              <w:adjustRightInd w:val="0"/>
              <w:snapToGrid w:val="0"/>
              <w:ind w:left="-120" w:leftChars="-50" w:right="-120" w:rightChars="-50"/>
              <w:jc w:val="center"/>
              <w:rPr>
                <w:rFonts w:ascii="Times New Roman" w:hAnsi="Times New Roman" w:cs="Times New Roman"/>
                <w:bCs/>
                <w:color w:val="auto"/>
                <w:sz w:val="21"/>
                <w:lang w:eastAsia="zh-CN"/>
              </w:rPr>
            </w:pPr>
          </w:p>
        </w:tc>
        <w:tc>
          <w:tcPr>
            <w:tcW w:w="502" w:type="pct"/>
            <w:vAlign w:val="center"/>
          </w:tcPr>
          <w:p w14:paraId="18A38386">
            <w:pPr>
              <w:adjustRightInd w:val="0"/>
              <w:snapToGrid w:val="0"/>
              <w:ind w:left="-120" w:leftChars="-50" w:right="-120" w:rightChars="-50"/>
              <w:jc w:val="center"/>
              <w:rPr>
                <w:rFonts w:ascii="Times New Roman" w:hAnsi="Times New Roman" w:cs="Times New Roman"/>
                <w:color w:val="auto"/>
                <w:kern w:val="2"/>
                <w:sz w:val="21"/>
                <w:lang w:eastAsia="zh-CN"/>
              </w:rPr>
            </w:pPr>
          </w:p>
        </w:tc>
        <w:tc>
          <w:tcPr>
            <w:tcW w:w="420" w:type="pct"/>
            <w:vAlign w:val="center"/>
          </w:tcPr>
          <w:p w14:paraId="53F97D5A">
            <w:pPr>
              <w:adjustRightInd w:val="0"/>
              <w:snapToGrid w:val="0"/>
              <w:ind w:left="-120" w:leftChars="-50" w:right="-120" w:rightChars="-50"/>
              <w:jc w:val="center"/>
              <w:rPr>
                <w:rFonts w:ascii="Times New Roman" w:hAnsi="Times New Roman" w:cs="Times New Roman"/>
                <w:color w:val="auto"/>
                <w:kern w:val="2"/>
                <w:sz w:val="21"/>
                <w:lang w:eastAsia="zh-CN"/>
              </w:rPr>
            </w:pPr>
          </w:p>
        </w:tc>
        <w:tc>
          <w:tcPr>
            <w:tcW w:w="638" w:type="pct"/>
            <w:vAlign w:val="center"/>
          </w:tcPr>
          <w:p w14:paraId="254ABF16">
            <w:pPr>
              <w:adjustRightInd w:val="0"/>
              <w:snapToGrid w:val="0"/>
              <w:ind w:left="-120" w:leftChars="-50" w:right="-120" w:rightChars="-50"/>
              <w:jc w:val="center"/>
              <w:rPr>
                <w:rFonts w:ascii="Times New Roman" w:hAnsi="Times New Roman" w:cs="Times New Roman"/>
                <w:color w:val="auto"/>
                <w:sz w:val="21"/>
                <w:lang w:eastAsia="zh-CN"/>
              </w:rPr>
            </w:pPr>
          </w:p>
        </w:tc>
        <w:tc>
          <w:tcPr>
            <w:tcW w:w="491" w:type="pct"/>
            <w:vAlign w:val="center"/>
          </w:tcPr>
          <w:p w14:paraId="3F917D38">
            <w:pPr>
              <w:adjustRightInd w:val="0"/>
              <w:snapToGrid w:val="0"/>
              <w:ind w:left="-120" w:leftChars="-50" w:right="-120" w:rightChars="-50"/>
              <w:jc w:val="center"/>
              <w:rPr>
                <w:rFonts w:ascii="Times New Roman" w:hAnsi="Times New Roman" w:cs="Times New Roman"/>
                <w:bCs/>
                <w:color w:val="auto"/>
                <w:sz w:val="21"/>
                <w:lang w:eastAsia="zh-CN"/>
              </w:rPr>
            </w:pPr>
          </w:p>
        </w:tc>
        <w:tc>
          <w:tcPr>
            <w:tcW w:w="396" w:type="pct"/>
            <w:vAlign w:val="center"/>
          </w:tcPr>
          <w:p w14:paraId="4B7D9919">
            <w:pPr>
              <w:adjustRightInd w:val="0"/>
              <w:snapToGrid w:val="0"/>
              <w:ind w:left="-120" w:leftChars="-50" w:right="-120" w:rightChars="-50"/>
              <w:jc w:val="center"/>
              <w:rPr>
                <w:rFonts w:ascii="Times New Roman" w:hAnsi="Times New Roman" w:cs="Times New Roman"/>
                <w:bCs/>
                <w:color w:val="auto"/>
                <w:sz w:val="21"/>
                <w:lang w:eastAsia="zh-CN"/>
              </w:rPr>
            </w:pPr>
          </w:p>
        </w:tc>
      </w:tr>
      <w:tr w14:paraId="62CC152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00" w:type="pct"/>
            <w:vMerge w:val="continue"/>
            <w:vAlign w:val="center"/>
          </w:tcPr>
          <w:p w14:paraId="0C313EA4">
            <w:pPr>
              <w:adjustRightInd w:val="0"/>
              <w:snapToGrid w:val="0"/>
              <w:ind w:left="-120" w:leftChars="-50" w:right="-120" w:rightChars="-50"/>
              <w:jc w:val="center"/>
              <w:rPr>
                <w:rFonts w:ascii="Times New Roman" w:hAnsi="Times New Roman" w:cs="Times New Roman"/>
                <w:bCs/>
                <w:color w:val="auto"/>
                <w:sz w:val="21"/>
              </w:rPr>
            </w:pPr>
          </w:p>
        </w:tc>
        <w:tc>
          <w:tcPr>
            <w:tcW w:w="970" w:type="pct"/>
            <w:vAlign w:val="center"/>
          </w:tcPr>
          <w:p w14:paraId="583CD119">
            <w:pPr>
              <w:adjustRightInd w:val="0"/>
              <w:snapToGrid w:val="0"/>
              <w:ind w:left="-120" w:leftChars="-50" w:right="-120" w:rightChars="-50"/>
              <w:jc w:val="center"/>
              <w:rPr>
                <w:rFonts w:ascii="Times New Roman" w:hAnsi="Times New Roman" w:cs="Times New Roman"/>
                <w:bCs/>
                <w:color w:val="auto"/>
                <w:sz w:val="21"/>
                <w:lang w:eastAsia="zh-CN"/>
              </w:rPr>
            </w:pPr>
          </w:p>
        </w:tc>
        <w:tc>
          <w:tcPr>
            <w:tcW w:w="783" w:type="pct"/>
            <w:vAlign w:val="center"/>
          </w:tcPr>
          <w:p w14:paraId="302E9CC7">
            <w:pPr>
              <w:adjustRightInd w:val="0"/>
              <w:snapToGrid w:val="0"/>
              <w:ind w:left="-120" w:leftChars="-50" w:right="-120" w:rightChars="-50"/>
              <w:jc w:val="center"/>
              <w:rPr>
                <w:rFonts w:ascii="Times New Roman" w:hAnsi="Times New Roman" w:cs="Times New Roman"/>
                <w:bCs/>
                <w:color w:val="auto"/>
                <w:sz w:val="21"/>
                <w:lang w:eastAsia="zh-CN"/>
              </w:rPr>
            </w:pPr>
          </w:p>
        </w:tc>
        <w:tc>
          <w:tcPr>
            <w:tcW w:w="502" w:type="pct"/>
            <w:vAlign w:val="center"/>
          </w:tcPr>
          <w:p w14:paraId="074138F7">
            <w:pPr>
              <w:adjustRightInd w:val="0"/>
              <w:snapToGrid w:val="0"/>
              <w:ind w:left="-120" w:leftChars="-50" w:right="-120" w:rightChars="-50"/>
              <w:jc w:val="center"/>
              <w:rPr>
                <w:rFonts w:ascii="Times New Roman" w:hAnsi="Times New Roman" w:cs="Times New Roman"/>
                <w:bCs/>
                <w:color w:val="auto"/>
                <w:sz w:val="21"/>
                <w:lang w:eastAsia="zh-CN"/>
              </w:rPr>
            </w:pPr>
          </w:p>
        </w:tc>
        <w:tc>
          <w:tcPr>
            <w:tcW w:w="420" w:type="pct"/>
            <w:vAlign w:val="center"/>
          </w:tcPr>
          <w:p w14:paraId="6C3317D2">
            <w:pPr>
              <w:adjustRightInd w:val="0"/>
              <w:snapToGrid w:val="0"/>
              <w:ind w:left="-120" w:leftChars="-50" w:right="-120" w:rightChars="-50"/>
              <w:jc w:val="center"/>
              <w:rPr>
                <w:rFonts w:ascii="Times New Roman" w:hAnsi="Times New Roman" w:cs="Times New Roman"/>
                <w:bCs/>
                <w:color w:val="auto"/>
                <w:sz w:val="21"/>
                <w:lang w:eastAsia="zh-CN"/>
              </w:rPr>
            </w:pPr>
          </w:p>
        </w:tc>
        <w:tc>
          <w:tcPr>
            <w:tcW w:w="638" w:type="pct"/>
            <w:vAlign w:val="center"/>
          </w:tcPr>
          <w:p w14:paraId="7F25C70D">
            <w:pPr>
              <w:adjustRightInd w:val="0"/>
              <w:snapToGrid w:val="0"/>
              <w:ind w:left="-120" w:leftChars="-50" w:right="-120" w:rightChars="-50"/>
              <w:jc w:val="center"/>
              <w:rPr>
                <w:rFonts w:ascii="Times New Roman" w:hAnsi="Times New Roman" w:cs="Times New Roman"/>
                <w:bCs/>
                <w:color w:val="auto"/>
                <w:sz w:val="21"/>
                <w:lang w:eastAsia="zh-CN"/>
              </w:rPr>
            </w:pPr>
          </w:p>
        </w:tc>
        <w:tc>
          <w:tcPr>
            <w:tcW w:w="491" w:type="pct"/>
            <w:vAlign w:val="center"/>
          </w:tcPr>
          <w:p w14:paraId="67522FFC">
            <w:pPr>
              <w:adjustRightInd w:val="0"/>
              <w:snapToGrid w:val="0"/>
              <w:ind w:left="-120" w:leftChars="-50" w:right="-120" w:rightChars="-50"/>
              <w:jc w:val="center"/>
              <w:rPr>
                <w:rFonts w:ascii="Times New Roman" w:hAnsi="Times New Roman" w:cs="Times New Roman"/>
                <w:bCs/>
                <w:color w:val="auto"/>
                <w:sz w:val="21"/>
                <w:lang w:eastAsia="zh-CN"/>
              </w:rPr>
            </w:pPr>
          </w:p>
        </w:tc>
        <w:tc>
          <w:tcPr>
            <w:tcW w:w="396" w:type="pct"/>
            <w:vAlign w:val="center"/>
          </w:tcPr>
          <w:p w14:paraId="5707D6E6">
            <w:pPr>
              <w:adjustRightInd w:val="0"/>
              <w:snapToGrid w:val="0"/>
              <w:ind w:left="-120" w:leftChars="-50" w:right="-120" w:rightChars="-50"/>
              <w:jc w:val="center"/>
              <w:rPr>
                <w:rFonts w:ascii="Times New Roman" w:hAnsi="Times New Roman" w:cs="Times New Roman"/>
                <w:bCs/>
                <w:color w:val="auto"/>
                <w:sz w:val="21"/>
                <w:lang w:eastAsia="zh-CN"/>
              </w:rPr>
            </w:pPr>
          </w:p>
        </w:tc>
      </w:tr>
      <w:tr w14:paraId="5F77D85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00" w:type="pct"/>
            <w:vMerge w:val="restart"/>
            <w:vAlign w:val="center"/>
          </w:tcPr>
          <w:p w14:paraId="7FEF8252">
            <w:pPr>
              <w:adjustRightInd w:val="0"/>
              <w:snapToGrid w:val="0"/>
              <w:ind w:left="-120" w:leftChars="-50" w:right="-120" w:rightChars="-50"/>
              <w:jc w:val="center"/>
              <w:rPr>
                <w:rFonts w:ascii="Times New Roman" w:hAnsi="Times New Roman" w:cs="Times New Roman"/>
                <w:bCs/>
                <w:color w:val="auto"/>
                <w:sz w:val="21"/>
                <w:lang w:eastAsia="zh-CN"/>
              </w:rPr>
            </w:pPr>
            <w:r>
              <w:rPr>
                <w:rFonts w:hint="eastAsia" w:ascii="Times New Roman" w:hAnsi="Times New Roman" w:cs="Times New Roman"/>
                <w:bCs/>
                <w:color w:val="auto"/>
                <w:sz w:val="21"/>
                <w:lang w:eastAsia="zh-CN"/>
              </w:rPr>
              <w:t>戊类罐区二</w:t>
            </w:r>
          </w:p>
        </w:tc>
        <w:tc>
          <w:tcPr>
            <w:tcW w:w="970" w:type="pct"/>
            <w:vAlign w:val="center"/>
          </w:tcPr>
          <w:p w14:paraId="22678CD6">
            <w:pPr>
              <w:adjustRightInd w:val="0"/>
              <w:snapToGrid w:val="0"/>
              <w:ind w:left="-120" w:leftChars="-50" w:right="-120" w:rightChars="-50"/>
              <w:jc w:val="center"/>
              <w:rPr>
                <w:rFonts w:ascii="Times New Roman" w:hAnsi="Times New Roman" w:cs="Times New Roman"/>
                <w:color w:val="auto"/>
                <w:kern w:val="2"/>
                <w:sz w:val="21"/>
                <w:lang w:eastAsia="zh-CN"/>
              </w:rPr>
            </w:pPr>
          </w:p>
        </w:tc>
        <w:tc>
          <w:tcPr>
            <w:tcW w:w="783" w:type="pct"/>
            <w:vAlign w:val="center"/>
          </w:tcPr>
          <w:p w14:paraId="7992A9C2">
            <w:pPr>
              <w:adjustRightInd w:val="0"/>
              <w:snapToGrid w:val="0"/>
              <w:ind w:left="-120" w:leftChars="-50" w:right="-120" w:rightChars="-50"/>
              <w:jc w:val="center"/>
              <w:rPr>
                <w:rFonts w:ascii="Times New Roman" w:hAnsi="Times New Roman" w:cs="Times New Roman"/>
                <w:color w:val="auto"/>
                <w:kern w:val="2"/>
                <w:sz w:val="21"/>
                <w:lang w:eastAsia="zh-CN"/>
              </w:rPr>
            </w:pPr>
          </w:p>
        </w:tc>
        <w:tc>
          <w:tcPr>
            <w:tcW w:w="502" w:type="pct"/>
            <w:vAlign w:val="center"/>
          </w:tcPr>
          <w:p w14:paraId="0A876447">
            <w:pPr>
              <w:adjustRightInd w:val="0"/>
              <w:snapToGrid w:val="0"/>
              <w:ind w:left="-120" w:leftChars="-50" w:right="-120" w:rightChars="-50"/>
              <w:jc w:val="center"/>
              <w:rPr>
                <w:rFonts w:ascii="Times New Roman" w:hAnsi="Times New Roman" w:cs="Times New Roman"/>
                <w:color w:val="auto"/>
                <w:kern w:val="2"/>
                <w:sz w:val="21"/>
                <w:lang w:eastAsia="zh-CN"/>
              </w:rPr>
            </w:pPr>
          </w:p>
        </w:tc>
        <w:tc>
          <w:tcPr>
            <w:tcW w:w="420" w:type="pct"/>
            <w:vAlign w:val="center"/>
          </w:tcPr>
          <w:p w14:paraId="071EA162">
            <w:pPr>
              <w:adjustRightInd w:val="0"/>
              <w:snapToGrid w:val="0"/>
              <w:ind w:left="-120" w:leftChars="-50" w:right="-120" w:rightChars="-50"/>
              <w:jc w:val="center"/>
              <w:rPr>
                <w:rFonts w:ascii="Times New Roman" w:hAnsi="Times New Roman" w:cs="Times New Roman"/>
                <w:color w:val="auto"/>
                <w:kern w:val="2"/>
                <w:sz w:val="21"/>
                <w:lang w:eastAsia="zh-CN"/>
              </w:rPr>
            </w:pPr>
          </w:p>
        </w:tc>
        <w:tc>
          <w:tcPr>
            <w:tcW w:w="638" w:type="pct"/>
            <w:vAlign w:val="center"/>
          </w:tcPr>
          <w:p w14:paraId="3D21D8CF">
            <w:pPr>
              <w:adjustRightInd w:val="0"/>
              <w:snapToGrid w:val="0"/>
              <w:ind w:left="-120" w:leftChars="-50" w:right="-120" w:rightChars="-50"/>
              <w:jc w:val="center"/>
              <w:rPr>
                <w:rFonts w:ascii="Times New Roman" w:hAnsi="Times New Roman" w:cs="Times New Roman"/>
                <w:bCs/>
                <w:color w:val="auto"/>
                <w:sz w:val="21"/>
                <w:lang w:eastAsia="zh-CN"/>
              </w:rPr>
            </w:pPr>
          </w:p>
        </w:tc>
        <w:tc>
          <w:tcPr>
            <w:tcW w:w="491" w:type="pct"/>
            <w:vAlign w:val="center"/>
          </w:tcPr>
          <w:p w14:paraId="56875D7B">
            <w:pPr>
              <w:adjustRightInd w:val="0"/>
              <w:snapToGrid w:val="0"/>
              <w:ind w:left="-120" w:leftChars="-50" w:right="-120" w:rightChars="-50"/>
              <w:jc w:val="center"/>
              <w:rPr>
                <w:rFonts w:ascii="Times New Roman" w:hAnsi="Times New Roman" w:cs="Times New Roman"/>
                <w:bCs/>
                <w:color w:val="auto"/>
                <w:sz w:val="21"/>
                <w:lang w:eastAsia="zh-CN"/>
              </w:rPr>
            </w:pPr>
          </w:p>
        </w:tc>
        <w:tc>
          <w:tcPr>
            <w:tcW w:w="396" w:type="pct"/>
            <w:vAlign w:val="center"/>
          </w:tcPr>
          <w:p w14:paraId="221A212F">
            <w:pPr>
              <w:adjustRightInd w:val="0"/>
              <w:snapToGrid w:val="0"/>
              <w:ind w:left="-120" w:leftChars="-50" w:right="-120" w:rightChars="-50"/>
              <w:jc w:val="center"/>
              <w:rPr>
                <w:rFonts w:ascii="Times New Roman" w:hAnsi="Times New Roman" w:cs="Times New Roman"/>
                <w:bCs/>
                <w:color w:val="auto"/>
                <w:sz w:val="21"/>
                <w:lang w:eastAsia="zh-CN"/>
              </w:rPr>
            </w:pPr>
          </w:p>
        </w:tc>
      </w:tr>
      <w:tr w14:paraId="01B07A6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00" w:type="pct"/>
            <w:vMerge w:val="continue"/>
            <w:vAlign w:val="center"/>
          </w:tcPr>
          <w:p w14:paraId="13103F7A">
            <w:pPr>
              <w:adjustRightInd w:val="0"/>
              <w:snapToGrid w:val="0"/>
              <w:ind w:left="-120" w:leftChars="-50" w:right="-120" w:rightChars="-50"/>
              <w:jc w:val="center"/>
              <w:rPr>
                <w:rFonts w:ascii="Times New Roman" w:hAnsi="Times New Roman" w:cs="Times New Roman"/>
                <w:bCs/>
                <w:color w:val="auto"/>
                <w:sz w:val="21"/>
                <w:lang w:eastAsia="zh-CN"/>
              </w:rPr>
            </w:pPr>
          </w:p>
        </w:tc>
        <w:tc>
          <w:tcPr>
            <w:tcW w:w="970" w:type="pct"/>
            <w:vAlign w:val="center"/>
          </w:tcPr>
          <w:p w14:paraId="715FD4AE">
            <w:pPr>
              <w:adjustRightInd w:val="0"/>
              <w:snapToGrid w:val="0"/>
              <w:ind w:left="-120" w:leftChars="-50" w:right="-120" w:rightChars="-50"/>
              <w:jc w:val="center"/>
              <w:rPr>
                <w:rFonts w:ascii="Times New Roman" w:hAnsi="Times New Roman" w:cs="Times New Roman"/>
                <w:color w:val="auto"/>
                <w:kern w:val="2"/>
                <w:sz w:val="21"/>
                <w:lang w:eastAsia="zh-CN"/>
              </w:rPr>
            </w:pPr>
          </w:p>
        </w:tc>
        <w:tc>
          <w:tcPr>
            <w:tcW w:w="783" w:type="pct"/>
            <w:vAlign w:val="center"/>
          </w:tcPr>
          <w:p w14:paraId="046EFB3F">
            <w:pPr>
              <w:adjustRightInd w:val="0"/>
              <w:snapToGrid w:val="0"/>
              <w:ind w:left="-120" w:leftChars="-50" w:right="-120" w:rightChars="-50"/>
              <w:jc w:val="center"/>
              <w:rPr>
                <w:rFonts w:ascii="Times New Roman" w:hAnsi="Times New Roman" w:cs="Times New Roman"/>
                <w:color w:val="auto"/>
                <w:kern w:val="2"/>
                <w:sz w:val="21"/>
                <w:lang w:eastAsia="zh-CN"/>
              </w:rPr>
            </w:pPr>
          </w:p>
        </w:tc>
        <w:tc>
          <w:tcPr>
            <w:tcW w:w="502" w:type="pct"/>
            <w:vAlign w:val="center"/>
          </w:tcPr>
          <w:p w14:paraId="30A93FE2">
            <w:pPr>
              <w:adjustRightInd w:val="0"/>
              <w:snapToGrid w:val="0"/>
              <w:ind w:left="-120" w:leftChars="-50" w:right="-120" w:rightChars="-50"/>
              <w:jc w:val="center"/>
              <w:rPr>
                <w:rFonts w:ascii="Times New Roman" w:hAnsi="Times New Roman" w:cs="Times New Roman"/>
                <w:color w:val="auto"/>
                <w:kern w:val="2"/>
                <w:sz w:val="21"/>
                <w:lang w:eastAsia="zh-CN"/>
              </w:rPr>
            </w:pPr>
          </w:p>
        </w:tc>
        <w:tc>
          <w:tcPr>
            <w:tcW w:w="420" w:type="pct"/>
            <w:vAlign w:val="center"/>
          </w:tcPr>
          <w:p w14:paraId="68048A14">
            <w:pPr>
              <w:adjustRightInd w:val="0"/>
              <w:snapToGrid w:val="0"/>
              <w:ind w:left="-120" w:leftChars="-50" w:right="-120" w:rightChars="-50"/>
              <w:jc w:val="center"/>
              <w:rPr>
                <w:rFonts w:ascii="Times New Roman" w:hAnsi="Times New Roman" w:cs="Times New Roman"/>
                <w:color w:val="auto"/>
                <w:kern w:val="2"/>
                <w:sz w:val="21"/>
                <w:lang w:eastAsia="zh-CN"/>
              </w:rPr>
            </w:pPr>
          </w:p>
        </w:tc>
        <w:tc>
          <w:tcPr>
            <w:tcW w:w="638" w:type="pct"/>
            <w:vAlign w:val="center"/>
          </w:tcPr>
          <w:p w14:paraId="11321E53">
            <w:pPr>
              <w:adjustRightInd w:val="0"/>
              <w:snapToGrid w:val="0"/>
              <w:ind w:left="-120" w:leftChars="-50" w:right="-120" w:rightChars="-50"/>
              <w:jc w:val="center"/>
              <w:rPr>
                <w:rFonts w:ascii="Times New Roman" w:hAnsi="Times New Roman" w:cs="Times New Roman"/>
                <w:color w:val="auto"/>
                <w:sz w:val="21"/>
                <w:lang w:eastAsia="zh-CN"/>
              </w:rPr>
            </w:pPr>
          </w:p>
        </w:tc>
        <w:tc>
          <w:tcPr>
            <w:tcW w:w="491" w:type="pct"/>
            <w:vAlign w:val="center"/>
          </w:tcPr>
          <w:p w14:paraId="4AC20FB2">
            <w:pPr>
              <w:adjustRightInd w:val="0"/>
              <w:snapToGrid w:val="0"/>
              <w:ind w:left="-120" w:leftChars="-50" w:right="-120" w:rightChars="-50"/>
              <w:jc w:val="center"/>
              <w:rPr>
                <w:rFonts w:ascii="Times New Roman" w:hAnsi="Times New Roman" w:cs="Times New Roman"/>
                <w:bCs/>
                <w:color w:val="auto"/>
                <w:sz w:val="21"/>
                <w:lang w:eastAsia="zh-CN"/>
              </w:rPr>
            </w:pPr>
          </w:p>
        </w:tc>
        <w:tc>
          <w:tcPr>
            <w:tcW w:w="396" w:type="pct"/>
            <w:vAlign w:val="center"/>
          </w:tcPr>
          <w:p w14:paraId="11E10CB0">
            <w:pPr>
              <w:adjustRightInd w:val="0"/>
              <w:snapToGrid w:val="0"/>
              <w:ind w:left="-120" w:leftChars="-50" w:right="-120" w:rightChars="-50"/>
              <w:jc w:val="center"/>
              <w:rPr>
                <w:rFonts w:ascii="Times New Roman" w:hAnsi="Times New Roman" w:cs="Times New Roman"/>
                <w:bCs/>
                <w:color w:val="auto"/>
                <w:sz w:val="21"/>
                <w:lang w:eastAsia="zh-CN"/>
              </w:rPr>
            </w:pPr>
          </w:p>
        </w:tc>
      </w:tr>
      <w:tr w14:paraId="7408C4C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00" w:type="pct"/>
            <w:vMerge w:val="continue"/>
            <w:vAlign w:val="center"/>
          </w:tcPr>
          <w:p w14:paraId="702270F4">
            <w:pPr>
              <w:adjustRightInd w:val="0"/>
              <w:snapToGrid w:val="0"/>
              <w:ind w:left="-120" w:leftChars="-50" w:right="-120" w:rightChars="-50"/>
              <w:jc w:val="center"/>
              <w:rPr>
                <w:rFonts w:ascii="Times New Roman" w:hAnsi="Times New Roman" w:cs="Times New Roman"/>
                <w:bCs/>
                <w:color w:val="auto"/>
                <w:sz w:val="21"/>
                <w:lang w:eastAsia="zh-CN"/>
              </w:rPr>
            </w:pPr>
          </w:p>
        </w:tc>
        <w:tc>
          <w:tcPr>
            <w:tcW w:w="970" w:type="pct"/>
            <w:vAlign w:val="center"/>
          </w:tcPr>
          <w:p w14:paraId="74544543">
            <w:pPr>
              <w:adjustRightInd w:val="0"/>
              <w:snapToGrid w:val="0"/>
              <w:ind w:left="-120" w:leftChars="-50" w:right="-120" w:rightChars="-50"/>
              <w:jc w:val="center"/>
              <w:rPr>
                <w:rFonts w:ascii="Times New Roman" w:hAnsi="Times New Roman" w:cs="Times New Roman"/>
                <w:color w:val="auto"/>
                <w:kern w:val="2"/>
                <w:sz w:val="21"/>
                <w:lang w:eastAsia="zh-CN"/>
              </w:rPr>
            </w:pPr>
          </w:p>
        </w:tc>
        <w:tc>
          <w:tcPr>
            <w:tcW w:w="783" w:type="pct"/>
            <w:vAlign w:val="center"/>
          </w:tcPr>
          <w:p w14:paraId="5FF208A9">
            <w:pPr>
              <w:adjustRightInd w:val="0"/>
              <w:snapToGrid w:val="0"/>
              <w:ind w:left="-120" w:leftChars="-50" w:right="-120" w:rightChars="-50"/>
              <w:jc w:val="center"/>
              <w:rPr>
                <w:rFonts w:ascii="Times New Roman" w:hAnsi="Times New Roman" w:cs="Times New Roman"/>
                <w:color w:val="auto"/>
                <w:kern w:val="2"/>
                <w:sz w:val="21"/>
                <w:lang w:eastAsia="zh-CN"/>
              </w:rPr>
            </w:pPr>
          </w:p>
        </w:tc>
        <w:tc>
          <w:tcPr>
            <w:tcW w:w="502" w:type="pct"/>
            <w:vAlign w:val="center"/>
          </w:tcPr>
          <w:p w14:paraId="634315D5">
            <w:pPr>
              <w:adjustRightInd w:val="0"/>
              <w:snapToGrid w:val="0"/>
              <w:ind w:left="-120" w:leftChars="-50" w:right="-120" w:rightChars="-50"/>
              <w:jc w:val="center"/>
              <w:rPr>
                <w:rFonts w:ascii="Times New Roman" w:hAnsi="Times New Roman" w:cs="Times New Roman"/>
                <w:color w:val="auto"/>
                <w:kern w:val="2"/>
                <w:sz w:val="21"/>
                <w:lang w:eastAsia="zh-CN"/>
              </w:rPr>
            </w:pPr>
          </w:p>
        </w:tc>
        <w:tc>
          <w:tcPr>
            <w:tcW w:w="420" w:type="pct"/>
            <w:vAlign w:val="center"/>
          </w:tcPr>
          <w:p w14:paraId="1FA96F70">
            <w:pPr>
              <w:adjustRightInd w:val="0"/>
              <w:snapToGrid w:val="0"/>
              <w:ind w:left="-120" w:leftChars="-50" w:right="-120" w:rightChars="-50"/>
              <w:jc w:val="center"/>
              <w:rPr>
                <w:rFonts w:ascii="Times New Roman" w:hAnsi="Times New Roman" w:cs="Times New Roman"/>
                <w:color w:val="auto"/>
                <w:kern w:val="2"/>
                <w:sz w:val="21"/>
                <w:lang w:eastAsia="zh-CN"/>
              </w:rPr>
            </w:pPr>
          </w:p>
        </w:tc>
        <w:tc>
          <w:tcPr>
            <w:tcW w:w="638" w:type="pct"/>
            <w:vAlign w:val="center"/>
          </w:tcPr>
          <w:p w14:paraId="4224D41C">
            <w:pPr>
              <w:adjustRightInd w:val="0"/>
              <w:snapToGrid w:val="0"/>
              <w:ind w:left="-120" w:leftChars="-50" w:right="-120" w:rightChars="-50"/>
              <w:jc w:val="center"/>
              <w:rPr>
                <w:rFonts w:ascii="Times New Roman" w:hAnsi="Times New Roman" w:cs="Times New Roman"/>
                <w:color w:val="auto"/>
                <w:sz w:val="21"/>
                <w:lang w:val="zh-CN" w:eastAsia="zh-CN"/>
              </w:rPr>
            </w:pPr>
          </w:p>
        </w:tc>
        <w:tc>
          <w:tcPr>
            <w:tcW w:w="491" w:type="pct"/>
            <w:vAlign w:val="center"/>
          </w:tcPr>
          <w:p w14:paraId="19EA0766">
            <w:pPr>
              <w:adjustRightInd w:val="0"/>
              <w:snapToGrid w:val="0"/>
              <w:ind w:left="-120" w:leftChars="-50" w:right="-120" w:rightChars="-50"/>
              <w:jc w:val="center"/>
              <w:rPr>
                <w:rFonts w:ascii="Times New Roman" w:hAnsi="Times New Roman" w:cs="Times New Roman"/>
                <w:bCs/>
                <w:color w:val="auto"/>
                <w:sz w:val="21"/>
                <w:lang w:eastAsia="zh-CN"/>
              </w:rPr>
            </w:pPr>
          </w:p>
        </w:tc>
        <w:tc>
          <w:tcPr>
            <w:tcW w:w="396" w:type="pct"/>
            <w:vAlign w:val="center"/>
          </w:tcPr>
          <w:p w14:paraId="422A83A2">
            <w:pPr>
              <w:adjustRightInd w:val="0"/>
              <w:snapToGrid w:val="0"/>
              <w:ind w:left="-120" w:leftChars="-50" w:right="-120" w:rightChars="-50"/>
              <w:jc w:val="center"/>
              <w:rPr>
                <w:rFonts w:ascii="Times New Roman" w:hAnsi="Times New Roman" w:cs="Times New Roman"/>
                <w:bCs/>
                <w:color w:val="auto"/>
                <w:sz w:val="21"/>
                <w:lang w:eastAsia="zh-CN"/>
              </w:rPr>
            </w:pPr>
          </w:p>
        </w:tc>
      </w:tr>
    </w:tbl>
    <w:p w14:paraId="3BFC6435">
      <w:pPr>
        <w:pStyle w:val="70"/>
        <w:jc w:val="both"/>
        <w:rPr>
          <w:rFonts w:ascii="Times New Roman" w:hAnsi="Times New Roman" w:cs="Times New Roman"/>
          <w:color w:val="auto"/>
          <w:lang w:eastAsia="zh-CN"/>
        </w:rPr>
      </w:pPr>
      <w:r>
        <w:rPr>
          <w:rFonts w:ascii="Times New Roman" w:hAnsi="Times New Roman" w:cs="Times New Roman"/>
          <w:color w:val="auto"/>
          <w:lang w:eastAsia="zh-CN"/>
        </w:rPr>
        <w:t>根据建设方案，储罐物料储存充装系数为8</w:t>
      </w:r>
      <w:r>
        <w:rPr>
          <w:rFonts w:hint="eastAsia" w:ascii="Times New Roman" w:hAnsi="Times New Roman" w:cs="Times New Roman"/>
          <w:color w:val="auto"/>
          <w:lang w:eastAsia="zh-CN"/>
        </w:rPr>
        <w:t>5</w:t>
      </w:r>
      <w:r>
        <w:rPr>
          <w:rFonts w:ascii="Times New Roman" w:hAnsi="Times New Roman" w:cs="Times New Roman"/>
          <w:color w:val="auto"/>
          <w:lang w:eastAsia="zh-CN"/>
        </w:rPr>
        <w:t>%，主要有呼吸排放和工作排放，可参照中国石油化工系统经验计算公式估算排放量：</w:t>
      </w:r>
    </w:p>
    <w:p w14:paraId="5C9D15A7">
      <w:pPr>
        <w:spacing w:line="360" w:lineRule="auto"/>
        <w:ind w:firstLine="480" w:firstLineChars="200"/>
        <w:rPr>
          <w:rFonts w:ascii="Times New Roman" w:hAnsi="Times New Roman" w:cs="Times New Roman"/>
          <w:color w:val="auto"/>
          <w:lang w:eastAsia="zh-CN"/>
        </w:rPr>
      </w:pPr>
      <w:r>
        <w:rPr>
          <w:rFonts w:ascii="宋体" w:hAnsi="宋体" w:cs="Cambria Math"/>
          <w:color w:val="auto"/>
          <w:lang w:eastAsia="zh-CN"/>
        </w:rPr>
        <w:t>①</w:t>
      </w:r>
      <w:r>
        <w:rPr>
          <w:rFonts w:ascii="Times New Roman" w:hAnsi="Times New Roman" w:cs="Times New Roman"/>
          <w:color w:val="auto"/>
          <w:lang w:eastAsia="zh-CN"/>
        </w:rPr>
        <w:t>小呼吸排放量</w:t>
      </w:r>
    </w:p>
    <w:p w14:paraId="11547DB0">
      <w:pPr>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小呼吸排放是由于温度和大气压力的变化引起蒸气的膨胀和收缩而产生的蒸气排出，它出现在罐内液面无任何变化的情况，是非人为干扰的自然排放方式。</w:t>
      </w:r>
    </w:p>
    <w:p w14:paraId="7166907E">
      <w:pPr>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储罐的呼吸排放可用下式估算其污染物的排放量：</w:t>
      </w:r>
    </w:p>
    <w:p w14:paraId="06C21D86">
      <w:pPr>
        <w:spacing w:line="360" w:lineRule="auto"/>
        <w:ind w:firstLine="480" w:firstLineChars="200"/>
        <w:jc w:val="center"/>
        <w:rPr>
          <w:rFonts w:ascii="Times New Roman" w:hAnsi="Times New Roman" w:cs="Times New Roman"/>
          <w:color w:val="auto"/>
        </w:rPr>
      </w:pPr>
      <w:r>
        <w:rPr>
          <w:rFonts w:ascii="Times New Roman" w:hAnsi="Times New Roman" w:cs="Times New Roman"/>
          <w:color w:val="auto"/>
        </w:rPr>
        <w:t>L</w:t>
      </w:r>
      <w:r>
        <w:rPr>
          <w:rFonts w:ascii="Times New Roman" w:hAnsi="Times New Roman" w:cs="Times New Roman"/>
          <w:color w:val="auto"/>
          <w:vertAlign w:val="subscript"/>
        </w:rPr>
        <w:t>B</w:t>
      </w:r>
      <w:r>
        <w:rPr>
          <w:rFonts w:ascii="Times New Roman" w:hAnsi="Times New Roman" w:cs="Times New Roman"/>
          <w:color w:val="auto"/>
        </w:rPr>
        <w:t>=0.191×M [ P/(100910-P )]</w:t>
      </w:r>
      <w:r>
        <w:rPr>
          <w:rFonts w:ascii="Times New Roman" w:hAnsi="Times New Roman" w:cs="Times New Roman"/>
          <w:color w:val="auto"/>
          <w:vertAlign w:val="superscript"/>
        </w:rPr>
        <w:t>0.68</w:t>
      </w:r>
      <w:r>
        <w:rPr>
          <w:rFonts w:ascii="Times New Roman" w:hAnsi="Times New Roman" w:cs="Times New Roman"/>
          <w:color w:val="auto"/>
        </w:rPr>
        <w:t>×D</w:t>
      </w:r>
      <w:r>
        <w:rPr>
          <w:rFonts w:ascii="Times New Roman" w:hAnsi="Times New Roman" w:cs="Times New Roman"/>
          <w:color w:val="auto"/>
          <w:vertAlign w:val="superscript"/>
        </w:rPr>
        <w:t>1.73</w:t>
      </w:r>
      <w:r>
        <w:rPr>
          <w:rFonts w:ascii="Times New Roman" w:hAnsi="Times New Roman" w:cs="Times New Roman"/>
          <w:color w:val="auto"/>
        </w:rPr>
        <w:t>×H</w:t>
      </w:r>
      <w:r>
        <w:rPr>
          <w:rFonts w:ascii="Times New Roman" w:hAnsi="Times New Roman" w:cs="Times New Roman"/>
          <w:color w:val="auto"/>
          <w:vertAlign w:val="superscript"/>
        </w:rPr>
        <w:t>0.51</w:t>
      </w:r>
      <w:r>
        <w:rPr>
          <w:rFonts w:ascii="Times New Roman" w:hAnsi="Times New Roman" w:cs="Times New Roman"/>
          <w:color w:val="auto"/>
        </w:rPr>
        <w:t>×</w:t>
      </w:r>
      <w:r>
        <w:rPr>
          <w:rFonts w:ascii="Cambria Math" w:hAnsi="Cambria Math" w:cs="Cambria Math"/>
          <w:color w:val="auto"/>
        </w:rPr>
        <w:t>△</w:t>
      </w:r>
      <w:r>
        <w:rPr>
          <w:rFonts w:ascii="Times New Roman" w:hAnsi="Times New Roman" w:cs="Times New Roman"/>
          <w:color w:val="auto"/>
        </w:rPr>
        <w:t>T</w:t>
      </w:r>
      <w:r>
        <w:rPr>
          <w:rFonts w:ascii="Times New Roman" w:hAnsi="Times New Roman" w:cs="Times New Roman"/>
          <w:color w:val="auto"/>
          <w:vertAlign w:val="superscript"/>
        </w:rPr>
        <w:t>0.45</w:t>
      </w:r>
      <w:r>
        <w:rPr>
          <w:rFonts w:ascii="Times New Roman" w:hAnsi="Times New Roman" w:cs="Times New Roman"/>
          <w:color w:val="auto"/>
        </w:rPr>
        <w:t>×F</w:t>
      </w:r>
      <w:r>
        <w:rPr>
          <w:rFonts w:ascii="Times New Roman" w:hAnsi="Times New Roman" w:cs="Times New Roman"/>
          <w:color w:val="auto"/>
          <w:vertAlign w:val="subscript"/>
        </w:rPr>
        <w:t>P</w:t>
      </w:r>
      <w:r>
        <w:rPr>
          <w:rFonts w:ascii="Times New Roman" w:hAnsi="Times New Roman" w:cs="Times New Roman"/>
          <w:color w:val="auto"/>
        </w:rPr>
        <w:t>×C×K</w:t>
      </w:r>
      <w:r>
        <w:rPr>
          <w:rFonts w:ascii="Times New Roman" w:hAnsi="Times New Roman" w:cs="Times New Roman"/>
          <w:color w:val="auto"/>
          <w:vertAlign w:val="subscript"/>
        </w:rPr>
        <w:t>C</w:t>
      </w:r>
    </w:p>
    <w:p w14:paraId="5FF358F2">
      <w:pPr>
        <w:pStyle w:val="70"/>
        <w:rPr>
          <w:rFonts w:ascii="Times New Roman" w:hAnsi="Times New Roman" w:cs="Times New Roman"/>
          <w:color w:val="auto"/>
          <w:lang w:eastAsia="zh-CN"/>
        </w:rPr>
      </w:pPr>
      <w:r>
        <w:rPr>
          <w:rFonts w:ascii="Times New Roman" w:hAnsi="Times New Roman" w:cs="Times New Roman"/>
          <w:color w:val="auto"/>
          <w:lang w:eastAsia="zh-CN"/>
        </w:rPr>
        <w:t>式中：L</w:t>
      </w:r>
      <w:r>
        <w:rPr>
          <w:rFonts w:ascii="Times New Roman" w:hAnsi="Times New Roman" w:cs="Times New Roman"/>
          <w:color w:val="auto"/>
          <w:vertAlign w:val="subscript"/>
          <w:lang w:eastAsia="zh-CN"/>
        </w:rPr>
        <w:t>B</w:t>
      </w:r>
      <w:r>
        <w:rPr>
          <w:rFonts w:ascii="Times New Roman" w:hAnsi="Times New Roman" w:cs="Times New Roman"/>
          <w:color w:val="auto"/>
          <w:lang w:eastAsia="zh-CN"/>
        </w:rPr>
        <w:t>——储罐的呼吸排放量（kg/a）；</w:t>
      </w:r>
    </w:p>
    <w:p w14:paraId="15A82FC2">
      <w:pPr>
        <w:spacing w:line="360" w:lineRule="auto"/>
        <w:ind w:firstLine="1200" w:firstLineChars="500"/>
        <w:rPr>
          <w:rFonts w:ascii="Times New Roman" w:hAnsi="Times New Roman" w:cs="Times New Roman"/>
          <w:color w:val="auto"/>
          <w:lang w:eastAsia="zh-CN"/>
        </w:rPr>
      </w:pPr>
      <w:r>
        <w:rPr>
          <w:rFonts w:ascii="Times New Roman" w:hAnsi="Times New Roman" w:cs="Times New Roman"/>
          <w:color w:val="auto"/>
          <w:lang w:eastAsia="zh-CN"/>
        </w:rPr>
        <w:t>M——储罐内蒸气的分子量；</w:t>
      </w:r>
    </w:p>
    <w:p w14:paraId="703CD1E8">
      <w:pPr>
        <w:spacing w:line="360" w:lineRule="auto"/>
        <w:ind w:firstLine="1200" w:firstLineChars="500"/>
        <w:rPr>
          <w:rFonts w:ascii="Times New Roman" w:hAnsi="Times New Roman" w:cs="Times New Roman"/>
          <w:color w:val="auto"/>
          <w:lang w:eastAsia="zh-CN"/>
        </w:rPr>
      </w:pPr>
      <w:r>
        <w:rPr>
          <w:rFonts w:ascii="Times New Roman" w:hAnsi="Times New Roman" w:cs="Times New Roman"/>
          <w:color w:val="auto"/>
          <w:lang w:eastAsia="zh-CN"/>
        </w:rPr>
        <w:t>P——在大量液体状态下，真实的蒸气压力（Pa）；</w:t>
      </w:r>
    </w:p>
    <w:p w14:paraId="684DA678">
      <w:pPr>
        <w:spacing w:line="360" w:lineRule="auto"/>
        <w:ind w:firstLine="1200" w:firstLineChars="500"/>
        <w:rPr>
          <w:rFonts w:ascii="Times New Roman" w:hAnsi="Times New Roman" w:cs="Times New Roman"/>
          <w:color w:val="auto"/>
          <w:lang w:eastAsia="zh-CN"/>
        </w:rPr>
      </w:pPr>
      <w:r>
        <w:rPr>
          <w:rFonts w:ascii="Times New Roman" w:hAnsi="Times New Roman" w:cs="Times New Roman"/>
          <w:color w:val="auto"/>
          <w:lang w:eastAsia="zh-CN"/>
        </w:rPr>
        <w:t>D——罐的直径（m）；</w:t>
      </w:r>
    </w:p>
    <w:p w14:paraId="05F826BC">
      <w:pPr>
        <w:spacing w:line="360" w:lineRule="auto"/>
        <w:ind w:firstLine="1200" w:firstLineChars="500"/>
        <w:rPr>
          <w:rFonts w:ascii="Times New Roman" w:hAnsi="Times New Roman" w:cs="Times New Roman"/>
          <w:color w:val="auto"/>
          <w:lang w:eastAsia="zh-CN"/>
        </w:rPr>
      </w:pPr>
      <w:r>
        <w:rPr>
          <w:rFonts w:ascii="Times New Roman" w:hAnsi="Times New Roman" w:cs="Times New Roman"/>
          <w:color w:val="auto"/>
          <w:lang w:eastAsia="zh-CN"/>
        </w:rPr>
        <w:t>H——平均蒸气空间高度（m）；</w:t>
      </w:r>
    </w:p>
    <w:p w14:paraId="1BF2A54F">
      <w:pPr>
        <w:spacing w:line="360" w:lineRule="auto"/>
        <w:ind w:firstLine="1200" w:firstLineChars="500"/>
        <w:rPr>
          <w:rFonts w:ascii="Times New Roman" w:hAnsi="Times New Roman" w:cs="Times New Roman"/>
          <w:color w:val="auto"/>
          <w:lang w:eastAsia="zh-CN"/>
        </w:rPr>
      </w:pPr>
      <w:r>
        <w:rPr>
          <w:rFonts w:ascii="Cambria Math" w:hAnsi="Cambria Math" w:cs="Cambria Math"/>
          <w:color w:val="auto"/>
          <w:lang w:eastAsia="zh-CN"/>
        </w:rPr>
        <w:t>△</w:t>
      </w:r>
      <w:r>
        <w:rPr>
          <w:rFonts w:ascii="Times New Roman" w:hAnsi="Times New Roman" w:cs="Times New Roman"/>
          <w:color w:val="auto"/>
          <w:lang w:eastAsia="zh-CN"/>
        </w:rPr>
        <w:t>T——一天之内的平均温度差（℃）；</w:t>
      </w:r>
    </w:p>
    <w:p w14:paraId="46BC8537">
      <w:pPr>
        <w:spacing w:line="360" w:lineRule="auto"/>
        <w:ind w:firstLine="1200" w:firstLineChars="500"/>
        <w:rPr>
          <w:rFonts w:ascii="Times New Roman" w:hAnsi="Times New Roman" w:cs="Times New Roman"/>
          <w:color w:val="auto"/>
          <w:lang w:eastAsia="zh-CN"/>
        </w:rPr>
      </w:pPr>
      <w:r>
        <w:rPr>
          <w:rFonts w:ascii="Times New Roman" w:hAnsi="Times New Roman" w:cs="Times New Roman"/>
          <w:color w:val="auto"/>
          <w:lang w:eastAsia="zh-CN"/>
        </w:rPr>
        <w:t>F</w:t>
      </w:r>
      <w:r>
        <w:rPr>
          <w:rFonts w:ascii="Times New Roman" w:hAnsi="Times New Roman" w:cs="Times New Roman"/>
          <w:color w:val="auto"/>
          <w:vertAlign w:val="subscript"/>
          <w:lang w:eastAsia="zh-CN"/>
        </w:rPr>
        <w:t>P</w:t>
      </w:r>
      <w:r>
        <w:rPr>
          <w:rFonts w:ascii="Times New Roman" w:hAnsi="Times New Roman" w:cs="Times New Roman"/>
          <w:color w:val="auto"/>
          <w:lang w:eastAsia="zh-CN"/>
        </w:rPr>
        <w:t>——涂层因子（无量纲），根据状况取值在1~1.5之间；</w:t>
      </w:r>
    </w:p>
    <w:p w14:paraId="494F6DB1">
      <w:pPr>
        <w:spacing w:line="360" w:lineRule="auto"/>
        <w:ind w:firstLine="1200" w:firstLineChars="500"/>
        <w:rPr>
          <w:rFonts w:ascii="Times New Roman" w:hAnsi="Times New Roman" w:cs="Times New Roman"/>
          <w:color w:val="auto"/>
          <w:lang w:eastAsia="zh-CN"/>
        </w:rPr>
      </w:pPr>
      <w:r>
        <w:rPr>
          <w:rFonts w:ascii="Times New Roman" w:hAnsi="Times New Roman" w:cs="Times New Roman"/>
          <w:color w:val="auto"/>
          <w:lang w:eastAsia="zh-CN"/>
        </w:rPr>
        <w:t>C——用于小直径罐的调节因子（无量纲）；直径在0~9m之间的罐体，C=1-0.0123（D-9）</w:t>
      </w:r>
      <w:r>
        <w:rPr>
          <w:rFonts w:ascii="Times New Roman" w:hAnsi="Times New Roman" w:cs="Times New Roman"/>
          <w:color w:val="auto"/>
          <w:vertAlign w:val="superscript"/>
          <w:lang w:eastAsia="zh-CN"/>
        </w:rPr>
        <w:t>2</w:t>
      </w:r>
      <w:r>
        <w:rPr>
          <w:rFonts w:ascii="Times New Roman" w:hAnsi="Times New Roman" w:cs="Times New Roman"/>
          <w:color w:val="auto"/>
          <w:lang w:eastAsia="zh-CN"/>
        </w:rPr>
        <w:t>；罐径大于9m的C=1；</w:t>
      </w:r>
    </w:p>
    <w:p w14:paraId="072FE98F">
      <w:pPr>
        <w:spacing w:line="360" w:lineRule="auto"/>
        <w:ind w:firstLine="1200" w:firstLineChars="500"/>
        <w:rPr>
          <w:rFonts w:ascii="Times New Roman" w:hAnsi="Times New Roman" w:cs="Times New Roman"/>
          <w:color w:val="auto"/>
          <w:lang w:eastAsia="zh-CN"/>
        </w:rPr>
      </w:pPr>
      <w:r>
        <w:rPr>
          <w:rFonts w:ascii="Times New Roman" w:hAnsi="Times New Roman" w:cs="Times New Roman"/>
          <w:color w:val="auto"/>
          <w:lang w:eastAsia="zh-CN"/>
        </w:rPr>
        <w:t>K</w:t>
      </w:r>
      <w:r>
        <w:rPr>
          <w:rFonts w:ascii="Times New Roman" w:hAnsi="Times New Roman" w:cs="Times New Roman"/>
          <w:color w:val="auto"/>
          <w:vertAlign w:val="subscript"/>
          <w:lang w:eastAsia="zh-CN"/>
        </w:rPr>
        <w:t>C</w:t>
      </w:r>
      <w:r>
        <w:rPr>
          <w:rFonts w:ascii="Times New Roman" w:hAnsi="Times New Roman" w:cs="Times New Roman"/>
          <w:color w:val="auto"/>
          <w:lang w:eastAsia="zh-CN"/>
        </w:rPr>
        <w:t>——产品因子（石油原油K</w:t>
      </w:r>
      <w:r>
        <w:rPr>
          <w:rFonts w:ascii="Times New Roman" w:hAnsi="Times New Roman" w:cs="Times New Roman"/>
          <w:color w:val="auto"/>
          <w:vertAlign w:val="subscript"/>
          <w:lang w:eastAsia="zh-CN"/>
        </w:rPr>
        <w:t>C</w:t>
      </w:r>
      <w:r>
        <w:rPr>
          <w:rFonts w:ascii="Times New Roman" w:hAnsi="Times New Roman" w:cs="Times New Roman"/>
          <w:color w:val="auto"/>
          <w:lang w:eastAsia="zh-CN"/>
        </w:rPr>
        <w:t>取0.65，其他的有机液体取1.0）。</w:t>
      </w:r>
    </w:p>
    <w:p w14:paraId="541FC6A6">
      <w:pPr>
        <w:pStyle w:val="70"/>
        <w:ind w:firstLine="0" w:firstLineChars="0"/>
        <w:jc w:val="center"/>
        <w:rPr>
          <w:rFonts w:ascii="Times New Roman" w:hAnsi="Times New Roman" w:cs="Times New Roman"/>
          <w:color w:val="auto"/>
          <w:lang w:eastAsia="zh-CN"/>
        </w:rPr>
      </w:pPr>
      <w:r>
        <w:rPr>
          <w:rFonts w:ascii="Times New Roman" w:hAnsi="Times New Roman" w:cs="Times New Roman"/>
          <w:b/>
          <w:bCs/>
          <w:color w:val="auto"/>
          <w:lang w:eastAsia="zh-CN"/>
        </w:rPr>
        <w:t>表4.3-2 项目固定顶罐废气排放计算参数取值一览表</w:t>
      </w:r>
    </w:p>
    <w:tbl>
      <w:tblPr>
        <w:tblStyle w:val="35"/>
        <w:tblW w:w="5211"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994"/>
        <w:gridCol w:w="1432"/>
        <w:gridCol w:w="1536"/>
        <w:gridCol w:w="800"/>
        <w:gridCol w:w="869"/>
        <w:gridCol w:w="804"/>
        <w:gridCol w:w="819"/>
        <w:gridCol w:w="926"/>
        <w:gridCol w:w="693"/>
        <w:gridCol w:w="685"/>
        <w:gridCol w:w="599"/>
      </w:tblGrid>
      <w:tr w14:paraId="6AD08FB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89" w:type="pct"/>
            <w:vAlign w:val="center"/>
          </w:tcPr>
          <w:p w14:paraId="6214B4E1">
            <w:pPr>
              <w:ind w:left="-120" w:leftChars="-50" w:right="-120" w:rightChars="-50"/>
              <w:jc w:val="center"/>
              <w:rPr>
                <w:rFonts w:ascii="Times New Roman" w:hAnsi="Times New Roman" w:cs="Times New Roman"/>
                <w:b/>
                <w:color w:val="auto"/>
                <w:sz w:val="21"/>
              </w:rPr>
            </w:pPr>
            <w:r>
              <w:rPr>
                <w:rFonts w:ascii="Times New Roman" w:hAnsi="Times New Roman" w:cs="Times New Roman"/>
                <w:b/>
                <w:color w:val="auto"/>
                <w:sz w:val="21"/>
              </w:rPr>
              <w:t>位置</w:t>
            </w:r>
          </w:p>
        </w:tc>
        <w:tc>
          <w:tcPr>
            <w:tcW w:w="705" w:type="pct"/>
            <w:vAlign w:val="center"/>
          </w:tcPr>
          <w:p w14:paraId="4F6C0F21">
            <w:pPr>
              <w:ind w:left="-120" w:leftChars="-50" w:right="-120" w:rightChars="-50"/>
              <w:jc w:val="center"/>
              <w:rPr>
                <w:rFonts w:ascii="Times New Roman" w:hAnsi="Times New Roman" w:cs="Times New Roman"/>
                <w:b/>
                <w:color w:val="auto"/>
                <w:sz w:val="21"/>
              </w:rPr>
            </w:pPr>
            <w:r>
              <w:rPr>
                <w:rFonts w:ascii="Times New Roman" w:hAnsi="Times New Roman" w:cs="Times New Roman"/>
                <w:b/>
                <w:color w:val="auto"/>
                <w:sz w:val="21"/>
              </w:rPr>
              <w:t>储罐/槽名称</w:t>
            </w:r>
          </w:p>
        </w:tc>
        <w:tc>
          <w:tcPr>
            <w:tcW w:w="756" w:type="pct"/>
            <w:vAlign w:val="center"/>
          </w:tcPr>
          <w:p w14:paraId="7F8D3455">
            <w:pPr>
              <w:ind w:left="-120" w:leftChars="-50" w:right="-120" w:rightChars="-50"/>
              <w:jc w:val="center"/>
              <w:rPr>
                <w:rFonts w:ascii="Times New Roman" w:hAnsi="Times New Roman" w:cs="Times New Roman"/>
                <w:b/>
                <w:color w:val="auto"/>
                <w:sz w:val="21"/>
              </w:rPr>
            </w:pPr>
            <w:r>
              <w:rPr>
                <w:rFonts w:ascii="Times New Roman" w:hAnsi="Times New Roman" w:cs="Times New Roman"/>
                <w:b/>
                <w:color w:val="auto"/>
                <w:sz w:val="21"/>
              </w:rPr>
              <w:t>储存物质</w:t>
            </w:r>
          </w:p>
        </w:tc>
        <w:tc>
          <w:tcPr>
            <w:tcW w:w="394" w:type="pct"/>
            <w:vAlign w:val="center"/>
          </w:tcPr>
          <w:p w14:paraId="671DAECB">
            <w:pPr>
              <w:jc w:val="center"/>
              <w:textAlignment w:val="center"/>
              <w:rPr>
                <w:rFonts w:ascii="Times New Roman" w:hAnsi="Times New Roman" w:cs="Times New Roman"/>
                <w:color w:val="auto"/>
                <w:sz w:val="21"/>
              </w:rPr>
            </w:pPr>
            <w:r>
              <w:rPr>
                <w:rFonts w:ascii="Times New Roman" w:hAnsi="Times New Roman" w:cs="Times New Roman"/>
                <w:b/>
                <w:bCs/>
                <w:color w:val="auto"/>
                <w:sz w:val="21"/>
                <w:lang w:eastAsia="zh-CN" w:bidi="ar"/>
              </w:rPr>
              <w:t>M</w:t>
            </w:r>
          </w:p>
        </w:tc>
        <w:tc>
          <w:tcPr>
            <w:tcW w:w="428" w:type="pct"/>
            <w:vAlign w:val="center"/>
          </w:tcPr>
          <w:p w14:paraId="78C77CC8">
            <w:pPr>
              <w:jc w:val="center"/>
              <w:textAlignment w:val="center"/>
              <w:rPr>
                <w:rFonts w:ascii="Times New Roman" w:hAnsi="Times New Roman" w:cs="Times New Roman"/>
                <w:color w:val="auto"/>
                <w:sz w:val="21"/>
              </w:rPr>
            </w:pPr>
            <w:r>
              <w:rPr>
                <w:rFonts w:ascii="Times New Roman" w:hAnsi="Times New Roman" w:cs="Times New Roman"/>
                <w:b/>
                <w:bCs/>
                <w:color w:val="auto"/>
                <w:sz w:val="21"/>
                <w:lang w:eastAsia="zh-CN" w:bidi="ar"/>
              </w:rPr>
              <w:t>P(kPa)</w:t>
            </w:r>
          </w:p>
        </w:tc>
        <w:tc>
          <w:tcPr>
            <w:tcW w:w="396" w:type="pct"/>
            <w:vAlign w:val="center"/>
          </w:tcPr>
          <w:p w14:paraId="180AF919">
            <w:pPr>
              <w:jc w:val="center"/>
              <w:textAlignment w:val="center"/>
              <w:rPr>
                <w:rFonts w:ascii="Times New Roman" w:hAnsi="Times New Roman" w:cs="Times New Roman"/>
                <w:color w:val="auto"/>
                <w:sz w:val="21"/>
              </w:rPr>
            </w:pPr>
            <w:r>
              <w:rPr>
                <w:rFonts w:ascii="Times New Roman" w:hAnsi="Times New Roman" w:cs="Times New Roman"/>
                <w:b/>
                <w:bCs/>
                <w:color w:val="auto"/>
                <w:sz w:val="21"/>
                <w:lang w:eastAsia="zh-CN" w:bidi="ar"/>
              </w:rPr>
              <w:t>D(m)</w:t>
            </w:r>
          </w:p>
        </w:tc>
        <w:tc>
          <w:tcPr>
            <w:tcW w:w="403" w:type="pct"/>
            <w:vAlign w:val="center"/>
          </w:tcPr>
          <w:p w14:paraId="7802F20B">
            <w:pPr>
              <w:jc w:val="center"/>
              <w:textAlignment w:val="center"/>
              <w:rPr>
                <w:rFonts w:ascii="Times New Roman" w:hAnsi="Times New Roman" w:cs="Times New Roman"/>
                <w:color w:val="auto"/>
                <w:sz w:val="21"/>
                <w:lang w:eastAsia="zh-CN"/>
              </w:rPr>
            </w:pPr>
            <w:r>
              <w:rPr>
                <w:rFonts w:ascii="Times New Roman" w:hAnsi="Times New Roman" w:cs="Times New Roman"/>
                <w:b/>
                <w:bCs/>
                <w:color w:val="auto"/>
                <w:sz w:val="21"/>
                <w:lang w:eastAsia="zh-CN" w:bidi="ar"/>
              </w:rPr>
              <w:t>H(m)</w:t>
            </w:r>
          </w:p>
        </w:tc>
        <w:tc>
          <w:tcPr>
            <w:tcW w:w="456" w:type="pct"/>
            <w:vAlign w:val="center"/>
          </w:tcPr>
          <w:p w14:paraId="240C9884">
            <w:pPr>
              <w:jc w:val="center"/>
              <w:textAlignment w:val="center"/>
              <w:rPr>
                <w:rFonts w:ascii="Times New Roman" w:hAnsi="Times New Roman" w:cs="Times New Roman"/>
                <w:color w:val="auto"/>
                <w:sz w:val="21"/>
                <w:lang w:eastAsia="zh-CN"/>
              </w:rPr>
            </w:pPr>
            <w:r>
              <w:rPr>
                <w:rFonts w:ascii="Cambria Math" w:hAnsi="Cambria Math" w:cs="Cambria Math"/>
                <w:b/>
                <w:bCs/>
                <w:color w:val="auto"/>
                <w:sz w:val="21"/>
                <w:lang w:eastAsia="zh-CN" w:bidi="ar"/>
              </w:rPr>
              <w:t>△</w:t>
            </w:r>
            <w:r>
              <w:rPr>
                <w:rFonts w:ascii="Times New Roman" w:hAnsi="Times New Roman" w:cs="Times New Roman"/>
                <w:b/>
                <w:bCs/>
                <w:color w:val="auto"/>
                <w:sz w:val="21"/>
                <w:lang w:eastAsia="zh-CN" w:bidi="ar"/>
              </w:rPr>
              <w:t>T(℃)</w:t>
            </w:r>
          </w:p>
        </w:tc>
        <w:tc>
          <w:tcPr>
            <w:tcW w:w="341" w:type="pct"/>
            <w:vAlign w:val="center"/>
          </w:tcPr>
          <w:p w14:paraId="1243D7FF">
            <w:pPr>
              <w:jc w:val="center"/>
              <w:textAlignment w:val="center"/>
              <w:rPr>
                <w:rFonts w:ascii="Times New Roman" w:hAnsi="Times New Roman" w:cs="Times New Roman"/>
                <w:color w:val="auto"/>
                <w:sz w:val="22"/>
                <w:szCs w:val="22"/>
                <w:lang w:eastAsia="zh-CN"/>
              </w:rPr>
            </w:pPr>
            <w:r>
              <w:rPr>
                <w:rFonts w:ascii="Times New Roman" w:hAnsi="Times New Roman" w:cs="Times New Roman"/>
                <w:b/>
                <w:bCs/>
                <w:color w:val="auto"/>
                <w:sz w:val="21"/>
                <w:lang w:eastAsia="zh-CN" w:bidi="ar"/>
              </w:rPr>
              <w:t>F</w:t>
            </w:r>
            <w:r>
              <w:rPr>
                <w:rFonts w:ascii="Times New Roman" w:hAnsi="Times New Roman" w:cs="Times New Roman"/>
                <w:b/>
                <w:bCs/>
                <w:color w:val="auto"/>
                <w:sz w:val="21"/>
                <w:vertAlign w:val="subscript"/>
                <w:lang w:eastAsia="zh-CN" w:bidi="ar"/>
              </w:rPr>
              <w:t>P</w:t>
            </w:r>
          </w:p>
        </w:tc>
        <w:tc>
          <w:tcPr>
            <w:tcW w:w="337" w:type="pct"/>
            <w:vAlign w:val="center"/>
          </w:tcPr>
          <w:p w14:paraId="4FC21585">
            <w:pPr>
              <w:jc w:val="center"/>
              <w:textAlignment w:val="center"/>
              <w:rPr>
                <w:rFonts w:ascii="Times New Roman" w:hAnsi="Times New Roman" w:cs="Times New Roman"/>
                <w:color w:val="auto"/>
                <w:sz w:val="22"/>
                <w:szCs w:val="22"/>
                <w:lang w:eastAsia="zh-CN"/>
              </w:rPr>
            </w:pPr>
            <w:r>
              <w:rPr>
                <w:rFonts w:ascii="Times New Roman" w:hAnsi="Times New Roman" w:cs="Times New Roman"/>
                <w:b/>
                <w:bCs/>
                <w:color w:val="auto"/>
                <w:sz w:val="21"/>
                <w:lang w:eastAsia="zh-CN" w:bidi="ar"/>
              </w:rPr>
              <w:t>C</w:t>
            </w:r>
          </w:p>
        </w:tc>
        <w:tc>
          <w:tcPr>
            <w:tcW w:w="295" w:type="pct"/>
            <w:vAlign w:val="center"/>
          </w:tcPr>
          <w:p w14:paraId="63C07EE2">
            <w:pPr>
              <w:jc w:val="center"/>
              <w:textAlignment w:val="center"/>
              <w:rPr>
                <w:rFonts w:ascii="Times New Roman" w:hAnsi="Times New Roman" w:cs="Times New Roman"/>
                <w:color w:val="auto"/>
                <w:sz w:val="22"/>
                <w:szCs w:val="22"/>
                <w:lang w:eastAsia="zh-CN"/>
              </w:rPr>
            </w:pPr>
            <w:r>
              <w:rPr>
                <w:rFonts w:ascii="Times New Roman" w:hAnsi="Times New Roman" w:cs="Times New Roman"/>
                <w:b/>
                <w:bCs/>
                <w:color w:val="auto"/>
                <w:sz w:val="21"/>
                <w:lang w:eastAsia="zh-CN" w:bidi="ar"/>
              </w:rPr>
              <w:t>K</w:t>
            </w:r>
            <w:r>
              <w:rPr>
                <w:rFonts w:ascii="Times New Roman" w:hAnsi="Times New Roman" w:cs="Times New Roman"/>
                <w:b/>
                <w:bCs/>
                <w:color w:val="auto"/>
                <w:sz w:val="21"/>
                <w:vertAlign w:val="subscript"/>
                <w:lang w:eastAsia="zh-CN" w:bidi="ar"/>
              </w:rPr>
              <w:t>C</w:t>
            </w:r>
          </w:p>
        </w:tc>
      </w:tr>
      <w:tr w14:paraId="2856B71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89" w:type="pct"/>
            <w:vAlign w:val="center"/>
          </w:tcPr>
          <w:p w14:paraId="5E259992">
            <w:pPr>
              <w:ind w:left="-120" w:leftChars="-50" w:right="-120" w:rightChars="-50"/>
              <w:jc w:val="center"/>
              <w:rPr>
                <w:rFonts w:ascii="Times New Roman" w:hAnsi="Times New Roman" w:cs="Times New Roman"/>
                <w:bCs/>
                <w:color w:val="auto"/>
                <w:sz w:val="21"/>
              </w:rPr>
            </w:pPr>
            <w:r>
              <w:rPr>
                <w:rFonts w:ascii="Times New Roman" w:hAnsi="Times New Roman" w:cs="Times New Roman"/>
                <w:color w:val="000000" w:themeColor="text1"/>
                <w:sz w:val="21"/>
                <w14:textFill>
                  <w14:solidFill>
                    <w14:schemeClr w14:val="tx1"/>
                  </w14:solidFill>
                </w14:textFill>
              </w:rPr>
              <w:t>无水氟化氢</w:t>
            </w:r>
            <w:r>
              <w:rPr>
                <w:rFonts w:ascii="Times New Roman" w:hAnsi="Times New Roman" w:cs="Times New Roman"/>
                <w:color w:val="000000" w:themeColor="text1"/>
                <w:sz w:val="21"/>
                <w:lang w:eastAsia="zh-CN"/>
                <w14:textFill>
                  <w14:solidFill>
                    <w14:schemeClr w14:val="tx1"/>
                  </w14:solidFill>
                </w14:textFill>
              </w:rPr>
              <w:t>库房</w:t>
            </w:r>
          </w:p>
        </w:tc>
        <w:tc>
          <w:tcPr>
            <w:tcW w:w="705" w:type="pct"/>
            <w:vAlign w:val="center"/>
          </w:tcPr>
          <w:p w14:paraId="63816442">
            <w:pPr>
              <w:ind w:left="-120" w:leftChars="-50" w:right="-120" w:rightChars="-50"/>
              <w:jc w:val="center"/>
              <w:rPr>
                <w:rFonts w:ascii="Times New Roman" w:hAnsi="Times New Roman" w:cs="Times New Roman"/>
                <w:bCs/>
                <w:color w:val="auto"/>
                <w:sz w:val="21"/>
              </w:rPr>
            </w:pPr>
            <w:r>
              <w:rPr>
                <w:rFonts w:ascii="Times New Roman" w:hAnsi="Times New Roman" w:cs="Times New Roman"/>
                <w:color w:val="000000" w:themeColor="text1"/>
                <w:sz w:val="21"/>
                <w14:textFill>
                  <w14:solidFill>
                    <w14:schemeClr w14:val="tx1"/>
                  </w14:solidFill>
                </w14:textFill>
              </w:rPr>
              <w:t>无水氟化氢储罐</w:t>
            </w:r>
          </w:p>
        </w:tc>
        <w:tc>
          <w:tcPr>
            <w:tcW w:w="756" w:type="pct"/>
            <w:vAlign w:val="center"/>
          </w:tcPr>
          <w:p w14:paraId="75F0193B">
            <w:pPr>
              <w:ind w:left="-120" w:leftChars="-50" w:right="-120" w:rightChars="-50"/>
              <w:jc w:val="center"/>
              <w:rPr>
                <w:rFonts w:ascii="Times New Roman" w:hAnsi="Times New Roman" w:cs="Times New Roman"/>
                <w:bCs/>
                <w:color w:val="auto"/>
                <w:sz w:val="21"/>
              </w:rPr>
            </w:pPr>
          </w:p>
        </w:tc>
        <w:tc>
          <w:tcPr>
            <w:tcW w:w="394" w:type="pct"/>
            <w:vAlign w:val="center"/>
          </w:tcPr>
          <w:p w14:paraId="1704E3CC">
            <w:pPr>
              <w:jc w:val="center"/>
              <w:textAlignment w:val="center"/>
              <w:rPr>
                <w:rFonts w:ascii="Times New Roman" w:hAnsi="Times New Roman" w:cs="Times New Roman"/>
                <w:bCs/>
                <w:color w:val="auto"/>
                <w:sz w:val="21"/>
                <w:lang w:eastAsia="zh-CN" w:bidi="ar"/>
              </w:rPr>
            </w:pPr>
          </w:p>
        </w:tc>
        <w:tc>
          <w:tcPr>
            <w:tcW w:w="428" w:type="pct"/>
            <w:vAlign w:val="center"/>
          </w:tcPr>
          <w:p w14:paraId="31A3CA39">
            <w:pPr>
              <w:jc w:val="center"/>
              <w:textAlignment w:val="center"/>
              <w:rPr>
                <w:rFonts w:ascii="Times New Roman" w:hAnsi="Times New Roman" w:cs="Times New Roman"/>
                <w:bCs/>
                <w:color w:val="auto"/>
                <w:sz w:val="21"/>
                <w:lang w:eastAsia="zh-CN" w:bidi="ar"/>
              </w:rPr>
            </w:pPr>
          </w:p>
        </w:tc>
        <w:tc>
          <w:tcPr>
            <w:tcW w:w="396" w:type="pct"/>
            <w:vAlign w:val="center"/>
          </w:tcPr>
          <w:p w14:paraId="7391C0A0">
            <w:pPr>
              <w:jc w:val="center"/>
              <w:textAlignment w:val="center"/>
              <w:rPr>
                <w:rFonts w:ascii="Times New Roman" w:hAnsi="Times New Roman" w:cs="Times New Roman"/>
                <w:bCs/>
                <w:color w:val="auto"/>
                <w:sz w:val="21"/>
                <w:lang w:eastAsia="zh-CN" w:bidi="ar"/>
              </w:rPr>
            </w:pPr>
          </w:p>
        </w:tc>
        <w:tc>
          <w:tcPr>
            <w:tcW w:w="403" w:type="pct"/>
            <w:vAlign w:val="center"/>
          </w:tcPr>
          <w:p w14:paraId="3997A4C0">
            <w:pPr>
              <w:jc w:val="center"/>
              <w:textAlignment w:val="center"/>
              <w:rPr>
                <w:rFonts w:ascii="Times New Roman" w:hAnsi="Times New Roman" w:cs="Times New Roman"/>
                <w:bCs/>
                <w:color w:val="auto"/>
                <w:sz w:val="21"/>
                <w:lang w:eastAsia="zh-CN" w:bidi="ar"/>
              </w:rPr>
            </w:pPr>
          </w:p>
        </w:tc>
        <w:tc>
          <w:tcPr>
            <w:tcW w:w="456" w:type="pct"/>
            <w:vAlign w:val="center"/>
          </w:tcPr>
          <w:p w14:paraId="09981F83">
            <w:pPr>
              <w:jc w:val="center"/>
              <w:textAlignment w:val="center"/>
              <w:rPr>
                <w:rFonts w:ascii="Times New Roman" w:hAnsi="Times New Roman" w:cs="Times New Roman"/>
                <w:bCs/>
                <w:color w:val="auto"/>
                <w:sz w:val="21"/>
                <w:lang w:eastAsia="zh-CN" w:bidi="ar"/>
              </w:rPr>
            </w:pPr>
          </w:p>
        </w:tc>
        <w:tc>
          <w:tcPr>
            <w:tcW w:w="341" w:type="pct"/>
            <w:vAlign w:val="center"/>
          </w:tcPr>
          <w:p w14:paraId="2BFD9C30">
            <w:pPr>
              <w:jc w:val="center"/>
              <w:textAlignment w:val="center"/>
              <w:rPr>
                <w:rFonts w:ascii="Times New Roman" w:hAnsi="Times New Roman" w:cs="Times New Roman"/>
                <w:bCs/>
                <w:color w:val="auto"/>
                <w:sz w:val="21"/>
                <w:lang w:eastAsia="zh-CN" w:bidi="ar"/>
              </w:rPr>
            </w:pPr>
          </w:p>
        </w:tc>
        <w:tc>
          <w:tcPr>
            <w:tcW w:w="337" w:type="pct"/>
            <w:vAlign w:val="center"/>
          </w:tcPr>
          <w:p w14:paraId="3B5DAEBC">
            <w:pPr>
              <w:jc w:val="center"/>
              <w:textAlignment w:val="center"/>
              <w:rPr>
                <w:rFonts w:ascii="Times New Roman" w:hAnsi="Times New Roman" w:cs="Times New Roman"/>
                <w:bCs/>
                <w:color w:val="auto"/>
                <w:sz w:val="21"/>
                <w:lang w:eastAsia="zh-CN" w:bidi="ar"/>
              </w:rPr>
            </w:pPr>
          </w:p>
        </w:tc>
        <w:tc>
          <w:tcPr>
            <w:tcW w:w="295" w:type="pct"/>
            <w:vAlign w:val="center"/>
          </w:tcPr>
          <w:p w14:paraId="14053F36">
            <w:pPr>
              <w:jc w:val="center"/>
              <w:textAlignment w:val="center"/>
              <w:rPr>
                <w:rFonts w:ascii="Times New Roman" w:hAnsi="Times New Roman" w:cs="Times New Roman"/>
                <w:bCs/>
                <w:color w:val="auto"/>
                <w:sz w:val="21"/>
                <w:lang w:eastAsia="zh-CN" w:bidi="ar"/>
              </w:rPr>
            </w:pPr>
          </w:p>
        </w:tc>
      </w:tr>
      <w:tr w14:paraId="392C36A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89" w:type="pct"/>
            <w:vMerge w:val="restart"/>
            <w:vAlign w:val="center"/>
          </w:tcPr>
          <w:p w14:paraId="498D45BE">
            <w:pPr>
              <w:ind w:left="-120" w:leftChars="-50" w:right="-120" w:rightChars="-50"/>
              <w:jc w:val="center"/>
              <w:rPr>
                <w:rFonts w:ascii="Times New Roman" w:hAnsi="Times New Roman" w:cs="Times New Roman"/>
                <w:bCs/>
                <w:color w:val="auto"/>
                <w:sz w:val="21"/>
              </w:rPr>
            </w:pPr>
            <w:r>
              <w:rPr>
                <w:rFonts w:ascii="Times New Roman" w:hAnsi="Times New Roman" w:cs="Times New Roman"/>
                <w:bCs/>
                <w:color w:val="auto"/>
                <w:sz w:val="21"/>
                <w:lang w:eastAsia="zh-CN"/>
              </w:rPr>
              <w:t>原料及产品罐区</w:t>
            </w:r>
          </w:p>
        </w:tc>
        <w:tc>
          <w:tcPr>
            <w:tcW w:w="705" w:type="pct"/>
            <w:vAlign w:val="center"/>
          </w:tcPr>
          <w:p w14:paraId="4BB96463">
            <w:pPr>
              <w:ind w:left="-120" w:leftChars="-50" w:right="-120" w:rightChars="-50"/>
              <w:jc w:val="center"/>
              <w:rPr>
                <w:rFonts w:ascii="Times New Roman" w:hAnsi="Times New Roman" w:cs="Times New Roman"/>
                <w:bCs/>
                <w:color w:val="auto"/>
                <w:sz w:val="21"/>
                <w:lang w:eastAsia="zh-CN"/>
              </w:rPr>
            </w:pPr>
            <w:r>
              <w:rPr>
                <w:rFonts w:ascii="Times New Roman" w:hAnsi="Times New Roman" w:cs="Times New Roman"/>
                <w:color w:val="000000" w:themeColor="text1"/>
                <w:kern w:val="2"/>
                <w:sz w:val="21"/>
                <w14:textFill>
                  <w14:solidFill>
                    <w14:schemeClr w14:val="tx1"/>
                  </w14:solidFill>
                </w14:textFill>
              </w:rPr>
              <w:t>15%</w:t>
            </w:r>
            <w:r>
              <w:rPr>
                <w:rFonts w:ascii="Times New Roman" w:hAnsi="Times New Roman" w:cs="Times New Roman"/>
                <w:color w:val="000000" w:themeColor="text1"/>
                <w:sz w:val="21"/>
                <w14:textFill>
                  <w14:solidFill>
                    <w14:schemeClr w14:val="tx1"/>
                  </w14:solidFill>
                </w14:textFill>
              </w:rPr>
              <w:t>氢氟酸</w:t>
            </w:r>
            <w:r>
              <w:rPr>
                <w:rFonts w:ascii="Times New Roman" w:hAnsi="Times New Roman" w:cs="Times New Roman"/>
                <w:color w:val="000000" w:themeColor="text1"/>
                <w:kern w:val="2"/>
                <w:sz w:val="21"/>
                <w14:textFill>
                  <w14:solidFill>
                    <w14:schemeClr w14:val="tx1"/>
                  </w14:solidFill>
                </w14:textFill>
              </w:rPr>
              <w:t>储罐</w:t>
            </w:r>
          </w:p>
        </w:tc>
        <w:tc>
          <w:tcPr>
            <w:tcW w:w="756" w:type="pct"/>
            <w:vAlign w:val="center"/>
          </w:tcPr>
          <w:p w14:paraId="224D060E">
            <w:pPr>
              <w:ind w:left="-120" w:leftChars="-50" w:right="-120" w:rightChars="-50"/>
              <w:jc w:val="center"/>
              <w:rPr>
                <w:rFonts w:ascii="Times New Roman" w:hAnsi="Times New Roman" w:cs="Times New Roman"/>
                <w:bCs/>
                <w:color w:val="auto"/>
                <w:sz w:val="21"/>
                <w:lang w:eastAsia="zh-CN"/>
              </w:rPr>
            </w:pPr>
          </w:p>
        </w:tc>
        <w:tc>
          <w:tcPr>
            <w:tcW w:w="394" w:type="pct"/>
            <w:vAlign w:val="center"/>
          </w:tcPr>
          <w:p w14:paraId="7FEE03A0">
            <w:pPr>
              <w:jc w:val="center"/>
              <w:textAlignment w:val="center"/>
              <w:rPr>
                <w:rFonts w:ascii="Times New Roman" w:hAnsi="Times New Roman" w:cs="Times New Roman"/>
                <w:bCs/>
                <w:color w:val="auto"/>
                <w:sz w:val="21"/>
                <w:lang w:eastAsia="zh-CN" w:bidi="ar"/>
              </w:rPr>
            </w:pPr>
          </w:p>
        </w:tc>
        <w:tc>
          <w:tcPr>
            <w:tcW w:w="428" w:type="pct"/>
            <w:vAlign w:val="center"/>
          </w:tcPr>
          <w:p w14:paraId="690E0855">
            <w:pPr>
              <w:jc w:val="center"/>
              <w:textAlignment w:val="center"/>
              <w:rPr>
                <w:rFonts w:ascii="Times New Roman" w:hAnsi="Times New Roman" w:cs="Times New Roman"/>
                <w:bCs/>
                <w:color w:val="auto"/>
                <w:sz w:val="21"/>
                <w:lang w:eastAsia="zh-CN" w:bidi="ar"/>
              </w:rPr>
            </w:pPr>
          </w:p>
        </w:tc>
        <w:tc>
          <w:tcPr>
            <w:tcW w:w="396" w:type="pct"/>
            <w:vAlign w:val="center"/>
          </w:tcPr>
          <w:p w14:paraId="5A62A4C8">
            <w:pPr>
              <w:jc w:val="center"/>
              <w:textAlignment w:val="center"/>
              <w:rPr>
                <w:rFonts w:ascii="Times New Roman" w:hAnsi="Times New Roman" w:cs="Times New Roman"/>
                <w:bCs/>
                <w:color w:val="auto"/>
                <w:sz w:val="21"/>
                <w:lang w:eastAsia="zh-CN" w:bidi="ar"/>
              </w:rPr>
            </w:pPr>
          </w:p>
        </w:tc>
        <w:tc>
          <w:tcPr>
            <w:tcW w:w="403" w:type="pct"/>
            <w:vAlign w:val="center"/>
          </w:tcPr>
          <w:p w14:paraId="155868D2">
            <w:pPr>
              <w:jc w:val="center"/>
              <w:textAlignment w:val="center"/>
              <w:rPr>
                <w:rFonts w:ascii="Times New Roman" w:hAnsi="Times New Roman" w:cs="Times New Roman"/>
                <w:bCs/>
                <w:color w:val="auto"/>
                <w:sz w:val="21"/>
                <w:lang w:eastAsia="zh-CN" w:bidi="ar"/>
              </w:rPr>
            </w:pPr>
          </w:p>
        </w:tc>
        <w:tc>
          <w:tcPr>
            <w:tcW w:w="456" w:type="pct"/>
            <w:vAlign w:val="center"/>
          </w:tcPr>
          <w:p w14:paraId="7BBA03CC">
            <w:pPr>
              <w:jc w:val="center"/>
              <w:textAlignment w:val="center"/>
              <w:rPr>
                <w:rFonts w:ascii="Times New Roman" w:hAnsi="Times New Roman" w:cs="Times New Roman"/>
                <w:bCs/>
                <w:color w:val="auto"/>
                <w:sz w:val="21"/>
                <w:lang w:eastAsia="zh-CN" w:bidi="ar"/>
              </w:rPr>
            </w:pPr>
          </w:p>
        </w:tc>
        <w:tc>
          <w:tcPr>
            <w:tcW w:w="341" w:type="pct"/>
            <w:vAlign w:val="center"/>
          </w:tcPr>
          <w:p w14:paraId="2A309C33">
            <w:pPr>
              <w:jc w:val="center"/>
              <w:textAlignment w:val="center"/>
              <w:rPr>
                <w:rFonts w:ascii="Times New Roman" w:hAnsi="Times New Roman" w:cs="Times New Roman"/>
                <w:bCs/>
                <w:color w:val="auto"/>
                <w:sz w:val="21"/>
                <w:lang w:eastAsia="zh-CN" w:bidi="ar"/>
              </w:rPr>
            </w:pPr>
          </w:p>
        </w:tc>
        <w:tc>
          <w:tcPr>
            <w:tcW w:w="337" w:type="pct"/>
            <w:vAlign w:val="center"/>
          </w:tcPr>
          <w:p w14:paraId="25E52A5E">
            <w:pPr>
              <w:jc w:val="center"/>
              <w:textAlignment w:val="center"/>
              <w:rPr>
                <w:rFonts w:ascii="Times New Roman" w:hAnsi="Times New Roman" w:cs="Times New Roman"/>
                <w:bCs/>
                <w:color w:val="auto"/>
                <w:sz w:val="21"/>
                <w:lang w:eastAsia="zh-CN" w:bidi="ar"/>
              </w:rPr>
            </w:pPr>
          </w:p>
        </w:tc>
        <w:tc>
          <w:tcPr>
            <w:tcW w:w="295" w:type="pct"/>
            <w:vAlign w:val="center"/>
          </w:tcPr>
          <w:p w14:paraId="639729D2">
            <w:pPr>
              <w:jc w:val="center"/>
              <w:textAlignment w:val="center"/>
              <w:rPr>
                <w:rFonts w:ascii="Times New Roman" w:hAnsi="Times New Roman" w:cs="Times New Roman"/>
                <w:bCs/>
                <w:color w:val="auto"/>
                <w:sz w:val="21"/>
                <w:lang w:eastAsia="zh-CN" w:bidi="ar"/>
              </w:rPr>
            </w:pPr>
          </w:p>
        </w:tc>
      </w:tr>
      <w:tr w14:paraId="63708CA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89" w:type="pct"/>
            <w:vMerge w:val="continue"/>
            <w:vAlign w:val="center"/>
          </w:tcPr>
          <w:p w14:paraId="5BCAAE07">
            <w:pPr>
              <w:ind w:left="-120" w:leftChars="-50" w:right="-120" w:rightChars="-50"/>
              <w:jc w:val="center"/>
              <w:rPr>
                <w:rFonts w:ascii="Times New Roman" w:hAnsi="Times New Roman" w:cs="Times New Roman"/>
                <w:color w:val="auto"/>
                <w:sz w:val="21"/>
                <w:lang w:eastAsia="zh-CN"/>
              </w:rPr>
            </w:pPr>
          </w:p>
        </w:tc>
        <w:tc>
          <w:tcPr>
            <w:tcW w:w="705" w:type="pct"/>
            <w:vAlign w:val="center"/>
          </w:tcPr>
          <w:p w14:paraId="098339C2">
            <w:pPr>
              <w:ind w:left="-120" w:leftChars="-50" w:right="-120" w:rightChars="-5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化学纯氢氟酸</w:t>
            </w:r>
            <w:r>
              <w:rPr>
                <w:rFonts w:hint="eastAsia" w:ascii="Times New Roman" w:hAnsi="Times New Roman" w:cs="Times New Roman"/>
                <w:color w:val="000000" w:themeColor="text1"/>
                <w:sz w:val="21"/>
                <w:lang w:eastAsia="zh-CN"/>
                <w14:textFill>
                  <w14:solidFill>
                    <w14:schemeClr w14:val="tx1"/>
                  </w14:solidFill>
                </w14:textFill>
              </w:rPr>
              <w:t>储罐</w:t>
            </w:r>
          </w:p>
        </w:tc>
        <w:tc>
          <w:tcPr>
            <w:tcW w:w="756" w:type="pct"/>
            <w:vAlign w:val="center"/>
          </w:tcPr>
          <w:p w14:paraId="0A4B7A95">
            <w:pPr>
              <w:ind w:left="-120" w:leftChars="-50" w:right="-120" w:rightChars="-50"/>
              <w:jc w:val="center"/>
              <w:rPr>
                <w:rFonts w:ascii="Times New Roman" w:hAnsi="Times New Roman" w:cs="Times New Roman"/>
                <w:color w:val="000000" w:themeColor="text1"/>
                <w:kern w:val="2"/>
                <w:sz w:val="21"/>
                <w14:textFill>
                  <w14:solidFill>
                    <w14:schemeClr w14:val="tx1"/>
                  </w14:solidFill>
                </w14:textFill>
              </w:rPr>
            </w:pPr>
          </w:p>
        </w:tc>
        <w:tc>
          <w:tcPr>
            <w:tcW w:w="394" w:type="pct"/>
            <w:vAlign w:val="center"/>
          </w:tcPr>
          <w:p w14:paraId="0CAA54F6">
            <w:pPr>
              <w:jc w:val="center"/>
              <w:textAlignment w:val="center"/>
              <w:rPr>
                <w:rFonts w:ascii="Times New Roman" w:hAnsi="Times New Roman" w:cs="Times New Roman"/>
                <w:color w:val="000000" w:themeColor="text1"/>
                <w:kern w:val="2"/>
                <w:sz w:val="21"/>
                <w:lang w:eastAsia="zh-CN"/>
                <w14:textFill>
                  <w14:solidFill>
                    <w14:schemeClr w14:val="tx1"/>
                  </w14:solidFill>
                </w14:textFill>
              </w:rPr>
            </w:pPr>
          </w:p>
        </w:tc>
        <w:tc>
          <w:tcPr>
            <w:tcW w:w="428" w:type="pct"/>
            <w:vAlign w:val="center"/>
          </w:tcPr>
          <w:p w14:paraId="7D8A28FF">
            <w:pPr>
              <w:jc w:val="center"/>
              <w:textAlignment w:val="center"/>
              <w:rPr>
                <w:rFonts w:hint="default" w:ascii="Times New Roman" w:hAnsi="Times New Roman" w:cs="Times New Roman"/>
                <w:color w:val="000000" w:themeColor="text1"/>
                <w:kern w:val="2"/>
                <w:sz w:val="21"/>
                <w:lang w:val="en-US" w:eastAsia="zh-CN"/>
                <w14:textFill>
                  <w14:solidFill>
                    <w14:schemeClr w14:val="tx1"/>
                  </w14:solidFill>
                </w14:textFill>
              </w:rPr>
            </w:pPr>
          </w:p>
        </w:tc>
        <w:tc>
          <w:tcPr>
            <w:tcW w:w="396" w:type="pct"/>
            <w:vAlign w:val="center"/>
          </w:tcPr>
          <w:p w14:paraId="3853B15A">
            <w:pPr>
              <w:jc w:val="center"/>
              <w:textAlignment w:val="center"/>
              <w:rPr>
                <w:rFonts w:ascii="Times New Roman" w:hAnsi="Times New Roman" w:cs="Times New Roman"/>
                <w:color w:val="000000" w:themeColor="text1"/>
                <w:kern w:val="2"/>
                <w:sz w:val="21"/>
                <w14:textFill>
                  <w14:solidFill>
                    <w14:schemeClr w14:val="tx1"/>
                  </w14:solidFill>
                </w14:textFill>
              </w:rPr>
            </w:pPr>
          </w:p>
        </w:tc>
        <w:tc>
          <w:tcPr>
            <w:tcW w:w="403" w:type="pct"/>
            <w:vAlign w:val="center"/>
          </w:tcPr>
          <w:p w14:paraId="7DC7A721">
            <w:pPr>
              <w:jc w:val="center"/>
              <w:textAlignment w:val="center"/>
              <w:rPr>
                <w:rFonts w:ascii="Times New Roman" w:hAnsi="Times New Roman" w:cs="Times New Roman"/>
                <w:color w:val="000000" w:themeColor="text1"/>
                <w:kern w:val="2"/>
                <w:sz w:val="21"/>
                <w:lang w:eastAsia="zh-CN"/>
                <w14:textFill>
                  <w14:solidFill>
                    <w14:schemeClr w14:val="tx1"/>
                  </w14:solidFill>
                </w14:textFill>
              </w:rPr>
            </w:pPr>
          </w:p>
        </w:tc>
        <w:tc>
          <w:tcPr>
            <w:tcW w:w="456" w:type="pct"/>
            <w:vAlign w:val="center"/>
          </w:tcPr>
          <w:p w14:paraId="6F638A3B">
            <w:pPr>
              <w:jc w:val="center"/>
              <w:textAlignment w:val="center"/>
              <w:rPr>
                <w:rFonts w:ascii="Times New Roman" w:hAnsi="Times New Roman" w:cs="Times New Roman"/>
                <w:color w:val="000000" w:themeColor="text1"/>
                <w:kern w:val="2"/>
                <w:sz w:val="21"/>
                <w14:textFill>
                  <w14:solidFill>
                    <w14:schemeClr w14:val="tx1"/>
                  </w14:solidFill>
                </w14:textFill>
              </w:rPr>
            </w:pPr>
          </w:p>
        </w:tc>
        <w:tc>
          <w:tcPr>
            <w:tcW w:w="341" w:type="pct"/>
            <w:vAlign w:val="center"/>
          </w:tcPr>
          <w:p w14:paraId="58BAF357">
            <w:pPr>
              <w:jc w:val="center"/>
              <w:textAlignment w:val="center"/>
              <w:rPr>
                <w:rFonts w:ascii="Times New Roman" w:hAnsi="Times New Roman" w:cs="Times New Roman"/>
                <w:color w:val="000000" w:themeColor="text1"/>
                <w:kern w:val="2"/>
                <w:sz w:val="21"/>
                <w14:textFill>
                  <w14:solidFill>
                    <w14:schemeClr w14:val="tx1"/>
                  </w14:solidFill>
                </w14:textFill>
              </w:rPr>
            </w:pPr>
          </w:p>
        </w:tc>
        <w:tc>
          <w:tcPr>
            <w:tcW w:w="337" w:type="pct"/>
            <w:vAlign w:val="center"/>
          </w:tcPr>
          <w:p w14:paraId="17163ED4">
            <w:pPr>
              <w:jc w:val="center"/>
              <w:textAlignment w:val="center"/>
              <w:rPr>
                <w:rFonts w:ascii="Times New Roman" w:hAnsi="Times New Roman" w:cs="Times New Roman"/>
                <w:color w:val="000000" w:themeColor="text1"/>
                <w:kern w:val="2"/>
                <w:sz w:val="21"/>
                <w:lang w:eastAsia="zh-CN"/>
                <w14:textFill>
                  <w14:solidFill>
                    <w14:schemeClr w14:val="tx1"/>
                  </w14:solidFill>
                </w14:textFill>
              </w:rPr>
            </w:pPr>
          </w:p>
        </w:tc>
        <w:tc>
          <w:tcPr>
            <w:tcW w:w="295" w:type="pct"/>
            <w:vAlign w:val="center"/>
          </w:tcPr>
          <w:p w14:paraId="4B7505E9">
            <w:pPr>
              <w:jc w:val="center"/>
              <w:textAlignment w:val="center"/>
              <w:rPr>
                <w:rFonts w:ascii="Times New Roman" w:hAnsi="Times New Roman" w:cs="Times New Roman"/>
                <w:color w:val="000000" w:themeColor="text1"/>
                <w:kern w:val="2"/>
                <w:sz w:val="21"/>
                <w14:textFill>
                  <w14:solidFill>
                    <w14:schemeClr w14:val="tx1"/>
                  </w14:solidFill>
                </w14:textFill>
              </w:rPr>
            </w:pPr>
          </w:p>
        </w:tc>
      </w:tr>
      <w:tr w14:paraId="697FE79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89" w:type="pct"/>
            <w:vMerge w:val="restart"/>
            <w:vAlign w:val="center"/>
          </w:tcPr>
          <w:p w14:paraId="1CABFB44">
            <w:pPr>
              <w:ind w:left="-120" w:leftChars="-50" w:right="-120" w:rightChars="-50"/>
              <w:jc w:val="center"/>
              <w:rPr>
                <w:rFonts w:ascii="Times New Roman" w:hAnsi="Times New Roman" w:cs="Times New Roman"/>
                <w:color w:val="auto"/>
                <w:sz w:val="21"/>
                <w:lang w:eastAsia="zh-CN"/>
              </w:rPr>
            </w:pPr>
            <w:r>
              <w:rPr>
                <w:rFonts w:ascii="Times New Roman" w:hAnsi="Times New Roman" w:cs="Times New Roman"/>
                <w:bCs/>
                <w:color w:val="auto"/>
                <w:sz w:val="21"/>
                <w:lang w:eastAsia="zh-CN"/>
              </w:rPr>
              <w:t>戊类罐区二</w:t>
            </w:r>
          </w:p>
        </w:tc>
        <w:tc>
          <w:tcPr>
            <w:tcW w:w="705" w:type="pct"/>
            <w:vAlign w:val="center"/>
          </w:tcPr>
          <w:p w14:paraId="0CD3338D">
            <w:pPr>
              <w:ind w:left="-120" w:leftChars="-50" w:right="-120" w:rightChars="-50"/>
              <w:jc w:val="center"/>
              <w:rPr>
                <w:rFonts w:ascii="Times New Roman" w:hAnsi="Times New Roman" w:cs="Times New Roman"/>
                <w:color w:val="auto"/>
                <w:kern w:val="2"/>
                <w:sz w:val="21"/>
                <w:lang w:eastAsia="zh-CN"/>
              </w:rPr>
            </w:pPr>
            <w:r>
              <w:rPr>
                <w:rFonts w:ascii="Times New Roman" w:hAnsi="Times New Roman" w:cs="Times New Roman"/>
                <w:color w:val="000000" w:themeColor="text1"/>
                <w:kern w:val="2"/>
                <w:sz w:val="21"/>
                <w14:textFill>
                  <w14:solidFill>
                    <w14:schemeClr w14:val="tx1"/>
                  </w14:solidFill>
                </w14:textFill>
              </w:rPr>
              <w:t>31%盐酸储罐</w:t>
            </w:r>
          </w:p>
        </w:tc>
        <w:tc>
          <w:tcPr>
            <w:tcW w:w="756" w:type="pct"/>
            <w:vAlign w:val="center"/>
          </w:tcPr>
          <w:p w14:paraId="1D6D6584">
            <w:pPr>
              <w:ind w:left="-120" w:leftChars="-50" w:right="-120" w:rightChars="-50"/>
              <w:jc w:val="center"/>
              <w:rPr>
                <w:rFonts w:ascii="Times New Roman" w:hAnsi="Times New Roman" w:cs="Times New Roman"/>
                <w:sz w:val="21"/>
                <w:lang w:eastAsia="zh-CN"/>
              </w:rPr>
            </w:pPr>
          </w:p>
        </w:tc>
        <w:tc>
          <w:tcPr>
            <w:tcW w:w="394" w:type="pct"/>
            <w:vAlign w:val="center"/>
          </w:tcPr>
          <w:p w14:paraId="08DC42C3">
            <w:pPr>
              <w:jc w:val="center"/>
              <w:textAlignment w:val="center"/>
              <w:rPr>
                <w:rFonts w:ascii="Times New Roman" w:hAnsi="Times New Roman" w:cs="Times New Roman"/>
                <w:color w:val="auto"/>
                <w:sz w:val="21"/>
                <w:lang w:eastAsia="zh-CN"/>
              </w:rPr>
            </w:pPr>
          </w:p>
        </w:tc>
        <w:tc>
          <w:tcPr>
            <w:tcW w:w="428" w:type="pct"/>
            <w:vAlign w:val="center"/>
          </w:tcPr>
          <w:p w14:paraId="04F9E319">
            <w:pPr>
              <w:jc w:val="center"/>
              <w:textAlignment w:val="center"/>
              <w:rPr>
                <w:rFonts w:ascii="Times New Roman" w:hAnsi="Times New Roman" w:cs="Times New Roman"/>
                <w:color w:val="auto"/>
                <w:sz w:val="21"/>
                <w:szCs w:val="21"/>
                <w:lang w:eastAsia="zh-CN"/>
              </w:rPr>
            </w:pPr>
          </w:p>
        </w:tc>
        <w:tc>
          <w:tcPr>
            <w:tcW w:w="396" w:type="pct"/>
            <w:vAlign w:val="center"/>
          </w:tcPr>
          <w:p w14:paraId="0189E8AA">
            <w:pPr>
              <w:jc w:val="center"/>
              <w:textAlignment w:val="center"/>
              <w:rPr>
                <w:rFonts w:ascii="Times New Roman" w:hAnsi="Times New Roman" w:cs="Times New Roman"/>
                <w:color w:val="auto"/>
                <w:sz w:val="21"/>
                <w:szCs w:val="21"/>
                <w:lang w:eastAsia="zh-CN"/>
              </w:rPr>
            </w:pPr>
          </w:p>
        </w:tc>
        <w:tc>
          <w:tcPr>
            <w:tcW w:w="403" w:type="pct"/>
            <w:vAlign w:val="center"/>
          </w:tcPr>
          <w:p w14:paraId="22AF662D">
            <w:pPr>
              <w:jc w:val="center"/>
              <w:textAlignment w:val="center"/>
              <w:rPr>
                <w:rFonts w:ascii="Times New Roman" w:hAnsi="Times New Roman" w:cs="Times New Roman"/>
                <w:color w:val="auto"/>
                <w:sz w:val="21"/>
                <w:szCs w:val="21"/>
                <w:lang w:eastAsia="zh-CN"/>
              </w:rPr>
            </w:pPr>
          </w:p>
        </w:tc>
        <w:tc>
          <w:tcPr>
            <w:tcW w:w="456" w:type="pct"/>
            <w:vAlign w:val="center"/>
          </w:tcPr>
          <w:p w14:paraId="3DEF8A77">
            <w:pPr>
              <w:jc w:val="center"/>
              <w:textAlignment w:val="center"/>
              <w:rPr>
                <w:rFonts w:ascii="Times New Roman" w:hAnsi="Times New Roman" w:cs="Times New Roman"/>
                <w:color w:val="auto"/>
                <w:sz w:val="21"/>
                <w:lang w:eastAsia="zh-CN"/>
              </w:rPr>
            </w:pPr>
          </w:p>
        </w:tc>
        <w:tc>
          <w:tcPr>
            <w:tcW w:w="341" w:type="pct"/>
            <w:vAlign w:val="center"/>
          </w:tcPr>
          <w:p w14:paraId="299FCC77">
            <w:pPr>
              <w:jc w:val="center"/>
              <w:textAlignment w:val="center"/>
              <w:rPr>
                <w:rFonts w:ascii="Times New Roman" w:hAnsi="Times New Roman" w:cs="Times New Roman"/>
                <w:color w:val="auto"/>
                <w:sz w:val="21"/>
                <w:lang w:eastAsia="zh-CN"/>
              </w:rPr>
            </w:pPr>
          </w:p>
        </w:tc>
        <w:tc>
          <w:tcPr>
            <w:tcW w:w="337" w:type="pct"/>
            <w:vAlign w:val="center"/>
          </w:tcPr>
          <w:p w14:paraId="7273A920">
            <w:pPr>
              <w:jc w:val="center"/>
              <w:textAlignment w:val="center"/>
              <w:rPr>
                <w:rFonts w:ascii="Times New Roman" w:hAnsi="Times New Roman" w:cs="Times New Roman"/>
                <w:color w:val="auto"/>
                <w:sz w:val="21"/>
                <w:lang w:eastAsia="zh-CN"/>
              </w:rPr>
            </w:pPr>
          </w:p>
        </w:tc>
        <w:tc>
          <w:tcPr>
            <w:tcW w:w="295" w:type="pct"/>
            <w:vAlign w:val="center"/>
          </w:tcPr>
          <w:p w14:paraId="5A2C1DCB">
            <w:pPr>
              <w:jc w:val="center"/>
              <w:textAlignment w:val="center"/>
              <w:rPr>
                <w:rFonts w:ascii="Times New Roman" w:hAnsi="Times New Roman" w:cs="Times New Roman"/>
                <w:color w:val="auto"/>
                <w:sz w:val="22"/>
                <w:szCs w:val="22"/>
                <w:lang w:eastAsia="zh-CN"/>
              </w:rPr>
            </w:pPr>
          </w:p>
        </w:tc>
      </w:tr>
      <w:tr w14:paraId="7446F4E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89" w:type="pct"/>
            <w:vMerge w:val="continue"/>
            <w:vAlign w:val="center"/>
          </w:tcPr>
          <w:p w14:paraId="401DDC59">
            <w:pPr>
              <w:ind w:left="-120" w:leftChars="-50" w:right="-120" w:rightChars="-50"/>
              <w:jc w:val="center"/>
              <w:rPr>
                <w:rFonts w:ascii="Times New Roman" w:hAnsi="Times New Roman" w:cs="Times New Roman"/>
                <w:bCs/>
                <w:color w:val="auto"/>
                <w:sz w:val="21"/>
                <w:lang w:eastAsia="zh-CN"/>
              </w:rPr>
            </w:pPr>
          </w:p>
        </w:tc>
        <w:tc>
          <w:tcPr>
            <w:tcW w:w="705" w:type="pct"/>
            <w:vAlign w:val="center"/>
          </w:tcPr>
          <w:p w14:paraId="549B253D">
            <w:pPr>
              <w:ind w:left="-120" w:leftChars="-50" w:right="-120" w:rightChars="-50"/>
              <w:jc w:val="center"/>
              <w:rPr>
                <w:rFonts w:ascii="Times New Roman" w:hAnsi="Times New Roman" w:cs="Times New Roman"/>
                <w:color w:val="000000" w:themeColor="text1"/>
                <w:kern w:val="2"/>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化学纯氢氟酸</w:t>
            </w:r>
            <w:r>
              <w:rPr>
                <w:rFonts w:hint="eastAsia" w:ascii="Times New Roman" w:hAnsi="Times New Roman" w:cs="Times New Roman"/>
                <w:color w:val="000000" w:themeColor="text1"/>
                <w:sz w:val="21"/>
                <w:lang w:eastAsia="zh-CN"/>
                <w14:textFill>
                  <w14:solidFill>
                    <w14:schemeClr w14:val="tx1"/>
                  </w14:solidFill>
                </w14:textFill>
              </w:rPr>
              <w:t>储罐</w:t>
            </w:r>
          </w:p>
        </w:tc>
        <w:tc>
          <w:tcPr>
            <w:tcW w:w="756" w:type="pct"/>
            <w:vAlign w:val="center"/>
          </w:tcPr>
          <w:p w14:paraId="5EF06602">
            <w:pPr>
              <w:ind w:left="-120" w:leftChars="-50" w:right="-120" w:rightChars="-50"/>
              <w:jc w:val="center"/>
              <w:rPr>
                <w:rFonts w:ascii="Times New Roman" w:hAnsi="Times New Roman" w:cs="Times New Roman"/>
                <w:color w:val="000000" w:themeColor="text1"/>
                <w:kern w:val="2"/>
                <w:sz w:val="21"/>
                <w14:textFill>
                  <w14:solidFill>
                    <w14:schemeClr w14:val="tx1"/>
                  </w14:solidFill>
                </w14:textFill>
              </w:rPr>
            </w:pPr>
          </w:p>
        </w:tc>
        <w:tc>
          <w:tcPr>
            <w:tcW w:w="394" w:type="pct"/>
            <w:vAlign w:val="center"/>
          </w:tcPr>
          <w:p w14:paraId="47863431">
            <w:pPr>
              <w:jc w:val="center"/>
              <w:textAlignment w:val="center"/>
              <w:rPr>
                <w:rFonts w:ascii="Times New Roman" w:hAnsi="Times New Roman" w:cs="Times New Roman"/>
                <w:color w:val="000000" w:themeColor="text1"/>
                <w:kern w:val="2"/>
                <w:sz w:val="21"/>
                <w:lang w:eastAsia="zh-CN"/>
                <w14:textFill>
                  <w14:solidFill>
                    <w14:schemeClr w14:val="tx1"/>
                  </w14:solidFill>
                </w14:textFill>
              </w:rPr>
            </w:pPr>
          </w:p>
        </w:tc>
        <w:tc>
          <w:tcPr>
            <w:tcW w:w="428" w:type="pct"/>
            <w:vAlign w:val="center"/>
          </w:tcPr>
          <w:p w14:paraId="028D1100">
            <w:pPr>
              <w:jc w:val="center"/>
              <w:textAlignment w:val="center"/>
              <w:rPr>
                <w:rFonts w:hint="default" w:ascii="Times New Roman" w:hAnsi="Times New Roman" w:cs="Times New Roman"/>
                <w:color w:val="000000" w:themeColor="text1"/>
                <w:sz w:val="22"/>
                <w:lang w:val="en-US" w:eastAsia="zh-CN"/>
                <w14:textFill>
                  <w14:solidFill>
                    <w14:schemeClr w14:val="tx1"/>
                  </w14:solidFill>
                </w14:textFill>
              </w:rPr>
            </w:pPr>
          </w:p>
        </w:tc>
        <w:tc>
          <w:tcPr>
            <w:tcW w:w="396" w:type="pct"/>
            <w:vAlign w:val="center"/>
          </w:tcPr>
          <w:p w14:paraId="78D1CE44">
            <w:pPr>
              <w:jc w:val="center"/>
              <w:textAlignment w:val="center"/>
              <w:rPr>
                <w:rFonts w:ascii="Times New Roman" w:hAnsi="Times New Roman" w:cs="Times New Roman"/>
                <w:color w:val="000000" w:themeColor="text1"/>
                <w:kern w:val="2"/>
                <w:sz w:val="21"/>
                <w14:textFill>
                  <w14:solidFill>
                    <w14:schemeClr w14:val="tx1"/>
                  </w14:solidFill>
                </w14:textFill>
              </w:rPr>
            </w:pPr>
          </w:p>
        </w:tc>
        <w:tc>
          <w:tcPr>
            <w:tcW w:w="403" w:type="pct"/>
            <w:vAlign w:val="center"/>
          </w:tcPr>
          <w:p w14:paraId="23E2F96C">
            <w:pPr>
              <w:jc w:val="center"/>
              <w:textAlignment w:val="center"/>
              <w:rPr>
                <w:rFonts w:ascii="Times New Roman" w:hAnsi="Times New Roman" w:cs="Times New Roman"/>
                <w:color w:val="000000" w:themeColor="text1"/>
                <w:kern w:val="2"/>
                <w:sz w:val="21"/>
                <w:lang w:eastAsia="zh-CN"/>
                <w14:textFill>
                  <w14:solidFill>
                    <w14:schemeClr w14:val="tx1"/>
                  </w14:solidFill>
                </w14:textFill>
              </w:rPr>
            </w:pPr>
          </w:p>
        </w:tc>
        <w:tc>
          <w:tcPr>
            <w:tcW w:w="456" w:type="pct"/>
            <w:vAlign w:val="center"/>
          </w:tcPr>
          <w:p w14:paraId="5587723C">
            <w:pPr>
              <w:jc w:val="center"/>
              <w:textAlignment w:val="center"/>
              <w:rPr>
                <w:rFonts w:ascii="Times New Roman" w:hAnsi="Times New Roman" w:cs="Times New Roman"/>
                <w:color w:val="000000" w:themeColor="text1"/>
                <w:kern w:val="2"/>
                <w:sz w:val="21"/>
                <w14:textFill>
                  <w14:solidFill>
                    <w14:schemeClr w14:val="tx1"/>
                  </w14:solidFill>
                </w14:textFill>
              </w:rPr>
            </w:pPr>
          </w:p>
        </w:tc>
        <w:tc>
          <w:tcPr>
            <w:tcW w:w="341" w:type="pct"/>
            <w:vAlign w:val="center"/>
          </w:tcPr>
          <w:p w14:paraId="48364502">
            <w:pPr>
              <w:jc w:val="center"/>
              <w:textAlignment w:val="center"/>
              <w:rPr>
                <w:rFonts w:ascii="Times New Roman" w:hAnsi="Times New Roman" w:cs="Times New Roman"/>
                <w:color w:val="000000" w:themeColor="text1"/>
                <w:kern w:val="2"/>
                <w:sz w:val="21"/>
                <w14:textFill>
                  <w14:solidFill>
                    <w14:schemeClr w14:val="tx1"/>
                  </w14:solidFill>
                </w14:textFill>
              </w:rPr>
            </w:pPr>
          </w:p>
        </w:tc>
        <w:tc>
          <w:tcPr>
            <w:tcW w:w="337" w:type="pct"/>
            <w:vAlign w:val="center"/>
          </w:tcPr>
          <w:p w14:paraId="65023611">
            <w:pPr>
              <w:jc w:val="center"/>
              <w:textAlignment w:val="center"/>
              <w:rPr>
                <w:rFonts w:ascii="Times New Roman" w:hAnsi="Times New Roman" w:cs="Times New Roman"/>
                <w:color w:val="000000" w:themeColor="text1"/>
                <w:kern w:val="2"/>
                <w:sz w:val="21"/>
                <w:lang w:eastAsia="zh-CN"/>
                <w14:textFill>
                  <w14:solidFill>
                    <w14:schemeClr w14:val="tx1"/>
                  </w14:solidFill>
                </w14:textFill>
              </w:rPr>
            </w:pPr>
          </w:p>
        </w:tc>
        <w:tc>
          <w:tcPr>
            <w:tcW w:w="295" w:type="pct"/>
            <w:vAlign w:val="center"/>
          </w:tcPr>
          <w:p w14:paraId="20E109F0">
            <w:pPr>
              <w:jc w:val="center"/>
              <w:textAlignment w:val="center"/>
              <w:rPr>
                <w:rFonts w:ascii="Times New Roman" w:hAnsi="Times New Roman" w:cs="Times New Roman"/>
                <w:color w:val="000000" w:themeColor="text1"/>
                <w:kern w:val="2"/>
                <w:sz w:val="21"/>
                <w14:textFill>
                  <w14:solidFill>
                    <w14:schemeClr w14:val="tx1"/>
                  </w14:solidFill>
                </w14:textFill>
              </w:rPr>
            </w:pPr>
          </w:p>
        </w:tc>
      </w:tr>
      <w:tr w14:paraId="136D89B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89" w:type="pct"/>
            <w:vMerge w:val="continue"/>
            <w:vAlign w:val="center"/>
          </w:tcPr>
          <w:p w14:paraId="5CADCC8E">
            <w:pPr>
              <w:ind w:left="-120" w:leftChars="-50" w:right="-120" w:rightChars="-50"/>
              <w:jc w:val="center"/>
              <w:rPr>
                <w:rFonts w:ascii="Times New Roman" w:hAnsi="Times New Roman" w:cs="Times New Roman"/>
                <w:bCs/>
                <w:color w:val="auto"/>
                <w:sz w:val="21"/>
                <w:lang w:eastAsia="zh-CN"/>
              </w:rPr>
            </w:pPr>
          </w:p>
        </w:tc>
        <w:tc>
          <w:tcPr>
            <w:tcW w:w="705" w:type="pct"/>
            <w:vAlign w:val="center"/>
          </w:tcPr>
          <w:p w14:paraId="128D3CC1">
            <w:pPr>
              <w:ind w:left="-120" w:leftChars="-50" w:right="-120" w:rightChars="-50"/>
              <w:jc w:val="center"/>
              <w:rPr>
                <w:rFonts w:ascii="Times New Roman" w:hAnsi="Times New Roman" w:cs="Times New Roman"/>
                <w:sz w:val="21"/>
                <w:lang w:eastAsia="zh-CN"/>
              </w:rPr>
            </w:pPr>
            <w:r>
              <w:rPr>
                <w:rFonts w:ascii="Times New Roman" w:hAnsi="Times New Roman" w:cs="Times New Roman"/>
                <w:color w:val="000000" w:themeColor="text1"/>
                <w:kern w:val="2"/>
                <w:sz w:val="21"/>
                <w14:textFill>
                  <w14:solidFill>
                    <w14:schemeClr w14:val="tx1"/>
                  </w14:solidFill>
                </w14:textFill>
              </w:rPr>
              <w:t>刻蚀液储罐</w:t>
            </w:r>
          </w:p>
        </w:tc>
        <w:tc>
          <w:tcPr>
            <w:tcW w:w="756" w:type="pct"/>
            <w:vAlign w:val="center"/>
          </w:tcPr>
          <w:p w14:paraId="4F60716F">
            <w:pPr>
              <w:ind w:left="-120" w:leftChars="-50" w:right="-120" w:rightChars="-50"/>
              <w:jc w:val="center"/>
              <w:rPr>
                <w:rFonts w:ascii="Times New Roman" w:hAnsi="Times New Roman" w:cs="Times New Roman"/>
                <w:color w:val="auto"/>
                <w:sz w:val="21"/>
                <w:lang w:eastAsia="zh-CN"/>
              </w:rPr>
            </w:pPr>
          </w:p>
        </w:tc>
        <w:tc>
          <w:tcPr>
            <w:tcW w:w="394" w:type="pct"/>
            <w:vAlign w:val="center"/>
          </w:tcPr>
          <w:p w14:paraId="41EC8771">
            <w:pPr>
              <w:jc w:val="center"/>
              <w:textAlignment w:val="center"/>
              <w:rPr>
                <w:rFonts w:ascii="Times New Roman" w:hAnsi="Times New Roman" w:cs="Times New Roman"/>
                <w:color w:val="auto"/>
                <w:sz w:val="21"/>
                <w:lang w:eastAsia="zh-CN"/>
              </w:rPr>
            </w:pPr>
          </w:p>
        </w:tc>
        <w:tc>
          <w:tcPr>
            <w:tcW w:w="428" w:type="pct"/>
            <w:vAlign w:val="center"/>
          </w:tcPr>
          <w:p w14:paraId="2A14C4E8">
            <w:pPr>
              <w:jc w:val="center"/>
              <w:textAlignment w:val="center"/>
              <w:rPr>
                <w:rFonts w:ascii="Times New Roman" w:hAnsi="Times New Roman" w:cs="Times New Roman"/>
                <w:color w:val="auto"/>
                <w:sz w:val="21"/>
                <w:lang w:eastAsia="zh-CN"/>
              </w:rPr>
            </w:pPr>
          </w:p>
        </w:tc>
        <w:tc>
          <w:tcPr>
            <w:tcW w:w="396" w:type="pct"/>
            <w:vAlign w:val="center"/>
          </w:tcPr>
          <w:p w14:paraId="79D2BD5D">
            <w:pPr>
              <w:jc w:val="center"/>
              <w:textAlignment w:val="center"/>
              <w:rPr>
                <w:rFonts w:ascii="Times New Roman" w:hAnsi="Times New Roman" w:cs="Times New Roman"/>
                <w:color w:val="auto"/>
                <w:sz w:val="21"/>
                <w:lang w:eastAsia="zh-CN"/>
              </w:rPr>
            </w:pPr>
          </w:p>
        </w:tc>
        <w:tc>
          <w:tcPr>
            <w:tcW w:w="403" w:type="pct"/>
            <w:vAlign w:val="center"/>
          </w:tcPr>
          <w:p w14:paraId="24B784C2">
            <w:pPr>
              <w:jc w:val="center"/>
              <w:textAlignment w:val="center"/>
              <w:rPr>
                <w:rFonts w:ascii="Times New Roman" w:hAnsi="Times New Roman" w:cs="Times New Roman"/>
                <w:color w:val="auto"/>
                <w:sz w:val="21"/>
                <w:lang w:eastAsia="zh-CN"/>
              </w:rPr>
            </w:pPr>
          </w:p>
        </w:tc>
        <w:tc>
          <w:tcPr>
            <w:tcW w:w="456" w:type="pct"/>
            <w:vAlign w:val="center"/>
          </w:tcPr>
          <w:p w14:paraId="2F6CD694">
            <w:pPr>
              <w:jc w:val="center"/>
              <w:textAlignment w:val="center"/>
              <w:rPr>
                <w:rFonts w:ascii="Times New Roman" w:hAnsi="Times New Roman" w:cs="Times New Roman"/>
                <w:bCs/>
                <w:color w:val="auto"/>
                <w:sz w:val="21"/>
                <w:lang w:eastAsia="zh-CN" w:bidi="ar"/>
              </w:rPr>
            </w:pPr>
          </w:p>
        </w:tc>
        <w:tc>
          <w:tcPr>
            <w:tcW w:w="341" w:type="pct"/>
            <w:vAlign w:val="center"/>
          </w:tcPr>
          <w:p w14:paraId="7D70A5E8">
            <w:pPr>
              <w:jc w:val="center"/>
              <w:textAlignment w:val="center"/>
              <w:rPr>
                <w:rFonts w:ascii="Times New Roman" w:hAnsi="Times New Roman" w:cs="Times New Roman"/>
                <w:bCs/>
                <w:color w:val="auto"/>
                <w:sz w:val="21"/>
                <w:lang w:eastAsia="zh-CN" w:bidi="ar"/>
              </w:rPr>
            </w:pPr>
          </w:p>
        </w:tc>
        <w:tc>
          <w:tcPr>
            <w:tcW w:w="337" w:type="pct"/>
            <w:vAlign w:val="center"/>
          </w:tcPr>
          <w:p w14:paraId="6599B3AF">
            <w:pPr>
              <w:jc w:val="center"/>
              <w:textAlignment w:val="center"/>
              <w:rPr>
                <w:rFonts w:ascii="Times New Roman" w:hAnsi="Times New Roman" w:cs="Times New Roman"/>
                <w:color w:val="auto"/>
                <w:sz w:val="21"/>
                <w:lang w:eastAsia="zh-CN"/>
              </w:rPr>
            </w:pPr>
          </w:p>
        </w:tc>
        <w:tc>
          <w:tcPr>
            <w:tcW w:w="295" w:type="pct"/>
            <w:vAlign w:val="center"/>
          </w:tcPr>
          <w:p w14:paraId="548F2AE6">
            <w:pPr>
              <w:jc w:val="center"/>
              <w:textAlignment w:val="center"/>
              <w:rPr>
                <w:rFonts w:ascii="Times New Roman" w:hAnsi="Times New Roman" w:cs="Times New Roman"/>
                <w:bCs/>
                <w:color w:val="auto"/>
                <w:sz w:val="21"/>
                <w:lang w:eastAsia="zh-CN" w:bidi="ar"/>
              </w:rPr>
            </w:pPr>
          </w:p>
        </w:tc>
      </w:tr>
    </w:tbl>
    <w:p w14:paraId="359F4012">
      <w:pPr>
        <w:spacing w:line="360" w:lineRule="auto"/>
        <w:ind w:firstLine="442" w:firstLineChars="200"/>
        <w:rPr>
          <w:rFonts w:ascii="Times New Roman" w:hAnsi="Times New Roman" w:cs="Times New Roman"/>
          <w:b/>
          <w:bCs/>
          <w:color w:val="auto"/>
          <w:sz w:val="22"/>
          <w:szCs w:val="20"/>
          <w:lang w:eastAsia="zh-CN"/>
        </w:rPr>
      </w:pPr>
      <w:r>
        <w:rPr>
          <w:rFonts w:ascii="Times New Roman" w:hAnsi="Times New Roman" w:cs="Times New Roman"/>
          <w:b/>
          <w:bCs/>
          <w:color w:val="auto"/>
          <w:sz w:val="22"/>
          <w:szCs w:val="20"/>
          <w:lang w:eastAsia="zh-CN"/>
        </w:rPr>
        <w:t>注：混合物质M计算：根据单个物质M值与其所占的质量分数，计算得出混合物质M值。</w:t>
      </w:r>
    </w:p>
    <w:p w14:paraId="3969D020">
      <w:pPr>
        <w:widowControl w:val="0"/>
        <w:spacing w:line="360" w:lineRule="auto"/>
        <w:ind w:firstLine="480" w:firstLineChars="200"/>
        <w:rPr>
          <w:rFonts w:ascii="Times New Roman" w:hAnsi="Times New Roman" w:cs="Times New Roman"/>
          <w:color w:val="auto"/>
          <w:lang w:eastAsia="zh-CN"/>
        </w:rPr>
      </w:pPr>
      <w:r>
        <w:rPr>
          <w:rFonts w:ascii="宋体" w:hAnsi="宋体" w:cs="Cambria Math"/>
          <w:color w:val="auto"/>
          <w:lang w:eastAsia="zh-CN"/>
        </w:rPr>
        <w:t>②</w:t>
      </w:r>
      <w:r>
        <w:rPr>
          <w:rFonts w:ascii="Times New Roman" w:hAnsi="Times New Roman" w:cs="Times New Roman"/>
          <w:color w:val="auto"/>
          <w:lang w:eastAsia="zh-CN"/>
        </w:rPr>
        <w:t xml:space="preserve"> 大呼吸排放量</w:t>
      </w:r>
    </w:p>
    <w:p w14:paraId="2B623072">
      <w:pPr>
        <w:widowControl w:val="0"/>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大呼吸排放是由于人为的装料与卸料而产生的损失。因装料的结果，罐内压力超过释放压力时，蒸气从罐内压出；而卸料损失发生于液面排出，空气被抽入罐体内，因空气变成有机蒸气饱和的气体而膨胀，因而超过蒸气空间容纳的能力。</w:t>
      </w:r>
    </w:p>
    <w:p w14:paraId="70E95091">
      <w:pPr>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储罐的工作排放可由下式估算：</w:t>
      </w:r>
    </w:p>
    <w:p w14:paraId="41C4ABA2">
      <w:pPr>
        <w:spacing w:line="360" w:lineRule="auto"/>
        <w:ind w:firstLine="480" w:firstLineChars="200"/>
        <w:jc w:val="center"/>
        <w:rPr>
          <w:rFonts w:ascii="Times New Roman" w:hAnsi="Times New Roman" w:cs="Times New Roman"/>
          <w:color w:val="auto"/>
        </w:rPr>
      </w:pPr>
      <w:r>
        <w:rPr>
          <w:rFonts w:ascii="Times New Roman" w:hAnsi="Times New Roman" w:cs="Times New Roman"/>
          <w:color w:val="auto"/>
        </w:rPr>
        <w:t>L</w:t>
      </w:r>
      <w:r>
        <w:rPr>
          <w:rFonts w:ascii="Times New Roman" w:hAnsi="Times New Roman" w:cs="Times New Roman"/>
          <w:color w:val="auto"/>
          <w:vertAlign w:val="subscript"/>
        </w:rPr>
        <w:t>W</w:t>
      </w:r>
      <w:r>
        <w:rPr>
          <w:rFonts w:ascii="Times New Roman" w:hAnsi="Times New Roman" w:cs="Times New Roman"/>
          <w:color w:val="auto"/>
        </w:rPr>
        <w:t xml:space="preserve"> = 4.188 × 10</w:t>
      </w:r>
      <w:r>
        <w:rPr>
          <w:rFonts w:ascii="Times New Roman" w:hAnsi="Times New Roman" w:cs="Times New Roman"/>
          <w:color w:val="auto"/>
          <w:vertAlign w:val="superscript"/>
        </w:rPr>
        <w:t>-7</w:t>
      </w:r>
      <w:r>
        <w:rPr>
          <w:rFonts w:ascii="Times New Roman" w:hAnsi="Times New Roman" w:cs="Times New Roman"/>
          <w:color w:val="auto"/>
        </w:rPr>
        <w:t xml:space="preserve"> × M × P × K</w:t>
      </w:r>
      <w:r>
        <w:rPr>
          <w:rFonts w:ascii="Times New Roman" w:hAnsi="Times New Roman" w:cs="Times New Roman"/>
          <w:color w:val="auto"/>
          <w:vertAlign w:val="subscript"/>
        </w:rPr>
        <w:t>N</w:t>
      </w:r>
      <w:r>
        <w:rPr>
          <w:rFonts w:ascii="Times New Roman" w:hAnsi="Times New Roman" w:cs="Times New Roman"/>
          <w:color w:val="auto"/>
        </w:rPr>
        <w:t xml:space="preserve"> × K</w:t>
      </w:r>
      <w:r>
        <w:rPr>
          <w:rFonts w:ascii="Times New Roman" w:hAnsi="Times New Roman" w:cs="Times New Roman"/>
          <w:color w:val="auto"/>
          <w:vertAlign w:val="subscript"/>
        </w:rPr>
        <w:t>C</w:t>
      </w:r>
    </w:p>
    <w:p w14:paraId="30F9417D">
      <w:pPr>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式中：L</w:t>
      </w:r>
      <w:r>
        <w:rPr>
          <w:rFonts w:ascii="Times New Roman" w:hAnsi="Times New Roman" w:cs="Times New Roman"/>
          <w:color w:val="auto"/>
          <w:vertAlign w:val="subscript"/>
          <w:lang w:eastAsia="zh-CN"/>
        </w:rPr>
        <w:t>W</w:t>
      </w:r>
      <w:r>
        <w:rPr>
          <w:rFonts w:ascii="Times New Roman" w:hAnsi="Times New Roman" w:cs="Times New Roman"/>
          <w:color w:val="auto"/>
          <w:lang w:eastAsia="zh-CN"/>
        </w:rPr>
        <w:t>——固定顶罐的工作损失（kg/m</w:t>
      </w:r>
      <w:r>
        <w:rPr>
          <w:rFonts w:ascii="Times New Roman" w:hAnsi="Times New Roman" w:cs="Times New Roman"/>
          <w:color w:val="auto"/>
          <w:vertAlign w:val="superscript"/>
          <w:lang w:eastAsia="zh-CN"/>
        </w:rPr>
        <w:t>3</w:t>
      </w:r>
      <w:r>
        <w:rPr>
          <w:rFonts w:ascii="Times New Roman" w:hAnsi="Times New Roman" w:cs="Times New Roman"/>
          <w:color w:val="auto"/>
          <w:lang w:eastAsia="zh-CN"/>
        </w:rPr>
        <w:t>投入量）</w:t>
      </w:r>
    </w:p>
    <w:p w14:paraId="655237DE">
      <w:pPr>
        <w:spacing w:line="360" w:lineRule="auto"/>
        <w:ind w:firstLine="1200" w:firstLineChars="500"/>
        <w:rPr>
          <w:rFonts w:ascii="Times New Roman" w:hAnsi="Times New Roman" w:cs="Times New Roman"/>
          <w:color w:val="auto"/>
          <w:lang w:eastAsia="zh-CN"/>
        </w:rPr>
      </w:pPr>
      <w:r>
        <w:rPr>
          <w:rFonts w:ascii="Times New Roman" w:hAnsi="Times New Roman" w:cs="Times New Roman"/>
          <w:color w:val="auto"/>
          <w:lang w:eastAsia="zh-CN"/>
        </w:rPr>
        <w:t>K</w:t>
      </w:r>
      <w:r>
        <w:rPr>
          <w:rFonts w:ascii="Times New Roman" w:hAnsi="Times New Roman" w:cs="Times New Roman"/>
          <w:color w:val="auto"/>
          <w:vertAlign w:val="subscript"/>
          <w:lang w:eastAsia="zh-CN"/>
        </w:rPr>
        <w:t>N</w:t>
      </w:r>
      <w:r>
        <w:rPr>
          <w:rFonts w:ascii="Times New Roman" w:hAnsi="Times New Roman" w:cs="Times New Roman"/>
          <w:color w:val="auto"/>
          <w:lang w:eastAsia="zh-CN"/>
        </w:rPr>
        <w:t>——周转因子（无量纲），取值按年周转次数（K）确定。</w:t>
      </w:r>
    </w:p>
    <w:p w14:paraId="1E36293A">
      <w:pPr>
        <w:spacing w:line="360" w:lineRule="auto"/>
        <w:ind w:firstLine="1200" w:firstLineChars="500"/>
        <w:rPr>
          <w:rFonts w:ascii="Times New Roman" w:hAnsi="Times New Roman" w:cs="Times New Roman"/>
          <w:color w:val="auto"/>
        </w:rPr>
      </w:pPr>
      <w:r>
        <w:rPr>
          <w:rFonts w:ascii="Times New Roman" w:hAnsi="Times New Roman" w:cs="Times New Roman"/>
          <w:color w:val="auto"/>
        </w:rPr>
        <w:t>K≤36，K</w:t>
      </w:r>
      <w:r>
        <w:rPr>
          <w:rFonts w:ascii="Times New Roman" w:hAnsi="Times New Roman" w:cs="Times New Roman"/>
          <w:color w:val="auto"/>
          <w:vertAlign w:val="subscript"/>
        </w:rPr>
        <w:t>N</w:t>
      </w:r>
      <w:r>
        <w:rPr>
          <w:rFonts w:ascii="Times New Roman" w:hAnsi="Times New Roman" w:cs="Times New Roman"/>
          <w:color w:val="auto"/>
        </w:rPr>
        <w:t>=1</w:t>
      </w:r>
    </w:p>
    <w:p w14:paraId="1ED846ED">
      <w:pPr>
        <w:spacing w:line="360" w:lineRule="auto"/>
        <w:ind w:firstLine="1200" w:firstLineChars="500"/>
        <w:rPr>
          <w:rFonts w:ascii="Times New Roman" w:hAnsi="Times New Roman" w:cs="Times New Roman"/>
          <w:color w:val="auto"/>
        </w:rPr>
      </w:pPr>
      <w:r>
        <w:rPr>
          <w:rFonts w:ascii="Times New Roman" w:hAnsi="Times New Roman" w:cs="Times New Roman"/>
          <w:color w:val="auto"/>
        </w:rPr>
        <w:t>36＜K≤220，K</w:t>
      </w:r>
      <w:r>
        <w:rPr>
          <w:rFonts w:ascii="Times New Roman" w:hAnsi="Times New Roman" w:cs="Times New Roman"/>
          <w:color w:val="auto"/>
          <w:vertAlign w:val="subscript"/>
        </w:rPr>
        <w:t xml:space="preserve">N </w:t>
      </w:r>
      <w:r>
        <w:rPr>
          <w:rFonts w:ascii="Times New Roman" w:hAnsi="Times New Roman" w:cs="Times New Roman"/>
          <w:color w:val="auto"/>
        </w:rPr>
        <w:t>=11.467×K</w:t>
      </w:r>
      <w:r>
        <w:rPr>
          <w:rFonts w:ascii="Times New Roman" w:hAnsi="Times New Roman" w:cs="Times New Roman"/>
          <w:color w:val="auto"/>
          <w:vertAlign w:val="superscript"/>
        </w:rPr>
        <w:t>-0.7026</w:t>
      </w:r>
    </w:p>
    <w:p w14:paraId="6A25B60E">
      <w:pPr>
        <w:spacing w:line="360" w:lineRule="auto"/>
        <w:ind w:firstLine="1200" w:firstLineChars="500"/>
        <w:rPr>
          <w:rFonts w:ascii="Times New Roman" w:hAnsi="Times New Roman" w:cs="Times New Roman"/>
          <w:color w:val="auto"/>
          <w:lang w:eastAsia="zh-CN"/>
        </w:rPr>
      </w:pPr>
      <w:r>
        <w:rPr>
          <w:rFonts w:ascii="Times New Roman" w:hAnsi="Times New Roman" w:cs="Times New Roman"/>
          <w:color w:val="auto"/>
          <w:lang w:eastAsia="zh-CN"/>
        </w:rPr>
        <w:t>K＞220，K</w:t>
      </w:r>
      <w:r>
        <w:rPr>
          <w:rFonts w:ascii="Times New Roman" w:hAnsi="Times New Roman" w:cs="Times New Roman"/>
          <w:color w:val="auto"/>
          <w:vertAlign w:val="subscript"/>
          <w:lang w:eastAsia="zh-CN"/>
        </w:rPr>
        <w:t>N</w:t>
      </w:r>
      <w:r>
        <w:rPr>
          <w:rFonts w:ascii="Times New Roman" w:hAnsi="Times New Roman" w:cs="Times New Roman"/>
          <w:color w:val="auto"/>
          <w:lang w:eastAsia="zh-CN"/>
        </w:rPr>
        <w:t>=0.26。</w:t>
      </w:r>
    </w:p>
    <w:p w14:paraId="43C62D9F">
      <w:pPr>
        <w:pStyle w:val="70"/>
        <w:rPr>
          <w:rFonts w:ascii="Times New Roman" w:hAnsi="Times New Roman" w:cs="Times New Roman"/>
          <w:color w:val="auto"/>
          <w:lang w:eastAsia="zh-CN"/>
        </w:rPr>
      </w:pPr>
      <w:r>
        <w:rPr>
          <w:rFonts w:ascii="Times New Roman" w:hAnsi="Times New Roman" w:cs="Times New Roman"/>
          <w:color w:val="auto"/>
          <w:lang w:eastAsia="zh-CN"/>
        </w:rPr>
        <w:t>根据工程分析可知，拟建项目各物料周转次数及周转因子如下所示。</w:t>
      </w:r>
    </w:p>
    <w:p w14:paraId="24D1143D">
      <w:pPr>
        <w:pStyle w:val="70"/>
        <w:ind w:firstLine="0" w:firstLineChars="0"/>
        <w:jc w:val="center"/>
        <w:rPr>
          <w:rFonts w:ascii="Times New Roman" w:hAnsi="Times New Roman" w:cs="Times New Roman"/>
          <w:color w:val="auto"/>
          <w:lang w:eastAsia="zh-CN"/>
        </w:rPr>
      </w:pPr>
      <w:r>
        <w:rPr>
          <w:rFonts w:ascii="Times New Roman" w:hAnsi="Times New Roman" w:cs="Times New Roman"/>
          <w:b/>
          <w:bCs/>
          <w:color w:val="auto"/>
          <w:lang w:eastAsia="zh-CN"/>
        </w:rPr>
        <w:t>表4.3-3 拟建项目各原料周转次数及周转因子</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721"/>
        <w:gridCol w:w="2107"/>
        <w:gridCol w:w="3259"/>
        <w:gridCol w:w="1156"/>
        <w:gridCol w:w="1503"/>
      </w:tblGrid>
      <w:tr w14:paraId="28397E3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83" w:type="pct"/>
            <w:vAlign w:val="center"/>
          </w:tcPr>
          <w:p w14:paraId="00868A6D">
            <w:pPr>
              <w:ind w:left="-120" w:leftChars="-50" w:right="-120" w:rightChars="-50"/>
              <w:jc w:val="center"/>
              <w:rPr>
                <w:rFonts w:ascii="Times New Roman" w:hAnsi="Times New Roman" w:cs="Times New Roman"/>
                <w:b/>
                <w:color w:val="auto"/>
                <w:sz w:val="21"/>
              </w:rPr>
            </w:pPr>
            <w:r>
              <w:rPr>
                <w:rFonts w:ascii="Times New Roman" w:hAnsi="Times New Roman" w:cs="Times New Roman"/>
                <w:b/>
                <w:color w:val="auto"/>
                <w:sz w:val="21"/>
              </w:rPr>
              <w:t>位置</w:t>
            </w:r>
          </w:p>
        </w:tc>
        <w:tc>
          <w:tcPr>
            <w:tcW w:w="1081" w:type="pct"/>
            <w:vAlign w:val="center"/>
          </w:tcPr>
          <w:p w14:paraId="44793544">
            <w:pPr>
              <w:ind w:left="-120" w:leftChars="-50" w:right="-120" w:rightChars="-50"/>
              <w:jc w:val="center"/>
              <w:rPr>
                <w:rFonts w:ascii="Times New Roman" w:hAnsi="Times New Roman" w:cs="Times New Roman"/>
                <w:b/>
                <w:color w:val="auto"/>
                <w:sz w:val="21"/>
              </w:rPr>
            </w:pPr>
            <w:r>
              <w:rPr>
                <w:rFonts w:ascii="Times New Roman" w:hAnsi="Times New Roman" w:cs="Times New Roman"/>
                <w:b/>
                <w:color w:val="auto"/>
                <w:sz w:val="21"/>
              </w:rPr>
              <w:t>储罐/槽名称</w:t>
            </w:r>
          </w:p>
        </w:tc>
        <w:tc>
          <w:tcPr>
            <w:tcW w:w="1672" w:type="pct"/>
            <w:vAlign w:val="center"/>
          </w:tcPr>
          <w:p w14:paraId="78FD37FC">
            <w:pPr>
              <w:ind w:left="-120" w:leftChars="-50" w:right="-120" w:rightChars="-50"/>
              <w:jc w:val="center"/>
              <w:rPr>
                <w:rFonts w:ascii="Times New Roman" w:hAnsi="Times New Roman" w:cs="Times New Roman"/>
                <w:b/>
                <w:color w:val="auto"/>
                <w:sz w:val="21"/>
              </w:rPr>
            </w:pPr>
            <w:r>
              <w:rPr>
                <w:rFonts w:ascii="Times New Roman" w:hAnsi="Times New Roman" w:cs="Times New Roman"/>
                <w:b/>
                <w:color w:val="auto"/>
                <w:sz w:val="21"/>
              </w:rPr>
              <w:t>储存物质</w:t>
            </w:r>
          </w:p>
        </w:tc>
        <w:tc>
          <w:tcPr>
            <w:tcW w:w="593" w:type="pct"/>
            <w:vAlign w:val="center"/>
          </w:tcPr>
          <w:p w14:paraId="2559B263">
            <w:pPr>
              <w:jc w:val="center"/>
              <w:textAlignment w:val="center"/>
              <w:rPr>
                <w:rFonts w:ascii="Times New Roman" w:hAnsi="Times New Roman" w:cs="Times New Roman"/>
                <w:color w:val="auto"/>
                <w:sz w:val="21"/>
              </w:rPr>
            </w:pPr>
            <w:r>
              <w:rPr>
                <w:rFonts w:ascii="Times New Roman" w:hAnsi="Times New Roman" w:cs="Times New Roman"/>
                <w:b/>
                <w:bCs/>
                <w:color w:val="auto"/>
                <w:sz w:val="21"/>
                <w:lang w:eastAsia="zh-CN"/>
              </w:rPr>
              <w:t>周转次数</w:t>
            </w:r>
          </w:p>
        </w:tc>
        <w:tc>
          <w:tcPr>
            <w:tcW w:w="771" w:type="pct"/>
            <w:vAlign w:val="center"/>
          </w:tcPr>
          <w:p w14:paraId="7D1D52E8">
            <w:pPr>
              <w:jc w:val="center"/>
              <w:textAlignment w:val="center"/>
              <w:rPr>
                <w:rFonts w:ascii="Times New Roman" w:hAnsi="Times New Roman" w:cs="Times New Roman"/>
                <w:color w:val="auto"/>
                <w:sz w:val="21"/>
              </w:rPr>
            </w:pPr>
            <w:r>
              <w:rPr>
                <w:rFonts w:ascii="Times New Roman" w:hAnsi="Times New Roman" w:cs="Times New Roman"/>
                <w:b/>
                <w:bCs/>
                <w:color w:val="auto"/>
                <w:sz w:val="21"/>
                <w:lang w:eastAsia="zh-CN" w:bidi="ar"/>
              </w:rPr>
              <w:t>K</w:t>
            </w:r>
            <w:r>
              <w:rPr>
                <w:rFonts w:ascii="Times New Roman" w:hAnsi="Times New Roman" w:cs="Times New Roman"/>
                <w:b/>
                <w:bCs/>
                <w:color w:val="auto"/>
                <w:sz w:val="21"/>
                <w:vertAlign w:val="subscript"/>
                <w:lang w:eastAsia="zh-CN" w:bidi="ar"/>
              </w:rPr>
              <w:t>N</w:t>
            </w:r>
          </w:p>
        </w:tc>
      </w:tr>
      <w:tr w14:paraId="5B76573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83" w:type="pct"/>
            <w:vAlign w:val="center"/>
          </w:tcPr>
          <w:p w14:paraId="40AAF9E3">
            <w:pPr>
              <w:ind w:left="-120" w:leftChars="-50" w:right="-120" w:rightChars="-50"/>
              <w:jc w:val="center"/>
              <w:rPr>
                <w:rFonts w:ascii="Times New Roman" w:hAnsi="Times New Roman" w:cs="Times New Roman"/>
                <w:bCs/>
                <w:color w:val="auto"/>
                <w:sz w:val="21"/>
              </w:rPr>
            </w:pPr>
            <w:r>
              <w:rPr>
                <w:rFonts w:ascii="Times New Roman" w:hAnsi="Times New Roman" w:cs="Times New Roman"/>
                <w:color w:val="000000" w:themeColor="text1"/>
                <w:sz w:val="21"/>
                <w14:textFill>
                  <w14:solidFill>
                    <w14:schemeClr w14:val="tx1"/>
                  </w14:solidFill>
                </w14:textFill>
              </w:rPr>
              <w:t>无水氟化氢</w:t>
            </w:r>
            <w:r>
              <w:rPr>
                <w:rFonts w:ascii="Times New Roman" w:hAnsi="Times New Roman" w:cs="Times New Roman"/>
                <w:color w:val="000000" w:themeColor="text1"/>
                <w:sz w:val="21"/>
                <w:lang w:eastAsia="zh-CN"/>
                <w14:textFill>
                  <w14:solidFill>
                    <w14:schemeClr w14:val="tx1"/>
                  </w14:solidFill>
                </w14:textFill>
              </w:rPr>
              <w:t>库房</w:t>
            </w:r>
          </w:p>
        </w:tc>
        <w:tc>
          <w:tcPr>
            <w:tcW w:w="1081" w:type="pct"/>
            <w:vAlign w:val="center"/>
          </w:tcPr>
          <w:p w14:paraId="7A415C5E">
            <w:pPr>
              <w:ind w:left="-120" w:leftChars="-50" w:right="-120" w:rightChars="-50"/>
              <w:jc w:val="center"/>
              <w:rPr>
                <w:rFonts w:ascii="Times New Roman" w:hAnsi="Times New Roman" w:cs="Times New Roman"/>
                <w:bCs/>
                <w:color w:val="auto"/>
                <w:sz w:val="21"/>
              </w:rPr>
            </w:pPr>
            <w:r>
              <w:rPr>
                <w:rFonts w:ascii="Times New Roman" w:hAnsi="Times New Roman" w:cs="Times New Roman"/>
                <w:color w:val="000000" w:themeColor="text1"/>
                <w:sz w:val="21"/>
                <w14:textFill>
                  <w14:solidFill>
                    <w14:schemeClr w14:val="tx1"/>
                  </w14:solidFill>
                </w14:textFill>
              </w:rPr>
              <w:t>无水氟化氢储罐</w:t>
            </w:r>
          </w:p>
        </w:tc>
        <w:tc>
          <w:tcPr>
            <w:tcW w:w="1672" w:type="pct"/>
            <w:vAlign w:val="center"/>
          </w:tcPr>
          <w:p w14:paraId="3881795C">
            <w:pPr>
              <w:ind w:left="-120" w:leftChars="-50" w:right="-120" w:rightChars="-50"/>
              <w:jc w:val="center"/>
              <w:rPr>
                <w:rFonts w:ascii="Times New Roman" w:hAnsi="Times New Roman" w:cs="Times New Roman"/>
                <w:bCs/>
                <w:color w:val="auto"/>
                <w:sz w:val="21"/>
              </w:rPr>
            </w:pPr>
            <w:r>
              <w:rPr>
                <w:rFonts w:ascii="Times New Roman" w:hAnsi="Times New Roman" w:cs="Times New Roman"/>
                <w:color w:val="000000" w:themeColor="text1"/>
                <w:sz w:val="21"/>
                <w14:textFill>
                  <w14:solidFill>
                    <w14:schemeClr w14:val="tx1"/>
                  </w14:solidFill>
                </w14:textFill>
              </w:rPr>
              <w:t>无水</w:t>
            </w:r>
            <w:r>
              <w:rPr>
                <w:rFonts w:ascii="Times New Roman" w:hAnsi="Times New Roman" w:cs="Times New Roman"/>
                <w:color w:val="000000" w:themeColor="text1"/>
                <w:kern w:val="2"/>
                <w:sz w:val="21"/>
                <w14:textFill>
                  <w14:solidFill>
                    <w14:schemeClr w14:val="tx1"/>
                  </w14:solidFill>
                </w14:textFill>
              </w:rPr>
              <w:t>氟化氢</w:t>
            </w:r>
          </w:p>
        </w:tc>
        <w:tc>
          <w:tcPr>
            <w:tcW w:w="593" w:type="pct"/>
            <w:vAlign w:val="center"/>
          </w:tcPr>
          <w:p w14:paraId="5A1997F6">
            <w:pPr>
              <w:jc w:val="center"/>
              <w:textAlignment w:val="center"/>
              <w:rPr>
                <w:rFonts w:ascii="Times New Roman" w:hAnsi="Times New Roman" w:cs="Times New Roman"/>
                <w:bCs/>
                <w:color w:val="auto"/>
                <w:sz w:val="21"/>
                <w:lang w:eastAsia="zh-CN" w:bidi="ar"/>
              </w:rPr>
            </w:pPr>
          </w:p>
        </w:tc>
        <w:tc>
          <w:tcPr>
            <w:tcW w:w="771" w:type="pct"/>
            <w:vAlign w:val="center"/>
          </w:tcPr>
          <w:p w14:paraId="22E79488">
            <w:pPr>
              <w:jc w:val="center"/>
              <w:textAlignment w:val="center"/>
              <w:rPr>
                <w:rFonts w:ascii="Times New Roman" w:hAnsi="Times New Roman" w:cs="Times New Roman"/>
                <w:bCs/>
                <w:color w:val="auto"/>
                <w:sz w:val="21"/>
                <w:lang w:eastAsia="zh-CN" w:bidi="ar"/>
              </w:rPr>
            </w:pPr>
          </w:p>
        </w:tc>
      </w:tr>
      <w:tr w14:paraId="4D447E3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83" w:type="pct"/>
            <w:vMerge w:val="restart"/>
            <w:vAlign w:val="center"/>
          </w:tcPr>
          <w:p w14:paraId="65FDAD61">
            <w:pPr>
              <w:ind w:left="-120" w:leftChars="-50" w:right="-120" w:rightChars="-50"/>
              <w:jc w:val="center"/>
              <w:rPr>
                <w:rFonts w:ascii="Times New Roman" w:hAnsi="Times New Roman" w:cs="Times New Roman"/>
                <w:bCs/>
                <w:color w:val="auto"/>
                <w:sz w:val="21"/>
              </w:rPr>
            </w:pPr>
            <w:r>
              <w:rPr>
                <w:rFonts w:ascii="Times New Roman" w:hAnsi="Times New Roman" w:cs="Times New Roman"/>
                <w:bCs/>
                <w:color w:val="auto"/>
                <w:sz w:val="21"/>
                <w:lang w:eastAsia="zh-CN"/>
              </w:rPr>
              <w:t>原料及产品罐区</w:t>
            </w:r>
          </w:p>
        </w:tc>
        <w:tc>
          <w:tcPr>
            <w:tcW w:w="1081" w:type="pct"/>
            <w:vAlign w:val="center"/>
          </w:tcPr>
          <w:p w14:paraId="4FF1437F">
            <w:pPr>
              <w:ind w:left="-120" w:leftChars="-50" w:right="-120" w:rightChars="-50"/>
              <w:jc w:val="center"/>
              <w:rPr>
                <w:rFonts w:ascii="Times New Roman" w:hAnsi="Times New Roman" w:cs="Times New Roman"/>
                <w:bCs/>
                <w:color w:val="auto"/>
                <w:sz w:val="21"/>
                <w:lang w:eastAsia="zh-CN"/>
              </w:rPr>
            </w:pPr>
            <w:r>
              <w:rPr>
                <w:rFonts w:ascii="Times New Roman" w:hAnsi="Times New Roman" w:cs="Times New Roman"/>
                <w:color w:val="000000" w:themeColor="text1"/>
                <w:kern w:val="2"/>
                <w:sz w:val="21"/>
                <w14:textFill>
                  <w14:solidFill>
                    <w14:schemeClr w14:val="tx1"/>
                  </w14:solidFill>
                </w14:textFill>
              </w:rPr>
              <w:t>15%</w:t>
            </w:r>
            <w:r>
              <w:rPr>
                <w:rFonts w:ascii="Times New Roman" w:hAnsi="Times New Roman" w:cs="Times New Roman"/>
                <w:color w:val="000000" w:themeColor="text1"/>
                <w:sz w:val="21"/>
                <w14:textFill>
                  <w14:solidFill>
                    <w14:schemeClr w14:val="tx1"/>
                  </w14:solidFill>
                </w14:textFill>
              </w:rPr>
              <w:t>氢氟酸</w:t>
            </w:r>
            <w:r>
              <w:rPr>
                <w:rFonts w:ascii="Times New Roman" w:hAnsi="Times New Roman" w:cs="Times New Roman"/>
                <w:color w:val="000000" w:themeColor="text1"/>
                <w:kern w:val="2"/>
                <w:sz w:val="21"/>
                <w14:textFill>
                  <w14:solidFill>
                    <w14:schemeClr w14:val="tx1"/>
                  </w14:solidFill>
                </w14:textFill>
              </w:rPr>
              <w:t>储罐</w:t>
            </w:r>
          </w:p>
        </w:tc>
        <w:tc>
          <w:tcPr>
            <w:tcW w:w="1672" w:type="pct"/>
            <w:vAlign w:val="center"/>
          </w:tcPr>
          <w:p w14:paraId="75B73022">
            <w:pPr>
              <w:ind w:left="-120" w:leftChars="-50" w:right="-120" w:rightChars="-50"/>
              <w:jc w:val="center"/>
              <w:rPr>
                <w:rFonts w:ascii="Times New Roman" w:hAnsi="Times New Roman" w:cs="Times New Roman"/>
                <w:bCs/>
                <w:color w:val="auto"/>
                <w:sz w:val="21"/>
                <w:lang w:eastAsia="zh-CN"/>
              </w:rPr>
            </w:pPr>
            <w:r>
              <w:rPr>
                <w:rFonts w:ascii="Times New Roman" w:hAnsi="Times New Roman" w:cs="Times New Roman"/>
                <w:color w:val="000000" w:themeColor="text1"/>
                <w:kern w:val="2"/>
                <w:sz w:val="21"/>
                <w14:textFill>
                  <w14:solidFill>
                    <w14:schemeClr w14:val="tx1"/>
                  </w14:solidFill>
                </w14:textFill>
              </w:rPr>
              <w:t>15%氟化氢</w:t>
            </w:r>
          </w:p>
        </w:tc>
        <w:tc>
          <w:tcPr>
            <w:tcW w:w="593" w:type="pct"/>
            <w:vAlign w:val="center"/>
          </w:tcPr>
          <w:p w14:paraId="0FBE6FC2">
            <w:pPr>
              <w:jc w:val="center"/>
              <w:textAlignment w:val="center"/>
              <w:rPr>
                <w:rFonts w:ascii="Times New Roman" w:hAnsi="Times New Roman" w:cs="Times New Roman"/>
                <w:bCs/>
                <w:color w:val="auto"/>
                <w:sz w:val="21"/>
                <w:lang w:eastAsia="zh-CN" w:bidi="ar"/>
              </w:rPr>
            </w:pPr>
          </w:p>
        </w:tc>
        <w:tc>
          <w:tcPr>
            <w:tcW w:w="771" w:type="pct"/>
            <w:vAlign w:val="center"/>
          </w:tcPr>
          <w:p w14:paraId="17D20C11">
            <w:pPr>
              <w:jc w:val="center"/>
              <w:textAlignment w:val="center"/>
              <w:rPr>
                <w:rFonts w:ascii="Times New Roman" w:hAnsi="Times New Roman" w:cs="Times New Roman"/>
                <w:bCs/>
                <w:color w:val="auto"/>
                <w:sz w:val="21"/>
                <w:lang w:eastAsia="zh-CN" w:bidi="ar"/>
              </w:rPr>
            </w:pPr>
          </w:p>
        </w:tc>
      </w:tr>
      <w:tr w14:paraId="44EA6F1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83" w:type="pct"/>
            <w:vMerge w:val="continue"/>
            <w:vAlign w:val="center"/>
          </w:tcPr>
          <w:p w14:paraId="050D78DB">
            <w:pPr>
              <w:ind w:left="-120" w:leftChars="-50" w:right="-120" w:rightChars="-50"/>
              <w:jc w:val="center"/>
              <w:rPr>
                <w:rFonts w:ascii="Times New Roman" w:hAnsi="Times New Roman" w:cs="Times New Roman"/>
                <w:color w:val="auto"/>
                <w:sz w:val="21"/>
                <w:lang w:eastAsia="zh-CN"/>
              </w:rPr>
            </w:pPr>
          </w:p>
        </w:tc>
        <w:tc>
          <w:tcPr>
            <w:tcW w:w="1081" w:type="pct"/>
            <w:vAlign w:val="center"/>
          </w:tcPr>
          <w:p w14:paraId="70E22952">
            <w:pPr>
              <w:ind w:left="-120" w:leftChars="-50" w:right="-120" w:rightChars="-5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化学纯氢氟酸</w:t>
            </w:r>
            <w:r>
              <w:rPr>
                <w:rFonts w:ascii="Times New Roman" w:hAnsi="Times New Roman" w:cs="Times New Roman"/>
                <w:color w:val="000000" w:themeColor="text1"/>
                <w:kern w:val="2"/>
                <w:sz w:val="21"/>
                <w14:textFill>
                  <w14:solidFill>
                    <w14:schemeClr w14:val="tx1"/>
                  </w14:solidFill>
                </w14:textFill>
              </w:rPr>
              <w:t>储罐</w:t>
            </w:r>
          </w:p>
        </w:tc>
        <w:tc>
          <w:tcPr>
            <w:tcW w:w="1672" w:type="pct"/>
            <w:vAlign w:val="center"/>
          </w:tcPr>
          <w:p w14:paraId="2F581EBC">
            <w:pPr>
              <w:ind w:left="-120" w:leftChars="-50" w:right="-120" w:rightChars="-50"/>
              <w:jc w:val="center"/>
              <w:rPr>
                <w:rFonts w:ascii="Times New Roman" w:hAnsi="Times New Roman" w:cs="Times New Roman"/>
                <w:color w:val="000000" w:themeColor="text1"/>
                <w:kern w:val="2"/>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化学纯氢氟酸</w:t>
            </w:r>
          </w:p>
        </w:tc>
        <w:tc>
          <w:tcPr>
            <w:tcW w:w="593" w:type="pct"/>
            <w:vAlign w:val="center"/>
          </w:tcPr>
          <w:p w14:paraId="629FD428">
            <w:pPr>
              <w:jc w:val="center"/>
              <w:textAlignment w:val="center"/>
              <w:rPr>
                <w:rFonts w:ascii="Times New Roman" w:hAnsi="Times New Roman" w:cs="Times New Roman"/>
                <w:color w:val="000000" w:themeColor="text1"/>
                <w:kern w:val="2"/>
                <w:sz w:val="21"/>
                <w14:textFill>
                  <w14:solidFill>
                    <w14:schemeClr w14:val="tx1"/>
                  </w14:solidFill>
                </w14:textFill>
              </w:rPr>
            </w:pPr>
          </w:p>
        </w:tc>
        <w:tc>
          <w:tcPr>
            <w:tcW w:w="771" w:type="pct"/>
            <w:vAlign w:val="center"/>
          </w:tcPr>
          <w:p w14:paraId="289AF5C6">
            <w:pPr>
              <w:jc w:val="center"/>
              <w:textAlignment w:val="center"/>
              <w:rPr>
                <w:rFonts w:ascii="Times New Roman" w:hAnsi="Times New Roman" w:cs="Times New Roman"/>
                <w:color w:val="000000" w:themeColor="text1"/>
                <w:kern w:val="2"/>
                <w:sz w:val="21"/>
                <w:lang w:eastAsia="zh-CN"/>
                <w14:textFill>
                  <w14:solidFill>
                    <w14:schemeClr w14:val="tx1"/>
                  </w14:solidFill>
                </w14:textFill>
              </w:rPr>
            </w:pPr>
          </w:p>
        </w:tc>
      </w:tr>
      <w:tr w14:paraId="7FF024D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83" w:type="pct"/>
            <w:vMerge w:val="restart"/>
            <w:vAlign w:val="center"/>
          </w:tcPr>
          <w:p w14:paraId="70B41B65">
            <w:pPr>
              <w:ind w:left="-120" w:leftChars="-50" w:right="-120" w:rightChars="-50"/>
              <w:jc w:val="center"/>
              <w:rPr>
                <w:rFonts w:ascii="Times New Roman" w:hAnsi="Times New Roman" w:cs="Times New Roman"/>
                <w:color w:val="auto"/>
                <w:sz w:val="21"/>
                <w:lang w:eastAsia="zh-CN"/>
              </w:rPr>
            </w:pPr>
            <w:r>
              <w:rPr>
                <w:rFonts w:ascii="Times New Roman" w:hAnsi="Times New Roman" w:cs="Times New Roman"/>
                <w:bCs/>
                <w:color w:val="auto"/>
                <w:sz w:val="21"/>
                <w:lang w:eastAsia="zh-CN"/>
              </w:rPr>
              <w:t>戊类罐区二</w:t>
            </w:r>
          </w:p>
        </w:tc>
        <w:tc>
          <w:tcPr>
            <w:tcW w:w="1081" w:type="pct"/>
            <w:vAlign w:val="center"/>
          </w:tcPr>
          <w:p w14:paraId="488BD652">
            <w:pPr>
              <w:ind w:left="-120" w:leftChars="-50" w:right="-120" w:rightChars="-50"/>
              <w:jc w:val="center"/>
              <w:rPr>
                <w:rFonts w:ascii="Times New Roman" w:hAnsi="Times New Roman" w:cs="Times New Roman"/>
                <w:color w:val="auto"/>
                <w:kern w:val="2"/>
                <w:sz w:val="21"/>
                <w:lang w:eastAsia="zh-CN"/>
              </w:rPr>
            </w:pPr>
            <w:r>
              <w:rPr>
                <w:rFonts w:ascii="Times New Roman" w:hAnsi="Times New Roman" w:cs="Times New Roman"/>
                <w:color w:val="000000" w:themeColor="text1"/>
                <w:kern w:val="2"/>
                <w:sz w:val="21"/>
                <w14:textFill>
                  <w14:solidFill>
                    <w14:schemeClr w14:val="tx1"/>
                  </w14:solidFill>
                </w14:textFill>
              </w:rPr>
              <w:t>31%盐酸储罐</w:t>
            </w:r>
          </w:p>
        </w:tc>
        <w:tc>
          <w:tcPr>
            <w:tcW w:w="1672" w:type="pct"/>
            <w:vAlign w:val="center"/>
          </w:tcPr>
          <w:p w14:paraId="37A9DF88">
            <w:pPr>
              <w:ind w:left="-120" w:leftChars="-50" w:right="-120" w:rightChars="-50"/>
              <w:jc w:val="center"/>
              <w:rPr>
                <w:rFonts w:ascii="Times New Roman" w:hAnsi="Times New Roman" w:cs="Times New Roman"/>
                <w:sz w:val="21"/>
                <w:lang w:eastAsia="zh-CN"/>
              </w:rPr>
            </w:pPr>
            <w:r>
              <w:rPr>
                <w:rFonts w:ascii="Times New Roman" w:hAnsi="Times New Roman" w:cs="Times New Roman"/>
                <w:color w:val="000000" w:themeColor="text1"/>
                <w:kern w:val="2"/>
                <w:sz w:val="21"/>
                <w14:textFill>
                  <w14:solidFill>
                    <w14:schemeClr w14:val="tx1"/>
                  </w14:solidFill>
                </w14:textFill>
              </w:rPr>
              <w:t>31%盐酸</w:t>
            </w:r>
          </w:p>
        </w:tc>
        <w:tc>
          <w:tcPr>
            <w:tcW w:w="593" w:type="pct"/>
            <w:vAlign w:val="center"/>
          </w:tcPr>
          <w:p w14:paraId="0AF132C9">
            <w:pPr>
              <w:jc w:val="center"/>
              <w:textAlignment w:val="center"/>
              <w:rPr>
                <w:rFonts w:ascii="Times New Roman" w:hAnsi="Times New Roman" w:cs="Times New Roman"/>
                <w:color w:val="auto"/>
                <w:sz w:val="21"/>
                <w:lang w:eastAsia="zh-CN"/>
              </w:rPr>
            </w:pPr>
          </w:p>
        </w:tc>
        <w:tc>
          <w:tcPr>
            <w:tcW w:w="771" w:type="pct"/>
            <w:vAlign w:val="center"/>
          </w:tcPr>
          <w:p w14:paraId="6235FC58">
            <w:pPr>
              <w:jc w:val="center"/>
              <w:textAlignment w:val="center"/>
              <w:rPr>
                <w:rFonts w:ascii="Times New Roman" w:hAnsi="Times New Roman" w:cs="Times New Roman"/>
                <w:color w:val="auto"/>
                <w:sz w:val="21"/>
                <w:lang w:eastAsia="zh-CN"/>
              </w:rPr>
            </w:pPr>
          </w:p>
        </w:tc>
      </w:tr>
      <w:tr w14:paraId="493E412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83" w:type="pct"/>
            <w:vMerge w:val="continue"/>
            <w:vAlign w:val="center"/>
          </w:tcPr>
          <w:p w14:paraId="66E1C51F">
            <w:pPr>
              <w:ind w:left="-120" w:leftChars="-50" w:right="-120" w:rightChars="-50"/>
              <w:jc w:val="center"/>
              <w:rPr>
                <w:rFonts w:ascii="Times New Roman" w:hAnsi="Times New Roman" w:cs="Times New Roman"/>
                <w:bCs/>
                <w:color w:val="auto"/>
                <w:sz w:val="21"/>
                <w:lang w:eastAsia="zh-CN"/>
              </w:rPr>
            </w:pPr>
          </w:p>
        </w:tc>
        <w:tc>
          <w:tcPr>
            <w:tcW w:w="1081" w:type="pct"/>
            <w:vAlign w:val="center"/>
          </w:tcPr>
          <w:p w14:paraId="7E542D9E">
            <w:pPr>
              <w:ind w:left="-120" w:leftChars="-50" w:right="-120" w:rightChars="-50"/>
              <w:jc w:val="center"/>
              <w:rPr>
                <w:rFonts w:ascii="Times New Roman" w:hAnsi="Times New Roman" w:cs="Times New Roman"/>
                <w:color w:val="000000" w:themeColor="text1"/>
                <w:kern w:val="2"/>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化学纯氢氟酸</w:t>
            </w:r>
            <w:r>
              <w:rPr>
                <w:rFonts w:ascii="Times New Roman" w:hAnsi="Times New Roman" w:cs="Times New Roman"/>
                <w:color w:val="000000" w:themeColor="text1"/>
                <w:kern w:val="2"/>
                <w:sz w:val="21"/>
                <w14:textFill>
                  <w14:solidFill>
                    <w14:schemeClr w14:val="tx1"/>
                  </w14:solidFill>
                </w14:textFill>
              </w:rPr>
              <w:t>储罐</w:t>
            </w:r>
          </w:p>
        </w:tc>
        <w:tc>
          <w:tcPr>
            <w:tcW w:w="1672" w:type="pct"/>
            <w:vAlign w:val="center"/>
          </w:tcPr>
          <w:p w14:paraId="7E671429">
            <w:pPr>
              <w:ind w:left="-120" w:leftChars="-50" w:right="-120" w:rightChars="-50"/>
              <w:jc w:val="center"/>
              <w:rPr>
                <w:rFonts w:ascii="Times New Roman" w:hAnsi="Times New Roman" w:cs="Times New Roman"/>
                <w:color w:val="000000" w:themeColor="text1"/>
                <w:kern w:val="2"/>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化学纯氢氟酸</w:t>
            </w:r>
          </w:p>
        </w:tc>
        <w:tc>
          <w:tcPr>
            <w:tcW w:w="593" w:type="pct"/>
            <w:vAlign w:val="center"/>
          </w:tcPr>
          <w:p w14:paraId="537D5C35">
            <w:pPr>
              <w:jc w:val="center"/>
              <w:textAlignment w:val="center"/>
              <w:rPr>
                <w:rFonts w:ascii="Times New Roman" w:hAnsi="Times New Roman" w:cs="Times New Roman"/>
                <w:bCs/>
                <w:color w:val="auto"/>
                <w:sz w:val="21"/>
                <w:lang w:eastAsia="zh-CN"/>
              </w:rPr>
            </w:pPr>
          </w:p>
        </w:tc>
        <w:tc>
          <w:tcPr>
            <w:tcW w:w="771" w:type="pct"/>
            <w:vAlign w:val="center"/>
          </w:tcPr>
          <w:p w14:paraId="0B474C14">
            <w:pPr>
              <w:jc w:val="center"/>
              <w:textAlignment w:val="center"/>
              <w:rPr>
                <w:rFonts w:ascii="Times New Roman" w:hAnsi="Times New Roman" w:cs="Times New Roman"/>
                <w:color w:val="auto"/>
                <w:sz w:val="21"/>
                <w:lang w:eastAsia="zh-CN"/>
              </w:rPr>
            </w:pPr>
          </w:p>
        </w:tc>
      </w:tr>
      <w:tr w14:paraId="782DCEE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83" w:type="pct"/>
            <w:vMerge w:val="continue"/>
            <w:vAlign w:val="center"/>
          </w:tcPr>
          <w:p w14:paraId="3AC33CE7">
            <w:pPr>
              <w:ind w:left="-120" w:leftChars="-50" w:right="-120" w:rightChars="-50"/>
              <w:jc w:val="center"/>
              <w:rPr>
                <w:rFonts w:ascii="Times New Roman" w:hAnsi="Times New Roman" w:cs="Times New Roman"/>
                <w:bCs/>
                <w:color w:val="auto"/>
                <w:sz w:val="21"/>
                <w:lang w:eastAsia="zh-CN"/>
              </w:rPr>
            </w:pPr>
          </w:p>
        </w:tc>
        <w:tc>
          <w:tcPr>
            <w:tcW w:w="1081" w:type="pct"/>
            <w:vAlign w:val="center"/>
          </w:tcPr>
          <w:p w14:paraId="6F044541">
            <w:pPr>
              <w:ind w:left="-120" w:leftChars="-50" w:right="-120" w:rightChars="-50"/>
              <w:jc w:val="center"/>
              <w:rPr>
                <w:rFonts w:ascii="Times New Roman" w:hAnsi="Times New Roman" w:cs="Times New Roman"/>
                <w:sz w:val="21"/>
                <w:lang w:eastAsia="zh-CN"/>
              </w:rPr>
            </w:pPr>
            <w:r>
              <w:rPr>
                <w:rFonts w:ascii="Times New Roman" w:hAnsi="Times New Roman" w:cs="Times New Roman"/>
                <w:color w:val="000000" w:themeColor="text1"/>
                <w:kern w:val="2"/>
                <w:sz w:val="21"/>
                <w14:textFill>
                  <w14:solidFill>
                    <w14:schemeClr w14:val="tx1"/>
                  </w14:solidFill>
                </w14:textFill>
              </w:rPr>
              <w:t>刻蚀液储罐</w:t>
            </w:r>
          </w:p>
        </w:tc>
        <w:tc>
          <w:tcPr>
            <w:tcW w:w="1672" w:type="pct"/>
            <w:vAlign w:val="center"/>
          </w:tcPr>
          <w:p w14:paraId="11E1B891">
            <w:pPr>
              <w:ind w:left="-120" w:leftChars="-50" w:right="-120" w:rightChars="-50"/>
              <w:jc w:val="center"/>
              <w:rPr>
                <w:rFonts w:ascii="Times New Roman" w:hAnsi="Times New Roman" w:cs="Times New Roman"/>
                <w:color w:val="auto"/>
                <w:sz w:val="21"/>
                <w:lang w:eastAsia="zh-CN"/>
              </w:rPr>
            </w:pPr>
            <w:r>
              <w:rPr>
                <w:rFonts w:ascii="Times New Roman" w:hAnsi="Times New Roman" w:cs="Times New Roman"/>
                <w:color w:val="000000" w:themeColor="text1"/>
                <w:kern w:val="2"/>
                <w:sz w:val="21"/>
                <w14:textFill>
                  <w14:solidFill>
                    <w14:schemeClr w14:val="tx1"/>
                  </w14:solidFill>
                </w14:textFill>
              </w:rPr>
              <w:t>刻蚀液</w:t>
            </w:r>
          </w:p>
        </w:tc>
        <w:tc>
          <w:tcPr>
            <w:tcW w:w="593" w:type="pct"/>
            <w:vAlign w:val="center"/>
          </w:tcPr>
          <w:p w14:paraId="1B724029">
            <w:pPr>
              <w:jc w:val="center"/>
              <w:textAlignment w:val="center"/>
              <w:rPr>
                <w:rFonts w:ascii="Times New Roman" w:hAnsi="Times New Roman" w:cs="Times New Roman"/>
                <w:color w:val="auto"/>
                <w:sz w:val="21"/>
                <w:lang w:eastAsia="zh-CN"/>
              </w:rPr>
            </w:pPr>
          </w:p>
        </w:tc>
        <w:tc>
          <w:tcPr>
            <w:tcW w:w="771" w:type="pct"/>
            <w:vAlign w:val="center"/>
          </w:tcPr>
          <w:p w14:paraId="09142231">
            <w:pPr>
              <w:jc w:val="center"/>
              <w:textAlignment w:val="center"/>
              <w:rPr>
                <w:rFonts w:ascii="Times New Roman" w:hAnsi="Times New Roman" w:cs="Times New Roman"/>
                <w:color w:val="auto"/>
                <w:sz w:val="21"/>
                <w:lang w:eastAsia="zh-CN"/>
              </w:rPr>
            </w:pPr>
          </w:p>
        </w:tc>
      </w:tr>
    </w:tbl>
    <w:p w14:paraId="1C9B7134">
      <w:pPr>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根据上述经验公式及参数，估算出各类固定顶罐主要废气污染物的排放量汇总见下表。</w:t>
      </w:r>
    </w:p>
    <w:p w14:paraId="12528B38">
      <w:pPr>
        <w:pStyle w:val="70"/>
        <w:ind w:firstLine="0" w:firstLineChars="0"/>
        <w:jc w:val="center"/>
        <w:rPr>
          <w:rFonts w:ascii="Times New Roman" w:hAnsi="Times New Roman" w:cs="Times New Roman"/>
          <w:color w:val="auto"/>
          <w:lang w:eastAsia="zh-CN"/>
        </w:rPr>
      </w:pPr>
      <w:r>
        <w:rPr>
          <w:rFonts w:ascii="Times New Roman" w:hAnsi="Times New Roman" w:cs="Times New Roman"/>
          <w:b/>
          <w:bCs/>
          <w:color w:val="auto"/>
          <w:lang w:eastAsia="zh-CN"/>
        </w:rPr>
        <w:t>表4.3-4 罐/槽大、小呼吸气产生量计算结果（t/a）</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080"/>
        <w:gridCol w:w="1331"/>
        <w:gridCol w:w="1339"/>
        <w:gridCol w:w="1070"/>
        <w:gridCol w:w="1189"/>
        <w:gridCol w:w="1308"/>
        <w:gridCol w:w="2429"/>
      </w:tblGrid>
      <w:tr w14:paraId="41CC3F2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340" w:hRule="atLeast"/>
          <w:jc w:val="center"/>
        </w:trPr>
        <w:tc>
          <w:tcPr>
            <w:tcW w:w="554" w:type="pct"/>
            <w:vAlign w:val="center"/>
          </w:tcPr>
          <w:p w14:paraId="03B3A715">
            <w:pPr>
              <w:jc w:val="center"/>
              <w:rPr>
                <w:rFonts w:ascii="Times New Roman" w:hAnsi="Times New Roman" w:cs="Times New Roman"/>
                <w:b/>
                <w:color w:val="auto"/>
                <w:sz w:val="21"/>
              </w:rPr>
            </w:pPr>
            <w:r>
              <w:rPr>
                <w:rFonts w:ascii="Times New Roman" w:hAnsi="Times New Roman" w:cs="Times New Roman"/>
                <w:b/>
                <w:color w:val="auto"/>
                <w:sz w:val="21"/>
              </w:rPr>
              <w:t>位置</w:t>
            </w:r>
          </w:p>
        </w:tc>
        <w:tc>
          <w:tcPr>
            <w:tcW w:w="683" w:type="pct"/>
            <w:vAlign w:val="center"/>
          </w:tcPr>
          <w:p w14:paraId="1E1D8BE6">
            <w:pPr>
              <w:jc w:val="center"/>
              <w:rPr>
                <w:rFonts w:ascii="Times New Roman" w:hAnsi="Times New Roman" w:cs="Times New Roman"/>
                <w:b/>
                <w:color w:val="auto"/>
                <w:sz w:val="21"/>
              </w:rPr>
            </w:pPr>
            <w:r>
              <w:rPr>
                <w:rFonts w:ascii="Times New Roman" w:hAnsi="Times New Roman" w:cs="Times New Roman"/>
                <w:b/>
                <w:color w:val="auto"/>
                <w:sz w:val="21"/>
              </w:rPr>
              <w:t>储罐/槽名称</w:t>
            </w:r>
          </w:p>
        </w:tc>
        <w:tc>
          <w:tcPr>
            <w:tcW w:w="687" w:type="pct"/>
            <w:vAlign w:val="center"/>
          </w:tcPr>
          <w:p w14:paraId="6E8CC407">
            <w:pPr>
              <w:jc w:val="center"/>
              <w:rPr>
                <w:rFonts w:ascii="Times New Roman" w:hAnsi="Times New Roman" w:cs="Times New Roman"/>
                <w:b/>
                <w:color w:val="auto"/>
                <w:sz w:val="21"/>
              </w:rPr>
            </w:pPr>
            <w:r>
              <w:rPr>
                <w:rFonts w:hint="eastAsia" w:ascii="Times New Roman" w:hAnsi="Times New Roman" w:cs="Times New Roman"/>
                <w:b/>
                <w:color w:val="auto"/>
                <w:sz w:val="21"/>
                <w:lang w:eastAsia="zh-CN"/>
              </w:rPr>
              <w:t>污染物</w:t>
            </w:r>
          </w:p>
        </w:tc>
        <w:tc>
          <w:tcPr>
            <w:tcW w:w="549" w:type="pct"/>
            <w:vAlign w:val="center"/>
          </w:tcPr>
          <w:p w14:paraId="25DA1015">
            <w:pPr>
              <w:jc w:val="center"/>
              <w:rPr>
                <w:rFonts w:ascii="Times New Roman" w:hAnsi="Times New Roman" w:cs="Times New Roman"/>
                <w:b/>
                <w:color w:val="auto"/>
                <w:sz w:val="21"/>
              </w:rPr>
            </w:pPr>
            <w:r>
              <w:rPr>
                <w:rFonts w:ascii="Times New Roman" w:hAnsi="Times New Roman" w:cs="Times New Roman"/>
                <w:b/>
                <w:bCs/>
                <w:color w:val="auto"/>
                <w:sz w:val="21"/>
                <w:lang w:eastAsia="zh-CN" w:bidi="ar"/>
              </w:rPr>
              <w:t>小呼吸</w:t>
            </w:r>
          </w:p>
        </w:tc>
        <w:tc>
          <w:tcPr>
            <w:tcW w:w="610" w:type="pct"/>
            <w:vAlign w:val="center"/>
          </w:tcPr>
          <w:p w14:paraId="2592A9C0">
            <w:pPr>
              <w:jc w:val="center"/>
              <w:rPr>
                <w:rFonts w:ascii="Times New Roman" w:hAnsi="Times New Roman" w:cs="Times New Roman"/>
                <w:b/>
                <w:color w:val="auto"/>
                <w:sz w:val="21"/>
              </w:rPr>
            </w:pPr>
            <w:r>
              <w:rPr>
                <w:rFonts w:ascii="Times New Roman" w:hAnsi="Times New Roman" w:cs="Times New Roman"/>
                <w:b/>
                <w:bCs/>
                <w:color w:val="auto"/>
                <w:sz w:val="21"/>
                <w:lang w:eastAsia="zh-CN" w:bidi="ar"/>
              </w:rPr>
              <w:t>大呼吸</w:t>
            </w:r>
          </w:p>
        </w:tc>
        <w:tc>
          <w:tcPr>
            <w:tcW w:w="671" w:type="pct"/>
            <w:vAlign w:val="center"/>
          </w:tcPr>
          <w:p w14:paraId="60CE63FC">
            <w:pPr>
              <w:jc w:val="center"/>
              <w:rPr>
                <w:rFonts w:ascii="Times New Roman" w:hAnsi="Times New Roman" w:cs="Times New Roman"/>
                <w:color w:val="auto"/>
                <w:sz w:val="21"/>
              </w:rPr>
            </w:pPr>
            <w:r>
              <w:rPr>
                <w:rFonts w:ascii="Times New Roman" w:hAnsi="Times New Roman" w:cs="Times New Roman"/>
                <w:b/>
                <w:color w:val="auto"/>
                <w:sz w:val="21"/>
              </w:rPr>
              <w:t>合计</w:t>
            </w:r>
          </w:p>
        </w:tc>
        <w:tc>
          <w:tcPr>
            <w:tcW w:w="1246" w:type="pct"/>
            <w:vAlign w:val="center"/>
          </w:tcPr>
          <w:p w14:paraId="68DEAE29">
            <w:pPr>
              <w:jc w:val="center"/>
              <w:rPr>
                <w:rFonts w:ascii="Times New Roman" w:hAnsi="Times New Roman" w:cs="Times New Roman"/>
                <w:color w:val="auto"/>
                <w:sz w:val="21"/>
                <w:lang w:eastAsia="zh-CN"/>
              </w:rPr>
            </w:pPr>
            <w:r>
              <w:rPr>
                <w:rFonts w:ascii="Times New Roman" w:hAnsi="Times New Roman" w:cs="Times New Roman"/>
                <w:b/>
                <w:color w:val="auto"/>
                <w:sz w:val="21"/>
              </w:rPr>
              <w:t>收集及处理措施</w:t>
            </w:r>
          </w:p>
        </w:tc>
      </w:tr>
      <w:tr w14:paraId="6FC3548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4" w:type="pct"/>
            <w:vAlign w:val="center"/>
          </w:tcPr>
          <w:p w14:paraId="539F6FFE">
            <w:pPr>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无水氟化氢</w:t>
            </w:r>
            <w:r>
              <w:rPr>
                <w:rFonts w:ascii="Times New Roman" w:hAnsi="Times New Roman" w:cs="Times New Roman"/>
                <w:color w:val="000000" w:themeColor="text1"/>
                <w:sz w:val="21"/>
                <w:lang w:eastAsia="zh-CN"/>
                <w14:textFill>
                  <w14:solidFill>
                    <w14:schemeClr w14:val="tx1"/>
                  </w14:solidFill>
                </w14:textFill>
              </w:rPr>
              <w:t>库房</w:t>
            </w:r>
          </w:p>
        </w:tc>
        <w:tc>
          <w:tcPr>
            <w:tcW w:w="683" w:type="pct"/>
            <w:vAlign w:val="center"/>
          </w:tcPr>
          <w:p w14:paraId="26983F4A">
            <w:pPr>
              <w:jc w:val="center"/>
              <w:rPr>
                <w:rFonts w:ascii="Times New Roman" w:hAnsi="Times New Roman" w:cs="Times New Roman"/>
                <w:color w:val="auto"/>
                <w:sz w:val="21"/>
              </w:rPr>
            </w:pPr>
          </w:p>
        </w:tc>
        <w:tc>
          <w:tcPr>
            <w:tcW w:w="687" w:type="pct"/>
            <w:vAlign w:val="center"/>
          </w:tcPr>
          <w:p w14:paraId="39C0AF75">
            <w:pPr>
              <w:jc w:val="center"/>
              <w:rPr>
                <w:rFonts w:ascii="Times New Roman" w:hAnsi="Times New Roman" w:cs="Times New Roman"/>
                <w:color w:val="auto"/>
                <w:sz w:val="21"/>
                <w:lang w:eastAsia="zh-CN"/>
              </w:rPr>
            </w:pPr>
          </w:p>
        </w:tc>
        <w:tc>
          <w:tcPr>
            <w:tcW w:w="549" w:type="pct"/>
            <w:vAlign w:val="center"/>
          </w:tcPr>
          <w:p w14:paraId="77AFBC2D">
            <w:pPr>
              <w:jc w:val="center"/>
              <w:textAlignment w:val="center"/>
              <w:rPr>
                <w:rFonts w:ascii="Times New Roman" w:hAnsi="Times New Roman" w:cs="Times New Roman"/>
                <w:color w:val="auto"/>
                <w:sz w:val="21"/>
                <w:lang w:eastAsia="zh-CN" w:bidi="ar"/>
              </w:rPr>
            </w:pPr>
          </w:p>
        </w:tc>
        <w:tc>
          <w:tcPr>
            <w:tcW w:w="610" w:type="pct"/>
            <w:vAlign w:val="center"/>
          </w:tcPr>
          <w:p w14:paraId="032B4E8E">
            <w:pPr>
              <w:jc w:val="center"/>
              <w:textAlignment w:val="center"/>
              <w:rPr>
                <w:rFonts w:ascii="Times New Roman" w:hAnsi="Times New Roman" w:cs="Times New Roman"/>
                <w:color w:val="auto"/>
                <w:sz w:val="21"/>
                <w:lang w:eastAsia="zh-CN" w:bidi="ar"/>
              </w:rPr>
            </w:pPr>
          </w:p>
        </w:tc>
        <w:tc>
          <w:tcPr>
            <w:tcW w:w="671" w:type="pct"/>
            <w:vAlign w:val="center"/>
          </w:tcPr>
          <w:p w14:paraId="0D8D4414">
            <w:pPr>
              <w:jc w:val="center"/>
              <w:textAlignment w:val="center"/>
              <w:rPr>
                <w:rFonts w:ascii="Times New Roman" w:hAnsi="Times New Roman" w:cs="Times New Roman"/>
                <w:color w:val="auto"/>
                <w:sz w:val="21"/>
                <w:lang w:eastAsia="zh-CN" w:bidi="ar"/>
              </w:rPr>
            </w:pPr>
          </w:p>
        </w:tc>
        <w:tc>
          <w:tcPr>
            <w:tcW w:w="1246" w:type="pct"/>
            <w:vMerge w:val="restart"/>
            <w:vAlign w:val="center"/>
          </w:tcPr>
          <w:p w14:paraId="7F796923">
            <w:pPr>
              <w:jc w:val="center"/>
              <w:textAlignment w:val="center"/>
              <w:rPr>
                <w:rFonts w:ascii="Times New Roman" w:hAnsi="Times New Roman" w:cs="Times New Roman"/>
                <w:color w:val="auto"/>
                <w:sz w:val="21"/>
                <w:lang w:eastAsia="zh-CN"/>
              </w:rPr>
            </w:pPr>
          </w:p>
        </w:tc>
      </w:tr>
      <w:tr w14:paraId="663DF90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4" w:type="pct"/>
            <w:vMerge w:val="restart"/>
            <w:vAlign w:val="center"/>
          </w:tcPr>
          <w:p w14:paraId="1B023D3A">
            <w:pPr>
              <w:jc w:val="center"/>
              <w:rPr>
                <w:rFonts w:ascii="Times New Roman" w:hAnsi="Times New Roman" w:cs="Times New Roman"/>
                <w:color w:val="auto"/>
                <w:sz w:val="21"/>
                <w:lang w:eastAsia="zh-CN"/>
              </w:rPr>
            </w:pPr>
            <w:r>
              <w:rPr>
                <w:rFonts w:ascii="Times New Roman" w:hAnsi="Times New Roman" w:cs="Times New Roman"/>
                <w:bCs/>
                <w:color w:val="auto"/>
                <w:sz w:val="21"/>
                <w:lang w:eastAsia="zh-CN"/>
              </w:rPr>
              <w:t>原料及产品罐区</w:t>
            </w:r>
          </w:p>
        </w:tc>
        <w:tc>
          <w:tcPr>
            <w:tcW w:w="683" w:type="pct"/>
            <w:vAlign w:val="center"/>
          </w:tcPr>
          <w:p w14:paraId="3FF3A260">
            <w:pPr>
              <w:jc w:val="center"/>
              <w:rPr>
                <w:rFonts w:ascii="Times New Roman" w:hAnsi="Times New Roman" w:cs="Times New Roman"/>
                <w:color w:val="auto"/>
                <w:sz w:val="21"/>
                <w:lang w:eastAsia="zh-CN"/>
              </w:rPr>
            </w:pPr>
          </w:p>
        </w:tc>
        <w:tc>
          <w:tcPr>
            <w:tcW w:w="687" w:type="pct"/>
            <w:vAlign w:val="center"/>
          </w:tcPr>
          <w:p w14:paraId="00A92195">
            <w:pPr>
              <w:jc w:val="center"/>
              <w:rPr>
                <w:rFonts w:ascii="Times New Roman" w:hAnsi="Times New Roman" w:cs="Times New Roman"/>
                <w:color w:val="auto"/>
                <w:sz w:val="21"/>
                <w:lang w:eastAsia="zh-CN"/>
              </w:rPr>
            </w:pPr>
          </w:p>
        </w:tc>
        <w:tc>
          <w:tcPr>
            <w:tcW w:w="549" w:type="pct"/>
            <w:vAlign w:val="center"/>
          </w:tcPr>
          <w:p w14:paraId="5A56F43F">
            <w:pPr>
              <w:jc w:val="center"/>
              <w:textAlignment w:val="center"/>
              <w:rPr>
                <w:rFonts w:ascii="Times New Roman" w:hAnsi="Times New Roman" w:cs="Times New Roman"/>
                <w:color w:val="auto"/>
                <w:sz w:val="21"/>
                <w:lang w:eastAsia="zh-CN" w:bidi="ar"/>
              </w:rPr>
            </w:pPr>
          </w:p>
        </w:tc>
        <w:tc>
          <w:tcPr>
            <w:tcW w:w="610" w:type="pct"/>
            <w:vAlign w:val="center"/>
          </w:tcPr>
          <w:p w14:paraId="2A1F7E6B">
            <w:pPr>
              <w:jc w:val="center"/>
              <w:textAlignment w:val="center"/>
              <w:rPr>
                <w:rFonts w:ascii="Times New Roman" w:hAnsi="Times New Roman" w:cs="Times New Roman"/>
                <w:color w:val="auto"/>
                <w:sz w:val="21"/>
                <w:lang w:eastAsia="zh-CN" w:bidi="ar"/>
              </w:rPr>
            </w:pPr>
          </w:p>
        </w:tc>
        <w:tc>
          <w:tcPr>
            <w:tcW w:w="671" w:type="pct"/>
            <w:vAlign w:val="center"/>
          </w:tcPr>
          <w:p w14:paraId="1E481E1E">
            <w:pPr>
              <w:jc w:val="center"/>
              <w:textAlignment w:val="center"/>
              <w:rPr>
                <w:rFonts w:ascii="Times New Roman" w:hAnsi="Times New Roman" w:cs="Times New Roman"/>
                <w:color w:val="auto"/>
                <w:sz w:val="21"/>
                <w:lang w:eastAsia="zh-CN" w:bidi="ar"/>
              </w:rPr>
            </w:pPr>
          </w:p>
        </w:tc>
        <w:tc>
          <w:tcPr>
            <w:tcW w:w="1246" w:type="pct"/>
            <w:vMerge w:val="continue"/>
            <w:vAlign w:val="center"/>
          </w:tcPr>
          <w:p w14:paraId="4FB823B0">
            <w:pPr>
              <w:jc w:val="center"/>
              <w:textAlignment w:val="center"/>
              <w:rPr>
                <w:rFonts w:ascii="Times New Roman" w:hAnsi="Times New Roman" w:cs="Times New Roman"/>
                <w:color w:val="auto"/>
                <w:sz w:val="21"/>
                <w:lang w:eastAsia="zh-CN"/>
              </w:rPr>
            </w:pPr>
          </w:p>
        </w:tc>
      </w:tr>
      <w:tr w14:paraId="6C060C9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4" w:type="pct"/>
            <w:vMerge w:val="continue"/>
            <w:vAlign w:val="center"/>
          </w:tcPr>
          <w:p w14:paraId="05D1FC80">
            <w:pPr>
              <w:jc w:val="center"/>
              <w:rPr>
                <w:rFonts w:ascii="Times New Roman" w:hAnsi="Times New Roman" w:cs="Times New Roman"/>
                <w:bCs/>
                <w:color w:val="auto"/>
                <w:sz w:val="21"/>
                <w:lang w:eastAsia="zh-CN"/>
              </w:rPr>
            </w:pPr>
          </w:p>
        </w:tc>
        <w:tc>
          <w:tcPr>
            <w:tcW w:w="683" w:type="pct"/>
            <w:vAlign w:val="center"/>
          </w:tcPr>
          <w:p w14:paraId="63D07C23">
            <w:pPr>
              <w:jc w:val="center"/>
              <w:rPr>
                <w:rFonts w:ascii="Times New Roman" w:hAnsi="Times New Roman" w:cs="Times New Roman"/>
                <w:color w:val="000000" w:themeColor="text1"/>
                <w:sz w:val="21"/>
                <w14:textFill>
                  <w14:solidFill>
                    <w14:schemeClr w14:val="tx1"/>
                  </w14:solidFill>
                </w14:textFill>
              </w:rPr>
            </w:pPr>
          </w:p>
        </w:tc>
        <w:tc>
          <w:tcPr>
            <w:tcW w:w="687" w:type="pct"/>
            <w:vAlign w:val="center"/>
          </w:tcPr>
          <w:p w14:paraId="5037290D">
            <w:pPr>
              <w:jc w:val="center"/>
              <w:rPr>
                <w:rFonts w:ascii="Times New Roman" w:hAnsi="Times New Roman" w:cs="Times New Roman"/>
                <w:color w:val="000000" w:themeColor="text1"/>
                <w:kern w:val="2"/>
                <w:sz w:val="21"/>
                <w14:textFill>
                  <w14:solidFill>
                    <w14:schemeClr w14:val="tx1"/>
                  </w14:solidFill>
                </w14:textFill>
              </w:rPr>
            </w:pPr>
          </w:p>
        </w:tc>
        <w:tc>
          <w:tcPr>
            <w:tcW w:w="549" w:type="pct"/>
            <w:vAlign w:val="center"/>
          </w:tcPr>
          <w:p w14:paraId="654FEE96">
            <w:pPr>
              <w:jc w:val="center"/>
              <w:textAlignment w:val="center"/>
              <w:rPr>
                <w:rFonts w:ascii="Times New Roman" w:hAnsi="Times New Roman" w:cs="Times New Roman"/>
                <w:color w:val="auto"/>
                <w:sz w:val="21"/>
                <w:lang w:eastAsia="zh-CN"/>
              </w:rPr>
            </w:pPr>
          </w:p>
        </w:tc>
        <w:tc>
          <w:tcPr>
            <w:tcW w:w="610" w:type="pct"/>
            <w:vAlign w:val="center"/>
          </w:tcPr>
          <w:p w14:paraId="2F5382BF">
            <w:pPr>
              <w:jc w:val="center"/>
              <w:textAlignment w:val="center"/>
              <w:rPr>
                <w:rFonts w:ascii="Times New Roman" w:hAnsi="Times New Roman" w:cs="Times New Roman"/>
                <w:color w:val="auto"/>
                <w:sz w:val="21"/>
                <w:lang w:eastAsia="zh-CN"/>
              </w:rPr>
            </w:pPr>
          </w:p>
        </w:tc>
        <w:tc>
          <w:tcPr>
            <w:tcW w:w="671" w:type="pct"/>
            <w:vAlign w:val="center"/>
          </w:tcPr>
          <w:p w14:paraId="0ABCAE9E">
            <w:pPr>
              <w:jc w:val="center"/>
              <w:textAlignment w:val="center"/>
              <w:rPr>
                <w:rFonts w:ascii="Times New Roman" w:hAnsi="Times New Roman" w:cs="Times New Roman"/>
                <w:sz w:val="21"/>
                <w:lang w:eastAsia="zh-CN"/>
              </w:rPr>
            </w:pPr>
          </w:p>
        </w:tc>
        <w:tc>
          <w:tcPr>
            <w:tcW w:w="1246" w:type="pct"/>
            <w:vMerge w:val="continue"/>
            <w:vAlign w:val="center"/>
          </w:tcPr>
          <w:p w14:paraId="0383A2B8">
            <w:pPr>
              <w:jc w:val="center"/>
              <w:textAlignment w:val="center"/>
              <w:rPr>
                <w:rFonts w:ascii="Times New Roman" w:hAnsi="Times New Roman" w:cs="Times New Roman"/>
                <w:color w:val="auto"/>
                <w:sz w:val="21"/>
                <w:lang w:eastAsia="zh-CN"/>
              </w:rPr>
            </w:pPr>
          </w:p>
        </w:tc>
      </w:tr>
      <w:tr w14:paraId="74A53F3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37" w:type="pct"/>
            <w:gridSpan w:val="2"/>
            <w:vAlign w:val="center"/>
          </w:tcPr>
          <w:p w14:paraId="0A9F4475">
            <w:pPr>
              <w:jc w:val="center"/>
              <w:rPr>
                <w:rFonts w:ascii="Times New Roman" w:hAnsi="Times New Roman" w:cs="Times New Roman"/>
                <w:color w:val="auto"/>
                <w:kern w:val="2"/>
                <w:sz w:val="21"/>
                <w:lang w:eastAsia="zh-CN"/>
              </w:rPr>
            </w:pPr>
          </w:p>
        </w:tc>
        <w:tc>
          <w:tcPr>
            <w:tcW w:w="687" w:type="pct"/>
            <w:vAlign w:val="center"/>
          </w:tcPr>
          <w:p w14:paraId="1B1205B6">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49" w:type="pct"/>
            <w:vAlign w:val="center"/>
          </w:tcPr>
          <w:p w14:paraId="2278D751">
            <w:pPr>
              <w:jc w:val="center"/>
              <w:textAlignment w:val="center"/>
              <w:rPr>
                <w:rFonts w:ascii="Times New Roman" w:hAnsi="Times New Roman" w:cs="Times New Roman"/>
                <w:sz w:val="21"/>
                <w:lang w:eastAsia="zh-CN"/>
              </w:rPr>
            </w:pPr>
          </w:p>
        </w:tc>
        <w:tc>
          <w:tcPr>
            <w:tcW w:w="610" w:type="pct"/>
            <w:vAlign w:val="center"/>
          </w:tcPr>
          <w:p w14:paraId="10E6FED6">
            <w:pPr>
              <w:jc w:val="center"/>
              <w:textAlignment w:val="center"/>
              <w:rPr>
                <w:rFonts w:ascii="Times New Roman" w:hAnsi="Times New Roman" w:cs="Times New Roman"/>
                <w:sz w:val="21"/>
                <w:lang w:eastAsia="zh-CN"/>
              </w:rPr>
            </w:pPr>
          </w:p>
        </w:tc>
        <w:tc>
          <w:tcPr>
            <w:tcW w:w="671" w:type="pct"/>
            <w:vAlign w:val="center"/>
          </w:tcPr>
          <w:p w14:paraId="2D56DE4E">
            <w:pPr>
              <w:jc w:val="center"/>
              <w:textAlignment w:val="center"/>
              <w:rPr>
                <w:rFonts w:ascii="Times New Roman" w:hAnsi="Times New Roman" w:cs="Times New Roman"/>
                <w:sz w:val="21"/>
                <w:lang w:eastAsia="zh-CN"/>
              </w:rPr>
            </w:pPr>
          </w:p>
        </w:tc>
        <w:tc>
          <w:tcPr>
            <w:tcW w:w="1246" w:type="pct"/>
            <w:vAlign w:val="center"/>
          </w:tcPr>
          <w:p w14:paraId="789B309F">
            <w:pPr>
              <w:jc w:val="center"/>
              <w:textAlignment w:val="center"/>
              <w:rPr>
                <w:rFonts w:ascii="Times New Roman" w:hAnsi="Times New Roman" w:cs="Times New Roman"/>
                <w:color w:val="auto"/>
                <w:sz w:val="21"/>
                <w:lang w:eastAsia="zh-CN"/>
              </w:rPr>
            </w:pPr>
          </w:p>
        </w:tc>
      </w:tr>
      <w:tr w14:paraId="76735FD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4" w:type="pct"/>
            <w:vMerge w:val="restart"/>
            <w:vAlign w:val="center"/>
          </w:tcPr>
          <w:p w14:paraId="0B03E770">
            <w:pPr>
              <w:jc w:val="center"/>
              <w:rPr>
                <w:rFonts w:ascii="Times New Roman" w:hAnsi="Times New Roman" w:cs="Times New Roman"/>
                <w:bCs/>
                <w:color w:val="auto"/>
                <w:sz w:val="21"/>
                <w:lang w:eastAsia="zh-CN"/>
              </w:rPr>
            </w:pPr>
            <w:r>
              <w:rPr>
                <w:rFonts w:ascii="Times New Roman" w:hAnsi="Times New Roman" w:cs="Times New Roman"/>
                <w:bCs/>
                <w:color w:val="auto"/>
                <w:sz w:val="21"/>
                <w:lang w:eastAsia="zh-CN"/>
              </w:rPr>
              <w:t>戊类罐区二</w:t>
            </w:r>
          </w:p>
        </w:tc>
        <w:tc>
          <w:tcPr>
            <w:tcW w:w="683" w:type="pct"/>
            <w:vAlign w:val="center"/>
          </w:tcPr>
          <w:p w14:paraId="2FD2648B">
            <w:pPr>
              <w:jc w:val="center"/>
              <w:rPr>
                <w:rFonts w:ascii="Times New Roman" w:hAnsi="Times New Roman" w:cs="Times New Roman"/>
                <w:color w:val="auto"/>
                <w:kern w:val="2"/>
                <w:sz w:val="21"/>
                <w:lang w:eastAsia="zh-CN"/>
              </w:rPr>
            </w:pPr>
          </w:p>
        </w:tc>
        <w:tc>
          <w:tcPr>
            <w:tcW w:w="687" w:type="pct"/>
            <w:vAlign w:val="center"/>
          </w:tcPr>
          <w:p w14:paraId="3567EC75">
            <w:pPr>
              <w:jc w:val="center"/>
              <w:rPr>
                <w:rFonts w:ascii="Times New Roman" w:hAnsi="Times New Roman" w:cs="Times New Roman"/>
                <w:color w:val="auto"/>
                <w:kern w:val="2"/>
                <w:sz w:val="21"/>
                <w:lang w:eastAsia="zh-CN"/>
              </w:rPr>
            </w:pPr>
          </w:p>
        </w:tc>
        <w:tc>
          <w:tcPr>
            <w:tcW w:w="549" w:type="pct"/>
            <w:vAlign w:val="center"/>
          </w:tcPr>
          <w:p w14:paraId="2940685C">
            <w:pPr>
              <w:jc w:val="center"/>
              <w:textAlignment w:val="center"/>
              <w:rPr>
                <w:rFonts w:ascii="Times New Roman" w:hAnsi="Times New Roman" w:cs="Times New Roman"/>
                <w:sz w:val="21"/>
                <w:lang w:eastAsia="zh-CN"/>
              </w:rPr>
            </w:pPr>
          </w:p>
        </w:tc>
        <w:tc>
          <w:tcPr>
            <w:tcW w:w="610" w:type="pct"/>
            <w:vAlign w:val="center"/>
          </w:tcPr>
          <w:p w14:paraId="75AA639A">
            <w:pPr>
              <w:jc w:val="center"/>
              <w:textAlignment w:val="center"/>
              <w:rPr>
                <w:rFonts w:ascii="Times New Roman" w:hAnsi="Times New Roman" w:cs="Times New Roman"/>
                <w:sz w:val="21"/>
                <w:lang w:eastAsia="zh-CN"/>
              </w:rPr>
            </w:pPr>
          </w:p>
        </w:tc>
        <w:tc>
          <w:tcPr>
            <w:tcW w:w="671" w:type="pct"/>
            <w:vAlign w:val="center"/>
          </w:tcPr>
          <w:p w14:paraId="54DEFC25">
            <w:pPr>
              <w:jc w:val="center"/>
              <w:textAlignment w:val="center"/>
              <w:rPr>
                <w:rFonts w:ascii="Times New Roman" w:hAnsi="Times New Roman" w:cs="Times New Roman"/>
                <w:sz w:val="21"/>
                <w:lang w:eastAsia="zh-CN"/>
              </w:rPr>
            </w:pPr>
          </w:p>
        </w:tc>
        <w:tc>
          <w:tcPr>
            <w:tcW w:w="1246" w:type="pct"/>
            <w:vMerge w:val="restart"/>
            <w:vAlign w:val="center"/>
          </w:tcPr>
          <w:p w14:paraId="097C0909">
            <w:pPr>
              <w:jc w:val="center"/>
              <w:textAlignment w:val="center"/>
              <w:rPr>
                <w:rFonts w:ascii="Times New Roman" w:hAnsi="Times New Roman" w:cs="Times New Roman"/>
                <w:color w:val="auto"/>
                <w:sz w:val="21"/>
                <w:lang w:eastAsia="zh-CN"/>
              </w:rPr>
            </w:pPr>
          </w:p>
        </w:tc>
      </w:tr>
      <w:tr w14:paraId="1D44F52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4" w:type="pct"/>
            <w:vMerge w:val="continue"/>
            <w:vAlign w:val="center"/>
          </w:tcPr>
          <w:p w14:paraId="2F598946">
            <w:pPr>
              <w:jc w:val="center"/>
              <w:rPr>
                <w:rFonts w:ascii="Times New Roman" w:hAnsi="Times New Roman" w:cs="Times New Roman"/>
                <w:bCs/>
                <w:color w:val="auto"/>
                <w:sz w:val="21"/>
                <w:lang w:eastAsia="zh-CN"/>
              </w:rPr>
            </w:pPr>
          </w:p>
        </w:tc>
        <w:tc>
          <w:tcPr>
            <w:tcW w:w="683" w:type="pct"/>
            <w:vAlign w:val="center"/>
          </w:tcPr>
          <w:p w14:paraId="18F3FCA7">
            <w:pPr>
              <w:jc w:val="center"/>
              <w:rPr>
                <w:rFonts w:ascii="Times New Roman" w:hAnsi="Times New Roman" w:cs="Times New Roman"/>
                <w:color w:val="000000" w:themeColor="text1"/>
                <w:kern w:val="2"/>
                <w:sz w:val="21"/>
                <w14:textFill>
                  <w14:solidFill>
                    <w14:schemeClr w14:val="tx1"/>
                  </w14:solidFill>
                </w14:textFill>
              </w:rPr>
            </w:pPr>
          </w:p>
        </w:tc>
        <w:tc>
          <w:tcPr>
            <w:tcW w:w="687" w:type="pct"/>
            <w:vAlign w:val="center"/>
          </w:tcPr>
          <w:p w14:paraId="63304B50">
            <w:pPr>
              <w:jc w:val="center"/>
              <w:rPr>
                <w:rFonts w:ascii="Times New Roman" w:hAnsi="Times New Roman" w:cs="Times New Roman"/>
                <w:color w:val="000000" w:themeColor="text1"/>
                <w:kern w:val="2"/>
                <w:sz w:val="21"/>
                <w:lang w:eastAsia="zh-CN"/>
                <w14:textFill>
                  <w14:solidFill>
                    <w14:schemeClr w14:val="tx1"/>
                  </w14:solidFill>
                </w14:textFill>
              </w:rPr>
            </w:pPr>
          </w:p>
        </w:tc>
        <w:tc>
          <w:tcPr>
            <w:tcW w:w="549" w:type="pct"/>
            <w:vAlign w:val="center"/>
          </w:tcPr>
          <w:p w14:paraId="6CFC2050">
            <w:pPr>
              <w:jc w:val="center"/>
              <w:textAlignment w:val="center"/>
              <w:rPr>
                <w:rFonts w:ascii="Times New Roman" w:hAnsi="Times New Roman" w:cs="Times New Roman"/>
                <w:color w:val="auto"/>
                <w:sz w:val="21"/>
                <w:lang w:eastAsia="zh-CN" w:bidi="ar"/>
              </w:rPr>
            </w:pPr>
          </w:p>
        </w:tc>
        <w:tc>
          <w:tcPr>
            <w:tcW w:w="610" w:type="pct"/>
            <w:vAlign w:val="center"/>
          </w:tcPr>
          <w:p w14:paraId="1F70825E">
            <w:pPr>
              <w:jc w:val="center"/>
              <w:textAlignment w:val="center"/>
              <w:rPr>
                <w:rFonts w:ascii="Times New Roman" w:hAnsi="Times New Roman" w:cs="Times New Roman"/>
                <w:color w:val="auto"/>
                <w:sz w:val="21"/>
                <w:lang w:eastAsia="zh-CN" w:bidi="ar"/>
              </w:rPr>
            </w:pPr>
          </w:p>
        </w:tc>
        <w:tc>
          <w:tcPr>
            <w:tcW w:w="671" w:type="pct"/>
            <w:vAlign w:val="center"/>
          </w:tcPr>
          <w:p w14:paraId="3A4619CE">
            <w:pPr>
              <w:jc w:val="center"/>
              <w:textAlignment w:val="center"/>
              <w:rPr>
                <w:rFonts w:ascii="Times New Roman" w:hAnsi="Times New Roman" w:cs="Times New Roman"/>
                <w:sz w:val="21"/>
                <w:lang w:eastAsia="zh-CN"/>
              </w:rPr>
            </w:pPr>
          </w:p>
        </w:tc>
        <w:tc>
          <w:tcPr>
            <w:tcW w:w="1246" w:type="pct"/>
            <w:vMerge w:val="continue"/>
            <w:vAlign w:val="center"/>
          </w:tcPr>
          <w:p w14:paraId="2E58BC85">
            <w:pPr>
              <w:jc w:val="center"/>
              <w:textAlignment w:val="center"/>
              <w:rPr>
                <w:rFonts w:ascii="Times New Roman" w:hAnsi="Times New Roman" w:cs="Times New Roman"/>
                <w:color w:val="auto"/>
                <w:sz w:val="21"/>
                <w:lang w:eastAsia="zh-CN"/>
              </w:rPr>
            </w:pPr>
          </w:p>
        </w:tc>
      </w:tr>
      <w:tr w14:paraId="5A74821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4" w:type="pct"/>
            <w:vMerge w:val="continue"/>
            <w:vAlign w:val="center"/>
          </w:tcPr>
          <w:p w14:paraId="21BC34AE">
            <w:pPr>
              <w:jc w:val="center"/>
              <w:rPr>
                <w:rFonts w:ascii="Times New Roman" w:hAnsi="Times New Roman" w:cs="Times New Roman"/>
                <w:bCs/>
                <w:color w:val="auto"/>
                <w:sz w:val="21"/>
                <w:lang w:eastAsia="zh-CN"/>
              </w:rPr>
            </w:pPr>
          </w:p>
        </w:tc>
        <w:tc>
          <w:tcPr>
            <w:tcW w:w="683" w:type="pct"/>
            <w:vMerge w:val="restart"/>
            <w:vAlign w:val="center"/>
          </w:tcPr>
          <w:p w14:paraId="4C3DA9F0">
            <w:pPr>
              <w:jc w:val="center"/>
              <w:rPr>
                <w:rFonts w:ascii="Times New Roman" w:hAnsi="Times New Roman" w:cs="Times New Roman"/>
                <w:color w:val="auto"/>
                <w:kern w:val="2"/>
                <w:sz w:val="21"/>
                <w:lang w:eastAsia="zh-CN"/>
              </w:rPr>
            </w:pPr>
          </w:p>
        </w:tc>
        <w:tc>
          <w:tcPr>
            <w:tcW w:w="687" w:type="pct"/>
            <w:vAlign w:val="center"/>
          </w:tcPr>
          <w:p w14:paraId="74AD34E6">
            <w:pPr>
              <w:jc w:val="center"/>
              <w:rPr>
                <w:rFonts w:ascii="Times New Roman" w:hAnsi="Times New Roman" w:cs="Times New Roman"/>
                <w:color w:val="auto"/>
                <w:kern w:val="2"/>
                <w:sz w:val="21"/>
                <w:lang w:eastAsia="zh-CN"/>
              </w:rPr>
            </w:pPr>
          </w:p>
        </w:tc>
        <w:tc>
          <w:tcPr>
            <w:tcW w:w="549" w:type="pct"/>
            <w:vAlign w:val="center"/>
          </w:tcPr>
          <w:p w14:paraId="6C72E77F">
            <w:pPr>
              <w:jc w:val="center"/>
              <w:textAlignment w:val="center"/>
              <w:rPr>
                <w:rFonts w:ascii="Times New Roman" w:hAnsi="Times New Roman" w:cs="Times New Roman"/>
                <w:sz w:val="21"/>
                <w:lang w:eastAsia="zh-CN"/>
              </w:rPr>
            </w:pPr>
          </w:p>
        </w:tc>
        <w:tc>
          <w:tcPr>
            <w:tcW w:w="610" w:type="pct"/>
            <w:vAlign w:val="center"/>
          </w:tcPr>
          <w:p w14:paraId="5AABBDA7">
            <w:pPr>
              <w:jc w:val="center"/>
              <w:textAlignment w:val="center"/>
              <w:rPr>
                <w:rFonts w:ascii="Times New Roman" w:hAnsi="Times New Roman" w:cs="Times New Roman"/>
                <w:sz w:val="21"/>
                <w:lang w:eastAsia="zh-CN"/>
              </w:rPr>
            </w:pPr>
          </w:p>
        </w:tc>
        <w:tc>
          <w:tcPr>
            <w:tcW w:w="671" w:type="pct"/>
            <w:vAlign w:val="center"/>
          </w:tcPr>
          <w:p w14:paraId="1A13EE92">
            <w:pPr>
              <w:jc w:val="center"/>
              <w:textAlignment w:val="center"/>
              <w:rPr>
                <w:rFonts w:ascii="Times New Roman" w:hAnsi="Times New Roman" w:cs="Times New Roman"/>
                <w:sz w:val="21"/>
                <w:lang w:eastAsia="zh-CN"/>
              </w:rPr>
            </w:pPr>
          </w:p>
        </w:tc>
        <w:tc>
          <w:tcPr>
            <w:tcW w:w="1246" w:type="pct"/>
            <w:vMerge w:val="continue"/>
            <w:vAlign w:val="center"/>
          </w:tcPr>
          <w:p w14:paraId="09B406C6">
            <w:pPr>
              <w:jc w:val="center"/>
              <w:textAlignment w:val="center"/>
              <w:rPr>
                <w:rFonts w:ascii="Times New Roman" w:hAnsi="Times New Roman" w:cs="Times New Roman"/>
                <w:color w:val="auto"/>
                <w:sz w:val="21"/>
                <w:lang w:eastAsia="zh-CN"/>
              </w:rPr>
            </w:pPr>
          </w:p>
        </w:tc>
      </w:tr>
      <w:tr w14:paraId="1DE21D6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4" w:type="pct"/>
            <w:vMerge w:val="continue"/>
            <w:vAlign w:val="center"/>
          </w:tcPr>
          <w:p w14:paraId="24921629">
            <w:pPr>
              <w:jc w:val="center"/>
              <w:rPr>
                <w:rFonts w:ascii="Times New Roman" w:hAnsi="Times New Roman" w:cs="Times New Roman"/>
                <w:bCs/>
                <w:color w:val="auto"/>
                <w:sz w:val="21"/>
                <w:lang w:eastAsia="zh-CN"/>
              </w:rPr>
            </w:pPr>
          </w:p>
        </w:tc>
        <w:tc>
          <w:tcPr>
            <w:tcW w:w="683" w:type="pct"/>
            <w:vMerge w:val="continue"/>
            <w:vAlign w:val="center"/>
          </w:tcPr>
          <w:p w14:paraId="1368F086">
            <w:pPr>
              <w:jc w:val="center"/>
              <w:rPr>
                <w:rFonts w:ascii="Times New Roman" w:hAnsi="Times New Roman" w:cs="Times New Roman"/>
                <w:color w:val="000000" w:themeColor="text1"/>
                <w:kern w:val="2"/>
                <w:sz w:val="21"/>
                <w14:textFill>
                  <w14:solidFill>
                    <w14:schemeClr w14:val="tx1"/>
                  </w14:solidFill>
                </w14:textFill>
              </w:rPr>
            </w:pPr>
          </w:p>
        </w:tc>
        <w:tc>
          <w:tcPr>
            <w:tcW w:w="687" w:type="pct"/>
            <w:vAlign w:val="center"/>
          </w:tcPr>
          <w:p w14:paraId="3BDFFF0D">
            <w:pPr>
              <w:jc w:val="center"/>
              <w:rPr>
                <w:rFonts w:ascii="Times New Roman" w:hAnsi="Times New Roman" w:cs="Times New Roman"/>
                <w:color w:val="auto"/>
                <w:kern w:val="2"/>
                <w:sz w:val="21"/>
                <w:lang w:eastAsia="zh-CN"/>
              </w:rPr>
            </w:pPr>
          </w:p>
        </w:tc>
        <w:tc>
          <w:tcPr>
            <w:tcW w:w="549" w:type="pct"/>
            <w:vAlign w:val="center"/>
          </w:tcPr>
          <w:p w14:paraId="0A58E63C">
            <w:pPr>
              <w:jc w:val="center"/>
              <w:textAlignment w:val="center"/>
              <w:rPr>
                <w:rFonts w:ascii="Times New Roman" w:hAnsi="Times New Roman" w:cs="Times New Roman"/>
                <w:sz w:val="21"/>
                <w:lang w:eastAsia="zh-CN"/>
              </w:rPr>
            </w:pPr>
          </w:p>
        </w:tc>
        <w:tc>
          <w:tcPr>
            <w:tcW w:w="610" w:type="pct"/>
            <w:vAlign w:val="center"/>
          </w:tcPr>
          <w:p w14:paraId="1A207CC0">
            <w:pPr>
              <w:jc w:val="center"/>
              <w:textAlignment w:val="center"/>
              <w:rPr>
                <w:rFonts w:ascii="Times New Roman" w:hAnsi="Times New Roman" w:cs="Times New Roman"/>
                <w:sz w:val="21"/>
                <w:lang w:eastAsia="zh-CN"/>
              </w:rPr>
            </w:pPr>
          </w:p>
        </w:tc>
        <w:tc>
          <w:tcPr>
            <w:tcW w:w="671" w:type="pct"/>
            <w:vAlign w:val="center"/>
          </w:tcPr>
          <w:p w14:paraId="13D1270A">
            <w:pPr>
              <w:jc w:val="center"/>
              <w:textAlignment w:val="center"/>
              <w:rPr>
                <w:rFonts w:ascii="Times New Roman" w:hAnsi="Times New Roman" w:cs="Times New Roman"/>
                <w:sz w:val="21"/>
                <w:lang w:eastAsia="zh-CN"/>
              </w:rPr>
            </w:pPr>
          </w:p>
        </w:tc>
        <w:tc>
          <w:tcPr>
            <w:tcW w:w="1246" w:type="pct"/>
            <w:vMerge w:val="continue"/>
            <w:vAlign w:val="center"/>
          </w:tcPr>
          <w:p w14:paraId="59D3654D">
            <w:pPr>
              <w:jc w:val="center"/>
              <w:textAlignment w:val="center"/>
              <w:rPr>
                <w:rFonts w:ascii="Times New Roman" w:hAnsi="Times New Roman" w:cs="Times New Roman"/>
                <w:color w:val="auto"/>
                <w:sz w:val="21"/>
                <w:lang w:eastAsia="zh-CN"/>
              </w:rPr>
            </w:pPr>
          </w:p>
        </w:tc>
      </w:tr>
      <w:tr w14:paraId="52215BC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37" w:type="pct"/>
            <w:gridSpan w:val="2"/>
            <w:vMerge w:val="restart"/>
            <w:vAlign w:val="center"/>
          </w:tcPr>
          <w:p w14:paraId="46CBA443">
            <w:pPr>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合计</w:t>
            </w:r>
          </w:p>
        </w:tc>
        <w:tc>
          <w:tcPr>
            <w:tcW w:w="687" w:type="pct"/>
            <w:vAlign w:val="center"/>
          </w:tcPr>
          <w:p w14:paraId="068045FD">
            <w:pPr>
              <w:jc w:val="center"/>
              <w:rPr>
                <w:rFonts w:ascii="Times New Roman" w:hAnsi="Times New Roman" w:cs="Times New Roman"/>
                <w:b/>
                <w:bCs/>
                <w:color w:val="auto"/>
                <w:sz w:val="21"/>
                <w:lang w:eastAsia="zh-CN"/>
              </w:rPr>
            </w:pPr>
            <w:r>
              <w:rPr>
                <w:rFonts w:ascii="Times New Roman" w:hAnsi="Times New Roman" w:cs="Times New Roman"/>
                <w:color w:val="000000" w:themeColor="text1"/>
                <w:kern w:val="2"/>
                <w:sz w:val="21"/>
                <w14:textFill>
                  <w14:solidFill>
                    <w14:schemeClr w14:val="tx1"/>
                  </w14:solidFill>
                </w14:textFill>
              </w:rPr>
              <w:t>氟化氢</w:t>
            </w:r>
          </w:p>
        </w:tc>
        <w:tc>
          <w:tcPr>
            <w:tcW w:w="549" w:type="pct"/>
            <w:vAlign w:val="center"/>
          </w:tcPr>
          <w:p w14:paraId="081AF81C">
            <w:pPr>
              <w:jc w:val="center"/>
              <w:textAlignment w:val="center"/>
              <w:rPr>
                <w:rFonts w:ascii="Times New Roman" w:hAnsi="Times New Roman" w:cs="Times New Roman"/>
                <w:color w:val="auto"/>
                <w:sz w:val="21"/>
                <w:lang w:eastAsia="zh-CN" w:bidi="ar"/>
              </w:rPr>
            </w:pPr>
          </w:p>
        </w:tc>
        <w:tc>
          <w:tcPr>
            <w:tcW w:w="610" w:type="pct"/>
            <w:vAlign w:val="center"/>
          </w:tcPr>
          <w:p w14:paraId="233B3E7A">
            <w:pPr>
              <w:jc w:val="center"/>
              <w:textAlignment w:val="center"/>
              <w:rPr>
                <w:rFonts w:ascii="Times New Roman" w:hAnsi="Times New Roman" w:cs="Times New Roman"/>
                <w:color w:val="auto"/>
                <w:sz w:val="21"/>
                <w:lang w:eastAsia="zh-CN" w:bidi="ar"/>
              </w:rPr>
            </w:pPr>
          </w:p>
        </w:tc>
        <w:tc>
          <w:tcPr>
            <w:tcW w:w="671" w:type="pct"/>
            <w:vAlign w:val="center"/>
          </w:tcPr>
          <w:p w14:paraId="63423D05">
            <w:pPr>
              <w:jc w:val="center"/>
              <w:textAlignment w:val="center"/>
              <w:rPr>
                <w:rFonts w:ascii="Times New Roman" w:hAnsi="Times New Roman" w:cs="Times New Roman"/>
                <w:color w:val="auto"/>
                <w:sz w:val="21"/>
                <w:lang w:eastAsia="zh-CN" w:bidi="ar"/>
              </w:rPr>
            </w:pPr>
          </w:p>
        </w:tc>
        <w:tc>
          <w:tcPr>
            <w:tcW w:w="1246" w:type="pct"/>
            <w:vAlign w:val="center"/>
          </w:tcPr>
          <w:p w14:paraId="7F2BE5F1">
            <w:pPr>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r>
      <w:tr w14:paraId="5630145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37" w:type="pct"/>
            <w:gridSpan w:val="2"/>
            <w:vMerge w:val="continue"/>
            <w:vAlign w:val="center"/>
          </w:tcPr>
          <w:p w14:paraId="2F39452A">
            <w:pPr>
              <w:jc w:val="center"/>
              <w:rPr>
                <w:rFonts w:ascii="Times New Roman" w:hAnsi="Times New Roman" w:cs="Times New Roman"/>
                <w:b/>
                <w:bCs/>
                <w:color w:val="auto"/>
                <w:sz w:val="21"/>
                <w:lang w:eastAsia="zh-CN"/>
              </w:rPr>
            </w:pPr>
          </w:p>
        </w:tc>
        <w:tc>
          <w:tcPr>
            <w:tcW w:w="687" w:type="pct"/>
            <w:vAlign w:val="center"/>
          </w:tcPr>
          <w:p w14:paraId="75DCA0DB">
            <w:pPr>
              <w:jc w:val="center"/>
              <w:rPr>
                <w:rFonts w:ascii="Times New Roman" w:hAnsi="Times New Roman" w:cs="Times New Roman"/>
                <w:b/>
                <w:bCs/>
                <w:color w:val="auto"/>
                <w:sz w:val="21"/>
                <w:lang w:eastAsia="zh-CN"/>
              </w:rPr>
            </w:pPr>
            <w:r>
              <w:rPr>
                <w:rFonts w:hint="eastAsia" w:ascii="Times New Roman" w:hAnsi="Times New Roman" w:cs="Times New Roman"/>
                <w:color w:val="000000" w:themeColor="text1"/>
                <w:kern w:val="2"/>
                <w:sz w:val="21"/>
                <w:lang w:eastAsia="zh-CN"/>
                <w14:textFill>
                  <w14:solidFill>
                    <w14:schemeClr w14:val="tx1"/>
                  </w14:solidFill>
                </w14:textFill>
              </w:rPr>
              <w:t>氯化氢</w:t>
            </w:r>
          </w:p>
        </w:tc>
        <w:tc>
          <w:tcPr>
            <w:tcW w:w="549" w:type="pct"/>
            <w:vAlign w:val="center"/>
          </w:tcPr>
          <w:p w14:paraId="42D320B9">
            <w:pPr>
              <w:jc w:val="center"/>
              <w:textAlignment w:val="center"/>
              <w:rPr>
                <w:rFonts w:ascii="Times New Roman" w:hAnsi="Times New Roman" w:cs="Times New Roman"/>
                <w:color w:val="auto"/>
                <w:sz w:val="21"/>
                <w:lang w:eastAsia="zh-CN" w:bidi="ar"/>
              </w:rPr>
            </w:pPr>
          </w:p>
        </w:tc>
        <w:tc>
          <w:tcPr>
            <w:tcW w:w="610" w:type="pct"/>
            <w:vAlign w:val="center"/>
          </w:tcPr>
          <w:p w14:paraId="3C2E04C6">
            <w:pPr>
              <w:jc w:val="center"/>
              <w:textAlignment w:val="center"/>
              <w:rPr>
                <w:rFonts w:ascii="Times New Roman" w:hAnsi="Times New Roman" w:cs="Times New Roman"/>
                <w:color w:val="auto"/>
                <w:sz w:val="21"/>
                <w:lang w:eastAsia="zh-CN" w:bidi="ar"/>
              </w:rPr>
            </w:pPr>
          </w:p>
        </w:tc>
        <w:tc>
          <w:tcPr>
            <w:tcW w:w="671" w:type="pct"/>
            <w:vAlign w:val="center"/>
          </w:tcPr>
          <w:p w14:paraId="4D4BF661">
            <w:pPr>
              <w:jc w:val="center"/>
              <w:textAlignment w:val="center"/>
              <w:rPr>
                <w:rFonts w:ascii="Times New Roman" w:hAnsi="Times New Roman" w:cs="Times New Roman"/>
                <w:color w:val="auto"/>
                <w:sz w:val="21"/>
                <w:lang w:eastAsia="zh-CN" w:bidi="ar"/>
              </w:rPr>
            </w:pPr>
          </w:p>
        </w:tc>
        <w:tc>
          <w:tcPr>
            <w:tcW w:w="1246" w:type="pct"/>
            <w:vAlign w:val="center"/>
          </w:tcPr>
          <w:p w14:paraId="7637CFE9">
            <w:pPr>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r>
    </w:tbl>
    <w:p w14:paraId="336F6E67">
      <w:pPr>
        <w:tabs>
          <w:tab w:val="left" w:pos="0"/>
        </w:tabs>
        <w:spacing w:line="360" w:lineRule="auto"/>
        <w:ind w:firstLine="468" w:firstLineChars="195"/>
        <w:rPr>
          <w:rFonts w:ascii="Times New Roman" w:hAnsi="Times New Roman" w:cs="Times New Roman"/>
          <w:bCs/>
          <w:color w:val="auto"/>
          <w:lang w:eastAsia="zh-CN"/>
        </w:rPr>
      </w:pPr>
      <w:r>
        <w:rPr>
          <w:rFonts w:ascii="Times New Roman" w:hAnsi="Times New Roman" w:cs="Times New Roman"/>
          <w:bCs/>
          <w:color w:val="auto"/>
          <w:lang w:eastAsia="zh-CN"/>
        </w:rPr>
        <w:t>（</w:t>
      </w:r>
      <w:r>
        <w:rPr>
          <w:rFonts w:hint="eastAsia" w:ascii="Times New Roman" w:hAnsi="Times New Roman" w:cs="Times New Roman"/>
          <w:bCs/>
          <w:color w:val="auto"/>
          <w:lang w:eastAsia="zh-CN"/>
        </w:rPr>
        <w:t>3</w:t>
      </w:r>
      <w:r>
        <w:rPr>
          <w:rFonts w:ascii="Times New Roman" w:hAnsi="Times New Roman" w:cs="Times New Roman"/>
          <w:bCs/>
          <w:color w:val="auto"/>
          <w:lang w:eastAsia="zh-CN"/>
        </w:rPr>
        <w:t>）废气风量核算</w:t>
      </w:r>
    </w:p>
    <w:p w14:paraId="54EB35D1">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本项目各处理设施风机风量核算依据如下：</w:t>
      </w:r>
    </w:p>
    <w:p w14:paraId="5E7C68F1">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表4.3-</w:t>
      </w:r>
      <w:r>
        <w:rPr>
          <w:rFonts w:hint="eastAsia" w:ascii="Times New Roman" w:hAnsi="Times New Roman" w:cs="Times New Roman"/>
          <w:b/>
          <w:bCs/>
          <w:color w:val="auto"/>
          <w:lang w:eastAsia="zh-CN"/>
        </w:rPr>
        <w:t>5</w:t>
      </w:r>
      <w:r>
        <w:rPr>
          <w:rFonts w:ascii="Times New Roman" w:hAnsi="Times New Roman" w:cs="Times New Roman"/>
          <w:b/>
          <w:bCs/>
          <w:color w:val="auto"/>
          <w:lang w:eastAsia="zh-CN"/>
        </w:rPr>
        <w:t xml:space="preserve"> 各生产单位风量核算一览表</w:t>
      </w:r>
    </w:p>
    <w:tbl>
      <w:tblPr>
        <w:tblStyle w:val="35"/>
        <w:tblW w:w="5000"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709"/>
        <w:gridCol w:w="1129"/>
        <w:gridCol w:w="2130"/>
        <w:gridCol w:w="998"/>
        <w:gridCol w:w="846"/>
        <w:gridCol w:w="963"/>
        <w:gridCol w:w="1166"/>
        <w:gridCol w:w="1805"/>
      </w:tblGrid>
      <w:tr w14:paraId="4CA2E7E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364" w:type="pct"/>
            <w:vAlign w:val="center"/>
          </w:tcPr>
          <w:p w14:paraId="65D2D378">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车间</w:t>
            </w:r>
          </w:p>
        </w:tc>
        <w:tc>
          <w:tcPr>
            <w:tcW w:w="579" w:type="pct"/>
            <w:vAlign w:val="center"/>
          </w:tcPr>
          <w:p w14:paraId="64078E57">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装置</w:t>
            </w:r>
          </w:p>
        </w:tc>
        <w:tc>
          <w:tcPr>
            <w:tcW w:w="1093" w:type="pct"/>
            <w:vAlign w:val="center"/>
          </w:tcPr>
          <w:p w14:paraId="10EC8117">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废气环节</w:t>
            </w:r>
          </w:p>
        </w:tc>
        <w:tc>
          <w:tcPr>
            <w:tcW w:w="512" w:type="pct"/>
            <w:vAlign w:val="center"/>
          </w:tcPr>
          <w:p w14:paraId="5C210EE5">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支管直径mm</w:t>
            </w:r>
          </w:p>
        </w:tc>
        <w:tc>
          <w:tcPr>
            <w:tcW w:w="434" w:type="pct"/>
            <w:vAlign w:val="center"/>
          </w:tcPr>
          <w:p w14:paraId="7B45423A">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设备数量</w:t>
            </w:r>
          </w:p>
        </w:tc>
        <w:tc>
          <w:tcPr>
            <w:tcW w:w="494" w:type="pct"/>
            <w:vAlign w:val="center"/>
          </w:tcPr>
          <w:p w14:paraId="2B0A9F83">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流速m/s</w:t>
            </w:r>
          </w:p>
        </w:tc>
        <w:tc>
          <w:tcPr>
            <w:tcW w:w="598" w:type="pct"/>
            <w:vAlign w:val="center"/>
          </w:tcPr>
          <w:p w14:paraId="2382D178">
            <w:pPr>
              <w:adjustRightInd w:val="0"/>
              <w:snapToGrid w:val="0"/>
              <w:jc w:val="center"/>
              <w:rPr>
                <w:rFonts w:ascii="Times New Roman" w:hAnsi="Times New Roman" w:cs="Times New Roman"/>
                <w:b/>
                <w:color w:val="auto"/>
                <w:sz w:val="21"/>
                <w:lang w:eastAsia="zh-CN"/>
              </w:rPr>
            </w:pPr>
            <w:r>
              <w:rPr>
                <w:rFonts w:ascii="Times New Roman" w:hAnsi="Times New Roman" w:cs="Times New Roman"/>
                <w:b/>
                <w:color w:val="auto"/>
                <w:sz w:val="21"/>
              </w:rPr>
              <w:t>计算风量m</w:t>
            </w:r>
            <w:r>
              <w:rPr>
                <w:rFonts w:ascii="Times New Roman" w:hAnsi="Times New Roman" w:cs="Times New Roman"/>
                <w:b/>
                <w:color w:val="auto"/>
                <w:sz w:val="21"/>
                <w:vertAlign w:val="superscript"/>
              </w:rPr>
              <w:t>3</w:t>
            </w:r>
            <w:r>
              <w:rPr>
                <w:rFonts w:ascii="Times New Roman" w:hAnsi="Times New Roman" w:cs="Times New Roman"/>
                <w:b/>
                <w:color w:val="auto"/>
                <w:sz w:val="21"/>
              </w:rPr>
              <w:t>/h</w:t>
            </w:r>
          </w:p>
        </w:tc>
        <w:tc>
          <w:tcPr>
            <w:tcW w:w="926" w:type="pct"/>
            <w:vAlign w:val="center"/>
          </w:tcPr>
          <w:p w14:paraId="07B883BF">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设计风量m</w:t>
            </w:r>
            <w:r>
              <w:rPr>
                <w:rFonts w:ascii="Times New Roman" w:hAnsi="Times New Roman" w:cs="Times New Roman"/>
                <w:b/>
                <w:color w:val="auto"/>
                <w:sz w:val="21"/>
                <w:vertAlign w:val="superscript"/>
              </w:rPr>
              <w:t>3</w:t>
            </w:r>
            <w:r>
              <w:rPr>
                <w:rFonts w:ascii="Times New Roman" w:hAnsi="Times New Roman" w:cs="Times New Roman"/>
                <w:b/>
                <w:color w:val="auto"/>
                <w:sz w:val="21"/>
              </w:rPr>
              <w:t>/h</w:t>
            </w:r>
          </w:p>
        </w:tc>
      </w:tr>
      <w:tr w14:paraId="5771F93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364" w:type="pct"/>
            <w:vMerge w:val="restart"/>
            <w:vAlign w:val="center"/>
          </w:tcPr>
          <w:p w14:paraId="20A7D852">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综合车间</w:t>
            </w:r>
          </w:p>
        </w:tc>
        <w:tc>
          <w:tcPr>
            <w:tcW w:w="579" w:type="pct"/>
            <w:vMerge w:val="restart"/>
            <w:vAlign w:val="center"/>
          </w:tcPr>
          <w:p w14:paraId="6222933C">
            <w:pPr>
              <w:adjustRightInd w:val="0"/>
              <w:snapToGrid w:val="0"/>
              <w:jc w:val="center"/>
              <w:textAlignment w:val="center"/>
              <w:rPr>
                <w:rFonts w:ascii="Times New Roman" w:hAnsi="Times New Roman" w:cs="Times New Roman"/>
                <w:color w:val="auto"/>
                <w:sz w:val="21"/>
                <w:lang w:eastAsia="zh-CN"/>
              </w:rPr>
            </w:pPr>
          </w:p>
        </w:tc>
        <w:tc>
          <w:tcPr>
            <w:tcW w:w="1093" w:type="pct"/>
            <w:vAlign w:val="center"/>
          </w:tcPr>
          <w:p w14:paraId="63774FA5">
            <w:pPr>
              <w:adjustRightInd w:val="0"/>
              <w:snapToGrid w:val="0"/>
              <w:jc w:val="center"/>
              <w:textAlignment w:val="center"/>
              <w:rPr>
                <w:rFonts w:ascii="Times New Roman" w:hAnsi="Times New Roman" w:cs="Times New Roman"/>
                <w:color w:val="auto"/>
                <w:spacing w:val="-2"/>
                <w:sz w:val="21"/>
                <w:lang w:eastAsia="zh-CN" w:bidi="ar"/>
              </w:rPr>
            </w:pPr>
          </w:p>
        </w:tc>
        <w:tc>
          <w:tcPr>
            <w:tcW w:w="1440" w:type="pct"/>
            <w:gridSpan w:val="3"/>
            <w:vMerge w:val="restart"/>
            <w:vAlign w:val="center"/>
          </w:tcPr>
          <w:p w14:paraId="2174EAD0">
            <w:pPr>
              <w:adjustRightInd w:val="0"/>
              <w:snapToGrid w:val="0"/>
              <w:jc w:val="center"/>
              <w:rPr>
                <w:rFonts w:ascii="Times New Roman" w:hAnsi="Times New Roman" w:cs="Times New Roman"/>
                <w:color w:val="auto"/>
                <w:sz w:val="21"/>
                <w:lang w:eastAsia="zh-CN"/>
              </w:rPr>
            </w:pPr>
          </w:p>
        </w:tc>
        <w:tc>
          <w:tcPr>
            <w:tcW w:w="598" w:type="pct"/>
            <w:vMerge w:val="restart"/>
            <w:vAlign w:val="center"/>
          </w:tcPr>
          <w:p w14:paraId="1D60FF89">
            <w:pPr>
              <w:adjustRightInd w:val="0"/>
              <w:snapToGrid w:val="0"/>
              <w:jc w:val="center"/>
              <w:rPr>
                <w:rFonts w:ascii="Times New Roman" w:hAnsi="Times New Roman" w:cs="Times New Roman"/>
                <w:color w:val="auto"/>
                <w:sz w:val="21"/>
                <w:lang w:eastAsia="zh-CN"/>
              </w:rPr>
            </w:pPr>
          </w:p>
        </w:tc>
        <w:tc>
          <w:tcPr>
            <w:tcW w:w="926" w:type="pct"/>
            <w:vMerge w:val="restart"/>
            <w:vAlign w:val="center"/>
          </w:tcPr>
          <w:p w14:paraId="7527EC79">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根据计算，</w:t>
            </w:r>
            <w:r>
              <w:rPr>
                <w:rFonts w:hint="eastAsia" w:ascii="Times New Roman" w:hAnsi="Times New Roman" w:cs="Times New Roman"/>
                <w:color w:val="auto"/>
                <w:sz w:val="21"/>
                <w:lang w:eastAsia="zh-CN"/>
              </w:rPr>
              <w:t>新增装置</w:t>
            </w:r>
            <w:r>
              <w:rPr>
                <w:rFonts w:ascii="Times New Roman" w:hAnsi="Times New Roman" w:cs="Times New Roman"/>
                <w:color w:val="auto"/>
                <w:sz w:val="21"/>
                <w:lang w:eastAsia="zh-CN"/>
              </w:rPr>
              <w:t>风量为</w:t>
            </w:r>
            <w:r>
              <w:rPr>
                <w:rFonts w:hint="eastAsia" w:ascii="Times New Roman" w:hAnsi="Times New Roman" w:cs="Times New Roman"/>
                <w:color w:val="auto"/>
                <w:sz w:val="21"/>
                <w:lang w:eastAsia="zh-CN"/>
              </w:rPr>
              <w:t>7477.596</w:t>
            </w:r>
            <w:r>
              <w:rPr>
                <w:rFonts w:ascii="Times New Roman" w:hAnsi="Times New Roman" w:cs="Times New Roman"/>
                <w:color w:val="auto"/>
                <w:sz w:val="21"/>
                <w:lang w:eastAsia="zh-CN"/>
              </w:rPr>
              <w:t>m</w:t>
            </w:r>
            <w:r>
              <w:rPr>
                <w:rFonts w:ascii="Times New Roman" w:hAnsi="Times New Roman" w:cs="Times New Roman"/>
                <w:color w:val="auto"/>
                <w:sz w:val="21"/>
                <w:vertAlign w:val="superscript"/>
                <w:lang w:eastAsia="zh-CN"/>
              </w:rPr>
              <w:t>3</w:t>
            </w:r>
            <w:r>
              <w:rPr>
                <w:rFonts w:ascii="Times New Roman" w:hAnsi="Times New Roman" w:cs="Times New Roman"/>
                <w:color w:val="auto"/>
                <w:sz w:val="21"/>
                <w:lang w:eastAsia="zh-CN"/>
              </w:rPr>
              <w:t>/h，考虑风量损耗，</w:t>
            </w:r>
            <w:r>
              <w:rPr>
                <w:rFonts w:hint="eastAsia" w:ascii="Times New Roman" w:hAnsi="Times New Roman" w:cs="Times New Roman"/>
                <w:color w:val="auto"/>
                <w:sz w:val="21"/>
                <w:lang w:eastAsia="zh-CN"/>
              </w:rPr>
              <w:t>新增装置风量设计为8000</w:t>
            </w:r>
            <w:r>
              <w:rPr>
                <w:rFonts w:ascii="Times New Roman" w:hAnsi="Times New Roman" w:cs="Times New Roman"/>
                <w:color w:val="auto"/>
                <w:sz w:val="21"/>
                <w:lang w:eastAsia="zh-CN"/>
              </w:rPr>
              <w:t xml:space="preserve"> m</w:t>
            </w:r>
            <w:r>
              <w:rPr>
                <w:rFonts w:ascii="Times New Roman" w:hAnsi="Times New Roman" w:cs="Times New Roman"/>
                <w:color w:val="auto"/>
                <w:sz w:val="21"/>
                <w:vertAlign w:val="superscript"/>
                <w:lang w:eastAsia="zh-CN"/>
              </w:rPr>
              <w:t>3</w:t>
            </w:r>
            <w:r>
              <w:rPr>
                <w:rFonts w:ascii="Times New Roman" w:hAnsi="Times New Roman" w:cs="Times New Roman"/>
                <w:color w:val="auto"/>
                <w:sz w:val="21"/>
                <w:lang w:eastAsia="zh-CN"/>
              </w:rPr>
              <w:t>/h</w:t>
            </w:r>
            <w:r>
              <w:rPr>
                <w:rFonts w:hint="eastAsia" w:ascii="Times New Roman" w:hAnsi="Times New Roman" w:cs="Times New Roman"/>
                <w:color w:val="auto"/>
                <w:sz w:val="21"/>
                <w:lang w:eastAsia="zh-CN"/>
              </w:rPr>
              <w:t>。合并后</w:t>
            </w:r>
          </w:p>
          <w:p w14:paraId="2D37F9AC">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DA001排气筒风量为</w:t>
            </w:r>
            <w:r>
              <w:rPr>
                <w:rFonts w:hint="eastAsia" w:ascii="Times New Roman" w:hAnsi="Times New Roman" w:cs="Times New Roman"/>
                <w:color w:val="auto"/>
                <w:sz w:val="21"/>
                <w:lang w:eastAsia="zh-CN"/>
              </w:rPr>
              <w:t>19</w:t>
            </w:r>
            <w:r>
              <w:rPr>
                <w:rFonts w:ascii="Times New Roman" w:hAnsi="Times New Roman" w:cs="Times New Roman"/>
                <w:color w:val="auto"/>
                <w:sz w:val="21"/>
                <w:lang w:eastAsia="zh-CN"/>
              </w:rPr>
              <w:t>000 m</w:t>
            </w:r>
            <w:r>
              <w:rPr>
                <w:rFonts w:ascii="Times New Roman" w:hAnsi="Times New Roman" w:cs="Times New Roman"/>
                <w:color w:val="auto"/>
                <w:sz w:val="21"/>
                <w:vertAlign w:val="superscript"/>
                <w:lang w:eastAsia="zh-CN"/>
              </w:rPr>
              <w:t>3</w:t>
            </w:r>
            <w:r>
              <w:rPr>
                <w:rFonts w:ascii="Times New Roman" w:hAnsi="Times New Roman" w:cs="Times New Roman"/>
                <w:color w:val="auto"/>
                <w:sz w:val="21"/>
                <w:lang w:eastAsia="zh-CN"/>
              </w:rPr>
              <w:t>/h</w:t>
            </w:r>
          </w:p>
        </w:tc>
      </w:tr>
      <w:tr w14:paraId="7A547FE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364" w:type="pct"/>
            <w:vMerge w:val="continue"/>
            <w:vAlign w:val="center"/>
          </w:tcPr>
          <w:p w14:paraId="4A72F352">
            <w:pPr>
              <w:adjustRightInd w:val="0"/>
              <w:snapToGrid w:val="0"/>
              <w:jc w:val="center"/>
              <w:rPr>
                <w:rFonts w:ascii="Times New Roman" w:hAnsi="Times New Roman" w:cs="Times New Roman"/>
                <w:color w:val="auto"/>
                <w:sz w:val="21"/>
                <w:lang w:eastAsia="zh-CN"/>
              </w:rPr>
            </w:pPr>
          </w:p>
        </w:tc>
        <w:tc>
          <w:tcPr>
            <w:tcW w:w="579" w:type="pct"/>
            <w:vMerge w:val="continue"/>
            <w:vAlign w:val="center"/>
          </w:tcPr>
          <w:p w14:paraId="36ED750B">
            <w:pPr>
              <w:adjustRightInd w:val="0"/>
              <w:snapToGrid w:val="0"/>
              <w:jc w:val="center"/>
              <w:textAlignment w:val="center"/>
              <w:rPr>
                <w:rFonts w:ascii="Times New Roman" w:hAnsi="Times New Roman" w:cs="Times New Roman"/>
                <w:color w:val="auto"/>
                <w:sz w:val="21"/>
                <w:lang w:eastAsia="zh-CN"/>
              </w:rPr>
            </w:pPr>
          </w:p>
        </w:tc>
        <w:tc>
          <w:tcPr>
            <w:tcW w:w="1093" w:type="pct"/>
            <w:vAlign w:val="center"/>
          </w:tcPr>
          <w:p w14:paraId="4EB0022F">
            <w:pPr>
              <w:adjustRightInd w:val="0"/>
              <w:snapToGrid w:val="0"/>
              <w:jc w:val="center"/>
              <w:textAlignment w:val="center"/>
              <w:rPr>
                <w:rFonts w:ascii="Times New Roman" w:hAnsi="Times New Roman" w:cs="Times New Roman"/>
                <w:color w:val="auto"/>
                <w:spacing w:val="-2"/>
                <w:sz w:val="21"/>
                <w:lang w:eastAsia="zh-CN" w:bidi="ar"/>
              </w:rPr>
            </w:pPr>
          </w:p>
        </w:tc>
        <w:tc>
          <w:tcPr>
            <w:tcW w:w="1440" w:type="pct"/>
            <w:gridSpan w:val="3"/>
            <w:vMerge w:val="continue"/>
            <w:vAlign w:val="center"/>
          </w:tcPr>
          <w:p w14:paraId="5404136E">
            <w:pPr>
              <w:adjustRightInd w:val="0"/>
              <w:snapToGrid w:val="0"/>
              <w:jc w:val="center"/>
              <w:rPr>
                <w:rFonts w:ascii="Times New Roman" w:hAnsi="Times New Roman" w:cs="Times New Roman"/>
                <w:color w:val="auto"/>
                <w:sz w:val="21"/>
                <w:lang w:eastAsia="zh-CN"/>
              </w:rPr>
            </w:pPr>
          </w:p>
        </w:tc>
        <w:tc>
          <w:tcPr>
            <w:tcW w:w="598" w:type="pct"/>
            <w:vMerge w:val="continue"/>
            <w:vAlign w:val="center"/>
          </w:tcPr>
          <w:p w14:paraId="3B6A3C0D">
            <w:pPr>
              <w:adjustRightInd w:val="0"/>
              <w:snapToGrid w:val="0"/>
              <w:jc w:val="center"/>
              <w:rPr>
                <w:rFonts w:ascii="Times New Roman" w:hAnsi="Times New Roman" w:cs="Times New Roman"/>
                <w:color w:val="auto"/>
                <w:sz w:val="21"/>
                <w:lang w:eastAsia="zh-CN"/>
              </w:rPr>
            </w:pPr>
          </w:p>
        </w:tc>
        <w:tc>
          <w:tcPr>
            <w:tcW w:w="926" w:type="pct"/>
            <w:vMerge w:val="continue"/>
            <w:vAlign w:val="center"/>
          </w:tcPr>
          <w:p w14:paraId="758E976F">
            <w:pPr>
              <w:adjustRightInd w:val="0"/>
              <w:snapToGrid w:val="0"/>
              <w:jc w:val="center"/>
              <w:rPr>
                <w:rFonts w:ascii="Times New Roman" w:hAnsi="Times New Roman" w:cs="Times New Roman"/>
                <w:color w:val="auto"/>
                <w:sz w:val="21"/>
                <w:lang w:eastAsia="zh-CN"/>
              </w:rPr>
            </w:pPr>
          </w:p>
        </w:tc>
      </w:tr>
      <w:tr w14:paraId="4B0D1D5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364" w:type="pct"/>
            <w:vMerge w:val="continue"/>
            <w:vAlign w:val="center"/>
          </w:tcPr>
          <w:p w14:paraId="38B4ED60">
            <w:pPr>
              <w:adjustRightInd w:val="0"/>
              <w:snapToGrid w:val="0"/>
              <w:jc w:val="center"/>
              <w:rPr>
                <w:rFonts w:ascii="Times New Roman" w:hAnsi="Times New Roman" w:cs="Times New Roman"/>
                <w:color w:val="auto"/>
                <w:sz w:val="21"/>
                <w:lang w:eastAsia="zh-CN"/>
              </w:rPr>
            </w:pPr>
          </w:p>
        </w:tc>
        <w:tc>
          <w:tcPr>
            <w:tcW w:w="579" w:type="pct"/>
            <w:vMerge w:val="continue"/>
            <w:vAlign w:val="center"/>
          </w:tcPr>
          <w:p w14:paraId="100355B8">
            <w:pPr>
              <w:adjustRightInd w:val="0"/>
              <w:snapToGrid w:val="0"/>
              <w:jc w:val="center"/>
              <w:textAlignment w:val="center"/>
              <w:rPr>
                <w:rFonts w:ascii="Times New Roman" w:hAnsi="Times New Roman" w:cs="Times New Roman"/>
                <w:color w:val="auto"/>
                <w:sz w:val="21"/>
                <w:lang w:eastAsia="zh-CN"/>
              </w:rPr>
            </w:pPr>
          </w:p>
        </w:tc>
        <w:tc>
          <w:tcPr>
            <w:tcW w:w="1093" w:type="pct"/>
            <w:vAlign w:val="center"/>
          </w:tcPr>
          <w:p w14:paraId="6AFC1F26">
            <w:pPr>
              <w:adjustRightInd w:val="0"/>
              <w:snapToGrid w:val="0"/>
              <w:jc w:val="center"/>
              <w:textAlignment w:val="center"/>
              <w:rPr>
                <w:rFonts w:ascii="Times New Roman" w:hAnsi="Times New Roman" w:cs="Times New Roman"/>
                <w:color w:val="auto"/>
                <w:spacing w:val="-2"/>
                <w:sz w:val="21"/>
                <w:lang w:eastAsia="zh-CN" w:bidi="ar"/>
              </w:rPr>
            </w:pPr>
          </w:p>
        </w:tc>
        <w:tc>
          <w:tcPr>
            <w:tcW w:w="1440" w:type="pct"/>
            <w:gridSpan w:val="3"/>
            <w:vMerge w:val="continue"/>
            <w:vAlign w:val="center"/>
          </w:tcPr>
          <w:p w14:paraId="6543F48E">
            <w:pPr>
              <w:adjustRightInd w:val="0"/>
              <w:snapToGrid w:val="0"/>
              <w:jc w:val="center"/>
              <w:rPr>
                <w:rFonts w:ascii="Times New Roman" w:hAnsi="Times New Roman" w:cs="Times New Roman"/>
                <w:color w:val="auto"/>
                <w:sz w:val="21"/>
                <w:lang w:eastAsia="zh-CN"/>
              </w:rPr>
            </w:pPr>
          </w:p>
        </w:tc>
        <w:tc>
          <w:tcPr>
            <w:tcW w:w="598" w:type="pct"/>
            <w:vMerge w:val="continue"/>
            <w:vAlign w:val="center"/>
          </w:tcPr>
          <w:p w14:paraId="7B09E03F">
            <w:pPr>
              <w:adjustRightInd w:val="0"/>
              <w:snapToGrid w:val="0"/>
              <w:jc w:val="center"/>
              <w:rPr>
                <w:rFonts w:ascii="Times New Roman" w:hAnsi="Times New Roman" w:cs="Times New Roman"/>
                <w:color w:val="auto"/>
                <w:sz w:val="21"/>
                <w:lang w:eastAsia="zh-CN"/>
              </w:rPr>
            </w:pPr>
          </w:p>
        </w:tc>
        <w:tc>
          <w:tcPr>
            <w:tcW w:w="926" w:type="pct"/>
            <w:vMerge w:val="continue"/>
            <w:vAlign w:val="center"/>
          </w:tcPr>
          <w:p w14:paraId="44ECC9F9">
            <w:pPr>
              <w:adjustRightInd w:val="0"/>
              <w:snapToGrid w:val="0"/>
              <w:jc w:val="center"/>
              <w:rPr>
                <w:rFonts w:ascii="Times New Roman" w:hAnsi="Times New Roman" w:cs="Times New Roman"/>
                <w:color w:val="auto"/>
                <w:sz w:val="21"/>
                <w:lang w:eastAsia="zh-CN"/>
              </w:rPr>
            </w:pPr>
          </w:p>
        </w:tc>
      </w:tr>
      <w:tr w14:paraId="2033893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364" w:type="pct"/>
            <w:vMerge w:val="continue"/>
            <w:vAlign w:val="center"/>
          </w:tcPr>
          <w:p w14:paraId="561741FF">
            <w:pPr>
              <w:adjustRightInd w:val="0"/>
              <w:snapToGrid w:val="0"/>
              <w:jc w:val="center"/>
              <w:rPr>
                <w:rFonts w:ascii="Times New Roman" w:hAnsi="Times New Roman" w:cs="Times New Roman"/>
                <w:color w:val="auto"/>
                <w:sz w:val="21"/>
                <w:lang w:eastAsia="zh-CN"/>
              </w:rPr>
            </w:pPr>
          </w:p>
        </w:tc>
        <w:tc>
          <w:tcPr>
            <w:tcW w:w="579" w:type="pct"/>
            <w:vMerge w:val="continue"/>
            <w:vAlign w:val="center"/>
          </w:tcPr>
          <w:p w14:paraId="554BC082">
            <w:pPr>
              <w:adjustRightInd w:val="0"/>
              <w:snapToGrid w:val="0"/>
              <w:jc w:val="center"/>
              <w:textAlignment w:val="center"/>
              <w:rPr>
                <w:rFonts w:ascii="Times New Roman" w:hAnsi="Times New Roman" w:cs="Times New Roman"/>
                <w:color w:val="auto"/>
                <w:sz w:val="21"/>
                <w:lang w:eastAsia="zh-CN"/>
              </w:rPr>
            </w:pPr>
          </w:p>
        </w:tc>
        <w:tc>
          <w:tcPr>
            <w:tcW w:w="1093" w:type="pct"/>
            <w:vAlign w:val="center"/>
          </w:tcPr>
          <w:p w14:paraId="56251224">
            <w:pPr>
              <w:adjustRightInd w:val="0"/>
              <w:snapToGrid w:val="0"/>
              <w:jc w:val="center"/>
              <w:textAlignment w:val="center"/>
              <w:rPr>
                <w:rFonts w:ascii="Times New Roman" w:hAnsi="Times New Roman" w:cs="Times New Roman"/>
                <w:color w:val="auto"/>
                <w:spacing w:val="-2"/>
                <w:sz w:val="21"/>
                <w:lang w:eastAsia="zh-CN" w:bidi="ar"/>
              </w:rPr>
            </w:pPr>
          </w:p>
        </w:tc>
        <w:tc>
          <w:tcPr>
            <w:tcW w:w="1440" w:type="pct"/>
            <w:gridSpan w:val="3"/>
            <w:vMerge w:val="continue"/>
            <w:vAlign w:val="center"/>
          </w:tcPr>
          <w:p w14:paraId="6735E3E4">
            <w:pPr>
              <w:adjustRightInd w:val="0"/>
              <w:snapToGrid w:val="0"/>
              <w:jc w:val="center"/>
              <w:rPr>
                <w:rFonts w:ascii="Times New Roman" w:hAnsi="Times New Roman" w:cs="Times New Roman"/>
                <w:color w:val="auto"/>
                <w:sz w:val="21"/>
                <w:lang w:eastAsia="zh-CN"/>
              </w:rPr>
            </w:pPr>
          </w:p>
        </w:tc>
        <w:tc>
          <w:tcPr>
            <w:tcW w:w="598" w:type="pct"/>
            <w:vMerge w:val="continue"/>
            <w:vAlign w:val="center"/>
          </w:tcPr>
          <w:p w14:paraId="1974827D">
            <w:pPr>
              <w:adjustRightInd w:val="0"/>
              <w:snapToGrid w:val="0"/>
              <w:jc w:val="center"/>
              <w:rPr>
                <w:rFonts w:ascii="Times New Roman" w:hAnsi="Times New Roman" w:cs="Times New Roman"/>
                <w:color w:val="auto"/>
                <w:sz w:val="21"/>
                <w:lang w:eastAsia="zh-CN"/>
              </w:rPr>
            </w:pPr>
          </w:p>
        </w:tc>
        <w:tc>
          <w:tcPr>
            <w:tcW w:w="926" w:type="pct"/>
            <w:vMerge w:val="continue"/>
            <w:vAlign w:val="center"/>
          </w:tcPr>
          <w:p w14:paraId="25BEB507">
            <w:pPr>
              <w:adjustRightInd w:val="0"/>
              <w:snapToGrid w:val="0"/>
              <w:jc w:val="center"/>
              <w:rPr>
                <w:rFonts w:ascii="Times New Roman" w:hAnsi="Times New Roman" w:cs="Times New Roman"/>
                <w:color w:val="auto"/>
                <w:sz w:val="21"/>
                <w:lang w:eastAsia="zh-CN"/>
              </w:rPr>
            </w:pPr>
          </w:p>
        </w:tc>
      </w:tr>
      <w:tr w14:paraId="7ED7687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364" w:type="pct"/>
            <w:vMerge w:val="continue"/>
            <w:vAlign w:val="center"/>
          </w:tcPr>
          <w:p w14:paraId="622C716B">
            <w:pPr>
              <w:adjustRightInd w:val="0"/>
              <w:snapToGrid w:val="0"/>
              <w:jc w:val="center"/>
              <w:rPr>
                <w:rFonts w:ascii="Times New Roman" w:hAnsi="Times New Roman" w:cs="Times New Roman"/>
                <w:color w:val="auto"/>
                <w:sz w:val="21"/>
                <w:lang w:eastAsia="zh-CN"/>
              </w:rPr>
            </w:pPr>
          </w:p>
        </w:tc>
        <w:tc>
          <w:tcPr>
            <w:tcW w:w="579" w:type="pct"/>
            <w:vMerge w:val="restart"/>
            <w:vAlign w:val="center"/>
          </w:tcPr>
          <w:p w14:paraId="5E07F088">
            <w:pPr>
              <w:adjustRightInd w:val="0"/>
              <w:snapToGrid w:val="0"/>
              <w:jc w:val="center"/>
              <w:textAlignment w:val="center"/>
              <w:rPr>
                <w:rFonts w:ascii="Times New Roman" w:hAnsi="Times New Roman" w:cs="Times New Roman"/>
                <w:color w:val="auto"/>
                <w:sz w:val="21"/>
                <w:lang w:eastAsia="zh-CN"/>
              </w:rPr>
            </w:pPr>
          </w:p>
        </w:tc>
        <w:tc>
          <w:tcPr>
            <w:tcW w:w="1093" w:type="pct"/>
            <w:vAlign w:val="center"/>
          </w:tcPr>
          <w:p w14:paraId="71A3895D">
            <w:pPr>
              <w:adjustRightInd w:val="0"/>
              <w:snapToGrid w:val="0"/>
              <w:jc w:val="center"/>
              <w:textAlignment w:val="center"/>
              <w:rPr>
                <w:rFonts w:ascii="Times New Roman" w:hAnsi="Times New Roman" w:cs="Times New Roman"/>
                <w:color w:val="auto"/>
                <w:spacing w:val="-2"/>
                <w:sz w:val="21"/>
                <w:lang w:eastAsia="zh-CN" w:bidi="ar"/>
              </w:rPr>
            </w:pPr>
          </w:p>
        </w:tc>
        <w:tc>
          <w:tcPr>
            <w:tcW w:w="1440" w:type="pct"/>
            <w:gridSpan w:val="3"/>
            <w:vMerge w:val="continue"/>
            <w:vAlign w:val="center"/>
          </w:tcPr>
          <w:p w14:paraId="29D9AD92">
            <w:pPr>
              <w:adjustRightInd w:val="0"/>
              <w:snapToGrid w:val="0"/>
              <w:jc w:val="center"/>
              <w:rPr>
                <w:rFonts w:ascii="Times New Roman" w:hAnsi="Times New Roman" w:cs="Times New Roman"/>
                <w:color w:val="auto"/>
                <w:sz w:val="21"/>
                <w:lang w:eastAsia="zh-CN"/>
              </w:rPr>
            </w:pPr>
          </w:p>
        </w:tc>
        <w:tc>
          <w:tcPr>
            <w:tcW w:w="598" w:type="pct"/>
            <w:vMerge w:val="continue"/>
            <w:vAlign w:val="center"/>
          </w:tcPr>
          <w:p w14:paraId="1EE48C63">
            <w:pPr>
              <w:adjustRightInd w:val="0"/>
              <w:snapToGrid w:val="0"/>
              <w:jc w:val="center"/>
              <w:rPr>
                <w:rFonts w:ascii="Times New Roman" w:hAnsi="Times New Roman" w:cs="Times New Roman"/>
                <w:color w:val="auto"/>
                <w:sz w:val="21"/>
                <w:lang w:eastAsia="zh-CN"/>
              </w:rPr>
            </w:pPr>
          </w:p>
        </w:tc>
        <w:tc>
          <w:tcPr>
            <w:tcW w:w="926" w:type="pct"/>
            <w:vMerge w:val="continue"/>
            <w:vAlign w:val="center"/>
          </w:tcPr>
          <w:p w14:paraId="40EA7D58">
            <w:pPr>
              <w:adjustRightInd w:val="0"/>
              <w:snapToGrid w:val="0"/>
              <w:jc w:val="center"/>
              <w:rPr>
                <w:rFonts w:ascii="Times New Roman" w:hAnsi="Times New Roman" w:cs="Times New Roman"/>
                <w:color w:val="auto"/>
                <w:sz w:val="21"/>
                <w:lang w:eastAsia="zh-CN"/>
              </w:rPr>
            </w:pPr>
          </w:p>
        </w:tc>
      </w:tr>
      <w:tr w14:paraId="29B7920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364" w:type="pct"/>
            <w:vMerge w:val="continue"/>
            <w:vAlign w:val="center"/>
          </w:tcPr>
          <w:p w14:paraId="63B4C6FB">
            <w:pPr>
              <w:adjustRightInd w:val="0"/>
              <w:snapToGrid w:val="0"/>
              <w:jc w:val="center"/>
              <w:rPr>
                <w:rFonts w:ascii="Times New Roman" w:hAnsi="Times New Roman" w:cs="Times New Roman"/>
                <w:color w:val="auto"/>
                <w:sz w:val="21"/>
                <w:lang w:eastAsia="zh-CN"/>
              </w:rPr>
            </w:pPr>
          </w:p>
        </w:tc>
        <w:tc>
          <w:tcPr>
            <w:tcW w:w="579" w:type="pct"/>
            <w:vMerge w:val="continue"/>
            <w:vAlign w:val="center"/>
          </w:tcPr>
          <w:p w14:paraId="294287CB">
            <w:pPr>
              <w:adjustRightInd w:val="0"/>
              <w:snapToGrid w:val="0"/>
              <w:jc w:val="center"/>
              <w:textAlignment w:val="center"/>
              <w:rPr>
                <w:rFonts w:ascii="Times New Roman" w:hAnsi="Times New Roman" w:cs="Times New Roman"/>
                <w:color w:val="auto"/>
                <w:sz w:val="21"/>
                <w:lang w:eastAsia="zh-CN"/>
              </w:rPr>
            </w:pPr>
          </w:p>
        </w:tc>
        <w:tc>
          <w:tcPr>
            <w:tcW w:w="1093" w:type="pct"/>
            <w:vAlign w:val="center"/>
          </w:tcPr>
          <w:p w14:paraId="78602CD7">
            <w:pPr>
              <w:adjustRightInd w:val="0"/>
              <w:snapToGrid w:val="0"/>
              <w:jc w:val="center"/>
              <w:textAlignment w:val="center"/>
              <w:rPr>
                <w:rFonts w:ascii="Times New Roman" w:hAnsi="Times New Roman" w:cs="Times New Roman"/>
                <w:color w:val="auto"/>
                <w:spacing w:val="-2"/>
                <w:sz w:val="21"/>
                <w:lang w:eastAsia="zh-CN" w:bidi="ar"/>
              </w:rPr>
            </w:pPr>
          </w:p>
        </w:tc>
        <w:tc>
          <w:tcPr>
            <w:tcW w:w="1440" w:type="pct"/>
            <w:gridSpan w:val="3"/>
            <w:vMerge w:val="continue"/>
            <w:vAlign w:val="center"/>
          </w:tcPr>
          <w:p w14:paraId="1CA539DB">
            <w:pPr>
              <w:adjustRightInd w:val="0"/>
              <w:snapToGrid w:val="0"/>
              <w:jc w:val="center"/>
              <w:rPr>
                <w:rFonts w:ascii="Times New Roman" w:hAnsi="Times New Roman" w:cs="Times New Roman"/>
                <w:color w:val="auto"/>
                <w:sz w:val="21"/>
                <w:lang w:eastAsia="zh-CN"/>
              </w:rPr>
            </w:pPr>
          </w:p>
        </w:tc>
        <w:tc>
          <w:tcPr>
            <w:tcW w:w="598" w:type="pct"/>
            <w:vMerge w:val="continue"/>
            <w:vAlign w:val="center"/>
          </w:tcPr>
          <w:p w14:paraId="09A942E1">
            <w:pPr>
              <w:adjustRightInd w:val="0"/>
              <w:snapToGrid w:val="0"/>
              <w:jc w:val="center"/>
              <w:rPr>
                <w:rFonts w:ascii="Times New Roman" w:hAnsi="Times New Roman" w:cs="Times New Roman"/>
                <w:color w:val="auto"/>
                <w:sz w:val="21"/>
                <w:lang w:eastAsia="zh-CN"/>
              </w:rPr>
            </w:pPr>
          </w:p>
        </w:tc>
        <w:tc>
          <w:tcPr>
            <w:tcW w:w="926" w:type="pct"/>
            <w:vMerge w:val="continue"/>
            <w:vAlign w:val="center"/>
          </w:tcPr>
          <w:p w14:paraId="3D776DAE">
            <w:pPr>
              <w:adjustRightInd w:val="0"/>
              <w:snapToGrid w:val="0"/>
              <w:jc w:val="center"/>
              <w:rPr>
                <w:rFonts w:ascii="Times New Roman" w:hAnsi="Times New Roman" w:cs="Times New Roman"/>
                <w:color w:val="auto"/>
                <w:sz w:val="21"/>
                <w:lang w:eastAsia="zh-CN"/>
              </w:rPr>
            </w:pPr>
          </w:p>
        </w:tc>
      </w:tr>
      <w:tr w14:paraId="150AB15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364" w:type="pct"/>
            <w:vMerge w:val="continue"/>
            <w:vAlign w:val="center"/>
          </w:tcPr>
          <w:p w14:paraId="1D07116D">
            <w:pPr>
              <w:adjustRightInd w:val="0"/>
              <w:snapToGrid w:val="0"/>
              <w:jc w:val="center"/>
              <w:rPr>
                <w:rFonts w:ascii="Times New Roman" w:hAnsi="Times New Roman" w:cs="Times New Roman"/>
                <w:color w:val="auto"/>
                <w:sz w:val="21"/>
                <w:lang w:eastAsia="zh-CN"/>
              </w:rPr>
            </w:pPr>
          </w:p>
        </w:tc>
        <w:tc>
          <w:tcPr>
            <w:tcW w:w="579" w:type="pct"/>
            <w:vAlign w:val="center"/>
          </w:tcPr>
          <w:p w14:paraId="33343B3F">
            <w:pPr>
              <w:adjustRightInd w:val="0"/>
              <w:snapToGrid w:val="0"/>
              <w:jc w:val="center"/>
              <w:textAlignment w:val="center"/>
              <w:rPr>
                <w:rFonts w:ascii="Times New Roman" w:hAnsi="Times New Roman" w:cs="Times New Roman"/>
                <w:color w:val="auto"/>
                <w:sz w:val="21"/>
                <w:lang w:eastAsia="zh-CN"/>
              </w:rPr>
            </w:pPr>
          </w:p>
        </w:tc>
        <w:tc>
          <w:tcPr>
            <w:tcW w:w="1093" w:type="pct"/>
            <w:vAlign w:val="center"/>
          </w:tcPr>
          <w:p w14:paraId="75D1B6A7">
            <w:pPr>
              <w:adjustRightInd w:val="0"/>
              <w:snapToGrid w:val="0"/>
              <w:jc w:val="center"/>
              <w:textAlignment w:val="center"/>
              <w:rPr>
                <w:rFonts w:ascii="Times New Roman" w:hAnsi="Times New Roman" w:cs="Times New Roman"/>
                <w:color w:val="000000" w:themeColor="text1"/>
                <w:sz w:val="21"/>
                <w14:textFill>
                  <w14:solidFill>
                    <w14:schemeClr w14:val="tx1"/>
                  </w14:solidFill>
                </w14:textFill>
              </w:rPr>
            </w:pPr>
          </w:p>
        </w:tc>
        <w:tc>
          <w:tcPr>
            <w:tcW w:w="1440" w:type="pct"/>
            <w:gridSpan w:val="3"/>
            <w:vMerge w:val="continue"/>
            <w:vAlign w:val="center"/>
          </w:tcPr>
          <w:p w14:paraId="09590B8C">
            <w:pPr>
              <w:adjustRightInd w:val="0"/>
              <w:snapToGrid w:val="0"/>
              <w:jc w:val="center"/>
              <w:rPr>
                <w:rFonts w:ascii="Times New Roman" w:hAnsi="Times New Roman" w:cs="Times New Roman"/>
                <w:color w:val="auto"/>
                <w:sz w:val="21"/>
                <w:lang w:eastAsia="zh-CN"/>
              </w:rPr>
            </w:pPr>
          </w:p>
        </w:tc>
        <w:tc>
          <w:tcPr>
            <w:tcW w:w="598" w:type="pct"/>
            <w:vMerge w:val="continue"/>
            <w:vAlign w:val="center"/>
          </w:tcPr>
          <w:p w14:paraId="381CBC79">
            <w:pPr>
              <w:adjustRightInd w:val="0"/>
              <w:snapToGrid w:val="0"/>
              <w:jc w:val="center"/>
              <w:rPr>
                <w:rFonts w:ascii="Times New Roman" w:hAnsi="Times New Roman" w:cs="Times New Roman"/>
                <w:color w:val="auto"/>
                <w:sz w:val="21"/>
                <w:lang w:eastAsia="zh-CN"/>
              </w:rPr>
            </w:pPr>
          </w:p>
        </w:tc>
        <w:tc>
          <w:tcPr>
            <w:tcW w:w="926" w:type="pct"/>
            <w:vMerge w:val="continue"/>
            <w:vAlign w:val="center"/>
          </w:tcPr>
          <w:p w14:paraId="417733CA">
            <w:pPr>
              <w:adjustRightInd w:val="0"/>
              <w:snapToGrid w:val="0"/>
              <w:jc w:val="center"/>
              <w:rPr>
                <w:rFonts w:ascii="Times New Roman" w:hAnsi="Times New Roman" w:cs="Times New Roman"/>
                <w:color w:val="auto"/>
                <w:sz w:val="21"/>
                <w:lang w:eastAsia="zh-CN"/>
              </w:rPr>
            </w:pPr>
          </w:p>
        </w:tc>
      </w:tr>
      <w:tr w14:paraId="25477E0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943" w:type="pct"/>
            <w:gridSpan w:val="2"/>
            <w:vAlign w:val="center"/>
          </w:tcPr>
          <w:p w14:paraId="33BFE6D1">
            <w:pPr>
              <w:adjustRightInd w:val="0"/>
              <w:snapToGrid w:val="0"/>
              <w:jc w:val="center"/>
              <w:textAlignment w:val="center"/>
              <w:rPr>
                <w:rFonts w:ascii="Times New Roman" w:hAnsi="Times New Roman" w:cs="Times New Roman"/>
                <w:color w:val="auto"/>
                <w:sz w:val="21"/>
                <w:lang w:eastAsia="zh-CN"/>
              </w:rPr>
            </w:pPr>
          </w:p>
        </w:tc>
        <w:tc>
          <w:tcPr>
            <w:tcW w:w="1093" w:type="pct"/>
            <w:vAlign w:val="center"/>
          </w:tcPr>
          <w:p w14:paraId="6406A48F">
            <w:pPr>
              <w:adjustRightInd w:val="0"/>
              <w:snapToGrid w:val="0"/>
              <w:jc w:val="center"/>
              <w:textAlignment w:val="center"/>
              <w:rPr>
                <w:rFonts w:ascii="Times New Roman" w:hAnsi="Times New Roman" w:cs="Times New Roman"/>
                <w:color w:val="auto"/>
                <w:sz w:val="21"/>
                <w:lang w:eastAsia="zh-CN"/>
              </w:rPr>
            </w:pPr>
          </w:p>
        </w:tc>
        <w:tc>
          <w:tcPr>
            <w:tcW w:w="1440" w:type="pct"/>
            <w:gridSpan w:val="3"/>
            <w:vMerge w:val="continue"/>
            <w:vAlign w:val="center"/>
          </w:tcPr>
          <w:p w14:paraId="6DE3EA79">
            <w:pPr>
              <w:adjustRightInd w:val="0"/>
              <w:snapToGrid w:val="0"/>
              <w:jc w:val="center"/>
              <w:rPr>
                <w:rFonts w:ascii="Times New Roman" w:hAnsi="Times New Roman" w:cs="Times New Roman"/>
                <w:color w:val="auto"/>
                <w:sz w:val="21"/>
                <w:lang w:eastAsia="zh-CN"/>
              </w:rPr>
            </w:pPr>
          </w:p>
        </w:tc>
        <w:tc>
          <w:tcPr>
            <w:tcW w:w="598" w:type="pct"/>
            <w:vMerge w:val="continue"/>
            <w:vAlign w:val="center"/>
          </w:tcPr>
          <w:p w14:paraId="5BA70CB5">
            <w:pPr>
              <w:adjustRightInd w:val="0"/>
              <w:snapToGrid w:val="0"/>
              <w:jc w:val="center"/>
              <w:rPr>
                <w:rFonts w:ascii="Times New Roman" w:hAnsi="Times New Roman" w:cs="Times New Roman"/>
                <w:color w:val="auto"/>
                <w:sz w:val="21"/>
                <w:lang w:eastAsia="zh-CN"/>
              </w:rPr>
            </w:pPr>
          </w:p>
        </w:tc>
        <w:tc>
          <w:tcPr>
            <w:tcW w:w="926" w:type="pct"/>
            <w:vMerge w:val="continue"/>
            <w:vAlign w:val="center"/>
          </w:tcPr>
          <w:p w14:paraId="329F5332">
            <w:pPr>
              <w:adjustRightInd w:val="0"/>
              <w:snapToGrid w:val="0"/>
              <w:jc w:val="center"/>
              <w:rPr>
                <w:rFonts w:ascii="Times New Roman" w:hAnsi="Times New Roman" w:cs="Times New Roman"/>
                <w:color w:val="auto"/>
                <w:sz w:val="21"/>
                <w:lang w:eastAsia="zh-CN"/>
              </w:rPr>
            </w:pPr>
          </w:p>
        </w:tc>
      </w:tr>
      <w:tr w14:paraId="1E48E24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364" w:type="pct"/>
            <w:vMerge w:val="restart"/>
            <w:vAlign w:val="center"/>
          </w:tcPr>
          <w:p w14:paraId="096DEB83">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综合车间</w:t>
            </w:r>
          </w:p>
        </w:tc>
        <w:tc>
          <w:tcPr>
            <w:tcW w:w="579" w:type="pct"/>
            <w:vMerge w:val="restart"/>
            <w:vAlign w:val="center"/>
          </w:tcPr>
          <w:p w14:paraId="58F0A6CD">
            <w:pPr>
              <w:adjustRightInd w:val="0"/>
              <w:snapToGrid w:val="0"/>
              <w:jc w:val="center"/>
              <w:textAlignment w:val="center"/>
              <w:rPr>
                <w:rFonts w:ascii="Times New Roman" w:hAnsi="Times New Roman" w:cs="Times New Roman"/>
                <w:color w:val="auto"/>
                <w:sz w:val="21"/>
                <w:lang w:eastAsia="zh-CN"/>
              </w:rPr>
            </w:pPr>
          </w:p>
        </w:tc>
        <w:tc>
          <w:tcPr>
            <w:tcW w:w="1093" w:type="pct"/>
            <w:vAlign w:val="center"/>
          </w:tcPr>
          <w:p w14:paraId="233BF8BE">
            <w:pPr>
              <w:adjustRightInd w:val="0"/>
              <w:snapToGrid w:val="0"/>
              <w:jc w:val="center"/>
              <w:textAlignment w:val="center"/>
              <w:rPr>
                <w:rFonts w:ascii="Times New Roman" w:hAnsi="Times New Roman" w:cs="Times New Roman"/>
                <w:color w:val="auto"/>
                <w:sz w:val="21"/>
                <w:lang w:eastAsia="zh-CN"/>
              </w:rPr>
            </w:pPr>
          </w:p>
        </w:tc>
        <w:tc>
          <w:tcPr>
            <w:tcW w:w="512" w:type="pct"/>
            <w:vAlign w:val="center"/>
          </w:tcPr>
          <w:p w14:paraId="23B0322E">
            <w:pPr>
              <w:adjustRightInd w:val="0"/>
              <w:snapToGrid w:val="0"/>
              <w:jc w:val="center"/>
              <w:rPr>
                <w:rFonts w:ascii="Times New Roman" w:hAnsi="Times New Roman" w:cs="Times New Roman"/>
                <w:color w:val="auto"/>
                <w:sz w:val="21"/>
                <w:lang w:eastAsia="zh-CN"/>
              </w:rPr>
            </w:pPr>
          </w:p>
        </w:tc>
        <w:tc>
          <w:tcPr>
            <w:tcW w:w="434" w:type="pct"/>
            <w:vAlign w:val="center"/>
          </w:tcPr>
          <w:p w14:paraId="3981DF42">
            <w:pPr>
              <w:adjustRightInd w:val="0"/>
              <w:snapToGrid w:val="0"/>
              <w:jc w:val="center"/>
              <w:rPr>
                <w:rFonts w:ascii="Times New Roman" w:hAnsi="Times New Roman" w:cs="Times New Roman"/>
                <w:color w:val="auto"/>
                <w:sz w:val="21"/>
                <w:lang w:eastAsia="zh-CN"/>
              </w:rPr>
            </w:pPr>
          </w:p>
        </w:tc>
        <w:tc>
          <w:tcPr>
            <w:tcW w:w="494" w:type="pct"/>
            <w:vAlign w:val="center"/>
          </w:tcPr>
          <w:p w14:paraId="4EC24493">
            <w:pPr>
              <w:adjustRightInd w:val="0"/>
              <w:snapToGrid w:val="0"/>
              <w:jc w:val="center"/>
              <w:rPr>
                <w:rFonts w:ascii="Times New Roman" w:hAnsi="Times New Roman" w:cs="Times New Roman"/>
                <w:color w:val="auto"/>
                <w:sz w:val="21"/>
                <w:lang w:eastAsia="zh-CN"/>
              </w:rPr>
            </w:pPr>
          </w:p>
        </w:tc>
        <w:tc>
          <w:tcPr>
            <w:tcW w:w="598" w:type="pct"/>
            <w:vAlign w:val="center"/>
          </w:tcPr>
          <w:p w14:paraId="0DCD940C">
            <w:pPr>
              <w:adjustRightInd w:val="0"/>
              <w:snapToGrid w:val="0"/>
              <w:jc w:val="center"/>
              <w:rPr>
                <w:rFonts w:ascii="Times New Roman" w:hAnsi="Times New Roman" w:cs="Times New Roman"/>
                <w:color w:val="auto"/>
                <w:sz w:val="21"/>
                <w:lang w:eastAsia="zh-CN"/>
              </w:rPr>
            </w:pPr>
          </w:p>
        </w:tc>
        <w:tc>
          <w:tcPr>
            <w:tcW w:w="926" w:type="pct"/>
            <w:vMerge w:val="continue"/>
            <w:vAlign w:val="center"/>
          </w:tcPr>
          <w:p w14:paraId="22B53F44">
            <w:pPr>
              <w:adjustRightInd w:val="0"/>
              <w:snapToGrid w:val="0"/>
              <w:jc w:val="center"/>
              <w:rPr>
                <w:rFonts w:ascii="Times New Roman" w:hAnsi="Times New Roman" w:cs="Times New Roman"/>
                <w:color w:val="auto"/>
                <w:sz w:val="21"/>
                <w:lang w:eastAsia="zh-CN"/>
              </w:rPr>
            </w:pPr>
          </w:p>
        </w:tc>
      </w:tr>
      <w:tr w14:paraId="33C4A6C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364" w:type="pct"/>
            <w:vMerge w:val="continue"/>
            <w:vAlign w:val="center"/>
          </w:tcPr>
          <w:p w14:paraId="52FC112B">
            <w:pPr>
              <w:adjustRightInd w:val="0"/>
              <w:snapToGrid w:val="0"/>
              <w:jc w:val="center"/>
              <w:rPr>
                <w:rFonts w:ascii="Times New Roman" w:hAnsi="Times New Roman" w:cs="Times New Roman"/>
                <w:color w:val="auto"/>
                <w:sz w:val="21"/>
                <w:lang w:eastAsia="zh-CN"/>
              </w:rPr>
            </w:pPr>
          </w:p>
        </w:tc>
        <w:tc>
          <w:tcPr>
            <w:tcW w:w="579" w:type="pct"/>
            <w:vMerge w:val="continue"/>
            <w:vAlign w:val="center"/>
          </w:tcPr>
          <w:p w14:paraId="2B2B904A">
            <w:pPr>
              <w:adjustRightInd w:val="0"/>
              <w:snapToGrid w:val="0"/>
              <w:jc w:val="center"/>
              <w:textAlignment w:val="center"/>
              <w:rPr>
                <w:rFonts w:ascii="Times New Roman" w:hAnsi="Times New Roman" w:cs="Times New Roman"/>
                <w:color w:val="auto"/>
                <w:sz w:val="21"/>
                <w:lang w:eastAsia="zh-CN"/>
              </w:rPr>
            </w:pPr>
          </w:p>
        </w:tc>
        <w:tc>
          <w:tcPr>
            <w:tcW w:w="1093" w:type="pct"/>
            <w:vAlign w:val="center"/>
          </w:tcPr>
          <w:p w14:paraId="414B2F6A">
            <w:pPr>
              <w:adjustRightInd w:val="0"/>
              <w:snapToGrid w:val="0"/>
              <w:jc w:val="center"/>
              <w:textAlignment w:val="center"/>
              <w:rPr>
                <w:rFonts w:ascii="Times New Roman" w:hAnsi="Times New Roman" w:cs="Times New Roman"/>
                <w:color w:val="auto"/>
                <w:sz w:val="21"/>
                <w:lang w:eastAsia="zh-CN"/>
              </w:rPr>
            </w:pPr>
          </w:p>
        </w:tc>
        <w:tc>
          <w:tcPr>
            <w:tcW w:w="512" w:type="pct"/>
            <w:vAlign w:val="center"/>
          </w:tcPr>
          <w:p w14:paraId="1798C664">
            <w:pPr>
              <w:adjustRightInd w:val="0"/>
              <w:snapToGrid w:val="0"/>
              <w:jc w:val="center"/>
              <w:rPr>
                <w:rFonts w:ascii="Times New Roman" w:hAnsi="Times New Roman" w:cs="Times New Roman"/>
                <w:color w:val="auto"/>
                <w:sz w:val="21"/>
                <w:lang w:eastAsia="zh-CN"/>
              </w:rPr>
            </w:pPr>
          </w:p>
        </w:tc>
        <w:tc>
          <w:tcPr>
            <w:tcW w:w="434" w:type="pct"/>
            <w:vAlign w:val="center"/>
          </w:tcPr>
          <w:p w14:paraId="5AFFB39B">
            <w:pPr>
              <w:adjustRightInd w:val="0"/>
              <w:snapToGrid w:val="0"/>
              <w:jc w:val="center"/>
              <w:rPr>
                <w:rFonts w:ascii="Times New Roman" w:hAnsi="Times New Roman" w:cs="Times New Roman"/>
                <w:color w:val="auto"/>
                <w:sz w:val="21"/>
                <w:lang w:eastAsia="zh-CN"/>
              </w:rPr>
            </w:pPr>
          </w:p>
        </w:tc>
        <w:tc>
          <w:tcPr>
            <w:tcW w:w="494" w:type="pct"/>
            <w:vAlign w:val="center"/>
          </w:tcPr>
          <w:p w14:paraId="71D4A886">
            <w:pPr>
              <w:adjustRightInd w:val="0"/>
              <w:snapToGrid w:val="0"/>
              <w:jc w:val="center"/>
              <w:rPr>
                <w:rFonts w:ascii="Times New Roman" w:hAnsi="Times New Roman" w:cs="Times New Roman"/>
                <w:color w:val="auto"/>
                <w:sz w:val="21"/>
                <w:lang w:eastAsia="zh-CN"/>
              </w:rPr>
            </w:pPr>
          </w:p>
        </w:tc>
        <w:tc>
          <w:tcPr>
            <w:tcW w:w="598" w:type="pct"/>
            <w:vAlign w:val="center"/>
          </w:tcPr>
          <w:p w14:paraId="0651FE3D">
            <w:pPr>
              <w:adjustRightInd w:val="0"/>
              <w:snapToGrid w:val="0"/>
              <w:jc w:val="center"/>
              <w:rPr>
                <w:rFonts w:ascii="Times New Roman" w:hAnsi="Times New Roman" w:cs="Times New Roman"/>
                <w:sz w:val="21"/>
                <w:lang w:eastAsia="zh-CN"/>
              </w:rPr>
            </w:pPr>
          </w:p>
        </w:tc>
        <w:tc>
          <w:tcPr>
            <w:tcW w:w="926" w:type="pct"/>
            <w:vMerge w:val="continue"/>
            <w:vAlign w:val="center"/>
          </w:tcPr>
          <w:p w14:paraId="129330D2">
            <w:pPr>
              <w:adjustRightInd w:val="0"/>
              <w:snapToGrid w:val="0"/>
              <w:jc w:val="center"/>
              <w:rPr>
                <w:rFonts w:ascii="Times New Roman" w:hAnsi="Times New Roman" w:cs="Times New Roman"/>
                <w:color w:val="auto"/>
                <w:sz w:val="21"/>
                <w:lang w:eastAsia="zh-CN"/>
              </w:rPr>
            </w:pPr>
          </w:p>
        </w:tc>
      </w:tr>
      <w:tr w14:paraId="2BA48FE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364" w:type="pct"/>
            <w:vAlign w:val="center"/>
          </w:tcPr>
          <w:p w14:paraId="2F32EA9F">
            <w:pPr>
              <w:adjustRightInd w:val="0"/>
              <w:snapToGrid w:val="0"/>
              <w:jc w:val="center"/>
              <w:rPr>
                <w:rFonts w:ascii="Times New Roman" w:hAnsi="Times New Roman" w:cs="Times New Roman"/>
                <w:color w:val="auto"/>
                <w:sz w:val="21"/>
                <w:lang w:eastAsia="zh-CN"/>
              </w:rPr>
            </w:pPr>
            <w:r>
              <w:rPr>
                <w:rFonts w:ascii="Times New Roman" w:hAnsi="Times New Roman" w:cs="Times New Roman"/>
                <w:bCs/>
                <w:color w:val="auto"/>
                <w:sz w:val="21"/>
                <w:lang w:eastAsia="zh-CN"/>
              </w:rPr>
              <w:t>刻蚀液混配车间</w:t>
            </w:r>
          </w:p>
        </w:tc>
        <w:tc>
          <w:tcPr>
            <w:tcW w:w="579" w:type="pct"/>
            <w:vAlign w:val="center"/>
          </w:tcPr>
          <w:p w14:paraId="3E52F565">
            <w:pPr>
              <w:adjustRightInd w:val="0"/>
              <w:snapToGrid w:val="0"/>
              <w:jc w:val="center"/>
              <w:rPr>
                <w:rFonts w:ascii="Times New Roman" w:hAnsi="Times New Roman" w:cs="Times New Roman"/>
                <w:color w:val="auto"/>
                <w:sz w:val="21"/>
                <w:lang w:eastAsia="zh-CN"/>
              </w:rPr>
            </w:pPr>
          </w:p>
        </w:tc>
        <w:tc>
          <w:tcPr>
            <w:tcW w:w="1093" w:type="pct"/>
            <w:vAlign w:val="center"/>
          </w:tcPr>
          <w:p w14:paraId="0F9D0028">
            <w:pPr>
              <w:adjustRightInd w:val="0"/>
              <w:snapToGrid w:val="0"/>
              <w:ind w:left="-120" w:leftChars="-50" w:right="-120" w:rightChars="-50"/>
              <w:jc w:val="center"/>
              <w:rPr>
                <w:rFonts w:ascii="Times New Roman" w:hAnsi="Times New Roman" w:cs="Times New Roman"/>
                <w:color w:val="auto"/>
                <w:sz w:val="21"/>
              </w:rPr>
            </w:pPr>
          </w:p>
        </w:tc>
        <w:tc>
          <w:tcPr>
            <w:tcW w:w="512" w:type="pct"/>
            <w:vAlign w:val="center"/>
          </w:tcPr>
          <w:p w14:paraId="151BB78E">
            <w:pPr>
              <w:adjustRightInd w:val="0"/>
              <w:snapToGrid w:val="0"/>
              <w:jc w:val="center"/>
              <w:rPr>
                <w:rFonts w:ascii="Times New Roman" w:hAnsi="Times New Roman" w:cs="Times New Roman"/>
                <w:color w:val="auto"/>
                <w:sz w:val="21"/>
                <w:lang w:eastAsia="zh-CN"/>
              </w:rPr>
            </w:pPr>
          </w:p>
        </w:tc>
        <w:tc>
          <w:tcPr>
            <w:tcW w:w="434" w:type="pct"/>
            <w:vAlign w:val="center"/>
          </w:tcPr>
          <w:p w14:paraId="635D7ED4">
            <w:pPr>
              <w:adjustRightInd w:val="0"/>
              <w:snapToGrid w:val="0"/>
              <w:jc w:val="center"/>
              <w:rPr>
                <w:rFonts w:ascii="Times New Roman" w:hAnsi="Times New Roman" w:cs="Times New Roman"/>
                <w:color w:val="auto"/>
                <w:sz w:val="21"/>
                <w:lang w:eastAsia="zh-CN"/>
              </w:rPr>
            </w:pPr>
          </w:p>
        </w:tc>
        <w:tc>
          <w:tcPr>
            <w:tcW w:w="494" w:type="pct"/>
            <w:vAlign w:val="center"/>
          </w:tcPr>
          <w:p w14:paraId="14D7665B">
            <w:pPr>
              <w:adjustRightInd w:val="0"/>
              <w:snapToGrid w:val="0"/>
              <w:jc w:val="center"/>
              <w:rPr>
                <w:rFonts w:ascii="Times New Roman" w:hAnsi="Times New Roman" w:cs="Times New Roman"/>
                <w:color w:val="auto"/>
                <w:sz w:val="21"/>
                <w:lang w:eastAsia="zh-CN"/>
              </w:rPr>
            </w:pPr>
          </w:p>
        </w:tc>
        <w:tc>
          <w:tcPr>
            <w:tcW w:w="598" w:type="pct"/>
            <w:vAlign w:val="center"/>
          </w:tcPr>
          <w:p w14:paraId="267E74A5">
            <w:pPr>
              <w:adjustRightInd w:val="0"/>
              <w:snapToGrid w:val="0"/>
              <w:jc w:val="center"/>
              <w:rPr>
                <w:rFonts w:ascii="Times New Roman" w:hAnsi="Times New Roman" w:cs="Times New Roman"/>
                <w:color w:val="auto"/>
                <w:sz w:val="21"/>
                <w:lang w:eastAsia="zh-CN"/>
              </w:rPr>
            </w:pPr>
          </w:p>
        </w:tc>
        <w:tc>
          <w:tcPr>
            <w:tcW w:w="926" w:type="pct"/>
            <w:vMerge w:val="continue"/>
            <w:vAlign w:val="center"/>
          </w:tcPr>
          <w:p w14:paraId="5C4DB1A3">
            <w:pPr>
              <w:adjustRightInd w:val="0"/>
              <w:snapToGrid w:val="0"/>
              <w:jc w:val="center"/>
              <w:rPr>
                <w:rFonts w:ascii="Times New Roman" w:hAnsi="Times New Roman" w:cs="Times New Roman"/>
                <w:color w:val="auto"/>
                <w:sz w:val="21"/>
                <w:lang w:eastAsia="zh-CN"/>
              </w:rPr>
            </w:pPr>
          </w:p>
        </w:tc>
      </w:tr>
      <w:tr w14:paraId="2C60525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943" w:type="pct"/>
            <w:gridSpan w:val="2"/>
            <w:vMerge w:val="restart"/>
            <w:vAlign w:val="center"/>
          </w:tcPr>
          <w:p w14:paraId="633295DE">
            <w:pPr>
              <w:adjustRightInd w:val="0"/>
              <w:snapToGrid w:val="0"/>
              <w:jc w:val="center"/>
              <w:rPr>
                <w:rFonts w:ascii="Times New Roman" w:hAnsi="Times New Roman" w:cs="Times New Roman"/>
                <w:color w:val="auto"/>
                <w:sz w:val="21"/>
                <w:lang w:eastAsia="zh-CN"/>
              </w:rPr>
            </w:pPr>
          </w:p>
        </w:tc>
        <w:tc>
          <w:tcPr>
            <w:tcW w:w="1093" w:type="pct"/>
            <w:vAlign w:val="center"/>
          </w:tcPr>
          <w:p w14:paraId="26AC61E2">
            <w:pPr>
              <w:adjustRightInd w:val="0"/>
              <w:snapToGrid w:val="0"/>
              <w:ind w:left="-120" w:leftChars="-50" w:right="-120" w:rightChars="-50"/>
              <w:jc w:val="center"/>
              <w:rPr>
                <w:rFonts w:ascii="Times New Roman" w:hAnsi="Times New Roman" w:cs="Times New Roman"/>
                <w:color w:val="auto"/>
                <w:sz w:val="21"/>
              </w:rPr>
            </w:pPr>
          </w:p>
        </w:tc>
        <w:tc>
          <w:tcPr>
            <w:tcW w:w="512" w:type="pct"/>
            <w:vAlign w:val="center"/>
          </w:tcPr>
          <w:p w14:paraId="3E33D4B9">
            <w:pPr>
              <w:adjustRightInd w:val="0"/>
              <w:snapToGrid w:val="0"/>
              <w:jc w:val="center"/>
              <w:rPr>
                <w:rFonts w:ascii="Times New Roman" w:hAnsi="Times New Roman" w:cs="Times New Roman"/>
                <w:color w:val="auto"/>
                <w:sz w:val="21"/>
                <w:lang w:eastAsia="zh-CN"/>
              </w:rPr>
            </w:pPr>
          </w:p>
        </w:tc>
        <w:tc>
          <w:tcPr>
            <w:tcW w:w="434" w:type="pct"/>
            <w:vAlign w:val="center"/>
          </w:tcPr>
          <w:p w14:paraId="65748AD5">
            <w:pPr>
              <w:adjustRightInd w:val="0"/>
              <w:snapToGrid w:val="0"/>
              <w:jc w:val="center"/>
              <w:rPr>
                <w:rFonts w:ascii="Times New Roman" w:hAnsi="Times New Roman" w:cs="Times New Roman"/>
                <w:color w:val="auto"/>
                <w:sz w:val="21"/>
                <w:lang w:eastAsia="zh-CN"/>
              </w:rPr>
            </w:pPr>
          </w:p>
        </w:tc>
        <w:tc>
          <w:tcPr>
            <w:tcW w:w="494" w:type="pct"/>
            <w:vAlign w:val="center"/>
          </w:tcPr>
          <w:p w14:paraId="42FEEE1D">
            <w:pPr>
              <w:adjustRightInd w:val="0"/>
              <w:snapToGrid w:val="0"/>
              <w:jc w:val="center"/>
              <w:rPr>
                <w:rFonts w:ascii="Times New Roman" w:hAnsi="Times New Roman" w:cs="Times New Roman"/>
                <w:color w:val="auto"/>
                <w:sz w:val="21"/>
                <w:lang w:eastAsia="zh-CN"/>
              </w:rPr>
            </w:pPr>
          </w:p>
        </w:tc>
        <w:tc>
          <w:tcPr>
            <w:tcW w:w="598" w:type="pct"/>
            <w:vAlign w:val="center"/>
          </w:tcPr>
          <w:p w14:paraId="4901951E">
            <w:pPr>
              <w:adjustRightInd w:val="0"/>
              <w:snapToGrid w:val="0"/>
              <w:jc w:val="center"/>
              <w:rPr>
                <w:rFonts w:ascii="Times New Roman" w:hAnsi="Times New Roman" w:cs="Times New Roman"/>
                <w:color w:val="auto"/>
                <w:sz w:val="21"/>
                <w:lang w:eastAsia="zh-CN"/>
              </w:rPr>
            </w:pPr>
          </w:p>
        </w:tc>
        <w:tc>
          <w:tcPr>
            <w:tcW w:w="926" w:type="pct"/>
            <w:vMerge w:val="continue"/>
            <w:vAlign w:val="center"/>
          </w:tcPr>
          <w:p w14:paraId="5CC27DC8">
            <w:pPr>
              <w:adjustRightInd w:val="0"/>
              <w:snapToGrid w:val="0"/>
              <w:jc w:val="center"/>
              <w:rPr>
                <w:rFonts w:ascii="Times New Roman" w:hAnsi="Times New Roman" w:cs="Times New Roman"/>
                <w:color w:val="auto"/>
                <w:sz w:val="21"/>
              </w:rPr>
            </w:pPr>
          </w:p>
        </w:tc>
      </w:tr>
      <w:tr w14:paraId="04ED85E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943" w:type="pct"/>
            <w:gridSpan w:val="2"/>
            <w:vMerge w:val="continue"/>
            <w:vAlign w:val="center"/>
          </w:tcPr>
          <w:p w14:paraId="25BD8844">
            <w:pPr>
              <w:adjustRightInd w:val="0"/>
              <w:snapToGrid w:val="0"/>
              <w:jc w:val="center"/>
              <w:rPr>
                <w:rFonts w:ascii="Times New Roman" w:hAnsi="Times New Roman" w:cs="Times New Roman"/>
                <w:bCs/>
                <w:color w:val="auto"/>
                <w:sz w:val="21"/>
                <w:lang w:eastAsia="zh-CN"/>
              </w:rPr>
            </w:pPr>
          </w:p>
        </w:tc>
        <w:tc>
          <w:tcPr>
            <w:tcW w:w="1093" w:type="pct"/>
            <w:vAlign w:val="center"/>
          </w:tcPr>
          <w:p w14:paraId="732156BE">
            <w:pPr>
              <w:adjustRightInd w:val="0"/>
              <w:snapToGrid w:val="0"/>
              <w:ind w:left="-120" w:leftChars="-50" w:right="-120" w:rightChars="-50"/>
              <w:jc w:val="center"/>
              <w:rPr>
                <w:rFonts w:ascii="Times New Roman" w:hAnsi="Times New Roman" w:cs="Times New Roman"/>
                <w:color w:val="auto"/>
                <w:kern w:val="2"/>
                <w:sz w:val="21"/>
                <w:lang w:eastAsia="zh-CN"/>
              </w:rPr>
            </w:pPr>
          </w:p>
        </w:tc>
        <w:tc>
          <w:tcPr>
            <w:tcW w:w="512" w:type="pct"/>
            <w:vAlign w:val="center"/>
          </w:tcPr>
          <w:p w14:paraId="6109A025">
            <w:pPr>
              <w:adjustRightInd w:val="0"/>
              <w:snapToGrid w:val="0"/>
              <w:jc w:val="center"/>
              <w:rPr>
                <w:rFonts w:ascii="Times New Roman" w:hAnsi="Times New Roman" w:cs="Times New Roman"/>
                <w:color w:val="auto"/>
                <w:sz w:val="21"/>
                <w:lang w:eastAsia="zh-CN"/>
              </w:rPr>
            </w:pPr>
          </w:p>
        </w:tc>
        <w:tc>
          <w:tcPr>
            <w:tcW w:w="434" w:type="pct"/>
            <w:vAlign w:val="center"/>
          </w:tcPr>
          <w:p w14:paraId="4951A5A6">
            <w:pPr>
              <w:adjustRightInd w:val="0"/>
              <w:snapToGrid w:val="0"/>
              <w:jc w:val="center"/>
              <w:rPr>
                <w:rFonts w:ascii="Times New Roman" w:hAnsi="Times New Roman" w:cs="Times New Roman"/>
                <w:color w:val="auto"/>
                <w:sz w:val="21"/>
                <w:lang w:eastAsia="zh-CN"/>
              </w:rPr>
            </w:pPr>
          </w:p>
        </w:tc>
        <w:tc>
          <w:tcPr>
            <w:tcW w:w="494" w:type="pct"/>
            <w:vAlign w:val="center"/>
          </w:tcPr>
          <w:p w14:paraId="5C4CB4F5">
            <w:pPr>
              <w:adjustRightInd w:val="0"/>
              <w:snapToGrid w:val="0"/>
              <w:jc w:val="center"/>
              <w:rPr>
                <w:rFonts w:ascii="Times New Roman" w:hAnsi="Times New Roman" w:cs="Times New Roman"/>
                <w:color w:val="auto"/>
                <w:sz w:val="21"/>
                <w:lang w:eastAsia="zh-CN"/>
              </w:rPr>
            </w:pPr>
          </w:p>
        </w:tc>
        <w:tc>
          <w:tcPr>
            <w:tcW w:w="598" w:type="pct"/>
            <w:vAlign w:val="center"/>
          </w:tcPr>
          <w:p w14:paraId="05C70B2D">
            <w:pPr>
              <w:adjustRightInd w:val="0"/>
              <w:snapToGrid w:val="0"/>
              <w:jc w:val="center"/>
              <w:rPr>
                <w:rFonts w:ascii="Times New Roman" w:hAnsi="Times New Roman" w:cs="Times New Roman"/>
                <w:sz w:val="21"/>
                <w:lang w:eastAsia="zh-CN"/>
              </w:rPr>
            </w:pPr>
          </w:p>
        </w:tc>
        <w:tc>
          <w:tcPr>
            <w:tcW w:w="926" w:type="pct"/>
            <w:vMerge w:val="continue"/>
            <w:vAlign w:val="center"/>
          </w:tcPr>
          <w:p w14:paraId="40046D9A">
            <w:pPr>
              <w:adjustRightInd w:val="0"/>
              <w:snapToGrid w:val="0"/>
              <w:jc w:val="center"/>
              <w:rPr>
                <w:rFonts w:ascii="Times New Roman" w:hAnsi="Times New Roman" w:cs="Times New Roman"/>
                <w:color w:val="auto"/>
                <w:sz w:val="21"/>
              </w:rPr>
            </w:pPr>
          </w:p>
        </w:tc>
      </w:tr>
      <w:tr w14:paraId="2638F70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943" w:type="pct"/>
            <w:gridSpan w:val="2"/>
            <w:vMerge w:val="continue"/>
            <w:vAlign w:val="center"/>
          </w:tcPr>
          <w:p w14:paraId="0644015E">
            <w:pPr>
              <w:adjustRightInd w:val="0"/>
              <w:snapToGrid w:val="0"/>
              <w:jc w:val="center"/>
              <w:rPr>
                <w:rFonts w:ascii="Times New Roman" w:hAnsi="Times New Roman" w:cs="Times New Roman"/>
                <w:color w:val="auto"/>
                <w:sz w:val="21"/>
                <w:lang w:eastAsia="zh-CN"/>
              </w:rPr>
            </w:pPr>
          </w:p>
        </w:tc>
        <w:tc>
          <w:tcPr>
            <w:tcW w:w="1093" w:type="pct"/>
            <w:vAlign w:val="center"/>
          </w:tcPr>
          <w:p w14:paraId="79F52F3D">
            <w:pPr>
              <w:adjustRightInd w:val="0"/>
              <w:snapToGrid w:val="0"/>
              <w:ind w:left="-120" w:leftChars="-50" w:right="-120" w:rightChars="-50"/>
              <w:jc w:val="center"/>
              <w:rPr>
                <w:rFonts w:ascii="Times New Roman" w:hAnsi="Times New Roman" w:cs="Times New Roman"/>
                <w:color w:val="auto"/>
                <w:sz w:val="21"/>
                <w:lang w:eastAsia="zh-CN"/>
              </w:rPr>
            </w:pPr>
          </w:p>
        </w:tc>
        <w:tc>
          <w:tcPr>
            <w:tcW w:w="512" w:type="pct"/>
            <w:vAlign w:val="center"/>
          </w:tcPr>
          <w:p w14:paraId="4E222AED">
            <w:pPr>
              <w:adjustRightInd w:val="0"/>
              <w:snapToGrid w:val="0"/>
              <w:jc w:val="center"/>
              <w:rPr>
                <w:rFonts w:ascii="Times New Roman" w:hAnsi="Times New Roman" w:cs="Times New Roman"/>
                <w:color w:val="auto"/>
                <w:sz w:val="21"/>
                <w:lang w:eastAsia="zh-CN"/>
              </w:rPr>
            </w:pPr>
          </w:p>
        </w:tc>
        <w:tc>
          <w:tcPr>
            <w:tcW w:w="434" w:type="pct"/>
            <w:vAlign w:val="center"/>
          </w:tcPr>
          <w:p w14:paraId="0FD59201">
            <w:pPr>
              <w:adjustRightInd w:val="0"/>
              <w:snapToGrid w:val="0"/>
              <w:jc w:val="center"/>
              <w:rPr>
                <w:rFonts w:ascii="Times New Roman" w:hAnsi="Times New Roman" w:cs="Times New Roman"/>
                <w:color w:val="auto"/>
                <w:sz w:val="21"/>
                <w:lang w:eastAsia="zh-CN"/>
              </w:rPr>
            </w:pPr>
          </w:p>
        </w:tc>
        <w:tc>
          <w:tcPr>
            <w:tcW w:w="494" w:type="pct"/>
            <w:vAlign w:val="center"/>
          </w:tcPr>
          <w:p w14:paraId="0F4EE3EB">
            <w:pPr>
              <w:adjustRightInd w:val="0"/>
              <w:snapToGrid w:val="0"/>
              <w:jc w:val="center"/>
              <w:rPr>
                <w:rFonts w:ascii="Times New Roman" w:hAnsi="Times New Roman" w:cs="Times New Roman"/>
                <w:color w:val="auto"/>
                <w:sz w:val="21"/>
                <w:lang w:eastAsia="zh-CN"/>
              </w:rPr>
            </w:pPr>
          </w:p>
        </w:tc>
        <w:tc>
          <w:tcPr>
            <w:tcW w:w="598" w:type="pct"/>
            <w:vAlign w:val="center"/>
          </w:tcPr>
          <w:p w14:paraId="608A60A5">
            <w:pPr>
              <w:adjustRightInd w:val="0"/>
              <w:snapToGrid w:val="0"/>
              <w:jc w:val="center"/>
              <w:rPr>
                <w:rFonts w:ascii="Times New Roman" w:hAnsi="Times New Roman" w:cs="Times New Roman"/>
                <w:color w:val="auto"/>
                <w:sz w:val="21"/>
                <w:lang w:eastAsia="zh-CN"/>
              </w:rPr>
            </w:pPr>
          </w:p>
        </w:tc>
        <w:tc>
          <w:tcPr>
            <w:tcW w:w="926" w:type="pct"/>
            <w:vMerge w:val="continue"/>
            <w:vAlign w:val="center"/>
          </w:tcPr>
          <w:p w14:paraId="37AA9593">
            <w:pPr>
              <w:adjustRightInd w:val="0"/>
              <w:snapToGrid w:val="0"/>
              <w:jc w:val="center"/>
              <w:rPr>
                <w:rFonts w:ascii="Times New Roman" w:hAnsi="Times New Roman" w:cs="Times New Roman"/>
                <w:color w:val="auto"/>
                <w:sz w:val="21"/>
                <w:lang w:eastAsia="zh-CN"/>
              </w:rPr>
            </w:pPr>
          </w:p>
        </w:tc>
      </w:tr>
    </w:tbl>
    <w:p w14:paraId="3E18338C">
      <w:pPr>
        <w:pStyle w:val="70"/>
        <w:rPr>
          <w:rFonts w:ascii="Times New Roman" w:hAnsi="Times New Roman" w:cs="Times New Roman"/>
          <w:color w:val="auto"/>
          <w:lang w:eastAsia="zh-CN"/>
        </w:rPr>
        <w:sectPr>
          <w:headerReference r:id="rId25" w:type="first"/>
          <w:headerReference r:id="rId23" w:type="default"/>
          <w:footerReference r:id="rId26" w:type="default"/>
          <w:headerReference r:id="rId24" w:type="even"/>
          <w:pgSz w:w="11906" w:h="16838"/>
          <w:pgMar w:top="1440" w:right="1080" w:bottom="1440" w:left="1080" w:header="851" w:footer="992" w:gutter="0"/>
          <w:cols w:space="720" w:num="1"/>
          <w:docGrid w:type="lines" w:linePitch="312" w:charSpace="0"/>
        </w:sectPr>
      </w:pPr>
      <w:r>
        <w:rPr>
          <w:rFonts w:ascii="Times New Roman" w:hAnsi="Times New Roman" w:cs="Times New Roman"/>
          <w:color w:val="auto"/>
          <w:lang w:eastAsia="zh-CN"/>
        </w:rPr>
        <w:t>综上，项目有组织及无组织废气污染源源强及排放情况汇总见下表。</w:t>
      </w:r>
    </w:p>
    <w:bookmarkEnd w:id="846"/>
    <w:p w14:paraId="306E2A27">
      <w:pPr>
        <w:spacing w:line="360" w:lineRule="auto"/>
        <w:jc w:val="center"/>
        <w:rPr>
          <w:rFonts w:ascii="Times New Roman" w:hAnsi="Times New Roman" w:cs="Times New Roman"/>
          <w:b/>
          <w:bCs/>
          <w:color w:val="auto"/>
          <w:lang w:val="zh-CN" w:eastAsia="zh-CN"/>
        </w:rPr>
      </w:pPr>
      <w:bookmarkStart w:id="847" w:name="_Hlk174366750"/>
      <w:r>
        <w:rPr>
          <w:rFonts w:ascii="Times New Roman" w:hAnsi="Times New Roman" w:cs="Times New Roman"/>
          <w:b/>
          <w:bCs/>
          <w:color w:val="auto"/>
          <w:lang w:val="zh-CN" w:eastAsia="zh-CN"/>
        </w:rPr>
        <w:t>表</w:t>
      </w:r>
      <w:r>
        <w:rPr>
          <w:rFonts w:ascii="Times New Roman" w:hAnsi="Times New Roman" w:cs="Times New Roman"/>
          <w:b/>
          <w:bCs/>
          <w:color w:val="auto"/>
          <w:lang w:eastAsia="zh-CN"/>
        </w:rPr>
        <w:t>4.3-</w:t>
      </w:r>
      <w:r>
        <w:rPr>
          <w:rFonts w:hint="eastAsia" w:ascii="Times New Roman" w:hAnsi="Times New Roman" w:cs="Times New Roman"/>
          <w:b/>
          <w:bCs/>
          <w:color w:val="auto"/>
          <w:lang w:eastAsia="zh-CN"/>
        </w:rPr>
        <w:t>6</w:t>
      </w:r>
      <w:r>
        <w:rPr>
          <w:rFonts w:ascii="Times New Roman" w:hAnsi="Times New Roman" w:cs="Times New Roman"/>
          <w:b/>
          <w:bCs/>
          <w:color w:val="auto"/>
          <w:lang w:eastAsia="zh-CN"/>
        </w:rPr>
        <w:t xml:space="preserve"> </w:t>
      </w:r>
      <w:r>
        <w:rPr>
          <w:rFonts w:hint="eastAsia" w:ascii="Times New Roman" w:hAnsi="Times New Roman" w:cs="Times New Roman"/>
          <w:b/>
          <w:bCs/>
          <w:color w:val="auto"/>
          <w:lang w:eastAsia="zh-CN"/>
        </w:rPr>
        <w:t xml:space="preserve">  改扩建项目</w:t>
      </w:r>
      <w:r>
        <w:rPr>
          <w:rFonts w:ascii="Times New Roman" w:hAnsi="Times New Roman" w:cs="Times New Roman"/>
          <w:b/>
          <w:bCs/>
          <w:color w:val="auto"/>
          <w:lang w:eastAsia="zh-CN"/>
        </w:rPr>
        <w:t>有组织</w:t>
      </w:r>
      <w:r>
        <w:rPr>
          <w:rFonts w:ascii="Times New Roman" w:hAnsi="Times New Roman" w:cs="Times New Roman"/>
          <w:b/>
          <w:bCs/>
          <w:color w:val="auto"/>
          <w:lang w:val="zh-CN" w:eastAsia="zh-CN"/>
        </w:rPr>
        <w:t>废气产生和排放情况汇总表</w:t>
      </w:r>
    </w:p>
    <w:tbl>
      <w:tblPr>
        <w:tblStyle w:val="35"/>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712"/>
        <w:gridCol w:w="709"/>
        <w:gridCol w:w="1133"/>
        <w:gridCol w:w="850"/>
        <w:gridCol w:w="711"/>
        <w:gridCol w:w="708"/>
        <w:gridCol w:w="850"/>
        <w:gridCol w:w="850"/>
        <w:gridCol w:w="850"/>
        <w:gridCol w:w="995"/>
        <w:gridCol w:w="850"/>
        <w:gridCol w:w="850"/>
        <w:gridCol w:w="850"/>
        <w:gridCol w:w="850"/>
        <w:gridCol w:w="853"/>
        <w:gridCol w:w="850"/>
        <w:gridCol w:w="862"/>
        <w:gridCol w:w="440"/>
        <w:gridCol w:w="625"/>
      </w:tblGrid>
      <w:tr w14:paraId="35E6C19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461" w:type="pct"/>
            <w:gridSpan w:val="2"/>
            <w:vMerge w:val="restart"/>
            <w:vAlign w:val="center"/>
          </w:tcPr>
          <w:p w14:paraId="0D53E121">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装置</w:t>
            </w:r>
          </w:p>
        </w:tc>
        <w:tc>
          <w:tcPr>
            <w:tcW w:w="368" w:type="pct"/>
            <w:vMerge w:val="restart"/>
            <w:vAlign w:val="center"/>
          </w:tcPr>
          <w:p w14:paraId="65F062FD">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污染源</w:t>
            </w:r>
          </w:p>
        </w:tc>
        <w:tc>
          <w:tcPr>
            <w:tcW w:w="276" w:type="pct"/>
            <w:vMerge w:val="restart"/>
            <w:vAlign w:val="center"/>
          </w:tcPr>
          <w:p w14:paraId="52125FFF">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污染物</w:t>
            </w:r>
          </w:p>
        </w:tc>
        <w:tc>
          <w:tcPr>
            <w:tcW w:w="231" w:type="pct"/>
            <w:vMerge w:val="restart"/>
            <w:vAlign w:val="center"/>
          </w:tcPr>
          <w:p w14:paraId="25F99C8B">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核算方法</w:t>
            </w:r>
          </w:p>
        </w:tc>
        <w:tc>
          <w:tcPr>
            <w:tcW w:w="230" w:type="pct"/>
            <w:vMerge w:val="restart"/>
            <w:vAlign w:val="center"/>
          </w:tcPr>
          <w:p w14:paraId="73F75157">
            <w:pPr>
              <w:overflowPunct w:val="0"/>
              <w:jc w:val="center"/>
              <w:textAlignment w:val="center"/>
              <w:rPr>
                <w:rFonts w:ascii="Times New Roman" w:hAnsi="Times New Roman" w:cs="Times New Roman"/>
                <w:b/>
                <w:bCs/>
                <w:color w:val="auto"/>
                <w:sz w:val="21"/>
                <w:lang w:eastAsia="zh-CN" w:bidi="ar"/>
              </w:rPr>
            </w:pPr>
            <w:r>
              <w:rPr>
                <w:rFonts w:ascii="Times New Roman" w:hAnsi="Times New Roman" w:cs="Times New Roman"/>
                <w:b/>
                <w:bCs/>
                <w:color w:val="auto"/>
                <w:sz w:val="21"/>
                <w:lang w:eastAsia="zh-CN" w:bidi="ar"/>
              </w:rPr>
              <w:t>工作时间h</w:t>
            </w:r>
          </w:p>
        </w:tc>
        <w:tc>
          <w:tcPr>
            <w:tcW w:w="828" w:type="pct"/>
            <w:gridSpan w:val="3"/>
            <w:vAlign w:val="center"/>
          </w:tcPr>
          <w:p w14:paraId="71F8766E">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污染物产生</w:t>
            </w:r>
          </w:p>
        </w:tc>
        <w:tc>
          <w:tcPr>
            <w:tcW w:w="323" w:type="pct"/>
            <w:vMerge w:val="restart"/>
            <w:vAlign w:val="center"/>
          </w:tcPr>
          <w:p w14:paraId="63E455AA">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治理措施</w:t>
            </w:r>
          </w:p>
        </w:tc>
        <w:tc>
          <w:tcPr>
            <w:tcW w:w="276" w:type="pct"/>
            <w:vMerge w:val="restart"/>
            <w:vAlign w:val="center"/>
          </w:tcPr>
          <w:p w14:paraId="49B756C4">
            <w:pPr>
              <w:overflowPunct w:val="0"/>
              <w:jc w:val="center"/>
              <w:textAlignment w:val="center"/>
              <w:rPr>
                <w:rFonts w:ascii="Times New Roman" w:hAnsi="Times New Roman" w:cs="Times New Roman"/>
                <w:b/>
                <w:bCs/>
                <w:color w:val="auto"/>
                <w:sz w:val="21"/>
                <w:lang w:eastAsia="zh-CN" w:bidi="ar"/>
              </w:rPr>
            </w:pPr>
            <w:r>
              <w:rPr>
                <w:rFonts w:ascii="Times New Roman" w:hAnsi="Times New Roman" w:cs="Times New Roman"/>
                <w:b/>
                <w:bCs/>
                <w:color w:val="auto"/>
                <w:sz w:val="21"/>
                <w:lang w:eastAsia="zh-CN" w:bidi="ar"/>
              </w:rPr>
              <w:t>排气筒</w:t>
            </w:r>
          </w:p>
          <w:p w14:paraId="19886849">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编号</w:t>
            </w:r>
          </w:p>
        </w:tc>
        <w:tc>
          <w:tcPr>
            <w:tcW w:w="276" w:type="pct"/>
            <w:vMerge w:val="restart"/>
            <w:vAlign w:val="center"/>
          </w:tcPr>
          <w:p w14:paraId="21156C26">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排气量m</w:t>
            </w:r>
            <w:r>
              <w:rPr>
                <w:rFonts w:ascii="Times New Roman" w:hAnsi="Times New Roman" w:cs="Times New Roman"/>
                <w:b/>
                <w:bCs/>
                <w:color w:val="auto"/>
                <w:sz w:val="21"/>
                <w:vertAlign w:val="superscript"/>
                <w:lang w:eastAsia="zh-CN" w:bidi="ar"/>
              </w:rPr>
              <w:t>3</w:t>
            </w:r>
            <w:r>
              <w:rPr>
                <w:rFonts w:ascii="Times New Roman" w:hAnsi="Times New Roman" w:cs="Times New Roman"/>
                <w:b/>
                <w:bCs/>
                <w:color w:val="auto"/>
                <w:sz w:val="21"/>
                <w:lang w:eastAsia="zh-CN" w:bidi="ar"/>
              </w:rPr>
              <w:t>/h</w:t>
            </w:r>
          </w:p>
        </w:tc>
        <w:tc>
          <w:tcPr>
            <w:tcW w:w="829" w:type="pct"/>
            <w:gridSpan w:val="3"/>
            <w:vAlign w:val="center"/>
          </w:tcPr>
          <w:p w14:paraId="4DE2A70D">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污染物排放</w:t>
            </w:r>
          </w:p>
        </w:tc>
        <w:tc>
          <w:tcPr>
            <w:tcW w:w="556" w:type="pct"/>
            <w:gridSpan w:val="2"/>
            <w:shd w:val="clear" w:color="auto" w:fill="FFFFFF"/>
            <w:vAlign w:val="center"/>
          </w:tcPr>
          <w:p w14:paraId="0B2F6EE0">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标准</w:t>
            </w:r>
          </w:p>
        </w:tc>
        <w:tc>
          <w:tcPr>
            <w:tcW w:w="346" w:type="pct"/>
            <w:gridSpan w:val="2"/>
            <w:vAlign w:val="center"/>
          </w:tcPr>
          <w:p w14:paraId="35BD2FFD">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排气筒</w:t>
            </w:r>
          </w:p>
        </w:tc>
      </w:tr>
      <w:tr w14:paraId="0EF4B9E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461" w:type="pct"/>
            <w:gridSpan w:val="2"/>
            <w:vMerge w:val="continue"/>
            <w:vAlign w:val="center"/>
          </w:tcPr>
          <w:p w14:paraId="709EB9E4">
            <w:pPr>
              <w:overflowPunct w:val="0"/>
              <w:jc w:val="center"/>
              <w:rPr>
                <w:rFonts w:ascii="Times New Roman" w:hAnsi="Times New Roman" w:cs="Times New Roman"/>
                <w:b/>
                <w:bCs/>
                <w:color w:val="auto"/>
                <w:sz w:val="21"/>
              </w:rPr>
            </w:pPr>
          </w:p>
        </w:tc>
        <w:tc>
          <w:tcPr>
            <w:tcW w:w="368" w:type="pct"/>
            <w:vMerge w:val="continue"/>
            <w:vAlign w:val="center"/>
          </w:tcPr>
          <w:p w14:paraId="144E4476">
            <w:pPr>
              <w:overflowPunct w:val="0"/>
              <w:jc w:val="center"/>
              <w:rPr>
                <w:rFonts w:ascii="Times New Roman" w:hAnsi="Times New Roman" w:cs="Times New Roman"/>
                <w:b/>
                <w:bCs/>
                <w:color w:val="auto"/>
                <w:sz w:val="21"/>
              </w:rPr>
            </w:pPr>
          </w:p>
        </w:tc>
        <w:tc>
          <w:tcPr>
            <w:tcW w:w="276" w:type="pct"/>
            <w:vMerge w:val="continue"/>
            <w:vAlign w:val="center"/>
          </w:tcPr>
          <w:p w14:paraId="19A5143F">
            <w:pPr>
              <w:overflowPunct w:val="0"/>
              <w:jc w:val="center"/>
              <w:rPr>
                <w:rFonts w:ascii="Times New Roman" w:hAnsi="Times New Roman" w:cs="Times New Roman"/>
                <w:b/>
                <w:bCs/>
                <w:color w:val="auto"/>
                <w:sz w:val="21"/>
              </w:rPr>
            </w:pPr>
          </w:p>
        </w:tc>
        <w:tc>
          <w:tcPr>
            <w:tcW w:w="231" w:type="pct"/>
            <w:vMerge w:val="continue"/>
            <w:vAlign w:val="center"/>
          </w:tcPr>
          <w:p w14:paraId="6D068342">
            <w:pPr>
              <w:overflowPunct w:val="0"/>
              <w:jc w:val="center"/>
              <w:rPr>
                <w:rFonts w:ascii="Times New Roman" w:hAnsi="Times New Roman" w:cs="Times New Roman"/>
                <w:b/>
                <w:bCs/>
                <w:color w:val="auto"/>
                <w:sz w:val="21"/>
              </w:rPr>
            </w:pPr>
          </w:p>
        </w:tc>
        <w:tc>
          <w:tcPr>
            <w:tcW w:w="230" w:type="pct"/>
            <w:vMerge w:val="continue"/>
            <w:vAlign w:val="center"/>
          </w:tcPr>
          <w:p w14:paraId="2DE67B08">
            <w:pPr>
              <w:overflowPunct w:val="0"/>
              <w:jc w:val="center"/>
              <w:textAlignment w:val="center"/>
              <w:rPr>
                <w:rFonts w:ascii="Times New Roman" w:hAnsi="Times New Roman" w:cs="Times New Roman"/>
                <w:b/>
                <w:bCs/>
                <w:color w:val="auto"/>
                <w:sz w:val="21"/>
                <w:lang w:eastAsia="zh-CN" w:bidi="ar"/>
              </w:rPr>
            </w:pPr>
          </w:p>
        </w:tc>
        <w:tc>
          <w:tcPr>
            <w:tcW w:w="276" w:type="pct"/>
            <w:vAlign w:val="center"/>
          </w:tcPr>
          <w:p w14:paraId="7E0AA5B7">
            <w:pPr>
              <w:overflowPunct w:val="0"/>
              <w:jc w:val="center"/>
              <w:textAlignment w:val="center"/>
              <w:rPr>
                <w:rFonts w:ascii="Times New Roman" w:hAnsi="Times New Roman" w:cs="Times New Roman"/>
                <w:b/>
                <w:bCs/>
                <w:color w:val="auto"/>
                <w:sz w:val="21"/>
                <w:lang w:eastAsia="zh-CN" w:bidi="ar"/>
              </w:rPr>
            </w:pPr>
            <w:r>
              <w:rPr>
                <w:rFonts w:ascii="Times New Roman" w:hAnsi="Times New Roman" w:cs="Times New Roman"/>
                <w:b/>
                <w:bCs/>
                <w:color w:val="auto"/>
                <w:sz w:val="21"/>
                <w:lang w:eastAsia="zh-CN" w:bidi="ar"/>
              </w:rPr>
              <w:t>浓度</w:t>
            </w:r>
          </w:p>
          <w:p w14:paraId="79844614">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mg/m³</w:t>
            </w:r>
          </w:p>
        </w:tc>
        <w:tc>
          <w:tcPr>
            <w:tcW w:w="276" w:type="pct"/>
            <w:vAlign w:val="center"/>
          </w:tcPr>
          <w:p w14:paraId="62815CFB">
            <w:pPr>
              <w:overflowPunct w:val="0"/>
              <w:jc w:val="center"/>
              <w:textAlignment w:val="center"/>
              <w:rPr>
                <w:rFonts w:ascii="Times New Roman" w:hAnsi="Times New Roman" w:cs="Times New Roman"/>
                <w:b/>
                <w:bCs/>
                <w:color w:val="auto"/>
                <w:sz w:val="21"/>
                <w:lang w:eastAsia="zh-CN" w:bidi="ar"/>
              </w:rPr>
            </w:pPr>
            <w:r>
              <w:rPr>
                <w:rFonts w:ascii="Times New Roman" w:hAnsi="Times New Roman" w:cs="Times New Roman"/>
                <w:b/>
                <w:bCs/>
                <w:color w:val="auto"/>
                <w:sz w:val="21"/>
                <w:lang w:eastAsia="zh-CN" w:bidi="ar"/>
              </w:rPr>
              <w:t>速率</w:t>
            </w:r>
          </w:p>
          <w:p w14:paraId="17D902CC">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kg/h</w:t>
            </w:r>
          </w:p>
        </w:tc>
        <w:tc>
          <w:tcPr>
            <w:tcW w:w="276" w:type="pct"/>
            <w:vAlign w:val="center"/>
          </w:tcPr>
          <w:p w14:paraId="7B4CF804">
            <w:pPr>
              <w:overflowPunct w:val="0"/>
              <w:jc w:val="center"/>
              <w:textAlignment w:val="center"/>
              <w:rPr>
                <w:rFonts w:ascii="Times New Roman" w:hAnsi="Times New Roman" w:cs="Times New Roman"/>
                <w:b/>
                <w:bCs/>
                <w:color w:val="auto"/>
                <w:sz w:val="21"/>
                <w:lang w:eastAsia="zh-CN" w:bidi="ar"/>
              </w:rPr>
            </w:pPr>
            <w:r>
              <w:rPr>
                <w:rFonts w:ascii="Times New Roman" w:hAnsi="Times New Roman" w:cs="Times New Roman"/>
                <w:b/>
                <w:bCs/>
                <w:color w:val="auto"/>
                <w:sz w:val="21"/>
                <w:lang w:eastAsia="zh-CN" w:bidi="ar"/>
              </w:rPr>
              <w:t>产生量</w:t>
            </w:r>
          </w:p>
          <w:p w14:paraId="52D39C3A">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t/a</w:t>
            </w:r>
          </w:p>
        </w:tc>
        <w:tc>
          <w:tcPr>
            <w:tcW w:w="323" w:type="pct"/>
            <w:vMerge w:val="continue"/>
            <w:vAlign w:val="center"/>
          </w:tcPr>
          <w:p w14:paraId="1B1D30C5">
            <w:pPr>
              <w:overflowPunct w:val="0"/>
              <w:jc w:val="center"/>
              <w:rPr>
                <w:rFonts w:ascii="Times New Roman" w:hAnsi="Times New Roman" w:cs="Times New Roman"/>
                <w:b/>
                <w:bCs/>
                <w:color w:val="auto"/>
                <w:sz w:val="21"/>
              </w:rPr>
            </w:pPr>
          </w:p>
        </w:tc>
        <w:tc>
          <w:tcPr>
            <w:tcW w:w="276" w:type="pct"/>
            <w:vMerge w:val="continue"/>
            <w:vAlign w:val="center"/>
          </w:tcPr>
          <w:p w14:paraId="49E4A4EC">
            <w:pPr>
              <w:overflowPunct w:val="0"/>
              <w:jc w:val="center"/>
              <w:textAlignment w:val="center"/>
              <w:rPr>
                <w:rFonts w:ascii="Times New Roman" w:hAnsi="Times New Roman" w:cs="Times New Roman"/>
                <w:b/>
                <w:bCs/>
                <w:color w:val="auto"/>
                <w:sz w:val="21"/>
              </w:rPr>
            </w:pPr>
          </w:p>
        </w:tc>
        <w:tc>
          <w:tcPr>
            <w:tcW w:w="276" w:type="pct"/>
            <w:vMerge w:val="continue"/>
            <w:vAlign w:val="center"/>
          </w:tcPr>
          <w:p w14:paraId="6397C3C7">
            <w:pPr>
              <w:overflowPunct w:val="0"/>
              <w:jc w:val="center"/>
              <w:rPr>
                <w:rFonts w:ascii="Times New Roman" w:hAnsi="Times New Roman" w:cs="Times New Roman"/>
                <w:b/>
                <w:bCs/>
                <w:color w:val="auto"/>
                <w:sz w:val="21"/>
              </w:rPr>
            </w:pPr>
          </w:p>
        </w:tc>
        <w:tc>
          <w:tcPr>
            <w:tcW w:w="276" w:type="pct"/>
            <w:vAlign w:val="center"/>
          </w:tcPr>
          <w:p w14:paraId="503EA586">
            <w:pPr>
              <w:overflowPunct w:val="0"/>
              <w:jc w:val="center"/>
              <w:textAlignment w:val="center"/>
              <w:rPr>
                <w:rFonts w:ascii="Times New Roman" w:hAnsi="Times New Roman" w:cs="Times New Roman"/>
                <w:b/>
                <w:bCs/>
                <w:color w:val="auto"/>
                <w:sz w:val="21"/>
                <w:lang w:eastAsia="zh-CN" w:bidi="ar"/>
              </w:rPr>
            </w:pPr>
            <w:r>
              <w:rPr>
                <w:rFonts w:ascii="Times New Roman" w:hAnsi="Times New Roman" w:cs="Times New Roman"/>
                <w:b/>
                <w:bCs/>
                <w:color w:val="auto"/>
                <w:sz w:val="21"/>
                <w:lang w:eastAsia="zh-CN" w:bidi="ar"/>
              </w:rPr>
              <w:t>浓度</w:t>
            </w:r>
          </w:p>
          <w:p w14:paraId="0E60E5AB">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mg/m³</w:t>
            </w:r>
          </w:p>
        </w:tc>
        <w:tc>
          <w:tcPr>
            <w:tcW w:w="276" w:type="pct"/>
            <w:vAlign w:val="center"/>
          </w:tcPr>
          <w:p w14:paraId="36577862">
            <w:pPr>
              <w:overflowPunct w:val="0"/>
              <w:jc w:val="center"/>
              <w:textAlignment w:val="center"/>
              <w:rPr>
                <w:rFonts w:ascii="Times New Roman" w:hAnsi="Times New Roman" w:cs="Times New Roman"/>
                <w:b/>
                <w:bCs/>
                <w:color w:val="auto"/>
                <w:sz w:val="21"/>
                <w:lang w:eastAsia="zh-CN" w:bidi="ar"/>
              </w:rPr>
            </w:pPr>
            <w:r>
              <w:rPr>
                <w:rFonts w:ascii="Times New Roman" w:hAnsi="Times New Roman" w:cs="Times New Roman"/>
                <w:b/>
                <w:bCs/>
                <w:color w:val="auto"/>
                <w:sz w:val="21"/>
                <w:lang w:eastAsia="zh-CN" w:bidi="ar"/>
              </w:rPr>
              <w:t>速率</w:t>
            </w:r>
          </w:p>
          <w:p w14:paraId="54B22855">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kg/h</w:t>
            </w:r>
          </w:p>
        </w:tc>
        <w:tc>
          <w:tcPr>
            <w:tcW w:w="277" w:type="pct"/>
            <w:vAlign w:val="center"/>
          </w:tcPr>
          <w:p w14:paraId="51C231D3">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排放量t/a</w:t>
            </w:r>
          </w:p>
        </w:tc>
        <w:tc>
          <w:tcPr>
            <w:tcW w:w="276" w:type="pct"/>
            <w:vAlign w:val="center"/>
          </w:tcPr>
          <w:p w14:paraId="21FE498A">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浓度mg/m</w:t>
            </w:r>
            <w:r>
              <w:rPr>
                <w:rFonts w:ascii="Times New Roman" w:hAnsi="Times New Roman" w:cs="Times New Roman"/>
                <w:b/>
                <w:bCs/>
                <w:color w:val="auto"/>
                <w:sz w:val="21"/>
                <w:vertAlign w:val="superscript"/>
                <w:lang w:eastAsia="zh-CN" w:bidi="ar"/>
              </w:rPr>
              <w:t>3</w:t>
            </w:r>
          </w:p>
        </w:tc>
        <w:tc>
          <w:tcPr>
            <w:tcW w:w="280" w:type="pct"/>
            <w:vAlign w:val="center"/>
          </w:tcPr>
          <w:p w14:paraId="3357FD76">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速率kg/h</w:t>
            </w:r>
          </w:p>
        </w:tc>
        <w:tc>
          <w:tcPr>
            <w:tcW w:w="143" w:type="pct"/>
            <w:vAlign w:val="center"/>
          </w:tcPr>
          <w:p w14:paraId="51A378E6">
            <w:pPr>
              <w:overflowPunct w:val="0"/>
              <w:jc w:val="center"/>
              <w:textAlignment w:val="center"/>
              <w:rPr>
                <w:rFonts w:ascii="Times New Roman" w:hAnsi="Times New Roman" w:cs="Times New Roman"/>
                <w:b/>
                <w:bCs/>
                <w:color w:val="auto"/>
                <w:sz w:val="21"/>
                <w:lang w:eastAsia="zh-CN" w:bidi="ar"/>
              </w:rPr>
            </w:pPr>
            <w:r>
              <w:rPr>
                <w:rFonts w:ascii="Times New Roman" w:hAnsi="Times New Roman" w:cs="Times New Roman"/>
                <w:b/>
                <w:bCs/>
                <w:color w:val="auto"/>
                <w:sz w:val="21"/>
                <w:lang w:eastAsia="zh-CN" w:bidi="ar"/>
              </w:rPr>
              <w:t>高度</w:t>
            </w:r>
          </w:p>
          <w:p w14:paraId="0761F204">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m</w:t>
            </w:r>
          </w:p>
        </w:tc>
        <w:tc>
          <w:tcPr>
            <w:tcW w:w="203" w:type="pct"/>
            <w:vAlign w:val="center"/>
          </w:tcPr>
          <w:p w14:paraId="538E2A7D">
            <w:pPr>
              <w:overflowPunct w:val="0"/>
              <w:jc w:val="center"/>
              <w:textAlignment w:val="center"/>
              <w:rPr>
                <w:rFonts w:ascii="Times New Roman" w:hAnsi="Times New Roman" w:cs="Times New Roman"/>
                <w:b/>
                <w:bCs/>
                <w:color w:val="auto"/>
                <w:sz w:val="21"/>
                <w:lang w:eastAsia="zh-CN" w:bidi="ar"/>
              </w:rPr>
            </w:pPr>
            <w:r>
              <w:rPr>
                <w:rFonts w:ascii="Times New Roman" w:hAnsi="Times New Roman" w:cs="Times New Roman"/>
                <w:b/>
                <w:bCs/>
                <w:color w:val="auto"/>
                <w:sz w:val="21"/>
                <w:lang w:eastAsia="zh-CN" w:bidi="ar"/>
              </w:rPr>
              <w:t>内径</w:t>
            </w:r>
          </w:p>
          <w:p w14:paraId="1000EF9B">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m</w:t>
            </w:r>
          </w:p>
        </w:tc>
      </w:tr>
      <w:tr w14:paraId="1729D34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31" w:type="pct"/>
            <w:vMerge w:val="restart"/>
            <w:vAlign w:val="center"/>
          </w:tcPr>
          <w:p w14:paraId="5D8C3C96">
            <w:pPr>
              <w:overflowPunct w:val="0"/>
              <w:jc w:val="center"/>
              <w:textAlignment w:val="center"/>
              <w:rPr>
                <w:rFonts w:ascii="Times New Roman" w:hAnsi="Times New Roman" w:cs="Times New Roman"/>
                <w:color w:val="auto"/>
                <w:sz w:val="21"/>
                <w:lang w:eastAsia="zh-CN"/>
              </w:rPr>
            </w:pPr>
          </w:p>
        </w:tc>
        <w:tc>
          <w:tcPr>
            <w:tcW w:w="230" w:type="pct"/>
            <w:vMerge w:val="restart"/>
            <w:vAlign w:val="center"/>
          </w:tcPr>
          <w:p w14:paraId="67FD41BF">
            <w:pPr>
              <w:overflowPunct w:val="0"/>
              <w:jc w:val="center"/>
              <w:textAlignment w:val="center"/>
              <w:rPr>
                <w:rFonts w:ascii="Times New Roman" w:hAnsi="Times New Roman" w:cs="Times New Roman"/>
                <w:color w:val="auto"/>
                <w:sz w:val="21"/>
              </w:rPr>
            </w:pPr>
          </w:p>
        </w:tc>
        <w:tc>
          <w:tcPr>
            <w:tcW w:w="368" w:type="pct"/>
            <w:vAlign w:val="center"/>
          </w:tcPr>
          <w:p w14:paraId="79D034DE">
            <w:pPr>
              <w:overflowPunct w:val="0"/>
              <w:jc w:val="center"/>
              <w:textAlignment w:val="center"/>
              <w:rPr>
                <w:rFonts w:ascii="Times New Roman" w:hAnsi="Times New Roman" w:cs="Times New Roman"/>
                <w:color w:val="auto"/>
                <w:sz w:val="21"/>
                <w:lang w:eastAsia="zh-CN"/>
              </w:rPr>
            </w:pPr>
          </w:p>
        </w:tc>
        <w:tc>
          <w:tcPr>
            <w:tcW w:w="276" w:type="pct"/>
            <w:vAlign w:val="center"/>
          </w:tcPr>
          <w:p w14:paraId="43892BD9">
            <w:pPr>
              <w:overflowPunct w:val="0"/>
              <w:jc w:val="center"/>
              <w:textAlignment w:val="center"/>
              <w:rPr>
                <w:rFonts w:ascii="Times New Roman" w:hAnsi="Times New Roman" w:cs="Times New Roman"/>
                <w:color w:val="auto"/>
                <w:sz w:val="21"/>
                <w:lang w:eastAsia="zh-CN"/>
              </w:rPr>
            </w:pPr>
          </w:p>
        </w:tc>
        <w:tc>
          <w:tcPr>
            <w:tcW w:w="231" w:type="pct"/>
            <w:vMerge w:val="restart"/>
            <w:vAlign w:val="center"/>
          </w:tcPr>
          <w:p w14:paraId="0063FFC6">
            <w:pPr>
              <w:overflowPunct w:val="0"/>
              <w:jc w:val="center"/>
              <w:textAlignment w:val="center"/>
              <w:rPr>
                <w:rFonts w:ascii="Times New Roman" w:hAnsi="Times New Roman" w:cs="Times New Roman"/>
                <w:color w:val="auto"/>
                <w:sz w:val="21"/>
              </w:rPr>
            </w:pPr>
          </w:p>
        </w:tc>
        <w:tc>
          <w:tcPr>
            <w:tcW w:w="230" w:type="pct"/>
            <w:vMerge w:val="restart"/>
            <w:vAlign w:val="center"/>
          </w:tcPr>
          <w:p w14:paraId="1757FD8A">
            <w:pPr>
              <w:overflowPunct w:val="0"/>
              <w:jc w:val="center"/>
              <w:textAlignment w:val="center"/>
              <w:rPr>
                <w:rFonts w:ascii="Times New Roman" w:hAnsi="Times New Roman" w:cs="Times New Roman"/>
                <w:color w:val="auto"/>
                <w:sz w:val="21"/>
                <w:lang w:eastAsia="zh-CN" w:bidi="ar"/>
              </w:rPr>
            </w:pPr>
          </w:p>
        </w:tc>
        <w:tc>
          <w:tcPr>
            <w:tcW w:w="276" w:type="pct"/>
            <w:noWrap/>
            <w:vAlign w:val="center"/>
          </w:tcPr>
          <w:p w14:paraId="25A649DD">
            <w:pPr>
              <w:overflowPunct w:val="0"/>
              <w:jc w:val="center"/>
              <w:textAlignment w:val="center"/>
              <w:rPr>
                <w:rFonts w:ascii="Times New Roman" w:hAnsi="Times New Roman" w:cs="Times New Roman"/>
                <w:color w:val="auto"/>
                <w:sz w:val="21"/>
                <w:lang w:eastAsia="zh-CN"/>
              </w:rPr>
            </w:pPr>
          </w:p>
        </w:tc>
        <w:tc>
          <w:tcPr>
            <w:tcW w:w="276" w:type="pct"/>
            <w:noWrap/>
            <w:vAlign w:val="center"/>
          </w:tcPr>
          <w:p w14:paraId="776C6400">
            <w:pPr>
              <w:overflowPunct w:val="0"/>
              <w:jc w:val="center"/>
              <w:textAlignment w:val="center"/>
              <w:rPr>
                <w:rFonts w:ascii="Times New Roman" w:hAnsi="Times New Roman" w:cs="Times New Roman"/>
                <w:color w:val="auto"/>
                <w:sz w:val="21"/>
                <w:lang w:eastAsia="zh-CN"/>
              </w:rPr>
            </w:pPr>
          </w:p>
        </w:tc>
        <w:tc>
          <w:tcPr>
            <w:tcW w:w="276" w:type="pct"/>
            <w:vAlign w:val="center"/>
          </w:tcPr>
          <w:p w14:paraId="144559AD">
            <w:pPr>
              <w:overflowPunct w:val="0"/>
              <w:jc w:val="center"/>
              <w:textAlignment w:val="center"/>
              <w:rPr>
                <w:rFonts w:ascii="Times New Roman" w:hAnsi="Times New Roman" w:cs="Times New Roman"/>
                <w:color w:val="auto"/>
                <w:sz w:val="21"/>
                <w:lang w:eastAsia="zh-CN"/>
              </w:rPr>
            </w:pPr>
          </w:p>
        </w:tc>
        <w:tc>
          <w:tcPr>
            <w:tcW w:w="323" w:type="pct"/>
            <w:vMerge w:val="restart"/>
            <w:vAlign w:val="center"/>
          </w:tcPr>
          <w:p w14:paraId="438DF71F">
            <w:pPr>
              <w:overflowPunct w:val="0"/>
              <w:jc w:val="center"/>
              <w:rPr>
                <w:rFonts w:ascii="Times New Roman" w:hAnsi="Times New Roman" w:cs="Times New Roman"/>
                <w:color w:val="auto"/>
                <w:sz w:val="21"/>
                <w:lang w:eastAsia="zh-CN"/>
              </w:rPr>
            </w:pPr>
          </w:p>
        </w:tc>
        <w:tc>
          <w:tcPr>
            <w:tcW w:w="276" w:type="pct"/>
            <w:vMerge w:val="restart"/>
            <w:vAlign w:val="center"/>
          </w:tcPr>
          <w:p w14:paraId="384E3FB9">
            <w:pPr>
              <w:overflowPunct w:val="0"/>
              <w:jc w:val="center"/>
              <w:textAlignment w:val="center"/>
              <w:rPr>
                <w:rFonts w:ascii="Times New Roman" w:hAnsi="Times New Roman" w:cs="Times New Roman"/>
                <w:color w:val="auto"/>
                <w:sz w:val="21"/>
              </w:rPr>
            </w:pPr>
          </w:p>
        </w:tc>
        <w:tc>
          <w:tcPr>
            <w:tcW w:w="276" w:type="pct"/>
            <w:vMerge w:val="restart"/>
            <w:vAlign w:val="center"/>
          </w:tcPr>
          <w:p w14:paraId="2CEF5F6B">
            <w:pPr>
              <w:overflowPunct w:val="0"/>
              <w:jc w:val="center"/>
              <w:textAlignment w:val="center"/>
              <w:rPr>
                <w:rFonts w:ascii="Times New Roman" w:hAnsi="Times New Roman" w:cs="Times New Roman"/>
                <w:color w:val="auto"/>
                <w:sz w:val="21"/>
                <w:lang w:eastAsia="zh-CN"/>
              </w:rPr>
            </w:pPr>
          </w:p>
        </w:tc>
        <w:tc>
          <w:tcPr>
            <w:tcW w:w="276" w:type="pct"/>
            <w:vMerge w:val="restart"/>
            <w:shd w:val="clear" w:color="auto" w:fill="FFFFFF"/>
            <w:vAlign w:val="center"/>
          </w:tcPr>
          <w:p w14:paraId="3E1750EE">
            <w:pPr>
              <w:overflowPunct w:val="0"/>
              <w:jc w:val="center"/>
              <w:textAlignment w:val="center"/>
              <w:rPr>
                <w:rFonts w:ascii="Times New Roman" w:hAnsi="Times New Roman" w:cs="Times New Roman"/>
                <w:color w:val="EE0000"/>
                <w:sz w:val="21"/>
                <w:lang w:eastAsia="zh-CN" w:bidi="ar"/>
              </w:rPr>
            </w:pPr>
          </w:p>
        </w:tc>
        <w:tc>
          <w:tcPr>
            <w:tcW w:w="276" w:type="pct"/>
            <w:vMerge w:val="restart"/>
            <w:shd w:val="clear" w:color="auto" w:fill="FFFFFF"/>
            <w:vAlign w:val="center"/>
          </w:tcPr>
          <w:p w14:paraId="45394DEF">
            <w:pPr>
              <w:overflowPunct w:val="0"/>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vMerge w:val="restart"/>
            <w:vAlign w:val="center"/>
          </w:tcPr>
          <w:p w14:paraId="47339707">
            <w:pPr>
              <w:overflowPunct w:val="0"/>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6" w:type="pct"/>
            <w:vMerge w:val="restart"/>
            <w:vAlign w:val="center"/>
          </w:tcPr>
          <w:p w14:paraId="578518F7">
            <w:pPr>
              <w:overflowPunct w:val="0"/>
              <w:jc w:val="center"/>
              <w:textAlignment w:val="center"/>
              <w:rPr>
                <w:rFonts w:ascii="Times New Roman" w:hAnsi="Times New Roman" w:cs="Times New Roman"/>
                <w:color w:val="auto"/>
                <w:sz w:val="21"/>
                <w:lang w:eastAsia="zh-CN" w:bidi="ar"/>
              </w:rPr>
            </w:pPr>
          </w:p>
        </w:tc>
        <w:tc>
          <w:tcPr>
            <w:tcW w:w="280" w:type="pct"/>
            <w:vMerge w:val="restart"/>
            <w:vAlign w:val="center"/>
          </w:tcPr>
          <w:p w14:paraId="1B4F2C23">
            <w:pPr>
              <w:overflowPunct w:val="0"/>
              <w:jc w:val="center"/>
              <w:textAlignment w:val="center"/>
              <w:rPr>
                <w:rFonts w:ascii="Times New Roman" w:hAnsi="Times New Roman" w:cs="Times New Roman"/>
                <w:color w:val="auto"/>
                <w:sz w:val="21"/>
                <w:lang w:eastAsia="zh-CN" w:bidi="ar"/>
              </w:rPr>
            </w:pPr>
          </w:p>
        </w:tc>
        <w:tc>
          <w:tcPr>
            <w:tcW w:w="143" w:type="pct"/>
            <w:vMerge w:val="restart"/>
            <w:vAlign w:val="center"/>
          </w:tcPr>
          <w:p w14:paraId="475CF888">
            <w:pPr>
              <w:overflowPunct w:val="0"/>
              <w:jc w:val="center"/>
              <w:rPr>
                <w:rFonts w:ascii="Times New Roman" w:hAnsi="Times New Roman" w:cs="Times New Roman"/>
                <w:color w:val="auto"/>
                <w:sz w:val="21"/>
                <w:lang w:eastAsia="zh-CN"/>
              </w:rPr>
            </w:pPr>
          </w:p>
        </w:tc>
        <w:tc>
          <w:tcPr>
            <w:tcW w:w="203" w:type="pct"/>
            <w:vMerge w:val="restart"/>
            <w:vAlign w:val="center"/>
          </w:tcPr>
          <w:p w14:paraId="54B74DA0">
            <w:pPr>
              <w:overflowPunct w:val="0"/>
              <w:jc w:val="center"/>
              <w:rPr>
                <w:rFonts w:ascii="Times New Roman" w:hAnsi="Times New Roman" w:cs="Times New Roman"/>
                <w:color w:val="auto"/>
                <w:sz w:val="21"/>
                <w:lang w:eastAsia="zh-CN"/>
              </w:rPr>
            </w:pPr>
          </w:p>
        </w:tc>
      </w:tr>
      <w:tr w14:paraId="0EF70BB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31" w:type="pct"/>
            <w:vMerge w:val="continue"/>
            <w:vAlign w:val="center"/>
          </w:tcPr>
          <w:p w14:paraId="3A9A668A">
            <w:pPr>
              <w:overflowPunct w:val="0"/>
              <w:jc w:val="center"/>
              <w:textAlignment w:val="center"/>
              <w:rPr>
                <w:rFonts w:ascii="Times New Roman" w:hAnsi="Times New Roman" w:cs="Times New Roman"/>
                <w:color w:val="auto"/>
                <w:sz w:val="21"/>
                <w:lang w:eastAsia="zh-CN" w:bidi="ar"/>
              </w:rPr>
            </w:pPr>
          </w:p>
        </w:tc>
        <w:tc>
          <w:tcPr>
            <w:tcW w:w="230" w:type="pct"/>
            <w:vMerge w:val="continue"/>
            <w:vAlign w:val="center"/>
          </w:tcPr>
          <w:p w14:paraId="505C949F">
            <w:pPr>
              <w:overflowPunct w:val="0"/>
              <w:jc w:val="center"/>
              <w:textAlignment w:val="center"/>
              <w:rPr>
                <w:rFonts w:ascii="Times New Roman" w:hAnsi="Times New Roman" w:cs="Times New Roman"/>
                <w:color w:val="auto"/>
                <w:sz w:val="21"/>
                <w:lang w:eastAsia="zh-CN" w:bidi="ar"/>
              </w:rPr>
            </w:pPr>
          </w:p>
        </w:tc>
        <w:tc>
          <w:tcPr>
            <w:tcW w:w="368" w:type="pct"/>
            <w:vAlign w:val="center"/>
          </w:tcPr>
          <w:p w14:paraId="0ABE8576">
            <w:pPr>
              <w:overflowPunct w:val="0"/>
              <w:jc w:val="center"/>
              <w:textAlignment w:val="center"/>
              <w:rPr>
                <w:rFonts w:ascii="Times New Roman" w:hAnsi="Times New Roman" w:cs="Times New Roman"/>
                <w:color w:val="auto"/>
                <w:sz w:val="21"/>
                <w:lang w:eastAsia="zh-CN" w:bidi="ar"/>
              </w:rPr>
            </w:pPr>
          </w:p>
        </w:tc>
        <w:tc>
          <w:tcPr>
            <w:tcW w:w="276" w:type="pct"/>
            <w:vAlign w:val="center"/>
          </w:tcPr>
          <w:p w14:paraId="4A12B058">
            <w:pPr>
              <w:overflowPunct w:val="0"/>
              <w:jc w:val="center"/>
              <w:textAlignment w:val="center"/>
              <w:rPr>
                <w:rFonts w:ascii="Times New Roman" w:hAnsi="Times New Roman" w:cs="Times New Roman"/>
                <w:color w:val="auto"/>
                <w:sz w:val="21"/>
                <w:lang w:eastAsia="zh-CN"/>
              </w:rPr>
            </w:pPr>
          </w:p>
        </w:tc>
        <w:tc>
          <w:tcPr>
            <w:tcW w:w="231" w:type="pct"/>
            <w:vMerge w:val="continue"/>
            <w:vAlign w:val="center"/>
          </w:tcPr>
          <w:p w14:paraId="4A040DD0">
            <w:pPr>
              <w:overflowPunct w:val="0"/>
              <w:jc w:val="center"/>
              <w:textAlignment w:val="center"/>
              <w:rPr>
                <w:rFonts w:ascii="Times New Roman" w:hAnsi="Times New Roman" w:cs="Times New Roman"/>
                <w:color w:val="auto"/>
                <w:sz w:val="21"/>
                <w:lang w:eastAsia="zh-CN" w:bidi="ar"/>
              </w:rPr>
            </w:pPr>
          </w:p>
        </w:tc>
        <w:tc>
          <w:tcPr>
            <w:tcW w:w="230" w:type="pct"/>
            <w:vMerge w:val="continue"/>
            <w:vAlign w:val="center"/>
          </w:tcPr>
          <w:p w14:paraId="1892C958">
            <w:pPr>
              <w:overflowPunct w:val="0"/>
              <w:jc w:val="center"/>
              <w:textAlignment w:val="center"/>
              <w:rPr>
                <w:rFonts w:ascii="Times New Roman" w:hAnsi="Times New Roman" w:cs="Times New Roman"/>
                <w:color w:val="auto"/>
                <w:sz w:val="21"/>
                <w:lang w:eastAsia="zh-CN" w:bidi="ar"/>
              </w:rPr>
            </w:pPr>
          </w:p>
        </w:tc>
        <w:tc>
          <w:tcPr>
            <w:tcW w:w="276" w:type="pct"/>
            <w:noWrap/>
            <w:vAlign w:val="center"/>
          </w:tcPr>
          <w:p w14:paraId="5242F435">
            <w:pPr>
              <w:overflowPunct w:val="0"/>
              <w:jc w:val="center"/>
              <w:textAlignment w:val="center"/>
              <w:rPr>
                <w:rFonts w:ascii="Times New Roman" w:hAnsi="Times New Roman" w:cs="Times New Roman"/>
                <w:sz w:val="21"/>
                <w:lang w:eastAsia="zh-CN"/>
              </w:rPr>
            </w:pPr>
          </w:p>
        </w:tc>
        <w:tc>
          <w:tcPr>
            <w:tcW w:w="276" w:type="pct"/>
            <w:noWrap/>
            <w:vAlign w:val="center"/>
          </w:tcPr>
          <w:p w14:paraId="6D9F7AC7">
            <w:pPr>
              <w:overflowPunct w:val="0"/>
              <w:jc w:val="center"/>
              <w:textAlignment w:val="center"/>
              <w:rPr>
                <w:rFonts w:ascii="Times New Roman" w:hAnsi="Times New Roman" w:cs="Times New Roman"/>
                <w:color w:val="auto"/>
                <w:sz w:val="21"/>
                <w:lang w:eastAsia="zh-CN"/>
              </w:rPr>
            </w:pPr>
          </w:p>
        </w:tc>
        <w:tc>
          <w:tcPr>
            <w:tcW w:w="276" w:type="pct"/>
            <w:vAlign w:val="center"/>
          </w:tcPr>
          <w:p w14:paraId="1A362938">
            <w:pPr>
              <w:overflowPunct w:val="0"/>
              <w:jc w:val="center"/>
              <w:textAlignment w:val="center"/>
              <w:rPr>
                <w:rFonts w:ascii="Times New Roman" w:hAnsi="Times New Roman" w:cs="Times New Roman"/>
                <w:color w:val="auto"/>
                <w:sz w:val="21"/>
                <w:lang w:eastAsia="zh-CN"/>
              </w:rPr>
            </w:pPr>
          </w:p>
        </w:tc>
        <w:tc>
          <w:tcPr>
            <w:tcW w:w="323" w:type="pct"/>
            <w:vMerge w:val="continue"/>
            <w:vAlign w:val="center"/>
          </w:tcPr>
          <w:p w14:paraId="2AD805D0">
            <w:pPr>
              <w:overflowPunct w:val="0"/>
              <w:jc w:val="center"/>
              <w:rPr>
                <w:rFonts w:ascii="Times New Roman" w:hAnsi="Times New Roman" w:cs="Times New Roman"/>
                <w:color w:val="auto"/>
                <w:sz w:val="21"/>
                <w:lang w:eastAsia="zh-CN"/>
              </w:rPr>
            </w:pPr>
          </w:p>
        </w:tc>
        <w:tc>
          <w:tcPr>
            <w:tcW w:w="276" w:type="pct"/>
            <w:vMerge w:val="continue"/>
            <w:vAlign w:val="center"/>
          </w:tcPr>
          <w:p w14:paraId="3C63C671">
            <w:pPr>
              <w:overflowPunct w:val="0"/>
              <w:jc w:val="center"/>
              <w:textAlignment w:val="center"/>
              <w:rPr>
                <w:rFonts w:ascii="Times New Roman" w:hAnsi="Times New Roman" w:cs="Times New Roman"/>
                <w:color w:val="auto"/>
                <w:sz w:val="21"/>
                <w:lang w:eastAsia="zh-CN" w:bidi="ar"/>
              </w:rPr>
            </w:pPr>
          </w:p>
        </w:tc>
        <w:tc>
          <w:tcPr>
            <w:tcW w:w="276" w:type="pct"/>
            <w:vMerge w:val="continue"/>
            <w:vAlign w:val="center"/>
          </w:tcPr>
          <w:p w14:paraId="5AC0BAA3">
            <w:pPr>
              <w:overflowPunct w:val="0"/>
              <w:jc w:val="center"/>
              <w:textAlignment w:val="center"/>
              <w:rPr>
                <w:rFonts w:ascii="Times New Roman" w:hAnsi="Times New Roman" w:cs="Times New Roman"/>
                <w:color w:val="auto"/>
                <w:sz w:val="21"/>
                <w:lang w:eastAsia="zh-CN" w:bidi="ar"/>
              </w:rPr>
            </w:pPr>
          </w:p>
        </w:tc>
        <w:tc>
          <w:tcPr>
            <w:tcW w:w="276" w:type="pct"/>
            <w:vMerge w:val="continue"/>
            <w:shd w:val="clear" w:color="auto" w:fill="FFFFFF"/>
            <w:vAlign w:val="center"/>
          </w:tcPr>
          <w:p w14:paraId="2EC4D409">
            <w:pPr>
              <w:overflowPunct w:val="0"/>
              <w:jc w:val="center"/>
              <w:rPr>
                <w:rFonts w:ascii="Times New Roman" w:hAnsi="Times New Roman" w:cs="Times New Roman"/>
                <w:color w:val="auto"/>
                <w:sz w:val="21"/>
                <w:lang w:eastAsia="zh-CN" w:bidi="ar"/>
              </w:rPr>
            </w:pPr>
          </w:p>
        </w:tc>
        <w:tc>
          <w:tcPr>
            <w:tcW w:w="276" w:type="pct"/>
            <w:vMerge w:val="continue"/>
            <w:shd w:val="clear" w:color="auto" w:fill="FFFFFF"/>
            <w:vAlign w:val="center"/>
          </w:tcPr>
          <w:p w14:paraId="5007286C">
            <w:pPr>
              <w:overflowPunct w:val="0"/>
              <w:jc w:val="center"/>
              <w:rPr>
                <w:rFonts w:ascii="Times New Roman" w:hAnsi="Times New Roman" w:cs="Times New Roman"/>
                <w:color w:val="auto"/>
                <w:sz w:val="21"/>
                <w:lang w:eastAsia="zh-CN" w:bidi="ar"/>
              </w:rPr>
            </w:pPr>
          </w:p>
        </w:tc>
        <w:tc>
          <w:tcPr>
            <w:tcW w:w="277" w:type="pct"/>
            <w:vMerge w:val="continue"/>
            <w:vAlign w:val="center"/>
          </w:tcPr>
          <w:p w14:paraId="3DA69831">
            <w:pPr>
              <w:overflowPunct w:val="0"/>
              <w:jc w:val="center"/>
              <w:rPr>
                <w:rFonts w:ascii="Times New Roman" w:hAnsi="Times New Roman" w:cs="Times New Roman"/>
                <w:color w:val="auto"/>
                <w:sz w:val="21"/>
                <w:lang w:eastAsia="zh-CN"/>
              </w:rPr>
            </w:pPr>
          </w:p>
        </w:tc>
        <w:tc>
          <w:tcPr>
            <w:tcW w:w="276" w:type="pct"/>
            <w:vMerge w:val="continue"/>
            <w:vAlign w:val="center"/>
          </w:tcPr>
          <w:p w14:paraId="3B296B4A">
            <w:pPr>
              <w:overflowPunct w:val="0"/>
              <w:jc w:val="center"/>
              <w:rPr>
                <w:rFonts w:ascii="Times New Roman" w:hAnsi="Times New Roman" w:cs="Times New Roman"/>
                <w:color w:val="auto"/>
                <w:sz w:val="21"/>
                <w:lang w:eastAsia="zh-CN" w:bidi="ar"/>
              </w:rPr>
            </w:pPr>
          </w:p>
        </w:tc>
        <w:tc>
          <w:tcPr>
            <w:tcW w:w="280" w:type="pct"/>
            <w:vMerge w:val="continue"/>
            <w:vAlign w:val="center"/>
          </w:tcPr>
          <w:p w14:paraId="3F05C768">
            <w:pPr>
              <w:overflowPunct w:val="0"/>
              <w:jc w:val="center"/>
              <w:rPr>
                <w:rFonts w:ascii="Times New Roman" w:hAnsi="Times New Roman" w:cs="Times New Roman"/>
                <w:color w:val="auto"/>
                <w:sz w:val="21"/>
                <w:lang w:eastAsia="zh-CN" w:bidi="ar"/>
              </w:rPr>
            </w:pPr>
          </w:p>
        </w:tc>
        <w:tc>
          <w:tcPr>
            <w:tcW w:w="143" w:type="pct"/>
            <w:vMerge w:val="continue"/>
            <w:vAlign w:val="center"/>
          </w:tcPr>
          <w:p w14:paraId="5BBFAC3C">
            <w:pPr>
              <w:overflowPunct w:val="0"/>
              <w:jc w:val="center"/>
              <w:rPr>
                <w:rFonts w:ascii="Times New Roman" w:hAnsi="Times New Roman" w:cs="Times New Roman"/>
                <w:color w:val="auto"/>
                <w:sz w:val="21"/>
                <w:lang w:eastAsia="zh-CN"/>
              </w:rPr>
            </w:pPr>
          </w:p>
        </w:tc>
        <w:tc>
          <w:tcPr>
            <w:tcW w:w="203" w:type="pct"/>
            <w:vMerge w:val="continue"/>
            <w:vAlign w:val="center"/>
          </w:tcPr>
          <w:p w14:paraId="633F5043">
            <w:pPr>
              <w:overflowPunct w:val="0"/>
              <w:jc w:val="center"/>
              <w:rPr>
                <w:rFonts w:ascii="Times New Roman" w:hAnsi="Times New Roman" w:cs="Times New Roman"/>
                <w:color w:val="auto"/>
                <w:sz w:val="21"/>
                <w:lang w:eastAsia="zh-CN"/>
              </w:rPr>
            </w:pPr>
          </w:p>
        </w:tc>
      </w:tr>
      <w:tr w14:paraId="42D59C1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31" w:type="pct"/>
            <w:vMerge w:val="continue"/>
            <w:vAlign w:val="center"/>
          </w:tcPr>
          <w:p w14:paraId="3688F1C6">
            <w:pPr>
              <w:overflowPunct w:val="0"/>
              <w:jc w:val="center"/>
              <w:textAlignment w:val="center"/>
              <w:rPr>
                <w:rFonts w:ascii="Times New Roman" w:hAnsi="Times New Roman" w:cs="Times New Roman"/>
                <w:color w:val="auto"/>
                <w:sz w:val="21"/>
                <w:lang w:eastAsia="zh-CN" w:bidi="ar"/>
              </w:rPr>
            </w:pPr>
          </w:p>
        </w:tc>
        <w:tc>
          <w:tcPr>
            <w:tcW w:w="230" w:type="pct"/>
            <w:vMerge w:val="continue"/>
            <w:vAlign w:val="center"/>
          </w:tcPr>
          <w:p w14:paraId="3EB01CA9">
            <w:pPr>
              <w:overflowPunct w:val="0"/>
              <w:jc w:val="center"/>
              <w:textAlignment w:val="center"/>
              <w:rPr>
                <w:rFonts w:ascii="Times New Roman" w:hAnsi="Times New Roman" w:cs="Times New Roman"/>
                <w:color w:val="auto"/>
                <w:sz w:val="21"/>
                <w:lang w:eastAsia="zh-CN" w:bidi="ar"/>
              </w:rPr>
            </w:pPr>
          </w:p>
        </w:tc>
        <w:tc>
          <w:tcPr>
            <w:tcW w:w="368" w:type="pct"/>
            <w:vAlign w:val="center"/>
          </w:tcPr>
          <w:p w14:paraId="0548502C">
            <w:pPr>
              <w:overflowPunct w:val="0"/>
              <w:jc w:val="center"/>
              <w:textAlignment w:val="center"/>
              <w:rPr>
                <w:rFonts w:ascii="Times New Roman" w:hAnsi="Times New Roman" w:cs="Times New Roman"/>
                <w:color w:val="auto"/>
                <w:sz w:val="21"/>
                <w:lang w:eastAsia="zh-CN" w:bidi="ar"/>
              </w:rPr>
            </w:pPr>
          </w:p>
        </w:tc>
        <w:tc>
          <w:tcPr>
            <w:tcW w:w="276" w:type="pct"/>
            <w:vAlign w:val="center"/>
          </w:tcPr>
          <w:p w14:paraId="4238541E">
            <w:pPr>
              <w:overflowPunct w:val="0"/>
              <w:jc w:val="center"/>
              <w:textAlignment w:val="center"/>
              <w:rPr>
                <w:rFonts w:ascii="Times New Roman" w:hAnsi="Times New Roman" w:cs="Times New Roman"/>
                <w:color w:val="auto"/>
                <w:sz w:val="21"/>
                <w:lang w:eastAsia="zh-CN"/>
              </w:rPr>
            </w:pPr>
          </w:p>
        </w:tc>
        <w:tc>
          <w:tcPr>
            <w:tcW w:w="231" w:type="pct"/>
            <w:vMerge w:val="continue"/>
            <w:vAlign w:val="center"/>
          </w:tcPr>
          <w:p w14:paraId="05FFDC38">
            <w:pPr>
              <w:overflowPunct w:val="0"/>
              <w:jc w:val="center"/>
              <w:textAlignment w:val="center"/>
              <w:rPr>
                <w:rFonts w:ascii="Times New Roman" w:hAnsi="Times New Roman" w:cs="Times New Roman"/>
                <w:color w:val="auto"/>
                <w:sz w:val="21"/>
                <w:lang w:eastAsia="zh-CN" w:bidi="ar"/>
              </w:rPr>
            </w:pPr>
          </w:p>
        </w:tc>
        <w:tc>
          <w:tcPr>
            <w:tcW w:w="230" w:type="pct"/>
            <w:vMerge w:val="continue"/>
            <w:vAlign w:val="center"/>
          </w:tcPr>
          <w:p w14:paraId="43AFF13D">
            <w:pPr>
              <w:overflowPunct w:val="0"/>
              <w:jc w:val="center"/>
              <w:textAlignment w:val="center"/>
              <w:rPr>
                <w:rFonts w:ascii="Times New Roman" w:hAnsi="Times New Roman" w:cs="Times New Roman"/>
                <w:color w:val="auto"/>
                <w:sz w:val="21"/>
                <w:lang w:eastAsia="zh-CN" w:bidi="ar"/>
              </w:rPr>
            </w:pPr>
          </w:p>
        </w:tc>
        <w:tc>
          <w:tcPr>
            <w:tcW w:w="276" w:type="pct"/>
            <w:noWrap/>
            <w:vAlign w:val="center"/>
          </w:tcPr>
          <w:p w14:paraId="4FC68108">
            <w:pPr>
              <w:overflowPunct w:val="0"/>
              <w:jc w:val="center"/>
              <w:textAlignment w:val="center"/>
              <w:rPr>
                <w:rFonts w:ascii="Times New Roman" w:hAnsi="Times New Roman" w:cs="Times New Roman"/>
                <w:sz w:val="21"/>
                <w:lang w:eastAsia="zh-CN"/>
              </w:rPr>
            </w:pPr>
          </w:p>
        </w:tc>
        <w:tc>
          <w:tcPr>
            <w:tcW w:w="276" w:type="pct"/>
            <w:noWrap/>
            <w:vAlign w:val="center"/>
          </w:tcPr>
          <w:p w14:paraId="0D5101E0">
            <w:pPr>
              <w:overflowPunct w:val="0"/>
              <w:jc w:val="center"/>
              <w:textAlignment w:val="center"/>
              <w:rPr>
                <w:rFonts w:ascii="Times New Roman" w:hAnsi="Times New Roman" w:cs="Times New Roman"/>
                <w:color w:val="auto"/>
                <w:sz w:val="21"/>
                <w:lang w:eastAsia="zh-CN"/>
              </w:rPr>
            </w:pPr>
          </w:p>
        </w:tc>
        <w:tc>
          <w:tcPr>
            <w:tcW w:w="276" w:type="pct"/>
            <w:vAlign w:val="center"/>
          </w:tcPr>
          <w:p w14:paraId="77C1AC6A">
            <w:pPr>
              <w:overflowPunct w:val="0"/>
              <w:jc w:val="center"/>
              <w:textAlignment w:val="center"/>
              <w:rPr>
                <w:rFonts w:ascii="Times New Roman" w:hAnsi="Times New Roman" w:cs="Times New Roman"/>
                <w:color w:val="auto"/>
                <w:sz w:val="21"/>
                <w:lang w:eastAsia="zh-CN"/>
              </w:rPr>
            </w:pPr>
          </w:p>
        </w:tc>
        <w:tc>
          <w:tcPr>
            <w:tcW w:w="323" w:type="pct"/>
            <w:vMerge w:val="continue"/>
            <w:vAlign w:val="center"/>
          </w:tcPr>
          <w:p w14:paraId="5C0047A1">
            <w:pPr>
              <w:overflowPunct w:val="0"/>
              <w:jc w:val="center"/>
              <w:rPr>
                <w:rFonts w:ascii="Times New Roman" w:hAnsi="Times New Roman" w:cs="Times New Roman"/>
                <w:color w:val="auto"/>
                <w:sz w:val="21"/>
                <w:lang w:eastAsia="zh-CN"/>
              </w:rPr>
            </w:pPr>
          </w:p>
        </w:tc>
        <w:tc>
          <w:tcPr>
            <w:tcW w:w="276" w:type="pct"/>
            <w:vMerge w:val="continue"/>
            <w:vAlign w:val="center"/>
          </w:tcPr>
          <w:p w14:paraId="11C8E5B3">
            <w:pPr>
              <w:overflowPunct w:val="0"/>
              <w:jc w:val="center"/>
              <w:textAlignment w:val="center"/>
              <w:rPr>
                <w:rFonts w:ascii="Times New Roman" w:hAnsi="Times New Roman" w:cs="Times New Roman"/>
                <w:color w:val="auto"/>
                <w:sz w:val="21"/>
                <w:lang w:eastAsia="zh-CN" w:bidi="ar"/>
              </w:rPr>
            </w:pPr>
          </w:p>
        </w:tc>
        <w:tc>
          <w:tcPr>
            <w:tcW w:w="276" w:type="pct"/>
            <w:vMerge w:val="continue"/>
            <w:vAlign w:val="center"/>
          </w:tcPr>
          <w:p w14:paraId="6320C151">
            <w:pPr>
              <w:overflowPunct w:val="0"/>
              <w:jc w:val="center"/>
              <w:textAlignment w:val="center"/>
              <w:rPr>
                <w:rFonts w:ascii="Times New Roman" w:hAnsi="Times New Roman" w:cs="Times New Roman"/>
                <w:color w:val="auto"/>
                <w:sz w:val="21"/>
                <w:lang w:eastAsia="zh-CN" w:bidi="ar"/>
              </w:rPr>
            </w:pPr>
          </w:p>
        </w:tc>
        <w:tc>
          <w:tcPr>
            <w:tcW w:w="276" w:type="pct"/>
            <w:vMerge w:val="continue"/>
            <w:shd w:val="clear" w:color="auto" w:fill="FFFFFF"/>
            <w:vAlign w:val="center"/>
          </w:tcPr>
          <w:p w14:paraId="7AA53097">
            <w:pPr>
              <w:overflowPunct w:val="0"/>
              <w:jc w:val="center"/>
              <w:rPr>
                <w:rFonts w:ascii="Times New Roman" w:hAnsi="Times New Roman" w:cs="Times New Roman"/>
                <w:color w:val="auto"/>
                <w:sz w:val="21"/>
                <w:lang w:eastAsia="zh-CN" w:bidi="ar"/>
              </w:rPr>
            </w:pPr>
          </w:p>
        </w:tc>
        <w:tc>
          <w:tcPr>
            <w:tcW w:w="276" w:type="pct"/>
            <w:vMerge w:val="continue"/>
            <w:shd w:val="clear" w:color="auto" w:fill="FFFFFF"/>
            <w:vAlign w:val="center"/>
          </w:tcPr>
          <w:p w14:paraId="2E460DD6">
            <w:pPr>
              <w:overflowPunct w:val="0"/>
              <w:jc w:val="center"/>
              <w:rPr>
                <w:rFonts w:ascii="Times New Roman" w:hAnsi="Times New Roman" w:cs="Times New Roman"/>
                <w:color w:val="auto"/>
                <w:sz w:val="21"/>
                <w:lang w:eastAsia="zh-CN" w:bidi="ar"/>
              </w:rPr>
            </w:pPr>
          </w:p>
        </w:tc>
        <w:tc>
          <w:tcPr>
            <w:tcW w:w="277" w:type="pct"/>
            <w:vMerge w:val="continue"/>
            <w:vAlign w:val="center"/>
          </w:tcPr>
          <w:p w14:paraId="508DA3AE">
            <w:pPr>
              <w:overflowPunct w:val="0"/>
              <w:jc w:val="center"/>
              <w:rPr>
                <w:rFonts w:ascii="Times New Roman" w:hAnsi="Times New Roman" w:cs="Times New Roman"/>
                <w:color w:val="auto"/>
                <w:sz w:val="21"/>
                <w:lang w:eastAsia="zh-CN"/>
              </w:rPr>
            </w:pPr>
          </w:p>
        </w:tc>
        <w:tc>
          <w:tcPr>
            <w:tcW w:w="276" w:type="pct"/>
            <w:vMerge w:val="continue"/>
            <w:vAlign w:val="center"/>
          </w:tcPr>
          <w:p w14:paraId="64CD3B5A">
            <w:pPr>
              <w:overflowPunct w:val="0"/>
              <w:jc w:val="center"/>
              <w:rPr>
                <w:rFonts w:ascii="Times New Roman" w:hAnsi="Times New Roman" w:cs="Times New Roman"/>
                <w:color w:val="auto"/>
                <w:sz w:val="21"/>
                <w:lang w:eastAsia="zh-CN" w:bidi="ar"/>
              </w:rPr>
            </w:pPr>
          </w:p>
        </w:tc>
        <w:tc>
          <w:tcPr>
            <w:tcW w:w="280" w:type="pct"/>
            <w:vMerge w:val="continue"/>
            <w:vAlign w:val="center"/>
          </w:tcPr>
          <w:p w14:paraId="306AD02D">
            <w:pPr>
              <w:overflowPunct w:val="0"/>
              <w:jc w:val="center"/>
              <w:rPr>
                <w:rFonts w:ascii="Times New Roman" w:hAnsi="Times New Roman" w:cs="Times New Roman"/>
                <w:color w:val="auto"/>
                <w:sz w:val="21"/>
                <w:lang w:eastAsia="zh-CN" w:bidi="ar"/>
              </w:rPr>
            </w:pPr>
          </w:p>
        </w:tc>
        <w:tc>
          <w:tcPr>
            <w:tcW w:w="143" w:type="pct"/>
            <w:vMerge w:val="continue"/>
            <w:vAlign w:val="center"/>
          </w:tcPr>
          <w:p w14:paraId="0CC11815">
            <w:pPr>
              <w:overflowPunct w:val="0"/>
              <w:jc w:val="center"/>
              <w:rPr>
                <w:rFonts w:ascii="Times New Roman" w:hAnsi="Times New Roman" w:cs="Times New Roman"/>
                <w:color w:val="auto"/>
                <w:sz w:val="21"/>
                <w:lang w:eastAsia="zh-CN"/>
              </w:rPr>
            </w:pPr>
          </w:p>
        </w:tc>
        <w:tc>
          <w:tcPr>
            <w:tcW w:w="203" w:type="pct"/>
            <w:vMerge w:val="continue"/>
            <w:vAlign w:val="center"/>
          </w:tcPr>
          <w:p w14:paraId="66C586EA">
            <w:pPr>
              <w:overflowPunct w:val="0"/>
              <w:jc w:val="center"/>
              <w:rPr>
                <w:rFonts w:ascii="Times New Roman" w:hAnsi="Times New Roman" w:cs="Times New Roman"/>
                <w:color w:val="auto"/>
                <w:sz w:val="21"/>
                <w:lang w:eastAsia="zh-CN"/>
              </w:rPr>
            </w:pPr>
          </w:p>
        </w:tc>
      </w:tr>
      <w:tr w14:paraId="3C7A888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31" w:type="pct"/>
            <w:vMerge w:val="continue"/>
            <w:vAlign w:val="center"/>
          </w:tcPr>
          <w:p w14:paraId="17D128F2">
            <w:pPr>
              <w:overflowPunct w:val="0"/>
              <w:jc w:val="center"/>
              <w:textAlignment w:val="center"/>
              <w:rPr>
                <w:rFonts w:ascii="Times New Roman" w:hAnsi="Times New Roman" w:cs="Times New Roman"/>
                <w:color w:val="auto"/>
                <w:sz w:val="21"/>
                <w:lang w:eastAsia="zh-CN" w:bidi="ar"/>
              </w:rPr>
            </w:pPr>
          </w:p>
        </w:tc>
        <w:tc>
          <w:tcPr>
            <w:tcW w:w="230" w:type="pct"/>
            <w:vMerge w:val="continue"/>
            <w:vAlign w:val="center"/>
          </w:tcPr>
          <w:p w14:paraId="4E1C8D8D">
            <w:pPr>
              <w:overflowPunct w:val="0"/>
              <w:jc w:val="center"/>
              <w:textAlignment w:val="center"/>
              <w:rPr>
                <w:rFonts w:ascii="Times New Roman" w:hAnsi="Times New Roman" w:cs="Times New Roman"/>
                <w:color w:val="auto"/>
                <w:sz w:val="21"/>
                <w:lang w:eastAsia="zh-CN" w:bidi="ar"/>
              </w:rPr>
            </w:pPr>
          </w:p>
        </w:tc>
        <w:tc>
          <w:tcPr>
            <w:tcW w:w="368" w:type="pct"/>
            <w:vAlign w:val="center"/>
          </w:tcPr>
          <w:p w14:paraId="386F388F">
            <w:pPr>
              <w:overflowPunct w:val="0"/>
              <w:jc w:val="center"/>
              <w:textAlignment w:val="center"/>
              <w:rPr>
                <w:rFonts w:ascii="Times New Roman" w:hAnsi="Times New Roman" w:cs="Times New Roman"/>
                <w:color w:val="auto"/>
                <w:sz w:val="21"/>
                <w:lang w:eastAsia="zh-CN" w:bidi="ar"/>
              </w:rPr>
            </w:pPr>
          </w:p>
        </w:tc>
        <w:tc>
          <w:tcPr>
            <w:tcW w:w="276" w:type="pct"/>
            <w:vAlign w:val="center"/>
          </w:tcPr>
          <w:p w14:paraId="1DD993BA">
            <w:pPr>
              <w:overflowPunct w:val="0"/>
              <w:jc w:val="center"/>
              <w:textAlignment w:val="center"/>
              <w:rPr>
                <w:rFonts w:ascii="Times New Roman" w:hAnsi="Times New Roman" w:cs="Times New Roman"/>
                <w:color w:val="auto"/>
                <w:sz w:val="21"/>
                <w:lang w:eastAsia="zh-CN"/>
              </w:rPr>
            </w:pPr>
          </w:p>
        </w:tc>
        <w:tc>
          <w:tcPr>
            <w:tcW w:w="231" w:type="pct"/>
            <w:vMerge w:val="continue"/>
            <w:vAlign w:val="center"/>
          </w:tcPr>
          <w:p w14:paraId="3F050EE0">
            <w:pPr>
              <w:overflowPunct w:val="0"/>
              <w:jc w:val="center"/>
              <w:textAlignment w:val="center"/>
              <w:rPr>
                <w:rFonts w:ascii="Times New Roman" w:hAnsi="Times New Roman" w:cs="Times New Roman"/>
                <w:color w:val="auto"/>
                <w:sz w:val="21"/>
                <w:lang w:eastAsia="zh-CN" w:bidi="ar"/>
              </w:rPr>
            </w:pPr>
          </w:p>
        </w:tc>
        <w:tc>
          <w:tcPr>
            <w:tcW w:w="230" w:type="pct"/>
            <w:vMerge w:val="continue"/>
            <w:vAlign w:val="center"/>
          </w:tcPr>
          <w:p w14:paraId="40188C14">
            <w:pPr>
              <w:overflowPunct w:val="0"/>
              <w:jc w:val="center"/>
              <w:textAlignment w:val="center"/>
              <w:rPr>
                <w:rFonts w:ascii="Times New Roman" w:hAnsi="Times New Roman" w:cs="Times New Roman"/>
                <w:color w:val="auto"/>
                <w:sz w:val="21"/>
                <w:lang w:eastAsia="zh-CN" w:bidi="ar"/>
              </w:rPr>
            </w:pPr>
          </w:p>
        </w:tc>
        <w:tc>
          <w:tcPr>
            <w:tcW w:w="276" w:type="pct"/>
            <w:noWrap/>
            <w:vAlign w:val="center"/>
          </w:tcPr>
          <w:p w14:paraId="08C2B9E7">
            <w:pPr>
              <w:overflowPunct w:val="0"/>
              <w:jc w:val="center"/>
              <w:textAlignment w:val="center"/>
              <w:rPr>
                <w:rFonts w:ascii="Times New Roman" w:hAnsi="Times New Roman" w:cs="Times New Roman"/>
                <w:sz w:val="21"/>
                <w:lang w:eastAsia="zh-CN"/>
              </w:rPr>
            </w:pPr>
          </w:p>
        </w:tc>
        <w:tc>
          <w:tcPr>
            <w:tcW w:w="276" w:type="pct"/>
            <w:noWrap/>
            <w:vAlign w:val="center"/>
          </w:tcPr>
          <w:p w14:paraId="31629634">
            <w:pPr>
              <w:overflowPunct w:val="0"/>
              <w:jc w:val="center"/>
              <w:textAlignment w:val="center"/>
              <w:rPr>
                <w:rFonts w:ascii="Times New Roman" w:hAnsi="Times New Roman" w:cs="Times New Roman"/>
                <w:color w:val="auto"/>
                <w:sz w:val="21"/>
                <w:lang w:eastAsia="zh-CN"/>
              </w:rPr>
            </w:pPr>
          </w:p>
        </w:tc>
        <w:tc>
          <w:tcPr>
            <w:tcW w:w="276" w:type="pct"/>
            <w:vAlign w:val="center"/>
          </w:tcPr>
          <w:p w14:paraId="2E292714">
            <w:pPr>
              <w:overflowPunct w:val="0"/>
              <w:jc w:val="center"/>
              <w:textAlignment w:val="center"/>
              <w:rPr>
                <w:rFonts w:ascii="Times New Roman" w:hAnsi="Times New Roman" w:cs="Times New Roman"/>
                <w:color w:val="auto"/>
                <w:sz w:val="21"/>
                <w:lang w:eastAsia="zh-CN"/>
              </w:rPr>
            </w:pPr>
          </w:p>
        </w:tc>
        <w:tc>
          <w:tcPr>
            <w:tcW w:w="323" w:type="pct"/>
            <w:vMerge w:val="continue"/>
            <w:vAlign w:val="center"/>
          </w:tcPr>
          <w:p w14:paraId="7BCCEA1A">
            <w:pPr>
              <w:overflowPunct w:val="0"/>
              <w:jc w:val="center"/>
              <w:rPr>
                <w:rFonts w:ascii="Times New Roman" w:hAnsi="Times New Roman" w:cs="Times New Roman"/>
                <w:color w:val="auto"/>
                <w:sz w:val="21"/>
                <w:lang w:eastAsia="zh-CN"/>
              </w:rPr>
            </w:pPr>
          </w:p>
        </w:tc>
        <w:tc>
          <w:tcPr>
            <w:tcW w:w="276" w:type="pct"/>
            <w:vMerge w:val="continue"/>
            <w:vAlign w:val="center"/>
          </w:tcPr>
          <w:p w14:paraId="7F3DDE5A">
            <w:pPr>
              <w:overflowPunct w:val="0"/>
              <w:jc w:val="center"/>
              <w:textAlignment w:val="center"/>
              <w:rPr>
                <w:rFonts w:ascii="Times New Roman" w:hAnsi="Times New Roman" w:cs="Times New Roman"/>
                <w:color w:val="auto"/>
                <w:sz w:val="21"/>
                <w:lang w:eastAsia="zh-CN" w:bidi="ar"/>
              </w:rPr>
            </w:pPr>
          </w:p>
        </w:tc>
        <w:tc>
          <w:tcPr>
            <w:tcW w:w="276" w:type="pct"/>
            <w:vMerge w:val="continue"/>
            <w:vAlign w:val="center"/>
          </w:tcPr>
          <w:p w14:paraId="03882D18">
            <w:pPr>
              <w:overflowPunct w:val="0"/>
              <w:jc w:val="center"/>
              <w:textAlignment w:val="center"/>
              <w:rPr>
                <w:rFonts w:ascii="Times New Roman" w:hAnsi="Times New Roman" w:cs="Times New Roman"/>
                <w:color w:val="auto"/>
                <w:sz w:val="21"/>
                <w:lang w:eastAsia="zh-CN" w:bidi="ar"/>
              </w:rPr>
            </w:pPr>
          </w:p>
        </w:tc>
        <w:tc>
          <w:tcPr>
            <w:tcW w:w="276" w:type="pct"/>
            <w:vMerge w:val="continue"/>
            <w:shd w:val="clear" w:color="auto" w:fill="FFFFFF"/>
            <w:vAlign w:val="center"/>
          </w:tcPr>
          <w:p w14:paraId="1A3691B7">
            <w:pPr>
              <w:overflowPunct w:val="0"/>
              <w:jc w:val="center"/>
              <w:rPr>
                <w:rFonts w:ascii="Times New Roman" w:hAnsi="Times New Roman" w:cs="Times New Roman"/>
                <w:color w:val="auto"/>
                <w:sz w:val="21"/>
                <w:lang w:eastAsia="zh-CN" w:bidi="ar"/>
              </w:rPr>
            </w:pPr>
          </w:p>
        </w:tc>
        <w:tc>
          <w:tcPr>
            <w:tcW w:w="276" w:type="pct"/>
            <w:vMerge w:val="continue"/>
            <w:shd w:val="clear" w:color="auto" w:fill="FFFFFF"/>
            <w:vAlign w:val="center"/>
          </w:tcPr>
          <w:p w14:paraId="3A80E276">
            <w:pPr>
              <w:overflowPunct w:val="0"/>
              <w:jc w:val="center"/>
              <w:rPr>
                <w:rFonts w:ascii="Times New Roman" w:hAnsi="Times New Roman" w:cs="Times New Roman"/>
                <w:color w:val="auto"/>
                <w:sz w:val="21"/>
                <w:lang w:eastAsia="zh-CN" w:bidi="ar"/>
              </w:rPr>
            </w:pPr>
          </w:p>
        </w:tc>
        <w:tc>
          <w:tcPr>
            <w:tcW w:w="277" w:type="pct"/>
            <w:vMerge w:val="continue"/>
            <w:vAlign w:val="center"/>
          </w:tcPr>
          <w:p w14:paraId="7D7C9F8E">
            <w:pPr>
              <w:overflowPunct w:val="0"/>
              <w:jc w:val="center"/>
              <w:rPr>
                <w:rFonts w:ascii="Times New Roman" w:hAnsi="Times New Roman" w:cs="Times New Roman"/>
                <w:color w:val="auto"/>
                <w:sz w:val="21"/>
                <w:lang w:eastAsia="zh-CN"/>
              </w:rPr>
            </w:pPr>
          </w:p>
        </w:tc>
        <w:tc>
          <w:tcPr>
            <w:tcW w:w="276" w:type="pct"/>
            <w:vMerge w:val="continue"/>
            <w:vAlign w:val="center"/>
          </w:tcPr>
          <w:p w14:paraId="310210DC">
            <w:pPr>
              <w:overflowPunct w:val="0"/>
              <w:jc w:val="center"/>
              <w:rPr>
                <w:rFonts w:ascii="Times New Roman" w:hAnsi="Times New Roman" w:cs="Times New Roman"/>
                <w:color w:val="auto"/>
                <w:sz w:val="21"/>
                <w:lang w:eastAsia="zh-CN" w:bidi="ar"/>
              </w:rPr>
            </w:pPr>
          </w:p>
        </w:tc>
        <w:tc>
          <w:tcPr>
            <w:tcW w:w="280" w:type="pct"/>
            <w:vMerge w:val="continue"/>
            <w:vAlign w:val="center"/>
          </w:tcPr>
          <w:p w14:paraId="374D8E95">
            <w:pPr>
              <w:overflowPunct w:val="0"/>
              <w:jc w:val="center"/>
              <w:rPr>
                <w:rFonts w:ascii="Times New Roman" w:hAnsi="Times New Roman" w:cs="Times New Roman"/>
                <w:color w:val="auto"/>
                <w:sz w:val="21"/>
                <w:lang w:eastAsia="zh-CN" w:bidi="ar"/>
              </w:rPr>
            </w:pPr>
          </w:p>
        </w:tc>
        <w:tc>
          <w:tcPr>
            <w:tcW w:w="143" w:type="pct"/>
            <w:vMerge w:val="continue"/>
            <w:vAlign w:val="center"/>
          </w:tcPr>
          <w:p w14:paraId="3563A89F">
            <w:pPr>
              <w:overflowPunct w:val="0"/>
              <w:jc w:val="center"/>
              <w:rPr>
                <w:rFonts w:ascii="Times New Roman" w:hAnsi="Times New Roman" w:cs="Times New Roman"/>
                <w:color w:val="auto"/>
                <w:sz w:val="21"/>
                <w:lang w:eastAsia="zh-CN"/>
              </w:rPr>
            </w:pPr>
          </w:p>
        </w:tc>
        <w:tc>
          <w:tcPr>
            <w:tcW w:w="203" w:type="pct"/>
            <w:vMerge w:val="continue"/>
            <w:vAlign w:val="center"/>
          </w:tcPr>
          <w:p w14:paraId="4B48A1F8">
            <w:pPr>
              <w:overflowPunct w:val="0"/>
              <w:jc w:val="center"/>
              <w:rPr>
                <w:rFonts w:ascii="Times New Roman" w:hAnsi="Times New Roman" w:cs="Times New Roman"/>
                <w:color w:val="auto"/>
                <w:sz w:val="21"/>
                <w:lang w:eastAsia="zh-CN"/>
              </w:rPr>
            </w:pPr>
          </w:p>
        </w:tc>
      </w:tr>
      <w:tr w14:paraId="3390669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461" w:type="pct"/>
            <w:gridSpan w:val="2"/>
            <w:vAlign w:val="center"/>
          </w:tcPr>
          <w:p w14:paraId="4492E96F">
            <w:pPr>
              <w:overflowPunct w:val="0"/>
              <w:jc w:val="center"/>
              <w:textAlignment w:val="center"/>
              <w:rPr>
                <w:rFonts w:ascii="Times New Roman" w:hAnsi="Times New Roman" w:cs="Times New Roman"/>
                <w:color w:val="auto"/>
                <w:sz w:val="21"/>
                <w:lang w:eastAsia="zh-CN" w:bidi="ar"/>
              </w:rPr>
            </w:pPr>
          </w:p>
        </w:tc>
        <w:tc>
          <w:tcPr>
            <w:tcW w:w="368" w:type="pct"/>
            <w:vAlign w:val="center"/>
          </w:tcPr>
          <w:p w14:paraId="53121027">
            <w:pPr>
              <w:overflowPunct w:val="0"/>
              <w:jc w:val="center"/>
              <w:textAlignment w:val="center"/>
              <w:rPr>
                <w:rFonts w:ascii="Times New Roman" w:hAnsi="Times New Roman" w:cs="Times New Roman"/>
                <w:color w:val="auto"/>
                <w:sz w:val="21"/>
                <w:lang w:eastAsia="zh-CN" w:bidi="ar"/>
              </w:rPr>
            </w:pPr>
          </w:p>
        </w:tc>
        <w:tc>
          <w:tcPr>
            <w:tcW w:w="276" w:type="pct"/>
            <w:vAlign w:val="center"/>
          </w:tcPr>
          <w:p w14:paraId="77029749">
            <w:pPr>
              <w:overflowPunct w:val="0"/>
              <w:jc w:val="center"/>
              <w:textAlignment w:val="center"/>
              <w:rPr>
                <w:rFonts w:ascii="Times New Roman" w:hAnsi="Times New Roman" w:cs="Times New Roman"/>
                <w:color w:val="auto"/>
                <w:sz w:val="21"/>
                <w:lang w:eastAsia="zh-CN"/>
              </w:rPr>
            </w:pPr>
          </w:p>
        </w:tc>
        <w:tc>
          <w:tcPr>
            <w:tcW w:w="231" w:type="pct"/>
            <w:vMerge w:val="restart"/>
            <w:vAlign w:val="center"/>
          </w:tcPr>
          <w:p w14:paraId="3972B3AC">
            <w:pPr>
              <w:overflowPunct w:val="0"/>
              <w:jc w:val="center"/>
              <w:textAlignment w:val="center"/>
              <w:rPr>
                <w:rFonts w:ascii="Times New Roman" w:hAnsi="Times New Roman" w:cs="Times New Roman"/>
                <w:color w:val="auto"/>
                <w:sz w:val="21"/>
                <w:lang w:eastAsia="zh-CN" w:bidi="ar"/>
              </w:rPr>
            </w:pPr>
          </w:p>
        </w:tc>
        <w:tc>
          <w:tcPr>
            <w:tcW w:w="230" w:type="pct"/>
            <w:vMerge w:val="restart"/>
            <w:vAlign w:val="center"/>
          </w:tcPr>
          <w:p w14:paraId="0063938C">
            <w:pPr>
              <w:overflowPunct w:val="0"/>
              <w:jc w:val="center"/>
              <w:textAlignment w:val="center"/>
              <w:rPr>
                <w:rFonts w:ascii="Times New Roman" w:hAnsi="Times New Roman" w:cs="Times New Roman"/>
                <w:color w:val="auto"/>
                <w:sz w:val="21"/>
                <w:lang w:eastAsia="zh-CN" w:bidi="ar"/>
              </w:rPr>
            </w:pPr>
          </w:p>
        </w:tc>
        <w:tc>
          <w:tcPr>
            <w:tcW w:w="276" w:type="pct"/>
            <w:noWrap/>
            <w:vAlign w:val="center"/>
          </w:tcPr>
          <w:p w14:paraId="07200EF8">
            <w:pPr>
              <w:overflowPunct w:val="0"/>
              <w:jc w:val="center"/>
              <w:textAlignment w:val="center"/>
              <w:rPr>
                <w:rFonts w:ascii="Times New Roman" w:hAnsi="Times New Roman" w:cs="Times New Roman"/>
                <w:sz w:val="21"/>
                <w:lang w:eastAsia="zh-CN"/>
              </w:rPr>
            </w:pPr>
          </w:p>
        </w:tc>
        <w:tc>
          <w:tcPr>
            <w:tcW w:w="276" w:type="pct"/>
            <w:noWrap/>
            <w:vAlign w:val="center"/>
          </w:tcPr>
          <w:p w14:paraId="73EB00E8">
            <w:pPr>
              <w:overflowPunct w:val="0"/>
              <w:jc w:val="center"/>
              <w:textAlignment w:val="center"/>
              <w:rPr>
                <w:rFonts w:ascii="Times New Roman" w:hAnsi="Times New Roman" w:cs="Times New Roman"/>
                <w:color w:val="auto"/>
                <w:sz w:val="21"/>
                <w:lang w:eastAsia="zh-CN"/>
              </w:rPr>
            </w:pPr>
          </w:p>
        </w:tc>
        <w:tc>
          <w:tcPr>
            <w:tcW w:w="276" w:type="pct"/>
            <w:vAlign w:val="center"/>
          </w:tcPr>
          <w:p w14:paraId="198EB112">
            <w:pPr>
              <w:overflowPunct w:val="0"/>
              <w:jc w:val="center"/>
              <w:textAlignment w:val="center"/>
              <w:rPr>
                <w:rFonts w:ascii="Times New Roman" w:hAnsi="Times New Roman" w:cs="Times New Roman"/>
                <w:color w:val="auto"/>
                <w:sz w:val="21"/>
                <w:lang w:eastAsia="zh-CN"/>
              </w:rPr>
            </w:pPr>
          </w:p>
        </w:tc>
        <w:tc>
          <w:tcPr>
            <w:tcW w:w="323" w:type="pct"/>
            <w:vMerge w:val="continue"/>
            <w:vAlign w:val="center"/>
          </w:tcPr>
          <w:p w14:paraId="122BC05B">
            <w:pPr>
              <w:overflowPunct w:val="0"/>
              <w:jc w:val="center"/>
              <w:rPr>
                <w:rFonts w:ascii="Times New Roman" w:hAnsi="Times New Roman" w:cs="Times New Roman"/>
                <w:color w:val="auto"/>
                <w:sz w:val="21"/>
                <w:lang w:eastAsia="zh-CN"/>
              </w:rPr>
            </w:pPr>
          </w:p>
        </w:tc>
        <w:tc>
          <w:tcPr>
            <w:tcW w:w="276" w:type="pct"/>
            <w:vMerge w:val="continue"/>
            <w:vAlign w:val="center"/>
          </w:tcPr>
          <w:p w14:paraId="337F1B1B">
            <w:pPr>
              <w:overflowPunct w:val="0"/>
              <w:jc w:val="center"/>
              <w:textAlignment w:val="center"/>
              <w:rPr>
                <w:rFonts w:ascii="Times New Roman" w:hAnsi="Times New Roman" w:cs="Times New Roman"/>
                <w:color w:val="auto"/>
                <w:sz w:val="21"/>
                <w:lang w:eastAsia="zh-CN" w:bidi="ar"/>
              </w:rPr>
            </w:pPr>
          </w:p>
        </w:tc>
        <w:tc>
          <w:tcPr>
            <w:tcW w:w="276" w:type="pct"/>
            <w:vMerge w:val="continue"/>
            <w:vAlign w:val="center"/>
          </w:tcPr>
          <w:p w14:paraId="2E3FAF8E">
            <w:pPr>
              <w:overflowPunct w:val="0"/>
              <w:jc w:val="center"/>
              <w:textAlignment w:val="center"/>
              <w:rPr>
                <w:rFonts w:ascii="Times New Roman" w:hAnsi="Times New Roman" w:cs="Times New Roman"/>
                <w:color w:val="auto"/>
                <w:sz w:val="21"/>
                <w:lang w:eastAsia="zh-CN" w:bidi="ar"/>
              </w:rPr>
            </w:pPr>
          </w:p>
        </w:tc>
        <w:tc>
          <w:tcPr>
            <w:tcW w:w="276" w:type="pct"/>
            <w:vMerge w:val="continue"/>
            <w:shd w:val="clear" w:color="auto" w:fill="FFFFFF"/>
            <w:vAlign w:val="center"/>
          </w:tcPr>
          <w:p w14:paraId="5C3E9EC5">
            <w:pPr>
              <w:overflowPunct w:val="0"/>
              <w:jc w:val="center"/>
              <w:rPr>
                <w:rFonts w:ascii="Times New Roman" w:hAnsi="Times New Roman" w:cs="Times New Roman"/>
                <w:color w:val="auto"/>
                <w:sz w:val="21"/>
                <w:lang w:eastAsia="zh-CN" w:bidi="ar"/>
              </w:rPr>
            </w:pPr>
          </w:p>
        </w:tc>
        <w:tc>
          <w:tcPr>
            <w:tcW w:w="276" w:type="pct"/>
            <w:vMerge w:val="continue"/>
            <w:shd w:val="clear" w:color="auto" w:fill="FFFFFF"/>
            <w:vAlign w:val="center"/>
          </w:tcPr>
          <w:p w14:paraId="695DD0A4">
            <w:pPr>
              <w:overflowPunct w:val="0"/>
              <w:jc w:val="center"/>
              <w:rPr>
                <w:rFonts w:ascii="Times New Roman" w:hAnsi="Times New Roman" w:cs="Times New Roman"/>
                <w:color w:val="auto"/>
                <w:sz w:val="21"/>
                <w:lang w:eastAsia="zh-CN" w:bidi="ar"/>
              </w:rPr>
            </w:pPr>
          </w:p>
        </w:tc>
        <w:tc>
          <w:tcPr>
            <w:tcW w:w="277" w:type="pct"/>
            <w:vMerge w:val="continue"/>
            <w:shd w:val="clear" w:color="auto" w:fill="FFFFFF"/>
            <w:vAlign w:val="center"/>
          </w:tcPr>
          <w:p w14:paraId="4F1A250E">
            <w:pPr>
              <w:overflowPunct w:val="0"/>
              <w:jc w:val="center"/>
              <w:rPr>
                <w:rFonts w:ascii="Times New Roman" w:hAnsi="Times New Roman" w:cs="Times New Roman"/>
                <w:color w:val="auto"/>
                <w:sz w:val="21"/>
                <w:lang w:eastAsia="zh-CN"/>
              </w:rPr>
            </w:pPr>
          </w:p>
        </w:tc>
        <w:tc>
          <w:tcPr>
            <w:tcW w:w="276" w:type="pct"/>
            <w:vMerge w:val="continue"/>
            <w:vAlign w:val="center"/>
          </w:tcPr>
          <w:p w14:paraId="390C5F21">
            <w:pPr>
              <w:overflowPunct w:val="0"/>
              <w:jc w:val="center"/>
              <w:rPr>
                <w:rFonts w:ascii="Times New Roman" w:hAnsi="Times New Roman" w:cs="Times New Roman"/>
                <w:color w:val="auto"/>
                <w:sz w:val="21"/>
                <w:lang w:eastAsia="zh-CN" w:bidi="ar"/>
              </w:rPr>
            </w:pPr>
          </w:p>
        </w:tc>
        <w:tc>
          <w:tcPr>
            <w:tcW w:w="280" w:type="pct"/>
            <w:vMerge w:val="continue"/>
            <w:vAlign w:val="center"/>
          </w:tcPr>
          <w:p w14:paraId="2AAA550C">
            <w:pPr>
              <w:overflowPunct w:val="0"/>
              <w:jc w:val="center"/>
              <w:rPr>
                <w:rFonts w:ascii="Times New Roman" w:hAnsi="Times New Roman" w:cs="Times New Roman"/>
                <w:color w:val="auto"/>
                <w:sz w:val="21"/>
                <w:lang w:eastAsia="zh-CN" w:bidi="ar"/>
              </w:rPr>
            </w:pPr>
          </w:p>
        </w:tc>
        <w:tc>
          <w:tcPr>
            <w:tcW w:w="143" w:type="pct"/>
            <w:vMerge w:val="continue"/>
            <w:vAlign w:val="center"/>
          </w:tcPr>
          <w:p w14:paraId="638D81F4">
            <w:pPr>
              <w:overflowPunct w:val="0"/>
              <w:jc w:val="center"/>
              <w:rPr>
                <w:rFonts w:ascii="Times New Roman" w:hAnsi="Times New Roman" w:cs="Times New Roman"/>
                <w:color w:val="auto"/>
                <w:sz w:val="21"/>
                <w:lang w:eastAsia="zh-CN"/>
              </w:rPr>
            </w:pPr>
          </w:p>
        </w:tc>
        <w:tc>
          <w:tcPr>
            <w:tcW w:w="203" w:type="pct"/>
            <w:vMerge w:val="continue"/>
            <w:vAlign w:val="center"/>
          </w:tcPr>
          <w:p w14:paraId="46BF4A40">
            <w:pPr>
              <w:overflowPunct w:val="0"/>
              <w:jc w:val="center"/>
              <w:rPr>
                <w:rFonts w:ascii="Times New Roman" w:hAnsi="Times New Roman" w:cs="Times New Roman"/>
                <w:color w:val="auto"/>
                <w:sz w:val="21"/>
                <w:lang w:eastAsia="zh-CN"/>
              </w:rPr>
            </w:pPr>
          </w:p>
        </w:tc>
      </w:tr>
      <w:tr w14:paraId="4025DE7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461" w:type="pct"/>
            <w:gridSpan w:val="2"/>
            <w:vMerge w:val="restart"/>
            <w:vAlign w:val="center"/>
          </w:tcPr>
          <w:p w14:paraId="45BBC967">
            <w:pPr>
              <w:overflowPunct w:val="0"/>
              <w:jc w:val="center"/>
              <w:textAlignment w:val="center"/>
              <w:rPr>
                <w:rFonts w:ascii="Times New Roman" w:hAnsi="Times New Roman" w:cs="Times New Roman"/>
                <w:color w:val="auto"/>
                <w:sz w:val="21"/>
                <w:lang w:eastAsia="zh-CN" w:bidi="ar"/>
              </w:rPr>
            </w:pPr>
          </w:p>
        </w:tc>
        <w:tc>
          <w:tcPr>
            <w:tcW w:w="368" w:type="pct"/>
            <w:vAlign w:val="center"/>
          </w:tcPr>
          <w:p w14:paraId="502A5081">
            <w:pPr>
              <w:overflowPunct w:val="0"/>
              <w:jc w:val="center"/>
              <w:textAlignment w:val="center"/>
              <w:rPr>
                <w:rFonts w:ascii="Times New Roman" w:hAnsi="Times New Roman" w:cs="Times New Roman"/>
                <w:color w:val="000000" w:themeColor="text1"/>
                <w:sz w:val="21"/>
                <w14:textFill>
                  <w14:solidFill>
                    <w14:schemeClr w14:val="tx1"/>
                  </w14:solidFill>
                </w14:textFill>
              </w:rPr>
            </w:pPr>
          </w:p>
        </w:tc>
        <w:tc>
          <w:tcPr>
            <w:tcW w:w="276" w:type="pct"/>
            <w:vAlign w:val="center"/>
          </w:tcPr>
          <w:p w14:paraId="025F47C6">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31" w:type="pct"/>
            <w:vMerge w:val="continue"/>
            <w:vAlign w:val="center"/>
          </w:tcPr>
          <w:p w14:paraId="1C51216B">
            <w:pPr>
              <w:overflowPunct w:val="0"/>
              <w:jc w:val="center"/>
              <w:textAlignment w:val="center"/>
              <w:rPr>
                <w:rFonts w:ascii="Times New Roman" w:hAnsi="Times New Roman" w:cs="Times New Roman"/>
                <w:color w:val="auto"/>
                <w:sz w:val="21"/>
                <w:lang w:eastAsia="zh-CN"/>
              </w:rPr>
            </w:pPr>
          </w:p>
        </w:tc>
        <w:tc>
          <w:tcPr>
            <w:tcW w:w="230" w:type="pct"/>
            <w:vMerge w:val="continue"/>
            <w:vAlign w:val="center"/>
          </w:tcPr>
          <w:p w14:paraId="6F7BB8F9">
            <w:pPr>
              <w:overflowPunct w:val="0"/>
              <w:jc w:val="center"/>
              <w:textAlignment w:val="center"/>
              <w:rPr>
                <w:rFonts w:ascii="Times New Roman" w:hAnsi="Times New Roman" w:cs="Times New Roman"/>
                <w:color w:val="auto"/>
                <w:sz w:val="21"/>
                <w:lang w:eastAsia="zh-CN" w:bidi="ar"/>
              </w:rPr>
            </w:pPr>
          </w:p>
        </w:tc>
        <w:tc>
          <w:tcPr>
            <w:tcW w:w="276" w:type="pct"/>
            <w:noWrap/>
            <w:vAlign w:val="center"/>
          </w:tcPr>
          <w:p w14:paraId="787414A6">
            <w:pPr>
              <w:overflowPunct w:val="0"/>
              <w:jc w:val="center"/>
              <w:textAlignment w:val="center"/>
              <w:rPr>
                <w:rFonts w:ascii="Times New Roman" w:hAnsi="Times New Roman" w:cs="Times New Roman"/>
                <w:sz w:val="21"/>
              </w:rPr>
            </w:pPr>
          </w:p>
        </w:tc>
        <w:tc>
          <w:tcPr>
            <w:tcW w:w="276" w:type="pct"/>
            <w:noWrap/>
            <w:vAlign w:val="center"/>
          </w:tcPr>
          <w:p w14:paraId="18492F99">
            <w:pPr>
              <w:overflowPunct w:val="0"/>
              <w:jc w:val="center"/>
              <w:textAlignment w:val="center"/>
              <w:rPr>
                <w:rFonts w:ascii="Times New Roman" w:hAnsi="Times New Roman" w:cs="Times New Roman"/>
                <w:color w:val="auto"/>
                <w:sz w:val="21"/>
                <w:lang w:eastAsia="zh-CN"/>
              </w:rPr>
            </w:pPr>
          </w:p>
        </w:tc>
        <w:tc>
          <w:tcPr>
            <w:tcW w:w="276" w:type="pct"/>
            <w:vAlign w:val="center"/>
          </w:tcPr>
          <w:p w14:paraId="4AB3CDD5">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323" w:type="pct"/>
            <w:vMerge w:val="continue"/>
            <w:vAlign w:val="center"/>
          </w:tcPr>
          <w:p w14:paraId="6EEC48A1">
            <w:pPr>
              <w:overflowPunct w:val="0"/>
              <w:jc w:val="center"/>
              <w:rPr>
                <w:rFonts w:ascii="Times New Roman" w:hAnsi="Times New Roman" w:cs="Times New Roman"/>
                <w:color w:val="auto"/>
                <w:sz w:val="21"/>
                <w:lang w:eastAsia="zh-CN"/>
              </w:rPr>
            </w:pPr>
          </w:p>
        </w:tc>
        <w:tc>
          <w:tcPr>
            <w:tcW w:w="276" w:type="pct"/>
            <w:vMerge w:val="continue"/>
            <w:vAlign w:val="center"/>
          </w:tcPr>
          <w:p w14:paraId="79AB4A09">
            <w:pPr>
              <w:overflowPunct w:val="0"/>
              <w:jc w:val="center"/>
              <w:rPr>
                <w:rFonts w:ascii="Times New Roman" w:hAnsi="Times New Roman" w:cs="Times New Roman"/>
                <w:color w:val="auto"/>
                <w:sz w:val="21"/>
                <w:lang w:eastAsia="zh-CN"/>
              </w:rPr>
            </w:pPr>
          </w:p>
        </w:tc>
        <w:tc>
          <w:tcPr>
            <w:tcW w:w="276" w:type="pct"/>
            <w:vMerge w:val="continue"/>
            <w:vAlign w:val="center"/>
          </w:tcPr>
          <w:p w14:paraId="3B443DB8">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44009ED3">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66D9DC77">
            <w:pPr>
              <w:overflowPunct w:val="0"/>
              <w:jc w:val="center"/>
              <w:rPr>
                <w:rFonts w:ascii="Times New Roman" w:hAnsi="Times New Roman" w:cs="Times New Roman"/>
                <w:color w:val="auto"/>
                <w:sz w:val="21"/>
                <w:lang w:eastAsia="zh-CN"/>
              </w:rPr>
            </w:pPr>
          </w:p>
        </w:tc>
        <w:tc>
          <w:tcPr>
            <w:tcW w:w="277" w:type="pct"/>
            <w:vMerge w:val="continue"/>
            <w:vAlign w:val="center"/>
          </w:tcPr>
          <w:p w14:paraId="4EEBBCF0">
            <w:pPr>
              <w:overflowPunct w:val="0"/>
              <w:jc w:val="center"/>
              <w:rPr>
                <w:rFonts w:ascii="Times New Roman" w:hAnsi="Times New Roman" w:cs="Times New Roman"/>
                <w:color w:val="auto"/>
                <w:sz w:val="21"/>
                <w:lang w:eastAsia="zh-CN"/>
              </w:rPr>
            </w:pPr>
          </w:p>
        </w:tc>
        <w:tc>
          <w:tcPr>
            <w:tcW w:w="276" w:type="pct"/>
            <w:vMerge w:val="continue"/>
            <w:vAlign w:val="center"/>
          </w:tcPr>
          <w:p w14:paraId="44BC18C1">
            <w:pPr>
              <w:overflowPunct w:val="0"/>
              <w:jc w:val="center"/>
              <w:rPr>
                <w:rFonts w:ascii="Times New Roman" w:hAnsi="Times New Roman" w:cs="Times New Roman"/>
                <w:color w:val="auto"/>
                <w:sz w:val="21"/>
                <w:lang w:eastAsia="zh-CN"/>
              </w:rPr>
            </w:pPr>
          </w:p>
        </w:tc>
        <w:tc>
          <w:tcPr>
            <w:tcW w:w="280" w:type="pct"/>
            <w:vMerge w:val="continue"/>
            <w:vAlign w:val="center"/>
          </w:tcPr>
          <w:p w14:paraId="7F0E8E95">
            <w:pPr>
              <w:overflowPunct w:val="0"/>
              <w:jc w:val="center"/>
              <w:rPr>
                <w:rFonts w:ascii="Times New Roman" w:hAnsi="Times New Roman" w:cs="Times New Roman"/>
                <w:color w:val="auto"/>
                <w:sz w:val="21"/>
                <w:lang w:eastAsia="zh-CN"/>
              </w:rPr>
            </w:pPr>
          </w:p>
        </w:tc>
        <w:tc>
          <w:tcPr>
            <w:tcW w:w="143" w:type="pct"/>
            <w:vMerge w:val="continue"/>
            <w:vAlign w:val="center"/>
          </w:tcPr>
          <w:p w14:paraId="6C80EE9A">
            <w:pPr>
              <w:overflowPunct w:val="0"/>
              <w:jc w:val="center"/>
              <w:rPr>
                <w:rFonts w:ascii="Times New Roman" w:hAnsi="Times New Roman" w:cs="Times New Roman"/>
                <w:color w:val="auto"/>
                <w:sz w:val="21"/>
                <w:lang w:eastAsia="zh-CN"/>
              </w:rPr>
            </w:pPr>
          </w:p>
        </w:tc>
        <w:tc>
          <w:tcPr>
            <w:tcW w:w="203" w:type="pct"/>
            <w:vMerge w:val="continue"/>
            <w:vAlign w:val="center"/>
          </w:tcPr>
          <w:p w14:paraId="294E692E">
            <w:pPr>
              <w:overflowPunct w:val="0"/>
              <w:jc w:val="center"/>
              <w:rPr>
                <w:rFonts w:ascii="Times New Roman" w:hAnsi="Times New Roman" w:cs="Times New Roman"/>
                <w:color w:val="auto"/>
                <w:sz w:val="21"/>
                <w:lang w:eastAsia="zh-CN"/>
              </w:rPr>
            </w:pPr>
          </w:p>
        </w:tc>
      </w:tr>
      <w:tr w14:paraId="1A55C33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461" w:type="pct"/>
            <w:gridSpan w:val="2"/>
            <w:vMerge w:val="continue"/>
            <w:vAlign w:val="center"/>
          </w:tcPr>
          <w:p w14:paraId="13F94B53">
            <w:pPr>
              <w:overflowPunct w:val="0"/>
              <w:jc w:val="center"/>
              <w:rPr>
                <w:rFonts w:ascii="Times New Roman" w:hAnsi="Times New Roman" w:cs="Times New Roman"/>
                <w:color w:val="000000" w:themeColor="text1"/>
                <w:sz w:val="21"/>
                <w:lang w:eastAsia="zh-CN"/>
                <w14:textFill>
                  <w14:solidFill>
                    <w14:schemeClr w14:val="tx1"/>
                  </w14:solidFill>
                </w14:textFill>
              </w:rPr>
            </w:pPr>
          </w:p>
        </w:tc>
        <w:tc>
          <w:tcPr>
            <w:tcW w:w="368" w:type="pct"/>
            <w:vAlign w:val="center"/>
          </w:tcPr>
          <w:p w14:paraId="5DCB6C84">
            <w:pPr>
              <w:overflowPunct w:val="0"/>
              <w:jc w:val="center"/>
              <w:rPr>
                <w:rFonts w:ascii="Times New Roman" w:hAnsi="Times New Roman" w:cs="Times New Roman"/>
                <w:color w:val="EE0000"/>
                <w:sz w:val="21"/>
                <w:lang w:eastAsia="zh-CN"/>
              </w:rPr>
            </w:pPr>
          </w:p>
        </w:tc>
        <w:tc>
          <w:tcPr>
            <w:tcW w:w="276" w:type="pct"/>
            <w:vAlign w:val="center"/>
          </w:tcPr>
          <w:p w14:paraId="600EFB16">
            <w:pPr>
              <w:overflowPunct w:val="0"/>
              <w:jc w:val="center"/>
              <w:textAlignment w:val="center"/>
              <w:rPr>
                <w:rFonts w:ascii="Times New Roman" w:hAnsi="Times New Roman" w:cs="Times New Roman"/>
                <w:color w:val="EE0000"/>
                <w:sz w:val="21"/>
                <w:lang w:eastAsia="zh-CN"/>
              </w:rPr>
            </w:pPr>
          </w:p>
        </w:tc>
        <w:tc>
          <w:tcPr>
            <w:tcW w:w="231" w:type="pct"/>
            <w:vMerge w:val="continue"/>
            <w:vAlign w:val="center"/>
          </w:tcPr>
          <w:p w14:paraId="39C373DA">
            <w:pPr>
              <w:overflowPunct w:val="0"/>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30" w:type="pct"/>
            <w:vMerge w:val="continue"/>
            <w:vAlign w:val="center"/>
          </w:tcPr>
          <w:p w14:paraId="1A404B83">
            <w:pPr>
              <w:overflowPunct w:val="0"/>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6" w:type="pct"/>
            <w:noWrap/>
            <w:vAlign w:val="center"/>
          </w:tcPr>
          <w:p w14:paraId="2F9DA7D9">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noWrap/>
            <w:vAlign w:val="center"/>
          </w:tcPr>
          <w:p w14:paraId="4E3CFFB4">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vAlign w:val="center"/>
          </w:tcPr>
          <w:p w14:paraId="152A8E5C">
            <w:pPr>
              <w:jc w:val="center"/>
              <w:textAlignment w:val="center"/>
              <w:rPr>
                <w:rFonts w:ascii="Times New Roman" w:hAnsi="Times New Roman" w:cs="Times New Roman"/>
                <w:color w:val="EE0000"/>
                <w:sz w:val="21"/>
                <w:lang w:eastAsia="zh-CN" w:bidi="ar"/>
              </w:rPr>
            </w:pPr>
          </w:p>
        </w:tc>
        <w:tc>
          <w:tcPr>
            <w:tcW w:w="323" w:type="pct"/>
            <w:vMerge w:val="continue"/>
            <w:vAlign w:val="center"/>
          </w:tcPr>
          <w:p w14:paraId="1CA41D77">
            <w:pPr>
              <w:overflowPunct w:val="0"/>
              <w:jc w:val="center"/>
              <w:rPr>
                <w:rFonts w:ascii="Times New Roman" w:hAnsi="Times New Roman" w:cs="Times New Roman"/>
                <w:color w:val="auto"/>
                <w:sz w:val="21"/>
                <w:lang w:eastAsia="zh-CN"/>
              </w:rPr>
            </w:pPr>
          </w:p>
        </w:tc>
        <w:tc>
          <w:tcPr>
            <w:tcW w:w="276" w:type="pct"/>
            <w:vMerge w:val="continue"/>
            <w:vAlign w:val="center"/>
          </w:tcPr>
          <w:p w14:paraId="5F0B20FD">
            <w:pPr>
              <w:overflowPunct w:val="0"/>
              <w:jc w:val="center"/>
              <w:rPr>
                <w:rFonts w:ascii="Times New Roman" w:hAnsi="Times New Roman" w:cs="Times New Roman"/>
                <w:color w:val="auto"/>
                <w:sz w:val="21"/>
                <w:lang w:eastAsia="zh-CN"/>
              </w:rPr>
            </w:pPr>
          </w:p>
        </w:tc>
        <w:tc>
          <w:tcPr>
            <w:tcW w:w="276" w:type="pct"/>
            <w:vMerge w:val="continue"/>
            <w:vAlign w:val="center"/>
          </w:tcPr>
          <w:p w14:paraId="48FD840B">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40BF76AF">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0C38E581">
            <w:pPr>
              <w:overflowPunct w:val="0"/>
              <w:jc w:val="center"/>
              <w:rPr>
                <w:rFonts w:ascii="Times New Roman" w:hAnsi="Times New Roman" w:cs="Times New Roman"/>
                <w:color w:val="auto"/>
                <w:sz w:val="21"/>
                <w:lang w:eastAsia="zh-CN"/>
              </w:rPr>
            </w:pPr>
          </w:p>
        </w:tc>
        <w:tc>
          <w:tcPr>
            <w:tcW w:w="277" w:type="pct"/>
            <w:vMerge w:val="continue"/>
            <w:vAlign w:val="center"/>
          </w:tcPr>
          <w:p w14:paraId="7DC935BD">
            <w:pPr>
              <w:overflowPunct w:val="0"/>
              <w:jc w:val="center"/>
              <w:rPr>
                <w:rFonts w:ascii="Times New Roman" w:hAnsi="Times New Roman" w:cs="Times New Roman"/>
                <w:color w:val="auto"/>
                <w:sz w:val="21"/>
                <w:lang w:eastAsia="zh-CN"/>
              </w:rPr>
            </w:pPr>
          </w:p>
        </w:tc>
        <w:tc>
          <w:tcPr>
            <w:tcW w:w="276" w:type="pct"/>
            <w:vMerge w:val="continue"/>
            <w:vAlign w:val="center"/>
          </w:tcPr>
          <w:p w14:paraId="2B1F967D">
            <w:pPr>
              <w:overflowPunct w:val="0"/>
              <w:jc w:val="center"/>
              <w:rPr>
                <w:rFonts w:ascii="Times New Roman" w:hAnsi="Times New Roman" w:cs="Times New Roman"/>
                <w:color w:val="auto"/>
                <w:sz w:val="21"/>
                <w:lang w:eastAsia="zh-CN"/>
              </w:rPr>
            </w:pPr>
          </w:p>
        </w:tc>
        <w:tc>
          <w:tcPr>
            <w:tcW w:w="280" w:type="pct"/>
            <w:vMerge w:val="continue"/>
            <w:vAlign w:val="center"/>
          </w:tcPr>
          <w:p w14:paraId="75DCF294">
            <w:pPr>
              <w:overflowPunct w:val="0"/>
              <w:jc w:val="center"/>
              <w:rPr>
                <w:rFonts w:ascii="Times New Roman" w:hAnsi="Times New Roman" w:cs="Times New Roman"/>
                <w:color w:val="auto"/>
                <w:sz w:val="21"/>
                <w:lang w:eastAsia="zh-CN"/>
              </w:rPr>
            </w:pPr>
          </w:p>
        </w:tc>
        <w:tc>
          <w:tcPr>
            <w:tcW w:w="143" w:type="pct"/>
            <w:vMerge w:val="continue"/>
            <w:vAlign w:val="center"/>
          </w:tcPr>
          <w:p w14:paraId="3853084F">
            <w:pPr>
              <w:overflowPunct w:val="0"/>
              <w:jc w:val="center"/>
              <w:rPr>
                <w:rFonts w:ascii="Times New Roman" w:hAnsi="Times New Roman" w:cs="Times New Roman"/>
                <w:color w:val="auto"/>
                <w:sz w:val="21"/>
                <w:lang w:eastAsia="zh-CN"/>
              </w:rPr>
            </w:pPr>
          </w:p>
        </w:tc>
        <w:tc>
          <w:tcPr>
            <w:tcW w:w="203" w:type="pct"/>
            <w:vMerge w:val="continue"/>
            <w:vAlign w:val="center"/>
          </w:tcPr>
          <w:p w14:paraId="647291F1">
            <w:pPr>
              <w:overflowPunct w:val="0"/>
              <w:jc w:val="center"/>
              <w:rPr>
                <w:rFonts w:ascii="Times New Roman" w:hAnsi="Times New Roman" w:cs="Times New Roman"/>
                <w:color w:val="auto"/>
                <w:sz w:val="21"/>
                <w:lang w:eastAsia="zh-CN"/>
              </w:rPr>
            </w:pPr>
          </w:p>
        </w:tc>
      </w:tr>
      <w:tr w14:paraId="21D11CA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31" w:type="pct"/>
            <w:vMerge w:val="restart"/>
            <w:vAlign w:val="center"/>
          </w:tcPr>
          <w:p w14:paraId="54DACE9B">
            <w:pPr>
              <w:overflowPunct w:val="0"/>
              <w:jc w:val="center"/>
              <w:rPr>
                <w:rFonts w:ascii="Times New Roman" w:hAnsi="Times New Roman" w:cs="Times New Roman"/>
                <w:color w:val="EE0000"/>
                <w:sz w:val="21"/>
                <w:lang w:eastAsia="zh-CN"/>
              </w:rPr>
            </w:pPr>
          </w:p>
        </w:tc>
        <w:tc>
          <w:tcPr>
            <w:tcW w:w="230" w:type="pct"/>
            <w:vMerge w:val="restart"/>
            <w:vAlign w:val="center"/>
          </w:tcPr>
          <w:p w14:paraId="6934ECD8">
            <w:pPr>
              <w:overflowPunct w:val="0"/>
              <w:jc w:val="center"/>
              <w:rPr>
                <w:rFonts w:ascii="Times New Roman" w:hAnsi="Times New Roman" w:cs="Times New Roman"/>
                <w:color w:val="EE0000"/>
                <w:sz w:val="21"/>
                <w:lang w:eastAsia="zh-CN"/>
              </w:rPr>
            </w:pPr>
          </w:p>
        </w:tc>
        <w:tc>
          <w:tcPr>
            <w:tcW w:w="368" w:type="pct"/>
            <w:vMerge w:val="restart"/>
            <w:vAlign w:val="center"/>
          </w:tcPr>
          <w:p w14:paraId="2E6F00D2">
            <w:pPr>
              <w:overflowPunct w:val="0"/>
              <w:jc w:val="center"/>
              <w:rPr>
                <w:rFonts w:ascii="Times New Roman" w:hAnsi="Times New Roman" w:cs="Times New Roman"/>
                <w:color w:val="auto"/>
                <w:kern w:val="2"/>
                <w:sz w:val="21"/>
                <w:lang w:eastAsia="zh-CN"/>
              </w:rPr>
            </w:pPr>
          </w:p>
        </w:tc>
        <w:tc>
          <w:tcPr>
            <w:tcW w:w="276" w:type="pct"/>
            <w:vAlign w:val="center"/>
          </w:tcPr>
          <w:p w14:paraId="737F56C5">
            <w:pPr>
              <w:overflowPunct w:val="0"/>
              <w:jc w:val="center"/>
              <w:textAlignment w:val="center"/>
              <w:rPr>
                <w:rFonts w:ascii="Times New Roman" w:hAnsi="Times New Roman" w:cs="Times New Roman"/>
                <w:color w:val="auto"/>
                <w:kern w:val="2"/>
                <w:sz w:val="21"/>
                <w:lang w:eastAsia="zh-CN"/>
              </w:rPr>
            </w:pPr>
          </w:p>
        </w:tc>
        <w:tc>
          <w:tcPr>
            <w:tcW w:w="231" w:type="pct"/>
            <w:vMerge w:val="restart"/>
            <w:vAlign w:val="center"/>
          </w:tcPr>
          <w:p w14:paraId="7730C5A4">
            <w:pPr>
              <w:overflowPunct w:val="0"/>
              <w:jc w:val="center"/>
              <w:textAlignment w:val="center"/>
              <w:rPr>
                <w:rFonts w:ascii="Times New Roman" w:hAnsi="Times New Roman" w:cs="Times New Roman"/>
                <w:color w:val="EE0000"/>
                <w:sz w:val="21"/>
                <w:lang w:eastAsia="zh-CN" w:bidi="ar"/>
              </w:rPr>
            </w:pPr>
          </w:p>
        </w:tc>
        <w:tc>
          <w:tcPr>
            <w:tcW w:w="230" w:type="pct"/>
            <w:vMerge w:val="restart"/>
            <w:vAlign w:val="center"/>
          </w:tcPr>
          <w:p w14:paraId="251B0B02">
            <w:pPr>
              <w:overflowPunct w:val="0"/>
              <w:jc w:val="center"/>
              <w:textAlignment w:val="center"/>
              <w:rPr>
                <w:rFonts w:ascii="Times New Roman" w:hAnsi="Times New Roman" w:cs="Times New Roman"/>
                <w:color w:val="EE0000"/>
                <w:sz w:val="21"/>
                <w:lang w:eastAsia="zh-CN" w:bidi="ar"/>
              </w:rPr>
            </w:pPr>
          </w:p>
        </w:tc>
        <w:tc>
          <w:tcPr>
            <w:tcW w:w="276" w:type="pct"/>
            <w:noWrap/>
            <w:vAlign w:val="center"/>
          </w:tcPr>
          <w:p w14:paraId="19820AE5">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noWrap/>
            <w:vAlign w:val="center"/>
          </w:tcPr>
          <w:p w14:paraId="2CE8AB64">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vAlign w:val="center"/>
          </w:tcPr>
          <w:p w14:paraId="7503D7A4">
            <w:pPr>
              <w:jc w:val="center"/>
              <w:textAlignment w:val="center"/>
              <w:rPr>
                <w:rFonts w:ascii="Times New Roman" w:hAnsi="Times New Roman" w:cs="Times New Roman"/>
                <w:sz w:val="21"/>
                <w:lang w:eastAsia="zh-CN"/>
              </w:rPr>
            </w:pPr>
          </w:p>
        </w:tc>
        <w:tc>
          <w:tcPr>
            <w:tcW w:w="323" w:type="pct"/>
            <w:vMerge w:val="restart"/>
            <w:vAlign w:val="center"/>
          </w:tcPr>
          <w:p w14:paraId="2F74B740">
            <w:pPr>
              <w:overflowPunct w:val="0"/>
              <w:jc w:val="center"/>
              <w:rPr>
                <w:rFonts w:ascii="Times New Roman" w:hAnsi="Times New Roman" w:cs="Times New Roman"/>
                <w:color w:val="auto"/>
                <w:sz w:val="21"/>
                <w:lang w:eastAsia="zh-CN"/>
              </w:rPr>
            </w:pPr>
          </w:p>
        </w:tc>
        <w:tc>
          <w:tcPr>
            <w:tcW w:w="276" w:type="pct"/>
            <w:vMerge w:val="continue"/>
            <w:vAlign w:val="center"/>
          </w:tcPr>
          <w:p w14:paraId="2BA6D1B7">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39C82D8D">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4F884C6B">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vMerge w:val="continue"/>
            <w:shd w:val="clear" w:color="auto" w:fill="FFFFFF"/>
            <w:vAlign w:val="center"/>
          </w:tcPr>
          <w:p w14:paraId="3AE888AD">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vMerge w:val="continue"/>
            <w:vAlign w:val="center"/>
          </w:tcPr>
          <w:p w14:paraId="05D02C98">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vMerge w:val="continue"/>
            <w:vAlign w:val="center"/>
          </w:tcPr>
          <w:p w14:paraId="1E4B6B3C">
            <w:pPr>
              <w:overflowPunct w:val="0"/>
              <w:jc w:val="center"/>
              <w:textAlignment w:val="center"/>
              <w:rPr>
                <w:rFonts w:ascii="Times New Roman" w:hAnsi="Times New Roman" w:cs="Times New Roman"/>
                <w:color w:val="auto"/>
                <w:sz w:val="21"/>
                <w:lang w:eastAsia="zh-CN"/>
              </w:rPr>
            </w:pPr>
          </w:p>
        </w:tc>
        <w:tc>
          <w:tcPr>
            <w:tcW w:w="280" w:type="pct"/>
            <w:vMerge w:val="continue"/>
            <w:vAlign w:val="center"/>
          </w:tcPr>
          <w:p w14:paraId="4E5D901F">
            <w:pPr>
              <w:overflowPunct w:val="0"/>
              <w:jc w:val="center"/>
              <w:textAlignment w:val="center"/>
              <w:rPr>
                <w:rFonts w:ascii="Times New Roman" w:hAnsi="Times New Roman" w:cs="Times New Roman"/>
                <w:color w:val="auto"/>
                <w:sz w:val="21"/>
                <w:lang w:eastAsia="zh-CN"/>
              </w:rPr>
            </w:pPr>
          </w:p>
        </w:tc>
        <w:tc>
          <w:tcPr>
            <w:tcW w:w="143" w:type="pct"/>
            <w:vMerge w:val="continue"/>
            <w:vAlign w:val="center"/>
          </w:tcPr>
          <w:p w14:paraId="766EDF5B">
            <w:pPr>
              <w:overflowPunct w:val="0"/>
              <w:jc w:val="center"/>
              <w:rPr>
                <w:rFonts w:ascii="Times New Roman" w:hAnsi="Times New Roman" w:cs="Times New Roman"/>
                <w:color w:val="auto"/>
                <w:sz w:val="21"/>
                <w:lang w:eastAsia="zh-CN"/>
              </w:rPr>
            </w:pPr>
          </w:p>
        </w:tc>
        <w:tc>
          <w:tcPr>
            <w:tcW w:w="203" w:type="pct"/>
            <w:vMerge w:val="continue"/>
            <w:vAlign w:val="center"/>
          </w:tcPr>
          <w:p w14:paraId="167BAE0E">
            <w:pPr>
              <w:overflowPunct w:val="0"/>
              <w:jc w:val="center"/>
              <w:rPr>
                <w:rFonts w:ascii="Times New Roman" w:hAnsi="Times New Roman" w:cs="Times New Roman"/>
                <w:color w:val="auto"/>
                <w:sz w:val="21"/>
                <w:lang w:eastAsia="zh-CN"/>
              </w:rPr>
            </w:pPr>
          </w:p>
        </w:tc>
      </w:tr>
      <w:tr w14:paraId="3639A67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31" w:type="pct"/>
            <w:vMerge w:val="continue"/>
            <w:vAlign w:val="center"/>
          </w:tcPr>
          <w:p w14:paraId="6E4472FA">
            <w:pPr>
              <w:overflowPunct w:val="0"/>
              <w:jc w:val="center"/>
              <w:rPr>
                <w:rFonts w:ascii="Times New Roman" w:hAnsi="Times New Roman" w:cs="Times New Roman"/>
                <w:color w:val="EE0000"/>
                <w:sz w:val="21"/>
                <w:lang w:eastAsia="zh-CN"/>
              </w:rPr>
            </w:pPr>
          </w:p>
        </w:tc>
        <w:tc>
          <w:tcPr>
            <w:tcW w:w="230" w:type="pct"/>
            <w:vMerge w:val="continue"/>
            <w:vAlign w:val="center"/>
          </w:tcPr>
          <w:p w14:paraId="52FBD1E3">
            <w:pPr>
              <w:overflowPunct w:val="0"/>
              <w:jc w:val="center"/>
              <w:rPr>
                <w:rFonts w:ascii="Times New Roman" w:hAnsi="Times New Roman" w:cs="Times New Roman"/>
                <w:color w:val="EE0000"/>
                <w:sz w:val="21"/>
                <w:lang w:eastAsia="zh-CN"/>
              </w:rPr>
            </w:pPr>
          </w:p>
        </w:tc>
        <w:tc>
          <w:tcPr>
            <w:tcW w:w="368" w:type="pct"/>
            <w:vMerge w:val="continue"/>
            <w:vAlign w:val="center"/>
          </w:tcPr>
          <w:p w14:paraId="21AFCF0D">
            <w:pPr>
              <w:overflowPunct w:val="0"/>
              <w:jc w:val="center"/>
              <w:rPr>
                <w:rFonts w:ascii="Times New Roman" w:hAnsi="Times New Roman" w:cs="Times New Roman"/>
                <w:color w:val="auto"/>
                <w:kern w:val="2"/>
                <w:sz w:val="21"/>
                <w:lang w:eastAsia="zh-CN"/>
              </w:rPr>
            </w:pPr>
          </w:p>
        </w:tc>
        <w:tc>
          <w:tcPr>
            <w:tcW w:w="276" w:type="pct"/>
            <w:vAlign w:val="center"/>
          </w:tcPr>
          <w:p w14:paraId="70A6FA8A">
            <w:pPr>
              <w:overflowPunct w:val="0"/>
              <w:jc w:val="center"/>
              <w:textAlignment w:val="center"/>
              <w:rPr>
                <w:rFonts w:ascii="Times New Roman" w:hAnsi="Times New Roman" w:cs="Times New Roman"/>
                <w:color w:val="auto"/>
                <w:kern w:val="2"/>
                <w:sz w:val="21"/>
                <w:lang w:eastAsia="zh-CN"/>
              </w:rPr>
            </w:pPr>
          </w:p>
        </w:tc>
        <w:tc>
          <w:tcPr>
            <w:tcW w:w="231" w:type="pct"/>
            <w:vMerge w:val="continue"/>
            <w:vAlign w:val="center"/>
          </w:tcPr>
          <w:p w14:paraId="50E671A6">
            <w:pPr>
              <w:overflowPunct w:val="0"/>
              <w:jc w:val="center"/>
              <w:textAlignment w:val="center"/>
              <w:rPr>
                <w:rFonts w:ascii="Times New Roman" w:hAnsi="Times New Roman" w:cs="Times New Roman"/>
                <w:color w:val="EE0000"/>
                <w:sz w:val="21"/>
                <w:lang w:eastAsia="zh-CN" w:bidi="ar"/>
              </w:rPr>
            </w:pPr>
          </w:p>
        </w:tc>
        <w:tc>
          <w:tcPr>
            <w:tcW w:w="230" w:type="pct"/>
            <w:vMerge w:val="continue"/>
            <w:vAlign w:val="center"/>
          </w:tcPr>
          <w:p w14:paraId="33A2CE57">
            <w:pPr>
              <w:overflowPunct w:val="0"/>
              <w:jc w:val="center"/>
              <w:textAlignment w:val="center"/>
              <w:rPr>
                <w:rFonts w:ascii="Times New Roman" w:hAnsi="Times New Roman" w:cs="Times New Roman"/>
                <w:color w:val="EE0000"/>
                <w:sz w:val="21"/>
                <w:lang w:eastAsia="zh-CN" w:bidi="ar"/>
              </w:rPr>
            </w:pPr>
          </w:p>
        </w:tc>
        <w:tc>
          <w:tcPr>
            <w:tcW w:w="276" w:type="pct"/>
            <w:noWrap/>
            <w:vAlign w:val="center"/>
          </w:tcPr>
          <w:p w14:paraId="07D29BB4">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noWrap/>
            <w:vAlign w:val="center"/>
          </w:tcPr>
          <w:p w14:paraId="35ABEF6E">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vAlign w:val="center"/>
          </w:tcPr>
          <w:p w14:paraId="200D1ACA">
            <w:pPr>
              <w:jc w:val="center"/>
              <w:textAlignment w:val="center"/>
              <w:rPr>
                <w:rFonts w:ascii="Times New Roman" w:hAnsi="Times New Roman" w:cs="Times New Roman"/>
                <w:sz w:val="21"/>
                <w:lang w:eastAsia="zh-CN"/>
              </w:rPr>
            </w:pPr>
          </w:p>
        </w:tc>
        <w:tc>
          <w:tcPr>
            <w:tcW w:w="323" w:type="pct"/>
            <w:vMerge w:val="continue"/>
            <w:vAlign w:val="center"/>
          </w:tcPr>
          <w:p w14:paraId="31C98A54">
            <w:pPr>
              <w:overflowPunct w:val="0"/>
              <w:jc w:val="center"/>
              <w:rPr>
                <w:rFonts w:ascii="Times New Roman" w:hAnsi="Times New Roman" w:cs="Times New Roman"/>
                <w:color w:val="auto"/>
                <w:sz w:val="21"/>
                <w:lang w:eastAsia="zh-CN"/>
              </w:rPr>
            </w:pPr>
          </w:p>
        </w:tc>
        <w:tc>
          <w:tcPr>
            <w:tcW w:w="276" w:type="pct"/>
            <w:vMerge w:val="continue"/>
            <w:vAlign w:val="center"/>
          </w:tcPr>
          <w:p w14:paraId="1BCC9548">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128799B1">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771FC70E">
            <w:pPr>
              <w:overflowPunct w:val="0"/>
              <w:jc w:val="center"/>
              <w:textAlignment w:val="center"/>
              <w:rPr>
                <w:rFonts w:ascii="Times New Roman" w:hAnsi="Times New Roman" w:cs="Times New Roman"/>
                <w:color w:val="auto"/>
                <w:sz w:val="21"/>
                <w:lang w:eastAsia="zh-CN"/>
              </w:rPr>
            </w:pPr>
          </w:p>
        </w:tc>
        <w:tc>
          <w:tcPr>
            <w:tcW w:w="276" w:type="pct"/>
            <w:vMerge w:val="continue"/>
            <w:shd w:val="clear" w:color="auto" w:fill="FFFFFF"/>
            <w:vAlign w:val="center"/>
          </w:tcPr>
          <w:p w14:paraId="1924674A">
            <w:pPr>
              <w:overflowPunct w:val="0"/>
              <w:jc w:val="center"/>
              <w:textAlignment w:val="center"/>
              <w:rPr>
                <w:rFonts w:ascii="Times New Roman" w:hAnsi="Times New Roman" w:cs="Times New Roman"/>
                <w:color w:val="auto"/>
                <w:sz w:val="21"/>
                <w:lang w:eastAsia="zh-CN"/>
              </w:rPr>
            </w:pPr>
          </w:p>
        </w:tc>
        <w:tc>
          <w:tcPr>
            <w:tcW w:w="277" w:type="pct"/>
            <w:vMerge w:val="continue"/>
            <w:vAlign w:val="center"/>
          </w:tcPr>
          <w:p w14:paraId="249B3775">
            <w:pPr>
              <w:overflowPunct w:val="0"/>
              <w:jc w:val="center"/>
              <w:textAlignment w:val="center"/>
              <w:rPr>
                <w:rFonts w:ascii="Times New Roman" w:hAnsi="Times New Roman" w:cs="Times New Roman"/>
                <w:color w:val="auto"/>
                <w:sz w:val="21"/>
                <w:lang w:eastAsia="zh-CN"/>
              </w:rPr>
            </w:pPr>
          </w:p>
        </w:tc>
        <w:tc>
          <w:tcPr>
            <w:tcW w:w="276" w:type="pct"/>
            <w:vMerge w:val="continue"/>
            <w:vAlign w:val="center"/>
          </w:tcPr>
          <w:p w14:paraId="71AB5878">
            <w:pPr>
              <w:overflowPunct w:val="0"/>
              <w:jc w:val="center"/>
              <w:textAlignment w:val="center"/>
              <w:rPr>
                <w:rFonts w:ascii="Times New Roman" w:hAnsi="Times New Roman" w:cs="Times New Roman"/>
                <w:color w:val="auto"/>
                <w:sz w:val="21"/>
                <w:lang w:eastAsia="zh-CN"/>
              </w:rPr>
            </w:pPr>
          </w:p>
        </w:tc>
        <w:tc>
          <w:tcPr>
            <w:tcW w:w="280" w:type="pct"/>
            <w:vMerge w:val="continue"/>
            <w:vAlign w:val="center"/>
          </w:tcPr>
          <w:p w14:paraId="556DF30C">
            <w:pPr>
              <w:overflowPunct w:val="0"/>
              <w:jc w:val="center"/>
              <w:textAlignment w:val="center"/>
              <w:rPr>
                <w:rFonts w:ascii="Times New Roman" w:hAnsi="Times New Roman" w:cs="Times New Roman"/>
                <w:color w:val="auto"/>
                <w:sz w:val="21"/>
                <w:lang w:eastAsia="zh-CN"/>
              </w:rPr>
            </w:pPr>
          </w:p>
        </w:tc>
        <w:tc>
          <w:tcPr>
            <w:tcW w:w="143" w:type="pct"/>
            <w:vMerge w:val="continue"/>
            <w:vAlign w:val="center"/>
          </w:tcPr>
          <w:p w14:paraId="7611EC25">
            <w:pPr>
              <w:overflowPunct w:val="0"/>
              <w:jc w:val="center"/>
              <w:rPr>
                <w:rFonts w:ascii="Times New Roman" w:hAnsi="Times New Roman" w:cs="Times New Roman"/>
                <w:color w:val="auto"/>
                <w:sz w:val="21"/>
                <w:lang w:eastAsia="zh-CN"/>
              </w:rPr>
            </w:pPr>
          </w:p>
        </w:tc>
        <w:tc>
          <w:tcPr>
            <w:tcW w:w="203" w:type="pct"/>
            <w:vMerge w:val="continue"/>
            <w:vAlign w:val="center"/>
          </w:tcPr>
          <w:p w14:paraId="289D5103">
            <w:pPr>
              <w:overflowPunct w:val="0"/>
              <w:jc w:val="center"/>
              <w:rPr>
                <w:rFonts w:ascii="Times New Roman" w:hAnsi="Times New Roman" w:cs="Times New Roman"/>
                <w:color w:val="auto"/>
                <w:sz w:val="21"/>
                <w:lang w:eastAsia="zh-CN"/>
              </w:rPr>
            </w:pPr>
          </w:p>
        </w:tc>
      </w:tr>
      <w:tr w14:paraId="47EEE09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31" w:type="pct"/>
            <w:vMerge w:val="continue"/>
            <w:vAlign w:val="center"/>
          </w:tcPr>
          <w:p w14:paraId="5CB352C2">
            <w:pPr>
              <w:overflowPunct w:val="0"/>
              <w:jc w:val="center"/>
              <w:rPr>
                <w:rFonts w:ascii="Times New Roman" w:hAnsi="Times New Roman" w:cs="Times New Roman"/>
                <w:color w:val="EE0000"/>
                <w:sz w:val="21"/>
                <w:lang w:eastAsia="zh-CN"/>
              </w:rPr>
            </w:pPr>
          </w:p>
        </w:tc>
        <w:tc>
          <w:tcPr>
            <w:tcW w:w="230" w:type="pct"/>
            <w:vMerge w:val="continue"/>
            <w:vAlign w:val="center"/>
          </w:tcPr>
          <w:p w14:paraId="667AB32B">
            <w:pPr>
              <w:overflowPunct w:val="0"/>
              <w:jc w:val="center"/>
              <w:rPr>
                <w:rFonts w:ascii="Times New Roman" w:hAnsi="Times New Roman" w:cs="Times New Roman"/>
                <w:color w:val="EE0000"/>
                <w:sz w:val="21"/>
                <w:lang w:eastAsia="zh-CN"/>
              </w:rPr>
            </w:pPr>
          </w:p>
        </w:tc>
        <w:tc>
          <w:tcPr>
            <w:tcW w:w="368" w:type="pct"/>
            <w:vMerge w:val="restart"/>
            <w:vAlign w:val="center"/>
          </w:tcPr>
          <w:p w14:paraId="0C385888">
            <w:pPr>
              <w:overflowPunct w:val="0"/>
              <w:jc w:val="center"/>
              <w:rPr>
                <w:rFonts w:ascii="Times New Roman" w:hAnsi="Times New Roman" w:cs="Times New Roman"/>
                <w:color w:val="auto"/>
                <w:kern w:val="2"/>
                <w:sz w:val="21"/>
                <w:lang w:eastAsia="zh-CN"/>
              </w:rPr>
            </w:pPr>
          </w:p>
        </w:tc>
        <w:tc>
          <w:tcPr>
            <w:tcW w:w="276" w:type="pct"/>
            <w:vAlign w:val="center"/>
          </w:tcPr>
          <w:p w14:paraId="68A92010">
            <w:pPr>
              <w:overflowPunct w:val="0"/>
              <w:jc w:val="center"/>
              <w:textAlignment w:val="center"/>
              <w:rPr>
                <w:rFonts w:ascii="Times New Roman" w:hAnsi="Times New Roman" w:cs="Times New Roman"/>
                <w:color w:val="auto"/>
                <w:kern w:val="2"/>
                <w:sz w:val="21"/>
                <w:lang w:eastAsia="zh-CN"/>
              </w:rPr>
            </w:pPr>
          </w:p>
        </w:tc>
        <w:tc>
          <w:tcPr>
            <w:tcW w:w="231" w:type="pct"/>
            <w:vMerge w:val="continue"/>
            <w:vAlign w:val="center"/>
          </w:tcPr>
          <w:p w14:paraId="3B3FEAAB">
            <w:pPr>
              <w:overflowPunct w:val="0"/>
              <w:jc w:val="center"/>
              <w:textAlignment w:val="center"/>
              <w:rPr>
                <w:rFonts w:ascii="Times New Roman" w:hAnsi="Times New Roman" w:cs="Times New Roman"/>
                <w:color w:val="EE0000"/>
                <w:sz w:val="21"/>
                <w:lang w:eastAsia="zh-CN" w:bidi="ar"/>
              </w:rPr>
            </w:pPr>
          </w:p>
        </w:tc>
        <w:tc>
          <w:tcPr>
            <w:tcW w:w="230" w:type="pct"/>
            <w:vMerge w:val="continue"/>
            <w:vAlign w:val="center"/>
          </w:tcPr>
          <w:p w14:paraId="1E1A6855">
            <w:pPr>
              <w:overflowPunct w:val="0"/>
              <w:jc w:val="center"/>
              <w:textAlignment w:val="center"/>
              <w:rPr>
                <w:rFonts w:ascii="Times New Roman" w:hAnsi="Times New Roman" w:cs="Times New Roman"/>
                <w:color w:val="EE0000"/>
                <w:sz w:val="21"/>
                <w:lang w:eastAsia="zh-CN" w:bidi="ar"/>
              </w:rPr>
            </w:pPr>
          </w:p>
        </w:tc>
        <w:tc>
          <w:tcPr>
            <w:tcW w:w="276" w:type="pct"/>
            <w:noWrap/>
            <w:vAlign w:val="center"/>
          </w:tcPr>
          <w:p w14:paraId="76213FEB">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noWrap/>
            <w:vAlign w:val="center"/>
          </w:tcPr>
          <w:p w14:paraId="749E1FAA">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vAlign w:val="center"/>
          </w:tcPr>
          <w:p w14:paraId="7131C25A">
            <w:pPr>
              <w:jc w:val="center"/>
              <w:textAlignment w:val="center"/>
              <w:rPr>
                <w:rFonts w:ascii="Times New Roman" w:hAnsi="Times New Roman" w:cs="Times New Roman"/>
                <w:color w:val="auto"/>
                <w:sz w:val="21"/>
                <w:lang w:eastAsia="zh-CN"/>
              </w:rPr>
            </w:pPr>
          </w:p>
        </w:tc>
        <w:tc>
          <w:tcPr>
            <w:tcW w:w="323" w:type="pct"/>
            <w:vMerge w:val="continue"/>
            <w:vAlign w:val="center"/>
          </w:tcPr>
          <w:p w14:paraId="1CF9F1CE">
            <w:pPr>
              <w:overflowPunct w:val="0"/>
              <w:jc w:val="center"/>
              <w:rPr>
                <w:rFonts w:ascii="Times New Roman" w:hAnsi="Times New Roman" w:cs="Times New Roman"/>
                <w:color w:val="auto"/>
                <w:sz w:val="21"/>
                <w:lang w:eastAsia="zh-CN"/>
              </w:rPr>
            </w:pPr>
          </w:p>
        </w:tc>
        <w:tc>
          <w:tcPr>
            <w:tcW w:w="276" w:type="pct"/>
            <w:vMerge w:val="continue"/>
            <w:vAlign w:val="center"/>
          </w:tcPr>
          <w:p w14:paraId="3BBE3019">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0A47F4C5">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0585DA33">
            <w:pPr>
              <w:overflowPunct w:val="0"/>
              <w:jc w:val="center"/>
              <w:textAlignment w:val="center"/>
              <w:rPr>
                <w:rFonts w:ascii="Times New Roman" w:hAnsi="Times New Roman" w:cs="Times New Roman"/>
                <w:color w:val="auto"/>
                <w:sz w:val="21"/>
                <w:lang w:eastAsia="zh-CN"/>
              </w:rPr>
            </w:pPr>
          </w:p>
        </w:tc>
        <w:tc>
          <w:tcPr>
            <w:tcW w:w="276" w:type="pct"/>
            <w:vMerge w:val="continue"/>
            <w:shd w:val="clear" w:color="auto" w:fill="FFFFFF"/>
            <w:vAlign w:val="center"/>
          </w:tcPr>
          <w:p w14:paraId="7B108594">
            <w:pPr>
              <w:overflowPunct w:val="0"/>
              <w:jc w:val="center"/>
              <w:textAlignment w:val="center"/>
              <w:rPr>
                <w:rFonts w:ascii="Times New Roman" w:hAnsi="Times New Roman" w:cs="Times New Roman"/>
                <w:color w:val="auto"/>
                <w:sz w:val="21"/>
                <w:lang w:eastAsia="zh-CN"/>
              </w:rPr>
            </w:pPr>
          </w:p>
        </w:tc>
        <w:tc>
          <w:tcPr>
            <w:tcW w:w="277" w:type="pct"/>
            <w:vMerge w:val="continue"/>
            <w:vAlign w:val="center"/>
          </w:tcPr>
          <w:p w14:paraId="43E181AA">
            <w:pPr>
              <w:overflowPunct w:val="0"/>
              <w:jc w:val="center"/>
              <w:textAlignment w:val="center"/>
              <w:rPr>
                <w:rFonts w:ascii="Times New Roman" w:hAnsi="Times New Roman" w:cs="Times New Roman"/>
                <w:color w:val="auto"/>
                <w:sz w:val="21"/>
                <w:lang w:eastAsia="zh-CN"/>
              </w:rPr>
            </w:pPr>
          </w:p>
        </w:tc>
        <w:tc>
          <w:tcPr>
            <w:tcW w:w="276" w:type="pct"/>
            <w:vMerge w:val="continue"/>
            <w:vAlign w:val="center"/>
          </w:tcPr>
          <w:p w14:paraId="3D383D2F">
            <w:pPr>
              <w:overflowPunct w:val="0"/>
              <w:jc w:val="center"/>
              <w:textAlignment w:val="center"/>
              <w:rPr>
                <w:rFonts w:ascii="Times New Roman" w:hAnsi="Times New Roman" w:cs="Times New Roman"/>
                <w:color w:val="auto"/>
                <w:sz w:val="21"/>
                <w:lang w:eastAsia="zh-CN"/>
              </w:rPr>
            </w:pPr>
          </w:p>
        </w:tc>
        <w:tc>
          <w:tcPr>
            <w:tcW w:w="280" w:type="pct"/>
            <w:vMerge w:val="continue"/>
            <w:vAlign w:val="center"/>
          </w:tcPr>
          <w:p w14:paraId="31901987">
            <w:pPr>
              <w:overflowPunct w:val="0"/>
              <w:jc w:val="center"/>
              <w:textAlignment w:val="center"/>
              <w:rPr>
                <w:rFonts w:ascii="Times New Roman" w:hAnsi="Times New Roman" w:cs="Times New Roman"/>
                <w:color w:val="auto"/>
                <w:sz w:val="21"/>
                <w:lang w:eastAsia="zh-CN"/>
              </w:rPr>
            </w:pPr>
          </w:p>
        </w:tc>
        <w:tc>
          <w:tcPr>
            <w:tcW w:w="143" w:type="pct"/>
            <w:vMerge w:val="continue"/>
            <w:vAlign w:val="center"/>
          </w:tcPr>
          <w:p w14:paraId="003027A3">
            <w:pPr>
              <w:overflowPunct w:val="0"/>
              <w:jc w:val="center"/>
              <w:rPr>
                <w:rFonts w:ascii="Times New Roman" w:hAnsi="Times New Roman" w:cs="Times New Roman"/>
                <w:color w:val="auto"/>
                <w:sz w:val="21"/>
                <w:lang w:eastAsia="zh-CN"/>
              </w:rPr>
            </w:pPr>
          </w:p>
        </w:tc>
        <w:tc>
          <w:tcPr>
            <w:tcW w:w="203" w:type="pct"/>
            <w:vMerge w:val="continue"/>
            <w:vAlign w:val="center"/>
          </w:tcPr>
          <w:p w14:paraId="526D58A7">
            <w:pPr>
              <w:overflowPunct w:val="0"/>
              <w:jc w:val="center"/>
              <w:rPr>
                <w:rFonts w:ascii="Times New Roman" w:hAnsi="Times New Roman" w:cs="Times New Roman"/>
                <w:color w:val="auto"/>
                <w:sz w:val="21"/>
                <w:lang w:eastAsia="zh-CN"/>
              </w:rPr>
            </w:pPr>
          </w:p>
        </w:tc>
      </w:tr>
      <w:tr w14:paraId="7539934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31" w:type="pct"/>
            <w:vMerge w:val="continue"/>
            <w:vAlign w:val="center"/>
          </w:tcPr>
          <w:p w14:paraId="322B4552">
            <w:pPr>
              <w:overflowPunct w:val="0"/>
              <w:jc w:val="center"/>
              <w:rPr>
                <w:rFonts w:ascii="Times New Roman" w:hAnsi="Times New Roman" w:cs="Times New Roman"/>
                <w:color w:val="EE0000"/>
                <w:sz w:val="21"/>
                <w:lang w:eastAsia="zh-CN"/>
              </w:rPr>
            </w:pPr>
          </w:p>
        </w:tc>
        <w:tc>
          <w:tcPr>
            <w:tcW w:w="230" w:type="pct"/>
            <w:vMerge w:val="continue"/>
            <w:vAlign w:val="center"/>
          </w:tcPr>
          <w:p w14:paraId="410F184E">
            <w:pPr>
              <w:overflowPunct w:val="0"/>
              <w:jc w:val="center"/>
              <w:rPr>
                <w:rFonts w:ascii="Times New Roman" w:hAnsi="Times New Roman" w:cs="Times New Roman"/>
                <w:color w:val="EE0000"/>
                <w:sz w:val="21"/>
                <w:lang w:eastAsia="zh-CN"/>
              </w:rPr>
            </w:pPr>
          </w:p>
        </w:tc>
        <w:tc>
          <w:tcPr>
            <w:tcW w:w="368" w:type="pct"/>
            <w:vMerge w:val="continue"/>
            <w:vAlign w:val="center"/>
          </w:tcPr>
          <w:p w14:paraId="7B24470B">
            <w:pPr>
              <w:overflowPunct w:val="0"/>
              <w:jc w:val="center"/>
              <w:rPr>
                <w:rFonts w:ascii="Times New Roman" w:hAnsi="Times New Roman" w:cs="Times New Roman"/>
                <w:color w:val="auto"/>
                <w:kern w:val="2"/>
                <w:sz w:val="21"/>
                <w:lang w:eastAsia="zh-CN"/>
              </w:rPr>
            </w:pPr>
          </w:p>
        </w:tc>
        <w:tc>
          <w:tcPr>
            <w:tcW w:w="276" w:type="pct"/>
            <w:vAlign w:val="center"/>
          </w:tcPr>
          <w:p w14:paraId="39C6619D">
            <w:pPr>
              <w:overflowPunct w:val="0"/>
              <w:jc w:val="center"/>
              <w:textAlignment w:val="center"/>
              <w:rPr>
                <w:rFonts w:ascii="Times New Roman" w:hAnsi="Times New Roman" w:cs="Times New Roman"/>
                <w:color w:val="auto"/>
                <w:kern w:val="2"/>
                <w:sz w:val="21"/>
                <w:lang w:eastAsia="zh-CN"/>
              </w:rPr>
            </w:pPr>
          </w:p>
        </w:tc>
        <w:tc>
          <w:tcPr>
            <w:tcW w:w="231" w:type="pct"/>
            <w:vMerge w:val="continue"/>
            <w:vAlign w:val="center"/>
          </w:tcPr>
          <w:p w14:paraId="0A9B9E2D">
            <w:pPr>
              <w:overflowPunct w:val="0"/>
              <w:jc w:val="center"/>
              <w:textAlignment w:val="center"/>
              <w:rPr>
                <w:rFonts w:ascii="Times New Roman" w:hAnsi="Times New Roman" w:cs="Times New Roman"/>
                <w:color w:val="EE0000"/>
                <w:sz w:val="21"/>
                <w:lang w:eastAsia="zh-CN" w:bidi="ar"/>
              </w:rPr>
            </w:pPr>
          </w:p>
        </w:tc>
        <w:tc>
          <w:tcPr>
            <w:tcW w:w="230" w:type="pct"/>
            <w:vMerge w:val="continue"/>
            <w:vAlign w:val="center"/>
          </w:tcPr>
          <w:p w14:paraId="0F0FEB88">
            <w:pPr>
              <w:overflowPunct w:val="0"/>
              <w:jc w:val="center"/>
              <w:textAlignment w:val="center"/>
              <w:rPr>
                <w:rFonts w:ascii="Times New Roman" w:hAnsi="Times New Roman" w:cs="Times New Roman"/>
                <w:color w:val="EE0000"/>
                <w:sz w:val="21"/>
                <w:lang w:eastAsia="zh-CN" w:bidi="ar"/>
              </w:rPr>
            </w:pPr>
          </w:p>
        </w:tc>
        <w:tc>
          <w:tcPr>
            <w:tcW w:w="276" w:type="pct"/>
            <w:noWrap/>
            <w:vAlign w:val="center"/>
          </w:tcPr>
          <w:p w14:paraId="70CB894F">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noWrap/>
            <w:vAlign w:val="center"/>
          </w:tcPr>
          <w:p w14:paraId="4B5F91C9">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vAlign w:val="center"/>
          </w:tcPr>
          <w:p w14:paraId="2C68B00D">
            <w:pPr>
              <w:jc w:val="center"/>
              <w:textAlignment w:val="center"/>
              <w:rPr>
                <w:rFonts w:ascii="Times New Roman" w:hAnsi="Times New Roman" w:cs="Times New Roman"/>
                <w:color w:val="auto"/>
                <w:sz w:val="21"/>
                <w:lang w:eastAsia="zh-CN"/>
              </w:rPr>
            </w:pPr>
          </w:p>
        </w:tc>
        <w:tc>
          <w:tcPr>
            <w:tcW w:w="323" w:type="pct"/>
            <w:vMerge w:val="continue"/>
            <w:vAlign w:val="center"/>
          </w:tcPr>
          <w:p w14:paraId="4736A901">
            <w:pPr>
              <w:overflowPunct w:val="0"/>
              <w:jc w:val="center"/>
              <w:rPr>
                <w:rFonts w:ascii="Times New Roman" w:hAnsi="Times New Roman" w:cs="Times New Roman"/>
                <w:color w:val="auto"/>
                <w:sz w:val="21"/>
                <w:lang w:eastAsia="zh-CN"/>
              </w:rPr>
            </w:pPr>
          </w:p>
        </w:tc>
        <w:tc>
          <w:tcPr>
            <w:tcW w:w="276" w:type="pct"/>
            <w:vMerge w:val="continue"/>
            <w:vAlign w:val="center"/>
          </w:tcPr>
          <w:p w14:paraId="16FE73BE">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3AAAF479">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4B71A57D">
            <w:pPr>
              <w:overflowPunct w:val="0"/>
              <w:jc w:val="center"/>
              <w:textAlignment w:val="center"/>
              <w:rPr>
                <w:rFonts w:ascii="Times New Roman" w:hAnsi="Times New Roman" w:cs="Times New Roman"/>
                <w:color w:val="auto"/>
                <w:sz w:val="21"/>
                <w:lang w:eastAsia="zh-CN"/>
              </w:rPr>
            </w:pPr>
          </w:p>
        </w:tc>
        <w:tc>
          <w:tcPr>
            <w:tcW w:w="276" w:type="pct"/>
            <w:vMerge w:val="continue"/>
            <w:shd w:val="clear" w:color="auto" w:fill="FFFFFF"/>
            <w:vAlign w:val="center"/>
          </w:tcPr>
          <w:p w14:paraId="61E69CF3">
            <w:pPr>
              <w:overflowPunct w:val="0"/>
              <w:jc w:val="center"/>
              <w:textAlignment w:val="center"/>
              <w:rPr>
                <w:rFonts w:ascii="Times New Roman" w:hAnsi="Times New Roman" w:cs="Times New Roman"/>
                <w:color w:val="auto"/>
                <w:sz w:val="21"/>
                <w:lang w:eastAsia="zh-CN"/>
              </w:rPr>
            </w:pPr>
          </w:p>
        </w:tc>
        <w:tc>
          <w:tcPr>
            <w:tcW w:w="277" w:type="pct"/>
            <w:vMerge w:val="continue"/>
            <w:vAlign w:val="center"/>
          </w:tcPr>
          <w:p w14:paraId="67200FBC">
            <w:pPr>
              <w:overflowPunct w:val="0"/>
              <w:jc w:val="center"/>
              <w:textAlignment w:val="center"/>
              <w:rPr>
                <w:rFonts w:ascii="Times New Roman" w:hAnsi="Times New Roman" w:cs="Times New Roman"/>
                <w:color w:val="auto"/>
                <w:sz w:val="21"/>
                <w:lang w:eastAsia="zh-CN"/>
              </w:rPr>
            </w:pPr>
          </w:p>
        </w:tc>
        <w:tc>
          <w:tcPr>
            <w:tcW w:w="276" w:type="pct"/>
            <w:vMerge w:val="continue"/>
            <w:vAlign w:val="center"/>
          </w:tcPr>
          <w:p w14:paraId="540889FE">
            <w:pPr>
              <w:overflowPunct w:val="0"/>
              <w:jc w:val="center"/>
              <w:textAlignment w:val="center"/>
              <w:rPr>
                <w:rFonts w:ascii="Times New Roman" w:hAnsi="Times New Roman" w:cs="Times New Roman"/>
                <w:color w:val="auto"/>
                <w:sz w:val="21"/>
                <w:lang w:eastAsia="zh-CN"/>
              </w:rPr>
            </w:pPr>
          </w:p>
        </w:tc>
        <w:tc>
          <w:tcPr>
            <w:tcW w:w="280" w:type="pct"/>
            <w:vMerge w:val="continue"/>
            <w:vAlign w:val="center"/>
          </w:tcPr>
          <w:p w14:paraId="66A2C849">
            <w:pPr>
              <w:overflowPunct w:val="0"/>
              <w:jc w:val="center"/>
              <w:textAlignment w:val="center"/>
              <w:rPr>
                <w:rFonts w:ascii="Times New Roman" w:hAnsi="Times New Roman" w:cs="Times New Roman"/>
                <w:color w:val="auto"/>
                <w:sz w:val="21"/>
                <w:lang w:eastAsia="zh-CN"/>
              </w:rPr>
            </w:pPr>
          </w:p>
        </w:tc>
        <w:tc>
          <w:tcPr>
            <w:tcW w:w="143" w:type="pct"/>
            <w:vMerge w:val="continue"/>
            <w:vAlign w:val="center"/>
          </w:tcPr>
          <w:p w14:paraId="0DEA91C2">
            <w:pPr>
              <w:overflowPunct w:val="0"/>
              <w:jc w:val="center"/>
              <w:rPr>
                <w:rFonts w:ascii="Times New Roman" w:hAnsi="Times New Roman" w:cs="Times New Roman"/>
                <w:color w:val="auto"/>
                <w:sz w:val="21"/>
                <w:lang w:eastAsia="zh-CN"/>
              </w:rPr>
            </w:pPr>
          </w:p>
        </w:tc>
        <w:tc>
          <w:tcPr>
            <w:tcW w:w="203" w:type="pct"/>
            <w:vMerge w:val="continue"/>
            <w:vAlign w:val="center"/>
          </w:tcPr>
          <w:p w14:paraId="7AE66EE7">
            <w:pPr>
              <w:overflowPunct w:val="0"/>
              <w:jc w:val="center"/>
              <w:rPr>
                <w:rFonts w:ascii="Times New Roman" w:hAnsi="Times New Roman" w:cs="Times New Roman"/>
                <w:color w:val="auto"/>
                <w:sz w:val="21"/>
                <w:lang w:eastAsia="zh-CN"/>
              </w:rPr>
            </w:pPr>
          </w:p>
        </w:tc>
      </w:tr>
      <w:tr w14:paraId="5589289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461" w:type="pct"/>
            <w:gridSpan w:val="2"/>
            <w:vMerge w:val="restart"/>
            <w:vAlign w:val="center"/>
          </w:tcPr>
          <w:p w14:paraId="3D039C5E">
            <w:pPr>
              <w:overflowPunct w:val="0"/>
              <w:jc w:val="center"/>
              <w:rPr>
                <w:rFonts w:ascii="Times New Roman" w:hAnsi="Times New Roman" w:cs="Times New Roman"/>
                <w:color w:val="auto"/>
                <w:sz w:val="21"/>
                <w:lang w:eastAsia="zh-CN"/>
              </w:rPr>
            </w:pPr>
          </w:p>
        </w:tc>
        <w:tc>
          <w:tcPr>
            <w:tcW w:w="368" w:type="pct"/>
            <w:vMerge w:val="restart"/>
            <w:vAlign w:val="center"/>
          </w:tcPr>
          <w:p w14:paraId="4E9298C4">
            <w:pPr>
              <w:overflowPunct w:val="0"/>
              <w:jc w:val="center"/>
              <w:textAlignment w:val="center"/>
              <w:rPr>
                <w:rFonts w:ascii="Times New Roman" w:hAnsi="Times New Roman" w:cs="Times New Roman"/>
                <w:color w:val="auto"/>
                <w:sz w:val="21"/>
                <w:lang w:eastAsia="zh-CN"/>
              </w:rPr>
            </w:pPr>
          </w:p>
        </w:tc>
        <w:tc>
          <w:tcPr>
            <w:tcW w:w="276" w:type="pct"/>
            <w:vAlign w:val="center"/>
          </w:tcPr>
          <w:p w14:paraId="68FB7024">
            <w:pPr>
              <w:overflowPunct w:val="0"/>
              <w:jc w:val="center"/>
              <w:textAlignment w:val="center"/>
              <w:rPr>
                <w:rFonts w:ascii="Times New Roman" w:hAnsi="Times New Roman" w:cs="Times New Roman"/>
                <w:color w:val="auto"/>
                <w:sz w:val="21"/>
                <w:lang w:eastAsia="zh-CN"/>
              </w:rPr>
            </w:pPr>
          </w:p>
        </w:tc>
        <w:tc>
          <w:tcPr>
            <w:tcW w:w="231" w:type="pct"/>
            <w:vMerge w:val="restart"/>
            <w:vAlign w:val="center"/>
          </w:tcPr>
          <w:p w14:paraId="110A0639">
            <w:pPr>
              <w:overflowPunct w:val="0"/>
              <w:jc w:val="center"/>
              <w:textAlignment w:val="center"/>
              <w:rPr>
                <w:rFonts w:ascii="Times New Roman" w:hAnsi="Times New Roman" w:cs="Times New Roman"/>
                <w:color w:val="auto"/>
                <w:sz w:val="21"/>
                <w:lang w:eastAsia="zh-CN" w:bidi="ar"/>
              </w:rPr>
            </w:pPr>
          </w:p>
        </w:tc>
        <w:tc>
          <w:tcPr>
            <w:tcW w:w="230" w:type="pct"/>
            <w:vMerge w:val="restart"/>
            <w:vAlign w:val="center"/>
          </w:tcPr>
          <w:p w14:paraId="489D76D3">
            <w:pPr>
              <w:overflowPunct w:val="0"/>
              <w:jc w:val="center"/>
              <w:textAlignment w:val="center"/>
              <w:rPr>
                <w:rFonts w:ascii="Times New Roman" w:hAnsi="Times New Roman" w:cs="Times New Roman"/>
                <w:color w:val="auto"/>
                <w:sz w:val="21"/>
                <w:lang w:eastAsia="zh-CN" w:bidi="ar"/>
              </w:rPr>
            </w:pPr>
          </w:p>
        </w:tc>
        <w:tc>
          <w:tcPr>
            <w:tcW w:w="276" w:type="pct"/>
            <w:noWrap/>
            <w:vAlign w:val="center"/>
          </w:tcPr>
          <w:p w14:paraId="5BE44661">
            <w:pPr>
              <w:overflowPunct w:val="0"/>
              <w:jc w:val="center"/>
              <w:textAlignment w:val="center"/>
              <w:rPr>
                <w:rFonts w:ascii="Times New Roman" w:hAnsi="Times New Roman" w:cs="Times New Roman"/>
                <w:color w:val="auto"/>
                <w:sz w:val="21"/>
                <w:lang w:eastAsia="zh-CN"/>
              </w:rPr>
            </w:pPr>
          </w:p>
        </w:tc>
        <w:tc>
          <w:tcPr>
            <w:tcW w:w="276" w:type="pct"/>
            <w:noWrap/>
            <w:vAlign w:val="center"/>
          </w:tcPr>
          <w:p w14:paraId="5F6CED40">
            <w:pPr>
              <w:overflowPunct w:val="0"/>
              <w:jc w:val="center"/>
              <w:textAlignment w:val="center"/>
              <w:rPr>
                <w:rFonts w:ascii="Times New Roman" w:hAnsi="Times New Roman" w:cs="Times New Roman"/>
                <w:color w:val="auto"/>
                <w:sz w:val="21"/>
                <w:lang w:eastAsia="zh-CN"/>
              </w:rPr>
            </w:pPr>
          </w:p>
        </w:tc>
        <w:tc>
          <w:tcPr>
            <w:tcW w:w="276" w:type="pct"/>
            <w:vAlign w:val="center"/>
          </w:tcPr>
          <w:p w14:paraId="70D68D4F">
            <w:pPr>
              <w:overflowPunct w:val="0"/>
              <w:jc w:val="center"/>
              <w:textAlignment w:val="center"/>
              <w:rPr>
                <w:rFonts w:ascii="Times New Roman" w:hAnsi="Times New Roman" w:cs="Times New Roman"/>
                <w:bCs/>
                <w:color w:val="auto"/>
                <w:sz w:val="21"/>
                <w:lang w:eastAsia="zh-CN"/>
              </w:rPr>
            </w:pPr>
          </w:p>
        </w:tc>
        <w:tc>
          <w:tcPr>
            <w:tcW w:w="323" w:type="pct"/>
            <w:vMerge w:val="continue"/>
            <w:vAlign w:val="center"/>
          </w:tcPr>
          <w:p w14:paraId="71F80077">
            <w:pPr>
              <w:overflowPunct w:val="0"/>
              <w:jc w:val="center"/>
              <w:rPr>
                <w:rFonts w:ascii="Times New Roman" w:hAnsi="Times New Roman" w:cs="Times New Roman"/>
                <w:color w:val="auto"/>
                <w:sz w:val="21"/>
                <w:lang w:eastAsia="zh-CN"/>
              </w:rPr>
            </w:pPr>
          </w:p>
        </w:tc>
        <w:tc>
          <w:tcPr>
            <w:tcW w:w="276" w:type="pct"/>
            <w:vMerge w:val="continue"/>
            <w:vAlign w:val="center"/>
          </w:tcPr>
          <w:p w14:paraId="5236BD4E">
            <w:pPr>
              <w:overflowPunct w:val="0"/>
              <w:jc w:val="center"/>
              <w:rPr>
                <w:rFonts w:ascii="Times New Roman" w:hAnsi="Times New Roman" w:cs="Times New Roman"/>
                <w:color w:val="auto"/>
                <w:sz w:val="21"/>
                <w:lang w:eastAsia="zh-CN"/>
              </w:rPr>
            </w:pPr>
          </w:p>
        </w:tc>
        <w:tc>
          <w:tcPr>
            <w:tcW w:w="276" w:type="pct"/>
            <w:vMerge w:val="continue"/>
            <w:vAlign w:val="center"/>
          </w:tcPr>
          <w:p w14:paraId="19093EB7">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12B7C31B">
            <w:pPr>
              <w:overflowPunct w:val="0"/>
              <w:jc w:val="center"/>
              <w:textAlignment w:val="center"/>
              <w:rPr>
                <w:rFonts w:ascii="Times New Roman" w:hAnsi="Times New Roman" w:cs="Times New Roman"/>
                <w:color w:val="auto"/>
                <w:sz w:val="21"/>
                <w:lang w:eastAsia="zh-CN" w:bidi="ar"/>
              </w:rPr>
            </w:pPr>
          </w:p>
        </w:tc>
        <w:tc>
          <w:tcPr>
            <w:tcW w:w="276" w:type="pct"/>
            <w:vMerge w:val="continue"/>
            <w:shd w:val="clear" w:color="auto" w:fill="FFFFFF"/>
            <w:vAlign w:val="center"/>
          </w:tcPr>
          <w:p w14:paraId="2EC4A75F">
            <w:pPr>
              <w:overflowPunct w:val="0"/>
              <w:jc w:val="center"/>
              <w:textAlignment w:val="center"/>
              <w:rPr>
                <w:rFonts w:ascii="Times New Roman" w:hAnsi="Times New Roman" w:cs="Times New Roman"/>
                <w:color w:val="auto"/>
                <w:sz w:val="21"/>
                <w:lang w:eastAsia="zh-CN" w:bidi="ar"/>
              </w:rPr>
            </w:pPr>
          </w:p>
        </w:tc>
        <w:tc>
          <w:tcPr>
            <w:tcW w:w="277" w:type="pct"/>
            <w:vMerge w:val="continue"/>
            <w:noWrap/>
            <w:vAlign w:val="center"/>
          </w:tcPr>
          <w:p w14:paraId="4955A2B4">
            <w:pPr>
              <w:overflowPunct w:val="0"/>
              <w:jc w:val="center"/>
              <w:textAlignment w:val="center"/>
              <w:rPr>
                <w:rFonts w:ascii="Times New Roman" w:hAnsi="Times New Roman" w:cs="Times New Roman"/>
                <w:color w:val="auto"/>
                <w:sz w:val="21"/>
                <w:lang w:eastAsia="zh-CN" w:bidi="ar"/>
              </w:rPr>
            </w:pPr>
          </w:p>
        </w:tc>
        <w:tc>
          <w:tcPr>
            <w:tcW w:w="276" w:type="pct"/>
            <w:vMerge w:val="continue"/>
            <w:noWrap/>
            <w:vAlign w:val="center"/>
          </w:tcPr>
          <w:p w14:paraId="754FC042">
            <w:pPr>
              <w:overflowPunct w:val="0"/>
              <w:jc w:val="center"/>
              <w:textAlignment w:val="center"/>
              <w:rPr>
                <w:rFonts w:ascii="Times New Roman" w:hAnsi="Times New Roman" w:cs="Times New Roman"/>
                <w:color w:val="auto"/>
                <w:sz w:val="21"/>
                <w:lang w:eastAsia="zh-CN" w:bidi="ar"/>
              </w:rPr>
            </w:pPr>
          </w:p>
        </w:tc>
        <w:tc>
          <w:tcPr>
            <w:tcW w:w="280" w:type="pct"/>
            <w:vMerge w:val="continue"/>
            <w:noWrap/>
            <w:vAlign w:val="center"/>
          </w:tcPr>
          <w:p w14:paraId="0F8FA143">
            <w:pPr>
              <w:overflowPunct w:val="0"/>
              <w:jc w:val="center"/>
              <w:textAlignment w:val="center"/>
              <w:rPr>
                <w:rFonts w:ascii="Times New Roman" w:hAnsi="Times New Roman" w:cs="Times New Roman"/>
                <w:color w:val="auto"/>
                <w:sz w:val="21"/>
                <w:lang w:eastAsia="zh-CN" w:bidi="ar"/>
              </w:rPr>
            </w:pPr>
          </w:p>
        </w:tc>
        <w:tc>
          <w:tcPr>
            <w:tcW w:w="143" w:type="pct"/>
            <w:vMerge w:val="continue"/>
            <w:noWrap/>
            <w:vAlign w:val="center"/>
          </w:tcPr>
          <w:p w14:paraId="142A2F6E">
            <w:pPr>
              <w:overflowPunct w:val="0"/>
              <w:jc w:val="center"/>
              <w:rPr>
                <w:rFonts w:ascii="Times New Roman" w:hAnsi="Times New Roman" w:cs="Times New Roman"/>
                <w:color w:val="auto"/>
                <w:sz w:val="21"/>
                <w:lang w:eastAsia="zh-CN"/>
              </w:rPr>
            </w:pPr>
          </w:p>
        </w:tc>
        <w:tc>
          <w:tcPr>
            <w:tcW w:w="203" w:type="pct"/>
            <w:vMerge w:val="continue"/>
            <w:noWrap/>
            <w:vAlign w:val="center"/>
          </w:tcPr>
          <w:p w14:paraId="316A4942">
            <w:pPr>
              <w:overflowPunct w:val="0"/>
              <w:jc w:val="center"/>
              <w:rPr>
                <w:rFonts w:ascii="Times New Roman" w:hAnsi="Times New Roman" w:cs="Times New Roman"/>
                <w:color w:val="auto"/>
                <w:sz w:val="21"/>
                <w:lang w:eastAsia="zh-CN"/>
              </w:rPr>
            </w:pPr>
          </w:p>
        </w:tc>
      </w:tr>
      <w:tr w14:paraId="48EC67A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461" w:type="pct"/>
            <w:gridSpan w:val="2"/>
            <w:vMerge w:val="continue"/>
            <w:vAlign w:val="center"/>
          </w:tcPr>
          <w:p w14:paraId="09E70ADE">
            <w:pPr>
              <w:overflowPunct w:val="0"/>
              <w:jc w:val="center"/>
              <w:rPr>
                <w:rFonts w:ascii="Times New Roman" w:hAnsi="Times New Roman" w:cs="Times New Roman"/>
                <w:color w:val="auto"/>
                <w:sz w:val="21"/>
                <w:lang w:eastAsia="zh-CN"/>
              </w:rPr>
            </w:pPr>
          </w:p>
        </w:tc>
        <w:tc>
          <w:tcPr>
            <w:tcW w:w="368" w:type="pct"/>
            <w:vMerge w:val="continue"/>
            <w:vAlign w:val="center"/>
          </w:tcPr>
          <w:p w14:paraId="7F988A3C">
            <w:pPr>
              <w:overflowPunct w:val="0"/>
              <w:jc w:val="center"/>
              <w:textAlignment w:val="center"/>
              <w:rPr>
                <w:rFonts w:ascii="Times New Roman" w:hAnsi="Times New Roman" w:cs="Times New Roman"/>
                <w:color w:val="auto"/>
                <w:sz w:val="21"/>
                <w:lang w:eastAsia="zh-CN"/>
              </w:rPr>
            </w:pPr>
          </w:p>
        </w:tc>
        <w:tc>
          <w:tcPr>
            <w:tcW w:w="276" w:type="pct"/>
            <w:vAlign w:val="center"/>
          </w:tcPr>
          <w:p w14:paraId="19FC2AB7">
            <w:pPr>
              <w:overflowPunct w:val="0"/>
              <w:jc w:val="center"/>
              <w:textAlignment w:val="center"/>
              <w:rPr>
                <w:rFonts w:ascii="Times New Roman" w:hAnsi="Times New Roman" w:cs="Times New Roman"/>
                <w:color w:val="auto"/>
                <w:sz w:val="21"/>
                <w:lang w:eastAsia="zh-CN"/>
              </w:rPr>
            </w:pPr>
          </w:p>
        </w:tc>
        <w:tc>
          <w:tcPr>
            <w:tcW w:w="231" w:type="pct"/>
            <w:vMerge w:val="continue"/>
            <w:vAlign w:val="center"/>
          </w:tcPr>
          <w:p w14:paraId="79FF7F53">
            <w:pPr>
              <w:overflowPunct w:val="0"/>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30" w:type="pct"/>
            <w:vMerge w:val="continue"/>
            <w:vAlign w:val="center"/>
          </w:tcPr>
          <w:p w14:paraId="59C492FB">
            <w:pPr>
              <w:overflowPunct w:val="0"/>
              <w:jc w:val="center"/>
              <w:textAlignment w:val="center"/>
              <w:rPr>
                <w:rFonts w:ascii="Times New Roman" w:hAnsi="Times New Roman" w:cs="Times New Roman"/>
                <w:color w:val="auto"/>
                <w:sz w:val="21"/>
                <w:lang w:eastAsia="zh-CN" w:bidi="ar"/>
              </w:rPr>
            </w:pPr>
          </w:p>
        </w:tc>
        <w:tc>
          <w:tcPr>
            <w:tcW w:w="276" w:type="pct"/>
            <w:noWrap/>
            <w:vAlign w:val="center"/>
          </w:tcPr>
          <w:p w14:paraId="65477C86">
            <w:pPr>
              <w:overflowPunct w:val="0"/>
              <w:jc w:val="center"/>
              <w:textAlignment w:val="center"/>
              <w:rPr>
                <w:rFonts w:ascii="Times New Roman" w:hAnsi="Times New Roman" w:cs="Times New Roman"/>
                <w:color w:val="auto"/>
                <w:sz w:val="21"/>
                <w:lang w:eastAsia="zh-CN"/>
              </w:rPr>
            </w:pPr>
          </w:p>
        </w:tc>
        <w:tc>
          <w:tcPr>
            <w:tcW w:w="276" w:type="pct"/>
            <w:noWrap/>
            <w:vAlign w:val="center"/>
          </w:tcPr>
          <w:p w14:paraId="02811C9D">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vAlign w:val="center"/>
          </w:tcPr>
          <w:p w14:paraId="2E337725">
            <w:pPr>
              <w:overflowPunct w:val="0"/>
              <w:jc w:val="center"/>
              <w:textAlignment w:val="center"/>
              <w:rPr>
                <w:rFonts w:ascii="Times New Roman" w:hAnsi="Times New Roman" w:cs="Times New Roman"/>
                <w:bCs/>
                <w:color w:val="auto"/>
                <w:sz w:val="21"/>
                <w:lang w:eastAsia="zh-CN"/>
              </w:rPr>
            </w:pPr>
          </w:p>
        </w:tc>
        <w:tc>
          <w:tcPr>
            <w:tcW w:w="323" w:type="pct"/>
            <w:vMerge w:val="continue"/>
            <w:vAlign w:val="center"/>
          </w:tcPr>
          <w:p w14:paraId="076EA48F">
            <w:pPr>
              <w:overflowPunct w:val="0"/>
              <w:jc w:val="center"/>
              <w:rPr>
                <w:rFonts w:ascii="Times New Roman" w:hAnsi="Times New Roman" w:cs="Times New Roman"/>
                <w:bCs/>
                <w:color w:val="auto"/>
                <w:sz w:val="21"/>
                <w:lang w:eastAsia="zh-CN"/>
              </w:rPr>
            </w:pPr>
          </w:p>
        </w:tc>
        <w:tc>
          <w:tcPr>
            <w:tcW w:w="276" w:type="pct"/>
            <w:vMerge w:val="continue"/>
            <w:vAlign w:val="center"/>
          </w:tcPr>
          <w:p w14:paraId="3AABAB76">
            <w:pPr>
              <w:overflowPunct w:val="0"/>
              <w:jc w:val="center"/>
              <w:rPr>
                <w:rFonts w:ascii="Times New Roman" w:hAnsi="Times New Roman" w:cs="Times New Roman"/>
                <w:color w:val="auto"/>
                <w:sz w:val="21"/>
                <w:lang w:eastAsia="zh-CN"/>
              </w:rPr>
            </w:pPr>
          </w:p>
        </w:tc>
        <w:tc>
          <w:tcPr>
            <w:tcW w:w="276" w:type="pct"/>
            <w:vMerge w:val="continue"/>
            <w:vAlign w:val="center"/>
          </w:tcPr>
          <w:p w14:paraId="66DD9978">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5E5574FF">
            <w:pPr>
              <w:overflowPunct w:val="0"/>
              <w:jc w:val="center"/>
              <w:textAlignment w:val="center"/>
              <w:rPr>
                <w:rFonts w:ascii="Times New Roman" w:hAnsi="Times New Roman" w:cs="Times New Roman"/>
                <w:color w:val="auto"/>
                <w:sz w:val="21"/>
                <w:lang w:eastAsia="zh-CN" w:bidi="ar"/>
              </w:rPr>
            </w:pPr>
          </w:p>
        </w:tc>
        <w:tc>
          <w:tcPr>
            <w:tcW w:w="276" w:type="pct"/>
            <w:vMerge w:val="continue"/>
            <w:shd w:val="clear" w:color="auto" w:fill="FFFFFF"/>
            <w:vAlign w:val="center"/>
          </w:tcPr>
          <w:p w14:paraId="0F7643C4">
            <w:pPr>
              <w:overflowPunct w:val="0"/>
              <w:jc w:val="center"/>
              <w:textAlignment w:val="center"/>
              <w:rPr>
                <w:rFonts w:ascii="Times New Roman" w:hAnsi="Times New Roman" w:cs="Times New Roman"/>
                <w:color w:val="auto"/>
                <w:sz w:val="21"/>
                <w:lang w:eastAsia="zh-CN" w:bidi="ar"/>
              </w:rPr>
            </w:pPr>
          </w:p>
        </w:tc>
        <w:tc>
          <w:tcPr>
            <w:tcW w:w="277" w:type="pct"/>
            <w:vMerge w:val="continue"/>
            <w:noWrap/>
            <w:vAlign w:val="center"/>
          </w:tcPr>
          <w:p w14:paraId="4712639C">
            <w:pPr>
              <w:overflowPunct w:val="0"/>
              <w:jc w:val="center"/>
              <w:textAlignment w:val="center"/>
              <w:rPr>
                <w:rFonts w:ascii="Times New Roman" w:hAnsi="Times New Roman" w:cs="Times New Roman"/>
                <w:color w:val="auto"/>
                <w:sz w:val="21"/>
                <w:lang w:eastAsia="zh-CN" w:bidi="ar"/>
              </w:rPr>
            </w:pPr>
          </w:p>
        </w:tc>
        <w:tc>
          <w:tcPr>
            <w:tcW w:w="276" w:type="pct"/>
            <w:vMerge w:val="continue"/>
            <w:noWrap/>
            <w:vAlign w:val="center"/>
          </w:tcPr>
          <w:p w14:paraId="2784345C">
            <w:pPr>
              <w:overflowPunct w:val="0"/>
              <w:jc w:val="center"/>
              <w:textAlignment w:val="center"/>
              <w:rPr>
                <w:rFonts w:ascii="Times New Roman" w:hAnsi="Times New Roman" w:cs="Times New Roman"/>
                <w:color w:val="auto"/>
                <w:sz w:val="21"/>
                <w:lang w:eastAsia="zh-CN" w:bidi="ar"/>
              </w:rPr>
            </w:pPr>
          </w:p>
        </w:tc>
        <w:tc>
          <w:tcPr>
            <w:tcW w:w="280" w:type="pct"/>
            <w:vMerge w:val="continue"/>
            <w:noWrap/>
            <w:vAlign w:val="center"/>
          </w:tcPr>
          <w:p w14:paraId="15D97B5A">
            <w:pPr>
              <w:overflowPunct w:val="0"/>
              <w:jc w:val="center"/>
              <w:textAlignment w:val="center"/>
              <w:rPr>
                <w:rFonts w:ascii="Times New Roman" w:hAnsi="Times New Roman" w:cs="Times New Roman"/>
                <w:color w:val="auto"/>
                <w:sz w:val="21"/>
                <w:lang w:eastAsia="zh-CN" w:bidi="ar"/>
              </w:rPr>
            </w:pPr>
          </w:p>
        </w:tc>
        <w:tc>
          <w:tcPr>
            <w:tcW w:w="143" w:type="pct"/>
            <w:vMerge w:val="continue"/>
            <w:noWrap/>
            <w:vAlign w:val="center"/>
          </w:tcPr>
          <w:p w14:paraId="535DDB93">
            <w:pPr>
              <w:overflowPunct w:val="0"/>
              <w:jc w:val="center"/>
              <w:rPr>
                <w:rFonts w:ascii="Times New Roman" w:hAnsi="Times New Roman" w:cs="Times New Roman"/>
                <w:color w:val="auto"/>
                <w:sz w:val="21"/>
                <w:lang w:eastAsia="zh-CN"/>
              </w:rPr>
            </w:pPr>
          </w:p>
        </w:tc>
        <w:tc>
          <w:tcPr>
            <w:tcW w:w="203" w:type="pct"/>
            <w:vMerge w:val="continue"/>
            <w:noWrap/>
            <w:vAlign w:val="center"/>
          </w:tcPr>
          <w:p w14:paraId="52BD72DD">
            <w:pPr>
              <w:overflowPunct w:val="0"/>
              <w:jc w:val="center"/>
              <w:rPr>
                <w:rFonts w:ascii="Times New Roman" w:hAnsi="Times New Roman" w:cs="Times New Roman"/>
                <w:color w:val="auto"/>
                <w:sz w:val="21"/>
                <w:lang w:eastAsia="zh-CN"/>
              </w:rPr>
            </w:pPr>
          </w:p>
        </w:tc>
      </w:tr>
      <w:tr w14:paraId="5A6866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461" w:type="pct"/>
            <w:gridSpan w:val="2"/>
            <w:vMerge w:val="continue"/>
            <w:vAlign w:val="center"/>
          </w:tcPr>
          <w:p w14:paraId="6D8A0D39">
            <w:pPr>
              <w:overflowPunct w:val="0"/>
              <w:jc w:val="center"/>
              <w:rPr>
                <w:rFonts w:ascii="Times New Roman" w:hAnsi="Times New Roman" w:cs="Times New Roman"/>
                <w:color w:val="auto"/>
                <w:sz w:val="21"/>
                <w:lang w:eastAsia="zh-CN"/>
              </w:rPr>
            </w:pPr>
          </w:p>
        </w:tc>
        <w:tc>
          <w:tcPr>
            <w:tcW w:w="368" w:type="pct"/>
            <w:vAlign w:val="center"/>
          </w:tcPr>
          <w:p w14:paraId="642A22CA">
            <w:pPr>
              <w:overflowPunct w:val="0"/>
              <w:jc w:val="center"/>
              <w:textAlignment w:val="center"/>
              <w:rPr>
                <w:rFonts w:ascii="Times New Roman" w:hAnsi="Times New Roman" w:cs="Times New Roman"/>
                <w:color w:val="auto"/>
                <w:sz w:val="21"/>
                <w:lang w:eastAsia="zh-CN"/>
              </w:rPr>
            </w:pPr>
          </w:p>
        </w:tc>
        <w:tc>
          <w:tcPr>
            <w:tcW w:w="276" w:type="pct"/>
            <w:vAlign w:val="center"/>
          </w:tcPr>
          <w:p w14:paraId="3F858C8E">
            <w:pPr>
              <w:overflowPunct w:val="0"/>
              <w:jc w:val="center"/>
              <w:textAlignment w:val="center"/>
              <w:rPr>
                <w:rFonts w:ascii="Times New Roman" w:hAnsi="Times New Roman" w:cs="Times New Roman"/>
                <w:color w:val="auto"/>
                <w:sz w:val="21"/>
                <w:lang w:eastAsia="zh-CN"/>
              </w:rPr>
            </w:pPr>
          </w:p>
        </w:tc>
        <w:tc>
          <w:tcPr>
            <w:tcW w:w="231" w:type="pct"/>
            <w:vMerge w:val="continue"/>
            <w:vAlign w:val="center"/>
          </w:tcPr>
          <w:p w14:paraId="016DF004">
            <w:pPr>
              <w:overflowPunct w:val="0"/>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30" w:type="pct"/>
            <w:vMerge w:val="continue"/>
            <w:vAlign w:val="center"/>
          </w:tcPr>
          <w:p w14:paraId="719D876B">
            <w:pPr>
              <w:overflowPunct w:val="0"/>
              <w:jc w:val="center"/>
              <w:textAlignment w:val="center"/>
              <w:rPr>
                <w:rFonts w:ascii="Times New Roman" w:hAnsi="Times New Roman" w:cs="Times New Roman"/>
                <w:color w:val="auto"/>
                <w:sz w:val="21"/>
                <w:lang w:eastAsia="zh-CN" w:bidi="ar"/>
              </w:rPr>
            </w:pPr>
          </w:p>
        </w:tc>
        <w:tc>
          <w:tcPr>
            <w:tcW w:w="276" w:type="pct"/>
            <w:noWrap/>
            <w:vAlign w:val="center"/>
          </w:tcPr>
          <w:p w14:paraId="4360F607">
            <w:pPr>
              <w:overflowPunct w:val="0"/>
              <w:jc w:val="center"/>
              <w:textAlignment w:val="center"/>
              <w:rPr>
                <w:rFonts w:ascii="Times New Roman" w:hAnsi="Times New Roman" w:cs="Times New Roman"/>
                <w:color w:val="auto"/>
                <w:sz w:val="21"/>
                <w:lang w:eastAsia="zh-CN"/>
              </w:rPr>
            </w:pPr>
          </w:p>
        </w:tc>
        <w:tc>
          <w:tcPr>
            <w:tcW w:w="276" w:type="pct"/>
            <w:noWrap/>
            <w:vAlign w:val="center"/>
          </w:tcPr>
          <w:p w14:paraId="79CB4DF8">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vAlign w:val="center"/>
          </w:tcPr>
          <w:p w14:paraId="077B24B9">
            <w:pPr>
              <w:overflowPunct w:val="0"/>
              <w:jc w:val="center"/>
              <w:textAlignment w:val="center"/>
              <w:rPr>
                <w:rFonts w:ascii="Times New Roman" w:hAnsi="Times New Roman" w:cs="Times New Roman"/>
                <w:bCs/>
                <w:color w:val="auto"/>
                <w:sz w:val="21"/>
                <w:lang w:eastAsia="zh-CN"/>
              </w:rPr>
            </w:pPr>
          </w:p>
        </w:tc>
        <w:tc>
          <w:tcPr>
            <w:tcW w:w="323" w:type="pct"/>
            <w:vMerge w:val="continue"/>
            <w:vAlign w:val="center"/>
          </w:tcPr>
          <w:p w14:paraId="1A3C89FA">
            <w:pPr>
              <w:overflowPunct w:val="0"/>
              <w:jc w:val="center"/>
              <w:rPr>
                <w:rFonts w:ascii="Times New Roman" w:hAnsi="Times New Roman" w:cs="Times New Roman"/>
                <w:bCs/>
                <w:color w:val="auto"/>
                <w:sz w:val="21"/>
                <w:lang w:eastAsia="zh-CN"/>
              </w:rPr>
            </w:pPr>
          </w:p>
        </w:tc>
        <w:tc>
          <w:tcPr>
            <w:tcW w:w="276" w:type="pct"/>
            <w:vMerge w:val="continue"/>
            <w:vAlign w:val="center"/>
          </w:tcPr>
          <w:p w14:paraId="1F85FB36">
            <w:pPr>
              <w:overflowPunct w:val="0"/>
              <w:jc w:val="center"/>
              <w:rPr>
                <w:rFonts w:ascii="Times New Roman" w:hAnsi="Times New Roman" w:cs="Times New Roman"/>
                <w:color w:val="auto"/>
                <w:sz w:val="21"/>
                <w:lang w:eastAsia="zh-CN"/>
              </w:rPr>
            </w:pPr>
          </w:p>
        </w:tc>
        <w:tc>
          <w:tcPr>
            <w:tcW w:w="276" w:type="pct"/>
            <w:vMerge w:val="continue"/>
            <w:vAlign w:val="center"/>
          </w:tcPr>
          <w:p w14:paraId="720313B7">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7B185028">
            <w:pPr>
              <w:overflowPunct w:val="0"/>
              <w:jc w:val="center"/>
              <w:textAlignment w:val="center"/>
              <w:rPr>
                <w:rFonts w:ascii="Times New Roman" w:hAnsi="Times New Roman" w:cs="Times New Roman"/>
                <w:color w:val="auto"/>
                <w:sz w:val="21"/>
                <w:lang w:eastAsia="zh-CN" w:bidi="ar"/>
              </w:rPr>
            </w:pPr>
          </w:p>
        </w:tc>
        <w:tc>
          <w:tcPr>
            <w:tcW w:w="276" w:type="pct"/>
            <w:vMerge w:val="continue"/>
            <w:shd w:val="clear" w:color="auto" w:fill="FFFFFF"/>
            <w:vAlign w:val="center"/>
          </w:tcPr>
          <w:p w14:paraId="6EC81852">
            <w:pPr>
              <w:overflowPunct w:val="0"/>
              <w:jc w:val="center"/>
              <w:textAlignment w:val="center"/>
              <w:rPr>
                <w:rFonts w:ascii="Times New Roman" w:hAnsi="Times New Roman" w:cs="Times New Roman"/>
                <w:color w:val="auto"/>
                <w:sz w:val="21"/>
                <w:lang w:eastAsia="zh-CN" w:bidi="ar"/>
              </w:rPr>
            </w:pPr>
          </w:p>
        </w:tc>
        <w:tc>
          <w:tcPr>
            <w:tcW w:w="277" w:type="pct"/>
            <w:vMerge w:val="continue"/>
            <w:noWrap/>
            <w:vAlign w:val="center"/>
          </w:tcPr>
          <w:p w14:paraId="0D5A037E">
            <w:pPr>
              <w:overflowPunct w:val="0"/>
              <w:jc w:val="center"/>
              <w:textAlignment w:val="center"/>
              <w:rPr>
                <w:rFonts w:ascii="Times New Roman" w:hAnsi="Times New Roman" w:cs="Times New Roman"/>
                <w:color w:val="auto"/>
                <w:sz w:val="21"/>
                <w:lang w:eastAsia="zh-CN" w:bidi="ar"/>
              </w:rPr>
            </w:pPr>
          </w:p>
        </w:tc>
        <w:tc>
          <w:tcPr>
            <w:tcW w:w="276" w:type="pct"/>
            <w:vMerge w:val="continue"/>
            <w:noWrap/>
            <w:vAlign w:val="center"/>
          </w:tcPr>
          <w:p w14:paraId="5144BC6F">
            <w:pPr>
              <w:overflowPunct w:val="0"/>
              <w:jc w:val="center"/>
              <w:textAlignment w:val="center"/>
              <w:rPr>
                <w:rFonts w:ascii="Times New Roman" w:hAnsi="Times New Roman" w:cs="Times New Roman"/>
                <w:color w:val="auto"/>
                <w:sz w:val="21"/>
                <w:lang w:eastAsia="zh-CN" w:bidi="ar"/>
              </w:rPr>
            </w:pPr>
          </w:p>
        </w:tc>
        <w:tc>
          <w:tcPr>
            <w:tcW w:w="280" w:type="pct"/>
            <w:vMerge w:val="continue"/>
            <w:noWrap/>
            <w:vAlign w:val="center"/>
          </w:tcPr>
          <w:p w14:paraId="54FDC8FD">
            <w:pPr>
              <w:overflowPunct w:val="0"/>
              <w:jc w:val="center"/>
              <w:textAlignment w:val="center"/>
              <w:rPr>
                <w:rFonts w:ascii="Times New Roman" w:hAnsi="Times New Roman" w:cs="Times New Roman"/>
                <w:color w:val="auto"/>
                <w:sz w:val="21"/>
                <w:lang w:eastAsia="zh-CN" w:bidi="ar"/>
              </w:rPr>
            </w:pPr>
          </w:p>
        </w:tc>
        <w:tc>
          <w:tcPr>
            <w:tcW w:w="143" w:type="pct"/>
            <w:vMerge w:val="continue"/>
            <w:noWrap/>
            <w:vAlign w:val="center"/>
          </w:tcPr>
          <w:p w14:paraId="27146382">
            <w:pPr>
              <w:overflowPunct w:val="0"/>
              <w:jc w:val="center"/>
              <w:rPr>
                <w:rFonts w:ascii="Times New Roman" w:hAnsi="Times New Roman" w:cs="Times New Roman"/>
                <w:color w:val="auto"/>
                <w:sz w:val="21"/>
                <w:lang w:eastAsia="zh-CN"/>
              </w:rPr>
            </w:pPr>
          </w:p>
        </w:tc>
        <w:tc>
          <w:tcPr>
            <w:tcW w:w="203" w:type="pct"/>
            <w:vMerge w:val="continue"/>
            <w:noWrap/>
            <w:vAlign w:val="center"/>
          </w:tcPr>
          <w:p w14:paraId="543A44A6">
            <w:pPr>
              <w:overflowPunct w:val="0"/>
              <w:jc w:val="center"/>
              <w:rPr>
                <w:rFonts w:ascii="Times New Roman" w:hAnsi="Times New Roman" w:cs="Times New Roman"/>
                <w:color w:val="auto"/>
                <w:sz w:val="21"/>
                <w:lang w:eastAsia="zh-CN"/>
              </w:rPr>
            </w:pPr>
          </w:p>
        </w:tc>
      </w:tr>
      <w:tr w14:paraId="1F60A7C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461" w:type="pct"/>
            <w:gridSpan w:val="2"/>
            <w:vMerge w:val="continue"/>
            <w:vAlign w:val="center"/>
          </w:tcPr>
          <w:p w14:paraId="3051EDBA">
            <w:pPr>
              <w:overflowPunct w:val="0"/>
              <w:jc w:val="center"/>
              <w:rPr>
                <w:rFonts w:ascii="Times New Roman" w:hAnsi="Times New Roman" w:cs="Times New Roman"/>
                <w:color w:val="auto"/>
                <w:sz w:val="21"/>
                <w:lang w:eastAsia="zh-CN"/>
              </w:rPr>
            </w:pPr>
          </w:p>
        </w:tc>
        <w:tc>
          <w:tcPr>
            <w:tcW w:w="368" w:type="pct"/>
            <w:vAlign w:val="center"/>
          </w:tcPr>
          <w:p w14:paraId="5219D3E8">
            <w:pPr>
              <w:overflowPunct w:val="0"/>
              <w:jc w:val="center"/>
              <w:textAlignment w:val="center"/>
              <w:rPr>
                <w:rFonts w:ascii="Times New Roman" w:hAnsi="Times New Roman" w:cs="Times New Roman"/>
                <w:color w:val="auto"/>
                <w:sz w:val="21"/>
                <w:lang w:eastAsia="zh-CN"/>
              </w:rPr>
            </w:pPr>
          </w:p>
        </w:tc>
        <w:tc>
          <w:tcPr>
            <w:tcW w:w="276" w:type="pct"/>
            <w:vAlign w:val="center"/>
          </w:tcPr>
          <w:p w14:paraId="43E3553B">
            <w:pPr>
              <w:overflowPunct w:val="0"/>
              <w:jc w:val="center"/>
              <w:textAlignment w:val="center"/>
              <w:rPr>
                <w:rFonts w:ascii="Times New Roman" w:hAnsi="Times New Roman" w:cs="Times New Roman"/>
                <w:color w:val="auto"/>
                <w:sz w:val="21"/>
                <w:lang w:eastAsia="zh-CN"/>
              </w:rPr>
            </w:pPr>
          </w:p>
        </w:tc>
        <w:tc>
          <w:tcPr>
            <w:tcW w:w="231" w:type="pct"/>
            <w:vMerge w:val="continue"/>
            <w:vAlign w:val="center"/>
          </w:tcPr>
          <w:p w14:paraId="03498C22">
            <w:pPr>
              <w:overflowPunct w:val="0"/>
              <w:jc w:val="center"/>
              <w:textAlignment w:val="center"/>
              <w:rPr>
                <w:rFonts w:ascii="Times New Roman" w:hAnsi="Times New Roman" w:cs="Times New Roman"/>
                <w:color w:val="auto"/>
                <w:sz w:val="21"/>
                <w:lang w:eastAsia="zh-CN" w:bidi="ar"/>
              </w:rPr>
            </w:pPr>
          </w:p>
        </w:tc>
        <w:tc>
          <w:tcPr>
            <w:tcW w:w="230" w:type="pct"/>
            <w:vMerge w:val="continue"/>
            <w:vAlign w:val="center"/>
          </w:tcPr>
          <w:p w14:paraId="3791A3B5">
            <w:pPr>
              <w:overflowPunct w:val="0"/>
              <w:jc w:val="center"/>
              <w:textAlignment w:val="center"/>
              <w:rPr>
                <w:rFonts w:ascii="Times New Roman" w:hAnsi="Times New Roman" w:cs="Times New Roman"/>
                <w:color w:val="auto"/>
                <w:sz w:val="21"/>
                <w:lang w:eastAsia="zh-CN" w:bidi="ar"/>
              </w:rPr>
            </w:pPr>
          </w:p>
        </w:tc>
        <w:tc>
          <w:tcPr>
            <w:tcW w:w="276" w:type="pct"/>
            <w:noWrap/>
            <w:vAlign w:val="center"/>
          </w:tcPr>
          <w:p w14:paraId="694228CD">
            <w:pPr>
              <w:overflowPunct w:val="0"/>
              <w:jc w:val="center"/>
              <w:textAlignment w:val="center"/>
              <w:rPr>
                <w:rFonts w:ascii="Times New Roman" w:hAnsi="Times New Roman" w:cs="Times New Roman"/>
                <w:color w:val="auto"/>
                <w:sz w:val="21"/>
                <w:lang w:eastAsia="zh-CN"/>
              </w:rPr>
            </w:pPr>
          </w:p>
        </w:tc>
        <w:tc>
          <w:tcPr>
            <w:tcW w:w="276" w:type="pct"/>
            <w:noWrap/>
            <w:vAlign w:val="center"/>
          </w:tcPr>
          <w:p w14:paraId="2A242D58">
            <w:pPr>
              <w:overflowPunct w:val="0"/>
              <w:jc w:val="center"/>
              <w:textAlignment w:val="center"/>
              <w:rPr>
                <w:rFonts w:ascii="Times New Roman" w:hAnsi="Times New Roman" w:cs="Times New Roman"/>
                <w:color w:val="auto"/>
                <w:sz w:val="21"/>
                <w:lang w:eastAsia="zh-CN"/>
              </w:rPr>
            </w:pPr>
          </w:p>
        </w:tc>
        <w:tc>
          <w:tcPr>
            <w:tcW w:w="276" w:type="pct"/>
            <w:vAlign w:val="center"/>
          </w:tcPr>
          <w:p w14:paraId="48EC5FE3">
            <w:pPr>
              <w:overflowPunct w:val="0"/>
              <w:jc w:val="center"/>
              <w:textAlignment w:val="center"/>
              <w:rPr>
                <w:rFonts w:ascii="Times New Roman" w:hAnsi="Times New Roman" w:cs="Times New Roman"/>
                <w:bCs/>
                <w:color w:val="auto"/>
                <w:sz w:val="21"/>
                <w:lang w:eastAsia="zh-CN"/>
              </w:rPr>
            </w:pPr>
          </w:p>
        </w:tc>
        <w:tc>
          <w:tcPr>
            <w:tcW w:w="323" w:type="pct"/>
            <w:vMerge w:val="continue"/>
            <w:vAlign w:val="center"/>
          </w:tcPr>
          <w:p w14:paraId="2F2755EB">
            <w:pPr>
              <w:overflowPunct w:val="0"/>
              <w:jc w:val="center"/>
              <w:rPr>
                <w:rFonts w:ascii="Times New Roman" w:hAnsi="Times New Roman" w:cs="Times New Roman"/>
                <w:color w:val="auto"/>
                <w:sz w:val="21"/>
                <w:lang w:eastAsia="zh-CN"/>
              </w:rPr>
            </w:pPr>
          </w:p>
        </w:tc>
        <w:tc>
          <w:tcPr>
            <w:tcW w:w="276" w:type="pct"/>
            <w:vMerge w:val="continue"/>
            <w:vAlign w:val="center"/>
          </w:tcPr>
          <w:p w14:paraId="1317D2AB">
            <w:pPr>
              <w:overflowPunct w:val="0"/>
              <w:jc w:val="center"/>
              <w:rPr>
                <w:rFonts w:ascii="Times New Roman" w:hAnsi="Times New Roman" w:cs="Times New Roman"/>
                <w:color w:val="auto"/>
                <w:sz w:val="21"/>
                <w:lang w:eastAsia="zh-CN"/>
              </w:rPr>
            </w:pPr>
          </w:p>
        </w:tc>
        <w:tc>
          <w:tcPr>
            <w:tcW w:w="276" w:type="pct"/>
            <w:vMerge w:val="continue"/>
            <w:vAlign w:val="center"/>
          </w:tcPr>
          <w:p w14:paraId="13F9A9BD">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6BF1734D">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28E1414B">
            <w:pPr>
              <w:overflowPunct w:val="0"/>
              <w:jc w:val="center"/>
              <w:rPr>
                <w:rFonts w:ascii="Times New Roman" w:hAnsi="Times New Roman" w:cs="Times New Roman"/>
                <w:color w:val="auto"/>
                <w:sz w:val="21"/>
                <w:lang w:eastAsia="zh-CN" w:bidi="ar"/>
              </w:rPr>
            </w:pPr>
          </w:p>
        </w:tc>
        <w:tc>
          <w:tcPr>
            <w:tcW w:w="277" w:type="pct"/>
            <w:vMerge w:val="continue"/>
            <w:noWrap/>
            <w:vAlign w:val="center"/>
          </w:tcPr>
          <w:p w14:paraId="64929882">
            <w:pPr>
              <w:overflowPunct w:val="0"/>
              <w:jc w:val="center"/>
              <w:rPr>
                <w:rFonts w:ascii="Times New Roman" w:hAnsi="Times New Roman" w:cs="Times New Roman"/>
                <w:color w:val="auto"/>
                <w:sz w:val="21"/>
                <w:lang w:eastAsia="zh-CN" w:bidi="ar"/>
              </w:rPr>
            </w:pPr>
          </w:p>
        </w:tc>
        <w:tc>
          <w:tcPr>
            <w:tcW w:w="276" w:type="pct"/>
            <w:vMerge w:val="continue"/>
            <w:noWrap/>
            <w:vAlign w:val="center"/>
          </w:tcPr>
          <w:p w14:paraId="66F1B141">
            <w:pPr>
              <w:overflowPunct w:val="0"/>
              <w:jc w:val="center"/>
              <w:rPr>
                <w:rFonts w:ascii="Times New Roman" w:hAnsi="Times New Roman" w:cs="Times New Roman"/>
                <w:color w:val="auto"/>
                <w:sz w:val="21"/>
                <w:lang w:eastAsia="zh-CN"/>
              </w:rPr>
            </w:pPr>
          </w:p>
        </w:tc>
        <w:tc>
          <w:tcPr>
            <w:tcW w:w="280" w:type="pct"/>
            <w:vMerge w:val="continue"/>
            <w:noWrap/>
            <w:vAlign w:val="center"/>
          </w:tcPr>
          <w:p w14:paraId="6129F862">
            <w:pPr>
              <w:overflowPunct w:val="0"/>
              <w:jc w:val="center"/>
              <w:rPr>
                <w:rFonts w:ascii="Times New Roman" w:hAnsi="Times New Roman" w:cs="Times New Roman"/>
                <w:color w:val="auto"/>
                <w:sz w:val="21"/>
                <w:lang w:eastAsia="zh-CN"/>
              </w:rPr>
            </w:pPr>
          </w:p>
        </w:tc>
        <w:tc>
          <w:tcPr>
            <w:tcW w:w="143" w:type="pct"/>
            <w:vMerge w:val="continue"/>
            <w:noWrap/>
            <w:vAlign w:val="center"/>
          </w:tcPr>
          <w:p w14:paraId="222AA56A">
            <w:pPr>
              <w:overflowPunct w:val="0"/>
              <w:jc w:val="center"/>
              <w:rPr>
                <w:rFonts w:ascii="Times New Roman" w:hAnsi="Times New Roman" w:cs="Times New Roman"/>
                <w:color w:val="auto"/>
                <w:sz w:val="21"/>
                <w:lang w:eastAsia="zh-CN"/>
              </w:rPr>
            </w:pPr>
          </w:p>
        </w:tc>
        <w:tc>
          <w:tcPr>
            <w:tcW w:w="203" w:type="pct"/>
            <w:vMerge w:val="continue"/>
            <w:noWrap/>
            <w:vAlign w:val="center"/>
          </w:tcPr>
          <w:p w14:paraId="591896DE">
            <w:pPr>
              <w:overflowPunct w:val="0"/>
              <w:jc w:val="center"/>
              <w:rPr>
                <w:rFonts w:ascii="Times New Roman" w:hAnsi="Times New Roman" w:cs="Times New Roman"/>
                <w:color w:val="auto"/>
                <w:sz w:val="21"/>
                <w:lang w:eastAsia="zh-CN"/>
              </w:rPr>
            </w:pPr>
          </w:p>
        </w:tc>
      </w:tr>
    </w:tbl>
    <w:p w14:paraId="34B1F105">
      <w:pPr>
        <w:adjustRightInd w:val="0"/>
        <w:snapToGrid w:val="0"/>
        <w:ind w:firstLine="420"/>
        <w:jc w:val="both"/>
        <w:rPr>
          <w:rFonts w:ascii="Times New Roman" w:hAnsi="Times New Roman" w:cs="Times New Roman"/>
          <w:b/>
          <w:bCs/>
          <w:color w:val="auto"/>
          <w:sz w:val="21"/>
          <w:lang w:eastAsia="zh-CN"/>
        </w:rPr>
      </w:pPr>
      <w:bookmarkStart w:id="848" w:name="_Hlk176942714"/>
      <w:r>
        <w:rPr>
          <w:rFonts w:ascii="Times New Roman" w:hAnsi="Times New Roman" w:cs="Times New Roman"/>
          <w:b/>
          <w:bCs/>
          <w:color w:val="auto"/>
          <w:sz w:val="21"/>
          <w:lang w:eastAsia="zh-CN"/>
        </w:rPr>
        <w:t>注：</w:t>
      </w:r>
      <w:r>
        <w:rPr>
          <w:rFonts w:hint="eastAsia" w:ascii="Times New Roman" w:hAnsi="Times New Roman" w:cs="Times New Roman"/>
          <w:b/>
          <w:bCs/>
          <w:color w:val="auto"/>
          <w:sz w:val="21"/>
          <w:lang w:eastAsia="zh-CN"/>
        </w:rPr>
        <w:t>二级水喷淋处理效率按95%</w:t>
      </w:r>
      <w:r>
        <w:rPr>
          <w:rFonts w:ascii="Times New Roman" w:hAnsi="Times New Roman" w:cs="Times New Roman"/>
          <w:b/>
          <w:bCs/>
          <w:color w:val="auto"/>
          <w:sz w:val="21"/>
          <w:lang w:eastAsia="zh-CN"/>
        </w:rPr>
        <w:t>计</w:t>
      </w:r>
      <w:r>
        <w:rPr>
          <w:rFonts w:hint="eastAsia" w:ascii="Times New Roman" w:hAnsi="Times New Roman" w:cs="Times New Roman"/>
          <w:b/>
          <w:bCs/>
          <w:color w:val="auto"/>
          <w:sz w:val="21"/>
          <w:lang w:eastAsia="zh-CN"/>
        </w:rPr>
        <w:t>，三级碱喷淋+一级碱喷淋处理效率按99%</w:t>
      </w:r>
      <w:r>
        <w:rPr>
          <w:rFonts w:ascii="Times New Roman" w:hAnsi="Times New Roman" w:cs="Times New Roman"/>
          <w:b/>
          <w:bCs/>
          <w:color w:val="auto"/>
          <w:sz w:val="21"/>
          <w:lang w:eastAsia="zh-CN"/>
        </w:rPr>
        <w:t>计。密闭管道收集效率按100%计；密闭负压收集效率按95%计。</w:t>
      </w:r>
    </w:p>
    <w:p w14:paraId="6737A88D">
      <w:pPr>
        <w:spacing w:line="360" w:lineRule="auto"/>
        <w:jc w:val="center"/>
        <w:rPr>
          <w:rFonts w:ascii="Times New Roman" w:hAnsi="Times New Roman" w:cs="Times New Roman"/>
          <w:b/>
          <w:bCs/>
          <w:color w:val="auto"/>
          <w:lang w:val="zh-CN" w:eastAsia="zh-CN"/>
        </w:rPr>
      </w:pPr>
      <w:r>
        <w:rPr>
          <w:rFonts w:ascii="Times New Roman" w:hAnsi="Times New Roman" w:cs="Times New Roman"/>
          <w:b/>
          <w:bCs/>
          <w:color w:val="auto"/>
          <w:lang w:val="zh-CN" w:eastAsia="zh-CN"/>
        </w:rPr>
        <w:t>表</w:t>
      </w:r>
      <w:r>
        <w:rPr>
          <w:rFonts w:ascii="Times New Roman" w:hAnsi="Times New Roman" w:cs="Times New Roman"/>
          <w:b/>
          <w:bCs/>
          <w:color w:val="auto"/>
          <w:lang w:eastAsia="zh-CN"/>
        </w:rPr>
        <w:t>4.3-</w:t>
      </w:r>
      <w:r>
        <w:rPr>
          <w:rFonts w:hint="eastAsia" w:ascii="Times New Roman" w:hAnsi="Times New Roman" w:cs="Times New Roman"/>
          <w:b/>
          <w:bCs/>
          <w:color w:val="auto"/>
          <w:lang w:eastAsia="zh-CN"/>
        </w:rPr>
        <w:t>7  全厂有组织</w:t>
      </w:r>
      <w:r>
        <w:rPr>
          <w:rFonts w:ascii="Times New Roman" w:hAnsi="Times New Roman" w:cs="Times New Roman"/>
          <w:b/>
          <w:bCs/>
          <w:color w:val="auto"/>
          <w:lang w:val="zh-CN" w:eastAsia="zh-CN"/>
        </w:rPr>
        <w:t>废气排放情况汇总表</w:t>
      </w:r>
    </w:p>
    <w:tbl>
      <w:tblPr>
        <w:tblStyle w:val="35"/>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712"/>
        <w:gridCol w:w="709"/>
        <w:gridCol w:w="1133"/>
        <w:gridCol w:w="850"/>
        <w:gridCol w:w="711"/>
        <w:gridCol w:w="708"/>
        <w:gridCol w:w="850"/>
        <w:gridCol w:w="850"/>
        <w:gridCol w:w="850"/>
        <w:gridCol w:w="995"/>
        <w:gridCol w:w="850"/>
        <w:gridCol w:w="850"/>
        <w:gridCol w:w="850"/>
        <w:gridCol w:w="850"/>
        <w:gridCol w:w="853"/>
        <w:gridCol w:w="850"/>
        <w:gridCol w:w="862"/>
        <w:gridCol w:w="440"/>
        <w:gridCol w:w="625"/>
      </w:tblGrid>
      <w:tr w14:paraId="685CCE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461" w:type="pct"/>
            <w:gridSpan w:val="2"/>
            <w:vMerge w:val="restart"/>
            <w:vAlign w:val="center"/>
          </w:tcPr>
          <w:p w14:paraId="5D4A162B">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装置</w:t>
            </w:r>
          </w:p>
        </w:tc>
        <w:tc>
          <w:tcPr>
            <w:tcW w:w="368" w:type="pct"/>
            <w:vMerge w:val="restart"/>
            <w:vAlign w:val="center"/>
          </w:tcPr>
          <w:p w14:paraId="7E414D81">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污染源</w:t>
            </w:r>
          </w:p>
        </w:tc>
        <w:tc>
          <w:tcPr>
            <w:tcW w:w="276" w:type="pct"/>
            <w:vMerge w:val="restart"/>
            <w:vAlign w:val="center"/>
          </w:tcPr>
          <w:p w14:paraId="2A473E8F">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污染物</w:t>
            </w:r>
          </w:p>
        </w:tc>
        <w:tc>
          <w:tcPr>
            <w:tcW w:w="231" w:type="pct"/>
            <w:vMerge w:val="restart"/>
            <w:vAlign w:val="center"/>
          </w:tcPr>
          <w:p w14:paraId="0A37AE9F">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核算方法</w:t>
            </w:r>
          </w:p>
        </w:tc>
        <w:tc>
          <w:tcPr>
            <w:tcW w:w="230" w:type="pct"/>
            <w:vMerge w:val="restart"/>
            <w:vAlign w:val="center"/>
          </w:tcPr>
          <w:p w14:paraId="1532C5DB">
            <w:pPr>
              <w:overflowPunct w:val="0"/>
              <w:jc w:val="center"/>
              <w:textAlignment w:val="center"/>
              <w:rPr>
                <w:rFonts w:ascii="Times New Roman" w:hAnsi="Times New Roman" w:cs="Times New Roman"/>
                <w:b/>
                <w:bCs/>
                <w:color w:val="auto"/>
                <w:sz w:val="21"/>
                <w:lang w:eastAsia="zh-CN" w:bidi="ar"/>
              </w:rPr>
            </w:pPr>
            <w:r>
              <w:rPr>
                <w:rFonts w:ascii="Times New Roman" w:hAnsi="Times New Roman" w:cs="Times New Roman"/>
                <w:b/>
                <w:bCs/>
                <w:color w:val="auto"/>
                <w:sz w:val="21"/>
                <w:lang w:eastAsia="zh-CN" w:bidi="ar"/>
              </w:rPr>
              <w:t>工作时间h</w:t>
            </w:r>
          </w:p>
        </w:tc>
        <w:tc>
          <w:tcPr>
            <w:tcW w:w="828" w:type="pct"/>
            <w:gridSpan w:val="3"/>
            <w:vAlign w:val="center"/>
          </w:tcPr>
          <w:p w14:paraId="57DD2FF5">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污染物产生</w:t>
            </w:r>
          </w:p>
        </w:tc>
        <w:tc>
          <w:tcPr>
            <w:tcW w:w="323" w:type="pct"/>
            <w:vMerge w:val="restart"/>
            <w:vAlign w:val="center"/>
          </w:tcPr>
          <w:p w14:paraId="5B85BC31">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治理措施</w:t>
            </w:r>
          </w:p>
        </w:tc>
        <w:tc>
          <w:tcPr>
            <w:tcW w:w="276" w:type="pct"/>
            <w:vMerge w:val="restart"/>
            <w:vAlign w:val="center"/>
          </w:tcPr>
          <w:p w14:paraId="34919D1C">
            <w:pPr>
              <w:overflowPunct w:val="0"/>
              <w:jc w:val="center"/>
              <w:textAlignment w:val="center"/>
              <w:rPr>
                <w:rFonts w:ascii="Times New Roman" w:hAnsi="Times New Roman" w:cs="Times New Roman"/>
                <w:b/>
                <w:bCs/>
                <w:color w:val="auto"/>
                <w:sz w:val="21"/>
                <w:lang w:eastAsia="zh-CN" w:bidi="ar"/>
              </w:rPr>
            </w:pPr>
            <w:r>
              <w:rPr>
                <w:rFonts w:ascii="Times New Roman" w:hAnsi="Times New Roman" w:cs="Times New Roman"/>
                <w:b/>
                <w:bCs/>
                <w:color w:val="auto"/>
                <w:sz w:val="21"/>
                <w:lang w:eastAsia="zh-CN" w:bidi="ar"/>
              </w:rPr>
              <w:t>排气筒</w:t>
            </w:r>
          </w:p>
          <w:p w14:paraId="514517EF">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编号</w:t>
            </w:r>
          </w:p>
        </w:tc>
        <w:tc>
          <w:tcPr>
            <w:tcW w:w="276" w:type="pct"/>
            <w:vMerge w:val="restart"/>
            <w:vAlign w:val="center"/>
          </w:tcPr>
          <w:p w14:paraId="62B400B7">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排气量m</w:t>
            </w:r>
            <w:r>
              <w:rPr>
                <w:rFonts w:ascii="Times New Roman" w:hAnsi="Times New Roman" w:cs="Times New Roman"/>
                <w:b/>
                <w:bCs/>
                <w:color w:val="auto"/>
                <w:sz w:val="21"/>
                <w:vertAlign w:val="superscript"/>
                <w:lang w:eastAsia="zh-CN" w:bidi="ar"/>
              </w:rPr>
              <w:t>3</w:t>
            </w:r>
            <w:r>
              <w:rPr>
                <w:rFonts w:ascii="Times New Roman" w:hAnsi="Times New Roman" w:cs="Times New Roman"/>
                <w:b/>
                <w:bCs/>
                <w:color w:val="auto"/>
                <w:sz w:val="21"/>
                <w:lang w:eastAsia="zh-CN" w:bidi="ar"/>
              </w:rPr>
              <w:t>/h</w:t>
            </w:r>
          </w:p>
        </w:tc>
        <w:tc>
          <w:tcPr>
            <w:tcW w:w="829" w:type="pct"/>
            <w:gridSpan w:val="3"/>
            <w:vAlign w:val="center"/>
          </w:tcPr>
          <w:p w14:paraId="2E8C64F7">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污染物排放</w:t>
            </w:r>
          </w:p>
        </w:tc>
        <w:tc>
          <w:tcPr>
            <w:tcW w:w="556" w:type="pct"/>
            <w:gridSpan w:val="2"/>
            <w:shd w:val="clear" w:color="auto" w:fill="FFFFFF"/>
            <w:vAlign w:val="center"/>
          </w:tcPr>
          <w:p w14:paraId="5B0A3491">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标准</w:t>
            </w:r>
          </w:p>
        </w:tc>
        <w:tc>
          <w:tcPr>
            <w:tcW w:w="346" w:type="pct"/>
            <w:gridSpan w:val="2"/>
            <w:vAlign w:val="center"/>
          </w:tcPr>
          <w:p w14:paraId="318F7A8A">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排气筒</w:t>
            </w:r>
          </w:p>
        </w:tc>
      </w:tr>
      <w:tr w14:paraId="5AA7CD4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461" w:type="pct"/>
            <w:gridSpan w:val="2"/>
            <w:vMerge w:val="continue"/>
            <w:vAlign w:val="center"/>
          </w:tcPr>
          <w:p w14:paraId="4B5CCB90">
            <w:pPr>
              <w:overflowPunct w:val="0"/>
              <w:jc w:val="center"/>
              <w:rPr>
                <w:rFonts w:ascii="Times New Roman" w:hAnsi="Times New Roman" w:cs="Times New Roman"/>
                <w:b/>
                <w:bCs/>
                <w:color w:val="auto"/>
                <w:sz w:val="21"/>
              </w:rPr>
            </w:pPr>
          </w:p>
        </w:tc>
        <w:tc>
          <w:tcPr>
            <w:tcW w:w="368" w:type="pct"/>
            <w:vMerge w:val="continue"/>
            <w:vAlign w:val="center"/>
          </w:tcPr>
          <w:p w14:paraId="41FA2BA7">
            <w:pPr>
              <w:overflowPunct w:val="0"/>
              <w:jc w:val="center"/>
              <w:rPr>
                <w:rFonts w:ascii="Times New Roman" w:hAnsi="Times New Roman" w:cs="Times New Roman"/>
                <w:b/>
                <w:bCs/>
                <w:color w:val="auto"/>
                <w:sz w:val="21"/>
              </w:rPr>
            </w:pPr>
          </w:p>
        </w:tc>
        <w:tc>
          <w:tcPr>
            <w:tcW w:w="276" w:type="pct"/>
            <w:vMerge w:val="continue"/>
            <w:vAlign w:val="center"/>
          </w:tcPr>
          <w:p w14:paraId="3569856D">
            <w:pPr>
              <w:overflowPunct w:val="0"/>
              <w:jc w:val="center"/>
              <w:rPr>
                <w:rFonts w:ascii="Times New Roman" w:hAnsi="Times New Roman" w:cs="Times New Roman"/>
                <w:b/>
                <w:bCs/>
                <w:color w:val="auto"/>
                <w:sz w:val="21"/>
              </w:rPr>
            </w:pPr>
          </w:p>
        </w:tc>
        <w:tc>
          <w:tcPr>
            <w:tcW w:w="231" w:type="pct"/>
            <w:vMerge w:val="continue"/>
            <w:vAlign w:val="center"/>
          </w:tcPr>
          <w:p w14:paraId="2C3085AF">
            <w:pPr>
              <w:overflowPunct w:val="0"/>
              <w:jc w:val="center"/>
              <w:rPr>
                <w:rFonts w:ascii="Times New Roman" w:hAnsi="Times New Roman" w:cs="Times New Roman"/>
                <w:b/>
                <w:bCs/>
                <w:color w:val="auto"/>
                <w:sz w:val="21"/>
              </w:rPr>
            </w:pPr>
          </w:p>
        </w:tc>
        <w:tc>
          <w:tcPr>
            <w:tcW w:w="230" w:type="pct"/>
            <w:vMerge w:val="continue"/>
            <w:vAlign w:val="center"/>
          </w:tcPr>
          <w:p w14:paraId="5C85514E">
            <w:pPr>
              <w:overflowPunct w:val="0"/>
              <w:jc w:val="center"/>
              <w:textAlignment w:val="center"/>
              <w:rPr>
                <w:rFonts w:ascii="Times New Roman" w:hAnsi="Times New Roman" w:cs="Times New Roman"/>
                <w:b/>
                <w:bCs/>
                <w:color w:val="auto"/>
                <w:sz w:val="21"/>
                <w:lang w:eastAsia="zh-CN" w:bidi="ar"/>
              </w:rPr>
            </w:pPr>
          </w:p>
        </w:tc>
        <w:tc>
          <w:tcPr>
            <w:tcW w:w="276" w:type="pct"/>
            <w:vAlign w:val="center"/>
          </w:tcPr>
          <w:p w14:paraId="018D0929">
            <w:pPr>
              <w:overflowPunct w:val="0"/>
              <w:jc w:val="center"/>
              <w:textAlignment w:val="center"/>
              <w:rPr>
                <w:rFonts w:ascii="Times New Roman" w:hAnsi="Times New Roman" w:cs="Times New Roman"/>
                <w:b/>
                <w:bCs/>
                <w:color w:val="auto"/>
                <w:sz w:val="21"/>
                <w:lang w:eastAsia="zh-CN" w:bidi="ar"/>
              </w:rPr>
            </w:pPr>
            <w:r>
              <w:rPr>
                <w:rFonts w:ascii="Times New Roman" w:hAnsi="Times New Roman" w:cs="Times New Roman"/>
                <w:b/>
                <w:bCs/>
                <w:color w:val="auto"/>
                <w:sz w:val="21"/>
                <w:lang w:eastAsia="zh-CN" w:bidi="ar"/>
              </w:rPr>
              <w:t>浓度</w:t>
            </w:r>
          </w:p>
          <w:p w14:paraId="1AA52BFC">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mg/m³</w:t>
            </w:r>
          </w:p>
        </w:tc>
        <w:tc>
          <w:tcPr>
            <w:tcW w:w="276" w:type="pct"/>
            <w:vAlign w:val="center"/>
          </w:tcPr>
          <w:p w14:paraId="4D951DF7">
            <w:pPr>
              <w:overflowPunct w:val="0"/>
              <w:jc w:val="center"/>
              <w:textAlignment w:val="center"/>
              <w:rPr>
                <w:rFonts w:ascii="Times New Roman" w:hAnsi="Times New Roman" w:cs="Times New Roman"/>
                <w:b/>
                <w:bCs/>
                <w:color w:val="auto"/>
                <w:sz w:val="21"/>
                <w:lang w:eastAsia="zh-CN" w:bidi="ar"/>
              </w:rPr>
            </w:pPr>
            <w:r>
              <w:rPr>
                <w:rFonts w:ascii="Times New Roman" w:hAnsi="Times New Roman" w:cs="Times New Roman"/>
                <w:b/>
                <w:bCs/>
                <w:color w:val="auto"/>
                <w:sz w:val="21"/>
                <w:lang w:eastAsia="zh-CN" w:bidi="ar"/>
              </w:rPr>
              <w:t>速率</w:t>
            </w:r>
          </w:p>
          <w:p w14:paraId="6CAB73A4">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kg/h</w:t>
            </w:r>
          </w:p>
        </w:tc>
        <w:tc>
          <w:tcPr>
            <w:tcW w:w="276" w:type="pct"/>
            <w:vAlign w:val="center"/>
          </w:tcPr>
          <w:p w14:paraId="08805A1C">
            <w:pPr>
              <w:overflowPunct w:val="0"/>
              <w:jc w:val="center"/>
              <w:textAlignment w:val="center"/>
              <w:rPr>
                <w:rFonts w:ascii="Times New Roman" w:hAnsi="Times New Roman" w:cs="Times New Roman"/>
                <w:b/>
                <w:bCs/>
                <w:color w:val="auto"/>
                <w:sz w:val="21"/>
                <w:lang w:eastAsia="zh-CN" w:bidi="ar"/>
              </w:rPr>
            </w:pPr>
            <w:r>
              <w:rPr>
                <w:rFonts w:ascii="Times New Roman" w:hAnsi="Times New Roman" w:cs="Times New Roman"/>
                <w:b/>
                <w:bCs/>
                <w:color w:val="auto"/>
                <w:sz w:val="21"/>
                <w:lang w:eastAsia="zh-CN" w:bidi="ar"/>
              </w:rPr>
              <w:t>产生量</w:t>
            </w:r>
          </w:p>
          <w:p w14:paraId="3F0D9DA4">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t/a</w:t>
            </w:r>
          </w:p>
        </w:tc>
        <w:tc>
          <w:tcPr>
            <w:tcW w:w="323" w:type="pct"/>
            <w:vMerge w:val="continue"/>
            <w:vAlign w:val="center"/>
          </w:tcPr>
          <w:p w14:paraId="086582A2">
            <w:pPr>
              <w:overflowPunct w:val="0"/>
              <w:jc w:val="center"/>
              <w:rPr>
                <w:rFonts w:ascii="Times New Roman" w:hAnsi="Times New Roman" w:cs="Times New Roman"/>
                <w:b/>
                <w:bCs/>
                <w:color w:val="auto"/>
                <w:sz w:val="21"/>
              </w:rPr>
            </w:pPr>
          </w:p>
        </w:tc>
        <w:tc>
          <w:tcPr>
            <w:tcW w:w="276" w:type="pct"/>
            <w:vMerge w:val="continue"/>
            <w:vAlign w:val="center"/>
          </w:tcPr>
          <w:p w14:paraId="39514377">
            <w:pPr>
              <w:overflowPunct w:val="0"/>
              <w:jc w:val="center"/>
              <w:textAlignment w:val="center"/>
              <w:rPr>
                <w:rFonts w:ascii="Times New Roman" w:hAnsi="Times New Roman" w:cs="Times New Roman"/>
                <w:b/>
                <w:bCs/>
                <w:color w:val="auto"/>
                <w:sz w:val="21"/>
              </w:rPr>
            </w:pPr>
          </w:p>
        </w:tc>
        <w:tc>
          <w:tcPr>
            <w:tcW w:w="276" w:type="pct"/>
            <w:vMerge w:val="continue"/>
            <w:vAlign w:val="center"/>
          </w:tcPr>
          <w:p w14:paraId="7D95F20F">
            <w:pPr>
              <w:overflowPunct w:val="0"/>
              <w:jc w:val="center"/>
              <w:rPr>
                <w:rFonts w:ascii="Times New Roman" w:hAnsi="Times New Roman" w:cs="Times New Roman"/>
                <w:b/>
                <w:bCs/>
                <w:color w:val="auto"/>
                <w:sz w:val="21"/>
              </w:rPr>
            </w:pPr>
          </w:p>
        </w:tc>
        <w:tc>
          <w:tcPr>
            <w:tcW w:w="276" w:type="pct"/>
            <w:vAlign w:val="center"/>
          </w:tcPr>
          <w:p w14:paraId="7C7434BD">
            <w:pPr>
              <w:overflowPunct w:val="0"/>
              <w:jc w:val="center"/>
              <w:textAlignment w:val="center"/>
              <w:rPr>
                <w:rFonts w:ascii="Times New Roman" w:hAnsi="Times New Roman" w:cs="Times New Roman"/>
                <w:b/>
                <w:bCs/>
                <w:color w:val="auto"/>
                <w:sz w:val="21"/>
                <w:lang w:eastAsia="zh-CN" w:bidi="ar"/>
              </w:rPr>
            </w:pPr>
            <w:r>
              <w:rPr>
                <w:rFonts w:ascii="Times New Roman" w:hAnsi="Times New Roman" w:cs="Times New Roman"/>
                <w:b/>
                <w:bCs/>
                <w:color w:val="auto"/>
                <w:sz w:val="21"/>
                <w:lang w:eastAsia="zh-CN" w:bidi="ar"/>
              </w:rPr>
              <w:t>浓度</w:t>
            </w:r>
          </w:p>
          <w:p w14:paraId="11182A47">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mg/m³</w:t>
            </w:r>
          </w:p>
        </w:tc>
        <w:tc>
          <w:tcPr>
            <w:tcW w:w="276" w:type="pct"/>
            <w:vAlign w:val="center"/>
          </w:tcPr>
          <w:p w14:paraId="671AA3C2">
            <w:pPr>
              <w:overflowPunct w:val="0"/>
              <w:jc w:val="center"/>
              <w:textAlignment w:val="center"/>
              <w:rPr>
                <w:rFonts w:ascii="Times New Roman" w:hAnsi="Times New Roman" w:cs="Times New Roman"/>
                <w:b/>
                <w:bCs/>
                <w:color w:val="auto"/>
                <w:sz w:val="21"/>
                <w:lang w:eastAsia="zh-CN" w:bidi="ar"/>
              </w:rPr>
            </w:pPr>
            <w:r>
              <w:rPr>
                <w:rFonts w:ascii="Times New Roman" w:hAnsi="Times New Roman" w:cs="Times New Roman"/>
                <w:b/>
                <w:bCs/>
                <w:color w:val="auto"/>
                <w:sz w:val="21"/>
                <w:lang w:eastAsia="zh-CN" w:bidi="ar"/>
              </w:rPr>
              <w:t>速率</w:t>
            </w:r>
          </w:p>
          <w:p w14:paraId="04092BA3">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kg/h</w:t>
            </w:r>
          </w:p>
        </w:tc>
        <w:tc>
          <w:tcPr>
            <w:tcW w:w="277" w:type="pct"/>
            <w:vAlign w:val="center"/>
          </w:tcPr>
          <w:p w14:paraId="6EDBBDBD">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排放量t/a</w:t>
            </w:r>
          </w:p>
        </w:tc>
        <w:tc>
          <w:tcPr>
            <w:tcW w:w="276" w:type="pct"/>
            <w:vAlign w:val="center"/>
          </w:tcPr>
          <w:p w14:paraId="7F0AFE55">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浓度mg/m</w:t>
            </w:r>
            <w:r>
              <w:rPr>
                <w:rFonts w:ascii="Times New Roman" w:hAnsi="Times New Roman" w:cs="Times New Roman"/>
                <w:b/>
                <w:bCs/>
                <w:color w:val="auto"/>
                <w:sz w:val="21"/>
                <w:vertAlign w:val="superscript"/>
                <w:lang w:eastAsia="zh-CN" w:bidi="ar"/>
              </w:rPr>
              <w:t>3</w:t>
            </w:r>
          </w:p>
        </w:tc>
        <w:tc>
          <w:tcPr>
            <w:tcW w:w="280" w:type="pct"/>
            <w:vAlign w:val="center"/>
          </w:tcPr>
          <w:p w14:paraId="63CBFAB0">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速率kg/h</w:t>
            </w:r>
          </w:p>
        </w:tc>
        <w:tc>
          <w:tcPr>
            <w:tcW w:w="143" w:type="pct"/>
            <w:vAlign w:val="center"/>
          </w:tcPr>
          <w:p w14:paraId="235D1CDD">
            <w:pPr>
              <w:overflowPunct w:val="0"/>
              <w:jc w:val="center"/>
              <w:textAlignment w:val="center"/>
              <w:rPr>
                <w:rFonts w:ascii="Times New Roman" w:hAnsi="Times New Roman" w:cs="Times New Roman"/>
                <w:b/>
                <w:bCs/>
                <w:color w:val="auto"/>
                <w:sz w:val="21"/>
                <w:lang w:eastAsia="zh-CN" w:bidi="ar"/>
              </w:rPr>
            </w:pPr>
            <w:r>
              <w:rPr>
                <w:rFonts w:ascii="Times New Roman" w:hAnsi="Times New Roman" w:cs="Times New Roman"/>
                <w:b/>
                <w:bCs/>
                <w:color w:val="auto"/>
                <w:sz w:val="21"/>
                <w:lang w:eastAsia="zh-CN" w:bidi="ar"/>
              </w:rPr>
              <w:t>高度</w:t>
            </w:r>
          </w:p>
          <w:p w14:paraId="4629057A">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m</w:t>
            </w:r>
          </w:p>
        </w:tc>
        <w:tc>
          <w:tcPr>
            <w:tcW w:w="203" w:type="pct"/>
            <w:vAlign w:val="center"/>
          </w:tcPr>
          <w:p w14:paraId="2EC40631">
            <w:pPr>
              <w:overflowPunct w:val="0"/>
              <w:jc w:val="center"/>
              <w:textAlignment w:val="center"/>
              <w:rPr>
                <w:rFonts w:ascii="Times New Roman" w:hAnsi="Times New Roman" w:cs="Times New Roman"/>
                <w:b/>
                <w:bCs/>
                <w:color w:val="auto"/>
                <w:sz w:val="21"/>
                <w:lang w:eastAsia="zh-CN" w:bidi="ar"/>
              </w:rPr>
            </w:pPr>
            <w:r>
              <w:rPr>
                <w:rFonts w:ascii="Times New Roman" w:hAnsi="Times New Roman" w:cs="Times New Roman"/>
                <w:b/>
                <w:bCs/>
                <w:color w:val="auto"/>
                <w:sz w:val="21"/>
                <w:lang w:eastAsia="zh-CN" w:bidi="ar"/>
              </w:rPr>
              <w:t>内径</w:t>
            </w:r>
          </w:p>
          <w:p w14:paraId="312E5CB8">
            <w:pPr>
              <w:overflowPunct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m</w:t>
            </w:r>
          </w:p>
        </w:tc>
      </w:tr>
      <w:tr w14:paraId="2142DAF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31" w:type="pct"/>
            <w:vMerge w:val="restart"/>
            <w:vAlign w:val="center"/>
          </w:tcPr>
          <w:p w14:paraId="727B96E7">
            <w:pPr>
              <w:overflowPunct w:val="0"/>
              <w:jc w:val="center"/>
              <w:textAlignment w:val="center"/>
              <w:rPr>
                <w:rFonts w:ascii="Times New Roman" w:hAnsi="Times New Roman" w:cs="Times New Roman"/>
                <w:color w:val="auto"/>
                <w:sz w:val="21"/>
                <w:lang w:eastAsia="zh-CN"/>
              </w:rPr>
            </w:pPr>
          </w:p>
        </w:tc>
        <w:tc>
          <w:tcPr>
            <w:tcW w:w="230" w:type="pct"/>
            <w:vMerge w:val="restart"/>
            <w:vAlign w:val="center"/>
          </w:tcPr>
          <w:p w14:paraId="0A5901E6">
            <w:pPr>
              <w:overflowPunct w:val="0"/>
              <w:jc w:val="center"/>
              <w:textAlignment w:val="center"/>
              <w:rPr>
                <w:rFonts w:ascii="Times New Roman" w:hAnsi="Times New Roman" w:cs="Times New Roman"/>
                <w:color w:val="auto"/>
                <w:sz w:val="21"/>
              </w:rPr>
            </w:pPr>
          </w:p>
        </w:tc>
        <w:tc>
          <w:tcPr>
            <w:tcW w:w="368" w:type="pct"/>
            <w:vAlign w:val="center"/>
          </w:tcPr>
          <w:p w14:paraId="13AA9047">
            <w:pPr>
              <w:overflowPunct w:val="0"/>
              <w:jc w:val="center"/>
              <w:textAlignment w:val="center"/>
              <w:rPr>
                <w:rFonts w:ascii="Times New Roman" w:hAnsi="Times New Roman" w:cs="Times New Roman"/>
                <w:color w:val="auto"/>
                <w:sz w:val="21"/>
                <w:lang w:eastAsia="zh-CN"/>
              </w:rPr>
            </w:pPr>
          </w:p>
        </w:tc>
        <w:tc>
          <w:tcPr>
            <w:tcW w:w="276" w:type="pct"/>
            <w:vAlign w:val="center"/>
          </w:tcPr>
          <w:p w14:paraId="116D9E5B">
            <w:pPr>
              <w:overflowPunct w:val="0"/>
              <w:jc w:val="center"/>
              <w:textAlignment w:val="center"/>
              <w:rPr>
                <w:rFonts w:ascii="Times New Roman" w:hAnsi="Times New Roman" w:cs="Times New Roman"/>
                <w:color w:val="auto"/>
                <w:sz w:val="21"/>
                <w:lang w:eastAsia="zh-CN"/>
              </w:rPr>
            </w:pPr>
          </w:p>
        </w:tc>
        <w:tc>
          <w:tcPr>
            <w:tcW w:w="231" w:type="pct"/>
            <w:vMerge w:val="restart"/>
            <w:vAlign w:val="center"/>
          </w:tcPr>
          <w:p w14:paraId="3560C321">
            <w:pPr>
              <w:overflowPunct w:val="0"/>
              <w:jc w:val="center"/>
              <w:textAlignment w:val="center"/>
              <w:rPr>
                <w:rFonts w:ascii="Times New Roman" w:hAnsi="Times New Roman" w:cs="Times New Roman"/>
                <w:color w:val="auto"/>
                <w:sz w:val="21"/>
              </w:rPr>
            </w:pPr>
          </w:p>
        </w:tc>
        <w:tc>
          <w:tcPr>
            <w:tcW w:w="230" w:type="pct"/>
            <w:vMerge w:val="restart"/>
            <w:vAlign w:val="center"/>
          </w:tcPr>
          <w:p w14:paraId="5C2A9A0F">
            <w:pPr>
              <w:overflowPunct w:val="0"/>
              <w:jc w:val="center"/>
              <w:textAlignment w:val="center"/>
              <w:rPr>
                <w:rFonts w:ascii="Times New Roman" w:hAnsi="Times New Roman" w:cs="Times New Roman"/>
                <w:color w:val="auto"/>
                <w:sz w:val="21"/>
                <w:lang w:eastAsia="zh-CN" w:bidi="ar"/>
              </w:rPr>
            </w:pPr>
          </w:p>
        </w:tc>
        <w:tc>
          <w:tcPr>
            <w:tcW w:w="276" w:type="pct"/>
            <w:noWrap/>
            <w:vAlign w:val="center"/>
          </w:tcPr>
          <w:p w14:paraId="69651FD1">
            <w:pPr>
              <w:overflowPunct w:val="0"/>
              <w:jc w:val="center"/>
              <w:textAlignment w:val="center"/>
              <w:rPr>
                <w:rFonts w:ascii="Times New Roman" w:hAnsi="Times New Roman" w:cs="Times New Roman"/>
                <w:color w:val="auto"/>
                <w:sz w:val="21"/>
                <w:lang w:eastAsia="zh-CN"/>
              </w:rPr>
            </w:pPr>
          </w:p>
        </w:tc>
        <w:tc>
          <w:tcPr>
            <w:tcW w:w="276" w:type="pct"/>
            <w:noWrap/>
            <w:vAlign w:val="center"/>
          </w:tcPr>
          <w:p w14:paraId="6782841E">
            <w:pPr>
              <w:overflowPunct w:val="0"/>
              <w:jc w:val="center"/>
              <w:textAlignment w:val="center"/>
              <w:rPr>
                <w:rFonts w:ascii="Times New Roman" w:hAnsi="Times New Roman" w:cs="Times New Roman"/>
                <w:color w:val="auto"/>
                <w:sz w:val="21"/>
                <w:lang w:eastAsia="zh-CN"/>
              </w:rPr>
            </w:pPr>
          </w:p>
        </w:tc>
        <w:tc>
          <w:tcPr>
            <w:tcW w:w="276" w:type="pct"/>
            <w:vAlign w:val="center"/>
          </w:tcPr>
          <w:p w14:paraId="15136205">
            <w:pPr>
              <w:overflowPunct w:val="0"/>
              <w:jc w:val="center"/>
              <w:textAlignment w:val="center"/>
              <w:rPr>
                <w:rFonts w:ascii="Times New Roman" w:hAnsi="Times New Roman" w:cs="Times New Roman"/>
                <w:color w:val="auto"/>
                <w:sz w:val="21"/>
                <w:lang w:eastAsia="zh-CN"/>
              </w:rPr>
            </w:pPr>
          </w:p>
        </w:tc>
        <w:tc>
          <w:tcPr>
            <w:tcW w:w="323" w:type="pct"/>
            <w:vMerge w:val="restart"/>
            <w:vAlign w:val="center"/>
          </w:tcPr>
          <w:p w14:paraId="23A41B9B">
            <w:pPr>
              <w:overflowPunct w:val="0"/>
              <w:jc w:val="center"/>
              <w:rPr>
                <w:rFonts w:ascii="Times New Roman" w:hAnsi="Times New Roman" w:cs="Times New Roman"/>
                <w:color w:val="auto"/>
                <w:sz w:val="21"/>
                <w:lang w:eastAsia="zh-CN"/>
              </w:rPr>
            </w:pPr>
          </w:p>
        </w:tc>
        <w:tc>
          <w:tcPr>
            <w:tcW w:w="276" w:type="pct"/>
            <w:vMerge w:val="restart"/>
            <w:vAlign w:val="center"/>
          </w:tcPr>
          <w:p w14:paraId="69C3CF37">
            <w:pPr>
              <w:overflowPunct w:val="0"/>
              <w:jc w:val="center"/>
              <w:textAlignment w:val="center"/>
              <w:rPr>
                <w:rFonts w:ascii="Times New Roman" w:hAnsi="Times New Roman" w:cs="Times New Roman"/>
                <w:color w:val="auto"/>
                <w:sz w:val="21"/>
              </w:rPr>
            </w:pPr>
          </w:p>
        </w:tc>
        <w:tc>
          <w:tcPr>
            <w:tcW w:w="276" w:type="pct"/>
            <w:vMerge w:val="restart"/>
            <w:vAlign w:val="center"/>
          </w:tcPr>
          <w:p w14:paraId="17F15CE1">
            <w:pPr>
              <w:overflowPunct w:val="0"/>
              <w:jc w:val="center"/>
              <w:textAlignment w:val="center"/>
              <w:rPr>
                <w:rFonts w:ascii="Times New Roman" w:hAnsi="Times New Roman" w:cs="Times New Roman"/>
                <w:color w:val="auto"/>
                <w:sz w:val="21"/>
                <w:lang w:eastAsia="zh-CN"/>
              </w:rPr>
            </w:pPr>
          </w:p>
        </w:tc>
        <w:tc>
          <w:tcPr>
            <w:tcW w:w="276" w:type="pct"/>
            <w:vMerge w:val="restart"/>
            <w:shd w:val="clear" w:color="auto" w:fill="FFFFFF"/>
            <w:vAlign w:val="center"/>
          </w:tcPr>
          <w:p w14:paraId="7217A211">
            <w:pPr>
              <w:overflowPunct w:val="0"/>
              <w:jc w:val="center"/>
              <w:textAlignment w:val="center"/>
              <w:rPr>
                <w:rFonts w:ascii="Times New Roman" w:hAnsi="Times New Roman" w:cs="Times New Roman"/>
                <w:color w:val="EE0000"/>
                <w:sz w:val="21"/>
                <w:lang w:eastAsia="zh-CN" w:bidi="ar"/>
              </w:rPr>
            </w:pPr>
          </w:p>
        </w:tc>
        <w:tc>
          <w:tcPr>
            <w:tcW w:w="276" w:type="pct"/>
            <w:vMerge w:val="restart"/>
            <w:shd w:val="clear" w:color="auto" w:fill="FFFFFF"/>
            <w:vAlign w:val="center"/>
          </w:tcPr>
          <w:p w14:paraId="62A8C1A9">
            <w:pPr>
              <w:overflowPunct w:val="0"/>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vMerge w:val="restart"/>
            <w:vAlign w:val="center"/>
          </w:tcPr>
          <w:p w14:paraId="6C161F07">
            <w:pPr>
              <w:overflowPunct w:val="0"/>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6" w:type="pct"/>
            <w:vMerge w:val="restart"/>
            <w:vAlign w:val="center"/>
          </w:tcPr>
          <w:p w14:paraId="54D9F5EB">
            <w:pPr>
              <w:overflowPunct w:val="0"/>
              <w:jc w:val="center"/>
              <w:textAlignment w:val="center"/>
              <w:rPr>
                <w:rFonts w:ascii="Times New Roman" w:hAnsi="Times New Roman" w:cs="Times New Roman"/>
                <w:color w:val="auto"/>
                <w:sz w:val="21"/>
                <w:lang w:eastAsia="zh-CN" w:bidi="ar"/>
              </w:rPr>
            </w:pPr>
          </w:p>
        </w:tc>
        <w:tc>
          <w:tcPr>
            <w:tcW w:w="280" w:type="pct"/>
            <w:vMerge w:val="restart"/>
            <w:vAlign w:val="center"/>
          </w:tcPr>
          <w:p w14:paraId="03F01BB1">
            <w:pPr>
              <w:overflowPunct w:val="0"/>
              <w:jc w:val="center"/>
              <w:textAlignment w:val="center"/>
              <w:rPr>
                <w:rFonts w:ascii="Times New Roman" w:hAnsi="Times New Roman" w:cs="Times New Roman"/>
                <w:color w:val="auto"/>
                <w:sz w:val="21"/>
                <w:lang w:eastAsia="zh-CN" w:bidi="ar"/>
              </w:rPr>
            </w:pPr>
          </w:p>
        </w:tc>
        <w:tc>
          <w:tcPr>
            <w:tcW w:w="143" w:type="pct"/>
            <w:vMerge w:val="restart"/>
            <w:vAlign w:val="center"/>
          </w:tcPr>
          <w:p w14:paraId="2D6302B5">
            <w:pPr>
              <w:overflowPunct w:val="0"/>
              <w:jc w:val="center"/>
              <w:rPr>
                <w:rFonts w:ascii="Times New Roman" w:hAnsi="Times New Roman" w:cs="Times New Roman"/>
                <w:color w:val="auto"/>
                <w:sz w:val="21"/>
                <w:lang w:eastAsia="zh-CN"/>
              </w:rPr>
            </w:pPr>
          </w:p>
        </w:tc>
        <w:tc>
          <w:tcPr>
            <w:tcW w:w="203" w:type="pct"/>
            <w:vMerge w:val="restart"/>
            <w:vAlign w:val="center"/>
          </w:tcPr>
          <w:p w14:paraId="4A6BB671">
            <w:pPr>
              <w:overflowPunct w:val="0"/>
              <w:jc w:val="center"/>
              <w:rPr>
                <w:rFonts w:ascii="Times New Roman" w:hAnsi="Times New Roman" w:cs="Times New Roman"/>
                <w:color w:val="auto"/>
                <w:sz w:val="21"/>
                <w:lang w:eastAsia="zh-CN"/>
              </w:rPr>
            </w:pPr>
          </w:p>
        </w:tc>
      </w:tr>
      <w:tr w14:paraId="5DA9EB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31" w:type="pct"/>
            <w:vMerge w:val="continue"/>
            <w:vAlign w:val="center"/>
          </w:tcPr>
          <w:p w14:paraId="1CD77F11">
            <w:pPr>
              <w:overflowPunct w:val="0"/>
              <w:jc w:val="center"/>
              <w:textAlignment w:val="center"/>
              <w:rPr>
                <w:rFonts w:ascii="Times New Roman" w:hAnsi="Times New Roman" w:cs="Times New Roman"/>
                <w:color w:val="auto"/>
                <w:sz w:val="21"/>
                <w:lang w:eastAsia="zh-CN" w:bidi="ar"/>
              </w:rPr>
            </w:pPr>
          </w:p>
        </w:tc>
        <w:tc>
          <w:tcPr>
            <w:tcW w:w="230" w:type="pct"/>
            <w:vMerge w:val="continue"/>
            <w:vAlign w:val="center"/>
          </w:tcPr>
          <w:p w14:paraId="12326547">
            <w:pPr>
              <w:overflowPunct w:val="0"/>
              <w:jc w:val="center"/>
              <w:textAlignment w:val="center"/>
              <w:rPr>
                <w:rFonts w:ascii="Times New Roman" w:hAnsi="Times New Roman" w:cs="Times New Roman"/>
                <w:color w:val="auto"/>
                <w:sz w:val="21"/>
                <w:lang w:eastAsia="zh-CN" w:bidi="ar"/>
              </w:rPr>
            </w:pPr>
          </w:p>
        </w:tc>
        <w:tc>
          <w:tcPr>
            <w:tcW w:w="368" w:type="pct"/>
            <w:vAlign w:val="center"/>
          </w:tcPr>
          <w:p w14:paraId="32640DD1">
            <w:pPr>
              <w:overflowPunct w:val="0"/>
              <w:jc w:val="center"/>
              <w:textAlignment w:val="center"/>
              <w:rPr>
                <w:rFonts w:ascii="Times New Roman" w:hAnsi="Times New Roman" w:cs="Times New Roman"/>
                <w:color w:val="auto"/>
                <w:sz w:val="21"/>
                <w:lang w:eastAsia="zh-CN" w:bidi="ar"/>
              </w:rPr>
            </w:pPr>
          </w:p>
        </w:tc>
        <w:tc>
          <w:tcPr>
            <w:tcW w:w="276" w:type="pct"/>
            <w:vAlign w:val="center"/>
          </w:tcPr>
          <w:p w14:paraId="4372C72B">
            <w:pPr>
              <w:overflowPunct w:val="0"/>
              <w:jc w:val="center"/>
              <w:textAlignment w:val="center"/>
              <w:rPr>
                <w:rFonts w:ascii="Times New Roman" w:hAnsi="Times New Roman" w:cs="Times New Roman"/>
                <w:color w:val="auto"/>
                <w:sz w:val="21"/>
                <w:lang w:eastAsia="zh-CN"/>
              </w:rPr>
            </w:pPr>
          </w:p>
        </w:tc>
        <w:tc>
          <w:tcPr>
            <w:tcW w:w="231" w:type="pct"/>
            <w:vMerge w:val="continue"/>
            <w:vAlign w:val="center"/>
          </w:tcPr>
          <w:p w14:paraId="254F97F6">
            <w:pPr>
              <w:overflowPunct w:val="0"/>
              <w:jc w:val="center"/>
              <w:textAlignment w:val="center"/>
              <w:rPr>
                <w:rFonts w:ascii="Times New Roman" w:hAnsi="Times New Roman" w:cs="Times New Roman"/>
                <w:color w:val="auto"/>
                <w:sz w:val="21"/>
                <w:lang w:eastAsia="zh-CN" w:bidi="ar"/>
              </w:rPr>
            </w:pPr>
          </w:p>
        </w:tc>
        <w:tc>
          <w:tcPr>
            <w:tcW w:w="230" w:type="pct"/>
            <w:vMerge w:val="continue"/>
            <w:vAlign w:val="center"/>
          </w:tcPr>
          <w:p w14:paraId="79857BF3">
            <w:pPr>
              <w:overflowPunct w:val="0"/>
              <w:jc w:val="center"/>
              <w:textAlignment w:val="center"/>
              <w:rPr>
                <w:rFonts w:ascii="Times New Roman" w:hAnsi="Times New Roman" w:cs="Times New Roman"/>
                <w:color w:val="auto"/>
                <w:sz w:val="21"/>
                <w:lang w:eastAsia="zh-CN" w:bidi="ar"/>
              </w:rPr>
            </w:pPr>
          </w:p>
        </w:tc>
        <w:tc>
          <w:tcPr>
            <w:tcW w:w="276" w:type="pct"/>
            <w:noWrap/>
            <w:vAlign w:val="center"/>
          </w:tcPr>
          <w:p w14:paraId="10F11357">
            <w:pPr>
              <w:overflowPunct w:val="0"/>
              <w:jc w:val="center"/>
              <w:textAlignment w:val="center"/>
              <w:rPr>
                <w:rFonts w:ascii="Times New Roman" w:hAnsi="Times New Roman" w:cs="Times New Roman"/>
                <w:color w:val="auto"/>
                <w:sz w:val="21"/>
                <w:lang w:eastAsia="zh-CN"/>
              </w:rPr>
            </w:pPr>
          </w:p>
        </w:tc>
        <w:tc>
          <w:tcPr>
            <w:tcW w:w="276" w:type="pct"/>
            <w:noWrap/>
            <w:vAlign w:val="center"/>
          </w:tcPr>
          <w:p w14:paraId="0B7FA00A">
            <w:pPr>
              <w:overflowPunct w:val="0"/>
              <w:jc w:val="center"/>
              <w:textAlignment w:val="center"/>
              <w:rPr>
                <w:rFonts w:ascii="Times New Roman" w:hAnsi="Times New Roman" w:cs="Times New Roman"/>
                <w:color w:val="auto"/>
                <w:sz w:val="21"/>
                <w:lang w:eastAsia="zh-CN"/>
              </w:rPr>
            </w:pPr>
          </w:p>
        </w:tc>
        <w:tc>
          <w:tcPr>
            <w:tcW w:w="276" w:type="pct"/>
            <w:vAlign w:val="center"/>
          </w:tcPr>
          <w:p w14:paraId="3A2B5249">
            <w:pPr>
              <w:overflowPunct w:val="0"/>
              <w:jc w:val="center"/>
              <w:textAlignment w:val="center"/>
              <w:rPr>
                <w:rFonts w:ascii="Times New Roman" w:hAnsi="Times New Roman" w:cs="Times New Roman"/>
                <w:color w:val="auto"/>
                <w:sz w:val="21"/>
                <w:lang w:eastAsia="zh-CN"/>
              </w:rPr>
            </w:pPr>
          </w:p>
        </w:tc>
        <w:tc>
          <w:tcPr>
            <w:tcW w:w="323" w:type="pct"/>
            <w:vMerge w:val="continue"/>
            <w:vAlign w:val="center"/>
          </w:tcPr>
          <w:p w14:paraId="2B008C45">
            <w:pPr>
              <w:overflowPunct w:val="0"/>
              <w:jc w:val="center"/>
              <w:rPr>
                <w:rFonts w:ascii="Times New Roman" w:hAnsi="Times New Roman" w:cs="Times New Roman"/>
                <w:color w:val="auto"/>
                <w:sz w:val="21"/>
                <w:lang w:eastAsia="zh-CN"/>
              </w:rPr>
            </w:pPr>
          </w:p>
        </w:tc>
        <w:tc>
          <w:tcPr>
            <w:tcW w:w="276" w:type="pct"/>
            <w:vMerge w:val="continue"/>
            <w:vAlign w:val="center"/>
          </w:tcPr>
          <w:p w14:paraId="4F11ED0F">
            <w:pPr>
              <w:overflowPunct w:val="0"/>
              <w:jc w:val="center"/>
              <w:textAlignment w:val="center"/>
              <w:rPr>
                <w:rFonts w:ascii="Times New Roman" w:hAnsi="Times New Roman" w:cs="Times New Roman"/>
                <w:color w:val="auto"/>
                <w:sz w:val="21"/>
                <w:lang w:eastAsia="zh-CN" w:bidi="ar"/>
              </w:rPr>
            </w:pPr>
          </w:p>
        </w:tc>
        <w:tc>
          <w:tcPr>
            <w:tcW w:w="276" w:type="pct"/>
            <w:vMerge w:val="continue"/>
            <w:vAlign w:val="center"/>
          </w:tcPr>
          <w:p w14:paraId="7DC048EA">
            <w:pPr>
              <w:overflowPunct w:val="0"/>
              <w:jc w:val="center"/>
              <w:textAlignment w:val="center"/>
              <w:rPr>
                <w:rFonts w:ascii="Times New Roman" w:hAnsi="Times New Roman" w:cs="Times New Roman"/>
                <w:color w:val="auto"/>
                <w:sz w:val="21"/>
                <w:lang w:eastAsia="zh-CN" w:bidi="ar"/>
              </w:rPr>
            </w:pPr>
          </w:p>
        </w:tc>
        <w:tc>
          <w:tcPr>
            <w:tcW w:w="276" w:type="pct"/>
            <w:vMerge w:val="continue"/>
            <w:shd w:val="clear" w:color="auto" w:fill="FFFFFF"/>
            <w:vAlign w:val="center"/>
          </w:tcPr>
          <w:p w14:paraId="54BA2B7F">
            <w:pPr>
              <w:overflowPunct w:val="0"/>
              <w:jc w:val="center"/>
              <w:rPr>
                <w:rFonts w:ascii="Times New Roman" w:hAnsi="Times New Roman" w:cs="Times New Roman"/>
                <w:color w:val="auto"/>
                <w:sz w:val="21"/>
                <w:lang w:eastAsia="zh-CN" w:bidi="ar"/>
              </w:rPr>
            </w:pPr>
          </w:p>
        </w:tc>
        <w:tc>
          <w:tcPr>
            <w:tcW w:w="276" w:type="pct"/>
            <w:vMerge w:val="continue"/>
            <w:shd w:val="clear" w:color="auto" w:fill="FFFFFF"/>
            <w:vAlign w:val="center"/>
          </w:tcPr>
          <w:p w14:paraId="052395F6">
            <w:pPr>
              <w:overflowPunct w:val="0"/>
              <w:jc w:val="center"/>
              <w:rPr>
                <w:rFonts w:ascii="Times New Roman" w:hAnsi="Times New Roman" w:cs="Times New Roman"/>
                <w:color w:val="auto"/>
                <w:sz w:val="21"/>
                <w:lang w:eastAsia="zh-CN" w:bidi="ar"/>
              </w:rPr>
            </w:pPr>
          </w:p>
        </w:tc>
        <w:tc>
          <w:tcPr>
            <w:tcW w:w="277" w:type="pct"/>
            <w:vMerge w:val="continue"/>
            <w:vAlign w:val="center"/>
          </w:tcPr>
          <w:p w14:paraId="413CA448">
            <w:pPr>
              <w:overflowPunct w:val="0"/>
              <w:jc w:val="center"/>
              <w:rPr>
                <w:rFonts w:ascii="Times New Roman" w:hAnsi="Times New Roman" w:cs="Times New Roman"/>
                <w:color w:val="auto"/>
                <w:sz w:val="21"/>
                <w:lang w:eastAsia="zh-CN"/>
              </w:rPr>
            </w:pPr>
          </w:p>
        </w:tc>
        <w:tc>
          <w:tcPr>
            <w:tcW w:w="276" w:type="pct"/>
            <w:vMerge w:val="continue"/>
            <w:vAlign w:val="center"/>
          </w:tcPr>
          <w:p w14:paraId="4E77348C">
            <w:pPr>
              <w:overflowPunct w:val="0"/>
              <w:jc w:val="center"/>
              <w:rPr>
                <w:rFonts w:ascii="Times New Roman" w:hAnsi="Times New Roman" w:cs="Times New Roman"/>
                <w:color w:val="auto"/>
                <w:sz w:val="21"/>
                <w:lang w:eastAsia="zh-CN" w:bidi="ar"/>
              </w:rPr>
            </w:pPr>
          </w:p>
        </w:tc>
        <w:tc>
          <w:tcPr>
            <w:tcW w:w="280" w:type="pct"/>
            <w:vMerge w:val="continue"/>
            <w:vAlign w:val="center"/>
          </w:tcPr>
          <w:p w14:paraId="4E27C942">
            <w:pPr>
              <w:overflowPunct w:val="0"/>
              <w:jc w:val="center"/>
              <w:rPr>
                <w:rFonts w:ascii="Times New Roman" w:hAnsi="Times New Roman" w:cs="Times New Roman"/>
                <w:color w:val="auto"/>
                <w:sz w:val="21"/>
                <w:lang w:eastAsia="zh-CN" w:bidi="ar"/>
              </w:rPr>
            </w:pPr>
          </w:p>
        </w:tc>
        <w:tc>
          <w:tcPr>
            <w:tcW w:w="143" w:type="pct"/>
            <w:vMerge w:val="continue"/>
            <w:vAlign w:val="center"/>
          </w:tcPr>
          <w:p w14:paraId="6760C01E">
            <w:pPr>
              <w:overflowPunct w:val="0"/>
              <w:jc w:val="center"/>
              <w:rPr>
                <w:rFonts w:ascii="Times New Roman" w:hAnsi="Times New Roman" w:cs="Times New Roman"/>
                <w:color w:val="auto"/>
                <w:sz w:val="21"/>
                <w:lang w:eastAsia="zh-CN"/>
              </w:rPr>
            </w:pPr>
          </w:p>
        </w:tc>
        <w:tc>
          <w:tcPr>
            <w:tcW w:w="203" w:type="pct"/>
            <w:vMerge w:val="continue"/>
            <w:vAlign w:val="center"/>
          </w:tcPr>
          <w:p w14:paraId="05B72242">
            <w:pPr>
              <w:overflowPunct w:val="0"/>
              <w:jc w:val="center"/>
              <w:rPr>
                <w:rFonts w:ascii="Times New Roman" w:hAnsi="Times New Roman" w:cs="Times New Roman"/>
                <w:color w:val="auto"/>
                <w:sz w:val="21"/>
                <w:lang w:eastAsia="zh-CN"/>
              </w:rPr>
            </w:pPr>
          </w:p>
        </w:tc>
      </w:tr>
      <w:tr w14:paraId="375C0A9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31" w:type="pct"/>
            <w:vMerge w:val="continue"/>
            <w:vAlign w:val="center"/>
          </w:tcPr>
          <w:p w14:paraId="5ACC0A62">
            <w:pPr>
              <w:overflowPunct w:val="0"/>
              <w:jc w:val="center"/>
              <w:textAlignment w:val="center"/>
              <w:rPr>
                <w:rFonts w:ascii="Times New Roman" w:hAnsi="Times New Roman" w:cs="Times New Roman"/>
                <w:color w:val="auto"/>
                <w:sz w:val="21"/>
                <w:lang w:eastAsia="zh-CN" w:bidi="ar"/>
              </w:rPr>
            </w:pPr>
          </w:p>
        </w:tc>
        <w:tc>
          <w:tcPr>
            <w:tcW w:w="230" w:type="pct"/>
            <w:vMerge w:val="continue"/>
            <w:vAlign w:val="center"/>
          </w:tcPr>
          <w:p w14:paraId="60B7290B">
            <w:pPr>
              <w:overflowPunct w:val="0"/>
              <w:jc w:val="center"/>
              <w:textAlignment w:val="center"/>
              <w:rPr>
                <w:rFonts w:ascii="Times New Roman" w:hAnsi="Times New Roman" w:cs="Times New Roman"/>
                <w:color w:val="auto"/>
                <w:sz w:val="21"/>
                <w:lang w:eastAsia="zh-CN" w:bidi="ar"/>
              </w:rPr>
            </w:pPr>
          </w:p>
        </w:tc>
        <w:tc>
          <w:tcPr>
            <w:tcW w:w="368" w:type="pct"/>
            <w:vAlign w:val="center"/>
          </w:tcPr>
          <w:p w14:paraId="6DAE63DC">
            <w:pPr>
              <w:overflowPunct w:val="0"/>
              <w:jc w:val="center"/>
              <w:textAlignment w:val="center"/>
              <w:rPr>
                <w:rFonts w:ascii="Times New Roman" w:hAnsi="Times New Roman" w:cs="Times New Roman"/>
                <w:color w:val="auto"/>
                <w:sz w:val="21"/>
                <w:lang w:eastAsia="zh-CN" w:bidi="ar"/>
              </w:rPr>
            </w:pPr>
          </w:p>
        </w:tc>
        <w:tc>
          <w:tcPr>
            <w:tcW w:w="276" w:type="pct"/>
            <w:vAlign w:val="center"/>
          </w:tcPr>
          <w:p w14:paraId="5639D918">
            <w:pPr>
              <w:overflowPunct w:val="0"/>
              <w:jc w:val="center"/>
              <w:textAlignment w:val="center"/>
              <w:rPr>
                <w:rFonts w:ascii="Times New Roman" w:hAnsi="Times New Roman" w:cs="Times New Roman"/>
                <w:color w:val="auto"/>
                <w:sz w:val="21"/>
                <w:lang w:eastAsia="zh-CN"/>
              </w:rPr>
            </w:pPr>
          </w:p>
        </w:tc>
        <w:tc>
          <w:tcPr>
            <w:tcW w:w="231" w:type="pct"/>
            <w:vMerge w:val="continue"/>
            <w:vAlign w:val="center"/>
          </w:tcPr>
          <w:p w14:paraId="044A5666">
            <w:pPr>
              <w:overflowPunct w:val="0"/>
              <w:jc w:val="center"/>
              <w:textAlignment w:val="center"/>
              <w:rPr>
                <w:rFonts w:ascii="Times New Roman" w:hAnsi="Times New Roman" w:cs="Times New Roman"/>
                <w:color w:val="auto"/>
                <w:sz w:val="21"/>
                <w:lang w:eastAsia="zh-CN" w:bidi="ar"/>
              </w:rPr>
            </w:pPr>
          </w:p>
        </w:tc>
        <w:tc>
          <w:tcPr>
            <w:tcW w:w="230" w:type="pct"/>
            <w:vMerge w:val="continue"/>
            <w:vAlign w:val="center"/>
          </w:tcPr>
          <w:p w14:paraId="32E13104">
            <w:pPr>
              <w:overflowPunct w:val="0"/>
              <w:jc w:val="center"/>
              <w:textAlignment w:val="center"/>
              <w:rPr>
                <w:rFonts w:ascii="Times New Roman" w:hAnsi="Times New Roman" w:cs="Times New Roman"/>
                <w:color w:val="auto"/>
                <w:sz w:val="21"/>
                <w:lang w:eastAsia="zh-CN" w:bidi="ar"/>
              </w:rPr>
            </w:pPr>
          </w:p>
        </w:tc>
        <w:tc>
          <w:tcPr>
            <w:tcW w:w="276" w:type="pct"/>
            <w:noWrap/>
            <w:vAlign w:val="center"/>
          </w:tcPr>
          <w:p w14:paraId="04223582">
            <w:pPr>
              <w:overflowPunct w:val="0"/>
              <w:jc w:val="center"/>
              <w:textAlignment w:val="center"/>
              <w:rPr>
                <w:rFonts w:ascii="Times New Roman" w:hAnsi="Times New Roman" w:cs="Times New Roman"/>
                <w:color w:val="auto"/>
                <w:sz w:val="21"/>
                <w:lang w:eastAsia="zh-CN"/>
              </w:rPr>
            </w:pPr>
          </w:p>
        </w:tc>
        <w:tc>
          <w:tcPr>
            <w:tcW w:w="276" w:type="pct"/>
            <w:noWrap/>
            <w:vAlign w:val="center"/>
          </w:tcPr>
          <w:p w14:paraId="2F6B618B">
            <w:pPr>
              <w:overflowPunct w:val="0"/>
              <w:jc w:val="center"/>
              <w:textAlignment w:val="center"/>
              <w:rPr>
                <w:rFonts w:ascii="Times New Roman" w:hAnsi="Times New Roman" w:cs="Times New Roman"/>
                <w:color w:val="auto"/>
                <w:sz w:val="21"/>
                <w:lang w:eastAsia="zh-CN"/>
              </w:rPr>
            </w:pPr>
          </w:p>
        </w:tc>
        <w:tc>
          <w:tcPr>
            <w:tcW w:w="276" w:type="pct"/>
            <w:vAlign w:val="center"/>
          </w:tcPr>
          <w:p w14:paraId="4589D681">
            <w:pPr>
              <w:overflowPunct w:val="0"/>
              <w:jc w:val="center"/>
              <w:textAlignment w:val="center"/>
              <w:rPr>
                <w:rFonts w:ascii="Times New Roman" w:hAnsi="Times New Roman" w:cs="Times New Roman"/>
                <w:color w:val="auto"/>
                <w:sz w:val="21"/>
                <w:lang w:eastAsia="zh-CN"/>
              </w:rPr>
            </w:pPr>
          </w:p>
        </w:tc>
        <w:tc>
          <w:tcPr>
            <w:tcW w:w="323" w:type="pct"/>
            <w:vMerge w:val="continue"/>
            <w:vAlign w:val="center"/>
          </w:tcPr>
          <w:p w14:paraId="53F6F7DE">
            <w:pPr>
              <w:overflowPunct w:val="0"/>
              <w:jc w:val="center"/>
              <w:rPr>
                <w:rFonts w:ascii="Times New Roman" w:hAnsi="Times New Roman" w:cs="Times New Roman"/>
                <w:color w:val="auto"/>
                <w:sz w:val="21"/>
                <w:lang w:eastAsia="zh-CN"/>
              </w:rPr>
            </w:pPr>
          </w:p>
        </w:tc>
        <w:tc>
          <w:tcPr>
            <w:tcW w:w="276" w:type="pct"/>
            <w:vMerge w:val="continue"/>
            <w:vAlign w:val="center"/>
          </w:tcPr>
          <w:p w14:paraId="448FD3CB">
            <w:pPr>
              <w:overflowPunct w:val="0"/>
              <w:jc w:val="center"/>
              <w:textAlignment w:val="center"/>
              <w:rPr>
                <w:rFonts w:ascii="Times New Roman" w:hAnsi="Times New Roman" w:cs="Times New Roman"/>
                <w:color w:val="auto"/>
                <w:sz w:val="21"/>
                <w:lang w:eastAsia="zh-CN" w:bidi="ar"/>
              </w:rPr>
            </w:pPr>
          </w:p>
        </w:tc>
        <w:tc>
          <w:tcPr>
            <w:tcW w:w="276" w:type="pct"/>
            <w:vMerge w:val="continue"/>
            <w:vAlign w:val="center"/>
          </w:tcPr>
          <w:p w14:paraId="5CBCEBE9">
            <w:pPr>
              <w:overflowPunct w:val="0"/>
              <w:jc w:val="center"/>
              <w:textAlignment w:val="center"/>
              <w:rPr>
                <w:rFonts w:ascii="Times New Roman" w:hAnsi="Times New Roman" w:cs="Times New Roman"/>
                <w:color w:val="auto"/>
                <w:sz w:val="21"/>
                <w:lang w:eastAsia="zh-CN" w:bidi="ar"/>
              </w:rPr>
            </w:pPr>
          </w:p>
        </w:tc>
        <w:tc>
          <w:tcPr>
            <w:tcW w:w="276" w:type="pct"/>
            <w:vMerge w:val="continue"/>
            <w:shd w:val="clear" w:color="auto" w:fill="FFFFFF"/>
            <w:vAlign w:val="center"/>
          </w:tcPr>
          <w:p w14:paraId="56B32954">
            <w:pPr>
              <w:overflowPunct w:val="0"/>
              <w:jc w:val="center"/>
              <w:rPr>
                <w:rFonts w:ascii="Times New Roman" w:hAnsi="Times New Roman" w:cs="Times New Roman"/>
                <w:color w:val="auto"/>
                <w:sz w:val="21"/>
                <w:lang w:eastAsia="zh-CN" w:bidi="ar"/>
              </w:rPr>
            </w:pPr>
          </w:p>
        </w:tc>
        <w:tc>
          <w:tcPr>
            <w:tcW w:w="276" w:type="pct"/>
            <w:vMerge w:val="continue"/>
            <w:shd w:val="clear" w:color="auto" w:fill="FFFFFF"/>
            <w:vAlign w:val="center"/>
          </w:tcPr>
          <w:p w14:paraId="324553A2">
            <w:pPr>
              <w:overflowPunct w:val="0"/>
              <w:jc w:val="center"/>
              <w:rPr>
                <w:rFonts w:ascii="Times New Roman" w:hAnsi="Times New Roman" w:cs="Times New Roman"/>
                <w:color w:val="auto"/>
                <w:sz w:val="21"/>
                <w:lang w:eastAsia="zh-CN" w:bidi="ar"/>
              </w:rPr>
            </w:pPr>
          </w:p>
        </w:tc>
        <w:tc>
          <w:tcPr>
            <w:tcW w:w="277" w:type="pct"/>
            <w:vMerge w:val="continue"/>
            <w:vAlign w:val="center"/>
          </w:tcPr>
          <w:p w14:paraId="28A638B5">
            <w:pPr>
              <w:overflowPunct w:val="0"/>
              <w:jc w:val="center"/>
              <w:rPr>
                <w:rFonts w:ascii="Times New Roman" w:hAnsi="Times New Roman" w:cs="Times New Roman"/>
                <w:color w:val="auto"/>
                <w:sz w:val="21"/>
                <w:lang w:eastAsia="zh-CN"/>
              </w:rPr>
            </w:pPr>
          </w:p>
        </w:tc>
        <w:tc>
          <w:tcPr>
            <w:tcW w:w="276" w:type="pct"/>
            <w:vMerge w:val="continue"/>
            <w:vAlign w:val="center"/>
          </w:tcPr>
          <w:p w14:paraId="0BDA3CD7">
            <w:pPr>
              <w:overflowPunct w:val="0"/>
              <w:jc w:val="center"/>
              <w:rPr>
                <w:rFonts w:ascii="Times New Roman" w:hAnsi="Times New Roman" w:cs="Times New Roman"/>
                <w:color w:val="auto"/>
                <w:sz w:val="21"/>
                <w:lang w:eastAsia="zh-CN" w:bidi="ar"/>
              </w:rPr>
            </w:pPr>
          </w:p>
        </w:tc>
        <w:tc>
          <w:tcPr>
            <w:tcW w:w="280" w:type="pct"/>
            <w:vMerge w:val="continue"/>
            <w:vAlign w:val="center"/>
          </w:tcPr>
          <w:p w14:paraId="4E5CC9B7">
            <w:pPr>
              <w:overflowPunct w:val="0"/>
              <w:jc w:val="center"/>
              <w:rPr>
                <w:rFonts w:ascii="Times New Roman" w:hAnsi="Times New Roman" w:cs="Times New Roman"/>
                <w:color w:val="auto"/>
                <w:sz w:val="21"/>
                <w:lang w:eastAsia="zh-CN" w:bidi="ar"/>
              </w:rPr>
            </w:pPr>
          </w:p>
        </w:tc>
        <w:tc>
          <w:tcPr>
            <w:tcW w:w="143" w:type="pct"/>
            <w:vMerge w:val="continue"/>
            <w:vAlign w:val="center"/>
          </w:tcPr>
          <w:p w14:paraId="58B34181">
            <w:pPr>
              <w:overflowPunct w:val="0"/>
              <w:jc w:val="center"/>
              <w:rPr>
                <w:rFonts w:ascii="Times New Roman" w:hAnsi="Times New Roman" w:cs="Times New Roman"/>
                <w:color w:val="auto"/>
                <w:sz w:val="21"/>
                <w:lang w:eastAsia="zh-CN"/>
              </w:rPr>
            </w:pPr>
          </w:p>
        </w:tc>
        <w:tc>
          <w:tcPr>
            <w:tcW w:w="203" w:type="pct"/>
            <w:vMerge w:val="continue"/>
            <w:vAlign w:val="center"/>
          </w:tcPr>
          <w:p w14:paraId="6FE4CB66">
            <w:pPr>
              <w:overflowPunct w:val="0"/>
              <w:jc w:val="center"/>
              <w:rPr>
                <w:rFonts w:ascii="Times New Roman" w:hAnsi="Times New Roman" w:cs="Times New Roman"/>
                <w:color w:val="auto"/>
                <w:sz w:val="21"/>
                <w:lang w:eastAsia="zh-CN"/>
              </w:rPr>
            </w:pPr>
          </w:p>
        </w:tc>
      </w:tr>
      <w:tr w14:paraId="3D7C702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31" w:type="pct"/>
            <w:vMerge w:val="continue"/>
            <w:vAlign w:val="center"/>
          </w:tcPr>
          <w:p w14:paraId="610EB9CA">
            <w:pPr>
              <w:overflowPunct w:val="0"/>
              <w:jc w:val="center"/>
              <w:textAlignment w:val="center"/>
              <w:rPr>
                <w:rFonts w:ascii="Times New Roman" w:hAnsi="Times New Roman" w:cs="Times New Roman"/>
                <w:color w:val="auto"/>
                <w:sz w:val="21"/>
                <w:lang w:eastAsia="zh-CN" w:bidi="ar"/>
              </w:rPr>
            </w:pPr>
          </w:p>
        </w:tc>
        <w:tc>
          <w:tcPr>
            <w:tcW w:w="230" w:type="pct"/>
            <w:vMerge w:val="continue"/>
            <w:vAlign w:val="center"/>
          </w:tcPr>
          <w:p w14:paraId="0CFA550D">
            <w:pPr>
              <w:overflowPunct w:val="0"/>
              <w:jc w:val="center"/>
              <w:textAlignment w:val="center"/>
              <w:rPr>
                <w:rFonts w:ascii="Times New Roman" w:hAnsi="Times New Roman" w:cs="Times New Roman"/>
                <w:color w:val="auto"/>
                <w:sz w:val="21"/>
                <w:lang w:eastAsia="zh-CN" w:bidi="ar"/>
              </w:rPr>
            </w:pPr>
          </w:p>
        </w:tc>
        <w:tc>
          <w:tcPr>
            <w:tcW w:w="368" w:type="pct"/>
            <w:vAlign w:val="center"/>
          </w:tcPr>
          <w:p w14:paraId="7A9D7EF4">
            <w:pPr>
              <w:overflowPunct w:val="0"/>
              <w:jc w:val="center"/>
              <w:textAlignment w:val="center"/>
              <w:rPr>
                <w:rFonts w:ascii="Times New Roman" w:hAnsi="Times New Roman" w:cs="Times New Roman"/>
                <w:color w:val="auto"/>
                <w:sz w:val="21"/>
                <w:lang w:eastAsia="zh-CN" w:bidi="ar"/>
              </w:rPr>
            </w:pPr>
          </w:p>
        </w:tc>
        <w:tc>
          <w:tcPr>
            <w:tcW w:w="276" w:type="pct"/>
            <w:vAlign w:val="center"/>
          </w:tcPr>
          <w:p w14:paraId="071C4F6E">
            <w:pPr>
              <w:overflowPunct w:val="0"/>
              <w:jc w:val="center"/>
              <w:textAlignment w:val="center"/>
              <w:rPr>
                <w:rFonts w:ascii="Times New Roman" w:hAnsi="Times New Roman" w:cs="Times New Roman"/>
                <w:color w:val="auto"/>
                <w:sz w:val="21"/>
                <w:lang w:eastAsia="zh-CN"/>
              </w:rPr>
            </w:pPr>
          </w:p>
        </w:tc>
        <w:tc>
          <w:tcPr>
            <w:tcW w:w="231" w:type="pct"/>
            <w:vMerge w:val="continue"/>
            <w:vAlign w:val="center"/>
          </w:tcPr>
          <w:p w14:paraId="641FDAF1">
            <w:pPr>
              <w:overflowPunct w:val="0"/>
              <w:jc w:val="center"/>
              <w:textAlignment w:val="center"/>
              <w:rPr>
                <w:rFonts w:ascii="Times New Roman" w:hAnsi="Times New Roman" w:cs="Times New Roman"/>
                <w:color w:val="auto"/>
                <w:sz w:val="21"/>
                <w:lang w:eastAsia="zh-CN" w:bidi="ar"/>
              </w:rPr>
            </w:pPr>
          </w:p>
        </w:tc>
        <w:tc>
          <w:tcPr>
            <w:tcW w:w="230" w:type="pct"/>
            <w:vMerge w:val="continue"/>
            <w:vAlign w:val="center"/>
          </w:tcPr>
          <w:p w14:paraId="351F414B">
            <w:pPr>
              <w:overflowPunct w:val="0"/>
              <w:jc w:val="center"/>
              <w:textAlignment w:val="center"/>
              <w:rPr>
                <w:rFonts w:ascii="Times New Roman" w:hAnsi="Times New Roman" w:cs="Times New Roman"/>
                <w:color w:val="auto"/>
                <w:sz w:val="21"/>
                <w:lang w:eastAsia="zh-CN" w:bidi="ar"/>
              </w:rPr>
            </w:pPr>
          </w:p>
        </w:tc>
        <w:tc>
          <w:tcPr>
            <w:tcW w:w="276" w:type="pct"/>
            <w:noWrap/>
            <w:vAlign w:val="center"/>
          </w:tcPr>
          <w:p w14:paraId="0B18A9C0">
            <w:pPr>
              <w:overflowPunct w:val="0"/>
              <w:jc w:val="center"/>
              <w:textAlignment w:val="center"/>
              <w:rPr>
                <w:rFonts w:ascii="Times New Roman" w:hAnsi="Times New Roman" w:cs="Times New Roman"/>
                <w:sz w:val="21"/>
                <w:lang w:eastAsia="zh-CN"/>
              </w:rPr>
            </w:pPr>
          </w:p>
        </w:tc>
        <w:tc>
          <w:tcPr>
            <w:tcW w:w="276" w:type="pct"/>
            <w:noWrap/>
            <w:vAlign w:val="center"/>
          </w:tcPr>
          <w:p w14:paraId="4C34D383">
            <w:pPr>
              <w:overflowPunct w:val="0"/>
              <w:jc w:val="center"/>
              <w:textAlignment w:val="center"/>
              <w:rPr>
                <w:rFonts w:ascii="Times New Roman" w:hAnsi="Times New Roman" w:cs="Times New Roman"/>
                <w:color w:val="auto"/>
                <w:sz w:val="21"/>
                <w:lang w:eastAsia="zh-CN"/>
              </w:rPr>
            </w:pPr>
          </w:p>
        </w:tc>
        <w:tc>
          <w:tcPr>
            <w:tcW w:w="276" w:type="pct"/>
            <w:vAlign w:val="center"/>
          </w:tcPr>
          <w:p w14:paraId="21A31B3D">
            <w:pPr>
              <w:overflowPunct w:val="0"/>
              <w:jc w:val="center"/>
              <w:textAlignment w:val="center"/>
              <w:rPr>
                <w:rFonts w:ascii="Times New Roman" w:hAnsi="Times New Roman" w:cs="Times New Roman"/>
                <w:color w:val="auto"/>
                <w:sz w:val="21"/>
                <w:lang w:eastAsia="zh-CN"/>
              </w:rPr>
            </w:pPr>
          </w:p>
        </w:tc>
        <w:tc>
          <w:tcPr>
            <w:tcW w:w="323" w:type="pct"/>
            <w:vMerge w:val="continue"/>
            <w:vAlign w:val="center"/>
          </w:tcPr>
          <w:p w14:paraId="0958B40D">
            <w:pPr>
              <w:overflowPunct w:val="0"/>
              <w:jc w:val="center"/>
              <w:rPr>
                <w:rFonts w:ascii="Times New Roman" w:hAnsi="Times New Roman" w:cs="Times New Roman"/>
                <w:color w:val="auto"/>
                <w:sz w:val="21"/>
                <w:lang w:eastAsia="zh-CN"/>
              </w:rPr>
            </w:pPr>
          </w:p>
        </w:tc>
        <w:tc>
          <w:tcPr>
            <w:tcW w:w="276" w:type="pct"/>
            <w:vMerge w:val="continue"/>
            <w:vAlign w:val="center"/>
          </w:tcPr>
          <w:p w14:paraId="2B0015BD">
            <w:pPr>
              <w:overflowPunct w:val="0"/>
              <w:jc w:val="center"/>
              <w:textAlignment w:val="center"/>
              <w:rPr>
                <w:rFonts w:ascii="Times New Roman" w:hAnsi="Times New Roman" w:cs="Times New Roman"/>
                <w:color w:val="auto"/>
                <w:sz w:val="21"/>
                <w:lang w:eastAsia="zh-CN" w:bidi="ar"/>
              </w:rPr>
            </w:pPr>
          </w:p>
        </w:tc>
        <w:tc>
          <w:tcPr>
            <w:tcW w:w="276" w:type="pct"/>
            <w:vMerge w:val="continue"/>
            <w:vAlign w:val="center"/>
          </w:tcPr>
          <w:p w14:paraId="3D4EC449">
            <w:pPr>
              <w:overflowPunct w:val="0"/>
              <w:jc w:val="center"/>
              <w:textAlignment w:val="center"/>
              <w:rPr>
                <w:rFonts w:ascii="Times New Roman" w:hAnsi="Times New Roman" w:cs="Times New Roman"/>
                <w:color w:val="auto"/>
                <w:sz w:val="21"/>
                <w:lang w:eastAsia="zh-CN" w:bidi="ar"/>
              </w:rPr>
            </w:pPr>
          </w:p>
        </w:tc>
        <w:tc>
          <w:tcPr>
            <w:tcW w:w="276" w:type="pct"/>
            <w:vMerge w:val="continue"/>
            <w:shd w:val="clear" w:color="auto" w:fill="FFFFFF"/>
            <w:vAlign w:val="center"/>
          </w:tcPr>
          <w:p w14:paraId="11CCE915">
            <w:pPr>
              <w:overflowPunct w:val="0"/>
              <w:jc w:val="center"/>
              <w:rPr>
                <w:rFonts w:ascii="Times New Roman" w:hAnsi="Times New Roman" w:cs="Times New Roman"/>
                <w:color w:val="auto"/>
                <w:sz w:val="21"/>
                <w:lang w:eastAsia="zh-CN" w:bidi="ar"/>
              </w:rPr>
            </w:pPr>
          </w:p>
        </w:tc>
        <w:tc>
          <w:tcPr>
            <w:tcW w:w="276" w:type="pct"/>
            <w:vMerge w:val="continue"/>
            <w:shd w:val="clear" w:color="auto" w:fill="FFFFFF"/>
            <w:vAlign w:val="center"/>
          </w:tcPr>
          <w:p w14:paraId="7D1685D2">
            <w:pPr>
              <w:overflowPunct w:val="0"/>
              <w:jc w:val="center"/>
              <w:rPr>
                <w:rFonts w:ascii="Times New Roman" w:hAnsi="Times New Roman" w:cs="Times New Roman"/>
                <w:color w:val="auto"/>
                <w:sz w:val="21"/>
                <w:lang w:eastAsia="zh-CN" w:bidi="ar"/>
              </w:rPr>
            </w:pPr>
          </w:p>
        </w:tc>
        <w:tc>
          <w:tcPr>
            <w:tcW w:w="277" w:type="pct"/>
            <w:vMerge w:val="continue"/>
            <w:vAlign w:val="center"/>
          </w:tcPr>
          <w:p w14:paraId="6418B628">
            <w:pPr>
              <w:overflowPunct w:val="0"/>
              <w:jc w:val="center"/>
              <w:rPr>
                <w:rFonts w:ascii="Times New Roman" w:hAnsi="Times New Roman" w:cs="Times New Roman"/>
                <w:color w:val="auto"/>
                <w:sz w:val="21"/>
                <w:lang w:eastAsia="zh-CN"/>
              </w:rPr>
            </w:pPr>
          </w:p>
        </w:tc>
        <w:tc>
          <w:tcPr>
            <w:tcW w:w="276" w:type="pct"/>
            <w:vMerge w:val="continue"/>
            <w:vAlign w:val="center"/>
          </w:tcPr>
          <w:p w14:paraId="231119E3">
            <w:pPr>
              <w:overflowPunct w:val="0"/>
              <w:jc w:val="center"/>
              <w:rPr>
                <w:rFonts w:ascii="Times New Roman" w:hAnsi="Times New Roman" w:cs="Times New Roman"/>
                <w:color w:val="auto"/>
                <w:sz w:val="21"/>
                <w:lang w:eastAsia="zh-CN" w:bidi="ar"/>
              </w:rPr>
            </w:pPr>
          </w:p>
        </w:tc>
        <w:tc>
          <w:tcPr>
            <w:tcW w:w="280" w:type="pct"/>
            <w:vMerge w:val="continue"/>
            <w:vAlign w:val="center"/>
          </w:tcPr>
          <w:p w14:paraId="621AEEE2">
            <w:pPr>
              <w:overflowPunct w:val="0"/>
              <w:jc w:val="center"/>
              <w:rPr>
                <w:rFonts w:ascii="Times New Roman" w:hAnsi="Times New Roman" w:cs="Times New Roman"/>
                <w:color w:val="auto"/>
                <w:sz w:val="21"/>
                <w:lang w:eastAsia="zh-CN" w:bidi="ar"/>
              </w:rPr>
            </w:pPr>
          </w:p>
        </w:tc>
        <w:tc>
          <w:tcPr>
            <w:tcW w:w="143" w:type="pct"/>
            <w:vMerge w:val="continue"/>
            <w:vAlign w:val="center"/>
          </w:tcPr>
          <w:p w14:paraId="3E4B30A3">
            <w:pPr>
              <w:overflowPunct w:val="0"/>
              <w:jc w:val="center"/>
              <w:rPr>
                <w:rFonts w:ascii="Times New Roman" w:hAnsi="Times New Roman" w:cs="Times New Roman"/>
                <w:color w:val="auto"/>
                <w:sz w:val="21"/>
                <w:lang w:eastAsia="zh-CN"/>
              </w:rPr>
            </w:pPr>
          </w:p>
        </w:tc>
        <w:tc>
          <w:tcPr>
            <w:tcW w:w="203" w:type="pct"/>
            <w:vMerge w:val="continue"/>
            <w:vAlign w:val="center"/>
          </w:tcPr>
          <w:p w14:paraId="6595C391">
            <w:pPr>
              <w:overflowPunct w:val="0"/>
              <w:jc w:val="center"/>
              <w:rPr>
                <w:rFonts w:ascii="Times New Roman" w:hAnsi="Times New Roman" w:cs="Times New Roman"/>
                <w:color w:val="auto"/>
                <w:sz w:val="21"/>
                <w:lang w:eastAsia="zh-CN"/>
              </w:rPr>
            </w:pPr>
          </w:p>
        </w:tc>
      </w:tr>
      <w:tr w14:paraId="71B9021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31" w:type="pct"/>
            <w:vMerge w:val="continue"/>
            <w:vAlign w:val="center"/>
          </w:tcPr>
          <w:p w14:paraId="69E7B09B">
            <w:pPr>
              <w:overflowPunct w:val="0"/>
              <w:jc w:val="center"/>
              <w:textAlignment w:val="center"/>
              <w:rPr>
                <w:rFonts w:ascii="Times New Roman" w:hAnsi="Times New Roman" w:cs="Times New Roman"/>
                <w:color w:val="auto"/>
                <w:sz w:val="21"/>
                <w:lang w:eastAsia="zh-CN" w:bidi="ar"/>
              </w:rPr>
            </w:pPr>
          </w:p>
        </w:tc>
        <w:tc>
          <w:tcPr>
            <w:tcW w:w="230" w:type="pct"/>
            <w:vMerge w:val="continue"/>
            <w:vAlign w:val="center"/>
          </w:tcPr>
          <w:p w14:paraId="786F10BC">
            <w:pPr>
              <w:overflowPunct w:val="0"/>
              <w:jc w:val="center"/>
              <w:textAlignment w:val="center"/>
              <w:rPr>
                <w:rFonts w:ascii="Times New Roman" w:hAnsi="Times New Roman" w:cs="Times New Roman"/>
                <w:color w:val="auto"/>
                <w:sz w:val="21"/>
                <w:lang w:eastAsia="zh-CN" w:bidi="ar"/>
              </w:rPr>
            </w:pPr>
          </w:p>
        </w:tc>
        <w:tc>
          <w:tcPr>
            <w:tcW w:w="368" w:type="pct"/>
            <w:vAlign w:val="center"/>
          </w:tcPr>
          <w:p w14:paraId="57E1E1C0">
            <w:pPr>
              <w:overflowPunct w:val="0"/>
              <w:jc w:val="center"/>
              <w:textAlignment w:val="center"/>
              <w:rPr>
                <w:rFonts w:ascii="Times New Roman" w:hAnsi="Times New Roman" w:cs="Times New Roman"/>
                <w:color w:val="auto"/>
                <w:sz w:val="21"/>
                <w:lang w:eastAsia="zh-CN" w:bidi="ar"/>
              </w:rPr>
            </w:pPr>
          </w:p>
        </w:tc>
        <w:tc>
          <w:tcPr>
            <w:tcW w:w="276" w:type="pct"/>
            <w:vAlign w:val="center"/>
          </w:tcPr>
          <w:p w14:paraId="0F9E5A7F">
            <w:pPr>
              <w:overflowPunct w:val="0"/>
              <w:jc w:val="center"/>
              <w:textAlignment w:val="center"/>
              <w:rPr>
                <w:rFonts w:ascii="Times New Roman" w:hAnsi="Times New Roman" w:cs="Times New Roman"/>
                <w:color w:val="auto"/>
                <w:sz w:val="21"/>
                <w:lang w:eastAsia="zh-CN"/>
              </w:rPr>
            </w:pPr>
          </w:p>
        </w:tc>
        <w:tc>
          <w:tcPr>
            <w:tcW w:w="231" w:type="pct"/>
            <w:vMerge w:val="continue"/>
            <w:vAlign w:val="center"/>
          </w:tcPr>
          <w:p w14:paraId="49026226">
            <w:pPr>
              <w:overflowPunct w:val="0"/>
              <w:jc w:val="center"/>
              <w:textAlignment w:val="center"/>
              <w:rPr>
                <w:rFonts w:ascii="Times New Roman" w:hAnsi="Times New Roman" w:cs="Times New Roman"/>
                <w:color w:val="auto"/>
                <w:sz w:val="21"/>
                <w:lang w:eastAsia="zh-CN" w:bidi="ar"/>
              </w:rPr>
            </w:pPr>
          </w:p>
        </w:tc>
        <w:tc>
          <w:tcPr>
            <w:tcW w:w="230" w:type="pct"/>
            <w:vMerge w:val="continue"/>
            <w:vAlign w:val="center"/>
          </w:tcPr>
          <w:p w14:paraId="7B7C257E">
            <w:pPr>
              <w:overflowPunct w:val="0"/>
              <w:jc w:val="center"/>
              <w:textAlignment w:val="center"/>
              <w:rPr>
                <w:rFonts w:ascii="Times New Roman" w:hAnsi="Times New Roman" w:cs="Times New Roman"/>
                <w:color w:val="auto"/>
                <w:sz w:val="21"/>
                <w:lang w:eastAsia="zh-CN" w:bidi="ar"/>
              </w:rPr>
            </w:pPr>
          </w:p>
        </w:tc>
        <w:tc>
          <w:tcPr>
            <w:tcW w:w="276" w:type="pct"/>
            <w:noWrap/>
            <w:vAlign w:val="center"/>
          </w:tcPr>
          <w:p w14:paraId="64B73CDF">
            <w:pPr>
              <w:overflowPunct w:val="0"/>
              <w:jc w:val="center"/>
              <w:textAlignment w:val="center"/>
              <w:rPr>
                <w:rFonts w:ascii="Times New Roman" w:hAnsi="Times New Roman" w:cs="Times New Roman"/>
                <w:color w:val="auto"/>
                <w:sz w:val="21"/>
                <w:lang w:eastAsia="zh-CN"/>
              </w:rPr>
            </w:pPr>
          </w:p>
        </w:tc>
        <w:tc>
          <w:tcPr>
            <w:tcW w:w="276" w:type="pct"/>
            <w:noWrap/>
            <w:vAlign w:val="center"/>
          </w:tcPr>
          <w:p w14:paraId="64A718A4">
            <w:pPr>
              <w:overflowPunct w:val="0"/>
              <w:jc w:val="center"/>
              <w:textAlignment w:val="center"/>
              <w:rPr>
                <w:rFonts w:ascii="Times New Roman" w:hAnsi="Times New Roman" w:cs="Times New Roman"/>
                <w:color w:val="auto"/>
                <w:sz w:val="21"/>
                <w:lang w:eastAsia="zh-CN"/>
              </w:rPr>
            </w:pPr>
          </w:p>
        </w:tc>
        <w:tc>
          <w:tcPr>
            <w:tcW w:w="276" w:type="pct"/>
            <w:vAlign w:val="center"/>
          </w:tcPr>
          <w:p w14:paraId="79693F6A">
            <w:pPr>
              <w:overflowPunct w:val="0"/>
              <w:jc w:val="center"/>
              <w:textAlignment w:val="center"/>
              <w:rPr>
                <w:rFonts w:ascii="Times New Roman" w:hAnsi="Times New Roman" w:cs="Times New Roman"/>
                <w:color w:val="auto"/>
                <w:sz w:val="21"/>
                <w:lang w:eastAsia="zh-CN"/>
              </w:rPr>
            </w:pPr>
          </w:p>
        </w:tc>
        <w:tc>
          <w:tcPr>
            <w:tcW w:w="323" w:type="pct"/>
            <w:vMerge w:val="continue"/>
            <w:vAlign w:val="center"/>
          </w:tcPr>
          <w:p w14:paraId="55B2BEAA">
            <w:pPr>
              <w:overflowPunct w:val="0"/>
              <w:jc w:val="center"/>
              <w:rPr>
                <w:rFonts w:ascii="Times New Roman" w:hAnsi="Times New Roman" w:cs="Times New Roman"/>
                <w:color w:val="auto"/>
                <w:sz w:val="21"/>
                <w:lang w:eastAsia="zh-CN"/>
              </w:rPr>
            </w:pPr>
          </w:p>
        </w:tc>
        <w:tc>
          <w:tcPr>
            <w:tcW w:w="276" w:type="pct"/>
            <w:vMerge w:val="continue"/>
            <w:vAlign w:val="center"/>
          </w:tcPr>
          <w:p w14:paraId="45497505">
            <w:pPr>
              <w:overflowPunct w:val="0"/>
              <w:jc w:val="center"/>
              <w:textAlignment w:val="center"/>
              <w:rPr>
                <w:rFonts w:ascii="Times New Roman" w:hAnsi="Times New Roman" w:cs="Times New Roman"/>
                <w:color w:val="auto"/>
                <w:sz w:val="21"/>
                <w:lang w:eastAsia="zh-CN" w:bidi="ar"/>
              </w:rPr>
            </w:pPr>
          </w:p>
        </w:tc>
        <w:tc>
          <w:tcPr>
            <w:tcW w:w="276" w:type="pct"/>
            <w:vMerge w:val="continue"/>
            <w:vAlign w:val="center"/>
          </w:tcPr>
          <w:p w14:paraId="2E1B24EC">
            <w:pPr>
              <w:overflowPunct w:val="0"/>
              <w:jc w:val="center"/>
              <w:textAlignment w:val="center"/>
              <w:rPr>
                <w:rFonts w:ascii="Times New Roman" w:hAnsi="Times New Roman" w:cs="Times New Roman"/>
                <w:color w:val="auto"/>
                <w:sz w:val="21"/>
                <w:lang w:eastAsia="zh-CN" w:bidi="ar"/>
              </w:rPr>
            </w:pPr>
          </w:p>
        </w:tc>
        <w:tc>
          <w:tcPr>
            <w:tcW w:w="276" w:type="pct"/>
            <w:vMerge w:val="continue"/>
            <w:shd w:val="clear" w:color="auto" w:fill="FFFFFF"/>
            <w:vAlign w:val="center"/>
          </w:tcPr>
          <w:p w14:paraId="62643EFC">
            <w:pPr>
              <w:overflowPunct w:val="0"/>
              <w:jc w:val="center"/>
              <w:rPr>
                <w:rFonts w:ascii="Times New Roman" w:hAnsi="Times New Roman" w:cs="Times New Roman"/>
                <w:color w:val="auto"/>
                <w:sz w:val="21"/>
                <w:lang w:eastAsia="zh-CN" w:bidi="ar"/>
              </w:rPr>
            </w:pPr>
          </w:p>
        </w:tc>
        <w:tc>
          <w:tcPr>
            <w:tcW w:w="276" w:type="pct"/>
            <w:vMerge w:val="continue"/>
            <w:shd w:val="clear" w:color="auto" w:fill="FFFFFF"/>
            <w:vAlign w:val="center"/>
          </w:tcPr>
          <w:p w14:paraId="3AD12DCD">
            <w:pPr>
              <w:overflowPunct w:val="0"/>
              <w:jc w:val="center"/>
              <w:rPr>
                <w:rFonts w:ascii="Times New Roman" w:hAnsi="Times New Roman" w:cs="Times New Roman"/>
                <w:color w:val="auto"/>
                <w:sz w:val="21"/>
                <w:lang w:eastAsia="zh-CN" w:bidi="ar"/>
              </w:rPr>
            </w:pPr>
          </w:p>
        </w:tc>
        <w:tc>
          <w:tcPr>
            <w:tcW w:w="277" w:type="pct"/>
            <w:vMerge w:val="continue"/>
            <w:vAlign w:val="center"/>
          </w:tcPr>
          <w:p w14:paraId="05D6ECAA">
            <w:pPr>
              <w:overflowPunct w:val="0"/>
              <w:jc w:val="center"/>
              <w:rPr>
                <w:rFonts w:ascii="Times New Roman" w:hAnsi="Times New Roman" w:cs="Times New Roman"/>
                <w:color w:val="auto"/>
                <w:sz w:val="21"/>
                <w:lang w:eastAsia="zh-CN"/>
              </w:rPr>
            </w:pPr>
          </w:p>
        </w:tc>
        <w:tc>
          <w:tcPr>
            <w:tcW w:w="276" w:type="pct"/>
            <w:vMerge w:val="continue"/>
            <w:vAlign w:val="center"/>
          </w:tcPr>
          <w:p w14:paraId="2141EB69">
            <w:pPr>
              <w:overflowPunct w:val="0"/>
              <w:jc w:val="center"/>
              <w:rPr>
                <w:rFonts w:ascii="Times New Roman" w:hAnsi="Times New Roman" w:cs="Times New Roman"/>
                <w:color w:val="auto"/>
                <w:sz w:val="21"/>
                <w:lang w:eastAsia="zh-CN" w:bidi="ar"/>
              </w:rPr>
            </w:pPr>
          </w:p>
        </w:tc>
        <w:tc>
          <w:tcPr>
            <w:tcW w:w="280" w:type="pct"/>
            <w:vMerge w:val="continue"/>
            <w:vAlign w:val="center"/>
          </w:tcPr>
          <w:p w14:paraId="78F0D0B7">
            <w:pPr>
              <w:overflowPunct w:val="0"/>
              <w:jc w:val="center"/>
              <w:rPr>
                <w:rFonts w:ascii="Times New Roman" w:hAnsi="Times New Roman" w:cs="Times New Roman"/>
                <w:color w:val="auto"/>
                <w:sz w:val="21"/>
                <w:lang w:eastAsia="zh-CN" w:bidi="ar"/>
              </w:rPr>
            </w:pPr>
          </w:p>
        </w:tc>
        <w:tc>
          <w:tcPr>
            <w:tcW w:w="143" w:type="pct"/>
            <w:vMerge w:val="continue"/>
            <w:vAlign w:val="center"/>
          </w:tcPr>
          <w:p w14:paraId="4983F7D0">
            <w:pPr>
              <w:overflowPunct w:val="0"/>
              <w:jc w:val="center"/>
              <w:rPr>
                <w:rFonts w:ascii="Times New Roman" w:hAnsi="Times New Roman" w:cs="Times New Roman"/>
                <w:color w:val="auto"/>
                <w:sz w:val="21"/>
                <w:lang w:eastAsia="zh-CN"/>
              </w:rPr>
            </w:pPr>
          </w:p>
        </w:tc>
        <w:tc>
          <w:tcPr>
            <w:tcW w:w="203" w:type="pct"/>
            <w:vMerge w:val="continue"/>
            <w:vAlign w:val="center"/>
          </w:tcPr>
          <w:p w14:paraId="66C6BFCD">
            <w:pPr>
              <w:overflowPunct w:val="0"/>
              <w:jc w:val="center"/>
              <w:rPr>
                <w:rFonts w:ascii="Times New Roman" w:hAnsi="Times New Roman" w:cs="Times New Roman"/>
                <w:color w:val="auto"/>
                <w:sz w:val="21"/>
                <w:lang w:eastAsia="zh-CN"/>
              </w:rPr>
            </w:pPr>
          </w:p>
        </w:tc>
      </w:tr>
      <w:tr w14:paraId="38B4276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31" w:type="pct"/>
            <w:vMerge w:val="restart"/>
            <w:vAlign w:val="center"/>
          </w:tcPr>
          <w:p w14:paraId="6193599E">
            <w:pPr>
              <w:overflowPunct w:val="0"/>
              <w:jc w:val="center"/>
              <w:textAlignment w:val="center"/>
              <w:rPr>
                <w:rFonts w:ascii="Times New Roman" w:hAnsi="Times New Roman" w:cs="Times New Roman"/>
                <w:color w:val="auto"/>
                <w:sz w:val="21"/>
                <w:lang w:eastAsia="zh-CN" w:bidi="ar"/>
              </w:rPr>
            </w:pPr>
          </w:p>
        </w:tc>
        <w:tc>
          <w:tcPr>
            <w:tcW w:w="230" w:type="pct"/>
            <w:vMerge w:val="restart"/>
            <w:vAlign w:val="center"/>
          </w:tcPr>
          <w:p w14:paraId="6CE1F410">
            <w:pPr>
              <w:overflowPunct w:val="0"/>
              <w:jc w:val="center"/>
              <w:textAlignment w:val="center"/>
              <w:rPr>
                <w:rFonts w:ascii="Times New Roman" w:hAnsi="Times New Roman" w:cs="Times New Roman"/>
                <w:color w:val="auto"/>
                <w:sz w:val="21"/>
                <w:lang w:eastAsia="zh-CN" w:bidi="ar"/>
              </w:rPr>
            </w:pPr>
          </w:p>
        </w:tc>
        <w:tc>
          <w:tcPr>
            <w:tcW w:w="368" w:type="pct"/>
            <w:vAlign w:val="center"/>
          </w:tcPr>
          <w:p w14:paraId="335CF8B5">
            <w:pPr>
              <w:overflowPunct w:val="0"/>
              <w:jc w:val="center"/>
              <w:textAlignment w:val="center"/>
              <w:rPr>
                <w:rFonts w:ascii="Times New Roman" w:hAnsi="Times New Roman" w:cs="Times New Roman"/>
                <w:color w:val="auto"/>
                <w:sz w:val="21"/>
                <w:lang w:eastAsia="zh-CN" w:bidi="ar"/>
              </w:rPr>
            </w:pPr>
          </w:p>
        </w:tc>
        <w:tc>
          <w:tcPr>
            <w:tcW w:w="276" w:type="pct"/>
            <w:vAlign w:val="center"/>
          </w:tcPr>
          <w:p w14:paraId="10BE0B01">
            <w:pPr>
              <w:overflowPunct w:val="0"/>
              <w:jc w:val="center"/>
              <w:textAlignment w:val="center"/>
              <w:rPr>
                <w:rFonts w:ascii="Times New Roman" w:hAnsi="Times New Roman" w:cs="Times New Roman"/>
                <w:color w:val="auto"/>
                <w:sz w:val="21"/>
                <w:lang w:eastAsia="zh-CN"/>
              </w:rPr>
            </w:pPr>
          </w:p>
        </w:tc>
        <w:tc>
          <w:tcPr>
            <w:tcW w:w="231" w:type="pct"/>
            <w:vMerge w:val="restart"/>
            <w:vAlign w:val="center"/>
          </w:tcPr>
          <w:p w14:paraId="65B8D145">
            <w:pPr>
              <w:overflowPunct w:val="0"/>
              <w:jc w:val="center"/>
              <w:textAlignment w:val="center"/>
              <w:rPr>
                <w:rFonts w:ascii="Times New Roman" w:hAnsi="Times New Roman" w:cs="Times New Roman"/>
                <w:color w:val="auto"/>
                <w:sz w:val="21"/>
                <w:lang w:eastAsia="zh-CN" w:bidi="ar"/>
              </w:rPr>
            </w:pPr>
          </w:p>
        </w:tc>
        <w:tc>
          <w:tcPr>
            <w:tcW w:w="230" w:type="pct"/>
            <w:vMerge w:val="restart"/>
            <w:vAlign w:val="center"/>
          </w:tcPr>
          <w:p w14:paraId="7E412ED6">
            <w:pPr>
              <w:overflowPunct w:val="0"/>
              <w:jc w:val="center"/>
              <w:textAlignment w:val="center"/>
              <w:rPr>
                <w:rFonts w:ascii="Times New Roman" w:hAnsi="Times New Roman" w:cs="Times New Roman"/>
                <w:color w:val="auto"/>
                <w:sz w:val="21"/>
                <w:lang w:eastAsia="zh-CN" w:bidi="ar"/>
              </w:rPr>
            </w:pPr>
          </w:p>
        </w:tc>
        <w:tc>
          <w:tcPr>
            <w:tcW w:w="276" w:type="pct"/>
            <w:noWrap/>
            <w:vAlign w:val="center"/>
          </w:tcPr>
          <w:p w14:paraId="25AEC1BA">
            <w:pPr>
              <w:overflowPunct w:val="0"/>
              <w:jc w:val="center"/>
              <w:textAlignment w:val="center"/>
              <w:rPr>
                <w:rFonts w:ascii="Times New Roman" w:hAnsi="Times New Roman" w:cs="Times New Roman"/>
                <w:sz w:val="21"/>
                <w:lang w:eastAsia="zh-CN"/>
              </w:rPr>
            </w:pPr>
          </w:p>
        </w:tc>
        <w:tc>
          <w:tcPr>
            <w:tcW w:w="276" w:type="pct"/>
            <w:noWrap/>
            <w:vAlign w:val="center"/>
          </w:tcPr>
          <w:p w14:paraId="3C4ACB52">
            <w:pPr>
              <w:overflowPunct w:val="0"/>
              <w:jc w:val="center"/>
              <w:textAlignment w:val="center"/>
              <w:rPr>
                <w:rFonts w:ascii="Times New Roman" w:hAnsi="Times New Roman" w:cs="Times New Roman"/>
                <w:color w:val="auto"/>
                <w:sz w:val="21"/>
                <w:lang w:eastAsia="zh-CN"/>
              </w:rPr>
            </w:pPr>
          </w:p>
        </w:tc>
        <w:tc>
          <w:tcPr>
            <w:tcW w:w="276" w:type="pct"/>
            <w:vAlign w:val="center"/>
          </w:tcPr>
          <w:p w14:paraId="1C66DEF6">
            <w:pPr>
              <w:overflowPunct w:val="0"/>
              <w:jc w:val="center"/>
              <w:textAlignment w:val="center"/>
              <w:rPr>
                <w:rFonts w:ascii="Times New Roman" w:hAnsi="Times New Roman" w:cs="Times New Roman"/>
                <w:color w:val="auto"/>
                <w:sz w:val="21"/>
                <w:lang w:eastAsia="zh-CN"/>
              </w:rPr>
            </w:pPr>
          </w:p>
        </w:tc>
        <w:tc>
          <w:tcPr>
            <w:tcW w:w="323" w:type="pct"/>
            <w:vMerge w:val="continue"/>
            <w:vAlign w:val="center"/>
          </w:tcPr>
          <w:p w14:paraId="31843280">
            <w:pPr>
              <w:overflowPunct w:val="0"/>
              <w:jc w:val="center"/>
              <w:rPr>
                <w:rFonts w:ascii="Times New Roman" w:hAnsi="Times New Roman" w:cs="Times New Roman"/>
                <w:color w:val="auto"/>
                <w:sz w:val="21"/>
                <w:lang w:eastAsia="zh-CN"/>
              </w:rPr>
            </w:pPr>
          </w:p>
        </w:tc>
        <w:tc>
          <w:tcPr>
            <w:tcW w:w="276" w:type="pct"/>
            <w:vMerge w:val="continue"/>
            <w:vAlign w:val="center"/>
          </w:tcPr>
          <w:p w14:paraId="379215A4">
            <w:pPr>
              <w:overflowPunct w:val="0"/>
              <w:jc w:val="center"/>
              <w:textAlignment w:val="center"/>
              <w:rPr>
                <w:rFonts w:ascii="Times New Roman" w:hAnsi="Times New Roman" w:cs="Times New Roman"/>
                <w:color w:val="auto"/>
                <w:sz w:val="21"/>
                <w:lang w:eastAsia="zh-CN" w:bidi="ar"/>
              </w:rPr>
            </w:pPr>
          </w:p>
        </w:tc>
        <w:tc>
          <w:tcPr>
            <w:tcW w:w="276" w:type="pct"/>
            <w:vMerge w:val="continue"/>
            <w:vAlign w:val="center"/>
          </w:tcPr>
          <w:p w14:paraId="7A5516CE">
            <w:pPr>
              <w:overflowPunct w:val="0"/>
              <w:jc w:val="center"/>
              <w:textAlignment w:val="center"/>
              <w:rPr>
                <w:rFonts w:ascii="Times New Roman" w:hAnsi="Times New Roman" w:cs="Times New Roman"/>
                <w:color w:val="auto"/>
                <w:sz w:val="21"/>
                <w:lang w:eastAsia="zh-CN" w:bidi="ar"/>
              </w:rPr>
            </w:pPr>
          </w:p>
        </w:tc>
        <w:tc>
          <w:tcPr>
            <w:tcW w:w="276" w:type="pct"/>
            <w:vMerge w:val="continue"/>
            <w:shd w:val="clear" w:color="auto" w:fill="FFFFFF"/>
            <w:vAlign w:val="center"/>
          </w:tcPr>
          <w:p w14:paraId="2D58E20F">
            <w:pPr>
              <w:overflowPunct w:val="0"/>
              <w:jc w:val="center"/>
              <w:rPr>
                <w:rFonts w:ascii="Times New Roman" w:hAnsi="Times New Roman" w:cs="Times New Roman"/>
                <w:color w:val="auto"/>
                <w:sz w:val="21"/>
                <w:lang w:eastAsia="zh-CN" w:bidi="ar"/>
              </w:rPr>
            </w:pPr>
          </w:p>
        </w:tc>
        <w:tc>
          <w:tcPr>
            <w:tcW w:w="276" w:type="pct"/>
            <w:vMerge w:val="continue"/>
            <w:shd w:val="clear" w:color="auto" w:fill="FFFFFF"/>
            <w:vAlign w:val="center"/>
          </w:tcPr>
          <w:p w14:paraId="45E531CA">
            <w:pPr>
              <w:overflowPunct w:val="0"/>
              <w:jc w:val="center"/>
              <w:rPr>
                <w:rFonts w:ascii="Times New Roman" w:hAnsi="Times New Roman" w:cs="Times New Roman"/>
                <w:color w:val="auto"/>
                <w:sz w:val="21"/>
                <w:lang w:eastAsia="zh-CN" w:bidi="ar"/>
              </w:rPr>
            </w:pPr>
          </w:p>
        </w:tc>
        <w:tc>
          <w:tcPr>
            <w:tcW w:w="277" w:type="pct"/>
            <w:vMerge w:val="continue"/>
            <w:vAlign w:val="center"/>
          </w:tcPr>
          <w:p w14:paraId="04B3F225">
            <w:pPr>
              <w:overflowPunct w:val="0"/>
              <w:jc w:val="center"/>
              <w:rPr>
                <w:rFonts w:ascii="Times New Roman" w:hAnsi="Times New Roman" w:cs="Times New Roman"/>
                <w:color w:val="auto"/>
                <w:sz w:val="21"/>
                <w:lang w:eastAsia="zh-CN"/>
              </w:rPr>
            </w:pPr>
          </w:p>
        </w:tc>
        <w:tc>
          <w:tcPr>
            <w:tcW w:w="276" w:type="pct"/>
            <w:vMerge w:val="continue"/>
            <w:vAlign w:val="center"/>
          </w:tcPr>
          <w:p w14:paraId="065D2E2A">
            <w:pPr>
              <w:overflowPunct w:val="0"/>
              <w:jc w:val="center"/>
              <w:rPr>
                <w:rFonts w:ascii="Times New Roman" w:hAnsi="Times New Roman" w:cs="Times New Roman"/>
                <w:color w:val="auto"/>
                <w:sz w:val="21"/>
                <w:lang w:eastAsia="zh-CN" w:bidi="ar"/>
              </w:rPr>
            </w:pPr>
          </w:p>
        </w:tc>
        <w:tc>
          <w:tcPr>
            <w:tcW w:w="280" w:type="pct"/>
            <w:vMerge w:val="continue"/>
            <w:vAlign w:val="center"/>
          </w:tcPr>
          <w:p w14:paraId="3FC0C7FE">
            <w:pPr>
              <w:overflowPunct w:val="0"/>
              <w:jc w:val="center"/>
              <w:rPr>
                <w:rFonts w:ascii="Times New Roman" w:hAnsi="Times New Roman" w:cs="Times New Roman"/>
                <w:color w:val="auto"/>
                <w:sz w:val="21"/>
                <w:lang w:eastAsia="zh-CN" w:bidi="ar"/>
              </w:rPr>
            </w:pPr>
          </w:p>
        </w:tc>
        <w:tc>
          <w:tcPr>
            <w:tcW w:w="143" w:type="pct"/>
            <w:vMerge w:val="continue"/>
            <w:vAlign w:val="center"/>
          </w:tcPr>
          <w:p w14:paraId="61C520BB">
            <w:pPr>
              <w:overflowPunct w:val="0"/>
              <w:jc w:val="center"/>
              <w:rPr>
                <w:rFonts w:ascii="Times New Roman" w:hAnsi="Times New Roman" w:cs="Times New Roman"/>
                <w:color w:val="auto"/>
                <w:sz w:val="21"/>
                <w:lang w:eastAsia="zh-CN"/>
              </w:rPr>
            </w:pPr>
          </w:p>
        </w:tc>
        <w:tc>
          <w:tcPr>
            <w:tcW w:w="203" w:type="pct"/>
            <w:vMerge w:val="continue"/>
            <w:vAlign w:val="center"/>
          </w:tcPr>
          <w:p w14:paraId="62858E62">
            <w:pPr>
              <w:overflowPunct w:val="0"/>
              <w:jc w:val="center"/>
              <w:rPr>
                <w:rFonts w:ascii="Times New Roman" w:hAnsi="Times New Roman" w:cs="Times New Roman"/>
                <w:color w:val="auto"/>
                <w:sz w:val="21"/>
                <w:lang w:eastAsia="zh-CN"/>
              </w:rPr>
            </w:pPr>
          </w:p>
        </w:tc>
      </w:tr>
      <w:tr w14:paraId="7AD4E44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31" w:type="pct"/>
            <w:vMerge w:val="continue"/>
            <w:vAlign w:val="center"/>
          </w:tcPr>
          <w:p w14:paraId="7257B603">
            <w:pPr>
              <w:overflowPunct w:val="0"/>
              <w:jc w:val="center"/>
              <w:textAlignment w:val="center"/>
              <w:rPr>
                <w:rFonts w:ascii="Times New Roman" w:hAnsi="Times New Roman" w:cs="Times New Roman"/>
                <w:color w:val="auto"/>
                <w:sz w:val="21"/>
                <w:lang w:eastAsia="zh-CN" w:bidi="ar"/>
              </w:rPr>
            </w:pPr>
          </w:p>
        </w:tc>
        <w:tc>
          <w:tcPr>
            <w:tcW w:w="230" w:type="pct"/>
            <w:vMerge w:val="continue"/>
            <w:vAlign w:val="center"/>
          </w:tcPr>
          <w:p w14:paraId="29EE8202">
            <w:pPr>
              <w:overflowPunct w:val="0"/>
              <w:jc w:val="center"/>
              <w:textAlignment w:val="center"/>
              <w:rPr>
                <w:rFonts w:ascii="Times New Roman" w:hAnsi="Times New Roman" w:cs="Times New Roman"/>
                <w:color w:val="auto"/>
                <w:sz w:val="21"/>
                <w:lang w:eastAsia="zh-CN" w:bidi="ar"/>
              </w:rPr>
            </w:pPr>
          </w:p>
        </w:tc>
        <w:tc>
          <w:tcPr>
            <w:tcW w:w="368" w:type="pct"/>
            <w:vAlign w:val="center"/>
          </w:tcPr>
          <w:p w14:paraId="3DFE5660">
            <w:pPr>
              <w:overflowPunct w:val="0"/>
              <w:jc w:val="center"/>
              <w:textAlignment w:val="center"/>
              <w:rPr>
                <w:rFonts w:ascii="Times New Roman" w:hAnsi="Times New Roman" w:cs="Times New Roman"/>
                <w:color w:val="auto"/>
                <w:sz w:val="21"/>
                <w:lang w:eastAsia="zh-CN" w:bidi="ar"/>
              </w:rPr>
            </w:pPr>
          </w:p>
        </w:tc>
        <w:tc>
          <w:tcPr>
            <w:tcW w:w="276" w:type="pct"/>
            <w:vAlign w:val="center"/>
          </w:tcPr>
          <w:p w14:paraId="61447DEF">
            <w:pPr>
              <w:overflowPunct w:val="0"/>
              <w:jc w:val="center"/>
              <w:textAlignment w:val="center"/>
              <w:rPr>
                <w:rFonts w:ascii="Times New Roman" w:hAnsi="Times New Roman" w:cs="Times New Roman"/>
                <w:color w:val="auto"/>
                <w:sz w:val="21"/>
                <w:lang w:eastAsia="zh-CN"/>
              </w:rPr>
            </w:pPr>
          </w:p>
        </w:tc>
        <w:tc>
          <w:tcPr>
            <w:tcW w:w="231" w:type="pct"/>
            <w:vMerge w:val="continue"/>
            <w:vAlign w:val="center"/>
          </w:tcPr>
          <w:p w14:paraId="1BA02A98">
            <w:pPr>
              <w:overflowPunct w:val="0"/>
              <w:jc w:val="center"/>
              <w:textAlignment w:val="center"/>
              <w:rPr>
                <w:rFonts w:ascii="Times New Roman" w:hAnsi="Times New Roman" w:cs="Times New Roman"/>
                <w:color w:val="auto"/>
                <w:sz w:val="21"/>
                <w:lang w:eastAsia="zh-CN" w:bidi="ar"/>
              </w:rPr>
            </w:pPr>
          </w:p>
        </w:tc>
        <w:tc>
          <w:tcPr>
            <w:tcW w:w="230" w:type="pct"/>
            <w:vMerge w:val="continue"/>
            <w:vAlign w:val="center"/>
          </w:tcPr>
          <w:p w14:paraId="6A8ECADB">
            <w:pPr>
              <w:overflowPunct w:val="0"/>
              <w:jc w:val="center"/>
              <w:textAlignment w:val="center"/>
              <w:rPr>
                <w:rFonts w:ascii="Times New Roman" w:hAnsi="Times New Roman" w:cs="Times New Roman"/>
                <w:color w:val="auto"/>
                <w:sz w:val="21"/>
                <w:lang w:eastAsia="zh-CN" w:bidi="ar"/>
              </w:rPr>
            </w:pPr>
          </w:p>
        </w:tc>
        <w:tc>
          <w:tcPr>
            <w:tcW w:w="276" w:type="pct"/>
            <w:noWrap/>
            <w:vAlign w:val="center"/>
          </w:tcPr>
          <w:p w14:paraId="030911E6">
            <w:pPr>
              <w:overflowPunct w:val="0"/>
              <w:jc w:val="center"/>
              <w:textAlignment w:val="center"/>
              <w:rPr>
                <w:rFonts w:ascii="Times New Roman" w:hAnsi="Times New Roman" w:cs="Times New Roman"/>
                <w:sz w:val="21"/>
                <w:lang w:eastAsia="zh-CN"/>
              </w:rPr>
            </w:pPr>
          </w:p>
        </w:tc>
        <w:tc>
          <w:tcPr>
            <w:tcW w:w="276" w:type="pct"/>
            <w:noWrap/>
            <w:vAlign w:val="center"/>
          </w:tcPr>
          <w:p w14:paraId="0E004BF8">
            <w:pPr>
              <w:overflowPunct w:val="0"/>
              <w:jc w:val="center"/>
              <w:textAlignment w:val="center"/>
              <w:rPr>
                <w:rFonts w:ascii="Times New Roman" w:hAnsi="Times New Roman" w:cs="Times New Roman"/>
                <w:color w:val="auto"/>
                <w:sz w:val="21"/>
                <w:lang w:eastAsia="zh-CN"/>
              </w:rPr>
            </w:pPr>
          </w:p>
        </w:tc>
        <w:tc>
          <w:tcPr>
            <w:tcW w:w="276" w:type="pct"/>
            <w:vAlign w:val="center"/>
          </w:tcPr>
          <w:p w14:paraId="3C6F3167">
            <w:pPr>
              <w:overflowPunct w:val="0"/>
              <w:jc w:val="center"/>
              <w:textAlignment w:val="center"/>
              <w:rPr>
                <w:rFonts w:ascii="Times New Roman" w:hAnsi="Times New Roman" w:cs="Times New Roman"/>
                <w:color w:val="auto"/>
                <w:sz w:val="21"/>
                <w:lang w:eastAsia="zh-CN"/>
              </w:rPr>
            </w:pPr>
          </w:p>
        </w:tc>
        <w:tc>
          <w:tcPr>
            <w:tcW w:w="323" w:type="pct"/>
            <w:vMerge w:val="continue"/>
            <w:vAlign w:val="center"/>
          </w:tcPr>
          <w:p w14:paraId="10C711C4">
            <w:pPr>
              <w:overflowPunct w:val="0"/>
              <w:jc w:val="center"/>
              <w:rPr>
                <w:rFonts w:ascii="Times New Roman" w:hAnsi="Times New Roman" w:cs="Times New Roman"/>
                <w:color w:val="auto"/>
                <w:sz w:val="21"/>
                <w:lang w:eastAsia="zh-CN"/>
              </w:rPr>
            </w:pPr>
          </w:p>
        </w:tc>
        <w:tc>
          <w:tcPr>
            <w:tcW w:w="276" w:type="pct"/>
            <w:vMerge w:val="continue"/>
            <w:vAlign w:val="center"/>
          </w:tcPr>
          <w:p w14:paraId="40013B69">
            <w:pPr>
              <w:overflowPunct w:val="0"/>
              <w:jc w:val="center"/>
              <w:textAlignment w:val="center"/>
              <w:rPr>
                <w:rFonts w:ascii="Times New Roman" w:hAnsi="Times New Roman" w:cs="Times New Roman"/>
                <w:color w:val="auto"/>
                <w:sz w:val="21"/>
                <w:lang w:eastAsia="zh-CN" w:bidi="ar"/>
              </w:rPr>
            </w:pPr>
          </w:p>
        </w:tc>
        <w:tc>
          <w:tcPr>
            <w:tcW w:w="276" w:type="pct"/>
            <w:vMerge w:val="continue"/>
            <w:vAlign w:val="center"/>
          </w:tcPr>
          <w:p w14:paraId="0A50EF42">
            <w:pPr>
              <w:overflowPunct w:val="0"/>
              <w:jc w:val="center"/>
              <w:textAlignment w:val="center"/>
              <w:rPr>
                <w:rFonts w:ascii="Times New Roman" w:hAnsi="Times New Roman" w:cs="Times New Roman"/>
                <w:color w:val="auto"/>
                <w:sz w:val="21"/>
                <w:lang w:eastAsia="zh-CN" w:bidi="ar"/>
              </w:rPr>
            </w:pPr>
          </w:p>
        </w:tc>
        <w:tc>
          <w:tcPr>
            <w:tcW w:w="276" w:type="pct"/>
            <w:vMerge w:val="continue"/>
            <w:shd w:val="clear" w:color="auto" w:fill="FFFFFF"/>
            <w:vAlign w:val="center"/>
          </w:tcPr>
          <w:p w14:paraId="5DF76EB9">
            <w:pPr>
              <w:overflowPunct w:val="0"/>
              <w:jc w:val="center"/>
              <w:rPr>
                <w:rFonts w:ascii="Times New Roman" w:hAnsi="Times New Roman" w:cs="Times New Roman"/>
                <w:color w:val="auto"/>
                <w:sz w:val="21"/>
                <w:lang w:eastAsia="zh-CN" w:bidi="ar"/>
              </w:rPr>
            </w:pPr>
          </w:p>
        </w:tc>
        <w:tc>
          <w:tcPr>
            <w:tcW w:w="276" w:type="pct"/>
            <w:vMerge w:val="continue"/>
            <w:shd w:val="clear" w:color="auto" w:fill="FFFFFF"/>
            <w:vAlign w:val="center"/>
          </w:tcPr>
          <w:p w14:paraId="785F8E70">
            <w:pPr>
              <w:overflowPunct w:val="0"/>
              <w:jc w:val="center"/>
              <w:rPr>
                <w:rFonts w:ascii="Times New Roman" w:hAnsi="Times New Roman" w:cs="Times New Roman"/>
                <w:color w:val="auto"/>
                <w:sz w:val="21"/>
                <w:lang w:eastAsia="zh-CN" w:bidi="ar"/>
              </w:rPr>
            </w:pPr>
          </w:p>
        </w:tc>
        <w:tc>
          <w:tcPr>
            <w:tcW w:w="277" w:type="pct"/>
            <w:vMerge w:val="continue"/>
            <w:vAlign w:val="center"/>
          </w:tcPr>
          <w:p w14:paraId="04E859B9">
            <w:pPr>
              <w:overflowPunct w:val="0"/>
              <w:jc w:val="center"/>
              <w:rPr>
                <w:rFonts w:ascii="Times New Roman" w:hAnsi="Times New Roman" w:cs="Times New Roman"/>
                <w:color w:val="auto"/>
                <w:sz w:val="21"/>
                <w:lang w:eastAsia="zh-CN"/>
              </w:rPr>
            </w:pPr>
          </w:p>
        </w:tc>
        <w:tc>
          <w:tcPr>
            <w:tcW w:w="276" w:type="pct"/>
            <w:vMerge w:val="continue"/>
            <w:vAlign w:val="center"/>
          </w:tcPr>
          <w:p w14:paraId="60C6CB92">
            <w:pPr>
              <w:overflowPunct w:val="0"/>
              <w:jc w:val="center"/>
              <w:rPr>
                <w:rFonts w:ascii="Times New Roman" w:hAnsi="Times New Roman" w:cs="Times New Roman"/>
                <w:color w:val="auto"/>
                <w:sz w:val="21"/>
                <w:lang w:eastAsia="zh-CN" w:bidi="ar"/>
              </w:rPr>
            </w:pPr>
          </w:p>
        </w:tc>
        <w:tc>
          <w:tcPr>
            <w:tcW w:w="280" w:type="pct"/>
            <w:vMerge w:val="continue"/>
            <w:vAlign w:val="center"/>
          </w:tcPr>
          <w:p w14:paraId="457C972D">
            <w:pPr>
              <w:overflowPunct w:val="0"/>
              <w:jc w:val="center"/>
              <w:rPr>
                <w:rFonts w:ascii="Times New Roman" w:hAnsi="Times New Roman" w:cs="Times New Roman"/>
                <w:color w:val="auto"/>
                <w:sz w:val="21"/>
                <w:lang w:eastAsia="zh-CN" w:bidi="ar"/>
              </w:rPr>
            </w:pPr>
          </w:p>
        </w:tc>
        <w:tc>
          <w:tcPr>
            <w:tcW w:w="143" w:type="pct"/>
            <w:vMerge w:val="continue"/>
            <w:vAlign w:val="center"/>
          </w:tcPr>
          <w:p w14:paraId="57C06BD8">
            <w:pPr>
              <w:overflowPunct w:val="0"/>
              <w:jc w:val="center"/>
              <w:rPr>
                <w:rFonts w:ascii="Times New Roman" w:hAnsi="Times New Roman" w:cs="Times New Roman"/>
                <w:color w:val="auto"/>
                <w:sz w:val="21"/>
                <w:lang w:eastAsia="zh-CN"/>
              </w:rPr>
            </w:pPr>
          </w:p>
        </w:tc>
        <w:tc>
          <w:tcPr>
            <w:tcW w:w="203" w:type="pct"/>
            <w:vMerge w:val="continue"/>
            <w:vAlign w:val="center"/>
          </w:tcPr>
          <w:p w14:paraId="0BF616C9">
            <w:pPr>
              <w:overflowPunct w:val="0"/>
              <w:jc w:val="center"/>
              <w:rPr>
                <w:rFonts w:ascii="Times New Roman" w:hAnsi="Times New Roman" w:cs="Times New Roman"/>
                <w:color w:val="auto"/>
                <w:sz w:val="21"/>
                <w:lang w:eastAsia="zh-CN"/>
              </w:rPr>
            </w:pPr>
          </w:p>
        </w:tc>
      </w:tr>
      <w:tr w14:paraId="2897825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31" w:type="pct"/>
            <w:vMerge w:val="continue"/>
            <w:vAlign w:val="center"/>
          </w:tcPr>
          <w:p w14:paraId="544647AA">
            <w:pPr>
              <w:overflowPunct w:val="0"/>
              <w:jc w:val="center"/>
              <w:textAlignment w:val="center"/>
              <w:rPr>
                <w:rFonts w:ascii="Times New Roman" w:hAnsi="Times New Roman" w:cs="Times New Roman"/>
                <w:color w:val="auto"/>
                <w:sz w:val="21"/>
                <w:lang w:eastAsia="zh-CN" w:bidi="ar"/>
              </w:rPr>
            </w:pPr>
          </w:p>
        </w:tc>
        <w:tc>
          <w:tcPr>
            <w:tcW w:w="230" w:type="pct"/>
            <w:vMerge w:val="continue"/>
            <w:vAlign w:val="center"/>
          </w:tcPr>
          <w:p w14:paraId="273836E0">
            <w:pPr>
              <w:overflowPunct w:val="0"/>
              <w:jc w:val="center"/>
              <w:textAlignment w:val="center"/>
              <w:rPr>
                <w:rFonts w:ascii="Times New Roman" w:hAnsi="Times New Roman" w:cs="Times New Roman"/>
                <w:color w:val="auto"/>
                <w:sz w:val="21"/>
                <w:lang w:eastAsia="zh-CN" w:bidi="ar"/>
              </w:rPr>
            </w:pPr>
          </w:p>
        </w:tc>
        <w:tc>
          <w:tcPr>
            <w:tcW w:w="368" w:type="pct"/>
            <w:vAlign w:val="center"/>
          </w:tcPr>
          <w:p w14:paraId="329DFB5A">
            <w:pPr>
              <w:overflowPunct w:val="0"/>
              <w:jc w:val="center"/>
              <w:textAlignment w:val="center"/>
              <w:rPr>
                <w:rFonts w:ascii="Times New Roman" w:hAnsi="Times New Roman" w:cs="Times New Roman"/>
                <w:color w:val="auto"/>
                <w:sz w:val="21"/>
                <w:lang w:eastAsia="zh-CN" w:bidi="ar"/>
              </w:rPr>
            </w:pPr>
          </w:p>
        </w:tc>
        <w:tc>
          <w:tcPr>
            <w:tcW w:w="276" w:type="pct"/>
            <w:vAlign w:val="center"/>
          </w:tcPr>
          <w:p w14:paraId="71C08C93">
            <w:pPr>
              <w:overflowPunct w:val="0"/>
              <w:jc w:val="center"/>
              <w:textAlignment w:val="center"/>
              <w:rPr>
                <w:rFonts w:ascii="Times New Roman" w:hAnsi="Times New Roman" w:cs="Times New Roman"/>
                <w:color w:val="auto"/>
                <w:sz w:val="21"/>
                <w:lang w:eastAsia="zh-CN"/>
              </w:rPr>
            </w:pPr>
          </w:p>
        </w:tc>
        <w:tc>
          <w:tcPr>
            <w:tcW w:w="231" w:type="pct"/>
            <w:vMerge w:val="continue"/>
            <w:vAlign w:val="center"/>
          </w:tcPr>
          <w:p w14:paraId="02DDDE4A">
            <w:pPr>
              <w:overflowPunct w:val="0"/>
              <w:jc w:val="center"/>
              <w:textAlignment w:val="center"/>
              <w:rPr>
                <w:rFonts w:ascii="Times New Roman" w:hAnsi="Times New Roman" w:cs="Times New Roman"/>
                <w:color w:val="auto"/>
                <w:sz w:val="21"/>
                <w:lang w:eastAsia="zh-CN" w:bidi="ar"/>
              </w:rPr>
            </w:pPr>
          </w:p>
        </w:tc>
        <w:tc>
          <w:tcPr>
            <w:tcW w:w="230" w:type="pct"/>
            <w:vMerge w:val="continue"/>
            <w:vAlign w:val="center"/>
          </w:tcPr>
          <w:p w14:paraId="14A56C2A">
            <w:pPr>
              <w:overflowPunct w:val="0"/>
              <w:jc w:val="center"/>
              <w:textAlignment w:val="center"/>
              <w:rPr>
                <w:rFonts w:ascii="Times New Roman" w:hAnsi="Times New Roman" w:cs="Times New Roman"/>
                <w:color w:val="auto"/>
                <w:sz w:val="21"/>
                <w:lang w:eastAsia="zh-CN" w:bidi="ar"/>
              </w:rPr>
            </w:pPr>
          </w:p>
        </w:tc>
        <w:tc>
          <w:tcPr>
            <w:tcW w:w="276" w:type="pct"/>
            <w:noWrap/>
            <w:vAlign w:val="center"/>
          </w:tcPr>
          <w:p w14:paraId="29335257">
            <w:pPr>
              <w:overflowPunct w:val="0"/>
              <w:jc w:val="center"/>
              <w:textAlignment w:val="center"/>
              <w:rPr>
                <w:rFonts w:ascii="Times New Roman" w:hAnsi="Times New Roman" w:cs="Times New Roman"/>
                <w:sz w:val="21"/>
                <w:lang w:eastAsia="zh-CN"/>
              </w:rPr>
            </w:pPr>
          </w:p>
        </w:tc>
        <w:tc>
          <w:tcPr>
            <w:tcW w:w="276" w:type="pct"/>
            <w:noWrap/>
            <w:vAlign w:val="center"/>
          </w:tcPr>
          <w:p w14:paraId="30EA9E3C">
            <w:pPr>
              <w:overflowPunct w:val="0"/>
              <w:jc w:val="center"/>
              <w:textAlignment w:val="center"/>
              <w:rPr>
                <w:rFonts w:ascii="Times New Roman" w:hAnsi="Times New Roman" w:cs="Times New Roman"/>
                <w:color w:val="auto"/>
                <w:sz w:val="21"/>
                <w:lang w:eastAsia="zh-CN"/>
              </w:rPr>
            </w:pPr>
          </w:p>
        </w:tc>
        <w:tc>
          <w:tcPr>
            <w:tcW w:w="276" w:type="pct"/>
            <w:vAlign w:val="center"/>
          </w:tcPr>
          <w:p w14:paraId="33C53A57">
            <w:pPr>
              <w:overflowPunct w:val="0"/>
              <w:jc w:val="center"/>
              <w:textAlignment w:val="center"/>
              <w:rPr>
                <w:rFonts w:ascii="Times New Roman" w:hAnsi="Times New Roman" w:cs="Times New Roman"/>
                <w:color w:val="auto"/>
                <w:sz w:val="21"/>
                <w:lang w:eastAsia="zh-CN"/>
              </w:rPr>
            </w:pPr>
          </w:p>
        </w:tc>
        <w:tc>
          <w:tcPr>
            <w:tcW w:w="323" w:type="pct"/>
            <w:vMerge w:val="continue"/>
            <w:vAlign w:val="center"/>
          </w:tcPr>
          <w:p w14:paraId="305BED94">
            <w:pPr>
              <w:overflowPunct w:val="0"/>
              <w:jc w:val="center"/>
              <w:rPr>
                <w:rFonts w:ascii="Times New Roman" w:hAnsi="Times New Roman" w:cs="Times New Roman"/>
                <w:color w:val="auto"/>
                <w:sz w:val="21"/>
                <w:lang w:eastAsia="zh-CN"/>
              </w:rPr>
            </w:pPr>
          </w:p>
        </w:tc>
        <w:tc>
          <w:tcPr>
            <w:tcW w:w="276" w:type="pct"/>
            <w:vMerge w:val="continue"/>
            <w:vAlign w:val="center"/>
          </w:tcPr>
          <w:p w14:paraId="51B615AA">
            <w:pPr>
              <w:overflowPunct w:val="0"/>
              <w:jc w:val="center"/>
              <w:textAlignment w:val="center"/>
              <w:rPr>
                <w:rFonts w:ascii="Times New Roman" w:hAnsi="Times New Roman" w:cs="Times New Roman"/>
                <w:color w:val="auto"/>
                <w:sz w:val="21"/>
                <w:lang w:eastAsia="zh-CN" w:bidi="ar"/>
              </w:rPr>
            </w:pPr>
          </w:p>
        </w:tc>
        <w:tc>
          <w:tcPr>
            <w:tcW w:w="276" w:type="pct"/>
            <w:vMerge w:val="continue"/>
            <w:vAlign w:val="center"/>
          </w:tcPr>
          <w:p w14:paraId="5169FEDC">
            <w:pPr>
              <w:overflowPunct w:val="0"/>
              <w:jc w:val="center"/>
              <w:textAlignment w:val="center"/>
              <w:rPr>
                <w:rFonts w:ascii="Times New Roman" w:hAnsi="Times New Roman" w:cs="Times New Roman"/>
                <w:color w:val="auto"/>
                <w:sz w:val="21"/>
                <w:lang w:eastAsia="zh-CN" w:bidi="ar"/>
              </w:rPr>
            </w:pPr>
          </w:p>
        </w:tc>
        <w:tc>
          <w:tcPr>
            <w:tcW w:w="276" w:type="pct"/>
            <w:vMerge w:val="continue"/>
            <w:shd w:val="clear" w:color="auto" w:fill="FFFFFF"/>
            <w:vAlign w:val="center"/>
          </w:tcPr>
          <w:p w14:paraId="6A633189">
            <w:pPr>
              <w:overflowPunct w:val="0"/>
              <w:jc w:val="center"/>
              <w:rPr>
                <w:rFonts w:ascii="Times New Roman" w:hAnsi="Times New Roman" w:cs="Times New Roman"/>
                <w:color w:val="auto"/>
                <w:sz w:val="21"/>
                <w:lang w:eastAsia="zh-CN" w:bidi="ar"/>
              </w:rPr>
            </w:pPr>
          </w:p>
        </w:tc>
        <w:tc>
          <w:tcPr>
            <w:tcW w:w="276" w:type="pct"/>
            <w:vMerge w:val="continue"/>
            <w:shd w:val="clear" w:color="auto" w:fill="FFFFFF"/>
            <w:vAlign w:val="center"/>
          </w:tcPr>
          <w:p w14:paraId="7A703905">
            <w:pPr>
              <w:overflowPunct w:val="0"/>
              <w:jc w:val="center"/>
              <w:rPr>
                <w:rFonts w:ascii="Times New Roman" w:hAnsi="Times New Roman" w:cs="Times New Roman"/>
                <w:color w:val="auto"/>
                <w:sz w:val="21"/>
                <w:lang w:eastAsia="zh-CN" w:bidi="ar"/>
              </w:rPr>
            </w:pPr>
          </w:p>
        </w:tc>
        <w:tc>
          <w:tcPr>
            <w:tcW w:w="277" w:type="pct"/>
            <w:vMerge w:val="continue"/>
            <w:vAlign w:val="center"/>
          </w:tcPr>
          <w:p w14:paraId="3E48765E">
            <w:pPr>
              <w:overflowPunct w:val="0"/>
              <w:jc w:val="center"/>
              <w:rPr>
                <w:rFonts w:ascii="Times New Roman" w:hAnsi="Times New Roman" w:cs="Times New Roman"/>
                <w:color w:val="auto"/>
                <w:sz w:val="21"/>
                <w:lang w:eastAsia="zh-CN"/>
              </w:rPr>
            </w:pPr>
          </w:p>
        </w:tc>
        <w:tc>
          <w:tcPr>
            <w:tcW w:w="276" w:type="pct"/>
            <w:vMerge w:val="continue"/>
            <w:vAlign w:val="center"/>
          </w:tcPr>
          <w:p w14:paraId="7CF1D03B">
            <w:pPr>
              <w:overflowPunct w:val="0"/>
              <w:jc w:val="center"/>
              <w:rPr>
                <w:rFonts w:ascii="Times New Roman" w:hAnsi="Times New Roman" w:cs="Times New Roman"/>
                <w:color w:val="auto"/>
                <w:sz w:val="21"/>
                <w:lang w:eastAsia="zh-CN" w:bidi="ar"/>
              </w:rPr>
            </w:pPr>
          </w:p>
        </w:tc>
        <w:tc>
          <w:tcPr>
            <w:tcW w:w="280" w:type="pct"/>
            <w:vMerge w:val="continue"/>
            <w:vAlign w:val="center"/>
          </w:tcPr>
          <w:p w14:paraId="63CE70B3">
            <w:pPr>
              <w:overflowPunct w:val="0"/>
              <w:jc w:val="center"/>
              <w:rPr>
                <w:rFonts w:ascii="Times New Roman" w:hAnsi="Times New Roman" w:cs="Times New Roman"/>
                <w:color w:val="auto"/>
                <w:sz w:val="21"/>
                <w:lang w:eastAsia="zh-CN" w:bidi="ar"/>
              </w:rPr>
            </w:pPr>
          </w:p>
        </w:tc>
        <w:tc>
          <w:tcPr>
            <w:tcW w:w="143" w:type="pct"/>
            <w:vMerge w:val="continue"/>
            <w:vAlign w:val="center"/>
          </w:tcPr>
          <w:p w14:paraId="01C67A3E">
            <w:pPr>
              <w:overflowPunct w:val="0"/>
              <w:jc w:val="center"/>
              <w:rPr>
                <w:rFonts w:ascii="Times New Roman" w:hAnsi="Times New Roman" w:cs="Times New Roman"/>
                <w:color w:val="auto"/>
                <w:sz w:val="21"/>
                <w:lang w:eastAsia="zh-CN"/>
              </w:rPr>
            </w:pPr>
          </w:p>
        </w:tc>
        <w:tc>
          <w:tcPr>
            <w:tcW w:w="203" w:type="pct"/>
            <w:vMerge w:val="continue"/>
            <w:vAlign w:val="center"/>
          </w:tcPr>
          <w:p w14:paraId="364C4FA0">
            <w:pPr>
              <w:overflowPunct w:val="0"/>
              <w:jc w:val="center"/>
              <w:rPr>
                <w:rFonts w:ascii="Times New Roman" w:hAnsi="Times New Roman" w:cs="Times New Roman"/>
                <w:color w:val="auto"/>
                <w:sz w:val="21"/>
                <w:lang w:eastAsia="zh-CN"/>
              </w:rPr>
            </w:pPr>
          </w:p>
        </w:tc>
      </w:tr>
      <w:tr w14:paraId="0183A41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31" w:type="pct"/>
            <w:vMerge w:val="continue"/>
            <w:vAlign w:val="center"/>
          </w:tcPr>
          <w:p w14:paraId="576F626C">
            <w:pPr>
              <w:overflowPunct w:val="0"/>
              <w:jc w:val="center"/>
              <w:textAlignment w:val="center"/>
              <w:rPr>
                <w:rFonts w:ascii="Times New Roman" w:hAnsi="Times New Roman" w:cs="Times New Roman"/>
                <w:color w:val="auto"/>
                <w:sz w:val="21"/>
                <w:lang w:eastAsia="zh-CN" w:bidi="ar"/>
              </w:rPr>
            </w:pPr>
          </w:p>
        </w:tc>
        <w:tc>
          <w:tcPr>
            <w:tcW w:w="230" w:type="pct"/>
            <w:vMerge w:val="continue"/>
            <w:vAlign w:val="center"/>
          </w:tcPr>
          <w:p w14:paraId="671FB2E2">
            <w:pPr>
              <w:overflowPunct w:val="0"/>
              <w:jc w:val="center"/>
              <w:textAlignment w:val="center"/>
              <w:rPr>
                <w:rFonts w:ascii="Times New Roman" w:hAnsi="Times New Roman" w:cs="Times New Roman"/>
                <w:color w:val="auto"/>
                <w:sz w:val="21"/>
                <w:lang w:eastAsia="zh-CN" w:bidi="ar"/>
              </w:rPr>
            </w:pPr>
          </w:p>
        </w:tc>
        <w:tc>
          <w:tcPr>
            <w:tcW w:w="368" w:type="pct"/>
            <w:vAlign w:val="center"/>
          </w:tcPr>
          <w:p w14:paraId="461E6649">
            <w:pPr>
              <w:overflowPunct w:val="0"/>
              <w:jc w:val="center"/>
              <w:textAlignment w:val="center"/>
              <w:rPr>
                <w:rFonts w:ascii="Times New Roman" w:hAnsi="Times New Roman" w:cs="Times New Roman"/>
                <w:color w:val="auto"/>
                <w:sz w:val="21"/>
                <w:lang w:eastAsia="zh-CN" w:bidi="ar"/>
              </w:rPr>
            </w:pPr>
          </w:p>
        </w:tc>
        <w:tc>
          <w:tcPr>
            <w:tcW w:w="276" w:type="pct"/>
            <w:vAlign w:val="center"/>
          </w:tcPr>
          <w:p w14:paraId="1746E4B9">
            <w:pPr>
              <w:overflowPunct w:val="0"/>
              <w:jc w:val="center"/>
              <w:textAlignment w:val="center"/>
              <w:rPr>
                <w:rFonts w:ascii="Times New Roman" w:hAnsi="Times New Roman" w:cs="Times New Roman"/>
                <w:color w:val="auto"/>
                <w:sz w:val="21"/>
                <w:lang w:eastAsia="zh-CN"/>
              </w:rPr>
            </w:pPr>
          </w:p>
        </w:tc>
        <w:tc>
          <w:tcPr>
            <w:tcW w:w="231" w:type="pct"/>
            <w:vMerge w:val="continue"/>
            <w:vAlign w:val="center"/>
          </w:tcPr>
          <w:p w14:paraId="15C15DC2">
            <w:pPr>
              <w:overflowPunct w:val="0"/>
              <w:jc w:val="center"/>
              <w:textAlignment w:val="center"/>
              <w:rPr>
                <w:rFonts w:ascii="Times New Roman" w:hAnsi="Times New Roman" w:cs="Times New Roman"/>
                <w:color w:val="auto"/>
                <w:sz w:val="21"/>
                <w:lang w:eastAsia="zh-CN" w:bidi="ar"/>
              </w:rPr>
            </w:pPr>
          </w:p>
        </w:tc>
        <w:tc>
          <w:tcPr>
            <w:tcW w:w="230" w:type="pct"/>
            <w:vMerge w:val="continue"/>
            <w:vAlign w:val="center"/>
          </w:tcPr>
          <w:p w14:paraId="36369912">
            <w:pPr>
              <w:overflowPunct w:val="0"/>
              <w:jc w:val="center"/>
              <w:textAlignment w:val="center"/>
              <w:rPr>
                <w:rFonts w:ascii="Times New Roman" w:hAnsi="Times New Roman" w:cs="Times New Roman"/>
                <w:color w:val="auto"/>
                <w:sz w:val="21"/>
                <w:lang w:eastAsia="zh-CN" w:bidi="ar"/>
              </w:rPr>
            </w:pPr>
          </w:p>
        </w:tc>
        <w:tc>
          <w:tcPr>
            <w:tcW w:w="276" w:type="pct"/>
            <w:noWrap/>
            <w:vAlign w:val="center"/>
          </w:tcPr>
          <w:p w14:paraId="679B06DA">
            <w:pPr>
              <w:overflowPunct w:val="0"/>
              <w:jc w:val="center"/>
              <w:textAlignment w:val="center"/>
              <w:rPr>
                <w:rFonts w:ascii="Times New Roman" w:hAnsi="Times New Roman" w:cs="Times New Roman"/>
                <w:sz w:val="21"/>
                <w:lang w:eastAsia="zh-CN"/>
              </w:rPr>
            </w:pPr>
          </w:p>
        </w:tc>
        <w:tc>
          <w:tcPr>
            <w:tcW w:w="276" w:type="pct"/>
            <w:noWrap/>
            <w:vAlign w:val="center"/>
          </w:tcPr>
          <w:p w14:paraId="4162C5B1">
            <w:pPr>
              <w:overflowPunct w:val="0"/>
              <w:jc w:val="center"/>
              <w:textAlignment w:val="center"/>
              <w:rPr>
                <w:rFonts w:ascii="Times New Roman" w:hAnsi="Times New Roman" w:cs="Times New Roman"/>
                <w:color w:val="auto"/>
                <w:sz w:val="21"/>
                <w:lang w:eastAsia="zh-CN"/>
              </w:rPr>
            </w:pPr>
          </w:p>
        </w:tc>
        <w:tc>
          <w:tcPr>
            <w:tcW w:w="276" w:type="pct"/>
            <w:vAlign w:val="center"/>
          </w:tcPr>
          <w:p w14:paraId="0546F1BE">
            <w:pPr>
              <w:overflowPunct w:val="0"/>
              <w:jc w:val="center"/>
              <w:textAlignment w:val="center"/>
              <w:rPr>
                <w:rFonts w:ascii="Times New Roman" w:hAnsi="Times New Roman" w:cs="Times New Roman"/>
                <w:color w:val="auto"/>
                <w:sz w:val="21"/>
                <w:lang w:eastAsia="zh-CN"/>
              </w:rPr>
            </w:pPr>
          </w:p>
        </w:tc>
        <w:tc>
          <w:tcPr>
            <w:tcW w:w="323" w:type="pct"/>
            <w:vMerge w:val="continue"/>
            <w:vAlign w:val="center"/>
          </w:tcPr>
          <w:p w14:paraId="0DB4C2B8">
            <w:pPr>
              <w:overflowPunct w:val="0"/>
              <w:jc w:val="center"/>
              <w:rPr>
                <w:rFonts w:ascii="Times New Roman" w:hAnsi="Times New Roman" w:cs="Times New Roman"/>
                <w:color w:val="auto"/>
                <w:sz w:val="21"/>
                <w:lang w:eastAsia="zh-CN"/>
              </w:rPr>
            </w:pPr>
          </w:p>
        </w:tc>
        <w:tc>
          <w:tcPr>
            <w:tcW w:w="276" w:type="pct"/>
            <w:vMerge w:val="continue"/>
            <w:vAlign w:val="center"/>
          </w:tcPr>
          <w:p w14:paraId="6A9EC543">
            <w:pPr>
              <w:overflowPunct w:val="0"/>
              <w:jc w:val="center"/>
              <w:textAlignment w:val="center"/>
              <w:rPr>
                <w:rFonts w:ascii="Times New Roman" w:hAnsi="Times New Roman" w:cs="Times New Roman"/>
                <w:color w:val="auto"/>
                <w:sz w:val="21"/>
                <w:lang w:eastAsia="zh-CN" w:bidi="ar"/>
              </w:rPr>
            </w:pPr>
          </w:p>
        </w:tc>
        <w:tc>
          <w:tcPr>
            <w:tcW w:w="276" w:type="pct"/>
            <w:vMerge w:val="continue"/>
            <w:vAlign w:val="center"/>
          </w:tcPr>
          <w:p w14:paraId="680292EC">
            <w:pPr>
              <w:overflowPunct w:val="0"/>
              <w:jc w:val="center"/>
              <w:textAlignment w:val="center"/>
              <w:rPr>
                <w:rFonts w:ascii="Times New Roman" w:hAnsi="Times New Roman" w:cs="Times New Roman"/>
                <w:color w:val="auto"/>
                <w:sz w:val="21"/>
                <w:lang w:eastAsia="zh-CN" w:bidi="ar"/>
              </w:rPr>
            </w:pPr>
          </w:p>
        </w:tc>
        <w:tc>
          <w:tcPr>
            <w:tcW w:w="276" w:type="pct"/>
            <w:vMerge w:val="continue"/>
            <w:shd w:val="clear" w:color="auto" w:fill="FFFFFF"/>
            <w:vAlign w:val="center"/>
          </w:tcPr>
          <w:p w14:paraId="45CB640A">
            <w:pPr>
              <w:overflowPunct w:val="0"/>
              <w:jc w:val="center"/>
              <w:rPr>
                <w:rFonts w:ascii="Times New Roman" w:hAnsi="Times New Roman" w:cs="Times New Roman"/>
                <w:color w:val="auto"/>
                <w:sz w:val="21"/>
                <w:lang w:eastAsia="zh-CN" w:bidi="ar"/>
              </w:rPr>
            </w:pPr>
          </w:p>
        </w:tc>
        <w:tc>
          <w:tcPr>
            <w:tcW w:w="276" w:type="pct"/>
            <w:vMerge w:val="continue"/>
            <w:shd w:val="clear" w:color="auto" w:fill="FFFFFF"/>
            <w:vAlign w:val="center"/>
          </w:tcPr>
          <w:p w14:paraId="26C9BA96">
            <w:pPr>
              <w:overflowPunct w:val="0"/>
              <w:jc w:val="center"/>
              <w:rPr>
                <w:rFonts w:ascii="Times New Roman" w:hAnsi="Times New Roman" w:cs="Times New Roman"/>
                <w:color w:val="auto"/>
                <w:sz w:val="21"/>
                <w:lang w:eastAsia="zh-CN" w:bidi="ar"/>
              </w:rPr>
            </w:pPr>
          </w:p>
        </w:tc>
        <w:tc>
          <w:tcPr>
            <w:tcW w:w="277" w:type="pct"/>
            <w:vMerge w:val="continue"/>
            <w:vAlign w:val="center"/>
          </w:tcPr>
          <w:p w14:paraId="2407D600">
            <w:pPr>
              <w:overflowPunct w:val="0"/>
              <w:jc w:val="center"/>
              <w:rPr>
                <w:rFonts w:ascii="Times New Roman" w:hAnsi="Times New Roman" w:cs="Times New Roman"/>
                <w:color w:val="auto"/>
                <w:sz w:val="21"/>
                <w:lang w:eastAsia="zh-CN"/>
              </w:rPr>
            </w:pPr>
          </w:p>
        </w:tc>
        <w:tc>
          <w:tcPr>
            <w:tcW w:w="276" w:type="pct"/>
            <w:vMerge w:val="continue"/>
            <w:vAlign w:val="center"/>
          </w:tcPr>
          <w:p w14:paraId="5BA978BE">
            <w:pPr>
              <w:overflowPunct w:val="0"/>
              <w:jc w:val="center"/>
              <w:rPr>
                <w:rFonts w:ascii="Times New Roman" w:hAnsi="Times New Roman" w:cs="Times New Roman"/>
                <w:color w:val="auto"/>
                <w:sz w:val="21"/>
                <w:lang w:eastAsia="zh-CN" w:bidi="ar"/>
              </w:rPr>
            </w:pPr>
          </w:p>
        </w:tc>
        <w:tc>
          <w:tcPr>
            <w:tcW w:w="280" w:type="pct"/>
            <w:vMerge w:val="continue"/>
            <w:vAlign w:val="center"/>
          </w:tcPr>
          <w:p w14:paraId="0F89FA73">
            <w:pPr>
              <w:overflowPunct w:val="0"/>
              <w:jc w:val="center"/>
              <w:rPr>
                <w:rFonts w:ascii="Times New Roman" w:hAnsi="Times New Roman" w:cs="Times New Roman"/>
                <w:color w:val="auto"/>
                <w:sz w:val="21"/>
                <w:lang w:eastAsia="zh-CN" w:bidi="ar"/>
              </w:rPr>
            </w:pPr>
          </w:p>
        </w:tc>
        <w:tc>
          <w:tcPr>
            <w:tcW w:w="143" w:type="pct"/>
            <w:vMerge w:val="continue"/>
            <w:vAlign w:val="center"/>
          </w:tcPr>
          <w:p w14:paraId="3B59D70F">
            <w:pPr>
              <w:overflowPunct w:val="0"/>
              <w:jc w:val="center"/>
              <w:rPr>
                <w:rFonts w:ascii="Times New Roman" w:hAnsi="Times New Roman" w:cs="Times New Roman"/>
                <w:color w:val="auto"/>
                <w:sz w:val="21"/>
                <w:lang w:eastAsia="zh-CN"/>
              </w:rPr>
            </w:pPr>
          </w:p>
        </w:tc>
        <w:tc>
          <w:tcPr>
            <w:tcW w:w="203" w:type="pct"/>
            <w:vMerge w:val="continue"/>
            <w:vAlign w:val="center"/>
          </w:tcPr>
          <w:p w14:paraId="009C26A8">
            <w:pPr>
              <w:overflowPunct w:val="0"/>
              <w:jc w:val="center"/>
              <w:rPr>
                <w:rFonts w:ascii="Times New Roman" w:hAnsi="Times New Roman" w:cs="Times New Roman"/>
                <w:color w:val="auto"/>
                <w:sz w:val="21"/>
                <w:lang w:eastAsia="zh-CN"/>
              </w:rPr>
            </w:pPr>
          </w:p>
        </w:tc>
      </w:tr>
      <w:tr w14:paraId="5DBEBDC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461" w:type="pct"/>
            <w:gridSpan w:val="2"/>
            <w:vAlign w:val="center"/>
          </w:tcPr>
          <w:p w14:paraId="0A374F4E">
            <w:pPr>
              <w:overflowPunct w:val="0"/>
              <w:jc w:val="center"/>
              <w:textAlignment w:val="center"/>
              <w:rPr>
                <w:rFonts w:ascii="Times New Roman" w:hAnsi="Times New Roman" w:cs="Times New Roman"/>
                <w:color w:val="auto"/>
                <w:sz w:val="21"/>
                <w:lang w:eastAsia="zh-CN" w:bidi="ar"/>
              </w:rPr>
            </w:pPr>
          </w:p>
        </w:tc>
        <w:tc>
          <w:tcPr>
            <w:tcW w:w="368" w:type="pct"/>
            <w:vAlign w:val="center"/>
          </w:tcPr>
          <w:p w14:paraId="06EA0EB9">
            <w:pPr>
              <w:overflowPunct w:val="0"/>
              <w:jc w:val="center"/>
              <w:textAlignment w:val="center"/>
              <w:rPr>
                <w:rFonts w:ascii="Times New Roman" w:hAnsi="Times New Roman" w:cs="Times New Roman"/>
                <w:color w:val="auto"/>
                <w:sz w:val="21"/>
                <w:lang w:eastAsia="zh-CN" w:bidi="ar"/>
              </w:rPr>
            </w:pPr>
          </w:p>
        </w:tc>
        <w:tc>
          <w:tcPr>
            <w:tcW w:w="276" w:type="pct"/>
            <w:vAlign w:val="center"/>
          </w:tcPr>
          <w:p w14:paraId="5C438933">
            <w:pPr>
              <w:overflowPunct w:val="0"/>
              <w:jc w:val="center"/>
              <w:textAlignment w:val="center"/>
              <w:rPr>
                <w:rFonts w:ascii="Times New Roman" w:hAnsi="Times New Roman" w:cs="Times New Roman"/>
                <w:color w:val="auto"/>
                <w:sz w:val="21"/>
                <w:lang w:eastAsia="zh-CN"/>
              </w:rPr>
            </w:pPr>
          </w:p>
        </w:tc>
        <w:tc>
          <w:tcPr>
            <w:tcW w:w="231" w:type="pct"/>
            <w:vMerge w:val="restart"/>
            <w:vAlign w:val="center"/>
          </w:tcPr>
          <w:p w14:paraId="25F359FF">
            <w:pPr>
              <w:overflowPunct w:val="0"/>
              <w:jc w:val="center"/>
              <w:textAlignment w:val="center"/>
              <w:rPr>
                <w:rFonts w:ascii="Times New Roman" w:hAnsi="Times New Roman" w:cs="Times New Roman"/>
                <w:color w:val="auto"/>
                <w:sz w:val="21"/>
                <w:lang w:eastAsia="zh-CN" w:bidi="ar"/>
              </w:rPr>
            </w:pPr>
          </w:p>
        </w:tc>
        <w:tc>
          <w:tcPr>
            <w:tcW w:w="230" w:type="pct"/>
            <w:vMerge w:val="restart"/>
            <w:vAlign w:val="center"/>
          </w:tcPr>
          <w:p w14:paraId="03D057C5">
            <w:pPr>
              <w:overflowPunct w:val="0"/>
              <w:jc w:val="center"/>
              <w:textAlignment w:val="center"/>
              <w:rPr>
                <w:rFonts w:ascii="Times New Roman" w:hAnsi="Times New Roman" w:cs="Times New Roman"/>
                <w:color w:val="auto"/>
                <w:sz w:val="21"/>
                <w:lang w:eastAsia="zh-CN" w:bidi="ar"/>
              </w:rPr>
            </w:pPr>
          </w:p>
        </w:tc>
        <w:tc>
          <w:tcPr>
            <w:tcW w:w="276" w:type="pct"/>
            <w:noWrap/>
            <w:vAlign w:val="center"/>
          </w:tcPr>
          <w:p w14:paraId="6AC3C2A8">
            <w:pPr>
              <w:overflowPunct w:val="0"/>
              <w:jc w:val="center"/>
              <w:textAlignment w:val="center"/>
              <w:rPr>
                <w:rFonts w:ascii="Times New Roman" w:hAnsi="Times New Roman" w:cs="Times New Roman"/>
                <w:sz w:val="21"/>
                <w:lang w:eastAsia="zh-CN"/>
              </w:rPr>
            </w:pPr>
          </w:p>
        </w:tc>
        <w:tc>
          <w:tcPr>
            <w:tcW w:w="276" w:type="pct"/>
            <w:noWrap/>
            <w:vAlign w:val="center"/>
          </w:tcPr>
          <w:p w14:paraId="730F99AB">
            <w:pPr>
              <w:overflowPunct w:val="0"/>
              <w:jc w:val="center"/>
              <w:textAlignment w:val="center"/>
              <w:rPr>
                <w:rFonts w:ascii="Times New Roman" w:hAnsi="Times New Roman" w:cs="Times New Roman"/>
                <w:color w:val="auto"/>
                <w:sz w:val="21"/>
                <w:lang w:eastAsia="zh-CN"/>
              </w:rPr>
            </w:pPr>
          </w:p>
        </w:tc>
        <w:tc>
          <w:tcPr>
            <w:tcW w:w="276" w:type="pct"/>
            <w:vAlign w:val="center"/>
          </w:tcPr>
          <w:p w14:paraId="388731E1">
            <w:pPr>
              <w:overflowPunct w:val="0"/>
              <w:jc w:val="center"/>
              <w:textAlignment w:val="center"/>
              <w:rPr>
                <w:rFonts w:ascii="Times New Roman" w:hAnsi="Times New Roman" w:cs="Times New Roman"/>
                <w:color w:val="auto"/>
                <w:sz w:val="21"/>
                <w:lang w:eastAsia="zh-CN"/>
              </w:rPr>
            </w:pPr>
          </w:p>
        </w:tc>
        <w:tc>
          <w:tcPr>
            <w:tcW w:w="323" w:type="pct"/>
            <w:vMerge w:val="continue"/>
            <w:vAlign w:val="center"/>
          </w:tcPr>
          <w:p w14:paraId="359148D9">
            <w:pPr>
              <w:overflowPunct w:val="0"/>
              <w:jc w:val="center"/>
              <w:rPr>
                <w:rFonts w:ascii="Times New Roman" w:hAnsi="Times New Roman" w:cs="Times New Roman"/>
                <w:color w:val="auto"/>
                <w:sz w:val="21"/>
                <w:lang w:eastAsia="zh-CN"/>
              </w:rPr>
            </w:pPr>
          </w:p>
        </w:tc>
        <w:tc>
          <w:tcPr>
            <w:tcW w:w="276" w:type="pct"/>
            <w:vMerge w:val="continue"/>
            <w:vAlign w:val="center"/>
          </w:tcPr>
          <w:p w14:paraId="21A48AF2">
            <w:pPr>
              <w:overflowPunct w:val="0"/>
              <w:jc w:val="center"/>
              <w:textAlignment w:val="center"/>
              <w:rPr>
                <w:rFonts w:ascii="Times New Roman" w:hAnsi="Times New Roman" w:cs="Times New Roman"/>
                <w:color w:val="auto"/>
                <w:sz w:val="21"/>
                <w:lang w:eastAsia="zh-CN" w:bidi="ar"/>
              </w:rPr>
            </w:pPr>
          </w:p>
        </w:tc>
        <w:tc>
          <w:tcPr>
            <w:tcW w:w="276" w:type="pct"/>
            <w:vMerge w:val="continue"/>
            <w:vAlign w:val="center"/>
          </w:tcPr>
          <w:p w14:paraId="40731EC9">
            <w:pPr>
              <w:overflowPunct w:val="0"/>
              <w:jc w:val="center"/>
              <w:textAlignment w:val="center"/>
              <w:rPr>
                <w:rFonts w:ascii="Times New Roman" w:hAnsi="Times New Roman" w:cs="Times New Roman"/>
                <w:color w:val="auto"/>
                <w:sz w:val="21"/>
                <w:lang w:eastAsia="zh-CN" w:bidi="ar"/>
              </w:rPr>
            </w:pPr>
          </w:p>
        </w:tc>
        <w:tc>
          <w:tcPr>
            <w:tcW w:w="276" w:type="pct"/>
            <w:vMerge w:val="continue"/>
            <w:shd w:val="clear" w:color="auto" w:fill="FFFFFF"/>
            <w:vAlign w:val="center"/>
          </w:tcPr>
          <w:p w14:paraId="1B70D9B1">
            <w:pPr>
              <w:overflowPunct w:val="0"/>
              <w:jc w:val="center"/>
              <w:rPr>
                <w:rFonts w:ascii="Times New Roman" w:hAnsi="Times New Roman" w:cs="Times New Roman"/>
                <w:color w:val="auto"/>
                <w:sz w:val="21"/>
                <w:lang w:eastAsia="zh-CN" w:bidi="ar"/>
              </w:rPr>
            </w:pPr>
          </w:p>
        </w:tc>
        <w:tc>
          <w:tcPr>
            <w:tcW w:w="276" w:type="pct"/>
            <w:vMerge w:val="continue"/>
            <w:shd w:val="clear" w:color="auto" w:fill="FFFFFF"/>
            <w:vAlign w:val="center"/>
          </w:tcPr>
          <w:p w14:paraId="535C1884">
            <w:pPr>
              <w:overflowPunct w:val="0"/>
              <w:jc w:val="center"/>
              <w:rPr>
                <w:rFonts w:ascii="Times New Roman" w:hAnsi="Times New Roman" w:cs="Times New Roman"/>
                <w:color w:val="auto"/>
                <w:sz w:val="21"/>
                <w:lang w:eastAsia="zh-CN" w:bidi="ar"/>
              </w:rPr>
            </w:pPr>
          </w:p>
        </w:tc>
        <w:tc>
          <w:tcPr>
            <w:tcW w:w="277" w:type="pct"/>
            <w:vMerge w:val="continue"/>
            <w:shd w:val="clear" w:color="auto" w:fill="FFFFFF"/>
            <w:vAlign w:val="center"/>
          </w:tcPr>
          <w:p w14:paraId="0F256928">
            <w:pPr>
              <w:overflowPunct w:val="0"/>
              <w:jc w:val="center"/>
              <w:rPr>
                <w:rFonts w:ascii="Times New Roman" w:hAnsi="Times New Roman" w:cs="Times New Roman"/>
                <w:color w:val="auto"/>
                <w:sz w:val="21"/>
                <w:lang w:eastAsia="zh-CN"/>
              </w:rPr>
            </w:pPr>
          </w:p>
        </w:tc>
        <w:tc>
          <w:tcPr>
            <w:tcW w:w="276" w:type="pct"/>
            <w:vMerge w:val="continue"/>
            <w:vAlign w:val="center"/>
          </w:tcPr>
          <w:p w14:paraId="293FD7E8">
            <w:pPr>
              <w:overflowPunct w:val="0"/>
              <w:jc w:val="center"/>
              <w:rPr>
                <w:rFonts w:ascii="Times New Roman" w:hAnsi="Times New Roman" w:cs="Times New Roman"/>
                <w:color w:val="auto"/>
                <w:sz w:val="21"/>
                <w:lang w:eastAsia="zh-CN" w:bidi="ar"/>
              </w:rPr>
            </w:pPr>
          </w:p>
        </w:tc>
        <w:tc>
          <w:tcPr>
            <w:tcW w:w="280" w:type="pct"/>
            <w:vMerge w:val="continue"/>
            <w:vAlign w:val="center"/>
          </w:tcPr>
          <w:p w14:paraId="114AB7DA">
            <w:pPr>
              <w:overflowPunct w:val="0"/>
              <w:jc w:val="center"/>
              <w:rPr>
                <w:rFonts w:ascii="Times New Roman" w:hAnsi="Times New Roman" w:cs="Times New Roman"/>
                <w:color w:val="auto"/>
                <w:sz w:val="21"/>
                <w:lang w:eastAsia="zh-CN" w:bidi="ar"/>
              </w:rPr>
            </w:pPr>
          </w:p>
        </w:tc>
        <w:tc>
          <w:tcPr>
            <w:tcW w:w="143" w:type="pct"/>
            <w:vMerge w:val="continue"/>
            <w:vAlign w:val="center"/>
          </w:tcPr>
          <w:p w14:paraId="7A7BCE21">
            <w:pPr>
              <w:overflowPunct w:val="0"/>
              <w:jc w:val="center"/>
              <w:rPr>
                <w:rFonts w:ascii="Times New Roman" w:hAnsi="Times New Roman" w:cs="Times New Roman"/>
                <w:color w:val="auto"/>
                <w:sz w:val="21"/>
                <w:lang w:eastAsia="zh-CN"/>
              </w:rPr>
            </w:pPr>
          </w:p>
        </w:tc>
        <w:tc>
          <w:tcPr>
            <w:tcW w:w="203" w:type="pct"/>
            <w:vMerge w:val="continue"/>
            <w:vAlign w:val="center"/>
          </w:tcPr>
          <w:p w14:paraId="7A9FC112">
            <w:pPr>
              <w:overflowPunct w:val="0"/>
              <w:jc w:val="center"/>
              <w:rPr>
                <w:rFonts w:ascii="Times New Roman" w:hAnsi="Times New Roman" w:cs="Times New Roman"/>
                <w:color w:val="auto"/>
                <w:sz w:val="21"/>
                <w:lang w:eastAsia="zh-CN"/>
              </w:rPr>
            </w:pPr>
          </w:p>
        </w:tc>
      </w:tr>
      <w:tr w14:paraId="3C96F20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461" w:type="pct"/>
            <w:gridSpan w:val="2"/>
            <w:vMerge w:val="restart"/>
            <w:vAlign w:val="center"/>
          </w:tcPr>
          <w:p w14:paraId="79829CCE">
            <w:pPr>
              <w:overflowPunct w:val="0"/>
              <w:jc w:val="center"/>
              <w:textAlignment w:val="center"/>
              <w:rPr>
                <w:rFonts w:ascii="Times New Roman" w:hAnsi="Times New Roman" w:cs="Times New Roman"/>
                <w:color w:val="auto"/>
                <w:sz w:val="21"/>
                <w:lang w:eastAsia="zh-CN" w:bidi="ar"/>
              </w:rPr>
            </w:pPr>
          </w:p>
        </w:tc>
        <w:tc>
          <w:tcPr>
            <w:tcW w:w="368" w:type="pct"/>
            <w:vAlign w:val="center"/>
          </w:tcPr>
          <w:p w14:paraId="22C6892B">
            <w:pPr>
              <w:overflowPunct w:val="0"/>
              <w:jc w:val="center"/>
              <w:textAlignment w:val="center"/>
              <w:rPr>
                <w:rFonts w:ascii="Times New Roman" w:hAnsi="Times New Roman" w:cs="Times New Roman"/>
                <w:color w:val="000000" w:themeColor="text1"/>
                <w:sz w:val="21"/>
                <w14:textFill>
                  <w14:solidFill>
                    <w14:schemeClr w14:val="tx1"/>
                  </w14:solidFill>
                </w14:textFill>
              </w:rPr>
            </w:pPr>
          </w:p>
        </w:tc>
        <w:tc>
          <w:tcPr>
            <w:tcW w:w="276" w:type="pct"/>
            <w:vAlign w:val="center"/>
          </w:tcPr>
          <w:p w14:paraId="3588F3B0">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31" w:type="pct"/>
            <w:vMerge w:val="continue"/>
            <w:vAlign w:val="center"/>
          </w:tcPr>
          <w:p w14:paraId="61F98233">
            <w:pPr>
              <w:overflowPunct w:val="0"/>
              <w:jc w:val="center"/>
              <w:textAlignment w:val="center"/>
              <w:rPr>
                <w:rFonts w:ascii="Times New Roman" w:hAnsi="Times New Roman" w:cs="Times New Roman"/>
                <w:color w:val="auto"/>
                <w:sz w:val="21"/>
                <w:lang w:eastAsia="zh-CN"/>
              </w:rPr>
            </w:pPr>
          </w:p>
        </w:tc>
        <w:tc>
          <w:tcPr>
            <w:tcW w:w="230" w:type="pct"/>
            <w:vMerge w:val="continue"/>
            <w:vAlign w:val="center"/>
          </w:tcPr>
          <w:p w14:paraId="3C04C182">
            <w:pPr>
              <w:overflowPunct w:val="0"/>
              <w:jc w:val="center"/>
              <w:textAlignment w:val="center"/>
              <w:rPr>
                <w:rFonts w:ascii="Times New Roman" w:hAnsi="Times New Roman" w:cs="Times New Roman"/>
                <w:color w:val="auto"/>
                <w:sz w:val="21"/>
                <w:lang w:eastAsia="zh-CN" w:bidi="ar"/>
              </w:rPr>
            </w:pPr>
          </w:p>
        </w:tc>
        <w:tc>
          <w:tcPr>
            <w:tcW w:w="276" w:type="pct"/>
            <w:noWrap/>
            <w:vAlign w:val="center"/>
          </w:tcPr>
          <w:p w14:paraId="1D80700C">
            <w:pPr>
              <w:overflowPunct w:val="0"/>
              <w:jc w:val="center"/>
              <w:textAlignment w:val="center"/>
              <w:rPr>
                <w:rFonts w:ascii="Times New Roman" w:hAnsi="Times New Roman" w:cs="Times New Roman"/>
                <w:sz w:val="21"/>
              </w:rPr>
            </w:pPr>
          </w:p>
        </w:tc>
        <w:tc>
          <w:tcPr>
            <w:tcW w:w="276" w:type="pct"/>
            <w:noWrap/>
            <w:vAlign w:val="center"/>
          </w:tcPr>
          <w:p w14:paraId="63572B56">
            <w:pPr>
              <w:overflowPunct w:val="0"/>
              <w:jc w:val="center"/>
              <w:textAlignment w:val="center"/>
              <w:rPr>
                <w:rFonts w:ascii="Times New Roman" w:hAnsi="Times New Roman" w:cs="Times New Roman"/>
                <w:color w:val="auto"/>
                <w:sz w:val="21"/>
                <w:lang w:eastAsia="zh-CN"/>
              </w:rPr>
            </w:pPr>
          </w:p>
        </w:tc>
        <w:tc>
          <w:tcPr>
            <w:tcW w:w="276" w:type="pct"/>
            <w:vAlign w:val="center"/>
          </w:tcPr>
          <w:p w14:paraId="22267E2D">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323" w:type="pct"/>
            <w:vMerge w:val="continue"/>
            <w:vAlign w:val="center"/>
          </w:tcPr>
          <w:p w14:paraId="39C34875">
            <w:pPr>
              <w:overflowPunct w:val="0"/>
              <w:jc w:val="center"/>
              <w:rPr>
                <w:rFonts w:ascii="Times New Roman" w:hAnsi="Times New Roman" w:cs="Times New Roman"/>
                <w:color w:val="auto"/>
                <w:sz w:val="21"/>
                <w:lang w:eastAsia="zh-CN"/>
              </w:rPr>
            </w:pPr>
          </w:p>
        </w:tc>
        <w:tc>
          <w:tcPr>
            <w:tcW w:w="276" w:type="pct"/>
            <w:vMerge w:val="continue"/>
            <w:vAlign w:val="center"/>
          </w:tcPr>
          <w:p w14:paraId="13BF8E9E">
            <w:pPr>
              <w:overflowPunct w:val="0"/>
              <w:jc w:val="center"/>
              <w:rPr>
                <w:rFonts w:ascii="Times New Roman" w:hAnsi="Times New Roman" w:cs="Times New Roman"/>
                <w:color w:val="auto"/>
                <w:sz w:val="21"/>
                <w:lang w:eastAsia="zh-CN"/>
              </w:rPr>
            </w:pPr>
          </w:p>
        </w:tc>
        <w:tc>
          <w:tcPr>
            <w:tcW w:w="276" w:type="pct"/>
            <w:vMerge w:val="continue"/>
            <w:vAlign w:val="center"/>
          </w:tcPr>
          <w:p w14:paraId="36CEFC45">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3DB0B7BC">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3F858AE0">
            <w:pPr>
              <w:overflowPunct w:val="0"/>
              <w:jc w:val="center"/>
              <w:rPr>
                <w:rFonts w:ascii="Times New Roman" w:hAnsi="Times New Roman" w:cs="Times New Roman"/>
                <w:color w:val="auto"/>
                <w:sz w:val="21"/>
                <w:lang w:eastAsia="zh-CN"/>
              </w:rPr>
            </w:pPr>
          </w:p>
        </w:tc>
        <w:tc>
          <w:tcPr>
            <w:tcW w:w="277" w:type="pct"/>
            <w:vMerge w:val="continue"/>
            <w:vAlign w:val="center"/>
          </w:tcPr>
          <w:p w14:paraId="012D9C94">
            <w:pPr>
              <w:overflowPunct w:val="0"/>
              <w:jc w:val="center"/>
              <w:rPr>
                <w:rFonts w:ascii="Times New Roman" w:hAnsi="Times New Roman" w:cs="Times New Roman"/>
                <w:color w:val="auto"/>
                <w:sz w:val="21"/>
                <w:lang w:eastAsia="zh-CN"/>
              </w:rPr>
            </w:pPr>
          </w:p>
        </w:tc>
        <w:tc>
          <w:tcPr>
            <w:tcW w:w="276" w:type="pct"/>
            <w:vMerge w:val="continue"/>
            <w:vAlign w:val="center"/>
          </w:tcPr>
          <w:p w14:paraId="4DDC8E24">
            <w:pPr>
              <w:overflowPunct w:val="0"/>
              <w:jc w:val="center"/>
              <w:rPr>
                <w:rFonts w:ascii="Times New Roman" w:hAnsi="Times New Roman" w:cs="Times New Roman"/>
                <w:color w:val="auto"/>
                <w:sz w:val="21"/>
                <w:lang w:eastAsia="zh-CN"/>
              </w:rPr>
            </w:pPr>
          </w:p>
        </w:tc>
        <w:tc>
          <w:tcPr>
            <w:tcW w:w="280" w:type="pct"/>
            <w:vMerge w:val="continue"/>
            <w:vAlign w:val="center"/>
          </w:tcPr>
          <w:p w14:paraId="2145D3A6">
            <w:pPr>
              <w:overflowPunct w:val="0"/>
              <w:jc w:val="center"/>
              <w:rPr>
                <w:rFonts w:ascii="Times New Roman" w:hAnsi="Times New Roman" w:cs="Times New Roman"/>
                <w:color w:val="auto"/>
                <w:sz w:val="21"/>
                <w:lang w:eastAsia="zh-CN"/>
              </w:rPr>
            </w:pPr>
          </w:p>
        </w:tc>
        <w:tc>
          <w:tcPr>
            <w:tcW w:w="143" w:type="pct"/>
            <w:vMerge w:val="continue"/>
            <w:vAlign w:val="center"/>
          </w:tcPr>
          <w:p w14:paraId="0ED53AB5">
            <w:pPr>
              <w:overflowPunct w:val="0"/>
              <w:jc w:val="center"/>
              <w:rPr>
                <w:rFonts w:ascii="Times New Roman" w:hAnsi="Times New Roman" w:cs="Times New Roman"/>
                <w:color w:val="auto"/>
                <w:sz w:val="21"/>
                <w:lang w:eastAsia="zh-CN"/>
              </w:rPr>
            </w:pPr>
          </w:p>
        </w:tc>
        <w:tc>
          <w:tcPr>
            <w:tcW w:w="203" w:type="pct"/>
            <w:vMerge w:val="continue"/>
            <w:vAlign w:val="center"/>
          </w:tcPr>
          <w:p w14:paraId="2539FC76">
            <w:pPr>
              <w:overflowPunct w:val="0"/>
              <w:jc w:val="center"/>
              <w:rPr>
                <w:rFonts w:ascii="Times New Roman" w:hAnsi="Times New Roman" w:cs="Times New Roman"/>
                <w:color w:val="auto"/>
                <w:sz w:val="21"/>
                <w:lang w:eastAsia="zh-CN"/>
              </w:rPr>
            </w:pPr>
          </w:p>
        </w:tc>
      </w:tr>
      <w:tr w14:paraId="564C62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461" w:type="pct"/>
            <w:gridSpan w:val="2"/>
            <w:vMerge w:val="continue"/>
            <w:vAlign w:val="center"/>
          </w:tcPr>
          <w:p w14:paraId="71EC541D">
            <w:pPr>
              <w:overflowPunct w:val="0"/>
              <w:jc w:val="center"/>
              <w:textAlignment w:val="center"/>
              <w:rPr>
                <w:rFonts w:ascii="Times New Roman" w:hAnsi="Times New Roman" w:cs="Times New Roman"/>
                <w:color w:val="auto"/>
                <w:sz w:val="21"/>
                <w:lang w:eastAsia="zh-CN" w:bidi="ar"/>
              </w:rPr>
            </w:pPr>
          </w:p>
        </w:tc>
        <w:tc>
          <w:tcPr>
            <w:tcW w:w="368" w:type="pct"/>
            <w:vAlign w:val="center"/>
          </w:tcPr>
          <w:p w14:paraId="1263C0B8">
            <w:pPr>
              <w:overflowPunct w:val="0"/>
              <w:jc w:val="center"/>
              <w:textAlignment w:val="center"/>
              <w:rPr>
                <w:rFonts w:ascii="Times New Roman" w:hAnsi="Times New Roman" w:cs="Times New Roman"/>
                <w:color w:val="000000" w:themeColor="text1"/>
                <w:sz w:val="21"/>
                <w14:textFill>
                  <w14:solidFill>
                    <w14:schemeClr w14:val="tx1"/>
                  </w14:solidFill>
                </w14:textFill>
              </w:rPr>
            </w:pPr>
          </w:p>
        </w:tc>
        <w:tc>
          <w:tcPr>
            <w:tcW w:w="276" w:type="pct"/>
            <w:vAlign w:val="center"/>
          </w:tcPr>
          <w:p w14:paraId="17E500C7">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31" w:type="pct"/>
            <w:vMerge w:val="continue"/>
            <w:vAlign w:val="center"/>
          </w:tcPr>
          <w:p w14:paraId="475B9308">
            <w:pPr>
              <w:overflowPunct w:val="0"/>
              <w:jc w:val="center"/>
              <w:textAlignment w:val="center"/>
              <w:rPr>
                <w:rFonts w:ascii="Times New Roman" w:hAnsi="Times New Roman" w:cs="Times New Roman"/>
                <w:color w:val="auto"/>
                <w:sz w:val="21"/>
                <w:lang w:eastAsia="zh-CN"/>
              </w:rPr>
            </w:pPr>
          </w:p>
        </w:tc>
        <w:tc>
          <w:tcPr>
            <w:tcW w:w="230" w:type="pct"/>
            <w:vMerge w:val="continue"/>
            <w:vAlign w:val="center"/>
          </w:tcPr>
          <w:p w14:paraId="1F24715A">
            <w:pPr>
              <w:overflowPunct w:val="0"/>
              <w:jc w:val="center"/>
              <w:textAlignment w:val="center"/>
              <w:rPr>
                <w:rFonts w:ascii="Times New Roman" w:hAnsi="Times New Roman" w:cs="Times New Roman"/>
                <w:color w:val="auto"/>
                <w:sz w:val="21"/>
                <w:lang w:eastAsia="zh-CN" w:bidi="ar"/>
              </w:rPr>
            </w:pPr>
          </w:p>
        </w:tc>
        <w:tc>
          <w:tcPr>
            <w:tcW w:w="276" w:type="pct"/>
            <w:noWrap/>
            <w:vAlign w:val="center"/>
          </w:tcPr>
          <w:p w14:paraId="541D3C32">
            <w:pPr>
              <w:overflowPunct w:val="0"/>
              <w:jc w:val="center"/>
              <w:textAlignment w:val="center"/>
              <w:rPr>
                <w:rFonts w:ascii="Times New Roman" w:hAnsi="Times New Roman" w:cs="Times New Roman"/>
                <w:sz w:val="21"/>
                <w:lang w:eastAsia="zh-CN"/>
              </w:rPr>
            </w:pPr>
          </w:p>
        </w:tc>
        <w:tc>
          <w:tcPr>
            <w:tcW w:w="276" w:type="pct"/>
            <w:noWrap/>
            <w:vAlign w:val="center"/>
          </w:tcPr>
          <w:p w14:paraId="009B3457">
            <w:pPr>
              <w:overflowPunct w:val="0"/>
              <w:jc w:val="center"/>
              <w:textAlignment w:val="center"/>
              <w:rPr>
                <w:rFonts w:ascii="Times New Roman" w:hAnsi="Times New Roman" w:cs="Times New Roman"/>
                <w:color w:val="auto"/>
                <w:sz w:val="21"/>
                <w:lang w:eastAsia="zh-CN"/>
              </w:rPr>
            </w:pPr>
          </w:p>
        </w:tc>
        <w:tc>
          <w:tcPr>
            <w:tcW w:w="276" w:type="pct"/>
            <w:vAlign w:val="center"/>
          </w:tcPr>
          <w:p w14:paraId="5D33AFD7">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323" w:type="pct"/>
            <w:vMerge w:val="continue"/>
            <w:vAlign w:val="center"/>
          </w:tcPr>
          <w:p w14:paraId="22EDBAD4">
            <w:pPr>
              <w:overflowPunct w:val="0"/>
              <w:jc w:val="center"/>
              <w:rPr>
                <w:rFonts w:ascii="Times New Roman" w:hAnsi="Times New Roman" w:cs="Times New Roman"/>
                <w:color w:val="auto"/>
                <w:sz w:val="21"/>
                <w:lang w:eastAsia="zh-CN"/>
              </w:rPr>
            </w:pPr>
          </w:p>
        </w:tc>
        <w:tc>
          <w:tcPr>
            <w:tcW w:w="276" w:type="pct"/>
            <w:vMerge w:val="continue"/>
            <w:vAlign w:val="center"/>
          </w:tcPr>
          <w:p w14:paraId="15250F4A">
            <w:pPr>
              <w:overflowPunct w:val="0"/>
              <w:jc w:val="center"/>
              <w:rPr>
                <w:rFonts w:ascii="Times New Roman" w:hAnsi="Times New Roman" w:cs="Times New Roman"/>
                <w:color w:val="auto"/>
                <w:sz w:val="21"/>
                <w:lang w:eastAsia="zh-CN"/>
              </w:rPr>
            </w:pPr>
          </w:p>
        </w:tc>
        <w:tc>
          <w:tcPr>
            <w:tcW w:w="276" w:type="pct"/>
            <w:vMerge w:val="continue"/>
            <w:vAlign w:val="center"/>
          </w:tcPr>
          <w:p w14:paraId="49C84D2B">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244548CF">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1106ED0B">
            <w:pPr>
              <w:overflowPunct w:val="0"/>
              <w:jc w:val="center"/>
              <w:rPr>
                <w:rFonts w:ascii="Times New Roman" w:hAnsi="Times New Roman" w:cs="Times New Roman"/>
                <w:color w:val="auto"/>
                <w:sz w:val="21"/>
                <w:lang w:eastAsia="zh-CN"/>
              </w:rPr>
            </w:pPr>
          </w:p>
        </w:tc>
        <w:tc>
          <w:tcPr>
            <w:tcW w:w="277" w:type="pct"/>
            <w:vMerge w:val="continue"/>
            <w:vAlign w:val="center"/>
          </w:tcPr>
          <w:p w14:paraId="51C0692E">
            <w:pPr>
              <w:overflowPunct w:val="0"/>
              <w:jc w:val="center"/>
              <w:rPr>
                <w:rFonts w:ascii="Times New Roman" w:hAnsi="Times New Roman" w:cs="Times New Roman"/>
                <w:color w:val="auto"/>
                <w:sz w:val="21"/>
                <w:lang w:eastAsia="zh-CN"/>
              </w:rPr>
            </w:pPr>
          </w:p>
        </w:tc>
        <w:tc>
          <w:tcPr>
            <w:tcW w:w="276" w:type="pct"/>
            <w:vMerge w:val="continue"/>
            <w:vAlign w:val="center"/>
          </w:tcPr>
          <w:p w14:paraId="5D8FEDAA">
            <w:pPr>
              <w:overflowPunct w:val="0"/>
              <w:jc w:val="center"/>
              <w:rPr>
                <w:rFonts w:ascii="Times New Roman" w:hAnsi="Times New Roman" w:cs="Times New Roman"/>
                <w:color w:val="auto"/>
                <w:sz w:val="21"/>
                <w:lang w:eastAsia="zh-CN"/>
              </w:rPr>
            </w:pPr>
          </w:p>
        </w:tc>
        <w:tc>
          <w:tcPr>
            <w:tcW w:w="280" w:type="pct"/>
            <w:vMerge w:val="continue"/>
            <w:vAlign w:val="center"/>
          </w:tcPr>
          <w:p w14:paraId="759D786F">
            <w:pPr>
              <w:overflowPunct w:val="0"/>
              <w:jc w:val="center"/>
              <w:rPr>
                <w:rFonts w:ascii="Times New Roman" w:hAnsi="Times New Roman" w:cs="Times New Roman"/>
                <w:color w:val="auto"/>
                <w:sz w:val="21"/>
                <w:lang w:eastAsia="zh-CN"/>
              </w:rPr>
            </w:pPr>
          </w:p>
        </w:tc>
        <w:tc>
          <w:tcPr>
            <w:tcW w:w="143" w:type="pct"/>
            <w:vMerge w:val="continue"/>
            <w:vAlign w:val="center"/>
          </w:tcPr>
          <w:p w14:paraId="352226D2">
            <w:pPr>
              <w:overflowPunct w:val="0"/>
              <w:jc w:val="center"/>
              <w:rPr>
                <w:rFonts w:ascii="Times New Roman" w:hAnsi="Times New Roman" w:cs="Times New Roman"/>
                <w:color w:val="auto"/>
                <w:sz w:val="21"/>
                <w:lang w:eastAsia="zh-CN"/>
              </w:rPr>
            </w:pPr>
          </w:p>
        </w:tc>
        <w:tc>
          <w:tcPr>
            <w:tcW w:w="203" w:type="pct"/>
            <w:vMerge w:val="continue"/>
            <w:vAlign w:val="center"/>
          </w:tcPr>
          <w:p w14:paraId="7A3820B9">
            <w:pPr>
              <w:overflowPunct w:val="0"/>
              <w:jc w:val="center"/>
              <w:rPr>
                <w:rFonts w:ascii="Times New Roman" w:hAnsi="Times New Roman" w:cs="Times New Roman"/>
                <w:color w:val="auto"/>
                <w:sz w:val="21"/>
                <w:lang w:eastAsia="zh-CN"/>
              </w:rPr>
            </w:pPr>
          </w:p>
        </w:tc>
      </w:tr>
      <w:tr w14:paraId="53CEF7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461" w:type="pct"/>
            <w:gridSpan w:val="2"/>
            <w:vMerge w:val="continue"/>
            <w:vAlign w:val="center"/>
          </w:tcPr>
          <w:p w14:paraId="4B70730F">
            <w:pPr>
              <w:overflowPunct w:val="0"/>
              <w:jc w:val="center"/>
              <w:rPr>
                <w:rFonts w:ascii="Times New Roman" w:hAnsi="Times New Roman" w:cs="Times New Roman"/>
                <w:color w:val="000000" w:themeColor="text1"/>
                <w:sz w:val="21"/>
                <w:lang w:eastAsia="zh-CN"/>
                <w14:textFill>
                  <w14:solidFill>
                    <w14:schemeClr w14:val="tx1"/>
                  </w14:solidFill>
                </w14:textFill>
              </w:rPr>
            </w:pPr>
          </w:p>
        </w:tc>
        <w:tc>
          <w:tcPr>
            <w:tcW w:w="368" w:type="pct"/>
            <w:vAlign w:val="center"/>
          </w:tcPr>
          <w:p w14:paraId="33FAE59C">
            <w:pPr>
              <w:overflowPunct w:val="0"/>
              <w:jc w:val="center"/>
              <w:rPr>
                <w:rFonts w:ascii="Times New Roman" w:hAnsi="Times New Roman" w:cs="Times New Roman"/>
                <w:color w:val="EE0000"/>
                <w:sz w:val="21"/>
                <w:lang w:eastAsia="zh-CN"/>
              </w:rPr>
            </w:pPr>
          </w:p>
        </w:tc>
        <w:tc>
          <w:tcPr>
            <w:tcW w:w="276" w:type="pct"/>
            <w:vAlign w:val="center"/>
          </w:tcPr>
          <w:p w14:paraId="3B475F60">
            <w:pPr>
              <w:overflowPunct w:val="0"/>
              <w:jc w:val="center"/>
              <w:textAlignment w:val="center"/>
              <w:rPr>
                <w:rFonts w:ascii="Times New Roman" w:hAnsi="Times New Roman" w:cs="Times New Roman"/>
                <w:color w:val="EE0000"/>
                <w:sz w:val="21"/>
                <w:lang w:eastAsia="zh-CN"/>
              </w:rPr>
            </w:pPr>
          </w:p>
        </w:tc>
        <w:tc>
          <w:tcPr>
            <w:tcW w:w="231" w:type="pct"/>
            <w:vMerge w:val="continue"/>
            <w:vAlign w:val="center"/>
          </w:tcPr>
          <w:p w14:paraId="3C22A737">
            <w:pPr>
              <w:overflowPunct w:val="0"/>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30" w:type="pct"/>
            <w:vMerge w:val="continue"/>
            <w:vAlign w:val="center"/>
          </w:tcPr>
          <w:p w14:paraId="1875AB72">
            <w:pPr>
              <w:overflowPunct w:val="0"/>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6" w:type="pct"/>
            <w:noWrap/>
            <w:vAlign w:val="center"/>
          </w:tcPr>
          <w:p w14:paraId="753EEC4F">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noWrap/>
            <w:vAlign w:val="center"/>
          </w:tcPr>
          <w:p w14:paraId="09FC7FE0">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vAlign w:val="center"/>
          </w:tcPr>
          <w:p w14:paraId="36C25A84">
            <w:pPr>
              <w:jc w:val="center"/>
              <w:textAlignment w:val="center"/>
              <w:rPr>
                <w:rFonts w:ascii="Times New Roman" w:hAnsi="Times New Roman" w:cs="Times New Roman"/>
                <w:color w:val="EE0000"/>
                <w:sz w:val="21"/>
                <w:lang w:eastAsia="zh-CN" w:bidi="ar"/>
              </w:rPr>
            </w:pPr>
          </w:p>
        </w:tc>
        <w:tc>
          <w:tcPr>
            <w:tcW w:w="323" w:type="pct"/>
            <w:vMerge w:val="continue"/>
            <w:vAlign w:val="center"/>
          </w:tcPr>
          <w:p w14:paraId="59173EE3">
            <w:pPr>
              <w:overflowPunct w:val="0"/>
              <w:jc w:val="center"/>
              <w:rPr>
                <w:rFonts w:ascii="Times New Roman" w:hAnsi="Times New Roman" w:cs="Times New Roman"/>
                <w:color w:val="auto"/>
                <w:sz w:val="21"/>
                <w:lang w:eastAsia="zh-CN"/>
              </w:rPr>
            </w:pPr>
          </w:p>
        </w:tc>
        <w:tc>
          <w:tcPr>
            <w:tcW w:w="276" w:type="pct"/>
            <w:vMerge w:val="continue"/>
            <w:vAlign w:val="center"/>
          </w:tcPr>
          <w:p w14:paraId="6BD4687F">
            <w:pPr>
              <w:overflowPunct w:val="0"/>
              <w:jc w:val="center"/>
              <w:rPr>
                <w:rFonts w:ascii="Times New Roman" w:hAnsi="Times New Roman" w:cs="Times New Roman"/>
                <w:color w:val="auto"/>
                <w:sz w:val="21"/>
                <w:lang w:eastAsia="zh-CN"/>
              </w:rPr>
            </w:pPr>
          </w:p>
        </w:tc>
        <w:tc>
          <w:tcPr>
            <w:tcW w:w="276" w:type="pct"/>
            <w:vMerge w:val="continue"/>
            <w:vAlign w:val="center"/>
          </w:tcPr>
          <w:p w14:paraId="4EB9CEC4">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493E0E25">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6CB16C38">
            <w:pPr>
              <w:overflowPunct w:val="0"/>
              <w:jc w:val="center"/>
              <w:rPr>
                <w:rFonts w:ascii="Times New Roman" w:hAnsi="Times New Roman" w:cs="Times New Roman"/>
                <w:color w:val="auto"/>
                <w:sz w:val="21"/>
                <w:lang w:eastAsia="zh-CN"/>
              </w:rPr>
            </w:pPr>
          </w:p>
        </w:tc>
        <w:tc>
          <w:tcPr>
            <w:tcW w:w="277" w:type="pct"/>
            <w:vMerge w:val="continue"/>
            <w:vAlign w:val="center"/>
          </w:tcPr>
          <w:p w14:paraId="6D9184D2">
            <w:pPr>
              <w:overflowPunct w:val="0"/>
              <w:jc w:val="center"/>
              <w:rPr>
                <w:rFonts w:ascii="Times New Roman" w:hAnsi="Times New Roman" w:cs="Times New Roman"/>
                <w:color w:val="auto"/>
                <w:sz w:val="21"/>
                <w:lang w:eastAsia="zh-CN"/>
              </w:rPr>
            </w:pPr>
          </w:p>
        </w:tc>
        <w:tc>
          <w:tcPr>
            <w:tcW w:w="276" w:type="pct"/>
            <w:vMerge w:val="continue"/>
            <w:vAlign w:val="center"/>
          </w:tcPr>
          <w:p w14:paraId="02A15C76">
            <w:pPr>
              <w:overflowPunct w:val="0"/>
              <w:jc w:val="center"/>
              <w:rPr>
                <w:rFonts w:ascii="Times New Roman" w:hAnsi="Times New Roman" w:cs="Times New Roman"/>
                <w:color w:val="auto"/>
                <w:sz w:val="21"/>
                <w:lang w:eastAsia="zh-CN"/>
              </w:rPr>
            </w:pPr>
          </w:p>
        </w:tc>
        <w:tc>
          <w:tcPr>
            <w:tcW w:w="280" w:type="pct"/>
            <w:vMerge w:val="continue"/>
            <w:vAlign w:val="center"/>
          </w:tcPr>
          <w:p w14:paraId="0364CB33">
            <w:pPr>
              <w:overflowPunct w:val="0"/>
              <w:jc w:val="center"/>
              <w:rPr>
                <w:rFonts w:ascii="Times New Roman" w:hAnsi="Times New Roman" w:cs="Times New Roman"/>
                <w:color w:val="auto"/>
                <w:sz w:val="21"/>
                <w:lang w:eastAsia="zh-CN"/>
              </w:rPr>
            </w:pPr>
          </w:p>
        </w:tc>
        <w:tc>
          <w:tcPr>
            <w:tcW w:w="143" w:type="pct"/>
            <w:vMerge w:val="continue"/>
            <w:vAlign w:val="center"/>
          </w:tcPr>
          <w:p w14:paraId="4CD41D13">
            <w:pPr>
              <w:overflowPunct w:val="0"/>
              <w:jc w:val="center"/>
              <w:rPr>
                <w:rFonts w:ascii="Times New Roman" w:hAnsi="Times New Roman" w:cs="Times New Roman"/>
                <w:color w:val="auto"/>
                <w:sz w:val="21"/>
                <w:lang w:eastAsia="zh-CN"/>
              </w:rPr>
            </w:pPr>
          </w:p>
        </w:tc>
        <w:tc>
          <w:tcPr>
            <w:tcW w:w="203" w:type="pct"/>
            <w:vMerge w:val="continue"/>
            <w:vAlign w:val="center"/>
          </w:tcPr>
          <w:p w14:paraId="006C3F8F">
            <w:pPr>
              <w:overflowPunct w:val="0"/>
              <w:jc w:val="center"/>
              <w:rPr>
                <w:rFonts w:ascii="Times New Roman" w:hAnsi="Times New Roman" w:cs="Times New Roman"/>
                <w:color w:val="auto"/>
                <w:sz w:val="21"/>
                <w:lang w:eastAsia="zh-CN"/>
              </w:rPr>
            </w:pPr>
          </w:p>
        </w:tc>
      </w:tr>
      <w:tr w14:paraId="5C84A32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31" w:type="pct"/>
            <w:vMerge w:val="restart"/>
            <w:vAlign w:val="center"/>
          </w:tcPr>
          <w:p w14:paraId="266F0EE3">
            <w:pPr>
              <w:overflowPunct w:val="0"/>
              <w:jc w:val="center"/>
              <w:rPr>
                <w:rFonts w:ascii="Times New Roman" w:hAnsi="Times New Roman" w:cs="Times New Roman"/>
                <w:color w:val="EE0000"/>
                <w:sz w:val="21"/>
                <w:lang w:eastAsia="zh-CN"/>
              </w:rPr>
            </w:pPr>
          </w:p>
        </w:tc>
        <w:tc>
          <w:tcPr>
            <w:tcW w:w="230" w:type="pct"/>
            <w:vMerge w:val="restart"/>
            <w:vAlign w:val="center"/>
          </w:tcPr>
          <w:p w14:paraId="0D9AED0A">
            <w:pPr>
              <w:overflowPunct w:val="0"/>
              <w:jc w:val="center"/>
              <w:rPr>
                <w:rFonts w:ascii="Times New Roman" w:hAnsi="Times New Roman" w:cs="Times New Roman"/>
                <w:color w:val="EE0000"/>
                <w:sz w:val="21"/>
                <w:lang w:eastAsia="zh-CN"/>
              </w:rPr>
            </w:pPr>
          </w:p>
        </w:tc>
        <w:tc>
          <w:tcPr>
            <w:tcW w:w="368" w:type="pct"/>
            <w:vMerge w:val="restart"/>
            <w:vAlign w:val="center"/>
          </w:tcPr>
          <w:p w14:paraId="0B84528E">
            <w:pPr>
              <w:overflowPunct w:val="0"/>
              <w:jc w:val="center"/>
              <w:rPr>
                <w:rFonts w:ascii="Times New Roman" w:hAnsi="Times New Roman" w:cs="Times New Roman"/>
                <w:color w:val="auto"/>
                <w:kern w:val="2"/>
                <w:sz w:val="21"/>
                <w:lang w:eastAsia="zh-CN"/>
              </w:rPr>
            </w:pPr>
          </w:p>
        </w:tc>
        <w:tc>
          <w:tcPr>
            <w:tcW w:w="276" w:type="pct"/>
            <w:vAlign w:val="center"/>
          </w:tcPr>
          <w:p w14:paraId="6E5FD4B8">
            <w:pPr>
              <w:overflowPunct w:val="0"/>
              <w:jc w:val="center"/>
              <w:textAlignment w:val="center"/>
              <w:rPr>
                <w:rFonts w:ascii="Times New Roman" w:hAnsi="Times New Roman" w:cs="Times New Roman"/>
                <w:color w:val="auto"/>
                <w:kern w:val="2"/>
                <w:sz w:val="21"/>
                <w:lang w:eastAsia="zh-CN"/>
              </w:rPr>
            </w:pPr>
          </w:p>
        </w:tc>
        <w:tc>
          <w:tcPr>
            <w:tcW w:w="231" w:type="pct"/>
            <w:vMerge w:val="restart"/>
            <w:vAlign w:val="center"/>
          </w:tcPr>
          <w:p w14:paraId="6D708D74">
            <w:pPr>
              <w:overflowPunct w:val="0"/>
              <w:jc w:val="center"/>
              <w:textAlignment w:val="center"/>
              <w:rPr>
                <w:rFonts w:ascii="Times New Roman" w:hAnsi="Times New Roman" w:cs="Times New Roman"/>
                <w:color w:val="EE0000"/>
                <w:sz w:val="21"/>
                <w:lang w:eastAsia="zh-CN" w:bidi="ar"/>
              </w:rPr>
            </w:pPr>
          </w:p>
        </w:tc>
        <w:tc>
          <w:tcPr>
            <w:tcW w:w="230" w:type="pct"/>
            <w:vMerge w:val="restart"/>
            <w:vAlign w:val="center"/>
          </w:tcPr>
          <w:p w14:paraId="11EF89AA">
            <w:pPr>
              <w:overflowPunct w:val="0"/>
              <w:jc w:val="center"/>
              <w:textAlignment w:val="center"/>
              <w:rPr>
                <w:rFonts w:ascii="Times New Roman" w:hAnsi="Times New Roman" w:cs="Times New Roman"/>
                <w:color w:val="EE0000"/>
                <w:sz w:val="21"/>
                <w:lang w:eastAsia="zh-CN" w:bidi="ar"/>
              </w:rPr>
            </w:pPr>
          </w:p>
        </w:tc>
        <w:tc>
          <w:tcPr>
            <w:tcW w:w="276" w:type="pct"/>
            <w:noWrap/>
            <w:vAlign w:val="center"/>
          </w:tcPr>
          <w:p w14:paraId="2D80EF3D">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noWrap/>
            <w:vAlign w:val="center"/>
          </w:tcPr>
          <w:p w14:paraId="4666BEA4">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vAlign w:val="center"/>
          </w:tcPr>
          <w:p w14:paraId="6EAC7E5B">
            <w:pPr>
              <w:jc w:val="center"/>
              <w:textAlignment w:val="center"/>
              <w:rPr>
                <w:rFonts w:ascii="Times New Roman" w:hAnsi="Times New Roman" w:cs="Times New Roman"/>
                <w:sz w:val="21"/>
                <w:lang w:eastAsia="zh-CN"/>
              </w:rPr>
            </w:pPr>
          </w:p>
        </w:tc>
        <w:tc>
          <w:tcPr>
            <w:tcW w:w="323" w:type="pct"/>
            <w:vMerge w:val="restart"/>
            <w:vAlign w:val="center"/>
          </w:tcPr>
          <w:p w14:paraId="6A784EA9">
            <w:pPr>
              <w:overflowPunct w:val="0"/>
              <w:jc w:val="center"/>
              <w:rPr>
                <w:rFonts w:ascii="Times New Roman" w:hAnsi="Times New Roman" w:cs="Times New Roman"/>
                <w:color w:val="auto"/>
                <w:sz w:val="21"/>
                <w:lang w:eastAsia="zh-CN"/>
              </w:rPr>
            </w:pPr>
          </w:p>
        </w:tc>
        <w:tc>
          <w:tcPr>
            <w:tcW w:w="276" w:type="pct"/>
            <w:vMerge w:val="continue"/>
            <w:vAlign w:val="center"/>
          </w:tcPr>
          <w:p w14:paraId="246E8EED">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406DD24B">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502969ED">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vMerge w:val="continue"/>
            <w:shd w:val="clear" w:color="auto" w:fill="FFFFFF"/>
            <w:vAlign w:val="center"/>
          </w:tcPr>
          <w:p w14:paraId="5FD18B67">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vMerge w:val="continue"/>
            <w:vAlign w:val="center"/>
          </w:tcPr>
          <w:p w14:paraId="04DDD440">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vMerge w:val="continue"/>
            <w:vAlign w:val="center"/>
          </w:tcPr>
          <w:p w14:paraId="4D2448F5">
            <w:pPr>
              <w:overflowPunct w:val="0"/>
              <w:jc w:val="center"/>
              <w:textAlignment w:val="center"/>
              <w:rPr>
                <w:rFonts w:ascii="Times New Roman" w:hAnsi="Times New Roman" w:cs="Times New Roman"/>
                <w:color w:val="auto"/>
                <w:sz w:val="21"/>
                <w:lang w:eastAsia="zh-CN"/>
              </w:rPr>
            </w:pPr>
          </w:p>
        </w:tc>
        <w:tc>
          <w:tcPr>
            <w:tcW w:w="280" w:type="pct"/>
            <w:vMerge w:val="continue"/>
            <w:vAlign w:val="center"/>
          </w:tcPr>
          <w:p w14:paraId="040FB134">
            <w:pPr>
              <w:overflowPunct w:val="0"/>
              <w:jc w:val="center"/>
              <w:textAlignment w:val="center"/>
              <w:rPr>
                <w:rFonts w:ascii="Times New Roman" w:hAnsi="Times New Roman" w:cs="Times New Roman"/>
                <w:color w:val="auto"/>
                <w:sz w:val="21"/>
                <w:lang w:eastAsia="zh-CN"/>
              </w:rPr>
            </w:pPr>
          </w:p>
        </w:tc>
        <w:tc>
          <w:tcPr>
            <w:tcW w:w="143" w:type="pct"/>
            <w:vMerge w:val="continue"/>
            <w:vAlign w:val="center"/>
          </w:tcPr>
          <w:p w14:paraId="690DD554">
            <w:pPr>
              <w:overflowPunct w:val="0"/>
              <w:jc w:val="center"/>
              <w:rPr>
                <w:rFonts w:ascii="Times New Roman" w:hAnsi="Times New Roman" w:cs="Times New Roman"/>
                <w:color w:val="auto"/>
                <w:sz w:val="21"/>
                <w:lang w:eastAsia="zh-CN"/>
              </w:rPr>
            </w:pPr>
          </w:p>
        </w:tc>
        <w:tc>
          <w:tcPr>
            <w:tcW w:w="203" w:type="pct"/>
            <w:vMerge w:val="continue"/>
            <w:vAlign w:val="center"/>
          </w:tcPr>
          <w:p w14:paraId="52BDF59E">
            <w:pPr>
              <w:overflowPunct w:val="0"/>
              <w:jc w:val="center"/>
              <w:rPr>
                <w:rFonts w:ascii="Times New Roman" w:hAnsi="Times New Roman" w:cs="Times New Roman"/>
                <w:color w:val="auto"/>
                <w:sz w:val="21"/>
                <w:lang w:eastAsia="zh-CN"/>
              </w:rPr>
            </w:pPr>
          </w:p>
        </w:tc>
      </w:tr>
      <w:tr w14:paraId="46D2A27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31" w:type="pct"/>
            <w:vMerge w:val="continue"/>
            <w:vAlign w:val="center"/>
          </w:tcPr>
          <w:p w14:paraId="67734F67">
            <w:pPr>
              <w:overflowPunct w:val="0"/>
              <w:jc w:val="center"/>
              <w:rPr>
                <w:rFonts w:ascii="Times New Roman" w:hAnsi="Times New Roman" w:cs="Times New Roman"/>
                <w:color w:val="EE0000"/>
                <w:sz w:val="21"/>
                <w:lang w:eastAsia="zh-CN"/>
              </w:rPr>
            </w:pPr>
          </w:p>
        </w:tc>
        <w:tc>
          <w:tcPr>
            <w:tcW w:w="230" w:type="pct"/>
            <w:vMerge w:val="continue"/>
            <w:vAlign w:val="center"/>
          </w:tcPr>
          <w:p w14:paraId="4DBA0C84">
            <w:pPr>
              <w:overflowPunct w:val="0"/>
              <w:jc w:val="center"/>
              <w:rPr>
                <w:rFonts w:ascii="Times New Roman" w:hAnsi="Times New Roman" w:cs="Times New Roman"/>
                <w:color w:val="EE0000"/>
                <w:sz w:val="21"/>
                <w:lang w:eastAsia="zh-CN"/>
              </w:rPr>
            </w:pPr>
          </w:p>
        </w:tc>
        <w:tc>
          <w:tcPr>
            <w:tcW w:w="368" w:type="pct"/>
            <w:vMerge w:val="continue"/>
            <w:vAlign w:val="center"/>
          </w:tcPr>
          <w:p w14:paraId="757F0595">
            <w:pPr>
              <w:overflowPunct w:val="0"/>
              <w:jc w:val="center"/>
              <w:rPr>
                <w:rFonts w:ascii="Times New Roman" w:hAnsi="Times New Roman" w:cs="Times New Roman"/>
                <w:color w:val="auto"/>
                <w:kern w:val="2"/>
                <w:sz w:val="21"/>
                <w:lang w:eastAsia="zh-CN"/>
              </w:rPr>
            </w:pPr>
          </w:p>
        </w:tc>
        <w:tc>
          <w:tcPr>
            <w:tcW w:w="276" w:type="pct"/>
            <w:vAlign w:val="center"/>
          </w:tcPr>
          <w:p w14:paraId="250618F8">
            <w:pPr>
              <w:overflowPunct w:val="0"/>
              <w:jc w:val="center"/>
              <w:textAlignment w:val="center"/>
              <w:rPr>
                <w:rFonts w:ascii="Times New Roman" w:hAnsi="Times New Roman" w:cs="Times New Roman"/>
                <w:color w:val="auto"/>
                <w:kern w:val="2"/>
                <w:sz w:val="21"/>
                <w:lang w:eastAsia="zh-CN"/>
              </w:rPr>
            </w:pPr>
          </w:p>
        </w:tc>
        <w:tc>
          <w:tcPr>
            <w:tcW w:w="231" w:type="pct"/>
            <w:vMerge w:val="continue"/>
            <w:vAlign w:val="center"/>
          </w:tcPr>
          <w:p w14:paraId="75F8B509">
            <w:pPr>
              <w:overflowPunct w:val="0"/>
              <w:jc w:val="center"/>
              <w:textAlignment w:val="center"/>
              <w:rPr>
                <w:rFonts w:ascii="Times New Roman" w:hAnsi="Times New Roman" w:cs="Times New Roman"/>
                <w:color w:val="EE0000"/>
                <w:sz w:val="21"/>
                <w:lang w:eastAsia="zh-CN" w:bidi="ar"/>
              </w:rPr>
            </w:pPr>
          </w:p>
        </w:tc>
        <w:tc>
          <w:tcPr>
            <w:tcW w:w="230" w:type="pct"/>
            <w:vMerge w:val="continue"/>
            <w:vAlign w:val="center"/>
          </w:tcPr>
          <w:p w14:paraId="61461D64">
            <w:pPr>
              <w:overflowPunct w:val="0"/>
              <w:jc w:val="center"/>
              <w:textAlignment w:val="center"/>
              <w:rPr>
                <w:rFonts w:ascii="Times New Roman" w:hAnsi="Times New Roman" w:cs="Times New Roman"/>
                <w:color w:val="EE0000"/>
                <w:sz w:val="21"/>
                <w:lang w:eastAsia="zh-CN" w:bidi="ar"/>
              </w:rPr>
            </w:pPr>
          </w:p>
        </w:tc>
        <w:tc>
          <w:tcPr>
            <w:tcW w:w="276" w:type="pct"/>
            <w:noWrap/>
            <w:vAlign w:val="center"/>
          </w:tcPr>
          <w:p w14:paraId="59E280BC">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noWrap/>
            <w:vAlign w:val="center"/>
          </w:tcPr>
          <w:p w14:paraId="61718C5A">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vAlign w:val="center"/>
          </w:tcPr>
          <w:p w14:paraId="5C2253A7">
            <w:pPr>
              <w:jc w:val="center"/>
              <w:textAlignment w:val="center"/>
              <w:rPr>
                <w:rFonts w:ascii="Times New Roman" w:hAnsi="Times New Roman" w:cs="Times New Roman"/>
                <w:sz w:val="21"/>
                <w:lang w:eastAsia="zh-CN"/>
              </w:rPr>
            </w:pPr>
          </w:p>
        </w:tc>
        <w:tc>
          <w:tcPr>
            <w:tcW w:w="323" w:type="pct"/>
            <w:vMerge w:val="continue"/>
            <w:vAlign w:val="center"/>
          </w:tcPr>
          <w:p w14:paraId="2BF00A48">
            <w:pPr>
              <w:overflowPunct w:val="0"/>
              <w:jc w:val="center"/>
              <w:rPr>
                <w:rFonts w:ascii="Times New Roman" w:hAnsi="Times New Roman" w:cs="Times New Roman"/>
                <w:color w:val="auto"/>
                <w:sz w:val="21"/>
                <w:lang w:eastAsia="zh-CN"/>
              </w:rPr>
            </w:pPr>
          </w:p>
        </w:tc>
        <w:tc>
          <w:tcPr>
            <w:tcW w:w="276" w:type="pct"/>
            <w:vMerge w:val="continue"/>
            <w:vAlign w:val="center"/>
          </w:tcPr>
          <w:p w14:paraId="32C7331D">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1F00B9E7">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79E888A3">
            <w:pPr>
              <w:overflowPunct w:val="0"/>
              <w:jc w:val="center"/>
              <w:textAlignment w:val="center"/>
              <w:rPr>
                <w:rFonts w:ascii="Times New Roman" w:hAnsi="Times New Roman" w:cs="Times New Roman"/>
                <w:color w:val="auto"/>
                <w:sz w:val="21"/>
                <w:lang w:eastAsia="zh-CN"/>
              </w:rPr>
            </w:pPr>
          </w:p>
        </w:tc>
        <w:tc>
          <w:tcPr>
            <w:tcW w:w="276" w:type="pct"/>
            <w:vMerge w:val="continue"/>
            <w:shd w:val="clear" w:color="auto" w:fill="FFFFFF"/>
            <w:vAlign w:val="center"/>
          </w:tcPr>
          <w:p w14:paraId="68CEDE7B">
            <w:pPr>
              <w:overflowPunct w:val="0"/>
              <w:jc w:val="center"/>
              <w:textAlignment w:val="center"/>
              <w:rPr>
                <w:rFonts w:ascii="Times New Roman" w:hAnsi="Times New Roman" w:cs="Times New Roman"/>
                <w:color w:val="auto"/>
                <w:sz w:val="21"/>
                <w:lang w:eastAsia="zh-CN"/>
              </w:rPr>
            </w:pPr>
          </w:p>
        </w:tc>
        <w:tc>
          <w:tcPr>
            <w:tcW w:w="277" w:type="pct"/>
            <w:vMerge w:val="continue"/>
            <w:vAlign w:val="center"/>
          </w:tcPr>
          <w:p w14:paraId="633A0BE5">
            <w:pPr>
              <w:overflowPunct w:val="0"/>
              <w:jc w:val="center"/>
              <w:textAlignment w:val="center"/>
              <w:rPr>
                <w:rFonts w:ascii="Times New Roman" w:hAnsi="Times New Roman" w:cs="Times New Roman"/>
                <w:color w:val="auto"/>
                <w:sz w:val="21"/>
                <w:lang w:eastAsia="zh-CN"/>
              </w:rPr>
            </w:pPr>
          </w:p>
        </w:tc>
        <w:tc>
          <w:tcPr>
            <w:tcW w:w="276" w:type="pct"/>
            <w:vMerge w:val="continue"/>
            <w:vAlign w:val="center"/>
          </w:tcPr>
          <w:p w14:paraId="44E729A8">
            <w:pPr>
              <w:overflowPunct w:val="0"/>
              <w:jc w:val="center"/>
              <w:textAlignment w:val="center"/>
              <w:rPr>
                <w:rFonts w:ascii="Times New Roman" w:hAnsi="Times New Roman" w:cs="Times New Roman"/>
                <w:color w:val="auto"/>
                <w:sz w:val="21"/>
                <w:lang w:eastAsia="zh-CN"/>
              </w:rPr>
            </w:pPr>
          </w:p>
        </w:tc>
        <w:tc>
          <w:tcPr>
            <w:tcW w:w="280" w:type="pct"/>
            <w:vMerge w:val="continue"/>
            <w:vAlign w:val="center"/>
          </w:tcPr>
          <w:p w14:paraId="7335E739">
            <w:pPr>
              <w:overflowPunct w:val="0"/>
              <w:jc w:val="center"/>
              <w:textAlignment w:val="center"/>
              <w:rPr>
                <w:rFonts w:ascii="Times New Roman" w:hAnsi="Times New Roman" w:cs="Times New Roman"/>
                <w:color w:val="auto"/>
                <w:sz w:val="21"/>
                <w:lang w:eastAsia="zh-CN"/>
              </w:rPr>
            </w:pPr>
          </w:p>
        </w:tc>
        <w:tc>
          <w:tcPr>
            <w:tcW w:w="143" w:type="pct"/>
            <w:vMerge w:val="continue"/>
            <w:vAlign w:val="center"/>
          </w:tcPr>
          <w:p w14:paraId="75F463B3">
            <w:pPr>
              <w:overflowPunct w:val="0"/>
              <w:jc w:val="center"/>
              <w:rPr>
                <w:rFonts w:ascii="Times New Roman" w:hAnsi="Times New Roman" w:cs="Times New Roman"/>
                <w:color w:val="auto"/>
                <w:sz w:val="21"/>
                <w:lang w:eastAsia="zh-CN"/>
              </w:rPr>
            </w:pPr>
          </w:p>
        </w:tc>
        <w:tc>
          <w:tcPr>
            <w:tcW w:w="203" w:type="pct"/>
            <w:vMerge w:val="continue"/>
            <w:vAlign w:val="center"/>
          </w:tcPr>
          <w:p w14:paraId="3BA1BCBE">
            <w:pPr>
              <w:overflowPunct w:val="0"/>
              <w:jc w:val="center"/>
              <w:rPr>
                <w:rFonts w:ascii="Times New Roman" w:hAnsi="Times New Roman" w:cs="Times New Roman"/>
                <w:color w:val="auto"/>
                <w:sz w:val="21"/>
                <w:lang w:eastAsia="zh-CN"/>
              </w:rPr>
            </w:pPr>
          </w:p>
        </w:tc>
      </w:tr>
      <w:tr w14:paraId="54BB850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31" w:type="pct"/>
            <w:vMerge w:val="continue"/>
            <w:vAlign w:val="center"/>
          </w:tcPr>
          <w:p w14:paraId="19AF4FC1">
            <w:pPr>
              <w:overflowPunct w:val="0"/>
              <w:jc w:val="center"/>
              <w:rPr>
                <w:rFonts w:ascii="Times New Roman" w:hAnsi="Times New Roman" w:cs="Times New Roman"/>
                <w:color w:val="EE0000"/>
                <w:sz w:val="21"/>
                <w:lang w:eastAsia="zh-CN"/>
              </w:rPr>
            </w:pPr>
          </w:p>
        </w:tc>
        <w:tc>
          <w:tcPr>
            <w:tcW w:w="230" w:type="pct"/>
            <w:vMerge w:val="continue"/>
            <w:vAlign w:val="center"/>
          </w:tcPr>
          <w:p w14:paraId="75934C24">
            <w:pPr>
              <w:overflowPunct w:val="0"/>
              <w:jc w:val="center"/>
              <w:rPr>
                <w:rFonts w:ascii="Times New Roman" w:hAnsi="Times New Roman" w:cs="Times New Roman"/>
                <w:color w:val="EE0000"/>
                <w:sz w:val="21"/>
                <w:lang w:eastAsia="zh-CN"/>
              </w:rPr>
            </w:pPr>
          </w:p>
        </w:tc>
        <w:tc>
          <w:tcPr>
            <w:tcW w:w="368" w:type="pct"/>
            <w:vMerge w:val="restart"/>
            <w:vAlign w:val="center"/>
          </w:tcPr>
          <w:p w14:paraId="2EDD07A7">
            <w:pPr>
              <w:overflowPunct w:val="0"/>
              <w:jc w:val="center"/>
              <w:rPr>
                <w:rFonts w:ascii="Times New Roman" w:hAnsi="Times New Roman" w:cs="Times New Roman"/>
                <w:color w:val="auto"/>
                <w:kern w:val="2"/>
                <w:sz w:val="21"/>
                <w:lang w:eastAsia="zh-CN"/>
              </w:rPr>
            </w:pPr>
          </w:p>
        </w:tc>
        <w:tc>
          <w:tcPr>
            <w:tcW w:w="276" w:type="pct"/>
            <w:vAlign w:val="center"/>
          </w:tcPr>
          <w:p w14:paraId="707B4DD5">
            <w:pPr>
              <w:overflowPunct w:val="0"/>
              <w:jc w:val="center"/>
              <w:textAlignment w:val="center"/>
              <w:rPr>
                <w:rFonts w:ascii="Times New Roman" w:hAnsi="Times New Roman" w:cs="Times New Roman"/>
                <w:color w:val="auto"/>
                <w:kern w:val="2"/>
                <w:sz w:val="21"/>
                <w:lang w:eastAsia="zh-CN"/>
              </w:rPr>
            </w:pPr>
          </w:p>
        </w:tc>
        <w:tc>
          <w:tcPr>
            <w:tcW w:w="231" w:type="pct"/>
            <w:vMerge w:val="continue"/>
            <w:vAlign w:val="center"/>
          </w:tcPr>
          <w:p w14:paraId="4565DF1D">
            <w:pPr>
              <w:overflowPunct w:val="0"/>
              <w:jc w:val="center"/>
              <w:textAlignment w:val="center"/>
              <w:rPr>
                <w:rFonts w:ascii="Times New Roman" w:hAnsi="Times New Roman" w:cs="Times New Roman"/>
                <w:color w:val="EE0000"/>
                <w:sz w:val="21"/>
                <w:lang w:eastAsia="zh-CN" w:bidi="ar"/>
              </w:rPr>
            </w:pPr>
          </w:p>
        </w:tc>
        <w:tc>
          <w:tcPr>
            <w:tcW w:w="230" w:type="pct"/>
            <w:vMerge w:val="continue"/>
            <w:vAlign w:val="center"/>
          </w:tcPr>
          <w:p w14:paraId="702D2364">
            <w:pPr>
              <w:overflowPunct w:val="0"/>
              <w:jc w:val="center"/>
              <w:textAlignment w:val="center"/>
              <w:rPr>
                <w:rFonts w:ascii="Times New Roman" w:hAnsi="Times New Roman" w:cs="Times New Roman"/>
                <w:color w:val="EE0000"/>
                <w:sz w:val="21"/>
                <w:lang w:eastAsia="zh-CN" w:bidi="ar"/>
              </w:rPr>
            </w:pPr>
          </w:p>
        </w:tc>
        <w:tc>
          <w:tcPr>
            <w:tcW w:w="276" w:type="pct"/>
            <w:noWrap/>
            <w:vAlign w:val="center"/>
          </w:tcPr>
          <w:p w14:paraId="0EB39497">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noWrap/>
            <w:vAlign w:val="center"/>
          </w:tcPr>
          <w:p w14:paraId="1A580FA4">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vAlign w:val="center"/>
          </w:tcPr>
          <w:p w14:paraId="3F5CD58E">
            <w:pPr>
              <w:jc w:val="center"/>
              <w:textAlignment w:val="center"/>
              <w:rPr>
                <w:rFonts w:ascii="Times New Roman" w:hAnsi="Times New Roman" w:cs="Times New Roman"/>
                <w:color w:val="auto"/>
                <w:sz w:val="21"/>
                <w:lang w:eastAsia="zh-CN"/>
              </w:rPr>
            </w:pPr>
          </w:p>
        </w:tc>
        <w:tc>
          <w:tcPr>
            <w:tcW w:w="323" w:type="pct"/>
            <w:vMerge w:val="continue"/>
            <w:vAlign w:val="center"/>
          </w:tcPr>
          <w:p w14:paraId="67796D4B">
            <w:pPr>
              <w:overflowPunct w:val="0"/>
              <w:jc w:val="center"/>
              <w:rPr>
                <w:rFonts w:ascii="Times New Roman" w:hAnsi="Times New Roman" w:cs="Times New Roman"/>
                <w:color w:val="auto"/>
                <w:sz w:val="21"/>
                <w:lang w:eastAsia="zh-CN"/>
              </w:rPr>
            </w:pPr>
          </w:p>
        </w:tc>
        <w:tc>
          <w:tcPr>
            <w:tcW w:w="276" w:type="pct"/>
            <w:vMerge w:val="continue"/>
            <w:vAlign w:val="center"/>
          </w:tcPr>
          <w:p w14:paraId="3862C5BD">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4048C84A">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4338968D">
            <w:pPr>
              <w:overflowPunct w:val="0"/>
              <w:jc w:val="center"/>
              <w:textAlignment w:val="center"/>
              <w:rPr>
                <w:rFonts w:ascii="Times New Roman" w:hAnsi="Times New Roman" w:cs="Times New Roman"/>
                <w:color w:val="auto"/>
                <w:sz w:val="21"/>
                <w:lang w:eastAsia="zh-CN"/>
              </w:rPr>
            </w:pPr>
          </w:p>
        </w:tc>
        <w:tc>
          <w:tcPr>
            <w:tcW w:w="276" w:type="pct"/>
            <w:vMerge w:val="continue"/>
            <w:shd w:val="clear" w:color="auto" w:fill="FFFFFF"/>
            <w:vAlign w:val="center"/>
          </w:tcPr>
          <w:p w14:paraId="6CF466A0">
            <w:pPr>
              <w:overflowPunct w:val="0"/>
              <w:jc w:val="center"/>
              <w:textAlignment w:val="center"/>
              <w:rPr>
                <w:rFonts w:ascii="Times New Roman" w:hAnsi="Times New Roman" w:cs="Times New Roman"/>
                <w:color w:val="auto"/>
                <w:sz w:val="21"/>
                <w:lang w:eastAsia="zh-CN"/>
              </w:rPr>
            </w:pPr>
          </w:p>
        </w:tc>
        <w:tc>
          <w:tcPr>
            <w:tcW w:w="277" w:type="pct"/>
            <w:vMerge w:val="continue"/>
            <w:vAlign w:val="center"/>
          </w:tcPr>
          <w:p w14:paraId="77120C4C">
            <w:pPr>
              <w:overflowPunct w:val="0"/>
              <w:jc w:val="center"/>
              <w:textAlignment w:val="center"/>
              <w:rPr>
                <w:rFonts w:ascii="Times New Roman" w:hAnsi="Times New Roman" w:cs="Times New Roman"/>
                <w:color w:val="auto"/>
                <w:sz w:val="21"/>
                <w:lang w:eastAsia="zh-CN"/>
              </w:rPr>
            </w:pPr>
          </w:p>
        </w:tc>
        <w:tc>
          <w:tcPr>
            <w:tcW w:w="276" w:type="pct"/>
            <w:vMerge w:val="continue"/>
            <w:vAlign w:val="center"/>
          </w:tcPr>
          <w:p w14:paraId="0A6EA956">
            <w:pPr>
              <w:overflowPunct w:val="0"/>
              <w:jc w:val="center"/>
              <w:textAlignment w:val="center"/>
              <w:rPr>
                <w:rFonts w:ascii="Times New Roman" w:hAnsi="Times New Roman" w:cs="Times New Roman"/>
                <w:color w:val="auto"/>
                <w:sz w:val="21"/>
                <w:lang w:eastAsia="zh-CN"/>
              </w:rPr>
            </w:pPr>
          </w:p>
        </w:tc>
        <w:tc>
          <w:tcPr>
            <w:tcW w:w="280" w:type="pct"/>
            <w:vMerge w:val="continue"/>
            <w:vAlign w:val="center"/>
          </w:tcPr>
          <w:p w14:paraId="5263071B">
            <w:pPr>
              <w:overflowPunct w:val="0"/>
              <w:jc w:val="center"/>
              <w:textAlignment w:val="center"/>
              <w:rPr>
                <w:rFonts w:ascii="Times New Roman" w:hAnsi="Times New Roman" w:cs="Times New Roman"/>
                <w:color w:val="auto"/>
                <w:sz w:val="21"/>
                <w:lang w:eastAsia="zh-CN"/>
              </w:rPr>
            </w:pPr>
          </w:p>
        </w:tc>
        <w:tc>
          <w:tcPr>
            <w:tcW w:w="143" w:type="pct"/>
            <w:vMerge w:val="continue"/>
            <w:vAlign w:val="center"/>
          </w:tcPr>
          <w:p w14:paraId="3C147FDC">
            <w:pPr>
              <w:overflowPunct w:val="0"/>
              <w:jc w:val="center"/>
              <w:rPr>
                <w:rFonts w:ascii="Times New Roman" w:hAnsi="Times New Roman" w:cs="Times New Roman"/>
                <w:color w:val="auto"/>
                <w:sz w:val="21"/>
                <w:lang w:eastAsia="zh-CN"/>
              </w:rPr>
            </w:pPr>
          </w:p>
        </w:tc>
        <w:tc>
          <w:tcPr>
            <w:tcW w:w="203" w:type="pct"/>
            <w:vMerge w:val="continue"/>
            <w:vAlign w:val="center"/>
          </w:tcPr>
          <w:p w14:paraId="7979E7B8">
            <w:pPr>
              <w:overflowPunct w:val="0"/>
              <w:jc w:val="center"/>
              <w:rPr>
                <w:rFonts w:ascii="Times New Roman" w:hAnsi="Times New Roman" w:cs="Times New Roman"/>
                <w:color w:val="auto"/>
                <w:sz w:val="21"/>
                <w:lang w:eastAsia="zh-CN"/>
              </w:rPr>
            </w:pPr>
          </w:p>
        </w:tc>
      </w:tr>
      <w:tr w14:paraId="27710A7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31" w:type="pct"/>
            <w:vMerge w:val="continue"/>
            <w:vAlign w:val="center"/>
          </w:tcPr>
          <w:p w14:paraId="38EAB801">
            <w:pPr>
              <w:overflowPunct w:val="0"/>
              <w:jc w:val="center"/>
              <w:rPr>
                <w:rFonts w:ascii="Times New Roman" w:hAnsi="Times New Roman" w:cs="Times New Roman"/>
                <w:color w:val="EE0000"/>
                <w:sz w:val="21"/>
                <w:lang w:eastAsia="zh-CN"/>
              </w:rPr>
            </w:pPr>
          </w:p>
        </w:tc>
        <w:tc>
          <w:tcPr>
            <w:tcW w:w="230" w:type="pct"/>
            <w:vMerge w:val="continue"/>
            <w:vAlign w:val="center"/>
          </w:tcPr>
          <w:p w14:paraId="1FA1D821">
            <w:pPr>
              <w:overflowPunct w:val="0"/>
              <w:jc w:val="center"/>
              <w:rPr>
                <w:rFonts w:ascii="Times New Roman" w:hAnsi="Times New Roman" w:cs="Times New Roman"/>
                <w:color w:val="EE0000"/>
                <w:sz w:val="21"/>
                <w:lang w:eastAsia="zh-CN"/>
              </w:rPr>
            </w:pPr>
          </w:p>
        </w:tc>
        <w:tc>
          <w:tcPr>
            <w:tcW w:w="368" w:type="pct"/>
            <w:vMerge w:val="continue"/>
            <w:vAlign w:val="center"/>
          </w:tcPr>
          <w:p w14:paraId="1EED34B2">
            <w:pPr>
              <w:overflowPunct w:val="0"/>
              <w:jc w:val="center"/>
              <w:rPr>
                <w:rFonts w:ascii="Times New Roman" w:hAnsi="Times New Roman" w:cs="Times New Roman"/>
                <w:color w:val="auto"/>
                <w:kern w:val="2"/>
                <w:sz w:val="21"/>
                <w:lang w:eastAsia="zh-CN"/>
              </w:rPr>
            </w:pPr>
          </w:p>
        </w:tc>
        <w:tc>
          <w:tcPr>
            <w:tcW w:w="276" w:type="pct"/>
            <w:vAlign w:val="center"/>
          </w:tcPr>
          <w:p w14:paraId="0D0B47D1">
            <w:pPr>
              <w:overflowPunct w:val="0"/>
              <w:jc w:val="center"/>
              <w:textAlignment w:val="center"/>
              <w:rPr>
                <w:rFonts w:ascii="Times New Roman" w:hAnsi="Times New Roman" w:cs="Times New Roman"/>
                <w:color w:val="auto"/>
                <w:kern w:val="2"/>
                <w:sz w:val="21"/>
                <w:lang w:eastAsia="zh-CN"/>
              </w:rPr>
            </w:pPr>
          </w:p>
        </w:tc>
        <w:tc>
          <w:tcPr>
            <w:tcW w:w="231" w:type="pct"/>
            <w:vMerge w:val="continue"/>
            <w:vAlign w:val="center"/>
          </w:tcPr>
          <w:p w14:paraId="04CEC46B">
            <w:pPr>
              <w:overflowPunct w:val="0"/>
              <w:jc w:val="center"/>
              <w:textAlignment w:val="center"/>
              <w:rPr>
                <w:rFonts w:ascii="Times New Roman" w:hAnsi="Times New Roman" w:cs="Times New Roman"/>
                <w:color w:val="EE0000"/>
                <w:sz w:val="21"/>
                <w:lang w:eastAsia="zh-CN" w:bidi="ar"/>
              </w:rPr>
            </w:pPr>
          </w:p>
        </w:tc>
        <w:tc>
          <w:tcPr>
            <w:tcW w:w="230" w:type="pct"/>
            <w:vMerge w:val="continue"/>
            <w:vAlign w:val="center"/>
          </w:tcPr>
          <w:p w14:paraId="0B51E5C9">
            <w:pPr>
              <w:overflowPunct w:val="0"/>
              <w:jc w:val="center"/>
              <w:textAlignment w:val="center"/>
              <w:rPr>
                <w:rFonts w:ascii="Times New Roman" w:hAnsi="Times New Roman" w:cs="Times New Roman"/>
                <w:color w:val="EE0000"/>
                <w:sz w:val="21"/>
                <w:lang w:eastAsia="zh-CN" w:bidi="ar"/>
              </w:rPr>
            </w:pPr>
          </w:p>
        </w:tc>
        <w:tc>
          <w:tcPr>
            <w:tcW w:w="276" w:type="pct"/>
            <w:noWrap/>
            <w:vAlign w:val="center"/>
          </w:tcPr>
          <w:p w14:paraId="5FE90A3D">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noWrap/>
            <w:vAlign w:val="center"/>
          </w:tcPr>
          <w:p w14:paraId="0A3AA52C">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vAlign w:val="center"/>
          </w:tcPr>
          <w:p w14:paraId="06DF48C1">
            <w:pPr>
              <w:jc w:val="center"/>
              <w:textAlignment w:val="center"/>
              <w:rPr>
                <w:rFonts w:ascii="Times New Roman" w:hAnsi="Times New Roman" w:cs="Times New Roman"/>
                <w:color w:val="auto"/>
                <w:sz w:val="21"/>
                <w:lang w:eastAsia="zh-CN"/>
              </w:rPr>
            </w:pPr>
          </w:p>
        </w:tc>
        <w:tc>
          <w:tcPr>
            <w:tcW w:w="323" w:type="pct"/>
            <w:vMerge w:val="continue"/>
            <w:vAlign w:val="center"/>
          </w:tcPr>
          <w:p w14:paraId="3EF6B754">
            <w:pPr>
              <w:overflowPunct w:val="0"/>
              <w:jc w:val="center"/>
              <w:rPr>
                <w:rFonts w:ascii="Times New Roman" w:hAnsi="Times New Roman" w:cs="Times New Roman"/>
                <w:color w:val="auto"/>
                <w:sz w:val="21"/>
                <w:lang w:eastAsia="zh-CN"/>
              </w:rPr>
            </w:pPr>
          </w:p>
        </w:tc>
        <w:tc>
          <w:tcPr>
            <w:tcW w:w="276" w:type="pct"/>
            <w:vMerge w:val="continue"/>
            <w:vAlign w:val="center"/>
          </w:tcPr>
          <w:p w14:paraId="19E3F998">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59EAFB28">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26B21D8D">
            <w:pPr>
              <w:overflowPunct w:val="0"/>
              <w:jc w:val="center"/>
              <w:textAlignment w:val="center"/>
              <w:rPr>
                <w:rFonts w:ascii="Times New Roman" w:hAnsi="Times New Roman" w:cs="Times New Roman"/>
                <w:color w:val="auto"/>
                <w:sz w:val="21"/>
                <w:lang w:eastAsia="zh-CN"/>
              </w:rPr>
            </w:pPr>
          </w:p>
        </w:tc>
        <w:tc>
          <w:tcPr>
            <w:tcW w:w="276" w:type="pct"/>
            <w:vMerge w:val="continue"/>
            <w:shd w:val="clear" w:color="auto" w:fill="FFFFFF"/>
            <w:vAlign w:val="center"/>
          </w:tcPr>
          <w:p w14:paraId="1A2472E8">
            <w:pPr>
              <w:overflowPunct w:val="0"/>
              <w:jc w:val="center"/>
              <w:textAlignment w:val="center"/>
              <w:rPr>
                <w:rFonts w:ascii="Times New Roman" w:hAnsi="Times New Roman" w:cs="Times New Roman"/>
                <w:color w:val="auto"/>
                <w:sz w:val="21"/>
                <w:lang w:eastAsia="zh-CN"/>
              </w:rPr>
            </w:pPr>
          </w:p>
        </w:tc>
        <w:tc>
          <w:tcPr>
            <w:tcW w:w="277" w:type="pct"/>
            <w:vMerge w:val="continue"/>
            <w:vAlign w:val="center"/>
          </w:tcPr>
          <w:p w14:paraId="0358E91B">
            <w:pPr>
              <w:overflowPunct w:val="0"/>
              <w:jc w:val="center"/>
              <w:textAlignment w:val="center"/>
              <w:rPr>
                <w:rFonts w:ascii="Times New Roman" w:hAnsi="Times New Roman" w:cs="Times New Roman"/>
                <w:color w:val="auto"/>
                <w:sz w:val="21"/>
                <w:lang w:eastAsia="zh-CN"/>
              </w:rPr>
            </w:pPr>
          </w:p>
        </w:tc>
        <w:tc>
          <w:tcPr>
            <w:tcW w:w="276" w:type="pct"/>
            <w:vMerge w:val="continue"/>
            <w:vAlign w:val="center"/>
          </w:tcPr>
          <w:p w14:paraId="04F3547A">
            <w:pPr>
              <w:overflowPunct w:val="0"/>
              <w:jc w:val="center"/>
              <w:textAlignment w:val="center"/>
              <w:rPr>
                <w:rFonts w:ascii="Times New Roman" w:hAnsi="Times New Roman" w:cs="Times New Roman"/>
                <w:color w:val="auto"/>
                <w:sz w:val="21"/>
                <w:lang w:eastAsia="zh-CN"/>
              </w:rPr>
            </w:pPr>
          </w:p>
        </w:tc>
        <w:tc>
          <w:tcPr>
            <w:tcW w:w="280" w:type="pct"/>
            <w:vMerge w:val="continue"/>
            <w:vAlign w:val="center"/>
          </w:tcPr>
          <w:p w14:paraId="05FC917C">
            <w:pPr>
              <w:overflowPunct w:val="0"/>
              <w:jc w:val="center"/>
              <w:textAlignment w:val="center"/>
              <w:rPr>
                <w:rFonts w:ascii="Times New Roman" w:hAnsi="Times New Roman" w:cs="Times New Roman"/>
                <w:color w:val="auto"/>
                <w:sz w:val="21"/>
                <w:lang w:eastAsia="zh-CN"/>
              </w:rPr>
            </w:pPr>
          </w:p>
        </w:tc>
        <w:tc>
          <w:tcPr>
            <w:tcW w:w="143" w:type="pct"/>
            <w:vMerge w:val="continue"/>
            <w:vAlign w:val="center"/>
          </w:tcPr>
          <w:p w14:paraId="4565E843">
            <w:pPr>
              <w:overflowPunct w:val="0"/>
              <w:jc w:val="center"/>
              <w:rPr>
                <w:rFonts w:ascii="Times New Roman" w:hAnsi="Times New Roman" w:cs="Times New Roman"/>
                <w:color w:val="auto"/>
                <w:sz w:val="21"/>
                <w:lang w:eastAsia="zh-CN"/>
              </w:rPr>
            </w:pPr>
          </w:p>
        </w:tc>
        <w:tc>
          <w:tcPr>
            <w:tcW w:w="203" w:type="pct"/>
            <w:vMerge w:val="continue"/>
            <w:vAlign w:val="center"/>
          </w:tcPr>
          <w:p w14:paraId="718C1E3D">
            <w:pPr>
              <w:overflowPunct w:val="0"/>
              <w:jc w:val="center"/>
              <w:rPr>
                <w:rFonts w:ascii="Times New Roman" w:hAnsi="Times New Roman" w:cs="Times New Roman"/>
                <w:color w:val="auto"/>
                <w:sz w:val="21"/>
                <w:lang w:eastAsia="zh-CN"/>
              </w:rPr>
            </w:pPr>
          </w:p>
        </w:tc>
      </w:tr>
      <w:tr w14:paraId="43325FF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461" w:type="pct"/>
            <w:gridSpan w:val="2"/>
            <w:vMerge w:val="restart"/>
            <w:vAlign w:val="center"/>
          </w:tcPr>
          <w:p w14:paraId="5955400E">
            <w:pPr>
              <w:overflowPunct w:val="0"/>
              <w:jc w:val="center"/>
              <w:rPr>
                <w:rFonts w:ascii="Times New Roman" w:hAnsi="Times New Roman" w:cs="Times New Roman"/>
                <w:color w:val="auto"/>
                <w:sz w:val="21"/>
                <w:lang w:eastAsia="zh-CN"/>
              </w:rPr>
            </w:pPr>
          </w:p>
        </w:tc>
        <w:tc>
          <w:tcPr>
            <w:tcW w:w="368" w:type="pct"/>
            <w:vMerge w:val="restart"/>
            <w:vAlign w:val="center"/>
          </w:tcPr>
          <w:p w14:paraId="36873386">
            <w:pPr>
              <w:overflowPunct w:val="0"/>
              <w:jc w:val="center"/>
              <w:textAlignment w:val="center"/>
              <w:rPr>
                <w:rFonts w:ascii="Times New Roman" w:hAnsi="Times New Roman" w:cs="Times New Roman"/>
                <w:color w:val="auto"/>
                <w:sz w:val="21"/>
                <w:lang w:eastAsia="zh-CN"/>
              </w:rPr>
            </w:pPr>
          </w:p>
        </w:tc>
        <w:tc>
          <w:tcPr>
            <w:tcW w:w="276" w:type="pct"/>
            <w:vAlign w:val="center"/>
          </w:tcPr>
          <w:p w14:paraId="7BD07EBB">
            <w:pPr>
              <w:overflowPunct w:val="0"/>
              <w:jc w:val="center"/>
              <w:textAlignment w:val="center"/>
              <w:rPr>
                <w:rFonts w:ascii="Times New Roman" w:hAnsi="Times New Roman" w:cs="Times New Roman"/>
                <w:color w:val="auto"/>
                <w:sz w:val="21"/>
                <w:lang w:eastAsia="zh-CN"/>
              </w:rPr>
            </w:pPr>
          </w:p>
        </w:tc>
        <w:tc>
          <w:tcPr>
            <w:tcW w:w="231" w:type="pct"/>
            <w:vMerge w:val="restart"/>
            <w:vAlign w:val="center"/>
          </w:tcPr>
          <w:p w14:paraId="089AD116">
            <w:pPr>
              <w:overflowPunct w:val="0"/>
              <w:jc w:val="center"/>
              <w:textAlignment w:val="center"/>
              <w:rPr>
                <w:rFonts w:ascii="Times New Roman" w:hAnsi="Times New Roman" w:cs="Times New Roman"/>
                <w:color w:val="auto"/>
                <w:sz w:val="21"/>
                <w:lang w:eastAsia="zh-CN" w:bidi="ar"/>
              </w:rPr>
            </w:pPr>
          </w:p>
        </w:tc>
        <w:tc>
          <w:tcPr>
            <w:tcW w:w="230" w:type="pct"/>
            <w:vMerge w:val="restart"/>
            <w:vAlign w:val="center"/>
          </w:tcPr>
          <w:p w14:paraId="3653E3ED">
            <w:pPr>
              <w:overflowPunct w:val="0"/>
              <w:jc w:val="center"/>
              <w:textAlignment w:val="center"/>
              <w:rPr>
                <w:rFonts w:ascii="Times New Roman" w:hAnsi="Times New Roman" w:cs="Times New Roman"/>
                <w:color w:val="auto"/>
                <w:sz w:val="21"/>
                <w:lang w:eastAsia="zh-CN" w:bidi="ar"/>
              </w:rPr>
            </w:pPr>
          </w:p>
        </w:tc>
        <w:tc>
          <w:tcPr>
            <w:tcW w:w="276" w:type="pct"/>
            <w:noWrap/>
            <w:vAlign w:val="center"/>
          </w:tcPr>
          <w:p w14:paraId="4B5BD802">
            <w:pPr>
              <w:overflowPunct w:val="0"/>
              <w:jc w:val="center"/>
              <w:textAlignment w:val="center"/>
              <w:rPr>
                <w:rFonts w:ascii="Times New Roman" w:hAnsi="Times New Roman" w:cs="Times New Roman"/>
                <w:color w:val="auto"/>
                <w:sz w:val="21"/>
                <w:lang w:eastAsia="zh-CN"/>
              </w:rPr>
            </w:pPr>
          </w:p>
        </w:tc>
        <w:tc>
          <w:tcPr>
            <w:tcW w:w="276" w:type="pct"/>
            <w:noWrap/>
            <w:vAlign w:val="center"/>
          </w:tcPr>
          <w:p w14:paraId="1D7AA78F">
            <w:pPr>
              <w:overflowPunct w:val="0"/>
              <w:jc w:val="center"/>
              <w:textAlignment w:val="center"/>
              <w:rPr>
                <w:rFonts w:ascii="Times New Roman" w:hAnsi="Times New Roman" w:cs="Times New Roman"/>
                <w:color w:val="auto"/>
                <w:sz w:val="21"/>
                <w:lang w:eastAsia="zh-CN"/>
              </w:rPr>
            </w:pPr>
          </w:p>
        </w:tc>
        <w:tc>
          <w:tcPr>
            <w:tcW w:w="276" w:type="pct"/>
            <w:vAlign w:val="center"/>
          </w:tcPr>
          <w:p w14:paraId="057AE2D5">
            <w:pPr>
              <w:overflowPunct w:val="0"/>
              <w:jc w:val="center"/>
              <w:textAlignment w:val="center"/>
              <w:rPr>
                <w:rFonts w:ascii="Times New Roman" w:hAnsi="Times New Roman" w:cs="Times New Roman"/>
                <w:bCs/>
                <w:color w:val="auto"/>
                <w:sz w:val="21"/>
                <w:lang w:eastAsia="zh-CN"/>
              </w:rPr>
            </w:pPr>
          </w:p>
        </w:tc>
        <w:tc>
          <w:tcPr>
            <w:tcW w:w="323" w:type="pct"/>
            <w:vMerge w:val="continue"/>
            <w:vAlign w:val="center"/>
          </w:tcPr>
          <w:p w14:paraId="565CBC9A">
            <w:pPr>
              <w:overflowPunct w:val="0"/>
              <w:jc w:val="center"/>
              <w:rPr>
                <w:rFonts w:ascii="Times New Roman" w:hAnsi="Times New Roman" w:cs="Times New Roman"/>
                <w:color w:val="auto"/>
                <w:sz w:val="21"/>
                <w:lang w:eastAsia="zh-CN"/>
              </w:rPr>
            </w:pPr>
          </w:p>
        </w:tc>
        <w:tc>
          <w:tcPr>
            <w:tcW w:w="276" w:type="pct"/>
            <w:vMerge w:val="continue"/>
            <w:vAlign w:val="center"/>
          </w:tcPr>
          <w:p w14:paraId="3EBC34C4">
            <w:pPr>
              <w:overflowPunct w:val="0"/>
              <w:jc w:val="center"/>
              <w:rPr>
                <w:rFonts w:ascii="Times New Roman" w:hAnsi="Times New Roman" w:cs="Times New Roman"/>
                <w:color w:val="auto"/>
                <w:sz w:val="21"/>
                <w:lang w:eastAsia="zh-CN"/>
              </w:rPr>
            </w:pPr>
          </w:p>
        </w:tc>
        <w:tc>
          <w:tcPr>
            <w:tcW w:w="276" w:type="pct"/>
            <w:vMerge w:val="continue"/>
            <w:vAlign w:val="center"/>
          </w:tcPr>
          <w:p w14:paraId="55410E5B">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3BD09A04">
            <w:pPr>
              <w:overflowPunct w:val="0"/>
              <w:jc w:val="center"/>
              <w:textAlignment w:val="center"/>
              <w:rPr>
                <w:rFonts w:ascii="Times New Roman" w:hAnsi="Times New Roman" w:cs="Times New Roman"/>
                <w:color w:val="auto"/>
                <w:sz w:val="21"/>
                <w:lang w:eastAsia="zh-CN" w:bidi="ar"/>
              </w:rPr>
            </w:pPr>
          </w:p>
        </w:tc>
        <w:tc>
          <w:tcPr>
            <w:tcW w:w="276" w:type="pct"/>
            <w:vMerge w:val="continue"/>
            <w:shd w:val="clear" w:color="auto" w:fill="FFFFFF"/>
            <w:vAlign w:val="center"/>
          </w:tcPr>
          <w:p w14:paraId="4CB166F1">
            <w:pPr>
              <w:overflowPunct w:val="0"/>
              <w:jc w:val="center"/>
              <w:textAlignment w:val="center"/>
              <w:rPr>
                <w:rFonts w:ascii="Times New Roman" w:hAnsi="Times New Roman" w:cs="Times New Roman"/>
                <w:color w:val="auto"/>
                <w:sz w:val="21"/>
                <w:lang w:eastAsia="zh-CN" w:bidi="ar"/>
              </w:rPr>
            </w:pPr>
          </w:p>
        </w:tc>
        <w:tc>
          <w:tcPr>
            <w:tcW w:w="277" w:type="pct"/>
            <w:vMerge w:val="continue"/>
            <w:noWrap/>
            <w:vAlign w:val="center"/>
          </w:tcPr>
          <w:p w14:paraId="4CC6FD13">
            <w:pPr>
              <w:overflowPunct w:val="0"/>
              <w:jc w:val="center"/>
              <w:textAlignment w:val="center"/>
              <w:rPr>
                <w:rFonts w:ascii="Times New Roman" w:hAnsi="Times New Roman" w:cs="Times New Roman"/>
                <w:color w:val="auto"/>
                <w:sz w:val="21"/>
                <w:lang w:eastAsia="zh-CN" w:bidi="ar"/>
              </w:rPr>
            </w:pPr>
          </w:p>
        </w:tc>
        <w:tc>
          <w:tcPr>
            <w:tcW w:w="276" w:type="pct"/>
            <w:vMerge w:val="continue"/>
            <w:noWrap/>
            <w:vAlign w:val="center"/>
          </w:tcPr>
          <w:p w14:paraId="08E78D5C">
            <w:pPr>
              <w:overflowPunct w:val="0"/>
              <w:jc w:val="center"/>
              <w:textAlignment w:val="center"/>
              <w:rPr>
                <w:rFonts w:ascii="Times New Roman" w:hAnsi="Times New Roman" w:cs="Times New Roman"/>
                <w:color w:val="auto"/>
                <w:sz w:val="21"/>
                <w:lang w:eastAsia="zh-CN" w:bidi="ar"/>
              </w:rPr>
            </w:pPr>
          </w:p>
        </w:tc>
        <w:tc>
          <w:tcPr>
            <w:tcW w:w="280" w:type="pct"/>
            <w:vMerge w:val="continue"/>
            <w:noWrap/>
            <w:vAlign w:val="center"/>
          </w:tcPr>
          <w:p w14:paraId="3626B287">
            <w:pPr>
              <w:overflowPunct w:val="0"/>
              <w:jc w:val="center"/>
              <w:textAlignment w:val="center"/>
              <w:rPr>
                <w:rFonts w:ascii="Times New Roman" w:hAnsi="Times New Roman" w:cs="Times New Roman"/>
                <w:color w:val="auto"/>
                <w:sz w:val="21"/>
                <w:lang w:eastAsia="zh-CN" w:bidi="ar"/>
              </w:rPr>
            </w:pPr>
          </w:p>
        </w:tc>
        <w:tc>
          <w:tcPr>
            <w:tcW w:w="143" w:type="pct"/>
            <w:vMerge w:val="continue"/>
            <w:noWrap/>
            <w:vAlign w:val="center"/>
          </w:tcPr>
          <w:p w14:paraId="059BB00D">
            <w:pPr>
              <w:overflowPunct w:val="0"/>
              <w:jc w:val="center"/>
              <w:rPr>
                <w:rFonts w:ascii="Times New Roman" w:hAnsi="Times New Roman" w:cs="Times New Roman"/>
                <w:color w:val="auto"/>
                <w:sz w:val="21"/>
                <w:lang w:eastAsia="zh-CN"/>
              </w:rPr>
            </w:pPr>
          </w:p>
        </w:tc>
        <w:tc>
          <w:tcPr>
            <w:tcW w:w="203" w:type="pct"/>
            <w:vMerge w:val="continue"/>
            <w:noWrap/>
            <w:vAlign w:val="center"/>
          </w:tcPr>
          <w:p w14:paraId="40BD8F61">
            <w:pPr>
              <w:overflowPunct w:val="0"/>
              <w:jc w:val="center"/>
              <w:rPr>
                <w:rFonts w:ascii="Times New Roman" w:hAnsi="Times New Roman" w:cs="Times New Roman"/>
                <w:color w:val="auto"/>
                <w:sz w:val="21"/>
                <w:lang w:eastAsia="zh-CN"/>
              </w:rPr>
            </w:pPr>
          </w:p>
        </w:tc>
      </w:tr>
      <w:tr w14:paraId="2DCB76E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461" w:type="pct"/>
            <w:gridSpan w:val="2"/>
            <w:vMerge w:val="continue"/>
            <w:vAlign w:val="center"/>
          </w:tcPr>
          <w:p w14:paraId="7E987DDD">
            <w:pPr>
              <w:overflowPunct w:val="0"/>
              <w:jc w:val="center"/>
              <w:rPr>
                <w:rFonts w:ascii="Times New Roman" w:hAnsi="Times New Roman" w:cs="Times New Roman"/>
                <w:color w:val="auto"/>
                <w:sz w:val="21"/>
                <w:lang w:eastAsia="zh-CN"/>
              </w:rPr>
            </w:pPr>
          </w:p>
        </w:tc>
        <w:tc>
          <w:tcPr>
            <w:tcW w:w="368" w:type="pct"/>
            <w:vMerge w:val="continue"/>
            <w:vAlign w:val="center"/>
          </w:tcPr>
          <w:p w14:paraId="3B218025">
            <w:pPr>
              <w:overflowPunct w:val="0"/>
              <w:jc w:val="center"/>
              <w:textAlignment w:val="center"/>
              <w:rPr>
                <w:rFonts w:ascii="Times New Roman" w:hAnsi="Times New Roman" w:cs="Times New Roman"/>
                <w:color w:val="auto"/>
                <w:sz w:val="21"/>
                <w:lang w:eastAsia="zh-CN"/>
              </w:rPr>
            </w:pPr>
          </w:p>
        </w:tc>
        <w:tc>
          <w:tcPr>
            <w:tcW w:w="276" w:type="pct"/>
            <w:vAlign w:val="center"/>
          </w:tcPr>
          <w:p w14:paraId="0F3DE4D6">
            <w:pPr>
              <w:overflowPunct w:val="0"/>
              <w:jc w:val="center"/>
              <w:textAlignment w:val="center"/>
              <w:rPr>
                <w:rFonts w:ascii="Times New Roman" w:hAnsi="Times New Roman" w:cs="Times New Roman"/>
                <w:color w:val="auto"/>
                <w:sz w:val="21"/>
                <w:lang w:eastAsia="zh-CN"/>
              </w:rPr>
            </w:pPr>
          </w:p>
        </w:tc>
        <w:tc>
          <w:tcPr>
            <w:tcW w:w="231" w:type="pct"/>
            <w:vMerge w:val="continue"/>
            <w:vAlign w:val="center"/>
          </w:tcPr>
          <w:p w14:paraId="54808D9A">
            <w:pPr>
              <w:overflowPunct w:val="0"/>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30" w:type="pct"/>
            <w:vMerge w:val="continue"/>
            <w:vAlign w:val="center"/>
          </w:tcPr>
          <w:p w14:paraId="62C53F0F">
            <w:pPr>
              <w:overflowPunct w:val="0"/>
              <w:jc w:val="center"/>
              <w:textAlignment w:val="center"/>
              <w:rPr>
                <w:rFonts w:ascii="Times New Roman" w:hAnsi="Times New Roman" w:cs="Times New Roman"/>
                <w:color w:val="auto"/>
                <w:sz w:val="21"/>
                <w:lang w:eastAsia="zh-CN" w:bidi="ar"/>
              </w:rPr>
            </w:pPr>
          </w:p>
        </w:tc>
        <w:tc>
          <w:tcPr>
            <w:tcW w:w="276" w:type="pct"/>
            <w:noWrap/>
            <w:vAlign w:val="center"/>
          </w:tcPr>
          <w:p w14:paraId="441114CA">
            <w:pPr>
              <w:overflowPunct w:val="0"/>
              <w:jc w:val="center"/>
              <w:textAlignment w:val="center"/>
              <w:rPr>
                <w:rFonts w:ascii="Times New Roman" w:hAnsi="Times New Roman" w:cs="Times New Roman"/>
                <w:color w:val="auto"/>
                <w:sz w:val="21"/>
                <w:lang w:eastAsia="zh-CN"/>
              </w:rPr>
            </w:pPr>
          </w:p>
        </w:tc>
        <w:tc>
          <w:tcPr>
            <w:tcW w:w="276" w:type="pct"/>
            <w:noWrap/>
            <w:vAlign w:val="center"/>
          </w:tcPr>
          <w:p w14:paraId="5E576A43">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vAlign w:val="center"/>
          </w:tcPr>
          <w:p w14:paraId="5A948739">
            <w:pPr>
              <w:overflowPunct w:val="0"/>
              <w:jc w:val="center"/>
              <w:textAlignment w:val="center"/>
              <w:rPr>
                <w:rFonts w:ascii="Times New Roman" w:hAnsi="Times New Roman" w:cs="Times New Roman"/>
                <w:bCs/>
                <w:color w:val="auto"/>
                <w:sz w:val="21"/>
                <w:lang w:eastAsia="zh-CN"/>
              </w:rPr>
            </w:pPr>
          </w:p>
        </w:tc>
        <w:tc>
          <w:tcPr>
            <w:tcW w:w="323" w:type="pct"/>
            <w:vMerge w:val="continue"/>
            <w:vAlign w:val="center"/>
          </w:tcPr>
          <w:p w14:paraId="0F146B5A">
            <w:pPr>
              <w:overflowPunct w:val="0"/>
              <w:jc w:val="center"/>
              <w:rPr>
                <w:rFonts w:ascii="Times New Roman" w:hAnsi="Times New Roman" w:cs="Times New Roman"/>
                <w:bCs/>
                <w:color w:val="auto"/>
                <w:sz w:val="21"/>
                <w:lang w:eastAsia="zh-CN"/>
              </w:rPr>
            </w:pPr>
          </w:p>
        </w:tc>
        <w:tc>
          <w:tcPr>
            <w:tcW w:w="276" w:type="pct"/>
            <w:vMerge w:val="continue"/>
            <w:vAlign w:val="center"/>
          </w:tcPr>
          <w:p w14:paraId="1D6726C7">
            <w:pPr>
              <w:overflowPunct w:val="0"/>
              <w:jc w:val="center"/>
              <w:rPr>
                <w:rFonts w:ascii="Times New Roman" w:hAnsi="Times New Roman" w:cs="Times New Roman"/>
                <w:color w:val="auto"/>
                <w:sz w:val="21"/>
                <w:lang w:eastAsia="zh-CN"/>
              </w:rPr>
            </w:pPr>
          </w:p>
        </w:tc>
        <w:tc>
          <w:tcPr>
            <w:tcW w:w="276" w:type="pct"/>
            <w:vMerge w:val="continue"/>
            <w:vAlign w:val="center"/>
          </w:tcPr>
          <w:p w14:paraId="194753EC">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606B3DFA">
            <w:pPr>
              <w:overflowPunct w:val="0"/>
              <w:jc w:val="center"/>
              <w:textAlignment w:val="center"/>
              <w:rPr>
                <w:rFonts w:ascii="Times New Roman" w:hAnsi="Times New Roman" w:cs="Times New Roman"/>
                <w:color w:val="auto"/>
                <w:sz w:val="21"/>
                <w:lang w:eastAsia="zh-CN" w:bidi="ar"/>
              </w:rPr>
            </w:pPr>
          </w:p>
        </w:tc>
        <w:tc>
          <w:tcPr>
            <w:tcW w:w="276" w:type="pct"/>
            <w:vMerge w:val="continue"/>
            <w:shd w:val="clear" w:color="auto" w:fill="FFFFFF"/>
            <w:vAlign w:val="center"/>
          </w:tcPr>
          <w:p w14:paraId="0D359756">
            <w:pPr>
              <w:overflowPunct w:val="0"/>
              <w:jc w:val="center"/>
              <w:textAlignment w:val="center"/>
              <w:rPr>
                <w:rFonts w:ascii="Times New Roman" w:hAnsi="Times New Roman" w:cs="Times New Roman"/>
                <w:color w:val="auto"/>
                <w:sz w:val="21"/>
                <w:lang w:eastAsia="zh-CN" w:bidi="ar"/>
              </w:rPr>
            </w:pPr>
          </w:p>
        </w:tc>
        <w:tc>
          <w:tcPr>
            <w:tcW w:w="277" w:type="pct"/>
            <w:vMerge w:val="continue"/>
            <w:noWrap/>
            <w:vAlign w:val="center"/>
          </w:tcPr>
          <w:p w14:paraId="5BFB66DA">
            <w:pPr>
              <w:overflowPunct w:val="0"/>
              <w:jc w:val="center"/>
              <w:textAlignment w:val="center"/>
              <w:rPr>
                <w:rFonts w:ascii="Times New Roman" w:hAnsi="Times New Roman" w:cs="Times New Roman"/>
                <w:color w:val="auto"/>
                <w:sz w:val="21"/>
                <w:lang w:eastAsia="zh-CN" w:bidi="ar"/>
              </w:rPr>
            </w:pPr>
          </w:p>
        </w:tc>
        <w:tc>
          <w:tcPr>
            <w:tcW w:w="276" w:type="pct"/>
            <w:vMerge w:val="continue"/>
            <w:noWrap/>
            <w:vAlign w:val="center"/>
          </w:tcPr>
          <w:p w14:paraId="56A5A444">
            <w:pPr>
              <w:overflowPunct w:val="0"/>
              <w:jc w:val="center"/>
              <w:textAlignment w:val="center"/>
              <w:rPr>
                <w:rFonts w:ascii="Times New Roman" w:hAnsi="Times New Roman" w:cs="Times New Roman"/>
                <w:color w:val="auto"/>
                <w:sz w:val="21"/>
                <w:lang w:eastAsia="zh-CN" w:bidi="ar"/>
              </w:rPr>
            </w:pPr>
          </w:p>
        </w:tc>
        <w:tc>
          <w:tcPr>
            <w:tcW w:w="280" w:type="pct"/>
            <w:vMerge w:val="continue"/>
            <w:noWrap/>
            <w:vAlign w:val="center"/>
          </w:tcPr>
          <w:p w14:paraId="2B9BB433">
            <w:pPr>
              <w:overflowPunct w:val="0"/>
              <w:jc w:val="center"/>
              <w:textAlignment w:val="center"/>
              <w:rPr>
                <w:rFonts w:ascii="Times New Roman" w:hAnsi="Times New Roman" w:cs="Times New Roman"/>
                <w:color w:val="auto"/>
                <w:sz w:val="21"/>
                <w:lang w:eastAsia="zh-CN" w:bidi="ar"/>
              </w:rPr>
            </w:pPr>
          </w:p>
        </w:tc>
        <w:tc>
          <w:tcPr>
            <w:tcW w:w="143" w:type="pct"/>
            <w:vMerge w:val="continue"/>
            <w:noWrap/>
            <w:vAlign w:val="center"/>
          </w:tcPr>
          <w:p w14:paraId="0F5CC6CC">
            <w:pPr>
              <w:overflowPunct w:val="0"/>
              <w:jc w:val="center"/>
              <w:rPr>
                <w:rFonts w:ascii="Times New Roman" w:hAnsi="Times New Roman" w:cs="Times New Roman"/>
                <w:color w:val="auto"/>
                <w:sz w:val="21"/>
                <w:lang w:eastAsia="zh-CN"/>
              </w:rPr>
            </w:pPr>
          </w:p>
        </w:tc>
        <w:tc>
          <w:tcPr>
            <w:tcW w:w="203" w:type="pct"/>
            <w:vMerge w:val="continue"/>
            <w:noWrap/>
            <w:vAlign w:val="center"/>
          </w:tcPr>
          <w:p w14:paraId="75433169">
            <w:pPr>
              <w:overflowPunct w:val="0"/>
              <w:jc w:val="center"/>
              <w:rPr>
                <w:rFonts w:ascii="Times New Roman" w:hAnsi="Times New Roman" w:cs="Times New Roman"/>
                <w:color w:val="auto"/>
                <w:sz w:val="21"/>
                <w:lang w:eastAsia="zh-CN"/>
              </w:rPr>
            </w:pPr>
          </w:p>
        </w:tc>
      </w:tr>
      <w:tr w14:paraId="1D42E81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461" w:type="pct"/>
            <w:gridSpan w:val="2"/>
            <w:vMerge w:val="continue"/>
            <w:vAlign w:val="center"/>
          </w:tcPr>
          <w:p w14:paraId="4C9D0DF3">
            <w:pPr>
              <w:overflowPunct w:val="0"/>
              <w:jc w:val="center"/>
              <w:rPr>
                <w:rFonts w:ascii="Times New Roman" w:hAnsi="Times New Roman" w:cs="Times New Roman"/>
                <w:color w:val="auto"/>
                <w:sz w:val="21"/>
                <w:lang w:eastAsia="zh-CN"/>
              </w:rPr>
            </w:pPr>
          </w:p>
        </w:tc>
        <w:tc>
          <w:tcPr>
            <w:tcW w:w="368" w:type="pct"/>
            <w:vAlign w:val="center"/>
          </w:tcPr>
          <w:p w14:paraId="402CFB3E">
            <w:pPr>
              <w:overflowPunct w:val="0"/>
              <w:jc w:val="center"/>
              <w:textAlignment w:val="center"/>
              <w:rPr>
                <w:rFonts w:ascii="Times New Roman" w:hAnsi="Times New Roman" w:cs="Times New Roman"/>
                <w:color w:val="auto"/>
                <w:sz w:val="21"/>
                <w:lang w:eastAsia="zh-CN"/>
              </w:rPr>
            </w:pPr>
          </w:p>
        </w:tc>
        <w:tc>
          <w:tcPr>
            <w:tcW w:w="276" w:type="pct"/>
            <w:vAlign w:val="center"/>
          </w:tcPr>
          <w:p w14:paraId="18AF5CCE">
            <w:pPr>
              <w:overflowPunct w:val="0"/>
              <w:jc w:val="center"/>
              <w:textAlignment w:val="center"/>
              <w:rPr>
                <w:rFonts w:ascii="Times New Roman" w:hAnsi="Times New Roman" w:cs="Times New Roman"/>
                <w:color w:val="auto"/>
                <w:sz w:val="21"/>
                <w:lang w:eastAsia="zh-CN"/>
              </w:rPr>
            </w:pPr>
          </w:p>
        </w:tc>
        <w:tc>
          <w:tcPr>
            <w:tcW w:w="231" w:type="pct"/>
            <w:vMerge w:val="continue"/>
            <w:vAlign w:val="center"/>
          </w:tcPr>
          <w:p w14:paraId="1A88182A">
            <w:pPr>
              <w:overflowPunct w:val="0"/>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30" w:type="pct"/>
            <w:vMerge w:val="continue"/>
            <w:vAlign w:val="center"/>
          </w:tcPr>
          <w:p w14:paraId="7213C81D">
            <w:pPr>
              <w:overflowPunct w:val="0"/>
              <w:jc w:val="center"/>
              <w:textAlignment w:val="center"/>
              <w:rPr>
                <w:rFonts w:ascii="Times New Roman" w:hAnsi="Times New Roman" w:cs="Times New Roman"/>
                <w:color w:val="auto"/>
                <w:sz w:val="21"/>
                <w:lang w:eastAsia="zh-CN" w:bidi="ar"/>
              </w:rPr>
            </w:pPr>
          </w:p>
        </w:tc>
        <w:tc>
          <w:tcPr>
            <w:tcW w:w="276" w:type="pct"/>
            <w:noWrap/>
            <w:vAlign w:val="center"/>
          </w:tcPr>
          <w:p w14:paraId="7BF0FDF6">
            <w:pPr>
              <w:overflowPunct w:val="0"/>
              <w:jc w:val="center"/>
              <w:textAlignment w:val="center"/>
              <w:rPr>
                <w:rFonts w:ascii="Times New Roman" w:hAnsi="Times New Roman" w:cs="Times New Roman"/>
                <w:color w:val="auto"/>
                <w:sz w:val="21"/>
                <w:lang w:eastAsia="zh-CN"/>
              </w:rPr>
            </w:pPr>
          </w:p>
        </w:tc>
        <w:tc>
          <w:tcPr>
            <w:tcW w:w="276" w:type="pct"/>
            <w:noWrap/>
            <w:vAlign w:val="center"/>
          </w:tcPr>
          <w:p w14:paraId="674BC944">
            <w:pPr>
              <w:overflowPunct w:val="0"/>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vAlign w:val="center"/>
          </w:tcPr>
          <w:p w14:paraId="61751C21">
            <w:pPr>
              <w:overflowPunct w:val="0"/>
              <w:jc w:val="center"/>
              <w:textAlignment w:val="center"/>
              <w:rPr>
                <w:rFonts w:ascii="Times New Roman" w:hAnsi="Times New Roman" w:cs="Times New Roman"/>
                <w:bCs/>
                <w:color w:val="auto"/>
                <w:sz w:val="21"/>
                <w:lang w:eastAsia="zh-CN"/>
              </w:rPr>
            </w:pPr>
          </w:p>
        </w:tc>
        <w:tc>
          <w:tcPr>
            <w:tcW w:w="323" w:type="pct"/>
            <w:vMerge w:val="continue"/>
            <w:vAlign w:val="center"/>
          </w:tcPr>
          <w:p w14:paraId="64C50370">
            <w:pPr>
              <w:overflowPunct w:val="0"/>
              <w:jc w:val="center"/>
              <w:rPr>
                <w:rFonts w:ascii="Times New Roman" w:hAnsi="Times New Roman" w:cs="Times New Roman"/>
                <w:bCs/>
                <w:color w:val="auto"/>
                <w:sz w:val="21"/>
                <w:lang w:eastAsia="zh-CN"/>
              </w:rPr>
            </w:pPr>
          </w:p>
        </w:tc>
        <w:tc>
          <w:tcPr>
            <w:tcW w:w="276" w:type="pct"/>
            <w:vMerge w:val="continue"/>
            <w:vAlign w:val="center"/>
          </w:tcPr>
          <w:p w14:paraId="7521DDA4">
            <w:pPr>
              <w:overflowPunct w:val="0"/>
              <w:jc w:val="center"/>
              <w:rPr>
                <w:rFonts w:ascii="Times New Roman" w:hAnsi="Times New Roman" w:cs="Times New Roman"/>
                <w:color w:val="auto"/>
                <w:sz w:val="21"/>
                <w:lang w:eastAsia="zh-CN"/>
              </w:rPr>
            </w:pPr>
          </w:p>
        </w:tc>
        <w:tc>
          <w:tcPr>
            <w:tcW w:w="276" w:type="pct"/>
            <w:vMerge w:val="continue"/>
            <w:vAlign w:val="center"/>
          </w:tcPr>
          <w:p w14:paraId="2F40C362">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6294422B">
            <w:pPr>
              <w:overflowPunct w:val="0"/>
              <w:jc w:val="center"/>
              <w:textAlignment w:val="center"/>
              <w:rPr>
                <w:rFonts w:ascii="Times New Roman" w:hAnsi="Times New Roman" w:cs="Times New Roman"/>
                <w:color w:val="auto"/>
                <w:sz w:val="21"/>
                <w:lang w:eastAsia="zh-CN" w:bidi="ar"/>
              </w:rPr>
            </w:pPr>
          </w:p>
        </w:tc>
        <w:tc>
          <w:tcPr>
            <w:tcW w:w="276" w:type="pct"/>
            <w:vMerge w:val="continue"/>
            <w:shd w:val="clear" w:color="auto" w:fill="FFFFFF"/>
            <w:vAlign w:val="center"/>
          </w:tcPr>
          <w:p w14:paraId="6CBB54F8">
            <w:pPr>
              <w:overflowPunct w:val="0"/>
              <w:jc w:val="center"/>
              <w:textAlignment w:val="center"/>
              <w:rPr>
                <w:rFonts w:ascii="Times New Roman" w:hAnsi="Times New Roman" w:cs="Times New Roman"/>
                <w:color w:val="auto"/>
                <w:sz w:val="21"/>
                <w:lang w:eastAsia="zh-CN" w:bidi="ar"/>
              </w:rPr>
            </w:pPr>
          </w:p>
        </w:tc>
        <w:tc>
          <w:tcPr>
            <w:tcW w:w="277" w:type="pct"/>
            <w:vMerge w:val="continue"/>
            <w:noWrap/>
            <w:vAlign w:val="center"/>
          </w:tcPr>
          <w:p w14:paraId="69B796C4">
            <w:pPr>
              <w:overflowPunct w:val="0"/>
              <w:jc w:val="center"/>
              <w:textAlignment w:val="center"/>
              <w:rPr>
                <w:rFonts w:ascii="Times New Roman" w:hAnsi="Times New Roman" w:cs="Times New Roman"/>
                <w:color w:val="auto"/>
                <w:sz w:val="21"/>
                <w:lang w:eastAsia="zh-CN" w:bidi="ar"/>
              </w:rPr>
            </w:pPr>
          </w:p>
        </w:tc>
        <w:tc>
          <w:tcPr>
            <w:tcW w:w="276" w:type="pct"/>
            <w:vMerge w:val="continue"/>
            <w:noWrap/>
            <w:vAlign w:val="center"/>
          </w:tcPr>
          <w:p w14:paraId="431FD3F7">
            <w:pPr>
              <w:overflowPunct w:val="0"/>
              <w:jc w:val="center"/>
              <w:textAlignment w:val="center"/>
              <w:rPr>
                <w:rFonts w:ascii="Times New Roman" w:hAnsi="Times New Roman" w:cs="Times New Roman"/>
                <w:color w:val="auto"/>
                <w:sz w:val="21"/>
                <w:lang w:eastAsia="zh-CN" w:bidi="ar"/>
              </w:rPr>
            </w:pPr>
          </w:p>
        </w:tc>
        <w:tc>
          <w:tcPr>
            <w:tcW w:w="280" w:type="pct"/>
            <w:vMerge w:val="continue"/>
            <w:noWrap/>
            <w:vAlign w:val="center"/>
          </w:tcPr>
          <w:p w14:paraId="371380C0">
            <w:pPr>
              <w:overflowPunct w:val="0"/>
              <w:jc w:val="center"/>
              <w:textAlignment w:val="center"/>
              <w:rPr>
                <w:rFonts w:ascii="Times New Roman" w:hAnsi="Times New Roman" w:cs="Times New Roman"/>
                <w:color w:val="auto"/>
                <w:sz w:val="21"/>
                <w:lang w:eastAsia="zh-CN" w:bidi="ar"/>
              </w:rPr>
            </w:pPr>
          </w:p>
        </w:tc>
        <w:tc>
          <w:tcPr>
            <w:tcW w:w="143" w:type="pct"/>
            <w:vMerge w:val="continue"/>
            <w:noWrap/>
            <w:vAlign w:val="center"/>
          </w:tcPr>
          <w:p w14:paraId="023F0D50">
            <w:pPr>
              <w:overflowPunct w:val="0"/>
              <w:jc w:val="center"/>
              <w:rPr>
                <w:rFonts w:ascii="Times New Roman" w:hAnsi="Times New Roman" w:cs="Times New Roman"/>
                <w:color w:val="auto"/>
                <w:sz w:val="21"/>
                <w:lang w:eastAsia="zh-CN"/>
              </w:rPr>
            </w:pPr>
          </w:p>
        </w:tc>
        <w:tc>
          <w:tcPr>
            <w:tcW w:w="203" w:type="pct"/>
            <w:vMerge w:val="continue"/>
            <w:noWrap/>
            <w:vAlign w:val="center"/>
          </w:tcPr>
          <w:p w14:paraId="47EE5515">
            <w:pPr>
              <w:overflowPunct w:val="0"/>
              <w:jc w:val="center"/>
              <w:rPr>
                <w:rFonts w:ascii="Times New Roman" w:hAnsi="Times New Roman" w:cs="Times New Roman"/>
                <w:color w:val="auto"/>
                <w:sz w:val="21"/>
                <w:lang w:eastAsia="zh-CN"/>
              </w:rPr>
            </w:pPr>
          </w:p>
        </w:tc>
      </w:tr>
      <w:tr w14:paraId="01FC1E4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461" w:type="pct"/>
            <w:gridSpan w:val="2"/>
            <w:vMerge w:val="continue"/>
            <w:vAlign w:val="center"/>
          </w:tcPr>
          <w:p w14:paraId="719DCCE4">
            <w:pPr>
              <w:overflowPunct w:val="0"/>
              <w:jc w:val="center"/>
              <w:rPr>
                <w:rFonts w:ascii="Times New Roman" w:hAnsi="Times New Roman" w:cs="Times New Roman"/>
                <w:color w:val="auto"/>
                <w:sz w:val="21"/>
                <w:lang w:eastAsia="zh-CN"/>
              </w:rPr>
            </w:pPr>
          </w:p>
        </w:tc>
        <w:tc>
          <w:tcPr>
            <w:tcW w:w="368" w:type="pct"/>
            <w:vAlign w:val="center"/>
          </w:tcPr>
          <w:p w14:paraId="4DCA3785">
            <w:pPr>
              <w:overflowPunct w:val="0"/>
              <w:jc w:val="center"/>
              <w:textAlignment w:val="center"/>
              <w:rPr>
                <w:rFonts w:ascii="Times New Roman" w:hAnsi="Times New Roman" w:cs="Times New Roman"/>
                <w:color w:val="auto"/>
                <w:sz w:val="21"/>
                <w:lang w:eastAsia="zh-CN"/>
              </w:rPr>
            </w:pPr>
          </w:p>
        </w:tc>
        <w:tc>
          <w:tcPr>
            <w:tcW w:w="276" w:type="pct"/>
            <w:vAlign w:val="center"/>
          </w:tcPr>
          <w:p w14:paraId="61C0CA59">
            <w:pPr>
              <w:overflowPunct w:val="0"/>
              <w:jc w:val="center"/>
              <w:textAlignment w:val="center"/>
              <w:rPr>
                <w:rFonts w:ascii="Times New Roman" w:hAnsi="Times New Roman" w:cs="Times New Roman"/>
                <w:color w:val="auto"/>
                <w:sz w:val="21"/>
                <w:lang w:eastAsia="zh-CN"/>
              </w:rPr>
            </w:pPr>
          </w:p>
        </w:tc>
        <w:tc>
          <w:tcPr>
            <w:tcW w:w="231" w:type="pct"/>
            <w:vMerge w:val="continue"/>
            <w:vAlign w:val="center"/>
          </w:tcPr>
          <w:p w14:paraId="3C1F9ACA">
            <w:pPr>
              <w:overflowPunct w:val="0"/>
              <w:jc w:val="center"/>
              <w:textAlignment w:val="center"/>
              <w:rPr>
                <w:rFonts w:ascii="Times New Roman" w:hAnsi="Times New Roman" w:cs="Times New Roman"/>
                <w:color w:val="auto"/>
                <w:sz w:val="21"/>
                <w:lang w:eastAsia="zh-CN" w:bidi="ar"/>
              </w:rPr>
            </w:pPr>
          </w:p>
        </w:tc>
        <w:tc>
          <w:tcPr>
            <w:tcW w:w="230" w:type="pct"/>
            <w:vMerge w:val="continue"/>
            <w:vAlign w:val="center"/>
          </w:tcPr>
          <w:p w14:paraId="238204C9">
            <w:pPr>
              <w:overflowPunct w:val="0"/>
              <w:jc w:val="center"/>
              <w:textAlignment w:val="center"/>
              <w:rPr>
                <w:rFonts w:ascii="Times New Roman" w:hAnsi="Times New Roman" w:cs="Times New Roman"/>
                <w:color w:val="auto"/>
                <w:sz w:val="21"/>
                <w:lang w:eastAsia="zh-CN" w:bidi="ar"/>
              </w:rPr>
            </w:pPr>
          </w:p>
        </w:tc>
        <w:tc>
          <w:tcPr>
            <w:tcW w:w="276" w:type="pct"/>
            <w:noWrap/>
            <w:vAlign w:val="center"/>
          </w:tcPr>
          <w:p w14:paraId="4DFE5ED9">
            <w:pPr>
              <w:overflowPunct w:val="0"/>
              <w:jc w:val="center"/>
              <w:textAlignment w:val="center"/>
              <w:rPr>
                <w:rFonts w:ascii="Times New Roman" w:hAnsi="Times New Roman" w:cs="Times New Roman"/>
                <w:color w:val="auto"/>
                <w:sz w:val="21"/>
                <w:lang w:eastAsia="zh-CN"/>
              </w:rPr>
            </w:pPr>
          </w:p>
        </w:tc>
        <w:tc>
          <w:tcPr>
            <w:tcW w:w="276" w:type="pct"/>
            <w:noWrap/>
            <w:vAlign w:val="center"/>
          </w:tcPr>
          <w:p w14:paraId="32897DC7">
            <w:pPr>
              <w:overflowPunct w:val="0"/>
              <w:jc w:val="center"/>
              <w:textAlignment w:val="center"/>
              <w:rPr>
                <w:rFonts w:ascii="Times New Roman" w:hAnsi="Times New Roman" w:cs="Times New Roman"/>
                <w:color w:val="auto"/>
                <w:sz w:val="21"/>
                <w:lang w:eastAsia="zh-CN"/>
              </w:rPr>
            </w:pPr>
          </w:p>
        </w:tc>
        <w:tc>
          <w:tcPr>
            <w:tcW w:w="276" w:type="pct"/>
            <w:vAlign w:val="center"/>
          </w:tcPr>
          <w:p w14:paraId="5FAB180D">
            <w:pPr>
              <w:overflowPunct w:val="0"/>
              <w:jc w:val="center"/>
              <w:textAlignment w:val="center"/>
              <w:rPr>
                <w:rFonts w:ascii="Times New Roman" w:hAnsi="Times New Roman" w:cs="Times New Roman"/>
                <w:bCs/>
                <w:color w:val="auto"/>
                <w:sz w:val="21"/>
                <w:lang w:eastAsia="zh-CN"/>
              </w:rPr>
            </w:pPr>
          </w:p>
        </w:tc>
        <w:tc>
          <w:tcPr>
            <w:tcW w:w="323" w:type="pct"/>
            <w:vMerge w:val="continue"/>
            <w:vAlign w:val="center"/>
          </w:tcPr>
          <w:p w14:paraId="41C6A5FB">
            <w:pPr>
              <w:overflowPunct w:val="0"/>
              <w:jc w:val="center"/>
              <w:rPr>
                <w:rFonts w:ascii="Times New Roman" w:hAnsi="Times New Roman" w:cs="Times New Roman"/>
                <w:color w:val="auto"/>
                <w:sz w:val="21"/>
                <w:lang w:eastAsia="zh-CN"/>
              </w:rPr>
            </w:pPr>
          </w:p>
        </w:tc>
        <w:tc>
          <w:tcPr>
            <w:tcW w:w="276" w:type="pct"/>
            <w:vMerge w:val="continue"/>
            <w:vAlign w:val="center"/>
          </w:tcPr>
          <w:p w14:paraId="7CDA604D">
            <w:pPr>
              <w:overflowPunct w:val="0"/>
              <w:jc w:val="center"/>
              <w:rPr>
                <w:rFonts w:ascii="Times New Roman" w:hAnsi="Times New Roman" w:cs="Times New Roman"/>
                <w:color w:val="auto"/>
                <w:sz w:val="21"/>
                <w:lang w:eastAsia="zh-CN"/>
              </w:rPr>
            </w:pPr>
          </w:p>
        </w:tc>
        <w:tc>
          <w:tcPr>
            <w:tcW w:w="276" w:type="pct"/>
            <w:vMerge w:val="continue"/>
            <w:vAlign w:val="center"/>
          </w:tcPr>
          <w:p w14:paraId="60AD6D2C">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78420CEB">
            <w:pPr>
              <w:overflowPunct w:val="0"/>
              <w:jc w:val="center"/>
              <w:rPr>
                <w:rFonts w:ascii="Times New Roman" w:hAnsi="Times New Roman" w:cs="Times New Roman"/>
                <w:color w:val="auto"/>
                <w:sz w:val="21"/>
                <w:lang w:eastAsia="zh-CN"/>
              </w:rPr>
            </w:pPr>
          </w:p>
        </w:tc>
        <w:tc>
          <w:tcPr>
            <w:tcW w:w="276" w:type="pct"/>
            <w:vMerge w:val="continue"/>
            <w:shd w:val="clear" w:color="auto" w:fill="FFFFFF"/>
            <w:vAlign w:val="center"/>
          </w:tcPr>
          <w:p w14:paraId="18F68EB5">
            <w:pPr>
              <w:overflowPunct w:val="0"/>
              <w:jc w:val="center"/>
              <w:rPr>
                <w:rFonts w:ascii="Times New Roman" w:hAnsi="Times New Roman" w:cs="Times New Roman"/>
                <w:color w:val="auto"/>
                <w:sz w:val="21"/>
                <w:lang w:eastAsia="zh-CN" w:bidi="ar"/>
              </w:rPr>
            </w:pPr>
          </w:p>
        </w:tc>
        <w:tc>
          <w:tcPr>
            <w:tcW w:w="277" w:type="pct"/>
            <w:vMerge w:val="continue"/>
            <w:noWrap/>
            <w:vAlign w:val="center"/>
          </w:tcPr>
          <w:p w14:paraId="45CD68A1">
            <w:pPr>
              <w:overflowPunct w:val="0"/>
              <w:jc w:val="center"/>
              <w:rPr>
                <w:rFonts w:ascii="Times New Roman" w:hAnsi="Times New Roman" w:cs="Times New Roman"/>
                <w:color w:val="auto"/>
                <w:sz w:val="21"/>
                <w:lang w:eastAsia="zh-CN" w:bidi="ar"/>
              </w:rPr>
            </w:pPr>
          </w:p>
        </w:tc>
        <w:tc>
          <w:tcPr>
            <w:tcW w:w="276" w:type="pct"/>
            <w:vMerge w:val="continue"/>
            <w:noWrap/>
            <w:vAlign w:val="center"/>
          </w:tcPr>
          <w:p w14:paraId="7433CF23">
            <w:pPr>
              <w:overflowPunct w:val="0"/>
              <w:jc w:val="center"/>
              <w:rPr>
                <w:rFonts w:ascii="Times New Roman" w:hAnsi="Times New Roman" w:cs="Times New Roman"/>
                <w:color w:val="auto"/>
                <w:sz w:val="21"/>
                <w:lang w:eastAsia="zh-CN"/>
              </w:rPr>
            </w:pPr>
          </w:p>
        </w:tc>
        <w:tc>
          <w:tcPr>
            <w:tcW w:w="280" w:type="pct"/>
            <w:vMerge w:val="continue"/>
            <w:noWrap/>
            <w:vAlign w:val="center"/>
          </w:tcPr>
          <w:p w14:paraId="029E6C14">
            <w:pPr>
              <w:overflowPunct w:val="0"/>
              <w:jc w:val="center"/>
              <w:rPr>
                <w:rFonts w:ascii="Times New Roman" w:hAnsi="Times New Roman" w:cs="Times New Roman"/>
                <w:color w:val="auto"/>
                <w:sz w:val="21"/>
                <w:lang w:eastAsia="zh-CN"/>
              </w:rPr>
            </w:pPr>
          </w:p>
        </w:tc>
        <w:tc>
          <w:tcPr>
            <w:tcW w:w="143" w:type="pct"/>
            <w:vMerge w:val="continue"/>
            <w:noWrap/>
            <w:vAlign w:val="center"/>
          </w:tcPr>
          <w:p w14:paraId="12A4E035">
            <w:pPr>
              <w:overflowPunct w:val="0"/>
              <w:jc w:val="center"/>
              <w:rPr>
                <w:rFonts w:ascii="Times New Roman" w:hAnsi="Times New Roman" w:cs="Times New Roman"/>
                <w:color w:val="auto"/>
                <w:sz w:val="21"/>
                <w:lang w:eastAsia="zh-CN"/>
              </w:rPr>
            </w:pPr>
          </w:p>
        </w:tc>
        <w:tc>
          <w:tcPr>
            <w:tcW w:w="203" w:type="pct"/>
            <w:vMerge w:val="continue"/>
            <w:noWrap/>
            <w:vAlign w:val="center"/>
          </w:tcPr>
          <w:p w14:paraId="5A3A19C9">
            <w:pPr>
              <w:overflowPunct w:val="0"/>
              <w:jc w:val="center"/>
              <w:rPr>
                <w:rFonts w:ascii="Times New Roman" w:hAnsi="Times New Roman" w:cs="Times New Roman"/>
                <w:color w:val="auto"/>
                <w:sz w:val="21"/>
                <w:lang w:eastAsia="zh-CN"/>
              </w:rPr>
            </w:pPr>
          </w:p>
        </w:tc>
      </w:tr>
    </w:tbl>
    <w:p w14:paraId="40220646">
      <w:pPr>
        <w:adjustRightInd w:val="0"/>
        <w:snapToGrid w:val="0"/>
        <w:ind w:firstLine="420"/>
        <w:jc w:val="both"/>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注：</w:t>
      </w:r>
      <w:r>
        <w:rPr>
          <w:rFonts w:hint="eastAsia" w:ascii="Times New Roman" w:hAnsi="Times New Roman" w:cs="Times New Roman"/>
          <w:b/>
          <w:bCs/>
          <w:color w:val="auto"/>
          <w:sz w:val="21"/>
          <w:lang w:eastAsia="zh-CN"/>
        </w:rPr>
        <w:t>1、电子级氢氟酸废气源强来源于《安徽氟瑞星化工有限公司年产4万吨电子级氢氟酸、4万吨化学纯氢氟酸及4.5万吨刻蚀液项目（一期工程）环境影响报告书》中数据。</w:t>
      </w:r>
    </w:p>
    <w:p w14:paraId="598A144E">
      <w:pPr>
        <w:pStyle w:val="42"/>
        <w:sectPr>
          <w:pgSz w:w="16838" w:h="11906" w:orient="landscape"/>
          <w:pgMar w:top="720" w:right="720" w:bottom="720" w:left="720" w:header="851" w:footer="992" w:gutter="0"/>
          <w:cols w:space="720" w:num="1"/>
          <w:docGrid w:type="lines" w:linePitch="326" w:charSpace="0"/>
        </w:sectPr>
      </w:pPr>
    </w:p>
    <w:bookmarkEnd w:id="847"/>
    <w:bookmarkEnd w:id="848"/>
    <w:p w14:paraId="3E4280AA">
      <w:pPr>
        <w:tabs>
          <w:tab w:val="left" w:pos="0"/>
        </w:tabs>
        <w:spacing w:line="360" w:lineRule="auto"/>
        <w:ind w:firstLine="468" w:firstLineChars="195"/>
        <w:jc w:val="both"/>
        <w:rPr>
          <w:rFonts w:ascii="Times New Roman" w:hAnsi="Times New Roman" w:cs="Times New Roman"/>
          <w:bCs/>
          <w:color w:val="auto"/>
          <w:lang w:eastAsia="zh-CN"/>
        </w:rPr>
      </w:pPr>
      <w:r>
        <w:rPr>
          <w:rFonts w:ascii="Times New Roman" w:hAnsi="Times New Roman" w:cs="Times New Roman"/>
          <w:bCs/>
          <w:color w:val="auto"/>
          <w:lang w:eastAsia="zh-CN"/>
        </w:rPr>
        <w:t>（</w:t>
      </w:r>
      <w:r>
        <w:rPr>
          <w:rFonts w:hint="eastAsia" w:ascii="Times New Roman" w:hAnsi="Times New Roman" w:cs="Times New Roman"/>
          <w:bCs/>
          <w:color w:val="auto"/>
          <w:lang w:eastAsia="zh-CN"/>
        </w:rPr>
        <w:t>4</w:t>
      </w:r>
      <w:r>
        <w:rPr>
          <w:rFonts w:ascii="Times New Roman" w:hAnsi="Times New Roman" w:cs="Times New Roman"/>
          <w:bCs/>
          <w:color w:val="auto"/>
          <w:lang w:eastAsia="zh-CN"/>
        </w:rPr>
        <w:t>）非正常工况废气排放源强</w:t>
      </w:r>
    </w:p>
    <w:p w14:paraId="184EC13E">
      <w:pPr>
        <w:spacing w:line="360" w:lineRule="auto"/>
        <w:ind w:firstLine="480" w:firstLineChars="200"/>
        <w:jc w:val="both"/>
        <w:rPr>
          <w:rFonts w:ascii="Times New Roman" w:hAnsi="Times New Roman" w:cs="Times New Roman"/>
          <w:bCs/>
          <w:color w:val="auto"/>
          <w:lang w:eastAsia="zh-CN"/>
        </w:rPr>
      </w:pPr>
      <w:r>
        <w:rPr>
          <w:rFonts w:ascii="Times New Roman" w:hAnsi="Times New Roman" w:cs="Times New Roman"/>
          <w:bCs/>
          <w:color w:val="auto"/>
          <w:lang w:eastAsia="zh-CN"/>
        </w:rPr>
        <w:t>本次评价主要考虑废气污染物排放的非正常工况，项目非正常工况主要包括：生产过程中开停车（工、炉）、设备检修、工艺设备运转异常等非正常工况下的污染物排放，以及污染物排放控制措施达不到应有效率等情况下的排放。</w:t>
      </w:r>
    </w:p>
    <w:p w14:paraId="205825F1">
      <w:pPr>
        <w:spacing w:line="360" w:lineRule="auto"/>
        <w:ind w:firstLine="480" w:firstLineChars="200"/>
        <w:jc w:val="both"/>
        <w:rPr>
          <w:rFonts w:ascii="Times New Roman" w:hAnsi="Times New Roman" w:cs="Times New Roman"/>
          <w:bCs/>
          <w:color w:val="auto"/>
          <w:lang w:eastAsia="zh-CN"/>
        </w:rPr>
      </w:pPr>
      <w:r>
        <w:rPr>
          <w:rFonts w:ascii="Times New Roman" w:hAnsi="Times New Roman" w:cs="Times New Roman"/>
          <w:bCs/>
          <w:color w:val="auto"/>
          <w:lang w:eastAsia="zh-CN"/>
        </w:rPr>
        <w:t>本评价考虑非正常工况分析如下：</w:t>
      </w:r>
    </w:p>
    <w:p w14:paraId="70B44DCA">
      <w:pPr>
        <w:spacing w:line="360" w:lineRule="auto"/>
        <w:ind w:firstLine="480" w:firstLineChars="200"/>
        <w:jc w:val="both"/>
        <w:rPr>
          <w:rFonts w:ascii="Times New Roman" w:hAnsi="Times New Roman" w:cs="Times New Roman"/>
          <w:bCs/>
          <w:color w:val="auto"/>
          <w:lang w:eastAsia="zh-CN"/>
        </w:rPr>
      </w:pPr>
      <w:r>
        <w:rPr>
          <w:rFonts w:ascii="宋体" w:hAnsi="宋体" w:cs="Cambria Math"/>
          <w:bCs/>
          <w:color w:val="auto"/>
          <w:lang w:eastAsia="zh-CN"/>
        </w:rPr>
        <w:t>①</w:t>
      </w:r>
      <w:r>
        <w:rPr>
          <w:rFonts w:ascii="Times New Roman" w:hAnsi="Times New Roman" w:cs="Times New Roman"/>
          <w:bCs/>
          <w:color w:val="auto"/>
          <w:lang w:eastAsia="zh-CN"/>
        </w:rPr>
        <w:t>开停车、设备检修</w:t>
      </w:r>
    </w:p>
    <w:p w14:paraId="501923E9">
      <w:pPr>
        <w:spacing w:line="360" w:lineRule="auto"/>
        <w:ind w:firstLine="480" w:firstLineChars="200"/>
        <w:jc w:val="both"/>
        <w:rPr>
          <w:rFonts w:ascii="Times New Roman" w:hAnsi="Times New Roman" w:cs="Times New Roman"/>
          <w:bCs/>
          <w:color w:val="auto"/>
          <w:lang w:eastAsia="zh-CN"/>
        </w:rPr>
      </w:pPr>
      <w:r>
        <w:rPr>
          <w:rFonts w:ascii="Times New Roman" w:hAnsi="Times New Roman" w:cs="Times New Roman"/>
          <w:bCs/>
          <w:color w:val="auto"/>
          <w:lang w:eastAsia="zh-CN"/>
        </w:rPr>
        <w:t>本项目的非正常工况主要为开停车及设备检修。化工生产装置稳定运行一定时间后都要安排设备的维护检修。所有部位都被采用以下控制方法进行清空：液相物料经管路输送到贮罐或者容器，部分设备用氮气置换处理，废气主要为氮气，少量污染物主要为</w:t>
      </w:r>
      <w:r>
        <w:rPr>
          <w:rFonts w:hint="eastAsia" w:ascii="Times New Roman" w:hAnsi="Times New Roman" w:cs="Times New Roman"/>
          <w:bCs/>
          <w:color w:val="auto"/>
          <w:lang w:eastAsia="zh-CN"/>
        </w:rPr>
        <w:t>氟化氢、氯化氢</w:t>
      </w:r>
      <w:r>
        <w:rPr>
          <w:rFonts w:ascii="Times New Roman" w:hAnsi="Times New Roman" w:cs="Times New Roman"/>
          <w:bCs/>
          <w:color w:val="auto"/>
          <w:lang w:eastAsia="zh-CN"/>
        </w:rPr>
        <w:t>，全部送废气治理设施处理后排放。</w:t>
      </w:r>
    </w:p>
    <w:p w14:paraId="6F838047">
      <w:pPr>
        <w:spacing w:line="360" w:lineRule="auto"/>
        <w:ind w:firstLine="480" w:firstLineChars="200"/>
        <w:jc w:val="both"/>
        <w:rPr>
          <w:rFonts w:ascii="Times New Roman" w:hAnsi="Times New Roman" w:cs="Times New Roman"/>
          <w:bCs/>
          <w:color w:val="auto"/>
          <w:lang w:eastAsia="zh-CN"/>
        </w:rPr>
      </w:pPr>
      <w:r>
        <w:rPr>
          <w:rFonts w:ascii="Times New Roman" w:hAnsi="Times New Roman" w:cs="Times New Roman"/>
          <w:bCs/>
          <w:color w:val="auto"/>
          <w:lang w:eastAsia="zh-CN"/>
        </w:rPr>
        <w:t>本项目置换废气量较小。系统开车时需要排放气体，由于各产品生产工艺流程是按顺序开车，少量的废气送到废气治理设施处理。</w:t>
      </w:r>
    </w:p>
    <w:p w14:paraId="22DD0D72">
      <w:pPr>
        <w:spacing w:line="360" w:lineRule="auto"/>
        <w:ind w:firstLine="480" w:firstLineChars="200"/>
        <w:jc w:val="both"/>
        <w:rPr>
          <w:rFonts w:ascii="Times New Roman" w:hAnsi="Times New Roman" w:cs="Times New Roman"/>
          <w:bCs/>
          <w:color w:val="auto"/>
          <w:lang w:eastAsia="zh-CN"/>
        </w:rPr>
      </w:pPr>
      <w:r>
        <w:rPr>
          <w:rFonts w:ascii="Times New Roman" w:hAnsi="Times New Roman" w:cs="Times New Roman"/>
          <w:bCs/>
          <w:color w:val="auto"/>
          <w:lang w:eastAsia="zh-CN"/>
        </w:rPr>
        <w:t>总体而言，开停车废气产生量较小，送废气治理设施处理后影响较正常开车时小。评价要求要求企业生产装置开车前先运行废气治理设施处理，停车后废气处理装置继续运行直至整个装置设备置换完成，开停车产生的废气全部纳入废气处理装置处理，严禁废气不经处理直接排放。</w:t>
      </w:r>
    </w:p>
    <w:p w14:paraId="15598663">
      <w:pPr>
        <w:spacing w:line="360" w:lineRule="auto"/>
        <w:ind w:firstLine="480" w:firstLineChars="200"/>
        <w:jc w:val="both"/>
        <w:rPr>
          <w:rFonts w:ascii="Times New Roman" w:hAnsi="Times New Roman" w:cs="Times New Roman"/>
          <w:bCs/>
          <w:color w:val="auto"/>
          <w:lang w:eastAsia="zh-CN"/>
        </w:rPr>
      </w:pPr>
      <w:r>
        <w:rPr>
          <w:rFonts w:ascii="宋体" w:hAnsi="宋体" w:cs="Cambria Math"/>
          <w:bCs/>
          <w:color w:val="auto"/>
          <w:lang w:eastAsia="zh-CN"/>
        </w:rPr>
        <w:t>②</w:t>
      </w:r>
      <w:r>
        <w:rPr>
          <w:rFonts w:ascii="Times New Roman" w:hAnsi="Times New Roman" w:cs="Times New Roman"/>
          <w:bCs/>
          <w:color w:val="auto"/>
          <w:lang w:eastAsia="zh-CN"/>
        </w:rPr>
        <w:t>废气处理效率降低</w:t>
      </w:r>
    </w:p>
    <w:p w14:paraId="268551BE">
      <w:pPr>
        <w:spacing w:line="360" w:lineRule="auto"/>
        <w:ind w:firstLine="480" w:firstLineChars="200"/>
        <w:jc w:val="both"/>
        <w:rPr>
          <w:rFonts w:ascii="Times New Roman" w:hAnsi="Times New Roman" w:cs="Times New Roman"/>
          <w:bCs/>
          <w:color w:val="auto"/>
          <w:lang w:eastAsia="zh-CN"/>
        </w:rPr>
      </w:pPr>
      <w:r>
        <w:rPr>
          <w:rFonts w:ascii="Times New Roman" w:hAnsi="Times New Roman" w:cs="Times New Roman"/>
          <w:bCs/>
          <w:color w:val="auto"/>
          <w:lang w:eastAsia="zh-CN"/>
        </w:rPr>
        <w:t>结合本项目设备清单表、主体生产工艺、相应污染防治措施，本次非正常工况情景主要设定为废气处理装置处理效率无法达到设计处理效率的情景，废气的处理效率降低至50%，30min得到解决。拟建项目非正常工况下的废气污染源强核算情况详见下表：</w:t>
      </w:r>
    </w:p>
    <w:p w14:paraId="639DAE54">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表4.3-</w:t>
      </w:r>
      <w:r>
        <w:rPr>
          <w:rFonts w:hint="eastAsia" w:ascii="Times New Roman" w:hAnsi="Times New Roman" w:cs="Times New Roman"/>
          <w:b/>
          <w:bCs/>
          <w:color w:val="auto"/>
          <w:lang w:eastAsia="zh-CN"/>
        </w:rPr>
        <w:t>8</w:t>
      </w:r>
      <w:r>
        <w:rPr>
          <w:rFonts w:ascii="Times New Roman" w:hAnsi="Times New Roman" w:cs="Times New Roman"/>
          <w:b/>
          <w:bCs/>
          <w:color w:val="auto"/>
          <w:lang w:eastAsia="zh-CN"/>
        </w:rPr>
        <w:t xml:space="preserve"> 非正常工况废气产生及排放情况</w:t>
      </w:r>
    </w:p>
    <w:tbl>
      <w:tblPr>
        <w:tblStyle w:val="35"/>
        <w:tblW w:w="4966"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942"/>
        <w:gridCol w:w="1042"/>
        <w:gridCol w:w="2268"/>
        <w:gridCol w:w="1135"/>
        <w:gridCol w:w="1228"/>
        <w:gridCol w:w="1057"/>
        <w:gridCol w:w="1125"/>
        <w:gridCol w:w="883"/>
      </w:tblGrid>
      <w:tr w14:paraId="1C1DAFF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87" w:type="pct"/>
            <w:vAlign w:val="center"/>
          </w:tcPr>
          <w:p w14:paraId="3335B138">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污染源</w:t>
            </w:r>
          </w:p>
        </w:tc>
        <w:tc>
          <w:tcPr>
            <w:tcW w:w="538" w:type="pct"/>
            <w:vAlign w:val="center"/>
          </w:tcPr>
          <w:p w14:paraId="2DDC8FFB">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污染物</w:t>
            </w:r>
          </w:p>
        </w:tc>
        <w:tc>
          <w:tcPr>
            <w:tcW w:w="1171" w:type="pct"/>
            <w:vAlign w:val="center"/>
          </w:tcPr>
          <w:p w14:paraId="018C5379">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处理</w:t>
            </w:r>
          </w:p>
          <w:p w14:paraId="7F6B00C6">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方式</w:t>
            </w:r>
          </w:p>
        </w:tc>
        <w:tc>
          <w:tcPr>
            <w:tcW w:w="586" w:type="pct"/>
            <w:vAlign w:val="center"/>
          </w:tcPr>
          <w:p w14:paraId="4709B87F">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排放速率</w:t>
            </w:r>
          </w:p>
          <w:p w14:paraId="5AF7BC39">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（kg/h）</w:t>
            </w:r>
          </w:p>
        </w:tc>
        <w:tc>
          <w:tcPr>
            <w:tcW w:w="634" w:type="pct"/>
            <w:vAlign w:val="center"/>
          </w:tcPr>
          <w:p w14:paraId="6CFCB99C">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排放浓度</w:t>
            </w:r>
          </w:p>
          <w:p w14:paraId="36698CE2">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（mg/m</w:t>
            </w:r>
            <w:r>
              <w:rPr>
                <w:rFonts w:ascii="Times New Roman" w:hAnsi="Times New Roman" w:cs="Times New Roman"/>
                <w:b/>
                <w:color w:val="auto"/>
                <w:sz w:val="21"/>
                <w:vertAlign w:val="superscript"/>
              </w:rPr>
              <w:t>3</w:t>
            </w:r>
            <w:r>
              <w:rPr>
                <w:rFonts w:ascii="Times New Roman" w:hAnsi="Times New Roman" w:cs="Times New Roman"/>
                <w:b/>
                <w:color w:val="auto"/>
                <w:sz w:val="21"/>
              </w:rPr>
              <w:t>）</w:t>
            </w:r>
          </w:p>
        </w:tc>
        <w:tc>
          <w:tcPr>
            <w:tcW w:w="546" w:type="pct"/>
            <w:vAlign w:val="center"/>
          </w:tcPr>
          <w:p w14:paraId="0A4E93A5">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废气量</w:t>
            </w:r>
          </w:p>
          <w:p w14:paraId="0382D6BE">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（m</w:t>
            </w:r>
            <w:r>
              <w:rPr>
                <w:rFonts w:ascii="Times New Roman" w:hAnsi="Times New Roman" w:cs="Times New Roman"/>
                <w:b/>
                <w:color w:val="auto"/>
                <w:sz w:val="21"/>
                <w:vertAlign w:val="superscript"/>
              </w:rPr>
              <w:t>3</w:t>
            </w:r>
            <w:r>
              <w:rPr>
                <w:rFonts w:ascii="Times New Roman" w:hAnsi="Times New Roman" w:cs="Times New Roman"/>
                <w:b/>
                <w:color w:val="auto"/>
                <w:sz w:val="21"/>
              </w:rPr>
              <w:t>/h）</w:t>
            </w:r>
          </w:p>
        </w:tc>
        <w:tc>
          <w:tcPr>
            <w:tcW w:w="581" w:type="pct"/>
            <w:vAlign w:val="center"/>
          </w:tcPr>
          <w:p w14:paraId="4D74FA89">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排放高度（m）</w:t>
            </w:r>
          </w:p>
        </w:tc>
        <w:tc>
          <w:tcPr>
            <w:tcW w:w="456" w:type="pct"/>
            <w:vAlign w:val="center"/>
          </w:tcPr>
          <w:p w14:paraId="1BBC2680">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单次持续时间/min</w:t>
            </w:r>
          </w:p>
        </w:tc>
      </w:tr>
      <w:tr w14:paraId="37C4B96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87" w:type="pct"/>
            <w:vMerge w:val="restart"/>
            <w:vAlign w:val="center"/>
          </w:tcPr>
          <w:p w14:paraId="39F4DB7E">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DA001</w:t>
            </w:r>
          </w:p>
        </w:tc>
        <w:tc>
          <w:tcPr>
            <w:tcW w:w="538" w:type="pct"/>
            <w:vAlign w:val="center"/>
          </w:tcPr>
          <w:p w14:paraId="01954A2B">
            <w:pPr>
              <w:adjustRightInd w:val="0"/>
              <w:snapToGrid w:val="0"/>
              <w:jc w:val="center"/>
              <w:rPr>
                <w:rFonts w:ascii="Times New Roman" w:hAnsi="Times New Roman" w:cs="Times New Roman"/>
                <w:color w:val="auto"/>
                <w:sz w:val="21"/>
              </w:rPr>
            </w:pPr>
          </w:p>
        </w:tc>
        <w:tc>
          <w:tcPr>
            <w:tcW w:w="1171" w:type="pct"/>
            <w:vMerge w:val="restart"/>
            <w:vAlign w:val="center"/>
          </w:tcPr>
          <w:p w14:paraId="574AFB7B">
            <w:pPr>
              <w:adjustRightInd w:val="0"/>
              <w:snapToGrid w:val="0"/>
              <w:jc w:val="center"/>
              <w:rPr>
                <w:rFonts w:ascii="Times New Roman" w:hAnsi="Times New Roman" w:cs="Times New Roman"/>
                <w:color w:val="auto"/>
                <w:sz w:val="21"/>
                <w:lang w:eastAsia="zh-CN"/>
              </w:rPr>
            </w:pPr>
          </w:p>
        </w:tc>
        <w:tc>
          <w:tcPr>
            <w:tcW w:w="586" w:type="pct"/>
            <w:vAlign w:val="center"/>
          </w:tcPr>
          <w:p w14:paraId="729E8FCC">
            <w:pPr>
              <w:adjustRightInd w:val="0"/>
              <w:snapToGrid w:val="0"/>
              <w:jc w:val="center"/>
              <w:textAlignment w:val="center"/>
              <w:rPr>
                <w:rFonts w:ascii="Times New Roman" w:hAnsi="Times New Roman" w:cs="Times New Roman"/>
                <w:color w:val="auto"/>
                <w:sz w:val="21"/>
                <w:lang w:eastAsia="zh-CN"/>
              </w:rPr>
            </w:pPr>
          </w:p>
        </w:tc>
        <w:tc>
          <w:tcPr>
            <w:tcW w:w="634" w:type="pct"/>
            <w:vAlign w:val="center"/>
          </w:tcPr>
          <w:p w14:paraId="47FF82EA">
            <w:pPr>
              <w:adjustRightInd w:val="0"/>
              <w:snapToGrid w:val="0"/>
              <w:jc w:val="center"/>
              <w:textAlignment w:val="center"/>
              <w:rPr>
                <w:rFonts w:ascii="Times New Roman" w:hAnsi="Times New Roman" w:cs="Times New Roman"/>
                <w:color w:val="auto"/>
                <w:sz w:val="21"/>
                <w:lang w:eastAsia="zh-CN"/>
              </w:rPr>
            </w:pPr>
          </w:p>
        </w:tc>
        <w:tc>
          <w:tcPr>
            <w:tcW w:w="546" w:type="pct"/>
            <w:vMerge w:val="restart"/>
            <w:vAlign w:val="center"/>
          </w:tcPr>
          <w:p w14:paraId="304E23F3">
            <w:pPr>
              <w:adjustRightInd w:val="0"/>
              <w:snapToGrid w:val="0"/>
              <w:jc w:val="center"/>
              <w:rPr>
                <w:rFonts w:ascii="Times New Roman" w:hAnsi="Times New Roman" w:cs="Times New Roman"/>
                <w:color w:val="auto"/>
                <w:sz w:val="21"/>
              </w:rPr>
            </w:pPr>
          </w:p>
        </w:tc>
        <w:tc>
          <w:tcPr>
            <w:tcW w:w="581" w:type="pct"/>
            <w:vMerge w:val="restart"/>
            <w:vAlign w:val="center"/>
          </w:tcPr>
          <w:p w14:paraId="40C5EC0E">
            <w:pPr>
              <w:adjustRightInd w:val="0"/>
              <w:snapToGrid w:val="0"/>
              <w:jc w:val="center"/>
              <w:rPr>
                <w:rFonts w:ascii="Times New Roman" w:hAnsi="Times New Roman" w:cs="Times New Roman"/>
                <w:color w:val="auto"/>
                <w:sz w:val="21"/>
                <w:lang w:eastAsia="zh-CN"/>
              </w:rPr>
            </w:pPr>
          </w:p>
        </w:tc>
        <w:tc>
          <w:tcPr>
            <w:tcW w:w="456" w:type="pct"/>
            <w:vMerge w:val="restart"/>
            <w:vAlign w:val="center"/>
          </w:tcPr>
          <w:p w14:paraId="03FDB992">
            <w:pPr>
              <w:adjustRightInd w:val="0"/>
              <w:snapToGrid w:val="0"/>
              <w:jc w:val="center"/>
              <w:rPr>
                <w:rFonts w:ascii="Times New Roman" w:hAnsi="Times New Roman" w:cs="Times New Roman"/>
                <w:color w:val="auto"/>
                <w:sz w:val="21"/>
              </w:rPr>
            </w:pPr>
          </w:p>
        </w:tc>
      </w:tr>
      <w:tr w14:paraId="52EE5FE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87" w:type="pct"/>
            <w:vMerge w:val="continue"/>
            <w:vAlign w:val="center"/>
          </w:tcPr>
          <w:p w14:paraId="11099A6F">
            <w:pPr>
              <w:adjustRightInd w:val="0"/>
              <w:snapToGrid w:val="0"/>
              <w:jc w:val="center"/>
              <w:rPr>
                <w:rFonts w:ascii="Times New Roman" w:hAnsi="Times New Roman" w:cs="Times New Roman"/>
                <w:color w:val="auto"/>
                <w:sz w:val="21"/>
                <w:lang w:eastAsia="zh-CN"/>
              </w:rPr>
            </w:pPr>
          </w:p>
        </w:tc>
        <w:tc>
          <w:tcPr>
            <w:tcW w:w="538" w:type="pct"/>
            <w:vAlign w:val="center"/>
          </w:tcPr>
          <w:p w14:paraId="38764B06">
            <w:pPr>
              <w:overflowPunct w:val="0"/>
              <w:jc w:val="center"/>
              <w:textAlignment w:val="center"/>
              <w:rPr>
                <w:rFonts w:ascii="Times New Roman" w:hAnsi="Times New Roman" w:cs="Times New Roman"/>
                <w:color w:val="auto"/>
                <w:sz w:val="21"/>
                <w:lang w:eastAsia="zh-CN" w:bidi="ar"/>
              </w:rPr>
            </w:pPr>
          </w:p>
        </w:tc>
        <w:tc>
          <w:tcPr>
            <w:tcW w:w="1171" w:type="pct"/>
            <w:vMerge w:val="continue"/>
            <w:vAlign w:val="center"/>
          </w:tcPr>
          <w:p w14:paraId="2D28EF96">
            <w:pPr>
              <w:adjustRightInd w:val="0"/>
              <w:snapToGrid w:val="0"/>
              <w:jc w:val="center"/>
              <w:rPr>
                <w:rFonts w:ascii="Times New Roman" w:hAnsi="Times New Roman" w:cs="Times New Roman"/>
                <w:color w:val="auto"/>
                <w:sz w:val="21"/>
                <w:lang w:eastAsia="zh-CN"/>
              </w:rPr>
            </w:pPr>
          </w:p>
        </w:tc>
        <w:tc>
          <w:tcPr>
            <w:tcW w:w="586" w:type="pct"/>
            <w:vAlign w:val="center"/>
          </w:tcPr>
          <w:p w14:paraId="167C0F22">
            <w:pPr>
              <w:adjustRightInd w:val="0"/>
              <w:snapToGrid w:val="0"/>
              <w:jc w:val="center"/>
              <w:textAlignment w:val="center"/>
              <w:rPr>
                <w:rFonts w:ascii="Times New Roman" w:hAnsi="Times New Roman" w:cs="Times New Roman"/>
                <w:color w:val="auto"/>
                <w:sz w:val="21"/>
                <w:lang w:eastAsia="zh-CN" w:bidi="ar"/>
              </w:rPr>
            </w:pPr>
          </w:p>
        </w:tc>
        <w:tc>
          <w:tcPr>
            <w:tcW w:w="634" w:type="pct"/>
            <w:vAlign w:val="center"/>
          </w:tcPr>
          <w:p w14:paraId="305D4353">
            <w:pPr>
              <w:adjustRightInd w:val="0"/>
              <w:snapToGrid w:val="0"/>
              <w:jc w:val="center"/>
              <w:textAlignment w:val="center"/>
              <w:rPr>
                <w:rFonts w:ascii="Times New Roman" w:hAnsi="Times New Roman" w:cs="Times New Roman"/>
                <w:color w:val="auto"/>
                <w:sz w:val="21"/>
                <w:lang w:eastAsia="zh-CN" w:bidi="ar"/>
              </w:rPr>
            </w:pPr>
          </w:p>
        </w:tc>
        <w:tc>
          <w:tcPr>
            <w:tcW w:w="546" w:type="pct"/>
            <w:vMerge w:val="continue"/>
            <w:vAlign w:val="center"/>
          </w:tcPr>
          <w:p w14:paraId="04EC94EF">
            <w:pPr>
              <w:adjustRightInd w:val="0"/>
              <w:snapToGrid w:val="0"/>
              <w:jc w:val="center"/>
              <w:rPr>
                <w:rFonts w:ascii="Times New Roman" w:hAnsi="Times New Roman" w:cs="Times New Roman"/>
                <w:color w:val="auto"/>
                <w:sz w:val="21"/>
                <w:lang w:eastAsia="zh-CN"/>
              </w:rPr>
            </w:pPr>
          </w:p>
        </w:tc>
        <w:tc>
          <w:tcPr>
            <w:tcW w:w="581" w:type="pct"/>
            <w:vMerge w:val="continue"/>
            <w:vAlign w:val="center"/>
          </w:tcPr>
          <w:p w14:paraId="031A36C5">
            <w:pPr>
              <w:adjustRightInd w:val="0"/>
              <w:snapToGrid w:val="0"/>
              <w:jc w:val="center"/>
              <w:rPr>
                <w:rFonts w:ascii="Times New Roman" w:hAnsi="Times New Roman" w:cs="Times New Roman"/>
                <w:color w:val="auto"/>
                <w:sz w:val="21"/>
                <w:lang w:eastAsia="zh-CN"/>
              </w:rPr>
            </w:pPr>
          </w:p>
        </w:tc>
        <w:tc>
          <w:tcPr>
            <w:tcW w:w="456" w:type="pct"/>
            <w:vMerge w:val="continue"/>
            <w:vAlign w:val="center"/>
          </w:tcPr>
          <w:p w14:paraId="1FB3E1E9">
            <w:pPr>
              <w:adjustRightInd w:val="0"/>
              <w:snapToGrid w:val="0"/>
              <w:jc w:val="center"/>
              <w:rPr>
                <w:rFonts w:ascii="Times New Roman" w:hAnsi="Times New Roman" w:cs="Times New Roman"/>
                <w:color w:val="auto"/>
                <w:sz w:val="21"/>
              </w:rPr>
            </w:pPr>
          </w:p>
        </w:tc>
      </w:tr>
    </w:tbl>
    <w:p w14:paraId="09CC7CDE">
      <w:pPr>
        <w:tabs>
          <w:tab w:val="left" w:pos="0"/>
        </w:tabs>
        <w:spacing w:line="360" w:lineRule="auto"/>
        <w:ind w:firstLine="468" w:firstLineChars="195"/>
        <w:rPr>
          <w:rFonts w:ascii="Times New Roman" w:hAnsi="Times New Roman" w:cs="Times New Roman"/>
          <w:bCs/>
          <w:color w:val="auto"/>
          <w:lang w:eastAsia="zh-CN"/>
        </w:rPr>
      </w:pPr>
      <w:bookmarkStart w:id="849" w:name="_Hlk174366717"/>
      <w:r>
        <w:rPr>
          <w:rFonts w:ascii="Times New Roman" w:hAnsi="Times New Roman" w:cs="Times New Roman"/>
          <w:bCs/>
          <w:color w:val="auto"/>
          <w:lang w:eastAsia="zh-CN"/>
        </w:rPr>
        <w:t>二、无组织排放废气源强</w:t>
      </w:r>
    </w:p>
    <w:p w14:paraId="6BD1AF7B">
      <w:pPr>
        <w:pStyle w:val="70"/>
        <w:jc w:val="both"/>
        <w:rPr>
          <w:rStyle w:val="94"/>
          <w:rFonts w:eastAsia="宋体" w:cs="Times New Roman"/>
          <w:color w:val="auto"/>
          <w:kern w:val="0"/>
          <w:szCs w:val="24"/>
        </w:rPr>
      </w:pPr>
      <w:r>
        <w:rPr>
          <w:rFonts w:hint="eastAsia" w:ascii="Times New Roman" w:hAnsi="Times New Roman" w:cs="Times New Roman"/>
          <w:color w:val="auto"/>
          <w:lang w:eastAsia="zh-CN"/>
        </w:rPr>
        <w:t>本项目无组织废气主要为</w:t>
      </w:r>
      <w:r>
        <w:rPr>
          <w:rFonts w:ascii="Times New Roman" w:hAnsi="Times New Roman" w:cs="Times New Roman"/>
          <w:color w:val="auto"/>
          <w:lang w:eastAsia="zh-CN"/>
        </w:rPr>
        <w:t>生产过程中车间</w:t>
      </w:r>
      <w:r>
        <w:rPr>
          <w:rFonts w:hint="eastAsia" w:ascii="Times New Roman" w:hAnsi="Times New Roman" w:cs="Times New Roman"/>
          <w:color w:val="auto"/>
          <w:lang w:eastAsia="zh-CN"/>
        </w:rPr>
        <w:t>灌装工序未收集的废气，</w:t>
      </w:r>
      <w:r>
        <w:rPr>
          <w:rFonts w:ascii="Times New Roman" w:hAnsi="Times New Roman" w:cs="Times New Roman"/>
          <w:color w:val="auto"/>
          <w:lang w:eastAsia="zh-CN"/>
        </w:rPr>
        <w:t>本项目无组织排放源强见下表。</w:t>
      </w:r>
    </w:p>
    <w:p w14:paraId="325CE225">
      <w:pPr>
        <w:pStyle w:val="70"/>
        <w:ind w:firstLine="0" w:firstLineChars="0"/>
        <w:jc w:val="center"/>
        <w:rPr>
          <w:rFonts w:ascii="Times New Roman" w:hAnsi="Times New Roman" w:cs="Times New Roman"/>
          <w:color w:val="auto"/>
          <w:lang w:eastAsia="zh-CN"/>
        </w:rPr>
      </w:pPr>
      <w:r>
        <w:rPr>
          <w:rStyle w:val="94"/>
          <w:rFonts w:eastAsia="宋体" w:cs="Times New Roman"/>
          <w:b/>
          <w:bCs/>
          <w:color w:val="auto"/>
        </w:rPr>
        <w:t>表4.3-</w:t>
      </w:r>
      <w:r>
        <w:rPr>
          <w:rStyle w:val="94"/>
          <w:rFonts w:hint="eastAsia" w:eastAsia="宋体" w:cs="Times New Roman"/>
          <w:b/>
          <w:bCs/>
          <w:color w:val="auto"/>
        </w:rPr>
        <w:t>9</w:t>
      </w:r>
      <w:r>
        <w:rPr>
          <w:rStyle w:val="94"/>
          <w:rFonts w:eastAsia="宋体" w:cs="Times New Roman"/>
          <w:b/>
          <w:bCs/>
          <w:color w:val="auto"/>
        </w:rPr>
        <w:t xml:space="preserve"> 项目无组织废气核算结果汇总一览表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61"/>
        <w:gridCol w:w="1193"/>
        <w:gridCol w:w="1390"/>
        <w:gridCol w:w="1511"/>
        <w:gridCol w:w="1329"/>
        <w:gridCol w:w="1327"/>
        <w:gridCol w:w="1635"/>
      </w:tblGrid>
      <w:tr w14:paraId="3E9952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698" w:type="pct"/>
            <w:vAlign w:val="center"/>
          </w:tcPr>
          <w:p w14:paraId="305C753E">
            <w:pPr>
              <w:jc w:val="center"/>
              <w:rPr>
                <w:rFonts w:ascii="Times New Roman" w:hAnsi="Times New Roman" w:cs="Times New Roman"/>
                <w:b/>
                <w:bCs/>
                <w:color w:val="auto"/>
                <w:sz w:val="21"/>
              </w:rPr>
            </w:pPr>
            <w:r>
              <w:rPr>
                <w:rFonts w:ascii="Times New Roman" w:hAnsi="Times New Roman" w:cs="Times New Roman"/>
                <w:b/>
                <w:bCs/>
                <w:color w:val="auto"/>
                <w:sz w:val="21"/>
                <w:lang w:eastAsia="zh-CN"/>
              </w:rPr>
              <w:t>类别</w:t>
            </w:r>
          </w:p>
        </w:tc>
        <w:tc>
          <w:tcPr>
            <w:tcW w:w="1325" w:type="pct"/>
            <w:gridSpan w:val="2"/>
            <w:vAlign w:val="center"/>
          </w:tcPr>
          <w:p w14:paraId="660A9028">
            <w:pPr>
              <w:jc w:val="center"/>
              <w:rPr>
                <w:rFonts w:ascii="Times New Roman" w:hAnsi="Times New Roman" w:cs="Times New Roman"/>
                <w:b/>
                <w:bCs/>
                <w:color w:val="auto"/>
                <w:sz w:val="21"/>
              </w:rPr>
            </w:pPr>
            <w:r>
              <w:rPr>
                <w:rFonts w:ascii="Times New Roman" w:hAnsi="Times New Roman" w:cs="Times New Roman"/>
                <w:b/>
                <w:bCs/>
                <w:color w:val="auto"/>
                <w:sz w:val="21"/>
              </w:rPr>
              <w:t>污染源</w:t>
            </w:r>
          </w:p>
        </w:tc>
        <w:tc>
          <w:tcPr>
            <w:tcW w:w="775" w:type="pct"/>
            <w:vAlign w:val="center"/>
          </w:tcPr>
          <w:p w14:paraId="3E49370F">
            <w:pPr>
              <w:jc w:val="center"/>
              <w:rPr>
                <w:rFonts w:ascii="Times New Roman" w:hAnsi="Times New Roman" w:cs="Times New Roman"/>
                <w:b/>
                <w:bCs/>
                <w:color w:val="auto"/>
                <w:sz w:val="21"/>
              </w:rPr>
            </w:pPr>
            <w:r>
              <w:rPr>
                <w:rFonts w:ascii="Times New Roman" w:hAnsi="Times New Roman" w:cs="Times New Roman"/>
                <w:b/>
                <w:bCs/>
                <w:color w:val="auto"/>
                <w:sz w:val="21"/>
              </w:rPr>
              <w:t>污染物</w:t>
            </w:r>
          </w:p>
        </w:tc>
        <w:tc>
          <w:tcPr>
            <w:tcW w:w="682" w:type="pct"/>
            <w:vAlign w:val="center"/>
          </w:tcPr>
          <w:p w14:paraId="19D1FCD7">
            <w:pPr>
              <w:jc w:val="center"/>
              <w:rPr>
                <w:rFonts w:ascii="Times New Roman" w:hAnsi="Times New Roman" w:cs="Times New Roman"/>
                <w:b/>
                <w:bCs/>
                <w:color w:val="auto"/>
                <w:sz w:val="21"/>
              </w:rPr>
            </w:pPr>
            <w:r>
              <w:rPr>
                <w:rFonts w:ascii="Times New Roman" w:hAnsi="Times New Roman" w:cs="Times New Roman"/>
                <w:b/>
                <w:bCs/>
                <w:color w:val="auto"/>
                <w:sz w:val="21"/>
              </w:rPr>
              <w:t>排放规律</w:t>
            </w:r>
          </w:p>
        </w:tc>
        <w:tc>
          <w:tcPr>
            <w:tcW w:w="681" w:type="pct"/>
            <w:vAlign w:val="center"/>
          </w:tcPr>
          <w:p w14:paraId="27DD7509">
            <w:pPr>
              <w:jc w:val="center"/>
              <w:rPr>
                <w:rFonts w:ascii="Times New Roman" w:hAnsi="Times New Roman" w:cs="Times New Roman"/>
                <w:b/>
                <w:bCs/>
                <w:color w:val="auto"/>
                <w:sz w:val="21"/>
              </w:rPr>
            </w:pPr>
            <w:r>
              <w:rPr>
                <w:rFonts w:ascii="Times New Roman" w:hAnsi="Times New Roman" w:cs="Times New Roman"/>
                <w:b/>
                <w:bCs/>
                <w:color w:val="auto"/>
                <w:sz w:val="21"/>
              </w:rPr>
              <w:t>排放量(t/a)</w:t>
            </w:r>
          </w:p>
        </w:tc>
        <w:tc>
          <w:tcPr>
            <w:tcW w:w="839" w:type="pct"/>
            <w:vAlign w:val="center"/>
          </w:tcPr>
          <w:p w14:paraId="75DFA532">
            <w:pPr>
              <w:jc w:val="center"/>
              <w:rPr>
                <w:rFonts w:ascii="Times New Roman" w:hAnsi="Times New Roman" w:cs="Times New Roman"/>
                <w:b/>
                <w:bCs/>
                <w:color w:val="auto"/>
                <w:sz w:val="21"/>
              </w:rPr>
            </w:pPr>
            <w:r>
              <w:rPr>
                <w:rFonts w:ascii="Times New Roman" w:hAnsi="Times New Roman" w:cs="Times New Roman"/>
                <w:b/>
                <w:bCs/>
                <w:color w:val="auto"/>
                <w:sz w:val="21"/>
              </w:rPr>
              <w:t>面源面积</w:t>
            </w:r>
          </w:p>
          <w:p w14:paraId="1FD16195">
            <w:pPr>
              <w:jc w:val="center"/>
              <w:rPr>
                <w:rFonts w:ascii="Times New Roman" w:hAnsi="Times New Roman" w:cs="Times New Roman"/>
                <w:b/>
                <w:bCs/>
                <w:color w:val="auto"/>
                <w:sz w:val="21"/>
              </w:rPr>
            </w:pPr>
            <w:r>
              <w:rPr>
                <w:rFonts w:ascii="Times New Roman" w:hAnsi="Times New Roman" w:cs="Times New Roman"/>
                <w:b/>
                <w:bCs/>
                <w:color w:val="auto"/>
                <w:sz w:val="21"/>
              </w:rPr>
              <w:t>（m</w:t>
            </w:r>
            <w:r>
              <w:rPr>
                <w:rFonts w:ascii="Times New Roman" w:hAnsi="Times New Roman" w:cs="Times New Roman"/>
                <w:b/>
                <w:bCs/>
                <w:color w:val="auto"/>
                <w:sz w:val="21"/>
                <w:vertAlign w:val="superscript"/>
              </w:rPr>
              <w:t>2</w:t>
            </w:r>
            <w:r>
              <w:rPr>
                <w:rFonts w:ascii="Times New Roman" w:hAnsi="Times New Roman" w:cs="Times New Roman"/>
                <w:b/>
                <w:bCs/>
                <w:color w:val="auto"/>
                <w:sz w:val="21"/>
              </w:rPr>
              <w:t>）</w:t>
            </w:r>
          </w:p>
        </w:tc>
      </w:tr>
      <w:tr w14:paraId="216D73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698" w:type="pct"/>
            <w:vAlign w:val="center"/>
          </w:tcPr>
          <w:p w14:paraId="1B0627AB">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综合</w:t>
            </w:r>
            <w:r>
              <w:rPr>
                <w:rFonts w:ascii="Times New Roman" w:hAnsi="Times New Roman" w:cs="Times New Roman"/>
                <w:color w:val="auto"/>
                <w:sz w:val="21"/>
              </w:rPr>
              <w:t>车间</w:t>
            </w:r>
          </w:p>
        </w:tc>
        <w:tc>
          <w:tcPr>
            <w:tcW w:w="612" w:type="pct"/>
            <w:vAlign w:val="center"/>
          </w:tcPr>
          <w:p w14:paraId="41CB52A4">
            <w:pPr>
              <w:jc w:val="center"/>
              <w:rPr>
                <w:rFonts w:ascii="Times New Roman" w:hAnsi="Times New Roman" w:cs="Times New Roman"/>
                <w:color w:val="auto"/>
                <w:sz w:val="21"/>
              </w:rPr>
            </w:pPr>
            <w:r>
              <w:rPr>
                <w:rFonts w:ascii="Times New Roman" w:hAnsi="Times New Roman" w:cs="Times New Roman"/>
                <w:color w:val="auto"/>
                <w:sz w:val="21"/>
                <w:lang w:eastAsia="zh-CN"/>
              </w:rPr>
              <w:t>车间未收集废气</w:t>
            </w:r>
          </w:p>
        </w:tc>
        <w:tc>
          <w:tcPr>
            <w:tcW w:w="713" w:type="pct"/>
            <w:vAlign w:val="center"/>
          </w:tcPr>
          <w:p w14:paraId="562C9D04">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灌装</w:t>
            </w:r>
            <w:r>
              <w:rPr>
                <w:rFonts w:ascii="Times New Roman" w:hAnsi="Times New Roman" w:cs="Times New Roman"/>
                <w:color w:val="auto"/>
                <w:sz w:val="21"/>
                <w:lang w:eastAsia="zh-CN"/>
              </w:rPr>
              <w:t>废气</w:t>
            </w:r>
          </w:p>
        </w:tc>
        <w:tc>
          <w:tcPr>
            <w:tcW w:w="775" w:type="pct"/>
            <w:vAlign w:val="center"/>
          </w:tcPr>
          <w:p w14:paraId="089090C0">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氟化氢</w:t>
            </w:r>
          </w:p>
        </w:tc>
        <w:tc>
          <w:tcPr>
            <w:tcW w:w="682" w:type="pct"/>
            <w:vAlign w:val="center"/>
          </w:tcPr>
          <w:p w14:paraId="2D0DD79D">
            <w:pPr>
              <w:jc w:val="center"/>
              <w:rPr>
                <w:rFonts w:ascii="Times New Roman" w:hAnsi="Times New Roman" w:cs="Times New Roman"/>
                <w:color w:val="auto"/>
                <w:sz w:val="21"/>
              </w:rPr>
            </w:pPr>
            <w:r>
              <w:rPr>
                <w:rFonts w:ascii="Times New Roman" w:hAnsi="Times New Roman" w:cs="Times New Roman"/>
                <w:color w:val="auto"/>
                <w:sz w:val="21"/>
              </w:rPr>
              <w:t>连续</w:t>
            </w:r>
          </w:p>
        </w:tc>
        <w:tc>
          <w:tcPr>
            <w:tcW w:w="681" w:type="pct"/>
            <w:vAlign w:val="center"/>
          </w:tcPr>
          <w:p w14:paraId="07156EEA">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0.033</w:t>
            </w:r>
          </w:p>
        </w:tc>
        <w:tc>
          <w:tcPr>
            <w:tcW w:w="839" w:type="pct"/>
            <w:vAlign w:val="center"/>
          </w:tcPr>
          <w:p w14:paraId="7E77D4AB">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62</w:t>
            </w:r>
            <w:r>
              <w:rPr>
                <w:rFonts w:ascii="Times New Roman" w:hAnsi="Times New Roman" w:cs="Times New Roman"/>
                <w:color w:val="auto"/>
                <w:sz w:val="21"/>
                <w:lang w:eastAsia="zh-CN"/>
              </w:rPr>
              <w:t>m×</w:t>
            </w:r>
            <w:r>
              <w:rPr>
                <w:rFonts w:hint="eastAsia" w:ascii="Times New Roman" w:hAnsi="Times New Roman" w:cs="Times New Roman"/>
                <w:color w:val="auto"/>
                <w:sz w:val="21"/>
                <w:lang w:eastAsia="zh-CN"/>
              </w:rPr>
              <w:t>31</w:t>
            </w:r>
            <w:r>
              <w:rPr>
                <w:rFonts w:ascii="Times New Roman" w:hAnsi="Times New Roman" w:cs="Times New Roman"/>
                <w:color w:val="auto"/>
                <w:sz w:val="21"/>
                <w:lang w:eastAsia="zh-CN"/>
              </w:rPr>
              <w:t>m</w:t>
            </w:r>
          </w:p>
          <w:p w14:paraId="08B1A0AB">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23.65</w:t>
            </w:r>
            <w:r>
              <w:rPr>
                <w:rFonts w:ascii="Times New Roman" w:hAnsi="Times New Roman" w:cs="Times New Roman"/>
                <w:color w:val="auto"/>
                <w:sz w:val="21"/>
                <w:lang w:eastAsia="zh-CN"/>
              </w:rPr>
              <w:t>m</w:t>
            </w:r>
          </w:p>
        </w:tc>
      </w:tr>
      <w:bookmarkEnd w:id="849"/>
    </w:tbl>
    <w:p w14:paraId="0AC6A41F">
      <w:pPr>
        <w:tabs>
          <w:tab w:val="left" w:pos="0"/>
        </w:tabs>
        <w:spacing w:line="360" w:lineRule="auto"/>
        <w:ind w:firstLine="468" w:firstLineChars="195"/>
        <w:rPr>
          <w:rFonts w:ascii="Times New Roman" w:hAnsi="Times New Roman" w:cs="Times New Roman"/>
          <w:bCs/>
          <w:color w:val="auto"/>
          <w:lang w:eastAsia="zh-CN"/>
        </w:rPr>
      </w:pPr>
      <w:r>
        <w:rPr>
          <w:rFonts w:ascii="Times New Roman" w:hAnsi="Times New Roman" w:cs="Times New Roman"/>
          <w:bCs/>
          <w:color w:val="auto"/>
          <w:lang w:eastAsia="zh-CN"/>
        </w:rPr>
        <w:t>三、交通运输移动废气污染源</w:t>
      </w:r>
    </w:p>
    <w:p w14:paraId="0192FAAE">
      <w:pPr>
        <w:spacing w:line="360" w:lineRule="auto"/>
        <w:ind w:firstLine="480" w:firstLineChars="200"/>
        <w:jc w:val="both"/>
        <w:rPr>
          <w:rFonts w:ascii="Times New Roman" w:hAnsi="Times New Roman" w:cs="Times New Roman"/>
          <w:bCs/>
          <w:color w:val="auto"/>
          <w:lang w:eastAsia="zh-CN"/>
        </w:rPr>
      </w:pPr>
      <w:r>
        <w:rPr>
          <w:rFonts w:ascii="Times New Roman" w:hAnsi="Times New Roman" w:cs="Times New Roman"/>
          <w:bCs/>
          <w:color w:val="auto"/>
          <w:lang w:eastAsia="zh-CN"/>
        </w:rPr>
        <w:t>本项目建成后产生的交通尾气主要来自车辆进出项目场地时排放的汽车尾气。汽车尾气排放的污染物主要是CO、NOx。汽车在进出项目场地时是低速行驶，启动是冷启动，因此污染物排放量较平时大，对周边的环境空气有一定影响。本次评价采用的汽车污染物排放系数主要依据《轻型汽车污染物排放限值及测量方法（中国Ⅲ、Ⅳ阶段）》（GB18352.3-2005）、《车用压燃式、汽车燃料点燃式发动机及汽车排气污染物排放限值及测量方法（中国Ⅲ、Ⅳ、Ⅴ阶段）》（GB17691-2005）、《轻型汽车污染物排放限值及测量方法（中国第五阶段）》（GB18352.5-2013）以及《轻型汽车污染物排放限值及测量方法（中国第六阶段）》（GB18352.6-2016）的相关规定来确定。由于无法详细区分柴油、汽油车辆以及点燃、非直喷、直喷等发电机车辆，均采用平均数据。据此计量各阶段（Ⅲ、Ⅳ、Ⅴ、Ⅵ阶段）单车NOx及CO的排放平均限值见下表。</w:t>
      </w:r>
    </w:p>
    <w:p w14:paraId="7EA78846">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表4.3-1</w:t>
      </w:r>
      <w:r>
        <w:rPr>
          <w:rFonts w:hint="eastAsia" w:ascii="Times New Roman" w:hAnsi="Times New Roman" w:cs="Times New Roman"/>
          <w:b/>
          <w:bCs/>
          <w:color w:val="auto"/>
          <w:lang w:eastAsia="zh-CN"/>
        </w:rPr>
        <w:t>0</w:t>
      </w:r>
      <w:r>
        <w:rPr>
          <w:rFonts w:ascii="Times New Roman" w:hAnsi="Times New Roman" w:cs="Times New Roman"/>
          <w:b/>
          <w:bCs/>
          <w:color w:val="auto"/>
          <w:lang w:eastAsia="zh-CN"/>
        </w:rPr>
        <w:t xml:space="preserve"> 机动车运行时污染物排放系数   单位：g/辆·km</w:t>
      </w:r>
    </w:p>
    <w:tbl>
      <w:tblPr>
        <w:tblStyle w:val="35"/>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117"/>
        <w:gridCol w:w="1197"/>
        <w:gridCol w:w="1064"/>
        <w:gridCol w:w="1060"/>
        <w:gridCol w:w="1064"/>
        <w:gridCol w:w="1060"/>
        <w:gridCol w:w="1064"/>
        <w:gridCol w:w="1063"/>
        <w:gridCol w:w="1057"/>
      </w:tblGrid>
      <w:tr w14:paraId="100339F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573" w:type="pct"/>
            <w:vMerge w:val="restart"/>
            <w:vAlign w:val="center"/>
          </w:tcPr>
          <w:p w14:paraId="7C23E5EE">
            <w:pPr>
              <w:adjustRightInd w:val="0"/>
              <w:snapToGrid w:val="0"/>
              <w:jc w:val="center"/>
              <w:rPr>
                <w:rFonts w:ascii="Times New Roman" w:hAnsi="Times New Roman" w:cs="Times New Roman"/>
                <w:b/>
                <w:color w:val="auto"/>
                <w:sz w:val="21"/>
                <w:szCs w:val="18"/>
              </w:rPr>
            </w:pPr>
            <w:r>
              <w:rPr>
                <w:rFonts w:ascii="Times New Roman" w:hAnsi="Times New Roman" w:cs="Times New Roman"/>
                <w:b/>
                <w:color w:val="auto"/>
                <w:sz w:val="21"/>
                <w:szCs w:val="18"/>
              </w:rPr>
              <w:t>车型</w:t>
            </w:r>
          </w:p>
        </w:tc>
        <w:tc>
          <w:tcPr>
            <w:tcW w:w="1159" w:type="pct"/>
            <w:gridSpan w:val="2"/>
            <w:vAlign w:val="center"/>
          </w:tcPr>
          <w:p w14:paraId="0838D4A0">
            <w:pPr>
              <w:adjustRightInd w:val="0"/>
              <w:snapToGrid w:val="0"/>
              <w:jc w:val="center"/>
              <w:rPr>
                <w:rFonts w:ascii="Times New Roman" w:hAnsi="Times New Roman" w:cs="Times New Roman"/>
                <w:b/>
                <w:color w:val="auto"/>
                <w:sz w:val="21"/>
                <w:szCs w:val="18"/>
              </w:rPr>
            </w:pPr>
            <w:r>
              <w:rPr>
                <w:rFonts w:ascii="Times New Roman" w:hAnsi="Times New Roman" w:cs="Times New Roman"/>
                <w:b/>
                <w:color w:val="auto"/>
                <w:sz w:val="21"/>
                <w:szCs w:val="18"/>
              </w:rPr>
              <w:t>Ⅲ阶段标准（平均）</w:t>
            </w:r>
          </w:p>
        </w:tc>
        <w:tc>
          <w:tcPr>
            <w:tcW w:w="1090" w:type="pct"/>
            <w:gridSpan w:val="2"/>
            <w:vAlign w:val="center"/>
          </w:tcPr>
          <w:p w14:paraId="0741A6AA">
            <w:pPr>
              <w:adjustRightInd w:val="0"/>
              <w:snapToGrid w:val="0"/>
              <w:jc w:val="center"/>
              <w:rPr>
                <w:rFonts w:ascii="Times New Roman" w:hAnsi="Times New Roman" w:cs="Times New Roman"/>
                <w:b/>
                <w:color w:val="auto"/>
                <w:sz w:val="21"/>
                <w:szCs w:val="18"/>
              </w:rPr>
            </w:pPr>
            <w:r>
              <w:rPr>
                <w:rFonts w:ascii="Times New Roman" w:hAnsi="Times New Roman" w:cs="Times New Roman"/>
                <w:b/>
                <w:color w:val="auto"/>
                <w:sz w:val="21"/>
                <w:szCs w:val="18"/>
              </w:rPr>
              <w:t>Ⅳ阶段标准</w:t>
            </w:r>
          </w:p>
          <w:p w14:paraId="7CA3857F">
            <w:pPr>
              <w:adjustRightInd w:val="0"/>
              <w:snapToGrid w:val="0"/>
              <w:jc w:val="center"/>
              <w:rPr>
                <w:rFonts w:ascii="Times New Roman" w:hAnsi="Times New Roman" w:cs="Times New Roman"/>
                <w:b/>
                <w:color w:val="auto"/>
                <w:sz w:val="21"/>
                <w:szCs w:val="18"/>
              </w:rPr>
            </w:pPr>
            <w:r>
              <w:rPr>
                <w:rFonts w:ascii="Times New Roman" w:hAnsi="Times New Roman" w:cs="Times New Roman"/>
                <w:b/>
                <w:color w:val="auto"/>
                <w:sz w:val="21"/>
                <w:szCs w:val="18"/>
              </w:rPr>
              <w:t>（平均）</w:t>
            </w:r>
          </w:p>
        </w:tc>
        <w:tc>
          <w:tcPr>
            <w:tcW w:w="1090" w:type="pct"/>
            <w:gridSpan w:val="2"/>
            <w:vAlign w:val="center"/>
          </w:tcPr>
          <w:p w14:paraId="28454CC1">
            <w:pPr>
              <w:adjustRightInd w:val="0"/>
              <w:snapToGrid w:val="0"/>
              <w:jc w:val="center"/>
              <w:rPr>
                <w:rFonts w:ascii="Times New Roman" w:hAnsi="Times New Roman" w:cs="Times New Roman"/>
                <w:b/>
                <w:color w:val="auto"/>
                <w:sz w:val="21"/>
                <w:szCs w:val="18"/>
              </w:rPr>
            </w:pPr>
            <w:r>
              <w:rPr>
                <w:rFonts w:ascii="Times New Roman" w:hAnsi="Times New Roman" w:cs="Times New Roman"/>
                <w:b/>
                <w:color w:val="auto"/>
                <w:sz w:val="21"/>
                <w:szCs w:val="18"/>
              </w:rPr>
              <w:t>Ⅴ阶段标准</w:t>
            </w:r>
          </w:p>
          <w:p w14:paraId="059E4615">
            <w:pPr>
              <w:adjustRightInd w:val="0"/>
              <w:snapToGrid w:val="0"/>
              <w:jc w:val="center"/>
              <w:rPr>
                <w:rFonts w:ascii="Times New Roman" w:hAnsi="Times New Roman" w:cs="Times New Roman"/>
                <w:b/>
                <w:color w:val="auto"/>
                <w:sz w:val="21"/>
                <w:szCs w:val="18"/>
              </w:rPr>
            </w:pPr>
            <w:r>
              <w:rPr>
                <w:rFonts w:ascii="Times New Roman" w:hAnsi="Times New Roman" w:cs="Times New Roman"/>
                <w:b/>
                <w:color w:val="auto"/>
                <w:sz w:val="21"/>
                <w:szCs w:val="18"/>
              </w:rPr>
              <w:t>（平均）</w:t>
            </w:r>
          </w:p>
        </w:tc>
        <w:tc>
          <w:tcPr>
            <w:tcW w:w="1089" w:type="pct"/>
            <w:gridSpan w:val="2"/>
          </w:tcPr>
          <w:p w14:paraId="23F34F6C">
            <w:pPr>
              <w:adjustRightInd w:val="0"/>
              <w:snapToGrid w:val="0"/>
              <w:jc w:val="center"/>
              <w:rPr>
                <w:rFonts w:ascii="Times New Roman" w:hAnsi="Times New Roman" w:cs="Times New Roman"/>
                <w:b/>
                <w:color w:val="auto"/>
                <w:sz w:val="21"/>
                <w:szCs w:val="18"/>
              </w:rPr>
            </w:pPr>
            <w:r>
              <w:rPr>
                <w:rFonts w:ascii="Times New Roman" w:hAnsi="Times New Roman" w:cs="Times New Roman"/>
                <w:b/>
                <w:bCs/>
                <w:color w:val="auto"/>
                <w:sz w:val="21"/>
                <w:szCs w:val="18"/>
              </w:rPr>
              <w:t>Ⅵ</w:t>
            </w:r>
            <w:r>
              <w:rPr>
                <w:rFonts w:ascii="Times New Roman" w:hAnsi="Times New Roman" w:cs="Times New Roman"/>
                <w:b/>
                <w:color w:val="auto"/>
                <w:sz w:val="21"/>
                <w:szCs w:val="18"/>
              </w:rPr>
              <w:t>阶段标准</w:t>
            </w:r>
          </w:p>
          <w:p w14:paraId="483ABA20">
            <w:pPr>
              <w:adjustRightInd w:val="0"/>
              <w:snapToGrid w:val="0"/>
              <w:jc w:val="center"/>
              <w:rPr>
                <w:rFonts w:ascii="Times New Roman" w:hAnsi="Times New Roman" w:cs="Times New Roman"/>
                <w:b/>
                <w:color w:val="auto"/>
                <w:sz w:val="21"/>
                <w:szCs w:val="18"/>
              </w:rPr>
            </w:pPr>
            <w:r>
              <w:rPr>
                <w:rFonts w:ascii="Times New Roman" w:hAnsi="Times New Roman" w:cs="Times New Roman"/>
                <w:b/>
                <w:color w:val="auto"/>
                <w:sz w:val="21"/>
                <w:szCs w:val="18"/>
              </w:rPr>
              <w:t>（平均）</w:t>
            </w:r>
          </w:p>
        </w:tc>
      </w:tr>
      <w:tr w14:paraId="08E178D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573" w:type="pct"/>
            <w:vMerge w:val="continue"/>
            <w:vAlign w:val="center"/>
          </w:tcPr>
          <w:p w14:paraId="66D27DA2">
            <w:pPr>
              <w:adjustRightInd w:val="0"/>
              <w:snapToGrid w:val="0"/>
              <w:jc w:val="center"/>
              <w:rPr>
                <w:rFonts w:ascii="Times New Roman" w:hAnsi="Times New Roman" w:cs="Times New Roman"/>
                <w:b/>
                <w:color w:val="auto"/>
                <w:sz w:val="21"/>
                <w:szCs w:val="18"/>
              </w:rPr>
            </w:pPr>
          </w:p>
        </w:tc>
        <w:tc>
          <w:tcPr>
            <w:tcW w:w="614" w:type="pct"/>
            <w:vAlign w:val="center"/>
          </w:tcPr>
          <w:p w14:paraId="342A9AB3">
            <w:pPr>
              <w:adjustRightInd w:val="0"/>
              <w:snapToGrid w:val="0"/>
              <w:jc w:val="center"/>
              <w:rPr>
                <w:rFonts w:ascii="Times New Roman" w:hAnsi="Times New Roman" w:cs="Times New Roman"/>
                <w:b/>
                <w:color w:val="auto"/>
                <w:sz w:val="21"/>
                <w:szCs w:val="18"/>
              </w:rPr>
            </w:pPr>
            <w:r>
              <w:rPr>
                <w:rFonts w:ascii="Times New Roman" w:hAnsi="Times New Roman" w:cs="Times New Roman"/>
                <w:b/>
                <w:color w:val="auto"/>
                <w:sz w:val="21"/>
                <w:szCs w:val="18"/>
              </w:rPr>
              <w:t>CO</w:t>
            </w:r>
          </w:p>
        </w:tc>
        <w:tc>
          <w:tcPr>
            <w:tcW w:w="546" w:type="pct"/>
            <w:vAlign w:val="center"/>
          </w:tcPr>
          <w:p w14:paraId="617D9F9D">
            <w:pPr>
              <w:adjustRightInd w:val="0"/>
              <w:snapToGrid w:val="0"/>
              <w:jc w:val="center"/>
              <w:rPr>
                <w:rFonts w:ascii="Times New Roman" w:hAnsi="Times New Roman" w:cs="Times New Roman"/>
                <w:b/>
                <w:color w:val="auto"/>
                <w:sz w:val="21"/>
                <w:szCs w:val="18"/>
              </w:rPr>
            </w:pPr>
            <w:r>
              <w:rPr>
                <w:rFonts w:ascii="Times New Roman" w:hAnsi="Times New Roman" w:cs="Times New Roman"/>
                <w:b/>
                <w:color w:val="auto"/>
                <w:sz w:val="21"/>
                <w:szCs w:val="18"/>
              </w:rPr>
              <w:t>NOx</w:t>
            </w:r>
          </w:p>
        </w:tc>
        <w:tc>
          <w:tcPr>
            <w:tcW w:w="544" w:type="pct"/>
            <w:vAlign w:val="center"/>
          </w:tcPr>
          <w:p w14:paraId="2B613B07">
            <w:pPr>
              <w:adjustRightInd w:val="0"/>
              <w:snapToGrid w:val="0"/>
              <w:jc w:val="center"/>
              <w:rPr>
                <w:rFonts w:ascii="Times New Roman" w:hAnsi="Times New Roman" w:cs="Times New Roman"/>
                <w:b/>
                <w:color w:val="auto"/>
                <w:sz w:val="21"/>
                <w:szCs w:val="18"/>
              </w:rPr>
            </w:pPr>
            <w:r>
              <w:rPr>
                <w:rFonts w:ascii="Times New Roman" w:hAnsi="Times New Roman" w:cs="Times New Roman"/>
                <w:b/>
                <w:color w:val="auto"/>
                <w:sz w:val="21"/>
                <w:szCs w:val="18"/>
              </w:rPr>
              <w:t>CO</w:t>
            </w:r>
          </w:p>
        </w:tc>
        <w:tc>
          <w:tcPr>
            <w:tcW w:w="546" w:type="pct"/>
            <w:vAlign w:val="center"/>
          </w:tcPr>
          <w:p w14:paraId="4C225216">
            <w:pPr>
              <w:adjustRightInd w:val="0"/>
              <w:snapToGrid w:val="0"/>
              <w:jc w:val="center"/>
              <w:rPr>
                <w:rFonts w:ascii="Times New Roman" w:hAnsi="Times New Roman" w:cs="Times New Roman"/>
                <w:b/>
                <w:color w:val="auto"/>
                <w:sz w:val="21"/>
                <w:szCs w:val="18"/>
              </w:rPr>
            </w:pPr>
            <w:r>
              <w:rPr>
                <w:rFonts w:ascii="Times New Roman" w:hAnsi="Times New Roman" w:cs="Times New Roman"/>
                <w:b/>
                <w:color w:val="auto"/>
                <w:sz w:val="21"/>
                <w:szCs w:val="18"/>
              </w:rPr>
              <w:t>NOx</w:t>
            </w:r>
          </w:p>
        </w:tc>
        <w:tc>
          <w:tcPr>
            <w:tcW w:w="544" w:type="pct"/>
            <w:vAlign w:val="center"/>
          </w:tcPr>
          <w:p w14:paraId="5BB3E7F6">
            <w:pPr>
              <w:adjustRightInd w:val="0"/>
              <w:snapToGrid w:val="0"/>
              <w:jc w:val="center"/>
              <w:rPr>
                <w:rFonts w:ascii="Times New Roman" w:hAnsi="Times New Roman" w:cs="Times New Roman"/>
                <w:b/>
                <w:color w:val="auto"/>
                <w:sz w:val="21"/>
                <w:szCs w:val="18"/>
              </w:rPr>
            </w:pPr>
            <w:r>
              <w:rPr>
                <w:rFonts w:ascii="Times New Roman" w:hAnsi="Times New Roman" w:cs="Times New Roman"/>
                <w:b/>
                <w:color w:val="auto"/>
                <w:sz w:val="21"/>
                <w:szCs w:val="18"/>
              </w:rPr>
              <w:t>CO</w:t>
            </w:r>
          </w:p>
        </w:tc>
        <w:tc>
          <w:tcPr>
            <w:tcW w:w="546" w:type="pct"/>
            <w:vAlign w:val="center"/>
          </w:tcPr>
          <w:p w14:paraId="1FD6BDA2">
            <w:pPr>
              <w:adjustRightInd w:val="0"/>
              <w:snapToGrid w:val="0"/>
              <w:jc w:val="center"/>
              <w:rPr>
                <w:rFonts w:ascii="Times New Roman" w:hAnsi="Times New Roman" w:cs="Times New Roman"/>
                <w:b/>
                <w:color w:val="auto"/>
                <w:sz w:val="21"/>
                <w:szCs w:val="18"/>
              </w:rPr>
            </w:pPr>
            <w:r>
              <w:rPr>
                <w:rFonts w:ascii="Times New Roman" w:hAnsi="Times New Roman" w:cs="Times New Roman"/>
                <w:b/>
                <w:color w:val="auto"/>
                <w:sz w:val="21"/>
                <w:szCs w:val="18"/>
              </w:rPr>
              <w:t>NOx</w:t>
            </w:r>
          </w:p>
        </w:tc>
        <w:tc>
          <w:tcPr>
            <w:tcW w:w="545" w:type="pct"/>
            <w:vAlign w:val="center"/>
          </w:tcPr>
          <w:p w14:paraId="0C35AD99">
            <w:pPr>
              <w:adjustRightInd w:val="0"/>
              <w:snapToGrid w:val="0"/>
              <w:jc w:val="center"/>
              <w:rPr>
                <w:rFonts w:ascii="Times New Roman" w:hAnsi="Times New Roman" w:cs="Times New Roman"/>
                <w:b/>
                <w:color w:val="auto"/>
                <w:sz w:val="21"/>
                <w:szCs w:val="18"/>
              </w:rPr>
            </w:pPr>
            <w:r>
              <w:rPr>
                <w:rFonts w:ascii="Times New Roman" w:hAnsi="Times New Roman" w:cs="Times New Roman"/>
                <w:b/>
                <w:color w:val="auto"/>
                <w:sz w:val="21"/>
                <w:szCs w:val="18"/>
              </w:rPr>
              <w:t>CO</w:t>
            </w:r>
          </w:p>
        </w:tc>
        <w:tc>
          <w:tcPr>
            <w:tcW w:w="544" w:type="pct"/>
            <w:vAlign w:val="center"/>
          </w:tcPr>
          <w:p w14:paraId="02516D79">
            <w:pPr>
              <w:adjustRightInd w:val="0"/>
              <w:snapToGrid w:val="0"/>
              <w:jc w:val="center"/>
              <w:rPr>
                <w:rFonts w:ascii="Times New Roman" w:hAnsi="Times New Roman" w:cs="Times New Roman"/>
                <w:b/>
                <w:color w:val="auto"/>
                <w:sz w:val="21"/>
                <w:szCs w:val="18"/>
              </w:rPr>
            </w:pPr>
            <w:r>
              <w:rPr>
                <w:rFonts w:ascii="Times New Roman" w:hAnsi="Times New Roman" w:cs="Times New Roman"/>
                <w:b/>
                <w:color w:val="auto"/>
                <w:sz w:val="21"/>
                <w:szCs w:val="18"/>
              </w:rPr>
              <w:t>NOx</w:t>
            </w:r>
          </w:p>
        </w:tc>
      </w:tr>
      <w:tr w14:paraId="357C113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573" w:type="pct"/>
            <w:vAlign w:val="center"/>
          </w:tcPr>
          <w:p w14:paraId="4CE5F806">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小型车</w:t>
            </w:r>
          </w:p>
        </w:tc>
        <w:tc>
          <w:tcPr>
            <w:tcW w:w="614" w:type="pct"/>
            <w:vAlign w:val="center"/>
          </w:tcPr>
          <w:p w14:paraId="2D68CAD3">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1.47</w:t>
            </w:r>
          </w:p>
        </w:tc>
        <w:tc>
          <w:tcPr>
            <w:tcW w:w="546" w:type="pct"/>
            <w:vAlign w:val="center"/>
          </w:tcPr>
          <w:p w14:paraId="2839C43D">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0.33</w:t>
            </w:r>
          </w:p>
        </w:tc>
        <w:tc>
          <w:tcPr>
            <w:tcW w:w="544" w:type="pct"/>
            <w:vAlign w:val="center"/>
          </w:tcPr>
          <w:p w14:paraId="4B2A2BDB">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0.75</w:t>
            </w:r>
          </w:p>
        </w:tc>
        <w:tc>
          <w:tcPr>
            <w:tcW w:w="546" w:type="pct"/>
            <w:vAlign w:val="center"/>
          </w:tcPr>
          <w:p w14:paraId="2BE14647">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0.17</w:t>
            </w:r>
          </w:p>
        </w:tc>
        <w:tc>
          <w:tcPr>
            <w:tcW w:w="544" w:type="pct"/>
            <w:vAlign w:val="center"/>
          </w:tcPr>
          <w:p w14:paraId="7C51E3D6">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0.75</w:t>
            </w:r>
          </w:p>
        </w:tc>
        <w:tc>
          <w:tcPr>
            <w:tcW w:w="546" w:type="pct"/>
            <w:vAlign w:val="center"/>
          </w:tcPr>
          <w:p w14:paraId="6C9E84F9">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0.12</w:t>
            </w:r>
          </w:p>
        </w:tc>
        <w:tc>
          <w:tcPr>
            <w:tcW w:w="545" w:type="pct"/>
          </w:tcPr>
          <w:p w14:paraId="18602498">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0.70</w:t>
            </w:r>
          </w:p>
        </w:tc>
        <w:tc>
          <w:tcPr>
            <w:tcW w:w="544" w:type="pct"/>
          </w:tcPr>
          <w:p w14:paraId="3B68907E">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0.060</w:t>
            </w:r>
          </w:p>
        </w:tc>
      </w:tr>
      <w:tr w14:paraId="262E392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573" w:type="pct"/>
            <w:vAlign w:val="center"/>
          </w:tcPr>
          <w:p w14:paraId="73ADEE01">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中型车</w:t>
            </w:r>
          </w:p>
        </w:tc>
        <w:tc>
          <w:tcPr>
            <w:tcW w:w="614" w:type="pct"/>
            <w:vAlign w:val="center"/>
          </w:tcPr>
          <w:p w14:paraId="729099F1">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2.35</w:t>
            </w:r>
          </w:p>
        </w:tc>
        <w:tc>
          <w:tcPr>
            <w:tcW w:w="546" w:type="pct"/>
            <w:vAlign w:val="center"/>
          </w:tcPr>
          <w:p w14:paraId="306E9CE0">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0.41</w:t>
            </w:r>
          </w:p>
        </w:tc>
        <w:tc>
          <w:tcPr>
            <w:tcW w:w="544" w:type="pct"/>
            <w:vAlign w:val="center"/>
          </w:tcPr>
          <w:p w14:paraId="1E850DA0">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0.16</w:t>
            </w:r>
          </w:p>
        </w:tc>
        <w:tc>
          <w:tcPr>
            <w:tcW w:w="546" w:type="pct"/>
            <w:vAlign w:val="center"/>
          </w:tcPr>
          <w:p w14:paraId="71687B34">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0.21</w:t>
            </w:r>
          </w:p>
        </w:tc>
        <w:tc>
          <w:tcPr>
            <w:tcW w:w="544" w:type="pct"/>
            <w:vAlign w:val="center"/>
          </w:tcPr>
          <w:p w14:paraId="504B700D">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1.16</w:t>
            </w:r>
          </w:p>
        </w:tc>
        <w:tc>
          <w:tcPr>
            <w:tcW w:w="546" w:type="pct"/>
            <w:vAlign w:val="center"/>
          </w:tcPr>
          <w:p w14:paraId="79168DCB">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0.15</w:t>
            </w:r>
          </w:p>
        </w:tc>
        <w:tc>
          <w:tcPr>
            <w:tcW w:w="545" w:type="pct"/>
          </w:tcPr>
          <w:p w14:paraId="714A943D">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0.88</w:t>
            </w:r>
          </w:p>
        </w:tc>
        <w:tc>
          <w:tcPr>
            <w:tcW w:w="544" w:type="pct"/>
          </w:tcPr>
          <w:p w14:paraId="5525CCCA">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0.075</w:t>
            </w:r>
          </w:p>
        </w:tc>
      </w:tr>
      <w:tr w14:paraId="0A57444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573" w:type="pct"/>
            <w:vAlign w:val="center"/>
          </w:tcPr>
          <w:p w14:paraId="56524F00">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大型车</w:t>
            </w:r>
          </w:p>
        </w:tc>
        <w:tc>
          <w:tcPr>
            <w:tcW w:w="614" w:type="pct"/>
            <w:vAlign w:val="center"/>
          </w:tcPr>
          <w:p w14:paraId="2EAD8CB1">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3.05</w:t>
            </w:r>
          </w:p>
        </w:tc>
        <w:tc>
          <w:tcPr>
            <w:tcW w:w="546" w:type="pct"/>
            <w:vAlign w:val="center"/>
          </w:tcPr>
          <w:p w14:paraId="52FB2609">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7.25</w:t>
            </w:r>
          </w:p>
        </w:tc>
        <w:tc>
          <w:tcPr>
            <w:tcW w:w="544" w:type="pct"/>
            <w:vAlign w:val="center"/>
          </w:tcPr>
          <w:p w14:paraId="07EF08E8">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2.18</w:t>
            </w:r>
          </w:p>
        </w:tc>
        <w:tc>
          <w:tcPr>
            <w:tcW w:w="546" w:type="pct"/>
            <w:vAlign w:val="center"/>
          </w:tcPr>
          <w:p w14:paraId="78355364">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5.08</w:t>
            </w:r>
          </w:p>
        </w:tc>
        <w:tc>
          <w:tcPr>
            <w:tcW w:w="544" w:type="pct"/>
            <w:vAlign w:val="center"/>
          </w:tcPr>
          <w:p w14:paraId="30CD1C7D">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2.18</w:t>
            </w:r>
          </w:p>
        </w:tc>
        <w:tc>
          <w:tcPr>
            <w:tcW w:w="546" w:type="pct"/>
            <w:vAlign w:val="center"/>
          </w:tcPr>
          <w:p w14:paraId="47CAB64F">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2.90</w:t>
            </w:r>
          </w:p>
        </w:tc>
        <w:tc>
          <w:tcPr>
            <w:tcW w:w="545" w:type="pct"/>
          </w:tcPr>
          <w:p w14:paraId="46C0D8CE">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1.00</w:t>
            </w:r>
          </w:p>
        </w:tc>
        <w:tc>
          <w:tcPr>
            <w:tcW w:w="544" w:type="pct"/>
          </w:tcPr>
          <w:p w14:paraId="6F4A2416">
            <w:pPr>
              <w:adjustRightInd w:val="0"/>
              <w:snapToGrid w:val="0"/>
              <w:jc w:val="center"/>
              <w:rPr>
                <w:rFonts w:ascii="Times New Roman" w:hAnsi="Times New Roman" w:cs="Times New Roman"/>
                <w:bCs/>
                <w:color w:val="auto"/>
                <w:sz w:val="21"/>
                <w:szCs w:val="18"/>
              </w:rPr>
            </w:pPr>
            <w:r>
              <w:rPr>
                <w:rFonts w:ascii="Times New Roman" w:hAnsi="Times New Roman" w:cs="Times New Roman"/>
                <w:bCs/>
                <w:color w:val="auto"/>
                <w:sz w:val="21"/>
                <w:szCs w:val="18"/>
              </w:rPr>
              <w:t>0.082</w:t>
            </w:r>
          </w:p>
        </w:tc>
      </w:tr>
    </w:tbl>
    <w:p w14:paraId="5042EA64">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表4.3-1</w:t>
      </w:r>
      <w:r>
        <w:rPr>
          <w:rFonts w:hint="eastAsia" w:ascii="Times New Roman" w:hAnsi="Times New Roman" w:cs="Times New Roman"/>
          <w:b/>
          <w:bCs/>
          <w:color w:val="auto"/>
          <w:lang w:eastAsia="zh-CN"/>
        </w:rPr>
        <w:t>1</w:t>
      </w:r>
      <w:r>
        <w:rPr>
          <w:rFonts w:ascii="Times New Roman" w:hAnsi="Times New Roman" w:cs="Times New Roman"/>
          <w:b/>
          <w:bCs/>
          <w:color w:val="auto"/>
          <w:lang w:eastAsia="zh-CN"/>
        </w:rPr>
        <w:t xml:space="preserve"> 建设项目交通废气污染物排放量</w:t>
      </w:r>
    </w:p>
    <w:tbl>
      <w:tblPr>
        <w:tblStyle w:val="35"/>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414"/>
        <w:gridCol w:w="2462"/>
        <w:gridCol w:w="2435"/>
        <w:gridCol w:w="2435"/>
      </w:tblGrid>
      <w:tr w14:paraId="04BAC5C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39" w:type="pct"/>
            <w:vAlign w:val="center"/>
          </w:tcPr>
          <w:p w14:paraId="3226DD0A">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类型</w:t>
            </w:r>
          </w:p>
        </w:tc>
        <w:tc>
          <w:tcPr>
            <w:tcW w:w="1263" w:type="pct"/>
            <w:vAlign w:val="center"/>
          </w:tcPr>
          <w:p w14:paraId="17FA92E4">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污染物</w:t>
            </w:r>
          </w:p>
        </w:tc>
        <w:tc>
          <w:tcPr>
            <w:tcW w:w="1249" w:type="pct"/>
            <w:vAlign w:val="center"/>
          </w:tcPr>
          <w:p w14:paraId="02E1E888">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CO</w:t>
            </w:r>
          </w:p>
        </w:tc>
        <w:tc>
          <w:tcPr>
            <w:tcW w:w="1249" w:type="pct"/>
            <w:vAlign w:val="center"/>
          </w:tcPr>
          <w:p w14:paraId="2FA2699F">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NOx</w:t>
            </w:r>
          </w:p>
        </w:tc>
      </w:tr>
      <w:tr w14:paraId="46399AD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39" w:type="pct"/>
            <w:vMerge w:val="restart"/>
            <w:vAlign w:val="center"/>
          </w:tcPr>
          <w:p w14:paraId="0C42BCBD">
            <w:pPr>
              <w:adjustRightInd w:val="0"/>
              <w:snapToGrid w:val="0"/>
              <w:jc w:val="center"/>
              <w:rPr>
                <w:rFonts w:ascii="Times New Roman" w:hAnsi="Times New Roman" w:cs="Times New Roman"/>
                <w:bCs/>
                <w:color w:val="auto"/>
                <w:sz w:val="21"/>
              </w:rPr>
            </w:pPr>
            <w:r>
              <w:rPr>
                <w:rFonts w:ascii="Times New Roman" w:hAnsi="Times New Roman" w:cs="Times New Roman"/>
                <w:bCs/>
                <w:color w:val="auto"/>
                <w:sz w:val="21"/>
              </w:rPr>
              <w:t>中型车</w:t>
            </w:r>
          </w:p>
        </w:tc>
        <w:tc>
          <w:tcPr>
            <w:tcW w:w="1263" w:type="pct"/>
            <w:vAlign w:val="center"/>
          </w:tcPr>
          <w:p w14:paraId="774F56C7">
            <w:pPr>
              <w:adjustRightInd w:val="0"/>
              <w:snapToGrid w:val="0"/>
              <w:jc w:val="center"/>
              <w:rPr>
                <w:rFonts w:ascii="Times New Roman" w:hAnsi="Times New Roman" w:cs="Times New Roman"/>
                <w:bCs/>
                <w:color w:val="auto"/>
                <w:sz w:val="21"/>
                <w:lang w:eastAsia="zh-CN"/>
              </w:rPr>
            </w:pPr>
            <w:r>
              <w:rPr>
                <w:rFonts w:ascii="Times New Roman" w:hAnsi="Times New Roman" w:cs="Times New Roman"/>
                <w:bCs/>
                <w:color w:val="auto"/>
                <w:sz w:val="21"/>
                <w:lang w:eastAsia="zh-CN"/>
              </w:rPr>
              <w:t>排放系数（g/辆•km）</w:t>
            </w:r>
          </w:p>
        </w:tc>
        <w:tc>
          <w:tcPr>
            <w:tcW w:w="1249" w:type="pct"/>
            <w:vAlign w:val="center"/>
          </w:tcPr>
          <w:p w14:paraId="39C1125F">
            <w:pPr>
              <w:adjustRightInd w:val="0"/>
              <w:snapToGrid w:val="0"/>
              <w:jc w:val="center"/>
              <w:rPr>
                <w:rFonts w:ascii="Times New Roman" w:hAnsi="Times New Roman" w:cs="Times New Roman"/>
                <w:bCs/>
                <w:color w:val="auto"/>
                <w:sz w:val="21"/>
              </w:rPr>
            </w:pPr>
            <w:r>
              <w:rPr>
                <w:rFonts w:ascii="Times New Roman" w:hAnsi="Times New Roman" w:cs="Times New Roman"/>
                <w:bCs/>
                <w:color w:val="auto"/>
                <w:sz w:val="21"/>
              </w:rPr>
              <w:t>1.10</w:t>
            </w:r>
          </w:p>
        </w:tc>
        <w:tc>
          <w:tcPr>
            <w:tcW w:w="1249" w:type="pct"/>
            <w:vAlign w:val="center"/>
          </w:tcPr>
          <w:p w14:paraId="3EEA8693">
            <w:pPr>
              <w:adjustRightInd w:val="0"/>
              <w:snapToGrid w:val="0"/>
              <w:jc w:val="center"/>
              <w:rPr>
                <w:rFonts w:ascii="Times New Roman" w:hAnsi="Times New Roman" w:cs="Times New Roman"/>
                <w:bCs/>
                <w:color w:val="auto"/>
                <w:sz w:val="21"/>
              </w:rPr>
            </w:pPr>
            <w:r>
              <w:rPr>
                <w:rFonts w:ascii="Times New Roman" w:hAnsi="Times New Roman" w:cs="Times New Roman"/>
                <w:bCs/>
                <w:color w:val="auto"/>
                <w:sz w:val="21"/>
              </w:rPr>
              <w:t>0.21</w:t>
            </w:r>
          </w:p>
        </w:tc>
      </w:tr>
      <w:tr w14:paraId="15E59BE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39" w:type="pct"/>
            <w:vMerge w:val="continue"/>
            <w:vAlign w:val="center"/>
          </w:tcPr>
          <w:p w14:paraId="2AF69B27">
            <w:pPr>
              <w:adjustRightInd w:val="0"/>
              <w:snapToGrid w:val="0"/>
              <w:jc w:val="center"/>
              <w:rPr>
                <w:rFonts w:ascii="Times New Roman" w:hAnsi="Times New Roman" w:cs="Times New Roman"/>
                <w:bCs/>
                <w:color w:val="auto"/>
                <w:sz w:val="21"/>
              </w:rPr>
            </w:pPr>
          </w:p>
        </w:tc>
        <w:tc>
          <w:tcPr>
            <w:tcW w:w="1263" w:type="pct"/>
            <w:vAlign w:val="center"/>
          </w:tcPr>
          <w:p w14:paraId="51AAE79B">
            <w:pPr>
              <w:adjustRightInd w:val="0"/>
              <w:snapToGrid w:val="0"/>
              <w:jc w:val="center"/>
              <w:rPr>
                <w:rFonts w:ascii="Times New Roman" w:hAnsi="Times New Roman" w:cs="Times New Roman"/>
                <w:bCs/>
                <w:color w:val="auto"/>
                <w:sz w:val="21"/>
              </w:rPr>
            </w:pPr>
            <w:r>
              <w:rPr>
                <w:rFonts w:ascii="Times New Roman" w:hAnsi="Times New Roman" w:cs="Times New Roman"/>
                <w:bCs/>
                <w:color w:val="auto"/>
                <w:sz w:val="21"/>
              </w:rPr>
              <w:t>日排放量（kg/d）</w:t>
            </w:r>
          </w:p>
        </w:tc>
        <w:tc>
          <w:tcPr>
            <w:tcW w:w="2131" w:type="dxa"/>
            <w:vAlign w:val="center"/>
          </w:tcPr>
          <w:p w14:paraId="2484073E">
            <w:pPr>
              <w:adjustRightInd w:val="0"/>
              <w:snapToGrid w:val="0"/>
              <w:jc w:val="center"/>
              <w:textAlignment w:val="center"/>
              <w:rPr>
                <w:rFonts w:ascii="Times New Roman" w:hAnsi="Times New Roman" w:cs="Times New Roman"/>
                <w:bCs/>
                <w:color w:val="auto"/>
                <w:sz w:val="21"/>
              </w:rPr>
            </w:pPr>
            <w:r>
              <w:rPr>
                <w:rFonts w:ascii="Times New Roman" w:hAnsi="Times New Roman" w:cs="Times New Roman"/>
                <w:color w:val="auto"/>
                <w:sz w:val="21"/>
                <w:lang w:eastAsia="zh-CN" w:bidi="ar"/>
              </w:rPr>
              <w:t>0.33</w:t>
            </w:r>
          </w:p>
        </w:tc>
        <w:tc>
          <w:tcPr>
            <w:tcW w:w="2131" w:type="dxa"/>
            <w:vAlign w:val="center"/>
          </w:tcPr>
          <w:p w14:paraId="78169882">
            <w:pPr>
              <w:adjustRightInd w:val="0"/>
              <w:snapToGrid w:val="0"/>
              <w:jc w:val="center"/>
              <w:textAlignment w:val="center"/>
              <w:rPr>
                <w:rFonts w:ascii="Times New Roman" w:hAnsi="Times New Roman" w:cs="Times New Roman"/>
                <w:bCs/>
                <w:color w:val="auto"/>
                <w:sz w:val="21"/>
              </w:rPr>
            </w:pPr>
            <w:r>
              <w:rPr>
                <w:rFonts w:ascii="Times New Roman" w:hAnsi="Times New Roman" w:cs="Times New Roman"/>
                <w:color w:val="auto"/>
                <w:sz w:val="21"/>
                <w:lang w:eastAsia="zh-CN" w:bidi="ar"/>
              </w:rPr>
              <w:t>0.063</w:t>
            </w:r>
          </w:p>
        </w:tc>
      </w:tr>
      <w:tr w14:paraId="6EBEA09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39" w:type="pct"/>
            <w:vMerge w:val="continue"/>
            <w:vAlign w:val="center"/>
          </w:tcPr>
          <w:p w14:paraId="249ABD51">
            <w:pPr>
              <w:adjustRightInd w:val="0"/>
              <w:snapToGrid w:val="0"/>
              <w:jc w:val="center"/>
              <w:rPr>
                <w:rFonts w:ascii="Times New Roman" w:hAnsi="Times New Roman" w:cs="Times New Roman"/>
                <w:bCs/>
                <w:color w:val="auto"/>
                <w:sz w:val="21"/>
              </w:rPr>
            </w:pPr>
          </w:p>
        </w:tc>
        <w:tc>
          <w:tcPr>
            <w:tcW w:w="1263" w:type="pct"/>
            <w:vAlign w:val="center"/>
          </w:tcPr>
          <w:p w14:paraId="5F5DA271">
            <w:pPr>
              <w:adjustRightInd w:val="0"/>
              <w:snapToGrid w:val="0"/>
              <w:jc w:val="center"/>
              <w:rPr>
                <w:rFonts w:ascii="Times New Roman" w:hAnsi="Times New Roman" w:cs="Times New Roman"/>
                <w:bCs/>
                <w:color w:val="auto"/>
                <w:sz w:val="21"/>
              </w:rPr>
            </w:pPr>
            <w:r>
              <w:rPr>
                <w:rFonts w:ascii="Times New Roman" w:hAnsi="Times New Roman" w:cs="Times New Roman"/>
                <w:bCs/>
                <w:color w:val="auto"/>
                <w:sz w:val="21"/>
              </w:rPr>
              <w:t>年排放量（t/a）</w:t>
            </w:r>
          </w:p>
        </w:tc>
        <w:tc>
          <w:tcPr>
            <w:tcW w:w="2131" w:type="dxa"/>
            <w:vAlign w:val="center"/>
          </w:tcPr>
          <w:p w14:paraId="262DB6F9">
            <w:pPr>
              <w:adjustRightInd w:val="0"/>
              <w:snapToGrid w:val="0"/>
              <w:jc w:val="center"/>
              <w:textAlignment w:val="center"/>
              <w:rPr>
                <w:rFonts w:ascii="Times New Roman" w:hAnsi="Times New Roman" w:cs="Times New Roman"/>
                <w:bCs/>
                <w:color w:val="auto"/>
                <w:sz w:val="21"/>
              </w:rPr>
            </w:pPr>
            <w:r>
              <w:rPr>
                <w:rFonts w:ascii="Times New Roman" w:hAnsi="Times New Roman" w:cs="Times New Roman"/>
                <w:color w:val="auto"/>
                <w:sz w:val="21"/>
                <w:lang w:eastAsia="zh-CN" w:bidi="ar"/>
              </w:rPr>
              <w:t>0.099</w:t>
            </w:r>
          </w:p>
        </w:tc>
        <w:tc>
          <w:tcPr>
            <w:tcW w:w="2131" w:type="dxa"/>
            <w:vAlign w:val="center"/>
          </w:tcPr>
          <w:p w14:paraId="42D133D7">
            <w:pPr>
              <w:adjustRightInd w:val="0"/>
              <w:snapToGrid w:val="0"/>
              <w:jc w:val="center"/>
              <w:textAlignment w:val="center"/>
              <w:rPr>
                <w:rFonts w:ascii="Times New Roman" w:hAnsi="Times New Roman" w:cs="Times New Roman"/>
                <w:bCs/>
                <w:color w:val="auto"/>
                <w:sz w:val="21"/>
              </w:rPr>
            </w:pPr>
            <w:r>
              <w:rPr>
                <w:rFonts w:ascii="Times New Roman" w:hAnsi="Times New Roman" w:cs="Times New Roman"/>
                <w:color w:val="auto"/>
                <w:sz w:val="21"/>
                <w:lang w:eastAsia="zh-CN" w:bidi="ar"/>
              </w:rPr>
              <w:t>0.0189</w:t>
            </w:r>
          </w:p>
        </w:tc>
      </w:tr>
      <w:tr w14:paraId="1B5BED8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39" w:type="pct"/>
            <w:vMerge w:val="restart"/>
            <w:vAlign w:val="center"/>
          </w:tcPr>
          <w:p w14:paraId="22238066">
            <w:pPr>
              <w:adjustRightInd w:val="0"/>
              <w:snapToGrid w:val="0"/>
              <w:jc w:val="center"/>
              <w:rPr>
                <w:rFonts w:ascii="Times New Roman" w:hAnsi="Times New Roman" w:cs="Times New Roman"/>
                <w:bCs/>
                <w:color w:val="auto"/>
                <w:sz w:val="21"/>
              </w:rPr>
            </w:pPr>
            <w:r>
              <w:rPr>
                <w:rFonts w:ascii="Times New Roman" w:hAnsi="Times New Roman" w:cs="Times New Roman"/>
                <w:bCs/>
                <w:color w:val="auto"/>
                <w:sz w:val="21"/>
              </w:rPr>
              <w:t>小型车</w:t>
            </w:r>
          </w:p>
        </w:tc>
        <w:tc>
          <w:tcPr>
            <w:tcW w:w="1263" w:type="pct"/>
            <w:vAlign w:val="center"/>
          </w:tcPr>
          <w:p w14:paraId="47017DBB">
            <w:pPr>
              <w:adjustRightInd w:val="0"/>
              <w:snapToGrid w:val="0"/>
              <w:jc w:val="center"/>
              <w:rPr>
                <w:rFonts w:ascii="Times New Roman" w:hAnsi="Times New Roman" w:cs="Times New Roman"/>
                <w:bCs/>
                <w:color w:val="auto"/>
                <w:sz w:val="21"/>
                <w:lang w:eastAsia="zh-CN"/>
              </w:rPr>
            </w:pPr>
            <w:r>
              <w:rPr>
                <w:rFonts w:ascii="Times New Roman" w:hAnsi="Times New Roman" w:cs="Times New Roman"/>
                <w:bCs/>
                <w:color w:val="auto"/>
                <w:sz w:val="21"/>
                <w:lang w:eastAsia="zh-CN"/>
              </w:rPr>
              <w:t>排放系数（g/辆•km）</w:t>
            </w:r>
          </w:p>
        </w:tc>
        <w:tc>
          <w:tcPr>
            <w:tcW w:w="1249" w:type="pct"/>
            <w:vAlign w:val="center"/>
          </w:tcPr>
          <w:p w14:paraId="1F413D03">
            <w:pPr>
              <w:adjustRightInd w:val="0"/>
              <w:snapToGrid w:val="0"/>
              <w:jc w:val="center"/>
              <w:rPr>
                <w:rFonts w:ascii="Times New Roman" w:hAnsi="Times New Roman" w:cs="Times New Roman"/>
                <w:bCs/>
                <w:color w:val="auto"/>
                <w:sz w:val="21"/>
              </w:rPr>
            </w:pPr>
            <w:r>
              <w:rPr>
                <w:rFonts w:ascii="Times New Roman" w:hAnsi="Times New Roman" w:cs="Times New Roman"/>
                <w:bCs/>
                <w:color w:val="auto"/>
                <w:sz w:val="21"/>
              </w:rPr>
              <w:t>0.75</w:t>
            </w:r>
          </w:p>
        </w:tc>
        <w:tc>
          <w:tcPr>
            <w:tcW w:w="1249" w:type="pct"/>
            <w:vAlign w:val="center"/>
          </w:tcPr>
          <w:p w14:paraId="24CE59E8">
            <w:pPr>
              <w:adjustRightInd w:val="0"/>
              <w:snapToGrid w:val="0"/>
              <w:jc w:val="center"/>
              <w:rPr>
                <w:rFonts w:ascii="Times New Roman" w:hAnsi="Times New Roman" w:cs="Times New Roman"/>
                <w:bCs/>
                <w:color w:val="auto"/>
                <w:sz w:val="21"/>
              </w:rPr>
            </w:pPr>
            <w:r>
              <w:rPr>
                <w:rFonts w:ascii="Times New Roman" w:hAnsi="Times New Roman" w:cs="Times New Roman"/>
                <w:bCs/>
                <w:color w:val="auto"/>
                <w:sz w:val="21"/>
              </w:rPr>
              <w:t>0.12</w:t>
            </w:r>
          </w:p>
        </w:tc>
      </w:tr>
      <w:tr w14:paraId="202332B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39" w:type="pct"/>
            <w:vMerge w:val="continue"/>
            <w:vAlign w:val="center"/>
          </w:tcPr>
          <w:p w14:paraId="30B327A2">
            <w:pPr>
              <w:adjustRightInd w:val="0"/>
              <w:snapToGrid w:val="0"/>
              <w:jc w:val="center"/>
              <w:rPr>
                <w:rFonts w:ascii="Times New Roman" w:hAnsi="Times New Roman" w:cs="Times New Roman"/>
                <w:bCs/>
                <w:color w:val="auto"/>
                <w:sz w:val="21"/>
              </w:rPr>
            </w:pPr>
          </w:p>
        </w:tc>
        <w:tc>
          <w:tcPr>
            <w:tcW w:w="1263" w:type="pct"/>
            <w:vAlign w:val="center"/>
          </w:tcPr>
          <w:p w14:paraId="64044D69">
            <w:pPr>
              <w:adjustRightInd w:val="0"/>
              <w:snapToGrid w:val="0"/>
              <w:jc w:val="center"/>
              <w:rPr>
                <w:rFonts w:ascii="Times New Roman" w:hAnsi="Times New Roman" w:cs="Times New Roman"/>
                <w:bCs/>
                <w:color w:val="auto"/>
                <w:sz w:val="21"/>
              </w:rPr>
            </w:pPr>
            <w:r>
              <w:rPr>
                <w:rFonts w:ascii="Times New Roman" w:hAnsi="Times New Roman" w:cs="Times New Roman"/>
                <w:bCs/>
                <w:color w:val="auto"/>
                <w:sz w:val="21"/>
              </w:rPr>
              <w:t>日排放量（kg/d）</w:t>
            </w:r>
          </w:p>
        </w:tc>
        <w:tc>
          <w:tcPr>
            <w:tcW w:w="2131" w:type="dxa"/>
            <w:vAlign w:val="center"/>
          </w:tcPr>
          <w:p w14:paraId="141AB400">
            <w:pPr>
              <w:adjustRightInd w:val="0"/>
              <w:snapToGrid w:val="0"/>
              <w:jc w:val="center"/>
              <w:textAlignment w:val="center"/>
              <w:rPr>
                <w:rFonts w:ascii="Times New Roman" w:hAnsi="Times New Roman" w:cs="Times New Roman"/>
                <w:bCs/>
                <w:color w:val="auto"/>
                <w:sz w:val="21"/>
              </w:rPr>
            </w:pPr>
            <w:r>
              <w:rPr>
                <w:rFonts w:ascii="Times New Roman" w:hAnsi="Times New Roman" w:cs="Times New Roman"/>
                <w:color w:val="auto"/>
                <w:sz w:val="21"/>
                <w:lang w:eastAsia="zh-CN" w:bidi="ar"/>
              </w:rPr>
              <w:t>0.225</w:t>
            </w:r>
          </w:p>
        </w:tc>
        <w:tc>
          <w:tcPr>
            <w:tcW w:w="2131" w:type="dxa"/>
            <w:vAlign w:val="center"/>
          </w:tcPr>
          <w:p w14:paraId="5F782B55">
            <w:pPr>
              <w:adjustRightInd w:val="0"/>
              <w:snapToGrid w:val="0"/>
              <w:jc w:val="center"/>
              <w:textAlignment w:val="center"/>
              <w:rPr>
                <w:rFonts w:ascii="Times New Roman" w:hAnsi="Times New Roman" w:cs="Times New Roman"/>
                <w:bCs/>
                <w:color w:val="auto"/>
                <w:sz w:val="21"/>
              </w:rPr>
            </w:pPr>
            <w:r>
              <w:rPr>
                <w:rFonts w:ascii="Times New Roman" w:hAnsi="Times New Roman" w:cs="Times New Roman"/>
                <w:color w:val="auto"/>
                <w:sz w:val="21"/>
                <w:lang w:eastAsia="zh-CN" w:bidi="ar"/>
              </w:rPr>
              <w:t>0.036</w:t>
            </w:r>
          </w:p>
        </w:tc>
      </w:tr>
      <w:tr w14:paraId="6636814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39" w:type="pct"/>
            <w:vMerge w:val="continue"/>
            <w:vAlign w:val="center"/>
          </w:tcPr>
          <w:p w14:paraId="015DAAB1">
            <w:pPr>
              <w:adjustRightInd w:val="0"/>
              <w:snapToGrid w:val="0"/>
              <w:jc w:val="center"/>
              <w:rPr>
                <w:rFonts w:ascii="Times New Roman" w:hAnsi="Times New Roman" w:cs="Times New Roman"/>
                <w:bCs/>
                <w:color w:val="auto"/>
                <w:sz w:val="21"/>
              </w:rPr>
            </w:pPr>
          </w:p>
        </w:tc>
        <w:tc>
          <w:tcPr>
            <w:tcW w:w="1263" w:type="pct"/>
            <w:vAlign w:val="center"/>
          </w:tcPr>
          <w:p w14:paraId="016A06B8">
            <w:pPr>
              <w:adjustRightInd w:val="0"/>
              <w:snapToGrid w:val="0"/>
              <w:jc w:val="center"/>
              <w:rPr>
                <w:rFonts w:ascii="Times New Roman" w:hAnsi="Times New Roman" w:cs="Times New Roman"/>
                <w:bCs/>
                <w:color w:val="auto"/>
                <w:sz w:val="21"/>
              </w:rPr>
            </w:pPr>
            <w:r>
              <w:rPr>
                <w:rFonts w:ascii="Times New Roman" w:hAnsi="Times New Roman" w:cs="Times New Roman"/>
                <w:bCs/>
                <w:color w:val="auto"/>
                <w:sz w:val="21"/>
              </w:rPr>
              <w:t>年排放量（t/a）</w:t>
            </w:r>
          </w:p>
        </w:tc>
        <w:tc>
          <w:tcPr>
            <w:tcW w:w="2131" w:type="dxa"/>
            <w:vAlign w:val="center"/>
          </w:tcPr>
          <w:p w14:paraId="5B908015">
            <w:pPr>
              <w:adjustRightInd w:val="0"/>
              <w:snapToGrid w:val="0"/>
              <w:jc w:val="center"/>
              <w:textAlignment w:val="center"/>
              <w:rPr>
                <w:rFonts w:ascii="Times New Roman" w:hAnsi="Times New Roman" w:cs="Times New Roman"/>
                <w:bCs/>
                <w:color w:val="auto"/>
                <w:sz w:val="21"/>
              </w:rPr>
            </w:pPr>
            <w:r>
              <w:rPr>
                <w:rFonts w:ascii="Times New Roman" w:hAnsi="Times New Roman" w:cs="Times New Roman"/>
                <w:color w:val="auto"/>
                <w:sz w:val="21"/>
                <w:lang w:eastAsia="zh-CN" w:bidi="ar"/>
              </w:rPr>
              <w:t>0.0675</w:t>
            </w:r>
          </w:p>
        </w:tc>
        <w:tc>
          <w:tcPr>
            <w:tcW w:w="2131" w:type="dxa"/>
            <w:vAlign w:val="center"/>
          </w:tcPr>
          <w:p w14:paraId="518E96A8">
            <w:pPr>
              <w:adjustRightInd w:val="0"/>
              <w:snapToGrid w:val="0"/>
              <w:jc w:val="center"/>
              <w:textAlignment w:val="center"/>
              <w:rPr>
                <w:rFonts w:ascii="Times New Roman" w:hAnsi="Times New Roman" w:cs="Times New Roman"/>
                <w:bCs/>
                <w:color w:val="auto"/>
                <w:sz w:val="21"/>
              </w:rPr>
            </w:pPr>
            <w:r>
              <w:rPr>
                <w:rFonts w:ascii="Times New Roman" w:hAnsi="Times New Roman" w:cs="Times New Roman"/>
                <w:color w:val="auto"/>
                <w:sz w:val="21"/>
                <w:lang w:eastAsia="zh-CN" w:bidi="ar"/>
              </w:rPr>
              <w:t>0.0108</w:t>
            </w:r>
          </w:p>
        </w:tc>
      </w:tr>
      <w:tr w14:paraId="62CE2FF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4" w:hRule="atLeast"/>
        </w:trPr>
        <w:tc>
          <w:tcPr>
            <w:tcW w:w="1239" w:type="pct"/>
            <w:vAlign w:val="center"/>
          </w:tcPr>
          <w:p w14:paraId="540A36E4">
            <w:pPr>
              <w:adjustRightInd w:val="0"/>
              <w:snapToGrid w:val="0"/>
              <w:jc w:val="center"/>
              <w:rPr>
                <w:rFonts w:ascii="Times New Roman" w:hAnsi="Times New Roman" w:cs="Times New Roman"/>
                <w:bCs/>
                <w:color w:val="auto"/>
                <w:sz w:val="21"/>
              </w:rPr>
            </w:pPr>
            <w:r>
              <w:rPr>
                <w:rFonts w:ascii="Times New Roman" w:hAnsi="Times New Roman" w:cs="Times New Roman"/>
                <w:bCs/>
                <w:color w:val="auto"/>
                <w:sz w:val="21"/>
              </w:rPr>
              <w:t>合计</w:t>
            </w:r>
          </w:p>
        </w:tc>
        <w:tc>
          <w:tcPr>
            <w:tcW w:w="1263" w:type="pct"/>
            <w:vAlign w:val="center"/>
          </w:tcPr>
          <w:p w14:paraId="26E8A837">
            <w:pPr>
              <w:adjustRightInd w:val="0"/>
              <w:snapToGrid w:val="0"/>
              <w:jc w:val="center"/>
              <w:rPr>
                <w:rFonts w:ascii="Times New Roman" w:hAnsi="Times New Roman" w:cs="Times New Roman"/>
                <w:bCs/>
                <w:color w:val="auto"/>
                <w:sz w:val="21"/>
              </w:rPr>
            </w:pPr>
            <w:r>
              <w:rPr>
                <w:rFonts w:ascii="Times New Roman" w:hAnsi="Times New Roman" w:cs="Times New Roman"/>
                <w:bCs/>
                <w:color w:val="auto"/>
                <w:sz w:val="21"/>
              </w:rPr>
              <w:t>年排放量（t/a）</w:t>
            </w:r>
          </w:p>
        </w:tc>
        <w:tc>
          <w:tcPr>
            <w:tcW w:w="2131" w:type="dxa"/>
            <w:vAlign w:val="center"/>
          </w:tcPr>
          <w:p w14:paraId="468A0239">
            <w:pPr>
              <w:adjustRightInd w:val="0"/>
              <w:snapToGrid w:val="0"/>
              <w:jc w:val="center"/>
              <w:textAlignment w:val="center"/>
              <w:rPr>
                <w:rFonts w:ascii="Times New Roman" w:hAnsi="Times New Roman" w:cs="Times New Roman"/>
                <w:bCs/>
                <w:color w:val="auto"/>
                <w:sz w:val="21"/>
              </w:rPr>
            </w:pPr>
            <w:r>
              <w:rPr>
                <w:rFonts w:ascii="Times New Roman" w:hAnsi="Times New Roman" w:cs="Times New Roman"/>
                <w:bCs/>
                <w:color w:val="auto"/>
                <w:sz w:val="21"/>
                <w:lang w:eastAsia="zh-CN"/>
              </w:rPr>
              <w:t>0.1665</w:t>
            </w:r>
          </w:p>
        </w:tc>
        <w:tc>
          <w:tcPr>
            <w:tcW w:w="2131" w:type="dxa"/>
            <w:vAlign w:val="center"/>
          </w:tcPr>
          <w:p w14:paraId="3784200C">
            <w:pPr>
              <w:adjustRightInd w:val="0"/>
              <w:snapToGrid w:val="0"/>
              <w:jc w:val="center"/>
              <w:textAlignment w:val="center"/>
              <w:rPr>
                <w:rFonts w:ascii="Times New Roman" w:hAnsi="Times New Roman" w:cs="Times New Roman"/>
                <w:bCs/>
                <w:color w:val="auto"/>
                <w:sz w:val="21"/>
              </w:rPr>
            </w:pPr>
            <w:r>
              <w:rPr>
                <w:rFonts w:ascii="Times New Roman" w:hAnsi="Times New Roman" w:cs="Times New Roman"/>
                <w:bCs/>
                <w:color w:val="auto"/>
                <w:sz w:val="21"/>
                <w:lang w:eastAsia="zh-CN"/>
              </w:rPr>
              <w:t>0.0297</w:t>
            </w:r>
          </w:p>
        </w:tc>
      </w:tr>
    </w:tbl>
    <w:p w14:paraId="3DFEFAB9">
      <w:pPr>
        <w:spacing w:line="360" w:lineRule="auto"/>
        <w:jc w:val="center"/>
        <w:rPr>
          <w:rFonts w:ascii="Times New Roman" w:hAnsi="Times New Roman" w:cs="Times New Roman"/>
          <w:b/>
          <w:bCs/>
          <w:color w:val="auto"/>
          <w:lang w:eastAsia="zh-CN"/>
        </w:rPr>
      </w:pPr>
    </w:p>
    <w:p w14:paraId="6F655A69">
      <w:pPr>
        <w:spacing w:line="360" w:lineRule="auto"/>
        <w:jc w:val="center"/>
        <w:rPr>
          <w:rFonts w:ascii="Times New Roman" w:hAnsi="Times New Roman" w:cs="Times New Roman"/>
          <w:b/>
          <w:bCs/>
          <w:color w:val="auto"/>
          <w:lang w:eastAsia="zh-CN"/>
        </w:rPr>
      </w:pPr>
    </w:p>
    <w:p w14:paraId="2547C2CF">
      <w:pPr>
        <w:spacing w:line="360" w:lineRule="auto"/>
        <w:jc w:val="center"/>
        <w:rPr>
          <w:rFonts w:ascii="Times New Roman" w:hAnsi="Times New Roman" w:cs="Times New Roman"/>
          <w:b/>
          <w:bCs/>
          <w:color w:val="auto"/>
          <w:lang w:eastAsia="zh-CN"/>
        </w:rPr>
      </w:pPr>
    </w:p>
    <w:p w14:paraId="78CF5BA4">
      <w:pPr>
        <w:spacing w:line="360" w:lineRule="auto"/>
        <w:jc w:val="center"/>
        <w:rPr>
          <w:rFonts w:ascii="Times New Roman" w:hAnsi="Times New Roman" w:cs="Times New Roman"/>
          <w:b/>
          <w:bCs/>
          <w:color w:val="auto"/>
          <w:lang w:eastAsia="zh-CN"/>
        </w:rPr>
      </w:pPr>
    </w:p>
    <w:p w14:paraId="600B5628">
      <w:pPr>
        <w:spacing w:line="360" w:lineRule="auto"/>
        <w:ind w:firstLine="482"/>
        <w:outlineLvl w:val="2"/>
        <w:rPr>
          <w:rFonts w:ascii="Times New Roman" w:hAnsi="Times New Roman" w:cs="Times New Roman"/>
          <w:b/>
          <w:bCs/>
          <w:color w:val="auto"/>
        </w:rPr>
      </w:pPr>
      <w:bookmarkStart w:id="850" w:name="_Toc173743382"/>
      <w:bookmarkStart w:id="851" w:name="_Toc178602349"/>
      <w:bookmarkStart w:id="852" w:name="_Toc7676"/>
      <w:bookmarkStart w:id="853" w:name="_Toc175164273"/>
      <w:bookmarkStart w:id="854" w:name="_Toc224674695"/>
      <w:bookmarkStart w:id="855" w:name="_Toc203927000"/>
      <w:bookmarkStart w:id="856" w:name="_Toc225784056"/>
      <w:bookmarkStart w:id="857" w:name="_Toc236641826"/>
      <w:bookmarkStart w:id="858" w:name="_Toc204515201"/>
      <w:bookmarkStart w:id="859" w:name="_Toc221900838"/>
      <w:bookmarkStart w:id="860" w:name="_Toc176513009"/>
      <w:bookmarkStart w:id="861" w:name="_Toc218784281"/>
      <w:bookmarkStart w:id="862" w:name="_Toc236641309"/>
      <w:bookmarkStart w:id="863" w:name="_Toc204448466"/>
      <w:bookmarkStart w:id="864" w:name="_Toc237508291"/>
      <w:bookmarkStart w:id="865" w:name="_Toc223425056"/>
      <w:bookmarkStart w:id="866" w:name="_Toc173740278"/>
      <w:bookmarkStart w:id="867" w:name="_Toc217662671"/>
      <w:bookmarkStart w:id="868" w:name="_Toc172555651"/>
      <w:bookmarkStart w:id="869" w:name="_Toc231828578"/>
      <w:r>
        <w:rPr>
          <w:rFonts w:ascii="Times New Roman" w:hAnsi="Times New Roman" w:cs="Times New Roman"/>
          <w:b/>
          <w:bCs/>
          <w:color w:val="auto"/>
          <w:lang w:eastAsia="zh-CN"/>
        </w:rPr>
        <w:t>4</w:t>
      </w:r>
      <w:r>
        <w:rPr>
          <w:rFonts w:ascii="Times New Roman" w:hAnsi="Times New Roman" w:cs="Times New Roman"/>
          <w:b/>
          <w:bCs/>
          <w:color w:val="auto"/>
        </w:rPr>
        <w:t>.3.2</w:t>
      </w:r>
      <w:r>
        <w:rPr>
          <w:rFonts w:ascii="Times New Roman" w:hAnsi="Times New Roman" w:cs="Times New Roman"/>
          <w:b/>
          <w:bCs/>
          <w:color w:val="auto"/>
          <w:lang w:eastAsia="zh-CN"/>
        </w:rPr>
        <w:t xml:space="preserve"> </w:t>
      </w:r>
      <w:r>
        <w:rPr>
          <w:rFonts w:ascii="Times New Roman" w:hAnsi="Times New Roman" w:cs="Times New Roman"/>
          <w:b/>
          <w:bCs/>
          <w:color w:val="auto"/>
        </w:rPr>
        <w:t>废水污染源分析</w:t>
      </w:r>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p>
    <w:p w14:paraId="40B9DF0E">
      <w:pPr>
        <w:widowControl w:val="0"/>
        <w:spacing w:line="360" w:lineRule="auto"/>
        <w:ind w:firstLine="480" w:firstLineChars="200"/>
        <w:jc w:val="both"/>
        <w:rPr>
          <w:rFonts w:ascii="Times New Roman" w:hAnsi="Times New Roman" w:cs="Times New Roman"/>
          <w:b/>
          <w:bCs/>
          <w:color w:val="auto"/>
          <w:szCs w:val="24"/>
          <w:lang w:eastAsia="zh-CN"/>
        </w:rPr>
      </w:pPr>
      <w:bookmarkStart w:id="870" w:name="_Hlk174367625"/>
      <w:bookmarkStart w:id="871" w:name="_Hlk216275520"/>
      <w:bookmarkStart w:id="872" w:name="_Hlk216179882"/>
      <w:r>
        <w:rPr>
          <w:rFonts w:ascii="Times New Roman" w:hAnsi="Times New Roman" w:cs="Times New Roman"/>
          <w:color w:val="auto"/>
          <w:lang w:eastAsia="zh-CN"/>
        </w:rPr>
        <w:t>项目营运期废水主要包括</w:t>
      </w:r>
      <w:r>
        <w:rPr>
          <w:rFonts w:ascii="Times New Roman" w:hAnsi="Times New Roman" w:cs="Times New Roman"/>
          <w:color w:val="auto"/>
          <w:szCs w:val="24"/>
          <w:lang w:eastAsia="zh-CN"/>
        </w:rPr>
        <w:t>地面清洁废水、</w:t>
      </w:r>
      <w:r>
        <w:rPr>
          <w:rFonts w:hint="eastAsia" w:ascii="Times New Roman" w:hAnsi="Times New Roman" w:cs="Times New Roman"/>
          <w:color w:val="auto"/>
          <w:lang w:eastAsia="zh-CN"/>
        </w:rPr>
        <w:t>碱喷淋塔置换废水、</w:t>
      </w:r>
      <w:r>
        <w:rPr>
          <w:rFonts w:ascii="Times New Roman" w:hAnsi="Times New Roman" w:cs="Times New Roman"/>
          <w:color w:val="auto"/>
          <w:szCs w:val="24"/>
          <w:lang w:eastAsia="zh-CN"/>
        </w:rPr>
        <w:t>循环冷却置换废水、</w:t>
      </w:r>
      <w:r>
        <w:rPr>
          <w:rFonts w:hint="eastAsia" w:ascii="Times New Roman" w:hAnsi="Times New Roman" w:cs="Times New Roman"/>
          <w:color w:val="auto"/>
          <w:szCs w:val="24"/>
          <w:lang w:eastAsia="zh-CN"/>
        </w:rPr>
        <w:t>生活污水、初期雨水。</w:t>
      </w:r>
    </w:p>
    <w:p w14:paraId="35AEE870">
      <w:pPr>
        <w:pStyle w:val="42"/>
        <w:adjustRightInd/>
        <w:spacing w:line="360" w:lineRule="auto"/>
        <w:ind w:firstLine="480" w:firstLineChars="200"/>
        <w:rPr>
          <w:color w:val="auto"/>
        </w:rPr>
      </w:pPr>
      <w:r>
        <w:rPr>
          <w:rFonts w:hint="eastAsia"/>
          <w:color w:val="auto"/>
        </w:rPr>
        <w:t>1、</w:t>
      </w:r>
      <w:r>
        <w:rPr>
          <w:color w:val="auto"/>
        </w:rPr>
        <w:t>地面清洁废水</w:t>
      </w:r>
    </w:p>
    <w:p w14:paraId="3B1428A3">
      <w:pPr>
        <w:pStyle w:val="42"/>
        <w:adjustRightInd/>
        <w:spacing w:line="360" w:lineRule="auto"/>
        <w:ind w:firstLine="480" w:firstLineChars="200"/>
        <w:rPr>
          <w:color w:val="auto"/>
        </w:rPr>
      </w:pPr>
      <w:r>
        <w:rPr>
          <w:rFonts w:hint="eastAsia"/>
          <w:color w:val="auto"/>
        </w:rPr>
        <w:t>2、碱</w:t>
      </w:r>
      <w:r>
        <w:rPr>
          <w:color w:val="auto"/>
        </w:rPr>
        <w:t>喷淋塔置换废水</w:t>
      </w:r>
    </w:p>
    <w:p w14:paraId="463AC5B7">
      <w:pPr>
        <w:pStyle w:val="42"/>
        <w:adjustRightInd/>
        <w:spacing w:line="360" w:lineRule="auto"/>
        <w:ind w:firstLine="472" w:firstLineChars="200"/>
        <w:rPr>
          <w:color w:val="000000" w:themeColor="text1"/>
          <w14:textFill>
            <w14:solidFill>
              <w14:schemeClr w14:val="tx1"/>
            </w14:solidFill>
          </w14:textFill>
        </w:rPr>
      </w:pPr>
      <w:r>
        <w:rPr>
          <w:rStyle w:val="41"/>
          <w:rFonts w:hint="eastAsia"/>
          <w:color w:val="000000" w:themeColor="text1"/>
          <w:spacing w:val="-2"/>
          <w:sz w:val="24"/>
          <w:szCs w:val="24"/>
          <w14:textFill>
            <w14:solidFill>
              <w14:schemeClr w14:val="tx1"/>
            </w14:solidFill>
          </w14:textFill>
        </w:rPr>
        <w:t>3、</w:t>
      </w:r>
      <w:r>
        <w:rPr>
          <w:color w:val="000000" w:themeColor="text1"/>
          <w14:textFill>
            <w14:solidFill>
              <w14:schemeClr w14:val="tx1"/>
            </w14:solidFill>
          </w14:textFill>
        </w:rPr>
        <w:t>循环冷却置换废水</w:t>
      </w:r>
    </w:p>
    <w:p w14:paraId="48B720D4">
      <w:pPr>
        <w:pStyle w:val="42"/>
        <w:adjustRightInd/>
        <w:spacing w:line="360" w:lineRule="auto"/>
        <w:ind w:firstLine="472" w:firstLineChars="200"/>
        <w:rPr>
          <w:color w:val="000000" w:themeColor="text1"/>
          <w14:textFill>
            <w14:solidFill>
              <w14:schemeClr w14:val="tx1"/>
            </w14:solidFill>
          </w14:textFill>
        </w:rPr>
      </w:pPr>
      <w:r>
        <w:rPr>
          <w:rStyle w:val="41"/>
          <w:rFonts w:hint="eastAsia"/>
          <w:color w:val="000000" w:themeColor="text1"/>
          <w:spacing w:val="-2"/>
          <w:sz w:val="24"/>
          <w:szCs w:val="24"/>
          <w14:textFill>
            <w14:solidFill>
              <w14:schemeClr w14:val="tx1"/>
            </w14:solidFill>
          </w14:textFill>
        </w:rPr>
        <w:t>4、</w:t>
      </w:r>
      <w:r>
        <w:rPr>
          <w:rFonts w:hint="eastAsia"/>
          <w:color w:val="000000" w:themeColor="text1"/>
          <w14:textFill>
            <w14:solidFill>
              <w14:schemeClr w14:val="tx1"/>
            </w14:solidFill>
          </w14:textFill>
        </w:rPr>
        <w:t>生活污水</w:t>
      </w:r>
    </w:p>
    <w:p w14:paraId="3F629AE8">
      <w:pPr>
        <w:widowControl w:val="0"/>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5、</w:t>
      </w:r>
      <w:r>
        <w:rPr>
          <w:rFonts w:ascii="Times New Roman" w:hAnsi="Times New Roman" w:cs="Times New Roman"/>
          <w:color w:val="auto"/>
          <w:lang w:eastAsia="zh-CN"/>
        </w:rPr>
        <w:t>初期雨水</w:t>
      </w:r>
    </w:p>
    <w:p w14:paraId="7921B676">
      <w:pPr>
        <w:widowControl w:val="0"/>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w:t>
      </w:r>
    </w:p>
    <w:bookmarkEnd w:id="870"/>
    <w:p w14:paraId="2137B627">
      <w:pPr>
        <w:widowControl w:val="0"/>
        <w:spacing w:line="360" w:lineRule="auto"/>
        <w:ind w:firstLine="480" w:firstLineChars="200"/>
        <w:jc w:val="both"/>
        <w:rPr>
          <w:rFonts w:ascii="Times New Roman" w:hAnsi="Times New Roman" w:cs="Times New Roman"/>
          <w:color w:val="auto"/>
          <w:lang w:eastAsia="zh-CN"/>
        </w:rPr>
        <w:sectPr>
          <w:pgSz w:w="11906" w:h="16838"/>
          <w:pgMar w:top="1440" w:right="1080" w:bottom="1440" w:left="1080" w:header="851" w:footer="992" w:gutter="0"/>
          <w:cols w:space="720" w:num="1"/>
          <w:docGrid w:type="lines" w:linePitch="312" w:charSpace="0"/>
        </w:sectPr>
      </w:pPr>
    </w:p>
    <w:bookmarkEnd w:id="871"/>
    <w:p w14:paraId="48A18520">
      <w:pPr>
        <w:spacing w:line="360" w:lineRule="auto"/>
        <w:ind w:firstLine="480" w:firstLineChars="200"/>
        <w:rPr>
          <w:rFonts w:ascii="Times New Roman" w:hAnsi="Times New Roman" w:cs="Times New Roman"/>
          <w:b/>
          <w:color w:val="auto"/>
          <w:spacing w:val="8"/>
          <w:lang w:eastAsia="zh-CN"/>
        </w:rPr>
      </w:pPr>
      <w:bookmarkStart w:id="873" w:name="_Hlk177024703"/>
      <w:bookmarkStart w:id="874" w:name="_Hlk174367858"/>
      <w:r>
        <w:rPr>
          <w:rFonts w:ascii="Times New Roman" w:hAnsi="Times New Roman" w:cs="Times New Roman"/>
          <w:color w:val="auto"/>
          <w:lang w:eastAsia="zh-CN"/>
        </w:rPr>
        <w:t>本项目</w:t>
      </w:r>
      <w:r>
        <w:rPr>
          <w:rFonts w:ascii="Times New Roman" w:hAnsi="Times New Roman" w:cs="Times New Roman"/>
          <w:bCs/>
          <w:color w:val="auto"/>
          <w:lang w:eastAsia="zh-CN"/>
        </w:rPr>
        <w:t>废水污染物产生、治理及排放情况</w:t>
      </w:r>
      <w:r>
        <w:rPr>
          <w:rFonts w:ascii="Times New Roman" w:hAnsi="Times New Roman" w:cs="Times New Roman"/>
          <w:color w:val="auto"/>
          <w:lang w:eastAsia="zh-CN"/>
        </w:rPr>
        <w:t>见下表</w:t>
      </w:r>
      <w:r>
        <w:rPr>
          <w:rFonts w:hint="eastAsia" w:ascii="Times New Roman" w:hAnsi="Times New Roman" w:cs="Times New Roman"/>
          <w:color w:val="auto"/>
          <w:lang w:eastAsia="zh-CN"/>
        </w:rPr>
        <w:t>：</w:t>
      </w:r>
    </w:p>
    <w:p w14:paraId="777D0453">
      <w:pPr>
        <w:spacing w:line="360" w:lineRule="auto"/>
        <w:jc w:val="center"/>
        <w:rPr>
          <w:rFonts w:ascii="Times New Roman" w:hAnsi="Times New Roman" w:cs="Times New Roman"/>
          <w:b/>
          <w:color w:val="auto"/>
          <w:spacing w:val="8"/>
          <w:lang w:eastAsia="zh-CN"/>
        </w:rPr>
      </w:pPr>
      <w:r>
        <w:rPr>
          <w:rFonts w:ascii="Times New Roman" w:hAnsi="Times New Roman" w:cs="Times New Roman"/>
          <w:b/>
          <w:color w:val="auto"/>
          <w:spacing w:val="8"/>
          <w:lang w:eastAsia="zh-CN"/>
        </w:rPr>
        <w:t>表4.3-1</w:t>
      </w:r>
      <w:r>
        <w:rPr>
          <w:rFonts w:hint="eastAsia" w:ascii="Times New Roman" w:hAnsi="Times New Roman" w:cs="Times New Roman"/>
          <w:b/>
          <w:color w:val="auto"/>
          <w:spacing w:val="8"/>
          <w:lang w:eastAsia="zh-CN"/>
        </w:rPr>
        <w:t>2</w:t>
      </w:r>
      <w:r>
        <w:rPr>
          <w:rFonts w:ascii="Times New Roman" w:hAnsi="Times New Roman" w:cs="Times New Roman"/>
          <w:b/>
          <w:color w:val="auto"/>
          <w:spacing w:val="8"/>
          <w:lang w:eastAsia="zh-CN"/>
        </w:rPr>
        <w:t xml:space="preserve"> 项目废水处理及排放情况一览表</w:t>
      </w:r>
    </w:p>
    <w:tbl>
      <w:tblPr>
        <w:tblStyle w:val="35"/>
        <w:tblW w:w="5000"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879"/>
        <w:gridCol w:w="1066"/>
        <w:gridCol w:w="1066"/>
        <w:gridCol w:w="1072"/>
        <w:gridCol w:w="784"/>
        <w:gridCol w:w="1052"/>
        <w:gridCol w:w="1150"/>
        <w:gridCol w:w="1326"/>
        <w:gridCol w:w="1036"/>
        <w:gridCol w:w="1005"/>
        <w:gridCol w:w="1348"/>
        <w:gridCol w:w="1070"/>
        <w:gridCol w:w="1104"/>
      </w:tblGrid>
      <w:tr w14:paraId="322BFE0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315" w:type="pct"/>
            <w:vMerge w:val="restart"/>
            <w:vAlign w:val="center"/>
          </w:tcPr>
          <w:p w14:paraId="121BCCFB">
            <w:pPr>
              <w:topLinePunct/>
              <w:jc w:val="center"/>
              <w:rPr>
                <w:rFonts w:ascii="Times New Roman" w:hAnsi="Times New Roman" w:cs="Times New Roman"/>
                <w:b/>
                <w:color w:val="auto"/>
                <w:sz w:val="21"/>
              </w:rPr>
            </w:pPr>
            <w:r>
              <w:rPr>
                <w:rFonts w:ascii="Times New Roman" w:hAnsi="Times New Roman" w:cs="Times New Roman"/>
                <w:b/>
                <w:color w:val="auto"/>
                <w:sz w:val="21"/>
              </w:rPr>
              <w:t>废水类别</w:t>
            </w:r>
          </w:p>
        </w:tc>
        <w:tc>
          <w:tcPr>
            <w:tcW w:w="382" w:type="pct"/>
            <w:vMerge w:val="restart"/>
            <w:vAlign w:val="center"/>
          </w:tcPr>
          <w:p w14:paraId="4F937128">
            <w:pPr>
              <w:topLinePunct/>
              <w:jc w:val="center"/>
              <w:rPr>
                <w:rFonts w:ascii="Times New Roman" w:hAnsi="Times New Roman" w:cs="Times New Roman"/>
                <w:b/>
                <w:color w:val="auto"/>
                <w:sz w:val="21"/>
              </w:rPr>
            </w:pPr>
            <w:r>
              <w:rPr>
                <w:rFonts w:ascii="Times New Roman" w:hAnsi="Times New Roman" w:cs="Times New Roman"/>
                <w:b/>
                <w:color w:val="auto"/>
                <w:sz w:val="21"/>
              </w:rPr>
              <w:t>污染物</w:t>
            </w:r>
          </w:p>
        </w:tc>
        <w:tc>
          <w:tcPr>
            <w:tcW w:w="1836" w:type="pct"/>
            <w:gridSpan w:val="5"/>
            <w:vAlign w:val="center"/>
          </w:tcPr>
          <w:p w14:paraId="6668D94E">
            <w:pPr>
              <w:topLinePunct/>
              <w:jc w:val="center"/>
              <w:rPr>
                <w:rFonts w:ascii="Times New Roman" w:hAnsi="Times New Roman" w:cs="Times New Roman"/>
                <w:b/>
                <w:color w:val="auto"/>
                <w:sz w:val="21"/>
              </w:rPr>
            </w:pPr>
            <w:r>
              <w:rPr>
                <w:rFonts w:ascii="Times New Roman" w:hAnsi="Times New Roman" w:cs="Times New Roman"/>
                <w:b/>
                <w:color w:val="auto"/>
                <w:sz w:val="21"/>
              </w:rPr>
              <w:t>污染物产生</w:t>
            </w:r>
          </w:p>
        </w:tc>
        <w:tc>
          <w:tcPr>
            <w:tcW w:w="475" w:type="pct"/>
            <w:vAlign w:val="center"/>
          </w:tcPr>
          <w:p w14:paraId="5F657401">
            <w:pPr>
              <w:topLinePunct/>
              <w:jc w:val="center"/>
              <w:rPr>
                <w:rFonts w:ascii="Times New Roman" w:hAnsi="Times New Roman" w:cs="Times New Roman"/>
                <w:b/>
                <w:color w:val="auto"/>
                <w:sz w:val="21"/>
              </w:rPr>
            </w:pPr>
            <w:r>
              <w:rPr>
                <w:rFonts w:ascii="Times New Roman" w:hAnsi="Times New Roman" w:cs="Times New Roman"/>
                <w:b/>
                <w:color w:val="auto"/>
                <w:sz w:val="21"/>
              </w:rPr>
              <w:t>治理措施</w:t>
            </w:r>
          </w:p>
        </w:tc>
        <w:tc>
          <w:tcPr>
            <w:tcW w:w="731" w:type="pct"/>
            <w:gridSpan w:val="2"/>
            <w:vAlign w:val="center"/>
          </w:tcPr>
          <w:p w14:paraId="52202F11">
            <w:pPr>
              <w:topLinePunct/>
              <w:jc w:val="center"/>
              <w:rPr>
                <w:rFonts w:ascii="Times New Roman" w:hAnsi="Times New Roman" w:cs="Times New Roman"/>
                <w:b/>
                <w:color w:val="auto"/>
                <w:sz w:val="21"/>
              </w:rPr>
            </w:pPr>
            <w:r>
              <w:rPr>
                <w:rFonts w:ascii="Times New Roman" w:hAnsi="Times New Roman" w:cs="Times New Roman"/>
                <w:b/>
                <w:color w:val="auto"/>
                <w:sz w:val="21"/>
              </w:rPr>
              <w:t>污染物排放</w:t>
            </w:r>
            <w:r>
              <w:rPr>
                <w:rFonts w:ascii="Times New Roman" w:hAnsi="Times New Roman" w:cs="Times New Roman"/>
                <w:b/>
                <w:color w:val="auto"/>
                <w:sz w:val="21"/>
                <w:lang w:eastAsia="zh-CN"/>
              </w:rPr>
              <w:t>情况</w:t>
            </w:r>
          </w:p>
        </w:tc>
        <w:tc>
          <w:tcPr>
            <w:tcW w:w="483" w:type="pct"/>
            <w:vAlign w:val="center"/>
          </w:tcPr>
          <w:p w14:paraId="37BA7DD0">
            <w:pPr>
              <w:topLinePunct/>
              <w:jc w:val="center"/>
              <w:rPr>
                <w:rFonts w:ascii="Times New Roman" w:hAnsi="Times New Roman" w:cs="Times New Roman"/>
                <w:b/>
                <w:color w:val="auto"/>
                <w:sz w:val="21"/>
              </w:rPr>
            </w:pPr>
            <w:r>
              <w:rPr>
                <w:rFonts w:ascii="Times New Roman" w:hAnsi="Times New Roman" w:cs="Times New Roman"/>
                <w:b/>
                <w:color w:val="auto"/>
                <w:sz w:val="21"/>
                <w:lang w:eastAsia="zh-CN"/>
              </w:rPr>
              <w:t>污水处理厂接管情况</w:t>
            </w:r>
          </w:p>
        </w:tc>
        <w:tc>
          <w:tcPr>
            <w:tcW w:w="778" w:type="pct"/>
            <w:gridSpan w:val="2"/>
            <w:vAlign w:val="center"/>
          </w:tcPr>
          <w:p w14:paraId="087957DA">
            <w:pPr>
              <w:topLinePunct/>
              <w:jc w:val="center"/>
              <w:rPr>
                <w:rFonts w:ascii="Times New Roman" w:hAnsi="Times New Roman" w:cs="Times New Roman"/>
                <w:b/>
                <w:color w:val="auto"/>
                <w:sz w:val="21"/>
                <w:lang w:eastAsia="zh-CN"/>
              </w:rPr>
            </w:pPr>
            <w:r>
              <w:rPr>
                <w:rFonts w:ascii="Times New Roman" w:hAnsi="Times New Roman" w:cs="Times New Roman"/>
                <w:b/>
                <w:color w:val="auto"/>
                <w:sz w:val="21"/>
                <w:lang w:eastAsia="zh-CN"/>
              </w:rPr>
              <w:t>排放至外环境情况</w:t>
            </w:r>
          </w:p>
        </w:tc>
      </w:tr>
      <w:tr w14:paraId="58F0D0C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315" w:type="pct"/>
            <w:vMerge w:val="continue"/>
            <w:vAlign w:val="center"/>
          </w:tcPr>
          <w:p w14:paraId="5CBCC5A7">
            <w:pPr>
              <w:topLinePunct/>
              <w:jc w:val="center"/>
              <w:rPr>
                <w:rFonts w:ascii="Times New Roman" w:hAnsi="Times New Roman" w:cs="Times New Roman"/>
                <w:color w:val="auto"/>
                <w:sz w:val="21"/>
              </w:rPr>
            </w:pPr>
          </w:p>
        </w:tc>
        <w:tc>
          <w:tcPr>
            <w:tcW w:w="382" w:type="pct"/>
            <w:vMerge w:val="continue"/>
            <w:vAlign w:val="center"/>
          </w:tcPr>
          <w:p w14:paraId="50F78E94">
            <w:pPr>
              <w:topLinePunct/>
              <w:jc w:val="center"/>
              <w:rPr>
                <w:rFonts w:ascii="Times New Roman" w:hAnsi="Times New Roman" w:cs="Times New Roman"/>
                <w:color w:val="auto"/>
                <w:sz w:val="21"/>
              </w:rPr>
            </w:pPr>
          </w:p>
        </w:tc>
        <w:tc>
          <w:tcPr>
            <w:tcW w:w="382" w:type="pct"/>
            <w:vAlign w:val="center"/>
          </w:tcPr>
          <w:p w14:paraId="4425A7B8">
            <w:pPr>
              <w:topLinePunct/>
              <w:jc w:val="center"/>
              <w:rPr>
                <w:rFonts w:ascii="Times New Roman" w:hAnsi="Times New Roman" w:cs="Times New Roman"/>
                <w:b/>
                <w:bCs/>
                <w:color w:val="auto"/>
                <w:sz w:val="21"/>
              </w:rPr>
            </w:pPr>
            <w:r>
              <w:rPr>
                <w:rFonts w:ascii="Times New Roman" w:hAnsi="Times New Roman" w:cs="Times New Roman"/>
                <w:b/>
                <w:bCs/>
                <w:color w:val="auto"/>
                <w:sz w:val="21"/>
              </w:rPr>
              <w:t>废水产生量m</w:t>
            </w:r>
            <w:r>
              <w:rPr>
                <w:rFonts w:ascii="Times New Roman" w:hAnsi="Times New Roman" w:cs="Times New Roman"/>
                <w:b/>
                <w:bCs/>
                <w:color w:val="auto"/>
                <w:sz w:val="21"/>
                <w:vertAlign w:val="superscript"/>
              </w:rPr>
              <w:t>3</w:t>
            </w:r>
            <w:r>
              <w:rPr>
                <w:rFonts w:ascii="Times New Roman" w:hAnsi="Times New Roman" w:cs="Times New Roman"/>
                <w:b/>
                <w:bCs/>
                <w:color w:val="auto"/>
                <w:sz w:val="21"/>
              </w:rPr>
              <w:t>/d</w:t>
            </w:r>
          </w:p>
        </w:tc>
        <w:tc>
          <w:tcPr>
            <w:tcW w:w="384" w:type="pct"/>
            <w:vAlign w:val="center"/>
          </w:tcPr>
          <w:p w14:paraId="73A02385">
            <w:pPr>
              <w:topLinePunct/>
              <w:jc w:val="center"/>
              <w:rPr>
                <w:rFonts w:ascii="Times New Roman" w:hAnsi="Times New Roman" w:cs="Times New Roman"/>
                <w:b/>
                <w:bCs/>
                <w:color w:val="auto"/>
                <w:sz w:val="21"/>
              </w:rPr>
            </w:pPr>
            <w:r>
              <w:rPr>
                <w:rFonts w:ascii="Times New Roman" w:hAnsi="Times New Roman" w:cs="Times New Roman"/>
                <w:b/>
                <w:bCs/>
                <w:color w:val="auto"/>
                <w:sz w:val="21"/>
              </w:rPr>
              <w:t>废水产生量m</w:t>
            </w:r>
            <w:r>
              <w:rPr>
                <w:rFonts w:ascii="Times New Roman" w:hAnsi="Times New Roman" w:cs="Times New Roman"/>
                <w:b/>
                <w:bCs/>
                <w:color w:val="auto"/>
                <w:sz w:val="21"/>
                <w:vertAlign w:val="superscript"/>
              </w:rPr>
              <w:t>3</w:t>
            </w:r>
            <w:r>
              <w:rPr>
                <w:rFonts w:ascii="Times New Roman" w:hAnsi="Times New Roman" w:cs="Times New Roman"/>
                <w:b/>
                <w:bCs/>
                <w:color w:val="auto"/>
                <w:sz w:val="21"/>
              </w:rPr>
              <w:t>/a</w:t>
            </w:r>
          </w:p>
        </w:tc>
        <w:tc>
          <w:tcPr>
            <w:tcW w:w="281" w:type="pct"/>
            <w:vAlign w:val="center"/>
          </w:tcPr>
          <w:p w14:paraId="617F91D0">
            <w:pPr>
              <w:topLinePunct/>
              <w:jc w:val="center"/>
              <w:rPr>
                <w:rFonts w:ascii="Times New Roman" w:hAnsi="Times New Roman" w:cs="Times New Roman"/>
                <w:b/>
                <w:bCs/>
                <w:color w:val="auto"/>
                <w:sz w:val="21"/>
              </w:rPr>
            </w:pPr>
            <w:r>
              <w:rPr>
                <w:rFonts w:ascii="Times New Roman" w:hAnsi="Times New Roman" w:cs="Times New Roman"/>
                <w:b/>
                <w:bCs/>
                <w:color w:val="auto"/>
                <w:sz w:val="21"/>
              </w:rPr>
              <w:t>核算方法</w:t>
            </w:r>
          </w:p>
        </w:tc>
        <w:tc>
          <w:tcPr>
            <w:tcW w:w="377" w:type="pct"/>
            <w:vAlign w:val="center"/>
          </w:tcPr>
          <w:p w14:paraId="7609B2FF">
            <w:pPr>
              <w:topLinePunct/>
              <w:jc w:val="center"/>
              <w:rPr>
                <w:rFonts w:ascii="Times New Roman" w:hAnsi="Times New Roman" w:cs="Times New Roman"/>
                <w:b/>
                <w:bCs/>
                <w:color w:val="auto"/>
                <w:sz w:val="21"/>
              </w:rPr>
            </w:pPr>
            <w:r>
              <w:rPr>
                <w:rFonts w:ascii="Times New Roman" w:hAnsi="Times New Roman" w:cs="Times New Roman"/>
                <w:b/>
                <w:bCs/>
                <w:color w:val="auto"/>
                <w:sz w:val="21"/>
              </w:rPr>
              <w:t>产生浓度mg/L</w:t>
            </w:r>
          </w:p>
        </w:tc>
        <w:tc>
          <w:tcPr>
            <w:tcW w:w="412" w:type="pct"/>
            <w:vAlign w:val="center"/>
          </w:tcPr>
          <w:p w14:paraId="6D24EA0E">
            <w:pPr>
              <w:topLinePunct/>
              <w:jc w:val="center"/>
              <w:rPr>
                <w:rFonts w:ascii="Times New Roman" w:hAnsi="Times New Roman" w:cs="Times New Roman"/>
                <w:b/>
                <w:bCs/>
                <w:color w:val="auto"/>
                <w:sz w:val="21"/>
              </w:rPr>
            </w:pPr>
            <w:r>
              <w:rPr>
                <w:rFonts w:ascii="Times New Roman" w:hAnsi="Times New Roman" w:cs="Times New Roman"/>
                <w:b/>
                <w:bCs/>
                <w:color w:val="auto"/>
                <w:sz w:val="21"/>
              </w:rPr>
              <w:t>产生量t/a</w:t>
            </w:r>
          </w:p>
        </w:tc>
        <w:tc>
          <w:tcPr>
            <w:tcW w:w="475" w:type="pct"/>
            <w:vAlign w:val="center"/>
          </w:tcPr>
          <w:p w14:paraId="3C33FA05">
            <w:pPr>
              <w:topLinePunct/>
              <w:jc w:val="center"/>
              <w:rPr>
                <w:rFonts w:ascii="Times New Roman" w:hAnsi="Times New Roman" w:cs="Times New Roman"/>
                <w:b/>
                <w:bCs/>
                <w:color w:val="auto"/>
                <w:sz w:val="21"/>
              </w:rPr>
            </w:pPr>
            <w:r>
              <w:rPr>
                <w:rFonts w:ascii="Times New Roman" w:hAnsi="Times New Roman" w:cs="Times New Roman"/>
                <w:b/>
                <w:bCs/>
                <w:color w:val="auto"/>
                <w:sz w:val="21"/>
              </w:rPr>
              <w:t>治理工艺</w:t>
            </w:r>
          </w:p>
        </w:tc>
        <w:tc>
          <w:tcPr>
            <w:tcW w:w="371" w:type="pct"/>
            <w:vAlign w:val="center"/>
          </w:tcPr>
          <w:p w14:paraId="310B710D">
            <w:pPr>
              <w:topLinePunct/>
              <w:jc w:val="center"/>
              <w:rPr>
                <w:rFonts w:ascii="Times New Roman" w:hAnsi="Times New Roman" w:cs="Times New Roman"/>
                <w:b/>
                <w:bCs/>
                <w:color w:val="auto"/>
                <w:sz w:val="21"/>
              </w:rPr>
            </w:pPr>
            <w:r>
              <w:rPr>
                <w:rFonts w:ascii="Times New Roman" w:hAnsi="Times New Roman" w:cs="Times New Roman"/>
                <w:b/>
                <w:bCs/>
                <w:color w:val="auto"/>
                <w:sz w:val="21"/>
              </w:rPr>
              <w:t>排放浓度mg/L</w:t>
            </w:r>
          </w:p>
        </w:tc>
        <w:tc>
          <w:tcPr>
            <w:tcW w:w="360" w:type="pct"/>
            <w:vAlign w:val="center"/>
          </w:tcPr>
          <w:p w14:paraId="1EFCD465">
            <w:pPr>
              <w:topLinePunct/>
              <w:jc w:val="center"/>
              <w:rPr>
                <w:rFonts w:ascii="Times New Roman" w:hAnsi="Times New Roman" w:cs="Times New Roman"/>
                <w:b/>
                <w:bCs/>
                <w:color w:val="auto"/>
                <w:sz w:val="21"/>
              </w:rPr>
            </w:pPr>
            <w:r>
              <w:rPr>
                <w:rFonts w:ascii="Times New Roman" w:hAnsi="Times New Roman" w:cs="Times New Roman"/>
                <w:b/>
                <w:bCs/>
                <w:color w:val="auto"/>
                <w:sz w:val="21"/>
              </w:rPr>
              <w:t>排放量t/a</w:t>
            </w:r>
          </w:p>
        </w:tc>
        <w:tc>
          <w:tcPr>
            <w:tcW w:w="483" w:type="pct"/>
            <w:vAlign w:val="center"/>
          </w:tcPr>
          <w:p w14:paraId="646CE3E8">
            <w:pPr>
              <w:topLinePunct/>
              <w:jc w:val="center"/>
              <w:rPr>
                <w:rFonts w:ascii="Times New Roman" w:hAnsi="Times New Roman" w:cs="Times New Roman"/>
                <w:color w:val="auto"/>
                <w:sz w:val="21"/>
              </w:rPr>
            </w:pPr>
            <w:r>
              <w:rPr>
                <w:rFonts w:ascii="Times New Roman" w:hAnsi="Times New Roman" w:cs="Times New Roman"/>
                <w:b/>
                <w:bCs/>
                <w:color w:val="auto"/>
                <w:sz w:val="21"/>
                <w:lang w:eastAsia="zh-CN"/>
              </w:rPr>
              <w:t>接管标准</w:t>
            </w:r>
            <w:r>
              <w:rPr>
                <w:rFonts w:ascii="Times New Roman" w:hAnsi="Times New Roman" w:cs="Times New Roman"/>
                <w:b/>
                <w:bCs/>
                <w:color w:val="auto"/>
                <w:sz w:val="21"/>
              </w:rPr>
              <w:t>mg/L</w:t>
            </w:r>
          </w:p>
        </w:tc>
        <w:tc>
          <w:tcPr>
            <w:tcW w:w="383" w:type="pct"/>
            <w:vAlign w:val="center"/>
          </w:tcPr>
          <w:p w14:paraId="4070247B">
            <w:pPr>
              <w:topLinePunct/>
              <w:jc w:val="center"/>
              <w:rPr>
                <w:rFonts w:ascii="Times New Roman" w:hAnsi="Times New Roman" w:cs="Times New Roman"/>
                <w:b/>
                <w:color w:val="auto"/>
                <w:sz w:val="21"/>
              </w:rPr>
            </w:pPr>
            <w:r>
              <w:rPr>
                <w:rFonts w:ascii="Times New Roman" w:hAnsi="Times New Roman" w:cs="Times New Roman"/>
                <w:b/>
                <w:bCs/>
                <w:color w:val="auto"/>
                <w:sz w:val="21"/>
                <w:lang w:eastAsia="zh-CN"/>
              </w:rPr>
              <w:t>排放标准</w:t>
            </w:r>
            <w:r>
              <w:rPr>
                <w:rFonts w:ascii="Times New Roman" w:hAnsi="Times New Roman" w:cs="Times New Roman"/>
                <w:b/>
                <w:bCs/>
                <w:color w:val="auto"/>
                <w:sz w:val="21"/>
              </w:rPr>
              <w:t>mg/L</w:t>
            </w:r>
          </w:p>
        </w:tc>
        <w:tc>
          <w:tcPr>
            <w:tcW w:w="395" w:type="pct"/>
            <w:vAlign w:val="center"/>
          </w:tcPr>
          <w:p w14:paraId="29345D6C">
            <w:pPr>
              <w:topLinePunct/>
              <w:jc w:val="center"/>
              <w:rPr>
                <w:rFonts w:ascii="Times New Roman" w:hAnsi="Times New Roman" w:cs="Times New Roman"/>
                <w:b/>
                <w:color w:val="auto"/>
                <w:sz w:val="21"/>
              </w:rPr>
            </w:pPr>
            <w:r>
              <w:rPr>
                <w:rFonts w:ascii="Times New Roman" w:hAnsi="Times New Roman" w:cs="Times New Roman"/>
                <w:b/>
                <w:color w:val="auto"/>
                <w:sz w:val="21"/>
                <w:lang w:eastAsia="zh-CN"/>
              </w:rPr>
              <w:t>排放量t/a</w:t>
            </w:r>
          </w:p>
        </w:tc>
      </w:tr>
      <w:tr w14:paraId="33E14C1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315" w:type="pct"/>
            <w:vMerge w:val="restart"/>
            <w:vAlign w:val="center"/>
          </w:tcPr>
          <w:p w14:paraId="298716C6">
            <w:pPr>
              <w:topLinePunct/>
              <w:jc w:val="center"/>
              <w:rPr>
                <w:rFonts w:ascii="Times New Roman" w:hAnsi="Times New Roman" w:cs="Times New Roman"/>
                <w:color w:val="auto"/>
                <w:sz w:val="21"/>
                <w:lang w:eastAsia="zh-CN"/>
              </w:rPr>
            </w:pPr>
          </w:p>
        </w:tc>
        <w:tc>
          <w:tcPr>
            <w:tcW w:w="382" w:type="pct"/>
            <w:vAlign w:val="center"/>
          </w:tcPr>
          <w:p w14:paraId="3E817CA7">
            <w:pPr>
              <w:pStyle w:val="81"/>
              <w:topLinePunct/>
              <w:jc w:val="center"/>
              <w:rPr>
                <w:rFonts w:ascii="Times New Roman" w:hAnsi="Times New Roman" w:eastAsia="宋体" w:cs="Times New Roman"/>
                <w:color w:val="auto"/>
                <w:sz w:val="21"/>
                <w:szCs w:val="21"/>
              </w:rPr>
            </w:pPr>
          </w:p>
        </w:tc>
        <w:tc>
          <w:tcPr>
            <w:tcW w:w="382" w:type="pct"/>
            <w:vMerge w:val="restart"/>
            <w:vAlign w:val="center"/>
          </w:tcPr>
          <w:p w14:paraId="0897DA87">
            <w:pPr>
              <w:topLinePunct/>
              <w:jc w:val="center"/>
              <w:rPr>
                <w:rFonts w:ascii="Times New Roman" w:hAnsi="Times New Roman" w:cs="Times New Roman"/>
                <w:color w:val="auto"/>
                <w:sz w:val="21"/>
                <w:lang w:eastAsia="zh-CN"/>
              </w:rPr>
            </w:pPr>
          </w:p>
        </w:tc>
        <w:tc>
          <w:tcPr>
            <w:tcW w:w="384" w:type="pct"/>
            <w:vMerge w:val="restart"/>
            <w:vAlign w:val="center"/>
          </w:tcPr>
          <w:p w14:paraId="44A727F0">
            <w:pPr>
              <w:topLinePunct/>
              <w:jc w:val="center"/>
              <w:rPr>
                <w:rFonts w:ascii="Times New Roman" w:hAnsi="Times New Roman" w:cs="Times New Roman"/>
                <w:color w:val="auto"/>
                <w:sz w:val="21"/>
                <w:lang w:eastAsia="zh-CN"/>
              </w:rPr>
            </w:pPr>
          </w:p>
        </w:tc>
        <w:tc>
          <w:tcPr>
            <w:tcW w:w="281" w:type="pct"/>
            <w:vMerge w:val="restart"/>
            <w:vAlign w:val="center"/>
          </w:tcPr>
          <w:p w14:paraId="5BB3F32F">
            <w:pPr>
              <w:topLinePunct/>
              <w:jc w:val="center"/>
              <w:rPr>
                <w:rFonts w:ascii="Times New Roman" w:hAnsi="Times New Roman" w:cs="Times New Roman"/>
                <w:color w:val="auto"/>
                <w:sz w:val="21"/>
                <w:lang w:eastAsia="zh-CN"/>
              </w:rPr>
            </w:pPr>
          </w:p>
        </w:tc>
        <w:tc>
          <w:tcPr>
            <w:tcW w:w="377" w:type="pct"/>
            <w:vAlign w:val="center"/>
          </w:tcPr>
          <w:p w14:paraId="2185397A">
            <w:pPr>
              <w:pStyle w:val="81"/>
              <w:topLinePunct/>
              <w:jc w:val="center"/>
              <w:rPr>
                <w:rFonts w:ascii="Times New Roman" w:hAnsi="Times New Roman" w:eastAsia="宋体" w:cs="Times New Roman"/>
                <w:color w:val="auto"/>
                <w:sz w:val="21"/>
                <w:szCs w:val="21"/>
                <w:lang w:eastAsia="zh-CN"/>
              </w:rPr>
            </w:pPr>
          </w:p>
        </w:tc>
        <w:tc>
          <w:tcPr>
            <w:tcW w:w="412" w:type="pct"/>
            <w:tcBorders>
              <w:top w:val="single" w:color="auto" w:sz="4" w:space="0"/>
            </w:tcBorders>
            <w:vAlign w:val="center"/>
          </w:tcPr>
          <w:p w14:paraId="0EFACA46">
            <w:pPr>
              <w:topLinePunct/>
              <w:jc w:val="center"/>
              <w:textAlignment w:val="center"/>
              <w:rPr>
                <w:rFonts w:ascii="Times New Roman" w:hAnsi="Times New Roman" w:cs="Times New Roman"/>
                <w:color w:val="auto"/>
                <w:sz w:val="21"/>
                <w:lang w:eastAsia="zh-CN"/>
              </w:rPr>
            </w:pPr>
          </w:p>
        </w:tc>
        <w:tc>
          <w:tcPr>
            <w:tcW w:w="475" w:type="pct"/>
            <w:vMerge w:val="restart"/>
            <w:tcBorders>
              <w:top w:val="single" w:color="auto" w:sz="4" w:space="0"/>
            </w:tcBorders>
            <w:vAlign w:val="center"/>
          </w:tcPr>
          <w:p w14:paraId="462EA7CF">
            <w:pPr>
              <w:topLinePunc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依托现有厂区</w:t>
            </w:r>
            <w:r>
              <w:rPr>
                <w:rFonts w:ascii="Times New Roman" w:hAnsi="Times New Roman" w:cs="Times New Roman"/>
                <w:color w:val="auto"/>
                <w:sz w:val="21"/>
                <w:lang w:eastAsia="zh-CN"/>
              </w:rPr>
              <w:t>污水处理站</w:t>
            </w:r>
            <w:r>
              <w:rPr>
                <w:rFonts w:hint="eastAsia" w:ascii="Times New Roman" w:hAnsi="Times New Roman" w:cs="Times New Roman"/>
                <w:color w:val="auto"/>
                <w:sz w:val="21"/>
                <w:lang w:eastAsia="zh-CN"/>
              </w:rPr>
              <w:t>“四级</w:t>
            </w:r>
            <w:r>
              <w:rPr>
                <w:rFonts w:ascii="Times New Roman" w:hAnsi="Times New Roman" w:cs="Times New Roman"/>
                <w:color w:val="auto"/>
                <w:sz w:val="21"/>
                <w:lang w:eastAsia="zh-CN"/>
              </w:rPr>
              <w:t>除氟反应</w:t>
            </w:r>
            <w:r>
              <w:rPr>
                <w:rFonts w:hint="eastAsia" w:ascii="Times New Roman" w:hAnsi="Times New Roman" w:cs="Times New Roman"/>
                <w:color w:val="auto"/>
                <w:sz w:val="21"/>
                <w:lang w:eastAsia="zh-CN"/>
              </w:rPr>
              <w:t>+四级除氟沉淀”</w:t>
            </w:r>
            <w:r>
              <w:rPr>
                <w:rFonts w:ascii="Times New Roman" w:hAnsi="Times New Roman" w:cs="Times New Roman"/>
                <w:color w:val="auto"/>
                <w:sz w:val="21"/>
                <w:lang w:eastAsia="zh-CN"/>
              </w:rPr>
              <w:t>处理</w:t>
            </w:r>
          </w:p>
        </w:tc>
        <w:tc>
          <w:tcPr>
            <w:tcW w:w="371" w:type="pct"/>
            <w:vAlign w:val="center"/>
          </w:tcPr>
          <w:p w14:paraId="06E89BE0">
            <w:pPr>
              <w:topLinePunct/>
              <w:jc w:val="center"/>
              <w:rPr>
                <w:rFonts w:ascii="Times New Roman" w:hAnsi="Times New Roman" w:cs="Times New Roman"/>
                <w:color w:val="auto"/>
                <w:sz w:val="21"/>
              </w:rPr>
            </w:pPr>
            <w:r>
              <w:rPr>
                <w:rFonts w:ascii="Times New Roman" w:hAnsi="Times New Roman" w:cs="Times New Roman"/>
                <w:color w:val="auto"/>
                <w:sz w:val="21"/>
              </w:rPr>
              <w:t>/</w:t>
            </w:r>
          </w:p>
        </w:tc>
        <w:tc>
          <w:tcPr>
            <w:tcW w:w="360" w:type="pct"/>
            <w:tcBorders>
              <w:top w:val="single" w:color="auto" w:sz="4" w:space="0"/>
            </w:tcBorders>
            <w:vAlign w:val="center"/>
          </w:tcPr>
          <w:p w14:paraId="24B09487">
            <w:pPr>
              <w:topLinePunct/>
              <w:jc w:val="center"/>
              <w:rPr>
                <w:rFonts w:ascii="Times New Roman" w:hAnsi="Times New Roman" w:cs="Times New Roman"/>
                <w:color w:val="auto"/>
                <w:sz w:val="21"/>
              </w:rPr>
            </w:pPr>
            <w:r>
              <w:rPr>
                <w:rFonts w:ascii="Times New Roman" w:hAnsi="Times New Roman" w:cs="Times New Roman"/>
                <w:color w:val="auto"/>
                <w:sz w:val="21"/>
              </w:rPr>
              <w:t>/</w:t>
            </w:r>
          </w:p>
        </w:tc>
        <w:tc>
          <w:tcPr>
            <w:tcW w:w="483" w:type="pct"/>
            <w:tcBorders>
              <w:top w:val="single" w:color="auto" w:sz="4" w:space="0"/>
            </w:tcBorders>
            <w:vAlign w:val="center"/>
          </w:tcPr>
          <w:p w14:paraId="253EC2B5">
            <w:pPr>
              <w:topLinePunct/>
              <w:jc w:val="center"/>
              <w:rPr>
                <w:rFonts w:ascii="Times New Roman" w:hAnsi="Times New Roman" w:cs="Times New Roman"/>
                <w:color w:val="auto"/>
                <w:sz w:val="21"/>
                <w:lang w:eastAsia="zh-CN"/>
              </w:rPr>
            </w:pPr>
          </w:p>
        </w:tc>
        <w:tc>
          <w:tcPr>
            <w:tcW w:w="383" w:type="pct"/>
            <w:vAlign w:val="center"/>
          </w:tcPr>
          <w:p w14:paraId="73C04E0D">
            <w:pPr>
              <w:topLinePunct/>
              <w:jc w:val="center"/>
              <w:rPr>
                <w:rFonts w:ascii="Times New Roman" w:hAnsi="Times New Roman" w:cs="Times New Roman"/>
                <w:color w:val="auto"/>
                <w:sz w:val="21"/>
              </w:rPr>
            </w:pPr>
          </w:p>
        </w:tc>
        <w:tc>
          <w:tcPr>
            <w:tcW w:w="395" w:type="pct"/>
            <w:vAlign w:val="center"/>
          </w:tcPr>
          <w:p w14:paraId="337F40AF">
            <w:pPr>
              <w:topLinePunct/>
              <w:jc w:val="center"/>
              <w:rPr>
                <w:rFonts w:ascii="Times New Roman" w:hAnsi="Times New Roman" w:cs="Times New Roman"/>
                <w:color w:val="auto"/>
                <w:sz w:val="21"/>
              </w:rPr>
            </w:pPr>
            <w:r>
              <w:rPr>
                <w:rFonts w:ascii="Times New Roman" w:hAnsi="Times New Roman" w:cs="Times New Roman"/>
                <w:color w:val="auto"/>
                <w:sz w:val="21"/>
              </w:rPr>
              <w:t>/</w:t>
            </w:r>
          </w:p>
        </w:tc>
      </w:tr>
      <w:tr w14:paraId="55E72C9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315" w:type="pct"/>
            <w:vMerge w:val="continue"/>
            <w:vAlign w:val="center"/>
          </w:tcPr>
          <w:p w14:paraId="653027DA">
            <w:pPr>
              <w:topLinePunct/>
              <w:jc w:val="center"/>
              <w:rPr>
                <w:rFonts w:ascii="Times New Roman" w:hAnsi="Times New Roman" w:cs="Times New Roman"/>
                <w:color w:val="auto"/>
                <w:sz w:val="21"/>
                <w:lang w:eastAsia="zh-CN" w:bidi="ar"/>
              </w:rPr>
            </w:pPr>
          </w:p>
        </w:tc>
        <w:tc>
          <w:tcPr>
            <w:tcW w:w="382" w:type="pct"/>
            <w:vAlign w:val="center"/>
          </w:tcPr>
          <w:p w14:paraId="0375C3D2">
            <w:pPr>
              <w:pStyle w:val="81"/>
              <w:topLinePunct/>
              <w:jc w:val="center"/>
              <w:rPr>
                <w:rFonts w:ascii="Times New Roman" w:hAnsi="Times New Roman" w:eastAsia="宋体" w:cs="Times New Roman"/>
                <w:color w:val="auto"/>
                <w:sz w:val="21"/>
                <w:szCs w:val="21"/>
              </w:rPr>
            </w:pPr>
          </w:p>
        </w:tc>
        <w:tc>
          <w:tcPr>
            <w:tcW w:w="382" w:type="pct"/>
            <w:vMerge w:val="continue"/>
            <w:vAlign w:val="center"/>
          </w:tcPr>
          <w:p w14:paraId="57E5F8CC">
            <w:pPr>
              <w:topLinePunct/>
              <w:jc w:val="center"/>
              <w:rPr>
                <w:rFonts w:ascii="Times New Roman" w:hAnsi="Times New Roman" w:cs="Times New Roman"/>
                <w:color w:val="auto"/>
                <w:sz w:val="21"/>
                <w:lang w:eastAsia="zh-CN"/>
              </w:rPr>
            </w:pPr>
          </w:p>
        </w:tc>
        <w:tc>
          <w:tcPr>
            <w:tcW w:w="384" w:type="pct"/>
            <w:vMerge w:val="continue"/>
            <w:vAlign w:val="center"/>
          </w:tcPr>
          <w:p w14:paraId="2C869C14">
            <w:pPr>
              <w:topLinePunct/>
              <w:jc w:val="center"/>
              <w:rPr>
                <w:rFonts w:ascii="Times New Roman" w:hAnsi="Times New Roman" w:cs="Times New Roman"/>
                <w:color w:val="auto"/>
                <w:sz w:val="21"/>
                <w:lang w:eastAsia="zh-CN"/>
              </w:rPr>
            </w:pPr>
          </w:p>
        </w:tc>
        <w:tc>
          <w:tcPr>
            <w:tcW w:w="281" w:type="pct"/>
            <w:vMerge w:val="continue"/>
            <w:vAlign w:val="center"/>
          </w:tcPr>
          <w:p w14:paraId="431E694E">
            <w:pPr>
              <w:topLinePunct/>
              <w:jc w:val="center"/>
              <w:rPr>
                <w:rFonts w:ascii="Times New Roman" w:hAnsi="Times New Roman" w:cs="Times New Roman"/>
                <w:color w:val="auto"/>
                <w:sz w:val="21"/>
                <w:lang w:eastAsia="zh-CN"/>
              </w:rPr>
            </w:pPr>
          </w:p>
        </w:tc>
        <w:tc>
          <w:tcPr>
            <w:tcW w:w="377" w:type="pct"/>
            <w:vAlign w:val="center"/>
          </w:tcPr>
          <w:p w14:paraId="00BABE77">
            <w:pPr>
              <w:pStyle w:val="81"/>
              <w:topLinePunct/>
              <w:jc w:val="center"/>
              <w:rPr>
                <w:rFonts w:ascii="Times New Roman" w:hAnsi="Times New Roman" w:eastAsia="宋体" w:cs="Times New Roman"/>
                <w:color w:val="auto"/>
                <w:sz w:val="21"/>
                <w:szCs w:val="21"/>
                <w:lang w:eastAsia="zh-CN"/>
              </w:rPr>
            </w:pPr>
          </w:p>
        </w:tc>
        <w:tc>
          <w:tcPr>
            <w:tcW w:w="412" w:type="pct"/>
            <w:tcBorders>
              <w:top w:val="single" w:color="auto" w:sz="4" w:space="0"/>
            </w:tcBorders>
            <w:vAlign w:val="center"/>
          </w:tcPr>
          <w:p w14:paraId="172988A4">
            <w:pPr>
              <w:topLinePunct/>
              <w:jc w:val="center"/>
              <w:textAlignment w:val="center"/>
              <w:rPr>
                <w:rFonts w:ascii="Times New Roman" w:hAnsi="Times New Roman" w:cs="Times New Roman"/>
                <w:color w:val="auto"/>
                <w:sz w:val="21"/>
                <w:lang w:eastAsia="zh-CN"/>
              </w:rPr>
            </w:pPr>
          </w:p>
        </w:tc>
        <w:tc>
          <w:tcPr>
            <w:tcW w:w="475" w:type="pct"/>
            <w:vMerge w:val="continue"/>
            <w:vAlign w:val="center"/>
          </w:tcPr>
          <w:p w14:paraId="2F6BB1E7">
            <w:pPr>
              <w:topLinePunct/>
              <w:jc w:val="center"/>
              <w:rPr>
                <w:rFonts w:ascii="Times New Roman" w:hAnsi="Times New Roman" w:cs="Times New Roman"/>
                <w:color w:val="auto"/>
                <w:sz w:val="21"/>
                <w:lang w:eastAsia="zh-CN"/>
              </w:rPr>
            </w:pPr>
          </w:p>
        </w:tc>
        <w:tc>
          <w:tcPr>
            <w:tcW w:w="371" w:type="pct"/>
            <w:vAlign w:val="center"/>
          </w:tcPr>
          <w:p w14:paraId="5194C458">
            <w:pPr>
              <w:topLinePunc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360" w:type="pct"/>
            <w:tcBorders>
              <w:top w:val="single" w:color="auto" w:sz="4" w:space="0"/>
            </w:tcBorders>
            <w:vAlign w:val="center"/>
          </w:tcPr>
          <w:p w14:paraId="533D48DC">
            <w:pPr>
              <w:topLinePunc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483" w:type="pct"/>
            <w:tcBorders>
              <w:top w:val="single" w:color="auto" w:sz="4" w:space="0"/>
            </w:tcBorders>
            <w:vAlign w:val="center"/>
          </w:tcPr>
          <w:p w14:paraId="7120FCD5">
            <w:pPr>
              <w:topLinePunct/>
              <w:jc w:val="center"/>
              <w:rPr>
                <w:rFonts w:ascii="Times New Roman" w:hAnsi="Times New Roman" w:cs="Times New Roman"/>
                <w:color w:val="auto"/>
                <w:sz w:val="21"/>
                <w:lang w:eastAsia="zh-CN"/>
              </w:rPr>
            </w:pPr>
          </w:p>
        </w:tc>
        <w:tc>
          <w:tcPr>
            <w:tcW w:w="383" w:type="pct"/>
            <w:vAlign w:val="center"/>
          </w:tcPr>
          <w:p w14:paraId="19905A36">
            <w:pPr>
              <w:topLinePunct/>
              <w:jc w:val="center"/>
              <w:rPr>
                <w:rFonts w:ascii="Times New Roman" w:hAnsi="Times New Roman" w:cs="Times New Roman"/>
                <w:color w:val="auto"/>
                <w:sz w:val="21"/>
              </w:rPr>
            </w:pPr>
          </w:p>
        </w:tc>
        <w:tc>
          <w:tcPr>
            <w:tcW w:w="395" w:type="pct"/>
            <w:vAlign w:val="center"/>
          </w:tcPr>
          <w:p w14:paraId="51E19392">
            <w:pPr>
              <w:topLinePunct/>
              <w:jc w:val="center"/>
              <w:rPr>
                <w:rFonts w:ascii="Times New Roman" w:hAnsi="Times New Roman" w:cs="Times New Roman"/>
                <w:color w:val="auto"/>
                <w:sz w:val="21"/>
              </w:rPr>
            </w:pPr>
          </w:p>
        </w:tc>
      </w:tr>
      <w:tr w14:paraId="1D0B543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315" w:type="pct"/>
            <w:vMerge w:val="continue"/>
            <w:vAlign w:val="center"/>
          </w:tcPr>
          <w:p w14:paraId="20A693EB">
            <w:pPr>
              <w:topLinePunct/>
              <w:jc w:val="center"/>
              <w:rPr>
                <w:rFonts w:ascii="Times New Roman" w:hAnsi="Times New Roman" w:cs="Times New Roman"/>
                <w:color w:val="auto"/>
                <w:sz w:val="21"/>
                <w:lang w:eastAsia="zh-CN" w:bidi="ar"/>
              </w:rPr>
            </w:pPr>
          </w:p>
        </w:tc>
        <w:tc>
          <w:tcPr>
            <w:tcW w:w="382" w:type="pct"/>
            <w:vAlign w:val="center"/>
          </w:tcPr>
          <w:p w14:paraId="318569E6">
            <w:pPr>
              <w:pStyle w:val="81"/>
              <w:topLinePunct/>
              <w:jc w:val="center"/>
              <w:rPr>
                <w:rFonts w:ascii="Times New Roman" w:hAnsi="Times New Roman" w:eastAsia="宋体" w:cs="Times New Roman"/>
                <w:color w:val="auto"/>
                <w:sz w:val="21"/>
                <w:szCs w:val="21"/>
              </w:rPr>
            </w:pPr>
          </w:p>
        </w:tc>
        <w:tc>
          <w:tcPr>
            <w:tcW w:w="382" w:type="pct"/>
            <w:vMerge w:val="continue"/>
            <w:vAlign w:val="center"/>
          </w:tcPr>
          <w:p w14:paraId="663C79FD">
            <w:pPr>
              <w:topLinePunct/>
              <w:jc w:val="center"/>
              <w:rPr>
                <w:rFonts w:ascii="Times New Roman" w:hAnsi="Times New Roman" w:cs="Times New Roman"/>
                <w:color w:val="auto"/>
                <w:sz w:val="21"/>
                <w:lang w:eastAsia="zh-CN"/>
              </w:rPr>
            </w:pPr>
          </w:p>
        </w:tc>
        <w:tc>
          <w:tcPr>
            <w:tcW w:w="384" w:type="pct"/>
            <w:vMerge w:val="continue"/>
            <w:vAlign w:val="center"/>
          </w:tcPr>
          <w:p w14:paraId="3920CC28">
            <w:pPr>
              <w:topLinePunct/>
              <w:jc w:val="center"/>
              <w:rPr>
                <w:rFonts w:ascii="Times New Roman" w:hAnsi="Times New Roman" w:cs="Times New Roman"/>
                <w:color w:val="auto"/>
                <w:sz w:val="21"/>
                <w:lang w:eastAsia="zh-CN"/>
              </w:rPr>
            </w:pPr>
          </w:p>
        </w:tc>
        <w:tc>
          <w:tcPr>
            <w:tcW w:w="281" w:type="pct"/>
            <w:vMerge w:val="continue"/>
            <w:vAlign w:val="center"/>
          </w:tcPr>
          <w:p w14:paraId="3A44EDED">
            <w:pPr>
              <w:topLinePunct/>
              <w:jc w:val="center"/>
              <w:rPr>
                <w:rFonts w:ascii="Times New Roman" w:hAnsi="Times New Roman" w:cs="Times New Roman"/>
                <w:color w:val="auto"/>
                <w:sz w:val="21"/>
                <w:lang w:eastAsia="zh-CN"/>
              </w:rPr>
            </w:pPr>
          </w:p>
        </w:tc>
        <w:tc>
          <w:tcPr>
            <w:tcW w:w="377" w:type="pct"/>
            <w:vAlign w:val="center"/>
          </w:tcPr>
          <w:p w14:paraId="01687D4F">
            <w:pPr>
              <w:pStyle w:val="81"/>
              <w:topLinePunct/>
              <w:jc w:val="center"/>
              <w:rPr>
                <w:rFonts w:ascii="Times New Roman" w:hAnsi="Times New Roman" w:cs="Times New Roman"/>
                <w:color w:val="auto"/>
                <w:sz w:val="21"/>
                <w:lang w:eastAsia="zh-CN" w:bidi="ar"/>
              </w:rPr>
            </w:pPr>
          </w:p>
        </w:tc>
        <w:tc>
          <w:tcPr>
            <w:tcW w:w="412" w:type="pct"/>
            <w:tcBorders>
              <w:top w:val="single" w:color="auto" w:sz="4" w:space="0"/>
            </w:tcBorders>
            <w:vAlign w:val="center"/>
          </w:tcPr>
          <w:p w14:paraId="209BFBDE">
            <w:pPr>
              <w:topLinePunct/>
              <w:jc w:val="center"/>
              <w:textAlignment w:val="center"/>
              <w:rPr>
                <w:rFonts w:ascii="Times New Roman" w:hAnsi="Times New Roman" w:cs="Times New Roman"/>
                <w:color w:val="auto"/>
                <w:sz w:val="21"/>
                <w:lang w:eastAsia="zh-CN"/>
              </w:rPr>
            </w:pPr>
          </w:p>
        </w:tc>
        <w:tc>
          <w:tcPr>
            <w:tcW w:w="475" w:type="pct"/>
            <w:vMerge w:val="continue"/>
            <w:vAlign w:val="center"/>
          </w:tcPr>
          <w:p w14:paraId="1B1A4805">
            <w:pPr>
              <w:topLinePunct/>
              <w:jc w:val="center"/>
              <w:rPr>
                <w:rFonts w:ascii="Times New Roman" w:hAnsi="Times New Roman" w:cs="Times New Roman"/>
                <w:color w:val="auto"/>
                <w:sz w:val="21"/>
                <w:lang w:eastAsia="zh-CN"/>
              </w:rPr>
            </w:pPr>
          </w:p>
        </w:tc>
        <w:tc>
          <w:tcPr>
            <w:tcW w:w="371" w:type="pct"/>
            <w:vAlign w:val="center"/>
          </w:tcPr>
          <w:p w14:paraId="5A49BB06">
            <w:pPr>
              <w:topLinePunc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c>
          <w:tcPr>
            <w:tcW w:w="360" w:type="pct"/>
            <w:tcBorders>
              <w:top w:val="single" w:color="auto" w:sz="4" w:space="0"/>
            </w:tcBorders>
            <w:vAlign w:val="center"/>
          </w:tcPr>
          <w:p w14:paraId="5998B726">
            <w:pPr>
              <w:topLinePunc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c>
          <w:tcPr>
            <w:tcW w:w="483" w:type="pct"/>
            <w:tcBorders>
              <w:top w:val="single" w:color="auto" w:sz="4" w:space="0"/>
            </w:tcBorders>
            <w:vAlign w:val="center"/>
          </w:tcPr>
          <w:p w14:paraId="52B7066B">
            <w:pPr>
              <w:topLinePunct/>
              <w:jc w:val="center"/>
              <w:rPr>
                <w:rFonts w:ascii="Times New Roman" w:hAnsi="Times New Roman" w:cs="Times New Roman"/>
                <w:color w:val="auto"/>
                <w:sz w:val="21"/>
                <w:lang w:eastAsia="zh-CN"/>
              </w:rPr>
            </w:pPr>
          </w:p>
        </w:tc>
        <w:tc>
          <w:tcPr>
            <w:tcW w:w="383" w:type="pct"/>
            <w:vAlign w:val="center"/>
          </w:tcPr>
          <w:p w14:paraId="527E1A00">
            <w:pPr>
              <w:topLinePunct/>
              <w:jc w:val="center"/>
              <w:rPr>
                <w:rFonts w:ascii="Times New Roman" w:hAnsi="Times New Roman" w:cs="Times New Roman"/>
                <w:color w:val="auto"/>
                <w:sz w:val="21"/>
              </w:rPr>
            </w:pPr>
          </w:p>
        </w:tc>
        <w:tc>
          <w:tcPr>
            <w:tcW w:w="395" w:type="pct"/>
            <w:vAlign w:val="center"/>
          </w:tcPr>
          <w:p w14:paraId="4AB857C1">
            <w:pPr>
              <w:topLinePunct/>
              <w:jc w:val="center"/>
              <w:rPr>
                <w:rFonts w:ascii="Times New Roman" w:hAnsi="Times New Roman" w:cs="Times New Roman"/>
                <w:color w:val="auto"/>
                <w:sz w:val="21"/>
              </w:rPr>
            </w:pPr>
          </w:p>
        </w:tc>
      </w:tr>
      <w:tr w14:paraId="510DB72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315" w:type="pct"/>
            <w:vMerge w:val="continue"/>
            <w:vAlign w:val="center"/>
          </w:tcPr>
          <w:p w14:paraId="56AA984C">
            <w:pPr>
              <w:topLinePunct/>
              <w:jc w:val="center"/>
              <w:rPr>
                <w:rFonts w:ascii="Times New Roman" w:hAnsi="Times New Roman" w:cs="Times New Roman"/>
                <w:color w:val="auto"/>
                <w:sz w:val="21"/>
                <w:lang w:eastAsia="zh-CN" w:bidi="ar"/>
              </w:rPr>
            </w:pPr>
          </w:p>
        </w:tc>
        <w:tc>
          <w:tcPr>
            <w:tcW w:w="382" w:type="pct"/>
            <w:vAlign w:val="center"/>
          </w:tcPr>
          <w:p w14:paraId="69A17F09">
            <w:pPr>
              <w:pStyle w:val="81"/>
              <w:topLinePunct/>
              <w:jc w:val="center"/>
              <w:rPr>
                <w:rFonts w:ascii="Times New Roman" w:hAnsi="Times New Roman" w:eastAsia="宋体" w:cs="Times New Roman"/>
                <w:color w:val="auto"/>
                <w:sz w:val="21"/>
                <w:szCs w:val="21"/>
                <w:lang w:eastAsia="zh-CN"/>
              </w:rPr>
            </w:pPr>
          </w:p>
        </w:tc>
        <w:tc>
          <w:tcPr>
            <w:tcW w:w="382" w:type="pct"/>
            <w:vMerge w:val="continue"/>
            <w:vAlign w:val="center"/>
          </w:tcPr>
          <w:p w14:paraId="73937DE5">
            <w:pPr>
              <w:topLinePunct/>
              <w:jc w:val="center"/>
              <w:rPr>
                <w:rFonts w:ascii="Times New Roman" w:hAnsi="Times New Roman" w:cs="Times New Roman"/>
                <w:color w:val="auto"/>
                <w:sz w:val="21"/>
                <w:lang w:eastAsia="zh-CN"/>
              </w:rPr>
            </w:pPr>
          </w:p>
        </w:tc>
        <w:tc>
          <w:tcPr>
            <w:tcW w:w="384" w:type="pct"/>
            <w:vMerge w:val="continue"/>
            <w:vAlign w:val="center"/>
          </w:tcPr>
          <w:p w14:paraId="7C519D2B">
            <w:pPr>
              <w:topLinePunct/>
              <w:jc w:val="center"/>
              <w:rPr>
                <w:rFonts w:ascii="Times New Roman" w:hAnsi="Times New Roman" w:cs="Times New Roman"/>
                <w:color w:val="auto"/>
                <w:sz w:val="21"/>
                <w:lang w:eastAsia="zh-CN"/>
              </w:rPr>
            </w:pPr>
          </w:p>
        </w:tc>
        <w:tc>
          <w:tcPr>
            <w:tcW w:w="281" w:type="pct"/>
            <w:vMerge w:val="continue"/>
            <w:vAlign w:val="center"/>
          </w:tcPr>
          <w:p w14:paraId="620778E0">
            <w:pPr>
              <w:topLinePunct/>
              <w:jc w:val="center"/>
              <w:rPr>
                <w:rFonts w:ascii="Times New Roman" w:hAnsi="Times New Roman" w:cs="Times New Roman"/>
                <w:color w:val="auto"/>
                <w:sz w:val="21"/>
                <w:lang w:eastAsia="zh-CN"/>
              </w:rPr>
            </w:pPr>
          </w:p>
        </w:tc>
        <w:tc>
          <w:tcPr>
            <w:tcW w:w="377" w:type="pct"/>
            <w:vAlign w:val="center"/>
          </w:tcPr>
          <w:p w14:paraId="53B505C3">
            <w:pPr>
              <w:pStyle w:val="81"/>
              <w:topLinePunct/>
              <w:jc w:val="center"/>
              <w:rPr>
                <w:rFonts w:ascii="Times New Roman" w:hAnsi="Times New Roman" w:cs="Times New Roman"/>
                <w:color w:val="auto"/>
                <w:sz w:val="21"/>
                <w:lang w:eastAsia="zh-CN" w:bidi="ar"/>
              </w:rPr>
            </w:pPr>
          </w:p>
        </w:tc>
        <w:tc>
          <w:tcPr>
            <w:tcW w:w="412" w:type="pct"/>
            <w:tcBorders>
              <w:top w:val="single" w:color="auto" w:sz="4" w:space="0"/>
            </w:tcBorders>
            <w:vAlign w:val="center"/>
          </w:tcPr>
          <w:p w14:paraId="62AAE241">
            <w:pPr>
              <w:topLinePunct/>
              <w:jc w:val="center"/>
              <w:textAlignment w:val="center"/>
              <w:rPr>
                <w:rFonts w:ascii="Times New Roman" w:hAnsi="Times New Roman" w:cs="Times New Roman"/>
                <w:color w:val="auto"/>
                <w:sz w:val="21"/>
                <w:lang w:eastAsia="zh-CN"/>
              </w:rPr>
            </w:pPr>
          </w:p>
        </w:tc>
        <w:tc>
          <w:tcPr>
            <w:tcW w:w="475" w:type="pct"/>
            <w:vMerge w:val="continue"/>
            <w:vAlign w:val="center"/>
          </w:tcPr>
          <w:p w14:paraId="50B6BE57">
            <w:pPr>
              <w:topLinePunct/>
              <w:jc w:val="center"/>
              <w:rPr>
                <w:rFonts w:ascii="Times New Roman" w:hAnsi="Times New Roman" w:cs="Times New Roman"/>
                <w:color w:val="auto"/>
                <w:sz w:val="21"/>
                <w:lang w:eastAsia="zh-CN"/>
              </w:rPr>
            </w:pPr>
          </w:p>
        </w:tc>
        <w:tc>
          <w:tcPr>
            <w:tcW w:w="371" w:type="pct"/>
            <w:vAlign w:val="center"/>
          </w:tcPr>
          <w:p w14:paraId="0DB0EA92">
            <w:pPr>
              <w:topLinePunc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c>
          <w:tcPr>
            <w:tcW w:w="360" w:type="pct"/>
            <w:tcBorders>
              <w:top w:val="single" w:color="auto" w:sz="4" w:space="0"/>
            </w:tcBorders>
            <w:vAlign w:val="center"/>
          </w:tcPr>
          <w:p w14:paraId="5723AA25">
            <w:pPr>
              <w:topLinePunc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c>
          <w:tcPr>
            <w:tcW w:w="483" w:type="pct"/>
            <w:tcBorders>
              <w:top w:val="single" w:color="auto" w:sz="4" w:space="0"/>
            </w:tcBorders>
            <w:vAlign w:val="center"/>
          </w:tcPr>
          <w:p w14:paraId="0E4335BF">
            <w:pPr>
              <w:topLinePunct/>
              <w:jc w:val="center"/>
              <w:rPr>
                <w:rFonts w:ascii="Times New Roman" w:hAnsi="Times New Roman" w:cs="Times New Roman"/>
                <w:color w:val="auto"/>
                <w:sz w:val="21"/>
                <w:lang w:eastAsia="zh-CN"/>
              </w:rPr>
            </w:pPr>
          </w:p>
        </w:tc>
        <w:tc>
          <w:tcPr>
            <w:tcW w:w="383" w:type="pct"/>
            <w:vAlign w:val="center"/>
          </w:tcPr>
          <w:p w14:paraId="43718DDE">
            <w:pPr>
              <w:topLinePunct/>
              <w:jc w:val="center"/>
              <w:rPr>
                <w:rFonts w:ascii="Times New Roman" w:hAnsi="Times New Roman" w:cs="Times New Roman"/>
                <w:color w:val="auto"/>
                <w:sz w:val="21"/>
              </w:rPr>
            </w:pPr>
          </w:p>
        </w:tc>
        <w:tc>
          <w:tcPr>
            <w:tcW w:w="395" w:type="pct"/>
            <w:vAlign w:val="center"/>
          </w:tcPr>
          <w:p w14:paraId="765C614D">
            <w:pPr>
              <w:topLinePunct/>
              <w:jc w:val="center"/>
              <w:rPr>
                <w:rFonts w:ascii="Times New Roman" w:hAnsi="Times New Roman" w:cs="Times New Roman"/>
                <w:color w:val="auto"/>
                <w:sz w:val="21"/>
              </w:rPr>
            </w:pPr>
          </w:p>
        </w:tc>
      </w:tr>
      <w:tr w14:paraId="18E0191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315" w:type="pct"/>
            <w:vMerge w:val="continue"/>
            <w:vAlign w:val="center"/>
          </w:tcPr>
          <w:p w14:paraId="1637B6C6">
            <w:pPr>
              <w:topLinePunct/>
              <w:jc w:val="center"/>
              <w:rPr>
                <w:rFonts w:ascii="Times New Roman" w:hAnsi="Times New Roman" w:cs="Times New Roman"/>
                <w:color w:val="auto"/>
                <w:sz w:val="21"/>
                <w:lang w:eastAsia="zh-CN" w:bidi="ar"/>
              </w:rPr>
            </w:pPr>
          </w:p>
        </w:tc>
        <w:tc>
          <w:tcPr>
            <w:tcW w:w="382" w:type="pct"/>
            <w:vAlign w:val="center"/>
          </w:tcPr>
          <w:p w14:paraId="726B8379">
            <w:pPr>
              <w:pStyle w:val="81"/>
              <w:topLinePunct/>
              <w:jc w:val="center"/>
              <w:rPr>
                <w:rFonts w:ascii="Times New Roman" w:hAnsi="Times New Roman" w:cs="Times New Roman"/>
                <w:color w:val="auto"/>
                <w:sz w:val="21"/>
              </w:rPr>
            </w:pPr>
          </w:p>
        </w:tc>
        <w:tc>
          <w:tcPr>
            <w:tcW w:w="382" w:type="pct"/>
            <w:vMerge w:val="continue"/>
            <w:vAlign w:val="center"/>
          </w:tcPr>
          <w:p w14:paraId="219FA5FB">
            <w:pPr>
              <w:topLinePunct/>
              <w:jc w:val="center"/>
              <w:rPr>
                <w:rFonts w:ascii="Times New Roman" w:hAnsi="Times New Roman" w:cs="Times New Roman"/>
                <w:color w:val="auto"/>
                <w:sz w:val="21"/>
                <w:lang w:eastAsia="zh-CN"/>
              </w:rPr>
            </w:pPr>
          </w:p>
        </w:tc>
        <w:tc>
          <w:tcPr>
            <w:tcW w:w="384" w:type="pct"/>
            <w:vMerge w:val="continue"/>
            <w:vAlign w:val="center"/>
          </w:tcPr>
          <w:p w14:paraId="04AF4CC1">
            <w:pPr>
              <w:topLinePunct/>
              <w:jc w:val="center"/>
              <w:rPr>
                <w:rFonts w:ascii="Times New Roman" w:hAnsi="Times New Roman" w:cs="Times New Roman"/>
                <w:color w:val="auto"/>
                <w:sz w:val="21"/>
                <w:lang w:eastAsia="zh-CN"/>
              </w:rPr>
            </w:pPr>
          </w:p>
        </w:tc>
        <w:tc>
          <w:tcPr>
            <w:tcW w:w="281" w:type="pct"/>
            <w:vMerge w:val="continue"/>
            <w:vAlign w:val="center"/>
          </w:tcPr>
          <w:p w14:paraId="54202EED">
            <w:pPr>
              <w:topLinePunct/>
              <w:jc w:val="center"/>
              <w:rPr>
                <w:rFonts w:ascii="Times New Roman" w:hAnsi="Times New Roman" w:cs="Times New Roman"/>
                <w:color w:val="auto"/>
                <w:sz w:val="21"/>
                <w:lang w:eastAsia="zh-CN"/>
              </w:rPr>
            </w:pPr>
          </w:p>
        </w:tc>
        <w:tc>
          <w:tcPr>
            <w:tcW w:w="377" w:type="pct"/>
            <w:vAlign w:val="center"/>
          </w:tcPr>
          <w:p w14:paraId="71B51761">
            <w:pPr>
              <w:pStyle w:val="81"/>
              <w:topLinePunct/>
              <w:jc w:val="center"/>
              <w:rPr>
                <w:rFonts w:ascii="Times New Roman" w:hAnsi="Times New Roman" w:cs="Times New Roman"/>
                <w:color w:val="auto"/>
                <w:sz w:val="21"/>
                <w:lang w:eastAsia="zh-CN" w:bidi="ar"/>
              </w:rPr>
            </w:pPr>
          </w:p>
        </w:tc>
        <w:tc>
          <w:tcPr>
            <w:tcW w:w="412" w:type="pct"/>
            <w:tcBorders>
              <w:top w:val="single" w:color="auto" w:sz="4" w:space="0"/>
            </w:tcBorders>
            <w:vAlign w:val="center"/>
          </w:tcPr>
          <w:p w14:paraId="4B4EE9E9">
            <w:pPr>
              <w:topLinePunct/>
              <w:jc w:val="center"/>
              <w:textAlignment w:val="center"/>
              <w:rPr>
                <w:rFonts w:ascii="Times New Roman" w:hAnsi="Times New Roman" w:cs="Times New Roman"/>
                <w:color w:val="auto"/>
                <w:sz w:val="21"/>
                <w:lang w:eastAsia="zh-CN"/>
              </w:rPr>
            </w:pPr>
          </w:p>
        </w:tc>
        <w:tc>
          <w:tcPr>
            <w:tcW w:w="475" w:type="pct"/>
            <w:vMerge w:val="continue"/>
            <w:vAlign w:val="center"/>
          </w:tcPr>
          <w:p w14:paraId="2D706B49">
            <w:pPr>
              <w:topLinePunct/>
              <w:jc w:val="center"/>
              <w:rPr>
                <w:rFonts w:ascii="Times New Roman" w:hAnsi="Times New Roman" w:cs="Times New Roman"/>
                <w:color w:val="auto"/>
                <w:sz w:val="21"/>
                <w:lang w:eastAsia="zh-CN"/>
              </w:rPr>
            </w:pPr>
          </w:p>
        </w:tc>
        <w:tc>
          <w:tcPr>
            <w:tcW w:w="371" w:type="pct"/>
            <w:vAlign w:val="center"/>
          </w:tcPr>
          <w:p w14:paraId="4CD0889D">
            <w:pPr>
              <w:topLinePunct/>
              <w:jc w:val="center"/>
              <w:rPr>
                <w:rFonts w:ascii="Times New Roman" w:hAnsi="Times New Roman" w:cs="Times New Roman"/>
                <w:color w:val="auto"/>
                <w:sz w:val="21"/>
                <w:lang w:eastAsia="zh-CN"/>
              </w:rPr>
            </w:pPr>
          </w:p>
        </w:tc>
        <w:tc>
          <w:tcPr>
            <w:tcW w:w="360" w:type="pct"/>
            <w:tcBorders>
              <w:top w:val="single" w:color="auto" w:sz="4" w:space="0"/>
            </w:tcBorders>
            <w:vAlign w:val="center"/>
          </w:tcPr>
          <w:p w14:paraId="7715D89B">
            <w:pPr>
              <w:topLinePunct/>
              <w:jc w:val="center"/>
              <w:rPr>
                <w:rFonts w:ascii="Times New Roman" w:hAnsi="Times New Roman" w:cs="Times New Roman"/>
                <w:color w:val="auto"/>
                <w:sz w:val="21"/>
                <w:lang w:eastAsia="zh-CN"/>
              </w:rPr>
            </w:pPr>
          </w:p>
        </w:tc>
        <w:tc>
          <w:tcPr>
            <w:tcW w:w="483" w:type="pct"/>
            <w:tcBorders>
              <w:top w:val="single" w:color="auto" w:sz="4" w:space="0"/>
            </w:tcBorders>
            <w:vAlign w:val="center"/>
          </w:tcPr>
          <w:p w14:paraId="1C23AFE4">
            <w:pPr>
              <w:topLinePunct/>
              <w:jc w:val="center"/>
              <w:rPr>
                <w:rFonts w:ascii="Times New Roman" w:hAnsi="Times New Roman" w:cs="Times New Roman"/>
                <w:color w:val="auto"/>
                <w:sz w:val="21"/>
                <w:lang w:eastAsia="zh-CN"/>
              </w:rPr>
            </w:pPr>
          </w:p>
        </w:tc>
        <w:tc>
          <w:tcPr>
            <w:tcW w:w="383" w:type="pct"/>
            <w:vAlign w:val="center"/>
          </w:tcPr>
          <w:p w14:paraId="201F81CA">
            <w:pPr>
              <w:topLinePunct/>
              <w:jc w:val="center"/>
              <w:rPr>
                <w:rFonts w:ascii="Times New Roman" w:hAnsi="Times New Roman" w:cs="Times New Roman"/>
                <w:color w:val="auto"/>
                <w:sz w:val="21"/>
              </w:rPr>
            </w:pPr>
          </w:p>
        </w:tc>
        <w:tc>
          <w:tcPr>
            <w:tcW w:w="395" w:type="pct"/>
            <w:vAlign w:val="center"/>
          </w:tcPr>
          <w:p w14:paraId="73C2F28E">
            <w:pPr>
              <w:topLinePunct/>
              <w:jc w:val="center"/>
              <w:rPr>
                <w:rFonts w:ascii="Times New Roman" w:hAnsi="Times New Roman" w:cs="Times New Roman"/>
                <w:color w:val="auto"/>
                <w:sz w:val="21"/>
              </w:rPr>
            </w:pPr>
          </w:p>
        </w:tc>
      </w:tr>
      <w:tr w14:paraId="6AACE61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315" w:type="pct"/>
            <w:vMerge w:val="continue"/>
            <w:vAlign w:val="center"/>
          </w:tcPr>
          <w:p w14:paraId="682E4ECE">
            <w:pPr>
              <w:topLinePunct/>
              <w:jc w:val="center"/>
              <w:rPr>
                <w:rFonts w:ascii="Times New Roman" w:hAnsi="Times New Roman" w:cs="Times New Roman"/>
                <w:color w:val="auto"/>
                <w:sz w:val="21"/>
                <w:lang w:eastAsia="zh-CN" w:bidi="ar"/>
              </w:rPr>
            </w:pPr>
          </w:p>
        </w:tc>
        <w:tc>
          <w:tcPr>
            <w:tcW w:w="382" w:type="pct"/>
            <w:vAlign w:val="center"/>
          </w:tcPr>
          <w:p w14:paraId="5392266D">
            <w:pPr>
              <w:pStyle w:val="81"/>
              <w:topLinePunct/>
              <w:jc w:val="center"/>
              <w:rPr>
                <w:rFonts w:ascii="Times New Roman" w:hAnsi="Times New Roman" w:eastAsia="宋体" w:cs="Times New Roman"/>
                <w:color w:val="auto"/>
                <w:sz w:val="21"/>
                <w:szCs w:val="21"/>
                <w:lang w:eastAsia="zh-CN"/>
              </w:rPr>
            </w:pPr>
          </w:p>
        </w:tc>
        <w:tc>
          <w:tcPr>
            <w:tcW w:w="382" w:type="pct"/>
            <w:vMerge w:val="continue"/>
            <w:vAlign w:val="center"/>
          </w:tcPr>
          <w:p w14:paraId="28D90B86">
            <w:pPr>
              <w:topLinePunct/>
              <w:jc w:val="center"/>
              <w:rPr>
                <w:rFonts w:ascii="Times New Roman" w:hAnsi="Times New Roman" w:cs="Times New Roman"/>
                <w:color w:val="auto"/>
                <w:sz w:val="21"/>
                <w:lang w:eastAsia="zh-CN"/>
              </w:rPr>
            </w:pPr>
          </w:p>
        </w:tc>
        <w:tc>
          <w:tcPr>
            <w:tcW w:w="384" w:type="pct"/>
            <w:vMerge w:val="continue"/>
            <w:vAlign w:val="center"/>
          </w:tcPr>
          <w:p w14:paraId="299BEB0C">
            <w:pPr>
              <w:topLinePunct/>
              <w:jc w:val="center"/>
              <w:rPr>
                <w:rFonts w:ascii="Times New Roman" w:hAnsi="Times New Roman" w:cs="Times New Roman"/>
                <w:color w:val="auto"/>
                <w:sz w:val="21"/>
                <w:lang w:eastAsia="zh-CN"/>
              </w:rPr>
            </w:pPr>
          </w:p>
        </w:tc>
        <w:tc>
          <w:tcPr>
            <w:tcW w:w="281" w:type="pct"/>
            <w:vMerge w:val="continue"/>
            <w:vAlign w:val="center"/>
          </w:tcPr>
          <w:p w14:paraId="5D94FD41">
            <w:pPr>
              <w:topLinePunct/>
              <w:jc w:val="center"/>
              <w:rPr>
                <w:rFonts w:ascii="Times New Roman" w:hAnsi="Times New Roman" w:cs="Times New Roman"/>
                <w:color w:val="auto"/>
                <w:sz w:val="21"/>
                <w:lang w:eastAsia="zh-CN"/>
              </w:rPr>
            </w:pPr>
          </w:p>
        </w:tc>
        <w:tc>
          <w:tcPr>
            <w:tcW w:w="377" w:type="pct"/>
            <w:vAlign w:val="center"/>
          </w:tcPr>
          <w:p w14:paraId="37C494E9">
            <w:pPr>
              <w:pStyle w:val="81"/>
              <w:topLinePunct/>
              <w:jc w:val="center"/>
              <w:rPr>
                <w:rFonts w:ascii="Times New Roman" w:hAnsi="Times New Roman" w:cs="Times New Roman"/>
                <w:color w:val="auto"/>
                <w:sz w:val="21"/>
                <w:lang w:eastAsia="zh-CN" w:bidi="ar"/>
              </w:rPr>
            </w:pPr>
          </w:p>
        </w:tc>
        <w:tc>
          <w:tcPr>
            <w:tcW w:w="412" w:type="pct"/>
            <w:tcBorders>
              <w:top w:val="single" w:color="auto" w:sz="4" w:space="0"/>
            </w:tcBorders>
            <w:vAlign w:val="center"/>
          </w:tcPr>
          <w:p w14:paraId="0B917083">
            <w:pPr>
              <w:topLinePunct/>
              <w:jc w:val="center"/>
              <w:textAlignment w:val="center"/>
              <w:rPr>
                <w:rFonts w:ascii="Times New Roman" w:hAnsi="Times New Roman" w:cs="Times New Roman"/>
                <w:color w:val="auto"/>
                <w:sz w:val="21"/>
                <w:lang w:eastAsia="zh-CN"/>
              </w:rPr>
            </w:pPr>
          </w:p>
        </w:tc>
        <w:tc>
          <w:tcPr>
            <w:tcW w:w="475" w:type="pct"/>
            <w:vMerge w:val="continue"/>
            <w:vAlign w:val="center"/>
          </w:tcPr>
          <w:p w14:paraId="6595F81A">
            <w:pPr>
              <w:topLinePunct/>
              <w:jc w:val="center"/>
              <w:rPr>
                <w:rFonts w:ascii="Times New Roman" w:hAnsi="Times New Roman" w:cs="Times New Roman"/>
                <w:color w:val="auto"/>
                <w:sz w:val="21"/>
                <w:lang w:eastAsia="zh-CN"/>
              </w:rPr>
            </w:pPr>
          </w:p>
        </w:tc>
        <w:tc>
          <w:tcPr>
            <w:tcW w:w="371" w:type="pct"/>
            <w:vAlign w:val="center"/>
          </w:tcPr>
          <w:p w14:paraId="455BE539">
            <w:pPr>
              <w:topLinePunc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c>
          <w:tcPr>
            <w:tcW w:w="360" w:type="pct"/>
            <w:tcBorders>
              <w:top w:val="single" w:color="auto" w:sz="4" w:space="0"/>
            </w:tcBorders>
            <w:vAlign w:val="center"/>
          </w:tcPr>
          <w:p w14:paraId="71758522">
            <w:pPr>
              <w:topLinePunc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c>
          <w:tcPr>
            <w:tcW w:w="483" w:type="pct"/>
            <w:tcBorders>
              <w:top w:val="single" w:color="auto" w:sz="4" w:space="0"/>
            </w:tcBorders>
            <w:vAlign w:val="center"/>
          </w:tcPr>
          <w:p w14:paraId="448169DB">
            <w:pPr>
              <w:topLinePunct/>
              <w:jc w:val="center"/>
              <w:rPr>
                <w:rFonts w:ascii="Times New Roman" w:hAnsi="Times New Roman" w:cs="Times New Roman"/>
                <w:color w:val="auto"/>
                <w:sz w:val="21"/>
                <w:lang w:eastAsia="zh-CN"/>
              </w:rPr>
            </w:pPr>
          </w:p>
        </w:tc>
        <w:tc>
          <w:tcPr>
            <w:tcW w:w="383" w:type="pct"/>
            <w:vAlign w:val="center"/>
          </w:tcPr>
          <w:p w14:paraId="33C6BDD1">
            <w:pPr>
              <w:topLinePunct/>
              <w:jc w:val="center"/>
              <w:rPr>
                <w:rFonts w:ascii="Times New Roman" w:hAnsi="Times New Roman" w:cs="Times New Roman"/>
                <w:color w:val="auto"/>
                <w:sz w:val="21"/>
              </w:rPr>
            </w:pPr>
          </w:p>
        </w:tc>
        <w:tc>
          <w:tcPr>
            <w:tcW w:w="395" w:type="pct"/>
            <w:vAlign w:val="center"/>
          </w:tcPr>
          <w:p w14:paraId="6A6CCACC">
            <w:pPr>
              <w:topLinePunct/>
              <w:jc w:val="center"/>
              <w:rPr>
                <w:rFonts w:ascii="Times New Roman" w:hAnsi="Times New Roman" w:cs="Times New Roman"/>
                <w:color w:val="auto"/>
                <w:sz w:val="21"/>
              </w:rPr>
            </w:pPr>
          </w:p>
        </w:tc>
      </w:tr>
      <w:tr w14:paraId="2B6440D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315" w:type="pct"/>
            <w:vMerge w:val="continue"/>
            <w:vAlign w:val="center"/>
          </w:tcPr>
          <w:p w14:paraId="06034B4F">
            <w:pPr>
              <w:topLinePunct/>
              <w:jc w:val="center"/>
              <w:rPr>
                <w:rFonts w:ascii="Times New Roman" w:hAnsi="Times New Roman" w:cs="Times New Roman"/>
                <w:color w:val="auto"/>
                <w:sz w:val="21"/>
              </w:rPr>
            </w:pPr>
          </w:p>
        </w:tc>
        <w:tc>
          <w:tcPr>
            <w:tcW w:w="382" w:type="pct"/>
            <w:vAlign w:val="center"/>
          </w:tcPr>
          <w:p w14:paraId="476CD876">
            <w:pPr>
              <w:pStyle w:val="81"/>
              <w:topLinePunct/>
              <w:jc w:val="center"/>
              <w:rPr>
                <w:rFonts w:ascii="Times New Roman" w:hAnsi="Times New Roman" w:eastAsia="宋体" w:cs="Times New Roman"/>
                <w:color w:val="auto"/>
                <w:sz w:val="21"/>
                <w:szCs w:val="21"/>
              </w:rPr>
            </w:pPr>
          </w:p>
        </w:tc>
        <w:tc>
          <w:tcPr>
            <w:tcW w:w="382" w:type="pct"/>
            <w:vMerge w:val="continue"/>
            <w:vAlign w:val="center"/>
          </w:tcPr>
          <w:p w14:paraId="35B8FAA3">
            <w:pPr>
              <w:topLinePunct/>
              <w:jc w:val="center"/>
              <w:rPr>
                <w:rFonts w:ascii="Times New Roman" w:hAnsi="Times New Roman" w:cs="Times New Roman"/>
                <w:color w:val="auto"/>
                <w:sz w:val="21"/>
              </w:rPr>
            </w:pPr>
          </w:p>
        </w:tc>
        <w:tc>
          <w:tcPr>
            <w:tcW w:w="384" w:type="pct"/>
            <w:vMerge w:val="continue"/>
            <w:vAlign w:val="center"/>
          </w:tcPr>
          <w:p w14:paraId="14741BE7">
            <w:pPr>
              <w:topLinePunct/>
              <w:jc w:val="center"/>
              <w:rPr>
                <w:rFonts w:ascii="Times New Roman" w:hAnsi="Times New Roman" w:cs="Times New Roman"/>
                <w:color w:val="auto"/>
                <w:sz w:val="21"/>
              </w:rPr>
            </w:pPr>
          </w:p>
        </w:tc>
        <w:tc>
          <w:tcPr>
            <w:tcW w:w="281" w:type="pct"/>
            <w:vMerge w:val="continue"/>
            <w:vAlign w:val="center"/>
          </w:tcPr>
          <w:p w14:paraId="455F3AD8">
            <w:pPr>
              <w:topLinePunct/>
              <w:jc w:val="center"/>
              <w:rPr>
                <w:rFonts w:ascii="Times New Roman" w:hAnsi="Times New Roman" w:cs="Times New Roman"/>
                <w:color w:val="auto"/>
                <w:sz w:val="21"/>
              </w:rPr>
            </w:pPr>
          </w:p>
        </w:tc>
        <w:tc>
          <w:tcPr>
            <w:tcW w:w="377" w:type="pct"/>
            <w:vAlign w:val="center"/>
          </w:tcPr>
          <w:p w14:paraId="716146B5">
            <w:pPr>
              <w:pStyle w:val="81"/>
              <w:topLinePunct/>
              <w:jc w:val="center"/>
              <w:rPr>
                <w:rFonts w:ascii="Times New Roman" w:hAnsi="Times New Roman" w:eastAsia="宋体" w:cs="Times New Roman"/>
                <w:color w:val="auto"/>
                <w:sz w:val="21"/>
                <w:szCs w:val="21"/>
                <w:lang w:eastAsia="zh-CN"/>
              </w:rPr>
            </w:pPr>
          </w:p>
        </w:tc>
        <w:tc>
          <w:tcPr>
            <w:tcW w:w="412" w:type="pct"/>
            <w:vAlign w:val="center"/>
          </w:tcPr>
          <w:p w14:paraId="3BE29094">
            <w:pPr>
              <w:topLinePunct/>
              <w:jc w:val="center"/>
              <w:textAlignment w:val="center"/>
              <w:rPr>
                <w:rFonts w:ascii="Times New Roman" w:hAnsi="Times New Roman" w:cs="Times New Roman"/>
                <w:color w:val="auto"/>
                <w:sz w:val="21"/>
                <w:lang w:eastAsia="zh-CN"/>
              </w:rPr>
            </w:pPr>
          </w:p>
        </w:tc>
        <w:tc>
          <w:tcPr>
            <w:tcW w:w="475" w:type="pct"/>
            <w:vMerge w:val="continue"/>
            <w:vAlign w:val="center"/>
          </w:tcPr>
          <w:p w14:paraId="7DD15D4C">
            <w:pPr>
              <w:topLinePunct/>
              <w:jc w:val="center"/>
              <w:rPr>
                <w:rFonts w:ascii="Times New Roman" w:hAnsi="Times New Roman" w:cs="Times New Roman"/>
                <w:color w:val="auto"/>
                <w:sz w:val="21"/>
              </w:rPr>
            </w:pPr>
          </w:p>
        </w:tc>
        <w:tc>
          <w:tcPr>
            <w:tcW w:w="371" w:type="pct"/>
            <w:vAlign w:val="center"/>
          </w:tcPr>
          <w:p w14:paraId="63F51D26">
            <w:pPr>
              <w:topLinePunct/>
              <w:jc w:val="center"/>
              <w:rPr>
                <w:rFonts w:ascii="Times New Roman" w:hAnsi="Times New Roman" w:cs="Times New Roman"/>
                <w:color w:val="auto"/>
                <w:sz w:val="21"/>
              </w:rPr>
            </w:pPr>
            <w:r>
              <w:rPr>
                <w:rFonts w:ascii="Times New Roman" w:hAnsi="Times New Roman" w:cs="Times New Roman"/>
                <w:color w:val="auto"/>
                <w:sz w:val="21"/>
              </w:rPr>
              <w:t>/</w:t>
            </w:r>
          </w:p>
        </w:tc>
        <w:tc>
          <w:tcPr>
            <w:tcW w:w="360" w:type="pct"/>
            <w:vAlign w:val="center"/>
          </w:tcPr>
          <w:p w14:paraId="4D6C346A">
            <w:pPr>
              <w:topLinePunct/>
              <w:jc w:val="center"/>
              <w:rPr>
                <w:rFonts w:ascii="Times New Roman" w:hAnsi="Times New Roman" w:cs="Times New Roman"/>
                <w:color w:val="auto"/>
                <w:sz w:val="21"/>
              </w:rPr>
            </w:pPr>
            <w:r>
              <w:rPr>
                <w:rFonts w:ascii="Times New Roman" w:hAnsi="Times New Roman" w:cs="Times New Roman"/>
                <w:color w:val="auto"/>
                <w:sz w:val="21"/>
              </w:rPr>
              <w:t>/</w:t>
            </w:r>
          </w:p>
        </w:tc>
        <w:tc>
          <w:tcPr>
            <w:tcW w:w="483" w:type="pct"/>
            <w:vAlign w:val="center"/>
          </w:tcPr>
          <w:p w14:paraId="4B2398C7">
            <w:pPr>
              <w:topLinePunct/>
              <w:jc w:val="center"/>
              <w:rPr>
                <w:rFonts w:ascii="Times New Roman" w:hAnsi="Times New Roman" w:cs="Times New Roman"/>
                <w:color w:val="auto"/>
                <w:sz w:val="21"/>
              </w:rPr>
            </w:pPr>
          </w:p>
        </w:tc>
        <w:tc>
          <w:tcPr>
            <w:tcW w:w="383" w:type="pct"/>
            <w:vAlign w:val="center"/>
          </w:tcPr>
          <w:p w14:paraId="2FA8F511">
            <w:pPr>
              <w:topLinePunct/>
              <w:jc w:val="center"/>
              <w:rPr>
                <w:rFonts w:ascii="Times New Roman" w:hAnsi="Times New Roman" w:cs="Times New Roman"/>
                <w:color w:val="auto"/>
                <w:sz w:val="21"/>
              </w:rPr>
            </w:pPr>
          </w:p>
        </w:tc>
        <w:tc>
          <w:tcPr>
            <w:tcW w:w="395" w:type="pct"/>
            <w:vAlign w:val="center"/>
          </w:tcPr>
          <w:p w14:paraId="7FCE60CB">
            <w:pPr>
              <w:topLinePunct/>
              <w:jc w:val="center"/>
              <w:rPr>
                <w:rFonts w:ascii="Times New Roman" w:hAnsi="Times New Roman" w:cs="Times New Roman"/>
                <w:color w:val="auto"/>
                <w:sz w:val="21"/>
              </w:rPr>
            </w:pPr>
            <w:r>
              <w:rPr>
                <w:rFonts w:ascii="Times New Roman" w:hAnsi="Times New Roman" w:cs="Times New Roman"/>
                <w:color w:val="auto"/>
                <w:sz w:val="21"/>
              </w:rPr>
              <w:t>/</w:t>
            </w:r>
          </w:p>
        </w:tc>
      </w:tr>
      <w:tr w14:paraId="64B8841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315" w:type="pct"/>
            <w:vMerge w:val="restart"/>
            <w:vAlign w:val="center"/>
          </w:tcPr>
          <w:p w14:paraId="40190E2A">
            <w:pPr>
              <w:topLinePunct/>
              <w:jc w:val="center"/>
              <w:rPr>
                <w:rFonts w:ascii="Times New Roman" w:hAnsi="Times New Roman" w:cs="Times New Roman"/>
                <w:color w:val="auto"/>
                <w:sz w:val="21"/>
              </w:rPr>
            </w:pPr>
          </w:p>
        </w:tc>
        <w:tc>
          <w:tcPr>
            <w:tcW w:w="382" w:type="pct"/>
            <w:vAlign w:val="center"/>
          </w:tcPr>
          <w:p w14:paraId="1C413DB9">
            <w:pPr>
              <w:pStyle w:val="81"/>
              <w:topLinePunct/>
              <w:jc w:val="center"/>
              <w:rPr>
                <w:rFonts w:ascii="Times New Roman" w:hAnsi="Times New Roman" w:eastAsia="宋体" w:cs="Times New Roman"/>
                <w:color w:val="auto"/>
                <w:sz w:val="21"/>
                <w:szCs w:val="21"/>
                <w:lang w:eastAsia="zh-CN"/>
              </w:rPr>
            </w:pPr>
          </w:p>
        </w:tc>
        <w:tc>
          <w:tcPr>
            <w:tcW w:w="382" w:type="pct"/>
            <w:vMerge w:val="restart"/>
            <w:vAlign w:val="center"/>
          </w:tcPr>
          <w:p w14:paraId="0DE99B3B">
            <w:pPr>
              <w:topLinePunct/>
              <w:jc w:val="center"/>
              <w:rPr>
                <w:rFonts w:ascii="Times New Roman" w:hAnsi="Times New Roman" w:cs="Times New Roman"/>
                <w:color w:val="auto"/>
                <w:sz w:val="21"/>
                <w:lang w:eastAsia="zh-CN"/>
              </w:rPr>
            </w:pPr>
          </w:p>
        </w:tc>
        <w:tc>
          <w:tcPr>
            <w:tcW w:w="384" w:type="pct"/>
            <w:vMerge w:val="restart"/>
            <w:vAlign w:val="center"/>
          </w:tcPr>
          <w:p w14:paraId="55F4E2AD">
            <w:pPr>
              <w:topLinePunct/>
              <w:jc w:val="center"/>
              <w:rPr>
                <w:rFonts w:ascii="Times New Roman" w:hAnsi="Times New Roman" w:cs="Times New Roman"/>
                <w:color w:val="auto"/>
                <w:sz w:val="21"/>
                <w:lang w:eastAsia="zh-CN"/>
              </w:rPr>
            </w:pPr>
          </w:p>
        </w:tc>
        <w:tc>
          <w:tcPr>
            <w:tcW w:w="281" w:type="pct"/>
            <w:vMerge w:val="restart"/>
            <w:vAlign w:val="center"/>
          </w:tcPr>
          <w:p w14:paraId="2EA8E230">
            <w:pPr>
              <w:topLinePunct/>
              <w:jc w:val="center"/>
              <w:rPr>
                <w:rFonts w:ascii="Times New Roman" w:hAnsi="Times New Roman" w:cs="Times New Roman"/>
                <w:color w:val="auto"/>
                <w:sz w:val="21"/>
                <w:lang w:eastAsia="zh-CN"/>
              </w:rPr>
            </w:pPr>
          </w:p>
        </w:tc>
        <w:tc>
          <w:tcPr>
            <w:tcW w:w="377" w:type="pct"/>
            <w:vAlign w:val="center"/>
          </w:tcPr>
          <w:p w14:paraId="1FFA0F06">
            <w:pPr>
              <w:topLinePunct/>
              <w:jc w:val="center"/>
              <w:textAlignment w:val="center"/>
              <w:rPr>
                <w:rFonts w:ascii="Times New Roman" w:hAnsi="Times New Roman" w:cs="Times New Roman"/>
                <w:color w:val="auto"/>
                <w:sz w:val="21"/>
                <w:lang w:eastAsia="zh-CN" w:bidi="ar"/>
              </w:rPr>
            </w:pPr>
          </w:p>
        </w:tc>
        <w:tc>
          <w:tcPr>
            <w:tcW w:w="412" w:type="pct"/>
            <w:vAlign w:val="center"/>
          </w:tcPr>
          <w:p w14:paraId="571F2CE0">
            <w:pPr>
              <w:topLinePunct/>
              <w:jc w:val="center"/>
              <w:textAlignment w:val="center"/>
              <w:rPr>
                <w:rFonts w:ascii="Times New Roman" w:hAnsi="Times New Roman" w:cs="Times New Roman"/>
                <w:color w:val="auto"/>
                <w:sz w:val="21"/>
                <w:lang w:eastAsia="zh-CN" w:bidi="ar"/>
              </w:rPr>
            </w:pPr>
          </w:p>
        </w:tc>
        <w:tc>
          <w:tcPr>
            <w:tcW w:w="475" w:type="pct"/>
            <w:vMerge w:val="continue"/>
            <w:vAlign w:val="center"/>
          </w:tcPr>
          <w:p w14:paraId="62096317">
            <w:pPr>
              <w:topLinePunct/>
              <w:jc w:val="center"/>
              <w:rPr>
                <w:rFonts w:ascii="Times New Roman" w:hAnsi="Times New Roman" w:cs="Times New Roman"/>
                <w:color w:val="auto"/>
                <w:sz w:val="21"/>
              </w:rPr>
            </w:pPr>
          </w:p>
        </w:tc>
        <w:tc>
          <w:tcPr>
            <w:tcW w:w="371" w:type="pct"/>
            <w:vAlign w:val="center"/>
          </w:tcPr>
          <w:p w14:paraId="1D2B61C5">
            <w:pPr>
              <w:topLinePunct/>
              <w:jc w:val="center"/>
              <w:rPr>
                <w:rFonts w:ascii="Times New Roman" w:hAnsi="Times New Roman" w:cs="Times New Roman"/>
                <w:color w:val="auto"/>
                <w:sz w:val="21"/>
              </w:rPr>
            </w:pPr>
          </w:p>
        </w:tc>
        <w:tc>
          <w:tcPr>
            <w:tcW w:w="360" w:type="pct"/>
            <w:vAlign w:val="center"/>
          </w:tcPr>
          <w:p w14:paraId="24527213">
            <w:pPr>
              <w:topLinePunct/>
              <w:jc w:val="center"/>
              <w:rPr>
                <w:rFonts w:ascii="Times New Roman" w:hAnsi="Times New Roman" w:cs="Times New Roman"/>
                <w:color w:val="auto"/>
                <w:sz w:val="21"/>
              </w:rPr>
            </w:pPr>
          </w:p>
        </w:tc>
        <w:tc>
          <w:tcPr>
            <w:tcW w:w="483" w:type="pct"/>
            <w:vAlign w:val="center"/>
          </w:tcPr>
          <w:p w14:paraId="09EEFC87">
            <w:pPr>
              <w:topLinePunct/>
              <w:jc w:val="center"/>
              <w:rPr>
                <w:rFonts w:ascii="Times New Roman" w:hAnsi="Times New Roman" w:cs="Times New Roman"/>
                <w:color w:val="auto"/>
                <w:sz w:val="21"/>
              </w:rPr>
            </w:pPr>
          </w:p>
        </w:tc>
        <w:tc>
          <w:tcPr>
            <w:tcW w:w="383" w:type="pct"/>
            <w:vAlign w:val="center"/>
          </w:tcPr>
          <w:p w14:paraId="305A6E4F">
            <w:pPr>
              <w:topLinePunct/>
              <w:jc w:val="center"/>
              <w:rPr>
                <w:rFonts w:ascii="Times New Roman" w:hAnsi="Times New Roman" w:cs="Times New Roman"/>
                <w:color w:val="auto"/>
                <w:sz w:val="21"/>
              </w:rPr>
            </w:pPr>
          </w:p>
        </w:tc>
        <w:tc>
          <w:tcPr>
            <w:tcW w:w="395" w:type="pct"/>
            <w:vAlign w:val="center"/>
          </w:tcPr>
          <w:p w14:paraId="18468712">
            <w:pPr>
              <w:topLinePunct/>
              <w:jc w:val="center"/>
              <w:rPr>
                <w:rFonts w:ascii="Times New Roman" w:hAnsi="Times New Roman" w:cs="Times New Roman"/>
                <w:color w:val="auto"/>
                <w:sz w:val="21"/>
              </w:rPr>
            </w:pPr>
          </w:p>
        </w:tc>
      </w:tr>
      <w:tr w14:paraId="1DC602C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315" w:type="pct"/>
            <w:vMerge w:val="continue"/>
            <w:vAlign w:val="center"/>
          </w:tcPr>
          <w:p w14:paraId="15B17726">
            <w:pPr>
              <w:topLinePunct/>
              <w:jc w:val="center"/>
              <w:rPr>
                <w:rFonts w:ascii="Times New Roman" w:hAnsi="Times New Roman" w:cs="Times New Roman"/>
                <w:color w:val="auto"/>
                <w:sz w:val="21"/>
              </w:rPr>
            </w:pPr>
          </w:p>
        </w:tc>
        <w:tc>
          <w:tcPr>
            <w:tcW w:w="382" w:type="pct"/>
            <w:vAlign w:val="center"/>
          </w:tcPr>
          <w:p w14:paraId="5434B722">
            <w:pPr>
              <w:pStyle w:val="81"/>
              <w:topLinePunct/>
              <w:jc w:val="center"/>
              <w:rPr>
                <w:rFonts w:ascii="Times New Roman" w:hAnsi="Times New Roman" w:eastAsia="宋体" w:cs="Times New Roman"/>
                <w:color w:val="auto"/>
                <w:sz w:val="21"/>
                <w:szCs w:val="21"/>
                <w:lang w:eastAsia="zh-CN"/>
              </w:rPr>
            </w:pPr>
          </w:p>
        </w:tc>
        <w:tc>
          <w:tcPr>
            <w:tcW w:w="382" w:type="pct"/>
            <w:vMerge w:val="continue"/>
            <w:vAlign w:val="center"/>
          </w:tcPr>
          <w:p w14:paraId="05627463">
            <w:pPr>
              <w:topLinePunct/>
              <w:jc w:val="center"/>
              <w:rPr>
                <w:rFonts w:ascii="Times New Roman" w:hAnsi="Times New Roman" w:cs="Times New Roman"/>
                <w:color w:val="auto"/>
                <w:sz w:val="21"/>
              </w:rPr>
            </w:pPr>
          </w:p>
        </w:tc>
        <w:tc>
          <w:tcPr>
            <w:tcW w:w="384" w:type="pct"/>
            <w:vMerge w:val="continue"/>
            <w:vAlign w:val="center"/>
          </w:tcPr>
          <w:p w14:paraId="2D17B60F">
            <w:pPr>
              <w:topLinePunct/>
              <w:jc w:val="center"/>
              <w:rPr>
                <w:rFonts w:ascii="Times New Roman" w:hAnsi="Times New Roman" w:cs="Times New Roman"/>
                <w:color w:val="auto"/>
                <w:sz w:val="21"/>
                <w:lang w:eastAsia="zh-CN"/>
              </w:rPr>
            </w:pPr>
          </w:p>
        </w:tc>
        <w:tc>
          <w:tcPr>
            <w:tcW w:w="281" w:type="pct"/>
            <w:vMerge w:val="continue"/>
            <w:vAlign w:val="center"/>
          </w:tcPr>
          <w:p w14:paraId="01B02ADB">
            <w:pPr>
              <w:topLinePunct/>
              <w:jc w:val="center"/>
              <w:rPr>
                <w:rFonts w:ascii="Times New Roman" w:hAnsi="Times New Roman" w:cs="Times New Roman"/>
                <w:color w:val="auto"/>
                <w:sz w:val="21"/>
                <w:lang w:eastAsia="zh-CN"/>
              </w:rPr>
            </w:pPr>
          </w:p>
        </w:tc>
        <w:tc>
          <w:tcPr>
            <w:tcW w:w="377" w:type="pct"/>
            <w:vAlign w:val="center"/>
          </w:tcPr>
          <w:p w14:paraId="5E68B905">
            <w:pPr>
              <w:topLinePunct/>
              <w:jc w:val="center"/>
              <w:textAlignment w:val="center"/>
              <w:rPr>
                <w:rFonts w:ascii="Times New Roman" w:hAnsi="Times New Roman" w:cs="Times New Roman"/>
                <w:color w:val="auto"/>
                <w:sz w:val="21"/>
                <w:lang w:eastAsia="zh-CN" w:bidi="ar"/>
              </w:rPr>
            </w:pPr>
          </w:p>
        </w:tc>
        <w:tc>
          <w:tcPr>
            <w:tcW w:w="412" w:type="pct"/>
            <w:vAlign w:val="center"/>
          </w:tcPr>
          <w:p w14:paraId="728EEE20">
            <w:pPr>
              <w:topLinePunct/>
              <w:jc w:val="center"/>
              <w:textAlignment w:val="center"/>
              <w:rPr>
                <w:rFonts w:ascii="Times New Roman" w:hAnsi="Times New Roman" w:cs="Times New Roman"/>
                <w:color w:val="auto"/>
                <w:sz w:val="21"/>
                <w:lang w:eastAsia="zh-CN" w:bidi="ar"/>
              </w:rPr>
            </w:pPr>
          </w:p>
        </w:tc>
        <w:tc>
          <w:tcPr>
            <w:tcW w:w="475" w:type="pct"/>
            <w:vMerge w:val="continue"/>
            <w:vAlign w:val="center"/>
          </w:tcPr>
          <w:p w14:paraId="70523563">
            <w:pPr>
              <w:topLinePunct/>
              <w:jc w:val="center"/>
              <w:rPr>
                <w:rFonts w:ascii="Times New Roman" w:hAnsi="Times New Roman" w:cs="Times New Roman"/>
                <w:color w:val="auto"/>
                <w:sz w:val="21"/>
              </w:rPr>
            </w:pPr>
          </w:p>
        </w:tc>
        <w:tc>
          <w:tcPr>
            <w:tcW w:w="371" w:type="pct"/>
            <w:vAlign w:val="center"/>
          </w:tcPr>
          <w:p w14:paraId="1CD7093C">
            <w:pPr>
              <w:topLinePunct/>
              <w:jc w:val="center"/>
              <w:rPr>
                <w:rFonts w:ascii="Times New Roman" w:hAnsi="Times New Roman" w:cs="Times New Roman"/>
                <w:color w:val="auto"/>
                <w:sz w:val="21"/>
              </w:rPr>
            </w:pPr>
          </w:p>
        </w:tc>
        <w:tc>
          <w:tcPr>
            <w:tcW w:w="360" w:type="pct"/>
            <w:vAlign w:val="center"/>
          </w:tcPr>
          <w:p w14:paraId="0089F66D">
            <w:pPr>
              <w:topLinePunct/>
              <w:jc w:val="center"/>
              <w:rPr>
                <w:rFonts w:ascii="Times New Roman" w:hAnsi="Times New Roman" w:cs="Times New Roman"/>
                <w:color w:val="auto"/>
                <w:sz w:val="21"/>
              </w:rPr>
            </w:pPr>
          </w:p>
        </w:tc>
        <w:tc>
          <w:tcPr>
            <w:tcW w:w="483" w:type="pct"/>
            <w:vAlign w:val="center"/>
          </w:tcPr>
          <w:p w14:paraId="47BF6CD8">
            <w:pPr>
              <w:topLinePunct/>
              <w:jc w:val="center"/>
              <w:rPr>
                <w:rFonts w:ascii="Times New Roman" w:hAnsi="Times New Roman" w:cs="Times New Roman"/>
                <w:color w:val="auto"/>
                <w:sz w:val="21"/>
              </w:rPr>
            </w:pPr>
          </w:p>
        </w:tc>
        <w:tc>
          <w:tcPr>
            <w:tcW w:w="383" w:type="pct"/>
            <w:vAlign w:val="center"/>
          </w:tcPr>
          <w:p w14:paraId="15BF6B9F">
            <w:pPr>
              <w:topLinePunct/>
              <w:jc w:val="center"/>
              <w:rPr>
                <w:rFonts w:ascii="Times New Roman" w:hAnsi="Times New Roman" w:cs="Times New Roman"/>
                <w:color w:val="auto"/>
                <w:sz w:val="21"/>
              </w:rPr>
            </w:pPr>
          </w:p>
        </w:tc>
        <w:tc>
          <w:tcPr>
            <w:tcW w:w="395" w:type="pct"/>
            <w:vAlign w:val="center"/>
          </w:tcPr>
          <w:p w14:paraId="6B9066D6">
            <w:pPr>
              <w:topLinePunct/>
              <w:jc w:val="center"/>
              <w:rPr>
                <w:rFonts w:ascii="Times New Roman" w:hAnsi="Times New Roman" w:cs="Times New Roman"/>
                <w:color w:val="auto"/>
                <w:sz w:val="21"/>
              </w:rPr>
            </w:pPr>
          </w:p>
        </w:tc>
      </w:tr>
      <w:tr w14:paraId="1A77FE0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315" w:type="pct"/>
            <w:vMerge w:val="continue"/>
            <w:vAlign w:val="center"/>
          </w:tcPr>
          <w:p w14:paraId="50662B0B">
            <w:pPr>
              <w:topLinePunct/>
              <w:jc w:val="center"/>
              <w:rPr>
                <w:rFonts w:ascii="Times New Roman" w:hAnsi="Times New Roman" w:cs="Times New Roman"/>
                <w:color w:val="auto"/>
                <w:sz w:val="21"/>
              </w:rPr>
            </w:pPr>
          </w:p>
        </w:tc>
        <w:tc>
          <w:tcPr>
            <w:tcW w:w="382" w:type="pct"/>
            <w:vAlign w:val="center"/>
          </w:tcPr>
          <w:p w14:paraId="7A8E2427">
            <w:pPr>
              <w:pStyle w:val="81"/>
              <w:topLinePunct/>
              <w:jc w:val="center"/>
              <w:rPr>
                <w:rFonts w:ascii="Times New Roman" w:hAnsi="Times New Roman" w:eastAsia="宋体" w:cs="Times New Roman"/>
                <w:color w:val="auto"/>
                <w:sz w:val="21"/>
                <w:szCs w:val="21"/>
              </w:rPr>
            </w:pPr>
          </w:p>
        </w:tc>
        <w:tc>
          <w:tcPr>
            <w:tcW w:w="382" w:type="pct"/>
            <w:vMerge w:val="continue"/>
            <w:vAlign w:val="center"/>
          </w:tcPr>
          <w:p w14:paraId="3A0DE03C">
            <w:pPr>
              <w:topLinePunct/>
              <w:jc w:val="center"/>
              <w:rPr>
                <w:rFonts w:ascii="Times New Roman" w:hAnsi="Times New Roman" w:cs="Times New Roman"/>
                <w:color w:val="auto"/>
                <w:sz w:val="21"/>
              </w:rPr>
            </w:pPr>
          </w:p>
        </w:tc>
        <w:tc>
          <w:tcPr>
            <w:tcW w:w="384" w:type="pct"/>
            <w:vMerge w:val="continue"/>
            <w:vAlign w:val="center"/>
          </w:tcPr>
          <w:p w14:paraId="41601F36">
            <w:pPr>
              <w:topLinePunct/>
              <w:jc w:val="center"/>
              <w:rPr>
                <w:rFonts w:ascii="Times New Roman" w:hAnsi="Times New Roman" w:cs="Times New Roman"/>
                <w:color w:val="auto"/>
                <w:sz w:val="21"/>
                <w:lang w:eastAsia="zh-CN"/>
              </w:rPr>
            </w:pPr>
          </w:p>
        </w:tc>
        <w:tc>
          <w:tcPr>
            <w:tcW w:w="281" w:type="pct"/>
            <w:vMerge w:val="continue"/>
            <w:vAlign w:val="center"/>
          </w:tcPr>
          <w:p w14:paraId="1F9A240D">
            <w:pPr>
              <w:topLinePunct/>
              <w:jc w:val="center"/>
              <w:rPr>
                <w:rFonts w:ascii="Times New Roman" w:hAnsi="Times New Roman" w:cs="Times New Roman"/>
                <w:color w:val="auto"/>
                <w:sz w:val="21"/>
                <w:lang w:eastAsia="zh-CN"/>
              </w:rPr>
            </w:pPr>
          </w:p>
        </w:tc>
        <w:tc>
          <w:tcPr>
            <w:tcW w:w="377" w:type="pct"/>
            <w:vAlign w:val="center"/>
          </w:tcPr>
          <w:p w14:paraId="7765BA7F">
            <w:pPr>
              <w:topLinePunct/>
              <w:jc w:val="center"/>
              <w:textAlignment w:val="center"/>
              <w:rPr>
                <w:rFonts w:ascii="Times New Roman" w:hAnsi="Times New Roman" w:cs="Times New Roman"/>
                <w:color w:val="auto"/>
                <w:sz w:val="21"/>
                <w:lang w:eastAsia="zh-CN" w:bidi="ar"/>
              </w:rPr>
            </w:pPr>
          </w:p>
        </w:tc>
        <w:tc>
          <w:tcPr>
            <w:tcW w:w="412" w:type="pct"/>
            <w:vAlign w:val="center"/>
          </w:tcPr>
          <w:p w14:paraId="14B087AF">
            <w:pPr>
              <w:topLinePunct/>
              <w:jc w:val="center"/>
              <w:textAlignment w:val="center"/>
              <w:rPr>
                <w:rFonts w:ascii="Times New Roman" w:hAnsi="Times New Roman" w:cs="Times New Roman"/>
                <w:color w:val="auto"/>
                <w:sz w:val="21"/>
                <w:lang w:eastAsia="zh-CN" w:bidi="ar"/>
              </w:rPr>
            </w:pPr>
          </w:p>
        </w:tc>
        <w:tc>
          <w:tcPr>
            <w:tcW w:w="475" w:type="pct"/>
            <w:vMerge w:val="continue"/>
            <w:vAlign w:val="center"/>
          </w:tcPr>
          <w:p w14:paraId="53520DA1">
            <w:pPr>
              <w:topLinePunct/>
              <w:jc w:val="center"/>
              <w:rPr>
                <w:rFonts w:ascii="Times New Roman" w:hAnsi="Times New Roman" w:cs="Times New Roman"/>
                <w:color w:val="auto"/>
                <w:sz w:val="21"/>
              </w:rPr>
            </w:pPr>
          </w:p>
        </w:tc>
        <w:tc>
          <w:tcPr>
            <w:tcW w:w="371" w:type="pct"/>
            <w:vAlign w:val="center"/>
          </w:tcPr>
          <w:p w14:paraId="0DE1B727">
            <w:pPr>
              <w:topLinePunct/>
              <w:jc w:val="center"/>
              <w:rPr>
                <w:rFonts w:ascii="Times New Roman" w:hAnsi="Times New Roman" w:cs="Times New Roman"/>
                <w:color w:val="auto"/>
                <w:sz w:val="21"/>
              </w:rPr>
            </w:pPr>
          </w:p>
        </w:tc>
        <w:tc>
          <w:tcPr>
            <w:tcW w:w="360" w:type="pct"/>
            <w:vAlign w:val="center"/>
          </w:tcPr>
          <w:p w14:paraId="273C0898">
            <w:pPr>
              <w:topLinePunct/>
              <w:jc w:val="center"/>
              <w:rPr>
                <w:rFonts w:ascii="Times New Roman" w:hAnsi="Times New Roman" w:cs="Times New Roman"/>
                <w:color w:val="auto"/>
                <w:sz w:val="21"/>
              </w:rPr>
            </w:pPr>
          </w:p>
        </w:tc>
        <w:tc>
          <w:tcPr>
            <w:tcW w:w="483" w:type="pct"/>
            <w:vAlign w:val="center"/>
          </w:tcPr>
          <w:p w14:paraId="45227640">
            <w:pPr>
              <w:topLinePunct/>
              <w:jc w:val="center"/>
              <w:rPr>
                <w:rFonts w:ascii="Times New Roman" w:hAnsi="Times New Roman" w:cs="Times New Roman"/>
                <w:color w:val="auto"/>
                <w:sz w:val="21"/>
              </w:rPr>
            </w:pPr>
          </w:p>
        </w:tc>
        <w:tc>
          <w:tcPr>
            <w:tcW w:w="383" w:type="pct"/>
            <w:vAlign w:val="center"/>
          </w:tcPr>
          <w:p w14:paraId="561F5695">
            <w:pPr>
              <w:topLinePunct/>
              <w:jc w:val="center"/>
              <w:rPr>
                <w:rFonts w:ascii="Times New Roman" w:hAnsi="Times New Roman" w:cs="Times New Roman"/>
                <w:color w:val="auto"/>
                <w:sz w:val="21"/>
              </w:rPr>
            </w:pPr>
          </w:p>
        </w:tc>
        <w:tc>
          <w:tcPr>
            <w:tcW w:w="395" w:type="pct"/>
            <w:vAlign w:val="center"/>
          </w:tcPr>
          <w:p w14:paraId="0B496A19">
            <w:pPr>
              <w:topLinePunct/>
              <w:jc w:val="center"/>
              <w:rPr>
                <w:rFonts w:ascii="Times New Roman" w:hAnsi="Times New Roman" w:cs="Times New Roman"/>
                <w:color w:val="auto"/>
                <w:sz w:val="21"/>
              </w:rPr>
            </w:pPr>
          </w:p>
        </w:tc>
      </w:tr>
      <w:tr w14:paraId="63656C4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315" w:type="pct"/>
            <w:vMerge w:val="continue"/>
            <w:vAlign w:val="center"/>
          </w:tcPr>
          <w:p w14:paraId="08581354">
            <w:pPr>
              <w:topLinePunct/>
              <w:jc w:val="center"/>
              <w:rPr>
                <w:rFonts w:ascii="Times New Roman" w:hAnsi="Times New Roman" w:cs="Times New Roman"/>
                <w:color w:val="auto"/>
                <w:sz w:val="21"/>
              </w:rPr>
            </w:pPr>
          </w:p>
        </w:tc>
        <w:tc>
          <w:tcPr>
            <w:tcW w:w="382" w:type="pct"/>
            <w:vAlign w:val="center"/>
          </w:tcPr>
          <w:p w14:paraId="35EA4260">
            <w:pPr>
              <w:pStyle w:val="81"/>
              <w:topLinePunct/>
              <w:jc w:val="center"/>
              <w:rPr>
                <w:rFonts w:ascii="Times New Roman" w:hAnsi="Times New Roman" w:eastAsia="宋体" w:cs="Times New Roman"/>
                <w:color w:val="auto"/>
                <w:sz w:val="21"/>
                <w:szCs w:val="21"/>
              </w:rPr>
            </w:pPr>
          </w:p>
        </w:tc>
        <w:tc>
          <w:tcPr>
            <w:tcW w:w="382" w:type="pct"/>
            <w:vMerge w:val="continue"/>
            <w:vAlign w:val="center"/>
          </w:tcPr>
          <w:p w14:paraId="770133F0">
            <w:pPr>
              <w:topLinePunct/>
              <w:jc w:val="center"/>
              <w:rPr>
                <w:rFonts w:ascii="Times New Roman" w:hAnsi="Times New Roman" w:cs="Times New Roman"/>
                <w:color w:val="auto"/>
                <w:sz w:val="21"/>
              </w:rPr>
            </w:pPr>
          </w:p>
        </w:tc>
        <w:tc>
          <w:tcPr>
            <w:tcW w:w="384" w:type="pct"/>
            <w:vMerge w:val="continue"/>
            <w:vAlign w:val="center"/>
          </w:tcPr>
          <w:p w14:paraId="043280F1">
            <w:pPr>
              <w:topLinePunct/>
              <w:jc w:val="center"/>
              <w:rPr>
                <w:rFonts w:ascii="Times New Roman" w:hAnsi="Times New Roman" w:cs="Times New Roman"/>
                <w:color w:val="auto"/>
                <w:sz w:val="21"/>
                <w:lang w:eastAsia="zh-CN"/>
              </w:rPr>
            </w:pPr>
          </w:p>
        </w:tc>
        <w:tc>
          <w:tcPr>
            <w:tcW w:w="281" w:type="pct"/>
            <w:vMerge w:val="continue"/>
            <w:vAlign w:val="center"/>
          </w:tcPr>
          <w:p w14:paraId="20894FAE">
            <w:pPr>
              <w:topLinePunct/>
              <w:jc w:val="center"/>
              <w:rPr>
                <w:rFonts w:ascii="Times New Roman" w:hAnsi="Times New Roman" w:cs="Times New Roman"/>
                <w:color w:val="auto"/>
                <w:sz w:val="21"/>
                <w:lang w:eastAsia="zh-CN"/>
              </w:rPr>
            </w:pPr>
          </w:p>
        </w:tc>
        <w:tc>
          <w:tcPr>
            <w:tcW w:w="377" w:type="pct"/>
            <w:vAlign w:val="center"/>
          </w:tcPr>
          <w:p w14:paraId="4EC28D8B">
            <w:pPr>
              <w:topLinePunct/>
              <w:jc w:val="center"/>
              <w:textAlignment w:val="center"/>
              <w:rPr>
                <w:rFonts w:ascii="Times New Roman" w:hAnsi="Times New Roman" w:cs="Times New Roman"/>
                <w:color w:val="auto"/>
                <w:sz w:val="21"/>
                <w:lang w:eastAsia="zh-CN" w:bidi="ar"/>
              </w:rPr>
            </w:pPr>
          </w:p>
        </w:tc>
        <w:tc>
          <w:tcPr>
            <w:tcW w:w="412" w:type="pct"/>
            <w:vAlign w:val="center"/>
          </w:tcPr>
          <w:p w14:paraId="18BCE457">
            <w:pPr>
              <w:topLinePunct/>
              <w:jc w:val="center"/>
              <w:textAlignment w:val="center"/>
              <w:rPr>
                <w:rFonts w:ascii="Times New Roman" w:hAnsi="Times New Roman" w:cs="Times New Roman"/>
                <w:color w:val="auto"/>
                <w:sz w:val="21"/>
                <w:lang w:eastAsia="zh-CN" w:bidi="ar"/>
              </w:rPr>
            </w:pPr>
          </w:p>
        </w:tc>
        <w:tc>
          <w:tcPr>
            <w:tcW w:w="475" w:type="pct"/>
            <w:vMerge w:val="continue"/>
            <w:vAlign w:val="center"/>
          </w:tcPr>
          <w:p w14:paraId="2190A517">
            <w:pPr>
              <w:topLinePunct/>
              <w:jc w:val="center"/>
              <w:rPr>
                <w:rFonts w:ascii="Times New Roman" w:hAnsi="Times New Roman" w:cs="Times New Roman"/>
                <w:color w:val="auto"/>
                <w:sz w:val="21"/>
              </w:rPr>
            </w:pPr>
          </w:p>
        </w:tc>
        <w:tc>
          <w:tcPr>
            <w:tcW w:w="371" w:type="pct"/>
            <w:vAlign w:val="center"/>
          </w:tcPr>
          <w:p w14:paraId="451A21C5">
            <w:pPr>
              <w:topLinePunct/>
              <w:jc w:val="center"/>
              <w:rPr>
                <w:rFonts w:ascii="Times New Roman" w:hAnsi="Times New Roman" w:cs="Times New Roman"/>
                <w:color w:val="auto"/>
                <w:sz w:val="21"/>
              </w:rPr>
            </w:pPr>
          </w:p>
        </w:tc>
        <w:tc>
          <w:tcPr>
            <w:tcW w:w="360" w:type="pct"/>
            <w:vAlign w:val="center"/>
          </w:tcPr>
          <w:p w14:paraId="168E682C">
            <w:pPr>
              <w:topLinePunct/>
              <w:jc w:val="center"/>
              <w:rPr>
                <w:rFonts w:ascii="Times New Roman" w:hAnsi="Times New Roman" w:cs="Times New Roman"/>
                <w:color w:val="auto"/>
                <w:sz w:val="21"/>
              </w:rPr>
            </w:pPr>
          </w:p>
        </w:tc>
        <w:tc>
          <w:tcPr>
            <w:tcW w:w="483" w:type="pct"/>
            <w:vAlign w:val="center"/>
          </w:tcPr>
          <w:p w14:paraId="703F1F25">
            <w:pPr>
              <w:topLinePunct/>
              <w:jc w:val="center"/>
              <w:rPr>
                <w:rFonts w:ascii="Times New Roman" w:hAnsi="Times New Roman" w:cs="Times New Roman"/>
                <w:color w:val="auto"/>
                <w:sz w:val="21"/>
              </w:rPr>
            </w:pPr>
          </w:p>
        </w:tc>
        <w:tc>
          <w:tcPr>
            <w:tcW w:w="383" w:type="pct"/>
            <w:vAlign w:val="center"/>
          </w:tcPr>
          <w:p w14:paraId="409AD35D">
            <w:pPr>
              <w:topLinePunct/>
              <w:jc w:val="center"/>
              <w:rPr>
                <w:rFonts w:ascii="Times New Roman" w:hAnsi="Times New Roman" w:cs="Times New Roman"/>
                <w:color w:val="auto"/>
                <w:sz w:val="21"/>
              </w:rPr>
            </w:pPr>
          </w:p>
        </w:tc>
        <w:tc>
          <w:tcPr>
            <w:tcW w:w="395" w:type="pct"/>
            <w:vAlign w:val="center"/>
          </w:tcPr>
          <w:p w14:paraId="0EAB799E">
            <w:pPr>
              <w:topLinePunct/>
              <w:jc w:val="center"/>
              <w:rPr>
                <w:rFonts w:ascii="Times New Roman" w:hAnsi="Times New Roman" w:cs="Times New Roman"/>
                <w:color w:val="auto"/>
                <w:sz w:val="21"/>
              </w:rPr>
            </w:pPr>
          </w:p>
        </w:tc>
      </w:tr>
      <w:tr w14:paraId="5B3D527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315" w:type="pct"/>
            <w:vMerge w:val="continue"/>
            <w:vAlign w:val="center"/>
          </w:tcPr>
          <w:p w14:paraId="44F7BD61">
            <w:pPr>
              <w:topLinePunct/>
              <w:jc w:val="center"/>
              <w:rPr>
                <w:rFonts w:ascii="Times New Roman" w:hAnsi="Times New Roman" w:cs="Times New Roman"/>
                <w:color w:val="auto"/>
                <w:sz w:val="21"/>
              </w:rPr>
            </w:pPr>
          </w:p>
        </w:tc>
        <w:tc>
          <w:tcPr>
            <w:tcW w:w="382" w:type="pct"/>
            <w:vAlign w:val="center"/>
          </w:tcPr>
          <w:p w14:paraId="6F29070E">
            <w:pPr>
              <w:pStyle w:val="81"/>
              <w:topLinePunct/>
              <w:jc w:val="center"/>
              <w:rPr>
                <w:rFonts w:ascii="Times New Roman" w:hAnsi="Times New Roman" w:eastAsia="宋体" w:cs="Times New Roman"/>
                <w:color w:val="auto"/>
                <w:sz w:val="21"/>
                <w:szCs w:val="21"/>
              </w:rPr>
            </w:pPr>
          </w:p>
        </w:tc>
        <w:tc>
          <w:tcPr>
            <w:tcW w:w="382" w:type="pct"/>
            <w:vMerge w:val="continue"/>
            <w:vAlign w:val="center"/>
          </w:tcPr>
          <w:p w14:paraId="1400959B">
            <w:pPr>
              <w:topLinePunct/>
              <w:jc w:val="center"/>
              <w:rPr>
                <w:rFonts w:ascii="Times New Roman" w:hAnsi="Times New Roman" w:cs="Times New Roman"/>
                <w:color w:val="auto"/>
                <w:sz w:val="21"/>
              </w:rPr>
            </w:pPr>
          </w:p>
        </w:tc>
        <w:tc>
          <w:tcPr>
            <w:tcW w:w="384" w:type="pct"/>
            <w:vMerge w:val="continue"/>
            <w:vAlign w:val="center"/>
          </w:tcPr>
          <w:p w14:paraId="757815F9">
            <w:pPr>
              <w:topLinePunct/>
              <w:jc w:val="center"/>
              <w:rPr>
                <w:rFonts w:ascii="Times New Roman" w:hAnsi="Times New Roman" w:cs="Times New Roman"/>
                <w:color w:val="auto"/>
                <w:sz w:val="21"/>
                <w:lang w:eastAsia="zh-CN"/>
              </w:rPr>
            </w:pPr>
          </w:p>
        </w:tc>
        <w:tc>
          <w:tcPr>
            <w:tcW w:w="281" w:type="pct"/>
            <w:vMerge w:val="continue"/>
            <w:vAlign w:val="center"/>
          </w:tcPr>
          <w:p w14:paraId="1AEFFA47">
            <w:pPr>
              <w:topLinePunct/>
              <w:jc w:val="center"/>
              <w:rPr>
                <w:rFonts w:ascii="Times New Roman" w:hAnsi="Times New Roman" w:cs="Times New Roman"/>
                <w:color w:val="auto"/>
                <w:sz w:val="21"/>
                <w:lang w:eastAsia="zh-CN"/>
              </w:rPr>
            </w:pPr>
          </w:p>
        </w:tc>
        <w:tc>
          <w:tcPr>
            <w:tcW w:w="377" w:type="pct"/>
            <w:vAlign w:val="center"/>
          </w:tcPr>
          <w:p w14:paraId="03614359">
            <w:pPr>
              <w:topLinePunct/>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412" w:type="pct"/>
            <w:vAlign w:val="center"/>
          </w:tcPr>
          <w:p w14:paraId="456160BC">
            <w:pPr>
              <w:topLinePunct/>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475" w:type="pct"/>
            <w:vMerge w:val="continue"/>
            <w:vAlign w:val="center"/>
          </w:tcPr>
          <w:p w14:paraId="43C8D700">
            <w:pPr>
              <w:topLinePunct/>
              <w:jc w:val="center"/>
              <w:rPr>
                <w:rFonts w:ascii="Times New Roman" w:hAnsi="Times New Roman" w:cs="Times New Roman"/>
                <w:color w:val="auto"/>
                <w:sz w:val="21"/>
              </w:rPr>
            </w:pPr>
          </w:p>
        </w:tc>
        <w:tc>
          <w:tcPr>
            <w:tcW w:w="371" w:type="pct"/>
            <w:vAlign w:val="center"/>
          </w:tcPr>
          <w:p w14:paraId="0AECF884">
            <w:pPr>
              <w:topLinePunct/>
              <w:jc w:val="center"/>
              <w:rPr>
                <w:rFonts w:ascii="Times New Roman" w:hAnsi="Times New Roman" w:cs="Times New Roman"/>
                <w:color w:val="auto"/>
                <w:sz w:val="21"/>
              </w:rPr>
            </w:pPr>
          </w:p>
        </w:tc>
        <w:tc>
          <w:tcPr>
            <w:tcW w:w="360" w:type="pct"/>
            <w:vAlign w:val="center"/>
          </w:tcPr>
          <w:p w14:paraId="40068771">
            <w:pPr>
              <w:topLinePunct/>
              <w:jc w:val="center"/>
              <w:rPr>
                <w:rFonts w:ascii="Times New Roman" w:hAnsi="Times New Roman" w:cs="Times New Roman"/>
                <w:color w:val="auto"/>
                <w:sz w:val="21"/>
              </w:rPr>
            </w:pPr>
          </w:p>
        </w:tc>
        <w:tc>
          <w:tcPr>
            <w:tcW w:w="483" w:type="pct"/>
            <w:vAlign w:val="center"/>
          </w:tcPr>
          <w:p w14:paraId="5586C953">
            <w:pPr>
              <w:topLinePunct/>
              <w:jc w:val="center"/>
              <w:rPr>
                <w:rFonts w:ascii="Times New Roman" w:hAnsi="Times New Roman" w:cs="Times New Roman"/>
                <w:color w:val="auto"/>
                <w:sz w:val="21"/>
              </w:rPr>
            </w:pPr>
          </w:p>
        </w:tc>
        <w:tc>
          <w:tcPr>
            <w:tcW w:w="383" w:type="pct"/>
            <w:vAlign w:val="center"/>
          </w:tcPr>
          <w:p w14:paraId="2EE655BC">
            <w:pPr>
              <w:topLinePunct/>
              <w:jc w:val="center"/>
              <w:rPr>
                <w:rFonts w:ascii="Times New Roman" w:hAnsi="Times New Roman" w:cs="Times New Roman"/>
                <w:color w:val="auto"/>
                <w:sz w:val="21"/>
              </w:rPr>
            </w:pPr>
          </w:p>
        </w:tc>
        <w:tc>
          <w:tcPr>
            <w:tcW w:w="395" w:type="pct"/>
            <w:vAlign w:val="center"/>
          </w:tcPr>
          <w:p w14:paraId="5573EC4E">
            <w:pPr>
              <w:topLinePunct/>
              <w:jc w:val="center"/>
              <w:rPr>
                <w:rFonts w:ascii="Times New Roman" w:hAnsi="Times New Roman" w:cs="Times New Roman"/>
                <w:color w:val="auto"/>
                <w:sz w:val="21"/>
              </w:rPr>
            </w:pPr>
          </w:p>
        </w:tc>
      </w:tr>
      <w:tr w14:paraId="59EFAC9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315" w:type="pct"/>
            <w:vMerge w:val="continue"/>
            <w:vAlign w:val="center"/>
          </w:tcPr>
          <w:p w14:paraId="5A9168CF">
            <w:pPr>
              <w:topLinePunct/>
              <w:jc w:val="center"/>
              <w:rPr>
                <w:rFonts w:ascii="Times New Roman" w:hAnsi="Times New Roman" w:cs="Times New Roman"/>
                <w:color w:val="auto"/>
                <w:sz w:val="21"/>
              </w:rPr>
            </w:pPr>
          </w:p>
        </w:tc>
        <w:tc>
          <w:tcPr>
            <w:tcW w:w="382" w:type="pct"/>
            <w:vAlign w:val="center"/>
          </w:tcPr>
          <w:p w14:paraId="176EB547">
            <w:pPr>
              <w:pStyle w:val="81"/>
              <w:topLinePunct/>
              <w:jc w:val="center"/>
              <w:rPr>
                <w:rFonts w:ascii="Times New Roman" w:hAnsi="Times New Roman" w:eastAsia="宋体" w:cs="Times New Roman"/>
                <w:color w:val="auto"/>
                <w:sz w:val="21"/>
                <w:szCs w:val="21"/>
                <w:lang w:eastAsia="zh-CN"/>
              </w:rPr>
            </w:pPr>
          </w:p>
        </w:tc>
        <w:tc>
          <w:tcPr>
            <w:tcW w:w="382" w:type="pct"/>
            <w:vMerge w:val="continue"/>
            <w:vAlign w:val="center"/>
          </w:tcPr>
          <w:p w14:paraId="0D2D23BC">
            <w:pPr>
              <w:topLinePunct/>
              <w:jc w:val="center"/>
              <w:rPr>
                <w:rFonts w:ascii="Times New Roman" w:hAnsi="Times New Roman" w:cs="Times New Roman"/>
                <w:color w:val="auto"/>
                <w:sz w:val="21"/>
              </w:rPr>
            </w:pPr>
          </w:p>
        </w:tc>
        <w:tc>
          <w:tcPr>
            <w:tcW w:w="384" w:type="pct"/>
            <w:vMerge w:val="continue"/>
            <w:vAlign w:val="center"/>
          </w:tcPr>
          <w:p w14:paraId="17C0ACF4">
            <w:pPr>
              <w:topLinePunct/>
              <w:jc w:val="center"/>
              <w:rPr>
                <w:rFonts w:ascii="Times New Roman" w:hAnsi="Times New Roman" w:cs="Times New Roman"/>
                <w:color w:val="auto"/>
                <w:sz w:val="21"/>
                <w:lang w:eastAsia="zh-CN"/>
              </w:rPr>
            </w:pPr>
          </w:p>
        </w:tc>
        <w:tc>
          <w:tcPr>
            <w:tcW w:w="281" w:type="pct"/>
            <w:vMerge w:val="continue"/>
            <w:vAlign w:val="center"/>
          </w:tcPr>
          <w:p w14:paraId="55B7D552">
            <w:pPr>
              <w:topLinePunct/>
              <w:jc w:val="center"/>
              <w:rPr>
                <w:rFonts w:ascii="Times New Roman" w:hAnsi="Times New Roman" w:cs="Times New Roman"/>
                <w:color w:val="auto"/>
                <w:sz w:val="21"/>
                <w:lang w:eastAsia="zh-CN"/>
              </w:rPr>
            </w:pPr>
          </w:p>
        </w:tc>
        <w:tc>
          <w:tcPr>
            <w:tcW w:w="377" w:type="pct"/>
            <w:vAlign w:val="center"/>
          </w:tcPr>
          <w:p w14:paraId="087F8BFA">
            <w:pPr>
              <w:topLinePunct/>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412" w:type="pct"/>
            <w:vAlign w:val="center"/>
          </w:tcPr>
          <w:p w14:paraId="2029997D">
            <w:pPr>
              <w:topLinePunct/>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475" w:type="pct"/>
            <w:vMerge w:val="continue"/>
            <w:vAlign w:val="center"/>
          </w:tcPr>
          <w:p w14:paraId="76F21591">
            <w:pPr>
              <w:topLinePunct/>
              <w:jc w:val="center"/>
              <w:rPr>
                <w:rFonts w:ascii="Times New Roman" w:hAnsi="Times New Roman" w:cs="Times New Roman"/>
                <w:color w:val="auto"/>
                <w:sz w:val="21"/>
              </w:rPr>
            </w:pPr>
          </w:p>
        </w:tc>
        <w:tc>
          <w:tcPr>
            <w:tcW w:w="371" w:type="pct"/>
            <w:vAlign w:val="center"/>
          </w:tcPr>
          <w:p w14:paraId="40324E9E">
            <w:pPr>
              <w:topLinePunct/>
              <w:jc w:val="center"/>
              <w:rPr>
                <w:rFonts w:ascii="Times New Roman" w:hAnsi="Times New Roman" w:cs="Times New Roman"/>
                <w:color w:val="auto"/>
                <w:sz w:val="21"/>
              </w:rPr>
            </w:pPr>
          </w:p>
        </w:tc>
        <w:tc>
          <w:tcPr>
            <w:tcW w:w="360" w:type="pct"/>
            <w:vAlign w:val="center"/>
          </w:tcPr>
          <w:p w14:paraId="64FECF73">
            <w:pPr>
              <w:topLinePunct/>
              <w:jc w:val="center"/>
              <w:rPr>
                <w:rFonts w:ascii="Times New Roman" w:hAnsi="Times New Roman" w:cs="Times New Roman"/>
                <w:color w:val="auto"/>
                <w:sz w:val="21"/>
              </w:rPr>
            </w:pPr>
          </w:p>
        </w:tc>
        <w:tc>
          <w:tcPr>
            <w:tcW w:w="483" w:type="pct"/>
            <w:vAlign w:val="center"/>
          </w:tcPr>
          <w:p w14:paraId="1E6956A1">
            <w:pPr>
              <w:topLinePunct/>
              <w:jc w:val="center"/>
              <w:rPr>
                <w:rFonts w:ascii="Times New Roman" w:hAnsi="Times New Roman" w:cs="Times New Roman"/>
                <w:color w:val="auto"/>
                <w:sz w:val="21"/>
              </w:rPr>
            </w:pPr>
          </w:p>
        </w:tc>
        <w:tc>
          <w:tcPr>
            <w:tcW w:w="383" w:type="pct"/>
            <w:vAlign w:val="center"/>
          </w:tcPr>
          <w:p w14:paraId="4A2D2EE3">
            <w:pPr>
              <w:topLinePunct/>
              <w:jc w:val="center"/>
              <w:rPr>
                <w:rFonts w:ascii="Times New Roman" w:hAnsi="Times New Roman" w:cs="Times New Roman"/>
                <w:color w:val="auto"/>
                <w:sz w:val="21"/>
              </w:rPr>
            </w:pPr>
          </w:p>
        </w:tc>
        <w:tc>
          <w:tcPr>
            <w:tcW w:w="395" w:type="pct"/>
            <w:vAlign w:val="center"/>
          </w:tcPr>
          <w:p w14:paraId="426C907C">
            <w:pPr>
              <w:topLinePunct/>
              <w:jc w:val="center"/>
              <w:rPr>
                <w:rFonts w:ascii="Times New Roman" w:hAnsi="Times New Roman" w:cs="Times New Roman"/>
                <w:color w:val="auto"/>
                <w:sz w:val="21"/>
              </w:rPr>
            </w:pPr>
          </w:p>
        </w:tc>
      </w:tr>
      <w:tr w14:paraId="18F419B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315" w:type="pct"/>
            <w:vMerge w:val="continue"/>
            <w:vAlign w:val="center"/>
          </w:tcPr>
          <w:p w14:paraId="5ABD7BB1">
            <w:pPr>
              <w:topLinePunct/>
              <w:jc w:val="center"/>
              <w:rPr>
                <w:rFonts w:ascii="Times New Roman" w:hAnsi="Times New Roman" w:cs="Times New Roman"/>
                <w:color w:val="auto"/>
                <w:sz w:val="21"/>
              </w:rPr>
            </w:pPr>
          </w:p>
        </w:tc>
        <w:tc>
          <w:tcPr>
            <w:tcW w:w="382" w:type="pct"/>
            <w:vAlign w:val="center"/>
          </w:tcPr>
          <w:p w14:paraId="323F16C9">
            <w:pPr>
              <w:pStyle w:val="81"/>
              <w:topLinePunct/>
              <w:jc w:val="center"/>
              <w:rPr>
                <w:rFonts w:ascii="Times New Roman" w:hAnsi="Times New Roman" w:eastAsia="宋体" w:cs="Times New Roman"/>
                <w:color w:val="auto"/>
                <w:sz w:val="21"/>
                <w:szCs w:val="21"/>
                <w:lang w:eastAsia="zh-CN"/>
              </w:rPr>
            </w:pPr>
          </w:p>
        </w:tc>
        <w:tc>
          <w:tcPr>
            <w:tcW w:w="382" w:type="pct"/>
            <w:vMerge w:val="continue"/>
            <w:vAlign w:val="center"/>
          </w:tcPr>
          <w:p w14:paraId="3959DC8F">
            <w:pPr>
              <w:topLinePunct/>
              <w:jc w:val="center"/>
              <w:rPr>
                <w:rFonts w:ascii="Times New Roman" w:hAnsi="Times New Roman" w:cs="Times New Roman"/>
                <w:color w:val="auto"/>
                <w:sz w:val="21"/>
              </w:rPr>
            </w:pPr>
          </w:p>
        </w:tc>
        <w:tc>
          <w:tcPr>
            <w:tcW w:w="384" w:type="pct"/>
            <w:vMerge w:val="continue"/>
            <w:vAlign w:val="center"/>
          </w:tcPr>
          <w:p w14:paraId="476F34FD">
            <w:pPr>
              <w:topLinePunct/>
              <w:jc w:val="center"/>
              <w:rPr>
                <w:rFonts w:ascii="Times New Roman" w:hAnsi="Times New Roman" w:cs="Times New Roman"/>
                <w:color w:val="auto"/>
                <w:sz w:val="21"/>
                <w:lang w:eastAsia="zh-CN"/>
              </w:rPr>
            </w:pPr>
          </w:p>
        </w:tc>
        <w:tc>
          <w:tcPr>
            <w:tcW w:w="281" w:type="pct"/>
            <w:vMerge w:val="continue"/>
            <w:vAlign w:val="center"/>
          </w:tcPr>
          <w:p w14:paraId="10509BFD">
            <w:pPr>
              <w:topLinePunct/>
              <w:jc w:val="center"/>
              <w:rPr>
                <w:rFonts w:ascii="Times New Roman" w:hAnsi="Times New Roman" w:cs="Times New Roman"/>
                <w:color w:val="auto"/>
                <w:sz w:val="21"/>
                <w:lang w:eastAsia="zh-CN"/>
              </w:rPr>
            </w:pPr>
          </w:p>
        </w:tc>
        <w:tc>
          <w:tcPr>
            <w:tcW w:w="377" w:type="pct"/>
            <w:vAlign w:val="center"/>
          </w:tcPr>
          <w:p w14:paraId="7F7CF6B9">
            <w:pPr>
              <w:topLinePunct/>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412" w:type="pct"/>
            <w:vAlign w:val="center"/>
          </w:tcPr>
          <w:p w14:paraId="781211C9">
            <w:pPr>
              <w:topLinePunct/>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475" w:type="pct"/>
            <w:vMerge w:val="continue"/>
            <w:vAlign w:val="center"/>
          </w:tcPr>
          <w:p w14:paraId="68415284">
            <w:pPr>
              <w:topLinePunct/>
              <w:jc w:val="center"/>
              <w:rPr>
                <w:rFonts w:ascii="Times New Roman" w:hAnsi="Times New Roman" w:cs="Times New Roman"/>
                <w:color w:val="auto"/>
                <w:sz w:val="21"/>
              </w:rPr>
            </w:pPr>
          </w:p>
        </w:tc>
        <w:tc>
          <w:tcPr>
            <w:tcW w:w="371" w:type="pct"/>
            <w:vAlign w:val="center"/>
          </w:tcPr>
          <w:p w14:paraId="2D076D98">
            <w:pPr>
              <w:topLinePunct/>
              <w:jc w:val="center"/>
              <w:rPr>
                <w:rFonts w:ascii="Times New Roman" w:hAnsi="Times New Roman" w:cs="Times New Roman"/>
                <w:color w:val="auto"/>
                <w:sz w:val="21"/>
              </w:rPr>
            </w:pPr>
          </w:p>
        </w:tc>
        <w:tc>
          <w:tcPr>
            <w:tcW w:w="360" w:type="pct"/>
            <w:vAlign w:val="center"/>
          </w:tcPr>
          <w:p w14:paraId="11041951">
            <w:pPr>
              <w:topLinePunct/>
              <w:jc w:val="center"/>
              <w:rPr>
                <w:rFonts w:ascii="Times New Roman" w:hAnsi="Times New Roman" w:cs="Times New Roman"/>
                <w:color w:val="auto"/>
                <w:sz w:val="21"/>
              </w:rPr>
            </w:pPr>
          </w:p>
        </w:tc>
        <w:tc>
          <w:tcPr>
            <w:tcW w:w="483" w:type="pct"/>
            <w:vAlign w:val="center"/>
          </w:tcPr>
          <w:p w14:paraId="654BFBA2">
            <w:pPr>
              <w:topLinePunct/>
              <w:jc w:val="center"/>
              <w:rPr>
                <w:rFonts w:ascii="Times New Roman" w:hAnsi="Times New Roman" w:cs="Times New Roman"/>
                <w:color w:val="auto"/>
                <w:sz w:val="21"/>
              </w:rPr>
            </w:pPr>
          </w:p>
        </w:tc>
        <w:tc>
          <w:tcPr>
            <w:tcW w:w="383" w:type="pct"/>
            <w:vAlign w:val="center"/>
          </w:tcPr>
          <w:p w14:paraId="2F01736F">
            <w:pPr>
              <w:topLinePunct/>
              <w:jc w:val="center"/>
              <w:rPr>
                <w:rFonts w:ascii="Times New Roman" w:hAnsi="Times New Roman" w:cs="Times New Roman"/>
                <w:color w:val="auto"/>
                <w:sz w:val="21"/>
              </w:rPr>
            </w:pPr>
          </w:p>
        </w:tc>
        <w:tc>
          <w:tcPr>
            <w:tcW w:w="395" w:type="pct"/>
            <w:vAlign w:val="center"/>
          </w:tcPr>
          <w:p w14:paraId="65B62D48">
            <w:pPr>
              <w:topLinePunct/>
              <w:jc w:val="center"/>
              <w:rPr>
                <w:rFonts w:ascii="Times New Roman" w:hAnsi="Times New Roman" w:cs="Times New Roman"/>
                <w:color w:val="auto"/>
                <w:sz w:val="21"/>
              </w:rPr>
            </w:pPr>
          </w:p>
        </w:tc>
      </w:tr>
      <w:tr w14:paraId="56891F5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315" w:type="pct"/>
            <w:vMerge w:val="restart"/>
            <w:vAlign w:val="center"/>
          </w:tcPr>
          <w:p w14:paraId="678A82C6">
            <w:pPr>
              <w:topLinePunct/>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循环冷却置换废水</w:t>
            </w:r>
          </w:p>
        </w:tc>
        <w:tc>
          <w:tcPr>
            <w:tcW w:w="382" w:type="pct"/>
            <w:vAlign w:val="center"/>
          </w:tcPr>
          <w:p w14:paraId="47C7E036">
            <w:pPr>
              <w:pStyle w:val="81"/>
              <w:topLinePunct/>
              <w:jc w:val="center"/>
              <w:rPr>
                <w:rFonts w:ascii="Times New Roman" w:hAnsi="Times New Roman" w:eastAsia="宋体" w:cs="Times New Roman"/>
                <w:color w:val="000000" w:themeColor="text1"/>
                <w:sz w:val="21"/>
                <w:szCs w:val="21"/>
                <w:lang w:eastAsia="zh-CN"/>
                <w14:textFill>
                  <w14:solidFill>
                    <w14:schemeClr w14:val="tx1"/>
                  </w14:solidFill>
                </w14:textFill>
              </w:rPr>
            </w:pPr>
          </w:p>
        </w:tc>
        <w:tc>
          <w:tcPr>
            <w:tcW w:w="382" w:type="pct"/>
            <w:vMerge w:val="restart"/>
            <w:vAlign w:val="center"/>
          </w:tcPr>
          <w:p w14:paraId="59F1623D">
            <w:pPr>
              <w:topLinePunct/>
              <w:jc w:val="center"/>
              <w:rPr>
                <w:rFonts w:ascii="Times New Roman" w:hAnsi="Times New Roman" w:cs="Times New Roman"/>
                <w:color w:val="000000" w:themeColor="text1"/>
                <w:sz w:val="21"/>
                <w:lang w:eastAsia="zh-CN"/>
                <w14:textFill>
                  <w14:solidFill>
                    <w14:schemeClr w14:val="tx1"/>
                  </w14:solidFill>
                </w14:textFill>
              </w:rPr>
            </w:pPr>
          </w:p>
        </w:tc>
        <w:tc>
          <w:tcPr>
            <w:tcW w:w="384" w:type="pct"/>
            <w:vMerge w:val="restart"/>
            <w:vAlign w:val="center"/>
          </w:tcPr>
          <w:p w14:paraId="1C52AA36">
            <w:pPr>
              <w:topLinePunct/>
              <w:jc w:val="center"/>
              <w:rPr>
                <w:rFonts w:ascii="Times New Roman" w:hAnsi="Times New Roman" w:cs="Times New Roman"/>
                <w:color w:val="000000" w:themeColor="text1"/>
                <w:sz w:val="21"/>
                <w:lang w:eastAsia="zh-CN"/>
                <w14:textFill>
                  <w14:solidFill>
                    <w14:schemeClr w14:val="tx1"/>
                  </w14:solidFill>
                </w14:textFill>
              </w:rPr>
            </w:pPr>
          </w:p>
        </w:tc>
        <w:tc>
          <w:tcPr>
            <w:tcW w:w="281" w:type="pct"/>
            <w:vMerge w:val="restart"/>
            <w:vAlign w:val="center"/>
          </w:tcPr>
          <w:p w14:paraId="2A588A3F">
            <w:pPr>
              <w:topLinePunct/>
              <w:jc w:val="center"/>
              <w:rPr>
                <w:rFonts w:ascii="Times New Roman" w:hAnsi="Times New Roman" w:cs="Times New Roman"/>
                <w:color w:val="000000" w:themeColor="text1"/>
                <w:sz w:val="21"/>
                <w:lang w:eastAsia="zh-CN"/>
                <w14:textFill>
                  <w14:solidFill>
                    <w14:schemeClr w14:val="tx1"/>
                  </w14:solidFill>
                </w14:textFill>
              </w:rPr>
            </w:pPr>
          </w:p>
        </w:tc>
        <w:tc>
          <w:tcPr>
            <w:tcW w:w="377" w:type="pct"/>
            <w:vAlign w:val="center"/>
          </w:tcPr>
          <w:p w14:paraId="21BC684F">
            <w:pPr>
              <w:topLinePunct/>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412" w:type="pct"/>
            <w:vAlign w:val="center"/>
          </w:tcPr>
          <w:p w14:paraId="53FA54DF">
            <w:pPr>
              <w:topLinePunct/>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475" w:type="pct"/>
            <w:vMerge w:val="restart"/>
            <w:vAlign w:val="center"/>
          </w:tcPr>
          <w:p w14:paraId="4596D55D">
            <w:pPr>
              <w:topLinePunc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c>
          <w:tcPr>
            <w:tcW w:w="371" w:type="pct"/>
            <w:vAlign w:val="center"/>
          </w:tcPr>
          <w:p w14:paraId="46842F45">
            <w:pPr>
              <w:topLinePunct/>
              <w:jc w:val="center"/>
              <w:rPr>
                <w:rFonts w:ascii="Times New Roman" w:hAnsi="Times New Roman" w:cs="Times New Roman"/>
                <w:color w:val="auto"/>
                <w:sz w:val="21"/>
                <w:lang w:eastAsia="zh-CN"/>
              </w:rPr>
            </w:pPr>
          </w:p>
        </w:tc>
        <w:tc>
          <w:tcPr>
            <w:tcW w:w="360" w:type="pct"/>
            <w:vAlign w:val="center"/>
          </w:tcPr>
          <w:p w14:paraId="581645C7">
            <w:pPr>
              <w:topLinePunct/>
              <w:jc w:val="center"/>
              <w:rPr>
                <w:rFonts w:ascii="Times New Roman" w:hAnsi="Times New Roman" w:cs="Times New Roman"/>
                <w:color w:val="auto"/>
                <w:sz w:val="21"/>
                <w:lang w:eastAsia="zh-CN"/>
              </w:rPr>
            </w:pPr>
          </w:p>
        </w:tc>
        <w:tc>
          <w:tcPr>
            <w:tcW w:w="483" w:type="pct"/>
            <w:vAlign w:val="center"/>
          </w:tcPr>
          <w:p w14:paraId="697FC9B8">
            <w:pPr>
              <w:topLinePunct/>
              <w:jc w:val="center"/>
              <w:rPr>
                <w:rFonts w:ascii="Times New Roman" w:hAnsi="Times New Roman" w:cs="Times New Roman"/>
                <w:color w:val="auto"/>
                <w:sz w:val="21"/>
                <w:lang w:eastAsia="zh-CN"/>
              </w:rPr>
            </w:pPr>
          </w:p>
        </w:tc>
        <w:tc>
          <w:tcPr>
            <w:tcW w:w="383" w:type="pct"/>
            <w:vAlign w:val="center"/>
          </w:tcPr>
          <w:p w14:paraId="666A7D4B">
            <w:pPr>
              <w:topLinePunct/>
              <w:jc w:val="center"/>
              <w:rPr>
                <w:rFonts w:ascii="Times New Roman" w:hAnsi="Times New Roman" w:cs="Times New Roman"/>
                <w:color w:val="auto"/>
                <w:sz w:val="21"/>
                <w:lang w:eastAsia="zh-CN"/>
              </w:rPr>
            </w:pPr>
          </w:p>
        </w:tc>
        <w:tc>
          <w:tcPr>
            <w:tcW w:w="395" w:type="pct"/>
            <w:vAlign w:val="center"/>
          </w:tcPr>
          <w:p w14:paraId="1E55A434">
            <w:pPr>
              <w:topLinePunct/>
              <w:jc w:val="center"/>
              <w:rPr>
                <w:rFonts w:ascii="Times New Roman" w:hAnsi="Times New Roman" w:cs="Times New Roman"/>
                <w:color w:val="auto"/>
                <w:sz w:val="21"/>
                <w:lang w:eastAsia="zh-CN"/>
              </w:rPr>
            </w:pPr>
          </w:p>
        </w:tc>
      </w:tr>
      <w:tr w14:paraId="335462E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315" w:type="pct"/>
            <w:vMerge w:val="continue"/>
            <w:vAlign w:val="center"/>
          </w:tcPr>
          <w:p w14:paraId="44601966">
            <w:pPr>
              <w:topLinePunct/>
              <w:jc w:val="center"/>
              <w:rPr>
                <w:rFonts w:ascii="Times New Roman" w:hAnsi="Times New Roman" w:cs="Times New Roman"/>
                <w:color w:val="000000" w:themeColor="text1"/>
                <w:sz w:val="21"/>
                <w:lang w:eastAsia="zh-CN"/>
                <w14:textFill>
                  <w14:solidFill>
                    <w14:schemeClr w14:val="tx1"/>
                  </w14:solidFill>
                </w14:textFill>
              </w:rPr>
            </w:pPr>
          </w:p>
        </w:tc>
        <w:tc>
          <w:tcPr>
            <w:tcW w:w="382" w:type="pct"/>
            <w:vAlign w:val="center"/>
          </w:tcPr>
          <w:p w14:paraId="35BB2E14">
            <w:pPr>
              <w:pStyle w:val="81"/>
              <w:topLinePunct/>
              <w:jc w:val="center"/>
              <w:rPr>
                <w:rFonts w:ascii="Times New Roman" w:hAnsi="Times New Roman" w:eastAsia="宋体" w:cs="Times New Roman"/>
                <w:color w:val="000000" w:themeColor="text1"/>
                <w:sz w:val="21"/>
                <w:szCs w:val="21"/>
                <w14:textFill>
                  <w14:solidFill>
                    <w14:schemeClr w14:val="tx1"/>
                  </w14:solidFill>
                </w14:textFill>
              </w:rPr>
            </w:pPr>
          </w:p>
        </w:tc>
        <w:tc>
          <w:tcPr>
            <w:tcW w:w="382" w:type="pct"/>
            <w:vMerge w:val="continue"/>
            <w:vAlign w:val="center"/>
          </w:tcPr>
          <w:p w14:paraId="68E38ECE">
            <w:pPr>
              <w:topLinePunct/>
              <w:jc w:val="center"/>
              <w:rPr>
                <w:rFonts w:ascii="Times New Roman" w:hAnsi="Times New Roman" w:cs="Times New Roman"/>
                <w:color w:val="000000" w:themeColor="text1"/>
                <w:sz w:val="21"/>
                <w:lang w:eastAsia="zh-CN"/>
                <w14:textFill>
                  <w14:solidFill>
                    <w14:schemeClr w14:val="tx1"/>
                  </w14:solidFill>
                </w14:textFill>
              </w:rPr>
            </w:pPr>
          </w:p>
        </w:tc>
        <w:tc>
          <w:tcPr>
            <w:tcW w:w="384" w:type="pct"/>
            <w:vMerge w:val="continue"/>
            <w:vAlign w:val="center"/>
          </w:tcPr>
          <w:p w14:paraId="7CEA50FF">
            <w:pPr>
              <w:topLinePunct/>
              <w:jc w:val="center"/>
              <w:rPr>
                <w:rFonts w:ascii="Times New Roman" w:hAnsi="Times New Roman" w:cs="Times New Roman"/>
                <w:color w:val="000000" w:themeColor="text1"/>
                <w:sz w:val="21"/>
                <w:lang w:eastAsia="zh-CN"/>
                <w14:textFill>
                  <w14:solidFill>
                    <w14:schemeClr w14:val="tx1"/>
                  </w14:solidFill>
                </w14:textFill>
              </w:rPr>
            </w:pPr>
          </w:p>
        </w:tc>
        <w:tc>
          <w:tcPr>
            <w:tcW w:w="281" w:type="pct"/>
            <w:vMerge w:val="continue"/>
            <w:vAlign w:val="center"/>
          </w:tcPr>
          <w:p w14:paraId="44323083">
            <w:pPr>
              <w:topLinePunct/>
              <w:jc w:val="center"/>
              <w:rPr>
                <w:rFonts w:ascii="Times New Roman" w:hAnsi="Times New Roman" w:cs="Times New Roman"/>
                <w:color w:val="000000" w:themeColor="text1"/>
                <w:sz w:val="21"/>
                <w14:textFill>
                  <w14:solidFill>
                    <w14:schemeClr w14:val="tx1"/>
                  </w14:solidFill>
                </w14:textFill>
              </w:rPr>
            </w:pPr>
          </w:p>
        </w:tc>
        <w:tc>
          <w:tcPr>
            <w:tcW w:w="377" w:type="pct"/>
            <w:vAlign w:val="center"/>
          </w:tcPr>
          <w:p w14:paraId="547BDE64">
            <w:pPr>
              <w:topLinePunct/>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412" w:type="pct"/>
            <w:vAlign w:val="center"/>
          </w:tcPr>
          <w:p w14:paraId="2F0F8323">
            <w:pPr>
              <w:topLinePunct/>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475" w:type="pct"/>
            <w:vMerge w:val="continue"/>
            <w:vAlign w:val="center"/>
          </w:tcPr>
          <w:p w14:paraId="0126A345">
            <w:pPr>
              <w:topLinePunct/>
              <w:jc w:val="center"/>
              <w:rPr>
                <w:rFonts w:ascii="Times New Roman" w:hAnsi="Times New Roman" w:cs="Times New Roman"/>
                <w:color w:val="auto"/>
                <w:sz w:val="21"/>
                <w:lang w:eastAsia="zh-CN"/>
              </w:rPr>
            </w:pPr>
          </w:p>
        </w:tc>
        <w:tc>
          <w:tcPr>
            <w:tcW w:w="371" w:type="pct"/>
            <w:vAlign w:val="center"/>
          </w:tcPr>
          <w:p w14:paraId="42524178">
            <w:pPr>
              <w:topLinePunct/>
              <w:jc w:val="center"/>
              <w:rPr>
                <w:rFonts w:ascii="Times New Roman" w:hAnsi="Times New Roman" w:cs="Times New Roman"/>
                <w:color w:val="auto"/>
                <w:sz w:val="21"/>
                <w:lang w:eastAsia="zh-CN"/>
              </w:rPr>
            </w:pPr>
          </w:p>
        </w:tc>
        <w:tc>
          <w:tcPr>
            <w:tcW w:w="360" w:type="pct"/>
            <w:vAlign w:val="center"/>
          </w:tcPr>
          <w:p w14:paraId="68A6634C">
            <w:pPr>
              <w:topLinePunct/>
              <w:jc w:val="center"/>
              <w:rPr>
                <w:rFonts w:ascii="Times New Roman" w:hAnsi="Times New Roman" w:cs="Times New Roman"/>
                <w:color w:val="auto"/>
                <w:sz w:val="21"/>
                <w:lang w:eastAsia="zh-CN"/>
              </w:rPr>
            </w:pPr>
          </w:p>
        </w:tc>
        <w:tc>
          <w:tcPr>
            <w:tcW w:w="483" w:type="pct"/>
            <w:vAlign w:val="center"/>
          </w:tcPr>
          <w:p w14:paraId="523C4395">
            <w:pPr>
              <w:topLinePunct/>
              <w:jc w:val="center"/>
              <w:rPr>
                <w:rFonts w:ascii="Times New Roman" w:hAnsi="Times New Roman" w:cs="Times New Roman"/>
                <w:color w:val="auto"/>
                <w:sz w:val="21"/>
                <w:lang w:eastAsia="zh-CN"/>
              </w:rPr>
            </w:pPr>
          </w:p>
        </w:tc>
        <w:tc>
          <w:tcPr>
            <w:tcW w:w="383" w:type="pct"/>
            <w:vAlign w:val="center"/>
          </w:tcPr>
          <w:p w14:paraId="6CF99753">
            <w:pPr>
              <w:topLinePunct/>
              <w:jc w:val="center"/>
              <w:rPr>
                <w:rFonts w:ascii="Times New Roman" w:hAnsi="Times New Roman" w:cs="Times New Roman"/>
                <w:color w:val="auto"/>
                <w:sz w:val="21"/>
                <w:lang w:eastAsia="zh-CN"/>
              </w:rPr>
            </w:pPr>
          </w:p>
        </w:tc>
        <w:tc>
          <w:tcPr>
            <w:tcW w:w="395" w:type="pct"/>
            <w:vAlign w:val="center"/>
          </w:tcPr>
          <w:p w14:paraId="3E2F3015">
            <w:pPr>
              <w:topLinePunct/>
              <w:jc w:val="center"/>
              <w:rPr>
                <w:rFonts w:ascii="Times New Roman" w:hAnsi="Times New Roman" w:cs="Times New Roman"/>
                <w:color w:val="auto"/>
                <w:sz w:val="21"/>
                <w:lang w:eastAsia="zh-CN"/>
              </w:rPr>
            </w:pPr>
          </w:p>
        </w:tc>
      </w:tr>
      <w:tr w14:paraId="470055D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315" w:type="pct"/>
            <w:vMerge w:val="restart"/>
            <w:vAlign w:val="center"/>
          </w:tcPr>
          <w:p w14:paraId="5867538E">
            <w:pPr>
              <w:topLinePunct/>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生活污水</w:t>
            </w:r>
          </w:p>
        </w:tc>
        <w:tc>
          <w:tcPr>
            <w:tcW w:w="382" w:type="pct"/>
            <w:vAlign w:val="center"/>
          </w:tcPr>
          <w:p w14:paraId="0EFD51B8">
            <w:pPr>
              <w:pStyle w:val="81"/>
              <w:topLinePunct/>
              <w:jc w:val="center"/>
              <w:rPr>
                <w:rFonts w:ascii="Times New Roman" w:hAnsi="Times New Roman" w:cs="Times New Roman"/>
                <w:color w:val="000000" w:themeColor="text1"/>
                <w:sz w:val="21"/>
                <w14:textFill>
                  <w14:solidFill>
                    <w14:schemeClr w14:val="tx1"/>
                  </w14:solidFill>
                </w14:textFill>
              </w:rPr>
            </w:pPr>
          </w:p>
        </w:tc>
        <w:tc>
          <w:tcPr>
            <w:tcW w:w="382" w:type="pct"/>
            <w:vMerge w:val="restart"/>
            <w:vAlign w:val="center"/>
          </w:tcPr>
          <w:p w14:paraId="2734BF3C">
            <w:pPr>
              <w:topLinePunct/>
              <w:jc w:val="center"/>
              <w:rPr>
                <w:rFonts w:ascii="Times New Roman" w:hAnsi="Times New Roman" w:cs="Times New Roman"/>
                <w:color w:val="000000" w:themeColor="text1"/>
                <w:sz w:val="21"/>
                <w:lang w:eastAsia="zh-CN"/>
                <w14:textFill>
                  <w14:solidFill>
                    <w14:schemeClr w14:val="tx1"/>
                  </w14:solidFill>
                </w14:textFill>
              </w:rPr>
            </w:pPr>
          </w:p>
        </w:tc>
        <w:tc>
          <w:tcPr>
            <w:tcW w:w="384" w:type="pct"/>
            <w:vMerge w:val="restart"/>
            <w:vAlign w:val="center"/>
          </w:tcPr>
          <w:p w14:paraId="2D992DE6">
            <w:pPr>
              <w:topLinePunct/>
              <w:jc w:val="center"/>
              <w:rPr>
                <w:rFonts w:ascii="Times New Roman" w:hAnsi="Times New Roman" w:cs="Times New Roman"/>
                <w:color w:val="000000" w:themeColor="text1"/>
                <w:sz w:val="21"/>
                <w:lang w:eastAsia="zh-CN"/>
                <w14:textFill>
                  <w14:solidFill>
                    <w14:schemeClr w14:val="tx1"/>
                  </w14:solidFill>
                </w14:textFill>
              </w:rPr>
            </w:pPr>
          </w:p>
        </w:tc>
        <w:tc>
          <w:tcPr>
            <w:tcW w:w="281" w:type="pct"/>
            <w:vMerge w:val="restart"/>
            <w:vAlign w:val="center"/>
          </w:tcPr>
          <w:p w14:paraId="6882A6DF">
            <w:pPr>
              <w:topLinePunct/>
              <w:jc w:val="center"/>
              <w:rPr>
                <w:rFonts w:ascii="Times New Roman" w:hAnsi="Times New Roman" w:cs="Times New Roman"/>
                <w:color w:val="000000" w:themeColor="text1"/>
                <w:sz w:val="21"/>
                <w14:textFill>
                  <w14:solidFill>
                    <w14:schemeClr w14:val="tx1"/>
                  </w14:solidFill>
                </w14:textFill>
              </w:rPr>
            </w:pPr>
          </w:p>
        </w:tc>
        <w:tc>
          <w:tcPr>
            <w:tcW w:w="377" w:type="pct"/>
            <w:vAlign w:val="center"/>
          </w:tcPr>
          <w:p w14:paraId="77489C70">
            <w:pPr>
              <w:topLinePunct/>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412" w:type="pct"/>
            <w:vAlign w:val="center"/>
          </w:tcPr>
          <w:p w14:paraId="37A67650">
            <w:pPr>
              <w:topLinePunct/>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475" w:type="pct"/>
            <w:vMerge w:val="restart"/>
            <w:vAlign w:val="center"/>
          </w:tcPr>
          <w:p w14:paraId="0815BE32">
            <w:pPr>
              <w:topLinePunc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c>
          <w:tcPr>
            <w:tcW w:w="371" w:type="pct"/>
            <w:vAlign w:val="center"/>
          </w:tcPr>
          <w:p w14:paraId="452E438E">
            <w:pPr>
              <w:topLinePunct/>
              <w:jc w:val="center"/>
              <w:rPr>
                <w:rFonts w:ascii="Times New Roman" w:hAnsi="Times New Roman" w:cs="Times New Roman"/>
                <w:color w:val="auto"/>
                <w:sz w:val="21"/>
                <w:lang w:eastAsia="zh-CN"/>
              </w:rPr>
            </w:pPr>
          </w:p>
        </w:tc>
        <w:tc>
          <w:tcPr>
            <w:tcW w:w="360" w:type="pct"/>
            <w:vAlign w:val="center"/>
          </w:tcPr>
          <w:p w14:paraId="1AE26BB1">
            <w:pPr>
              <w:topLinePunct/>
              <w:jc w:val="center"/>
              <w:rPr>
                <w:rFonts w:ascii="Times New Roman" w:hAnsi="Times New Roman" w:cs="Times New Roman"/>
                <w:color w:val="auto"/>
                <w:sz w:val="21"/>
                <w:lang w:eastAsia="zh-CN"/>
              </w:rPr>
            </w:pPr>
          </w:p>
        </w:tc>
        <w:tc>
          <w:tcPr>
            <w:tcW w:w="483" w:type="pct"/>
            <w:vAlign w:val="center"/>
          </w:tcPr>
          <w:p w14:paraId="7B4A1540">
            <w:pPr>
              <w:topLinePunct/>
              <w:jc w:val="center"/>
              <w:rPr>
                <w:rFonts w:ascii="Times New Roman" w:hAnsi="Times New Roman" w:cs="Times New Roman"/>
                <w:color w:val="auto"/>
                <w:sz w:val="21"/>
                <w:lang w:eastAsia="zh-CN"/>
              </w:rPr>
            </w:pPr>
          </w:p>
        </w:tc>
        <w:tc>
          <w:tcPr>
            <w:tcW w:w="383" w:type="pct"/>
            <w:vAlign w:val="center"/>
          </w:tcPr>
          <w:p w14:paraId="641E420B">
            <w:pPr>
              <w:topLinePunct/>
              <w:jc w:val="center"/>
              <w:rPr>
                <w:rFonts w:ascii="Times New Roman" w:hAnsi="Times New Roman" w:cs="Times New Roman"/>
                <w:color w:val="auto"/>
                <w:sz w:val="21"/>
                <w:lang w:eastAsia="zh-CN"/>
              </w:rPr>
            </w:pPr>
          </w:p>
        </w:tc>
        <w:tc>
          <w:tcPr>
            <w:tcW w:w="395" w:type="pct"/>
            <w:vAlign w:val="center"/>
          </w:tcPr>
          <w:p w14:paraId="77D87B55">
            <w:pPr>
              <w:topLinePunct/>
              <w:jc w:val="center"/>
              <w:rPr>
                <w:rFonts w:ascii="Times New Roman" w:hAnsi="Times New Roman" w:cs="Times New Roman"/>
                <w:color w:val="auto"/>
                <w:sz w:val="21"/>
                <w:lang w:eastAsia="zh-CN"/>
              </w:rPr>
            </w:pPr>
          </w:p>
        </w:tc>
      </w:tr>
      <w:tr w14:paraId="76FAFAE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315" w:type="pct"/>
            <w:vMerge w:val="continue"/>
            <w:vAlign w:val="center"/>
          </w:tcPr>
          <w:p w14:paraId="5B8E81D2">
            <w:pPr>
              <w:topLinePunct/>
              <w:jc w:val="center"/>
              <w:rPr>
                <w:rFonts w:ascii="Times New Roman" w:hAnsi="Times New Roman" w:cs="Times New Roman"/>
                <w:color w:val="000000" w:themeColor="text1"/>
                <w:sz w:val="21"/>
                <w:lang w:eastAsia="zh-CN"/>
                <w14:textFill>
                  <w14:solidFill>
                    <w14:schemeClr w14:val="tx1"/>
                  </w14:solidFill>
                </w14:textFill>
              </w:rPr>
            </w:pPr>
          </w:p>
        </w:tc>
        <w:tc>
          <w:tcPr>
            <w:tcW w:w="382" w:type="pct"/>
            <w:vAlign w:val="center"/>
          </w:tcPr>
          <w:p w14:paraId="05173EA4">
            <w:pPr>
              <w:pStyle w:val="81"/>
              <w:topLinePunct/>
              <w:jc w:val="center"/>
              <w:rPr>
                <w:rFonts w:ascii="Times New Roman" w:hAnsi="Times New Roman" w:cs="Times New Roman"/>
                <w:color w:val="000000" w:themeColor="text1"/>
                <w:sz w:val="21"/>
                <w14:textFill>
                  <w14:solidFill>
                    <w14:schemeClr w14:val="tx1"/>
                  </w14:solidFill>
                </w14:textFill>
              </w:rPr>
            </w:pPr>
          </w:p>
        </w:tc>
        <w:tc>
          <w:tcPr>
            <w:tcW w:w="382" w:type="pct"/>
            <w:vMerge w:val="continue"/>
            <w:vAlign w:val="center"/>
          </w:tcPr>
          <w:p w14:paraId="67CADBE3">
            <w:pPr>
              <w:topLinePunct/>
              <w:jc w:val="center"/>
              <w:rPr>
                <w:rFonts w:ascii="Times New Roman" w:hAnsi="Times New Roman" w:cs="Times New Roman"/>
                <w:color w:val="000000" w:themeColor="text1"/>
                <w:sz w:val="21"/>
                <w:lang w:eastAsia="zh-CN"/>
                <w14:textFill>
                  <w14:solidFill>
                    <w14:schemeClr w14:val="tx1"/>
                  </w14:solidFill>
                </w14:textFill>
              </w:rPr>
            </w:pPr>
          </w:p>
        </w:tc>
        <w:tc>
          <w:tcPr>
            <w:tcW w:w="384" w:type="pct"/>
            <w:vMerge w:val="continue"/>
            <w:vAlign w:val="center"/>
          </w:tcPr>
          <w:p w14:paraId="6C628A26">
            <w:pPr>
              <w:topLinePunct/>
              <w:jc w:val="center"/>
              <w:rPr>
                <w:rFonts w:ascii="Times New Roman" w:hAnsi="Times New Roman" w:cs="Times New Roman"/>
                <w:color w:val="000000" w:themeColor="text1"/>
                <w:sz w:val="21"/>
                <w:lang w:eastAsia="zh-CN"/>
                <w14:textFill>
                  <w14:solidFill>
                    <w14:schemeClr w14:val="tx1"/>
                  </w14:solidFill>
                </w14:textFill>
              </w:rPr>
            </w:pPr>
          </w:p>
        </w:tc>
        <w:tc>
          <w:tcPr>
            <w:tcW w:w="281" w:type="pct"/>
            <w:vMerge w:val="continue"/>
            <w:vAlign w:val="center"/>
          </w:tcPr>
          <w:p w14:paraId="1B5AC938">
            <w:pPr>
              <w:topLinePunct/>
              <w:jc w:val="center"/>
              <w:rPr>
                <w:rFonts w:ascii="Times New Roman" w:hAnsi="Times New Roman" w:cs="Times New Roman"/>
                <w:color w:val="000000" w:themeColor="text1"/>
                <w:sz w:val="21"/>
                <w14:textFill>
                  <w14:solidFill>
                    <w14:schemeClr w14:val="tx1"/>
                  </w14:solidFill>
                </w14:textFill>
              </w:rPr>
            </w:pPr>
          </w:p>
        </w:tc>
        <w:tc>
          <w:tcPr>
            <w:tcW w:w="377" w:type="pct"/>
            <w:vAlign w:val="center"/>
          </w:tcPr>
          <w:p w14:paraId="04E6351A">
            <w:pPr>
              <w:topLinePunct/>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412" w:type="pct"/>
            <w:vAlign w:val="center"/>
          </w:tcPr>
          <w:p w14:paraId="0E8FCC10">
            <w:pPr>
              <w:topLinePunct/>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475" w:type="pct"/>
            <w:vMerge w:val="continue"/>
            <w:vAlign w:val="center"/>
          </w:tcPr>
          <w:p w14:paraId="3D943C55">
            <w:pPr>
              <w:topLinePunct/>
              <w:jc w:val="center"/>
              <w:rPr>
                <w:rFonts w:ascii="Times New Roman" w:hAnsi="Times New Roman" w:cs="Times New Roman"/>
                <w:color w:val="auto"/>
                <w:sz w:val="21"/>
                <w:lang w:eastAsia="zh-CN"/>
              </w:rPr>
            </w:pPr>
          </w:p>
        </w:tc>
        <w:tc>
          <w:tcPr>
            <w:tcW w:w="371" w:type="pct"/>
            <w:vAlign w:val="center"/>
          </w:tcPr>
          <w:p w14:paraId="7ADB5D65">
            <w:pPr>
              <w:topLinePunct/>
              <w:jc w:val="center"/>
              <w:rPr>
                <w:rFonts w:ascii="Times New Roman" w:hAnsi="Times New Roman" w:cs="Times New Roman"/>
                <w:color w:val="auto"/>
                <w:sz w:val="21"/>
                <w:lang w:eastAsia="zh-CN"/>
              </w:rPr>
            </w:pPr>
          </w:p>
        </w:tc>
        <w:tc>
          <w:tcPr>
            <w:tcW w:w="360" w:type="pct"/>
            <w:vAlign w:val="center"/>
          </w:tcPr>
          <w:p w14:paraId="4C9AE7B3">
            <w:pPr>
              <w:topLinePunct/>
              <w:jc w:val="center"/>
              <w:rPr>
                <w:rFonts w:ascii="Times New Roman" w:hAnsi="Times New Roman" w:cs="Times New Roman"/>
                <w:color w:val="auto"/>
                <w:sz w:val="21"/>
                <w:lang w:eastAsia="zh-CN"/>
              </w:rPr>
            </w:pPr>
          </w:p>
        </w:tc>
        <w:tc>
          <w:tcPr>
            <w:tcW w:w="483" w:type="pct"/>
            <w:vAlign w:val="center"/>
          </w:tcPr>
          <w:p w14:paraId="6DB7892E">
            <w:pPr>
              <w:topLinePunct/>
              <w:jc w:val="center"/>
              <w:rPr>
                <w:rFonts w:ascii="Times New Roman" w:hAnsi="Times New Roman" w:cs="Times New Roman"/>
                <w:color w:val="auto"/>
                <w:sz w:val="21"/>
                <w:lang w:eastAsia="zh-CN"/>
              </w:rPr>
            </w:pPr>
          </w:p>
        </w:tc>
        <w:tc>
          <w:tcPr>
            <w:tcW w:w="383" w:type="pct"/>
            <w:vAlign w:val="center"/>
          </w:tcPr>
          <w:p w14:paraId="35168AAB">
            <w:pPr>
              <w:topLinePunct/>
              <w:jc w:val="center"/>
              <w:rPr>
                <w:rFonts w:ascii="Times New Roman" w:hAnsi="Times New Roman" w:cs="Times New Roman"/>
                <w:color w:val="auto"/>
                <w:sz w:val="21"/>
                <w:lang w:eastAsia="zh-CN"/>
              </w:rPr>
            </w:pPr>
          </w:p>
        </w:tc>
        <w:tc>
          <w:tcPr>
            <w:tcW w:w="395" w:type="pct"/>
            <w:vAlign w:val="center"/>
          </w:tcPr>
          <w:p w14:paraId="3CD29DC2">
            <w:pPr>
              <w:topLinePunct/>
              <w:jc w:val="center"/>
              <w:rPr>
                <w:rFonts w:ascii="Times New Roman" w:hAnsi="Times New Roman" w:cs="Times New Roman"/>
                <w:color w:val="auto"/>
                <w:sz w:val="21"/>
                <w:lang w:eastAsia="zh-CN"/>
              </w:rPr>
            </w:pPr>
          </w:p>
        </w:tc>
      </w:tr>
      <w:tr w14:paraId="34E2F35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315" w:type="pct"/>
            <w:vMerge w:val="continue"/>
            <w:vAlign w:val="center"/>
          </w:tcPr>
          <w:p w14:paraId="5F0DEE7C">
            <w:pPr>
              <w:topLinePunct/>
              <w:jc w:val="center"/>
              <w:rPr>
                <w:rFonts w:ascii="Times New Roman" w:hAnsi="Times New Roman" w:cs="Times New Roman"/>
                <w:color w:val="000000" w:themeColor="text1"/>
                <w:sz w:val="21"/>
                <w:lang w:eastAsia="zh-CN"/>
                <w14:textFill>
                  <w14:solidFill>
                    <w14:schemeClr w14:val="tx1"/>
                  </w14:solidFill>
                </w14:textFill>
              </w:rPr>
            </w:pPr>
          </w:p>
        </w:tc>
        <w:tc>
          <w:tcPr>
            <w:tcW w:w="382" w:type="pct"/>
            <w:vAlign w:val="center"/>
          </w:tcPr>
          <w:p w14:paraId="3482E39D">
            <w:pPr>
              <w:pStyle w:val="81"/>
              <w:topLinePunct/>
              <w:jc w:val="center"/>
              <w:rPr>
                <w:rFonts w:ascii="Times New Roman" w:hAnsi="Times New Roman" w:cs="Times New Roman"/>
                <w:color w:val="000000" w:themeColor="text1"/>
                <w:sz w:val="21"/>
                <w14:textFill>
                  <w14:solidFill>
                    <w14:schemeClr w14:val="tx1"/>
                  </w14:solidFill>
                </w14:textFill>
              </w:rPr>
            </w:pPr>
          </w:p>
        </w:tc>
        <w:tc>
          <w:tcPr>
            <w:tcW w:w="382" w:type="pct"/>
            <w:vMerge w:val="continue"/>
            <w:vAlign w:val="center"/>
          </w:tcPr>
          <w:p w14:paraId="1C62CC56">
            <w:pPr>
              <w:topLinePunct/>
              <w:jc w:val="center"/>
              <w:rPr>
                <w:rFonts w:ascii="Times New Roman" w:hAnsi="Times New Roman" w:cs="Times New Roman"/>
                <w:color w:val="000000" w:themeColor="text1"/>
                <w:sz w:val="21"/>
                <w:lang w:eastAsia="zh-CN"/>
                <w14:textFill>
                  <w14:solidFill>
                    <w14:schemeClr w14:val="tx1"/>
                  </w14:solidFill>
                </w14:textFill>
              </w:rPr>
            </w:pPr>
          </w:p>
        </w:tc>
        <w:tc>
          <w:tcPr>
            <w:tcW w:w="384" w:type="pct"/>
            <w:vMerge w:val="continue"/>
            <w:vAlign w:val="center"/>
          </w:tcPr>
          <w:p w14:paraId="1545D1F7">
            <w:pPr>
              <w:topLinePunct/>
              <w:jc w:val="center"/>
              <w:rPr>
                <w:rFonts w:ascii="Times New Roman" w:hAnsi="Times New Roman" w:cs="Times New Roman"/>
                <w:color w:val="000000" w:themeColor="text1"/>
                <w:sz w:val="21"/>
                <w:lang w:eastAsia="zh-CN"/>
                <w14:textFill>
                  <w14:solidFill>
                    <w14:schemeClr w14:val="tx1"/>
                  </w14:solidFill>
                </w14:textFill>
              </w:rPr>
            </w:pPr>
          </w:p>
        </w:tc>
        <w:tc>
          <w:tcPr>
            <w:tcW w:w="281" w:type="pct"/>
            <w:vMerge w:val="continue"/>
            <w:vAlign w:val="center"/>
          </w:tcPr>
          <w:p w14:paraId="3294B896">
            <w:pPr>
              <w:topLinePunct/>
              <w:jc w:val="center"/>
              <w:rPr>
                <w:rFonts w:ascii="Times New Roman" w:hAnsi="Times New Roman" w:cs="Times New Roman"/>
                <w:color w:val="000000" w:themeColor="text1"/>
                <w:sz w:val="21"/>
                <w14:textFill>
                  <w14:solidFill>
                    <w14:schemeClr w14:val="tx1"/>
                  </w14:solidFill>
                </w14:textFill>
              </w:rPr>
            </w:pPr>
          </w:p>
        </w:tc>
        <w:tc>
          <w:tcPr>
            <w:tcW w:w="377" w:type="pct"/>
            <w:vAlign w:val="center"/>
          </w:tcPr>
          <w:p w14:paraId="0E7A33C1">
            <w:pPr>
              <w:topLinePunct/>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412" w:type="pct"/>
            <w:vAlign w:val="center"/>
          </w:tcPr>
          <w:p w14:paraId="01201DC0">
            <w:pPr>
              <w:topLinePunct/>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475" w:type="pct"/>
            <w:vMerge w:val="continue"/>
            <w:vAlign w:val="center"/>
          </w:tcPr>
          <w:p w14:paraId="48220FCA">
            <w:pPr>
              <w:topLinePunct/>
              <w:jc w:val="center"/>
              <w:rPr>
                <w:rFonts w:ascii="Times New Roman" w:hAnsi="Times New Roman" w:cs="Times New Roman"/>
                <w:color w:val="auto"/>
                <w:sz w:val="21"/>
                <w:lang w:eastAsia="zh-CN"/>
              </w:rPr>
            </w:pPr>
          </w:p>
        </w:tc>
        <w:tc>
          <w:tcPr>
            <w:tcW w:w="371" w:type="pct"/>
            <w:vAlign w:val="center"/>
          </w:tcPr>
          <w:p w14:paraId="5DC48555">
            <w:pPr>
              <w:topLinePunct/>
              <w:jc w:val="center"/>
              <w:rPr>
                <w:rFonts w:ascii="Times New Roman" w:hAnsi="Times New Roman" w:cs="Times New Roman"/>
                <w:color w:val="auto"/>
                <w:sz w:val="21"/>
                <w:lang w:eastAsia="zh-CN"/>
              </w:rPr>
            </w:pPr>
          </w:p>
        </w:tc>
        <w:tc>
          <w:tcPr>
            <w:tcW w:w="360" w:type="pct"/>
            <w:vAlign w:val="center"/>
          </w:tcPr>
          <w:p w14:paraId="573C0816">
            <w:pPr>
              <w:topLinePunct/>
              <w:jc w:val="center"/>
              <w:rPr>
                <w:rFonts w:ascii="Times New Roman" w:hAnsi="Times New Roman" w:cs="Times New Roman"/>
                <w:color w:val="auto"/>
                <w:sz w:val="21"/>
                <w:lang w:eastAsia="zh-CN"/>
              </w:rPr>
            </w:pPr>
          </w:p>
        </w:tc>
        <w:tc>
          <w:tcPr>
            <w:tcW w:w="483" w:type="pct"/>
            <w:vAlign w:val="center"/>
          </w:tcPr>
          <w:p w14:paraId="350F17A6">
            <w:pPr>
              <w:topLinePunct/>
              <w:jc w:val="center"/>
              <w:rPr>
                <w:rFonts w:ascii="Times New Roman" w:hAnsi="Times New Roman" w:cs="Times New Roman"/>
                <w:color w:val="auto"/>
                <w:sz w:val="21"/>
                <w:lang w:eastAsia="zh-CN"/>
              </w:rPr>
            </w:pPr>
          </w:p>
        </w:tc>
        <w:tc>
          <w:tcPr>
            <w:tcW w:w="383" w:type="pct"/>
            <w:vAlign w:val="center"/>
          </w:tcPr>
          <w:p w14:paraId="1F0B051D">
            <w:pPr>
              <w:topLinePunct/>
              <w:jc w:val="center"/>
              <w:rPr>
                <w:rFonts w:ascii="Times New Roman" w:hAnsi="Times New Roman" w:cs="Times New Roman"/>
                <w:color w:val="auto"/>
                <w:sz w:val="21"/>
                <w:lang w:eastAsia="zh-CN"/>
              </w:rPr>
            </w:pPr>
          </w:p>
        </w:tc>
        <w:tc>
          <w:tcPr>
            <w:tcW w:w="395" w:type="pct"/>
            <w:vAlign w:val="center"/>
          </w:tcPr>
          <w:p w14:paraId="04CFD9CB">
            <w:pPr>
              <w:topLinePunct/>
              <w:jc w:val="center"/>
              <w:rPr>
                <w:rFonts w:ascii="Times New Roman" w:hAnsi="Times New Roman" w:cs="Times New Roman"/>
                <w:color w:val="auto"/>
                <w:sz w:val="21"/>
                <w:lang w:eastAsia="zh-CN"/>
              </w:rPr>
            </w:pPr>
          </w:p>
        </w:tc>
      </w:tr>
      <w:tr w14:paraId="54E5134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315" w:type="pct"/>
            <w:vMerge w:val="continue"/>
            <w:vAlign w:val="center"/>
          </w:tcPr>
          <w:p w14:paraId="42C55EB1">
            <w:pPr>
              <w:topLinePunct/>
              <w:jc w:val="center"/>
              <w:rPr>
                <w:rFonts w:ascii="Times New Roman" w:hAnsi="Times New Roman" w:cs="Times New Roman"/>
                <w:color w:val="000000" w:themeColor="text1"/>
                <w:sz w:val="21"/>
                <w:lang w:eastAsia="zh-CN"/>
                <w14:textFill>
                  <w14:solidFill>
                    <w14:schemeClr w14:val="tx1"/>
                  </w14:solidFill>
                </w14:textFill>
              </w:rPr>
            </w:pPr>
          </w:p>
        </w:tc>
        <w:tc>
          <w:tcPr>
            <w:tcW w:w="382" w:type="pct"/>
            <w:vAlign w:val="center"/>
          </w:tcPr>
          <w:p w14:paraId="28CE93EE">
            <w:pPr>
              <w:pStyle w:val="81"/>
              <w:topLinePunct/>
              <w:jc w:val="center"/>
              <w:rPr>
                <w:rFonts w:ascii="Times New Roman" w:hAnsi="Times New Roman" w:cs="Times New Roman"/>
                <w:color w:val="000000" w:themeColor="text1"/>
                <w:sz w:val="21"/>
                <w14:textFill>
                  <w14:solidFill>
                    <w14:schemeClr w14:val="tx1"/>
                  </w14:solidFill>
                </w14:textFill>
              </w:rPr>
            </w:pPr>
          </w:p>
        </w:tc>
        <w:tc>
          <w:tcPr>
            <w:tcW w:w="382" w:type="pct"/>
            <w:vMerge w:val="continue"/>
            <w:vAlign w:val="center"/>
          </w:tcPr>
          <w:p w14:paraId="180DCCF5">
            <w:pPr>
              <w:topLinePunct/>
              <w:jc w:val="center"/>
              <w:rPr>
                <w:rFonts w:ascii="Times New Roman" w:hAnsi="Times New Roman" w:cs="Times New Roman"/>
                <w:color w:val="000000" w:themeColor="text1"/>
                <w:sz w:val="21"/>
                <w:lang w:eastAsia="zh-CN"/>
                <w14:textFill>
                  <w14:solidFill>
                    <w14:schemeClr w14:val="tx1"/>
                  </w14:solidFill>
                </w14:textFill>
              </w:rPr>
            </w:pPr>
          </w:p>
        </w:tc>
        <w:tc>
          <w:tcPr>
            <w:tcW w:w="384" w:type="pct"/>
            <w:vMerge w:val="continue"/>
            <w:vAlign w:val="center"/>
          </w:tcPr>
          <w:p w14:paraId="647C8F05">
            <w:pPr>
              <w:topLinePunct/>
              <w:jc w:val="center"/>
              <w:rPr>
                <w:rFonts w:ascii="Times New Roman" w:hAnsi="Times New Roman" w:cs="Times New Roman"/>
                <w:color w:val="000000" w:themeColor="text1"/>
                <w:sz w:val="21"/>
                <w:lang w:eastAsia="zh-CN"/>
                <w14:textFill>
                  <w14:solidFill>
                    <w14:schemeClr w14:val="tx1"/>
                  </w14:solidFill>
                </w14:textFill>
              </w:rPr>
            </w:pPr>
          </w:p>
        </w:tc>
        <w:tc>
          <w:tcPr>
            <w:tcW w:w="281" w:type="pct"/>
            <w:vMerge w:val="continue"/>
            <w:vAlign w:val="center"/>
          </w:tcPr>
          <w:p w14:paraId="19879F9D">
            <w:pPr>
              <w:topLinePunct/>
              <w:jc w:val="center"/>
              <w:rPr>
                <w:rFonts w:ascii="Times New Roman" w:hAnsi="Times New Roman" w:cs="Times New Roman"/>
                <w:color w:val="000000" w:themeColor="text1"/>
                <w:sz w:val="21"/>
                <w14:textFill>
                  <w14:solidFill>
                    <w14:schemeClr w14:val="tx1"/>
                  </w14:solidFill>
                </w14:textFill>
              </w:rPr>
            </w:pPr>
          </w:p>
        </w:tc>
        <w:tc>
          <w:tcPr>
            <w:tcW w:w="377" w:type="pct"/>
            <w:vAlign w:val="center"/>
          </w:tcPr>
          <w:p w14:paraId="030319FD">
            <w:pPr>
              <w:topLinePunct/>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412" w:type="pct"/>
            <w:vAlign w:val="center"/>
          </w:tcPr>
          <w:p w14:paraId="2908AB1F">
            <w:pPr>
              <w:topLinePunct/>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475" w:type="pct"/>
            <w:vMerge w:val="continue"/>
            <w:vAlign w:val="center"/>
          </w:tcPr>
          <w:p w14:paraId="4C997E2F">
            <w:pPr>
              <w:topLinePunct/>
              <w:jc w:val="center"/>
              <w:rPr>
                <w:rFonts w:ascii="Times New Roman" w:hAnsi="Times New Roman" w:cs="Times New Roman"/>
                <w:color w:val="auto"/>
                <w:sz w:val="21"/>
                <w:lang w:eastAsia="zh-CN"/>
              </w:rPr>
            </w:pPr>
          </w:p>
        </w:tc>
        <w:tc>
          <w:tcPr>
            <w:tcW w:w="371" w:type="pct"/>
            <w:vAlign w:val="center"/>
          </w:tcPr>
          <w:p w14:paraId="378AAB37">
            <w:pPr>
              <w:topLinePunct/>
              <w:jc w:val="center"/>
              <w:rPr>
                <w:rFonts w:ascii="Times New Roman" w:hAnsi="Times New Roman" w:cs="Times New Roman"/>
                <w:color w:val="auto"/>
                <w:sz w:val="21"/>
                <w:lang w:eastAsia="zh-CN"/>
              </w:rPr>
            </w:pPr>
          </w:p>
        </w:tc>
        <w:tc>
          <w:tcPr>
            <w:tcW w:w="360" w:type="pct"/>
            <w:vAlign w:val="center"/>
          </w:tcPr>
          <w:p w14:paraId="5DD72429">
            <w:pPr>
              <w:topLinePunct/>
              <w:jc w:val="center"/>
              <w:rPr>
                <w:rFonts w:ascii="Times New Roman" w:hAnsi="Times New Roman" w:cs="Times New Roman"/>
                <w:color w:val="auto"/>
                <w:sz w:val="21"/>
                <w:lang w:eastAsia="zh-CN"/>
              </w:rPr>
            </w:pPr>
          </w:p>
        </w:tc>
        <w:tc>
          <w:tcPr>
            <w:tcW w:w="483" w:type="pct"/>
            <w:vAlign w:val="center"/>
          </w:tcPr>
          <w:p w14:paraId="2193282A">
            <w:pPr>
              <w:topLinePunct/>
              <w:jc w:val="center"/>
              <w:rPr>
                <w:rFonts w:ascii="Times New Roman" w:hAnsi="Times New Roman" w:cs="Times New Roman"/>
                <w:color w:val="auto"/>
                <w:sz w:val="21"/>
                <w:lang w:eastAsia="zh-CN"/>
              </w:rPr>
            </w:pPr>
          </w:p>
        </w:tc>
        <w:tc>
          <w:tcPr>
            <w:tcW w:w="383" w:type="pct"/>
            <w:vAlign w:val="center"/>
          </w:tcPr>
          <w:p w14:paraId="2578A2FC">
            <w:pPr>
              <w:topLinePunct/>
              <w:jc w:val="center"/>
              <w:rPr>
                <w:rFonts w:ascii="Times New Roman" w:hAnsi="Times New Roman" w:cs="Times New Roman"/>
                <w:color w:val="auto"/>
                <w:sz w:val="21"/>
                <w:lang w:eastAsia="zh-CN"/>
              </w:rPr>
            </w:pPr>
          </w:p>
        </w:tc>
        <w:tc>
          <w:tcPr>
            <w:tcW w:w="395" w:type="pct"/>
            <w:vAlign w:val="center"/>
          </w:tcPr>
          <w:p w14:paraId="20115B37">
            <w:pPr>
              <w:topLinePunct/>
              <w:jc w:val="center"/>
              <w:rPr>
                <w:rFonts w:ascii="Times New Roman" w:hAnsi="Times New Roman" w:cs="Times New Roman"/>
                <w:color w:val="auto"/>
                <w:sz w:val="21"/>
                <w:lang w:eastAsia="zh-CN"/>
              </w:rPr>
            </w:pPr>
          </w:p>
        </w:tc>
      </w:tr>
      <w:tr w14:paraId="6BD450F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315" w:type="pct"/>
            <w:vMerge w:val="restart"/>
            <w:vAlign w:val="center"/>
          </w:tcPr>
          <w:p w14:paraId="37B27BFF">
            <w:pPr>
              <w:topLinePunc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初期雨水</w:t>
            </w:r>
          </w:p>
        </w:tc>
        <w:tc>
          <w:tcPr>
            <w:tcW w:w="382" w:type="pct"/>
            <w:vAlign w:val="center"/>
          </w:tcPr>
          <w:p w14:paraId="554BA912">
            <w:pPr>
              <w:topLinePunct/>
              <w:jc w:val="center"/>
              <w:rPr>
                <w:rFonts w:ascii="Times New Roman" w:hAnsi="Times New Roman" w:cs="Times New Roman"/>
                <w:color w:val="auto"/>
                <w:sz w:val="21"/>
                <w:lang w:eastAsia="zh-CN"/>
              </w:rPr>
            </w:pPr>
            <w:r>
              <w:rPr>
                <w:rFonts w:ascii="Times New Roman" w:hAnsi="Times New Roman" w:cs="Times New Roman"/>
                <w:color w:val="auto"/>
                <w:sz w:val="21"/>
              </w:rPr>
              <w:t>COD</w:t>
            </w:r>
            <w:r>
              <w:rPr>
                <w:rFonts w:ascii="Times New Roman" w:hAnsi="Times New Roman" w:cs="Times New Roman"/>
                <w:color w:val="auto"/>
                <w:sz w:val="21"/>
                <w:vertAlign w:val="subscript"/>
              </w:rPr>
              <w:t>Cr</w:t>
            </w:r>
          </w:p>
        </w:tc>
        <w:tc>
          <w:tcPr>
            <w:tcW w:w="766" w:type="pct"/>
            <w:gridSpan w:val="2"/>
            <w:vMerge w:val="restart"/>
            <w:vAlign w:val="center"/>
          </w:tcPr>
          <w:p w14:paraId="52A203A9">
            <w:pPr>
              <w:pStyle w:val="81"/>
              <w:topLinePunct/>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eastAsia="zh-CN"/>
              </w:rPr>
              <w:t>358.2</w:t>
            </w:r>
            <w:r>
              <w:rPr>
                <w:rFonts w:ascii="Times New Roman" w:hAnsi="Times New Roman" w:eastAsia="宋体" w:cs="Times New Roman"/>
                <w:color w:val="auto"/>
                <w:sz w:val="21"/>
                <w:szCs w:val="21"/>
              </w:rPr>
              <w:t>m</w:t>
            </w:r>
            <w:r>
              <w:rPr>
                <w:rFonts w:ascii="Times New Roman" w:hAnsi="Times New Roman" w:eastAsia="宋体" w:cs="Times New Roman"/>
                <w:color w:val="auto"/>
                <w:sz w:val="21"/>
                <w:szCs w:val="21"/>
                <w:vertAlign w:val="superscript"/>
              </w:rPr>
              <w:t>3</w:t>
            </w:r>
            <w:r>
              <w:rPr>
                <w:rFonts w:ascii="Times New Roman" w:hAnsi="Times New Roman" w:eastAsia="宋体" w:cs="Times New Roman"/>
                <w:color w:val="auto"/>
                <w:sz w:val="21"/>
                <w:szCs w:val="21"/>
              </w:rPr>
              <w:t>/次</w:t>
            </w:r>
          </w:p>
        </w:tc>
        <w:tc>
          <w:tcPr>
            <w:tcW w:w="281" w:type="pct"/>
            <w:vMerge w:val="restart"/>
            <w:vAlign w:val="center"/>
          </w:tcPr>
          <w:p w14:paraId="2C73485B">
            <w:pPr>
              <w:pStyle w:val="81"/>
              <w:topLinePunct/>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rPr>
              <w:t>类比分析</w:t>
            </w:r>
          </w:p>
        </w:tc>
        <w:tc>
          <w:tcPr>
            <w:tcW w:w="1264" w:type="pct"/>
            <w:gridSpan w:val="3"/>
            <w:vMerge w:val="restart"/>
            <w:vAlign w:val="center"/>
          </w:tcPr>
          <w:p w14:paraId="5DAB9C5B">
            <w:pPr>
              <w:topLinePunc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初期雨水经检测</w:t>
            </w:r>
            <w:r>
              <w:rPr>
                <w:rFonts w:hint="eastAsia" w:ascii="Times New Roman" w:hAnsi="Times New Roman" w:cs="Times New Roman"/>
                <w:color w:val="auto"/>
                <w:sz w:val="21"/>
                <w:lang w:eastAsia="zh-CN"/>
              </w:rPr>
              <w:t>达标</w:t>
            </w:r>
            <w:r>
              <w:rPr>
                <w:rFonts w:ascii="Times New Roman" w:hAnsi="Times New Roman" w:cs="Times New Roman"/>
                <w:color w:val="auto"/>
                <w:sz w:val="21"/>
                <w:lang w:eastAsia="zh-CN"/>
              </w:rPr>
              <w:t>后，排入沫河口污水处理厂</w:t>
            </w:r>
            <w:r>
              <w:rPr>
                <w:rFonts w:hint="eastAsia" w:ascii="Times New Roman" w:hAnsi="Times New Roman" w:cs="Times New Roman"/>
                <w:color w:val="auto"/>
                <w:sz w:val="21"/>
                <w:lang w:eastAsia="zh-CN"/>
              </w:rPr>
              <w:t>；检测不达标的</w:t>
            </w:r>
            <w:r>
              <w:rPr>
                <w:rFonts w:ascii="Times New Roman" w:hAnsi="Times New Roman" w:cs="Times New Roman"/>
                <w:color w:val="auto"/>
                <w:sz w:val="21"/>
                <w:lang w:eastAsia="zh-CN"/>
              </w:rPr>
              <w:t>初期雨水</w:t>
            </w:r>
            <w:r>
              <w:rPr>
                <w:rFonts w:hint="eastAsia" w:ascii="Times New Roman" w:hAnsi="Times New Roman" w:cs="Times New Roman"/>
                <w:color w:val="auto"/>
                <w:sz w:val="21"/>
                <w:lang w:eastAsia="zh-CN"/>
              </w:rPr>
              <w:t>依托</w:t>
            </w:r>
            <w:r>
              <w:rPr>
                <w:rFonts w:ascii="Times New Roman" w:hAnsi="Times New Roman" w:cs="Times New Roman"/>
                <w:color w:val="auto"/>
                <w:sz w:val="21"/>
                <w:lang w:eastAsia="zh-CN"/>
              </w:rPr>
              <w:t>厂区污水处理站处理</w:t>
            </w:r>
          </w:p>
        </w:tc>
        <w:tc>
          <w:tcPr>
            <w:tcW w:w="371" w:type="pct"/>
            <w:vAlign w:val="center"/>
          </w:tcPr>
          <w:p w14:paraId="1B9A2BF9">
            <w:pPr>
              <w:topLinePunct/>
              <w:jc w:val="center"/>
              <w:rPr>
                <w:rFonts w:ascii="Times New Roman" w:hAnsi="Times New Roman" w:cs="Times New Roman"/>
                <w:color w:val="auto"/>
                <w:sz w:val="21"/>
                <w:lang w:eastAsia="zh-CN"/>
              </w:rPr>
            </w:pPr>
          </w:p>
        </w:tc>
        <w:tc>
          <w:tcPr>
            <w:tcW w:w="360" w:type="pct"/>
            <w:tcBorders>
              <w:bottom w:val="single" w:color="auto" w:sz="4" w:space="0"/>
            </w:tcBorders>
            <w:vAlign w:val="center"/>
          </w:tcPr>
          <w:p w14:paraId="0495ABEE">
            <w:pPr>
              <w:topLinePunct/>
              <w:jc w:val="center"/>
              <w:textAlignment w:val="center"/>
              <w:rPr>
                <w:rFonts w:ascii="Times New Roman" w:hAnsi="Times New Roman" w:cs="Times New Roman"/>
                <w:color w:val="auto"/>
                <w:sz w:val="21"/>
                <w:lang w:eastAsia="zh-CN"/>
              </w:rPr>
            </w:pPr>
          </w:p>
        </w:tc>
        <w:tc>
          <w:tcPr>
            <w:tcW w:w="483" w:type="pct"/>
            <w:vAlign w:val="center"/>
          </w:tcPr>
          <w:p w14:paraId="7CF16CF9">
            <w:pPr>
              <w:topLinePunct/>
              <w:jc w:val="center"/>
              <w:rPr>
                <w:rFonts w:ascii="Times New Roman" w:hAnsi="Times New Roman" w:cs="Times New Roman"/>
                <w:color w:val="auto"/>
                <w:sz w:val="21"/>
                <w:lang w:eastAsia="zh-CN"/>
              </w:rPr>
            </w:pPr>
          </w:p>
        </w:tc>
        <w:tc>
          <w:tcPr>
            <w:tcW w:w="383" w:type="pct"/>
            <w:vAlign w:val="center"/>
          </w:tcPr>
          <w:p w14:paraId="54EE9068">
            <w:pPr>
              <w:topLinePunct/>
              <w:jc w:val="center"/>
              <w:rPr>
                <w:rFonts w:ascii="Times New Roman" w:hAnsi="Times New Roman" w:cs="Times New Roman"/>
                <w:color w:val="auto"/>
                <w:sz w:val="21"/>
                <w:lang w:eastAsia="zh-CN"/>
              </w:rPr>
            </w:pPr>
          </w:p>
        </w:tc>
        <w:tc>
          <w:tcPr>
            <w:tcW w:w="395" w:type="pct"/>
            <w:vAlign w:val="center"/>
          </w:tcPr>
          <w:p w14:paraId="5F26BAAC">
            <w:pPr>
              <w:topLinePunct/>
              <w:jc w:val="center"/>
              <w:rPr>
                <w:rFonts w:ascii="Times New Roman" w:hAnsi="Times New Roman" w:cs="Times New Roman"/>
                <w:color w:val="auto"/>
                <w:sz w:val="21"/>
                <w:lang w:eastAsia="zh-CN"/>
              </w:rPr>
            </w:pPr>
          </w:p>
        </w:tc>
      </w:tr>
      <w:tr w14:paraId="4A7027B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315" w:type="pct"/>
            <w:vMerge w:val="continue"/>
            <w:vAlign w:val="center"/>
          </w:tcPr>
          <w:p w14:paraId="4B3316EE">
            <w:pPr>
              <w:topLinePunct/>
              <w:jc w:val="center"/>
              <w:rPr>
                <w:rFonts w:ascii="Times New Roman" w:hAnsi="Times New Roman" w:cs="Times New Roman"/>
                <w:color w:val="auto"/>
                <w:sz w:val="21"/>
                <w:lang w:eastAsia="zh-CN"/>
              </w:rPr>
            </w:pPr>
          </w:p>
        </w:tc>
        <w:tc>
          <w:tcPr>
            <w:tcW w:w="382" w:type="pct"/>
            <w:vAlign w:val="center"/>
          </w:tcPr>
          <w:p w14:paraId="02038467">
            <w:pPr>
              <w:topLinePunct/>
              <w:jc w:val="center"/>
              <w:rPr>
                <w:rFonts w:ascii="Times New Roman" w:hAnsi="Times New Roman" w:cs="Times New Roman"/>
                <w:color w:val="auto"/>
                <w:sz w:val="21"/>
              </w:rPr>
            </w:pPr>
            <w:r>
              <w:rPr>
                <w:rFonts w:ascii="Times New Roman" w:hAnsi="Times New Roman" w:cs="Times New Roman"/>
                <w:color w:val="auto"/>
                <w:sz w:val="21"/>
                <w:lang w:eastAsia="zh-CN"/>
              </w:rPr>
              <w:t>SS</w:t>
            </w:r>
          </w:p>
        </w:tc>
        <w:tc>
          <w:tcPr>
            <w:tcW w:w="766" w:type="pct"/>
            <w:gridSpan w:val="2"/>
            <w:vMerge w:val="continue"/>
            <w:vAlign w:val="center"/>
          </w:tcPr>
          <w:p w14:paraId="5BFB1206">
            <w:pPr>
              <w:pStyle w:val="81"/>
              <w:topLinePunct/>
              <w:jc w:val="center"/>
              <w:rPr>
                <w:rFonts w:ascii="Times New Roman" w:hAnsi="Times New Roman" w:eastAsia="宋体" w:cs="Times New Roman"/>
                <w:color w:val="auto"/>
                <w:sz w:val="21"/>
                <w:szCs w:val="21"/>
                <w:lang w:eastAsia="zh-CN"/>
              </w:rPr>
            </w:pPr>
          </w:p>
        </w:tc>
        <w:tc>
          <w:tcPr>
            <w:tcW w:w="281" w:type="pct"/>
            <w:vMerge w:val="continue"/>
            <w:vAlign w:val="center"/>
          </w:tcPr>
          <w:p w14:paraId="49EF4946">
            <w:pPr>
              <w:pStyle w:val="81"/>
              <w:topLinePunct/>
              <w:jc w:val="center"/>
              <w:rPr>
                <w:rFonts w:ascii="Times New Roman" w:hAnsi="Times New Roman" w:eastAsia="宋体" w:cs="Times New Roman"/>
                <w:color w:val="auto"/>
                <w:sz w:val="21"/>
              </w:rPr>
            </w:pPr>
          </w:p>
        </w:tc>
        <w:tc>
          <w:tcPr>
            <w:tcW w:w="1264" w:type="pct"/>
            <w:gridSpan w:val="3"/>
            <w:vMerge w:val="continue"/>
            <w:vAlign w:val="center"/>
          </w:tcPr>
          <w:p w14:paraId="7BDACBC8">
            <w:pPr>
              <w:topLinePunct/>
              <w:jc w:val="center"/>
              <w:rPr>
                <w:rFonts w:ascii="Times New Roman" w:hAnsi="Times New Roman" w:cs="Times New Roman"/>
                <w:color w:val="auto"/>
                <w:sz w:val="21"/>
                <w:lang w:eastAsia="zh-CN"/>
              </w:rPr>
            </w:pPr>
          </w:p>
        </w:tc>
        <w:tc>
          <w:tcPr>
            <w:tcW w:w="371" w:type="pct"/>
            <w:vAlign w:val="center"/>
          </w:tcPr>
          <w:p w14:paraId="13C8B131">
            <w:pPr>
              <w:topLinePunct/>
              <w:jc w:val="center"/>
              <w:rPr>
                <w:rFonts w:ascii="Times New Roman" w:hAnsi="Times New Roman" w:cs="Times New Roman"/>
                <w:color w:val="auto"/>
                <w:sz w:val="21"/>
                <w:lang w:eastAsia="zh-CN"/>
              </w:rPr>
            </w:pPr>
          </w:p>
        </w:tc>
        <w:tc>
          <w:tcPr>
            <w:tcW w:w="360" w:type="pct"/>
            <w:tcBorders>
              <w:bottom w:val="single" w:color="auto" w:sz="4" w:space="0"/>
            </w:tcBorders>
            <w:vAlign w:val="center"/>
          </w:tcPr>
          <w:p w14:paraId="15427042">
            <w:pPr>
              <w:topLinePunct/>
              <w:jc w:val="center"/>
              <w:textAlignment w:val="center"/>
              <w:rPr>
                <w:rFonts w:ascii="Times New Roman" w:hAnsi="Times New Roman" w:cs="Times New Roman"/>
                <w:color w:val="auto"/>
                <w:sz w:val="21"/>
                <w:lang w:eastAsia="zh-CN"/>
              </w:rPr>
            </w:pPr>
          </w:p>
        </w:tc>
        <w:tc>
          <w:tcPr>
            <w:tcW w:w="483" w:type="pct"/>
            <w:vAlign w:val="center"/>
          </w:tcPr>
          <w:p w14:paraId="30D94415">
            <w:pPr>
              <w:topLinePunct/>
              <w:jc w:val="center"/>
              <w:rPr>
                <w:rFonts w:ascii="Times New Roman" w:hAnsi="Times New Roman" w:cs="Times New Roman"/>
                <w:color w:val="auto"/>
                <w:sz w:val="21"/>
                <w:lang w:eastAsia="zh-CN"/>
              </w:rPr>
            </w:pPr>
          </w:p>
        </w:tc>
        <w:tc>
          <w:tcPr>
            <w:tcW w:w="383" w:type="pct"/>
            <w:vAlign w:val="center"/>
          </w:tcPr>
          <w:p w14:paraId="1A15A4A3">
            <w:pPr>
              <w:topLinePunct/>
              <w:jc w:val="center"/>
              <w:rPr>
                <w:rFonts w:ascii="Times New Roman" w:hAnsi="Times New Roman" w:cs="Times New Roman"/>
                <w:color w:val="auto"/>
                <w:sz w:val="21"/>
                <w:lang w:eastAsia="zh-CN"/>
              </w:rPr>
            </w:pPr>
          </w:p>
        </w:tc>
        <w:tc>
          <w:tcPr>
            <w:tcW w:w="395" w:type="pct"/>
            <w:vAlign w:val="center"/>
          </w:tcPr>
          <w:p w14:paraId="4B59ADDF">
            <w:pPr>
              <w:topLinePunct/>
              <w:jc w:val="center"/>
              <w:rPr>
                <w:rFonts w:ascii="Times New Roman" w:hAnsi="Times New Roman" w:cs="Times New Roman"/>
                <w:color w:val="auto"/>
                <w:sz w:val="21"/>
                <w:lang w:eastAsia="zh-CN"/>
              </w:rPr>
            </w:pPr>
          </w:p>
        </w:tc>
      </w:tr>
      <w:tr w14:paraId="0FD13DA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315" w:type="pct"/>
            <w:vMerge w:val="restart"/>
            <w:vAlign w:val="center"/>
          </w:tcPr>
          <w:p w14:paraId="4BB174CC">
            <w:pPr>
              <w:topLinePunct/>
              <w:jc w:val="center"/>
              <w:rPr>
                <w:rFonts w:ascii="Times New Roman" w:hAnsi="Times New Roman" w:cs="Times New Roman"/>
                <w:color w:val="auto"/>
                <w:sz w:val="21"/>
              </w:rPr>
            </w:pPr>
            <w:r>
              <w:rPr>
                <w:rFonts w:ascii="Times New Roman" w:hAnsi="Times New Roman" w:cs="Times New Roman"/>
                <w:color w:val="auto"/>
                <w:sz w:val="21"/>
              </w:rPr>
              <w:t>合计</w:t>
            </w:r>
          </w:p>
        </w:tc>
        <w:tc>
          <w:tcPr>
            <w:tcW w:w="382" w:type="pct"/>
            <w:vAlign w:val="center"/>
          </w:tcPr>
          <w:p w14:paraId="71DA889A">
            <w:pPr>
              <w:topLinePunct/>
              <w:jc w:val="center"/>
              <w:rPr>
                <w:rFonts w:ascii="Times New Roman" w:hAnsi="Times New Roman" w:cs="Times New Roman"/>
                <w:color w:val="auto"/>
                <w:sz w:val="21"/>
              </w:rPr>
            </w:pPr>
            <w:r>
              <w:rPr>
                <w:rFonts w:ascii="Times New Roman" w:hAnsi="Times New Roman" w:cs="Times New Roman"/>
                <w:color w:val="auto"/>
                <w:sz w:val="21"/>
                <w:lang w:eastAsia="zh-CN"/>
              </w:rPr>
              <w:t>pH</w:t>
            </w:r>
          </w:p>
        </w:tc>
        <w:tc>
          <w:tcPr>
            <w:tcW w:w="382" w:type="pct"/>
            <w:vMerge w:val="restart"/>
            <w:vAlign w:val="center"/>
          </w:tcPr>
          <w:p w14:paraId="67B77B9F">
            <w:pPr>
              <w:topLinePunc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111.81</w:t>
            </w:r>
          </w:p>
        </w:tc>
        <w:tc>
          <w:tcPr>
            <w:tcW w:w="384" w:type="pct"/>
            <w:vMerge w:val="restart"/>
            <w:vAlign w:val="center"/>
          </w:tcPr>
          <w:p w14:paraId="050E7063">
            <w:pPr>
              <w:topLinePunc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36897.3</w:t>
            </w:r>
          </w:p>
        </w:tc>
        <w:tc>
          <w:tcPr>
            <w:tcW w:w="281" w:type="pct"/>
            <w:vMerge w:val="restart"/>
            <w:vAlign w:val="center"/>
          </w:tcPr>
          <w:p w14:paraId="15FA2F7A">
            <w:pPr>
              <w:topLinePunc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377" w:type="pct"/>
            <w:vAlign w:val="center"/>
          </w:tcPr>
          <w:p w14:paraId="39FC26EC">
            <w:pPr>
              <w:topLinePunct/>
              <w:jc w:val="center"/>
              <w:rPr>
                <w:rFonts w:ascii="Times New Roman" w:hAnsi="Times New Roman" w:cs="Times New Roman"/>
                <w:color w:val="auto"/>
                <w:sz w:val="21"/>
                <w:lang w:eastAsia="zh-CN"/>
              </w:rPr>
            </w:pPr>
          </w:p>
        </w:tc>
        <w:tc>
          <w:tcPr>
            <w:tcW w:w="412" w:type="pct"/>
            <w:vAlign w:val="center"/>
          </w:tcPr>
          <w:p w14:paraId="196E1024">
            <w:pPr>
              <w:topLinePunct/>
              <w:jc w:val="center"/>
              <w:rPr>
                <w:rFonts w:ascii="Times New Roman" w:hAnsi="Times New Roman" w:cs="Times New Roman"/>
                <w:color w:val="auto"/>
                <w:sz w:val="21"/>
                <w:lang w:eastAsia="zh-CN"/>
              </w:rPr>
            </w:pPr>
          </w:p>
        </w:tc>
        <w:tc>
          <w:tcPr>
            <w:tcW w:w="475" w:type="pct"/>
            <w:vMerge w:val="restart"/>
            <w:vAlign w:val="center"/>
          </w:tcPr>
          <w:p w14:paraId="2E6DF7D7">
            <w:pPr>
              <w:topLinePunct/>
              <w:jc w:val="center"/>
              <w:rPr>
                <w:rFonts w:ascii="Times New Roman" w:hAnsi="Times New Roman" w:cs="Times New Roman"/>
                <w:color w:val="auto"/>
                <w:sz w:val="21"/>
                <w:lang w:eastAsia="zh-CN"/>
              </w:rPr>
            </w:pPr>
          </w:p>
        </w:tc>
        <w:tc>
          <w:tcPr>
            <w:tcW w:w="371" w:type="pct"/>
            <w:vAlign w:val="center"/>
          </w:tcPr>
          <w:p w14:paraId="4BC9C6E0">
            <w:pPr>
              <w:topLinePunct/>
              <w:jc w:val="center"/>
              <w:textAlignment w:val="center"/>
              <w:rPr>
                <w:rFonts w:ascii="Times New Roman" w:hAnsi="Times New Roman" w:cs="Times New Roman"/>
                <w:color w:val="auto"/>
                <w:sz w:val="21"/>
                <w:lang w:eastAsia="zh-CN"/>
              </w:rPr>
            </w:pPr>
          </w:p>
        </w:tc>
        <w:tc>
          <w:tcPr>
            <w:tcW w:w="360" w:type="pct"/>
            <w:vAlign w:val="center"/>
          </w:tcPr>
          <w:p w14:paraId="16DF5C10">
            <w:pPr>
              <w:topLinePunct/>
              <w:jc w:val="center"/>
              <w:textAlignment w:val="center"/>
              <w:rPr>
                <w:rFonts w:ascii="Times New Roman" w:hAnsi="Times New Roman" w:cs="Times New Roman"/>
                <w:color w:val="auto"/>
                <w:sz w:val="21"/>
                <w:lang w:eastAsia="zh-CN"/>
              </w:rPr>
            </w:pPr>
          </w:p>
        </w:tc>
        <w:tc>
          <w:tcPr>
            <w:tcW w:w="483" w:type="pct"/>
            <w:vAlign w:val="center"/>
          </w:tcPr>
          <w:p w14:paraId="11DB9FBE">
            <w:pPr>
              <w:topLinePunct/>
              <w:jc w:val="center"/>
              <w:rPr>
                <w:rFonts w:ascii="Times New Roman" w:hAnsi="Times New Roman" w:cs="Times New Roman"/>
                <w:color w:val="auto"/>
                <w:sz w:val="21"/>
                <w:lang w:eastAsia="zh-CN"/>
              </w:rPr>
            </w:pPr>
          </w:p>
        </w:tc>
        <w:tc>
          <w:tcPr>
            <w:tcW w:w="383" w:type="pct"/>
            <w:vAlign w:val="center"/>
          </w:tcPr>
          <w:p w14:paraId="318BEBE7">
            <w:pPr>
              <w:topLinePunct/>
              <w:jc w:val="center"/>
              <w:textAlignment w:val="center"/>
              <w:rPr>
                <w:rFonts w:ascii="Times New Roman" w:hAnsi="Times New Roman" w:cs="Times New Roman"/>
                <w:color w:val="auto"/>
                <w:sz w:val="21"/>
                <w:lang w:eastAsia="zh-CN" w:bidi="ar"/>
              </w:rPr>
            </w:pPr>
          </w:p>
        </w:tc>
        <w:tc>
          <w:tcPr>
            <w:tcW w:w="395" w:type="pct"/>
            <w:vAlign w:val="center"/>
          </w:tcPr>
          <w:p w14:paraId="5FE5D961">
            <w:pPr>
              <w:topLinePunct/>
              <w:jc w:val="center"/>
              <w:textAlignment w:val="center"/>
              <w:rPr>
                <w:rFonts w:ascii="Times New Roman" w:hAnsi="Times New Roman" w:cs="Times New Roman"/>
                <w:color w:val="auto"/>
                <w:sz w:val="21"/>
                <w:lang w:eastAsia="zh-CN" w:bidi="ar"/>
              </w:rPr>
            </w:pPr>
          </w:p>
        </w:tc>
      </w:tr>
      <w:tr w14:paraId="2B77426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315" w:type="pct"/>
            <w:vMerge w:val="continue"/>
            <w:vAlign w:val="center"/>
          </w:tcPr>
          <w:p w14:paraId="6935DF5D">
            <w:pPr>
              <w:topLinePunct/>
              <w:jc w:val="center"/>
              <w:rPr>
                <w:rFonts w:ascii="Times New Roman" w:hAnsi="Times New Roman" w:cs="Times New Roman"/>
                <w:color w:val="auto"/>
                <w:sz w:val="21"/>
              </w:rPr>
            </w:pPr>
          </w:p>
        </w:tc>
        <w:tc>
          <w:tcPr>
            <w:tcW w:w="382" w:type="pct"/>
            <w:vAlign w:val="center"/>
          </w:tcPr>
          <w:p w14:paraId="52C6F47C">
            <w:pPr>
              <w:topLinePunct/>
              <w:jc w:val="center"/>
              <w:rPr>
                <w:rFonts w:ascii="Times New Roman" w:hAnsi="Times New Roman" w:cs="Times New Roman"/>
                <w:color w:val="auto"/>
                <w:sz w:val="21"/>
              </w:rPr>
            </w:pPr>
            <w:r>
              <w:rPr>
                <w:rFonts w:ascii="Times New Roman" w:hAnsi="Times New Roman" w:cs="Times New Roman"/>
                <w:color w:val="auto"/>
                <w:sz w:val="21"/>
              </w:rPr>
              <w:t>COD</w:t>
            </w:r>
            <w:r>
              <w:rPr>
                <w:rFonts w:ascii="Times New Roman" w:hAnsi="Times New Roman" w:cs="Times New Roman"/>
                <w:color w:val="auto"/>
                <w:sz w:val="21"/>
                <w:vertAlign w:val="subscript"/>
              </w:rPr>
              <w:t>Cr</w:t>
            </w:r>
          </w:p>
        </w:tc>
        <w:tc>
          <w:tcPr>
            <w:tcW w:w="382" w:type="pct"/>
            <w:vMerge w:val="continue"/>
            <w:vAlign w:val="center"/>
          </w:tcPr>
          <w:p w14:paraId="359E22FF">
            <w:pPr>
              <w:topLinePunct/>
              <w:jc w:val="center"/>
              <w:rPr>
                <w:rFonts w:ascii="Times New Roman" w:hAnsi="Times New Roman" w:cs="Times New Roman"/>
                <w:color w:val="auto"/>
                <w:sz w:val="21"/>
                <w:lang w:eastAsia="zh-CN"/>
              </w:rPr>
            </w:pPr>
          </w:p>
        </w:tc>
        <w:tc>
          <w:tcPr>
            <w:tcW w:w="384" w:type="pct"/>
            <w:vMerge w:val="continue"/>
            <w:vAlign w:val="center"/>
          </w:tcPr>
          <w:p w14:paraId="0EB16456">
            <w:pPr>
              <w:topLinePunct/>
              <w:jc w:val="center"/>
              <w:rPr>
                <w:rFonts w:ascii="Times New Roman" w:hAnsi="Times New Roman" w:cs="Times New Roman"/>
                <w:color w:val="auto"/>
                <w:sz w:val="21"/>
              </w:rPr>
            </w:pPr>
          </w:p>
        </w:tc>
        <w:tc>
          <w:tcPr>
            <w:tcW w:w="281" w:type="pct"/>
            <w:vMerge w:val="continue"/>
            <w:vAlign w:val="center"/>
          </w:tcPr>
          <w:p w14:paraId="4662E699">
            <w:pPr>
              <w:topLinePunct/>
              <w:jc w:val="center"/>
              <w:rPr>
                <w:rFonts w:ascii="Times New Roman" w:hAnsi="Times New Roman" w:cs="Times New Roman"/>
                <w:color w:val="auto"/>
                <w:sz w:val="21"/>
                <w:lang w:eastAsia="zh-CN"/>
              </w:rPr>
            </w:pPr>
          </w:p>
        </w:tc>
        <w:tc>
          <w:tcPr>
            <w:tcW w:w="377" w:type="pct"/>
            <w:vAlign w:val="center"/>
          </w:tcPr>
          <w:p w14:paraId="5B354DA1">
            <w:pPr>
              <w:topLinePunct/>
              <w:jc w:val="center"/>
              <w:rPr>
                <w:rFonts w:ascii="Times New Roman" w:hAnsi="Times New Roman" w:cs="Times New Roman"/>
                <w:color w:val="auto"/>
                <w:sz w:val="21"/>
                <w:lang w:eastAsia="zh-CN"/>
              </w:rPr>
            </w:pPr>
          </w:p>
        </w:tc>
        <w:tc>
          <w:tcPr>
            <w:tcW w:w="412" w:type="pct"/>
            <w:vAlign w:val="center"/>
          </w:tcPr>
          <w:p w14:paraId="26EFEF5C">
            <w:pPr>
              <w:topLinePunct/>
              <w:jc w:val="center"/>
              <w:rPr>
                <w:rFonts w:ascii="Times New Roman" w:hAnsi="Times New Roman" w:cs="Times New Roman"/>
                <w:color w:val="auto"/>
                <w:sz w:val="21"/>
                <w:lang w:eastAsia="zh-CN"/>
              </w:rPr>
            </w:pPr>
          </w:p>
        </w:tc>
        <w:tc>
          <w:tcPr>
            <w:tcW w:w="475" w:type="pct"/>
            <w:vMerge w:val="continue"/>
            <w:vAlign w:val="center"/>
          </w:tcPr>
          <w:p w14:paraId="5DBE560A">
            <w:pPr>
              <w:topLinePunct/>
              <w:jc w:val="center"/>
              <w:rPr>
                <w:rFonts w:ascii="Times New Roman" w:hAnsi="Times New Roman" w:cs="Times New Roman"/>
                <w:color w:val="auto"/>
                <w:sz w:val="21"/>
                <w:lang w:eastAsia="zh-CN"/>
              </w:rPr>
            </w:pPr>
          </w:p>
        </w:tc>
        <w:tc>
          <w:tcPr>
            <w:tcW w:w="371" w:type="pct"/>
            <w:vAlign w:val="center"/>
          </w:tcPr>
          <w:p w14:paraId="69F7B19F">
            <w:pPr>
              <w:topLinePunct/>
              <w:jc w:val="center"/>
              <w:textAlignment w:val="center"/>
              <w:rPr>
                <w:rFonts w:ascii="Times New Roman" w:hAnsi="Times New Roman" w:cs="Times New Roman"/>
                <w:color w:val="auto"/>
                <w:sz w:val="21"/>
                <w:lang w:eastAsia="zh-CN"/>
              </w:rPr>
            </w:pPr>
          </w:p>
        </w:tc>
        <w:tc>
          <w:tcPr>
            <w:tcW w:w="360" w:type="pct"/>
            <w:vAlign w:val="center"/>
          </w:tcPr>
          <w:p w14:paraId="5E66017E">
            <w:pPr>
              <w:topLinePunct/>
              <w:jc w:val="center"/>
              <w:textAlignment w:val="center"/>
              <w:rPr>
                <w:rFonts w:ascii="Times New Roman" w:hAnsi="Times New Roman" w:cs="Times New Roman"/>
                <w:color w:val="auto"/>
                <w:sz w:val="21"/>
                <w:lang w:eastAsia="zh-CN"/>
              </w:rPr>
            </w:pPr>
          </w:p>
        </w:tc>
        <w:tc>
          <w:tcPr>
            <w:tcW w:w="483" w:type="pct"/>
            <w:vAlign w:val="center"/>
          </w:tcPr>
          <w:p w14:paraId="0A542BB9">
            <w:pPr>
              <w:topLinePunct/>
              <w:jc w:val="center"/>
              <w:rPr>
                <w:rFonts w:ascii="Times New Roman" w:hAnsi="Times New Roman" w:cs="Times New Roman"/>
                <w:color w:val="auto"/>
                <w:sz w:val="21"/>
                <w:lang w:eastAsia="zh-CN"/>
              </w:rPr>
            </w:pPr>
          </w:p>
        </w:tc>
        <w:tc>
          <w:tcPr>
            <w:tcW w:w="383" w:type="pct"/>
            <w:vAlign w:val="center"/>
          </w:tcPr>
          <w:p w14:paraId="5A1E0FBA">
            <w:pPr>
              <w:topLinePunct/>
              <w:jc w:val="center"/>
              <w:textAlignment w:val="center"/>
              <w:rPr>
                <w:rFonts w:ascii="Times New Roman" w:hAnsi="Times New Roman" w:cs="Times New Roman"/>
                <w:color w:val="auto"/>
                <w:sz w:val="21"/>
                <w:lang w:eastAsia="zh-CN" w:bidi="ar"/>
              </w:rPr>
            </w:pPr>
          </w:p>
        </w:tc>
        <w:tc>
          <w:tcPr>
            <w:tcW w:w="395" w:type="pct"/>
            <w:vAlign w:val="center"/>
          </w:tcPr>
          <w:p w14:paraId="4E4E4343">
            <w:pPr>
              <w:topLinePunct/>
              <w:jc w:val="center"/>
              <w:textAlignment w:val="center"/>
              <w:rPr>
                <w:rFonts w:ascii="Times New Roman" w:hAnsi="Times New Roman" w:cs="Times New Roman"/>
                <w:color w:val="auto"/>
                <w:sz w:val="21"/>
                <w:lang w:eastAsia="zh-CN" w:bidi="ar"/>
              </w:rPr>
            </w:pPr>
          </w:p>
        </w:tc>
      </w:tr>
      <w:tr w14:paraId="2A63DA3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315" w:type="pct"/>
            <w:vMerge w:val="continue"/>
            <w:vAlign w:val="center"/>
          </w:tcPr>
          <w:p w14:paraId="193A18F8">
            <w:pPr>
              <w:topLinePunct/>
              <w:jc w:val="center"/>
              <w:rPr>
                <w:rFonts w:ascii="Times New Roman" w:hAnsi="Times New Roman" w:cs="Times New Roman"/>
                <w:color w:val="auto"/>
                <w:sz w:val="21"/>
              </w:rPr>
            </w:pPr>
          </w:p>
        </w:tc>
        <w:tc>
          <w:tcPr>
            <w:tcW w:w="382" w:type="pct"/>
            <w:vAlign w:val="center"/>
          </w:tcPr>
          <w:p w14:paraId="64DCAF7E">
            <w:pPr>
              <w:topLinePunct/>
              <w:jc w:val="center"/>
              <w:rPr>
                <w:rFonts w:ascii="Times New Roman" w:hAnsi="Times New Roman" w:cs="Times New Roman"/>
                <w:color w:val="auto"/>
                <w:sz w:val="21"/>
              </w:rPr>
            </w:pPr>
            <w:r>
              <w:rPr>
                <w:rFonts w:ascii="Times New Roman" w:hAnsi="Times New Roman" w:cs="Times New Roman"/>
                <w:color w:val="auto"/>
                <w:sz w:val="21"/>
              </w:rPr>
              <w:t>BOD</w:t>
            </w:r>
            <w:r>
              <w:rPr>
                <w:rFonts w:ascii="Times New Roman" w:hAnsi="Times New Roman" w:cs="Times New Roman"/>
                <w:color w:val="auto"/>
                <w:sz w:val="21"/>
                <w:vertAlign w:val="subscript"/>
              </w:rPr>
              <w:t>5</w:t>
            </w:r>
          </w:p>
        </w:tc>
        <w:tc>
          <w:tcPr>
            <w:tcW w:w="382" w:type="pct"/>
            <w:vMerge w:val="continue"/>
            <w:vAlign w:val="center"/>
          </w:tcPr>
          <w:p w14:paraId="014566F8">
            <w:pPr>
              <w:topLinePunct/>
              <w:jc w:val="center"/>
              <w:rPr>
                <w:rFonts w:ascii="Times New Roman" w:hAnsi="Times New Roman" w:cs="Times New Roman"/>
                <w:color w:val="auto"/>
                <w:sz w:val="21"/>
              </w:rPr>
            </w:pPr>
          </w:p>
        </w:tc>
        <w:tc>
          <w:tcPr>
            <w:tcW w:w="384" w:type="pct"/>
            <w:vMerge w:val="continue"/>
            <w:vAlign w:val="center"/>
          </w:tcPr>
          <w:p w14:paraId="5E8BE4AD">
            <w:pPr>
              <w:topLinePunct/>
              <w:jc w:val="center"/>
              <w:rPr>
                <w:rFonts w:ascii="Times New Roman" w:hAnsi="Times New Roman" w:cs="Times New Roman"/>
                <w:color w:val="auto"/>
                <w:sz w:val="21"/>
              </w:rPr>
            </w:pPr>
          </w:p>
        </w:tc>
        <w:tc>
          <w:tcPr>
            <w:tcW w:w="281" w:type="pct"/>
            <w:vMerge w:val="continue"/>
            <w:vAlign w:val="center"/>
          </w:tcPr>
          <w:p w14:paraId="60D2CD47">
            <w:pPr>
              <w:topLinePunct/>
              <w:jc w:val="center"/>
              <w:rPr>
                <w:rFonts w:ascii="Times New Roman" w:hAnsi="Times New Roman" w:cs="Times New Roman"/>
                <w:color w:val="auto"/>
                <w:sz w:val="21"/>
              </w:rPr>
            </w:pPr>
          </w:p>
        </w:tc>
        <w:tc>
          <w:tcPr>
            <w:tcW w:w="377" w:type="pct"/>
            <w:vAlign w:val="center"/>
          </w:tcPr>
          <w:p w14:paraId="593B4A07">
            <w:pPr>
              <w:topLinePunct/>
              <w:jc w:val="center"/>
              <w:rPr>
                <w:rFonts w:ascii="Times New Roman" w:hAnsi="Times New Roman" w:cs="Times New Roman"/>
                <w:color w:val="auto"/>
                <w:sz w:val="21"/>
                <w:lang w:eastAsia="zh-CN"/>
              </w:rPr>
            </w:pPr>
          </w:p>
        </w:tc>
        <w:tc>
          <w:tcPr>
            <w:tcW w:w="412" w:type="pct"/>
            <w:vAlign w:val="center"/>
          </w:tcPr>
          <w:p w14:paraId="5293DF02">
            <w:pPr>
              <w:topLinePunct/>
              <w:jc w:val="center"/>
              <w:rPr>
                <w:rFonts w:ascii="Times New Roman" w:hAnsi="Times New Roman" w:cs="Times New Roman"/>
                <w:color w:val="auto"/>
                <w:sz w:val="21"/>
                <w:lang w:eastAsia="zh-CN"/>
              </w:rPr>
            </w:pPr>
          </w:p>
        </w:tc>
        <w:tc>
          <w:tcPr>
            <w:tcW w:w="475" w:type="pct"/>
            <w:vMerge w:val="continue"/>
            <w:vAlign w:val="center"/>
          </w:tcPr>
          <w:p w14:paraId="0DDF4238">
            <w:pPr>
              <w:topLinePunct/>
              <w:jc w:val="center"/>
              <w:rPr>
                <w:rFonts w:ascii="Times New Roman" w:hAnsi="Times New Roman" w:cs="Times New Roman"/>
                <w:color w:val="auto"/>
                <w:sz w:val="21"/>
              </w:rPr>
            </w:pPr>
          </w:p>
        </w:tc>
        <w:tc>
          <w:tcPr>
            <w:tcW w:w="371" w:type="pct"/>
            <w:vAlign w:val="center"/>
          </w:tcPr>
          <w:p w14:paraId="48FC26CD">
            <w:pPr>
              <w:topLinePunct/>
              <w:jc w:val="center"/>
              <w:textAlignment w:val="center"/>
              <w:rPr>
                <w:rFonts w:ascii="Times New Roman" w:hAnsi="Times New Roman" w:cs="Times New Roman"/>
                <w:color w:val="auto"/>
                <w:sz w:val="21"/>
                <w:lang w:eastAsia="zh-CN"/>
              </w:rPr>
            </w:pPr>
          </w:p>
        </w:tc>
        <w:tc>
          <w:tcPr>
            <w:tcW w:w="360" w:type="pct"/>
            <w:vAlign w:val="center"/>
          </w:tcPr>
          <w:p w14:paraId="0C6952C1">
            <w:pPr>
              <w:topLinePunct/>
              <w:jc w:val="center"/>
              <w:textAlignment w:val="center"/>
              <w:rPr>
                <w:rFonts w:ascii="Times New Roman" w:hAnsi="Times New Roman" w:cs="Times New Roman"/>
                <w:color w:val="auto"/>
                <w:sz w:val="21"/>
                <w:lang w:eastAsia="zh-CN"/>
              </w:rPr>
            </w:pPr>
          </w:p>
        </w:tc>
        <w:tc>
          <w:tcPr>
            <w:tcW w:w="483" w:type="pct"/>
            <w:vAlign w:val="center"/>
          </w:tcPr>
          <w:p w14:paraId="3F986625">
            <w:pPr>
              <w:topLinePunct/>
              <w:jc w:val="center"/>
              <w:rPr>
                <w:rFonts w:ascii="Times New Roman" w:hAnsi="Times New Roman" w:cs="Times New Roman"/>
                <w:color w:val="auto"/>
                <w:sz w:val="21"/>
                <w:lang w:eastAsia="zh-CN"/>
              </w:rPr>
            </w:pPr>
          </w:p>
        </w:tc>
        <w:tc>
          <w:tcPr>
            <w:tcW w:w="383" w:type="pct"/>
            <w:vAlign w:val="center"/>
          </w:tcPr>
          <w:p w14:paraId="54935D7A">
            <w:pPr>
              <w:topLinePunct/>
              <w:jc w:val="center"/>
              <w:textAlignment w:val="center"/>
              <w:rPr>
                <w:rFonts w:ascii="Times New Roman" w:hAnsi="Times New Roman" w:cs="Times New Roman"/>
                <w:color w:val="auto"/>
                <w:sz w:val="21"/>
                <w:lang w:eastAsia="zh-CN" w:bidi="ar"/>
              </w:rPr>
            </w:pPr>
          </w:p>
        </w:tc>
        <w:tc>
          <w:tcPr>
            <w:tcW w:w="395" w:type="pct"/>
            <w:vAlign w:val="center"/>
          </w:tcPr>
          <w:p w14:paraId="3475E877">
            <w:pPr>
              <w:topLinePunct/>
              <w:jc w:val="center"/>
              <w:textAlignment w:val="center"/>
              <w:rPr>
                <w:rFonts w:ascii="Times New Roman" w:hAnsi="Times New Roman" w:cs="Times New Roman"/>
                <w:color w:val="auto"/>
                <w:sz w:val="21"/>
                <w:lang w:eastAsia="zh-CN" w:bidi="ar"/>
              </w:rPr>
            </w:pPr>
          </w:p>
        </w:tc>
      </w:tr>
      <w:tr w14:paraId="013F7DC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315" w:type="pct"/>
            <w:vMerge w:val="continue"/>
            <w:vAlign w:val="center"/>
          </w:tcPr>
          <w:p w14:paraId="53B79100">
            <w:pPr>
              <w:topLinePunct/>
              <w:jc w:val="center"/>
              <w:rPr>
                <w:rFonts w:ascii="Times New Roman" w:hAnsi="Times New Roman" w:cs="Times New Roman"/>
                <w:color w:val="auto"/>
                <w:sz w:val="21"/>
              </w:rPr>
            </w:pPr>
          </w:p>
        </w:tc>
        <w:tc>
          <w:tcPr>
            <w:tcW w:w="382" w:type="pct"/>
            <w:vAlign w:val="center"/>
          </w:tcPr>
          <w:p w14:paraId="4442941A">
            <w:pPr>
              <w:topLinePunct/>
              <w:jc w:val="center"/>
              <w:rPr>
                <w:rFonts w:ascii="Times New Roman" w:hAnsi="Times New Roman" w:cs="Times New Roman"/>
                <w:color w:val="auto"/>
                <w:sz w:val="21"/>
              </w:rPr>
            </w:pPr>
            <w:r>
              <w:rPr>
                <w:rFonts w:ascii="Times New Roman" w:hAnsi="Times New Roman" w:cs="Times New Roman"/>
                <w:color w:val="auto"/>
                <w:sz w:val="21"/>
              </w:rPr>
              <w:t>SS</w:t>
            </w:r>
          </w:p>
        </w:tc>
        <w:tc>
          <w:tcPr>
            <w:tcW w:w="382" w:type="pct"/>
            <w:vMerge w:val="continue"/>
            <w:vAlign w:val="center"/>
          </w:tcPr>
          <w:p w14:paraId="493880E3">
            <w:pPr>
              <w:topLinePunct/>
              <w:jc w:val="center"/>
              <w:rPr>
                <w:rFonts w:ascii="Times New Roman" w:hAnsi="Times New Roman" w:cs="Times New Roman"/>
                <w:color w:val="auto"/>
                <w:sz w:val="21"/>
              </w:rPr>
            </w:pPr>
          </w:p>
        </w:tc>
        <w:tc>
          <w:tcPr>
            <w:tcW w:w="384" w:type="pct"/>
            <w:vMerge w:val="continue"/>
            <w:vAlign w:val="center"/>
          </w:tcPr>
          <w:p w14:paraId="17B55D55">
            <w:pPr>
              <w:topLinePunct/>
              <w:jc w:val="center"/>
              <w:rPr>
                <w:rFonts w:ascii="Times New Roman" w:hAnsi="Times New Roman" w:cs="Times New Roman"/>
                <w:color w:val="auto"/>
                <w:sz w:val="21"/>
              </w:rPr>
            </w:pPr>
          </w:p>
        </w:tc>
        <w:tc>
          <w:tcPr>
            <w:tcW w:w="281" w:type="pct"/>
            <w:vMerge w:val="continue"/>
            <w:vAlign w:val="center"/>
          </w:tcPr>
          <w:p w14:paraId="23CA49B1">
            <w:pPr>
              <w:topLinePunct/>
              <w:jc w:val="center"/>
              <w:rPr>
                <w:rFonts w:ascii="Times New Roman" w:hAnsi="Times New Roman" w:cs="Times New Roman"/>
                <w:color w:val="auto"/>
                <w:sz w:val="21"/>
              </w:rPr>
            </w:pPr>
          </w:p>
        </w:tc>
        <w:tc>
          <w:tcPr>
            <w:tcW w:w="377" w:type="pct"/>
            <w:vAlign w:val="center"/>
          </w:tcPr>
          <w:p w14:paraId="2279CD8A">
            <w:pPr>
              <w:topLinePunct/>
              <w:jc w:val="center"/>
              <w:rPr>
                <w:rFonts w:ascii="Times New Roman" w:hAnsi="Times New Roman" w:cs="Times New Roman"/>
                <w:color w:val="auto"/>
                <w:sz w:val="21"/>
                <w:lang w:eastAsia="zh-CN"/>
              </w:rPr>
            </w:pPr>
          </w:p>
        </w:tc>
        <w:tc>
          <w:tcPr>
            <w:tcW w:w="412" w:type="pct"/>
            <w:vAlign w:val="center"/>
          </w:tcPr>
          <w:p w14:paraId="35CEF07D">
            <w:pPr>
              <w:topLinePunct/>
              <w:jc w:val="center"/>
              <w:rPr>
                <w:rFonts w:ascii="Times New Roman" w:hAnsi="Times New Roman" w:cs="Times New Roman"/>
                <w:color w:val="auto"/>
                <w:sz w:val="21"/>
                <w:lang w:eastAsia="zh-CN"/>
              </w:rPr>
            </w:pPr>
          </w:p>
        </w:tc>
        <w:tc>
          <w:tcPr>
            <w:tcW w:w="475" w:type="pct"/>
            <w:vMerge w:val="continue"/>
            <w:vAlign w:val="center"/>
          </w:tcPr>
          <w:p w14:paraId="5EECBE94">
            <w:pPr>
              <w:topLinePunct/>
              <w:jc w:val="center"/>
              <w:rPr>
                <w:rFonts w:ascii="Times New Roman" w:hAnsi="Times New Roman" w:cs="Times New Roman"/>
                <w:color w:val="auto"/>
                <w:sz w:val="21"/>
              </w:rPr>
            </w:pPr>
          </w:p>
        </w:tc>
        <w:tc>
          <w:tcPr>
            <w:tcW w:w="371" w:type="pct"/>
            <w:vAlign w:val="center"/>
          </w:tcPr>
          <w:p w14:paraId="3B58256F">
            <w:pPr>
              <w:topLinePunct/>
              <w:jc w:val="center"/>
              <w:textAlignment w:val="center"/>
              <w:rPr>
                <w:rFonts w:ascii="Times New Roman" w:hAnsi="Times New Roman" w:cs="Times New Roman"/>
                <w:color w:val="auto"/>
                <w:sz w:val="21"/>
                <w:lang w:eastAsia="zh-CN"/>
              </w:rPr>
            </w:pPr>
          </w:p>
        </w:tc>
        <w:tc>
          <w:tcPr>
            <w:tcW w:w="360" w:type="pct"/>
            <w:vAlign w:val="center"/>
          </w:tcPr>
          <w:p w14:paraId="3FA0DBDB">
            <w:pPr>
              <w:topLinePunct/>
              <w:jc w:val="center"/>
              <w:textAlignment w:val="center"/>
              <w:rPr>
                <w:rFonts w:ascii="Times New Roman" w:hAnsi="Times New Roman" w:cs="Times New Roman"/>
                <w:color w:val="auto"/>
                <w:sz w:val="21"/>
                <w:lang w:eastAsia="zh-CN"/>
              </w:rPr>
            </w:pPr>
          </w:p>
        </w:tc>
        <w:tc>
          <w:tcPr>
            <w:tcW w:w="483" w:type="pct"/>
            <w:vAlign w:val="center"/>
          </w:tcPr>
          <w:p w14:paraId="191F33CE">
            <w:pPr>
              <w:topLinePunct/>
              <w:jc w:val="center"/>
              <w:rPr>
                <w:rFonts w:ascii="Times New Roman" w:hAnsi="Times New Roman" w:cs="Times New Roman"/>
                <w:color w:val="auto"/>
                <w:sz w:val="21"/>
                <w:lang w:eastAsia="zh-CN"/>
              </w:rPr>
            </w:pPr>
          </w:p>
        </w:tc>
        <w:tc>
          <w:tcPr>
            <w:tcW w:w="383" w:type="pct"/>
            <w:vAlign w:val="center"/>
          </w:tcPr>
          <w:p w14:paraId="5D13381B">
            <w:pPr>
              <w:topLinePunct/>
              <w:jc w:val="center"/>
              <w:textAlignment w:val="center"/>
              <w:rPr>
                <w:rFonts w:ascii="Times New Roman" w:hAnsi="Times New Roman" w:cs="Times New Roman"/>
                <w:color w:val="auto"/>
                <w:sz w:val="21"/>
                <w:lang w:eastAsia="zh-CN" w:bidi="ar"/>
              </w:rPr>
            </w:pPr>
          </w:p>
        </w:tc>
        <w:tc>
          <w:tcPr>
            <w:tcW w:w="395" w:type="pct"/>
            <w:vAlign w:val="center"/>
          </w:tcPr>
          <w:p w14:paraId="455C4E95">
            <w:pPr>
              <w:topLinePunct/>
              <w:jc w:val="center"/>
              <w:textAlignment w:val="center"/>
              <w:rPr>
                <w:rFonts w:ascii="Times New Roman" w:hAnsi="Times New Roman" w:cs="Times New Roman"/>
                <w:color w:val="auto"/>
                <w:sz w:val="21"/>
                <w:lang w:eastAsia="zh-CN" w:bidi="ar"/>
              </w:rPr>
            </w:pPr>
          </w:p>
        </w:tc>
      </w:tr>
      <w:tr w14:paraId="0311715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315" w:type="pct"/>
            <w:vMerge w:val="continue"/>
            <w:vAlign w:val="center"/>
          </w:tcPr>
          <w:p w14:paraId="7BC7FD7F">
            <w:pPr>
              <w:topLinePunct/>
              <w:jc w:val="center"/>
              <w:rPr>
                <w:rFonts w:ascii="Times New Roman" w:hAnsi="Times New Roman" w:cs="Times New Roman"/>
                <w:color w:val="auto"/>
                <w:sz w:val="21"/>
              </w:rPr>
            </w:pPr>
          </w:p>
        </w:tc>
        <w:tc>
          <w:tcPr>
            <w:tcW w:w="382" w:type="pct"/>
            <w:vAlign w:val="center"/>
          </w:tcPr>
          <w:p w14:paraId="4254EDAB">
            <w:pPr>
              <w:topLinePunct/>
              <w:jc w:val="center"/>
              <w:rPr>
                <w:rFonts w:ascii="Times New Roman" w:hAnsi="Times New Roman" w:cs="Times New Roman"/>
                <w:color w:val="auto"/>
                <w:sz w:val="21"/>
              </w:rPr>
            </w:pPr>
            <w:r>
              <w:rPr>
                <w:rFonts w:ascii="Times New Roman" w:hAnsi="Times New Roman" w:cs="Times New Roman"/>
                <w:color w:val="auto"/>
                <w:sz w:val="21"/>
              </w:rPr>
              <w:t>NH</w:t>
            </w:r>
            <w:r>
              <w:rPr>
                <w:rFonts w:ascii="Times New Roman" w:hAnsi="Times New Roman" w:cs="Times New Roman"/>
                <w:color w:val="auto"/>
                <w:sz w:val="21"/>
                <w:vertAlign w:val="subscript"/>
              </w:rPr>
              <w:t>3</w:t>
            </w:r>
            <w:r>
              <w:rPr>
                <w:rFonts w:ascii="Times New Roman" w:hAnsi="Times New Roman" w:cs="Times New Roman"/>
                <w:color w:val="auto"/>
                <w:sz w:val="21"/>
              </w:rPr>
              <w:t>-N</w:t>
            </w:r>
          </w:p>
        </w:tc>
        <w:tc>
          <w:tcPr>
            <w:tcW w:w="382" w:type="pct"/>
            <w:vMerge w:val="continue"/>
            <w:vAlign w:val="center"/>
          </w:tcPr>
          <w:p w14:paraId="4F2E9A27">
            <w:pPr>
              <w:topLinePunct/>
              <w:jc w:val="center"/>
              <w:rPr>
                <w:rFonts w:ascii="Times New Roman" w:hAnsi="Times New Roman" w:cs="Times New Roman"/>
                <w:color w:val="auto"/>
                <w:sz w:val="21"/>
              </w:rPr>
            </w:pPr>
          </w:p>
        </w:tc>
        <w:tc>
          <w:tcPr>
            <w:tcW w:w="384" w:type="pct"/>
            <w:vMerge w:val="continue"/>
            <w:vAlign w:val="center"/>
          </w:tcPr>
          <w:p w14:paraId="49DCACA0">
            <w:pPr>
              <w:topLinePunct/>
              <w:jc w:val="center"/>
              <w:rPr>
                <w:rFonts w:ascii="Times New Roman" w:hAnsi="Times New Roman" w:cs="Times New Roman"/>
                <w:color w:val="auto"/>
                <w:sz w:val="21"/>
              </w:rPr>
            </w:pPr>
          </w:p>
        </w:tc>
        <w:tc>
          <w:tcPr>
            <w:tcW w:w="281" w:type="pct"/>
            <w:vMerge w:val="continue"/>
            <w:vAlign w:val="center"/>
          </w:tcPr>
          <w:p w14:paraId="31D74387">
            <w:pPr>
              <w:topLinePunct/>
              <w:jc w:val="center"/>
              <w:rPr>
                <w:rFonts w:ascii="Times New Roman" w:hAnsi="Times New Roman" w:cs="Times New Roman"/>
                <w:color w:val="auto"/>
                <w:sz w:val="21"/>
              </w:rPr>
            </w:pPr>
          </w:p>
        </w:tc>
        <w:tc>
          <w:tcPr>
            <w:tcW w:w="377" w:type="pct"/>
            <w:vAlign w:val="center"/>
          </w:tcPr>
          <w:p w14:paraId="2A465DDF">
            <w:pPr>
              <w:topLinePunct/>
              <w:jc w:val="center"/>
              <w:rPr>
                <w:rFonts w:ascii="Times New Roman" w:hAnsi="Times New Roman" w:cs="Times New Roman"/>
                <w:color w:val="auto"/>
                <w:sz w:val="21"/>
                <w:lang w:eastAsia="zh-CN"/>
              </w:rPr>
            </w:pPr>
          </w:p>
        </w:tc>
        <w:tc>
          <w:tcPr>
            <w:tcW w:w="412" w:type="pct"/>
            <w:vAlign w:val="center"/>
          </w:tcPr>
          <w:p w14:paraId="688C06F5">
            <w:pPr>
              <w:topLinePunct/>
              <w:jc w:val="center"/>
              <w:rPr>
                <w:rFonts w:ascii="Times New Roman" w:hAnsi="Times New Roman" w:cs="Times New Roman"/>
                <w:color w:val="auto"/>
                <w:sz w:val="21"/>
                <w:lang w:eastAsia="zh-CN"/>
              </w:rPr>
            </w:pPr>
          </w:p>
        </w:tc>
        <w:tc>
          <w:tcPr>
            <w:tcW w:w="475" w:type="pct"/>
            <w:vMerge w:val="continue"/>
            <w:vAlign w:val="center"/>
          </w:tcPr>
          <w:p w14:paraId="5EF3C1C3">
            <w:pPr>
              <w:topLinePunct/>
              <w:jc w:val="center"/>
              <w:rPr>
                <w:rFonts w:ascii="Times New Roman" w:hAnsi="Times New Roman" w:cs="Times New Roman"/>
                <w:color w:val="auto"/>
                <w:sz w:val="21"/>
              </w:rPr>
            </w:pPr>
          </w:p>
        </w:tc>
        <w:tc>
          <w:tcPr>
            <w:tcW w:w="371" w:type="pct"/>
            <w:vAlign w:val="center"/>
          </w:tcPr>
          <w:p w14:paraId="485D5119">
            <w:pPr>
              <w:topLinePunct/>
              <w:jc w:val="center"/>
              <w:textAlignment w:val="center"/>
              <w:rPr>
                <w:rFonts w:ascii="Times New Roman" w:hAnsi="Times New Roman" w:cs="Times New Roman"/>
                <w:color w:val="auto"/>
                <w:sz w:val="21"/>
                <w:lang w:eastAsia="zh-CN" w:bidi="ar"/>
              </w:rPr>
            </w:pPr>
          </w:p>
        </w:tc>
        <w:tc>
          <w:tcPr>
            <w:tcW w:w="360" w:type="pct"/>
            <w:vAlign w:val="center"/>
          </w:tcPr>
          <w:p w14:paraId="3EFCFE34">
            <w:pPr>
              <w:topLinePunct/>
              <w:jc w:val="center"/>
              <w:textAlignment w:val="center"/>
              <w:rPr>
                <w:rFonts w:ascii="Times New Roman" w:hAnsi="Times New Roman" w:cs="Times New Roman"/>
                <w:color w:val="auto"/>
                <w:sz w:val="21"/>
                <w:lang w:eastAsia="zh-CN" w:bidi="ar"/>
              </w:rPr>
            </w:pPr>
          </w:p>
        </w:tc>
        <w:tc>
          <w:tcPr>
            <w:tcW w:w="483" w:type="pct"/>
            <w:vAlign w:val="center"/>
          </w:tcPr>
          <w:p w14:paraId="0AB0EDBB">
            <w:pPr>
              <w:topLinePunct/>
              <w:jc w:val="center"/>
              <w:rPr>
                <w:rFonts w:ascii="Times New Roman" w:hAnsi="Times New Roman" w:cs="Times New Roman"/>
                <w:color w:val="auto"/>
                <w:sz w:val="21"/>
                <w:lang w:eastAsia="zh-CN" w:bidi="ar"/>
              </w:rPr>
            </w:pPr>
          </w:p>
        </w:tc>
        <w:tc>
          <w:tcPr>
            <w:tcW w:w="383" w:type="pct"/>
            <w:vAlign w:val="center"/>
          </w:tcPr>
          <w:p w14:paraId="409CD46F">
            <w:pPr>
              <w:topLinePunct/>
              <w:jc w:val="center"/>
              <w:textAlignment w:val="center"/>
              <w:rPr>
                <w:rFonts w:ascii="Times New Roman" w:hAnsi="Times New Roman" w:cs="Times New Roman"/>
                <w:color w:val="auto"/>
                <w:sz w:val="21"/>
                <w:lang w:eastAsia="zh-CN" w:bidi="ar"/>
              </w:rPr>
            </w:pPr>
          </w:p>
        </w:tc>
        <w:tc>
          <w:tcPr>
            <w:tcW w:w="395" w:type="pct"/>
            <w:vAlign w:val="center"/>
          </w:tcPr>
          <w:p w14:paraId="5B8E7453">
            <w:pPr>
              <w:topLinePunct/>
              <w:jc w:val="center"/>
              <w:textAlignment w:val="center"/>
              <w:rPr>
                <w:rFonts w:ascii="Times New Roman" w:hAnsi="Times New Roman" w:cs="Times New Roman"/>
                <w:color w:val="auto"/>
                <w:sz w:val="21"/>
                <w:lang w:eastAsia="zh-CN" w:bidi="ar"/>
              </w:rPr>
            </w:pPr>
          </w:p>
        </w:tc>
      </w:tr>
      <w:tr w14:paraId="44F7504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315" w:type="pct"/>
            <w:vMerge w:val="continue"/>
            <w:vAlign w:val="center"/>
          </w:tcPr>
          <w:p w14:paraId="4F36D520">
            <w:pPr>
              <w:topLinePunct/>
              <w:jc w:val="center"/>
              <w:rPr>
                <w:rFonts w:ascii="Times New Roman" w:hAnsi="Times New Roman" w:cs="Times New Roman"/>
                <w:color w:val="auto"/>
                <w:sz w:val="21"/>
              </w:rPr>
            </w:pPr>
          </w:p>
        </w:tc>
        <w:tc>
          <w:tcPr>
            <w:tcW w:w="382" w:type="pct"/>
            <w:vAlign w:val="center"/>
          </w:tcPr>
          <w:p w14:paraId="059B0C64">
            <w:pPr>
              <w:topLinePunc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氟化物</w:t>
            </w:r>
          </w:p>
        </w:tc>
        <w:tc>
          <w:tcPr>
            <w:tcW w:w="382" w:type="pct"/>
            <w:vMerge w:val="continue"/>
            <w:vAlign w:val="center"/>
          </w:tcPr>
          <w:p w14:paraId="283701B1">
            <w:pPr>
              <w:topLinePunct/>
              <w:jc w:val="center"/>
              <w:rPr>
                <w:rFonts w:ascii="Times New Roman" w:hAnsi="Times New Roman" w:cs="Times New Roman"/>
                <w:color w:val="auto"/>
                <w:sz w:val="21"/>
              </w:rPr>
            </w:pPr>
          </w:p>
        </w:tc>
        <w:tc>
          <w:tcPr>
            <w:tcW w:w="384" w:type="pct"/>
            <w:vMerge w:val="continue"/>
            <w:vAlign w:val="center"/>
          </w:tcPr>
          <w:p w14:paraId="6148A0F7">
            <w:pPr>
              <w:topLinePunct/>
              <w:jc w:val="center"/>
              <w:rPr>
                <w:rFonts w:ascii="Times New Roman" w:hAnsi="Times New Roman" w:cs="Times New Roman"/>
                <w:color w:val="auto"/>
                <w:sz w:val="21"/>
              </w:rPr>
            </w:pPr>
          </w:p>
        </w:tc>
        <w:tc>
          <w:tcPr>
            <w:tcW w:w="281" w:type="pct"/>
            <w:vMerge w:val="continue"/>
            <w:vAlign w:val="center"/>
          </w:tcPr>
          <w:p w14:paraId="3A541061">
            <w:pPr>
              <w:topLinePunct/>
              <w:jc w:val="center"/>
              <w:rPr>
                <w:rFonts w:ascii="Times New Roman" w:hAnsi="Times New Roman" w:cs="Times New Roman"/>
                <w:color w:val="auto"/>
                <w:sz w:val="21"/>
              </w:rPr>
            </w:pPr>
          </w:p>
        </w:tc>
        <w:tc>
          <w:tcPr>
            <w:tcW w:w="377" w:type="pct"/>
            <w:vAlign w:val="center"/>
          </w:tcPr>
          <w:p w14:paraId="46051B40">
            <w:pPr>
              <w:topLinePunct/>
              <w:jc w:val="center"/>
              <w:rPr>
                <w:rFonts w:ascii="Times New Roman" w:hAnsi="Times New Roman" w:cs="Times New Roman"/>
                <w:color w:val="auto"/>
                <w:sz w:val="21"/>
                <w:lang w:eastAsia="zh-CN"/>
              </w:rPr>
            </w:pPr>
          </w:p>
        </w:tc>
        <w:tc>
          <w:tcPr>
            <w:tcW w:w="412" w:type="pct"/>
            <w:vAlign w:val="center"/>
          </w:tcPr>
          <w:p w14:paraId="4CF34110">
            <w:pPr>
              <w:topLinePunct/>
              <w:jc w:val="center"/>
              <w:rPr>
                <w:rFonts w:ascii="Times New Roman" w:hAnsi="Times New Roman" w:cs="Times New Roman"/>
                <w:color w:val="auto"/>
                <w:sz w:val="21"/>
                <w:lang w:eastAsia="zh-CN"/>
              </w:rPr>
            </w:pPr>
          </w:p>
        </w:tc>
        <w:tc>
          <w:tcPr>
            <w:tcW w:w="475" w:type="pct"/>
            <w:vMerge w:val="continue"/>
            <w:vAlign w:val="center"/>
          </w:tcPr>
          <w:p w14:paraId="2B13E259">
            <w:pPr>
              <w:topLinePunct/>
              <w:jc w:val="center"/>
              <w:rPr>
                <w:rFonts w:ascii="Times New Roman" w:hAnsi="Times New Roman" w:cs="Times New Roman"/>
                <w:color w:val="auto"/>
                <w:sz w:val="21"/>
              </w:rPr>
            </w:pPr>
          </w:p>
        </w:tc>
        <w:tc>
          <w:tcPr>
            <w:tcW w:w="371" w:type="pct"/>
            <w:vAlign w:val="center"/>
          </w:tcPr>
          <w:p w14:paraId="34DF3A83">
            <w:pPr>
              <w:topLinePunct/>
              <w:jc w:val="center"/>
              <w:textAlignment w:val="center"/>
              <w:rPr>
                <w:rFonts w:ascii="Times New Roman" w:hAnsi="Times New Roman" w:cs="Times New Roman"/>
                <w:color w:val="auto"/>
                <w:sz w:val="21"/>
                <w:lang w:eastAsia="zh-CN" w:bidi="ar"/>
              </w:rPr>
            </w:pPr>
          </w:p>
        </w:tc>
        <w:tc>
          <w:tcPr>
            <w:tcW w:w="360" w:type="pct"/>
            <w:vAlign w:val="center"/>
          </w:tcPr>
          <w:p w14:paraId="72D486AF">
            <w:pPr>
              <w:topLinePunct/>
              <w:jc w:val="center"/>
              <w:textAlignment w:val="center"/>
              <w:rPr>
                <w:rFonts w:ascii="Times New Roman" w:hAnsi="Times New Roman" w:cs="Times New Roman"/>
                <w:color w:val="auto"/>
                <w:sz w:val="21"/>
                <w:lang w:eastAsia="zh-CN" w:bidi="ar"/>
              </w:rPr>
            </w:pPr>
          </w:p>
        </w:tc>
        <w:tc>
          <w:tcPr>
            <w:tcW w:w="483" w:type="pct"/>
            <w:vAlign w:val="center"/>
          </w:tcPr>
          <w:p w14:paraId="5E3FD245">
            <w:pPr>
              <w:topLinePunct/>
              <w:jc w:val="center"/>
              <w:rPr>
                <w:rFonts w:ascii="Times New Roman" w:hAnsi="Times New Roman" w:cs="Times New Roman"/>
                <w:color w:val="auto"/>
                <w:sz w:val="21"/>
                <w:lang w:eastAsia="zh-CN" w:bidi="ar"/>
              </w:rPr>
            </w:pPr>
          </w:p>
        </w:tc>
        <w:tc>
          <w:tcPr>
            <w:tcW w:w="383" w:type="pct"/>
            <w:vAlign w:val="center"/>
          </w:tcPr>
          <w:p w14:paraId="51729415">
            <w:pPr>
              <w:topLinePunct/>
              <w:jc w:val="center"/>
              <w:textAlignment w:val="center"/>
              <w:rPr>
                <w:rFonts w:ascii="Times New Roman" w:hAnsi="Times New Roman" w:cs="Times New Roman"/>
                <w:color w:val="auto"/>
                <w:sz w:val="21"/>
                <w:lang w:eastAsia="zh-CN" w:bidi="ar"/>
              </w:rPr>
            </w:pPr>
          </w:p>
        </w:tc>
        <w:tc>
          <w:tcPr>
            <w:tcW w:w="395" w:type="pct"/>
            <w:vAlign w:val="center"/>
          </w:tcPr>
          <w:p w14:paraId="33A7BC80">
            <w:pPr>
              <w:topLinePunct/>
              <w:jc w:val="center"/>
              <w:textAlignment w:val="center"/>
              <w:rPr>
                <w:rFonts w:ascii="Times New Roman" w:hAnsi="Times New Roman" w:cs="Times New Roman"/>
                <w:color w:val="auto"/>
                <w:sz w:val="21"/>
                <w:lang w:eastAsia="zh-CN" w:bidi="ar"/>
              </w:rPr>
            </w:pPr>
          </w:p>
        </w:tc>
      </w:tr>
      <w:tr w14:paraId="16D595A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315" w:type="pct"/>
            <w:vMerge w:val="continue"/>
            <w:vAlign w:val="center"/>
          </w:tcPr>
          <w:p w14:paraId="5ED02642">
            <w:pPr>
              <w:topLinePunct/>
              <w:jc w:val="center"/>
              <w:rPr>
                <w:rFonts w:ascii="Times New Roman" w:hAnsi="Times New Roman" w:cs="Times New Roman"/>
                <w:color w:val="auto"/>
                <w:sz w:val="21"/>
              </w:rPr>
            </w:pPr>
          </w:p>
        </w:tc>
        <w:tc>
          <w:tcPr>
            <w:tcW w:w="382" w:type="pct"/>
            <w:vAlign w:val="center"/>
          </w:tcPr>
          <w:p w14:paraId="7258AA15">
            <w:pPr>
              <w:topLinePunc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氯化物</w:t>
            </w:r>
          </w:p>
        </w:tc>
        <w:tc>
          <w:tcPr>
            <w:tcW w:w="382" w:type="pct"/>
            <w:vMerge w:val="continue"/>
            <w:vAlign w:val="center"/>
          </w:tcPr>
          <w:p w14:paraId="4E81EE59">
            <w:pPr>
              <w:topLinePunct/>
              <w:jc w:val="center"/>
              <w:rPr>
                <w:rFonts w:ascii="Times New Roman" w:hAnsi="Times New Roman" w:cs="Times New Roman"/>
                <w:color w:val="auto"/>
                <w:sz w:val="21"/>
              </w:rPr>
            </w:pPr>
          </w:p>
        </w:tc>
        <w:tc>
          <w:tcPr>
            <w:tcW w:w="384" w:type="pct"/>
            <w:vMerge w:val="continue"/>
            <w:vAlign w:val="center"/>
          </w:tcPr>
          <w:p w14:paraId="69A1BCF2">
            <w:pPr>
              <w:topLinePunct/>
              <w:jc w:val="center"/>
              <w:rPr>
                <w:rFonts w:ascii="Times New Roman" w:hAnsi="Times New Roman" w:cs="Times New Roman"/>
                <w:color w:val="auto"/>
                <w:sz w:val="21"/>
              </w:rPr>
            </w:pPr>
          </w:p>
        </w:tc>
        <w:tc>
          <w:tcPr>
            <w:tcW w:w="281" w:type="pct"/>
            <w:vMerge w:val="continue"/>
            <w:vAlign w:val="center"/>
          </w:tcPr>
          <w:p w14:paraId="7CDA9056">
            <w:pPr>
              <w:topLinePunct/>
              <w:jc w:val="center"/>
              <w:rPr>
                <w:rFonts w:ascii="Times New Roman" w:hAnsi="Times New Roman" w:cs="Times New Roman"/>
                <w:color w:val="auto"/>
                <w:sz w:val="21"/>
              </w:rPr>
            </w:pPr>
          </w:p>
        </w:tc>
        <w:tc>
          <w:tcPr>
            <w:tcW w:w="377" w:type="pct"/>
            <w:vAlign w:val="center"/>
          </w:tcPr>
          <w:p w14:paraId="67E0402E">
            <w:pPr>
              <w:topLinePunct/>
              <w:jc w:val="center"/>
              <w:rPr>
                <w:rFonts w:ascii="Times New Roman" w:hAnsi="Times New Roman" w:cs="Times New Roman"/>
                <w:color w:val="auto"/>
                <w:sz w:val="21"/>
                <w:lang w:eastAsia="zh-CN"/>
              </w:rPr>
            </w:pPr>
          </w:p>
        </w:tc>
        <w:tc>
          <w:tcPr>
            <w:tcW w:w="412" w:type="pct"/>
            <w:vAlign w:val="center"/>
          </w:tcPr>
          <w:p w14:paraId="210B182D">
            <w:pPr>
              <w:topLinePunct/>
              <w:jc w:val="center"/>
              <w:rPr>
                <w:rFonts w:ascii="Times New Roman" w:hAnsi="Times New Roman" w:cs="Times New Roman"/>
                <w:color w:val="auto"/>
                <w:sz w:val="21"/>
                <w:lang w:eastAsia="zh-CN"/>
              </w:rPr>
            </w:pPr>
          </w:p>
        </w:tc>
        <w:tc>
          <w:tcPr>
            <w:tcW w:w="475" w:type="pct"/>
            <w:vMerge w:val="continue"/>
            <w:vAlign w:val="center"/>
          </w:tcPr>
          <w:p w14:paraId="41AB4CAA">
            <w:pPr>
              <w:topLinePunct/>
              <w:jc w:val="center"/>
              <w:rPr>
                <w:rFonts w:ascii="Times New Roman" w:hAnsi="Times New Roman" w:cs="Times New Roman"/>
                <w:color w:val="auto"/>
                <w:sz w:val="21"/>
              </w:rPr>
            </w:pPr>
          </w:p>
        </w:tc>
        <w:tc>
          <w:tcPr>
            <w:tcW w:w="371" w:type="pct"/>
            <w:vAlign w:val="center"/>
          </w:tcPr>
          <w:p w14:paraId="63A8F930">
            <w:pPr>
              <w:topLinePunct/>
              <w:jc w:val="center"/>
              <w:textAlignment w:val="center"/>
              <w:rPr>
                <w:rFonts w:ascii="Times New Roman" w:hAnsi="Times New Roman" w:cs="Times New Roman"/>
                <w:color w:val="auto"/>
                <w:sz w:val="21"/>
                <w:lang w:eastAsia="zh-CN" w:bidi="ar"/>
              </w:rPr>
            </w:pPr>
          </w:p>
        </w:tc>
        <w:tc>
          <w:tcPr>
            <w:tcW w:w="360" w:type="pct"/>
            <w:vAlign w:val="center"/>
          </w:tcPr>
          <w:p w14:paraId="646C81B3">
            <w:pPr>
              <w:topLinePunct/>
              <w:jc w:val="center"/>
              <w:textAlignment w:val="center"/>
              <w:rPr>
                <w:rFonts w:ascii="Times New Roman" w:hAnsi="Times New Roman" w:cs="Times New Roman"/>
                <w:color w:val="auto"/>
                <w:sz w:val="21"/>
                <w:lang w:eastAsia="zh-CN" w:bidi="ar"/>
              </w:rPr>
            </w:pPr>
          </w:p>
        </w:tc>
        <w:tc>
          <w:tcPr>
            <w:tcW w:w="483" w:type="pct"/>
            <w:vAlign w:val="center"/>
          </w:tcPr>
          <w:p w14:paraId="31B89302">
            <w:pPr>
              <w:topLinePunct/>
              <w:jc w:val="center"/>
              <w:rPr>
                <w:rFonts w:ascii="Times New Roman" w:hAnsi="Times New Roman" w:cs="Times New Roman"/>
                <w:color w:val="auto"/>
                <w:sz w:val="21"/>
                <w:lang w:eastAsia="zh-CN" w:bidi="ar"/>
              </w:rPr>
            </w:pPr>
          </w:p>
        </w:tc>
        <w:tc>
          <w:tcPr>
            <w:tcW w:w="383" w:type="pct"/>
            <w:vAlign w:val="center"/>
          </w:tcPr>
          <w:p w14:paraId="10EC8B8C">
            <w:pPr>
              <w:topLinePunct/>
              <w:jc w:val="center"/>
              <w:textAlignment w:val="center"/>
              <w:rPr>
                <w:rFonts w:ascii="Times New Roman" w:hAnsi="Times New Roman" w:cs="Times New Roman"/>
                <w:color w:val="auto"/>
                <w:sz w:val="21"/>
                <w:lang w:eastAsia="zh-CN" w:bidi="ar"/>
              </w:rPr>
            </w:pPr>
          </w:p>
        </w:tc>
        <w:tc>
          <w:tcPr>
            <w:tcW w:w="395" w:type="pct"/>
            <w:vAlign w:val="center"/>
          </w:tcPr>
          <w:p w14:paraId="5DB228D7">
            <w:pPr>
              <w:topLinePunct/>
              <w:jc w:val="center"/>
              <w:textAlignment w:val="center"/>
              <w:rPr>
                <w:rFonts w:ascii="Times New Roman" w:hAnsi="Times New Roman" w:cs="Times New Roman"/>
                <w:color w:val="auto"/>
                <w:sz w:val="21"/>
                <w:lang w:eastAsia="zh-CN" w:bidi="ar"/>
              </w:rPr>
            </w:pPr>
          </w:p>
        </w:tc>
      </w:tr>
      <w:tr w14:paraId="568383D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315" w:type="pct"/>
            <w:vMerge w:val="continue"/>
            <w:vAlign w:val="center"/>
          </w:tcPr>
          <w:p w14:paraId="1ADBD1F6">
            <w:pPr>
              <w:topLinePunct/>
              <w:jc w:val="center"/>
              <w:rPr>
                <w:rFonts w:ascii="Times New Roman" w:hAnsi="Times New Roman" w:cs="Times New Roman"/>
                <w:color w:val="auto"/>
                <w:sz w:val="21"/>
              </w:rPr>
            </w:pPr>
          </w:p>
        </w:tc>
        <w:tc>
          <w:tcPr>
            <w:tcW w:w="382" w:type="pct"/>
            <w:vAlign w:val="center"/>
          </w:tcPr>
          <w:p w14:paraId="7E12821C">
            <w:pPr>
              <w:topLinePunct/>
              <w:jc w:val="center"/>
              <w:rPr>
                <w:rFonts w:ascii="Times New Roman" w:hAnsi="Times New Roman" w:cs="Times New Roman"/>
                <w:color w:val="auto"/>
                <w:sz w:val="21"/>
              </w:rPr>
            </w:pPr>
            <w:r>
              <w:rPr>
                <w:rFonts w:ascii="Times New Roman" w:hAnsi="Times New Roman" w:cs="Times New Roman"/>
                <w:color w:val="auto"/>
                <w:sz w:val="21"/>
                <w:lang w:eastAsia="zh-CN"/>
              </w:rPr>
              <w:t>总盐</w:t>
            </w:r>
          </w:p>
        </w:tc>
        <w:tc>
          <w:tcPr>
            <w:tcW w:w="382" w:type="pct"/>
            <w:vMerge w:val="continue"/>
            <w:vAlign w:val="center"/>
          </w:tcPr>
          <w:p w14:paraId="271671C5">
            <w:pPr>
              <w:topLinePunct/>
              <w:jc w:val="center"/>
              <w:rPr>
                <w:rFonts w:ascii="Times New Roman" w:hAnsi="Times New Roman" w:cs="Times New Roman"/>
                <w:color w:val="auto"/>
                <w:sz w:val="21"/>
              </w:rPr>
            </w:pPr>
          </w:p>
        </w:tc>
        <w:tc>
          <w:tcPr>
            <w:tcW w:w="384" w:type="pct"/>
            <w:vMerge w:val="continue"/>
            <w:vAlign w:val="center"/>
          </w:tcPr>
          <w:p w14:paraId="23176750">
            <w:pPr>
              <w:topLinePunct/>
              <w:jc w:val="center"/>
              <w:rPr>
                <w:rFonts w:ascii="Times New Roman" w:hAnsi="Times New Roman" w:cs="Times New Roman"/>
                <w:color w:val="auto"/>
                <w:sz w:val="21"/>
              </w:rPr>
            </w:pPr>
          </w:p>
        </w:tc>
        <w:tc>
          <w:tcPr>
            <w:tcW w:w="281" w:type="pct"/>
            <w:vMerge w:val="continue"/>
            <w:vAlign w:val="center"/>
          </w:tcPr>
          <w:p w14:paraId="53E32C3F">
            <w:pPr>
              <w:topLinePunct/>
              <w:jc w:val="center"/>
              <w:rPr>
                <w:rFonts w:ascii="Times New Roman" w:hAnsi="Times New Roman" w:cs="Times New Roman"/>
                <w:color w:val="auto"/>
                <w:sz w:val="21"/>
              </w:rPr>
            </w:pPr>
          </w:p>
        </w:tc>
        <w:tc>
          <w:tcPr>
            <w:tcW w:w="377" w:type="pct"/>
            <w:vAlign w:val="center"/>
          </w:tcPr>
          <w:p w14:paraId="4D2551F7">
            <w:pPr>
              <w:topLinePunct/>
              <w:jc w:val="center"/>
              <w:rPr>
                <w:rFonts w:ascii="Times New Roman" w:hAnsi="Times New Roman" w:cs="Times New Roman"/>
                <w:color w:val="auto"/>
                <w:sz w:val="21"/>
                <w:lang w:eastAsia="zh-CN"/>
              </w:rPr>
            </w:pPr>
          </w:p>
        </w:tc>
        <w:tc>
          <w:tcPr>
            <w:tcW w:w="412" w:type="pct"/>
            <w:vAlign w:val="center"/>
          </w:tcPr>
          <w:p w14:paraId="2BC64BD8">
            <w:pPr>
              <w:topLinePunct/>
              <w:jc w:val="center"/>
              <w:rPr>
                <w:rFonts w:ascii="Times New Roman" w:hAnsi="Times New Roman" w:cs="Times New Roman"/>
                <w:color w:val="auto"/>
                <w:sz w:val="21"/>
                <w:lang w:eastAsia="zh-CN"/>
              </w:rPr>
            </w:pPr>
          </w:p>
        </w:tc>
        <w:tc>
          <w:tcPr>
            <w:tcW w:w="475" w:type="pct"/>
            <w:vMerge w:val="continue"/>
            <w:vAlign w:val="center"/>
          </w:tcPr>
          <w:p w14:paraId="71587282">
            <w:pPr>
              <w:topLinePunct/>
              <w:jc w:val="center"/>
              <w:rPr>
                <w:rFonts w:ascii="Times New Roman" w:hAnsi="Times New Roman" w:cs="Times New Roman"/>
                <w:color w:val="auto"/>
                <w:sz w:val="21"/>
              </w:rPr>
            </w:pPr>
          </w:p>
        </w:tc>
        <w:tc>
          <w:tcPr>
            <w:tcW w:w="371" w:type="pct"/>
            <w:vAlign w:val="center"/>
          </w:tcPr>
          <w:p w14:paraId="692DEBA5">
            <w:pPr>
              <w:topLinePunct/>
              <w:jc w:val="center"/>
              <w:textAlignment w:val="center"/>
              <w:rPr>
                <w:rFonts w:ascii="Times New Roman" w:hAnsi="Times New Roman" w:cs="Times New Roman"/>
                <w:color w:val="auto"/>
                <w:sz w:val="21"/>
                <w:lang w:eastAsia="zh-CN"/>
              </w:rPr>
            </w:pPr>
          </w:p>
        </w:tc>
        <w:tc>
          <w:tcPr>
            <w:tcW w:w="360" w:type="pct"/>
            <w:vAlign w:val="center"/>
          </w:tcPr>
          <w:p w14:paraId="21B6140D">
            <w:pPr>
              <w:topLinePunct/>
              <w:jc w:val="center"/>
              <w:textAlignment w:val="center"/>
              <w:rPr>
                <w:rFonts w:ascii="Times New Roman" w:hAnsi="Times New Roman" w:cs="Times New Roman"/>
                <w:color w:val="auto"/>
                <w:sz w:val="21"/>
                <w:lang w:eastAsia="zh-CN"/>
              </w:rPr>
            </w:pPr>
          </w:p>
        </w:tc>
        <w:tc>
          <w:tcPr>
            <w:tcW w:w="483" w:type="pct"/>
            <w:vAlign w:val="center"/>
          </w:tcPr>
          <w:p w14:paraId="612BFAE8">
            <w:pPr>
              <w:topLinePunct/>
              <w:jc w:val="center"/>
              <w:rPr>
                <w:rFonts w:ascii="Times New Roman" w:hAnsi="Times New Roman" w:cs="Times New Roman"/>
                <w:color w:val="auto"/>
                <w:sz w:val="21"/>
                <w:lang w:eastAsia="zh-CN"/>
              </w:rPr>
            </w:pPr>
          </w:p>
        </w:tc>
        <w:tc>
          <w:tcPr>
            <w:tcW w:w="383" w:type="pct"/>
            <w:vAlign w:val="center"/>
          </w:tcPr>
          <w:p w14:paraId="6F457B5B">
            <w:pPr>
              <w:topLinePunct/>
              <w:jc w:val="center"/>
              <w:textAlignment w:val="center"/>
              <w:rPr>
                <w:rFonts w:ascii="Times New Roman" w:hAnsi="Times New Roman" w:cs="Times New Roman"/>
                <w:color w:val="auto"/>
                <w:sz w:val="21"/>
                <w:lang w:eastAsia="zh-CN"/>
              </w:rPr>
            </w:pPr>
          </w:p>
        </w:tc>
        <w:tc>
          <w:tcPr>
            <w:tcW w:w="395" w:type="pct"/>
            <w:vAlign w:val="center"/>
          </w:tcPr>
          <w:p w14:paraId="579A5389">
            <w:pPr>
              <w:topLinePunct/>
              <w:jc w:val="center"/>
              <w:textAlignment w:val="center"/>
              <w:rPr>
                <w:rFonts w:ascii="Times New Roman" w:hAnsi="Times New Roman" w:cs="Times New Roman"/>
                <w:color w:val="auto"/>
                <w:sz w:val="21"/>
                <w:lang w:eastAsia="zh-CN"/>
              </w:rPr>
            </w:pPr>
          </w:p>
        </w:tc>
      </w:tr>
      <w:bookmarkEnd w:id="872"/>
      <w:bookmarkEnd w:id="873"/>
      <w:bookmarkEnd w:id="874"/>
    </w:tbl>
    <w:p w14:paraId="613C81FC">
      <w:pPr>
        <w:tabs>
          <w:tab w:val="left" w:pos="5996"/>
        </w:tabs>
        <w:rPr>
          <w:rFonts w:ascii="Times New Roman" w:hAnsi="Times New Roman" w:cs="Times New Roman"/>
          <w:sz w:val="21"/>
          <w:lang w:eastAsia="zh-CN"/>
        </w:rPr>
      </w:pPr>
      <w:r>
        <w:rPr>
          <w:rFonts w:hint="eastAsia" w:ascii="Times New Roman" w:hAnsi="Times New Roman" w:cs="Times New Roman"/>
          <w:sz w:val="21"/>
          <w:lang w:eastAsia="zh-CN"/>
        </w:rPr>
        <w:t>注：污水处理站处理过程中需加入Ca(OH)</w:t>
      </w:r>
      <w:r>
        <w:rPr>
          <w:rFonts w:hint="eastAsia" w:ascii="Times New Roman" w:hAnsi="Times New Roman" w:cs="Times New Roman"/>
          <w:sz w:val="21"/>
          <w:vertAlign w:val="subscript"/>
          <w:lang w:eastAsia="zh-CN"/>
        </w:rPr>
        <w:t>2</w:t>
      </w:r>
      <w:r>
        <w:rPr>
          <w:rFonts w:hint="eastAsia" w:ascii="Times New Roman" w:hAnsi="Times New Roman" w:cs="Times New Roman"/>
          <w:sz w:val="21"/>
          <w:lang w:eastAsia="zh-CN"/>
        </w:rPr>
        <w:t>和CaCl</w:t>
      </w:r>
      <w:r>
        <w:rPr>
          <w:rFonts w:hint="eastAsia" w:ascii="Times New Roman" w:hAnsi="Times New Roman" w:cs="Times New Roman"/>
          <w:sz w:val="21"/>
          <w:vertAlign w:val="subscript"/>
          <w:lang w:eastAsia="zh-CN"/>
        </w:rPr>
        <w:t>2</w:t>
      </w:r>
      <w:r>
        <w:rPr>
          <w:rFonts w:hint="eastAsia" w:ascii="Times New Roman" w:hAnsi="Times New Roman" w:cs="Times New Roman"/>
          <w:sz w:val="21"/>
          <w:lang w:eastAsia="zh-CN"/>
        </w:rPr>
        <w:t>，故氯化物、总盐排放量增加；</w:t>
      </w:r>
    </w:p>
    <w:p w14:paraId="2F195886">
      <w:pPr>
        <w:tabs>
          <w:tab w:val="left" w:pos="5996"/>
        </w:tabs>
        <w:rPr>
          <w:rFonts w:ascii="Times New Roman" w:hAnsi="Times New Roman" w:cs="Times New Roman"/>
          <w:sz w:val="21"/>
          <w:lang w:eastAsia="zh-CN"/>
        </w:rPr>
      </w:pPr>
      <w:r>
        <w:rPr>
          <w:rFonts w:hint="eastAsia" w:ascii="Times New Roman" w:hAnsi="Times New Roman" w:cs="Times New Roman"/>
          <w:sz w:val="21"/>
          <w:lang w:eastAsia="zh-CN"/>
        </w:rPr>
        <w:t>本项目刻蚀液产品按照年产6万吨进行评价，项目为改扩建项目，涉及现有工程产品方案以及废气污染防治措施变化，且涉及刻蚀液产品废水部分无法单独计算，故本次单位产品基准排水量按照本项目废水排放量与全厂刻蚀液产能比值进行计算，根据计算，单位产品基准排水量为0.615m</w:t>
      </w:r>
      <w:r>
        <w:rPr>
          <w:rFonts w:hint="eastAsia" w:ascii="Times New Roman" w:hAnsi="Times New Roman" w:cs="Times New Roman"/>
          <w:sz w:val="21"/>
          <w:vertAlign w:val="superscript"/>
          <w:lang w:eastAsia="zh-CN"/>
        </w:rPr>
        <w:t>3</w:t>
      </w:r>
      <w:r>
        <w:rPr>
          <w:rFonts w:hint="eastAsia" w:ascii="Times New Roman" w:hAnsi="Times New Roman" w:cs="Times New Roman"/>
          <w:sz w:val="21"/>
          <w:lang w:eastAsia="zh-CN"/>
        </w:rPr>
        <w:t>/t-产品，满足</w:t>
      </w:r>
      <w:r>
        <w:rPr>
          <w:rFonts w:ascii="Times New Roman" w:hAnsi="Times New Roman" w:cs="Times New Roman"/>
          <w:sz w:val="21"/>
          <w:lang w:eastAsia="zh-CN"/>
        </w:rPr>
        <w:t>《电子工业水污染物排放标准》（GB39731-2020）</w:t>
      </w:r>
      <w:r>
        <w:rPr>
          <w:rFonts w:hint="eastAsia" w:ascii="Times New Roman" w:hAnsi="Times New Roman" w:cs="Times New Roman"/>
          <w:sz w:val="21"/>
          <w:lang w:eastAsia="zh-CN"/>
        </w:rPr>
        <w:t>中5m</w:t>
      </w:r>
      <w:r>
        <w:rPr>
          <w:rFonts w:hint="eastAsia" w:ascii="Times New Roman" w:hAnsi="Times New Roman" w:cs="Times New Roman"/>
          <w:sz w:val="21"/>
          <w:vertAlign w:val="superscript"/>
          <w:lang w:eastAsia="zh-CN"/>
        </w:rPr>
        <w:t>3</w:t>
      </w:r>
      <w:r>
        <w:rPr>
          <w:rFonts w:hint="eastAsia" w:ascii="Times New Roman" w:hAnsi="Times New Roman" w:cs="Times New Roman"/>
          <w:sz w:val="21"/>
          <w:lang w:eastAsia="zh-CN"/>
        </w:rPr>
        <w:t>/t-产品要求。</w:t>
      </w:r>
    </w:p>
    <w:p w14:paraId="198F06DC">
      <w:pPr>
        <w:tabs>
          <w:tab w:val="center" w:pos="6979"/>
        </w:tabs>
        <w:rPr>
          <w:rFonts w:ascii="Times New Roman" w:hAnsi="Times New Roman" w:cs="Times New Roman"/>
          <w:sz w:val="21"/>
          <w:lang w:eastAsia="zh-CN"/>
        </w:rPr>
        <w:sectPr>
          <w:pgSz w:w="16838" w:h="11906" w:orient="landscape"/>
          <w:pgMar w:top="1080" w:right="1440" w:bottom="1080" w:left="1440" w:header="851" w:footer="992" w:gutter="0"/>
          <w:cols w:space="720" w:num="1"/>
          <w:docGrid w:type="lines" w:linePitch="312" w:charSpace="0"/>
        </w:sectPr>
      </w:pPr>
      <w:r>
        <w:rPr>
          <w:rFonts w:ascii="Times New Roman" w:hAnsi="Times New Roman" w:cs="Times New Roman"/>
          <w:sz w:val="21"/>
          <w:lang w:eastAsia="zh-CN"/>
        </w:rPr>
        <w:tab/>
      </w:r>
    </w:p>
    <w:p w14:paraId="1F06DB0C">
      <w:pPr>
        <w:widowControl w:val="0"/>
        <w:spacing w:line="360" w:lineRule="auto"/>
        <w:ind w:firstLine="482"/>
        <w:outlineLvl w:val="2"/>
        <w:rPr>
          <w:rFonts w:ascii="Times New Roman" w:hAnsi="Times New Roman" w:cs="Times New Roman"/>
          <w:b/>
          <w:bCs/>
          <w:color w:val="auto"/>
          <w:lang w:eastAsia="zh-CN"/>
        </w:rPr>
      </w:pPr>
      <w:bookmarkStart w:id="875" w:name="_Toc203927001"/>
      <w:bookmarkStart w:id="876" w:name="_Toc107218246"/>
      <w:bookmarkStart w:id="877" w:name="_Toc173743383"/>
      <w:bookmarkStart w:id="878" w:name="_Toc175164274"/>
      <w:bookmarkStart w:id="879" w:name="_Toc204448467"/>
      <w:bookmarkStart w:id="880" w:name="_Toc224674696"/>
      <w:bookmarkStart w:id="881" w:name="_Toc133183066"/>
      <w:bookmarkStart w:id="882" w:name="_Toc217662672"/>
      <w:bookmarkStart w:id="883" w:name="_Toc218784282"/>
      <w:bookmarkStart w:id="884" w:name="_Toc133333612"/>
      <w:bookmarkStart w:id="885" w:name="_Toc231828579"/>
      <w:bookmarkStart w:id="886" w:name="_Toc172555652"/>
      <w:bookmarkStart w:id="887" w:name="_Toc223425057"/>
      <w:bookmarkStart w:id="888" w:name="_Toc178602350"/>
      <w:bookmarkStart w:id="889" w:name="_Toc221900839"/>
      <w:bookmarkStart w:id="890" w:name="_Toc173740279"/>
      <w:bookmarkStart w:id="891" w:name="_Toc225784057"/>
      <w:bookmarkStart w:id="892" w:name="_Toc237508292"/>
      <w:bookmarkStart w:id="893" w:name="_Toc204515202"/>
      <w:bookmarkStart w:id="894" w:name="_Toc10001"/>
      <w:bookmarkStart w:id="895" w:name="_Toc176513010"/>
      <w:bookmarkStart w:id="896" w:name="_Toc236641827"/>
      <w:bookmarkStart w:id="897" w:name="_Toc236641310"/>
      <w:r>
        <w:rPr>
          <w:rFonts w:ascii="Times New Roman" w:hAnsi="Times New Roman" w:cs="Times New Roman"/>
          <w:b/>
          <w:bCs/>
          <w:color w:val="auto"/>
          <w:lang w:eastAsia="zh-CN"/>
        </w:rPr>
        <w:t>4.3.3 固体废物</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p>
    <w:p w14:paraId="650E2CE1">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本项目营运期产生固体废物主要有危险废物和生活垃圾。危险废物主要为</w:t>
      </w:r>
      <w:r>
        <w:rPr>
          <w:rFonts w:hint="eastAsia" w:ascii="Times New Roman" w:hAnsi="Times New Roman" w:cs="Times New Roman"/>
          <w:color w:val="auto"/>
          <w:szCs w:val="24"/>
          <w:lang w:eastAsia="zh-CN"/>
        </w:rPr>
        <w:t>实验室废液、废机油、</w:t>
      </w:r>
      <w:r>
        <w:rPr>
          <w:rFonts w:hint="eastAsia" w:ascii="Times New Roman" w:hAnsi="Times New Roman" w:cs="Times New Roman"/>
          <w:color w:val="auto"/>
          <w:szCs w:val="24"/>
          <w:lang w:val="en-US" w:eastAsia="zh-CN"/>
        </w:rPr>
        <w:t>废油桶、废漆桶</w:t>
      </w:r>
      <w:r>
        <w:rPr>
          <w:rFonts w:ascii="Times New Roman" w:hAnsi="Times New Roman" w:cs="Times New Roman"/>
          <w:color w:val="auto"/>
          <w:szCs w:val="24"/>
          <w:lang w:eastAsia="zh-CN"/>
        </w:rPr>
        <w:t>等；一般固废主要为</w:t>
      </w:r>
      <w:r>
        <w:rPr>
          <w:rFonts w:hint="eastAsia" w:ascii="Times New Roman" w:hAnsi="Times New Roman" w:cs="Times New Roman"/>
          <w:color w:val="auto"/>
          <w:szCs w:val="24"/>
          <w:lang w:eastAsia="zh-CN"/>
        </w:rPr>
        <w:t>污泥、生活垃圾等</w:t>
      </w:r>
      <w:r>
        <w:rPr>
          <w:rFonts w:ascii="Times New Roman" w:hAnsi="Times New Roman" w:cs="Times New Roman"/>
          <w:color w:val="auto"/>
          <w:szCs w:val="24"/>
          <w:lang w:eastAsia="zh-CN"/>
        </w:rPr>
        <w:t>。</w:t>
      </w:r>
    </w:p>
    <w:p w14:paraId="6BDCA58D">
      <w:pPr>
        <w:pStyle w:val="70"/>
        <w:widowControl w:val="0"/>
        <w:jc w:val="both"/>
        <w:rPr>
          <w:rFonts w:ascii="Times New Roman" w:hAnsi="Times New Roman" w:cs="Times New Roman"/>
          <w:color w:val="auto"/>
          <w:lang w:eastAsia="zh-CN"/>
        </w:rPr>
      </w:pPr>
      <w:r>
        <w:rPr>
          <w:rFonts w:ascii="Times New Roman" w:hAnsi="Times New Roman" w:cs="Times New Roman"/>
          <w:bCs/>
          <w:color w:val="auto"/>
          <w:lang w:eastAsia="zh-CN"/>
        </w:rPr>
        <w:t>1、危险废物</w:t>
      </w:r>
    </w:p>
    <w:p w14:paraId="10AE65C1">
      <w:pPr>
        <w:pStyle w:val="70"/>
        <w:widowControl w:val="0"/>
        <w:jc w:val="both"/>
        <w:rPr>
          <w:rFonts w:ascii="Times New Roman" w:hAnsi="Times New Roman" w:cs="Times New Roman"/>
          <w:bCs/>
          <w:color w:val="auto"/>
          <w:lang w:eastAsia="zh-CN"/>
        </w:rPr>
      </w:pPr>
      <w:r>
        <w:rPr>
          <w:rFonts w:ascii="Times New Roman" w:hAnsi="Times New Roman" w:cs="Times New Roman"/>
          <w:bCs/>
          <w:color w:val="auto"/>
          <w:lang w:eastAsia="zh-CN"/>
        </w:rPr>
        <w:t>（</w:t>
      </w:r>
      <w:r>
        <w:rPr>
          <w:rFonts w:hint="eastAsia" w:ascii="Times New Roman" w:hAnsi="Times New Roman" w:cs="Times New Roman"/>
          <w:bCs/>
          <w:color w:val="auto"/>
          <w:lang w:eastAsia="zh-CN"/>
        </w:rPr>
        <w:t>1</w:t>
      </w:r>
      <w:r>
        <w:rPr>
          <w:rFonts w:ascii="Times New Roman" w:hAnsi="Times New Roman" w:cs="Times New Roman"/>
          <w:bCs/>
          <w:color w:val="auto"/>
          <w:lang w:eastAsia="zh-CN"/>
        </w:rPr>
        <w:t>）</w:t>
      </w:r>
      <w:r>
        <w:rPr>
          <w:rFonts w:hint="eastAsia" w:ascii="Times New Roman" w:hAnsi="Times New Roman" w:cs="Times New Roman"/>
          <w:bCs/>
          <w:color w:val="auto"/>
          <w:lang w:eastAsia="zh-CN"/>
        </w:rPr>
        <w:t>实验室废液</w:t>
      </w:r>
    </w:p>
    <w:p w14:paraId="7F19F82B">
      <w:pPr>
        <w:pStyle w:val="70"/>
        <w:widowControl w:val="0"/>
        <w:jc w:val="both"/>
        <w:rPr>
          <w:rFonts w:ascii="Times New Roman" w:hAnsi="Times New Roman" w:cs="Times New Roman"/>
          <w:bCs/>
          <w:color w:val="auto"/>
          <w:lang w:eastAsia="zh-CN"/>
        </w:rPr>
      </w:pPr>
      <w:r>
        <w:rPr>
          <w:rFonts w:ascii="Times New Roman" w:hAnsi="Times New Roman" w:cs="Times New Roman"/>
          <w:bCs/>
          <w:color w:val="auto"/>
          <w:lang w:eastAsia="zh-CN"/>
        </w:rPr>
        <w:t>（</w:t>
      </w:r>
      <w:r>
        <w:rPr>
          <w:rFonts w:hint="eastAsia" w:ascii="Times New Roman" w:hAnsi="Times New Roman" w:cs="Times New Roman"/>
          <w:bCs/>
          <w:color w:val="auto"/>
          <w:lang w:eastAsia="zh-CN"/>
        </w:rPr>
        <w:t>2</w:t>
      </w:r>
      <w:r>
        <w:rPr>
          <w:rFonts w:ascii="Times New Roman" w:hAnsi="Times New Roman" w:cs="Times New Roman"/>
          <w:bCs/>
          <w:color w:val="auto"/>
          <w:lang w:eastAsia="zh-CN"/>
        </w:rPr>
        <w:t>）</w:t>
      </w:r>
      <w:r>
        <w:rPr>
          <w:rFonts w:hint="eastAsia" w:ascii="Times New Roman" w:hAnsi="Times New Roman" w:cs="Times New Roman"/>
          <w:bCs/>
          <w:color w:val="auto"/>
          <w:lang w:eastAsia="zh-CN"/>
        </w:rPr>
        <w:t>废机油</w:t>
      </w:r>
    </w:p>
    <w:p w14:paraId="363890EE">
      <w:pPr>
        <w:pStyle w:val="70"/>
        <w:widowControl w:val="0"/>
        <w:jc w:val="both"/>
        <w:rPr>
          <w:rFonts w:ascii="Times New Roman" w:hAnsi="Times New Roman" w:cs="Times New Roman"/>
          <w:bCs/>
          <w:color w:val="auto"/>
          <w:lang w:eastAsia="zh-CN"/>
        </w:rPr>
      </w:pPr>
      <w:r>
        <w:rPr>
          <w:rFonts w:ascii="Times New Roman" w:hAnsi="Times New Roman" w:cs="Times New Roman"/>
          <w:bCs/>
          <w:color w:val="auto"/>
          <w:lang w:eastAsia="zh-CN"/>
        </w:rPr>
        <w:t>（</w:t>
      </w:r>
      <w:r>
        <w:rPr>
          <w:rFonts w:hint="eastAsia" w:ascii="Times New Roman" w:hAnsi="Times New Roman" w:cs="Times New Roman"/>
          <w:bCs/>
          <w:color w:val="auto"/>
          <w:lang w:eastAsia="zh-CN"/>
        </w:rPr>
        <w:t>3</w:t>
      </w:r>
      <w:r>
        <w:rPr>
          <w:rFonts w:ascii="Times New Roman" w:hAnsi="Times New Roman" w:cs="Times New Roman"/>
          <w:bCs/>
          <w:color w:val="auto"/>
          <w:lang w:eastAsia="zh-CN"/>
        </w:rPr>
        <w:t>）</w:t>
      </w:r>
      <w:r>
        <w:rPr>
          <w:rFonts w:hint="eastAsia" w:ascii="Times New Roman" w:hAnsi="Times New Roman" w:cs="Times New Roman"/>
          <w:bCs/>
          <w:color w:val="auto"/>
          <w:lang w:eastAsia="zh-CN"/>
        </w:rPr>
        <w:t>废油桶</w:t>
      </w:r>
    </w:p>
    <w:p w14:paraId="039F13CB">
      <w:pPr>
        <w:pStyle w:val="70"/>
        <w:widowControl w:val="0"/>
        <w:jc w:val="both"/>
        <w:rPr>
          <w:rFonts w:ascii="Times New Roman" w:hAnsi="Times New Roman" w:cs="Times New Roman"/>
          <w:bCs/>
          <w:color w:val="auto"/>
          <w:lang w:eastAsia="zh-CN"/>
        </w:rPr>
      </w:pPr>
      <w:r>
        <w:rPr>
          <w:rFonts w:ascii="Times New Roman" w:hAnsi="Times New Roman" w:cs="Times New Roman"/>
          <w:bCs/>
          <w:color w:val="auto"/>
          <w:lang w:eastAsia="zh-CN"/>
        </w:rPr>
        <w:t>（</w:t>
      </w:r>
      <w:r>
        <w:rPr>
          <w:rFonts w:hint="eastAsia" w:ascii="Times New Roman" w:hAnsi="Times New Roman" w:cs="Times New Roman"/>
          <w:bCs/>
          <w:color w:val="auto"/>
          <w:lang w:val="en-US" w:eastAsia="zh-CN"/>
        </w:rPr>
        <w:t>4</w:t>
      </w:r>
      <w:r>
        <w:rPr>
          <w:rFonts w:ascii="Times New Roman" w:hAnsi="Times New Roman" w:cs="Times New Roman"/>
          <w:bCs/>
          <w:color w:val="auto"/>
          <w:lang w:eastAsia="zh-CN"/>
        </w:rPr>
        <w:t>）</w:t>
      </w:r>
      <w:r>
        <w:rPr>
          <w:rFonts w:hint="eastAsia" w:ascii="Times New Roman" w:hAnsi="Times New Roman" w:cs="Times New Roman"/>
          <w:bCs/>
          <w:color w:val="auto"/>
          <w:lang w:eastAsia="zh-CN"/>
        </w:rPr>
        <w:t>废</w:t>
      </w:r>
      <w:r>
        <w:rPr>
          <w:rFonts w:hint="eastAsia" w:ascii="Times New Roman" w:hAnsi="Times New Roman" w:cs="Times New Roman"/>
          <w:bCs/>
          <w:color w:val="auto"/>
          <w:lang w:val="en-US" w:eastAsia="zh-CN"/>
        </w:rPr>
        <w:t>漆</w:t>
      </w:r>
      <w:r>
        <w:rPr>
          <w:rFonts w:hint="eastAsia" w:ascii="Times New Roman" w:hAnsi="Times New Roman" w:cs="Times New Roman"/>
          <w:bCs/>
          <w:color w:val="auto"/>
          <w:lang w:eastAsia="zh-CN"/>
        </w:rPr>
        <w:t>桶</w:t>
      </w:r>
    </w:p>
    <w:p w14:paraId="5DD32D76">
      <w:pPr>
        <w:pStyle w:val="70"/>
        <w:widowControl w:val="0"/>
        <w:jc w:val="both"/>
        <w:rPr>
          <w:rFonts w:ascii="Times New Roman" w:hAnsi="Times New Roman" w:cs="Times New Roman"/>
          <w:bCs/>
          <w:color w:val="auto"/>
          <w:lang w:eastAsia="zh-CN"/>
        </w:rPr>
      </w:pPr>
      <w:r>
        <w:rPr>
          <w:rFonts w:ascii="Times New Roman" w:hAnsi="Times New Roman" w:cs="Times New Roman"/>
          <w:bCs/>
          <w:color w:val="auto"/>
          <w:lang w:eastAsia="zh-CN"/>
        </w:rPr>
        <w:t>2、一般固废</w:t>
      </w:r>
    </w:p>
    <w:p w14:paraId="0983EBAD">
      <w:pPr>
        <w:pStyle w:val="70"/>
        <w:widowControl w:val="0"/>
        <w:jc w:val="both"/>
        <w:rPr>
          <w:rFonts w:ascii="Times New Roman" w:hAnsi="Times New Roman" w:cs="Times New Roman"/>
          <w:bCs/>
          <w:color w:val="auto"/>
          <w:lang w:eastAsia="zh-CN"/>
        </w:rPr>
      </w:pPr>
      <w:r>
        <w:rPr>
          <w:rFonts w:ascii="Times New Roman" w:hAnsi="Times New Roman" w:cs="Times New Roman"/>
          <w:bCs/>
          <w:color w:val="auto"/>
          <w:lang w:eastAsia="zh-CN"/>
        </w:rPr>
        <w:t>（1）</w:t>
      </w:r>
      <w:r>
        <w:rPr>
          <w:rFonts w:hint="eastAsia" w:ascii="Times New Roman" w:hAnsi="Times New Roman" w:cs="Times New Roman"/>
          <w:bCs/>
          <w:color w:val="auto"/>
          <w:lang w:eastAsia="zh-CN"/>
        </w:rPr>
        <w:t>污泥</w:t>
      </w:r>
    </w:p>
    <w:p w14:paraId="169D1CD9">
      <w:pPr>
        <w:pStyle w:val="70"/>
        <w:widowControl w:val="0"/>
        <w:jc w:val="both"/>
        <w:rPr>
          <w:rFonts w:hint="eastAsia" w:ascii="Times New Roman" w:hAnsi="Times New Roman" w:cs="Times New Roman"/>
          <w:bCs/>
          <w:color w:val="auto"/>
          <w:lang w:eastAsia="zh-CN"/>
        </w:rPr>
      </w:pPr>
    </w:p>
    <w:p w14:paraId="364AEA34">
      <w:pPr>
        <w:pStyle w:val="70"/>
        <w:widowControl w:val="0"/>
        <w:jc w:val="both"/>
        <w:rPr>
          <w:rFonts w:ascii="Times New Roman" w:hAnsi="Times New Roman" w:cs="Times New Roman"/>
          <w:bCs/>
          <w:color w:val="auto"/>
          <w:lang w:eastAsia="zh-CN"/>
        </w:rPr>
      </w:pPr>
      <w:r>
        <w:rPr>
          <w:rFonts w:hint="eastAsia" w:ascii="Times New Roman" w:hAnsi="Times New Roman" w:cs="Times New Roman"/>
          <w:bCs/>
          <w:color w:val="auto"/>
          <w:lang w:eastAsia="zh-CN"/>
        </w:rPr>
        <w:t>3</w:t>
      </w:r>
      <w:r>
        <w:rPr>
          <w:rFonts w:ascii="Times New Roman" w:hAnsi="Times New Roman" w:cs="Times New Roman"/>
          <w:bCs/>
          <w:color w:val="auto"/>
          <w:lang w:eastAsia="zh-CN"/>
        </w:rPr>
        <w:t>、</w:t>
      </w:r>
      <w:r>
        <w:rPr>
          <w:rFonts w:hint="eastAsia" w:ascii="Times New Roman" w:hAnsi="Times New Roman" w:cs="Times New Roman"/>
          <w:bCs/>
          <w:color w:val="auto"/>
          <w:lang w:eastAsia="zh-CN"/>
        </w:rPr>
        <w:t>生活垃圾</w:t>
      </w:r>
    </w:p>
    <w:p w14:paraId="05805D89">
      <w:pPr>
        <w:pStyle w:val="70"/>
        <w:jc w:val="both"/>
        <w:rPr>
          <w:rFonts w:ascii="Times New Roman" w:hAnsi="Times New Roman" w:cs="Times New Roman"/>
          <w:bCs/>
          <w:color w:val="auto"/>
          <w:lang w:eastAsia="zh-CN"/>
        </w:rPr>
      </w:pPr>
      <w:r>
        <w:rPr>
          <w:rFonts w:hint="eastAsia" w:ascii="Times New Roman" w:hAnsi="Times New Roman" w:cs="Times New Roman"/>
          <w:bCs/>
          <w:color w:val="auto"/>
          <w:lang w:eastAsia="zh-CN"/>
        </w:rPr>
        <w:t>现有厂区</w:t>
      </w:r>
      <w:r>
        <w:rPr>
          <w:rFonts w:ascii="Times New Roman" w:hAnsi="Times New Roman" w:cs="Times New Roman"/>
          <w:bCs/>
          <w:color w:val="auto"/>
          <w:lang w:eastAsia="zh-CN"/>
        </w:rPr>
        <w:t>劳动定员50人，生活垃圾产生量按1kg/人·日进行核算，年工作3</w:t>
      </w:r>
      <w:r>
        <w:rPr>
          <w:rFonts w:hint="eastAsia" w:ascii="Times New Roman" w:hAnsi="Times New Roman" w:cs="Times New Roman"/>
          <w:bCs/>
          <w:color w:val="auto"/>
          <w:lang w:eastAsia="zh-CN"/>
        </w:rPr>
        <w:t>3</w:t>
      </w:r>
      <w:r>
        <w:rPr>
          <w:rFonts w:ascii="Times New Roman" w:hAnsi="Times New Roman" w:cs="Times New Roman"/>
          <w:bCs/>
          <w:color w:val="auto"/>
          <w:lang w:eastAsia="zh-CN"/>
        </w:rPr>
        <w:t>0天，垃圾产生量1</w:t>
      </w:r>
      <w:r>
        <w:rPr>
          <w:rFonts w:hint="eastAsia" w:ascii="Times New Roman" w:hAnsi="Times New Roman" w:cs="Times New Roman"/>
          <w:bCs/>
          <w:color w:val="auto"/>
          <w:lang w:eastAsia="zh-CN"/>
        </w:rPr>
        <w:t>6.5</w:t>
      </w:r>
      <w:r>
        <w:rPr>
          <w:rFonts w:ascii="Times New Roman" w:hAnsi="Times New Roman" w:cs="Times New Roman"/>
          <w:bCs/>
          <w:color w:val="auto"/>
          <w:lang w:eastAsia="zh-CN"/>
        </w:rPr>
        <w:t>t/a，由厂区垃圾桶统一收集后交由环卫部门处理</w:t>
      </w:r>
      <w:r>
        <w:rPr>
          <w:rFonts w:hint="eastAsia" w:ascii="Times New Roman" w:hAnsi="Times New Roman" w:cs="Times New Roman"/>
          <w:bCs/>
          <w:color w:val="auto"/>
          <w:lang w:eastAsia="zh-CN"/>
        </w:rPr>
        <w:t>。</w:t>
      </w:r>
    </w:p>
    <w:p w14:paraId="44BDFA22">
      <w:pPr>
        <w:spacing w:line="360" w:lineRule="auto"/>
        <w:jc w:val="center"/>
        <w:rPr>
          <w:rFonts w:ascii="Times New Roman" w:hAnsi="Times New Roman" w:cs="Times New Roman"/>
          <w:b/>
          <w:color w:val="auto"/>
          <w:spacing w:val="8"/>
          <w:lang w:eastAsia="zh-CN"/>
        </w:rPr>
      </w:pPr>
      <w:r>
        <w:rPr>
          <w:rFonts w:ascii="Times New Roman" w:hAnsi="Times New Roman" w:cs="Times New Roman"/>
          <w:b/>
          <w:color w:val="auto"/>
          <w:spacing w:val="8"/>
          <w:lang w:eastAsia="zh-CN"/>
        </w:rPr>
        <w:t>表4.3-1</w:t>
      </w:r>
      <w:r>
        <w:rPr>
          <w:rFonts w:hint="eastAsia" w:ascii="Times New Roman" w:hAnsi="Times New Roman" w:cs="Times New Roman"/>
          <w:b/>
          <w:color w:val="auto"/>
          <w:spacing w:val="8"/>
          <w:lang w:eastAsia="zh-CN"/>
        </w:rPr>
        <w:t>3</w:t>
      </w:r>
      <w:r>
        <w:rPr>
          <w:rFonts w:ascii="Times New Roman" w:hAnsi="Times New Roman" w:cs="Times New Roman"/>
          <w:b/>
          <w:color w:val="auto"/>
          <w:spacing w:val="8"/>
          <w:lang w:eastAsia="zh-CN"/>
        </w:rPr>
        <w:t xml:space="preserve"> 固体废物产生及处置情况</w:t>
      </w:r>
    </w:p>
    <w:tbl>
      <w:tblPr>
        <w:tblStyle w:val="35"/>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28" w:type="dxa"/>
          <w:bottom w:w="0" w:type="dxa"/>
          <w:right w:w="28" w:type="dxa"/>
        </w:tblCellMar>
      </w:tblPr>
      <w:tblGrid>
        <w:gridCol w:w="563"/>
        <w:gridCol w:w="995"/>
        <w:gridCol w:w="848"/>
        <w:gridCol w:w="1129"/>
        <w:gridCol w:w="989"/>
        <w:gridCol w:w="991"/>
        <w:gridCol w:w="708"/>
        <w:gridCol w:w="1416"/>
        <w:gridCol w:w="718"/>
        <w:gridCol w:w="1383"/>
      </w:tblGrid>
      <w:tr w14:paraId="0DF2375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289" w:type="pct"/>
            <w:vAlign w:val="center"/>
          </w:tcPr>
          <w:p w14:paraId="4731B894">
            <w:pPr>
              <w:topLinePunct/>
              <w:adjustRightInd w:val="0"/>
              <w:snapToGrid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序号</w:t>
            </w:r>
          </w:p>
        </w:tc>
        <w:tc>
          <w:tcPr>
            <w:tcW w:w="510" w:type="pct"/>
            <w:vAlign w:val="center"/>
          </w:tcPr>
          <w:p w14:paraId="5982D184">
            <w:pPr>
              <w:topLinePunct/>
              <w:adjustRightInd w:val="0"/>
              <w:snapToGrid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废物名称</w:t>
            </w:r>
          </w:p>
        </w:tc>
        <w:tc>
          <w:tcPr>
            <w:tcW w:w="435" w:type="pct"/>
            <w:vAlign w:val="center"/>
          </w:tcPr>
          <w:p w14:paraId="0AACA74C">
            <w:pPr>
              <w:topLinePunct/>
              <w:adjustRightInd w:val="0"/>
              <w:snapToGrid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废物类别</w:t>
            </w:r>
          </w:p>
        </w:tc>
        <w:tc>
          <w:tcPr>
            <w:tcW w:w="579" w:type="pct"/>
            <w:vAlign w:val="center"/>
          </w:tcPr>
          <w:p w14:paraId="1C9AC922">
            <w:pPr>
              <w:topLinePunct/>
              <w:adjustRightInd w:val="0"/>
              <w:snapToGrid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废物代码</w:t>
            </w:r>
          </w:p>
        </w:tc>
        <w:tc>
          <w:tcPr>
            <w:tcW w:w="507" w:type="pct"/>
            <w:vAlign w:val="center"/>
          </w:tcPr>
          <w:p w14:paraId="7922CB81">
            <w:pPr>
              <w:topLinePunct/>
              <w:adjustRightInd w:val="0"/>
              <w:snapToGrid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产生量（吨/年）</w:t>
            </w:r>
          </w:p>
        </w:tc>
        <w:tc>
          <w:tcPr>
            <w:tcW w:w="508" w:type="pct"/>
            <w:vAlign w:val="center"/>
          </w:tcPr>
          <w:p w14:paraId="46E60FDF">
            <w:pPr>
              <w:topLinePunct/>
              <w:adjustRightInd w:val="0"/>
              <w:snapToGrid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产生工序及装置</w:t>
            </w:r>
          </w:p>
        </w:tc>
        <w:tc>
          <w:tcPr>
            <w:tcW w:w="363" w:type="pct"/>
            <w:vAlign w:val="center"/>
          </w:tcPr>
          <w:p w14:paraId="02FBA92B">
            <w:pPr>
              <w:topLinePunct/>
              <w:adjustRightInd w:val="0"/>
              <w:snapToGrid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形态</w:t>
            </w:r>
          </w:p>
        </w:tc>
        <w:tc>
          <w:tcPr>
            <w:tcW w:w="726" w:type="pct"/>
            <w:vAlign w:val="center"/>
          </w:tcPr>
          <w:p w14:paraId="0B959138">
            <w:pPr>
              <w:topLinePunct/>
              <w:adjustRightInd w:val="0"/>
              <w:snapToGrid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主要成分</w:t>
            </w:r>
          </w:p>
        </w:tc>
        <w:tc>
          <w:tcPr>
            <w:tcW w:w="368" w:type="pct"/>
            <w:vAlign w:val="center"/>
          </w:tcPr>
          <w:p w14:paraId="46FAD21C">
            <w:pPr>
              <w:topLinePunct/>
              <w:adjustRightInd w:val="0"/>
              <w:snapToGrid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危险特性</w:t>
            </w:r>
          </w:p>
        </w:tc>
        <w:tc>
          <w:tcPr>
            <w:tcW w:w="709" w:type="pct"/>
            <w:vAlign w:val="center"/>
          </w:tcPr>
          <w:p w14:paraId="1F5B55AB">
            <w:pPr>
              <w:topLinePunct/>
              <w:adjustRightInd w:val="0"/>
              <w:snapToGrid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污染防治措施</w:t>
            </w:r>
          </w:p>
        </w:tc>
      </w:tr>
      <w:tr w14:paraId="4E82393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289" w:type="pct"/>
            <w:vAlign w:val="center"/>
          </w:tcPr>
          <w:p w14:paraId="2042FE79">
            <w:pPr>
              <w:topLinePunct/>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1</w:t>
            </w:r>
          </w:p>
        </w:tc>
        <w:tc>
          <w:tcPr>
            <w:tcW w:w="510" w:type="pct"/>
            <w:vAlign w:val="center"/>
          </w:tcPr>
          <w:p w14:paraId="45291BF5">
            <w:pPr>
              <w:topLinePunct/>
              <w:adjustRightInd w:val="0"/>
              <w:snapToGrid w:val="0"/>
              <w:jc w:val="center"/>
              <w:rPr>
                <w:rFonts w:ascii="Times New Roman" w:hAnsi="Times New Roman" w:cs="Times New Roman"/>
                <w:color w:val="000000" w:themeColor="text1"/>
                <w:sz w:val="21"/>
                <w14:textFill>
                  <w14:solidFill>
                    <w14:schemeClr w14:val="tx1"/>
                  </w14:solidFill>
                </w14:textFill>
              </w:rPr>
            </w:pPr>
            <w:r>
              <w:rPr>
                <w:rFonts w:hint="eastAsia" w:ascii="Times New Roman" w:hAnsi="Times New Roman" w:cs="Times New Roman"/>
                <w:bCs/>
                <w:color w:val="auto"/>
                <w:sz w:val="21"/>
                <w:lang w:eastAsia="zh-CN"/>
              </w:rPr>
              <w:t>实验室废液</w:t>
            </w:r>
          </w:p>
        </w:tc>
        <w:tc>
          <w:tcPr>
            <w:tcW w:w="435" w:type="pct"/>
            <w:vAlign w:val="center"/>
          </w:tcPr>
          <w:p w14:paraId="55226217">
            <w:pPr>
              <w:topLinePunct/>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79" w:type="pct"/>
            <w:vAlign w:val="center"/>
          </w:tcPr>
          <w:p w14:paraId="2319EF43">
            <w:pPr>
              <w:topLinePunct/>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07" w:type="pct"/>
            <w:vAlign w:val="center"/>
          </w:tcPr>
          <w:p w14:paraId="34FCAE30">
            <w:pPr>
              <w:topLinePunct/>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08" w:type="pct"/>
            <w:vAlign w:val="center"/>
          </w:tcPr>
          <w:p w14:paraId="5CB340E7">
            <w:pPr>
              <w:topLinePunct/>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363" w:type="pct"/>
            <w:vAlign w:val="center"/>
          </w:tcPr>
          <w:p w14:paraId="63CDB31C">
            <w:pPr>
              <w:topLinePunct/>
              <w:adjustRightInd w:val="0"/>
              <w:snapToGrid w:val="0"/>
              <w:jc w:val="center"/>
              <w:rPr>
                <w:rFonts w:ascii="Times New Roman" w:hAnsi="Times New Roman" w:cs="Times New Roman"/>
                <w:color w:val="000000" w:themeColor="text1"/>
                <w:sz w:val="21"/>
                <w14:textFill>
                  <w14:solidFill>
                    <w14:schemeClr w14:val="tx1"/>
                  </w14:solidFill>
                </w14:textFill>
              </w:rPr>
            </w:pPr>
          </w:p>
        </w:tc>
        <w:tc>
          <w:tcPr>
            <w:tcW w:w="726" w:type="pct"/>
            <w:vAlign w:val="center"/>
          </w:tcPr>
          <w:p w14:paraId="655D272A">
            <w:pPr>
              <w:topLinePunct/>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368" w:type="pct"/>
            <w:vAlign w:val="center"/>
          </w:tcPr>
          <w:p w14:paraId="41B468F9">
            <w:pPr>
              <w:topLinePunct/>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709" w:type="pct"/>
            <w:vMerge w:val="restart"/>
            <w:vAlign w:val="center"/>
          </w:tcPr>
          <w:p w14:paraId="412BF5D1">
            <w:pPr>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委托有资质单位处置</w:t>
            </w:r>
          </w:p>
        </w:tc>
      </w:tr>
      <w:tr w14:paraId="739E734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289" w:type="pct"/>
            <w:vAlign w:val="center"/>
          </w:tcPr>
          <w:p w14:paraId="33BAFF45">
            <w:pPr>
              <w:topLinePunct/>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2</w:t>
            </w:r>
          </w:p>
        </w:tc>
        <w:tc>
          <w:tcPr>
            <w:tcW w:w="510" w:type="pct"/>
            <w:vAlign w:val="center"/>
          </w:tcPr>
          <w:p w14:paraId="27DFD631">
            <w:pPr>
              <w:topLinePunct/>
              <w:adjustRightInd w:val="0"/>
              <w:snapToGrid w:val="0"/>
              <w:jc w:val="center"/>
              <w:rPr>
                <w:rFonts w:ascii="Times New Roman" w:hAnsi="Times New Roman" w:cs="Times New Roman"/>
                <w:bCs/>
                <w:color w:val="auto"/>
                <w:sz w:val="21"/>
                <w:lang w:eastAsia="zh-CN"/>
              </w:rPr>
            </w:pPr>
            <w:r>
              <w:rPr>
                <w:rFonts w:hint="eastAsia" w:ascii="Times New Roman" w:hAnsi="Times New Roman" w:cs="Times New Roman"/>
                <w:color w:val="000000" w:themeColor="text1"/>
                <w:sz w:val="21"/>
                <w:lang w:eastAsia="zh-CN"/>
                <w14:textFill>
                  <w14:solidFill>
                    <w14:schemeClr w14:val="tx1"/>
                  </w14:solidFill>
                </w14:textFill>
              </w:rPr>
              <w:t>废机油</w:t>
            </w:r>
          </w:p>
        </w:tc>
        <w:tc>
          <w:tcPr>
            <w:tcW w:w="435" w:type="pct"/>
            <w:vAlign w:val="center"/>
          </w:tcPr>
          <w:p w14:paraId="5128E902">
            <w:pPr>
              <w:topLinePunct/>
              <w:adjustRightInd w:val="0"/>
              <w:snapToGrid w:val="0"/>
              <w:jc w:val="center"/>
              <w:rPr>
                <w:rFonts w:ascii="Times New Roman" w:hAnsi="Times New Roman" w:cs="Times New Roman"/>
                <w:color w:val="auto"/>
                <w:sz w:val="21"/>
              </w:rPr>
            </w:pPr>
          </w:p>
        </w:tc>
        <w:tc>
          <w:tcPr>
            <w:tcW w:w="579" w:type="pct"/>
            <w:vAlign w:val="center"/>
          </w:tcPr>
          <w:p w14:paraId="297FD3B2">
            <w:pPr>
              <w:topLinePunct/>
              <w:adjustRightInd w:val="0"/>
              <w:snapToGrid w:val="0"/>
              <w:jc w:val="center"/>
              <w:rPr>
                <w:rFonts w:ascii="Times New Roman" w:hAnsi="Times New Roman" w:cs="Times New Roman"/>
                <w:color w:val="auto"/>
                <w:sz w:val="21"/>
              </w:rPr>
            </w:pPr>
          </w:p>
        </w:tc>
        <w:tc>
          <w:tcPr>
            <w:tcW w:w="507" w:type="pct"/>
            <w:vAlign w:val="center"/>
          </w:tcPr>
          <w:p w14:paraId="27E92D48">
            <w:pPr>
              <w:topLinePunct/>
              <w:adjustRightInd w:val="0"/>
              <w:snapToGrid w:val="0"/>
              <w:jc w:val="center"/>
              <w:rPr>
                <w:rFonts w:ascii="Times New Roman" w:hAnsi="Times New Roman" w:cs="Times New Roman"/>
                <w:color w:val="auto"/>
                <w:sz w:val="21"/>
                <w:lang w:eastAsia="zh-CN"/>
              </w:rPr>
            </w:pPr>
          </w:p>
        </w:tc>
        <w:tc>
          <w:tcPr>
            <w:tcW w:w="508" w:type="pct"/>
            <w:vAlign w:val="center"/>
          </w:tcPr>
          <w:p w14:paraId="377ADFED">
            <w:pPr>
              <w:topLinePunct/>
              <w:adjustRightInd w:val="0"/>
              <w:snapToGrid w:val="0"/>
              <w:jc w:val="center"/>
              <w:rPr>
                <w:rFonts w:ascii="Times New Roman" w:hAnsi="Times New Roman" w:cs="Times New Roman"/>
                <w:color w:val="auto"/>
                <w:sz w:val="21"/>
                <w:lang w:eastAsia="zh-CN"/>
              </w:rPr>
            </w:pPr>
          </w:p>
        </w:tc>
        <w:tc>
          <w:tcPr>
            <w:tcW w:w="363" w:type="pct"/>
            <w:vAlign w:val="center"/>
          </w:tcPr>
          <w:p w14:paraId="7FED467C">
            <w:pPr>
              <w:topLinePunct/>
              <w:adjustRightInd w:val="0"/>
              <w:snapToGrid w:val="0"/>
              <w:jc w:val="center"/>
              <w:rPr>
                <w:rFonts w:ascii="Times New Roman" w:hAnsi="Times New Roman" w:cs="Times New Roman"/>
                <w:color w:val="auto"/>
                <w:sz w:val="21"/>
                <w:lang w:eastAsia="zh-CN"/>
              </w:rPr>
            </w:pPr>
          </w:p>
        </w:tc>
        <w:tc>
          <w:tcPr>
            <w:tcW w:w="726" w:type="pct"/>
            <w:vAlign w:val="center"/>
          </w:tcPr>
          <w:p w14:paraId="4CB5F683">
            <w:pPr>
              <w:topLinePunct/>
              <w:adjustRightInd w:val="0"/>
              <w:snapToGrid w:val="0"/>
              <w:jc w:val="center"/>
              <w:rPr>
                <w:rFonts w:ascii="Times New Roman" w:hAnsi="Times New Roman" w:cs="Times New Roman"/>
                <w:color w:val="auto"/>
                <w:sz w:val="21"/>
                <w:lang w:eastAsia="zh-CN"/>
              </w:rPr>
            </w:pPr>
          </w:p>
        </w:tc>
        <w:tc>
          <w:tcPr>
            <w:tcW w:w="368" w:type="pct"/>
            <w:vAlign w:val="center"/>
          </w:tcPr>
          <w:p w14:paraId="7BBED5FB">
            <w:pPr>
              <w:topLinePunct/>
              <w:adjustRightInd w:val="0"/>
              <w:snapToGrid w:val="0"/>
              <w:jc w:val="center"/>
              <w:rPr>
                <w:rFonts w:ascii="Times New Roman" w:hAnsi="Times New Roman" w:cs="Times New Roman"/>
                <w:color w:val="auto"/>
                <w:sz w:val="21"/>
                <w:lang w:eastAsia="zh-CN"/>
              </w:rPr>
            </w:pPr>
          </w:p>
        </w:tc>
        <w:tc>
          <w:tcPr>
            <w:tcW w:w="709" w:type="pct"/>
            <w:vMerge w:val="continue"/>
            <w:vAlign w:val="center"/>
          </w:tcPr>
          <w:p w14:paraId="6323E894">
            <w:pPr>
              <w:adjustRightInd w:val="0"/>
              <w:snapToGrid w:val="0"/>
              <w:jc w:val="center"/>
              <w:rPr>
                <w:rFonts w:ascii="Times New Roman" w:hAnsi="Times New Roman" w:cs="Times New Roman"/>
                <w:color w:val="000000" w:themeColor="text1"/>
                <w:sz w:val="21"/>
                <w14:textFill>
                  <w14:solidFill>
                    <w14:schemeClr w14:val="tx1"/>
                  </w14:solidFill>
                </w14:textFill>
              </w:rPr>
            </w:pPr>
          </w:p>
        </w:tc>
      </w:tr>
      <w:tr w14:paraId="456F3BA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289" w:type="pct"/>
            <w:shd w:val="clear" w:color="auto" w:fill="auto"/>
            <w:vAlign w:val="center"/>
          </w:tcPr>
          <w:p w14:paraId="3E1E76A0">
            <w:pPr>
              <w:topLinePunct/>
              <w:adjustRightInd w:val="0"/>
              <w:snapToGrid w:val="0"/>
              <w:jc w:val="center"/>
              <w:rPr>
                <w:rFonts w:ascii="Times New Roman" w:hAnsi="Times New Roman" w:eastAsia="宋体" w:cs="Times New Roman"/>
                <w:snapToGrid w:val="0"/>
                <w:color w:val="000000" w:themeColor="text1"/>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3</w:t>
            </w:r>
          </w:p>
        </w:tc>
        <w:tc>
          <w:tcPr>
            <w:tcW w:w="510" w:type="pct"/>
            <w:shd w:val="clear" w:color="auto" w:fill="auto"/>
            <w:vAlign w:val="center"/>
          </w:tcPr>
          <w:p w14:paraId="24DAFB13">
            <w:pPr>
              <w:topLinePunct/>
              <w:adjustRightInd w:val="0"/>
              <w:snapToGrid w:val="0"/>
              <w:jc w:val="center"/>
              <w:rPr>
                <w:rFonts w:hint="eastAsia" w:ascii="Times New Roman" w:hAnsi="Times New Roman" w:eastAsia="宋体" w:cs="Times New Roman"/>
                <w:snapToGrid w:val="0"/>
                <w:color w:val="000000" w:themeColor="text1"/>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废油桶</w:t>
            </w:r>
          </w:p>
        </w:tc>
        <w:tc>
          <w:tcPr>
            <w:tcW w:w="435" w:type="pct"/>
            <w:shd w:val="clear" w:color="auto" w:fill="auto"/>
            <w:vAlign w:val="center"/>
          </w:tcPr>
          <w:p w14:paraId="762670A9">
            <w:pPr>
              <w:topLinePunct/>
              <w:adjustRightInd w:val="0"/>
              <w:snapToGrid w:val="0"/>
              <w:jc w:val="center"/>
              <w:rPr>
                <w:rFonts w:ascii="Times New Roman" w:hAnsi="Times New Roman" w:eastAsia="宋体" w:cs="Times New Roman"/>
                <w:snapToGrid w:val="0"/>
                <w:color w:val="000000" w:themeColor="text1"/>
                <w:sz w:val="21"/>
                <w:szCs w:val="21"/>
                <w:lang w:val="en-US" w:eastAsia="zh-CN" w:bidi="ar-SA"/>
                <w14:textFill>
                  <w14:solidFill>
                    <w14:schemeClr w14:val="tx1"/>
                  </w14:solidFill>
                </w14:textFill>
              </w:rPr>
            </w:pPr>
          </w:p>
        </w:tc>
        <w:tc>
          <w:tcPr>
            <w:tcW w:w="579" w:type="pct"/>
            <w:shd w:val="clear" w:color="auto" w:fill="auto"/>
            <w:vAlign w:val="center"/>
          </w:tcPr>
          <w:p w14:paraId="6FB21273">
            <w:pPr>
              <w:topLinePunct/>
              <w:adjustRightInd w:val="0"/>
              <w:snapToGrid w:val="0"/>
              <w:jc w:val="center"/>
              <w:rPr>
                <w:rFonts w:ascii="Times New Roman" w:hAnsi="Times New Roman" w:eastAsia="宋体" w:cs="Times New Roman"/>
                <w:snapToGrid w:val="0"/>
                <w:color w:val="000000" w:themeColor="text1"/>
                <w:sz w:val="21"/>
                <w:szCs w:val="21"/>
                <w:lang w:val="en-US" w:eastAsia="zh-CN" w:bidi="ar-SA"/>
                <w14:textFill>
                  <w14:solidFill>
                    <w14:schemeClr w14:val="tx1"/>
                  </w14:solidFill>
                </w14:textFill>
              </w:rPr>
            </w:pPr>
          </w:p>
        </w:tc>
        <w:tc>
          <w:tcPr>
            <w:tcW w:w="507" w:type="pct"/>
            <w:shd w:val="clear" w:color="auto" w:fill="auto"/>
            <w:vAlign w:val="center"/>
          </w:tcPr>
          <w:p w14:paraId="616D48B9">
            <w:pPr>
              <w:topLinePunct/>
              <w:adjustRightInd w:val="0"/>
              <w:snapToGrid w:val="0"/>
              <w:jc w:val="center"/>
              <w:rPr>
                <w:rFonts w:hint="eastAsia" w:ascii="Times New Roman" w:hAnsi="Times New Roman" w:eastAsia="宋体" w:cs="Times New Roman"/>
                <w:snapToGrid w:val="0"/>
                <w:color w:val="000000" w:themeColor="text1"/>
                <w:sz w:val="21"/>
                <w:szCs w:val="21"/>
                <w:lang w:val="en-US" w:eastAsia="zh-CN" w:bidi="ar-SA"/>
                <w14:textFill>
                  <w14:solidFill>
                    <w14:schemeClr w14:val="tx1"/>
                  </w14:solidFill>
                </w14:textFill>
              </w:rPr>
            </w:pPr>
          </w:p>
        </w:tc>
        <w:tc>
          <w:tcPr>
            <w:tcW w:w="508" w:type="pct"/>
            <w:shd w:val="clear" w:color="auto" w:fill="auto"/>
            <w:vAlign w:val="center"/>
          </w:tcPr>
          <w:p w14:paraId="4B2C7F36">
            <w:pPr>
              <w:topLinePunct/>
              <w:adjustRightInd w:val="0"/>
              <w:snapToGrid w:val="0"/>
              <w:jc w:val="center"/>
              <w:rPr>
                <w:rFonts w:hint="eastAsia" w:ascii="Times New Roman" w:hAnsi="Times New Roman" w:eastAsia="宋体" w:cs="Times New Roman"/>
                <w:snapToGrid w:val="0"/>
                <w:color w:val="000000" w:themeColor="text1"/>
                <w:sz w:val="21"/>
                <w:szCs w:val="21"/>
                <w:lang w:val="en-US" w:eastAsia="zh-CN" w:bidi="ar-SA"/>
                <w14:textFill>
                  <w14:solidFill>
                    <w14:schemeClr w14:val="tx1"/>
                  </w14:solidFill>
                </w14:textFill>
              </w:rPr>
            </w:pPr>
          </w:p>
        </w:tc>
        <w:tc>
          <w:tcPr>
            <w:tcW w:w="363" w:type="pct"/>
            <w:shd w:val="clear" w:color="auto" w:fill="auto"/>
            <w:vAlign w:val="center"/>
          </w:tcPr>
          <w:p w14:paraId="45B0A6E7">
            <w:pPr>
              <w:topLinePunct/>
              <w:adjustRightInd w:val="0"/>
              <w:snapToGrid w:val="0"/>
              <w:jc w:val="center"/>
              <w:rPr>
                <w:rFonts w:ascii="Times New Roman" w:hAnsi="Times New Roman" w:eastAsia="宋体" w:cs="Times New Roman"/>
                <w:snapToGrid w:val="0"/>
                <w:color w:val="000000" w:themeColor="text1"/>
                <w:sz w:val="21"/>
                <w:szCs w:val="21"/>
                <w:lang w:val="en-US" w:eastAsia="zh-CN" w:bidi="ar-SA"/>
                <w14:textFill>
                  <w14:solidFill>
                    <w14:schemeClr w14:val="tx1"/>
                  </w14:solidFill>
                </w14:textFill>
              </w:rPr>
            </w:pPr>
          </w:p>
        </w:tc>
        <w:tc>
          <w:tcPr>
            <w:tcW w:w="726" w:type="pct"/>
            <w:shd w:val="clear" w:color="auto" w:fill="auto"/>
            <w:vAlign w:val="center"/>
          </w:tcPr>
          <w:p w14:paraId="57E77C3D">
            <w:pPr>
              <w:topLinePunct/>
              <w:adjustRightInd w:val="0"/>
              <w:snapToGrid w:val="0"/>
              <w:jc w:val="center"/>
              <w:rPr>
                <w:rFonts w:hint="eastAsia" w:ascii="Times New Roman" w:hAnsi="Times New Roman" w:eastAsia="宋体" w:cs="Times New Roman"/>
                <w:snapToGrid w:val="0"/>
                <w:color w:val="000000" w:themeColor="text1"/>
                <w:sz w:val="21"/>
                <w:szCs w:val="21"/>
                <w:lang w:val="en-US" w:eastAsia="zh-CN" w:bidi="ar-SA"/>
                <w14:textFill>
                  <w14:solidFill>
                    <w14:schemeClr w14:val="tx1"/>
                  </w14:solidFill>
                </w14:textFill>
              </w:rPr>
            </w:pPr>
          </w:p>
        </w:tc>
        <w:tc>
          <w:tcPr>
            <w:tcW w:w="368" w:type="pct"/>
            <w:shd w:val="clear" w:color="auto" w:fill="auto"/>
            <w:vAlign w:val="center"/>
          </w:tcPr>
          <w:p w14:paraId="57A94A0E">
            <w:pPr>
              <w:topLinePunct/>
              <w:adjustRightInd w:val="0"/>
              <w:snapToGrid w:val="0"/>
              <w:jc w:val="center"/>
              <w:rPr>
                <w:rFonts w:ascii="Times New Roman" w:hAnsi="Times New Roman" w:eastAsia="宋体" w:cs="Times New Roman"/>
                <w:snapToGrid w:val="0"/>
                <w:color w:val="000000" w:themeColor="text1"/>
                <w:sz w:val="21"/>
                <w:szCs w:val="21"/>
                <w:lang w:val="en-US" w:eastAsia="zh-CN" w:bidi="ar-SA"/>
                <w14:textFill>
                  <w14:solidFill>
                    <w14:schemeClr w14:val="tx1"/>
                  </w14:solidFill>
                </w14:textFill>
              </w:rPr>
            </w:pPr>
          </w:p>
        </w:tc>
        <w:tc>
          <w:tcPr>
            <w:tcW w:w="709" w:type="pct"/>
            <w:vMerge w:val="continue"/>
            <w:vAlign w:val="center"/>
          </w:tcPr>
          <w:p w14:paraId="7ED004AF">
            <w:pPr>
              <w:adjustRightInd w:val="0"/>
              <w:snapToGrid w:val="0"/>
              <w:jc w:val="center"/>
              <w:rPr>
                <w:rFonts w:ascii="Times New Roman" w:hAnsi="Times New Roman" w:cs="Times New Roman"/>
                <w:color w:val="000000" w:themeColor="text1"/>
                <w:sz w:val="21"/>
                <w14:textFill>
                  <w14:solidFill>
                    <w14:schemeClr w14:val="tx1"/>
                  </w14:solidFill>
                </w14:textFill>
              </w:rPr>
            </w:pPr>
          </w:p>
        </w:tc>
      </w:tr>
      <w:tr w14:paraId="43AF8BE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289" w:type="pct"/>
            <w:vAlign w:val="center"/>
          </w:tcPr>
          <w:p w14:paraId="74D95767">
            <w:pPr>
              <w:topLinePunct/>
              <w:adjustRightInd w:val="0"/>
              <w:snapToGrid w:val="0"/>
              <w:jc w:val="center"/>
              <w:rPr>
                <w:rFonts w:hint="default" w:ascii="Times New Roman" w:hAnsi="Times New Roman" w:cs="Times New Roman"/>
                <w:color w:val="000000" w:themeColor="text1"/>
                <w:sz w:val="21"/>
                <w:lang w:val="en-US" w:eastAsia="zh-CN"/>
                <w14:textFill>
                  <w14:solidFill>
                    <w14:schemeClr w14:val="tx1"/>
                  </w14:solidFill>
                </w14:textFill>
              </w:rPr>
            </w:pPr>
            <w:r>
              <w:rPr>
                <w:rFonts w:hint="eastAsia" w:ascii="Times New Roman" w:hAnsi="Times New Roman" w:cs="Times New Roman"/>
                <w:color w:val="000000" w:themeColor="text1"/>
                <w:sz w:val="21"/>
                <w:lang w:val="en-US" w:eastAsia="zh-CN"/>
                <w14:textFill>
                  <w14:solidFill>
                    <w14:schemeClr w14:val="tx1"/>
                  </w14:solidFill>
                </w14:textFill>
              </w:rPr>
              <w:t>4</w:t>
            </w:r>
          </w:p>
        </w:tc>
        <w:tc>
          <w:tcPr>
            <w:tcW w:w="510" w:type="pct"/>
            <w:shd w:val="clear" w:color="auto" w:fill="auto"/>
            <w:vAlign w:val="center"/>
          </w:tcPr>
          <w:p w14:paraId="50FB109D">
            <w:pPr>
              <w:topLinePunct/>
              <w:adjustRightInd w:val="0"/>
              <w:snapToGrid w:val="0"/>
              <w:jc w:val="center"/>
              <w:rPr>
                <w:rFonts w:hint="eastAsia" w:ascii="Times New Roman" w:hAnsi="Times New Roman" w:eastAsia="宋体" w:cs="Times New Roman"/>
                <w:snapToGrid w:val="0"/>
                <w:color w:val="000000" w:themeColor="text1"/>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废</w:t>
            </w:r>
            <w:r>
              <w:rPr>
                <w:rFonts w:hint="eastAsia" w:ascii="Times New Roman" w:hAnsi="Times New Roman" w:cs="Times New Roman"/>
                <w:color w:val="000000" w:themeColor="text1"/>
                <w:sz w:val="21"/>
                <w:lang w:val="en-US" w:eastAsia="zh-CN"/>
                <w14:textFill>
                  <w14:solidFill>
                    <w14:schemeClr w14:val="tx1"/>
                  </w14:solidFill>
                </w14:textFill>
              </w:rPr>
              <w:t>漆</w:t>
            </w:r>
            <w:r>
              <w:rPr>
                <w:rFonts w:hint="eastAsia" w:ascii="Times New Roman" w:hAnsi="Times New Roman" w:cs="Times New Roman"/>
                <w:color w:val="000000" w:themeColor="text1"/>
                <w:sz w:val="21"/>
                <w:lang w:eastAsia="zh-CN"/>
                <w14:textFill>
                  <w14:solidFill>
                    <w14:schemeClr w14:val="tx1"/>
                  </w14:solidFill>
                </w14:textFill>
              </w:rPr>
              <w:t>桶</w:t>
            </w:r>
          </w:p>
        </w:tc>
        <w:tc>
          <w:tcPr>
            <w:tcW w:w="435" w:type="pct"/>
            <w:shd w:val="clear" w:color="auto" w:fill="auto"/>
            <w:vAlign w:val="center"/>
          </w:tcPr>
          <w:p w14:paraId="4AB93D29">
            <w:pPr>
              <w:topLinePunct/>
              <w:adjustRightInd w:val="0"/>
              <w:snapToGrid w:val="0"/>
              <w:jc w:val="center"/>
              <w:rPr>
                <w:rFonts w:ascii="Times New Roman" w:hAnsi="Times New Roman" w:eastAsia="宋体" w:cs="Times New Roman"/>
                <w:snapToGrid w:val="0"/>
                <w:color w:val="000000" w:themeColor="text1"/>
                <w:sz w:val="21"/>
                <w:szCs w:val="21"/>
                <w:lang w:val="en-US" w:eastAsia="zh-CN" w:bidi="ar-SA"/>
                <w14:textFill>
                  <w14:solidFill>
                    <w14:schemeClr w14:val="tx1"/>
                  </w14:solidFill>
                </w14:textFill>
              </w:rPr>
            </w:pPr>
          </w:p>
        </w:tc>
        <w:tc>
          <w:tcPr>
            <w:tcW w:w="579" w:type="pct"/>
            <w:shd w:val="clear" w:color="auto" w:fill="auto"/>
            <w:vAlign w:val="center"/>
          </w:tcPr>
          <w:p w14:paraId="3F6C3DD6">
            <w:pPr>
              <w:topLinePunct/>
              <w:adjustRightInd w:val="0"/>
              <w:snapToGrid w:val="0"/>
              <w:jc w:val="center"/>
              <w:rPr>
                <w:rFonts w:ascii="Times New Roman" w:hAnsi="Times New Roman" w:eastAsia="宋体" w:cs="Times New Roman"/>
                <w:snapToGrid w:val="0"/>
                <w:color w:val="000000" w:themeColor="text1"/>
                <w:sz w:val="21"/>
                <w:szCs w:val="21"/>
                <w:lang w:val="en-US" w:eastAsia="zh-CN" w:bidi="ar-SA"/>
                <w14:textFill>
                  <w14:solidFill>
                    <w14:schemeClr w14:val="tx1"/>
                  </w14:solidFill>
                </w14:textFill>
              </w:rPr>
            </w:pPr>
          </w:p>
        </w:tc>
        <w:tc>
          <w:tcPr>
            <w:tcW w:w="507" w:type="pct"/>
            <w:shd w:val="clear" w:color="auto" w:fill="auto"/>
            <w:vAlign w:val="center"/>
          </w:tcPr>
          <w:p w14:paraId="368D22D2">
            <w:pPr>
              <w:topLinePunct/>
              <w:adjustRightInd w:val="0"/>
              <w:snapToGrid w:val="0"/>
              <w:jc w:val="center"/>
              <w:rPr>
                <w:rFonts w:hint="default" w:ascii="Times New Roman" w:hAnsi="Times New Roman" w:eastAsia="宋体" w:cs="Times New Roman"/>
                <w:snapToGrid w:val="0"/>
                <w:color w:val="000000" w:themeColor="text1"/>
                <w:sz w:val="21"/>
                <w:szCs w:val="21"/>
                <w:lang w:val="en-US" w:eastAsia="zh-CN" w:bidi="ar-SA"/>
                <w14:textFill>
                  <w14:solidFill>
                    <w14:schemeClr w14:val="tx1"/>
                  </w14:solidFill>
                </w14:textFill>
              </w:rPr>
            </w:pPr>
          </w:p>
        </w:tc>
        <w:tc>
          <w:tcPr>
            <w:tcW w:w="508" w:type="pct"/>
            <w:shd w:val="clear" w:color="auto" w:fill="auto"/>
            <w:vAlign w:val="center"/>
          </w:tcPr>
          <w:p w14:paraId="5F7D913A">
            <w:pPr>
              <w:topLinePunct/>
              <w:adjustRightInd w:val="0"/>
              <w:snapToGrid w:val="0"/>
              <w:jc w:val="center"/>
              <w:rPr>
                <w:rFonts w:hint="default" w:ascii="Times New Roman" w:hAnsi="Times New Roman" w:eastAsia="宋体" w:cs="Times New Roman"/>
                <w:snapToGrid w:val="0"/>
                <w:color w:val="000000" w:themeColor="text1"/>
                <w:sz w:val="21"/>
                <w:szCs w:val="21"/>
                <w:lang w:val="en-US" w:eastAsia="zh-CN" w:bidi="ar-SA"/>
                <w14:textFill>
                  <w14:solidFill>
                    <w14:schemeClr w14:val="tx1"/>
                  </w14:solidFill>
                </w14:textFill>
              </w:rPr>
            </w:pPr>
          </w:p>
        </w:tc>
        <w:tc>
          <w:tcPr>
            <w:tcW w:w="363" w:type="pct"/>
            <w:shd w:val="clear" w:color="auto" w:fill="auto"/>
            <w:vAlign w:val="center"/>
          </w:tcPr>
          <w:p w14:paraId="6F394E16">
            <w:pPr>
              <w:topLinePunct/>
              <w:adjustRightInd w:val="0"/>
              <w:snapToGrid w:val="0"/>
              <w:jc w:val="center"/>
              <w:rPr>
                <w:rFonts w:ascii="Times New Roman" w:hAnsi="Times New Roman" w:eastAsia="宋体" w:cs="Times New Roman"/>
                <w:snapToGrid w:val="0"/>
                <w:color w:val="000000" w:themeColor="text1"/>
                <w:sz w:val="21"/>
                <w:szCs w:val="21"/>
                <w:lang w:val="en-US" w:eastAsia="zh-CN" w:bidi="ar-SA"/>
                <w14:textFill>
                  <w14:solidFill>
                    <w14:schemeClr w14:val="tx1"/>
                  </w14:solidFill>
                </w14:textFill>
              </w:rPr>
            </w:pPr>
          </w:p>
        </w:tc>
        <w:tc>
          <w:tcPr>
            <w:tcW w:w="726" w:type="pct"/>
            <w:shd w:val="clear" w:color="auto" w:fill="auto"/>
            <w:vAlign w:val="center"/>
          </w:tcPr>
          <w:p w14:paraId="0475910A">
            <w:pPr>
              <w:topLinePunct/>
              <w:adjustRightInd w:val="0"/>
              <w:snapToGrid w:val="0"/>
              <w:jc w:val="center"/>
              <w:rPr>
                <w:rFonts w:hint="eastAsia" w:ascii="Times New Roman" w:hAnsi="Times New Roman" w:eastAsia="宋体" w:cs="Times New Roman"/>
                <w:snapToGrid w:val="0"/>
                <w:color w:val="000000" w:themeColor="text1"/>
                <w:sz w:val="21"/>
                <w:szCs w:val="21"/>
                <w:lang w:val="en-US" w:eastAsia="zh-CN" w:bidi="ar-SA"/>
                <w14:textFill>
                  <w14:solidFill>
                    <w14:schemeClr w14:val="tx1"/>
                  </w14:solidFill>
                </w14:textFill>
              </w:rPr>
            </w:pPr>
          </w:p>
        </w:tc>
        <w:tc>
          <w:tcPr>
            <w:tcW w:w="368" w:type="pct"/>
            <w:shd w:val="clear" w:color="auto" w:fill="auto"/>
            <w:vAlign w:val="center"/>
          </w:tcPr>
          <w:p w14:paraId="2D49E79A">
            <w:pPr>
              <w:topLinePunct/>
              <w:adjustRightInd w:val="0"/>
              <w:snapToGrid w:val="0"/>
              <w:jc w:val="center"/>
              <w:rPr>
                <w:rFonts w:ascii="Times New Roman" w:hAnsi="Times New Roman" w:eastAsia="宋体" w:cs="Times New Roman"/>
                <w:snapToGrid w:val="0"/>
                <w:color w:val="000000" w:themeColor="text1"/>
                <w:sz w:val="21"/>
                <w:szCs w:val="21"/>
                <w:lang w:val="en-US" w:eastAsia="zh-CN" w:bidi="ar-SA"/>
                <w14:textFill>
                  <w14:solidFill>
                    <w14:schemeClr w14:val="tx1"/>
                  </w14:solidFill>
                </w14:textFill>
              </w:rPr>
            </w:pPr>
          </w:p>
        </w:tc>
        <w:tc>
          <w:tcPr>
            <w:tcW w:w="709" w:type="pct"/>
            <w:vMerge w:val="continue"/>
            <w:vAlign w:val="center"/>
          </w:tcPr>
          <w:p w14:paraId="0746D6EA">
            <w:pPr>
              <w:adjustRightInd w:val="0"/>
              <w:snapToGrid w:val="0"/>
              <w:jc w:val="center"/>
              <w:rPr>
                <w:rFonts w:ascii="Times New Roman" w:hAnsi="Times New Roman" w:cs="Times New Roman"/>
                <w:color w:val="000000" w:themeColor="text1"/>
                <w:sz w:val="21"/>
                <w14:textFill>
                  <w14:solidFill>
                    <w14:schemeClr w14:val="tx1"/>
                  </w14:solidFill>
                </w14:textFill>
              </w:rPr>
            </w:pPr>
          </w:p>
        </w:tc>
      </w:tr>
      <w:tr w14:paraId="2E8E4F2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289" w:type="pct"/>
            <w:vAlign w:val="center"/>
          </w:tcPr>
          <w:p w14:paraId="2D7BC92A">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val="en-US" w:eastAsia="zh-CN"/>
              </w:rPr>
              <w:t>5</w:t>
            </w:r>
          </w:p>
        </w:tc>
        <w:tc>
          <w:tcPr>
            <w:tcW w:w="510" w:type="pct"/>
            <w:vAlign w:val="center"/>
          </w:tcPr>
          <w:p w14:paraId="00E12202">
            <w:pPr>
              <w:topLinePunct/>
              <w:adjustRightInd w:val="0"/>
              <w:snapToGrid w:val="0"/>
              <w:jc w:val="center"/>
              <w:rPr>
                <w:rFonts w:ascii="Times New Roman" w:hAnsi="Times New Roman" w:cs="Times New Roman"/>
                <w:bCs/>
                <w:color w:val="auto"/>
                <w:sz w:val="21"/>
                <w:lang w:eastAsia="zh-CN"/>
              </w:rPr>
            </w:pPr>
            <w:r>
              <w:rPr>
                <w:rFonts w:hint="eastAsia" w:ascii="Times New Roman" w:hAnsi="Times New Roman" w:cs="Times New Roman"/>
                <w:color w:val="auto"/>
                <w:sz w:val="21"/>
                <w:lang w:eastAsia="zh-CN"/>
              </w:rPr>
              <w:t>污泥</w:t>
            </w:r>
          </w:p>
        </w:tc>
        <w:tc>
          <w:tcPr>
            <w:tcW w:w="435" w:type="pct"/>
            <w:vAlign w:val="center"/>
          </w:tcPr>
          <w:p w14:paraId="57E260B8">
            <w:pPr>
              <w:topLinePunct/>
              <w:adjustRightInd w:val="0"/>
              <w:snapToGrid w:val="0"/>
              <w:jc w:val="center"/>
              <w:rPr>
                <w:rFonts w:ascii="Times New Roman" w:hAnsi="Times New Roman" w:cs="Times New Roman"/>
                <w:color w:val="auto"/>
                <w:sz w:val="21"/>
              </w:rPr>
            </w:pPr>
          </w:p>
        </w:tc>
        <w:tc>
          <w:tcPr>
            <w:tcW w:w="579" w:type="pct"/>
            <w:vAlign w:val="center"/>
          </w:tcPr>
          <w:p w14:paraId="22A56350">
            <w:pPr>
              <w:topLinePunct/>
              <w:adjustRightInd w:val="0"/>
              <w:snapToGrid w:val="0"/>
              <w:jc w:val="center"/>
              <w:rPr>
                <w:rFonts w:ascii="Times New Roman" w:hAnsi="Times New Roman" w:cs="Times New Roman"/>
                <w:color w:val="auto"/>
                <w:sz w:val="21"/>
                <w:lang w:eastAsia="zh-CN"/>
              </w:rPr>
            </w:pPr>
          </w:p>
        </w:tc>
        <w:tc>
          <w:tcPr>
            <w:tcW w:w="507" w:type="pct"/>
            <w:vAlign w:val="center"/>
          </w:tcPr>
          <w:p w14:paraId="3DDFCBA7">
            <w:pPr>
              <w:topLinePunct/>
              <w:adjustRightInd w:val="0"/>
              <w:snapToGrid w:val="0"/>
              <w:jc w:val="center"/>
              <w:rPr>
                <w:rFonts w:ascii="Times New Roman" w:hAnsi="Times New Roman" w:cs="Times New Roman"/>
                <w:color w:val="auto"/>
                <w:sz w:val="21"/>
                <w:lang w:eastAsia="zh-CN"/>
              </w:rPr>
            </w:pPr>
          </w:p>
        </w:tc>
        <w:tc>
          <w:tcPr>
            <w:tcW w:w="508" w:type="pct"/>
            <w:vAlign w:val="center"/>
          </w:tcPr>
          <w:p w14:paraId="4D94AC78">
            <w:pPr>
              <w:topLinePunct/>
              <w:adjustRightInd w:val="0"/>
              <w:snapToGrid w:val="0"/>
              <w:jc w:val="center"/>
              <w:rPr>
                <w:rFonts w:ascii="Times New Roman" w:hAnsi="Times New Roman" w:cs="Times New Roman"/>
                <w:color w:val="auto"/>
                <w:sz w:val="21"/>
                <w:lang w:eastAsia="zh-CN"/>
              </w:rPr>
            </w:pPr>
          </w:p>
        </w:tc>
        <w:tc>
          <w:tcPr>
            <w:tcW w:w="363" w:type="pct"/>
            <w:vAlign w:val="center"/>
          </w:tcPr>
          <w:p w14:paraId="5BA95986">
            <w:pPr>
              <w:topLinePunct/>
              <w:adjustRightInd w:val="0"/>
              <w:snapToGrid w:val="0"/>
              <w:jc w:val="center"/>
              <w:rPr>
                <w:rFonts w:ascii="Times New Roman" w:hAnsi="Times New Roman" w:cs="Times New Roman"/>
                <w:color w:val="auto"/>
                <w:sz w:val="21"/>
                <w:lang w:eastAsia="zh-CN"/>
              </w:rPr>
            </w:pPr>
          </w:p>
        </w:tc>
        <w:tc>
          <w:tcPr>
            <w:tcW w:w="726" w:type="pct"/>
            <w:vAlign w:val="center"/>
          </w:tcPr>
          <w:p w14:paraId="0ADC5308">
            <w:pPr>
              <w:topLinePunct/>
              <w:adjustRightInd w:val="0"/>
              <w:snapToGrid w:val="0"/>
              <w:jc w:val="center"/>
              <w:rPr>
                <w:rFonts w:ascii="Times New Roman" w:hAnsi="Times New Roman" w:cs="Times New Roman"/>
                <w:color w:val="auto"/>
                <w:sz w:val="21"/>
                <w:lang w:eastAsia="zh-CN"/>
              </w:rPr>
            </w:pPr>
          </w:p>
        </w:tc>
        <w:tc>
          <w:tcPr>
            <w:tcW w:w="368" w:type="pct"/>
            <w:vAlign w:val="center"/>
          </w:tcPr>
          <w:p w14:paraId="416A1C38">
            <w:pPr>
              <w:topLinePunct/>
              <w:adjustRightInd w:val="0"/>
              <w:snapToGrid w:val="0"/>
              <w:jc w:val="center"/>
              <w:rPr>
                <w:rFonts w:ascii="Times New Roman" w:hAnsi="Times New Roman" w:cs="Times New Roman"/>
                <w:color w:val="auto"/>
                <w:sz w:val="21"/>
                <w:lang w:eastAsia="zh-CN"/>
              </w:rPr>
            </w:pPr>
          </w:p>
        </w:tc>
        <w:tc>
          <w:tcPr>
            <w:tcW w:w="709" w:type="pct"/>
            <w:vAlign w:val="center"/>
          </w:tcPr>
          <w:p w14:paraId="1EC960AB">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委托</w:t>
            </w:r>
            <w:r>
              <w:rPr>
                <w:rFonts w:hint="eastAsia" w:ascii="Times New Roman" w:hAnsi="Times New Roman" w:cs="Times New Roman"/>
                <w:bCs/>
                <w:color w:val="auto"/>
                <w:sz w:val="21"/>
                <w:lang w:eastAsia="zh-CN"/>
              </w:rPr>
              <w:t>巢湖市爱华环保科技有限公司</w:t>
            </w:r>
            <w:r>
              <w:rPr>
                <w:rFonts w:hint="eastAsia" w:ascii="Times New Roman" w:hAnsi="Times New Roman" w:cs="Times New Roman"/>
                <w:color w:val="auto"/>
                <w:sz w:val="21"/>
                <w:lang w:eastAsia="zh-CN"/>
              </w:rPr>
              <w:t>处理</w:t>
            </w:r>
          </w:p>
        </w:tc>
      </w:tr>
      <w:tr w14:paraId="45BADEB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289" w:type="pct"/>
            <w:vAlign w:val="center"/>
          </w:tcPr>
          <w:p w14:paraId="7C77433F">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val="en-US" w:eastAsia="zh-CN"/>
              </w:rPr>
              <w:t>6</w:t>
            </w:r>
          </w:p>
        </w:tc>
        <w:tc>
          <w:tcPr>
            <w:tcW w:w="510" w:type="pct"/>
            <w:vAlign w:val="center"/>
          </w:tcPr>
          <w:p w14:paraId="065BC0FA">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生活垃圾</w:t>
            </w:r>
          </w:p>
        </w:tc>
        <w:tc>
          <w:tcPr>
            <w:tcW w:w="435" w:type="pct"/>
            <w:vAlign w:val="center"/>
          </w:tcPr>
          <w:p w14:paraId="0906D851">
            <w:pPr>
              <w:topLinePunct/>
              <w:adjustRightInd w:val="0"/>
              <w:snapToGrid w:val="0"/>
              <w:jc w:val="center"/>
              <w:rPr>
                <w:rFonts w:ascii="Times New Roman" w:hAnsi="Times New Roman" w:cs="Times New Roman"/>
                <w:color w:val="auto"/>
                <w:sz w:val="21"/>
                <w:lang w:eastAsia="zh-CN"/>
              </w:rPr>
            </w:pPr>
          </w:p>
        </w:tc>
        <w:tc>
          <w:tcPr>
            <w:tcW w:w="579" w:type="pct"/>
            <w:vAlign w:val="center"/>
          </w:tcPr>
          <w:p w14:paraId="66A55651">
            <w:pPr>
              <w:topLinePunct/>
              <w:adjustRightInd w:val="0"/>
              <w:snapToGrid w:val="0"/>
              <w:jc w:val="center"/>
              <w:rPr>
                <w:rFonts w:ascii="Times New Roman" w:hAnsi="Times New Roman" w:cs="Times New Roman"/>
                <w:color w:val="auto"/>
                <w:sz w:val="21"/>
                <w:lang w:eastAsia="zh-CN"/>
              </w:rPr>
            </w:pPr>
          </w:p>
        </w:tc>
        <w:tc>
          <w:tcPr>
            <w:tcW w:w="507" w:type="pct"/>
            <w:vAlign w:val="center"/>
          </w:tcPr>
          <w:p w14:paraId="6FED58C9">
            <w:pPr>
              <w:topLinePunct/>
              <w:adjustRightInd w:val="0"/>
              <w:snapToGrid w:val="0"/>
              <w:jc w:val="center"/>
              <w:rPr>
                <w:rFonts w:ascii="Times New Roman" w:hAnsi="Times New Roman" w:cs="Times New Roman"/>
                <w:color w:val="auto"/>
                <w:sz w:val="21"/>
                <w:lang w:eastAsia="zh-CN"/>
              </w:rPr>
            </w:pPr>
          </w:p>
        </w:tc>
        <w:tc>
          <w:tcPr>
            <w:tcW w:w="508" w:type="pct"/>
            <w:vAlign w:val="center"/>
          </w:tcPr>
          <w:p w14:paraId="7F73FE6B">
            <w:pPr>
              <w:topLinePunct/>
              <w:adjustRightInd w:val="0"/>
              <w:snapToGrid w:val="0"/>
              <w:jc w:val="center"/>
              <w:rPr>
                <w:rFonts w:ascii="Times New Roman" w:hAnsi="Times New Roman" w:cs="Times New Roman"/>
                <w:color w:val="auto"/>
                <w:sz w:val="21"/>
                <w:lang w:eastAsia="zh-CN"/>
              </w:rPr>
            </w:pPr>
          </w:p>
        </w:tc>
        <w:tc>
          <w:tcPr>
            <w:tcW w:w="363" w:type="pct"/>
            <w:vAlign w:val="center"/>
          </w:tcPr>
          <w:p w14:paraId="1FF44230">
            <w:pPr>
              <w:topLinePunct/>
              <w:adjustRightInd w:val="0"/>
              <w:snapToGrid w:val="0"/>
              <w:jc w:val="center"/>
              <w:rPr>
                <w:rFonts w:ascii="Times New Roman" w:hAnsi="Times New Roman" w:cs="Times New Roman"/>
                <w:color w:val="auto"/>
                <w:sz w:val="21"/>
                <w:lang w:eastAsia="zh-CN"/>
              </w:rPr>
            </w:pPr>
          </w:p>
        </w:tc>
        <w:tc>
          <w:tcPr>
            <w:tcW w:w="726" w:type="pct"/>
            <w:vAlign w:val="center"/>
          </w:tcPr>
          <w:p w14:paraId="789BF3E4">
            <w:pPr>
              <w:topLinePunct/>
              <w:adjustRightInd w:val="0"/>
              <w:snapToGrid w:val="0"/>
              <w:jc w:val="center"/>
              <w:rPr>
                <w:rFonts w:ascii="Times New Roman" w:hAnsi="Times New Roman" w:cs="Times New Roman"/>
                <w:color w:val="auto"/>
                <w:sz w:val="21"/>
                <w:lang w:eastAsia="zh-CN"/>
              </w:rPr>
            </w:pPr>
          </w:p>
        </w:tc>
        <w:tc>
          <w:tcPr>
            <w:tcW w:w="368" w:type="pct"/>
            <w:vAlign w:val="center"/>
          </w:tcPr>
          <w:p w14:paraId="11E86479">
            <w:pPr>
              <w:topLinePunct/>
              <w:adjustRightInd w:val="0"/>
              <w:snapToGrid w:val="0"/>
              <w:jc w:val="center"/>
              <w:rPr>
                <w:rFonts w:ascii="Times New Roman" w:hAnsi="Times New Roman" w:cs="Times New Roman"/>
                <w:color w:val="auto"/>
                <w:sz w:val="21"/>
                <w:lang w:eastAsia="zh-CN"/>
              </w:rPr>
            </w:pPr>
          </w:p>
        </w:tc>
        <w:tc>
          <w:tcPr>
            <w:tcW w:w="709" w:type="pct"/>
            <w:vAlign w:val="center"/>
          </w:tcPr>
          <w:p w14:paraId="1B632623">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环卫部门处理</w:t>
            </w:r>
          </w:p>
        </w:tc>
      </w:tr>
    </w:tbl>
    <w:p w14:paraId="69EE8CE0">
      <w:pPr>
        <w:spacing w:line="360" w:lineRule="auto"/>
        <w:rPr>
          <w:rFonts w:ascii="Times New Roman" w:hAnsi="Times New Roman" w:cs="Times New Roman"/>
          <w:color w:val="auto"/>
          <w:lang w:eastAsia="zh-CN"/>
        </w:rPr>
        <w:sectPr>
          <w:pgSz w:w="11906" w:h="16838"/>
          <w:pgMar w:top="1440" w:right="1080" w:bottom="1440" w:left="1080" w:header="851" w:footer="992" w:gutter="0"/>
          <w:cols w:space="720" w:num="1"/>
          <w:docGrid w:type="lines" w:linePitch="312" w:charSpace="0"/>
        </w:sectPr>
      </w:pPr>
    </w:p>
    <w:p w14:paraId="36D14554">
      <w:pPr>
        <w:spacing w:line="360" w:lineRule="auto"/>
        <w:ind w:firstLine="482"/>
        <w:outlineLvl w:val="2"/>
        <w:rPr>
          <w:rFonts w:ascii="Times New Roman" w:hAnsi="Times New Roman" w:cs="Times New Roman"/>
          <w:b/>
          <w:bCs/>
          <w:color w:val="auto"/>
          <w:lang w:eastAsia="zh-CN"/>
        </w:rPr>
      </w:pPr>
      <w:bookmarkStart w:id="898" w:name="_Toc237508293"/>
      <w:bookmarkStart w:id="899" w:name="_Toc203927002"/>
      <w:bookmarkStart w:id="900" w:name="_Toc236641311"/>
      <w:bookmarkStart w:id="901" w:name="_Toc231828580"/>
      <w:bookmarkStart w:id="902" w:name="_Toc204448468"/>
      <w:bookmarkStart w:id="903" w:name="_Toc221900840"/>
      <w:bookmarkStart w:id="904" w:name="_Toc175164275"/>
      <w:bookmarkStart w:id="905" w:name="_Toc217662673"/>
      <w:bookmarkStart w:id="906" w:name="_Toc225784058"/>
      <w:bookmarkStart w:id="907" w:name="_Toc176513011"/>
      <w:bookmarkStart w:id="908" w:name="_Toc236641828"/>
      <w:bookmarkStart w:id="909" w:name="_Toc172555653"/>
      <w:bookmarkStart w:id="910" w:name="_Toc173743384"/>
      <w:bookmarkStart w:id="911" w:name="_Toc178602351"/>
      <w:bookmarkStart w:id="912" w:name="_Toc224674697"/>
      <w:bookmarkStart w:id="913" w:name="_Toc218784283"/>
      <w:bookmarkStart w:id="914" w:name="_Toc223425058"/>
      <w:bookmarkStart w:id="915" w:name="_Toc12981"/>
      <w:bookmarkStart w:id="916" w:name="_Toc173740280"/>
      <w:bookmarkStart w:id="917" w:name="_Toc204515203"/>
      <w:r>
        <w:rPr>
          <w:rFonts w:ascii="Times New Roman" w:hAnsi="Times New Roman" w:cs="Times New Roman"/>
          <w:b/>
          <w:bCs/>
          <w:color w:val="auto"/>
          <w:lang w:eastAsia="zh-CN"/>
        </w:rPr>
        <w:t>4.3.4 噪声</w:t>
      </w:r>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p>
    <w:p w14:paraId="155D8434">
      <w:pPr>
        <w:spacing w:line="360" w:lineRule="auto"/>
        <w:ind w:firstLine="480"/>
        <w:jc w:val="both"/>
        <w:rPr>
          <w:rFonts w:ascii="Times New Roman" w:hAnsi="Times New Roman" w:cs="Times New Roman"/>
          <w:color w:val="auto"/>
          <w:lang w:eastAsia="zh-CN"/>
        </w:rPr>
      </w:pPr>
      <w:r>
        <w:rPr>
          <w:rFonts w:ascii="Times New Roman" w:hAnsi="Times New Roman" w:cs="Times New Roman"/>
          <w:color w:val="auto"/>
          <w:lang w:eastAsia="zh-CN"/>
        </w:rPr>
        <w:t>本项目噪声污染源主要包括生产线和辅助设备（风机、泵类），噪声值在</w:t>
      </w:r>
      <w:r>
        <w:rPr>
          <w:rFonts w:hint="eastAsia" w:ascii="Times New Roman" w:hAnsi="Times New Roman" w:cs="Times New Roman"/>
          <w:color w:val="auto"/>
          <w:lang w:eastAsia="zh-CN"/>
        </w:rPr>
        <w:t>80～</w:t>
      </w:r>
      <w:r>
        <w:rPr>
          <w:rFonts w:ascii="Times New Roman" w:hAnsi="Times New Roman" w:cs="Times New Roman"/>
          <w:color w:val="auto"/>
          <w:lang w:eastAsia="zh-CN"/>
        </w:rPr>
        <w:t>90dB之间，项目选用低噪声设备，采取基础减振、隔声、消声加强管理</w:t>
      </w:r>
      <w:r>
        <w:rPr>
          <w:rFonts w:hint="eastAsia" w:ascii="Times New Roman" w:hAnsi="Times New Roman" w:cs="Times New Roman"/>
          <w:color w:val="auto"/>
          <w:lang w:eastAsia="zh-CN"/>
        </w:rPr>
        <w:t>，</w:t>
      </w:r>
      <w:r>
        <w:rPr>
          <w:rFonts w:ascii="Times New Roman" w:hAnsi="Times New Roman" w:cs="Times New Roman"/>
          <w:color w:val="auto"/>
          <w:lang w:eastAsia="zh-CN"/>
        </w:rPr>
        <w:t>项目各种产噪设备噪声源强可见</w:t>
      </w:r>
      <w:r>
        <w:rPr>
          <w:rFonts w:hint="eastAsia" w:ascii="Times New Roman" w:hAnsi="Times New Roman" w:cs="Times New Roman"/>
          <w:color w:val="auto"/>
          <w:lang w:eastAsia="zh-CN"/>
        </w:rPr>
        <w:t>下表</w:t>
      </w:r>
      <w:r>
        <w:rPr>
          <w:rFonts w:ascii="Times New Roman" w:hAnsi="Times New Roman" w:cs="Times New Roman"/>
          <w:color w:val="auto"/>
          <w:lang w:eastAsia="zh-CN"/>
        </w:rPr>
        <w:t>。</w:t>
      </w:r>
    </w:p>
    <w:p w14:paraId="655431E7">
      <w:pPr>
        <w:spacing w:line="360" w:lineRule="auto"/>
        <w:jc w:val="center"/>
        <w:rPr>
          <w:rFonts w:ascii="Times New Roman" w:hAnsi="Times New Roman" w:cs="Times New Roman"/>
          <w:b/>
          <w:color w:val="auto"/>
          <w:spacing w:val="8"/>
          <w:lang w:eastAsia="zh-CN"/>
        </w:rPr>
      </w:pPr>
      <w:r>
        <w:rPr>
          <w:rFonts w:ascii="Times New Roman" w:hAnsi="Times New Roman" w:cs="Times New Roman"/>
          <w:b/>
          <w:color w:val="auto"/>
          <w:spacing w:val="8"/>
          <w:lang w:eastAsia="zh-CN"/>
        </w:rPr>
        <w:t>表4.3-1</w:t>
      </w:r>
      <w:r>
        <w:rPr>
          <w:rFonts w:hint="eastAsia" w:ascii="Times New Roman" w:hAnsi="Times New Roman" w:cs="Times New Roman"/>
          <w:b/>
          <w:color w:val="auto"/>
          <w:spacing w:val="8"/>
          <w:lang w:eastAsia="zh-CN"/>
        </w:rPr>
        <w:t>4</w:t>
      </w:r>
      <w:r>
        <w:rPr>
          <w:rFonts w:ascii="Times New Roman" w:hAnsi="Times New Roman" w:cs="Times New Roman"/>
          <w:b/>
          <w:color w:val="auto"/>
          <w:spacing w:val="8"/>
          <w:lang w:eastAsia="zh-CN"/>
        </w:rPr>
        <w:t xml:space="preserve"> 工业企业噪声源强调查清单（室外声源）</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2610"/>
        <w:gridCol w:w="1396"/>
        <w:gridCol w:w="1117"/>
        <w:gridCol w:w="1256"/>
        <w:gridCol w:w="1119"/>
        <w:gridCol w:w="2233"/>
        <w:gridCol w:w="2445"/>
        <w:gridCol w:w="1073"/>
      </w:tblGrid>
      <w:tr w14:paraId="527D84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Merge w:val="restart"/>
            <w:vAlign w:val="center"/>
          </w:tcPr>
          <w:p w14:paraId="6A0B517E">
            <w:pPr>
              <w:topLinePunct/>
              <w:jc w:val="center"/>
              <w:textAlignment w:val="center"/>
              <w:rPr>
                <w:rFonts w:ascii="Times New Roman" w:hAnsi="Times New Roman" w:cs="Times New Roman"/>
                <w:b/>
                <w:bCs/>
                <w:color w:val="auto"/>
                <w:sz w:val="21"/>
                <w:lang w:bidi="ar"/>
              </w:rPr>
            </w:pPr>
            <w:r>
              <w:rPr>
                <w:rFonts w:ascii="Times New Roman" w:hAnsi="Times New Roman" w:cs="Times New Roman"/>
                <w:b/>
                <w:bCs/>
                <w:color w:val="auto"/>
                <w:sz w:val="21"/>
                <w:lang w:bidi="ar"/>
              </w:rPr>
              <w:t>序号</w:t>
            </w:r>
          </w:p>
        </w:tc>
        <w:tc>
          <w:tcPr>
            <w:tcW w:w="935" w:type="pct"/>
            <w:vMerge w:val="restart"/>
            <w:vAlign w:val="center"/>
          </w:tcPr>
          <w:p w14:paraId="4F42422A">
            <w:pPr>
              <w:topLinePunct/>
              <w:jc w:val="center"/>
              <w:textAlignment w:val="center"/>
              <w:rPr>
                <w:rFonts w:ascii="Times New Roman" w:hAnsi="Times New Roman" w:cs="Times New Roman"/>
                <w:b/>
                <w:bCs/>
                <w:color w:val="auto"/>
                <w:sz w:val="21"/>
                <w:lang w:bidi="ar"/>
              </w:rPr>
            </w:pPr>
            <w:r>
              <w:rPr>
                <w:rFonts w:ascii="Times New Roman" w:hAnsi="Times New Roman" w:cs="Times New Roman"/>
                <w:b/>
                <w:bCs/>
                <w:color w:val="auto"/>
                <w:sz w:val="21"/>
                <w:lang w:bidi="ar"/>
              </w:rPr>
              <w:t>声源名称</w:t>
            </w:r>
          </w:p>
        </w:tc>
        <w:tc>
          <w:tcPr>
            <w:tcW w:w="500" w:type="pct"/>
            <w:vMerge w:val="restart"/>
            <w:vAlign w:val="center"/>
          </w:tcPr>
          <w:p w14:paraId="3BF1149C">
            <w:pPr>
              <w:topLinePunct/>
              <w:jc w:val="center"/>
              <w:textAlignment w:val="center"/>
              <w:rPr>
                <w:rFonts w:ascii="Times New Roman" w:hAnsi="Times New Roman" w:cs="Times New Roman"/>
                <w:b/>
                <w:bCs/>
                <w:color w:val="auto"/>
                <w:sz w:val="21"/>
                <w:lang w:eastAsia="zh-CN" w:bidi="ar"/>
              </w:rPr>
            </w:pPr>
            <w:r>
              <w:rPr>
                <w:rFonts w:hint="eastAsia" w:ascii="Times New Roman" w:hAnsi="Times New Roman" w:cs="Times New Roman"/>
                <w:b/>
                <w:bCs/>
                <w:color w:val="auto"/>
                <w:sz w:val="21"/>
                <w:lang w:eastAsia="zh-CN" w:bidi="ar"/>
              </w:rPr>
              <w:t>数量（台）</w:t>
            </w:r>
          </w:p>
        </w:tc>
        <w:tc>
          <w:tcPr>
            <w:tcW w:w="1251" w:type="pct"/>
            <w:gridSpan w:val="3"/>
            <w:vAlign w:val="center"/>
          </w:tcPr>
          <w:p w14:paraId="2AB065DC">
            <w:pPr>
              <w:topLinePunct/>
              <w:jc w:val="center"/>
              <w:textAlignment w:val="center"/>
              <w:rPr>
                <w:rFonts w:ascii="Times New Roman" w:hAnsi="Times New Roman" w:cs="Times New Roman"/>
                <w:b/>
                <w:bCs/>
                <w:color w:val="auto"/>
                <w:sz w:val="21"/>
                <w:lang w:bidi="ar"/>
              </w:rPr>
            </w:pPr>
            <w:r>
              <w:rPr>
                <w:rFonts w:ascii="Times New Roman" w:hAnsi="Times New Roman" w:cs="Times New Roman"/>
                <w:b/>
                <w:bCs/>
                <w:color w:val="auto"/>
                <w:sz w:val="21"/>
                <w:lang w:bidi="ar"/>
              </w:rPr>
              <w:t>空间相对位置/m</w:t>
            </w:r>
          </w:p>
        </w:tc>
        <w:tc>
          <w:tcPr>
            <w:tcW w:w="800" w:type="pct"/>
            <w:vAlign w:val="center"/>
          </w:tcPr>
          <w:p w14:paraId="4C4083CF">
            <w:pPr>
              <w:topLinePunct/>
              <w:jc w:val="center"/>
              <w:textAlignment w:val="center"/>
              <w:rPr>
                <w:rFonts w:ascii="Times New Roman" w:hAnsi="Times New Roman" w:cs="Times New Roman"/>
                <w:b/>
                <w:bCs/>
                <w:color w:val="auto"/>
                <w:sz w:val="21"/>
                <w:lang w:bidi="ar"/>
              </w:rPr>
            </w:pPr>
            <w:r>
              <w:rPr>
                <w:rFonts w:ascii="Times New Roman" w:hAnsi="Times New Roman" w:cs="Times New Roman"/>
                <w:b/>
                <w:bCs/>
                <w:color w:val="auto"/>
                <w:sz w:val="21"/>
                <w:lang w:bidi="ar"/>
              </w:rPr>
              <w:t>声源源强</w:t>
            </w:r>
          </w:p>
        </w:tc>
        <w:tc>
          <w:tcPr>
            <w:tcW w:w="876" w:type="pct"/>
            <w:vMerge w:val="restart"/>
            <w:vAlign w:val="center"/>
          </w:tcPr>
          <w:p w14:paraId="620D82B3">
            <w:pPr>
              <w:topLinePunct/>
              <w:jc w:val="center"/>
              <w:textAlignment w:val="center"/>
              <w:rPr>
                <w:rFonts w:ascii="Times New Roman" w:hAnsi="Times New Roman" w:cs="Times New Roman"/>
                <w:b/>
                <w:bCs/>
                <w:color w:val="auto"/>
                <w:sz w:val="21"/>
                <w:lang w:bidi="ar"/>
              </w:rPr>
            </w:pPr>
            <w:r>
              <w:rPr>
                <w:rFonts w:ascii="Times New Roman" w:hAnsi="Times New Roman" w:cs="Times New Roman"/>
                <w:b/>
                <w:bCs/>
                <w:color w:val="auto"/>
                <w:sz w:val="21"/>
                <w:lang w:bidi="ar"/>
              </w:rPr>
              <w:t>声源控制措施</w:t>
            </w:r>
          </w:p>
        </w:tc>
        <w:tc>
          <w:tcPr>
            <w:tcW w:w="384" w:type="pct"/>
            <w:vMerge w:val="restart"/>
            <w:vAlign w:val="center"/>
          </w:tcPr>
          <w:p w14:paraId="3B5BF973">
            <w:pPr>
              <w:topLinePunct/>
              <w:jc w:val="center"/>
              <w:textAlignment w:val="center"/>
              <w:rPr>
                <w:rFonts w:ascii="Times New Roman" w:hAnsi="Times New Roman" w:cs="Times New Roman"/>
                <w:b/>
                <w:bCs/>
                <w:color w:val="auto"/>
                <w:sz w:val="21"/>
                <w:lang w:bidi="ar"/>
              </w:rPr>
            </w:pPr>
            <w:r>
              <w:rPr>
                <w:rFonts w:ascii="Times New Roman" w:hAnsi="Times New Roman" w:cs="Times New Roman"/>
                <w:b/>
                <w:bCs/>
                <w:color w:val="auto"/>
                <w:sz w:val="21"/>
                <w:lang w:bidi="ar"/>
              </w:rPr>
              <w:t>运行时段</w:t>
            </w:r>
          </w:p>
        </w:tc>
      </w:tr>
      <w:tr w14:paraId="187892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Merge w:val="continue"/>
            <w:shd w:val="clear" w:color="auto" w:fill="FFFFFF"/>
            <w:vAlign w:val="center"/>
          </w:tcPr>
          <w:p w14:paraId="34474C10">
            <w:pPr>
              <w:topLinePunct/>
              <w:jc w:val="center"/>
              <w:textAlignment w:val="center"/>
              <w:rPr>
                <w:rFonts w:ascii="Times New Roman" w:hAnsi="Times New Roman" w:cs="Times New Roman"/>
                <w:b/>
                <w:bCs/>
                <w:color w:val="auto"/>
                <w:sz w:val="21"/>
                <w:lang w:bidi="ar"/>
              </w:rPr>
            </w:pPr>
          </w:p>
        </w:tc>
        <w:tc>
          <w:tcPr>
            <w:tcW w:w="935" w:type="pct"/>
            <w:vMerge w:val="continue"/>
            <w:shd w:val="clear" w:color="auto" w:fill="FFFFFF"/>
            <w:vAlign w:val="center"/>
          </w:tcPr>
          <w:p w14:paraId="2E3DE039">
            <w:pPr>
              <w:topLinePunct/>
              <w:jc w:val="center"/>
              <w:textAlignment w:val="center"/>
              <w:rPr>
                <w:rFonts w:ascii="Times New Roman" w:hAnsi="Times New Roman" w:cs="Times New Roman"/>
                <w:b/>
                <w:bCs/>
                <w:color w:val="auto"/>
                <w:sz w:val="21"/>
                <w:lang w:bidi="ar"/>
              </w:rPr>
            </w:pPr>
          </w:p>
        </w:tc>
        <w:tc>
          <w:tcPr>
            <w:tcW w:w="500" w:type="pct"/>
            <w:vMerge w:val="continue"/>
            <w:shd w:val="clear" w:color="auto" w:fill="FFFFFF"/>
            <w:vAlign w:val="center"/>
          </w:tcPr>
          <w:p w14:paraId="16CFBF74">
            <w:pPr>
              <w:topLinePunct/>
              <w:jc w:val="center"/>
              <w:textAlignment w:val="center"/>
              <w:rPr>
                <w:rFonts w:ascii="Times New Roman" w:hAnsi="Times New Roman" w:cs="Times New Roman"/>
                <w:b/>
                <w:bCs/>
                <w:color w:val="auto"/>
                <w:sz w:val="21"/>
                <w:lang w:bidi="ar"/>
              </w:rPr>
            </w:pPr>
          </w:p>
        </w:tc>
        <w:tc>
          <w:tcPr>
            <w:tcW w:w="400" w:type="pct"/>
            <w:shd w:val="clear" w:color="auto" w:fill="FFFFFF"/>
            <w:vAlign w:val="center"/>
          </w:tcPr>
          <w:p w14:paraId="3AF08953">
            <w:pPr>
              <w:topLinePunct/>
              <w:jc w:val="center"/>
              <w:textAlignment w:val="center"/>
              <w:rPr>
                <w:rFonts w:ascii="Times New Roman" w:hAnsi="Times New Roman" w:cs="Times New Roman"/>
                <w:b/>
                <w:bCs/>
                <w:color w:val="auto"/>
                <w:sz w:val="21"/>
                <w:lang w:bidi="ar"/>
              </w:rPr>
            </w:pPr>
            <w:r>
              <w:rPr>
                <w:rFonts w:ascii="Times New Roman" w:hAnsi="Times New Roman" w:cs="Times New Roman"/>
                <w:b/>
                <w:bCs/>
                <w:color w:val="auto"/>
                <w:sz w:val="21"/>
                <w:lang w:bidi="ar"/>
              </w:rPr>
              <w:t>X</w:t>
            </w:r>
          </w:p>
        </w:tc>
        <w:tc>
          <w:tcPr>
            <w:tcW w:w="450" w:type="pct"/>
            <w:shd w:val="clear" w:color="auto" w:fill="FFFFFF"/>
            <w:vAlign w:val="center"/>
          </w:tcPr>
          <w:p w14:paraId="38D11A3B">
            <w:pPr>
              <w:topLinePunct/>
              <w:jc w:val="center"/>
              <w:textAlignment w:val="center"/>
              <w:rPr>
                <w:rFonts w:ascii="Times New Roman" w:hAnsi="Times New Roman" w:cs="Times New Roman"/>
                <w:b/>
                <w:bCs/>
                <w:color w:val="auto"/>
                <w:sz w:val="21"/>
                <w:lang w:bidi="ar"/>
              </w:rPr>
            </w:pPr>
            <w:r>
              <w:rPr>
                <w:rFonts w:ascii="Times New Roman" w:hAnsi="Times New Roman" w:cs="Times New Roman"/>
                <w:b/>
                <w:bCs/>
                <w:color w:val="auto"/>
                <w:sz w:val="21"/>
                <w:lang w:bidi="ar"/>
              </w:rPr>
              <w:t>Y</w:t>
            </w:r>
          </w:p>
        </w:tc>
        <w:tc>
          <w:tcPr>
            <w:tcW w:w="401" w:type="pct"/>
            <w:shd w:val="clear" w:color="auto" w:fill="FFFFFF"/>
            <w:vAlign w:val="center"/>
          </w:tcPr>
          <w:p w14:paraId="48E8248C">
            <w:pPr>
              <w:topLinePunct/>
              <w:jc w:val="center"/>
              <w:textAlignment w:val="center"/>
              <w:rPr>
                <w:rFonts w:ascii="Times New Roman" w:hAnsi="Times New Roman" w:cs="Times New Roman"/>
                <w:b/>
                <w:bCs/>
                <w:color w:val="auto"/>
                <w:sz w:val="21"/>
                <w:lang w:bidi="ar"/>
              </w:rPr>
            </w:pPr>
            <w:r>
              <w:rPr>
                <w:rFonts w:ascii="Times New Roman" w:hAnsi="Times New Roman" w:cs="Times New Roman"/>
                <w:b/>
                <w:bCs/>
                <w:color w:val="auto"/>
                <w:sz w:val="21"/>
                <w:lang w:bidi="ar"/>
              </w:rPr>
              <w:t>Z</w:t>
            </w:r>
          </w:p>
        </w:tc>
        <w:tc>
          <w:tcPr>
            <w:tcW w:w="800" w:type="pct"/>
            <w:shd w:val="clear" w:color="auto" w:fill="FFFFFF"/>
            <w:vAlign w:val="center"/>
          </w:tcPr>
          <w:p w14:paraId="0CCEE3E8">
            <w:pPr>
              <w:topLinePunct/>
              <w:jc w:val="center"/>
              <w:textAlignment w:val="center"/>
              <w:rPr>
                <w:rFonts w:ascii="Times New Roman" w:hAnsi="Times New Roman" w:cs="Times New Roman"/>
                <w:b/>
                <w:bCs/>
                <w:color w:val="auto"/>
                <w:sz w:val="21"/>
                <w:lang w:eastAsia="zh-CN" w:bidi="ar"/>
              </w:rPr>
            </w:pPr>
            <w:r>
              <w:rPr>
                <w:rFonts w:ascii="Times New Roman" w:hAnsi="Times New Roman" w:cs="Times New Roman"/>
                <w:b/>
                <w:bCs/>
                <w:color w:val="auto"/>
                <w:sz w:val="21"/>
                <w:lang w:eastAsia="zh-CN" w:bidi="ar"/>
              </w:rPr>
              <w:t>声</w:t>
            </w:r>
            <w:r>
              <w:rPr>
                <w:rFonts w:hint="eastAsia" w:ascii="Times New Roman" w:hAnsi="Times New Roman" w:cs="Times New Roman"/>
                <w:b/>
                <w:bCs/>
                <w:color w:val="auto"/>
                <w:sz w:val="21"/>
                <w:lang w:eastAsia="zh-CN" w:bidi="ar"/>
              </w:rPr>
              <w:t>压</w:t>
            </w:r>
            <w:r>
              <w:rPr>
                <w:rFonts w:ascii="Times New Roman" w:hAnsi="Times New Roman" w:cs="Times New Roman"/>
                <w:b/>
                <w:bCs/>
                <w:color w:val="auto"/>
                <w:sz w:val="21"/>
                <w:lang w:eastAsia="zh-CN" w:bidi="ar"/>
              </w:rPr>
              <w:t>级/</w:t>
            </w:r>
            <w:r>
              <w:rPr>
                <w:rFonts w:hint="eastAsia" w:ascii="Times New Roman" w:hAnsi="Times New Roman" w:cs="Times New Roman"/>
                <w:b/>
                <w:bCs/>
                <w:color w:val="auto"/>
                <w:sz w:val="21"/>
                <w:lang w:eastAsia="zh-CN" w:bidi="ar"/>
              </w:rPr>
              <w:t>距声源距离（</w:t>
            </w:r>
            <w:r>
              <w:rPr>
                <w:rFonts w:ascii="Times New Roman" w:hAnsi="Times New Roman" w:cs="Times New Roman"/>
                <w:b/>
                <w:bCs/>
                <w:color w:val="auto"/>
                <w:sz w:val="21"/>
                <w:lang w:eastAsia="zh-CN" w:bidi="ar"/>
              </w:rPr>
              <w:t>dB（A）</w:t>
            </w:r>
            <w:r>
              <w:rPr>
                <w:rFonts w:hint="eastAsia" w:ascii="Times New Roman" w:hAnsi="Times New Roman" w:cs="Times New Roman"/>
                <w:b/>
                <w:bCs/>
                <w:color w:val="auto"/>
                <w:sz w:val="21"/>
                <w:lang w:eastAsia="zh-CN" w:bidi="ar"/>
              </w:rPr>
              <w:t>/m）</w:t>
            </w:r>
          </w:p>
        </w:tc>
        <w:tc>
          <w:tcPr>
            <w:tcW w:w="876" w:type="pct"/>
            <w:vMerge w:val="continue"/>
            <w:shd w:val="clear" w:color="auto" w:fill="FFFFFF"/>
            <w:vAlign w:val="center"/>
          </w:tcPr>
          <w:p w14:paraId="7809F4F9">
            <w:pPr>
              <w:topLinePunct/>
              <w:jc w:val="center"/>
              <w:textAlignment w:val="center"/>
              <w:rPr>
                <w:rFonts w:ascii="Times New Roman" w:hAnsi="Times New Roman" w:cs="Times New Roman"/>
                <w:b/>
                <w:bCs/>
                <w:color w:val="auto"/>
                <w:sz w:val="21"/>
                <w:lang w:eastAsia="zh-CN" w:bidi="ar"/>
              </w:rPr>
            </w:pPr>
          </w:p>
        </w:tc>
        <w:tc>
          <w:tcPr>
            <w:tcW w:w="384" w:type="pct"/>
            <w:vMerge w:val="continue"/>
            <w:shd w:val="clear" w:color="auto" w:fill="FFFFFF"/>
            <w:vAlign w:val="center"/>
          </w:tcPr>
          <w:p w14:paraId="3107EF6A">
            <w:pPr>
              <w:topLinePunct/>
              <w:jc w:val="center"/>
              <w:textAlignment w:val="center"/>
              <w:rPr>
                <w:rFonts w:ascii="Times New Roman" w:hAnsi="Times New Roman" w:cs="Times New Roman"/>
                <w:b/>
                <w:bCs/>
                <w:color w:val="auto"/>
                <w:sz w:val="21"/>
                <w:lang w:eastAsia="zh-CN" w:bidi="ar"/>
              </w:rPr>
            </w:pPr>
          </w:p>
        </w:tc>
      </w:tr>
      <w:tr w14:paraId="639EC7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54" w:type="pct"/>
            <w:shd w:val="clear" w:color="auto" w:fill="FFFFFF"/>
            <w:vAlign w:val="center"/>
          </w:tcPr>
          <w:p w14:paraId="648D5616">
            <w:pPr>
              <w:topLinePunct/>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1</w:t>
            </w:r>
          </w:p>
        </w:tc>
        <w:tc>
          <w:tcPr>
            <w:tcW w:w="935" w:type="pct"/>
            <w:shd w:val="clear" w:color="auto" w:fill="FFFFFF"/>
            <w:vAlign w:val="center"/>
          </w:tcPr>
          <w:p w14:paraId="1D2C869A">
            <w:pPr>
              <w:topLinePunct/>
              <w:jc w:val="center"/>
              <w:textAlignment w:val="center"/>
              <w:rPr>
                <w:rFonts w:ascii="Times New Roman" w:hAnsi="Times New Roman" w:cs="Times New Roman"/>
                <w:color w:val="auto"/>
                <w:sz w:val="21"/>
                <w:lang w:eastAsia="zh-CN" w:bidi="ar"/>
              </w:rPr>
            </w:pPr>
          </w:p>
        </w:tc>
        <w:tc>
          <w:tcPr>
            <w:tcW w:w="500" w:type="pct"/>
            <w:shd w:val="clear" w:color="auto" w:fill="FFFFFF"/>
            <w:vAlign w:val="center"/>
          </w:tcPr>
          <w:p w14:paraId="5034780B">
            <w:pPr>
              <w:topLinePunct/>
              <w:jc w:val="center"/>
              <w:textAlignment w:val="center"/>
              <w:rPr>
                <w:rFonts w:ascii="Times New Roman" w:hAnsi="Times New Roman" w:cs="Times New Roman"/>
                <w:color w:val="auto"/>
                <w:sz w:val="21"/>
                <w:lang w:eastAsia="zh-CN" w:bidi="ar"/>
              </w:rPr>
            </w:pPr>
          </w:p>
        </w:tc>
        <w:tc>
          <w:tcPr>
            <w:tcW w:w="400" w:type="pct"/>
            <w:shd w:val="clear" w:color="auto" w:fill="FFFFFF"/>
            <w:vAlign w:val="center"/>
          </w:tcPr>
          <w:p w14:paraId="07EE1D62">
            <w:pPr>
              <w:topLinePunct/>
              <w:jc w:val="center"/>
              <w:textAlignment w:val="center"/>
              <w:rPr>
                <w:rFonts w:ascii="Times New Roman" w:hAnsi="Times New Roman" w:cs="Times New Roman"/>
                <w:color w:val="auto"/>
                <w:sz w:val="21"/>
                <w:lang w:eastAsia="zh-CN" w:bidi="ar"/>
              </w:rPr>
            </w:pPr>
          </w:p>
        </w:tc>
        <w:tc>
          <w:tcPr>
            <w:tcW w:w="450" w:type="pct"/>
            <w:shd w:val="clear" w:color="auto" w:fill="FFFFFF"/>
            <w:vAlign w:val="center"/>
          </w:tcPr>
          <w:p w14:paraId="54E9F4D8">
            <w:pPr>
              <w:topLinePunct/>
              <w:jc w:val="center"/>
              <w:textAlignment w:val="center"/>
              <w:rPr>
                <w:rFonts w:ascii="Times New Roman" w:hAnsi="Times New Roman" w:cs="Times New Roman"/>
                <w:color w:val="auto"/>
                <w:sz w:val="21"/>
                <w:lang w:eastAsia="zh-CN" w:bidi="ar"/>
              </w:rPr>
            </w:pPr>
          </w:p>
        </w:tc>
        <w:tc>
          <w:tcPr>
            <w:tcW w:w="401" w:type="pct"/>
            <w:shd w:val="clear" w:color="auto" w:fill="FFFFFF"/>
            <w:vAlign w:val="center"/>
          </w:tcPr>
          <w:p w14:paraId="2E62DDCF">
            <w:pPr>
              <w:topLinePunct/>
              <w:jc w:val="center"/>
              <w:textAlignment w:val="center"/>
              <w:rPr>
                <w:rFonts w:ascii="Times New Roman" w:hAnsi="Times New Roman" w:cs="Times New Roman"/>
                <w:color w:val="auto"/>
                <w:sz w:val="21"/>
                <w:lang w:eastAsia="zh-CN" w:bidi="ar"/>
              </w:rPr>
            </w:pPr>
          </w:p>
        </w:tc>
        <w:tc>
          <w:tcPr>
            <w:tcW w:w="800" w:type="pct"/>
            <w:shd w:val="clear" w:color="auto" w:fill="FFFFFF"/>
            <w:vAlign w:val="center"/>
          </w:tcPr>
          <w:p w14:paraId="21E411C9">
            <w:pPr>
              <w:topLinePunct/>
              <w:jc w:val="center"/>
              <w:textAlignment w:val="center"/>
              <w:rPr>
                <w:rFonts w:ascii="Times New Roman" w:hAnsi="Times New Roman" w:cs="Times New Roman"/>
                <w:color w:val="auto"/>
                <w:sz w:val="21"/>
                <w:lang w:eastAsia="zh-CN" w:bidi="ar"/>
              </w:rPr>
            </w:pPr>
          </w:p>
        </w:tc>
        <w:tc>
          <w:tcPr>
            <w:tcW w:w="876" w:type="pct"/>
            <w:vMerge w:val="restart"/>
            <w:shd w:val="clear" w:color="auto" w:fill="FFFFFF"/>
            <w:vAlign w:val="center"/>
          </w:tcPr>
          <w:p w14:paraId="458B1FB7">
            <w:pPr>
              <w:topLinePunct/>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优选低噪设备，对风机安装消声器，以降低气流噪声对外辐射，并设置减振基座</w:t>
            </w:r>
          </w:p>
        </w:tc>
        <w:tc>
          <w:tcPr>
            <w:tcW w:w="384" w:type="pct"/>
            <w:shd w:val="clear" w:color="auto" w:fill="FFFFFF"/>
            <w:vAlign w:val="center"/>
          </w:tcPr>
          <w:p w14:paraId="054C8534">
            <w:pPr>
              <w:topLinePunct/>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8h</w:t>
            </w:r>
          </w:p>
        </w:tc>
      </w:tr>
      <w:tr w14:paraId="01B503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54" w:type="pct"/>
            <w:shd w:val="clear" w:color="auto" w:fill="FFFFFF"/>
            <w:vAlign w:val="center"/>
          </w:tcPr>
          <w:p w14:paraId="6CE74432">
            <w:pPr>
              <w:topLinePunct/>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2</w:t>
            </w:r>
          </w:p>
        </w:tc>
        <w:tc>
          <w:tcPr>
            <w:tcW w:w="935" w:type="pct"/>
            <w:shd w:val="clear" w:color="auto" w:fill="FFFFFF"/>
            <w:vAlign w:val="center"/>
          </w:tcPr>
          <w:p w14:paraId="7F3020AE">
            <w:pPr>
              <w:topLinePunct/>
              <w:jc w:val="center"/>
              <w:textAlignment w:val="center"/>
              <w:rPr>
                <w:rFonts w:ascii="Times New Roman" w:hAnsi="Times New Roman" w:cs="Times New Roman"/>
                <w:color w:val="auto"/>
                <w:sz w:val="21"/>
                <w:lang w:eastAsia="zh-CN" w:bidi="ar"/>
              </w:rPr>
            </w:pPr>
          </w:p>
        </w:tc>
        <w:tc>
          <w:tcPr>
            <w:tcW w:w="500" w:type="pct"/>
            <w:shd w:val="clear" w:color="auto" w:fill="FFFFFF"/>
            <w:vAlign w:val="center"/>
          </w:tcPr>
          <w:p w14:paraId="7462B06A">
            <w:pPr>
              <w:topLinePunct/>
              <w:jc w:val="center"/>
              <w:textAlignment w:val="center"/>
              <w:rPr>
                <w:rFonts w:ascii="Times New Roman" w:hAnsi="Times New Roman" w:cs="Times New Roman"/>
                <w:color w:val="auto"/>
                <w:sz w:val="21"/>
                <w:lang w:eastAsia="zh-CN" w:bidi="ar"/>
              </w:rPr>
            </w:pPr>
          </w:p>
        </w:tc>
        <w:tc>
          <w:tcPr>
            <w:tcW w:w="400" w:type="pct"/>
            <w:shd w:val="clear" w:color="auto" w:fill="FFFFFF"/>
            <w:vAlign w:val="center"/>
          </w:tcPr>
          <w:p w14:paraId="0916C06E">
            <w:pPr>
              <w:topLinePunct/>
              <w:jc w:val="center"/>
              <w:textAlignment w:val="center"/>
              <w:rPr>
                <w:rFonts w:ascii="Times New Roman" w:hAnsi="Times New Roman" w:cs="Times New Roman"/>
                <w:color w:val="auto"/>
                <w:sz w:val="21"/>
                <w:lang w:eastAsia="zh-CN" w:bidi="ar"/>
              </w:rPr>
            </w:pPr>
          </w:p>
        </w:tc>
        <w:tc>
          <w:tcPr>
            <w:tcW w:w="450" w:type="pct"/>
            <w:shd w:val="clear" w:color="auto" w:fill="FFFFFF"/>
            <w:vAlign w:val="center"/>
          </w:tcPr>
          <w:p w14:paraId="48E1016B">
            <w:pPr>
              <w:topLinePunct/>
              <w:jc w:val="center"/>
              <w:textAlignment w:val="center"/>
              <w:rPr>
                <w:rFonts w:ascii="Times New Roman" w:hAnsi="Times New Roman" w:cs="Times New Roman"/>
                <w:color w:val="auto"/>
                <w:sz w:val="21"/>
                <w:lang w:eastAsia="zh-CN" w:bidi="ar"/>
              </w:rPr>
            </w:pPr>
          </w:p>
        </w:tc>
        <w:tc>
          <w:tcPr>
            <w:tcW w:w="401" w:type="pct"/>
            <w:shd w:val="clear" w:color="auto" w:fill="FFFFFF"/>
            <w:vAlign w:val="center"/>
          </w:tcPr>
          <w:p w14:paraId="7B004E51">
            <w:pPr>
              <w:topLinePunct/>
              <w:jc w:val="center"/>
              <w:textAlignment w:val="center"/>
              <w:rPr>
                <w:rFonts w:ascii="Times New Roman" w:hAnsi="Times New Roman" w:cs="Times New Roman"/>
                <w:color w:val="auto"/>
                <w:sz w:val="21"/>
                <w:lang w:eastAsia="zh-CN" w:bidi="ar"/>
              </w:rPr>
            </w:pPr>
          </w:p>
        </w:tc>
        <w:tc>
          <w:tcPr>
            <w:tcW w:w="800" w:type="pct"/>
            <w:shd w:val="clear" w:color="auto" w:fill="FFFFFF"/>
            <w:vAlign w:val="center"/>
          </w:tcPr>
          <w:p w14:paraId="55C98192">
            <w:pPr>
              <w:topLinePunct/>
              <w:jc w:val="center"/>
              <w:textAlignment w:val="center"/>
              <w:rPr>
                <w:rFonts w:ascii="Times New Roman" w:hAnsi="Times New Roman" w:cs="Times New Roman"/>
                <w:color w:val="auto"/>
                <w:sz w:val="21"/>
                <w:lang w:eastAsia="zh-CN" w:bidi="ar"/>
              </w:rPr>
            </w:pPr>
          </w:p>
        </w:tc>
        <w:tc>
          <w:tcPr>
            <w:tcW w:w="876" w:type="pct"/>
            <w:vMerge w:val="continue"/>
            <w:shd w:val="clear" w:color="auto" w:fill="FFFFFF"/>
            <w:vAlign w:val="center"/>
          </w:tcPr>
          <w:p w14:paraId="2E7C9987">
            <w:pPr>
              <w:topLinePunct/>
              <w:jc w:val="center"/>
              <w:textAlignment w:val="center"/>
              <w:rPr>
                <w:rFonts w:ascii="Times New Roman" w:hAnsi="Times New Roman" w:cs="Times New Roman"/>
                <w:color w:val="auto"/>
                <w:sz w:val="21"/>
                <w:lang w:eastAsia="zh-CN" w:bidi="ar"/>
              </w:rPr>
            </w:pPr>
          </w:p>
        </w:tc>
        <w:tc>
          <w:tcPr>
            <w:tcW w:w="384" w:type="pct"/>
            <w:shd w:val="clear" w:color="auto" w:fill="FFFFFF"/>
            <w:vAlign w:val="center"/>
          </w:tcPr>
          <w:p w14:paraId="7D1AA190">
            <w:pPr>
              <w:topLinePunct/>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8h</w:t>
            </w:r>
          </w:p>
        </w:tc>
      </w:tr>
      <w:tr w14:paraId="051D51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54" w:type="pct"/>
            <w:shd w:val="clear" w:color="auto" w:fill="FFFFFF"/>
            <w:vAlign w:val="center"/>
          </w:tcPr>
          <w:p w14:paraId="4E7EB037">
            <w:pPr>
              <w:topLinePunct/>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3</w:t>
            </w:r>
          </w:p>
        </w:tc>
        <w:tc>
          <w:tcPr>
            <w:tcW w:w="935" w:type="pct"/>
            <w:shd w:val="clear" w:color="auto" w:fill="FFFFFF"/>
            <w:vAlign w:val="center"/>
          </w:tcPr>
          <w:p w14:paraId="6D3B1B13">
            <w:pPr>
              <w:topLinePunct/>
              <w:jc w:val="center"/>
              <w:textAlignment w:val="center"/>
              <w:rPr>
                <w:rFonts w:ascii="Times New Roman" w:hAnsi="Times New Roman" w:cs="Times New Roman"/>
                <w:color w:val="auto"/>
                <w:sz w:val="21"/>
                <w:lang w:eastAsia="zh-CN" w:bidi="ar"/>
              </w:rPr>
            </w:pPr>
          </w:p>
        </w:tc>
        <w:tc>
          <w:tcPr>
            <w:tcW w:w="500" w:type="pct"/>
            <w:shd w:val="clear" w:color="auto" w:fill="FFFFFF"/>
            <w:vAlign w:val="center"/>
          </w:tcPr>
          <w:p w14:paraId="0F8A93BA">
            <w:pPr>
              <w:topLinePunct/>
              <w:jc w:val="center"/>
              <w:textAlignment w:val="center"/>
              <w:rPr>
                <w:rFonts w:ascii="Times New Roman" w:hAnsi="Times New Roman" w:cs="Times New Roman"/>
                <w:color w:val="auto"/>
                <w:sz w:val="21"/>
                <w:lang w:eastAsia="zh-CN" w:bidi="ar"/>
              </w:rPr>
            </w:pPr>
          </w:p>
        </w:tc>
        <w:tc>
          <w:tcPr>
            <w:tcW w:w="400" w:type="pct"/>
            <w:shd w:val="clear" w:color="auto" w:fill="FFFFFF"/>
            <w:vAlign w:val="center"/>
          </w:tcPr>
          <w:p w14:paraId="525208BB">
            <w:pPr>
              <w:topLinePunct/>
              <w:jc w:val="center"/>
              <w:textAlignment w:val="center"/>
              <w:rPr>
                <w:rFonts w:ascii="Times New Roman" w:hAnsi="Times New Roman" w:cs="Times New Roman"/>
                <w:color w:val="auto"/>
                <w:sz w:val="21"/>
                <w:lang w:eastAsia="zh-CN" w:bidi="ar"/>
              </w:rPr>
            </w:pPr>
          </w:p>
        </w:tc>
        <w:tc>
          <w:tcPr>
            <w:tcW w:w="450" w:type="pct"/>
            <w:shd w:val="clear" w:color="auto" w:fill="FFFFFF"/>
            <w:vAlign w:val="center"/>
          </w:tcPr>
          <w:p w14:paraId="3025D6AF">
            <w:pPr>
              <w:topLinePunct/>
              <w:jc w:val="center"/>
              <w:textAlignment w:val="center"/>
              <w:rPr>
                <w:rFonts w:ascii="Times New Roman" w:hAnsi="Times New Roman" w:cs="Times New Roman"/>
                <w:color w:val="auto"/>
                <w:sz w:val="21"/>
                <w:lang w:eastAsia="zh-CN" w:bidi="ar"/>
              </w:rPr>
            </w:pPr>
          </w:p>
        </w:tc>
        <w:tc>
          <w:tcPr>
            <w:tcW w:w="401" w:type="pct"/>
            <w:shd w:val="clear" w:color="auto" w:fill="FFFFFF"/>
            <w:vAlign w:val="center"/>
          </w:tcPr>
          <w:p w14:paraId="36A9CEDE">
            <w:pPr>
              <w:topLinePunct/>
              <w:jc w:val="center"/>
              <w:textAlignment w:val="center"/>
              <w:rPr>
                <w:rFonts w:ascii="Times New Roman" w:hAnsi="Times New Roman" w:cs="Times New Roman"/>
                <w:color w:val="auto"/>
                <w:sz w:val="21"/>
                <w:lang w:eastAsia="zh-CN" w:bidi="ar"/>
              </w:rPr>
            </w:pPr>
          </w:p>
        </w:tc>
        <w:tc>
          <w:tcPr>
            <w:tcW w:w="800" w:type="pct"/>
            <w:shd w:val="clear" w:color="auto" w:fill="FFFFFF"/>
            <w:vAlign w:val="center"/>
          </w:tcPr>
          <w:p w14:paraId="2B71E594">
            <w:pPr>
              <w:topLinePunct/>
              <w:jc w:val="center"/>
              <w:textAlignment w:val="center"/>
              <w:rPr>
                <w:rFonts w:ascii="Times New Roman" w:hAnsi="Times New Roman" w:cs="Times New Roman"/>
                <w:color w:val="auto"/>
                <w:sz w:val="21"/>
                <w:lang w:eastAsia="zh-CN" w:bidi="ar"/>
              </w:rPr>
            </w:pPr>
          </w:p>
        </w:tc>
        <w:tc>
          <w:tcPr>
            <w:tcW w:w="876" w:type="pct"/>
            <w:vMerge w:val="continue"/>
            <w:shd w:val="clear" w:color="auto" w:fill="FFFFFF"/>
            <w:vAlign w:val="center"/>
          </w:tcPr>
          <w:p w14:paraId="4B812AD1">
            <w:pPr>
              <w:topLinePunct/>
              <w:jc w:val="center"/>
              <w:textAlignment w:val="center"/>
              <w:rPr>
                <w:rFonts w:ascii="Times New Roman" w:hAnsi="Times New Roman" w:cs="Times New Roman"/>
                <w:color w:val="auto"/>
                <w:sz w:val="21"/>
                <w:lang w:eastAsia="zh-CN" w:bidi="ar"/>
              </w:rPr>
            </w:pPr>
          </w:p>
        </w:tc>
        <w:tc>
          <w:tcPr>
            <w:tcW w:w="384" w:type="pct"/>
            <w:shd w:val="clear" w:color="auto" w:fill="FFFFFF"/>
            <w:vAlign w:val="center"/>
          </w:tcPr>
          <w:p w14:paraId="35547BC7">
            <w:pPr>
              <w:topLinePunct/>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24h</w:t>
            </w:r>
          </w:p>
        </w:tc>
      </w:tr>
    </w:tbl>
    <w:p w14:paraId="3C911831">
      <w:pPr>
        <w:spacing w:before="156" w:beforeLines="50" w:line="360" w:lineRule="auto"/>
        <w:jc w:val="center"/>
        <w:rPr>
          <w:rFonts w:ascii="Times New Roman" w:hAnsi="Times New Roman" w:cs="Times New Roman"/>
          <w:b/>
          <w:color w:val="auto"/>
          <w:spacing w:val="8"/>
          <w:lang w:eastAsia="zh-CN"/>
        </w:rPr>
      </w:pPr>
      <w:r>
        <w:rPr>
          <w:rFonts w:ascii="Times New Roman" w:hAnsi="Times New Roman" w:cs="Times New Roman"/>
          <w:b/>
          <w:color w:val="auto"/>
          <w:spacing w:val="8"/>
          <w:lang w:eastAsia="zh-CN"/>
        </w:rPr>
        <w:t>表4.3-1</w:t>
      </w:r>
      <w:r>
        <w:rPr>
          <w:rFonts w:hint="eastAsia" w:ascii="Times New Roman" w:hAnsi="Times New Roman" w:cs="Times New Roman"/>
          <w:b/>
          <w:color w:val="auto"/>
          <w:spacing w:val="8"/>
          <w:lang w:eastAsia="zh-CN"/>
        </w:rPr>
        <w:t>5</w:t>
      </w:r>
      <w:r>
        <w:rPr>
          <w:rFonts w:ascii="Times New Roman" w:hAnsi="Times New Roman" w:cs="Times New Roman"/>
          <w:b/>
          <w:color w:val="auto"/>
          <w:spacing w:val="8"/>
          <w:lang w:eastAsia="zh-CN"/>
        </w:rPr>
        <w:t xml:space="preserve"> 工业企业噪声源强调查清单（室内声源）</w:t>
      </w:r>
    </w:p>
    <w:tbl>
      <w:tblPr>
        <w:tblStyle w:val="35"/>
        <w:tblW w:w="4990" w:type="pct"/>
        <w:jc w:val="center"/>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Layout w:type="autofit"/>
        <w:tblCellMar>
          <w:top w:w="0" w:type="dxa"/>
          <w:left w:w="108" w:type="dxa"/>
          <w:bottom w:w="0" w:type="dxa"/>
          <w:right w:w="108" w:type="dxa"/>
        </w:tblCellMar>
      </w:tblPr>
      <w:tblGrid>
        <w:gridCol w:w="708"/>
        <w:gridCol w:w="1059"/>
        <w:gridCol w:w="1415"/>
        <w:gridCol w:w="839"/>
        <w:gridCol w:w="697"/>
        <w:gridCol w:w="699"/>
        <w:gridCol w:w="822"/>
        <w:gridCol w:w="1535"/>
        <w:gridCol w:w="1256"/>
        <w:gridCol w:w="752"/>
        <w:gridCol w:w="708"/>
        <w:gridCol w:w="853"/>
        <w:gridCol w:w="710"/>
        <w:gridCol w:w="710"/>
        <w:gridCol w:w="1167"/>
      </w:tblGrid>
      <w:tr w14:paraId="1713B449">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108" w:type="dxa"/>
            <w:bottom w:w="0" w:type="dxa"/>
            <w:right w:w="108" w:type="dxa"/>
          </w:tblCellMar>
        </w:tblPrEx>
        <w:trPr>
          <w:trHeight w:val="283" w:hRule="atLeast"/>
          <w:jc w:val="center"/>
        </w:trPr>
        <w:tc>
          <w:tcPr>
            <w:tcW w:w="254" w:type="pct"/>
            <w:vMerge w:val="restart"/>
            <w:vAlign w:val="center"/>
          </w:tcPr>
          <w:p w14:paraId="2559EAEA">
            <w:pPr>
              <w:topLinePunct/>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建筑物名称</w:t>
            </w:r>
          </w:p>
        </w:tc>
        <w:tc>
          <w:tcPr>
            <w:tcW w:w="380" w:type="pct"/>
            <w:vMerge w:val="restart"/>
            <w:vAlign w:val="center"/>
          </w:tcPr>
          <w:p w14:paraId="0595E80E">
            <w:pPr>
              <w:topLinePunct/>
              <w:adjustRightInd w:val="0"/>
              <w:snapToGrid w:val="0"/>
              <w:jc w:val="center"/>
              <w:rPr>
                <w:rFonts w:ascii="Times New Roman" w:hAnsi="Times New Roman" w:cs="Times New Roman"/>
                <w:b/>
                <w:color w:val="auto"/>
                <w:sz w:val="21"/>
              </w:rPr>
            </w:pPr>
            <w:r>
              <w:rPr>
                <w:rFonts w:hint="eastAsia" w:ascii="Times New Roman" w:hAnsi="Times New Roman" w:cs="Times New Roman"/>
                <w:b/>
                <w:color w:val="auto"/>
                <w:sz w:val="21"/>
                <w:lang w:eastAsia="zh-CN"/>
              </w:rPr>
              <w:t>装置</w:t>
            </w:r>
            <w:r>
              <w:rPr>
                <w:rFonts w:ascii="Times New Roman" w:hAnsi="Times New Roman" w:cs="Times New Roman"/>
                <w:b/>
                <w:color w:val="auto"/>
                <w:sz w:val="21"/>
              </w:rPr>
              <w:t>名称</w:t>
            </w:r>
          </w:p>
        </w:tc>
        <w:tc>
          <w:tcPr>
            <w:tcW w:w="508" w:type="pct"/>
            <w:vMerge w:val="restart"/>
            <w:vAlign w:val="center"/>
          </w:tcPr>
          <w:p w14:paraId="62F41AC7">
            <w:pPr>
              <w:topLinePunct/>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声源名称</w:t>
            </w:r>
          </w:p>
        </w:tc>
        <w:tc>
          <w:tcPr>
            <w:tcW w:w="301" w:type="pct"/>
            <w:vMerge w:val="restart"/>
            <w:vAlign w:val="center"/>
          </w:tcPr>
          <w:p w14:paraId="49B43F40">
            <w:pPr>
              <w:topLinePunct/>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数量</w:t>
            </w:r>
          </w:p>
        </w:tc>
        <w:tc>
          <w:tcPr>
            <w:tcW w:w="796" w:type="pct"/>
            <w:gridSpan w:val="3"/>
            <w:vAlign w:val="center"/>
          </w:tcPr>
          <w:p w14:paraId="22EB56DD">
            <w:pPr>
              <w:topLinePunct/>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空间相对位置/m</w:t>
            </w:r>
          </w:p>
        </w:tc>
        <w:tc>
          <w:tcPr>
            <w:tcW w:w="551" w:type="pct"/>
            <w:vAlign w:val="center"/>
          </w:tcPr>
          <w:p w14:paraId="3970233E">
            <w:pPr>
              <w:topLinePunct/>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声源源强</w:t>
            </w:r>
          </w:p>
        </w:tc>
        <w:tc>
          <w:tcPr>
            <w:tcW w:w="451" w:type="pct"/>
            <w:vMerge w:val="restart"/>
            <w:vAlign w:val="center"/>
          </w:tcPr>
          <w:p w14:paraId="1E04DBE4">
            <w:pPr>
              <w:topLinePunct/>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声源控制措施</w:t>
            </w:r>
          </w:p>
        </w:tc>
        <w:tc>
          <w:tcPr>
            <w:tcW w:w="270" w:type="pct"/>
            <w:vMerge w:val="restart"/>
            <w:vAlign w:val="center"/>
          </w:tcPr>
          <w:p w14:paraId="3B746F8D">
            <w:pPr>
              <w:topLinePunct/>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运行时段</w:t>
            </w:r>
          </w:p>
        </w:tc>
        <w:tc>
          <w:tcPr>
            <w:tcW w:w="1070" w:type="pct"/>
            <w:gridSpan w:val="4"/>
            <w:vAlign w:val="center"/>
          </w:tcPr>
          <w:p w14:paraId="7CE85720">
            <w:pPr>
              <w:topLinePunct/>
              <w:adjustRightInd w:val="0"/>
              <w:snapToGrid w:val="0"/>
              <w:jc w:val="center"/>
              <w:rPr>
                <w:rFonts w:ascii="Times New Roman" w:hAnsi="Times New Roman" w:cs="Times New Roman"/>
                <w:b/>
                <w:color w:val="auto"/>
                <w:sz w:val="21"/>
                <w:lang w:eastAsia="zh-CN"/>
              </w:rPr>
            </w:pPr>
            <w:r>
              <w:rPr>
                <w:rFonts w:ascii="Times New Roman" w:hAnsi="Times New Roman" w:cs="Times New Roman"/>
                <w:b/>
                <w:color w:val="auto"/>
                <w:sz w:val="21"/>
                <w:lang w:eastAsia="zh-CN"/>
              </w:rPr>
              <w:t>距离</w:t>
            </w:r>
            <w:r>
              <w:rPr>
                <w:rFonts w:hint="eastAsia" w:ascii="Times New Roman" w:hAnsi="Times New Roman" w:cs="Times New Roman"/>
                <w:b/>
                <w:color w:val="auto"/>
                <w:sz w:val="21"/>
                <w:lang w:eastAsia="zh-CN"/>
              </w:rPr>
              <w:t>室内</w:t>
            </w:r>
            <w:r>
              <w:rPr>
                <w:rFonts w:ascii="Times New Roman" w:hAnsi="Times New Roman" w:cs="Times New Roman"/>
                <w:b/>
                <w:color w:val="auto"/>
                <w:sz w:val="21"/>
                <w:lang w:eastAsia="zh-CN"/>
              </w:rPr>
              <w:t>边界距离/m</w:t>
            </w:r>
          </w:p>
        </w:tc>
        <w:tc>
          <w:tcPr>
            <w:tcW w:w="419" w:type="pct"/>
            <w:vMerge w:val="restart"/>
            <w:vAlign w:val="center"/>
          </w:tcPr>
          <w:p w14:paraId="78635DD5">
            <w:pPr>
              <w:topLinePunct/>
              <w:adjustRightInd w:val="0"/>
              <w:snapToGrid w:val="0"/>
              <w:jc w:val="center"/>
              <w:rPr>
                <w:rFonts w:ascii="Times New Roman" w:hAnsi="Times New Roman" w:cs="Times New Roman"/>
                <w:b/>
                <w:color w:val="auto"/>
                <w:sz w:val="21"/>
                <w:lang w:eastAsia="zh-CN"/>
              </w:rPr>
            </w:pPr>
            <w:r>
              <w:rPr>
                <w:rFonts w:ascii="Times New Roman" w:hAnsi="Times New Roman" w:cs="Times New Roman"/>
                <w:b/>
                <w:color w:val="auto"/>
                <w:sz w:val="21"/>
                <w:lang w:eastAsia="zh-CN"/>
              </w:rPr>
              <w:t>建筑物插入损失dB（A）</w:t>
            </w:r>
          </w:p>
        </w:tc>
      </w:tr>
      <w:tr w14:paraId="16BF5DFA">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108" w:type="dxa"/>
            <w:bottom w:w="0" w:type="dxa"/>
            <w:right w:w="108" w:type="dxa"/>
          </w:tblCellMar>
        </w:tblPrEx>
        <w:trPr>
          <w:trHeight w:val="886" w:hRule="atLeast"/>
          <w:jc w:val="center"/>
        </w:trPr>
        <w:tc>
          <w:tcPr>
            <w:tcW w:w="254" w:type="pct"/>
            <w:vMerge w:val="continue"/>
            <w:vAlign w:val="center"/>
          </w:tcPr>
          <w:p w14:paraId="69F80A64">
            <w:pPr>
              <w:topLinePunct/>
              <w:adjustRightInd w:val="0"/>
              <w:snapToGrid w:val="0"/>
              <w:jc w:val="center"/>
              <w:rPr>
                <w:rFonts w:ascii="Times New Roman" w:hAnsi="Times New Roman" w:cs="Times New Roman"/>
                <w:color w:val="auto"/>
                <w:sz w:val="21"/>
                <w:lang w:eastAsia="zh-CN"/>
              </w:rPr>
            </w:pPr>
          </w:p>
        </w:tc>
        <w:tc>
          <w:tcPr>
            <w:tcW w:w="380" w:type="pct"/>
            <w:vMerge w:val="continue"/>
            <w:vAlign w:val="center"/>
          </w:tcPr>
          <w:p w14:paraId="6BB38F2B">
            <w:pPr>
              <w:topLinePunct/>
              <w:adjustRightInd w:val="0"/>
              <w:snapToGrid w:val="0"/>
              <w:jc w:val="center"/>
              <w:rPr>
                <w:rFonts w:ascii="Times New Roman" w:hAnsi="Times New Roman" w:cs="Times New Roman"/>
                <w:color w:val="auto"/>
                <w:sz w:val="21"/>
                <w:lang w:eastAsia="zh-CN"/>
              </w:rPr>
            </w:pPr>
          </w:p>
        </w:tc>
        <w:tc>
          <w:tcPr>
            <w:tcW w:w="508" w:type="pct"/>
            <w:vMerge w:val="continue"/>
            <w:vAlign w:val="center"/>
          </w:tcPr>
          <w:p w14:paraId="62885397">
            <w:pPr>
              <w:topLinePunct/>
              <w:adjustRightInd w:val="0"/>
              <w:snapToGrid w:val="0"/>
              <w:jc w:val="center"/>
              <w:rPr>
                <w:rFonts w:ascii="Times New Roman" w:hAnsi="Times New Roman" w:cs="Times New Roman"/>
                <w:color w:val="auto"/>
                <w:sz w:val="21"/>
                <w:lang w:eastAsia="zh-CN"/>
              </w:rPr>
            </w:pPr>
          </w:p>
        </w:tc>
        <w:tc>
          <w:tcPr>
            <w:tcW w:w="301" w:type="pct"/>
            <w:vMerge w:val="continue"/>
            <w:vAlign w:val="center"/>
          </w:tcPr>
          <w:p w14:paraId="22FBA225">
            <w:pPr>
              <w:topLinePunct/>
              <w:adjustRightInd w:val="0"/>
              <w:snapToGrid w:val="0"/>
              <w:jc w:val="center"/>
              <w:rPr>
                <w:rFonts w:ascii="Times New Roman" w:hAnsi="Times New Roman" w:cs="Times New Roman"/>
                <w:b/>
                <w:color w:val="auto"/>
                <w:sz w:val="21"/>
                <w:lang w:eastAsia="zh-CN"/>
              </w:rPr>
            </w:pPr>
          </w:p>
        </w:tc>
        <w:tc>
          <w:tcPr>
            <w:tcW w:w="250" w:type="pct"/>
            <w:vAlign w:val="center"/>
          </w:tcPr>
          <w:p w14:paraId="2A883A90">
            <w:pPr>
              <w:topLinePunct/>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X</w:t>
            </w:r>
          </w:p>
        </w:tc>
        <w:tc>
          <w:tcPr>
            <w:tcW w:w="251" w:type="pct"/>
            <w:vAlign w:val="center"/>
          </w:tcPr>
          <w:p w14:paraId="473B66FA">
            <w:pPr>
              <w:topLinePunct/>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Y</w:t>
            </w:r>
          </w:p>
        </w:tc>
        <w:tc>
          <w:tcPr>
            <w:tcW w:w="295" w:type="pct"/>
            <w:vAlign w:val="center"/>
          </w:tcPr>
          <w:p w14:paraId="4CEA554B">
            <w:pPr>
              <w:topLinePunct/>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Z</w:t>
            </w:r>
          </w:p>
        </w:tc>
        <w:tc>
          <w:tcPr>
            <w:tcW w:w="551" w:type="pct"/>
            <w:vAlign w:val="center"/>
          </w:tcPr>
          <w:p w14:paraId="54D6FB3B">
            <w:pPr>
              <w:topLinePunct/>
              <w:adjustRightInd w:val="0"/>
              <w:snapToGrid w:val="0"/>
              <w:jc w:val="center"/>
              <w:rPr>
                <w:rFonts w:ascii="Times New Roman" w:hAnsi="Times New Roman" w:cs="Times New Roman"/>
                <w:b/>
                <w:color w:val="auto"/>
                <w:sz w:val="21"/>
                <w:lang w:eastAsia="zh-CN"/>
              </w:rPr>
            </w:pPr>
            <w:r>
              <w:rPr>
                <w:rFonts w:ascii="Times New Roman" w:hAnsi="Times New Roman" w:cs="Times New Roman"/>
                <w:b/>
                <w:bCs/>
                <w:color w:val="auto"/>
                <w:sz w:val="21"/>
                <w:lang w:eastAsia="zh-CN" w:bidi="ar"/>
              </w:rPr>
              <w:t>声</w:t>
            </w:r>
            <w:r>
              <w:rPr>
                <w:rFonts w:hint="eastAsia" w:ascii="Times New Roman" w:hAnsi="Times New Roman" w:cs="Times New Roman"/>
                <w:b/>
                <w:bCs/>
                <w:color w:val="auto"/>
                <w:sz w:val="21"/>
                <w:lang w:eastAsia="zh-CN" w:bidi="ar"/>
              </w:rPr>
              <w:t>压</w:t>
            </w:r>
            <w:r>
              <w:rPr>
                <w:rFonts w:ascii="Times New Roman" w:hAnsi="Times New Roman" w:cs="Times New Roman"/>
                <w:b/>
                <w:bCs/>
                <w:color w:val="auto"/>
                <w:sz w:val="21"/>
                <w:lang w:eastAsia="zh-CN" w:bidi="ar"/>
              </w:rPr>
              <w:t>级/</w:t>
            </w:r>
            <w:r>
              <w:rPr>
                <w:rFonts w:hint="eastAsia" w:ascii="Times New Roman" w:hAnsi="Times New Roman" w:cs="Times New Roman"/>
                <w:b/>
                <w:bCs/>
                <w:color w:val="auto"/>
                <w:sz w:val="21"/>
                <w:lang w:eastAsia="zh-CN" w:bidi="ar"/>
              </w:rPr>
              <w:t>距声源距离（</w:t>
            </w:r>
            <w:r>
              <w:rPr>
                <w:rFonts w:ascii="Times New Roman" w:hAnsi="Times New Roman" w:cs="Times New Roman"/>
                <w:b/>
                <w:bCs/>
                <w:color w:val="auto"/>
                <w:sz w:val="21"/>
                <w:lang w:eastAsia="zh-CN" w:bidi="ar"/>
              </w:rPr>
              <w:t>dB（A）</w:t>
            </w:r>
            <w:r>
              <w:rPr>
                <w:rFonts w:hint="eastAsia" w:ascii="Times New Roman" w:hAnsi="Times New Roman" w:cs="Times New Roman"/>
                <w:b/>
                <w:bCs/>
                <w:color w:val="auto"/>
                <w:sz w:val="21"/>
                <w:lang w:eastAsia="zh-CN" w:bidi="ar"/>
              </w:rPr>
              <w:t>/m）</w:t>
            </w:r>
          </w:p>
        </w:tc>
        <w:tc>
          <w:tcPr>
            <w:tcW w:w="451" w:type="pct"/>
            <w:vMerge w:val="continue"/>
            <w:vAlign w:val="center"/>
          </w:tcPr>
          <w:p w14:paraId="5670F03B">
            <w:pPr>
              <w:topLinePunct/>
              <w:adjustRightInd w:val="0"/>
              <w:snapToGrid w:val="0"/>
              <w:jc w:val="center"/>
              <w:rPr>
                <w:rFonts w:ascii="Times New Roman" w:hAnsi="Times New Roman" w:cs="Times New Roman"/>
                <w:color w:val="auto"/>
                <w:sz w:val="21"/>
                <w:lang w:eastAsia="zh-CN"/>
              </w:rPr>
            </w:pPr>
          </w:p>
        </w:tc>
        <w:tc>
          <w:tcPr>
            <w:tcW w:w="270" w:type="pct"/>
            <w:vMerge w:val="continue"/>
            <w:vAlign w:val="center"/>
          </w:tcPr>
          <w:p w14:paraId="45BCF38E">
            <w:pPr>
              <w:topLinePunct/>
              <w:adjustRightInd w:val="0"/>
              <w:snapToGrid w:val="0"/>
              <w:jc w:val="center"/>
              <w:rPr>
                <w:rFonts w:ascii="Times New Roman" w:hAnsi="Times New Roman" w:cs="Times New Roman"/>
                <w:color w:val="auto"/>
                <w:sz w:val="21"/>
                <w:lang w:eastAsia="zh-CN"/>
              </w:rPr>
            </w:pPr>
          </w:p>
        </w:tc>
        <w:tc>
          <w:tcPr>
            <w:tcW w:w="254" w:type="pct"/>
            <w:vAlign w:val="center"/>
          </w:tcPr>
          <w:p w14:paraId="7CD86C8B">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E</w:t>
            </w:r>
          </w:p>
        </w:tc>
        <w:tc>
          <w:tcPr>
            <w:tcW w:w="306" w:type="pct"/>
            <w:vAlign w:val="center"/>
          </w:tcPr>
          <w:p w14:paraId="15C90829">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S</w:t>
            </w:r>
          </w:p>
        </w:tc>
        <w:tc>
          <w:tcPr>
            <w:tcW w:w="255" w:type="pct"/>
            <w:vAlign w:val="center"/>
          </w:tcPr>
          <w:p w14:paraId="5C4AC384">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w:t>
            </w:r>
          </w:p>
        </w:tc>
        <w:tc>
          <w:tcPr>
            <w:tcW w:w="255" w:type="pct"/>
            <w:vAlign w:val="center"/>
          </w:tcPr>
          <w:p w14:paraId="3B3B88C1">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N</w:t>
            </w:r>
          </w:p>
        </w:tc>
        <w:tc>
          <w:tcPr>
            <w:tcW w:w="419" w:type="pct"/>
            <w:vMerge w:val="continue"/>
            <w:vAlign w:val="center"/>
          </w:tcPr>
          <w:p w14:paraId="75FA19DE">
            <w:pPr>
              <w:topLinePunct/>
              <w:adjustRightInd w:val="0"/>
              <w:snapToGrid w:val="0"/>
              <w:jc w:val="center"/>
              <w:rPr>
                <w:rFonts w:ascii="Times New Roman" w:hAnsi="Times New Roman" w:cs="Times New Roman"/>
                <w:color w:val="auto"/>
                <w:sz w:val="21"/>
                <w:lang w:eastAsia="zh-CN"/>
              </w:rPr>
            </w:pPr>
          </w:p>
        </w:tc>
      </w:tr>
      <w:tr w14:paraId="0056E982">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108" w:type="dxa"/>
            <w:bottom w:w="0" w:type="dxa"/>
            <w:right w:w="108" w:type="dxa"/>
          </w:tblCellMar>
        </w:tblPrEx>
        <w:trPr>
          <w:trHeight w:val="283" w:hRule="atLeast"/>
          <w:jc w:val="center"/>
        </w:trPr>
        <w:tc>
          <w:tcPr>
            <w:tcW w:w="254" w:type="pct"/>
            <w:vMerge w:val="restart"/>
            <w:vAlign w:val="center"/>
          </w:tcPr>
          <w:p w14:paraId="4684EAE7">
            <w:pPr>
              <w:topLinePunct/>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综合车间</w:t>
            </w:r>
          </w:p>
        </w:tc>
        <w:tc>
          <w:tcPr>
            <w:tcW w:w="380" w:type="pct"/>
            <w:vMerge w:val="restart"/>
            <w:vAlign w:val="center"/>
          </w:tcPr>
          <w:p w14:paraId="74348AC3">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化学纯氢氟酸生产装置</w:t>
            </w:r>
          </w:p>
        </w:tc>
        <w:tc>
          <w:tcPr>
            <w:tcW w:w="508" w:type="pct"/>
            <w:vAlign w:val="center"/>
          </w:tcPr>
          <w:p w14:paraId="1EBC5BCB">
            <w:pPr>
              <w:topLinePunct/>
              <w:adjustRightInd w:val="0"/>
              <w:snapToGrid w:val="0"/>
              <w:jc w:val="center"/>
              <w:rPr>
                <w:rFonts w:ascii="Times New Roman" w:hAnsi="Times New Roman" w:cs="Times New Roman"/>
                <w:color w:val="auto"/>
                <w:sz w:val="21"/>
                <w:lang w:eastAsia="zh-CN"/>
              </w:rPr>
            </w:pPr>
          </w:p>
        </w:tc>
        <w:tc>
          <w:tcPr>
            <w:tcW w:w="301" w:type="pct"/>
            <w:vAlign w:val="center"/>
          </w:tcPr>
          <w:p w14:paraId="3B1A4573">
            <w:pPr>
              <w:topLinePunct/>
              <w:adjustRightInd w:val="0"/>
              <w:snapToGrid w:val="0"/>
              <w:jc w:val="center"/>
              <w:rPr>
                <w:rFonts w:ascii="Times New Roman" w:hAnsi="Times New Roman" w:cs="Times New Roman"/>
                <w:color w:val="auto"/>
                <w:sz w:val="21"/>
                <w:lang w:eastAsia="zh-CN"/>
              </w:rPr>
            </w:pPr>
          </w:p>
        </w:tc>
        <w:tc>
          <w:tcPr>
            <w:tcW w:w="250" w:type="pct"/>
            <w:vAlign w:val="center"/>
          </w:tcPr>
          <w:p w14:paraId="79E72A49">
            <w:pPr>
              <w:topLinePunct/>
              <w:adjustRightInd w:val="0"/>
              <w:snapToGrid w:val="0"/>
              <w:jc w:val="center"/>
              <w:rPr>
                <w:rFonts w:ascii="Times New Roman" w:hAnsi="Times New Roman" w:cs="Times New Roman"/>
                <w:color w:val="auto"/>
                <w:sz w:val="21"/>
                <w:lang w:eastAsia="zh-CN"/>
              </w:rPr>
            </w:pPr>
          </w:p>
        </w:tc>
        <w:tc>
          <w:tcPr>
            <w:tcW w:w="251" w:type="pct"/>
            <w:vAlign w:val="center"/>
          </w:tcPr>
          <w:p w14:paraId="344E26BC">
            <w:pPr>
              <w:topLinePunct/>
              <w:adjustRightInd w:val="0"/>
              <w:snapToGrid w:val="0"/>
              <w:jc w:val="center"/>
              <w:rPr>
                <w:rFonts w:ascii="Times New Roman" w:hAnsi="Times New Roman" w:cs="Times New Roman"/>
                <w:color w:val="auto"/>
                <w:sz w:val="21"/>
                <w:lang w:eastAsia="zh-CN"/>
              </w:rPr>
            </w:pPr>
          </w:p>
        </w:tc>
        <w:tc>
          <w:tcPr>
            <w:tcW w:w="295" w:type="pct"/>
            <w:vAlign w:val="center"/>
          </w:tcPr>
          <w:p w14:paraId="3530C9A6">
            <w:pPr>
              <w:topLinePunct/>
              <w:adjustRightInd w:val="0"/>
              <w:snapToGrid w:val="0"/>
              <w:jc w:val="center"/>
              <w:rPr>
                <w:rFonts w:ascii="Times New Roman" w:hAnsi="Times New Roman" w:cs="Times New Roman"/>
                <w:color w:val="auto"/>
                <w:sz w:val="21"/>
                <w:lang w:eastAsia="zh-CN"/>
              </w:rPr>
            </w:pPr>
          </w:p>
        </w:tc>
        <w:tc>
          <w:tcPr>
            <w:tcW w:w="551" w:type="pct"/>
            <w:vAlign w:val="center"/>
          </w:tcPr>
          <w:p w14:paraId="2BB4A67E">
            <w:pPr>
              <w:topLinePunct/>
              <w:adjustRightInd w:val="0"/>
              <w:snapToGrid w:val="0"/>
              <w:jc w:val="center"/>
              <w:rPr>
                <w:rFonts w:ascii="Times New Roman" w:hAnsi="Times New Roman" w:cs="Times New Roman"/>
                <w:color w:val="auto"/>
                <w:sz w:val="21"/>
                <w:lang w:eastAsia="zh-CN"/>
              </w:rPr>
            </w:pPr>
          </w:p>
        </w:tc>
        <w:tc>
          <w:tcPr>
            <w:tcW w:w="451" w:type="pct"/>
            <w:vMerge w:val="restart"/>
            <w:vAlign w:val="center"/>
          </w:tcPr>
          <w:p w14:paraId="4C640AA9">
            <w:pPr>
              <w:topLinePunct/>
              <w:adjustRightInd w:val="0"/>
              <w:snapToGrid w:val="0"/>
              <w:jc w:val="center"/>
              <w:rPr>
                <w:rFonts w:ascii="Times New Roman" w:hAnsi="Times New Roman" w:cs="Times New Roman"/>
                <w:color w:val="auto"/>
                <w:sz w:val="21"/>
                <w:szCs w:val="18"/>
                <w:lang w:eastAsia="zh-CN"/>
              </w:rPr>
            </w:pPr>
            <w:r>
              <w:rPr>
                <w:rFonts w:hint="eastAsia" w:ascii="Times New Roman" w:hAnsi="Times New Roman" w:cs="Times New Roman"/>
                <w:color w:val="auto"/>
                <w:sz w:val="21"/>
                <w:szCs w:val="18"/>
                <w:lang w:eastAsia="zh-CN"/>
              </w:rPr>
              <w:t>厂房隔声、隔声罩壳、基座减震</w:t>
            </w:r>
          </w:p>
        </w:tc>
        <w:tc>
          <w:tcPr>
            <w:tcW w:w="270" w:type="pct"/>
            <w:vAlign w:val="center"/>
          </w:tcPr>
          <w:p w14:paraId="34F9DBE6">
            <w:pPr>
              <w:topLinePunct/>
              <w:adjustRightInd w:val="0"/>
              <w:snapToGrid w:val="0"/>
              <w:jc w:val="center"/>
              <w:rPr>
                <w:rFonts w:ascii="Times New Roman" w:hAnsi="Times New Roman" w:cs="Times New Roman"/>
                <w:color w:val="auto"/>
                <w:sz w:val="21"/>
              </w:rPr>
            </w:pPr>
          </w:p>
        </w:tc>
        <w:tc>
          <w:tcPr>
            <w:tcW w:w="254" w:type="pct"/>
            <w:vAlign w:val="center"/>
          </w:tcPr>
          <w:p w14:paraId="7075CC9C">
            <w:pPr>
              <w:topLinePunct/>
              <w:adjustRightInd w:val="0"/>
              <w:snapToGrid w:val="0"/>
              <w:jc w:val="center"/>
              <w:rPr>
                <w:rFonts w:ascii="Times New Roman" w:hAnsi="Times New Roman" w:cs="Times New Roman"/>
                <w:color w:val="auto"/>
                <w:sz w:val="21"/>
                <w:lang w:eastAsia="zh-CN"/>
              </w:rPr>
            </w:pPr>
          </w:p>
        </w:tc>
        <w:tc>
          <w:tcPr>
            <w:tcW w:w="306" w:type="pct"/>
            <w:vAlign w:val="center"/>
          </w:tcPr>
          <w:p w14:paraId="72377681">
            <w:pPr>
              <w:topLinePunct/>
              <w:adjustRightInd w:val="0"/>
              <w:snapToGrid w:val="0"/>
              <w:jc w:val="center"/>
              <w:rPr>
                <w:rFonts w:ascii="Times New Roman" w:hAnsi="Times New Roman" w:cs="Times New Roman"/>
                <w:color w:val="auto"/>
                <w:sz w:val="21"/>
                <w:lang w:eastAsia="zh-CN"/>
              </w:rPr>
            </w:pPr>
          </w:p>
        </w:tc>
        <w:tc>
          <w:tcPr>
            <w:tcW w:w="255" w:type="pct"/>
            <w:vAlign w:val="center"/>
          </w:tcPr>
          <w:p w14:paraId="54CA1A30">
            <w:pPr>
              <w:topLinePunct/>
              <w:adjustRightInd w:val="0"/>
              <w:snapToGrid w:val="0"/>
              <w:jc w:val="center"/>
              <w:rPr>
                <w:rFonts w:ascii="Times New Roman" w:hAnsi="Times New Roman" w:cs="Times New Roman"/>
                <w:color w:val="auto"/>
                <w:sz w:val="21"/>
                <w:lang w:eastAsia="zh-CN"/>
              </w:rPr>
            </w:pPr>
          </w:p>
        </w:tc>
        <w:tc>
          <w:tcPr>
            <w:tcW w:w="255" w:type="pct"/>
            <w:vAlign w:val="center"/>
          </w:tcPr>
          <w:p w14:paraId="685B8FDB">
            <w:pPr>
              <w:topLinePunct/>
              <w:adjustRightInd w:val="0"/>
              <w:snapToGrid w:val="0"/>
              <w:jc w:val="center"/>
              <w:rPr>
                <w:rFonts w:ascii="Times New Roman" w:hAnsi="Times New Roman" w:cs="Times New Roman"/>
                <w:color w:val="auto"/>
                <w:kern w:val="2"/>
                <w:sz w:val="21"/>
                <w:lang w:eastAsia="zh-CN"/>
              </w:rPr>
            </w:pPr>
          </w:p>
        </w:tc>
        <w:tc>
          <w:tcPr>
            <w:tcW w:w="419" w:type="pct"/>
            <w:vAlign w:val="center"/>
          </w:tcPr>
          <w:p w14:paraId="1BAABE65">
            <w:pPr>
              <w:topLinePunct/>
              <w:adjustRightInd w:val="0"/>
              <w:snapToGrid w:val="0"/>
              <w:jc w:val="center"/>
              <w:rPr>
                <w:rFonts w:ascii="Times New Roman" w:hAnsi="Times New Roman" w:cs="Times New Roman"/>
                <w:color w:val="auto"/>
                <w:kern w:val="2"/>
                <w:sz w:val="21"/>
                <w:lang w:eastAsia="zh-CN"/>
              </w:rPr>
            </w:pPr>
          </w:p>
        </w:tc>
      </w:tr>
      <w:tr w14:paraId="77B30AA5">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108" w:type="dxa"/>
            <w:bottom w:w="0" w:type="dxa"/>
            <w:right w:w="108" w:type="dxa"/>
          </w:tblCellMar>
        </w:tblPrEx>
        <w:trPr>
          <w:trHeight w:val="283" w:hRule="atLeast"/>
          <w:jc w:val="center"/>
        </w:trPr>
        <w:tc>
          <w:tcPr>
            <w:tcW w:w="254" w:type="pct"/>
            <w:vMerge w:val="continue"/>
            <w:vAlign w:val="center"/>
          </w:tcPr>
          <w:p w14:paraId="2148D846">
            <w:pPr>
              <w:topLinePunct/>
              <w:adjustRightInd w:val="0"/>
              <w:snapToGrid w:val="0"/>
              <w:jc w:val="center"/>
              <w:rPr>
                <w:rFonts w:ascii="Times New Roman" w:hAnsi="Times New Roman" w:cs="Times New Roman"/>
                <w:color w:val="auto"/>
                <w:sz w:val="21"/>
                <w:lang w:eastAsia="zh-CN"/>
              </w:rPr>
            </w:pPr>
          </w:p>
        </w:tc>
        <w:tc>
          <w:tcPr>
            <w:tcW w:w="380" w:type="pct"/>
            <w:vMerge w:val="continue"/>
            <w:vAlign w:val="center"/>
          </w:tcPr>
          <w:p w14:paraId="029DCA2E">
            <w:pPr>
              <w:topLinePunct/>
              <w:adjustRightInd w:val="0"/>
              <w:snapToGrid w:val="0"/>
              <w:jc w:val="center"/>
              <w:rPr>
                <w:rFonts w:ascii="Times New Roman" w:hAnsi="Times New Roman" w:cs="Times New Roman"/>
                <w:color w:val="auto"/>
                <w:sz w:val="21"/>
                <w:lang w:eastAsia="zh-CN"/>
              </w:rPr>
            </w:pPr>
          </w:p>
        </w:tc>
        <w:tc>
          <w:tcPr>
            <w:tcW w:w="508" w:type="pct"/>
            <w:vAlign w:val="center"/>
          </w:tcPr>
          <w:p w14:paraId="7A61F2EA">
            <w:pPr>
              <w:topLinePunct/>
              <w:adjustRightInd w:val="0"/>
              <w:snapToGrid w:val="0"/>
              <w:jc w:val="center"/>
              <w:rPr>
                <w:rFonts w:ascii="Times New Roman" w:hAnsi="Times New Roman" w:cs="Times New Roman"/>
                <w:color w:val="auto"/>
                <w:sz w:val="21"/>
                <w:lang w:eastAsia="zh-CN"/>
              </w:rPr>
            </w:pPr>
          </w:p>
        </w:tc>
        <w:tc>
          <w:tcPr>
            <w:tcW w:w="301" w:type="pct"/>
            <w:vAlign w:val="center"/>
          </w:tcPr>
          <w:p w14:paraId="1AB101A9">
            <w:pPr>
              <w:topLinePunct/>
              <w:adjustRightInd w:val="0"/>
              <w:snapToGrid w:val="0"/>
              <w:jc w:val="center"/>
              <w:rPr>
                <w:rFonts w:ascii="Times New Roman" w:hAnsi="Times New Roman" w:cs="Times New Roman"/>
                <w:color w:val="auto"/>
                <w:sz w:val="21"/>
                <w:lang w:eastAsia="zh-CN"/>
              </w:rPr>
            </w:pPr>
          </w:p>
        </w:tc>
        <w:tc>
          <w:tcPr>
            <w:tcW w:w="250" w:type="pct"/>
            <w:vAlign w:val="center"/>
          </w:tcPr>
          <w:p w14:paraId="1399642C">
            <w:pPr>
              <w:topLinePunct/>
              <w:adjustRightInd w:val="0"/>
              <w:snapToGrid w:val="0"/>
              <w:jc w:val="center"/>
              <w:rPr>
                <w:rFonts w:ascii="Times New Roman" w:hAnsi="Times New Roman" w:cs="Times New Roman"/>
                <w:color w:val="auto"/>
                <w:sz w:val="21"/>
                <w:lang w:eastAsia="zh-CN"/>
              </w:rPr>
            </w:pPr>
          </w:p>
        </w:tc>
        <w:tc>
          <w:tcPr>
            <w:tcW w:w="251" w:type="pct"/>
            <w:vAlign w:val="center"/>
          </w:tcPr>
          <w:p w14:paraId="7EA4B32A">
            <w:pPr>
              <w:topLinePunct/>
              <w:adjustRightInd w:val="0"/>
              <w:snapToGrid w:val="0"/>
              <w:jc w:val="center"/>
              <w:rPr>
                <w:rFonts w:ascii="Times New Roman" w:hAnsi="Times New Roman" w:cs="Times New Roman"/>
                <w:color w:val="auto"/>
                <w:sz w:val="21"/>
                <w:lang w:eastAsia="zh-CN"/>
              </w:rPr>
            </w:pPr>
          </w:p>
        </w:tc>
        <w:tc>
          <w:tcPr>
            <w:tcW w:w="295" w:type="pct"/>
            <w:vAlign w:val="center"/>
          </w:tcPr>
          <w:p w14:paraId="0F7A4188">
            <w:pPr>
              <w:topLinePunct/>
              <w:adjustRightInd w:val="0"/>
              <w:snapToGrid w:val="0"/>
              <w:jc w:val="center"/>
              <w:rPr>
                <w:rFonts w:ascii="Times New Roman" w:hAnsi="Times New Roman" w:cs="Times New Roman"/>
                <w:color w:val="auto"/>
                <w:sz w:val="21"/>
                <w:lang w:eastAsia="zh-CN"/>
              </w:rPr>
            </w:pPr>
          </w:p>
        </w:tc>
        <w:tc>
          <w:tcPr>
            <w:tcW w:w="551" w:type="pct"/>
            <w:vAlign w:val="center"/>
          </w:tcPr>
          <w:p w14:paraId="6030A7D7">
            <w:pPr>
              <w:topLinePunct/>
              <w:adjustRightInd w:val="0"/>
              <w:snapToGrid w:val="0"/>
              <w:jc w:val="center"/>
              <w:rPr>
                <w:rFonts w:ascii="Times New Roman" w:hAnsi="Times New Roman" w:cs="Times New Roman"/>
                <w:color w:val="auto"/>
                <w:sz w:val="21"/>
                <w:lang w:eastAsia="zh-CN"/>
              </w:rPr>
            </w:pPr>
          </w:p>
        </w:tc>
        <w:tc>
          <w:tcPr>
            <w:tcW w:w="451" w:type="pct"/>
            <w:vMerge w:val="continue"/>
            <w:vAlign w:val="center"/>
          </w:tcPr>
          <w:p w14:paraId="45A3CE1A">
            <w:pPr>
              <w:topLinePunct/>
              <w:adjustRightInd w:val="0"/>
              <w:snapToGrid w:val="0"/>
              <w:jc w:val="center"/>
              <w:rPr>
                <w:rFonts w:ascii="Times New Roman" w:hAnsi="Times New Roman" w:cs="Times New Roman"/>
                <w:color w:val="auto"/>
                <w:sz w:val="21"/>
                <w:szCs w:val="18"/>
                <w:lang w:eastAsia="zh-CN"/>
              </w:rPr>
            </w:pPr>
          </w:p>
        </w:tc>
        <w:tc>
          <w:tcPr>
            <w:tcW w:w="270" w:type="pct"/>
            <w:vAlign w:val="center"/>
          </w:tcPr>
          <w:p w14:paraId="3826A3F9">
            <w:pPr>
              <w:topLinePunct/>
              <w:adjustRightInd w:val="0"/>
              <w:snapToGrid w:val="0"/>
              <w:jc w:val="center"/>
              <w:rPr>
                <w:rFonts w:ascii="Times New Roman" w:hAnsi="Times New Roman" w:cs="Times New Roman"/>
                <w:color w:val="auto"/>
                <w:sz w:val="21"/>
              </w:rPr>
            </w:pPr>
          </w:p>
        </w:tc>
        <w:tc>
          <w:tcPr>
            <w:tcW w:w="254" w:type="pct"/>
            <w:vAlign w:val="center"/>
          </w:tcPr>
          <w:p w14:paraId="3D6D49D8">
            <w:pPr>
              <w:topLinePunct/>
              <w:adjustRightInd w:val="0"/>
              <w:snapToGrid w:val="0"/>
              <w:jc w:val="center"/>
              <w:rPr>
                <w:rFonts w:ascii="Times New Roman" w:hAnsi="Times New Roman" w:cs="Times New Roman"/>
                <w:color w:val="auto"/>
                <w:sz w:val="21"/>
                <w:lang w:eastAsia="zh-CN"/>
              </w:rPr>
            </w:pPr>
          </w:p>
        </w:tc>
        <w:tc>
          <w:tcPr>
            <w:tcW w:w="306" w:type="pct"/>
            <w:vAlign w:val="center"/>
          </w:tcPr>
          <w:p w14:paraId="24B6BAC3">
            <w:pPr>
              <w:topLinePunct/>
              <w:adjustRightInd w:val="0"/>
              <w:snapToGrid w:val="0"/>
              <w:jc w:val="center"/>
              <w:rPr>
                <w:rFonts w:ascii="Times New Roman" w:hAnsi="Times New Roman" w:cs="Times New Roman"/>
                <w:color w:val="auto"/>
                <w:sz w:val="21"/>
                <w:lang w:eastAsia="zh-CN"/>
              </w:rPr>
            </w:pPr>
          </w:p>
        </w:tc>
        <w:tc>
          <w:tcPr>
            <w:tcW w:w="255" w:type="pct"/>
            <w:vAlign w:val="center"/>
          </w:tcPr>
          <w:p w14:paraId="112795C5">
            <w:pPr>
              <w:topLinePunct/>
              <w:adjustRightInd w:val="0"/>
              <w:snapToGrid w:val="0"/>
              <w:jc w:val="center"/>
              <w:rPr>
                <w:rFonts w:ascii="Times New Roman" w:hAnsi="Times New Roman" w:cs="Times New Roman"/>
                <w:color w:val="auto"/>
                <w:sz w:val="21"/>
                <w:lang w:eastAsia="zh-CN"/>
              </w:rPr>
            </w:pPr>
          </w:p>
        </w:tc>
        <w:tc>
          <w:tcPr>
            <w:tcW w:w="255" w:type="pct"/>
            <w:vAlign w:val="center"/>
          </w:tcPr>
          <w:p w14:paraId="36A9729F">
            <w:pPr>
              <w:topLinePunct/>
              <w:adjustRightInd w:val="0"/>
              <w:snapToGrid w:val="0"/>
              <w:jc w:val="center"/>
              <w:rPr>
                <w:rFonts w:ascii="Times New Roman" w:hAnsi="Times New Roman" w:cs="Times New Roman"/>
                <w:color w:val="auto"/>
                <w:sz w:val="21"/>
                <w:lang w:eastAsia="zh-CN"/>
              </w:rPr>
            </w:pPr>
          </w:p>
        </w:tc>
        <w:tc>
          <w:tcPr>
            <w:tcW w:w="419" w:type="pct"/>
            <w:vAlign w:val="center"/>
          </w:tcPr>
          <w:p w14:paraId="1D9EFF40">
            <w:pPr>
              <w:topLinePunct/>
              <w:adjustRightInd w:val="0"/>
              <w:snapToGrid w:val="0"/>
              <w:jc w:val="center"/>
              <w:rPr>
                <w:rFonts w:ascii="Times New Roman" w:hAnsi="Times New Roman" w:cs="Times New Roman"/>
                <w:color w:val="auto"/>
                <w:kern w:val="2"/>
                <w:sz w:val="21"/>
                <w:lang w:eastAsia="zh-CN"/>
              </w:rPr>
            </w:pPr>
          </w:p>
        </w:tc>
      </w:tr>
      <w:tr w14:paraId="7A599A12">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108" w:type="dxa"/>
            <w:bottom w:w="0" w:type="dxa"/>
            <w:right w:w="108" w:type="dxa"/>
          </w:tblCellMar>
        </w:tblPrEx>
        <w:trPr>
          <w:trHeight w:val="283" w:hRule="atLeast"/>
          <w:jc w:val="center"/>
        </w:trPr>
        <w:tc>
          <w:tcPr>
            <w:tcW w:w="254" w:type="pct"/>
            <w:vMerge w:val="continue"/>
            <w:vAlign w:val="center"/>
          </w:tcPr>
          <w:p w14:paraId="55595B8C">
            <w:pPr>
              <w:topLinePunct/>
              <w:adjustRightInd w:val="0"/>
              <w:snapToGrid w:val="0"/>
              <w:jc w:val="center"/>
              <w:rPr>
                <w:rFonts w:ascii="Times New Roman" w:hAnsi="Times New Roman" w:cs="Times New Roman"/>
                <w:color w:val="auto"/>
                <w:sz w:val="21"/>
                <w:lang w:eastAsia="zh-CN"/>
              </w:rPr>
            </w:pPr>
          </w:p>
        </w:tc>
        <w:tc>
          <w:tcPr>
            <w:tcW w:w="380" w:type="pct"/>
            <w:vMerge w:val="continue"/>
            <w:vAlign w:val="center"/>
          </w:tcPr>
          <w:p w14:paraId="6019F6BB">
            <w:pPr>
              <w:topLinePunct/>
              <w:adjustRightInd w:val="0"/>
              <w:snapToGrid w:val="0"/>
              <w:jc w:val="center"/>
              <w:rPr>
                <w:rFonts w:ascii="Times New Roman" w:hAnsi="Times New Roman" w:cs="Times New Roman"/>
                <w:color w:val="auto"/>
                <w:sz w:val="21"/>
                <w:lang w:eastAsia="zh-CN"/>
              </w:rPr>
            </w:pPr>
          </w:p>
        </w:tc>
        <w:tc>
          <w:tcPr>
            <w:tcW w:w="508" w:type="pct"/>
            <w:vAlign w:val="center"/>
          </w:tcPr>
          <w:p w14:paraId="5F1B3AD9">
            <w:pPr>
              <w:topLinePunct/>
              <w:adjustRightInd w:val="0"/>
              <w:snapToGrid w:val="0"/>
              <w:jc w:val="center"/>
              <w:rPr>
                <w:rFonts w:ascii="Times New Roman" w:hAnsi="Times New Roman" w:cs="Times New Roman"/>
                <w:color w:val="auto"/>
                <w:spacing w:val="-2"/>
                <w:sz w:val="21"/>
              </w:rPr>
            </w:pPr>
          </w:p>
        </w:tc>
        <w:tc>
          <w:tcPr>
            <w:tcW w:w="301" w:type="pct"/>
            <w:vAlign w:val="center"/>
          </w:tcPr>
          <w:p w14:paraId="32AD8BA5">
            <w:pPr>
              <w:topLinePunct/>
              <w:adjustRightInd w:val="0"/>
              <w:snapToGrid w:val="0"/>
              <w:jc w:val="center"/>
              <w:rPr>
                <w:rFonts w:ascii="Times New Roman" w:hAnsi="Times New Roman" w:cs="Times New Roman"/>
                <w:color w:val="auto"/>
                <w:sz w:val="21"/>
                <w:lang w:eastAsia="zh-CN"/>
              </w:rPr>
            </w:pPr>
          </w:p>
        </w:tc>
        <w:tc>
          <w:tcPr>
            <w:tcW w:w="250" w:type="pct"/>
            <w:vAlign w:val="center"/>
          </w:tcPr>
          <w:p w14:paraId="46D31999">
            <w:pPr>
              <w:topLinePunct/>
              <w:adjustRightInd w:val="0"/>
              <w:snapToGrid w:val="0"/>
              <w:jc w:val="center"/>
              <w:rPr>
                <w:rFonts w:ascii="Times New Roman" w:hAnsi="Times New Roman" w:cs="Times New Roman"/>
                <w:color w:val="auto"/>
                <w:sz w:val="21"/>
                <w:lang w:eastAsia="zh-CN"/>
              </w:rPr>
            </w:pPr>
          </w:p>
        </w:tc>
        <w:tc>
          <w:tcPr>
            <w:tcW w:w="251" w:type="pct"/>
            <w:vAlign w:val="center"/>
          </w:tcPr>
          <w:p w14:paraId="2B89E890">
            <w:pPr>
              <w:topLinePunct/>
              <w:adjustRightInd w:val="0"/>
              <w:snapToGrid w:val="0"/>
              <w:jc w:val="center"/>
              <w:rPr>
                <w:rFonts w:ascii="Times New Roman" w:hAnsi="Times New Roman" w:cs="Times New Roman"/>
                <w:color w:val="auto"/>
                <w:sz w:val="21"/>
                <w:lang w:eastAsia="zh-CN"/>
              </w:rPr>
            </w:pPr>
          </w:p>
        </w:tc>
        <w:tc>
          <w:tcPr>
            <w:tcW w:w="295" w:type="pct"/>
            <w:vAlign w:val="center"/>
          </w:tcPr>
          <w:p w14:paraId="64AB97F4">
            <w:pPr>
              <w:topLinePunct/>
              <w:adjustRightInd w:val="0"/>
              <w:snapToGrid w:val="0"/>
              <w:jc w:val="center"/>
              <w:rPr>
                <w:rFonts w:ascii="Times New Roman" w:hAnsi="Times New Roman" w:cs="Times New Roman"/>
                <w:color w:val="auto"/>
                <w:sz w:val="21"/>
                <w:lang w:eastAsia="zh-CN"/>
              </w:rPr>
            </w:pPr>
          </w:p>
        </w:tc>
        <w:tc>
          <w:tcPr>
            <w:tcW w:w="551" w:type="pct"/>
            <w:vAlign w:val="center"/>
          </w:tcPr>
          <w:p w14:paraId="25F15BF6">
            <w:pPr>
              <w:topLinePunct/>
              <w:adjustRightInd w:val="0"/>
              <w:snapToGrid w:val="0"/>
              <w:jc w:val="center"/>
              <w:rPr>
                <w:rFonts w:ascii="Times New Roman" w:hAnsi="Times New Roman" w:cs="Times New Roman"/>
                <w:color w:val="auto"/>
                <w:sz w:val="21"/>
                <w:lang w:eastAsia="zh-CN"/>
              </w:rPr>
            </w:pPr>
          </w:p>
        </w:tc>
        <w:tc>
          <w:tcPr>
            <w:tcW w:w="451" w:type="pct"/>
            <w:vMerge w:val="continue"/>
            <w:vAlign w:val="center"/>
          </w:tcPr>
          <w:p w14:paraId="3761AA8F">
            <w:pPr>
              <w:topLinePunct/>
              <w:adjustRightInd w:val="0"/>
              <w:snapToGrid w:val="0"/>
              <w:jc w:val="center"/>
              <w:rPr>
                <w:rFonts w:ascii="Times New Roman" w:hAnsi="Times New Roman" w:cs="Times New Roman"/>
                <w:color w:val="auto"/>
                <w:sz w:val="21"/>
                <w:szCs w:val="18"/>
                <w:lang w:eastAsia="zh-CN"/>
              </w:rPr>
            </w:pPr>
          </w:p>
        </w:tc>
        <w:tc>
          <w:tcPr>
            <w:tcW w:w="270" w:type="pct"/>
            <w:vAlign w:val="center"/>
          </w:tcPr>
          <w:p w14:paraId="38D900A6">
            <w:pPr>
              <w:topLinePunct/>
              <w:adjustRightInd w:val="0"/>
              <w:snapToGrid w:val="0"/>
              <w:jc w:val="center"/>
              <w:rPr>
                <w:rFonts w:ascii="Times New Roman" w:hAnsi="Times New Roman" w:cs="Times New Roman"/>
                <w:color w:val="auto"/>
                <w:sz w:val="21"/>
                <w:lang w:eastAsia="zh-CN"/>
              </w:rPr>
            </w:pPr>
          </w:p>
        </w:tc>
        <w:tc>
          <w:tcPr>
            <w:tcW w:w="254" w:type="pct"/>
            <w:vAlign w:val="center"/>
          </w:tcPr>
          <w:p w14:paraId="77FAABD4">
            <w:pPr>
              <w:topLinePunct/>
              <w:adjustRightInd w:val="0"/>
              <w:snapToGrid w:val="0"/>
              <w:jc w:val="center"/>
              <w:rPr>
                <w:rFonts w:ascii="Times New Roman" w:hAnsi="Times New Roman" w:cs="Times New Roman"/>
                <w:color w:val="auto"/>
                <w:sz w:val="21"/>
                <w:lang w:eastAsia="zh-CN"/>
              </w:rPr>
            </w:pPr>
          </w:p>
        </w:tc>
        <w:tc>
          <w:tcPr>
            <w:tcW w:w="306" w:type="pct"/>
            <w:vAlign w:val="center"/>
          </w:tcPr>
          <w:p w14:paraId="669EE7D0">
            <w:pPr>
              <w:topLinePunct/>
              <w:adjustRightInd w:val="0"/>
              <w:snapToGrid w:val="0"/>
              <w:jc w:val="center"/>
              <w:rPr>
                <w:rFonts w:ascii="Times New Roman" w:hAnsi="Times New Roman" w:cs="Times New Roman"/>
                <w:color w:val="auto"/>
                <w:sz w:val="21"/>
                <w:lang w:eastAsia="zh-CN"/>
              </w:rPr>
            </w:pPr>
          </w:p>
        </w:tc>
        <w:tc>
          <w:tcPr>
            <w:tcW w:w="255" w:type="pct"/>
            <w:vAlign w:val="center"/>
          </w:tcPr>
          <w:p w14:paraId="793003E1">
            <w:pPr>
              <w:topLinePunct/>
              <w:adjustRightInd w:val="0"/>
              <w:snapToGrid w:val="0"/>
              <w:jc w:val="center"/>
              <w:rPr>
                <w:rFonts w:ascii="Times New Roman" w:hAnsi="Times New Roman" w:cs="Times New Roman"/>
                <w:color w:val="auto"/>
                <w:sz w:val="21"/>
                <w:lang w:eastAsia="zh-CN"/>
              </w:rPr>
            </w:pPr>
          </w:p>
        </w:tc>
        <w:tc>
          <w:tcPr>
            <w:tcW w:w="255" w:type="pct"/>
            <w:vAlign w:val="center"/>
          </w:tcPr>
          <w:p w14:paraId="4211CF77">
            <w:pPr>
              <w:topLinePunct/>
              <w:adjustRightInd w:val="0"/>
              <w:snapToGrid w:val="0"/>
              <w:jc w:val="center"/>
              <w:rPr>
                <w:rFonts w:ascii="Times New Roman" w:hAnsi="Times New Roman" w:cs="Times New Roman"/>
                <w:color w:val="auto"/>
                <w:sz w:val="21"/>
                <w:lang w:eastAsia="zh-CN"/>
              </w:rPr>
            </w:pPr>
          </w:p>
        </w:tc>
        <w:tc>
          <w:tcPr>
            <w:tcW w:w="419" w:type="pct"/>
            <w:vAlign w:val="center"/>
          </w:tcPr>
          <w:p w14:paraId="4050E478">
            <w:pPr>
              <w:topLinePunct/>
              <w:adjustRightInd w:val="0"/>
              <w:snapToGrid w:val="0"/>
              <w:jc w:val="center"/>
              <w:rPr>
                <w:rFonts w:ascii="Times New Roman" w:hAnsi="Times New Roman" w:cs="Times New Roman"/>
                <w:color w:val="auto"/>
                <w:sz w:val="21"/>
                <w:lang w:eastAsia="zh-CN"/>
              </w:rPr>
            </w:pPr>
          </w:p>
        </w:tc>
      </w:tr>
      <w:tr w14:paraId="615368BA">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108" w:type="dxa"/>
            <w:bottom w:w="0" w:type="dxa"/>
            <w:right w:w="108" w:type="dxa"/>
          </w:tblCellMar>
        </w:tblPrEx>
        <w:trPr>
          <w:trHeight w:val="283" w:hRule="atLeast"/>
          <w:jc w:val="center"/>
        </w:trPr>
        <w:tc>
          <w:tcPr>
            <w:tcW w:w="254" w:type="pct"/>
            <w:vMerge w:val="restart"/>
            <w:vAlign w:val="center"/>
          </w:tcPr>
          <w:p w14:paraId="5FC08A3B">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刻蚀液混配车间</w:t>
            </w:r>
          </w:p>
        </w:tc>
        <w:tc>
          <w:tcPr>
            <w:tcW w:w="380" w:type="pct"/>
            <w:vMerge w:val="restart"/>
            <w:vAlign w:val="center"/>
          </w:tcPr>
          <w:p w14:paraId="7883D8F7">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刻蚀液生产装置</w:t>
            </w:r>
          </w:p>
        </w:tc>
        <w:tc>
          <w:tcPr>
            <w:tcW w:w="508" w:type="pct"/>
            <w:vAlign w:val="center"/>
          </w:tcPr>
          <w:p w14:paraId="75276C45">
            <w:pPr>
              <w:topLinePunct/>
              <w:adjustRightInd w:val="0"/>
              <w:snapToGrid w:val="0"/>
              <w:jc w:val="center"/>
              <w:rPr>
                <w:rFonts w:ascii="Times New Roman" w:hAnsi="Times New Roman" w:cs="Times New Roman"/>
                <w:color w:val="auto"/>
                <w:sz w:val="21"/>
                <w:lang w:eastAsia="zh-CN"/>
              </w:rPr>
            </w:pPr>
          </w:p>
        </w:tc>
        <w:tc>
          <w:tcPr>
            <w:tcW w:w="301" w:type="pct"/>
            <w:vAlign w:val="center"/>
          </w:tcPr>
          <w:p w14:paraId="04718CAE">
            <w:pPr>
              <w:topLinePunct/>
              <w:adjustRightInd w:val="0"/>
              <w:snapToGrid w:val="0"/>
              <w:jc w:val="center"/>
              <w:rPr>
                <w:rFonts w:ascii="Times New Roman" w:hAnsi="Times New Roman" w:cs="Times New Roman"/>
                <w:color w:val="auto"/>
                <w:sz w:val="21"/>
                <w:lang w:eastAsia="zh-CN"/>
              </w:rPr>
            </w:pPr>
          </w:p>
        </w:tc>
        <w:tc>
          <w:tcPr>
            <w:tcW w:w="250" w:type="pct"/>
            <w:vAlign w:val="center"/>
          </w:tcPr>
          <w:p w14:paraId="132E9B32">
            <w:pPr>
              <w:topLinePunct/>
              <w:adjustRightInd w:val="0"/>
              <w:snapToGrid w:val="0"/>
              <w:jc w:val="center"/>
              <w:rPr>
                <w:rFonts w:ascii="Times New Roman" w:hAnsi="Times New Roman" w:eastAsia="等线" w:cs="Times New Roman"/>
                <w:sz w:val="21"/>
                <w:lang w:eastAsia="zh-CN"/>
              </w:rPr>
            </w:pPr>
          </w:p>
        </w:tc>
        <w:tc>
          <w:tcPr>
            <w:tcW w:w="251" w:type="pct"/>
            <w:vAlign w:val="center"/>
          </w:tcPr>
          <w:p w14:paraId="7E04988A">
            <w:pPr>
              <w:topLinePunct/>
              <w:adjustRightInd w:val="0"/>
              <w:snapToGrid w:val="0"/>
              <w:jc w:val="center"/>
              <w:rPr>
                <w:rFonts w:ascii="Times New Roman" w:hAnsi="Times New Roman" w:eastAsia="等线" w:cs="Times New Roman"/>
                <w:sz w:val="21"/>
                <w:lang w:eastAsia="zh-CN"/>
              </w:rPr>
            </w:pPr>
          </w:p>
        </w:tc>
        <w:tc>
          <w:tcPr>
            <w:tcW w:w="295" w:type="pct"/>
            <w:vAlign w:val="center"/>
          </w:tcPr>
          <w:p w14:paraId="115CDC00">
            <w:pPr>
              <w:topLinePunct/>
              <w:adjustRightInd w:val="0"/>
              <w:snapToGrid w:val="0"/>
              <w:jc w:val="center"/>
              <w:rPr>
                <w:rFonts w:ascii="Times New Roman" w:hAnsi="Times New Roman" w:cs="Times New Roman"/>
                <w:color w:val="auto"/>
                <w:sz w:val="21"/>
                <w:lang w:eastAsia="zh-CN"/>
              </w:rPr>
            </w:pPr>
          </w:p>
        </w:tc>
        <w:tc>
          <w:tcPr>
            <w:tcW w:w="551" w:type="pct"/>
            <w:vAlign w:val="center"/>
          </w:tcPr>
          <w:p w14:paraId="327094D6">
            <w:pPr>
              <w:topLinePunct/>
              <w:adjustRightInd w:val="0"/>
              <w:snapToGrid w:val="0"/>
              <w:jc w:val="center"/>
              <w:rPr>
                <w:rFonts w:ascii="Times New Roman" w:hAnsi="Times New Roman" w:cs="Times New Roman"/>
                <w:color w:val="auto"/>
                <w:sz w:val="21"/>
                <w:lang w:eastAsia="zh-CN"/>
              </w:rPr>
            </w:pPr>
          </w:p>
        </w:tc>
        <w:tc>
          <w:tcPr>
            <w:tcW w:w="451" w:type="pct"/>
            <w:vMerge w:val="continue"/>
            <w:vAlign w:val="center"/>
          </w:tcPr>
          <w:p w14:paraId="240AAF5C">
            <w:pPr>
              <w:topLinePunct/>
              <w:adjustRightInd w:val="0"/>
              <w:snapToGrid w:val="0"/>
              <w:jc w:val="center"/>
              <w:rPr>
                <w:rFonts w:ascii="Times New Roman" w:hAnsi="Times New Roman" w:cs="Times New Roman"/>
                <w:color w:val="auto"/>
                <w:sz w:val="21"/>
                <w:szCs w:val="18"/>
                <w:lang w:eastAsia="zh-CN"/>
              </w:rPr>
            </w:pPr>
          </w:p>
        </w:tc>
        <w:tc>
          <w:tcPr>
            <w:tcW w:w="270" w:type="pct"/>
            <w:vAlign w:val="center"/>
          </w:tcPr>
          <w:p w14:paraId="48F61930">
            <w:pPr>
              <w:topLinePunct/>
              <w:adjustRightInd w:val="0"/>
              <w:snapToGrid w:val="0"/>
              <w:jc w:val="center"/>
              <w:rPr>
                <w:rFonts w:ascii="Times New Roman" w:hAnsi="Times New Roman" w:cs="Times New Roman"/>
                <w:color w:val="auto"/>
                <w:sz w:val="21"/>
                <w:lang w:eastAsia="zh-CN"/>
              </w:rPr>
            </w:pPr>
          </w:p>
        </w:tc>
        <w:tc>
          <w:tcPr>
            <w:tcW w:w="254" w:type="pct"/>
            <w:vAlign w:val="center"/>
          </w:tcPr>
          <w:p w14:paraId="24312C31">
            <w:pPr>
              <w:topLinePunct/>
              <w:adjustRightInd w:val="0"/>
              <w:snapToGrid w:val="0"/>
              <w:jc w:val="center"/>
              <w:rPr>
                <w:rFonts w:ascii="Times New Roman" w:hAnsi="Times New Roman" w:eastAsia="等线" w:cs="Times New Roman"/>
                <w:sz w:val="21"/>
                <w:lang w:eastAsia="zh-CN"/>
              </w:rPr>
            </w:pPr>
          </w:p>
        </w:tc>
        <w:tc>
          <w:tcPr>
            <w:tcW w:w="306" w:type="pct"/>
            <w:vAlign w:val="center"/>
          </w:tcPr>
          <w:p w14:paraId="0D7920E8">
            <w:pPr>
              <w:topLinePunct/>
              <w:adjustRightInd w:val="0"/>
              <w:snapToGrid w:val="0"/>
              <w:jc w:val="center"/>
              <w:rPr>
                <w:rFonts w:ascii="Times New Roman" w:hAnsi="Times New Roman" w:eastAsia="等线" w:cs="Times New Roman"/>
                <w:sz w:val="21"/>
                <w:lang w:eastAsia="zh-CN"/>
              </w:rPr>
            </w:pPr>
          </w:p>
        </w:tc>
        <w:tc>
          <w:tcPr>
            <w:tcW w:w="255" w:type="pct"/>
            <w:vAlign w:val="center"/>
          </w:tcPr>
          <w:p w14:paraId="7AF0143B">
            <w:pPr>
              <w:topLinePunct/>
              <w:adjustRightInd w:val="0"/>
              <w:snapToGrid w:val="0"/>
              <w:jc w:val="center"/>
              <w:rPr>
                <w:rFonts w:ascii="Times New Roman" w:hAnsi="Times New Roman" w:eastAsia="等线" w:cs="Times New Roman"/>
                <w:sz w:val="21"/>
                <w:lang w:eastAsia="zh-CN"/>
              </w:rPr>
            </w:pPr>
          </w:p>
        </w:tc>
        <w:tc>
          <w:tcPr>
            <w:tcW w:w="255" w:type="pct"/>
            <w:vAlign w:val="center"/>
          </w:tcPr>
          <w:p w14:paraId="6745253A">
            <w:pPr>
              <w:topLinePunct/>
              <w:adjustRightInd w:val="0"/>
              <w:snapToGrid w:val="0"/>
              <w:jc w:val="center"/>
              <w:rPr>
                <w:rFonts w:ascii="Times New Roman" w:hAnsi="Times New Roman" w:eastAsia="等线" w:cs="Times New Roman"/>
                <w:sz w:val="21"/>
                <w:lang w:eastAsia="zh-CN"/>
              </w:rPr>
            </w:pPr>
          </w:p>
        </w:tc>
        <w:tc>
          <w:tcPr>
            <w:tcW w:w="419" w:type="pct"/>
            <w:vAlign w:val="center"/>
          </w:tcPr>
          <w:p w14:paraId="62B1FD68">
            <w:pPr>
              <w:topLinePunct/>
              <w:adjustRightInd w:val="0"/>
              <w:snapToGrid w:val="0"/>
              <w:jc w:val="center"/>
              <w:rPr>
                <w:rFonts w:ascii="Times New Roman" w:hAnsi="Times New Roman" w:cs="Times New Roman"/>
                <w:color w:val="auto"/>
                <w:sz w:val="21"/>
                <w:lang w:eastAsia="zh-CN"/>
              </w:rPr>
            </w:pPr>
          </w:p>
        </w:tc>
      </w:tr>
      <w:tr w14:paraId="65FC73E0">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108" w:type="dxa"/>
            <w:bottom w:w="0" w:type="dxa"/>
            <w:right w:w="108" w:type="dxa"/>
          </w:tblCellMar>
        </w:tblPrEx>
        <w:trPr>
          <w:trHeight w:val="283" w:hRule="atLeast"/>
          <w:jc w:val="center"/>
        </w:trPr>
        <w:tc>
          <w:tcPr>
            <w:tcW w:w="254" w:type="pct"/>
            <w:vMerge w:val="continue"/>
            <w:vAlign w:val="center"/>
          </w:tcPr>
          <w:p w14:paraId="23EF3E2F">
            <w:pPr>
              <w:topLinePunct/>
              <w:adjustRightInd w:val="0"/>
              <w:snapToGrid w:val="0"/>
              <w:jc w:val="center"/>
              <w:rPr>
                <w:rFonts w:ascii="Times New Roman" w:hAnsi="Times New Roman" w:cs="Times New Roman"/>
                <w:color w:val="auto"/>
                <w:sz w:val="21"/>
                <w:lang w:eastAsia="zh-CN"/>
              </w:rPr>
            </w:pPr>
          </w:p>
        </w:tc>
        <w:tc>
          <w:tcPr>
            <w:tcW w:w="380" w:type="pct"/>
            <w:vMerge w:val="continue"/>
            <w:vAlign w:val="center"/>
          </w:tcPr>
          <w:p w14:paraId="2C3148C0">
            <w:pPr>
              <w:topLinePunct/>
              <w:adjustRightInd w:val="0"/>
              <w:snapToGrid w:val="0"/>
              <w:jc w:val="center"/>
              <w:rPr>
                <w:rFonts w:ascii="Times New Roman" w:hAnsi="Times New Roman" w:cs="Times New Roman"/>
                <w:color w:val="auto"/>
                <w:sz w:val="21"/>
                <w:lang w:eastAsia="zh-CN"/>
              </w:rPr>
            </w:pPr>
          </w:p>
        </w:tc>
        <w:tc>
          <w:tcPr>
            <w:tcW w:w="508" w:type="pct"/>
            <w:vAlign w:val="center"/>
          </w:tcPr>
          <w:p w14:paraId="79C0AB27">
            <w:pPr>
              <w:topLinePunct/>
              <w:adjustRightInd w:val="0"/>
              <w:snapToGrid w:val="0"/>
              <w:jc w:val="center"/>
              <w:rPr>
                <w:rFonts w:ascii="Times New Roman" w:hAnsi="Times New Roman" w:cs="Times New Roman"/>
                <w:color w:val="auto"/>
                <w:sz w:val="21"/>
                <w:lang w:eastAsia="zh-CN"/>
              </w:rPr>
            </w:pPr>
          </w:p>
        </w:tc>
        <w:tc>
          <w:tcPr>
            <w:tcW w:w="301" w:type="pct"/>
            <w:vAlign w:val="center"/>
          </w:tcPr>
          <w:p w14:paraId="6F72DE9B">
            <w:pPr>
              <w:topLinePunct/>
              <w:adjustRightInd w:val="0"/>
              <w:snapToGrid w:val="0"/>
              <w:jc w:val="center"/>
              <w:rPr>
                <w:rFonts w:ascii="Times New Roman" w:hAnsi="Times New Roman" w:cs="Times New Roman"/>
                <w:color w:val="auto"/>
                <w:sz w:val="21"/>
                <w:lang w:eastAsia="zh-CN"/>
              </w:rPr>
            </w:pPr>
          </w:p>
        </w:tc>
        <w:tc>
          <w:tcPr>
            <w:tcW w:w="250" w:type="pct"/>
            <w:vAlign w:val="center"/>
          </w:tcPr>
          <w:p w14:paraId="24D2C40A">
            <w:pPr>
              <w:topLinePunct/>
              <w:adjustRightInd w:val="0"/>
              <w:snapToGrid w:val="0"/>
              <w:jc w:val="center"/>
              <w:rPr>
                <w:rFonts w:ascii="Times New Roman" w:hAnsi="Times New Roman" w:eastAsia="等线" w:cs="Times New Roman"/>
                <w:sz w:val="21"/>
                <w:lang w:eastAsia="zh-CN"/>
              </w:rPr>
            </w:pPr>
          </w:p>
        </w:tc>
        <w:tc>
          <w:tcPr>
            <w:tcW w:w="251" w:type="pct"/>
            <w:vAlign w:val="center"/>
          </w:tcPr>
          <w:p w14:paraId="44B7847B">
            <w:pPr>
              <w:topLinePunct/>
              <w:adjustRightInd w:val="0"/>
              <w:snapToGrid w:val="0"/>
              <w:jc w:val="center"/>
              <w:rPr>
                <w:rFonts w:ascii="Times New Roman" w:hAnsi="Times New Roman" w:eastAsia="等线" w:cs="Times New Roman"/>
                <w:sz w:val="21"/>
                <w:lang w:eastAsia="zh-CN"/>
              </w:rPr>
            </w:pPr>
          </w:p>
        </w:tc>
        <w:tc>
          <w:tcPr>
            <w:tcW w:w="295" w:type="pct"/>
            <w:vAlign w:val="center"/>
          </w:tcPr>
          <w:p w14:paraId="4F623C26">
            <w:pPr>
              <w:topLinePunct/>
              <w:adjustRightInd w:val="0"/>
              <w:snapToGrid w:val="0"/>
              <w:jc w:val="center"/>
              <w:rPr>
                <w:rFonts w:ascii="Times New Roman" w:hAnsi="Times New Roman" w:cs="Times New Roman"/>
                <w:color w:val="auto"/>
                <w:sz w:val="21"/>
                <w:lang w:eastAsia="zh-CN"/>
              </w:rPr>
            </w:pPr>
          </w:p>
        </w:tc>
        <w:tc>
          <w:tcPr>
            <w:tcW w:w="551" w:type="pct"/>
            <w:vAlign w:val="center"/>
          </w:tcPr>
          <w:p w14:paraId="06AA5301">
            <w:pPr>
              <w:topLinePunct/>
              <w:adjustRightInd w:val="0"/>
              <w:snapToGrid w:val="0"/>
              <w:jc w:val="center"/>
              <w:rPr>
                <w:rFonts w:ascii="Times New Roman" w:hAnsi="Times New Roman" w:cs="Times New Roman"/>
                <w:color w:val="auto"/>
                <w:sz w:val="21"/>
                <w:lang w:eastAsia="zh-CN"/>
              </w:rPr>
            </w:pPr>
          </w:p>
        </w:tc>
        <w:tc>
          <w:tcPr>
            <w:tcW w:w="451" w:type="pct"/>
            <w:vMerge w:val="continue"/>
            <w:vAlign w:val="center"/>
          </w:tcPr>
          <w:p w14:paraId="4F3EEEA1">
            <w:pPr>
              <w:topLinePunct/>
              <w:adjustRightInd w:val="0"/>
              <w:snapToGrid w:val="0"/>
              <w:jc w:val="center"/>
              <w:rPr>
                <w:rFonts w:ascii="Times New Roman" w:hAnsi="Times New Roman" w:cs="Times New Roman"/>
                <w:color w:val="auto"/>
                <w:sz w:val="21"/>
                <w:szCs w:val="18"/>
                <w:lang w:eastAsia="zh-CN"/>
              </w:rPr>
            </w:pPr>
          </w:p>
        </w:tc>
        <w:tc>
          <w:tcPr>
            <w:tcW w:w="270" w:type="pct"/>
            <w:vAlign w:val="center"/>
          </w:tcPr>
          <w:p w14:paraId="3C558934">
            <w:pPr>
              <w:topLinePunct/>
              <w:adjustRightInd w:val="0"/>
              <w:snapToGrid w:val="0"/>
              <w:jc w:val="center"/>
              <w:rPr>
                <w:rFonts w:ascii="Times New Roman" w:hAnsi="Times New Roman" w:cs="Times New Roman"/>
                <w:color w:val="auto"/>
                <w:sz w:val="21"/>
                <w:lang w:eastAsia="zh-CN"/>
              </w:rPr>
            </w:pPr>
          </w:p>
        </w:tc>
        <w:tc>
          <w:tcPr>
            <w:tcW w:w="254" w:type="pct"/>
            <w:vAlign w:val="center"/>
          </w:tcPr>
          <w:p w14:paraId="387D6D41">
            <w:pPr>
              <w:topLinePunct/>
              <w:adjustRightInd w:val="0"/>
              <w:snapToGrid w:val="0"/>
              <w:jc w:val="center"/>
              <w:rPr>
                <w:rFonts w:ascii="Times New Roman" w:hAnsi="Times New Roman" w:eastAsia="等线" w:cs="Times New Roman"/>
                <w:sz w:val="21"/>
                <w:lang w:eastAsia="zh-CN"/>
              </w:rPr>
            </w:pPr>
          </w:p>
        </w:tc>
        <w:tc>
          <w:tcPr>
            <w:tcW w:w="306" w:type="pct"/>
            <w:vAlign w:val="center"/>
          </w:tcPr>
          <w:p w14:paraId="3ED51687">
            <w:pPr>
              <w:topLinePunct/>
              <w:adjustRightInd w:val="0"/>
              <w:snapToGrid w:val="0"/>
              <w:jc w:val="center"/>
              <w:rPr>
                <w:rFonts w:ascii="Times New Roman" w:hAnsi="Times New Roman" w:eastAsia="等线" w:cs="Times New Roman"/>
                <w:sz w:val="21"/>
                <w:lang w:eastAsia="zh-CN"/>
              </w:rPr>
            </w:pPr>
          </w:p>
        </w:tc>
        <w:tc>
          <w:tcPr>
            <w:tcW w:w="255" w:type="pct"/>
            <w:vAlign w:val="center"/>
          </w:tcPr>
          <w:p w14:paraId="0FCE1090">
            <w:pPr>
              <w:topLinePunct/>
              <w:adjustRightInd w:val="0"/>
              <w:snapToGrid w:val="0"/>
              <w:jc w:val="center"/>
              <w:rPr>
                <w:rFonts w:ascii="Times New Roman" w:hAnsi="Times New Roman" w:eastAsia="等线" w:cs="Times New Roman"/>
                <w:sz w:val="21"/>
                <w:lang w:eastAsia="zh-CN"/>
              </w:rPr>
            </w:pPr>
          </w:p>
        </w:tc>
        <w:tc>
          <w:tcPr>
            <w:tcW w:w="255" w:type="pct"/>
            <w:vAlign w:val="center"/>
          </w:tcPr>
          <w:p w14:paraId="6F5E1DC8">
            <w:pPr>
              <w:topLinePunct/>
              <w:adjustRightInd w:val="0"/>
              <w:snapToGrid w:val="0"/>
              <w:jc w:val="center"/>
              <w:rPr>
                <w:rFonts w:ascii="Times New Roman" w:hAnsi="Times New Roman" w:eastAsia="等线" w:cs="Times New Roman"/>
                <w:sz w:val="21"/>
                <w:lang w:eastAsia="zh-CN"/>
              </w:rPr>
            </w:pPr>
          </w:p>
        </w:tc>
        <w:tc>
          <w:tcPr>
            <w:tcW w:w="419" w:type="pct"/>
            <w:vAlign w:val="center"/>
          </w:tcPr>
          <w:p w14:paraId="08A967B6">
            <w:pPr>
              <w:topLinePunct/>
              <w:adjustRightInd w:val="0"/>
              <w:snapToGrid w:val="0"/>
              <w:jc w:val="center"/>
              <w:rPr>
                <w:rFonts w:ascii="Times New Roman" w:hAnsi="Times New Roman" w:cs="Times New Roman"/>
                <w:color w:val="auto"/>
                <w:sz w:val="21"/>
                <w:lang w:eastAsia="zh-CN"/>
              </w:rPr>
            </w:pPr>
          </w:p>
        </w:tc>
      </w:tr>
    </w:tbl>
    <w:p w14:paraId="7275E43D">
      <w:pPr>
        <w:pStyle w:val="42"/>
        <w:rPr>
          <w:color w:val="auto"/>
        </w:rPr>
      </w:pPr>
      <w:r>
        <w:rPr>
          <w:rFonts w:hint="eastAsia"/>
          <w:color w:val="auto"/>
        </w:rPr>
        <w:t>注：</w:t>
      </w:r>
      <w:r>
        <w:rPr>
          <w:color w:val="auto"/>
        </w:rPr>
        <w:t>以</w:t>
      </w:r>
      <w:r>
        <w:rPr>
          <w:rFonts w:hint="eastAsia"/>
          <w:color w:val="auto"/>
        </w:rPr>
        <w:t>厂房</w:t>
      </w:r>
      <w:r>
        <w:rPr>
          <w:color w:val="auto"/>
        </w:rPr>
        <w:t>西南角为坐标原点(0</w:t>
      </w:r>
      <w:r>
        <w:rPr>
          <w:rFonts w:hint="eastAsia"/>
          <w:color w:val="auto"/>
        </w:rPr>
        <w:t>，</w:t>
      </w:r>
      <w:r>
        <w:rPr>
          <w:color w:val="auto"/>
        </w:rPr>
        <w:t>0)，东</w:t>
      </w:r>
      <w:r>
        <w:rPr>
          <w:rFonts w:hint="eastAsia"/>
          <w:color w:val="auto"/>
        </w:rPr>
        <w:t>西向</w:t>
      </w:r>
      <w:r>
        <w:rPr>
          <w:color w:val="auto"/>
        </w:rPr>
        <w:t>为X轴，</w:t>
      </w:r>
      <w:r>
        <w:rPr>
          <w:rFonts w:hint="eastAsia"/>
          <w:color w:val="auto"/>
        </w:rPr>
        <w:t>南</w:t>
      </w:r>
      <w:r>
        <w:rPr>
          <w:color w:val="auto"/>
        </w:rPr>
        <w:t>北</w:t>
      </w:r>
      <w:r>
        <w:rPr>
          <w:rFonts w:hint="eastAsia"/>
          <w:color w:val="auto"/>
        </w:rPr>
        <w:t>向</w:t>
      </w:r>
      <w:r>
        <w:rPr>
          <w:color w:val="auto"/>
        </w:rPr>
        <w:t>为Y轴</w:t>
      </w:r>
      <w:r>
        <w:rPr>
          <w:rFonts w:hint="eastAsia"/>
          <w:color w:val="auto"/>
        </w:rPr>
        <w:t>，建筑物插入损失=隔声量+6</w:t>
      </w:r>
      <w:r>
        <w:rPr>
          <w:bCs/>
          <w:color w:val="auto"/>
          <w:sz w:val="21"/>
        </w:rPr>
        <w:t xml:space="preserve"> </w:t>
      </w:r>
      <w:r>
        <w:rPr>
          <w:bCs/>
          <w:color w:val="auto"/>
        </w:rPr>
        <w:t>dB（A）</w:t>
      </w:r>
      <w:r>
        <w:rPr>
          <w:rFonts w:hint="eastAsia"/>
          <w:bCs/>
          <w:color w:val="auto"/>
        </w:rPr>
        <w:t>，本项目隔声量为15</w:t>
      </w:r>
      <w:r>
        <w:rPr>
          <w:color w:val="auto"/>
          <w:sz w:val="21"/>
        </w:rPr>
        <w:t xml:space="preserve"> </w:t>
      </w:r>
      <w:r>
        <w:rPr>
          <w:color w:val="auto"/>
        </w:rPr>
        <w:t>dB（A）</w:t>
      </w:r>
    </w:p>
    <w:p w14:paraId="2FC1ED93">
      <w:pPr>
        <w:spacing w:line="360" w:lineRule="auto"/>
        <w:ind w:firstLine="480"/>
        <w:rPr>
          <w:rFonts w:ascii="Times New Roman" w:hAnsi="Times New Roman" w:cs="Times New Roman"/>
          <w:color w:val="auto"/>
          <w:lang w:eastAsia="zh-CN"/>
        </w:rPr>
        <w:sectPr>
          <w:pgSz w:w="16838" w:h="11906" w:orient="landscape"/>
          <w:pgMar w:top="1080" w:right="1440" w:bottom="1080" w:left="1440" w:header="851" w:footer="992" w:gutter="0"/>
          <w:cols w:space="720" w:num="1"/>
          <w:docGrid w:type="lines" w:linePitch="312" w:charSpace="0"/>
        </w:sectPr>
      </w:pPr>
    </w:p>
    <w:p w14:paraId="62202F71">
      <w:pPr>
        <w:adjustRightInd w:val="0"/>
        <w:snapToGrid w:val="0"/>
        <w:spacing w:line="360" w:lineRule="auto"/>
        <w:ind w:firstLine="562" w:firstLineChars="200"/>
        <w:outlineLvl w:val="1"/>
        <w:rPr>
          <w:rFonts w:ascii="Times New Roman" w:hAnsi="Times New Roman" w:cs="Times New Roman"/>
          <w:b/>
          <w:bCs/>
          <w:color w:val="auto"/>
          <w:sz w:val="28"/>
          <w:szCs w:val="22"/>
          <w:lang w:eastAsia="zh-CN"/>
        </w:rPr>
      </w:pPr>
      <w:bookmarkStart w:id="918" w:name="_Toc237508294"/>
      <w:r>
        <w:rPr>
          <w:rFonts w:ascii="Times New Roman" w:hAnsi="Times New Roman" w:cs="Times New Roman"/>
          <w:b/>
          <w:bCs/>
          <w:color w:val="auto"/>
          <w:sz w:val="28"/>
          <w:szCs w:val="22"/>
          <w:lang w:eastAsia="zh-CN"/>
        </w:rPr>
        <w:t>4.4</w:t>
      </w:r>
      <w:r>
        <w:rPr>
          <w:rFonts w:hint="eastAsia" w:ascii="Times New Roman" w:hAnsi="Times New Roman" w:cs="Times New Roman"/>
          <w:b/>
          <w:bCs/>
          <w:color w:val="auto"/>
          <w:sz w:val="28"/>
          <w:szCs w:val="22"/>
          <w:lang w:eastAsia="zh-CN"/>
        </w:rPr>
        <w:t xml:space="preserve"> 本项目污染物排放分析</w:t>
      </w:r>
      <w:bookmarkEnd w:id="918"/>
    </w:p>
    <w:p w14:paraId="20478683">
      <w:pPr>
        <w:spacing w:line="360" w:lineRule="auto"/>
        <w:ind w:firstLine="480" w:firstLineChars="200"/>
        <w:rPr>
          <w:rFonts w:ascii="Times New Roman" w:hAnsi="Times New Roman" w:cs="Times New Roman"/>
          <w:color w:val="auto"/>
          <w:lang w:eastAsia="zh-CN"/>
        </w:rPr>
      </w:pPr>
      <w:r>
        <w:rPr>
          <w:rFonts w:hint="eastAsia" w:ascii="Times New Roman" w:hAnsi="Times New Roman" w:cs="Times New Roman"/>
          <w:szCs w:val="24"/>
          <w:lang w:eastAsia="zh-CN" w:bidi="ar"/>
        </w:rPr>
        <w:t>本项目污染物排放汇总情况详见下表</w:t>
      </w:r>
      <w:r>
        <w:rPr>
          <w:rFonts w:ascii="Times New Roman" w:hAnsi="Times New Roman" w:cs="Times New Roman"/>
          <w:color w:val="auto"/>
          <w:lang w:eastAsia="zh-CN"/>
        </w:rPr>
        <w:t>。</w:t>
      </w:r>
    </w:p>
    <w:p w14:paraId="1B3DD0B2">
      <w:pPr>
        <w:spacing w:line="360" w:lineRule="auto"/>
        <w:jc w:val="center"/>
        <w:rPr>
          <w:rFonts w:ascii="Times New Roman" w:hAnsi="Times New Roman" w:cs="Times New Roman"/>
          <w:b/>
          <w:color w:val="auto"/>
          <w:spacing w:val="8"/>
          <w:lang w:eastAsia="zh-CN"/>
        </w:rPr>
      </w:pPr>
      <w:r>
        <w:rPr>
          <w:rFonts w:ascii="Times New Roman" w:hAnsi="Times New Roman" w:cs="Times New Roman"/>
          <w:b/>
          <w:color w:val="auto"/>
          <w:spacing w:val="8"/>
          <w:lang w:eastAsia="zh-CN"/>
        </w:rPr>
        <w:t xml:space="preserve">表4.4-1 </w:t>
      </w:r>
      <w:r>
        <w:rPr>
          <w:rFonts w:hint="eastAsia" w:ascii="Times New Roman" w:hAnsi="Times New Roman" w:cs="Times New Roman"/>
          <w:b/>
          <w:color w:val="auto"/>
          <w:spacing w:val="8"/>
          <w:lang w:eastAsia="zh-CN"/>
        </w:rPr>
        <w:t>本</w:t>
      </w:r>
      <w:r>
        <w:rPr>
          <w:rFonts w:ascii="Times New Roman" w:hAnsi="Times New Roman" w:cs="Times New Roman"/>
          <w:b/>
          <w:color w:val="auto"/>
          <w:spacing w:val="8"/>
          <w:lang w:eastAsia="zh-CN"/>
        </w:rPr>
        <w:t>项目污染物产生及排放情况汇总表</w:t>
      </w:r>
    </w:p>
    <w:tbl>
      <w:tblPr>
        <w:tblStyle w:val="35"/>
        <w:tblW w:w="4992"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161"/>
        <w:gridCol w:w="946"/>
        <w:gridCol w:w="1720"/>
        <w:gridCol w:w="1275"/>
        <w:gridCol w:w="1277"/>
        <w:gridCol w:w="1559"/>
        <w:gridCol w:w="1792"/>
      </w:tblGrid>
      <w:tr w14:paraId="3C9AE67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597" w:type="pct"/>
            <w:vAlign w:val="center"/>
          </w:tcPr>
          <w:p w14:paraId="2D7BEBCC">
            <w:pPr>
              <w:adjustRightInd w:val="0"/>
              <w:snapToGrid w:val="0"/>
              <w:spacing w:before="60" w:after="60"/>
              <w:jc w:val="center"/>
              <w:rPr>
                <w:rFonts w:ascii="Times New Roman" w:hAnsi="Times New Roman" w:cs="Times New Roman"/>
                <w:b/>
                <w:color w:val="auto"/>
                <w:sz w:val="21"/>
              </w:rPr>
            </w:pPr>
            <w:r>
              <w:rPr>
                <w:rFonts w:ascii="Times New Roman" w:hAnsi="Times New Roman" w:cs="Times New Roman"/>
                <w:b/>
                <w:color w:val="auto"/>
                <w:sz w:val="21"/>
              </w:rPr>
              <w:t>类别</w:t>
            </w:r>
          </w:p>
        </w:tc>
        <w:tc>
          <w:tcPr>
            <w:tcW w:w="1370" w:type="pct"/>
            <w:gridSpan w:val="2"/>
            <w:vAlign w:val="center"/>
          </w:tcPr>
          <w:p w14:paraId="0611AE41">
            <w:pPr>
              <w:adjustRightInd w:val="0"/>
              <w:snapToGrid w:val="0"/>
              <w:spacing w:before="60" w:after="60"/>
              <w:jc w:val="center"/>
              <w:rPr>
                <w:rFonts w:ascii="Times New Roman" w:hAnsi="Times New Roman" w:cs="Times New Roman"/>
                <w:b/>
                <w:color w:val="auto"/>
                <w:sz w:val="21"/>
              </w:rPr>
            </w:pPr>
            <w:r>
              <w:rPr>
                <w:rFonts w:ascii="Times New Roman" w:hAnsi="Times New Roman" w:cs="Times New Roman"/>
                <w:b/>
                <w:color w:val="auto"/>
                <w:sz w:val="21"/>
              </w:rPr>
              <w:t>污染物名称</w:t>
            </w:r>
          </w:p>
        </w:tc>
        <w:tc>
          <w:tcPr>
            <w:tcW w:w="655" w:type="pct"/>
            <w:vAlign w:val="center"/>
          </w:tcPr>
          <w:p w14:paraId="6F56AF7A">
            <w:pPr>
              <w:adjustRightInd w:val="0"/>
              <w:snapToGrid w:val="0"/>
              <w:spacing w:before="60" w:after="60"/>
              <w:jc w:val="center"/>
              <w:rPr>
                <w:rFonts w:ascii="Times New Roman" w:hAnsi="Times New Roman" w:cs="Times New Roman"/>
                <w:b/>
                <w:color w:val="auto"/>
                <w:sz w:val="21"/>
              </w:rPr>
            </w:pPr>
            <w:r>
              <w:rPr>
                <w:rFonts w:ascii="Times New Roman" w:hAnsi="Times New Roman" w:cs="Times New Roman"/>
                <w:b/>
                <w:color w:val="auto"/>
                <w:sz w:val="21"/>
              </w:rPr>
              <w:t>单位</w:t>
            </w:r>
          </w:p>
        </w:tc>
        <w:tc>
          <w:tcPr>
            <w:tcW w:w="656" w:type="pct"/>
            <w:vAlign w:val="center"/>
          </w:tcPr>
          <w:p w14:paraId="6B96E08A">
            <w:pPr>
              <w:adjustRightInd w:val="0"/>
              <w:snapToGrid w:val="0"/>
              <w:spacing w:before="60" w:after="60"/>
              <w:jc w:val="center"/>
              <w:rPr>
                <w:rFonts w:ascii="Times New Roman" w:hAnsi="Times New Roman" w:cs="Times New Roman"/>
                <w:b/>
                <w:color w:val="auto"/>
                <w:sz w:val="21"/>
              </w:rPr>
            </w:pPr>
            <w:r>
              <w:rPr>
                <w:rFonts w:ascii="Times New Roman" w:hAnsi="Times New Roman" w:cs="Times New Roman"/>
                <w:b/>
                <w:color w:val="auto"/>
                <w:sz w:val="21"/>
              </w:rPr>
              <w:t>产生量</w:t>
            </w:r>
          </w:p>
        </w:tc>
        <w:tc>
          <w:tcPr>
            <w:tcW w:w="801" w:type="pct"/>
            <w:vAlign w:val="center"/>
          </w:tcPr>
          <w:p w14:paraId="16310CD7">
            <w:pPr>
              <w:adjustRightInd w:val="0"/>
              <w:snapToGrid w:val="0"/>
              <w:spacing w:before="60" w:after="60"/>
              <w:jc w:val="center"/>
              <w:rPr>
                <w:rFonts w:ascii="Times New Roman" w:hAnsi="Times New Roman" w:cs="Times New Roman"/>
                <w:b/>
                <w:color w:val="auto"/>
                <w:sz w:val="21"/>
              </w:rPr>
            </w:pPr>
            <w:r>
              <w:rPr>
                <w:rFonts w:hint="eastAsia" w:ascii="Times New Roman" w:hAnsi="Times New Roman" w:cs="Times New Roman"/>
                <w:b/>
                <w:color w:val="auto"/>
                <w:sz w:val="21"/>
                <w:lang w:eastAsia="zh-CN"/>
              </w:rPr>
              <w:t>削减</w:t>
            </w:r>
            <w:r>
              <w:rPr>
                <w:rFonts w:ascii="Times New Roman" w:hAnsi="Times New Roman" w:cs="Times New Roman"/>
                <w:b/>
                <w:color w:val="auto"/>
                <w:sz w:val="21"/>
              </w:rPr>
              <w:t>量</w:t>
            </w:r>
          </w:p>
        </w:tc>
        <w:tc>
          <w:tcPr>
            <w:tcW w:w="921" w:type="pct"/>
            <w:vAlign w:val="center"/>
          </w:tcPr>
          <w:p w14:paraId="72C64D93">
            <w:pPr>
              <w:adjustRightInd w:val="0"/>
              <w:snapToGrid w:val="0"/>
              <w:spacing w:before="60" w:after="60"/>
              <w:jc w:val="center"/>
              <w:rPr>
                <w:rFonts w:ascii="Times New Roman" w:hAnsi="Times New Roman" w:cs="Times New Roman"/>
                <w:b/>
                <w:color w:val="auto"/>
                <w:sz w:val="21"/>
                <w:lang w:eastAsia="zh-CN"/>
              </w:rPr>
            </w:pPr>
            <w:r>
              <w:rPr>
                <w:rFonts w:ascii="Times New Roman" w:hAnsi="Times New Roman" w:cs="Times New Roman"/>
                <w:b/>
                <w:color w:val="auto"/>
                <w:sz w:val="21"/>
                <w:lang w:eastAsia="zh-CN"/>
              </w:rPr>
              <w:t>排放量</w:t>
            </w:r>
          </w:p>
        </w:tc>
      </w:tr>
      <w:tr w14:paraId="6D6E218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597" w:type="pct"/>
            <w:vMerge w:val="restart"/>
            <w:vAlign w:val="center"/>
          </w:tcPr>
          <w:p w14:paraId="1D87D944">
            <w:pPr>
              <w:adjustRightInd w:val="0"/>
              <w:snapToGrid w:val="0"/>
              <w:spacing w:before="60" w:after="60"/>
              <w:jc w:val="center"/>
              <w:rPr>
                <w:rFonts w:ascii="Times New Roman" w:hAnsi="Times New Roman" w:cs="Times New Roman"/>
                <w:color w:val="auto"/>
                <w:sz w:val="21"/>
              </w:rPr>
            </w:pPr>
            <w:r>
              <w:rPr>
                <w:rFonts w:ascii="Times New Roman" w:hAnsi="Times New Roman" w:cs="Times New Roman"/>
                <w:color w:val="auto"/>
                <w:sz w:val="21"/>
              </w:rPr>
              <w:t>废水</w:t>
            </w:r>
          </w:p>
        </w:tc>
        <w:tc>
          <w:tcPr>
            <w:tcW w:w="1370" w:type="pct"/>
            <w:gridSpan w:val="2"/>
            <w:vAlign w:val="center"/>
          </w:tcPr>
          <w:p w14:paraId="7FA6D978">
            <w:pPr>
              <w:adjustRightInd w:val="0"/>
              <w:snapToGrid w:val="0"/>
              <w:spacing w:before="60" w:after="60"/>
              <w:jc w:val="center"/>
              <w:rPr>
                <w:rFonts w:ascii="Times New Roman" w:hAnsi="Times New Roman" w:cs="Times New Roman"/>
                <w:color w:val="auto"/>
                <w:sz w:val="21"/>
              </w:rPr>
            </w:pPr>
            <w:r>
              <w:rPr>
                <w:rFonts w:ascii="Times New Roman" w:hAnsi="Times New Roman" w:cs="Times New Roman"/>
                <w:color w:val="auto"/>
                <w:sz w:val="21"/>
              </w:rPr>
              <w:t>废水量</w:t>
            </w:r>
          </w:p>
        </w:tc>
        <w:tc>
          <w:tcPr>
            <w:tcW w:w="655" w:type="pct"/>
            <w:vAlign w:val="center"/>
          </w:tcPr>
          <w:p w14:paraId="3EF1D3A5">
            <w:pPr>
              <w:adjustRightInd w:val="0"/>
              <w:snapToGrid w:val="0"/>
              <w:spacing w:before="60" w:after="60"/>
              <w:jc w:val="center"/>
              <w:rPr>
                <w:rFonts w:ascii="Times New Roman" w:hAnsi="Times New Roman" w:cs="Times New Roman"/>
                <w:color w:val="auto"/>
                <w:sz w:val="21"/>
              </w:rPr>
            </w:pPr>
            <w:r>
              <w:rPr>
                <w:rFonts w:ascii="Times New Roman" w:hAnsi="Times New Roman" w:cs="Times New Roman"/>
                <w:color w:val="auto"/>
                <w:sz w:val="21"/>
              </w:rPr>
              <w:t>m</w:t>
            </w:r>
            <w:r>
              <w:rPr>
                <w:rFonts w:ascii="Times New Roman" w:hAnsi="Times New Roman" w:cs="Times New Roman"/>
                <w:color w:val="auto"/>
                <w:sz w:val="21"/>
                <w:vertAlign w:val="superscript"/>
              </w:rPr>
              <w:t>3</w:t>
            </w:r>
            <w:r>
              <w:rPr>
                <w:rFonts w:ascii="Times New Roman" w:hAnsi="Times New Roman" w:cs="Times New Roman"/>
                <w:color w:val="auto"/>
                <w:sz w:val="21"/>
              </w:rPr>
              <w:t>/a</w:t>
            </w:r>
          </w:p>
        </w:tc>
        <w:tc>
          <w:tcPr>
            <w:tcW w:w="656" w:type="pct"/>
            <w:vAlign w:val="center"/>
          </w:tcPr>
          <w:p w14:paraId="5E512EF1">
            <w:pPr>
              <w:adjustRightInd w:val="0"/>
              <w:snapToGrid w:val="0"/>
              <w:spacing w:before="60" w:after="60"/>
              <w:jc w:val="center"/>
              <w:textAlignment w:val="center"/>
              <w:rPr>
                <w:rFonts w:ascii="Times New Roman" w:hAnsi="Times New Roman" w:cs="Times New Roman"/>
                <w:color w:val="auto"/>
                <w:sz w:val="21"/>
              </w:rPr>
            </w:pPr>
          </w:p>
        </w:tc>
        <w:tc>
          <w:tcPr>
            <w:tcW w:w="801" w:type="pct"/>
            <w:vAlign w:val="center"/>
          </w:tcPr>
          <w:p w14:paraId="6B82B0C2">
            <w:pPr>
              <w:adjustRightInd w:val="0"/>
              <w:snapToGrid w:val="0"/>
              <w:spacing w:before="60" w:after="60"/>
              <w:jc w:val="center"/>
              <w:textAlignment w:val="center"/>
              <w:rPr>
                <w:rFonts w:ascii="Times New Roman" w:hAnsi="Times New Roman" w:cs="Times New Roman"/>
                <w:color w:val="auto"/>
                <w:sz w:val="21"/>
                <w:lang w:eastAsia="zh-CN" w:bidi="ar"/>
              </w:rPr>
            </w:pPr>
          </w:p>
        </w:tc>
        <w:tc>
          <w:tcPr>
            <w:tcW w:w="921" w:type="pct"/>
            <w:vAlign w:val="center"/>
          </w:tcPr>
          <w:p w14:paraId="0FC4012F">
            <w:pPr>
              <w:adjustRightInd w:val="0"/>
              <w:snapToGrid w:val="0"/>
              <w:spacing w:before="60" w:after="60"/>
              <w:jc w:val="center"/>
              <w:rPr>
                <w:rFonts w:ascii="Times New Roman" w:hAnsi="Times New Roman" w:cs="Times New Roman"/>
                <w:color w:val="auto"/>
                <w:sz w:val="21"/>
                <w:lang w:eastAsia="zh-CN"/>
              </w:rPr>
            </w:pPr>
          </w:p>
        </w:tc>
      </w:tr>
      <w:tr w14:paraId="2FAB82A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597" w:type="pct"/>
            <w:vMerge w:val="continue"/>
            <w:vAlign w:val="center"/>
          </w:tcPr>
          <w:p w14:paraId="3509B78D">
            <w:pPr>
              <w:adjustRightInd w:val="0"/>
              <w:snapToGrid w:val="0"/>
              <w:spacing w:before="60" w:after="60"/>
              <w:jc w:val="center"/>
              <w:rPr>
                <w:rFonts w:ascii="Times New Roman" w:hAnsi="Times New Roman" w:cs="Times New Roman"/>
                <w:color w:val="auto"/>
                <w:sz w:val="21"/>
              </w:rPr>
            </w:pPr>
          </w:p>
        </w:tc>
        <w:tc>
          <w:tcPr>
            <w:tcW w:w="1370" w:type="pct"/>
            <w:gridSpan w:val="2"/>
            <w:vAlign w:val="center"/>
          </w:tcPr>
          <w:p w14:paraId="50D35EFC">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rPr>
              <w:t>COD</w:t>
            </w:r>
            <w:r>
              <w:rPr>
                <w:rFonts w:ascii="Times New Roman" w:hAnsi="Times New Roman" w:cs="Times New Roman"/>
                <w:color w:val="auto"/>
                <w:sz w:val="21"/>
                <w:vertAlign w:val="subscript"/>
              </w:rPr>
              <w:t>Cr</w:t>
            </w:r>
          </w:p>
        </w:tc>
        <w:tc>
          <w:tcPr>
            <w:tcW w:w="655" w:type="pct"/>
            <w:vAlign w:val="center"/>
          </w:tcPr>
          <w:p w14:paraId="57EFBD51">
            <w:pPr>
              <w:adjustRightInd w:val="0"/>
              <w:snapToGrid w:val="0"/>
              <w:spacing w:before="60" w:after="60"/>
              <w:jc w:val="center"/>
              <w:rPr>
                <w:rFonts w:ascii="Times New Roman" w:hAnsi="Times New Roman" w:cs="Times New Roman"/>
                <w:color w:val="auto"/>
                <w:sz w:val="21"/>
              </w:rPr>
            </w:pPr>
            <w:r>
              <w:rPr>
                <w:rFonts w:ascii="Times New Roman" w:hAnsi="Times New Roman" w:cs="Times New Roman"/>
                <w:color w:val="auto"/>
                <w:sz w:val="21"/>
              </w:rPr>
              <w:t>t/a</w:t>
            </w:r>
          </w:p>
        </w:tc>
        <w:tc>
          <w:tcPr>
            <w:tcW w:w="656" w:type="pct"/>
            <w:vAlign w:val="center"/>
          </w:tcPr>
          <w:p w14:paraId="233EA91D">
            <w:pPr>
              <w:adjustRightInd w:val="0"/>
              <w:snapToGrid w:val="0"/>
              <w:spacing w:before="60" w:after="60"/>
              <w:jc w:val="center"/>
              <w:textAlignment w:val="center"/>
              <w:rPr>
                <w:rFonts w:ascii="Times New Roman" w:hAnsi="Times New Roman" w:cs="Times New Roman"/>
                <w:color w:val="EE0000"/>
                <w:sz w:val="21"/>
                <w:lang w:eastAsia="zh-CN"/>
              </w:rPr>
            </w:pPr>
          </w:p>
        </w:tc>
        <w:tc>
          <w:tcPr>
            <w:tcW w:w="801" w:type="pct"/>
            <w:vAlign w:val="center"/>
          </w:tcPr>
          <w:p w14:paraId="35EA8B76">
            <w:pPr>
              <w:adjustRightInd w:val="0"/>
              <w:snapToGrid w:val="0"/>
              <w:spacing w:before="60" w:after="60"/>
              <w:jc w:val="center"/>
              <w:textAlignment w:val="center"/>
              <w:rPr>
                <w:rFonts w:ascii="Times New Roman" w:hAnsi="Times New Roman" w:cs="Times New Roman"/>
                <w:color w:val="auto"/>
                <w:sz w:val="21"/>
                <w:lang w:eastAsia="zh-CN" w:bidi="ar"/>
              </w:rPr>
            </w:pPr>
          </w:p>
        </w:tc>
        <w:tc>
          <w:tcPr>
            <w:tcW w:w="921" w:type="pct"/>
            <w:vAlign w:val="center"/>
          </w:tcPr>
          <w:p w14:paraId="01F5041D">
            <w:pPr>
              <w:adjustRightInd w:val="0"/>
              <w:snapToGrid w:val="0"/>
              <w:jc w:val="center"/>
              <w:textAlignment w:val="center"/>
              <w:rPr>
                <w:rFonts w:ascii="Times New Roman" w:hAnsi="Times New Roman" w:cs="Times New Roman"/>
                <w:color w:val="EE0000"/>
                <w:sz w:val="21"/>
                <w:lang w:eastAsia="zh-CN"/>
              </w:rPr>
            </w:pPr>
          </w:p>
        </w:tc>
      </w:tr>
      <w:tr w14:paraId="41C97B3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78" w:hRule="atLeast"/>
        </w:trPr>
        <w:tc>
          <w:tcPr>
            <w:tcW w:w="597" w:type="pct"/>
            <w:vMerge w:val="continue"/>
            <w:vAlign w:val="center"/>
          </w:tcPr>
          <w:p w14:paraId="61BF603C">
            <w:pPr>
              <w:adjustRightInd w:val="0"/>
              <w:snapToGrid w:val="0"/>
              <w:spacing w:before="60" w:after="60"/>
              <w:jc w:val="center"/>
              <w:rPr>
                <w:rFonts w:ascii="Times New Roman" w:hAnsi="Times New Roman" w:cs="Times New Roman"/>
                <w:color w:val="auto"/>
                <w:sz w:val="21"/>
              </w:rPr>
            </w:pPr>
          </w:p>
        </w:tc>
        <w:tc>
          <w:tcPr>
            <w:tcW w:w="1370" w:type="pct"/>
            <w:gridSpan w:val="2"/>
            <w:vAlign w:val="center"/>
          </w:tcPr>
          <w:p w14:paraId="05DBD769">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rPr>
              <w:t>BOD</w:t>
            </w:r>
            <w:r>
              <w:rPr>
                <w:rFonts w:ascii="Times New Roman" w:hAnsi="Times New Roman" w:cs="Times New Roman"/>
                <w:color w:val="auto"/>
                <w:sz w:val="21"/>
                <w:vertAlign w:val="subscript"/>
              </w:rPr>
              <w:t>5</w:t>
            </w:r>
          </w:p>
        </w:tc>
        <w:tc>
          <w:tcPr>
            <w:tcW w:w="655" w:type="pct"/>
            <w:vAlign w:val="center"/>
          </w:tcPr>
          <w:p w14:paraId="5DE3830D">
            <w:pPr>
              <w:adjustRightInd w:val="0"/>
              <w:snapToGrid w:val="0"/>
              <w:spacing w:before="60" w:after="60"/>
              <w:jc w:val="center"/>
              <w:rPr>
                <w:rFonts w:ascii="Times New Roman" w:hAnsi="Times New Roman" w:cs="Times New Roman"/>
                <w:color w:val="auto"/>
                <w:sz w:val="21"/>
              </w:rPr>
            </w:pPr>
            <w:r>
              <w:rPr>
                <w:rFonts w:ascii="Times New Roman" w:hAnsi="Times New Roman" w:cs="Times New Roman"/>
                <w:color w:val="auto"/>
                <w:sz w:val="21"/>
              </w:rPr>
              <w:t>t/a</w:t>
            </w:r>
          </w:p>
        </w:tc>
        <w:tc>
          <w:tcPr>
            <w:tcW w:w="656" w:type="pct"/>
            <w:vAlign w:val="center"/>
          </w:tcPr>
          <w:p w14:paraId="7C27747E">
            <w:pPr>
              <w:adjustRightInd w:val="0"/>
              <w:snapToGrid w:val="0"/>
              <w:spacing w:before="60" w:after="60"/>
              <w:jc w:val="center"/>
              <w:textAlignment w:val="center"/>
              <w:rPr>
                <w:rFonts w:ascii="Times New Roman" w:hAnsi="Times New Roman" w:cs="Times New Roman"/>
                <w:color w:val="EE0000"/>
                <w:sz w:val="21"/>
                <w:lang w:eastAsia="zh-CN"/>
              </w:rPr>
            </w:pPr>
          </w:p>
        </w:tc>
        <w:tc>
          <w:tcPr>
            <w:tcW w:w="801" w:type="pct"/>
            <w:vAlign w:val="center"/>
          </w:tcPr>
          <w:p w14:paraId="10ACFFC3">
            <w:pPr>
              <w:adjustRightInd w:val="0"/>
              <w:snapToGrid w:val="0"/>
              <w:spacing w:before="60" w:after="60"/>
              <w:jc w:val="center"/>
              <w:textAlignment w:val="center"/>
              <w:rPr>
                <w:rFonts w:ascii="Times New Roman" w:hAnsi="Times New Roman" w:cs="Times New Roman"/>
                <w:color w:val="auto"/>
                <w:sz w:val="21"/>
                <w:lang w:eastAsia="zh-CN" w:bidi="ar"/>
              </w:rPr>
            </w:pPr>
          </w:p>
        </w:tc>
        <w:tc>
          <w:tcPr>
            <w:tcW w:w="921" w:type="pct"/>
            <w:vAlign w:val="center"/>
          </w:tcPr>
          <w:p w14:paraId="57DC843A">
            <w:pPr>
              <w:adjustRightInd w:val="0"/>
              <w:snapToGrid w:val="0"/>
              <w:jc w:val="center"/>
              <w:textAlignment w:val="center"/>
              <w:rPr>
                <w:rFonts w:ascii="Times New Roman" w:hAnsi="Times New Roman" w:cs="Times New Roman"/>
                <w:color w:val="EE0000"/>
                <w:sz w:val="21"/>
                <w:lang w:eastAsia="zh-CN" w:bidi="ar"/>
              </w:rPr>
            </w:pPr>
          </w:p>
        </w:tc>
      </w:tr>
      <w:tr w14:paraId="31AE381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597" w:type="pct"/>
            <w:vMerge w:val="continue"/>
            <w:vAlign w:val="center"/>
          </w:tcPr>
          <w:p w14:paraId="6989A8A7">
            <w:pPr>
              <w:adjustRightInd w:val="0"/>
              <w:snapToGrid w:val="0"/>
              <w:spacing w:before="60" w:after="60"/>
              <w:jc w:val="center"/>
              <w:rPr>
                <w:rFonts w:ascii="Times New Roman" w:hAnsi="Times New Roman" w:cs="Times New Roman"/>
                <w:color w:val="auto"/>
                <w:sz w:val="21"/>
              </w:rPr>
            </w:pPr>
          </w:p>
        </w:tc>
        <w:tc>
          <w:tcPr>
            <w:tcW w:w="1370" w:type="pct"/>
            <w:gridSpan w:val="2"/>
            <w:vAlign w:val="center"/>
          </w:tcPr>
          <w:p w14:paraId="6117F22C">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rPr>
              <w:t>SS</w:t>
            </w:r>
          </w:p>
        </w:tc>
        <w:tc>
          <w:tcPr>
            <w:tcW w:w="655" w:type="pct"/>
            <w:vAlign w:val="center"/>
          </w:tcPr>
          <w:p w14:paraId="6EB26436">
            <w:pPr>
              <w:adjustRightInd w:val="0"/>
              <w:snapToGrid w:val="0"/>
              <w:spacing w:before="60" w:after="60"/>
              <w:jc w:val="center"/>
              <w:rPr>
                <w:rFonts w:ascii="Times New Roman" w:hAnsi="Times New Roman" w:cs="Times New Roman"/>
                <w:color w:val="auto"/>
                <w:sz w:val="21"/>
              </w:rPr>
            </w:pPr>
            <w:r>
              <w:rPr>
                <w:rFonts w:ascii="Times New Roman" w:hAnsi="Times New Roman" w:cs="Times New Roman"/>
                <w:color w:val="auto"/>
                <w:sz w:val="21"/>
              </w:rPr>
              <w:t>t/a</w:t>
            </w:r>
          </w:p>
        </w:tc>
        <w:tc>
          <w:tcPr>
            <w:tcW w:w="656" w:type="pct"/>
            <w:vAlign w:val="center"/>
          </w:tcPr>
          <w:p w14:paraId="4CBB70D7">
            <w:pPr>
              <w:adjustRightInd w:val="0"/>
              <w:snapToGrid w:val="0"/>
              <w:spacing w:before="60" w:after="60"/>
              <w:jc w:val="center"/>
              <w:textAlignment w:val="center"/>
              <w:rPr>
                <w:rFonts w:ascii="Times New Roman" w:hAnsi="Times New Roman" w:cs="Times New Roman"/>
                <w:color w:val="EE0000"/>
                <w:sz w:val="21"/>
                <w:lang w:eastAsia="zh-CN"/>
              </w:rPr>
            </w:pPr>
          </w:p>
        </w:tc>
        <w:tc>
          <w:tcPr>
            <w:tcW w:w="801" w:type="pct"/>
            <w:vAlign w:val="center"/>
          </w:tcPr>
          <w:p w14:paraId="4DE4C072">
            <w:pPr>
              <w:adjustRightInd w:val="0"/>
              <w:snapToGrid w:val="0"/>
              <w:spacing w:before="60" w:after="60"/>
              <w:jc w:val="center"/>
              <w:textAlignment w:val="center"/>
              <w:rPr>
                <w:rFonts w:ascii="Times New Roman" w:hAnsi="Times New Roman" w:cs="Times New Roman"/>
                <w:color w:val="auto"/>
                <w:sz w:val="21"/>
                <w:lang w:eastAsia="zh-CN" w:bidi="ar"/>
              </w:rPr>
            </w:pPr>
          </w:p>
        </w:tc>
        <w:tc>
          <w:tcPr>
            <w:tcW w:w="921" w:type="pct"/>
            <w:vAlign w:val="center"/>
          </w:tcPr>
          <w:p w14:paraId="5BB7B52C">
            <w:pPr>
              <w:adjustRightInd w:val="0"/>
              <w:snapToGrid w:val="0"/>
              <w:jc w:val="center"/>
              <w:textAlignment w:val="center"/>
              <w:rPr>
                <w:rFonts w:ascii="Times New Roman" w:hAnsi="Times New Roman" w:cs="Times New Roman"/>
                <w:color w:val="EE0000"/>
                <w:sz w:val="21"/>
                <w:lang w:eastAsia="zh-CN" w:bidi="ar"/>
              </w:rPr>
            </w:pPr>
          </w:p>
        </w:tc>
      </w:tr>
      <w:tr w14:paraId="69B2BE5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597" w:type="pct"/>
            <w:vMerge w:val="continue"/>
            <w:vAlign w:val="center"/>
          </w:tcPr>
          <w:p w14:paraId="03A9D146">
            <w:pPr>
              <w:adjustRightInd w:val="0"/>
              <w:snapToGrid w:val="0"/>
              <w:spacing w:before="60" w:after="60"/>
              <w:jc w:val="center"/>
              <w:rPr>
                <w:rFonts w:ascii="Times New Roman" w:hAnsi="Times New Roman" w:cs="Times New Roman"/>
                <w:color w:val="auto"/>
                <w:sz w:val="21"/>
              </w:rPr>
            </w:pPr>
          </w:p>
        </w:tc>
        <w:tc>
          <w:tcPr>
            <w:tcW w:w="1370" w:type="pct"/>
            <w:gridSpan w:val="2"/>
            <w:vAlign w:val="center"/>
          </w:tcPr>
          <w:p w14:paraId="24CE2FE4">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rPr>
              <w:t>NH</w:t>
            </w:r>
            <w:r>
              <w:rPr>
                <w:rFonts w:ascii="Times New Roman" w:hAnsi="Times New Roman" w:cs="Times New Roman"/>
                <w:color w:val="auto"/>
                <w:sz w:val="21"/>
                <w:vertAlign w:val="subscript"/>
              </w:rPr>
              <w:t>3</w:t>
            </w:r>
            <w:r>
              <w:rPr>
                <w:rFonts w:ascii="Times New Roman" w:hAnsi="Times New Roman" w:cs="Times New Roman"/>
                <w:color w:val="auto"/>
                <w:sz w:val="21"/>
              </w:rPr>
              <w:t>-N</w:t>
            </w:r>
          </w:p>
        </w:tc>
        <w:tc>
          <w:tcPr>
            <w:tcW w:w="655" w:type="pct"/>
            <w:vAlign w:val="center"/>
          </w:tcPr>
          <w:p w14:paraId="150FFFEB">
            <w:pPr>
              <w:adjustRightInd w:val="0"/>
              <w:snapToGrid w:val="0"/>
              <w:spacing w:before="60" w:after="60"/>
              <w:jc w:val="center"/>
              <w:rPr>
                <w:rFonts w:ascii="Times New Roman" w:hAnsi="Times New Roman" w:cs="Times New Roman"/>
                <w:color w:val="auto"/>
                <w:sz w:val="21"/>
              </w:rPr>
            </w:pPr>
            <w:r>
              <w:rPr>
                <w:rFonts w:ascii="Times New Roman" w:hAnsi="Times New Roman" w:cs="Times New Roman"/>
                <w:color w:val="auto"/>
                <w:sz w:val="21"/>
              </w:rPr>
              <w:t>t/a</w:t>
            </w:r>
          </w:p>
        </w:tc>
        <w:tc>
          <w:tcPr>
            <w:tcW w:w="656" w:type="pct"/>
            <w:vAlign w:val="center"/>
          </w:tcPr>
          <w:p w14:paraId="21D995CB">
            <w:pPr>
              <w:adjustRightInd w:val="0"/>
              <w:snapToGrid w:val="0"/>
              <w:spacing w:before="60" w:after="60"/>
              <w:jc w:val="center"/>
              <w:textAlignment w:val="center"/>
              <w:rPr>
                <w:rFonts w:ascii="Times New Roman" w:hAnsi="Times New Roman" w:cs="Times New Roman"/>
                <w:color w:val="EE0000"/>
                <w:sz w:val="21"/>
                <w:lang w:eastAsia="zh-CN"/>
              </w:rPr>
            </w:pPr>
          </w:p>
        </w:tc>
        <w:tc>
          <w:tcPr>
            <w:tcW w:w="801" w:type="pct"/>
            <w:vAlign w:val="center"/>
          </w:tcPr>
          <w:p w14:paraId="335441CC">
            <w:pPr>
              <w:adjustRightInd w:val="0"/>
              <w:snapToGrid w:val="0"/>
              <w:spacing w:before="60" w:after="60"/>
              <w:jc w:val="center"/>
              <w:textAlignment w:val="center"/>
              <w:rPr>
                <w:rFonts w:ascii="Times New Roman" w:hAnsi="Times New Roman" w:cs="Times New Roman"/>
                <w:color w:val="auto"/>
                <w:sz w:val="21"/>
                <w:lang w:eastAsia="zh-CN" w:bidi="ar"/>
              </w:rPr>
            </w:pPr>
          </w:p>
        </w:tc>
        <w:tc>
          <w:tcPr>
            <w:tcW w:w="921" w:type="pct"/>
            <w:vAlign w:val="center"/>
          </w:tcPr>
          <w:p w14:paraId="426CF9AA">
            <w:pPr>
              <w:adjustRightInd w:val="0"/>
              <w:snapToGrid w:val="0"/>
              <w:jc w:val="center"/>
              <w:textAlignment w:val="center"/>
              <w:rPr>
                <w:rFonts w:ascii="Times New Roman" w:hAnsi="Times New Roman" w:cs="Times New Roman"/>
                <w:color w:val="EE0000"/>
                <w:sz w:val="21"/>
                <w:lang w:eastAsia="zh-CN"/>
              </w:rPr>
            </w:pPr>
          </w:p>
        </w:tc>
      </w:tr>
      <w:tr w14:paraId="56EA9EC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597" w:type="pct"/>
            <w:vMerge w:val="continue"/>
            <w:vAlign w:val="center"/>
          </w:tcPr>
          <w:p w14:paraId="093C98FA">
            <w:pPr>
              <w:adjustRightInd w:val="0"/>
              <w:snapToGrid w:val="0"/>
              <w:spacing w:before="60" w:after="60"/>
              <w:jc w:val="center"/>
              <w:rPr>
                <w:rFonts w:ascii="Times New Roman" w:hAnsi="Times New Roman" w:cs="Times New Roman"/>
                <w:color w:val="auto"/>
                <w:sz w:val="21"/>
              </w:rPr>
            </w:pPr>
          </w:p>
        </w:tc>
        <w:tc>
          <w:tcPr>
            <w:tcW w:w="1370" w:type="pct"/>
            <w:gridSpan w:val="2"/>
            <w:vAlign w:val="center"/>
          </w:tcPr>
          <w:p w14:paraId="74C556FB">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rPr>
              <w:t>氟化物</w:t>
            </w:r>
          </w:p>
        </w:tc>
        <w:tc>
          <w:tcPr>
            <w:tcW w:w="655" w:type="pct"/>
            <w:vAlign w:val="center"/>
          </w:tcPr>
          <w:p w14:paraId="51A6C2CF">
            <w:pPr>
              <w:adjustRightInd w:val="0"/>
              <w:snapToGrid w:val="0"/>
              <w:spacing w:before="60" w:after="60"/>
              <w:jc w:val="center"/>
              <w:rPr>
                <w:rFonts w:ascii="Times New Roman" w:hAnsi="Times New Roman" w:cs="Times New Roman"/>
                <w:color w:val="auto"/>
                <w:sz w:val="21"/>
              </w:rPr>
            </w:pPr>
            <w:r>
              <w:rPr>
                <w:rFonts w:ascii="Times New Roman" w:hAnsi="Times New Roman" w:cs="Times New Roman"/>
                <w:color w:val="auto"/>
                <w:sz w:val="21"/>
              </w:rPr>
              <w:t>t/a</w:t>
            </w:r>
          </w:p>
        </w:tc>
        <w:tc>
          <w:tcPr>
            <w:tcW w:w="656" w:type="pct"/>
            <w:vAlign w:val="center"/>
          </w:tcPr>
          <w:p w14:paraId="058C6122">
            <w:pPr>
              <w:adjustRightInd w:val="0"/>
              <w:snapToGrid w:val="0"/>
              <w:spacing w:before="60" w:after="60"/>
              <w:jc w:val="center"/>
              <w:textAlignment w:val="center"/>
              <w:rPr>
                <w:rFonts w:ascii="Times New Roman" w:hAnsi="Times New Roman" w:cs="Times New Roman"/>
                <w:color w:val="EE0000"/>
                <w:sz w:val="21"/>
                <w:lang w:eastAsia="zh-CN"/>
              </w:rPr>
            </w:pPr>
          </w:p>
        </w:tc>
        <w:tc>
          <w:tcPr>
            <w:tcW w:w="801" w:type="pct"/>
            <w:vAlign w:val="center"/>
          </w:tcPr>
          <w:p w14:paraId="75771856">
            <w:pPr>
              <w:adjustRightInd w:val="0"/>
              <w:snapToGrid w:val="0"/>
              <w:spacing w:before="60" w:after="60"/>
              <w:jc w:val="center"/>
              <w:textAlignment w:val="center"/>
              <w:rPr>
                <w:rFonts w:ascii="Times New Roman" w:hAnsi="Times New Roman" w:cs="Times New Roman"/>
                <w:color w:val="EE0000"/>
                <w:sz w:val="21"/>
                <w:lang w:eastAsia="zh-CN" w:bidi="ar"/>
              </w:rPr>
            </w:pPr>
          </w:p>
        </w:tc>
        <w:tc>
          <w:tcPr>
            <w:tcW w:w="921" w:type="pct"/>
            <w:vAlign w:val="center"/>
          </w:tcPr>
          <w:p w14:paraId="74ED83EA">
            <w:pPr>
              <w:adjustRightInd w:val="0"/>
              <w:snapToGrid w:val="0"/>
              <w:jc w:val="center"/>
              <w:textAlignment w:val="center"/>
              <w:rPr>
                <w:rFonts w:ascii="Times New Roman" w:hAnsi="Times New Roman" w:cs="Times New Roman"/>
                <w:color w:val="auto"/>
                <w:sz w:val="21"/>
                <w:lang w:eastAsia="zh-CN"/>
              </w:rPr>
            </w:pPr>
          </w:p>
        </w:tc>
      </w:tr>
      <w:tr w14:paraId="10F6B68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597" w:type="pct"/>
            <w:vMerge w:val="restart"/>
            <w:vAlign w:val="center"/>
          </w:tcPr>
          <w:p w14:paraId="73D80854">
            <w:pPr>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废气</w:t>
            </w:r>
          </w:p>
        </w:tc>
        <w:tc>
          <w:tcPr>
            <w:tcW w:w="486" w:type="pct"/>
            <w:vMerge w:val="restart"/>
            <w:vAlign w:val="center"/>
          </w:tcPr>
          <w:p w14:paraId="41C48443">
            <w:pPr>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有组织</w:t>
            </w:r>
          </w:p>
        </w:tc>
        <w:tc>
          <w:tcPr>
            <w:tcW w:w="884" w:type="pct"/>
            <w:vAlign w:val="center"/>
          </w:tcPr>
          <w:p w14:paraId="2B12E106">
            <w:pPr>
              <w:adjustRightInd w:val="0"/>
              <w:snapToGrid w:val="0"/>
              <w:spacing w:before="60" w:after="6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氟化物</w:t>
            </w:r>
          </w:p>
        </w:tc>
        <w:tc>
          <w:tcPr>
            <w:tcW w:w="655" w:type="pct"/>
            <w:vAlign w:val="center"/>
          </w:tcPr>
          <w:p w14:paraId="0E4F5F20">
            <w:pPr>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t/a</w:t>
            </w:r>
          </w:p>
        </w:tc>
        <w:tc>
          <w:tcPr>
            <w:tcW w:w="656" w:type="pct"/>
            <w:vAlign w:val="center"/>
          </w:tcPr>
          <w:p w14:paraId="16010E18">
            <w:pPr>
              <w:adjustRightInd w:val="0"/>
              <w:snapToGrid w:val="0"/>
              <w:spacing w:before="60" w:after="60"/>
              <w:jc w:val="center"/>
              <w:rPr>
                <w:rFonts w:ascii="Times New Roman" w:hAnsi="Times New Roman" w:cs="Times New Roman"/>
                <w:color w:val="auto"/>
                <w:sz w:val="21"/>
                <w:lang w:eastAsia="zh-CN"/>
              </w:rPr>
            </w:pPr>
          </w:p>
        </w:tc>
        <w:tc>
          <w:tcPr>
            <w:tcW w:w="801" w:type="pct"/>
            <w:vAlign w:val="center"/>
          </w:tcPr>
          <w:p w14:paraId="41865C6D">
            <w:pPr>
              <w:adjustRightInd w:val="0"/>
              <w:snapToGrid w:val="0"/>
              <w:spacing w:before="60" w:after="60"/>
              <w:jc w:val="center"/>
              <w:textAlignment w:val="center"/>
              <w:rPr>
                <w:rFonts w:ascii="Times New Roman" w:hAnsi="Times New Roman" w:cs="Times New Roman"/>
                <w:color w:val="auto"/>
                <w:sz w:val="21"/>
                <w:lang w:eastAsia="zh-CN" w:bidi="ar"/>
              </w:rPr>
            </w:pPr>
          </w:p>
        </w:tc>
        <w:tc>
          <w:tcPr>
            <w:tcW w:w="921" w:type="pct"/>
            <w:vAlign w:val="center"/>
          </w:tcPr>
          <w:p w14:paraId="5A9493CB">
            <w:pPr>
              <w:adjustRightInd w:val="0"/>
              <w:snapToGrid w:val="0"/>
              <w:spacing w:before="60" w:after="60"/>
              <w:jc w:val="center"/>
              <w:rPr>
                <w:rFonts w:ascii="Times New Roman" w:hAnsi="Times New Roman" w:cs="Times New Roman"/>
                <w:color w:val="auto"/>
                <w:sz w:val="21"/>
                <w:lang w:eastAsia="zh-CN"/>
              </w:rPr>
            </w:pPr>
          </w:p>
        </w:tc>
      </w:tr>
      <w:tr w14:paraId="0D3541E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597" w:type="pct"/>
            <w:vMerge w:val="continue"/>
            <w:vAlign w:val="center"/>
          </w:tcPr>
          <w:p w14:paraId="63C616F6">
            <w:pPr>
              <w:adjustRightInd w:val="0"/>
              <w:snapToGrid w:val="0"/>
              <w:spacing w:before="60" w:after="60"/>
              <w:jc w:val="center"/>
              <w:rPr>
                <w:rFonts w:ascii="Times New Roman" w:hAnsi="Times New Roman" w:cs="Times New Roman"/>
                <w:color w:val="EE0000"/>
                <w:sz w:val="21"/>
                <w:lang w:eastAsia="zh-CN"/>
              </w:rPr>
            </w:pPr>
          </w:p>
        </w:tc>
        <w:tc>
          <w:tcPr>
            <w:tcW w:w="486" w:type="pct"/>
            <w:vMerge w:val="continue"/>
            <w:vAlign w:val="center"/>
          </w:tcPr>
          <w:p w14:paraId="416BD01B">
            <w:pPr>
              <w:adjustRightInd w:val="0"/>
              <w:snapToGrid w:val="0"/>
              <w:spacing w:before="60" w:after="60"/>
              <w:jc w:val="center"/>
              <w:rPr>
                <w:rFonts w:ascii="Times New Roman" w:hAnsi="Times New Roman" w:cs="Times New Roman"/>
                <w:color w:val="auto"/>
                <w:sz w:val="21"/>
                <w:lang w:eastAsia="zh-CN"/>
              </w:rPr>
            </w:pPr>
          </w:p>
        </w:tc>
        <w:tc>
          <w:tcPr>
            <w:tcW w:w="884" w:type="pct"/>
            <w:vAlign w:val="center"/>
          </w:tcPr>
          <w:p w14:paraId="601B757F">
            <w:pPr>
              <w:adjustRightInd w:val="0"/>
              <w:snapToGrid w:val="0"/>
              <w:spacing w:before="60" w:after="6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氯化氢</w:t>
            </w:r>
          </w:p>
        </w:tc>
        <w:tc>
          <w:tcPr>
            <w:tcW w:w="655" w:type="pct"/>
            <w:vAlign w:val="center"/>
          </w:tcPr>
          <w:p w14:paraId="1877733D">
            <w:pPr>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t/a</w:t>
            </w:r>
          </w:p>
        </w:tc>
        <w:tc>
          <w:tcPr>
            <w:tcW w:w="656" w:type="pct"/>
            <w:vAlign w:val="center"/>
          </w:tcPr>
          <w:p w14:paraId="398CA66E">
            <w:pPr>
              <w:adjustRightInd w:val="0"/>
              <w:snapToGrid w:val="0"/>
              <w:spacing w:before="60" w:after="60"/>
              <w:jc w:val="center"/>
              <w:rPr>
                <w:rFonts w:ascii="Times New Roman" w:hAnsi="Times New Roman" w:cs="Times New Roman"/>
                <w:color w:val="auto"/>
                <w:sz w:val="21"/>
                <w:lang w:eastAsia="zh-CN"/>
              </w:rPr>
            </w:pPr>
          </w:p>
        </w:tc>
        <w:tc>
          <w:tcPr>
            <w:tcW w:w="801" w:type="pct"/>
            <w:vAlign w:val="center"/>
          </w:tcPr>
          <w:p w14:paraId="63D9976F">
            <w:pPr>
              <w:adjustRightInd w:val="0"/>
              <w:snapToGrid w:val="0"/>
              <w:spacing w:before="60" w:after="60"/>
              <w:jc w:val="center"/>
              <w:textAlignment w:val="center"/>
              <w:rPr>
                <w:rFonts w:ascii="Times New Roman" w:hAnsi="Times New Roman" w:cs="Times New Roman"/>
                <w:color w:val="auto"/>
                <w:sz w:val="21"/>
                <w:lang w:eastAsia="zh-CN" w:bidi="ar"/>
              </w:rPr>
            </w:pPr>
          </w:p>
        </w:tc>
        <w:tc>
          <w:tcPr>
            <w:tcW w:w="921" w:type="pct"/>
            <w:vAlign w:val="center"/>
          </w:tcPr>
          <w:p w14:paraId="2D93767C">
            <w:pPr>
              <w:adjustRightInd w:val="0"/>
              <w:snapToGrid w:val="0"/>
              <w:spacing w:before="60" w:after="60"/>
              <w:jc w:val="center"/>
              <w:rPr>
                <w:rFonts w:ascii="Times New Roman" w:hAnsi="Times New Roman" w:cs="Times New Roman"/>
                <w:color w:val="auto"/>
                <w:sz w:val="21"/>
                <w:lang w:eastAsia="zh-CN"/>
              </w:rPr>
            </w:pPr>
          </w:p>
        </w:tc>
      </w:tr>
      <w:tr w14:paraId="7002B2F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597" w:type="pct"/>
            <w:vMerge w:val="continue"/>
            <w:vAlign w:val="center"/>
          </w:tcPr>
          <w:p w14:paraId="4F2CE526">
            <w:pPr>
              <w:adjustRightInd w:val="0"/>
              <w:snapToGrid w:val="0"/>
              <w:spacing w:before="60" w:after="60"/>
              <w:jc w:val="center"/>
              <w:rPr>
                <w:rFonts w:ascii="Times New Roman" w:hAnsi="Times New Roman" w:cs="Times New Roman"/>
                <w:color w:val="EE0000"/>
                <w:sz w:val="21"/>
                <w:lang w:eastAsia="zh-CN"/>
              </w:rPr>
            </w:pPr>
          </w:p>
        </w:tc>
        <w:tc>
          <w:tcPr>
            <w:tcW w:w="486" w:type="pct"/>
            <w:vAlign w:val="center"/>
          </w:tcPr>
          <w:p w14:paraId="085FB42E">
            <w:pPr>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无组织</w:t>
            </w:r>
          </w:p>
        </w:tc>
        <w:tc>
          <w:tcPr>
            <w:tcW w:w="884" w:type="pct"/>
            <w:vAlign w:val="center"/>
          </w:tcPr>
          <w:p w14:paraId="5A90063A">
            <w:pPr>
              <w:adjustRightInd w:val="0"/>
              <w:snapToGrid w:val="0"/>
              <w:spacing w:before="60" w:after="6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氟化物</w:t>
            </w:r>
          </w:p>
        </w:tc>
        <w:tc>
          <w:tcPr>
            <w:tcW w:w="655" w:type="pct"/>
            <w:vAlign w:val="center"/>
          </w:tcPr>
          <w:p w14:paraId="624BBDC7">
            <w:pPr>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t/a</w:t>
            </w:r>
          </w:p>
        </w:tc>
        <w:tc>
          <w:tcPr>
            <w:tcW w:w="656" w:type="pct"/>
            <w:vAlign w:val="center"/>
          </w:tcPr>
          <w:p w14:paraId="0EBC6BEA">
            <w:pPr>
              <w:adjustRightInd w:val="0"/>
              <w:snapToGrid w:val="0"/>
              <w:spacing w:before="60" w:after="60"/>
              <w:jc w:val="center"/>
              <w:rPr>
                <w:rFonts w:ascii="Times New Roman" w:hAnsi="Times New Roman" w:cs="Times New Roman"/>
                <w:color w:val="auto"/>
                <w:sz w:val="21"/>
                <w:lang w:eastAsia="zh-CN"/>
              </w:rPr>
            </w:pPr>
          </w:p>
        </w:tc>
        <w:tc>
          <w:tcPr>
            <w:tcW w:w="801" w:type="pct"/>
            <w:vAlign w:val="center"/>
          </w:tcPr>
          <w:p w14:paraId="6D84A3B5">
            <w:pPr>
              <w:adjustRightInd w:val="0"/>
              <w:snapToGrid w:val="0"/>
              <w:spacing w:before="60" w:after="60"/>
              <w:jc w:val="center"/>
              <w:textAlignment w:val="center"/>
              <w:rPr>
                <w:rFonts w:ascii="Times New Roman" w:hAnsi="Times New Roman" w:cs="Times New Roman"/>
                <w:color w:val="auto"/>
                <w:sz w:val="21"/>
                <w:lang w:eastAsia="zh-CN" w:bidi="ar"/>
              </w:rPr>
            </w:pPr>
          </w:p>
        </w:tc>
        <w:tc>
          <w:tcPr>
            <w:tcW w:w="921" w:type="pct"/>
            <w:vAlign w:val="center"/>
          </w:tcPr>
          <w:p w14:paraId="14893D55">
            <w:pPr>
              <w:adjustRightInd w:val="0"/>
              <w:snapToGrid w:val="0"/>
              <w:spacing w:before="60" w:after="60"/>
              <w:jc w:val="center"/>
              <w:rPr>
                <w:rFonts w:ascii="Times New Roman" w:hAnsi="Times New Roman" w:cs="Times New Roman"/>
                <w:color w:val="auto"/>
                <w:sz w:val="21"/>
                <w:lang w:eastAsia="zh-CN"/>
              </w:rPr>
            </w:pPr>
          </w:p>
        </w:tc>
      </w:tr>
      <w:tr w14:paraId="002FFFC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597" w:type="pct"/>
            <w:vMerge w:val="restart"/>
            <w:vAlign w:val="center"/>
          </w:tcPr>
          <w:p w14:paraId="303D68B3">
            <w:pPr>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固体废物*</w:t>
            </w:r>
          </w:p>
        </w:tc>
        <w:tc>
          <w:tcPr>
            <w:tcW w:w="1370" w:type="pct"/>
            <w:gridSpan w:val="2"/>
            <w:vAlign w:val="center"/>
          </w:tcPr>
          <w:p w14:paraId="3EE67A43">
            <w:pPr>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危险废物</w:t>
            </w:r>
            <w:r>
              <w:rPr>
                <w:rFonts w:hint="eastAsia" w:ascii="Times New Roman" w:hAnsi="Times New Roman" w:cs="Times New Roman"/>
                <w:color w:val="auto"/>
                <w:sz w:val="21"/>
                <w:lang w:eastAsia="zh-CN"/>
              </w:rPr>
              <w:t>（产生量）</w:t>
            </w:r>
          </w:p>
        </w:tc>
        <w:tc>
          <w:tcPr>
            <w:tcW w:w="655" w:type="pct"/>
            <w:vAlign w:val="center"/>
          </w:tcPr>
          <w:p w14:paraId="2AED3103">
            <w:pPr>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t/a</w:t>
            </w:r>
          </w:p>
        </w:tc>
        <w:tc>
          <w:tcPr>
            <w:tcW w:w="656" w:type="pct"/>
            <w:vAlign w:val="center"/>
          </w:tcPr>
          <w:p w14:paraId="687DFD4E">
            <w:pPr>
              <w:adjustRightInd w:val="0"/>
              <w:snapToGrid w:val="0"/>
              <w:spacing w:before="60" w:after="60"/>
              <w:jc w:val="center"/>
              <w:rPr>
                <w:rFonts w:hint="default" w:ascii="Times New Roman" w:hAnsi="Times New Roman" w:cs="Times New Roman"/>
                <w:color w:val="auto"/>
                <w:sz w:val="21"/>
                <w:lang w:val="en-US" w:eastAsia="zh-CN"/>
              </w:rPr>
            </w:pPr>
          </w:p>
        </w:tc>
        <w:tc>
          <w:tcPr>
            <w:tcW w:w="801" w:type="pct"/>
            <w:vAlign w:val="center"/>
          </w:tcPr>
          <w:p w14:paraId="446B8289">
            <w:pPr>
              <w:adjustRightInd w:val="0"/>
              <w:snapToGrid w:val="0"/>
              <w:spacing w:before="60" w:after="60"/>
              <w:jc w:val="center"/>
              <w:rPr>
                <w:rFonts w:hint="default" w:ascii="Times New Roman" w:hAnsi="Times New Roman" w:cs="Times New Roman"/>
                <w:color w:val="auto"/>
                <w:sz w:val="21"/>
                <w:lang w:val="en-US" w:eastAsia="zh-CN"/>
              </w:rPr>
            </w:pPr>
          </w:p>
        </w:tc>
        <w:tc>
          <w:tcPr>
            <w:tcW w:w="921" w:type="pct"/>
            <w:vAlign w:val="center"/>
          </w:tcPr>
          <w:p w14:paraId="6B7B9C81">
            <w:pPr>
              <w:adjustRightInd w:val="0"/>
              <w:snapToGrid w:val="0"/>
              <w:spacing w:before="60" w:after="60"/>
              <w:jc w:val="center"/>
              <w:rPr>
                <w:rFonts w:ascii="Times New Roman" w:hAnsi="Times New Roman" w:cs="Times New Roman"/>
                <w:color w:val="auto"/>
                <w:sz w:val="21"/>
                <w:lang w:eastAsia="zh-CN"/>
              </w:rPr>
            </w:pPr>
          </w:p>
        </w:tc>
      </w:tr>
      <w:tr w14:paraId="6277EE2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597" w:type="pct"/>
            <w:vMerge w:val="continue"/>
            <w:vAlign w:val="center"/>
          </w:tcPr>
          <w:p w14:paraId="4C74DD32">
            <w:pPr>
              <w:adjustRightInd w:val="0"/>
              <w:snapToGrid w:val="0"/>
              <w:spacing w:before="60" w:after="60"/>
              <w:jc w:val="center"/>
              <w:rPr>
                <w:rFonts w:ascii="Times New Roman" w:hAnsi="Times New Roman" w:cs="Times New Roman"/>
                <w:color w:val="EE0000"/>
                <w:sz w:val="21"/>
                <w:lang w:eastAsia="zh-CN"/>
              </w:rPr>
            </w:pPr>
          </w:p>
        </w:tc>
        <w:tc>
          <w:tcPr>
            <w:tcW w:w="1370" w:type="pct"/>
            <w:gridSpan w:val="2"/>
            <w:vAlign w:val="center"/>
          </w:tcPr>
          <w:p w14:paraId="3A56A7D3">
            <w:pPr>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一般固废</w:t>
            </w:r>
            <w:r>
              <w:rPr>
                <w:rFonts w:hint="eastAsia" w:ascii="Times New Roman" w:hAnsi="Times New Roman" w:cs="Times New Roman"/>
                <w:color w:val="auto"/>
                <w:sz w:val="21"/>
                <w:lang w:eastAsia="zh-CN"/>
              </w:rPr>
              <w:t>（产生量）</w:t>
            </w:r>
          </w:p>
        </w:tc>
        <w:tc>
          <w:tcPr>
            <w:tcW w:w="655" w:type="pct"/>
            <w:vAlign w:val="center"/>
          </w:tcPr>
          <w:p w14:paraId="297117A8">
            <w:pPr>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t/a</w:t>
            </w:r>
          </w:p>
        </w:tc>
        <w:tc>
          <w:tcPr>
            <w:tcW w:w="656" w:type="pct"/>
            <w:vAlign w:val="center"/>
          </w:tcPr>
          <w:p w14:paraId="72A53EE0">
            <w:pPr>
              <w:adjustRightInd w:val="0"/>
              <w:snapToGrid w:val="0"/>
              <w:spacing w:before="60" w:after="60"/>
              <w:jc w:val="center"/>
              <w:rPr>
                <w:rFonts w:ascii="Times New Roman" w:hAnsi="Times New Roman" w:cs="Times New Roman"/>
                <w:color w:val="auto"/>
                <w:sz w:val="21"/>
                <w:lang w:eastAsia="zh-CN"/>
              </w:rPr>
            </w:pPr>
          </w:p>
        </w:tc>
        <w:tc>
          <w:tcPr>
            <w:tcW w:w="801" w:type="pct"/>
            <w:vAlign w:val="center"/>
          </w:tcPr>
          <w:p w14:paraId="486A1614">
            <w:pPr>
              <w:adjustRightInd w:val="0"/>
              <w:snapToGrid w:val="0"/>
              <w:spacing w:before="60" w:after="60"/>
              <w:jc w:val="center"/>
              <w:rPr>
                <w:rFonts w:ascii="Times New Roman" w:hAnsi="Times New Roman" w:cs="Times New Roman"/>
                <w:color w:val="auto"/>
                <w:sz w:val="21"/>
                <w:lang w:eastAsia="zh-CN"/>
              </w:rPr>
            </w:pPr>
          </w:p>
        </w:tc>
        <w:tc>
          <w:tcPr>
            <w:tcW w:w="921" w:type="pct"/>
            <w:vAlign w:val="center"/>
          </w:tcPr>
          <w:p w14:paraId="28DDDD1A">
            <w:pPr>
              <w:adjustRightInd w:val="0"/>
              <w:snapToGrid w:val="0"/>
              <w:spacing w:before="60" w:after="60"/>
              <w:jc w:val="center"/>
              <w:rPr>
                <w:rFonts w:ascii="Times New Roman" w:hAnsi="Times New Roman" w:cs="Times New Roman"/>
                <w:color w:val="auto"/>
                <w:sz w:val="21"/>
                <w:lang w:eastAsia="zh-CN"/>
              </w:rPr>
            </w:pPr>
          </w:p>
        </w:tc>
      </w:tr>
    </w:tbl>
    <w:p w14:paraId="08B704F4">
      <w:pPr>
        <w:tabs>
          <w:tab w:val="center" w:pos="4873"/>
        </w:tabs>
        <w:rPr>
          <w:rFonts w:ascii="Times New Roman" w:hAnsi="Times New Roman" w:cs="Times New Roman"/>
          <w:szCs w:val="24"/>
          <w:lang w:eastAsia="zh-CN" w:bidi="ar"/>
        </w:rPr>
        <w:sectPr>
          <w:pgSz w:w="11906" w:h="16838"/>
          <w:pgMar w:top="1440" w:right="1080" w:bottom="1440" w:left="1080" w:header="851" w:footer="992" w:gutter="0"/>
          <w:cols w:space="720" w:num="1"/>
          <w:docGrid w:type="lines" w:linePitch="312" w:charSpace="0"/>
        </w:sectPr>
      </w:pPr>
      <w:r>
        <w:rPr>
          <w:rFonts w:ascii="Times New Roman" w:hAnsi="Times New Roman" w:cs="Times New Roman"/>
          <w:szCs w:val="24"/>
          <w:lang w:eastAsia="zh-CN" w:bidi="ar"/>
        </w:rPr>
        <w:tab/>
      </w:r>
    </w:p>
    <w:p w14:paraId="0DA20487">
      <w:pPr>
        <w:tabs>
          <w:tab w:val="left" w:pos="2327"/>
          <w:tab w:val="center" w:pos="4873"/>
        </w:tabs>
        <w:adjustRightInd w:val="0"/>
        <w:snapToGrid w:val="0"/>
        <w:spacing w:line="360" w:lineRule="auto"/>
        <w:ind w:firstLine="480" w:firstLineChars="200"/>
        <w:jc w:val="both"/>
        <w:rPr>
          <w:rFonts w:ascii="Times New Roman" w:hAnsi="Times New Roman" w:cs="Times New Roman"/>
          <w:b/>
          <w:color w:val="auto"/>
          <w:spacing w:val="8"/>
          <w:lang w:eastAsia="zh-CN"/>
        </w:rPr>
      </w:pPr>
      <w:r>
        <w:rPr>
          <w:rFonts w:hint="eastAsia" w:ascii="Times New Roman" w:hAnsi="Times New Roman" w:cs="Times New Roman"/>
          <w:szCs w:val="24"/>
          <w:lang w:eastAsia="zh-CN" w:bidi="ar"/>
        </w:rPr>
        <w:t>本项目实施后，全厂污染物“三本帐”情况详见下表。</w:t>
      </w:r>
    </w:p>
    <w:p w14:paraId="1B9467EB">
      <w:pPr>
        <w:tabs>
          <w:tab w:val="left" w:pos="2327"/>
          <w:tab w:val="center" w:pos="4873"/>
        </w:tabs>
        <w:spacing w:line="360" w:lineRule="auto"/>
        <w:jc w:val="center"/>
        <w:rPr>
          <w:rFonts w:ascii="Times New Roman" w:hAnsi="Times New Roman" w:cs="Times New Roman"/>
          <w:b/>
          <w:color w:val="auto"/>
          <w:spacing w:val="8"/>
          <w:lang w:eastAsia="zh-CN"/>
        </w:rPr>
      </w:pPr>
      <w:r>
        <w:rPr>
          <w:rFonts w:ascii="Times New Roman" w:hAnsi="Times New Roman" w:cs="Times New Roman"/>
          <w:b/>
          <w:color w:val="auto"/>
          <w:spacing w:val="8"/>
          <w:lang w:eastAsia="zh-CN"/>
        </w:rPr>
        <w:t>表4.4-</w:t>
      </w:r>
      <w:r>
        <w:rPr>
          <w:rFonts w:hint="eastAsia" w:ascii="Times New Roman" w:hAnsi="Times New Roman" w:cs="Times New Roman"/>
          <w:b/>
          <w:color w:val="auto"/>
          <w:spacing w:val="8"/>
          <w:lang w:eastAsia="zh-CN"/>
        </w:rPr>
        <w:t>2全厂</w:t>
      </w:r>
      <w:r>
        <w:rPr>
          <w:rFonts w:ascii="Times New Roman" w:hAnsi="Times New Roman" w:cs="Times New Roman"/>
          <w:b/>
          <w:color w:val="auto"/>
          <w:spacing w:val="8"/>
          <w:lang w:eastAsia="zh-CN"/>
        </w:rPr>
        <w:t>污染物</w:t>
      </w:r>
      <w:r>
        <w:rPr>
          <w:rFonts w:hint="eastAsia" w:ascii="Times New Roman" w:hAnsi="Times New Roman" w:cs="Times New Roman"/>
          <w:b/>
          <w:color w:val="auto"/>
          <w:spacing w:val="8"/>
          <w:lang w:eastAsia="zh-CN"/>
        </w:rPr>
        <w:t>“三本帐”</w:t>
      </w:r>
      <w:r>
        <w:rPr>
          <w:rFonts w:ascii="Times New Roman" w:hAnsi="Times New Roman" w:cs="Times New Roman"/>
          <w:b/>
          <w:color w:val="auto"/>
          <w:spacing w:val="8"/>
          <w:lang w:eastAsia="zh-CN"/>
        </w:rPr>
        <w:t>情况汇总表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390"/>
        <w:gridCol w:w="1125"/>
        <w:gridCol w:w="1566"/>
        <w:gridCol w:w="2074"/>
        <w:gridCol w:w="1812"/>
        <w:gridCol w:w="1957"/>
        <w:gridCol w:w="1982"/>
        <w:gridCol w:w="2052"/>
      </w:tblGrid>
      <w:tr w14:paraId="00A053B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498" w:type="pct"/>
            <w:vAlign w:val="center"/>
          </w:tcPr>
          <w:p w14:paraId="276350AE">
            <w:pPr>
              <w:adjustRightInd w:val="0"/>
              <w:snapToGrid w:val="0"/>
              <w:spacing w:before="60" w:after="6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类别</w:t>
            </w:r>
          </w:p>
        </w:tc>
        <w:tc>
          <w:tcPr>
            <w:tcW w:w="964" w:type="pct"/>
            <w:gridSpan w:val="2"/>
            <w:vAlign w:val="center"/>
          </w:tcPr>
          <w:p w14:paraId="281AE06E">
            <w:pPr>
              <w:adjustRightInd w:val="0"/>
              <w:snapToGrid w:val="0"/>
              <w:spacing w:before="60" w:after="6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污染物名称</w:t>
            </w:r>
          </w:p>
        </w:tc>
        <w:tc>
          <w:tcPr>
            <w:tcW w:w="743" w:type="pct"/>
            <w:vAlign w:val="center"/>
          </w:tcPr>
          <w:p w14:paraId="2A209ECC">
            <w:pPr>
              <w:adjustRightInd w:val="0"/>
              <w:snapToGrid w:val="0"/>
              <w:spacing w:before="60" w:after="60"/>
              <w:jc w:val="center"/>
              <w:rPr>
                <w:rFonts w:ascii="Times New Roman" w:hAnsi="Times New Roman" w:cs="Times New Roman"/>
                <w:b/>
                <w:color w:val="000000" w:themeColor="text1"/>
                <w:sz w:val="21"/>
                <w:lang w:eastAsia="zh-CN"/>
                <w14:textFill>
                  <w14:solidFill>
                    <w14:schemeClr w14:val="tx1"/>
                  </w14:solidFill>
                </w14:textFill>
              </w:rPr>
            </w:pPr>
            <w:r>
              <w:rPr>
                <w:rFonts w:hint="eastAsia" w:ascii="Times New Roman" w:hAnsi="Times New Roman" w:cs="Times New Roman"/>
                <w:b/>
                <w:color w:val="000000" w:themeColor="text1"/>
                <w:sz w:val="21"/>
                <w:lang w:eastAsia="zh-CN"/>
                <w14:textFill>
                  <w14:solidFill>
                    <w14:schemeClr w14:val="tx1"/>
                  </w14:solidFill>
                </w14:textFill>
              </w:rPr>
              <w:t>现有工程排放量（</w:t>
            </w:r>
            <w:r>
              <w:rPr>
                <w:rFonts w:ascii="Times New Roman" w:hAnsi="Times New Roman" w:cs="Times New Roman"/>
                <w:b/>
                <w:color w:val="000000" w:themeColor="text1"/>
                <w:sz w:val="21"/>
                <w:lang w:eastAsia="zh-CN"/>
                <w14:textFill>
                  <w14:solidFill>
                    <w14:schemeClr w14:val="tx1"/>
                  </w14:solidFill>
                </w14:textFill>
              </w:rPr>
              <w:t>t/a</w:t>
            </w:r>
            <w:r>
              <w:rPr>
                <w:rFonts w:hint="eastAsia" w:ascii="Times New Roman" w:hAnsi="Times New Roman" w:cs="Times New Roman"/>
                <w:b/>
                <w:color w:val="000000" w:themeColor="text1"/>
                <w:sz w:val="21"/>
                <w:lang w:eastAsia="zh-CN"/>
                <w14:textFill>
                  <w14:solidFill>
                    <w14:schemeClr w14:val="tx1"/>
                  </w14:solidFill>
                </w14:textFill>
              </w:rPr>
              <w:t>）</w:t>
            </w:r>
            <w:r>
              <w:rPr>
                <w:rFonts w:ascii="Times New Roman" w:hAnsi="Times New Roman" w:cs="Times New Roman"/>
                <w:b/>
                <w:color w:val="000000" w:themeColor="text1"/>
                <w:sz w:val="21"/>
                <w:lang w:eastAsia="zh-CN"/>
                <w14:textFill>
                  <w14:solidFill>
                    <w14:schemeClr w14:val="tx1"/>
                  </w14:solidFill>
                </w14:textFill>
              </w:rPr>
              <w:fldChar w:fldCharType="begin"/>
            </w:r>
            <w:r>
              <w:rPr>
                <w:rFonts w:ascii="Times New Roman" w:hAnsi="Times New Roman" w:cs="Times New Roman"/>
                <w:b/>
                <w:color w:val="000000" w:themeColor="text1"/>
                <w:sz w:val="21"/>
                <w:lang w:eastAsia="zh-CN"/>
                <w14:textFill>
                  <w14:solidFill>
                    <w14:schemeClr w14:val="tx1"/>
                  </w14:solidFill>
                </w14:textFill>
              </w:rPr>
              <w:instrText xml:space="preserve"> </w:instrText>
            </w:r>
            <w:r>
              <w:rPr>
                <w:rFonts w:hint="eastAsia" w:ascii="Times New Roman" w:hAnsi="Times New Roman" w:cs="Times New Roman"/>
                <w:b/>
                <w:color w:val="000000" w:themeColor="text1"/>
                <w:sz w:val="21"/>
                <w:lang w:eastAsia="zh-CN"/>
                <w14:textFill>
                  <w14:solidFill>
                    <w14:schemeClr w14:val="tx1"/>
                  </w14:solidFill>
                </w14:textFill>
              </w:rPr>
              <w:instrText xml:space="preserve">= 1 \* GB3</w:instrText>
            </w:r>
            <w:r>
              <w:rPr>
                <w:rFonts w:ascii="Times New Roman" w:hAnsi="Times New Roman" w:cs="Times New Roman"/>
                <w:b/>
                <w:color w:val="000000" w:themeColor="text1"/>
                <w:sz w:val="21"/>
                <w:lang w:eastAsia="zh-CN"/>
                <w14:textFill>
                  <w14:solidFill>
                    <w14:schemeClr w14:val="tx1"/>
                  </w14:solidFill>
                </w14:textFill>
              </w:rPr>
              <w:instrText xml:space="preserve"> </w:instrText>
            </w:r>
            <w:r>
              <w:rPr>
                <w:rFonts w:ascii="Times New Roman" w:hAnsi="Times New Roman" w:cs="Times New Roman"/>
                <w:b/>
                <w:color w:val="000000" w:themeColor="text1"/>
                <w:sz w:val="21"/>
                <w:lang w:eastAsia="zh-CN"/>
                <w14:textFill>
                  <w14:solidFill>
                    <w14:schemeClr w14:val="tx1"/>
                  </w14:solidFill>
                </w14:textFill>
              </w:rPr>
              <w:fldChar w:fldCharType="separate"/>
            </w:r>
            <w:r>
              <w:rPr>
                <w:rFonts w:hint="eastAsia" w:ascii="Times New Roman" w:hAnsi="Times New Roman" w:cs="Times New Roman"/>
                <w:b/>
                <w:color w:val="000000" w:themeColor="text1"/>
                <w:sz w:val="21"/>
                <w:lang w:eastAsia="zh-CN"/>
                <w14:textFill>
                  <w14:solidFill>
                    <w14:schemeClr w14:val="tx1"/>
                  </w14:solidFill>
                </w14:textFill>
              </w:rPr>
              <w:t>①</w:t>
            </w:r>
            <w:r>
              <w:rPr>
                <w:rFonts w:ascii="Times New Roman" w:hAnsi="Times New Roman" w:cs="Times New Roman"/>
                <w:b/>
                <w:color w:val="000000" w:themeColor="text1"/>
                <w:sz w:val="21"/>
                <w:lang w:eastAsia="zh-CN"/>
                <w14:textFill>
                  <w14:solidFill>
                    <w14:schemeClr w14:val="tx1"/>
                  </w14:solidFill>
                </w14:textFill>
              </w:rPr>
              <w:fldChar w:fldCharType="end"/>
            </w:r>
          </w:p>
        </w:tc>
        <w:tc>
          <w:tcPr>
            <w:tcW w:w="649" w:type="pct"/>
            <w:vAlign w:val="center"/>
          </w:tcPr>
          <w:p w14:paraId="364BC25B">
            <w:pPr>
              <w:adjustRightInd w:val="0"/>
              <w:snapToGrid w:val="0"/>
              <w:spacing w:before="60" w:after="60"/>
              <w:jc w:val="center"/>
              <w:rPr>
                <w:rFonts w:ascii="Times New Roman" w:hAnsi="Times New Roman" w:cs="Times New Roman"/>
                <w:b/>
                <w:color w:val="000000" w:themeColor="text1"/>
                <w:sz w:val="21"/>
                <w:lang w:eastAsia="zh-CN"/>
                <w14:textFill>
                  <w14:solidFill>
                    <w14:schemeClr w14:val="tx1"/>
                  </w14:solidFill>
                </w14:textFill>
              </w:rPr>
            </w:pPr>
            <w:r>
              <w:rPr>
                <w:rFonts w:hint="eastAsia" w:ascii="Times New Roman" w:hAnsi="Times New Roman" w:cs="Times New Roman"/>
                <w:b/>
                <w:color w:val="000000" w:themeColor="text1"/>
                <w:sz w:val="21"/>
                <w:lang w:eastAsia="zh-CN"/>
                <w14:textFill>
                  <w14:solidFill>
                    <w14:schemeClr w14:val="tx1"/>
                  </w14:solidFill>
                </w14:textFill>
              </w:rPr>
              <w:t>本项目预测排放量（</w:t>
            </w:r>
            <w:r>
              <w:rPr>
                <w:rFonts w:ascii="Times New Roman" w:hAnsi="Times New Roman" w:cs="Times New Roman"/>
                <w:b/>
                <w:color w:val="000000" w:themeColor="text1"/>
                <w:sz w:val="21"/>
                <w:lang w:eastAsia="zh-CN"/>
                <w14:textFill>
                  <w14:solidFill>
                    <w14:schemeClr w14:val="tx1"/>
                  </w14:solidFill>
                </w14:textFill>
              </w:rPr>
              <w:t>t/a</w:t>
            </w:r>
            <w:r>
              <w:rPr>
                <w:rFonts w:hint="eastAsia" w:ascii="Times New Roman" w:hAnsi="Times New Roman" w:cs="Times New Roman"/>
                <w:b/>
                <w:color w:val="000000" w:themeColor="text1"/>
                <w:sz w:val="21"/>
                <w:lang w:eastAsia="zh-CN"/>
                <w14:textFill>
                  <w14:solidFill>
                    <w14:schemeClr w14:val="tx1"/>
                  </w14:solidFill>
                </w14:textFill>
              </w:rPr>
              <w:t>）</w:t>
            </w:r>
            <w:r>
              <w:rPr>
                <w:rFonts w:ascii="Times New Roman" w:hAnsi="Times New Roman" w:cs="Times New Roman"/>
                <w:b/>
                <w:color w:val="000000" w:themeColor="text1"/>
                <w:sz w:val="21"/>
                <w:lang w:eastAsia="zh-CN"/>
                <w14:textFill>
                  <w14:solidFill>
                    <w14:schemeClr w14:val="tx1"/>
                  </w14:solidFill>
                </w14:textFill>
              </w:rPr>
              <w:fldChar w:fldCharType="begin"/>
            </w:r>
            <w:r>
              <w:rPr>
                <w:rFonts w:ascii="Times New Roman" w:hAnsi="Times New Roman" w:cs="Times New Roman"/>
                <w:b/>
                <w:color w:val="000000" w:themeColor="text1"/>
                <w:sz w:val="21"/>
                <w:lang w:eastAsia="zh-CN"/>
                <w14:textFill>
                  <w14:solidFill>
                    <w14:schemeClr w14:val="tx1"/>
                  </w14:solidFill>
                </w14:textFill>
              </w:rPr>
              <w:instrText xml:space="preserve"> </w:instrText>
            </w:r>
            <w:r>
              <w:rPr>
                <w:rFonts w:hint="eastAsia" w:ascii="Times New Roman" w:hAnsi="Times New Roman" w:cs="Times New Roman"/>
                <w:b/>
                <w:color w:val="000000" w:themeColor="text1"/>
                <w:sz w:val="21"/>
                <w:lang w:eastAsia="zh-CN"/>
                <w14:textFill>
                  <w14:solidFill>
                    <w14:schemeClr w14:val="tx1"/>
                  </w14:solidFill>
                </w14:textFill>
              </w:rPr>
              <w:instrText xml:space="preserve">= 2 \* GB3</w:instrText>
            </w:r>
            <w:r>
              <w:rPr>
                <w:rFonts w:ascii="Times New Roman" w:hAnsi="Times New Roman" w:cs="Times New Roman"/>
                <w:b/>
                <w:color w:val="000000" w:themeColor="text1"/>
                <w:sz w:val="21"/>
                <w:lang w:eastAsia="zh-CN"/>
                <w14:textFill>
                  <w14:solidFill>
                    <w14:schemeClr w14:val="tx1"/>
                  </w14:solidFill>
                </w14:textFill>
              </w:rPr>
              <w:instrText xml:space="preserve"> </w:instrText>
            </w:r>
            <w:r>
              <w:rPr>
                <w:rFonts w:ascii="Times New Roman" w:hAnsi="Times New Roman" w:cs="Times New Roman"/>
                <w:b/>
                <w:color w:val="000000" w:themeColor="text1"/>
                <w:sz w:val="21"/>
                <w:lang w:eastAsia="zh-CN"/>
                <w14:textFill>
                  <w14:solidFill>
                    <w14:schemeClr w14:val="tx1"/>
                  </w14:solidFill>
                </w14:textFill>
              </w:rPr>
              <w:fldChar w:fldCharType="separate"/>
            </w:r>
            <w:r>
              <w:rPr>
                <w:rFonts w:hint="eastAsia" w:ascii="Times New Roman" w:hAnsi="Times New Roman" w:cs="Times New Roman"/>
                <w:b/>
                <w:color w:val="000000" w:themeColor="text1"/>
                <w:sz w:val="21"/>
                <w:lang w:eastAsia="zh-CN"/>
                <w14:textFill>
                  <w14:solidFill>
                    <w14:schemeClr w14:val="tx1"/>
                  </w14:solidFill>
                </w14:textFill>
              </w:rPr>
              <w:t>②</w:t>
            </w:r>
            <w:r>
              <w:rPr>
                <w:rFonts w:ascii="Times New Roman" w:hAnsi="Times New Roman" w:cs="Times New Roman"/>
                <w:b/>
                <w:color w:val="000000" w:themeColor="text1"/>
                <w:sz w:val="21"/>
                <w:lang w:eastAsia="zh-CN"/>
                <w14:textFill>
                  <w14:solidFill>
                    <w14:schemeClr w14:val="tx1"/>
                  </w14:solidFill>
                </w14:textFill>
              </w:rPr>
              <w:fldChar w:fldCharType="end"/>
            </w:r>
          </w:p>
        </w:tc>
        <w:tc>
          <w:tcPr>
            <w:tcW w:w="701" w:type="pct"/>
            <w:vAlign w:val="center"/>
          </w:tcPr>
          <w:p w14:paraId="5B3AA1BD">
            <w:pPr>
              <w:adjustRightInd w:val="0"/>
              <w:snapToGrid w:val="0"/>
              <w:spacing w:before="60" w:after="60"/>
              <w:jc w:val="center"/>
              <w:rPr>
                <w:rFonts w:ascii="Times New Roman" w:hAnsi="Times New Roman" w:cs="Times New Roman"/>
                <w:b/>
                <w:color w:val="000000" w:themeColor="text1"/>
                <w:sz w:val="21"/>
                <w:lang w:eastAsia="zh-CN"/>
                <w14:textFill>
                  <w14:solidFill>
                    <w14:schemeClr w14:val="tx1"/>
                  </w14:solidFill>
                </w14:textFill>
              </w:rPr>
            </w:pPr>
            <w:r>
              <w:rPr>
                <w:rFonts w:hint="eastAsia" w:ascii="Times New Roman" w:hAnsi="Times New Roman" w:cs="Times New Roman"/>
                <w:b/>
                <w:color w:val="000000" w:themeColor="text1"/>
                <w:sz w:val="21"/>
                <w:lang w:eastAsia="zh-CN"/>
                <w14:textFill>
                  <w14:solidFill>
                    <w14:schemeClr w14:val="tx1"/>
                  </w14:solidFill>
                </w14:textFill>
              </w:rPr>
              <w:t>削减量（</w:t>
            </w:r>
            <w:r>
              <w:rPr>
                <w:rFonts w:ascii="Times New Roman" w:hAnsi="Times New Roman" w:cs="Times New Roman"/>
                <w:b/>
                <w:color w:val="000000" w:themeColor="text1"/>
                <w:sz w:val="21"/>
                <w:lang w:eastAsia="zh-CN"/>
                <w14:textFill>
                  <w14:solidFill>
                    <w14:schemeClr w14:val="tx1"/>
                  </w14:solidFill>
                </w14:textFill>
              </w:rPr>
              <w:t>t/a</w:t>
            </w:r>
            <w:r>
              <w:rPr>
                <w:rFonts w:hint="eastAsia" w:ascii="Times New Roman" w:hAnsi="Times New Roman" w:cs="Times New Roman"/>
                <w:b/>
                <w:color w:val="000000" w:themeColor="text1"/>
                <w:sz w:val="21"/>
                <w:lang w:eastAsia="zh-CN"/>
                <w14:textFill>
                  <w14:solidFill>
                    <w14:schemeClr w14:val="tx1"/>
                  </w14:solidFill>
                </w14:textFill>
              </w:rPr>
              <w:t>）</w:t>
            </w:r>
            <w:r>
              <w:rPr>
                <w:rFonts w:ascii="Times New Roman" w:hAnsi="Times New Roman" w:cs="Times New Roman"/>
                <w:b/>
                <w:color w:val="000000" w:themeColor="text1"/>
                <w:sz w:val="21"/>
                <w:lang w:eastAsia="zh-CN"/>
                <w14:textFill>
                  <w14:solidFill>
                    <w14:schemeClr w14:val="tx1"/>
                  </w14:solidFill>
                </w14:textFill>
              </w:rPr>
              <w:fldChar w:fldCharType="begin"/>
            </w:r>
            <w:r>
              <w:rPr>
                <w:rFonts w:ascii="Times New Roman" w:hAnsi="Times New Roman" w:cs="Times New Roman"/>
                <w:b/>
                <w:color w:val="000000" w:themeColor="text1"/>
                <w:sz w:val="21"/>
                <w:lang w:eastAsia="zh-CN"/>
                <w14:textFill>
                  <w14:solidFill>
                    <w14:schemeClr w14:val="tx1"/>
                  </w14:solidFill>
                </w14:textFill>
              </w:rPr>
              <w:instrText xml:space="preserve"> </w:instrText>
            </w:r>
            <w:r>
              <w:rPr>
                <w:rFonts w:hint="eastAsia" w:ascii="Times New Roman" w:hAnsi="Times New Roman" w:cs="Times New Roman"/>
                <w:b/>
                <w:color w:val="000000" w:themeColor="text1"/>
                <w:sz w:val="21"/>
                <w:lang w:eastAsia="zh-CN"/>
                <w14:textFill>
                  <w14:solidFill>
                    <w14:schemeClr w14:val="tx1"/>
                  </w14:solidFill>
                </w14:textFill>
              </w:rPr>
              <w:instrText xml:space="preserve">= 3 \* GB3</w:instrText>
            </w:r>
            <w:r>
              <w:rPr>
                <w:rFonts w:ascii="Times New Roman" w:hAnsi="Times New Roman" w:cs="Times New Roman"/>
                <w:b/>
                <w:color w:val="000000" w:themeColor="text1"/>
                <w:sz w:val="21"/>
                <w:lang w:eastAsia="zh-CN"/>
                <w14:textFill>
                  <w14:solidFill>
                    <w14:schemeClr w14:val="tx1"/>
                  </w14:solidFill>
                </w14:textFill>
              </w:rPr>
              <w:instrText xml:space="preserve"> </w:instrText>
            </w:r>
            <w:r>
              <w:rPr>
                <w:rFonts w:ascii="Times New Roman" w:hAnsi="Times New Roman" w:cs="Times New Roman"/>
                <w:b/>
                <w:color w:val="000000" w:themeColor="text1"/>
                <w:sz w:val="21"/>
                <w:lang w:eastAsia="zh-CN"/>
                <w14:textFill>
                  <w14:solidFill>
                    <w14:schemeClr w14:val="tx1"/>
                  </w14:solidFill>
                </w14:textFill>
              </w:rPr>
              <w:fldChar w:fldCharType="separate"/>
            </w:r>
            <w:r>
              <w:rPr>
                <w:rFonts w:hint="eastAsia" w:ascii="Times New Roman" w:hAnsi="Times New Roman" w:cs="Times New Roman"/>
                <w:b/>
                <w:color w:val="000000" w:themeColor="text1"/>
                <w:sz w:val="21"/>
                <w:lang w:eastAsia="zh-CN"/>
                <w14:textFill>
                  <w14:solidFill>
                    <w14:schemeClr w14:val="tx1"/>
                  </w14:solidFill>
                </w14:textFill>
              </w:rPr>
              <w:t>③</w:t>
            </w:r>
            <w:r>
              <w:rPr>
                <w:rFonts w:ascii="Times New Roman" w:hAnsi="Times New Roman" w:cs="Times New Roman"/>
                <w:b/>
                <w:color w:val="000000" w:themeColor="text1"/>
                <w:sz w:val="21"/>
                <w:lang w:eastAsia="zh-CN"/>
                <w14:textFill>
                  <w14:solidFill>
                    <w14:schemeClr w14:val="tx1"/>
                  </w14:solidFill>
                </w14:textFill>
              </w:rPr>
              <w:fldChar w:fldCharType="end"/>
            </w:r>
          </w:p>
        </w:tc>
        <w:tc>
          <w:tcPr>
            <w:tcW w:w="710" w:type="pct"/>
            <w:vAlign w:val="center"/>
          </w:tcPr>
          <w:p w14:paraId="136BEFDB">
            <w:pPr>
              <w:adjustRightInd w:val="0"/>
              <w:snapToGrid w:val="0"/>
              <w:spacing w:before="60" w:after="60"/>
              <w:jc w:val="center"/>
              <w:rPr>
                <w:rFonts w:ascii="Times New Roman" w:hAnsi="Times New Roman" w:cs="Times New Roman"/>
                <w:b/>
                <w:color w:val="000000" w:themeColor="text1"/>
                <w:sz w:val="21"/>
                <w:lang w:eastAsia="zh-CN"/>
                <w14:textFill>
                  <w14:solidFill>
                    <w14:schemeClr w14:val="tx1"/>
                  </w14:solidFill>
                </w14:textFill>
              </w:rPr>
            </w:pPr>
            <w:r>
              <w:rPr>
                <w:rFonts w:hint="eastAsia" w:ascii="Times New Roman" w:hAnsi="Times New Roman" w:cs="Times New Roman"/>
                <w:b/>
                <w:color w:val="000000" w:themeColor="text1"/>
                <w:sz w:val="21"/>
                <w:lang w:eastAsia="zh-CN"/>
                <w14:textFill>
                  <w14:solidFill>
                    <w14:schemeClr w14:val="tx1"/>
                  </w14:solidFill>
                </w14:textFill>
              </w:rPr>
              <w:t>全厂预测排放总量（</w:t>
            </w:r>
            <w:r>
              <w:rPr>
                <w:rFonts w:ascii="Times New Roman" w:hAnsi="Times New Roman" w:cs="Times New Roman"/>
                <w:b/>
                <w:color w:val="000000" w:themeColor="text1"/>
                <w:sz w:val="21"/>
                <w:lang w:eastAsia="zh-CN"/>
                <w14:textFill>
                  <w14:solidFill>
                    <w14:schemeClr w14:val="tx1"/>
                  </w14:solidFill>
                </w14:textFill>
              </w:rPr>
              <w:t>t/a</w:t>
            </w:r>
            <w:r>
              <w:rPr>
                <w:rFonts w:hint="eastAsia" w:ascii="Times New Roman" w:hAnsi="Times New Roman" w:cs="Times New Roman"/>
                <w:b/>
                <w:color w:val="000000" w:themeColor="text1"/>
                <w:sz w:val="21"/>
                <w:lang w:eastAsia="zh-CN"/>
                <w14:textFill>
                  <w14:solidFill>
                    <w14:schemeClr w14:val="tx1"/>
                  </w14:solidFill>
                </w14:textFill>
              </w:rPr>
              <w:t>）</w:t>
            </w:r>
            <w:r>
              <w:rPr>
                <w:rFonts w:ascii="Times New Roman" w:hAnsi="Times New Roman" w:cs="Times New Roman"/>
                <w:b/>
                <w:color w:val="000000" w:themeColor="text1"/>
                <w:sz w:val="21"/>
                <w:lang w:eastAsia="zh-CN"/>
                <w14:textFill>
                  <w14:solidFill>
                    <w14:schemeClr w14:val="tx1"/>
                  </w14:solidFill>
                </w14:textFill>
              </w:rPr>
              <w:fldChar w:fldCharType="begin"/>
            </w:r>
            <w:r>
              <w:rPr>
                <w:rFonts w:ascii="Times New Roman" w:hAnsi="Times New Roman" w:cs="Times New Roman"/>
                <w:b/>
                <w:color w:val="000000" w:themeColor="text1"/>
                <w:sz w:val="21"/>
                <w:lang w:eastAsia="zh-CN"/>
                <w14:textFill>
                  <w14:solidFill>
                    <w14:schemeClr w14:val="tx1"/>
                  </w14:solidFill>
                </w14:textFill>
              </w:rPr>
              <w:instrText xml:space="preserve"> </w:instrText>
            </w:r>
            <w:r>
              <w:rPr>
                <w:rFonts w:hint="eastAsia" w:ascii="Times New Roman" w:hAnsi="Times New Roman" w:cs="Times New Roman"/>
                <w:b/>
                <w:color w:val="000000" w:themeColor="text1"/>
                <w:sz w:val="21"/>
                <w:lang w:eastAsia="zh-CN"/>
                <w14:textFill>
                  <w14:solidFill>
                    <w14:schemeClr w14:val="tx1"/>
                  </w14:solidFill>
                </w14:textFill>
              </w:rPr>
              <w:instrText xml:space="preserve">= 4 \* GB3</w:instrText>
            </w:r>
            <w:r>
              <w:rPr>
                <w:rFonts w:ascii="Times New Roman" w:hAnsi="Times New Roman" w:cs="Times New Roman"/>
                <w:b/>
                <w:color w:val="000000" w:themeColor="text1"/>
                <w:sz w:val="21"/>
                <w:lang w:eastAsia="zh-CN"/>
                <w14:textFill>
                  <w14:solidFill>
                    <w14:schemeClr w14:val="tx1"/>
                  </w14:solidFill>
                </w14:textFill>
              </w:rPr>
              <w:instrText xml:space="preserve"> </w:instrText>
            </w:r>
            <w:r>
              <w:rPr>
                <w:rFonts w:ascii="Times New Roman" w:hAnsi="Times New Roman" w:cs="Times New Roman"/>
                <w:b/>
                <w:color w:val="000000" w:themeColor="text1"/>
                <w:sz w:val="21"/>
                <w:lang w:eastAsia="zh-CN"/>
                <w14:textFill>
                  <w14:solidFill>
                    <w14:schemeClr w14:val="tx1"/>
                  </w14:solidFill>
                </w14:textFill>
              </w:rPr>
              <w:fldChar w:fldCharType="separate"/>
            </w:r>
            <w:r>
              <w:rPr>
                <w:rFonts w:hint="eastAsia" w:ascii="Times New Roman" w:hAnsi="Times New Roman" w:cs="Times New Roman"/>
                <w:b/>
                <w:color w:val="000000" w:themeColor="text1"/>
                <w:sz w:val="21"/>
                <w:lang w:eastAsia="zh-CN"/>
                <w14:textFill>
                  <w14:solidFill>
                    <w14:schemeClr w14:val="tx1"/>
                  </w14:solidFill>
                </w14:textFill>
              </w:rPr>
              <w:t>④</w:t>
            </w:r>
            <w:r>
              <w:rPr>
                <w:rFonts w:ascii="Times New Roman" w:hAnsi="Times New Roman" w:cs="Times New Roman"/>
                <w:b/>
                <w:color w:val="000000" w:themeColor="text1"/>
                <w:sz w:val="21"/>
                <w:lang w:eastAsia="zh-CN"/>
                <w14:textFill>
                  <w14:solidFill>
                    <w14:schemeClr w14:val="tx1"/>
                  </w14:solidFill>
                </w14:textFill>
              </w:rPr>
              <w:fldChar w:fldCharType="end"/>
            </w:r>
          </w:p>
        </w:tc>
        <w:tc>
          <w:tcPr>
            <w:tcW w:w="735" w:type="pct"/>
            <w:vAlign w:val="center"/>
          </w:tcPr>
          <w:p w14:paraId="2EDD7362">
            <w:pPr>
              <w:adjustRightInd w:val="0"/>
              <w:snapToGrid w:val="0"/>
              <w:spacing w:before="60" w:after="60"/>
              <w:jc w:val="center"/>
              <w:rPr>
                <w:rFonts w:ascii="Times New Roman" w:hAnsi="Times New Roman" w:cs="Times New Roman"/>
                <w:b/>
                <w:color w:val="000000" w:themeColor="text1"/>
                <w:sz w:val="21"/>
                <w:lang w:eastAsia="zh-CN"/>
                <w14:textFill>
                  <w14:solidFill>
                    <w14:schemeClr w14:val="tx1"/>
                  </w14:solidFill>
                </w14:textFill>
              </w:rPr>
            </w:pPr>
            <w:r>
              <w:rPr>
                <w:rFonts w:hint="eastAsia" w:ascii="Times New Roman" w:hAnsi="Times New Roman" w:cs="Times New Roman"/>
                <w:b/>
                <w:color w:val="000000" w:themeColor="text1"/>
                <w:sz w:val="21"/>
                <w:lang w:eastAsia="zh-CN"/>
                <w14:textFill>
                  <w14:solidFill>
                    <w14:schemeClr w14:val="tx1"/>
                  </w14:solidFill>
                </w14:textFill>
              </w:rPr>
              <w:t>排放增减量（</w:t>
            </w:r>
            <w:r>
              <w:rPr>
                <w:rFonts w:ascii="Times New Roman" w:hAnsi="Times New Roman" w:cs="Times New Roman"/>
                <w:b/>
                <w:color w:val="000000" w:themeColor="text1"/>
                <w:sz w:val="21"/>
                <w:lang w:eastAsia="zh-CN"/>
                <w14:textFill>
                  <w14:solidFill>
                    <w14:schemeClr w14:val="tx1"/>
                  </w14:solidFill>
                </w14:textFill>
              </w:rPr>
              <w:t>t/a</w:t>
            </w:r>
            <w:r>
              <w:rPr>
                <w:rFonts w:hint="eastAsia" w:ascii="Times New Roman" w:hAnsi="Times New Roman" w:cs="Times New Roman"/>
                <w:b/>
                <w:color w:val="000000" w:themeColor="text1"/>
                <w:sz w:val="21"/>
                <w:lang w:eastAsia="zh-CN"/>
                <w14:textFill>
                  <w14:solidFill>
                    <w14:schemeClr w14:val="tx1"/>
                  </w14:solidFill>
                </w14:textFill>
              </w:rPr>
              <w:t>）</w:t>
            </w:r>
            <w:r>
              <w:rPr>
                <w:rFonts w:ascii="Times New Roman" w:hAnsi="Times New Roman" w:cs="Times New Roman"/>
                <w:b/>
                <w:color w:val="000000" w:themeColor="text1"/>
                <w:sz w:val="21"/>
                <w:lang w:eastAsia="zh-CN"/>
                <w14:textFill>
                  <w14:solidFill>
                    <w14:schemeClr w14:val="tx1"/>
                  </w14:solidFill>
                </w14:textFill>
              </w:rPr>
              <w:fldChar w:fldCharType="begin"/>
            </w:r>
            <w:r>
              <w:rPr>
                <w:rFonts w:ascii="Times New Roman" w:hAnsi="Times New Roman" w:cs="Times New Roman"/>
                <w:b/>
                <w:color w:val="000000" w:themeColor="text1"/>
                <w:sz w:val="21"/>
                <w:lang w:eastAsia="zh-CN"/>
                <w14:textFill>
                  <w14:solidFill>
                    <w14:schemeClr w14:val="tx1"/>
                  </w14:solidFill>
                </w14:textFill>
              </w:rPr>
              <w:instrText xml:space="preserve"> </w:instrText>
            </w:r>
            <w:r>
              <w:rPr>
                <w:rFonts w:hint="eastAsia" w:ascii="Times New Roman" w:hAnsi="Times New Roman" w:cs="Times New Roman"/>
                <w:b/>
                <w:color w:val="000000" w:themeColor="text1"/>
                <w:sz w:val="21"/>
                <w:lang w:eastAsia="zh-CN"/>
                <w14:textFill>
                  <w14:solidFill>
                    <w14:schemeClr w14:val="tx1"/>
                  </w14:solidFill>
                </w14:textFill>
              </w:rPr>
              <w:instrText xml:space="preserve">= 5 \* GB3</w:instrText>
            </w:r>
            <w:r>
              <w:rPr>
                <w:rFonts w:ascii="Times New Roman" w:hAnsi="Times New Roman" w:cs="Times New Roman"/>
                <w:b/>
                <w:color w:val="000000" w:themeColor="text1"/>
                <w:sz w:val="21"/>
                <w:lang w:eastAsia="zh-CN"/>
                <w14:textFill>
                  <w14:solidFill>
                    <w14:schemeClr w14:val="tx1"/>
                  </w14:solidFill>
                </w14:textFill>
              </w:rPr>
              <w:instrText xml:space="preserve"> </w:instrText>
            </w:r>
            <w:r>
              <w:rPr>
                <w:rFonts w:ascii="Times New Roman" w:hAnsi="Times New Roman" w:cs="Times New Roman"/>
                <w:b/>
                <w:color w:val="000000" w:themeColor="text1"/>
                <w:sz w:val="21"/>
                <w:lang w:eastAsia="zh-CN"/>
                <w14:textFill>
                  <w14:solidFill>
                    <w14:schemeClr w14:val="tx1"/>
                  </w14:solidFill>
                </w14:textFill>
              </w:rPr>
              <w:fldChar w:fldCharType="separate"/>
            </w:r>
            <w:r>
              <w:rPr>
                <w:rFonts w:hint="eastAsia" w:ascii="Times New Roman" w:hAnsi="Times New Roman" w:cs="Times New Roman"/>
                <w:b/>
                <w:color w:val="000000" w:themeColor="text1"/>
                <w:sz w:val="21"/>
                <w:lang w:eastAsia="zh-CN"/>
                <w14:textFill>
                  <w14:solidFill>
                    <w14:schemeClr w14:val="tx1"/>
                  </w14:solidFill>
                </w14:textFill>
              </w:rPr>
              <w:t>⑤</w:t>
            </w:r>
            <w:r>
              <w:rPr>
                <w:rFonts w:ascii="Times New Roman" w:hAnsi="Times New Roman" w:cs="Times New Roman"/>
                <w:b/>
                <w:color w:val="000000" w:themeColor="text1"/>
                <w:sz w:val="21"/>
                <w:lang w:eastAsia="zh-CN"/>
                <w14:textFill>
                  <w14:solidFill>
                    <w14:schemeClr w14:val="tx1"/>
                  </w14:solidFill>
                </w14:textFill>
              </w:rPr>
              <w:fldChar w:fldCharType="end"/>
            </w:r>
          </w:p>
        </w:tc>
      </w:tr>
      <w:tr w14:paraId="714BCEE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498" w:type="pct"/>
            <w:vMerge w:val="restart"/>
            <w:vAlign w:val="center"/>
          </w:tcPr>
          <w:p w14:paraId="21B94B09">
            <w:pPr>
              <w:adjustRightInd w:val="0"/>
              <w:snapToGrid w:val="0"/>
              <w:spacing w:before="60" w:after="6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废水</w:t>
            </w:r>
          </w:p>
        </w:tc>
        <w:tc>
          <w:tcPr>
            <w:tcW w:w="964" w:type="pct"/>
            <w:gridSpan w:val="2"/>
            <w:vAlign w:val="center"/>
          </w:tcPr>
          <w:p w14:paraId="5C8055C9">
            <w:pPr>
              <w:adjustRightInd w:val="0"/>
              <w:snapToGrid w:val="0"/>
              <w:spacing w:before="60" w:after="6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废水量</w:t>
            </w:r>
          </w:p>
        </w:tc>
        <w:tc>
          <w:tcPr>
            <w:tcW w:w="743" w:type="pct"/>
            <w:vAlign w:val="center"/>
          </w:tcPr>
          <w:p w14:paraId="4267EA3B">
            <w:pPr>
              <w:adjustRightInd w:val="0"/>
              <w:snapToGrid w:val="0"/>
              <w:spacing w:before="60" w:after="60"/>
              <w:jc w:val="center"/>
              <w:rPr>
                <w:rFonts w:ascii="Times New Roman" w:hAnsi="Times New Roman" w:cs="Times New Roman"/>
                <w:color w:val="000000" w:themeColor="text1"/>
                <w:sz w:val="21"/>
                <w:lang w:eastAsia="zh-CN"/>
                <w14:textFill>
                  <w14:solidFill>
                    <w14:schemeClr w14:val="tx1"/>
                  </w14:solidFill>
                </w14:textFill>
              </w:rPr>
            </w:pPr>
          </w:p>
        </w:tc>
        <w:tc>
          <w:tcPr>
            <w:tcW w:w="649" w:type="pct"/>
            <w:vAlign w:val="center"/>
          </w:tcPr>
          <w:p w14:paraId="7E3B9C41">
            <w:pPr>
              <w:adjustRightInd w:val="0"/>
              <w:snapToGrid w:val="0"/>
              <w:spacing w:before="60" w:after="60"/>
              <w:jc w:val="center"/>
              <w:textAlignment w:val="center"/>
              <w:rPr>
                <w:rFonts w:ascii="Times New Roman" w:hAnsi="Times New Roman" w:cs="Times New Roman"/>
                <w:color w:val="EE0000"/>
                <w:sz w:val="21"/>
                <w:lang w:eastAsia="zh-CN" w:bidi="ar"/>
              </w:rPr>
            </w:pPr>
          </w:p>
        </w:tc>
        <w:tc>
          <w:tcPr>
            <w:tcW w:w="701" w:type="pct"/>
            <w:vAlign w:val="center"/>
          </w:tcPr>
          <w:p w14:paraId="1EAAA35D">
            <w:pPr>
              <w:adjustRightInd w:val="0"/>
              <w:snapToGrid w:val="0"/>
              <w:spacing w:before="60" w:after="60"/>
              <w:jc w:val="center"/>
              <w:rPr>
                <w:rFonts w:ascii="Times New Roman" w:hAnsi="Times New Roman" w:cs="Times New Roman"/>
                <w:color w:val="auto"/>
                <w:sz w:val="21"/>
                <w:lang w:eastAsia="zh-CN"/>
              </w:rPr>
            </w:pPr>
          </w:p>
        </w:tc>
        <w:tc>
          <w:tcPr>
            <w:tcW w:w="710" w:type="pct"/>
            <w:vAlign w:val="center"/>
          </w:tcPr>
          <w:p w14:paraId="4FE65955">
            <w:pPr>
              <w:adjustRightInd w:val="0"/>
              <w:snapToGrid w:val="0"/>
              <w:spacing w:before="60" w:after="60"/>
              <w:jc w:val="center"/>
              <w:rPr>
                <w:rFonts w:ascii="Times New Roman" w:hAnsi="Times New Roman" w:cs="Times New Roman"/>
                <w:color w:val="auto"/>
                <w:sz w:val="21"/>
                <w:lang w:eastAsia="zh-CN"/>
              </w:rPr>
            </w:pPr>
          </w:p>
        </w:tc>
        <w:tc>
          <w:tcPr>
            <w:tcW w:w="735" w:type="pct"/>
            <w:vAlign w:val="center"/>
          </w:tcPr>
          <w:p w14:paraId="52FDE520">
            <w:pPr>
              <w:adjustRightInd w:val="0"/>
              <w:snapToGrid w:val="0"/>
              <w:spacing w:before="60" w:after="60"/>
              <w:jc w:val="center"/>
              <w:rPr>
                <w:rFonts w:ascii="Times New Roman" w:hAnsi="Times New Roman" w:cs="Times New Roman"/>
                <w:color w:val="auto"/>
                <w:sz w:val="21"/>
                <w:lang w:eastAsia="zh-CN" w:bidi="ar"/>
              </w:rPr>
            </w:pPr>
          </w:p>
        </w:tc>
      </w:tr>
      <w:tr w14:paraId="3C31B5B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498" w:type="pct"/>
            <w:vMerge w:val="continue"/>
            <w:vAlign w:val="center"/>
          </w:tcPr>
          <w:p w14:paraId="044D11F8">
            <w:pPr>
              <w:adjustRightInd w:val="0"/>
              <w:snapToGrid w:val="0"/>
              <w:spacing w:before="60" w:after="60"/>
              <w:jc w:val="center"/>
              <w:rPr>
                <w:rFonts w:ascii="Times New Roman" w:hAnsi="Times New Roman" w:cs="Times New Roman"/>
                <w:color w:val="000000" w:themeColor="text1"/>
                <w:sz w:val="21"/>
                <w14:textFill>
                  <w14:solidFill>
                    <w14:schemeClr w14:val="tx1"/>
                  </w14:solidFill>
                </w14:textFill>
              </w:rPr>
            </w:pPr>
          </w:p>
        </w:tc>
        <w:tc>
          <w:tcPr>
            <w:tcW w:w="964" w:type="pct"/>
            <w:gridSpan w:val="2"/>
            <w:vAlign w:val="center"/>
          </w:tcPr>
          <w:p w14:paraId="1BB7046E">
            <w:pPr>
              <w:adjustRightInd w:val="0"/>
              <w:snapToGrid w:val="0"/>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lang w:eastAsia="zh-CN" w:bidi="ar"/>
                <w14:textFill>
                  <w14:solidFill>
                    <w14:schemeClr w14:val="tx1"/>
                  </w14:solidFill>
                </w14:textFill>
              </w:rPr>
              <w:t>COD</w:t>
            </w:r>
          </w:p>
        </w:tc>
        <w:tc>
          <w:tcPr>
            <w:tcW w:w="743" w:type="pct"/>
            <w:vAlign w:val="center"/>
          </w:tcPr>
          <w:p w14:paraId="57319F51">
            <w:pPr>
              <w:adjustRightInd w:val="0"/>
              <w:snapToGrid w:val="0"/>
              <w:spacing w:before="60" w:after="60"/>
              <w:jc w:val="center"/>
              <w:rPr>
                <w:rFonts w:ascii="Times New Roman" w:hAnsi="Times New Roman" w:cs="Times New Roman"/>
                <w:color w:val="000000" w:themeColor="text1"/>
                <w:sz w:val="21"/>
                <w:lang w:eastAsia="zh-CN"/>
                <w14:textFill>
                  <w14:solidFill>
                    <w14:schemeClr w14:val="tx1"/>
                  </w14:solidFill>
                </w14:textFill>
              </w:rPr>
            </w:pPr>
          </w:p>
        </w:tc>
        <w:tc>
          <w:tcPr>
            <w:tcW w:w="649" w:type="pct"/>
            <w:vAlign w:val="center"/>
          </w:tcPr>
          <w:p w14:paraId="11BFB1A3">
            <w:pPr>
              <w:adjustRightInd w:val="0"/>
              <w:snapToGrid w:val="0"/>
              <w:spacing w:before="60" w:after="60"/>
              <w:jc w:val="center"/>
              <w:textAlignment w:val="center"/>
              <w:rPr>
                <w:rFonts w:ascii="Times New Roman" w:hAnsi="Times New Roman" w:cs="Times New Roman"/>
                <w:color w:val="EE0000"/>
                <w:sz w:val="21"/>
                <w:lang w:eastAsia="zh-CN" w:bidi="ar"/>
              </w:rPr>
            </w:pPr>
          </w:p>
        </w:tc>
        <w:tc>
          <w:tcPr>
            <w:tcW w:w="701" w:type="pct"/>
            <w:vAlign w:val="center"/>
          </w:tcPr>
          <w:p w14:paraId="160FEDF1">
            <w:pPr>
              <w:adjustRightInd w:val="0"/>
              <w:snapToGrid w:val="0"/>
              <w:jc w:val="center"/>
              <w:textAlignment w:val="center"/>
              <w:rPr>
                <w:rFonts w:ascii="Times New Roman" w:hAnsi="Times New Roman" w:cs="Times New Roman"/>
                <w:color w:val="auto"/>
                <w:sz w:val="21"/>
                <w:lang w:eastAsia="zh-CN"/>
              </w:rPr>
            </w:pPr>
          </w:p>
        </w:tc>
        <w:tc>
          <w:tcPr>
            <w:tcW w:w="710" w:type="pct"/>
            <w:vAlign w:val="center"/>
          </w:tcPr>
          <w:p w14:paraId="020E87D8">
            <w:pPr>
              <w:adjustRightInd w:val="0"/>
              <w:snapToGrid w:val="0"/>
              <w:jc w:val="center"/>
              <w:textAlignment w:val="center"/>
              <w:rPr>
                <w:rFonts w:ascii="Times New Roman" w:hAnsi="Times New Roman" w:cs="Times New Roman"/>
                <w:color w:val="auto"/>
                <w:sz w:val="21"/>
                <w:lang w:eastAsia="zh-CN"/>
              </w:rPr>
            </w:pPr>
          </w:p>
        </w:tc>
        <w:tc>
          <w:tcPr>
            <w:tcW w:w="735" w:type="pct"/>
            <w:vAlign w:val="center"/>
          </w:tcPr>
          <w:p w14:paraId="027E23D8">
            <w:pPr>
              <w:adjustRightInd w:val="0"/>
              <w:snapToGrid w:val="0"/>
              <w:jc w:val="center"/>
              <w:textAlignment w:val="center"/>
              <w:rPr>
                <w:rFonts w:ascii="Times New Roman" w:hAnsi="Times New Roman" w:cs="Times New Roman"/>
                <w:color w:val="auto"/>
                <w:sz w:val="21"/>
                <w:lang w:eastAsia="zh-CN" w:bidi="ar"/>
              </w:rPr>
            </w:pPr>
          </w:p>
        </w:tc>
      </w:tr>
      <w:tr w14:paraId="2E76226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498" w:type="pct"/>
            <w:vMerge w:val="continue"/>
            <w:vAlign w:val="center"/>
          </w:tcPr>
          <w:p w14:paraId="63EB0273">
            <w:pPr>
              <w:adjustRightInd w:val="0"/>
              <w:snapToGrid w:val="0"/>
              <w:spacing w:before="60" w:after="60"/>
              <w:jc w:val="center"/>
              <w:rPr>
                <w:rFonts w:ascii="Times New Roman" w:hAnsi="Times New Roman" w:cs="Times New Roman"/>
                <w:color w:val="000000" w:themeColor="text1"/>
                <w:sz w:val="21"/>
                <w14:textFill>
                  <w14:solidFill>
                    <w14:schemeClr w14:val="tx1"/>
                  </w14:solidFill>
                </w14:textFill>
              </w:rPr>
            </w:pPr>
          </w:p>
        </w:tc>
        <w:tc>
          <w:tcPr>
            <w:tcW w:w="964" w:type="pct"/>
            <w:gridSpan w:val="2"/>
            <w:vAlign w:val="center"/>
          </w:tcPr>
          <w:p w14:paraId="49C9E8B8">
            <w:pPr>
              <w:adjustRightInd w:val="0"/>
              <w:snapToGrid w:val="0"/>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氨氮</w:t>
            </w:r>
          </w:p>
        </w:tc>
        <w:tc>
          <w:tcPr>
            <w:tcW w:w="743" w:type="pct"/>
            <w:vAlign w:val="center"/>
          </w:tcPr>
          <w:p w14:paraId="61F1A6BF">
            <w:pPr>
              <w:adjustRightInd w:val="0"/>
              <w:snapToGrid w:val="0"/>
              <w:spacing w:before="60" w:after="60"/>
              <w:jc w:val="center"/>
              <w:rPr>
                <w:rFonts w:ascii="Times New Roman" w:hAnsi="Times New Roman" w:cs="Times New Roman"/>
                <w:color w:val="000000" w:themeColor="text1"/>
                <w:sz w:val="21"/>
                <w:lang w:eastAsia="zh-CN"/>
                <w14:textFill>
                  <w14:solidFill>
                    <w14:schemeClr w14:val="tx1"/>
                  </w14:solidFill>
                </w14:textFill>
              </w:rPr>
            </w:pPr>
          </w:p>
        </w:tc>
        <w:tc>
          <w:tcPr>
            <w:tcW w:w="649" w:type="pct"/>
            <w:vAlign w:val="center"/>
          </w:tcPr>
          <w:p w14:paraId="4968AD9D">
            <w:pPr>
              <w:adjustRightInd w:val="0"/>
              <w:snapToGrid w:val="0"/>
              <w:spacing w:before="60" w:after="60"/>
              <w:jc w:val="center"/>
              <w:textAlignment w:val="center"/>
              <w:rPr>
                <w:rFonts w:ascii="Times New Roman" w:hAnsi="Times New Roman" w:cs="Times New Roman"/>
                <w:color w:val="EE0000"/>
                <w:sz w:val="21"/>
                <w:lang w:eastAsia="zh-CN" w:bidi="ar"/>
              </w:rPr>
            </w:pPr>
          </w:p>
        </w:tc>
        <w:tc>
          <w:tcPr>
            <w:tcW w:w="701" w:type="pct"/>
            <w:vAlign w:val="center"/>
          </w:tcPr>
          <w:p w14:paraId="4D0946E8">
            <w:pPr>
              <w:adjustRightInd w:val="0"/>
              <w:snapToGrid w:val="0"/>
              <w:jc w:val="center"/>
              <w:textAlignment w:val="center"/>
              <w:rPr>
                <w:rFonts w:ascii="Times New Roman" w:hAnsi="Times New Roman" w:cs="Times New Roman"/>
                <w:color w:val="auto"/>
                <w:sz w:val="21"/>
                <w:lang w:eastAsia="zh-CN"/>
              </w:rPr>
            </w:pPr>
          </w:p>
        </w:tc>
        <w:tc>
          <w:tcPr>
            <w:tcW w:w="710" w:type="pct"/>
            <w:vAlign w:val="center"/>
          </w:tcPr>
          <w:p w14:paraId="4FD9354E">
            <w:pPr>
              <w:adjustRightInd w:val="0"/>
              <w:snapToGrid w:val="0"/>
              <w:jc w:val="center"/>
              <w:textAlignment w:val="center"/>
              <w:rPr>
                <w:rFonts w:ascii="Times New Roman" w:hAnsi="Times New Roman" w:cs="Times New Roman"/>
                <w:color w:val="auto"/>
                <w:sz w:val="21"/>
                <w:lang w:eastAsia="zh-CN"/>
              </w:rPr>
            </w:pPr>
          </w:p>
        </w:tc>
        <w:tc>
          <w:tcPr>
            <w:tcW w:w="735" w:type="pct"/>
            <w:vAlign w:val="center"/>
          </w:tcPr>
          <w:p w14:paraId="5ADEBFEF">
            <w:pPr>
              <w:adjustRightInd w:val="0"/>
              <w:snapToGrid w:val="0"/>
              <w:jc w:val="center"/>
              <w:textAlignment w:val="center"/>
              <w:rPr>
                <w:rFonts w:ascii="Times New Roman" w:hAnsi="Times New Roman" w:cs="Times New Roman"/>
                <w:color w:val="auto"/>
                <w:sz w:val="21"/>
                <w:lang w:eastAsia="zh-CN" w:bidi="ar"/>
              </w:rPr>
            </w:pPr>
          </w:p>
        </w:tc>
      </w:tr>
      <w:tr w14:paraId="5D4F931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498" w:type="pct"/>
            <w:vMerge w:val="restart"/>
            <w:vAlign w:val="center"/>
          </w:tcPr>
          <w:p w14:paraId="53B9FF78">
            <w:pPr>
              <w:adjustRightInd w:val="0"/>
              <w:snapToGrid w:val="0"/>
              <w:spacing w:before="60" w:after="6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废气</w:t>
            </w:r>
          </w:p>
        </w:tc>
        <w:tc>
          <w:tcPr>
            <w:tcW w:w="403" w:type="pct"/>
            <w:vMerge w:val="restart"/>
            <w:vAlign w:val="center"/>
          </w:tcPr>
          <w:p w14:paraId="218A8CAA">
            <w:pPr>
              <w:adjustRightInd w:val="0"/>
              <w:snapToGrid w:val="0"/>
              <w:spacing w:before="60" w:after="6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有组织</w:t>
            </w:r>
          </w:p>
        </w:tc>
        <w:tc>
          <w:tcPr>
            <w:tcW w:w="561" w:type="pct"/>
            <w:vAlign w:val="center"/>
          </w:tcPr>
          <w:p w14:paraId="5B432914">
            <w:pPr>
              <w:adjustRightInd w:val="0"/>
              <w:snapToGrid w:val="0"/>
              <w:spacing w:before="60" w:after="6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氟化物</w:t>
            </w:r>
          </w:p>
        </w:tc>
        <w:tc>
          <w:tcPr>
            <w:tcW w:w="743" w:type="pct"/>
            <w:vAlign w:val="center"/>
          </w:tcPr>
          <w:p w14:paraId="3A8BBD82">
            <w:pPr>
              <w:adjustRightInd w:val="0"/>
              <w:snapToGrid w:val="0"/>
              <w:spacing w:before="60" w:after="60"/>
              <w:jc w:val="center"/>
              <w:rPr>
                <w:rFonts w:ascii="Times New Roman" w:hAnsi="Times New Roman" w:cs="Times New Roman"/>
                <w:color w:val="000000" w:themeColor="text1"/>
                <w:sz w:val="21"/>
                <w:lang w:eastAsia="zh-CN"/>
                <w14:textFill>
                  <w14:solidFill>
                    <w14:schemeClr w14:val="tx1"/>
                  </w14:solidFill>
                </w14:textFill>
              </w:rPr>
            </w:pPr>
          </w:p>
        </w:tc>
        <w:tc>
          <w:tcPr>
            <w:tcW w:w="649" w:type="pct"/>
            <w:vAlign w:val="center"/>
          </w:tcPr>
          <w:p w14:paraId="014B8882">
            <w:pPr>
              <w:adjustRightInd w:val="0"/>
              <w:snapToGrid w:val="0"/>
              <w:spacing w:before="60" w:after="60"/>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701" w:type="pct"/>
            <w:vAlign w:val="center"/>
          </w:tcPr>
          <w:p w14:paraId="323596B4">
            <w:pPr>
              <w:adjustRightInd w:val="0"/>
              <w:snapToGrid w:val="0"/>
              <w:spacing w:before="60" w:after="60"/>
              <w:jc w:val="center"/>
              <w:rPr>
                <w:rFonts w:ascii="Times New Roman" w:hAnsi="Times New Roman" w:cs="Times New Roman"/>
                <w:color w:val="auto"/>
                <w:sz w:val="21"/>
                <w:lang w:eastAsia="zh-CN"/>
              </w:rPr>
            </w:pPr>
          </w:p>
        </w:tc>
        <w:tc>
          <w:tcPr>
            <w:tcW w:w="710" w:type="pct"/>
            <w:vAlign w:val="center"/>
          </w:tcPr>
          <w:p w14:paraId="49C0A4CA">
            <w:pPr>
              <w:adjustRightInd w:val="0"/>
              <w:snapToGrid w:val="0"/>
              <w:spacing w:before="60" w:after="60"/>
              <w:jc w:val="center"/>
              <w:rPr>
                <w:rFonts w:ascii="Times New Roman" w:hAnsi="Times New Roman" w:cs="Times New Roman"/>
                <w:color w:val="auto"/>
                <w:sz w:val="21"/>
                <w:lang w:eastAsia="zh-CN"/>
              </w:rPr>
            </w:pPr>
          </w:p>
        </w:tc>
        <w:tc>
          <w:tcPr>
            <w:tcW w:w="735" w:type="pct"/>
            <w:vAlign w:val="center"/>
          </w:tcPr>
          <w:p w14:paraId="7E7EB0BF">
            <w:pPr>
              <w:adjustRightInd w:val="0"/>
              <w:snapToGrid w:val="0"/>
              <w:spacing w:before="60" w:after="60"/>
              <w:jc w:val="center"/>
              <w:rPr>
                <w:rFonts w:ascii="Times New Roman" w:hAnsi="Times New Roman" w:cs="Times New Roman"/>
                <w:color w:val="auto"/>
                <w:kern w:val="2"/>
                <w:sz w:val="21"/>
                <w:lang w:eastAsia="zh-CN" w:bidi="ar"/>
              </w:rPr>
            </w:pPr>
          </w:p>
        </w:tc>
      </w:tr>
      <w:tr w14:paraId="5E4B9CA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498" w:type="pct"/>
            <w:vMerge w:val="continue"/>
            <w:vAlign w:val="center"/>
          </w:tcPr>
          <w:p w14:paraId="50CB7F99">
            <w:pPr>
              <w:adjustRightInd w:val="0"/>
              <w:snapToGrid w:val="0"/>
              <w:spacing w:before="60" w:after="60"/>
              <w:jc w:val="center"/>
              <w:rPr>
                <w:rFonts w:ascii="Times New Roman" w:hAnsi="Times New Roman" w:cs="Times New Roman"/>
                <w:color w:val="000000" w:themeColor="text1"/>
                <w:sz w:val="21"/>
                <w:lang w:eastAsia="zh-CN"/>
                <w14:textFill>
                  <w14:solidFill>
                    <w14:schemeClr w14:val="tx1"/>
                  </w14:solidFill>
                </w14:textFill>
              </w:rPr>
            </w:pPr>
          </w:p>
        </w:tc>
        <w:tc>
          <w:tcPr>
            <w:tcW w:w="403" w:type="pct"/>
            <w:vMerge w:val="continue"/>
            <w:vAlign w:val="center"/>
          </w:tcPr>
          <w:p w14:paraId="29EAF609">
            <w:pPr>
              <w:adjustRightInd w:val="0"/>
              <w:snapToGrid w:val="0"/>
              <w:spacing w:before="60" w:after="60"/>
              <w:jc w:val="center"/>
              <w:rPr>
                <w:rFonts w:ascii="Times New Roman" w:hAnsi="Times New Roman" w:cs="Times New Roman"/>
                <w:color w:val="000000" w:themeColor="text1"/>
                <w:sz w:val="21"/>
                <w:lang w:eastAsia="zh-CN"/>
                <w14:textFill>
                  <w14:solidFill>
                    <w14:schemeClr w14:val="tx1"/>
                  </w14:solidFill>
                </w14:textFill>
              </w:rPr>
            </w:pPr>
          </w:p>
        </w:tc>
        <w:tc>
          <w:tcPr>
            <w:tcW w:w="561" w:type="pct"/>
            <w:vAlign w:val="center"/>
          </w:tcPr>
          <w:p w14:paraId="35ED8EDD">
            <w:pPr>
              <w:adjustRightInd w:val="0"/>
              <w:snapToGrid w:val="0"/>
              <w:spacing w:before="60" w:after="6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氯化物</w:t>
            </w:r>
          </w:p>
        </w:tc>
        <w:tc>
          <w:tcPr>
            <w:tcW w:w="743" w:type="pct"/>
            <w:vAlign w:val="center"/>
          </w:tcPr>
          <w:p w14:paraId="758E74B8">
            <w:pPr>
              <w:adjustRightInd w:val="0"/>
              <w:snapToGrid w:val="0"/>
              <w:spacing w:before="60" w:after="60"/>
              <w:jc w:val="center"/>
              <w:rPr>
                <w:rFonts w:ascii="Times New Roman" w:hAnsi="Times New Roman" w:cs="Times New Roman"/>
                <w:color w:val="000000" w:themeColor="text1"/>
                <w:sz w:val="21"/>
                <w:lang w:eastAsia="zh-CN"/>
                <w14:textFill>
                  <w14:solidFill>
                    <w14:schemeClr w14:val="tx1"/>
                  </w14:solidFill>
                </w14:textFill>
              </w:rPr>
            </w:pPr>
          </w:p>
        </w:tc>
        <w:tc>
          <w:tcPr>
            <w:tcW w:w="649" w:type="pct"/>
            <w:vAlign w:val="center"/>
          </w:tcPr>
          <w:p w14:paraId="4753AD6F">
            <w:pPr>
              <w:adjustRightInd w:val="0"/>
              <w:snapToGrid w:val="0"/>
              <w:spacing w:before="60" w:after="60"/>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701" w:type="pct"/>
            <w:vAlign w:val="center"/>
          </w:tcPr>
          <w:p w14:paraId="4351E86A">
            <w:pPr>
              <w:adjustRightInd w:val="0"/>
              <w:snapToGrid w:val="0"/>
              <w:spacing w:before="60" w:after="60"/>
              <w:jc w:val="center"/>
              <w:rPr>
                <w:rFonts w:ascii="Times New Roman" w:hAnsi="Times New Roman" w:cs="Times New Roman"/>
                <w:color w:val="000000" w:themeColor="text1"/>
                <w:sz w:val="21"/>
                <w:lang w:eastAsia="zh-CN"/>
                <w14:textFill>
                  <w14:solidFill>
                    <w14:schemeClr w14:val="tx1"/>
                  </w14:solidFill>
                </w14:textFill>
              </w:rPr>
            </w:pPr>
          </w:p>
        </w:tc>
        <w:tc>
          <w:tcPr>
            <w:tcW w:w="710" w:type="pct"/>
            <w:vAlign w:val="center"/>
          </w:tcPr>
          <w:p w14:paraId="70314E7E">
            <w:pPr>
              <w:adjustRightInd w:val="0"/>
              <w:snapToGrid w:val="0"/>
              <w:spacing w:before="60" w:after="60"/>
              <w:jc w:val="center"/>
              <w:rPr>
                <w:rFonts w:ascii="Times New Roman" w:hAnsi="Times New Roman" w:cs="Times New Roman"/>
                <w:color w:val="000000" w:themeColor="text1"/>
                <w:sz w:val="21"/>
                <w:lang w:eastAsia="zh-CN"/>
                <w14:textFill>
                  <w14:solidFill>
                    <w14:schemeClr w14:val="tx1"/>
                  </w14:solidFill>
                </w14:textFill>
              </w:rPr>
            </w:pPr>
          </w:p>
        </w:tc>
        <w:tc>
          <w:tcPr>
            <w:tcW w:w="735" w:type="pct"/>
            <w:vAlign w:val="center"/>
          </w:tcPr>
          <w:p w14:paraId="2E9D2971">
            <w:pPr>
              <w:adjustRightInd w:val="0"/>
              <w:snapToGrid w:val="0"/>
              <w:spacing w:before="60" w:after="60"/>
              <w:jc w:val="center"/>
              <w:rPr>
                <w:rFonts w:ascii="Times New Roman" w:hAnsi="Times New Roman" w:cs="Times New Roman"/>
                <w:color w:val="000000" w:themeColor="text1"/>
                <w:sz w:val="21"/>
                <w:lang w:eastAsia="zh-CN" w:bidi="ar"/>
                <w14:textFill>
                  <w14:solidFill>
                    <w14:schemeClr w14:val="tx1"/>
                  </w14:solidFill>
                </w14:textFill>
              </w:rPr>
            </w:pPr>
          </w:p>
        </w:tc>
      </w:tr>
      <w:tr w14:paraId="333321E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498" w:type="pct"/>
            <w:vMerge w:val="continue"/>
            <w:vAlign w:val="center"/>
          </w:tcPr>
          <w:p w14:paraId="3028DE61">
            <w:pPr>
              <w:adjustRightInd w:val="0"/>
              <w:snapToGrid w:val="0"/>
              <w:spacing w:before="60" w:after="60"/>
              <w:jc w:val="center"/>
              <w:rPr>
                <w:rFonts w:ascii="Times New Roman" w:hAnsi="Times New Roman" w:cs="Times New Roman"/>
                <w:color w:val="000000" w:themeColor="text1"/>
                <w:sz w:val="21"/>
                <w:lang w:eastAsia="zh-CN"/>
                <w14:textFill>
                  <w14:solidFill>
                    <w14:schemeClr w14:val="tx1"/>
                  </w14:solidFill>
                </w14:textFill>
              </w:rPr>
            </w:pPr>
          </w:p>
        </w:tc>
        <w:tc>
          <w:tcPr>
            <w:tcW w:w="403" w:type="pct"/>
            <w:vAlign w:val="center"/>
          </w:tcPr>
          <w:p w14:paraId="2AE7EFE7">
            <w:pPr>
              <w:adjustRightInd w:val="0"/>
              <w:snapToGrid w:val="0"/>
              <w:spacing w:before="60" w:after="6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无</w:t>
            </w:r>
            <w:r>
              <w:rPr>
                <w:rFonts w:ascii="Times New Roman" w:hAnsi="Times New Roman" w:cs="Times New Roman"/>
                <w:color w:val="000000" w:themeColor="text1"/>
                <w:sz w:val="21"/>
                <w:lang w:eastAsia="zh-CN"/>
                <w14:textFill>
                  <w14:solidFill>
                    <w14:schemeClr w14:val="tx1"/>
                  </w14:solidFill>
                </w14:textFill>
              </w:rPr>
              <w:t>组织</w:t>
            </w:r>
          </w:p>
        </w:tc>
        <w:tc>
          <w:tcPr>
            <w:tcW w:w="561" w:type="pct"/>
            <w:vAlign w:val="center"/>
          </w:tcPr>
          <w:p w14:paraId="1EEB4165">
            <w:pPr>
              <w:adjustRightInd w:val="0"/>
              <w:snapToGrid w:val="0"/>
              <w:spacing w:before="60" w:after="6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氟化物</w:t>
            </w:r>
          </w:p>
        </w:tc>
        <w:tc>
          <w:tcPr>
            <w:tcW w:w="743" w:type="pct"/>
            <w:vAlign w:val="center"/>
          </w:tcPr>
          <w:p w14:paraId="42387650">
            <w:pPr>
              <w:adjustRightInd w:val="0"/>
              <w:snapToGrid w:val="0"/>
              <w:spacing w:before="60" w:after="60"/>
              <w:jc w:val="center"/>
              <w:rPr>
                <w:rFonts w:ascii="Times New Roman" w:hAnsi="Times New Roman" w:cs="Times New Roman"/>
                <w:color w:val="000000" w:themeColor="text1"/>
                <w:sz w:val="21"/>
                <w:lang w:eastAsia="zh-CN"/>
                <w14:textFill>
                  <w14:solidFill>
                    <w14:schemeClr w14:val="tx1"/>
                  </w14:solidFill>
                </w14:textFill>
              </w:rPr>
            </w:pPr>
          </w:p>
        </w:tc>
        <w:tc>
          <w:tcPr>
            <w:tcW w:w="649" w:type="pct"/>
            <w:vAlign w:val="center"/>
          </w:tcPr>
          <w:p w14:paraId="0B1FC4DD">
            <w:pPr>
              <w:adjustRightInd w:val="0"/>
              <w:snapToGrid w:val="0"/>
              <w:spacing w:before="60" w:after="60"/>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701" w:type="pct"/>
            <w:vAlign w:val="center"/>
          </w:tcPr>
          <w:p w14:paraId="5CD0180B">
            <w:pPr>
              <w:adjustRightInd w:val="0"/>
              <w:snapToGrid w:val="0"/>
              <w:spacing w:before="60" w:after="60"/>
              <w:jc w:val="center"/>
              <w:rPr>
                <w:rFonts w:ascii="Times New Roman" w:hAnsi="Times New Roman" w:cs="Times New Roman"/>
                <w:color w:val="000000" w:themeColor="text1"/>
                <w:sz w:val="21"/>
                <w:lang w:eastAsia="zh-CN"/>
                <w14:textFill>
                  <w14:solidFill>
                    <w14:schemeClr w14:val="tx1"/>
                  </w14:solidFill>
                </w14:textFill>
              </w:rPr>
            </w:pPr>
          </w:p>
        </w:tc>
        <w:tc>
          <w:tcPr>
            <w:tcW w:w="710" w:type="pct"/>
            <w:vAlign w:val="center"/>
          </w:tcPr>
          <w:p w14:paraId="36373BF5">
            <w:pPr>
              <w:adjustRightInd w:val="0"/>
              <w:snapToGrid w:val="0"/>
              <w:spacing w:before="60" w:after="60"/>
              <w:jc w:val="center"/>
              <w:rPr>
                <w:rFonts w:ascii="Times New Roman" w:hAnsi="Times New Roman" w:cs="Times New Roman"/>
                <w:color w:val="000000" w:themeColor="text1"/>
                <w:sz w:val="21"/>
                <w:lang w:eastAsia="zh-CN"/>
                <w14:textFill>
                  <w14:solidFill>
                    <w14:schemeClr w14:val="tx1"/>
                  </w14:solidFill>
                </w14:textFill>
              </w:rPr>
            </w:pPr>
          </w:p>
        </w:tc>
        <w:tc>
          <w:tcPr>
            <w:tcW w:w="735" w:type="pct"/>
            <w:vAlign w:val="center"/>
          </w:tcPr>
          <w:p w14:paraId="0003F74E">
            <w:pPr>
              <w:adjustRightInd w:val="0"/>
              <w:snapToGrid w:val="0"/>
              <w:spacing w:before="60" w:after="60"/>
              <w:jc w:val="center"/>
              <w:rPr>
                <w:rFonts w:ascii="Times New Roman" w:hAnsi="Times New Roman" w:cs="Times New Roman"/>
                <w:color w:val="000000" w:themeColor="text1"/>
                <w:sz w:val="21"/>
                <w:lang w:eastAsia="zh-CN" w:bidi="ar"/>
                <w14:textFill>
                  <w14:solidFill>
                    <w14:schemeClr w14:val="tx1"/>
                  </w14:solidFill>
                </w14:textFill>
              </w:rPr>
            </w:pPr>
          </w:p>
        </w:tc>
      </w:tr>
      <w:tr w14:paraId="27A8115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498" w:type="pct"/>
            <w:vMerge w:val="restart"/>
            <w:vAlign w:val="center"/>
          </w:tcPr>
          <w:p w14:paraId="64F25F11">
            <w:pPr>
              <w:adjustRightInd w:val="0"/>
              <w:snapToGrid w:val="0"/>
              <w:spacing w:before="60" w:after="6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固体废物*</w:t>
            </w:r>
          </w:p>
        </w:tc>
        <w:tc>
          <w:tcPr>
            <w:tcW w:w="964" w:type="pct"/>
            <w:gridSpan w:val="2"/>
            <w:vAlign w:val="center"/>
          </w:tcPr>
          <w:p w14:paraId="4135F348">
            <w:pPr>
              <w:adjustRightInd w:val="0"/>
              <w:snapToGrid w:val="0"/>
              <w:spacing w:before="60" w:after="6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危险废物</w:t>
            </w:r>
            <w:r>
              <w:rPr>
                <w:rFonts w:hint="eastAsia" w:ascii="Times New Roman" w:hAnsi="Times New Roman" w:cs="Times New Roman"/>
                <w:color w:val="000000" w:themeColor="text1"/>
                <w:sz w:val="21"/>
                <w:lang w:eastAsia="zh-CN"/>
                <w14:textFill>
                  <w14:solidFill>
                    <w14:schemeClr w14:val="tx1"/>
                  </w14:solidFill>
                </w14:textFill>
              </w:rPr>
              <w:t>（产生量）</w:t>
            </w:r>
          </w:p>
        </w:tc>
        <w:tc>
          <w:tcPr>
            <w:tcW w:w="743" w:type="pct"/>
            <w:vAlign w:val="center"/>
          </w:tcPr>
          <w:p w14:paraId="4DC2DE68">
            <w:pPr>
              <w:adjustRightInd w:val="0"/>
              <w:snapToGrid w:val="0"/>
              <w:spacing w:before="60" w:after="60"/>
              <w:jc w:val="center"/>
              <w:rPr>
                <w:rFonts w:ascii="Times New Roman" w:hAnsi="Times New Roman" w:cs="Times New Roman"/>
                <w:color w:val="000000" w:themeColor="text1"/>
                <w:sz w:val="21"/>
                <w:lang w:eastAsia="zh-CN"/>
                <w14:textFill>
                  <w14:solidFill>
                    <w14:schemeClr w14:val="tx1"/>
                  </w14:solidFill>
                </w14:textFill>
              </w:rPr>
            </w:pPr>
          </w:p>
        </w:tc>
        <w:tc>
          <w:tcPr>
            <w:tcW w:w="649" w:type="pct"/>
            <w:vAlign w:val="center"/>
          </w:tcPr>
          <w:p w14:paraId="1CAB6885">
            <w:pPr>
              <w:adjustRightInd w:val="0"/>
              <w:snapToGrid w:val="0"/>
              <w:spacing w:before="60" w:after="60"/>
              <w:jc w:val="center"/>
              <w:rPr>
                <w:rFonts w:hint="default" w:ascii="Times New Roman" w:hAnsi="Times New Roman" w:cs="Times New Roman"/>
                <w:color w:val="000000" w:themeColor="text1"/>
                <w:sz w:val="21"/>
                <w:lang w:val="en-US" w:eastAsia="zh-CN"/>
                <w14:textFill>
                  <w14:solidFill>
                    <w14:schemeClr w14:val="tx1"/>
                  </w14:solidFill>
                </w14:textFill>
              </w:rPr>
            </w:pPr>
          </w:p>
        </w:tc>
        <w:tc>
          <w:tcPr>
            <w:tcW w:w="701" w:type="pct"/>
            <w:vAlign w:val="center"/>
          </w:tcPr>
          <w:p w14:paraId="22BF0AE1">
            <w:pPr>
              <w:adjustRightInd w:val="0"/>
              <w:snapToGrid w:val="0"/>
              <w:spacing w:before="60" w:after="60"/>
              <w:jc w:val="center"/>
              <w:rPr>
                <w:rFonts w:ascii="Times New Roman" w:hAnsi="Times New Roman" w:cs="Times New Roman"/>
                <w:color w:val="auto"/>
                <w:sz w:val="21"/>
                <w:lang w:eastAsia="zh-CN"/>
              </w:rPr>
            </w:pPr>
          </w:p>
        </w:tc>
        <w:tc>
          <w:tcPr>
            <w:tcW w:w="710" w:type="pct"/>
            <w:vAlign w:val="center"/>
          </w:tcPr>
          <w:p w14:paraId="76D56BE3">
            <w:pPr>
              <w:adjustRightInd w:val="0"/>
              <w:snapToGrid w:val="0"/>
              <w:spacing w:before="60" w:after="60"/>
              <w:jc w:val="center"/>
              <w:rPr>
                <w:rFonts w:hint="default" w:ascii="Times New Roman" w:hAnsi="Times New Roman" w:cs="Times New Roman"/>
                <w:color w:val="auto"/>
                <w:sz w:val="21"/>
                <w:lang w:val="en-US" w:eastAsia="zh-CN"/>
              </w:rPr>
            </w:pPr>
          </w:p>
        </w:tc>
        <w:tc>
          <w:tcPr>
            <w:tcW w:w="735" w:type="pct"/>
            <w:vAlign w:val="center"/>
          </w:tcPr>
          <w:p w14:paraId="7498DECB">
            <w:pPr>
              <w:adjustRightInd w:val="0"/>
              <w:snapToGrid w:val="0"/>
              <w:spacing w:before="60" w:after="60"/>
              <w:jc w:val="center"/>
              <w:rPr>
                <w:rFonts w:hint="default" w:ascii="Times New Roman" w:hAnsi="Times New Roman" w:cs="Times New Roman"/>
                <w:color w:val="auto"/>
                <w:sz w:val="21"/>
                <w:lang w:val="en-US" w:eastAsia="zh-CN"/>
              </w:rPr>
            </w:pPr>
          </w:p>
        </w:tc>
      </w:tr>
      <w:tr w14:paraId="2CBE619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498" w:type="pct"/>
            <w:vMerge w:val="continue"/>
            <w:vAlign w:val="center"/>
          </w:tcPr>
          <w:p w14:paraId="75AE6A0E">
            <w:pPr>
              <w:adjustRightInd w:val="0"/>
              <w:snapToGrid w:val="0"/>
              <w:spacing w:before="60" w:after="60"/>
              <w:jc w:val="center"/>
              <w:rPr>
                <w:rFonts w:ascii="Times New Roman" w:hAnsi="Times New Roman" w:cs="Times New Roman"/>
                <w:color w:val="000000" w:themeColor="text1"/>
                <w:sz w:val="21"/>
                <w:lang w:eastAsia="zh-CN"/>
                <w14:textFill>
                  <w14:solidFill>
                    <w14:schemeClr w14:val="tx1"/>
                  </w14:solidFill>
                </w14:textFill>
              </w:rPr>
            </w:pPr>
          </w:p>
        </w:tc>
        <w:tc>
          <w:tcPr>
            <w:tcW w:w="964" w:type="pct"/>
            <w:gridSpan w:val="2"/>
            <w:vAlign w:val="center"/>
          </w:tcPr>
          <w:p w14:paraId="3F279C6A">
            <w:pPr>
              <w:adjustRightInd w:val="0"/>
              <w:snapToGrid w:val="0"/>
              <w:spacing w:before="60" w:after="6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一般固废</w:t>
            </w:r>
            <w:r>
              <w:rPr>
                <w:rFonts w:hint="eastAsia" w:ascii="Times New Roman" w:hAnsi="Times New Roman" w:cs="Times New Roman"/>
                <w:color w:val="000000" w:themeColor="text1"/>
                <w:sz w:val="21"/>
                <w:lang w:eastAsia="zh-CN"/>
                <w14:textFill>
                  <w14:solidFill>
                    <w14:schemeClr w14:val="tx1"/>
                  </w14:solidFill>
                </w14:textFill>
              </w:rPr>
              <w:t>（产生量）</w:t>
            </w:r>
          </w:p>
        </w:tc>
        <w:tc>
          <w:tcPr>
            <w:tcW w:w="743" w:type="pct"/>
            <w:vAlign w:val="center"/>
          </w:tcPr>
          <w:p w14:paraId="6DA855C3">
            <w:pPr>
              <w:adjustRightInd w:val="0"/>
              <w:snapToGrid w:val="0"/>
              <w:spacing w:before="60" w:after="60"/>
              <w:jc w:val="center"/>
              <w:rPr>
                <w:rFonts w:ascii="Times New Roman" w:hAnsi="Times New Roman" w:cs="Times New Roman"/>
                <w:color w:val="000000" w:themeColor="text1"/>
                <w:sz w:val="21"/>
                <w:lang w:eastAsia="zh-CN"/>
                <w14:textFill>
                  <w14:solidFill>
                    <w14:schemeClr w14:val="tx1"/>
                  </w14:solidFill>
                </w14:textFill>
              </w:rPr>
            </w:pPr>
          </w:p>
        </w:tc>
        <w:tc>
          <w:tcPr>
            <w:tcW w:w="649" w:type="pct"/>
            <w:vAlign w:val="center"/>
          </w:tcPr>
          <w:p w14:paraId="076FDADF">
            <w:pPr>
              <w:adjustRightInd w:val="0"/>
              <w:snapToGrid w:val="0"/>
              <w:spacing w:before="60" w:after="60"/>
              <w:jc w:val="center"/>
              <w:rPr>
                <w:rFonts w:ascii="Times New Roman" w:hAnsi="Times New Roman" w:cs="Times New Roman"/>
                <w:color w:val="000000" w:themeColor="text1"/>
                <w:sz w:val="21"/>
                <w:lang w:eastAsia="zh-CN"/>
                <w14:textFill>
                  <w14:solidFill>
                    <w14:schemeClr w14:val="tx1"/>
                  </w14:solidFill>
                </w14:textFill>
              </w:rPr>
            </w:pPr>
          </w:p>
        </w:tc>
        <w:tc>
          <w:tcPr>
            <w:tcW w:w="701" w:type="pct"/>
            <w:vAlign w:val="center"/>
          </w:tcPr>
          <w:p w14:paraId="292BD206">
            <w:pPr>
              <w:adjustRightInd w:val="0"/>
              <w:snapToGrid w:val="0"/>
              <w:spacing w:before="60" w:after="60"/>
              <w:jc w:val="center"/>
              <w:rPr>
                <w:rFonts w:ascii="Times New Roman" w:hAnsi="Times New Roman" w:cs="Times New Roman"/>
                <w:color w:val="auto"/>
                <w:sz w:val="21"/>
                <w:lang w:eastAsia="zh-CN"/>
              </w:rPr>
            </w:pPr>
          </w:p>
        </w:tc>
        <w:tc>
          <w:tcPr>
            <w:tcW w:w="710" w:type="pct"/>
            <w:vAlign w:val="center"/>
          </w:tcPr>
          <w:p w14:paraId="692C5E7F">
            <w:pPr>
              <w:adjustRightInd w:val="0"/>
              <w:snapToGrid w:val="0"/>
              <w:spacing w:before="60" w:after="60"/>
              <w:jc w:val="center"/>
              <w:rPr>
                <w:rFonts w:ascii="Times New Roman" w:hAnsi="Times New Roman" w:cs="Times New Roman"/>
                <w:color w:val="auto"/>
                <w:sz w:val="21"/>
                <w:lang w:eastAsia="zh-CN"/>
              </w:rPr>
            </w:pPr>
          </w:p>
        </w:tc>
        <w:tc>
          <w:tcPr>
            <w:tcW w:w="735" w:type="pct"/>
            <w:vAlign w:val="center"/>
          </w:tcPr>
          <w:p w14:paraId="663224E5">
            <w:pPr>
              <w:adjustRightInd w:val="0"/>
              <w:snapToGrid w:val="0"/>
              <w:spacing w:before="60" w:after="60"/>
              <w:jc w:val="center"/>
              <w:rPr>
                <w:rFonts w:ascii="Times New Roman" w:hAnsi="Times New Roman" w:cs="Times New Roman"/>
                <w:color w:val="auto"/>
                <w:sz w:val="21"/>
                <w:lang w:eastAsia="zh-CN"/>
              </w:rPr>
            </w:pPr>
          </w:p>
        </w:tc>
      </w:tr>
      <w:tr w14:paraId="529712B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498" w:type="pct"/>
            <w:vMerge w:val="continue"/>
            <w:vAlign w:val="center"/>
          </w:tcPr>
          <w:p w14:paraId="1EB20BF6">
            <w:pPr>
              <w:adjustRightInd w:val="0"/>
              <w:snapToGrid w:val="0"/>
              <w:spacing w:before="60" w:after="60"/>
              <w:jc w:val="center"/>
              <w:rPr>
                <w:rFonts w:ascii="Times New Roman" w:hAnsi="Times New Roman" w:cs="Times New Roman"/>
                <w:color w:val="000000" w:themeColor="text1"/>
                <w:sz w:val="21"/>
                <w:lang w:eastAsia="zh-CN"/>
                <w14:textFill>
                  <w14:solidFill>
                    <w14:schemeClr w14:val="tx1"/>
                  </w14:solidFill>
                </w14:textFill>
              </w:rPr>
            </w:pPr>
          </w:p>
        </w:tc>
        <w:tc>
          <w:tcPr>
            <w:tcW w:w="964" w:type="pct"/>
            <w:gridSpan w:val="2"/>
            <w:vAlign w:val="center"/>
          </w:tcPr>
          <w:p w14:paraId="2F81A1C1">
            <w:pPr>
              <w:adjustRightInd w:val="0"/>
              <w:snapToGrid w:val="0"/>
              <w:spacing w:before="60" w:after="6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生活垃圾</w:t>
            </w:r>
            <w:r>
              <w:rPr>
                <w:rFonts w:hint="eastAsia" w:ascii="Times New Roman" w:hAnsi="Times New Roman" w:cs="Times New Roman"/>
                <w:color w:val="000000" w:themeColor="text1"/>
                <w:sz w:val="21"/>
                <w:lang w:eastAsia="zh-CN"/>
                <w14:textFill>
                  <w14:solidFill>
                    <w14:schemeClr w14:val="tx1"/>
                  </w14:solidFill>
                </w14:textFill>
              </w:rPr>
              <w:t>（产生量）</w:t>
            </w:r>
          </w:p>
        </w:tc>
        <w:tc>
          <w:tcPr>
            <w:tcW w:w="743" w:type="pct"/>
            <w:vAlign w:val="center"/>
          </w:tcPr>
          <w:p w14:paraId="1B27243C">
            <w:pPr>
              <w:adjustRightInd w:val="0"/>
              <w:snapToGrid w:val="0"/>
              <w:spacing w:before="60" w:after="60"/>
              <w:jc w:val="center"/>
              <w:rPr>
                <w:rFonts w:ascii="Times New Roman" w:hAnsi="Times New Roman" w:cs="Times New Roman"/>
                <w:color w:val="auto"/>
                <w:sz w:val="21"/>
                <w:lang w:eastAsia="zh-CN"/>
              </w:rPr>
            </w:pPr>
          </w:p>
        </w:tc>
        <w:tc>
          <w:tcPr>
            <w:tcW w:w="649" w:type="pct"/>
            <w:vAlign w:val="center"/>
          </w:tcPr>
          <w:p w14:paraId="6123B73B">
            <w:pPr>
              <w:adjustRightInd w:val="0"/>
              <w:snapToGrid w:val="0"/>
              <w:spacing w:before="60" w:after="60"/>
              <w:jc w:val="center"/>
              <w:rPr>
                <w:rFonts w:ascii="Times New Roman" w:hAnsi="Times New Roman" w:cs="Times New Roman"/>
                <w:color w:val="auto"/>
                <w:sz w:val="21"/>
                <w:lang w:eastAsia="zh-CN"/>
              </w:rPr>
            </w:pPr>
          </w:p>
        </w:tc>
        <w:tc>
          <w:tcPr>
            <w:tcW w:w="701" w:type="pct"/>
            <w:vAlign w:val="center"/>
          </w:tcPr>
          <w:p w14:paraId="50554928">
            <w:pPr>
              <w:adjustRightInd w:val="0"/>
              <w:snapToGrid w:val="0"/>
              <w:spacing w:before="60" w:after="60"/>
              <w:jc w:val="center"/>
              <w:rPr>
                <w:rFonts w:ascii="Times New Roman" w:hAnsi="Times New Roman" w:cs="Times New Roman"/>
                <w:color w:val="auto"/>
                <w:sz w:val="21"/>
                <w:lang w:eastAsia="zh-CN"/>
              </w:rPr>
            </w:pPr>
          </w:p>
        </w:tc>
        <w:tc>
          <w:tcPr>
            <w:tcW w:w="710" w:type="pct"/>
            <w:vAlign w:val="center"/>
          </w:tcPr>
          <w:p w14:paraId="3239369D">
            <w:pPr>
              <w:adjustRightInd w:val="0"/>
              <w:snapToGrid w:val="0"/>
              <w:spacing w:before="60" w:after="60"/>
              <w:jc w:val="center"/>
              <w:rPr>
                <w:rFonts w:ascii="Times New Roman" w:hAnsi="Times New Roman" w:cs="Times New Roman"/>
                <w:color w:val="auto"/>
                <w:sz w:val="21"/>
                <w:lang w:eastAsia="zh-CN"/>
              </w:rPr>
            </w:pPr>
          </w:p>
        </w:tc>
        <w:tc>
          <w:tcPr>
            <w:tcW w:w="735" w:type="pct"/>
            <w:vAlign w:val="center"/>
          </w:tcPr>
          <w:p w14:paraId="57F0F941">
            <w:pPr>
              <w:adjustRightInd w:val="0"/>
              <w:snapToGrid w:val="0"/>
              <w:spacing w:before="60" w:after="60"/>
              <w:jc w:val="center"/>
              <w:rPr>
                <w:rFonts w:ascii="Times New Roman" w:hAnsi="Times New Roman" w:cs="Times New Roman"/>
                <w:color w:val="auto"/>
                <w:sz w:val="21"/>
                <w:lang w:eastAsia="zh-CN"/>
              </w:rPr>
            </w:pPr>
          </w:p>
        </w:tc>
      </w:tr>
    </w:tbl>
    <w:p w14:paraId="7045B6C4">
      <w:pPr>
        <w:widowControl w:val="0"/>
        <w:tabs>
          <w:tab w:val="left" w:pos="2327"/>
          <w:tab w:val="center" w:pos="4873"/>
        </w:tabs>
        <w:adjustRightInd w:val="0"/>
        <w:snapToGrid w:val="0"/>
        <w:ind w:firstLine="422" w:firstLineChars="200"/>
        <w:jc w:val="both"/>
        <w:rPr>
          <w:rFonts w:ascii="Times New Roman" w:hAnsi="Times New Roman" w:cs="Times New Roman"/>
          <w:bCs/>
          <w:color w:val="000000" w:themeColor="text1"/>
          <w:sz w:val="21"/>
          <w:lang w:eastAsia="zh-CN"/>
          <w14:textFill>
            <w14:solidFill>
              <w14:schemeClr w14:val="tx1"/>
            </w14:solidFill>
          </w14:textFill>
        </w:rPr>
        <w:sectPr>
          <w:pgSz w:w="16838" w:h="11906" w:orient="landscape"/>
          <w:pgMar w:top="1080" w:right="1440" w:bottom="1080" w:left="1440" w:header="851" w:footer="992" w:gutter="0"/>
          <w:cols w:space="720" w:num="1"/>
          <w:docGrid w:type="lines" w:linePitch="326" w:charSpace="0"/>
        </w:sectPr>
      </w:pPr>
      <w:r>
        <w:rPr>
          <w:rFonts w:hint="eastAsia" w:ascii="Times New Roman" w:hAnsi="Times New Roman" w:cs="Times New Roman"/>
          <w:b/>
          <w:color w:val="000000" w:themeColor="text1"/>
          <w:sz w:val="21"/>
          <w:lang w:eastAsia="zh-CN"/>
          <w14:textFill>
            <w14:solidFill>
              <w14:schemeClr w14:val="tx1"/>
            </w14:solidFill>
          </w14:textFill>
        </w:rPr>
        <w:t>注：</w:t>
      </w:r>
      <w:r>
        <w:rPr>
          <w:rFonts w:ascii="Times New Roman" w:hAnsi="Times New Roman" w:cs="Times New Roman"/>
          <w:b/>
          <w:color w:val="auto"/>
          <w:sz w:val="21"/>
          <w:lang w:eastAsia="zh-CN"/>
        </w:rPr>
        <w:fldChar w:fldCharType="begin"/>
      </w:r>
      <w:r>
        <w:rPr>
          <w:rFonts w:ascii="Times New Roman" w:hAnsi="Times New Roman" w:cs="Times New Roman"/>
          <w:b/>
          <w:color w:val="auto"/>
          <w:sz w:val="21"/>
          <w:lang w:eastAsia="zh-CN"/>
        </w:rPr>
        <w:instrText xml:space="preserve"> </w:instrText>
      </w:r>
      <w:r>
        <w:rPr>
          <w:rFonts w:hint="eastAsia" w:ascii="Times New Roman" w:hAnsi="Times New Roman" w:cs="Times New Roman"/>
          <w:b/>
          <w:color w:val="auto"/>
          <w:sz w:val="21"/>
          <w:lang w:eastAsia="zh-CN"/>
        </w:rPr>
        <w:instrText xml:space="preserve">= 4 \* GB3</w:instrText>
      </w:r>
      <w:r>
        <w:rPr>
          <w:rFonts w:ascii="Times New Roman" w:hAnsi="Times New Roman" w:cs="Times New Roman"/>
          <w:b/>
          <w:color w:val="auto"/>
          <w:sz w:val="21"/>
          <w:lang w:eastAsia="zh-CN"/>
        </w:rPr>
        <w:instrText xml:space="preserve"> </w:instrText>
      </w:r>
      <w:r>
        <w:rPr>
          <w:rFonts w:ascii="Times New Roman" w:hAnsi="Times New Roman" w:cs="Times New Roman"/>
          <w:b/>
          <w:color w:val="auto"/>
          <w:sz w:val="21"/>
          <w:lang w:eastAsia="zh-CN"/>
        </w:rPr>
        <w:fldChar w:fldCharType="separate"/>
      </w:r>
      <w:r>
        <w:rPr>
          <w:rFonts w:hint="eastAsia" w:ascii="Times New Roman" w:hAnsi="Times New Roman" w:cs="Times New Roman"/>
          <w:b/>
          <w:color w:val="auto"/>
          <w:sz w:val="21"/>
          <w:lang w:eastAsia="zh-CN"/>
        </w:rPr>
        <w:t>④</w:t>
      </w:r>
      <w:r>
        <w:rPr>
          <w:rFonts w:ascii="Times New Roman" w:hAnsi="Times New Roman" w:cs="Times New Roman"/>
          <w:b/>
          <w:color w:val="auto"/>
          <w:sz w:val="21"/>
          <w:lang w:eastAsia="zh-CN"/>
        </w:rPr>
        <w:fldChar w:fldCharType="end"/>
      </w:r>
      <w:r>
        <w:rPr>
          <w:rFonts w:hint="eastAsia" w:ascii="Times New Roman" w:hAnsi="Times New Roman" w:cs="Times New Roman"/>
          <w:b/>
          <w:color w:val="auto"/>
          <w:sz w:val="21"/>
          <w:lang w:eastAsia="zh-CN"/>
        </w:rPr>
        <w:t>=</w:t>
      </w:r>
      <w:r>
        <w:rPr>
          <w:rFonts w:ascii="Times New Roman" w:hAnsi="Times New Roman" w:cs="Times New Roman"/>
          <w:b/>
          <w:color w:val="auto"/>
          <w:sz w:val="21"/>
          <w:lang w:eastAsia="zh-CN"/>
        </w:rPr>
        <w:fldChar w:fldCharType="begin"/>
      </w:r>
      <w:r>
        <w:rPr>
          <w:rFonts w:ascii="Times New Roman" w:hAnsi="Times New Roman" w:cs="Times New Roman"/>
          <w:b/>
          <w:color w:val="auto"/>
          <w:sz w:val="21"/>
          <w:lang w:eastAsia="zh-CN"/>
        </w:rPr>
        <w:instrText xml:space="preserve"> </w:instrText>
      </w:r>
      <w:r>
        <w:rPr>
          <w:rFonts w:hint="eastAsia" w:ascii="Times New Roman" w:hAnsi="Times New Roman" w:cs="Times New Roman"/>
          <w:b/>
          <w:color w:val="auto"/>
          <w:sz w:val="21"/>
          <w:lang w:eastAsia="zh-CN"/>
        </w:rPr>
        <w:instrText xml:space="preserve">= 1 \* GB3</w:instrText>
      </w:r>
      <w:r>
        <w:rPr>
          <w:rFonts w:ascii="Times New Roman" w:hAnsi="Times New Roman" w:cs="Times New Roman"/>
          <w:b/>
          <w:color w:val="auto"/>
          <w:sz w:val="21"/>
          <w:lang w:eastAsia="zh-CN"/>
        </w:rPr>
        <w:instrText xml:space="preserve"> </w:instrText>
      </w:r>
      <w:r>
        <w:rPr>
          <w:rFonts w:ascii="Times New Roman" w:hAnsi="Times New Roman" w:cs="Times New Roman"/>
          <w:b/>
          <w:color w:val="auto"/>
          <w:sz w:val="21"/>
          <w:lang w:eastAsia="zh-CN"/>
        </w:rPr>
        <w:fldChar w:fldCharType="separate"/>
      </w:r>
      <w:r>
        <w:rPr>
          <w:rFonts w:hint="eastAsia" w:ascii="Times New Roman" w:hAnsi="Times New Roman" w:cs="Times New Roman"/>
          <w:b/>
          <w:color w:val="auto"/>
          <w:sz w:val="21"/>
          <w:lang w:eastAsia="zh-CN"/>
        </w:rPr>
        <w:t>①</w:t>
      </w:r>
      <w:r>
        <w:rPr>
          <w:rFonts w:ascii="Times New Roman" w:hAnsi="Times New Roman" w:cs="Times New Roman"/>
          <w:b/>
          <w:color w:val="auto"/>
          <w:sz w:val="21"/>
          <w:lang w:eastAsia="zh-CN"/>
        </w:rPr>
        <w:fldChar w:fldCharType="end"/>
      </w:r>
      <w:r>
        <w:rPr>
          <w:rFonts w:hint="eastAsia" w:ascii="Times New Roman" w:hAnsi="Times New Roman" w:cs="Times New Roman"/>
          <w:b/>
          <w:color w:val="auto"/>
          <w:sz w:val="21"/>
          <w:lang w:eastAsia="zh-CN"/>
        </w:rPr>
        <w:t>+</w:t>
      </w:r>
      <w:r>
        <w:rPr>
          <w:rFonts w:ascii="Times New Roman" w:hAnsi="Times New Roman" w:cs="Times New Roman"/>
          <w:b/>
          <w:color w:val="auto"/>
          <w:sz w:val="21"/>
          <w:lang w:eastAsia="zh-CN"/>
        </w:rPr>
        <w:fldChar w:fldCharType="begin"/>
      </w:r>
      <w:r>
        <w:rPr>
          <w:rFonts w:ascii="Times New Roman" w:hAnsi="Times New Roman" w:cs="Times New Roman"/>
          <w:b/>
          <w:color w:val="auto"/>
          <w:sz w:val="21"/>
          <w:lang w:eastAsia="zh-CN"/>
        </w:rPr>
        <w:instrText xml:space="preserve"> </w:instrText>
      </w:r>
      <w:r>
        <w:rPr>
          <w:rFonts w:hint="eastAsia" w:ascii="Times New Roman" w:hAnsi="Times New Roman" w:cs="Times New Roman"/>
          <w:b/>
          <w:color w:val="auto"/>
          <w:sz w:val="21"/>
          <w:lang w:eastAsia="zh-CN"/>
        </w:rPr>
        <w:instrText xml:space="preserve">= 2 \* GB3</w:instrText>
      </w:r>
      <w:r>
        <w:rPr>
          <w:rFonts w:ascii="Times New Roman" w:hAnsi="Times New Roman" w:cs="Times New Roman"/>
          <w:b/>
          <w:color w:val="auto"/>
          <w:sz w:val="21"/>
          <w:lang w:eastAsia="zh-CN"/>
        </w:rPr>
        <w:instrText xml:space="preserve"> </w:instrText>
      </w:r>
      <w:r>
        <w:rPr>
          <w:rFonts w:ascii="Times New Roman" w:hAnsi="Times New Roman" w:cs="Times New Roman"/>
          <w:b/>
          <w:color w:val="auto"/>
          <w:sz w:val="21"/>
          <w:lang w:eastAsia="zh-CN"/>
        </w:rPr>
        <w:fldChar w:fldCharType="separate"/>
      </w:r>
      <w:r>
        <w:rPr>
          <w:rFonts w:hint="eastAsia" w:ascii="Times New Roman" w:hAnsi="Times New Roman" w:cs="Times New Roman"/>
          <w:b/>
          <w:color w:val="auto"/>
          <w:sz w:val="21"/>
          <w:lang w:eastAsia="zh-CN"/>
        </w:rPr>
        <w:t>②</w:t>
      </w:r>
      <w:r>
        <w:rPr>
          <w:rFonts w:ascii="Times New Roman" w:hAnsi="Times New Roman" w:cs="Times New Roman"/>
          <w:b/>
          <w:color w:val="auto"/>
          <w:sz w:val="21"/>
          <w:lang w:eastAsia="zh-CN"/>
        </w:rPr>
        <w:fldChar w:fldCharType="end"/>
      </w:r>
      <w:r>
        <w:rPr>
          <w:rFonts w:hint="eastAsia" w:ascii="Times New Roman" w:hAnsi="Times New Roman" w:cs="Times New Roman"/>
          <w:b/>
          <w:color w:val="auto"/>
          <w:sz w:val="21"/>
          <w:lang w:eastAsia="zh-CN"/>
        </w:rPr>
        <w:t>-</w:t>
      </w:r>
      <w:r>
        <w:rPr>
          <w:rFonts w:ascii="Times New Roman" w:hAnsi="Times New Roman" w:cs="Times New Roman"/>
          <w:b/>
          <w:color w:val="auto"/>
          <w:sz w:val="21"/>
          <w:lang w:eastAsia="zh-CN"/>
        </w:rPr>
        <w:fldChar w:fldCharType="begin"/>
      </w:r>
      <w:r>
        <w:rPr>
          <w:rFonts w:ascii="Times New Roman" w:hAnsi="Times New Roman" w:cs="Times New Roman"/>
          <w:b/>
          <w:color w:val="auto"/>
          <w:sz w:val="21"/>
          <w:lang w:eastAsia="zh-CN"/>
        </w:rPr>
        <w:instrText xml:space="preserve"> </w:instrText>
      </w:r>
      <w:r>
        <w:rPr>
          <w:rFonts w:hint="eastAsia" w:ascii="Times New Roman" w:hAnsi="Times New Roman" w:cs="Times New Roman"/>
          <w:b/>
          <w:color w:val="auto"/>
          <w:sz w:val="21"/>
          <w:lang w:eastAsia="zh-CN"/>
        </w:rPr>
        <w:instrText xml:space="preserve">= 3 \* GB3</w:instrText>
      </w:r>
      <w:r>
        <w:rPr>
          <w:rFonts w:ascii="Times New Roman" w:hAnsi="Times New Roman" w:cs="Times New Roman"/>
          <w:b/>
          <w:color w:val="auto"/>
          <w:sz w:val="21"/>
          <w:lang w:eastAsia="zh-CN"/>
        </w:rPr>
        <w:instrText xml:space="preserve"> </w:instrText>
      </w:r>
      <w:r>
        <w:rPr>
          <w:rFonts w:ascii="Times New Roman" w:hAnsi="Times New Roman" w:cs="Times New Roman"/>
          <w:b/>
          <w:color w:val="auto"/>
          <w:sz w:val="21"/>
          <w:lang w:eastAsia="zh-CN"/>
        </w:rPr>
        <w:fldChar w:fldCharType="separate"/>
      </w:r>
      <w:r>
        <w:rPr>
          <w:rFonts w:hint="eastAsia" w:ascii="Times New Roman" w:hAnsi="Times New Roman" w:cs="Times New Roman"/>
          <w:b/>
          <w:color w:val="auto"/>
          <w:sz w:val="21"/>
          <w:lang w:eastAsia="zh-CN"/>
        </w:rPr>
        <w:t>③</w:t>
      </w:r>
      <w:r>
        <w:rPr>
          <w:rFonts w:ascii="Times New Roman" w:hAnsi="Times New Roman" w:cs="Times New Roman"/>
          <w:b/>
          <w:color w:val="auto"/>
          <w:sz w:val="21"/>
          <w:lang w:eastAsia="zh-CN"/>
        </w:rPr>
        <w:fldChar w:fldCharType="end"/>
      </w:r>
      <w:r>
        <w:rPr>
          <w:rFonts w:hint="eastAsia" w:ascii="Times New Roman" w:hAnsi="Times New Roman" w:cs="Times New Roman"/>
          <w:b/>
          <w:color w:val="auto"/>
          <w:sz w:val="21"/>
          <w:lang w:eastAsia="zh-CN"/>
        </w:rPr>
        <w:t>；</w:t>
      </w:r>
      <w:r>
        <w:rPr>
          <w:rFonts w:ascii="Times New Roman" w:hAnsi="Times New Roman" w:cs="Times New Roman"/>
          <w:b/>
          <w:color w:val="auto"/>
          <w:sz w:val="21"/>
          <w:lang w:eastAsia="zh-CN"/>
        </w:rPr>
        <w:fldChar w:fldCharType="begin"/>
      </w:r>
      <w:r>
        <w:rPr>
          <w:rFonts w:ascii="Times New Roman" w:hAnsi="Times New Roman" w:cs="Times New Roman"/>
          <w:b/>
          <w:color w:val="auto"/>
          <w:sz w:val="21"/>
          <w:lang w:eastAsia="zh-CN"/>
        </w:rPr>
        <w:instrText xml:space="preserve"> </w:instrText>
      </w:r>
      <w:r>
        <w:rPr>
          <w:rFonts w:hint="eastAsia" w:ascii="Times New Roman" w:hAnsi="Times New Roman" w:cs="Times New Roman"/>
          <w:b/>
          <w:color w:val="auto"/>
          <w:sz w:val="21"/>
          <w:lang w:eastAsia="zh-CN"/>
        </w:rPr>
        <w:instrText xml:space="preserve">= 5 \* GB3</w:instrText>
      </w:r>
      <w:r>
        <w:rPr>
          <w:rFonts w:ascii="Times New Roman" w:hAnsi="Times New Roman" w:cs="Times New Roman"/>
          <w:b/>
          <w:color w:val="auto"/>
          <w:sz w:val="21"/>
          <w:lang w:eastAsia="zh-CN"/>
        </w:rPr>
        <w:instrText xml:space="preserve"> </w:instrText>
      </w:r>
      <w:r>
        <w:rPr>
          <w:rFonts w:ascii="Times New Roman" w:hAnsi="Times New Roman" w:cs="Times New Roman"/>
          <w:b/>
          <w:color w:val="auto"/>
          <w:sz w:val="21"/>
          <w:lang w:eastAsia="zh-CN"/>
        </w:rPr>
        <w:fldChar w:fldCharType="separate"/>
      </w:r>
      <w:r>
        <w:rPr>
          <w:rFonts w:hint="eastAsia" w:ascii="Times New Roman" w:hAnsi="Times New Roman" w:cs="Times New Roman"/>
          <w:b/>
          <w:color w:val="auto"/>
          <w:sz w:val="21"/>
          <w:lang w:eastAsia="zh-CN"/>
        </w:rPr>
        <w:t>⑤</w:t>
      </w:r>
      <w:r>
        <w:rPr>
          <w:rFonts w:ascii="Times New Roman" w:hAnsi="Times New Roman" w:cs="Times New Roman"/>
          <w:b/>
          <w:color w:val="auto"/>
          <w:sz w:val="21"/>
          <w:lang w:eastAsia="zh-CN"/>
        </w:rPr>
        <w:fldChar w:fldCharType="end"/>
      </w:r>
      <w:r>
        <w:rPr>
          <w:rFonts w:hint="eastAsia" w:ascii="Times New Roman" w:hAnsi="Times New Roman" w:cs="Times New Roman"/>
          <w:b/>
          <w:color w:val="auto"/>
          <w:sz w:val="21"/>
          <w:lang w:eastAsia="zh-CN"/>
        </w:rPr>
        <w:t>=</w:t>
      </w:r>
      <w:r>
        <w:rPr>
          <w:rFonts w:ascii="Times New Roman" w:hAnsi="Times New Roman" w:cs="Times New Roman"/>
          <w:b/>
          <w:color w:val="auto"/>
          <w:sz w:val="21"/>
          <w:lang w:eastAsia="zh-CN"/>
        </w:rPr>
        <w:fldChar w:fldCharType="begin"/>
      </w:r>
      <w:r>
        <w:rPr>
          <w:rFonts w:ascii="Times New Roman" w:hAnsi="Times New Roman" w:cs="Times New Roman"/>
          <w:b/>
          <w:color w:val="auto"/>
          <w:sz w:val="21"/>
          <w:lang w:eastAsia="zh-CN"/>
        </w:rPr>
        <w:instrText xml:space="preserve"> </w:instrText>
      </w:r>
      <w:r>
        <w:rPr>
          <w:rFonts w:hint="eastAsia" w:ascii="Times New Roman" w:hAnsi="Times New Roman" w:cs="Times New Roman"/>
          <w:b/>
          <w:color w:val="auto"/>
          <w:sz w:val="21"/>
          <w:lang w:eastAsia="zh-CN"/>
        </w:rPr>
        <w:instrText xml:space="preserve">= 2 \* GB3</w:instrText>
      </w:r>
      <w:r>
        <w:rPr>
          <w:rFonts w:ascii="Times New Roman" w:hAnsi="Times New Roman" w:cs="Times New Roman"/>
          <w:b/>
          <w:color w:val="auto"/>
          <w:sz w:val="21"/>
          <w:lang w:eastAsia="zh-CN"/>
        </w:rPr>
        <w:instrText xml:space="preserve"> </w:instrText>
      </w:r>
      <w:r>
        <w:rPr>
          <w:rFonts w:ascii="Times New Roman" w:hAnsi="Times New Roman" w:cs="Times New Roman"/>
          <w:b/>
          <w:color w:val="auto"/>
          <w:sz w:val="21"/>
          <w:lang w:eastAsia="zh-CN"/>
        </w:rPr>
        <w:fldChar w:fldCharType="separate"/>
      </w:r>
      <w:r>
        <w:rPr>
          <w:rFonts w:hint="eastAsia" w:ascii="Times New Roman" w:hAnsi="Times New Roman" w:cs="Times New Roman"/>
          <w:b/>
          <w:color w:val="auto"/>
          <w:sz w:val="21"/>
          <w:lang w:eastAsia="zh-CN"/>
        </w:rPr>
        <w:t>②</w:t>
      </w:r>
      <w:r>
        <w:rPr>
          <w:rFonts w:ascii="Times New Roman" w:hAnsi="Times New Roman" w:cs="Times New Roman"/>
          <w:b/>
          <w:color w:val="auto"/>
          <w:sz w:val="21"/>
          <w:lang w:eastAsia="zh-CN"/>
        </w:rPr>
        <w:fldChar w:fldCharType="end"/>
      </w:r>
      <w:r>
        <w:rPr>
          <w:rFonts w:hint="eastAsia" w:ascii="Times New Roman" w:hAnsi="Times New Roman" w:cs="Times New Roman"/>
          <w:b/>
          <w:color w:val="auto"/>
          <w:sz w:val="21"/>
          <w:lang w:eastAsia="zh-CN"/>
        </w:rPr>
        <w:t>-</w:t>
      </w:r>
      <w:r>
        <w:rPr>
          <w:rFonts w:ascii="Times New Roman" w:hAnsi="Times New Roman" w:cs="Times New Roman"/>
          <w:b/>
          <w:color w:val="auto"/>
          <w:sz w:val="21"/>
          <w:lang w:eastAsia="zh-CN"/>
        </w:rPr>
        <w:fldChar w:fldCharType="begin"/>
      </w:r>
      <w:r>
        <w:rPr>
          <w:rFonts w:ascii="Times New Roman" w:hAnsi="Times New Roman" w:cs="Times New Roman"/>
          <w:b/>
          <w:color w:val="auto"/>
          <w:sz w:val="21"/>
          <w:lang w:eastAsia="zh-CN"/>
        </w:rPr>
        <w:instrText xml:space="preserve"> </w:instrText>
      </w:r>
      <w:r>
        <w:rPr>
          <w:rFonts w:hint="eastAsia" w:ascii="Times New Roman" w:hAnsi="Times New Roman" w:cs="Times New Roman"/>
          <w:b/>
          <w:color w:val="auto"/>
          <w:sz w:val="21"/>
          <w:lang w:eastAsia="zh-CN"/>
        </w:rPr>
        <w:instrText xml:space="preserve">= 3 \* GB3</w:instrText>
      </w:r>
      <w:r>
        <w:rPr>
          <w:rFonts w:ascii="Times New Roman" w:hAnsi="Times New Roman" w:cs="Times New Roman"/>
          <w:b/>
          <w:color w:val="auto"/>
          <w:sz w:val="21"/>
          <w:lang w:eastAsia="zh-CN"/>
        </w:rPr>
        <w:instrText xml:space="preserve"> </w:instrText>
      </w:r>
      <w:r>
        <w:rPr>
          <w:rFonts w:ascii="Times New Roman" w:hAnsi="Times New Roman" w:cs="Times New Roman"/>
          <w:b/>
          <w:color w:val="auto"/>
          <w:sz w:val="21"/>
          <w:lang w:eastAsia="zh-CN"/>
        </w:rPr>
        <w:fldChar w:fldCharType="separate"/>
      </w:r>
      <w:r>
        <w:rPr>
          <w:rFonts w:hint="eastAsia" w:ascii="Times New Roman" w:hAnsi="Times New Roman" w:cs="Times New Roman"/>
          <w:b/>
          <w:color w:val="auto"/>
          <w:sz w:val="21"/>
          <w:lang w:eastAsia="zh-CN"/>
        </w:rPr>
        <w:t>③</w:t>
      </w:r>
      <w:r>
        <w:rPr>
          <w:rFonts w:ascii="Times New Roman" w:hAnsi="Times New Roman" w:cs="Times New Roman"/>
          <w:b/>
          <w:color w:val="auto"/>
          <w:sz w:val="21"/>
          <w:lang w:eastAsia="zh-CN"/>
        </w:rPr>
        <w:fldChar w:fldCharType="end"/>
      </w:r>
    </w:p>
    <w:p w14:paraId="09488CE4">
      <w:pPr>
        <w:widowControl w:val="0"/>
        <w:spacing w:line="360" w:lineRule="auto"/>
        <w:ind w:firstLine="562" w:firstLineChars="200"/>
        <w:jc w:val="both"/>
        <w:outlineLvl w:val="1"/>
        <w:rPr>
          <w:rFonts w:ascii="Times New Roman" w:hAnsi="Times New Roman" w:cs="Times New Roman"/>
          <w:b/>
          <w:bCs/>
          <w:color w:val="auto"/>
          <w:sz w:val="28"/>
          <w:szCs w:val="22"/>
          <w:lang w:eastAsia="zh-CN"/>
        </w:rPr>
      </w:pPr>
      <w:bookmarkStart w:id="919" w:name="_Toc109135970"/>
      <w:bookmarkStart w:id="920" w:name="_Toc133333615"/>
      <w:bookmarkStart w:id="921" w:name="_Toc237508295"/>
      <w:bookmarkStart w:id="922" w:name="_Toc133183069"/>
      <w:r>
        <w:rPr>
          <w:rFonts w:ascii="Times New Roman" w:hAnsi="Times New Roman" w:cs="Times New Roman"/>
          <w:b/>
          <w:bCs/>
          <w:color w:val="auto"/>
          <w:sz w:val="28"/>
          <w:szCs w:val="22"/>
          <w:lang w:eastAsia="zh-CN"/>
        </w:rPr>
        <w:t>4.</w:t>
      </w:r>
      <w:r>
        <w:rPr>
          <w:rFonts w:hint="eastAsia" w:ascii="Times New Roman" w:hAnsi="Times New Roman" w:cs="Times New Roman"/>
          <w:b/>
          <w:bCs/>
          <w:color w:val="auto"/>
          <w:sz w:val="28"/>
          <w:szCs w:val="22"/>
          <w:lang w:eastAsia="zh-CN"/>
        </w:rPr>
        <w:t>5</w:t>
      </w:r>
      <w:r>
        <w:rPr>
          <w:rFonts w:ascii="Times New Roman" w:hAnsi="Times New Roman" w:cs="Times New Roman"/>
          <w:b/>
          <w:bCs/>
          <w:color w:val="auto"/>
          <w:sz w:val="28"/>
          <w:szCs w:val="22"/>
          <w:lang w:eastAsia="zh-CN"/>
        </w:rPr>
        <w:t xml:space="preserve"> 清洁生产</w:t>
      </w:r>
      <w:bookmarkEnd w:id="919"/>
      <w:bookmarkEnd w:id="920"/>
      <w:bookmarkEnd w:id="921"/>
      <w:bookmarkEnd w:id="922"/>
    </w:p>
    <w:p w14:paraId="3F51C0C0">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清洁生产是关于产品生产过程的一种新的、创造性的思维方式。它将整体预防的环境战略持续应用于原料、生产过程、产品和服务中，以增加生产效率并减少对人类和环境的风险。清洁生产是保护环境、保持可持续发展的关键，它要求工业企业通过源削减实现在生产过程中控制和减少污染物排放，是主动、有效的行为和对策，可达到节能、降耗、削污、增效的目标。可持续发展是我国两大发展战略之一，环境保护既是我国基本国策，又是政府行为。实现经济、社会和环境的可持续发展是人类面临的唯一选择，而推行清洁生产是保护环境的根本途径之一。</w:t>
      </w:r>
    </w:p>
    <w:p w14:paraId="3E5C48E3">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目前国内没有同类项目或产品的清洁生产指标，本次评价参照《建设项目环境影响评价清洁生产分析程序》选取资源能源利用指标、生产工艺与装备要求指标、产品指标、污染物产生指标等方面进行评价。</w:t>
      </w:r>
    </w:p>
    <w:p w14:paraId="7564FCB6">
      <w:pPr>
        <w:widowControl w:val="0"/>
        <w:spacing w:line="360" w:lineRule="auto"/>
        <w:ind w:firstLine="482"/>
        <w:jc w:val="both"/>
        <w:outlineLvl w:val="2"/>
        <w:rPr>
          <w:rFonts w:ascii="Times New Roman" w:hAnsi="Times New Roman" w:cs="Times New Roman"/>
          <w:b/>
          <w:bCs/>
          <w:color w:val="auto"/>
          <w:lang w:eastAsia="zh-CN"/>
        </w:rPr>
      </w:pPr>
      <w:bookmarkStart w:id="923" w:name="_Toc204448470"/>
      <w:bookmarkStart w:id="924" w:name="_Toc133183070"/>
      <w:bookmarkStart w:id="925" w:name="_Toc224674700"/>
      <w:bookmarkStart w:id="926" w:name="_Toc175164277"/>
      <w:bookmarkStart w:id="927" w:name="_Toc217662676"/>
      <w:bookmarkStart w:id="928" w:name="_Toc221900843"/>
      <w:bookmarkStart w:id="929" w:name="_Toc225784061"/>
      <w:bookmarkStart w:id="930" w:name="_Toc176513013"/>
      <w:bookmarkStart w:id="931" w:name="_Toc173740282"/>
      <w:bookmarkStart w:id="932" w:name="_Toc204515205"/>
      <w:bookmarkStart w:id="933" w:name="_Toc203927004"/>
      <w:bookmarkStart w:id="934" w:name="_Toc173743386"/>
      <w:bookmarkStart w:id="935" w:name="_Toc236641831"/>
      <w:bookmarkStart w:id="936" w:name="_Toc237508296"/>
      <w:bookmarkStart w:id="937" w:name="_Toc133333616"/>
      <w:bookmarkStart w:id="938" w:name="_Toc223425061"/>
      <w:bookmarkStart w:id="939" w:name="_Toc231828583"/>
      <w:bookmarkStart w:id="940" w:name="_Toc218784286"/>
      <w:bookmarkStart w:id="941" w:name="_Toc178602353"/>
      <w:bookmarkStart w:id="942" w:name="_Toc236641314"/>
      <w:bookmarkStart w:id="943" w:name="_Toc172555655"/>
      <w:r>
        <w:rPr>
          <w:rFonts w:ascii="Times New Roman" w:hAnsi="Times New Roman" w:cs="Times New Roman"/>
          <w:b/>
          <w:bCs/>
          <w:color w:val="auto"/>
          <w:lang w:eastAsia="zh-CN"/>
        </w:rPr>
        <w:t>4.</w:t>
      </w:r>
      <w:r>
        <w:rPr>
          <w:rFonts w:hint="eastAsia" w:ascii="Times New Roman" w:hAnsi="Times New Roman" w:cs="Times New Roman"/>
          <w:b/>
          <w:bCs/>
          <w:color w:val="auto"/>
          <w:lang w:eastAsia="zh-CN"/>
        </w:rPr>
        <w:t>5</w:t>
      </w:r>
      <w:r>
        <w:rPr>
          <w:rFonts w:ascii="Times New Roman" w:hAnsi="Times New Roman" w:cs="Times New Roman"/>
          <w:b/>
          <w:bCs/>
          <w:color w:val="auto"/>
          <w:lang w:eastAsia="zh-CN"/>
        </w:rPr>
        <w:t>.1 原辅材料及产品清洁性分析</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p>
    <w:p w14:paraId="3E3FC090">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1、原辅材料清洁生产性分析</w:t>
      </w:r>
    </w:p>
    <w:p w14:paraId="2ECB2443">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项目使用的原料均为国内常用的原材料，原料易得，运输贮存方便，项目选购市场上的合格品，可提高原料利用率和产品转化率，减少污染物产生，基本达到清洁生产对使用物料的要求。但项目使用的部分原料毒性、危险性相对较高，具有一定危险程度，本项目在物料管理中，须特别加强该类物料的安全使用，从贮存、运输、使用等过程进行全过程安全跟踪。</w:t>
      </w:r>
    </w:p>
    <w:p w14:paraId="423AF0E9">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项目所在园区供电、供水系统完善，项目以电能为主要能源，为清洁能源。</w:t>
      </w:r>
    </w:p>
    <w:p w14:paraId="6A38FAED">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2、产品清洁性分析</w:t>
      </w:r>
    </w:p>
    <w:p w14:paraId="26FF3F99">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本项目产品主要为</w:t>
      </w:r>
      <w:r>
        <w:rPr>
          <w:rFonts w:hint="eastAsia" w:ascii="Times New Roman" w:hAnsi="Times New Roman" w:cs="Times New Roman"/>
          <w:color w:val="auto"/>
          <w:lang w:eastAsia="zh-CN"/>
        </w:rPr>
        <w:t>化学纯氢氟酸、刻蚀液</w:t>
      </w:r>
      <w:r>
        <w:rPr>
          <w:rFonts w:ascii="Times New Roman" w:hAnsi="Times New Roman" w:cs="Times New Roman"/>
          <w:color w:val="auto"/>
          <w:lang w:eastAsia="zh-CN"/>
        </w:rPr>
        <w:t>，应用领域广泛，市场需求量大。本项目已获得了蚌埠市淮上区</w:t>
      </w:r>
      <w:r>
        <w:rPr>
          <w:rFonts w:hint="eastAsia" w:ascii="Times New Roman" w:hAnsi="Times New Roman" w:cs="Times New Roman"/>
          <w:color w:val="auto"/>
          <w:lang w:eastAsia="zh-CN"/>
        </w:rPr>
        <w:t>科技工业信息化局</w:t>
      </w:r>
      <w:r>
        <w:rPr>
          <w:rFonts w:ascii="Times New Roman" w:hAnsi="Times New Roman" w:cs="Times New Roman"/>
          <w:color w:val="auto"/>
          <w:lang w:eastAsia="zh-CN"/>
        </w:rPr>
        <w:t>备案， 项目代码</w:t>
      </w:r>
      <w:r>
        <w:rPr>
          <w:rFonts w:hint="eastAsia" w:ascii="Times New Roman" w:hAnsi="Times New Roman" w:cs="Times New Roman"/>
          <w:color w:val="auto"/>
          <w:szCs w:val="24"/>
          <w:lang w:eastAsia="zh-CN"/>
        </w:rPr>
        <w:t>260</w:t>
      </w:r>
      <w:r>
        <w:rPr>
          <w:rFonts w:hint="eastAsia" w:ascii="Times New Roman" w:hAnsi="Times New Roman" w:cs="Times New Roman"/>
          <w:color w:val="auto"/>
          <w:szCs w:val="24"/>
          <w:lang w:val="en-US" w:eastAsia="zh-CN"/>
        </w:rPr>
        <w:t>6</w:t>
      </w:r>
      <w:r>
        <w:rPr>
          <w:rFonts w:hint="eastAsia" w:ascii="Times New Roman" w:hAnsi="Times New Roman" w:cs="Times New Roman"/>
          <w:color w:val="auto"/>
          <w:szCs w:val="24"/>
          <w:lang w:eastAsia="zh-CN"/>
        </w:rPr>
        <w:t>-340311-07-02-</w:t>
      </w:r>
      <w:r>
        <w:rPr>
          <w:rFonts w:hint="eastAsia" w:ascii="Times New Roman" w:hAnsi="Times New Roman" w:cs="Times New Roman"/>
          <w:color w:val="auto"/>
          <w:szCs w:val="24"/>
          <w:lang w:val="en-US" w:eastAsia="zh-CN"/>
        </w:rPr>
        <w:t>267412</w:t>
      </w:r>
      <w:r>
        <w:rPr>
          <w:rFonts w:ascii="Times New Roman" w:hAnsi="Times New Roman" w:cs="Times New Roman"/>
          <w:color w:val="auto"/>
          <w:lang w:eastAsia="zh-CN"/>
        </w:rPr>
        <w:t>。根据《产业结构调整指导目录（2024 年本）》（发改委令第7 号），本项目的产品不属于其中的鼓励类、限制类、淘汰类，属于允许建设项目。根据中华人民共和国工业和信息化部工产业〔2010〕第122 号《部分工业行业淘汰落后生产工艺装备和产品指导目录（2010 年本）》本项目的产品、工艺、设备不属于淘汰、落后范畴，符合产业政策。</w:t>
      </w:r>
      <w:bookmarkStart w:id="3024" w:name="_GoBack"/>
      <w:bookmarkEnd w:id="3024"/>
    </w:p>
    <w:p w14:paraId="2937A0D5">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本项目生产的</w:t>
      </w:r>
      <w:r>
        <w:rPr>
          <w:rFonts w:hint="eastAsia" w:ascii="Times New Roman" w:hAnsi="Times New Roman" w:cs="Times New Roman"/>
          <w:color w:val="auto"/>
          <w:lang w:eastAsia="zh-CN"/>
        </w:rPr>
        <w:t>产品化学纯</w:t>
      </w:r>
      <w:r>
        <w:rPr>
          <w:rFonts w:ascii="Times New Roman" w:hAnsi="Times New Roman" w:cs="Times New Roman"/>
          <w:color w:val="auto"/>
          <w:lang w:eastAsia="zh-CN"/>
        </w:rPr>
        <w:t>氢氟酸执行《工业氢氟酸》（GB</w:t>
      </w:r>
      <w:r>
        <w:rPr>
          <w:rFonts w:hint="eastAsia" w:ascii="Times New Roman" w:hAnsi="Times New Roman" w:cs="Times New Roman"/>
          <w:color w:val="auto"/>
          <w:lang w:eastAsia="zh-CN"/>
        </w:rPr>
        <w:t>/T</w:t>
      </w:r>
      <w:r>
        <w:rPr>
          <w:rFonts w:ascii="Times New Roman" w:hAnsi="Times New Roman" w:cs="Times New Roman"/>
          <w:color w:val="auto"/>
          <w:lang w:eastAsia="zh-CN"/>
        </w:rPr>
        <w:t>7744-2</w:t>
      </w:r>
      <w:r>
        <w:rPr>
          <w:rFonts w:hint="eastAsia" w:ascii="Times New Roman" w:hAnsi="Times New Roman" w:cs="Times New Roman"/>
          <w:color w:val="auto"/>
          <w:lang w:eastAsia="zh-CN"/>
        </w:rPr>
        <w:t>023</w:t>
      </w:r>
      <w:r>
        <w:rPr>
          <w:rFonts w:ascii="Times New Roman" w:hAnsi="Times New Roman" w:cs="Times New Roman"/>
          <w:color w:val="auto"/>
          <w:lang w:eastAsia="zh-CN"/>
        </w:rPr>
        <w:t>）中标准</w:t>
      </w:r>
      <w:r>
        <w:rPr>
          <w:rFonts w:hint="eastAsia" w:ascii="Times New Roman" w:hAnsi="Times New Roman" w:cs="Times New Roman"/>
          <w:color w:val="auto"/>
          <w:lang w:eastAsia="zh-CN"/>
        </w:rPr>
        <w:t>，刻蚀液执行企业标准《酸性刻蚀液》（</w:t>
      </w:r>
      <w:r>
        <w:rPr>
          <w:rFonts w:ascii="Times New Roman" w:hAnsi="Times New Roman" w:cs="Times New Roman"/>
          <w:color w:val="auto"/>
          <w:lang w:eastAsia="zh-CN"/>
        </w:rPr>
        <w:t>Q/FLOURISH</w:t>
      </w:r>
      <w:r>
        <w:rPr>
          <w:rFonts w:hint="eastAsia" w:ascii="Times New Roman" w:hAnsi="Times New Roman" w:cs="Times New Roman"/>
          <w:color w:val="auto"/>
          <w:lang w:eastAsia="zh-CN"/>
        </w:rPr>
        <w:t>）</w:t>
      </w:r>
      <w:r>
        <w:rPr>
          <w:rFonts w:ascii="Times New Roman" w:hAnsi="Times New Roman" w:cs="Times New Roman"/>
          <w:color w:val="auto"/>
          <w:lang w:eastAsia="zh-CN"/>
        </w:rPr>
        <w:t>；项目生产的产品达到市场上产品的标准，能够满足市场需求，产品应用广泛，具有很好的市场前景，产品清洁性较好。</w:t>
      </w:r>
    </w:p>
    <w:p w14:paraId="5621D375">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经对照</w:t>
      </w:r>
      <w:r>
        <w:rPr>
          <w:rFonts w:ascii="Times New Roman" w:hAnsi="Times New Roman" w:eastAsia="新宋体" w:cs="Times New Roman"/>
          <w:color w:val="auto"/>
          <w:szCs w:val="24"/>
          <w:lang w:eastAsia="zh-CN"/>
        </w:rPr>
        <w:t>《关于加强重点行业涉新污染物建设项目环境影响评价工作的意见》（环环评[2025]28号）</w:t>
      </w:r>
      <w:r>
        <w:rPr>
          <w:rFonts w:hint="eastAsia" w:ascii="Times New Roman" w:hAnsi="Times New Roman" w:eastAsia="新宋体" w:cs="Times New Roman"/>
          <w:color w:val="auto"/>
          <w:szCs w:val="24"/>
          <w:lang w:eastAsia="zh-CN"/>
        </w:rPr>
        <w:t>、关于印发《安徽省重点管控新污染物补充清单》（皖环发[2026]9号）</w:t>
      </w:r>
      <w:r>
        <w:rPr>
          <w:rFonts w:ascii="Times New Roman" w:hAnsi="Times New Roman" w:cs="Times New Roman"/>
          <w:color w:val="auto"/>
          <w:lang w:eastAsia="zh-CN"/>
        </w:rPr>
        <w:t>，本项目</w:t>
      </w:r>
      <w:r>
        <w:rPr>
          <w:rFonts w:hint="eastAsia" w:ascii="Times New Roman" w:hAnsi="Times New Roman" w:cs="Times New Roman"/>
          <w:color w:val="auto"/>
          <w:lang w:eastAsia="zh-CN"/>
        </w:rPr>
        <w:t>使用的原料31%盐酸、15%氟化氢水溶液、无水氟化氢，均不属于新污染</w:t>
      </w:r>
      <w:r>
        <w:rPr>
          <w:rFonts w:ascii="Times New Roman" w:hAnsi="Times New Roman" w:cs="Times New Roman"/>
          <w:color w:val="auto"/>
          <w:lang w:eastAsia="zh-CN"/>
        </w:rPr>
        <w:t>物</w:t>
      </w:r>
      <w:r>
        <w:rPr>
          <w:rFonts w:hint="eastAsia" w:ascii="Times New Roman" w:hAnsi="Times New Roman" w:cs="Times New Roman"/>
          <w:color w:val="auto"/>
          <w:lang w:eastAsia="zh-CN"/>
        </w:rPr>
        <w:t>；</w:t>
      </w:r>
      <w:r>
        <w:rPr>
          <w:rFonts w:ascii="Times New Roman" w:hAnsi="Times New Roman" w:cs="Times New Roman"/>
          <w:color w:val="auto"/>
          <w:lang w:eastAsia="zh-CN"/>
        </w:rPr>
        <w:t>对照《环境保护综合名录2021 版》，本项目各产品不属于《环境保护综合名录2021 版》中的双高产品，符合国家环保政策。</w:t>
      </w:r>
    </w:p>
    <w:p w14:paraId="6ABA25AA">
      <w:pPr>
        <w:widowControl w:val="0"/>
        <w:spacing w:line="360" w:lineRule="auto"/>
        <w:ind w:firstLine="482"/>
        <w:jc w:val="both"/>
        <w:outlineLvl w:val="2"/>
        <w:rPr>
          <w:rFonts w:ascii="Times New Roman" w:hAnsi="Times New Roman" w:cs="Times New Roman"/>
          <w:b/>
          <w:bCs/>
          <w:color w:val="auto"/>
          <w:lang w:eastAsia="zh-CN"/>
        </w:rPr>
      </w:pPr>
      <w:bookmarkStart w:id="944" w:name="_Toc204448471"/>
      <w:bookmarkStart w:id="945" w:name="_Toc218784287"/>
      <w:bookmarkStart w:id="946" w:name="_Toc223425062"/>
      <w:bookmarkStart w:id="947" w:name="_Toc237508297"/>
      <w:bookmarkStart w:id="948" w:name="_Toc221900844"/>
      <w:bookmarkStart w:id="949" w:name="_Toc224674701"/>
      <w:bookmarkStart w:id="950" w:name="_Toc175164281"/>
      <w:bookmarkStart w:id="951" w:name="_Toc203927005"/>
      <w:bookmarkStart w:id="952" w:name="_Toc236641832"/>
      <w:bookmarkStart w:id="953" w:name="_Toc225784062"/>
      <w:bookmarkStart w:id="954" w:name="_Toc176513014"/>
      <w:bookmarkStart w:id="955" w:name="_Toc133183074"/>
      <w:bookmarkStart w:id="956" w:name="_Toc231828584"/>
      <w:bookmarkStart w:id="957" w:name="_Toc178602354"/>
      <w:bookmarkStart w:id="958" w:name="_Toc133333620"/>
      <w:bookmarkStart w:id="959" w:name="_Toc173743390"/>
      <w:bookmarkStart w:id="960" w:name="_Toc204515206"/>
      <w:bookmarkStart w:id="961" w:name="_Toc173740286"/>
      <w:bookmarkStart w:id="962" w:name="_Toc236641315"/>
      <w:bookmarkStart w:id="963" w:name="_Toc172555659"/>
      <w:bookmarkStart w:id="964" w:name="_Toc217662677"/>
      <w:r>
        <w:rPr>
          <w:rFonts w:ascii="Times New Roman" w:hAnsi="Times New Roman" w:cs="Times New Roman"/>
          <w:b/>
          <w:bCs/>
          <w:color w:val="auto"/>
          <w:lang w:eastAsia="zh-CN"/>
        </w:rPr>
        <w:t>4.</w:t>
      </w:r>
      <w:r>
        <w:rPr>
          <w:rFonts w:hint="eastAsia" w:ascii="Times New Roman" w:hAnsi="Times New Roman" w:cs="Times New Roman"/>
          <w:b/>
          <w:bCs/>
          <w:color w:val="auto"/>
          <w:lang w:eastAsia="zh-CN"/>
        </w:rPr>
        <w:t>5</w:t>
      </w:r>
      <w:r>
        <w:rPr>
          <w:rFonts w:ascii="Times New Roman" w:hAnsi="Times New Roman" w:cs="Times New Roman"/>
          <w:b/>
          <w:bCs/>
          <w:color w:val="auto"/>
          <w:lang w:eastAsia="zh-CN"/>
        </w:rPr>
        <w:t>.2 资源能源利用指标</w:t>
      </w:r>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p>
    <w:p w14:paraId="0243D5C2">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在正常的操作情况下，生产单位产品对资源的消耗程度可以部分地反映一个企业的技术工艺和管理水平，即反映生产过程的状况。从清洁生产的角度看，资源指标的高低同时也反映企业的生产过程在宏观上对生态系统的影响程度，因为在同等条件下，资源消耗量越高，则对环境影响越大</w:t>
      </w:r>
      <w:r>
        <w:rPr>
          <w:rFonts w:hint="eastAsia" w:ascii="Times New Roman" w:hAnsi="Times New Roman" w:cs="Times New Roman"/>
          <w:color w:val="auto"/>
          <w:lang w:eastAsia="zh-CN"/>
        </w:rPr>
        <w:t>，</w:t>
      </w:r>
      <w:r>
        <w:rPr>
          <w:rFonts w:ascii="Times New Roman" w:hAnsi="Times New Roman" w:cs="Times New Roman"/>
          <w:color w:val="auto"/>
          <w:lang w:eastAsia="zh-CN"/>
        </w:rPr>
        <w:t>资源指标可以由单位产品的能耗、单位产品的物耗和新用水量指标和</w:t>
      </w:r>
      <w:r>
        <w:rPr>
          <w:rFonts w:hint="eastAsia" w:ascii="Times New Roman" w:hAnsi="Times New Roman" w:cs="Times New Roman"/>
          <w:color w:val="auto"/>
          <w:lang w:eastAsia="zh-CN"/>
        </w:rPr>
        <w:t>原料</w:t>
      </w:r>
      <w:r>
        <w:rPr>
          <w:rFonts w:ascii="Times New Roman" w:hAnsi="Times New Roman" w:cs="Times New Roman"/>
          <w:color w:val="auto"/>
          <w:lang w:eastAsia="zh-CN"/>
        </w:rPr>
        <w:t>表达。</w:t>
      </w:r>
    </w:p>
    <w:p w14:paraId="7F6C35A2">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本项目运营期间，</w:t>
      </w:r>
      <w:r>
        <w:rPr>
          <w:rFonts w:hint="eastAsia" w:ascii="Times New Roman" w:hAnsi="Times New Roman" w:cs="Times New Roman"/>
          <w:color w:val="auto"/>
          <w:lang w:eastAsia="zh-CN"/>
        </w:rPr>
        <w:t>二级水喷淋塔吸收的氟化物水溶液</w:t>
      </w:r>
      <w:r>
        <w:rPr>
          <w:rFonts w:ascii="Times New Roman" w:hAnsi="Times New Roman" w:cs="Times New Roman"/>
          <w:color w:val="auto"/>
          <w:lang w:eastAsia="zh-CN"/>
        </w:rPr>
        <w:t>全部回用于</w:t>
      </w:r>
      <w:r>
        <w:rPr>
          <w:rFonts w:hint="eastAsia" w:ascii="Times New Roman" w:hAnsi="Times New Roman" w:cs="Times New Roman"/>
          <w:color w:val="auto"/>
          <w:lang w:eastAsia="zh-CN"/>
        </w:rPr>
        <w:t>刻蚀液产品生产</w:t>
      </w:r>
      <w:r>
        <w:rPr>
          <w:rFonts w:ascii="Times New Roman" w:hAnsi="Times New Roman" w:cs="Times New Roman"/>
          <w:color w:val="auto"/>
          <w:lang w:eastAsia="zh-CN"/>
        </w:rPr>
        <w:t>，做到了水资源循环利用</w:t>
      </w:r>
      <w:r>
        <w:rPr>
          <w:rFonts w:hint="eastAsia" w:ascii="Times New Roman" w:hAnsi="Times New Roman" w:cs="Times New Roman"/>
          <w:color w:val="auto"/>
          <w:lang w:eastAsia="zh-CN"/>
        </w:rPr>
        <w:t>，</w:t>
      </w:r>
      <w:r>
        <w:rPr>
          <w:rFonts w:ascii="Times New Roman" w:hAnsi="Times New Roman" w:cs="Times New Roman"/>
          <w:color w:val="auto"/>
          <w:lang w:eastAsia="zh-CN"/>
        </w:rPr>
        <w:t>生产过程中采用市政供电，符合清洁能源要求。</w:t>
      </w:r>
    </w:p>
    <w:p w14:paraId="755296F7">
      <w:pPr>
        <w:widowControl w:val="0"/>
        <w:spacing w:line="360" w:lineRule="auto"/>
        <w:ind w:firstLine="482"/>
        <w:jc w:val="both"/>
        <w:outlineLvl w:val="2"/>
        <w:rPr>
          <w:rFonts w:ascii="Times New Roman" w:hAnsi="Times New Roman" w:cs="Times New Roman"/>
          <w:b/>
          <w:bCs/>
          <w:color w:val="auto"/>
          <w:lang w:eastAsia="zh-CN"/>
        </w:rPr>
      </w:pPr>
      <w:bookmarkStart w:id="965" w:name="_Toc203927006"/>
      <w:bookmarkStart w:id="966" w:name="_Toc224674702"/>
      <w:bookmarkStart w:id="967" w:name="_Toc231828585"/>
      <w:bookmarkStart w:id="968" w:name="_Toc204515207"/>
      <w:bookmarkStart w:id="969" w:name="_Toc172555656"/>
      <w:bookmarkStart w:id="970" w:name="_Toc173740283"/>
      <w:bookmarkStart w:id="971" w:name="_Toc221900845"/>
      <w:bookmarkStart w:id="972" w:name="_Toc225784063"/>
      <w:bookmarkStart w:id="973" w:name="_Toc217662678"/>
      <w:bookmarkStart w:id="974" w:name="_Toc223425063"/>
      <w:bookmarkStart w:id="975" w:name="_Toc175164278"/>
      <w:bookmarkStart w:id="976" w:name="_Toc204448472"/>
      <w:bookmarkStart w:id="977" w:name="_Toc218784288"/>
      <w:bookmarkStart w:id="978" w:name="_Toc236641316"/>
      <w:bookmarkStart w:id="979" w:name="_Toc237508298"/>
      <w:bookmarkStart w:id="980" w:name="_Toc176513015"/>
      <w:bookmarkStart w:id="981" w:name="_Toc178602355"/>
      <w:bookmarkStart w:id="982" w:name="_Toc133183071"/>
      <w:bookmarkStart w:id="983" w:name="_Toc173743387"/>
      <w:bookmarkStart w:id="984" w:name="_Toc133333617"/>
      <w:bookmarkStart w:id="985" w:name="_Toc236641833"/>
      <w:r>
        <w:rPr>
          <w:rFonts w:ascii="Times New Roman" w:hAnsi="Times New Roman" w:cs="Times New Roman"/>
          <w:b/>
          <w:bCs/>
          <w:color w:val="auto"/>
          <w:lang w:eastAsia="zh-CN"/>
        </w:rPr>
        <w:t>4.</w:t>
      </w:r>
      <w:r>
        <w:rPr>
          <w:rFonts w:hint="eastAsia" w:ascii="Times New Roman" w:hAnsi="Times New Roman" w:cs="Times New Roman"/>
          <w:b/>
          <w:bCs/>
          <w:color w:val="auto"/>
          <w:lang w:eastAsia="zh-CN"/>
        </w:rPr>
        <w:t>5</w:t>
      </w:r>
      <w:r>
        <w:rPr>
          <w:rFonts w:ascii="Times New Roman" w:hAnsi="Times New Roman" w:cs="Times New Roman"/>
          <w:b/>
          <w:bCs/>
          <w:color w:val="auto"/>
          <w:lang w:eastAsia="zh-CN"/>
        </w:rPr>
        <w:t>.3 工艺技术水平</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p>
    <w:p w14:paraId="7C767019">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项目贯彻“生产可靠、技术先进、节省投资、提高效益”的设计指导思想，在设计中根据项目的特点优化工艺设计方案，在设计中选择成熟、可靠和先进的技术装备。</w:t>
      </w:r>
    </w:p>
    <w:p w14:paraId="66B75E59">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自动化：根据设计方案，项目生产中</w:t>
      </w:r>
      <w:r>
        <w:rPr>
          <w:rFonts w:hint="eastAsia" w:ascii="Times New Roman" w:hAnsi="Times New Roman" w:cs="Times New Roman"/>
          <w:color w:val="auto"/>
          <w:szCs w:val="24"/>
          <w:lang w:eastAsia="zh-CN"/>
        </w:rPr>
        <w:t>化学纯氢氟酸、刻蚀液</w:t>
      </w:r>
      <w:r>
        <w:rPr>
          <w:rFonts w:ascii="Times New Roman" w:hAnsi="Times New Roman" w:cs="Times New Roman"/>
          <w:color w:val="auto"/>
          <w:lang w:eastAsia="zh-CN"/>
        </w:rPr>
        <w:t>产品生产中</w:t>
      </w:r>
      <w:r>
        <w:rPr>
          <w:rFonts w:hint="eastAsia" w:ascii="Times New Roman" w:hAnsi="Times New Roman" w:cs="Times New Roman"/>
          <w:color w:val="auto"/>
          <w:lang w:eastAsia="zh-CN"/>
        </w:rPr>
        <w:t>进料混合</w:t>
      </w:r>
      <w:r>
        <w:rPr>
          <w:rFonts w:ascii="Times New Roman" w:hAnsi="Times New Roman" w:cs="Times New Roman"/>
          <w:color w:val="auto"/>
          <w:lang w:eastAsia="zh-CN"/>
        </w:rPr>
        <w:t>、计量、灌装等均采用DCS自动控制，提高检测的准确性与信息传输的实时性，保证设备安全自动化运行。</w:t>
      </w:r>
    </w:p>
    <w:p w14:paraId="23AB727F">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密闭化：物料投加和输送过程采用无泄漏的</w:t>
      </w:r>
      <w:r>
        <w:rPr>
          <w:rFonts w:hint="eastAsia" w:ascii="Times New Roman" w:hAnsi="Times New Roman" w:cs="Times New Roman"/>
          <w:color w:val="auto"/>
          <w:lang w:eastAsia="zh-CN"/>
        </w:rPr>
        <w:t>屏蔽泵、隔膜泵、磁力泵</w:t>
      </w:r>
      <w:r>
        <w:rPr>
          <w:rFonts w:ascii="Times New Roman" w:hAnsi="Times New Roman" w:cs="Times New Roman"/>
          <w:color w:val="auto"/>
          <w:lang w:eastAsia="zh-CN"/>
        </w:rPr>
        <w:t>、密闭管道，生产线密闭化程度较高，最大程度实现设备密闭化。</w:t>
      </w:r>
    </w:p>
    <w:p w14:paraId="035436C6">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项目采用的生产工艺和设备，基本符合国家“节能减排、循环经济、绿色环保”的要求。</w:t>
      </w:r>
    </w:p>
    <w:p w14:paraId="50C60C17">
      <w:pPr>
        <w:widowControl w:val="0"/>
        <w:spacing w:line="360" w:lineRule="auto"/>
        <w:ind w:firstLine="482"/>
        <w:jc w:val="both"/>
        <w:outlineLvl w:val="2"/>
        <w:rPr>
          <w:rFonts w:ascii="Times New Roman" w:hAnsi="Times New Roman" w:cs="Times New Roman"/>
          <w:b/>
          <w:bCs/>
          <w:color w:val="auto"/>
          <w:lang w:eastAsia="zh-CN"/>
        </w:rPr>
      </w:pPr>
      <w:bookmarkStart w:id="986" w:name="_Toc225784064"/>
      <w:bookmarkStart w:id="987" w:name="_Toc178602356"/>
      <w:bookmarkStart w:id="988" w:name="_Toc236641834"/>
      <w:bookmarkStart w:id="989" w:name="_Toc236641317"/>
      <w:bookmarkStart w:id="990" w:name="_Toc223425064"/>
      <w:bookmarkStart w:id="991" w:name="_Toc173743388"/>
      <w:bookmarkStart w:id="992" w:name="_Toc231828586"/>
      <w:bookmarkStart w:id="993" w:name="_Toc204515208"/>
      <w:bookmarkStart w:id="994" w:name="_Toc221900846"/>
      <w:bookmarkStart w:id="995" w:name="_Toc203927007"/>
      <w:bookmarkStart w:id="996" w:name="_Toc133183072"/>
      <w:bookmarkStart w:id="997" w:name="_Toc176513016"/>
      <w:bookmarkStart w:id="998" w:name="_Toc218784289"/>
      <w:bookmarkStart w:id="999" w:name="_Toc224674703"/>
      <w:bookmarkStart w:id="1000" w:name="_Toc237508299"/>
      <w:bookmarkStart w:id="1001" w:name="_Toc133333618"/>
      <w:bookmarkStart w:id="1002" w:name="_Toc217662679"/>
      <w:bookmarkStart w:id="1003" w:name="_Toc173740284"/>
      <w:bookmarkStart w:id="1004" w:name="_Toc175164279"/>
      <w:bookmarkStart w:id="1005" w:name="_Toc204448473"/>
      <w:bookmarkStart w:id="1006" w:name="_Toc172555657"/>
      <w:r>
        <w:rPr>
          <w:rFonts w:ascii="Times New Roman" w:hAnsi="Times New Roman" w:cs="Times New Roman"/>
          <w:b/>
          <w:bCs/>
          <w:color w:val="auto"/>
          <w:lang w:eastAsia="zh-CN"/>
        </w:rPr>
        <w:t>4.</w:t>
      </w:r>
      <w:r>
        <w:rPr>
          <w:rFonts w:hint="eastAsia" w:ascii="Times New Roman" w:hAnsi="Times New Roman" w:cs="Times New Roman"/>
          <w:b/>
          <w:bCs/>
          <w:color w:val="auto"/>
          <w:lang w:eastAsia="zh-CN"/>
        </w:rPr>
        <w:t>5</w:t>
      </w:r>
      <w:r>
        <w:rPr>
          <w:rFonts w:ascii="Times New Roman" w:hAnsi="Times New Roman" w:cs="Times New Roman"/>
          <w:b/>
          <w:bCs/>
          <w:color w:val="auto"/>
          <w:lang w:eastAsia="zh-CN"/>
        </w:rPr>
        <w:t>.4 设备先进性</w:t>
      </w:r>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p>
    <w:p w14:paraId="58CAB71B">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项目尽量采用通用定型设备，如</w:t>
      </w:r>
      <w:r>
        <w:rPr>
          <w:rFonts w:hint="eastAsia" w:ascii="Times New Roman" w:hAnsi="Times New Roman" w:cs="Times New Roman"/>
          <w:color w:val="auto"/>
          <w:lang w:eastAsia="zh-CN"/>
        </w:rPr>
        <w:t>调配槽</w:t>
      </w:r>
      <w:r>
        <w:rPr>
          <w:rFonts w:ascii="Times New Roman" w:hAnsi="Times New Roman" w:cs="Times New Roman"/>
          <w:color w:val="auto"/>
          <w:lang w:eastAsia="zh-CN"/>
        </w:rPr>
        <w:t>、冷凝器等。各种设备原则上采用标准化产品，非标准设备按国家有关标准另行设计。此外，项目还将通过提高装备的自控水平，来提高工程的整体水平，主要表现在：</w:t>
      </w:r>
    </w:p>
    <w:p w14:paraId="73DF751A">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（1）用自动化、密闭化生产工艺代替敞开式生产工艺，减少物料与外界接触频率，降低劳动强度，提高劳动生产率。</w:t>
      </w:r>
    </w:p>
    <w:p w14:paraId="5E9C4EAB">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（2）车间内设备之间对液体物料，根据其特性选用</w:t>
      </w:r>
      <w:r>
        <w:rPr>
          <w:rFonts w:hint="eastAsia"/>
          <w:color w:val="000000" w:themeColor="text1"/>
          <w:szCs w:val="24"/>
          <w:lang w:eastAsia="zh-CN"/>
          <w14:textFill>
            <w14:solidFill>
              <w14:schemeClr w14:val="tx1"/>
            </w14:solidFill>
          </w14:textFill>
        </w:rPr>
        <w:t>屏蔽泵、隔膜泵、磁力泵</w:t>
      </w:r>
      <w:r>
        <w:rPr>
          <w:rFonts w:ascii="Times New Roman" w:hAnsi="Times New Roman" w:cs="Times New Roman"/>
          <w:color w:val="auto"/>
          <w:lang w:eastAsia="zh-CN"/>
        </w:rPr>
        <w:t>等物料泵来实现负压输送。</w:t>
      </w:r>
    </w:p>
    <w:p w14:paraId="2D82E970">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（3）生产储运的设备与管线组件对压缩机、泵、阀门、法兰等易泄漏设备及管线组件在选择时充分考虑工作状况，选择耐腐蚀的材质，并定期检测、及时修复。严格控制跑、冒、滴、漏的情况发生。</w:t>
      </w:r>
    </w:p>
    <w:p w14:paraId="26C0ACCD">
      <w:pPr>
        <w:widowControl w:val="0"/>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（4）装置中大量使用的衬氟阀门和吸收循环泵，结构新颖，密封性能优良，目前已在氢氟酸、高温盐酸、硫酸浓缩、</w:t>
      </w:r>
      <w:r>
        <w:rPr>
          <w:rFonts w:ascii="Times New Roman" w:hAnsi="Times New Roman" w:cs="Times New Roman"/>
          <w:color w:val="auto"/>
          <w:lang w:eastAsia="zh-CN"/>
        </w:rPr>
        <w:t>CPE</w:t>
      </w:r>
      <w:r>
        <w:rPr>
          <w:rFonts w:hint="eastAsia" w:ascii="Times New Roman" w:hAnsi="Times New Roman" w:cs="Times New Roman"/>
          <w:color w:val="auto"/>
          <w:lang w:eastAsia="zh-CN"/>
        </w:rPr>
        <w:t>、氯乙酸等强腐蚀性行业得到良好的运行验证。</w:t>
      </w:r>
    </w:p>
    <w:p w14:paraId="12423612">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w:t>
      </w:r>
      <w:r>
        <w:rPr>
          <w:rFonts w:hint="eastAsia" w:ascii="Times New Roman" w:hAnsi="Times New Roman" w:cs="Times New Roman"/>
          <w:color w:val="auto"/>
          <w:lang w:eastAsia="zh-CN"/>
        </w:rPr>
        <w:t>5</w:t>
      </w:r>
      <w:r>
        <w:rPr>
          <w:rFonts w:ascii="Times New Roman" w:hAnsi="Times New Roman" w:cs="Times New Roman"/>
          <w:color w:val="auto"/>
          <w:lang w:eastAsia="zh-CN"/>
        </w:rPr>
        <w:t>）DCS 系统：本装置自控系统采用现场仪表就地检测、DCS 系统集中监控相结合的设计原则，由DCS 系统完成主要运行参数的监测、控制、报警、记录等功能，发生紧急情况时，DCS 系统实施报警动作或调节或停机控制。拟建项目设备水平等均处于国内先进水平，符合国家清洁生产要求。</w:t>
      </w:r>
    </w:p>
    <w:p w14:paraId="112115DA">
      <w:pPr>
        <w:widowControl w:val="0"/>
        <w:spacing w:line="360" w:lineRule="auto"/>
        <w:ind w:firstLine="482"/>
        <w:jc w:val="both"/>
        <w:outlineLvl w:val="2"/>
        <w:rPr>
          <w:rFonts w:ascii="Times New Roman" w:hAnsi="Times New Roman" w:cs="Times New Roman"/>
          <w:b/>
          <w:bCs/>
          <w:color w:val="auto"/>
          <w:lang w:eastAsia="zh-CN"/>
        </w:rPr>
      </w:pPr>
      <w:bookmarkStart w:id="1007" w:name="_Toc178602357"/>
      <w:bookmarkStart w:id="1008" w:name="_Toc203927008"/>
      <w:bookmarkStart w:id="1009" w:name="_Toc224674704"/>
      <w:bookmarkStart w:id="1010" w:name="_Toc173740285"/>
      <w:bookmarkStart w:id="1011" w:name="_Toc217662680"/>
      <w:bookmarkStart w:id="1012" w:name="_Toc172555658"/>
      <w:bookmarkStart w:id="1013" w:name="_Toc221900847"/>
      <w:bookmarkStart w:id="1014" w:name="_Toc236641835"/>
      <w:bookmarkStart w:id="1015" w:name="_Toc204515209"/>
      <w:bookmarkStart w:id="1016" w:name="_Toc231828587"/>
      <w:bookmarkStart w:id="1017" w:name="_Toc175164280"/>
      <w:bookmarkStart w:id="1018" w:name="_Toc176513017"/>
      <w:bookmarkStart w:id="1019" w:name="_Toc236641318"/>
      <w:bookmarkStart w:id="1020" w:name="_Toc225784065"/>
      <w:bookmarkStart w:id="1021" w:name="_Toc204448474"/>
      <w:bookmarkStart w:id="1022" w:name="_Toc133333619"/>
      <w:bookmarkStart w:id="1023" w:name="_Toc223425065"/>
      <w:bookmarkStart w:id="1024" w:name="_Toc173743389"/>
      <w:bookmarkStart w:id="1025" w:name="_Toc218784290"/>
      <w:bookmarkStart w:id="1026" w:name="_Toc237508300"/>
      <w:bookmarkStart w:id="1027" w:name="_Toc133183073"/>
      <w:r>
        <w:rPr>
          <w:rFonts w:ascii="Times New Roman" w:hAnsi="Times New Roman" w:cs="Times New Roman"/>
          <w:b/>
          <w:bCs/>
          <w:color w:val="auto"/>
          <w:lang w:eastAsia="zh-CN"/>
        </w:rPr>
        <w:t>4.</w:t>
      </w:r>
      <w:r>
        <w:rPr>
          <w:rFonts w:hint="eastAsia" w:ascii="Times New Roman" w:hAnsi="Times New Roman" w:cs="Times New Roman"/>
          <w:b/>
          <w:bCs/>
          <w:color w:val="auto"/>
          <w:lang w:eastAsia="zh-CN"/>
        </w:rPr>
        <w:t>5</w:t>
      </w:r>
      <w:r>
        <w:rPr>
          <w:rFonts w:ascii="Times New Roman" w:hAnsi="Times New Roman" w:cs="Times New Roman"/>
          <w:b/>
          <w:bCs/>
          <w:color w:val="auto"/>
          <w:lang w:eastAsia="zh-CN"/>
        </w:rPr>
        <w:t>.5 节能措施</w:t>
      </w:r>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p>
    <w:p w14:paraId="3D500059">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为了认真贯彻《国务院关于印发节能减排综合性工作方案的通知》（国发[2007]15号），本项目采用多项措施降低能源消耗，具体节能措施如下：</w:t>
      </w:r>
    </w:p>
    <w:p w14:paraId="412A19FE">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1、生产装置区内部分电机采用变频调速控制，根据生产负荷的要求运行既平衡又节约能源。</w:t>
      </w:r>
    </w:p>
    <w:p w14:paraId="0733FFF1">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2、变配电室的位置尽量靠近负荷中心，以便减少线路长度和电能损失。在电器设备和材料选择时采用节能型的变压器和节能型照明灯具。</w:t>
      </w:r>
    </w:p>
    <w:p w14:paraId="70EE6BC8">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3、在整个工艺装置中，通过流程的优化，设备的合理设计和选择等措施来提高装置的能量利用率。</w:t>
      </w:r>
    </w:p>
    <w:p w14:paraId="05A9D072">
      <w:pPr>
        <w:widowControl w:val="0"/>
        <w:spacing w:line="360" w:lineRule="auto"/>
        <w:ind w:firstLine="482"/>
        <w:jc w:val="both"/>
        <w:outlineLvl w:val="2"/>
        <w:rPr>
          <w:rFonts w:ascii="Times New Roman" w:hAnsi="Times New Roman" w:cs="Times New Roman"/>
          <w:b/>
          <w:bCs/>
          <w:color w:val="auto"/>
          <w:lang w:eastAsia="zh-CN"/>
        </w:rPr>
      </w:pPr>
      <w:bookmarkStart w:id="1028" w:name="_Toc224674705"/>
      <w:bookmarkStart w:id="1029" w:name="_Toc236641836"/>
      <w:bookmarkStart w:id="1030" w:name="_Toc172555660"/>
      <w:bookmarkStart w:id="1031" w:name="_Toc178602358"/>
      <w:bookmarkStart w:id="1032" w:name="_Toc204515210"/>
      <w:bookmarkStart w:id="1033" w:name="_Toc221900848"/>
      <w:bookmarkStart w:id="1034" w:name="_Toc225784066"/>
      <w:bookmarkStart w:id="1035" w:name="_Toc133183075"/>
      <w:bookmarkStart w:id="1036" w:name="_Toc217662681"/>
      <w:bookmarkStart w:id="1037" w:name="_Toc175164282"/>
      <w:bookmarkStart w:id="1038" w:name="_Toc133333621"/>
      <w:bookmarkStart w:id="1039" w:name="_Toc218784291"/>
      <w:bookmarkStart w:id="1040" w:name="_Toc176513018"/>
      <w:bookmarkStart w:id="1041" w:name="_Toc223425066"/>
      <w:bookmarkStart w:id="1042" w:name="_Toc203927009"/>
      <w:bookmarkStart w:id="1043" w:name="_Toc237508301"/>
      <w:bookmarkStart w:id="1044" w:name="_Toc173740287"/>
      <w:bookmarkStart w:id="1045" w:name="_Toc173743391"/>
      <w:bookmarkStart w:id="1046" w:name="_Toc231828588"/>
      <w:bookmarkStart w:id="1047" w:name="_Toc204448475"/>
      <w:bookmarkStart w:id="1048" w:name="_Toc236641319"/>
      <w:r>
        <w:rPr>
          <w:rFonts w:ascii="Times New Roman" w:hAnsi="Times New Roman" w:cs="Times New Roman"/>
          <w:b/>
          <w:bCs/>
          <w:color w:val="auto"/>
          <w:lang w:eastAsia="zh-CN"/>
        </w:rPr>
        <w:t>4.</w:t>
      </w:r>
      <w:r>
        <w:rPr>
          <w:rFonts w:hint="eastAsia" w:ascii="Times New Roman" w:hAnsi="Times New Roman" w:cs="Times New Roman"/>
          <w:b/>
          <w:bCs/>
          <w:color w:val="auto"/>
          <w:lang w:eastAsia="zh-CN"/>
        </w:rPr>
        <w:t>5</w:t>
      </w:r>
      <w:r>
        <w:rPr>
          <w:rFonts w:ascii="Times New Roman" w:hAnsi="Times New Roman" w:cs="Times New Roman"/>
          <w:b/>
          <w:bCs/>
          <w:color w:val="auto"/>
          <w:lang w:eastAsia="zh-CN"/>
        </w:rPr>
        <w:t>.6 全过程污染物排放控制</w:t>
      </w:r>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p>
    <w:p w14:paraId="5EAE5165">
      <w:pPr>
        <w:widowControl w:val="0"/>
        <w:adjustRightInd w:val="0"/>
        <w:snapToGrid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本项目在工艺流程和生产过程中充分考虑了减少污染物外排，以满足环保法规和标准的要求。</w:t>
      </w:r>
    </w:p>
    <w:p w14:paraId="6075816E">
      <w:pPr>
        <w:widowControl w:val="0"/>
        <w:adjustRightInd w:val="0"/>
        <w:snapToGrid w:val="0"/>
        <w:spacing w:line="360" w:lineRule="auto"/>
        <w:ind w:left="480"/>
        <w:jc w:val="both"/>
        <w:rPr>
          <w:rFonts w:ascii="Times New Roman" w:hAnsi="Times New Roman" w:cs="Times New Roman"/>
          <w:color w:val="auto"/>
          <w:lang w:eastAsia="zh-CN"/>
        </w:rPr>
      </w:pPr>
      <w:r>
        <w:rPr>
          <w:rFonts w:hint="eastAsia" w:ascii="Times New Roman" w:hAnsi="Times New Roman" w:cs="Times New Roman"/>
          <w:color w:val="auto"/>
          <w:lang w:eastAsia="zh-CN"/>
        </w:rPr>
        <w:t>1、</w:t>
      </w:r>
      <w:r>
        <w:rPr>
          <w:rFonts w:ascii="Times New Roman" w:hAnsi="Times New Roman" w:cs="Times New Roman"/>
          <w:color w:val="auto"/>
          <w:lang w:eastAsia="zh-CN"/>
        </w:rPr>
        <w:t>废气污染物排放控制</w:t>
      </w:r>
    </w:p>
    <w:p w14:paraId="16F34ED3">
      <w:pPr>
        <w:widowControl w:val="0"/>
        <w:adjustRightInd w:val="0"/>
        <w:snapToGrid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本项目大气污染物主要是</w:t>
      </w:r>
      <w:r>
        <w:rPr>
          <w:rFonts w:hint="eastAsia" w:ascii="Times New Roman" w:hAnsi="Times New Roman" w:cs="Times New Roman"/>
          <w:color w:val="auto"/>
          <w:szCs w:val="24"/>
          <w:lang w:eastAsia="zh-CN"/>
        </w:rPr>
        <w:t>化学纯氢氟酸、刻蚀液</w:t>
      </w:r>
      <w:r>
        <w:rPr>
          <w:rFonts w:ascii="Times New Roman" w:hAnsi="Times New Roman" w:cs="Times New Roman"/>
          <w:color w:val="auto"/>
          <w:lang w:eastAsia="zh-CN"/>
        </w:rPr>
        <w:t>产品生产过程中产生的</w:t>
      </w:r>
      <w:r>
        <w:rPr>
          <w:rFonts w:hint="eastAsia" w:ascii="Times New Roman" w:hAnsi="Times New Roman" w:cs="Times New Roman"/>
          <w:color w:val="auto"/>
          <w:lang w:eastAsia="zh-CN"/>
        </w:rPr>
        <w:t>氟化物、氯化氢</w:t>
      </w:r>
      <w:r>
        <w:rPr>
          <w:rFonts w:ascii="Times New Roman" w:hAnsi="Times New Roman" w:cs="Times New Roman"/>
          <w:color w:val="auto"/>
          <w:lang w:eastAsia="zh-CN"/>
        </w:rPr>
        <w:t>污染物。建设项目拟采取的废气治理措施主要为：</w:t>
      </w:r>
    </w:p>
    <w:p w14:paraId="3C26DBB7">
      <w:pPr>
        <w:widowControl w:val="0"/>
        <w:topLinePunct/>
        <w:spacing w:line="360" w:lineRule="auto"/>
        <w:ind w:firstLine="480" w:firstLineChars="200"/>
        <w:jc w:val="both"/>
        <w:rPr>
          <w:rFonts w:ascii="Times New Roman" w:hAnsi="Times New Roman" w:eastAsia="新宋体" w:cs="Times New Roman"/>
          <w:bCs/>
          <w:color w:val="auto"/>
          <w:szCs w:val="24"/>
          <w:lang w:eastAsia="zh-CN"/>
        </w:rPr>
      </w:pPr>
      <w:r>
        <w:rPr>
          <w:rFonts w:ascii="Times New Roman" w:hAnsi="Times New Roman" w:eastAsia="新宋体" w:cs="Times New Roman"/>
          <w:color w:val="auto"/>
          <w:szCs w:val="24"/>
          <w:lang w:eastAsia="zh-CN"/>
        </w:rPr>
        <w:t>本项目</w:t>
      </w:r>
      <w:r>
        <w:rPr>
          <w:rFonts w:hint="eastAsia" w:ascii="Times New Roman" w:hAnsi="Times New Roman" w:eastAsia="新宋体" w:cs="Times New Roman"/>
          <w:color w:val="auto"/>
          <w:szCs w:val="24"/>
          <w:lang w:eastAsia="zh-CN"/>
        </w:rPr>
        <w:t>化学纯氢氟酸</w:t>
      </w:r>
      <w:r>
        <w:rPr>
          <w:rFonts w:ascii="Times New Roman" w:hAnsi="Times New Roman" w:eastAsia="新宋体" w:cs="Times New Roman"/>
          <w:color w:val="auto"/>
          <w:szCs w:val="24"/>
          <w:lang w:eastAsia="zh-CN"/>
        </w:rPr>
        <w:t>生产</w:t>
      </w:r>
      <w:r>
        <w:rPr>
          <w:rFonts w:hint="eastAsia" w:ascii="Times New Roman" w:hAnsi="Times New Roman" w:eastAsia="新宋体" w:cs="Times New Roman"/>
          <w:color w:val="auto"/>
          <w:szCs w:val="24"/>
          <w:lang w:eastAsia="zh-CN"/>
        </w:rPr>
        <w:t>工艺废气、无水氟化氢储罐、原料及产品罐区1</w:t>
      </w:r>
      <w:r>
        <w:rPr>
          <w:rFonts w:hint="eastAsia" w:ascii="Times New Roman" w:hAnsi="Times New Roman" w:eastAsia="新宋体" w:cs="Times New Roman"/>
          <w:bCs/>
          <w:color w:val="auto"/>
          <w:szCs w:val="24"/>
          <w:lang w:eastAsia="zh-CN"/>
        </w:rPr>
        <w:t>5%氟化氢水溶液储罐、化学纯氢氟酸储罐呼吸气</w:t>
      </w:r>
      <w:r>
        <w:rPr>
          <w:rFonts w:hint="eastAsia" w:ascii="Times New Roman" w:hAnsi="Times New Roman" w:eastAsia="新宋体" w:cs="Times New Roman"/>
          <w:color w:val="auto"/>
          <w:szCs w:val="24"/>
          <w:lang w:eastAsia="zh-CN"/>
        </w:rPr>
        <w:t>经管道收集</w:t>
      </w:r>
      <w:r>
        <w:rPr>
          <w:rFonts w:ascii="Times New Roman" w:hAnsi="Times New Roman" w:eastAsia="新宋体" w:cs="Times New Roman"/>
          <w:color w:val="auto"/>
          <w:szCs w:val="24"/>
          <w:lang w:eastAsia="zh-CN"/>
        </w:rPr>
        <w:t>，</w:t>
      </w:r>
      <w:r>
        <w:rPr>
          <w:rFonts w:hint="eastAsia" w:ascii="Times New Roman" w:hAnsi="Times New Roman" w:eastAsia="新宋体" w:cs="Times New Roman"/>
          <w:color w:val="auto"/>
          <w:szCs w:val="24"/>
          <w:lang w:eastAsia="zh-CN"/>
        </w:rPr>
        <w:t>灌装废气经密闭负压收集，</w:t>
      </w:r>
      <w:r>
        <w:rPr>
          <w:rFonts w:hint="eastAsia" w:ascii="Times New Roman" w:hAnsi="Times New Roman" w:eastAsia="新宋体" w:cs="Times New Roman"/>
          <w:bCs/>
          <w:color w:val="auto"/>
          <w:szCs w:val="24"/>
          <w:lang w:eastAsia="zh-CN"/>
        </w:rPr>
        <w:t>依托现有二级水喷淋塔（TA001）预处理；</w:t>
      </w:r>
      <w:r>
        <w:rPr>
          <w:rFonts w:hint="eastAsia" w:ascii="Times New Roman" w:hAnsi="Times New Roman" w:eastAsia="新宋体" w:cs="Times New Roman"/>
          <w:color w:val="auto"/>
          <w:szCs w:val="24"/>
          <w:lang w:eastAsia="zh-CN"/>
        </w:rPr>
        <w:t>刻蚀液</w:t>
      </w:r>
      <w:r>
        <w:rPr>
          <w:rFonts w:ascii="Times New Roman" w:hAnsi="Times New Roman" w:eastAsia="新宋体" w:cs="Times New Roman"/>
          <w:color w:val="auto"/>
          <w:szCs w:val="24"/>
          <w:lang w:eastAsia="zh-CN"/>
        </w:rPr>
        <w:t>生产</w:t>
      </w:r>
      <w:r>
        <w:rPr>
          <w:rFonts w:hint="eastAsia" w:ascii="Times New Roman" w:hAnsi="Times New Roman" w:eastAsia="新宋体" w:cs="Times New Roman"/>
          <w:color w:val="auto"/>
          <w:szCs w:val="24"/>
          <w:lang w:eastAsia="zh-CN"/>
        </w:rPr>
        <w:t>工艺废气、戊类罐区二</w:t>
      </w:r>
      <w:r>
        <w:rPr>
          <w:rFonts w:hint="eastAsia" w:ascii="Times New Roman" w:hAnsi="Times New Roman" w:eastAsia="新宋体" w:cs="Times New Roman"/>
          <w:bCs/>
          <w:color w:val="auto"/>
          <w:szCs w:val="24"/>
          <w:lang w:eastAsia="zh-CN"/>
        </w:rPr>
        <w:t>31%盐酸储罐、</w:t>
      </w:r>
      <w:r>
        <w:rPr>
          <w:rFonts w:ascii="Times New Roman" w:hAnsi="Times New Roman" w:eastAsia="新宋体" w:cs="Times New Roman"/>
          <w:bCs/>
          <w:color w:val="auto"/>
          <w:szCs w:val="24"/>
          <w:lang w:eastAsia="zh-CN"/>
        </w:rPr>
        <w:t>化学纯氢氟酸储罐</w:t>
      </w:r>
      <w:r>
        <w:rPr>
          <w:rFonts w:hint="eastAsia" w:ascii="Times New Roman" w:hAnsi="Times New Roman" w:eastAsia="新宋体" w:cs="Times New Roman"/>
          <w:bCs/>
          <w:color w:val="auto"/>
          <w:szCs w:val="24"/>
          <w:lang w:eastAsia="zh-CN"/>
        </w:rPr>
        <w:t>、刻蚀液储罐呼吸气</w:t>
      </w:r>
      <w:r>
        <w:rPr>
          <w:rFonts w:hint="eastAsia" w:ascii="Times New Roman" w:hAnsi="Times New Roman" w:eastAsia="新宋体" w:cs="Times New Roman"/>
          <w:color w:val="auto"/>
          <w:szCs w:val="24"/>
          <w:lang w:eastAsia="zh-CN"/>
        </w:rPr>
        <w:t>经管道收集，</w:t>
      </w:r>
      <w:r>
        <w:rPr>
          <w:rFonts w:hint="eastAsia" w:ascii="Times New Roman" w:hAnsi="Times New Roman" w:eastAsia="新宋体" w:cs="Times New Roman"/>
          <w:bCs/>
          <w:color w:val="auto"/>
          <w:szCs w:val="24"/>
          <w:lang w:eastAsia="zh-CN"/>
        </w:rPr>
        <w:t>经本次新增二级水喷淋塔（TA003）装置预</w:t>
      </w:r>
      <w:r>
        <w:rPr>
          <w:rFonts w:ascii="Times New Roman" w:hAnsi="Times New Roman" w:eastAsia="新宋体" w:cs="Times New Roman"/>
          <w:bCs/>
          <w:color w:val="auto"/>
          <w:szCs w:val="24"/>
          <w:lang w:eastAsia="zh-CN"/>
        </w:rPr>
        <w:t>处理</w:t>
      </w:r>
      <w:r>
        <w:rPr>
          <w:rFonts w:hint="eastAsia" w:ascii="Times New Roman" w:hAnsi="Times New Roman" w:eastAsia="新宋体" w:cs="Times New Roman"/>
          <w:bCs/>
          <w:color w:val="auto"/>
          <w:szCs w:val="24"/>
          <w:lang w:eastAsia="zh-CN"/>
        </w:rPr>
        <w:t>；</w:t>
      </w:r>
    </w:p>
    <w:p w14:paraId="137FAEB8">
      <w:pPr>
        <w:widowControl w:val="0"/>
        <w:topLinePunct/>
        <w:spacing w:line="360" w:lineRule="auto"/>
        <w:ind w:firstLine="480" w:firstLineChars="200"/>
        <w:jc w:val="both"/>
        <w:rPr>
          <w:rFonts w:ascii="Times New Roman" w:hAnsi="Times New Roman" w:eastAsia="新宋体" w:cs="Times New Roman"/>
          <w:color w:val="auto"/>
          <w:szCs w:val="24"/>
          <w:lang w:eastAsia="zh-CN"/>
        </w:rPr>
      </w:pPr>
      <w:r>
        <w:rPr>
          <w:rFonts w:hint="eastAsia" w:ascii="Times New Roman" w:hAnsi="Times New Roman" w:eastAsia="新宋体" w:cs="Times New Roman"/>
          <w:bCs/>
          <w:color w:val="auto"/>
          <w:szCs w:val="24"/>
          <w:lang w:eastAsia="zh-CN"/>
        </w:rPr>
        <w:t>预处理后废气经现有三级碱喷淋塔（TA002）+新增一级碱喷淋塔（TA004）装置</w:t>
      </w:r>
      <w:r>
        <w:rPr>
          <w:rFonts w:ascii="Times New Roman" w:hAnsi="Times New Roman" w:eastAsia="新宋体" w:cs="Times New Roman"/>
          <w:bCs/>
          <w:color w:val="auto"/>
          <w:szCs w:val="24"/>
          <w:lang w:eastAsia="zh-CN"/>
        </w:rPr>
        <w:t>处理，处理后</w:t>
      </w:r>
      <w:r>
        <w:rPr>
          <w:rFonts w:hint="eastAsia" w:ascii="Times New Roman" w:hAnsi="Times New Roman" w:eastAsia="新宋体" w:cs="Times New Roman"/>
          <w:bCs/>
          <w:color w:val="auto"/>
          <w:szCs w:val="24"/>
          <w:lang w:eastAsia="zh-CN"/>
        </w:rPr>
        <w:t>经</w:t>
      </w:r>
      <w:r>
        <w:rPr>
          <w:rFonts w:ascii="Times New Roman" w:hAnsi="Times New Roman" w:eastAsia="新宋体" w:cs="Times New Roman"/>
          <w:bCs/>
          <w:color w:val="auto"/>
          <w:szCs w:val="24"/>
          <w:lang w:eastAsia="zh-CN"/>
        </w:rPr>
        <w:t>现有</w:t>
      </w:r>
      <w:r>
        <w:rPr>
          <w:rFonts w:hint="eastAsia" w:ascii="Times New Roman" w:hAnsi="Times New Roman" w:eastAsia="新宋体" w:cs="Times New Roman"/>
          <w:bCs/>
          <w:color w:val="auto"/>
          <w:szCs w:val="24"/>
          <w:lang w:eastAsia="zh-CN"/>
        </w:rPr>
        <w:t>25</w:t>
      </w:r>
      <w:r>
        <w:rPr>
          <w:rFonts w:ascii="Times New Roman" w:hAnsi="Times New Roman" w:eastAsia="新宋体" w:cs="Times New Roman"/>
          <w:bCs/>
          <w:color w:val="auto"/>
          <w:szCs w:val="24"/>
          <w:lang w:eastAsia="zh-CN"/>
        </w:rPr>
        <w:t>m高DA001排气筒排放</w:t>
      </w:r>
      <w:r>
        <w:rPr>
          <w:rFonts w:ascii="Times New Roman" w:hAnsi="Times New Roman" w:eastAsia="新宋体" w:cs="Times New Roman"/>
          <w:color w:val="auto"/>
          <w:szCs w:val="24"/>
          <w:lang w:eastAsia="zh-CN"/>
        </w:rPr>
        <w:t>。</w:t>
      </w:r>
    </w:p>
    <w:p w14:paraId="0F8C47CD">
      <w:pPr>
        <w:widowControl w:val="0"/>
        <w:adjustRightInd w:val="0"/>
        <w:snapToGrid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各类废气经处理后均能满足相应标准排放，项目实施对区域大气环境造成的不利影响较小。</w:t>
      </w:r>
    </w:p>
    <w:p w14:paraId="13AB4809">
      <w:pPr>
        <w:widowControl w:val="0"/>
        <w:adjustRightInd w:val="0"/>
        <w:snapToGrid w:val="0"/>
        <w:spacing w:line="360" w:lineRule="auto"/>
        <w:ind w:left="480"/>
        <w:jc w:val="both"/>
        <w:rPr>
          <w:rFonts w:ascii="Times New Roman" w:hAnsi="Times New Roman" w:cs="Times New Roman"/>
          <w:color w:val="auto"/>
          <w:lang w:eastAsia="zh-CN"/>
        </w:rPr>
      </w:pPr>
      <w:r>
        <w:rPr>
          <w:rFonts w:hint="eastAsia" w:ascii="Times New Roman" w:hAnsi="Times New Roman" w:cs="Times New Roman"/>
          <w:color w:val="auto"/>
          <w:lang w:eastAsia="zh-CN"/>
        </w:rPr>
        <w:t>2、</w:t>
      </w:r>
      <w:r>
        <w:rPr>
          <w:rFonts w:ascii="Times New Roman" w:hAnsi="Times New Roman" w:cs="Times New Roman"/>
          <w:color w:val="auto"/>
          <w:lang w:eastAsia="zh-CN"/>
        </w:rPr>
        <w:t>废水污染物排放控制</w:t>
      </w:r>
    </w:p>
    <w:p w14:paraId="23D767BD">
      <w:pPr>
        <w:widowControl w:val="0"/>
        <w:adjustRightInd w:val="0"/>
        <w:snapToGrid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本项目</w:t>
      </w:r>
      <w:r>
        <w:rPr>
          <w:rFonts w:hint="eastAsia" w:ascii="Times New Roman" w:hAnsi="Times New Roman" w:cs="Times New Roman"/>
          <w:color w:val="auto"/>
          <w:lang w:eastAsia="zh-CN"/>
        </w:rPr>
        <w:t>碱</w:t>
      </w:r>
      <w:r>
        <w:rPr>
          <w:rFonts w:ascii="Times New Roman" w:hAnsi="Times New Roman" w:cs="Times New Roman"/>
          <w:color w:val="auto"/>
          <w:lang w:eastAsia="zh-CN"/>
        </w:rPr>
        <w:t>喷淋塔置换废水、地面清洁废水</w:t>
      </w:r>
      <w:r>
        <w:rPr>
          <w:rFonts w:hint="eastAsia" w:ascii="Times New Roman" w:hAnsi="Times New Roman" w:cs="Times New Roman"/>
          <w:color w:val="auto"/>
          <w:lang w:eastAsia="zh-CN"/>
        </w:rPr>
        <w:t>依托现有厂区</w:t>
      </w:r>
      <w:r>
        <w:rPr>
          <w:rFonts w:ascii="Times New Roman" w:hAnsi="Times New Roman" w:cs="Times New Roman"/>
          <w:color w:val="auto"/>
          <w:lang w:eastAsia="zh-CN"/>
        </w:rPr>
        <w:t>污水处理站</w:t>
      </w:r>
      <w:r>
        <w:rPr>
          <w:rFonts w:hint="eastAsia" w:ascii="Times New Roman" w:hAnsi="Times New Roman" w:cs="Times New Roman"/>
          <w:color w:val="auto"/>
          <w:lang w:eastAsia="zh-CN"/>
        </w:rPr>
        <w:t>“</w:t>
      </w:r>
      <w:r>
        <w:rPr>
          <w:rFonts w:ascii="Times New Roman" w:hAnsi="Times New Roman" w:cs="Times New Roman"/>
          <w:color w:val="auto"/>
          <w:lang w:eastAsia="zh-CN"/>
        </w:rPr>
        <w:t>四级除氟反应+四级除氟沉淀</w:t>
      </w:r>
      <w:r>
        <w:rPr>
          <w:rFonts w:hint="eastAsia" w:ascii="Times New Roman" w:hAnsi="Times New Roman" w:cs="Times New Roman"/>
          <w:color w:val="auto"/>
          <w:lang w:eastAsia="zh-CN"/>
        </w:rPr>
        <w:t>”</w:t>
      </w:r>
      <w:r>
        <w:rPr>
          <w:rFonts w:ascii="Times New Roman" w:hAnsi="Times New Roman" w:cs="Times New Roman"/>
          <w:color w:val="auto"/>
          <w:lang w:eastAsia="zh-CN"/>
        </w:rPr>
        <w:t>处理后，</w:t>
      </w:r>
      <w:r>
        <w:rPr>
          <w:rFonts w:hint="eastAsia" w:ascii="Times New Roman" w:hAnsi="Times New Roman" w:cs="Times New Roman"/>
          <w:color w:val="auto"/>
          <w:lang w:eastAsia="zh-CN"/>
        </w:rPr>
        <w:t>与</w:t>
      </w:r>
      <w:r>
        <w:rPr>
          <w:rFonts w:ascii="Times New Roman" w:hAnsi="Times New Roman" w:cs="Times New Roman"/>
          <w:color w:val="auto"/>
          <w:lang w:eastAsia="zh-CN"/>
        </w:rPr>
        <w:t>循环冷却置换废水</w:t>
      </w:r>
      <w:r>
        <w:rPr>
          <w:rFonts w:hint="eastAsia" w:ascii="Times New Roman" w:hAnsi="Times New Roman" w:cs="Times New Roman"/>
          <w:color w:val="auto"/>
          <w:lang w:eastAsia="zh-CN"/>
        </w:rPr>
        <w:t>、生活污水一同</w:t>
      </w:r>
      <w:r>
        <w:rPr>
          <w:rFonts w:ascii="Times New Roman" w:hAnsi="Times New Roman" w:cs="Times New Roman"/>
          <w:color w:val="auto"/>
          <w:lang w:eastAsia="zh-CN"/>
        </w:rPr>
        <w:t>排入园区污水管网，进入沫河口污水处理厂处理。</w:t>
      </w:r>
      <w:r>
        <w:rPr>
          <w:rFonts w:hint="eastAsia" w:ascii="Times New Roman" w:hAnsi="Times New Roman" w:cs="Times New Roman"/>
          <w:color w:val="auto"/>
          <w:lang w:eastAsia="zh-CN"/>
        </w:rPr>
        <w:t>项目废水排放满足</w:t>
      </w:r>
      <w:r>
        <w:rPr>
          <w:rFonts w:ascii="Times New Roman" w:hAnsi="Times New Roman" w:cs="Times New Roman"/>
          <w:color w:val="auto"/>
          <w:lang w:eastAsia="zh-CN"/>
        </w:rPr>
        <w:t>沫河口污水处理厂接管标准以及</w:t>
      </w:r>
      <w:r>
        <w:rPr>
          <w:rFonts w:hint="eastAsia" w:ascii="Times New Roman" w:hAnsi="Times New Roman" w:cs="Times New Roman"/>
          <w:color w:val="auto"/>
          <w:lang w:eastAsia="zh-CN"/>
        </w:rPr>
        <w:t>《无机化学工业污染物排放标准》（GB31573-2015）、</w:t>
      </w:r>
      <w:r>
        <w:rPr>
          <w:rFonts w:ascii="Times New Roman" w:hAnsi="Times New Roman" w:cs="Times New Roman"/>
          <w:color w:val="auto"/>
          <w:lang w:eastAsia="zh-CN"/>
        </w:rPr>
        <w:t>《电子工业水污染物排放标准》（GB39731-2020）排放限值要求，沫河口污水处理厂尾水</w:t>
      </w:r>
      <w:r>
        <w:rPr>
          <w:rFonts w:hint="eastAsia" w:ascii="Times New Roman" w:hAnsi="Times New Roman" w:cs="Times New Roman"/>
          <w:color w:val="auto"/>
          <w:lang w:eastAsia="zh-CN"/>
        </w:rPr>
        <w:t>处理</w:t>
      </w:r>
      <w:r>
        <w:rPr>
          <w:rFonts w:ascii="Times New Roman" w:hAnsi="Times New Roman" w:cs="Times New Roman"/>
          <w:color w:val="auto"/>
          <w:lang w:eastAsia="zh-CN"/>
        </w:rPr>
        <w:t>达到《城镇污水处理厂污染物排放标准》（GB18918-2002）中一级 A 标准后，排入三铺大沟，最终汇入淮河</w:t>
      </w:r>
      <w:r>
        <w:rPr>
          <w:rFonts w:ascii="Times New Roman" w:hAnsi="Times New Roman" w:cs="Times New Roman"/>
          <w:color w:val="auto"/>
          <w:szCs w:val="24"/>
          <w:lang w:eastAsia="zh-CN"/>
        </w:rPr>
        <w:t>。</w:t>
      </w:r>
      <w:r>
        <w:rPr>
          <w:rFonts w:ascii="Times New Roman" w:hAnsi="Times New Roman" w:cs="Times New Roman"/>
          <w:color w:val="auto"/>
          <w:lang w:eastAsia="zh-CN"/>
        </w:rPr>
        <w:t>项目实施对区域地表水环境造成的不利影响较小。</w:t>
      </w:r>
    </w:p>
    <w:p w14:paraId="19B39494">
      <w:pPr>
        <w:widowControl w:val="0"/>
        <w:adjustRightInd w:val="0"/>
        <w:snapToGrid w:val="0"/>
        <w:spacing w:line="360" w:lineRule="auto"/>
        <w:ind w:left="480"/>
        <w:jc w:val="both"/>
        <w:rPr>
          <w:rFonts w:ascii="Times New Roman" w:hAnsi="Times New Roman" w:cs="Times New Roman"/>
          <w:color w:val="auto"/>
          <w:lang w:eastAsia="zh-CN"/>
        </w:rPr>
      </w:pPr>
      <w:r>
        <w:rPr>
          <w:rFonts w:hint="eastAsia" w:ascii="Times New Roman" w:hAnsi="Times New Roman" w:cs="Times New Roman"/>
          <w:color w:val="auto"/>
          <w:lang w:eastAsia="zh-CN"/>
        </w:rPr>
        <w:t>3、</w:t>
      </w:r>
      <w:r>
        <w:rPr>
          <w:rFonts w:ascii="Times New Roman" w:hAnsi="Times New Roman" w:cs="Times New Roman"/>
          <w:color w:val="auto"/>
          <w:lang w:eastAsia="zh-CN"/>
        </w:rPr>
        <w:t>固体废物</w:t>
      </w:r>
    </w:p>
    <w:p w14:paraId="1957C038">
      <w:pPr>
        <w:widowControl w:val="0"/>
        <w:adjustRightInd w:val="0"/>
        <w:snapToGrid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szCs w:val="24"/>
          <w:lang w:eastAsia="zh-CN"/>
        </w:rPr>
        <w:t>本项目营运期产生固体废物主要有危险废物、一般固废和生活垃圾。危险废物主要为</w:t>
      </w:r>
      <w:r>
        <w:rPr>
          <w:rFonts w:hint="eastAsia" w:ascii="Times New Roman" w:hAnsi="Times New Roman" w:cs="Times New Roman"/>
          <w:color w:val="auto"/>
          <w:szCs w:val="24"/>
          <w:lang w:eastAsia="zh-CN"/>
        </w:rPr>
        <w:t>实验室</w:t>
      </w:r>
      <w:r>
        <w:rPr>
          <w:rFonts w:ascii="Times New Roman" w:hAnsi="Times New Roman" w:cs="Times New Roman"/>
          <w:color w:val="auto"/>
          <w:szCs w:val="24"/>
          <w:lang w:eastAsia="zh-CN"/>
        </w:rPr>
        <w:t>废液</w:t>
      </w:r>
      <w:r>
        <w:rPr>
          <w:rFonts w:hint="eastAsia" w:ascii="Times New Roman" w:hAnsi="Times New Roman" w:cs="Times New Roman"/>
          <w:color w:val="auto"/>
          <w:szCs w:val="24"/>
          <w:lang w:eastAsia="zh-CN"/>
        </w:rPr>
        <w:t>、废机油、</w:t>
      </w:r>
      <w:r>
        <w:rPr>
          <w:rFonts w:hint="eastAsia" w:ascii="Times New Roman" w:hAnsi="Times New Roman" w:cs="Times New Roman"/>
          <w:color w:val="auto"/>
          <w:szCs w:val="24"/>
          <w:lang w:val="en-US" w:eastAsia="zh-CN"/>
        </w:rPr>
        <w:t>废漆桶、</w:t>
      </w:r>
      <w:r>
        <w:rPr>
          <w:rFonts w:hint="eastAsia" w:ascii="Times New Roman" w:hAnsi="Times New Roman" w:cs="Times New Roman"/>
          <w:color w:val="auto"/>
          <w:szCs w:val="24"/>
          <w:lang w:eastAsia="zh-CN"/>
        </w:rPr>
        <w:t>废油桶</w:t>
      </w:r>
      <w:r>
        <w:rPr>
          <w:rFonts w:ascii="Times New Roman" w:hAnsi="Times New Roman" w:cs="Times New Roman"/>
          <w:color w:val="auto"/>
          <w:szCs w:val="24"/>
          <w:lang w:eastAsia="zh-CN"/>
        </w:rPr>
        <w:t>，暂存于项目危险废物暂存库中，定期交由有资质单位进行处置。一般固废</w:t>
      </w:r>
      <w:r>
        <w:rPr>
          <w:rFonts w:hint="eastAsia" w:ascii="Times New Roman" w:hAnsi="Times New Roman" w:cs="Times New Roman"/>
          <w:color w:val="auto"/>
          <w:szCs w:val="24"/>
          <w:lang w:eastAsia="zh-CN"/>
        </w:rPr>
        <w:t>污泥委托第三方单位</w:t>
      </w:r>
      <w:r>
        <w:rPr>
          <w:rFonts w:ascii="Times New Roman" w:hAnsi="Times New Roman" w:cs="Times New Roman"/>
          <w:color w:val="auto"/>
          <w:szCs w:val="24"/>
          <w:lang w:eastAsia="zh-CN"/>
        </w:rPr>
        <w:t>处理</w:t>
      </w:r>
      <w:r>
        <w:rPr>
          <w:rFonts w:ascii="Times New Roman" w:hAnsi="Times New Roman" w:cs="Times New Roman"/>
          <w:color w:val="auto"/>
          <w:lang w:eastAsia="zh-CN"/>
        </w:rPr>
        <w:t>。</w:t>
      </w:r>
    </w:p>
    <w:p w14:paraId="5675DEA3">
      <w:pPr>
        <w:widowControl w:val="0"/>
        <w:adjustRightInd w:val="0"/>
        <w:snapToGrid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4、声污染控制与治理</w:t>
      </w:r>
    </w:p>
    <w:p w14:paraId="02EAF932">
      <w:pPr>
        <w:widowControl w:val="0"/>
        <w:adjustRightInd w:val="0"/>
        <w:snapToGrid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建设项目选用低噪声设备，对高噪声设备采取降噪措施，在设备平面布置等方面合理布局，以减少高噪声源对厂界外环境的影响。</w:t>
      </w:r>
    </w:p>
    <w:p w14:paraId="0B66AECF">
      <w:pPr>
        <w:widowControl w:val="0"/>
        <w:adjustRightInd w:val="0"/>
        <w:snapToGrid w:val="0"/>
        <w:spacing w:line="360" w:lineRule="auto"/>
        <w:ind w:firstLine="482"/>
        <w:jc w:val="both"/>
        <w:outlineLvl w:val="2"/>
        <w:rPr>
          <w:rFonts w:ascii="Times New Roman" w:hAnsi="Times New Roman" w:cs="Times New Roman"/>
          <w:b/>
          <w:bCs/>
          <w:color w:val="auto"/>
          <w:lang w:eastAsia="zh-CN"/>
        </w:rPr>
      </w:pPr>
      <w:bookmarkStart w:id="1049" w:name="_Toc176513019"/>
      <w:bookmarkStart w:id="1050" w:name="_Toc204515211"/>
      <w:bookmarkStart w:id="1051" w:name="_Toc203927010"/>
      <w:bookmarkStart w:id="1052" w:name="_Toc225784067"/>
      <w:bookmarkStart w:id="1053" w:name="_Toc237508302"/>
      <w:bookmarkStart w:id="1054" w:name="_Toc133183076"/>
      <w:bookmarkStart w:id="1055" w:name="_Toc217662682"/>
      <w:bookmarkStart w:id="1056" w:name="_Toc236641320"/>
      <w:bookmarkStart w:id="1057" w:name="_Toc224674706"/>
      <w:bookmarkStart w:id="1058" w:name="_Toc133333622"/>
      <w:bookmarkStart w:id="1059" w:name="_Toc231828589"/>
      <w:bookmarkStart w:id="1060" w:name="_Toc173743392"/>
      <w:bookmarkStart w:id="1061" w:name="_Toc204448476"/>
      <w:bookmarkStart w:id="1062" w:name="_Toc221900849"/>
      <w:bookmarkStart w:id="1063" w:name="_Toc175164283"/>
      <w:bookmarkStart w:id="1064" w:name="_Toc218784292"/>
      <w:bookmarkStart w:id="1065" w:name="_Toc236641837"/>
      <w:bookmarkStart w:id="1066" w:name="_Toc178602359"/>
      <w:bookmarkStart w:id="1067" w:name="_Toc223425067"/>
      <w:bookmarkStart w:id="1068" w:name="_Toc173740288"/>
      <w:bookmarkStart w:id="1069" w:name="_Toc172555661"/>
      <w:r>
        <w:rPr>
          <w:rFonts w:ascii="Times New Roman" w:hAnsi="Times New Roman" w:cs="Times New Roman"/>
          <w:b/>
          <w:bCs/>
          <w:color w:val="auto"/>
          <w:lang w:eastAsia="zh-CN"/>
        </w:rPr>
        <w:t>4.</w:t>
      </w:r>
      <w:r>
        <w:rPr>
          <w:rFonts w:hint="eastAsia" w:ascii="Times New Roman" w:hAnsi="Times New Roman" w:cs="Times New Roman"/>
          <w:b/>
          <w:bCs/>
          <w:color w:val="auto"/>
          <w:lang w:eastAsia="zh-CN"/>
        </w:rPr>
        <w:t>5</w:t>
      </w:r>
      <w:r>
        <w:rPr>
          <w:rFonts w:ascii="Times New Roman" w:hAnsi="Times New Roman" w:cs="Times New Roman"/>
          <w:b/>
          <w:bCs/>
          <w:color w:val="auto"/>
          <w:lang w:eastAsia="zh-CN"/>
        </w:rPr>
        <w:t>.7 清洁生产管理体系建设</w:t>
      </w:r>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p>
    <w:p w14:paraId="7D4D0527">
      <w:pPr>
        <w:widowControl w:val="0"/>
        <w:adjustRightInd w:val="0"/>
        <w:snapToGrid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内部管理是企业提高生产效率和获得效益的根本。清洁生产实践证明：强化企业内部管理，量化各项管理指标可减少污染物产生量的30%左右。而且企业管理方面的改进方案，基本上都是易实施的无/低费方案，企业通过实施这些方案，可获得一定的经济与环境效益，为进一步实施其他的中/高费方案积累资金，从而提高企业实施清洁生产方案的积极性与主动性。本项目拟采用的企业管理清洁生产措施有：</w:t>
      </w:r>
    </w:p>
    <w:p w14:paraId="0ECBA4B8">
      <w:pPr>
        <w:widowControl w:val="0"/>
        <w:adjustRightInd w:val="0"/>
        <w:snapToGrid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1、建立明确的清洁生产职责机构，制定有关清洁生产的长期规划和规章制度，使清洁生产的运行和管理制度化、规范化。</w:t>
      </w:r>
    </w:p>
    <w:p w14:paraId="357ADF44">
      <w:pPr>
        <w:widowControl w:val="0"/>
        <w:adjustRightInd w:val="0"/>
        <w:snapToGrid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2、定期进行员工技术培训，提高员工素质，规范各项操作。</w:t>
      </w:r>
    </w:p>
    <w:p w14:paraId="45D404ED">
      <w:pPr>
        <w:widowControl w:val="0"/>
        <w:adjustRightInd w:val="0"/>
        <w:snapToGrid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3、严格控制工艺的操作条件，规范操作规程，加强岗位责任制，完善考核机制。</w:t>
      </w:r>
    </w:p>
    <w:p w14:paraId="71CDCE0A">
      <w:pPr>
        <w:widowControl w:val="0"/>
        <w:adjustRightInd w:val="0"/>
        <w:snapToGrid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4、有效地指挥调度生产，合理安排生产计划。</w:t>
      </w:r>
    </w:p>
    <w:p w14:paraId="7F663C95">
      <w:pPr>
        <w:widowControl w:val="0"/>
        <w:adjustRightInd w:val="0"/>
        <w:snapToGrid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5、加强原辅料进厂质量与贮存管理，减少杂损和腐蚀。</w:t>
      </w:r>
    </w:p>
    <w:p w14:paraId="102F1026">
      <w:pPr>
        <w:widowControl w:val="0"/>
        <w:adjustRightInd w:val="0"/>
        <w:snapToGrid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6、建立</w:t>
      </w:r>
      <w:r>
        <w:rPr>
          <w:rFonts w:hint="eastAsia" w:ascii="Times New Roman" w:hAnsi="Times New Roman" w:cs="Times New Roman"/>
          <w:color w:val="auto"/>
          <w:lang w:eastAsia="zh-CN"/>
        </w:rPr>
        <w:t>健全</w:t>
      </w:r>
      <w:r>
        <w:rPr>
          <w:rFonts w:ascii="Times New Roman" w:hAnsi="Times New Roman" w:cs="Times New Roman"/>
          <w:color w:val="auto"/>
          <w:lang w:eastAsia="zh-CN"/>
        </w:rPr>
        <w:t>设备维护、保养制度，杜绝跑、冒、滴、漏现象。</w:t>
      </w:r>
    </w:p>
    <w:p w14:paraId="788B4A8F">
      <w:pPr>
        <w:widowControl w:val="0"/>
        <w:adjustRightInd w:val="0"/>
        <w:snapToGrid w:val="0"/>
        <w:spacing w:line="360" w:lineRule="auto"/>
        <w:ind w:firstLine="482"/>
        <w:jc w:val="both"/>
        <w:outlineLvl w:val="2"/>
        <w:rPr>
          <w:rFonts w:ascii="Times New Roman" w:hAnsi="Times New Roman" w:cs="Times New Roman"/>
          <w:b/>
          <w:bCs/>
          <w:color w:val="auto"/>
          <w:lang w:eastAsia="zh-CN"/>
        </w:rPr>
      </w:pPr>
      <w:bookmarkStart w:id="1070" w:name="_Toc217662683"/>
      <w:bookmarkStart w:id="1071" w:name="_Toc204515212"/>
      <w:bookmarkStart w:id="1072" w:name="_Toc231828590"/>
      <w:bookmarkStart w:id="1073" w:name="_Toc175164284"/>
      <w:bookmarkStart w:id="1074" w:name="_Toc236641838"/>
      <w:bookmarkStart w:id="1075" w:name="_Toc172555662"/>
      <w:bookmarkStart w:id="1076" w:name="_Toc204448477"/>
      <w:bookmarkStart w:id="1077" w:name="_Toc176513020"/>
      <w:bookmarkStart w:id="1078" w:name="_Toc236641321"/>
      <w:bookmarkStart w:id="1079" w:name="_Toc218784293"/>
      <w:bookmarkStart w:id="1080" w:name="_Toc133183077"/>
      <w:bookmarkStart w:id="1081" w:name="_Toc237508303"/>
      <w:bookmarkStart w:id="1082" w:name="_Toc225784068"/>
      <w:bookmarkStart w:id="1083" w:name="_Toc173740289"/>
      <w:bookmarkStart w:id="1084" w:name="_Toc223425068"/>
      <w:bookmarkStart w:id="1085" w:name="_Toc178602360"/>
      <w:bookmarkStart w:id="1086" w:name="_Toc221900850"/>
      <w:bookmarkStart w:id="1087" w:name="_Toc224674707"/>
      <w:bookmarkStart w:id="1088" w:name="_Toc173743393"/>
      <w:bookmarkStart w:id="1089" w:name="_Toc133333623"/>
      <w:bookmarkStart w:id="1090" w:name="_Toc203927011"/>
      <w:r>
        <w:rPr>
          <w:rFonts w:ascii="Times New Roman" w:hAnsi="Times New Roman" w:cs="Times New Roman"/>
          <w:b/>
          <w:bCs/>
          <w:color w:val="auto"/>
          <w:lang w:eastAsia="zh-CN"/>
        </w:rPr>
        <w:t>4.</w:t>
      </w:r>
      <w:r>
        <w:rPr>
          <w:rFonts w:hint="eastAsia" w:ascii="Times New Roman" w:hAnsi="Times New Roman" w:cs="Times New Roman"/>
          <w:b/>
          <w:bCs/>
          <w:color w:val="auto"/>
          <w:lang w:eastAsia="zh-CN"/>
        </w:rPr>
        <w:t>5</w:t>
      </w:r>
      <w:r>
        <w:rPr>
          <w:rFonts w:ascii="Times New Roman" w:hAnsi="Times New Roman" w:cs="Times New Roman"/>
          <w:b/>
          <w:bCs/>
          <w:color w:val="auto"/>
          <w:lang w:eastAsia="zh-CN"/>
        </w:rPr>
        <w:t>.8 清洁生产结论</w:t>
      </w:r>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p>
    <w:p w14:paraId="12B8381A">
      <w:pPr>
        <w:widowControl w:val="0"/>
        <w:adjustRightInd w:val="0"/>
        <w:snapToGrid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综上所述，本项目符合国家和地方产业政策。产品生产工艺采用国内外较先进的生产工艺；采用较先进的生产设备；生产过程中原辅材料单耗指标较低；达到国内清洁生产先进水平，生产设计中体现了减量、再利用、循环原则，符合循环经济的要求。</w:t>
      </w:r>
    </w:p>
    <w:p w14:paraId="404D0381">
      <w:pPr>
        <w:spacing w:line="360" w:lineRule="auto"/>
        <w:ind w:firstLine="480"/>
        <w:rPr>
          <w:rFonts w:ascii="Times New Roman" w:hAnsi="Times New Roman" w:cs="Times New Roman"/>
          <w:color w:val="auto"/>
          <w:lang w:eastAsia="zh-CN"/>
        </w:rPr>
        <w:sectPr>
          <w:pgSz w:w="11906" w:h="16838"/>
          <w:pgMar w:top="1440" w:right="1080" w:bottom="1440" w:left="1080" w:header="851" w:footer="992" w:gutter="0"/>
          <w:cols w:space="720" w:num="1"/>
          <w:docGrid w:type="lines" w:linePitch="312" w:charSpace="0"/>
        </w:sectPr>
      </w:pPr>
    </w:p>
    <w:p w14:paraId="44CF40CA">
      <w:pPr>
        <w:spacing w:line="360" w:lineRule="auto"/>
        <w:jc w:val="center"/>
        <w:outlineLvl w:val="0"/>
        <w:rPr>
          <w:rFonts w:ascii="Times New Roman" w:hAnsi="Times New Roman" w:cs="Times New Roman"/>
          <w:b/>
          <w:bCs/>
          <w:color w:val="auto"/>
          <w:sz w:val="32"/>
          <w:szCs w:val="24"/>
          <w:lang w:eastAsia="zh-CN"/>
        </w:rPr>
      </w:pPr>
      <w:bookmarkStart w:id="1091" w:name="_Toc237508304"/>
      <w:r>
        <w:rPr>
          <w:rFonts w:ascii="Times New Roman" w:hAnsi="Times New Roman" w:cs="Times New Roman"/>
          <w:b/>
          <w:bCs/>
          <w:color w:val="auto"/>
          <w:sz w:val="32"/>
          <w:szCs w:val="24"/>
          <w:lang w:eastAsia="zh-CN"/>
        </w:rPr>
        <w:t>5  环境质量现状调查与评价</w:t>
      </w:r>
      <w:bookmarkEnd w:id="1091"/>
    </w:p>
    <w:p w14:paraId="5DF56CC8">
      <w:pPr>
        <w:spacing w:line="360" w:lineRule="auto"/>
        <w:ind w:firstLine="562"/>
        <w:rPr>
          <w:rFonts w:ascii="Times New Roman" w:hAnsi="Times New Roman" w:cs="Times New Roman"/>
          <w:b/>
          <w:bCs/>
          <w:color w:val="auto"/>
          <w:sz w:val="28"/>
          <w:szCs w:val="22"/>
          <w:lang w:eastAsia="zh-CN"/>
        </w:rPr>
      </w:pPr>
      <w:bookmarkStart w:id="1092" w:name="_Toc12672"/>
    </w:p>
    <w:p w14:paraId="2B5B27F9">
      <w:pPr>
        <w:widowControl w:val="0"/>
        <w:adjustRightInd w:val="0"/>
        <w:snapToGrid w:val="0"/>
        <w:spacing w:line="360" w:lineRule="auto"/>
        <w:ind w:firstLine="562" w:firstLineChars="200"/>
        <w:jc w:val="both"/>
        <w:outlineLvl w:val="1"/>
        <w:rPr>
          <w:rFonts w:ascii="Times New Roman" w:hAnsi="Times New Roman" w:cs="Times New Roman"/>
          <w:b/>
          <w:bCs/>
          <w:color w:val="auto"/>
          <w:sz w:val="28"/>
          <w:szCs w:val="22"/>
          <w:lang w:eastAsia="zh-CN"/>
        </w:rPr>
      </w:pPr>
      <w:bookmarkStart w:id="1093" w:name="_Toc237508305"/>
      <w:r>
        <w:rPr>
          <w:rFonts w:ascii="Times New Roman" w:hAnsi="Times New Roman" w:cs="Times New Roman"/>
          <w:b/>
          <w:bCs/>
          <w:color w:val="auto"/>
          <w:sz w:val="28"/>
          <w:szCs w:val="22"/>
          <w:lang w:eastAsia="zh-CN"/>
        </w:rPr>
        <w:t>5.1 区域环境概况调查</w:t>
      </w:r>
      <w:bookmarkEnd w:id="1092"/>
      <w:bookmarkEnd w:id="1093"/>
      <w:bookmarkStart w:id="1094" w:name="_Toc29797"/>
    </w:p>
    <w:p w14:paraId="631943D6">
      <w:pPr>
        <w:widowControl w:val="0"/>
        <w:adjustRightInd w:val="0"/>
        <w:snapToGrid w:val="0"/>
        <w:spacing w:line="360" w:lineRule="auto"/>
        <w:ind w:firstLine="482" w:firstLineChars="200"/>
        <w:jc w:val="both"/>
        <w:outlineLvl w:val="2"/>
        <w:rPr>
          <w:rFonts w:ascii="Times New Roman" w:hAnsi="Times New Roman" w:cs="Times New Roman"/>
          <w:b/>
          <w:bCs/>
          <w:color w:val="auto"/>
          <w:lang w:eastAsia="zh-CN"/>
        </w:rPr>
      </w:pPr>
      <w:bookmarkStart w:id="1095" w:name="_Toc172555665"/>
      <w:bookmarkStart w:id="1096" w:name="_Toc178602363"/>
      <w:bookmarkStart w:id="1097" w:name="_Toc173743396"/>
      <w:bookmarkStart w:id="1098" w:name="_Toc236641841"/>
      <w:bookmarkStart w:id="1099" w:name="_Toc217662686"/>
      <w:bookmarkStart w:id="1100" w:name="_Toc204448481"/>
      <w:bookmarkStart w:id="1101" w:name="_Toc224674710"/>
      <w:bookmarkStart w:id="1102" w:name="_Toc221900853"/>
      <w:bookmarkStart w:id="1103" w:name="_Toc218784296"/>
      <w:bookmarkStart w:id="1104" w:name="_Toc203927015"/>
      <w:bookmarkStart w:id="1105" w:name="_Toc236641324"/>
      <w:bookmarkStart w:id="1106" w:name="_Toc231828593"/>
      <w:bookmarkStart w:id="1107" w:name="_Toc225784071"/>
      <w:bookmarkStart w:id="1108" w:name="_Toc204515216"/>
      <w:bookmarkStart w:id="1109" w:name="_Toc237508306"/>
      <w:bookmarkStart w:id="1110" w:name="_Toc176513023"/>
      <w:bookmarkStart w:id="1111" w:name="_Toc175164287"/>
      <w:bookmarkStart w:id="1112" w:name="_Toc173740292"/>
      <w:bookmarkStart w:id="1113" w:name="_Toc223425071"/>
      <w:r>
        <w:rPr>
          <w:rFonts w:ascii="Times New Roman" w:hAnsi="Times New Roman" w:cs="Times New Roman"/>
          <w:b/>
          <w:bCs/>
          <w:color w:val="auto"/>
          <w:lang w:eastAsia="zh-CN"/>
        </w:rPr>
        <w:t>5.1.1</w:t>
      </w:r>
      <w:bookmarkEnd w:id="1094"/>
      <w:bookmarkEnd w:id="1095"/>
      <w:r>
        <w:rPr>
          <w:rFonts w:ascii="Times New Roman" w:hAnsi="Times New Roman" w:cs="Times New Roman"/>
          <w:b/>
          <w:bCs/>
          <w:color w:val="auto"/>
          <w:lang w:eastAsia="zh-CN"/>
        </w:rPr>
        <w:t xml:space="preserve"> 地理位置</w:t>
      </w:r>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p>
    <w:p w14:paraId="5B4C546A">
      <w:pPr>
        <w:widowControl w:val="0"/>
        <w:adjustRightInd w:val="0"/>
        <w:snapToGrid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 xml:space="preserve">蚌埠市处于安徽省北部，津浦线与淮河交汇处，位于东经11711′至117o31′，北纬32o49′至 33o01′，东西长32.3公里，南北宽23.5公里，市区面积455.4平方公里，城市北为市辖怀远县，东北为市辖五河县，东部和南部为滁县地区凤阳县，西部为市辖怀远县，总面积5952平方公里。淮河干流自西向东贯通城区，其北岸为54.56平方公里，南岸为360.84平方公里。蚌埠因曾盛产珠而得名，被誉为 “淮上明珠”，素有“珍珠城”的誉称。 </w:t>
      </w:r>
    </w:p>
    <w:p w14:paraId="1A4F4106">
      <w:pPr>
        <w:widowControl w:val="0"/>
        <w:adjustRightInd w:val="0"/>
        <w:snapToGrid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项目厂址位于淮上区蚌埠精细化工高新技术产业基地，淮上区位于蚌埠市区北部、淮河以北，东与固镇县的王庄镇接壤，北与固镇县的新马桥镇毗邻，西与怀远县魏庄镇和五岔镇相连，南以淮河为界，与龙子湖区、蚌山区、禹会区隔河相望。</w:t>
      </w:r>
    </w:p>
    <w:p w14:paraId="24EA2DC0">
      <w:pPr>
        <w:widowControl w:val="0"/>
        <w:adjustRightInd w:val="0"/>
        <w:snapToGrid w:val="0"/>
        <w:spacing w:line="360" w:lineRule="auto"/>
        <w:ind w:firstLine="482" w:firstLineChars="200"/>
        <w:jc w:val="both"/>
        <w:outlineLvl w:val="2"/>
        <w:rPr>
          <w:rFonts w:ascii="Times New Roman" w:hAnsi="Times New Roman" w:cs="Times New Roman"/>
          <w:b/>
          <w:bCs/>
          <w:color w:val="auto"/>
          <w:lang w:eastAsia="zh-CN"/>
        </w:rPr>
      </w:pPr>
      <w:bookmarkStart w:id="1114" w:name="_Toc236641842"/>
      <w:bookmarkStart w:id="1115" w:name="_Toc237508307"/>
      <w:bookmarkStart w:id="1116" w:name="_Toc236641325"/>
      <w:bookmarkStart w:id="1117" w:name="_Toc231828594"/>
      <w:bookmarkStart w:id="1118" w:name="_Toc9369"/>
      <w:r>
        <w:rPr>
          <w:rFonts w:ascii="Times New Roman" w:hAnsi="Times New Roman" w:cs="Times New Roman"/>
          <w:b/>
          <w:bCs/>
          <w:color w:val="auto"/>
          <w:lang w:eastAsia="zh-CN"/>
        </w:rPr>
        <w:t>5.1.</w:t>
      </w:r>
      <w:r>
        <w:rPr>
          <w:rFonts w:hint="eastAsia" w:ascii="Times New Roman" w:hAnsi="Times New Roman" w:cs="Times New Roman"/>
          <w:b/>
          <w:bCs/>
          <w:color w:val="auto"/>
          <w:lang w:eastAsia="zh-CN"/>
        </w:rPr>
        <w:t>2</w:t>
      </w:r>
      <w:r>
        <w:rPr>
          <w:rFonts w:ascii="Times New Roman" w:hAnsi="Times New Roman" w:cs="Times New Roman"/>
          <w:b/>
          <w:bCs/>
          <w:color w:val="auto"/>
          <w:lang w:eastAsia="zh-CN"/>
        </w:rPr>
        <w:t xml:space="preserve"> </w:t>
      </w:r>
      <w:r>
        <w:rPr>
          <w:rFonts w:hint="eastAsia" w:ascii="Times New Roman" w:hAnsi="Times New Roman" w:cs="Times New Roman"/>
          <w:b/>
          <w:bCs/>
          <w:color w:val="auto"/>
          <w:lang w:eastAsia="zh-CN"/>
        </w:rPr>
        <w:t>地貌特征</w:t>
      </w:r>
      <w:bookmarkEnd w:id="1114"/>
      <w:bookmarkEnd w:id="1115"/>
      <w:bookmarkEnd w:id="1116"/>
      <w:bookmarkEnd w:id="1117"/>
    </w:p>
    <w:p w14:paraId="207080C5">
      <w:pPr>
        <w:widowControl w:val="0"/>
        <w:adjustRightInd w:val="0"/>
        <w:snapToGrid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蚌埠市位于安徽省北部，北纬32°43′至33°30′，东经116°45′至118°04′，北与宿州市、濉溪县、灵璧县、泗县接壤，南与淮南市、凤阳县相连，东与明光市和江苏省泗洪县毗邻，西与蒙城县、凤台县搭界。津浦铁路从境区中部纵贯南北，淮河自西向东流过境南，辖区大部分处于淮北平原南端。蚌埠市区位于北纬33°01′至32°49′，东经117°31′至117°11′，北部与固镇县、五河县交界，东部、南部与凤阳县毗邻，西部与怀远县相连。</w:t>
      </w:r>
    </w:p>
    <w:p w14:paraId="1708D751">
      <w:pPr>
        <w:widowControl w:val="0"/>
        <w:adjustRightInd w:val="0"/>
        <w:snapToGrid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全市地形以平原为主，山丘相对集中，河沟纵横，湖泊散落。淮河以北为平原地区，约占全市面积的86%。地势呈西北高东南低，西部最高地面高程在涡芡之间西部为24米，最低地面高程在老潼河附近为14米，东西高差10米；北部沱浍之间任桥附近最高地面高程为22.0米，南部北淝河下游地面高程最低为14米，南北高差8米。淮河以南地形为有湖洼间隔的不连续山丘高地，约占全市面积的14%。蚌埠地处江淮腹地丘陵地区，由西向东的江淮分水岭贯穿该市，形成低缓的鱼背形地势。</w:t>
      </w:r>
    </w:p>
    <w:p w14:paraId="42BBA8AF">
      <w:pPr>
        <w:widowControl w:val="0"/>
        <w:adjustRightInd w:val="0"/>
        <w:snapToGrid w:val="0"/>
        <w:spacing w:line="360" w:lineRule="auto"/>
        <w:ind w:firstLine="482" w:firstLineChars="200"/>
        <w:jc w:val="both"/>
        <w:outlineLvl w:val="2"/>
        <w:rPr>
          <w:rFonts w:ascii="Times New Roman" w:hAnsi="Times New Roman" w:cs="Times New Roman"/>
          <w:b/>
          <w:bCs/>
          <w:color w:val="auto"/>
          <w:lang w:eastAsia="zh-CN"/>
        </w:rPr>
      </w:pPr>
      <w:bookmarkStart w:id="1119" w:name="_Toc236641843"/>
      <w:bookmarkStart w:id="1120" w:name="_Toc231828595"/>
      <w:bookmarkStart w:id="1121" w:name="_Toc237508308"/>
      <w:bookmarkStart w:id="1122" w:name="_Toc236641326"/>
      <w:r>
        <w:rPr>
          <w:rFonts w:ascii="Times New Roman" w:hAnsi="Times New Roman" w:cs="Times New Roman"/>
          <w:b/>
          <w:bCs/>
          <w:color w:val="auto"/>
          <w:lang w:eastAsia="zh-CN"/>
        </w:rPr>
        <w:t>5.1.</w:t>
      </w:r>
      <w:r>
        <w:rPr>
          <w:rFonts w:hint="eastAsia" w:ascii="Times New Roman" w:hAnsi="Times New Roman" w:cs="Times New Roman"/>
          <w:b/>
          <w:bCs/>
          <w:color w:val="auto"/>
          <w:lang w:eastAsia="zh-CN"/>
        </w:rPr>
        <w:t>3</w:t>
      </w:r>
      <w:r>
        <w:rPr>
          <w:rFonts w:ascii="Times New Roman" w:hAnsi="Times New Roman" w:cs="Times New Roman"/>
          <w:b/>
          <w:bCs/>
          <w:color w:val="auto"/>
          <w:lang w:eastAsia="zh-CN"/>
        </w:rPr>
        <w:t xml:space="preserve"> </w:t>
      </w:r>
      <w:r>
        <w:rPr>
          <w:rFonts w:hint="eastAsia" w:ascii="Times New Roman" w:hAnsi="Times New Roman" w:cs="Times New Roman"/>
          <w:b/>
          <w:bCs/>
          <w:color w:val="auto"/>
          <w:lang w:eastAsia="zh-CN"/>
        </w:rPr>
        <w:t>气候气象</w:t>
      </w:r>
      <w:bookmarkEnd w:id="1119"/>
      <w:bookmarkEnd w:id="1120"/>
      <w:bookmarkEnd w:id="1121"/>
      <w:bookmarkEnd w:id="1122"/>
    </w:p>
    <w:bookmarkEnd w:id="1118"/>
    <w:p w14:paraId="299F1157">
      <w:pPr>
        <w:widowControl w:val="0"/>
        <w:adjustRightInd w:val="0"/>
        <w:snapToGrid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沫河口镇处于北亚热带湿润季风气候区和北温带季风气候区的过渡带，季风显著，气候温和，四季分明，光照充足，雨量适中，无霜期在212 天左右。</w:t>
      </w:r>
    </w:p>
    <w:p w14:paraId="566902BB">
      <w:pPr>
        <w:widowControl w:val="0"/>
        <w:adjustRightInd w:val="0"/>
        <w:snapToGrid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气温：历年平均气温16.1℃，极端最高气温40℃，极地最低气温</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19.0℃，最冷月平均气温1℃，最热月平均气温28℃。</w:t>
      </w:r>
    </w:p>
    <w:p w14:paraId="159AAEC1">
      <w:pPr>
        <w:widowControl w:val="0"/>
        <w:adjustRightInd w:val="0"/>
        <w:snapToGrid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降水：历年平均降雨量905.4mm，月最大降雨量216.9mm，平均降雨天数为105 天。雨量较为集中，冬季降雨量较少，大部分雨量集中在夏秋两季。风向风速：全年主导风向位NE，频率为12%。历年平均风速2.</w:t>
      </w:r>
      <w:r>
        <w:rPr>
          <w:rFonts w:hint="eastAsia" w:ascii="Times New Roman" w:hAnsi="Times New Roman" w:cs="Times New Roman"/>
          <w:color w:val="auto"/>
          <w:szCs w:val="24"/>
          <w:lang w:eastAsia="zh-CN"/>
        </w:rPr>
        <w:t>4</w:t>
      </w:r>
      <w:r>
        <w:rPr>
          <w:rFonts w:ascii="Times New Roman" w:hAnsi="Times New Roman" w:cs="Times New Roman"/>
          <w:color w:val="auto"/>
          <w:szCs w:val="24"/>
          <w:lang w:eastAsia="zh-CN"/>
        </w:rPr>
        <w:t>m/s，最大风速19.5m/s。</w:t>
      </w:r>
    </w:p>
    <w:p w14:paraId="0D9DB018">
      <w:pPr>
        <w:widowControl w:val="0"/>
        <w:adjustRightInd w:val="0"/>
        <w:snapToGrid w:val="0"/>
        <w:spacing w:line="360" w:lineRule="auto"/>
        <w:ind w:firstLine="482" w:firstLineChars="200"/>
        <w:jc w:val="both"/>
        <w:outlineLvl w:val="2"/>
        <w:rPr>
          <w:rFonts w:ascii="Times New Roman" w:hAnsi="Times New Roman" w:cs="Times New Roman"/>
          <w:b/>
          <w:bCs/>
          <w:color w:val="auto"/>
          <w:lang w:eastAsia="zh-CN"/>
        </w:rPr>
      </w:pPr>
      <w:bookmarkStart w:id="1123" w:name="_Toc231828596"/>
      <w:bookmarkStart w:id="1124" w:name="_Toc236641844"/>
      <w:bookmarkStart w:id="1125" w:name="_Toc237508309"/>
      <w:bookmarkStart w:id="1126" w:name="_Toc236641327"/>
      <w:r>
        <w:rPr>
          <w:rFonts w:ascii="Times New Roman" w:hAnsi="Times New Roman" w:cs="Times New Roman"/>
          <w:b/>
          <w:bCs/>
          <w:color w:val="auto"/>
          <w:lang w:eastAsia="zh-CN"/>
        </w:rPr>
        <w:t>5.1.</w:t>
      </w:r>
      <w:r>
        <w:rPr>
          <w:rFonts w:hint="eastAsia" w:ascii="Times New Roman" w:hAnsi="Times New Roman" w:cs="Times New Roman"/>
          <w:b/>
          <w:bCs/>
          <w:color w:val="auto"/>
          <w:lang w:eastAsia="zh-CN"/>
        </w:rPr>
        <w:t>4 地表水系</w:t>
      </w:r>
      <w:bookmarkEnd w:id="1123"/>
      <w:bookmarkEnd w:id="1124"/>
      <w:bookmarkEnd w:id="1125"/>
      <w:bookmarkEnd w:id="1126"/>
    </w:p>
    <w:p w14:paraId="257C48B9">
      <w:pPr>
        <w:widowControl w:val="0"/>
        <w:adjustRightInd w:val="0"/>
        <w:snapToGrid w:val="0"/>
        <w:spacing w:line="360" w:lineRule="auto"/>
        <w:ind w:firstLine="480" w:firstLineChars="200"/>
        <w:jc w:val="both"/>
        <w:rPr>
          <w:rFonts w:ascii="Times New Roman" w:hAnsi="Times New Roman" w:cs="Times New Roman"/>
          <w:color w:val="auto"/>
          <w:szCs w:val="24"/>
          <w:lang w:eastAsia="zh-CN" w:bidi="ar"/>
        </w:rPr>
      </w:pPr>
      <w:bookmarkStart w:id="1127" w:name="_Toc13472"/>
      <w:r>
        <w:rPr>
          <w:rFonts w:ascii="Times New Roman" w:hAnsi="Times New Roman" w:cs="Times New Roman"/>
          <w:color w:val="auto"/>
          <w:szCs w:val="24"/>
          <w:lang w:eastAsia="zh-CN" w:bidi="ar"/>
        </w:rPr>
        <w:t>境内地表水以淮河、北淝河和怀洪新河为主。沫河口镇其它小型河沟有三铺大沟、淮浍大沟、沫冲引河等。小型水道河道短，支流量小，干旱年份常出现断流。</w:t>
      </w:r>
    </w:p>
    <w:p w14:paraId="2BFEA53E">
      <w:pPr>
        <w:widowControl w:val="0"/>
        <w:adjustRightInd w:val="0"/>
        <w:snapToGrid w:val="0"/>
        <w:spacing w:line="360" w:lineRule="auto"/>
        <w:ind w:left="480"/>
        <w:jc w:val="both"/>
        <w:rPr>
          <w:rFonts w:ascii="Times New Roman" w:hAnsi="Times New Roman" w:cs="Times New Roman"/>
          <w:color w:val="auto"/>
          <w:szCs w:val="24"/>
          <w:lang w:eastAsia="zh-CN" w:bidi="ar"/>
        </w:rPr>
      </w:pPr>
      <w:r>
        <w:rPr>
          <w:rFonts w:hint="eastAsia" w:ascii="Times New Roman" w:hAnsi="Times New Roman" w:cs="Times New Roman"/>
          <w:color w:val="auto"/>
          <w:szCs w:val="24"/>
          <w:lang w:eastAsia="zh-CN" w:bidi="ar"/>
        </w:rPr>
        <w:t>（1）</w:t>
      </w:r>
      <w:r>
        <w:rPr>
          <w:rFonts w:ascii="Times New Roman" w:hAnsi="Times New Roman" w:cs="Times New Roman"/>
          <w:color w:val="auto"/>
          <w:szCs w:val="24"/>
          <w:lang w:eastAsia="zh-CN" w:bidi="ar"/>
        </w:rPr>
        <w:t xml:space="preserve">淮河 </w:t>
      </w:r>
    </w:p>
    <w:p w14:paraId="631612AA">
      <w:pPr>
        <w:widowControl w:val="0"/>
        <w:adjustRightInd w:val="0"/>
        <w:snapToGrid w:val="0"/>
        <w:spacing w:line="360" w:lineRule="auto"/>
        <w:ind w:firstLine="480" w:firstLineChars="200"/>
        <w:jc w:val="both"/>
        <w:rPr>
          <w:rFonts w:ascii="Times New Roman" w:hAnsi="Times New Roman" w:cs="Times New Roman"/>
          <w:color w:val="auto"/>
          <w:szCs w:val="24"/>
          <w:lang w:eastAsia="zh-CN" w:bidi="ar"/>
        </w:rPr>
      </w:pPr>
      <w:r>
        <w:rPr>
          <w:rFonts w:ascii="Times New Roman" w:hAnsi="Times New Roman" w:cs="Times New Roman"/>
          <w:color w:val="auto"/>
          <w:szCs w:val="24"/>
          <w:lang w:eastAsia="zh-CN" w:bidi="ar"/>
        </w:rPr>
        <w:t xml:space="preserve">淮河干流源于河南省桐柏山北麓，流经豫、皖至江苏扬州三江营入长江，全长 1000 公里，总落差196米，流域面积18.9万平方公里。豫皖两省交界的洪河口以上为上游，长360公里，流域面积3万平方公里，比降0.5‰；洪河口至洪泽湖出口处的三河闸为中游，长490公里，流域面积16万平方公里；洪泽湖以下为下游，面积3万平方公里，入江水道长150公里。淮河于蚌埠以下由邵家大路流入五河县，至东卡子以东流出五河县境，长度为83.2km，是横贯县境东西主要河流，五河段最高水位面积6.5万亩，正常河槽水位面积4.1万亩。 </w:t>
      </w:r>
    </w:p>
    <w:p w14:paraId="60D6E71C">
      <w:pPr>
        <w:widowControl w:val="0"/>
        <w:adjustRightInd w:val="0"/>
        <w:snapToGrid w:val="0"/>
        <w:spacing w:line="360" w:lineRule="auto"/>
        <w:ind w:firstLine="480" w:firstLineChars="200"/>
        <w:jc w:val="both"/>
        <w:rPr>
          <w:rFonts w:ascii="Times New Roman" w:hAnsi="Times New Roman" w:cs="Times New Roman"/>
          <w:color w:val="auto"/>
          <w:szCs w:val="24"/>
          <w:lang w:eastAsia="zh-CN" w:bidi="ar"/>
        </w:rPr>
      </w:pPr>
      <w:r>
        <w:rPr>
          <w:rFonts w:ascii="Times New Roman" w:hAnsi="Times New Roman" w:cs="Times New Roman"/>
          <w:color w:val="auto"/>
          <w:szCs w:val="24"/>
          <w:lang w:eastAsia="zh-CN" w:bidi="ar"/>
        </w:rPr>
        <w:t>淮河蚌埠段长度147公里，河道纵比降为2.9×10</w:t>
      </w:r>
      <w:r>
        <w:rPr>
          <w:rFonts w:ascii="Times New Roman" w:hAnsi="Times New Roman" w:cs="Times New Roman"/>
          <w:color w:val="auto"/>
          <w:szCs w:val="24"/>
          <w:vertAlign w:val="superscript"/>
          <w:lang w:eastAsia="zh-CN" w:bidi="ar"/>
        </w:rPr>
        <w:t>-5</w:t>
      </w:r>
      <w:r>
        <w:rPr>
          <w:rFonts w:ascii="Times New Roman" w:hAnsi="Times New Roman" w:cs="Times New Roman"/>
          <w:color w:val="auto"/>
          <w:szCs w:val="24"/>
          <w:lang w:eastAsia="zh-CN" w:bidi="ar"/>
        </w:rPr>
        <w:t>市区河段上游建有蚌埠闸、船闸及分洪道，蚌埠闸蓄水位17.5米，死水位15.5米。据统计，蚌埠闸自1961年投入运行26年间，连续关闸在两个月以上的有5次，三个月以上的有4次，平均年关闸天数为135天。淮河蚌埠段(吴家渡水文断面)多年平均流量约852m</w:t>
      </w:r>
      <w:r>
        <w:rPr>
          <w:rFonts w:ascii="Times New Roman" w:hAnsi="Times New Roman" w:cs="Times New Roman"/>
          <w:color w:val="auto"/>
          <w:szCs w:val="24"/>
          <w:vertAlign w:val="superscript"/>
          <w:lang w:eastAsia="zh-CN" w:bidi="ar"/>
        </w:rPr>
        <w:t>3</w:t>
      </w:r>
      <w:r>
        <w:rPr>
          <w:rFonts w:ascii="Times New Roman" w:hAnsi="Times New Roman" w:cs="Times New Roman"/>
          <w:color w:val="auto"/>
          <w:szCs w:val="24"/>
          <w:lang w:eastAsia="zh-CN" w:bidi="ar"/>
        </w:rPr>
        <w:t xml:space="preserve"> /s，最大年平均流量2940m</w:t>
      </w:r>
      <w:r>
        <w:rPr>
          <w:rFonts w:ascii="Times New Roman" w:hAnsi="Times New Roman" w:cs="Times New Roman"/>
          <w:color w:val="auto"/>
          <w:szCs w:val="24"/>
          <w:vertAlign w:val="superscript"/>
          <w:lang w:eastAsia="zh-CN" w:bidi="ar"/>
        </w:rPr>
        <w:t xml:space="preserve">3 </w:t>
      </w:r>
      <w:r>
        <w:rPr>
          <w:rFonts w:ascii="Times New Roman" w:hAnsi="Times New Roman" w:cs="Times New Roman"/>
          <w:color w:val="auto"/>
          <w:szCs w:val="24"/>
          <w:lang w:eastAsia="zh-CN" w:bidi="ar"/>
        </w:rPr>
        <w:t>/s，最小年平均流量 85.2m</w:t>
      </w:r>
      <w:r>
        <w:rPr>
          <w:rFonts w:ascii="Times New Roman" w:hAnsi="Times New Roman" w:cs="Times New Roman"/>
          <w:color w:val="auto"/>
          <w:szCs w:val="24"/>
          <w:vertAlign w:val="superscript"/>
          <w:lang w:eastAsia="zh-CN" w:bidi="ar"/>
        </w:rPr>
        <w:t>3</w:t>
      </w:r>
      <w:r>
        <w:rPr>
          <w:rFonts w:ascii="Times New Roman" w:hAnsi="Times New Roman" w:cs="Times New Roman"/>
          <w:color w:val="auto"/>
          <w:szCs w:val="24"/>
          <w:lang w:eastAsia="zh-CN" w:bidi="ar"/>
        </w:rPr>
        <w:t xml:space="preserve"> /s，最大洪峰流量11600m</w:t>
      </w:r>
      <w:r>
        <w:rPr>
          <w:rFonts w:ascii="Times New Roman" w:hAnsi="Times New Roman" w:cs="Times New Roman"/>
          <w:color w:val="auto"/>
          <w:szCs w:val="24"/>
          <w:vertAlign w:val="superscript"/>
          <w:lang w:eastAsia="zh-CN" w:bidi="ar"/>
        </w:rPr>
        <w:t>3</w:t>
      </w:r>
      <w:r>
        <w:rPr>
          <w:rFonts w:ascii="Times New Roman" w:hAnsi="Times New Roman" w:cs="Times New Roman"/>
          <w:color w:val="auto"/>
          <w:szCs w:val="24"/>
          <w:lang w:eastAsia="zh-CN" w:bidi="ar"/>
        </w:rPr>
        <w:t xml:space="preserve"> /s，最小流量以关闸时渗漏量和船闸泄水量计为12.5m</w:t>
      </w:r>
      <w:r>
        <w:rPr>
          <w:rFonts w:ascii="Times New Roman" w:hAnsi="Times New Roman" w:cs="Times New Roman"/>
          <w:color w:val="auto"/>
          <w:szCs w:val="24"/>
          <w:vertAlign w:val="superscript"/>
          <w:lang w:eastAsia="zh-CN" w:bidi="ar"/>
        </w:rPr>
        <w:t>3</w:t>
      </w:r>
      <w:r>
        <w:rPr>
          <w:rFonts w:ascii="Times New Roman" w:hAnsi="Times New Roman" w:cs="Times New Roman"/>
          <w:color w:val="auto"/>
          <w:szCs w:val="24"/>
          <w:lang w:eastAsia="zh-CN" w:bidi="ar"/>
        </w:rPr>
        <w:t xml:space="preserve"> /s，流速一般在 0.07~0.7m/s，平均流速为0.45m/s左右，历年最高水位22.18m，最低水位10.35m，平均水位 12.15m，正常水位下河宽约400m。 </w:t>
      </w:r>
    </w:p>
    <w:p w14:paraId="2F6D17D5">
      <w:pPr>
        <w:widowControl w:val="0"/>
        <w:adjustRightInd w:val="0"/>
        <w:snapToGrid w:val="0"/>
        <w:spacing w:line="360" w:lineRule="auto"/>
        <w:ind w:left="480"/>
        <w:jc w:val="both"/>
        <w:rPr>
          <w:rFonts w:ascii="Times New Roman" w:hAnsi="Times New Roman" w:cs="Times New Roman"/>
          <w:color w:val="auto"/>
          <w:szCs w:val="24"/>
          <w:lang w:eastAsia="zh-CN" w:bidi="ar"/>
        </w:rPr>
      </w:pPr>
      <w:r>
        <w:rPr>
          <w:rFonts w:hint="eastAsia" w:ascii="Times New Roman" w:hAnsi="Times New Roman" w:cs="Times New Roman"/>
          <w:color w:val="auto"/>
          <w:szCs w:val="24"/>
          <w:lang w:eastAsia="zh-CN" w:bidi="ar"/>
        </w:rPr>
        <w:t>（2）</w:t>
      </w:r>
      <w:r>
        <w:rPr>
          <w:rFonts w:ascii="Times New Roman" w:hAnsi="Times New Roman" w:cs="Times New Roman"/>
          <w:color w:val="auto"/>
          <w:szCs w:val="24"/>
          <w:lang w:eastAsia="zh-CN" w:bidi="ar"/>
        </w:rPr>
        <w:t xml:space="preserve">北淝河 </w:t>
      </w:r>
    </w:p>
    <w:p w14:paraId="0738071F">
      <w:pPr>
        <w:widowControl w:val="0"/>
        <w:adjustRightInd w:val="0"/>
        <w:snapToGrid w:val="0"/>
        <w:spacing w:line="360" w:lineRule="auto"/>
        <w:ind w:firstLine="480" w:firstLineChars="200"/>
        <w:jc w:val="both"/>
        <w:rPr>
          <w:rFonts w:ascii="Times New Roman" w:hAnsi="Times New Roman" w:cs="Times New Roman"/>
          <w:color w:val="auto"/>
          <w:szCs w:val="24"/>
          <w:lang w:eastAsia="zh-CN" w:bidi="ar"/>
        </w:rPr>
      </w:pPr>
      <w:r>
        <w:rPr>
          <w:rFonts w:ascii="Times New Roman" w:hAnsi="Times New Roman" w:cs="Times New Roman"/>
          <w:color w:val="auto"/>
          <w:szCs w:val="24"/>
          <w:lang w:eastAsia="zh-CN" w:bidi="ar"/>
        </w:rPr>
        <w:t xml:space="preserve">北淝河：源出河南商丘，流经蒙城，与瓦埠集进入县境，流域面积1047平方公里，河面宽而水浅。 </w:t>
      </w:r>
    </w:p>
    <w:p w14:paraId="0B75E158">
      <w:pPr>
        <w:widowControl w:val="0"/>
        <w:adjustRightInd w:val="0"/>
        <w:snapToGrid w:val="0"/>
        <w:spacing w:line="360" w:lineRule="auto"/>
        <w:ind w:left="480"/>
        <w:jc w:val="both"/>
        <w:rPr>
          <w:rFonts w:ascii="Times New Roman" w:hAnsi="Times New Roman" w:cs="Times New Roman"/>
          <w:color w:val="auto"/>
          <w:szCs w:val="24"/>
          <w:lang w:eastAsia="zh-CN" w:bidi="ar"/>
        </w:rPr>
      </w:pPr>
      <w:r>
        <w:rPr>
          <w:rFonts w:hint="eastAsia" w:ascii="Times New Roman" w:hAnsi="Times New Roman" w:cs="Times New Roman"/>
          <w:color w:val="auto"/>
          <w:szCs w:val="24"/>
          <w:lang w:eastAsia="zh-CN" w:bidi="ar"/>
        </w:rPr>
        <w:t>（3）</w:t>
      </w:r>
      <w:r>
        <w:rPr>
          <w:rFonts w:ascii="Times New Roman" w:hAnsi="Times New Roman" w:cs="Times New Roman"/>
          <w:color w:val="auto"/>
          <w:szCs w:val="24"/>
          <w:lang w:eastAsia="zh-CN" w:bidi="ar"/>
        </w:rPr>
        <w:t xml:space="preserve">怀洪新河 </w:t>
      </w:r>
    </w:p>
    <w:p w14:paraId="44529F78">
      <w:pPr>
        <w:widowControl w:val="0"/>
        <w:adjustRightInd w:val="0"/>
        <w:snapToGrid w:val="0"/>
        <w:spacing w:line="360" w:lineRule="auto"/>
        <w:ind w:firstLine="480" w:firstLineChars="200"/>
        <w:jc w:val="both"/>
        <w:rPr>
          <w:rFonts w:ascii="Times New Roman" w:hAnsi="Times New Roman" w:cs="Times New Roman"/>
          <w:color w:val="auto"/>
          <w:szCs w:val="24"/>
          <w:lang w:eastAsia="zh-CN" w:bidi="ar"/>
        </w:rPr>
      </w:pPr>
      <w:r>
        <w:rPr>
          <w:rFonts w:ascii="Times New Roman" w:hAnsi="Times New Roman" w:cs="Times New Roman"/>
          <w:color w:val="auto"/>
          <w:szCs w:val="24"/>
          <w:lang w:eastAsia="zh-CN" w:bidi="ar"/>
        </w:rPr>
        <w:t>怀洪新河：人工河道。91年大水以后，开始实施的安徽省重点防汛工程。自涡河何巷在孙巷过北淝河，后入澥河，再经浍河，最后在江苏泗洪县入洪泽湖。怀远县境内长约25公里。其主要作用是分担淮河蚌埠段洪水流量。</w:t>
      </w:r>
    </w:p>
    <w:p w14:paraId="284C24A8">
      <w:pPr>
        <w:widowControl w:val="0"/>
        <w:adjustRightInd w:val="0"/>
        <w:snapToGrid w:val="0"/>
        <w:spacing w:line="360" w:lineRule="auto"/>
        <w:ind w:firstLine="482" w:firstLineChars="200"/>
        <w:jc w:val="both"/>
        <w:outlineLvl w:val="2"/>
        <w:rPr>
          <w:rFonts w:ascii="Times New Roman" w:hAnsi="Times New Roman" w:cs="Times New Roman"/>
          <w:b/>
          <w:bCs/>
          <w:color w:val="auto"/>
          <w:lang w:eastAsia="zh-CN"/>
        </w:rPr>
      </w:pPr>
      <w:bookmarkStart w:id="1128" w:name="_Toc237508310"/>
      <w:bookmarkStart w:id="1129" w:name="_Toc231828597"/>
      <w:bookmarkStart w:id="1130" w:name="_Toc236641328"/>
      <w:bookmarkStart w:id="1131" w:name="_Toc236641845"/>
      <w:r>
        <w:rPr>
          <w:rFonts w:ascii="Times New Roman" w:hAnsi="Times New Roman" w:cs="Times New Roman"/>
          <w:b/>
          <w:bCs/>
          <w:color w:val="auto"/>
          <w:lang w:eastAsia="zh-CN"/>
        </w:rPr>
        <w:t>5.1.</w:t>
      </w:r>
      <w:r>
        <w:rPr>
          <w:rFonts w:hint="eastAsia" w:ascii="Times New Roman" w:hAnsi="Times New Roman" w:cs="Times New Roman"/>
          <w:b/>
          <w:bCs/>
          <w:color w:val="auto"/>
          <w:lang w:eastAsia="zh-CN"/>
        </w:rPr>
        <w:t>5</w:t>
      </w:r>
      <w:r>
        <w:rPr>
          <w:rFonts w:ascii="Times New Roman" w:hAnsi="Times New Roman" w:cs="Times New Roman"/>
          <w:b/>
          <w:bCs/>
          <w:color w:val="auto"/>
          <w:lang w:eastAsia="zh-CN"/>
        </w:rPr>
        <w:t xml:space="preserve"> </w:t>
      </w:r>
      <w:r>
        <w:rPr>
          <w:rFonts w:hint="eastAsia" w:ascii="Times New Roman" w:hAnsi="Times New Roman" w:cs="Times New Roman"/>
          <w:b/>
          <w:bCs/>
          <w:color w:val="auto"/>
          <w:lang w:eastAsia="zh-CN"/>
        </w:rPr>
        <w:t>土壤植被</w:t>
      </w:r>
      <w:bookmarkEnd w:id="1128"/>
      <w:bookmarkEnd w:id="1129"/>
      <w:bookmarkEnd w:id="1130"/>
      <w:bookmarkEnd w:id="1131"/>
    </w:p>
    <w:bookmarkEnd w:id="1127"/>
    <w:p w14:paraId="50A34FCD">
      <w:pPr>
        <w:widowControl w:val="0"/>
        <w:adjustRightInd w:val="0"/>
        <w:snapToGrid w:val="0"/>
        <w:spacing w:line="360" w:lineRule="auto"/>
        <w:ind w:firstLine="480" w:firstLineChars="200"/>
        <w:jc w:val="both"/>
        <w:rPr>
          <w:rFonts w:ascii="Times New Roman" w:hAnsi="Times New Roman" w:cs="Times New Roman"/>
          <w:color w:val="auto"/>
          <w:szCs w:val="24"/>
          <w:lang w:eastAsia="zh-CN"/>
        </w:rPr>
      </w:pPr>
      <w:bookmarkStart w:id="1132" w:name="_Toc30505"/>
      <w:r>
        <w:rPr>
          <w:rFonts w:ascii="Times New Roman" w:hAnsi="Times New Roman" w:cs="Times New Roman"/>
          <w:color w:val="auto"/>
          <w:szCs w:val="24"/>
          <w:lang w:eastAsia="zh-CN"/>
        </w:rPr>
        <w:t>区域地层属于华北地层大区晋冀鲁豫地层区徐淮地层分区淮南地层小区。中、低丘基岩出露地表，主要为上太古界五河群庄子里组大理岩、角闪变粒岩和燕山期二长花岗岩、燕山期钾长花岗岩。非基岩裸露区上覆地层为第四系松散层，下伏基岩为上太古五河群庄子里组大理岩、角闪变粒岩和燕山期钾长花岗岩、燕山期二长花岗岩。</w:t>
      </w:r>
    </w:p>
    <w:p w14:paraId="24395B31">
      <w:pPr>
        <w:widowControl w:val="0"/>
        <w:adjustRightInd w:val="0"/>
        <w:snapToGrid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蚌埠市地处暖温带落叶阔叶林与北亚热带落叶阔叶林及常绿阔叶混交林的过渡地带，主要森林植被属暖温带落叶阔叶林。因为历史变迁的原因，原生自然植被已消失殆尽，但典型的南北方树种在境内多有分布。全市树种有415种，分属56个科，102个属。常见乔木有140余种，常见灌木有70多种，常见藤本有10余种。目前偶然可见的野生动物有野兔、环颈雉、野鸡、白鹳、獾、刺猬、豹猫、夜鹰、猫头鹰、金雕、天鹅、蝙蝠、鼠、蛇、蟮、青蛙、蟾蜍、蜥蜴、壁虎、小燕、大雁、喜鹊、乌鸦、麻雀、野鸭、斑鸠、鹭、啄木鸟、鸬鹚等。淮河里的鱼类目前以耐污的底栖鱼类为主，如：鲫鱼、鲢鱼、鲤鱼等，另外还有一些经济价值不高的杂鱼。水生植物主要有芦苇、浮萍、水葫芦、荸荠、菱、芡河慈姑、金鱼草等。</w:t>
      </w:r>
    </w:p>
    <w:p w14:paraId="5EF5EE00">
      <w:pPr>
        <w:widowControl w:val="0"/>
        <w:adjustRightInd w:val="0"/>
        <w:snapToGrid w:val="0"/>
        <w:spacing w:line="360" w:lineRule="auto"/>
        <w:ind w:firstLine="482" w:firstLineChars="200"/>
        <w:jc w:val="both"/>
        <w:outlineLvl w:val="2"/>
        <w:rPr>
          <w:rFonts w:ascii="Times New Roman" w:hAnsi="Times New Roman" w:cs="Times New Roman"/>
          <w:b/>
          <w:bCs/>
          <w:color w:val="auto"/>
          <w:lang w:eastAsia="zh-CN"/>
        </w:rPr>
      </w:pPr>
      <w:bookmarkStart w:id="1133" w:name="_Toc236641329"/>
      <w:bookmarkStart w:id="1134" w:name="_Toc231828598"/>
      <w:bookmarkStart w:id="1135" w:name="_Toc236641846"/>
      <w:bookmarkStart w:id="1136" w:name="_Toc237508311"/>
      <w:r>
        <w:rPr>
          <w:rFonts w:ascii="Times New Roman" w:hAnsi="Times New Roman" w:cs="Times New Roman"/>
          <w:b/>
          <w:bCs/>
          <w:color w:val="auto"/>
          <w:lang w:eastAsia="zh-CN"/>
        </w:rPr>
        <w:t>5.1.</w:t>
      </w:r>
      <w:r>
        <w:rPr>
          <w:rFonts w:hint="eastAsia" w:ascii="Times New Roman" w:hAnsi="Times New Roman" w:cs="Times New Roman"/>
          <w:b/>
          <w:bCs/>
          <w:color w:val="auto"/>
          <w:lang w:eastAsia="zh-CN"/>
        </w:rPr>
        <w:t>6 地震强度</w:t>
      </w:r>
      <w:bookmarkEnd w:id="1133"/>
      <w:bookmarkEnd w:id="1134"/>
      <w:bookmarkEnd w:id="1135"/>
      <w:bookmarkEnd w:id="1136"/>
    </w:p>
    <w:bookmarkEnd w:id="1132"/>
    <w:p w14:paraId="1DF8D0C3">
      <w:pPr>
        <w:widowControl w:val="0"/>
        <w:adjustRightInd w:val="0"/>
        <w:snapToGrid w:val="0"/>
        <w:spacing w:line="360" w:lineRule="auto"/>
        <w:ind w:firstLine="480" w:firstLineChars="200"/>
        <w:jc w:val="both"/>
        <w:rPr>
          <w:rFonts w:ascii="Times New Roman" w:hAnsi="Times New Roman" w:cs="Times New Roman"/>
          <w:color w:val="auto"/>
          <w:szCs w:val="24"/>
          <w:lang w:eastAsia="zh-CN"/>
        </w:rPr>
        <w:sectPr>
          <w:pgSz w:w="11906" w:h="16838"/>
          <w:pgMar w:top="1440" w:right="1080" w:bottom="1440" w:left="1080" w:header="851" w:footer="992" w:gutter="0"/>
          <w:cols w:space="720" w:num="1"/>
          <w:docGrid w:type="lines" w:linePitch="312" w:charSpace="0"/>
        </w:sectPr>
      </w:pPr>
      <w:r>
        <w:rPr>
          <w:rFonts w:ascii="Times New Roman" w:hAnsi="Times New Roman" w:cs="Times New Roman"/>
          <w:color w:val="auto"/>
          <w:szCs w:val="24"/>
          <w:lang w:eastAsia="zh-CN"/>
        </w:rPr>
        <w:t>地震活动一般发生在两组断裂交汇处。从史志记载以来，淮上区未发生过地震；但在区外，蚌埠市及其周边地区历史上发生过多次地震。‌1979年3月2日，‌安徽省固镇县发生了5.0级地震；2019年8月31日，‌安徽省怀远县发生了10次地震，‌最大震级为ML1.9。本地区抗震按7度设防；设计基本地震加速度为0.10g，设计地震分组为第二组。建筑场地类型Ⅲ类；场地内无活动断裂通过，该场地属建筑抗震有利地段，为可进行建设的一般场地。</w:t>
      </w:r>
    </w:p>
    <w:p w14:paraId="6D6D915E">
      <w:pPr>
        <w:widowControl w:val="0"/>
        <w:adjustRightInd w:val="0"/>
        <w:snapToGrid w:val="0"/>
        <w:spacing w:line="360" w:lineRule="auto"/>
        <w:ind w:firstLine="480" w:firstLineChars="200"/>
        <w:jc w:val="both"/>
        <w:rPr>
          <w:rFonts w:ascii="Times New Roman" w:hAnsi="Times New Roman" w:cs="Times New Roman"/>
          <w:color w:val="auto"/>
        </w:rPr>
      </w:pPr>
      <w:r>
        <w:rPr>
          <w:rFonts w:ascii="Times New Roman" w:hAnsi="Times New Roman" w:cs="Times New Roman"/>
          <w:color w:val="auto"/>
        </w:rPr>
        <w:drawing>
          <wp:inline distT="0" distB="0" distL="0" distR="0">
            <wp:extent cx="8143875" cy="5667375"/>
            <wp:effectExtent l="0" t="0" r="0" b="0"/>
            <wp:docPr id="65" name="图片 13" descr="水系图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3" descr="水系图副本"/>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8143875" cy="5667375"/>
                    </a:xfrm>
                    <a:prstGeom prst="rect">
                      <a:avLst/>
                    </a:prstGeom>
                    <a:noFill/>
                    <a:ln>
                      <a:noFill/>
                    </a:ln>
                  </pic:spPr>
                </pic:pic>
              </a:graphicData>
            </a:graphic>
          </wp:inline>
        </w:drawing>
      </w:r>
    </w:p>
    <w:p w14:paraId="1F6EBCC2">
      <w:pPr>
        <w:widowControl w:val="0"/>
        <w:spacing w:line="360" w:lineRule="auto"/>
        <w:ind w:firstLine="482" w:firstLineChars="200"/>
        <w:jc w:val="center"/>
        <w:rPr>
          <w:rFonts w:ascii="Times New Roman" w:hAnsi="Times New Roman" w:cs="Times New Roman"/>
          <w:b/>
          <w:bCs/>
          <w:color w:val="auto"/>
          <w:lang w:eastAsia="zh-CN"/>
        </w:rPr>
        <w:sectPr>
          <w:pgSz w:w="16838" w:h="11906" w:orient="landscape"/>
          <w:pgMar w:top="1080" w:right="1440" w:bottom="1080" w:left="1440" w:header="851" w:footer="992" w:gutter="0"/>
          <w:cols w:space="720" w:num="1"/>
          <w:docGrid w:type="lines" w:linePitch="312" w:charSpace="0"/>
        </w:sectPr>
      </w:pPr>
      <w:r>
        <w:rPr>
          <w:rFonts w:ascii="Times New Roman" w:hAnsi="Times New Roman" w:cs="Times New Roman"/>
          <w:b/>
          <w:bCs/>
          <w:color w:val="auto"/>
          <w:lang w:eastAsia="zh-CN"/>
        </w:rPr>
        <w:t>图5.1-1 区域地表水系图</w:t>
      </w:r>
    </w:p>
    <w:p w14:paraId="764C30D2">
      <w:pPr>
        <w:spacing w:line="360" w:lineRule="auto"/>
        <w:ind w:firstLine="562"/>
        <w:jc w:val="both"/>
        <w:outlineLvl w:val="1"/>
        <w:rPr>
          <w:rFonts w:ascii="Times New Roman" w:hAnsi="Times New Roman" w:cs="Times New Roman"/>
          <w:b/>
          <w:bCs/>
          <w:color w:val="auto"/>
          <w:sz w:val="28"/>
          <w:szCs w:val="22"/>
          <w:lang w:eastAsia="zh-CN"/>
        </w:rPr>
      </w:pPr>
      <w:bookmarkStart w:id="1137" w:name="_Toc237508312"/>
      <w:r>
        <w:rPr>
          <w:rFonts w:ascii="Times New Roman" w:hAnsi="Times New Roman" w:cs="Times New Roman"/>
          <w:b/>
          <w:bCs/>
          <w:color w:val="auto"/>
          <w:sz w:val="28"/>
          <w:szCs w:val="22"/>
          <w:lang w:eastAsia="zh-CN"/>
        </w:rPr>
        <w:t>5.2 环境质量现状评价</w:t>
      </w:r>
      <w:bookmarkEnd w:id="1137"/>
    </w:p>
    <w:p w14:paraId="63F9DA07">
      <w:pPr>
        <w:spacing w:line="360" w:lineRule="auto"/>
        <w:ind w:firstLine="482"/>
        <w:jc w:val="both"/>
        <w:outlineLvl w:val="2"/>
        <w:rPr>
          <w:rFonts w:ascii="Times New Roman" w:hAnsi="Times New Roman" w:cs="Times New Roman"/>
          <w:b/>
          <w:bCs/>
          <w:color w:val="auto"/>
          <w:lang w:eastAsia="zh-CN"/>
        </w:rPr>
      </w:pPr>
      <w:bookmarkStart w:id="1138" w:name="_Toc217662693"/>
      <w:bookmarkStart w:id="1139" w:name="_Toc231828600"/>
      <w:bookmarkStart w:id="1140" w:name="_Toc173743403"/>
      <w:bookmarkStart w:id="1141" w:name="_Toc172555667"/>
      <w:bookmarkStart w:id="1142" w:name="_Toc224674717"/>
      <w:bookmarkStart w:id="1143" w:name="_Toc204448488"/>
      <w:bookmarkStart w:id="1144" w:name="_Toc218784303"/>
      <w:bookmarkStart w:id="1145" w:name="_Toc237508313"/>
      <w:bookmarkStart w:id="1146" w:name="_Toc175164294"/>
      <w:bookmarkStart w:id="1147" w:name="_Toc176513030"/>
      <w:bookmarkStart w:id="1148" w:name="_Toc236641848"/>
      <w:bookmarkStart w:id="1149" w:name="_Toc225784078"/>
      <w:bookmarkStart w:id="1150" w:name="_Toc173740299"/>
      <w:bookmarkStart w:id="1151" w:name="_Toc221900860"/>
      <w:bookmarkStart w:id="1152" w:name="_Toc203927022"/>
      <w:bookmarkStart w:id="1153" w:name="_Toc223425078"/>
      <w:bookmarkStart w:id="1154" w:name="_Toc204515223"/>
      <w:bookmarkStart w:id="1155" w:name="_Toc236641331"/>
      <w:bookmarkStart w:id="1156" w:name="_Toc24483"/>
      <w:bookmarkStart w:id="1157" w:name="_Toc178602370"/>
      <w:r>
        <w:rPr>
          <w:rFonts w:ascii="Times New Roman" w:hAnsi="Times New Roman" w:cs="Times New Roman"/>
          <w:b/>
          <w:bCs/>
          <w:color w:val="auto"/>
          <w:lang w:eastAsia="zh-CN"/>
        </w:rPr>
        <w:t>5.2.1 大气环境质量现状评价</w:t>
      </w:r>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p>
    <w:p w14:paraId="032E348F">
      <w:pPr>
        <w:spacing w:line="360" w:lineRule="auto"/>
        <w:ind w:firstLine="482"/>
        <w:jc w:val="both"/>
        <w:outlineLvl w:val="3"/>
        <w:rPr>
          <w:rFonts w:ascii="Times New Roman" w:hAnsi="Times New Roman" w:cs="Times New Roman"/>
          <w:b/>
          <w:bCs/>
          <w:color w:val="auto"/>
          <w:lang w:eastAsia="zh-CN"/>
        </w:rPr>
      </w:pPr>
      <w:bookmarkStart w:id="1158" w:name="_Toc7558"/>
      <w:bookmarkStart w:id="1159" w:name="_Toc21630"/>
      <w:r>
        <w:rPr>
          <w:rFonts w:ascii="Times New Roman" w:hAnsi="Times New Roman" w:cs="Times New Roman"/>
          <w:b/>
          <w:bCs/>
          <w:color w:val="auto"/>
          <w:lang w:eastAsia="zh-CN"/>
        </w:rPr>
        <w:fldChar w:fldCharType="begin"/>
      </w:r>
      <w:r>
        <w:rPr>
          <w:rFonts w:ascii="Times New Roman" w:hAnsi="Times New Roman" w:cs="Times New Roman"/>
          <w:b/>
          <w:bCs/>
          <w:color w:val="auto"/>
          <w:lang w:eastAsia="zh-CN"/>
        </w:rPr>
        <w:instrText xml:space="preserve">HYPERLINK "D:\\1、工作\\善宇\\1、环评\\蚌埠\\安徽志一新材料科技有限公司聚合物抗氧剂项目\\4.3.1.1"</w:instrText>
      </w:r>
      <w:r>
        <w:rPr>
          <w:rFonts w:ascii="Times New Roman" w:hAnsi="Times New Roman" w:cs="Times New Roman"/>
          <w:b/>
          <w:bCs/>
          <w:color w:val="auto"/>
          <w:lang w:eastAsia="zh-CN"/>
        </w:rPr>
        <w:fldChar w:fldCharType="separate"/>
      </w:r>
      <w:r>
        <w:rPr>
          <w:rFonts w:ascii="Times New Roman" w:hAnsi="Times New Roman" w:cs="Times New Roman"/>
          <w:b/>
          <w:bCs/>
          <w:color w:val="auto"/>
          <w:lang w:eastAsia="zh-CN"/>
        </w:rPr>
        <w:t>5.2.1.1</w:t>
      </w:r>
      <w:r>
        <w:rPr>
          <w:rFonts w:ascii="Times New Roman" w:hAnsi="Times New Roman" w:cs="Times New Roman"/>
          <w:b/>
          <w:bCs/>
          <w:color w:val="auto"/>
          <w:lang w:eastAsia="zh-CN"/>
        </w:rPr>
        <w:fldChar w:fldCharType="end"/>
      </w:r>
      <w:r>
        <w:rPr>
          <w:rFonts w:ascii="Times New Roman" w:hAnsi="Times New Roman" w:cs="Times New Roman"/>
          <w:b/>
          <w:bCs/>
          <w:color w:val="auto"/>
          <w:lang w:eastAsia="zh-CN"/>
        </w:rPr>
        <w:t xml:space="preserve"> 环境质量达标判断</w:t>
      </w:r>
      <w:bookmarkEnd w:id="1158"/>
      <w:bookmarkEnd w:id="1159"/>
    </w:p>
    <w:p w14:paraId="45685E60">
      <w:pPr>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1、达标区判定</w:t>
      </w:r>
    </w:p>
    <w:p w14:paraId="4FF96DF4">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根据（HJ2.2-2018）要求，拟建项目所在区域环境空气质量达标情况评价指标为 SO</w:t>
      </w:r>
      <w:r>
        <w:rPr>
          <w:rFonts w:ascii="Times New Roman" w:hAnsi="Times New Roman" w:cs="Times New Roman"/>
          <w:color w:val="auto"/>
          <w:szCs w:val="24"/>
          <w:vertAlign w:val="subscript"/>
          <w:lang w:eastAsia="zh-CN"/>
        </w:rPr>
        <w:t>2</w:t>
      </w:r>
      <w:r>
        <w:rPr>
          <w:rFonts w:ascii="Times New Roman" w:hAnsi="Times New Roman" w:cs="Times New Roman"/>
          <w:color w:val="auto"/>
          <w:szCs w:val="24"/>
          <w:lang w:eastAsia="zh-CN"/>
        </w:rPr>
        <w:t>、NO</w:t>
      </w:r>
      <w:r>
        <w:rPr>
          <w:rFonts w:ascii="Times New Roman" w:hAnsi="Times New Roman" w:cs="Times New Roman"/>
          <w:color w:val="auto"/>
          <w:szCs w:val="24"/>
          <w:vertAlign w:val="subscript"/>
          <w:lang w:eastAsia="zh-CN"/>
        </w:rPr>
        <w:t>2</w:t>
      </w:r>
      <w:r>
        <w:rPr>
          <w:rFonts w:ascii="Times New Roman" w:hAnsi="Times New Roman" w:cs="Times New Roman"/>
          <w:color w:val="auto"/>
          <w:szCs w:val="24"/>
          <w:lang w:eastAsia="zh-CN"/>
        </w:rPr>
        <w:t xml:space="preserve"> 、PM</w:t>
      </w:r>
      <w:r>
        <w:rPr>
          <w:rFonts w:ascii="Times New Roman" w:hAnsi="Times New Roman" w:cs="Times New Roman"/>
          <w:color w:val="auto"/>
          <w:szCs w:val="24"/>
          <w:vertAlign w:val="subscript"/>
          <w:lang w:eastAsia="zh-CN"/>
        </w:rPr>
        <w:t>10</w:t>
      </w:r>
      <w:r>
        <w:rPr>
          <w:rFonts w:ascii="Times New Roman" w:hAnsi="Times New Roman" w:cs="Times New Roman"/>
          <w:color w:val="auto"/>
          <w:szCs w:val="24"/>
          <w:lang w:eastAsia="zh-CN"/>
        </w:rPr>
        <w:t xml:space="preserve"> 、PM</w:t>
      </w:r>
      <w:r>
        <w:rPr>
          <w:rFonts w:ascii="Times New Roman" w:hAnsi="Times New Roman" w:cs="Times New Roman"/>
          <w:color w:val="auto"/>
          <w:szCs w:val="24"/>
          <w:vertAlign w:val="subscript"/>
          <w:lang w:eastAsia="zh-CN"/>
        </w:rPr>
        <w:t>2.5</w:t>
      </w:r>
      <w:r>
        <w:rPr>
          <w:rFonts w:ascii="Times New Roman" w:hAnsi="Times New Roman" w:cs="Times New Roman"/>
          <w:color w:val="auto"/>
          <w:szCs w:val="24"/>
          <w:lang w:eastAsia="zh-CN"/>
        </w:rPr>
        <w:t xml:space="preserve"> 、CO 和 O</w:t>
      </w:r>
      <w:r>
        <w:rPr>
          <w:rFonts w:ascii="Times New Roman" w:hAnsi="Times New Roman" w:cs="Times New Roman"/>
          <w:color w:val="auto"/>
          <w:szCs w:val="24"/>
          <w:vertAlign w:val="subscript"/>
          <w:lang w:eastAsia="zh-CN"/>
        </w:rPr>
        <w:t>3</w:t>
      </w:r>
      <w:r>
        <w:rPr>
          <w:rFonts w:ascii="Times New Roman" w:hAnsi="Times New Roman" w:cs="Times New Roman"/>
          <w:color w:val="auto"/>
          <w:szCs w:val="24"/>
          <w:lang w:eastAsia="zh-CN"/>
        </w:rPr>
        <w:t xml:space="preserve"> ，六项基本污染物全部达标即为城市环境空气质量达标。</w:t>
      </w:r>
    </w:p>
    <w:p w14:paraId="05D7DDE5">
      <w:pPr>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由于</w:t>
      </w:r>
      <w:r>
        <w:rPr>
          <w:rFonts w:ascii="Times New Roman" w:hAnsi="Times New Roman" w:cs="Times New Roman"/>
          <w:color w:val="auto"/>
          <w:szCs w:val="24"/>
          <w:lang w:eastAsia="zh-CN"/>
        </w:rPr>
        <w:t>202</w:t>
      </w:r>
      <w:r>
        <w:rPr>
          <w:rFonts w:hint="eastAsia" w:ascii="Times New Roman" w:hAnsi="Times New Roman" w:cs="Times New Roman"/>
          <w:color w:val="auto"/>
          <w:szCs w:val="24"/>
          <w:lang w:eastAsia="zh-CN"/>
        </w:rPr>
        <w:t>5</w:t>
      </w:r>
      <w:r>
        <w:rPr>
          <w:rFonts w:ascii="Times New Roman" w:hAnsi="Times New Roman" w:cs="Times New Roman"/>
          <w:color w:val="auto"/>
          <w:szCs w:val="24"/>
          <w:lang w:eastAsia="zh-CN"/>
        </w:rPr>
        <w:t>年蚌埠市SO</w:t>
      </w:r>
      <w:r>
        <w:rPr>
          <w:rFonts w:ascii="Times New Roman" w:hAnsi="Times New Roman" w:cs="Times New Roman"/>
          <w:color w:val="auto"/>
          <w:szCs w:val="24"/>
          <w:vertAlign w:val="subscript"/>
          <w:lang w:eastAsia="zh-CN"/>
        </w:rPr>
        <w:t>2</w:t>
      </w:r>
      <w:r>
        <w:rPr>
          <w:rFonts w:ascii="Times New Roman" w:hAnsi="Times New Roman" w:cs="Times New Roman"/>
          <w:color w:val="auto"/>
          <w:szCs w:val="24"/>
          <w:lang w:eastAsia="zh-CN"/>
        </w:rPr>
        <w:t>、NO</w:t>
      </w:r>
      <w:r>
        <w:rPr>
          <w:rFonts w:ascii="Times New Roman" w:hAnsi="Times New Roman" w:cs="Times New Roman"/>
          <w:color w:val="auto"/>
          <w:szCs w:val="24"/>
          <w:vertAlign w:val="subscript"/>
          <w:lang w:eastAsia="zh-CN"/>
        </w:rPr>
        <w:t>2</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PM</w:t>
      </w:r>
      <w:r>
        <w:rPr>
          <w:rFonts w:ascii="Times New Roman" w:hAnsi="Times New Roman" w:cs="Times New Roman"/>
          <w:color w:val="auto"/>
          <w:szCs w:val="24"/>
          <w:vertAlign w:val="subscript"/>
          <w:lang w:eastAsia="zh-CN"/>
        </w:rPr>
        <w:t>10</w:t>
      </w:r>
      <w:r>
        <w:rPr>
          <w:rFonts w:ascii="Times New Roman" w:hAnsi="Times New Roman" w:cs="Times New Roman"/>
          <w:color w:val="auto"/>
          <w:szCs w:val="24"/>
          <w:lang w:eastAsia="zh-CN"/>
        </w:rPr>
        <w:t>、PM</w:t>
      </w:r>
      <w:r>
        <w:rPr>
          <w:rFonts w:ascii="Times New Roman" w:hAnsi="Times New Roman" w:cs="Times New Roman"/>
          <w:color w:val="auto"/>
          <w:szCs w:val="24"/>
          <w:vertAlign w:val="subscript"/>
          <w:lang w:eastAsia="zh-CN"/>
        </w:rPr>
        <w:t>2.5</w:t>
      </w:r>
      <w:r>
        <w:rPr>
          <w:rFonts w:hint="eastAsia" w:ascii="Times New Roman" w:hAnsi="Times New Roman" w:cs="Times New Roman"/>
          <w:color w:val="auto"/>
          <w:szCs w:val="24"/>
          <w:lang w:eastAsia="zh-CN"/>
        </w:rPr>
        <w:t>年平均质量浓度、</w:t>
      </w:r>
      <w:r>
        <w:rPr>
          <w:rFonts w:ascii="Times New Roman" w:hAnsi="Times New Roman" w:cs="Times New Roman"/>
          <w:color w:val="auto"/>
          <w:szCs w:val="24"/>
          <w:lang w:eastAsia="zh-CN"/>
        </w:rPr>
        <w:t>CO日平均第95百分位数质量浓度</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O</w:t>
      </w:r>
      <w:r>
        <w:rPr>
          <w:rFonts w:ascii="Times New Roman" w:hAnsi="Times New Roman" w:cs="Times New Roman"/>
          <w:color w:val="auto"/>
          <w:szCs w:val="24"/>
          <w:vertAlign w:val="subscript"/>
          <w:lang w:eastAsia="zh-CN"/>
        </w:rPr>
        <w:t>3</w:t>
      </w:r>
      <w:r>
        <w:rPr>
          <w:rFonts w:ascii="Times New Roman" w:hAnsi="Times New Roman" w:cs="Times New Roman"/>
          <w:color w:val="auto"/>
          <w:szCs w:val="24"/>
          <w:lang w:eastAsia="zh-CN"/>
        </w:rPr>
        <w:t>最大8 h滑动平均第90百分位数质量浓度</w:t>
      </w:r>
      <w:r>
        <w:rPr>
          <w:rFonts w:hint="eastAsia" w:ascii="Times New Roman" w:hAnsi="Times New Roman" w:cs="Times New Roman"/>
          <w:color w:val="auto"/>
          <w:szCs w:val="24"/>
          <w:lang w:eastAsia="zh-CN"/>
        </w:rPr>
        <w:t>数据未发布，故本次环评</w:t>
      </w:r>
      <w:r>
        <w:rPr>
          <w:rFonts w:ascii="Times New Roman" w:hAnsi="Times New Roman" w:cs="Times New Roman"/>
          <w:color w:val="auto"/>
          <w:szCs w:val="24"/>
          <w:lang w:eastAsia="zh-CN"/>
        </w:rPr>
        <w:t>PM</w:t>
      </w:r>
      <w:r>
        <w:rPr>
          <w:rFonts w:ascii="Times New Roman" w:hAnsi="Times New Roman" w:cs="Times New Roman"/>
          <w:color w:val="auto"/>
          <w:szCs w:val="24"/>
          <w:vertAlign w:val="subscript"/>
          <w:lang w:eastAsia="zh-CN"/>
        </w:rPr>
        <w:t>2.5</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SO</w:t>
      </w:r>
      <w:r>
        <w:rPr>
          <w:rFonts w:ascii="Times New Roman" w:hAnsi="Times New Roman" w:cs="Times New Roman"/>
          <w:color w:val="auto"/>
          <w:szCs w:val="24"/>
          <w:vertAlign w:val="subscript"/>
          <w:lang w:eastAsia="zh-CN"/>
        </w:rPr>
        <w:t>2</w:t>
      </w:r>
      <w:r>
        <w:rPr>
          <w:rFonts w:ascii="Times New Roman" w:hAnsi="Times New Roman" w:cs="Times New Roman"/>
          <w:color w:val="auto"/>
          <w:szCs w:val="24"/>
          <w:lang w:eastAsia="zh-CN"/>
        </w:rPr>
        <w:t>、NO</w:t>
      </w:r>
      <w:r>
        <w:rPr>
          <w:rFonts w:ascii="Times New Roman" w:hAnsi="Times New Roman" w:cs="Times New Roman"/>
          <w:color w:val="auto"/>
          <w:szCs w:val="24"/>
          <w:vertAlign w:val="subscript"/>
          <w:lang w:eastAsia="zh-CN"/>
        </w:rPr>
        <w:t>2</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PM</w:t>
      </w:r>
      <w:r>
        <w:rPr>
          <w:rFonts w:ascii="Times New Roman" w:hAnsi="Times New Roman" w:cs="Times New Roman"/>
          <w:color w:val="auto"/>
          <w:szCs w:val="24"/>
          <w:vertAlign w:val="subscript"/>
          <w:lang w:eastAsia="zh-CN"/>
        </w:rPr>
        <w:t>10</w:t>
      </w:r>
      <w:r>
        <w:rPr>
          <w:rFonts w:ascii="Times New Roman" w:hAnsi="Times New Roman" w:cs="Times New Roman"/>
          <w:color w:val="auto"/>
          <w:szCs w:val="24"/>
          <w:lang w:eastAsia="zh-CN"/>
        </w:rPr>
        <w:t>、CO</w:t>
      </w:r>
      <w:r>
        <w:rPr>
          <w:rFonts w:hint="eastAsia" w:ascii="Times New Roman" w:hAnsi="Times New Roman" w:cs="Times New Roman"/>
          <w:color w:val="auto"/>
          <w:szCs w:val="24"/>
          <w:lang w:eastAsia="zh-CN"/>
        </w:rPr>
        <w:t>和</w:t>
      </w:r>
      <w:r>
        <w:rPr>
          <w:rFonts w:ascii="Times New Roman" w:hAnsi="Times New Roman" w:cs="Times New Roman"/>
          <w:color w:val="auto"/>
          <w:szCs w:val="24"/>
          <w:lang w:eastAsia="zh-CN"/>
        </w:rPr>
        <w:t>O</w:t>
      </w:r>
      <w:r>
        <w:rPr>
          <w:rFonts w:ascii="Times New Roman" w:hAnsi="Times New Roman" w:cs="Times New Roman"/>
          <w:color w:val="auto"/>
          <w:szCs w:val="24"/>
          <w:vertAlign w:val="subscript"/>
          <w:lang w:eastAsia="zh-CN"/>
        </w:rPr>
        <w:t>3</w:t>
      </w:r>
      <w:r>
        <w:rPr>
          <w:rFonts w:ascii="Times New Roman" w:hAnsi="Times New Roman" w:cs="Times New Roman"/>
          <w:color w:val="auto"/>
          <w:szCs w:val="24"/>
          <w:lang w:eastAsia="zh-CN"/>
        </w:rPr>
        <w:t>评价</w:t>
      </w:r>
      <w:r>
        <w:rPr>
          <w:rFonts w:hint="eastAsia" w:ascii="Times New Roman" w:hAnsi="Times New Roman" w:cs="Times New Roman"/>
          <w:color w:val="auto"/>
          <w:szCs w:val="24"/>
          <w:lang w:eastAsia="zh-CN"/>
        </w:rPr>
        <w:t>选取环境空气质量模型技术支持服务系统（</w:t>
      </w:r>
      <w:r>
        <w:rPr>
          <w:rFonts w:ascii="Times New Roman" w:hAnsi="Times New Roman" w:cs="Times New Roman"/>
          <w:color w:val="auto"/>
          <w:szCs w:val="24"/>
          <w:lang w:eastAsia="zh-CN"/>
        </w:rPr>
        <w:t>http://data.lem.org.cn/eamds/apply/tostepone.html</w:t>
      </w:r>
      <w:r>
        <w:rPr>
          <w:rFonts w:hint="eastAsia" w:ascii="Times New Roman" w:hAnsi="Times New Roman" w:cs="Times New Roman"/>
          <w:color w:val="auto"/>
          <w:szCs w:val="24"/>
          <w:lang w:eastAsia="zh-CN"/>
        </w:rPr>
        <w:t>）中达标区判定模块的数据进行评价，</w:t>
      </w:r>
      <w:r>
        <w:rPr>
          <w:rFonts w:ascii="Times New Roman" w:hAnsi="Times New Roman" w:cs="Times New Roman"/>
          <w:color w:val="auto"/>
          <w:szCs w:val="24"/>
          <w:lang w:eastAsia="zh-CN"/>
        </w:rPr>
        <w:t>具体统计结果见下表。</w:t>
      </w:r>
    </w:p>
    <w:p w14:paraId="71FC28C1">
      <w:pPr>
        <w:spacing w:line="360" w:lineRule="auto"/>
        <w:jc w:val="center"/>
        <w:rPr>
          <w:rFonts w:ascii="Times New Roman" w:hAnsi="Times New Roman" w:cs="Times New Roman"/>
          <w:color w:val="auto"/>
          <w:szCs w:val="24"/>
          <w:lang w:eastAsia="zh-CN"/>
        </w:rPr>
      </w:pPr>
      <w:r>
        <w:rPr>
          <w:rFonts w:ascii="Times New Roman" w:hAnsi="Times New Roman" w:cs="Times New Roman"/>
          <w:b/>
          <w:bCs/>
          <w:color w:val="auto"/>
          <w:szCs w:val="24"/>
          <w:lang w:eastAsia="zh-CN"/>
        </w:rPr>
        <w:t>表5.2-1 蚌埠市202</w:t>
      </w:r>
      <w:r>
        <w:rPr>
          <w:rFonts w:hint="eastAsia" w:ascii="Times New Roman" w:hAnsi="Times New Roman" w:cs="Times New Roman"/>
          <w:b/>
          <w:bCs/>
          <w:color w:val="auto"/>
          <w:szCs w:val="24"/>
          <w:lang w:eastAsia="zh-CN"/>
        </w:rPr>
        <w:t>5</w:t>
      </w:r>
      <w:r>
        <w:rPr>
          <w:rFonts w:ascii="Times New Roman" w:hAnsi="Times New Roman" w:cs="Times New Roman"/>
          <w:b/>
          <w:bCs/>
          <w:color w:val="auto"/>
          <w:szCs w:val="24"/>
          <w:lang w:eastAsia="zh-CN"/>
        </w:rPr>
        <w:t>年空气质量现状评价表</w:t>
      </w:r>
    </w:p>
    <w:tbl>
      <w:tblPr>
        <w:tblStyle w:val="35"/>
        <w:tblW w:w="972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1"/>
        <w:gridCol w:w="2367"/>
        <w:gridCol w:w="2019"/>
        <w:gridCol w:w="1688"/>
        <w:gridCol w:w="1470"/>
        <w:gridCol w:w="1153"/>
      </w:tblGrid>
      <w:tr w14:paraId="55334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031" w:type="dxa"/>
            <w:tcBorders>
              <w:top w:val="single" w:color="000000" w:sz="12" w:space="0"/>
              <w:left w:val="nil"/>
            </w:tcBorders>
            <w:vAlign w:val="center"/>
          </w:tcPr>
          <w:p w14:paraId="71B46FD1">
            <w:pPr>
              <w:jc w:val="center"/>
              <w:rPr>
                <w:rFonts w:ascii="Times New Roman" w:hAnsi="Times New Roman" w:cs="Times New Roman"/>
                <w:b/>
                <w:bCs/>
                <w:color w:val="auto"/>
                <w:sz w:val="21"/>
                <w:szCs w:val="18"/>
              </w:rPr>
            </w:pPr>
            <w:r>
              <w:rPr>
                <w:rFonts w:ascii="Times New Roman" w:hAnsi="Times New Roman" w:cs="Times New Roman"/>
                <w:b/>
                <w:bCs/>
                <w:color w:val="auto"/>
                <w:sz w:val="21"/>
                <w:szCs w:val="18"/>
              </w:rPr>
              <w:t>污染物</w:t>
            </w:r>
          </w:p>
        </w:tc>
        <w:tc>
          <w:tcPr>
            <w:tcW w:w="2367" w:type="dxa"/>
            <w:tcBorders>
              <w:top w:val="single" w:color="000000" w:sz="12" w:space="0"/>
            </w:tcBorders>
            <w:vAlign w:val="center"/>
          </w:tcPr>
          <w:p w14:paraId="3232A0EF">
            <w:pPr>
              <w:jc w:val="center"/>
              <w:rPr>
                <w:rFonts w:ascii="Times New Roman" w:hAnsi="Times New Roman" w:cs="Times New Roman"/>
                <w:b/>
                <w:bCs/>
                <w:color w:val="auto"/>
                <w:sz w:val="21"/>
                <w:szCs w:val="18"/>
              </w:rPr>
            </w:pPr>
            <w:r>
              <w:rPr>
                <w:rFonts w:ascii="Times New Roman" w:hAnsi="Times New Roman" w:cs="Times New Roman"/>
                <w:b/>
                <w:bCs/>
                <w:color w:val="auto"/>
                <w:sz w:val="21"/>
                <w:szCs w:val="18"/>
              </w:rPr>
              <w:t>年评价指标</w:t>
            </w:r>
          </w:p>
        </w:tc>
        <w:tc>
          <w:tcPr>
            <w:tcW w:w="2019" w:type="dxa"/>
            <w:tcBorders>
              <w:top w:val="single" w:color="000000" w:sz="12" w:space="0"/>
            </w:tcBorders>
            <w:vAlign w:val="center"/>
          </w:tcPr>
          <w:p w14:paraId="5B54BBFA">
            <w:pPr>
              <w:jc w:val="center"/>
              <w:rPr>
                <w:rFonts w:ascii="Times New Roman" w:hAnsi="Times New Roman" w:cs="Times New Roman"/>
                <w:b/>
                <w:bCs/>
                <w:color w:val="auto"/>
                <w:sz w:val="21"/>
                <w:szCs w:val="18"/>
              </w:rPr>
            </w:pPr>
            <w:r>
              <w:rPr>
                <w:rFonts w:ascii="Times New Roman" w:hAnsi="Times New Roman" w:cs="Times New Roman"/>
                <w:b/>
                <w:bCs/>
                <w:color w:val="auto"/>
                <w:sz w:val="21"/>
                <w:szCs w:val="18"/>
              </w:rPr>
              <w:t>现状浓度/(μg/m</w:t>
            </w:r>
            <w:r>
              <w:rPr>
                <w:rFonts w:ascii="Times New Roman" w:hAnsi="Times New Roman" w:cs="Times New Roman"/>
                <w:b/>
                <w:bCs/>
                <w:color w:val="auto"/>
                <w:sz w:val="21"/>
                <w:szCs w:val="18"/>
                <w:vertAlign w:val="superscript"/>
              </w:rPr>
              <w:t>3</w:t>
            </w:r>
            <w:r>
              <w:rPr>
                <w:rFonts w:hint="eastAsia" w:ascii="Times New Roman" w:hAnsi="Times New Roman" w:cs="Times New Roman"/>
                <w:b/>
                <w:bCs/>
                <w:color w:val="auto"/>
                <w:sz w:val="21"/>
                <w:szCs w:val="18"/>
              </w:rPr>
              <w:t>)</w:t>
            </w:r>
          </w:p>
        </w:tc>
        <w:tc>
          <w:tcPr>
            <w:tcW w:w="1688" w:type="dxa"/>
            <w:tcBorders>
              <w:top w:val="single" w:color="000000" w:sz="12" w:space="0"/>
            </w:tcBorders>
            <w:vAlign w:val="center"/>
          </w:tcPr>
          <w:p w14:paraId="5CBC46C7">
            <w:pPr>
              <w:jc w:val="center"/>
              <w:rPr>
                <w:rFonts w:ascii="Times New Roman" w:hAnsi="Times New Roman" w:cs="Times New Roman"/>
                <w:b/>
                <w:bCs/>
                <w:color w:val="auto"/>
                <w:sz w:val="21"/>
                <w:szCs w:val="18"/>
              </w:rPr>
            </w:pPr>
            <w:r>
              <w:rPr>
                <w:rFonts w:ascii="Times New Roman" w:hAnsi="Times New Roman" w:cs="Times New Roman"/>
                <w:b/>
                <w:bCs/>
                <w:color w:val="auto"/>
                <w:sz w:val="21"/>
                <w:szCs w:val="18"/>
              </w:rPr>
              <w:t>标准值/(μg/m</w:t>
            </w:r>
            <w:r>
              <w:rPr>
                <w:rFonts w:ascii="Times New Roman" w:hAnsi="Times New Roman" w:cs="Times New Roman"/>
                <w:b/>
                <w:bCs/>
                <w:color w:val="auto"/>
                <w:sz w:val="21"/>
                <w:szCs w:val="18"/>
                <w:vertAlign w:val="superscript"/>
              </w:rPr>
              <w:t>3</w:t>
            </w:r>
            <w:r>
              <w:rPr>
                <w:rFonts w:hint="eastAsia" w:ascii="Times New Roman" w:hAnsi="Times New Roman" w:cs="Times New Roman"/>
                <w:b/>
                <w:bCs/>
                <w:color w:val="auto"/>
                <w:sz w:val="21"/>
                <w:szCs w:val="18"/>
              </w:rPr>
              <w:t>)</w:t>
            </w:r>
          </w:p>
        </w:tc>
        <w:tc>
          <w:tcPr>
            <w:tcW w:w="1470" w:type="dxa"/>
            <w:tcBorders>
              <w:top w:val="single" w:color="000000" w:sz="12" w:space="0"/>
            </w:tcBorders>
            <w:vAlign w:val="center"/>
          </w:tcPr>
          <w:p w14:paraId="3DF41BC8">
            <w:pPr>
              <w:jc w:val="center"/>
              <w:rPr>
                <w:rFonts w:ascii="Times New Roman" w:hAnsi="Times New Roman" w:cs="Times New Roman"/>
                <w:b/>
                <w:bCs/>
                <w:color w:val="auto"/>
                <w:sz w:val="21"/>
                <w:szCs w:val="18"/>
              </w:rPr>
            </w:pPr>
            <w:r>
              <w:rPr>
                <w:rFonts w:ascii="Times New Roman" w:hAnsi="Times New Roman" w:cs="Times New Roman"/>
                <w:b/>
                <w:bCs/>
                <w:color w:val="auto"/>
                <w:sz w:val="21"/>
                <w:szCs w:val="18"/>
              </w:rPr>
              <w:t>占标率/%</w:t>
            </w:r>
          </w:p>
        </w:tc>
        <w:tc>
          <w:tcPr>
            <w:tcW w:w="1153" w:type="dxa"/>
            <w:tcBorders>
              <w:top w:val="single" w:color="000000" w:sz="12" w:space="0"/>
              <w:right w:val="nil"/>
            </w:tcBorders>
            <w:vAlign w:val="center"/>
          </w:tcPr>
          <w:p w14:paraId="58DA992D">
            <w:pPr>
              <w:jc w:val="center"/>
              <w:rPr>
                <w:rFonts w:ascii="Times New Roman" w:hAnsi="Times New Roman" w:cs="Times New Roman"/>
                <w:b/>
                <w:bCs/>
                <w:color w:val="auto"/>
                <w:sz w:val="21"/>
                <w:szCs w:val="18"/>
              </w:rPr>
            </w:pPr>
            <w:r>
              <w:rPr>
                <w:rFonts w:ascii="Times New Roman" w:hAnsi="Times New Roman" w:cs="Times New Roman"/>
                <w:b/>
                <w:bCs/>
                <w:color w:val="auto"/>
                <w:sz w:val="21"/>
                <w:szCs w:val="18"/>
              </w:rPr>
              <w:t>达标情况</w:t>
            </w:r>
          </w:p>
        </w:tc>
      </w:tr>
      <w:tr w14:paraId="7C1DD6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031" w:type="dxa"/>
            <w:tcBorders>
              <w:left w:val="nil"/>
            </w:tcBorders>
            <w:vAlign w:val="center"/>
          </w:tcPr>
          <w:p w14:paraId="2AF132BA">
            <w:pPr>
              <w:jc w:val="center"/>
              <w:rPr>
                <w:rFonts w:ascii="Times New Roman" w:hAnsi="Times New Roman" w:cs="Times New Roman"/>
                <w:color w:val="auto"/>
                <w:sz w:val="21"/>
                <w:szCs w:val="18"/>
              </w:rPr>
            </w:pPr>
            <w:r>
              <w:rPr>
                <w:rFonts w:ascii="Times New Roman" w:hAnsi="Times New Roman" w:cs="Times New Roman"/>
                <w:color w:val="auto"/>
                <w:sz w:val="21"/>
                <w:szCs w:val="18"/>
              </w:rPr>
              <w:t>SO</w:t>
            </w:r>
            <w:r>
              <w:rPr>
                <w:rFonts w:ascii="Times New Roman" w:hAnsi="Times New Roman" w:cs="Times New Roman"/>
                <w:color w:val="auto"/>
                <w:sz w:val="21"/>
                <w:szCs w:val="18"/>
                <w:vertAlign w:val="subscript"/>
              </w:rPr>
              <w:t>2</w:t>
            </w:r>
          </w:p>
        </w:tc>
        <w:tc>
          <w:tcPr>
            <w:tcW w:w="2367" w:type="dxa"/>
            <w:vAlign w:val="center"/>
          </w:tcPr>
          <w:p w14:paraId="0233D494">
            <w:pPr>
              <w:jc w:val="center"/>
              <w:rPr>
                <w:rFonts w:ascii="Times New Roman" w:hAnsi="Times New Roman" w:cs="Times New Roman"/>
                <w:color w:val="auto"/>
                <w:sz w:val="21"/>
                <w:szCs w:val="18"/>
              </w:rPr>
            </w:pPr>
            <w:r>
              <w:rPr>
                <w:rFonts w:ascii="Times New Roman" w:hAnsi="Times New Roman" w:cs="Times New Roman"/>
                <w:color w:val="auto"/>
                <w:sz w:val="21"/>
                <w:szCs w:val="18"/>
              </w:rPr>
              <w:t>年平均质量浓度</w:t>
            </w:r>
          </w:p>
        </w:tc>
        <w:tc>
          <w:tcPr>
            <w:tcW w:w="2019" w:type="dxa"/>
            <w:vAlign w:val="center"/>
          </w:tcPr>
          <w:p w14:paraId="196EDE6D">
            <w:pPr>
              <w:jc w:val="center"/>
              <w:rPr>
                <w:rFonts w:ascii="Times New Roman" w:hAnsi="Times New Roman" w:cs="Times New Roman"/>
                <w:color w:val="auto"/>
                <w:sz w:val="21"/>
                <w:szCs w:val="18"/>
                <w:lang w:eastAsia="zh-CN"/>
              </w:rPr>
            </w:pPr>
            <w:r>
              <w:rPr>
                <w:rFonts w:hint="eastAsia" w:ascii="Times New Roman" w:hAnsi="Times New Roman" w:cs="Times New Roman"/>
                <w:color w:val="auto"/>
                <w:sz w:val="21"/>
                <w:szCs w:val="18"/>
                <w:lang w:eastAsia="zh-CN"/>
              </w:rPr>
              <w:t>7</w:t>
            </w:r>
          </w:p>
        </w:tc>
        <w:tc>
          <w:tcPr>
            <w:tcW w:w="1688" w:type="dxa"/>
            <w:vAlign w:val="center"/>
          </w:tcPr>
          <w:p w14:paraId="4D57B8F7">
            <w:pPr>
              <w:jc w:val="center"/>
              <w:rPr>
                <w:rFonts w:ascii="Times New Roman" w:hAnsi="Times New Roman" w:cs="Times New Roman"/>
                <w:color w:val="auto"/>
                <w:sz w:val="21"/>
                <w:szCs w:val="18"/>
              </w:rPr>
            </w:pPr>
            <w:r>
              <w:rPr>
                <w:rFonts w:ascii="Times New Roman" w:hAnsi="Times New Roman" w:cs="Times New Roman"/>
                <w:color w:val="auto"/>
                <w:sz w:val="21"/>
                <w:szCs w:val="18"/>
              </w:rPr>
              <w:t>60</w:t>
            </w:r>
          </w:p>
        </w:tc>
        <w:tc>
          <w:tcPr>
            <w:tcW w:w="1470" w:type="dxa"/>
            <w:vAlign w:val="center"/>
          </w:tcPr>
          <w:p w14:paraId="395FC382">
            <w:pPr>
              <w:jc w:val="center"/>
              <w:rPr>
                <w:rFonts w:ascii="Times New Roman" w:hAnsi="Times New Roman" w:cs="Times New Roman"/>
                <w:color w:val="auto"/>
                <w:sz w:val="21"/>
                <w:szCs w:val="18"/>
                <w:lang w:eastAsia="zh-CN"/>
              </w:rPr>
            </w:pPr>
            <w:r>
              <w:rPr>
                <w:rFonts w:hint="eastAsia" w:ascii="Times New Roman" w:hAnsi="Times New Roman" w:cs="Times New Roman"/>
                <w:color w:val="auto"/>
                <w:sz w:val="21"/>
                <w:szCs w:val="18"/>
                <w:lang w:eastAsia="zh-CN"/>
              </w:rPr>
              <w:t>11.7</w:t>
            </w:r>
          </w:p>
        </w:tc>
        <w:tc>
          <w:tcPr>
            <w:tcW w:w="1153" w:type="dxa"/>
            <w:tcBorders>
              <w:right w:val="nil"/>
            </w:tcBorders>
            <w:vAlign w:val="center"/>
          </w:tcPr>
          <w:p w14:paraId="29DC1BA8">
            <w:pPr>
              <w:jc w:val="center"/>
              <w:rPr>
                <w:rFonts w:ascii="Times New Roman" w:hAnsi="Times New Roman" w:cs="Times New Roman"/>
                <w:color w:val="auto"/>
                <w:sz w:val="21"/>
                <w:szCs w:val="18"/>
              </w:rPr>
            </w:pPr>
            <w:r>
              <w:rPr>
                <w:rFonts w:ascii="Times New Roman" w:hAnsi="Times New Roman" w:cs="Times New Roman"/>
                <w:color w:val="auto"/>
                <w:sz w:val="21"/>
                <w:szCs w:val="18"/>
              </w:rPr>
              <w:t>达标</w:t>
            </w:r>
          </w:p>
        </w:tc>
      </w:tr>
      <w:tr w14:paraId="278671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031" w:type="dxa"/>
            <w:tcBorders>
              <w:left w:val="nil"/>
            </w:tcBorders>
            <w:vAlign w:val="center"/>
          </w:tcPr>
          <w:p w14:paraId="1FAE1D2B">
            <w:pPr>
              <w:jc w:val="center"/>
              <w:rPr>
                <w:rFonts w:ascii="Times New Roman" w:hAnsi="Times New Roman" w:cs="Times New Roman"/>
                <w:color w:val="auto"/>
                <w:sz w:val="21"/>
                <w:szCs w:val="18"/>
              </w:rPr>
            </w:pPr>
            <w:r>
              <w:rPr>
                <w:rFonts w:ascii="Times New Roman" w:hAnsi="Times New Roman" w:cs="Times New Roman"/>
                <w:color w:val="auto"/>
                <w:sz w:val="21"/>
                <w:szCs w:val="18"/>
              </w:rPr>
              <w:t>NO</w:t>
            </w:r>
            <w:r>
              <w:rPr>
                <w:rFonts w:ascii="Times New Roman" w:hAnsi="Times New Roman" w:cs="Times New Roman"/>
                <w:color w:val="auto"/>
                <w:sz w:val="21"/>
                <w:szCs w:val="18"/>
                <w:vertAlign w:val="subscript"/>
              </w:rPr>
              <w:t>2</w:t>
            </w:r>
          </w:p>
        </w:tc>
        <w:tc>
          <w:tcPr>
            <w:tcW w:w="2367" w:type="dxa"/>
            <w:vAlign w:val="center"/>
          </w:tcPr>
          <w:p w14:paraId="75A1C3AC">
            <w:pPr>
              <w:jc w:val="center"/>
              <w:rPr>
                <w:rFonts w:ascii="Times New Roman" w:hAnsi="Times New Roman" w:cs="Times New Roman"/>
                <w:color w:val="auto"/>
                <w:sz w:val="21"/>
                <w:szCs w:val="18"/>
              </w:rPr>
            </w:pPr>
            <w:r>
              <w:rPr>
                <w:rFonts w:ascii="Times New Roman" w:hAnsi="Times New Roman" w:cs="Times New Roman"/>
                <w:color w:val="auto"/>
                <w:sz w:val="21"/>
                <w:szCs w:val="18"/>
              </w:rPr>
              <w:t>年平均质量浓度</w:t>
            </w:r>
          </w:p>
        </w:tc>
        <w:tc>
          <w:tcPr>
            <w:tcW w:w="2019" w:type="dxa"/>
            <w:vAlign w:val="center"/>
          </w:tcPr>
          <w:p w14:paraId="59DCA182">
            <w:pPr>
              <w:jc w:val="center"/>
              <w:rPr>
                <w:rFonts w:ascii="Times New Roman" w:hAnsi="Times New Roman" w:cs="Times New Roman"/>
                <w:color w:val="auto"/>
                <w:sz w:val="21"/>
                <w:szCs w:val="18"/>
                <w:lang w:eastAsia="zh-CN"/>
              </w:rPr>
            </w:pPr>
            <w:r>
              <w:rPr>
                <w:rFonts w:hint="eastAsia" w:ascii="Times New Roman" w:hAnsi="Times New Roman" w:cs="Times New Roman"/>
                <w:color w:val="auto"/>
                <w:sz w:val="21"/>
                <w:szCs w:val="18"/>
                <w:lang w:eastAsia="zh-CN"/>
              </w:rPr>
              <w:t>21</w:t>
            </w:r>
          </w:p>
        </w:tc>
        <w:tc>
          <w:tcPr>
            <w:tcW w:w="1688" w:type="dxa"/>
            <w:vAlign w:val="center"/>
          </w:tcPr>
          <w:p w14:paraId="002CD42B">
            <w:pPr>
              <w:jc w:val="center"/>
              <w:rPr>
                <w:rFonts w:ascii="Times New Roman" w:hAnsi="Times New Roman" w:cs="Times New Roman"/>
                <w:color w:val="auto"/>
                <w:sz w:val="21"/>
                <w:szCs w:val="18"/>
              </w:rPr>
            </w:pPr>
            <w:r>
              <w:rPr>
                <w:rFonts w:ascii="Times New Roman" w:hAnsi="Times New Roman" w:cs="Times New Roman"/>
                <w:color w:val="auto"/>
                <w:sz w:val="21"/>
                <w:szCs w:val="18"/>
              </w:rPr>
              <w:t>40</w:t>
            </w:r>
          </w:p>
        </w:tc>
        <w:tc>
          <w:tcPr>
            <w:tcW w:w="1470" w:type="dxa"/>
            <w:vAlign w:val="center"/>
          </w:tcPr>
          <w:p w14:paraId="52D4243A">
            <w:pPr>
              <w:jc w:val="center"/>
              <w:rPr>
                <w:rFonts w:ascii="Times New Roman" w:hAnsi="Times New Roman" w:cs="Times New Roman"/>
                <w:color w:val="auto"/>
                <w:sz w:val="21"/>
                <w:szCs w:val="18"/>
                <w:lang w:eastAsia="zh-CN"/>
              </w:rPr>
            </w:pPr>
            <w:r>
              <w:rPr>
                <w:rFonts w:hint="eastAsia" w:ascii="Times New Roman" w:hAnsi="Times New Roman" w:cs="Times New Roman"/>
                <w:color w:val="auto"/>
                <w:sz w:val="21"/>
                <w:szCs w:val="18"/>
                <w:lang w:eastAsia="zh-CN"/>
              </w:rPr>
              <w:t>52.5</w:t>
            </w:r>
          </w:p>
        </w:tc>
        <w:tc>
          <w:tcPr>
            <w:tcW w:w="1153" w:type="dxa"/>
            <w:tcBorders>
              <w:right w:val="nil"/>
            </w:tcBorders>
            <w:vAlign w:val="center"/>
          </w:tcPr>
          <w:p w14:paraId="2F7E9E2A">
            <w:pPr>
              <w:jc w:val="center"/>
              <w:rPr>
                <w:rFonts w:ascii="Times New Roman" w:hAnsi="Times New Roman" w:cs="Times New Roman"/>
                <w:color w:val="auto"/>
                <w:sz w:val="21"/>
                <w:szCs w:val="18"/>
              </w:rPr>
            </w:pPr>
            <w:r>
              <w:rPr>
                <w:rFonts w:ascii="Times New Roman" w:hAnsi="Times New Roman" w:cs="Times New Roman"/>
                <w:color w:val="auto"/>
                <w:sz w:val="21"/>
                <w:szCs w:val="18"/>
              </w:rPr>
              <w:t>达标</w:t>
            </w:r>
          </w:p>
        </w:tc>
      </w:tr>
      <w:tr w14:paraId="7E24B2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031" w:type="dxa"/>
            <w:tcBorders>
              <w:left w:val="nil"/>
            </w:tcBorders>
            <w:vAlign w:val="center"/>
          </w:tcPr>
          <w:p w14:paraId="6BD01B13">
            <w:pPr>
              <w:jc w:val="center"/>
              <w:rPr>
                <w:rFonts w:ascii="Times New Roman" w:hAnsi="Times New Roman" w:cs="Times New Roman"/>
                <w:color w:val="auto"/>
                <w:sz w:val="21"/>
                <w:szCs w:val="18"/>
              </w:rPr>
            </w:pPr>
            <w:r>
              <w:rPr>
                <w:rFonts w:ascii="Times New Roman" w:hAnsi="Times New Roman" w:cs="Times New Roman"/>
                <w:color w:val="auto"/>
                <w:sz w:val="21"/>
                <w:szCs w:val="18"/>
              </w:rPr>
              <w:t>PM</w:t>
            </w:r>
            <w:r>
              <w:rPr>
                <w:rFonts w:ascii="Times New Roman" w:hAnsi="Times New Roman" w:cs="Times New Roman"/>
                <w:color w:val="auto"/>
                <w:sz w:val="21"/>
                <w:szCs w:val="18"/>
                <w:vertAlign w:val="subscript"/>
              </w:rPr>
              <w:t>10</w:t>
            </w:r>
          </w:p>
        </w:tc>
        <w:tc>
          <w:tcPr>
            <w:tcW w:w="2367" w:type="dxa"/>
            <w:vAlign w:val="center"/>
          </w:tcPr>
          <w:p w14:paraId="29ABA722">
            <w:pPr>
              <w:jc w:val="center"/>
              <w:rPr>
                <w:rFonts w:ascii="Times New Roman" w:hAnsi="Times New Roman" w:cs="Times New Roman"/>
                <w:color w:val="auto"/>
                <w:sz w:val="21"/>
                <w:szCs w:val="18"/>
              </w:rPr>
            </w:pPr>
            <w:r>
              <w:rPr>
                <w:rFonts w:ascii="Times New Roman" w:hAnsi="Times New Roman" w:cs="Times New Roman"/>
                <w:color w:val="auto"/>
                <w:sz w:val="21"/>
                <w:szCs w:val="18"/>
              </w:rPr>
              <w:t>年平均质量浓度</w:t>
            </w:r>
          </w:p>
        </w:tc>
        <w:tc>
          <w:tcPr>
            <w:tcW w:w="2019" w:type="dxa"/>
            <w:vAlign w:val="center"/>
          </w:tcPr>
          <w:p w14:paraId="39378750">
            <w:pPr>
              <w:jc w:val="center"/>
              <w:rPr>
                <w:rFonts w:ascii="Times New Roman" w:hAnsi="Times New Roman" w:cs="Times New Roman"/>
                <w:color w:val="auto"/>
                <w:sz w:val="21"/>
                <w:szCs w:val="18"/>
                <w:lang w:eastAsia="zh-CN"/>
              </w:rPr>
            </w:pPr>
            <w:r>
              <w:rPr>
                <w:rFonts w:hint="eastAsia" w:ascii="Times New Roman" w:hAnsi="Times New Roman" w:cs="Times New Roman"/>
                <w:color w:val="auto"/>
                <w:sz w:val="21"/>
                <w:szCs w:val="18"/>
                <w:lang w:eastAsia="zh-CN"/>
              </w:rPr>
              <w:t>61</w:t>
            </w:r>
          </w:p>
        </w:tc>
        <w:tc>
          <w:tcPr>
            <w:tcW w:w="1688" w:type="dxa"/>
            <w:vAlign w:val="center"/>
          </w:tcPr>
          <w:p w14:paraId="224ED83D">
            <w:pPr>
              <w:jc w:val="center"/>
              <w:rPr>
                <w:rFonts w:ascii="Times New Roman" w:hAnsi="Times New Roman" w:cs="Times New Roman"/>
                <w:color w:val="auto"/>
                <w:sz w:val="21"/>
                <w:szCs w:val="18"/>
              </w:rPr>
            </w:pPr>
            <w:r>
              <w:rPr>
                <w:rFonts w:ascii="Times New Roman" w:hAnsi="Times New Roman" w:cs="Times New Roman"/>
                <w:color w:val="auto"/>
                <w:sz w:val="21"/>
                <w:szCs w:val="18"/>
              </w:rPr>
              <w:t>70</w:t>
            </w:r>
          </w:p>
        </w:tc>
        <w:tc>
          <w:tcPr>
            <w:tcW w:w="1470" w:type="dxa"/>
            <w:vAlign w:val="center"/>
          </w:tcPr>
          <w:p w14:paraId="45CA5D46">
            <w:pPr>
              <w:jc w:val="center"/>
              <w:rPr>
                <w:rFonts w:ascii="Times New Roman" w:hAnsi="Times New Roman" w:cs="Times New Roman"/>
                <w:color w:val="auto"/>
                <w:sz w:val="21"/>
                <w:szCs w:val="18"/>
                <w:lang w:eastAsia="zh-CN"/>
              </w:rPr>
            </w:pPr>
            <w:r>
              <w:rPr>
                <w:rFonts w:hint="eastAsia" w:ascii="Times New Roman" w:hAnsi="Times New Roman" w:cs="Times New Roman"/>
                <w:color w:val="auto"/>
                <w:sz w:val="21"/>
                <w:szCs w:val="18"/>
                <w:lang w:eastAsia="zh-CN"/>
              </w:rPr>
              <w:t>87.1</w:t>
            </w:r>
          </w:p>
        </w:tc>
        <w:tc>
          <w:tcPr>
            <w:tcW w:w="1153" w:type="dxa"/>
            <w:tcBorders>
              <w:right w:val="nil"/>
            </w:tcBorders>
            <w:vAlign w:val="center"/>
          </w:tcPr>
          <w:p w14:paraId="7F691A59">
            <w:pPr>
              <w:jc w:val="center"/>
              <w:rPr>
                <w:rFonts w:ascii="Times New Roman" w:hAnsi="Times New Roman" w:cs="Times New Roman"/>
                <w:color w:val="auto"/>
                <w:sz w:val="21"/>
                <w:szCs w:val="18"/>
              </w:rPr>
            </w:pPr>
            <w:r>
              <w:rPr>
                <w:rFonts w:ascii="Times New Roman" w:hAnsi="Times New Roman" w:cs="Times New Roman"/>
                <w:color w:val="auto"/>
                <w:sz w:val="21"/>
                <w:szCs w:val="18"/>
              </w:rPr>
              <w:t>达标</w:t>
            </w:r>
          </w:p>
        </w:tc>
      </w:tr>
      <w:tr w14:paraId="0275C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031" w:type="dxa"/>
            <w:tcBorders>
              <w:left w:val="nil"/>
            </w:tcBorders>
            <w:vAlign w:val="center"/>
          </w:tcPr>
          <w:p w14:paraId="60F226C3">
            <w:pPr>
              <w:jc w:val="center"/>
              <w:rPr>
                <w:rFonts w:ascii="Times New Roman" w:hAnsi="Times New Roman" w:cs="Times New Roman"/>
                <w:color w:val="auto"/>
                <w:sz w:val="21"/>
                <w:szCs w:val="18"/>
              </w:rPr>
            </w:pPr>
            <w:r>
              <w:rPr>
                <w:rFonts w:ascii="Times New Roman" w:hAnsi="Times New Roman" w:cs="Times New Roman"/>
                <w:color w:val="auto"/>
                <w:sz w:val="21"/>
                <w:szCs w:val="18"/>
              </w:rPr>
              <w:t>PM</w:t>
            </w:r>
            <w:r>
              <w:rPr>
                <w:rFonts w:ascii="Times New Roman" w:hAnsi="Times New Roman" w:cs="Times New Roman"/>
                <w:color w:val="auto"/>
                <w:sz w:val="21"/>
                <w:szCs w:val="18"/>
                <w:vertAlign w:val="subscript"/>
              </w:rPr>
              <w:t>2.5</w:t>
            </w:r>
          </w:p>
        </w:tc>
        <w:tc>
          <w:tcPr>
            <w:tcW w:w="2367" w:type="dxa"/>
            <w:vAlign w:val="center"/>
          </w:tcPr>
          <w:p w14:paraId="44C5E4E0">
            <w:pPr>
              <w:jc w:val="center"/>
              <w:rPr>
                <w:rFonts w:ascii="Times New Roman" w:hAnsi="Times New Roman" w:cs="Times New Roman"/>
                <w:color w:val="auto"/>
                <w:sz w:val="21"/>
                <w:szCs w:val="18"/>
              </w:rPr>
            </w:pPr>
            <w:r>
              <w:rPr>
                <w:rFonts w:ascii="Times New Roman" w:hAnsi="Times New Roman" w:cs="Times New Roman"/>
                <w:color w:val="auto"/>
                <w:sz w:val="21"/>
                <w:szCs w:val="18"/>
              </w:rPr>
              <w:t>年平均质量浓度</w:t>
            </w:r>
          </w:p>
        </w:tc>
        <w:tc>
          <w:tcPr>
            <w:tcW w:w="2019" w:type="dxa"/>
            <w:vAlign w:val="center"/>
          </w:tcPr>
          <w:p w14:paraId="76EA3DA3">
            <w:pPr>
              <w:jc w:val="center"/>
              <w:rPr>
                <w:rFonts w:ascii="Times New Roman" w:hAnsi="Times New Roman" w:cs="Times New Roman"/>
                <w:color w:val="auto"/>
                <w:sz w:val="21"/>
                <w:szCs w:val="18"/>
                <w:lang w:eastAsia="zh-CN"/>
              </w:rPr>
            </w:pPr>
            <w:r>
              <w:rPr>
                <w:rFonts w:hint="eastAsia" w:ascii="Times New Roman" w:hAnsi="Times New Roman" w:cs="Times New Roman"/>
                <w:color w:val="auto"/>
                <w:sz w:val="21"/>
                <w:szCs w:val="18"/>
                <w:lang w:eastAsia="zh-CN"/>
              </w:rPr>
              <w:t>37</w:t>
            </w:r>
          </w:p>
        </w:tc>
        <w:tc>
          <w:tcPr>
            <w:tcW w:w="1688" w:type="dxa"/>
            <w:vAlign w:val="center"/>
          </w:tcPr>
          <w:p w14:paraId="134B955F">
            <w:pPr>
              <w:jc w:val="center"/>
              <w:rPr>
                <w:rFonts w:ascii="Times New Roman" w:hAnsi="Times New Roman" w:cs="Times New Roman"/>
                <w:color w:val="auto"/>
                <w:sz w:val="21"/>
                <w:szCs w:val="18"/>
                <w:lang w:eastAsia="zh-CN"/>
              </w:rPr>
            </w:pPr>
            <w:r>
              <w:rPr>
                <w:rFonts w:ascii="Times New Roman" w:hAnsi="Times New Roman" w:cs="Times New Roman"/>
                <w:color w:val="auto"/>
                <w:sz w:val="21"/>
                <w:szCs w:val="18"/>
                <w:lang w:eastAsia="zh-CN"/>
              </w:rPr>
              <w:t>35</w:t>
            </w:r>
          </w:p>
        </w:tc>
        <w:tc>
          <w:tcPr>
            <w:tcW w:w="1470" w:type="dxa"/>
            <w:vAlign w:val="center"/>
          </w:tcPr>
          <w:p w14:paraId="55AE1A6D">
            <w:pPr>
              <w:jc w:val="center"/>
              <w:rPr>
                <w:rFonts w:ascii="Times New Roman" w:hAnsi="Times New Roman" w:cs="Times New Roman"/>
                <w:color w:val="auto"/>
                <w:sz w:val="21"/>
                <w:szCs w:val="18"/>
                <w:lang w:eastAsia="zh-CN"/>
              </w:rPr>
            </w:pPr>
            <w:r>
              <w:rPr>
                <w:rFonts w:hint="eastAsia" w:ascii="Times New Roman" w:hAnsi="Times New Roman" w:cs="Times New Roman"/>
                <w:color w:val="auto"/>
                <w:sz w:val="21"/>
                <w:szCs w:val="18"/>
                <w:lang w:eastAsia="zh-CN"/>
              </w:rPr>
              <w:t>105.7</w:t>
            </w:r>
          </w:p>
        </w:tc>
        <w:tc>
          <w:tcPr>
            <w:tcW w:w="1153" w:type="dxa"/>
            <w:tcBorders>
              <w:right w:val="nil"/>
            </w:tcBorders>
            <w:vAlign w:val="center"/>
          </w:tcPr>
          <w:p w14:paraId="1338BB4A">
            <w:pPr>
              <w:jc w:val="center"/>
              <w:rPr>
                <w:rFonts w:ascii="Times New Roman" w:hAnsi="Times New Roman" w:cs="Times New Roman"/>
                <w:color w:val="auto"/>
                <w:sz w:val="21"/>
                <w:szCs w:val="18"/>
              </w:rPr>
            </w:pPr>
            <w:r>
              <w:rPr>
                <w:rFonts w:hint="eastAsia" w:ascii="Times New Roman" w:hAnsi="Times New Roman" w:cs="Times New Roman"/>
                <w:color w:val="auto"/>
                <w:sz w:val="21"/>
                <w:szCs w:val="18"/>
                <w:lang w:eastAsia="zh-CN"/>
              </w:rPr>
              <w:t>不</w:t>
            </w:r>
            <w:r>
              <w:rPr>
                <w:rFonts w:ascii="Times New Roman" w:hAnsi="Times New Roman" w:cs="Times New Roman"/>
                <w:color w:val="auto"/>
                <w:sz w:val="21"/>
                <w:szCs w:val="18"/>
              </w:rPr>
              <w:t>达标</w:t>
            </w:r>
          </w:p>
        </w:tc>
      </w:tr>
      <w:tr w14:paraId="217276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031" w:type="dxa"/>
            <w:tcBorders>
              <w:left w:val="nil"/>
            </w:tcBorders>
            <w:vAlign w:val="center"/>
          </w:tcPr>
          <w:p w14:paraId="7BEFB216">
            <w:pPr>
              <w:jc w:val="center"/>
              <w:rPr>
                <w:rFonts w:ascii="Times New Roman" w:hAnsi="Times New Roman" w:cs="Times New Roman"/>
                <w:color w:val="auto"/>
                <w:sz w:val="21"/>
                <w:szCs w:val="18"/>
              </w:rPr>
            </w:pPr>
            <w:r>
              <w:rPr>
                <w:rFonts w:ascii="Times New Roman" w:hAnsi="Times New Roman" w:cs="Times New Roman"/>
                <w:color w:val="auto"/>
                <w:sz w:val="21"/>
                <w:szCs w:val="18"/>
              </w:rPr>
              <w:t>CO</w:t>
            </w:r>
          </w:p>
        </w:tc>
        <w:tc>
          <w:tcPr>
            <w:tcW w:w="2367" w:type="dxa"/>
            <w:vAlign w:val="center"/>
          </w:tcPr>
          <w:p w14:paraId="358FF8BF">
            <w:pPr>
              <w:jc w:val="center"/>
              <w:rPr>
                <w:rFonts w:ascii="Times New Roman" w:hAnsi="Times New Roman" w:cs="Times New Roman"/>
                <w:color w:val="auto"/>
                <w:sz w:val="21"/>
                <w:szCs w:val="18"/>
                <w:lang w:eastAsia="zh-CN"/>
              </w:rPr>
            </w:pPr>
            <w:r>
              <w:rPr>
                <w:rFonts w:ascii="Times New Roman" w:hAnsi="Times New Roman" w:cs="Times New Roman"/>
                <w:color w:val="auto"/>
                <w:sz w:val="21"/>
                <w:szCs w:val="18"/>
                <w:lang w:eastAsia="zh-CN"/>
              </w:rPr>
              <w:t>日平均第95百分位数质量浓度</w:t>
            </w:r>
          </w:p>
        </w:tc>
        <w:tc>
          <w:tcPr>
            <w:tcW w:w="2019" w:type="dxa"/>
            <w:vAlign w:val="center"/>
          </w:tcPr>
          <w:p w14:paraId="6F468070">
            <w:pPr>
              <w:jc w:val="center"/>
              <w:rPr>
                <w:rFonts w:ascii="Times New Roman" w:hAnsi="Times New Roman" w:cs="Times New Roman"/>
                <w:color w:val="auto"/>
                <w:sz w:val="21"/>
                <w:szCs w:val="18"/>
                <w:lang w:eastAsia="zh-CN"/>
              </w:rPr>
            </w:pPr>
            <w:r>
              <w:rPr>
                <w:rFonts w:hint="eastAsia" w:ascii="Times New Roman" w:hAnsi="Times New Roman" w:cs="Times New Roman"/>
                <w:color w:val="auto"/>
                <w:sz w:val="21"/>
                <w:szCs w:val="18"/>
                <w:lang w:eastAsia="zh-CN"/>
              </w:rPr>
              <w:t>800</w:t>
            </w:r>
          </w:p>
        </w:tc>
        <w:tc>
          <w:tcPr>
            <w:tcW w:w="1688" w:type="dxa"/>
            <w:vAlign w:val="center"/>
          </w:tcPr>
          <w:p w14:paraId="7EBA4CB5">
            <w:pPr>
              <w:jc w:val="center"/>
              <w:rPr>
                <w:rFonts w:ascii="Times New Roman" w:hAnsi="Times New Roman" w:cs="Times New Roman"/>
                <w:color w:val="auto"/>
                <w:sz w:val="21"/>
                <w:szCs w:val="18"/>
              </w:rPr>
            </w:pPr>
            <w:r>
              <w:rPr>
                <w:rFonts w:ascii="Times New Roman" w:hAnsi="Times New Roman" w:cs="Times New Roman"/>
                <w:color w:val="auto"/>
                <w:sz w:val="21"/>
                <w:szCs w:val="18"/>
              </w:rPr>
              <w:t>4000</w:t>
            </w:r>
          </w:p>
        </w:tc>
        <w:tc>
          <w:tcPr>
            <w:tcW w:w="1470" w:type="dxa"/>
            <w:vAlign w:val="center"/>
          </w:tcPr>
          <w:p w14:paraId="4C1DBE0E">
            <w:pPr>
              <w:jc w:val="center"/>
              <w:rPr>
                <w:rFonts w:ascii="Times New Roman" w:hAnsi="Times New Roman" w:cs="Times New Roman"/>
                <w:color w:val="auto"/>
                <w:sz w:val="21"/>
                <w:szCs w:val="18"/>
                <w:lang w:eastAsia="zh-CN"/>
              </w:rPr>
            </w:pPr>
            <w:r>
              <w:rPr>
                <w:rFonts w:hint="eastAsia" w:ascii="Times New Roman" w:hAnsi="Times New Roman" w:cs="Times New Roman"/>
                <w:color w:val="auto"/>
                <w:sz w:val="21"/>
                <w:szCs w:val="18"/>
                <w:lang w:eastAsia="zh-CN"/>
              </w:rPr>
              <w:t>20</w:t>
            </w:r>
          </w:p>
        </w:tc>
        <w:tc>
          <w:tcPr>
            <w:tcW w:w="1153" w:type="dxa"/>
            <w:tcBorders>
              <w:right w:val="nil"/>
            </w:tcBorders>
            <w:vAlign w:val="center"/>
          </w:tcPr>
          <w:p w14:paraId="2C10F422">
            <w:pPr>
              <w:jc w:val="center"/>
              <w:rPr>
                <w:rFonts w:ascii="Times New Roman" w:hAnsi="Times New Roman" w:cs="Times New Roman"/>
                <w:color w:val="auto"/>
                <w:sz w:val="21"/>
                <w:szCs w:val="18"/>
              </w:rPr>
            </w:pPr>
            <w:r>
              <w:rPr>
                <w:rFonts w:ascii="Times New Roman" w:hAnsi="Times New Roman" w:cs="Times New Roman"/>
                <w:color w:val="auto"/>
                <w:sz w:val="21"/>
                <w:szCs w:val="18"/>
              </w:rPr>
              <w:t>达标</w:t>
            </w:r>
          </w:p>
        </w:tc>
      </w:tr>
      <w:tr w14:paraId="1CEAD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031" w:type="dxa"/>
            <w:tcBorders>
              <w:left w:val="nil"/>
              <w:bottom w:val="single" w:color="000000" w:sz="12" w:space="0"/>
            </w:tcBorders>
            <w:vAlign w:val="center"/>
          </w:tcPr>
          <w:p w14:paraId="3F277EF4">
            <w:pPr>
              <w:jc w:val="center"/>
              <w:rPr>
                <w:rFonts w:ascii="Times New Roman" w:hAnsi="Times New Roman" w:cs="Times New Roman"/>
                <w:color w:val="auto"/>
                <w:sz w:val="21"/>
                <w:szCs w:val="18"/>
              </w:rPr>
            </w:pPr>
            <w:r>
              <w:rPr>
                <w:rFonts w:ascii="Times New Roman" w:hAnsi="Times New Roman" w:cs="Times New Roman"/>
                <w:color w:val="auto"/>
                <w:sz w:val="21"/>
                <w:szCs w:val="18"/>
              </w:rPr>
              <w:t>O</w:t>
            </w:r>
            <w:r>
              <w:rPr>
                <w:rFonts w:ascii="Times New Roman" w:hAnsi="Times New Roman" w:cs="Times New Roman"/>
                <w:color w:val="auto"/>
                <w:sz w:val="21"/>
                <w:szCs w:val="18"/>
                <w:vertAlign w:val="subscript"/>
              </w:rPr>
              <w:t>3</w:t>
            </w:r>
          </w:p>
        </w:tc>
        <w:tc>
          <w:tcPr>
            <w:tcW w:w="2367" w:type="dxa"/>
            <w:tcBorders>
              <w:bottom w:val="single" w:color="000000" w:sz="12" w:space="0"/>
            </w:tcBorders>
            <w:vAlign w:val="center"/>
          </w:tcPr>
          <w:p w14:paraId="693E3340">
            <w:pPr>
              <w:jc w:val="center"/>
              <w:rPr>
                <w:rFonts w:ascii="Times New Roman" w:hAnsi="Times New Roman" w:cs="Times New Roman"/>
                <w:color w:val="auto"/>
                <w:sz w:val="21"/>
                <w:szCs w:val="18"/>
                <w:lang w:eastAsia="zh-CN"/>
              </w:rPr>
            </w:pPr>
            <w:r>
              <w:rPr>
                <w:rFonts w:ascii="Times New Roman" w:hAnsi="Times New Roman" w:cs="Times New Roman"/>
                <w:color w:val="auto"/>
                <w:sz w:val="21"/>
                <w:szCs w:val="18"/>
                <w:lang w:eastAsia="zh-CN"/>
              </w:rPr>
              <w:t>最大8 h滑动平均第90百分位数质量浓度</w:t>
            </w:r>
          </w:p>
        </w:tc>
        <w:tc>
          <w:tcPr>
            <w:tcW w:w="2019" w:type="dxa"/>
            <w:tcBorders>
              <w:bottom w:val="single" w:color="000000" w:sz="12" w:space="0"/>
            </w:tcBorders>
            <w:vAlign w:val="center"/>
          </w:tcPr>
          <w:p w14:paraId="12410B93">
            <w:pPr>
              <w:jc w:val="center"/>
              <w:rPr>
                <w:rFonts w:ascii="Times New Roman" w:hAnsi="Times New Roman" w:cs="Times New Roman"/>
                <w:color w:val="auto"/>
                <w:sz w:val="21"/>
                <w:szCs w:val="18"/>
                <w:lang w:eastAsia="zh-CN"/>
              </w:rPr>
            </w:pPr>
            <w:r>
              <w:rPr>
                <w:rFonts w:hint="eastAsia" w:ascii="Times New Roman" w:hAnsi="Times New Roman" w:cs="Times New Roman"/>
                <w:color w:val="auto"/>
                <w:sz w:val="21"/>
                <w:szCs w:val="18"/>
                <w:lang w:eastAsia="zh-CN"/>
              </w:rPr>
              <w:t>156</w:t>
            </w:r>
          </w:p>
        </w:tc>
        <w:tc>
          <w:tcPr>
            <w:tcW w:w="1688" w:type="dxa"/>
            <w:tcBorders>
              <w:bottom w:val="single" w:color="000000" w:sz="12" w:space="0"/>
            </w:tcBorders>
            <w:vAlign w:val="center"/>
          </w:tcPr>
          <w:p w14:paraId="6465BA67">
            <w:pPr>
              <w:jc w:val="center"/>
              <w:rPr>
                <w:rFonts w:ascii="Times New Roman" w:hAnsi="Times New Roman" w:cs="Times New Roman"/>
                <w:color w:val="auto"/>
                <w:sz w:val="21"/>
                <w:szCs w:val="18"/>
              </w:rPr>
            </w:pPr>
            <w:r>
              <w:rPr>
                <w:rFonts w:ascii="Times New Roman" w:hAnsi="Times New Roman" w:cs="Times New Roman"/>
                <w:color w:val="auto"/>
                <w:sz w:val="21"/>
                <w:szCs w:val="18"/>
              </w:rPr>
              <w:t>160</w:t>
            </w:r>
          </w:p>
        </w:tc>
        <w:tc>
          <w:tcPr>
            <w:tcW w:w="1470" w:type="dxa"/>
            <w:tcBorders>
              <w:bottom w:val="single" w:color="000000" w:sz="12" w:space="0"/>
            </w:tcBorders>
            <w:vAlign w:val="center"/>
          </w:tcPr>
          <w:p w14:paraId="2DACDD82">
            <w:pPr>
              <w:jc w:val="center"/>
              <w:rPr>
                <w:rFonts w:ascii="Times New Roman" w:hAnsi="Times New Roman" w:cs="Times New Roman"/>
                <w:color w:val="auto"/>
                <w:sz w:val="21"/>
                <w:szCs w:val="18"/>
                <w:lang w:eastAsia="zh-CN"/>
              </w:rPr>
            </w:pPr>
            <w:r>
              <w:rPr>
                <w:rFonts w:hint="eastAsia" w:ascii="Times New Roman" w:hAnsi="Times New Roman" w:cs="Times New Roman"/>
                <w:color w:val="auto"/>
                <w:sz w:val="21"/>
                <w:szCs w:val="18"/>
                <w:lang w:eastAsia="zh-CN"/>
              </w:rPr>
              <w:t>97.5</w:t>
            </w:r>
          </w:p>
        </w:tc>
        <w:tc>
          <w:tcPr>
            <w:tcW w:w="1153" w:type="dxa"/>
            <w:tcBorders>
              <w:bottom w:val="single" w:color="000000" w:sz="12" w:space="0"/>
              <w:right w:val="nil"/>
            </w:tcBorders>
            <w:vAlign w:val="center"/>
          </w:tcPr>
          <w:p w14:paraId="5BBA80C4">
            <w:pPr>
              <w:jc w:val="center"/>
              <w:rPr>
                <w:rFonts w:ascii="Times New Roman" w:hAnsi="Times New Roman" w:cs="Times New Roman"/>
                <w:color w:val="auto"/>
                <w:sz w:val="21"/>
                <w:szCs w:val="18"/>
              </w:rPr>
            </w:pPr>
            <w:r>
              <w:rPr>
                <w:rFonts w:ascii="Times New Roman" w:hAnsi="Times New Roman" w:cs="Times New Roman"/>
                <w:color w:val="auto"/>
                <w:sz w:val="21"/>
                <w:szCs w:val="18"/>
              </w:rPr>
              <w:t>达标</w:t>
            </w:r>
          </w:p>
        </w:tc>
      </w:tr>
    </w:tbl>
    <w:p w14:paraId="1A24759C">
      <w:pPr>
        <w:widowControl w:val="0"/>
        <w:spacing w:line="360" w:lineRule="auto"/>
        <w:ind w:firstLine="480" w:firstLineChars="200"/>
        <w:jc w:val="both"/>
        <w:rPr>
          <w:color w:val="auto"/>
          <w:szCs w:val="24"/>
          <w:lang w:eastAsia="zh-CN"/>
        </w:rPr>
      </w:pPr>
      <w:r>
        <w:rPr>
          <w:rFonts w:ascii="Times New Roman" w:hAnsi="Times New Roman" w:cs="Times New Roman"/>
          <w:color w:val="auto"/>
          <w:szCs w:val="24"/>
          <w:lang w:eastAsia="zh-CN"/>
        </w:rPr>
        <w:t>根据数据统计可知，</w:t>
      </w:r>
      <w:r>
        <w:rPr>
          <w:rFonts w:hint="eastAsia" w:ascii="Times New Roman" w:hAnsi="Times New Roman" w:cs="Times New Roman"/>
          <w:color w:val="auto"/>
          <w:szCs w:val="24"/>
          <w:lang w:eastAsia="zh-CN"/>
        </w:rPr>
        <w:t>蚌埠市</w:t>
      </w:r>
      <w:r>
        <w:rPr>
          <w:rFonts w:ascii="Times New Roman" w:hAnsi="Times New Roman" w:cs="Times New Roman"/>
          <w:color w:val="auto"/>
          <w:szCs w:val="24"/>
          <w:lang w:eastAsia="zh-CN"/>
        </w:rPr>
        <w:t>202</w:t>
      </w:r>
      <w:r>
        <w:rPr>
          <w:rFonts w:hint="eastAsia" w:ascii="Times New Roman" w:hAnsi="Times New Roman" w:cs="Times New Roman"/>
          <w:color w:val="auto"/>
          <w:szCs w:val="24"/>
          <w:lang w:eastAsia="zh-CN"/>
        </w:rPr>
        <w:t>5</w:t>
      </w:r>
      <w:r>
        <w:rPr>
          <w:rFonts w:ascii="Times New Roman" w:hAnsi="Times New Roman" w:cs="Times New Roman"/>
          <w:color w:val="auto"/>
          <w:szCs w:val="24"/>
          <w:lang w:eastAsia="zh-CN"/>
        </w:rPr>
        <w:t>年</w:t>
      </w:r>
      <w:r>
        <w:rPr>
          <w:rFonts w:hint="eastAsia" w:ascii="Times New Roman" w:hAnsi="Times New Roman" w:cs="Times New Roman"/>
          <w:color w:val="auto"/>
          <w:szCs w:val="24"/>
          <w:lang w:eastAsia="zh-CN"/>
        </w:rPr>
        <w:t>环境空气基本</w:t>
      </w:r>
      <w:r>
        <w:rPr>
          <w:rFonts w:ascii="Times New Roman" w:hAnsi="Times New Roman" w:cs="Times New Roman"/>
          <w:color w:val="auto"/>
          <w:szCs w:val="24"/>
          <w:lang w:eastAsia="zh-CN"/>
        </w:rPr>
        <w:t>污染物SO</w:t>
      </w:r>
      <w:r>
        <w:rPr>
          <w:rFonts w:ascii="Times New Roman" w:hAnsi="Times New Roman" w:cs="Times New Roman"/>
          <w:color w:val="auto"/>
          <w:szCs w:val="24"/>
          <w:vertAlign w:val="subscript"/>
          <w:lang w:eastAsia="zh-CN"/>
        </w:rPr>
        <w:t>2</w:t>
      </w:r>
      <w:r>
        <w:rPr>
          <w:rFonts w:ascii="Times New Roman" w:hAnsi="Times New Roman" w:cs="Times New Roman"/>
          <w:color w:val="auto"/>
          <w:szCs w:val="24"/>
          <w:lang w:eastAsia="zh-CN"/>
        </w:rPr>
        <w:t>、NO</w:t>
      </w:r>
      <w:r>
        <w:rPr>
          <w:rFonts w:ascii="Times New Roman" w:hAnsi="Times New Roman" w:cs="Times New Roman"/>
          <w:color w:val="auto"/>
          <w:szCs w:val="24"/>
          <w:vertAlign w:val="subscript"/>
          <w:lang w:eastAsia="zh-CN"/>
        </w:rPr>
        <w:t>2</w:t>
      </w:r>
      <w:r>
        <w:rPr>
          <w:rFonts w:ascii="Times New Roman" w:hAnsi="Times New Roman" w:cs="Times New Roman"/>
          <w:color w:val="auto"/>
          <w:szCs w:val="24"/>
          <w:lang w:eastAsia="zh-CN"/>
        </w:rPr>
        <w:t xml:space="preserve"> 、CO 和 O</w:t>
      </w:r>
      <w:r>
        <w:rPr>
          <w:rFonts w:ascii="Times New Roman" w:hAnsi="Times New Roman" w:cs="Times New Roman"/>
          <w:color w:val="auto"/>
          <w:szCs w:val="24"/>
          <w:vertAlign w:val="subscript"/>
          <w:lang w:eastAsia="zh-CN"/>
        </w:rPr>
        <w:t>3</w:t>
      </w:r>
      <w:r>
        <w:rPr>
          <w:rFonts w:ascii="Times New Roman" w:hAnsi="Times New Roman" w:cs="Times New Roman"/>
          <w:color w:val="auto"/>
          <w:szCs w:val="24"/>
          <w:lang w:eastAsia="zh-CN"/>
        </w:rPr>
        <w:t xml:space="preserve"> 评价结果均满足《环境空气质量标准》（GB 3095-20</w:t>
      </w:r>
      <w:r>
        <w:rPr>
          <w:rFonts w:hint="eastAsia" w:ascii="Times New Roman" w:hAnsi="Times New Roman" w:cs="Times New Roman"/>
          <w:color w:val="auto"/>
          <w:szCs w:val="24"/>
          <w:lang w:eastAsia="zh-CN"/>
        </w:rPr>
        <w:t>12</w:t>
      </w:r>
      <w:r>
        <w:rPr>
          <w:rFonts w:ascii="Times New Roman" w:hAnsi="Times New Roman" w:cs="Times New Roman"/>
          <w:color w:val="auto"/>
          <w:szCs w:val="24"/>
          <w:lang w:eastAsia="zh-CN"/>
        </w:rPr>
        <w:t>）</w:t>
      </w:r>
      <w:r>
        <w:rPr>
          <w:rFonts w:hint="eastAsia" w:ascii="Times New Roman" w:hAnsi="Times New Roman" w:cs="Times New Roman"/>
          <w:color w:val="auto"/>
          <w:szCs w:val="24"/>
          <w:lang w:eastAsia="zh-CN"/>
        </w:rPr>
        <w:t>中二级</w:t>
      </w:r>
      <w:r>
        <w:rPr>
          <w:rFonts w:ascii="Times New Roman" w:hAnsi="Times New Roman" w:cs="Times New Roman"/>
          <w:color w:val="auto"/>
          <w:szCs w:val="24"/>
          <w:lang w:eastAsia="zh-CN"/>
        </w:rPr>
        <w:t>标准限值</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 xml:space="preserve"> PM</w:t>
      </w:r>
      <w:r>
        <w:rPr>
          <w:rFonts w:ascii="Times New Roman" w:hAnsi="Times New Roman" w:cs="Times New Roman"/>
          <w:color w:val="auto"/>
          <w:szCs w:val="24"/>
          <w:vertAlign w:val="subscript"/>
          <w:lang w:eastAsia="zh-CN"/>
        </w:rPr>
        <w:t>2.5</w:t>
      </w:r>
      <w:r>
        <w:rPr>
          <w:rFonts w:ascii="Times New Roman" w:hAnsi="Times New Roman" w:cs="Times New Roman"/>
          <w:color w:val="auto"/>
          <w:szCs w:val="24"/>
          <w:lang w:eastAsia="zh-CN"/>
        </w:rPr>
        <w:t xml:space="preserve"> </w:t>
      </w:r>
      <w:r>
        <w:rPr>
          <w:rFonts w:hint="eastAsia" w:ascii="Times New Roman" w:hAnsi="Times New Roman" w:cs="Times New Roman"/>
          <w:color w:val="auto"/>
          <w:szCs w:val="24"/>
          <w:lang w:eastAsia="zh-CN"/>
        </w:rPr>
        <w:t>年均浓度为37微克/立方米，不</w:t>
      </w:r>
      <w:r>
        <w:rPr>
          <w:rFonts w:ascii="Times New Roman" w:hAnsi="Times New Roman" w:cs="Times New Roman"/>
          <w:color w:val="auto"/>
          <w:szCs w:val="24"/>
          <w:lang w:eastAsia="zh-CN"/>
        </w:rPr>
        <w:t>满足《环境空气质量标准》（GB 3095-20</w:t>
      </w:r>
      <w:r>
        <w:rPr>
          <w:rFonts w:hint="eastAsia" w:ascii="Times New Roman" w:hAnsi="Times New Roman" w:cs="Times New Roman"/>
          <w:color w:val="auto"/>
          <w:szCs w:val="24"/>
          <w:lang w:eastAsia="zh-CN"/>
        </w:rPr>
        <w:t>12</w:t>
      </w:r>
      <w:r>
        <w:rPr>
          <w:rFonts w:ascii="Times New Roman" w:hAnsi="Times New Roman" w:cs="Times New Roman"/>
          <w:color w:val="auto"/>
          <w:szCs w:val="24"/>
          <w:lang w:eastAsia="zh-CN"/>
        </w:rPr>
        <w:t>）</w:t>
      </w:r>
      <w:r>
        <w:rPr>
          <w:rFonts w:hint="eastAsia" w:ascii="Times New Roman" w:hAnsi="Times New Roman" w:cs="Times New Roman"/>
          <w:color w:val="auto"/>
          <w:szCs w:val="24"/>
          <w:lang w:eastAsia="zh-CN"/>
        </w:rPr>
        <w:t>中二级</w:t>
      </w:r>
      <w:r>
        <w:rPr>
          <w:rFonts w:ascii="Times New Roman" w:hAnsi="Times New Roman" w:cs="Times New Roman"/>
          <w:color w:val="auto"/>
          <w:szCs w:val="24"/>
          <w:lang w:eastAsia="zh-CN"/>
        </w:rPr>
        <w:t>标准限值</w:t>
      </w:r>
      <w:r>
        <w:rPr>
          <w:rFonts w:hint="eastAsia" w:ascii="Times New Roman" w:hAnsi="Times New Roman" w:cs="Times New Roman"/>
          <w:color w:val="auto"/>
          <w:szCs w:val="24"/>
          <w:lang w:eastAsia="zh-CN"/>
        </w:rPr>
        <w:t>，项目所在区域为环境质量不达标</w:t>
      </w:r>
      <w:r>
        <w:rPr>
          <w:rFonts w:ascii="Times New Roman" w:hAnsi="Times New Roman" w:cs="Times New Roman"/>
          <w:color w:val="auto"/>
          <w:szCs w:val="24"/>
          <w:lang w:eastAsia="zh-CN"/>
        </w:rPr>
        <w:t>区</w:t>
      </w:r>
      <w:r>
        <w:rPr>
          <w:rFonts w:hint="eastAsia" w:ascii="Times New Roman" w:hAnsi="Times New Roman" w:cs="Times New Roman"/>
          <w:color w:val="auto"/>
          <w:szCs w:val="24"/>
          <w:lang w:eastAsia="zh-CN"/>
        </w:rPr>
        <w:t>。</w:t>
      </w:r>
    </w:p>
    <w:p w14:paraId="32CF04DB">
      <w:pPr>
        <w:widowControl w:val="0"/>
        <w:spacing w:line="360" w:lineRule="auto"/>
        <w:ind w:firstLine="480" w:firstLineChars="200"/>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同时</w:t>
      </w:r>
      <w:r>
        <w:rPr>
          <w:rFonts w:ascii="Times New Roman" w:hAnsi="Times New Roman" w:cs="Times New Roman"/>
          <w:color w:val="auto"/>
          <w:szCs w:val="24"/>
          <w:lang w:eastAsia="zh-CN"/>
        </w:rPr>
        <w:t>对照《环境空气质量标准》（GB3095-2026），项目所在区域PM</w:t>
      </w:r>
      <w:r>
        <w:rPr>
          <w:rFonts w:ascii="Times New Roman" w:hAnsi="Times New Roman" w:cs="Times New Roman"/>
          <w:color w:val="auto"/>
          <w:szCs w:val="24"/>
          <w:vertAlign w:val="subscript"/>
          <w:lang w:eastAsia="zh-CN"/>
        </w:rPr>
        <w:t>10</w:t>
      </w:r>
      <w:r>
        <w:rPr>
          <w:rFonts w:ascii="Times New Roman" w:hAnsi="Times New Roman" w:cs="Times New Roman"/>
          <w:color w:val="auto"/>
          <w:szCs w:val="24"/>
          <w:lang w:eastAsia="zh-CN"/>
        </w:rPr>
        <w:t>、PM</w:t>
      </w:r>
      <w:r>
        <w:rPr>
          <w:rFonts w:ascii="Times New Roman" w:hAnsi="Times New Roman" w:cs="Times New Roman"/>
          <w:color w:val="auto"/>
          <w:szCs w:val="24"/>
          <w:vertAlign w:val="subscript"/>
          <w:lang w:eastAsia="zh-CN"/>
        </w:rPr>
        <w:t>2.5</w:t>
      </w:r>
      <w:r>
        <w:rPr>
          <w:rFonts w:ascii="Times New Roman" w:hAnsi="Times New Roman" w:cs="Times New Roman"/>
          <w:color w:val="auto"/>
          <w:szCs w:val="24"/>
          <w:lang w:eastAsia="zh-CN"/>
        </w:rPr>
        <w:t>不满足《环境空气质量标准》（GB3095-2026）过渡阶段二级标准要求</w:t>
      </w:r>
      <w:r>
        <w:rPr>
          <w:rFonts w:hint="eastAsia" w:ascii="Times New Roman" w:hAnsi="Times New Roman" w:cs="Times New Roman"/>
          <w:color w:val="auto"/>
          <w:szCs w:val="24"/>
          <w:lang w:eastAsia="zh-CN"/>
        </w:rPr>
        <w:t>。</w:t>
      </w:r>
    </w:p>
    <w:p w14:paraId="76C41AA6">
      <w:pPr>
        <w:widowControl w:val="0"/>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蚌埠市人民政府以蚌政秘〔2021〕10号文下发了《蚌埠市人民政府关于印发&lt;蚌埠市环境空气质量达标规划（2019-2030年）&gt;的通知》，通过积极落实相关大气污染防治工作，预计区域环境空气质量将会进一步好转。</w:t>
      </w:r>
    </w:p>
    <w:p w14:paraId="339751FA">
      <w:pPr>
        <w:widowControl w:val="0"/>
        <w:spacing w:line="360" w:lineRule="auto"/>
        <w:ind w:firstLine="480" w:firstLineChars="200"/>
        <w:rPr>
          <w:rFonts w:ascii="Times New Roman" w:hAnsi="Times New Roman" w:cs="Times New Roman"/>
          <w:color w:val="auto"/>
          <w:szCs w:val="24"/>
          <w:lang w:eastAsia="zh-CN"/>
        </w:rPr>
      </w:pPr>
    </w:p>
    <w:p w14:paraId="1CB4E4E3">
      <w:pPr>
        <w:widowControl w:val="0"/>
        <w:spacing w:line="360" w:lineRule="auto"/>
        <w:ind w:firstLine="480" w:firstLineChars="200"/>
        <w:rPr>
          <w:rFonts w:ascii="Times New Roman" w:hAnsi="Times New Roman" w:cs="Times New Roman"/>
          <w:color w:val="auto"/>
          <w:szCs w:val="24"/>
          <w:lang w:eastAsia="zh-CN"/>
        </w:rPr>
      </w:pPr>
    </w:p>
    <w:p w14:paraId="5C3F405F">
      <w:pPr>
        <w:spacing w:line="360" w:lineRule="auto"/>
        <w:ind w:firstLine="482"/>
        <w:jc w:val="both"/>
        <w:outlineLvl w:val="3"/>
        <w:rPr>
          <w:rFonts w:ascii="Times New Roman" w:hAnsi="Times New Roman" w:cs="Times New Roman"/>
          <w:color w:val="auto"/>
          <w:szCs w:val="24"/>
          <w:lang w:eastAsia="zh-CN"/>
        </w:rPr>
      </w:pPr>
      <w:bookmarkStart w:id="1160" w:name="_Toc17307"/>
      <w:bookmarkStart w:id="1161" w:name="_Toc19257"/>
      <w:r>
        <w:rPr>
          <w:rFonts w:ascii="Times New Roman" w:hAnsi="Times New Roman" w:cs="Times New Roman"/>
          <w:b/>
          <w:bCs/>
          <w:color w:val="auto"/>
          <w:szCs w:val="24"/>
        </w:rPr>
        <w:fldChar w:fldCharType="begin"/>
      </w:r>
      <w:r>
        <w:rPr>
          <w:rFonts w:ascii="Times New Roman" w:hAnsi="Times New Roman" w:cs="Times New Roman"/>
          <w:b/>
          <w:bCs/>
          <w:color w:val="auto"/>
          <w:szCs w:val="24"/>
          <w:lang w:eastAsia="zh-CN"/>
        </w:rPr>
        <w:instrText xml:space="preserve">HYPERLINK "D:\\1、工作\\善宇\\1、环评\\蚌埠\\安徽志一新材料科技有限公司聚合物抗氧剂项目\\4.3.1.2"</w:instrText>
      </w:r>
      <w:r>
        <w:rPr>
          <w:rFonts w:ascii="Times New Roman" w:hAnsi="Times New Roman" w:cs="Times New Roman"/>
          <w:b/>
          <w:bCs/>
          <w:color w:val="auto"/>
          <w:szCs w:val="24"/>
        </w:rPr>
        <w:fldChar w:fldCharType="separate"/>
      </w:r>
      <w:r>
        <w:rPr>
          <w:rFonts w:ascii="Times New Roman" w:hAnsi="Times New Roman" w:cs="Times New Roman"/>
          <w:b/>
          <w:bCs/>
          <w:color w:val="auto"/>
          <w:szCs w:val="24"/>
          <w:lang w:eastAsia="zh-CN"/>
        </w:rPr>
        <w:t>5.2.1.2</w:t>
      </w:r>
      <w:r>
        <w:rPr>
          <w:rFonts w:ascii="Times New Roman" w:hAnsi="Times New Roman" w:cs="Times New Roman"/>
          <w:b/>
          <w:bCs/>
          <w:color w:val="auto"/>
          <w:szCs w:val="24"/>
        </w:rPr>
        <w:fldChar w:fldCharType="end"/>
      </w:r>
      <w:r>
        <w:rPr>
          <w:rFonts w:ascii="Times New Roman" w:hAnsi="Times New Roman" w:cs="Times New Roman"/>
          <w:b/>
          <w:bCs/>
          <w:color w:val="auto"/>
          <w:szCs w:val="24"/>
          <w:lang w:eastAsia="zh-CN"/>
        </w:rPr>
        <w:t xml:space="preserve"> </w:t>
      </w:r>
      <w:bookmarkEnd w:id="1160"/>
      <w:r>
        <w:rPr>
          <w:rFonts w:ascii="Times New Roman" w:hAnsi="Times New Roman" w:cs="Times New Roman"/>
          <w:b/>
          <w:bCs/>
          <w:color w:val="auto"/>
          <w:szCs w:val="24"/>
          <w:lang w:eastAsia="zh-CN"/>
        </w:rPr>
        <w:t>其他污染物环境质量现状评价</w:t>
      </w:r>
      <w:bookmarkEnd w:id="1161"/>
    </w:p>
    <w:p w14:paraId="01957646">
      <w:pPr>
        <w:spacing w:line="360" w:lineRule="auto"/>
        <w:ind w:left="480"/>
        <w:jc w:val="both"/>
        <w:rPr>
          <w:rFonts w:ascii="Times New Roman" w:hAnsi="Times New Roman" w:cs="Times New Roman"/>
          <w:color w:val="auto"/>
          <w:szCs w:val="24"/>
          <w:lang w:eastAsia="zh-CN"/>
        </w:rPr>
      </w:pPr>
      <w:bookmarkStart w:id="1162" w:name="_Toc8981"/>
      <w:bookmarkStart w:id="1163" w:name="_Toc4755"/>
      <w:r>
        <w:rPr>
          <w:rFonts w:hint="eastAsia" w:ascii="Times New Roman" w:hAnsi="Times New Roman" w:cs="Times New Roman"/>
          <w:color w:val="auto"/>
          <w:szCs w:val="24"/>
          <w:lang w:eastAsia="zh-CN"/>
        </w:rPr>
        <w:t>（1）</w:t>
      </w:r>
      <w:r>
        <w:rPr>
          <w:rFonts w:ascii="Times New Roman" w:hAnsi="Times New Roman" w:cs="Times New Roman"/>
          <w:color w:val="auto"/>
          <w:szCs w:val="24"/>
          <w:lang w:eastAsia="zh-CN"/>
        </w:rPr>
        <w:t>监测点位布设</w:t>
      </w:r>
      <w:bookmarkEnd w:id="1162"/>
      <w:bookmarkEnd w:id="1163"/>
    </w:p>
    <w:p w14:paraId="5DE71546">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本项目涉及的其他污染物因子为：</w:t>
      </w:r>
      <w:r>
        <w:rPr>
          <w:rFonts w:hint="eastAsia" w:ascii="Times New Roman" w:hAnsi="Times New Roman" w:cs="Times New Roman"/>
          <w:color w:val="auto"/>
          <w:szCs w:val="24"/>
          <w:lang w:eastAsia="zh-CN"/>
        </w:rPr>
        <w:t>氯化氢</w:t>
      </w:r>
      <w:r>
        <w:rPr>
          <w:rFonts w:ascii="Times New Roman" w:hAnsi="Times New Roman" w:cs="Times New Roman"/>
          <w:color w:val="auto"/>
          <w:szCs w:val="24"/>
          <w:lang w:eastAsia="zh-CN"/>
        </w:rPr>
        <w:t>、</w:t>
      </w:r>
      <w:r>
        <w:rPr>
          <w:rFonts w:hint="eastAsia" w:ascii="Times New Roman" w:hAnsi="Times New Roman" w:cs="Times New Roman"/>
          <w:color w:val="auto"/>
          <w:szCs w:val="24"/>
          <w:lang w:eastAsia="zh-CN"/>
        </w:rPr>
        <w:t>氟化物</w:t>
      </w:r>
      <w:r>
        <w:rPr>
          <w:rFonts w:ascii="Times New Roman" w:hAnsi="Times New Roman" w:cs="Times New Roman"/>
          <w:color w:val="auto"/>
          <w:szCs w:val="24"/>
          <w:lang w:eastAsia="zh-CN"/>
        </w:rPr>
        <w:t>。</w:t>
      </w:r>
    </w:p>
    <w:p w14:paraId="6AB9BD33">
      <w:pPr>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氯化氢、氟化物</w:t>
      </w:r>
      <w:r>
        <w:rPr>
          <w:rFonts w:ascii="Times New Roman" w:hAnsi="Times New Roman" w:cs="Times New Roman"/>
          <w:color w:val="auto"/>
          <w:szCs w:val="24"/>
          <w:lang w:eastAsia="zh-CN"/>
        </w:rPr>
        <w:t>引用《</w:t>
      </w:r>
      <w:r>
        <w:rPr>
          <w:rFonts w:hint="eastAsia" w:ascii="Times New Roman" w:hAnsi="Times New Roman" w:cs="Times New Roman"/>
          <w:color w:val="auto"/>
          <w:szCs w:val="24"/>
          <w:lang w:eastAsia="zh-CN"/>
        </w:rPr>
        <w:t>蚌埠精细化工高新技术产业基地环境影响区域评估+环境标准报告</w:t>
      </w:r>
      <w:r>
        <w:rPr>
          <w:rFonts w:ascii="Times New Roman" w:hAnsi="Times New Roman" w:cs="Times New Roman"/>
          <w:color w:val="auto"/>
          <w:szCs w:val="24"/>
          <w:lang w:eastAsia="zh-CN"/>
        </w:rPr>
        <w:t>》中</w:t>
      </w:r>
      <w:r>
        <w:rPr>
          <w:rFonts w:hint="eastAsia" w:ascii="Times New Roman" w:hAnsi="Times New Roman" w:cs="Times New Roman"/>
          <w:color w:val="auto"/>
          <w:szCs w:val="24"/>
          <w:lang w:eastAsia="zh-CN"/>
        </w:rPr>
        <w:t>大柏村</w:t>
      </w:r>
      <w:r>
        <w:rPr>
          <w:rFonts w:ascii="Times New Roman" w:hAnsi="Times New Roman" w:cs="Times New Roman"/>
          <w:color w:val="auto"/>
          <w:szCs w:val="24"/>
          <w:lang w:eastAsia="zh-CN"/>
        </w:rPr>
        <w:t>点位监测数据，安徽天晟环保科技有限公司于2024年4月</w:t>
      </w:r>
      <w:r>
        <w:rPr>
          <w:rFonts w:hint="eastAsia" w:ascii="Times New Roman" w:hAnsi="Times New Roman" w:cs="Times New Roman"/>
          <w:color w:val="auto"/>
          <w:szCs w:val="24"/>
          <w:lang w:eastAsia="zh-CN"/>
        </w:rPr>
        <w:t>16</w:t>
      </w:r>
      <w:r>
        <w:rPr>
          <w:rFonts w:ascii="Times New Roman" w:hAnsi="Times New Roman" w:cs="Times New Roman"/>
          <w:color w:val="auto"/>
          <w:szCs w:val="24"/>
          <w:lang w:eastAsia="zh-CN"/>
        </w:rPr>
        <w:t>日～2024年</w:t>
      </w:r>
      <w:r>
        <w:rPr>
          <w:rFonts w:hint="eastAsia" w:ascii="Times New Roman" w:hAnsi="Times New Roman" w:cs="Times New Roman"/>
          <w:color w:val="auto"/>
          <w:szCs w:val="24"/>
          <w:lang w:eastAsia="zh-CN"/>
        </w:rPr>
        <w:t>4</w:t>
      </w:r>
      <w:r>
        <w:rPr>
          <w:rFonts w:ascii="Times New Roman" w:hAnsi="Times New Roman" w:cs="Times New Roman"/>
          <w:color w:val="auto"/>
          <w:szCs w:val="24"/>
          <w:lang w:eastAsia="zh-CN"/>
        </w:rPr>
        <w:t>月</w:t>
      </w:r>
      <w:r>
        <w:rPr>
          <w:rFonts w:hint="eastAsia" w:ascii="Times New Roman" w:hAnsi="Times New Roman" w:cs="Times New Roman"/>
          <w:color w:val="auto"/>
          <w:szCs w:val="24"/>
          <w:lang w:eastAsia="zh-CN"/>
        </w:rPr>
        <w:t>25</w:t>
      </w:r>
      <w:r>
        <w:rPr>
          <w:rFonts w:ascii="Times New Roman" w:hAnsi="Times New Roman" w:cs="Times New Roman"/>
          <w:color w:val="auto"/>
          <w:szCs w:val="24"/>
          <w:lang w:eastAsia="zh-CN"/>
        </w:rPr>
        <w:t>日进行监测。</w:t>
      </w:r>
    </w:p>
    <w:p w14:paraId="729C3394">
      <w:pPr>
        <w:spacing w:line="360" w:lineRule="auto"/>
        <w:ind w:firstLine="480" w:firstLineChars="200"/>
        <w:jc w:val="both"/>
        <w:rPr>
          <w:rFonts w:ascii="Times New Roman" w:hAnsi="Times New Roman" w:cs="Times New Roman"/>
          <w:color w:val="FF0000"/>
          <w:szCs w:val="24"/>
          <w:lang w:eastAsia="zh-CN"/>
        </w:rPr>
      </w:pPr>
      <w:r>
        <w:rPr>
          <w:rFonts w:ascii="Times New Roman" w:hAnsi="Times New Roman" w:cs="Times New Roman"/>
          <w:color w:val="auto"/>
          <w:szCs w:val="24"/>
          <w:lang w:eastAsia="zh-CN"/>
        </w:rPr>
        <w:t>以上引用数据时效性满足《环境影响技术评价导则 大气环境》（HJ2.2-2018）要求。具体点位设置见下表和下图。</w:t>
      </w:r>
    </w:p>
    <w:p w14:paraId="6D739DBD">
      <w:pPr>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表5.2-</w:t>
      </w:r>
      <w:r>
        <w:rPr>
          <w:rFonts w:hint="eastAsia" w:ascii="Times New Roman" w:hAnsi="Times New Roman" w:cs="Times New Roman"/>
          <w:b/>
          <w:bCs/>
          <w:color w:val="auto"/>
          <w:szCs w:val="24"/>
          <w:lang w:eastAsia="zh-CN"/>
        </w:rPr>
        <w:t>2</w:t>
      </w:r>
      <w:r>
        <w:rPr>
          <w:rFonts w:ascii="Times New Roman" w:hAnsi="Times New Roman" w:cs="Times New Roman"/>
          <w:b/>
          <w:bCs/>
          <w:color w:val="auto"/>
          <w:szCs w:val="24"/>
          <w:lang w:eastAsia="zh-CN"/>
        </w:rPr>
        <w:t xml:space="preserve"> 其他污染物引用监测点位基本信息表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1354"/>
        <w:gridCol w:w="971"/>
        <w:gridCol w:w="973"/>
        <w:gridCol w:w="1524"/>
        <w:gridCol w:w="1386"/>
        <w:gridCol w:w="1526"/>
        <w:gridCol w:w="2012"/>
      </w:tblGrid>
      <w:tr w14:paraId="1BC62AA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695" w:type="pct"/>
            <w:vMerge w:val="restart"/>
            <w:vAlign w:val="center"/>
          </w:tcPr>
          <w:p w14:paraId="077747EF">
            <w:pPr>
              <w:spacing w:line="320" w:lineRule="exact"/>
              <w:jc w:val="center"/>
              <w:rPr>
                <w:rFonts w:ascii="Times New Roman" w:hAnsi="Times New Roman" w:cs="Times New Roman"/>
                <w:b/>
                <w:bCs/>
                <w:sz w:val="21"/>
              </w:rPr>
            </w:pPr>
            <w:bookmarkStart w:id="1164" w:name="_Toc178"/>
            <w:bookmarkStart w:id="1165" w:name="_Toc4679"/>
            <w:r>
              <w:rPr>
                <w:rFonts w:ascii="Times New Roman" w:hAnsi="Times New Roman" w:cs="Times New Roman"/>
                <w:b/>
                <w:bCs/>
                <w:sz w:val="21"/>
                <w:lang w:eastAsia="zh-CN"/>
              </w:rPr>
              <w:t>监测点名称</w:t>
            </w:r>
          </w:p>
        </w:tc>
        <w:tc>
          <w:tcPr>
            <w:tcW w:w="997" w:type="pct"/>
            <w:gridSpan w:val="2"/>
            <w:vAlign w:val="center"/>
          </w:tcPr>
          <w:p w14:paraId="060F6170">
            <w:pPr>
              <w:spacing w:line="320" w:lineRule="exact"/>
              <w:jc w:val="center"/>
              <w:rPr>
                <w:rFonts w:ascii="Times New Roman" w:hAnsi="Times New Roman" w:cs="Times New Roman"/>
                <w:b/>
                <w:bCs/>
                <w:sz w:val="21"/>
                <w:lang w:eastAsia="zh-CN"/>
              </w:rPr>
            </w:pPr>
            <w:r>
              <w:rPr>
                <w:rFonts w:ascii="Times New Roman" w:hAnsi="Times New Roman" w:cs="Times New Roman"/>
                <w:b/>
                <w:bCs/>
                <w:sz w:val="21"/>
              </w:rPr>
              <w:t>监测点坐标</w:t>
            </w:r>
            <w:r>
              <w:rPr>
                <w:rFonts w:ascii="Times New Roman" w:hAnsi="Times New Roman" w:cs="Times New Roman"/>
                <w:b/>
                <w:bCs/>
                <w:sz w:val="21"/>
                <w:lang w:eastAsia="zh-CN"/>
              </w:rPr>
              <w:t>/m</w:t>
            </w:r>
          </w:p>
        </w:tc>
        <w:tc>
          <w:tcPr>
            <w:tcW w:w="782" w:type="pct"/>
            <w:vMerge w:val="restart"/>
            <w:vAlign w:val="center"/>
          </w:tcPr>
          <w:p w14:paraId="1719AF5A">
            <w:pPr>
              <w:spacing w:line="320" w:lineRule="exact"/>
              <w:jc w:val="center"/>
              <w:rPr>
                <w:rFonts w:ascii="Times New Roman" w:hAnsi="Times New Roman" w:cs="Times New Roman"/>
                <w:b/>
                <w:bCs/>
                <w:sz w:val="21"/>
              </w:rPr>
            </w:pPr>
            <w:r>
              <w:rPr>
                <w:rFonts w:ascii="Times New Roman" w:hAnsi="Times New Roman" w:cs="Times New Roman"/>
                <w:b/>
                <w:bCs/>
                <w:sz w:val="21"/>
                <w:lang w:eastAsia="zh-CN"/>
              </w:rPr>
              <w:t>监测因子</w:t>
            </w:r>
          </w:p>
        </w:tc>
        <w:tc>
          <w:tcPr>
            <w:tcW w:w="711" w:type="pct"/>
            <w:vMerge w:val="restart"/>
            <w:vAlign w:val="center"/>
          </w:tcPr>
          <w:p w14:paraId="4F68C2DF">
            <w:pPr>
              <w:spacing w:line="320" w:lineRule="exact"/>
              <w:jc w:val="center"/>
              <w:rPr>
                <w:rFonts w:ascii="Times New Roman" w:hAnsi="Times New Roman" w:cs="Times New Roman"/>
                <w:b/>
                <w:bCs/>
                <w:sz w:val="21"/>
              </w:rPr>
            </w:pPr>
            <w:r>
              <w:rPr>
                <w:rFonts w:ascii="Times New Roman" w:hAnsi="Times New Roman" w:cs="Times New Roman"/>
                <w:b/>
                <w:bCs/>
                <w:sz w:val="21"/>
              </w:rPr>
              <w:t>监测</w:t>
            </w:r>
            <w:r>
              <w:rPr>
                <w:rFonts w:ascii="Times New Roman" w:hAnsi="Times New Roman" w:cs="Times New Roman"/>
                <w:b/>
                <w:bCs/>
                <w:sz w:val="21"/>
                <w:lang w:eastAsia="zh-CN"/>
              </w:rPr>
              <w:t>时段</w:t>
            </w:r>
          </w:p>
        </w:tc>
        <w:tc>
          <w:tcPr>
            <w:tcW w:w="783" w:type="pct"/>
            <w:vMerge w:val="restart"/>
            <w:vAlign w:val="center"/>
          </w:tcPr>
          <w:p w14:paraId="0108C12D">
            <w:pPr>
              <w:spacing w:line="320" w:lineRule="exact"/>
              <w:jc w:val="center"/>
              <w:rPr>
                <w:rFonts w:ascii="Times New Roman" w:hAnsi="Times New Roman" w:cs="Times New Roman"/>
                <w:b/>
                <w:bCs/>
                <w:sz w:val="21"/>
              </w:rPr>
            </w:pPr>
            <w:r>
              <w:rPr>
                <w:rFonts w:ascii="Times New Roman" w:hAnsi="Times New Roman" w:cs="Times New Roman"/>
                <w:b/>
                <w:bCs/>
                <w:sz w:val="21"/>
              </w:rPr>
              <w:t>相对厂址方位</w:t>
            </w:r>
          </w:p>
        </w:tc>
        <w:tc>
          <w:tcPr>
            <w:tcW w:w="1032" w:type="pct"/>
            <w:vMerge w:val="restart"/>
            <w:vAlign w:val="center"/>
          </w:tcPr>
          <w:p w14:paraId="47E79EDC">
            <w:pPr>
              <w:spacing w:line="320" w:lineRule="exact"/>
              <w:jc w:val="center"/>
              <w:rPr>
                <w:rFonts w:ascii="Times New Roman" w:hAnsi="Times New Roman" w:cs="Times New Roman"/>
                <w:b/>
                <w:bCs/>
                <w:sz w:val="21"/>
              </w:rPr>
            </w:pPr>
            <w:r>
              <w:rPr>
                <w:rFonts w:ascii="Times New Roman" w:hAnsi="Times New Roman" w:cs="Times New Roman"/>
                <w:b/>
                <w:bCs/>
                <w:sz w:val="21"/>
              </w:rPr>
              <w:t>相对厂界距离/m</w:t>
            </w:r>
          </w:p>
        </w:tc>
      </w:tr>
      <w:tr w14:paraId="5CB4F0F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695" w:type="pct"/>
            <w:vMerge w:val="continue"/>
            <w:vAlign w:val="center"/>
          </w:tcPr>
          <w:p w14:paraId="1C5F079C">
            <w:pPr>
              <w:spacing w:line="320" w:lineRule="exact"/>
              <w:jc w:val="center"/>
              <w:rPr>
                <w:rFonts w:ascii="Times New Roman" w:hAnsi="Times New Roman" w:cs="Times New Roman"/>
                <w:sz w:val="21"/>
              </w:rPr>
            </w:pPr>
          </w:p>
        </w:tc>
        <w:tc>
          <w:tcPr>
            <w:tcW w:w="498" w:type="pct"/>
            <w:vAlign w:val="center"/>
          </w:tcPr>
          <w:p w14:paraId="04B3B555">
            <w:pPr>
              <w:spacing w:line="320" w:lineRule="exact"/>
              <w:jc w:val="center"/>
              <w:rPr>
                <w:rFonts w:ascii="Times New Roman" w:hAnsi="Times New Roman" w:cs="Times New Roman"/>
                <w:b/>
                <w:bCs/>
                <w:sz w:val="21"/>
              </w:rPr>
            </w:pPr>
            <w:r>
              <w:rPr>
                <w:rFonts w:ascii="Times New Roman" w:hAnsi="Times New Roman" w:cs="Times New Roman"/>
                <w:b/>
                <w:bCs/>
                <w:sz w:val="21"/>
              </w:rPr>
              <w:t>X</w:t>
            </w:r>
          </w:p>
        </w:tc>
        <w:tc>
          <w:tcPr>
            <w:tcW w:w="499" w:type="pct"/>
            <w:vAlign w:val="center"/>
          </w:tcPr>
          <w:p w14:paraId="7D402031">
            <w:pPr>
              <w:spacing w:line="320" w:lineRule="exact"/>
              <w:jc w:val="center"/>
              <w:rPr>
                <w:rFonts w:ascii="Times New Roman" w:hAnsi="Times New Roman" w:cs="Times New Roman"/>
                <w:b/>
                <w:bCs/>
                <w:sz w:val="21"/>
              </w:rPr>
            </w:pPr>
            <w:r>
              <w:rPr>
                <w:rFonts w:ascii="Times New Roman" w:hAnsi="Times New Roman" w:cs="Times New Roman"/>
                <w:b/>
                <w:bCs/>
                <w:sz w:val="21"/>
              </w:rPr>
              <w:t>Y</w:t>
            </w:r>
          </w:p>
        </w:tc>
        <w:tc>
          <w:tcPr>
            <w:tcW w:w="782" w:type="pct"/>
            <w:vMerge w:val="continue"/>
            <w:vAlign w:val="center"/>
          </w:tcPr>
          <w:p w14:paraId="201FFF59">
            <w:pPr>
              <w:spacing w:line="320" w:lineRule="exact"/>
              <w:jc w:val="center"/>
              <w:rPr>
                <w:rFonts w:ascii="Times New Roman" w:hAnsi="Times New Roman" w:cs="Times New Roman"/>
                <w:sz w:val="21"/>
              </w:rPr>
            </w:pPr>
          </w:p>
        </w:tc>
        <w:tc>
          <w:tcPr>
            <w:tcW w:w="711" w:type="pct"/>
            <w:vMerge w:val="continue"/>
            <w:vAlign w:val="center"/>
          </w:tcPr>
          <w:p w14:paraId="0693C371">
            <w:pPr>
              <w:spacing w:line="320" w:lineRule="exact"/>
              <w:jc w:val="center"/>
              <w:rPr>
                <w:rFonts w:ascii="Times New Roman" w:hAnsi="Times New Roman" w:cs="Times New Roman"/>
                <w:sz w:val="21"/>
              </w:rPr>
            </w:pPr>
          </w:p>
        </w:tc>
        <w:tc>
          <w:tcPr>
            <w:tcW w:w="783" w:type="pct"/>
            <w:vMerge w:val="continue"/>
            <w:vAlign w:val="center"/>
          </w:tcPr>
          <w:p w14:paraId="6DBD6BD0">
            <w:pPr>
              <w:spacing w:line="320" w:lineRule="exact"/>
              <w:jc w:val="center"/>
              <w:rPr>
                <w:rFonts w:ascii="Times New Roman" w:hAnsi="Times New Roman" w:cs="Times New Roman"/>
                <w:sz w:val="21"/>
              </w:rPr>
            </w:pPr>
          </w:p>
        </w:tc>
        <w:tc>
          <w:tcPr>
            <w:tcW w:w="1032" w:type="pct"/>
            <w:vMerge w:val="continue"/>
            <w:vAlign w:val="center"/>
          </w:tcPr>
          <w:p w14:paraId="16DDF962">
            <w:pPr>
              <w:spacing w:line="320" w:lineRule="exact"/>
              <w:jc w:val="center"/>
              <w:rPr>
                <w:rFonts w:ascii="Times New Roman" w:hAnsi="Times New Roman" w:cs="Times New Roman"/>
                <w:sz w:val="21"/>
              </w:rPr>
            </w:pPr>
          </w:p>
        </w:tc>
      </w:tr>
      <w:tr w14:paraId="425D19F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51" w:hRule="atLeast"/>
          <w:jc w:val="center"/>
        </w:trPr>
        <w:tc>
          <w:tcPr>
            <w:tcW w:w="695" w:type="pct"/>
            <w:vMerge w:val="restart"/>
            <w:vAlign w:val="center"/>
          </w:tcPr>
          <w:p w14:paraId="248C9E01">
            <w:pPr>
              <w:spacing w:line="320" w:lineRule="exact"/>
              <w:jc w:val="center"/>
              <w:rPr>
                <w:rFonts w:ascii="Times New Roman" w:hAnsi="Times New Roman" w:cs="Times New Roman"/>
                <w:sz w:val="21"/>
              </w:rPr>
            </w:pPr>
            <w:r>
              <w:rPr>
                <w:rFonts w:hint="eastAsia" w:ascii="Times New Roman" w:hAnsi="Times New Roman" w:cs="Times New Roman"/>
                <w:sz w:val="21"/>
                <w:lang w:eastAsia="zh-CN"/>
              </w:rPr>
              <w:t>大柏村</w:t>
            </w:r>
          </w:p>
        </w:tc>
        <w:tc>
          <w:tcPr>
            <w:tcW w:w="498" w:type="pct"/>
            <w:vMerge w:val="restart"/>
            <w:vAlign w:val="center"/>
          </w:tcPr>
          <w:p w14:paraId="18001189">
            <w:pPr>
              <w:spacing w:line="320" w:lineRule="exact"/>
              <w:ind w:left="-120" w:leftChars="-50" w:right="-120" w:rightChars="-5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1010</w:t>
            </w:r>
          </w:p>
        </w:tc>
        <w:tc>
          <w:tcPr>
            <w:tcW w:w="499" w:type="pct"/>
            <w:vMerge w:val="restart"/>
            <w:vAlign w:val="center"/>
          </w:tcPr>
          <w:p w14:paraId="59C85584">
            <w:pPr>
              <w:spacing w:line="320" w:lineRule="exact"/>
              <w:ind w:left="-120" w:leftChars="-50" w:right="-120" w:rightChars="-5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660</w:t>
            </w:r>
          </w:p>
        </w:tc>
        <w:tc>
          <w:tcPr>
            <w:tcW w:w="782" w:type="pct"/>
            <w:vAlign w:val="center"/>
          </w:tcPr>
          <w:p w14:paraId="75858DE1">
            <w:pPr>
              <w:jc w:val="center"/>
              <w:rPr>
                <w:rFonts w:ascii="Times New Roman" w:hAnsi="Times New Roman" w:cs="Times New Roman"/>
                <w:sz w:val="21"/>
                <w:lang w:eastAsia="zh-CN"/>
              </w:rPr>
            </w:pPr>
            <w:r>
              <w:rPr>
                <w:rFonts w:hint="eastAsia" w:ascii="Times New Roman" w:hAnsi="Times New Roman" w:cs="Times New Roman"/>
                <w:bCs/>
                <w:sz w:val="21"/>
                <w:lang w:eastAsia="zh-CN"/>
              </w:rPr>
              <w:t>氯化氢</w:t>
            </w:r>
          </w:p>
        </w:tc>
        <w:tc>
          <w:tcPr>
            <w:tcW w:w="711" w:type="pct"/>
            <w:vAlign w:val="center"/>
          </w:tcPr>
          <w:p w14:paraId="1FA0E448">
            <w:pPr>
              <w:spacing w:line="320" w:lineRule="exact"/>
              <w:jc w:val="center"/>
              <w:rPr>
                <w:rFonts w:ascii="Times New Roman" w:hAnsi="Times New Roman" w:cs="Times New Roman"/>
                <w:sz w:val="21"/>
                <w:lang w:eastAsia="zh-CN"/>
              </w:rPr>
            </w:pPr>
            <w:r>
              <w:rPr>
                <w:rFonts w:ascii="Times New Roman" w:hAnsi="Times New Roman" w:cs="Times New Roman"/>
                <w:color w:val="auto"/>
                <w:sz w:val="21"/>
                <w:lang w:eastAsia="zh-CN"/>
              </w:rPr>
              <w:t>1h平均值</w:t>
            </w:r>
          </w:p>
        </w:tc>
        <w:tc>
          <w:tcPr>
            <w:tcW w:w="783" w:type="pct"/>
            <w:vMerge w:val="restart"/>
            <w:vAlign w:val="center"/>
          </w:tcPr>
          <w:p w14:paraId="7A62553A">
            <w:pPr>
              <w:spacing w:line="320" w:lineRule="exac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NE</w:t>
            </w:r>
          </w:p>
        </w:tc>
        <w:tc>
          <w:tcPr>
            <w:tcW w:w="1032" w:type="pct"/>
            <w:vMerge w:val="restart"/>
            <w:vAlign w:val="center"/>
          </w:tcPr>
          <w:p w14:paraId="296C7F51">
            <w:pPr>
              <w:spacing w:line="320" w:lineRule="exac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760</w:t>
            </w:r>
          </w:p>
        </w:tc>
      </w:tr>
      <w:tr w14:paraId="32FE082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50" w:hRule="atLeast"/>
          <w:jc w:val="center"/>
        </w:trPr>
        <w:tc>
          <w:tcPr>
            <w:tcW w:w="695" w:type="pct"/>
            <w:vMerge w:val="continue"/>
            <w:vAlign w:val="center"/>
          </w:tcPr>
          <w:p w14:paraId="08BA2D3E">
            <w:pPr>
              <w:spacing w:line="320" w:lineRule="exact"/>
              <w:jc w:val="center"/>
              <w:rPr>
                <w:rFonts w:ascii="Times New Roman" w:hAnsi="Times New Roman" w:cs="Times New Roman"/>
                <w:sz w:val="21"/>
              </w:rPr>
            </w:pPr>
          </w:p>
        </w:tc>
        <w:tc>
          <w:tcPr>
            <w:tcW w:w="498" w:type="pct"/>
            <w:vMerge w:val="continue"/>
            <w:vAlign w:val="center"/>
          </w:tcPr>
          <w:p w14:paraId="69665772">
            <w:pPr>
              <w:spacing w:line="320" w:lineRule="exact"/>
              <w:ind w:left="-120" w:leftChars="-50" w:right="-120" w:rightChars="-50"/>
              <w:jc w:val="center"/>
              <w:rPr>
                <w:rFonts w:ascii="Times New Roman" w:hAnsi="Times New Roman" w:cs="Times New Roman"/>
                <w:sz w:val="21"/>
                <w:lang w:eastAsia="zh-CN"/>
              </w:rPr>
            </w:pPr>
          </w:p>
        </w:tc>
        <w:tc>
          <w:tcPr>
            <w:tcW w:w="499" w:type="pct"/>
            <w:vMerge w:val="continue"/>
            <w:vAlign w:val="center"/>
          </w:tcPr>
          <w:p w14:paraId="1635ABE6">
            <w:pPr>
              <w:spacing w:line="320" w:lineRule="exact"/>
              <w:ind w:left="-120" w:leftChars="-50" w:right="-120" w:rightChars="-50"/>
              <w:jc w:val="center"/>
              <w:rPr>
                <w:rFonts w:ascii="Times New Roman" w:hAnsi="Times New Roman" w:cs="Times New Roman"/>
                <w:sz w:val="21"/>
                <w:lang w:eastAsia="zh-CN"/>
              </w:rPr>
            </w:pPr>
          </w:p>
        </w:tc>
        <w:tc>
          <w:tcPr>
            <w:tcW w:w="782" w:type="pct"/>
            <w:vAlign w:val="center"/>
          </w:tcPr>
          <w:p w14:paraId="24105738">
            <w:pPr>
              <w:jc w:val="center"/>
              <w:rPr>
                <w:rFonts w:ascii="Times New Roman" w:hAnsi="Times New Roman" w:cs="Times New Roman"/>
                <w:bCs/>
                <w:sz w:val="21"/>
                <w:lang w:eastAsia="zh-CN"/>
              </w:rPr>
            </w:pPr>
            <w:r>
              <w:rPr>
                <w:rFonts w:hint="eastAsia" w:ascii="Times New Roman" w:hAnsi="Times New Roman" w:cs="Times New Roman"/>
                <w:bCs/>
                <w:sz w:val="21"/>
                <w:lang w:eastAsia="zh-CN"/>
              </w:rPr>
              <w:t>氟化物</w:t>
            </w:r>
          </w:p>
        </w:tc>
        <w:tc>
          <w:tcPr>
            <w:tcW w:w="711" w:type="pct"/>
            <w:vAlign w:val="center"/>
          </w:tcPr>
          <w:p w14:paraId="21EECFD2">
            <w:pPr>
              <w:spacing w:line="320" w:lineRule="exac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1h平均值</w:t>
            </w:r>
          </w:p>
        </w:tc>
        <w:tc>
          <w:tcPr>
            <w:tcW w:w="783" w:type="pct"/>
            <w:vMerge w:val="continue"/>
            <w:vAlign w:val="center"/>
          </w:tcPr>
          <w:p w14:paraId="61A761E9">
            <w:pPr>
              <w:spacing w:line="320" w:lineRule="exact"/>
              <w:jc w:val="center"/>
              <w:rPr>
                <w:rFonts w:ascii="Times New Roman" w:hAnsi="Times New Roman" w:cs="Times New Roman"/>
                <w:sz w:val="21"/>
                <w:lang w:eastAsia="zh-CN"/>
              </w:rPr>
            </w:pPr>
          </w:p>
        </w:tc>
        <w:tc>
          <w:tcPr>
            <w:tcW w:w="1032" w:type="pct"/>
            <w:vMerge w:val="continue"/>
            <w:vAlign w:val="center"/>
          </w:tcPr>
          <w:p w14:paraId="6D641171">
            <w:pPr>
              <w:spacing w:line="320" w:lineRule="exact"/>
              <w:jc w:val="center"/>
              <w:rPr>
                <w:rFonts w:ascii="Times New Roman" w:hAnsi="Times New Roman" w:cs="Times New Roman"/>
                <w:sz w:val="21"/>
                <w:lang w:eastAsia="zh-CN"/>
              </w:rPr>
            </w:pPr>
          </w:p>
        </w:tc>
      </w:tr>
    </w:tbl>
    <w:p w14:paraId="6FC35606">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注：以厂界西南侧为坐标原点，以水平横向为X轴，以垂直纵向为Y轴。</w:t>
      </w:r>
    </w:p>
    <w:p w14:paraId="33C8086F">
      <w:pPr>
        <w:spacing w:line="360" w:lineRule="auto"/>
        <w:ind w:left="48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（2）</w:t>
      </w:r>
      <w:r>
        <w:rPr>
          <w:rFonts w:ascii="Times New Roman" w:hAnsi="Times New Roman" w:cs="Times New Roman"/>
          <w:color w:val="auto"/>
          <w:szCs w:val="24"/>
          <w:lang w:eastAsia="zh-CN"/>
        </w:rPr>
        <w:t>监测项目</w:t>
      </w:r>
      <w:bookmarkEnd w:id="1164"/>
      <w:bookmarkEnd w:id="1165"/>
    </w:p>
    <w:p w14:paraId="1BF865AA">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本次大气环境质量现状评价的监测因子为：</w:t>
      </w:r>
      <w:r>
        <w:rPr>
          <w:rFonts w:hint="eastAsia" w:ascii="Times New Roman" w:hAnsi="Times New Roman" w:cs="Times New Roman"/>
          <w:color w:val="auto"/>
          <w:szCs w:val="24"/>
          <w:lang w:eastAsia="zh-CN"/>
        </w:rPr>
        <w:t>氯化氢</w:t>
      </w:r>
      <w:r>
        <w:rPr>
          <w:rFonts w:ascii="Times New Roman" w:hAnsi="Times New Roman" w:cs="Times New Roman"/>
          <w:color w:val="auto"/>
          <w:szCs w:val="24"/>
          <w:lang w:eastAsia="zh-CN"/>
        </w:rPr>
        <w:t>、</w:t>
      </w:r>
      <w:r>
        <w:rPr>
          <w:rFonts w:hint="eastAsia" w:ascii="Times New Roman" w:hAnsi="Times New Roman" w:cs="Times New Roman"/>
          <w:color w:val="auto"/>
          <w:szCs w:val="24"/>
          <w:lang w:eastAsia="zh-CN"/>
        </w:rPr>
        <w:t>氟化物</w:t>
      </w:r>
      <w:r>
        <w:rPr>
          <w:rFonts w:ascii="Times New Roman" w:hAnsi="Times New Roman" w:cs="Times New Roman"/>
          <w:color w:val="auto"/>
          <w:szCs w:val="24"/>
          <w:lang w:eastAsia="zh-CN"/>
        </w:rPr>
        <w:t>。</w:t>
      </w:r>
    </w:p>
    <w:p w14:paraId="2360EE58">
      <w:pPr>
        <w:spacing w:line="360" w:lineRule="auto"/>
        <w:ind w:left="480"/>
        <w:jc w:val="both"/>
        <w:rPr>
          <w:rFonts w:ascii="Times New Roman" w:hAnsi="Times New Roman" w:cs="Times New Roman"/>
          <w:color w:val="auto"/>
          <w:szCs w:val="24"/>
          <w:lang w:eastAsia="zh-CN"/>
        </w:rPr>
      </w:pPr>
      <w:bookmarkStart w:id="1166" w:name="_Toc2348"/>
      <w:bookmarkStart w:id="1167" w:name="_Toc8079"/>
      <w:r>
        <w:rPr>
          <w:rFonts w:hint="eastAsia" w:ascii="Times New Roman" w:hAnsi="Times New Roman" w:cs="Times New Roman"/>
          <w:color w:val="auto"/>
          <w:szCs w:val="24"/>
          <w:lang w:eastAsia="zh-CN"/>
        </w:rPr>
        <w:t>（3）</w:t>
      </w:r>
      <w:r>
        <w:rPr>
          <w:rFonts w:ascii="Times New Roman" w:hAnsi="Times New Roman" w:cs="Times New Roman"/>
          <w:color w:val="auto"/>
          <w:szCs w:val="24"/>
          <w:lang w:eastAsia="zh-CN"/>
        </w:rPr>
        <w:t>监测时间和频次</w:t>
      </w:r>
      <w:bookmarkEnd w:id="1166"/>
      <w:bookmarkEnd w:id="1167"/>
    </w:p>
    <w:p w14:paraId="58A479AA">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连续监测7天，监测因子采样根据相应规范进行。同时记录风速、风向、气温、气压和天气状况。</w:t>
      </w:r>
    </w:p>
    <w:p w14:paraId="6CF2C72B">
      <w:pPr>
        <w:widowControl w:val="0"/>
        <w:spacing w:line="360" w:lineRule="auto"/>
        <w:jc w:val="center"/>
        <w:rPr>
          <w:rFonts w:ascii="Times New Roman" w:hAnsi="Times New Roman" w:cs="Times New Roman"/>
          <w:b/>
          <w:bCs/>
          <w:color w:val="auto"/>
          <w:szCs w:val="24"/>
          <w:lang w:eastAsia="zh-CN"/>
        </w:rPr>
      </w:pPr>
      <w:r>
        <w:rPr>
          <w:rFonts w:ascii="Times New Roman" w:hAnsi="Times New Roman" w:cs="Times New Roman"/>
          <w:color w:val="auto"/>
        </w:rPr>
        <mc:AlternateContent>
          <mc:Choice Requires="wps">
            <w:drawing>
              <wp:anchor distT="0" distB="0" distL="114300" distR="114300" simplePos="0" relativeHeight="251672576" behindDoc="0" locked="0" layoutInCell="1" allowOverlap="1">
                <wp:simplePos x="0" y="0"/>
                <wp:positionH relativeFrom="column">
                  <wp:posOffset>128270</wp:posOffset>
                </wp:positionH>
                <wp:positionV relativeFrom="paragraph">
                  <wp:posOffset>3506470</wp:posOffset>
                </wp:positionV>
                <wp:extent cx="114300" cy="120650"/>
                <wp:effectExtent l="12700" t="7620" r="6350" b="5080"/>
                <wp:wrapNone/>
                <wp:docPr id="538332539" name="椭圆 3207"/>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ellipse">
                          <a:avLst/>
                        </a:prstGeom>
                        <a:solidFill>
                          <a:srgbClr val="FFFF00"/>
                        </a:solidFill>
                        <a:ln w="3175">
                          <a:solidFill>
                            <a:srgbClr val="4F81BD"/>
                          </a:solidFill>
                          <a:round/>
                        </a:ln>
                      </wps:spPr>
                      <wps:bodyPr rot="0" vert="horz" wrap="square" lIns="91440" tIns="45720" rIns="91440" bIns="45720" anchor="t" anchorCtr="0" upright="1">
                        <a:noAutofit/>
                      </wps:bodyPr>
                    </wps:wsp>
                  </a:graphicData>
                </a:graphic>
              </wp:anchor>
            </w:drawing>
          </mc:Choice>
          <mc:Fallback>
            <w:pict>
              <v:shape id="椭圆 3207" o:spid="_x0000_s1026" o:spt="3" type="#_x0000_t3" style="position:absolute;left:0pt;margin-left:10.1pt;margin-top:276.1pt;height:9.5pt;width:9pt;z-index:251672576;mso-width-relative:page;mso-height-relative:page;" fillcolor="#FFFF00" filled="t" stroked="t" coordsize="21600,21600" o:gfxdata="UEsDBAoAAAAAAIdO4kAAAAAAAAAAAAAAAAAEAAAAZHJzL1BLAwQUAAAACACHTuJAm9xTqdYAAAAJ&#10;AQAADwAAAGRycy9kb3ducmV2LnhtbE2Py07DMBBF90j8gzVI7KgdQyGEOFVVCbFg0wcf4MbTJBCP&#10;09htyt8zrGA1r6t7z5SLi+/FGcfYBTKQzRQIpDq4jhoDH7vXuxxETJac7QOhgW+MsKiur0pbuDDR&#10;Bs/b1Ag2oVhYA21KQyFlrFv0Ns7CgMS3Qxi9TTyOjXSjndjc91Ir9Si97YgTWjvgqsX6a3vyBpZx&#10;+UaH55DT6vh+XO/k9Pmg18bc3mTqBUTCS/oTwy8+o0PFTPtwIhdFb0ArzUoD87nmhgX3Odc9L54y&#10;DbIq5f8Pqh9QSwMEFAAAAAgAh07iQBOhuGo/AgAAbwQAAA4AAABkcnMvZTJvRG9jLnhtbK1UzW7b&#10;MAy+D9g7CLqvtuOkP0adomuQYcB+CnR7AEWWY2GyqFFKnO4B9hQ77rrH2p5jlJx2abdDD/NBIEXy&#10;I/mR8vnFrjdsq9BrsDUvjnLOlJXQaLuu+ccPyxennPkgbCMMWFXzW+X5xfz5s/PBVWoCHZhGISMQ&#10;66vB1bwLwVVZ5mWneuGPwClLxhawF4FUXGcNioHQe5NN8vw4GwAbhyCV93S7GI18j4hPAYS21VIt&#10;QG56ZcOIisqIQC35TjvP56natlUyvG9brwIzNadOQzopCcmreGbzc1GtUbhOy30J4iklPOqpF9pS&#10;0nuohQiCbVD/BdVrieChDUcS+mxsJDFCXRT5I25uOuFU6oWo9u6edP//YOW77TUy3dR8Vp6W5WRW&#10;nnFmRU+D//X9x89vX1k5yU8iTYPzFXnfuGuMjXr3BuQnzyxcdcKu1SUiDJ0SDRVXRP/sQUBUPIWy&#10;1fAWGkIXmwCJsV2LfQQkLtguDeb2fjBqF5iky6KYljmNTJKpmOTHszS4TFR3wQ59eKWgZ1GouTKG&#10;tiBSJyqxfeNDrEdUd16pfjC6WWpjkoLr1ZVBthW0Jkv6KNkY4g/djGVDzcviZJaQH9j8IcR0eVq8&#10;XPwLAmFjmxHa2D1JkZeR3xU0t8QRwrin9EpJ6AC/cDbQjtbcf94IVJyZ15Z4Pium07jUSZnOTiak&#10;4KFldWgRVhJUzQNno3gVxoewcajXHWUqUlsWLmk2rU6kxbmNVe2LpT1MXO7fTFz0Qz15/flPzH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m9xTqdYAAAAJAQAADwAAAAAAAAABACAAAAAiAAAAZHJz&#10;L2Rvd25yZXYueG1sUEsBAhQAFAAAAAgAh07iQBOhuGo/AgAAbwQAAA4AAAAAAAAAAQAgAAAAJQEA&#10;AGRycy9lMm9Eb2MueG1sUEsFBgAAAAAGAAYAWQEAANYFAAAAAA==&#10;">
                <v:fill on="t" focussize="0,0"/>
                <v:stroke weight="0.25pt" color="#4F81BD" joinstyle="round"/>
                <v:imagedata o:title=""/>
                <o:lock v:ext="edit" aspectratio="f"/>
              </v:shape>
            </w:pict>
          </mc:Fallback>
        </mc:AlternateContent>
      </w:r>
      <w:r>
        <w:rPr>
          <w:rFonts w:ascii="Times New Roman" w:hAnsi="Times New Roman" w:cs="Times New Roman"/>
          <w:color w:val="auto"/>
        </w:rPr>
        <mc:AlternateContent>
          <mc:Choice Requires="wps">
            <w:drawing>
              <wp:anchor distT="0" distB="0" distL="114300" distR="114300" simplePos="0" relativeHeight="251671552" behindDoc="0" locked="0" layoutInCell="1" allowOverlap="1">
                <wp:simplePos x="0" y="0"/>
                <wp:positionH relativeFrom="column">
                  <wp:posOffset>130175</wp:posOffset>
                </wp:positionH>
                <wp:positionV relativeFrom="paragraph">
                  <wp:posOffset>3284220</wp:posOffset>
                </wp:positionV>
                <wp:extent cx="107950" cy="114300"/>
                <wp:effectExtent l="12700" t="7620" r="12700" b="11430"/>
                <wp:wrapNone/>
                <wp:docPr id="718984841" name="矩形 3208"/>
                <wp:cNvGraphicFramePr/>
                <a:graphic xmlns:a="http://schemas.openxmlformats.org/drawingml/2006/main">
                  <a:graphicData uri="http://schemas.microsoft.com/office/word/2010/wordprocessingShape">
                    <wps:wsp>
                      <wps:cNvSpPr>
                        <a:spLocks noChangeArrowheads="1"/>
                      </wps:cNvSpPr>
                      <wps:spPr bwMode="auto">
                        <a:xfrm>
                          <a:off x="0" y="0"/>
                          <a:ext cx="107950" cy="114300"/>
                        </a:xfrm>
                        <a:prstGeom prst="rect">
                          <a:avLst/>
                        </a:prstGeom>
                        <a:noFill/>
                        <a:ln w="9525">
                          <a:solidFill>
                            <a:srgbClr val="FF0000"/>
                          </a:solidFill>
                          <a:miter lim="800000"/>
                        </a:ln>
                        <a:effectLst/>
                      </wps:spPr>
                      <wps:bodyPr rot="0" vert="horz" wrap="square" lIns="91440" tIns="45720" rIns="91440" bIns="45720" anchor="t" anchorCtr="0" upright="1">
                        <a:noAutofit/>
                      </wps:bodyPr>
                    </wps:wsp>
                  </a:graphicData>
                </a:graphic>
              </wp:anchor>
            </w:drawing>
          </mc:Choice>
          <mc:Fallback>
            <w:pict>
              <v:rect id="矩形 3208" o:spid="_x0000_s1026" o:spt="1" style="position:absolute;left:0pt;margin-left:10.25pt;margin-top:258.6pt;height:9pt;width:8.5pt;z-index:251671552;mso-width-relative:page;mso-height-relative:page;" filled="f" stroked="t" coordsize="21600,21600" o:gfxdata="UEsDBAoAAAAAAIdO4kAAAAAAAAAAAAAAAAAEAAAAZHJzL1BLAwQUAAAACACHTuJApzmF0tkAAAAJ&#10;AQAADwAAAGRycy9kb3ducmV2LnhtbE2PsU7DMBCGdyTewTokFkTtpAqtQpwOSFChDqgtQ0cnvsYW&#10;sR3FblLenmOC8f779N931ebqejbhGG3wErKFAIa+Ddr6TsLn8fVxDSwm5bXqg0cJ3xhhU9/eVKrU&#10;YfZ7nA6pY1TiY6kkmJSGkvPYGnQqLsKAnnbnMDqVaBw7rkc1U7nreS7EE3fKerpg1IAvBtuvw8VJ&#10;iB9vp91x/z51drubzdbieWgepLy/y8QzsITX9AfDrz6pQ01OTbh4HVkvIRcFkRKKbJUDI2C5oqCh&#10;YFnkwOuK//+g/gFQSwMEFAAAAAgAh07iQAS6YfZBAgAAXgQAAA4AAABkcnMvZTJvRG9jLnhtbK1U&#10;QW7bMBC8F+gfCN4bSY7d2ELkILDhokDaBkj7AJqiLKIUl13SltPPFOgtj+hzin6jS8pO3fSSQ3UQ&#10;uNrlcGdmqcurfWfYTqHXYCtenOWcKSuh1nZT8U8fV6+mnPkgbC0MWFXxe+X51fzli8velWoELZha&#10;ISMQ68veVbwNwZVZ5mWrOuHPwClLyQawE4FC3GQ1ip7QO5ON8vx11gPWDkEq7+nrckjyAyI+BxCa&#10;Rku1BLntlA0DKiojAlHyrXaez1O3TaNk+NA0XgVmKk5MQ3rTIbRex3c2vxTlBoVrtTy0IJ7TwhNO&#10;ndCWDn2EWoog2Bb1P1CdlggemnAmocsGIkkRYlHkT7S5a4VTiQtJ7d2j6P7/wcr3u1tkuq74RTGd&#10;TcfTccGZFR0Z/+vbw88f39n5KJ9GmXrnS6q+c7cYiXp3A/KzZxYWrbAbdY0IfatETc0VsT77a0MM&#10;PG1l6/4d1IQutgGSYvsGuwhIWrB9Mub+0Ri1D0zSxyK/mE3IMkmpohif58m4TJTHzQ59eKOgY3FR&#10;cSTfE7jY3fgQmxHlsSSeZWGljUneG8v6is8mo0na4MHoOiYTR9ysFwbZTtD0rFY5PYkZsT8t63Sg&#10;G2F0V/FprDkWGRtBVJrCQxtHGQY511DfkyQIw1jSpaRFC/iVs55GsuL+y1ag4sy8tSTrrBiP4wyn&#10;YDy5GFGAp5n1aUZYSVAVD5wNy0UY5n7rUG9aOqlIjC1ckxWNTjLF/oauDgbS2CX1DlckzvVpnKr+&#10;/Bbm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nOYXS2QAAAAkBAAAPAAAAAAAAAAEAIAAAACIA&#10;AABkcnMvZG93bnJldi54bWxQSwECFAAUAAAACACHTuJABLph9kECAABeBAAADgAAAAAAAAABACAA&#10;AAAoAQAAZHJzL2Uyb0RvYy54bWxQSwUGAAAAAAYABgBZAQAA2wUAAAAA&#10;">
                <v:fill on="f" focussize="0,0"/>
                <v:stroke color="#FF0000" miterlimit="8" joinstyle="miter"/>
                <v:imagedata o:title=""/>
                <o:lock v:ext="edit" aspectratio="f"/>
              </v:rect>
            </w:pict>
          </mc:Fallback>
        </mc:AlternateContent>
      </w:r>
      <w:r>
        <w:rPr>
          <w:rFonts w:ascii="Times New Roman" w:hAnsi="Times New Roman" w:cs="Times New Roman"/>
          <w:color w:val="auto"/>
        </w:rPr>
        <mc:AlternateContent>
          <mc:Choice Requires="wps">
            <w:drawing>
              <wp:anchor distT="0" distB="0" distL="114300" distR="114300" simplePos="0" relativeHeight="251670528" behindDoc="0" locked="0" layoutInCell="1" allowOverlap="1">
                <wp:simplePos x="0" y="0"/>
                <wp:positionH relativeFrom="column">
                  <wp:posOffset>26035</wp:posOffset>
                </wp:positionH>
                <wp:positionV relativeFrom="paragraph">
                  <wp:posOffset>2999740</wp:posOffset>
                </wp:positionV>
                <wp:extent cx="1033145" cy="739140"/>
                <wp:effectExtent l="13970" t="10795" r="10160" b="12065"/>
                <wp:wrapNone/>
                <wp:docPr id="1771570184" name="文本框 3206"/>
                <wp:cNvGraphicFramePr/>
                <a:graphic xmlns:a="http://schemas.openxmlformats.org/drawingml/2006/main">
                  <a:graphicData uri="http://schemas.microsoft.com/office/word/2010/wordprocessingShape">
                    <wps:wsp>
                      <wps:cNvSpPr txBox="1">
                        <a:spLocks noChangeArrowheads="1"/>
                      </wps:cNvSpPr>
                      <wps:spPr bwMode="auto">
                        <a:xfrm>
                          <a:off x="0" y="0"/>
                          <a:ext cx="1033145" cy="739140"/>
                        </a:xfrm>
                        <a:prstGeom prst="rect">
                          <a:avLst/>
                        </a:prstGeom>
                        <a:solidFill>
                          <a:srgbClr val="FFFFFF"/>
                        </a:solidFill>
                        <a:ln w="3175">
                          <a:solidFill>
                            <a:srgbClr val="000000"/>
                          </a:solidFill>
                          <a:miter lim="800000"/>
                        </a:ln>
                      </wps:spPr>
                      <wps:txbx>
                        <w:txbxContent>
                          <w:p w14:paraId="4C006BA0">
                            <w:pPr>
                              <w:ind w:firstLine="420"/>
                              <w:jc w:val="center"/>
                              <w:rPr>
                                <w:sz w:val="21"/>
                                <w:szCs w:val="18"/>
                                <w:lang w:eastAsia="zh-CN"/>
                              </w:rPr>
                            </w:pPr>
                            <w:r>
                              <w:rPr>
                                <w:rFonts w:hint="eastAsia"/>
                                <w:sz w:val="21"/>
                                <w:szCs w:val="18"/>
                                <w:lang w:eastAsia="zh-CN"/>
                              </w:rPr>
                              <w:t>图例</w:t>
                            </w:r>
                          </w:p>
                          <w:p w14:paraId="472DC7F2">
                            <w:pPr>
                              <w:ind w:firstLine="420"/>
                              <w:jc w:val="center"/>
                              <w:rPr>
                                <w:sz w:val="21"/>
                                <w:szCs w:val="18"/>
                                <w:lang w:eastAsia="zh-CN"/>
                              </w:rPr>
                            </w:pPr>
                            <w:r>
                              <w:rPr>
                                <w:rFonts w:hint="eastAsia"/>
                                <w:sz w:val="21"/>
                                <w:szCs w:val="18"/>
                                <w:lang w:eastAsia="zh-CN"/>
                              </w:rPr>
                              <w:t xml:space="preserve"> 项目地</w:t>
                            </w:r>
                          </w:p>
                          <w:p w14:paraId="425C5B31">
                            <w:pPr>
                              <w:ind w:firstLine="360"/>
                              <w:jc w:val="right"/>
                              <w:rPr>
                                <w:lang w:eastAsia="zh-CN"/>
                              </w:rPr>
                            </w:pPr>
                            <w:r>
                              <w:rPr>
                                <w:rFonts w:hint="eastAsia"/>
                                <w:sz w:val="21"/>
                                <w:szCs w:val="18"/>
                                <w:lang w:eastAsia="zh-CN"/>
                              </w:rPr>
                              <w:t>监测点位</w:t>
                            </w:r>
                          </w:p>
                        </w:txbxContent>
                      </wps:txbx>
                      <wps:bodyPr rot="0" vert="horz" wrap="square" lIns="91440" tIns="45720" rIns="91440" bIns="45720" anchor="t" anchorCtr="0" upright="1">
                        <a:noAutofit/>
                      </wps:bodyPr>
                    </wps:wsp>
                  </a:graphicData>
                </a:graphic>
              </wp:anchor>
            </w:drawing>
          </mc:Choice>
          <mc:Fallback>
            <w:pict>
              <v:shape id="文本框 3206" o:spid="_x0000_s1026" o:spt="202" type="#_x0000_t202" style="position:absolute;left:0pt;margin-left:2.05pt;margin-top:236.2pt;height:58.2pt;width:81.35pt;z-index:251670528;mso-width-relative:page;mso-height-relative:page;" fillcolor="#FFFFFF" filled="t" stroked="t" coordsize="21600,21600" o:gfxdata="UEsDBAoAAAAAAIdO4kAAAAAAAAAAAAAAAAAEAAAAZHJzL1BLAwQUAAAACACHTuJA4MiAgdYAAAAJ&#10;AQAADwAAAGRycy9kb3ducmV2LnhtbE2PQUvDQBCF74L/YRnBi9hNQk1DzKaIoDeFtv6AaXZMQrOz&#10;Ibtt4r93etLT8HiPN9+rtosb1IWm0Hs2kK4SUMSNtz23Br4Ob48FqBCRLQ6eycAPBdjWtzcVltbP&#10;vKPLPrZKSjiUaKCLcSy1Dk1HDsPKj8TiffvJYRQ5tdpOOEu5G3SWJLl22LN86HCk146a0/7sDHwg&#10;4+Lc7uXBR/fp5uz0vjkkxtzfpckzqEhL/AvDFV/QoRamoz+zDWowsE4lKGeTrUFd/TyXKUcDT0VR&#10;gK4r/X9B/QtQSwMEFAAAAAgAh07iQDWbEVRJAgAAkwQAAA4AAABkcnMvZTJvRG9jLnhtbK1UzW7U&#10;MBC+I/EOlu80yf50S9RsVVoVIZUfqfAAXsfZWNgeM/ZuUh4A3oATF+481z4HE2dbVgWkHvDB8mRm&#10;vpn5ZianZ701bKswaHAVL45yzpSTUGu3rviH91fPTjgLUbhaGHCq4rcq8LPl0yennS/VBFowtUJG&#10;IC6Una94G6MvsyzIVlkRjsArR8oG0IpIIq6zGkVH6NZkkzw/zjrA2iNIFQJ9vRyVfI+IjwGEptFS&#10;XYLcWOXiiIrKiEglhVb7wJcp26ZRMr5tmqAiMxWnSmO6KQi9V8OdLU9FuUbhWy33KYjHpPCgJiu0&#10;o6D3UJciCrZB/QeU1RIhQBOPJNhsLCQxQlUU+QNublrhVaqFqA7+nvTw/2Dlm+07ZLqmSVgsivki&#10;L05mnDlhqfO7b19333/ufnxh00l+PFDV+VCSx40nn9i/gJ7cUtnBX4P8GJiDi1a4tTpHhK5VoqZU&#10;i8EzO3AdccIAsupeQ02hxCZCAuobtAOPxAwjdGrT7X2bVB+ZHELm02kxm3MmSbeYPi9mqY+ZKO+8&#10;PYb4UoFlw6PiSGOQ0MX2OsQhG1HemQzBAhhdX2ljkoDr1YVBthU0MlfppAIemBnHuopPi8V8JOCf&#10;EHk6f4OwOtImGW0rfnJoZNyer4GikazYr/o9/yuob4k5hHGWaZPp0QJ+5qyjOa54+LQRqDgzrxyx&#10;T+wQPSwmYTZfTEjAQ83qUCOcJKiKR87G50Ucl2XjUa9bijT228E5dazRicyhtWNW+7xpVhPH+70a&#10;luFQTla//yXL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ODIgIHWAAAACQEAAA8AAAAAAAAAAQAg&#10;AAAAIgAAAGRycy9kb3ducmV2LnhtbFBLAQIUABQAAAAIAIdO4kA1mxFUSQIAAJMEAAAOAAAAAAAA&#10;AAEAIAAAACUBAABkcnMvZTJvRG9jLnhtbFBLBQYAAAAABgAGAFkBAADgBQAAAAA=&#10;">
                <v:fill on="t" focussize="0,0"/>
                <v:stroke weight="0.25pt" color="#000000" miterlimit="8" joinstyle="miter"/>
                <v:imagedata o:title=""/>
                <o:lock v:ext="edit" aspectratio="f"/>
                <v:textbox>
                  <w:txbxContent>
                    <w:p w14:paraId="4C006BA0">
                      <w:pPr>
                        <w:ind w:firstLine="420"/>
                        <w:jc w:val="center"/>
                        <w:rPr>
                          <w:sz w:val="21"/>
                          <w:szCs w:val="18"/>
                          <w:lang w:eastAsia="zh-CN"/>
                        </w:rPr>
                      </w:pPr>
                      <w:r>
                        <w:rPr>
                          <w:rFonts w:hint="eastAsia"/>
                          <w:sz w:val="21"/>
                          <w:szCs w:val="18"/>
                          <w:lang w:eastAsia="zh-CN"/>
                        </w:rPr>
                        <w:t>图例</w:t>
                      </w:r>
                    </w:p>
                    <w:p w14:paraId="472DC7F2">
                      <w:pPr>
                        <w:ind w:firstLine="420"/>
                        <w:jc w:val="center"/>
                        <w:rPr>
                          <w:sz w:val="21"/>
                          <w:szCs w:val="18"/>
                          <w:lang w:eastAsia="zh-CN"/>
                        </w:rPr>
                      </w:pPr>
                      <w:r>
                        <w:rPr>
                          <w:rFonts w:hint="eastAsia"/>
                          <w:sz w:val="21"/>
                          <w:szCs w:val="18"/>
                          <w:lang w:eastAsia="zh-CN"/>
                        </w:rPr>
                        <w:t xml:space="preserve"> 项目地</w:t>
                      </w:r>
                    </w:p>
                    <w:p w14:paraId="425C5B31">
                      <w:pPr>
                        <w:ind w:firstLine="360"/>
                        <w:jc w:val="right"/>
                        <w:rPr>
                          <w:lang w:eastAsia="zh-CN"/>
                        </w:rPr>
                      </w:pPr>
                      <w:r>
                        <w:rPr>
                          <w:rFonts w:hint="eastAsia"/>
                          <w:sz w:val="21"/>
                          <w:szCs w:val="18"/>
                          <w:lang w:eastAsia="zh-CN"/>
                        </w:rPr>
                        <w:t>监测点位</w:t>
                      </w:r>
                    </w:p>
                  </w:txbxContent>
                </v:textbox>
              </v:shape>
            </w:pict>
          </mc:Fallback>
        </mc:AlternateContent>
      </w:r>
      <w:r>
        <w:rPr>
          <w:rFonts w:ascii="Times New Roman" w:hAnsi="Times New Roman" w:cs="Times New Roman"/>
          <w:snapToGrid/>
          <w:color w:val="auto"/>
          <w:lang w:eastAsia="zh-CN"/>
        </w:rPr>
        <w:drawing>
          <wp:anchor distT="0" distB="0" distL="114300" distR="114300" simplePos="0" relativeHeight="251748352" behindDoc="0" locked="0" layoutInCell="1" allowOverlap="1">
            <wp:simplePos x="0" y="0"/>
            <wp:positionH relativeFrom="column">
              <wp:posOffset>5302250</wp:posOffset>
            </wp:positionH>
            <wp:positionV relativeFrom="paragraph">
              <wp:posOffset>635</wp:posOffset>
            </wp:positionV>
            <wp:extent cx="875030" cy="661670"/>
            <wp:effectExtent l="0" t="0" r="0" b="0"/>
            <wp:wrapNone/>
            <wp:docPr id="4985"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5" name="图片 12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875030" cy="661670"/>
                    </a:xfrm>
                    <a:prstGeom prst="rect">
                      <a:avLst/>
                    </a:prstGeom>
                    <a:noFill/>
                    <a:ln>
                      <a:noFill/>
                    </a:ln>
                    <a:effectLst/>
                  </pic:spPr>
                </pic:pic>
              </a:graphicData>
            </a:graphic>
          </wp:anchor>
        </w:drawing>
      </w:r>
      <w:r>
        <w:rPr>
          <w:rFonts w:ascii="Times New Roman" w:hAnsi="Times New Roman" w:cs="Times New Roman"/>
          <w:snapToGrid/>
          <w:color w:val="auto"/>
          <w:lang w:eastAsia="zh-CN"/>
        </w:rPr>
        <mc:AlternateContent>
          <mc:Choice Requires="wps">
            <w:drawing>
              <wp:anchor distT="0" distB="0" distL="114300" distR="114300" simplePos="0" relativeHeight="251750400" behindDoc="0" locked="0" layoutInCell="1" allowOverlap="1">
                <wp:simplePos x="0" y="0"/>
                <wp:positionH relativeFrom="column">
                  <wp:posOffset>4420870</wp:posOffset>
                </wp:positionH>
                <wp:positionV relativeFrom="paragraph">
                  <wp:posOffset>818515</wp:posOffset>
                </wp:positionV>
                <wp:extent cx="1008380" cy="297815"/>
                <wp:effectExtent l="3175" t="0" r="0" b="0"/>
                <wp:wrapNone/>
                <wp:docPr id="1196772454" name="文本框 3210"/>
                <wp:cNvGraphicFramePr/>
                <a:graphic xmlns:a="http://schemas.openxmlformats.org/drawingml/2006/main">
                  <a:graphicData uri="http://schemas.microsoft.com/office/word/2010/wordprocessingShape">
                    <wps:wsp>
                      <wps:cNvSpPr txBox="1">
                        <a:spLocks noChangeArrowheads="1"/>
                      </wps:cNvSpPr>
                      <wps:spPr bwMode="auto">
                        <a:xfrm>
                          <a:off x="0" y="0"/>
                          <a:ext cx="1008380" cy="297815"/>
                        </a:xfrm>
                        <a:prstGeom prst="rect">
                          <a:avLst/>
                        </a:prstGeom>
                        <a:noFill/>
                        <a:ln>
                          <a:noFill/>
                        </a:ln>
                      </wps:spPr>
                      <wps:txbx>
                        <w:txbxContent>
                          <w:p w14:paraId="75A6E2F6">
                            <w:pPr>
                              <w:rPr>
                                <w:color w:val="FFFF00"/>
                                <w:sz w:val="28"/>
                                <w:szCs w:val="22"/>
                              </w:rPr>
                            </w:pPr>
                            <w:r>
                              <w:rPr>
                                <w:rFonts w:hint="eastAsia" w:ascii="Times New Roman" w:hAnsi="Times New Roman" w:cs="Times New Roman"/>
                                <w:color w:val="FFFF00"/>
                                <w:szCs w:val="24"/>
                                <w:lang w:eastAsia="zh-CN"/>
                              </w:rPr>
                              <w:t>大柏村</w:t>
                            </w:r>
                          </w:p>
                        </w:txbxContent>
                      </wps:txbx>
                      <wps:bodyPr rot="0" vert="horz" wrap="square" lIns="91440" tIns="45720" rIns="91440" bIns="45720" anchor="t" anchorCtr="0" upright="1">
                        <a:noAutofit/>
                      </wps:bodyPr>
                    </wps:wsp>
                  </a:graphicData>
                </a:graphic>
              </wp:anchor>
            </w:drawing>
          </mc:Choice>
          <mc:Fallback>
            <w:pict>
              <v:shape id="文本框 3210" o:spid="_x0000_s1026" o:spt="202" type="#_x0000_t202" style="position:absolute;left:0pt;margin-left:348.1pt;margin-top:64.45pt;height:23.45pt;width:79.4pt;z-index:251750400;mso-width-relative:page;mso-height-relative:page;" filled="f" stroked="f" coordsize="21600,21600" o:gfxdata="UEsDBAoAAAAAAIdO4kAAAAAAAAAAAAAAAAAEAAAAZHJzL1BLAwQUAAAACACHTuJAb8we8dcAAAAL&#10;AQAADwAAAGRycy9kb3ducmV2LnhtbE2PwU7DMBBE70j8g7VI3KjdiIQkjdMDiCuIFpB6c+NtEhGv&#10;o9htwt+znOC4M0+zM9V2cYO44BR6TxrWKwUCqfG2p1bD+/75LgcRoiFrBk+o4RsDbOvrq8qU1s/0&#10;hpddbAWHUCiNhi7GsZQyNB06E1Z+RGLv5CdnIp9TK+1kZg53g0yUyqQzPfGHzoz42GHztTs7DR8v&#10;p8PnvXptn1w6zn5Rklwhtb69WasNiIhL/IPhtz5Xh5o7Hf2ZbBCDhqzIEkbZSPICBBN5mvK6IysP&#10;aQ6yruT/DfUPUEsDBBQAAAAIAIdO4kCeW9vEIQIAACEEAAAOAAAAZHJzL2Uyb0RvYy54bWytU0tu&#10;2zAU3BfoHQjua31ix7ZgOUhjpCiQfoC0B6ApyiIq8rEkbSk9QHODrrrpvufyOfpIOY6bbrLoRiD5&#10;+ObNDEeLi161ZCesk6BLmo1SSoTmUEm9KennT9evZpQ4z3TFWtCipHfC0YvlyxeLzhQihwbaSliC&#10;INoVnSlp470pksTxRijmRmCExmINVjGPW7tJKss6RFdtkqfpedKBrYwFLpzD09VQpAdE+xxAqGvJ&#10;xQr4VgntB1QrWuZRkmukcXQZ2da14P5DXTvhSVtSVOrjF4fgeh2+yXLBio1lppH8QIE9h8ITTYpJ&#10;jUOPUCvmGdla+Q+UktyCg9qPOKhkEBIdQRVZ+sSb24YZEbWg1c4cTXf/D5a/3320RFaYhGx+Pp3m&#10;48mYEs0Uvvz+x/3+5+/9r+/kLM+iVZ1xBXbcGuzx/WvosS3KduYG+BdHNFw1TG/EpbXQNYJVSDUL&#10;JicnreFxXOECyLp7BxWOYlsPEaivrQo+ojME0fGZ7o7PJHpPeBiZprOzGZY41vL5dJZN4ghWPHQb&#10;6/wbAYqERUktxiCis92N84ENKx6uhGEarmXbxii0+q8DvBhOIvtAeKDu+3WPt4OKNVR3qMPCkCz8&#10;r3DRgP1GSYepKqn7umVWUNK+1ejFPBuPQwzjZjyZ5rixp5X1aYVpjlAl9ZQMyys/RHdrrNw0OGlw&#10;X8Ml+lfLKO2R1YE3JicqPqQ8RPN0H289/tnL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G/MHvHX&#10;AAAACwEAAA8AAAAAAAAAAQAgAAAAIgAAAGRycy9kb3ducmV2LnhtbFBLAQIUABQAAAAIAIdO4kCe&#10;W9vEIQIAACEEAAAOAAAAAAAAAAEAIAAAACYBAABkcnMvZTJvRG9jLnhtbFBLBQYAAAAABgAGAFkB&#10;AAC5BQAAAAA=&#10;">
                <v:fill on="f" focussize="0,0"/>
                <v:stroke on="f"/>
                <v:imagedata o:title=""/>
                <o:lock v:ext="edit" aspectratio="f"/>
                <v:textbox>
                  <w:txbxContent>
                    <w:p w14:paraId="75A6E2F6">
                      <w:pPr>
                        <w:rPr>
                          <w:color w:val="FFFF00"/>
                          <w:sz w:val="28"/>
                          <w:szCs w:val="22"/>
                        </w:rPr>
                      </w:pPr>
                      <w:r>
                        <w:rPr>
                          <w:rFonts w:hint="eastAsia" w:ascii="Times New Roman" w:hAnsi="Times New Roman" w:cs="Times New Roman"/>
                          <w:color w:val="FFFF00"/>
                          <w:szCs w:val="24"/>
                          <w:lang w:eastAsia="zh-CN"/>
                        </w:rPr>
                        <w:t>大柏村</w:t>
                      </w: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51424" behindDoc="0" locked="0" layoutInCell="1" allowOverlap="1">
                <wp:simplePos x="0" y="0"/>
                <wp:positionH relativeFrom="column">
                  <wp:posOffset>3402965</wp:posOffset>
                </wp:positionH>
                <wp:positionV relativeFrom="paragraph">
                  <wp:posOffset>975360</wp:posOffset>
                </wp:positionV>
                <wp:extent cx="691515" cy="381000"/>
                <wp:effectExtent l="0" t="3810" r="0" b="0"/>
                <wp:wrapNone/>
                <wp:docPr id="2003511459" name="文本框 3212"/>
                <wp:cNvGraphicFramePr/>
                <a:graphic xmlns:a="http://schemas.openxmlformats.org/drawingml/2006/main">
                  <a:graphicData uri="http://schemas.microsoft.com/office/word/2010/wordprocessingShape">
                    <wps:wsp>
                      <wps:cNvSpPr txBox="1">
                        <a:spLocks noChangeArrowheads="1"/>
                      </wps:cNvSpPr>
                      <wps:spPr bwMode="auto">
                        <a:xfrm>
                          <a:off x="0" y="0"/>
                          <a:ext cx="691515" cy="381000"/>
                        </a:xfrm>
                        <a:prstGeom prst="rect">
                          <a:avLst/>
                        </a:prstGeom>
                        <a:noFill/>
                        <a:ln>
                          <a:noFill/>
                        </a:ln>
                        <a:effectLst/>
                      </wps:spPr>
                      <wps:txbx>
                        <w:txbxContent>
                          <w:p w14:paraId="11E77C24">
                            <w:pPr>
                              <w:jc w:val="center"/>
                              <w:rPr>
                                <w:color w:val="FF0000"/>
                                <w:sz w:val="28"/>
                                <w:szCs w:val="22"/>
                              </w:rPr>
                            </w:pPr>
                            <w:r>
                              <w:rPr>
                                <w:rFonts w:hint="eastAsia" w:ascii="Times New Roman" w:hAnsi="Times New Roman" w:cs="Times New Roman"/>
                                <w:color w:val="FF0000"/>
                                <w:szCs w:val="24"/>
                                <w:lang w:eastAsia="zh-CN"/>
                              </w:rPr>
                              <w:t>760m</w:t>
                            </w:r>
                          </w:p>
                        </w:txbxContent>
                      </wps:txbx>
                      <wps:bodyPr rot="0" vert="horz" wrap="square" lIns="91440" tIns="45720" rIns="91440" bIns="45720" anchor="t" anchorCtr="0" upright="1">
                        <a:noAutofit/>
                      </wps:bodyPr>
                    </wps:wsp>
                  </a:graphicData>
                </a:graphic>
              </wp:anchor>
            </w:drawing>
          </mc:Choice>
          <mc:Fallback>
            <w:pict>
              <v:shape id="文本框 3212" o:spid="_x0000_s1026" o:spt="202" type="#_x0000_t202" style="position:absolute;left:0pt;margin-left:267.95pt;margin-top:76.8pt;height:30pt;width:54.45pt;z-index:251751424;mso-width-relative:page;mso-height-relative:page;" filled="f" stroked="f" coordsize="21600,21600" o:gfxdata="UEsDBAoAAAAAAIdO4kAAAAAAAAAAAAAAAAAEAAAAZHJzL1BLAwQUAAAACACHTuJAI6wKedgAAAAL&#10;AQAADwAAAGRycy9kb3ducmV2LnhtbE2PzU7DMBCE70i8g7VIvVE7bRLREKcHUK+glh+Jmxtvk4h4&#10;HcVuE96e7QmOO/Npdqbczq4XFxxD50lDslQgkGpvO2o0vL/t7h9AhGjImt4TavjBANvq9qY0hfUT&#10;7fFyiI3gEAqF0dDGOBRShrpFZ8LSD0jsnfzoTORzbKQdzcThrpcrpXLpTEf8oTUDPrVYfx/OTsPH&#10;y+nrM1WvzbPLhsnPSpLbSK0Xd4l6BBFxjn8wXOtzdai409GfyQbRa8jW2YZRNrJ1DoKJPE15zFHD&#10;KmFFVqX8v6H6BVBLAwQUAAAACACHTuJAPoYsHiYCAAAuBAAADgAAAGRycy9lMm9Eb2MueG1srVNL&#10;btswEN0X6B0I7mtZ/qSxYDlIY6QokH6AtAegKcoiKnHYIW0pPUBzg6666b7n8jk6pBTXTTdZdEOQ&#10;HM6beW8elxddU7O9QqfB5DwdjTlTRkKhzTbnnz5evzjnzHlhClGDUTm/U45frJ4/W7Y2UxOooC4U&#10;MgIxLmttzivvbZYkTlaqEW4EVhkKloCN8HTEbVKgaAm9qZPJeHyWtICFRZDKObpd90E+IOJTAKEs&#10;tVRrkLtGGd+joqqFJ0qu0tbxVey2LJX078vSKc/qnBNTH1cqQvtNWJPVUmRbFLbScmhBPKWFR5wa&#10;oQ0VPUKthRdsh/ofqEZLBAelH0lokp5IVIRYpONH2txWwqrIhaR29ii6+3+w8t3+AzJd5JxmM52n&#10;6Wy+4MyIhiZ/+H5/+PHr8PMbm07SSZCqtS6jjFtLOb57BR0ZKNJ29gbkZ8cMXFXCbNUlIrSVEgW1&#10;mobM5CS1x3EBZNO+hYJKiZ2HCNSV2AQdSRlG6DSmu+OYVOeZpMuzRTpP55xJCk3P0/E4jjER2UOy&#10;RedfK2hY2OQcyQURXOxvnA/NiOzhSahl4FrXdXRCbf66oIf9jYpWGrIDldB9z8N3m26QZgPFHZFC&#10;6G1Gn4w2FeBXzlqyWM7dl51AxVn9xpAwi3Q2C56Mh9n85YQOeBrZnEaEkQSVc89Zv73yvY93FvW2&#10;okr9KAxckpiljkRDq31XwwjIRpH/YPng09NzfPXnm69+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COsCnnYAAAACwEAAA8AAAAAAAAAAQAgAAAAIgAAAGRycy9kb3ducmV2LnhtbFBLAQIUABQAAAAI&#10;AIdO4kA+hiweJgIAAC4EAAAOAAAAAAAAAAEAIAAAACcBAABkcnMvZTJvRG9jLnhtbFBLBQYAAAAA&#10;BgAGAFkBAAC/BQAAAAA=&#10;">
                <v:fill on="f" focussize="0,0"/>
                <v:stroke on="f"/>
                <v:imagedata o:title=""/>
                <o:lock v:ext="edit" aspectratio="f"/>
                <v:textbox>
                  <w:txbxContent>
                    <w:p w14:paraId="11E77C24">
                      <w:pPr>
                        <w:jc w:val="center"/>
                        <w:rPr>
                          <w:color w:val="FF0000"/>
                          <w:sz w:val="28"/>
                          <w:szCs w:val="22"/>
                        </w:rPr>
                      </w:pPr>
                      <w:r>
                        <w:rPr>
                          <w:rFonts w:hint="eastAsia" w:ascii="Times New Roman" w:hAnsi="Times New Roman" w:cs="Times New Roman"/>
                          <w:color w:val="FF0000"/>
                          <w:szCs w:val="24"/>
                          <w:lang w:eastAsia="zh-CN"/>
                        </w:rPr>
                        <w:t>760m</w:t>
                      </w:r>
                    </w:p>
                  </w:txbxContent>
                </v:textbox>
              </v:shape>
            </w:pict>
          </mc:Fallback>
        </mc:AlternateContent>
      </w:r>
      <w:r>
        <w:rPr>
          <w:rFonts w:ascii="Times New Roman" w:hAnsi="Times New Roman" w:cs="Times New Roman"/>
          <w:color w:val="auto"/>
        </w:rPr>
        <mc:AlternateContent>
          <mc:Choice Requires="wps">
            <w:drawing>
              <wp:anchor distT="0" distB="0" distL="114300" distR="114300" simplePos="0" relativeHeight="251669504" behindDoc="0" locked="0" layoutInCell="1" allowOverlap="1">
                <wp:simplePos x="0" y="0"/>
                <wp:positionH relativeFrom="column">
                  <wp:posOffset>2830195</wp:posOffset>
                </wp:positionH>
                <wp:positionV relativeFrom="paragraph">
                  <wp:posOffset>1561465</wp:posOffset>
                </wp:positionV>
                <wp:extent cx="691515" cy="381000"/>
                <wp:effectExtent l="1270" t="2540" r="2540" b="0"/>
                <wp:wrapNone/>
                <wp:docPr id="1123548650" name="文本框 3212"/>
                <wp:cNvGraphicFramePr/>
                <a:graphic xmlns:a="http://schemas.openxmlformats.org/drawingml/2006/main">
                  <a:graphicData uri="http://schemas.microsoft.com/office/word/2010/wordprocessingShape">
                    <wps:wsp>
                      <wps:cNvSpPr txBox="1">
                        <a:spLocks noChangeArrowheads="1"/>
                      </wps:cNvSpPr>
                      <wps:spPr bwMode="auto">
                        <a:xfrm>
                          <a:off x="0" y="0"/>
                          <a:ext cx="691515" cy="381000"/>
                        </a:xfrm>
                        <a:prstGeom prst="rect">
                          <a:avLst/>
                        </a:prstGeom>
                        <a:noFill/>
                        <a:ln>
                          <a:noFill/>
                        </a:ln>
                        <a:effectLst/>
                      </wps:spPr>
                      <wps:txbx>
                        <w:txbxContent>
                          <w:p w14:paraId="1CBEA8A9">
                            <w:pPr>
                              <w:rPr>
                                <w:color w:val="FF0000"/>
                                <w:sz w:val="28"/>
                                <w:szCs w:val="22"/>
                              </w:rPr>
                            </w:pPr>
                            <w:r>
                              <w:rPr>
                                <w:rFonts w:hint="eastAsia" w:ascii="Times New Roman" w:hAnsi="Times New Roman" w:cs="Times New Roman"/>
                                <w:color w:val="FF0000"/>
                                <w:szCs w:val="24"/>
                                <w:lang w:eastAsia="zh-CN"/>
                              </w:rPr>
                              <w:t>本项目</w:t>
                            </w:r>
                          </w:p>
                        </w:txbxContent>
                      </wps:txbx>
                      <wps:bodyPr rot="0" vert="horz" wrap="square" lIns="91440" tIns="45720" rIns="91440" bIns="45720" anchor="t" anchorCtr="0" upright="1">
                        <a:noAutofit/>
                      </wps:bodyPr>
                    </wps:wsp>
                  </a:graphicData>
                </a:graphic>
              </wp:anchor>
            </w:drawing>
          </mc:Choice>
          <mc:Fallback>
            <w:pict>
              <v:shape id="文本框 3212" o:spid="_x0000_s1026" o:spt="202" type="#_x0000_t202" style="position:absolute;left:0pt;margin-left:222.85pt;margin-top:122.95pt;height:30pt;width:54.45pt;z-index:251669504;mso-width-relative:page;mso-height-relative:page;" filled="f" stroked="f" coordsize="21600,21600" o:gfxdata="UEsDBAoAAAAAAIdO4kAAAAAAAAAAAAAAAAAEAAAAZHJzL1BLAwQUAAAACACHTuJAwyVJqtgAAAAL&#10;AQAADwAAAGRycy9kb3ducmV2LnhtbE2PTU/DMAyG70j8h8hI3FiykQxW6u4A4gpifEjcssZrKxqn&#10;arK1/HvCCY62H71+3nI7+16caIxdYITlQoEgroPruEF4e328ugURk2Vn+8CE8E0RttX5WWkLFyZ+&#10;odMuNSKHcCwsQpvSUEgZ65a8jYswEOfbIYzepjyOjXSjnXK47+VKqbX0tuP8obUD3bdUf+2OHuH9&#10;6fD5odVz8+DNMIVZSfYbiXh5sVR3IBLN6Q+GX/2sDlV22ocjuyh6BK3NTUYRVtpsQGTCGL0GsUe4&#10;Vnkjq1L+71D9AFBLAwQUAAAACACHTuJAD9AEHyUCAAAuBAAADgAAAGRycy9lMm9Eb2MueG1srVNL&#10;btswEN0X6B0I7mt9/KkjWA7SGCkKpB8g7QFoipKIShyWpC25B2hu0FU33fdcPkeHlOK66SaLbgiS&#10;w3kz783j6rJvG7IXxkpQOU0mMSVCcSikqnL66ePNiyUl1jFVsAaUyOlBWHq5fv5s1elMpFBDUwhD&#10;EETZrNM5rZ3TWRRZXouW2QlooTBYgmmZw6OposKwDtHbJkrjeBF1YAptgAtr8XYzBOmIaJ4CCGUp&#10;udgA37VCuQHViIY5pGRrqS1dh27LUnD3viytcKTJKTJ1YcUiuN/6NVqvWFYZpmvJxxbYU1p4xKll&#10;UmHRE9SGOUZ2Rv4D1UpuwELpJhzaaCASFEEWSfxIm7uaaRG4oNRWn0S3/w+Wv9t/MEQW6IQknc5n&#10;y8UcpVGsxckfv98ff/w6/vxGpmmSeqk6bTPMuNOY4/pX0GNaoG31LfDPlii4rpmqxJUx0NWCFdhq&#10;4jOjs9QBx3qQbfcWCizFdg4CUF+a1uuIyhBEx14OpzGJ3hGOl4uLZJ7MKeEYmi6TOA5jjFj2kKyN&#10;da8FtMRvcmrQBQGc7W+t882w7OGJr6XgRjZNcEKj/rrAh8ONCFYasz0V3/3Aw/XbfpRmC8UBSRkY&#10;bIafDDc1mK+UdGixnNovO2YEJc0bhcJcJLOZ92Q4zOYvUzyY88j2PMIUR6icOkqG7bUbfLzTRlY1&#10;VhpGoeAKxSxlIOpbHboaR4A2CvxHy3ufnp/Dqz/ffP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wyVJqtgAAAALAQAADwAAAAAAAAABACAAAAAiAAAAZHJzL2Rvd25yZXYueG1sUEsBAhQAFAAAAAgA&#10;h07iQA/QBB8lAgAALgQAAA4AAAAAAAAAAQAgAAAAJwEAAGRycy9lMm9Eb2MueG1sUEsFBgAAAAAG&#10;AAYAWQEAAL4FAAAAAA==&#10;">
                <v:fill on="f" focussize="0,0"/>
                <v:stroke on="f"/>
                <v:imagedata o:title=""/>
                <o:lock v:ext="edit" aspectratio="f"/>
                <v:textbox>
                  <w:txbxContent>
                    <w:p w14:paraId="1CBEA8A9">
                      <w:pPr>
                        <w:rPr>
                          <w:color w:val="FF0000"/>
                          <w:sz w:val="28"/>
                          <w:szCs w:val="22"/>
                        </w:rPr>
                      </w:pPr>
                      <w:r>
                        <w:rPr>
                          <w:rFonts w:hint="eastAsia" w:ascii="Times New Roman" w:hAnsi="Times New Roman" w:cs="Times New Roman"/>
                          <w:color w:val="FF0000"/>
                          <w:szCs w:val="24"/>
                          <w:lang w:eastAsia="zh-CN"/>
                        </w:rPr>
                        <w:t>本项目</w:t>
                      </w: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49376" behindDoc="0" locked="0" layoutInCell="1" allowOverlap="1">
                <wp:simplePos x="0" y="0"/>
                <wp:positionH relativeFrom="column">
                  <wp:posOffset>4335780</wp:posOffset>
                </wp:positionH>
                <wp:positionV relativeFrom="paragraph">
                  <wp:posOffset>977900</wp:posOffset>
                </wp:positionV>
                <wp:extent cx="146050" cy="139700"/>
                <wp:effectExtent l="11430" t="10160" r="13970" b="12065"/>
                <wp:wrapNone/>
                <wp:docPr id="321272783" name="椭圆 3215"/>
                <wp:cNvGraphicFramePr/>
                <a:graphic xmlns:a="http://schemas.openxmlformats.org/drawingml/2006/main">
                  <a:graphicData uri="http://schemas.microsoft.com/office/word/2010/wordprocessingShape">
                    <wps:wsp>
                      <wps:cNvSpPr>
                        <a:spLocks noChangeArrowheads="1"/>
                      </wps:cNvSpPr>
                      <wps:spPr bwMode="auto">
                        <a:xfrm>
                          <a:off x="0" y="0"/>
                          <a:ext cx="146050" cy="139700"/>
                        </a:xfrm>
                        <a:prstGeom prst="ellipse">
                          <a:avLst/>
                        </a:prstGeom>
                        <a:solidFill>
                          <a:srgbClr val="FFFF00"/>
                        </a:solidFill>
                        <a:ln w="3175">
                          <a:solidFill>
                            <a:srgbClr val="4F81BD"/>
                          </a:solidFill>
                          <a:round/>
                        </a:ln>
                      </wps:spPr>
                      <wps:bodyPr rot="0" vert="horz" wrap="square" lIns="91440" tIns="45720" rIns="91440" bIns="45720" anchor="t" anchorCtr="0" upright="1">
                        <a:noAutofit/>
                      </wps:bodyPr>
                    </wps:wsp>
                  </a:graphicData>
                </a:graphic>
              </wp:anchor>
            </w:drawing>
          </mc:Choice>
          <mc:Fallback>
            <w:pict>
              <v:shape id="椭圆 3215" o:spid="_x0000_s1026" o:spt="3" type="#_x0000_t3" style="position:absolute;left:0pt;margin-left:341.4pt;margin-top:77pt;height:11pt;width:11.5pt;z-index:251749376;mso-width-relative:page;mso-height-relative:page;" fillcolor="#FFFF00" filled="t" stroked="t" coordsize="21600,21600" o:gfxdata="UEsDBAoAAAAAAIdO4kAAAAAAAAAAAAAAAAAEAAAAZHJzL1BLAwQUAAAACACHTuJAWbD9O9gAAAAL&#10;AQAADwAAAGRycy9kb3ducmV2LnhtbE2PwW7CMBBE75X6D9ZW6q3YRBDSEAchpKqHXij0A0y8JKHx&#10;OsSG0L/v9lSOOzOafVOsbq4TVxxC60nDdKJAIFXetlRr+Nq/vWQgQjRkTecJNfxggFX5+FCY3PqR&#10;PvG6i7XgEgq50dDE2OdShqpBZ8LE90jsHf3gTORzqKUdzMjlrpOJUql0piX+0JgeNw1W37uL07AO&#10;63c6vvqMNueP83Yvx9Ms2Wr9/DRVSxARb/E/DH/4jA4lMx38hWwQnYY0Sxg9sjGf8ShOLNSclQMr&#10;i1SBLAt5v6H8BVBLAwQUAAAACACHTuJAhvg0Uz8CAABvBAAADgAAAGRycy9lMm9Eb2MueG1srZTB&#10;bhMxEIbvSLyD5TvZbJo06aqbqiQKQipQqfAAjtebtfB6zNjJpjwAT8GRK48Fz8HYm4a0XHogh5XH&#10;M/498804l1f71rCdQq/BljwfDDlTVkKl7abknz6uXs0480HYShiwquT3yvOr+csXl50r1AgaMJVC&#10;RiLWF50reROCK7LMy0a1wg/AKUvOGrAVgUzcZBWKjtRbk42Gw/OsA6wcglTe0+6yd/KDIj5HEOpa&#10;S7UEuW2VDb0qKiMCleQb7Tyfp2zrWsnwoa69CsyUnCoN6UuX0Hodv9n8UhQbFK7R8pCCeE4KT2pq&#10;hbZ06VFqKYJgW9T/SLVaIniow0BCm/WFJCJURT58wuauEU6lWgi1d0fo/v/Jyve7W2S6KvnZKB9N&#10;R9PZGWdWtNT43z9+/vr+jdH+JGLqnC8o+s7dYizUuxuQnz2zsGiE3ahrROgaJSpKLo/x2aMD0fB0&#10;lK27d1CRutgGSMT2NbZRkFiwfWrM/bExah+YpM18fD6cUMskufKzi+kwNS4TxcNhhz68UdCyuCi5&#10;MoamIKIThdjd+BDzEcVDVMofjK5W2phk4Ga9MMh2gsZkRb/jBf40zFjWEah8OknKj3z+VGK8muWv&#10;l4kCkTqVQNjaqs/G2AOkyKXnu4bqnhgh9HNKr5QWDeBXzjqa0ZL7L1uBijPz1hLni3w8jkOdjPFk&#10;OiIDTz3rU4+wkqRKHjjrl4vQP4StQ71p6KY8lWXhmnpT6wQt9q3P6pAszWFieXgzcdBP7RT1939i&#10;/g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ZsP072AAAAAsBAAAPAAAAAAAAAAEAIAAAACIAAABk&#10;cnMvZG93bnJldi54bWxQSwECFAAUAAAACACHTuJAhvg0Uz8CAABvBAAADgAAAAAAAAABACAAAAAn&#10;AQAAZHJzL2Uyb0RvYy54bWxQSwUGAAAAAAYABgBZAQAA2AUAAAAA&#10;">
                <v:fill on="t" focussize="0,0"/>
                <v:stroke weight="0.25pt" color="#4F81BD" joinstyle="round"/>
                <v:imagedata o:title=""/>
                <o:lock v:ext="edit" aspectratio="f"/>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47328" behindDoc="0" locked="0" layoutInCell="1" allowOverlap="1">
                <wp:simplePos x="0" y="0"/>
                <wp:positionH relativeFrom="margin">
                  <wp:posOffset>3536950</wp:posOffset>
                </wp:positionH>
                <wp:positionV relativeFrom="paragraph">
                  <wp:posOffset>1117600</wp:posOffset>
                </wp:positionV>
                <wp:extent cx="755650" cy="425450"/>
                <wp:effectExtent l="38100" t="38100" r="63500" b="50800"/>
                <wp:wrapNone/>
                <wp:docPr id="235795991" name="自选图形 2504"/>
                <wp:cNvGraphicFramePr/>
                <a:graphic xmlns:a="http://schemas.openxmlformats.org/drawingml/2006/main">
                  <a:graphicData uri="http://schemas.microsoft.com/office/word/2010/wordprocessingShape">
                    <wps:wsp>
                      <wps:cNvCnPr>
                        <a:cxnSpLocks noChangeShapeType="1"/>
                      </wps:cNvCnPr>
                      <wps:spPr bwMode="auto">
                        <a:xfrm flipV="1">
                          <a:off x="0" y="0"/>
                          <a:ext cx="755650" cy="425450"/>
                        </a:xfrm>
                        <a:prstGeom prst="straightConnector1">
                          <a:avLst/>
                        </a:prstGeom>
                        <a:noFill/>
                        <a:ln w="19050">
                          <a:solidFill>
                            <a:srgbClr val="FF0000"/>
                          </a:solidFill>
                          <a:round/>
                          <a:headEnd type="triangle" w="med" len="med"/>
                          <a:tailEnd type="triangle" w="med" len="med"/>
                        </a:ln>
                      </wps:spPr>
                      <wps:bodyPr/>
                    </wps:wsp>
                  </a:graphicData>
                </a:graphic>
              </wp:anchor>
            </w:drawing>
          </mc:Choice>
          <mc:Fallback>
            <w:pict>
              <v:shape id="自选图形 2504" o:spid="_x0000_s1026" o:spt="32" type="#_x0000_t32" style="position:absolute;left:0pt;flip:y;margin-left:278.5pt;margin-top:88pt;height:33.5pt;width:59.5pt;mso-position-horizontal-relative:margin;z-index:251747328;mso-width-relative:page;mso-height-relative:page;" filled="f" stroked="t" coordsize="21600,21600" o:gfxdata="UEsDBAoAAAAAAIdO4kAAAAAAAAAAAAAAAAAEAAAAZHJzL1BLAwQUAAAACACHTuJAIZvKftgAAAAL&#10;AQAADwAAAGRycy9kb3ducmV2LnhtbE2PwU7DMBBE70j8g7VI3KjdQFOUxqlEBKrUC6LpB7jxNgmN&#10;11HspuXvWbjAbVYzmn2Tr6+uFxOOofOkYT5TIJBqbztqNOyrt4dnECEasqb3hBq+MMC6uL3JTWb9&#10;hT5w2sVGcAmFzGhoYxwyKUPdojNh5gck9o5+dCbyOTbSjubC5a6XiVKpdKYj/tCaAcsW69Pu7DQ0&#10;n9vXTZd0L1V5qkht9lO5Ve9a39/N1QpExGv8C8MPPqNDwUwHfyYbRK9hsVjylsjGMmXBifRXHDQk&#10;T48KZJHL/xuKb1BLAwQUAAAACACHTuJASzvPlSICAAArBAAADgAAAGRycy9lMm9Eb2MueG1srVOx&#10;jhMxEO2R+AfLPdlNyN6RVTZXJITmgEh30Du2N2vh9Vi2k006OsQ30F3JP8DfnAR/wdgbAnc0Kdhi&#10;5fHMvJn3Zjy92rea7KTzCkxFh4OcEmk4CGU2FX13u3z2ghIfmBFMg5EVPUhPr2ZPn0w7W8oRNKCF&#10;dARBjC87W9EmBFtmmeeNbJkfgJUGnTW4lgU03SYTjnWI3upslOcXWQdOWAdceo+3i95Jj4juHECo&#10;a8XlAvi2lSb0qE5qFpCSb5T1dJa6rWvJw9u69jIQXVFkGtIfi+B5Hf/ZbMrKjWO2UfzYAjunhUec&#10;WqYMFj1BLVhgZOvUP1Ct4g481GHAoc16IkkRZDHMH2lz0zArExeU2tuT6P7/wfI3u5UjSlR09Ly4&#10;nBSTyZASw1oc/I9PX39+/Hz/5fv9tzsyKvJxFKuzvsScuVm5SJfvzY29Bv7BEwPzhpmNTE3fHiwi&#10;DGNG9iAlGt5iyXX3GgTGsG2ApNy+di2ptbLvY2IER3XIPo3qcBqV3AfC8fKyKC4KHCJH13hUjPEc&#10;a7EywsRk63x4JaEl8VBRHxxTmybMwRhcCnB9Cba79qFP/J0Qkw0sldZ4z0ptSIcNTXKsEG0PWono&#10;TYbbrOfakR3D9Vouc/yObTwIc7A1IqE1komXRpCQ9AlOoWJa0liilYISLfFNxlOKDkzpc6ORujZH&#10;taPA/ajWIA4rFwlG4XGHkkbHfY9L+redov688dk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IZvK&#10;ftgAAAALAQAADwAAAAAAAAABACAAAAAiAAAAZHJzL2Rvd25yZXYueG1sUEsBAhQAFAAAAAgAh07i&#10;QEs7z5UiAgAAKwQAAA4AAAAAAAAAAQAgAAAAJwEAAGRycy9lMm9Eb2MueG1sUEsFBgAAAAAGAAYA&#10;WQEAALsFAAAAAA==&#10;">
                <v:fill on="f" focussize="0,0"/>
                <v:stroke weight="1.5pt" color="#FF0000" joinstyle="round" startarrow="block" endarrow="block"/>
                <v:imagedata o:title=""/>
                <o:lock v:ext="edit" aspectratio="f"/>
              </v:shape>
            </w:pict>
          </mc:Fallback>
        </mc:AlternateContent>
      </w:r>
      <w:r>
        <w:rPr>
          <w:snapToGrid/>
        </w:rPr>
        <w:drawing>
          <wp:inline distT="0" distB="0" distL="0" distR="0">
            <wp:extent cx="6188710" cy="3760470"/>
            <wp:effectExtent l="0" t="0" r="2540" b="0"/>
            <wp:docPr id="9587269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726916" name="图片 1"/>
                    <pic:cNvPicPr>
                      <a:picLocks noChangeAspect="1"/>
                    </pic:cNvPicPr>
                  </pic:nvPicPr>
                  <pic:blipFill>
                    <a:blip r:embed="rId63"/>
                    <a:stretch>
                      <a:fillRect/>
                    </a:stretch>
                  </pic:blipFill>
                  <pic:spPr>
                    <a:xfrm>
                      <a:off x="0" y="0"/>
                      <a:ext cx="6188710" cy="3760470"/>
                    </a:xfrm>
                    <a:prstGeom prst="rect">
                      <a:avLst/>
                    </a:prstGeom>
                  </pic:spPr>
                </pic:pic>
              </a:graphicData>
            </a:graphic>
          </wp:inline>
        </w:drawing>
      </w:r>
    </w:p>
    <w:p w14:paraId="38CFC0CC">
      <w:pPr>
        <w:widowControl w:val="0"/>
        <w:spacing w:line="360" w:lineRule="auto"/>
        <w:jc w:val="center"/>
        <w:rPr>
          <w:rFonts w:ascii="Times New Roman" w:hAnsi="Times New Roman" w:cs="Times New Roman"/>
          <w:b/>
          <w:bCs/>
          <w:color w:val="auto"/>
          <w:szCs w:val="32"/>
          <w:lang w:eastAsia="zh-CN"/>
        </w:rPr>
      </w:pPr>
      <w:r>
        <w:rPr>
          <w:rFonts w:ascii="Times New Roman" w:hAnsi="Times New Roman" w:cs="Times New Roman"/>
          <w:b/>
          <w:bCs/>
          <w:color w:val="auto"/>
          <w:szCs w:val="24"/>
          <w:lang w:eastAsia="zh-CN"/>
        </w:rPr>
        <w:t>图</w:t>
      </w:r>
      <w:r>
        <w:rPr>
          <w:rFonts w:ascii="Times New Roman" w:hAnsi="Times New Roman" w:cs="Times New Roman"/>
          <w:b/>
          <w:bCs/>
          <w:color w:val="auto"/>
          <w:szCs w:val="32"/>
          <w:lang w:eastAsia="zh-CN"/>
        </w:rPr>
        <w:t>5.2-1 大气环境现状监测布点示意图</w:t>
      </w:r>
    </w:p>
    <w:p w14:paraId="15241579">
      <w:pPr>
        <w:spacing w:line="360" w:lineRule="auto"/>
        <w:ind w:firstLine="482"/>
        <w:jc w:val="both"/>
        <w:outlineLvl w:val="3"/>
        <w:rPr>
          <w:rFonts w:ascii="Times New Roman" w:hAnsi="Times New Roman" w:cs="Times New Roman"/>
          <w:color w:val="auto"/>
          <w:szCs w:val="24"/>
          <w:lang w:eastAsia="zh-CN"/>
        </w:rPr>
      </w:pPr>
      <w:bookmarkStart w:id="1168" w:name="_Toc27022"/>
      <w:bookmarkStart w:id="1169" w:name="_Toc2922"/>
      <w:r>
        <w:rPr>
          <w:rFonts w:ascii="Times New Roman" w:hAnsi="Times New Roman" w:cs="Times New Roman"/>
          <w:b/>
          <w:bCs/>
          <w:color w:val="auto"/>
          <w:szCs w:val="24"/>
        </w:rPr>
        <w:fldChar w:fldCharType="begin"/>
      </w:r>
      <w:r>
        <w:rPr>
          <w:rFonts w:ascii="Times New Roman" w:hAnsi="Times New Roman" w:cs="Times New Roman"/>
          <w:b/>
          <w:bCs/>
          <w:color w:val="auto"/>
          <w:szCs w:val="24"/>
          <w:lang w:eastAsia="zh-CN"/>
        </w:rPr>
        <w:instrText xml:space="preserve">HYPERLINK "D:\\1、工作\\善宇\\1、环评\\蚌埠\\安徽志一新材料科技有限公司聚合物抗氧剂项目\\4.3.1.2"</w:instrText>
      </w:r>
      <w:r>
        <w:rPr>
          <w:rFonts w:ascii="Times New Roman" w:hAnsi="Times New Roman" w:cs="Times New Roman"/>
          <w:b/>
          <w:bCs/>
          <w:color w:val="auto"/>
          <w:szCs w:val="24"/>
        </w:rPr>
        <w:fldChar w:fldCharType="separate"/>
      </w:r>
      <w:r>
        <w:rPr>
          <w:rFonts w:ascii="Times New Roman" w:hAnsi="Times New Roman" w:cs="Times New Roman"/>
          <w:b/>
          <w:bCs/>
          <w:color w:val="auto"/>
          <w:szCs w:val="24"/>
          <w:lang w:eastAsia="zh-CN"/>
        </w:rPr>
        <w:t>5.2.1.3</w:t>
      </w:r>
      <w:r>
        <w:rPr>
          <w:rFonts w:ascii="Times New Roman" w:hAnsi="Times New Roman" w:cs="Times New Roman"/>
          <w:b/>
          <w:bCs/>
          <w:color w:val="auto"/>
          <w:szCs w:val="24"/>
        </w:rPr>
        <w:fldChar w:fldCharType="end"/>
      </w:r>
      <w:r>
        <w:rPr>
          <w:rFonts w:ascii="Times New Roman" w:hAnsi="Times New Roman" w:cs="Times New Roman"/>
          <w:color w:val="auto"/>
          <w:szCs w:val="24"/>
          <w:lang w:eastAsia="zh-CN"/>
        </w:rPr>
        <w:t xml:space="preserve"> </w:t>
      </w:r>
      <w:r>
        <w:rPr>
          <w:rFonts w:ascii="Times New Roman" w:hAnsi="Times New Roman" w:cs="Times New Roman"/>
          <w:b/>
          <w:bCs/>
          <w:color w:val="auto"/>
          <w:szCs w:val="24"/>
          <w:lang w:eastAsia="zh-CN"/>
        </w:rPr>
        <w:t>补充监测现状评价</w:t>
      </w:r>
      <w:bookmarkEnd w:id="1168"/>
      <w:bookmarkEnd w:id="1169"/>
    </w:p>
    <w:p w14:paraId="245881C0">
      <w:pPr>
        <w:spacing w:line="360" w:lineRule="auto"/>
        <w:ind w:left="480"/>
        <w:jc w:val="both"/>
        <w:rPr>
          <w:rFonts w:ascii="Times New Roman" w:hAnsi="Times New Roman" w:cs="Times New Roman"/>
          <w:color w:val="auto"/>
          <w:szCs w:val="24"/>
          <w:lang w:eastAsia="zh-CN"/>
        </w:rPr>
      </w:pPr>
      <w:bookmarkStart w:id="1170" w:name="_Toc13601"/>
      <w:bookmarkStart w:id="1171" w:name="_Toc28350"/>
      <w:r>
        <w:rPr>
          <w:rFonts w:hint="eastAsia" w:ascii="Times New Roman" w:hAnsi="Times New Roman" w:cs="Times New Roman"/>
          <w:color w:val="auto"/>
          <w:szCs w:val="24"/>
          <w:lang w:eastAsia="zh-CN"/>
        </w:rPr>
        <w:t>（1）</w:t>
      </w:r>
      <w:r>
        <w:rPr>
          <w:rFonts w:ascii="Times New Roman" w:hAnsi="Times New Roman" w:cs="Times New Roman"/>
          <w:color w:val="auto"/>
          <w:szCs w:val="24"/>
          <w:lang w:eastAsia="zh-CN"/>
        </w:rPr>
        <w:t>评价方法</w:t>
      </w:r>
      <w:bookmarkEnd w:id="1170"/>
      <w:bookmarkEnd w:id="1171"/>
    </w:p>
    <w:p w14:paraId="72765E77">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本次评价其他污染物大气环境质量现状评价采用单因子污染指数法，公式如下：</w:t>
      </w:r>
    </w:p>
    <w:p w14:paraId="4212F284">
      <w:pPr>
        <w:spacing w:line="360" w:lineRule="auto"/>
        <w:ind w:firstLine="480"/>
        <w:jc w:val="center"/>
        <w:rPr>
          <w:rFonts w:ascii="Times New Roman" w:hAnsi="Times New Roman" w:cs="Times New Roman"/>
          <w:color w:val="auto"/>
          <w:szCs w:val="24"/>
          <w:lang w:eastAsia="zh-CN"/>
        </w:rPr>
      </w:pPr>
      <w:r>
        <w:rPr>
          <w:rFonts w:ascii="Times New Roman" w:hAnsi="Times New Roman" w:cs="Times New Roman"/>
          <w:color w:val="auto"/>
          <w:szCs w:val="24"/>
        </w:rPr>
        <w:drawing>
          <wp:inline distT="0" distB="0" distL="0" distR="0">
            <wp:extent cx="1085850" cy="504825"/>
            <wp:effectExtent l="0" t="0" r="0" b="0"/>
            <wp:docPr id="67" name="图片 33" descr="微信截图_20231204163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33" descr="微信截图_20231204163144"/>
                    <pic:cNvPicPr>
                      <a:picLocks noChangeAspect="1" noChangeArrowheads="1"/>
                    </pic:cNvPicPr>
                  </pic:nvPicPr>
                  <pic:blipFill>
                    <a:blip r:embed="rId64">
                      <a:lum bright="6000"/>
                      <a:extLst>
                        <a:ext uri="{28A0092B-C50C-407E-A947-70E740481C1C}">
                          <a14:useLocalDpi xmlns:a14="http://schemas.microsoft.com/office/drawing/2010/main" val="0"/>
                        </a:ext>
                      </a:extLst>
                    </a:blip>
                    <a:srcRect l="20110" t="22420" r="17377" b="20996"/>
                    <a:stretch>
                      <a:fillRect/>
                    </a:stretch>
                  </pic:blipFill>
                  <pic:spPr>
                    <a:xfrm>
                      <a:off x="0" y="0"/>
                      <a:ext cx="1085850" cy="504825"/>
                    </a:xfrm>
                    <a:prstGeom prst="rect">
                      <a:avLst/>
                    </a:prstGeom>
                    <a:noFill/>
                    <a:ln>
                      <a:noFill/>
                    </a:ln>
                    <a:effectLst/>
                  </pic:spPr>
                </pic:pic>
              </a:graphicData>
            </a:graphic>
          </wp:inline>
        </w:drawing>
      </w:r>
    </w:p>
    <w:p w14:paraId="6BEE9262">
      <w:pPr>
        <w:spacing w:line="360" w:lineRule="auto"/>
        <w:ind w:firstLine="480" w:firstLineChars="200"/>
        <w:jc w:val="both"/>
        <w:rPr>
          <w:rFonts w:ascii="Times New Roman" w:hAnsi="Times New Roman" w:cs="Times New Roman"/>
          <w:color w:val="auto"/>
          <w:szCs w:val="24"/>
        </w:rPr>
      </w:pPr>
      <w:r>
        <w:rPr>
          <w:rFonts w:ascii="Times New Roman" w:hAnsi="Times New Roman" w:cs="Times New Roman"/>
          <w:color w:val="auto"/>
          <w:szCs w:val="24"/>
        </w:rPr>
        <w:t>式中：Ii —I 污染物的单因子污染指数；</w:t>
      </w:r>
    </w:p>
    <w:p w14:paraId="3A72B10A">
      <w:pPr>
        <w:spacing w:line="360" w:lineRule="auto"/>
        <w:ind w:firstLine="1200" w:firstLineChars="500"/>
        <w:rPr>
          <w:rFonts w:ascii="Times New Roman" w:hAnsi="Times New Roman" w:cs="Times New Roman"/>
          <w:color w:val="auto"/>
          <w:szCs w:val="24"/>
        </w:rPr>
      </w:pPr>
      <w:r>
        <w:rPr>
          <w:rFonts w:ascii="Times New Roman" w:hAnsi="Times New Roman" w:cs="Times New Roman"/>
          <w:color w:val="auto"/>
          <w:szCs w:val="24"/>
        </w:rPr>
        <w:t>Ci —I 污染物的实测浓度，mg/Nm</w:t>
      </w:r>
      <w:r>
        <w:rPr>
          <w:rFonts w:ascii="Times New Roman" w:hAnsi="Times New Roman" w:cs="Times New Roman"/>
          <w:color w:val="auto"/>
          <w:szCs w:val="24"/>
          <w:vertAlign w:val="superscript"/>
        </w:rPr>
        <w:t>3</w:t>
      </w:r>
      <w:r>
        <w:rPr>
          <w:rFonts w:ascii="Times New Roman" w:hAnsi="Times New Roman" w:cs="Times New Roman"/>
          <w:color w:val="auto"/>
          <w:szCs w:val="24"/>
        </w:rPr>
        <w:t>；</w:t>
      </w:r>
    </w:p>
    <w:p w14:paraId="5CFE94CA">
      <w:pPr>
        <w:spacing w:line="360" w:lineRule="auto"/>
        <w:ind w:firstLine="1200" w:firstLineChars="500"/>
        <w:rPr>
          <w:rFonts w:ascii="Times New Roman" w:hAnsi="Times New Roman" w:cs="Times New Roman"/>
          <w:color w:val="auto"/>
          <w:szCs w:val="24"/>
        </w:rPr>
      </w:pPr>
      <w:r>
        <w:rPr>
          <w:rFonts w:ascii="Times New Roman" w:hAnsi="Times New Roman" w:cs="Times New Roman"/>
          <w:color w:val="auto"/>
          <w:szCs w:val="24"/>
        </w:rPr>
        <w:t>Coi —I 污染物的评价标准，mg/Nm</w:t>
      </w:r>
      <w:r>
        <w:rPr>
          <w:rFonts w:ascii="Times New Roman" w:hAnsi="Times New Roman" w:cs="Times New Roman"/>
          <w:color w:val="auto"/>
          <w:szCs w:val="24"/>
          <w:vertAlign w:val="superscript"/>
        </w:rPr>
        <w:t>3</w:t>
      </w:r>
      <w:r>
        <w:rPr>
          <w:rFonts w:ascii="Times New Roman" w:hAnsi="Times New Roman" w:cs="Times New Roman"/>
          <w:color w:val="auto"/>
          <w:szCs w:val="24"/>
        </w:rPr>
        <w:t>。</w:t>
      </w:r>
    </w:p>
    <w:p w14:paraId="2D9EE027">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当 Ii≥1 时，该因子超标。对照评价标准计算各监测点污染物最大浓度占标率、超标率等。</w:t>
      </w:r>
    </w:p>
    <w:p w14:paraId="4309F8AE">
      <w:pPr>
        <w:spacing w:line="360" w:lineRule="auto"/>
        <w:ind w:left="480"/>
        <w:jc w:val="both"/>
        <w:rPr>
          <w:rFonts w:ascii="Times New Roman" w:hAnsi="Times New Roman" w:cs="Times New Roman"/>
          <w:color w:val="auto"/>
          <w:szCs w:val="24"/>
          <w:lang w:eastAsia="zh-CN"/>
        </w:rPr>
      </w:pPr>
      <w:bookmarkStart w:id="1172" w:name="_Toc19353"/>
      <w:bookmarkStart w:id="1173" w:name="_Toc23639"/>
      <w:r>
        <w:rPr>
          <w:rFonts w:hint="eastAsia" w:ascii="Times New Roman" w:hAnsi="Times New Roman" w:cs="Times New Roman"/>
          <w:color w:val="auto"/>
          <w:szCs w:val="24"/>
          <w:lang w:eastAsia="zh-CN"/>
        </w:rPr>
        <w:t>（2）</w:t>
      </w:r>
      <w:r>
        <w:rPr>
          <w:rFonts w:ascii="Times New Roman" w:hAnsi="Times New Roman" w:cs="Times New Roman"/>
          <w:color w:val="auto"/>
          <w:szCs w:val="24"/>
          <w:lang w:eastAsia="zh-CN"/>
        </w:rPr>
        <w:t>评价结果</w:t>
      </w:r>
      <w:bookmarkEnd w:id="1172"/>
      <w:bookmarkEnd w:id="1173"/>
    </w:p>
    <w:p w14:paraId="7096141C">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按照上述评价方法，本次区域大气环境质量现状评价结果汇总见下表。</w:t>
      </w:r>
    </w:p>
    <w:p w14:paraId="488E5B66">
      <w:pPr>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表5.2-</w:t>
      </w:r>
      <w:r>
        <w:rPr>
          <w:rFonts w:hint="eastAsia" w:ascii="Times New Roman" w:hAnsi="Times New Roman" w:cs="Times New Roman"/>
          <w:b/>
          <w:bCs/>
          <w:color w:val="auto"/>
          <w:szCs w:val="24"/>
          <w:lang w:eastAsia="zh-CN"/>
        </w:rPr>
        <w:t>3</w:t>
      </w:r>
      <w:r>
        <w:rPr>
          <w:rFonts w:ascii="Times New Roman" w:hAnsi="Times New Roman" w:cs="Times New Roman"/>
          <w:b/>
          <w:bCs/>
          <w:color w:val="auto"/>
          <w:szCs w:val="24"/>
          <w:lang w:eastAsia="zh-CN"/>
        </w:rPr>
        <w:t xml:space="preserve">  其他污染物大气环境质量现状评价结果一览表</w:t>
      </w:r>
    </w:p>
    <w:tbl>
      <w:tblPr>
        <w:tblStyle w:val="35"/>
        <w:tblW w:w="5000" w:type="pct"/>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autofit"/>
        <w:tblCellMar>
          <w:top w:w="0" w:type="dxa"/>
          <w:left w:w="0" w:type="dxa"/>
          <w:bottom w:w="0" w:type="dxa"/>
          <w:right w:w="0" w:type="dxa"/>
        </w:tblCellMar>
      </w:tblPr>
      <w:tblGrid>
        <w:gridCol w:w="1017"/>
        <w:gridCol w:w="943"/>
        <w:gridCol w:w="982"/>
        <w:gridCol w:w="1168"/>
        <w:gridCol w:w="1076"/>
        <w:gridCol w:w="910"/>
        <w:gridCol w:w="1347"/>
        <w:gridCol w:w="940"/>
        <w:gridCol w:w="702"/>
        <w:gridCol w:w="661"/>
      </w:tblGrid>
      <w:tr w14:paraId="732A852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6" w:hRule="atLeast"/>
          <w:jc w:val="center"/>
        </w:trPr>
        <w:tc>
          <w:tcPr>
            <w:tcW w:w="522" w:type="pct"/>
            <w:vMerge w:val="restart"/>
            <w:vAlign w:val="center"/>
          </w:tcPr>
          <w:p w14:paraId="1855412F">
            <w:pPr>
              <w:widowControl w:val="0"/>
              <w:topLinePunct/>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监测点位</w:t>
            </w:r>
          </w:p>
        </w:tc>
        <w:tc>
          <w:tcPr>
            <w:tcW w:w="988" w:type="pct"/>
            <w:gridSpan w:val="2"/>
            <w:vAlign w:val="center"/>
          </w:tcPr>
          <w:p w14:paraId="19B2557C">
            <w:pPr>
              <w:widowControl w:val="0"/>
              <w:topLinePunct/>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监测点坐标/m</w:t>
            </w:r>
          </w:p>
        </w:tc>
        <w:tc>
          <w:tcPr>
            <w:tcW w:w="599" w:type="pct"/>
            <w:vMerge w:val="restart"/>
            <w:vAlign w:val="center"/>
          </w:tcPr>
          <w:p w14:paraId="69862C5E">
            <w:pPr>
              <w:widowControl w:val="0"/>
              <w:topLinePunct/>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污染物</w:t>
            </w:r>
          </w:p>
        </w:tc>
        <w:tc>
          <w:tcPr>
            <w:tcW w:w="552" w:type="pct"/>
            <w:vMerge w:val="restart"/>
            <w:vAlign w:val="center"/>
          </w:tcPr>
          <w:p w14:paraId="5B610670">
            <w:pPr>
              <w:widowControl w:val="0"/>
              <w:topLinePunct/>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平均时间</w:t>
            </w:r>
          </w:p>
        </w:tc>
        <w:tc>
          <w:tcPr>
            <w:tcW w:w="467" w:type="pct"/>
            <w:vMerge w:val="restart"/>
            <w:vAlign w:val="center"/>
          </w:tcPr>
          <w:p w14:paraId="3440CCEE">
            <w:pPr>
              <w:widowControl w:val="0"/>
              <w:topLinePunct/>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评价标准</w:t>
            </w:r>
          </w:p>
          <w:p w14:paraId="3502A2EC">
            <w:pPr>
              <w:widowControl w:val="0"/>
              <w:topLinePunct/>
              <w:adjustRightInd w:val="0"/>
              <w:snapToGrid w:val="0"/>
              <w:jc w:val="center"/>
              <w:rPr>
                <w:rFonts w:ascii="Times New Roman" w:hAnsi="Times New Roman" w:cs="Times New Roman"/>
                <w:color w:val="auto"/>
                <w:sz w:val="21"/>
              </w:rPr>
            </w:pPr>
            <w:r>
              <w:rPr>
                <w:rFonts w:ascii="Times New Roman" w:hAnsi="Times New Roman" w:cs="Times New Roman"/>
                <w:b/>
                <w:bCs/>
                <w:color w:val="auto"/>
                <w:sz w:val="21"/>
              </w:rPr>
              <w:t>μg/m</w:t>
            </w:r>
            <w:r>
              <w:rPr>
                <w:rFonts w:ascii="Times New Roman" w:hAnsi="Times New Roman" w:cs="Times New Roman"/>
                <w:b/>
                <w:bCs/>
                <w:color w:val="auto"/>
                <w:sz w:val="21"/>
                <w:vertAlign w:val="superscript"/>
              </w:rPr>
              <w:t>3</w:t>
            </w:r>
          </w:p>
        </w:tc>
        <w:tc>
          <w:tcPr>
            <w:tcW w:w="691" w:type="pct"/>
            <w:vMerge w:val="restart"/>
            <w:vAlign w:val="center"/>
          </w:tcPr>
          <w:p w14:paraId="4131171E">
            <w:pPr>
              <w:widowControl w:val="0"/>
              <w:topLinePunct/>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监测浓度</w:t>
            </w:r>
          </w:p>
          <w:p w14:paraId="1350BC82">
            <w:pPr>
              <w:widowControl w:val="0"/>
              <w:topLinePunct/>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μg/m</w:t>
            </w:r>
            <w:r>
              <w:rPr>
                <w:rFonts w:ascii="Times New Roman" w:hAnsi="Times New Roman" w:cs="Times New Roman"/>
                <w:b/>
                <w:bCs/>
                <w:color w:val="auto"/>
                <w:sz w:val="21"/>
                <w:vertAlign w:val="superscript"/>
              </w:rPr>
              <w:t>3</w:t>
            </w:r>
          </w:p>
        </w:tc>
        <w:tc>
          <w:tcPr>
            <w:tcW w:w="482" w:type="pct"/>
            <w:vMerge w:val="restart"/>
            <w:vAlign w:val="center"/>
          </w:tcPr>
          <w:p w14:paraId="1B5C7C34">
            <w:pPr>
              <w:widowControl w:val="0"/>
              <w:topLinePunct/>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最大浓度占标率</w:t>
            </w:r>
          </w:p>
        </w:tc>
        <w:tc>
          <w:tcPr>
            <w:tcW w:w="360" w:type="pct"/>
            <w:vMerge w:val="restart"/>
            <w:vAlign w:val="center"/>
          </w:tcPr>
          <w:p w14:paraId="46159A7A">
            <w:pPr>
              <w:widowControl w:val="0"/>
              <w:topLinePunct/>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超标率%</w:t>
            </w:r>
          </w:p>
        </w:tc>
        <w:tc>
          <w:tcPr>
            <w:tcW w:w="339" w:type="pct"/>
            <w:vMerge w:val="restart"/>
            <w:vAlign w:val="center"/>
          </w:tcPr>
          <w:p w14:paraId="45D40E04">
            <w:pPr>
              <w:widowControl w:val="0"/>
              <w:topLinePunct/>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达标情况</w:t>
            </w:r>
          </w:p>
        </w:tc>
      </w:tr>
      <w:tr w14:paraId="2CA4203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5" w:hRule="atLeast"/>
          <w:jc w:val="center"/>
        </w:trPr>
        <w:tc>
          <w:tcPr>
            <w:tcW w:w="522" w:type="pct"/>
            <w:vMerge w:val="continue"/>
            <w:vAlign w:val="center"/>
          </w:tcPr>
          <w:p w14:paraId="4143BB08">
            <w:pPr>
              <w:widowControl w:val="0"/>
              <w:topLinePunct/>
              <w:adjustRightInd w:val="0"/>
              <w:snapToGrid w:val="0"/>
              <w:jc w:val="center"/>
              <w:rPr>
                <w:rFonts w:ascii="Times New Roman" w:hAnsi="Times New Roman" w:cs="Times New Roman"/>
                <w:b/>
                <w:bCs/>
                <w:color w:val="auto"/>
                <w:sz w:val="21"/>
              </w:rPr>
            </w:pPr>
          </w:p>
        </w:tc>
        <w:tc>
          <w:tcPr>
            <w:tcW w:w="484" w:type="pct"/>
            <w:vAlign w:val="center"/>
          </w:tcPr>
          <w:p w14:paraId="5E6AF7D9">
            <w:pPr>
              <w:widowControl w:val="0"/>
              <w:topLinePunct/>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X</w:t>
            </w:r>
          </w:p>
        </w:tc>
        <w:tc>
          <w:tcPr>
            <w:tcW w:w="504" w:type="pct"/>
            <w:vAlign w:val="center"/>
          </w:tcPr>
          <w:p w14:paraId="48B326C9">
            <w:pPr>
              <w:widowControl w:val="0"/>
              <w:topLinePunct/>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Y</w:t>
            </w:r>
          </w:p>
        </w:tc>
        <w:tc>
          <w:tcPr>
            <w:tcW w:w="599" w:type="pct"/>
            <w:vMerge w:val="continue"/>
            <w:vAlign w:val="center"/>
          </w:tcPr>
          <w:p w14:paraId="1BE3B687">
            <w:pPr>
              <w:widowControl w:val="0"/>
              <w:topLinePunct/>
              <w:adjustRightInd w:val="0"/>
              <w:snapToGrid w:val="0"/>
              <w:jc w:val="center"/>
              <w:rPr>
                <w:rFonts w:ascii="Times New Roman" w:hAnsi="Times New Roman" w:cs="Times New Roman"/>
                <w:b/>
                <w:bCs/>
                <w:color w:val="auto"/>
                <w:sz w:val="21"/>
              </w:rPr>
            </w:pPr>
          </w:p>
        </w:tc>
        <w:tc>
          <w:tcPr>
            <w:tcW w:w="552" w:type="pct"/>
            <w:vMerge w:val="continue"/>
            <w:vAlign w:val="center"/>
          </w:tcPr>
          <w:p w14:paraId="09DE13CA">
            <w:pPr>
              <w:widowControl w:val="0"/>
              <w:topLinePunct/>
              <w:adjustRightInd w:val="0"/>
              <w:snapToGrid w:val="0"/>
              <w:jc w:val="center"/>
              <w:rPr>
                <w:rFonts w:ascii="Times New Roman" w:hAnsi="Times New Roman" w:cs="Times New Roman"/>
                <w:b/>
                <w:bCs/>
                <w:color w:val="auto"/>
                <w:sz w:val="21"/>
              </w:rPr>
            </w:pPr>
          </w:p>
        </w:tc>
        <w:tc>
          <w:tcPr>
            <w:tcW w:w="467" w:type="pct"/>
            <w:vMerge w:val="continue"/>
            <w:vAlign w:val="center"/>
          </w:tcPr>
          <w:p w14:paraId="27A9EF72">
            <w:pPr>
              <w:widowControl w:val="0"/>
              <w:topLinePunct/>
              <w:adjustRightInd w:val="0"/>
              <w:snapToGrid w:val="0"/>
              <w:jc w:val="center"/>
              <w:rPr>
                <w:rFonts w:ascii="Times New Roman" w:hAnsi="Times New Roman" w:cs="Times New Roman"/>
                <w:b/>
                <w:bCs/>
                <w:color w:val="auto"/>
                <w:sz w:val="21"/>
              </w:rPr>
            </w:pPr>
          </w:p>
        </w:tc>
        <w:tc>
          <w:tcPr>
            <w:tcW w:w="691" w:type="pct"/>
            <w:vMerge w:val="continue"/>
            <w:vAlign w:val="center"/>
          </w:tcPr>
          <w:p w14:paraId="3D53B1B2">
            <w:pPr>
              <w:widowControl w:val="0"/>
              <w:topLinePunct/>
              <w:adjustRightInd w:val="0"/>
              <w:snapToGrid w:val="0"/>
              <w:jc w:val="center"/>
              <w:rPr>
                <w:rFonts w:ascii="Times New Roman" w:hAnsi="Times New Roman" w:cs="Times New Roman"/>
                <w:b/>
                <w:bCs/>
                <w:color w:val="auto"/>
                <w:sz w:val="21"/>
              </w:rPr>
            </w:pPr>
          </w:p>
        </w:tc>
        <w:tc>
          <w:tcPr>
            <w:tcW w:w="482" w:type="pct"/>
            <w:vMerge w:val="continue"/>
            <w:vAlign w:val="center"/>
          </w:tcPr>
          <w:p w14:paraId="4ED4C5DE">
            <w:pPr>
              <w:widowControl w:val="0"/>
              <w:topLinePunct/>
              <w:adjustRightInd w:val="0"/>
              <w:snapToGrid w:val="0"/>
              <w:jc w:val="center"/>
              <w:rPr>
                <w:rFonts w:ascii="Times New Roman" w:hAnsi="Times New Roman" w:cs="Times New Roman"/>
                <w:b/>
                <w:bCs/>
                <w:color w:val="auto"/>
                <w:sz w:val="21"/>
              </w:rPr>
            </w:pPr>
          </w:p>
        </w:tc>
        <w:tc>
          <w:tcPr>
            <w:tcW w:w="360" w:type="pct"/>
            <w:vMerge w:val="continue"/>
            <w:vAlign w:val="center"/>
          </w:tcPr>
          <w:p w14:paraId="53B7A512">
            <w:pPr>
              <w:widowControl w:val="0"/>
              <w:topLinePunct/>
              <w:adjustRightInd w:val="0"/>
              <w:snapToGrid w:val="0"/>
              <w:jc w:val="center"/>
              <w:rPr>
                <w:rFonts w:ascii="Times New Roman" w:hAnsi="Times New Roman" w:cs="Times New Roman"/>
                <w:b/>
                <w:bCs/>
                <w:color w:val="auto"/>
                <w:sz w:val="21"/>
              </w:rPr>
            </w:pPr>
          </w:p>
        </w:tc>
        <w:tc>
          <w:tcPr>
            <w:tcW w:w="339" w:type="pct"/>
            <w:vMerge w:val="continue"/>
            <w:vAlign w:val="center"/>
          </w:tcPr>
          <w:p w14:paraId="4744920F">
            <w:pPr>
              <w:widowControl w:val="0"/>
              <w:topLinePunct/>
              <w:adjustRightInd w:val="0"/>
              <w:snapToGrid w:val="0"/>
              <w:jc w:val="center"/>
              <w:rPr>
                <w:rFonts w:ascii="Times New Roman" w:hAnsi="Times New Roman" w:cs="Times New Roman"/>
                <w:b/>
                <w:bCs/>
                <w:color w:val="auto"/>
                <w:sz w:val="21"/>
              </w:rPr>
            </w:pPr>
          </w:p>
        </w:tc>
      </w:tr>
      <w:tr w14:paraId="01333CB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522" w:type="pct"/>
            <w:vMerge w:val="restart"/>
            <w:vAlign w:val="center"/>
          </w:tcPr>
          <w:p w14:paraId="2F74C4DC">
            <w:pPr>
              <w:widowControl w:val="0"/>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大柏村</w:t>
            </w:r>
          </w:p>
        </w:tc>
        <w:tc>
          <w:tcPr>
            <w:tcW w:w="484" w:type="pct"/>
            <w:vMerge w:val="restart"/>
            <w:vAlign w:val="center"/>
          </w:tcPr>
          <w:p w14:paraId="2DB0EE76">
            <w:pPr>
              <w:widowControl w:val="0"/>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1010</w:t>
            </w:r>
          </w:p>
        </w:tc>
        <w:tc>
          <w:tcPr>
            <w:tcW w:w="504" w:type="pct"/>
            <w:vMerge w:val="restart"/>
            <w:vAlign w:val="center"/>
          </w:tcPr>
          <w:p w14:paraId="77B8E3BB">
            <w:pPr>
              <w:widowControl w:val="0"/>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660</w:t>
            </w:r>
          </w:p>
        </w:tc>
        <w:tc>
          <w:tcPr>
            <w:tcW w:w="599" w:type="pct"/>
            <w:vAlign w:val="center"/>
          </w:tcPr>
          <w:p w14:paraId="0B0565FD">
            <w:pPr>
              <w:widowControl w:val="0"/>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bCs/>
                <w:color w:val="auto"/>
                <w:sz w:val="21"/>
                <w:lang w:eastAsia="zh-CN"/>
              </w:rPr>
              <w:t>氯化氢</w:t>
            </w:r>
          </w:p>
        </w:tc>
        <w:tc>
          <w:tcPr>
            <w:tcW w:w="552" w:type="pct"/>
          </w:tcPr>
          <w:p w14:paraId="6926417F">
            <w:pPr>
              <w:widowControl w:val="0"/>
              <w:topLinePunct/>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1h平均值</w:t>
            </w:r>
          </w:p>
        </w:tc>
        <w:tc>
          <w:tcPr>
            <w:tcW w:w="467" w:type="pct"/>
            <w:vAlign w:val="center"/>
          </w:tcPr>
          <w:p w14:paraId="7BAB93E1">
            <w:pPr>
              <w:widowControl w:val="0"/>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50</w:t>
            </w:r>
          </w:p>
        </w:tc>
        <w:tc>
          <w:tcPr>
            <w:tcW w:w="691" w:type="pct"/>
            <w:vAlign w:val="center"/>
          </w:tcPr>
          <w:p w14:paraId="00550A6A">
            <w:pPr>
              <w:widowControl w:val="0"/>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20</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40</w:t>
            </w:r>
          </w:p>
        </w:tc>
        <w:tc>
          <w:tcPr>
            <w:tcW w:w="482" w:type="pct"/>
            <w:vAlign w:val="center"/>
          </w:tcPr>
          <w:p w14:paraId="597D38BB">
            <w:pPr>
              <w:widowControl w:val="0"/>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80%</w:t>
            </w:r>
          </w:p>
        </w:tc>
        <w:tc>
          <w:tcPr>
            <w:tcW w:w="360" w:type="pct"/>
            <w:vAlign w:val="center"/>
          </w:tcPr>
          <w:p w14:paraId="33F64EEE">
            <w:pPr>
              <w:widowControl w:val="0"/>
              <w:topLinePunct/>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339" w:type="pct"/>
            <w:vAlign w:val="center"/>
          </w:tcPr>
          <w:p w14:paraId="0B3EBF08">
            <w:pPr>
              <w:widowControl w:val="0"/>
              <w:topLinePunct/>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达标</w:t>
            </w:r>
          </w:p>
        </w:tc>
      </w:tr>
      <w:tr w14:paraId="4A11C21C">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522" w:type="pct"/>
            <w:vMerge w:val="continue"/>
            <w:vAlign w:val="center"/>
          </w:tcPr>
          <w:p w14:paraId="25AD3C22">
            <w:pPr>
              <w:widowControl w:val="0"/>
              <w:topLinePunct/>
              <w:adjustRightInd w:val="0"/>
              <w:snapToGrid w:val="0"/>
              <w:jc w:val="center"/>
              <w:rPr>
                <w:rFonts w:ascii="Times New Roman" w:hAnsi="Times New Roman" w:cs="Times New Roman"/>
                <w:color w:val="auto"/>
                <w:sz w:val="21"/>
              </w:rPr>
            </w:pPr>
          </w:p>
        </w:tc>
        <w:tc>
          <w:tcPr>
            <w:tcW w:w="484" w:type="pct"/>
            <w:vMerge w:val="continue"/>
            <w:vAlign w:val="center"/>
          </w:tcPr>
          <w:p w14:paraId="01E89D4D">
            <w:pPr>
              <w:widowControl w:val="0"/>
              <w:topLinePunct/>
              <w:adjustRightInd w:val="0"/>
              <w:snapToGrid w:val="0"/>
              <w:jc w:val="center"/>
              <w:rPr>
                <w:rFonts w:ascii="Times New Roman" w:hAnsi="Times New Roman" w:cs="Times New Roman"/>
                <w:color w:val="auto"/>
                <w:sz w:val="21"/>
                <w:lang w:eastAsia="zh-CN"/>
              </w:rPr>
            </w:pPr>
          </w:p>
        </w:tc>
        <w:tc>
          <w:tcPr>
            <w:tcW w:w="504" w:type="pct"/>
            <w:vMerge w:val="continue"/>
            <w:vAlign w:val="center"/>
          </w:tcPr>
          <w:p w14:paraId="53E753BF">
            <w:pPr>
              <w:widowControl w:val="0"/>
              <w:topLinePunct/>
              <w:adjustRightInd w:val="0"/>
              <w:snapToGrid w:val="0"/>
              <w:jc w:val="center"/>
              <w:rPr>
                <w:rFonts w:ascii="Times New Roman" w:hAnsi="Times New Roman" w:cs="Times New Roman"/>
                <w:color w:val="auto"/>
                <w:sz w:val="21"/>
                <w:lang w:eastAsia="zh-CN"/>
              </w:rPr>
            </w:pPr>
          </w:p>
        </w:tc>
        <w:tc>
          <w:tcPr>
            <w:tcW w:w="599" w:type="pct"/>
            <w:vAlign w:val="center"/>
          </w:tcPr>
          <w:p w14:paraId="6C84B47E">
            <w:pPr>
              <w:widowControl w:val="0"/>
              <w:topLinePunct/>
              <w:adjustRightInd w:val="0"/>
              <w:snapToGrid w:val="0"/>
              <w:jc w:val="center"/>
              <w:rPr>
                <w:rFonts w:ascii="Times New Roman" w:hAnsi="Times New Roman" w:cs="Times New Roman"/>
                <w:bCs/>
                <w:color w:val="auto"/>
                <w:sz w:val="21"/>
                <w:lang w:eastAsia="zh-CN"/>
              </w:rPr>
            </w:pPr>
            <w:r>
              <w:rPr>
                <w:rFonts w:hint="eastAsia" w:ascii="Times New Roman" w:hAnsi="Times New Roman" w:cs="Times New Roman"/>
                <w:bCs/>
                <w:color w:val="auto"/>
                <w:sz w:val="21"/>
                <w:lang w:eastAsia="zh-CN"/>
              </w:rPr>
              <w:t>氟化物</w:t>
            </w:r>
          </w:p>
        </w:tc>
        <w:tc>
          <w:tcPr>
            <w:tcW w:w="552" w:type="pct"/>
          </w:tcPr>
          <w:p w14:paraId="3A0D46BA">
            <w:pPr>
              <w:widowControl w:val="0"/>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1h平均值</w:t>
            </w:r>
          </w:p>
        </w:tc>
        <w:tc>
          <w:tcPr>
            <w:tcW w:w="467" w:type="pct"/>
            <w:vAlign w:val="center"/>
          </w:tcPr>
          <w:p w14:paraId="2A5F1847">
            <w:pPr>
              <w:widowControl w:val="0"/>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20</w:t>
            </w:r>
          </w:p>
        </w:tc>
        <w:tc>
          <w:tcPr>
            <w:tcW w:w="691" w:type="pct"/>
            <w:vAlign w:val="center"/>
          </w:tcPr>
          <w:p w14:paraId="1D3312F1">
            <w:pPr>
              <w:widowControl w:val="0"/>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2.2</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3.6</w:t>
            </w:r>
          </w:p>
        </w:tc>
        <w:tc>
          <w:tcPr>
            <w:tcW w:w="482" w:type="pct"/>
            <w:vAlign w:val="center"/>
          </w:tcPr>
          <w:p w14:paraId="4B6A7567">
            <w:pPr>
              <w:widowControl w:val="0"/>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18</w:t>
            </w:r>
            <w:r>
              <w:rPr>
                <w:rFonts w:ascii="Times New Roman" w:hAnsi="Times New Roman" w:cs="Times New Roman"/>
                <w:color w:val="auto"/>
                <w:sz w:val="21"/>
                <w:lang w:eastAsia="zh-CN"/>
              </w:rPr>
              <w:t>%</w:t>
            </w:r>
          </w:p>
        </w:tc>
        <w:tc>
          <w:tcPr>
            <w:tcW w:w="360" w:type="pct"/>
            <w:vAlign w:val="center"/>
          </w:tcPr>
          <w:p w14:paraId="4E26BFB1">
            <w:pPr>
              <w:widowControl w:val="0"/>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339" w:type="pct"/>
            <w:vAlign w:val="center"/>
          </w:tcPr>
          <w:p w14:paraId="3F94C9E2">
            <w:pPr>
              <w:widowControl w:val="0"/>
              <w:topLinePunct/>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达标</w:t>
            </w:r>
          </w:p>
        </w:tc>
      </w:tr>
    </w:tbl>
    <w:p w14:paraId="2F63CEEB">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注：以厂界西南侧为坐标原点，以水平横向为X轴，以垂直纵向为Y轴。</w:t>
      </w:r>
    </w:p>
    <w:p w14:paraId="2305D9BA">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根据上表统计，监测期间各监测点</w:t>
      </w:r>
      <w:r>
        <w:rPr>
          <w:rFonts w:hint="eastAsia" w:ascii="Times New Roman" w:hAnsi="Times New Roman" w:cs="Times New Roman"/>
          <w:color w:val="auto"/>
          <w:szCs w:val="24"/>
          <w:lang w:eastAsia="zh-CN"/>
        </w:rPr>
        <w:t>氯化氢</w:t>
      </w:r>
      <w:r>
        <w:rPr>
          <w:rFonts w:ascii="Times New Roman" w:hAnsi="Times New Roman" w:cs="Times New Roman"/>
          <w:color w:val="auto"/>
          <w:szCs w:val="24"/>
          <w:lang w:eastAsia="zh-CN"/>
        </w:rPr>
        <w:t>环境空气质量能够满足《环境影响评价技术导则 大气环境》（HJ 2.2-2018）附录 D 其他污染物空气质量浓度参考限值；</w:t>
      </w:r>
      <w:r>
        <w:rPr>
          <w:rFonts w:hint="eastAsia" w:ascii="Times New Roman" w:hAnsi="Times New Roman" w:cs="Times New Roman"/>
          <w:color w:val="auto"/>
          <w:szCs w:val="24"/>
          <w:lang w:eastAsia="zh-CN"/>
        </w:rPr>
        <w:t>氟化物</w:t>
      </w:r>
      <w:r>
        <w:rPr>
          <w:rFonts w:ascii="Times New Roman" w:hAnsi="Times New Roman" w:cs="Times New Roman"/>
          <w:color w:val="auto"/>
          <w:szCs w:val="24"/>
          <w:lang w:eastAsia="zh-CN"/>
        </w:rPr>
        <w:t>能够满足《环境空气质量标准》（GB3095-20</w:t>
      </w:r>
      <w:r>
        <w:rPr>
          <w:rFonts w:hint="eastAsia" w:ascii="Times New Roman" w:hAnsi="Times New Roman" w:cs="Times New Roman"/>
          <w:color w:val="auto"/>
          <w:szCs w:val="24"/>
          <w:lang w:eastAsia="zh-CN"/>
        </w:rPr>
        <w:t>26</w:t>
      </w:r>
      <w:r>
        <w:rPr>
          <w:rFonts w:ascii="Times New Roman" w:hAnsi="Times New Roman" w:cs="Times New Roman"/>
          <w:color w:val="auto"/>
          <w:szCs w:val="24"/>
          <w:lang w:eastAsia="zh-CN"/>
        </w:rPr>
        <w:t>）中的二级标准。</w:t>
      </w:r>
    </w:p>
    <w:p w14:paraId="327E6B92">
      <w:pPr>
        <w:widowControl w:val="0"/>
        <w:spacing w:line="360" w:lineRule="auto"/>
        <w:ind w:firstLine="482"/>
        <w:jc w:val="both"/>
        <w:outlineLvl w:val="2"/>
        <w:rPr>
          <w:rFonts w:ascii="Times New Roman" w:hAnsi="Times New Roman" w:cs="Times New Roman"/>
          <w:b/>
          <w:bCs/>
          <w:color w:val="auto"/>
          <w:szCs w:val="24"/>
          <w:lang w:eastAsia="zh-CN"/>
        </w:rPr>
      </w:pPr>
      <w:bookmarkStart w:id="1174" w:name="_Toc218784304"/>
      <w:bookmarkStart w:id="1175" w:name="_Toc231828601"/>
      <w:bookmarkStart w:id="1176" w:name="_Toc173743404"/>
      <w:bookmarkStart w:id="1177" w:name="_Toc178602371"/>
      <w:bookmarkStart w:id="1178" w:name="_Toc203927023"/>
      <w:bookmarkStart w:id="1179" w:name="_Toc175164295"/>
      <w:bookmarkStart w:id="1180" w:name="_Toc236641332"/>
      <w:bookmarkStart w:id="1181" w:name="_Toc173740300"/>
      <w:bookmarkStart w:id="1182" w:name="_Toc217662694"/>
      <w:bookmarkStart w:id="1183" w:name="_Toc236641849"/>
      <w:bookmarkStart w:id="1184" w:name="_Toc225784079"/>
      <w:bookmarkStart w:id="1185" w:name="_Toc224674718"/>
      <w:bookmarkStart w:id="1186" w:name="_Toc204515224"/>
      <w:bookmarkStart w:id="1187" w:name="_Toc204448489"/>
      <w:bookmarkStart w:id="1188" w:name="_Toc176513031"/>
      <w:bookmarkStart w:id="1189" w:name="_Toc172555668"/>
      <w:bookmarkStart w:id="1190" w:name="_Toc223425079"/>
      <w:bookmarkStart w:id="1191" w:name="_Toc237508314"/>
      <w:bookmarkStart w:id="1192" w:name="_Toc221900861"/>
      <w:r>
        <w:rPr>
          <w:rFonts w:ascii="Times New Roman" w:hAnsi="Times New Roman" w:cs="Times New Roman"/>
          <w:b/>
          <w:bCs/>
          <w:color w:val="auto"/>
          <w:szCs w:val="24"/>
          <w:lang w:eastAsia="zh-CN"/>
        </w:rPr>
        <w:t>5.2.2 地表水环境质量现状调查及评价</w:t>
      </w:r>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p>
    <w:p w14:paraId="36F17FF4">
      <w:pPr>
        <w:widowControl w:val="0"/>
        <w:spacing w:line="360" w:lineRule="auto"/>
        <w:ind w:firstLine="482"/>
        <w:jc w:val="both"/>
        <w:outlineLvl w:val="3"/>
        <w:rPr>
          <w:rFonts w:ascii="Times New Roman" w:hAnsi="Times New Roman" w:cs="Times New Roman"/>
          <w:b/>
          <w:bCs/>
          <w:color w:val="auto"/>
          <w:lang w:eastAsia="zh-CN"/>
        </w:rPr>
      </w:pPr>
      <w:r>
        <w:fldChar w:fldCharType="begin"/>
      </w:r>
      <w:r>
        <w:instrText xml:space="preserve"> HYPERLINK "file:///D:\\1、工作\\善宇\\1、环评\\蚌埠\\蚌埠晟特新材料有限公司年产3万吨酚醛和特种热固性树脂分两期建设项目\\4.3.1.1" </w:instrText>
      </w:r>
      <w:r>
        <w:fldChar w:fldCharType="separate"/>
      </w:r>
      <w:r>
        <w:rPr>
          <w:rFonts w:ascii="Times New Roman" w:hAnsi="Times New Roman" w:cs="Times New Roman"/>
          <w:b/>
          <w:bCs/>
          <w:color w:val="auto"/>
          <w:lang w:eastAsia="zh-CN"/>
        </w:rPr>
        <w:t>5.2.2.1</w:t>
      </w:r>
      <w:r>
        <w:rPr>
          <w:rFonts w:ascii="Times New Roman" w:hAnsi="Times New Roman" w:cs="Times New Roman"/>
          <w:b/>
          <w:bCs/>
          <w:color w:val="auto"/>
          <w:lang w:eastAsia="zh-CN"/>
        </w:rPr>
        <w:fldChar w:fldCharType="end"/>
      </w:r>
      <w:r>
        <w:rPr>
          <w:rFonts w:ascii="Times New Roman" w:hAnsi="Times New Roman" w:cs="Times New Roman"/>
          <w:b/>
          <w:bCs/>
          <w:color w:val="auto"/>
          <w:lang w:eastAsia="zh-CN"/>
        </w:rPr>
        <w:t xml:space="preserve"> 区域水环境质量</w:t>
      </w:r>
    </w:p>
    <w:p w14:paraId="69C68B28">
      <w:pPr>
        <w:widowControl w:val="0"/>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项目地表水环境评价等级为三级 B，根据《环境影响评价技术导则 地表水环境》（HJ 2.3-2018），应优先采用国务院生态环境主管部门统一发布的水环境状况信息。项目位于安徽省蚌埠是淮上区，采用蚌埠市人民政府网站发布的《2024年蚌埠市生态环境质量状况公报》进行地表水评价，主要内容如下：</w:t>
      </w:r>
    </w:p>
    <w:p w14:paraId="00D55D5E">
      <w:pPr>
        <w:widowControl w:val="0"/>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2024 年，蚌埠市</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十四五</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地表水国控监测断面（点位）包括8个河流断面（2个淮河干流和6个支流断面）和 4 个湖泊点位。</w:t>
      </w:r>
    </w:p>
    <w:p w14:paraId="146B9ED7">
      <w:pPr>
        <w:widowControl w:val="0"/>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淮河干流蚌埠段：沫河口断面水质类别符合《地表水环境质 量标准》（GB3838-2002）中Ⅱ类标准，蚌埠闸上断面水质类别 符合Ⅲ类标准。沫河口断面水质状况有所好转，由良好转为优。</w:t>
      </w:r>
    </w:p>
    <w:p w14:paraId="7FB960B7">
      <w:pPr>
        <w:widowControl w:val="0"/>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淮河蚌埠段支流：怀洪新河五河、浍河蚌埠固镇、茨淮新河 上桥闸上、涡河怀远三桥、北淝河入淮河口、沱河关咀等6个监测断面均符合Ⅲ类标准，水质状况良好。淮河蚌埠段支流总体水质状况同比无明显变化。其中，涡河怀远三桥断面水质状况同比有所下降，由优转为良好，其他5个断面同比均无明显变化。</w:t>
      </w:r>
    </w:p>
    <w:p w14:paraId="05C0442F">
      <w:pPr>
        <w:widowControl w:val="0"/>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根据《2024年蚌埠市生态环境质量状况公报》，2024年全市淮河（蚌埠段）水质良好，能达到《地表水环境质量标准》（GB3838-2002）中的Ⅲ类标准要求。</w:t>
      </w:r>
    </w:p>
    <w:p w14:paraId="3C0465F6">
      <w:pPr>
        <w:widowControl w:val="0"/>
        <w:spacing w:line="360" w:lineRule="auto"/>
        <w:ind w:firstLine="482"/>
        <w:jc w:val="both"/>
        <w:outlineLvl w:val="3"/>
        <w:rPr>
          <w:rFonts w:ascii="Times New Roman" w:hAnsi="Times New Roman" w:cs="Times New Roman"/>
          <w:color w:val="auto"/>
          <w:szCs w:val="24"/>
          <w:lang w:eastAsia="zh-CN"/>
        </w:rPr>
      </w:pPr>
      <w:r>
        <w:fldChar w:fldCharType="begin"/>
      </w:r>
      <w:r>
        <w:instrText xml:space="preserve"> HYPERLINK "file:///D:\\1、工作\\善宇\\1、环评\\蚌埠\\蚌埠晟特新材料有限公司年产3万吨酚醛和特种热固性树脂分两期建设项目\\4.3.1.2" </w:instrText>
      </w:r>
      <w:r>
        <w:fldChar w:fldCharType="separate"/>
      </w:r>
      <w:r>
        <w:rPr>
          <w:rFonts w:ascii="Times New Roman" w:hAnsi="Times New Roman" w:cs="Times New Roman"/>
          <w:b/>
          <w:bCs/>
          <w:color w:val="auto"/>
          <w:szCs w:val="24"/>
          <w:lang w:eastAsia="zh-CN"/>
        </w:rPr>
        <w:t>5.2.2.2</w:t>
      </w:r>
      <w:r>
        <w:rPr>
          <w:rFonts w:ascii="Times New Roman" w:hAnsi="Times New Roman" w:cs="Times New Roman"/>
          <w:b/>
          <w:bCs/>
          <w:color w:val="auto"/>
          <w:szCs w:val="24"/>
          <w:lang w:eastAsia="zh-CN"/>
        </w:rPr>
        <w:fldChar w:fldCharType="end"/>
      </w:r>
      <w:r>
        <w:rPr>
          <w:rFonts w:hint="eastAsia"/>
          <w:lang w:eastAsia="zh-CN"/>
        </w:rPr>
        <w:t xml:space="preserve"> </w:t>
      </w:r>
      <w:r>
        <w:rPr>
          <w:rFonts w:ascii="Times New Roman" w:hAnsi="Times New Roman" w:cs="Times New Roman"/>
          <w:b/>
          <w:bCs/>
          <w:color w:val="auto"/>
          <w:szCs w:val="24"/>
          <w:lang w:eastAsia="zh-CN"/>
        </w:rPr>
        <w:t>地表水环境质量现状监测</w:t>
      </w:r>
    </w:p>
    <w:p w14:paraId="60F2F0D6">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拟建项目地表水现状监测结果引用《</w:t>
      </w:r>
      <w:bookmarkStart w:id="1193" w:name="_Hlk176941567"/>
      <w:r>
        <w:rPr>
          <w:rFonts w:hint="eastAsia" w:ascii="Times New Roman" w:hAnsi="Times New Roman" w:cs="Times New Roman"/>
          <w:color w:val="auto"/>
          <w:szCs w:val="24"/>
          <w:lang w:eastAsia="zh-CN"/>
        </w:rPr>
        <w:t>蚌埠精细化工高新技术产业基地环境影响区域评估+环境标准</w:t>
      </w:r>
      <w:bookmarkEnd w:id="1193"/>
      <w:r>
        <w:rPr>
          <w:rFonts w:hint="eastAsia" w:ascii="Times New Roman" w:hAnsi="Times New Roman" w:cs="Times New Roman"/>
          <w:color w:val="auto"/>
          <w:szCs w:val="24"/>
          <w:lang w:eastAsia="zh-CN"/>
        </w:rPr>
        <w:t>报告</w:t>
      </w:r>
      <w:r>
        <w:rPr>
          <w:rFonts w:ascii="Times New Roman" w:hAnsi="Times New Roman" w:cs="Times New Roman"/>
          <w:color w:val="auto"/>
          <w:szCs w:val="24"/>
          <w:lang w:eastAsia="zh-CN"/>
        </w:rPr>
        <w:t>》（安徽天晟环保科技有限公司于2024年4月28日～2024年4月30日进行监测）中数据。</w:t>
      </w:r>
      <w:bookmarkStart w:id="1194" w:name="_Toc8558"/>
      <w:bookmarkStart w:id="1195" w:name="_Toc5269"/>
    </w:p>
    <w:p w14:paraId="17E218F4">
      <w:pPr>
        <w:widowControl w:val="0"/>
        <w:spacing w:line="360" w:lineRule="auto"/>
        <w:ind w:left="48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（1）</w:t>
      </w:r>
      <w:r>
        <w:rPr>
          <w:rFonts w:ascii="Times New Roman" w:hAnsi="Times New Roman" w:cs="Times New Roman"/>
          <w:color w:val="auto"/>
          <w:szCs w:val="24"/>
          <w:lang w:eastAsia="zh-CN"/>
        </w:rPr>
        <w:t>监测断面</w:t>
      </w:r>
      <w:bookmarkEnd w:id="1194"/>
      <w:bookmarkEnd w:id="1195"/>
    </w:p>
    <w:p w14:paraId="57E3FE4A">
      <w:pPr>
        <w:widowControl w:val="0"/>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地表水环境质量现状引用监测断面、监测点位具体布设情况见下表和下图。</w:t>
      </w:r>
    </w:p>
    <w:p w14:paraId="609F38D1">
      <w:pPr>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表5.2-</w:t>
      </w:r>
      <w:r>
        <w:rPr>
          <w:rFonts w:hint="eastAsia" w:ascii="Times New Roman" w:hAnsi="Times New Roman" w:cs="Times New Roman"/>
          <w:b/>
          <w:bCs/>
          <w:color w:val="auto"/>
          <w:szCs w:val="24"/>
          <w:lang w:eastAsia="zh-CN"/>
        </w:rPr>
        <w:t>4</w:t>
      </w:r>
      <w:r>
        <w:rPr>
          <w:rFonts w:ascii="Times New Roman" w:hAnsi="Times New Roman" w:cs="Times New Roman"/>
          <w:b/>
          <w:bCs/>
          <w:color w:val="auto"/>
          <w:szCs w:val="24"/>
          <w:lang w:eastAsia="zh-CN"/>
        </w:rPr>
        <w:t xml:space="preserve"> 地表水监测断面一览表</w:t>
      </w:r>
    </w:p>
    <w:tbl>
      <w:tblPr>
        <w:tblStyle w:val="35"/>
        <w:tblpPr w:leftFromText="180" w:rightFromText="180" w:vertAnchor="text" w:tblpXSpec="center" w:tblpY="1"/>
        <w:tblOverlap w:val="never"/>
        <w:tblW w:w="4998"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57" w:type="dxa"/>
          <w:bottom w:w="0" w:type="dxa"/>
          <w:right w:w="57" w:type="dxa"/>
        </w:tblCellMar>
      </w:tblPr>
      <w:tblGrid>
        <w:gridCol w:w="1527"/>
        <w:gridCol w:w="1906"/>
        <w:gridCol w:w="6309"/>
      </w:tblGrid>
      <w:tr w14:paraId="3A73603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454" w:hRule="atLeast"/>
        </w:trPr>
        <w:tc>
          <w:tcPr>
            <w:tcW w:w="784" w:type="pct"/>
            <w:vAlign w:val="center"/>
          </w:tcPr>
          <w:p w14:paraId="006EB9C6">
            <w:pPr>
              <w:keepNext/>
              <w:kinsoku w:val="0"/>
              <w:overflowPunct w:val="0"/>
              <w:autoSpaceDE w:val="0"/>
              <w:autoSpaceDN w:val="0"/>
              <w:jc w:val="center"/>
              <w:rPr>
                <w:rFonts w:ascii="Times New Roman" w:hAnsi="Times New Roman" w:cs="Times New Roman"/>
                <w:b/>
                <w:bCs/>
                <w:color w:val="auto"/>
                <w:sz w:val="21"/>
                <w:lang w:val="zh-CN" w:bidi="zh-CN"/>
              </w:rPr>
            </w:pPr>
            <w:bookmarkStart w:id="1196" w:name="_Toc24238"/>
            <w:bookmarkStart w:id="1197" w:name="_Toc9979"/>
            <w:r>
              <w:rPr>
                <w:rFonts w:ascii="Times New Roman" w:hAnsi="Times New Roman" w:cs="Times New Roman"/>
                <w:b/>
                <w:bCs/>
                <w:color w:val="auto"/>
                <w:sz w:val="21"/>
                <w:lang w:val="zh-CN" w:bidi="zh-CN"/>
              </w:rPr>
              <w:t>位置</w:t>
            </w:r>
          </w:p>
        </w:tc>
        <w:tc>
          <w:tcPr>
            <w:tcW w:w="978" w:type="pct"/>
            <w:vAlign w:val="center"/>
          </w:tcPr>
          <w:p w14:paraId="32D99707">
            <w:pPr>
              <w:keepNext/>
              <w:kinsoku w:val="0"/>
              <w:overflowPunct w:val="0"/>
              <w:autoSpaceDE w:val="0"/>
              <w:autoSpaceDN w:val="0"/>
              <w:jc w:val="center"/>
              <w:rPr>
                <w:rFonts w:ascii="Times New Roman" w:hAnsi="Times New Roman" w:cs="Times New Roman"/>
                <w:b/>
                <w:bCs/>
                <w:color w:val="auto"/>
                <w:sz w:val="21"/>
                <w:lang w:val="zh-CN" w:bidi="zh-CN"/>
              </w:rPr>
            </w:pPr>
            <w:r>
              <w:rPr>
                <w:rFonts w:ascii="Times New Roman" w:hAnsi="Times New Roman" w:cs="Times New Roman"/>
                <w:b/>
                <w:bCs/>
                <w:color w:val="auto"/>
                <w:sz w:val="21"/>
                <w:lang w:val="zh-CN" w:bidi="zh-CN"/>
              </w:rPr>
              <w:t>断面编号</w:t>
            </w:r>
          </w:p>
        </w:tc>
        <w:tc>
          <w:tcPr>
            <w:tcW w:w="3238" w:type="pct"/>
            <w:vAlign w:val="center"/>
          </w:tcPr>
          <w:p w14:paraId="6083C6ED">
            <w:pPr>
              <w:keepNext/>
              <w:kinsoku w:val="0"/>
              <w:overflowPunct w:val="0"/>
              <w:autoSpaceDE w:val="0"/>
              <w:autoSpaceDN w:val="0"/>
              <w:jc w:val="center"/>
              <w:rPr>
                <w:rFonts w:ascii="Times New Roman" w:hAnsi="Times New Roman" w:cs="Times New Roman"/>
                <w:b/>
                <w:bCs/>
                <w:color w:val="auto"/>
                <w:sz w:val="21"/>
                <w:lang w:val="zh-CN" w:bidi="zh-CN"/>
              </w:rPr>
            </w:pPr>
            <w:r>
              <w:rPr>
                <w:rFonts w:ascii="Times New Roman" w:hAnsi="Times New Roman" w:cs="Times New Roman"/>
                <w:b/>
                <w:bCs/>
                <w:color w:val="auto"/>
                <w:sz w:val="21"/>
                <w:lang w:val="zh-CN" w:bidi="zh-CN"/>
              </w:rPr>
              <w:t>断面位置</w:t>
            </w:r>
          </w:p>
        </w:tc>
      </w:tr>
      <w:tr w14:paraId="715326B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784" w:type="pct"/>
            <w:vAlign w:val="center"/>
          </w:tcPr>
          <w:p w14:paraId="773E94D6">
            <w:pPr>
              <w:keepNext/>
              <w:kinsoku w:val="0"/>
              <w:overflowPunct w:val="0"/>
              <w:autoSpaceDE w:val="0"/>
              <w:autoSpaceDN w:val="0"/>
              <w:jc w:val="center"/>
              <w:rPr>
                <w:rFonts w:ascii="Times New Roman" w:hAnsi="Times New Roman" w:cs="Times New Roman"/>
                <w:color w:val="auto"/>
                <w:sz w:val="21"/>
                <w:lang w:val="zh-CN" w:bidi="zh-CN"/>
              </w:rPr>
            </w:pPr>
            <w:r>
              <w:rPr>
                <w:rFonts w:ascii="Times New Roman" w:hAnsi="Times New Roman" w:cs="Times New Roman"/>
                <w:color w:val="auto"/>
                <w:sz w:val="21"/>
                <w:lang w:val="zh-CN" w:bidi="zh-CN"/>
              </w:rPr>
              <w:t>沫冲引河</w:t>
            </w:r>
          </w:p>
        </w:tc>
        <w:tc>
          <w:tcPr>
            <w:tcW w:w="978" w:type="pct"/>
            <w:vAlign w:val="center"/>
          </w:tcPr>
          <w:p w14:paraId="36E0CFCD">
            <w:pPr>
              <w:keepNext/>
              <w:kinsoku w:val="0"/>
              <w:overflowPunct w:val="0"/>
              <w:autoSpaceDE w:val="0"/>
              <w:autoSpaceDN w:val="0"/>
              <w:jc w:val="center"/>
              <w:rPr>
                <w:rFonts w:ascii="Times New Roman" w:hAnsi="Times New Roman" w:cs="Times New Roman"/>
                <w:color w:val="auto"/>
                <w:sz w:val="21"/>
                <w:lang w:val="zh-CN" w:eastAsia="zh-CN" w:bidi="zh-CN"/>
              </w:rPr>
            </w:pPr>
            <w:r>
              <w:rPr>
                <w:rFonts w:ascii="Times New Roman" w:hAnsi="Times New Roman" w:cs="Times New Roman"/>
                <w:color w:val="auto"/>
                <w:sz w:val="21"/>
                <w:lang w:val="zh-CN" w:bidi="zh-CN"/>
              </w:rPr>
              <w:t>W</w:t>
            </w:r>
            <w:r>
              <w:rPr>
                <w:rFonts w:hint="eastAsia" w:ascii="Times New Roman" w:hAnsi="Times New Roman" w:cs="Times New Roman"/>
                <w:color w:val="auto"/>
                <w:sz w:val="21"/>
                <w:lang w:val="zh-CN" w:eastAsia="zh-CN" w:bidi="zh-CN"/>
              </w:rPr>
              <w:t>1</w:t>
            </w:r>
          </w:p>
        </w:tc>
        <w:tc>
          <w:tcPr>
            <w:tcW w:w="3238" w:type="pct"/>
            <w:vAlign w:val="center"/>
          </w:tcPr>
          <w:p w14:paraId="6990C143">
            <w:pPr>
              <w:keepNext/>
              <w:kinsoku w:val="0"/>
              <w:overflowPunct w:val="0"/>
              <w:autoSpaceDE w:val="0"/>
              <w:autoSpaceDN w:val="0"/>
              <w:jc w:val="center"/>
              <w:rPr>
                <w:rFonts w:ascii="Times New Roman" w:hAnsi="Times New Roman" w:cs="Times New Roman"/>
                <w:color w:val="auto"/>
                <w:sz w:val="21"/>
                <w:lang w:val="zh-CN" w:eastAsia="zh-CN" w:bidi="zh-CN"/>
              </w:rPr>
            </w:pPr>
            <w:r>
              <w:rPr>
                <w:rFonts w:ascii="Times New Roman" w:hAnsi="Times New Roman" w:cs="Times New Roman"/>
                <w:color w:val="auto"/>
                <w:sz w:val="21"/>
                <w:lang w:val="zh-CN" w:eastAsia="zh-CN" w:bidi="zh-CN"/>
              </w:rPr>
              <w:t>沫冲引河与三铺大沟交口</w:t>
            </w:r>
            <w:r>
              <w:rPr>
                <w:rFonts w:hint="eastAsia" w:ascii="Times New Roman" w:hAnsi="Times New Roman" w:cs="Times New Roman"/>
                <w:color w:val="auto"/>
                <w:sz w:val="21"/>
                <w:lang w:val="zh-CN" w:eastAsia="zh-CN" w:bidi="zh-CN"/>
              </w:rPr>
              <w:t>下</w:t>
            </w:r>
            <w:r>
              <w:rPr>
                <w:rFonts w:ascii="Times New Roman" w:hAnsi="Times New Roman" w:cs="Times New Roman"/>
                <w:color w:val="auto"/>
                <w:sz w:val="21"/>
                <w:lang w:val="zh-CN" w:eastAsia="zh-CN" w:bidi="zh-CN"/>
              </w:rPr>
              <w:t>游500m</w:t>
            </w:r>
          </w:p>
        </w:tc>
      </w:tr>
      <w:tr w14:paraId="7E5DAD0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90" w:hRule="atLeast"/>
        </w:trPr>
        <w:tc>
          <w:tcPr>
            <w:tcW w:w="784" w:type="pct"/>
            <w:vAlign w:val="center"/>
          </w:tcPr>
          <w:p w14:paraId="1E013298">
            <w:pPr>
              <w:keepNext/>
              <w:kinsoku w:val="0"/>
              <w:overflowPunct w:val="0"/>
              <w:autoSpaceDE w:val="0"/>
              <w:autoSpaceDN w:val="0"/>
              <w:jc w:val="center"/>
              <w:rPr>
                <w:rFonts w:ascii="Times New Roman" w:hAnsi="Times New Roman" w:cs="Times New Roman"/>
                <w:color w:val="auto"/>
                <w:sz w:val="21"/>
                <w:lang w:val="zh-CN" w:bidi="zh-CN"/>
              </w:rPr>
            </w:pPr>
            <w:r>
              <w:rPr>
                <w:rFonts w:ascii="Times New Roman" w:hAnsi="Times New Roman" w:cs="Times New Roman"/>
                <w:color w:val="auto"/>
                <w:sz w:val="21"/>
                <w:lang w:val="zh-CN" w:bidi="zh-CN"/>
              </w:rPr>
              <w:t>三铺大沟</w:t>
            </w:r>
          </w:p>
        </w:tc>
        <w:tc>
          <w:tcPr>
            <w:tcW w:w="978" w:type="pct"/>
            <w:vAlign w:val="center"/>
          </w:tcPr>
          <w:p w14:paraId="2EFEAB4A">
            <w:pPr>
              <w:keepNext/>
              <w:kinsoku w:val="0"/>
              <w:overflowPunct w:val="0"/>
              <w:autoSpaceDE w:val="0"/>
              <w:autoSpaceDN w:val="0"/>
              <w:jc w:val="center"/>
              <w:rPr>
                <w:rFonts w:ascii="Times New Roman" w:hAnsi="Times New Roman" w:cs="Times New Roman"/>
                <w:color w:val="auto"/>
                <w:sz w:val="21"/>
                <w:lang w:val="zh-CN" w:bidi="zh-CN"/>
              </w:rPr>
            </w:pPr>
            <w:r>
              <w:rPr>
                <w:rFonts w:ascii="Times New Roman" w:hAnsi="Times New Roman" w:cs="Times New Roman"/>
                <w:color w:val="auto"/>
                <w:sz w:val="21"/>
                <w:lang w:val="zh-CN" w:bidi="zh-CN"/>
              </w:rPr>
              <w:t>W</w:t>
            </w:r>
            <w:r>
              <w:rPr>
                <w:rFonts w:ascii="Times New Roman" w:hAnsi="Times New Roman" w:cs="Times New Roman"/>
                <w:color w:val="auto"/>
                <w:sz w:val="21"/>
                <w:lang w:bidi="zh-CN"/>
              </w:rPr>
              <w:t>2</w:t>
            </w:r>
          </w:p>
        </w:tc>
        <w:tc>
          <w:tcPr>
            <w:tcW w:w="3238" w:type="pct"/>
            <w:vAlign w:val="center"/>
          </w:tcPr>
          <w:p w14:paraId="7AFE06F4">
            <w:pPr>
              <w:keepNext/>
              <w:kinsoku w:val="0"/>
              <w:overflowPunct w:val="0"/>
              <w:autoSpaceDE w:val="0"/>
              <w:autoSpaceDN w:val="0"/>
              <w:jc w:val="center"/>
              <w:rPr>
                <w:rFonts w:ascii="Times New Roman" w:hAnsi="Times New Roman" w:cs="Times New Roman"/>
                <w:color w:val="auto"/>
                <w:sz w:val="21"/>
                <w:lang w:val="zh-CN" w:eastAsia="zh-CN" w:bidi="zh-CN"/>
              </w:rPr>
            </w:pPr>
            <w:r>
              <w:rPr>
                <w:rFonts w:ascii="Times New Roman" w:hAnsi="Times New Roman" w:cs="Times New Roman"/>
                <w:color w:val="auto"/>
                <w:sz w:val="21"/>
                <w:lang w:val="zh-CN" w:eastAsia="zh-CN" w:bidi="zh-CN"/>
              </w:rPr>
              <w:t>三铺大沟与沫冲引河交口上游500m</w:t>
            </w:r>
          </w:p>
        </w:tc>
      </w:tr>
      <w:tr w14:paraId="20E7B35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784" w:type="pct"/>
            <w:vMerge w:val="restart"/>
            <w:vAlign w:val="center"/>
          </w:tcPr>
          <w:p w14:paraId="7BF736CF">
            <w:pPr>
              <w:keepNext/>
              <w:kinsoku w:val="0"/>
              <w:overflowPunct w:val="0"/>
              <w:autoSpaceDE w:val="0"/>
              <w:autoSpaceDN w:val="0"/>
              <w:jc w:val="center"/>
              <w:rPr>
                <w:rFonts w:ascii="Times New Roman" w:hAnsi="Times New Roman" w:cs="Times New Roman"/>
                <w:color w:val="auto"/>
                <w:kern w:val="2"/>
                <w:sz w:val="21"/>
                <w:lang w:val="zh-CN" w:eastAsia="zh-CN" w:bidi="zh-CN"/>
              </w:rPr>
            </w:pPr>
            <w:r>
              <w:rPr>
                <w:rFonts w:ascii="Times New Roman" w:hAnsi="Times New Roman" w:cs="Times New Roman"/>
                <w:color w:val="auto"/>
                <w:sz w:val="21"/>
                <w:lang w:val="zh-CN" w:bidi="zh-CN"/>
              </w:rPr>
              <w:t>淮河</w:t>
            </w:r>
          </w:p>
        </w:tc>
        <w:tc>
          <w:tcPr>
            <w:tcW w:w="978" w:type="pct"/>
            <w:vAlign w:val="center"/>
          </w:tcPr>
          <w:p w14:paraId="55FEA0DA">
            <w:pPr>
              <w:keepNext/>
              <w:kinsoku w:val="0"/>
              <w:overflowPunct w:val="0"/>
              <w:autoSpaceDE w:val="0"/>
              <w:autoSpaceDN w:val="0"/>
              <w:jc w:val="center"/>
              <w:rPr>
                <w:rFonts w:ascii="Times New Roman" w:hAnsi="Times New Roman" w:cs="Times New Roman"/>
                <w:color w:val="auto"/>
                <w:kern w:val="2"/>
                <w:sz w:val="21"/>
                <w:lang w:val="zh-CN" w:eastAsia="zh-CN" w:bidi="zh-CN"/>
              </w:rPr>
            </w:pPr>
            <w:r>
              <w:rPr>
                <w:rFonts w:ascii="Times New Roman" w:hAnsi="Times New Roman" w:cs="Times New Roman"/>
                <w:color w:val="auto"/>
                <w:sz w:val="21"/>
                <w:lang w:val="zh-CN" w:bidi="zh-CN"/>
              </w:rPr>
              <w:t>W</w:t>
            </w:r>
            <w:r>
              <w:rPr>
                <w:rFonts w:hint="eastAsia" w:ascii="Times New Roman" w:hAnsi="Times New Roman" w:cs="Times New Roman"/>
                <w:color w:val="auto"/>
                <w:sz w:val="21"/>
                <w:lang w:val="zh-CN" w:eastAsia="zh-CN" w:bidi="zh-CN"/>
              </w:rPr>
              <w:t>3</w:t>
            </w:r>
          </w:p>
        </w:tc>
        <w:tc>
          <w:tcPr>
            <w:tcW w:w="3238" w:type="pct"/>
            <w:vAlign w:val="center"/>
          </w:tcPr>
          <w:p w14:paraId="246DBC90">
            <w:pPr>
              <w:keepNext/>
              <w:kinsoku w:val="0"/>
              <w:overflowPunct w:val="0"/>
              <w:autoSpaceDE w:val="0"/>
              <w:autoSpaceDN w:val="0"/>
              <w:jc w:val="center"/>
              <w:rPr>
                <w:rFonts w:ascii="Times New Roman" w:hAnsi="Times New Roman" w:cs="Times New Roman"/>
                <w:color w:val="auto"/>
                <w:kern w:val="2"/>
                <w:sz w:val="21"/>
                <w:lang w:eastAsia="zh-CN" w:bidi="zh-CN"/>
              </w:rPr>
            </w:pPr>
            <w:r>
              <w:rPr>
                <w:rFonts w:ascii="Times New Roman" w:hAnsi="Times New Roman" w:cs="Times New Roman"/>
                <w:color w:val="auto"/>
                <w:sz w:val="21"/>
                <w:lang w:val="zh-CN" w:eastAsia="zh-CN" w:bidi="zh-CN"/>
              </w:rPr>
              <w:t>三铺大沟入淮河口</w:t>
            </w:r>
            <w:r>
              <w:rPr>
                <w:rFonts w:ascii="Times New Roman" w:hAnsi="Times New Roman" w:cs="Times New Roman"/>
                <w:color w:val="auto"/>
                <w:sz w:val="21"/>
                <w:lang w:eastAsia="zh-CN" w:bidi="zh-CN"/>
              </w:rPr>
              <w:t>处</w:t>
            </w:r>
            <w:r>
              <w:rPr>
                <w:rFonts w:ascii="Times New Roman" w:hAnsi="Times New Roman" w:cs="Times New Roman"/>
                <w:color w:val="auto"/>
                <w:sz w:val="21"/>
                <w:lang w:val="zh-CN" w:eastAsia="zh-CN" w:bidi="zh-CN"/>
              </w:rPr>
              <w:t>上游500m（</w:t>
            </w:r>
            <w:r>
              <w:rPr>
                <w:rFonts w:ascii="Times New Roman" w:hAnsi="Times New Roman" w:cs="Times New Roman"/>
                <w:color w:val="auto"/>
                <w:sz w:val="21"/>
                <w:lang w:eastAsia="zh-CN" w:bidi="zh-CN"/>
              </w:rPr>
              <w:t>距北岸20m</w:t>
            </w:r>
            <w:r>
              <w:rPr>
                <w:rFonts w:ascii="Times New Roman" w:hAnsi="Times New Roman" w:cs="Times New Roman"/>
                <w:color w:val="auto"/>
                <w:sz w:val="21"/>
                <w:lang w:val="zh-CN" w:eastAsia="zh-CN" w:bidi="zh-CN"/>
              </w:rPr>
              <w:t>）</w:t>
            </w:r>
          </w:p>
        </w:tc>
      </w:tr>
      <w:tr w14:paraId="5EA22AB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784" w:type="pct"/>
            <w:vMerge w:val="continue"/>
            <w:vAlign w:val="center"/>
          </w:tcPr>
          <w:p w14:paraId="73D7A79B">
            <w:pPr>
              <w:keepNext/>
              <w:kinsoku w:val="0"/>
              <w:overflowPunct w:val="0"/>
              <w:autoSpaceDE w:val="0"/>
              <w:autoSpaceDN w:val="0"/>
              <w:jc w:val="center"/>
              <w:rPr>
                <w:rFonts w:ascii="Times New Roman" w:hAnsi="Times New Roman" w:cs="Times New Roman"/>
                <w:color w:val="auto"/>
                <w:sz w:val="21"/>
                <w:lang w:val="zh-CN" w:eastAsia="zh-CN" w:bidi="zh-CN"/>
              </w:rPr>
            </w:pPr>
          </w:p>
        </w:tc>
        <w:tc>
          <w:tcPr>
            <w:tcW w:w="978" w:type="pct"/>
            <w:vAlign w:val="center"/>
          </w:tcPr>
          <w:p w14:paraId="3345DC72">
            <w:pPr>
              <w:keepNext/>
              <w:kinsoku w:val="0"/>
              <w:overflowPunct w:val="0"/>
              <w:autoSpaceDE w:val="0"/>
              <w:autoSpaceDN w:val="0"/>
              <w:jc w:val="center"/>
              <w:rPr>
                <w:rFonts w:ascii="Times New Roman" w:hAnsi="Times New Roman" w:cs="Times New Roman"/>
                <w:color w:val="auto"/>
                <w:kern w:val="2"/>
                <w:sz w:val="21"/>
                <w:lang w:val="zh-CN" w:eastAsia="zh-CN" w:bidi="zh-CN"/>
              </w:rPr>
            </w:pPr>
            <w:r>
              <w:rPr>
                <w:rFonts w:ascii="Times New Roman" w:hAnsi="Times New Roman" w:cs="Times New Roman"/>
                <w:color w:val="auto"/>
                <w:sz w:val="21"/>
                <w:lang w:val="zh-CN" w:bidi="zh-CN"/>
              </w:rPr>
              <w:t>W</w:t>
            </w:r>
            <w:r>
              <w:rPr>
                <w:rFonts w:hint="eastAsia" w:ascii="Times New Roman" w:hAnsi="Times New Roman" w:cs="Times New Roman"/>
                <w:color w:val="auto"/>
                <w:sz w:val="21"/>
                <w:lang w:val="zh-CN" w:eastAsia="zh-CN" w:bidi="zh-CN"/>
              </w:rPr>
              <w:t>4</w:t>
            </w:r>
          </w:p>
        </w:tc>
        <w:tc>
          <w:tcPr>
            <w:tcW w:w="3238" w:type="pct"/>
            <w:vAlign w:val="center"/>
          </w:tcPr>
          <w:p w14:paraId="1A26D410">
            <w:pPr>
              <w:keepNext/>
              <w:kinsoku w:val="0"/>
              <w:overflowPunct w:val="0"/>
              <w:autoSpaceDE w:val="0"/>
              <w:autoSpaceDN w:val="0"/>
              <w:jc w:val="center"/>
              <w:rPr>
                <w:rFonts w:ascii="Times New Roman" w:hAnsi="Times New Roman" w:cs="Times New Roman"/>
                <w:color w:val="auto"/>
                <w:kern w:val="2"/>
                <w:sz w:val="21"/>
                <w:lang w:val="zh-CN" w:eastAsia="zh-CN" w:bidi="zh-CN"/>
              </w:rPr>
            </w:pPr>
            <w:r>
              <w:rPr>
                <w:rFonts w:ascii="Times New Roman" w:hAnsi="Times New Roman" w:cs="Times New Roman"/>
                <w:color w:val="auto"/>
                <w:sz w:val="21"/>
                <w:lang w:val="zh-CN" w:eastAsia="zh-CN" w:bidi="zh-CN"/>
              </w:rPr>
              <w:t>三铺大沟入淮河口</w:t>
            </w:r>
            <w:r>
              <w:rPr>
                <w:rFonts w:ascii="Times New Roman" w:hAnsi="Times New Roman" w:cs="Times New Roman"/>
                <w:color w:val="auto"/>
                <w:sz w:val="21"/>
                <w:lang w:eastAsia="zh-CN" w:bidi="zh-CN"/>
              </w:rPr>
              <w:t>处</w:t>
            </w:r>
            <w:r>
              <w:rPr>
                <w:rFonts w:ascii="Times New Roman" w:hAnsi="Times New Roman" w:cs="Times New Roman"/>
                <w:color w:val="auto"/>
                <w:sz w:val="21"/>
                <w:lang w:val="zh-CN" w:eastAsia="zh-CN" w:bidi="zh-CN"/>
              </w:rPr>
              <w:t>下游500m（</w:t>
            </w:r>
            <w:r>
              <w:rPr>
                <w:rFonts w:ascii="Times New Roman" w:hAnsi="Times New Roman" w:cs="Times New Roman"/>
                <w:color w:val="auto"/>
                <w:sz w:val="21"/>
                <w:lang w:eastAsia="zh-CN" w:bidi="zh-CN"/>
              </w:rPr>
              <w:t>距北岸20m</w:t>
            </w:r>
            <w:r>
              <w:rPr>
                <w:rFonts w:ascii="Times New Roman" w:hAnsi="Times New Roman" w:cs="Times New Roman"/>
                <w:color w:val="auto"/>
                <w:sz w:val="21"/>
                <w:lang w:val="zh-CN" w:eastAsia="zh-CN" w:bidi="zh-CN"/>
              </w:rPr>
              <w:t>）</w:t>
            </w:r>
          </w:p>
        </w:tc>
      </w:tr>
      <w:tr w14:paraId="7D2D952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784" w:type="pct"/>
            <w:vMerge w:val="continue"/>
            <w:vAlign w:val="center"/>
          </w:tcPr>
          <w:p w14:paraId="0E4CFA69">
            <w:pPr>
              <w:keepNext/>
              <w:kinsoku w:val="0"/>
              <w:overflowPunct w:val="0"/>
              <w:autoSpaceDE w:val="0"/>
              <w:autoSpaceDN w:val="0"/>
              <w:jc w:val="center"/>
              <w:rPr>
                <w:rFonts w:ascii="Times New Roman" w:hAnsi="Times New Roman" w:cs="Times New Roman"/>
                <w:color w:val="auto"/>
                <w:sz w:val="21"/>
                <w:lang w:val="zh-CN" w:eastAsia="zh-CN" w:bidi="zh-CN"/>
              </w:rPr>
            </w:pPr>
          </w:p>
        </w:tc>
        <w:tc>
          <w:tcPr>
            <w:tcW w:w="978" w:type="pct"/>
            <w:vAlign w:val="center"/>
          </w:tcPr>
          <w:p w14:paraId="3A2F3868">
            <w:pPr>
              <w:keepNext/>
              <w:kinsoku w:val="0"/>
              <w:overflowPunct w:val="0"/>
              <w:autoSpaceDE w:val="0"/>
              <w:autoSpaceDN w:val="0"/>
              <w:jc w:val="center"/>
              <w:rPr>
                <w:rFonts w:ascii="Times New Roman" w:hAnsi="Times New Roman" w:cs="Times New Roman"/>
                <w:color w:val="auto"/>
                <w:kern w:val="2"/>
                <w:sz w:val="21"/>
                <w:lang w:val="zh-CN" w:eastAsia="zh-CN" w:bidi="zh-CN"/>
              </w:rPr>
            </w:pPr>
            <w:r>
              <w:rPr>
                <w:rFonts w:ascii="Times New Roman" w:hAnsi="Times New Roman" w:cs="Times New Roman"/>
                <w:color w:val="auto"/>
                <w:sz w:val="21"/>
                <w:lang w:val="zh-CN" w:bidi="zh-CN"/>
              </w:rPr>
              <w:t>W</w:t>
            </w:r>
            <w:r>
              <w:rPr>
                <w:rFonts w:hint="eastAsia" w:ascii="Times New Roman" w:hAnsi="Times New Roman" w:cs="Times New Roman"/>
                <w:color w:val="auto"/>
                <w:sz w:val="21"/>
                <w:lang w:val="zh-CN" w:eastAsia="zh-CN" w:bidi="zh-CN"/>
              </w:rPr>
              <w:t>5</w:t>
            </w:r>
          </w:p>
        </w:tc>
        <w:tc>
          <w:tcPr>
            <w:tcW w:w="3238" w:type="pct"/>
            <w:vAlign w:val="center"/>
          </w:tcPr>
          <w:p w14:paraId="4093B257">
            <w:pPr>
              <w:keepNext/>
              <w:kinsoku w:val="0"/>
              <w:overflowPunct w:val="0"/>
              <w:autoSpaceDE w:val="0"/>
              <w:autoSpaceDN w:val="0"/>
              <w:jc w:val="center"/>
              <w:rPr>
                <w:rFonts w:ascii="Times New Roman" w:hAnsi="Times New Roman" w:cs="Times New Roman"/>
                <w:color w:val="auto"/>
                <w:kern w:val="2"/>
                <w:sz w:val="21"/>
                <w:lang w:val="zh-CN" w:eastAsia="zh-CN" w:bidi="zh-CN"/>
              </w:rPr>
            </w:pPr>
            <w:r>
              <w:rPr>
                <w:rFonts w:ascii="Times New Roman" w:hAnsi="Times New Roman" w:cs="Times New Roman"/>
                <w:color w:val="auto"/>
                <w:sz w:val="21"/>
                <w:lang w:val="zh-CN" w:eastAsia="zh-CN" w:bidi="zh-CN"/>
              </w:rPr>
              <w:t>三铺大沟入淮河口</w:t>
            </w:r>
            <w:r>
              <w:rPr>
                <w:rFonts w:ascii="Times New Roman" w:hAnsi="Times New Roman" w:cs="Times New Roman"/>
                <w:color w:val="auto"/>
                <w:sz w:val="21"/>
                <w:lang w:eastAsia="zh-CN" w:bidi="zh-CN"/>
              </w:rPr>
              <w:t>处</w:t>
            </w:r>
            <w:r>
              <w:rPr>
                <w:rFonts w:ascii="Times New Roman" w:hAnsi="Times New Roman" w:cs="Times New Roman"/>
                <w:color w:val="auto"/>
                <w:sz w:val="21"/>
                <w:lang w:val="zh-CN" w:eastAsia="zh-CN" w:bidi="zh-CN"/>
              </w:rPr>
              <w:t>下游</w:t>
            </w:r>
            <w:r>
              <w:rPr>
                <w:rFonts w:ascii="Times New Roman" w:hAnsi="Times New Roman" w:cs="Times New Roman"/>
                <w:color w:val="auto"/>
                <w:sz w:val="21"/>
                <w:lang w:eastAsia="zh-CN" w:bidi="zh-CN"/>
              </w:rPr>
              <w:t>2</w:t>
            </w:r>
            <w:r>
              <w:rPr>
                <w:rFonts w:ascii="Times New Roman" w:hAnsi="Times New Roman" w:cs="Times New Roman"/>
                <w:color w:val="auto"/>
                <w:sz w:val="21"/>
                <w:lang w:val="zh-CN" w:eastAsia="zh-CN" w:bidi="zh-CN"/>
              </w:rPr>
              <w:t>000m（</w:t>
            </w:r>
            <w:r>
              <w:rPr>
                <w:rFonts w:ascii="Times New Roman" w:hAnsi="Times New Roman" w:cs="Times New Roman"/>
                <w:color w:val="auto"/>
                <w:sz w:val="21"/>
                <w:lang w:eastAsia="zh-CN" w:bidi="zh-CN"/>
              </w:rPr>
              <w:t>距北岸20m</w:t>
            </w:r>
            <w:r>
              <w:rPr>
                <w:rFonts w:ascii="Times New Roman" w:hAnsi="Times New Roman" w:cs="Times New Roman"/>
                <w:color w:val="auto"/>
                <w:sz w:val="21"/>
                <w:lang w:val="zh-CN" w:eastAsia="zh-CN" w:bidi="zh-CN"/>
              </w:rPr>
              <w:t>）</w:t>
            </w:r>
          </w:p>
        </w:tc>
      </w:tr>
    </w:tbl>
    <w:p w14:paraId="58C032C4">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 5.2</w:t>
      </w:r>
      <w:r>
        <w:rPr>
          <w:rFonts w:ascii="Times New Roman" w:hAnsi="Times New Roman" w:cs="Times New Roman"/>
          <w:b/>
          <w:bCs/>
          <w:color w:val="auto"/>
          <w:lang w:eastAsia="zh-CN"/>
        </w:rPr>
        <w:noBreakHyphen/>
      </w:r>
      <w:r>
        <w:rPr>
          <w:rFonts w:hint="eastAsia" w:ascii="Times New Roman" w:hAnsi="Times New Roman" w:cs="Times New Roman"/>
          <w:b/>
          <w:bCs/>
          <w:color w:val="auto"/>
          <w:lang w:eastAsia="zh-CN"/>
        </w:rPr>
        <w:t>5</w:t>
      </w:r>
      <w:r>
        <w:rPr>
          <w:rFonts w:ascii="Times New Roman" w:hAnsi="Times New Roman" w:cs="Times New Roman"/>
          <w:b/>
          <w:bCs/>
          <w:color w:val="auto"/>
          <w:lang w:eastAsia="zh-CN"/>
        </w:rPr>
        <w:t xml:space="preserve"> 地表水现状监测情况一览表</w:t>
      </w:r>
    </w:p>
    <w:tbl>
      <w:tblPr>
        <w:tblStyle w:val="35"/>
        <w:tblpPr w:leftFromText="180" w:rightFromText="180" w:vertAnchor="text" w:tblpXSpec="center" w:tblpY="1"/>
        <w:tblOverlap w:val="never"/>
        <w:tblW w:w="4996" w:type="pct"/>
        <w:tblInd w:w="0" w:type="dxa"/>
        <w:tblBorders>
          <w:top w:val="single" w:color="auto" w:sz="12" w:space="0"/>
          <w:left w:val="none" w:color="auto" w:sz="0" w:space="0"/>
          <w:bottom w:val="single" w:color="auto" w:sz="4" w:space="0"/>
          <w:right w:val="none" w:color="auto" w:sz="0" w:space="0"/>
          <w:insideH w:val="single" w:color="auto" w:sz="4" w:space="0"/>
          <w:insideV w:val="single" w:color="auto" w:sz="4" w:space="0"/>
        </w:tblBorders>
        <w:tblLayout w:type="autofit"/>
        <w:tblCellMar>
          <w:top w:w="28" w:type="dxa"/>
          <w:left w:w="57" w:type="dxa"/>
          <w:bottom w:w="28" w:type="dxa"/>
          <w:right w:w="57" w:type="dxa"/>
        </w:tblCellMar>
      </w:tblPr>
      <w:tblGrid>
        <w:gridCol w:w="1135"/>
        <w:gridCol w:w="849"/>
        <w:gridCol w:w="3402"/>
        <w:gridCol w:w="2916"/>
        <w:gridCol w:w="1436"/>
      </w:tblGrid>
      <w:tr w14:paraId="48669FA8">
        <w:tblPrEx>
          <w:tblBorders>
            <w:top w:val="single" w:color="auto" w:sz="12" w:space="0"/>
            <w:left w:val="none" w:color="auto" w:sz="0" w:space="0"/>
            <w:bottom w:val="single" w:color="auto" w:sz="4" w:space="0"/>
            <w:right w:val="none" w:color="auto" w:sz="0" w:space="0"/>
            <w:insideH w:val="single" w:color="auto" w:sz="4" w:space="0"/>
            <w:insideV w:val="single" w:color="auto" w:sz="4" w:space="0"/>
          </w:tblBorders>
          <w:tblCellMar>
            <w:top w:w="28" w:type="dxa"/>
            <w:left w:w="57" w:type="dxa"/>
            <w:bottom w:w="28" w:type="dxa"/>
            <w:right w:w="57" w:type="dxa"/>
          </w:tblCellMar>
        </w:tblPrEx>
        <w:trPr>
          <w:trHeight w:val="552" w:hRule="atLeast"/>
        </w:trPr>
        <w:tc>
          <w:tcPr>
            <w:tcW w:w="583" w:type="pct"/>
            <w:vAlign w:val="center"/>
          </w:tcPr>
          <w:p w14:paraId="60686031">
            <w:pPr>
              <w:jc w:val="center"/>
              <w:rPr>
                <w:rFonts w:ascii="Times New Roman" w:hAnsi="Times New Roman" w:cs="Times New Roman"/>
                <w:b/>
                <w:bCs/>
                <w:color w:val="auto"/>
                <w:sz w:val="21"/>
                <w:lang w:bidi="ar"/>
              </w:rPr>
            </w:pPr>
            <w:r>
              <w:rPr>
                <w:rFonts w:ascii="Times New Roman" w:hAnsi="Times New Roman" w:cs="Times New Roman"/>
                <w:b/>
                <w:bCs/>
                <w:color w:val="auto"/>
                <w:sz w:val="21"/>
                <w:lang w:eastAsia="zh-CN" w:bidi="ar"/>
              </w:rPr>
              <w:t>断面</w:t>
            </w:r>
            <w:r>
              <w:rPr>
                <w:rFonts w:ascii="Times New Roman" w:hAnsi="Times New Roman" w:cs="Times New Roman"/>
                <w:b/>
                <w:bCs/>
                <w:color w:val="auto"/>
                <w:sz w:val="21"/>
                <w:lang w:bidi="ar"/>
              </w:rPr>
              <w:t>编号</w:t>
            </w:r>
          </w:p>
        </w:tc>
        <w:tc>
          <w:tcPr>
            <w:tcW w:w="2183" w:type="pct"/>
            <w:gridSpan w:val="2"/>
            <w:vAlign w:val="center"/>
          </w:tcPr>
          <w:p w14:paraId="1F3F3396">
            <w:pPr>
              <w:jc w:val="center"/>
              <w:rPr>
                <w:rFonts w:ascii="Times New Roman" w:hAnsi="Times New Roman" w:cs="Times New Roman"/>
                <w:b/>
                <w:bCs/>
                <w:color w:val="auto"/>
                <w:sz w:val="21"/>
                <w:lang w:bidi="ar"/>
              </w:rPr>
            </w:pPr>
            <w:r>
              <w:rPr>
                <w:rFonts w:ascii="Times New Roman" w:hAnsi="Times New Roman" w:cs="Times New Roman"/>
                <w:b/>
                <w:bCs/>
                <w:color w:val="auto"/>
                <w:sz w:val="21"/>
                <w:lang w:bidi="ar"/>
              </w:rPr>
              <w:t>数据来源</w:t>
            </w:r>
          </w:p>
        </w:tc>
        <w:tc>
          <w:tcPr>
            <w:tcW w:w="1497" w:type="pct"/>
            <w:vAlign w:val="center"/>
          </w:tcPr>
          <w:p w14:paraId="56AAB7AA">
            <w:pPr>
              <w:jc w:val="center"/>
              <w:rPr>
                <w:rFonts w:ascii="Times New Roman" w:hAnsi="Times New Roman" w:cs="Times New Roman"/>
                <w:b/>
                <w:bCs/>
                <w:color w:val="auto"/>
                <w:sz w:val="21"/>
                <w:lang w:bidi="ar"/>
              </w:rPr>
            </w:pPr>
            <w:r>
              <w:rPr>
                <w:rFonts w:ascii="Times New Roman" w:hAnsi="Times New Roman" w:cs="Times New Roman"/>
                <w:b/>
                <w:bCs/>
                <w:color w:val="auto"/>
                <w:sz w:val="21"/>
                <w:lang w:bidi="ar"/>
              </w:rPr>
              <w:t>监测因子</w:t>
            </w:r>
          </w:p>
        </w:tc>
        <w:tc>
          <w:tcPr>
            <w:tcW w:w="737" w:type="pct"/>
            <w:vAlign w:val="center"/>
          </w:tcPr>
          <w:p w14:paraId="6E54DB1B">
            <w:pPr>
              <w:jc w:val="center"/>
              <w:rPr>
                <w:rFonts w:ascii="Times New Roman" w:hAnsi="Times New Roman" w:cs="Times New Roman"/>
                <w:b/>
                <w:bCs/>
                <w:color w:val="auto"/>
                <w:sz w:val="21"/>
                <w:lang w:bidi="ar"/>
              </w:rPr>
            </w:pPr>
            <w:r>
              <w:rPr>
                <w:rFonts w:ascii="Times New Roman" w:hAnsi="Times New Roman" w:cs="Times New Roman"/>
                <w:b/>
                <w:bCs/>
                <w:color w:val="auto"/>
                <w:sz w:val="21"/>
                <w:lang w:bidi="ar"/>
              </w:rPr>
              <w:t>监测时间</w:t>
            </w:r>
          </w:p>
        </w:tc>
      </w:tr>
      <w:tr w14:paraId="5FCDC9B8">
        <w:tblPrEx>
          <w:tblBorders>
            <w:top w:val="single" w:color="auto" w:sz="12" w:space="0"/>
            <w:left w:val="none" w:color="auto" w:sz="0" w:space="0"/>
            <w:bottom w:val="single" w:color="auto" w:sz="4" w:space="0"/>
            <w:right w:val="none" w:color="auto" w:sz="0" w:space="0"/>
            <w:insideH w:val="single" w:color="auto" w:sz="4" w:space="0"/>
            <w:insideV w:val="single" w:color="auto" w:sz="4" w:space="0"/>
          </w:tblBorders>
          <w:tblCellMar>
            <w:top w:w="28" w:type="dxa"/>
            <w:left w:w="57" w:type="dxa"/>
            <w:bottom w:w="28" w:type="dxa"/>
            <w:right w:w="57" w:type="dxa"/>
          </w:tblCellMar>
        </w:tblPrEx>
        <w:trPr>
          <w:trHeight w:val="544" w:hRule="atLeast"/>
        </w:trPr>
        <w:tc>
          <w:tcPr>
            <w:tcW w:w="583" w:type="pct"/>
            <w:vAlign w:val="center"/>
          </w:tcPr>
          <w:p w14:paraId="1991730B">
            <w:pPr>
              <w:jc w:val="center"/>
              <w:rPr>
                <w:rFonts w:ascii="Times New Roman" w:hAnsi="Times New Roman" w:cs="Times New Roman"/>
                <w:color w:val="auto"/>
                <w:sz w:val="21"/>
                <w:lang w:bidi="ar"/>
              </w:rPr>
            </w:pPr>
            <w:r>
              <w:rPr>
                <w:rFonts w:ascii="Times New Roman" w:hAnsi="Times New Roman" w:cs="Times New Roman"/>
                <w:color w:val="auto"/>
                <w:sz w:val="21"/>
                <w:lang w:eastAsia="zh-CN" w:bidi="ar"/>
              </w:rPr>
              <w:t>W</w:t>
            </w:r>
            <w:r>
              <w:rPr>
                <w:rFonts w:hint="eastAsia" w:ascii="Times New Roman" w:hAnsi="Times New Roman" w:cs="Times New Roman"/>
                <w:color w:val="auto"/>
                <w:sz w:val="21"/>
                <w:lang w:eastAsia="zh-CN" w:bidi="ar"/>
              </w:rPr>
              <w:t>1</w:t>
            </w:r>
            <w:r>
              <w:rPr>
                <w:rFonts w:ascii="Times New Roman" w:hAnsi="Times New Roman" w:cs="Times New Roman"/>
                <w:color w:val="auto"/>
                <w:sz w:val="21"/>
                <w:lang w:eastAsia="zh-CN" w:bidi="ar"/>
              </w:rPr>
              <w:t>~W</w:t>
            </w:r>
            <w:r>
              <w:rPr>
                <w:rFonts w:hint="eastAsia" w:ascii="Times New Roman" w:hAnsi="Times New Roman" w:cs="Times New Roman"/>
                <w:color w:val="auto"/>
                <w:sz w:val="21"/>
                <w:lang w:eastAsia="zh-CN" w:bidi="ar"/>
              </w:rPr>
              <w:t>5</w:t>
            </w:r>
          </w:p>
        </w:tc>
        <w:tc>
          <w:tcPr>
            <w:tcW w:w="436" w:type="pct"/>
            <w:vAlign w:val="center"/>
          </w:tcPr>
          <w:p w14:paraId="7BF71DB2">
            <w:pPr>
              <w:jc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引用数据</w:t>
            </w:r>
          </w:p>
        </w:tc>
        <w:tc>
          <w:tcPr>
            <w:tcW w:w="1747" w:type="pct"/>
            <w:vAlign w:val="center"/>
          </w:tcPr>
          <w:p w14:paraId="523B386A">
            <w:pPr>
              <w:jc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蚌埠</w:t>
            </w:r>
            <w:r>
              <w:rPr>
                <w:rFonts w:hint="eastAsia" w:ascii="Times New Roman" w:hAnsi="Times New Roman" w:cs="Times New Roman"/>
                <w:color w:val="auto"/>
                <w:sz w:val="21"/>
                <w:lang w:eastAsia="zh-CN" w:bidi="ar"/>
              </w:rPr>
              <w:t>精细化工高新技术产业基地环境影响区域评估+</w:t>
            </w:r>
            <w:r>
              <w:rPr>
                <w:rFonts w:ascii="Times New Roman" w:hAnsi="Times New Roman" w:cs="Times New Roman"/>
                <w:color w:val="auto"/>
                <w:sz w:val="21"/>
                <w:lang w:eastAsia="zh-CN" w:bidi="ar"/>
              </w:rPr>
              <w:t>环境标准报告》</w:t>
            </w:r>
          </w:p>
        </w:tc>
        <w:tc>
          <w:tcPr>
            <w:tcW w:w="1497" w:type="pct"/>
            <w:vAlign w:val="center"/>
          </w:tcPr>
          <w:p w14:paraId="44F01300">
            <w:pPr>
              <w:jc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pH、化学需氧量、五日生化需氧量、氨氮、</w:t>
            </w:r>
            <w:r>
              <w:rPr>
                <w:rFonts w:hint="eastAsia" w:ascii="Times New Roman" w:hAnsi="Times New Roman" w:cs="Times New Roman"/>
                <w:color w:val="auto"/>
                <w:sz w:val="21"/>
                <w:lang w:eastAsia="zh-CN" w:bidi="ar"/>
              </w:rPr>
              <w:t>氟化物</w:t>
            </w:r>
          </w:p>
        </w:tc>
        <w:tc>
          <w:tcPr>
            <w:tcW w:w="737" w:type="pct"/>
            <w:vAlign w:val="center"/>
          </w:tcPr>
          <w:p w14:paraId="4915AE55">
            <w:pPr>
              <w:jc w:val="center"/>
              <w:rPr>
                <w:rFonts w:ascii="Times New Roman" w:hAnsi="Times New Roman" w:cs="Times New Roman"/>
                <w:color w:val="auto"/>
                <w:sz w:val="21"/>
                <w:lang w:bidi="ar"/>
              </w:rPr>
            </w:pPr>
            <w:r>
              <w:rPr>
                <w:rFonts w:ascii="Times New Roman" w:hAnsi="Times New Roman" w:cs="Times New Roman"/>
                <w:color w:val="auto"/>
                <w:sz w:val="21"/>
                <w:lang w:bidi="ar"/>
              </w:rPr>
              <w:t>2024</w:t>
            </w:r>
            <w:r>
              <w:rPr>
                <w:rFonts w:ascii="Times New Roman" w:hAnsi="Times New Roman" w:cs="Times New Roman"/>
                <w:color w:val="auto"/>
                <w:sz w:val="21"/>
                <w:lang w:eastAsia="zh-CN" w:bidi="ar"/>
              </w:rPr>
              <w:t>.4.28~4.30</w:t>
            </w:r>
          </w:p>
        </w:tc>
      </w:tr>
    </w:tbl>
    <w:p w14:paraId="74C085B0">
      <w:pPr>
        <w:spacing w:line="360" w:lineRule="auto"/>
        <w:ind w:left="480"/>
        <w:jc w:val="both"/>
        <w:rPr>
          <w:rFonts w:ascii="Times New Roman" w:hAnsi="Times New Roman" w:cs="Times New Roman"/>
          <w:color w:val="auto"/>
          <w:szCs w:val="24"/>
          <w:lang w:eastAsia="zh-CN"/>
        </w:rPr>
      </w:pPr>
      <w:bookmarkStart w:id="1198" w:name="_Hlk218063499"/>
      <w:r>
        <w:rPr>
          <w:rFonts w:hint="eastAsia" w:ascii="Times New Roman" w:hAnsi="Times New Roman" w:cs="Times New Roman"/>
          <w:color w:val="auto"/>
          <w:szCs w:val="24"/>
          <w:lang w:eastAsia="zh-CN"/>
        </w:rPr>
        <w:t>（2）</w:t>
      </w:r>
      <w:r>
        <w:rPr>
          <w:rFonts w:ascii="Times New Roman" w:hAnsi="Times New Roman" w:cs="Times New Roman"/>
          <w:color w:val="auto"/>
          <w:szCs w:val="24"/>
          <w:lang w:eastAsia="zh-CN"/>
        </w:rPr>
        <w:t>监测因子</w:t>
      </w:r>
      <w:bookmarkEnd w:id="1196"/>
      <w:bookmarkEnd w:id="1197"/>
    </w:p>
    <w:p w14:paraId="18D595B8">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监测因子：</w:t>
      </w:r>
      <w:bookmarkStart w:id="1199" w:name="_Hlk176941554"/>
      <w:r>
        <w:rPr>
          <w:rFonts w:ascii="Times New Roman" w:hAnsi="Times New Roman" w:cs="Times New Roman"/>
          <w:color w:val="auto"/>
          <w:szCs w:val="24"/>
          <w:lang w:eastAsia="zh-CN"/>
        </w:rPr>
        <w:t>pH、COD、BOD</w:t>
      </w:r>
      <w:r>
        <w:rPr>
          <w:rFonts w:ascii="Times New Roman" w:hAnsi="Times New Roman" w:cs="Times New Roman"/>
          <w:color w:val="auto"/>
          <w:szCs w:val="24"/>
          <w:vertAlign w:val="subscript"/>
          <w:lang w:eastAsia="zh-CN"/>
        </w:rPr>
        <w:t>5</w:t>
      </w:r>
      <w:r>
        <w:rPr>
          <w:rFonts w:ascii="Times New Roman" w:hAnsi="Times New Roman" w:cs="Times New Roman"/>
          <w:color w:val="auto"/>
          <w:szCs w:val="24"/>
          <w:lang w:eastAsia="zh-CN"/>
        </w:rPr>
        <w:t>、氨氮、</w:t>
      </w:r>
      <w:bookmarkEnd w:id="1199"/>
      <w:r>
        <w:rPr>
          <w:rFonts w:hint="eastAsia" w:ascii="Times New Roman" w:hAnsi="Times New Roman" w:cs="Times New Roman"/>
          <w:color w:val="auto"/>
          <w:szCs w:val="24"/>
          <w:lang w:eastAsia="zh-CN"/>
        </w:rPr>
        <w:t>氟化物</w:t>
      </w:r>
      <w:r>
        <w:rPr>
          <w:rFonts w:ascii="Times New Roman" w:hAnsi="Times New Roman" w:cs="Times New Roman"/>
          <w:color w:val="auto"/>
          <w:szCs w:val="24"/>
          <w:lang w:eastAsia="zh-CN"/>
        </w:rPr>
        <w:t>。</w:t>
      </w:r>
    </w:p>
    <w:p w14:paraId="54DD7328">
      <w:pPr>
        <w:spacing w:line="360" w:lineRule="auto"/>
        <w:ind w:left="480"/>
        <w:jc w:val="both"/>
        <w:rPr>
          <w:rFonts w:ascii="Times New Roman" w:hAnsi="Times New Roman" w:cs="Times New Roman"/>
          <w:color w:val="auto"/>
          <w:szCs w:val="24"/>
          <w:lang w:eastAsia="zh-CN"/>
        </w:rPr>
      </w:pPr>
      <w:bookmarkStart w:id="1200" w:name="_Toc28597"/>
      <w:bookmarkStart w:id="1201" w:name="_Toc10125"/>
      <w:r>
        <w:rPr>
          <w:rFonts w:hint="eastAsia" w:ascii="Times New Roman" w:hAnsi="Times New Roman" w:cs="Times New Roman"/>
          <w:color w:val="auto"/>
          <w:szCs w:val="24"/>
          <w:lang w:eastAsia="zh-CN"/>
        </w:rPr>
        <w:t>（3）</w:t>
      </w:r>
      <w:r>
        <w:rPr>
          <w:rFonts w:ascii="Times New Roman" w:hAnsi="Times New Roman" w:cs="Times New Roman"/>
          <w:color w:val="auto"/>
          <w:szCs w:val="24"/>
          <w:lang w:eastAsia="zh-CN"/>
        </w:rPr>
        <w:t>监测时间及频次</w:t>
      </w:r>
      <w:bookmarkEnd w:id="1200"/>
      <w:bookmarkEnd w:id="1201"/>
    </w:p>
    <w:p w14:paraId="4E97B207">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连续监测三天，</w:t>
      </w:r>
      <w:r>
        <w:rPr>
          <w:rFonts w:ascii="Times New Roman" w:hAnsi="Times New Roman" w:cs="Times New Roman"/>
          <w:snapToGrid/>
          <w:color w:val="auto"/>
          <w:kern w:val="2"/>
          <w:szCs w:val="22"/>
          <w:lang w:eastAsia="zh-CN"/>
        </w:rPr>
        <w:t>每天采样1次</w:t>
      </w:r>
      <w:r>
        <w:rPr>
          <w:rFonts w:ascii="Times New Roman" w:hAnsi="Times New Roman" w:cs="Times New Roman"/>
          <w:color w:val="auto"/>
          <w:szCs w:val="24"/>
          <w:lang w:eastAsia="zh-CN"/>
        </w:rPr>
        <w:t>。</w:t>
      </w:r>
    </w:p>
    <w:p w14:paraId="2C9590FC">
      <w:pPr>
        <w:spacing w:line="360" w:lineRule="auto"/>
        <w:ind w:firstLine="480" w:firstLineChars="200"/>
        <w:jc w:val="both"/>
        <w:rPr>
          <w:rFonts w:ascii="Times New Roman" w:hAnsi="Times New Roman" w:cs="Times New Roman"/>
          <w:color w:val="auto"/>
          <w:szCs w:val="24"/>
          <w:lang w:eastAsia="zh-CN"/>
        </w:rPr>
      </w:pPr>
      <w:bookmarkStart w:id="1202" w:name="_Toc24409"/>
      <w:r>
        <w:rPr>
          <w:rFonts w:ascii="Times New Roman" w:hAnsi="Times New Roman" w:cs="Times New Roman"/>
          <w:color w:val="auto"/>
          <w:szCs w:val="24"/>
          <w:lang w:eastAsia="zh-CN"/>
        </w:rPr>
        <w:t>（4）采样及分析方法</w:t>
      </w:r>
      <w:bookmarkEnd w:id="1202"/>
    </w:p>
    <w:p w14:paraId="00E7D03E">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水质采样执行《水质 采样方案设计技术规定》（HJ495-2009）、《水质 采样技术指导》（HJ494-2009）、《水质采样 样品的保存和管理技术规定》（HJ493-2009）；样品的分析方法按《地表水环境质量标准》（GB3838-2002）。</w:t>
      </w:r>
    </w:p>
    <w:bookmarkEnd w:id="1198"/>
    <w:p w14:paraId="711ED145">
      <w:pPr>
        <w:widowControl w:val="0"/>
        <w:spacing w:line="360" w:lineRule="auto"/>
        <w:jc w:val="center"/>
        <w:rPr>
          <w:rFonts w:ascii="Times New Roman" w:hAnsi="Times New Roman" w:cs="Times New Roman"/>
          <w:color w:val="auto"/>
          <w:szCs w:val="24"/>
          <w:lang w:eastAsia="zh-CN"/>
        </w:rPr>
      </w:pPr>
      <w:r>
        <w:rPr>
          <w:rFonts w:ascii="Times New Roman" w:hAnsi="Times New Roman" w:cs="Times New Roman"/>
          <w:b/>
          <w:bCs/>
          <w:snapToGrid/>
          <w:color w:val="auto"/>
          <w:lang w:eastAsia="zh-CN"/>
        </w:rPr>
        <mc:AlternateContent>
          <mc:Choice Requires="wps">
            <w:drawing>
              <wp:anchor distT="0" distB="0" distL="114300" distR="114300" simplePos="0" relativeHeight="251897856" behindDoc="0" locked="0" layoutInCell="1" allowOverlap="1">
                <wp:simplePos x="0" y="0"/>
                <wp:positionH relativeFrom="column">
                  <wp:posOffset>2891790</wp:posOffset>
                </wp:positionH>
                <wp:positionV relativeFrom="paragraph">
                  <wp:posOffset>3172460</wp:posOffset>
                </wp:positionV>
                <wp:extent cx="1110615" cy="314325"/>
                <wp:effectExtent l="133350" t="0" r="13335" b="561975"/>
                <wp:wrapNone/>
                <wp:docPr id="1594417056" name="圆角矩形标注 5"/>
                <wp:cNvGraphicFramePr/>
                <a:graphic xmlns:a="http://schemas.openxmlformats.org/drawingml/2006/main">
                  <a:graphicData uri="http://schemas.microsoft.com/office/word/2010/wordprocessingShape">
                    <wps:wsp>
                      <wps:cNvSpPr>
                        <a:spLocks noChangeArrowheads="1"/>
                      </wps:cNvSpPr>
                      <wps:spPr bwMode="auto">
                        <a:xfrm>
                          <a:off x="0" y="0"/>
                          <a:ext cx="1110615" cy="314325"/>
                        </a:xfrm>
                        <a:prstGeom prst="wedgeRoundRectCallout">
                          <a:avLst>
                            <a:gd name="adj1" fmla="val -58924"/>
                            <a:gd name="adj2" fmla="val 200402"/>
                            <a:gd name="adj3" fmla="val 16667"/>
                          </a:avLst>
                        </a:prstGeom>
                        <a:solidFill>
                          <a:srgbClr val="4874CB"/>
                        </a:solidFill>
                        <a:ln w="12700">
                          <a:solidFill>
                            <a:srgbClr val="2E54A1"/>
                          </a:solidFill>
                          <a:miter lim="800000"/>
                        </a:ln>
                      </wps:spPr>
                      <wps:txbx>
                        <w:txbxContent>
                          <w:p w14:paraId="3648F699">
                            <w:pPr>
                              <w:jc w:val="center"/>
                              <w:rPr>
                                <w:b/>
                                <w:bCs/>
                                <w:color w:val="FFFFFF"/>
                                <w:lang w:eastAsia="zh-CN"/>
                              </w:rPr>
                            </w:pPr>
                            <w:r>
                              <w:rPr>
                                <w:rFonts w:hint="eastAsia"/>
                                <w:b/>
                                <w:bCs/>
                                <w:color w:val="FFFFFF"/>
                                <w:lang w:eastAsia="zh-CN"/>
                              </w:rPr>
                              <w:t>污水处理厂</w:t>
                            </w:r>
                          </w:p>
                        </w:txbxContent>
                      </wps:txbx>
                      <wps:bodyPr rot="0" vert="horz" wrap="square" lIns="91440" tIns="45720" rIns="91440" bIns="45720" anchor="ctr" anchorCtr="0" upright="1">
                        <a:noAutofit/>
                      </wps:bodyPr>
                    </wps:wsp>
                  </a:graphicData>
                </a:graphic>
              </wp:anchor>
            </w:drawing>
          </mc:Choice>
          <mc:Fallback>
            <w:pict>
              <v:shape id="圆角矩形标注 5" o:spid="_x0000_s1026" o:spt="62" type="#_x0000_t62" style="position:absolute;left:0pt;margin-left:227.7pt;margin-top:249.8pt;height:24.75pt;width:87.45pt;z-index:251897856;v-text-anchor:middle;mso-width-relative:page;mso-height-relative:page;" fillcolor="#4874CB" filled="t" stroked="t" coordsize="21600,21600" o:gfxdata="UEsDBAoAAAAAAIdO4kAAAAAAAAAAAAAAAAAEAAAAZHJzL1BLAwQUAAAACACHTuJA/e+xH9oAAAAL&#10;AQAADwAAAGRycy9kb3ducmV2LnhtbE2PTU/DMAyG75P4D5GRuEwsKWvLWppOCIkjhw04cMtS05Y1&#10;Tmmyr3+POcHNlh+9ft5qfXaDOOIUek8akoUCgWR901Or4e31+XYFIkRDjRk8oYYLBljXV7PKlI0/&#10;0QaP29gKDqFQGg1djGMpZbAdOhMWfkTi26efnIm8Tq1sJnPicDfIO6Vy6UxP/KEzIz51aPfbg9Pw&#10;fkk/vh/nrlD7eRhf7r9WwVur9c11oh5ARDzHPxh+9Vkdanba+QM1QQwa0ixLGeWhKHIQTORLtQSx&#10;05ClRQKyruT/DvUPUEsDBBQAAAAIAIdO4kAFVWfemgIAABoFAAAOAAAAZHJzL2Uyb0RvYy54bWyt&#10;VM1u1DAQviPxDpbvbX6a7G6jZquypQipQNXCA3gdJzE4trG9my0PAHfOSCAuwJkzj9PCYzBx0pK2&#10;lx7IIfJkxt/MN99M9vY3jUBrZixXMsfRdogRk1QVXFY5fvXyaGuGkXVEFkQoyXJ8zizenz98sNfq&#10;jMWqVqJgBgGItFmrc1w7p7MgsLRmDbHbSjMJzlKZhjgwTRUUhrSA3oggDsNJ0CpTaKMosxa+HvZO&#10;PCCa+wCqsuSUHSq6aph0PaphgjigZGuuLZ77asuSUfeiLC1zSOQYmDr/hiRwXnbvYL5HssoQXXM6&#10;lEDuU8ItTg3hEpJeQx0SR9DK8DtQDadGWVW6baqaoCfiOwIsovBWb85qopnnAq22+rrp9v/B0ufr&#10;E4N4AZOQ7iZJNA3TCUaSNKD8xaf3f759/P35x8Wvr5dfPlz+/I7SrmGtthncO9MnpqNs9bGibyyS&#10;alETWbEDY1RbM1JAmVEXH9y40BkWrqJl+0wVkIasnPK925Sm6QChK2jjJTq/lohtHKLwMYqicBKl&#10;GFHw7UTJTuxLCkh2dVsb654w1aDukOOWFRU7VStZnMIwLIgQauV8OrI+ts5rVgyESfE6wqhsBIzA&#10;mgi0lc5242SYkVFQPA6CmU7C+G7QzjgomkwmU98Lkg15oeSrUn0XleDFERfCG6ZaLoRBUESOk9k0&#10;WTwaLttxmJCohZbE0zD0jG447RgjfpwmB70YINgYo+EO1lnwJsezsHuGREIOwnVa9Zq7zXIzyL9U&#10;xTlIaFS/UPA7gUOtzDuMWlimHNu3K2IYRuKphDHYjZKk2z5vJOk0BsOMPcuxh0gKUDmmzmDUGwvX&#10;7+xKG17VkCvyhKU6gOEpubuasr6uoXJYGTjd2Mmx7aP+/dL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D977Ef2gAAAAsBAAAPAAAAAAAAAAEAIAAAACIAAABkcnMvZG93bnJldi54bWxQSwECFAAU&#10;AAAACACHTuJABVVn3poCAAAaBQAADgAAAAAAAAABACAAAAApAQAAZHJzL2Uyb0RvYy54bWxQSwUG&#10;AAAAAAYABgBZAQAANQYAAAAA&#10;" adj="-1928,54087,14400">
                <v:fill on="t" focussize="0,0"/>
                <v:stroke weight="1pt" color="#2E54A1" miterlimit="8" joinstyle="miter"/>
                <v:imagedata o:title=""/>
                <o:lock v:ext="edit" aspectratio="f"/>
                <v:textbox>
                  <w:txbxContent>
                    <w:p w14:paraId="3648F699">
                      <w:pPr>
                        <w:jc w:val="center"/>
                        <w:rPr>
                          <w:b/>
                          <w:bCs/>
                          <w:color w:val="FFFFFF"/>
                          <w:lang w:eastAsia="zh-CN"/>
                        </w:rPr>
                      </w:pPr>
                      <w:r>
                        <w:rPr>
                          <w:rFonts w:hint="eastAsia"/>
                          <w:b/>
                          <w:bCs/>
                          <w:color w:val="FFFFFF"/>
                          <w:lang w:eastAsia="zh-CN"/>
                        </w:rPr>
                        <w:t>污水处理厂</w:t>
                      </w:r>
                    </w:p>
                  </w:txbxContent>
                </v:textbox>
              </v:shape>
            </w:pict>
          </mc:Fallback>
        </mc:AlternateContent>
      </w:r>
      <w:r>
        <w:rPr>
          <w:rFonts w:ascii="Times New Roman" w:hAnsi="Times New Roman" w:cs="Times New Roman"/>
          <w:b/>
          <w:bCs/>
          <w:snapToGrid/>
          <w:color w:val="FF0000"/>
          <w:szCs w:val="24"/>
          <w:lang w:eastAsia="zh-CN"/>
        </w:rPr>
        <mc:AlternateContent>
          <mc:Choice Requires="wpg">
            <w:drawing>
              <wp:anchor distT="0" distB="0" distL="114300" distR="114300" simplePos="0" relativeHeight="251752448" behindDoc="0" locked="0" layoutInCell="1" allowOverlap="1">
                <wp:simplePos x="0" y="0"/>
                <wp:positionH relativeFrom="margin">
                  <wp:posOffset>-71120</wp:posOffset>
                </wp:positionH>
                <wp:positionV relativeFrom="paragraph">
                  <wp:posOffset>2506345</wp:posOffset>
                </wp:positionV>
                <wp:extent cx="4526915" cy="4108450"/>
                <wp:effectExtent l="0" t="19050" r="26035" b="6985"/>
                <wp:wrapNone/>
                <wp:docPr id="421278994" name="组合 821"/>
                <wp:cNvGraphicFramePr/>
                <a:graphic xmlns:a="http://schemas.openxmlformats.org/drawingml/2006/main">
                  <a:graphicData uri="http://schemas.microsoft.com/office/word/2010/wordprocessingGroup">
                    <wpg:wgp>
                      <wpg:cNvGrpSpPr/>
                      <wpg:grpSpPr>
                        <a:xfrm>
                          <a:off x="0" y="0"/>
                          <a:ext cx="4526915" cy="4108367"/>
                          <a:chOff x="5257" y="2188394"/>
                          <a:chExt cx="7340" cy="6858"/>
                        </a:xfrm>
                      </wpg:grpSpPr>
                      <wps:wsp>
                        <wps:cNvPr id="515450034" name="直接连接符 18"/>
                        <wps:cNvCnPr>
                          <a:cxnSpLocks noChangeShapeType="1"/>
                        </wps:cNvCnPr>
                        <wps:spPr bwMode="auto">
                          <a:xfrm flipH="1">
                            <a:off x="5440" y="2190931"/>
                            <a:ext cx="844" cy="1149"/>
                          </a:xfrm>
                          <a:prstGeom prst="line">
                            <a:avLst/>
                          </a:prstGeom>
                          <a:noFill/>
                          <a:ln w="9525">
                            <a:solidFill>
                              <a:srgbClr val="EE0000"/>
                            </a:solidFill>
                            <a:round/>
                            <a:headEnd type="triangle" w="med" len="med"/>
                            <a:tailEnd type="triangle" w="med" len="med"/>
                          </a:ln>
                        </wps:spPr>
                        <wps:bodyPr/>
                      </wps:wsp>
                      <wps:wsp>
                        <wps:cNvPr id="1094361642" name="直接连接符 19"/>
                        <wps:cNvCnPr>
                          <a:cxnSpLocks noChangeShapeType="1"/>
                        </wps:cNvCnPr>
                        <wps:spPr bwMode="auto">
                          <a:xfrm flipH="1">
                            <a:off x="6466" y="2191930"/>
                            <a:ext cx="951" cy="1221"/>
                          </a:xfrm>
                          <a:prstGeom prst="line">
                            <a:avLst/>
                          </a:prstGeom>
                          <a:noFill/>
                          <a:ln w="9525">
                            <a:solidFill>
                              <a:srgbClr val="EE0000"/>
                            </a:solidFill>
                            <a:round/>
                            <a:headEnd type="triangle" w="med" len="med"/>
                            <a:tailEnd type="triangle" w="med" len="med"/>
                          </a:ln>
                        </wps:spPr>
                        <wps:bodyPr/>
                      </wps:wsp>
                      <wps:wsp>
                        <wps:cNvPr id="579214654" name="直接连接符 23"/>
                        <wps:cNvCnPr>
                          <a:cxnSpLocks noChangeShapeType="1"/>
                        </wps:cNvCnPr>
                        <wps:spPr bwMode="auto">
                          <a:xfrm flipH="1">
                            <a:off x="7923" y="2190437"/>
                            <a:ext cx="75" cy="774"/>
                          </a:xfrm>
                          <a:prstGeom prst="line">
                            <a:avLst/>
                          </a:prstGeom>
                          <a:noFill/>
                          <a:ln w="9525">
                            <a:solidFill>
                              <a:srgbClr val="EE0000"/>
                            </a:solidFill>
                            <a:round/>
                            <a:headEnd type="triangle" w="med" len="med"/>
                            <a:tailEnd type="triangle" w="med" len="med"/>
                          </a:ln>
                        </wps:spPr>
                        <wps:bodyPr/>
                      </wps:wsp>
                      <wps:wsp>
                        <wps:cNvPr id="1915972722" name="直接连接符 24"/>
                        <wps:cNvCnPr>
                          <a:cxnSpLocks noChangeShapeType="1"/>
                        </wps:cNvCnPr>
                        <wps:spPr bwMode="auto">
                          <a:xfrm>
                            <a:off x="7008" y="2189945"/>
                            <a:ext cx="879" cy="265"/>
                          </a:xfrm>
                          <a:prstGeom prst="line">
                            <a:avLst/>
                          </a:prstGeom>
                          <a:noFill/>
                          <a:ln w="9525">
                            <a:solidFill>
                              <a:srgbClr val="EE0000"/>
                            </a:solidFill>
                            <a:round/>
                            <a:headEnd type="triangle" w="med" len="med"/>
                            <a:tailEnd type="triangle" w="med" len="med"/>
                          </a:ln>
                        </wps:spPr>
                        <wps:bodyPr/>
                      </wps:wsp>
                      <wps:wsp>
                        <wps:cNvPr id="815638245" name="矩形 27"/>
                        <wps:cNvSpPr>
                          <a:spLocks noChangeArrowheads="1"/>
                        </wps:cNvSpPr>
                        <wps:spPr bwMode="auto">
                          <a:xfrm>
                            <a:off x="6007" y="2192977"/>
                            <a:ext cx="711" cy="426"/>
                          </a:xfrm>
                          <a:prstGeom prst="rect">
                            <a:avLst/>
                          </a:prstGeom>
                          <a:noFill/>
                          <a:ln>
                            <a:noFill/>
                          </a:ln>
                        </wps:spPr>
                        <wps:txbx>
                          <w:txbxContent>
                            <w:p w14:paraId="32F60479">
                              <w:pPr>
                                <w:rPr>
                                  <w:b/>
                                  <w:bCs/>
                                  <w:color w:val="FF0000"/>
                                  <w:sz w:val="21"/>
                                  <w:lang w:eastAsia="zh-CN"/>
                                </w:rPr>
                              </w:pPr>
                              <w:r>
                                <w:rPr>
                                  <w:rFonts w:hint="eastAsia"/>
                                  <w:b/>
                                  <w:bCs/>
                                  <w:color w:val="FF0000"/>
                                  <w:sz w:val="21"/>
                                </w:rPr>
                                <w:t>W</w:t>
                              </w:r>
                              <w:r>
                                <w:rPr>
                                  <w:rFonts w:hint="eastAsia"/>
                                  <w:b/>
                                  <w:bCs/>
                                  <w:color w:val="FF0000"/>
                                  <w:sz w:val="21"/>
                                  <w:lang w:eastAsia="zh-CN"/>
                                </w:rPr>
                                <w:t>4</w:t>
                              </w:r>
                            </w:p>
                          </w:txbxContent>
                        </wps:txbx>
                        <wps:bodyPr rot="0" vert="horz" wrap="square" lIns="91440" tIns="45720" rIns="91440" bIns="45720" anchor="t" anchorCtr="0" upright="1">
                          <a:noAutofit/>
                        </wps:bodyPr>
                      </wps:wsp>
                      <wps:wsp>
                        <wps:cNvPr id="1245400532" name="矩形 28"/>
                        <wps:cNvSpPr>
                          <a:spLocks noChangeArrowheads="1"/>
                        </wps:cNvSpPr>
                        <wps:spPr bwMode="auto">
                          <a:xfrm>
                            <a:off x="5257" y="2192132"/>
                            <a:ext cx="818" cy="450"/>
                          </a:xfrm>
                          <a:prstGeom prst="rect">
                            <a:avLst/>
                          </a:prstGeom>
                          <a:noFill/>
                          <a:ln>
                            <a:noFill/>
                          </a:ln>
                        </wps:spPr>
                        <wps:txbx>
                          <w:txbxContent>
                            <w:p w14:paraId="2C89F0C7">
                              <w:pPr>
                                <w:rPr>
                                  <w:b/>
                                  <w:bCs/>
                                  <w:color w:val="FF0000"/>
                                  <w:sz w:val="21"/>
                                  <w:lang w:eastAsia="zh-CN"/>
                                </w:rPr>
                              </w:pPr>
                              <w:r>
                                <w:rPr>
                                  <w:rFonts w:hint="eastAsia"/>
                                  <w:b/>
                                  <w:bCs/>
                                  <w:color w:val="FF0000"/>
                                  <w:sz w:val="21"/>
                                </w:rPr>
                                <w:t>W</w:t>
                              </w:r>
                              <w:r>
                                <w:rPr>
                                  <w:rFonts w:hint="eastAsia"/>
                                  <w:b/>
                                  <w:bCs/>
                                  <w:color w:val="FF0000"/>
                                  <w:sz w:val="21"/>
                                  <w:lang w:eastAsia="zh-CN"/>
                                </w:rPr>
                                <w:t>3</w:t>
                              </w:r>
                            </w:p>
                          </w:txbxContent>
                        </wps:txbx>
                        <wps:bodyPr rot="0" vert="horz" wrap="square" lIns="91440" tIns="45720" rIns="91440" bIns="45720" anchor="t" anchorCtr="0" upright="1">
                          <a:noAutofit/>
                        </wps:bodyPr>
                      </wps:wsp>
                      <wps:wsp>
                        <wps:cNvPr id="357413466" name="直接连接符 29"/>
                        <wps:cNvCnPr>
                          <a:cxnSpLocks noChangeShapeType="1"/>
                        </wps:cNvCnPr>
                        <wps:spPr bwMode="auto">
                          <a:xfrm flipH="1">
                            <a:off x="7940" y="2193506"/>
                            <a:ext cx="1395" cy="1558"/>
                          </a:xfrm>
                          <a:prstGeom prst="line">
                            <a:avLst/>
                          </a:prstGeom>
                          <a:noFill/>
                          <a:ln w="9525">
                            <a:solidFill>
                              <a:srgbClr val="EE0000"/>
                            </a:solidFill>
                            <a:round/>
                            <a:headEnd type="triangle" w="med" len="med"/>
                            <a:tailEnd type="triangle" w="med" len="med"/>
                          </a:ln>
                        </wps:spPr>
                        <wps:bodyPr/>
                      </wps:wsp>
                      <wps:wsp>
                        <wps:cNvPr id="2103739456" name="矩形 30"/>
                        <wps:cNvSpPr>
                          <a:spLocks noChangeArrowheads="1"/>
                        </wps:cNvSpPr>
                        <wps:spPr bwMode="auto">
                          <a:xfrm>
                            <a:off x="7348" y="2194826"/>
                            <a:ext cx="711" cy="426"/>
                          </a:xfrm>
                          <a:prstGeom prst="rect">
                            <a:avLst/>
                          </a:prstGeom>
                          <a:noFill/>
                          <a:ln>
                            <a:noFill/>
                          </a:ln>
                        </wps:spPr>
                        <wps:txbx>
                          <w:txbxContent>
                            <w:p w14:paraId="2B2DD1D4">
                              <w:pPr>
                                <w:rPr>
                                  <w:b/>
                                  <w:bCs/>
                                  <w:color w:val="FF0000"/>
                                  <w:sz w:val="21"/>
                                  <w:lang w:eastAsia="zh-CN"/>
                                </w:rPr>
                              </w:pPr>
                              <w:r>
                                <w:rPr>
                                  <w:rFonts w:hint="eastAsia"/>
                                  <w:b/>
                                  <w:bCs/>
                                  <w:color w:val="FF0000"/>
                                  <w:sz w:val="21"/>
                                </w:rPr>
                                <w:t>W</w:t>
                              </w:r>
                              <w:r>
                                <w:rPr>
                                  <w:rFonts w:hint="eastAsia"/>
                                  <w:b/>
                                  <w:bCs/>
                                  <w:color w:val="FF0000"/>
                                  <w:sz w:val="21"/>
                                  <w:lang w:eastAsia="zh-CN"/>
                                </w:rPr>
                                <w:t>5</w:t>
                              </w:r>
                            </w:p>
                          </w:txbxContent>
                        </wps:txbx>
                        <wps:bodyPr rot="0" vert="horz" wrap="square" lIns="91440" tIns="45720" rIns="91440" bIns="45720" anchor="t" anchorCtr="0" upright="1">
                          <a:noAutofit/>
                        </wps:bodyPr>
                      </wps:wsp>
                      <wps:wsp>
                        <wps:cNvPr id="996287872" name="矩形 31"/>
                        <wps:cNvSpPr>
                          <a:spLocks noChangeArrowheads="1"/>
                        </wps:cNvSpPr>
                        <wps:spPr bwMode="auto">
                          <a:xfrm>
                            <a:off x="6439" y="2189843"/>
                            <a:ext cx="794" cy="450"/>
                          </a:xfrm>
                          <a:prstGeom prst="rect">
                            <a:avLst/>
                          </a:prstGeom>
                          <a:noFill/>
                          <a:ln>
                            <a:noFill/>
                          </a:ln>
                        </wps:spPr>
                        <wps:txbx>
                          <w:txbxContent>
                            <w:p w14:paraId="4398BCAB">
                              <w:pPr>
                                <w:rPr>
                                  <w:b/>
                                  <w:bCs/>
                                  <w:color w:val="FF0000"/>
                                  <w:sz w:val="21"/>
                                  <w:lang w:eastAsia="zh-CN"/>
                                </w:rPr>
                              </w:pPr>
                              <w:r>
                                <w:rPr>
                                  <w:rFonts w:hint="eastAsia"/>
                                  <w:b/>
                                  <w:bCs/>
                                  <w:color w:val="FF0000"/>
                                  <w:sz w:val="21"/>
                                </w:rPr>
                                <w:t>W</w:t>
                              </w:r>
                              <w:r>
                                <w:rPr>
                                  <w:rFonts w:hint="eastAsia"/>
                                  <w:b/>
                                  <w:bCs/>
                                  <w:color w:val="FF0000"/>
                                  <w:sz w:val="21"/>
                                  <w:lang w:eastAsia="zh-CN"/>
                                </w:rPr>
                                <w:t>2</w:t>
                              </w:r>
                            </w:p>
                          </w:txbxContent>
                        </wps:txbx>
                        <wps:bodyPr rot="0" vert="horz" wrap="square" lIns="91440" tIns="45720" rIns="91440" bIns="45720" anchor="t" anchorCtr="0" upright="1">
                          <a:noAutofit/>
                        </wps:bodyPr>
                      </wps:wsp>
                      <wps:wsp>
                        <wps:cNvPr id="2127525947" name="矩形 32"/>
                        <wps:cNvSpPr>
                          <a:spLocks noChangeArrowheads="1"/>
                        </wps:cNvSpPr>
                        <wps:spPr bwMode="auto">
                          <a:xfrm>
                            <a:off x="7747" y="2191151"/>
                            <a:ext cx="794" cy="450"/>
                          </a:xfrm>
                          <a:prstGeom prst="rect">
                            <a:avLst/>
                          </a:prstGeom>
                          <a:noFill/>
                          <a:ln>
                            <a:noFill/>
                          </a:ln>
                        </wps:spPr>
                        <wps:txbx>
                          <w:txbxContent>
                            <w:p w14:paraId="49F88799">
                              <w:pPr>
                                <w:rPr>
                                  <w:b/>
                                  <w:bCs/>
                                  <w:color w:val="FF0000"/>
                                  <w:sz w:val="21"/>
                                  <w:lang w:eastAsia="zh-CN"/>
                                </w:rPr>
                              </w:pPr>
                              <w:r>
                                <w:rPr>
                                  <w:rFonts w:hint="eastAsia"/>
                                  <w:b/>
                                  <w:bCs/>
                                  <w:color w:val="FF0000"/>
                                  <w:sz w:val="21"/>
                                </w:rPr>
                                <w:t>W</w:t>
                              </w:r>
                              <w:r>
                                <w:rPr>
                                  <w:rFonts w:hint="eastAsia"/>
                                  <w:b/>
                                  <w:bCs/>
                                  <w:color w:val="FF0000"/>
                                  <w:sz w:val="21"/>
                                  <w:lang w:eastAsia="zh-CN"/>
                                </w:rPr>
                                <w:t>1</w:t>
                              </w:r>
                            </w:p>
                          </w:txbxContent>
                        </wps:txbx>
                        <wps:bodyPr rot="0" vert="horz" wrap="square" lIns="91440" tIns="45720" rIns="91440" bIns="45720" anchor="t" anchorCtr="0" upright="1">
                          <a:noAutofit/>
                        </wps:bodyPr>
                      </wps:wsp>
                      <wps:wsp>
                        <wps:cNvPr id="845526331" name="任意多边形 34"/>
                        <wps:cNvSpPr/>
                        <wps:spPr bwMode="auto">
                          <a:xfrm>
                            <a:off x="7247" y="2188394"/>
                            <a:ext cx="1683" cy="2383"/>
                          </a:xfrm>
                          <a:custGeom>
                            <a:avLst/>
                            <a:gdLst>
                              <a:gd name="T0" fmla="*/ 1853 w 1853"/>
                              <a:gd name="T1" fmla="*/ 0 h 2445"/>
                              <a:gd name="T2" fmla="*/ 1097 w 1853"/>
                              <a:gd name="T3" fmla="*/ 456 h 2445"/>
                              <a:gd name="T4" fmla="*/ 353 w 1853"/>
                              <a:gd name="T5" fmla="*/ 1367 h 2445"/>
                              <a:gd name="T6" fmla="*/ 65 w 1853"/>
                              <a:gd name="T7" fmla="*/ 2231 h 2445"/>
                              <a:gd name="T8" fmla="*/ 29 w 1853"/>
                              <a:gd name="T9" fmla="*/ 2436 h 2445"/>
                              <a:gd name="T10" fmla="*/ 0 w 1853"/>
                              <a:gd name="T11" fmla="*/ 0 h 2445"/>
                              <a:gd name="T12" fmla="*/ 1853 w 1853"/>
                              <a:gd name="T13" fmla="*/ 2445 h 2445"/>
                            </a:gdLst>
                            <a:ahLst/>
                            <a:cxnLst>
                              <a:cxn ang="0">
                                <a:pos x="T0" y="T1"/>
                              </a:cxn>
                              <a:cxn ang="0">
                                <a:pos x="T2" y="T3"/>
                              </a:cxn>
                              <a:cxn ang="0">
                                <a:pos x="T4" y="T5"/>
                              </a:cxn>
                              <a:cxn ang="0">
                                <a:pos x="T6" y="T7"/>
                              </a:cxn>
                              <a:cxn ang="0">
                                <a:pos x="T8" y="T9"/>
                              </a:cxn>
                            </a:cxnLst>
                            <a:rect l="T10" t="T11" r="T12" b="T13"/>
                            <a:pathLst>
                              <a:path w="1853" h="2445">
                                <a:moveTo>
                                  <a:pt x="1853" y="0"/>
                                </a:moveTo>
                                <a:cubicBezTo>
                                  <a:pt x="1717" y="73"/>
                                  <a:pt x="1397" y="183"/>
                                  <a:pt x="1097" y="456"/>
                                </a:cubicBezTo>
                                <a:cubicBezTo>
                                  <a:pt x="797" y="729"/>
                                  <a:pt x="559" y="1012"/>
                                  <a:pt x="353" y="1367"/>
                                </a:cubicBezTo>
                                <a:cubicBezTo>
                                  <a:pt x="147" y="1722"/>
                                  <a:pt x="130" y="2017"/>
                                  <a:pt x="65" y="2231"/>
                                </a:cubicBezTo>
                                <a:cubicBezTo>
                                  <a:pt x="0" y="2445"/>
                                  <a:pt x="31" y="2373"/>
                                  <a:pt x="29" y="2436"/>
                                </a:cubicBezTo>
                              </a:path>
                            </a:pathLst>
                          </a:custGeom>
                          <a:noFill/>
                          <a:ln w="28575" cmpd="sng">
                            <a:solidFill>
                              <a:srgbClr val="00B0F0"/>
                            </a:solidFill>
                            <a:round/>
                          </a:ln>
                        </wps:spPr>
                        <wps:bodyPr rot="0" vert="horz" wrap="square" lIns="91440" tIns="45720" rIns="91440" bIns="45720" anchor="t" anchorCtr="0" upright="1">
                          <a:noAutofit/>
                        </wps:bodyPr>
                      </wps:wsp>
                      <wps:wsp>
                        <wps:cNvPr id="1120096855" name="任意多边形 35"/>
                        <wps:cNvSpPr/>
                        <wps:spPr bwMode="auto">
                          <a:xfrm>
                            <a:off x="6572" y="2190722"/>
                            <a:ext cx="6025" cy="1110"/>
                          </a:xfrm>
                          <a:custGeom>
                            <a:avLst/>
                            <a:gdLst>
                              <a:gd name="T0" fmla="*/ 6072 w 6072"/>
                              <a:gd name="T1" fmla="*/ 799 h 1110"/>
                              <a:gd name="T2" fmla="*/ 4128 w 6072"/>
                              <a:gd name="T3" fmla="*/ 679 h 1110"/>
                              <a:gd name="T4" fmla="*/ 3132 w 6072"/>
                              <a:gd name="T5" fmla="*/ 463 h 1110"/>
                              <a:gd name="T6" fmla="*/ 1116 w 6072"/>
                              <a:gd name="T7" fmla="*/ 115 h 1110"/>
                              <a:gd name="T8" fmla="*/ 492 w 6072"/>
                              <a:gd name="T9" fmla="*/ 199 h 1110"/>
                              <a:gd name="T10" fmla="*/ 0 w 6072"/>
                              <a:gd name="T11" fmla="*/ 1110 h 1110"/>
                              <a:gd name="T12" fmla="*/ 0 w 6072"/>
                              <a:gd name="T13" fmla="*/ 0 h 1110"/>
                              <a:gd name="T14" fmla="*/ 6072 w 6072"/>
                              <a:gd name="T15" fmla="*/ 1110 h 1110"/>
                            </a:gdLst>
                            <a:ahLst/>
                            <a:cxnLst>
                              <a:cxn ang="0">
                                <a:pos x="T0" y="T1"/>
                              </a:cxn>
                              <a:cxn ang="0">
                                <a:pos x="T2" y="T3"/>
                              </a:cxn>
                              <a:cxn ang="0">
                                <a:pos x="T4" y="T5"/>
                              </a:cxn>
                              <a:cxn ang="0">
                                <a:pos x="T6" y="T7"/>
                              </a:cxn>
                              <a:cxn ang="0">
                                <a:pos x="T8" y="T9"/>
                              </a:cxn>
                              <a:cxn ang="0">
                                <a:pos x="T10" y="T11"/>
                              </a:cxn>
                            </a:cxnLst>
                            <a:rect l="T12" t="T13" r="T14" b="T15"/>
                            <a:pathLst>
                              <a:path w="6072" h="1110">
                                <a:moveTo>
                                  <a:pt x="6072" y="799"/>
                                </a:moveTo>
                                <a:cubicBezTo>
                                  <a:pt x="5703" y="779"/>
                                  <a:pt x="4716" y="746"/>
                                  <a:pt x="4128" y="679"/>
                                </a:cubicBezTo>
                                <a:cubicBezTo>
                                  <a:pt x="3540" y="612"/>
                                  <a:pt x="3734" y="576"/>
                                  <a:pt x="3132" y="463"/>
                                </a:cubicBezTo>
                                <a:cubicBezTo>
                                  <a:pt x="2530" y="350"/>
                                  <a:pt x="1644" y="168"/>
                                  <a:pt x="1116" y="115"/>
                                </a:cubicBezTo>
                                <a:cubicBezTo>
                                  <a:pt x="588" y="62"/>
                                  <a:pt x="715" y="0"/>
                                  <a:pt x="492" y="199"/>
                                </a:cubicBezTo>
                                <a:cubicBezTo>
                                  <a:pt x="269" y="398"/>
                                  <a:pt x="106" y="861"/>
                                  <a:pt x="0" y="1110"/>
                                </a:cubicBezTo>
                              </a:path>
                            </a:pathLst>
                          </a:custGeom>
                          <a:noFill/>
                          <a:ln w="19050" cmpd="sng">
                            <a:solidFill>
                              <a:srgbClr val="00B0F0"/>
                            </a:solidFill>
                            <a:round/>
                          </a:ln>
                        </wps:spPr>
                        <wps:bodyPr rot="0" vert="horz" wrap="square" lIns="91440" tIns="45720" rIns="91440" bIns="45720" anchor="t" anchorCtr="0" upright="1">
                          <a:noAutofit/>
                        </wps:bodyPr>
                      </wps:wsp>
                      <wps:wsp>
                        <wps:cNvPr id="1267182018" name="椭圆 845"/>
                        <wps:cNvSpPr>
                          <a:spLocks noChangeArrowheads="1"/>
                        </wps:cNvSpPr>
                        <wps:spPr bwMode="auto">
                          <a:xfrm>
                            <a:off x="9809" y="2190775"/>
                            <a:ext cx="156" cy="156"/>
                          </a:xfrm>
                          <a:prstGeom prst="ellipse">
                            <a:avLst/>
                          </a:prstGeom>
                          <a:solidFill>
                            <a:srgbClr val="FFFF00"/>
                          </a:solidFill>
                          <a:ln w="9525">
                            <a:solidFill>
                              <a:srgbClr val="000000"/>
                            </a:solidFill>
                            <a:round/>
                          </a:ln>
                        </wps:spPr>
                        <wps:bodyPr rot="0" vert="horz" wrap="square" lIns="91440" tIns="45720" rIns="91440" bIns="45720" anchor="t" anchorCtr="0" upright="1">
                          <a:noAutofit/>
                        </wps:bodyPr>
                      </wps:wsp>
                    </wpg:wgp>
                  </a:graphicData>
                </a:graphic>
              </wp:anchor>
            </w:drawing>
          </mc:Choice>
          <mc:Fallback>
            <w:pict>
              <v:group id="组合 821" o:spid="_x0000_s1026" o:spt="203" style="position:absolute;left:0pt;margin-left:-5.6pt;margin-top:197.35pt;height:323.5pt;width:356.45pt;mso-position-horizontal-relative:margin;z-index:251752448;mso-width-relative:page;mso-height-relative:page;" coordorigin="5257,2188394" coordsize="7340,6858" o:gfxdata="UEsDBAoAAAAAAIdO4kAAAAAAAAAAAAAAAAAEAAAAZHJzL1BLAwQUAAAACACHTuJAQrX/aNoAAAAM&#10;AQAADwAAAGRycy9kb3ducmV2LnhtbE2PwU7DMAyG70i8Q2QkbluSbTAoTSc0AacJiQ0Jccsar63W&#10;OFWTtdvbY05w+y1/+v05X519KwbsYxPIgJ4qEEhlcA1VBj53r5MHEDFZcrYNhAYuGGFVXF/lNnNh&#10;pA8ctqkSXEIxswbqlLpMyljW6G2chg6Jd4fQe5t47CvpejtyuW/lTKl76W1DfKG2Ha5rLI/bkzfw&#10;Ntrxea5fhs3xsL587+7evzYajbm90eoJRMJz+oPhV5/VoWCnfTiRi6I1MNF6xqiB+eNiCYKJpdIc&#10;9oyqBSdZ5PL/E8UPUEsDBBQAAAAIAIdO4kA0jzQfqwgAAPErAAAOAAAAZHJzL2Uyb0RvYy54bWzt&#10;Ws2O5EgRviPxDpaPSEw5/Zd2aWpWu/MH0i6MNMUDuF2uKguXbWx3V8+eV4gTyxkQSGhBQoIbFzQC&#10;XoaZ3cfgi8i0K13TbhWg6R5B9aHaTocjMyO/jPgi0g8/ut4V1lXWtHlVLmzxwLGtrEyrVV5uFvaP&#10;ls++G9lW2yXlKimqMlvYr7LW/ujRt7/1cF/PM7faVsUqaywoKdv5vl7Y266r57NZm26zXdI+qOqs&#10;xMN11eySDrfNZrZqkj2074qZ6zjhbF81q7qp0qxt0fpEPbS1xuYUhdV6nafZkyq93GVlp7Q2WZF0&#10;mFK7zevWfsSjXa+ztPvhet1mnVUsbMy04190gusL+p09epjMN01Sb/NUDyE5ZQhHc9oleYlOB1VP&#10;ki6xLpv8HVW7PG2qtlp3D9JqN1MTYYtgFsI5ss3zprqseS6b+X5TD0bHQh1Z/T9Wm/7g6kVj5auF&#10;7bvClVEc+7ZVJjss/Nevv3jzi59ZkSvISvt6M4fw86Z+Wb9odMNG3dHEr9fNjv5jStY12/fVYN/s&#10;urNSNPqBG8YisK0Uz3zhRF4o1QqkWywTvRe4gbQtPHZFFHkYDC9Qun2qVUjPx9LR+2EURPR01vc9&#10;oyEOI9rXgGd7sFn739ns5TapM16KlsygbRaIwA8cxzvY7Fd/efvz33/zj9/g9+s//cESPEQaC156&#10;XL5oyETpdfmy/rRKf9xaZfV4m5SbjNUvX9UwO1sbczFeoZsWVrcu9p9VK8gkl13FcCOrW+sir79H&#10;Lxr2D3yyE9sxdmKPlSbzfiEiHyMmIwrhxyMjJvO6abvnWbWz6GJhF3lJ807mydWnbafs3YtQc1k9&#10;y4uCV6korf3CjrGE/EJbFfmKHpJY22wuHheNdZVgIz596uBP9zsSA+DLFSvbZsnqabmyOjZK1+Qw&#10;U5HZ1MMuW9lWkcF70RVLd0lenCoNwBQlcNNblbDdzi+q1SvGNbcDOar5vUNIOLHvhSL03WHfHWOI&#10;V2gEiLvBUOiHYY8hEXvaWfYYigOhMeQqDzFsxDOG7hhDgYxd4YfBpBtyPdom9wAhDMzrIeT4nvb2&#10;PYSkDgVSsp8/A+jenBCicixd6U46IZdX6P0iyAhf0nFAQxUNACUJlJfvcRPJWLkeN+QnZ+DcF3Ai&#10;EYRe5GKBetL42z+++dvvLJd3uoYLEUbmAEek5+OmqfYU58HNRqxHvUBvT7MeAyyh4/ScMXZjeexk&#10;hI5TvhtqytFz1Z7HaKrTIFs4mepQ/wP3uZlSdNcX19rtqvWxmkolIEi/cLGtms9BaJB8LOz2J5dJ&#10;A3pTfL+ENWLB9K3jGz+QLrhcYz65MJ8kZQpVC7uzLXX5uFMZzmXd5JstelLUsKw+Bm9c58ziyLpq&#10;VJoK3SHlAV58xwm8g7fRqDHZ8vtGjZFpIHpiLEwkBxcD5q7SlKAnqmfUKM58T6jxAukLjympzk+P&#10;eLJ7XzxZxodcywsc9jKHXEt4saY5IjjKWM9E+Y6JsiscT6KqECCv0SBSnkclN3cUr1DD6MlN7Ecq&#10;Kh3wIs/x6gOLV3EcupGM5HG4UlWVOwJN6HsgvZoRRz4ndAZoqGzHVbVzuPowSA5VU0ExYh/UdOxq&#10;mGncEWqQWQ/UWAhUbEYkB4HrjBpm/B8KNY78ADVyD55Fg+afr1+//eLLN1/98pu//5USK5SaD5Uc&#10;osj67qRESboDGoziek95RRihVkNOxPVwBcVGXp1eqqowpT19JRinHSvUhKlps9LjXSJTWe8KnKF8&#10;Z4bqd+BZe/6ngHcQwwQHMcfaWq7fJ/kHGfjbQQZlUjmhCoMexBDZJ5QB6YOUNzksMLVBSuB0YkIZ&#10;6MMgFgYT48LGG4Rc1xMTukAFDmLxhC64/oMQ6sUTuoRpfWdCF/GLQdmU7cXI+Leso2l9WkRjZIDP&#10;AJBkq04PuHKtQYNzECSsOMxyeA/WVUsnQIQgYHCpKgIsTwibEMYwSbiHK6RuEQYGSLivGd0urErf&#10;S64mYCa3Cys+t+zPUlhYvaTnSrUFOoNc0hIhI1/SKiBLX5KhcRK5FDqi10lHpqJZ0CWdd9A2sq0t&#10;9iVtEnqyq66yZcUyHdlMSWBufa56EEgvL/L0k+zzkbgUKirIvlOlxYtVs1DbHyNQ7dh7bDnizcot&#10;jLWO79RLUr8jVVrW6woCxWKEg4lDV9+OLcld0KY7uQ+h3ZmgwqWhTIDOM1VyME+jHdVCbsZmPLkP&#10;rWlwT2p25KBhbhfZhNkB5srN2KE3dABA0JKyXx2WmVBi+NahpESHVLT4bhRwmXxXr1AlKje8/qMz&#10;s9HRmuN84jzrUTAS64/W0OHk8de5QMVH4ULgQ4UYB8zAi+Ju74Rh9iEGiQPK6O6kMByioKdwImJn&#10;gG4fhkMH56f6cBbOAoqxYn3tyYTKyWE4RCeIBfRPgfUQYs1QIOMYzlsI1akZ081Y4As3mlBmhoJQ&#10;TikbBWLU3SaUmZHYD72JkZmBGCMPJ5SZoRg0eEKZGYn9eGpgZigWkyZ7JxLfaH3T/GT4iYGNgjGF&#10;9RuVmeaf1GRa/zZcmOY/Ghng+P8c1iepCC050QtEdrVpb2MB2FLMArBozAKwLswC9EnXEB5UyKBA&#10;wGtOLIB36E0sQElgCNjJegi384BAOirqShyoGXHSl0KxH+nrYqaKerT3eY7Y3f0cR/TiJiLgodav&#10;XjqK+CiDcXsgR514VIsnQ2LXn9yJG+iQj/qrORN8V6E6QXIzaoev4E7gDU7uJIj07EdkQ9IHTRju&#10;qF+4D6V+WImxacZ3yrr4Norf8eLxUFFQJv1RqLN3Ja1syljQaDNWAlv032caCEYwnpWemcZdHoWF&#10;UkT49A/IUkzj7Vd/fvPrn1ooBBAuDYZBO759TyeoceRo5kqMBHyTnUHPSHDGqwnJwP97PnJ0gpoV&#10;+BStvfV7sREnHVHXZ/i7+auwkz8so8/Kblbxv8F+cVzCX4IyJ9RfrdKnpuY9rs0vdR/9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4LAABbQ29u&#10;dGVudF9UeXBlc10ueG1sUEsBAhQACgAAAAAAh07iQAAAAAAAAAAAAAAAAAYAAAAAAAAAAAAQAAAA&#10;AAoAAF9yZWxzL1BLAQIUABQAAAAIAIdO4kCKFGY80QAAAJQBAAALAAAAAAAAAAEAIAAAACQKAABf&#10;cmVscy8ucmVsc1BLAQIUAAoAAAAAAIdO4kAAAAAAAAAAAAAAAAAEAAAAAAAAAAAAEAAAAAAAAABk&#10;cnMvUEsBAhQAFAAAAAgAh07iQEK1/2jaAAAADAEAAA8AAAAAAAAAAQAgAAAAIgAAAGRycy9kb3du&#10;cmV2LnhtbFBLAQIUABQAAAAIAIdO4kA0jzQfqwgAAPErAAAOAAAAAAAAAAEAIAAAACkBAABkcnMv&#10;ZTJvRG9jLnhtbFBLBQYAAAAABgAGAFkBAABGDAAAAAA=&#10;">
                <o:lock v:ext="edit" aspectratio="f"/>
                <v:line id="直接连接符 18" o:spid="_x0000_s1026" o:spt="20" style="position:absolute;left:5440;top:2190931;flip:x;height:1149;width:844;" filled="f" stroked="t" coordsize="21600,21600" o:gfxdata="UEsDBAoAAAAAAIdO4kAAAAAAAAAAAAAAAAAEAAAAZHJzL1BLAwQUAAAACACHTuJA2OHB78MAAADi&#10;AAAADwAAAGRycy9kb3ducmV2LnhtbEWPT2sCMRTE7wW/Q3iCt5ps64psjR4qBU9CV/H83Dx3l25e&#10;0iT1Tz99Uyj0OMzMb5jl+mYHcaEQe8caiqkCQdw403Or4bB/e1yAiAnZ4OCYNNwpwno1elhiZdyV&#10;3+lSp1ZkCMcKNXQp+UrK2HRkMU6dJ87e2QWLKcvQShPwmuF2kE9KzaXFnvNCh55eO2o+6i+r4bRT&#10;fvc534Ttxu/r4vsYhnM4aT0ZF+oFRKJb+g//tbdGQ1mUs1Kp5xn8Xsp3QK5+AF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Y&#10;4cHvwwAAAOIAAAAPAAAAAAAAAAEAIAAAACIAAABkcnMvZG93bnJldi54bWxQSwECFAAUAAAACACH&#10;TuJAMy8FnjsAAAA5AAAAEAAAAAAAAAABACAAAAASAQAAZHJzL3NoYXBleG1sLnhtbFBLBQYAAAAA&#10;BgAGAFsBAAC8AwAAAAA=&#10;">
                  <v:fill on="f" focussize="0,0"/>
                  <v:stroke color="#EE0000" joinstyle="round" startarrow="block" endarrow="block"/>
                  <v:imagedata o:title=""/>
                  <o:lock v:ext="edit" aspectratio="f"/>
                </v:line>
                <v:line id="直接连接符 19" o:spid="_x0000_s1026" o:spt="20" style="position:absolute;left:6466;top:2191930;flip:x;height:1221;width:951;" filled="f" stroked="t" coordsize="21600,21600" o:gfxdata="UEsDBAoAAAAAAIdO4kAAAAAAAAAAAAAAAAAEAAAAZHJzL1BLAwQUAAAACACHTuJA2NlNuMAAAADj&#10;AAAADwAAAGRycy9kb3ducmV2LnhtbEVPzWoCMRC+F3yHMEJvNVkri90aPVQKnoSu4nncjLuLm0lM&#10;UrV9+qZQ6HG+/1ms7nYQVwqxd6yhmCgQxI0zPbca9rv3pzmImJANDo5JwxdFWC1HDwusjLvxB13r&#10;1IocwrFCDV1KvpIyNh1ZjBPniTN3csFiymdopQl4y+F2kFOlSmmx59zQoae3jppz/Wk1HLfKby/l&#10;OmzWflcX34cwnMJR68dxoV5BJLqnf/Gfe2PyfPUyey6LcjaF358yAHL5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Y2U24&#10;wAAAAOMAAAAPAAAAAAAAAAEAIAAAACIAAABkcnMvZG93bnJldi54bWxQSwECFAAUAAAACACHTuJA&#10;My8FnjsAAAA5AAAAEAAAAAAAAAABACAAAAAPAQAAZHJzL3NoYXBleG1sLnhtbFBLBQYAAAAABgAG&#10;AFsBAAC5AwAAAAA=&#10;">
                  <v:fill on="f" focussize="0,0"/>
                  <v:stroke color="#EE0000" joinstyle="round" startarrow="block" endarrow="block"/>
                  <v:imagedata o:title=""/>
                  <o:lock v:ext="edit" aspectratio="f"/>
                </v:line>
                <v:line id="直接连接符 23" o:spid="_x0000_s1026" o:spt="20" style="position:absolute;left:7923;top:2190437;flip:x;height:774;width:75;" filled="f" stroked="t" coordsize="21600,21600" o:gfxdata="UEsDBAoAAAAAAIdO4kAAAAAAAAAAAAAAAAAEAAAAZHJzL1BLAwQUAAAACACHTuJARpm6z8MAAADi&#10;AAAADwAAAGRycy9kb3ducmV2LnhtbEWPQWsCMRSE7wX/Q3iF3mqyomu7NXqoFDwJXaXn5+a5u3Tz&#10;EpNUbX99Uyh4HGbmG2axutpBnCnE3rGGYqxAEDfO9Nxq2O/eHp9AxIRscHBMGr4pwmo5ultgZdyF&#10;3+lcp1ZkCMcKNXQp+UrK2HRkMY6dJ87e0QWLKcvQShPwkuF2kBOlSmmx57zQoafXjprP+stqOGyV&#10;357Kddis/a4ufj7CcAwHrR/uC/UCItE13cL/7Y3RMJs/T4ppOZvC36V8B+TyF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G&#10;mbrPwwAAAOIAAAAPAAAAAAAAAAEAIAAAACIAAABkcnMvZG93bnJldi54bWxQSwECFAAUAAAACACH&#10;TuJAMy8FnjsAAAA5AAAAEAAAAAAAAAABACAAAAASAQAAZHJzL3NoYXBleG1sLnhtbFBLBQYAAAAA&#10;BgAGAFsBAAC8AwAAAAA=&#10;">
                  <v:fill on="f" focussize="0,0"/>
                  <v:stroke color="#EE0000" joinstyle="round" startarrow="block" endarrow="block"/>
                  <v:imagedata o:title=""/>
                  <o:lock v:ext="edit" aspectratio="f"/>
                </v:line>
                <v:line id="直接连接符 24" o:spid="_x0000_s1026" o:spt="20" style="position:absolute;left:7008;top:2189945;height:265;width:879;" filled="f" stroked="t" coordsize="21600,21600" o:gfxdata="UEsDBAoAAAAAAIdO4kAAAAAAAAAAAAAAAAAEAAAAZHJzL1BLAwQUAAAACACHTuJArT09sr8AAADj&#10;AAAADwAAAGRycy9kb3ducmV2LnhtbEVPyW7CMBC9V+IfrEHqrdgJLUvAcEAgVeqlLB8wiockIh5H&#10;sUnSfn1dCYnjvH3W28HWoqPWV441JBMFgjh3puJCw+V8eFuA8AHZYO2YNPyQh+1m9LLGzLiej9Sd&#10;QiFiCPsMNZQhNJmUPi/Jop+4hjhyV9daDPFsC2la7GO4rWWq1ExarDg2lNjQrqT8drpbDdj/3hj5&#10;zN+HzrzXxZeaDrjX+nWcqBWIQEN4ih/uTxPnL5OP5Tydpyn8/xQBkJ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09PbK/&#10;AAAA4wAAAA8AAAAAAAAAAQAgAAAAIgAAAGRycy9kb3ducmV2LnhtbFBLAQIUABQAAAAIAIdO4kAz&#10;LwWeOwAAADkAAAAQAAAAAAAAAAEAIAAAAA4BAABkcnMvc2hhcGV4bWwueG1sUEsFBgAAAAAGAAYA&#10;WwEAALgDAAAAAA==&#10;">
                  <v:fill on="f" focussize="0,0"/>
                  <v:stroke color="#EE0000" joinstyle="round" startarrow="block" endarrow="block"/>
                  <v:imagedata o:title=""/>
                  <o:lock v:ext="edit" aspectratio="f"/>
                </v:line>
                <v:rect id="矩形 27" o:spid="_x0000_s1026" o:spt="1" style="position:absolute;left:6007;top:2192977;height:426;width:711;" filled="f" stroked="f" coordsize="21600,21600" o:gfxdata="UEsDBAoAAAAAAIdO4kAAAAAAAAAAAAAAAAAEAAAAZHJzL1BLAwQUAAAACACHTuJAzyLnL8UAAADi&#10;AAAADwAAAGRycy9kb3ducmV2LnhtbEWPT2vCQBTE74V+h+UVeim6iVUJ0dWDUBpKQYx/zo/sMwlm&#10;38bsNrHfvlsQPA4z8xtmub6ZRvTUudqygngcgSAurK65VHDYf4wSEM4ja2wsk4JfcrBePT8tMdV2&#10;4B31uS9FgLBLUUHlfZtK6YqKDLqxbYmDd7adQR9kV0rd4RDgppGTKJpLgzWHhQpb2lRUXPIfo2Ao&#10;tv1p//0pt2+nzPI1u27y45dSry9xtADh6eYf4Xs70wqSeDZ/TybTGfxfCndArv4A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M8i5y/FAAAA4gAAAA8AAAAAAAAAAQAgAAAAIgAAAGRycy9kb3ducmV2LnhtbFBLAQIUABQAAAAI&#10;AIdO4kAzLwWeOwAAADkAAAAQAAAAAAAAAAEAIAAAABQBAABkcnMvc2hhcGV4bWwueG1sUEsFBgAA&#10;AAAGAAYAWwEAAL4DAAAAAA==&#10;">
                  <v:fill on="f" focussize="0,0"/>
                  <v:stroke on="f"/>
                  <v:imagedata o:title=""/>
                  <o:lock v:ext="edit" aspectratio="f"/>
                  <v:textbox>
                    <w:txbxContent>
                      <w:p w14:paraId="32F60479">
                        <w:pPr>
                          <w:rPr>
                            <w:b/>
                            <w:bCs/>
                            <w:color w:val="FF0000"/>
                            <w:sz w:val="21"/>
                            <w:lang w:eastAsia="zh-CN"/>
                          </w:rPr>
                        </w:pPr>
                        <w:r>
                          <w:rPr>
                            <w:rFonts w:hint="eastAsia"/>
                            <w:b/>
                            <w:bCs/>
                            <w:color w:val="FF0000"/>
                            <w:sz w:val="21"/>
                          </w:rPr>
                          <w:t>W</w:t>
                        </w:r>
                        <w:r>
                          <w:rPr>
                            <w:rFonts w:hint="eastAsia"/>
                            <w:b/>
                            <w:bCs/>
                            <w:color w:val="FF0000"/>
                            <w:sz w:val="21"/>
                            <w:lang w:eastAsia="zh-CN"/>
                          </w:rPr>
                          <w:t>4</w:t>
                        </w:r>
                      </w:p>
                    </w:txbxContent>
                  </v:textbox>
                </v:rect>
                <v:rect id="矩形 28" o:spid="_x0000_s1026" o:spt="1" style="position:absolute;left:5257;top:2192132;height:450;width:818;" filled="f" stroked="f" coordsize="21600,21600" o:gfxdata="UEsDBAoAAAAAAIdO4kAAAAAAAAAAAAAAAAAEAAAAZHJzL1BLAwQUAAAACACHTuJACcj8i8IAAADj&#10;AAAADwAAAGRycy9kb3ducmV2LnhtbEVPX2vCMBB/F/Ydwg32IjOx0yHV6IMwVmQgq9PnoznbsuZS&#10;m9i6b78MBj7e7/+tNjfbiJ46XzvWMJ0oEMSFMzWXGr4Ob88LED4gG2wck4Yf8rBZP4xWmBo38Cf1&#10;eShFDGGfooYqhDaV0hcVWfQT1xJH7uw6iyGeXSlNh0MMt41MlHqVFmuODRW2tK2o+M6vVsNQ7PvT&#10;4eNd7senzPElu2zz407rp8epWoIIdAt38b87M3F+MpvPlJq/JPD3UwRArn8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AnI&#10;/IvCAAAA4wAAAA8AAAAAAAAAAQAgAAAAIgAAAGRycy9kb3ducmV2LnhtbFBLAQIUABQAAAAIAIdO&#10;4kAzLwWeOwAAADkAAAAQAAAAAAAAAAEAIAAAABEBAABkcnMvc2hhcGV4bWwueG1sUEsFBgAAAAAG&#10;AAYAWwEAALsDAAAAAA==&#10;">
                  <v:fill on="f" focussize="0,0"/>
                  <v:stroke on="f"/>
                  <v:imagedata o:title=""/>
                  <o:lock v:ext="edit" aspectratio="f"/>
                  <v:textbox>
                    <w:txbxContent>
                      <w:p w14:paraId="2C89F0C7">
                        <w:pPr>
                          <w:rPr>
                            <w:b/>
                            <w:bCs/>
                            <w:color w:val="FF0000"/>
                            <w:sz w:val="21"/>
                            <w:lang w:eastAsia="zh-CN"/>
                          </w:rPr>
                        </w:pPr>
                        <w:r>
                          <w:rPr>
                            <w:rFonts w:hint="eastAsia"/>
                            <w:b/>
                            <w:bCs/>
                            <w:color w:val="FF0000"/>
                            <w:sz w:val="21"/>
                          </w:rPr>
                          <w:t>W</w:t>
                        </w:r>
                        <w:r>
                          <w:rPr>
                            <w:rFonts w:hint="eastAsia"/>
                            <w:b/>
                            <w:bCs/>
                            <w:color w:val="FF0000"/>
                            <w:sz w:val="21"/>
                            <w:lang w:eastAsia="zh-CN"/>
                          </w:rPr>
                          <w:t>3</w:t>
                        </w:r>
                      </w:p>
                    </w:txbxContent>
                  </v:textbox>
                </v:rect>
                <v:line id="直接连接符 29" o:spid="_x0000_s1026" o:spt="20" style="position:absolute;left:7940;top:2193506;flip:x;height:1558;width:1395;" filled="f" stroked="t" coordsize="21600,21600" o:gfxdata="UEsDBAoAAAAAAIdO4kAAAAAAAAAAAAAAAAAEAAAAZHJzL1BLAwQUAAAACACHTuJABZ6qqsMAAADi&#10;AAAADwAAAGRycy9kb3ducmV2LnhtbEWPT0sDMRTE74LfITyhN5usrausTXuwFHoquBXPr5vX3cXN&#10;S0zSv5++EQSPw8z8hpktznYQRwqxd6yhGCsQxI0zPbcaPrerx1cQMSEbHByThgtFWMzv72ZYGXfi&#10;DzrWqRUZwrFCDV1KvpIyNh1ZjGPnibO3d8FiyjK00gQ8Zbgd5JNSpbTYc17o0NN7R813fbAadhvl&#10;Nz/lMqyXflsX168w7MNO69FDod5AJDqn//Bfe200TJ5fpsVkWpbweynfATm/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F&#10;nqqqwwAAAOIAAAAPAAAAAAAAAAEAIAAAACIAAABkcnMvZG93bnJldi54bWxQSwECFAAUAAAACACH&#10;TuJAMy8FnjsAAAA5AAAAEAAAAAAAAAABACAAAAASAQAAZHJzL3NoYXBleG1sLnhtbFBLBQYAAAAA&#10;BgAGAFsBAAC8AwAAAAA=&#10;">
                  <v:fill on="f" focussize="0,0"/>
                  <v:stroke color="#EE0000" joinstyle="round" startarrow="block" endarrow="block"/>
                  <v:imagedata o:title=""/>
                  <o:lock v:ext="edit" aspectratio="f"/>
                </v:line>
                <v:rect id="矩形 30" o:spid="_x0000_s1026" o:spt="1" style="position:absolute;left:7348;top:2194826;height:426;width:711;" filled="f" stroked="f" coordsize="21600,21600" o:gfxdata="UEsDBAoAAAAAAIdO4kAAAAAAAAAAAAAAAAAEAAAAZHJzL1BLAwQUAAAACACHTuJAikuTisYAAADj&#10;AAAADwAAAGRycy9kb3ducmV2LnhtbEWPQUvDQBSE70L/w/IKXsTuptVW0257KIhBCsW09vzIPpPQ&#10;7Ns0uyb137uC4HGYmW+Y1eZqG9FT52vHGpKJAkFcOFNzqeF4eLl/AuEDssHGMWn4Jg+b9ehmhalx&#10;A79Tn4dSRAj7FDVUIbSplL6oyKKfuJY4ep+usxii7EppOhwi3DZyqtRcWqw5LlTY0rai4px/WQ1D&#10;se9Ph92r3N+dMseX7LLNP960vh0nagki0DX8h//amdEwTdRsMXt+eJzD76f4B+T6B1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CKS5OKxgAAAOMAAAAPAAAAAAAAAAEAIAAAACIAAABkcnMvZG93bnJldi54bWxQSwECFAAUAAAA&#10;CACHTuJAMy8FnjsAAAA5AAAAEAAAAAAAAAABACAAAAAVAQAAZHJzL3NoYXBleG1sLnhtbFBLBQYA&#10;AAAABgAGAFsBAAC/AwAAAAA=&#10;">
                  <v:fill on="f" focussize="0,0"/>
                  <v:stroke on="f"/>
                  <v:imagedata o:title=""/>
                  <o:lock v:ext="edit" aspectratio="f"/>
                  <v:textbox>
                    <w:txbxContent>
                      <w:p w14:paraId="2B2DD1D4">
                        <w:pPr>
                          <w:rPr>
                            <w:b/>
                            <w:bCs/>
                            <w:color w:val="FF0000"/>
                            <w:sz w:val="21"/>
                            <w:lang w:eastAsia="zh-CN"/>
                          </w:rPr>
                        </w:pPr>
                        <w:r>
                          <w:rPr>
                            <w:rFonts w:hint="eastAsia"/>
                            <w:b/>
                            <w:bCs/>
                            <w:color w:val="FF0000"/>
                            <w:sz w:val="21"/>
                          </w:rPr>
                          <w:t>W</w:t>
                        </w:r>
                        <w:r>
                          <w:rPr>
                            <w:rFonts w:hint="eastAsia"/>
                            <w:b/>
                            <w:bCs/>
                            <w:color w:val="FF0000"/>
                            <w:sz w:val="21"/>
                            <w:lang w:eastAsia="zh-CN"/>
                          </w:rPr>
                          <w:t>5</w:t>
                        </w:r>
                      </w:p>
                    </w:txbxContent>
                  </v:textbox>
                </v:rect>
                <v:rect id="矩形 31" o:spid="_x0000_s1026" o:spt="1" style="position:absolute;left:6439;top:2189843;height:450;width:794;" filled="f" stroked="f" coordsize="21600,21600" o:gfxdata="UEsDBAoAAAAAAIdO4kAAAAAAAAAAAAAAAAAEAAAAZHJzL1BLAwQUAAAACACHTuJAW0mZz8QAAADi&#10;AAAADwAAAGRycy9kb3ducmV2LnhtbEWPQWvCQBSE70L/w/KEXkQ35qAxunoQiqEUpLF6fmSfSTD7&#10;NmbXxP77bqHQ4zAz3zCb3dM0oqfO1ZYVzGcRCOLC6ppLBV+nt2kCwnlkjY1lUvBNDnbbl9EGU20H&#10;/qQ+96UIEHYpKqi8b1MpXVGRQTezLXHwrrYz6IPsSqk7HALcNDKOooU0WHNYqLClfUXFLX8YBUNx&#10;7C+nj4M8Ti6Z5Xt23+fnd6Vex/NoDcLT0/+H/9qZVrBaLeJkmSxj+L0U7oDc/gB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W0mZz8QAAADiAAAADwAAAAAAAAABACAAAAAiAAAAZHJzL2Rvd25yZXYueG1sUEsBAhQAFAAAAAgA&#10;h07iQDMvBZ47AAAAOQAAABAAAAAAAAAAAQAgAAAAEwEAAGRycy9zaGFwZXhtbC54bWxQSwUGAAAA&#10;AAYABgBbAQAAvQMAAAAA&#10;">
                  <v:fill on="f" focussize="0,0"/>
                  <v:stroke on="f"/>
                  <v:imagedata o:title=""/>
                  <o:lock v:ext="edit" aspectratio="f"/>
                  <v:textbox>
                    <w:txbxContent>
                      <w:p w14:paraId="4398BCAB">
                        <w:pPr>
                          <w:rPr>
                            <w:b/>
                            <w:bCs/>
                            <w:color w:val="FF0000"/>
                            <w:sz w:val="21"/>
                            <w:lang w:eastAsia="zh-CN"/>
                          </w:rPr>
                        </w:pPr>
                        <w:r>
                          <w:rPr>
                            <w:rFonts w:hint="eastAsia"/>
                            <w:b/>
                            <w:bCs/>
                            <w:color w:val="FF0000"/>
                            <w:sz w:val="21"/>
                          </w:rPr>
                          <w:t>W</w:t>
                        </w:r>
                        <w:r>
                          <w:rPr>
                            <w:rFonts w:hint="eastAsia"/>
                            <w:b/>
                            <w:bCs/>
                            <w:color w:val="FF0000"/>
                            <w:sz w:val="21"/>
                            <w:lang w:eastAsia="zh-CN"/>
                          </w:rPr>
                          <w:t>2</w:t>
                        </w:r>
                      </w:p>
                    </w:txbxContent>
                  </v:textbox>
                </v:rect>
                <v:rect id="矩形 32" o:spid="_x0000_s1026" o:spt="1" style="position:absolute;left:7747;top:2191151;height:450;width:794;" filled="f" stroked="f" coordsize="21600,21600" o:gfxdata="UEsDBAoAAAAAAIdO4kAAAAAAAAAAAAAAAAAEAAAAZHJzL1BLAwQUAAAACACHTuJAftfnO8YAAADj&#10;AAAADwAAAGRycy9kb3ducmV2LnhtbEWPT2vCQBTE74V+h+UVeil1k6BVo6sHoRhKQYx/zo/sMwnN&#10;vo3ZbWK/fbcg9DjMzG+Y5fpmGtFT52rLCuJRBIK4sLrmUsHx8P46A+E8ssbGMin4IQfr1ePDElNt&#10;B95Tn/tSBAi7FBVU3replK6oyKAb2ZY4eBfbGfRBdqXUHQ4BbhqZRNGbNFhzWKiwpU1FxVf+bRQM&#10;xa4/Hz63cvdyzixfs+smP30o9fwURwsQnm7+P3xvZ1pBEifTSTKZj6fw9yn8Abn6BV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B+1+c7xgAAAOMAAAAPAAAAAAAAAAEAIAAAACIAAABkcnMvZG93bnJldi54bWxQSwECFAAUAAAA&#10;CACHTuJAMy8FnjsAAAA5AAAAEAAAAAAAAAABACAAAAAVAQAAZHJzL3NoYXBleG1sLnhtbFBLBQYA&#10;AAAABgAGAFsBAAC/AwAAAAA=&#10;">
                  <v:fill on="f" focussize="0,0"/>
                  <v:stroke on="f"/>
                  <v:imagedata o:title=""/>
                  <o:lock v:ext="edit" aspectratio="f"/>
                  <v:textbox>
                    <w:txbxContent>
                      <w:p w14:paraId="49F88799">
                        <w:pPr>
                          <w:rPr>
                            <w:b/>
                            <w:bCs/>
                            <w:color w:val="FF0000"/>
                            <w:sz w:val="21"/>
                            <w:lang w:eastAsia="zh-CN"/>
                          </w:rPr>
                        </w:pPr>
                        <w:r>
                          <w:rPr>
                            <w:rFonts w:hint="eastAsia"/>
                            <w:b/>
                            <w:bCs/>
                            <w:color w:val="FF0000"/>
                            <w:sz w:val="21"/>
                          </w:rPr>
                          <w:t>W</w:t>
                        </w:r>
                        <w:r>
                          <w:rPr>
                            <w:rFonts w:hint="eastAsia"/>
                            <w:b/>
                            <w:bCs/>
                            <w:color w:val="FF0000"/>
                            <w:sz w:val="21"/>
                            <w:lang w:eastAsia="zh-CN"/>
                          </w:rPr>
                          <w:t>1</w:t>
                        </w:r>
                      </w:p>
                    </w:txbxContent>
                  </v:textbox>
                </v:rect>
                <v:shape id="任意多边形 34" o:spid="_x0000_s1026" o:spt="100" style="position:absolute;left:7247;top:2188394;height:2383;width:1683;" filled="f" stroked="t" coordsize="1853,2445" o:gfxdata="UEsDBAoAAAAAAIdO4kAAAAAAAAAAAAAAAAAEAAAAZHJzL1BLAwQUAAAACACHTuJAjEf4OsMAAADi&#10;AAAADwAAAGRycy9kb3ducmV2LnhtbEWPT2vCQBTE70K/w/IKvekmGkOMroIFwYvV2l68PbOvSWr2&#10;bciu/769WxB6HGbmN8xscTONuFDnassK4kEEgriwuuZSwffXqp+BcB5ZY2OZFNzJwWL+0pthru2V&#10;P+my96UIEHY5Kqi8b3MpXVGRQTewLXHwfmxn0AfZlVJ3eA1w08hhFKXSYM1hocKW3isqTvuzUbCb&#10;/Eq7zZrNcacPyVJ+pMmKUKm31ziagvB08//hZ3utFWTJeDxMR6MY/i6FOyDnD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M&#10;R/g6wwAAAOIAAAAPAAAAAAAAAAEAIAAAACIAAABkcnMvZG93bnJldi54bWxQSwECFAAUAAAACACH&#10;TuJAMy8FnjsAAAA5AAAAEAAAAAAAAAABACAAAAASAQAAZHJzL3NoYXBleG1sLnhtbFBLBQYAAAAA&#10;BgAGAFsBAAC8AwAAAAA=&#10;" path="m1853,0c1717,73,1397,183,1097,456c797,729,559,1012,353,1367c147,1722,130,2017,65,2231c0,2445,31,2373,29,2436e">
                  <v:path o:connectlocs="1683,0;996,444;320,1332;59,2174;26,2374" o:connectangles="0,0,0,0,0"/>
                  <v:fill on="f" focussize="0,0"/>
                  <v:stroke weight="2.25pt" color="#00B0F0" joinstyle="round"/>
                  <v:imagedata o:title=""/>
                  <o:lock v:ext="edit" aspectratio="f"/>
                </v:shape>
                <v:shape id="任意多边形 35" o:spid="_x0000_s1026" o:spt="100" style="position:absolute;left:6572;top:2190722;height:1110;width:6025;" filled="f" stroked="t" coordsize="6072,1110" o:gfxdata="UEsDBAoAAAAAAIdO4kAAAAAAAAAAAAAAAAAEAAAAZHJzL1BLAwQUAAAACACHTuJA/ZBzx8MAAADj&#10;AAAADwAAAGRycy9kb3ducmV2LnhtbEWPS2/CMBCE70j8B2uRekHFCRWvgEGoKBIcCeW+xEsSiNdR&#10;bB7997hSJY67M/Pt7GL1NLW4U+sqywriQQSCOLe64kLBzyH9nIJwHlljbZkU/JKD1bLbWWCi7YP3&#10;dM98IQKEXYIKSu+bREqXl2TQDWxDHLSzbQ36MLaF1C0+AtzUchhFY2mw4nChxIa+S8qv2c0oOF2G&#10;fXPcbbJUTk4Vfk3W6e5cKPXRi6M5CE9P/zb/p7c61I8Dczaejkbw91NYgFy+AF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9&#10;kHPHwwAAAOMAAAAPAAAAAAAAAAEAIAAAACIAAABkcnMvZG93bnJldi54bWxQSwECFAAUAAAACACH&#10;TuJAMy8FnjsAAAA5AAAAEAAAAAAAAAABACAAAAASAQAAZHJzL3NoYXBleG1sLnhtbFBLBQYAAAAA&#10;BgAGAFsBAAC8AwAAAAA=&#10;" path="m6072,799c5703,779,4716,746,4128,679c3540,612,3734,576,3132,463c2530,350,1644,168,1116,115c588,62,715,0,492,199c269,398,106,861,0,1110e">
                  <v:path o:connectlocs="6025,799;4096,679;3107,463;1107,115;488,199;0,1110" o:connectangles="0,0,0,0,0,0"/>
                  <v:fill on="f" focussize="0,0"/>
                  <v:stroke weight="1.5pt" color="#00B0F0" joinstyle="round"/>
                  <v:imagedata o:title=""/>
                  <o:lock v:ext="edit" aspectratio="f"/>
                </v:shape>
                <v:shape id="椭圆 845" o:spid="_x0000_s1026" o:spt="3" type="#_x0000_t3" style="position:absolute;left:9809;top:2190775;height:156;width:156;" fillcolor="#FFFF00" filled="t" stroked="t" coordsize="21600,21600" o:gfxdata="UEsDBAoAAAAAAIdO4kAAAAAAAAAAAAAAAAAEAAAAZHJzL1BLAwQUAAAACACHTuJAxlkjJcMAAADj&#10;AAAADwAAAGRycy9kb3ducmV2LnhtbEWPT0vEMBDF74LfIYzgRdykVdZSN7uwgqCetCueh2Zsq80k&#10;JHH/fHvnIHiceW/e+81qc/Sz2lPKU2AL1cKAIu6Dm3iw8L57vG5A5YLscA5MFk6UYbM+P1th68KB&#10;32jflUFJCOcWLYylxFbr3I/kMS9CJBbtMySPRcY0aJfwIOF+1rUxS+1xYmkYMdLDSP139+Mt+Nvt&#10;1at/2d3Qto+6OzXx4ys9W3t5UZl7UIWO5d/8d/3kBL9e3lVNbSqBlp9kAXr9C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G&#10;WSMlwwAAAOMAAAAPAAAAAAAAAAEAIAAAACIAAABkcnMvZG93bnJldi54bWxQSwECFAAUAAAACACH&#10;TuJAMy8FnjsAAAA5AAAAEAAAAAAAAAABACAAAAASAQAAZHJzL3NoYXBleG1sLnhtbFBLBQYAAAAA&#10;BgAGAFsBAAC8AwAAAAA=&#10;">
                  <v:fill on="t" focussize="0,0"/>
                  <v:stroke color="#000000" joinstyle="round"/>
                  <v:imagedata o:title=""/>
                  <o:lock v:ext="edit" aspectratio="f"/>
                </v:shape>
              </v:group>
            </w:pict>
          </mc:Fallback>
        </mc:AlternateContent>
      </w:r>
      <w:r>
        <w:rPr>
          <w:rFonts w:ascii="Times New Roman" w:hAnsi="Times New Roman" w:cs="Times New Roman"/>
          <w:b/>
          <w:bCs/>
          <w:snapToGrid/>
          <w:color w:val="FF0000"/>
          <w:szCs w:val="24"/>
          <w:lang w:eastAsia="zh-CN"/>
        </w:rPr>
        <mc:AlternateContent>
          <mc:Choice Requires="wps">
            <w:drawing>
              <wp:anchor distT="0" distB="0" distL="114300" distR="114300" simplePos="0" relativeHeight="251892736" behindDoc="0" locked="0" layoutInCell="1" allowOverlap="1">
                <wp:simplePos x="0" y="0"/>
                <wp:positionH relativeFrom="column">
                  <wp:posOffset>4547870</wp:posOffset>
                </wp:positionH>
                <wp:positionV relativeFrom="paragraph">
                  <wp:posOffset>5334635</wp:posOffset>
                </wp:positionV>
                <wp:extent cx="269240" cy="190500"/>
                <wp:effectExtent l="0" t="0" r="16510" b="19050"/>
                <wp:wrapNone/>
                <wp:docPr id="208161994" name="矩形 729"/>
                <wp:cNvGraphicFramePr/>
                <a:graphic xmlns:a="http://schemas.openxmlformats.org/drawingml/2006/main">
                  <a:graphicData uri="http://schemas.microsoft.com/office/word/2010/wordprocessingShape">
                    <wps:wsp>
                      <wps:cNvSpPr/>
                      <wps:spPr>
                        <a:xfrm>
                          <a:off x="0" y="0"/>
                          <a:ext cx="269271" cy="190734"/>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729" o:spid="_x0000_s1026" o:spt="1" style="position:absolute;left:0pt;margin-left:358.1pt;margin-top:420.05pt;height:15pt;width:21.2pt;z-index:251892736;v-text-anchor:middle;mso-width-relative:page;mso-height-relative:page;" filled="f" stroked="t" coordsize="21600,21600" o:gfxdata="UEsDBAoAAAAAAIdO4kAAAAAAAAAAAAAAAAAEAAAAZHJzL1BLAwQUAAAACACHTuJAnzMIXtkAAAAL&#10;AQAADwAAAGRycy9kb3ducmV2LnhtbE2Py07DMBBF90j8gzVI7KidiCZRGqcSSKWLSjwKH+DG0zgQ&#10;25HttOXvGVawnDtHd84064sd2QlDHLyTkC0EMHSd14PrJXy8b+4qYDEpp9XoHUr4xgjr9vqqUbX2&#10;Z/eGp33qGZW4WCsJJqWp5jx2Bq2KCz+ho93RB6sSjaHnOqgzlduR50IU3KrB0QWjJnw02H3tZyvh&#10;eRuftp/FnO+ECgW+bMzrcvcg5e1NJlbAEl7SHwy/+qQOLTkd/Ox0ZKOEMityQiVU9yIDRkS5rApg&#10;B0pKSnjb8P8/tD9QSwMEFAAAAAgAh07iQDF0gzh0AgAA1AQAAA4AAABkcnMvZTJvRG9jLnhtbK1U&#10;zW4TMRC+I/EOlu90fwhNs8qmipoWIVW0UkGcHa83a8l/jJ1syssgceMheBzEazD2bppSOPRADs6M&#10;Z/yN5/M3Oz/fa0V2Ary0pqbFSU6JMNw20mxq+vHD1aszSnxgpmHKGlHTe+Hp+eLli3nvKlHazqpG&#10;AEEQ46ve1bQLwVVZ5nknNPMn1gmDwdaCZgFd2GQNsB7RtcrKPD/NeguNA8uF97i7GoJ0RITnANq2&#10;lVysLN9qYcKACkKxgC35TjpPF+m2bSt4uGlbLwJRNcVOQ1qxCNrruGaLOas2wFwn+XgF9pwrPOlJ&#10;M2mw6APUigVGtiD/gtKSg/W2DSfc6mxoJDGCXRT5E27uOuZE6gWp9u6BdP//YPn73S0Q2dS0zM+K&#10;02I2m1BimMaH//X1+88f38i0nEWWeucrTL5ztzB6Hs3Y8r4FHf+xGbJPzN4/MCv2gXDcLE9n5bSg&#10;hGOomOXT15OImR0PO/DhrbCaRKOmgA+X+GS7ax+G1ENKrGXslVQK91mlDOkRtJzm+KacoSJbVAKa&#10;2mFX3mwoYWqDUucBEqS3SjbxeDztYbO+UEB2DAVyeZnjb7zZH2mx9or5bshLoZjGKi0DToOSuqZn&#10;8fDhtDLYXuRsYClaa9vcI9dgBxF6x68kwl4zH24ZoOrw/jiX4QaXVllsyo4WJZ2FL//aj/koBoxS&#10;0qOKseHPWwaCEvXOoExmxWQSZZ+cyZtpiQ48jqwfR8xWX1jkAR8Kb5fMmB/UwWzB6k84vstYFUPM&#10;cKw9UDs6F2GYLvwAcLFcpjSUumPh2tw5HsGHB1xug21letsjOyNpKPakjnEw4zQ99lPW8WO0+A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fMwhe2QAAAAsBAAAPAAAAAAAAAAEAIAAAACIAAABkcnMv&#10;ZG93bnJldi54bWxQSwECFAAUAAAACACHTuJAMXSDOHQCAADUBAAADgAAAAAAAAABACAAAAAoAQAA&#10;ZHJzL2Uyb0RvYy54bWxQSwUGAAAAAAYABgBZAQAADgYAAAAA&#10;">
                <v:fill on="f" focussize="0,0"/>
                <v:stroke weight="1pt" color="#EE0000 [3204]" miterlimit="8" joinstyle="miter"/>
                <v:imagedata o:title=""/>
                <o:lock v:ext="edit" aspectratio="f"/>
              </v:rect>
            </w:pict>
          </mc:Fallback>
        </mc:AlternateContent>
      </w:r>
      <w:r>
        <w:rPr>
          <w:snapToGrid/>
        </w:rPr>
        <mc:AlternateContent>
          <mc:Choice Requires="wps">
            <w:drawing>
              <wp:anchor distT="0" distB="0" distL="114300" distR="114300" simplePos="0" relativeHeight="251891712" behindDoc="0" locked="0" layoutInCell="1" allowOverlap="1">
                <wp:simplePos x="0" y="0"/>
                <wp:positionH relativeFrom="column">
                  <wp:posOffset>4592955</wp:posOffset>
                </wp:positionH>
                <wp:positionV relativeFrom="paragraph">
                  <wp:posOffset>5176520</wp:posOffset>
                </wp:positionV>
                <wp:extent cx="96520" cy="93345"/>
                <wp:effectExtent l="0" t="0" r="0" b="0"/>
                <wp:wrapNone/>
                <wp:docPr id="2098242756" name="椭圆 845"/>
                <wp:cNvGraphicFramePr/>
                <a:graphic xmlns:a="http://schemas.openxmlformats.org/drawingml/2006/main">
                  <a:graphicData uri="http://schemas.microsoft.com/office/word/2010/wordprocessingShape">
                    <wps:wsp>
                      <wps:cNvSpPr>
                        <a:spLocks noChangeArrowheads="1"/>
                      </wps:cNvSpPr>
                      <wps:spPr bwMode="auto">
                        <a:xfrm>
                          <a:off x="0" y="0"/>
                          <a:ext cx="96213" cy="93454"/>
                        </a:xfrm>
                        <a:prstGeom prst="ellipse">
                          <a:avLst/>
                        </a:prstGeom>
                        <a:solidFill>
                          <a:srgbClr val="FFFF00"/>
                        </a:solidFill>
                        <a:ln w="9525">
                          <a:solidFill>
                            <a:srgbClr val="000000"/>
                          </a:solidFill>
                          <a:round/>
                        </a:ln>
                      </wps:spPr>
                      <wps:bodyPr rot="0" vert="horz" wrap="square" lIns="91440" tIns="45720" rIns="91440" bIns="45720" anchor="t" anchorCtr="0" upright="1">
                        <a:noAutofit/>
                      </wps:bodyPr>
                    </wps:wsp>
                  </a:graphicData>
                </a:graphic>
              </wp:anchor>
            </w:drawing>
          </mc:Choice>
          <mc:Fallback>
            <w:pict>
              <v:shape id="椭圆 845" o:spid="_x0000_s1026" o:spt="3" type="#_x0000_t3" style="position:absolute;left:0pt;margin-left:361.65pt;margin-top:407.6pt;height:7.35pt;width:7.6pt;z-index:251891712;mso-width-relative:page;mso-height-relative:page;" fillcolor="#FFFF00" filled="t" stroked="t" coordsize="21600,21600" o:gfxdata="UEsDBAoAAAAAAIdO4kAAAAAAAAAAAAAAAAAEAAAAZHJzL1BLAwQUAAAACACHTuJAK/TdXNoAAAAL&#10;AQAADwAAAGRycy9kb3ducmV2LnhtbE2Py07DMBBF90j8gzVIbBB1HpSmIU6lIrGgK0gRazcekkA8&#10;tmL39fdMV7CcmaM751arkx3FAacwOFKQzhIQSK0zA3UKPrYv9wWIEDUZPTpCBWcMsKqvrypdGnek&#10;dzw0sRMcQqHUCvoYfSllaHu0OsycR+Lbl5usjjxOnTSTPnK4HWWWJI/S6oH4Q689PvfY/jR7q8A+&#10;rO/e7Gab47r1sjkX/vN7elXq9iZNnkBEPMU/GC76rA41O+3cnkwQo4JFlueMKijSeQaCiUVezEHs&#10;eJMtlyDrSv7vUP8CUEsDBBQAAAAIAIdO4kC2FpD9PAIAAG0EAAAOAAAAZHJzL2Uyb0RvYy54bWyt&#10;VMFu2zAMvQ/YPwi6r3Zcp22MOEXRosOAbivQ7QMUWY6FyaJGKXG6D9hX7NjrPmv7jlFy2iXdpYf5&#10;IIgi9fj4SHl+vu0N2yj0GmzNJ0c5Z8pKaLRd1fzzp+s3Z5z5IGwjDFhV83vl+fni9av54CpVQAem&#10;UcgIxPpqcDXvQnBVlnnZqV74I3DKkrMF7EUgE1dZg2Ig9N5kRZ6fZANg4xCk8p5Or0Yn3yHiSwCh&#10;bbVUVyDXvbJhREVlRKCSfKed54vEtm2VDB/b1qvATM2p0pBWSkL7ZVyzxVxUKxSu03JHQbyEwrOa&#10;eqEtJX2CuhJBsDXqf6B6LRE8tOFIQp+NhSRFqIpJ/kybu044lWohqb17Et3/P1j5YXOLTDc1L/LZ&#10;WVEWp9MTzqzoqfO/H37++vGdnZXTKNPgfEXRd+4WY6He3YD84pmFy07YlbpAhKFToiFykxifHVyI&#10;hqerbDm8h4bAxTpAUmzbYh8BSQu2TY25f2qM2gYm6XB2UkyOOZPkmR2X0zLhi+rxqkMf3iroWdzU&#10;XBlDMxCFE5XY3PgQ2YjqMSqxB6Oba21MMnC1vDTINoKG5Jq+PM0FXfH7YcaygfJPi2lCPvD5fYg8&#10;fTuOB2EIa9uMbIzdSRRVGdVdQnNPCiGMU0pvlDYd4DfOBprQmvuva4GKM/POksqzSVnGkU5GOT0t&#10;yMB9z3LfI6wkqJoHzsbtZRifwdqhXnWUaZLKsnBBnWl1Ei12bWS1I0tTmLTcvZg45vt2ivr7l1j8&#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Cv03VzaAAAACwEAAA8AAAAAAAAAAQAgAAAAIgAAAGRy&#10;cy9kb3ducmV2LnhtbFBLAQIUABQAAAAIAIdO4kC2FpD9PAIAAG0EAAAOAAAAAAAAAAEAIAAAACkB&#10;AABkcnMvZTJvRG9jLnhtbFBLBQYAAAAABgAGAFkBAADXBQAAAAA=&#10;">
                <v:fill on="t" focussize="0,0"/>
                <v:stroke color="#000000" joinstyle="round"/>
                <v:imagedata o:title=""/>
                <o:lock v:ext="edit" aspectratio="f"/>
              </v:shape>
            </w:pict>
          </mc:Fallback>
        </mc:AlternateContent>
      </w:r>
      <w:r>
        <w:rPr>
          <w:rFonts w:ascii="Times New Roman" w:hAnsi="Times New Roman" w:cs="Times New Roman"/>
          <w:color w:val="auto"/>
        </w:rPr>
        <w:drawing>
          <wp:anchor distT="0" distB="0" distL="114300" distR="114300" simplePos="0" relativeHeight="251753472" behindDoc="0" locked="0" layoutInCell="1" allowOverlap="1">
            <wp:simplePos x="0" y="0"/>
            <wp:positionH relativeFrom="margin">
              <wp:align>right</wp:align>
            </wp:positionH>
            <wp:positionV relativeFrom="paragraph">
              <wp:posOffset>391795</wp:posOffset>
            </wp:positionV>
            <wp:extent cx="875030" cy="661670"/>
            <wp:effectExtent l="0" t="0" r="1270" b="5080"/>
            <wp:wrapNone/>
            <wp:docPr id="1786196505"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196505" name="图片 12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875030" cy="661670"/>
                    </a:xfrm>
                    <a:prstGeom prst="rect">
                      <a:avLst/>
                    </a:prstGeom>
                    <a:noFill/>
                    <a:ln>
                      <a:noFill/>
                    </a:ln>
                  </pic:spPr>
                </pic:pic>
              </a:graphicData>
            </a:graphic>
          </wp:anchor>
        </w:drawing>
      </w:r>
      <w:r>
        <mc:AlternateContent>
          <mc:Choice Requires="wps">
            <w:drawing>
              <wp:anchor distT="0" distB="0" distL="114300" distR="114300" simplePos="0" relativeHeight="251890688" behindDoc="0" locked="0" layoutInCell="1" allowOverlap="1">
                <wp:simplePos x="0" y="0"/>
                <wp:positionH relativeFrom="column">
                  <wp:posOffset>4491990</wp:posOffset>
                </wp:positionH>
                <wp:positionV relativeFrom="paragraph">
                  <wp:posOffset>5642610</wp:posOffset>
                </wp:positionV>
                <wp:extent cx="391795" cy="635"/>
                <wp:effectExtent l="16510" t="60325" r="20320" b="53340"/>
                <wp:wrapNone/>
                <wp:docPr id="1402172560" name="自选图形 5041"/>
                <wp:cNvGraphicFramePr/>
                <a:graphic xmlns:a="http://schemas.openxmlformats.org/drawingml/2006/main">
                  <a:graphicData uri="http://schemas.microsoft.com/office/word/2010/wordprocessingShape">
                    <wps:wsp>
                      <wps:cNvCnPr>
                        <a:cxnSpLocks noChangeShapeType="1"/>
                      </wps:cNvCnPr>
                      <wps:spPr bwMode="auto">
                        <a:xfrm flipV="1">
                          <a:off x="0" y="0"/>
                          <a:ext cx="391795" cy="635"/>
                        </a:xfrm>
                        <a:prstGeom prst="straightConnector1">
                          <a:avLst/>
                        </a:prstGeom>
                        <a:noFill/>
                        <a:ln w="9525">
                          <a:solidFill>
                            <a:srgbClr val="EE0000"/>
                          </a:solidFill>
                          <a:round/>
                          <a:headEnd type="triangle" w="med" len="med"/>
                          <a:tailEnd type="triangle" w="med" len="med"/>
                        </a:ln>
                      </wps:spPr>
                      <wps:bodyPr/>
                    </wps:wsp>
                  </a:graphicData>
                </a:graphic>
              </wp:anchor>
            </w:drawing>
          </mc:Choice>
          <mc:Fallback>
            <w:pict>
              <v:shape id="自选图形 5041" o:spid="_x0000_s1026" o:spt="32" type="#_x0000_t32" style="position:absolute;left:0pt;flip:y;margin-left:353.7pt;margin-top:444.3pt;height:0.05pt;width:30.85pt;z-index:251890688;mso-width-relative:page;mso-height-relative:page;" filled="f" stroked="t" coordsize="21600,21600" o:gfxdata="UEsDBAoAAAAAAIdO4kAAAAAAAAAAAAAAAAAEAAAAZHJzL1BLAwQUAAAACACHTuJAnarK4dkAAAAL&#10;AQAADwAAAGRycy9kb3ducmV2LnhtbE2PTU/DMAyG70j8h8hI3FjSaWq7rukOSAg47LAxIY5eY9qK&#10;xClN9sG/J3CBo+1Hr5+3Xl+cFSeawuBZQzZTIIhbbwbuNOxfHu5KECEiG7SeScMXBVg311c1Vsaf&#10;eUunXexECuFQoYY+xrGSMrQ9OQwzPxKn27ufHMY0Tp00E55TuLNyrlQuHQ6cPvQ40n1P7cfu6DSo&#10;xeZTzbEgSxvz+vS499nz9k3r25tMrUBEusQ/GH70kzo0yengj2yCsBoKVSwSqqEsyxxEIop8mYE4&#10;/G4KkE0t/3dovgFQSwMEFAAAAAgAh07iQB/M3OohAgAAKAQAAA4AAABkcnMvZTJvRG9jLnhtbK1T&#10;sXITMRDtmeEfNOrxnZ3YwTc+p7AdmgCZSaCXJd2dBp1WI8k+u6Nj+AY6Sv4B/iYz8BesdI4hoXHB&#10;FTeSdt/bfU+r2eWu1WQrnVdgSjoc5JRIw0EoU5f03d3Vi5eU+MCMYBqMLOleeno5f/5s1tlCjqAB&#10;LaQjSGJ80dmSNiHYIss8b2TL/ACsNBiswLUs4NbVmXCsQ/ZWZ6M8n2QdOGEdcOk9ni77ID0wulMI&#10;oaoUl0vgm1aa0LM6qVlASb5R1tN56raqJA9vq8rLQHRJUWlIfyyC63X8Z/MZK2rHbKP4oQV2SgtP&#10;NLVMGSx6pFqywMjGqX+oWsUdeKjCgEOb9UKSI6himD/x5rZhViYtaLW3R9P9/6Plb7Y3jiiBk3Ce&#10;j4YXo/EErTGsxZv/+enbr4+f77/8uP/+lYzz82F0q7O+QNDC3Liol+/Mrb0G/sETA4uGmVqmru/2&#10;FhkSInsEiRtvsea6ew0Cc9gmQLJuV7mWVFrZ9xEYydEeskt3tT/eldwFwvHwbDq8mI4p4RianI1j&#10;axkrIkdEWufDKwktiYuS+uCYqpuwAGNwJMD1/Gx77UMPfABEsIErpXWaDG1IV9LpeDRODXnQSsRg&#10;TPOuXi+0I1uGs7Va5fgduniU5mBjRCJrJBMrI0hI3gSn0C0taazQSkGJlvgg4yplB6b0qdmoXBs0&#10;4MHc/prWIPY3LuqL5zhAyaLDsMcJ/Xufsv488Pl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narK&#10;4dkAAAALAQAADwAAAAAAAAABACAAAAAiAAAAZHJzL2Rvd25yZXYueG1sUEsBAhQAFAAAAAgAh07i&#10;QB/M3OohAgAAKAQAAA4AAAAAAAAAAQAgAAAAKAEAAGRycy9lMm9Eb2MueG1sUEsFBgAAAAAGAAYA&#10;WQEAALsFAAAAAA==&#10;">
                <v:fill on="f" focussize="0,0"/>
                <v:stroke color="#EE0000" joinstyle="round" startarrow="block" endarrow="block"/>
                <v:imagedata o:title=""/>
                <o:lock v:ext="edit" aspectratio="f"/>
              </v:shape>
            </w:pict>
          </mc:Fallback>
        </mc:AlternateContent>
      </w:r>
      <w:r>
        <w:rPr>
          <w:snapToGrid/>
        </w:rPr>
        <mc:AlternateContent>
          <mc:Choice Requires="wps">
            <w:drawing>
              <wp:anchor distT="0" distB="0" distL="114300" distR="114300" simplePos="0" relativeHeight="251889664" behindDoc="0" locked="0" layoutInCell="1" allowOverlap="1">
                <wp:simplePos x="0" y="0"/>
                <wp:positionH relativeFrom="column">
                  <wp:posOffset>4353560</wp:posOffset>
                </wp:positionH>
                <wp:positionV relativeFrom="paragraph">
                  <wp:posOffset>5061585</wp:posOffset>
                </wp:positionV>
                <wp:extent cx="1529715" cy="699135"/>
                <wp:effectExtent l="0" t="0" r="0" b="0"/>
                <wp:wrapNone/>
                <wp:docPr id="622993289" name="矩形 21"/>
                <wp:cNvGraphicFramePr/>
                <a:graphic xmlns:a="http://schemas.openxmlformats.org/drawingml/2006/main">
                  <a:graphicData uri="http://schemas.microsoft.com/office/word/2010/wordprocessingShape">
                    <wps:wsp>
                      <wps:cNvSpPr>
                        <a:spLocks noChangeArrowheads="1"/>
                      </wps:cNvSpPr>
                      <wps:spPr bwMode="auto">
                        <a:xfrm>
                          <a:off x="0" y="0"/>
                          <a:ext cx="1529472" cy="699239"/>
                        </a:xfrm>
                        <a:prstGeom prst="rect">
                          <a:avLst/>
                        </a:prstGeom>
                        <a:solidFill>
                          <a:srgbClr val="FFFFFF"/>
                        </a:solidFill>
                        <a:ln w="9525">
                          <a:solidFill>
                            <a:srgbClr val="000000"/>
                          </a:solidFill>
                          <a:miter lim="800000"/>
                          <a:tailEnd type="arrow" w="med" len="med"/>
                        </a:ln>
                      </wps:spPr>
                      <wps:txbx>
                        <w:txbxContent>
                          <w:p w14:paraId="289F4740">
                            <w:pPr>
                              <w:widowControl w:val="0"/>
                              <w:adjustRightInd w:val="0"/>
                              <w:snapToGrid w:val="0"/>
                              <w:spacing w:line="320" w:lineRule="exact"/>
                              <w:ind w:firstLine="420"/>
                              <w:jc w:val="right"/>
                              <w:rPr>
                                <w:sz w:val="21"/>
                                <w:lang w:eastAsia="zh-CN"/>
                              </w:rPr>
                            </w:pPr>
                            <w:r>
                              <w:rPr>
                                <w:rFonts w:hint="eastAsia"/>
                                <w:sz w:val="21"/>
                                <w:lang w:eastAsia="zh-CN"/>
                              </w:rPr>
                              <w:t>污水处理厂</w:t>
                            </w:r>
                          </w:p>
                          <w:p w14:paraId="017D3413">
                            <w:pPr>
                              <w:widowControl w:val="0"/>
                              <w:adjustRightInd w:val="0"/>
                              <w:snapToGrid w:val="0"/>
                              <w:spacing w:line="320" w:lineRule="exact"/>
                              <w:ind w:firstLine="420"/>
                              <w:jc w:val="right"/>
                              <w:rPr>
                                <w:sz w:val="21"/>
                                <w:lang w:eastAsia="zh-CN"/>
                              </w:rPr>
                            </w:pPr>
                            <w:r>
                              <w:rPr>
                                <w:rFonts w:hint="eastAsia"/>
                                <w:sz w:val="21"/>
                                <w:lang w:eastAsia="zh-CN"/>
                              </w:rPr>
                              <w:t>项目地</w:t>
                            </w:r>
                          </w:p>
                          <w:p w14:paraId="3B437DDE">
                            <w:pPr>
                              <w:widowControl w:val="0"/>
                              <w:adjustRightInd w:val="0"/>
                              <w:snapToGrid w:val="0"/>
                              <w:spacing w:line="320" w:lineRule="exact"/>
                              <w:ind w:firstLine="420"/>
                              <w:jc w:val="right"/>
                              <w:rPr>
                                <w:sz w:val="21"/>
                                <w:lang w:eastAsia="zh-CN"/>
                              </w:rPr>
                            </w:pPr>
                            <w:r>
                              <w:rPr>
                                <w:rFonts w:hint="eastAsia"/>
                                <w:sz w:val="21"/>
                                <w:lang w:eastAsia="zh-CN"/>
                              </w:rPr>
                              <w:t>监测断面</w:t>
                            </w:r>
                          </w:p>
                        </w:txbxContent>
                      </wps:txbx>
                      <wps:bodyPr rot="0" vert="horz" wrap="square" lIns="91440" tIns="45720" rIns="91440" bIns="45720" anchor="t" anchorCtr="0" upright="1">
                        <a:noAutofit/>
                      </wps:bodyPr>
                    </wps:wsp>
                  </a:graphicData>
                </a:graphic>
              </wp:anchor>
            </w:drawing>
          </mc:Choice>
          <mc:Fallback>
            <w:pict>
              <v:rect id="矩形 21" o:spid="_x0000_s1026" o:spt="1" style="position:absolute;left:0pt;margin-left:342.8pt;margin-top:398.55pt;height:55.05pt;width:120.45pt;z-index:251889664;mso-width-relative:page;mso-height-relative:page;" fillcolor="#FFFFFF" filled="t" stroked="t" coordsize="21600,21600" o:gfxdata="UEsDBAoAAAAAAIdO4kAAAAAAAAAAAAAAAAAEAAAAZHJzL1BLAwQUAAAACACHTuJASz5DRN0AAAAL&#10;AQAADwAAAGRycy9kb3ducmV2LnhtbE2PPU/DMBCGdyT+g3VILIjaidokTeN0QGKoxABtFjY3uSah&#10;8TnE7gf8eo4Jtjvdo/eet1hf7SDOOPnekYZopkAg1a7pqdVQ7Z4fMxA+GGrM4Ag1fKGHdXl7U5i8&#10;cRd6w/M2tIJDyOdGQxfCmEvp6w6t8TM3IvHt4CZrAq9TK5vJXDjcDjJWKpHW9MQfOjPiU4f1cXuy&#10;GubfWet3Lzj//Ng8VFHVv78eq43W93eRWoEIeA1/MPzqszqU7LR3J2q8GDQk2SJhVEO6TCMQTCzj&#10;ZAFiz4NKY5BlIf93KH8AUEsDBBQAAAAIAIdO4kDweAUxWAIAAK4EAAAOAAAAZHJzL2Uyb0RvYy54&#10;bWytVM1uEzEQviPxDpbvZJNt0mZX3VRVSxBSgUqFB3C83qyF/xg72YSXQeqNh+BxEK/B2LsNaeHQ&#10;A3uwZjzjzzPf59nzi51WZCvAS2sqOhmNKRGG21qadUU/fVy+mlPiAzM1U9aIiu6FpxeLly/OO1eK&#10;3LZW1QIIghhfdq6ibQiuzDLPW6GZH1knDAYbC5oFdGGd1cA6RNcqy8fj06yzUDuwXHiPu9d9kA6I&#10;8BxA2zSSi2vLN1qY0KOCUCxgS76VztNFqrZpBA8fmsaLQFRFsdOQVrwE7VVcs8U5K9fAXCv5UAJ7&#10;TglPetJMGrz0AHXNAiMbkH9BacnBetuEEbc66xtJjGAXk/ETbu5a5kTqBan27kC6/3+w/P32Fois&#10;K3qa50Vxks8LSgzTKPyvb99//rgn+SSS1DlfYu6du4XYpnc3ln/2xNirlpm1uASwXStYjaWl/OzR&#10;geh4PEpW3TtbIzbbBJv42jWgIyAyQXZJlv1BFrELhOPmZJYX07OcEo6x06LIT4pYUsbKh9MOfHgj&#10;rCbRqCig7AmdbW986FMfUlL1Vsl6KZVKDqxXVwrIluETWaZvQPfHacqQrqLFLJ8l5EcxfwwxTt+/&#10;ILQMODlK6orOD0msDEyq16YmYe8iM5FJGu/SoqZECRzSaPVdKIN9P7DZqxJ2q90g0MrWeyQZbP/M&#10;ccjRaC18RTx84hX1XzYMBKK+NShUMZlO40wkZzo7y9GB48jqOMIMR6iKBkp68yr0c7RxINct3jRJ&#10;zBh7ieI2MvEeS+2rGurGZ5yUG0Yuzsmxn7L+/GY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L&#10;PkNE3QAAAAsBAAAPAAAAAAAAAAEAIAAAACIAAABkcnMvZG93bnJldi54bWxQSwECFAAUAAAACACH&#10;TuJA8HgFMVgCAACuBAAADgAAAAAAAAABACAAAAAsAQAAZHJzL2Uyb0RvYy54bWxQSwUGAAAAAAYA&#10;BgBZAQAA9gUAAAAA&#10;">
                <v:fill on="t" focussize="0,0"/>
                <v:stroke color="#000000" miterlimit="8" joinstyle="miter" endarrow="open"/>
                <v:imagedata o:title=""/>
                <o:lock v:ext="edit" aspectratio="f"/>
                <v:textbox>
                  <w:txbxContent>
                    <w:p w14:paraId="289F4740">
                      <w:pPr>
                        <w:widowControl w:val="0"/>
                        <w:adjustRightInd w:val="0"/>
                        <w:snapToGrid w:val="0"/>
                        <w:spacing w:line="320" w:lineRule="exact"/>
                        <w:ind w:firstLine="420"/>
                        <w:jc w:val="right"/>
                        <w:rPr>
                          <w:sz w:val="21"/>
                          <w:lang w:eastAsia="zh-CN"/>
                        </w:rPr>
                      </w:pPr>
                      <w:r>
                        <w:rPr>
                          <w:rFonts w:hint="eastAsia"/>
                          <w:sz w:val="21"/>
                          <w:lang w:eastAsia="zh-CN"/>
                        </w:rPr>
                        <w:t>污水处理厂</w:t>
                      </w:r>
                    </w:p>
                    <w:p w14:paraId="017D3413">
                      <w:pPr>
                        <w:widowControl w:val="0"/>
                        <w:adjustRightInd w:val="0"/>
                        <w:snapToGrid w:val="0"/>
                        <w:spacing w:line="320" w:lineRule="exact"/>
                        <w:ind w:firstLine="420"/>
                        <w:jc w:val="right"/>
                        <w:rPr>
                          <w:sz w:val="21"/>
                          <w:lang w:eastAsia="zh-CN"/>
                        </w:rPr>
                      </w:pPr>
                      <w:r>
                        <w:rPr>
                          <w:rFonts w:hint="eastAsia"/>
                          <w:sz w:val="21"/>
                          <w:lang w:eastAsia="zh-CN"/>
                        </w:rPr>
                        <w:t>项目地</w:t>
                      </w:r>
                    </w:p>
                    <w:p w14:paraId="3B437DDE">
                      <w:pPr>
                        <w:widowControl w:val="0"/>
                        <w:adjustRightInd w:val="0"/>
                        <w:snapToGrid w:val="0"/>
                        <w:spacing w:line="320" w:lineRule="exact"/>
                        <w:ind w:firstLine="420"/>
                        <w:jc w:val="right"/>
                        <w:rPr>
                          <w:sz w:val="21"/>
                          <w:lang w:eastAsia="zh-CN"/>
                        </w:rPr>
                      </w:pPr>
                      <w:r>
                        <w:rPr>
                          <w:rFonts w:hint="eastAsia"/>
                          <w:sz w:val="21"/>
                          <w:lang w:eastAsia="zh-CN"/>
                        </w:rPr>
                        <w:t>监测断面</w:t>
                      </w:r>
                    </w:p>
                  </w:txbxContent>
                </v:textbox>
              </v:rect>
            </w:pict>
          </mc:Fallback>
        </mc:AlternateContent>
      </w:r>
      <w:r>
        <w:rPr>
          <w:rFonts w:ascii="Times New Roman" w:hAnsi="Times New Roman" w:cs="Times New Roman"/>
          <w:b/>
          <w:bCs/>
          <w:snapToGrid/>
          <w:color w:val="auto"/>
          <w:lang w:eastAsia="zh-CN"/>
        </w:rPr>
        <mc:AlternateContent>
          <mc:Choice Requires="wps">
            <w:drawing>
              <wp:anchor distT="0" distB="0" distL="114300" distR="114300" simplePos="0" relativeHeight="251846656" behindDoc="0" locked="0" layoutInCell="1" allowOverlap="1">
                <wp:simplePos x="0" y="0"/>
                <wp:positionH relativeFrom="column">
                  <wp:posOffset>4647565</wp:posOffset>
                </wp:positionH>
                <wp:positionV relativeFrom="paragraph">
                  <wp:posOffset>1169670</wp:posOffset>
                </wp:positionV>
                <wp:extent cx="1110615" cy="314325"/>
                <wp:effectExtent l="0" t="0" r="70485" b="485775"/>
                <wp:wrapNone/>
                <wp:docPr id="1210002776" name="圆角矩形标注 5"/>
                <wp:cNvGraphicFramePr/>
                <a:graphic xmlns:a="http://schemas.openxmlformats.org/drawingml/2006/main">
                  <a:graphicData uri="http://schemas.microsoft.com/office/word/2010/wordprocessingShape">
                    <wps:wsp>
                      <wps:cNvSpPr>
                        <a:spLocks noChangeArrowheads="1"/>
                      </wps:cNvSpPr>
                      <wps:spPr bwMode="auto">
                        <a:xfrm>
                          <a:off x="0" y="0"/>
                          <a:ext cx="1110615" cy="314325"/>
                        </a:xfrm>
                        <a:prstGeom prst="wedgeRoundRectCallout">
                          <a:avLst>
                            <a:gd name="adj1" fmla="val 52046"/>
                            <a:gd name="adj2" fmla="val 177635"/>
                            <a:gd name="adj3" fmla="val 16667"/>
                          </a:avLst>
                        </a:prstGeom>
                        <a:solidFill>
                          <a:srgbClr val="4874CB"/>
                        </a:solidFill>
                        <a:ln w="12700">
                          <a:solidFill>
                            <a:srgbClr val="2E54A1"/>
                          </a:solidFill>
                          <a:miter lim="800000"/>
                        </a:ln>
                      </wps:spPr>
                      <wps:txbx>
                        <w:txbxContent>
                          <w:p w14:paraId="4A95CCEF">
                            <w:pPr>
                              <w:jc w:val="center"/>
                              <w:rPr>
                                <w:b/>
                                <w:bCs/>
                                <w:color w:val="FFFFFF"/>
                                <w:lang w:eastAsia="zh-CN"/>
                              </w:rPr>
                            </w:pPr>
                            <w:r>
                              <w:rPr>
                                <w:rFonts w:hint="eastAsia"/>
                                <w:b/>
                                <w:bCs/>
                                <w:color w:val="FFFFFF"/>
                                <w:lang w:eastAsia="zh-CN"/>
                              </w:rPr>
                              <w:t>项目位置</w:t>
                            </w:r>
                          </w:p>
                        </w:txbxContent>
                      </wps:txbx>
                      <wps:bodyPr rot="0" vert="horz" wrap="square" lIns="91440" tIns="45720" rIns="91440" bIns="45720" anchor="ctr" anchorCtr="0" upright="1">
                        <a:noAutofit/>
                      </wps:bodyPr>
                    </wps:wsp>
                  </a:graphicData>
                </a:graphic>
              </wp:anchor>
            </w:drawing>
          </mc:Choice>
          <mc:Fallback>
            <w:pict>
              <v:shape id="圆角矩形标注 5" o:spid="_x0000_s1026" o:spt="62" type="#_x0000_t62" style="position:absolute;left:0pt;margin-left:365.95pt;margin-top:92.1pt;height:24.75pt;width:87.45pt;z-index:251846656;v-text-anchor:middle;mso-width-relative:page;mso-height-relative:page;" fillcolor="#4874CB" filled="t" stroked="t" coordsize="21600,21600" o:gfxdata="UEsDBAoAAAAAAIdO4kAAAAAAAAAAAAAAAAAEAAAAZHJzL1BLAwQUAAAACACHTuJAIHj+t9oAAAAL&#10;AQAADwAAAGRycy9kb3ducmV2LnhtbE2PwU7DMBBE70j8g7VIXBC146CmDXF6iFSJE4ICEkfXdpOI&#10;eB3FbtP+PcuJHlfzNPum2pz9wE5uin1ABdlCAHNogu2xVfD5sX1cAYtJo9VDQKfg4iJs6tubSpc2&#10;zPjuTrvUMirBWGoFXUpjyXk0nfM6LsLokLJDmLxOdE4tt5OeqdwPXAqx5F73SB86Pbqmc+Znd/QK&#10;8PuhOOTmbWjkpW9MK7fzy+uXUvd3mXgGltw5/cPwp0/qUJPTPhzRRjYoKPJsTSgFqycJjIi1WNKY&#10;vQKZ5wXwuuLXG+pfUEsDBBQAAAAIAIdO4kBX9YF7nQIAABkFAAAOAAAAZHJzL2Uyb0RvYy54bWyt&#10;VM1u1DAQviPxDpbvND+bzZao2apsKULip2rhAbyOkxgc29jOZssDwJ0zEogLcObM47TwGEyctKTl&#10;0gOXyJMZf/PNfDPe2982Am2YsVzJHEc7IUZMUlVwWeX45Yuje7sYWUdkQYSSLMdnzOL95d07e53O&#10;WKxqJQpmEIBIm3U6x7VzOgsCS2vWELujNJPgLJVpiAPTVEFhSAfojQjiMEyDTplCG0WZtfD3cHDi&#10;EdHcBlCVJafsUNG2YdINqIYJ4qAkW3Nt8dKzLUtG3fOytMwhkWOo1PkvJIHzuv8Gyz2SVYbomtOR&#10;ArkNhRs1NYRLSHoFdUgcQa3h/0A1nBplVel2qGqCoRDfEagiCm/05rQmmvlaoNVWXzXd/j9Y+mxz&#10;bBAvYBLiKAzDeLFIMZKkAeXPP777/fXDr0/fz39+ufj8/uLHNzTvG9Zpm8G9U31s+pKtfqLoa4uk&#10;WtVEVuzAGNXVjBRAM+rjg2sXesPCVbTunqoC0pDWKd+7bWmaHhC6grZeorMridjWIQo/oygK02iO&#10;EQXfLEpmsacUkOzytjbWPWKqQf0hxx0rKnaiWlmcwDCsiBCqdT4d2TyxzmtWjAWT4lWEUdkIGIEN&#10;EWgeh0k6jsgkJp7GRNCwmecA4k+CZteC0jRd+FaQbEwLjC+Z+iYqwYsjLoQ3TLVeCYOAQ46T3UWy&#10;ejBettMwIVHX67YIQ1/QNaedYsQP58nBoAXoNcVouINtFrzJ8S7ID0i9YCQTctStl2qQ3G3X21H9&#10;tSrOQEGjhn2C1wQOtTJvMepgl3Js37TEMIzEYwlTcD9Kkn75vJHMFzEYZupZTz1EUoDKMXUGo8FY&#10;uWFlW214VUOuyBcs1QHMTsnd5ZANvEbmsDG+lHG7+5Wc2j7q74u2/A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AgeP632gAAAAsBAAAPAAAAAAAAAAEAIAAAACIAAABkcnMvZG93bnJldi54bWxQSwEC&#10;FAAUAAAACACHTuJAV/WBe50CAAAZBQAADgAAAAAAAAABACAAAAApAQAAZHJzL2Uyb0RvYy54bWxQ&#10;SwUGAAAAAAYABgBZAQAAOAYAAAAA&#10;" adj="22042,49169,14400">
                <v:fill on="t" focussize="0,0"/>
                <v:stroke weight="1pt" color="#2E54A1" miterlimit="8" joinstyle="miter"/>
                <v:imagedata o:title=""/>
                <o:lock v:ext="edit" aspectratio="f"/>
                <v:textbox>
                  <w:txbxContent>
                    <w:p w14:paraId="4A95CCEF">
                      <w:pPr>
                        <w:jc w:val="center"/>
                        <w:rPr>
                          <w:b/>
                          <w:bCs/>
                          <w:color w:val="FFFFFF"/>
                          <w:lang w:eastAsia="zh-CN"/>
                        </w:rPr>
                      </w:pPr>
                      <w:r>
                        <w:rPr>
                          <w:rFonts w:hint="eastAsia"/>
                          <w:b/>
                          <w:bCs/>
                          <w:color w:val="FFFFFF"/>
                          <w:lang w:eastAsia="zh-CN"/>
                        </w:rPr>
                        <w:t>项目位置</w:t>
                      </w:r>
                    </w:p>
                  </w:txbxContent>
                </v:textbox>
              </v:shape>
            </w:pict>
          </mc:Fallback>
        </mc:AlternateContent>
      </w:r>
      <w:r>
        <w:rPr>
          <w:snapToGrid/>
        </w:rPr>
        <w:drawing>
          <wp:inline distT="0" distB="0" distL="0" distR="0">
            <wp:extent cx="6188710" cy="7088505"/>
            <wp:effectExtent l="0" t="0" r="2540" b="0"/>
            <wp:docPr id="4522054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205420" name="图片 1"/>
                    <pic:cNvPicPr>
                      <a:picLocks noChangeAspect="1"/>
                    </pic:cNvPicPr>
                  </pic:nvPicPr>
                  <pic:blipFill>
                    <a:blip r:embed="rId65"/>
                    <a:stretch>
                      <a:fillRect/>
                    </a:stretch>
                  </pic:blipFill>
                  <pic:spPr>
                    <a:xfrm>
                      <a:off x="0" y="0"/>
                      <a:ext cx="6188710" cy="7088505"/>
                    </a:xfrm>
                    <a:prstGeom prst="rect">
                      <a:avLst/>
                    </a:prstGeom>
                  </pic:spPr>
                </pic:pic>
              </a:graphicData>
            </a:graphic>
          </wp:inline>
        </w:drawing>
      </w:r>
    </w:p>
    <w:p w14:paraId="4E93D058">
      <w:pPr>
        <w:pStyle w:val="42"/>
        <w:jc w:val="center"/>
        <w:rPr>
          <w:b/>
          <w:bCs/>
          <w:color w:val="auto"/>
        </w:rPr>
      </w:pPr>
      <w:r>
        <w:rPr>
          <w:b/>
          <w:bCs/>
          <w:color w:val="auto"/>
        </w:rPr>
        <w:t>图5.2-2 地表水引用监测断面图</w:t>
      </w:r>
    </w:p>
    <w:p w14:paraId="17ACA86C">
      <w:pPr>
        <w:widowControl w:val="0"/>
        <w:spacing w:line="360" w:lineRule="auto"/>
        <w:ind w:firstLine="480" w:firstLineChars="200"/>
        <w:jc w:val="both"/>
        <w:rPr>
          <w:rFonts w:ascii="Times New Roman" w:hAnsi="Times New Roman" w:cs="Times New Roman"/>
          <w:color w:val="auto"/>
          <w:szCs w:val="24"/>
          <w:lang w:eastAsia="zh-CN"/>
        </w:rPr>
      </w:pPr>
      <w:bookmarkStart w:id="1203" w:name="_Toc23519"/>
      <w:bookmarkStart w:id="1204" w:name="_Toc2618"/>
      <w:bookmarkStart w:id="1205" w:name="_Toc987"/>
      <w:r>
        <w:rPr>
          <w:rFonts w:ascii="Times New Roman" w:hAnsi="Times New Roman" w:cs="Times New Roman"/>
          <w:color w:val="auto"/>
          <w:szCs w:val="24"/>
          <w:lang w:eastAsia="zh-CN"/>
        </w:rPr>
        <w:t>（5）评价标准</w:t>
      </w:r>
      <w:bookmarkEnd w:id="1203"/>
    </w:p>
    <w:p w14:paraId="55C5F2A7">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区域地表水沫冲引河及三浦大沟执行《地表水环境质量标准》（GB3838-2002）Ⅳ类水质标准；淮河执行《地表水环境质量标准》（GB3838-2002）Ⅲ类水质标准。</w:t>
      </w:r>
    </w:p>
    <w:p w14:paraId="25FACC15">
      <w:pPr>
        <w:widowControl w:val="0"/>
        <w:spacing w:line="360" w:lineRule="auto"/>
        <w:ind w:firstLine="480" w:firstLineChars="200"/>
        <w:jc w:val="both"/>
        <w:rPr>
          <w:rFonts w:ascii="Times New Roman" w:hAnsi="Times New Roman" w:cs="Times New Roman"/>
          <w:color w:val="auto"/>
          <w:szCs w:val="24"/>
          <w:lang w:eastAsia="zh-CN"/>
        </w:rPr>
      </w:pPr>
      <w:bookmarkStart w:id="1206" w:name="_Toc18318"/>
      <w:r>
        <w:rPr>
          <w:rFonts w:ascii="Times New Roman" w:hAnsi="Times New Roman" w:cs="Times New Roman"/>
          <w:color w:val="auto"/>
          <w:szCs w:val="24"/>
          <w:lang w:eastAsia="zh-CN"/>
        </w:rPr>
        <w:t>（6）评价方法</w:t>
      </w:r>
      <w:bookmarkEnd w:id="1204"/>
      <w:bookmarkEnd w:id="1206"/>
    </w:p>
    <w:p w14:paraId="21740C2F">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按照相应水质标准，评价方法采用单因子指数法，按照《环境影响评技术导则 地表水环境》（HJ2.3-2018）中推荐公示。</w:t>
      </w:r>
    </w:p>
    <w:p w14:paraId="7C0436A5">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根据《环境影响评价技术导则—地表水环境》（HJ/T2.3-2018），本评价地表水评价采用单因子指数法对项目所在地地表水水质现状进行评价，评价模式如下：</w:t>
      </w:r>
    </w:p>
    <w:p w14:paraId="48B15466">
      <w:pPr>
        <w:widowControl w:val="0"/>
        <w:spacing w:line="360" w:lineRule="auto"/>
        <w:ind w:firstLine="200"/>
        <w:jc w:val="both"/>
        <w:rPr>
          <w:rFonts w:ascii="Times New Roman" w:hAnsi="Times New Roman" w:cs="Times New Roman"/>
          <w:color w:val="auto"/>
          <w:szCs w:val="24"/>
          <w:lang w:eastAsia="zh-CN"/>
        </w:rPr>
      </w:pPr>
      <w:r>
        <w:rPr>
          <w:rFonts w:ascii="宋体" w:hAnsi="宋体" w:cs="Cambria Math"/>
          <w:color w:val="auto"/>
          <w:szCs w:val="24"/>
          <w:lang w:eastAsia="zh-CN"/>
        </w:rPr>
        <w:t>①</w:t>
      </w:r>
      <w:r>
        <w:rPr>
          <w:rFonts w:ascii="Times New Roman" w:hAnsi="Times New Roman" w:cs="Times New Roman"/>
          <w:color w:val="auto"/>
          <w:szCs w:val="24"/>
          <w:lang w:eastAsia="zh-CN"/>
        </w:rPr>
        <w:t>单因子i在j点的标准指标：</w:t>
      </w:r>
    </w:p>
    <w:p w14:paraId="55FF9BA7">
      <w:pPr>
        <w:spacing w:line="360" w:lineRule="auto"/>
        <w:ind w:firstLine="480"/>
        <w:jc w:val="center"/>
        <w:rPr>
          <w:rFonts w:ascii="Times New Roman" w:hAnsi="Times New Roman" w:cs="Times New Roman"/>
          <w:color w:val="auto"/>
          <w:szCs w:val="24"/>
        </w:rPr>
      </w:pPr>
      <w:r>
        <w:rPr>
          <w:rFonts w:ascii="Times New Roman" w:hAnsi="Times New Roman" w:cs="Times New Roman"/>
          <w:color w:val="auto"/>
          <w:position w:val="-24"/>
          <w:szCs w:val="24"/>
        </w:rPr>
        <w:object>
          <v:shape id="_x0000_i1025" o:spt="75" type="#_x0000_t75" style="height:30.55pt;width:45.5pt;" o:ole="t" filled="f" coordsize="21600,21600">
            <v:path/>
            <v:fill on="f" focussize="0,0"/>
            <v:stroke/>
            <v:imagedata r:id="rId67" o:title=""/>
            <o:lock v:ext="edit" aspectratio="t"/>
            <w10:wrap type="none"/>
            <w10:anchorlock/>
          </v:shape>
          <o:OLEObject Type="Embed" ProgID="Equation.3" ShapeID="_x0000_i1025" DrawAspect="Content" ObjectID="_1468075725" r:id="rId66">
            <o:LockedField>false</o:LockedField>
          </o:OLEObject>
        </w:object>
      </w:r>
    </w:p>
    <w:p w14:paraId="4A034443">
      <w:pPr>
        <w:spacing w:line="360" w:lineRule="auto"/>
        <w:ind w:firstLine="480"/>
        <w:rPr>
          <w:rFonts w:ascii="Times New Roman" w:hAnsi="Times New Roman" w:cs="Times New Roman"/>
          <w:color w:val="auto"/>
          <w:szCs w:val="24"/>
          <w:lang w:eastAsia="zh-CN"/>
        </w:rPr>
      </w:pPr>
      <w:r>
        <w:rPr>
          <w:rFonts w:ascii="Times New Roman" w:hAnsi="Times New Roman" w:cs="Times New Roman"/>
          <w:color w:val="auto"/>
          <w:szCs w:val="24"/>
          <w:lang w:eastAsia="zh-CN"/>
        </w:rPr>
        <w:t>式中，Si,j——I 污染物在j监测点处的单项污染指数；</w:t>
      </w:r>
    </w:p>
    <w:p w14:paraId="7A5E9C12">
      <w:pPr>
        <w:spacing w:line="360" w:lineRule="auto"/>
        <w:ind w:firstLine="1200" w:firstLineChars="500"/>
        <w:rPr>
          <w:rFonts w:ascii="Times New Roman" w:hAnsi="Times New Roman" w:cs="Times New Roman"/>
          <w:color w:val="auto"/>
          <w:szCs w:val="24"/>
          <w:lang w:eastAsia="zh-CN"/>
        </w:rPr>
      </w:pPr>
      <w:r>
        <w:rPr>
          <w:rFonts w:ascii="Times New Roman" w:hAnsi="Times New Roman" w:cs="Times New Roman"/>
          <w:color w:val="auto"/>
          <w:szCs w:val="24"/>
          <w:lang w:eastAsia="zh-CN"/>
        </w:rPr>
        <w:t>Ci,j——I 污染物在j监测点处的实测浓度（mg/L）；</w:t>
      </w:r>
    </w:p>
    <w:p w14:paraId="1A9667A9">
      <w:pPr>
        <w:spacing w:line="360" w:lineRule="auto"/>
        <w:ind w:firstLine="1200" w:firstLineChars="500"/>
        <w:rPr>
          <w:rFonts w:ascii="Times New Roman" w:hAnsi="Times New Roman" w:cs="Times New Roman"/>
          <w:color w:val="auto"/>
          <w:szCs w:val="24"/>
          <w:lang w:eastAsia="zh-CN"/>
        </w:rPr>
      </w:pPr>
      <w:r>
        <w:rPr>
          <w:rFonts w:ascii="Times New Roman" w:hAnsi="Times New Roman" w:cs="Times New Roman"/>
          <w:color w:val="auto"/>
          <w:szCs w:val="24"/>
          <w:lang w:eastAsia="zh-CN"/>
        </w:rPr>
        <w:t>Csi——I 污染物的评价标准值（mg/L）；</w:t>
      </w:r>
    </w:p>
    <w:p w14:paraId="17138175">
      <w:pPr>
        <w:spacing w:line="360" w:lineRule="auto"/>
        <w:ind w:firstLine="480"/>
        <w:rPr>
          <w:rFonts w:ascii="Times New Roman" w:hAnsi="Times New Roman" w:cs="Times New Roman"/>
          <w:color w:val="auto"/>
          <w:szCs w:val="24"/>
          <w:lang w:eastAsia="zh-CN"/>
        </w:rPr>
      </w:pPr>
      <w:r>
        <w:rPr>
          <w:rFonts w:ascii="宋体" w:hAnsi="宋体" w:cs="Cambria Math"/>
          <w:color w:val="auto"/>
          <w:szCs w:val="24"/>
          <w:lang w:eastAsia="zh-CN"/>
        </w:rPr>
        <w:t>②</w:t>
      </w:r>
      <w:r>
        <w:rPr>
          <w:rFonts w:ascii="Times New Roman" w:hAnsi="Times New Roman" w:cs="Times New Roman"/>
          <w:color w:val="auto"/>
          <w:szCs w:val="24"/>
          <w:lang w:eastAsia="zh-CN"/>
        </w:rPr>
        <w:t>pH的标准指数为：</w:t>
      </w:r>
    </w:p>
    <w:p w14:paraId="625A2EC8">
      <w:pPr>
        <w:spacing w:line="360" w:lineRule="auto"/>
        <w:ind w:firstLine="480"/>
        <w:rPr>
          <w:rFonts w:ascii="Times New Roman" w:hAnsi="Times New Roman" w:cs="Times New Roman"/>
          <w:color w:val="auto"/>
          <w:szCs w:val="24"/>
          <w:lang w:eastAsia="zh-CN"/>
        </w:rPr>
      </w:pPr>
      <w:r>
        <w:rPr>
          <w:rFonts w:ascii="Times New Roman" w:hAnsi="Times New Roman" w:cs="Times New Roman"/>
          <w:color w:val="auto"/>
          <w:szCs w:val="24"/>
          <w:lang w:eastAsia="zh-CN"/>
        </w:rPr>
        <w:t>当pHj≤7.0时：</w:t>
      </w:r>
    </w:p>
    <w:p w14:paraId="38C1A139">
      <w:pPr>
        <w:ind w:firstLine="480"/>
        <w:jc w:val="center"/>
        <w:rPr>
          <w:rFonts w:ascii="Times New Roman" w:hAnsi="Times New Roman" w:cs="Times New Roman"/>
          <w:color w:val="auto"/>
          <w:szCs w:val="24"/>
        </w:rPr>
      </w:pPr>
      <w:r>
        <w:rPr>
          <w:rFonts w:ascii="Times New Roman" w:hAnsi="Times New Roman" w:cs="Times New Roman"/>
          <w:color w:val="auto"/>
          <w:spacing w:val="4"/>
          <w:szCs w:val="24"/>
        </w:rPr>
        <w:object>
          <v:shape id="_x0000_i1026" o:spt="75" type="#_x0000_t75" style="height:36pt;width:86.95pt;" o:ole="t" filled="f" coordsize="21600,21600">
            <v:path/>
            <v:fill on="f" focussize="0,0"/>
            <v:stroke/>
            <v:imagedata r:id="rId69" o:title=""/>
            <o:lock v:ext="edit" aspectratio="t"/>
            <w10:wrap type="none"/>
            <w10:anchorlock/>
          </v:shape>
          <o:OLEObject Type="Embed" ProgID="Equation.KSEE3" ShapeID="_x0000_i1026" DrawAspect="Content" ObjectID="_1468075726" r:id="rId68">
            <o:LockedField>false</o:LockedField>
          </o:OLEObject>
        </w:object>
      </w:r>
    </w:p>
    <w:p w14:paraId="7752D721">
      <w:pPr>
        <w:spacing w:line="360" w:lineRule="auto"/>
        <w:ind w:firstLine="480"/>
        <w:rPr>
          <w:rFonts w:ascii="Times New Roman" w:hAnsi="Times New Roman" w:cs="Times New Roman"/>
          <w:color w:val="auto"/>
          <w:szCs w:val="24"/>
          <w:lang w:eastAsia="zh-CN"/>
        </w:rPr>
      </w:pPr>
      <w:r>
        <w:rPr>
          <w:rFonts w:ascii="Times New Roman" w:hAnsi="Times New Roman" w:cs="Times New Roman"/>
          <w:color w:val="auto"/>
          <w:szCs w:val="24"/>
          <w:lang w:eastAsia="zh-CN"/>
        </w:rPr>
        <w:t>当pHj&gt;7.0时：</w:t>
      </w:r>
    </w:p>
    <w:p w14:paraId="4013FB82">
      <w:pPr>
        <w:spacing w:line="360" w:lineRule="auto"/>
        <w:ind w:firstLine="480"/>
        <w:jc w:val="center"/>
        <w:rPr>
          <w:rFonts w:ascii="Times New Roman" w:hAnsi="Times New Roman" w:cs="Times New Roman"/>
          <w:color w:val="auto"/>
          <w:szCs w:val="24"/>
          <w:lang w:eastAsia="zh-CN"/>
        </w:rPr>
      </w:pPr>
      <w:r>
        <w:rPr>
          <w:rFonts w:ascii="Times New Roman" w:hAnsi="Times New Roman" w:cs="Times New Roman"/>
          <w:color w:val="auto"/>
          <w:szCs w:val="24"/>
        </w:rPr>
        <w:drawing>
          <wp:inline distT="0" distB="0" distL="0" distR="0">
            <wp:extent cx="1152525" cy="457200"/>
            <wp:effectExtent l="0" t="0" r="0" b="0"/>
            <wp:docPr id="70"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2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1152525" cy="457200"/>
                    </a:xfrm>
                    <a:prstGeom prst="rect">
                      <a:avLst/>
                    </a:prstGeom>
                    <a:noFill/>
                    <a:ln>
                      <a:noFill/>
                    </a:ln>
                  </pic:spPr>
                </pic:pic>
              </a:graphicData>
            </a:graphic>
          </wp:inline>
        </w:drawing>
      </w:r>
    </w:p>
    <w:p w14:paraId="59A48111">
      <w:pPr>
        <w:spacing w:line="360" w:lineRule="auto"/>
        <w:ind w:firstLine="480"/>
        <w:rPr>
          <w:rFonts w:ascii="Times New Roman" w:hAnsi="Times New Roman" w:cs="Times New Roman"/>
          <w:color w:val="auto"/>
          <w:szCs w:val="24"/>
          <w:lang w:eastAsia="zh-CN"/>
        </w:rPr>
      </w:pPr>
      <w:r>
        <w:rPr>
          <w:rFonts w:ascii="Times New Roman" w:hAnsi="Times New Roman" w:cs="Times New Roman"/>
          <w:color w:val="auto"/>
          <w:szCs w:val="24"/>
          <w:lang w:eastAsia="zh-CN"/>
        </w:rPr>
        <w:t>式中，S</w:t>
      </w:r>
      <w:r>
        <w:rPr>
          <w:rFonts w:ascii="Times New Roman" w:hAnsi="Times New Roman" w:cs="Times New Roman"/>
          <w:color w:val="auto"/>
          <w:szCs w:val="24"/>
          <w:vertAlign w:val="subscript"/>
          <w:lang w:eastAsia="zh-CN"/>
        </w:rPr>
        <w:t>pH,j</w:t>
      </w:r>
      <w:r>
        <w:rPr>
          <w:rFonts w:ascii="Times New Roman" w:hAnsi="Times New Roman" w:cs="Times New Roman"/>
          <w:color w:val="auto"/>
          <w:szCs w:val="24"/>
          <w:lang w:eastAsia="zh-CN"/>
        </w:rPr>
        <w:t>——pH 的单项污染指数；</w:t>
      </w:r>
    </w:p>
    <w:p w14:paraId="16F85706">
      <w:pPr>
        <w:spacing w:line="360" w:lineRule="auto"/>
        <w:ind w:firstLine="1200" w:firstLineChars="500"/>
        <w:rPr>
          <w:rFonts w:ascii="Times New Roman" w:hAnsi="Times New Roman" w:cs="Times New Roman"/>
          <w:color w:val="auto"/>
          <w:szCs w:val="24"/>
          <w:lang w:eastAsia="zh-CN"/>
        </w:rPr>
      </w:pPr>
      <w:r>
        <w:rPr>
          <w:rFonts w:ascii="Times New Roman" w:hAnsi="Times New Roman" w:cs="Times New Roman"/>
          <w:color w:val="auto"/>
          <w:szCs w:val="24"/>
          <w:lang w:eastAsia="zh-CN"/>
        </w:rPr>
        <w:t>pH</w:t>
      </w:r>
      <w:r>
        <w:rPr>
          <w:rFonts w:ascii="Times New Roman" w:hAnsi="Times New Roman" w:cs="Times New Roman"/>
          <w:color w:val="auto"/>
          <w:szCs w:val="24"/>
          <w:vertAlign w:val="subscript"/>
          <w:lang w:eastAsia="zh-CN"/>
        </w:rPr>
        <w:t>su</w:t>
      </w:r>
      <w:r>
        <w:rPr>
          <w:rFonts w:ascii="Times New Roman" w:hAnsi="Times New Roman" w:cs="Times New Roman"/>
          <w:color w:val="auto"/>
          <w:szCs w:val="24"/>
          <w:lang w:eastAsia="zh-CN"/>
        </w:rPr>
        <w:t>——地表水水质标准中规定的pH值上限；</w:t>
      </w:r>
    </w:p>
    <w:p w14:paraId="502F3F98">
      <w:pPr>
        <w:spacing w:line="360" w:lineRule="auto"/>
        <w:ind w:firstLine="1200" w:firstLineChars="500"/>
        <w:rPr>
          <w:rFonts w:ascii="Times New Roman" w:hAnsi="Times New Roman" w:cs="Times New Roman"/>
          <w:color w:val="auto"/>
          <w:szCs w:val="24"/>
          <w:lang w:eastAsia="zh-CN"/>
        </w:rPr>
      </w:pPr>
      <w:r>
        <w:rPr>
          <w:rFonts w:ascii="Times New Roman" w:hAnsi="Times New Roman" w:cs="Times New Roman"/>
          <w:color w:val="auto"/>
          <w:szCs w:val="24"/>
          <w:lang w:eastAsia="zh-CN"/>
        </w:rPr>
        <w:t>pH</w:t>
      </w:r>
      <w:r>
        <w:rPr>
          <w:rFonts w:ascii="Times New Roman" w:hAnsi="Times New Roman" w:cs="Times New Roman"/>
          <w:color w:val="auto"/>
          <w:szCs w:val="24"/>
          <w:vertAlign w:val="subscript"/>
          <w:lang w:eastAsia="zh-CN"/>
        </w:rPr>
        <w:t>sd</w:t>
      </w:r>
      <w:r>
        <w:rPr>
          <w:rFonts w:ascii="Times New Roman" w:hAnsi="Times New Roman" w:cs="Times New Roman"/>
          <w:color w:val="auto"/>
          <w:szCs w:val="24"/>
          <w:lang w:eastAsia="zh-CN"/>
        </w:rPr>
        <w:t>——地表水水质标准中规定的pH值下限；</w:t>
      </w:r>
    </w:p>
    <w:p w14:paraId="3FA78FD2">
      <w:pPr>
        <w:spacing w:line="360" w:lineRule="auto"/>
        <w:ind w:firstLine="1200" w:firstLineChars="500"/>
        <w:rPr>
          <w:rFonts w:ascii="Times New Roman" w:hAnsi="Times New Roman" w:cs="Times New Roman"/>
          <w:color w:val="auto"/>
          <w:szCs w:val="24"/>
          <w:lang w:eastAsia="zh-CN"/>
        </w:rPr>
      </w:pPr>
      <w:r>
        <w:rPr>
          <w:rFonts w:ascii="Times New Roman" w:hAnsi="Times New Roman" w:cs="Times New Roman"/>
          <w:color w:val="auto"/>
          <w:szCs w:val="24"/>
          <w:lang w:eastAsia="zh-CN"/>
        </w:rPr>
        <w:t>pH</w:t>
      </w:r>
      <w:r>
        <w:rPr>
          <w:rFonts w:ascii="Times New Roman" w:hAnsi="Times New Roman" w:cs="Times New Roman"/>
          <w:color w:val="auto"/>
          <w:szCs w:val="24"/>
          <w:vertAlign w:val="subscript"/>
          <w:lang w:eastAsia="zh-CN"/>
        </w:rPr>
        <w:t>j</w:t>
      </w:r>
      <w:r>
        <w:rPr>
          <w:rFonts w:ascii="Times New Roman" w:hAnsi="Times New Roman" w:cs="Times New Roman"/>
          <w:color w:val="auto"/>
          <w:szCs w:val="24"/>
          <w:lang w:eastAsia="zh-CN"/>
        </w:rPr>
        <w:t>——在监测点实测值。</w:t>
      </w:r>
    </w:p>
    <w:p w14:paraId="1A4550D2">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当以上公式计算的污染指数I</w:t>
      </w:r>
      <w:r>
        <w:rPr>
          <w:rFonts w:ascii="Times New Roman" w:hAnsi="Times New Roman" w:cs="Times New Roman"/>
          <w:color w:val="auto"/>
          <w:szCs w:val="24"/>
          <w:vertAlign w:val="subscript"/>
          <w:lang w:eastAsia="zh-CN"/>
        </w:rPr>
        <w:t>ij</w:t>
      </w:r>
      <w:r>
        <w:rPr>
          <w:rFonts w:ascii="Times New Roman" w:hAnsi="Times New Roman" w:cs="Times New Roman"/>
          <w:color w:val="auto"/>
          <w:szCs w:val="24"/>
          <w:lang w:eastAsia="zh-CN"/>
        </w:rPr>
        <w:t>＞1 时，即表明该项指标已经超过了规定的质量标准。</w:t>
      </w:r>
    </w:p>
    <w:p w14:paraId="703A407C">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（7）监测与评价结果</w:t>
      </w:r>
      <w:bookmarkEnd w:id="1205"/>
    </w:p>
    <w:p w14:paraId="05C8B7BB">
      <w:pPr>
        <w:spacing w:line="360" w:lineRule="auto"/>
        <w:ind w:firstLine="480" w:firstLineChars="200"/>
        <w:jc w:val="both"/>
        <w:rPr>
          <w:rFonts w:ascii="Times New Roman" w:hAnsi="Times New Roman" w:cs="Times New Roman"/>
          <w:color w:val="auto"/>
          <w:szCs w:val="24"/>
          <w:lang w:eastAsia="zh-CN"/>
        </w:rPr>
        <w:sectPr>
          <w:pgSz w:w="11906" w:h="16838"/>
          <w:pgMar w:top="1440" w:right="1080" w:bottom="1440" w:left="1080" w:header="851" w:footer="992" w:gutter="0"/>
          <w:cols w:space="720" w:num="1"/>
          <w:docGrid w:type="lines" w:linePitch="312" w:charSpace="0"/>
        </w:sectPr>
      </w:pPr>
      <w:r>
        <w:rPr>
          <w:rFonts w:ascii="Times New Roman" w:hAnsi="Times New Roman" w:cs="Times New Roman"/>
          <w:color w:val="auto"/>
          <w:szCs w:val="24"/>
          <w:lang w:eastAsia="zh-CN"/>
        </w:rPr>
        <w:t>地表水环境质量监测与评价结果见下表。</w:t>
      </w:r>
    </w:p>
    <w:p w14:paraId="003D3CF5">
      <w:pPr>
        <w:widowControl w:val="0"/>
        <w:spacing w:before="120"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 5.2-</w:t>
      </w:r>
      <w:r>
        <w:rPr>
          <w:rFonts w:hint="eastAsia" w:ascii="Times New Roman" w:hAnsi="Times New Roman" w:cs="Times New Roman"/>
          <w:b/>
          <w:bCs/>
          <w:color w:val="auto"/>
          <w:lang w:eastAsia="zh-CN"/>
        </w:rPr>
        <w:t>6</w:t>
      </w:r>
      <w:r>
        <w:rPr>
          <w:rFonts w:ascii="Times New Roman" w:hAnsi="Times New Roman" w:cs="Times New Roman"/>
          <w:b/>
          <w:bCs/>
          <w:color w:val="auto"/>
          <w:lang w:eastAsia="zh-CN"/>
        </w:rPr>
        <w:t xml:space="preserve">  地表水环境质量现状评价结果一览表（单位：mg/L，pH、指数无量纲）</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57" w:type="dxa"/>
          <w:bottom w:w="0" w:type="dxa"/>
          <w:right w:w="57" w:type="dxa"/>
        </w:tblCellMar>
      </w:tblPr>
      <w:tblGrid>
        <w:gridCol w:w="1167"/>
        <w:gridCol w:w="1650"/>
        <w:gridCol w:w="2231"/>
        <w:gridCol w:w="1784"/>
        <w:gridCol w:w="1784"/>
        <w:gridCol w:w="1781"/>
        <w:gridCol w:w="1781"/>
        <w:gridCol w:w="1780"/>
      </w:tblGrid>
      <w:tr w14:paraId="5B10597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340" w:hRule="atLeast"/>
          <w:tblHeader/>
          <w:jc w:val="center"/>
        </w:trPr>
        <w:tc>
          <w:tcPr>
            <w:tcW w:w="418" w:type="pct"/>
            <w:vAlign w:val="center"/>
          </w:tcPr>
          <w:p w14:paraId="48582313">
            <w:pPr>
              <w:widowControl w:val="0"/>
              <w:spacing w:line="240" w:lineRule="atLeast"/>
              <w:jc w:val="center"/>
              <w:rPr>
                <w:rFonts w:ascii="Times New Roman" w:hAnsi="Times New Roman" w:cs="Times New Roman"/>
                <w:b/>
                <w:bCs/>
                <w:color w:val="auto"/>
                <w:sz w:val="21"/>
                <w:lang w:eastAsia="zh-CN"/>
              </w:rPr>
            </w:pPr>
            <w:bookmarkStart w:id="1207" w:name="_Hlk202170887"/>
            <w:r>
              <w:rPr>
                <w:rFonts w:ascii="Times New Roman" w:hAnsi="Times New Roman" w:cs="Times New Roman"/>
                <w:b/>
                <w:bCs/>
                <w:color w:val="auto"/>
                <w:sz w:val="21"/>
                <w:lang w:eastAsia="zh-CN"/>
              </w:rPr>
              <w:t>河流</w:t>
            </w:r>
          </w:p>
        </w:tc>
        <w:tc>
          <w:tcPr>
            <w:tcW w:w="591" w:type="pct"/>
            <w:vAlign w:val="center"/>
          </w:tcPr>
          <w:p w14:paraId="78465FD9">
            <w:pPr>
              <w:widowControl w:val="0"/>
              <w:spacing w:line="240" w:lineRule="atLeast"/>
              <w:jc w:val="center"/>
              <w:rPr>
                <w:rFonts w:ascii="Times New Roman" w:hAnsi="Times New Roman" w:cs="Times New Roman"/>
                <w:b/>
                <w:bCs/>
                <w:color w:val="auto"/>
                <w:sz w:val="21"/>
              </w:rPr>
            </w:pPr>
            <w:r>
              <w:rPr>
                <w:rFonts w:ascii="Times New Roman" w:hAnsi="Times New Roman" w:cs="Times New Roman"/>
                <w:b/>
                <w:bCs/>
                <w:color w:val="auto"/>
                <w:sz w:val="21"/>
              </w:rPr>
              <w:t>监测断面</w:t>
            </w:r>
          </w:p>
        </w:tc>
        <w:tc>
          <w:tcPr>
            <w:tcW w:w="799" w:type="pct"/>
            <w:vAlign w:val="center"/>
          </w:tcPr>
          <w:p w14:paraId="3ED80F27">
            <w:pPr>
              <w:widowControl w:val="0"/>
              <w:spacing w:line="240" w:lineRule="atLeast"/>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类别</w:t>
            </w:r>
          </w:p>
        </w:tc>
        <w:tc>
          <w:tcPr>
            <w:tcW w:w="639" w:type="pct"/>
            <w:vAlign w:val="center"/>
          </w:tcPr>
          <w:p w14:paraId="01CA26CF">
            <w:pPr>
              <w:widowControl w:val="0"/>
              <w:spacing w:line="240" w:lineRule="atLeast"/>
              <w:jc w:val="center"/>
              <w:rPr>
                <w:rFonts w:ascii="Times New Roman" w:hAnsi="Times New Roman" w:cs="Times New Roman"/>
                <w:b/>
                <w:bCs/>
                <w:color w:val="auto"/>
                <w:sz w:val="21"/>
              </w:rPr>
            </w:pPr>
            <w:r>
              <w:rPr>
                <w:rFonts w:ascii="Times New Roman" w:hAnsi="Times New Roman" w:cs="Times New Roman"/>
                <w:b/>
                <w:bCs/>
                <w:color w:val="auto"/>
                <w:sz w:val="21"/>
              </w:rPr>
              <w:t>pH</w:t>
            </w:r>
          </w:p>
        </w:tc>
        <w:tc>
          <w:tcPr>
            <w:tcW w:w="639" w:type="pct"/>
            <w:vAlign w:val="center"/>
          </w:tcPr>
          <w:p w14:paraId="433F8C4B">
            <w:pPr>
              <w:widowControl w:val="0"/>
              <w:spacing w:line="240" w:lineRule="atLeast"/>
              <w:jc w:val="center"/>
              <w:rPr>
                <w:rFonts w:ascii="Times New Roman" w:hAnsi="Times New Roman" w:cs="Times New Roman"/>
                <w:b/>
                <w:bCs/>
                <w:color w:val="auto"/>
                <w:sz w:val="21"/>
              </w:rPr>
            </w:pPr>
            <w:r>
              <w:rPr>
                <w:rFonts w:ascii="Times New Roman" w:hAnsi="Times New Roman" w:cs="Times New Roman"/>
                <w:b/>
                <w:bCs/>
                <w:color w:val="auto"/>
                <w:sz w:val="21"/>
              </w:rPr>
              <w:t>COD</w:t>
            </w:r>
          </w:p>
        </w:tc>
        <w:tc>
          <w:tcPr>
            <w:tcW w:w="638" w:type="pct"/>
            <w:vAlign w:val="center"/>
          </w:tcPr>
          <w:p w14:paraId="77F602D2">
            <w:pPr>
              <w:widowControl w:val="0"/>
              <w:spacing w:line="240" w:lineRule="atLeast"/>
              <w:jc w:val="center"/>
              <w:rPr>
                <w:rFonts w:ascii="Times New Roman" w:hAnsi="Times New Roman" w:cs="Times New Roman"/>
                <w:b/>
                <w:bCs/>
                <w:color w:val="auto"/>
                <w:sz w:val="21"/>
              </w:rPr>
            </w:pPr>
            <w:r>
              <w:rPr>
                <w:rFonts w:ascii="Times New Roman" w:hAnsi="Times New Roman" w:cs="Times New Roman"/>
                <w:b/>
                <w:bCs/>
                <w:color w:val="auto"/>
                <w:sz w:val="21"/>
              </w:rPr>
              <w:t>BOD</w:t>
            </w:r>
            <w:r>
              <w:rPr>
                <w:rFonts w:ascii="Times New Roman" w:hAnsi="Times New Roman" w:cs="Times New Roman"/>
                <w:b/>
                <w:bCs/>
                <w:color w:val="auto"/>
                <w:sz w:val="21"/>
                <w:vertAlign w:val="subscript"/>
              </w:rPr>
              <w:t>5</w:t>
            </w:r>
          </w:p>
        </w:tc>
        <w:tc>
          <w:tcPr>
            <w:tcW w:w="638" w:type="pct"/>
            <w:vAlign w:val="center"/>
          </w:tcPr>
          <w:p w14:paraId="33D72082">
            <w:pPr>
              <w:widowControl w:val="0"/>
              <w:spacing w:line="240" w:lineRule="atLeast"/>
              <w:jc w:val="center"/>
              <w:rPr>
                <w:rFonts w:ascii="Times New Roman" w:hAnsi="Times New Roman" w:cs="Times New Roman"/>
                <w:b/>
                <w:bCs/>
                <w:color w:val="auto"/>
                <w:sz w:val="21"/>
              </w:rPr>
            </w:pPr>
            <w:r>
              <w:rPr>
                <w:rFonts w:ascii="Times New Roman" w:hAnsi="Times New Roman" w:cs="Times New Roman"/>
                <w:b/>
                <w:bCs/>
                <w:color w:val="auto"/>
                <w:sz w:val="21"/>
              </w:rPr>
              <w:t>氨氮</w:t>
            </w:r>
          </w:p>
        </w:tc>
        <w:tc>
          <w:tcPr>
            <w:tcW w:w="637" w:type="pct"/>
            <w:vAlign w:val="center"/>
          </w:tcPr>
          <w:p w14:paraId="610939AD">
            <w:pPr>
              <w:widowControl w:val="0"/>
              <w:spacing w:line="240" w:lineRule="atLeast"/>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氟化物</w:t>
            </w:r>
          </w:p>
        </w:tc>
      </w:tr>
      <w:tr w14:paraId="49728B3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418" w:type="pct"/>
            <w:vMerge w:val="restart"/>
            <w:vAlign w:val="center"/>
          </w:tcPr>
          <w:p w14:paraId="27AFF86B">
            <w:pPr>
              <w:widowControl w:val="0"/>
              <w:spacing w:line="240" w:lineRule="atLeast"/>
              <w:jc w:val="center"/>
              <w:rPr>
                <w:rFonts w:ascii="Times New Roman" w:hAnsi="Times New Roman" w:cs="Times New Roman"/>
                <w:color w:val="auto"/>
                <w:sz w:val="21"/>
              </w:rPr>
            </w:pPr>
            <w:r>
              <w:rPr>
                <w:rFonts w:ascii="Times New Roman" w:hAnsi="Times New Roman" w:cs="Times New Roman"/>
                <w:color w:val="auto"/>
                <w:sz w:val="21"/>
                <w:lang w:eastAsia="zh-CN"/>
              </w:rPr>
              <w:t>沫冲引河</w:t>
            </w:r>
          </w:p>
        </w:tc>
        <w:tc>
          <w:tcPr>
            <w:tcW w:w="591" w:type="pct"/>
            <w:vMerge w:val="restart"/>
            <w:vAlign w:val="center"/>
          </w:tcPr>
          <w:p w14:paraId="24D9EE6D">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rPr>
              <w:t>W</w:t>
            </w:r>
            <w:r>
              <w:rPr>
                <w:rFonts w:hint="eastAsia" w:ascii="Times New Roman" w:hAnsi="Times New Roman" w:cs="Times New Roman"/>
                <w:color w:val="auto"/>
                <w:sz w:val="21"/>
                <w:lang w:eastAsia="zh-CN"/>
              </w:rPr>
              <w:t>1</w:t>
            </w:r>
          </w:p>
        </w:tc>
        <w:tc>
          <w:tcPr>
            <w:tcW w:w="799" w:type="pct"/>
            <w:vAlign w:val="center"/>
          </w:tcPr>
          <w:p w14:paraId="579C7EFF">
            <w:pPr>
              <w:widowControl w:val="0"/>
              <w:spacing w:line="240" w:lineRule="atLeas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监测结果</w:t>
            </w:r>
          </w:p>
        </w:tc>
        <w:tc>
          <w:tcPr>
            <w:tcW w:w="639" w:type="pct"/>
            <w:vAlign w:val="center"/>
          </w:tcPr>
          <w:p w14:paraId="29C0EDB5">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8.0</w:t>
            </w:r>
          </w:p>
        </w:tc>
        <w:tc>
          <w:tcPr>
            <w:tcW w:w="639" w:type="pct"/>
            <w:vAlign w:val="center"/>
          </w:tcPr>
          <w:p w14:paraId="696BEFE6">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28</w:t>
            </w:r>
          </w:p>
        </w:tc>
        <w:tc>
          <w:tcPr>
            <w:tcW w:w="638" w:type="pct"/>
            <w:vAlign w:val="center"/>
          </w:tcPr>
          <w:p w14:paraId="6CDF3EC4">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2.5</w:t>
            </w:r>
          </w:p>
        </w:tc>
        <w:tc>
          <w:tcPr>
            <w:tcW w:w="638" w:type="pct"/>
            <w:vAlign w:val="center"/>
          </w:tcPr>
          <w:p w14:paraId="4B77DAD7">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1.17</w:t>
            </w:r>
          </w:p>
        </w:tc>
        <w:tc>
          <w:tcPr>
            <w:tcW w:w="637" w:type="pct"/>
            <w:vAlign w:val="center"/>
          </w:tcPr>
          <w:p w14:paraId="052BDD1C">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0.92</w:t>
            </w:r>
          </w:p>
        </w:tc>
      </w:tr>
      <w:tr w14:paraId="2807485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418" w:type="pct"/>
            <w:vMerge w:val="continue"/>
            <w:vAlign w:val="center"/>
          </w:tcPr>
          <w:p w14:paraId="4A539F83">
            <w:pPr>
              <w:widowControl w:val="0"/>
              <w:spacing w:line="240" w:lineRule="atLeast"/>
              <w:jc w:val="center"/>
              <w:rPr>
                <w:rFonts w:ascii="Times New Roman" w:hAnsi="Times New Roman" w:cs="Times New Roman"/>
                <w:color w:val="auto"/>
                <w:sz w:val="21"/>
              </w:rPr>
            </w:pPr>
          </w:p>
        </w:tc>
        <w:tc>
          <w:tcPr>
            <w:tcW w:w="591" w:type="pct"/>
            <w:vMerge w:val="continue"/>
            <w:vAlign w:val="center"/>
          </w:tcPr>
          <w:p w14:paraId="051B38F7">
            <w:pPr>
              <w:widowControl w:val="0"/>
              <w:spacing w:line="240" w:lineRule="atLeast"/>
              <w:jc w:val="center"/>
              <w:rPr>
                <w:rFonts w:ascii="Times New Roman" w:hAnsi="Times New Roman" w:cs="Times New Roman"/>
                <w:color w:val="auto"/>
                <w:sz w:val="21"/>
              </w:rPr>
            </w:pPr>
          </w:p>
        </w:tc>
        <w:tc>
          <w:tcPr>
            <w:tcW w:w="799" w:type="pct"/>
            <w:vAlign w:val="center"/>
          </w:tcPr>
          <w:p w14:paraId="0064FD14">
            <w:pPr>
              <w:widowControl w:val="0"/>
              <w:spacing w:line="240" w:lineRule="atLeas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监测结果</w:t>
            </w:r>
          </w:p>
        </w:tc>
        <w:tc>
          <w:tcPr>
            <w:tcW w:w="639" w:type="pct"/>
            <w:vAlign w:val="center"/>
          </w:tcPr>
          <w:p w14:paraId="3D4D9539">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8.1</w:t>
            </w:r>
          </w:p>
        </w:tc>
        <w:tc>
          <w:tcPr>
            <w:tcW w:w="639" w:type="pct"/>
            <w:vAlign w:val="center"/>
          </w:tcPr>
          <w:p w14:paraId="646284F2">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26</w:t>
            </w:r>
          </w:p>
        </w:tc>
        <w:tc>
          <w:tcPr>
            <w:tcW w:w="638" w:type="pct"/>
            <w:vAlign w:val="center"/>
          </w:tcPr>
          <w:p w14:paraId="32932CF4">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2.6</w:t>
            </w:r>
          </w:p>
        </w:tc>
        <w:tc>
          <w:tcPr>
            <w:tcW w:w="638" w:type="pct"/>
            <w:vAlign w:val="center"/>
          </w:tcPr>
          <w:p w14:paraId="53305BD7">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1.07</w:t>
            </w:r>
          </w:p>
        </w:tc>
        <w:tc>
          <w:tcPr>
            <w:tcW w:w="637" w:type="pct"/>
            <w:vAlign w:val="center"/>
          </w:tcPr>
          <w:p w14:paraId="46988B36">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0.88</w:t>
            </w:r>
          </w:p>
        </w:tc>
      </w:tr>
      <w:tr w14:paraId="5DE78DF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418" w:type="pct"/>
            <w:vMerge w:val="continue"/>
            <w:vAlign w:val="center"/>
          </w:tcPr>
          <w:p w14:paraId="3A6DE294">
            <w:pPr>
              <w:widowControl w:val="0"/>
              <w:spacing w:line="240" w:lineRule="atLeast"/>
              <w:jc w:val="center"/>
              <w:rPr>
                <w:rFonts w:ascii="Times New Roman" w:hAnsi="Times New Roman" w:cs="Times New Roman"/>
                <w:color w:val="auto"/>
                <w:sz w:val="21"/>
              </w:rPr>
            </w:pPr>
          </w:p>
        </w:tc>
        <w:tc>
          <w:tcPr>
            <w:tcW w:w="591" w:type="pct"/>
            <w:vMerge w:val="continue"/>
            <w:vAlign w:val="center"/>
          </w:tcPr>
          <w:p w14:paraId="249A267A">
            <w:pPr>
              <w:widowControl w:val="0"/>
              <w:spacing w:line="240" w:lineRule="atLeast"/>
              <w:jc w:val="center"/>
              <w:rPr>
                <w:rFonts w:ascii="Times New Roman" w:hAnsi="Times New Roman" w:cs="Times New Roman"/>
                <w:color w:val="auto"/>
                <w:sz w:val="21"/>
              </w:rPr>
            </w:pPr>
          </w:p>
        </w:tc>
        <w:tc>
          <w:tcPr>
            <w:tcW w:w="799" w:type="pct"/>
            <w:vAlign w:val="center"/>
          </w:tcPr>
          <w:p w14:paraId="48C2E093">
            <w:pPr>
              <w:widowControl w:val="0"/>
              <w:spacing w:line="240" w:lineRule="atLeas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监测结果</w:t>
            </w:r>
          </w:p>
        </w:tc>
        <w:tc>
          <w:tcPr>
            <w:tcW w:w="639" w:type="pct"/>
            <w:vAlign w:val="center"/>
          </w:tcPr>
          <w:p w14:paraId="772E4177">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7.8</w:t>
            </w:r>
          </w:p>
        </w:tc>
        <w:tc>
          <w:tcPr>
            <w:tcW w:w="639" w:type="pct"/>
            <w:vAlign w:val="center"/>
          </w:tcPr>
          <w:p w14:paraId="449258CF">
            <w:pPr>
              <w:widowControl w:val="0"/>
              <w:spacing w:line="240" w:lineRule="atLeast"/>
              <w:jc w:val="center"/>
              <w:rPr>
                <w:rFonts w:ascii="Times New Roman" w:hAnsi="Times New Roman" w:cs="Times New Roman"/>
                <w:color w:val="auto"/>
                <w:kern w:val="2"/>
                <w:sz w:val="21"/>
                <w:lang w:eastAsia="zh-CN"/>
              </w:rPr>
            </w:pPr>
            <w:r>
              <w:rPr>
                <w:rFonts w:ascii="Times New Roman" w:hAnsi="Times New Roman" w:cs="Times New Roman"/>
                <w:color w:val="auto"/>
                <w:sz w:val="21"/>
                <w:lang w:eastAsia="zh-CN"/>
              </w:rPr>
              <w:t>28</w:t>
            </w:r>
          </w:p>
        </w:tc>
        <w:tc>
          <w:tcPr>
            <w:tcW w:w="638" w:type="pct"/>
            <w:vAlign w:val="center"/>
          </w:tcPr>
          <w:p w14:paraId="3D65CA4D">
            <w:pPr>
              <w:widowControl w:val="0"/>
              <w:spacing w:line="240" w:lineRule="atLeast"/>
              <w:jc w:val="center"/>
              <w:rPr>
                <w:rFonts w:ascii="Times New Roman" w:hAnsi="Times New Roman" w:cs="Times New Roman"/>
                <w:color w:val="auto"/>
                <w:kern w:val="2"/>
                <w:sz w:val="21"/>
                <w:lang w:eastAsia="zh-CN"/>
              </w:rPr>
            </w:pPr>
            <w:r>
              <w:rPr>
                <w:rFonts w:ascii="Times New Roman" w:hAnsi="Times New Roman" w:cs="Times New Roman"/>
                <w:color w:val="auto"/>
                <w:sz w:val="21"/>
                <w:lang w:eastAsia="zh-CN"/>
              </w:rPr>
              <w:t>2.8</w:t>
            </w:r>
          </w:p>
        </w:tc>
        <w:tc>
          <w:tcPr>
            <w:tcW w:w="638" w:type="pct"/>
            <w:vAlign w:val="center"/>
          </w:tcPr>
          <w:p w14:paraId="050EC24B">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1.04</w:t>
            </w:r>
          </w:p>
        </w:tc>
        <w:tc>
          <w:tcPr>
            <w:tcW w:w="637" w:type="pct"/>
            <w:vAlign w:val="center"/>
          </w:tcPr>
          <w:p w14:paraId="4D06DFA5">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0.82</w:t>
            </w:r>
          </w:p>
        </w:tc>
      </w:tr>
      <w:tr w14:paraId="1888ADA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418" w:hRule="atLeast"/>
          <w:jc w:val="center"/>
        </w:trPr>
        <w:tc>
          <w:tcPr>
            <w:tcW w:w="418" w:type="pct"/>
            <w:vMerge w:val="continue"/>
            <w:vAlign w:val="center"/>
          </w:tcPr>
          <w:p w14:paraId="173E124D">
            <w:pPr>
              <w:widowControl w:val="0"/>
              <w:spacing w:line="240" w:lineRule="atLeast"/>
              <w:jc w:val="center"/>
              <w:rPr>
                <w:rFonts w:ascii="Times New Roman" w:hAnsi="Times New Roman" w:cs="Times New Roman"/>
                <w:color w:val="auto"/>
                <w:sz w:val="21"/>
              </w:rPr>
            </w:pPr>
          </w:p>
        </w:tc>
        <w:tc>
          <w:tcPr>
            <w:tcW w:w="591" w:type="pct"/>
            <w:vMerge w:val="continue"/>
            <w:vAlign w:val="center"/>
          </w:tcPr>
          <w:p w14:paraId="4350D815">
            <w:pPr>
              <w:widowControl w:val="0"/>
              <w:spacing w:line="240" w:lineRule="atLeast"/>
              <w:jc w:val="center"/>
              <w:rPr>
                <w:rFonts w:ascii="Times New Roman" w:hAnsi="Times New Roman" w:cs="Times New Roman"/>
                <w:color w:val="auto"/>
                <w:sz w:val="21"/>
              </w:rPr>
            </w:pPr>
          </w:p>
        </w:tc>
        <w:tc>
          <w:tcPr>
            <w:tcW w:w="799" w:type="pct"/>
            <w:vAlign w:val="center"/>
          </w:tcPr>
          <w:p w14:paraId="0F7E7BBE">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sz w:val="21"/>
                <w:lang w:eastAsia="zh-CN"/>
              </w:rPr>
              <w:t>最大单因子指数</w:t>
            </w:r>
          </w:p>
        </w:tc>
        <w:tc>
          <w:tcPr>
            <w:tcW w:w="639" w:type="pct"/>
            <w:vAlign w:val="center"/>
          </w:tcPr>
          <w:p w14:paraId="025DE0E6">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0.55</w:t>
            </w:r>
          </w:p>
        </w:tc>
        <w:tc>
          <w:tcPr>
            <w:tcW w:w="639" w:type="pct"/>
            <w:vAlign w:val="center"/>
          </w:tcPr>
          <w:p w14:paraId="668985DC">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0.93</w:t>
            </w:r>
          </w:p>
        </w:tc>
        <w:tc>
          <w:tcPr>
            <w:tcW w:w="638" w:type="pct"/>
            <w:vAlign w:val="center"/>
          </w:tcPr>
          <w:p w14:paraId="44E12C81">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0.47</w:t>
            </w:r>
          </w:p>
        </w:tc>
        <w:tc>
          <w:tcPr>
            <w:tcW w:w="638" w:type="pct"/>
            <w:vAlign w:val="center"/>
          </w:tcPr>
          <w:p w14:paraId="0D752AB5">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0.78</w:t>
            </w:r>
          </w:p>
        </w:tc>
        <w:tc>
          <w:tcPr>
            <w:tcW w:w="637" w:type="pct"/>
            <w:vAlign w:val="center"/>
          </w:tcPr>
          <w:p w14:paraId="78A2D439">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0.92</w:t>
            </w:r>
          </w:p>
        </w:tc>
      </w:tr>
      <w:tr w14:paraId="19B8B03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418" w:hRule="atLeast"/>
          <w:jc w:val="center"/>
        </w:trPr>
        <w:tc>
          <w:tcPr>
            <w:tcW w:w="418" w:type="pct"/>
            <w:vMerge w:val="continue"/>
            <w:vAlign w:val="center"/>
          </w:tcPr>
          <w:p w14:paraId="335E8FA0">
            <w:pPr>
              <w:widowControl w:val="0"/>
              <w:spacing w:line="240" w:lineRule="atLeast"/>
              <w:jc w:val="center"/>
              <w:rPr>
                <w:rFonts w:ascii="Times New Roman" w:hAnsi="Times New Roman" w:cs="Times New Roman"/>
                <w:color w:val="auto"/>
                <w:sz w:val="21"/>
              </w:rPr>
            </w:pPr>
          </w:p>
        </w:tc>
        <w:tc>
          <w:tcPr>
            <w:tcW w:w="591" w:type="pct"/>
            <w:vMerge w:val="continue"/>
            <w:vAlign w:val="center"/>
          </w:tcPr>
          <w:p w14:paraId="4DB8BBCD">
            <w:pPr>
              <w:widowControl w:val="0"/>
              <w:spacing w:line="240" w:lineRule="atLeast"/>
              <w:jc w:val="center"/>
              <w:rPr>
                <w:rFonts w:ascii="Times New Roman" w:hAnsi="Times New Roman" w:cs="Times New Roman"/>
                <w:color w:val="auto"/>
                <w:sz w:val="21"/>
              </w:rPr>
            </w:pPr>
          </w:p>
        </w:tc>
        <w:tc>
          <w:tcPr>
            <w:tcW w:w="799" w:type="pct"/>
            <w:vAlign w:val="center"/>
          </w:tcPr>
          <w:p w14:paraId="430976AC">
            <w:pPr>
              <w:widowControl w:val="0"/>
              <w:spacing w:line="240" w:lineRule="atLeas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达标情况</w:t>
            </w:r>
          </w:p>
        </w:tc>
        <w:tc>
          <w:tcPr>
            <w:tcW w:w="639" w:type="pct"/>
            <w:vAlign w:val="center"/>
          </w:tcPr>
          <w:p w14:paraId="5D1A7E19">
            <w:pPr>
              <w:widowControl w:val="0"/>
              <w:spacing w:line="240" w:lineRule="atLeas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w:t>
            </w:r>
          </w:p>
        </w:tc>
        <w:tc>
          <w:tcPr>
            <w:tcW w:w="639" w:type="pct"/>
            <w:vAlign w:val="center"/>
          </w:tcPr>
          <w:p w14:paraId="5C646836">
            <w:pPr>
              <w:widowControl w:val="0"/>
              <w:spacing w:line="240" w:lineRule="atLeas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w:t>
            </w:r>
          </w:p>
        </w:tc>
        <w:tc>
          <w:tcPr>
            <w:tcW w:w="638" w:type="pct"/>
            <w:vAlign w:val="center"/>
          </w:tcPr>
          <w:p w14:paraId="12FEC55F">
            <w:pPr>
              <w:widowControl w:val="0"/>
              <w:spacing w:line="240" w:lineRule="atLeas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w:t>
            </w:r>
          </w:p>
        </w:tc>
        <w:tc>
          <w:tcPr>
            <w:tcW w:w="638" w:type="pct"/>
            <w:vAlign w:val="center"/>
          </w:tcPr>
          <w:p w14:paraId="52E69A9D">
            <w:pPr>
              <w:widowControl w:val="0"/>
              <w:spacing w:line="240" w:lineRule="atLeas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w:t>
            </w:r>
          </w:p>
        </w:tc>
        <w:tc>
          <w:tcPr>
            <w:tcW w:w="637" w:type="pct"/>
            <w:vAlign w:val="center"/>
          </w:tcPr>
          <w:p w14:paraId="1D9935FB">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sz w:val="21"/>
                <w:lang w:eastAsia="zh-CN"/>
              </w:rPr>
              <w:t>达标</w:t>
            </w:r>
          </w:p>
        </w:tc>
      </w:tr>
      <w:tr w14:paraId="32DE401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418" w:type="pct"/>
            <w:vMerge w:val="restart"/>
            <w:vAlign w:val="center"/>
          </w:tcPr>
          <w:p w14:paraId="4E7A73D3">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三铺大沟</w:t>
            </w:r>
          </w:p>
        </w:tc>
        <w:tc>
          <w:tcPr>
            <w:tcW w:w="591" w:type="pct"/>
            <w:vMerge w:val="restart"/>
            <w:vAlign w:val="center"/>
          </w:tcPr>
          <w:p w14:paraId="4ABA3A2C">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rPr>
              <w:t>W</w:t>
            </w:r>
            <w:r>
              <w:rPr>
                <w:rFonts w:hint="eastAsia" w:ascii="Times New Roman" w:hAnsi="Times New Roman" w:cs="Times New Roman"/>
                <w:color w:val="auto"/>
                <w:sz w:val="21"/>
                <w:lang w:eastAsia="zh-CN"/>
              </w:rPr>
              <w:t>2</w:t>
            </w:r>
          </w:p>
        </w:tc>
        <w:tc>
          <w:tcPr>
            <w:tcW w:w="799" w:type="pct"/>
            <w:vAlign w:val="center"/>
          </w:tcPr>
          <w:p w14:paraId="65567FA0">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sz w:val="21"/>
                <w:lang w:eastAsia="zh-CN"/>
              </w:rPr>
              <w:t>监测结果</w:t>
            </w:r>
          </w:p>
        </w:tc>
        <w:tc>
          <w:tcPr>
            <w:tcW w:w="639" w:type="pct"/>
            <w:vAlign w:val="center"/>
          </w:tcPr>
          <w:p w14:paraId="426B0E91">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7.9</w:t>
            </w:r>
          </w:p>
        </w:tc>
        <w:tc>
          <w:tcPr>
            <w:tcW w:w="639" w:type="pct"/>
            <w:vAlign w:val="center"/>
          </w:tcPr>
          <w:p w14:paraId="201AAAAB">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28</w:t>
            </w:r>
          </w:p>
        </w:tc>
        <w:tc>
          <w:tcPr>
            <w:tcW w:w="638" w:type="pct"/>
            <w:vAlign w:val="center"/>
          </w:tcPr>
          <w:p w14:paraId="3A121B5E">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2.6</w:t>
            </w:r>
          </w:p>
        </w:tc>
        <w:tc>
          <w:tcPr>
            <w:tcW w:w="638" w:type="pct"/>
            <w:vAlign w:val="center"/>
          </w:tcPr>
          <w:p w14:paraId="63B0B64B">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1.24</w:t>
            </w:r>
          </w:p>
        </w:tc>
        <w:tc>
          <w:tcPr>
            <w:tcW w:w="637" w:type="pct"/>
          </w:tcPr>
          <w:p w14:paraId="3E1D9AED">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0.76</w:t>
            </w:r>
          </w:p>
        </w:tc>
      </w:tr>
      <w:tr w14:paraId="6C8D7AF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418" w:type="pct"/>
            <w:vMerge w:val="continue"/>
            <w:vAlign w:val="center"/>
          </w:tcPr>
          <w:p w14:paraId="134D2D0A">
            <w:pPr>
              <w:widowControl w:val="0"/>
              <w:spacing w:line="240" w:lineRule="atLeast"/>
              <w:jc w:val="center"/>
              <w:rPr>
                <w:rFonts w:ascii="Times New Roman" w:hAnsi="Times New Roman" w:cs="Times New Roman"/>
                <w:color w:val="auto"/>
                <w:sz w:val="21"/>
              </w:rPr>
            </w:pPr>
          </w:p>
        </w:tc>
        <w:tc>
          <w:tcPr>
            <w:tcW w:w="591" w:type="pct"/>
            <w:vMerge w:val="continue"/>
            <w:vAlign w:val="center"/>
          </w:tcPr>
          <w:p w14:paraId="12C59015">
            <w:pPr>
              <w:widowControl w:val="0"/>
              <w:spacing w:line="240" w:lineRule="atLeast"/>
              <w:jc w:val="center"/>
              <w:rPr>
                <w:rFonts w:ascii="Times New Roman" w:hAnsi="Times New Roman" w:cs="Times New Roman"/>
                <w:color w:val="auto"/>
                <w:sz w:val="21"/>
              </w:rPr>
            </w:pPr>
          </w:p>
        </w:tc>
        <w:tc>
          <w:tcPr>
            <w:tcW w:w="799" w:type="pct"/>
            <w:vAlign w:val="center"/>
          </w:tcPr>
          <w:p w14:paraId="403538FD">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sz w:val="21"/>
                <w:lang w:eastAsia="zh-CN"/>
              </w:rPr>
              <w:t>监测结果</w:t>
            </w:r>
          </w:p>
        </w:tc>
        <w:tc>
          <w:tcPr>
            <w:tcW w:w="639" w:type="pct"/>
            <w:vAlign w:val="center"/>
          </w:tcPr>
          <w:p w14:paraId="54D82710">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8.0</w:t>
            </w:r>
          </w:p>
        </w:tc>
        <w:tc>
          <w:tcPr>
            <w:tcW w:w="639" w:type="pct"/>
            <w:vAlign w:val="center"/>
          </w:tcPr>
          <w:p w14:paraId="035F72E6">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22</w:t>
            </w:r>
          </w:p>
        </w:tc>
        <w:tc>
          <w:tcPr>
            <w:tcW w:w="638" w:type="pct"/>
            <w:vAlign w:val="center"/>
          </w:tcPr>
          <w:p w14:paraId="7FC78C1C">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2.7</w:t>
            </w:r>
          </w:p>
        </w:tc>
        <w:tc>
          <w:tcPr>
            <w:tcW w:w="638" w:type="pct"/>
            <w:vAlign w:val="center"/>
          </w:tcPr>
          <w:p w14:paraId="255714F8">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1.10</w:t>
            </w:r>
          </w:p>
        </w:tc>
        <w:tc>
          <w:tcPr>
            <w:tcW w:w="637" w:type="pct"/>
          </w:tcPr>
          <w:p w14:paraId="30FECAA9">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0.82</w:t>
            </w:r>
          </w:p>
        </w:tc>
      </w:tr>
      <w:tr w14:paraId="67DB1F6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418" w:type="pct"/>
            <w:vMerge w:val="continue"/>
            <w:vAlign w:val="center"/>
          </w:tcPr>
          <w:p w14:paraId="0AB309E2">
            <w:pPr>
              <w:widowControl w:val="0"/>
              <w:spacing w:line="240" w:lineRule="atLeast"/>
              <w:jc w:val="center"/>
              <w:rPr>
                <w:rFonts w:ascii="Times New Roman" w:hAnsi="Times New Roman" w:cs="Times New Roman"/>
                <w:color w:val="auto"/>
                <w:sz w:val="21"/>
              </w:rPr>
            </w:pPr>
          </w:p>
        </w:tc>
        <w:tc>
          <w:tcPr>
            <w:tcW w:w="591" w:type="pct"/>
            <w:vMerge w:val="continue"/>
            <w:vAlign w:val="center"/>
          </w:tcPr>
          <w:p w14:paraId="118EE6C4">
            <w:pPr>
              <w:widowControl w:val="0"/>
              <w:spacing w:line="240" w:lineRule="atLeast"/>
              <w:jc w:val="center"/>
              <w:rPr>
                <w:rFonts w:ascii="Times New Roman" w:hAnsi="Times New Roman" w:cs="Times New Roman"/>
                <w:color w:val="auto"/>
                <w:sz w:val="21"/>
              </w:rPr>
            </w:pPr>
          </w:p>
        </w:tc>
        <w:tc>
          <w:tcPr>
            <w:tcW w:w="799" w:type="pct"/>
            <w:vAlign w:val="center"/>
          </w:tcPr>
          <w:p w14:paraId="3237A181">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sz w:val="21"/>
                <w:lang w:eastAsia="zh-CN"/>
              </w:rPr>
              <w:t>监测结果</w:t>
            </w:r>
          </w:p>
        </w:tc>
        <w:tc>
          <w:tcPr>
            <w:tcW w:w="639" w:type="pct"/>
            <w:vAlign w:val="center"/>
          </w:tcPr>
          <w:p w14:paraId="1B3BA376">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7.8</w:t>
            </w:r>
          </w:p>
        </w:tc>
        <w:tc>
          <w:tcPr>
            <w:tcW w:w="639" w:type="pct"/>
            <w:vAlign w:val="center"/>
          </w:tcPr>
          <w:p w14:paraId="59FAB849">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27</w:t>
            </w:r>
          </w:p>
        </w:tc>
        <w:tc>
          <w:tcPr>
            <w:tcW w:w="638" w:type="pct"/>
            <w:vAlign w:val="center"/>
          </w:tcPr>
          <w:p w14:paraId="027CC13C">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2.9</w:t>
            </w:r>
          </w:p>
        </w:tc>
        <w:tc>
          <w:tcPr>
            <w:tcW w:w="638" w:type="pct"/>
            <w:vAlign w:val="center"/>
          </w:tcPr>
          <w:p w14:paraId="070DBFD1">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1.07</w:t>
            </w:r>
          </w:p>
        </w:tc>
        <w:tc>
          <w:tcPr>
            <w:tcW w:w="637" w:type="pct"/>
          </w:tcPr>
          <w:p w14:paraId="6A18F641">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0.76</w:t>
            </w:r>
          </w:p>
        </w:tc>
      </w:tr>
      <w:tr w14:paraId="6C41842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418" w:type="pct"/>
            <w:vMerge w:val="continue"/>
            <w:vAlign w:val="center"/>
          </w:tcPr>
          <w:p w14:paraId="5C4FBC8E">
            <w:pPr>
              <w:widowControl w:val="0"/>
              <w:spacing w:line="240" w:lineRule="atLeast"/>
              <w:jc w:val="center"/>
              <w:rPr>
                <w:rFonts w:ascii="Times New Roman" w:hAnsi="Times New Roman" w:cs="Times New Roman"/>
                <w:color w:val="auto"/>
                <w:sz w:val="21"/>
              </w:rPr>
            </w:pPr>
          </w:p>
        </w:tc>
        <w:tc>
          <w:tcPr>
            <w:tcW w:w="591" w:type="pct"/>
            <w:vMerge w:val="continue"/>
            <w:vAlign w:val="center"/>
          </w:tcPr>
          <w:p w14:paraId="7A017823">
            <w:pPr>
              <w:widowControl w:val="0"/>
              <w:spacing w:line="240" w:lineRule="atLeast"/>
              <w:jc w:val="center"/>
              <w:rPr>
                <w:rFonts w:ascii="Times New Roman" w:hAnsi="Times New Roman" w:cs="Times New Roman"/>
                <w:color w:val="auto"/>
                <w:sz w:val="21"/>
              </w:rPr>
            </w:pPr>
          </w:p>
        </w:tc>
        <w:tc>
          <w:tcPr>
            <w:tcW w:w="799" w:type="pct"/>
            <w:vAlign w:val="center"/>
          </w:tcPr>
          <w:p w14:paraId="256ACDC7">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sz w:val="21"/>
                <w:lang w:eastAsia="zh-CN"/>
              </w:rPr>
              <w:t>最大单因子指数</w:t>
            </w:r>
          </w:p>
        </w:tc>
        <w:tc>
          <w:tcPr>
            <w:tcW w:w="639" w:type="pct"/>
            <w:vAlign w:val="center"/>
          </w:tcPr>
          <w:p w14:paraId="0D6516E6">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0.5</w:t>
            </w:r>
          </w:p>
        </w:tc>
        <w:tc>
          <w:tcPr>
            <w:tcW w:w="639" w:type="pct"/>
            <w:vAlign w:val="center"/>
          </w:tcPr>
          <w:p w14:paraId="7A2C3398">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0.93</w:t>
            </w:r>
          </w:p>
        </w:tc>
        <w:tc>
          <w:tcPr>
            <w:tcW w:w="638" w:type="pct"/>
            <w:vAlign w:val="center"/>
          </w:tcPr>
          <w:p w14:paraId="0CC43759">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0.48</w:t>
            </w:r>
          </w:p>
        </w:tc>
        <w:tc>
          <w:tcPr>
            <w:tcW w:w="638" w:type="pct"/>
            <w:vAlign w:val="center"/>
          </w:tcPr>
          <w:p w14:paraId="5E8BFED0">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0.83</w:t>
            </w:r>
          </w:p>
        </w:tc>
        <w:tc>
          <w:tcPr>
            <w:tcW w:w="637" w:type="pct"/>
            <w:vAlign w:val="center"/>
          </w:tcPr>
          <w:p w14:paraId="1463F8C0">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0.82</w:t>
            </w:r>
          </w:p>
        </w:tc>
      </w:tr>
      <w:tr w14:paraId="206CEFA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418" w:type="pct"/>
            <w:vMerge w:val="continue"/>
            <w:vAlign w:val="center"/>
          </w:tcPr>
          <w:p w14:paraId="554E8B18">
            <w:pPr>
              <w:widowControl w:val="0"/>
              <w:spacing w:line="240" w:lineRule="atLeast"/>
              <w:jc w:val="center"/>
              <w:rPr>
                <w:rFonts w:ascii="Times New Roman" w:hAnsi="Times New Roman" w:cs="Times New Roman"/>
                <w:color w:val="auto"/>
                <w:sz w:val="21"/>
              </w:rPr>
            </w:pPr>
          </w:p>
        </w:tc>
        <w:tc>
          <w:tcPr>
            <w:tcW w:w="591" w:type="pct"/>
            <w:vMerge w:val="continue"/>
            <w:vAlign w:val="center"/>
          </w:tcPr>
          <w:p w14:paraId="413B0869">
            <w:pPr>
              <w:widowControl w:val="0"/>
              <w:spacing w:line="240" w:lineRule="atLeast"/>
              <w:jc w:val="center"/>
              <w:rPr>
                <w:rFonts w:ascii="Times New Roman" w:hAnsi="Times New Roman" w:cs="Times New Roman"/>
                <w:color w:val="auto"/>
                <w:sz w:val="21"/>
              </w:rPr>
            </w:pPr>
          </w:p>
        </w:tc>
        <w:tc>
          <w:tcPr>
            <w:tcW w:w="799" w:type="pct"/>
            <w:vAlign w:val="center"/>
          </w:tcPr>
          <w:p w14:paraId="10BE852E">
            <w:pPr>
              <w:widowControl w:val="0"/>
              <w:spacing w:line="240" w:lineRule="atLeas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达标情况</w:t>
            </w:r>
          </w:p>
        </w:tc>
        <w:tc>
          <w:tcPr>
            <w:tcW w:w="639" w:type="pct"/>
            <w:vAlign w:val="center"/>
          </w:tcPr>
          <w:p w14:paraId="7807F1CD">
            <w:pPr>
              <w:widowControl w:val="0"/>
              <w:spacing w:line="240" w:lineRule="atLeas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w:t>
            </w:r>
          </w:p>
        </w:tc>
        <w:tc>
          <w:tcPr>
            <w:tcW w:w="639" w:type="pct"/>
            <w:vAlign w:val="center"/>
          </w:tcPr>
          <w:p w14:paraId="63D4393C">
            <w:pPr>
              <w:widowControl w:val="0"/>
              <w:spacing w:line="240" w:lineRule="atLeas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w:t>
            </w:r>
          </w:p>
        </w:tc>
        <w:tc>
          <w:tcPr>
            <w:tcW w:w="638" w:type="pct"/>
            <w:vAlign w:val="center"/>
          </w:tcPr>
          <w:p w14:paraId="5FA4A510">
            <w:pPr>
              <w:widowControl w:val="0"/>
              <w:spacing w:line="240" w:lineRule="atLeas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w:t>
            </w:r>
          </w:p>
        </w:tc>
        <w:tc>
          <w:tcPr>
            <w:tcW w:w="638" w:type="pct"/>
            <w:vAlign w:val="center"/>
          </w:tcPr>
          <w:p w14:paraId="4A5D30BA">
            <w:pPr>
              <w:widowControl w:val="0"/>
              <w:spacing w:line="240" w:lineRule="atLeas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w:t>
            </w:r>
          </w:p>
        </w:tc>
        <w:tc>
          <w:tcPr>
            <w:tcW w:w="637" w:type="pct"/>
            <w:vAlign w:val="center"/>
          </w:tcPr>
          <w:p w14:paraId="02E4D931">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sz w:val="21"/>
                <w:lang w:eastAsia="zh-CN"/>
              </w:rPr>
              <w:t>达标</w:t>
            </w:r>
          </w:p>
        </w:tc>
      </w:tr>
      <w:tr w14:paraId="1162D83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418" w:type="pct"/>
            <w:vMerge w:val="restart"/>
            <w:vAlign w:val="center"/>
          </w:tcPr>
          <w:p w14:paraId="7762FF30">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淮河</w:t>
            </w:r>
          </w:p>
        </w:tc>
        <w:tc>
          <w:tcPr>
            <w:tcW w:w="591" w:type="pct"/>
            <w:vMerge w:val="restart"/>
            <w:vAlign w:val="center"/>
          </w:tcPr>
          <w:p w14:paraId="2BE4B9D1">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rPr>
              <w:t>W</w:t>
            </w:r>
            <w:r>
              <w:rPr>
                <w:rFonts w:hint="eastAsia" w:ascii="Times New Roman" w:hAnsi="Times New Roman" w:cs="Times New Roman"/>
                <w:color w:val="auto"/>
                <w:sz w:val="21"/>
                <w:lang w:eastAsia="zh-CN"/>
              </w:rPr>
              <w:t>3</w:t>
            </w:r>
          </w:p>
        </w:tc>
        <w:tc>
          <w:tcPr>
            <w:tcW w:w="799" w:type="pct"/>
            <w:vAlign w:val="center"/>
          </w:tcPr>
          <w:p w14:paraId="00B957A1">
            <w:pPr>
              <w:widowControl w:val="0"/>
              <w:spacing w:line="240" w:lineRule="atLeast"/>
              <w:jc w:val="center"/>
              <w:rPr>
                <w:rFonts w:ascii="Times New Roman" w:hAnsi="Times New Roman" w:cs="Times New Roman"/>
                <w:color w:val="auto"/>
                <w:sz w:val="21"/>
              </w:rPr>
            </w:pPr>
            <w:r>
              <w:rPr>
                <w:rFonts w:hint="eastAsia" w:ascii="Times New Roman" w:hAnsi="Times New Roman" w:cs="Times New Roman"/>
                <w:color w:val="auto"/>
                <w:sz w:val="21"/>
                <w:lang w:eastAsia="zh-CN"/>
              </w:rPr>
              <w:t>监测结果</w:t>
            </w:r>
          </w:p>
        </w:tc>
        <w:tc>
          <w:tcPr>
            <w:tcW w:w="639" w:type="pct"/>
            <w:vAlign w:val="center"/>
          </w:tcPr>
          <w:p w14:paraId="616360A7">
            <w:pPr>
              <w:widowControl w:val="0"/>
              <w:spacing w:line="240" w:lineRule="atLeast"/>
              <w:jc w:val="center"/>
              <w:rPr>
                <w:rFonts w:ascii="Times New Roman" w:hAnsi="Times New Roman" w:cs="Times New Roman"/>
                <w:color w:val="auto"/>
                <w:kern w:val="2"/>
                <w:sz w:val="21"/>
                <w:lang w:eastAsia="zh-CN"/>
              </w:rPr>
            </w:pPr>
            <w:r>
              <w:rPr>
                <w:rFonts w:ascii="Times New Roman" w:hAnsi="Times New Roman" w:cs="Times New Roman"/>
                <w:color w:val="auto"/>
                <w:sz w:val="21"/>
                <w:lang w:eastAsia="zh-CN"/>
              </w:rPr>
              <w:t>7.5</w:t>
            </w:r>
          </w:p>
        </w:tc>
        <w:tc>
          <w:tcPr>
            <w:tcW w:w="639" w:type="pct"/>
            <w:vAlign w:val="center"/>
          </w:tcPr>
          <w:p w14:paraId="3C7FC41B">
            <w:pPr>
              <w:widowControl w:val="0"/>
              <w:spacing w:line="240" w:lineRule="atLeast"/>
              <w:jc w:val="center"/>
              <w:rPr>
                <w:rFonts w:ascii="Times New Roman" w:hAnsi="Times New Roman" w:cs="Times New Roman"/>
                <w:color w:val="auto"/>
                <w:kern w:val="2"/>
                <w:sz w:val="21"/>
                <w:lang w:eastAsia="zh-CN"/>
              </w:rPr>
            </w:pPr>
            <w:r>
              <w:rPr>
                <w:rFonts w:ascii="Times New Roman" w:hAnsi="Times New Roman" w:cs="Times New Roman"/>
                <w:color w:val="auto"/>
                <w:sz w:val="21"/>
                <w:lang w:eastAsia="zh-CN"/>
              </w:rPr>
              <w:t>19</w:t>
            </w:r>
          </w:p>
        </w:tc>
        <w:tc>
          <w:tcPr>
            <w:tcW w:w="638" w:type="pct"/>
            <w:vAlign w:val="center"/>
          </w:tcPr>
          <w:p w14:paraId="0C931229">
            <w:pPr>
              <w:widowControl w:val="0"/>
              <w:spacing w:line="240" w:lineRule="atLeast"/>
              <w:jc w:val="center"/>
              <w:rPr>
                <w:rFonts w:ascii="Times New Roman" w:hAnsi="Times New Roman" w:cs="Times New Roman"/>
                <w:color w:val="auto"/>
                <w:kern w:val="2"/>
                <w:sz w:val="21"/>
                <w:lang w:eastAsia="zh-CN"/>
              </w:rPr>
            </w:pPr>
            <w:r>
              <w:rPr>
                <w:rFonts w:ascii="Times New Roman" w:hAnsi="Times New Roman" w:cs="Times New Roman"/>
                <w:color w:val="auto"/>
                <w:sz w:val="21"/>
                <w:lang w:eastAsia="zh-CN"/>
              </w:rPr>
              <w:t>2.4</w:t>
            </w:r>
          </w:p>
        </w:tc>
        <w:tc>
          <w:tcPr>
            <w:tcW w:w="638" w:type="pct"/>
            <w:vAlign w:val="center"/>
          </w:tcPr>
          <w:p w14:paraId="012C53EA">
            <w:pPr>
              <w:widowControl w:val="0"/>
              <w:spacing w:line="240" w:lineRule="atLeast"/>
              <w:jc w:val="center"/>
              <w:rPr>
                <w:rFonts w:ascii="Times New Roman" w:hAnsi="Times New Roman" w:cs="Times New Roman"/>
                <w:color w:val="auto"/>
                <w:kern w:val="2"/>
                <w:sz w:val="21"/>
                <w:lang w:eastAsia="zh-CN"/>
              </w:rPr>
            </w:pPr>
            <w:r>
              <w:rPr>
                <w:rFonts w:ascii="Times New Roman" w:hAnsi="Times New Roman" w:cs="Times New Roman"/>
                <w:color w:val="auto"/>
                <w:sz w:val="21"/>
                <w:lang w:eastAsia="zh-CN"/>
              </w:rPr>
              <w:t>0.431</w:t>
            </w:r>
          </w:p>
        </w:tc>
        <w:tc>
          <w:tcPr>
            <w:tcW w:w="637" w:type="pct"/>
          </w:tcPr>
          <w:p w14:paraId="38ADD6F7">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0.4</w:t>
            </w:r>
          </w:p>
        </w:tc>
      </w:tr>
      <w:tr w14:paraId="08FD2F2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418" w:type="pct"/>
            <w:vMerge w:val="continue"/>
            <w:vAlign w:val="center"/>
          </w:tcPr>
          <w:p w14:paraId="180E0CE1">
            <w:pPr>
              <w:widowControl w:val="0"/>
              <w:spacing w:line="240" w:lineRule="atLeast"/>
              <w:jc w:val="center"/>
              <w:rPr>
                <w:rFonts w:ascii="Times New Roman" w:hAnsi="Times New Roman" w:cs="Times New Roman"/>
                <w:color w:val="auto"/>
                <w:sz w:val="21"/>
              </w:rPr>
            </w:pPr>
          </w:p>
        </w:tc>
        <w:tc>
          <w:tcPr>
            <w:tcW w:w="591" w:type="pct"/>
            <w:vMerge w:val="continue"/>
            <w:vAlign w:val="center"/>
          </w:tcPr>
          <w:p w14:paraId="6E10C51D">
            <w:pPr>
              <w:widowControl w:val="0"/>
              <w:spacing w:line="240" w:lineRule="atLeast"/>
              <w:jc w:val="center"/>
              <w:rPr>
                <w:rFonts w:ascii="Times New Roman" w:hAnsi="Times New Roman" w:cs="Times New Roman"/>
                <w:color w:val="auto"/>
                <w:sz w:val="21"/>
              </w:rPr>
            </w:pPr>
          </w:p>
        </w:tc>
        <w:tc>
          <w:tcPr>
            <w:tcW w:w="799" w:type="pct"/>
            <w:vAlign w:val="center"/>
          </w:tcPr>
          <w:p w14:paraId="1466DE47">
            <w:pPr>
              <w:widowControl w:val="0"/>
              <w:spacing w:line="240" w:lineRule="atLeast"/>
              <w:jc w:val="center"/>
              <w:rPr>
                <w:rFonts w:ascii="Times New Roman" w:hAnsi="Times New Roman" w:cs="Times New Roman"/>
                <w:color w:val="auto"/>
                <w:sz w:val="21"/>
              </w:rPr>
            </w:pPr>
            <w:r>
              <w:rPr>
                <w:rFonts w:hint="eastAsia" w:ascii="Times New Roman" w:hAnsi="Times New Roman" w:cs="Times New Roman"/>
                <w:color w:val="auto"/>
                <w:sz w:val="21"/>
                <w:lang w:eastAsia="zh-CN"/>
              </w:rPr>
              <w:t>监测结果</w:t>
            </w:r>
          </w:p>
        </w:tc>
        <w:tc>
          <w:tcPr>
            <w:tcW w:w="639" w:type="pct"/>
            <w:vAlign w:val="center"/>
          </w:tcPr>
          <w:p w14:paraId="4969FD45">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7.6</w:t>
            </w:r>
          </w:p>
        </w:tc>
        <w:tc>
          <w:tcPr>
            <w:tcW w:w="639" w:type="pct"/>
            <w:vAlign w:val="center"/>
          </w:tcPr>
          <w:p w14:paraId="022611BE">
            <w:pPr>
              <w:widowControl w:val="0"/>
              <w:spacing w:line="240" w:lineRule="atLeast"/>
              <w:jc w:val="center"/>
              <w:rPr>
                <w:rFonts w:ascii="Times New Roman" w:hAnsi="Times New Roman" w:cs="Times New Roman"/>
                <w:color w:val="auto"/>
                <w:kern w:val="2"/>
                <w:sz w:val="21"/>
                <w:lang w:eastAsia="zh-CN"/>
              </w:rPr>
            </w:pPr>
            <w:r>
              <w:rPr>
                <w:rFonts w:ascii="Times New Roman" w:hAnsi="Times New Roman" w:cs="Times New Roman"/>
                <w:color w:val="auto"/>
                <w:sz w:val="21"/>
                <w:lang w:eastAsia="zh-CN"/>
              </w:rPr>
              <w:t>17</w:t>
            </w:r>
          </w:p>
        </w:tc>
        <w:tc>
          <w:tcPr>
            <w:tcW w:w="638" w:type="pct"/>
            <w:vAlign w:val="center"/>
          </w:tcPr>
          <w:p w14:paraId="0983590E">
            <w:pPr>
              <w:widowControl w:val="0"/>
              <w:spacing w:line="240" w:lineRule="atLeast"/>
              <w:jc w:val="center"/>
              <w:rPr>
                <w:rFonts w:ascii="Times New Roman" w:hAnsi="Times New Roman" w:cs="Times New Roman"/>
                <w:color w:val="auto"/>
                <w:kern w:val="2"/>
                <w:sz w:val="21"/>
                <w:lang w:eastAsia="zh-CN"/>
              </w:rPr>
            </w:pPr>
            <w:r>
              <w:rPr>
                <w:rFonts w:ascii="Times New Roman" w:hAnsi="Times New Roman" w:cs="Times New Roman"/>
                <w:color w:val="auto"/>
                <w:sz w:val="21"/>
                <w:lang w:eastAsia="zh-CN"/>
              </w:rPr>
              <w:t>2.6</w:t>
            </w:r>
          </w:p>
        </w:tc>
        <w:tc>
          <w:tcPr>
            <w:tcW w:w="638" w:type="pct"/>
            <w:vAlign w:val="center"/>
          </w:tcPr>
          <w:p w14:paraId="0EFC15F4">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0.343</w:t>
            </w:r>
          </w:p>
        </w:tc>
        <w:tc>
          <w:tcPr>
            <w:tcW w:w="637" w:type="pct"/>
          </w:tcPr>
          <w:p w14:paraId="629D77D3">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0.45</w:t>
            </w:r>
          </w:p>
        </w:tc>
      </w:tr>
      <w:tr w14:paraId="0DDBA4F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418" w:type="pct"/>
            <w:vMerge w:val="continue"/>
            <w:vAlign w:val="center"/>
          </w:tcPr>
          <w:p w14:paraId="7406AE60">
            <w:pPr>
              <w:widowControl w:val="0"/>
              <w:spacing w:line="240" w:lineRule="atLeast"/>
              <w:jc w:val="center"/>
              <w:rPr>
                <w:rFonts w:ascii="Times New Roman" w:hAnsi="Times New Roman" w:cs="Times New Roman"/>
                <w:color w:val="auto"/>
                <w:sz w:val="21"/>
              </w:rPr>
            </w:pPr>
          </w:p>
        </w:tc>
        <w:tc>
          <w:tcPr>
            <w:tcW w:w="591" w:type="pct"/>
            <w:vMerge w:val="continue"/>
            <w:vAlign w:val="center"/>
          </w:tcPr>
          <w:p w14:paraId="3F5C9675">
            <w:pPr>
              <w:widowControl w:val="0"/>
              <w:spacing w:line="240" w:lineRule="atLeast"/>
              <w:jc w:val="center"/>
              <w:rPr>
                <w:rFonts w:ascii="Times New Roman" w:hAnsi="Times New Roman" w:cs="Times New Roman"/>
                <w:color w:val="auto"/>
                <w:sz w:val="21"/>
              </w:rPr>
            </w:pPr>
          </w:p>
        </w:tc>
        <w:tc>
          <w:tcPr>
            <w:tcW w:w="799" w:type="pct"/>
            <w:vAlign w:val="center"/>
          </w:tcPr>
          <w:p w14:paraId="5E04CA76">
            <w:pPr>
              <w:widowControl w:val="0"/>
              <w:spacing w:line="240" w:lineRule="atLeast"/>
              <w:jc w:val="center"/>
              <w:rPr>
                <w:rFonts w:ascii="Times New Roman" w:hAnsi="Times New Roman" w:cs="Times New Roman"/>
                <w:color w:val="auto"/>
                <w:sz w:val="21"/>
              </w:rPr>
            </w:pPr>
            <w:r>
              <w:rPr>
                <w:rFonts w:hint="eastAsia" w:ascii="Times New Roman" w:hAnsi="Times New Roman" w:cs="Times New Roman"/>
                <w:color w:val="auto"/>
                <w:sz w:val="21"/>
                <w:lang w:eastAsia="zh-CN"/>
              </w:rPr>
              <w:t>监测结果</w:t>
            </w:r>
          </w:p>
        </w:tc>
        <w:tc>
          <w:tcPr>
            <w:tcW w:w="639" w:type="pct"/>
            <w:vAlign w:val="center"/>
          </w:tcPr>
          <w:p w14:paraId="78D80767">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7.7</w:t>
            </w:r>
          </w:p>
        </w:tc>
        <w:tc>
          <w:tcPr>
            <w:tcW w:w="639" w:type="pct"/>
            <w:vAlign w:val="center"/>
          </w:tcPr>
          <w:p w14:paraId="12A0E1E6">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18</w:t>
            </w:r>
          </w:p>
        </w:tc>
        <w:tc>
          <w:tcPr>
            <w:tcW w:w="638" w:type="pct"/>
            <w:vAlign w:val="center"/>
          </w:tcPr>
          <w:p w14:paraId="4106E230">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2.8</w:t>
            </w:r>
          </w:p>
        </w:tc>
        <w:tc>
          <w:tcPr>
            <w:tcW w:w="638" w:type="pct"/>
            <w:vAlign w:val="center"/>
          </w:tcPr>
          <w:p w14:paraId="402016AA">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0.337</w:t>
            </w:r>
          </w:p>
        </w:tc>
        <w:tc>
          <w:tcPr>
            <w:tcW w:w="637" w:type="pct"/>
          </w:tcPr>
          <w:p w14:paraId="0DA2D12B">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0.44</w:t>
            </w:r>
          </w:p>
        </w:tc>
      </w:tr>
      <w:tr w14:paraId="29E6FD0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418" w:type="pct"/>
            <w:vMerge w:val="continue"/>
            <w:vAlign w:val="center"/>
          </w:tcPr>
          <w:p w14:paraId="3E54FE0F">
            <w:pPr>
              <w:widowControl w:val="0"/>
              <w:spacing w:line="240" w:lineRule="atLeast"/>
              <w:jc w:val="center"/>
              <w:rPr>
                <w:rFonts w:ascii="Times New Roman" w:hAnsi="Times New Roman" w:cs="Times New Roman"/>
                <w:color w:val="auto"/>
                <w:sz w:val="21"/>
              </w:rPr>
            </w:pPr>
          </w:p>
        </w:tc>
        <w:tc>
          <w:tcPr>
            <w:tcW w:w="591" w:type="pct"/>
            <w:vMerge w:val="continue"/>
            <w:vAlign w:val="center"/>
          </w:tcPr>
          <w:p w14:paraId="5DA36D39">
            <w:pPr>
              <w:widowControl w:val="0"/>
              <w:spacing w:line="240" w:lineRule="atLeast"/>
              <w:jc w:val="center"/>
              <w:rPr>
                <w:rFonts w:ascii="Times New Roman" w:hAnsi="Times New Roman" w:cs="Times New Roman"/>
                <w:color w:val="auto"/>
                <w:sz w:val="21"/>
              </w:rPr>
            </w:pPr>
          </w:p>
        </w:tc>
        <w:tc>
          <w:tcPr>
            <w:tcW w:w="799" w:type="pct"/>
            <w:vAlign w:val="center"/>
          </w:tcPr>
          <w:p w14:paraId="61A21380">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sz w:val="21"/>
                <w:lang w:eastAsia="zh-CN"/>
              </w:rPr>
              <w:t>最大单因子指数</w:t>
            </w:r>
          </w:p>
        </w:tc>
        <w:tc>
          <w:tcPr>
            <w:tcW w:w="639" w:type="pct"/>
            <w:vAlign w:val="center"/>
          </w:tcPr>
          <w:p w14:paraId="21D2EFA4">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0.35</w:t>
            </w:r>
          </w:p>
        </w:tc>
        <w:tc>
          <w:tcPr>
            <w:tcW w:w="639" w:type="pct"/>
            <w:vAlign w:val="center"/>
          </w:tcPr>
          <w:p w14:paraId="34402DC3">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0.95</w:t>
            </w:r>
          </w:p>
        </w:tc>
        <w:tc>
          <w:tcPr>
            <w:tcW w:w="638" w:type="pct"/>
            <w:vAlign w:val="center"/>
          </w:tcPr>
          <w:p w14:paraId="1D285ABF">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0.7</w:t>
            </w:r>
          </w:p>
        </w:tc>
        <w:tc>
          <w:tcPr>
            <w:tcW w:w="638" w:type="pct"/>
            <w:vAlign w:val="center"/>
          </w:tcPr>
          <w:p w14:paraId="302E211D">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0.43</w:t>
            </w:r>
          </w:p>
        </w:tc>
        <w:tc>
          <w:tcPr>
            <w:tcW w:w="637" w:type="pct"/>
            <w:vAlign w:val="center"/>
          </w:tcPr>
          <w:p w14:paraId="21D3ED2D">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0.45</w:t>
            </w:r>
          </w:p>
        </w:tc>
      </w:tr>
      <w:tr w14:paraId="698C64E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418" w:type="pct"/>
            <w:vMerge w:val="continue"/>
            <w:vAlign w:val="center"/>
          </w:tcPr>
          <w:p w14:paraId="6563EF51">
            <w:pPr>
              <w:widowControl w:val="0"/>
              <w:spacing w:line="240" w:lineRule="atLeast"/>
              <w:jc w:val="center"/>
              <w:rPr>
                <w:rFonts w:ascii="Times New Roman" w:hAnsi="Times New Roman" w:cs="Times New Roman"/>
                <w:color w:val="auto"/>
                <w:sz w:val="21"/>
              </w:rPr>
            </w:pPr>
          </w:p>
        </w:tc>
        <w:tc>
          <w:tcPr>
            <w:tcW w:w="591" w:type="pct"/>
            <w:vMerge w:val="continue"/>
            <w:vAlign w:val="center"/>
          </w:tcPr>
          <w:p w14:paraId="45E0E698">
            <w:pPr>
              <w:widowControl w:val="0"/>
              <w:spacing w:line="240" w:lineRule="atLeast"/>
              <w:jc w:val="center"/>
              <w:rPr>
                <w:rFonts w:ascii="Times New Roman" w:hAnsi="Times New Roman" w:cs="Times New Roman"/>
                <w:color w:val="auto"/>
                <w:sz w:val="21"/>
              </w:rPr>
            </w:pPr>
          </w:p>
        </w:tc>
        <w:tc>
          <w:tcPr>
            <w:tcW w:w="799" w:type="pct"/>
            <w:vAlign w:val="center"/>
          </w:tcPr>
          <w:p w14:paraId="5FFB2BD6">
            <w:pPr>
              <w:widowControl w:val="0"/>
              <w:spacing w:line="240" w:lineRule="atLeas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达标情况</w:t>
            </w:r>
          </w:p>
        </w:tc>
        <w:tc>
          <w:tcPr>
            <w:tcW w:w="639" w:type="pct"/>
            <w:vAlign w:val="center"/>
          </w:tcPr>
          <w:p w14:paraId="41CD89AF">
            <w:pPr>
              <w:widowControl w:val="0"/>
              <w:spacing w:line="240" w:lineRule="atLeas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w:t>
            </w:r>
          </w:p>
        </w:tc>
        <w:tc>
          <w:tcPr>
            <w:tcW w:w="639" w:type="pct"/>
            <w:vAlign w:val="center"/>
          </w:tcPr>
          <w:p w14:paraId="0527C95B">
            <w:pPr>
              <w:widowControl w:val="0"/>
              <w:spacing w:line="240" w:lineRule="atLeas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w:t>
            </w:r>
          </w:p>
        </w:tc>
        <w:tc>
          <w:tcPr>
            <w:tcW w:w="638" w:type="pct"/>
            <w:vAlign w:val="center"/>
          </w:tcPr>
          <w:p w14:paraId="6264662C">
            <w:pPr>
              <w:widowControl w:val="0"/>
              <w:spacing w:line="240" w:lineRule="atLeas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w:t>
            </w:r>
          </w:p>
        </w:tc>
        <w:tc>
          <w:tcPr>
            <w:tcW w:w="638" w:type="pct"/>
            <w:vAlign w:val="center"/>
          </w:tcPr>
          <w:p w14:paraId="40B09614">
            <w:pPr>
              <w:widowControl w:val="0"/>
              <w:spacing w:line="240" w:lineRule="atLeas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w:t>
            </w:r>
          </w:p>
        </w:tc>
        <w:tc>
          <w:tcPr>
            <w:tcW w:w="637" w:type="pct"/>
            <w:vAlign w:val="center"/>
          </w:tcPr>
          <w:p w14:paraId="3C9CE1BA">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sz w:val="21"/>
                <w:lang w:eastAsia="zh-CN"/>
              </w:rPr>
              <w:t>达标</w:t>
            </w:r>
          </w:p>
        </w:tc>
      </w:tr>
      <w:tr w14:paraId="6BEB5AD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418" w:type="pct"/>
            <w:vMerge w:val="continue"/>
            <w:vAlign w:val="center"/>
          </w:tcPr>
          <w:p w14:paraId="1D86F64D">
            <w:pPr>
              <w:widowControl w:val="0"/>
              <w:spacing w:line="240" w:lineRule="atLeast"/>
              <w:jc w:val="center"/>
              <w:rPr>
                <w:rFonts w:ascii="Times New Roman" w:hAnsi="Times New Roman" w:cs="Times New Roman"/>
                <w:color w:val="auto"/>
                <w:sz w:val="21"/>
              </w:rPr>
            </w:pPr>
          </w:p>
        </w:tc>
        <w:tc>
          <w:tcPr>
            <w:tcW w:w="591" w:type="pct"/>
            <w:vMerge w:val="restart"/>
            <w:vAlign w:val="center"/>
          </w:tcPr>
          <w:p w14:paraId="5DA3B73F">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rPr>
              <w:t>W</w:t>
            </w:r>
            <w:r>
              <w:rPr>
                <w:rFonts w:hint="eastAsia" w:ascii="Times New Roman" w:hAnsi="Times New Roman" w:cs="Times New Roman"/>
                <w:color w:val="auto"/>
                <w:sz w:val="21"/>
                <w:lang w:eastAsia="zh-CN"/>
              </w:rPr>
              <w:t>4</w:t>
            </w:r>
          </w:p>
        </w:tc>
        <w:tc>
          <w:tcPr>
            <w:tcW w:w="799" w:type="pct"/>
            <w:vAlign w:val="center"/>
          </w:tcPr>
          <w:p w14:paraId="6CB9CC78">
            <w:pPr>
              <w:widowControl w:val="0"/>
              <w:spacing w:line="240" w:lineRule="atLeast"/>
              <w:jc w:val="center"/>
              <w:rPr>
                <w:rFonts w:ascii="Times New Roman" w:hAnsi="Times New Roman" w:cs="Times New Roman"/>
                <w:color w:val="auto"/>
                <w:sz w:val="21"/>
              </w:rPr>
            </w:pPr>
            <w:r>
              <w:rPr>
                <w:rFonts w:hint="eastAsia" w:ascii="Times New Roman" w:hAnsi="Times New Roman" w:cs="Times New Roman"/>
                <w:color w:val="auto"/>
                <w:sz w:val="21"/>
                <w:lang w:eastAsia="zh-CN"/>
              </w:rPr>
              <w:t>监测结果</w:t>
            </w:r>
          </w:p>
        </w:tc>
        <w:tc>
          <w:tcPr>
            <w:tcW w:w="639" w:type="pct"/>
            <w:vAlign w:val="center"/>
          </w:tcPr>
          <w:p w14:paraId="2EE5F69B">
            <w:pPr>
              <w:widowControl w:val="0"/>
              <w:spacing w:line="240" w:lineRule="atLeast"/>
              <w:jc w:val="center"/>
              <w:rPr>
                <w:rFonts w:ascii="Times New Roman" w:hAnsi="Times New Roman" w:cs="Times New Roman"/>
                <w:color w:val="auto"/>
                <w:kern w:val="2"/>
                <w:sz w:val="21"/>
                <w:lang w:eastAsia="zh-CN"/>
              </w:rPr>
            </w:pPr>
            <w:r>
              <w:rPr>
                <w:rFonts w:ascii="Times New Roman" w:hAnsi="Times New Roman" w:cs="Times New Roman"/>
                <w:color w:val="auto"/>
                <w:sz w:val="21"/>
                <w:lang w:eastAsia="zh-CN"/>
              </w:rPr>
              <w:t>7.6</w:t>
            </w:r>
          </w:p>
        </w:tc>
        <w:tc>
          <w:tcPr>
            <w:tcW w:w="639" w:type="pct"/>
            <w:vAlign w:val="center"/>
          </w:tcPr>
          <w:p w14:paraId="47325813">
            <w:pPr>
              <w:widowControl w:val="0"/>
              <w:spacing w:line="240" w:lineRule="atLeast"/>
              <w:jc w:val="center"/>
              <w:rPr>
                <w:rFonts w:ascii="Times New Roman" w:hAnsi="Times New Roman" w:cs="Times New Roman"/>
                <w:color w:val="auto"/>
                <w:kern w:val="2"/>
                <w:sz w:val="21"/>
                <w:lang w:eastAsia="zh-CN"/>
              </w:rPr>
            </w:pPr>
            <w:r>
              <w:rPr>
                <w:rFonts w:ascii="Times New Roman" w:hAnsi="Times New Roman" w:cs="Times New Roman"/>
                <w:color w:val="auto"/>
                <w:sz w:val="21"/>
                <w:lang w:eastAsia="zh-CN"/>
              </w:rPr>
              <w:t>17</w:t>
            </w:r>
          </w:p>
        </w:tc>
        <w:tc>
          <w:tcPr>
            <w:tcW w:w="638" w:type="pct"/>
            <w:vAlign w:val="center"/>
          </w:tcPr>
          <w:p w14:paraId="71699A7B">
            <w:pPr>
              <w:widowControl w:val="0"/>
              <w:spacing w:line="240" w:lineRule="atLeast"/>
              <w:jc w:val="center"/>
              <w:rPr>
                <w:rFonts w:ascii="Times New Roman" w:hAnsi="Times New Roman" w:cs="Times New Roman"/>
                <w:color w:val="auto"/>
                <w:kern w:val="2"/>
                <w:sz w:val="21"/>
                <w:lang w:eastAsia="zh-CN"/>
              </w:rPr>
            </w:pPr>
            <w:r>
              <w:rPr>
                <w:rFonts w:ascii="Times New Roman" w:hAnsi="Times New Roman" w:cs="Times New Roman"/>
                <w:color w:val="auto"/>
                <w:sz w:val="21"/>
                <w:lang w:eastAsia="zh-CN"/>
              </w:rPr>
              <w:t>2.7</w:t>
            </w:r>
          </w:p>
        </w:tc>
        <w:tc>
          <w:tcPr>
            <w:tcW w:w="638" w:type="pct"/>
            <w:vAlign w:val="center"/>
          </w:tcPr>
          <w:p w14:paraId="7B5848C1">
            <w:pPr>
              <w:widowControl w:val="0"/>
              <w:spacing w:line="240" w:lineRule="atLeast"/>
              <w:jc w:val="center"/>
              <w:rPr>
                <w:rFonts w:ascii="Times New Roman" w:hAnsi="Times New Roman" w:cs="Times New Roman"/>
                <w:color w:val="auto"/>
                <w:kern w:val="2"/>
                <w:sz w:val="21"/>
                <w:lang w:eastAsia="zh-CN"/>
              </w:rPr>
            </w:pPr>
            <w:r>
              <w:rPr>
                <w:rFonts w:ascii="Times New Roman" w:hAnsi="Times New Roman" w:cs="Times New Roman"/>
                <w:color w:val="auto"/>
                <w:sz w:val="21"/>
                <w:lang w:eastAsia="zh-CN"/>
              </w:rPr>
              <w:t>0.434</w:t>
            </w:r>
          </w:p>
        </w:tc>
        <w:tc>
          <w:tcPr>
            <w:tcW w:w="637" w:type="pct"/>
            <w:vAlign w:val="center"/>
          </w:tcPr>
          <w:p w14:paraId="30740361">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0.44</w:t>
            </w:r>
          </w:p>
        </w:tc>
      </w:tr>
      <w:tr w14:paraId="37CA6CF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418" w:type="pct"/>
            <w:vMerge w:val="continue"/>
            <w:vAlign w:val="center"/>
          </w:tcPr>
          <w:p w14:paraId="3F0956F4">
            <w:pPr>
              <w:widowControl w:val="0"/>
              <w:spacing w:line="240" w:lineRule="atLeast"/>
              <w:jc w:val="center"/>
              <w:rPr>
                <w:rFonts w:ascii="Times New Roman" w:hAnsi="Times New Roman" w:cs="Times New Roman"/>
                <w:color w:val="auto"/>
                <w:sz w:val="21"/>
              </w:rPr>
            </w:pPr>
          </w:p>
        </w:tc>
        <w:tc>
          <w:tcPr>
            <w:tcW w:w="591" w:type="pct"/>
            <w:vMerge w:val="continue"/>
            <w:vAlign w:val="center"/>
          </w:tcPr>
          <w:p w14:paraId="6459AEEC">
            <w:pPr>
              <w:widowControl w:val="0"/>
              <w:spacing w:line="240" w:lineRule="atLeast"/>
              <w:jc w:val="center"/>
              <w:rPr>
                <w:rFonts w:ascii="Times New Roman" w:hAnsi="Times New Roman" w:cs="Times New Roman"/>
                <w:color w:val="auto"/>
                <w:sz w:val="21"/>
              </w:rPr>
            </w:pPr>
          </w:p>
        </w:tc>
        <w:tc>
          <w:tcPr>
            <w:tcW w:w="799" w:type="pct"/>
            <w:vAlign w:val="center"/>
          </w:tcPr>
          <w:p w14:paraId="5F987D3B">
            <w:pPr>
              <w:widowControl w:val="0"/>
              <w:spacing w:line="240" w:lineRule="atLeast"/>
              <w:jc w:val="center"/>
              <w:rPr>
                <w:rFonts w:ascii="Times New Roman" w:hAnsi="Times New Roman" w:cs="Times New Roman"/>
                <w:color w:val="auto"/>
                <w:sz w:val="21"/>
              </w:rPr>
            </w:pPr>
            <w:r>
              <w:rPr>
                <w:rFonts w:hint="eastAsia" w:ascii="Times New Roman" w:hAnsi="Times New Roman" w:cs="Times New Roman"/>
                <w:color w:val="auto"/>
                <w:sz w:val="21"/>
                <w:lang w:eastAsia="zh-CN"/>
              </w:rPr>
              <w:t>监测结果</w:t>
            </w:r>
          </w:p>
        </w:tc>
        <w:tc>
          <w:tcPr>
            <w:tcW w:w="639" w:type="pct"/>
            <w:vAlign w:val="center"/>
          </w:tcPr>
          <w:p w14:paraId="7809370B">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7.7</w:t>
            </w:r>
          </w:p>
        </w:tc>
        <w:tc>
          <w:tcPr>
            <w:tcW w:w="639" w:type="pct"/>
            <w:vAlign w:val="center"/>
          </w:tcPr>
          <w:p w14:paraId="14918F72">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18</w:t>
            </w:r>
          </w:p>
        </w:tc>
        <w:tc>
          <w:tcPr>
            <w:tcW w:w="638" w:type="pct"/>
            <w:vAlign w:val="center"/>
          </w:tcPr>
          <w:p w14:paraId="2F38B200">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2.6</w:t>
            </w:r>
          </w:p>
        </w:tc>
        <w:tc>
          <w:tcPr>
            <w:tcW w:w="638" w:type="pct"/>
            <w:vAlign w:val="center"/>
          </w:tcPr>
          <w:p w14:paraId="2D117C93">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0.177</w:t>
            </w:r>
          </w:p>
        </w:tc>
        <w:tc>
          <w:tcPr>
            <w:tcW w:w="637" w:type="pct"/>
            <w:vAlign w:val="center"/>
          </w:tcPr>
          <w:p w14:paraId="72F98353">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0.42</w:t>
            </w:r>
          </w:p>
        </w:tc>
      </w:tr>
      <w:tr w14:paraId="75F9BDE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418" w:type="pct"/>
            <w:vMerge w:val="continue"/>
            <w:vAlign w:val="center"/>
          </w:tcPr>
          <w:p w14:paraId="6BC43326">
            <w:pPr>
              <w:widowControl w:val="0"/>
              <w:spacing w:line="240" w:lineRule="atLeast"/>
              <w:jc w:val="center"/>
              <w:rPr>
                <w:rFonts w:ascii="Times New Roman" w:hAnsi="Times New Roman" w:cs="Times New Roman"/>
                <w:color w:val="auto"/>
                <w:sz w:val="21"/>
              </w:rPr>
            </w:pPr>
          </w:p>
        </w:tc>
        <w:tc>
          <w:tcPr>
            <w:tcW w:w="591" w:type="pct"/>
            <w:vMerge w:val="continue"/>
            <w:vAlign w:val="center"/>
          </w:tcPr>
          <w:p w14:paraId="60EB38B5">
            <w:pPr>
              <w:widowControl w:val="0"/>
              <w:spacing w:line="240" w:lineRule="atLeast"/>
              <w:jc w:val="center"/>
              <w:rPr>
                <w:rFonts w:ascii="Times New Roman" w:hAnsi="Times New Roman" w:cs="Times New Roman"/>
                <w:color w:val="auto"/>
                <w:sz w:val="21"/>
              </w:rPr>
            </w:pPr>
          </w:p>
        </w:tc>
        <w:tc>
          <w:tcPr>
            <w:tcW w:w="799" w:type="pct"/>
            <w:vAlign w:val="center"/>
          </w:tcPr>
          <w:p w14:paraId="3AEB53FE">
            <w:pPr>
              <w:widowControl w:val="0"/>
              <w:spacing w:line="240" w:lineRule="atLeast"/>
              <w:jc w:val="center"/>
              <w:rPr>
                <w:rFonts w:ascii="Times New Roman" w:hAnsi="Times New Roman" w:cs="Times New Roman"/>
                <w:color w:val="auto"/>
                <w:sz w:val="21"/>
              </w:rPr>
            </w:pPr>
            <w:r>
              <w:rPr>
                <w:rFonts w:hint="eastAsia" w:ascii="Times New Roman" w:hAnsi="Times New Roman" w:cs="Times New Roman"/>
                <w:color w:val="auto"/>
                <w:sz w:val="21"/>
                <w:lang w:eastAsia="zh-CN"/>
              </w:rPr>
              <w:t>监测结果</w:t>
            </w:r>
          </w:p>
        </w:tc>
        <w:tc>
          <w:tcPr>
            <w:tcW w:w="639" w:type="pct"/>
            <w:vAlign w:val="center"/>
          </w:tcPr>
          <w:p w14:paraId="710201C0">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7.8</w:t>
            </w:r>
          </w:p>
        </w:tc>
        <w:tc>
          <w:tcPr>
            <w:tcW w:w="639" w:type="pct"/>
            <w:vAlign w:val="center"/>
          </w:tcPr>
          <w:p w14:paraId="750A11B7">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17</w:t>
            </w:r>
          </w:p>
        </w:tc>
        <w:tc>
          <w:tcPr>
            <w:tcW w:w="638" w:type="pct"/>
            <w:vAlign w:val="center"/>
          </w:tcPr>
          <w:p w14:paraId="1E569A22">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2.7</w:t>
            </w:r>
          </w:p>
        </w:tc>
        <w:tc>
          <w:tcPr>
            <w:tcW w:w="638" w:type="pct"/>
            <w:vAlign w:val="center"/>
          </w:tcPr>
          <w:p w14:paraId="7B63DF8B">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0.171</w:t>
            </w:r>
          </w:p>
        </w:tc>
        <w:tc>
          <w:tcPr>
            <w:tcW w:w="637" w:type="pct"/>
            <w:vAlign w:val="center"/>
          </w:tcPr>
          <w:p w14:paraId="6EA32D53">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0.39</w:t>
            </w:r>
          </w:p>
        </w:tc>
      </w:tr>
      <w:tr w14:paraId="7EFA6BC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418" w:type="pct"/>
            <w:vMerge w:val="continue"/>
            <w:vAlign w:val="center"/>
          </w:tcPr>
          <w:p w14:paraId="08F76B3D">
            <w:pPr>
              <w:widowControl w:val="0"/>
              <w:spacing w:line="240" w:lineRule="atLeast"/>
              <w:jc w:val="center"/>
              <w:rPr>
                <w:rFonts w:ascii="Times New Roman" w:hAnsi="Times New Roman" w:cs="Times New Roman"/>
                <w:color w:val="auto"/>
                <w:sz w:val="21"/>
              </w:rPr>
            </w:pPr>
          </w:p>
        </w:tc>
        <w:tc>
          <w:tcPr>
            <w:tcW w:w="591" w:type="pct"/>
            <w:vMerge w:val="continue"/>
            <w:vAlign w:val="center"/>
          </w:tcPr>
          <w:p w14:paraId="16D9C3AD">
            <w:pPr>
              <w:widowControl w:val="0"/>
              <w:spacing w:line="240" w:lineRule="atLeast"/>
              <w:jc w:val="center"/>
              <w:rPr>
                <w:rFonts w:ascii="Times New Roman" w:hAnsi="Times New Roman" w:cs="Times New Roman"/>
                <w:color w:val="auto"/>
                <w:sz w:val="21"/>
              </w:rPr>
            </w:pPr>
          </w:p>
        </w:tc>
        <w:tc>
          <w:tcPr>
            <w:tcW w:w="799" w:type="pct"/>
            <w:vAlign w:val="center"/>
          </w:tcPr>
          <w:p w14:paraId="3B348662">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sz w:val="21"/>
                <w:lang w:eastAsia="zh-CN"/>
              </w:rPr>
              <w:t>最大单因子指数</w:t>
            </w:r>
          </w:p>
        </w:tc>
        <w:tc>
          <w:tcPr>
            <w:tcW w:w="639" w:type="pct"/>
            <w:vAlign w:val="center"/>
          </w:tcPr>
          <w:p w14:paraId="691442D4">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0.4</w:t>
            </w:r>
          </w:p>
        </w:tc>
        <w:tc>
          <w:tcPr>
            <w:tcW w:w="639" w:type="pct"/>
            <w:vAlign w:val="center"/>
          </w:tcPr>
          <w:p w14:paraId="4954A811">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0.9</w:t>
            </w:r>
          </w:p>
        </w:tc>
        <w:tc>
          <w:tcPr>
            <w:tcW w:w="638" w:type="pct"/>
            <w:vAlign w:val="center"/>
          </w:tcPr>
          <w:p w14:paraId="4FC060FA">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0.68</w:t>
            </w:r>
          </w:p>
        </w:tc>
        <w:tc>
          <w:tcPr>
            <w:tcW w:w="638" w:type="pct"/>
            <w:vAlign w:val="center"/>
          </w:tcPr>
          <w:p w14:paraId="225537A1">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0.43</w:t>
            </w:r>
          </w:p>
        </w:tc>
        <w:tc>
          <w:tcPr>
            <w:tcW w:w="637" w:type="pct"/>
            <w:vAlign w:val="center"/>
          </w:tcPr>
          <w:p w14:paraId="23359B0C">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0.44</w:t>
            </w:r>
          </w:p>
        </w:tc>
      </w:tr>
      <w:tr w14:paraId="343B979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418" w:type="pct"/>
            <w:vMerge w:val="continue"/>
            <w:vAlign w:val="center"/>
          </w:tcPr>
          <w:p w14:paraId="4502EA1D">
            <w:pPr>
              <w:widowControl w:val="0"/>
              <w:spacing w:line="240" w:lineRule="atLeast"/>
              <w:jc w:val="center"/>
              <w:rPr>
                <w:rFonts w:ascii="Times New Roman" w:hAnsi="Times New Roman" w:cs="Times New Roman"/>
                <w:color w:val="auto"/>
                <w:sz w:val="21"/>
              </w:rPr>
            </w:pPr>
          </w:p>
        </w:tc>
        <w:tc>
          <w:tcPr>
            <w:tcW w:w="591" w:type="pct"/>
            <w:vMerge w:val="continue"/>
            <w:vAlign w:val="center"/>
          </w:tcPr>
          <w:p w14:paraId="1BDC471C">
            <w:pPr>
              <w:widowControl w:val="0"/>
              <w:spacing w:line="240" w:lineRule="atLeast"/>
              <w:jc w:val="center"/>
              <w:rPr>
                <w:rFonts w:ascii="Times New Roman" w:hAnsi="Times New Roman" w:cs="Times New Roman"/>
                <w:color w:val="auto"/>
                <w:sz w:val="21"/>
              </w:rPr>
            </w:pPr>
          </w:p>
        </w:tc>
        <w:tc>
          <w:tcPr>
            <w:tcW w:w="799" w:type="pct"/>
            <w:vAlign w:val="center"/>
          </w:tcPr>
          <w:p w14:paraId="6CA0B837">
            <w:pPr>
              <w:widowControl w:val="0"/>
              <w:spacing w:line="240" w:lineRule="atLeas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达标情况</w:t>
            </w:r>
          </w:p>
        </w:tc>
        <w:tc>
          <w:tcPr>
            <w:tcW w:w="639" w:type="pct"/>
            <w:vAlign w:val="center"/>
          </w:tcPr>
          <w:p w14:paraId="6CC7F4EA">
            <w:pPr>
              <w:widowControl w:val="0"/>
              <w:spacing w:line="240" w:lineRule="atLeas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w:t>
            </w:r>
          </w:p>
        </w:tc>
        <w:tc>
          <w:tcPr>
            <w:tcW w:w="639" w:type="pct"/>
            <w:vAlign w:val="center"/>
          </w:tcPr>
          <w:p w14:paraId="4E0B943E">
            <w:pPr>
              <w:widowControl w:val="0"/>
              <w:spacing w:line="240" w:lineRule="atLeas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w:t>
            </w:r>
          </w:p>
        </w:tc>
        <w:tc>
          <w:tcPr>
            <w:tcW w:w="638" w:type="pct"/>
            <w:vAlign w:val="center"/>
          </w:tcPr>
          <w:p w14:paraId="2D42E345">
            <w:pPr>
              <w:widowControl w:val="0"/>
              <w:spacing w:line="240" w:lineRule="atLeas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w:t>
            </w:r>
          </w:p>
        </w:tc>
        <w:tc>
          <w:tcPr>
            <w:tcW w:w="638" w:type="pct"/>
            <w:vAlign w:val="center"/>
          </w:tcPr>
          <w:p w14:paraId="7A15923F">
            <w:pPr>
              <w:widowControl w:val="0"/>
              <w:spacing w:line="240" w:lineRule="atLeas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w:t>
            </w:r>
          </w:p>
        </w:tc>
        <w:tc>
          <w:tcPr>
            <w:tcW w:w="637" w:type="pct"/>
            <w:vAlign w:val="center"/>
          </w:tcPr>
          <w:p w14:paraId="6018D8A2">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sz w:val="21"/>
                <w:lang w:eastAsia="zh-CN"/>
              </w:rPr>
              <w:t>达标</w:t>
            </w:r>
          </w:p>
        </w:tc>
      </w:tr>
      <w:tr w14:paraId="1E6073C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418" w:type="pct"/>
            <w:vMerge w:val="continue"/>
            <w:vAlign w:val="center"/>
          </w:tcPr>
          <w:p w14:paraId="6804E71D">
            <w:pPr>
              <w:widowControl w:val="0"/>
              <w:spacing w:line="240" w:lineRule="atLeast"/>
              <w:jc w:val="center"/>
              <w:rPr>
                <w:rFonts w:ascii="Times New Roman" w:hAnsi="Times New Roman" w:cs="Times New Roman"/>
                <w:color w:val="auto"/>
                <w:sz w:val="21"/>
              </w:rPr>
            </w:pPr>
          </w:p>
        </w:tc>
        <w:tc>
          <w:tcPr>
            <w:tcW w:w="591" w:type="pct"/>
            <w:vMerge w:val="restart"/>
            <w:vAlign w:val="center"/>
          </w:tcPr>
          <w:p w14:paraId="1F232445">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rPr>
              <w:t>W</w:t>
            </w:r>
            <w:r>
              <w:rPr>
                <w:rFonts w:hint="eastAsia" w:ascii="Times New Roman" w:hAnsi="Times New Roman" w:cs="Times New Roman"/>
                <w:color w:val="auto"/>
                <w:sz w:val="21"/>
                <w:lang w:eastAsia="zh-CN"/>
              </w:rPr>
              <w:t>5</w:t>
            </w:r>
          </w:p>
        </w:tc>
        <w:tc>
          <w:tcPr>
            <w:tcW w:w="799" w:type="pct"/>
            <w:vAlign w:val="center"/>
          </w:tcPr>
          <w:p w14:paraId="223331A7">
            <w:pPr>
              <w:widowControl w:val="0"/>
              <w:spacing w:line="240" w:lineRule="atLeast"/>
              <w:jc w:val="center"/>
              <w:rPr>
                <w:rFonts w:ascii="Times New Roman" w:hAnsi="Times New Roman" w:cs="Times New Roman"/>
                <w:color w:val="auto"/>
                <w:sz w:val="21"/>
              </w:rPr>
            </w:pPr>
            <w:r>
              <w:rPr>
                <w:rFonts w:hint="eastAsia" w:ascii="Times New Roman" w:hAnsi="Times New Roman" w:cs="Times New Roman"/>
                <w:color w:val="auto"/>
                <w:sz w:val="21"/>
                <w:lang w:eastAsia="zh-CN"/>
              </w:rPr>
              <w:t>监测结果</w:t>
            </w:r>
          </w:p>
        </w:tc>
        <w:tc>
          <w:tcPr>
            <w:tcW w:w="639" w:type="pct"/>
            <w:vAlign w:val="center"/>
          </w:tcPr>
          <w:p w14:paraId="21048B31">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7.7</w:t>
            </w:r>
          </w:p>
        </w:tc>
        <w:tc>
          <w:tcPr>
            <w:tcW w:w="639" w:type="pct"/>
            <w:vAlign w:val="center"/>
          </w:tcPr>
          <w:p w14:paraId="465CA121">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16</w:t>
            </w:r>
          </w:p>
        </w:tc>
        <w:tc>
          <w:tcPr>
            <w:tcW w:w="638" w:type="pct"/>
            <w:vAlign w:val="center"/>
          </w:tcPr>
          <w:p w14:paraId="6A9E5005">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2.7</w:t>
            </w:r>
          </w:p>
        </w:tc>
        <w:tc>
          <w:tcPr>
            <w:tcW w:w="638" w:type="pct"/>
            <w:vAlign w:val="center"/>
          </w:tcPr>
          <w:p w14:paraId="5670B245">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0.326</w:t>
            </w:r>
          </w:p>
        </w:tc>
        <w:tc>
          <w:tcPr>
            <w:tcW w:w="637" w:type="pct"/>
          </w:tcPr>
          <w:p w14:paraId="75A54455">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0.42</w:t>
            </w:r>
          </w:p>
        </w:tc>
      </w:tr>
      <w:tr w14:paraId="2D00E96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418" w:type="pct"/>
            <w:vMerge w:val="continue"/>
            <w:vAlign w:val="center"/>
          </w:tcPr>
          <w:p w14:paraId="75466B69">
            <w:pPr>
              <w:widowControl w:val="0"/>
              <w:spacing w:line="240" w:lineRule="atLeast"/>
              <w:jc w:val="center"/>
              <w:rPr>
                <w:rFonts w:ascii="Times New Roman" w:hAnsi="Times New Roman" w:cs="Times New Roman"/>
                <w:color w:val="auto"/>
                <w:sz w:val="21"/>
              </w:rPr>
            </w:pPr>
          </w:p>
        </w:tc>
        <w:tc>
          <w:tcPr>
            <w:tcW w:w="591" w:type="pct"/>
            <w:vMerge w:val="continue"/>
            <w:vAlign w:val="center"/>
          </w:tcPr>
          <w:p w14:paraId="29939E58">
            <w:pPr>
              <w:widowControl w:val="0"/>
              <w:spacing w:line="240" w:lineRule="atLeast"/>
              <w:jc w:val="center"/>
              <w:rPr>
                <w:rFonts w:ascii="Times New Roman" w:hAnsi="Times New Roman" w:cs="Times New Roman"/>
                <w:color w:val="auto"/>
                <w:sz w:val="21"/>
              </w:rPr>
            </w:pPr>
          </w:p>
        </w:tc>
        <w:tc>
          <w:tcPr>
            <w:tcW w:w="799" w:type="pct"/>
            <w:vAlign w:val="center"/>
          </w:tcPr>
          <w:p w14:paraId="1F2E71E8">
            <w:pPr>
              <w:widowControl w:val="0"/>
              <w:spacing w:line="240" w:lineRule="atLeast"/>
              <w:jc w:val="center"/>
              <w:rPr>
                <w:rFonts w:ascii="Times New Roman" w:hAnsi="Times New Roman" w:cs="Times New Roman"/>
                <w:color w:val="auto"/>
                <w:sz w:val="21"/>
              </w:rPr>
            </w:pPr>
            <w:r>
              <w:rPr>
                <w:rFonts w:hint="eastAsia" w:ascii="Times New Roman" w:hAnsi="Times New Roman" w:cs="Times New Roman"/>
                <w:color w:val="auto"/>
                <w:sz w:val="21"/>
                <w:lang w:eastAsia="zh-CN"/>
              </w:rPr>
              <w:t>监测结果</w:t>
            </w:r>
          </w:p>
        </w:tc>
        <w:tc>
          <w:tcPr>
            <w:tcW w:w="639" w:type="pct"/>
            <w:vAlign w:val="center"/>
          </w:tcPr>
          <w:p w14:paraId="53D4A640">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7.8</w:t>
            </w:r>
          </w:p>
        </w:tc>
        <w:tc>
          <w:tcPr>
            <w:tcW w:w="639" w:type="pct"/>
            <w:vAlign w:val="center"/>
          </w:tcPr>
          <w:p w14:paraId="1FFABE58">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18</w:t>
            </w:r>
          </w:p>
        </w:tc>
        <w:tc>
          <w:tcPr>
            <w:tcW w:w="638" w:type="pct"/>
            <w:vAlign w:val="center"/>
          </w:tcPr>
          <w:p w14:paraId="7164E851">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2.7</w:t>
            </w:r>
          </w:p>
        </w:tc>
        <w:tc>
          <w:tcPr>
            <w:tcW w:w="638" w:type="pct"/>
            <w:vAlign w:val="center"/>
          </w:tcPr>
          <w:p w14:paraId="47316E07">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0.303</w:t>
            </w:r>
          </w:p>
        </w:tc>
        <w:tc>
          <w:tcPr>
            <w:tcW w:w="637" w:type="pct"/>
          </w:tcPr>
          <w:p w14:paraId="606E86D4">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0.40</w:t>
            </w:r>
          </w:p>
        </w:tc>
      </w:tr>
      <w:tr w14:paraId="41CC302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418" w:type="pct"/>
            <w:vMerge w:val="continue"/>
            <w:vAlign w:val="center"/>
          </w:tcPr>
          <w:p w14:paraId="1705EC95">
            <w:pPr>
              <w:widowControl w:val="0"/>
              <w:spacing w:line="240" w:lineRule="atLeast"/>
              <w:jc w:val="center"/>
              <w:rPr>
                <w:rFonts w:ascii="Times New Roman" w:hAnsi="Times New Roman" w:cs="Times New Roman"/>
                <w:color w:val="auto"/>
                <w:sz w:val="21"/>
              </w:rPr>
            </w:pPr>
          </w:p>
        </w:tc>
        <w:tc>
          <w:tcPr>
            <w:tcW w:w="591" w:type="pct"/>
            <w:vMerge w:val="continue"/>
            <w:vAlign w:val="center"/>
          </w:tcPr>
          <w:p w14:paraId="5951C866">
            <w:pPr>
              <w:widowControl w:val="0"/>
              <w:spacing w:line="240" w:lineRule="atLeast"/>
              <w:jc w:val="center"/>
              <w:rPr>
                <w:rFonts w:ascii="Times New Roman" w:hAnsi="Times New Roman" w:cs="Times New Roman"/>
                <w:color w:val="auto"/>
                <w:sz w:val="21"/>
              </w:rPr>
            </w:pPr>
          </w:p>
        </w:tc>
        <w:tc>
          <w:tcPr>
            <w:tcW w:w="799" w:type="pct"/>
            <w:vAlign w:val="center"/>
          </w:tcPr>
          <w:p w14:paraId="3181DAB4">
            <w:pPr>
              <w:widowControl w:val="0"/>
              <w:spacing w:line="240" w:lineRule="atLeast"/>
              <w:jc w:val="center"/>
              <w:rPr>
                <w:rFonts w:ascii="Times New Roman" w:hAnsi="Times New Roman" w:cs="Times New Roman"/>
                <w:color w:val="auto"/>
                <w:sz w:val="21"/>
              </w:rPr>
            </w:pPr>
            <w:r>
              <w:rPr>
                <w:rFonts w:hint="eastAsia" w:ascii="Times New Roman" w:hAnsi="Times New Roman" w:cs="Times New Roman"/>
                <w:color w:val="auto"/>
                <w:sz w:val="21"/>
                <w:lang w:eastAsia="zh-CN"/>
              </w:rPr>
              <w:t>监测结果</w:t>
            </w:r>
          </w:p>
        </w:tc>
        <w:tc>
          <w:tcPr>
            <w:tcW w:w="639" w:type="pct"/>
            <w:vAlign w:val="center"/>
          </w:tcPr>
          <w:p w14:paraId="5DB00993">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7.9</w:t>
            </w:r>
          </w:p>
        </w:tc>
        <w:tc>
          <w:tcPr>
            <w:tcW w:w="639" w:type="pct"/>
            <w:vAlign w:val="center"/>
          </w:tcPr>
          <w:p w14:paraId="456C329B">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15</w:t>
            </w:r>
          </w:p>
        </w:tc>
        <w:tc>
          <w:tcPr>
            <w:tcW w:w="638" w:type="pct"/>
            <w:vAlign w:val="center"/>
          </w:tcPr>
          <w:p w14:paraId="62DE34DB">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2.5</w:t>
            </w:r>
          </w:p>
        </w:tc>
        <w:tc>
          <w:tcPr>
            <w:tcW w:w="638" w:type="pct"/>
            <w:vAlign w:val="center"/>
          </w:tcPr>
          <w:p w14:paraId="019E9984">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0.309</w:t>
            </w:r>
          </w:p>
        </w:tc>
        <w:tc>
          <w:tcPr>
            <w:tcW w:w="637" w:type="pct"/>
          </w:tcPr>
          <w:p w14:paraId="676632DF">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0.37</w:t>
            </w:r>
          </w:p>
        </w:tc>
      </w:tr>
      <w:tr w14:paraId="1388AF5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418" w:type="pct"/>
            <w:vMerge w:val="continue"/>
            <w:vAlign w:val="center"/>
          </w:tcPr>
          <w:p w14:paraId="51600D07">
            <w:pPr>
              <w:widowControl w:val="0"/>
              <w:spacing w:line="240" w:lineRule="atLeast"/>
              <w:jc w:val="center"/>
              <w:rPr>
                <w:rFonts w:ascii="Times New Roman" w:hAnsi="Times New Roman" w:cs="Times New Roman"/>
                <w:color w:val="auto"/>
                <w:sz w:val="21"/>
              </w:rPr>
            </w:pPr>
          </w:p>
        </w:tc>
        <w:tc>
          <w:tcPr>
            <w:tcW w:w="591" w:type="pct"/>
            <w:vMerge w:val="continue"/>
            <w:vAlign w:val="center"/>
          </w:tcPr>
          <w:p w14:paraId="6CE09C9B">
            <w:pPr>
              <w:widowControl w:val="0"/>
              <w:spacing w:line="240" w:lineRule="atLeast"/>
              <w:jc w:val="center"/>
              <w:rPr>
                <w:rFonts w:ascii="Times New Roman" w:hAnsi="Times New Roman" w:cs="Times New Roman"/>
                <w:color w:val="auto"/>
                <w:sz w:val="21"/>
              </w:rPr>
            </w:pPr>
          </w:p>
        </w:tc>
        <w:tc>
          <w:tcPr>
            <w:tcW w:w="799" w:type="pct"/>
            <w:vAlign w:val="center"/>
          </w:tcPr>
          <w:p w14:paraId="7FE4E90E">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sz w:val="21"/>
                <w:lang w:eastAsia="zh-CN"/>
              </w:rPr>
              <w:t>最大单因子指数</w:t>
            </w:r>
          </w:p>
        </w:tc>
        <w:tc>
          <w:tcPr>
            <w:tcW w:w="639" w:type="pct"/>
            <w:vAlign w:val="center"/>
          </w:tcPr>
          <w:p w14:paraId="0BCDBCF1">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0.45</w:t>
            </w:r>
          </w:p>
        </w:tc>
        <w:tc>
          <w:tcPr>
            <w:tcW w:w="639" w:type="pct"/>
            <w:vAlign w:val="center"/>
          </w:tcPr>
          <w:p w14:paraId="6ED630F4">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0.9</w:t>
            </w:r>
          </w:p>
        </w:tc>
        <w:tc>
          <w:tcPr>
            <w:tcW w:w="638" w:type="pct"/>
            <w:vAlign w:val="center"/>
          </w:tcPr>
          <w:p w14:paraId="2A2104D1">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0.68</w:t>
            </w:r>
          </w:p>
        </w:tc>
        <w:tc>
          <w:tcPr>
            <w:tcW w:w="638" w:type="pct"/>
            <w:vAlign w:val="center"/>
          </w:tcPr>
          <w:p w14:paraId="4FC28949">
            <w:pPr>
              <w:widowControl w:val="0"/>
              <w:spacing w:line="240" w:lineRule="atLeast"/>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0.33</w:t>
            </w:r>
          </w:p>
        </w:tc>
        <w:tc>
          <w:tcPr>
            <w:tcW w:w="637" w:type="pct"/>
            <w:vAlign w:val="center"/>
          </w:tcPr>
          <w:p w14:paraId="4A0D496D">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0.42</w:t>
            </w:r>
          </w:p>
        </w:tc>
      </w:tr>
      <w:tr w14:paraId="7E49AF9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418" w:type="pct"/>
            <w:vMerge w:val="continue"/>
            <w:vAlign w:val="center"/>
          </w:tcPr>
          <w:p w14:paraId="61149C36">
            <w:pPr>
              <w:widowControl w:val="0"/>
              <w:spacing w:line="240" w:lineRule="atLeast"/>
              <w:jc w:val="center"/>
              <w:rPr>
                <w:rFonts w:ascii="Times New Roman" w:hAnsi="Times New Roman" w:cs="Times New Roman"/>
                <w:color w:val="auto"/>
                <w:sz w:val="21"/>
              </w:rPr>
            </w:pPr>
          </w:p>
        </w:tc>
        <w:tc>
          <w:tcPr>
            <w:tcW w:w="591" w:type="pct"/>
            <w:vMerge w:val="continue"/>
            <w:vAlign w:val="center"/>
          </w:tcPr>
          <w:p w14:paraId="6EB9A326">
            <w:pPr>
              <w:widowControl w:val="0"/>
              <w:spacing w:line="240" w:lineRule="atLeast"/>
              <w:jc w:val="center"/>
              <w:rPr>
                <w:rFonts w:ascii="Times New Roman" w:hAnsi="Times New Roman" w:cs="Times New Roman"/>
                <w:color w:val="auto"/>
                <w:sz w:val="21"/>
              </w:rPr>
            </w:pPr>
          </w:p>
        </w:tc>
        <w:tc>
          <w:tcPr>
            <w:tcW w:w="799" w:type="pct"/>
            <w:vAlign w:val="center"/>
          </w:tcPr>
          <w:p w14:paraId="62B4D958">
            <w:pPr>
              <w:widowControl w:val="0"/>
              <w:spacing w:line="240" w:lineRule="atLeas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达标情况</w:t>
            </w:r>
          </w:p>
        </w:tc>
        <w:tc>
          <w:tcPr>
            <w:tcW w:w="639" w:type="pct"/>
            <w:vAlign w:val="center"/>
          </w:tcPr>
          <w:p w14:paraId="4F02FE94">
            <w:pPr>
              <w:widowControl w:val="0"/>
              <w:spacing w:line="240" w:lineRule="atLeas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w:t>
            </w:r>
          </w:p>
        </w:tc>
        <w:tc>
          <w:tcPr>
            <w:tcW w:w="639" w:type="pct"/>
            <w:vAlign w:val="center"/>
          </w:tcPr>
          <w:p w14:paraId="40ED460A">
            <w:pPr>
              <w:widowControl w:val="0"/>
              <w:spacing w:line="240" w:lineRule="atLeas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w:t>
            </w:r>
          </w:p>
        </w:tc>
        <w:tc>
          <w:tcPr>
            <w:tcW w:w="638" w:type="pct"/>
            <w:vAlign w:val="center"/>
          </w:tcPr>
          <w:p w14:paraId="69A4B20A">
            <w:pPr>
              <w:widowControl w:val="0"/>
              <w:spacing w:line="240" w:lineRule="atLeas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w:t>
            </w:r>
          </w:p>
        </w:tc>
        <w:tc>
          <w:tcPr>
            <w:tcW w:w="638" w:type="pct"/>
            <w:vAlign w:val="center"/>
          </w:tcPr>
          <w:p w14:paraId="6E4F239D">
            <w:pPr>
              <w:widowControl w:val="0"/>
              <w:spacing w:line="240" w:lineRule="atLeas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达标</w:t>
            </w:r>
          </w:p>
        </w:tc>
        <w:tc>
          <w:tcPr>
            <w:tcW w:w="637" w:type="pct"/>
            <w:vAlign w:val="center"/>
          </w:tcPr>
          <w:p w14:paraId="29ECD8E6">
            <w:pPr>
              <w:widowControl w:val="0"/>
              <w:spacing w:line="240" w:lineRule="atLeast"/>
              <w:jc w:val="center"/>
              <w:rPr>
                <w:rFonts w:ascii="Times New Roman" w:hAnsi="Times New Roman" w:cs="Times New Roman"/>
                <w:color w:val="auto"/>
                <w:kern w:val="2"/>
                <w:sz w:val="21"/>
                <w:lang w:eastAsia="zh-CN"/>
              </w:rPr>
            </w:pPr>
            <w:r>
              <w:rPr>
                <w:rFonts w:hint="eastAsia" w:ascii="Times New Roman" w:hAnsi="Times New Roman" w:cs="Times New Roman"/>
                <w:color w:val="auto"/>
                <w:sz w:val="21"/>
                <w:lang w:eastAsia="zh-CN"/>
              </w:rPr>
              <w:t>达标</w:t>
            </w:r>
          </w:p>
        </w:tc>
      </w:tr>
      <w:bookmarkEnd w:id="1207"/>
    </w:tbl>
    <w:p w14:paraId="7DBC4E03">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由引用数据结果分析可知，区域地表水沫冲引河及三浦大沟断面各监测因子满足《地表水环境质量标准》（GB3838-2002）Ⅳ类水质标准；淮河（蚌埠段）断面各监测因子满足《地表水环境质量标准》（GB3838-2002）Ⅲ类水质标准。</w:t>
      </w:r>
    </w:p>
    <w:p w14:paraId="3C09C805">
      <w:pPr>
        <w:tabs>
          <w:tab w:val="left" w:pos="8188"/>
        </w:tabs>
        <w:ind w:firstLine="420"/>
        <w:rPr>
          <w:rFonts w:ascii="Times New Roman" w:hAnsi="Times New Roman" w:cs="Times New Roman"/>
          <w:snapToGrid/>
          <w:color w:val="auto"/>
          <w:kern w:val="2"/>
          <w:sz w:val="21"/>
          <w:lang w:eastAsia="zh-CN"/>
        </w:rPr>
      </w:pPr>
    </w:p>
    <w:p w14:paraId="5E4B3644">
      <w:pPr>
        <w:tabs>
          <w:tab w:val="left" w:pos="8188"/>
        </w:tabs>
        <w:ind w:firstLine="480"/>
        <w:rPr>
          <w:rFonts w:ascii="Times New Roman" w:hAnsi="Times New Roman" w:cs="Times New Roman"/>
          <w:szCs w:val="24"/>
          <w:lang w:eastAsia="zh-CN"/>
        </w:rPr>
        <w:sectPr>
          <w:pgSz w:w="16838" w:h="11906" w:orient="landscape"/>
          <w:pgMar w:top="1080" w:right="1440" w:bottom="1080" w:left="1440" w:header="851" w:footer="992" w:gutter="0"/>
          <w:cols w:space="720" w:num="1"/>
          <w:docGrid w:type="lines" w:linePitch="326" w:charSpace="0"/>
        </w:sectPr>
      </w:pPr>
      <w:r>
        <w:rPr>
          <w:rFonts w:ascii="Times New Roman" w:hAnsi="Times New Roman" w:cs="Times New Roman"/>
          <w:szCs w:val="24"/>
          <w:lang w:eastAsia="zh-CN"/>
        </w:rPr>
        <w:tab/>
      </w:r>
    </w:p>
    <w:p w14:paraId="066DAF5D">
      <w:pPr>
        <w:spacing w:line="360" w:lineRule="auto"/>
        <w:ind w:firstLine="482"/>
        <w:jc w:val="both"/>
        <w:outlineLvl w:val="2"/>
        <w:rPr>
          <w:rFonts w:ascii="Times New Roman" w:hAnsi="Times New Roman" w:cs="Times New Roman"/>
          <w:b/>
          <w:bCs/>
          <w:color w:val="auto"/>
          <w:szCs w:val="24"/>
          <w:lang w:eastAsia="zh-CN"/>
        </w:rPr>
      </w:pPr>
      <w:bookmarkStart w:id="1208" w:name="_Toc29903"/>
      <w:bookmarkStart w:id="1209" w:name="_Toc173743405"/>
      <w:bookmarkStart w:id="1210" w:name="_Toc986"/>
      <w:bookmarkStart w:id="1211" w:name="_Toc172555669"/>
      <w:bookmarkStart w:id="1212" w:name="_Toc224674719"/>
      <w:bookmarkStart w:id="1213" w:name="_Toc237508315"/>
      <w:bookmarkStart w:id="1214" w:name="_Toc203927024"/>
      <w:bookmarkStart w:id="1215" w:name="_Toc204448490"/>
      <w:bookmarkStart w:id="1216" w:name="_Toc231828602"/>
      <w:bookmarkStart w:id="1217" w:name="_Toc173740301"/>
      <w:bookmarkStart w:id="1218" w:name="_Toc218784305"/>
      <w:bookmarkStart w:id="1219" w:name="_Toc175164296"/>
      <w:bookmarkStart w:id="1220" w:name="_Toc221900862"/>
      <w:bookmarkStart w:id="1221" w:name="_Toc223425080"/>
      <w:bookmarkStart w:id="1222" w:name="_Toc204515225"/>
      <w:bookmarkStart w:id="1223" w:name="_Toc236641850"/>
      <w:bookmarkStart w:id="1224" w:name="_Toc176513032"/>
      <w:bookmarkStart w:id="1225" w:name="_Toc225784080"/>
      <w:bookmarkStart w:id="1226" w:name="_Toc178602372"/>
      <w:bookmarkStart w:id="1227" w:name="_Toc217662695"/>
      <w:bookmarkStart w:id="1228" w:name="_Toc236641333"/>
      <w:r>
        <w:rPr>
          <w:rFonts w:ascii="Times New Roman" w:hAnsi="Times New Roman" w:cs="Times New Roman"/>
          <w:b/>
          <w:bCs/>
          <w:color w:val="auto"/>
          <w:szCs w:val="24"/>
          <w:lang w:eastAsia="zh-CN"/>
        </w:rPr>
        <w:t>5.2.3 声环境质量现状调查及评价</w:t>
      </w:r>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p>
    <w:p w14:paraId="38ED4266">
      <w:pPr>
        <w:spacing w:line="360" w:lineRule="auto"/>
        <w:ind w:firstLine="482"/>
        <w:jc w:val="both"/>
        <w:outlineLvl w:val="3"/>
        <w:rPr>
          <w:rFonts w:ascii="Times New Roman" w:hAnsi="Times New Roman" w:cs="Times New Roman"/>
          <w:b/>
          <w:bCs/>
          <w:color w:val="auto"/>
          <w:szCs w:val="24"/>
          <w:lang w:eastAsia="zh-CN"/>
        </w:rPr>
      </w:pPr>
      <w:bookmarkStart w:id="1229" w:name="_Toc1449"/>
      <w:bookmarkStart w:id="1230" w:name="_Toc29427"/>
      <w:r>
        <w:rPr>
          <w:rFonts w:ascii="Times New Roman" w:hAnsi="Times New Roman" w:cs="Times New Roman"/>
          <w:b/>
          <w:bCs/>
          <w:color w:val="auto"/>
          <w:szCs w:val="24"/>
        </w:rPr>
        <w:fldChar w:fldCharType="begin"/>
      </w:r>
      <w:r>
        <w:rPr>
          <w:rFonts w:ascii="Times New Roman" w:hAnsi="Times New Roman" w:cs="Times New Roman"/>
          <w:b/>
          <w:bCs/>
          <w:color w:val="auto"/>
          <w:szCs w:val="24"/>
          <w:lang w:eastAsia="zh-CN"/>
        </w:rPr>
        <w:instrText xml:space="preserve">HYPERLINK "D:\\1、工作\\善宇\\1、环评\\蚌埠\\安徽志一新材料科技有限公司聚合物抗氧剂项目\\4.3.3.1"</w:instrText>
      </w:r>
      <w:r>
        <w:rPr>
          <w:rFonts w:ascii="Times New Roman" w:hAnsi="Times New Roman" w:cs="Times New Roman"/>
          <w:b/>
          <w:bCs/>
          <w:color w:val="auto"/>
          <w:szCs w:val="24"/>
        </w:rPr>
        <w:fldChar w:fldCharType="separate"/>
      </w:r>
      <w:r>
        <w:rPr>
          <w:rFonts w:ascii="Times New Roman" w:hAnsi="Times New Roman" w:cs="Times New Roman"/>
          <w:b/>
          <w:bCs/>
          <w:color w:val="auto"/>
          <w:szCs w:val="24"/>
          <w:lang w:eastAsia="zh-CN"/>
        </w:rPr>
        <w:t>5.2.3.1</w:t>
      </w:r>
      <w:r>
        <w:rPr>
          <w:rFonts w:ascii="Times New Roman" w:hAnsi="Times New Roman" w:cs="Times New Roman"/>
          <w:b/>
          <w:bCs/>
          <w:color w:val="auto"/>
          <w:szCs w:val="24"/>
        </w:rPr>
        <w:fldChar w:fldCharType="end"/>
      </w:r>
      <w:r>
        <w:rPr>
          <w:rFonts w:ascii="Times New Roman" w:hAnsi="Times New Roman" w:cs="Times New Roman"/>
          <w:b/>
          <w:bCs/>
          <w:color w:val="auto"/>
          <w:szCs w:val="24"/>
          <w:lang w:eastAsia="zh-CN"/>
        </w:rPr>
        <w:t xml:space="preserve"> 现状监测</w:t>
      </w:r>
      <w:bookmarkEnd w:id="1229"/>
      <w:bookmarkEnd w:id="1230"/>
    </w:p>
    <w:p w14:paraId="01192511">
      <w:pPr>
        <w:spacing w:line="360" w:lineRule="auto"/>
        <w:ind w:left="480"/>
        <w:jc w:val="both"/>
        <w:rPr>
          <w:rFonts w:ascii="Times New Roman" w:hAnsi="Times New Roman" w:cs="Times New Roman"/>
          <w:color w:val="auto"/>
          <w:szCs w:val="24"/>
          <w:lang w:eastAsia="zh-CN"/>
        </w:rPr>
      </w:pPr>
      <w:bookmarkStart w:id="1231" w:name="_Toc22870"/>
      <w:bookmarkStart w:id="1232" w:name="_Toc1517"/>
      <w:r>
        <w:rPr>
          <w:rFonts w:hint="eastAsia" w:ascii="Times New Roman" w:hAnsi="Times New Roman" w:cs="Times New Roman"/>
          <w:color w:val="auto"/>
          <w:szCs w:val="24"/>
          <w:lang w:eastAsia="zh-CN"/>
        </w:rPr>
        <w:t>（1）</w:t>
      </w:r>
      <w:r>
        <w:rPr>
          <w:rFonts w:ascii="Times New Roman" w:hAnsi="Times New Roman" w:cs="Times New Roman"/>
          <w:color w:val="auto"/>
          <w:szCs w:val="24"/>
          <w:lang w:eastAsia="zh-CN"/>
        </w:rPr>
        <w:t>监测点位布设</w:t>
      </w:r>
      <w:bookmarkEnd w:id="1231"/>
      <w:bookmarkEnd w:id="1232"/>
    </w:p>
    <w:p w14:paraId="3CAFA0C4">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为掌握评价区内声环境质量现状，评价在拟建项目四周厂界共布设 4 个声环境质量现状监测点位，202</w:t>
      </w:r>
      <w:r>
        <w:rPr>
          <w:rFonts w:hint="eastAsia" w:ascii="Times New Roman" w:hAnsi="Times New Roman" w:cs="Times New Roman"/>
          <w:color w:val="auto"/>
          <w:szCs w:val="24"/>
          <w:lang w:eastAsia="zh-CN"/>
        </w:rPr>
        <w:t>6</w:t>
      </w:r>
      <w:r>
        <w:rPr>
          <w:rFonts w:ascii="Times New Roman" w:hAnsi="Times New Roman" w:cs="Times New Roman"/>
          <w:color w:val="auto"/>
          <w:szCs w:val="24"/>
          <w:lang w:eastAsia="zh-CN"/>
        </w:rPr>
        <w:t>年</w:t>
      </w:r>
      <w:r>
        <w:rPr>
          <w:rFonts w:hint="eastAsia" w:ascii="Times New Roman" w:hAnsi="Times New Roman" w:cs="Times New Roman"/>
          <w:color w:val="auto"/>
          <w:szCs w:val="24"/>
          <w:lang w:eastAsia="zh-CN"/>
        </w:rPr>
        <w:t>6</w:t>
      </w:r>
      <w:r>
        <w:rPr>
          <w:rFonts w:ascii="Times New Roman" w:hAnsi="Times New Roman" w:cs="Times New Roman"/>
          <w:color w:val="auto"/>
          <w:szCs w:val="24"/>
          <w:lang w:eastAsia="zh-CN"/>
        </w:rPr>
        <w:t>月</w:t>
      </w:r>
      <w:r>
        <w:rPr>
          <w:rFonts w:hint="eastAsia" w:ascii="Times New Roman" w:hAnsi="Times New Roman" w:cs="Times New Roman"/>
          <w:color w:val="auto"/>
          <w:szCs w:val="24"/>
          <w:lang w:eastAsia="zh-CN"/>
        </w:rPr>
        <w:t>7</w:t>
      </w:r>
      <w:r>
        <w:rPr>
          <w:rFonts w:ascii="Times New Roman" w:hAnsi="Times New Roman" w:cs="Times New Roman"/>
          <w:color w:val="auto"/>
          <w:szCs w:val="24"/>
          <w:lang w:eastAsia="zh-CN"/>
        </w:rPr>
        <w:t>日～</w:t>
      </w:r>
      <w:r>
        <w:rPr>
          <w:rFonts w:hint="eastAsia" w:ascii="Times New Roman" w:hAnsi="Times New Roman" w:cs="Times New Roman"/>
          <w:color w:val="auto"/>
          <w:szCs w:val="24"/>
          <w:lang w:eastAsia="zh-CN"/>
        </w:rPr>
        <w:t>8</w:t>
      </w:r>
      <w:r>
        <w:rPr>
          <w:rFonts w:ascii="Times New Roman" w:hAnsi="Times New Roman" w:cs="Times New Roman"/>
          <w:color w:val="auto"/>
          <w:szCs w:val="24"/>
          <w:lang w:eastAsia="zh-CN"/>
        </w:rPr>
        <w:t>日委托</w:t>
      </w:r>
      <w:r>
        <w:rPr>
          <w:rFonts w:hint="eastAsia" w:ascii="Times New Roman" w:hAnsi="Times New Roman" w:cs="Times New Roman"/>
          <w:color w:val="auto"/>
          <w:lang w:eastAsia="zh-CN"/>
        </w:rPr>
        <w:t>安徽实朴检测技术服务有限公司</w:t>
      </w:r>
      <w:r>
        <w:rPr>
          <w:rFonts w:ascii="Times New Roman" w:hAnsi="Times New Roman" w:cs="Times New Roman"/>
          <w:color w:val="auto"/>
          <w:szCs w:val="24"/>
          <w:lang w:eastAsia="zh-CN"/>
        </w:rPr>
        <w:t>进行检测进行监测，具体点位设置见下表、下图。</w:t>
      </w:r>
    </w:p>
    <w:p w14:paraId="38B763C2">
      <w:pPr>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表5.2-</w:t>
      </w:r>
      <w:r>
        <w:rPr>
          <w:rFonts w:hint="eastAsia" w:ascii="Times New Roman" w:hAnsi="Times New Roman" w:cs="Times New Roman"/>
          <w:b/>
          <w:bCs/>
          <w:color w:val="auto"/>
          <w:szCs w:val="24"/>
          <w:lang w:eastAsia="zh-CN"/>
        </w:rPr>
        <w:t>7</w:t>
      </w:r>
      <w:r>
        <w:rPr>
          <w:rFonts w:ascii="Times New Roman" w:hAnsi="Times New Roman" w:cs="Times New Roman"/>
          <w:b/>
          <w:bCs/>
          <w:color w:val="auto"/>
          <w:szCs w:val="24"/>
          <w:lang w:eastAsia="zh-CN"/>
        </w:rPr>
        <w:t xml:space="preserve">  声环境现状监测点位一览表</w:t>
      </w:r>
    </w:p>
    <w:tbl>
      <w:tblPr>
        <w:tblStyle w:val="35"/>
        <w:tblW w:w="9746" w:type="dxa"/>
        <w:tblInd w:w="2" w:type="dxa"/>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fixed"/>
        <w:tblCellMar>
          <w:top w:w="0" w:type="dxa"/>
          <w:left w:w="0" w:type="dxa"/>
          <w:bottom w:w="0" w:type="dxa"/>
          <w:right w:w="0" w:type="dxa"/>
        </w:tblCellMar>
      </w:tblPr>
      <w:tblGrid>
        <w:gridCol w:w="2106"/>
        <w:gridCol w:w="3363"/>
        <w:gridCol w:w="4277"/>
      </w:tblGrid>
      <w:tr w14:paraId="0E2E8A6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106" w:type="dxa"/>
            <w:vAlign w:val="center"/>
          </w:tcPr>
          <w:p w14:paraId="6E7AE5A3">
            <w:pPr>
              <w:jc w:val="center"/>
              <w:rPr>
                <w:rFonts w:ascii="Times New Roman" w:hAnsi="Times New Roman" w:cs="Times New Roman"/>
                <w:b/>
                <w:bCs/>
                <w:color w:val="auto"/>
                <w:sz w:val="21"/>
              </w:rPr>
            </w:pPr>
            <w:r>
              <w:rPr>
                <w:rFonts w:ascii="Times New Roman" w:hAnsi="Times New Roman" w:cs="Times New Roman"/>
                <w:b/>
                <w:bCs/>
                <w:color w:val="auto"/>
                <w:sz w:val="21"/>
              </w:rPr>
              <w:t>点位编号</w:t>
            </w:r>
          </w:p>
        </w:tc>
        <w:tc>
          <w:tcPr>
            <w:tcW w:w="3363" w:type="dxa"/>
            <w:vAlign w:val="center"/>
          </w:tcPr>
          <w:p w14:paraId="7BC88816">
            <w:pPr>
              <w:jc w:val="center"/>
              <w:rPr>
                <w:rFonts w:ascii="Times New Roman" w:hAnsi="Times New Roman" w:cs="Times New Roman"/>
                <w:b/>
                <w:bCs/>
                <w:color w:val="auto"/>
                <w:sz w:val="21"/>
              </w:rPr>
            </w:pPr>
            <w:r>
              <w:rPr>
                <w:rFonts w:ascii="Times New Roman" w:hAnsi="Times New Roman" w:cs="Times New Roman"/>
                <w:b/>
                <w:bCs/>
                <w:color w:val="auto"/>
                <w:sz w:val="21"/>
              </w:rPr>
              <w:t>监测点位</w:t>
            </w:r>
          </w:p>
        </w:tc>
        <w:tc>
          <w:tcPr>
            <w:tcW w:w="4277" w:type="dxa"/>
            <w:vAlign w:val="center"/>
          </w:tcPr>
          <w:p w14:paraId="5719A728">
            <w:pPr>
              <w:jc w:val="center"/>
              <w:rPr>
                <w:rFonts w:ascii="Times New Roman" w:hAnsi="Times New Roman" w:cs="Times New Roman"/>
                <w:b/>
                <w:bCs/>
                <w:color w:val="auto"/>
                <w:sz w:val="21"/>
              </w:rPr>
            </w:pPr>
            <w:r>
              <w:rPr>
                <w:rFonts w:ascii="Times New Roman" w:hAnsi="Times New Roman" w:cs="Times New Roman"/>
                <w:b/>
                <w:bCs/>
                <w:color w:val="auto"/>
                <w:sz w:val="21"/>
              </w:rPr>
              <w:t>备注</w:t>
            </w:r>
          </w:p>
        </w:tc>
      </w:tr>
      <w:tr w14:paraId="5D97DCF1">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106" w:type="dxa"/>
            <w:vAlign w:val="center"/>
          </w:tcPr>
          <w:p w14:paraId="2A80D907">
            <w:pPr>
              <w:jc w:val="center"/>
              <w:rPr>
                <w:rFonts w:ascii="Times New Roman" w:hAnsi="Times New Roman" w:cs="Times New Roman"/>
                <w:color w:val="auto"/>
                <w:sz w:val="21"/>
              </w:rPr>
            </w:pPr>
            <w:r>
              <w:rPr>
                <w:rFonts w:ascii="Times New Roman" w:hAnsi="Times New Roman" w:cs="Times New Roman"/>
                <w:color w:val="auto"/>
                <w:sz w:val="21"/>
              </w:rPr>
              <w:t>N1</w:t>
            </w:r>
          </w:p>
        </w:tc>
        <w:tc>
          <w:tcPr>
            <w:tcW w:w="3363" w:type="dxa"/>
            <w:vAlign w:val="center"/>
          </w:tcPr>
          <w:p w14:paraId="2C12B730">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东</w:t>
            </w:r>
            <w:r>
              <w:rPr>
                <w:rFonts w:ascii="Times New Roman" w:hAnsi="Times New Roman" w:cs="Times New Roman"/>
                <w:color w:val="auto"/>
                <w:sz w:val="21"/>
              </w:rPr>
              <w:t>厂界</w:t>
            </w:r>
          </w:p>
        </w:tc>
        <w:tc>
          <w:tcPr>
            <w:tcW w:w="4277" w:type="dxa"/>
            <w:vAlign w:val="center"/>
          </w:tcPr>
          <w:p w14:paraId="650A7784">
            <w:pPr>
              <w:jc w:val="center"/>
              <w:rPr>
                <w:rFonts w:ascii="Times New Roman" w:hAnsi="Times New Roman" w:cs="Times New Roman"/>
                <w:color w:val="auto"/>
                <w:sz w:val="21"/>
              </w:rPr>
            </w:pPr>
            <w:r>
              <w:rPr>
                <w:rFonts w:ascii="Times New Roman" w:hAnsi="Times New Roman" w:cs="Times New Roman"/>
                <w:color w:val="auto"/>
                <w:sz w:val="21"/>
              </w:rPr>
              <w:t>厂界噪声</w:t>
            </w:r>
          </w:p>
        </w:tc>
      </w:tr>
      <w:tr w14:paraId="3746EC51">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106" w:type="dxa"/>
            <w:vAlign w:val="center"/>
          </w:tcPr>
          <w:p w14:paraId="2603E929">
            <w:pPr>
              <w:jc w:val="center"/>
              <w:rPr>
                <w:rFonts w:ascii="Times New Roman" w:hAnsi="Times New Roman" w:cs="Times New Roman"/>
                <w:color w:val="auto"/>
                <w:sz w:val="21"/>
              </w:rPr>
            </w:pPr>
            <w:r>
              <w:rPr>
                <w:rFonts w:ascii="Times New Roman" w:hAnsi="Times New Roman" w:cs="Times New Roman"/>
                <w:color w:val="auto"/>
                <w:sz w:val="21"/>
              </w:rPr>
              <w:t>N2</w:t>
            </w:r>
          </w:p>
        </w:tc>
        <w:tc>
          <w:tcPr>
            <w:tcW w:w="3363" w:type="dxa"/>
            <w:vAlign w:val="center"/>
          </w:tcPr>
          <w:p w14:paraId="7F149B0A">
            <w:pPr>
              <w:jc w:val="center"/>
              <w:rPr>
                <w:rFonts w:ascii="Times New Roman" w:hAnsi="Times New Roman" w:cs="Times New Roman"/>
                <w:color w:val="auto"/>
                <w:sz w:val="21"/>
              </w:rPr>
            </w:pPr>
            <w:r>
              <w:rPr>
                <w:rFonts w:ascii="Times New Roman" w:hAnsi="Times New Roman" w:cs="Times New Roman"/>
                <w:color w:val="auto"/>
                <w:sz w:val="21"/>
              </w:rPr>
              <w:t>南厂界</w:t>
            </w:r>
          </w:p>
        </w:tc>
        <w:tc>
          <w:tcPr>
            <w:tcW w:w="4277" w:type="dxa"/>
            <w:vAlign w:val="center"/>
          </w:tcPr>
          <w:p w14:paraId="548CC3F8">
            <w:pPr>
              <w:jc w:val="center"/>
              <w:rPr>
                <w:rFonts w:ascii="Times New Roman" w:hAnsi="Times New Roman" w:cs="Times New Roman"/>
                <w:color w:val="auto"/>
                <w:sz w:val="21"/>
              </w:rPr>
            </w:pPr>
            <w:r>
              <w:rPr>
                <w:rFonts w:ascii="Times New Roman" w:hAnsi="Times New Roman" w:cs="Times New Roman"/>
                <w:color w:val="auto"/>
                <w:sz w:val="21"/>
              </w:rPr>
              <w:t>厂界噪声</w:t>
            </w:r>
          </w:p>
        </w:tc>
      </w:tr>
      <w:tr w14:paraId="0266626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106" w:type="dxa"/>
            <w:vAlign w:val="center"/>
          </w:tcPr>
          <w:p w14:paraId="36E4B67E">
            <w:pPr>
              <w:jc w:val="center"/>
              <w:rPr>
                <w:rFonts w:ascii="Times New Roman" w:hAnsi="Times New Roman" w:cs="Times New Roman"/>
                <w:color w:val="auto"/>
                <w:sz w:val="21"/>
              </w:rPr>
            </w:pPr>
            <w:r>
              <w:rPr>
                <w:rFonts w:ascii="Times New Roman" w:hAnsi="Times New Roman" w:cs="Times New Roman"/>
                <w:color w:val="auto"/>
                <w:sz w:val="21"/>
              </w:rPr>
              <w:t>N3</w:t>
            </w:r>
          </w:p>
        </w:tc>
        <w:tc>
          <w:tcPr>
            <w:tcW w:w="3363" w:type="dxa"/>
            <w:vAlign w:val="center"/>
          </w:tcPr>
          <w:p w14:paraId="7F39DC28">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西</w:t>
            </w:r>
            <w:r>
              <w:rPr>
                <w:rFonts w:ascii="Times New Roman" w:hAnsi="Times New Roman" w:cs="Times New Roman"/>
                <w:color w:val="auto"/>
                <w:sz w:val="21"/>
              </w:rPr>
              <w:t>厂界</w:t>
            </w:r>
          </w:p>
        </w:tc>
        <w:tc>
          <w:tcPr>
            <w:tcW w:w="4277" w:type="dxa"/>
            <w:vAlign w:val="center"/>
          </w:tcPr>
          <w:p w14:paraId="69BFE94F">
            <w:pPr>
              <w:jc w:val="center"/>
              <w:rPr>
                <w:rFonts w:ascii="Times New Roman" w:hAnsi="Times New Roman" w:cs="Times New Roman"/>
                <w:color w:val="auto"/>
                <w:sz w:val="21"/>
              </w:rPr>
            </w:pPr>
            <w:r>
              <w:rPr>
                <w:rFonts w:ascii="Times New Roman" w:hAnsi="Times New Roman" w:cs="Times New Roman"/>
                <w:color w:val="auto"/>
                <w:sz w:val="21"/>
              </w:rPr>
              <w:t>厂界噪声</w:t>
            </w:r>
          </w:p>
        </w:tc>
      </w:tr>
      <w:tr w14:paraId="200DD621">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106" w:type="dxa"/>
            <w:vAlign w:val="center"/>
          </w:tcPr>
          <w:p w14:paraId="2CDACA90">
            <w:pPr>
              <w:jc w:val="center"/>
              <w:rPr>
                <w:rFonts w:ascii="Times New Roman" w:hAnsi="Times New Roman" w:cs="Times New Roman"/>
                <w:color w:val="auto"/>
                <w:sz w:val="21"/>
              </w:rPr>
            </w:pPr>
            <w:r>
              <w:rPr>
                <w:rFonts w:ascii="Times New Roman" w:hAnsi="Times New Roman" w:cs="Times New Roman"/>
                <w:color w:val="auto"/>
                <w:sz w:val="21"/>
              </w:rPr>
              <w:t>N4</w:t>
            </w:r>
          </w:p>
        </w:tc>
        <w:tc>
          <w:tcPr>
            <w:tcW w:w="3363" w:type="dxa"/>
            <w:vAlign w:val="center"/>
          </w:tcPr>
          <w:p w14:paraId="6099BD6C">
            <w:pPr>
              <w:jc w:val="center"/>
              <w:rPr>
                <w:rFonts w:ascii="Times New Roman" w:hAnsi="Times New Roman" w:cs="Times New Roman"/>
                <w:color w:val="auto"/>
                <w:sz w:val="21"/>
              </w:rPr>
            </w:pPr>
            <w:r>
              <w:rPr>
                <w:rFonts w:ascii="Times New Roman" w:hAnsi="Times New Roman" w:cs="Times New Roman"/>
                <w:color w:val="auto"/>
                <w:sz w:val="21"/>
              </w:rPr>
              <w:t>北厂界</w:t>
            </w:r>
          </w:p>
        </w:tc>
        <w:tc>
          <w:tcPr>
            <w:tcW w:w="4277" w:type="dxa"/>
            <w:vAlign w:val="center"/>
          </w:tcPr>
          <w:p w14:paraId="0504B12E">
            <w:pPr>
              <w:jc w:val="center"/>
              <w:rPr>
                <w:rFonts w:ascii="Times New Roman" w:hAnsi="Times New Roman" w:cs="Times New Roman"/>
                <w:color w:val="auto"/>
                <w:sz w:val="21"/>
              </w:rPr>
            </w:pPr>
            <w:r>
              <w:rPr>
                <w:rFonts w:ascii="Times New Roman" w:hAnsi="Times New Roman" w:cs="Times New Roman"/>
                <w:color w:val="auto"/>
                <w:sz w:val="21"/>
              </w:rPr>
              <w:t>厂界噪声</w:t>
            </w:r>
          </w:p>
        </w:tc>
      </w:tr>
    </w:tbl>
    <w:p w14:paraId="4DDC6E1A">
      <w:pPr>
        <w:widowControl w:val="0"/>
        <w:spacing w:line="360" w:lineRule="auto"/>
        <w:jc w:val="center"/>
        <w:rPr>
          <w:rFonts w:ascii="Times New Roman" w:hAnsi="Times New Roman" w:cs="Times New Roman"/>
          <w:color w:val="auto"/>
          <w:szCs w:val="24"/>
          <w:lang w:eastAsia="zh-CN"/>
        </w:rPr>
      </w:pPr>
      <w:bookmarkStart w:id="1233" w:name="_Toc16251"/>
      <w:bookmarkStart w:id="1234" w:name="_Toc370"/>
      <w:r>
        <w:rPr>
          <w:rFonts w:ascii="Times New Roman" w:hAnsi="Times New Roman" w:cs="Times New Roman"/>
          <w:color w:val="auto"/>
        </w:rPr>
        <mc:AlternateContent>
          <mc:Choice Requires="wps">
            <w:drawing>
              <wp:anchor distT="0" distB="0" distL="114300" distR="114300" simplePos="0" relativeHeight="251673600" behindDoc="0" locked="0" layoutInCell="1" allowOverlap="1">
                <wp:simplePos x="0" y="0"/>
                <wp:positionH relativeFrom="column">
                  <wp:posOffset>2975610</wp:posOffset>
                </wp:positionH>
                <wp:positionV relativeFrom="paragraph">
                  <wp:posOffset>1553845</wp:posOffset>
                </wp:positionV>
                <wp:extent cx="215900" cy="184150"/>
                <wp:effectExtent l="21590" t="22225" r="19685" b="12700"/>
                <wp:wrapNone/>
                <wp:docPr id="491634307" name="自选图形 3223"/>
                <wp:cNvGraphicFramePr/>
                <a:graphic xmlns:a="http://schemas.openxmlformats.org/drawingml/2006/main">
                  <a:graphicData uri="http://schemas.microsoft.com/office/word/2010/wordprocessingShape">
                    <wps:wsp>
                      <wps:cNvSpPr>
                        <a:spLocks noChangeArrowheads="1"/>
                      </wps:cNvSpPr>
                      <wps:spPr bwMode="auto">
                        <a:xfrm>
                          <a:off x="0" y="0"/>
                          <a:ext cx="215900" cy="184150"/>
                        </a:xfrm>
                        <a:prstGeom prst="triangle">
                          <a:avLst>
                            <a:gd name="adj" fmla="val 50000"/>
                          </a:avLst>
                        </a:prstGeom>
                        <a:solidFill>
                          <a:srgbClr val="FFFF00"/>
                        </a:solidFill>
                        <a:ln w="3175">
                          <a:solidFill>
                            <a:srgbClr val="1F497D"/>
                          </a:solidFill>
                          <a:miter lim="800000"/>
                        </a:ln>
                      </wps:spPr>
                      <wps:bodyPr rot="0" vert="horz" wrap="square" lIns="91440" tIns="45720" rIns="91440" bIns="45720" anchor="t" anchorCtr="0" upright="1">
                        <a:noAutofit/>
                      </wps:bodyPr>
                    </wps:wsp>
                  </a:graphicData>
                </a:graphic>
              </wp:anchor>
            </w:drawing>
          </mc:Choice>
          <mc:Fallback>
            <w:pict>
              <v:shape id="自选图形 3223" o:spid="_x0000_s1026" o:spt="5" type="#_x0000_t5" style="position:absolute;left:0pt;margin-left:234.3pt;margin-top:122.35pt;height:14.5pt;width:17pt;z-index:251673600;mso-width-relative:page;mso-height-relative:page;" fillcolor="#FFFF00" filled="t" stroked="t" coordsize="21600,21600" o:gfxdata="UEsDBAoAAAAAAIdO4kAAAAAAAAAAAAAAAAAEAAAAZHJzL1BLAwQUAAAACACHTuJAb9ZMqNkAAAAL&#10;AQAADwAAAGRycy9kb3ducmV2LnhtbE2Py07DMBBF90j8gzVI7KidEJIqxKkQCHaloqCqSzcekgg/&#10;oth1y98zrGA5d47unGlWZ2tYwjmM3knIFgIYus7r0fUSPt6fb5bAQlROK+MdSvjGAKv28qJRtfYn&#10;94ZpG3tGJS7USsIQ41RzHroBrQoLP6Gj3aefrYo0zj3XszpRuTU8F6LkVo2OLgxqwscBu6/t0UqY&#10;xWsqn9b7ThfZ+kGYuEm7lyTl9VUm7oFFPMc/GH71SR1acjr4o9OBGQlFuSwJlZAXRQWMiDuRU3Kg&#10;pLqtgLcN//9D+wNQSwMEFAAAAAgAh07iQIRjS8ZiAgAArwQAAA4AAABkcnMvZTJvRG9jLnhtbK1U&#10;zY7TMBC+I/EOlu9skjbdbqNNV6utipAWWGnhAVzHaQz+Y+w2XU7cEM/AjSPvAG+zErwFE6ct7XLZ&#10;AzlEnozn8zff58n5xUYrshbgpTUlzU5SSoThtpJmWdK3b+bPzijxgZmKKWtESe+EpxfTp0/OW1eI&#10;gW2sqgQQBDG+aF1JmxBckSSeN0Izf2KdMJisLWgWMIRlUgFrEV2rZJCmp0lroXJgufAev876JN0i&#10;wmMAbV1LLmaWr7QwoUcFoVjAlnwjnafTyLauBQ+v69qLQFRJsdMQ33gIrhfdO5mes2IJzDWSbymw&#10;x1B40JNm0uChe6gZC4ysQP4DpSUH620dTrjVSd9IVAS7yNIH2tw2zInYC0rt3V50//9g+av1DRBZ&#10;lTSfZKfDfJiOKTFMo/G/Pn///enL/def9z++keFgMOzEap0vsObW3UDXrnfXlr/3xNirhpmluASw&#10;bSNYhRSzbn9yVNAFHkvJon1pKzyDrYKNum1q0B0gKkI20Z67vT1iEwjHj4NsNEnROI6p7CzPRtG+&#10;hBW7Ygc+PBdWk25R0gASOalOQVaw9bUP0aFq2x+r3lFSa4V+r5kioxSfSHm/GaF3kLFZq2Q1l0rF&#10;AJaLKwUES0s6x2df7A+3KUPakg6z8SiyOMr5Q4hsnk/Gs+35R9u0DDhwSuqSnnUcdySV2crbKdo7&#10;s7DVHaoLtr/nOOW4aCx8pKTFO15S/2HFQFCiXhh0aJLleTcUMchH4wEGcJhZHGaY4QiFslLSL69C&#10;P0grB3LZ4ElZ7NHYS3S1lmFnf89qSxbvMa6OBuUwjrv+/mem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v1kyo2QAAAAsBAAAPAAAAAAAAAAEAIAAAACIAAABkcnMvZG93bnJldi54bWxQSwECFAAU&#10;AAAACACHTuJAhGNLxmICAACvBAAADgAAAAAAAAABACAAAAAoAQAAZHJzL2Uyb0RvYy54bWxQSwUG&#10;AAAAAAYABgBZAQAA/AUAAAAA&#10;" adj="10800">
                <v:fill on="t" focussize="0,0"/>
                <v:stroke weight="0.25pt" color="#1F497D" miterlimit="8" joinstyle="miter"/>
                <v:imagedata o:title=""/>
                <o:lock v:ext="edit" aspectratio="f"/>
              </v:shape>
            </w:pict>
          </mc:Fallback>
        </mc:AlternateContent>
      </w:r>
      <w:r>
        <w:rPr>
          <w:rFonts w:ascii="Times New Roman" w:hAnsi="Times New Roman" w:cs="Times New Roman"/>
          <w:color w:val="auto"/>
        </w:rPr>
        <mc:AlternateContent>
          <mc:Choice Requires="wps">
            <w:drawing>
              <wp:anchor distT="0" distB="0" distL="114300" distR="114300" simplePos="0" relativeHeight="251677696" behindDoc="0" locked="0" layoutInCell="1" allowOverlap="1">
                <wp:simplePos x="0" y="0"/>
                <wp:positionH relativeFrom="column">
                  <wp:posOffset>2390775</wp:posOffset>
                </wp:positionH>
                <wp:positionV relativeFrom="paragraph">
                  <wp:posOffset>1555750</wp:posOffset>
                </wp:positionV>
                <wp:extent cx="711200" cy="266700"/>
                <wp:effectExtent l="0" t="4445" r="0" b="0"/>
                <wp:wrapNone/>
                <wp:docPr id="1255184067" name="文本框 3219"/>
                <wp:cNvGraphicFramePr/>
                <a:graphic xmlns:a="http://schemas.openxmlformats.org/drawingml/2006/main">
                  <a:graphicData uri="http://schemas.microsoft.com/office/word/2010/wordprocessingShape">
                    <wps:wsp>
                      <wps:cNvSpPr txBox="1">
                        <a:spLocks noChangeArrowheads="1"/>
                      </wps:cNvSpPr>
                      <wps:spPr bwMode="auto">
                        <a:xfrm>
                          <a:off x="0" y="0"/>
                          <a:ext cx="711200" cy="266700"/>
                        </a:xfrm>
                        <a:prstGeom prst="rect">
                          <a:avLst/>
                        </a:prstGeom>
                        <a:noFill/>
                        <a:ln>
                          <a:noFill/>
                        </a:ln>
                      </wps:spPr>
                      <wps:txbx>
                        <w:txbxContent>
                          <w:p w14:paraId="6EE94710">
                            <w:pPr>
                              <w:ind w:firstLine="480"/>
                              <w:rPr>
                                <w:rFonts w:ascii="Times New Roman" w:hAnsi="Times New Roman" w:cs="Times New Roman"/>
                                <w:color w:val="FFFF00"/>
                                <w:lang w:eastAsia="zh-CN"/>
                              </w:rPr>
                            </w:pPr>
                            <w:r>
                              <w:rPr>
                                <w:rFonts w:ascii="Times New Roman" w:hAnsi="Times New Roman" w:cs="Times New Roman"/>
                                <w:color w:val="FFFF00"/>
                                <w:lang w:eastAsia="zh-CN"/>
                              </w:rPr>
                              <w:t>N4</w:t>
                            </w:r>
                          </w:p>
                        </w:txbxContent>
                      </wps:txbx>
                      <wps:bodyPr rot="0" vert="horz" wrap="square" lIns="91440" tIns="45720" rIns="91440" bIns="45720" anchor="t" anchorCtr="0" upright="1">
                        <a:noAutofit/>
                      </wps:bodyPr>
                    </wps:wsp>
                  </a:graphicData>
                </a:graphic>
              </wp:anchor>
            </w:drawing>
          </mc:Choice>
          <mc:Fallback>
            <w:pict>
              <v:shape id="文本框 3219" o:spid="_x0000_s1026" o:spt="202" type="#_x0000_t202" style="position:absolute;left:0pt;margin-left:188.25pt;margin-top:122.5pt;height:21pt;width:56pt;z-index:251677696;mso-width-relative:page;mso-height-relative:page;" filled="f" stroked="f" coordsize="21600,21600" o:gfxdata="UEsDBAoAAAAAAIdO4kAAAAAAAAAAAAAAAAAEAAAAZHJzL1BLAwQUAAAACACHTuJA//72yNgAAAAL&#10;AQAADwAAAGRycy9kb3ducmV2LnhtbE2Py07DMBBF90j9B2sqsaN2S9KGEKeLVmxBlIfEzo2nSUQ8&#10;jmK3CX/PsKLLuXN0H8V2cp244BBaTxqWCwUCqfK2pVrD+9vTXQYiREPWdJ5Qww8G2Jazm8Lk1o/0&#10;ipdDrAWbUMiNhibGPpcyVA06Exa+R+LfyQ/ORD6HWtrBjGzuOrlSai2daYkTGtPjrsHq+3B2Gj6e&#10;T1+fiXqp9y7tRz8pSe5Ban07X6pHEBGn+A/DX32uDiV3Ovoz2SA6DfebdcqohlWS8igmkixj5chK&#10;tlEgy0Jebyh/AVBLAwQUAAAACACHTuJAh6Xt0B8CAAAgBAAADgAAAGRycy9lMm9Eb2MueG1srVNL&#10;btswEN0X6B0I7mtZqj+JYDlIY6QokH6AtAegKcoiKnHYIW0pPUB7g6666b7n8jk6pBzHTTdZdCMM&#10;Zzhv5j0+LS76tmE7hU6DKXg6GnOmjIRSm03BP328fnHGmfPClKIBowp+pxy/WD5/tuhsrjKooSkV&#10;MgIxLu9swWvvbZ4kTtaqFW4EVhkqVoCt8HTETVKi6Ai9bZJsPJ4lHWBpEaRyjrKrocgPiPgUQKgq&#10;LdUK5LZVxg+oqBrhiZKrtXV8GbetKiX9+6pyyrOm4MTUxy8NoXgdvslyIfINCltreVhBPGWFR5xa&#10;oQ0NPUKthBdsi/ofqFZLBAeVH0lok4FIVIRYpONH2tzWwqrIhaR29ii6+3+w8t3uAzJdkhOy6TQ9&#10;m4xnc86MaOnl9z++73/+3v/6xl5m6XmQqrMup45bSz2+fwU9tUXazt6A/OyYgatamI26RISuVqKk&#10;VdPQmZy0DjgugKy7t1DSKLH1EIH6CtugIynDCJ2e6e74TKr3TFJynqZkJM4klbLZbE5xmCDy+2aL&#10;zr9W0LIQFBzJBRFc7G6cH67eXwmzDFzrpqG8yBvzV4IwQyYuH/YdNvf9uqfbgdEayjuigTAYi34r&#10;CmrAr5x1ZKqCuy9bgYqz5o0hKc7TySS4MB4m03lGBzytrE8rwkiCKrjnbAiv/ODcrUW9qWnSIL6B&#10;S5Kv0pHaw1aHvck4UZyDyYMzT8/x1sOPvfw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72yNgA&#10;AAALAQAADwAAAAAAAAABACAAAAAiAAAAZHJzL2Rvd25yZXYueG1sUEsBAhQAFAAAAAgAh07iQIel&#10;7dAfAgAAIAQAAA4AAAAAAAAAAQAgAAAAJwEAAGRycy9lMm9Eb2MueG1sUEsFBgAAAAAGAAYAWQEA&#10;ALgFAAAAAA==&#10;">
                <v:fill on="f" focussize="0,0"/>
                <v:stroke on="f"/>
                <v:imagedata o:title=""/>
                <o:lock v:ext="edit" aspectratio="f"/>
                <v:textbox>
                  <w:txbxContent>
                    <w:p w14:paraId="6EE94710">
                      <w:pPr>
                        <w:ind w:firstLine="480"/>
                        <w:rPr>
                          <w:rFonts w:ascii="Times New Roman" w:hAnsi="Times New Roman" w:cs="Times New Roman"/>
                          <w:color w:val="FFFF00"/>
                          <w:lang w:eastAsia="zh-CN"/>
                        </w:rPr>
                      </w:pPr>
                      <w:r>
                        <w:rPr>
                          <w:rFonts w:ascii="Times New Roman" w:hAnsi="Times New Roman" w:cs="Times New Roman"/>
                          <w:color w:val="FFFF00"/>
                          <w:lang w:eastAsia="zh-CN"/>
                        </w:rPr>
                        <w:t>N4</w:t>
                      </w:r>
                    </w:p>
                  </w:txbxContent>
                </v:textbox>
              </v:shape>
            </w:pict>
          </mc:Fallback>
        </mc:AlternateContent>
      </w:r>
      <w:r>
        <w:rPr>
          <w:rFonts w:ascii="Times New Roman" w:hAnsi="Times New Roman" w:cs="Times New Roman"/>
          <w:color w:val="auto"/>
        </w:rPr>
        <mc:AlternateContent>
          <mc:Choice Requires="wps">
            <w:drawing>
              <wp:anchor distT="0" distB="0" distL="114300" distR="114300" simplePos="0" relativeHeight="251675648" behindDoc="0" locked="0" layoutInCell="1" allowOverlap="1">
                <wp:simplePos x="0" y="0"/>
                <wp:positionH relativeFrom="column">
                  <wp:posOffset>2402840</wp:posOffset>
                </wp:positionH>
                <wp:positionV relativeFrom="paragraph">
                  <wp:posOffset>2300605</wp:posOffset>
                </wp:positionV>
                <wp:extent cx="215900" cy="184150"/>
                <wp:effectExtent l="22225" t="22225" r="19050" b="12700"/>
                <wp:wrapNone/>
                <wp:docPr id="2113225405" name="自选图形 3222"/>
                <wp:cNvGraphicFramePr/>
                <a:graphic xmlns:a="http://schemas.openxmlformats.org/drawingml/2006/main">
                  <a:graphicData uri="http://schemas.microsoft.com/office/word/2010/wordprocessingShape">
                    <wps:wsp>
                      <wps:cNvSpPr>
                        <a:spLocks noChangeArrowheads="1"/>
                      </wps:cNvSpPr>
                      <wps:spPr bwMode="auto">
                        <a:xfrm>
                          <a:off x="0" y="0"/>
                          <a:ext cx="215900" cy="184150"/>
                        </a:xfrm>
                        <a:prstGeom prst="triangle">
                          <a:avLst>
                            <a:gd name="adj" fmla="val 50000"/>
                          </a:avLst>
                        </a:prstGeom>
                        <a:solidFill>
                          <a:srgbClr val="FFFF00"/>
                        </a:solidFill>
                        <a:ln w="3175">
                          <a:solidFill>
                            <a:srgbClr val="1F497D"/>
                          </a:solidFill>
                          <a:miter lim="800000"/>
                        </a:ln>
                      </wps:spPr>
                      <wps:bodyPr rot="0" vert="horz" wrap="square" lIns="91440" tIns="45720" rIns="91440" bIns="45720" anchor="t" anchorCtr="0" upright="1">
                        <a:noAutofit/>
                      </wps:bodyPr>
                    </wps:wsp>
                  </a:graphicData>
                </a:graphic>
              </wp:anchor>
            </w:drawing>
          </mc:Choice>
          <mc:Fallback>
            <w:pict>
              <v:shape id="自选图形 3222" o:spid="_x0000_s1026" o:spt="5" type="#_x0000_t5" style="position:absolute;left:0pt;margin-left:189.2pt;margin-top:181.15pt;height:14.5pt;width:17pt;z-index:251675648;mso-width-relative:page;mso-height-relative:page;" fillcolor="#FFFF00" filled="t" stroked="t" coordsize="21600,21600" o:gfxdata="UEsDBAoAAAAAAIdO4kAAAAAAAAAAAAAAAAAEAAAAZHJzL1BLAwQUAAAACACHTuJA9/18YdkAAAAL&#10;AQAADwAAAGRycy9kb3ducmV2LnhtbE2PzU7DMBCE70i8g7VI3KjtJAptiFMhENxKRUEVRzc2SYR/&#10;Itt1y9uznOC2OzOa/bZdn60hWYc4eSeALxgQ7XqvJjcIeH97ulkCiUk6JY13WsC3jrDuLi9a2Sh/&#10;cq8679JAsMTFRgoYU5obSmM/aivjws/aoffpg5UJ1zBQFeQJy62hBWM1tXJyeGGUs34Ydf+1O1oB&#10;gb3k+nHz0auKb+6ZSdu8f85CXF9xdgck6XP6C8MvPqJDh0wHf3QqEiOgvF1WGMWhLkogmKh4gcoB&#10;lRUvgXYt/f9D9wNQSwMEFAAAAAgAh07iQNLaqqVgAgAAsAQAAA4AAABkcnMvZTJvRG9jLnhtbK1U&#10;zW4TMRC+I/EOlu90f5ql6aqbqmoUhFSgUuEBHK83a/AfYyebcuJW8QzcOPIO8DaV4C2Y9SYhKZce&#10;2MPKs+P5/M33efbsfK0VWQnw0pqKZkcpJcJwW0uzqOi7t7NnY0p8YKZmyhpR0Vvh6fnk6ZOzzpUi&#10;t61VtQCCIMaXnatoG4Irk8TzVmjmj6wTBpONBc0ChrBIamAdomuV5Gn6POks1A4sF97j1+mQpBtE&#10;eAygbRrJxdTypRYmDKggFAvYkm+l83QS2TaN4OFN03gRiKoodhriGw/B9bx/J5MzVi6AuVbyDQX2&#10;GAoPetJMGjx0BzVlgZElyH+gtORgvW3CEbc6GRqJimAXWfpAm5uWORF7Qam924nu/x8sf726BiLr&#10;iuZZdpznxSgtKDFMo/O/7r7//vzl/uvP+x/fCObyXq3O+RKLbtw19P16d2X5B0+MvWyZWYgLANu1&#10;gtXIMev3JwcFfeCxlMy7V7bGM9gy2CjcugHdA6IkZB39ud35I9aBcPyYZ8Vpis5xTGXjUVZE/xJW&#10;bosd+PBCWE36RUUDSOSkeglZyVZXPkSL6k1/rH5PSaMVGr5iihQpPpHybjNCbyFjs1bJeiaVigEs&#10;5pcKCJZWdIbPrtjvb1OGdBU9zk6KyOIg5/chstno9GS6Of9gm5YBJ05JXdFxz3FLUpmNvL2igzNz&#10;W9+iumCHi45jjovWwidKOrzkFfUflwwEJeqlQYdOs9Gon4oYjIqTHAPYz8z3M8xwhEJZKRmWl2GY&#10;pKUDuWjxpCz2aOwFutrIsLV/YLUhixcZVweTsh/HXX9/NJM/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9/18YdkAAAALAQAADwAAAAAAAAABACAAAAAiAAAAZHJzL2Rvd25yZXYueG1sUEsBAhQAFAAA&#10;AAgAh07iQNLaqqVgAgAAsAQAAA4AAAAAAAAAAQAgAAAAKAEAAGRycy9lMm9Eb2MueG1sUEsFBgAA&#10;AAAGAAYAWQEAAPoFAAAAAA==&#10;" adj="10800">
                <v:fill on="t" focussize="0,0"/>
                <v:stroke weight="0.25pt" color="#1F497D" miterlimit="8" joinstyle="miter"/>
                <v:imagedata o:title=""/>
                <o:lock v:ext="edit" aspectratio="f"/>
              </v:shape>
            </w:pict>
          </mc:Fallback>
        </mc:AlternateContent>
      </w:r>
      <w:r>
        <w:rPr>
          <w:rFonts w:ascii="Times New Roman" w:hAnsi="Times New Roman" w:cs="Times New Roman"/>
          <w:color w:val="auto"/>
        </w:rPr>
        <mc:AlternateContent>
          <mc:Choice Requires="wps">
            <w:drawing>
              <wp:anchor distT="0" distB="0" distL="114300" distR="114300" simplePos="0" relativeHeight="251680768" behindDoc="0" locked="0" layoutInCell="1" allowOverlap="1">
                <wp:simplePos x="0" y="0"/>
                <wp:positionH relativeFrom="column">
                  <wp:posOffset>2237740</wp:posOffset>
                </wp:positionH>
                <wp:positionV relativeFrom="paragraph">
                  <wp:posOffset>2225040</wp:posOffset>
                </wp:positionV>
                <wp:extent cx="711200" cy="266700"/>
                <wp:effectExtent l="0" t="2540" r="0" b="0"/>
                <wp:wrapNone/>
                <wp:docPr id="27039765" name="文本框 3216"/>
                <wp:cNvGraphicFramePr/>
                <a:graphic xmlns:a="http://schemas.openxmlformats.org/drawingml/2006/main">
                  <a:graphicData uri="http://schemas.microsoft.com/office/word/2010/wordprocessingShape">
                    <wps:wsp>
                      <wps:cNvSpPr txBox="1">
                        <a:spLocks noChangeArrowheads="1"/>
                      </wps:cNvSpPr>
                      <wps:spPr bwMode="auto">
                        <a:xfrm>
                          <a:off x="0" y="0"/>
                          <a:ext cx="711200" cy="266700"/>
                        </a:xfrm>
                        <a:prstGeom prst="rect">
                          <a:avLst/>
                        </a:prstGeom>
                        <a:noFill/>
                        <a:ln>
                          <a:noFill/>
                        </a:ln>
                      </wps:spPr>
                      <wps:txbx>
                        <w:txbxContent>
                          <w:p w14:paraId="7CFEDEFF">
                            <w:pPr>
                              <w:ind w:firstLine="480"/>
                              <w:rPr>
                                <w:rFonts w:ascii="Times New Roman" w:hAnsi="Times New Roman" w:cs="Times New Roman"/>
                                <w:color w:val="FFFF00"/>
                                <w:lang w:eastAsia="zh-CN"/>
                              </w:rPr>
                            </w:pPr>
                            <w:r>
                              <w:rPr>
                                <w:rFonts w:ascii="Times New Roman" w:hAnsi="Times New Roman" w:cs="Times New Roman"/>
                                <w:color w:val="FFFF00"/>
                                <w:lang w:eastAsia="zh-CN"/>
                              </w:rPr>
                              <w:t>N</w:t>
                            </w:r>
                            <w:r>
                              <w:rPr>
                                <w:rFonts w:hint="eastAsia" w:ascii="Times New Roman" w:hAnsi="Times New Roman" w:cs="Times New Roman"/>
                                <w:color w:val="FFFF00"/>
                                <w:lang w:eastAsia="zh-CN"/>
                              </w:rPr>
                              <w:t>3</w:t>
                            </w:r>
                          </w:p>
                        </w:txbxContent>
                      </wps:txbx>
                      <wps:bodyPr rot="0" vert="horz" wrap="square" lIns="91440" tIns="45720" rIns="91440" bIns="45720" anchor="t" anchorCtr="0" upright="1">
                        <a:noAutofit/>
                      </wps:bodyPr>
                    </wps:wsp>
                  </a:graphicData>
                </a:graphic>
              </wp:anchor>
            </w:drawing>
          </mc:Choice>
          <mc:Fallback>
            <w:pict>
              <v:shape id="文本框 3216" o:spid="_x0000_s1026" o:spt="202" type="#_x0000_t202" style="position:absolute;left:0pt;margin-left:176.2pt;margin-top:175.2pt;height:21pt;width:56pt;z-index:251680768;mso-width-relative:page;mso-height-relative:page;" filled="f" stroked="f" coordsize="21600,21600" o:gfxdata="UEsDBAoAAAAAAIdO4kAAAAAAAAAAAAAAAAAEAAAAZHJzL1BLAwQUAAAACACHTuJABWxM6NYAAAAL&#10;AQAADwAAAGRycy9kb3ducmV2LnhtbE2PT0/DMAzF70h8h8hI3Fiy0U2sNN0BxJWJ8Ufi5jVeW9E4&#10;VZOt3bfHO8Ht2e/p+ediM/lOnWiIbWAL85kBRVwF13Jt4eP95e4BVEzIDrvAZOFMETbl9VWBuQsj&#10;v9Fpl2olJRxztNCk1Odax6ohj3EWemLxDmHwmGQcau0GHKXcd3phzEp7bFkuNNjTU0PVz+7oLXy+&#10;Hr6/MrOtn/2yH8NkNPu1tvb2Zm4eQSWa0l8YLviCDqUw7cORXVSdhfvlIpPoRRgRkshWmYi9bNZi&#10;6bLQ/38ofwFQSwMEFAAAAAgAh07iQBST/MUeAgAAHgQAAA4AAABkcnMvZTJvRG9jLnhtbK1TS27b&#10;MBDdF+gdCO5rWYpjN4LlII2RokD6AdIegKYoi6jEYYe0JfcA7Q266qb7nsvn6JByHDfdZNGNMJwZ&#10;vpn3+DS/7NuGbRU6Dabg6WjMmTISSm3WBf/08ebFS86cF6YUDRhV8J1y/HLx/Nm8s7nKoIamVMgI&#10;xLi8swWvvbd5kjhZq1a4EVhlqFgBtsLTEddJiaIj9LZJsvF4mnSApUWQyjnKLociPyDiUwChqrRU&#10;S5CbVhk/oKJqhCdKrtbW8UXctqqU9O+ryinPmoITUx+/NITiVfgmi7nI1yhsreVhBfGUFR5xaoU2&#10;NPQItRResA3qf6BaLREcVH4koU0GIlERYpGOH2lzVwurIheS2tmj6O7/wcp32w/IdFnwbDY+u5hN&#10;zzkzoqV33//4vv/5e//rGzvL0mkQqrMup/47Szd8/wp6sk8k7ewtyM+OGbiuhVmrK0ToaiVKWjQN&#10;N5OTqwOOCyCr7i2UNEpsPESgvsI2qEi6MEKnR9odH0n1nklKztKUbMSZpFI2nc4oDhNEfn/ZovOv&#10;FbQsBAVH8kAEF9tb54fW+5Ywy8CNbhrKi7wxfyUIM2Ti8mHfYXPfr3rqDoxWUO6IBsJgK/qpKKgB&#10;v3LWkaUK7r5sBCrOmjeGpLhIJ5PgwXiYnM8yOuBpZXVaEUYSVME9Z0N47QffbizqdU2TBvENXJF8&#10;lY7UHrY67E22ieIcLB58eXqOXQ+/9eI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BWxM6NYAAAAL&#10;AQAADwAAAAAAAAABACAAAAAiAAAAZHJzL2Rvd25yZXYueG1sUEsBAhQAFAAAAAgAh07iQBST/MUe&#10;AgAAHgQAAA4AAAAAAAAAAQAgAAAAJQEAAGRycy9lMm9Eb2MueG1sUEsFBgAAAAAGAAYAWQEAALUF&#10;AAAAAA==&#10;">
                <v:fill on="f" focussize="0,0"/>
                <v:stroke on="f"/>
                <v:imagedata o:title=""/>
                <o:lock v:ext="edit" aspectratio="f"/>
                <v:textbox>
                  <w:txbxContent>
                    <w:p w14:paraId="7CFEDEFF">
                      <w:pPr>
                        <w:ind w:firstLine="480"/>
                        <w:rPr>
                          <w:rFonts w:ascii="Times New Roman" w:hAnsi="Times New Roman" w:cs="Times New Roman"/>
                          <w:color w:val="FFFF00"/>
                          <w:lang w:eastAsia="zh-CN"/>
                        </w:rPr>
                      </w:pPr>
                      <w:r>
                        <w:rPr>
                          <w:rFonts w:ascii="Times New Roman" w:hAnsi="Times New Roman" w:cs="Times New Roman"/>
                          <w:color w:val="FFFF00"/>
                          <w:lang w:eastAsia="zh-CN"/>
                        </w:rPr>
                        <w:t>N</w:t>
                      </w:r>
                      <w:r>
                        <w:rPr>
                          <w:rFonts w:hint="eastAsia" w:ascii="Times New Roman" w:hAnsi="Times New Roman" w:cs="Times New Roman"/>
                          <w:color w:val="FFFF00"/>
                          <w:lang w:eastAsia="zh-CN"/>
                        </w:rPr>
                        <w:t>3</w:t>
                      </w:r>
                    </w:p>
                  </w:txbxContent>
                </v:textbox>
              </v:shape>
            </w:pict>
          </mc:Fallback>
        </mc:AlternateContent>
      </w:r>
      <w:r>
        <w:rPr>
          <w:rFonts w:ascii="Times New Roman" w:hAnsi="Times New Roman" w:cs="Times New Roman"/>
          <w:color w:val="auto"/>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2912745</wp:posOffset>
                </wp:positionV>
                <wp:extent cx="711200" cy="266700"/>
                <wp:effectExtent l="0" t="0" r="0" b="0"/>
                <wp:wrapNone/>
                <wp:docPr id="2113547304" name="文本框 3217"/>
                <wp:cNvGraphicFramePr/>
                <a:graphic xmlns:a="http://schemas.openxmlformats.org/drawingml/2006/main">
                  <a:graphicData uri="http://schemas.microsoft.com/office/word/2010/wordprocessingShape">
                    <wps:wsp>
                      <wps:cNvSpPr txBox="1">
                        <a:spLocks noChangeArrowheads="1"/>
                      </wps:cNvSpPr>
                      <wps:spPr bwMode="auto">
                        <a:xfrm>
                          <a:off x="0" y="0"/>
                          <a:ext cx="711200" cy="266700"/>
                        </a:xfrm>
                        <a:prstGeom prst="rect">
                          <a:avLst/>
                        </a:prstGeom>
                        <a:noFill/>
                        <a:ln>
                          <a:noFill/>
                        </a:ln>
                      </wps:spPr>
                      <wps:txbx>
                        <w:txbxContent>
                          <w:p w14:paraId="0355BDE5">
                            <w:pPr>
                              <w:ind w:firstLine="480"/>
                              <w:rPr>
                                <w:rFonts w:ascii="Times New Roman" w:hAnsi="Times New Roman" w:cs="Times New Roman"/>
                                <w:color w:val="FFFF00"/>
                                <w:lang w:eastAsia="zh-CN"/>
                              </w:rPr>
                            </w:pPr>
                            <w:r>
                              <w:rPr>
                                <w:rFonts w:ascii="Times New Roman" w:hAnsi="Times New Roman" w:cs="Times New Roman"/>
                                <w:color w:val="FFFF00"/>
                                <w:lang w:eastAsia="zh-CN"/>
                              </w:rPr>
                              <w:t>N</w:t>
                            </w:r>
                            <w:r>
                              <w:rPr>
                                <w:rFonts w:hint="eastAsia" w:ascii="Times New Roman" w:hAnsi="Times New Roman" w:cs="Times New Roman"/>
                                <w:color w:val="FFFF00"/>
                                <w:lang w:eastAsia="zh-CN"/>
                              </w:rPr>
                              <w:t>2</w:t>
                            </w:r>
                          </w:p>
                        </w:txbxContent>
                      </wps:txbx>
                      <wps:bodyPr rot="0" vert="horz" wrap="square" lIns="91440" tIns="45720" rIns="91440" bIns="45720" anchor="t" anchorCtr="0" upright="1">
                        <a:noAutofit/>
                      </wps:bodyPr>
                    </wps:wsp>
                  </a:graphicData>
                </a:graphic>
              </wp:anchor>
            </w:drawing>
          </mc:Choice>
          <mc:Fallback>
            <w:pict>
              <v:shape id="文本框 3217" o:spid="_x0000_s1026" o:spt="202" type="#_x0000_t202" style="position:absolute;left:0pt;margin-top:229.35pt;height:21pt;width:56pt;mso-position-horizontal:center;mso-position-horizontal-relative:margin;z-index:251678720;mso-width-relative:page;mso-height-relative:page;" filled="f" stroked="f" coordsize="21600,21600" o:gfxdata="UEsDBAoAAAAAAIdO4kAAAAAAAAAAAAAAAAAEAAAAZHJzL1BLAwQUAAAACACHTuJA5OxWM9UAAAAI&#10;AQAADwAAAGRycy9kb3ducmV2LnhtbE2PzU7DMBCE70i8g7VI3KidqqElZNMDiCuI8iNx28bbJCJe&#10;R7HbhLfHPcFxdlYz35Tb2fXqxGPovCBkCwOKpfa2kwbh/e3pZgMqRBJLvRdG+OEA2+ryoqTC+kle&#10;+bSLjUohEgpCaGMcCq1D3bKjsPADS/IOfnQUkxwbbUeaUrjr9dKYW+2ok9TQ0sAPLdffu6ND+Hg+&#10;fH2uzEvz6PJh8rPR4u404vVVZu5BRZ7j3zOc8RM6VIlp749ig+oR0pCIsMo3a1BnO1umyx4hN2YN&#10;uir1/wHVL1BLAwQUAAAACACHTuJAffrbcSACAAAgBAAADgAAAGRycy9lMm9Eb2MueG1srVNLbtsw&#10;EN0X6B0I7mtZsmO3guUgjZGiQPoB0h6ApiiLqMRhh7Sl9ADNDbrqpvuey+fokHIcN91k0Y0wnOG8&#10;mff4tDjv24btFDoNpuDpaMyZMhJKbTYF//zp6sVLzpwXphQNGFXwW+X4+fL5s0Vnc5VBDU2pkBGI&#10;cXlnC157b/MkcbJWrXAjsMpQsQJshacjbpISRUfobZNk4/Es6QBLiyCVc5RdDUV+QMSnAEJVaalW&#10;ILetMn5ARdUIT5Rcra3jy7htVSnpP1SVU541BSemPn5pCMXr8E2WC5FvUNhay8MK4ikrPOLUCm1o&#10;6BFqJbxgW9T/QLVaIjio/EhCmwxEoiLEIh0/0uamFlZFLiS1s0fR3f+Dle93H5HpsuBZmk7OpvPJ&#10;eMqZES29/P7H3f7n7/2v72ySpfMgVWddTh03lnp8/xp6MlCk7ew1yC+OGbishdmoC0ToaiVKWjUN&#10;nclJ64DjAsi6ewcljRJbDxGor7ANOpIyjNDpmW6Pz6R6zyQl52lKRuJMUimbzeYUhwkiv2+26Pwb&#10;BS0LQcGRXBDBxe7a+eHq/ZUwy8CVbhrKi7wxfyUIM2Ti8mHfYXPfr3u6HRitobwlGgiDsei3oqAG&#10;/MZZR6YquPu6Fag4a94akuJVOp0GF8bD9Gye0QFPK+vTijCSoAruORvCSz84d2tRb2qaNIhv4ILk&#10;q3Sk9rDVYW8yThTnYPLgzNNzvPXwYy//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OTsVjPVAAAA&#10;CAEAAA8AAAAAAAAAAQAgAAAAIgAAAGRycy9kb3ducmV2LnhtbFBLAQIUABQAAAAIAIdO4kB9+ttx&#10;IAIAACAEAAAOAAAAAAAAAAEAIAAAACQBAABkcnMvZTJvRG9jLnhtbFBLBQYAAAAABgAGAFkBAAC2&#10;BQAAAAA=&#10;">
                <v:fill on="f" focussize="0,0"/>
                <v:stroke on="f"/>
                <v:imagedata o:title=""/>
                <o:lock v:ext="edit" aspectratio="f"/>
                <v:textbox>
                  <w:txbxContent>
                    <w:p w14:paraId="0355BDE5">
                      <w:pPr>
                        <w:ind w:firstLine="480"/>
                        <w:rPr>
                          <w:rFonts w:ascii="Times New Roman" w:hAnsi="Times New Roman" w:cs="Times New Roman"/>
                          <w:color w:val="FFFF00"/>
                          <w:lang w:eastAsia="zh-CN"/>
                        </w:rPr>
                      </w:pPr>
                      <w:r>
                        <w:rPr>
                          <w:rFonts w:ascii="Times New Roman" w:hAnsi="Times New Roman" w:cs="Times New Roman"/>
                          <w:color w:val="FFFF00"/>
                          <w:lang w:eastAsia="zh-CN"/>
                        </w:rPr>
                        <w:t>N</w:t>
                      </w:r>
                      <w:r>
                        <w:rPr>
                          <w:rFonts w:hint="eastAsia" w:ascii="Times New Roman" w:hAnsi="Times New Roman" w:cs="Times New Roman"/>
                          <w:color w:val="FFFF00"/>
                          <w:lang w:eastAsia="zh-CN"/>
                        </w:rPr>
                        <w:t>2</w:t>
                      </w:r>
                    </w:p>
                  </w:txbxContent>
                </v:textbox>
              </v:shape>
            </w:pict>
          </mc:Fallback>
        </mc:AlternateContent>
      </w:r>
      <w:r>
        <w:rPr>
          <w:rFonts w:ascii="Times New Roman" w:hAnsi="Times New Roman" w:cs="Times New Roman"/>
          <w:color w:val="auto"/>
        </w:rPr>
        <mc:AlternateContent>
          <mc:Choice Requires="wps">
            <w:drawing>
              <wp:anchor distT="0" distB="0" distL="114300" distR="114300" simplePos="0" relativeHeight="251676672" behindDoc="0" locked="0" layoutInCell="1" allowOverlap="1">
                <wp:simplePos x="0" y="0"/>
                <wp:positionH relativeFrom="column">
                  <wp:posOffset>2903855</wp:posOffset>
                </wp:positionH>
                <wp:positionV relativeFrom="paragraph">
                  <wp:posOffset>2967990</wp:posOffset>
                </wp:positionV>
                <wp:extent cx="215900" cy="184150"/>
                <wp:effectExtent l="19050" t="20320" r="22225" b="5080"/>
                <wp:wrapNone/>
                <wp:docPr id="934357953" name="自选图形 3221"/>
                <wp:cNvGraphicFramePr/>
                <a:graphic xmlns:a="http://schemas.openxmlformats.org/drawingml/2006/main">
                  <a:graphicData uri="http://schemas.microsoft.com/office/word/2010/wordprocessingShape">
                    <wps:wsp>
                      <wps:cNvSpPr>
                        <a:spLocks noChangeArrowheads="1"/>
                      </wps:cNvSpPr>
                      <wps:spPr bwMode="auto">
                        <a:xfrm>
                          <a:off x="0" y="0"/>
                          <a:ext cx="215900" cy="184150"/>
                        </a:xfrm>
                        <a:prstGeom prst="triangle">
                          <a:avLst>
                            <a:gd name="adj" fmla="val 50000"/>
                          </a:avLst>
                        </a:prstGeom>
                        <a:solidFill>
                          <a:srgbClr val="FFFF00"/>
                        </a:solidFill>
                        <a:ln w="3175">
                          <a:solidFill>
                            <a:srgbClr val="1F497D"/>
                          </a:solidFill>
                          <a:miter lim="800000"/>
                        </a:ln>
                      </wps:spPr>
                      <wps:bodyPr rot="0" vert="horz" wrap="square" lIns="91440" tIns="45720" rIns="91440" bIns="45720" anchor="t" anchorCtr="0" upright="1">
                        <a:noAutofit/>
                      </wps:bodyPr>
                    </wps:wsp>
                  </a:graphicData>
                </a:graphic>
              </wp:anchor>
            </w:drawing>
          </mc:Choice>
          <mc:Fallback>
            <w:pict>
              <v:shape id="自选图形 3221" o:spid="_x0000_s1026" o:spt="5" type="#_x0000_t5" style="position:absolute;left:0pt;margin-left:228.65pt;margin-top:233.7pt;height:14.5pt;width:17pt;z-index:251676672;mso-width-relative:page;mso-height-relative:page;" fillcolor="#FFFF00" filled="t" stroked="t" coordsize="21600,21600" o:gfxdata="UEsDBAoAAAAAAIdO4kAAAAAAAAAAAAAAAAAEAAAAZHJzL1BLAwQUAAAACACHTuJAW0+v09gAAAAL&#10;AQAADwAAAGRycy9kb3ducmV2LnhtbE2PwU7DMBBE70j8g7VI3KgdMGkJcSoEgluLKBXi6MYmibDX&#10;ke2m5e/ZnuA2uzOafVsvj96xycY0BFRQzAQwi20wA3YKtu/PVwtgKWs02gW0Cn5sgmVzflbryoQD&#10;vtlpkztGJZgqraDPeaw4T21vvU6zMFok7ytErzONseMm6gOVe8evhSi51wPShV6P9rG37fdm7xVE&#10;sZ7Kp9Vna2SxehAuv04fL5NSlxeFuAeW7TH/heGET+jQENMu7NEk5hTI2/kNRUmUcwmMEvKuoM3u&#10;JEoJvKn5/x+aX1BLAwQUAAAACACHTuJAI+7XD2YCAACvBAAADgAAAGRycy9lMm9Eb2MueG1srVTN&#10;jtMwEL4j8Q6W72yatqFttOlqtVUR0gIrLTyA6ziNwX+M3abLiduKZ+DGkXeAt1kJ3oKJk5buctkD&#10;OUSejOfz933jyenZTiuyFeClNQVNTwaUCMNtKc26oO/eLp9NKfGBmZIpa0RBb4SnZ/OnT04bl4uh&#10;ra0qBRAEMT5vXEHrEFyeJJ7XQjN/Yp0wmKwsaBYwhHVSAmsQXatkOBg8TxoLpQPLhff4ddElaY8I&#10;jwG0VSW5WFi+0cKEDhWEYgEl+Vo6T+eRbVUJHt5UlReBqIKi0hDfeAiuV+07mZ+yfA3M1ZL3FNhj&#10;KDzQpJk0eOgBasECIxuQ/0BpycF6W4UTbnXSCYmOoIp08MCb65o5EbWg1d4dTPf/D5a/3l4BkWVB&#10;Z6PxKJvMshElhmls/K/b778/f7n7+vPuxzcyGg7T1qzG+Rxrrt0VtHK9u7T8gyfGXtTMrMU5gG1q&#10;wUqkGPcn9wrawGMpWTWvbIlnsE2w0bddBboFREfILrbn5tAesQuE48dhms0G2DiOqXQ6TrPYvoTl&#10;+2IHPrwQVpN2UdAAEjmp1kGWs+2lD7FDZa+Ple8pqbTCfm+ZItkAn1YiAvabcbWHjGKtkuVSKhUD&#10;WK8uFBAsLegSn0OxP96mDGkKOkonWWRxL+ePIdLleDZZ9Off26ZlwIFTUhd02nLck1QGue4d7Tqz&#10;suUNugu2u+c45bioLXyipME7XlD/ccNAUKJeGuzQLB2P26GIwTibDDGA48zqOMMMRyi0lZJueRG6&#10;Qdo4kOsaT0qjRmPPsauVDK2XLb+OVR/gPY4W9zPXDspxHHf9/c/M/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bT6/T2AAAAAsBAAAPAAAAAAAAAAEAIAAAACIAAABkcnMvZG93bnJldi54bWxQSwEC&#10;FAAUAAAACACHTuJAI+7XD2YCAACvBAAADgAAAAAAAAABACAAAAAnAQAAZHJzL2Uyb0RvYy54bWxQ&#10;SwUGAAAAAAYABgBZAQAA/wUAAAAA&#10;" adj="10800">
                <v:fill on="t" focussize="0,0"/>
                <v:stroke weight="0.25pt" color="#1F497D" miterlimit="8" joinstyle="miter"/>
                <v:imagedata o:title=""/>
                <o:lock v:ext="edit" aspectratio="f"/>
              </v:shape>
            </w:pict>
          </mc:Fallback>
        </mc:AlternateContent>
      </w:r>
      <w:r>
        <w:rPr>
          <w:rFonts w:ascii="Times New Roman" w:hAnsi="Times New Roman" w:cs="Times New Roman"/>
          <w:color w:val="auto"/>
        </w:rPr>
        <mc:AlternateContent>
          <mc:Choice Requires="wps">
            <w:drawing>
              <wp:anchor distT="0" distB="0" distL="114300" distR="114300" simplePos="0" relativeHeight="251679744" behindDoc="0" locked="0" layoutInCell="1" allowOverlap="1">
                <wp:simplePos x="0" y="0"/>
                <wp:positionH relativeFrom="column">
                  <wp:posOffset>3193415</wp:posOffset>
                </wp:positionH>
                <wp:positionV relativeFrom="paragraph">
                  <wp:posOffset>2181860</wp:posOffset>
                </wp:positionV>
                <wp:extent cx="711200" cy="266700"/>
                <wp:effectExtent l="0" t="0" r="0" b="0"/>
                <wp:wrapNone/>
                <wp:docPr id="1219150269" name="文本框 3218"/>
                <wp:cNvGraphicFramePr/>
                <a:graphic xmlns:a="http://schemas.openxmlformats.org/drawingml/2006/main">
                  <a:graphicData uri="http://schemas.microsoft.com/office/word/2010/wordprocessingShape">
                    <wps:wsp>
                      <wps:cNvSpPr txBox="1">
                        <a:spLocks noChangeArrowheads="1"/>
                      </wps:cNvSpPr>
                      <wps:spPr bwMode="auto">
                        <a:xfrm>
                          <a:off x="0" y="0"/>
                          <a:ext cx="711200" cy="266700"/>
                        </a:xfrm>
                        <a:prstGeom prst="rect">
                          <a:avLst/>
                        </a:prstGeom>
                        <a:noFill/>
                        <a:ln>
                          <a:noFill/>
                        </a:ln>
                      </wps:spPr>
                      <wps:txbx>
                        <w:txbxContent>
                          <w:p w14:paraId="610F88ED">
                            <w:pPr>
                              <w:ind w:firstLine="480"/>
                              <w:rPr>
                                <w:rFonts w:ascii="Times New Roman" w:hAnsi="Times New Roman" w:cs="Times New Roman"/>
                                <w:color w:val="FFFF00"/>
                                <w:lang w:eastAsia="zh-CN"/>
                              </w:rPr>
                            </w:pPr>
                            <w:r>
                              <w:rPr>
                                <w:rFonts w:ascii="Times New Roman" w:hAnsi="Times New Roman" w:cs="Times New Roman"/>
                                <w:color w:val="FFFF00"/>
                                <w:lang w:eastAsia="zh-CN"/>
                              </w:rPr>
                              <w:t>N</w:t>
                            </w:r>
                            <w:r>
                              <w:rPr>
                                <w:rFonts w:hint="eastAsia" w:ascii="Times New Roman" w:hAnsi="Times New Roman" w:cs="Times New Roman"/>
                                <w:color w:val="FFFF00"/>
                                <w:lang w:eastAsia="zh-CN"/>
                              </w:rPr>
                              <w:t>1</w:t>
                            </w:r>
                          </w:p>
                        </w:txbxContent>
                      </wps:txbx>
                      <wps:bodyPr rot="0" vert="horz" wrap="square" lIns="91440" tIns="45720" rIns="91440" bIns="45720" anchor="t" anchorCtr="0" upright="1">
                        <a:noAutofit/>
                      </wps:bodyPr>
                    </wps:wsp>
                  </a:graphicData>
                </a:graphic>
              </wp:anchor>
            </w:drawing>
          </mc:Choice>
          <mc:Fallback>
            <w:pict>
              <v:shape id="文本框 3218" o:spid="_x0000_s1026" o:spt="202" type="#_x0000_t202" style="position:absolute;left:0pt;margin-left:251.45pt;margin-top:171.8pt;height:21pt;width:56pt;z-index:251679744;mso-width-relative:page;mso-height-relative:page;" filled="f" stroked="f" coordsize="21600,21600" o:gfxdata="UEsDBAoAAAAAAIdO4kAAAAAAAAAAAAAAAAAEAAAAZHJzL1BLAwQUAAAACACHTuJAk2fC1NgAAAAL&#10;AQAADwAAAGRycy9kb3ducmV2LnhtbE2PwU7DMAyG70i8Q2Qkbizp1lZb13QHEFcQGyBxyxqvrdY4&#10;VZOt5e0xJzj696ffn8vd7HpxxTF0njQkCwUCqfa2o0bD++H5YQ0iREPW9J5QwzcG2FW3N6UprJ/o&#10;Da/72AguoVAYDW2MQyFlqFt0Jiz8gMS7kx+diTyOjbSjmbjc9XKpVC6d6YgvtGbAxxbr8/7iNHy8&#10;nL4+U/XaPLlsmPysJLmN1Pr+LlFbEBHn+AfDrz6rQ8VOR38hG0SvIVPLDaMaVukqB8FEnqScHDlZ&#10;ZznIqpT/f6h+AFBLAwQUAAAACACHTuJAPimd+B8CAAAgBAAADgAAAGRycy9lMm9Eb2MueG1srVNL&#10;btswEN0X6B0I7mtZquPEguUgjZGiQPoB0h6ApiiLqMRhh7Ql9wDtDbrqpvuey+fokHIcN91k0Y0w&#10;nOG8mff4NL/s24ZtFToNpuDpaMyZMhJKbdYF//Tx5sUFZ84LU4oGjCr4Tjl+uXj+bN7ZXGVQQ1Mq&#10;ZARiXN7Zgtfe2zxJnKxVK9wIrDJUrABb4emI66RE0RF62yTZeDxNOsDSIkjlHGWXQ5EfEPEpgFBV&#10;WqolyE2rjB9QUTXCEyVXa+v4Im5bVUr691XllGdNwYmpj18aQvEqfJPFXORrFLbW8rCCeMoKjzi1&#10;QhsaeoRaCi/YBvU/UK2WCA4qP5LQJgORqAixSMePtLmrhVWRC0nt7FF09/9g5bvtB2S6JCdk6Sw9&#10;G2fTGWdGtPTy+x/f9z9/7399Yy+z9CJI1VmXU8edpR7fv4Ke2iJtZ29BfnbMwHUtzFpdIUJXK1HS&#10;qmnoTE5aBxwXQFbdWyhplNh4iEB9hW3QkZRhhE7PtDs+k+o9k5Q8T1MyEmeSStl0ek5xmCDy+2aL&#10;zr9W0LIQFBzJBRFcbG+dH67eXwmzDNzopqG8yBvzV4IwQyYuH/YdNvf9qqfbgdEKyh3RQBiMRb8V&#10;BTXgV846MlXB3ZeNQMVZ88aQFLN0MgkujIfJ2XlGBzytrE4rwkiCKrjnbAiv/eDcjUW9rmnSIL6B&#10;K5Kv0pHaw1aHvck4UZyDyYMzT8/x1sOPvfg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k2fC1NgA&#10;AAALAQAADwAAAAAAAAABACAAAAAiAAAAZHJzL2Rvd25yZXYueG1sUEsBAhQAFAAAAAgAh07iQD4p&#10;nfgfAgAAIAQAAA4AAAAAAAAAAQAgAAAAJwEAAGRycy9lMm9Eb2MueG1sUEsFBgAAAAAGAAYAWQEA&#10;ALgFAAAAAA==&#10;">
                <v:fill on="f" focussize="0,0"/>
                <v:stroke on="f"/>
                <v:imagedata o:title=""/>
                <o:lock v:ext="edit" aspectratio="f"/>
                <v:textbox>
                  <w:txbxContent>
                    <w:p w14:paraId="610F88ED">
                      <w:pPr>
                        <w:ind w:firstLine="480"/>
                        <w:rPr>
                          <w:rFonts w:ascii="Times New Roman" w:hAnsi="Times New Roman" w:cs="Times New Roman"/>
                          <w:color w:val="FFFF00"/>
                          <w:lang w:eastAsia="zh-CN"/>
                        </w:rPr>
                      </w:pPr>
                      <w:r>
                        <w:rPr>
                          <w:rFonts w:ascii="Times New Roman" w:hAnsi="Times New Roman" w:cs="Times New Roman"/>
                          <w:color w:val="FFFF00"/>
                          <w:lang w:eastAsia="zh-CN"/>
                        </w:rPr>
                        <w:t>N</w:t>
                      </w:r>
                      <w:r>
                        <w:rPr>
                          <w:rFonts w:hint="eastAsia" w:ascii="Times New Roman" w:hAnsi="Times New Roman" w:cs="Times New Roman"/>
                          <w:color w:val="FFFF00"/>
                          <w:lang w:eastAsia="zh-CN"/>
                        </w:rPr>
                        <w:t>1</w:t>
                      </w:r>
                    </w:p>
                  </w:txbxContent>
                </v:textbox>
              </v:shape>
            </w:pict>
          </mc:Fallback>
        </mc:AlternateContent>
      </w:r>
      <w:r>
        <w:rPr>
          <w:rFonts w:ascii="Times New Roman" w:hAnsi="Times New Roman" w:cs="Times New Roman"/>
          <w:color w:val="auto"/>
        </w:rPr>
        <mc:AlternateContent>
          <mc:Choice Requires="wps">
            <w:drawing>
              <wp:anchor distT="0" distB="0" distL="114300" distR="114300" simplePos="0" relativeHeight="251674624" behindDoc="0" locked="0" layoutInCell="1" allowOverlap="1">
                <wp:simplePos x="0" y="0"/>
                <wp:positionH relativeFrom="column">
                  <wp:posOffset>3334385</wp:posOffset>
                </wp:positionH>
                <wp:positionV relativeFrom="paragraph">
                  <wp:posOffset>2226310</wp:posOffset>
                </wp:positionV>
                <wp:extent cx="215900" cy="184150"/>
                <wp:effectExtent l="15240" t="14605" r="16510" b="10795"/>
                <wp:wrapNone/>
                <wp:docPr id="165183073" name="自选图形 3220"/>
                <wp:cNvGraphicFramePr/>
                <a:graphic xmlns:a="http://schemas.openxmlformats.org/drawingml/2006/main">
                  <a:graphicData uri="http://schemas.microsoft.com/office/word/2010/wordprocessingShape">
                    <wps:wsp>
                      <wps:cNvSpPr>
                        <a:spLocks noChangeArrowheads="1"/>
                      </wps:cNvSpPr>
                      <wps:spPr bwMode="auto">
                        <a:xfrm>
                          <a:off x="0" y="0"/>
                          <a:ext cx="215900" cy="184150"/>
                        </a:xfrm>
                        <a:prstGeom prst="triangle">
                          <a:avLst>
                            <a:gd name="adj" fmla="val 50000"/>
                          </a:avLst>
                        </a:prstGeom>
                        <a:solidFill>
                          <a:srgbClr val="FFFF00"/>
                        </a:solidFill>
                        <a:ln w="3175">
                          <a:solidFill>
                            <a:srgbClr val="1F497D"/>
                          </a:solidFill>
                          <a:miter lim="800000"/>
                        </a:ln>
                      </wps:spPr>
                      <wps:bodyPr rot="0" vert="horz" wrap="square" lIns="91440" tIns="45720" rIns="91440" bIns="45720" anchor="t" anchorCtr="0" upright="1">
                        <a:noAutofit/>
                      </wps:bodyPr>
                    </wps:wsp>
                  </a:graphicData>
                </a:graphic>
              </wp:anchor>
            </w:drawing>
          </mc:Choice>
          <mc:Fallback>
            <w:pict>
              <v:shape id="自选图形 3220" o:spid="_x0000_s1026" o:spt="5" type="#_x0000_t5" style="position:absolute;left:0pt;margin-left:262.55pt;margin-top:175.3pt;height:14.5pt;width:17pt;z-index:251674624;mso-width-relative:page;mso-height-relative:page;" fillcolor="#FFFF00" filled="t" stroked="t" coordsize="21600,21600" o:gfxdata="UEsDBAoAAAAAAIdO4kAAAAAAAAAAAAAAAAAEAAAAZHJzL1BLAwQUAAAACACHTuJAB/x08NkAAAAL&#10;AQAADwAAAGRycy9kb3ducmV2LnhtbE2PwU7DMAyG70i8Q2QkbizpoIWVphMCwW1DbBPimDWhrUic&#10;Ksmy8faYExz9+9Pvz83y5CzLJsTRo4RiJoAZ7LwesZew2z5f3QGLSaFW1qOR8G0iLNvzs0bV2h/x&#10;zeRN6hmVYKyVhCGlqeY8doNxKs78ZJB2nz44lWgMPddBHancWT4XouJOjUgXBjWZx8F0X5uDkxDE&#10;OldPq49O3xSrB2HTa35/yVJeXhTiHlgyp/QHw68+qUNLTnt/QB2ZlVDOy4JQCdelqIARUZYLSvaU&#10;3C4q4G3D///Q/gBQSwMEFAAAAAgAh07iQGQ3VZxiAgAArwQAAA4AAABkcnMvZTJvRG9jLnhtbK1U&#10;zY7TMBC+I/EOlu80SX+23WjT1apVEdICKy08gOs4jcF/jN2my4kb4hm4ceQd4G1Wgrdg4rSlXS57&#10;IIdoJuP55ptvPLm43GpFNgK8tKagWS+lRBhuS2lWBX37ZvFsQokPzJRMWSMKeic8vZw+fXLRuFz0&#10;bW1VKYAgiPF54wpah+DyJPG8Fpr5nnXCYLCyoFlAF1ZJCaxBdK2SfpqeJY2F0oHlwnv8Ou+CdIcI&#10;jwG0VSW5mFu+1sKEDhWEYgFb8rV0nk4j26oSPLyuKi8CUQXFTkN8YxG0l+07mV6wfAXM1ZLvKLDH&#10;UHjQk2bSYNED1JwFRtYg/4HSkoP1tgo9bnXSNRIVwS6y9IE2tzVzIvaCUnt3EN3/P1j+anMDRJZ4&#10;E85G2WSQjgeUGKZx8L8+f//96cv915/3P76RQb8fxWqczzHn1t1A265315a/98TYWc3MSlwB2KYW&#10;rESKWStucpLQOh5TybJ5aUuswdbBRt22FegWEBUh2zieu8N4xDYQjh/72eg8xcFxDGWTYTaKjBKW&#10;75Md+PBcWE1ao6ABJHJSrYIsZ5trH+KEyl1/rHxHSaUVznvDFBml+ETKh8MIvYeMzVoly4VUKjqw&#10;Ws4UEEwt6AKfQ7I/PqYMaQo6yMajyOIk5o8hssXwfDzf1T85pmXAhVNSF3TSctyTVGYnb6toe+F9&#10;vrTlHaoLtrvnuOVo1BY+UtLgHS+o/7BmIChRLwxO6DwbDtuliM5wNMYREziOLI8jzHCEQlkp6cxZ&#10;6BZp7UCuaqyUxR6NvcKpVjLsx9+x2pHFe4zWyaIc+/HU3//M9A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H/HTw2QAAAAsBAAAPAAAAAAAAAAEAIAAAACIAAABkcnMvZG93bnJldi54bWxQSwECFAAU&#10;AAAACACHTuJAZDdVnGICAACvBAAADgAAAAAAAAABACAAAAAoAQAAZHJzL2Uyb0RvYy54bWxQSwUG&#10;AAAAAAYABgBZAQAA/AUAAAAA&#10;" adj="10800">
                <v:fill on="t" focussize="0,0"/>
                <v:stroke weight="0.25pt" color="#1F497D" miterlimit="8" joinstyle="miter"/>
                <v:imagedata o:title=""/>
                <o:lock v:ext="edit" aspectratio="f"/>
              </v:shape>
            </w:pict>
          </mc:Fallback>
        </mc:AlternateContent>
      </w:r>
      <w:r>
        <w:rPr>
          <w:rFonts w:ascii="Times New Roman" w:hAnsi="Times New Roman" w:cs="Times New Roman"/>
          <w:color w:val="auto"/>
        </w:rPr>
        <mc:AlternateContent>
          <mc:Choice Requires="wps">
            <w:drawing>
              <wp:anchor distT="0" distB="0" distL="114300" distR="114300" simplePos="0" relativeHeight="251710464" behindDoc="0" locked="0" layoutInCell="1" allowOverlap="1">
                <wp:simplePos x="0" y="0"/>
                <wp:positionH relativeFrom="column">
                  <wp:posOffset>50800</wp:posOffset>
                </wp:positionH>
                <wp:positionV relativeFrom="paragraph">
                  <wp:posOffset>2915920</wp:posOffset>
                </wp:positionV>
                <wp:extent cx="1354455" cy="687705"/>
                <wp:effectExtent l="12700" t="11430" r="13970" b="5715"/>
                <wp:wrapNone/>
                <wp:docPr id="2102176673" name="文本框 3206"/>
                <wp:cNvGraphicFramePr/>
                <a:graphic xmlns:a="http://schemas.openxmlformats.org/drawingml/2006/main">
                  <a:graphicData uri="http://schemas.microsoft.com/office/word/2010/wordprocessingShape">
                    <wps:wsp>
                      <wps:cNvSpPr txBox="1">
                        <a:spLocks noChangeArrowheads="1"/>
                      </wps:cNvSpPr>
                      <wps:spPr bwMode="auto">
                        <a:xfrm>
                          <a:off x="0" y="0"/>
                          <a:ext cx="1354455" cy="687705"/>
                        </a:xfrm>
                        <a:prstGeom prst="rect">
                          <a:avLst/>
                        </a:prstGeom>
                        <a:solidFill>
                          <a:srgbClr val="FFFFFF"/>
                        </a:solidFill>
                        <a:ln w="3175">
                          <a:solidFill>
                            <a:srgbClr val="000000"/>
                          </a:solidFill>
                          <a:miter lim="800000"/>
                        </a:ln>
                      </wps:spPr>
                      <wps:txbx>
                        <w:txbxContent>
                          <w:p w14:paraId="4E4438B2">
                            <w:pPr>
                              <w:ind w:firstLine="420"/>
                              <w:jc w:val="center"/>
                              <w:rPr>
                                <w:sz w:val="21"/>
                                <w:szCs w:val="18"/>
                                <w:lang w:eastAsia="zh-CN"/>
                              </w:rPr>
                            </w:pPr>
                            <w:r>
                              <w:rPr>
                                <w:rFonts w:hint="eastAsia"/>
                                <w:sz w:val="21"/>
                                <w:szCs w:val="18"/>
                                <w:lang w:eastAsia="zh-CN"/>
                              </w:rPr>
                              <w:t>图例</w:t>
                            </w:r>
                          </w:p>
                          <w:p w14:paraId="2A3FDF54">
                            <w:pPr>
                              <w:ind w:firstLine="420"/>
                              <w:jc w:val="center"/>
                              <w:rPr>
                                <w:sz w:val="21"/>
                                <w:szCs w:val="18"/>
                                <w:lang w:eastAsia="zh-CN"/>
                              </w:rPr>
                            </w:pPr>
                            <w:r>
                              <w:rPr>
                                <w:rFonts w:hint="eastAsia"/>
                                <w:sz w:val="21"/>
                                <w:szCs w:val="18"/>
                                <w:lang w:eastAsia="zh-CN"/>
                              </w:rPr>
                              <w:t>项目地</w:t>
                            </w:r>
                          </w:p>
                          <w:p w14:paraId="6F676B1C">
                            <w:pPr>
                              <w:ind w:firstLine="360"/>
                              <w:jc w:val="center"/>
                              <w:rPr>
                                <w:sz w:val="21"/>
                                <w:szCs w:val="18"/>
                                <w:lang w:eastAsia="zh-CN"/>
                              </w:rPr>
                            </w:pPr>
                            <w:r>
                              <w:rPr>
                                <w:rFonts w:hint="eastAsia"/>
                                <w:sz w:val="18"/>
                                <w:szCs w:val="15"/>
                                <w:lang w:eastAsia="zh-CN"/>
                              </w:rPr>
                              <w:t xml:space="preserve"> 监测点位</w:t>
                            </w:r>
                          </w:p>
                        </w:txbxContent>
                      </wps:txbx>
                      <wps:bodyPr rot="0" vert="horz" wrap="square" lIns="91440" tIns="45720" rIns="91440" bIns="45720" anchor="t" anchorCtr="0" upright="1">
                        <a:noAutofit/>
                      </wps:bodyPr>
                    </wps:wsp>
                  </a:graphicData>
                </a:graphic>
              </wp:anchor>
            </w:drawing>
          </mc:Choice>
          <mc:Fallback>
            <w:pict>
              <v:shape id="文本框 3206" o:spid="_x0000_s1026" o:spt="202" type="#_x0000_t202" style="position:absolute;left:0pt;margin-left:4pt;margin-top:229.6pt;height:54.15pt;width:106.65pt;z-index:251710464;mso-width-relative:page;mso-height-relative:page;" fillcolor="#FFFFFF" filled="t" stroked="t" coordsize="21600,21600" o:gfxdata="UEsDBAoAAAAAAIdO4kAAAAAAAAAAAAAAAAAEAAAAZHJzL1BLAwQUAAAACACHTuJA4ANoKdcAAAAJ&#10;AQAADwAAAGRycy9kb3ducmV2LnhtbE2PwU7DMBBE70j8g7VIXBC1Y0hbQpwKIcENpLZ8wDY2SdTs&#10;OordJvw95kSPoxnNvCk3M/Xi7MbQeTaQLRQIx7W3HTcGvvZv92sQISJb7D07Az8uwKa6viqxsH7i&#10;rTvvYiNSCYcCDbQxDoWUoW4dYVj4wXHyvv1IGJMcG2lHnFI59VIrtZSEHaeFFgf32rr6uDuRgQ9k&#10;nIm2L3c+0idN+vi+2itjbm8y9Qwiujn+h+EPP6FDlZgO/sQ2iN7AOj2JBh7zJw0i+VpnDyAOBvLl&#10;KgdZlfLyQfULUEsDBBQAAAAIAIdO4kAeY/FoSgIAAJMEAAAOAAAAZHJzL2Uyb0RvYy54bWytVM1u&#10;1DAQviPxDpbvNMn+EzVblVZFSOVHKjyA13E2FrbH2N5NygPQN+DEhTvP1edg7KRlKSD1gA+WJzPz&#10;zcw3Mzk+6bUie+G8BFPR4iinRBgOtTTbin54f/FsRYkPzNRMgREVvRaenqyfPjnubCkm0IKqhSMI&#10;YnzZ2Yq2IdgyyzxvhWb+CKwwqGzAaRZQdNusdqxDdK2ySZ4vsg5cbR1w4T1+PR+UdER0jwGEppFc&#10;nAPfaWHCgOqEYgFL8q20nq5Ttk0jeHjbNF4EoiqKlYZ0YxB8b+KdrY9ZuXXMtpKPKbDHpPCgJs2k&#10;waD3UOcsMLJz8g8oLbkDD0044qCzoZDECFZR5A+4uWqZFakWpNrbe9L9/4Plb/bvHJF1RSdFPimW&#10;i8VySolhGjt/+/Xm9tuP2+9fyHSSLyJVnfUlelxZ9An9C+hxgFLZ3l4C/+iJgbOWma04dQ66VrAa&#10;Uy2iZ3bgOuD4CLLpXkONodguQALqG6cjj8gMQXRs0/V9m0QfCI8hp/PZbD6nhKNusVou83kKwco7&#10;b+t8eClAk/ioqMMxSOhsf+lDzIaVdyYxmAcl6wupVBLcdnOmHNkzHJmLdEb038yUIV1Fp8VyPhDw&#10;T4g8nb9BaBlwk5TUFV0dGikz8hUpGsgK/aYf+d9AfY3MORhmGTcZHy24z5R0OMcV9Z92zAlK1CuD&#10;7D8vZrM4+EmYzZcTFNyhZnOoYYYjVEUDJcPzLAzLsrNObluMNPTbwCl2rJGJzNjaIasxb5zVxPG4&#10;V3EZDuVk9etfsv4J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4ANoKdcAAAAJAQAADwAAAAAAAAAB&#10;ACAAAAAiAAAAZHJzL2Rvd25yZXYueG1sUEsBAhQAFAAAAAgAh07iQB5j8WhKAgAAkwQAAA4AAAAA&#10;AAAAAQAgAAAAJgEAAGRycy9lMm9Eb2MueG1sUEsFBgAAAAAGAAYAWQEAAOIFAAAAAA==&#10;">
                <v:fill on="t" focussize="0,0"/>
                <v:stroke weight="0.25pt" color="#000000" miterlimit="8" joinstyle="miter"/>
                <v:imagedata o:title=""/>
                <o:lock v:ext="edit" aspectratio="f"/>
                <v:textbox>
                  <w:txbxContent>
                    <w:p w14:paraId="4E4438B2">
                      <w:pPr>
                        <w:ind w:firstLine="420"/>
                        <w:jc w:val="center"/>
                        <w:rPr>
                          <w:sz w:val="21"/>
                          <w:szCs w:val="18"/>
                          <w:lang w:eastAsia="zh-CN"/>
                        </w:rPr>
                      </w:pPr>
                      <w:r>
                        <w:rPr>
                          <w:rFonts w:hint="eastAsia"/>
                          <w:sz w:val="21"/>
                          <w:szCs w:val="18"/>
                          <w:lang w:eastAsia="zh-CN"/>
                        </w:rPr>
                        <w:t>图例</w:t>
                      </w:r>
                    </w:p>
                    <w:p w14:paraId="2A3FDF54">
                      <w:pPr>
                        <w:ind w:firstLine="420"/>
                        <w:jc w:val="center"/>
                        <w:rPr>
                          <w:sz w:val="21"/>
                          <w:szCs w:val="18"/>
                          <w:lang w:eastAsia="zh-CN"/>
                        </w:rPr>
                      </w:pPr>
                      <w:r>
                        <w:rPr>
                          <w:rFonts w:hint="eastAsia"/>
                          <w:sz w:val="21"/>
                          <w:szCs w:val="18"/>
                          <w:lang w:eastAsia="zh-CN"/>
                        </w:rPr>
                        <w:t>项目地</w:t>
                      </w:r>
                    </w:p>
                    <w:p w14:paraId="6F676B1C">
                      <w:pPr>
                        <w:ind w:firstLine="360"/>
                        <w:jc w:val="center"/>
                        <w:rPr>
                          <w:sz w:val="21"/>
                          <w:szCs w:val="18"/>
                          <w:lang w:eastAsia="zh-CN"/>
                        </w:rPr>
                      </w:pPr>
                      <w:r>
                        <w:rPr>
                          <w:rFonts w:hint="eastAsia"/>
                          <w:sz w:val="18"/>
                          <w:szCs w:val="15"/>
                          <w:lang w:eastAsia="zh-CN"/>
                        </w:rPr>
                        <w:t xml:space="preserve"> 监测点位</w:t>
                      </w:r>
                    </w:p>
                  </w:txbxContent>
                </v:textbox>
              </v:shape>
            </w:pict>
          </mc:Fallback>
        </mc:AlternateContent>
      </w:r>
      <w:r>
        <w:rPr>
          <w:rFonts w:ascii="Times New Roman" w:hAnsi="Times New Roman" w:cs="Times New Roman"/>
          <w:color w:val="auto"/>
        </w:rPr>
        <mc:AlternateContent>
          <mc:Choice Requires="wps">
            <w:drawing>
              <wp:anchor distT="0" distB="0" distL="114300" distR="114300" simplePos="0" relativeHeight="251711488" behindDoc="0" locked="0" layoutInCell="1" allowOverlap="1">
                <wp:simplePos x="0" y="0"/>
                <wp:positionH relativeFrom="column">
                  <wp:posOffset>231140</wp:posOffset>
                </wp:positionH>
                <wp:positionV relativeFrom="paragraph">
                  <wp:posOffset>3194050</wp:posOffset>
                </wp:positionV>
                <wp:extent cx="107950" cy="114300"/>
                <wp:effectExtent l="12065" t="13335" r="13335" b="5715"/>
                <wp:wrapNone/>
                <wp:docPr id="935254814" name="矩形 3208"/>
                <wp:cNvGraphicFramePr/>
                <a:graphic xmlns:a="http://schemas.openxmlformats.org/drawingml/2006/main">
                  <a:graphicData uri="http://schemas.microsoft.com/office/word/2010/wordprocessingShape">
                    <wps:wsp>
                      <wps:cNvSpPr>
                        <a:spLocks noChangeArrowheads="1"/>
                      </wps:cNvSpPr>
                      <wps:spPr bwMode="auto">
                        <a:xfrm>
                          <a:off x="0" y="0"/>
                          <a:ext cx="107950" cy="114300"/>
                        </a:xfrm>
                        <a:prstGeom prst="rect">
                          <a:avLst/>
                        </a:prstGeom>
                        <a:noFill/>
                        <a:ln w="9525">
                          <a:solidFill>
                            <a:srgbClr val="FF0000"/>
                          </a:solidFill>
                          <a:miter lim="800000"/>
                        </a:ln>
                      </wps:spPr>
                      <wps:bodyPr rot="0" vert="horz" wrap="square" lIns="91440" tIns="45720" rIns="91440" bIns="45720" anchor="t" anchorCtr="0" upright="1">
                        <a:noAutofit/>
                      </wps:bodyPr>
                    </wps:wsp>
                  </a:graphicData>
                </a:graphic>
              </wp:anchor>
            </w:drawing>
          </mc:Choice>
          <mc:Fallback>
            <w:pict>
              <v:rect id="矩形 3208" o:spid="_x0000_s1026" o:spt="1" style="position:absolute;left:0pt;margin-left:18.2pt;margin-top:251.5pt;height:9pt;width:8.5pt;z-index:251711488;mso-width-relative:page;mso-height-relative:page;" filled="f" stroked="t" coordsize="21600,21600" o:gfxdata="UEsDBAoAAAAAAIdO4kAAAAAAAAAAAAAAAAAEAAAAZHJzL1BLAwQUAAAACACHTuJAWfr/q9kAAAAJ&#10;AQAADwAAAGRycy9kb3ducmV2LnhtbE2PMU/DMBCFdyT+g3VILIjaaWiFQpwOSFChDqgtA6MTX+OI&#10;+BzFblL+PccE0+nuPb37Xrm5+F5MOMYukIZsoUAgNcF21Gr4OL7cP4KIyZA1fSDU8I0RNtX1VWkK&#10;G2ba43RIreAQioXR4FIaCilj49CbuAgDEmunMHqTeB1baUczc7jv5VKptfSmI/7gzIDPDpuvw9lr&#10;iO+vn7vj/m1qu+1udtsOT0N9p/XtTaaeQCS8pD8z/OIzOlTMVIcz2Sh6Dfn6gZ0aVirnTmxY5Xyo&#10;eS4zBbIq5f8G1Q9QSwMEFAAAAAgAh07iQJLJIXs6AgAAUAQAAA4AAABkcnMvZTJvRG9jLnhtbK1U&#10;wW4TMRC9I/EPlu90d9OEpqtuqqpVEFKBSoUPcLzerIXtMWMnm/IzSNz6EXwO4jcYe9MSyqUH9mB5&#10;POM3896M9+x8Zw3bKgwaXMOro5Iz5SS02q0b/unj8tWcsxCFa4UBpxp+pwI/X7x8cTb4Wk2gB9Mq&#10;ZATiQj34hvcx+rooguyVFeEIvHLk7ACtiGTiumhRDIRuTTEpy9fFANh6BKlCoNOr0cn3iPgcQOg6&#10;LdUVyI1VLo6oqIyIRCn02ge+yNV2nZLxQ9cFFZlpODGNeaUktF+ltViciXqNwvda7ksQzynhCScr&#10;tKOkj1BXIgq2Qf0PlNUSIUAXjyTYYiSSFSEWVflEm9teeJW5kNTBP4oe/h+sfL+9Qabbhp8ezyaz&#10;6byacuaEpcb/+nb/88d3djwp50mmwYeaom/9DSaiwV+D/ByYg8teuLW6QIShV6Kl4qoUX/x1IRmB&#10;rrLV8A5aQhebCFmxXYc2AZIWbJcbc/fYGLWLTNJhVZ6czqhlklxVNT0uc+MKUT9c9hjiGwWWpU3D&#10;kfqewcX2OsRUjKgfQlIuB0ttTO69cWwg8sQ9XwhgdJucmSOuV5cG2VbQ9CyXJX2ZGbE/DLM60osw&#10;2jZ8nmIegozbq5CIjwKuoL0jERDGQaRnSJse8CtnAw1hw8OXjUDFmXnrSMjTajpNU5uN6exkQgYe&#10;elaHHuEkQTU8cjZuL+M46RuPet1TpipzdHBB4nc6C5MaM1a1L5YGLeu1fxRpkg/tHPXnR7D4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Fn6/6vZAAAACQEAAA8AAAAAAAAAAQAgAAAAIgAAAGRycy9k&#10;b3ducmV2LnhtbFBLAQIUABQAAAAIAIdO4kCSySF7OgIAAFAEAAAOAAAAAAAAAAEAIAAAACgBAABk&#10;cnMvZTJvRG9jLnhtbFBLBQYAAAAABgAGAFkBAADUBQAAAAA=&#10;">
                <v:fill on="f" focussize="0,0"/>
                <v:stroke color="#FF0000" miterlimit="8" joinstyle="miter"/>
                <v:imagedata o:title=""/>
                <o:lock v:ext="edit" aspectratio="f"/>
              </v:rect>
            </w:pict>
          </mc:Fallback>
        </mc:AlternateContent>
      </w:r>
      <w:r>
        <w:rPr>
          <w:rFonts w:ascii="Times New Roman" w:hAnsi="Times New Roman" w:cs="Times New Roman"/>
          <w:color w:val="auto"/>
        </w:rPr>
        <mc:AlternateContent>
          <mc:Choice Requires="wps">
            <w:drawing>
              <wp:anchor distT="0" distB="0" distL="114300" distR="114300" simplePos="0" relativeHeight="251712512" behindDoc="0" locked="0" layoutInCell="1" allowOverlap="1">
                <wp:simplePos x="0" y="0"/>
                <wp:positionH relativeFrom="column">
                  <wp:posOffset>173355</wp:posOffset>
                </wp:positionH>
                <wp:positionV relativeFrom="paragraph">
                  <wp:posOffset>3373755</wp:posOffset>
                </wp:positionV>
                <wp:extent cx="215900" cy="184150"/>
                <wp:effectExtent l="20955" t="21590" r="20320" b="13335"/>
                <wp:wrapNone/>
                <wp:docPr id="828633216" name="自选图形 3220"/>
                <wp:cNvGraphicFramePr/>
                <a:graphic xmlns:a="http://schemas.openxmlformats.org/drawingml/2006/main">
                  <a:graphicData uri="http://schemas.microsoft.com/office/word/2010/wordprocessingShape">
                    <wps:wsp>
                      <wps:cNvSpPr>
                        <a:spLocks noChangeArrowheads="1"/>
                      </wps:cNvSpPr>
                      <wps:spPr bwMode="auto">
                        <a:xfrm>
                          <a:off x="0" y="0"/>
                          <a:ext cx="215900" cy="184150"/>
                        </a:xfrm>
                        <a:prstGeom prst="triangle">
                          <a:avLst>
                            <a:gd name="adj" fmla="val 50000"/>
                          </a:avLst>
                        </a:prstGeom>
                        <a:solidFill>
                          <a:srgbClr val="FFFF00"/>
                        </a:solidFill>
                        <a:ln w="3175">
                          <a:solidFill>
                            <a:srgbClr val="1F497D"/>
                          </a:solidFill>
                          <a:miter lim="800000"/>
                        </a:ln>
                      </wps:spPr>
                      <wps:bodyPr rot="0" vert="horz" wrap="square" lIns="91440" tIns="45720" rIns="91440" bIns="45720" anchor="t" anchorCtr="0" upright="1">
                        <a:noAutofit/>
                      </wps:bodyPr>
                    </wps:wsp>
                  </a:graphicData>
                </a:graphic>
              </wp:anchor>
            </w:drawing>
          </mc:Choice>
          <mc:Fallback>
            <w:pict>
              <v:shape id="自选图形 3220" o:spid="_x0000_s1026" o:spt="5" type="#_x0000_t5" style="position:absolute;left:0pt;margin-left:13.65pt;margin-top:265.65pt;height:14.5pt;width:17pt;z-index:251712512;mso-width-relative:page;mso-height-relative:page;" fillcolor="#FFFF00" filled="t" stroked="t" coordsize="21600,21600" o:gfxdata="UEsDBAoAAAAAAIdO4kAAAAAAAAAAAAAAAAAEAAAAZHJzL1BLAwQUAAAACACHTuJArguLntYAAAAJ&#10;AQAADwAAAGRycy9kb3ducmV2LnhtbE2PzU7DMBCE70i8g7VI3KidBgIKcSoEgltBFIQ4uvGSRNjr&#10;KHbd8vZsT3Dav9HMt83q4J3IOMcxkIZioUAgdcGO1Gt4f3u8uAERkyFrXCDU8IMRVu3pSWNqG/b0&#10;inmTesEmFGujYUhpqqWM3YDexEWYkPj2FWZvEo9zL+1s9mzunVwqVUlvRuKEwUx4P2D3vdl5DbN6&#10;ztXD+rOzl8X6Trn0kj+estbnZ4W6BZHwkP7EcMRndGiZaRt2ZKNwGpbXJSs1XJUFNyyojnXLi0qV&#10;INtG/v+g/QVQSwMEFAAAAAgAh07iQHp26xxiAgAArwQAAA4AAABkcnMvZTJvRG9jLnhtbK1UzY7T&#10;MBC+I/EOlu9smrTdbaOmq1WrIqQFVlp4ANdxGoP/GLtNlxM3xDNw48g7wNusBG/BxGlLu1z2QA7R&#10;OOP55pvvszO53GpFNgK8tKag6VmPEmG4LaVZFfTtm8WzESU+MFMyZY0o6J3w9HL69MmkcbnIbG1V&#10;KYAgiPF54wpah+DyJPG8Fpr5M+uEwWRlQbOAS1glJbAG0bVKsl7vPGkslA4sF97j13mXpDtEeAyg&#10;rSrJxdzytRYmdKggFAs4kq+l83Qa2VaV4OF1VXkRiCooThriG5tgvGzfyXTC8hUwV0u+o8AeQ+HB&#10;TJpJg00PUHMWGFmD/AdKSw7W2yqccauTbpCoCE6R9h5oc1szJ+IsKLV3B9H9/4PlrzY3QGRZ0FE2&#10;Ou/3s/ScEsM0Gv/r8/ffn77cf/15/+Mb6WdZFKtxPseaW3cD7bjeXVv+3hNjZzUzK3EFYJtasBIp&#10;pq24yUlBu/BYSpbNS1tiD7YONuq2rUC3gKgI2UZ77g72iG0gHD9m6XDcQ+M4ptLRIB1GRgnL98UO&#10;fHgurCZtUNAAEjmpVkGWs821D9GhcjcfK99RUmmFfm+YIsMePpHyYTNC7yHjsFbJciGVigtYLWcK&#10;CJYWdIHPodgfb1OGNAXtpxfDyOIk548h0sVgfDHf9T/ZpmXAC6ekRo9ajnuSyuzkbRVtD7zPl7a8&#10;Q3XBduccbzkGtYWPlDR4xgvqP6wZCErUC4MOjdPBoL0UcTEYXqDFBI4zy+MMMxyhUFZKunAWuou0&#10;diBXNXZK44zGXqGrlQx7+ztWO7J4jjE6uSjH67jr739m+g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uC4ue1gAAAAkBAAAPAAAAAAAAAAEAIAAAACIAAABkcnMvZG93bnJldi54bWxQSwECFAAUAAAA&#10;CACHTuJAenbrHGICAACvBAAADgAAAAAAAAABACAAAAAlAQAAZHJzL2Uyb0RvYy54bWxQSwUGAAAA&#10;AAYABgBZAQAA+QUAAAAA&#10;" adj="10800">
                <v:fill on="t" focussize="0,0"/>
                <v:stroke weight="0.25pt" color="#1F497D" miterlimit="8" joinstyle="miter"/>
                <v:imagedata o:title=""/>
                <o:lock v:ext="edit" aspectratio="f"/>
              </v:shape>
            </w:pict>
          </mc:Fallback>
        </mc:AlternateContent>
      </w:r>
      <w:r>
        <w:rPr>
          <w:rFonts w:ascii="Times New Roman" w:hAnsi="Times New Roman" w:cs="Times New Roman"/>
          <w:color w:val="auto"/>
        </w:rPr>
        <w:drawing>
          <wp:anchor distT="0" distB="0" distL="114300" distR="114300" simplePos="0" relativeHeight="251709440" behindDoc="0" locked="0" layoutInCell="1" allowOverlap="1">
            <wp:simplePos x="0" y="0"/>
            <wp:positionH relativeFrom="column">
              <wp:posOffset>5309235</wp:posOffset>
            </wp:positionH>
            <wp:positionV relativeFrom="paragraph">
              <wp:posOffset>12700</wp:posOffset>
            </wp:positionV>
            <wp:extent cx="875030" cy="661670"/>
            <wp:effectExtent l="0" t="0" r="0" b="0"/>
            <wp:wrapNone/>
            <wp:docPr id="1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5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875030" cy="661670"/>
                    </a:xfrm>
                    <a:prstGeom prst="rect">
                      <a:avLst/>
                    </a:prstGeom>
                    <a:noFill/>
                    <a:ln>
                      <a:noFill/>
                    </a:ln>
                  </pic:spPr>
                </pic:pic>
              </a:graphicData>
            </a:graphic>
          </wp:anchor>
        </w:drawing>
      </w:r>
      <w:r>
        <w:rPr>
          <w:snapToGrid/>
        </w:rPr>
        <w:drawing>
          <wp:inline distT="0" distB="0" distL="0" distR="0">
            <wp:extent cx="6188710" cy="5062855"/>
            <wp:effectExtent l="0" t="0" r="2540" b="4445"/>
            <wp:docPr id="8281362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136267" name="图片 1"/>
                    <pic:cNvPicPr>
                      <a:picLocks noChangeAspect="1"/>
                    </pic:cNvPicPr>
                  </pic:nvPicPr>
                  <pic:blipFill>
                    <a:blip r:embed="rId71"/>
                    <a:stretch>
                      <a:fillRect/>
                    </a:stretch>
                  </pic:blipFill>
                  <pic:spPr>
                    <a:xfrm>
                      <a:off x="0" y="0"/>
                      <a:ext cx="6188710" cy="5062855"/>
                    </a:xfrm>
                    <a:prstGeom prst="rect">
                      <a:avLst/>
                    </a:prstGeom>
                  </pic:spPr>
                </pic:pic>
              </a:graphicData>
            </a:graphic>
          </wp:inline>
        </w:drawing>
      </w:r>
    </w:p>
    <w:bookmarkEnd w:id="1233"/>
    <w:bookmarkEnd w:id="1234"/>
    <w:p w14:paraId="1C78CB8A">
      <w:pPr>
        <w:widowControl w:val="0"/>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图5.2-3 声环境监测点位图</w:t>
      </w:r>
    </w:p>
    <w:p w14:paraId="61253CC8">
      <w:pPr>
        <w:spacing w:line="360" w:lineRule="auto"/>
        <w:ind w:left="48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（2）</w:t>
      </w:r>
      <w:r>
        <w:rPr>
          <w:rFonts w:ascii="Times New Roman" w:hAnsi="Times New Roman" w:cs="Times New Roman"/>
          <w:color w:val="auto"/>
          <w:szCs w:val="24"/>
          <w:lang w:eastAsia="zh-CN"/>
        </w:rPr>
        <w:t>监测频次</w:t>
      </w:r>
    </w:p>
    <w:p w14:paraId="6C99A1B7">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监测 2天，各测点昼间和夜间测量一次。</w:t>
      </w:r>
    </w:p>
    <w:p w14:paraId="5CDDDA3F">
      <w:pPr>
        <w:spacing w:line="360" w:lineRule="auto"/>
        <w:ind w:firstLine="480" w:firstLineChars="200"/>
        <w:jc w:val="both"/>
        <w:rPr>
          <w:rFonts w:ascii="Times New Roman" w:hAnsi="Times New Roman" w:cs="Times New Roman"/>
          <w:color w:val="auto"/>
          <w:szCs w:val="24"/>
          <w:lang w:eastAsia="zh-CN"/>
        </w:rPr>
      </w:pPr>
      <w:bookmarkStart w:id="1235" w:name="_Toc11086"/>
      <w:bookmarkStart w:id="1236" w:name="_Toc21598"/>
      <w:r>
        <w:rPr>
          <w:rFonts w:hint="eastAsia" w:ascii="Times New Roman" w:hAnsi="Times New Roman" w:cs="Times New Roman"/>
          <w:color w:val="auto"/>
          <w:szCs w:val="24"/>
          <w:lang w:eastAsia="zh-CN"/>
        </w:rPr>
        <w:t>（3）</w:t>
      </w:r>
      <w:r>
        <w:rPr>
          <w:rFonts w:ascii="Times New Roman" w:hAnsi="Times New Roman" w:cs="Times New Roman"/>
          <w:color w:val="auto"/>
          <w:szCs w:val="24"/>
          <w:lang w:eastAsia="zh-CN"/>
        </w:rPr>
        <w:t>监测方法</w:t>
      </w:r>
      <w:bookmarkEnd w:id="1235"/>
      <w:bookmarkEnd w:id="1236"/>
    </w:p>
    <w:p w14:paraId="460A8AF6">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声环境质量现状监测依据《声环境质量标准》（GB3096-2008）中相关要求进行。</w:t>
      </w:r>
    </w:p>
    <w:p w14:paraId="1D81E4AC">
      <w:pPr>
        <w:spacing w:line="360" w:lineRule="auto"/>
        <w:ind w:firstLine="480" w:firstLineChars="200"/>
        <w:jc w:val="both"/>
        <w:rPr>
          <w:rFonts w:ascii="Times New Roman" w:hAnsi="Times New Roman" w:cs="Times New Roman"/>
          <w:color w:val="auto"/>
          <w:szCs w:val="24"/>
          <w:lang w:eastAsia="zh-CN"/>
        </w:rPr>
      </w:pPr>
      <w:bookmarkStart w:id="1237" w:name="_Toc3723"/>
      <w:bookmarkStart w:id="1238" w:name="_Toc7116"/>
      <w:r>
        <w:rPr>
          <w:rFonts w:ascii="Times New Roman" w:hAnsi="Times New Roman" w:cs="Times New Roman"/>
          <w:color w:val="auto"/>
          <w:szCs w:val="24"/>
          <w:lang w:eastAsia="zh-CN"/>
        </w:rPr>
        <w:t>（</w:t>
      </w:r>
      <w:r>
        <w:rPr>
          <w:rFonts w:hint="eastAsia" w:ascii="Times New Roman" w:hAnsi="Times New Roman" w:cs="Times New Roman"/>
          <w:color w:val="auto"/>
          <w:szCs w:val="24"/>
          <w:lang w:eastAsia="zh-CN"/>
        </w:rPr>
        <w:t>4</w:t>
      </w:r>
      <w:r>
        <w:rPr>
          <w:rFonts w:ascii="Times New Roman" w:hAnsi="Times New Roman" w:cs="Times New Roman"/>
          <w:color w:val="auto"/>
          <w:szCs w:val="24"/>
          <w:lang w:eastAsia="zh-CN"/>
        </w:rPr>
        <w:t>）监测项目</w:t>
      </w:r>
      <w:bookmarkEnd w:id="1237"/>
      <w:bookmarkEnd w:id="1238"/>
    </w:p>
    <w:p w14:paraId="1B2E6424">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监测项目为连续等效 A 声级 Laeq。</w:t>
      </w:r>
    </w:p>
    <w:p w14:paraId="5DC481C2">
      <w:pPr>
        <w:spacing w:line="360" w:lineRule="auto"/>
        <w:ind w:firstLine="482"/>
        <w:jc w:val="both"/>
        <w:outlineLvl w:val="3"/>
        <w:rPr>
          <w:rFonts w:ascii="Times New Roman" w:hAnsi="Times New Roman" w:cs="Times New Roman"/>
          <w:b/>
          <w:bCs/>
          <w:color w:val="auto"/>
          <w:szCs w:val="24"/>
          <w:lang w:eastAsia="zh-CN"/>
        </w:rPr>
      </w:pPr>
      <w:bookmarkStart w:id="1239" w:name="_Toc24354"/>
      <w:bookmarkStart w:id="1240" w:name="_Toc24612"/>
      <w:r>
        <w:rPr>
          <w:rFonts w:ascii="Times New Roman" w:hAnsi="Times New Roman" w:cs="Times New Roman"/>
          <w:b/>
          <w:bCs/>
          <w:color w:val="auto"/>
          <w:szCs w:val="24"/>
          <w:lang w:eastAsia="zh-CN"/>
        </w:rPr>
        <w:t>5.2.3.2 现状评价</w:t>
      </w:r>
      <w:bookmarkEnd w:id="1239"/>
      <w:bookmarkEnd w:id="1240"/>
    </w:p>
    <w:p w14:paraId="56B2D0A8">
      <w:pPr>
        <w:spacing w:line="360" w:lineRule="auto"/>
        <w:ind w:firstLine="480" w:firstLineChars="200"/>
        <w:jc w:val="both"/>
        <w:rPr>
          <w:rFonts w:ascii="Times New Roman" w:hAnsi="Times New Roman" w:cs="Times New Roman"/>
          <w:color w:val="auto"/>
          <w:szCs w:val="24"/>
          <w:lang w:eastAsia="zh-CN"/>
        </w:rPr>
      </w:pPr>
      <w:bookmarkStart w:id="1241" w:name="_Toc27416"/>
      <w:bookmarkStart w:id="1242" w:name="_Toc31159"/>
      <w:r>
        <w:rPr>
          <w:rFonts w:ascii="Times New Roman" w:hAnsi="Times New Roman" w:cs="Times New Roman"/>
          <w:color w:val="auto"/>
          <w:szCs w:val="24"/>
          <w:lang w:eastAsia="zh-CN"/>
        </w:rPr>
        <w:t>（1）评价标准</w:t>
      </w:r>
      <w:bookmarkEnd w:id="1241"/>
      <w:bookmarkEnd w:id="1242"/>
    </w:p>
    <w:p w14:paraId="24FBAD6D">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区域声环境执行《声环境质量标准》（GB3096-2008）3 类标准，即昼间 65dB（A），夜间 55dB（A）。</w:t>
      </w:r>
    </w:p>
    <w:p w14:paraId="6638F3C1">
      <w:pPr>
        <w:spacing w:line="360" w:lineRule="auto"/>
        <w:ind w:firstLine="480" w:firstLineChars="200"/>
        <w:jc w:val="both"/>
        <w:rPr>
          <w:rFonts w:ascii="Times New Roman" w:hAnsi="Times New Roman" w:cs="Times New Roman"/>
          <w:color w:val="auto"/>
          <w:szCs w:val="24"/>
          <w:lang w:eastAsia="zh-CN"/>
        </w:rPr>
      </w:pPr>
      <w:bookmarkStart w:id="1243" w:name="_Toc13809"/>
      <w:bookmarkStart w:id="1244" w:name="_Toc10210"/>
      <w:r>
        <w:rPr>
          <w:rFonts w:hint="eastAsia" w:ascii="Times New Roman" w:hAnsi="Times New Roman" w:cs="Times New Roman"/>
          <w:color w:val="auto"/>
          <w:szCs w:val="24"/>
          <w:lang w:eastAsia="zh-CN"/>
        </w:rPr>
        <w:t>（2）</w:t>
      </w:r>
      <w:r>
        <w:rPr>
          <w:rFonts w:ascii="Times New Roman" w:hAnsi="Times New Roman" w:cs="Times New Roman"/>
          <w:color w:val="auto"/>
          <w:szCs w:val="24"/>
          <w:lang w:eastAsia="zh-CN"/>
        </w:rPr>
        <w:t>评价方法</w:t>
      </w:r>
      <w:bookmarkEnd w:id="1243"/>
      <w:bookmarkEnd w:id="1244"/>
    </w:p>
    <w:p w14:paraId="31EC260E">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本次声环境质量现状评价采用比标法，即将各监测点昼夜等效连续 A 声级监测结果与评价标准作对比比较，低于评价标准限值即为达标。</w:t>
      </w:r>
    </w:p>
    <w:p w14:paraId="4B7CB2FD">
      <w:pPr>
        <w:spacing w:line="360" w:lineRule="auto"/>
        <w:ind w:firstLine="480" w:firstLineChars="200"/>
        <w:jc w:val="both"/>
        <w:rPr>
          <w:rFonts w:ascii="Times New Roman" w:hAnsi="Times New Roman" w:cs="Times New Roman"/>
          <w:color w:val="auto"/>
          <w:szCs w:val="24"/>
          <w:lang w:eastAsia="zh-CN"/>
        </w:rPr>
      </w:pPr>
      <w:bookmarkStart w:id="1245" w:name="_Toc24721"/>
      <w:bookmarkStart w:id="1246" w:name="_Toc4469"/>
      <w:r>
        <w:rPr>
          <w:rFonts w:hint="eastAsia" w:ascii="Times New Roman" w:hAnsi="Times New Roman" w:cs="Times New Roman"/>
          <w:color w:val="auto"/>
          <w:szCs w:val="24"/>
          <w:lang w:eastAsia="zh-CN"/>
        </w:rPr>
        <w:t>（3）</w:t>
      </w:r>
      <w:r>
        <w:rPr>
          <w:rFonts w:ascii="Times New Roman" w:hAnsi="Times New Roman" w:cs="Times New Roman"/>
          <w:color w:val="auto"/>
          <w:szCs w:val="24"/>
          <w:lang w:eastAsia="zh-CN"/>
        </w:rPr>
        <w:t>监测结果与评价分析结果</w:t>
      </w:r>
      <w:bookmarkEnd w:id="1245"/>
      <w:bookmarkEnd w:id="1246"/>
    </w:p>
    <w:p w14:paraId="09EB6DD4">
      <w:pPr>
        <w:spacing w:line="360" w:lineRule="auto"/>
        <w:ind w:firstLine="480" w:firstLineChars="200"/>
        <w:rPr>
          <w:rFonts w:ascii="Times New Roman" w:hAnsi="Times New Roman" w:cs="Times New Roman"/>
          <w:b/>
          <w:bCs/>
          <w:color w:val="auto"/>
          <w:szCs w:val="24"/>
          <w:lang w:eastAsia="zh-CN"/>
        </w:rPr>
      </w:pPr>
      <w:r>
        <w:rPr>
          <w:rFonts w:ascii="Times New Roman" w:hAnsi="Times New Roman" w:cs="Times New Roman"/>
          <w:color w:val="auto"/>
          <w:szCs w:val="24"/>
          <w:lang w:eastAsia="zh-CN"/>
        </w:rPr>
        <w:t>根据监测结果，区域声环境质量监测结果汇总见下表。</w:t>
      </w:r>
    </w:p>
    <w:p w14:paraId="27E1104B">
      <w:pPr>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表5.2-</w:t>
      </w:r>
      <w:r>
        <w:rPr>
          <w:rFonts w:hint="eastAsia" w:ascii="Times New Roman" w:hAnsi="Times New Roman" w:cs="Times New Roman"/>
          <w:b/>
          <w:bCs/>
          <w:color w:val="auto"/>
          <w:szCs w:val="24"/>
          <w:lang w:eastAsia="zh-CN"/>
        </w:rPr>
        <w:t>8</w:t>
      </w:r>
      <w:r>
        <w:rPr>
          <w:rFonts w:ascii="Times New Roman" w:hAnsi="Times New Roman" w:cs="Times New Roman"/>
          <w:b/>
          <w:bCs/>
          <w:color w:val="auto"/>
          <w:szCs w:val="24"/>
          <w:lang w:eastAsia="zh-CN"/>
        </w:rPr>
        <w:t xml:space="preserve">   声环境现状监测结果  单位：dB(A)</w:t>
      </w:r>
    </w:p>
    <w:tbl>
      <w:tblPr>
        <w:tblStyle w:val="3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1"/>
        <w:gridCol w:w="2177"/>
        <w:gridCol w:w="1564"/>
        <w:gridCol w:w="1566"/>
        <w:gridCol w:w="1564"/>
        <w:gridCol w:w="1564"/>
      </w:tblGrid>
      <w:tr w14:paraId="6EF96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trPr>
        <w:tc>
          <w:tcPr>
            <w:tcW w:w="668" w:type="pct"/>
            <w:vMerge w:val="restart"/>
            <w:tcBorders>
              <w:top w:val="single" w:color="auto" w:sz="12" w:space="0"/>
              <w:left w:val="nil"/>
              <w:bottom w:val="single" w:color="auto" w:sz="4" w:space="0"/>
              <w:right w:val="single" w:color="auto" w:sz="4" w:space="0"/>
            </w:tcBorders>
            <w:vAlign w:val="center"/>
          </w:tcPr>
          <w:p w14:paraId="003AE285">
            <w:pPr>
              <w:jc w:val="center"/>
              <w:rPr>
                <w:rFonts w:ascii="Times New Roman" w:hAnsi="Times New Roman" w:cs="Times New Roman"/>
                <w:b/>
                <w:bCs/>
                <w:color w:val="auto"/>
                <w:sz w:val="21"/>
              </w:rPr>
            </w:pPr>
            <w:r>
              <w:rPr>
                <w:rFonts w:ascii="Times New Roman" w:hAnsi="Times New Roman" w:cs="Times New Roman"/>
                <w:b/>
                <w:bCs/>
                <w:color w:val="auto"/>
                <w:sz w:val="21"/>
              </w:rPr>
              <w:t>点位编号</w:t>
            </w:r>
          </w:p>
        </w:tc>
        <w:tc>
          <w:tcPr>
            <w:tcW w:w="1118" w:type="pct"/>
            <w:vMerge w:val="restart"/>
            <w:tcBorders>
              <w:top w:val="single" w:color="auto" w:sz="12" w:space="0"/>
              <w:left w:val="nil"/>
              <w:bottom w:val="single" w:color="auto" w:sz="4" w:space="0"/>
              <w:right w:val="single" w:color="auto" w:sz="4" w:space="0"/>
            </w:tcBorders>
            <w:vAlign w:val="center"/>
          </w:tcPr>
          <w:p w14:paraId="6E10B08D">
            <w:pPr>
              <w:jc w:val="center"/>
              <w:rPr>
                <w:rFonts w:ascii="Times New Roman" w:hAnsi="Times New Roman" w:cs="Times New Roman"/>
                <w:b/>
                <w:bCs/>
                <w:color w:val="auto"/>
                <w:sz w:val="21"/>
              </w:rPr>
            </w:pPr>
            <w:r>
              <w:rPr>
                <w:rFonts w:ascii="Times New Roman" w:hAnsi="Times New Roman" w:cs="Times New Roman"/>
                <w:b/>
                <w:bCs/>
                <w:color w:val="auto"/>
                <w:sz w:val="21"/>
              </w:rPr>
              <w:t>检测点位</w:t>
            </w:r>
          </w:p>
        </w:tc>
        <w:tc>
          <w:tcPr>
            <w:tcW w:w="1607" w:type="pct"/>
            <w:gridSpan w:val="2"/>
            <w:tcBorders>
              <w:top w:val="single" w:color="auto" w:sz="12" w:space="0"/>
              <w:left w:val="nil"/>
              <w:bottom w:val="single" w:color="auto" w:sz="4" w:space="0"/>
              <w:right w:val="single" w:color="auto" w:sz="4" w:space="0"/>
            </w:tcBorders>
            <w:vAlign w:val="center"/>
          </w:tcPr>
          <w:p w14:paraId="1151FFD2">
            <w:pPr>
              <w:jc w:val="center"/>
              <w:rPr>
                <w:rFonts w:ascii="Times New Roman" w:hAnsi="Times New Roman" w:cs="Times New Roman"/>
                <w:b/>
                <w:bCs/>
                <w:color w:val="auto"/>
                <w:sz w:val="21"/>
                <w:lang w:eastAsia="zh-CN"/>
              </w:rPr>
            </w:pPr>
            <w:r>
              <w:rPr>
                <w:rFonts w:ascii="Times New Roman" w:hAnsi="Times New Roman" w:cs="Times New Roman"/>
                <w:b/>
                <w:bCs/>
                <w:color w:val="auto"/>
                <w:sz w:val="21"/>
              </w:rPr>
              <w:t>202</w:t>
            </w:r>
            <w:r>
              <w:rPr>
                <w:rFonts w:hint="eastAsia" w:ascii="Times New Roman" w:hAnsi="Times New Roman" w:cs="Times New Roman"/>
                <w:b/>
                <w:bCs/>
                <w:color w:val="auto"/>
                <w:sz w:val="21"/>
                <w:lang w:eastAsia="zh-CN"/>
              </w:rPr>
              <w:t>6</w:t>
            </w:r>
            <w:r>
              <w:rPr>
                <w:rFonts w:ascii="Times New Roman" w:hAnsi="Times New Roman" w:cs="Times New Roman"/>
                <w:b/>
                <w:bCs/>
                <w:color w:val="auto"/>
                <w:sz w:val="21"/>
                <w:lang w:eastAsia="zh-CN"/>
              </w:rPr>
              <w:t>.</w:t>
            </w:r>
            <w:r>
              <w:rPr>
                <w:rFonts w:hint="eastAsia" w:ascii="Times New Roman" w:hAnsi="Times New Roman" w:cs="Times New Roman"/>
                <w:b/>
                <w:bCs/>
                <w:color w:val="auto"/>
                <w:sz w:val="21"/>
                <w:lang w:eastAsia="zh-CN"/>
              </w:rPr>
              <w:t>6.7</w:t>
            </w:r>
          </w:p>
        </w:tc>
        <w:tc>
          <w:tcPr>
            <w:tcW w:w="1606" w:type="pct"/>
            <w:gridSpan w:val="2"/>
            <w:tcBorders>
              <w:top w:val="single" w:color="auto" w:sz="12" w:space="0"/>
              <w:left w:val="nil"/>
              <w:bottom w:val="single" w:color="auto" w:sz="4" w:space="0"/>
              <w:right w:val="nil"/>
            </w:tcBorders>
            <w:vAlign w:val="center"/>
          </w:tcPr>
          <w:p w14:paraId="11CFE10D">
            <w:pPr>
              <w:jc w:val="center"/>
              <w:rPr>
                <w:rFonts w:ascii="Times New Roman" w:hAnsi="Times New Roman" w:cs="Times New Roman"/>
                <w:b/>
                <w:bCs/>
                <w:color w:val="auto"/>
                <w:sz w:val="21"/>
              </w:rPr>
            </w:pPr>
            <w:r>
              <w:rPr>
                <w:rFonts w:ascii="Times New Roman" w:hAnsi="Times New Roman" w:cs="Times New Roman"/>
                <w:b/>
                <w:bCs/>
                <w:color w:val="auto"/>
                <w:sz w:val="21"/>
              </w:rPr>
              <w:t>202</w:t>
            </w:r>
            <w:r>
              <w:rPr>
                <w:rFonts w:hint="eastAsia" w:ascii="Times New Roman" w:hAnsi="Times New Roman" w:cs="Times New Roman"/>
                <w:b/>
                <w:bCs/>
                <w:color w:val="auto"/>
                <w:sz w:val="21"/>
                <w:lang w:eastAsia="zh-CN"/>
              </w:rPr>
              <w:t>6</w:t>
            </w:r>
            <w:r>
              <w:rPr>
                <w:rFonts w:ascii="Times New Roman" w:hAnsi="Times New Roman" w:cs="Times New Roman"/>
                <w:b/>
                <w:bCs/>
                <w:color w:val="auto"/>
                <w:sz w:val="21"/>
                <w:lang w:eastAsia="zh-CN"/>
              </w:rPr>
              <w:t>.</w:t>
            </w:r>
            <w:r>
              <w:rPr>
                <w:rFonts w:hint="eastAsia" w:ascii="Times New Roman" w:hAnsi="Times New Roman" w:cs="Times New Roman"/>
                <w:b/>
                <w:bCs/>
                <w:color w:val="auto"/>
                <w:sz w:val="21"/>
                <w:lang w:eastAsia="zh-CN"/>
              </w:rPr>
              <w:t>6.8</w:t>
            </w:r>
          </w:p>
        </w:tc>
      </w:tr>
      <w:tr w14:paraId="1DE74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0" w:type="auto"/>
            <w:vMerge w:val="continue"/>
            <w:tcBorders>
              <w:top w:val="single" w:color="auto" w:sz="12" w:space="0"/>
              <w:left w:val="nil"/>
              <w:bottom w:val="single" w:color="auto" w:sz="4" w:space="0"/>
              <w:right w:val="single" w:color="auto" w:sz="4" w:space="0"/>
            </w:tcBorders>
            <w:vAlign w:val="center"/>
          </w:tcPr>
          <w:p w14:paraId="70FD8615">
            <w:pPr>
              <w:jc w:val="center"/>
              <w:rPr>
                <w:rFonts w:ascii="Times New Roman" w:hAnsi="Times New Roman" w:cs="Times New Roman"/>
                <w:b/>
                <w:bCs/>
                <w:color w:val="auto"/>
                <w:sz w:val="21"/>
              </w:rPr>
            </w:pPr>
          </w:p>
        </w:tc>
        <w:tc>
          <w:tcPr>
            <w:tcW w:w="0" w:type="auto"/>
            <w:vMerge w:val="continue"/>
            <w:tcBorders>
              <w:top w:val="single" w:color="auto" w:sz="12" w:space="0"/>
              <w:left w:val="nil"/>
              <w:bottom w:val="single" w:color="auto" w:sz="4" w:space="0"/>
              <w:right w:val="single" w:color="auto" w:sz="4" w:space="0"/>
            </w:tcBorders>
            <w:vAlign w:val="center"/>
          </w:tcPr>
          <w:p w14:paraId="490DD6FA">
            <w:pPr>
              <w:jc w:val="center"/>
              <w:rPr>
                <w:rFonts w:ascii="Times New Roman" w:hAnsi="Times New Roman" w:cs="Times New Roman"/>
                <w:b/>
                <w:bCs/>
                <w:color w:val="auto"/>
                <w:sz w:val="21"/>
              </w:rPr>
            </w:pPr>
          </w:p>
        </w:tc>
        <w:tc>
          <w:tcPr>
            <w:tcW w:w="803" w:type="pct"/>
            <w:tcBorders>
              <w:top w:val="single" w:color="auto" w:sz="4" w:space="0"/>
              <w:left w:val="nil"/>
              <w:bottom w:val="single" w:color="auto" w:sz="4" w:space="0"/>
              <w:right w:val="single" w:color="auto" w:sz="4" w:space="0"/>
            </w:tcBorders>
            <w:vAlign w:val="center"/>
          </w:tcPr>
          <w:p w14:paraId="32FD1EB2">
            <w:pPr>
              <w:jc w:val="center"/>
              <w:rPr>
                <w:rFonts w:ascii="Times New Roman" w:hAnsi="Times New Roman" w:cs="Times New Roman"/>
                <w:b/>
                <w:bCs/>
                <w:color w:val="auto"/>
                <w:sz w:val="21"/>
              </w:rPr>
            </w:pPr>
            <w:r>
              <w:rPr>
                <w:rFonts w:ascii="Times New Roman" w:hAnsi="Times New Roman" w:cs="Times New Roman"/>
                <w:b/>
                <w:bCs/>
                <w:color w:val="auto"/>
                <w:sz w:val="21"/>
              </w:rPr>
              <w:t>昼间Leq</w:t>
            </w:r>
          </w:p>
        </w:tc>
        <w:tc>
          <w:tcPr>
            <w:tcW w:w="804" w:type="pct"/>
            <w:tcBorders>
              <w:top w:val="single" w:color="auto" w:sz="4" w:space="0"/>
              <w:left w:val="nil"/>
              <w:bottom w:val="single" w:color="auto" w:sz="4" w:space="0"/>
              <w:right w:val="single" w:color="auto" w:sz="4" w:space="0"/>
            </w:tcBorders>
            <w:vAlign w:val="center"/>
          </w:tcPr>
          <w:p w14:paraId="338F5F64">
            <w:pPr>
              <w:jc w:val="center"/>
              <w:rPr>
                <w:rFonts w:ascii="Times New Roman" w:hAnsi="Times New Roman" w:cs="Times New Roman"/>
                <w:b/>
                <w:bCs/>
                <w:color w:val="auto"/>
                <w:sz w:val="21"/>
              </w:rPr>
            </w:pPr>
            <w:r>
              <w:rPr>
                <w:rFonts w:ascii="Times New Roman" w:hAnsi="Times New Roman" w:cs="Times New Roman"/>
                <w:b/>
                <w:bCs/>
                <w:color w:val="auto"/>
                <w:sz w:val="21"/>
              </w:rPr>
              <w:t>夜间Leq</w:t>
            </w:r>
          </w:p>
        </w:tc>
        <w:tc>
          <w:tcPr>
            <w:tcW w:w="803" w:type="pct"/>
            <w:tcBorders>
              <w:top w:val="single" w:color="auto" w:sz="4" w:space="0"/>
              <w:left w:val="nil"/>
              <w:bottom w:val="single" w:color="auto" w:sz="4" w:space="0"/>
              <w:right w:val="single" w:color="auto" w:sz="4" w:space="0"/>
            </w:tcBorders>
            <w:vAlign w:val="center"/>
          </w:tcPr>
          <w:p w14:paraId="1E4B592B">
            <w:pPr>
              <w:jc w:val="center"/>
              <w:rPr>
                <w:rFonts w:ascii="Times New Roman" w:hAnsi="Times New Roman" w:cs="Times New Roman"/>
                <w:b/>
                <w:bCs/>
                <w:color w:val="auto"/>
                <w:sz w:val="21"/>
              </w:rPr>
            </w:pPr>
            <w:r>
              <w:rPr>
                <w:rFonts w:ascii="Times New Roman" w:hAnsi="Times New Roman" w:cs="Times New Roman"/>
                <w:b/>
                <w:bCs/>
                <w:color w:val="auto"/>
                <w:sz w:val="21"/>
              </w:rPr>
              <w:t>昼间Leq</w:t>
            </w:r>
          </w:p>
        </w:tc>
        <w:tc>
          <w:tcPr>
            <w:tcW w:w="803" w:type="pct"/>
            <w:tcBorders>
              <w:top w:val="single" w:color="auto" w:sz="4" w:space="0"/>
              <w:left w:val="nil"/>
              <w:bottom w:val="single" w:color="auto" w:sz="4" w:space="0"/>
              <w:right w:val="nil"/>
            </w:tcBorders>
            <w:vAlign w:val="center"/>
          </w:tcPr>
          <w:p w14:paraId="4BA8984B">
            <w:pPr>
              <w:jc w:val="center"/>
              <w:rPr>
                <w:rFonts w:ascii="Times New Roman" w:hAnsi="Times New Roman" w:cs="Times New Roman"/>
                <w:b/>
                <w:bCs/>
                <w:color w:val="auto"/>
                <w:sz w:val="21"/>
              </w:rPr>
            </w:pPr>
            <w:r>
              <w:rPr>
                <w:rFonts w:ascii="Times New Roman" w:hAnsi="Times New Roman" w:cs="Times New Roman"/>
                <w:b/>
                <w:bCs/>
                <w:color w:val="auto"/>
                <w:sz w:val="21"/>
              </w:rPr>
              <w:t>夜间Leq</w:t>
            </w:r>
          </w:p>
        </w:tc>
      </w:tr>
      <w:tr w14:paraId="0491C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668" w:type="pct"/>
            <w:tcBorders>
              <w:top w:val="single" w:color="auto" w:sz="4" w:space="0"/>
              <w:left w:val="nil"/>
              <w:bottom w:val="single" w:color="auto" w:sz="4" w:space="0"/>
              <w:right w:val="single" w:color="auto" w:sz="4" w:space="0"/>
            </w:tcBorders>
            <w:vAlign w:val="center"/>
          </w:tcPr>
          <w:p w14:paraId="4DC09171">
            <w:pPr>
              <w:jc w:val="center"/>
              <w:rPr>
                <w:rFonts w:ascii="Times New Roman" w:hAnsi="Times New Roman" w:cs="Times New Roman"/>
                <w:color w:val="auto"/>
                <w:sz w:val="21"/>
              </w:rPr>
            </w:pPr>
            <w:r>
              <w:rPr>
                <w:rFonts w:ascii="Times New Roman" w:hAnsi="Times New Roman" w:cs="Times New Roman"/>
                <w:color w:val="auto"/>
                <w:sz w:val="21"/>
              </w:rPr>
              <w:t>N1</w:t>
            </w:r>
          </w:p>
        </w:tc>
        <w:tc>
          <w:tcPr>
            <w:tcW w:w="1118" w:type="pct"/>
            <w:tcBorders>
              <w:top w:val="single" w:color="auto" w:sz="4" w:space="0"/>
              <w:left w:val="nil"/>
              <w:bottom w:val="single" w:color="auto" w:sz="4" w:space="0"/>
              <w:right w:val="single" w:color="auto" w:sz="4" w:space="0"/>
            </w:tcBorders>
            <w:vAlign w:val="center"/>
          </w:tcPr>
          <w:p w14:paraId="6F9867CD">
            <w:pPr>
              <w:jc w:val="center"/>
              <w:rPr>
                <w:rFonts w:ascii="Times New Roman" w:hAnsi="Times New Roman" w:cs="Times New Roman"/>
                <w:color w:val="auto"/>
                <w:sz w:val="21"/>
              </w:rPr>
            </w:pPr>
            <w:r>
              <w:rPr>
                <w:rFonts w:ascii="Times New Roman" w:hAnsi="Times New Roman" w:cs="Times New Roman"/>
                <w:color w:val="auto"/>
                <w:sz w:val="21"/>
              </w:rPr>
              <w:t>东厂界</w:t>
            </w:r>
          </w:p>
        </w:tc>
        <w:tc>
          <w:tcPr>
            <w:tcW w:w="803" w:type="pct"/>
            <w:tcBorders>
              <w:top w:val="single" w:color="auto" w:sz="4" w:space="0"/>
              <w:left w:val="nil"/>
              <w:bottom w:val="single" w:color="auto" w:sz="4" w:space="0"/>
              <w:right w:val="single" w:color="auto" w:sz="4" w:space="0"/>
            </w:tcBorders>
            <w:vAlign w:val="center"/>
          </w:tcPr>
          <w:p w14:paraId="44D315D0">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50</w:t>
            </w:r>
          </w:p>
        </w:tc>
        <w:tc>
          <w:tcPr>
            <w:tcW w:w="804" w:type="pct"/>
            <w:tcBorders>
              <w:top w:val="single" w:color="auto" w:sz="4" w:space="0"/>
              <w:left w:val="nil"/>
              <w:bottom w:val="single" w:color="auto" w:sz="4" w:space="0"/>
              <w:right w:val="single" w:color="auto" w:sz="4" w:space="0"/>
            </w:tcBorders>
            <w:vAlign w:val="center"/>
          </w:tcPr>
          <w:p w14:paraId="70F8AD98">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49</w:t>
            </w:r>
          </w:p>
        </w:tc>
        <w:tc>
          <w:tcPr>
            <w:tcW w:w="803" w:type="pct"/>
            <w:tcBorders>
              <w:top w:val="single" w:color="auto" w:sz="4" w:space="0"/>
              <w:left w:val="nil"/>
              <w:bottom w:val="single" w:color="auto" w:sz="4" w:space="0"/>
              <w:right w:val="single" w:color="auto" w:sz="4" w:space="0"/>
            </w:tcBorders>
            <w:vAlign w:val="center"/>
          </w:tcPr>
          <w:p w14:paraId="0F2882AE">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52</w:t>
            </w:r>
          </w:p>
        </w:tc>
        <w:tc>
          <w:tcPr>
            <w:tcW w:w="803" w:type="pct"/>
            <w:tcBorders>
              <w:top w:val="single" w:color="auto" w:sz="4" w:space="0"/>
              <w:left w:val="nil"/>
              <w:bottom w:val="single" w:color="auto" w:sz="4" w:space="0"/>
              <w:right w:val="nil"/>
            </w:tcBorders>
            <w:vAlign w:val="center"/>
          </w:tcPr>
          <w:p w14:paraId="2029F467">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53</w:t>
            </w:r>
          </w:p>
        </w:tc>
      </w:tr>
      <w:tr w14:paraId="7C493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 w:hRule="atLeast"/>
        </w:trPr>
        <w:tc>
          <w:tcPr>
            <w:tcW w:w="668" w:type="pct"/>
            <w:tcBorders>
              <w:top w:val="single" w:color="auto" w:sz="4" w:space="0"/>
              <w:left w:val="nil"/>
              <w:bottom w:val="single" w:color="auto" w:sz="4" w:space="0"/>
              <w:right w:val="single" w:color="auto" w:sz="4" w:space="0"/>
            </w:tcBorders>
            <w:vAlign w:val="center"/>
          </w:tcPr>
          <w:p w14:paraId="678530FE">
            <w:pPr>
              <w:jc w:val="center"/>
              <w:rPr>
                <w:rFonts w:ascii="Times New Roman" w:hAnsi="Times New Roman" w:cs="Times New Roman"/>
                <w:color w:val="auto"/>
                <w:sz w:val="21"/>
              </w:rPr>
            </w:pPr>
            <w:r>
              <w:rPr>
                <w:rFonts w:ascii="Times New Roman" w:hAnsi="Times New Roman" w:cs="Times New Roman"/>
                <w:color w:val="auto"/>
                <w:sz w:val="21"/>
              </w:rPr>
              <w:t>N2</w:t>
            </w:r>
          </w:p>
        </w:tc>
        <w:tc>
          <w:tcPr>
            <w:tcW w:w="1118" w:type="pct"/>
            <w:tcBorders>
              <w:top w:val="single" w:color="auto" w:sz="4" w:space="0"/>
              <w:left w:val="nil"/>
              <w:bottom w:val="single" w:color="auto" w:sz="4" w:space="0"/>
              <w:right w:val="single" w:color="auto" w:sz="4" w:space="0"/>
            </w:tcBorders>
            <w:vAlign w:val="center"/>
          </w:tcPr>
          <w:p w14:paraId="7BB55DC8">
            <w:pPr>
              <w:jc w:val="center"/>
              <w:rPr>
                <w:rFonts w:ascii="Times New Roman" w:hAnsi="Times New Roman" w:cs="Times New Roman"/>
                <w:color w:val="auto"/>
                <w:sz w:val="21"/>
              </w:rPr>
            </w:pPr>
            <w:r>
              <w:rPr>
                <w:rFonts w:ascii="Times New Roman" w:hAnsi="Times New Roman" w:cs="Times New Roman"/>
                <w:color w:val="auto"/>
                <w:sz w:val="21"/>
              </w:rPr>
              <w:t>南厂界</w:t>
            </w:r>
          </w:p>
        </w:tc>
        <w:tc>
          <w:tcPr>
            <w:tcW w:w="803" w:type="pct"/>
            <w:tcBorders>
              <w:top w:val="single" w:color="auto" w:sz="4" w:space="0"/>
              <w:left w:val="nil"/>
              <w:bottom w:val="single" w:color="auto" w:sz="4" w:space="0"/>
              <w:right w:val="single" w:color="auto" w:sz="4" w:space="0"/>
            </w:tcBorders>
            <w:vAlign w:val="center"/>
          </w:tcPr>
          <w:p w14:paraId="77DBB5DE">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63</w:t>
            </w:r>
          </w:p>
        </w:tc>
        <w:tc>
          <w:tcPr>
            <w:tcW w:w="804" w:type="pct"/>
            <w:tcBorders>
              <w:top w:val="single" w:color="auto" w:sz="4" w:space="0"/>
              <w:left w:val="nil"/>
              <w:bottom w:val="single" w:color="auto" w:sz="4" w:space="0"/>
              <w:right w:val="single" w:color="auto" w:sz="4" w:space="0"/>
            </w:tcBorders>
            <w:vAlign w:val="center"/>
          </w:tcPr>
          <w:p w14:paraId="42DCFB5C">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54</w:t>
            </w:r>
          </w:p>
        </w:tc>
        <w:tc>
          <w:tcPr>
            <w:tcW w:w="803" w:type="pct"/>
            <w:tcBorders>
              <w:top w:val="single" w:color="auto" w:sz="4" w:space="0"/>
              <w:left w:val="nil"/>
              <w:bottom w:val="single" w:color="auto" w:sz="4" w:space="0"/>
              <w:right w:val="single" w:color="auto" w:sz="4" w:space="0"/>
            </w:tcBorders>
            <w:vAlign w:val="center"/>
          </w:tcPr>
          <w:p w14:paraId="32A3E00D">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59</w:t>
            </w:r>
          </w:p>
        </w:tc>
        <w:tc>
          <w:tcPr>
            <w:tcW w:w="803" w:type="pct"/>
            <w:tcBorders>
              <w:top w:val="single" w:color="auto" w:sz="4" w:space="0"/>
              <w:left w:val="nil"/>
              <w:bottom w:val="single" w:color="auto" w:sz="4" w:space="0"/>
              <w:right w:val="nil"/>
            </w:tcBorders>
            <w:vAlign w:val="center"/>
          </w:tcPr>
          <w:p w14:paraId="53D70E37">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46</w:t>
            </w:r>
          </w:p>
        </w:tc>
      </w:tr>
      <w:tr w14:paraId="190FB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668" w:type="pct"/>
            <w:tcBorders>
              <w:top w:val="single" w:color="auto" w:sz="4" w:space="0"/>
              <w:left w:val="nil"/>
              <w:bottom w:val="single" w:color="auto" w:sz="4" w:space="0"/>
              <w:right w:val="single" w:color="auto" w:sz="4" w:space="0"/>
            </w:tcBorders>
            <w:vAlign w:val="center"/>
          </w:tcPr>
          <w:p w14:paraId="1FB75438">
            <w:pPr>
              <w:jc w:val="center"/>
              <w:rPr>
                <w:rFonts w:ascii="Times New Roman" w:hAnsi="Times New Roman" w:cs="Times New Roman"/>
                <w:color w:val="auto"/>
                <w:sz w:val="21"/>
              </w:rPr>
            </w:pPr>
            <w:r>
              <w:rPr>
                <w:rFonts w:ascii="Times New Roman" w:hAnsi="Times New Roman" w:cs="Times New Roman"/>
                <w:color w:val="auto"/>
                <w:sz w:val="21"/>
              </w:rPr>
              <w:t>N3</w:t>
            </w:r>
          </w:p>
        </w:tc>
        <w:tc>
          <w:tcPr>
            <w:tcW w:w="1118" w:type="pct"/>
            <w:tcBorders>
              <w:top w:val="single" w:color="auto" w:sz="4" w:space="0"/>
              <w:left w:val="nil"/>
              <w:bottom w:val="single" w:color="auto" w:sz="4" w:space="0"/>
              <w:right w:val="single" w:color="auto" w:sz="4" w:space="0"/>
            </w:tcBorders>
            <w:vAlign w:val="center"/>
          </w:tcPr>
          <w:p w14:paraId="5726B84B">
            <w:pPr>
              <w:jc w:val="center"/>
              <w:rPr>
                <w:rFonts w:ascii="Times New Roman" w:hAnsi="Times New Roman" w:cs="Times New Roman"/>
                <w:color w:val="auto"/>
                <w:sz w:val="21"/>
              </w:rPr>
            </w:pPr>
            <w:r>
              <w:rPr>
                <w:rFonts w:ascii="Times New Roman" w:hAnsi="Times New Roman" w:cs="Times New Roman"/>
                <w:color w:val="auto"/>
                <w:sz w:val="21"/>
              </w:rPr>
              <w:t>西厂界</w:t>
            </w:r>
          </w:p>
        </w:tc>
        <w:tc>
          <w:tcPr>
            <w:tcW w:w="803" w:type="pct"/>
            <w:tcBorders>
              <w:top w:val="single" w:color="auto" w:sz="4" w:space="0"/>
              <w:left w:val="nil"/>
              <w:bottom w:val="single" w:color="auto" w:sz="4" w:space="0"/>
              <w:right w:val="single" w:color="auto" w:sz="4" w:space="0"/>
            </w:tcBorders>
            <w:vAlign w:val="center"/>
          </w:tcPr>
          <w:p w14:paraId="0378E7D2">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56</w:t>
            </w:r>
          </w:p>
        </w:tc>
        <w:tc>
          <w:tcPr>
            <w:tcW w:w="804" w:type="pct"/>
            <w:tcBorders>
              <w:top w:val="single" w:color="auto" w:sz="4" w:space="0"/>
              <w:left w:val="nil"/>
              <w:bottom w:val="single" w:color="auto" w:sz="4" w:space="0"/>
              <w:right w:val="single" w:color="auto" w:sz="4" w:space="0"/>
            </w:tcBorders>
            <w:vAlign w:val="center"/>
          </w:tcPr>
          <w:p w14:paraId="50621D35">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50</w:t>
            </w:r>
          </w:p>
        </w:tc>
        <w:tc>
          <w:tcPr>
            <w:tcW w:w="803" w:type="pct"/>
            <w:tcBorders>
              <w:top w:val="single" w:color="auto" w:sz="4" w:space="0"/>
              <w:left w:val="nil"/>
              <w:bottom w:val="single" w:color="auto" w:sz="4" w:space="0"/>
              <w:right w:val="single" w:color="auto" w:sz="4" w:space="0"/>
            </w:tcBorders>
            <w:vAlign w:val="center"/>
          </w:tcPr>
          <w:p w14:paraId="5F0763C0">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55</w:t>
            </w:r>
          </w:p>
        </w:tc>
        <w:tc>
          <w:tcPr>
            <w:tcW w:w="803" w:type="pct"/>
            <w:tcBorders>
              <w:top w:val="single" w:color="auto" w:sz="4" w:space="0"/>
              <w:left w:val="nil"/>
              <w:bottom w:val="single" w:color="auto" w:sz="4" w:space="0"/>
              <w:right w:val="nil"/>
            </w:tcBorders>
            <w:vAlign w:val="center"/>
          </w:tcPr>
          <w:p w14:paraId="398AB35D">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51</w:t>
            </w:r>
          </w:p>
        </w:tc>
      </w:tr>
      <w:tr w14:paraId="3C1A9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668" w:type="pct"/>
            <w:tcBorders>
              <w:top w:val="single" w:color="auto" w:sz="4" w:space="0"/>
              <w:left w:val="nil"/>
              <w:bottom w:val="single" w:color="auto" w:sz="4" w:space="0"/>
              <w:right w:val="single" w:color="auto" w:sz="4" w:space="0"/>
            </w:tcBorders>
            <w:vAlign w:val="center"/>
          </w:tcPr>
          <w:p w14:paraId="0C1A1A73">
            <w:pPr>
              <w:jc w:val="center"/>
              <w:rPr>
                <w:rFonts w:ascii="Times New Roman" w:hAnsi="Times New Roman" w:cs="Times New Roman"/>
                <w:color w:val="auto"/>
                <w:sz w:val="21"/>
              </w:rPr>
            </w:pPr>
            <w:r>
              <w:rPr>
                <w:rFonts w:ascii="Times New Roman" w:hAnsi="Times New Roman" w:cs="Times New Roman"/>
                <w:color w:val="auto"/>
                <w:sz w:val="21"/>
              </w:rPr>
              <w:t>N4</w:t>
            </w:r>
          </w:p>
        </w:tc>
        <w:tc>
          <w:tcPr>
            <w:tcW w:w="1118" w:type="pct"/>
            <w:tcBorders>
              <w:top w:val="single" w:color="auto" w:sz="4" w:space="0"/>
              <w:left w:val="nil"/>
              <w:bottom w:val="single" w:color="auto" w:sz="4" w:space="0"/>
              <w:right w:val="single" w:color="auto" w:sz="4" w:space="0"/>
            </w:tcBorders>
            <w:vAlign w:val="center"/>
          </w:tcPr>
          <w:p w14:paraId="60757269">
            <w:pPr>
              <w:jc w:val="center"/>
              <w:rPr>
                <w:rFonts w:ascii="Times New Roman" w:hAnsi="Times New Roman" w:cs="Times New Roman"/>
                <w:color w:val="auto"/>
                <w:sz w:val="21"/>
              </w:rPr>
            </w:pPr>
            <w:r>
              <w:rPr>
                <w:rFonts w:ascii="Times New Roman" w:hAnsi="Times New Roman" w:cs="Times New Roman"/>
                <w:color w:val="auto"/>
                <w:sz w:val="21"/>
              </w:rPr>
              <w:t>北厂界</w:t>
            </w:r>
          </w:p>
        </w:tc>
        <w:tc>
          <w:tcPr>
            <w:tcW w:w="803" w:type="pct"/>
            <w:tcBorders>
              <w:top w:val="single" w:color="auto" w:sz="4" w:space="0"/>
              <w:left w:val="nil"/>
              <w:bottom w:val="single" w:color="auto" w:sz="4" w:space="0"/>
              <w:right w:val="single" w:color="auto" w:sz="4" w:space="0"/>
            </w:tcBorders>
            <w:vAlign w:val="center"/>
          </w:tcPr>
          <w:p w14:paraId="14B30EAC">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56</w:t>
            </w:r>
          </w:p>
        </w:tc>
        <w:tc>
          <w:tcPr>
            <w:tcW w:w="804" w:type="pct"/>
            <w:tcBorders>
              <w:top w:val="single" w:color="auto" w:sz="4" w:space="0"/>
              <w:left w:val="nil"/>
              <w:bottom w:val="single" w:color="auto" w:sz="4" w:space="0"/>
              <w:right w:val="single" w:color="auto" w:sz="4" w:space="0"/>
            </w:tcBorders>
            <w:vAlign w:val="center"/>
          </w:tcPr>
          <w:p w14:paraId="34469EDF">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48</w:t>
            </w:r>
          </w:p>
        </w:tc>
        <w:tc>
          <w:tcPr>
            <w:tcW w:w="803" w:type="pct"/>
            <w:tcBorders>
              <w:top w:val="single" w:color="auto" w:sz="4" w:space="0"/>
              <w:left w:val="nil"/>
              <w:bottom w:val="single" w:color="auto" w:sz="4" w:space="0"/>
              <w:right w:val="single" w:color="auto" w:sz="4" w:space="0"/>
            </w:tcBorders>
            <w:vAlign w:val="center"/>
          </w:tcPr>
          <w:p w14:paraId="1449A84E">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50</w:t>
            </w:r>
          </w:p>
        </w:tc>
        <w:tc>
          <w:tcPr>
            <w:tcW w:w="803" w:type="pct"/>
            <w:tcBorders>
              <w:top w:val="single" w:color="auto" w:sz="4" w:space="0"/>
              <w:left w:val="nil"/>
              <w:bottom w:val="single" w:color="auto" w:sz="4" w:space="0"/>
              <w:right w:val="nil"/>
            </w:tcBorders>
            <w:vAlign w:val="center"/>
          </w:tcPr>
          <w:p w14:paraId="68CA8343">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49</w:t>
            </w:r>
          </w:p>
        </w:tc>
      </w:tr>
      <w:tr w14:paraId="67FAA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1786" w:type="pct"/>
            <w:gridSpan w:val="2"/>
            <w:tcBorders>
              <w:top w:val="single" w:color="auto" w:sz="4" w:space="0"/>
              <w:left w:val="nil"/>
              <w:bottom w:val="single" w:color="auto" w:sz="12" w:space="0"/>
              <w:right w:val="single" w:color="auto" w:sz="4" w:space="0"/>
            </w:tcBorders>
            <w:vAlign w:val="center"/>
          </w:tcPr>
          <w:p w14:paraId="62A33AF6">
            <w:pPr>
              <w:jc w:val="center"/>
              <w:rPr>
                <w:rFonts w:ascii="Times New Roman" w:hAnsi="Times New Roman" w:cs="Times New Roman"/>
                <w:color w:val="auto"/>
                <w:sz w:val="21"/>
              </w:rPr>
            </w:pPr>
            <w:r>
              <w:rPr>
                <w:rFonts w:ascii="Times New Roman" w:hAnsi="Times New Roman" w:cs="Times New Roman"/>
                <w:color w:val="auto"/>
                <w:sz w:val="21"/>
              </w:rPr>
              <w:t>标准值（3类）</w:t>
            </w:r>
          </w:p>
        </w:tc>
        <w:tc>
          <w:tcPr>
            <w:tcW w:w="803" w:type="pct"/>
            <w:tcBorders>
              <w:top w:val="single" w:color="auto" w:sz="4" w:space="0"/>
              <w:left w:val="nil"/>
              <w:bottom w:val="single" w:color="auto" w:sz="12" w:space="0"/>
              <w:right w:val="single" w:color="auto" w:sz="4" w:space="0"/>
            </w:tcBorders>
            <w:vAlign w:val="center"/>
          </w:tcPr>
          <w:p w14:paraId="2B19E621">
            <w:pPr>
              <w:jc w:val="center"/>
              <w:rPr>
                <w:rFonts w:ascii="Times New Roman" w:hAnsi="Times New Roman" w:cs="Times New Roman"/>
                <w:color w:val="auto"/>
                <w:sz w:val="21"/>
              </w:rPr>
            </w:pPr>
            <w:r>
              <w:rPr>
                <w:rFonts w:ascii="Times New Roman" w:hAnsi="Times New Roman" w:cs="Times New Roman"/>
                <w:color w:val="auto"/>
                <w:sz w:val="21"/>
              </w:rPr>
              <w:t>≤65</w:t>
            </w:r>
          </w:p>
        </w:tc>
        <w:tc>
          <w:tcPr>
            <w:tcW w:w="804" w:type="pct"/>
            <w:tcBorders>
              <w:top w:val="single" w:color="auto" w:sz="4" w:space="0"/>
              <w:left w:val="nil"/>
              <w:bottom w:val="single" w:color="auto" w:sz="12" w:space="0"/>
              <w:right w:val="single" w:color="auto" w:sz="4" w:space="0"/>
            </w:tcBorders>
            <w:vAlign w:val="center"/>
          </w:tcPr>
          <w:p w14:paraId="1B9E5602">
            <w:pPr>
              <w:jc w:val="center"/>
              <w:rPr>
                <w:rFonts w:ascii="Times New Roman" w:hAnsi="Times New Roman" w:cs="Times New Roman"/>
                <w:color w:val="auto"/>
                <w:sz w:val="21"/>
              </w:rPr>
            </w:pPr>
            <w:r>
              <w:rPr>
                <w:rFonts w:ascii="Times New Roman" w:hAnsi="Times New Roman" w:cs="Times New Roman"/>
                <w:color w:val="auto"/>
                <w:sz w:val="21"/>
              </w:rPr>
              <w:t>≤55</w:t>
            </w:r>
          </w:p>
        </w:tc>
        <w:tc>
          <w:tcPr>
            <w:tcW w:w="803" w:type="pct"/>
            <w:tcBorders>
              <w:top w:val="single" w:color="auto" w:sz="4" w:space="0"/>
              <w:left w:val="nil"/>
              <w:bottom w:val="single" w:color="auto" w:sz="12" w:space="0"/>
              <w:right w:val="single" w:color="auto" w:sz="4" w:space="0"/>
            </w:tcBorders>
            <w:vAlign w:val="center"/>
          </w:tcPr>
          <w:p w14:paraId="24565249">
            <w:pPr>
              <w:jc w:val="center"/>
              <w:rPr>
                <w:rFonts w:ascii="Times New Roman" w:hAnsi="Times New Roman" w:cs="Times New Roman"/>
                <w:color w:val="auto"/>
                <w:sz w:val="21"/>
              </w:rPr>
            </w:pPr>
            <w:r>
              <w:rPr>
                <w:rFonts w:ascii="Times New Roman" w:hAnsi="Times New Roman" w:cs="Times New Roman"/>
                <w:color w:val="auto"/>
                <w:sz w:val="21"/>
              </w:rPr>
              <w:t>≤65</w:t>
            </w:r>
          </w:p>
        </w:tc>
        <w:tc>
          <w:tcPr>
            <w:tcW w:w="803" w:type="pct"/>
            <w:tcBorders>
              <w:top w:val="single" w:color="auto" w:sz="4" w:space="0"/>
              <w:left w:val="nil"/>
              <w:bottom w:val="single" w:color="auto" w:sz="12" w:space="0"/>
              <w:right w:val="nil"/>
            </w:tcBorders>
            <w:vAlign w:val="center"/>
          </w:tcPr>
          <w:p w14:paraId="1E9F7FE8">
            <w:pPr>
              <w:jc w:val="center"/>
              <w:rPr>
                <w:rFonts w:ascii="Times New Roman" w:hAnsi="Times New Roman" w:cs="Times New Roman"/>
                <w:color w:val="auto"/>
                <w:sz w:val="21"/>
              </w:rPr>
            </w:pPr>
            <w:r>
              <w:rPr>
                <w:rFonts w:ascii="Times New Roman" w:hAnsi="Times New Roman" w:cs="Times New Roman"/>
                <w:color w:val="auto"/>
                <w:sz w:val="21"/>
              </w:rPr>
              <w:t>≤55</w:t>
            </w:r>
          </w:p>
        </w:tc>
      </w:tr>
    </w:tbl>
    <w:p w14:paraId="153508F6">
      <w:pPr>
        <w:tabs>
          <w:tab w:val="left" w:pos="2397"/>
        </w:tabs>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根据现状监测结果可知，监测期间区域各点位声环境质量均能满足《声环境质量标准》（GB3096-2008）中 3 类标准要求。</w:t>
      </w:r>
    </w:p>
    <w:p w14:paraId="2EA57A0B">
      <w:pPr>
        <w:spacing w:line="360" w:lineRule="auto"/>
        <w:ind w:firstLine="482"/>
        <w:jc w:val="both"/>
        <w:outlineLvl w:val="2"/>
        <w:rPr>
          <w:rFonts w:ascii="Times New Roman" w:hAnsi="Times New Roman" w:cs="Times New Roman"/>
          <w:b/>
          <w:bCs/>
          <w:color w:val="auto"/>
          <w:szCs w:val="24"/>
          <w:lang w:eastAsia="zh-CN"/>
        </w:rPr>
      </w:pPr>
      <w:bookmarkStart w:id="1247" w:name="_Toc237508316"/>
      <w:bookmarkStart w:id="1248" w:name="_Toc225784081"/>
      <w:bookmarkStart w:id="1249" w:name="_Toc204448491"/>
      <w:bookmarkStart w:id="1250" w:name="_Toc204515226"/>
      <w:bookmarkStart w:id="1251" w:name="_Toc175164297"/>
      <w:bookmarkStart w:id="1252" w:name="_Toc176513033"/>
      <w:bookmarkStart w:id="1253" w:name="_Toc221900863"/>
      <w:bookmarkStart w:id="1254" w:name="_Toc236641334"/>
      <w:bookmarkStart w:id="1255" w:name="_Toc217662696"/>
      <w:bookmarkStart w:id="1256" w:name="_Toc236641851"/>
      <w:bookmarkStart w:id="1257" w:name="_Toc172555670"/>
      <w:bookmarkStart w:id="1258" w:name="_Toc224674720"/>
      <w:bookmarkStart w:id="1259" w:name="_Toc173743406"/>
      <w:bookmarkStart w:id="1260" w:name="_Toc231828603"/>
      <w:bookmarkStart w:id="1261" w:name="_Toc203927025"/>
      <w:bookmarkStart w:id="1262" w:name="_Toc223425081"/>
      <w:bookmarkStart w:id="1263" w:name="_Toc218784306"/>
      <w:bookmarkStart w:id="1264" w:name="_Toc173740302"/>
      <w:bookmarkStart w:id="1265" w:name="_Toc178602373"/>
      <w:r>
        <w:rPr>
          <w:rFonts w:ascii="Times New Roman" w:hAnsi="Times New Roman" w:cs="Times New Roman"/>
          <w:b/>
          <w:bCs/>
          <w:color w:val="auto"/>
          <w:szCs w:val="24"/>
          <w:lang w:eastAsia="zh-CN"/>
        </w:rPr>
        <w:t>5.2.4 地下水环境质量现状调查及评价</w:t>
      </w:r>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p>
    <w:p w14:paraId="1D47C613">
      <w:pPr>
        <w:spacing w:line="360" w:lineRule="auto"/>
        <w:ind w:firstLine="482"/>
        <w:jc w:val="both"/>
        <w:outlineLvl w:val="3"/>
        <w:rPr>
          <w:rFonts w:ascii="Times New Roman" w:hAnsi="Times New Roman" w:cs="Times New Roman"/>
          <w:color w:val="auto"/>
          <w:szCs w:val="24"/>
          <w:lang w:eastAsia="zh-CN"/>
        </w:rPr>
      </w:pPr>
      <w:bookmarkStart w:id="1266" w:name="_Toc3375"/>
      <w:bookmarkStart w:id="1267" w:name="_Toc30242"/>
      <w:r>
        <w:rPr>
          <w:rFonts w:ascii="Times New Roman" w:hAnsi="Times New Roman" w:cs="Times New Roman"/>
          <w:b/>
          <w:bCs/>
          <w:color w:val="auto"/>
          <w:szCs w:val="24"/>
        </w:rPr>
        <w:fldChar w:fldCharType="begin"/>
      </w:r>
      <w:r>
        <w:rPr>
          <w:rFonts w:ascii="Times New Roman" w:hAnsi="Times New Roman" w:cs="Times New Roman"/>
          <w:b/>
          <w:bCs/>
          <w:color w:val="auto"/>
          <w:szCs w:val="24"/>
          <w:lang w:eastAsia="zh-CN"/>
        </w:rPr>
        <w:instrText xml:space="preserve">HYPERLINK "D:\\1、工作\\善宇\\1、环评\\蚌埠\\安徽志一新材料科技有限公司聚合物抗氧剂项目\\4.3.4.1"</w:instrText>
      </w:r>
      <w:r>
        <w:rPr>
          <w:rFonts w:ascii="Times New Roman" w:hAnsi="Times New Roman" w:cs="Times New Roman"/>
          <w:b/>
          <w:bCs/>
          <w:color w:val="auto"/>
          <w:szCs w:val="24"/>
        </w:rPr>
        <w:fldChar w:fldCharType="separate"/>
      </w:r>
      <w:r>
        <w:rPr>
          <w:rFonts w:ascii="Times New Roman" w:hAnsi="Times New Roman" w:cs="Times New Roman"/>
          <w:b/>
          <w:bCs/>
          <w:color w:val="auto"/>
          <w:szCs w:val="24"/>
          <w:lang w:eastAsia="zh-CN"/>
        </w:rPr>
        <w:t>5.2.4.1</w:t>
      </w:r>
      <w:r>
        <w:rPr>
          <w:rFonts w:ascii="Times New Roman" w:hAnsi="Times New Roman" w:cs="Times New Roman"/>
          <w:b/>
          <w:bCs/>
          <w:color w:val="auto"/>
          <w:szCs w:val="24"/>
        </w:rPr>
        <w:fldChar w:fldCharType="end"/>
      </w:r>
      <w:r>
        <w:rPr>
          <w:rFonts w:ascii="Times New Roman" w:hAnsi="Times New Roman" w:cs="Times New Roman"/>
          <w:b/>
          <w:bCs/>
          <w:color w:val="auto"/>
          <w:szCs w:val="24"/>
          <w:lang w:eastAsia="zh-CN"/>
        </w:rPr>
        <w:t xml:space="preserve"> 现状监测</w:t>
      </w:r>
      <w:bookmarkEnd w:id="1266"/>
      <w:bookmarkEnd w:id="1267"/>
    </w:p>
    <w:p w14:paraId="658684B7">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本次地下水质量现状调查，在项目</w:t>
      </w:r>
      <w:r>
        <w:rPr>
          <w:rFonts w:hint="eastAsia" w:ascii="Times New Roman" w:hAnsi="Times New Roman" w:cs="Times New Roman"/>
          <w:color w:val="auto"/>
          <w:szCs w:val="24"/>
          <w:lang w:eastAsia="zh-CN"/>
        </w:rPr>
        <w:t>场地及</w:t>
      </w:r>
      <w:r>
        <w:rPr>
          <w:rFonts w:ascii="Times New Roman" w:hAnsi="Times New Roman" w:cs="Times New Roman"/>
          <w:color w:val="auto"/>
          <w:szCs w:val="24"/>
          <w:lang w:eastAsia="zh-CN"/>
        </w:rPr>
        <w:t>周边共布设5个地下水水质监测点位和10个地下水水位监测点位</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其中项目地D1监测点水质、水位监测委托</w:t>
      </w:r>
      <w:r>
        <w:rPr>
          <w:rFonts w:hint="eastAsia" w:ascii="Times New Roman" w:hAnsi="Times New Roman" w:cs="Times New Roman"/>
          <w:color w:val="auto"/>
          <w:lang w:eastAsia="zh-CN"/>
        </w:rPr>
        <w:t>安徽基越环境检测有限公司</w:t>
      </w:r>
      <w:r>
        <w:rPr>
          <w:rFonts w:ascii="Times New Roman" w:hAnsi="Times New Roman" w:cs="Times New Roman"/>
          <w:color w:val="auto"/>
          <w:szCs w:val="24"/>
          <w:lang w:eastAsia="zh-CN"/>
        </w:rPr>
        <w:t>202</w:t>
      </w:r>
      <w:r>
        <w:rPr>
          <w:rFonts w:hint="eastAsia" w:ascii="Times New Roman" w:hAnsi="Times New Roman" w:cs="Times New Roman"/>
          <w:color w:val="auto"/>
          <w:szCs w:val="24"/>
          <w:lang w:eastAsia="zh-CN"/>
        </w:rPr>
        <w:t>6</w:t>
      </w:r>
      <w:r>
        <w:rPr>
          <w:rFonts w:ascii="Times New Roman" w:hAnsi="Times New Roman" w:cs="Times New Roman"/>
          <w:color w:val="auto"/>
          <w:szCs w:val="24"/>
          <w:lang w:eastAsia="zh-CN"/>
        </w:rPr>
        <w:t>年</w:t>
      </w:r>
      <w:r>
        <w:rPr>
          <w:rFonts w:hint="eastAsia" w:ascii="Times New Roman" w:hAnsi="Times New Roman" w:cs="Times New Roman"/>
          <w:color w:val="auto"/>
          <w:szCs w:val="24"/>
          <w:lang w:eastAsia="zh-CN"/>
        </w:rPr>
        <w:t>7</w:t>
      </w:r>
      <w:r>
        <w:rPr>
          <w:rFonts w:ascii="Times New Roman" w:hAnsi="Times New Roman" w:cs="Times New Roman"/>
          <w:color w:val="auto"/>
          <w:szCs w:val="24"/>
          <w:lang w:eastAsia="zh-CN"/>
        </w:rPr>
        <w:t>月</w:t>
      </w:r>
      <w:r>
        <w:rPr>
          <w:rFonts w:hint="eastAsia" w:ascii="Times New Roman" w:hAnsi="Times New Roman" w:cs="Times New Roman"/>
          <w:color w:val="auto"/>
          <w:szCs w:val="24"/>
          <w:lang w:eastAsia="zh-CN"/>
        </w:rPr>
        <w:t>8</w:t>
      </w:r>
      <w:r>
        <w:rPr>
          <w:rFonts w:ascii="Times New Roman" w:hAnsi="Times New Roman" w:cs="Times New Roman"/>
          <w:color w:val="auto"/>
          <w:szCs w:val="24"/>
          <w:lang w:eastAsia="zh-CN"/>
        </w:rPr>
        <w:t>日进行检测</w:t>
      </w:r>
      <w:r>
        <w:rPr>
          <w:rFonts w:hint="eastAsia" w:ascii="Times New Roman" w:hAnsi="Times New Roman" w:cs="Times New Roman"/>
          <w:color w:val="auto"/>
          <w:szCs w:val="24"/>
          <w:lang w:eastAsia="zh-CN"/>
        </w:rPr>
        <w:t>。</w:t>
      </w:r>
    </w:p>
    <w:p w14:paraId="79224D36">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D2</w:t>
      </w:r>
      <w:r>
        <w:rPr>
          <w:rFonts w:hint="eastAsia" w:ascii="Times New Roman" w:hAnsi="Times New Roman" w:cs="Times New Roman"/>
          <w:color w:val="auto"/>
          <w:szCs w:val="24"/>
          <w:lang w:eastAsia="zh-CN"/>
        </w:rPr>
        <w:t>、D3、D5</w:t>
      </w:r>
      <w:r>
        <w:rPr>
          <w:rFonts w:ascii="Times New Roman" w:hAnsi="Times New Roman" w:cs="Times New Roman"/>
          <w:color w:val="auto"/>
          <w:szCs w:val="24"/>
          <w:lang w:eastAsia="zh-CN"/>
        </w:rPr>
        <w:t>监测点水质、水位监测</w:t>
      </w:r>
      <w:r>
        <w:rPr>
          <w:rFonts w:hint="eastAsia" w:ascii="Times New Roman" w:hAnsi="Times New Roman" w:cs="Times New Roman"/>
          <w:color w:val="auto"/>
          <w:szCs w:val="24"/>
          <w:lang w:eastAsia="zh-CN"/>
        </w:rPr>
        <w:t>以及D6水位监测</w:t>
      </w:r>
      <w:r>
        <w:rPr>
          <w:rFonts w:ascii="Times New Roman" w:hAnsi="Times New Roman" w:cs="Times New Roman"/>
          <w:color w:val="auto"/>
          <w:szCs w:val="24"/>
          <w:lang w:eastAsia="zh-CN"/>
        </w:rPr>
        <w:t>引用《</w:t>
      </w:r>
      <w:r>
        <w:rPr>
          <w:rFonts w:hint="eastAsia" w:ascii="Times New Roman" w:hAnsi="Times New Roman" w:cs="Times New Roman"/>
          <w:color w:val="auto"/>
          <w:szCs w:val="24"/>
          <w:lang w:eastAsia="zh-CN"/>
        </w:rPr>
        <w:t>蚌埠精细化工高新技术产业基地环境影响区域评估+环境标准报告</w:t>
      </w:r>
      <w:r>
        <w:rPr>
          <w:rFonts w:ascii="Times New Roman" w:hAnsi="Times New Roman" w:cs="Times New Roman"/>
          <w:color w:val="auto"/>
          <w:szCs w:val="24"/>
          <w:lang w:eastAsia="zh-CN"/>
        </w:rPr>
        <w:t>》（安徽天晟环保科技有限公司于2024年</w:t>
      </w:r>
      <w:r>
        <w:rPr>
          <w:rFonts w:hint="eastAsia" w:ascii="Times New Roman" w:hAnsi="Times New Roman" w:cs="Times New Roman"/>
          <w:color w:val="auto"/>
          <w:szCs w:val="24"/>
          <w:lang w:eastAsia="zh-CN"/>
        </w:rPr>
        <w:t>4</w:t>
      </w:r>
      <w:r>
        <w:rPr>
          <w:rFonts w:ascii="Times New Roman" w:hAnsi="Times New Roman" w:cs="Times New Roman"/>
          <w:color w:val="auto"/>
          <w:szCs w:val="24"/>
          <w:lang w:eastAsia="zh-CN"/>
        </w:rPr>
        <w:t>月</w:t>
      </w:r>
      <w:r>
        <w:rPr>
          <w:rFonts w:hint="eastAsia" w:ascii="Times New Roman" w:hAnsi="Times New Roman" w:cs="Times New Roman"/>
          <w:color w:val="auto"/>
          <w:szCs w:val="24"/>
          <w:lang w:eastAsia="zh-CN"/>
        </w:rPr>
        <w:t>8</w:t>
      </w:r>
      <w:r>
        <w:rPr>
          <w:rFonts w:ascii="Times New Roman" w:hAnsi="Times New Roman" w:cs="Times New Roman"/>
          <w:color w:val="auto"/>
          <w:szCs w:val="24"/>
          <w:lang w:eastAsia="zh-CN"/>
        </w:rPr>
        <w:t>日</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2024年</w:t>
      </w:r>
      <w:r>
        <w:rPr>
          <w:rFonts w:hint="eastAsia" w:ascii="Times New Roman" w:hAnsi="Times New Roman" w:cs="Times New Roman"/>
          <w:color w:val="auto"/>
          <w:szCs w:val="24"/>
          <w:lang w:eastAsia="zh-CN"/>
        </w:rPr>
        <w:t>8</w:t>
      </w:r>
      <w:r>
        <w:rPr>
          <w:rFonts w:ascii="Times New Roman" w:hAnsi="Times New Roman" w:cs="Times New Roman"/>
          <w:color w:val="auto"/>
          <w:szCs w:val="24"/>
          <w:lang w:eastAsia="zh-CN"/>
        </w:rPr>
        <w:t>月</w:t>
      </w:r>
      <w:r>
        <w:rPr>
          <w:rFonts w:hint="eastAsia" w:ascii="Times New Roman" w:hAnsi="Times New Roman" w:cs="Times New Roman"/>
          <w:color w:val="auto"/>
          <w:szCs w:val="24"/>
          <w:lang w:eastAsia="zh-CN"/>
        </w:rPr>
        <w:t>20</w:t>
      </w:r>
      <w:r>
        <w:rPr>
          <w:rFonts w:ascii="Times New Roman" w:hAnsi="Times New Roman" w:cs="Times New Roman"/>
          <w:color w:val="auto"/>
          <w:szCs w:val="24"/>
          <w:lang w:eastAsia="zh-CN"/>
        </w:rPr>
        <w:t>日进行监测）中数据；</w:t>
      </w:r>
      <w:r>
        <w:rPr>
          <w:rFonts w:hint="eastAsia" w:ascii="Times New Roman" w:hAnsi="Times New Roman" w:cs="Times New Roman"/>
          <w:color w:val="auto"/>
          <w:szCs w:val="24"/>
          <w:lang w:eastAsia="zh-CN"/>
        </w:rPr>
        <w:t>D4</w:t>
      </w:r>
      <w:r>
        <w:rPr>
          <w:rFonts w:ascii="Times New Roman" w:hAnsi="Times New Roman" w:cs="Times New Roman"/>
          <w:color w:val="auto"/>
          <w:szCs w:val="24"/>
          <w:lang w:eastAsia="zh-CN"/>
        </w:rPr>
        <w:t>监测点水质、水位监测引用《</w:t>
      </w:r>
      <w:r>
        <w:rPr>
          <w:rFonts w:hint="eastAsia" w:ascii="Times New Roman" w:hAnsi="Times New Roman" w:cs="Times New Roman"/>
          <w:color w:val="auto"/>
          <w:szCs w:val="24"/>
          <w:lang w:eastAsia="zh-CN"/>
        </w:rPr>
        <w:t>安徽新洋丰农业科技有限公司100万吨/年新型作物专用肥项目</w:t>
      </w:r>
      <w:r>
        <w:rPr>
          <w:rFonts w:ascii="Times New Roman" w:hAnsi="Times New Roman" w:cs="Times New Roman"/>
          <w:color w:val="auto"/>
          <w:szCs w:val="24"/>
          <w:lang w:eastAsia="zh-CN"/>
        </w:rPr>
        <w:t>环境影响报告书》</w:t>
      </w:r>
      <w:r>
        <w:rPr>
          <w:rFonts w:hint="eastAsia" w:ascii="Times New Roman" w:hAnsi="Times New Roman" w:cs="Times New Roman"/>
          <w:color w:val="auto"/>
          <w:szCs w:val="24"/>
          <w:lang w:eastAsia="zh-CN"/>
        </w:rPr>
        <w:t>中数据，监测时间为</w:t>
      </w:r>
      <w:r>
        <w:rPr>
          <w:rFonts w:ascii="Times New Roman" w:hAnsi="Times New Roman" w:cs="Times New Roman"/>
          <w:color w:val="auto"/>
          <w:szCs w:val="24"/>
          <w:lang w:eastAsia="zh-CN"/>
        </w:rPr>
        <w:t>202</w:t>
      </w:r>
      <w:r>
        <w:rPr>
          <w:rFonts w:hint="eastAsia" w:ascii="Times New Roman" w:hAnsi="Times New Roman" w:cs="Times New Roman"/>
          <w:color w:val="auto"/>
          <w:szCs w:val="24"/>
          <w:lang w:eastAsia="zh-CN"/>
        </w:rPr>
        <w:t>5</w:t>
      </w:r>
      <w:r>
        <w:rPr>
          <w:rFonts w:ascii="Times New Roman" w:hAnsi="Times New Roman" w:cs="Times New Roman"/>
          <w:color w:val="auto"/>
          <w:szCs w:val="24"/>
          <w:lang w:eastAsia="zh-CN"/>
        </w:rPr>
        <w:t>年</w:t>
      </w:r>
      <w:r>
        <w:rPr>
          <w:rFonts w:hint="eastAsia" w:ascii="Times New Roman" w:hAnsi="Times New Roman" w:cs="Times New Roman"/>
          <w:color w:val="auto"/>
          <w:szCs w:val="24"/>
          <w:lang w:eastAsia="zh-CN"/>
        </w:rPr>
        <w:t>11</w:t>
      </w:r>
      <w:r>
        <w:rPr>
          <w:rFonts w:ascii="Times New Roman" w:hAnsi="Times New Roman" w:cs="Times New Roman"/>
          <w:color w:val="auto"/>
          <w:szCs w:val="24"/>
          <w:lang w:eastAsia="zh-CN"/>
        </w:rPr>
        <w:t>月</w:t>
      </w:r>
      <w:r>
        <w:rPr>
          <w:rFonts w:hint="eastAsia" w:ascii="Times New Roman" w:hAnsi="Times New Roman" w:cs="Times New Roman"/>
          <w:color w:val="auto"/>
          <w:szCs w:val="24"/>
          <w:lang w:eastAsia="zh-CN"/>
        </w:rPr>
        <w:t>05</w:t>
      </w:r>
      <w:r>
        <w:rPr>
          <w:rFonts w:ascii="Times New Roman" w:hAnsi="Times New Roman" w:cs="Times New Roman"/>
          <w:color w:val="auto"/>
          <w:szCs w:val="24"/>
          <w:lang w:eastAsia="zh-CN"/>
        </w:rPr>
        <w:t>日</w:t>
      </w:r>
      <w:r>
        <w:rPr>
          <w:rFonts w:hint="eastAsia" w:ascii="Times New Roman" w:hAnsi="Times New Roman" w:cs="Times New Roman"/>
          <w:color w:val="auto"/>
          <w:szCs w:val="24"/>
          <w:lang w:eastAsia="zh-CN"/>
        </w:rPr>
        <w:t>。</w:t>
      </w:r>
    </w:p>
    <w:p w14:paraId="18059C12">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D7、D8、D9水位监测点位引用《</w:t>
      </w:r>
      <w:r>
        <w:rPr>
          <w:rFonts w:ascii="Times New Roman" w:hAnsi="Times New Roman" w:cs="Times New Roman"/>
          <w:bCs/>
          <w:color w:val="auto"/>
          <w:szCs w:val="24"/>
          <w:lang w:eastAsia="zh-CN"/>
        </w:rPr>
        <w:t>安徽天润化学工业股份有限公司3万吨/年聚丙烯酰胺干粉项目</w:t>
      </w:r>
      <w:r>
        <w:rPr>
          <w:rFonts w:ascii="Times New Roman" w:hAnsi="Times New Roman" w:cs="Times New Roman"/>
          <w:color w:val="auto"/>
          <w:szCs w:val="24"/>
          <w:lang w:eastAsia="zh-CN"/>
        </w:rPr>
        <w:t>环境影响报告书》中数据，监测时间为2023年11月21日</w:t>
      </w:r>
      <w:bookmarkStart w:id="1268" w:name="_Toc26590"/>
      <w:bookmarkStart w:id="1269" w:name="_Toc6917"/>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D10水位监测点位引用《</w:t>
      </w:r>
      <w:r>
        <w:rPr>
          <w:rFonts w:ascii="Times New Roman" w:hAnsi="Times New Roman" w:cs="Times New Roman"/>
          <w:color w:val="auto"/>
          <w:szCs w:val="20"/>
          <w:lang w:val="zh-CN" w:eastAsia="zh-CN" w:bidi="ar"/>
        </w:rPr>
        <w:t>蚌埠阿迪亚新材料有限公司</w:t>
      </w:r>
      <w:r>
        <w:rPr>
          <w:rFonts w:ascii="Times New Roman" w:hAnsi="Times New Roman" w:cs="Times New Roman"/>
          <w:bCs/>
          <w:color w:val="auto"/>
          <w:szCs w:val="24"/>
          <w:lang w:val="zh-CN" w:eastAsia="zh-CN"/>
        </w:rPr>
        <w:t>年产</w:t>
      </w:r>
      <w:r>
        <w:rPr>
          <w:rFonts w:ascii="Times New Roman" w:hAnsi="Times New Roman" w:cs="Times New Roman"/>
          <w:bCs/>
          <w:color w:val="auto"/>
          <w:szCs w:val="24"/>
          <w:lang w:eastAsia="zh-CN"/>
        </w:rPr>
        <w:t>5000吨水性封闭聚异氰酸酯</w:t>
      </w:r>
      <w:r>
        <w:rPr>
          <w:rFonts w:ascii="Times New Roman" w:hAnsi="Times New Roman" w:cs="Times New Roman"/>
          <w:bCs/>
          <w:color w:val="auto"/>
          <w:szCs w:val="24"/>
          <w:lang w:val="zh-CN" w:eastAsia="zh-CN"/>
        </w:rPr>
        <w:t>项目</w:t>
      </w:r>
      <w:r>
        <w:rPr>
          <w:rFonts w:ascii="Times New Roman" w:hAnsi="Times New Roman" w:cs="Times New Roman"/>
          <w:color w:val="auto"/>
          <w:szCs w:val="24"/>
          <w:lang w:eastAsia="zh-CN"/>
        </w:rPr>
        <w:t>环境影响报告书》中数据，监测时间为2024年10月24日。</w:t>
      </w:r>
    </w:p>
    <w:p w14:paraId="6111D7A7">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（1）</w:t>
      </w:r>
      <w:r>
        <w:rPr>
          <w:rFonts w:ascii="Times New Roman" w:hAnsi="Times New Roman" w:cs="Times New Roman"/>
          <w:color w:val="auto"/>
          <w:szCs w:val="24"/>
          <w:lang w:eastAsia="zh-CN"/>
        </w:rPr>
        <w:t>监测点位布设</w:t>
      </w:r>
      <w:bookmarkEnd w:id="1268"/>
      <w:bookmarkEnd w:id="1269"/>
    </w:p>
    <w:p w14:paraId="048B1B21">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具体点位设置见下表下图。</w:t>
      </w:r>
    </w:p>
    <w:p w14:paraId="679C8552">
      <w:pPr>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表 5.2-</w:t>
      </w:r>
      <w:r>
        <w:rPr>
          <w:rFonts w:hint="eastAsia" w:ascii="Times New Roman" w:hAnsi="Times New Roman" w:cs="Times New Roman"/>
          <w:b/>
          <w:bCs/>
          <w:color w:val="auto"/>
          <w:szCs w:val="24"/>
          <w:lang w:eastAsia="zh-CN"/>
        </w:rPr>
        <w:t xml:space="preserve">9 </w:t>
      </w:r>
      <w:r>
        <w:rPr>
          <w:rFonts w:ascii="Times New Roman" w:hAnsi="Times New Roman" w:cs="Times New Roman"/>
          <w:b/>
          <w:bCs/>
          <w:color w:val="auto"/>
          <w:szCs w:val="24"/>
          <w:lang w:eastAsia="zh-CN"/>
        </w:rPr>
        <w:t xml:space="preserve"> 地下水环境质量现状监测点位一览表</w:t>
      </w:r>
    </w:p>
    <w:tbl>
      <w:tblPr>
        <w:tblStyle w:val="35"/>
        <w:tblW w:w="4994"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2" w:space="0"/>
        </w:tblBorders>
        <w:tblLayout w:type="autofit"/>
        <w:tblCellMar>
          <w:top w:w="0" w:type="dxa"/>
          <w:left w:w="0" w:type="dxa"/>
          <w:bottom w:w="0" w:type="dxa"/>
          <w:right w:w="0" w:type="dxa"/>
        </w:tblCellMar>
      </w:tblPr>
      <w:tblGrid>
        <w:gridCol w:w="1361"/>
        <w:gridCol w:w="2455"/>
        <w:gridCol w:w="1713"/>
        <w:gridCol w:w="1842"/>
        <w:gridCol w:w="2363"/>
      </w:tblGrid>
      <w:tr w14:paraId="72639B19">
        <w:tblPrEx>
          <w:tblBorders>
            <w:top w:val="single" w:color="000000" w:sz="12" w:space="0"/>
            <w:left w:val="none" w:color="auto" w:sz="0" w:space="0"/>
            <w:bottom w:val="single" w:color="000000" w:sz="12"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340" w:hRule="atLeast"/>
        </w:trPr>
        <w:tc>
          <w:tcPr>
            <w:tcW w:w="699" w:type="pct"/>
            <w:vAlign w:val="center"/>
          </w:tcPr>
          <w:p w14:paraId="7AB38DCD">
            <w:pPr>
              <w:jc w:val="center"/>
              <w:rPr>
                <w:rFonts w:ascii="Times New Roman" w:hAnsi="Times New Roman" w:cs="Times New Roman"/>
                <w:b/>
                <w:bCs/>
                <w:color w:val="auto"/>
                <w:sz w:val="21"/>
              </w:rPr>
            </w:pPr>
            <w:bookmarkStart w:id="1270" w:name="_Toc17451"/>
            <w:bookmarkStart w:id="1271" w:name="_Toc20045"/>
            <w:r>
              <w:rPr>
                <w:rFonts w:ascii="Times New Roman" w:hAnsi="Times New Roman" w:cs="Times New Roman"/>
                <w:b/>
                <w:bCs/>
                <w:color w:val="auto"/>
                <w:sz w:val="21"/>
              </w:rPr>
              <w:t>编号</w:t>
            </w:r>
          </w:p>
        </w:tc>
        <w:tc>
          <w:tcPr>
            <w:tcW w:w="1261" w:type="pct"/>
            <w:vAlign w:val="center"/>
          </w:tcPr>
          <w:p w14:paraId="5553EAB5">
            <w:pPr>
              <w:jc w:val="center"/>
              <w:rPr>
                <w:rFonts w:ascii="Times New Roman" w:hAnsi="Times New Roman" w:cs="Times New Roman"/>
                <w:b/>
                <w:bCs/>
                <w:color w:val="auto"/>
                <w:sz w:val="21"/>
              </w:rPr>
            </w:pPr>
            <w:r>
              <w:rPr>
                <w:rFonts w:ascii="Times New Roman" w:hAnsi="Times New Roman" w:cs="Times New Roman"/>
                <w:b/>
                <w:bCs/>
                <w:color w:val="auto"/>
                <w:sz w:val="21"/>
              </w:rPr>
              <w:t>监测点位置</w:t>
            </w:r>
          </w:p>
        </w:tc>
        <w:tc>
          <w:tcPr>
            <w:tcW w:w="880" w:type="pct"/>
            <w:vAlign w:val="center"/>
          </w:tcPr>
          <w:p w14:paraId="0F5FF7B3">
            <w:pPr>
              <w:jc w:val="center"/>
              <w:rPr>
                <w:rFonts w:ascii="Times New Roman" w:hAnsi="Times New Roman" w:cs="Times New Roman"/>
                <w:b/>
                <w:bCs/>
                <w:color w:val="auto"/>
                <w:sz w:val="21"/>
              </w:rPr>
            </w:pPr>
            <w:r>
              <w:rPr>
                <w:rFonts w:ascii="Times New Roman" w:hAnsi="Times New Roman" w:cs="Times New Roman"/>
                <w:b/>
                <w:bCs/>
                <w:color w:val="auto"/>
                <w:sz w:val="21"/>
              </w:rPr>
              <w:t>相对厂区方位</w:t>
            </w:r>
          </w:p>
        </w:tc>
        <w:tc>
          <w:tcPr>
            <w:tcW w:w="946" w:type="pct"/>
            <w:vAlign w:val="center"/>
          </w:tcPr>
          <w:p w14:paraId="6FAE4E9D">
            <w:pPr>
              <w:jc w:val="center"/>
              <w:rPr>
                <w:rFonts w:ascii="Times New Roman" w:hAnsi="Times New Roman" w:cs="Times New Roman"/>
                <w:b/>
                <w:bCs/>
                <w:color w:val="auto"/>
                <w:sz w:val="21"/>
              </w:rPr>
            </w:pPr>
            <w:r>
              <w:rPr>
                <w:rFonts w:ascii="Times New Roman" w:hAnsi="Times New Roman" w:cs="Times New Roman"/>
                <w:b/>
                <w:bCs/>
                <w:color w:val="auto"/>
                <w:sz w:val="21"/>
              </w:rPr>
              <w:t>与厂区距离(m)</w:t>
            </w:r>
          </w:p>
        </w:tc>
        <w:tc>
          <w:tcPr>
            <w:tcW w:w="1214" w:type="pct"/>
            <w:vAlign w:val="center"/>
          </w:tcPr>
          <w:p w14:paraId="0D0ACCE8">
            <w:pPr>
              <w:jc w:val="center"/>
              <w:rPr>
                <w:rFonts w:ascii="Times New Roman" w:hAnsi="Times New Roman" w:cs="Times New Roman"/>
                <w:b/>
                <w:bCs/>
                <w:color w:val="auto"/>
                <w:sz w:val="21"/>
              </w:rPr>
            </w:pPr>
            <w:r>
              <w:rPr>
                <w:rFonts w:ascii="Times New Roman" w:hAnsi="Times New Roman" w:cs="Times New Roman"/>
                <w:b/>
                <w:bCs/>
                <w:color w:val="auto"/>
                <w:sz w:val="21"/>
              </w:rPr>
              <w:t>监测井功能</w:t>
            </w:r>
          </w:p>
        </w:tc>
      </w:tr>
      <w:tr w14:paraId="3CA20C89">
        <w:tblPrEx>
          <w:tblBorders>
            <w:top w:val="single" w:color="000000" w:sz="12" w:space="0"/>
            <w:left w:val="none" w:color="auto" w:sz="0" w:space="0"/>
            <w:bottom w:val="single" w:color="000000" w:sz="12"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340" w:hRule="atLeast"/>
        </w:trPr>
        <w:tc>
          <w:tcPr>
            <w:tcW w:w="699" w:type="pct"/>
            <w:vAlign w:val="center"/>
          </w:tcPr>
          <w:p w14:paraId="7241FE79">
            <w:pPr>
              <w:jc w:val="center"/>
              <w:rPr>
                <w:rFonts w:ascii="Times New Roman" w:hAnsi="Times New Roman" w:cs="Times New Roman"/>
                <w:color w:val="auto"/>
                <w:sz w:val="21"/>
              </w:rPr>
            </w:pPr>
            <w:r>
              <w:rPr>
                <w:rFonts w:ascii="Times New Roman" w:hAnsi="Times New Roman" w:cs="Times New Roman"/>
                <w:color w:val="auto"/>
                <w:sz w:val="21"/>
              </w:rPr>
              <w:t>D1</w:t>
            </w:r>
          </w:p>
        </w:tc>
        <w:tc>
          <w:tcPr>
            <w:tcW w:w="1261" w:type="pct"/>
            <w:vAlign w:val="center"/>
          </w:tcPr>
          <w:p w14:paraId="68CC537A">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项目场地</w:t>
            </w:r>
          </w:p>
        </w:tc>
        <w:tc>
          <w:tcPr>
            <w:tcW w:w="880" w:type="pct"/>
            <w:vAlign w:val="center"/>
          </w:tcPr>
          <w:p w14:paraId="01AB6257">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946" w:type="pct"/>
            <w:vAlign w:val="center"/>
          </w:tcPr>
          <w:p w14:paraId="26E8501D">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1214" w:type="pct"/>
            <w:vAlign w:val="center"/>
          </w:tcPr>
          <w:p w14:paraId="39563E55">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厂区</w:t>
            </w:r>
            <w:r>
              <w:rPr>
                <w:rFonts w:ascii="Times New Roman" w:hAnsi="Times New Roman" w:cs="Times New Roman"/>
                <w:color w:val="auto"/>
                <w:sz w:val="21"/>
                <w:lang w:eastAsia="zh-CN"/>
              </w:rPr>
              <w:t>水质、水位监测点</w:t>
            </w:r>
          </w:p>
        </w:tc>
      </w:tr>
      <w:tr w14:paraId="01133501">
        <w:tblPrEx>
          <w:tblBorders>
            <w:top w:val="single" w:color="000000" w:sz="12" w:space="0"/>
            <w:left w:val="none" w:color="auto" w:sz="0" w:space="0"/>
            <w:bottom w:val="single" w:color="000000" w:sz="12"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340" w:hRule="atLeast"/>
        </w:trPr>
        <w:tc>
          <w:tcPr>
            <w:tcW w:w="699" w:type="pct"/>
            <w:vAlign w:val="center"/>
          </w:tcPr>
          <w:p w14:paraId="2FC7AC74">
            <w:pPr>
              <w:jc w:val="center"/>
              <w:rPr>
                <w:rFonts w:ascii="Times New Roman" w:hAnsi="Times New Roman" w:cs="Times New Roman"/>
                <w:color w:val="auto"/>
                <w:sz w:val="21"/>
              </w:rPr>
            </w:pPr>
            <w:r>
              <w:rPr>
                <w:rFonts w:ascii="Times New Roman" w:hAnsi="Times New Roman" w:cs="Times New Roman"/>
                <w:color w:val="auto"/>
                <w:sz w:val="21"/>
              </w:rPr>
              <w:t>D2</w:t>
            </w:r>
          </w:p>
        </w:tc>
        <w:tc>
          <w:tcPr>
            <w:tcW w:w="1261" w:type="pct"/>
            <w:vAlign w:val="center"/>
          </w:tcPr>
          <w:p w14:paraId="1A2F98F6">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三铺村</w:t>
            </w:r>
          </w:p>
        </w:tc>
        <w:tc>
          <w:tcPr>
            <w:tcW w:w="880" w:type="pct"/>
            <w:vAlign w:val="center"/>
          </w:tcPr>
          <w:p w14:paraId="2F0BDF66">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NW</w:t>
            </w:r>
          </w:p>
        </w:tc>
        <w:tc>
          <w:tcPr>
            <w:tcW w:w="946" w:type="pct"/>
            <w:vAlign w:val="center"/>
          </w:tcPr>
          <w:p w14:paraId="75861136">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2680</w:t>
            </w:r>
          </w:p>
        </w:tc>
        <w:tc>
          <w:tcPr>
            <w:tcW w:w="1214" w:type="pct"/>
            <w:vAlign w:val="center"/>
          </w:tcPr>
          <w:p w14:paraId="334F378F">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上游</w:t>
            </w:r>
            <w:r>
              <w:rPr>
                <w:rFonts w:ascii="Times New Roman" w:hAnsi="Times New Roman" w:cs="Times New Roman"/>
                <w:color w:val="auto"/>
                <w:sz w:val="21"/>
                <w:lang w:eastAsia="zh-CN"/>
              </w:rPr>
              <w:t>水质、水位监测点</w:t>
            </w:r>
          </w:p>
        </w:tc>
      </w:tr>
      <w:tr w14:paraId="199C8094">
        <w:tblPrEx>
          <w:tblBorders>
            <w:top w:val="single" w:color="000000" w:sz="12" w:space="0"/>
            <w:left w:val="none" w:color="auto" w:sz="0" w:space="0"/>
            <w:bottom w:val="single" w:color="000000" w:sz="12"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340" w:hRule="atLeast"/>
        </w:trPr>
        <w:tc>
          <w:tcPr>
            <w:tcW w:w="699" w:type="pct"/>
            <w:vAlign w:val="center"/>
          </w:tcPr>
          <w:p w14:paraId="58E528D9">
            <w:pPr>
              <w:jc w:val="center"/>
              <w:rPr>
                <w:rFonts w:ascii="Times New Roman" w:hAnsi="Times New Roman" w:cs="Times New Roman"/>
                <w:color w:val="auto"/>
                <w:sz w:val="21"/>
              </w:rPr>
            </w:pPr>
            <w:r>
              <w:rPr>
                <w:rFonts w:ascii="Times New Roman" w:hAnsi="Times New Roman" w:cs="Times New Roman"/>
                <w:color w:val="auto"/>
                <w:sz w:val="21"/>
                <w:lang w:eastAsia="zh-CN"/>
              </w:rPr>
              <w:t>D3</w:t>
            </w:r>
          </w:p>
        </w:tc>
        <w:tc>
          <w:tcPr>
            <w:tcW w:w="1261" w:type="pct"/>
            <w:vAlign w:val="center"/>
          </w:tcPr>
          <w:p w14:paraId="6A5D0398">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夏家湖</w:t>
            </w:r>
          </w:p>
        </w:tc>
        <w:tc>
          <w:tcPr>
            <w:tcW w:w="880" w:type="pct"/>
            <w:vAlign w:val="center"/>
          </w:tcPr>
          <w:p w14:paraId="0D5FBFB4">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SE</w:t>
            </w:r>
          </w:p>
        </w:tc>
        <w:tc>
          <w:tcPr>
            <w:tcW w:w="946" w:type="pct"/>
            <w:vAlign w:val="center"/>
          </w:tcPr>
          <w:p w14:paraId="2D4A1BEE">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1390</w:t>
            </w:r>
          </w:p>
        </w:tc>
        <w:tc>
          <w:tcPr>
            <w:tcW w:w="1214" w:type="pct"/>
            <w:vAlign w:val="center"/>
          </w:tcPr>
          <w:p w14:paraId="0F1E5481">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下游</w:t>
            </w:r>
            <w:r>
              <w:rPr>
                <w:rFonts w:ascii="Times New Roman" w:hAnsi="Times New Roman" w:cs="Times New Roman"/>
                <w:color w:val="auto"/>
                <w:sz w:val="21"/>
                <w:lang w:eastAsia="zh-CN"/>
              </w:rPr>
              <w:t>水质、水位监测点</w:t>
            </w:r>
          </w:p>
        </w:tc>
      </w:tr>
      <w:tr w14:paraId="1F9C947F">
        <w:tblPrEx>
          <w:tblBorders>
            <w:top w:val="single" w:color="000000" w:sz="12" w:space="0"/>
            <w:left w:val="none" w:color="auto" w:sz="0" w:space="0"/>
            <w:bottom w:val="single" w:color="000000" w:sz="12"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340" w:hRule="atLeast"/>
        </w:trPr>
        <w:tc>
          <w:tcPr>
            <w:tcW w:w="699" w:type="pct"/>
            <w:vAlign w:val="center"/>
          </w:tcPr>
          <w:p w14:paraId="23FD6B95">
            <w:pPr>
              <w:jc w:val="center"/>
              <w:rPr>
                <w:rFonts w:ascii="Times New Roman" w:hAnsi="Times New Roman" w:cs="Times New Roman"/>
                <w:color w:val="auto"/>
                <w:sz w:val="21"/>
                <w:lang w:eastAsia="zh-CN"/>
              </w:rPr>
            </w:pPr>
            <w:r>
              <w:rPr>
                <w:rFonts w:ascii="Times New Roman" w:hAnsi="Times New Roman" w:cs="Times New Roman"/>
                <w:color w:val="auto"/>
                <w:sz w:val="21"/>
              </w:rPr>
              <w:t>D</w:t>
            </w:r>
            <w:r>
              <w:rPr>
                <w:rFonts w:ascii="Times New Roman" w:hAnsi="Times New Roman" w:cs="Times New Roman"/>
                <w:color w:val="auto"/>
                <w:sz w:val="21"/>
                <w:lang w:eastAsia="zh-CN"/>
              </w:rPr>
              <w:t>4</w:t>
            </w:r>
          </w:p>
        </w:tc>
        <w:tc>
          <w:tcPr>
            <w:tcW w:w="1261" w:type="pct"/>
            <w:vAlign w:val="center"/>
          </w:tcPr>
          <w:p w14:paraId="4C150759">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新洋丰厂区</w:t>
            </w:r>
          </w:p>
        </w:tc>
        <w:tc>
          <w:tcPr>
            <w:tcW w:w="880" w:type="pct"/>
            <w:vAlign w:val="center"/>
          </w:tcPr>
          <w:p w14:paraId="5DC7C177">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NW</w:t>
            </w:r>
          </w:p>
        </w:tc>
        <w:tc>
          <w:tcPr>
            <w:tcW w:w="946" w:type="pct"/>
            <w:vAlign w:val="center"/>
          </w:tcPr>
          <w:p w14:paraId="5355CDCB">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210</w:t>
            </w:r>
          </w:p>
        </w:tc>
        <w:tc>
          <w:tcPr>
            <w:tcW w:w="1214" w:type="pct"/>
            <w:vAlign w:val="center"/>
          </w:tcPr>
          <w:p w14:paraId="1DC4BD3D">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两侧</w:t>
            </w:r>
            <w:r>
              <w:rPr>
                <w:rFonts w:ascii="Times New Roman" w:hAnsi="Times New Roman" w:cs="Times New Roman"/>
                <w:color w:val="auto"/>
                <w:sz w:val="21"/>
                <w:lang w:eastAsia="zh-CN"/>
              </w:rPr>
              <w:t>水质、水位监测点</w:t>
            </w:r>
          </w:p>
        </w:tc>
      </w:tr>
      <w:tr w14:paraId="0F3C698B">
        <w:tblPrEx>
          <w:tblBorders>
            <w:top w:val="single" w:color="000000" w:sz="12" w:space="0"/>
            <w:left w:val="none" w:color="auto" w:sz="0" w:space="0"/>
            <w:bottom w:val="single" w:color="000000" w:sz="12"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340" w:hRule="atLeast"/>
        </w:trPr>
        <w:tc>
          <w:tcPr>
            <w:tcW w:w="699" w:type="pct"/>
            <w:vAlign w:val="center"/>
          </w:tcPr>
          <w:p w14:paraId="54F97C9D">
            <w:pPr>
              <w:jc w:val="center"/>
              <w:rPr>
                <w:rFonts w:ascii="Times New Roman" w:hAnsi="Times New Roman" w:cs="Times New Roman"/>
                <w:color w:val="auto"/>
                <w:sz w:val="21"/>
              </w:rPr>
            </w:pPr>
            <w:r>
              <w:rPr>
                <w:rFonts w:ascii="Times New Roman" w:hAnsi="Times New Roman" w:cs="Times New Roman"/>
                <w:color w:val="auto"/>
                <w:sz w:val="21"/>
              </w:rPr>
              <w:t>D5</w:t>
            </w:r>
          </w:p>
        </w:tc>
        <w:tc>
          <w:tcPr>
            <w:tcW w:w="1261" w:type="pct"/>
            <w:vAlign w:val="center"/>
          </w:tcPr>
          <w:p w14:paraId="022E80E2">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海华科技厂区</w:t>
            </w:r>
          </w:p>
        </w:tc>
        <w:tc>
          <w:tcPr>
            <w:tcW w:w="880" w:type="pct"/>
            <w:vAlign w:val="center"/>
          </w:tcPr>
          <w:p w14:paraId="4D131C84">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SW</w:t>
            </w:r>
          </w:p>
        </w:tc>
        <w:tc>
          <w:tcPr>
            <w:tcW w:w="946" w:type="pct"/>
            <w:vAlign w:val="center"/>
          </w:tcPr>
          <w:p w14:paraId="7139D98E">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970</w:t>
            </w:r>
          </w:p>
        </w:tc>
        <w:tc>
          <w:tcPr>
            <w:tcW w:w="1214" w:type="pct"/>
            <w:vAlign w:val="center"/>
          </w:tcPr>
          <w:p w14:paraId="535C191E">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两侧</w:t>
            </w:r>
            <w:r>
              <w:rPr>
                <w:rFonts w:ascii="Times New Roman" w:hAnsi="Times New Roman" w:cs="Times New Roman"/>
                <w:color w:val="auto"/>
                <w:sz w:val="21"/>
                <w:lang w:eastAsia="zh-CN"/>
              </w:rPr>
              <w:t>水质、水位监测点</w:t>
            </w:r>
          </w:p>
        </w:tc>
      </w:tr>
      <w:tr w14:paraId="748D26EC">
        <w:tblPrEx>
          <w:tblBorders>
            <w:top w:val="single" w:color="000000" w:sz="12" w:space="0"/>
            <w:left w:val="none" w:color="auto" w:sz="0" w:space="0"/>
            <w:bottom w:val="single" w:color="000000" w:sz="12"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340" w:hRule="atLeast"/>
        </w:trPr>
        <w:tc>
          <w:tcPr>
            <w:tcW w:w="699" w:type="pct"/>
            <w:vAlign w:val="center"/>
          </w:tcPr>
          <w:p w14:paraId="1BA9C494">
            <w:pPr>
              <w:jc w:val="center"/>
              <w:rPr>
                <w:rFonts w:ascii="Times New Roman" w:hAnsi="Times New Roman" w:cs="Times New Roman"/>
                <w:color w:val="auto"/>
                <w:sz w:val="21"/>
              </w:rPr>
            </w:pPr>
            <w:r>
              <w:rPr>
                <w:rFonts w:ascii="Times New Roman" w:hAnsi="Times New Roman" w:cs="Times New Roman"/>
                <w:color w:val="auto"/>
                <w:sz w:val="21"/>
              </w:rPr>
              <w:t>D6</w:t>
            </w:r>
          </w:p>
        </w:tc>
        <w:tc>
          <w:tcPr>
            <w:tcW w:w="1261" w:type="pct"/>
            <w:vAlign w:val="center"/>
          </w:tcPr>
          <w:p w14:paraId="5AE71564">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兴国包装厂区</w:t>
            </w:r>
          </w:p>
        </w:tc>
        <w:tc>
          <w:tcPr>
            <w:tcW w:w="880" w:type="pct"/>
            <w:vAlign w:val="center"/>
          </w:tcPr>
          <w:p w14:paraId="6E2C7CEF">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SW</w:t>
            </w:r>
          </w:p>
        </w:tc>
        <w:tc>
          <w:tcPr>
            <w:tcW w:w="946" w:type="pct"/>
            <w:vAlign w:val="center"/>
          </w:tcPr>
          <w:p w14:paraId="3BC1D456">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910</w:t>
            </w:r>
          </w:p>
        </w:tc>
        <w:tc>
          <w:tcPr>
            <w:tcW w:w="1214" w:type="pct"/>
            <w:vAlign w:val="center"/>
          </w:tcPr>
          <w:p w14:paraId="15FBB64B">
            <w:pPr>
              <w:jc w:val="center"/>
              <w:rPr>
                <w:rFonts w:ascii="Times New Roman" w:hAnsi="Times New Roman" w:cs="Times New Roman"/>
                <w:color w:val="auto"/>
                <w:sz w:val="21"/>
                <w:lang w:eastAsia="zh-CN"/>
              </w:rPr>
            </w:pPr>
            <w:r>
              <w:rPr>
                <w:rFonts w:ascii="Times New Roman" w:hAnsi="Times New Roman" w:cs="Times New Roman"/>
                <w:color w:val="auto"/>
                <w:sz w:val="21"/>
              </w:rPr>
              <w:t>水位监测点</w:t>
            </w:r>
          </w:p>
        </w:tc>
      </w:tr>
      <w:tr w14:paraId="0D7C1193">
        <w:tblPrEx>
          <w:tblBorders>
            <w:top w:val="single" w:color="000000" w:sz="12" w:space="0"/>
            <w:left w:val="none" w:color="auto" w:sz="0" w:space="0"/>
            <w:bottom w:val="single" w:color="000000" w:sz="12"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340" w:hRule="atLeast"/>
        </w:trPr>
        <w:tc>
          <w:tcPr>
            <w:tcW w:w="699" w:type="pct"/>
            <w:vAlign w:val="center"/>
          </w:tcPr>
          <w:p w14:paraId="661B171B">
            <w:pPr>
              <w:jc w:val="center"/>
              <w:rPr>
                <w:rFonts w:ascii="Times New Roman" w:hAnsi="Times New Roman" w:cs="Times New Roman"/>
                <w:color w:val="auto"/>
                <w:sz w:val="21"/>
              </w:rPr>
            </w:pPr>
            <w:r>
              <w:rPr>
                <w:rFonts w:ascii="Times New Roman" w:hAnsi="Times New Roman" w:cs="Times New Roman"/>
                <w:color w:val="auto"/>
                <w:sz w:val="21"/>
              </w:rPr>
              <w:t>D7</w:t>
            </w:r>
          </w:p>
        </w:tc>
        <w:tc>
          <w:tcPr>
            <w:tcW w:w="1261" w:type="pct"/>
            <w:vAlign w:val="center"/>
          </w:tcPr>
          <w:p w14:paraId="38524BE3">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天润化学厂区</w:t>
            </w:r>
          </w:p>
        </w:tc>
        <w:tc>
          <w:tcPr>
            <w:tcW w:w="880" w:type="pct"/>
            <w:vAlign w:val="center"/>
          </w:tcPr>
          <w:p w14:paraId="48361E94">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SW</w:t>
            </w:r>
          </w:p>
        </w:tc>
        <w:tc>
          <w:tcPr>
            <w:tcW w:w="946" w:type="pct"/>
            <w:vAlign w:val="center"/>
          </w:tcPr>
          <w:p w14:paraId="5F3FE8CF">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1740</w:t>
            </w:r>
          </w:p>
        </w:tc>
        <w:tc>
          <w:tcPr>
            <w:tcW w:w="1214" w:type="pct"/>
            <w:vAlign w:val="center"/>
          </w:tcPr>
          <w:p w14:paraId="31D32D42">
            <w:pPr>
              <w:jc w:val="center"/>
              <w:rPr>
                <w:rFonts w:ascii="Times New Roman" w:hAnsi="Times New Roman" w:cs="Times New Roman"/>
                <w:color w:val="auto"/>
                <w:sz w:val="21"/>
              </w:rPr>
            </w:pPr>
            <w:r>
              <w:rPr>
                <w:rFonts w:ascii="Times New Roman" w:hAnsi="Times New Roman" w:cs="Times New Roman"/>
                <w:color w:val="auto"/>
                <w:sz w:val="21"/>
              </w:rPr>
              <w:t>水位监测点</w:t>
            </w:r>
          </w:p>
        </w:tc>
      </w:tr>
      <w:tr w14:paraId="7FF641EF">
        <w:tblPrEx>
          <w:tblBorders>
            <w:top w:val="single" w:color="000000" w:sz="12" w:space="0"/>
            <w:left w:val="none" w:color="auto" w:sz="0" w:space="0"/>
            <w:bottom w:val="single" w:color="000000" w:sz="12"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340" w:hRule="atLeast"/>
        </w:trPr>
        <w:tc>
          <w:tcPr>
            <w:tcW w:w="699" w:type="pct"/>
            <w:vAlign w:val="center"/>
          </w:tcPr>
          <w:p w14:paraId="6BBAEAA6">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D8</w:t>
            </w:r>
          </w:p>
        </w:tc>
        <w:tc>
          <w:tcPr>
            <w:tcW w:w="1261" w:type="pct"/>
            <w:vAlign w:val="center"/>
          </w:tcPr>
          <w:p w14:paraId="7CC8CF9F">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蚌埠晟特厂区</w:t>
            </w:r>
          </w:p>
        </w:tc>
        <w:tc>
          <w:tcPr>
            <w:tcW w:w="880" w:type="pct"/>
            <w:vAlign w:val="center"/>
          </w:tcPr>
          <w:p w14:paraId="3ED20790">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SW</w:t>
            </w:r>
          </w:p>
        </w:tc>
        <w:tc>
          <w:tcPr>
            <w:tcW w:w="946" w:type="pct"/>
            <w:vAlign w:val="center"/>
          </w:tcPr>
          <w:p w14:paraId="1A790272">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3710</w:t>
            </w:r>
          </w:p>
        </w:tc>
        <w:tc>
          <w:tcPr>
            <w:tcW w:w="1214" w:type="pct"/>
            <w:vAlign w:val="center"/>
          </w:tcPr>
          <w:p w14:paraId="2F5F8ECE">
            <w:pPr>
              <w:jc w:val="center"/>
              <w:rPr>
                <w:rFonts w:ascii="Times New Roman" w:hAnsi="Times New Roman" w:cs="Times New Roman"/>
                <w:color w:val="auto"/>
                <w:sz w:val="21"/>
              </w:rPr>
            </w:pPr>
            <w:r>
              <w:rPr>
                <w:rFonts w:ascii="Times New Roman" w:hAnsi="Times New Roman" w:cs="Times New Roman"/>
                <w:color w:val="auto"/>
                <w:sz w:val="21"/>
                <w:lang w:eastAsia="zh-CN"/>
              </w:rPr>
              <w:t>水位</w:t>
            </w:r>
            <w:r>
              <w:rPr>
                <w:rFonts w:ascii="Times New Roman" w:hAnsi="Times New Roman" w:cs="Times New Roman"/>
                <w:color w:val="auto"/>
                <w:sz w:val="21"/>
              </w:rPr>
              <w:t>监测点</w:t>
            </w:r>
          </w:p>
        </w:tc>
      </w:tr>
      <w:tr w14:paraId="277380AA">
        <w:tblPrEx>
          <w:tblBorders>
            <w:top w:val="single" w:color="000000" w:sz="12" w:space="0"/>
            <w:left w:val="none" w:color="auto" w:sz="0" w:space="0"/>
            <w:bottom w:val="single" w:color="000000" w:sz="12"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340" w:hRule="atLeast"/>
        </w:trPr>
        <w:tc>
          <w:tcPr>
            <w:tcW w:w="699" w:type="pct"/>
            <w:vAlign w:val="center"/>
          </w:tcPr>
          <w:p w14:paraId="254C6A82">
            <w:pPr>
              <w:jc w:val="center"/>
              <w:rPr>
                <w:rFonts w:ascii="Times New Roman" w:hAnsi="Times New Roman" w:cs="Times New Roman"/>
                <w:color w:val="auto"/>
                <w:sz w:val="21"/>
                <w:lang w:eastAsia="zh-CN"/>
              </w:rPr>
            </w:pPr>
            <w:r>
              <w:rPr>
                <w:rFonts w:ascii="Times New Roman" w:hAnsi="Times New Roman" w:cs="Times New Roman"/>
                <w:color w:val="auto"/>
                <w:sz w:val="21"/>
              </w:rPr>
              <w:t>D</w:t>
            </w:r>
            <w:r>
              <w:rPr>
                <w:rFonts w:ascii="Times New Roman" w:hAnsi="Times New Roman" w:cs="Times New Roman"/>
                <w:color w:val="auto"/>
                <w:sz w:val="21"/>
                <w:lang w:eastAsia="zh-CN"/>
              </w:rPr>
              <w:t>9</w:t>
            </w:r>
          </w:p>
        </w:tc>
        <w:tc>
          <w:tcPr>
            <w:tcW w:w="1261" w:type="pct"/>
            <w:vAlign w:val="center"/>
          </w:tcPr>
          <w:p w14:paraId="7F9EBA4A">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草杨家</w:t>
            </w:r>
          </w:p>
        </w:tc>
        <w:tc>
          <w:tcPr>
            <w:tcW w:w="880" w:type="pct"/>
            <w:vAlign w:val="center"/>
          </w:tcPr>
          <w:p w14:paraId="075DAA83">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E</w:t>
            </w:r>
          </w:p>
        </w:tc>
        <w:tc>
          <w:tcPr>
            <w:tcW w:w="946" w:type="pct"/>
            <w:vAlign w:val="center"/>
          </w:tcPr>
          <w:p w14:paraId="2F63205C">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1050</w:t>
            </w:r>
          </w:p>
        </w:tc>
        <w:tc>
          <w:tcPr>
            <w:tcW w:w="1214" w:type="pct"/>
            <w:vAlign w:val="center"/>
          </w:tcPr>
          <w:p w14:paraId="08DD28D1">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水位</w:t>
            </w:r>
            <w:r>
              <w:rPr>
                <w:rFonts w:ascii="Times New Roman" w:hAnsi="Times New Roman" w:cs="Times New Roman"/>
                <w:color w:val="auto"/>
                <w:sz w:val="21"/>
              </w:rPr>
              <w:t>监测点</w:t>
            </w:r>
          </w:p>
        </w:tc>
      </w:tr>
      <w:tr w14:paraId="37BAED0C">
        <w:tblPrEx>
          <w:tblBorders>
            <w:top w:val="single" w:color="000000" w:sz="12" w:space="0"/>
            <w:left w:val="none" w:color="auto" w:sz="0" w:space="0"/>
            <w:bottom w:val="single" w:color="000000" w:sz="12"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340" w:hRule="atLeast"/>
        </w:trPr>
        <w:tc>
          <w:tcPr>
            <w:tcW w:w="699" w:type="pct"/>
            <w:vAlign w:val="center"/>
          </w:tcPr>
          <w:p w14:paraId="151BD014">
            <w:pPr>
              <w:jc w:val="center"/>
              <w:rPr>
                <w:rFonts w:ascii="Times New Roman" w:hAnsi="Times New Roman" w:cs="Times New Roman"/>
                <w:color w:val="auto"/>
                <w:sz w:val="21"/>
              </w:rPr>
            </w:pPr>
            <w:r>
              <w:rPr>
                <w:rFonts w:ascii="Times New Roman" w:hAnsi="Times New Roman" w:cs="Times New Roman"/>
                <w:color w:val="auto"/>
                <w:sz w:val="21"/>
              </w:rPr>
              <w:t>D10</w:t>
            </w:r>
          </w:p>
        </w:tc>
        <w:tc>
          <w:tcPr>
            <w:tcW w:w="1261" w:type="pct"/>
            <w:vAlign w:val="center"/>
          </w:tcPr>
          <w:p w14:paraId="670A4C55">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蚌埠阿迪亚新厂区</w:t>
            </w:r>
          </w:p>
        </w:tc>
        <w:tc>
          <w:tcPr>
            <w:tcW w:w="880" w:type="pct"/>
            <w:vAlign w:val="center"/>
          </w:tcPr>
          <w:p w14:paraId="111F3425">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SW</w:t>
            </w:r>
          </w:p>
        </w:tc>
        <w:tc>
          <w:tcPr>
            <w:tcW w:w="946" w:type="pct"/>
            <w:vAlign w:val="center"/>
          </w:tcPr>
          <w:p w14:paraId="75202C0E">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3680</w:t>
            </w:r>
          </w:p>
        </w:tc>
        <w:tc>
          <w:tcPr>
            <w:tcW w:w="1214" w:type="pct"/>
            <w:vAlign w:val="center"/>
          </w:tcPr>
          <w:p w14:paraId="6E471343">
            <w:pPr>
              <w:jc w:val="center"/>
              <w:rPr>
                <w:rFonts w:ascii="Times New Roman" w:hAnsi="Times New Roman" w:cs="Times New Roman"/>
                <w:color w:val="auto"/>
                <w:sz w:val="21"/>
                <w:lang w:eastAsia="zh-CN"/>
              </w:rPr>
            </w:pPr>
            <w:r>
              <w:rPr>
                <w:rFonts w:ascii="Times New Roman" w:hAnsi="Times New Roman" w:cs="Times New Roman"/>
                <w:color w:val="auto"/>
                <w:sz w:val="21"/>
              </w:rPr>
              <w:t>水位监测点</w:t>
            </w:r>
          </w:p>
        </w:tc>
      </w:tr>
      <w:bookmarkEnd w:id="1270"/>
      <w:bookmarkEnd w:id="1271"/>
    </w:tbl>
    <w:p w14:paraId="1924BB01">
      <w:pPr>
        <w:spacing w:line="360" w:lineRule="auto"/>
        <w:ind w:left="48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（2）</w:t>
      </w:r>
      <w:r>
        <w:rPr>
          <w:rFonts w:ascii="Times New Roman" w:hAnsi="Times New Roman" w:cs="Times New Roman"/>
          <w:color w:val="auto"/>
          <w:szCs w:val="24"/>
          <w:lang w:eastAsia="zh-CN"/>
        </w:rPr>
        <w:t>监测项目</w:t>
      </w:r>
    </w:p>
    <w:p w14:paraId="3126E071">
      <w:pPr>
        <w:spacing w:line="360" w:lineRule="auto"/>
        <w:ind w:firstLine="480" w:firstLineChars="200"/>
        <w:rPr>
          <w:rFonts w:ascii="Times New Roman" w:hAnsi="Times New Roman" w:cs="Times New Roman"/>
          <w:color w:val="auto"/>
          <w:szCs w:val="28"/>
          <w:lang w:eastAsia="zh-CN"/>
        </w:rPr>
      </w:pPr>
      <w:r>
        <w:rPr>
          <w:rFonts w:ascii="Times New Roman" w:hAnsi="Times New Roman" w:cs="Times New Roman"/>
          <w:color w:val="auto"/>
          <w:szCs w:val="28"/>
          <w:lang w:eastAsia="zh-CN"/>
        </w:rPr>
        <w:t>检测分析离子：K</w:t>
      </w:r>
      <w:r>
        <w:rPr>
          <w:rFonts w:ascii="Times New Roman" w:hAnsi="Times New Roman" w:cs="Times New Roman"/>
          <w:color w:val="auto"/>
          <w:szCs w:val="28"/>
          <w:vertAlign w:val="superscript"/>
          <w:lang w:eastAsia="zh-CN"/>
        </w:rPr>
        <w:t>+</w:t>
      </w:r>
      <w:r>
        <w:rPr>
          <w:rFonts w:ascii="Times New Roman" w:hAnsi="Times New Roman" w:cs="Times New Roman"/>
          <w:color w:val="auto"/>
          <w:szCs w:val="28"/>
          <w:lang w:eastAsia="zh-CN"/>
        </w:rPr>
        <w:t>、Na</w:t>
      </w:r>
      <w:r>
        <w:rPr>
          <w:rFonts w:ascii="Times New Roman" w:hAnsi="Times New Roman" w:cs="Times New Roman"/>
          <w:color w:val="auto"/>
          <w:szCs w:val="28"/>
          <w:vertAlign w:val="superscript"/>
          <w:lang w:eastAsia="zh-CN"/>
        </w:rPr>
        <w:t>+</w:t>
      </w:r>
      <w:r>
        <w:rPr>
          <w:rFonts w:ascii="Times New Roman" w:hAnsi="Times New Roman" w:cs="Times New Roman"/>
          <w:color w:val="auto"/>
          <w:szCs w:val="28"/>
          <w:lang w:eastAsia="zh-CN"/>
        </w:rPr>
        <w:t>、Ca</w:t>
      </w:r>
      <w:r>
        <w:rPr>
          <w:rFonts w:ascii="Times New Roman" w:hAnsi="Times New Roman" w:cs="Times New Roman"/>
          <w:color w:val="auto"/>
          <w:szCs w:val="28"/>
          <w:vertAlign w:val="superscript"/>
          <w:lang w:eastAsia="zh-CN"/>
        </w:rPr>
        <w:t>2+</w:t>
      </w:r>
      <w:r>
        <w:rPr>
          <w:rFonts w:ascii="Times New Roman" w:hAnsi="Times New Roman" w:cs="Times New Roman"/>
          <w:color w:val="auto"/>
          <w:szCs w:val="28"/>
          <w:lang w:eastAsia="zh-CN"/>
        </w:rPr>
        <w:t>、Mg</w:t>
      </w:r>
      <w:r>
        <w:rPr>
          <w:rFonts w:ascii="Times New Roman" w:hAnsi="Times New Roman" w:cs="Times New Roman"/>
          <w:color w:val="auto"/>
          <w:szCs w:val="28"/>
          <w:vertAlign w:val="superscript"/>
          <w:lang w:eastAsia="zh-CN"/>
        </w:rPr>
        <w:t>2+</w:t>
      </w:r>
      <w:r>
        <w:rPr>
          <w:rFonts w:ascii="Times New Roman" w:hAnsi="Times New Roman" w:cs="Times New Roman"/>
          <w:color w:val="auto"/>
          <w:szCs w:val="28"/>
          <w:lang w:eastAsia="zh-CN"/>
        </w:rPr>
        <w:t>、CO</w:t>
      </w:r>
      <w:r>
        <w:rPr>
          <w:rFonts w:ascii="Times New Roman" w:hAnsi="Times New Roman" w:cs="Times New Roman"/>
          <w:color w:val="auto"/>
          <w:szCs w:val="28"/>
          <w:vertAlign w:val="subscript"/>
          <w:lang w:eastAsia="zh-CN"/>
        </w:rPr>
        <w:t>3</w:t>
      </w:r>
      <w:r>
        <w:rPr>
          <w:rFonts w:ascii="Times New Roman" w:hAnsi="Times New Roman" w:cs="Times New Roman"/>
          <w:color w:val="auto"/>
          <w:szCs w:val="28"/>
          <w:vertAlign w:val="superscript"/>
          <w:lang w:eastAsia="zh-CN"/>
        </w:rPr>
        <w:t>2-</w:t>
      </w:r>
      <w:r>
        <w:rPr>
          <w:rFonts w:ascii="Times New Roman" w:hAnsi="Times New Roman" w:cs="Times New Roman"/>
          <w:color w:val="auto"/>
          <w:szCs w:val="28"/>
          <w:lang w:eastAsia="zh-CN"/>
        </w:rPr>
        <w:t>、HCO</w:t>
      </w:r>
      <w:r>
        <w:rPr>
          <w:rFonts w:ascii="Times New Roman" w:hAnsi="Times New Roman" w:cs="Times New Roman"/>
          <w:color w:val="auto"/>
          <w:szCs w:val="28"/>
          <w:vertAlign w:val="subscript"/>
          <w:lang w:eastAsia="zh-CN"/>
        </w:rPr>
        <w:t>3</w:t>
      </w:r>
      <w:r>
        <w:rPr>
          <w:rFonts w:ascii="Times New Roman" w:hAnsi="Times New Roman" w:cs="Times New Roman"/>
          <w:color w:val="auto"/>
          <w:szCs w:val="28"/>
          <w:vertAlign w:val="superscript"/>
          <w:lang w:eastAsia="zh-CN"/>
        </w:rPr>
        <w:t>-</w:t>
      </w:r>
      <w:r>
        <w:rPr>
          <w:rFonts w:ascii="Times New Roman" w:hAnsi="Times New Roman" w:cs="Times New Roman"/>
          <w:color w:val="auto"/>
          <w:szCs w:val="28"/>
          <w:lang w:eastAsia="zh-CN"/>
        </w:rPr>
        <w:t>、Cl</w:t>
      </w:r>
      <w:r>
        <w:rPr>
          <w:rFonts w:ascii="Times New Roman" w:hAnsi="Times New Roman" w:cs="Times New Roman"/>
          <w:color w:val="auto"/>
          <w:szCs w:val="28"/>
          <w:vertAlign w:val="superscript"/>
          <w:lang w:eastAsia="zh-CN"/>
        </w:rPr>
        <w:t>-</w:t>
      </w:r>
      <w:r>
        <w:rPr>
          <w:rFonts w:ascii="Times New Roman" w:hAnsi="Times New Roman" w:cs="Times New Roman"/>
          <w:color w:val="auto"/>
          <w:szCs w:val="28"/>
          <w:lang w:eastAsia="zh-CN"/>
        </w:rPr>
        <w:t>、SO</w:t>
      </w:r>
      <w:r>
        <w:rPr>
          <w:rFonts w:ascii="Times New Roman" w:hAnsi="Times New Roman" w:cs="Times New Roman"/>
          <w:color w:val="auto"/>
          <w:szCs w:val="28"/>
          <w:vertAlign w:val="subscript"/>
          <w:lang w:eastAsia="zh-CN"/>
        </w:rPr>
        <w:t>4</w:t>
      </w:r>
      <w:r>
        <w:rPr>
          <w:rFonts w:ascii="Times New Roman" w:hAnsi="Times New Roman" w:cs="Times New Roman"/>
          <w:color w:val="auto"/>
          <w:szCs w:val="28"/>
          <w:vertAlign w:val="superscript"/>
          <w:lang w:eastAsia="zh-CN"/>
        </w:rPr>
        <w:t>2-</w:t>
      </w:r>
      <w:r>
        <w:rPr>
          <w:rFonts w:ascii="Times New Roman" w:hAnsi="Times New Roman" w:cs="Times New Roman"/>
          <w:color w:val="auto"/>
          <w:szCs w:val="28"/>
          <w:lang w:eastAsia="zh-CN"/>
        </w:rPr>
        <w:t>；</w:t>
      </w:r>
    </w:p>
    <w:p w14:paraId="3B7D290A">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szCs w:val="28"/>
          <w:lang w:eastAsia="zh-CN"/>
        </w:rPr>
        <w:t>基本项目：</w:t>
      </w:r>
      <w:bookmarkStart w:id="1272" w:name="_Hlk176941954"/>
      <w:r>
        <w:rPr>
          <w:rFonts w:ascii="Times New Roman" w:hAnsi="Times New Roman" w:cs="Times New Roman"/>
          <w:color w:val="auto"/>
          <w:szCs w:val="28"/>
          <w:lang w:eastAsia="zh-CN"/>
        </w:rPr>
        <w:t>pH、氨氮、硝酸盐、亚硝酸盐、</w:t>
      </w:r>
      <w:r>
        <w:rPr>
          <w:rFonts w:hint="eastAsia" w:ascii="Times New Roman" w:hAnsi="Times New Roman" w:cs="Times New Roman"/>
          <w:color w:val="auto"/>
          <w:szCs w:val="28"/>
          <w:lang w:eastAsia="zh-CN"/>
        </w:rPr>
        <w:t>氯化物、</w:t>
      </w:r>
      <w:r>
        <w:rPr>
          <w:rFonts w:ascii="Times New Roman" w:hAnsi="Times New Roman" w:cs="Times New Roman"/>
          <w:color w:val="auto"/>
          <w:szCs w:val="28"/>
          <w:lang w:eastAsia="zh-CN"/>
        </w:rPr>
        <w:t>氰化物、砷、汞、铬（六价）、总硬度、铅、镉、铁、锰、溶解性总固体、耗氧量、硫酸盐、总大肠菌群、细菌总数</w:t>
      </w:r>
      <w:r>
        <w:rPr>
          <w:rFonts w:ascii="Times New Roman" w:hAnsi="Times New Roman" w:cs="Times New Roman"/>
          <w:color w:val="auto"/>
          <w:lang w:eastAsia="zh-CN"/>
        </w:rPr>
        <w:t>；水位</w:t>
      </w:r>
      <w:bookmarkEnd w:id="1272"/>
      <w:r>
        <w:rPr>
          <w:rFonts w:ascii="Times New Roman" w:hAnsi="Times New Roman" w:cs="Times New Roman"/>
          <w:color w:val="auto"/>
          <w:lang w:eastAsia="zh-CN"/>
        </w:rPr>
        <w:t>。</w:t>
      </w:r>
    </w:p>
    <w:p w14:paraId="27DC38D4">
      <w:pPr>
        <w:widowControl w:val="0"/>
        <w:spacing w:line="360" w:lineRule="auto"/>
        <w:ind w:firstLine="480" w:firstLineChars="200"/>
        <w:jc w:val="both"/>
        <w:rPr>
          <w:rFonts w:ascii="Times New Roman" w:hAnsi="Times New Roman" w:cs="Times New Roman"/>
          <w:color w:val="auto"/>
          <w:szCs w:val="24"/>
          <w:lang w:eastAsia="zh-CN"/>
        </w:rPr>
      </w:pPr>
      <w:bookmarkStart w:id="1273" w:name="_Toc5776"/>
      <w:bookmarkStart w:id="1274" w:name="_Toc10342"/>
      <w:r>
        <w:rPr>
          <w:rFonts w:hint="eastAsia" w:ascii="Times New Roman" w:hAnsi="Times New Roman" w:cs="Times New Roman"/>
          <w:color w:val="auto"/>
          <w:szCs w:val="24"/>
          <w:lang w:eastAsia="zh-CN"/>
        </w:rPr>
        <w:t>特征因子：</w:t>
      </w:r>
      <w:r>
        <w:rPr>
          <w:rFonts w:hint="eastAsia" w:ascii="Times New Roman" w:hAnsi="Times New Roman" w:cs="Times New Roman"/>
          <w:color w:val="auto"/>
          <w:szCs w:val="28"/>
          <w:lang w:eastAsia="zh-CN"/>
        </w:rPr>
        <w:t>氟化物</w:t>
      </w:r>
    </w:p>
    <w:p w14:paraId="4B9C443E">
      <w:pPr>
        <w:widowControl w:val="0"/>
        <w:spacing w:line="360" w:lineRule="auto"/>
        <w:ind w:left="48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（3）</w:t>
      </w:r>
      <w:r>
        <w:rPr>
          <w:rFonts w:ascii="Times New Roman" w:hAnsi="Times New Roman" w:cs="Times New Roman"/>
          <w:color w:val="auto"/>
          <w:szCs w:val="24"/>
          <w:lang w:eastAsia="zh-CN"/>
        </w:rPr>
        <w:t>监测和分析方法</w:t>
      </w:r>
      <w:bookmarkEnd w:id="1273"/>
      <w:bookmarkEnd w:id="1274"/>
    </w:p>
    <w:p w14:paraId="44F2CFAC">
      <w:pPr>
        <w:widowControl w:val="0"/>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水质采样执行 HJ495-2009《水质采样分析方法设计规定》、HJ/T164-2004《地下水环境 监测技术规范》、HJ494-2009《水质采样技术指导》、HJ493-2009《水质采样样品保存和管理技术规定》</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分析方法按 GB/T5750-2006《生活饮用水标准检验方法》执行。</w:t>
      </w:r>
    </w:p>
    <w:p w14:paraId="3215C876">
      <w:pPr>
        <w:widowControl w:val="0"/>
        <w:spacing w:line="360" w:lineRule="auto"/>
        <w:ind w:firstLine="240" w:firstLineChars="100"/>
        <w:rPr>
          <w:rFonts w:ascii="Times New Roman" w:hAnsi="Times New Roman" w:cs="Times New Roman"/>
          <w:color w:val="auto"/>
          <w:szCs w:val="24"/>
          <w:lang w:eastAsia="zh-CN"/>
        </w:rPr>
        <w:sectPr>
          <w:pgSz w:w="11906" w:h="16838"/>
          <w:pgMar w:top="1440" w:right="1080" w:bottom="1440" w:left="1080" w:header="851" w:footer="992" w:gutter="0"/>
          <w:cols w:space="720" w:num="1"/>
          <w:docGrid w:type="lines" w:linePitch="312" w:charSpace="0"/>
        </w:sectPr>
      </w:pPr>
    </w:p>
    <w:p w14:paraId="08B81B95">
      <w:pPr>
        <w:widowControl w:val="0"/>
        <w:spacing w:line="360" w:lineRule="auto"/>
        <w:jc w:val="center"/>
        <w:rPr>
          <w:rFonts w:ascii="Times New Roman" w:hAnsi="Times New Roman" w:cs="Times New Roman"/>
          <w:color w:val="auto"/>
          <w:szCs w:val="24"/>
          <w:lang w:eastAsia="zh-CN"/>
        </w:rPr>
      </w:pPr>
      <w:r>
        <w:rPr>
          <w:rFonts w:ascii="Times New Roman" w:hAnsi="Times New Roman" w:cs="Times New Roman"/>
          <w:snapToGrid/>
          <w:color w:val="auto"/>
          <w:lang w:eastAsia="zh-CN"/>
        </w:rPr>
        <mc:AlternateContent>
          <mc:Choice Requires="wps">
            <w:drawing>
              <wp:anchor distT="0" distB="0" distL="114300" distR="114300" simplePos="0" relativeHeight="251852800" behindDoc="0" locked="0" layoutInCell="1" allowOverlap="1">
                <wp:simplePos x="0" y="0"/>
                <wp:positionH relativeFrom="margin">
                  <wp:posOffset>677545</wp:posOffset>
                </wp:positionH>
                <wp:positionV relativeFrom="paragraph">
                  <wp:posOffset>399415</wp:posOffset>
                </wp:positionV>
                <wp:extent cx="7974330" cy="4923155"/>
                <wp:effectExtent l="19050" t="19050" r="45720" b="30480"/>
                <wp:wrapNone/>
                <wp:docPr id="468713408" name="任意多边形: 形状 1397"/>
                <wp:cNvGraphicFramePr/>
                <a:graphic xmlns:a="http://schemas.openxmlformats.org/drawingml/2006/main">
                  <a:graphicData uri="http://schemas.microsoft.com/office/word/2010/wordprocessingShape">
                    <wps:wsp>
                      <wps:cNvSpPr/>
                      <wps:spPr>
                        <a:xfrm>
                          <a:off x="0" y="0"/>
                          <a:ext cx="7974418" cy="4922874"/>
                        </a:xfrm>
                        <a:custGeom>
                          <a:avLst/>
                          <a:gdLst>
                            <a:gd name="csX0" fmla="*/ 0 w 7974418"/>
                            <a:gd name="csY0" fmla="*/ 2073348 h 4922874"/>
                            <a:gd name="csX1" fmla="*/ 2456120 w 7974418"/>
                            <a:gd name="csY1" fmla="*/ 3976576 h 4922874"/>
                            <a:gd name="csX2" fmla="*/ 3444948 w 7974418"/>
                            <a:gd name="csY2" fmla="*/ 4274288 h 4922874"/>
                            <a:gd name="csX3" fmla="*/ 5082362 w 7974418"/>
                            <a:gd name="csY3" fmla="*/ 4284921 h 4922874"/>
                            <a:gd name="csX4" fmla="*/ 5996762 w 7974418"/>
                            <a:gd name="csY4" fmla="*/ 4922874 h 4922874"/>
                            <a:gd name="csX5" fmla="*/ 7910623 w 7974418"/>
                            <a:gd name="csY5" fmla="*/ 2647507 h 4922874"/>
                            <a:gd name="csX6" fmla="*/ 7974418 w 7974418"/>
                            <a:gd name="csY6" fmla="*/ 318976 h 4922874"/>
                            <a:gd name="csX7" fmla="*/ 7634176 w 7974418"/>
                            <a:gd name="csY7" fmla="*/ 467832 h 4922874"/>
                            <a:gd name="csX8" fmla="*/ 3423683 w 7974418"/>
                            <a:gd name="csY8" fmla="*/ 404037 h 4922874"/>
                            <a:gd name="csX9" fmla="*/ 3030279 w 7974418"/>
                            <a:gd name="csY9" fmla="*/ 340241 h 4922874"/>
                            <a:gd name="csX10" fmla="*/ 584790 w 7974418"/>
                            <a:gd name="csY10" fmla="*/ 0 h 4922874"/>
                            <a:gd name="csX11" fmla="*/ 425302 w 7974418"/>
                            <a:gd name="csY11" fmla="*/ 170121 h 4922874"/>
                            <a:gd name="csX12" fmla="*/ 0 w 7974418"/>
                            <a:gd name="csY12" fmla="*/ 2073348 h 49228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7974418" h="4922874">
                              <a:moveTo>
                                <a:pt x="0" y="2073348"/>
                              </a:moveTo>
                              <a:lnTo>
                                <a:pt x="2456120" y="3976576"/>
                              </a:lnTo>
                              <a:lnTo>
                                <a:pt x="3444948" y="4274288"/>
                              </a:lnTo>
                              <a:lnTo>
                                <a:pt x="5082362" y="4284921"/>
                              </a:lnTo>
                              <a:lnTo>
                                <a:pt x="5996762" y="4922874"/>
                              </a:lnTo>
                              <a:lnTo>
                                <a:pt x="7910623" y="2647507"/>
                              </a:lnTo>
                              <a:lnTo>
                                <a:pt x="7974418" y="318976"/>
                              </a:lnTo>
                              <a:lnTo>
                                <a:pt x="7634176" y="467832"/>
                              </a:lnTo>
                              <a:lnTo>
                                <a:pt x="3423683" y="404037"/>
                              </a:lnTo>
                              <a:lnTo>
                                <a:pt x="3030279" y="340241"/>
                              </a:lnTo>
                              <a:lnTo>
                                <a:pt x="584790" y="0"/>
                              </a:lnTo>
                              <a:lnTo>
                                <a:pt x="425302" y="170121"/>
                              </a:lnTo>
                              <a:lnTo>
                                <a:pt x="0" y="2073348"/>
                              </a:lnTo>
                              <a:close/>
                            </a:path>
                          </a:pathLst>
                        </a:custGeom>
                        <a:solidFill>
                          <a:schemeClr val="bg1">
                            <a:lumMod val="75000"/>
                            <a:alpha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任意多边形: 形状 1397" o:spid="_x0000_s1026" o:spt="100" style="position:absolute;left:0pt;margin-left:53.35pt;margin-top:31.45pt;height:387.65pt;width:627.9pt;mso-position-horizontal-relative:margin;z-index:251852800;v-text-anchor:middle;mso-width-relative:page;mso-height-relative:page;" fillcolor="#BFBFBF [2412]" filled="t" stroked="t" coordsize="7974418,4922874" o:gfxdata="UEsDBAoAAAAAAIdO4kAAAAAAAAAAAAAAAAAEAAAAZHJzL1BLAwQUAAAACACHTuJAWGHZx9kAAAAL&#10;AQAADwAAAGRycy9kb3ducmV2LnhtbE2PQU7DMBBF90jcwRokdtROoqRpiFNVSAg2SDRwgGk8TSJi&#10;O7LdNr097gqWX/P0/5t6u+iJncn50RoJyUoAI9NZNZpewvfX61MJzAc0CidrSMKVPGyb+7saK2Uv&#10;Zk/nNvQslhhfoYQhhLni3HcDafQrO5OJt6N1GkOMrufK4SWW64mnQhRc42jiwoAzvQzU/bQnLaHd&#10;veXJ+PGe74543etl02dOf0r5+JCIZ2CBlvAHw00/qkMTnQ72ZJRnU8yiWEdUQpFugN2ArEhzYAcJ&#10;ZVamwJua//+h+QVQSwMEFAAAAAgAh07iQMmWwqL3BAAAjA8AAA4AAABkcnMvZTJvRG9jLnhtbK1X&#10;y47kNBTdI/EPVpZITOXhyqPU1aOmW42QGqalHgQs3U5SieTEwXZ1dbNmxYY9S8Q3IKERfA0DfAbX&#10;j1S5hhlPLVBJKSc+9/j6+j58z54/Dgw9NEL2fFxHybM4Qs1Ied2Pm3X05cvrj8sISUXGmjA+Nuvo&#10;qZHR8/MPPzjbTasm5R1ndSMQkIxytZvWUafUtFosJO2agchnfGpGmGy5GIiCV7FZ1ILsgH1gizSO&#10;88WOi3oSnDZSwtcrOxk5RnEKIW/bnjZXnG6HZlSWVTSMKNiS7PpJRudG27ZtqHrRtrJRiK0j2Kky&#10;T1gExvf6uTg/I6uNIFPXU6cCOUWFN/Y0kH6ERfdUV0QRtBX9f6iGngoueaueUT4s7EaMRWAXSfyG&#10;be46MjVmL2BqOe2NLv8/WvrFw61Afb2OcF4WSYZjOP6RDHDwf7569df3P77+5ad//vjt9e8/rxA8&#10;/v7hV5RkVaHttpvkCsTvplvh3iQMtREeWzHof9geejS2ftrbunlUiMLHoiowTmAxCnO4StOywJp1&#10;cRCnW6k+bbihIg83UtnDqmFkTF07Ran8Go6zHRic3EcLFKMdmtmdxB74jQ9M4yLLcIk65K0PR+jx&#10;Jh5vipd5kgbZfThYKV8WeYg99dgzjHEFygR09+E4LXBaBnXPPPZlXKZZnobYfThQg0mSkO7YZ6+q&#10;vAiz+3Bn7RD70mMvqiTO0yykuw9Pc1ws4yLEnh+xGz8MsfvwLCnhXEPkhU+eZzgBeOBQfTjOizJL&#10;Q+QQL3s/zzAcaRm0iw/HMY6zoFkqnzzO4rSoQpofwXGc4qC/JH7kLUtcVOFI8uFxyCSJH3Q4XYLe&#10;Ia2P4EkRJ2E3T/ygC2vsI9+aWiC1bebkRbo5n9HH0SU0GCGiq3BsSsnEpc6eNrtBkqQSspfNkIDU&#10;GfCdAmASK5CcKAC6W4H0RAHIFlYgO1EAEoAVmLP8+/YAMW0FlieuAGFqBfITBSD0rIApZ3A671MJ&#10;wskKlCeuACFiBaoTBXSUWAkYnXjWh8M+9bS1U7tVjs7bmsB5o4C7k741MXNrUhGCW5Mwt6Z7rRlZ&#10;TURpJ56HaOcV9e5Q0/X8wB+al9wg1eFG4ILE7fOAYaOPdWXXaOxqqpOYcfP/ZLhdITV4VyWDeFca&#10;Hd7UvTDeFjuLP7q3zHrM/1YfV74M3tWmIP98ddEnZKtNGG5LjFXH1I8g3BUNCzcVIQy3ZcDA4W4I&#10;OT4It3ndoGf3nY0x/1uj2DxtgDYHB2ltUBy7y8xHGZeNjRTtkOYCufdM7dDeJVJy1tfXPWPaE6XY&#10;3F8ygR4IOPkn1/pn0i7bDp/z2n6Gi0TsegTCpo7Yr/rjvD3HYpY9omejDogkLQCKKIFGqYUGBYbD&#10;BJdtOW4iRNgGOjCqhFn3SPpIuaRIL5eJBXWkbqwWyawbbPKdWkxCqisiOytiltCWhojsFXRxrB/W&#10;Uam3M++HQWFZ6Ju9vcvr0T2vn6BHENw2T3Ki1z3Q3hCpbomAOzdsEPpJ9QIeLeOwa4h2M4pQx8V3&#10;b/uu8dDEwGyEdtB9gUW+3RLRRIh9NkJ7UyUYA60yL3hZpPAi/Jl7f2bcDpccThEyIWhnhhqv2Dxs&#10;BR++grbzQq8KU2SksLa1vXu5VLYrhMaVNhcXBgYtGrjSzXg3UU2u7Tbyi63iba97EWMnax33Ak2a&#10;8QTXUOou0H83qEMTff4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aQcAAFtDb250ZW50X1R5cGVzXS54bWxQSwECFAAKAAAAAACHTuJAAAAAAAAA&#10;AAAAAAAABgAAAAAAAAAAABAAAABLBgAAX3JlbHMvUEsBAhQAFAAAAAgAh07iQIoUZjzRAAAAlAEA&#10;AAsAAAAAAAAAAQAgAAAAbwYAAF9yZWxzLy5yZWxzUEsBAhQACgAAAAAAh07iQAAAAAAAAAAAAAAA&#10;AAQAAAAAAAAAAAAQAAAAAAAAAGRycy9QSwECFAAUAAAACACHTuJAWGHZx9kAAAALAQAADwAAAAAA&#10;AAABACAAAAAiAAAAZHJzL2Rvd25yZXYueG1sUEsBAhQAFAAAAAgAh07iQMmWwqL3BAAAjA8AAA4A&#10;AAAAAAAAAQAgAAAAKAEAAGRycy9lMm9Eb2MueG1sUEsFBgAAAAAGAAYAWQEAAJEIAAAAAA==&#10;" path="m0,2073348l2456120,3976576,3444948,4274288,5082362,4284921,5996762,4922874,7910623,2647507,7974418,318976,7634176,467832,3423683,404037,3030279,340241,584790,0,425302,170121,0,2073348xe">
                <v:path o:connectlocs="0,2073348;2456120,3976576;3444948,4274288;5082362,4284921;5996762,4922874;7910623,2647507;7974418,318976;7634176,467832;3423683,404037;3030279,340241;584790,0;425302,170121;0,2073348" o:connectangles="0,0,0,0,0,0,0,0,0,0,0,0,0"/>
                <v:fill on="t" opacity="32768f" focussize="0,0"/>
                <v:stroke weight="1pt" color="#172C51 [3204]" miterlimit="8" joinstyle="miter"/>
                <v:imagedata o:title=""/>
                <o:lock v:ext="edit" aspectratio="f"/>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894784" behindDoc="0" locked="0" layoutInCell="1" allowOverlap="1">
                <wp:simplePos x="0" y="0"/>
                <wp:positionH relativeFrom="column">
                  <wp:posOffset>1680210</wp:posOffset>
                </wp:positionH>
                <wp:positionV relativeFrom="paragraph">
                  <wp:posOffset>2578100</wp:posOffset>
                </wp:positionV>
                <wp:extent cx="196850" cy="401320"/>
                <wp:effectExtent l="31432" t="120968" r="25083" b="120332"/>
                <wp:wrapNone/>
                <wp:docPr id="471390204" name="矩形 719"/>
                <wp:cNvGraphicFramePr/>
                <a:graphic xmlns:a="http://schemas.openxmlformats.org/drawingml/2006/main">
                  <a:graphicData uri="http://schemas.microsoft.com/office/word/2010/wordprocessingShape">
                    <wps:wsp>
                      <wps:cNvSpPr/>
                      <wps:spPr>
                        <a:xfrm rot="18462695">
                          <a:off x="0" y="0"/>
                          <a:ext cx="197149" cy="401221"/>
                        </a:xfrm>
                        <a:prstGeom prst="rect">
                          <a:avLst/>
                        </a:prstGeom>
                        <a:solidFill>
                          <a:schemeClr val="bg1">
                            <a:lumMod val="75000"/>
                          </a:schemeClr>
                        </a:solidFill>
                        <a:ln w="28575">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719" o:spid="_x0000_s1026" o:spt="1" style="position:absolute;left:0pt;margin-left:132.3pt;margin-top:203pt;height:31.6pt;width:15.5pt;rotation:-3426774f;z-index:251894784;v-text-anchor:middle;mso-width-relative:page;mso-height-relative:page;" fillcolor="#BFBFBF [2412]" filled="t" stroked="f" coordsize="21600,21600" o:gfxdata="UEsDBAoAAAAAAIdO4kAAAAAAAAAAAAAAAAAEAAAAZHJzL1BLAwQUAAAACACHTuJAAikla9gAAAAL&#10;AQAADwAAAGRycy9kb3ducmV2LnhtbE2PTUvDQBCG74L/YRnBm91tiMGm2fQgiAoqpCr0uE3GJLg7&#10;G3a3Tf33jid7nHce3o9qc3JWHDHE0ZOG5UKBQGp9N1Kv4eP94eYOREyGOmM9oYYfjLCpLy8qU3Z+&#10;pgaP29QLNqFYGg1DSlMpZWwHdCYu/ITEvy8fnEl8hl52wcxs7qzMlCqkMyNxwmAmvB+w/d4enIbd&#10;o3me3VNLIaimye3L59srWq2vr5ZqDSLhKf3D8Fefq0PNnfb+QF0UVkNW5AWjGnJV8CgmstUtK3tW&#10;ilUGsq7k+Yb6F1BLAwQUAAAACACHTuJAAa9h+o4CAAAFBQAADgAAAGRycy9lMm9Eb2MueG1srVTb&#10;bhMxEH1H4h8sv9O9sGku6qYKjYKQCq1UEM+O15u1ZHuM7VzKzyD1jY/gcxC/wdi7TUvhoQ8okjW3&#10;nJk5M7Nn5wetyE44L8HUtDjJKRGGQyPNpqafPq5eTSjxgZmGKTCiprfC0/P5yxdnezsTJXSgGuEI&#10;ghg/29uadiHYWZZ53gnN/AlYYdDZgtMsoOo2WePYHtG1yso8P8324BrrgAvv0brsnXRAdM8BhLaV&#10;XCyBb7UwoUd1QrGALflOWk/nqdq2FTxcta0XgaiaYqchvZgE5XV8s/kZm20cs53kQwnsOSU86Ukz&#10;aTDpEWrJAiNbJ/+C0pI78NCGEw466xtJjGAXRf6Em5uOWZF6Qaq9PZLu/x8s/7C7dkQ2Na3Gxetp&#10;XuYVJYZpHPyvb99//rgj42IaWdpbP8PgG3vtBs2jGFs+tE4TB0htMalOy9PpKDGBvZFDIvr2SLQ4&#10;BMLRWEzHRTWlhKOryouyLGKKrMeKmNb58FaAJlGoqcM5JlC2u/ShD70PieEelGxWUqmkuM36Qjmy&#10;YzjzN6v4S/9VW/0emt48HuV5Gj7m9H18yv8HkDJkX9NyMhqPsFSGu97ijqGoLfLlzYYSpjZ4RDy4&#10;lMFArAHL6xtYMt/16RJsv2taBjwfJXVNJ1jDsQplsIBIck9rlNbQ3OJwErW4r97ylUQ6LpkP18zh&#10;mqIRDzlc4dMqwFphkCjpwH39lz3G4/agl5I9rj328WXLnKBEvTO4V9OiquKdJKUajUtU3GPP+rHH&#10;bPUFIMtFqi6JMT6oe7F1oD/jvS9iVnQxwzF3z9igXIT+HPGLwcVikcLwNiwLl+bG8ggeCTWw2AZo&#10;ZZr+AzsDaXgdaX7DJcfze6ynqIev1/w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Aikla9gAAAAL&#10;AQAADwAAAAAAAAABACAAAAAiAAAAZHJzL2Rvd25yZXYueG1sUEsBAhQAFAAAAAgAh07iQAGvYfqO&#10;AgAABQUAAA4AAAAAAAAAAQAgAAAAJwEAAGRycy9lMm9Eb2MueG1sUEsFBgAAAAAGAAYAWQEAACcG&#10;AAAAAA==&#10;">
                <v:fill on="t" focussize="0,0"/>
                <v:stroke on="f" weight="2.25pt" miterlimit="8" joinstyle="miter"/>
                <v:imagedata o:title=""/>
                <o:lock v:ext="edit" aspectratio="f"/>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57568" behindDoc="0" locked="0" layoutInCell="1" allowOverlap="1">
                <wp:simplePos x="0" y="0"/>
                <wp:positionH relativeFrom="column">
                  <wp:posOffset>1875790</wp:posOffset>
                </wp:positionH>
                <wp:positionV relativeFrom="paragraph">
                  <wp:posOffset>563245</wp:posOffset>
                </wp:positionV>
                <wp:extent cx="1605280" cy="359410"/>
                <wp:effectExtent l="1905" t="0" r="2540" b="3175"/>
                <wp:wrapNone/>
                <wp:docPr id="505699322" name="矩形 5047"/>
                <wp:cNvGraphicFramePr/>
                <a:graphic xmlns:a="http://schemas.openxmlformats.org/drawingml/2006/main">
                  <a:graphicData uri="http://schemas.microsoft.com/office/word/2010/wordprocessingShape">
                    <wps:wsp>
                      <wps:cNvSpPr>
                        <a:spLocks noChangeArrowheads="1"/>
                      </wps:cNvSpPr>
                      <wps:spPr bwMode="auto">
                        <a:xfrm>
                          <a:off x="0" y="0"/>
                          <a:ext cx="1605280" cy="359410"/>
                        </a:xfrm>
                        <a:prstGeom prst="rect">
                          <a:avLst/>
                        </a:prstGeom>
                        <a:noFill/>
                        <a:ln>
                          <a:noFill/>
                        </a:ln>
                      </wps:spPr>
                      <wps:txbx>
                        <w:txbxContent>
                          <w:p w14:paraId="29051204">
                            <w:pPr>
                              <w:rPr>
                                <w:rFonts w:ascii="Times New Roman" w:hAnsi="Times New Roman" w:cs="Times New Roman"/>
                                <w:b/>
                                <w:bCs/>
                                <w:color w:val="EE0000"/>
                                <w:sz w:val="28"/>
                                <w:szCs w:val="22"/>
                                <w:lang w:eastAsia="zh-CN"/>
                              </w:rPr>
                            </w:pPr>
                            <w:r>
                              <w:rPr>
                                <w:rFonts w:hint="eastAsia" w:ascii="Times New Roman" w:hAnsi="Times New Roman" w:cs="Times New Roman"/>
                                <w:b/>
                                <w:bCs/>
                                <w:color w:val="EE0000"/>
                                <w:sz w:val="28"/>
                                <w:szCs w:val="22"/>
                                <w:lang w:eastAsia="zh-CN"/>
                              </w:rPr>
                              <w:t>地下水流向</w:t>
                            </w:r>
                          </w:p>
                        </w:txbxContent>
                      </wps:txbx>
                      <wps:bodyPr rot="0" vert="horz" wrap="square" lIns="91440" tIns="45720" rIns="91440" bIns="45720" anchor="t" anchorCtr="0" upright="1">
                        <a:noAutofit/>
                      </wps:bodyPr>
                    </wps:wsp>
                  </a:graphicData>
                </a:graphic>
              </wp:anchor>
            </w:drawing>
          </mc:Choice>
          <mc:Fallback>
            <w:pict>
              <v:rect id="矩形 5047" o:spid="_x0000_s1026" o:spt="1" style="position:absolute;left:0pt;margin-left:147.7pt;margin-top:44.35pt;height:28.3pt;width:126.4pt;z-index:251757568;mso-width-relative:page;mso-height-relative:page;" filled="f" stroked="f" coordsize="21600,21600" o:gfxdata="UEsDBAoAAAAAAIdO4kAAAAAAAAAAAAAAAAAEAAAAZHJzL1BLAwQUAAAACACHTuJAK6ZyXtsAAAAK&#10;AQAADwAAAGRycy9kb3ducmV2LnhtbE2PQU+DQBCF7yb+h82YeDHtUgRFZOmhibExTRpp7XkLIxDZ&#10;Wcpuof57x5MeJ+/Le99ky4vpxIiDay0pWMwDEEilrVqqFex3L7MEhPOaKt1ZQgXf6GCZX19lOq3s&#10;RO84Fr4WXEIu1Qoa7/tUSlc2aLSb2x6Js087GO35HGpZDXrictPJMAgepNEt8UKje1w1WH4VZ6Ng&#10;KrfjYbd5ldu7w9rSaX1aFR9vSt3eLIJnEB4v/g+GX31Wh5ydjvZMlROdgvApjhhVkCSPIBiIoyQE&#10;cWQyiu9B5pn8/0L+A1BLAwQUAAAACACHTuJAT0kDVhgCAAATBAAADgAAAGRycy9lMm9Eb2MueG1s&#10;rVNLbtswEN0X6B0I7mt9YjmxYDkIYqQokLYB0h6ApihLqMRhh7Ql9zIFusshepyi1+iQclwn3WTR&#10;DcHhDB/fezNcXA5dy3YKbQO64Mkk5kxpCWWjNwX//OnmzQVn1gldiha0KvheWX65fP1q0ZtcpVBD&#10;WypkBKJt3puC186ZPIqsrFUn7ASM0pSsADvhKMRNVKLoCb1rozSOZ1EPWBoEqayl09WY5AdEfAkg&#10;VFUj1QrktlPajaioWuFIkq0bY/kysK0qJd3HqrLKsbbgpNSFlR6h/dqv0XIh8g0KUzfyQEG8hMIz&#10;TZ1oND16hFoJJ9gWm3+gukYiWKjcREIXjUKCI6QiiZ95c18Lo4IWstqao+n2/8HKD7s7ZE1Z8CzO&#10;ZvP5WZpypkVHjf/9/eHXzx8si6fn3qbe2Jyq780deqHW3IL8YpmG61rojbpChL5WoiRyia+Pnlzw&#10;gaWrbN2/h5LQxdZBcGyosPOA5AUbQmP2x8aowTFJh8ksztIL6pmk3Fk2nyahc5HIH28btO6tgo75&#10;TcGRGh/Qxe7WOs9G5I8l/jENN03bhua3+skBFfqTwN4THoW7YT0cPFhDuScdCOMs0U+iTQ34jbOe&#10;5qjg9utWoOKsfafJi3kynfrBC8E0O08pwNPM+jQjtCSogjvOxu21G4d1a7DZ1PRSEmRpuCL/qiZI&#10;896OrA68aVaC4sNc+2E8jUPV37+8/A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rpnJe2wAAAAoB&#10;AAAPAAAAAAAAAAEAIAAAACIAAABkcnMvZG93bnJldi54bWxQSwECFAAUAAAACACHTuJAT0kDVhgC&#10;AAATBAAADgAAAAAAAAABACAAAAAqAQAAZHJzL2Uyb0RvYy54bWxQSwUGAAAAAAYABgBZAQAAtAUA&#10;AAAA&#10;">
                <v:fill on="f" focussize="0,0"/>
                <v:stroke on="f"/>
                <v:imagedata o:title=""/>
                <o:lock v:ext="edit" aspectratio="f"/>
                <v:textbox>
                  <w:txbxContent>
                    <w:p w14:paraId="29051204">
                      <w:pPr>
                        <w:rPr>
                          <w:rFonts w:ascii="Times New Roman" w:hAnsi="Times New Roman" w:cs="Times New Roman"/>
                          <w:b/>
                          <w:bCs/>
                          <w:color w:val="EE0000"/>
                          <w:sz w:val="28"/>
                          <w:szCs w:val="22"/>
                          <w:lang w:eastAsia="zh-CN"/>
                        </w:rPr>
                      </w:pPr>
                      <w:r>
                        <w:rPr>
                          <w:rFonts w:hint="eastAsia" w:ascii="Times New Roman" w:hAnsi="Times New Roman" w:cs="Times New Roman"/>
                          <w:b/>
                          <w:bCs/>
                          <w:color w:val="EE0000"/>
                          <w:sz w:val="28"/>
                          <w:szCs w:val="22"/>
                          <w:lang w:eastAsia="zh-CN"/>
                        </w:rPr>
                        <w:t>地下水流向</w:t>
                      </w:r>
                    </w:p>
                  </w:txbxContent>
                </v:textbox>
              </v:rect>
            </w:pict>
          </mc:Fallback>
        </mc:AlternateContent>
      </w:r>
      <w:r>
        <w:rPr>
          <w:rFonts w:ascii="Times New Roman" w:hAnsi="Times New Roman" w:cs="Times New Roman"/>
          <w:color w:val="auto"/>
        </w:rPr>
        <mc:AlternateContent>
          <mc:Choice Requires="wps">
            <w:drawing>
              <wp:anchor distT="0" distB="0" distL="114300" distR="114300" simplePos="0" relativeHeight="251689984" behindDoc="0" locked="0" layoutInCell="1" allowOverlap="1">
                <wp:simplePos x="0" y="0"/>
                <wp:positionH relativeFrom="column">
                  <wp:posOffset>5182870</wp:posOffset>
                </wp:positionH>
                <wp:positionV relativeFrom="paragraph">
                  <wp:posOffset>1789430</wp:posOffset>
                </wp:positionV>
                <wp:extent cx="698500" cy="241300"/>
                <wp:effectExtent l="4445" t="0" r="1905" b="0"/>
                <wp:wrapNone/>
                <wp:docPr id="1718787892" name="文本框 3240"/>
                <wp:cNvGraphicFramePr/>
                <a:graphic xmlns:a="http://schemas.openxmlformats.org/drawingml/2006/main">
                  <a:graphicData uri="http://schemas.microsoft.com/office/word/2010/wordprocessingShape">
                    <wps:wsp>
                      <wps:cNvSpPr txBox="1">
                        <a:spLocks noChangeArrowheads="1"/>
                      </wps:cNvSpPr>
                      <wps:spPr bwMode="auto">
                        <a:xfrm>
                          <a:off x="0" y="0"/>
                          <a:ext cx="698500" cy="241300"/>
                        </a:xfrm>
                        <a:prstGeom prst="rect">
                          <a:avLst/>
                        </a:prstGeom>
                        <a:noFill/>
                        <a:ln>
                          <a:noFill/>
                        </a:ln>
                      </wps:spPr>
                      <wps:txbx>
                        <w:txbxContent>
                          <w:p w14:paraId="453C21A6">
                            <w:pPr>
                              <w:ind w:firstLine="480"/>
                              <w:rPr>
                                <w:rFonts w:ascii="Times New Roman" w:hAnsi="Times New Roman" w:cs="Times New Roman"/>
                                <w:color w:val="FFFF00"/>
                                <w:lang w:eastAsia="zh-CN"/>
                              </w:rPr>
                            </w:pPr>
                            <w:r>
                              <w:rPr>
                                <w:rFonts w:ascii="Times New Roman" w:hAnsi="Times New Roman" w:cs="Times New Roman"/>
                                <w:color w:val="FFFF00"/>
                                <w:lang w:eastAsia="zh-CN"/>
                              </w:rPr>
                              <w:t>D</w:t>
                            </w:r>
                            <w:r>
                              <w:rPr>
                                <w:rFonts w:hint="eastAsia" w:ascii="Times New Roman" w:hAnsi="Times New Roman" w:cs="Times New Roman"/>
                                <w:color w:val="FFFF00"/>
                                <w:lang w:eastAsia="zh-CN"/>
                              </w:rPr>
                              <w:t>6</w:t>
                            </w:r>
                          </w:p>
                        </w:txbxContent>
                      </wps:txbx>
                      <wps:bodyPr rot="0" vert="horz" wrap="square" lIns="91440" tIns="45720" rIns="91440" bIns="45720" anchor="t" anchorCtr="0" upright="1">
                        <a:noAutofit/>
                      </wps:bodyPr>
                    </wps:wsp>
                  </a:graphicData>
                </a:graphic>
              </wp:anchor>
            </w:drawing>
          </mc:Choice>
          <mc:Fallback>
            <w:pict>
              <v:shape id="文本框 3240" o:spid="_x0000_s1026" o:spt="202" type="#_x0000_t202" style="position:absolute;left:0pt;margin-left:408.1pt;margin-top:140.9pt;height:19pt;width:55pt;z-index:251689984;mso-width-relative:page;mso-height-relative:page;" filled="f" stroked="f" coordsize="21600,21600" o:gfxdata="UEsDBAoAAAAAAIdO4kAAAAAAAAAAAAAAAAAEAAAAZHJzL1BLAwQUAAAACACHTuJAEO6k8dcAAAAL&#10;AQAADwAAAGRycy9kb3ducmV2LnhtbE2PwU7DMAyG70i8Q2QkbixJgaktdXcAcQWxARK3rMnaisap&#10;mmwtb493gqPtT7+/v9osfhAnN8U+EIJeKRCOmmB7ahHed883OYiYDFkzBHIIPy7Cpr68qExpw0xv&#10;7rRNreAQiqVB6FIaSylj0zlv4iqMjvh2CJM3iceplXYyM4f7QWZKraU3PfGHzozusXPN9/boET5e&#10;Dl+fd+q1ffL34xwWJckXEvH6SqsHEMkt6Q+Gsz6rQ81O+3AkG8WAkOt1xihClmvuwESRnTd7hFtd&#10;5CDrSv7vUP8CUEsDBBQAAAAIAIdO4kDYm1foIAIAACAEAAAOAAAAZHJzL2Uyb0RvYy54bWytU0tu&#10;2zAQ3RfoHQjua1mOE9uC5SCNkaJA+gHSHoCmKIuoxGGHtCX3AM0Nuuqm+57L5+iQchw33WRRCBCG&#10;HM6b9x6H88uuqdlWodNgcp4OhpwpI6HQZp3zz59uXk05c16YQtRgVM53yvHLxcsX89ZmagQV1IVC&#10;RiDGZa3NeeW9zZLEyUo1wg3AKkPJErARnpa4TgoULaE3dTIaDi+SFrCwCFI5R7vLPskPiPgcQChL&#10;LdUS5KZRxveoqGrhSZKrtHV8EdmWpZL+Q1k65Vmdc1Lq45+aULwK/2QxF9kaha20PFAQz6HwRFMj&#10;tKGmR6il8IJtUP8D1WiJ4KD0AwlN0guJjpCKdPjEm7tKWBW1kNXOHk13/w9Wvt9+RKYLmoRJOp3Q&#10;NxtxZkRDN7//cb//+Xv/6zs7G42jVa11GVXcWarx3WvoqCzKdvYW5BfHDFxXwqzVFSK0lRIFUU2D&#10;yclJabgcl7kAsmrfQUGtxMZDBOpKbIKP5AwjdLqm3fGaVOeZpM2L2fR8SBlJqdE4PaM4dBDZQ7FF&#10;598oaFgIco40BRFcbG+d748+HAm9DNzouo6TUJu/Nggz7ETygW/P3Herjk4HESsodiQDoR8selYU&#10;VIDfOGtpqHLuvm4EKs7qt4asmKVjMpL5uBifT0a0wNPM6jQjjCSonHvO+vDa95O7sajXFXXqzTdw&#10;RfaVOkp7ZHXgTYMTzTkMeZjM03U89fiwF3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EO6k8dcA&#10;AAALAQAADwAAAAAAAAABACAAAAAiAAAAZHJzL2Rvd25yZXYueG1sUEsBAhQAFAAAAAgAh07iQNib&#10;V+ggAgAAIAQAAA4AAAAAAAAAAQAgAAAAJgEAAGRycy9lMm9Eb2MueG1sUEsFBgAAAAAGAAYAWQEA&#10;ALgFAAAAAA==&#10;">
                <v:fill on="f" focussize="0,0"/>
                <v:stroke on="f"/>
                <v:imagedata o:title=""/>
                <o:lock v:ext="edit" aspectratio="f"/>
                <v:textbox>
                  <w:txbxContent>
                    <w:p w14:paraId="453C21A6">
                      <w:pPr>
                        <w:ind w:firstLine="480"/>
                        <w:rPr>
                          <w:rFonts w:ascii="Times New Roman" w:hAnsi="Times New Roman" w:cs="Times New Roman"/>
                          <w:color w:val="FFFF00"/>
                          <w:lang w:eastAsia="zh-CN"/>
                        </w:rPr>
                      </w:pPr>
                      <w:r>
                        <w:rPr>
                          <w:rFonts w:ascii="Times New Roman" w:hAnsi="Times New Roman" w:cs="Times New Roman"/>
                          <w:color w:val="FFFF00"/>
                          <w:lang w:eastAsia="zh-CN"/>
                        </w:rPr>
                        <w:t>D</w:t>
                      </w:r>
                      <w:r>
                        <w:rPr>
                          <w:rFonts w:hint="eastAsia" w:ascii="Times New Roman" w:hAnsi="Times New Roman" w:cs="Times New Roman"/>
                          <w:color w:val="FFFF00"/>
                          <w:lang w:eastAsia="zh-CN"/>
                        </w:rPr>
                        <w:t>6</w:t>
                      </w:r>
                    </w:p>
                  </w:txbxContent>
                </v:textbox>
              </v:shape>
            </w:pict>
          </mc:Fallback>
        </mc:AlternateContent>
      </w:r>
      <w:r>
        <w:rPr>
          <w:rFonts w:ascii="Times New Roman" w:hAnsi="Times New Roman" w:cs="Times New Roman"/>
          <w:color w:val="auto"/>
        </w:rPr>
        <mc:AlternateContent>
          <mc:Choice Requires="wps">
            <w:drawing>
              <wp:anchor distT="0" distB="0" distL="114300" distR="114300" simplePos="0" relativeHeight="251684864" behindDoc="0" locked="0" layoutInCell="1" allowOverlap="1">
                <wp:simplePos x="0" y="0"/>
                <wp:positionH relativeFrom="column">
                  <wp:posOffset>5744845</wp:posOffset>
                </wp:positionH>
                <wp:positionV relativeFrom="paragraph">
                  <wp:posOffset>1886585</wp:posOffset>
                </wp:positionV>
                <wp:extent cx="196215" cy="196850"/>
                <wp:effectExtent l="15240" t="22225" r="17145" b="9525"/>
                <wp:wrapNone/>
                <wp:docPr id="1607019467" name="自选图形 3241"/>
                <wp:cNvGraphicFramePr/>
                <a:graphic xmlns:a="http://schemas.openxmlformats.org/drawingml/2006/main">
                  <a:graphicData uri="http://schemas.microsoft.com/office/word/2010/wordprocessingShape">
                    <wps:wsp>
                      <wps:cNvSpPr>
                        <a:spLocks noChangeArrowheads="1"/>
                      </wps:cNvSpPr>
                      <wps:spPr bwMode="auto">
                        <a:xfrm>
                          <a:off x="0" y="0"/>
                          <a:ext cx="196215" cy="196850"/>
                        </a:xfrm>
                        <a:prstGeom prst="triangle">
                          <a:avLst>
                            <a:gd name="adj" fmla="val 50000"/>
                          </a:avLst>
                        </a:prstGeom>
                        <a:solidFill>
                          <a:srgbClr val="FFFF00"/>
                        </a:solidFill>
                        <a:ln w="3175">
                          <a:solidFill>
                            <a:srgbClr val="4BACC6"/>
                          </a:solidFill>
                          <a:miter lim="800000"/>
                        </a:ln>
                        <a:effectLst/>
                      </wps:spPr>
                      <wps:bodyPr rot="0" vert="horz" wrap="square" lIns="91440" tIns="45720" rIns="91440" bIns="45720" anchor="t" anchorCtr="0" upright="1">
                        <a:noAutofit/>
                      </wps:bodyPr>
                    </wps:wsp>
                  </a:graphicData>
                </a:graphic>
              </wp:anchor>
            </w:drawing>
          </mc:Choice>
          <mc:Fallback>
            <w:pict>
              <v:shape id="自选图形 3241" o:spid="_x0000_s1026" o:spt="5" type="#_x0000_t5" style="position:absolute;left:0pt;margin-left:452.35pt;margin-top:148.55pt;height:15.5pt;width:15.45pt;z-index:251684864;mso-width-relative:page;mso-height-relative:page;" fillcolor="#FFFF00" filled="t" stroked="t" coordsize="21600,21600" o:gfxdata="UEsDBAoAAAAAAIdO4kAAAAAAAAAAAAAAAAAEAAAAZHJzL1BLAwQUAAAACACHTuJA+7S8/doAAAAL&#10;AQAADwAAAGRycy9kb3ducmV2LnhtbE2PwU7DMBBE70j8g7VI3KidFNomzaZSQD0WlVCJqxtv46ix&#10;HcVOW/4ec4Ljap5m3habm+nZhUbfOYuQzAQwso1TnW0RDp/bpxUwH6RVsneWEL7Jw6a8vytkrtzV&#10;ftClDi2LJdbnEkGHMOSc+0aTkX7mBrIxO7nRyBDPseVqlNdYbnqeCrHgRnY2Lmg50Kum5lxPBqF6&#10;b7df9W5fTZWedvvujU6HjhAfHxKxBhboFv5g+NWP6lBGp6ObrPKsR8jE8zKiCGm2TIBFIpu/LIAd&#10;EebpKgFeFvz/D+UPUEsDBBQAAAAIAIdO4kBcfmyYawIAAL4EAAAOAAAAZHJzL2Uyb0RvYy54bWyt&#10;VM1u1DAQviPxDpbvNMl2f9qo2WrZVRFSgUqFB/A6zsbgP8bezZZTb4hn4MaRd4C3qQRvwcTJLtty&#10;6YEcopnY8/n7vvHk7HyrFdkI8NKagmZHKSXCcFtKsyrou7cXz04o8YGZkilrREFvhKfn06dPzhqX&#10;i4GtrSoFEAQxPm9cQesQXJ4kntdCM39knTC4WFnQLGAKq6QE1iC6VskgTcdJY6F0YLnwHr8uukXa&#10;I8JjAG1VSS4Wlq+1MKFDBaFYQEm+ls7TaWRbVYKHN1XlRSCqoKg0xDcegvGyfSfTM5avgLla8p4C&#10;ewyFB5o0kwYP3UMtWGBkDfIfKC05WG+rcMStTjoh0RFUkaUPvLmumRNRC1rt3d50//9g+evNFRBZ&#10;4k0Yp5M0Ox2OJ5QYprHzvz5//3375e7rz7sf38jxYJi1bjXO51h07a6g1evdpeUfPDF2XjOzEjMA&#10;29SClcgx7k/uFbSJx1KybF7ZEs9g62CjcdsKdAuIlpBt7M/Nvj9iGwjHj9npeJCNKOG4hPHJKPYv&#10;Yfmu2IEPL4TVpA0KGkAiJ9VayHK2ufQhtqjs9bHyPSWVVtjwDVNklOLTSkTAfjNGO8go1ipZXkil&#10;YgKr5VwBwdKCXuCzL/aH25QhTUGPs8kosri35g8hhs9n8/m4P//eNi0DTpySuqAnLccdSWVaHiLe&#10;ctTWMt/52/Vpacsb9Bpsd+1x6DGoLXyipMErX1D/cc1AUKJeGuzXaTYctjMSk+FoMsAEDleWhyvM&#10;cIRCkynpwnno5mrtQK5qPCmLio2dYY8ruefXserJ4rWOhvcj2M7NYR53/f3tTP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7S8/doAAAALAQAADwAAAAAAAAABACAAAAAiAAAAZHJzL2Rvd25yZXYu&#10;eG1sUEsBAhQAFAAAAAgAh07iQFx+bJhrAgAAvgQAAA4AAAAAAAAAAQAgAAAAKQEAAGRycy9lMm9E&#10;b2MueG1sUEsFBgAAAAAGAAYAWQEAAAYGAAAAAA==&#10;" adj="10800">
                <v:fill on="t" focussize="0,0"/>
                <v:stroke weight="0.25pt" color="#4BACC6" miterlimit="8" joinstyle="miter"/>
                <v:imagedata o:title=""/>
                <o:lock v:ext="edit" aspectratio="f"/>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56544" behindDoc="0" locked="0" layoutInCell="1" allowOverlap="1">
                <wp:simplePos x="0" y="0"/>
                <wp:positionH relativeFrom="column">
                  <wp:posOffset>2078990</wp:posOffset>
                </wp:positionH>
                <wp:positionV relativeFrom="paragraph">
                  <wp:posOffset>-29845</wp:posOffset>
                </wp:positionV>
                <wp:extent cx="306070" cy="2105660"/>
                <wp:effectExtent l="0" t="461645" r="0" b="394335"/>
                <wp:wrapNone/>
                <wp:docPr id="472255571" name="自选图形 5046"/>
                <wp:cNvGraphicFramePr/>
                <a:graphic xmlns:a="http://schemas.openxmlformats.org/drawingml/2006/main">
                  <a:graphicData uri="http://schemas.microsoft.com/office/word/2010/wordprocessingShape">
                    <wps:wsp>
                      <wps:cNvSpPr>
                        <a:spLocks noChangeArrowheads="1"/>
                      </wps:cNvSpPr>
                      <wps:spPr bwMode="auto">
                        <a:xfrm rot="17980252">
                          <a:off x="0" y="0"/>
                          <a:ext cx="306070" cy="2105660"/>
                        </a:xfrm>
                        <a:prstGeom prst="downArrow">
                          <a:avLst>
                            <a:gd name="adj1" fmla="val 50000"/>
                            <a:gd name="adj2" fmla="val 171992"/>
                          </a:avLst>
                        </a:prstGeom>
                        <a:solidFill>
                          <a:srgbClr val="FFFFFF"/>
                        </a:solidFill>
                        <a:ln w="9525">
                          <a:solidFill>
                            <a:srgbClr val="000000"/>
                          </a:solidFill>
                          <a:miter lim="800000"/>
                        </a:ln>
                      </wps:spPr>
                      <wps:bodyPr rot="0" vert="eaVert" wrap="square" lIns="91440" tIns="45720" rIns="91440" bIns="45720" anchor="t" anchorCtr="0" upright="1">
                        <a:noAutofit/>
                      </wps:bodyPr>
                    </wps:wsp>
                  </a:graphicData>
                </a:graphic>
              </wp:anchor>
            </w:drawing>
          </mc:Choice>
          <mc:Fallback>
            <w:pict>
              <v:shape id="自选图形 5046" o:spid="_x0000_s1026" o:spt="67" type="#_x0000_t67" style="position:absolute;left:0pt;margin-left:163.7pt;margin-top:-2.35pt;height:165.8pt;width:24.1pt;rotation:-3953730f;z-index:251756544;mso-width-relative:page;mso-height-relative:page;" fillcolor="#FFFFFF" filled="t" stroked="t" coordsize="21600,21600" o:gfxdata="UEsDBAoAAAAAAIdO4kAAAAAAAAAAAAAAAAAEAAAAZHJzL1BLAwQUAAAACACHTuJAQk+4ytkAAAAK&#10;AQAADwAAAGRycy9kb3ducmV2LnhtbE2PQU+DQBCF7yb+h82YeGsXaAVFlkZNGg8eGqoXb1N2BZSd&#10;JexS6r93eqrHyXv53jfF5mR7cTSj7xwpiJcRCEO10x01Cj7et4t7ED4gaewdGQW/xsOmvL4qMNdu&#10;psoc96ERDCGfo4I2hCGX0tetseiXbjDE2ZcbLQY+x0bqEWeG214mUZRKix3xQouDeWlN/bOfLFOq&#10;ym3f4qfd/FrvMMmyYXr+/lTq9iaOHkEEcwqXMpz1WR1Kdjq4ibQXvYJVkq25qmCxzkBwYZXdpSAO&#10;5yR9AFkW8v8L5R9QSwMEFAAAAAgAh07iQDIbYZp4AgAA6AQAAA4AAABkcnMvZTJvRG9jLnhtbK1U&#10;y27UMBTdI/EPlvc0DyYznaiZqpqqCKlApQJ7j+1MDH5heybTHbuKb2DHkn+Av6kEf8GNkw6ZsumC&#10;LBJf+/r4nHt8c3K6UxJtufPC6ApnRylGXFPDhF5X+N3bi2fHGPlANCPSaF7hG+7x6eLpk5PWljw3&#10;jZGMOwQg2petrXATgi2TxNOGK+KPjOUaFmvjFAkQunXCHGkBXckkT9Np0hrHrDOUew+z5/0iHhDd&#10;YwBNXQvKzw3dKK5Dj+q4JAEk+UZYjxeRbV1zGt7UtecByQqD0hDfcAiMV907WZyQcu2IbQQdKJDH&#10;UHigSRGh4dA91DkJBG2c+AdKCeqMN3U4okYlvZBYEVCRpQ9qc90Qy6MWKLW3+6L7/wdLX2+vHBKs&#10;wpNZnhdFMcsw0kSB8b9uv//+/OXu68+7H99QkU6mXbFa60vYc22vXCfX20tDP3qkzbIhes3PnDNt&#10;wwkDilmXnxxs6AIPW9GqfWUYnEE2wcS67WqnkDPgTzabH6d5kcdpKBDaRbdu9m7xXUAUJp+n03QG&#10;PlJYyrO0mE6jnQkpO7COnXU+vOBGoW5QYWZaHQlGaLK99CFaxgbBhH0A8bWScAO2RIJmeIYbMsrJ&#10;xznZLJvP86iUlAMkMLg/OdbISMEuhJQxcOvVUjoE+BW+iM+w2Y/TpEZthedFXkSuB2t+DNFR7EnC&#10;qQdpSgToUylUhY/HSVIPrnRG9IauDLsBU2L5oaDwc4BqcfIevhi10BwV9p82xHGM5EsN1s6zyaTr&#10;phhMilkOgRuvrMYrRNPGQM8BWD9chr4DN9aJddN5HlVqcwbXoRbh/t70vAa60AAwOuiwcRyz/v6g&#10;F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Qk+4ytkAAAAKAQAADwAAAAAAAAABACAAAAAiAAAA&#10;ZHJzL2Rvd25yZXYueG1sUEsBAhQAFAAAAAgAh07iQDIbYZp4AgAA6AQAAA4AAAAAAAAAAQAgAAAA&#10;KAEAAGRycy9lMm9Eb2MueG1sUEsFBgAAAAAGAAYAWQEAABIGAAAAAA==&#10;" adj="16200,5400">
                <v:fill on="t" focussize="0,0"/>
                <v:stroke color="#000000" miterlimit="8" joinstyle="miter"/>
                <v:imagedata o:title=""/>
                <o:lock v:ext="edit" aspectratio="f"/>
                <v:textbox style="layout-flow:vertical-ideographic;"/>
              </v:shape>
            </w:pict>
          </mc:Fallback>
        </mc:AlternateContent>
      </w:r>
      <w:r>
        <w:rPr>
          <w:rFonts w:ascii="Times New Roman" w:hAnsi="Times New Roman" w:cs="Times New Roman"/>
          <w:color w:val="auto"/>
        </w:rPr>
        <mc:AlternateContent>
          <mc:Choice Requires="wps">
            <w:drawing>
              <wp:anchor distT="0" distB="0" distL="114300" distR="114300" simplePos="0" relativeHeight="251688960" behindDoc="0" locked="0" layoutInCell="1" allowOverlap="1">
                <wp:simplePos x="0" y="0"/>
                <wp:positionH relativeFrom="column">
                  <wp:posOffset>5858510</wp:posOffset>
                </wp:positionH>
                <wp:positionV relativeFrom="paragraph">
                  <wp:posOffset>2233930</wp:posOffset>
                </wp:positionV>
                <wp:extent cx="698500" cy="241300"/>
                <wp:effectExtent l="3810" t="0" r="2540" b="0"/>
                <wp:wrapNone/>
                <wp:docPr id="1835983339" name="文本框 3242"/>
                <wp:cNvGraphicFramePr/>
                <a:graphic xmlns:a="http://schemas.openxmlformats.org/drawingml/2006/main">
                  <a:graphicData uri="http://schemas.microsoft.com/office/word/2010/wordprocessingShape">
                    <wps:wsp>
                      <wps:cNvSpPr txBox="1">
                        <a:spLocks noChangeArrowheads="1"/>
                      </wps:cNvSpPr>
                      <wps:spPr bwMode="auto">
                        <a:xfrm>
                          <a:off x="0" y="0"/>
                          <a:ext cx="698500" cy="241300"/>
                        </a:xfrm>
                        <a:prstGeom prst="rect">
                          <a:avLst/>
                        </a:prstGeom>
                        <a:noFill/>
                        <a:ln>
                          <a:noFill/>
                        </a:ln>
                      </wps:spPr>
                      <wps:txbx>
                        <w:txbxContent>
                          <w:p w14:paraId="703820A5">
                            <w:pPr>
                              <w:ind w:firstLine="480"/>
                              <w:rPr>
                                <w:rFonts w:ascii="Times New Roman" w:hAnsi="Times New Roman" w:cs="Times New Roman"/>
                                <w:color w:val="FFFF00"/>
                                <w:lang w:eastAsia="zh-CN"/>
                              </w:rPr>
                            </w:pPr>
                            <w:r>
                              <w:rPr>
                                <w:rFonts w:ascii="Times New Roman" w:hAnsi="Times New Roman" w:cs="Times New Roman"/>
                                <w:color w:val="FFFF00"/>
                                <w:lang w:eastAsia="zh-CN"/>
                              </w:rPr>
                              <w:t>D</w:t>
                            </w:r>
                            <w:r>
                              <w:rPr>
                                <w:rFonts w:hint="eastAsia" w:ascii="Times New Roman" w:hAnsi="Times New Roman" w:cs="Times New Roman"/>
                                <w:color w:val="FFFF00"/>
                                <w:lang w:eastAsia="zh-CN"/>
                              </w:rPr>
                              <w:t>5</w:t>
                            </w:r>
                          </w:p>
                        </w:txbxContent>
                      </wps:txbx>
                      <wps:bodyPr rot="0" vert="horz" wrap="square" lIns="91440" tIns="45720" rIns="91440" bIns="45720" anchor="t" anchorCtr="0" upright="1">
                        <a:noAutofit/>
                      </wps:bodyPr>
                    </wps:wsp>
                  </a:graphicData>
                </a:graphic>
              </wp:anchor>
            </w:drawing>
          </mc:Choice>
          <mc:Fallback>
            <w:pict>
              <v:shape id="文本框 3242" o:spid="_x0000_s1026" o:spt="202" type="#_x0000_t202" style="position:absolute;left:0pt;margin-left:461.3pt;margin-top:175.9pt;height:19pt;width:55pt;z-index:251688960;mso-width-relative:page;mso-height-relative:page;" filled="f" stroked="f" coordsize="21600,21600" o:gfxdata="UEsDBAoAAAAAAIdO4kAAAAAAAAAAAAAAAAAEAAAAZHJzL1BLAwQUAAAACACHTuJAY2IoVtcAAAAM&#10;AQAADwAAAGRycy9kb3ducmV2LnhtbE2PPU/DMBCGdyT+g3VIbNROSqskxOkAYgXRAhKbG1+TiPgc&#10;xW4T/j2XCcZ779H7Ue5m14sLjqHzpCFZKRBItbcdNRreD893GYgQDVnTe0INPxhgV11flaawfqI3&#10;vOxjI9iEQmE0tDEOhZShbtGZsPIDEv9OfnQm8jk20o5mYnPXy1SprXSmI05ozYCPLdbf+7PT8PFy&#10;+vq8V6/Nk9sMk5+VJJdLrW9vEvUAIuIc/2BY6nN1qLjT0Z/JBtFryNN0y6iG9SbhDQuh1ot0ZCnL&#10;M5BVKf+PqH4BUEsDBBQAAAAIAIdO4kDgIEcEHwIAACAEAAAOAAAAZHJzL2Uyb0RvYy54bWytU82O&#10;0zAQviPxDpbvNG3aLm3UdLVstQhp+ZEWHsB1nMYi8Zix26Q8ALwBJy7cea4+B2On2y3LZQ9covGM&#10;55vv+zxZXHZNzXYKnQaT89FgyJkyEgptNjn/9PHmxYwz54UpRA1G5XyvHL9cPn+2aG2mUqigLhQy&#10;AjEua23OK+9tliROVqoRbgBWGSqWgI3wdMRNUqBoCb2pk3Q4vEhawMIiSOUcZVd9kR8R8SmAUJZa&#10;qhXIbaOM71FR1cKTJFdp6/gysi1LJf37snTKszrnpNTHLw2heB2+yXIhsg0KW2l5pCCeQuGRpkZo&#10;Q0NPUCvhBdui/geq0RLBQekHEpqkFxIdIRWj4SNv7iphVdRCVjt7Mt39P1j5bvcBmS5oE2bj6Xw2&#10;Ho/nnBnR0Msffnw//Px9+PWNjdNJGqxqrcuo485Sj+9eQUdtUbaztyA/O2bguhJmo64Qoa2UKIjq&#10;KHQmZ609jgsg6/YtFDRKbD1EoK7EJvhIzjBCp2fan55JdZ5JSl7MZ9MhVSSV0sloTHGYILL7ZovO&#10;v1bQsBDkHGkLIrjY3TrfX72/EmYZuNF1TXmR1eavBGGGTCQf+PbMfbfu6HZQtIZiTzIQ+sWi34qC&#10;CvArZy0tVc7dl61AxVn9xpAV89FkErYwHibTlykd8LyyPq8IIwkq556zPrz2/eZuLepNRZN68w1c&#10;kX2ljtIeWB150+JEc45LHjbz/BxvPfzYyz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jYihW1wAA&#10;AAwBAAAPAAAAAAAAAAEAIAAAACIAAABkcnMvZG93bnJldi54bWxQSwECFAAUAAAACACHTuJA4CBH&#10;BB8CAAAgBAAADgAAAAAAAAABACAAAAAmAQAAZHJzL2Uyb0RvYy54bWxQSwUGAAAAAAYABgBZAQAA&#10;twUAAAAA&#10;">
                <v:fill on="f" focussize="0,0"/>
                <v:stroke on="f"/>
                <v:imagedata o:title=""/>
                <o:lock v:ext="edit" aspectratio="f"/>
                <v:textbox>
                  <w:txbxContent>
                    <w:p w14:paraId="703820A5">
                      <w:pPr>
                        <w:ind w:firstLine="480"/>
                        <w:rPr>
                          <w:rFonts w:ascii="Times New Roman" w:hAnsi="Times New Roman" w:cs="Times New Roman"/>
                          <w:color w:val="FFFF00"/>
                          <w:lang w:eastAsia="zh-CN"/>
                        </w:rPr>
                      </w:pPr>
                      <w:r>
                        <w:rPr>
                          <w:rFonts w:ascii="Times New Roman" w:hAnsi="Times New Roman" w:cs="Times New Roman"/>
                          <w:color w:val="FFFF00"/>
                          <w:lang w:eastAsia="zh-CN"/>
                        </w:rPr>
                        <w:t>D</w:t>
                      </w:r>
                      <w:r>
                        <w:rPr>
                          <w:rFonts w:hint="eastAsia" w:ascii="Times New Roman" w:hAnsi="Times New Roman" w:cs="Times New Roman"/>
                          <w:color w:val="FFFF00"/>
                          <w:lang w:eastAsia="zh-CN"/>
                        </w:rPr>
                        <w:t>5</w:t>
                      </w:r>
                    </w:p>
                  </w:txbxContent>
                </v:textbox>
              </v:shape>
            </w:pict>
          </mc:Fallback>
        </mc:AlternateContent>
      </w:r>
      <w:r>
        <w:rPr>
          <w:rFonts w:ascii="Times New Roman" w:hAnsi="Times New Roman" w:cs="Times New Roman"/>
          <w:color w:val="auto"/>
        </w:rPr>
        <mc:AlternateContent>
          <mc:Choice Requires="wps">
            <w:drawing>
              <wp:anchor distT="0" distB="0" distL="114300" distR="114300" simplePos="0" relativeHeight="251683840" behindDoc="0" locked="0" layoutInCell="1" allowOverlap="1">
                <wp:simplePos x="0" y="0"/>
                <wp:positionH relativeFrom="column">
                  <wp:posOffset>6103620</wp:posOffset>
                </wp:positionH>
                <wp:positionV relativeFrom="paragraph">
                  <wp:posOffset>2352040</wp:posOffset>
                </wp:positionV>
                <wp:extent cx="196850" cy="186055"/>
                <wp:effectExtent l="21590" t="23495" r="19685" b="9525"/>
                <wp:wrapNone/>
                <wp:docPr id="1831853925" name="自选图形 3243"/>
                <wp:cNvGraphicFramePr/>
                <a:graphic xmlns:a="http://schemas.openxmlformats.org/drawingml/2006/main">
                  <a:graphicData uri="http://schemas.microsoft.com/office/word/2010/wordprocessingShape">
                    <wps:wsp>
                      <wps:cNvSpPr>
                        <a:spLocks noChangeArrowheads="1"/>
                      </wps:cNvSpPr>
                      <wps:spPr bwMode="auto">
                        <a:xfrm>
                          <a:off x="0" y="0"/>
                          <a:ext cx="196850" cy="186055"/>
                        </a:xfrm>
                        <a:prstGeom prst="triangle">
                          <a:avLst>
                            <a:gd name="adj" fmla="val 50000"/>
                          </a:avLst>
                        </a:prstGeom>
                        <a:solidFill>
                          <a:srgbClr val="FFFF00"/>
                        </a:solidFill>
                        <a:ln w="3175">
                          <a:solidFill>
                            <a:srgbClr val="4BACC6"/>
                          </a:solidFill>
                          <a:miter lim="800000"/>
                        </a:ln>
                        <a:effectLst/>
                      </wps:spPr>
                      <wps:bodyPr rot="0" vert="horz" wrap="square" lIns="91440" tIns="45720" rIns="91440" bIns="45720" anchor="t" anchorCtr="0" upright="1">
                        <a:noAutofit/>
                      </wps:bodyPr>
                    </wps:wsp>
                  </a:graphicData>
                </a:graphic>
              </wp:anchor>
            </w:drawing>
          </mc:Choice>
          <mc:Fallback>
            <w:pict>
              <v:shape id="自选图形 3243" o:spid="_x0000_s1026" o:spt="5" type="#_x0000_t5" style="position:absolute;left:0pt;margin-left:480.6pt;margin-top:185.2pt;height:14.65pt;width:15.5pt;z-index:251683840;mso-width-relative:page;mso-height-relative:page;" fillcolor="#FFFF00" filled="t" stroked="t" coordsize="21600,21600" o:gfxdata="UEsDBAoAAAAAAIdO4kAAAAAAAAAAAAAAAAAEAAAAZHJzL1BLAwQUAAAACACHTuJA8tUYHNgAAAAL&#10;AQAADwAAAGRycy9kb3ducmV2LnhtbE2PwU7DMAyG70i8Q2QkbixpQRspTScVtOPQKJO4Zo3XVDRJ&#10;1aTbeHvMiR39+9Pvz+X64gZ2win2wSvIFgIY+jaY3ncK9p+bh2dgMWlv9BA8KvjBCOvq9qbUhQln&#10;/4GnJnWMSnwstAKb0lhwHluLTsdFGNHT7hgmpxONU8fNpM9U7gaeC7HkTveeLlg94qvF9ruZnYL6&#10;vdt8NdtdPdd23u76Nzzue1Tq/i4TL8ASXtI/DH/6pA4VOR3C7E1kgwK5zHJCFTyuxBMwIqTMKTlQ&#10;IuUKeFXy6x+qX1BLAwQUAAAACACHTuJApDlSPWoCAAC+BAAADgAAAGRycy9lMm9Eb2MueG1srVTN&#10;btNAEL4j8Q6rvVPHSZymVp2qpCpCKlCp8ACb9Tpe2D9mN3HKqTfEM3DjyDvA21SCt2C8dkJSLj3g&#10;g7Xj2flmvm9mfHq20YqsBXhpTUHTowElwnBbSrMs6Lu3l8+mlPjATMmUNaKgt8LTs9nTJ6eNy8XQ&#10;1laVAgiCGJ83rqB1CC5PEs9roZk/sk4YdFYWNAtowjIpgTWIrlUyHAwmSWOhdGC58B6/XnRO2iPC&#10;YwBtVUkuLixfaWFChwpCsYCUfC2dp7NYbVUJHt5UlReBqIIi0xDfmATPi/adzE5ZvgTmasn7Ethj&#10;SnjASTNpMOkO6oIFRlYg/4HSkoP1tgpH3OqkIxIVQRbp4IE2NzVzInJBqb3bie7/Hyx/vb4GIkuc&#10;hOkonWajk2FGiWEaO//r8/ffd1/uv/68//GNjIbjUatW43yOQTfuGlq+3l1Z/sETY+c1M0txDmCb&#10;WrASa0zb+8lBQGt4DCWL5pUtMQdbBRuF21SgW0CUhGxif253/RGbQDh+TE8m0ww7x9GVTieDLIsZ&#10;WL4NduDDC2E1aQ8FDSCxJtVKyHK2vvIhtqjs+bHyPSWVVtjwNVMkG+DTA/aXE5ZvISNZq2R5KZWK&#10;BiwXcwUEQwt6ic8u2O9fU4Y0BR2lx1ms4sDn9yHGz8/n80mf/+CalgE3Tkld0Glb47ZIZdo6RJxy&#10;5LYVu9W369PClreoNdhu7HHp8VBb+ERJgyNfUP9xxUBQol4a7NdJOh63OxKNcXY8RAP2PYt9DzMc&#10;oVBkSrrjPHR7tXIglzVmSiNjY8+xx5Xc1ddV1U8GjjWeDvZm3463/v52Zn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8tUYHNgAAAALAQAADwAAAAAAAAABACAAAAAiAAAAZHJzL2Rvd25yZXYueG1s&#10;UEsBAhQAFAAAAAgAh07iQKQ5Uj1qAgAAvgQAAA4AAAAAAAAAAQAgAAAAJwEAAGRycy9lMm9Eb2Mu&#10;eG1sUEsFBgAAAAAGAAYAWQEAAAMGAAAAAA==&#10;" adj="10800">
                <v:fill on="t" focussize="0,0"/>
                <v:stroke weight="0.25pt" color="#4BACC6" miterlimit="8" joinstyle="miter"/>
                <v:imagedata o:title=""/>
                <o:lock v:ext="edit" aspectratio="f"/>
              </v:shape>
            </w:pict>
          </mc:Fallback>
        </mc:AlternateContent>
      </w:r>
      <w:r>
        <w:rPr>
          <w:rFonts w:ascii="Times New Roman" w:hAnsi="Times New Roman" w:cs="Times New Roman"/>
          <w:color w:val="auto"/>
        </w:rPr>
        <mc:AlternateContent>
          <mc:Choice Requires="wps">
            <w:drawing>
              <wp:anchor distT="0" distB="0" distL="114300" distR="114300" simplePos="0" relativeHeight="251686912" behindDoc="0" locked="0" layoutInCell="1" allowOverlap="1">
                <wp:simplePos x="0" y="0"/>
                <wp:positionH relativeFrom="column">
                  <wp:posOffset>3591560</wp:posOffset>
                </wp:positionH>
                <wp:positionV relativeFrom="paragraph">
                  <wp:posOffset>795655</wp:posOffset>
                </wp:positionV>
                <wp:extent cx="698500" cy="241300"/>
                <wp:effectExtent l="2540" t="1270" r="3810" b="0"/>
                <wp:wrapNone/>
                <wp:docPr id="1769191921" name="文本框 3246"/>
                <wp:cNvGraphicFramePr/>
                <a:graphic xmlns:a="http://schemas.openxmlformats.org/drawingml/2006/main">
                  <a:graphicData uri="http://schemas.microsoft.com/office/word/2010/wordprocessingShape">
                    <wps:wsp>
                      <wps:cNvSpPr txBox="1">
                        <a:spLocks noChangeArrowheads="1"/>
                      </wps:cNvSpPr>
                      <wps:spPr bwMode="auto">
                        <a:xfrm>
                          <a:off x="0" y="0"/>
                          <a:ext cx="698500" cy="241300"/>
                        </a:xfrm>
                        <a:prstGeom prst="rect">
                          <a:avLst/>
                        </a:prstGeom>
                        <a:noFill/>
                        <a:ln>
                          <a:noFill/>
                        </a:ln>
                      </wps:spPr>
                      <wps:txbx>
                        <w:txbxContent>
                          <w:p w14:paraId="090F7143">
                            <w:pPr>
                              <w:ind w:firstLine="480"/>
                              <w:rPr>
                                <w:rFonts w:ascii="Times New Roman" w:hAnsi="Times New Roman" w:cs="Times New Roman"/>
                                <w:color w:val="FFFF00"/>
                                <w:lang w:eastAsia="zh-CN"/>
                              </w:rPr>
                            </w:pPr>
                            <w:r>
                              <w:rPr>
                                <w:rFonts w:ascii="Times New Roman" w:hAnsi="Times New Roman" w:cs="Times New Roman"/>
                                <w:color w:val="FFFF00"/>
                                <w:lang w:eastAsia="zh-CN"/>
                              </w:rPr>
                              <w:t>D</w:t>
                            </w:r>
                            <w:r>
                              <w:rPr>
                                <w:rFonts w:hint="eastAsia" w:ascii="Times New Roman" w:hAnsi="Times New Roman" w:cs="Times New Roman"/>
                                <w:color w:val="FFFF00"/>
                                <w:lang w:eastAsia="zh-CN"/>
                              </w:rPr>
                              <w:t>2</w:t>
                            </w:r>
                          </w:p>
                        </w:txbxContent>
                      </wps:txbx>
                      <wps:bodyPr rot="0" vert="horz" wrap="square" lIns="91440" tIns="45720" rIns="91440" bIns="45720" anchor="t" anchorCtr="0" upright="1">
                        <a:noAutofit/>
                      </wps:bodyPr>
                    </wps:wsp>
                  </a:graphicData>
                </a:graphic>
              </wp:anchor>
            </w:drawing>
          </mc:Choice>
          <mc:Fallback>
            <w:pict>
              <v:shape id="文本框 3246" o:spid="_x0000_s1026" o:spt="202" type="#_x0000_t202" style="position:absolute;left:0pt;margin-left:282.8pt;margin-top:62.65pt;height:19pt;width:55pt;z-index:251686912;mso-width-relative:page;mso-height-relative:page;" filled="f" stroked="f" coordsize="21600,21600" o:gfxdata="UEsDBAoAAAAAAIdO4kAAAAAAAAAAAAAAAAAEAAAAZHJzL1BLAwQUAAAACACHTuJAZS7CWNYAAAAL&#10;AQAADwAAAGRycy9kb3ducmV2LnhtbE2PwU7DMBBE70j8g7VI3KjdhrgQ4vQA4gqiQCVubrxNIuJ1&#10;FLtN+Hu2JzjuzNPsTLmZfS9OOMYukIHlQoFAqoPrqDHw8f58cwciJkvO9oHQwA9G2FSXF6UtXJjo&#10;DU/b1AgOoVhYA21KQyFlrFv0Ni7CgMTeIYzeJj7HRrrRThzue7lSSktvO+IPrR3wscX6e3v0Bj5f&#10;Dl+7W/XaPPl8mMKsJPl7acz11VI9gEg4pz8YzvW5OlTcaR+O5KLoDeQ614yyscozEEzo9VnZs6Kz&#10;DGRVyv8bql9QSwMEFAAAAAgAh07iQGeciSMeAgAAIAQAAA4AAABkcnMvZTJvRG9jLnhtbK1TS27b&#10;MBDdF+gdCO5rWYrjxILlII2RokD6AdIegKYoi6jEYYe0pfQAzQ266qb7nsvn6JByHDfdZFEIEObD&#10;eTPvcTi/6NuGbRU6Dabg6WjMmTISSm3WBf/86frVOWfOC1OKBowq+J1y/GLx8sW8s7nKoIamVMgI&#10;xLi8swWvvbd5kjhZq1a4EVhlKFkBtsKTi+ukRNERetsk2Xg8TTrA0iJI5RxFl0OS7xHxOYBQVVqq&#10;JchNq4wfUFE1whMlV2vr+CJOW1VK+g9V5ZRnTcGJqY9/akL2KvyTxVzkaxS21nI/gnjOCE84tUIb&#10;anqAWgov2Ab1P1CtlggOKj+S0CYDkagIsUjHT7S5rYVVkQtJ7exBdPf/YOX77UdkuqRNOJvOUvqy&#10;lDMjWrr53Y/73c/fu1/f2Uk2mQapOutyqri1VOP719BTWaTt7A3IL44ZuKqFWatLROhqJUoaNQ2V&#10;yVHpgOMCyKp7ByW1EhsPEaivsA06kjKM0Oma7g7XpHrPJAWns/PTMWUkpbJJekJ26CDyh2KLzr9R&#10;0LJgFBxpCyK42N44Pxx9OBJ6GbjWTUNxkTfmrwBhhkgcPsw7TO77VU+nA6MVlHdEA2FYLHpWZNSA&#10;3zjraKkK7r5uBCrOmreGpJilk0nYwuhMTs8ycvA4szrOCCMJquCes8G88sPmbizqdU2dBvENXJJ8&#10;lY7UHqfaz02LE8XZL3nYzGM/nnp82I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ZS7CWNYAAAAL&#10;AQAADwAAAAAAAAABACAAAAAiAAAAZHJzL2Rvd25yZXYueG1sUEsBAhQAFAAAAAgAh07iQGeciSMe&#10;AgAAIAQAAA4AAAAAAAAAAQAgAAAAJQEAAGRycy9lMm9Eb2MueG1sUEsFBgAAAAAGAAYAWQEAALUF&#10;AAAAAA==&#10;">
                <v:fill on="f" focussize="0,0"/>
                <v:stroke on="f"/>
                <v:imagedata o:title=""/>
                <o:lock v:ext="edit" aspectratio="f"/>
                <v:textbox>
                  <w:txbxContent>
                    <w:p w14:paraId="090F7143">
                      <w:pPr>
                        <w:ind w:firstLine="480"/>
                        <w:rPr>
                          <w:rFonts w:ascii="Times New Roman" w:hAnsi="Times New Roman" w:cs="Times New Roman"/>
                          <w:color w:val="FFFF00"/>
                          <w:lang w:eastAsia="zh-CN"/>
                        </w:rPr>
                      </w:pPr>
                      <w:r>
                        <w:rPr>
                          <w:rFonts w:ascii="Times New Roman" w:hAnsi="Times New Roman" w:cs="Times New Roman"/>
                          <w:color w:val="FFFF00"/>
                          <w:lang w:eastAsia="zh-CN"/>
                        </w:rPr>
                        <w:t>D</w:t>
                      </w:r>
                      <w:r>
                        <w:rPr>
                          <w:rFonts w:hint="eastAsia" w:ascii="Times New Roman" w:hAnsi="Times New Roman" w:cs="Times New Roman"/>
                          <w:color w:val="FFFF00"/>
                          <w:lang w:eastAsia="zh-CN"/>
                        </w:rPr>
                        <w:t>2</w:t>
                      </w:r>
                    </w:p>
                  </w:txbxContent>
                </v:textbox>
              </v:shape>
            </w:pict>
          </mc:Fallback>
        </mc:AlternateContent>
      </w:r>
      <w:r>
        <w:rPr>
          <w:rFonts w:ascii="Times New Roman" w:hAnsi="Times New Roman" w:cs="Times New Roman"/>
          <w:color w:val="auto"/>
        </w:rPr>
        <mc:AlternateContent>
          <mc:Choice Requires="wps">
            <w:drawing>
              <wp:anchor distT="0" distB="0" distL="114300" distR="114300" simplePos="0" relativeHeight="251681792" behindDoc="0" locked="0" layoutInCell="1" allowOverlap="1">
                <wp:simplePos x="0" y="0"/>
                <wp:positionH relativeFrom="column">
                  <wp:posOffset>3827145</wp:posOffset>
                </wp:positionH>
                <wp:positionV relativeFrom="paragraph">
                  <wp:posOffset>894080</wp:posOffset>
                </wp:positionV>
                <wp:extent cx="185420" cy="238760"/>
                <wp:effectExtent l="13335" t="26035" r="20320" b="11430"/>
                <wp:wrapNone/>
                <wp:docPr id="990765270" name="自选图形 3247"/>
                <wp:cNvGraphicFramePr/>
                <a:graphic xmlns:a="http://schemas.openxmlformats.org/drawingml/2006/main">
                  <a:graphicData uri="http://schemas.microsoft.com/office/word/2010/wordprocessingShape">
                    <wps:wsp>
                      <wps:cNvSpPr>
                        <a:spLocks noChangeArrowheads="1"/>
                      </wps:cNvSpPr>
                      <wps:spPr bwMode="auto">
                        <a:xfrm>
                          <a:off x="0" y="0"/>
                          <a:ext cx="185420" cy="238760"/>
                        </a:xfrm>
                        <a:prstGeom prst="triangle">
                          <a:avLst>
                            <a:gd name="adj" fmla="val 50000"/>
                          </a:avLst>
                        </a:prstGeom>
                        <a:solidFill>
                          <a:srgbClr val="FFFF00"/>
                        </a:solidFill>
                        <a:ln w="3175">
                          <a:solidFill>
                            <a:srgbClr val="4BACC6"/>
                          </a:solidFill>
                          <a:miter lim="800000"/>
                        </a:ln>
                        <a:effectLst/>
                      </wps:spPr>
                      <wps:bodyPr rot="0" vert="horz" wrap="square" lIns="91440" tIns="45720" rIns="91440" bIns="45720" anchor="t" anchorCtr="0" upright="1">
                        <a:noAutofit/>
                      </wps:bodyPr>
                    </wps:wsp>
                  </a:graphicData>
                </a:graphic>
              </wp:anchor>
            </w:drawing>
          </mc:Choice>
          <mc:Fallback>
            <w:pict>
              <v:shape id="自选图形 3247" o:spid="_x0000_s1026" o:spt="5" type="#_x0000_t5" style="position:absolute;left:0pt;margin-left:301.35pt;margin-top:70.4pt;height:18.8pt;width:14.6pt;z-index:251681792;mso-width-relative:page;mso-height-relative:page;" fillcolor="#FFFF00" filled="t" stroked="t" coordsize="21600,21600" o:gfxdata="UEsDBAoAAAAAAIdO4kAAAAAAAAAAAAAAAAAEAAAAZHJzL1BLAwQUAAAACACHTuJAycBaoNgAAAAL&#10;AQAADwAAAGRycy9kb3ducmV2LnhtbE2PwU7DMBBE70j8g7VI3KidUqVtGqdSQD0WlVCJqxtvY4vY&#10;jmKnLX/PcoLjzjzNzpTbm+vZBcdog5eQzQQw9G3Q1ncSjh+7pxWwmJTXqg8eJXxjhG11f1eqQoer&#10;f8dLkzpGIT4WSoJJaSg4j61Bp+IsDOjJO4fRqUTn2HE9qiuFu57Phci5U9bTB6MGfDHYfjWTk1C/&#10;dbvPZn+op9pM+4N9xfPRopSPD5nYAEt4S38w/Nan6lBRp1OYvI6sl5CL+ZJQMhaCNhCRP2drYCdS&#10;lqsF8Krk/zdUP1BLAwQUAAAACACHTuJA8fL4PmgCAAC9BAAADgAAAGRycy9lMm9Eb2MueG1srVTN&#10;bhMxEL4j8Q6W73Szaf666qYqqYqQClQqPIDj9WYN/mPsZFNOvSGegRtH3gHephK8BWNvEpJy6YE9&#10;rOwdzzff9814T8/WWpGVAC+tKWl+1KNEGG4raRYlfff28tmEEh+YqZiyRpT0Vnh6Nn365LR1hejb&#10;xqpKAEEQ44vWlbQJwRVZ5nkjNPNH1gmDwdqCZgG3sMgqYC2ia5X1e71R1lqoHFguvMevF12QbhDh&#10;MYC2riUXF5YvtTChQwWhWEBJvpHO02liW9eChzd17UUgqqSoNKQ3FsH1PL6z6SkrFsBcI/mGAnsM&#10;hQeaNJMGi+6gLlhgZAnyHygtOVhv63DErc46IckRVJH3Hnhz0zAnkha02rud6f7/wfLXq2sgsirp&#10;yUlvPBr2x+iMYRob/+vz9993X+6//rz/8Y0c9wfjaFbrfIE5N+4aolzvriz/4Imxs4aZhTgHsG0j&#10;WIUU83g+O0iIG4+pZN6+shXWYMtgk2/rGnQEREfIOrXndtcesQ6E48d8Mhz0kR7HUP94Mh6l9mWs&#10;2CY78OGFsJrERUkDSOSkooOsYKsrH1KHqo0+Vr2npNYK+71iigx7+CTKu8MIvYVMYq2S1aVUKm1g&#10;MZ8pIJha0kt8dsl+/5gypC3pcT4eJhYHMb8PMXh+PpuNNvUPjmkZ8MIpqUs6iRy3JJWJPEQactS2&#10;NTv62/Vpbqtb9BpsN/V453HRWPhESYsTX1L/cclAUKJeGuzXST4YxCuSNoPhOFoN+5H5foQZjlBo&#10;MiXdcha6a7V0IBcNVsqTYmPPsce13PHrWG0mA6caVwfXZn+fTv3960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MnAWqDYAAAACwEAAA8AAAAAAAAAAQAgAAAAIgAAAGRycy9kb3ducmV2LnhtbFBL&#10;AQIUABQAAAAIAIdO4kDx8vg+aAIAAL0EAAAOAAAAAAAAAAEAIAAAACcBAABkcnMvZTJvRG9jLnht&#10;bFBLBQYAAAAABgAGAFkBAAABBgAAAAA=&#10;" adj="10800">
                <v:fill on="t" focussize="0,0"/>
                <v:stroke weight="0.25pt" color="#4BACC6" miterlimit="8" joinstyle="miter"/>
                <v:imagedata o:title=""/>
                <o:lock v:ext="edit" aspectratio="f"/>
              </v:shape>
            </w:pict>
          </mc:Fallback>
        </mc:AlternateContent>
      </w:r>
      <w:r>
        <w:rPr>
          <w:rFonts w:ascii="Times New Roman" w:hAnsi="Times New Roman" w:cs="Times New Roman"/>
          <w:color w:val="auto"/>
        </w:rPr>
        <mc:AlternateContent>
          <mc:Choice Requires="wps">
            <w:drawing>
              <wp:anchor distT="0" distB="0" distL="114300" distR="114300" simplePos="0" relativeHeight="251695104" behindDoc="0" locked="0" layoutInCell="1" allowOverlap="1">
                <wp:simplePos x="0" y="0"/>
                <wp:positionH relativeFrom="column">
                  <wp:posOffset>6433820</wp:posOffset>
                </wp:positionH>
                <wp:positionV relativeFrom="paragraph">
                  <wp:posOffset>931545</wp:posOffset>
                </wp:positionV>
                <wp:extent cx="196215" cy="186055"/>
                <wp:effectExtent l="15240" t="16510" r="17145" b="6985"/>
                <wp:wrapNone/>
                <wp:docPr id="1690795051" name="自选图形 3239"/>
                <wp:cNvGraphicFramePr/>
                <a:graphic xmlns:a="http://schemas.openxmlformats.org/drawingml/2006/main">
                  <a:graphicData uri="http://schemas.microsoft.com/office/word/2010/wordprocessingShape">
                    <wps:wsp>
                      <wps:cNvSpPr>
                        <a:spLocks noChangeArrowheads="1"/>
                      </wps:cNvSpPr>
                      <wps:spPr bwMode="auto">
                        <a:xfrm>
                          <a:off x="0" y="0"/>
                          <a:ext cx="196215" cy="186055"/>
                        </a:xfrm>
                        <a:prstGeom prst="triangle">
                          <a:avLst>
                            <a:gd name="adj" fmla="val 50000"/>
                          </a:avLst>
                        </a:prstGeom>
                        <a:solidFill>
                          <a:srgbClr val="FFFF00"/>
                        </a:solidFill>
                        <a:ln w="3175">
                          <a:solidFill>
                            <a:srgbClr val="4BACC6"/>
                          </a:solidFill>
                          <a:miter lim="800000"/>
                        </a:ln>
                        <a:effectLst/>
                      </wps:spPr>
                      <wps:bodyPr rot="0" vert="horz" wrap="square" lIns="91440" tIns="45720" rIns="91440" bIns="45720" anchor="t" anchorCtr="0" upright="1">
                        <a:noAutofit/>
                      </wps:bodyPr>
                    </wps:wsp>
                  </a:graphicData>
                </a:graphic>
              </wp:anchor>
            </w:drawing>
          </mc:Choice>
          <mc:Fallback>
            <w:pict>
              <v:shape id="自选图形 3239" o:spid="_x0000_s1026" o:spt="5" type="#_x0000_t5" style="position:absolute;left:0pt;margin-left:506.6pt;margin-top:73.35pt;height:14.65pt;width:15.45pt;z-index:251695104;mso-width-relative:page;mso-height-relative:page;" fillcolor="#FFFF00" filled="t" stroked="t" coordsize="21600,21600" o:gfxdata="UEsDBAoAAAAAAIdO4kAAAAAAAAAAAAAAAAAEAAAAZHJzL1BLAwQUAAAACACHTuJAMhItYNkAAAAN&#10;AQAADwAAAGRycy9kb3ducmV2LnhtbE2PwU7DMBBE70j8g7VI3KidEqUoxKkUUI9FJa3E1Y23sUVs&#10;R7HTlr9ne4LbjPZpdqZaX93AzjhFG7yEbCGAoe+Ctr6XcNhvnl6AxaS8VkPwKOEHI6zr+7tKlTpc&#10;/Cee29QzCvGxVBJMSmPJeewMOhUXYURPt1OYnEpkp57rSV0o3A18KUTBnbKePhg14pvB7rudnYTm&#10;o998tdtdMzdm3u7sO54OFqV8fMjEK7CE1/QHw60+VYeaOh3D7HVkA3mRPS+JJZUXK2A3ROR5BuxI&#10;alUI4HXF/6+ofwFQSwMEFAAAAAgAh07iQGRjd8FpAgAAvgQAAA4AAABkcnMvZTJvRG9jLnhtbK1U&#10;zW7TQBC+I/EOq71T22mcNladqqQqQipQqfAAm/U6Xtg/Zjdxyokb4hm4ceQd4G0qwVswXjshKRcO&#10;+GDteHa+me+bGZ+db7QiawFeWlPS7CilRBhuK2mWJX3z+urJKSU+MFMxZY0o6Z3w9Hz2+NFZ6wox&#10;so1VlQCCIMYXrStpE4IrksTzRmjmj6wTBp21Bc0CmrBMKmAtomuVjNJ0krQWKgeWC+/x62XvpAMi&#10;/AugrWvJxaXlKy1M6FFBKBaQkm+k83QWq61rwcOruvYiEFVSZBriG5PgedG9k9kZK5bAXCP5UAL7&#10;lxIecNJMGky6g7pkgZEVyL+gtORgva3DEbc66YlERZBFlj7Q5rZhTkQuKLV3O9H9/4PlL9c3QGSF&#10;kzCZpifTPM0zSgzT2Pmfn779+vj5/suP++9fyfHoeNqp1TpfYNCtu4GOr3fXlr/zxNh5w8xSXADY&#10;thGswhqz7n5yENAZHkPJon1hK8zBVsFG4TY16A4QJSGb2J+7XX/EJhCOH7PpZJTllHB0ZaeTNM9j&#10;BlZsgx348ExYTbpDSQNIrEl1ErKCra99iC2qBn6sektJrRU2fM0UyVN8BsDhcsKKLWQka5WsrqRS&#10;0YDlYq6AYGhJr/DZBfv9a8qQtqTH2Ukeqzjw+X2I8dOL+Xwy5D+4pmXAjVNSl/S0q3FbpDJdHSJO&#10;OXLbit3p2/dpYas71BpsP/a49HhoLHygpMWRL6l/v2IgKFHPDfZrmo3H3Y5EY5yfjNCAfc9i38MM&#10;RygUmZL+OA/9Xq0cyGWDmbLI2NgL7HEtd/X1VQ2TgWONp4O92bfjrT+/ndl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MhItYNkAAAANAQAADwAAAAAAAAABACAAAAAiAAAAZHJzL2Rvd25yZXYueG1s&#10;UEsBAhQAFAAAAAgAh07iQGRjd8FpAgAAvgQAAA4AAAAAAAAAAQAgAAAAKAEAAGRycy9lMm9Eb2Mu&#10;eG1sUEsFBgAAAAAGAAYAWQEAAAMGAAAAAA==&#10;" adj="10800">
                <v:fill on="t" focussize="0,0"/>
                <v:stroke weight="0.25pt" color="#4BACC6" miterlimit="8" joinstyle="miter"/>
                <v:imagedata o:title=""/>
                <o:lock v:ext="edit" aspectratio="f"/>
              </v:shape>
            </w:pict>
          </mc:Fallback>
        </mc:AlternateContent>
      </w:r>
      <w:r>
        <w:rPr>
          <w:rFonts w:ascii="Times New Roman" w:hAnsi="Times New Roman" w:cs="Times New Roman"/>
          <w:color w:val="auto"/>
        </w:rPr>
        <mc:AlternateContent>
          <mc:Choice Requires="wps">
            <w:drawing>
              <wp:anchor distT="0" distB="0" distL="114300" distR="114300" simplePos="0" relativeHeight="251700224" behindDoc="0" locked="0" layoutInCell="1" allowOverlap="1">
                <wp:simplePos x="0" y="0"/>
                <wp:positionH relativeFrom="column">
                  <wp:posOffset>6242685</wp:posOffset>
                </wp:positionH>
                <wp:positionV relativeFrom="paragraph">
                  <wp:posOffset>874395</wp:posOffset>
                </wp:positionV>
                <wp:extent cx="698500" cy="241300"/>
                <wp:effectExtent l="635" t="0" r="0" b="0"/>
                <wp:wrapNone/>
                <wp:docPr id="955679372" name="文本框 3238"/>
                <wp:cNvGraphicFramePr/>
                <a:graphic xmlns:a="http://schemas.openxmlformats.org/drawingml/2006/main">
                  <a:graphicData uri="http://schemas.microsoft.com/office/word/2010/wordprocessingShape">
                    <wps:wsp>
                      <wps:cNvSpPr txBox="1">
                        <a:spLocks noChangeArrowheads="1"/>
                      </wps:cNvSpPr>
                      <wps:spPr bwMode="auto">
                        <a:xfrm>
                          <a:off x="0" y="0"/>
                          <a:ext cx="698500" cy="241300"/>
                        </a:xfrm>
                        <a:prstGeom prst="rect">
                          <a:avLst/>
                        </a:prstGeom>
                        <a:noFill/>
                        <a:ln>
                          <a:noFill/>
                        </a:ln>
                      </wps:spPr>
                      <wps:txbx>
                        <w:txbxContent>
                          <w:p w14:paraId="7D870A03">
                            <w:pPr>
                              <w:ind w:firstLine="480"/>
                              <w:rPr>
                                <w:rFonts w:ascii="Times New Roman" w:hAnsi="Times New Roman" w:cs="Times New Roman"/>
                                <w:color w:val="FFFF00"/>
                                <w:lang w:eastAsia="zh-CN"/>
                              </w:rPr>
                            </w:pPr>
                            <w:r>
                              <w:rPr>
                                <w:rFonts w:ascii="Times New Roman" w:hAnsi="Times New Roman" w:cs="Times New Roman"/>
                                <w:color w:val="FFFF00"/>
                                <w:lang w:eastAsia="zh-CN"/>
                              </w:rPr>
                              <w:t>D</w:t>
                            </w:r>
                            <w:r>
                              <w:rPr>
                                <w:rFonts w:hint="eastAsia" w:ascii="Times New Roman" w:hAnsi="Times New Roman" w:cs="Times New Roman"/>
                                <w:color w:val="FFFF00"/>
                                <w:lang w:eastAsia="zh-CN"/>
                              </w:rPr>
                              <w:t>4</w:t>
                            </w:r>
                          </w:p>
                        </w:txbxContent>
                      </wps:txbx>
                      <wps:bodyPr rot="0" vert="horz" wrap="square" lIns="91440" tIns="45720" rIns="91440" bIns="45720" anchor="t" anchorCtr="0" upright="1">
                        <a:noAutofit/>
                      </wps:bodyPr>
                    </wps:wsp>
                  </a:graphicData>
                </a:graphic>
              </wp:anchor>
            </w:drawing>
          </mc:Choice>
          <mc:Fallback>
            <w:pict>
              <v:shape id="文本框 3238" o:spid="_x0000_s1026" o:spt="202" type="#_x0000_t202" style="position:absolute;left:0pt;margin-left:491.55pt;margin-top:68.85pt;height:19pt;width:55pt;z-index:251700224;mso-width-relative:page;mso-height-relative:page;" filled="f" stroked="f" coordsize="21600,21600" o:gfxdata="UEsDBAoAAAAAAIdO4kAAAAAAAAAAAAAAAAAEAAAAZHJzL1BLAwQUAAAACACHTuJAT+ytnNcAAAAM&#10;AQAADwAAAGRycy9kb3ducmV2LnhtbE2PQU/DMAyF70j8h8hI3FhSxuhamu4A4gpiwKTdssZrKxqn&#10;arK1/HvcE7vZfk/P3ys2k+vEGYfQetKQLBQIpMrblmoNX5+vd2sQIRqypvOEGn4xwKa8vipMbv1I&#10;H3jexlpwCIXcaGhi7HMpQ9WgM2HheyTWjn5wJvI61NIOZuRw18l7pR6lMy3xh8b0+Nxg9bM9OQ3f&#10;b8f97kG91y9u1Y9+UpJcJrW+vUnUE4iIU/w3w4zP6FAy08GfyAbRacjWy4StLCzTFMTsUNl8OvCU&#10;rlKQZSEvS5R/UEsDBBQAAAAIAIdO4kAiXL9NHwIAAB8EAAAOAAAAZHJzL2Uyb0RvYy54bWytU0tu&#10;2zAQ3RfoHQjua/kfW7AcpDFSFEg/QNoD0BRlEZU47JC25B6guUFX3XTfc/kcHVKO46abLLoRhjOc&#10;N+89jhaXbV2xnUKnwWR80OtzpoyEXJtNxj9/unk148x5YXJRgVEZ3yvHL5cvXywam6ohlFDlChmB&#10;GJc2NuOl9zZNEidLVQvXA6sMFQvAWng64ibJUTSEXlfJsN+fJg1gbhGkco6yq67Ij4j4HEAoCi3V&#10;CuS2VsZ3qKgq4UmSK7V1fBnZFoWS/kNROOVZlXFS6uOXhlC8Dt9kuRDpBoUttTxSEM+h8ERTLbSh&#10;oSeolfCCbVH/A1VrieCg8D0JddIJiY6QikH/iTd3pbAqaiGrnT2Z7v4frHy/+4hM5xmfTybTi/no&#10;YsiZETU9/OHH/eHn78Ov72w0HM2CU411KTXcWWrx7WtoaX+iamdvQX5xzMB1KcxGXSFCUyqRE9NB&#10;6EzOWjscF0DWzTvIaZTYeohAbYF1sJGMYYROr7Q/vZJqPZOUnM5nkz5VJJWG48GI4jBBpA/NFp1/&#10;o6BmIcg40hJEcLG7db67+nAlzDJwo6uK8iKtzF8JwgyZSD7w7Zj7dt3S7aBoDfmeZCB0e0V/FQUl&#10;4DfOGtqpjLuvW4GKs+qtISvmg/E4LGE8jCcXQzrgeWV9XhFGElTGPWddeO27xd1a1JuSJnXmG7gi&#10;+wodpT2yOvKmvYnmHHc8LOb5Od56/K+X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P7K2c1wAA&#10;AAwBAAAPAAAAAAAAAAEAIAAAACIAAABkcnMvZG93bnJldi54bWxQSwECFAAUAAAACACHTuJAIly/&#10;TR8CAAAfBAAADgAAAAAAAAABACAAAAAmAQAAZHJzL2Uyb0RvYy54bWxQSwUGAAAAAAYABgBZAQAA&#10;twUAAAAA&#10;">
                <v:fill on="f" focussize="0,0"/>
                <v:stroke on="f"/>
                <v:imagedata o:title=""/>
                <o:lock v:ext="edit" aspectratio="f"/>
                <v:textbox>
                  <w:txbxContent>
                    <w:p w14:paraId="7D870A03">
                      <w:pPr>
                        <w:ind w:firstLine="480"/>
                        <w:rPr>
                          <w:rFonts w:ascii="Times New Roman" w:hAnsi="Times New Roman" w:cs="Times New Roman"/>
                          <w:color w:val="FFFF00"/>
                          <w:lang w:eastAsia="zh-CN"/>
                        </w:rPr>
                      </w:pPr>
                      <w:r>
                        <w:rPr>
                          <w:rFonts w:ascii="Times New Roman" w:hAnsi="Times New Roman" w:cs="Times New Roman"/>
                          <w:color w:val="FFFF00"/>
                          <w:lang w:eastAsia="zh-CN"/>
                        </w:rPr>
                        <w:t>D</w:t>
                      </w:r>
                      <w:r>
                        <w:rPr>
                          <w:rFonts w:hint="eastAsia" w:ascii="Times New Roman" w:hAnsi="Times New Roman" w:cs="Times New Roman"/>
                          <w:color w:val="FFFF00"/>
                          <w:lang w:eastAsia="zh-CN"/>
                        </w:rPr>
                        <w:t>4</w:t>
                      </w:r>
                    </w:p>
                  </w:txbxContent>
                </v:textbox>
              </v:shape>
            </w:pict>
          </mc:Fallback>
        </mc:AlternateContent>
      </w:r>
      <w:r>
        <w:rPr>
          <w:rFonts w:ascii="Times New Roman" w:hAnsi="Times New Roman" w:cs="Times New Roman"/>
          <w:color w:val="auto"/>
        </w:rPr>
        <mc:AlternateContent>
          <mc:Choice Requires="wps">
            <w:drawing>
              <wp:anchor distT="0" distB="0" distL="114300" distR="114300" simplePos="0" relativeHeight="251691008" behindDoc="0" locked="0" layoutInCell="1" allowOverlap="1">
                <wp:simplePos x="0" y="0"/>
                <wp:positionH relativeFrom="column">
                  <wp:posOffset>6999605</wp:posOffset>
                </wp:positionH>
                <wp:positionV relativeFrom="paragraph">
                  <wp:posOffset>1329690</wp:posOffset>
                </wp:positionV>
                <wp:extent cx="196215" cy="196850"/>
                <wp:effectExtent l="17145" t="18415" r="15240" b="13335"/>
                <wp:wrapNone/>
                <wp:docPr id="112306623" name="自选图形 3231"/>
                <wp:cNvGraphicFramePr/>
                <a:graphic xmlns:a="http://schemas.openxmlformats.org/drawingml/2006/main">
                  <a:graphicData uri="http://schemas.microsoft.com/office/word/2010/wordprocessingShape">
                    <wps:wsp>
                      <wps:cNvSpPr>
                        <a:spLocks noChangeArrowheads="1"/>
                      </wps:cNvSpPr>
                      <wps:spPr bwMode="auto">
                        <a:xfrm>
                          <a:off x="0" y="0"/>
                          <a:ext cx="196215" cy="196850"/>
                        </a:xfrm>
                        <a:prstGeom prst="triangle">
                          <a:avLst>
                            <a:gd name="adj" fmla="val 50000"/>
                          </a:avLst>
                        </a:prstGeom>
                        <a:solidFill>
                          <a:srgbClr val="FFFF00"/>
                        </a:solidFill>
                        <a:ln w="3175">
                          <a:solidFill>
                            <a:srgbClr val="4BACC6"/>
                          </a:solidFill>
                          <a:miter lim="800000"/>
                        </a:ln>
                        <a:effectLst/>
                      </wps:spPr>
                      <wps:bodyPr rot="0" vert="horz" wrap="square" lIns="91440" tIns="45720" rIns="91440" bIns="45720" anchor="t" anchorCtr="0" upright="1">
                        <a:noAutofit/>
                      </wps:bodyPr>
                    </wps:wsp>
                  </a:graphicData>
                </a:graphic>
              </wp:anchor>
            </w:drawing>
          </mc:Choice>
          <mc:Fallback>
            <w:pict>
              <v:shape id="自选图形 3231" o:spid="_x0000_s1026" o:spt="5" type="#_x0000_t5" style="position:absolute;left:0pt;margin-left:551.15pt;margin-top:104.7pt;height:15.5pt;width:15.45pt;z-index:251691008;mso-width-relative:page;mso-height-relative:page;" fillcolor="#FFFF00" filled="t" stroked="t" coordsize="21600,21600" o:gfxdata="UEsDBAoAAAAAAIdO4kAAAAAAAAAAAAAAAAAEAAAAZHJzL1BLAwQUAAAACACHTuJAAaTpDtkAAAAN&#10;AQAADwAAAGRycy9kb3ducmV2LnhtbE2Py07DMBBF90j8gzVI7KidhxCEOJUC6rKohEps3XgaW8Tj&#10;KHba8ve4K1jemaM7Z+r1xY3shHOwniRkKwEMqffa0iBh/7l5eAIWoiKtRk8o4QcDrJvbm1pV2p/p&#10;A09dHFgqoVApCSbGqeI89AadCis/IaXd0c9OxRTngetZnVO5G3kuxCN3ylK6YNSErwb7725xEtr3&#10;YfPVbXft0pplu7NveNxblPL+LhMvwCJe4h8MV/2kDk1yOviFdGBjypnIi8RKyMVzCeyKZEWRAzuk&#10;USlK4E3N/3/R/AJQSwMEFAAAAAgAh07iQH3yoqxqAgAAvQQAAA4AAABkcnMvZTJvRG9jLnhtbK1U&#10;zW7UMBC+I/EOlu80m+xP26jZatmqCKlApcIDeB1nY/AfY+9my6k3xDNw48g7wNtUgrdg4mSX3XLp&#10;gRyimdjz+fu+8eTsfKMVWQvw0pqCpkcDSoThtpRmWdB3by+fnVDiAzMlU9aIgt4KT8+nT5+cNS4X&#10;ma2tKgUQBDE+b1xB6xBcniSe10Izf2SdMLhYWdAsYArLpATWILpWSTYYTJLGQunAcuE9fr3oFmmP&#10;CI8BtFUlubiwfKWFCR0qCMUCSvK1dJ5OI9uqEjy8qSovAlEFRaUhvvEQjBftO5mesXwJzNWS9xTY&#10;Yyg80KSZNHjoDuqCBUZWIP+B0pKD9bYKR9zqpBMSHUEV6eCBNzc1cyJqQau925nu/x8sf72+BiJL&#10;vAlpNhxMJtmQEsM0Nv7X5++/777cf/15/+MbGWbDtDWrcT7Hmht3Da1c764s/+CJsfOamaWYAdim&#10;FqxEinF/clDQJh5LyaJ5ZUs8g62Cjb5tKtAtIDpCNrE9t7v2iE0gHD+mp5MsHVPCcQnjk3FsX8Ly&#10;bbEDH14Iq0kbFDSARE6qdZDlbH3lQ+xQ2etj5XtKKq2w32umyHiATysRAfvNGG0ho1irZHkplYoJ&#10;LBdzBQRLC3qJz67Y729ThjQFHabH48jiYM3vQ4yez+bzSX/+wTYtAw6ckrqgJy3HLUllWh4iXnLU&#10;1jLf+tv1aWHLW/QabHfrceYxqC18oqTBG19Q/3HFQFCiXhrs12k6GrUjEpPR+DjDBPZXFvsrzHCE&#10;QpMp6cJ56MZq5UAuazwpjYqNnWGPK7nj17HqyeKtjob3E9iOzX4ed/3960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AGk6Q7ZAAAADQEAAA8AAAAAAAAAAQAgAAAAIgAAAGRycy9kb3ducmV2Lnht&#10;bFBLAQIUABQAAAAIAIdO4kB98qKsagIAAL0EAAAOAAAAAAAAAAEAIAAAACgBAABkcnMvZTJvRG9j&#10;LnhtbFBLBQYAAAAABgAGAFkBAAAEBgAAAAA=&#10;" adj="10800">
                <v:fill on="t" focussize="0,0"/>
                <v:stroke weight="0.25pt" color="#4BACC6" miterlimit="8" joinstyle="miter"/>
                <v:imagedata o:title=""/>
                <o:lock v:ext="edit" aspectratio="f"/>
              </v:shape>
            </w:pict>
          </mc:Fallback>
        </mc:AlternateContent>
      </w:r>
      <w:r>
        <w:rPr>
          <w:rFonts w:ascii="Times New Roman" w:hAnsi="Times New Roman" w:cs="Times New Roman"/>
          <w:color w:val="auto"/>
        </w:rPr>
        <mc:AlternateContent>
          <mc:Choice Requires="wps">
            <w:drawing>
              <wp:anchor distT="0" distB="0" distL="114300" distR="114300" simplePos="0" relativeHeight="251696128" behindDoc="0" locked="0" layoutInCell="1" allowOverlap="1">
                <wp:simplePos x="0" y="0"/>
                <wp:positionH relativeFrom="column">
                  <wp:posOffset>6668770</wp:posOffset>
                </wp:positionH>
                <wp:positionV relativeFrom="paragraph">
                  <wp:posOffset>1103630</wp:posOffset>
                </wp:positionV>
                <wp:extent cx="698500" cy="241300"/>
                <wp:effectExtent l="0" t="4445" r="0" b="1905"/>
                <wp:wrapNone/>
                <wp:docPr id="121868525" name="文本框 3230"/>
                <wp:cNvGraphicFramePr/>
                <a:graphic xmlns:a="http://schemas.openxmlformats.org/drawingml/2006/main">
                  <a:graphicData uri="http://schemas.microsoft.com/office/word/2010/wordprocessingShape">
                    <wps:wsp>
                      <wps:cNvSpPr txBox="1">
                        <a:spLocks noChangeArrowheads="1"/>
                      </wps:cNvSpPr>
                      <wps:spPr bwMode="auto">
                        <a:xfrm>
                          <a:off x="0" y="0"/>
                          <a:ext cx="698500" cy="241300"/>
                        </a:xfrm>
                        <a:prstGeom prst="rect">
                          <a:avLst/>
                        </a:prstGeom>
                        <a:noFill/>
                        <a:ln>
                          <a:noFill/>
                        </a:ln>
                      </wps:spPr>
                      <wps:txbx>
                        <w:txbxContent>
                          <w:p w14:paraId="00C5B4AC">
                            <w:pPr>
                              <w:ind w:firstLine="480"/>
                              <w:rPr>
                                <w:rFonts w:ascii="Times New Roman" w:hAnsi="Times New Roman" w:cs="Times New Roman"/>
                                <w:color w:val="FFFF00"/>
                                <w:lang w:eastAsia="zh-CN"/>
                              </w:rPr>
                            </w:pPr>
                            <w:r>
                              <w:rPr>
                                <w:rFonts w:ascii="Times New Roman" w:hAnsi="Times New Roman" w:cs="Times New Roman"/>
                                <w:color w:val="FFFF00"/>
                                <w:lang w:eastAsia="zh-CN"/>
                              </w:rPr>
                              <w:t>D</w:t>
                            </w:r>
                            <w:r>
                              <w:rPr>
                                <w:rFonts w:hint="eastAsia" w:ascii="Times New Roman" w:hAnsi="Times New Roman" w:cs="Times New Roman"/>
                                <w:color w:val="FFFF00"/>
                                <w:lang w:eastAsia="zh-CN"/>
                              </w:rPr>
                              <w:t>10</w:t>
                            </w:r>
                          </w:p>
                        </w:txbxContent>
                      </wps:txbx>
                      <wps:bodyPr rot="0" vert="horz" wrap="square" lIns="91440" tIns="45720" rIns="91440" bIns="45720" anchor="t" anchorCtr="0" upright="1">
                        <a:noAutofit/>
                      </wps:bodyPr>
                    </wps:wsp>
                  </a:graphicData>
                </a:graphic>
              </wp:anchor>
            </w:drawing>
          </mc:Choice>
          <mc:Fallback>
            <w:pict>
              <v:shape id="文本框 3230" o:spid="_x0000_s1026" o:spt="202" type="#_x0000_t202" style="position:absolute;left:0pt;margin-left:525.1pt;margin-top:86.9pt;height:19pt;width:55pt;z-index:251696128;mso-width-relative:page;mso-height-relative:page;" filled="f" stroked="f" coordsize="21600,21600" o:gfxdata="UEsDBAoAAAAAAIdO4kAAAAAAAAAAAAAAAAAEAAAAZHJzL1BLAwQUAAAACACHTuJAA+RHAtcAAAAN&#10;AQAADwAAAGRycy9kb3ducmV2LnhtbE2PzU7DMBCE70i8g7VI3KjtQH8IcXoAcQVRoBI3N94mEfE6&#10;it0mvD2bE9x2dkez3xTbyXfijENsAxnQCwUCqQqupdrAx/vzzQZETJac7QKhgR+MsC0vLwqbuzDS&#10;G553qRYcQjG3BpqU+lzKWDXobVyEHolvxzB4m1gOtXSDHTncdzJTaiW9bYk/NLbHxwar793JG/h8&#10;OX7t79Rr/eSX/RgmJcnfS2Our7R6AJFwSn9mmPEZHUpmOoQTuSg61mqpMvbytL7lErNFr+bVwUCm&#10;9QZkWcj/LcpfUEsDBBQAAAAIAIdO4kBYk0IAHwIAAB8EAAAOAAAAZHJzL2Uyb0RvYy54bWytU0tu&#10;2zAQ3RfoHQjua9nyp45gOUhjpCiQfoC0B6ApyiIqcdghbck9QHuDrrrpvufyOTqkHMdNN1l0Qww5&#10;nDfzHh8Xl11Ts51Cp8HkfDQYcqaMhEKbTc4/fbx5MefMeWEKUYNROd8rxy+Xz58tWpupFCqoC4WM&#10;QIzLWpvzynubJYmTlWqEG4BVhpIlYCM8bXGTFChaQm/qJB0OZ0kLWFgEqZyj01Wf5EdEfAoglKWW&#10;agVy2yjje1RUtfBEyVXaOr6M05alkv59WTrlWZ1zYurjSk0oXoc1WS5EtkFhKy2PI4injPCIUyO0&#10;oaYnqJXwgm1R/wPVaIngoPQDCU3SE4mKEIvR8JE2d5WwKnIhqZ09ie7+H6x8t/uATBfkhHQ0n82n&#10;6ZQzIxp6+MOP74efvw+/vrFxOo5KtdZlVHBnqcR3r6Cjqsja2VuQnx0zcF0Js1FXiNBWShQ06Sho&#10;nJyVhrdxmQsg6/YtFNRKbD1EoK7EJshIwjBCp1fan15JdZ5JOpxdzKdDykhKpZPRmOLQQWT3xRad&#10;f62gYSHIOZIJIrjY3TrfX72/EnoZuNF1HY1Qm78OCDOcxOHDvP3kvlt3dDuQWEOxJxoIva/oV1FQ&#10;AX7lrCVP5dx92QpUnNVvDElxMZpMggnjZjJ9mdIGzzPr84wwkqBy7jnrw2vfG3drUW8q6tSLb+CK&#10;5Ct1pPYw1XFu8k0U5+jxYMzzfbz18K+X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D5EcC1wAA&#10;AA0BAAAPAAAAAAAAAAEAIAAAACIAAABkcnMvZG93bnJldi54bWxQSwECFAAUAAAACACHTuJAWJNC&#10;AB8CAAAfBAAADgAAAAAAAAABACAAAAAmAQAAZHJzL2Uyb0RvYy54bWxQSwUGAAAAAAYABgBZAQAA&#10;twUAAAAA&#10;">
                <v:fill on="f" focussize="0,0"/>
                <v:stroke on="f"/>
                <v:imagedata o:title=""/>
                <o:lock v:ext="edit" aspectratio="f"/>
                <v:textbox>
                  <w:txbxContent>
                    <w:p w14:paraId="00C5B4AC">
                      <w:pPr>
                        <w:ind w:firstLine="480"/>
                        <w:rPr>
                          <w:rFonts w:ascii="Times New Roman" w:hAnsi="Times New Roman" w:cs="Times New Roman"/>
                          <w:color w:val="FFFF00"/>
                          <w:lang w:eastAsia="zh-CN"/>
                        </w:rPr>
                      </w:pPr>
                      <w:r>
                        <w:rPr>
                          <w:rFonts w:ascii="Times New Roman" w:hAnsi="Times New Roman" w:cs="Times New Roman"/>
                          <w:color w:val="FFFF00"/>
                          <w:lang w:eastAsia="zh-CN"/>
                        </w:rPr>
                        <w:t>D</w:t>
                      </w:r>
                      <w:r>
                        <w:rPr>
                          <w:rFonts w:hint="eastAsia" w:ascii="Times New Roman" w:hAnsi="Times New Roman" w:cs="Times New Roman"/>
                          <w:color w:val="FFFF00"/>
                          <w:lang w:eastAsia="zh-CN"/>
                        </w:rPr>
                        <w:t>10</w:t>
                      </w: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893760" behindDoc="0" locked="0" layoutInCell="1" allowOverlap="1">
                <wp:simplePos x="0" y="0"/>
                <wp:positionH relativeFrom="column">
                  <wp:posOffset>6997700</wp:posOffset>
                </wp:positionH>
                <wp:positionV relativeFrom="paragraph">
                  <wp:posOffset>1327785</wp:posOffset>
                </wp:positionV>
                <wp:extent cx="153670" cy="302260"/>
                <wp:effectExtent l="19050" t="19050" r="18415" b="21590"/>
                <wp:wrapNone/>
                <wp:docPr id="1577632951" name="矩形 719"/>
                <wp:cNvGraphicFramePr/>
                <a:graphic xmlns:a="http://schemas.openxmlformats.org/drawingml/2006/main">
                  <a:graphicData uri="http://schemas.microsoft.com/office/word/2010/wordprocessingShape">
                    <wps:wsp>
                      <wps:cNvSpPr/>
                      <wps:spPr>
                        <a:xfrm>
                          <a:off x="0" y="0"/>
                          <a:ext cx="153619" cy="302387"/>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719" o:spid="_x0000_s1026" o:spt="1" style="position:absolute;left:0pt;margin-left:551pt;margin-top:104.55pt;height:23.8pt;width:12.1pt;z-index:251893760;v-text-anchor:middle;mso-width-relative:page;mso-height-relative:page;" filled="f" stroked="t" coordsize="21600,21600" o:gfxdata="UEsDBAoAAAAAAIdO4kAAAAAAAAAAAAAAAAAEAAAAZHJzL1BLAwQUAAAACACHTuJAmi/ktdkAAAAN&#10;AQAADwAAAGRycy9kb3ducmV2LnhtbE2PzU7DMBCE70i8g7VI3Kh/EKFN41SA4MKJlD6AG2/jQGyH&#10;2P2Bp2d7guPMjma/qVYnP7ADTqmPQYOcCWAY2mj70GnYvL/czIGlbII1Qwyo4RsTrOrLi8qUNh5D&#10;g4d17hiVhFQaDS7nseQ8tQ69SbM4YqDbLk7eZJJTx+1kjlTuB66EKLg3faAPzoz45LD9XO+9hsbd&#10;YvH8Nt89NHEz4M/Hl3oUr1pfX0mxBJbxlP/CcMYndKiJaRv3wSY2kJZC0ZisQYmFBHaOSFUoYFuy&#10;7op74HXF/6+ofwFQSwMEFAAAAAgAh07iQMSU7wd1AgAA1QQAAA4AAABkcnMvZTJvRG9jLnhtbK1U&#10;y24TMRTdI/EPlvd08miadNRJFTUtQqpopIJYOx5PxpJf2M6j/AwSOz6Cz0H8Bsee6YPCoguycO71&#10;vT7X9/jcOTs/aEV2wgdpTUWHRwNKhOG2lmZT0Y8frt7MKAmRmZopa0RF70Sg5/PXr872rhQj21pV&#10;C08AYkK5dxVtY3RlUQTeCs3CkXXCINhYr1mE6zdF7dke6FoVo8HgpNhbXztvuQgBu8suSHtE/xJA&#10;2zSSi6XlWy1M7FC9UCyipdBKF+g837ZpBI83TRNEJKqi6DTmFUVgr9NazM9YufHMtZL3V2AvucKz&#10;njSTBkUfoJYsMrL18i8oLbm3wTbxiFtddI1kRtDFcPCMm9uWOZF7AdXBPZAe/h8sf79beSJrKGEy&#10;nZ6MR6eTISWGabz8r6/ff/74RqbD00TT3oUS2bdu5XsvwEw9Hxqv0z+6IYdM7d0DteIQCcfmcDI+&#10;AQ7hCI0Ho/FsmjCLx8POh/hWWE2SUVGPl8uEst11iF3qfUqqZeyVVAr7rFSG7Cs6mk2mE+AzSLKB&#10;FGBqh7aC2VDC1AZa59FnyGCVrNPxdDr4zfpCebJjUMjl5QC//mZ/pKXaSxbaLi+HUhortYwYByV1&#10;RWfp8P1pZdBe4qxjKVlrW9+BbG87FQbHryRgr1mIK+YhO4gSgxlvsDTKoinbW5S01n/5137KhxoQ&#10;pWQPGaPhz1vmBSXqnYFOTofHx0n32TmeTEdw/NPI+mnEbPWFBQ+QAG6XzZQf1b3ZeKs/YX4XqSpC&#10;zHDU7qjtnYvYjRe+AFwsFjkNWncsXptbxxN494CLbbSNzG/7yE5PGtSe1dFPZhqnp37OevwazX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mi/ktdkAAAANAQAADwAAAAAAAAABACAAAAAiAAAAZHJz&#10;L2Rvd25yZXYueG1sUEsBAhQAFAAAAAgAh07iQMSU7wd1AgAA1QQAAA4AAAAAAAAAAQAgAAAAKAEA&#10;AGRycy9lMm9Eb2MueG1sUEsFBgAAAAAGAAYAWQEAAA8GAAAAAA==&#10;">
                <v:fill on="f" focussize="0,0"/>
                <v:stroke weight="2.25pt" color="#EE0000 [3204]" miterlimit="8" joinstyle="miter"/>
                <v:imagedata o:title=""/>
                <o:lock v:ext="edit" aspectratio="f"/>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55520" behindDoc="0" locked="0" layoutInCell="1" allowOverlap="1">
                <wp:simplePos x="0" y="0"/>
                <wp:positionH relativeFrom="column">
                  <wp:posOffset>5107305</wp:posOffset>
                </wp:positionH>
                <wp:positionV relativeFrom="paragraph">
                  <wp:posOffset>495300</wp:posOffset>
                </wp:positionV>
                <wp:extent cx="1605280" cy="359410"/>
                <wp:effectExtent l="0" t="4445" r="0" b="0"/>
                <wp:wrapNone/>
                <wp:docPr id="1177780980" name="矩形 5045"/>
                <wp:cNvGraphicFramePr/>
                <a:graphic xmlns:a="http://schemas.openxmlformats.org/drawingml/2006/main">
                  <a:graphicData uri="http://schemas.microsoft.com/office/word/2010/wordprocessingShape">
                    <wps:wsp>
                      <wps:cNvSpPr>
                        <a:spLocks noChangeArrowheads="1"/>
                      </wps:cNvSpPr>
                      <wps:spPr bwMode="auto">
                        <a:xfrm>
                          <a:off x="0" y="0"/>
                          <a:ext cx="1605280" cy="359410"/>
                        </a:xfrm>
                        <a:prstGeom prst="rect">
                          <a:avLst/>
                        </a:prstGeom>
                        <a:noFill/>
                        <a:ln>
                          <a:noFill/>
                        </a:ln>
                      </wps:spPr>
                      <wps:txbx>
                        <w:txbxContent>
                          <w:p w14:paraId="26627615">
                            <w:pPr>
                              <w:rPr>
                                <w:rFonts w:ascii="Times New Roman" w:hAnsi="Times New Roman" w:cs="Times New Roman"/>
                                <w:b/>
                                <w:bCs/>
                                <w:color w:val="EE0000"/>
                                <w:sz w:val="28"/>
                                <w:szCs w:val="22"/>
                                <w:lang w:eastAsia="zh-CN"/>
                              </w:rPr>
                            </w:pPr>
                            <w:r>
                              <w:rPr>
                                <w:rFonts w:ascii="Times New Roman" w:hAnsi="Times New Roman" w:cs="Times New Roman"/>
                                <w:b/>
                                <w:bCs/>
                                <w:color w:val="EE0000"/>
                                <w:sz w:val="28"/>
                                <w:szCs w:val="22"/>
                                <w:lang w:eastAsia="zh-CN"/>
                              </w:rPr>
                              <w:t>2</w:t>
                            </w:r>
                            <w:r>
                              <w:rPr>
                                <w:rFonts w:hint="eastAsia" w:ascii="Times New Roman" w:hAnsi="Times New Roman" w:cs="Times New Roman"/>
                                <w:b/>
                                <w:bCs/>
                                <w:color w:val="EE0000"/>
                                <w:sz w:val="28"/>
                                <w:szCs w:val="22"/>
                                <w:lang w:eastAsia="zh-CN"/>
                              </w:rPr>
                              <w:t>0</w:t>
                            </w:r>
                            <w:r>
                              <w:rPr>
                                <w:rFonts w:ascii="Times New Roman" w:hAnsi="Times New Roman" w:cs="Times New Roman"/>
                                <w:b/>
                                <w:bCs/>
                                <w:color w:val="EE0000"/>
                                <w:sz w:val="28"/>
                                <w:szCs w:val="22"/>
                                <w:lang w:eastAsia="zh-CN"/>
                              </w:rPr>
                              <w:t>km</w:t>
                            </w:r>
                            <w:r>
                              <w:rPr>
                                <w:rFonts w:hint="eastAsia" w:ascii="Times New Roman" w:hAnsi="Times New Roman" w:cs="Times New Roman"/>
                                <w:b/>
                                <w:bCs/>
                                <w:color w:val="EE0000"/>
                                <w:sz w:val="28"/>
                                <w:szCs w:val="22"/>
                                <w:vertAlign w:val="superscript"/>
                                <w:lang w:eastAsia="zh-CN"/>
                              </w:rPr>
                              <w:t>2</w:t>
                            </w:r>
                            <w:r>
                              <w:rPr>
                                <w:rFonts w:ascii="Times New Roman" w:hAnsi="Times New Roman" w:cs="Times New Roman"/>
                                <w:b/>
                                <w:bCs/>
                                <w:color w:val="EE0000"/>
                                <w:sz w:val="28"/>
                                <w:szCs w:val="22"/>
                                <w:lang w:eastAsia="zh-CN"/>
                              </w:rPr>
                              <w:t>评价范围</w:t>
                            </w:r>
                          </w:p>
                        </w:txbxContent>
                      </wps:txbx>
                      <wps:bodyPr rot="0" vert="horz" wrap="square" lIns="91440" tIns="45720" rIns="91440" bIns="45720" anchor="t" anchorCtr="0" upright="1">
                        <a:noAutofit/>
                      </wps:bodyPr>
                    </wps:wsp>
                  </a:graphicData>
                </a:graphic>
              </wp:anchor>
            </w:drawing>
          </mc:Choice>
          <mc:Fallback>
            <w:pict>
              <v:rect id="矩形 5045" o:spid="_x0000_s1026" o:spt="1" style="position:absolute;left:0pt;margin-left:402.15pt;margin-top:39pt;height:28.3pt;width:126.4pt;z-index:251755520;mso-width-relative:page;mso-height-relative:page;" filled="f" stroked="f" coordsize="21600,21600" o:gfxdata="UEsDBAoAAAAAAIdO4kAAAAAAAAAAAAAAAAAEAAAAZHJzL1BLAwQUAAAACACHTuJAOXjyNdwAAAAL&#10;AQAADwAAAGRycy9kb3ducmV2LnhtbE2PwU7CQBCG7ya+w2ZMvBjZrSA0pVsOJEZiTIhFOC/t2DZ2&#10;Z0t3afHtHU56m8l8+ef709XFtmLA3jeONEQTBQKpcGVDlYbP3ctjDMIHQ6VpHaGGH/Swym5vUpOU&#10;bqQPHPJQCQ4hnxgNdQhdIqUvarTGT1yHxLcv11sTeO0rWfZm5HDbyiel5tKahvhDbTpc11h852er&#10;YSy2w2H3/iq3D4eNo9PmtM73b1rf30VqCSLgJfzBcNVndcjY6ejOVHrRaojVbMqohkXMna6Ael5E&#10;II48TWdzkFkq/3fIfgFQSwMEFAAAAAgAh07iQP3cGoAWAgAAFAQAAA4AAABkcnMvZTJvRG9jLnht&#10;bK1TwY7TMBC9I/EPlu80SWm3bdR0tdpqEdICKy18gOs4jUXiMWO3SfkZJG58BJ+D+A3GTrd0l8se&#10;uFgez/j5vTfj5WXfNmyv0GkwBc9GKWfKSCi12Rb808ebV3POnBemFA0YVfCDcvxy9fLFsrO5GkMN&#10;TamQEYhxeWcLXntv8yRxslatcCOwylCyAmyFpxC3SYmiI/S2ScZpepF0gKVFkMo5Ol0PSX5ExOcA&#10;QlVpqdYgd60yfkBF1QhPklytreOryLaqlPQfqsopz5qCk1IfV3qE9puwJqulyLcobK3lkYJ4DoUn&#10;mlqhDT16gloLL9gO9T9QrZYIDio/ktAmg5DoCKnI0ife3NfCqqiFrHb2ZLr7f7Dy/f4OmS5pErLZ&#10;bDZPF3OyxoiWOv/7249fP7+zaTqZBp8663Iqv7d3GJQ6ewvys2MGrmthtuoKEbpaiZLYZaE+eXQh&#10;BI6usk33DkpCFzsP0bK+wjYAkhmsj505nDqjes8kHWYX6XQcmEnKvZ4uJllsXSLyh9sWnX+joGVh&#10;U3Ckzkd0sb91PrAR+UNJeMzAjW6a2P3GPDqgwnAS2QfCg3Dfb/qjBxsoD6QDYRgm+kq0qQG/ctbR&#10;IBXcfdkJVJw1bw15scgmkzB5MZhMZ2MK8DyzOc8IIwmq4J6zYXvth2ndWdTbml7KoiwDV+RfpaO0&#10;4O3A6sibhiUqPg52mMbzOFb9/cyr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Dl48jXcAAAACwEA&#10;AA8AAAAAAAAAAQAgAAAAIgAAAGRycy9kb3ducmV2LnhtbFBLAQIUABQAAAAIAIdO4kD93BqAFgIA&#10;ABQEAAAOAAAAAAAAAAEAIAAAACsBAABkcnMvZTJvRG9jLnhtbFBLBQYAAAAABgAGAFkBAACzBQAA&#10;AAA=&#10;">
                <v:fill on="f" focussize="0,0"/>
                <v:stroke on="f"/>
                <v:imagedata o:title=""/>
                <o:lock v:ext="edit" aspectratio="f"/>
                <v:textbox>
                  <w:txbxContent>
                    <w:p w14:paraId="26627615">
                      <w:pPr>
                        <w:rPr>
                          <w:rFonts w:ascii="Times New Roman" w:hAnsi="Times New Roman" w:cs="Times New Roman"/>
                          <w:b/>
                          <w:bCs/>
                          <w:color w:val="EE0000"/>
                          <w:sz w:val="28"/>
                          <w:szCs w:val="22"/>
                          <w:lang w:eastAsia="zh-CN"/>
                        </w:rPr>
                      </w:pPr>
                      <w:r>
                        <w:rPr>
                          <w:rFonts w:ascii="Times New Roman" w:hAnsi="Times New Roman" w:cs="Times New Roman"/>
                          <w:b/>
                          <w:bCs/>
                          <w:color w:val="EE0000"/>
                          <w:sz w:val="28"/>
                          <w:szCs w:val="22"/>
                          <w:lang w:eastAsia="zh-CN"/>
                        </w:rPr>
                        <w:t>2</w:t>
                      </w:r>
                      <w:r>
                        <w:rPr>
                          <w:rFonts w:hint="eastAsia" w:ascii="Times New Roman" w:hAnsi="Times New Roman" w:cs="Times New Roman"/>
                          <w:b/>
                          <w:bCs/>
                          <w:color w:val="EE0000"/>
                          <w:sz w:val="28"/>
                          <w:szCs w:val="22"/>
                          <w:lang w:eastAsia="zh-CN"/>
                        </w:rPr>
                        <w:t>0</w:t>
                      </w:r>
                      <w:r>
                        <w:rPr>
                          <w:rFonts w:ascii="Times New Roman" w:hAnsi="Times New Roman" w:cs="Times New Roman"/>
                          <w:b/>
                          <w:bCs/>
                          <w:color w:val="EE0000"/>
                          <w:sz w:val="28"/>
                          <w:szCs w:val="22"/>
                          <w:lang w:eastAsia="zh-CN"/>
                        </w:rPr>
                        <w:t>km</w:t>
                      </w:r>
                      <w:r>
                        <w:rPr>
                          <w:rFonts w:hint="eastAsia" w:ascii="Times New Roman" w:hAnsi="Times New Roman" w:cs="Times New Roman"/>
                          <w:b/>
                          <w:bCs/>
                          <w:color w:val="EE0000"/>
                          <w:sz w:val="28"/>
                          <w:szCs w:val="22"/>
                          <w:vertAlign w:val="superscript"/>
                          <w:lang w:eastAsia="zh-CN"/>
                        </w:rPr>
                        <w:t>2</w:t>
                      </w:r>
                      <w:r>
                        <w:rPr>
                          <w:rFonts w:ascii="Times New Roman" w:hAnsi="Times New Roman" w:cs="Times New Roman"/>
                          <w:b/>
                          <w:bCs/>
                          <w:color w:val="EE0000"/>
                          <w:sz w:val="28"/>
                          <w:szCs w:val="22"/>
                          <w:lang w:eastAsia="zh-CN"/>
                        </w:rPr>
                        <w:t>评价范围</w:t>
                      </w:r>
                    </w:p>
                  </w:txbxContent>
                </v:textbox>
              </v:rect>
            </w:pict>
          </mc:Fallback>
        </mc:AlternateContent>
      </w:r>
      <w:r>
        <w:rPr>
          <w:rFonts w:ascii="Times New Roman" w:hAnsi="Times New Roman" w:cs="Times New Roman"/>
          <w:color w:val="auto"/>
        </w:rPr>
        <mc:AlternateContent>
          <mc:Choice Requires="wps">
            <w:drawing>
              <wp:anchor distT="0" distB="0" distL="114300" distR="114300" simplePos="0" relativeHeight="251687936" behindDoc="0" locked="0" layoutInCell="1" allowOverlap="1">
                <wp:simplePos x="0" y="0"/>
                <wp:positionH relativeFrom="column">
                  <wp:posOffset>2000885</wp:posOffset>
                </wp:positionH>
                <wp:positionV relativeFrom="paragraph">
                  <wp:posOffset>2762885</wp:posOffset>
                </wp:positionV>
                <wp:extent cx="852805" cy="273050"/>
                <wp:effectExtent l="4445" t="0" r="0" b="0"/>
                <wp:wrapNone/>
                <wp:docPr id="1376302860" name="文本框 3244"/>
                <wp:cNvGraphicFramePr/>
                <a:graphic xmlns:a="http://schemas.openxmlformats.org/drawingml/2006/main">
                  <a:graphicData uri="http://schemas.microsoft.com/office/word/2010/wordprocessingShape">
                    <wps:wsp>
                      <wps:cNvSpPr txBox="1">
                        <a:spLocks noChangeArrowheads="1"/>
                      </wps:cNvSpPr>
                      <wps:spPr bwMode="auto">
                        <a:xfrm>
                          <a:off x="0" y="0"/>
                          <a:ext cx="852805" cy="273050"/>
                        </a:xfrm>
                        <a:prstGeom prst="rect">
                          <a:avLst/>
                        </a:prstGeom>
                        <a:noFill/>
                        <a:ln>
                          <a:noFill/>
                        </a:ln>
                        <a:effectLst/>
                      </wps:spPr>
                      <wps:txbx>
                        <w:txbxContent>
                          <w:p w14:paraId="23DBCE5A">
                            <w:pPr>
                              <w:ind w:firstLine="480"/>
                              <w:rPr>
                                <w:rFonts w:ascii="Times New Roman" w:hAnsi="Times New Roman" w:cs="Times New Roman"/>
                                <w:color w:val="FFFF00"/>
                                <w:lang w:eastAsia="zh-CN"/>
                              </w:rPr>
                            </w:pPr>
                            <w:r>
                              <w:rPr>
                                <w:rFonts w:ascii="Times New Roman" w:hAnsi="Times New Roman" w:cs="Times New Roman"/>
                                <w:color w:val="FFFF00"/>
                                <w:lang w:eastAsia="zh-CN"/>
                              </w:rPr>
                              <w:t>D</w:t>
                            </w:r>
                            <w:r>
                              <w:rPr>
                                <w:rFonts w:hint="eastAsia" w:ascii="Times New Roman" w:hAnsi="Times New Roman" w:cs="Times New Roman"/>
                                <w:color w:val="FFFF00"/>
                                <w:lang w:eastAsia="zh-CN"/>
                              </w:rPr>
                              <w:t>10</w:t>
                            </w:r>
                          </w:p>
                        </w:txbxContent>
                      </wps:txbx>
                      <wps:bodyPr rot="0" vert="horz" wrap="square" lIns="91440" tIns="45720" rIns="91440" bIns="45720" anchor="t" anchorCtr="0" upright="1">
                        <a:noAutofit/>
                      </wps:bodyPr>
                    </wps:wsp>
                  </a:graphicData>
                </a:graphic>
              </wp:anchor>
            </w:drawing>
          </mc:Choice>
          <mc:Fallback>
            <w:pict>
              <v:shape id="文本框 3244" o:spid="_x0000_s1026" o:spt="202" type="#_x0000_t202" style="position:absolute;left:0pt;margin-left:157.55pt;margin-top:217.55pt;height:21.5pt;width:67.15pt;z-index:251687936;mso-width-relative:page;mso-height-relative:page;" filled="f" stroked="f" coordsize="21600,21600" o:gfxdata="UEsDBAoAAAAAAIdO4kAAAAAAAAAAAAAAAAAEAAAAZHJzL1BLAwQUAAAACACHTuJASzAXA9cAAAAL&#10;AQAADwAAAGRycy9kb3ducmV2LnhtbE2PwU7DMAyG70i8Q2QkbiwJy9hWmu4A4gpiwCRuWeu1FY1T&#10;Ndla3h7vxG6/5U+/P+ebyXfihENsA1nQMwUCqQxVS7WFz4+XuxWImBxVrguEFn4xwqa4vspdVoWR&#10;3vG0TbXgEoqZs9Ck1GdSxrJB7+Is9Ei8O4TBu8TjUMtqcCOX+07eK/UgvWuJLzSux6cGy5/t0Vv4&#10;ej1874x6q5/9oh/DpCT5tbT29karRxAJp/QPw1mf1aFgp304UhVFZ2GuF5pRC2Z+DkwYszYg9hyW&#10;Kw2yyOXlD8UfUEsDBBQAAAAIAIdO4kBazm0aJgIAAC4EAAAOAAAAZHJzL2Uyb0RvYy54bWytU0tu&#10;2zAQ3RfoHQjua8nyJ65gOUhjpCiQfoC0B6ApyiIqcViStuQeoLlBV91033P5HB2Siuummyy6IUgO&#10;5828N4/Ly75tyF4YK0EVdDxKKRGKQynVtqCfPt68WFBiHVMla0CJgh6EpZer58+Wnc5FBjU0pTAE&#10;QZTNO13Q2jmdJ4nltWiZHYEWCoMVmJY5PJptUhrWIXrbJFmazpMOTKkNcGEt3q5jkA6I5imAUFWS&#10;izXwXSuUi6hGNMwhJVtLbekqdFtVgrv3VWWFI01BkakLKxbB/cavyWrJ8q1hupZ8aIE9pYVHnFom&#10;FRY9Qa2ZY2Rn5D9QreQGLFRuxKFNIpGgCLIYp4+0uauZFoELSm31SXT7/2D5u/0HQ2SJTphczCdp&#10;tpijNIq1OPnj9/vjj1/Hn9/IJJtOvVSdtjlm3GnMcf0r6DEt0Lb6FvhnSxRc10xtxZUx0NWCldjq&#10;2GcmZ6kRx3qQTfcWSizFdg4CUF+Z1uuIyhBEx14OpzGJ3hGOl4tZtkhnlHAMZReTdBbGmLD8IVkb&#10;614LaInfFNSgCwI4299a55th+cMTX0vBjWya4IRG/XWBD+ONCFYasj0V333k4fpNP0izgfKApAxE&#10;m+Enw00N5islHVqsoPbLjhlBSfNGoTAvx9Op92Q4TGcXGR7MeWRzHmGKI1RBHSVxe+2ij3fayG2N&#10;leIoFFyhmJUMRH2rsathBGijwH+wvPfp+Tm8+vPNV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zAXA9cAAAALAQAADwAAAAAAAAABACAAAAAiAAAAZHJzL2Rvd25yZXYueG1sUEsBAhQAFAAAAAgA&#10;h07iQFrObRomAgAALgQAAA4AAAAAAAAAAQAgAAAAJgEAAGRycy9lMm9Eb2MueG1sUEsFBgAAAAAG&#10;AAYAWQEAAL4FAAAAAA==&#10;">
                <v:fill on="f" focussize="0,0"/>
                <v:stroke on="f"/>
                <v:imagedata o:title=""/>
                <o:lock v:ext="edit" aspectratio="f"/>
                <v:textbox>
                  <w:txbxContent>
                    <w:p w14:paraId="23DBCE5A">
                      <w:pPr>
                        <w:ind w:firstLine="480"/>
                        <w:rPr>
                          <w:rFonts w:ascii="Times New Roman" w:hAnsi="Times New Roman" w:cs="Times New Roman"/>
                          <w:color w:val="FFFF00"/>
                          <w:lang w:eastAsia="zh-CN"/>
                        </w:rPr>
                      </w:pPr>
                      <w:r>
                        <w:rPr>
                          <w:rFonts w:ascii="Times New Roman" w:hAnsi="Times New Roman" w:cs="Times New Roman"/>
                          <w:color w:val="FFFF00"/>
                          <w:lang w:eastAsia="zh-CN"/>
                        </w:rPr>
                        <w:t>D</w:t>
                      </w:r>
                      <w:r>
                        <w:rPr>
                          <w:rFonts w:hint="eastAsia" w:ascii="Times New Roman" w:hAnsi="Times New Roman" w:cs="Times New Roman"/>
                          <w:color w:val="FFFF00"/>
                          <w:lang w:eastAsia="zh-CN"/>
                        </w:rPr>
                        <w:t>10</w:t>
                      </w:r>
                    </w:p>
                  </w:txbxContent>
                </v:textbox>
              </v:shape>
            </w:pict>
          </mc:Fallback>
        </mc:AlternateContent>
      </w:r>
      <w:r>
        <w:rPr>
          <w:rFonts w:ascii="Times New Roman" w:hAnsi="Times New Roman" w:cs="Times New Roman"/>
          <w:color w:val="auto"/>
        </w:rPr>
        <mc:AlternateContent>
          <mc:Choice Requires="wps">
            <w:drawing>
              <wp:anchor distT="0" distB="0" distL="114300" distR="114300" simplePos="0" relativeHeight="251682816" behindDoc="0" locked="0" layoutInCell="1" allowOverlap="1">
                <wp:simplePos x="0" y="0"/>
                <wp:positionH relativeFrom="column">
                  <wp:posOffset>2689225</wp:posOffset>
                </wp:positionH>
                <wp:positionV relativeFrom="paragraph">
                  <wp:posOffset>2853690</wp:posOffset>
                </wp:positionV>
                <wp:extent cx="207010" cy="207010"/>
                <wp:effectExtent l="16510" t="20955" r="14605" b="10160"/>
                <wp:wrapNone/>
                <wp:docPr id="1104577042" name="自选图形 3245"/>
                <wp:cNvGraphicFramePr/>
                <a:graphic xmlns:a="http://schemas.openxmlformats.org/drawingml/2006/main">
                  <a:graphicData uri="http://schemas.microsoft.com/office/word/2010/wordprocessingShape">
                    <wps:wsp>
                      <wps:cNvSpPr>
                        <a:spLocks noChangeArrowheads="1"/>
                      </wps:cNvSpPr>
                      <wps:spPr bwMode="auto">
                        <a:xfrm>
                          <a:off x="0" y="0"/>
                          <a:ext cx="207010" cy="207010"/>
                        </a:xfrm>
                        <a:prstGeom prst="triangle">
                          <a:avLst>
                            <a:gd name="adj" fmla="val 50000"/>
                          </a:avLst>
                        </a:prstGeom>
                        <a:solidFill>
                          <a:srgbClr val="FFFF00"/>
                        </a:solidFill>
                        <a:ln w="3175">
                          <a:solidFill>
                            <a:srgbClr val="4BACC6"/>
                          </a:solidFill>
                          <a:miter lim="800000"/>
                        </a:ln>
                        <a:effectLst/>
                      </wps:spPr>
                      <wps:bodyPr rot="0" vert="horz" wrap="square" lIns="91440" tIns="45720" rIns="91440" bIns="45720" anchor="t" anchorCtr="0" upright="1">
                        <a:noAutofit/>
                      </wps:bodyPr>
                    </wps:wsp>
                  </a:graphicData>
                </a:graphic>
              </wp:anchor>
            </w:drawing>
          </mc:Choice>
          <mc:Fallback>
            <w:pict>
              <v:shape id="自选图形 3245" o:spid="_x0000_s1026" o:spt="5" type="#_x0000_t5" style="position:absolute;left:0pt;margin-left:211.75pt;margin-top:224.7pt;height:16.3pt;width:16.3pt;z-index:251682816;mso-width-relative:page;mso-height-relative:page;" fillcolor="#FFFF00" filled="t" stroked="t" coordsize="21600,21600" o:gfxdata="UEsDBAoAAAAAAIdO4kAAAAAAAAAAAAAAAAAEAAAAZHJzL1BLAwQUAAAACACHTuJAjf9urdkAAAAL&#10;AQAADwAAAGRycy9kb3ducmV2LnhtbE2PwU7DMAyG70i8Q2Qkbixp6aZRmk4qaMehUSZxzRqviWiS&#10;qkm38faYE9x+y59+f642VzewM07RBi8hWwhg6Lugre8lHD62D2tgMSmv1RA8SvjGCJv69qZSpQ4X&#10;/47nNvWMSnwslQST0lhyHjuDTsVFGNHT7hQmpxKNU8/1pC5U7gaeC7HiTllPF4wa8cVg99XOTkLz&#10;1m8/292+mRsz7/b2FU8Hi1Le32XiGVjCa/qD4Vef1KEmp2OYvY5skFDkj0tCKRRPBTAiiuUqA3ak&#10;sM4F8Lri/3+ofwBQSwMEFAAAAAgAh07iQDpamspmAgAAvgQAAA4AAABkcnMvZTJvRG9jLnhtbK1U&#10;zW7TQBC+I/EOq71T22nSFKtOVVIVIRWoVHiAzXodL+wfs5s45cQN8QzcOPIO8DaV4C2YXTshLZce&#10;8MHa8ex88803Mz453WhF1gK8tKaixUFOiTDc1tIsK/r2zcWTY0p8YKZmyhpR0Rvh6ens8aOTzpVi&#10;ZFuragEEQYwvO1fRNgRXZpnnrdDMH1gnDDobC5oFNGGZ1cA6RNcqG+X5UdZZqB1YLrzHr+e9kw6I&#10;8BBA2zSSi3PLV1qY0KOCUCxgSb6VztNZYts0gofXTeNFIKqiWGlIb0yC50V8Z7MTVi6BuVbygQJ7&#10;CIV7NWkmDSbdQZ2zwMgK5D9QWnKw3jbhgFud9YUkRbCKIr+nzXXLnEi1oNTe7UT3/w+Wv1pfAZE1&#10;TkKRjyfTaT4eUWKYxs7/+vz996cvt19/3v74Rg5H40lUq3O+xKBrdwWxXu8uLX/vibHzlpmlOAOw&#10;XStYjRyLeD+7ExANj6Fk0b20NeZgq2CTcJsGdAREScgm9edm1x+xCYTjx1E+RZEo4egazjEDK7fB&#10;Dnx4Lqwm8VDRABI5qSghK9n60ofUonqoj9XvKGm0woavmSKTHJ9EeXcZobeQqVirZH0hlUoGLBdz&#10;BQRDK3qBzy7Y719ThnQVPSymk8Tijs/vQ4yfnc3nR0P+O9e0DLhxSuqKHkeOW5LKRB4iTTnWthU7&#10;6tv3aWHrG9QabD/2uPR4aC18pKTDka+o/7BiIChRLwz262kxHscdSQbOwggN2Pcs9j3McIRCkSnp&#10;j/PQ79XKgVy2mKlIFRt7hj1u5I5fz2qYDBzr1MFhBePe7Nvp1t/fzuw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jf9urdkAAAALAQAADwAAAAAAAAABACAAAAAiAAAAZHJzL2Rvd25yZXYueG1sUEsB&#10;AhQAFAAAAAgAh07iQDpamspmAgAAvgQAAA4AAAAAAAAAAQAgAAAAKAEAAGRycy9lMm9Eb2MueG1s&#10;UEsFBgAAAAAGAAYAWQEAAAAGAAAAAA==&#10;" adj="10800">
                <v:fill on="t" focussize="0,0"/>
                <v:stroke weight="0.25pt" color="#4BACC6" miterlimit="8" joinstyle="miter"/>
                <v:imagedata o:title=""/>
                <o:lock v:ext="edit" aspectratio="f"/>
              </v:shape>
            </w:pict>
          </mc:Fallback>
        </mc:AlternateContent>
      </w:r>
      <w:r>
        <w:rPr>
          <w:rFonts w:ascii="Times New Roman" w:hAnsi="Times New Roman" w:cs="Times New Roman"/>
          <w:color w:val="auto"/>
        </w:rPr>
        <w:drawing>
          <wp:anchor distT="0" distB="0" distL="114300" distR="114300" simplePos="0" relativeHeight="251715584" behindDoc="0" locked="0" layoutInCell="1" allowOverlap="1">
            <wp:simplePos x="0" y="0"/>
            <wp:positionH relativeFrom="column">
              <wp:posOffset>8290560</wp:posOffset>
            </wp:positionH>
            <wp:positionV relativeFrom="paragraph">
              <wp:posOffset>-8255</wp:posOffset>
            </wp:positionV>
            <wp:extent cx="875030" cy="661670"/>
            <wp:effectExtent l="0" t="0" r="0" b="0"/>
            <wp:wrapNone/>
            <wp:docPr id="158"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4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875030" cy="661670"/>
                    </a:xfrm>
                    <a:prstGeom prst="rect">
                      <a:avLst/>
                    </a:prstGeom>
                    <a:noFill/>
                    <a:ln>
                      <a:noFill/>
                    </a:ln>
                    <a:effectLst/>
                  </pic:spPr>
                </pic:pic>
              </a:graphicData>
            </a:graphic>
          </wp:anchor>
        </w:drawing>
      </w:r>
      <w:r>
        <w:rPr>
          <w:rFonts w:ascii="Times New Roman" w:hAnsi="Times New Roman" w:cs="Times New Roman"/>
          <w:color w:val="auto"/>
        </w:rPr>
        <mc:AlternateContent>
          <mc:Choice Requires="wps">
            <w:drawing>
              <wp:anchor distT="0" distB="0" distL="114300" distR="114300" simplePos="0" relativeHeight="251697152" behindDoc="0" locked="0" layoutInCell="1" allowOverlap="1">
                <wp:simplePos x="0" y="0"/>
                <wp:positionH relativeFrom="column">
                  <wp:posOffset>7755890</wp:posOffset>
                </wp:positionH>
                <wp:positionV relativeFrom="paragraph">
                  <wp:posOffset>1426210</wp:posOffset>
                </wp:positionV>
                <wp:extent cx="698500" cy="241300"/>
                <wp:effectExtent l="0" t="3175" r="0" b="3175"/>
                <wp:wrapNone/>
                <wp:docPr id="1129332970" name="文本框 3232"/>
                <wp:cNvGraphicFramePr/>
                <a:graphic xmlns:a="http://schemas.openxmlformats.org/drawingml/2006/main">
                  <a:graphicData uri="http://schemas.microsoft.com/office/word/2010/wordprocessingShape">
                    <wps:wsp>
                      <wps:cNvSpPr txBox="1">
                        <a:spLocks noChangeArrowheads="1"/>
                      </wps:cNvSpPr>
                      <wps:spPr bwMode="auto">
                        <a:xfrm>
                          <a:off x="0" y="0"/>
                          <a:ext cx="698500" cy="241300"/>
                        </a:xfrm>
                        <a:prstGeom prst="rect">
                          <a:avLst/>
                        </a:prstGeom>
                        <a:noFill/>
                        <a:ln>
                          <a:noFill/>
                        </a:ln>
                      </wps:spPr>
                      <wps:txbx>
                        <w:txbxContent>
                          <w:p w14:paraId="7AF96E45">
                            <w:pPr>
                              <w:ind w:firstLine="480"/>
                              <w:rPr>
                                <w:rFonts w:ascii="Times New Roman" w:hAnsi="Times New Roman" w:cs="Times New Roman"/>
                                <w:color w:val="FFFF00"/>
                                <w:lang w:eastAsia="zh-CN"/>
                              </w:rPr>
                            </w:pPr>
                            <w:r>
                              <w:rPr>
                                <w:rFonts w:ascii="Times New Roman" w:hAnsi="Times New Roman" w:cs="Times New Roman"/>
                                <w:color w:val="FFFF00"/>
                                <w:lang w:eastAsia="zh-CN"/>
                              </w:rPr>
                              <w:t>D</w:t>
                            </w:r>
                            <w:r>
                              <w:rPr>
                                <w:rFonts w:hint="eastAsia" w:ascii="Times New Roman" w:hAnsi="Times New Roman" w:cs="Times New Roman"/>
                                <w:color w:val="FFFF00"/>
                                <w:lang w:eastAsia="zh-CN"/>
                              </w:rPr>
                              <w:t>9</w:t>
                            </w:r>
                          </w:p>
                        </w:txbxContent>
                      </wps:txbx>
                      <wps:bodyPr rot="0" vert="horz" wrap="square" lIns="91440" tIns="45720" rIns="91440" bIns="45720" anchor="t" anchorCtr="0" upright="1">
                        <a:noAutofit/>
                      </wps:bodyPr>
                    </wps:wsp>
                  </a:graphicData>
                </a:graphic>
              </wp:anchor>
            </w:drawing>
          </mc:Choice>
          <mc:Fallback>
            <w:pict>
              <v:shape id="文本框 3232" o:spid="_x0000_s1026" o:spt="202" type="#_x0000_t202" style="position:absolute;left:0pt;margin-left:610.7pt;margin-top:112.3pt;height:19pt;width:55pt;z-index:251697152;mso-width-relative:page;mso-height-relative:page;" filled="f" stroked="f" coordsize="21600,21600" o:gfxdata="UEsDBAoAAAAAAIdO4kAAAAAAAAAAAAAAAAAEAAAAZHJzL1BLAwQUAAAACACHTuJAAN2/PNcAAAAN&#10;AQAADwAAAGRycy9kb3ducmV2LnhtbE2PwU7DMBBE70j8g7VI3KgdN0Q0xOkBxBVEC0i9uck2iYjX&#10;Uew24e/ZnOA4s0+zM8V2dr244Bg6TwaSlQKBVPm6o8bAx/7l7gFEiJZq23tCAz8YYFteXxU2r/1E&#10;73jZxUZwCIXcGmhjHHIpQ9Wis2HlByS+nfzobGQ5NrIe7cThrpdaqUw62xF/aO2ATy1W37uzM/D5&#10;ejp8peqteXb3w+RnJcltpDG3N4l6BBFxjn8wLPW5OpTc6ejPVAfRs9Y6SZk1oHWagViQ9Xqxjmxl&#10;OgNZFvL/ivIXUEsDBBQAAAAIAIdO4kBEIBUSHgIAACAEAAAOAAAAZHJzL2Uyb0RvYy54bWytU0tu&#10;2zAQ3RfoHQjua1my87FgOUhjpCiQfoC0B6ApyiIqcdghbSk9QHODrrrpvufyOTqkHMdNN1l0Iwxn&#10;OG/eexzNL/q2YVuFToMpeDoac6aMhFKbdcE/f7p+dc6Z88KUogGjCn6nHL9YvHwx72yuMqihKRUy&#10;AjEu72zBa+9tniRO1qoVbgRWGSpWgK3wdMR1UqLoCL1tkmw8Pk06wNIiSOUcZZdDke8R8TmAUFVa&#10;qiXITauMH1BRNcKTJFdr6/gisq0qJf2HqnLKs6bgpNTHLw2heBW+yWIu8jUKW2u5pyCeQ+GJplZo&#10;Q0MPUEvhBdug/geq1RLBQeVHEtpkEBIdIRXp+Ik3t7WwKmohq509mO7+H6x8v/2ITJe0CWk2m0yy&#10;2RlZY0RLL7/7cb/7+Xv36zubZJMsWNVZl1PHraUe37+GntqibGdvQH5xzMBVLcxaXSJCVytREtU0&#10;dCZHrQOOCyCr7h2UNEpsPESgvsI2+EjOMEInLneHZ1K9Z5KSp7PzkzFVJJWyaTqhOEwQ+UOzReff&#10;KGhZCAqOtAURXGxvnB+uPlwJswxc66ahvMgb81eCMEMmkg98B+a+X/V0OyhaQXlHMhCGxaLfioIa&#10;8BtnHS1Vwd3XjUDFWfPWkBWzdDol4j4epidnGR3wuLI6rggjCargnrMhvPLD5m4s6nVNkwbzDVyS&#10;fZWO0h5Z7XnT4kRz9kseNvP4HG89/tiL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ADdvzzXAAAA&#10;DQEAAA8AAAAAAAAAAQAgAAAAIgAAAGRycy9kb3ducmV2LnhtbFBLAQIUABQAAAAIAIdO4kBEIBUS&#10;HgIAACAEAAAOAAAAAAAAAAEAIAAAACYBAABkcnMvZTJvRG9jLnhtbFBLBQYAAAAABgAGAFkBAAC2&#10;BQAAAAA=&#10;">
                <v:fill on="f" focussize="0,0"/>
                <v:stroke on="f"/>
                <v:imagedata o:title=""/>
                <o:lock v:ext="edit" aspectratio="f"/>
                <v:textbox>
                  <w:txbxContent>
                    <w:p w14:paraId="7AF96E45">
                      <w:pPr>
                        <w:ind w:firstLine="480"/>
                        <w:rPr>
                          <w:rFonts w:ascii="Times New Roman" w:hAnsi="Times New Roman" w:cs="Times New Roman"/>
                          <w:color w:val="FFFF00"/>
                          <w:lang w:eastAsia="zh-CN"/>
                        </w:rPr>
                      </w:pPr>
                      <w:r>
                        <w:rPr>
                          <w:rFonts w:ascii="Times New Roman" w:hAnsi="Times New Roman" w:cs="Times New Roman"/>
                          <w:color w:val="FFFF00"/>
                          <w:lang w:eastAsia="zh-CN"/>
                        </w:rPr>
                        <w:t>D</w:t>
                      </w:r>
                      <w:r>
                        <w:rPr>
                          <w:rFonts w:hint="eastAsia" w:ascii="Times New Roman" w:hAnsi="Times New Roman" w:cs="Times New Roman"/>
                          <w:color w:val="FFFF00"/>
                          <w:lang w:eastAsia="zh-CN"/>
                        </w:rPr>
                        <w:t>9</w:t>
                      </w:r>
                    </w:p>
                  </w:txbxContent>
                </v:textbox>
              </v:shape>
            </w:pict>
          </mc:Fallback>
        </mc:AlternateContent>
      </w:r>
      <w:r>
        <w:rPr>
          <w:rFonts w:ascii="Times New Roman" w:hAnsi="Times New Roman" w:cs="Times New Roman"/>
          <w:color w:val="auto"/>
        </w:rPr>
        <mc:AlternateContent>
          <mc:Choice Requires="wps">
            <w:drawing>
              <wp:anchor distT="0" distB="0" distL="114300" distR="114300" simplePos="0" relativeHeight="251692032" behindDoc="0" locked="0" layoutInCell="1" allowOverlap="1">
                <wp:simplePos x="0" y="0"/>
                <wp:positionH relativeFrom="column">
                  <wp:posOffset>8376920</wp:posOffset>
                </wp:positionH>
                <wp:positionV relativeFrom="paragraph">
                  <wp:posOffset>1426210</wp:posOffset>
                </wp:positionV>
                <wp:extent cx="228600" cy="207010"/>
                <wp:effectExtent l="17780" t="22225" r="20320" b="8890"/>
                <wp:wrapNone/>
                <wp:docPr id="1498988079" name="自选图形 3233"/>
                <wp:cNvGraphicFramePr/>
                <a:graphic xmlns:a="http://schemas.openxmlformats.org/drawingml/2006/main">
                  <a:graphicData uri="http://schemas.microsoft.com/office/word/2010/wordprocessingShape">
                    <wps:wsp>
                      <wps:cNvSpPr>
                        <a:spLocks noChangeArrowheads="1"/>
                      </wps:cNvSpPr>
                      <wps:spPr bwMode="auto">
                        <a:xfrm>
                          <a:off x="0" y="0"/>
                          <a:ext cx="228600" cy="207010"/>
                        </a:xfrm>
                        <a:prstGeom prst="triangle">
                          <a:avLst>
                            <a:gd name="adj" fmla="val 50000"/>
                          </a:avLst>
                        </a:prstGeom>
                        <a:solidFill>
                          <a:srgbClr val="FFFF00"/>
                        </a:solidFill>
                        <a:ln w="3175">
                          <a:solidFill>
                            <a:srgbClr val="4BACC6"/>
                          </a:solidFill>
                          <a:miter lim="800000"/>
                        </a:ln>
                        <a:effectLst/>
                      </wps:spPr>
                      <wps:bodyPr rot="0" vert="horz" wrap="square" lIns="91440" tIns="45720" rIns="91440" bIns="45720" anchor="t" anchorCtr="0" upright="1">
                        <a:noAutofit/>
                      </wps:bodyPr>
                    </wps:wsp>
                  </a:graphicData>
                </a:graphic>
              </wp:anchor>
            </w:drawing>
          </mc:Choice>
          <mc:Fallback>
            <w:pict>
              <v:shape id="自选图形 3233" o:spid="_x0000_s1026" o:spt="5" type="#_x0000_t5" style="position:absolute;left:0pt;margin-left:659.6pt;margin-top:112.3pt;height:16.3pt;width:18pt;z-index:251692032;mso-width-relative:page;mso-height-relative:page;" fillcolor="#FFFF00" filled="t" stroked="t" coordsize="21600,21600" o:gfxdata="UEsDBAoAAAAAAIdO4kAAAAAAAAAAAAAAAAAEAAAAZHJzL1BLAwQUAAAACACHTuJAiS7GXtoAAAAN&#10;AQAADwAAAGRycy9kb3ducmV2LnhtbE2PwU7DMBBE70j8g7VI3KiTlJQ2xKkUUI9FJVTi6sbb2CK2&#10;o9hpy9+zPdHjzD7NzpTri+3ZCcdgvBOQzhJg6FqvjOsE7L82T0tgIUqnZO8dCvjFAOvq/q6UhfJn&#10;94mnJnaMQlwopAAd41BwHlqNVoaZH9DR7ehHKyPJseNqlGcKtz3PkmTBrTSOPmg54JvG9qeZrID6&#10;o9t8N9tdPdV62u7MOx73BoV4fEiTV2ARL/Efhmt9qg4VdTr4yanAetLzdJURKyDLnhfArsg8z8k6&#10;kJW/ZMCrkt+uqP4AUEsDBBQAAAAIAIdO4kDD5VAIaQIAAL4EAAAOAAAAZHJzL2Uyb0RvYy54bWyt&#10;VM1u00AQviPxDqu9UztO2iRWnaqkKkIqUKnwAJv1Ol7YP2Y3ccqpN8QzcOPIO8DbVIK3YLx2QlIu&#10;PeCDtePZ+Wa+b2Z8erbRiqwFeGlNQQdHKSXCcFtKsyzou7eXzyaU+MBMyZQ1oqC3wtOz2dMnp43L&#10;RWZrq0oBBEGMzxtX0DoElyeJ57XQzB9ZJww6KwuaBTRhmZTAGkTXKsnS9CRpLJQOLBfe49eLzkl7&#10;RHgMoK0qycWF5SstTOhQQSgWkJKvpfN0FqutKsHDm6ryIhBVUGQa4huT4HnRvpPZKcuXwFwteV8C&#10;e0wJDzhpJg0m3UFdsMDICuQ/UFpysN5W4YhbnXREoiLIYpA+0OamZk5ELii1dzvR/f+D5a/X10Bk&#10;iZMwmk6mk0k6nlJimMbO//r8/ffdl/uvP+9/fCPDbDhs1WqczzHoxl1Dy9e7K8s/eGLsvGZmKc4B&#10;bFMLVmKNg/Z+chDQGh5DyaJ5ZUvMwVbBRuE2FegWECUhm9if211/xCYQjh+zbHKSYuc4urJ0jILF&#10;DCzfBjvw4YWwmrSHggaQWJNqJWQ5W1/5EFtU9vxY+Z6SSits+Jopcpzi0wP2lxOWbyEjWatkeSmV&#10;igYsF3MFBEMLeonPLtjvX1OGNAUdDsbHsYoDn9+HGD0/n89P+vwH17QMuHFK6oJO2hq3RSrT1iHi&#10;lCO3rditvl2fFra8Ra3BdmOPS4+H2sInShoc+YL6jysGghL10mC/poPRqN2RaIyOxxkasO9Z7HuY&#10;4QiFIlPSHeeh26uVA7msMdMgMjb2HHtcyV19XVX9ZOBY4+lgb/bteOvvb2f2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Ikuxl7aAAAADQEAAA8AAAAAAAAAAQAgAAAAIgAAAGRycy9kb3ducmV2Lnht&#10;bFBLAQIUABQAAAAIAIdO4kDD5VAIaQIAAL4EAAAOAAAAAAAAAAEAIAAAACkBAABkcnMvZTJvRG9j&#10;LnhtbFBLBQYAAAAABgAGAFkBAAAEBgAAAAA=&#10;" adj="10800">
                <v:fill on="t" focussize="0,0"/>
                <v:stroke weight="0.25pt" color="#4BACC6" miterlimit="8" joinstyle="miter"/>
                <v:imagedata o:title=""/>
                <o:lock v:ext="edit" aspectratio="f"/>
              </v:shape>
            </w:pict>
          </mc:Fallback>
        </mc:AlternateContent>
      </w:r>
      <w:r>
        <w:rPr>
          <w:rFonts w:ascii="Times New Roman" w:hAnsi="Times New Roman" w:cs="Times New Roman"/>
          <w:color w:val="auto"/>
        </w:rPr>
        <mc:AlternateContent>
          <mc:Choice Requires="wps">
            <w:drawing>
              <wp:anchor distT="0" distB="0" distL="114300" distR="114300" simplePos="0" relativeHeight="251685888" behindDoc="0" locked="0" layoutInCell="1" allowOverlap="1">
                <wp:simplePos x="0" y="0"/>
                <wp:positionH relativeFrom="column">
                  <wp:posOffset>7614285</wp:posOffset>
                </wp:positionH>
                <wp:positionV relativeFrom="paragraph">
                  <wp:posOffset>2762885</wp:posOffset>
                </wp:positionV>
                <wp:extent cx="698500" cy="241300"/>
                <wp:effectExtent l="0" t="0" r="0" b="0"/>
                <wp:wrapNone/>
                <wp:docPr id="1712705623" name="文本框 3248"/>
                <wp:cNvGraphicFramePr/>
                <a:graphic xmlns:a="http://schemas.openxmlformats.org/drawingml/2006/main">
                  <a:graphicData uri="http://schemas.microsoft.com/office/word/2010/wordprocessingShape">
                    <wps:wsp>
                      <wps:cNvSpPr txBox="1">
                        <a:spLocks noChangeArrowheads="1"/>
                      </wps:cNvSpPr>
                      <wps:spPr bwMode="auto">
                        <a:xfrm>
                          <a:off x="0" y="0"/>
                          <a:ext cx="698500" cy="241300"/>
                        </a:xfrm>
                        <a:prstGeom prst="rect">
                          <a:avLst/>
                        </a:prstGeom>
                        <a:noFill/>
                        <a:ln>
                          <a:noFill/>
                        </a:ln>
                      </wps:spPr>
                      <wps:txbx>
                        <w:txbxContent>
                          <w:p w14:paraId="2D4FFB6C">
                            <w:pPr>
                              <w:ind w:firstLine="480"/>
                              <w:rPr>
                                <w:rFonts w:ascii="Times New Roman" w:hAnsi="Times New Roman" w:cs="Times New Roman"/>
                                <w:color w:val="FFFF00"/>
                                <w:lang w:eastAsia="zh-CN"/>
                              </w:rPr>
                            </w:pPr>
                            <w:r>
                              <w:rPr>
                                <w:rFonts w:ascii="Times New Roman" w:hAnsi="Times New Roman" w:cs="Times New Roman"/>
                                <w:color w:val="FFFF00"/>
                                <w:lang w:eastAsia="zh-CN"/>
                              </w:rPr>
                              <w:t>D</w:t>
                            </w:r>
                            <w:r>
                              <w:rPr>
                                <w:rFonts w:hint="eastAsia" w:ascii="Times New Roman" w:hAnsi="Times New Roman" w:cs="Times New Roman"/>
                                <w:color w:val="FFFF00"/>
                                <w:lang w:eastAsia="zh-CN"/>
                              </w:rPr>
                              <w:t>3</w:t>
                            </w:r>
                          </w:p>
                        </w:txbxContent>
                      </wps:txbx>
                      <wps:bodyPr rot="0" vert="horz" wrap="square" lIns="91440" tIns="45720" rIns="91440" bIns="45720" anchor="t" anchorCtr="0" upright="1">
                        <a:noAutofit/>
                      </wps:bodyPr>
                    </wps:wsp>
                  </a:graphicData>
                </a:graphic>
              </wp:anchor>
            </w:drawing>
          </mc:Choice>
          <mc:Fallback>
            <w:pict>
              <v:shape id="文本框 3248" o:spid="_x0000_s1026" o:spt="202" type="#_x0000_t202" style="position:absolute;left:0pt;margin-left:599.55pt;margin-top:217.55pt;height:19pt;width:55pt;z-index:251685888;mso-width-relative:page;mso-height-relative:page;" filled="f" stroked="f" coordsize="21600,21600" o:gfxdata="UEsDBAoAAAAAAIdO4kAAAAAAAAAAAAAAAAAEAAAAZHJzL1BLAwQUAAAACACHTuJALibrZNcAAAAN&#10;AQAADwAAAGRycy9kb3ducmV2LnhtbE2PzU7DMBCE70i8g7VI3Kht0gIJcXoAcQVRfiRubrxNIuJ1&#10;FLtNeHs2J7jtzI5mvy23s+/FCcfYBTKgVwoEUh1cR42B97enqzsQMVlytg+EBn4wwrY6Pytt4cJE&#10;r3japUZwCcXCGmhTGgopY92it3EVBiTeHcLobWI5NtKNduJy38trpW6ktx3xhdYO+NBi/b07egMf&#10;z4evz7V6aR79ZpjCrCT5XBpzeaHVPYiEc/oLw4LP6FAx0z4cyUXRs9Z5rjlrYJ1teFgimVqsPVu3&#10;mQZZlfL/F9UvUEsDBBQAAAAIAIdO4kDR/kU1HgIAACAEAAAOAAAAZHJzL2Uyb0RvYy54bWytU0tu&#10;2zAQ3RfoHQjua338jWA5SGOkKJB+gLQHoCjKIipxWJK25B6guUFX3XTfc/kcHVKO46abLLoRhjOc&#10;N+89jpaXfduQnTBWgsppMoopEYpDKdUmp58/3bxaUGIdUyVrQImc7oWll6uXL5adzkQKNTSlMARB&#10;lM06ndPaOZ1FkeW1aJkdgRYKixWYljk8mk1UGtYhettEaRzPog5MqQ1wYS1m10ORHhHNcwChqiQX&#10;a+DbVig3oBrRMIeSbC21pavAtqoEdx+qygpHmpyiUhe+OATjwn+j1ZJlG8N0LfmRAnsOhSeaWiYV&#10;Dj1BrZljZGvkP1Ct5AYsVG7EoY0GIcERVJHET7y5q5kWQQtabfXJdPv/YPn73UdDZImbME/SeTyd&#10;pWNKFGvx5Q8/7g8/fx9+fSfjdLLwVnXaZthxp7HH9a+hx7Yg2+pb4F8sUXBdM7URV8ZAVwtWItXE&#10;d0ZnrQOO9SBF9w5KHMW2DgJQX5nW+4jOEETHZ9qfnkn0jnBMzi4W0xgrHEvpJBlj7Cew7KFZG+ve&#10;CGiJD3JqcAsCONvdWjdcfbjiZym4kU2DeZY16q8EYvpMIO/5DsxdX/R42ysqoNyjDAPDYuFvhUEN&#10;5hslHS5VTu3XLTOCkuatQisuksnEb2E4TKbzFA/mvFKcV5jiCJVTR8kQXrthc7fayE2NkwbzFVyh&#10;fZUM0h5ZHXnj4gRzjkvuN/P8HG49/tir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C4m62TXAAAA&#10;DQEAAA8AAAAAAAAAAQAgAAAAIgAAAGRycy9kb3ducmV2LnhtbFBLAQIUABQAAAAIAIdO4kDR/kU1&#10;HgIAACAEAAAOAAAAAAAAAAEAIAAAACYBAABkcnMvZTJvRG9jLnhtbFBLBQYAAAAABgAGAFkBAAC2&#10;BQAAAAA=&#10;">
                <v:fill on="f" focussize="0,0"/>
                <v:stroke on="f"/>
                <v:imagedata o:title=""/>
                <o:lock v:ext="edit" aspectratio="f"/>
                <v:textbox>
                  <w:txbxContent>
                    <w:p w14:paraId="2D4FFB6C">
                      <w:pPr>
                        <w:ind w:firstLine="480"/>
                        <w:rPr>
                          <w:rFonts w:ascii="Times New Roman" w:hAnsi="Times New Roman" w:cs="Times New Roman"/>
                          <w:color w:val="FFFF00"/>
                          <w:lang w:eastAsia="zh-CN"/>
                        </w:rPr>
                      </w:pPr>
                      <w:r>
                        <w:rPr>
                          <w:rFonts w:ascii="Times New Roman" w:hAnsi="Times New Roman" w:cs="Times New Roman"/>
                          <w:color w:val="FFFF00"/>
                          <w:lang w:eastAsia="zh-CN"/>
                        </w:rPr>
                        <w:t>D</w:t>
                      </w:r>
                      <w:r>
                        <w:rPr>
                          <w:rFonts w:hint="eastAsia" w:ascii="Times New Roman" w:hAnsi="Times New Roman" w:cs="Times New Roman"/>
                          <w:color w:val="FFFF00"/>
                          <w:lang w:eastAsia="zh-CN"/>
                        </w:rPr>
                        <w:t>3</w:t>
                      </w: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54496" behindDoc="0" locked="0" layoutInCell="1" allowOverlap="1">
                <wp:simplePos x="0" y="0"/>
                <wp:positionH relativeFrom="column">
                  <wp:posOffset>8272145</wp:posOffset>
                </wp:positionH>
                <wp:positionV relativeFrom="paragraph">
                  <wp:posOffset>2774315</wp:posOffset>
                </wp:positionV>
                <wp:extent cx="207010" cy="207010"/>
                <wp:effectExtent l="17780" t="17780" r="13335" b="13335"/>
                <wp:wrapNone/>
                <wp:docPr id="1884302158" name="自选图形 3245"/>
                <wp:cNvGraphicFramePr/>
                <a:graphic xmlns:a="http://schemas.openxmlformats.org/drawingml/2006/main">
                  <a:graphicData uri="http://schemas.microsoft.com/office/word/2010/wordprocessingShape">
                    <wps:wsp>
                      <wps:cNvSpPr>
                        <a:spLocks noChangeArrowheads="1"/>
                      </wps:cNvSpPr>
                      <wps:spPr bwMode="auto">
                        <a:xfrm>
                          <a:off x="0" y="0"/>
                          <a:ext cx="207010" cy="207010"/>
                        </a:xfrm>
                        <a:prstGeom prst="triangle">
                          <a:avLst>
                            <a:gd name="adj" fmla="val 50000"/>
                          </a:avLst>
                        </a:prstGeom>
                        <a:solidFill>
                          <a:srgbClr val="FFFF00"/>
                        </a:solidFill>
                        <a:ln w="3175">
                          <a:solidFill>
                            <a:srgbClr val="4BACC6"/>
                          </a:solidFill>
                          <a:miter lim="800000"/>
                        </a:ln>
                        <a:effectLst/>
                      </wps:spPr>
                      <wps:bodyPr rot="0" vert="horz" wrap="square" lIns="91440" tIns="45720" rIns="91440" bIns="45720" anchor="t" anchorCtr="0" upright="1">
                        <a:noAutofit/>
                      </wps:bodyPr>
                    </wps:wsp>
                  </a:graphicData>
                </a:graphic>
              </wp:anchor>
            </w:drawing>
          </mc:Choice>
          <mc:Fallback>
            <w:pict>
              <v:shape id="自选图形 3245" o:spid="_x0000_s1026" o:spt="5" type="#_x0000_t5" style="position:absolute;left:0pt;margin-left:651.35pt;margin-top:218.45pt;height:16.3pt;width:16.3pt;z-index:251754496;mso-width-relative:page;mso-height-relative:page;" fillcolor="#FFFF00" filled="t" stroked="t" coordsize="21600,21600" o:gfxdata="UEsDBAoAAAAAAIdO4kAAAAAAAAAAAAAAAAAEAAAAZHJzL1BLAwQUAAAACACHTuJAJzAN6toAAAAN&#10;AQAADwAAAGRycy9kb3ducmV2LnhtbE2PwU7DMAyG70i8Q2QkbizZygorTScVtOPQKJO4Zo3XRDRO&#10;1aTbeHuyExx/+9Pvz+X64np2wjFYTxLmMwEMqfXaUidh/7l5eAYWoiKtek8o4QcDrKvbm1IV2p/p&#10;A09N7FgqoVAoCSbGoeA8tAadCjM/IKXd0Y9OxRTHjutRnVO56/lCiJw7ZSldMGrAV4PtdzM5CfV7&#10;t/lqtrt6qs203dk3PO4tSnl/NxcvwCJe4h8MV/2kDlVyOviJdGB9yplYPCVWwmOWr4BdkSxbZsAO&#10;aZSvlsCrkv//ovoFUEsDBBQAAAAIAIdO4kB8Dh/cZwIAAL4EAAAOAAAAZHJzL2Uyb0RvYy54bWyt&#10;VM1u00AQviPxDqu9U9tp0garTlVSFSEVqFR4gM16HS/sH7ObOOXEDfEM3DjyDvA2leAtmF07IS2X&#10;HvDB2vHsfPPNNzM+Od1oRdYCvLSmosVBTokw3NbSLCv69s3FkyklPjBTM2WNqOiN8PR09vjRSedK&#10;MbKtVbUAgiDGl52raBuCK7PM81Zo5g+sEwadjQXNApqwzGpgHaJrlY3y/CjrLNQOLBfe49fz3kkH&#10;RHgIoG0aycW55SstTOhRQSgWsCTfSufpLLFtGsHD66bxIhBVUaw0pDcmwfMivrPZCSuXwFwr+UCB&#10;PYTCvZo0kwaT7qDOWWBkBfIfKC05WG+bcMCtzvpCkiJYRZHf0+a6ZU6kWlBq73ai+/8Hy1+tr4DI&#10;GidhOh0f5qNigv03TGPnf33+/vvTl9uvP29/fCOHo/EkqtU5X2LQtbuCWK93l5a/98TYecvMUpwB&#10;2K4VrEaORbyf3QmIhsdQsuhe2hpzsFWwSbhNAzoCoiRkk/pzs+uP2ATC8eMoP0aRKOHoGs4xAyu3&#10;wQ58eC6sJvFQ0QASOakoISvZ+tKH1KJ6qI/V7yhptMKGr5kikxyfRHl3GaG3kKlYq2R9IZVKBiwX&#10;cwUEQyt6gc8u2O9fU4Z0FT0sjieJxR2f34cYPzubz4+G/HeuaRlw45TUFZ1GjluSykQeIk051rYV&#10;O+rb92lh6xvUGmw/9rj0eGgtfKSkw5GvqP+wYiAoUS8M9utpMR7HHUnGeHI8QgP2PYt9DzMcoVBk&#10;SvrjPPR7tXIgly1mKlLFxp5hjxu549ezGiYDxzp1cFjBuDf7drr197cz+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nMA3q2gAAAA0BAAAPAAAAAAAAAAEAIAAAACIAAABkcnMvZG93bnJldi54bWxQ&#10;SwECFAAUAAAACACHTuJAfA4f3GcCAAC+BAAADgAAAAAAAAABACAAAAApAQAAZHJzL2Uyb0RvYy54&#10;bWxQSwUGAAAAAAYABgBZAQAAAgYAAAAA&#10;" adj="10800">
                <v:fill on="t" focussize="0,0"/>
                <v:stroke weight="0.25pt" color="#4BACC6" miterlimit="8" joinstyle="miter"/>
                <v:imagedata o:title=""/>
                <o:lock v:ext="edit" aspectratio="f"/>
              </v:shape>
            </w:pict>
          </mc:Fallback>
        </mc:AlternateContent>
      </w:r>
      <w:r>
        <w:rPr>
          <w:rFonts w:ascii="Times New Roman" w:hAnsi="Times New Roman" w:cs="Times New Roman"/>
          <w:color w:val="auto"/>
        </w:rPr>
        <mc:AlternateContent>
          <mc:Choice Requires="wps">
            <w:drawing>
              <wp:anchor distT="0" distB="0" distL="114300" distR="114300" simplePos="0" relativeHeight="251699200" behindDoc="0" locked="0" layoutInCell="1" allowOverlap="1">
                <wp:simplePos x="0" y="0"/>
                <wp:positionH relativeFrom="column">
                  <wp:posOffset>4700270</wp:posOffset>
                </wp:positionH>
                <wp:positionV relativeFrom="paragraph">
                  <wp:posOffset>3314700</wp:posOffset>
                </wp:positionV>
                <wp:extent cx="698500" cy="241300"/>
                <wp:effectExtent l="0" t="0" r="0" b="635"/>
                <wp:wrapNone/>
                <wp:docPr id="1319711104" name="文本框 3236"/>
                <wp:cNvGraphicFramePr/>
                <a:graphic xmlns:a="http://schemas.openxmlformats.org/drawingml/2006/main">
                  <a:graphicData uri="http://schemas.microsoft.com/office/word/2010/wordprocessingShape">
                    <wps:wsp>
                      <wps:cNvSpPr txBox="1">
                        <a:spLocks noChangeArrowheads="1"/>
                      </wps:cNvSpPr>
                      <wps:spPr bwMode="auto">
                        <a:xfrm>
                          <a:off x="0" y="0"/>
                          <a:ext cx="698500" cy="241300"/>
                        </a:xfrm>
                        <a:prstGeom prst="rect">
                          <a:avLst/>
                        </a:prstGeom>
                        <a:noFill/>
                        <a:ln>
                          <a:noFill/>
                        </a:ln>
                      </wps:spPr>
                      <wps:txbx>
                        <w:txbxContent>
                          <w:p w14:paraId="25D407B1">
                            <w:pPr>
                              <w:ind w:firstLine="480"/>
                              <w:rPr>
                                <w:rFonts w:ascii="Times New Roman" w:hAnsi="Times New Roman" w:cs="Times New Roman"/>
                                <w:color w:val="FFFF00"/>
                                <w:lang w:eastAsia="zh-CN"/>
                              </w:rPr>
                            </w:pPr>
                            <w:r>
                              <w:rPr>
                                <w:rFonts w:ascii="Times New Roman" w:hAnsi="Times New Roman" w:cs="Times New Roman"/>
                                <w:color w:val="FFFF00"/>
                                <w:lang w:eastAsia="zh-CN"/>
                              </w:rPr>
                              <w:t>D</w:t>
                            </w:r>
                            <w:r>
                              <w:rPr>
                                <w:rFonts w:hint="eastAsia" w:ascii="Times New Roman" w:hAnsi="Times New Roman" w:cs="Times New Roman"/>
                                <w:color w:val="FFFF00"/>
                                <w:lang w:eastAsia="zh-CN"/>
                              </w:rPr>
                              <w:t>7</w:t>
                            </w:r>
                          </w:p>
                        </w:txbxContent>
                      </wps:txbx>
                      <wps:bodyPr rot="0" vert="horz" wrap="square" lIns="91440" tIns="45720" rIns="91440" bIns="45720" anchor="t" anchorCtr="0" upright="1">
                        <a:noAutofit/>
                      </wps:bodyPr>
                    </wps:wsp>
                  </a:graphicData>
                </a:graphic>
              </wp:anchor>
            </w:drawing>
          </mc:Choice>
          <mc:Fallback>
            <w:pict>
              <v:shape id="文本框 3236" o:spid="_x0000_s1026" o:spt="202" type="#_x0000_t202" style="position:absolute;left:0pt;margin-left:370.1pt;margin-top:261pt;height:19pt;width:55pt;z-index:251699200;mso-width-relative:page;mso-height-relative:page;" filled="f" stroked="f" coordsize="21600,21600" o:gfxdata="UEsDBAoAAAAAAIdO4kAAAAAAAAAAAAAAAAAEAAAAZHJzL1BLAwQUAAAACACHTuJACIMtAtYAAAAL&#10;AQAADwAAAGRycy9kb3ducmV2LnhtbE2Py07DMBBF90j8gzVI7KjdqCklxOkCxBZEeUjspvE0iYjH&#10;Uew24e+ZrmA5d47uo9zOvlcnGmMX2MJyYUAR18F13Fh4f3u62YCKCdlhH5gs/FCEbXV5UWLhwsSv&#10;dNqlRokJxwIttCkNhdaxbsljXISBWH6HMHpMco6NdiNOYu57nRmz1h47loQWB3poqf7eHb2Fj+fD&#10;1+fKvDSPPh+mMBvN/k5be321NPegEs3pD4ZzfakOlXTahyO7qHoLtyuTCWohzzIZJcQmPyt7UdbG&#10;gK5K/X9D9QtQSwMEFAAAAAgAh07iQAQ0xzYfAgAAIAQAAA4AAABkcnMvZTJvRG9jLnhtbK1TS27b&#10;MBDdF+gdCO5rWbbjxILlII2RokD6AdIegKYoi6jEYYe0JfcAzQ266qb7nsvn6JByHDfdZNGNMJzh&#10;vHnvcTS/7JqabRU6DSbn6WDImTISCm3WOf/86ebVBWfOC1OIGozK+U45frl4+WLe2kyNoIK6UMgI&#10;xListTmvvLdZkjhZqUa4AVhlqFgCNsLTEddJgaIl9KZORsPhNGkBC4sglXOUXfZFfkDE5wBCWWqp&#10;liA3jTK+R0VVC0+SXKWt44vItiyV9B/K0inP6pyTUh+/NITiVfgmi7nI1ihspeWBgngOhSeaGqEN&#10;DT1CLYUXbIP6H6hGSwQHpR9IaJJeSHSEVKTDJ97cVcKqqIWsdvZouvt/sPL99iMyXdAmjNPZeZqm&#10;wwlnRjT08vsf9/ufv/e/vrPxaDwNVrXWZdRxZ6nHd6+ho7Yo29lbkF8cM3BdCbNWV4jQVkoURDUN&#10;nclJa4/jAsiqfQcFjRIbDxGoK7EJPpIzjNDpmXbHZ1KdZ5KS09nF2ZAqkkqjSTqmOEwQ2UOzReff&#10;KGhYCHKOtAURXGxvne+vPlwJswzc6LqmvMhq81eCMEMmkg98e+a+W3V0OyhaQbEjGQj9YtFvRUEF&#10;+I2zlpYq5+7rRqDirH5ryIpZOpmELYyHydn5iA54WlmdVoSRBJVzz1kfXvt+czcW9bqiSb35Bq7I&#10;vlJHaY+sDrxpcaI5hyUPm3l6jrcef+zF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AiDLQLWAAAA&#10;CwEAAA8AAAAAAAAAAQAgAAAAIgAAAGRycy9kb3ducmV2LnhtbFBLAQIUABQAAAAIAIdO4kAENMc2&#10;HwIAACAEAAAOAAAAAAAAAAEAIAAAACUBAABkcnMvZTJvRG9jLnhtbFBLBQYAAAAABgAGAFkBAAC2&#10;BQAAAAA=&#10;">
                <v:fill on="f" focussize="0,0"/>
                <v:stroke on="f"/>
                <v:imagedata o:title=""/>
                <o:lock v:ext="edit" aspectratio="f"/>
                <v:textbox>
                  <w:txbxContent>
                    <w:p w14:paraId="25D407B1">
                      <w:pPr>
                        <w:ind w:firstLine="480"/>
                        <w:rPr>
                          <w:rFonts w:ascii="Times New Roman" w:hAnsi="Times New Roman" w:cs="Times New Roman"/>
                          <w:color w:val="FFFF00"/>
                          <w:lang w:eastAsia="zh-CN"/>
                        </w:rPr>
                      </w:pPr>
                      <w:r>
                        <w:rPr>
                          <w:rFonts w:ascii="Times New Roman" w:hAnsi="Times New Roman" w:cs="Times New Roman"/>
                          <w:color w:val="FFFF00"/>
                          <w:lang w:eastAsia="zh-CN"/>
                        </w:rPr>
                        <w:t>D</w:t>
                      </w:r>
                      <w:r>
                        <w:rPr>
                          <w:rFonts w:hint="eastAsia" w:ascii="Times New Roman" w:hAnsi="Times New Roman" w:cs="Times New Roman"/>
                          <w:color w:val="FFFF00"/>
                          <w:lang w:eastAsia="zh-CN"/>
                        </w:rPr>
                        <w:t>7</w:t>
                      </w:r>
                    </w:p>
                  </w:txbxContent>
                </v:textbox>
              </v:shape>
            </w:pict>
          </mc:Fallback>
        </mc:AlternateContent>
      </w:r>
      <w:r>
        <w:rPr>
          <w:rFonts w:ascii="Times New Roman" w:hAnsi="Times New Roman" w:cs="Times New Roman"/>
          <w:color w:val="auto"/>
        </w:rPr>
        <mc:AlternateContent>
          <mc:Choice Requires="wps">
            <w:drawing>
              <wp:anchor distT="0" distB="0" distL="114300" distR="114300" simplePos="0" relativeHeight="251694080" behindDoc="0" locked="0" layoutInCell="1" allowOverlap="1">
                <wp:simplePos x="0" y="0"/>
                <wp:positionH relativeFrom="column">
                  <wp:posOffset>5324475</wp:posOffset>
                </wp:positionH>
                <wp:positionV relativeFrom="paragraph">
                  <wp:posOffset>3324225</wp:posOffset>
                </wp:positionV>
                <wp:extent cx="207010" cy="207010"/>
                <wp:effectExtent l="13335" t="24765" r="17780" b="6350"/>
                <wp:wrapNone/>
                <wp:docPr id="1514042091" name="自选图形 3237"/>
                <wp:cNvGraphicFramePr/>
                <a:graphic xmlns:a="http://schemas.openxmlformats.org/drawingml/2006/main">
                  <a:graphicData uri="http://schemas.microsoft.com/office/word/2010/wordprocessingShape">
                    <wps:wsp>
                      <wps:cNvSpPr>
                        <a:spLocks noChangeArrowheads="1"/>
                      </wps:cNvSpPr>
                      <wps:spPr bwMode="auto">
                        <a:xfrm>
                          <a:off x="0" y="0"/>
                          <a:ext cx="207010" cy="207010"/>
                        </a:xfrm>
                        <a:prstGeom prst="triangle">
                          <a:avLst>
                            <a:gd name="adj" fmla="val 50000"/>
                          </a:avLst>
                        </a:prstGeom>
                        <a:solidFill>
                          <a:srgbClr val="FFFF00"/>
                        </a:solidFill>
                        <a:ln w="3175">
                          <a:solidFill>
                            <a:srgbClr val="4BACC6"/>
                          </a:solidFill>
                          <a:miter lim="800000"/>
                        </a:ln>
                        <a:effectLst/>
                      </wps:spPr>
                      <wps:bodyPr rot="0" vert="horz" wrap="square" lIns="91440" tIns="45720" rIns="91440" bIns="45720" anchor="t" anchorCtr="0" upright="1">
                        <a:noAutofit/>
                      </wps:bodyPr>
                    </wps:wsp>
                  </a:graphicData>
                </a:graphic>
              </wp:anchor>
            </w:drawing>
          </mc:Choice>
          <mc:Fallback>
            <w:pict>
              <v:shape id="自选图形 3237" o:spid="_x0000_s1026" o:spt="5" type="#_x0000_t5" style="position:absolute;left:0pt;margin-left:419.25pt;margin-top:261.75pt;height:16.3pt;width:16.3pt;z-index:251694080;mso-width-relative:page;mso-height-relative:page;" fillcolor="#FFFF00" filled="t" stroked="t" coordsize="21600,21600" o:gfxdata="UEsDBAoAAAAAAIdO4kAAAAAAAAAAAAAAAAAEAAAAZHJzL1BLAwQUAAAACACHTuJAypRp49kAAAAL&#10;AQAADwAAAGRycy9kb3ducmV2LnhtbE2Py07DMBBF90j8gzVI7KjjVilRiFMpoC6LSlqJrRtPY4vY&#10;jmKnLX/PsILdPI7unKk2NzewC07RBi9BLDJg6Lugre8lHA/bpwJYTMprNQSPEr4xwqa+v6tUqcPV&#10;f+ClTT2jEB9LJcGkNJacx86gU3ERRvS0O4fJqUTt1HM9qSuFu4Evs2zNnbKeLhg14qvB7qudnYTm&#10;vd9+trt9Mzdm3u3tG56PFqV8fBDZC7CEt/QHw68+qUNNTqcwex3ZIKFYFTmhEvLligoiimchgJ1o&#10;kq8F8Lri/3+ofwBQSwMEFAAAAAgAh07iQMKpzm1nAgAAvgQAAA4AAABkcnMvZTJvRG9jLnhtbK1U&#10;zW7TQBC+I/EOq71T22nStFadqqQqQipQqfAAm/U6Xtg/Zjdxyokb4hm4ceQd4G0qwVswu3ZCWi4c&#10;8MHa8ex88803Mz4922hF1gK8tKaixUFOiTDc1tIsK/rm9eWTY0p8YKZmyhpR0Vvh6dns8aPTzpVi&#10;ZFuragEEQYwvO1fRNgRXZpnnrdDMH1gnDDobC5oFNGGZ1cA6RNcqG+X5UdZZqB1YLrzHrxe9kw6I&#10;8C+AtmkkFxeWr7QwoUcFoVjAknwrnaezxLZpBA+vmsaLQFRFsdKQ3pgEz4v4zmanrFwCc63kAwX2&#10;LxQe1KSZNJh0B3XBAiMrkH9BacnBetuEA2511heSFMEqivyBNjctcyLVglJ7txPd/z9Y/nJ9DUTW&#10;OAmTYpyPR/lJQYlhGjv/89O3Xx8/3335cff9KzkcHU6jWp3zJQbduGuI9Xp3Zfk7T4ydt8wsxTmA&#10;7VrBauRYxPvZvYBoeAwli+6FrTEHWwWbhNs0oCMgSkI2qT+3u/6ITSAcP47yKYpECUfXcI4ZWLkN&#10;duDDM2E1iYeKBpDISUUJWcnWVz6kFtVDfax+S0mjFTZ8zRSZ5PgkyrvLCL2FTMVaJetLqVQyYLmY&#10;KyAYWtFLfHbBfv+aMqSr6GExnSQW93x+H2L89Hw+Pxry37umZcCNU1JX9Dhy3JJUJvIQacqxtq3Y&#10;Ud++Twtb36LWYPuxx6XHQ2vhAyUdjnxF/fsVA0GJem6wXyfFeBx3JBnjyXSEBux7FvseZjhCociU&#10;9Md56Pdq5UAuW8xUpIqNPcceN3LHr2c1TAaOdergsIJxb/btdOvPb2f2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MqUaePZAAAACwEAAA8AAAAAAAAAAQAgAAAAIgAAAGRycy9kb3ducmV2LnhtbFBL&#10;AQIUABQAAAAIAIdO4kDCqc5tZwIAAL4EAAAOAAAAAAAAAAEAIAAAACgBAABkcnMvZTJvRG9jLnht&#10;bFBLBQYAAAAABgAGAFkBAAABBgAAAAA=&#10;" adj="10800">
                <v:fill on="t" focussize="0,0"/>
                <v:stroke weight="0.25pt" color="#4BACC6" miterlimit="8" joinstyle="miter"/>
                <v:imagedata o:title=""/>
                <o:lock v:ext="edit" aspectratio="f"/>
              </v:shape>
            </w:pict>
          </mc:Fallback>
        </mc:AlternateContent>
      </w:r>
      <w:r>
        <w:rPr>
          <w:rFonts w:ascii="Times New Roman" w:hAnsi="Times New Roman" w:cs="Times New Roman"/>
          <w:color w:val="auto"/>
        </w:rPr>
        <mc:AlternateContent>
          <mc:Choice Requires="wps">
            <w:drawing>
              <wp:anchor distT="0" distB="0" distL="114300" distR="114300" simplePos="0" relativeHeight="251698176" behindDoc="0" locked="0" layoutInCell="1" allowOverlap="1">
                <wp:simplePos x="0" y="0"/>
                <wp:positionH relativeFrom="column">
                  <wp:posOffset>3105785</wp:posOffset>
                </wp:positionH>
                <wp:positionV relativeFrom="paragraph">
                  <wp:posOffset>3543935</wp:posOffset>
                </wp:positionV>
                <wp:extent cx="491490" cy="241300"/>
                <wp:effectExtent l="4445" t="0" r="0" b="0"/>
                <wp:wrapNone/>
                <wp:docPr id="1230603704" name="文本框 3234"/>
                <wp:cNvGraphicFramePr/>
                <a:graphic xmlns:a="http://schemas.openxmlformats.org/drawingml/2006/main">
                  <a:graphicData uri="http://schemas.microsoft.com/office/word/2010/wordprocessingShape">
                    <wps:wsp>
                      <wps:cNvSpPr txBox="1">
                        <a:spLocks noChangeArrowheads="1"/>
                      </wps:cNvSpPr>
                      <wps:spPr bwMode="auto">
                        <a:xfrm>
                          <a:off x="0" y="0"/>
                          <a:ext cx="491490" cy="241300"/>
                        </a:xfrm>
                        <a:prstGeom prst="rect">
                          <a:avLst/>
                        </a:prstGeom>
                        <a:noFill/>
                        <a:ln>
                          <a:noFill/>
                        </a:ln>
                      </wps:spPr>
                      <wps:txbx>
                        <w:txbxContent>
                          <w:p w14:paraId="24BAD87A">
                            <w:pPr>
                              <w:rPr>
                                <w:rFonts w:ascii="Times New Roman" w:hAnsi="Times New Roman" w:cs="Times New Roman"/>
                                <w:color w:val="FFFF00"/>
                                <w:lang w:eastAsia="zh-CN"/>
                              </w:rPr>
                            </w:pPr>
                            <w:r>
                              <w:rPr>
                                <w:rFonts w:ascii="Times New Roman" w:hAnsi="Times New Roman" w:cs="Times New Roman"/>
                                <w:color w:val="FFFF00"/>
                                <w:lang w:eastAsia="zh-CN"/>
                              </w:rPr>
                              <w:t>D</w:t>
                            </w:r>
                            <w:r>
                              <w:rPr>
                                <w:rFonts w:hint="eastAsia" w:ascii="Times New Roman" w:hAnsi="Times New Roman" w:cs="Times New Roman"/>
                                <w:color w:val="FFFF00"/>
                                <w:lang w:eastAsia="zh-CN"/>
                              </w:rPr>
                              <w:t>8</w:t>
                            </w:r>
                          </w:p>
                        </w:txbxContent>
                      </wps:txbx>
                      <wps:bodyPr rot="0" vert="horz" wrap="square" lIns="91440" tIns="45720" rIns="91440" bIns="45720" anchor="t" anchorCtr="0" upright="1">
                        <a:noAutofit/>
                      </wps:bodyPr>
                    </wps:wsp>
                  </a:graphicData>
                </a:graphic>
              </wp:anchor>
            </w:drawing>
          </mc:Choice>
          <mc:Fallback>
            <w:pict>
              <v:shape id="文本框 3234" o:spid="_x0000_s1026" o:spt="202" type="#_x0000_t202" style="position:absolute;left:0pt;margin-left:244.55pt;margin-top:279.05pt;height:19pt;width:38.7pt;z-index:251698176;mso-width-relative:page;mso-height-relative:page;" filled="f" stroked="f" coordsize="21600,21600" o:gfxdata="UEsDBAoAAAAAAIdO4kAAAAAAAAAAAAAAAAAEAAAAZHJzL1BLAwQUAAAACACHTuJAqWrh1dcAAAAL&#10;AQAADwAAAGRycy9kb3ducmV2LnhtbE2PTU/DMAyG70j8h8hI3FhStFRtaboDiCuI8SFxyxqvrWic&#10;qsnW8u8xJ7i9lh+9flzvVj+KM85xCGQg2ygQSG1wA3UG3l4fbwoQMVlydgyEBr4xwq65vKht5cJC&#10;L3jep05wCcXKGuhTmiopY9ujt3ETJiTeHcPsbeJx7qSb7cLlfpS3SuXS24H4Qm8nvO+x/dqfvIH3&#10;p+Pnx1Y9dw9eT0tYlSRfSmOurzJ1ByLhmv5g+NVndWjY6RBO5KIYDWyLMmPUgNYFByZ0nmsQBw5l&#10;noFsavn/h+YHUEsDBBQAAAAIAIdO4kCSXgvtHwIAACAEAAAOAAAAZHJzL2Uyb0RvYy54bWytU8uO&#10;0zAU3SPxD5b3NGkaZpio6WiYahDS8JAGPsB1nMYi8TXXbpPyAfAHrNiw57v6HVw7nVKGzSzYRLav&#10;77nnHJ/ML4euZVuFToMp+XSScqaMhEqbdck/frh59oIz54WpRAtGlXynHL9cPH0y722hMmigrRQy&#10;AjGu6G3JG+9tkSRONqoTbgJWGSrWgJ3wtMV1UqHoCb1rkyxNz5IesLIIUjlHp8uxyA+I+BhAqGst&#10;1RLkplPGj6ioWuFJkmu0dXwR2da1kv5dXTvlWVtyUurjl4bQehW+yWIuijUK22h5oCAeQ+GBpk5o&#10;Q0OPUEvhBdug/geq0xLBQe0nErpkFBIdIRXT9IE3d42wKmohq509mu7+H6x8u32PTFeUhGyWnqWz&#10;8zTnzIiOXn7//dv+x6/9z69sls3yYFVvXUEdd5Z6/PASBmqLsp29BfnJMQPXjTBrdYUIfaNERVSn&#10;oTM5aR1xXABZ9W+golFi4yECDTV2wUdyhhE6PdPu+Exq8EzSYX4xzS+oIqmU5dNZGp8xEcV9s0Xn&#10;XynoWFiUHCkFEVxsb50PZERxfyXMMnCj2zYmoTV/HdDFcBLJB74jcz+shoMZK6h2JANhDBb9VrRo&#10;AL9w1lOoSu4+bwQqztrXhqwg4nlIYdzkz88z2uBpZXVaEUYSVMk9Z+Py2o/J3VjU64YmjeYbuCL7&#10;ah2lBZ9HVgfeFJyo+BDykMzTfbz158de/A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pauHV1wAA&#10;AAsBAAAPAAAAAAAAAAEAIAAAACIAAABkcnMvZG93bnJldi54bWxQSwECFAAUAAAACACHTuJAkl4L&#10;7R8CAAAgBAAADgAAAAAAAAABACAAAAAmAQAAZHJzL2Uyb0RvYy54bWxQSwUGAAAAAAYABgBZAQAA&#10;twUAAAAA&#10;">
                <v:fill on="f" focussize="0,0"/>
                <v:stroke on="f"/>
                <v:imagedata o:title=""/>
                <o:lock v:ext="edit" aspectratio="f"/>
                <v:textbox>
                  <w:txbxContent>
                    <w:p w14:paraId="24BAD87A">
                      <w:pPr>
                        <w:rPr>
                          <w:rFonts w:ascii="Times New Roman" w:hAnsi="Times New Roman" w:cs="Times New Roman"/>
                          <w:color w:val="FFFF00"/>
                          <w:lang w:eastAsia="zh-CN"/>
                        </w:rPr>
                      </w:pPr>
                      <w:r>
                        <w:rPr>
                          <w:rFonts w:ascii="Times New Roman" w:hAnsi="Times New Roman" w:cs="Times New Roman"/>
                          <w:color w:val="FFFF00"/>
                          <w:lang w:eastAsia="zh-CN"/>
                        </w:rPr>
                        <w:t>D</w:t>
                      </w:r>
                      <w:r>
                        <w:rPr>
                          <w:rFonts w:hint="eastAsia" w:ascii="Times New Roman" w:hAnsi="Times New Roman" w:cs="Times New Roman"/>
                          <w:color w:val="FFFF00"/>
                          <w:lang w:eastAsia="zh-CN"/>
                        </w:rPr>
                        <w:t>8</w:t>
                      </w:r>
                    </w:p>
                  </w:txbxContent>
                </v:textbox>
              </v:shape>
            </w:pict>
          </mc:Fallback>
        </mc:AlternateContent>
      </w:r>
      <w:r>
        <w:rPr>
          <w:rFonts w:ascii="Times New Roman" w:hAnsi="Times New Roman" w:cs="Times New Roman"/>
          <w:color w:val="auto"/>
        </w:rPr>
        <mc:AlternateContent>
          <mc:Choice Requires="wps">
            <w:drawing>
              <wp:anchor distT="0" distB="0" distL="114300" distR="114300" simplePos="0" relativeHeight="251693056" behindDoc="0" locked="0" layoutInCell="1" allowOverlap="1">
                <wp:simplePos x="0" y="0"/>
                <wp:positionH relativeFrom="column">
                  <wp:posOffset>3022600</wp:posOffset>
                </wp:positionH>
                <wp:positionV relativeFrom="paragraph">
                  <wp:posOffset>3613785</wp:posOffset>
                </wp:positionV>
                <wp:extent cx="186055" cy="196215"/>
                <wp:effectExtent l="16510" t="19050" r="16510" b="13335"/>
                <wp:wrapNone/>
                <wp:docPr id="1309265616" name="自选图形 3235"/>
                <wp:cNvGraphicFramePr/>
                <a:graphic xmlns:a="http://schemas.openxmlformats.org/drawingml/2006/main">
                  <a:graphicData uri="http://schemas.microsoft.com/office/word/2010/wordprocessingShape">
                    <wps:wsp>
                      <wps:cNvSpPr>
                        <a:spLocks noChangeArrowheads="1"/>
                      </wps:cNvSpPr>
                      <wps:spPr bwMode="auto">
                        <a:xfrm>
                          <a:off x="0" y="0"/>
                          <a:ext cx="186055" cy="196215"/>
                        </a:xfrm>
                        <a:prstGeom prst="triangle">
                          <a:avLst>
                            <a:gd name="adj" fmla="val 50000"/>
                          </a:avLst>
                        </a:prstGeom>
                        <a:solidFill>
                          <a:srgbClr val="FFFF00"/>
                        </a:solidFill>
                        <a:ln w="3175">
                          <a:solidFill>
                            <a:srgbClr val="4BACC6"/>
                          </a:solidFill>
                          <a:miter lim="800000"/>
                        </a:ln>
                        <a:effectLst/>
                      </wps:spPr>
                      <wps:bodyPr rot="0" vert="horz" wrap="square" lIns="91440" tIns="45720" rIns="91440" bIns="45720" anchor="t" anchorCtr="0" upright="1">
                        <a:noAutofit/>
                      </wps:bodyPr>
                    </wps:wsp>
                  </a:graphicData>
                </a:graphic>
              </wp:anchor>
            </w:drawing>
          </mc:Choice>
          <mc:Fallback>
            <w:pict>
              <v:shape id="自选图形 3235" o:spid="_x0000_s1026" o:spt="5" type="#_x0000_t5" style="position:absolute;left:0pt;margin-left:238pt;margin-top:284.55pt;height:15.45pt;width:14.65pt;z-index:251693056;mso-width-relative:page;mso-height-relative:page;" fillcolor="#FFFF00" filled="t" stroked="t" coordsize="21600,21600" o:gfxdata="UEsDBAoAAAAAAIdO4kAAAAAAAAAAAAAAAAAEAAAAZHJzL1BLAwQUAAAACACHTuJAbxeUUtkAAAAL&#10;AQAADwAAAGRycy9kb3ducmV2LnhtbE2PwU7DMBBE70j8g7VI3KgdIKGEbCoF1GNRCZV6deNtbBHb&#10;Uey05e8xJziOZjTzplpd7MBONAXjHUK2EMDIdV4Z1yPsPtd3S2AhSqfk4B0hfFOAVX19VclS+bP7&#10;oFMbe5ZKXCglgo5xLDkPnSYrw8KP5JJ39JOVMcmp52qS51RuB34vRMGtNC4taDnSq6buq50tQvPe&#10;r/ftZtvMjZ43W/NGx50hxNubTLwAi3SJf2H4xU/oUCemg5+dCmxAeHwq0peIkBfPGbCUyEX+AOyA&#10;UAghgNcV//+h/gFQSwMEFAAAAAgAh07iQOo2iF5pAgAAvgQAAA4AAABkcnMvZTJvRG9jLnhtbK1U&#10;zW7TQBC+I/EOq71T20nstladqqQqQipQqfAAm/U6Xtg/Zjdxyokb4hm4ceQd4G0qwVswXichKRcO&#10;+GDteHa+/b5vZn12vtaKrAR4aU1Fs6OUEmG4raVZVPTN66snJ5T4wEzNlDWionfC0/Pp40dnnSvF&#10;yLZW1QIIghhfdq6ibQiuTBLPW6GZP7JOGEw2FjQLGMIiqYF1iK5VMkrTIuks1A4sF97j18shSTeI&#10;8C+AtmkkF5eWL7UwYUAFoVhASb6VztNpZNs0godXTeNFIKqiqDTENx6C63n/TqZnrFwAc63kGwrs&#10;Xyg80KSZNHjoDuqSBUaWIP+C0pKD9bYJR9zqZBASHUEVWfrAm9uWORG1oNXe7Uz3/w+Wv1zdAJE1&#10;TsI4PR0VeZEVlBimsfM/P3379fHz/Zcf99+/kvFonPdudc6XWHTrbqDX69215e88MXbWMrMQFwC2&#10;awWrkWPW708OCvrAYymZdy9sjWewZbDRuHUDugdES8g69udu1x+xDoTjx+ykSPOcEo6p7LQYZZFR&#10;wsptsQMfngmrSb+oaACJnFRvISvZ6tqH2KJ6o4/VbylptMKGr5gieYpPpLzbjNBbyCjWKllfSaVi&#10;AIv5TAHB0ope4bMr9vvblCFdRcfZcR5ZHOT8PsTk6cVsVmzOP9imZcAbp6Su6EnPcUtSmZ6HiFOO&#10;2rZm9/4OfZrb+g69BjuMPV56XLQWPlDS4chX1L9fMhCUqOcG+3WaTSb9HYnBJD8eYQD7mfl+hhmO&#10;UGgyJcNyFoZ7tXQgFy2elEXFxl5gjxu54zew2kwGjjWuDu7Nfhx3/fntT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bxeUUtkAAAALAQAADwAAAAAAAAABACAAAAAiAAAAZHJzL2Rvd25yZXYueG1s&#10;UEsBAhQAFAAAAAgAh07iQOo2iF5pAgAAvgQAAA4AAAAAAAAAAQAgAAAAKAEAAGRycy9lMm9Eb2Mu&#10;eG1sUEsFBgAAAAAGAAYAWQEAAAMGAAAAAA==&#10;" adj="10800">
                <v:fill on="t" focussize="0,0"/>
                <v:stroke weight="0.25pt" color="#4BACC6" miterlimit="8" joinstyle="miter"/>
                <v:imagedata o:title=""/>
                <o:lock v:ext="edit" aspectratio="f"/>
              </v:shape>
            </w:pict>
          </mc:Fallback>
        </mc:AlternateContent>
      </w:r>
      <w:r>
        <w:rPr>
          <w:snapToGrid/>
          <w:lang w:eastAsia="zh-CN"/>
        </w:rPr>
        <w:drawing>
          <wp:inline distT="0" distB="0" distL="0" distR="0">
            <wp:extent cx="9172575" cy="5743575"/>
            <wp:effectExtent l="0" t="0" r="0" b="0"/>
            <wp:docPr id="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9172575" cy="5743575"/>
                    </a:xfrm>
                    <a:prstGeom prst="rect">
                      <a:avLst/>
                    </a:prstGeom>
                    <a:noFill/>
                    <a:ln>
                      <a:noFill/>
                    </a:ln>
                  </pic:spPr>
                </pic:pic>
              </a:graphicData>
            </a:graphic>
          </wp:inline>
        </w:drawing>
      </w:r>
      <w:r>
        <w:rPr>
          <w:rFonts w:ascii="Times New Roman" w:hAnsi="Times New Roman" w:cs="Times New Roman"/>
          <w:snapToGrid/>
          <w:color w:val="auto"/>
          <w:lang w:eastAsia="zh-CN"/>
        </w:rPr>
        <mc:AlternateContent>
          <mc:Choice Requires="wps">
            <w:drawing>
              <wp:anchor distT="0" distB="0" distL="114300" distR="114300" simplePos="0" relativeHeight="251745280" behindDoc="0" locked="0" layoutInCell="1" allowOverlap="1">
                <wp:simplePos x="0" y="0"/>
                <wp:positionH relativeFrom="column">
                  <wp:posOffset>144780</wp:posOffset>
                </wp:positionH>
                <wp:positionV relativeFrom="paragraph">
                  <wp:posOffset>4773930</wp:posOffset>
                </wp:positionV>
                <wp:extent cx="107950" cy="114300"/>
                <wp:effectExtent l="5715" t="7620" r="10160" b="11430"/>
                <wp:wrapNone/>
                <wp:docPr id="1617937933" name="矩形 3208"/>
                <wp:cNvGraphicFramePr/>
                <a:graphic xmlns:a="http://schemas.openxmlformats.org/drawingml/2006/main">
                  <a:graphicData uri="http://schemas.microsoft.com/office/word/2010/wordprocessingShape">
                    <wps:wsp>
                      <wps:cNvSpPr>
                        <a:spLocks noChangeArrowheads="1"/>
                      </wps:cNvSpPr>
                      <wps:spPr bwMode="auto">
                        <a:xfrm>
                          <a:off x="0" y="0"/>
                          <a:ext cx="107950" cy="114300"/>
                        </a:xfrm>
                        <a:prstGeom prst="rect">
                          <a:avLst/>
                        </a:prstGeom>
                        <a:gradFill rotWithShape="1">
                          <a:gsLst>
                            <a:gs pos="0">
                              <a:srgbClr val="7030A0">
                                <a:alpha val="10001"/>
                              </a:srgbClr>
                            </a:gs>
                            <a:gs pos="100000">
                              <a:srgbClr val="7030A0">
                                <a:gamma/>
                                <a:shade val="46275"/>
                                <a:invGamma/>
                                <a:alpha val="10001"/>
                              </a:srgbClr>
                            </a:gs>
                          </a:gsLst>
                          <a:lin ang="5400000" scaled="1"/>
                        </a:gradFill>
                        <a:ln w="9525">
                          <a:solidFill>
                            <a:srgbClr val="A5A5A5"/>
                          </a:solidFill>
                          <a:miter lim="800000"/>
                        </a:ln>
                      </wps:spPr>
                      <wps:bodyPr rot="0" vert="horz" wrap="square" lIns="91440" tIns="45720" rIns="91440" bIns="45720" anchor="t" anchorCtr="0" upright="1">
                        <a:noAutofit/>
                      </wps:bodyPr>
                    </wps:wsp>
                  </a:graphicData>
                </a:graphic>
              </wp:anchor>
            </w:drawing>
          </mc:Choice>
          <mc:Fallback>
            <w:pict>
              <v:rect id="矩形 3208" o:spid="_x0000_s1026" o:spt="1" style="position:absolute;left:0pt;margin-left:11.4pt;margin-top:375.9pt;height:9pt;width:8.5pt;z-index:251745280;mso-width-relative:page;mso-height-relative:page;" fillcolor="#7030A0" filled="t" stroked="t" coordsize="21600,21600" o:gfxdata="UEsDBAoAAAAAAIdO4kAAAAAAAAAAAAAAAAAEAAAAZHJzL1BLAwQUAAAACACHTuJAZTLOWtgAAAAJ&#10;AQAADwAAAGRycy9kb3ducmV2LnhtbE2PQU/DMAyF70j8h8hI3FjSTmysNN2BCS5ICMYOcMsary0k&#10;TtVka+HXY05w8rP99Py5XE/eiRMOsQukIZspEEh1sB01Gnav91c3IGIyZI0LhBq+MMK6Oj8rTWHD&#10;SC942qZGcAjFwmhoU+oLKWPdojdxFnok3h3C4E3idmikHczI4d7JXKmF9KYjvtCaHu9arD+3R6/h&#10;YXmQz9+r98309hQfRz/fbT6c0vryIlO3IBJO6c8Mv/iMDhUz7cORbBROQ54zedKwvM5YsGG+4rrn&#10;wYKFrEr5/4PqB1BLAwQUAAAACACHTuJAvBCRgaUCAAB0BQAADgAAAGRycy9lMm9Eb2MueG1srVTb&#10;bhMxEH1H4h8sv9PdzaVpom6qqFUrpAKVCuJ54vXuWviG7WRbfgaJNz6Cz0H8BmM7DWkRUh9QopXt&#10;GR/PmXPs07M7JcmWOy+Mrml1VFLCNTON0F1NP7y/fHVCiQ+gG5BG85rec0/Pli9fnA52wUemN7Lh&#10;jiCI9ovB1rQPwS6KwrOeK/BHxnKNwdY4BQGnrisaBwOiK1mMyvK4GIxrrDOMe4+rFzlId4juOYCm&#10;bQXjF4ZtFNchozouISAl3wvr6TJV27achXdt63kgsqbINKQvHoLjdfwWy1NYdA5sL9iuBHhOCU84&#10;KRAaD91DXUAAsnHiLyglmDPetOGIGVVkIqkjyKIqn/TmtgfLExdstbf7pvv/B8vebm8cEQ064bia&#10;zcf4H1OiQaHyv75+//njGxmPypPYp8H6Babf2hsXmXp7bdgnT7Q570F3fOWcGXoODVZXxfzi0YY4&#10;8biVrIc3pkF02ASTWnbXOhUBsRnkLilzv1eG3wXCcLEqZ/MpasYwVFWTcZmUK2DxsNk6H664USQO&#10;aupQ+AQO22sfYjGweEjZydRcCimJM+GjCH3qdKw7BT3uyQNiDdIp07J33fpcOrIF9NKsHJervA7S&#10;9pBXq7IsM3fsT05PR3f+EC5mIYG49C/MDpSC5E3fQ8Mz+uR4NJtmxwq9vdqnPLMAbEH3wEwKTVC0&#10;mk4nuRjiGUgebZCkS0ZOHYpVSk2Gms6no2ku2kixjz1isJrG3w7BH6YpEfDVkELV9CSfmEWRemeU&#10;6I3ssbVp7tEnqEwyAz5VOOiN+0LJgBe1pv7zBhynRL7WKM68mkzizU6TyXQ2wok7jKwPI6AZQtU0&#10;UOQfh+chvwYb60TX40nZA9qs0J+tSN6J3s1V7YrFy5h1zQ9HvO2H85T157Fc/g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BlMs5a2AAAAAkBAAAPAAAAAAAAAAEAIAAAACIAAABkcnMvZG93bnJldi54&#10;bWxQSwECFAAUAAAACACHTuJAvBCRgaUCAAB0BQAADgAAAAAAAAABACAAAAAnAQAAZHJzL2Uyb0Rv&#10;Yy54bWxQSwUGAAAAAAYABgBZAQAAPgYAAAAA&#10;">
                <v:fill type="gradient" on="t" color2="#34164A" opacity="6554f" o:opacity2="6554f" focus="100%" focussize="0,0" rotate="t"/>
                <v:stroke color="#A5A5A5" miterlimit="8" joinstyle="miter"/>
                <v:imagedata o:title=""/>
                <o:lock v:ext="edit" aspectratio="f"/>
              </v:rect>
            </w:pict>
          </mc:Fallback>
        </mc:AlternateContent>
      </w:r>
      <w:r>
        <w:rPr>
          <w:rFonts w:ascii="Times New Roman" w:hAnsi="Times New Roman" w:cs="Times New Roman"/>
          <w:color w:val="auto"/>
        </w:rPr>
        <mc:AlternateContent>
          <mc:Choice Requires="wps">
            <w:drawing>
              <wp:anchor distT="0" distB="0" distL="114300" distR="114300" simplePos="0" relativeHeight="251716608" behindDoc="0" locked="0" layoutInCell="1" allowOverlap="1">
                <wp:simplePos x="0" y="0"/>
                <wp:positionH relativeFrom="column">
                  <wp:posOffset>119380</wp:posOffset>
                </wp:positionH>
                <wp:positionV relativeFrom="paragraph">
                  <wp:posOffset>4926965</wp:posOffset>
                </wp:positionV>
                <wp:extent cx="152400" cy="152400"/>
                <wp:effectExtent l="18415" t="17780" r="19685" b="10795"/>
                <wp:wrapNone/>
                <wp:docPr id="698996981" name="自选图形 3226"/>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triangle">
                          <a:avLst>
                            <a:gd name="adj" fmla="val 50000"/>
                          </a:avLst>
                        </a:prstGeom>
                        <a:solidFill>
                          <a:srgbClr val="FFFF00"/>
                        </a:solidFill>
                        <a:ln w="9525">
                          <a:solidFill>
                            <a:srgbClr val="4BACC6"/>
                          </a:solidFill>
                          <a:miter lim="800000"/>
                        </a:ln>
                      </wps:spPr>
                      <wps:bodyPr rot="0" vert="horz" wrap="square" lIns="91440" tIns="45720" rIns="91440" bIns="45720" anchor="t" anchorCtr="0" upright="1">
                        <a:noAutofit/>
                      </wps:bodyPr>
                    </wps:wsp>
                  </a:graphicData>
                </a:graphic>
              </wp:anchor>
            </w:drawing>
          </mc:Choice>
          <mc:Fallback>
            <w:pict>
              <v:shape id="自选图形 3226" o:spid="_x0000_s1026" o:spt="5" type="#_x0000_t5" style="position:absolute;left:0pt;margin-left:9.4pt;margin-top:387.95pt;height:12pt;width:12pt;z-index:251716608;mso-width-relative:page;mso-height-relative:page;" fillcolor="#FFFF00" filled="t" stroked="t" coordsize="21600,21600" o:gfxdata="UEsDBAoAAAAAAIdO4kAAAAAAAAAAAAAAAAAEAAAAZHJzL1BLAwQUAAAACACHTuJAr6C3TNcAAAAJ&#10;AQAADwAAAGRycy9kb3ducmV2LnhtbE2PzU7DMBCE70i8g7VIvVE7LZAmxOmhVU9ISBRQxc2Nt3FE&#10;vI5i9weenuUEx5kdzX5TLS++FyccYxdIQzZVIJCaYDtqNby9bm4XIGIyZE0fCDV8YYRlfX1VmdKG&#10;M73gaZtawSUUS6PBpTSUUsbGoTdxGgYkvh3C6E1iObbSjubM5b6XM6UepDcd8QdnBlw5bD63R69h&#10;8/w0p3Wefex2RPLw3bl3JZ3Wk5tMPYJIeEl/YfjFZ3SomWkfjmSj6FkvmDxpyPP7AgQH7mZs7Nko&#10;igJkXcn/C+ofUEsDBBQAAAAIAIdO4kCu5obAYAIAAK8EAAAOAAAAZHJzL2Uyb0RvYy54bWytVM1u&#10;EzEQviPxDpbvdLNLUppVN1VJVYRUoFLhARyvN2vwH2Mnm3LqDfEM3DjyDvA2leAtGHs3IS2XHtiD&#10;5fF4vpn5Ps8en2y0ImsBXlpT0fxgRIkw3NbSLCv67u35kyNKfGCmZsoaUdFr4enJ7PGj486VorCt&#10;VbUAgiDGl52raBuCK7PM81Zo5g+sEwadjQXNApqwzGpgHaJrlRWj0WHWWagdWC68x9Oz3kkHRHgI&#10;oG0aycWZ5SstTOhRQSgWsCXfSufpLFXbNIKHN03jRSCqothpSCsmwf0irtnsmJVLYK6VfCiBPaSE&#10;ez1pJg0m3UGdscDICuQ/UFpysN424YBbnfWNJEawi3x0j5urljmRekGqvduR7v8fLH+9vgQi64oe&#10;To+mU1xySgzTKPyvz99/33y5/frz9sc38rQoDiNZnfMlxly5S4jtendh+QdPjJ23zCzFKYDtWsFq&#10;LDGP97M7AdHwGEoW3StbYw62CjbxtmlAR0BkhGySPNc7ecQmEI6H+aQYj1A4jq5hHzOwchvswIcX&#10;wmoSNxUNILEmFRlkJVtf+JAUqof+WP2ekkYr1HvNFJmM8Esl7y4j9BYyNWuVrM+lUsmA5WKugGBo&#10;Rc/x2wX7/WvKkK6i00kxSVXc8fl9iPHz0/k8UYxZ71zTMuDAKakrehRr3BapzEBvZLRXZmHra2QX&#10;bP/Occpx01r4REmHb7yi/uOKgaBEvTSo0DQfj+NQJGM8eVagAfuexb6HGY5QSCsl/XYe+kFaOZDL&#10;FjPlqUdjT1HVRoat/H1VQ7H4jpNmw8zFQdm3062//5nZ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gt0zXAAAACQEAAA8AAAAAAAAAAQAgAAAAIgAAAGRycy9kb3ducmV2LnhtbFBLAQIUABQAAAAI&#10;AIdO4kCu5obAYAIAAK8EAAAOAAAAAAAAAAEAIAAAACYBAABkcnMvZTJvRG9jLnhtbFBLBQYAAAAA&#10;BgAGAFkBAAD4BQAAAAA=&#10;" adj="10800">
                <v:fill on="t" focussize="0,0"/>
                <v:stroke color="#4BACC6" miterlimit="8" joinstyle="miter"/>
                <v:imagedata o:title=""/>
                <o:lock v:ext="edit" aspectratio="f"/>
              </v:shape>
            </w:pict>
          </mc:Fallback>
        </mc:AlternateContent>
      </w:r>
      <w:r>
        <w:rPr>
          <w:rFonts w:ascii="Times New Roman" w:hAnsi="Times New Roman" w:cs="Times New Roman"/>
          <w:color w:val="auto"/>
        </w:rPr>
        <mc:AlternateContent>
          <mc:Choice Requires="wps">
            <w:drawing>
              <wp:anchor distT="0" distB="0" distL="114300" distR="114300" simplePos="0" relativeHeight="251713536" behindDoc="0" locked="0" layoutInCell="1" allowOverlap="1">
                <wp:simplePos x="0" y="0"/>
                <wp:positionH relativeFrom="column">
                  <wp:posOffset>12065</wp:posOffset>
                </wp:positionH>
                <wp:positionV relativeFrom="paragraph">
                  <wp:posOffset>4301490</wp:posOffset>
                </wp:positionV>
                <wp:extent cx="1682750" cy="999490"/>
                <wp:effectExtent l="6350" t="11430" r="6350" b="8255"/>
                <wp:wrapNone/>
                <wp:docPr id="974487865" name="文本框 3206"/>
                <wp:cNvGraphicFramePr/>
                <a:graphic xmlns:a="http://schemas.openxmlformats.org/drawingml/2006/main">
                  <a:graphicData uri="http://schemas.microsoft.com/office/word/2010/wordprocessingShape">
                    <wps:wsp>
                      <wps:cNvSpPr txBox="1">
                        <a:spLocks noChangeArrowheads="1"/>
                      </wps:cNvSpPr>
                      <wps:spPr bwMode="auto">
                        <a:xfrm>
                          <a:off x="0" y="0"/>
                          <a:ext cx="1682750" cy="999490"/>
                        </a:xfrm>
                        <a:prstGeom prst="rect">
                          <a:avLst/>
                        </a:prstGeom>
                        <a:solidFill>
                          <a:srgbClr val="FFFFFF"/>
                        </a:solidFill>
                        <a:ln w="3175">
                          <a:solidFill>
                            <a:srgbClr val="000000"/>
                          </a:solidFill>
                          <a:miter lim="800000"/>
                        </a:ln>
                        <a:effectLst/>
                      </wps:spPr>
                      <wps:txbx>
                        <w:txbxContent>
                          <w:p w14:paraId="4D1E9144">
                            <w:pPr>
                              <w:ind w:firstLine="720" w:firstLineChars="300"/>
                              <w:rPr>
                                <w:rFonts w:hint="eastAsia" w:ascii="宋体" w:hAnsi="宋体" w:cs="宋体"/>
                                <w:szCs w:val="24"/>
                                <w:lang w:eastAsia="zh-CN"/>
                              </w:rPr>
                            </w:pPr>
                            <w:r>
                              <w:rPr>
                                <w:rFonts w:hint="eastAsia" w:ascii="宋体" w:hAnsi="宋体" w:cs="宋体"/>
                                <w:szCs w:val="24"/>
                                <w:lang w:eastAsia="zh-CN"/>
                              </w:rPr>
                              <w:t>图例</w:t>
                            </w:r>
                          </w:p>
                          <w:p w14:paraId="28B7B931">
                            <w:pPr>
                              <w:ind w:firstLine="480"/>
                              <w:rPr>
                                <w:rFonts w:hint="eastAsia" w:ascii="宋体" w:hAnsi="宋体" w:cs="宋体"/>
                                <w:szCs w:val="24"/>
                                <w:lang w:eastAsia="zh-CN"/>
                              </w:rPr>
                            </w:pPr>
                            <w:r>
                              <w:rPr>
                                <w:rFonts w:hint="eastAsia" w:ascii="宋体" w:hAnsi="宋体" w:cs="宋体"/>
                                <w:szCs w:val="24"/>
                                <w:lang w:eastAsia="zh-CN"/>
                              </w:rPr>
                              <w:t xml:space="preserve"> 项目地</w:t>
                            </w:r>
                          </w:p>
                          <w:p w14:paraId="2B485E53">
                            <w:pPr>
                              <w:pStyle w:val="42"/>
                              <w:ind w:firstLine="480"/>
                            </w:pPr>
                            <w:r>
                              <w:rPr>
                                <w:rFonts w:hint="eastAsia"/>
                              </w:rPr>
                              <w:t xml:space="preserve"> 地下水评价范围</w:t>
                            </w:r>
                          </w:p>
                          <w:p w14:paraId="1257619C">
                            <w:pPr>
                              <w:ind w:firstLine="480"/>
                              <w:jc w:val="center"/>
                              <w:rPr>
                                <w:rFonts w:hint="eastAsia" w:ascii="宋体" w:hAnsi="宋体" w:cs="宋体"/>
                                <w:szCs w:val="24"/>
                                <w:lang w:eastAsia="zh-CN"/>
                              </w:rPr>
                            </w:pPr>
                            <w:r>
                              <w:rPr>
                                <w:rFonts w:hint="eastAsia" w:ascii="宋体" w:hAnsi="宋体" w:cs="宋体"/>
                                <w:szCs w:val="24"/>
                                <w:lang w:eastAsia="zh-CN"/>
                              </w:rPr>
                              <w:t xml:space="preserve"> 地下水监测点位</w:t>
                            </w:r>
                          </w:p>
                        </w:txbxContent>
                      </wps:txbx>
                      <wps:bodyPr rot="0" vert="horz" wrap="square" lIns="91440" tIns="45720" rIns="91440" bIns="45720" anchor="t" anchorCtr="0" upright="1">
                        <a:noAutofit/>
                      </wps:bodyPr>
                    </wps:wsp>
                  </a:graphicData>
                </a:graphic>
              </wp:anchor>
            </w:drawing>
          </mc:Choice>
          <mc:Fallback>
            <w:pict>
              <v:shape id="文本框 3206" o:spid="_x0000_s1026" o:spt="202" type="#_x0000_t202" style="position:absolute;left:0pt;margin-left:0.95pt;margin-top:338.7pt;height:78.7pt;width:132.5pt;z-index:251713536;mso-width-relative:page;mso-height-relative:page;" fillcolor="#FFFFFF" filled="t" stroked="t" coordsize="21600,21600" o:gfxdata="UEsDBAoAAAAAAIdO4kAAAAAAAAAAAAAAAAAEAAAAZHJzL1BLAwQUAAAACACHTuJA/LmP4NYAAAAJ&#10;AQAADwAAAGRycy9kb3ducmV2LnhtbE2PwU7DMBBE70j8g7VIXBB1GqokhDgVQoIbSG35gG28JFHj&#10;dRS7Tfh7lhMcZ2c0+6baLm5QF5pC79nAepWAIm687bk18Hl4vS9AhYhscfBMBr4pwLa+vqqwtH7m&#10;HV32sVVSwqFEA12MY6l1aDpyGFZ+JBbvy08Oo8ip1XbCWcrdoNMkybTDnuVDhyO9dNSc9mdn4B0Z&#10;F+d2z3c+ug83p6e3/JAYc3uzTp5ARVriXxh+8QUdamE6+jPboAbRjxI0kOX5BpT4aZbJ5WigeNgU&#10;oOtK/19Q/wBQSwMEFAAAAAgAh07iQMQcpK9RAgAAoAQAAA4AAABkcnMvZTJvRG9jLnhtbK1UzY7T&#10;MBC+I/EOlu9s2m5/o6arpdUipOVHWngA13EaC9tjbLfJ8gDsG3Diwp3n6nMwdrqlKiDtgRwiT8bz&#10;zTffzGR+1WpFdsJ5Caag/YseJcJwKKXZFPTjh5sXU0p8YKZkCowo6L3w9Grx/Nm8sbkYQA2qFI4g&#10;iPF5Ywtah2DzLPO8Fpr5C7DCoLMCp1lA022y0rEG0bXKBr3eOGvAldYBF97j11XnpAdE9xRAqCrJ&#10;xQr4VgsTOlQnFAtYkq+l9XSR2FaV4OFdVXkRiCooVhrSG5PgeR3f2WLO8o1jtpb8QIE9hcJZTZpJ&#10;g0mPUCsWGNk6+QeUltyBhypccNBZV0hSBKvo9860uauZFakWlNrbo+j+/8Hyt7v3jsiyoLPJcDid&#10;TMcjSgzT2Pj9t4f995/7H1/J5aA3jko11ucYcGcxJLQvocX5SVV7ewv8kycGljUzG3HtHDS1YCUy&#10;7cfI7CS0w/ERZN28gRJTsW2ABNRWTkcZURiC6Nil+2OXRBsIjynH08FkhC6OvtlsNpylNmYsf4y2&#10;zodXAjSJh4I6nIKEzna3PkQ2LH+8EpN5ULK8kUolw23WS+XIjuHE3KQnFXB2TRnSFPSyPxl1AvwT&#10;opeev0FoGXCRlNQFnZ5eUibyEGl4D3yjelGwTrrQrttDN9ZQ3qOODrrBxrXGQw3uCyUNDnVB/ect&#10;c4IS9dpgL2b94TBuQTKGo8kADXfqWZ96mOEIVdBASXdchm5zttbJTY2Zuu4buMb+VTJJG6l2rA5d&#10;x8FNih+WLG7GqZ1u/f6xLH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LmP4NYAAAAJAQAADwAA&#10;AAAAAAABACAAAAAiAAAAZHJzL2Rvd25yZXYueG1sUEsBAhQAFAAAAAgAh07iQMQcpK9RAgAAoAQA&#10;AA4AAAAAAAAAAQAgAAAAJQEAAGRycy9lMm9Eb2MueG1sUEsFBgAAAAAGAAYAWQEAAOgFAAAAAA==&#10;">
                <v:fill on="t" focussize="0,0"/>
                <v:stroke weight="0.25pt" color="#000000" miterlimit="8" joinstyle="miter"/>
                <v:imagedata o:title=""/>
                <o:lock v:ext="edit" aspectratio="f"/>
                <v:textbox>
                  <w:txbxContent>
                    <w:p w14:paraId="4D1E9144">
                      <w:pPr>
                        <w:ind w:firstLine="720" w:firstLineChars="300"/>
                        <w:rPr>
                          <w:rFonts w:hint="eastAsia" w:ascii="宋体" w:hAnsi="宋体" w:cs="宋体"/>
                          <w:szCs w:val="24"/>
                          <w:lang w:eastAsia="zh-CN"/>
                        </w:rPr>
                      </w:pPr>
                      <w:r>
                        <w:rPr>
                          <w:rFonts w:hint="eastAsia" w:ascii="宋体" w:hAnsi="宋体" w:cs="宋体"/>
                          <w:szCs w:val="24"/>
                          <w:lang w:eastAsia="zh-CN"/>
                        </w:rPr>
                        <w:t>图例</w:t>
                      </w:r>
                    </w:p>
                    <w:p w14:paraId="28B7B931">
                      <w:pPr>
                        <w:ind w:firstLine="480"/>
                        <w:rPr>
                          <w:rFonts w:hint="eastAsia" w:ascii="宋体" w:hAnsi="宋体" w:cs="宋体"/>
                          <w:szCs w:val="24"/>
                          <w:lang w:eastAsia="zh-CN"/>
                        </w:rPr>
                      </w:pPr>
                      <w:r>
                        <w:rPr>
                          <w:rFonts w:hint="eastAsia" w:ascii="宋体" w:hAnsi="宋体" w:cs="宋体"/>
                          <w:szCs w:val="24"/>
                          <w:lang w:eastAsia="zh-CN"/>
                        </w:rPr>
                        <w:t xml:space="preserve"> 项目地</w:t>
                      </w:r>
                    </w:p>
                    <w:p w14:paraId="2B485E53">
                      <w:pPr>
                        <w:pStyle w:val="42"/>
                        <w:ind w:firstLine="480"/>
                      </w:pPr>
                      <w:r>
                        <w:rPr>
                          <w:rFonts w:hint="eastAsia"/>
                        </w:rPr>
                        <w:t xml:space="preserve"> 地下水评价范围</w:t>
                      </w:r>
                    </w:p>
                    <w:p w14:paraId="1257619C">
                      <w:pPr>
                        <w:ind w:firstLine="480"/>
                        <w:jc w:val="center"/>
                        <w:rPr>
                          <w:rFonts w:hint="eastAsia" w:ascii="宋体" w:hAnsi="宋体" w:cs="宋体"/>
                          <w:szCs w:val="24"/>
                          <w:lang w:eastAsia="zh-CN"/>
                        </w:rPr>
                      </w:pPr>
                      <w:r>
                        <w:rPr>
                          <w:rFonts w:hint="eastAsia" w:ascii="宋体" w:hAnsi="宋体" w:cs="宋体"/>
                          <w:szCs w:val="24"/>
                          <w:lang w:eastAsia="zh-CN"/>
                        </w:rPr>
                        <w:t xml:space="preserve"> 地下水监测点位</w:t>
                      </w:r>
                    </w:p>
                  </w:txbxContent>
                </v:textbox>
              </v:shape>
            </w:pict>
          </mc:Fallback>
        </mc:AlternateContent>
      </w:r>
      <w:r>
        <w:rPr>
          <w:rFonts w:ascii="Times New Roman" w:hAnsi="Times New Roman" w:cs="Times New Roman"/>
          <w:color w:val="auto"/>
        </w:rPr>
        <mc:AlternateContent>
          <mc:Choice Requires="wps">
            <w:drawing>
              <wp:anchor distT="0" distB="0" distL="114300" distR="114300" simplePos="0" relativeHeight="251714560" behindDoc="0" locked="0" layoutInCell="1" allowOverlap="1">
                <wp:simplePos x="0" y="0"/>
                <wp:positionH relativeFrom="column">
                  <wp:posOffset>144780</wp:posOffset>
                </wp:positionH>
                <wp:positionV relativeFrom="paragraph">
                  <wp:posOffset>4589780</wp:posOffset>
                </wp:positionV>
                <wp:extent cx="107950" cy="114300"/>
                <wp:effectExtent l="5715" t="13970" r="10160" b="5080"/>
                <wp:wrapNone/>
                <wp:docPr id="1684073730" name="矩形 3208"/>
                <wp:cNvGraphicFramePr/>
                <a:graphic xmlns:a="http://schemas.openxmlformats.org/drawingml/2006/main">
                  <a:graphicData uri="http://schemas.microsoft.com/office/word/2010/wordprocessingShape">
                    <wps:wsp>
                      <wps:cNvSpPr>
                        <a:spLocks noChangeArrowheads="1"/>
                      </wps:cNvSpPr>
                      <wps:spPr bwMode="auto">
                        <a:xfrm>
                          <a:off x="0" y="0"/>
                          <a:ext cx="107950" cy="114300"/>
                        </a:xfrm>
                        <a:prstGeom prst="rect">
                          <a:avLst/>
                        </a:prstGeom>
                        <a:noFill/>
                        <a:ln w="9525">
                          <a:solidFill>
                            <a:srgbClr val="FF0000"/>
                          </a:solidFill>
                          <a:miter lim="800000"/>
                        </a:ln>
                      </wps:spPr>
                      <wps:bodyPr rot="0" vert="horz" wrap="square" lIns="91440" tIns="45720" rIns="91440" bIns="45720" anchor="t" anchorCtr="0" upright="1">
                        <a:noAutofit/>
                      </wps:bodyPr>
                    </wps:wsp>
                  </a:graphicData>
                </a:graphic>
              </wp:anchor>
            </w:drawing>
          </mc:Choice>
          <mc:Fallback>
            <w:pict>
              <v:rect id="矩形 3208" o:spid="_x0000_s1026" o:spt="1" style="position:absolute;left:0pt;margin-left:11.4pt;margin-top:361.4pt;height:9pt;width:8.5pt;z-index:251714560;mso-width-relative:page;mso-height-relative:page;" filled="f" stroked="t" coordsize="21600,21600" o:gfxdata="UEsDBAoAAAAAAIdO4kAAAAAAAAAAAAAAAAAEAAAAZHJzL1BLAwQUAAAACACHTuJAQOSc6tgAAAAJ&#10;AQAADwAAAGRycy9kb3ducmV2LnhtbE2PMU/DMBCFdyT+g3VILIjaDQjaEKcDElSoA2rL0NFJrrFF&#10;fI5iNyn/noMFtrv3nt59V6zOvhMjDtEF0jCfKRBIdWgctRo+9i+3CxAxGWpMFwg1fGGEVXl5UZi8&#10;CRNtcdylVnAJxdxosCn1uZSxtuhNnIUeib1jGLxJvA6tbAYzcbnvZKbUg/TGEV+wpsdni/Xn7uQ1&#10;xPfXw2a/fRtbt95Mdu3w2Fc3Wl9fzdUTiITn9BeGH3xGh5KZqnCiJopOQ5YxedLw+Dtw4G7JQsXC&#10;vVqALAv5/4PyG1BLAwQUAAAACACHTuJA6/oX0zwCAABRBAAADgAAAGRycy9lMm9Eb2MueG1srVTN&#10;bhMxEL4j8Q6W73R389Okq2yqqlUQUoFKhQdwvN6shddjxk425WWQuPEQPA7iNRh70xDKpQf2YHk8&#10;42/m+2a8i8t9Z9hOoddgK16c5ZwpK6HWdlPxjx9Wr+ac+SBsLQxYVfEH5fnl8uWLRe9KNYIWTK2Q&#10;EYj1Ze8q3obgyizzslWd8GfglCVnA9iJQCZushpFT+idyUZ5fp71gLVDkMp7Or0ZnPyAiM8BhKbR&#10;Ut2A3HbKhgEVlRGBKPlWO8+XqdqmUTK8bxqvAjMVJ6YhrZSE9uu4ZsuFKDcoXKvloQTxnBKecOqE&#10;tpT0CHUjgmBb1P9AdVoieGjCmYQuG4gkRYhFkT/R5r4VTiUuJLV3R9H9/4OV73Z3yHRNk3A+n+Sz&#10;8WxM0ljRUed/ff3+88c3Nh7l86hT73xJ4ffuDiNT725BfvLMwnUr7EZdIULfKlFTdUWMz/66EA1P&#10;V9m6fws1oYttgCTZvsEuApIYbJ8683DsjNoHJumwyGcXUypMkqsoJuM8dS4T5eNlhz68VtCxuKk4&#10;UuMTuNjd+hCLEeVjSMxlYaWNSc03lvUVv5iOpumCB6Pr6EwccbO+Nsh2gsZntcrpS8yI/WlYpwM9&#10;CaO7is9jzGOQsQcVIvFBwDXUDyQCwjCJ9A5p0wJ+4aynKay4/7wVqDgzbywJeVFMJnFskzGZzkZk&#10;4KlnfeoRVhJUxQNnw/Y6DKO+dag3LWUqEkcLVyR+o5MwsTFDVYdiadKSXodXEUf51E5Rf/4Ey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A5Jzq2AAAAAkBAAAPAAAAAAAAAAEAIAAAACIAAABkcnMv&#10;ZG93bnJldi54bWxQSwECFAAUAAAACACHTuJA6/oX0zwCAABRBAAADgAAAAAAAAABACAAAAAnAQAA&#10;ZHJzL2Uyb0RvYy54bWxQSwUGAAAAAAYABgBZAQAA1QUAAAAA&#10;">
                <v:fill on="f" focussize="0,0"/>
                <v:stroke color="#FF0000" miterlimit="8" joinstyle="miter"/>
                <v:imagedata o:title=""/>
                <o:lock v:ext="edit" aspectratio="f"/>
              </v:rect>
            </w:pict>
          </mc:Fallback>
        </mc:AlternateContent>
      </w:r>
    </w:p>
    <w:p w14:paraId="1A06C5E6">
      <w:pPr>
        <w:spacing w:line="360" w:lineRule="auto"/>
        <w:jc w:val="center"/>
        <w:rPr>
          <w:rFonts w:ascii="Times New Roman" w:hAnsi="Times New Roman" w:cs="Times New Roman"/>
          <w:b/>
          <w:bCs/>
          <w:color w:val="auto"/>
          <w:szCs w:val="24"/>
          <w:lang w:eastAsia="zh-CN"/>
        </w:rPr>
        <w:sectPr>
          <w:pgSz w:w="16840" w:h="11907" w:orient="landscape"/>
          <w:pgMar w:top="1134" w:right="1191" w:bottom="1134" w:left="1191" w:header="0" w:footer="913" w:gutter="0"/>
          <w:cols w:space="720" w:num="1"/>
          <w:docGrid w:linePitch="1" w:charSpace="0"/>
        </w:sectPr>
      </w:pPr>
      <w:r>
        <w:rPr>
          <w:rFonts w:ascii="Times New Roman" w:hAnsi="Times New Roman" w:cs="Times New Roman"/>
          <w:b/>
          <w:bCs/>
          <w:color w:val="auto"/>
          <w:lang w:eastAsia="zh-CN"/>
        </w:rPr>
        <w:t>图5.2-4  地下水环境监测点位布置图</w:t>
      </w:r>
    </w:p>
    <w:p w14:paraId="10E2C6D3">
      <w:pPr>
        <w:spacing w:line="360" w:lineRule="auto"/>
        <w:ind w:firstLine="482" w:firstLineChars="200"/>
        <w:jc w:val="both"/>
        <w:outlineLvl w:val="3"/>
        <w:rPr>
          <w:rFonts w:ascii="Times New Roman" w:hAnsi="Times New Roman" w:cs="Times New Roman"/>
          <w:color w:val="auto"/>
          <w:szCs w:val="24"/>
          <w:lang w:eastAsia="zh-CN"/>
        </w:rPr>
      </w:pPr>
      <w:bookmarkStart w:id="1275" w:name="_Toc1611"/>
      <w:bookmarkStart w:id="1276" w:name="_Toc12109"/>
      <w:r>
        <w:rPr>
          <w:rFonts w:ascii="Times New Roman" w:hAnsi="Times New Roman" w:cs="Times New Roman"/>
          <w:b/>
          <w:bCs/>
          <w:color w:val="auto"/>
          <w:szCs w:val="24"/>
        </w:rPr>
        <w:fldChar w:fldCharType="begin"/>
      </w:r>
      <w:r>
        <w:rPr>
          <w:rFonts w:ascii="Times New Roman" w:hAnsi="Times New Roman" w:cs="Times New Roman"/>
          <w:b/>
          <w:bCs/>
          <w:color w:val="auto"/>
          <w:szCs w:val="24"/>
          <w:lang w:eastAsia="zh-CN"/>
        </w:rPr>
        <w:instrText xml:space="preserve">HYPERLINK "D:\\1、工作\\善宇\\1、环评\\蚌埠\\安徽志一新材料科技有限公司聚合物抗氧剂项目\\4.3.4.2"</w:instrText>
      </w:r>
      <w:r>
        <w:rPr>
          <w:rFonts w:ascii="Times New Roman" w:hAnsi="Times New Roman" w:cs="Times New Roman"/>
          <w:b/>
          <w:bCs/>
          <w:color w:val="auto"/>
          <w:szCs w:val="24"/>
        </w:rPr>
        <w:fldChar w:fldCharType="separate"/>
      </w:r>
      <w:r>
        <w:rPr>
          <w:rFonts w:ascii="Times New Roman" w:hAnsi="Times New Roman" w:cs="Times New Roman"/>
          <w:b/>
          <w:bCs/>
          <w:color w:val="auto"/>
          <w:szCs w:val="24"/>
          <w:lang w:eastAsia="zh-CN"/>
        </w:rPr>
        <w:t>5.2.4.2</w:t>
      </w:r>
      <w:r>
        <w:rPr>
          <w:rFonts w:ascii="Times New Roman" w:hAnsi="Times New Roman" w:cs="Times New Roman"/>
          <w:b/>
          <w:bCs/>
          <w:color w:val="auto"/>
          <w:szCs w:val="24"/>
        </w:rPr>
        <w:fldChar w:fldCharType="end"/>
      </w:r>
      <w:r>
        <w:rPr>
          <w:rFonts w:ascii="Times New Roman" w:hAnsi="Times New Roman" w:cs="Times New Roman"/>
          <w:b/>
          <w:bCs/>
          <w:color w:val="auto"/>
          <w:szCs w:val="24"/>
          <w:lang w:eastAsia="zh-CN"/>
        </w:rPr>
        <w:t xml:space="preserve"> 现状评价</w:t>
      </w:r>
      <w:bookmarkEnd w:id="1275"/>
      <w:bookmarkEnd w:id="1276"/>
    </w:p>
    <w:p w14:paraId="66F23DF4">
      <w:pPr>
        <w:spacing w:line="360" w:lineRule="auto"/>
        <w:ind w:left="480"/>
        <w:jc w:val="both"/>
        <w:rPr>
          <w:rFonts w:ascii="Times New Roman" w:hAnsi="Times New Roman" w:cs="Times New Roman"/>
          <w:color w:val="auto"/>
          <w:szCs w:val="24"/>
          <w:lang w:eastAsia="zh-CN"/>
        </w:rPr>
      </w:pPr>
      <w:bookmarkStart w:id="1277" w:name="_Toc28362"/>
      <w:bookmarkStart w:id="1278" w:name="_Toc22115"/>
      <w:r>
        <w:rPr>
          <w:rFonts w:hint="eastAsia" w:ascii="Times New Roman" w:hAnsi="Times New Roman" w:cs="Times New Roman"/>
          <w:color w:val="auto"/>
          <w:szCs w:val="24"/>
          <w:lang w:eastAsia="zh-CN"/>
        </w:rPr>
        <w:t>（1）</w:t>
      </w:r>
      <w:r>
        <w:rPr>
          <w:rFonts w:ascii="Times New Roman" w:hAnsi="Times New Roman" w:cs="Times New Roman"/>
          <w:color w:val="auto"/>
          <w:szCs w:val="24"/>
          <w:lang w:eastAsia="zh-CN"/>
        </w:rPr>
        <w:t>评价标准</w:t>
      </w:r>
      <w:bookmarkEnd w:id="1277"/>
      <w:bookmarkEnd w:id="1278"/>
    </w:p>
    <w:p w14:paraId="763FA768">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区域地下水环境质量执行《地下水质量标准》（GB/T14848-2017）中的Ⅲ类标准。</w:t>
      </w:r>
    </w:p>
    <w:p w14:paraId="030644F5">
      <w:pPr>
        <w:spacing w:line="360" w:lineRule="auto"/>
        <w:ind w:firstLine="480" w:firstLineChars="200"/>
        <w:jc w:val="both"/>
        <w:rPr>
          <w:rFonts w:ascii="Times New Roman" w:hAnsi="Times New Roman" w:cs="Times New Roman"/>
          <w:color w:val="auto"/>
          <w:szCs w:val="24"/>
          <w:lang w:eastAsia="zh-CN"/>
        </w:rPr>
      </w:pPr>
      <w:bookmarkStart w:id="1279" w:name="_Toc14600"/>
      <w:bookmarkStart w:id="1280" w:name="_Toc31953"/>
      <w:r>
        <w:rPr>
          <w:rFonts w:hint="eastAsia" w:ascii="Times New Roman" w:hAnsi="Times New Roman" w:cs="Times New Roman"/>
          <w:color w:val="auto"/>
          <w:szCs w:val="24"/>
          <w:lang w:eastAsia="zh-CN"/>
        </w:rPr>
        <w:t>（2）</w:t>
      </w:r>
      <w:r>
        <w:rPr>
          <w:rFonts w:ascii="Times New Roman" w:hAnsi="Times New Roman" w:cs="Times New Roman"/>
          <w:color w:val="auto"/>
          <w:szCs w:val="24"/>
          <w:lang w:eastAsia="zh-CN"/>
        </w:rPr>
        <w:t>评价方法</w:t>
      </w:r>
      <w:bookmarkEnd w:id="1279"/>
      <w:bookmarkEnd w:id="1280"/>
    </w:p>
    <w:p w14:paraId="22902E5E">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地下水水质现状评价采用标准指数法进行评价。标准指数＞1，表明该因子已超过了规定的水质标准，指数值越大，超标越严重。标准指数计算公式分为以下两种情况：</w:t>
      </w:r>
    </w:p>
    <w:p w14:paraId="104F8AF2">
      <w:pPr>
        <w:spacing w:line="360" w:lineRule="auto"/>
        <w:ind w:firstLine="480" w:firstLineChars="200"/>
        <w:rPr>
          <w:rFonts w:ascii="Times New Roman" w:hAnsi="Times New Roman" w:cs="Times New Roman"/>
          <w:color w:val="auto"/>
          <w:szCs w:val="24"/>
          <w:lang w:eastAsia="zh-CN"/>
        </w:rPr>
      </w:pPr>
      <w:r>
        <w:rPr>
          <w:rFonts w:ascii="宋体" w:hAnsi="宋体" w:cs="Cambria Math"/>
          <w:color w:val="auto"/>
          <w:szCs w:val="24"/>
          <w:lang w:eastAsia="zh-CN"/>
        </w:rPr>
        <w:t>①</w:t>
      </w:r>
      <w:r>
        <w:rPr>
          <w:rFonts w:ascii="Times New Roman" w:hAnsi="Times New Roman" w:cs="Times New Roman"/>
          <w:color w:val="auto"/>
          <w:szCs w:val="24"/>
          <w:lang w:eastAsia="zh-CN"/>
        </w:rPr>
        <w:t>对于评价标准为定值的水质因子，其标准指数计算公式：</w:t>
      </w:r>
    </w:p>
    <w:p w14:paraId="56921245">
      <w:pPr>
        <w:spacing w:line="360" w:lineRule="auto"/>
        <w:ind w:firstLine="480"/>
        <w:jc w:val="center"/>
        <w:rPr>
          <w:rFonts w:ascii="Times New Roman" w:hAnsi="Times New Roman" w:cs="Times New Roman"/>
          <w:color w:val="auto"/>
          <w:szCs w:val="24"/>
        </w:rPr>
      </w:pPr>
      <w:r>
        <w:rPr>
          <w:rFonts w:ascii="Times New Roman" w:hAnsi="Times New Roman" w:cs="Times New Roman"/>
          <w:color w:val="auto"/>
          <w:szCs w:val="24"/>
        </w:rPr>
        <w:drawing>
          <wp:inline distT="0" distB="0" distL="0" distR="0">
            <wp:extent cx="1447800" cy="628650"/>
            <wp:effectExtent l="0" t="0" r="0" b="0"/>
            <wp:docPr id="73" name="图片 133" descr="_$GBBZZ}8WF`632{(33`U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33" descr="_$GBBZZ}8WF`632{(33`U4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1447800" cy="628650"/>
                    </a:xfrm>
                    <a:prstGeom prst="rect">
                      <a:avLst/>
                    </a:prstGeom>
                    <a:noFill/>
                    <a:ln>
                      <a:noFill/>
                    </a:ln>
                  </pic:spPr>
                </pic:pic>
              </a:graphicData>
            </a:graphic>
          </wp:inline>
        </w:drawing>
      </w:r>
    </w:p>
    <w:p w14:paraId="3CD3CF49">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式中：P</w:t>
      </w:r>
      <w:r>
        <w:rPr>
          <w:rFonts w:ascii="Times New Roman" w:hAnsi="Times New Roman" w:cs="Times New Roman"/>
          <w:color w:val="auto"/>
          <w:szCs w:val="24"/>
          <w:vertAlign w:val="subscript"/>
          <w:lang w:eastAsia="zh-CN"/>
        </w:rPr>
        <w:t>i</w:t>
      </w:r>
      <w:r>
        <w:rPr>
          <w:rFonts w:ascii="Times New Roman" w:hAnsi="Times New Roman" w:cs="Times New Roman"/>
          <w:color w:val="auto"/>
          <w:szCs w:val="24"/>
          <w:lang w:eastAsia="zh-CN"/>
        </w:rPr>
        <w:t>—第i个水质因子的标准指数，无量纲；</w:t>
      </w:r>
    </w:p>
    <w:p w14:paraId="24C404C7">
      <w:pPr>
        <w:spacing w:line="360" w:lineRule="auto"/>
        <w:ind w:firstLine="480"/>
        <w:rPr>
          <w:rFonts w:ascii="Times New Roman" w:hAnsi="Times New Roman" w:cs="Times New Roman"/>
          <w:color w:val="auto"/>
          <w:szCs w:val="24"/>
          <w:lang w:eastAsia="zh-CN"/>
        </w:rPr>
      </w:pPr>
      <w:r>
        <w:rPr>
          <w:rFonts w:ascii="Times New Roman" w:hAnsi="Times New Roman" w:cs="Times New Roman"/>
          <w:color w:val="auto"/>
          <w:szCs w:val="24"/>
          <w:lang w:eastAsia="zh-CN"/>
        </w:rPr>
        <w:t xml:space="preserve">          C</w:t>
      </w:r>
      <w:r>
        <w:rPr>
          <w:rFonts w:ascii="Times New Roman" w:hAnsi="Times New Roman" w:cs="Times New Roman"/>
          <w:color w:val="auto"/>
          <w:szCs w:val="24"/>
          <w:vertAlign w:val="subscript"/>
          <w:lang w:eastAsia="zh-CN"/>
        </w:rPr>
        <w:t>i</w:t>
      </w:r>
      <w:r>
        <w:rPr>
          <w:rFonts w:ascii="Times New Roman" w:hAnsi="Times New Roman" w:cs="Times New Roman"/>
          <w:color w:val="auto"/>
          <w:szCs w:val="24"/>
          <w:lang w:eastAsia="zh-CN"/>
        </w:rPr>
        <w:t>—第i个水质因子的监测浓度值，mg/l；</w:t>
      </w:r>
    </w:p>
    <w:p w14:paraId="0EF8174B">
      <w:pPr>
        <w:spacing w:line="360" w:lineRule="auto"/>
        <w:ind w:firstLine="1200" w:firstLineChars="500"/>
        <w:rPr>
          <w:rFonts w:ascii="Times New Roman" w:hAnsi="Times New Roman" w:cs="Times New Roman"/>
          <w:color w:val="auto"/>
          <w:szCs w:val="24"/>
          <w:lang w:eastAsia="zh-CN"/>
        </w:rPr>
      </w:pPr>
      <w:r>
        <w:rPr>
          <w:rFonts w:ascii="Times New Roman" w:hAnsi="Times New Roman" w:cs="Times New Roman"/>
          <w:color w:val="auto"/>
          <w:szCs w:val="24"/>
          <w:lang w:eastAsia="zh-CN"/>
        </w:rPr>
        <w:t>C</w:t>
      </w:r>
      <w:r>
        <w:rPr>
          <w:rFonts w:ascii="Times New Roman" w:hAnsi="Times New Roman" w:cs="Times New Roman"/>
          <w:color w:val="auto"/>
          <w:szCs w:val="24"/>
          <w:vertAlign w:val="subscript"/>
          <w:lang w:eastAsia="zh-CN"/>
        </w:rPr>
        <w:t>si</w:t>
      </w:r>
      <w:r>
        <w:rPr>
          <w:rFonts w:ascii="Times New Roman" w:hAnsi="Times New Roman" w:cs="Times New Roman"/>
          <w:color w:val="auto"/>
          <w:szCs w:val="24"/>
          <w:lang w:eastAsia="zh-CN"/>
        </w:rPr>
        <w:t>—第i个水质因子的标准浓度值，mg/l；</w:t>
      </w:r>
    </w:p>
    <w:p w14:paraId="5EA25948">
      <w:pPr>
        <w:spacing w:line="360" w:lineRule="auto"/>
        <w:ind w:firstLine="480" w:firstLineChars="200"/>
        <w:rPr>
          <w:rFonts w:ascii="Times New Roman" w:hAnsi="Times New Roman" w:cs="Times New Roman"/>
          <w:color w:val="auto"/>
          <w:szCs w:val="24"/>
          <w:lang w:eastAsia="zh-CN"/>
        </w:rPr>
      </w:pPr>
      <w:r>
        <w:rPr>
          <w:rFonts w:ascii="宋体" w:hAnsi="宋体" w:cs="Cambria Math"/>
          <w:color w:val="auto"/>
          <w:szCs w:val="24"/>
          <w:lang w:eastAsia="zh-CN"/>
        </w:rPr>
        <w:t>②</w:t>
      </w:r>
      <w:r>
        <w:rPr>
          <w:rFonts w:ascii="Times New Roman" w:hAnsi="Times New Roman" w:cs="Times New Roman"/>
          <w:color w:val="auto"/>
          <w:szCs w:val="24"/>
          <w:lang w:eastAsia="zh-CN"/>
        </w:rPr>
        <w:t>对于评价标准为区间值的水质因子（如pH值），其标准指数计算公式：</w:t>
      </w:r>
    </w:p>
    <w:p w14:paraId="15481279">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rPr>
        <w:drawing>
          <wp:anchor distT="0" distB="0" distL="114300" distR="114300" simplePos="0" relativeHeight="251701248" behindDoc="0" locked="0" layoutInCell="1" allowOverlap="1">
            <wp:simplePos x="0" y="0"/>
            <wp:positionH relativeFrom="margin">
              <wp:align>center</wp:align>
            </wp:positionH>
            <wp:positionV relativeFrom="paragraph">
              <wp:posOffset>45085</wp:posOffset>
            </wp:positionV>
            <wp:extent cx="4150995" cy="1130300"/>
            <wp:effectExtent l="0" t="0" r="0" b="0"/>
            <wp:wrapNone/>
            <wp:docPr id="1702" name="图片 1458" descr="../../../../../../Documents%20and%20Settings/Administrator/Application%20Data/Tencent/Users/112768905/QQ/WinTemp/RichOle/_VHJZS4F%7dP4CPO9SD)(L$%7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 name="图片 1458" descr="../../../../../../Documents%20and%20Settings/Administrator/Application%20Data/Tencent/Users/112768905/QQ/WinTemp/RichOle/_VHJZS4F%7dP4CPO9SD)(L$%7d5.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4150995" cy="1130300"/>
                    </a:xfrm>
                    <a:prstGeom prst="rect">
                      <a:avLst/>
                    </a:prstGeom>
                    <a:noFill/>
                    <a:ln>
                      <a:noFill/>
                    </a:ln>
                  </pic:spPr>
                </pic:pic>
              </a:graphicData>
            </a:graphic>
          </wp:anchor>
        </w:drawing>
      </w:r>
    </w:p>
    <w:p w14:paraId="08F97457">
      <w:pPr>
        <w:spacing w:line="360" w:lineRule="auto"/>
        <w:ind w:firstLine="480" w:firstLineChars="200"/>
        <w:rPr>
          <w:rFonts w:ascii="Times New Roman" w:hAnsi="Times New Roman" w:cs="Times New Roman"/>
          <w:color w:val="auto"/>
          <w:szCs w:val="24"/>
          <w:lang w:eastAsia="zh-CN"/>
        </w:rPr>
      </w:pPr>
    </w:p>
    <w:p w14:paraId="64F0F2EA">
      <w:pPr>
        <w:spacing w:line="360" w:lineRule="auto"/>
        <w:ind w:firstLine="480" w:firstLineChars="200"/>
        <w:rPr>
          <w:rFonts w:ascii="Times New Roman" w:hAnsi="Times New Roman" w:cs="Times New Roman"/>
          <w:color w:val="auto"/>
          <w:szCs w:val="24"/>
          <w:lang w:eastAsia="zh-CN"/>
        </w:rPr>
      </w:pPr>
    </w:p>
    <w:p w14:paraId="0AA3D586">
      <w:pPr>
        <w:spacing w:line="360" w:lineRule="auto"/>
        <w:ind w:firstLine="480" w:firstLineChars="200"/>
        <w:rPr>
          <w:rFonts w:ascii="Times New Roman" w:hAnsi="Times New Roman" w:cs="Times New Roman"/>
          <w:color w:val="auto"/>
          <w:szCs w:val="24"/>
          <w:lang w:eastAsia="zh-CN"/>
        </w:rPr>
      </w:pPr>
    </w:p>
    <w:p w14:paraId="4A433957">
      <w:pPr>
        <w:spacing w:line="360" w:lineRule="auto"/>
        <w:ind w:firstLine="480" w:firstLineChars="200"/>
        <w:rPr>
          <w:rFonts w:ascii="Times New Roman" w:hAnsi="Times New Roman" w:cs="Times New Roman"/>
          <w:color w:val="auto"/>
          <w:szCs w:val="24"/>
          <w:lang w:eastAsia="zh-CN"/>
        </w:rPr>
      </w:pPr>
    </w:p>
    <w:p w14:paraId="0FFB9946">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式中：P</w:t>
      </w:r>
      <w:r>
        <w:rPr>
          <w:rFonts w:ascii="Times New Roman" w:hAnsi="Times New Roman" w:cs="Times New Roman"/>
          <w:color w:val="auto"/>
          <w:szCs w:val="24"/>
          <w:vertAlign w:val="subscript"/>
          <w:lang w:eastAsia="zh-CN"/>
        </w:rPr>
        <w:t>pH</w:t>
      </w:r>
      <w:r>
        <w:rPr>
          <w:rFonts w:ascii="Times New Roman" w:hAnsi="Times New Roman" w:cs="Times New Roman"/>
          <w:color w:val="auto"/>
          <w:szCs w:val="24"/>
          <w:lang w:eastAsia="zh-CN"/>
        </w:rPr>
        <w:t>—pH的标准指数，无量纲；</w:t>
      </w:r>
    </w:p>
    <w:p w14:paraId="4233BDAA">
      <w:pPr>
        <w:spacing w:line="360" w:lineRule="auto"/>
        <w:ind w:firstLine="720" w:firstLineChars="300"/>
        <w:rPr>
          <w:rFonts w:ascii="Times New Roman" w:hAnsi="Times New Roman" w:cs="Times New Roman"/>
          <w:color w:val="auto"/>
          <w:szCs w:val="24"/>
          <w:lang w:eastAsia="zh-CN"/>
        </w:rPr>
      </w:pPr>
      <w:r>
        <w:rPr>
          <w:rFonts w:ascii="Times New Roman" w:hAnsi="Times New Roman" w:cs="Times New Roman"/>
          <w:color w:val="auto"/>
          <w:szCs w:val="24"/>
          <w:lang w:eastAsia="zh-CN"/>
        </w:rPr>
        <w:t>pH—pH的监测值；</w:t>
      </w:r>
    </w:p>
    <w:p w14:paraId="55FFF52E">
      <w:pPr>
        <w:spacing w:line="360" w:lineRule="auto"/>
        <w:ind w:firstLine="720" w:firstLineChars="300"/>
        <w:rPr>
          <w:rFonts w:ascii="Times New Roman" w:hAnsi="Times New Roman" w:cs="Times New Roman"/>
          <w:color w:val="auto"/>
          <w:szCs w:val="24"/>
          <w:vertAlign w:val="subscript"/>
          <w:lang w:eastAsia="zh-CN"/>
        </w:rPr>
      </w:pPr>
      <w:r>
        <w:rPr>
          <w:rFonts w:ascii="Times New Roman" w:hAnsi="Times New Roman" w:cs="Times New Roman"/>
          <w:color w:val="auto"/>
          <w:szCs w:val="24"/>
          <w:lang w:eastAsia="zh-CN"/>
        </w:rPr>
        <w:t>pH</w:t>
      </w:r>
      <w:r>
        <w:rPr>
          <w:rFonts w:ascii="Times New Roman" w:hAnsi="Times New Roman" w:cs="Times New Roman"/>
          <w:color w:val="auto"/>
          <w:szCs w:val="24"/>
          <w:vertAlign w:val="subscript"/>
          <w:lang w:eastAsia="zh-CN"/>
        </w:rPr>
        <w:t>su</w:t>
      </w:r>
      <w:r>
        <w:rPr>
          <w:rFonts w:ascii="Times New Roman" w:hAnsi="Times New Roman" w:cs="Times New Roman"/>
          <w:color w:val="auto"/>
          <w:szCs w:val="24"/>
          <w:lang w:eastAsia="zh-CN"/>
        </w:rPr>
        <w:t>—标准中pH的上限值；</w:t>
      </w:r>
    </w:p>
    <w:p w14:paraId="576DB80E">
      <w:pPr>
        <w:spacing w:line="360" w:lineRule="auto"/>
        <w:ind w:firstLine="720" w:firstLineChars="300"/>
        <w:rPr>
          <w:rFonts w:ascii="Times New Roman" w:hAnsi="Times New Roman" w:cs="Times New Roman"/>
          <w:color w:val="auto"/>
          <w:szCs w:val="24"/>
          <w:lang w:eastAsia="zh-CN"/>
        </w:rPr>
      </w:pPr>
      <w:r>
        <w:rPr>
          <w:rFonts w:ascii="Times New Roman" w:hAnsi="Times New Roman" w:cs="Times New Roman"/>
          <w:color w:val="auto"/>
          <w:szCs w:val="24"/>
          <w:lang w:eastAsia="zh-CN"/>
        </w:rPr>
        <w:t>pH</w:t>
      </w:r>
      <w:r>
        <w:rPr>
          <w:rFonts w:ascii="Times New Roman" w:hAnsi="Times New Roman" w:cs="Times New Roman"/>
          <w:color w:val="auto"/>
          <w:szCs w:val="24"/>
          <w:vertAlign w:val="subscript"/>
          <w:lang w:eastAsia="zh-CN"/>
        </w:rPr>
        <w:t>sd</w:t>
      </w:r>
      <w:r>
        <w:rPr>
          <w:rFonts w:ascii="Times New Roman" w:hAnsi="Times New Roman" w:cs="Times New Roman"/>
          <w:color w:val="auto"/>
          <w:szCs w:val="24"/>
          <w:lang w:eastAsia="zh-CN"/>
        </w:rPr>
        <w:t>—标准中pH的下限值；</w:t>
      </w:r>
    </w:p>
    <w:p w14:paraId="273AE2D4">
      <w:pPr>
        <w:spacing w:line="360" w:lineRule="auto"/>
        <w:ind w:left="480"/>
        <w:jc w:val="both"/>
        <w:rPr>
          <w:rFonts w:ascii="Times New Roman" w:hAnsi="Times New Roman" w:cs="Times New Roman"/>
          <w:color w:val="auto"/>
          <w:szCs w:val="24"/>
          <w:lang w:eastAsia="zh-CN"/>
        </w:rPr>
      </w:pPr>
      <w:bookmarkStart w:id="1281" w:name="_Toc30884"/>
      <w:bookmarkStart w:id="1282" w:name="_Toc15513"/>
      <w:r>
        <w:rPr>
          <w:rFonts w:hint="eastAsia" w:ascii="Times New Roman" w:hAnsi="Times New Roman" w:cs="Times New Roman"/>
          <w:color w:val="auto"/>
          <w:szCs w:val="24"/>
          <w:lang w:eastAsia="zh-CN"/>
        </w:rPr>
        <w:t>（3）</w:t>
      </w:r>
      <w:r>
        <w:rPr>
          <w:rFonts w:ascii="Times New Roman" w:hAnsi="Times New Roman" w:cs="Times New Roman"/>
          <w:color w:val="auto"/>
          <w:szCs w:val="24"/>
          <w:lang w:eastAsia="zh-CN"/>
        </w:rPr>
        <w:t>监测结果</w:t>
      </w:r>
      <w:bookmarkEnd w:id="1281"/>
      <w:bookmarkEnd w:id="1282"/>
    </w:p>
    <w:p w14:paraId="191CAE84">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本次现状监测过程中各监测井的基本信息见下表。</w:t>
      </w:r>
    </w:p>
    <w:p w14:paraId="7C5FCD13">
      <w:pPr>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表5.2-1</w:t>
      </w:r>
      <w:r>
        <w:rPr>
          <w:rFonts w:hint="eastAsia" w:ascii="Times New Roman" w:hAnsi="Times New Roman" w:cs="Times New Roman"/>
          <w:b/>
          <w:bCs/>
          <w:color w:val="auto"/>
          <w:szCs w:val="24"/>
          <w:lang w:eastAsia="zh-CN"/>
        </w:rPr>
        <w:t xml:space="preserve">0 </w:t>
      </w:r>
      <w:r>
        <w:rPr>
          <w:rFonts w:ascii="Times New Roman" w:hAnsi="Times New Roman" w:cs="Times New Roman"/>
          <w:b/>
          <w:bCs/>
          <w:color w:val="auto"/>
          <w:szCs w:val="24"/>
          <w:lang w:eastAsia="zh-CN"/>
        </w:rPr>
        <w:t xml:space="preserve"> 地下水水位监测点位监测结果一览表</w:t>
      </w:r>
    </w:p>
    <w:tbl>
      <w:tblPr>
        <w:tblStyle w:val="35"/>
        <w:tblW w:w="5000" w:type="pct"/>
        <w:tblInd w:w="0" w:type="dxa"/>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autofit"/>
        <w:tblCellMar>
          <w:top w:w="0" w:type="dxa"/>
          <w:left w:w="0" w:type="dxa"/>
          <w:bottom w:w="0" w:type="dxa"/>
          <w:right w:w="0" w:type="dxa"/>
        </w:tblCellMar>
      </w:tblPr>
      <w:tblGrid>
        <w:gridCol w:w="3295"/>
        <w:gridCol w:w="3175"/>
        <w:gridCol w:w="3169"/>
      </w:tblGrid>
      <w:tr w14:paraId="5BB45B8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709" w:type="pct"/>
            <w:vAlign w:val="center"/>
          </w:tcPr>
          <w:p w14:paraId="024B4AEA">
            <w:pPr>
              <w:widowControl w:val="0"/>
              <w:spacing w:before="60" w:after="60"/>
              <w:jc w:val="center"/>
              <w:rPr>
                <w:rFonts w:ascii="Times New Roman" w:hAnsi="Times New Roman" w:cs="Times New Roman"/>
                <w:b/>
                <w:bCs/>
                <w:color w:val="auto"/>
                <w:sz w:val="21"/>
              </w:rPr>
            </w:pPr>
            <w:r>
              <w:rPr>
                <w:rFonts w:ascii="Times New Roman" w:hAnsi="Times New Roman" w:cs="Times New Roman"/>
                <w:b/>
                <w:bCs/>
                <w:color w:val="auto"/>
                <w:sz w:val="21"/>
              </w:rPr>
              <w:t>点位编号</w:t>
            </w:r>
          </w:p>
        </w:tc>
        <w:tc>
          <w:tcPr>
            <w:tcW w:w="1647" w:type="pct"/>
          </w:tcPr>
          <w:p w14:paraId="6499B044">
            <w:pPr>
              <w:widowControl w:val="0"/>
              <w:spacing w:before="60" w:after="60"/>
              <w:jc w:val="center"/>
              <w:rPr>
                <w:rFonts w:ascii="Times New Roman" w:hAnsi="Times New Roman" w:cs="Times New Roman"/>
                <w:b/>
                <w:bCs/>
                <w:color w:val="auto"/>
                <w:sz w:val="21"/>
              </w:rPr>
            </w:pPr>
            <w:r>
              <w:rPr>
                <w:rFonts w:ascii="Times New Roman" w:hAnsi="Times New Roman" w:cs="Times New Roman"/>
                <w:b/>
                <w:bCs/>
                <w:color w:val="auto"/>
                <w:sz w:val="21"/>
              </w:rPr>
              <w:t>点位名称</w:t>
            </w:r>
          </w:p>
        </w:tc>
        <w:tc>
          <w:tcPr>
            <w:tcW w:w="1644" w:type="pct"/>
          </w:tcPr>
          <w:p w14:paraId="79D4F146">
            <w:pPr>
              <w:widowControl w:val="0"/>
              <w:spacing w:before="60" w:after="60"/>
              <w:jc w:val="center"/>
              <w:rPr>
                <w:rFonts w:ascii="Times New Roman" w:hAnsi="Times New Roman" w:cs="Times New Roman"/>
                <w:b/>
                <w:bCs/>
                <w:color w:val="auto"/>
                <w:sz w:val="21"/>
              </w:rPr>
            </w:pPr>
            <w:r>
              <w:rPr>
                <w:rFonts w:ascii="Times New Roman" w:hAnsi="Times New Roman" w:cs="Times New Roman"/>
                <w:b/>
                <w:bCs/>
                <w:color w:val="auto"/>
                <w:sz w:val="21"/>
              </w:rPr>
              <w:t>水位埋深(m)</w:t>
            </w:r>
          </w:p>
        </w:tc>
      </w:tr>
      <w:tr w14:paraId="710A6C7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709" w:type="pct"/>
            <w:vAlign w:val="center"/>
          </w:tcPr>
          <w:p w14:paraId="312938D1">
            <w:pPr>
              <w:jc w:val="center"/>
              <w:rPr>
                <w:rFonts w:ascii="Times New Roman" w:hAnsi="Times New Roman" w:cs="Times New Roman"/>
                <w:color w:val="auto"/>
                <w:sz w:val="21"/>
                <w:lang w:eastAsia="zh-CN"/>
              </w:rPr>
            </w:pPr>
            <w:r>
              <w:rPr>
                <w:rFonts w:ascii="Times New Roman" w:hAnsi="Times New Roman" w:cs="Times New Roman"/>
                <w:color w:val="auto"/>
                <w:sz w:val="21"/>
              </w:rPr>
              <w:t>D1</w:t>
            </w:r>
          </w:p>
        </w:tc>
        <w:tc>
          <w:tcPr>
            <w:tcW w:w="1647" w:type="pct"/>
            <w:vAlign w:val="center"/>
          </w:tcPr>
          <w:p w14:paraId="2620C3EC">
            <w:pPr>
              <w:widowControl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项目场地</w:t>
            </w:r>
          </w:p>
        </w:tc>
        <w:tc>
          <w:tcPr>
            <w:tcW w:w="1644" w:type="pct"/>
          </w:tcPr>
          <w:p w14:paraId="1A3A731E">
            <w:pPr>
              <w:widowControl w:val="0"/>
              <w:spacing w:before="60" w:after="60"/>
              <w:jc w:val="center"/>
              <w:rPr>
                <w:rFonts w:ascii="Times New Roman" w:hAnsi="Times New Roman" w:cs="Times New Roman"/>
                <w:color w:val="auto"/>
                <w:sz w:val="21"/>
                <w:lang w:eastAsia="zh-CN"/>
              </w:rPr>
            </w:pPr>
          </w:p>
        </w:tc>
      </w:tr>
      <w:tr w14:paraId="08E4DAA1">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709" w:type="pct"/>
            <w:vAlign w:val="center"/>
          </w:tcPr>
          <w:p w14:paraId="37EEEC04">
            <w:pPr>
              <w:jc w:val="center"/>
              <w:rPr>
                <w:rFonts w:ascii="Times New Roman" w:hAnsi="Times New Roman" w:cs="Times New Roman"/>
                <w:color w:val="auto"/>
                <w:sz w:val="21"/>
                <w:lang w:eastAsia="zh-CN"/>
              </w:rPr>
            </w:pPr>
            <w:r>
              <w:rPr>
                <w:rFonts w:ascii="Times New Roman" w:hAnsi="Times New Roman" w:cs="Times New Roman"/>
                <w:color w:val="auto"/>
                <w:sz w:val="21"/>
              </w:rPr>
              <w:t>D2</w:t>
            </w:r>
          </w:p>
        </w:tc>
        <w:tc>
          <w:tcPr>
            <w:tcW w:w="1647" w:type="pct"/>
            <w:vAlign w:val="center"/>
          </w:tcPr>
          <w:p w14:paraId="3E2B09F9">
            <w:pPr>
              <w:widowControl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三铺村</w:t>
            </w:r>
          </w:p>
        </w:tc>
        <w:tc>
          <w:tcPr>
            <w:tcW w:w="1644" w:type="pct"/>
          </w:tcPr>
          <w:p w14:paraId="0D577E19">
            <w:pPr>
              <w:widowControl w:val="0"/>
              <w:spacing w:before="60" w:after="60"/>
              <w:jc w:val="center"/>
              <w:rPr>
                <w:rFonts w:ascii="Times New Roman" w:hAnsi="Times New Roman" w:cs="Times New Roman"/>
                <w:color w:val="auto"/>
                <w:sz w:val="21"/>
                <w:lang w:eastAsia="zh-CN"/>
              </w:rPr>
            </w:pPr>
          </w:p>
        </w:tc>
      </w:tr>
      <w:tr w14:paraId="4BCE6DC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709" w:type="pct"/>
            <w:vAlign w:val="center"/>
          </w:tcPr>
          <w:p w14:paraId="4EA40A89">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D3</w:t>
            </w:r>
          </w:p>
        </w:tc>
        <w:tc>
          <w:tcPr>
            <w:tcW w:w="1647" w:type="pct"/>
            <w:vAlign w:val="center"/>
          </w:tcPr>
          <w:p w14:paraId="3CE5324C">
            <w:pPr>
              <w:widowControl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夏家湖</w:t>
            </w:r>
          </w:p>
        </w:tc>
        <w:tc>
          <w:tcPr>
            <w:tcW w:w="1644" w:type="pct"/>
          </w:tcPr>
          <w:p w14:paraId="74245E9A">
            <w:pPr>
              <w:widowControl w:val="0"/>
              <w:spacing w:before="60" w:after="60"/>
              <w:jc w:val="center"/>
              <w:rPr>
                <w:rFonts w:ascii="Times New Roman" w:hAnsi="Times New Roman" w:cs="Times New Roman"/>
                <w:color w:val="auto"/>
                <w:sz w:val="21"/>
                <w:lang w:eastAsia="zh-CN"/>
              </w:rPr>
            </w:pPr>
          </w:p>
        </w:tc>
      </w:tr>
      <w:tr w14:paraId="587817F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709" w:type="pct"/>
            <w:vAlign w:val="center"/>
          </w:tcPr>
          <w:p w14:paraId="4956DFDC">
            <w:pPr>
              <w:jc w:val="center"/>
              <w:rPr>
                <w:rFonts w:ascii="Times New Roman" w:hAnsi="Times New Roman" w:cs="Times New Roman"/>
                <w:color w:val="auto"/>
                <w:sz w:val="21"/>
                <w:lang w:eastAsia="zh-CN"/>
              </w:rPr>
            </w:pPr>
            <w:r>
              <w:rPr>
                <w:rFonts w:ascii="Times New Roman" w:hAnsi="Times New Roman" w:cs="Times New Roman"/>
                <w:color w:val="auto"/>
                <w:sz w:val="21"/>
              </w:rPr>
              <w:t>D</w:t>
            </w:r>
            <w:r>
              <w:rPr>
                <w:rFonts w:ascii="Times New Roman" w:hAnsi="Times New Roman" w:cs="Times New Roman"/>
                <w:color w:val="auto"/>
                <w:sz w:val="21"/>
                <w:lang w:eastAsia="zh-CN"/>
              </w:rPr>
              <w:t>4</w:t>
            </w:r>
          </w:p>
        </w:tc>
        <w:tc>
          <w:tcPr>
            <w:tcW w:w="1647" w:type="pct"/>
            <w:vAlign w:val="center"/>
          </w:tcPr>
          <w:p w14:paraId="5E460A8E">
            <w:pPr>
              <w:widowControl w:val="0"/>
              <w:spacing w:before="60" w:after="6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新洋丰厂区</w:t>
            </w:r>
          </w:p>
        </w:tc>
        <w:tc>
          <w:tcPr>
            <w:tcW w:w="1644" w:type="pct"/>
          </w:tcPr>
          <w:p w14:paraId="7CE32384">
            <w:pPr>
              <w:widowControl w:val="0"/>
              <w:spacing w:before="60" w:after="60"/>
              <w:jc w:val="center"/>
              <w:rPr>
                <w:rFonts w:ascii="Times New Roman" w:hAnsi="Times New Roman" w:cs="Times New Roman"/>
                <w:color w:val="auto"/>
                <w:sz w:val="21"/>
                <w:lang w:eastAsia="zh-CN"/>
              </w:rPr>
            </w:pPr>
          </w:p>
        </w:tc>
      </w:tr>
      <w:tr w14:paraId="79CB356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709" w:type="pct"/>
            <w:vAlign w:val="center"/>
          </w:tcPr>
          <w:p w14:paraId="123CAE6F">
            <w:pPr>
              <w:jc w:val="center"/>
              <w:rPr>
                <w:rFonts w:ascii="Times New Roman" w:hAnsi="Times New Roman" w:cs="Times New Roman"/>
                <w:color w:val="auto"/>
                <w:sz w:val="21"/>
                <w:lang w:eastAsia="zh-CN"/>
              </w:rPr>
            </w:pPr>
            <w:r>
              <w:rPr>
                <w:rFonts w:ascii="Times New Roman" w:hAnsi="Times New Roman" w:cs="Times New Roman"/>
                <w:color w:val="auto"/>
                <w:sz w:val="21"/>
              </w:rPr>
              <w:t>D5</w:t>
            </w:r>
          </w:p>
        </w:tc>
        <w:tc>
          <w:tcPr>
            <w:tcW w:w="1647" w:type="pct"/>
            <w:vAlign w:val="center"/>
          </w:tcPr>
          <w:p w14:paraId="37F13C76">
            <w:pPr>
              <w:widowControl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海华科技厂区</w:t>
            </w:r>
          </w:p>
        </w:tc>
        <w:tc>
          <w:tcPr>
            <w:tcW w:w="1644" w:type="pct"/>
          </w:tcPr>
          <w:p w14:paraId="2E88A27C">
            <w:pPr>
              <w:widowControl w:val="0"/>
              <w:spacing w:before="60" w:after="60"/>
              <w:jc w:val="center"/>
              <w:rPr>
                <w:rFonts w:ascii="Times New Roman" w:hAnsi="Times New Roman" w:cs="Times New Roman"/>
                <w:color w:val="auto"/>
                <w:sz w:val="21"/>
                <w:lang w:eastAsia="zh-CN"/>
              </w:rPr>
            </w:pPr>
          </w:p>
        </w:tc>
      </w:tr>
      <w:tr w14:paraId="50A7676C">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709" w:type="pct"/>
            <w:vAlign w:val="center"/>
          </w:tcPr>
          <w:p w14:paraId="03CC9354">
            <w:pPr>
              <w:jc w:val="center"/>
              <w:rPr>
                <w:rFonts w:ascii="Times New Roman" w:hAnsi="Times New Roman" w:cs="Times New Roman"/>
                <w:color w:val="auto"/>
                <w:sz w:val="21"/>
                <w:lang w:eastAsia="zh-CN"/>
              </w:rPr>
            </w:pPr>
            <w:r>
              <w:rPr>
                <w:rFonts w:ascii="Times New Roman" w:hAnsi="Times New Roman" w:cs="Times New Roman"/>
                <w:color w:val="auto"/>
                <w:sz w:val="21"/>
              </w:rPr>
              <w:t>D6</w:t>
            </w:r>
          </w:p>
        </w:tc>
        <w:tc>
          <w:tcPr>
            <w:tcW w:w="1647" w:type="pct"/>
            <w:vAlign w:val="center"/>
          </w:tcPr>
          <w:p w14:paraId="442C9791">
            <w:pPr>
              <w:widowControl w:val="0"/>
              <w:spacing w:before="60" w:after="6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兴国包装厂区</w:t>
            </w:r>
          </w:p>
        </w:tc>
        <w:tc>
          <w:tcPr>
            <w:tcW w:w="1644" w:type="pct"/>
          </w:tcPr>
          <w:p w14:paraId="66592370">
            <w:pPr>
              <w:widowControl w:val="0"/>
              <w:spacing w:before="60" w:after="60"/>
              <w:jc w:val="center"/>
              <w:rPr>
                <w:rFonts w:ascii="Times New Roman" w:hAnsi="Times New Roman" w:cs="Times New Roman"/>
                <w:color w:val="auto"/>
                <w:sz w:val="21"/>
                <w:lang w:eastAsia="zh-CN"/>
              </w:rPr>
            </w:pPr>
          </w:p>
        </w:tc>
      </w:tr>
      <w:tr w14:paraId="75CA9E8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709" w:type="pct"/>
            <w:vAlign w:val="center"/>
          </w:tcPr>
          <w:p w14:paraId="4137883B">
            <w:pPr>
              <w:jc w:val="center"/>
              <w:rPr>
                <w:rFonts w:ascii="Times New Roman" w:hAnsi="Times New Roman" w:cs="Times New Roman"/>
                <w:color w:val="auto"/>
                <w:sz w:val="21"/>
                <w:lang w:eastAsia="zh-CN"/>
              </w:rPr>
            </w:pPr>
            <w:r>
              <w:rPr>
                <w:rFonts w:ascii="Times New Roman" w:hAnsi="Times New Roman" w:cs="Times New Roman"/>
                <w:color w:val="auto"/>
                <w:sz w:val="21"/>
              </w:rPr>
              <w:t>D7</w:t>
            </w:r>
          </w:p>
        </w:tc>
        <w:tc>
          <w:tcPr>
            <w:tcW w:w="1647" w:type="pct"/>
            <w:vAlign w:val="center"/>
          </w:tcPr>
          <w:p w14:paraId="3625959B">
            <w:pPr>
              <w:widowControl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天润化学厂区</w:t>
            </w:r>
          </w:p>
        </w:tc>
        <w:tc>
          <w:tcPr>
            <w:tcW w:w="1644" w:type="pct"/>
          </w:tcPr>
          <w:p w14:paraId="250627B9">
            <w:pPr>
              <w:widowControl w:val="0"/>
              <w:spacing w:before="60" w:after="60"/>
              <w:jc w:val="center"/>
              <w:rPr>
                <w:rFonts w:ascii="Times New Roman" w:hAnsi="Times New Roman" w:cs="Times New Roman"/>
                <w:color w:val="auto"/>
                <w:sz w:val="21"/>
                <w:lang w:eastAsia="zh-CN"/>
              </w:rPr>
            </w:pPr>
          </w:p>
        </w:tc>
      </w:tr>
      <w:tr w14:paraId="444A242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709" w:type="pct"/>
            <w:vAlign w:val="center"/>
          </w:tcPr>
          <w:p w14:paraId="79300577">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D8</w:t>
            </w:r>
          </w:p>
        </w:tc>
        <w:tc>
          <w:tcPr>
            <w:tcW w:w="1647" w:type="pct"/>
            <w:vAlign w:val="center"/>
          </w:tcPr>
          <w:p w14:paraId="3EE54D45">
            <w:pPr>
              <w:widowControl w:val="0"/>
              <w:spacing w:before="60" w:after="6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蚌埠晟特厂区</w:t>
            </w:r>
          </w:p>
        </w:tc>
        <w:tc>
          <w:tcPr>
            <w:tcW w:w="1644" w:type="pct"/>
          </w:tcPr>
          <w:p w14:paraId="30C56BFF">
            <w:pPr>
              <w:widowControl w:val="0"/>
              <w:spacing w:before="60" w:after="60"/>
              <w:jc w:val="center"/>
              <w:rPr>
                <w:rFonts w:ascii="Times New Roman" w:hAnsi="Times New Roman" w:cs="Times New Roman"/>
                <w:color w:val="auto"/>
                <w:sz w:val="21"/>
                <w:lang w:eastAsia="zh-CN"/>
              </w:rPr>
            </w:pPr>
          </w:p>
        </w:tc>
      </w:tr>
      <w:tr w14:paraId="3748C85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709" w:type="pct"/>
            <w:vAlign w:val="center"/>
          </w:tcPr>
          <w:p w14:paraId="6B59ADE1">
            <w:pPr>
              <w:jc w:val="center"/>
              <w:rPr>
                <w:rFonts w:ascii="Times New Roman" w:hAnsi="Times New Roman" w:cs="Times New Roman"/>
                <w:color w:val="auto"/>
                <w:sz w:val="21"/>
                <w:lang w:eastAsia="zh-CN"/>
              </w:rPr>
            </w:pPr>
            <w:r>
              <w:rPr>
                <w:rFonts w:ascii="Times New Roman" w:hAnsi="Times New Roman" w:cs="Times New Roman"/>
                <w:color w:val="auto"/>
                <w:sz w:val="21"/>
              </w:rPr>
              <w:t>D</w:t>
            </w:r>
            <w:r>
              <w:rPr>
                <w:rFonts w:ascii="Times New Roman" w:hAnsi="Times New Roman" w:cs="Times New Roman"/>
                <w:color w:val="auto"/>
                <w:sz w:val="21"/>
                <w:lang w:eastAsia="zh-CN"/>
              </w:rPr>
              <w:t>9</w:t>
            </w:r>
          </w:p>
        </w:tc>
        <w:tc>
          <w:tcPr>
            <w:tcW w:w="1647" w:type="pct"/>
            <w:vAlign w:val="center"/>
          </w:tcPr>
          <w:p w14:paraId="044DA78F">
            <w:pPr>
              <w:widowControl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草杨家</w:t>
            </w:r>
          </w:p>
        </w:tc>
        <w:tc>
          <w:tcPr>
            <w:tcW w:w="1644" w:type="pct"/>
            <w:vAlign w:val="center"/>
          </w:tcPr>
          <w:p w14:paraId="6C5A630C">
            <w:pPr>
              <w:widowControl w:val="0"/>
              <w:spacing w:before="60" w:after="60"/>
              <w:jc w:val="center"/>
              <w:rPr>
                <w:rFonts w:ascii="Times New Roman" w:hAnsi="Times New Roman" w:cs="Times New Roman"/>
                <w:color w:val="auto"/>
                <w:sz w:val="21"/>
                <w:lang w:eastAsia="zh-CN"/>
              </w:rPr>
            </w:pPr>
          </w:p>
        </w:tc>
      </w:tr>
      <w:tr w14:paraId="4C4EE87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709" w:type="pct"/>
            <w:vAlign w:val="center"/>
          </w:tcPr>
          <w:p w14:paraId="7E3ADFA9">
            <w:pPr>
              <w:jc w:val="center"/>
              <w:rPr>
                <w:rFonts w:ascii="Times New Roman" w:hAnsi="Times New Roman" w:cs="Times New Roman"/>
                <w:color w:val="auto"/>
                <w:sz w:val="21"/>
                <w:lang w:eastAsia="zh-CN"/>
              </w:rPr>
            </w:pPr>
            <w:r>
              <w:rPr>
                <w:rFonts w:ascii="Times New Roman" w:hAnsi="Times New Roman" w:cs="Times New Roman"/>
                <w:color w:val="auto"/>
                <w:sz w:val="21"/>
              </w:rPr>
              <w:t>D10</w:t>
            </w:r>
          </w:p>
        </w:tc>
        <w:tc>
          <w:tcPr>
            <w:tcW w:w="1647" w:type="pct"/>
            <w:vAlign w:val="center"/>
          </w:tcPr>
          <w:p w14:paraId="54F44B8C">
            <w:pPr>
              <w:widowControl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蚌埠阿迪亚新厂区</w:t>
            </w:r>
          </w:p>
        </w:tc>
        <w:tc>
          <w:tcPr>
            <w:tcW w:w="1644" w:type="pct"/>
            <w:vAlign w:val="center"/>
          </w:tcPr>
          <w:p w14:paraId="4C38444D">
            <w:pPr>
              <w:widowControl w:val="0"/>
              <w:spacing w:before="60" w:after="60"/>
              <w:jc w:val="center"/>
              <w:rPr>
                <w:rFonts w:ascii="Times New Roman" w:hAnsi="Times New Roman" w:cs="Times New Roman"/>
                <w:color w:val="auto"/>
                <w:sz w:val="21"/>
                <w:lang w:eastAsia="zh-CN"/>
              </w:rPr>
            </w:pPr>
          </w:p>
        </w:tc>
      </w:tr>
    </w:tbl>
    <w:p w14:paraId="0A39734E">
      <w:pPr>
        <w:spacing w:line="360" w:lineRule="auto"/>
        <w:ind w:firstLine="480" w:firstLineChars="200"/>
        <w:jc w:val="both"/>
        <w:rPr>
          <w:rFonts w:ascii="Times New Roman" w:hAnsi="Times New Roman" w:cs="Times New Roman"/>
          <w:b/>
          <w:bCs/>
          <w:color w:val="auto"/>
          <w:szCs w:val="24"/>
          <w:lang w:eastAsia="zh-CN"/>
        </w:rPr>
      </w:pPr>
      <w:r>
        <w:rPr>
          <w:rFonts w:ascii="Times New Roman" w:hAnsi="Times New Roman" w:cs="Times New Roman"/>
          <w:color w:val="auto"/>
          <w:szCs w:val="24"/>
          <w:lang w:eastAsia="zh-CN"/>
        </w:rPr>
        <w:t>八大离子及地下水水质检测及评价结果详见下表。</w:t>
      </w:r>
    </w:p>
    <w:p w14:paraId="590928CA">
      <w:pPr>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表5.2-1</w:t>
      </w:r>
      <w:r>
        <w:rPr>
          <w:rFonts w:hint="eastAsia" w:ascii="Times New Roman" w:hAnsi="Times New Roman" w:cs="Times New Roman"/>
          <w:b/>
          <w:bCs/>
          <w:color w:val="auto"/>
          <w:szCs w:val="24"/>
          <w:lang w:eastAsia="zh-CN"/>
        </w:rPr>
        <w:t>1</w:t>
      </w:r>
      <w:r>
        <w:rPr>
          <w:rFonts w:ascii="Times New Roman" w:hAnsi="Times New Roman" w:cs="Times New Roman"/>
          <w:b/>
          <w:bCs/>
          <w:color w:val="auto"/>
          <w:szCs w:val="24"/>
          <w:lang w:eastAsia="zh-CN"/>
        </w:rPr>
        <w:t xml:space="preserve">  离子检测结果一览表</w:t>
      </w:r>
    </w:p>
    <w:tbl>
      <w:tblPr>
        <w:tblStyle w:val="35"/>
        <w:tblW w:w="4993" w:type="pct"/>
        <w:tblInd w:w="0" w:type="dxa"/>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autofit"/>
        <w:tblCellMar>
          <w:top w:w="0" w:type="dxa"/>
          <w:left w:w="0" w:type="dxa"/>
          <w:bottom w:w="0" w:type="dxa"/>
          <w:right w:w="0" w:type="dxa"/>
        </w:tblCellMar>
      </w:tblPr>
      <w:tblGrid>
        <w:gridCol w:w="1455"/>
        <w:gridCol w:w="1018"/>
        <w:gridCol w:w="1018"/>
        <w:gridCol w:w="1018"/>
        <w:gridCol w:w="1018"/>
        <w:gridCol w:w="1018"/>
        <w:gridCol w:w="1019"/>
        <w:gridCol w:w="1019"/>
        <w:gridCol w:w="1043"/>
      </w:tblGrid>
      <w:tr w14:paraId="6D311C2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756" w:type="pct"/>
            <w:vMerge w:val="restart"/>
            <w:vAlign w:val="center"/>
          </w:tcPr>
          <w:p w14:paraId="4F6EA2BA">
            <w:pPr>
              <w:widowControl w:val="0"/>
              <w:spacing w:before="60" w:after="60"/>
              <w:jc w:val="center"/>
              <w:rPr>
                <w:rFonts w:ascii="Times New Roman" w:hAnsi="Times New Roman" w:cs="Times New Roman"/>
                <w:b/>
                <w:bCs/>
                <w:color w:val="auto"/>
                <w:sz w:val="21"/>
              </w:rPr>
            </w:pPr>
            <w:r>
              <w:rPr>
                <w:rFonts w:ascii="Times New Roman" w:hAnsi="Times New Roman" w:cs="Times New Roman"/>
                <w:b/>
                <w:bCs/>
                <w:color w:val="auto"/>
                <w:sz w:val="21"/>
              </w:rPr>
              <w:t>点位编号</w:t>
            </w:r>
          </w:p>
        </w:tc>
        <w:tc>
          <w:tcPr>
            <w:tcW w:w="4244" w:type="pct"/>
            <w:gridSpan w:val="8"/>
            <w:vAlign w:val="center"/>
          </w:tcPr>
          <w:p w14:paraId="62658F23">
            <w:pPr>
              <w:widowControl w:val="0"/>
              <w:spacing w:before="60" w:after="6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检测结果（mg/L，CO</w:t>
            </w:r>
            <w:r>
              <w:rPr>
                <w:rFonts w:ascii="Times New Roman" w:hAnsi="Times New Roman" w:cs="Times New Roman"/>
                <w:b/>
                <w:bCs/>
                <w:color w:val="auto"/>
                <w:sz w:val="21"/>
                <w:vertAlign w:val="subscript"/>
                <w:lang w:eastAsia="zh-CN"/>
              </w:rPr>
              <w:t>3</w:t>
            </w:r>
            <w:r>
              <w:rPr>
                <w:rFonts w:ascii="Times New Roman" w:hAnsi="Times New Roman" w:cs="Times New Roman"/>
                <w:b/>
                <w:bCs/>
                <w:color w:val="auto"/>
                <w:sz w:val="21"/>
                <w:vertAlign w:val="superscript"/>
                <w:lang w:eastAsia="zh-CN"/>
              </w:rPr>
              <w:t>2-</w:t>
            </w:r>
            <w:r>
              <w:rPr>
                <w:rFonts w:ascii="Times New Roman" w:hAnsi="Times New Roman" w:cs="Times New Roman"/>
                <w:b/>
                <w:bCs/>
                <w:color w:val="auto"/>
                <w:sz w:val="21"/>
                <w:lang w:eastAsia="zh-CN"/>
              </w:rPr>
              <w:t>和HCO</w:t>
            </w:r>
            <w:r>
              <w:rPr>
                <w:rFonts w:ascii="Times New Roman" w:hAnsi="Times New Roman" w:cs="Times New Roman"/>
                <w:b/>
                <w:bCs/>
                <w:color w:val="auto"/>
                <w:sz w:val="21"/>
                <w:vertAlign w:val="subscript"/>
                <w:lang w:eastAsia="zh-CN"/>
              </w:rPr>
              <w:t>3</w:t>
            </w:r>
            <w:r>
              <w:rPr>
                <w:rFonts w:ascii="Times New Roman" w:hAnsi="Times New Roman" w:cs="Times New Roman"/>
                <w:b/>
                <w:bCs/>
                <w:color w:val="auto"/>
                <w:sz w:val="21"/>
                <w:vertAlign w:val="superscript"/>
                <w:lang w:eastAsia="zh-CN"/>
              </w:rPr>
              <w:t>-</w:t>
            </w:r>
            <w:r>
              <w:rPr>
                <w:rFonts w:ascii="Times New Roman" w:hAnsi="Times New Roman" w:cs="Times New Roman"/>
                <w:b/>
                <w:bCs/>
                <w:color w:val="auto"/>
                <w:sz w:val="21"/>
                <w:lang w:eastAsia="zh-CN"/>
              </w:rPr>
              <w:t>以mol/L计）</w:t>
            </w:r>
          </w:p>
        </w:tc>
      </w:tr>
      <w:tr w14:paraId="1090017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756" w:type="pct"/>
            <w:vMerge w:val="continue"/>
            <w:vAlign w:val="center"/>
          </w:tcPr>
          <w:p w14:paraId="10133B8D">
            <w:pPr>
              <w:widowControl w:val="0"/>
              <w:spacing w:before="60" w:after="60"/>
              <w:jc w:val="center"/>
              <w:rPr>
                <w:rFonts w:ascii="Times New Roman" w:hAnsi="Times New Roman" w:cs="Times New Roman"/>
                <w:b/>
                <w:bCs/>
                <w:color w:val="auto"/>
                <w:sz w:val="21"/>
                <w:lang w:eastAsia="zh-CN"/>
              </w:rPr>
            </w:pPr>
          </w:p>
        </w:tc>
        <w:tc>
          <w:tcPr>
            <w:tcW w:w="529" w:type="pct"/>
            <w:vAlign w:val="center"/>
          </w:tcPr>
          <w:p w14:paraId="4CE04918">
            <w:pPr>
              <w:widowControl w:val="0"/>
              <w:spacing w:before="60" w:after="60"/>
              <w:jc w:val="center"/>
              <w:rPr>
                <w:rFonts w:ascii="Times New Roman" w:hAnsi="Times New Roman" w:cs="Times New Roman"/>
                <w:b/>
                <w:bCs/>
                <w:color w:val="auto"/>
                <w:sz w:val="21"/>
                <w:lang w:eastAsia="zh-CN"/>
              </w:rPr>
            </w:pPr>
            <w:r>
              <w:rPr>
                <w:rFonts w:ascii="Times New Roman" w:hAnsi="Times New Roman" w:cs="Times New Roman"/>
                <w:color w:val="auto"/>
                <w:sz w:val="21"/>
              </w:rPr>
              <w:t>K</w:t>
            </w:r>
            <w:r>
              <w:rPr>
                <w:rFonts w:ascii="Times New Roman" w:hAnsi="Times New Roman" w:cs="Times New Roman"/>
                <w:color w:val="auto"/>
                <w:sz w:val="21"/>
                <w:vertAlign w:val="superscript"/>
              </w:rPr>
              <w:t>+</w:t>
            </w:r>
          </w:p>
        </w:tc>
        <w:tc>
          <w:tcPr>
            <w:tcW w:w="529" w:type="pct"/>
            <w:vAlign w:val="center"/>
          </w:tcPr>
          <w:p w14:paraId="5360F263">
            <w:pPr>
              <w:widowControl w:val="0"/>
              <w:spacing w:before="60" w:after="60"/>
              <w:jc w:val="center"/>
              <w:rPr>
                <w:rFonts w:ascii="Times New Roman" w:hAnsi="Times New Roman" w:cs="Times New Roman"/>
                <w:b/>
                <w:bCs/>
                <w:color w:val="auto"/>
                <w:sz w:val="21"/>
                <w:lang w:eastAsia="zh-CN"/>
              </w:rPr>
            </w:pPr>
            <w:r>
              <w:rPr>
                <w:rFonts w:ascii="Times New Roman" w:hAnsi="Times New Roman" w:cs="Times New Roman"/>
                <w:color w:val="auto"/>
                <w:sz w:val="21"/>
              </w:rPr>
              <w:t>Na</w:t>
            </w:r>
            <w:r>
              <w:rPr>
                <w:rFonts w:ascii="Times New Roman" w:hAnsi="Times New Roman" w:cs="Times New Roman"/>
                <w:color w:val="auto"/>
                <w:sz w:val="21"/>
                <w:vertAlign w:val="superscript"/>
              </w:rPr>
              <w:t>+</w:t>
            </w:r>
          </w:p>
        </w:tc>
        <w:tc>
          <w:tcPr>
            <w:tcW w:w="529" w:type="pct"/>
            <w:vAlign w:val="center"/>
          </w:tcPr>
          <w:p w14:paraId="493FA38B">
            <w:pPr>
              <w:widowControl w:val="0"/>
              <w:spacing w:before="60" w:after="60"/>
              <w:jc w:val="center"/>
              <w:rPr>
                <w:rFonts w:ascii="Times New Roman" w:hAnsi="Times New Roman" w:cs="Times New Roman"/>
                <w:b/>
                <w:bCs/>
                <w:color w:val="auto"/>
                <w:sz w:val="21"/>
                <w:lang w:eastAsia="zh-CN"/>
              </w:rPr>
            </w:pPr>
            <w:r>
              <w:rPr>
                <w:rFonts w:ascii="Times New Roman" w:hAnsi="Times New Roman" w:cs="Times New Roman"/>
                <w:color w:val="auto"/>
                <w:sz w:val="21"/>
              </w:rPr>
              <w:t>Ca</w:t>
            </w:r>
            <w:r>
              <w:rPr>
                <w:rFonts w:ascii="Times New Roman" w:hAnsi="Times New Roman" w:cs="Times New Roman"/>
                <w:color w:val="auto"/>
                <w:sz w:val="21"/>
                <w:vertAlign w:val="superscript"/>
              </w:rPr>
              <w:t>2+</w:t>
            </w:r>
          </w:p>
        </w:tc>
        <w:tc>
          <w:tcPr>
            <w:tcW w:w="529" w:type="pct"/>
            <w:vAlign w:val="center"/>
          </w:tcPr>
          <w:p w14:paraId="2971F4B2">
            <w:pPr>
              <w:widowControl w:val="0"/>
              <w:spacing w:before="60" w:after="60"/>
              <w:jc w:val="center"/>
              <w:rPr>
                <w:rFonts w:ascii="Times New Roman" w:hAnsi="Times New Roman" w:cs="Times New Roman"/>
                <w:b/>
                <w:bCs/>
                <w:color w:val="auto"/>
                <w:sz w:val="21"/>
                <w:lang w:eastAsia="zh-CN"/>
              </w:rPr>
            </w:pPr>
            <w:r>
              <w:rPr>
                <w:rFonts w:ascii="Times New Roman" w:hAnsi="Times New Roman" w:cs="Times New Roman"/>
                <w:color w:val="auto"/>
                <w:sz w:val="21"/>
              </w:rPr>
              <w:t>Mg</w:t>
            </w:r>
            <w:r>
              <w:rPr>
                <w:rFonts w:ascii="Times New Roman" w:hAnsi="Times New Roman" w:cs="Times New Roman"/>
                <w:color w:val="auto"/>
                <w:sz w:val="21"/>
                <w:vertAlign w:val="superscript"/>
              </w:rPr>
              <w:t>2+</w:t>
            </w:r>
          </w:p>
        </w:tc>
        <w:tc>
          <w:tcPr>
            <w:tcW w:w="529" w:type="pct"/>
            <w:vAlign w:val="center"/>
          </w:tcPr>
          <w:p w14:paraId="13C52B68">
            <w:pPr>
              <w:widowControl w:val="0"/>
              <w:spacing w:before="60" w:after="60"/>
              <w:jc w:val="center"/>
              <w:rPr>
                <w:rFonts w:ascii="Times New Roman" w:hAnsi="Times New Roman" w:cs="Times New Roman"/>
                <w:b/>
                <w:bCs/>
                <w:color w:val="auto"/>
                <w:sz w:val="21"/>
                <w:lang w:eastAsia="zh-CN"/>
              </w:rPr>
            </w:pPr>
            <w:r>
              <w:rPr>
                <w:rFonts w:ascii="Times New Roman" w:hAnsi="Times New Roman" w:cs="Times New Roman"/>
                <w:color w:val="auto"/>
                <w:sz w:val="21"/>
              </w:rPr>
              <w:t>CO</w:t>
            </w:r>
            <w:r>
              <w:rPr>
                <w:rFonts w:ascii="Times New Roman" w:hAnsi="Times New Roman" w:cs="Times New Roman"/>
                <w:color w:val="auto"/>
                <w:sz w:val="21"/>
                <w:vertAlign w:val="subscript"/>
              </w:rPr>
              <w:t>3</w:t>
            </w:r>
            <w:r>
              <w:rPr>
                <w:rFonts w:ascii="Times New Roman" w:hAnsi="Times New Roman" w:cs="Times New Roman"/>
                <w:color w:val="auto"/>
                <w:sz w:val="21"/>
                <w:vertAlign w:val="superscript"/>
              </w:rPr>
              <w:t>2-</w:t>
            </w:r>
          </w:p>
        </w:tc>
        <w:tc>
          <w:tcPr>
            <w:tcW w:w="529" w:type="pct"/>
            <w:vAlign w:val="center"/>
          </w:tcPr>
          <w:p w14:paraId="0E1EE6FD">
            <w:pPr>
              <w:widowControl w:val="0"/>
              <w:spacing w:before="60" w:after="60"/>
              <w:jc w:val="center"/>
              <w:rPr>
                <w:rFonts w:ascii="Times New Roman" w:hAnsi="Times New Roman" w:cs="Times New Roman"/>
                <w:b/>
                <w:bCs/>
                <w:color w:val="auto"/>
                <w:sz w:val="21"/>
                <w:lang w:eastAsia="zh-CN"/>
              </w:rPr>
            </w:pPr>
            <w:r>
              <w:rPr>
                <w:rFonts w:ascii="Times New Roman" w:hAnsi="Times New Roman" w:cs="Times New Roman"/>
                <w:color w:val="auto"/>
                <w:sz w:val="21"/>
              </w:rPr>
              <w:t>HCO</w:t>
            </w:r>
            <w:r>
              <w:rPr>
                <w:rFonts w:ascii="Times New Roman" w:hAnsi="Times New Roman" w:cs="Times New Roman"/>
                <w:color w:val="auto"/>
                <w:sz w:val="21"/>
                <w:vertAlign w:val="subscript"/>
              </w:rPr>
              <w:t>3</w:t>
            </w:r>
            <w:r>
              <w:rPr>
                <w:rFonts w:ascii="Times New Roman" w:hAnsi="Times New Roman" w:cs="Times New Roman"/>
                <w:color w:val="auto"/>
                <w:sz w:val="21"/>
                <w:vertAlign w:val="superscript"/>
              </w:rPr>
              <w:t>-</w:t>
            </w:r>
          </w:p>
        </w:tc>
        <w:tc>
          <w:tcPr>
            <w:tcW w:w="529" w:type="pct"/>
            <w:vAlign w:val="center"/>
          </w:tcPr>
          <w:p w14:paraId="52901FD9">
            <w:pPr>
              <w:widowControl w:val="0"/>
              <w:spacing w:before="60" w:after="60"/>
              <w:jc w:val="center"/>
              <w:rPr>
                <w:rFonts w:ascii="Times New Roman" w:hAnsi="Times New Roman" w:cs="Times New Roman"/>
                <w:b/>
                <w:bCs/>
                <w:color w:val="auto"/>
                <w:sz w:val="21"/>
                <w:lang w:eastAsia="zh-CN"/>
              </w:rPr>
            </w:pPr>
            <w:r>
              <w:rPr>
                <w:rFonts w:ascii="Times New Roman" w:hAnsi="Times New Roman" w:cs="Times New Roman"/>
                <w:color w:val="auto"/>
                <w:sz w:val="21"/>
              </w:rPr>
              <w:t>Cl</w:t>
            </w:r>
            <w:r>
              <w:rPr>
                <w:rFonts w:ascii="Times New Roman" w:hAnsi="Times New Roman" w:cs="Times New Roman"/>
                <w:color w:val="auto"/>
                <w:sz w:val="21"/>
                <w:vertAlign w:val="superscript"/>
              </w:rPr>
              <w:t>-</w:t>
            </w:r>
          </w:p>
        </w:tc>
        <w:tc>
          <w:tcPr>
            <w:tcW w:w="541" w:type="pct"/>
            <w:vAlign w:val="center"/>
          </w:tcPr>
          <w:p w14:paraId="7E229A8D">
            <w:pPr>
              <w:widowControl w:val="0"/>
              <w:spacing w:before="60" w:after="60"/>
              <w:jc w:val="center"/>
              <w:rPr>
                <w:rFonts w:ascii="Times New Roman" w:hAnsi="Times New Roman" w:cs="Times New Roman"/>
                <w:b/>
                <w:bCs/>
                <w:color w:val="auto"/>
                <w:sz w:val="21"/>
                <w:lang w:eastAsia="zh-CN"/>
              </w:rPr>
            </w:pPr>
            <w:r>
              <w:rPr>
                <w:rFonts w:ascii="Times New Roman" w:hAnsi="Times New Roman" w:cs="Times New Roman"/>
                <w:color w:val="auto"/>
                <w:sz w:val="21"/>
              </w:rPr>
              <w:t>SO</w:t>
            </w:r>
            <w:r>
              <w:rPr>
                <w:rFonts w:ascii="Times New Roman" w:hAnsi="Times New Roman" w:cs="Times New Roman"/>
                <w:color w:val="auto"/>
                <w:sz w:val="21"/>
                <w:vertAlign w:val="subscript"/>
              </w:rPr>
              <w:t>4</w:t>
            </w:r>
            <w:r>
              <w:rPr>
                <w:rFonts w:ascii="Times New Roman" w:hAnsi="Times New Roman" w:cs="Times New Roman"/>
                <w:color w:val="auto"/>
                <w:sz w:val="21"/>
                <w:vertAlign w:val="superscript"/>
              </w:rPr>
              <w:t>2-</w:t>
            </w:r>
          </w:p>
        </w:tc>
      </w:tr>
      <w:tr w14:paraId="52D02E8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756" w:type="pct"/>
            <w:vAlign w:val="center"/>
          </w:tcPr>
          <w:p w14:paraId="7F942D61">
            <w:pPr>
              <w:widowControl w:val="0"/>
              <w:spacing w:before="60" w:after="60"/>
              <w:jc w:val="center"/>
              <w:rPr>
                <w:rFonts w:ascii="Times New Roman" w:hAnsi="Times New Roman" w:cs="Times New Roman"/>
                <w:b/>
                <w:bCs/>
                <w:color w:val="auto"/>
                <w:sz w:val="21"/>
                <w:lang w:eastAsia="zh-CN"/>
              </w:rPr>
            </w:pPr>
            <w:r>
              <w:rPr>
                <w:rFonts w:ascii="Times New Roman" w:hAnsi="Times New Roman" w:cs="Times New Roman"/>
                <w:color w:val="auto"/>
                <w:sz w:val="21"/>
              </w:rPr>
              <w:t>D</w:t>
            </w:r>
            <w:r>
              <w:rPr>
                <w:rFonts w:hint="eastAsia" w:ascii="Times New Roman" w:hAnsi="Times New Roman" w:cs="Times New Roman"/>
                <w:color w:val="auto"/>
                <w:sz w:val="21"/>
                <w:lang w:eastAsia="zh-CN"/>
              </w:rPr>
              <w:t>1</w:t>
            </w:r>
          </w:p>
        </w:tc>
        <w:tc>
          <w:tcPr>
            <w:tcW w:w="529" w:type="pct"/>
            <w:vAlign w:val="center"/>
          </w:tcPr>
          <w:p w14:paraId="729DE091">
            <w:pPr>
              <w:widowControl w:val="0"/>
              <w:spacing w:before="60" w:after="60"/>
              <w:jc w:val="center"/>
              <w:rPr>
                <w:rFonts w:ascii="Times New Roman" w:hAnsi="Times New Roman" w:cs="Times New Roman"/>
                <w:color w:val="auto"/>
                <w:sz w:val="21"/>
                <w:lang w:eastAsia="zh-CN"/>
              </w:rPr>
            </w:pPr>
          </w:p>
        </w:tc>
        <w:tc>
          <w:tcPr>
            <w:tcW w:w="529" w:type="pct"/>
            <w:vAlign w:val="center"/>
          </w:tcPr>
          <w:p w14:paraId="2DBCFE1B">
            <w:pPr>
              <w:widowControl w:val="0"/>
              <w:spacing w:before="60" w:after="60"/>
              <w:jc w:val="center"/>
              <w:rPr>
                <w:rFonts w:ascii="Times New Roman" w:hAnsi="Times New Roman" w:cs="Times New Roman"/>
                <w:color w:val="auto"/>
                <w:sz w:val="21"/>
                <w:lang w:eastAsia="zh-CN"/>
              </w:rPr>
            </w:pPr>
          </w:p>
        </w:tc>
        <w:tc>
          <w:tcPr>
            <w:tcW w:w="529" w:type="pct"/>
            <w:vAlign w:val="center"/>
          </w:tcPr>
          <w:p w14:paraId="466D2D25">
            <w:pPr>
              <w:widowControl w:val="0"/>
              <w:spacing w:before="60" w:after="60"/>
              <w:jc w:val="center"/>
              <w:rPr>
                <w:rFonts w:ascii="Times New Roman" w:hAnsi="Times New Roman" w:cs="Times New Roman"/>
                <w:color w:val="auto"/>
                <w:sz w:val="21"/>
                <w:lang w:eastAsia="zh-CN"/>
              </w:rPr>
            </w:pPr>
          </w:p>
        </w:tc>
        <w:tc>
          <w:tcPr>
            <w:tcW w:w="529" w:type="pct"/>
            <w:vAlign w:val="center"/>
          </w:tcPr>
          <w:p w14:paraId="6569CE63">
            <w:pPr>
              <w:widowControl w:val="0"/>
              <w:spacing w:before="60" w:after="60"/>
              <w:jc w:val="center"/>
              <w:rPr>
                <w:rFonts w:ascii="Times New Roman" w:hAnsi="Times New Roman" w:cs="Times New Roman"/>
                <w:color w:val="auto"/>
                <w:sz w:val="21"/>
                <w:lang w:eastAsia="zh-CN"/>
              </w:rPr>
            </w:pPr>
          </w:p>
        </w:tc>
        <w:tc>
          <w:tcPr>
            <w:tcW w:w="529" w:type="pct"/>
            <w:vAlign w:val="center"/>
          </w:tcPr>
          <w:p w14:paraId="271FA606">
            <w:pPr>
              <w:widowControl w:val="0"/>
              <w:spacing w:before="60" w:after="60"/>
              <w:jc w:val="center"/>
              <w:rPr>
                <w:rFonts w:ascii="Times New Roman" w:hAnsi="Times New Roman" w:cs="Times New Roman"/>
                <w:color w:val="auto"/>
                <w:sz w:val="21"/>
                <w:lang w:eastAsia="zh-CN"/>
              </w:rPr>
            </w:pPr>
          </w:p>
        </w:tc>
        <w:tc>
          <w:tcPr>
            <w:tcW w:w="529" w:type="pct"/>
            <w:vAlign w:val="center"/>
          </w:tcPr>
          <w:p w14:paraId="043109E7">
            <w:pPr>
              <w:widowControl w:val="0"/>
              <w:spacing w:before="60" w:after="60"/>
              <w:jc w:val="center"/>
              <w:rPr>
                <w:rFonts w:ascii="Times New Roman" w:hAnsi="Times New Roman" w:cs="Times New Roman"/>
                <w:color w:val="auto"/>
                <w:sz w:val="21"/>
                <w:lang w:eastAsia="zh-CN"/>
              </w:rPr>
            </w:pPr>
          </w:p>
        </w:tc>
        <w:tc>
          <w:tcPr>
            <w:tcW w:w="529" w:type="pct"/>
            <w:vAlign w:val="center"/>
          </w:tcPr>
          <w:p w14:paraId="68558E99">
            <w:pPr>
              <w:widowControl w:val="0"/>
              <w:spacing w:before="60" w:after="60"/>
              <w:jc w:val="center"/>
              <w:rPr>
                <w:rFonts w:ascii="Times New Roman" w:hAnsi="Times New Roman" w:cs="Times New Roman"/>
                <w:color w:val="auto"/>
                <w:sz w:val="21"/>
                <w:lang w:eastAsia="zh-CN"/>
              </w:rPr>
            </w:pPr>
          </w:p>
        </w:tc>
        <w:tc>
          <w:tcPr>
            <w:tcW w:w="541" w:type="pct"/>
            <w:vAlign w:val="center"/>
          </w:tcPr>
          <w:p w14:paraId="354C7FD0">
            <w:pPr>
              <w:widowControl w:val="0"/>
              <w:spacing w:before="60" w:after="60"/>
              <w:jc w:val="center"/>
              <w:rPr>
                <w:rFonts w:ascii="Times New Roman" w:hAnsi="Times New Roman" w:cs="Times New Roman"/>
                <w:color w:val="auto"/>
                <w:sz w:val="21"/>
                <w:lang w:eastAsia="zh-CN"/>
              </w:rPr>
            </w:pPr>
          </w:p>
        </w:tc>
      </w:tr>
      <w:tr w14:paraId="16F8249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756" w:type="pct"/>
            <w:vAlign w:val="center"/>
          </w:tcPr>
          <w:p w14:paraId="17967E7D">
            <w:pPr>
              <w:widowControl w:val="0"/>
              <w:spacing w:before="60" w:after="6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D2</w:t>
            </w:r>
          </w:p>
        </w:tc>
        <w:tc>
          <w:tcPr>
            <w:tcW w:w="529" w:type="pct"/>
            <w:vAlign w:val="center"/>
          </w:tcPr>
          <w:p w14:paraId="037F3BC9">
            <w:pPr>
              <w:widowControl w:val="0"/>
              <w:spacing w:before="60" w:after="60"/>
              <w:jc w:val="center"/>
              <w:rPr>
                <w:rFonts w:ascii="Times New Roman" w:hAnsi="Times New Roman" w:cs="Times New Roman"/>
                <w:color w:val="auto"/>
                <w:sz w:val="21"/>
                <w:lang w:eastAsia="zh-CN"/>
              </w:rPr>
            </w:pPr>
          </w:p>
        </w:tc>
        <w:tc>
          <w:tcPr>
            <w:tcW w:w="529" w:type="pct"/>
            <w:vAlign w:val="center"/>
          </w:tcPr>
          <w:p w14:paraId="43252E3D">
            <w:pPr>
              <w:widowControl w:val="0"/>
              <w:spacing w:before="60" w:after="60"/>
              <w:jc w:val="center"/>
              <w:rPr>
                <w:rFonts w:ascii="Times New Roman" w:hAnsi="Times New Roman" w:cs="Times New Roman"/>
                <w:color w:val="auto"/>
                <w:sz w:val="21"/>
                <w:lang w:eastAsia="zh-CN"/>
              </w:rPr>
            </w:pPr>
          </w:p>
        </w:tc>
        <w:tc>
          <w:tcPr>
            <w:tcW w:w="529" w:type="pct"/>
            <w:vAlign w:val="center"/>
          </w:tcPr>
          <w:p w14:paraId="046BB80D">
            <w:pPr>
              <w:widowControl w:val="0"/>
              <w:spacing w:before="60" w:after="60"/>
              <w:jc w:val="center"/>
              <w:rPr>
                <w:rFonts w:ascii="Times New Roman" w:hAnsi="Times New Roman" w:cs="Times New Roman"/>
                <w:color w:val="auto"/>
                <w:sz w:val="21"/>
                <w:lang w:eastAsia="zh-CN"/>
              </w:rPr>
            </w:pPr>
          </w:p>
        </w:tc>
        <w:tc>
          <w:tcPr>
            <w:tcW w:w="529" w:type="pct"/>
            <w:vAlign w:val="center"/>
          </w:tcPr>
          <w:p w14:paraId="33806EB0">
            <w:pPr>
              <w:widowControl w:val="0"/>
              <w:spacing w:before="60" w:after="60"/>
              <w:jc w:val="center"/>
              <w:rPr>
                <w:rFonts w:ascii="Times New Roman" w:hAnsi="Times New Roman" w:cs="Times New Roman"/>
                <w:color w:val="auto"/>
                <w:sz w:val="21"/>
                <w:lang w:eastAsia="zh-CN"/>
              </w:rPr>
            </w:pPr>
          </w:p>
        </w:tc>
        <w:tc>
          <w:tcPr>
            <w:tcW w:w="529" w:type="pct"/>
          </w:tcPr>
          <w:p w14:paraId="612336F8">
            <w:pPr>
              <w:widowControl w:val="0"/>
              <w:spacing w:before="60" w:after="60"/>
              <w:jc w:val="center"/>
              <w:rPr>
                <w:rFonts w:ascii="Times New Roman" w:hAnsi="Times New Roman" w:cs="Times New Roman"/>
                <w:color w:val="auto"/>
                <w:sz w:val="21"/>
                <w:lang w:eastAsia="zh-CN"/>
              </w:rPr>
            </w:pPr>
          </w:p>
        </w:tc>
        <w:tc>
          <w:tcPr>
            <w:tcW w:w="529" w:type="pct"/>
            <w:vAlign w:val="center"/>
          </w:tcPr>
          <w:p w14:paraId="1F00AA8D">
            <w:pPr>
              <w:widowControl w:val="0"/>
              <w:spacing w:before="60" w:after="60"/>
              <w:jc w:val="center"/>
              <w:rPr>
                <w:rFonts w:ascii="Times New Roman" w:hAnsi="Times New Roman" w:cs="Times New Roman"/>
                <w:color w:val="auto"/>
                <w:sz w:val="21"/>
                <w:lang w:eastAsia="zh-CN"/>
              </w:rPr>
            </w:pPr>
          </w:p>
        </w:tc>
        <w:tc>
          <w:tcPr>
            <w:tcW w:w="529" w:type="pct"/>
            <w:vAlign w:val="center"/>
          </w:tcPr>
          <w:p w14:paraId="779BB09F">
            <w:pPr>
              <w:widowControl w:val="0"/>
              <w:spacing w:before="60" w:after="60"/>
              <w:jc w:val="center"/>
              <w:rPr>
                <w:rFonts w:ascii="Times New Roman" w:hAnsi="Times New Roman" w:cs="Times New Roman"/>
                <w:color w:val="auto"/>
                <w:sz w:val="21"/>
                <w:lang w:eastAsia="zh-CN"/>
              </w:rPr>
            </w:pPr>
          </w:p>
        </w:tc>
        <w:tc>
          <w:tcPr>
            <w:tcW w:w="541" w:type="pct"/>
            <w:vAlign w:val="center"/>
          </w:tcPr>
          <w:p w14:paraId="2AD3B5F4">
            <w:pPr>
              <w:widowControl w:val="0"/>
              <w:spacing w:before="60" w:after="60"/>
              <w:jc w:val="center"/>
              <w:rPr>
                <w:rFonts w:ascii="Times New Roman" w:hAnsi="Times New Roman" w:cs="Times New Roman"/>
                <w:color w:val="auto"/>
                <w:sz w:val="21"/>
                <w:lang w:eastAsia="zh-CN"/>
              </w:rPr>
            </w:pPr>
          </w:p>
        </w:tc>
      </w:tr>
      <w:tr w14:paraId="0146E4B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756" w:type="pct"/>
            <w:vAlign w:val="center"/>
          </w:tcPr>
          <w:p w14:paraId="48A06B41">
            <w:pPr>
              <w:jc w:val="center"/>
              <w:rPr>
                <w:rFonts w:ascii="Times New Roman" w:hAnsi="Times New Roman" w:cs="Times New Roman"/>
                <w:b/>
                <w:bCs/>
                <w:color w:val="auto"/>
                <w:sz w:val="21"/>
                <w:lang w:eastAsia="zh-CN"/>
              </w:rPr>
            </w:pPr>
            <w:r>
              <w:rPr>
                <w:rFonts w:ascii="Times New Roman" w:hAnsi="Times New Roman" w:cs="Times New Roman"/>
                <w:color w:val="auto"/>
                <w:sz w:val="21"/>
              </w:rPr>
              <w:t>D</w:t>
            </w:r>
            <w:r>
              <w:rPr>
                <w:rFonts w:hint="eastAsia" w:ascii="Times New Roman" w:hAnsi="Times New Roman" w:cs="Times New Roman"/>
                <w:color w:val="auto"/>
                <w:sz w:val="21"/>
                <w:lang w:eastAsia="zh-CN"/>
              </w:rPr>
              <w:t>3</w:t>
            </w:r>
          </w:p>
        </w:tc>
        <w:tc>
          <w:tcPr>
            <w:tcW w:w="529" w:type="pct"/>
            <w:vAlign w:val="center"/>
          </w:tcPr>
          <w:p w14:paraId="4D3F7182">
            <w:pPr>
              <w:widowControl w:val="0"/>
              <w:spacing w:before="60" w:after="60"/>
              <w:jc w:val="center"/>
              <w:rPr>
                <w:rFonts w:ascii="Times New Roman" w:hAnsi="Times New Roman" w:cs="Times New Roman"/>
                <w:color w:val="auto"/>
                <w:sz w:val="21"/>
                <w:lang w:eastAsia="zh-CN"/>
              </w:rPr>
            </w:pPr>
          </w:p>
        </w:tc>
        <w:tc>
          <w:tcPr>
            <w:tcW w:w="529" w:type="pct"/>
            <w:vAlign w:val="center"/>
          </w:tcPr>
          <w:p w14:paraId="15F25A5A">
            <w:pPr>
              <w:widowControl w:val="0"/>
              <w:spacing w:before="60" w:after="60"/>
              <w:jc w:val="center"/>
              <w:rPr>
                <w:rFonts w:ascii="Times New Roman" w:hAnsi="Times New Roman" w:cs="Times New Roman"/>
                <w:color w:val="auto"/>
                <w:sz w:val="21"/>
                <w:lang w:eastAsia="zh-CN"/>
              </w:rPr>
            </w:pPr>
          </w:p>
        </w:tc>
        <w:tc>
          <w:tcPr>
            <w:tcW w:w="529" w:type="pct"/>
            <w:vAlign w:val="center"/>
          </w:tcPr>
          <w:p w14:paraId="0D80E52C">
            <w:pPr>
              <w:widowControl w:val="0"/>
              <w:spacing w:before="60" w:after="60"/>
              <w:jc w:val="center"/>
              <w:rPr>
                <w:rFonts w:ascii="Times New Roman" w:hAnsi="Times New Roman" w:cs="Times New Roman"/>
                <w:color w:val="auto"/>
                <w:sz w:val="21"/>
                <w:lang w:eastAsia="zh-CN"/>
              </w:rPr>
            </w:pPr>
          </w:p>
        </w:tc>
        <w:tc>
          <w:tcPr>
            <w:tcW w:w="529" w:type="pct"/>
            <w:vAlign w:val="center"/>
          </w:tcPr>
          <w:p w14:paraId="24E47E7C">
            <w:pPr>
              <w:widowControl w:val="0"/>
              <w:spacing w:before="60" w:after="60"/>
              <w:jc w:val="center"/>
              <w:rPr>
                <w:rFonts w:ascii="Times New Roman" w:hAnsi="Times New Roman" w:cs="Times New Roman"/>
                <w:color w:val="auto"/>
                <w:sz w:val="21"/>
                <w:lang w:eastAsia="zh-CN"/>
              </w:rPr>
            </w:pPr>
          </w:p>
        </w:tc>
        <w:tc>
          <w:tcPr>
            <w:tcW w:w="529" w:type="pct"/>
            <w:vAlign w:val="center"/>
          </w:tcPr>
          <w:p w14:paraId="6CD5290B">
            <w:pPr>
              <w:widowControl w:val="0"/>
              <w:spacing w:before="60" w:after="60"/>
              <w:jc w:val="center"/>
              <w:rPr>
                <w:rFonts w:ascii="Times New Roman" w:hAnsi="Times New Roman" w:cs="Times New Roman"/>
                <w:color w:val="auto"/>
                <w:sz w:val="21"/>
                <w:lang w:eastAsia="zh-CN"/>
              </w:rPr>
            </w:pPr>
          </w:p>
        </w:tc>
        <w:tc>
          <w:tcPr>
            <w:tcW w:w="529" w:type="pct"/>
            <w:vAlign w:val="center"/>
          </w:tcPr>
          <w:p w14:paraId="48948E92">
            <w:pPr>
              <w:widowControl w:val="0"/>
              <w:spacing w:before="60" w:after="60"/>
              <w:jc w:val="center"/>
              <w:rPr>
                <w:rFonts w:ascii="Times New Roman" w:hAnsi="Times New Roman" w:cs="Times New Roman"/>
                <w:color w:val="auto"/>
                <w:sz w:val="21"/>
                <w:lang w:eastAsia="zh-CN"/>
              </w:rPr>
            </w:pPr>
          </w:p>
        </w:tc>
        <w:tc>
          <w:tcPr>
            <w:tcW w:w="529" w:type="pct"/>
            <w:vAlign w:val="center"/>
          </w:tcPr>
          <w:p w14:paraId="062E4F62">
            <w:pPr>
              <w:widowControl w:val="0"/>
              <w:spacing w:before="60" w:after="60"/>
              <w:jc w:val="center"/>
              <w:rPr>
                <w:rFonts w:ascii="Times New Roman" w:hAnsi="Times New Roman" w:cs="Times New Roman"/>
                <w:color w:val="auto"/>
                <w:sz w:val="21"/>
                <w:lang w:eastAsia="zh-CN"/>
              </w:rPr>
            </w:pPr>
          </w:p>
        </w:tc>
        <w:tc>
          <w:tcPr>
            <w:tcW w:w="541" w:type="pct"/>
            <w:vAlign w:val="center"/>
          </w:tcPr>
          <w:p w14:paraId="39A81BFF">
            <w:pPr>
              <w:widowControl w:val="0"/>
              <w:spacing w:before="60" w:after="60"/>
              <w:jc w:val="center"/>
              <w:rPr>
                <w:rFonts w:ascii="Times New Roman" w:hAnsi="Times New Roman" w:cs="Times New Roman"/>
                <w:color w:val="auto"/>
                <w:sz w:val="21"/>
                <w:lang w:eastAsia="zh-CN"/>
              </w:rPr>
            </w:pPr>
          </w:p>
        </w:tc>
      </w:tr>
      <w:tr w14:paraId="46C0A81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756" w:type="pct"/>
            <w:vAlign w:val="center"/>
          </w:tcPr>
          <w:p w14:paraId="17C153F1">
            <w:pPr>
              <w:jc w:val="center"/>
              <w:rPr>
                <w:rFonts w:ascii="Times New Roman" w:hAnsi="Times New Roman" w:cs="Times New Roman"/>
                <w:b/>
                <w:bCs/>
                <w:color w:val="auto"/>
                <w:sz w:val="21"/>
              </w:rPr>
            </w:pPr>
            <w:r>
              <w:rPr>
                <w:rFonts w:ascii="Times New Roman" w:hAnsi="Times New Roman" w:cs="Times New Roman"/>
                <w:color w:val="auto"/>
                <w:sz w:val="21"/>
              </w:rPr>
              <w:t>D</w:t>
            </w:r>
            <w:r>
              <w:rPr>
                <w:rFonts w:ascii="Times New Roman" w:hAnsi="Times New Roman" w:cs="Times New Roman"/>
                <w:color w:val="auto"/>
                <w:sz w:val="21"/>
                <w:lang w:eastAsia="zh-CN"/>
              </w:rPr>
              <w:t>4</w:t>
            </w:r>
          </w:p>
        </w:tc>
        <w:tc>
          <w:tcPr>
            <w:tcW w:w="529" w:type="pct"/>
            <w:vAlign w:val="center"/>
          </w:tcPr>
          <w:p w14:paraId="6EBE0A02">
            <w:pPr>
              <w:widowControl w:val="0"/>
              <w:spacing w:before="60" w:after="60"/>
              <w:jc w:val="center"/>
              <w:rPr>
                <w:rFonts w:ascii="Times New Roman" w:hAnsi="Times New Roman" w:cs="Times New Roman"/>
                <w:color w:val="auto"/>
                <w:sz w:val="21"/>
                <w:lang w:eastAsia="zh-CN"/>
              </w:rPr>
            </w:pPr>
          </w:p>
        </w:tc>
        <w:tc>
          <w:tcPr>
            <w:tcW w:w="529" w:type="pct"/>
            <w:vAlign w:val="center"/>
          </w:tcPr>
          <w:p w14:paraId="0B92E2AE">
            <w:pPr>
              <w:widowControl w:val="0"/>
              <w:spacing w:before="60" w:after="60"/>
              <w:jc w:val="center"/>
              <w:rPr>
                <w:rFonts w:ascii="Times New Roman" w:hAnsi="Times New Roman" w:cs="Times New Roman"/>
                <w:color w:val="auto"/>
                <w:sz w:val="21"/>
                <w:lang w:eastAsia="zh-CN"/>
              </w:rPr>
            </w:pPr>
          </w:p>
        </w:tc>
        <w:tc>
          <w:tcPr>
            <w:tcW w:w="529" w:type="pct"/>
            <w:vAlign w:val="center"/>
          </w:tcPr>
          <w:p w14:paraId="1D0EF751">
            <w:pPr>
              <w:widowControl w:val="0"/>
              <w:spacing w:before="60" w:after="60"/>
              <w:jc w:val="center"/>
              <w:rPr>
                <w:rFonts w:ascii="Times New Roman" w:hAnsi="Times New Roman" w:cs="Times New Roman"/>
                <w:color w:val="auto"/>
                <w:sz w:val="21"/>
                <w:lang w:eastAsia="zh-CN"/>
              </w:rPr>
            </w:pPr>
          </w:p>
        </w:tc>
        <w:tc>
          <w:tcPr>
            <w:tcW w:w="529" w:type="pct"/>
            <w:vAlign w:val="center"/>
          </w:tcPr>
          <w:p w14:paraId="6232AA8D">
            <w:pPr>
              <w:widowControl w:val="0"/>
              <w:spacing w:before="60" w:after="60"/>
              <w:jc w:val="center"/>
              <w:rPr>
                <w:rFonts w:ascii="Times New Roman" w:hAnsi="Times New Roman" w:cs="Times New Roman"/>
                <w:color w:val="auto"/>
                <w:sz w:val="21"/>
                <w:lang w:eastAsia="zh-CN"/>
              </w:rPr>
            </w:pPr>
          </w:p>
        </w:tc>
        <w:tc>
          <w:tcPr>
            <w:tcW w:w="529" w:type="pct"/>
          </w:tcPr>
          <w:p w14:paraId="4CC5D20B">
            <w:pPr>
              <w:widowControl w:val="0"/>
              <w:spacing w:before="60" w:after="60"/>
              <w:jc w:val="center"/>
              <w:rPr>
                <w:rFonts w:ascii="Times New Roman" w:hAnsi="Times New Roman" w:cs="Times New Roman"/>
                <w:color w:val="auto"/>
                <w:sz w:val="21"/>
                <w:lang w:eastAsia="zh-CN"/>
              </w:rPr>
            </w:pPr>
          </w:p>
        </w:tc>
        <w:tc>
          <w:tcPr>
            <w:tcW w:w="529" w:type="pct"/>
            <w:vAlign w:val="center"/>
          </w:tcPr>
          <w:p w14:paraId="5C17BC46">
            <w:pPr>
              <w:widowControl w:val="0"/>
              <w:spacing w:before="60" w:after="60"/>
              <w:jc w:val="center"/>
              <w:rPr>
                <w:rFonts w:ascii="Times New Roman" w:hAnsi="Times New Roman" w:cs="Times New Roman"/>
                <w:color w:val="auto"/>
                <w:sz w:val="21"/>
                <w:lang w:eastAsia="zh-CN"/>
              </w:rPr>
            </w:pPr>
          </w:p>
        </w:tc>
        <w:tc>
          <w:tcPr>
            <w:tcW w:w="529" w:type="pct"/>
            <w:vAlign w:val="center"/>
          </w:tcPr>
          <w:p w14:paraId="159E9FD3">
            <w:pPr>
              <w:widowControl w:val="0"/>
              <w:spacing w:before="60" w:after="60"/>
              <w:jc w:val="center"/>
              <w:rPr>
                <w:rFonts w:ascii="Times New Roman" w:hAnsi="Times New Roman" w:cs="Times New Roman"/>
                <w:color w:val="auto"/>
                <w:sz w:val="21"/>
                <w:lang w:eastAsia="zh-CN"/>
              </w:rPr>
            </w:pPr>
          </w:p>
        </w:tc>
        <w:tc>
          <w:tcPr>
            <w:tcW w:w="541" w:type="pct"/>
            <w:vAlign w:val="center"/>
          </w:tcPr>
          <w:p w14:paraId="016625B1">
            <w:pPr>
              <w:widowControl w:val="0"/>
              <w:spacing w:before="60" w:after="60"/>
              <w:jc w:val="center"/>
              <w:rPr>
                <w:rFonts w:ascii="Times New Roman" w:hAnsi="Times New Roman" w:cs="Times New Roman"/>
                <w:color w:val="auto"/>
                <w:sz w:val="21"/>
                <w:lang w:eastAsia="zh-CN"/>
              </w:rPr>
            </w:pPr>
          </w:p>
        </w:tc>
      </w:tr>
      <w:tr w14:paraId="75C046C1">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756" w:type="pct"/>
            <w:vAlign w:val="center"/>
          </w:tcPr>
          <w:p w14:paraId="67FCEA9F">
            <w:pPr>
              <w:jc w:val="center"/>
              <w:rPr>
                <w:rFonts w:ascii="Times New Roman" w:hAnsi="Times New Roman" w:cs="Times New Roman"/>
                <w:b/>
                <w:bCs/>
                <w:color w:val="auto"/>
                <w:sz w:val="21"/>
              </w:rPr>
            </w:pPr>
            <w:r>
              <w:rPr>
                <w:rFonts w:ascii="Times New Roman" w:hAnsi="Times New Roman" w:cs="Times New Roman"/>
                <w:color w:val="auto"/>
                <w:sz w:val="21"/>
              </w:rPr>
              <w:t>D5</w:t>
            </w:r>
          </w:p>
        </w:tc>
        <w:tc>
          <w:tcPr>
            <w:tcW w:w="529" w:type="pct"/>
            <w:vAlign w:val="center"/>
          </w:tcPr>
          <w:p w14:paraId="6CC1B585">
            <w:pPr>
              <w:widowControl w:val="0"/>
              <w:spacing w:before="60" w:after="60"/>
              <w:jc w:val="center"/>
              <w:rPr>
                <w:rFonts w:ascii="Times New Roman" w:hAnsi="Times New Roman" w:cs="Times New Roman"/>
                <w:color w:val="auto"/>
                <w:sz w:val="21"/>
                <w:lang w:eastAsia="zh-CN"/>
              </w:rPr>
            </w:pPr>
          </w:p>
        </w:tc>
        <w:tc>
          <w:tcPr>
            <w:tcW w:w="529" w:type="pct"/>
            <w:vAlign w:val="center"/>
          </w:tcPr>
          <w:p w14:paraId="5E5D8E66">
            <w:pPr>
              <w:widowControl w:val="0"/>
              <w:spacing w:before="60" w:after="60"/>
              <w:jc w:val="center"/>
              <w:rPr>
                <w:rFonts w:ascii="Times New Roman" w:hAnsi="Times New Roman" w:cs="Times New Roman"/>
                <w:color w:val="auto"/>
                <w:sz w:val="21"/>
                <w:lang w:eastAsia="zh-CN"/>
              </w:rPr>
            </w:pPr>
          </w:p>
        </w:tc>
        <w:tc>
          <w:tcPr>
            <w:tcW w:w="529" w:type="pct"/>
            <w:vAlign w:val="center"/>
          </w:tcPr>
          <w:p w14:paraId="462CCC3A">
            <w:pPr>
              <w:widowControl w:val="0"/>
              <w:spacing w:before="60" w:after="60"/>
              <w:jc w:val="center"/>
              <w:rPr>
                <w:rFonts w:ascii="Times New Roman" w:hAnsi="Times New Roman" w:cs="Times New Roman"/>
                <w:color w:val="auto"/>
                <w:sz w:val="21"/>
                <w:lang w:eastAsia="zh-CN"/>
              </w:rPr>
            </w:pPr>
          </w:p>
        </w:tc>
        <w:tc>
          <w:tcPr>
            <w:tcW w:w="529" w:type="pct"/>
            <w:vAlign w:val="center"/>
          </w:tcPr>
          <w:p w14:paraId="3FA3997F">
            <w:pPr>
              <w:widowControl w:val="0"/>
              <w:spacing w:before="60" w:after="60"/>
              <w:jc w:val="center"/>
              <w:rPr>
                <w:rFonts w:ascii="Times New Roman" w:hAnsi="Times New Roman" w:cs="Times New Roman"/>
                <w:color w:val="auto"/>
                <w:sz w:val="21"/>
                <w:lang w:eastAsia="zh-CN"/>
              </w:rPr>
            </w:pPr>
          </w:p>
        </w:tc>
        <w:tc>
          <w:tcPr>
            <w:tcW w:w="529" w:type="pct"/>
            <w:vAlign w:val="center"/>
          </w:tcPr>
          <w:p w14:paraId="02448178">
            <w:pPr>
              <w:widowControl w:val="0"/>
              <w:spacing w:before="60" w:after="60"/>
              <w:jc w:val="center"/>
              <w:rPr>
                <w:rFonts w:ascii="Times New Roman" w:hAnsi="Times New Roman" w:cs="Times New Roman"/>
                <w:color w:val="auto"/>
                <w:sz w:val="21"/>
                <w:lang w:eastAsia="zh-CN"/>
              </w:rPr>
            </w:pPr>
          </w:p>
        </w:tc>
        <w:tc>
          <w:tcPr>
            <w:tcW w:w="529" w:type="pct"/>
            <w:vAlign w:val="center"/>
          </w:tcPr>
          <w:p w14:paraId="19279464">
            <w:pPr>
              <w:widowControl w:val="0"/>
              <w:spacing w:before="60" w:after="60"/>
              <w:jc w:val="center"/>
              <w:rPr>
                <w:rFonts w:ascii="Times New Roman" w:hAnsi="Times New Roman" w:cs="Times New Roman"/>
                <w:color w:val="auto"/>
                <w:sz w:val="21"/>
                <w:lang w:eastAsia="zh-CN"/>
              </w:rPr>
            </w:pPr>
          </w:p>
        </w:tc>
        <w:tc>
          <w:tcPr>
            <w:tcW w:w="529" w:type="pct"/>
            <w:vAlign w:val="center"/>
          </w:tcPr>
          <w:p w14:paraId="1E7471DC">
            <w:pPr>
              <w:widowControl w:val="0"/>
              <w:spacing w:before="60" w:after="60"/>
              <w:jc w:val="center"/>
              <w:rPr>
                <w:rFonts w:ascii="Times New Roman" w:hAnsi="Times New Roman" w:cs="Times New Roman"/>
                <w:color w:val="auto"/>
                <w:sz w:val="21"/>
                <w:lang w:eastAsia="zh-CN"/>
              </w:rPr>
            </w:pPr>
          </w:p>
        </w:tc>
        <w:tc>
          <w:tcPr>
            <w:tcW w:w="541" w:type="pct"/>
            <w:vAlign w:val="center"/>
          </w:tcPr>
          <w:p w14:paraId="7440D1DF">
            <w:pPr>
              <w:widowControl w:val="0"/>
              <w:spacing w:before="60" w:after="60"/>
              <w:jc w:val="center"/>
              <w:rPr>
                <w:rFonts w:ascii="Times New Roman" w:hAnsi="Times New Roman" w:cs="Times New Roman"/>
                <w:color w:val="auto"/>
                <w:sz w:val="21"/>
                <w:lang w:eastAsia="zh-CN"/>
              </w:rPr>
            </w:pPr>
          </w:p>
        </w:tc>
      </w:tr>
    </w:tbl>
    <w:p w14:paraId="6C6745EF">
      <w:pPr>
        <w:pStyle w:val="42"/>
        <w:ind w:firstLine="480"/>
        <w:rPr>
          <w:color w:val="auto"/>
        </w:rPr>
        <w:sectPr>
          <w:pgSz w:w="11907" w:h="16840"/>
          <w:pgMar w:top="1191" w:right="1134" w:bottom="1191" w:left="1134" w:header="0" w:footer="913" w:gutter="0"/>
          <w:cols w:space="720" w:num="1"/>
          <w:docGrid w:linePitch="1" w:charSpace="0"/>
        </w:sectPr>
      </w:pPr>
    </w:p>
    <w:p w14:paraId="50F2CA59">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表5.2-1</w:t>
      </w:r>
      <w:r>
        <w:rPr>
          <w:rFonts w:hint="eastAsia" w:ascii="Times New Roman" w:hAnsi="Times New Roman" w:cs="Times New Roman"/>
          <w:b/>
          <w:bCs/>
          <w:color w:val="auto"/>
          <w:lang w:eastAsia="zh-CN"/>
        </w:rPr>
        <w:t>2</w:t>
      </w:r>
      <w:r>
        <w:rPr>
          <w:rFonts w:ascii="Times New Roman" w:hAnsi="Times New Roman" w:cs="Times New Roman"/>
          <w:b/>
          <w:bCs/>
          <w:color w:val="auto"/>
          <w:lang w:eastAsia="zh-CN"/>
        </w:rPr>
        <w:t xml:space="preserve">  地下水水质监测及评价结果一览表   单位：mg/L ，pH 无量纲</w:t>
      </w:r>
    </w:p>
    <w:tbl>
      <w:tblPr>
        <w:tblStyle w:val="35"/>
        <w:tblW w:w="5000" w:type="pct"/>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autofit"/>
        <w:tblCellMar>
          <w:top w:w="0" w:type="dxa"/>
          <w:left w:w="0" w:type="dxa"/>
          <w:bottom w:w="0" w:type="dxa"/>
          <w:right w:w="0" w:type="dxa"/>
        </w:tblCellMar>
      </w:tblPr>
      <w:tblGrid>
        <w:gridCol w:w="1137"/>
        <w:gridCol w:w="1273"/>
        <w:gridCol w:w="989"/>
        <w:gridCol w:w="902"/>
        <w:gridCol w:w="1087"/>
        <w:gridCol w:w="1275"/>
        <w:gridCol w:w="992"/>
        <w:gridCol w:w="1134"/>
        <w:gridCol w:w="992"/>
        <w:gridCol w:w="1076"/>
        <w:gridCol w:w="1050"/>
        <w:gridCol w:w="850"/>
        <w:gridCol w:w="804"/>
        <w:gridCol w:w="897"/>
      </w:tblGrid>
      <w:tr w14:paraId="4B042D3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563" w:hRule="atLeast"/>
          <w:jc w:val="center"/>
        </w:trPr>
        <w:tc>
          <w:tcPr>
            <w:tcW w:w="393" w:type="pct"/>
            <w:vAlign w:val="center"/>
          </w:tcPr>
          <w:p w14:paraId="0D49A129">
            <w:pPr>
              <w:jc w:val="center"/>
              <w:rPr>
                <w:rFonts w:ascii="Times New Roman" w:hAnsi="Times New Roman" w:cs="Times New Roman"/>
                <w:b/>
                <w:bCs/>
                <w:color w:val="auto"/>
                <w:sz w:val="21"/>
              </w:rPr>
            </w:pPr>
            <w:bookmarkStart w:id="1283" w:name="_Hlk187765489"/>
            <w:r>
              <w:rPr>
                <w:rFonts w:ascii="Times New Roman" w:hAnsi="Times New Roman" w:cs="Times New Roman"/>
                <w:b/>
                <w:bCs/>
                <w:color w:val="auto"/>
                <w:sz w:val="21"/>
              </w:rPr>
              <w:t>点位</w:t>
            </w:r>
          </w:p>
        </w:tc>
        <w:tc>
          <w:tcPr>
            <w:tcW w:w="440" w:type="pct"/>
            <w:vAlign w:val="center"/>
          </w:tcPr>
          <w:p w14:paraId="5CB859CA">
            <w:pPr>
              <w:jc w:val="center"/>
              <w:rPr>
                <w:rFonts w:ascii="Times New Roman" w:hAnsi="Times New Roman" w:cs="Times New Roman"/>
                <w:b/>
                <w:bCs/>
                <w:color w:val="auto"/>
                <w:sz w:val="21"/>
              </w:rPr>
            </w:pPr>
            <w:r>
              <w:rPr>
                <w:rFonts w:ascii="Times New Roman" w:hAnsi="Times New Roman" w:cs="Times New Roman"/>
                <w:b/>
                <w:bCs/>
                <w:color w:val="auto"/>
                <w:sz w:val="21"/>
              </w:rPr>
              <w:t>项目</w:t>
            </w:r>
          </w:p>
        </w:tc>
        <w:tc>
          <w:tcPr>
            <w:tcW w:w="342" w:type="pct"/>
            <w:vAlign w:val="center"/>
          </w:tcPr>
          <w:p w14:paraId="2759878E">
            <w:pPr>
              <w:jc w:val="center"/>
              <w:rPr>
                <w:rFonts w:ascii="Times New Roman" w:hAnsi="Times New Roman" w:cs="Times New Roman"/>
                <w:b/>
                <w:bCs/>
                <w:color w:val="auto"/>
                <w:sz w:val="21"/>
              </w:rPr>
            </w:pPr>
            <w:r>
              <w:rPr>
                <w:rFonts w:ascii="Times New Roman" w:hAnsi="Times New Roman" w:cs="Times New Roman"/>
                <w:b/>
                <w:bCs/>
                <w:color w:val="auto"/>
                <w:sz w:val="21"/>
              </w:rPr>
              <w:t>pH</w:t>
            </w:r>
          </w:p>
        </w:tc>
        <w:tc>
          <w:tcPr>
            <w:tcW w:w="312" w:type="pct"/>
            <w:vAlign w:val="center"/>
          </w:tcPr>
          <w:p w14:paraId="30B21F04">
            <w:pPr>
              <w:jc w:val="center"/>
              <w:rPr>
                <w:rFonts w:ascii="Times New Roman" w:hAnsi="Times New Roman" w:cs="Times New Roman"/>
                <w:b/>
                <w:bCs/>
                <w:color w:val="auto"/>
                <w:sz w:val="21"/>
              </w:rPr>
            </w:pPr>
            <w:r>
              <w:rPr>
                <w:rFonts w:ascii="Times New Roman" w:hAnsi="Times New Roman" w:cs="Times New Roman"/>
                <w:b/>
                <w:bCs/>
                <w:color w:val="auto"/>
                <w:sz w:val="21"/>
              </w:rPr>
              <w:t>氨氮</w:t>
            </w:r>
          </w:p>
        </w:tc>
        <w:tc>
          <w:tcPr>
            <w:tcW w:w="376" w:type="pct"/>
            <w:vAlign w:val="center"/>
          </w:tcPr>
          <w:p w14:paraId="3C5C9A6B">
            <w:pPr>
              <w:jc w:val="center"/>
              <w:rPr>
                <w:rFonts w:ascii="Times New Roman" w:hAnsi="Times New Roman" w:cs="Times New Roman"/>
                <w:b/>
                <w:bCs/>
                <w:color w:val="auto"/>
                <w:sz w:val="21"/>
              </w:rPr>
            </w:pPr>
            <w:r>
              <w:rPr>
                <w:rFonts w:ascii="Times New Roman" w:hAnsi="Times New Roman" w:cs="Times New Roman"/>
                <w:b/>
                <w:bCs/>
                <w:color w:val="auto"/>
                <w:sz w:val="21"/>
              </w:rPr>
              <w:t>硝酸盐氮</w:t>
            </w:r>
          </w:p>
        </w:tc>
        <w:tc>
          <w:tcPr>
            <w:tcW w:w="441" w:type="pct"/>
            <w:vAlign w:val="center"/>
          </w:tcPr>
          <w:p w14:paraId="479CDD07">
            <w:pPr>
              <w:jc w:val="center"/>
              <w:rPr>
                <w:rFonts w:ascii="Times New Roman" w:hAnsi="Times New Roman" w:cs="Times New Roman"/>
                <w:b/>
                <w:bCs/>
                <w:color w:val="auto"/>
                <w:sz w:val="21"/>
              </w:rPr>
            </w:pPr>
            <w:r>
              <w:rPr>
                <w:rFonts w:ascii="Times New Roman" w:hAnsi="Times New Roman" w:cs="Times New Roman"/>
                <w:b/>
                <w:bCs/>
                <w:color w:val="auto"/>
                <w:sz w:val="21"/>
              </w:rPr>
              <w:t>亚硝酸盐氮</w:t>
            </w:r>
          </w:p>
        </w:tc>
        <w:tc>
          <w:tcPr>
            <w:tcW w:w="343" w:type="pct"/>
            <w:vAlign w:val="center"/>
          </w:tcPr>
          <w:p w14:paraId="67D82D6F">
            <w:pPr>
              <w:jc w:val="center"/>
              <w:rPr>
                <w:rFonts w:ascii="Times New Roman" w:hAnsi="Times New Roman" w:cs="Times New Roman"/>
                <w:b/>
                <w:bCs/>
                <w:color w:val="auto"/>
                <w:sz w:val="21"/>
                <w:lang w:eastAsia="zh-CN"/>
              </w:rPr>
            </w:pPr>
            <w:r>
              <w:rPr>
                <w:rFonts w:ascii="Times New Roman" w:hAnsi="Times New Roman" w:cs="Times New Roman"/>
                <w:b/>
                <w:bCs/>
                <w:color w:val="auto"/>
                <w:sz w:val="21"/>
              </w:rPr>
              <w:t>挥发</w:t>
            </w:r>
            <w:r>
              <w:rPr>
                <w:rFonts w:hint="eastAsia" w:ascii="Times New Roman" w:hAnsi="Times New Roman" w:cs="Times New Roman"/>
                <w:b/>
                <w:bCs/>
                <w:color w:val="auto"/>
                <w:sz w:val="21"/>
                <w:lang w:eastAsia="zh-CN"/>
              </w:rPr>
              <w:t>性酚类</w:t>
            </w:r>
          </w:p>
        </w:tc>
        <w:tc>
          <w:tcPr>
            <w:tcW w:w="392" w:type="pct"/>
            <w:vAlign w:val="center"/>
          </w:tcPr>
          <w:p w14:paraId="6B53D7A2">
            <w:pPr>
              <w:jc w:val="center"/>
              <w:rPr>
                <w:rFonts w:ascii="Times New Roman" w:hAnsi="Times New Roman" w:cs="Times New Roman"/>
                <w:b/>
                <w:bCs/>
                <w:color w:val="auto"/>
                <w:sz w:val="21"/>
              </w:rPr>
            </w:pPr>
            <w:r>
              <w:rPr>
                <w:rFonts w:ascii="Times New Roman" w:hAnsi="Times New Roman" w:cs="Times New Roman"/>
                <w:b/>
                <w:bCs/>
                <w:color w:val="auto"/>
                <w:sz w:val="21"/>
                <w:lang w:eastAsia="zh-CN"/>
              </w:rPr>
              <w:t>氰化物</w:t>
            </w:r>
          </w:p>
        </w:tc>
        <w:tc>
          <w:tcPr>
            <w:tcW w:w="343" w:type="pct"/>
            <w:vAlign w:val="center"/>
          </w:tcPr>
          <w:p w14:paraId="0A8459AA">
            <w:pPr>
              <w:jc w:val="center"/>
              <w:rPr>
                <w:rFonts w:ascii="Times New Roman" w:hAnsi="Times New Roman" w:cs="Times New Roman"/>
                <w:b/>
                <w:bCs/>
                <w:color w:val="auto"/>
                <w:sz w:val="21"/>
              </w:rPr>
            </w:pPr>
            <w:r>
              <w:rPr>
                <w:rFonts w:ascii="Times New Roman" w:hAnsi="Times New Roman" w:cs="Times New Roman"/>
                <w:b/>
                <w:bCs/>
                <w:color w:val="auto"/>
                <w:sz w:val="21"/>
              </w:rPr>
              <w:t>砷</w:t>
            </w:r>
          </w:p>
        </w:tc>
        <w:tc>
          <w:tcPr>
            <w:tcW w:w="372" w:type="pct"/>
            <w:vAlign w:val="center"/>
          </w:tcPr>
          <w:p w14:paraId="12709352">
            <w:pPr>
              <w:jc w:val="center"/>
              <w:rPr>
                <w:rFonts w:ascii="Times New Roman" w:hAnsi="Times New Roman" w:cs="Times New Roman"/>
                <w:b/>
                <w:bCs/>
                <w:color w:val="auto"/>
                <w:sz w:val="21"/>
              </w:rPr>
            </w:pPr>
            <w:r>
              <w:rPr>
                <w:rFonts w:ascii="Times New Roman" w:hAnsi="Times New Roman" w:cs="Times New Roman"/>
                <w:b/>
                <w:bCs/>
                <w:color w:val="auto"/>
                <w:sz w:val="21"/>
              </w:rPr>
              <w:t>汞</w:t>
            </w:r>
          </w:p>
        </w:tc>
        <w:tc>
          <w:tcPr>
            <w:tcW w:w="363" w:type="pct"/>
            <w:vAlign w:val="center"/>
          </w:tcPr>
          <w:p w14:paraId="03D06BFD">
            <w:pPr>
              <w:jc w:val="center"/>
              <w:rPr>
                <w:rFonts w:ascii="Times New Roman" w:hAnsi="Times New Roman" w:cs="Times New Roman"/>
                <w:b/>
                <w:bCs/>
                <w:color w:val="auto"/>
                <w:sz w:val="21"/>
              </w:rPr>
            </w:pPr>
            <w:r>
              <w:rPr>
                <w:rFonts w:ascii="Times New Roman" w:hAnsi="Times New Roman" w:cs="Times New Roman"/>
                <w:b/>
                <w:bCs/>
                <w:color w:val="auto"/>
                <w:sz w:val="21"/>
              </w:rPr>
              <w:t>六价铬</w:t>
            </w:r>
          </w:p>
        </w:tc>
        <w:tc>
          <w:tcPr>
            <w:tcW w:w="294" w:type="pct"/>
            <w:vAlign w:val="center"/>
          </w:tcPr>
          <w:p w14:paraId="6DCB690D">
            <w:pPr>
              <w:jc w:val="center"/>
              <w:rPr>
                <w:rFonts w:ascii="Times New Roman" w:hAnsi="Times New Roman" w:cs="Times New Roman"/>
                <w:b/>
                <w:bCs/>
                <w:color w:val="auto"/>
                <w:sz w:val="21"/>
              </w:rPr>
            </w:pPr>
            <w:r>
              <w:rPr>
                <w:rFonts w:ascii="Times New Roman" w:hAnsi="Times New Roman" w:cs="Times New Roman"/>
                <w:b/>
                <w:bCs/>
                <w:color w:val="auto"/>
                <w:sz w:val="21"/>
                <w:lang w:eastAsia="zh-CN"/>
              </w:rPr>
              <w:t>总硬度</w:t>
            </w:r>
          </w:p>
        </w:tc>
        <w:tc>
          <w:tcPr>
            <w:tcW w:w="278" w:type="pct"/>
            <w:vAlign w:val="center"/>
          </w:tcPr>
          <w:p w14:paraId="2F8A1501">
            <w:pPr>
              <w:jc w:val="center"/>
              <w:rPr>
                <w:rFonts w:ascii="Times New Roman" w:hAnsi="Times New Roman" w:cs="Times New Roman"/>
                <w:b/>
                <w:bCs/>
                <w:color w:val="auto"/>
                <w:sz w:val="21"/>
              </w:rPr>
            </w:pPr>
            <w:r>
              <w:rPr>
                <w:rFonts w:ascii="Times New Roman" w:hAnsi="Times New Roman" w:cs="Times New Roman"/>
                <w:b/>
                <w:bCs/>
                <w:color w:val="auto"/>
                <w:sz w:val="21"/>
                <w:lang w:eastAsia="zh-CN"/>
              </w:rPr>
              <w:t>铅</w:t>
            </w:r>
          </w:p>
        </w:tc>
        <w:tc>
          <w:tcPr>
            <w:tcW w:w="310" w:type="pct"/>
            <w:vAlign w:val="center"/>
          </w:tcPr>
          <w:p w14:paraId="5F5495D0">
            <w:pPr>
              <w:jc w:val="center"/>
              <w:rPr>
                <w:rFonts w:ascii="Times New Roman" w:hAnsi="Times New Roman" w:cs="Times New Roman"/>
                <w:b/>
                <w:bCs/>
                <w:color w:val="auto"/>
                <w:sz w:val="21"/>
              </w:rPr>
            </w:pPr>
            <w:r>
              <w:rPr>
                <w:rFonts w:ascii="Times New Roman" w:hAnsi="Times New Roman" w:cs="Times New Roman"/>
                <w:b/>
                <w:bCs/>
                <w:color w:val="auto"/>
                <w:sz w:val="21"/>
              </w:rPr>
              <w:t>氟化物</w:t>
            </w:r>
          </w:p>
        </w:tc>
      </w:tr>
      <w:tr w14:paraId="4284389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393" w:type="pct"/>
            <w:vMerge w:val="restart"/>
            <w:vAlign w:val="center"/>
          </w:tcPr>
          <w:p w14:paraId="7A47A351">
            <w:pPr>
              <w:jc w:val="center"/>
              <w:rPr>
                <w:rFonts w:ascii="Times New Roman" w:hAnsi="Times New Roman" w:cs="Times New Roman"/>
                <w:color w:val="auto"/>
                <w:sz w:val="21"/>
              </w:rPr>
            </w:pPr>
            <w:r>
              <w:rPr>
                <w:rFonts w:ascii="Times New Roman" w:hAnsi="Times New Roman" w:cs="Times New Roman"/>
                <w:color w:val="auto"/>
                <w:sz w:val="21"/>
              </w:rPr>
              <w:t>D1</w:t>
            </w:r>
          </w:p>
          <w:p w14:paraId="295162CC">
            <w:pPr>
              <w:jc w:val="center"/>
              <w:rPr>
                <w:rFonts w:ascii="Times New Roman" w:hAnsi="Times New Roman" w:cs="Times New Roman"/>
                <w:color w:val="auto"/>
                <w:sz w:val="21"/>
              </w:rPr>
            </w:pPr>
            <w:r>
              <w:rPr>
                <w:rFonts w:ascii="Times New Roman" w:hAnsi="Times New Roman" w:cs="Times New Roman"/>
                <w:color w:val="auto"/>
                <w:sz w:val="21"/>
                <w:lang w:eastAsia="zh-CN"/>
              </w:rPr>
              <w:t>项目场地</w:t>
            </w:r>
          </w:p>
        </w:tc>
        <w:tc>
          <w:tcPr>
            <w:tcW w:w="440" w:type="pct"/>
            <w:vAlign w:val="center"/>
          </w:tcPr>
          <w:p w14:paraId="3247F611">
            <w:pPr>
              <w:jc w:val="center"/>
              <w:rPr>
                <w:rFonts w:ascii="Times New Roman" w:hAnsi="Times New Roman" w:cs="Times New Roman"/>
                <w:color w:val="auto"/>
                <w:sz w:val="21"/>
              </w:rPr>
            </w:pPr>
            <w:r>
              <w:rPr>
                <w:rFonts w:ascii="Times New Roman" w:hAnsi="Times New Roman" w:cs="Times New Roman"/>
                <w:color w:val="auto"/>
                <w:sz w:val="21"/>
              </w:rPr>
              <w:t>监测结果</w:t>
            </w:r>
          </w:p>
        </w:tc>
        <w:tc>
          <w:tcPr>
            <w:tcW w:w="342" w:type="pct"/>
            <w:vAlign w:val="center"/>
          </w:tcPr>
          <w:p w14:paraId="0DB7A85F">
            <w:pPr>
              <w:jc w:val="center"/>
              <w:rPr>
                <w:rFonts w:ascii="Times New Roman" w:hAnsi="Times New Roman" w:cs="Times New Roman"/>
                <w:color w:val="auto"/>
                <w:sz w:val="21"/>
                <w:lang w:eastAsia="zh-CN"/>
              </w:rPr>
            </w:pPr>
          </w:p>
        </w:tc>
        <w:tc>
          <w:tcPr>
            <w:tcW w:w="312" w:type="pct"/>
            <w:vAlign w:val="center"/>
          </w:tcPr>
          <w:p w14:paraId="59C2EED8">
            <w:pPr>
              <w:jc w:val="center"/>
              <w:rPr>
                <w:rFonts w:ascii="Times New Roman" w:hAnsi="Times New Roman" w:cs="Times New Roman"/>
                <w:color w:val="auto"/>
                <w:sz w:val="21"/>
                <w:lang w:eastAsia="zh-CN"/>
              </w:rPr>
            </w:pPr>
          </w:p>
        </w:tc>
        <w:tc>
          <w:tcPr>
            <w:tcW w:w="376" w:type="pct"/>
            <w:vAlign w:val="center"/>
          </w:tcPr>
          <w:p w14:paraId="2651C65D">
            <w:pPr>
              <w:jc w:val="center"/>
              <w:rPr>
                <w:rFonts w:ascii="Times New Roman" w:hAnsi="Times New Roman" w:cs="Times New Roman"/>
                <w:color w:val="auto"/>
                <w:sz w:val="21"/>
                <w:lang w:eastAsia="zh-CN"/>
              </w:rPr>
            </w:pPr>
          </w:p>
        </w:tc>
        <w:tc>
          <w:tcPr>
            <w:tcW w:w="441" w:type="pct"/>
            <w:vAlign w:val="center"/>
          </w:tcPr>
          <w:p w14:paraId="2A3394DC">
            <w:pPr>
              <w:jc w:val="center"/>
              <w:rPr>
                <w:rFonts w:ascii="Times New Roman" w:hAnsi="Times New Roman" w:cs="Times New Roman"/>
                <w:color w:val="auto"/>
                <w:sz w:val="21"/>
                <w:lang w:eastAsia="zh-CN"/>
              </w:rPr>
            </w:pPr>
          </w:p>
        </w:tc>
        <w:tc>
          <w:tcPr>
            <w:tcW w:w="343" w:type="pct"/>
            <w:vAlign w:val="center"/>
          </w:tcPr>
          <w:p w14:paraId="17E282CF">
            <w:pPr>
              <w:jc w:val="center"/>
              <w:rPr>
                <w:rFonts w:ascii="Times New Roman" w:hAnsi="Times New Roman" w:cs="Times New Roman"/>
                <w:color w:val="auto"/>
                <w:sz w:val="21"/>
                <w:lang w:eastAsia="zh-CN"/>
              </w:rPr>
            </w:pPr>
          </w:p>
        </w:tc>
        <w:tc>
          <w:tcPr>
            <w:tcW w:w="392" w:type="pct"/>
            <w:vAlign w:val="center"/>
          </w:tcPr>
          <w:p w14:paraId="67C0EC3B">
            <w:pPr>
              <w:jc w:val="center"/>
              <w:rPr>
                <w:rFonts w:ascii="Times New Roman" w:hAnsi="Times New Roman" w:cs="Times New Roman"/>
                <w:color w:val="auto"/>
                <w:sz w:val="21"/>
                <w:lang w:eastAsia="zh-CN"/>
              </w:rPr>
            </w:pPr>
          </w:p>
        </w:tc>
        <w:tc>
          <w:tcPr>
            <w:tcW w:w="343" w:type="pct"/>
            <w:vAlign w:val="center"/>
          </w:tcPr>
          <w:p w14:paraId="6F3373A4">
            <w:pPr>
              <w:jc w:val="center"/>
              <w:rPr>
                <w:rFonts w:ascii="Times New Roman" w:hAnsi="Times New Roman" w:cs="Times New Roman"/>
                <w:color w:val="auto"/>
                <w:sz w:val="21"/>
                <w:lang w:eastAsia="zh-CN"/>
              </w:rPr>
            </w:pPr>
          </w:p>
        </w:tc>
        <w:tc>
          <w:tcPr>
            <w:tcW w:w="372" w:type="pct"/>
            <w:vAlign w:val="center"/>
          </w:tcPr>
          <w:p w14:paraId="23E83D1C">
            <w:pPr>
              <w:jc w:val="center"/>
              <w:rPr>
                <w:rFonts w:ascii="Times New Roman" w:hAnsi="Times New Roman" w:cs="Times New Roman"/>
                <w:color w:val="auto"/>
                <w:sz w:val="21"/>
                <w:lang w:eastAsia="zh-CN"/>
              </w:rPr>
            </w:pPr>
          </w:p>
        </w:tc>
        <w:tc>
          <w:tcPr>
            <w:tcW w:w="363" w:type="pct"/>
            <w:vAlign w:val="center"/>
          </w:tcPr>
          <w:p w14:paraId="1F7D2F9E">
            <w:pPr>
              <w:jc w:val="center"/>
              <w:rPr>
                <w:rFonts w:ascii="Times New Roman" w:hAnsi="Times New Roman" w:cs="Times New Roman"/>
                <w:color w:val="auto"/>
                <w:sz w:val="21"/>
                <w:lang w:eastAsia="zh-CN"/>
              </w:rPr>
            </w:pPr>
          </w:p>
        </w:tc>
        <w:tc>
          <w:tcPr>
            <w:tcW w:w="294" w:type="pct"/>
            <w:vAlign w:val="center"/>
          </w:tcPr>
          <w:p w14:paraId="20988F13">
            <w:pPr>
              <w:jc w:val="center"/>
              <w:rPr>
                <w:rFonts w:ascii="Times New Roman" w:hAnsi="Times New Roman" w:cs="Times New Roman"/>
                <w:color w:val="auto"/>
                <w:sz w:val="21"/>
                <w:lang w:eastAsia="zh-CN"/>
              </w:rPr>
            </w:pPr>
          </w:p>
        </w:tc>
        <w:tc>
          <w:tcPr>
            <w:tcW w:w="278" w:type="pct"/>
            <w:vAlign w:val="center"/>
          </w:tcPr>
          <w:p w14:paraId="17B59B1B">
            <w:pPr>
              <w:jc w:val="center"/>
              <w:rPr>
                <w:rFonts w:ascii="Times New Roman" w:hAnsi="Times New Roman" w:cs="Times New Roman"/>
                <w:color w:val="auto"/>
                <w:sz w:val="21"/>
                <w:lang w:eastAsia="zh-CN"/>
              </w:rPr>
            </w:pPr>
          </w:p>
        </w:tc>
        <w:tc>
          <w:tcPr>
            <w:tcW w:w="310" w:type="pct"/>
            <w:vAlign w:val="center"/>
          </w:tcPr>
          <w:p w14:paraId="2D0C0E10">
            <w:pPr>
              <w:jc w:val="center"/>
              <w:rPr>
                <w:rFonts w:ascii="Times New Roman" w:hAnsi="Times New Roman" w:cs="Times New Roman"/>
                <w:color w:val="auto"/>
                <w:sz w:val="21"/>
                <w:lang w:eastAsia="zh-CN"/>
              </w:rPr>
            </w:pPr>
          </w:p>
        </w:tc>
      </w:tr>
      <w:tr w14:paraId="1EBA836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4" w:hRule="atLeast"/>
          <w:jc w:val="center"/>
        </w:trPr>
        <w:tc>
          <w:tcPr>
            <w:tcW w:w="393" w:type="pct"/>
            <w:vMerge w:val="continue"/>
            <w:vAlign w:val="center"/>
          </w:tcPr>
          <w:p w14:paraId="657B6B84">
            <w:pPr>
              <w:jc w:val="center"/>
              <w:rPr>
                <w:rFonts w:ascii="Times New Roman" w:hAnsi="Times New Roman" w:cs="Times New Roman"/>
                <w:color w:val="auto"/>
                <w:sz w:val="21"/>
              </w:rPr>
            </w:pPr>
          </w:p>
        </w:tc>
        <w:tc>
          <w:tcPr>
            <w:tcW w:w="440" w:type="pct"/>
            <w:vAlign w:val="center"/>
          </w:tcPr>
          <w:p w14:paraId="4AD89A6B">
            <w:pPr>
              <w:jc w:val="center"/>
              <w:rPr>
                <w:rFonts w:ascii="Times New Roman" w:hAnsi="Times New Roman" w:cs="Times New Roman"/>
                <w:color w:val="auto"/>
                <w:sz w:val="21"/>
              </w:rPr>
            </w:pPr>
            <w:r>
              <w:rPr>
                <w:rFonts w:ascii="Times New Roman" w:hAnsi="Times New Roman" w:cs="Times New Roman"/>
                <w:color w:val="auto"/>
                <w:sz w:val="21"/>
              </w:rPr>
              <w:t>标准限值</w:t>
            </w:r>
          </w:p>
        </w:tc>
        <w:tc>
          <w:tcPr>
            <w:tcW w:w="342" w:type="pct"/>
            <w:vAlign w:val="center"/>
          </w:tcPr>
          <w:p w14:paraId="72A8D130">
            <w:pPr>
              <w:jc w:val="center"/>
              <w:rPr>
                <w:rFonts w:ascii="Times New Roman" w:hAnsi="Times New Roman" w:cs="Times New Roman"/>
                <w:color w:val="auto"/>
                <w:sz w:val="21"/>
              </w:rPr>
            </w:pPr>
          </w:p>
        </w:tc>
        <w:tc>
          <w:tcPr>
            <w:tcW w:w="312" w:type="pct"/>
            <w:vAlign w:val="center"/>
          </w:tcPr>
          <w:p w14:paraId="516E01DE">
            <w:pPr>
              <w:jc w:val="center"/>
              <w:rPr>
                <w:rFonts w:ascii="Times New Roman" w:hAnsi="Times New Roman" w:cs="Times New Roman"/>
                <w:color w:val="auto"/>
                <w:sz w:val="21"/>
              </w:rPr>
            </w:pPr>
          </w:p>
        </w:tc>
        <w:tc>
          <w:tcPr>
            <w:tcW w:w="376" w:type="pct"/>
            <w:vAlign w:val="center"/>
          </w:tcPr>
          <w:p w14:paraId="044A7CFD">
            <w:pPr>
              <w:jc w:val="center"/>
              <w:rPr>
                <w:rFonts w:ascii="Times New Roman" w:hAnsi="Times New Roman" w:cs="Times New Roman"/>
                <w:color w:val="auto"/>
                <w:sz w:val="21"/>
              </w:rPr>
            </w:pPr>
          </w:p>
        </w:tc>
        <w:tc>
          <w:tcPr>
            <w:tcW w:w="441" w:type="pct"/>
            <w:vAlign w:val="center"/>
          </w:tcPr>
          <w:p w14:paraId="38A9B97F">
            <w:pPr>
              <w:jc w:val="center"/>
              <w:rPr>
                <w:rFonts w:ascii="Times New Roman" w:hAnsi="Times New Roman" w:cs="Times New Roman"/>
                <w:color w:val="auto"/>
                <w:sz w:val="21"/>
              </w:rPr>
            </w:pPr>
          </w:p>
        </w:tc>
        <w:tc>
          <w:tcPr>
            <w:tcW w:w="343" w:type="pct"/>
            <w:vAlign w:val="center"/>
          </w:tcPr>
          <w:p w14:paraId="623E10D4">
            <w:pPr>
              <w:jc w:val="center"/>
              <w:rPr>
                <w:rFonts w:ascii="Times New Roman" w:hAnsi="Times New Roman" w:cs="Times New Roman"/>
                <w:color w:val="auto"/>
                <w:sz w:val="21"/>
              </w:rPr>
            </w:pPr>
          </w:p>
        </w:tc>
        <w:tc>
          <w:tcPr>
            <w:tcW w:w="392" w:type="pct"/>
            <w:vAlign w:val="center"/>
          </w:tcPr>
          <w:p w14:paraId="0218911A">
            <w:pPr>
              <w:jc w:val="center"/>
              <w:rPr>
                <w:rFonts w:ascii="Times New Roman" w:hAnsi="Times New Roman" w:cs="Times New Roman"/>
                <w:color w:val="auto"/>
                <w:sz w:val="21"/>
                <w:lang w:eastAsia="zh-CN"/>
              </w:rPr>
            </w:pPr>
          </w:p>
        </w:tc>
        <w:tc>
          <w:tcPr>
            <w:tcW w:w="343" w:type="pct"/>
            <w:vAlign w:val="center"/>
          </w:tcPr>
          <w:p w14:paraId="03833E22">
            <w:pPr>
              <w:jc w:val="center"/>
              <w:rPr>
                <w:rFonts w:ascii="Times New Roman" w:hAnsi="Times New Roman" w:cs="Times New Roman"/>
                <w:color w:val="auto"/>
                <w:sz w:val="21"/>
              </w:rPr>
            </w:pPr>
          </w:p>
        </w:tc>
        <w:tc>
          <w:tcPr>
            <w:tcW w:w="372" w:type="pct"/>
            <w:vAlign w:val="center"/>
          </w:tcPr>
          <w:p w14:paraId="5CF34DDB">
            <w:pPr>
              <w:jc w:val="center"/>
              <w:rPr>
                <w:rFonts w:ascii="Times New Roman" w:hAnsi="Times New Roman" w:cs="Times New Roman"/>
                <w:color w:val="auto"/>
                <w:sz w:val="21"/>
              </w:rPr>
            </w:pPr>
          </w:p>
        </w:tc>
        <w:tc>
          <w:tcPr>
            <w:tcW w:w="363" w:type="pct"/>
            <w:vAlign w:val="center"/>
          </w:tcPr>
          <w:p w14:paraId="7CFEC188">
            <w:pPr>
              <w:jc w:val="center"/>
              <w:rPr>
                <w:rFonts w:ascii="Times New Roman" w:hAnsi="Times New Roman" w:cs="Times New Roman"/>
                <w:color w:val="auto"/>
                <w:sz w:val="21"/>
              </w:rPr>
            </w:pPr>
          </w:p>
        </w:tc>
        <w:tc>
          <w:tcPr>
            <w:tcW w:w="294" w:type="pct"/>
            <w:vAlign w:val="center"/>
          </w:tcPr>
          <w:p w14:paraId="54538068">
            <w:pPr>
              <w:jc w:val="center"/>
              <w:rPr>
                <w:rFonts w:ascii="Times New Roman" w:hAnsi="Times New Roman" w:cs="Times New Roman"/>
                <w:color w:val="auto"/>
                <w:sz w:val="21"/>
                <w:lang w:eastAsia="zh-CN"/>
              </w:rPr>
            </w:pPr>
          </w:p>
        </w:tc>
        <w:tc>
          <w:tcPr>
            <w:tcW w:w="278" w:type="pct"/>
            <w:vAlign w:val="center"/>
          </w:tcPr>
          <w:p w14:paraId="2271F551">
            <w:pPr>
              <w:jc w:val="center"/>
              <w:rPr>
                <w:rFonts w:ascii="Times New Roman" w:hAnsi="Times New Roman" w:cs="Times New Roman"/>
                <w:color w:val="auto"/>
                <w:sz w:val="21"/>
                <w:lang w:eastAsia="zh-CN"/>
              </w:rPr>
            </w:pPr>
          </w:p>
        </w:tc>
        <w:tc>
          <w:tcPr>
            <w:tcW w:w="310" w:type="pct"/>
            <w:vAlign w:val="center"/>
          </w:tcPr>
          <w:p w14:paraId="08DCEE9C">
            <w:pPr>
              <w:jc w:val="center"/>
              <w:rPr>
                <w:rFonts w:ascii="Times New Roman" w:hAnsi="Times New Roman" w:cs="Times New Roman"/>
                <w:color w:val="auto"/>
                <w:sz w:val="21"/>
              </w:rPr>
            </w:pPr>
          </w:p>
        </w:tc>
      </w:tr>
      <w:tr w14:paraId="06CF2FB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393" w:type="pct"/>
            <w:vMerge w:val="continue"/>
            <w:vAlign w:val="center"/>
          </w:tcPr>
          <w:p w14:paraId="744FF11D">
            <w:pPr>
              <w:jc w:val="center"/>
              <w:rPr>
                <w:rFonts w:ascii="Times New Roman" w:hAnsi="Times New Roman" w:cs="Times New Roman"/>
                <w:color w:val="auto"/>
                <w:sz w:val="21"/>
              </w:rPr>
            </w:pPr>
          </w:p>
        </w:tc>
        <w:tc>
          <w:tcPr>
            <w:tcW w:w="440" w:type="pct"/>
            <w:vAlign w:val="center"/>
          </w:tcPr>
          <w:p w14:paraId="39E1D88D">
            <w:pPr>
              <w:jc w:val="center"/>
              <w:rPr>
                <w:rFonts w:ascii="Times New Roman" w:hAnsi="Times New Roman" w:cs="Times New Roman"/>
                <w:color w:val="auto"/>
                <w:sz w:val="21"/>
              </w:rPr>
            </w:pPr>
            <w:r>
              <w:rPr>
                <w:rFonts w:ascii="Times New Roman" w:hAnsi="Times New Roman" w:cs="Times New Roman"/>
                <w:color w:val="auto"/>
                <w:sz w:val="21"/>
                <w:lang w:eastAsia="zh-CN"/>
              </w:rPr>
              <w:t>评价结果</w:t>
            </w:r>
          </w:p>
        </w:tc>
        <w:tc>
          <w:tcPr>
            <w:tcW w:w="342" w:type="pct"/>
            <w:vAlign w:val="center"/>
          </w:tcPr>
          <w:p w14:paraId="283D6C2C">
            <w:pPr>
              <w:jc w:val="center"/>
              <w:rPr>
                <w:rFonts w:ascii="Times New Roman" w:hAnsi="Times New Roman" w:cs="Times New Roman"/>
                <w:color w:val="auto"/>
                <w:sz w:val="21"/>
                <w:lang w:eastAsia="zh-CN"/>
              </w:rPr>
            </w:pPr>
          </w:p>
        </w:tc>
        <w:tc>
          <w:tcPr>
            <w:tcW w:w="312" w:type="pct"/>
            <w:vAlign w:val="center"/>
          </w:tcPr>
          <w:p w14:paraId="576B8A62">
            <w:pPr>
              <w:jc w:val="center"/>
              <w:rPr>
                <w:rFonts w:ascii="Times New Roman" w:hAnsi="Times New Roman" w:cs="Times New Roman"/>
                <w:color w:val="auto"/>
                <w:sz w:val="21"/>
                <w:lang w:eastAsia="zh-CN"/>
              </w:rPr>
            </w:pPr>
          </w:p>
        </w:tc>
        <w:tc>
          <w:tcPr>
            <w:tcW w:w="376" w:type="pct"/>
            <w:vAlign w:val="center"/>
          </w:tcPr>
          <w:p w14:paraId="53A8A67F">
            <w:pPr>
              <w:jc w:val="center"/>
              <w:rPr>
                <w:rFonts w:ascii="Times New Roman" w:hAnsi="Times New Roman" w:cs="Times New Roman"/>
                <w:color w:val="auto"/>
                <w:sz w:val="21"/>
                <w:lang w:eastAsia="zh-CN"/>
              </w:rPr>
            </w:pPr>
          </w:p>
        </w:tc>
        <w:tc>
          <w:tcPr>
            <w:tcW w:w="441" w:type="pct"/>
            <w:vAlign w:val="center"/>
          </w:tcPr>
          <w:p w14:paraId="08082843">
            <w:pPr>
              <w:jc w:val="center"/>
              <w:rPr>
                <w:rFonts w:ascii="Times New Roman" w:hAnsi="Times New Roman" w:cs="Times New Roman"/>
                <w:color w:val="auto"/>
                <w:sz w:val="21"/>
                <w:lang w:eastAsia="zh-CN"/>
              </w:rPr>
            </w:pPr>
          </w:p>
        </w:tc>
        <w:tc>
          <w:tcPr>
            <w:tcW w:w="343" w:type="pct"/>
            <w:vAlign w:val="center"/>
          </w:tcPr>
          <w:p w14:paraId="3BFD48D0">
            <w:pPr>
              <w:jc w:val="center"/>
              <w:rPr>
                <w:rFonts w:ascii="Times New Roman" w:hAnsi="Times New Roman" w:cs="Times New Roman"/>
                <w:color w:val="auto"/>
                <w:sz w:val="21"/>
                <w:lang w:eastAsia="zh-CN"/>
              </w:rPr>
            </w:pPr>
          </w:p>
        </w:tc>
        <w:tc>
          <w:tcPr>
            <w:tcW w:w="392" w:type="pct"/>
            <w:vAlign w:val="center"/>
          </w:tcPr>
          <w:p w14:paraId="7EDF2F6C">
            <w:pPr>
              <w:jc w:val="center"/>
              <w:rPr>
                <w:rFonts w:ascii="Times New Roman" w:hAnsi="Times New Roman" w:cs="Times New Roman"/>
                <w:color w:val="auto"/>
                <w:sz w:val="21"/>
                <w:lang w:eastAsia="zh-CN"/>
              </w:rPr>
            </w:pPr>
          </w:p>
        </w:tc>
        <w:tc>
          <w:tcPr>
            <w:tcW w:w="343" w:type="pct"/>
            <w:vAlign w:val="center"/>
          </w:tcPr>
          <w:p w14:paraId="532B3699">
            <w:pPr>
              <w:jc w:val="center"/>
              <w:rPr>
                <w:rFonts w:ascii="Times New Roman" w:hAnsi="Times New Roman" w:cs="Times New Roman"/>
                <w:color w:val="auto"/>
                <w:sz w:val="21"/>
                <w:lang w:eastAsia="zh-CN"/>
              </w:rPr>
            </w:pPr>
          </w:p>
        </w:tc>
        <w:tc>
          <w:tcPr>
            <w:tcW w:w="372" w:type="pct"/>
            <w:vAlign w:val="center"/>
          </w:tcPr>
          <w:p w14:paraId="3BDA68DE">
            <w:pPr>
              <w:jc w:val="center"/>
              <w:rPr>
                <w:rFonts w:ascii="Times New Roman" w:hAnsi="Times New Roman" w:cs="Times New Roman"/>
                <w:color w:val="auto"/>
                <w:sz w:val="21"/>
                <w:lang w:eastAsia="zh-CN"/>
              </w:rPr>
            </w:pPr>
          </w:p>
        </w:tc>
        <w:tc>
          <w:tcPr>
            <w:tcW w:w="363" w:type="pct"/>
            <w:vAlign w:val="center"/>
          </w:tcPr>
          <w:p w14:paraId="44F5EBF5">
            <w:pPr>
              <w:jc w:val="center"/>
              <w:rPr>
                <w:rFonts w:ascii="Times New Roman" w:hAnsi="Times New Roman" w:cs="Times New Roman"/>
                <w:color w:val="auto"/>
                <w:sz w:val="21"/>
                <w:lang w:eastAsia="zh-CN"/>
              </w:rPr>
            </w:pPr>
          </w:p>
        </w:tc>
        <w:tc>
          <w:tcPr>
            <w:tcW w:w="294" w:type="pct"/>
            <w:vAlign w:val="center"/>
          </w:tcPr>
          <w:p w14:paraId="2969F1A5">
            <w:pPr>
              <w:jc w:val="center"/>
              <w:rPr>
                <w:rFonts w:ascii="Times New Roman" w:hAnsi="Times New Roman" w:cs="Times New Roman"/>
                <w:color w:val="auto"/>
                <w:sz w:val="21"/>
                <w:lang w:eastAsia="zh-CN"/>
              </w:rPr>
            </w:pPr>
          </w:p>
        </w:tc>
        <w:tc>
          <w:tcPr>
            <w:tcW w:w="278" w:type="pct"/>
            <w:vAlign w:val="center"/>
          </w:tcPr>
          <w:p w14:paraId="60680009">
            <w:pPr>
              <w:jc w:val="center"/>
              <w:rPr>
                <w:rFonts w:ascii="Times New Roman" w:hAnsi="Times New Roman" w:cs="Times New Roman"/>
                <w:color w:val="auto"/>
                <w:sz w:val="21"/>
                <w:lang w:eastAsia="zh-CN"/>
              </w:rPr>
            </w:pPr>
          </w:p>
        </w:tc>
        <w:tc>
          <w:tcPr>
            <w:tcW w:w="310" w:type="pct"/>
            <w:vAlign w:val="center"/>
          </w:tcPr>
          <w:p w14:paraId="10D642D9">
            <w:pPr>
              <w:jc w:val="center"/>
              <w:rPr>
                <w:rFonts w:ascii="Times New Roman" w:hAnsi="Times New Roman" w:cs="Times New Roman"/>
                <w:color w:val="auto"/>
                <w:sz w:val="21"/>
                <w:lang w:eastAsia="zh-CN"/>
              </w:rPr>
            </w:pPr>
          </w:p>
        </w:tc>
      </w:tr>
      <w:tr w14:paraId="2134A1D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393" w:type="pct"/>
            <w:vMerge w:val="continue"/>
            <w:vAlign w:val="center"/>
          </w:tcPr>
          <w:p w14:paraId="556536E5">
            <w:pPr>
              <w:jc w:val="center"/>
              <w:rPr>
                <w:rFonts w:ascii="Times New Roman" w:hAnsi="Times New Roman" w:cs="Times New Roman"/>
                <w:color w:val="auto"/>
                <w:sz w:val="21"/>
              </w:rPr>
            </w:pPr>
          </w:p>
        </w:tc>
        <w:tc>
          <w:tcPr>
            <w:tcW w:w="440" w:type="pct"/>
            <w:vAlign w:val="center"/>
          </w:tcPr>
          <w:p w14:paraId="26F7E5BB">
            <w:pPr>
              <w:jc w:val="center"/>
              <w:rPr>
                <w:rFonts w:ascii="Times New Roman" w:hAnsi="Times New Roman" w:cs="Times New Roman"/>
                <w:color w:val="auto"/>
                <w:sz w:val="21"/>
              </w:rPr>
            </w:pPr>
            <w:r>
              <w:rPr>
                <w:rFonts w:ascii="Times New Roman" w:hAnsi="Times New Roman" w:cs="Times New Roman"/>
                <w:color w:val="auto"/>
                <w:sz w:val="21"/>
              </w:rPr>
              <w:t>达标情况</w:t>
            </w:r>
          </w:p>
        </w:tc>
        <w:tc>
          <w:tcPr>
            <w:tcW w:w="342" w:type="pct"/>
            <w:vAlign w:val="center"/>
          </w:tcPr>
          <w:p w14:paraId="0F34F80D">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12" w:type="pct"/>
            <w:vAlign w:val="center"/>
          </w:tcPr>
          <w:p w14:paraId="7E1CB847">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76" w:type="pct"/>
            <w:vAlign w:val="center"/>
          </w:tcPr>
          <w:p w14:paraId="2ED6666B">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达标</w:t>
            </w:r>
          </w:p>
        </w:tc>
        <w:tc>
          <w:tcPr>
            <w:tcW w:w="441" w:type="pct"/>
            <w:vAlign w:val="center"/>
          </w:tcPr>
          <w:p w14:paraId="7223DCA0">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43" w:type="pct"/>
            <w:vAlign w:val="center"/>
          </w:tcPr>
          <w:p w14:paraId="64D3EA72">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92" w:type="pct"/>
            <w:vAlign w:val="center"/>
          </w:tcPr>
          <w:p w14:paraId="30D60F3A">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43" w:type="pct"/>
            <w:vAlign w:val="center"/>
          </w:tcPr>
          <w:p w14:paraId="1F12E88F">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72" w:type="pct"/>
            <w:vAlign w:val="center"/>
          </w:tcPr>
          <w:p w14:paraId="33706A2D">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63" w:type="pct"/>
            <w:vAlign w:val="center"/>
          </w:tcPr>
          <w:p w14:paraId="7AA60AF9">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294" w:type="pct"/>
            <w:vAlign w:val="center"/>
          </w:tcPr>
          <w:p w14:paraId="4EFFEF5D">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278" w:type="pct"/>
            <w:vAlign w:val="center"/>
          </w:tcPr>
          <w:p w14:paraId="4B8E94D5">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10" w:type="pct"/>
            <w:vAlign w:val="center"/>
          </w:tcPr>
          <w:p w14:paraId="37F0853F">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达标</w:t>
            </w:r>
          </w:p>
        </w:tc>
      </w:tr>
      <w:tr w14:paraId="0DE7640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393" w:type="pct"/>
            <w:vMerge w:val="restart"/>
            <w:vAlign w:val="center"/>
          </w:tcPr>
          <w:p w14:paraId="7B32B5A2">
            <w:pPr>
              <w:jc w:val="center"/>
              <w:rPr>
                <w:rFonts w:ascii="Times New Roman" w:hAnsi="Times New Roman" w:cs="Times New Roman"/>
                <w:color w:val="auto"/>
                <w:sz w:val="21"/>
              </w:rPr>
            </w:pPr>
            <w:r>
              <w:rPr>
                <w:rFonts w:ascii="Times New Roman" w:hAnsi="Times New Roman" w:cs="Times New Roman"/>
                <w:color w:val="auto"/>
                <w:sz w:val="21"/>
              </w:rPr>
              <w:t>D2</w:t>
            </w:r>
          </w:p>
          <w:p w14:paraId="636F0EF2">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三铺村</w:t>
            </w:r>
          </w:p>
        </w:tc>
        <w:tc>
          <w:tcPr>
            <w:tcW w:w="440" w:type="pct"/>
            <w:vAlign w:val="center"/>
          </w:tcPr>
          <w:p w14:paraId="369D46F0">
            <w:pPr>
              <w:jc w:val="center"/>
              <w:rPr>
                <w:rFonts w:ascii="Times New Roman" w:hAnsi="Times New Roman" w:cs="Times New Roman"/>
                <w:color w:val="auto"/>
                <w:sz w:val="21"/>
              </w:rPr>
            </w:pPr>
            <w:r>
              <w:rPr>
                <w:rFonts w:ascii="Times New Roman" w:hAnsi="Times New Roman" w:cs="Times New Roman"/>
                <w:color w:val="auto"/>
                <w:sz w:val="21"/>
              </w:rPr>
              <w:t>监测结果</w:t>
            </w:r>
          </w:p>
        </w:tc>
        <w:tc>
          <w:tcPr>
            <w:tcW w:w="342" w:type="pct"/>
            <w:vAlign w:val="center"/>
          </w:tcPr>
          <w:p w14:paraId="4AB723AD">
            <w:pPr>
              <w:jc w:val="center"/>
              <w:rPr>
                <w:rFonts w:ascii="Times New Roman" w:hAnsi="Times New Roman" w:cs="Times New Roman"/>
                <w:color w:val="000000" w:themeColor="text1"/>
                <w:sz w:val="21"/>
                <w:lang w:eastAsia="zh-CN"/>
                <w14:textFill>
                  <w14:solidFill>
                    <w14:schemeClr w14:val="tx1"/>
                  </w14:solidFill>
                </w14:textFill>
              </w:rPr>
            </w:pPr>
          </w:p>
        </w:tc>
        <w:tc>
          <w:tcPr>
            <w:tcW w:w="312" w:type="pct"/>
            <w:vAlign w:val="center"/>
          </w:tcPr>
          <w:p w14:paraId="6EE0906B">
            <w:pPr>
              <w:jc w:val="center"/>
              <w:rPr>
                <w:rFonts w:ascii="Times New Roman" w:hAnsi="Times New Roman" w:cs="Times New Roman"/>
                <w:color w:val="000000" w:themeColor="text1"/>
                <w:sz w:val="21"/>
                <w:lang w:eastAsia="zh-CN"/>
                <w14:textFill>
                  <w14:solidFill>
                    <w14:schemeClr w14:val="tx1"/>
                  </w14:solidFill>
                </w14:textFill>
              </w:rPr>
            </w:pPr>
          </w:p>
        </w:tc>
        <w:tc>
          <w:tcPr>
            <w:tcW w:w="376" w:type="pct"/>
            <w:vAlign w:val="center"/>
          </w:tcPr>
          <w:p w14:paraId="38113A47">
            <w:pPr>
              <w:jc w:val="center"/>
              <w:rPr>
                <w:rFonts w:ascii="Times New Roman" w:hAnsi="Times New Roman" w:cs="Times New Roman"/>
                <w:color w:val="000000" w:themeColor="text1"/>
                <w:sz w:val="21"/>
                <w:lang w:eastAsia="zh-CN"/>
                <w14:textFill>
                  <w14:solidFill>
                    <w14:schemeClr w14:val="tx1"/>
                  </w14:solidFill>
                </w14:textFill>
              </w:rPr>
            </w:pPr>
          </w:p>
        </w:tc>
        <w:tc>
          <w:tcPr>
            <w:tcW w:w="441" w:type="pct"/>
            <w:vAlign w:val="center"/>
          </w:tcPr>
          <w:p w14:paraId="07F594BB">
            <w:pPr>
              <w:jc w:val="center"/>
              <w:rPr>
                <w:rFonts w:ascii="Times New Roman" w:hAnsi="Times New Roman" w:cs="Times New Roman"/>
                <w:color w:val="000000" w:themeColor="text1"/>
                <w:sz w:val="21"/>
                <w:lang w:eastAsia="zh-CN"/>
                <w14:textFill>
                  <w14:solidFill>
                    <w14:schemeClr w14:val="tx1"/>
                  </w14:solidFill>
                </w14:textFill>
              </w:rPr>
            </w:pPr>
          </w:p>
        </w:tc>
        <w:tc>
          <w:tcPr>
            <w:tcW w:w="343" w:type="pct"/>
            <w:vAlign w:val="center"/>
          </w:tcPr>
          <w:p w14:paraId="735782BA">
            <w:pPr>
              <w:jc w:val="center"/>
              <w:rPr>
                <w:rFonts w:ascii="Times New Roman" w:hAnsi="Times New Roman" w:cs="Times New Roman"/>
                <w:color w:val="000000" w:themeColor="text1"/>
                <w:sz w:val="21"/>
                <w:lang w:eastAsia="zh-CN"/>
                <w14:textFill>
                  <w14:solidFill>
                    <w14:schemeClr w14:val="tx1"/>
                  </w14:solidFill>
                </w14:textFill>
              </w:rPr>
            </w:pPr>
          </w:p>
        </w:tc>
        <w:tc>
          <w:tcPr>
            <w:tcW w:w="392" w:type="pct"/>
            <w:vAlign w:val="center"/>
          </w:tcPr>
          <w:p w14:paraId="7F3F0DA1">
            <w:pPr>
              <w:jc w:val="center"/>
              <w:rPr>
                <w:rFonts w:ascii="Times New Roman" w:hAnsi="Times New Roman" w:cs="Times New Roman"/>
                <w:color w:val="000000" w:themeColor="text1"/>
                <w:sz w:val="21"/>
                <w:lang w:eastAsia="zh-CN"/>
                <w14:textFill>
                  <w14:solidFill>
                    <w14:schemeClr w14:val="tx1"/>
                  </w14:solidFill>
                </w14:textFill>
              </w:rPr>
            </w:pPr>
          </w:p>
        </w:tc>
        <w:tc>
          <w:tcPr>
            <w:tcW w:w="343" w:type="pct"/>
            <w:vAlign w:val="center"/>
          </w:tcPr>
          <w:p w14:paraId="30FAE7A1">
            <w:pPr>
              <w:jc w:val="center"/>
              <w:rPr>
                <w:rFonts w:ascii="Times New Roman" w:hAnsi="Times New Roman" w:cs="Times New Roman"/>
                <w:color w:val="000000" w:themeColor="text1"/>
                <w:sz w:val="21"/>
                <w:lang w:eastAsia="zh-CN"/>
                <w14:textFill>
                  <w14:solidFill>
                    <w14:schemeClr w14:val="tx1"/>
                  </w14:solidFill>
                </w14:textFill>
              </w:rPr>
            </w:pPr>
          </w:p>
        </w:tc>
        <w:tc>
          <w:tcPr>
            <w:tcW w:w="372" w:type="pct"/>
            <w:vAlign w:val="center"/>
          </w:tcPr>
          <w:p w14:paraId="2494D4FF">
            <w:pPr>
              <w:jc w:val="center"/>
              <w:rPr>
                <w:rFonts w:ascii="Times New Roman" w:hAnsi="Times New Roman" w:cs="Times New Roman"/>
                <w:color w:val="000000" w:themeColor="text1"/>
                <w:sz w:val="21"/>
                <w:lang w:eastAsia="zh-CN"/>
                <w14:textFill>
                  <w14:solidFill>
                    <w14:schemeClr w14:val="tx1"/>
                  </w14:solidFill>
                </w14:textFill>
              </w:rPr>
            </w:pPr>
          </w:p>
        </w:tc>
        <w:tc>
          <w:tcPr>
            <w:tcW w:w="363" w:type="pct"/>
            <w:vAlign w:val="center"/>
          </w:tcPr>
          <w:p w14:paraId="7CBBF561">
            <w:pPr>
              <w:jc w:val="center"/>
              <w:rPr>
                <w:rFonts w:ascii="Times New Roman" w:hAnsi="Times New Roman" w:cs="Times New Roman"/>
                <w:color w:val="000000" w:themeColor="text1"/>
                <w:sz w:val="21"/>
                <w:lang w:eastAsia="zh-CN"/>
                <w14:textFill>
                  <w14:solidFill>
                    <w14:schemeClr w14:val="tx1"/>
                  </w14:solidFill>
                </w14:textFill>
              </w:rPr>
            </w:pPr>
          </w:p>
        </w:tc>
        <w:tc>
          <w:tcPr>
            <w:tcW w:w="294" w:type="pct"/>
            <w:vAlign w:val="center"/>
          </w:tcPr>
          <w:p w14:paraId="51C173A9">
            <w:pPr>
              <w:jc w:val="center"/>
              <w:rPr>
                <w:rFonts w:ascii="Times New Roman" w:hAnsi="Times New Roman" w:cs="Times New Roman"/>
                <w:color w:val="000000" w:themeColor="text1"/>
                <w:sz w:val="21"/>
                <w:lang w:eastAsia="zh-CN"/>
                <w14:textFill>
                  <w14:solidFill>
                    <w14:schemeClr w14:val="tx1"/>
                  </w14:solidFill>
                </w14:textFill>
              </w:rPr>
            </w:pPr>
          </w:p>
        </w:tc>
        <w:tc>
          <w:tcPr>
            <w:tcW w:w="278" w:type="pct"/>
            <w:vAlign w:val="center"/>
          </w:tcPr>
          <w:p w14:paraId="057F0A1E">
            <w:pPr>
              <w:jc w:val="center"/>
              <w:rPr>
                <w:rFonts w:ascii="Times New Roman" w:hAnsi="Times New Roman" w:cs="Times New Roman"/>
                <w:color w:val="000000" w:themeColor="text1"/>
                <w:sz w:val="21"/>
                <w:lang w:eastAsia="zh-CN"/>
                <w14:textFill>
                  <w14:solidFill>
                    <w14:schemeClr w14:val="tx1"/>
                  </w14:solidFill>
                </w14:textFill>
              </w:rPr>
            </w:pPr>
          </w:p>
        </w:tc>
        <w:tc>
          <w:tcPr>
            <w:tcW w:w="310" w:type="pct"/>
            <w:vAlign w:val="center"/>
          </w:tcPr>
          <w:p w14:paraId="75B3CDB4">
            <w:pPr>
              <w:jc w:val="center"/>
              <w:rPr>
                <w:rFonts w:ascii="Times New Roman" w:hAnsi="Times New Roman" w:cs="Times New Roman"/>
                <w:color w:val="000000" w:themeColor="text1"/>
                <w:sz w:val="21"/>
                <w:lang w:eastAsia="zh-CN"/>
                <w14:textFill>
                  <w14:solidFill>
                    <w14:schemeClr w14:val="tx1"/>
                  </w14:solidFill>
                </w14:textFill>
              </w:rPr>
            </w:pPr>
          </w:p>
        </w:tc>
      </w:tr>
      <w:tr w14:paraId="0472ECE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393" w:type="pct"/>
            <w:vMerge w:val="continue"/>
            <w:vAlign w:val="center"/>
          </w:tcPr>
          <w:p w14:paraId="00F65C0F">
            <w:pPr>
              <w:jc w:val="center"/>
              <w:rPr>
                <w:rFonts w:ascii="Times New Roman" w:hAnsi="Times New Roman" w:cs="Times New Roman"/>
                <w:color w:val="auto"/>
                <w:sz w:val="21"/>
              </w:rPr>
            </w:pPr>
          </w:p>
        </w:tc>
        <w:tc>
          <w:tcPr>
            <w:tcW w:w="440" w:type="pct"/>
            <w:vAlign w:val="center"/>
          </w:tcPr>
          <w:p w14:paraId="06365F4E">
            <w:pPr>
              <w:jc w:val="center"/>
              <w:rPr>
                <w:rFonts w:ascii="Times New Roman" w:hAnsi="Times New Roman" w:cs="Times New Roman"/>
                <w:color w:val="auto"/>
                <w:sz w:val="21"/>
              </w:rPr>
            </w:pPr>
            <w:r>
              <w:rPr>
                <w:rFonts w:ascii="Times New Roman" w:hAnsi="Times New Roman" w:cs="Times New Roman"/>
                <w:color w:val="auto"/>
                <w:sz w:val="21"/>
              </w:rPr>
              <w:t>标准限值</w:t>
            </w:r>
          </w:p>
        </w:tc>
        <w:tc>
          <w:tcPr>
            <w:tcW w:w="342" w:type="pct"/>
            <w:vAlign w:val="center"/>
          </w:tcPr>
          <w:p w14:paraId="6EF2DB1F">
            <w:pPr>
              <w:jc w:val="center"/>
              <w:rPr>
                <w:rFonts w:ascii="Times New Roman" w:hAnsi="Times New Roman" w:cs="Times New Roman"/>
                <w:color w:val="000000" w:themeColor="text1"/>
                <w:sz w:val="21"/>
                <w14:textFill>
                  <w14:solidFill>
                    <w14:schemeClr w14:val="tx1"/>
                  </w14:solidFill>
                </w14:textFill>
              </w:rPr>
            </w:pPr>
          </w:p>
        </w:tc>
        <w:tc>
          <w:tcPr>
            <w:tcW w:w="312" w:type="pct"/>
            <w:vAlign w:val="center"/>
          </w:tcPr>
          <w:p w14:paraId="75CD2AE7">
            <w:pPr>
              <w:jc w:val="center"/>
              <w:rPr>
                <w:rFonts w:ascii="Times New Roman" w:hAnsi="Times New Roman" w:cs="Times New Roman"/>
                <w:color w:val="000000" w:themeColor="text1"/>
                <w:sz w:val="21"/>
                <w14:textFill>
                  <w14:solidFill>
                    <w14:schemeClr w14:val="tx1"/>
                  </w14:solidFill>
                </w14:textFill>
              </w:rPr>
            </w:pPr>
          </w:p>
        </w:tc>
        <w:tc>
          <w:tcPr>
            <w:tcW w:w="376" w:type="pct"/>
            <w:vAlign w:val="center"/>
          </w:tcPr>
          <w:p w14:paraId="5AF3DD6C">
            <w:pPr>
              <w:jc w:val="center"/>
              <w:rPr>
                <w:rFonts w:ascii="Times New Roman" w:hAnsi="Times New Roman" w:cs="Times New Roman"/>
                <w:color w:val="000000" w:themeColor="text1"/>
                <w:sz w:val="21"/>
                <w14:textFill>
                  <w14:solidFill>
                    <w14:schemeClr w14:val="tx1"/>
                  </w14:solidFill>
                </w14:textFill>
              </w:rPr>
            </w:pPr>
          </w:p>
        </w:tc>
        <w:tc>
          <w:tcPr>
            <w:tcW w:w="441" w:type="pct"/>
            <w:vAlign w:val="center"/>
          </w:tcPr>
          <w:p w14:paraId="58825BAA">
            <w:pPr>
              <w:jc w:val="center"/>
              <w:rPr>
                <w:rFonts w:ascii="Times New Roman" w:hAnsi="Times New Roman" w:cs="Times New Roman"/>
                <w:color w:val="000000" w:themeColor="text1"/>
                <w:sz w:val="21"/>
                <w14:textFill>
                  <w14:solidFill>
                    <w14:schemeClr w14:val="tx1"/>
                  </w14:solidFill>
                </w14:textFill>
              </w:rPr>
            </w:pPr>
          </w:p>
        </w:tc>
        <w:tc>
          <w:tcPr>
            <w:tcW w:w="343" w:type="pct"/>
            <w:vAlign w:val="center"/>
          </w:tcPr>
          <w:p w14:paraId="1C036406">
            <w:pPr>
              <w:jc w:val="center"/>
              <w:rPr>
                <w:rFonts w:ascii="Times New Roman" w:hAnsi="Times New Roman" w:cs="Times New Roman"/>
                <w:color w:val="000000" w:themeColor="text1"/>
                <w:sz w:val="21"/>
                <w14:textFill>
                  <w14:solidFill>
                    <w14:schemeClr w14:val="tx1"/>
                  </w14:solidFill>
                </w14:textFill>
              </w:rPr>
            </w:pPr>
          </w:p>
        </w:tc>
        <w:tc>
          <w:tcPr>
            <w:tcW w:w="392" w:type="pct"/>
            <w:vAlign w:val="center"/>
          </w:tcPr>
          <w:p w14:paraId="4920F6CC">
            <w:pPr>
              <w:jc w:val="center"/>
              <w:rPr>
                <w:rFonts w:ascii="Times New Roman" w:hAnsi="Times New Roman" w:cs="Times New Roman"/>
                <w:color w:val="000000" w:themeColor="text1"/>
                <w:sz w:val="21"/>
                <w14:textFill>
                  <w14:solidFill>
                    <w14:schemeClr w14:val="tx1"/>
                  </w14:solidFill>
                </w14:textFill>
              </w:rPr>
            </w:pPr>
          </w:p>
        </w:tc>
        <w:tc>
          <w:tcPr>
            <w:tcW w:w="343" w:type="pct"/>
            <w:vAlign w:val="center"/>
          </w:tcPr>
          <w:p w14:paraId="10A8C7EE">
            <w:pPr>
              <w:jc w:val="center"/>
              <w:rPr>
                <w:rFonts w:ascii="Times New Roman" w:hAnsi="Times New Roman" w:cs="Times New Roman"/>
                <w:color w:val="000000" w:themeColor="text1"/>
                <w:sz w:val="21"/>
                <w14:textFill>
                  <w14:solidFill>
                    <w14:schemeClr w14:val="tx1"/>
                  </w14:solidFill>
                </w14:textFill>
              </w:rPr>
            </w:pPr>
          </w:p>
        </w:tc>
        <w:tc>
          <w:tcPr>
            <w:tcW w:w="372" w:type="pct"/>
            <w:vAlign w:val="center"/>
          </w:tcPr>
          <w:p w14:paraId="360AA471">
            <w:pPr>
              <w:jc w:val="center"/>
              <w:rPr>
                <w:rFonts w:ascii="Times New Roman" w:hAnsi="Times New Roman" w:cs="Times New Roman"/>
                <w:color w:val="000000" w:themeColor="text1"/>
                <w:sz w:val="21"/>
                <w14:textFill>
                  <w14:solidFill>
                    <w14:schemeClr w14:val="tx1"/>
                  </w14:solidFill>
                </w14:textFill>
              </w:rPr>
            </w:pPr>
          </w:p>
        </w:tc>
        <w:tc>
          <w:tcPr>
            <w:tcW w:w="363" w:type="pct"/>
            <w:vAlign w:val="center"/>
          </w:tcPr>
          <w:p w14:paraId="5153589E">
            <w:pPr>
              <w:jc w:val="center"/>
              <w:rPr>
                <w:rFonts w:ascii="Times New Roman" w:hAnsi="Times New Roman" w:cs="Times New Roman"/>
                <w:color w:val="000000" w:themeColor="text1"/>
                <w:sz w:val="21"/>
                <w14:textFill>
                  <w14:solidFill>
                    <w14:schemeClr w14:val="tx1"/>
                  </w14:solidFill>
                </w14:textFill>
              </w:rPr>
            </w:pPr>
          </w:p>
        </w:tc>
        <w:tc>
          <w:tcPr>
            <w:tcW w:w="294" w:type="pct"/>
            <w:vAlign w:val="center"/>
          </w:tcPr>
          <w:p w14:paraId="057B8FE0">
            <w:pPr>
              <w:jc w:val="center"/>
              <w:rPr>
                <w:rFonts w:ascii="Times New Roman" w:hAnsi="Times New Roman" w:cs="Times New Roman"/>
                <w:color w:val="000000" w:themeColor="text1"/>
                <w:sz w:val="21"/>
                <w14:textFill>
                  <w14:solidFill>
                    <w14:schemeClr w14:val="tx1"/>
                  </w14:solidFill>
                </w14:textFill>
              </w:rPr>
            </w:pPr>
          </w:p>
        </w:tc>
        <w:tc>
          <w:tcPr>
            <w:tcW w:w="278" w:type="pct"/>
            <w:vAlign w:val="center"/>
          </w:tcPr>
          <w:p w14:paraId="704B3C1E">
            <w:pPr>
              <w:jc w:val="center"/>
              <w:rPr>
                <w:rFonts w:ascii="Times New Roman" w:hAnsi="Times New Roman" w:cs="Times New Roman"/>
                <w:color w:val="000000" w:themeColor="text1"/>
                <w:sz w:val="21"/>
                <w14:textFill>
                  <w14:solidFill>
                    <w14:schemeClr w14:val="tx1"/>
                  </w14:solidFill>
                </w14:textFill>
              </w:rPr>
            </w:pPr>
          </w:p>
        </w:tc>
        <w:tc>
          <w:tcPr>
            <w:tcW w:w="310" w:type="pct"/>
            <w:vAlign w:val="center"/>
          </w:tcPr>
          <w:p w14:paraId="114E5080">
            <w:pPr>
              <w:jc w:val="center"/>
              <w:rPr>
                <w:rFonts w:ascii="Times New Roman" w:hAnsi="Times New Roman" w:cs="Times New Roman"/>
                <w:color w:val="000000" w:themeColor="text1"/>
                <w:sz w:val="21"/>
                <w14:textFill>
                  <w14:solidFill>
                    <w14:schemeClr w14:val="tx1"/>
                  </w14:solidFill>
                </w14:textFill>
              </w:rPr>
            </w:pPr>
          </w:p>
        </w:tc>
      </w:tr>
      <w:tr w14:paraId="020E7C3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393" w:type="pct"/>
            <w:vMerge w:val="continue"/>
            <w:vAlign w:val="center"/>
          </w:tcPr>
          <w:p w14:paraId="47F65E49">
            <w:pPr>
              <w:jc w:val="center"/>
              <w:rPr>
                <w:rFonts w:ascii="Times New Roman" w:hAnsi="Times New Roman" w:cs="Times New Roman"/>
                <w:color w:val="auto"/>
                <w:sz w:val="21"/>
              </w:rPr>
            </w:pPr>
          </w:p>
        </w:tc>
        <w:tc>
          <w:tcPr>
            <w:tcW w:w="440" w:type="pct"/>
            <w:vAlign w:val="center"/>
          </w:tcPr>
          <w:p w14:paraId="518BFB99">
            <w:pPr>
              <w:jc w:val="center"/>
              <w:rPr>
                <w:rFonts w:ascii="Times New Roman" w:hAnsi="Times New Roman" w:cs="Times New Roman"/>
                <w:color w:val="auto"/>
                <w:sz w:val="21"/>
              </w:rPr>
            </w:pPr>
            <w:r>
              <w:rPr>
                <w:rFonts w:ascii="Times New Roman" w:hAnsi="Times New Roman" w:cs="Times New Roman"/>
                <w:color w:val="auto"/>
                <w:sz w:val="21"/>
                <w:lang w:eastAsia="zh-CN"/>
              </w:rPr>
              <w:t>评价结果</w:t>
            </w:r>
          </w:p>
        </w:tc>
        <w:tc>
          <w:tcPr>
            <w:tcW w:w="342" w:type="pct"/>
            <w:vAlign w:val="center"/>
          </w:tcPr>
          <w:p w14:paraId="023FF7B3">
            <w:pPr>
              <w:jc w:val="center"/>
              <w:rPr>
                <w:rFonts w:ascii="Times New Roman" w:hAnsi="Times New Roman" w:cs="Times New Roman"/>
                <w:color w:val="000000" w:themeColor="text1"/>
                <w:sz w:val="21"/>
                <w:lang w:eastAsia="zh-CN"/>
                <w14:textFill>
                  <w14:solidFill>
                    <w14:schemeClr w14:val="tx1"/>
                  </w14:solidFill>
                </w14:textFill>
              </w:rPr>
            </w:pPr>
          </w:p>
        </w:tc>
        <w:tc>
          <w:tcPr>
            <w:tcW w:w="312" w:type="pct"/>
            <w:vAlign w:val="center"/>
          </w:tcPr>
          <w:p w14:paraId="6B0E3CB5">
            <w:pPr>
              <w:jc w:val="center"/>
              <w:rPr>
                <w:rFonts w:ascii="Times New Roman" w:hAnsi="Times New Roman" w:cs="Times New Roman"/>
                <w:color w:val="000000" w:themeColor="text1"/>
                <w:sz w:val="21"/>
                <w:lang w:eastAsia="zh-CN"/>
                <w14:textFill>
                  <w14:solidFill>
                    <w14:schemeClr w14:val="tx1"/>
                  </w14:solidFill>
                </w14:textFill>
              </w:rPr>
            </w:pPr>
          </w:p>
        </w:tc>
        <w:tc>
          <w:tcPr>
            <w:tcW w:w="376" w:type="pct"/>
            <w:vAlign w:val="center"/>
          </w:tcPr>
          <w:p w14:paraId="1C3BCBD1">
            <w:pPr>
              <w:jc w:val="center"/>
              <w:rPr>
                <w:rFonts w:ascii="Times New Roman" w:hAnsi="Times New Roman" w:cs="Times New Roman"/>
                <w:color w:val="000000" w:themeColor="text1"/>
                <w:sz w:val="21"/>
                <w:lang w:eastAsia="zh-CN"/>
                <w14:textFill>
                  <w14:solidFill>
                    <w14:schemeClr w14:val="tx1"/>
                  </w14:solidFill>
                </w14:textFill>
              </w:rPr>
            </w:pPr>
          </w:p>
        </w:tc>
        <w:tc>
          <w:tcPr>
            <w:tcW w:w="441" w:type="pct"/>
            <w:vAlign w:val="center"/>
          </w:tcPr>
          <w:p w14:paraId="3D06D63C">
            <w:pPr>
              <w:jc w:val="center"/>
              <w:rPr>
                <w:rFonts w:ascii="Times New Roman" w:hAnsi="Times New Roman" w:cs="Times New Roman"/>
                <w:color w:val="000000" w:themeColor="text1"/>
                <w:sz w:val="21"/>
                <w:lang w:eastAsia="zh-CN"/>
                <w14:textFill>
                  <w14:solidFill>
                    <w14:schemeClr w14:val="tx1"/>
                  </w14:solidFill>
                </w14:textFill>
              </w:rPr>
            </w:pPr>
          </w:p>
        </w:tc>
        <w:tc>
          <w:tcPr>
            <w:tcW w:w="343" w:type="pct"/>
            <w:vAlign w:val="center"/>
          </w:tcPr>
          <w:p w14:paraId="4A55964F">
            <w:pPr>
              <w:jc w:val="center"/>
              <w:rPr>
                <w:rFonts w:ascii="Times New Roman" w:hAnsi="Times New Roman" w:cs="Times New Roman"/>
                <w:color w:val="000000" w:themeColor="text1"/>
                <w:sz w:val="21"/>
                <w:lang w:eastAsia="zh-CN"/>
                <w14:textFill>
                  <w14:solidFill>
                    <w14:schemeClr w14:val="tx1"/>
                  </w14:solidFill>
                </w14:textFill>
              </w:rPr>
            </w:pPr>
          </w:p>
        </w:tc>
        <w:tc>
          <w:tcPr>
            <w:tcW w:w="392" w:type="pct"/>
            <w:vAlign w:val="center"/>
          </w:tcPr>
          <w:p w14:paraId="50743EB9">
            <w:pPr>
              <w:jc w:val="center"/>
              <w:rPr>
                <w:rFonts w:ascii="Times New Roman" w:hAnsi="Times New Roman" w:cs="Times New Roman"/>
                <w:color w:val="000000" w:themeColor="text1"/>
                <w:sz w:val="21"/>
                <w:lang w:eastAsia="zh-CN"/>
                <w14:textFill>
                  <w14:solidFill>
                    <w14:schemeClr w14:val="tx1"/>
                  </w14:solidFill>
                </w14:textFill>
              </w:rPr>
            </w:pPr>
          </w:p>
        </w:tc>
        <w:tc>
          <w:tcPr>
            <w:tcW w:w="343" w:type="pct"/>
            <w:vAlign w:val="center"/>
          </w:tcPr>
          <w:p w14:paraId="169719E0">
            <w:pPr>
              <w:jc w:val="center"/>
              <w:rPr>
                <w:rFonts w:ascii="Times New Roman" w:hAnsi="Times New Roman" w:cs="Times New Roman"/>
                <w:color w:val="000000" w:themeColor="text1"/>
                <w:sz w:val="21"/>
                <w:lang w:eastAsia="zh-CN"/>
                <w14:textFill>
                  <w14:solidFill>
                    <w14:schemeClr w14:val="tx1"/>
                  </w14:solidFill>
                </w14:textFill>
              </w:rPr>
            </w:pPr>
          </w:p>
        </w:tc>
        <w:tc>
          <w:tcPr>
            <w:tcW w:w="372" w:type="pct"/>
            <w:vAlign w:val="center"/>
          </w:tcPr>
          <w:p w14:paraId="3DC8519C">
            <w:pPr>
              <w:jc w:val="center"/>
              <w:rPr>
                <w:rFonts w:ascii="Times New Roman" w:hAnsi="Times New Roman" w:cs="Times New Roman"/>
                <w:color w:val="000000" w:themeColor="text1"/>
                <w:sz w:val="21"/>
                <w:lang w:eastAsia="zh-CN"/>
                <w14:textFill>
                  <w14:solidFill>
                    <w14:schemeClr w14:val="tx1"/>
                  </w14:solidFill>
                </w14:textFill>
              </w:rPr>
            </w:pPr>
          </w:p>
        </w:tc>
        <w:tc>
          <w:tcPr>
            <w:tcW w:w="363" w:type="pct"/>
            <w:vAlign w:val="center"/>
          </w:tcPr>
          <w:p w14:paraId="48EFA018">
            <w:pPr>
              <w:jc w:val="center"/>
              <w:rPr>
                <w:rFonts w:ascii="Times New Roman" w:hAnsi="Times New Roman" w:cs="Times New Roman"/>
                <w:color w:val="000000" w:themeColor="text1"/>
                <w:sz w:val="21"/>
                <w:lang w:eastAsia="zh-CN"/>
                <w14:textFill>
                  <w14:solidFill>
                    <w14:schemeClr w14:val="tx1"/>
                  </w14:solidFill>
                </w14:textFill>
              </w:rPr>
            </w:pPr>
          </w:p>
        </w:tc>
        <w:tc>
          <w:tcPr>
            <w:tcW w:w="294" w:type="pct"/>
            <w:vAlign w:val="center"/>
          </w:tcPr>
          <w:p w14:paraId="2BDD8B11">
            <w:pPr>
              <w:jc w:val="center"/>
              <w:rPr>
                <w:rFonts w:ascii="Times New Roman" w:hAnsi="Times New Roman" w:cs="Times New Roman"/>
                <w:color w:val="000000" w:themeColor="text1"/>
                <w:sz w:val="21"/>
                <w:lang w:eastAsia="zh-CN"/>
                <w14:textFill>
                  <w14:solidFill>
                    <w14:schemeClr w14:val="tx1"/>
                  </w14:solidFill>
                </w14:textFill>
              </w:rPr>
            </w:pPr>
          </w:p>
        </w:tc>
        <w:tc>
          <w:tcPr>
            <w:tcW w:w="278" w:type="pct"/>
            <w:vAlign w:val="center"/>
          </w:tcPr>
          <w:p w14:paraId="6D2CD68D">
            <w:pPr>
              <w:jc w:val="center"/>
              <w:rPr>
                <w:rFonts w:ascii="Times New Roman" w:hAnsi="Times New Roman" w:cs="Times New Roman"/>
                <w:color w:val="000000" w:themeColor="text1"/>
                <w:sz w:val="21"/>
                <w:lang w:eastAsia="zh-CN"/>
                <w14:textFill>
                  <w14:solidFill>
                    <w14:schemeClr w14:val="tx1"/>
                  </w14:solidFill>
                </w14:textFill>
              </w:rPr>
            </w:pPr>
          </w:p>
        </w:tc>
        <w:tc>
          <w:tcPr>
            <w:tcW w:w="310" w:type="pct"/>
            <w:vAlign w:val="center"/>
          </w:tcPr>
          <w:p w14:paraId="6C2FD515">
            <w:pPr>
              <w:jc w:val="center"/>
              <w:rPr>
                <w:rFonts w:ascii="Times New Roman" w:hAnsi="Times New Roman" w:cs="Times New Roman"/>
                <w:color w:val="000000" w:themeColor="text1"/>
                <w:sz w:val="21"/>
                <w:lang w:eastAsia="zh-CN"/>
                <w14:textFill>
                  <w14:solidFill>
                    <w14:schemeClr w14:val="tx1"/>
                  </w14:solidFill>
                </w14:textFill>
              </w:rPr>
            </w:pPr>
          </w:p>
        </w:tc>
      </w:tr>
      <w:tr w14:paraId="7977FB1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393" w:type="pct"/>
            <w:vMerge w:val="continue"/>
            <w:vAlign w:val="center"/>
          </w:tcPr>
          <w:p w14:paraId="00BF3D7E">
            <w:pPr>
              <w:jc w:val="center"/>
              <w:rPr>
                <w:rFonts w:ascii="Times New Roman" w:hAnsi="Times New Roman" w:cs="Times New Roman"/>
                <w:color w:val="auto"/>
                <w:sz w:val="21"/>
              </w:rPr>
            </w:pPr>
          </w:p>
        </w:tc>
        <w:tc>
          <w:tcPr>
            <w:tcW w:w="440" w:type="pct"/>
            <w:vAlign w:val="center"/>
          </w:tcPr>
          <w:p w14:paraId="43A6CE83">
            <w:pPr>
              <w:jc w:val="center"/>
              <w:rPr>
                <w:rFonts w:ascii="Times New Roman" w:hAnsi="Times New Roman" w:cs="Times New Roman"/>
                <w:color w:val="auto"/>
                <w:sz w:val="21"/>
              </w:rPr>
            </w:pPr>
            <w:r>
              <w:rPr>
                <w:rFonts w:ascii="Times New Roman" w:hAnsi="Times New Roman" w:cs="Times New Roman"/>
                <w:color w:val="auto"/>
                <w:sz w:val="21"/>
              </w:rPr>
              <w:t>达标情况</w:t>
            </w:r>
          </w:p>
        </w:tc>
        <w:tc>
          <w:tcPr>
            <w:tcW w:w="342" w:type="pct"/>
            <w:vAlign w:val="center"/>
          </w:tcPr>
          <w:p w14:paraId="714D49DA">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12" w:type="pct"/>
            <w:vAlign w:val="center"/>
          </w:tcPr>
          <w:p w14:paraId="3D172E3A">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76" w:type="pct"/>
            <w:vAlign w:val="center"/>
          </w:tcPr>
          <w:p w14:paraId="3D552EA1">
            <w:pPr>
              <w:jc w:val="center"/>
              <w:rPr>
                <w:rFonts w:ascii="Times New Roman" w:hAnsi="Times New Roman" w:cs="Times New Roman"/>
                <w:color w:val="auto"/>
                <w:sz w:val="21"/>
                <w:lang w:eastAsia="zh-CN"/>
              </w:rPr>
            </w:pPr>
            <w:r>
              <w:rPr>
                <w:rFonts w:ascii="Times New Roman" w:hAnsi="Times New Roman" w:cs="Times New Roman"/>
                <w:color w:val="auto"/>
                <w:sz w:val="21"/>
              </w:rPr>
              <w:t>达标</w:t>
            </w:r>
          </w:p>
        </w:tc>
        <w:tc>
          <w:tcPr>
            <w:tcW w:w="441" w:type="pct"/>
            <w:vAlign w:val="center"/>
          </w:tcPr>
          <w:p w14:paraId="07EA9BE0">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43" w:type="pct"/>
            <w:vAlign w:val="center"/>
          </w:tcPr>
          <w:p w14:paraId="4E6A9B7E">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92" w:type="pct"/>
            <w:vAlign w:val="center"/>
          </w:tcPr>
          <w:p w14:paraId="6ADC16AC">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43" w:type="pct"/>
            <w:vAlign w:val="center"/>
          </w:tcPr>
          <w:p w14:paraId="185EC5E3">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72" w:type="pct"/>
            <w:vAlign w:val="center"/>
          </w:tcPr>
          <w:p w14:paraId="06DA639E">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63" w:type="pct"/>
            <w:vAlign w:val="center"/>
          </w:tcPr>
          <w:p w14:paraId="032C6930">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294" w:type="pct"/>
            <w:vAlign w:val="center"/>
          </w:tcPr>
          <w:p w14:paraId="59CC002C">
            <w:pPr>
              <w:jc w:val="center"/>
              <w:rPr>
                <w:rFonts w:ascii="Times New Roman" w:hAnsi="Times New Roman" w:cs="Times New Roman"/>
                <w:color w:val="auto"/>
                <w:sz w:val="21"/>
                <w:lang w:eastAsia="zh-CN"/>
              </w:rPr>
            </w:pPr>
            <w:r>
              <w:rPr>
                <w:rFonts w:ascii="Times New Roman" w:hAnsi="Times New Roman" w:cs="Times New Roman"/>
                <w:color w:val="auto"/>
                <w:sz w:val="21"/>
              </w:rPr>
              <w:t>达标</w:t>
            </w:r>
          </w:p>
        </w:tc>
        <w:tc>
          <w:tcPr>
            <w:tcW w:w="278" w:type="pct"/>
            <w:vAlign w:val="center"/>
          </w:tcPr>
          <w:p w14:paraId="022F7880">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10" w:type="pct"/>
            <w:vAlign w:val="center"/>
          </w:tcPr>
          <w:p w14:paraId="722E68D0">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735FDA9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393" w:type="pct"/>
            <w:vMerge w:val="restart"/>
            <w:vAlign w:val="center"/>
          </w:tcPr>
          <w:p w14:paraId="0AE94235">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D3</w:t>
            </w:r>
          </w:p>
          <w:p w14:paraId="319DA76C">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夏家湖</w:t>
            </w:r>
          </w:p>
        </w:tc>
        <w:tc>
          <w:tcPr>
            <w:tcW w:w="440" w:type="pct"/>
            <w:vAlign w:val="center"/>
          </w:tcPr>
          <w:p w14:paraId="082CAE9B">
            <w:pPr>
              <w:jc w:val="center"/>
              <w:rPr>
                <w:rFonts w:ascii="Times New Roman" w:hAnsi="Times New Roman" w:cs="Times New Roman"/>
                <w:color w:val="auto"/>
                <w:sz w:val="21"/>
              </w:rPr>
            </w:pPr>
            <w:r>
              <w:rPr>
                <w:rFonts w:ascii="Times New Roman" w:hAnsi="Times New Roman" w:cs="Times New Roman"/>
                <w:color w:val="auto"/>
                <w:sz w:val="21"/>
              </w:rPr>
              <w:t>监测结果</w:t>
            </w:r>
          </w:p>
        </w:tc>
        <w:tc>
          <w:tcPr>
            <w:tcW w:w="342" w:type="pct"/>
            <w:vAlign w:val="center"/>
          </w:tcPr>
          <w:p w14:paraId="35333804">
            <w:pPr>
              <w:jc w:val="center"/>
              <w:rPr>
                <w:rFonts w:ascii="Times New Roman" w:hAnsi="Times New Roman" w:cs="Times New Roman"/>
                <w:color w:val="auto"/>
                <w:sz w:val="21"/>
                <w:lang w:eastAsia="zh-CN"/>
              </w:rPr>
            </w:pPr>
          </w:p>
        </w:tc>
        <w:tc>
          <w:tcPr>
            <w:tcW w:w="312" w:type="pct"/>
            <w:vAlign w:val="center"/>
          </w:tcPr>
          <w:p w14:paraId="08F8C4C7">
            <w:pPr>
              <w:jc w:val="center"/>
              <w:rPr>
                <w:rFonts w:ascii="Times New Roman" w:hAnsi="Times New Roman" w:cs="Times New Roman"/>
                <w:color w:val="auto"/>
                <w:sz w:val="21"/>
                <w:lang w:eastAsia="zh-CN"/>
              </w:rPr>
            </w:pPr>
          </w:p>
        </w:tc>
        <w:tc>
          <w:tcPr>
            <w:tcW w:w="376" w:type="pct"/>
            <w:vAlign w:val="center"/>
          </w:tcPr>
          <w:p w14:paraId="4AA1B92B">
            <w:pPr>
              <w:jc w:val="center"/>
              <w:rPr>
                <w:rFonts w:ascii="Times New Roman" w:hAnsi="Times New Roman" w:cs="Times New Roman"/>
                <w:color w:val="EE0000"/>
                <w:sz w:val="21"/>
                <w:lang w:eastAsia="zh-CN"/>
              </w:rPr>
            </w:pPr>
          </w:p>
        </w:tc>
        <w:tc>
          <w:tcPr>
            <w:tcW w:w="441" w:type="pct"/>
            <w:vAlign w:val="center"/>
          </w:tcPr>
          <w:p w14:paraId="39498D46">
            <w:pPr>
              <w:jc w:val="center"/>
              <w:rPr>
                <w:rFonts w:ascii="Times New Roman" w:hAnsi="Times New Roman" w:cs="Times New Roman"/>
                <w:color w:val="auto"/>
                <w:sz w:val="21"/>
                <w:lang w:eastAsia="zh-CN"/>
              </w:rPr>
            </w:pPr>
          </w:p>
        </w:tc>
        <w:tc>
          <w:tcPr>
            <w:tcW w:w="343" w:type="pct"/>
            <w:vAlign w:val="center"/>
          </w:tcPr>
          <w:p w14:paraId="55BD8A6C">
            <w:pPr>
              <w:jc w:val="center"/>
              <w:rPr>
                <w:rFonts w:ascii="Times New Roman" w:hAnsi="Times New Roman" w:cs="Times New Roman"/>
                <w:color w:val="auto"/>
                <w:sz w:val="21"/>
              </w:rPr>
            </w:pPr>
          </w:p>
        </w:tc>
        <w:tc>
          <w:tcPr>
            <w:tcW w:w="392" w:type="pct"/>
            <w:vAlign w:val="center"/>
          </w:tcPr>
          <w:p w14:paraId="637442D3">
            <w:pPr>
              <w:jc w:val="center"/>
              <w:rPr>
                <w:rFonts w:ascii="Times New Roman" w:hAnsi="Times New Roman" w:cs="Times New Roman"/>
                <w:color w:val="auto"/>
                <w:sz w:val="21"/>
                <w:lang w:eastAsia="zh-CN"/>
              </w:rPr>
            </w:pPr>
          </w:p>
        </w:tc>
        <w:tc>
          <w:tcPr>
            <w:tcW w:w="343" w:type="pct"/>
            <w:vAlign w:val="center"/>
          </w:tcPr>
          <w:p w14:paraId="7E348093">
            <w:pPr>
              <w:jc w:val="center"/>
              <w:rPr>
                <w:rFonts w:ascii="Times New Roman" w:hAnsi="Times New Roman" w:cs="Times New Roman"/>
                <w:color w:val="auto"/>
                <w:sz w:val="21"/>
                <w:lang w:eastAsia="zh-CN"/>
              </w:rPr>
            </w:pPr>
          </w:p>
        </w:tc>
        <w:tc>
          <w:tcPr>
            <w:tcW w:w="372" w:type="pct"/>
            <w:vAlign w:val="center"/>
          </w:tcPr>
          <w:p w14:paraId="3F358522">
            <w:pPr>
              <w:jc w:val="center"/>
              <w:rPr>
                <w:rFonts w:ascii="Times New Roman" w:hAnsi="Times New Roman" w:cs="Times New Roman"/>
                <w:color w:val="auto"/>
                <w:sz w:val="21"/>
              </w:rPr>
            </w:pPr>
          </w:p>
        </w:tc>
        <w:tc>
          <w:tcPr>
            <w:tcW w:w="363" w:type="pct"/>
            <w:vAlign w:val="center"/>
          </w:tcPr>
          <w:p w14:paraId="03413B67">
            <w:pPr>
              <w:jc w:val="center"/>
              <w:rPr>
                <w:rFonts w:ascii="Times New Roman" w:hAnsi="Times New Roman" w:cs="Times New Roman"/>
                <w:color w:val="auto"/>
                <w:sz w:val="21"/>
              </w:rPr>
            </w:pPr>
          </w:p>
        </w:tc>
        <w:tc>
          <w:tcPr>
            <w:tcW w:w="294" w:type="pct"/>
            <w:vAlign w:val="center"/>
          </w:tcPr>
          <w:p w14:paraId="78908DEB">
            <w:pPr>
              <w:jc w:val="center"/>
              <w:rPr>
                <w:rFonts w:ascii="Times New Roman" w:hAnsi="Times New Roman" w:cs="Times New Roman"/>
                <w:color w:val="auto"/>
                <w:sz w:val="21"/>
                <w:lang w:eastAsia="zh-CN"/>
              </w:rPr>
            </w:pPr>
          </w:p>
        </w:tc>
        <w:tc>
          <w:tcPr>
            <w:tcW w:w="278" w:type="pct"/>
            <w:vAlign w:val="center"/>
          </w:tcPr>
          <w:p w14:paraId="5CA176B8">
            <w:pPr>
              <w:jc w:val="center"/>
              <w:rPr>
                <w:rFonts w:ascii="Times New Roman" w:hAnsi="Times New Roman" w:cs="Times New Roman"/>
                <w:color w:val="auto"/>
                <w:sz w:val="21"/>
                <w:lang w:eastAsia="zh-CN"/>
              </w:rPr>
            </w:pPr>
          </w:p>
        </w:tc>
        <w:tc>
          <w:tcPr>
            <w:tcW w:w="310" w:type="pct"/>
            <w:vAlign w:val="center"/>
          </w:tcPr>
          <w:p w14:paraId="39545579">
            <w:pPr>
              <w:jc w:val="center"/>
              <w:rPr>
                <w:rFonts w:ascii="Times New Roman" w:hAnsi="Times New Roman" w:cs="Times New Roman"/>
                <w:color w:val="auto"/>
                <w:sz w:val="21"/>
                <w:lang w:eastAsia="zh-CN"/>
              </w:rPr>
            </w:pPr>
          </w:p>
        </w:tc>
      </w:tr>
      <w:tr w14:paraId="5CF27EC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393" w:type="pct"/>
            <w:vMerge w:val="continue"/>
            <w:vAlign w:val="center"/>
          </w:tcPr>
          <w:p w14:paraId="3F52F388">
            <w:pPr>
              <w:jc w:val="center"/>
              <w:rPr>
                <w:rFonts w:ascii="Times New Roman" w:hAnsi="Times New Roman" w:cs="Times New Roman"/>
                <w:color w:val="auto"/>
                <w:sz w:val="21"/>
              </w:rPr>
            </w:pPr>
          </w:p>
        </w:tc>
        <w:tc>
          <w:tcPr>
            <w:tcW w:w="440" w:type="pct"/>
            <w:vAlign w:val="center"/>
          </w:tcPr>
          <w:p w14:paraId="6C55864A">
            <w:pPr>
              <w:jc w:val="center"/>
              <w:rPr>
                <w:rFonts w:ascii="Times New Roman" w:hAnsi="Times New Roman" w:cs="Times New Roman"/>
                <w:color w:val="auto"/>
                <w:sz w:val="21"/>
              </w:rPr>
            </w:pPr>
            <w:r>
              <w:rPr>
                <w:rFonts w:ascii="Times New Roman" w:hAnsi="Times New Roman" w:cs="Times New Roman"/>
                <w:color w:val="auto"/>
                <w:sz w:val="21"/>
              </w:rPr>
              <w:t>标准限值</w:t>
            </w:r>
          </w:p>
        </w:tc>
        <w:tc>
          <w:tcPr>
            <w:tcW w:w="342" w:type="pct"/>
            <w:vAlign w:val="center"/>
          </w:tcPr>
          <w:p w14:paraId="280DB594">
            <w:pPr>
              <w:jc w:val="center"/>
              <w:rPr>
                <w:rFonts w:ascii="Times New Roman" w:hAnsi="Times New Roman" w:cs="Times New Roman"/>
                <w:color w:val="auto"/>
                <w:sz w:val="21"/>
              </w:rPr>
            </w:pPr>
          </w:p>
        </w:tc>
        <w:tc>
          <w:tcPr>
            <w:tcW w:w="312" w:type="pct"/>
            <w:vAlign w:val="center"/>
          </w:tcPr>
          <w:p w14:paraId="30FBA970">
            <w:pPr>
              <w:jc w:val="center"/>
              <w:rPr>
                <w:rFonts w:ascii="Times New Roman" w:hAnsi="Times New Roman" w:cs="Times New Roman"/>
                <w:color w:val="auto"/>
                <w:sz w:val="21"/>
                <w:lang w:eastAsia="zh-CN"/>
              </w:rPr>
            </w:pPr>
          </w:p>
        </w:tc>
        <w:tc>
          <w:tcPr>
            <w:tcW w:w="376" w:type="pct"/>
            <w:vAlign w:val="center"/>
          </w:tcPr>
          <w:p w14:paraId="419FE9C8">
            <w:pPr>
              <w:jc w:val="center"/>
              <w:rPr>
                <w:rFonts w:ascii="Times New Roman" w:hAnsi="Times New Roman" w:cs="Times New Roman"/>
                <w:color w:val="auto"/>
                <w:sz w:val="21"/>
              </w:rPr>
            </w:pPr>
          </w:p>
        </w:tc>
        <w:tc>
          <w:tcPr>
            <w:tcW w:w="441" w:type="pct"/>
            <w:vAlign w:val="center"/>
          </w:tcPr>
          <w:p w14:paraId="2ED86B0F">
            <w:pPr>
              <w:jc w:val="center"/>
              <w:rPr>
                <w:rFonts w:ascii="Times New Roman" w:hAnsi="Times New Roman" w:cs="Times New Roman"/>
                <w:color w:val="auto"/>
                <w:sz w:val="21"/>
              </w:rPr>
            </w:pPr>
          </w:p>
        </w:tc>
        <w:tc>
          <w:tcPr>
            <w:tcW w:w="343" w:type="pct"/>
            <w:vAlign w:val="center"/>
          </w:tcPr>
          <w:p w14:paraId="3F8FEA47">
            <w:pPr>
              <w:jc w:val="center"/>
              <w:rPr>
                <w:rFonts w:ascii="Times New Roman" w:hAnsi="Times New Roman" w:cs="Times New Roman"/>
                <w:color w:val="auto"/>
                <w:sz w:val="21"/>
              </w:rPr>
            </w:pPr>
          </w:p>
        </w:tc>
        <w:tc>
          <w:tcPr>
            <w:tcW w:w="392" w:type="pct"/>
            <w:vAlign w:val="center"/>
          </w:tcPr>
          <w:p w14:paraId="0F1B78BE">
            <w:pPr>
              <w:jc w:val="center"/>
              <w:rPr>
                <w:rFonts w:ascii="Times New Roman" w:hAnsi="Times New Roman" w:cs="Times New Roman"/>
                <w:color w:val="auto"/>
                <w:sz w:val="21"/>
              </w:rPr>
            </w:pPr>
          </w:p>
        </w:tc>
        <w:tc>
          <w:tcPr>
            <w:tcW w:w="343" w:type="pct"/>
            <w:vAlign w:val="center"/>
          </w:tcPr>
          <w:p w14:paraId="2BF3C76C">
            <w:pPr>
              <w:jc w:val="center"/>
              <w:rPr>
                <w:rFonts w:ascii="Times New Roman" w:hAnsi="Times New Roman" w:cs="Times New Roman"/>
                <w:color w:val="auto"/>
                <w:sz w:val="21"/>
              </w:rPr>
            </w:pPr>
          </w:p>
        </w:tc>
        <w:tc>
          <w:tcPr>
            <w:tcW w:w="372" w:type="pct"/>
            <w:vAlign w:val="center"/>
          </w:tcPr>
          <w:p w14:paraId="42364F21">
            <w:pPr>
              <w:jc w:val="center"/>
              <w:rPr>
                <w:rFonts w:ascii="Times New Roman" w:hAnsi="Times New Roman" w:cs="Times New Roman"/>
                <w:color w:val="auto"/>
                <w:sz w:val="21"/>
              </w:rPr>
            </w:pPr>
          </w:p>
        </w:tc>
        <w:tc>
          <w:tcPr>
            <w:tcW w:w="363" w:type="pct"/>
            <w:vAlign w:val="center"/>
          </w:tcPr>
          <w:p w14:paraId="3886771C">
            <w:pPr>
              <w:jc w:val="center"/>
              <w:rPr>
                <w:rFonts w:ascii="Times New Roman" w:hAnsi="Times New Roman" w:cs="Times New Roman"/>
                <w:color w:val="auto"/>
                <w:sz w:val="21"/>
              </w:rPr>
            </w:pPr>
          </w:p>
        </w:tc>
        <w:tc>
          <w:tcPr>
            <w:tcW w:w="294" w:type="pct"/>
            <w:vAlign w:val="center"/>
          </w:tcPr>
          <w:p w14:paraId="19944A03">
            <w:pPr>
              <w:jc w:val="center"/>
              <w:rPr>
                <w:rFonts w:ascii="Times New Roman" w:hAnsi="Times New Roman" w:cs="Times New Roman"/>
                <w:color w:val="auto"/>
                <w:sz w:val="21"/>
              </w:rPr>
            </w:pPr>
          </w:p>
        </w:tc>
        <w:tc>
          <w:tcPr>
            <w:tcW w:w="278" w:type="pct"/>
            <w:vAlign w:val="center"/>
          </w:tcPr>
          <w:p w14:paraId="68E80A96">
            <w:pPr>
              <w:jc w:val="center"/>
              <w:rPr>
                <w:rFonts w:ascii="Times New Roman" w:hAnsi="Times New Roman" w:cs="Times New Roman"/>
                <w:color w:val="auto"/>
                <w:sz w:val="21"/>
              </w:rPr>
            </w:pPr>
          </w:p>
        </w:tc>
        <w:tc>
          <w:tcPr>
            <w:tcW w:w="310" w:type="pct"/>
            <w:vAlign w:val="center"/>
          </w:tcPr>
          <w:p w14:paraId="28EB10DC">
            <w:pPr>
              <w:jc w:val="center"/>
              <w:rPr>
                <w:rFonts w:ascii="Times New Roman" w:hAnsi="Times New Roman" w:cs="Times New Roman"/>
                <w:color w:val="auto"/>
                <w:sz w:val="21"/>
              </w:rPr>
            </w:pPr>
          </w:p>
        </w:tc>
      </w:tr>
      <w:tr w14:paraId="30D8E7EC">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393" w:type="pct"/>
            <w:vMerge w:val="continue"/>
            <w:vAlign w:val="center"/>
          </w:tcPr>
          <w:p w14:paraId="5DF623E8">
            <w:pPr>
              <w:jc w:val="center"/>
              <w:rPr>
                <w:rFonts w:ascii="Times New Roman" w:hAnsi="Times New Roman" w:cs="Times New Roman"/>
                <w:color w:val="auto"/>
                <w:sz w:val="21"/>
              </w:rPr>
            </w:pPr>
          </w:p>
        </w:tc>
        <w:tc>
          <w:tcPr>
            <w:tcW w:w="440" w:type="pct"/>
            <w:vAlign w:val="center"/>
          </w:tcPr>
          <w:p w14:paraId="46CC5B0A">
            <w:pPr>
              <w:jc w:val="center"/>
              <w:rPr>
                <w:rFonts w:ascii="Times New Roman" w:hAnsi="Times New Roman" w:cs="Times New Roman"/>
                <w:color w:val="auto"/>
                <w:sz w:val="21"/>
              </w:rPr>
            </w:pPr>
            <w:r>
              <w:rPr>
                <w:rFonts w:ascii="Times New Roman" w:hAnsi="Times New Roman" w:cs="Times New Roman"/>
                <w:color w:val="auto"/>
                <w:sz w:val="21"/>
                <w:lang w:eastAsia="zh-CN"/>
              </w:rPr>
              <w:t>评价结果</w:t>
            </w:r>
          </w:p>
        </w:tc>
        <w:tc>
          <w:tcPr>
            <w:tcW w:w="342" w:type="pct"/>
            <w:vAlign w:val="center"/>
          </w:tcPr>
          <w:p w14:paraId="28CD6DB8">
            <w:pPr>
              <w:jc w:val="center"/>
              <w:rPr>
                <w:rFonts w:ascii="Times New Roman" w:hAnsi="Times New Roman" w:cs="Times New Roman"/>
                <w:color w:val="auto"/>
                <w:sz w:val="21"/>
                <w:lang w:eastAsia="zh-CN"/>
              </w:rPr>
            </w:pPr>
          </w:p>
        </w:tc>
        <w:tc>
          <w:tcPr>
            <w:tcW w:w="312" w:type="pct"/>
            <w:vAlign w:val="center"/>
          </w:tcPr>
          <w:p w14:paraId="6BF6F293">
            <w:pPr>
              <w:jc w:val="center"/>
              <w:rPr>
                <w:rFonts w:ascii="Times New Roman" w:hAnsi="Times New Roman" w:cs="Times New Roman"/>
                <w:color w:val="auto"/>
                <w:sz w:val="21"/>
                <w:lang w:eastAsia="zh-CN"/>
              </w:rPr>
            </w:pPr>
          </w:p>
        </w:tc>
        <w:tc>
          <w:tcPr>
            <w:tcW w:w="376" w:type="pct"/>
            <w:vAlign w:val="center"/>
          </w:tcPr>
          <w:p w14:paraId="7BC4DD39">
            <w:pPr>
              <w:jc w:val="center"/>
              <w:rPr>
                <w:rFonts w:ascii="Times New Roman" w:hAnsi="Times New Roman" w:cs="Times New Roman"/>
                <w:color w:val="auto"/>
                <w:sz w:val="21"/>
                <w:lang w:eastAsia="zh-CN"/>
              </w:rPr>
            </w:pPr>
          </w:p>
        </w:tc>
        <w:tc>
          <w:tcPr>
            <w:tcW w:w="441" w:type="pct"/>
            <w:vAlign w:val="center"/>
          </w:tcPr>
          <w:p w14:paraId="4A67BC3B">
            <w:pPr>
              <w:jc w:val="center"/>
              <w:rPr>
                <w:rFonts w:ascii="Times New Roman" w:hAnsi="Times New Roman" w:cs="Times New Roman"/>
                <w:color w:val="auto"/>
                <w:sz w:val="21"/>
                <w:lang w:eastAsia="zh-CN"/>
              </w:rPr>
            </w:pPr>
          </w:p>
        </w:tc>
        <w:tc>
          <w:tcPr>
            <w:tcW w:w="343" w:type="pct"/>
            <w:vAlign w:val="center"/>
          </w:tcPr>
          <w:p w14:paraId="08AD0C43">
            <w:pPr>
              <w:jc w:val="center"/>
              <w:rPr>
                <w:rFonts w:ascii="Times New Roman" w:hAnsi="Times New Roman" w:cs="Times New Roman"/>
                <w:color w:val="auto"/>
                <w:sz w:val="21"/>
                <w:lang w:eastAsia="zh-CN"/>
              </w:rPr>
            </w:pPr>
          </w:p>
        </w:tc>
        <w:tc>
          <w:tcPr>
            <w:tcW w:w="392" w:type="pct"/>
            <w:vAlign w:val="center"/>
          </w:tcPr>
          <w:p w14:paraId="71BC1E3C">
            <w:pPr>
              <w:jc w:val="center"/>
              <w:rPr>
                <w:rFonts w:ascii="Times New Roman" w:hAnsi="Times New Roman" w:cs="Times New Roman"/>
                <w:color w:val="auto"/>
                <w:sz w:val="21"/>
                <w:lang w:eastAsia="zh-CN"/>
              </w:rPr>
            </w:pPr>
          </w:p>
        </w:tc>
        <w:tc>
          <w:tcPr>
            <w:tcW w:w="343" w:type="pct"/>
            <w:vAlign w:val="center"/>
          </w:tcPr>
          <w:p w14:paraId="58E0D0F7">
            <w:pPr>
              <w:jc w:val="center"/>
              <w:rPr>
                <w:rFonts w:ascii="Times New Roman" w:hAnsi="Times New Roman" w:cs="Times New Roman"/>
                <w:color w:val="auto"/>
                <w:sz w:val="21"/>
                <w:lang w:eastAsia="zh-CN"/>
              </w:rPr>
            </w:pPr>
          </w:p>
        </w:tc>
        <w:tc>
          <w:tcPr>
            <w:tcW w:w="372" w:type="pct"/>
            <w:vAlign w:val="center"/>
          </w:tcPr>
          <w:p w14:paraId="43BD8698">
            <w:pPr>
              <w:jc w:val="center"/>
              <w:rPr>
                <w:rFonts w:ascii="Times New Roman" w:hAnsi="Times New Roman" w:cs="Times New Roman"/>
                <w:color w:val="auto"/>
                <w:sz w:val="21"/>
                <w:lang w:eastAsia="zh-CN"/>
              </w:rPr>
            </w:pPr>
          </w:p>
        </w:tc>
        <w:tc>
          <w:tcPr>
            <w:tcW w:w="363" w:type="pct"/>
            <w:vAlign w:val="center"/>
          </w:tcPr>
          <w:p w14:paraId="58E16084">
            <w:pPr>
              <w:jc w:val="center"/>
              <w:rPr>
                <w:rFonts w:ascii="Times New Roman" w:hAnsi="Times New Roman" w:cs="Times New Roman"/>
                <w:color w:val="auto"/>
                <w:sz w:val="21"/>
                <w:lang w:eastAsia="zh-CN"/>
              </w:rPr>
            </w:pPr>
          </w:p>
        </w:tc>
        <w:tc>
          <w:tcPr>
            <w:tcW w:w="294" w:type="pct"/>
            <w:vAlign w:val="center"/>
          </w:tcPr>
          <w:p w14:paraId="594085FD">
            <w:pPr>
              <w:jc w:val="center"/>
              <w:rPr>
                <w:rFonts w:ascii="Times New Roman" w:hAnsi="Times New Roman" w:cs="Times New Roman"/>
                <w:color w:val="auto"/>
                <w:sz w:val="21"/>
                <w:lang w:eastAsia="zh-CN"/>
              </w:rPr>
            </w:pPr>
          </w:p>
        </w:tc>
        <w:tc>
          <w:tcPr>
            <w:tcW w:w="278" w:type="pct"/>
            <w:vAlign w:val="center"/>
          </w:tcPr>
          <w:p w14:paraId="1B61132E">
            <w:pPr>
              <w:jc w:val="center"/>
              <w:rPr>
                <w:rFonts w:ascii="Times New Roman" w:hAnsi="Times New Roman" w:cs="Times New Roman"/>
                <w:color w:val="auto"/>
                <w:sz w:val="21"/>
                <w:lang w:eastAsia="zh-CN"/>
              </w:rPr>
            </w:pPr>
          </w:p>
        </w:tc>
        <w:tc>
          <w:tcPr>
            <w:tcW w:w="310" w:type="pct"/>
            <w:vAlign w:val="center"/>
          </w:tcPr>
          <w:p w14:paraId="76297E22">
            <w:pPr>
              <w:jc w:val="center"/>
              <w:rPr>
                <w:rFonts w:ascii="Times New Roman" w:hAnsi="Times New Roman" w:cs="Times New Roman"/>
                <w:color w:val="auto"/>
                <w:sz w:val="21"/>
                <w:lang w:eastAsia="zh-CN"/>
              </w:rPr>
            </w:pPr>
          </w:p>
        </w:tc>
      </w:tr>
      <w:tr w14:paraId="110D849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393" w:type="pct"/>
            <w:vMerge w:val="continue"/>
            <w:vAlign w:val="center"/>
          </w:tcPr>
          <w:p w14:paraId="0C460F18">
            <w:pPr>
              <w:jc w:val="center"/>
              <w:rPr>
                <w:rFonts w:ascii="Times New Roman" w:hAnsi="Times New Roman" w:cs="Times New Roman"/>
                <w:color w:val="auto"/>
                <w:sz w:val="21"/>
              </w:rPr>
            </w:pPr>
          </w:p>
        </w:tc>
        <w:tc>
          <w:tcPr>
            <w:tcW w:w="440" w:type="pct"/>
            <w:vAlign w:val="center"/>
          </w:tcPr>
          <w:p w14:paraId="76BDD4B2">
            <w:pPr>
              <w:jc w:val="center"/>
              <w:rPr>
                <w:rFonts w:ascii="Times New Roman" w:hAnsi="Times New Roman" w:cs="Times New Roman"/>
                <w:color w:val="auto"/>
                <w:sz w:val="21"/>
              </w:rPr>
            </w:pPr>
            <w:r>
              <w:rPr>
                <w:rFonts w:ascii="Times New Roman" w:hAnsi="Times New Roman" w:cs="Times New Roman"/>
                <w:color w:val="auto"/>
                <w:sz w:val="21"/>
              </w:rPr>
              <w:t>达标情况</w:t>
            </w:r>
          </w:p>
        </w:tc>
        <w:tc>
          <w:tcPr>
            <w:tcW w:w="342" w:type="pct"/>
            <w:vAlign w:val="center"/>
          </w:tcPr>
          <w:p w14:paraId="6B95ADB8">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12" w:type="pct"/>
            <w:vAlign w:val="center"/>
          </w:tcPr>
          <w:p w14:paraId="68364BD3">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76" w:type="pct"/>
            <w:vAlign w:val="center"/>
          </w:tcPr>
          <w:p w14:paraId="0607D1B8">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441" w:type="pct"/>
            <w:vAlign w:val="center"/>
          </w:tcPr>
          <w:p w14:paraId="7505412E">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43" w:type="pct"/>
            <w:vAlign w:val="center"/>
          </w:tcPr>
          <w:p w14:paraId="65A26A89">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92" w:type="pct"/>
            <w:vAlign w:val="center"/>
          </w:tcPr>
          <w:p w14:paraId="22DDE81B">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43" w:type="pct"/>
            <w:vAlign w:val="center"/>
          </w:tcPr>
          <w:p w14:paraId="361E2196">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72" w:type="pct"/>
            <w:vAlign w:val="center"/>
          </w:tcPr>
          <w:p w14:paraId="3CFB3FCC">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63" w:type="pct"/>
            <w:vAlign w:val="center"/>
          </w:tcPr>
          <w:p w14:paraId="0DCB59D1">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294" w:type="pct"/>
            <w:vAlign w:val="center"/>
          </w:tcPr>
          <w:p w14:paraId="4D415F32">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278" w:type="pct"/>
            <w:vAlign w:val="center"/>
          </w:tcPr>
          <w:p w14:paraId="5FEDEAD0">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10" w:type="pct"/>
            <w:vAlign w:val="center"/>
          </w:tcPr>
          <w:p w14:paraId="45560BBF">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254B717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393" w:type="pct"/>
            <w:vMerge w:val="restart"/>
            <w:vAlign w:val="center"/>
          </w:tcPr>
          <w:p w14:paraId="4EA46567">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D4</w:t>
            </w:r>
          </w:p>
          <w:p w14:paraId="13D30460">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新洋丰厂区</w:t>
            </w:r>
          </w:p>
        </w:tc>
        <w:tc>
          <w:tcPr>
            <w:tcW w:w="440" w:type="pct"/>
            <w:vAlign w:val="center"/>
          </w:tcPr>
          <w:p w14:paraId="215B9631">
            <w:pPr>
              <w:jc w:val="center"/>
              <w:rPr>
                <w:rFonts w:ascii="Times New Roman" w:hAnsi="Times New Roman" w:cs="Times New Roman"/>
                <w:color w:val="auto"/>
                <w:sz w:val="21"/>
              </w:rPr>
            </w:pPr>
            <w:r>
              <w:rPr>
                <w:rFonts w:ascii="Times New Roman" w:hAnsi="Times New Roman" w:cs="Times New Roman"/>
                <w:color w:val="auto"/>
                <w:sz w:val="21"/>
              </w:rPr>
              <w:t>监测结果</w:t>
            </w:r>
          </w:p>
        </w:tc>
        <w:tc>
          <w:tcPr>
            <w:tcW w:w="342" w:type="pct"/>
            <w:vAlign w:val="center"/>
          </w:tcPr>
          <w:p w14:paraId="519D9BEF">
            <w:pPr>
              <w:jc w:val="center"/>
              <w:rPr>
                <w:rFonts w:ascii="Times New Roman" w:hAnsi="Times New Roman" w:cs="Times New Roman"/>
                <w:color w:val="auto"/>
                <w:sz w:val="21"/>
                <w:lang w:eastAsia="zh-CN"/>
              </w:rPr>
            </w:pPr>
          </w:p>
        </w:tc>
        <w:tc>
          <w:tcPr>
            <w:tcW w:w="312" w:type="pct"/>
            <w:vAlign w:val="center"/>
          </w:tcPr>
          <w:p w14:paraId="2673FA44">
            <w:pPr>
              <w:jc w:val="center"/>
              <w:rPr>
                <w:rFonts w:ascii="Times New Roman" w:hAnsi="Times New Roman" w:cs="Times New Roman"/>
                <w:color w:val="auto"/>
                <w:sz w:val="21"/>
                <w:lang w:eastAsia="zh-CN"/>
              </w:rPr>
            </w:pPr>
          </w:p>
        </w:tc>
        <w:tc>
          <w:tcPr>
            <w:tcW w:w="376" w:type="pct"/>
            <w:vAlign w:val="center"/>
          </w:tcPr>
          <w:p w14:paraId="4A54BF65">
            <w:pPr>
              <w:jc w:val="center"/>
              <w:rPr>
                <w:rFonts w:ascii="Times New Roman" w:hAnsi="Times New Roman" w:cs="Times New Roman"/>
                <w:color w:val="auto"/>
                <w:sz w:val="21"/>
                <w:lang w:eastAsia="zh-CN"/>
              </w:rPr>
            </w:pPr>
          </w:p>
        </w:tc>
        <w:tc>
          <w:tcPr>
            <w:tcW w:w="441" w:type="pct"/>
            <w:vAlign w:val="center"/>
          </w:tcPr>
          <w:p w14:paraId="303F647A">
            <w:pPr>
              <w:jc w:val="center"/>
              <w:rPr>
                <w:rFonts w:ascii="Times New Roman" w:hAnsi="Times New Roman" w:cs="Times New Roman"/>
                <w:color w:val="auto"/>
                <w:sz w:val="21"/>
                <w:lang w:eastAsia="zh-CN"/>
              </w:rPr>
            </w:pPr>
          </w:p>
        </w:tc>
        <w:tc>
          <w:tcPr>
            <w:tcW w:w="343" w:type="pct"/>
            <w:vAlign w:val="center"/>
          </w:tcPr>
          <w:p w14:paraId="0AFE6D8C">
            <w:pPr>
              <w:jc w:val="center"/>
              <w:rPr>
                <w:rFonts w:ascii="Times New Roman" w:hAnsi="Times New Roman" w:cs="Times New Roman"/>
                <w:color w:val="auto"/>
                <w:sz w:val="21"/>
              </w:rPr>
            </w:pPr>
          </w:p>
        </w:tc>
        <w:tc>
          <w:tcPr>
            <w:tcW w:w="392" w:type="pct"/>
            <w:vAlign w:val="center"/>
          </w:tcPr>
          <w:p w14:paraId="5DBD4370">
            <w:pPr>
              <w:jc w:val="center"/>
              <w:rPr>
                <w:rFonts w:ascii="Times New Roman" w:hAnsi="Times New Roman" w:cs="Times New Roman"/>
                <w:color w:val="auto"/>
                <w:sz w:val="21"/>
              </w:rPr>
            </w:pPr>
          </w:p>
        </w:tc>
        <w:tc>
          <w:tcPr>
            <w:tcW w:w="343" w:type="pct"/>
            <w:vAlign w:val="center"/>
          </w:tcPr>
          <w:p w14:paraId="40D106A4">
            <w:pPr>
              <w:jc w:val="center"/>
              <w:rPr>
                <w:rFonts w:ascii="Times New Roman" w:hAnsi="Times New Roman" w:cs="Times New Roman"/>
                <w:color w:val="auto"/>
                <w:sz w:val="21"/>
              </w:rPr>
            </w:pPr>
          </w:p>
        </w:tc>
        <w:tc>
          <w:tcPr>
            <w:tcW w:w="372" w:type="pct"/>
            <w:vAlign w:val="center"/>
          </w:tcPr>
          <w:p w14:paraId="2DF88B16">
            <w:pPr>
              <w:jc w:val="center"/>
              <w:rPr>
                <w:rFonts w:ascii="Times New Roman" w:hAnsi="Times New Roman" w:cs="Times New Roman"/>
                <w:color w:val="auto"/>
                <w:sz w:val="21"/>
              </w:rPr>
            </w:pPr>
          </w:p>
        </w:tc>
        <w:tc>
          <w:tcPr>
            <w:tcW w:w="363" w:type="pct"/>
            <w:vAlign w:val="center"/>
          </w:tcPr>
          <w:p w14:paraId="32FC85BD">
            <w:pPr>
              <w:jc w:val="center"/>
              <w:rPr>
                <w:rFonts w:ascii="Times New Roman" w:hAnsi="Times New Roman" w:cs="Times New Roman"/>
                <w:color w:val="auto"/>
                <w:sz w:val="21"/>
              </w:rPr>
            </w:pPr>
          </w:p>
        </w:tc>
        <w:tc>
          <w:tcPr>
            <w:tcW w:w="294" w:type="pct"/>
            <w:vAlign w:val="center"/>
          </w:tcPr>
          <w:p w14:paraId="1CA366B9">
            <w:pPr>
              <w:jc w:val="center"/>
              <w:rPr>
                <w:rFonts w:ascii="Times New Roman" w:hAnsi="Times New Roman" w:cs="Times New Roman"/>
                <w:color w:val="auto"/>
                <w:sz w:val="21"/>
                <w:lang w:eastAsia="zh-CN"/>
              </w:rPr>
            </w:pPr>
          </w:p>
        </w:tc>
        <w:tc>
          <w:tcPr>
            <w:tcW w:w="278" w:type="pct"/>
            <w:vAlign w:val="center"/>
          </w:tcPr>
          <w:p w14:paraId="43A8907D">
            <w:pPr>
              <w:jc w:val="center"/>
              <w:rPr>
                <w:rFonts w:ascii="Times New Roman" w:hAnsi="Times New Roman" w:cs="Times New Roman"/>
                <w:color w:val="auto"/>
                <w:sz w:val="21"/>
              </w:rPr>
            </w:pPr>
          </w:p>
        </w:tc>
        <w:tc>
          <w:tcPr>
            <w:tcW w:w="310" w:type="pct"/>
            <w:vAlign w:val="center"/>
          </w:tcPr>
          <w:p w14:paraId="34BBD79D">
            <w:pPr>
              <w:jc w:val="center"/>
              <w:rPr>
                <w:rFonts w:ascii="Times New Roman" w:hAnsi="Times New Roman" w:cs="Times New Roman"/>
                <w:color w:val="auto"/>
                <w:sz w:val="21"/>
                <w:lang w:eastAsia="zh-CN"/>
              </w:rPr>
            </w:pPr>
          </w:p>
        </w:tc>
      </w:tr>
      <w:tr w14:paraId="61EA945C">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393" w:type="pct"/>
            <w:vMerge w:val="continue"/>
            <w:vAlign w:val="center"/>
          </w:tcPr>
          <w:p w14:paraId="5A4C8406">
            <w:pPr>
              <w:jc w:val="center"/>
              <w:rPr>
                <w:rFonts w:ascii="Times New Roman" w:hAnsi="Times New Roman" w:cs="Times New Roman"/>
                <w:color w:val="auto"/>
                <w:sz w:val="21"/>
              </w:rPr>
            </w:pPr>
          </w:p>
        </w:tc>
        <w:tc>
          <w:tcPr>
            <w:tcW w:w="440" w:type="pct"/>
            <w:vAlign w:val="center"/>
          </w:tcPr>
          <w:p w14:paraId="4471B0F2">
            <w:pPr>
              <w:jc w:val="center"/>
              <w:rPr>
                <w:rFonts w:ascii="Times New Roman" w:hAnsi="Times New Roman" w:cs="Times New Roman"/>
                <w:color w:val="auto"/>
                <w:sz w:val="21"/>
              </w:rPr>
            </w:pPr>
            <w:r>
              <w:rPr>
                <w:rFonts w:ascii="Times New Roman" w:hAnsi="Times New Roman" w:cs="Times New Roman"/>
                <w:color w:val="auto"/>
                <w:sz w:val="21"/>
              </w:rPr>
              <w:t>标准限值</w:t>
            </w:r>
          </w:p>
        </w:tc>
        <w:tc>
          <w:tcPr>
            <w:tcW w:w="342" w:type="pct"/>
            <w:vAlign w:val="center"/>
          </w:tcPr>
          <w:p w14:paraId="589E1ACA">
            <w:pPr>
              <w:jc w:val="center"/>
              <w:rPr>
                <w:rFonts w:ascii="Times New Roman" w:hAnsi="Times New Roman" w:cs="Times New Roman"/>
                <w:color w:val="auto"/>
                <w:sz w:val="21"/>
              </w:rPr>
            </w:pPr>
          </w:p>
        </w:tc>
        <w:tc>
          <w:tcPr>
            <w:tcW w:w="312" w:type="pct"/>
            <w:vAlign w:val="center"/>
          </w:tcPr>
          <w:p w14:paraId="4476A048">
            <w:pPr>
              <w:jc w:val="center"/>
              <w:rPr>
                <w:rFonts w:ascii="Times New Roman" w:hAnsi="Times New Roman" w:cs="Times New Roman"/>
                <w:color w:val="auto"/>
                <w:sz w:val="21"/>
              </w:rPr>
            </w:pPr>
          </w:p>
        </w:tc>
        <w:tc>
          <w:tcPr>
            <w:tcW w:w="376" w:type="pct"/>
            <w:vAlign w:val="center"/>
          </w:tcPr>
          <w:p w14:paraId="15EFCF63">
            <w:pPr>
              <w:jc w:val="center"/>
              <w:rPr>
                <w:rFonts w:ascii="Times New Roman" w:hAnsi="Times New Roman" w:cs="Times New Roman"/>
                <w:color w:val="auto"/>
                <w:sz w:val="21"/>
              </w:rPr>
            </w:pPr>
          </w:p>
        </w:tc>
        <w:tc>
          <w:tcPr>
            <w:tcW w:w="441" w:type="pct"/>
            <w:vAlign w:val="center"/>
          </w:tcPr>
          <w:p w14:paraId="2BF3CBA7">
            <w:pPr>
              <w:jc w:val="center"/>
              <w:rPr>
                <w:rFonts w:ascii="Times New Roman" w:hAnsi="Times New Roman" w:cs="Times New Roman"/>
                <w:color w:val="auto"/>
                <w:sz w:val="21"/>
              </w:rPr>
            </w:pPr>
          </w:p>
        </w:tc>
        <w:tc>
          <w:tcPr>
            <w:tcW w:w="343" w:type="pct"/>
            <w:vAlign w:val="center"/>
          </w:tcPr>
          <w:p w14:paraId="42D89278">
            <w:pPr>
              <w:jc w:val="center"/>
              <w:rPr>
                <w:rFonts w:ascii="Times New Roman" w:hAnsi="Times New Roman" w:cs="Times New Roman"/>
                <w:color w:val="auto"/>
                <w:sz w:val="21"/>
              </w:rPr>
            </w:pPr>
          </w:p>
        </w:tc>
        <w:tc>
          <w:tcPr>
            <w:tcW w:w="392" w:type="pct"/>
            <w:vAlign w:val="center"/>
          </w:tcPr>
          <w:p w14:paraId="0977E668">
            <w:pPr>
              <w:jc w:val="center"/>
              <w:rPr>
                <w:rFonts w:ascii="Times New Roman" w:hAnsi="Times New Roman" w:cs="Times New Roman"/>
                <w:color w:val="auto"/>
                <w:sz w:val="21"/>
              </w:rPr>
            </w:pPr>
          </w:p>
        </w:tc>
        <w:tc>
          <w:tcPr>
            <w:tcW w:w="343" w:type="pct"/>
            <w:vAlign w:val="center"/>
          </w:tcPr>
          <w:p w14:paraId="57CECAF8">
            <w:pPr>
              <w:jc w:val="center"/>
              <w:rPr>
                <w:rFonts w:ascii="Times New Roman" w:hAnsi="Times New Roman" w:cs="Times New Roman"/>
                <w:color w:val="auto"/>
                <w:sz w:val="21"/>
              </w:rPr>
            </w:pPr>
          </w:p>
        </w:tc>
        <w:tc>
          <w:tcPr>
            <w:tcW w:w="372" w:type="pct"/>
            <w:vAlign w:val="center"/>
          </w:tcPr>
          <w:p w14:paraId="334D65DC">
            <w:pPr>
              <w:jc w:val="center"/>
              <w:rPr>
                <w:rFonts w:ascii="Times New Roman" w:hAnsi="Times New Roman" w:cs="Times New Roman"/>
                <w:color w:val="auto"/>
                <w:sz w:val="21"/>
              </w:rPr>
            </w:pPr>
          </w:p>
        </w:tc>
        <w:tc>
          <w:tcPr>
            <w:tcW w:w="363" w:type="pct"/>
            <w:vAlign w:val="center"/>
          </w:tcPr>
          <w:p w14:paraId="3B4973A0">
            <w:pPr>
              <w:jc w:val="center"/>
              <w:rPr>
                <w:rFonts w:ascii="Times New Roman" w:hAnsi="Times New Roman" w:cs="Times New Roman"/>
                <w:color w:val="auto"/>
                <w:sz w:val="21"/>
              </w:rPr>
            </w:pPr>
          </w:p>
        </w:tc>
        <w:tc>
          <w:tcPr>
            <w:tcW w:w="294" w:type="pct"/>
            <w:vAlign w:val="center"/>
          </w:tcPr>
          <w:p w14:paraId="0BE59EA4">
            <w:pPr>
              <w:jc w:val="center"/>
              <w:rPr>
                <w:rFonts w:ascii="Times New Roman" w:hAnsi="Times New Roman" w:cs="Times New Roman"/>
                <w:color w:val="auto"/>
                <w:sz w:val="21"/>
              </w:rPr>
            </w:pPr>
          </w:p>
        </w:tc>
        <w:tc>
          <w:tcPr>
            <w:tcW w:w="278" w:type="pct"/>
            <w:vAlign w:val="center"/>
          </w:tcPr>
          <w:p w14:paraId="0303A112">
            <w:pPr>
              <w:jc w:val="center"/>
              <w:rPr>
                <w:rFonts w:ascii="Times New Roman" w:hAnsi="Times New Roman" w:cs="Times New Roman"/>
                <w:color w:val="auto"/>
                <w:sz w:val="21"/>
              </w:rPr>
            </w:pPr>
          </w:p>
        </w:tc>
        <w:tc>
          <w:tcPr>
            <w:tcW w:w="310" w:type="pct"/>
            <w:vAlign w:val="center"/>
          </w:tcPr>
          <w:p w14:paraId="3D46D873">
            <w:pPr>
              <w:jc w:val="center"/>
              <w:rPr>
                <w:rFonts w:ascii="Times New Roman" w:hAnsi="Times New Roman" w:cs="Times New Roman"/>
                <w:color w:val="auto"/>
                <w:sz w:val="21"/>
              </w:rPr>
            </w:pPr>
          </w:p>
        </w:tc>
      </w:tr>
      <w:tr w14:paraId="2842F5E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393" w:type="pct"/>
            <w:vMerge w:val="continue"/>
            <w:vAlign w:val="center"/>
          </w:tcPr>
          <w:p w14:paraId="7F4A836E">
            <w:pPr>
              <w:jc w:val="center"/>
              <w:rPr>
                <w:rFonts w:ascii="Times New Roman" w:hAnsi="Times New Roman" w:cs="Times New Roman"/>
                <w:color w:val="auto"/>
                <w:sz w:val="21"/>
              </w:rPr>
            </w:pPr>
          </w:p>
        </w:tc>
        <w:tc>
          <w:tcPr>
            <w:tcW w:w="440" w:type="pct"/>
            <w:vAlign w:val="center"/>
          </w:tcPr>
          <w:p w14:paraId="68A11662">
            <w:pPr>
              <w:jc w:val="center"/>
              <w:rPr>
                <w:rFonts w:ascii="Times New Roman" w:hAnsi="Times New Roman" w:cs="Times New Roman"/>
                <w:color w:val="auto"/>
                <w:sz w:val="21"/>
              </w:rPr>
            </w:pPr>
            <w:r>
              <w:rPr>
                <w:rFonts w:ascii="Times New Roman" w:hAnsi="Times New Roman" w:cs="Times New Roman"/>
                <w:color w:val="auto"/>
                <w:sz w:val="21"/>
                <w:lang w:eastAsia="zh-CN"/>
              </w:rPr>
              <w:t>评价结果</w:t>
            </w:r>
          </w:p>
        </w:tc>
        <w:tc>
          <w:tcPr>
            <w:tcW w:w="342" w:type="pct"/>
            <w:vAlign w:val="center"/>
          </w:tcPr>
          <w:p w14:paraId="06E49E86">
            <w:pPr>
              <w:jc w:val="center"/>
              <w:rPr>
                <w:rFonts w:ascii="Times New Roman" w:hAnsi="Times New Roman" w:cs="Times New Roman"/>
                <w:color w:val="auto"/>
                <w:sz w:val="21"/>
                <w:lang w:eastAsia="zh-CN"/>
              </w:rPr>
            </w:pPr>
          </w:p>
        </w:tc>
        <w:tc>
          <w:tcPr>
            <w:tcW w:w="312" w:type="pct"/>
            <w:vAlign w:val="center"/>
          </w:tcPr>
          <w:p w14:paraId="0BA223E5">
            <w:pPr>
              <w:jc w:val="center"/>
              <w:rPr>
                <w:rFonts w:ascii="Times New Roman" w:hAnsi="Times New Roman" w:cs="Times New Roman"/>
                <w:color w:val="auto"/>
                <w:sz w:val="21"/>
                <w:lang w:eastAsia="zh-CN"/>
              </w:rPr>
            </w:pPr>
          </w:p>
        </w:tc>
        <w:tc>
          <w:tcPr>
            <w:tcW w:w="376" w:type="pct"/>
            <w:vAlign w:val="center"/>
          </w:tcPr>
          <w:p w14:paraId="6647B7EB">
            <w:pPr>
              <w:jc w:val="center"/>
              <w:rPr>
                <w:rFonts w:ascii="Times New Roman" w:hAnsi="Times New Roman" w:cs="Times New Roman"/>
                <w:color w:val="auto"/>
                <w:sz w:val="21"/>
                <w:lang w:eastAsia="zh-CN"/>
              </w:rPr>
            </w:pPr>
          </w:p>
        </w:tc>
        <w:tc>
          <w:tcPr>
            <w:tcW w:w="441" w:type="pct"/>
            <w:vAlign w:val="center"/>
          </w:tcPr>
          <w:p w14:paraId="6867A742">
            <w:pPr>
              <w:jc w:val="center"/>
              <w:rPr>
                <w:rFonts w:ascii="Times New Roman" w:hAnsi="Times New Roman" w:cs="Times New Roman"/>
                <w:color w:val="auto"/>
                <w:sz w:val="21"/>
                <w:lang w:eastAsia="zh-CN"/>
              </w:rPr>
            </w:pPr>
          </w:p>
        </w:tc>
        <w:tc>
          <w:tcPr>
            <w:tcW w:w="343" w:type="pct"/>
            <w:vAlign w:val="center"/>
          </w:tcPr>
          <w:p w14:paraId="6B88769A">
            <w:pPr>
              <w:jc w:val="center"/>
              <w:rPr>
                <w:rFonts w:ascii="Times New Roman" w:hAnsi="Times New Roman" w:cs="Times New Roman"/>
                <w:color w:val="auto"/>
                <w:sz w:val="21"/>
                <w:lang w:eastAsia="zh-CN"/>
              </w:rPr>
            </w:pPr>
          </w:p>
        </w:tc>
        <w:tc>
          <w:tcPr>
            <w:tcW w:w="392" w:type="pct"/>
            <w:vAlign w:val="center"/>
          </w:tcPr>
          <w:p w14:paraId="6D3AD3CD">
            <w:pPr>
              <w:jc w:val="center"/>
              <w:rPr>
                <w:rFonts w:ascii="Times New Roman" w:hAnsi="Times New Roman" w:cs="Times New Roman"/>
                <w:color w:val="auto"/>
                <w:sz w:val="21"/>
                <w:lang w:eastAsia="zh-CN"/>
              </w:rPr>
            </w:pPr>
          </w:p>
        </w:tc>
        <w:tc>
          <w:tcPr>
            <w:tcW w:w="343" w:type="pct"/>
            <w:vAlign w:val="center"/>
          </w:tcPr>
          <w:p w14:paraId="04DC4202">
            <w:pPr>
              <w:jc w:val="center"/>
              <w:rPr>
                <w:rFonts w:ascii="Times New Roman" w:hAnsi="Times New Roman" w:cs="Times New Roman"/>
                <w:color w:val="auto"/>
                <w:sz w:val="21"/>
                <w:lang w:eastAsia="zh-CN"/>
              </w:rPr>
            </w:pPr>
          </w:p>
        </w:tc>
        <w:tc>
          <w:tcPr>
            <w:tcW w:w="372" w:type="pct"/>
            <w:vAlign w:val="center"/>
          </w:tcPr>
          <w:p w14:paraId="10DCF4D0">
            <w:pPr>
              <w:jc w:val="center"/>
              <w:rPr>
                <w:rFonts w:ascii="Times New Roman" w:hAnsi="Times New Roman" w:cs="Times New Roman"/>
                <w:color w:val="auto"/>
                <w:sz w:val="21"/>
                <w:lang w:eastAsia="zh-CN"/>
              </w:rPr>
            </w:pPr>
          </w:p>
        </w:tc>
        <w:tc>
          <w:tcPr>
            <w:tcW w:w="363" w:type="pct"/>
            <w:vAlign w:val="center"/>
          </w:tcPr>
          <w:p w14:paraId="07A877E1">
            <w:pPr>
              <w:jc w:val="center"/>
              <w:rPr>
                <w:rFonts w:ascii="Times New Roman" w:hAnsi="Times New Roman" w:cs="Times New Roman"/>
                <w:color w:val="auto"/>
                <w:sz w:val="21"/>
                <w:lang w:eastAsia="zh-CN"/>
              </w:rPr>
            </w:pPr>
          </w:p>
        </w:tc>
        <w:tc>
          <w:tcPr>
            <w:tcW w:w="294" w:type="pct"/>
            <w:vAlign w:val="center"/>
          </w:tcPr>
          <w:p w14:paraId="650B9B93">
            <w:pPr>
              <w:jc w:val="center"/>
              <w:rPr>
                <w:rFonts w:ascii="Times New Roman" w:hAnsi="Times New Roman" w:cs="Times New Roman"/>
                <w:color w:val="auto"/>
                <w:sz w:val="21"/>
                <w:lang w:eastAsia="zh-CN"/>
              </w:rPr>
            </w:pPr>
          </w:p>
        </w:tc>
        <w:tc>
          <w:tcPr>
            <w:tcW w:w="278" w:type="pct"/>
            <w:vAlign w:val="center"/>
          </w:tcPr>
          <w:p w14:paraId="095C3005">
            <w:pPr>
              <w:jc w:val="center"/>
              <w:rPr>
                <w:rFonts w:ascii="Times New Roman" w:hAnsi="Times New Roman" w:cs="Times New Roman"/>
                <w:color w:val="auto"/>
                <w:sz w:val="21"/>
                <w:lang w:eastAsia="zh-CN"/>
              </w:rPr>
            </w:pPr>
          </w:p>
        </w:tc>
        <w:tc>
          <w:tcPr>
            <w:tcW w:w="310" w:type="pct"/>
            <w:vAlign w:val="center"/>
          </w:tcPr>
          <w:p w14:paraId="30AAEC96">
            <w:pPr>
              <w:jc w:val="center"/>
              <w:rPr>
                <w:rFonts w:ascii="Times New Roman" w:hAnsi="Times New Roman" w:cs="Times New Roman"/>
                <w:color w:val="auto"/>
                <w:sz w:val="21"/>
                <w:lang w:eastAsia="zh-CN"/>
              </w:rPr>
            </w:pPr>
          </w:p>
        </w:tc>
      </w:tr>
      <w:tr w14:paraId="723305E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393" w:type="pct"/>
            <w:vMerge w:val="continue"/>
            <w:vAlign w:val="center"/>
          </w:tcPr>
          <w:p w14:paraId="2BDFAC34">
            <w:pPr>
              <w:jc w:val="center"/>
              <w:rPr>
                <w:rFonts w:ascii="Times New Roman" w:hAnsi="Times New Roman" w:cs="Times New Roman"/>
                <w:color w:val="auto"/>
                <w:sz w:val="21"/>
              </w:rPr>
            </w:pPr>
          </w:p>
        </w:tc>
        <w:tc>
          <w:tcPr>
            <w:tcW w:w="440" w:type="pct"/>
            <w:vAlign w:val="center"/>
          </w:tcPr>
          <w:p w14:paraId="3EDE1D35">
            <w:pPr>
              <w:jc w:val="center"/>
              <w:rPr>
                <w:rFonts w:ascii="Times New Roman" w:hAnsi="Times New Roman" w:cs="Times New Roman"/>
                <w:color w:val="auto"/>
                <w:sz w:val="21"/>
              </w:rPr>
            </w:pPr>
            <w:r>
              <w:rPr>
                <w:rFonts w:ascii="Times New Roman" w:hAnsi="Times New Roman" w:cs="Times New Roman"/>
                <w:color w:val="auto"/>
                <w:sz w:val="21"/>
              </w:rPr>
              <w:t>达标情况</w:t>
            </w:r>
          </w:p>
        </w:tc>
        <w:tc>
          <w:tcPr>
            <w:tcW w:w="342" w:type="pct"/>
            <w:vAlign w:val="center"/>
          </w:tcPr>
          <w:p w14:paraId="6A135DAE">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12" w:type="pct"/>
            <w:vAlign w:val="center"/>
          </w:tcPr>
          <w:p w14:paraId="03FDDDD7">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76" w:type="pct"/>
            <w:vAlign w:val="center"/>
          </w:tcPr>
          <w:p w14:paraId="3D343DB9">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441" w:type="pct"/>
            <w:vAlign w:val="center"/>
          </w:tcPr>
          <w:p w14:paraId="1830BA07">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43" w:type="pct"/>
            <w:vAlign w:val="center"/>
          </w:tcPr>
          <w:p w14:paraId="205D4D86">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92" w:type="pct"/>
            <w:vAlign w:val="center"/>
          </w:tcPr>
          <w:p w14:paraId="3673E340">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43" w:type="pct"/>
            <w:vAlign w:val="center"/>
          </w:tcPr>
          <w:p w14:paraId="16E1D25D">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72" w:type="pct"/>
            <w:vAlign w:val="center"/>
          </w:tcPr>
          <w:p w14:paraId="704FF187">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63" w:type="pct"/>
            <w:vAlign w:val="center"/>
          </w:tcPr>
          <w:p w14:paraId="45F1CDA4">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294" w:type="pct"/>
            <w:vAlign w:val="center"/>
          </w:tcPr>
          <w:p w14:paraId="686AE152">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278" w:type="pct"/>
            <w:vAlign w:val="center"/>
          </w:tcPr>
          <w:p w14:paraId="6752F156">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10" w:type="pct"/>
            <w:vAlign w:val="center"/>
          </w:tcPr>
          <w:p w14:paraId="74015551">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746DA36D">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393" w:type="pct"/>
            <w:vMerge w:val="restart"/>
            <w:vAlign w:val="center"/>
          </w:tcPr>
          <w:p w14:paraId="2A7643F7">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D5</w:t>
            </w:r>
          </w:p>
          <w:p w14:paraId="161A1481">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海华科技</w:t>
            </w:r>
            <w:r>
              <w:rPr>
                <w:rFonts w:ascii="Times New Roman" w:hAnsi="Times New Roman" w:cs="Times New Roman"/>
                <w:color w:val="auto"/>
                <w:sz w:val="21"/>
                <w:lang w:eastAsia="zh-CN"/>
              </w:rPr>
              <w:t>厂区</w:t>
            </w:r>
          </w:p>
        </w:tc>
        <w:tc>
          <w:tcPr>
            <w:tcW w:w="440" w:type="pct"/>
            <w:vAlign w:val="center"/>
          </w:tcPr>
          <w:p w14:paraId="01914E11">
            <w:pPr>
              <w:jc w:val="center"/>
              <w:rPr>
                <w:rFonts w:ascii="Times New Roman" w:hAnsi="Times New Roman" w:cs="Times New Roman"/>
                <w:color w:val="auto"/>
                <w:sz w:val="21"/>
              </w:rPr>
            </w:pPr>
            <w:r>
              <w:rPr>
                <w:rFonts w:ascii="Times New Roman" w:hAnsi="Times New Roman" w:cs="Times New Roman"/>
                <w:color w:val="auto"/>
                <w:sz w:val="21"/>
              </w:rPr>
              <w:t>监测结果</w:t>
            </w:r>
          </w:p>
        </w:tc>
        <w:tc>
          <w:tcPr>
            <w:tcW w:w="342" w:type="pct"/>
            <w:vAlign w:val="center"/>
          </w:tcPr>
          <w:p w14:paraId="3E6C944E">
            <w:pPr>
              <w:jc w:val="center"/>
              <w:rPr>
                <w:rFonts w:ascii="Times New Roman" w:hAnsi="Times New Roman" w:cs="Times New Roman"/>
                <w:color w:val="auto"/>
                <w:sz w:val="21"/>
                <w:lang w:eastAsia="zh-CN"/>
              </w:rPr>
            </w:pPr>
          </w:p>
        </w:tc>
        <w:tc>
          <w:tcPr>
            <w:tcW w:w="312" w:type="pct"/>
            <w:vAlign w:val="center"/>
          </w:tcPr>
          <w:p w14:paraId="66823BAB">
            <w:pPr>
              <w:jc w:val="center"/>
              <w:rPr>
                <w:rFonts w:ascii="Times New Roman" w:hAnsi="Times New Roman" w:cs="Times New Roman"/>
                <w:color w:val="auto"/>
                <w:sz w:val="21"/>
                <w:lang w:eastAsia="zh-CN"/>
              </w:rPr>
            </w:pPr>
          </w:p>
        </w:tc>
        <w:tc>
          <w:tcPr>
            <w:tcW w:w="376" w:type="pct"/>
            <w:vAlign w:val="center"/>
          </w:tcPr>
          <w:p w14:paraId="2D37F16E">
            <w:pPr>
              <w:jc w:val="center"/>
              <w:rPr>
                <w:rFonts w:ascii="Times New Roman" w:hAnsi="Times New Roman" w:cs="Times New Roman"/>
                <w:color w:val="auto"/>
                <w:sz w:val="21"/>
                <w:lang w:eastAsia="zh-CN"/>
              </w:rPr>
            </w:pPr>
          </w:p>
        </w:tc>
        <w:tc>
          <w:tcPr>
            <w:tcW w:w="441" w:type="pct"/>
            <w:vAlign w:val="center"/>
          </w:tcPr>
          <w:p w14:paraId="5635C86D">
            <w:pPr>
              <w:jc w:val="center"/>
              <w:rPr>
                <w:rFonts w:ascii="Times New Roman" w:hAnsi="Times New Roman" w:cs="Times New Roman"/>
                <w:color w:val="auto"/>
                <w:sz w:val="21"/>
                <w:lang w:eastAsia="zh-CN"/>
              </w:rPr>
            </w:pPr>
          </w:p>
        </w:tc>
        <w:tc>
          <w:tcPr>
            <w:tcW w:w="343" w:type="pct"/>
            <w:vAlign w:val="center"/>
          </w:tcPr>
          <w:p w14:paraId="6856D1AA">
            <w:pPr>
              <w:jc w:val="center"/>
              <w:rPr>
                <w:rFonts w:ascii="Times New Roman" w:hAnsi="Times New Roman" w:cs="Times New Roman"/>
                <w:color w:val="auto"/>
                <w:sz w:val="21"/>
              </w:rPr>
            </w:pPr>
          </w:p>
        </w:tc>
        <w:tc>
          <w:tcPr>
            <w:tcW w:w="392" w:type="pct"/>
            <w:vAlign w:val="center"/>
          </w:tcPr>
          <w:p w14:paraId="65B65F51">
            <w:pPr>
              <w:jc w:val="center"/>
              <w:rPr>
                <w:rFonts w:ascii="Times New Roman" w:hAnsi="Times New Roman" w:cs="Times New Roman"/>
                <w:color w:val="auto"/>
                <w:sz w:val="21"/>
              </w:rPr>
            </w:pPr>
          </w:p>
        </w:tc>
        <w:tc>
          <w:tcPr>
            <w:tcW w:w="343" w:type="pct"/>
            <w:vAlign w:val="center"/>
          </w:tcPr>
          <w:p w14:paraId="20738A3C">
            <w:pPr>
              <w:jc w:val="center"/>
              <w:rPr>
                <w:rFonts w:ascii="Times New Roman" w:hAnsi="Times New Roman" w:cs="Times New Roman"/>
                <w:color w:val="auto"/>
                <w:sz w:val="21"/>
              </w:rPr>
            </w:pPr>
          </w:p>
        </w:tc>
        <w:tc>
          <w:tcPr>
            <w:tcW w:w="372" w:type="pct"/>
            <w:vAlign w:val="center"/>
          </w:tcPr>
          <w:p w14:paraId="0B8AD12E">
            <w:pPr>
              <w:jc w:val="center"/>
              <w:rPr>
                <w:rFonts w:ascii="Times New Roman" w:hAnsi="Times New Roman" w:cs="Times New Roman"/>
                <w:color w:val="auto"/>
                <w:sz w:val="21"/>
              </w:rPr>
            </w:pPr>
          </w:p>
        </w:tc>
        <w:tc>
          <w:tcPr>
            <w:tcW w:w="363" w:type="pct"/>
            <w:vAlign w:val="center"/>
          </w:tcPr>
          <w:p w14:paraId="678779B8">
            <w:pPr>
              <w:jc w:val="center"/>
              <w:rPr>
                <w:rFonts w:ascii="Times New Roman" w:hAnsi="Times New Roman" w:cs="Times New Roman"/>
                <w:color w:val="auto"/>
                <w:sz w:val="21"/>
              </w:rPr>
            </w:pPr>
          </w:p>
        </w:tc>
        <w:tc>
          <w:tcPr>
            <w:tcW w:w="294" w:type="pct"/>
            <w:vAlign w:val="center"/>
          </w:tcPr>
          <w:p w14:paraId="535587E5">
            <w:pPr>
              <w:jc w:val="center"/>
              <w:rPr>
                <w:rFonts w:ascii="Times New Roman" w:hAnsi="Times New Roman" w:cs="Times New Roman"/>
                <w:color w:val="auto"/>
                <w:sz w:val="21"/>
                <w:lang w:eastAsia="zh-CN"/>
              </w:rPr>
            </w:pPr>
          </w:p>
        </w:tc>
        <w:tc>
          <w:tcPr>
            <w:tcW w:w="278" w:type="pct"/>
            <w:vAlign w:val="center"/>
          </w:tcPr>
          <w:p w14:paraId="134B464B">
            <w:pPr>
              <w:jc w:val="center"/>
              <w:rPr>
                <w:rFonts w:ascii="Times New Roman" w:hAnsi="Times New Roman" w:cs="Times New Roman"/>
                <w:color w:val="auto"/>
                <w:sz w:val="21"/>
              </w:rPr>
            </w:pPr>
          </w:p>
        </w:tc>
        <w:tc>
          <w:tcPr>
            <w:tcW w:w="310" w:type="pct"/>
            <w:vAlign w:val="center"/>
          </w:tcPr>
          <w:p w14:paraId="49D46684">
            <w:pPr>
              <w:jc w:val="center"/>
              <w:rPr>
                <w:rFonts w:ascii="Times New Roman" w:hAnsi="Times New Roman" w:cs="Times New Roman"/>
                <w:color w:val="auto"/>
                <w:sz w:val="21"/>
                <w:lang w:eastAsia="zh-CN"/>
              </w:rPr>
            </w:pPr>
          </w:p>
        </w:tc>
      </w:tr>
      <w:tr w14:paraId="22207B9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393" w:type="pct"/>
            <w:vMerge w:val="continue"/>
            <w:vAlign w:val="center"/>
          </w:tcPr>
          <w:p w14:paraId="2D2385C2">
            <w:pPr>
              <w:jc w:val="center"/>
              <w:rPr>
                <w:rFonts w:ascii="Times New Roman" w:hAnsi="Times New Roman" w:cs="Times New Roman"/>
                <w:color w:val="auto"/>
                <w:sz w:val="21"/>
              </w:rPr>
            </w:pPr>
          </w:p>
        </w:tc>
        <w:tc>
          <w:tcPr>
            <w:tcW w:w="440" w:type="pct"/>
            <w:vAlign w:val="center"/>
          </w:tcPr>
          <w:p w14:paraId="46CF3260">
            <w:pPr>
              <w:jc w:val="center"/>
              <w:rPr>
                <w:rFonts w:ascii="Times New Roman" w:hAnsi="Times New Roman" w:cs="Times New Roman"/>
                <w:color w:val="auto"/>
                <w:sz w:val="21"/>
              </w:rPr>
            </w:pPr>
            <w:r>
              <w:rPr>
                <w:rFonts w:ascii="Times New Roman" w:hAnsi="Times New Roman" w:cs="Times New Roman"/>
                <w:color w:val="auto"/>
                <w:sz w:val="21"/>
              </w:rPr>
              <w:t>标准限值</w:t>
            </w:r>
          </w:p>
        </w:tc>
        <w:tc>
          <w:tcPr>
            <w:tcW w:w="342" w:type="pct"/>
            <w:vAlign w:val="center"/>
          </w:tcPr>
          <w:p w14:paraId="15CC70FB">
            <w:pPr>
              <w:jc w:val="center"/>
              <w:rPr>
                <w:rFonts w:ascii="Times New Roman" w:hAnsi="Times New Roman" w:cs="Times New Roman"/>
                <w:color w:val="auto"/>
                <w:sz w:val="21"/>
              </w:rPr>
            </w:pPr>
          </w:p>
        </w:tc>
        <w:tc>
          <w:tcPr>
            <w:tcW w:w="312" w:type="pct"/>
            <w:vAlign w:val="center"/>
          </w:tcPr>
          <w:p w14:paraId="5F171A6F">
            <w:pPr>
              <w:jc w:val="center"/>
              <w:rPr>
                <w:rFonts w:ascii="Times New Roman" w:hAnsi="Times New Roman" w:cs="Times New Roman"/>
                <w:color w:val="auto"/>
                <w:sz w:val="21"/>
              </w:rPr>
            </w:pPr>
          </w:p>
        </w:tc>
        <w:tc>
          <w:tcPr>
            <w:tcW w:w="376" w:type="pct"/>
            <w:vAlign w:val="center"/>
          </w:tcPr>
          <w:p w14:paraId="145DF895">
            <w:pPr>
              <w:jc w:val="center"/>
              <w:rPr>
                <w:rFonts w:ascii="Times New Roman" w:hAnsi="Times New Roman" w:cs="Times New Roman"/>
                <w:color w:val="auto"/>
                <w:sz w:val="21"/>
              </w:rPr>
            </w:pPr>
          </w:p>
        </w:tc>
        <w:tc>
          <w:tcPr>
            <w:tcW w:w="441" w:type="pct"/>
            <w:vAlign w:val="center"/>
          </w:tcPr>
          <w:p w14:paraId="741620F3">
            <w:pPr>
              <w:jc w:val="center"/>
              <w:rPr>
                <w:rFonts w:ascii="Times New Roman" w:hAnsi="Times New Roman" w:cs="Times New Roman"/>
                <w:color w:val="auto"/>
                <w:sz w:val="21"/>
              </w:rPr>
            </w:pPr>
          </w:p>
        </w:tc>
        <w:tc>
          <w:tcPr>
            <w:tcW w:w="343" w:type="pct"/>
            <w:vAlign w:val="center"/>
          </w:tcPr>
          <w:p w14:paraId="0FFB0CA8">
            <w:pPr>
              <w:jc w:val="center"/>
              <w:rPr>
                <w:rFonts w:ascii="Times New Roman" w:hAnsi="Times New Roman" w:cs="Times New Roman"/>
                <w:color w:val="auto"/>
                <w:sz w:val="21"/>
              </w:rPr>
            </w:pPr>
          </w:p>
        </w:tc>
        <w:tc>
          <w:tcPr>
            <w:tcW w:w="392" w:type="pct"/>
            <w:vAlign w:val="center"/>
          </w:tcPr>
          <w:p w14:paraId="2D213E9B">
            <w:pPr>
              <w:jc w:val="center"/>
              <w:rPr>
                <w:rFonts w:ascii="Times New Roman" w:hAnsi="Times New Roman" w:cs="Times New Roman"/>
                <w:color w:val="auto"/>
                <w:sz w:val="21"/>
              </w:rPr>
            </w:pPr>
          </w:p>
        </w:tc>
        <w:tc>
          <w:tcPr>
            <w:tcW w:w="343" w:type="pct"/>
            <w:vAlign w:val="center"/>
          </w:tcPr>
          <w:p w14:paraId="6F6B9546">
            <w:pPr>
              <w:jc w:val="center"/>
              <w:rPr>
                <w:rFonts w:ascii="Times New Roman" w:hAnsi="Times New Roman" w:cs="Times New Roman"/>
                <w:color w:val="auto"/>
                <w:sz w:val="21"/>
              </w:rPr>
            </w:pPr>
          </w:p>
        </w:tc>
        <w:tc>
          <w:tcPr>
            <w:tcW w:w="372" w:type="pct"/>
            <w:vAlign w:val="center"/>
          </w:tcPr>
          <w:p w14:paraId="0D4A9DE3">
            <w:pPr>
              <w:jc w:val="center"/>
              <w:rPr>
                <w:rFonts w:ascii="Times New Roman" w:hAnsi="Times New Roman" w:cs="Times New Roman"/>
                <w:color w:val="auto"/>
                <w:sz w:val="21"/>
              </w:rPr>
            </w:pPr>
          </w:p>
        </w:tc>
        <w:tc>
          <w:tcPr>
            <w:tcW w:w="363" w:type="pct"/>
            <w:vAlign w:val="center"/>
          </w:tcPr>
          <w:p w14:paraId="0297BFE5">
            <w:pPr>
              <w:jc w:val="center"/>
              <w:rPr>
                <w:rFonts w:ascii="Times New Roman" w:hAnsi="Times New Roman" w:cs="Times New Roman"/>
                <w:color w:val="auto"/>
                <w:sz w:val="21"/>
              </w:rPr>
            </w:pPr>
          </w:p>
        </w:tc>
        <w:tc>
          <w:tcPr>
            <w:tcW w:w="294" w:type="pct"/>
            <w:vAlign w:val="center"/>
          </w:tcPr>
          <w:p w14:paraId="12A97109">
            <w:pPr>
              <w:jc w:val="center"/>
              <w:rPr>
                <w:rFonts w:ascii="Times New Roman" w:hAnsi="Times New Roman" w:cs="Times New Roman"/>
                <w:color w:val="auto"/>
                <w:sz w:val="21"/>
              </w:rPr>
            </w:pPr>
          </w:p>
        </w:tc>
        <w:tc>
          <w:tcPr>
            <w:tcW w:w="278" w:type="pct"/>
            <w:vAlign w:val="center"/>
          </w:tcPr>
          <w:p w14:paraId="09622CA2">
            <w:pPr>
              <w:jc w:val="center"/>
              <w:rPr>
                <w:rFonts w:ascii="Times New Roman" w:hAnsi="Times New Roman" w:cs="Times New Roman"/>
                <w:color w:val="auto"/>
                <w:sz w:val="21"/>
              </w:rPr>
            </w:pPr>
          </w:p>
        </w:tc>
        <w:tc>
          <w:tcPr>
            <w:tcW w:w="310" w:type="pct"/>
            <w:vAlign w:val="center"/>
          </w:tcPr>
          <w:p w14:paraId="1656FC79">
            <w:pPr>
              <w:jc w:val="center"/>
              <w:rPr>
                <w:rFonts w:ascii="Times New Roman" w:hAnsi="Times New Roman" w:cs="Times New Roman"/>
                <w:color w:val="auto"/>
                <w:sz w:val="21"/>
              </w:rPr>
            </w:pPr>
          </w:p>
        </w:tc>
      </w:tr>
      <w:tr w14:paraId="765271D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393" w:type="pct"/>
            <w:vMerge w:val="continue"/>
            <w:vAlign w:val="center"/>
          </w:tcPr>
          <w:p w14:paraId="5331E3DC">
            <w:pPr>
              <w:jc w:val="center"/>
              <w:rPr>
                <w:rFonts w:ascii="Times New Roman" w:hAnsi="Times New Roman" w:cs="Times New Roman"/>
                <w:color w:val="auto"/>
                <w:sz w:val="21"/>
              </w:rPr>
            </w:pPr>
          </w:p>
        </w:tc>
        <w:tc>
          <w:tcPr>
            <w:tcW w:w="440" w:type="pct"/>
            <w:vAlign w:val="center"/>
          </w:tcPr>
          <w:p w14:paraId="3BFF5BDE">
            <w:pPr>
              <w:jc w:val="center"/>
              <w:rPr>
                <w:rFonts w:ascii="Times New Roman" w:hAnsi="Times New Roman" w:cs="Times New Roman"/>
                <w:color w:val="auto"/>
                <w:sz w:val="21"/>
              </w:rPr>
            </w:pPr>
            <w:r>
              <w:rPr>
                <w:rFonts w:ascii="Times New Roman" w:hAnsi="Times New Roman" w:cs="Times New Roman"/>
                <w:color w:val="auto"/>
                <w:sz w:val="21"/>
                <w:lang w:eastAsia="zh-CN"/>
              </w:rPr>
              <w:t>评价结果</w:t>
            </w:r>
          </w:p>
        </w:tc>
        <w:tc>
          <w:tcPr>
            <w:tcW w:w="342" w:type="pct"/>
            <w:vAlign w:val="center"/>
          </w:tcPr>
          <w:p w14:paraId="4E743188">
            <w:pPr>
              <w:jc w:val="center"/>
              <w:rPr>
                <w:rFonts w:ascii="Times New Roman" w:hAnsi="Times New Roman" w:cs="Times New Roman"/>
                <w:color w:val="auto"/>
                <w:sz w:val="21"/>
                <w:lang w:eastAsia="zh-CN"/>
              </w:rPr>
            </w:pPr>
          </w:p>
        </w:tc>
        <w:tc>
          <w:tcPr>
            <w:tcW w:w="312" w:type="pct"/>
            <w:vAlign w:val="center"/>
          </w:tcPr>
          <w:p w14:paraId="5A9D1F19">
            <w:pPr>
              <w:jc w:val="center"/>
              <w:rPr>
                <w:rFonts w:ascii="Times New Roman" w:hAnsi="Times New Roman" w:cs="Times New Roman"/>
                <w:color w:val="auto"/>
                <w:sz w:val="21"/>
                <w:lang w:eastAsia="zh-CN"/>
              </w:rPr>
            </w:pPr>
          </w:p>
        </w:tc>
        <w:tc>
          <w:tcPr>
            <w:tcW w:w="376" w:type="pct"/>
            <w:vAlign w:val="center"/>
          </w:tcPr>
          <w:p w14:paraId="58BEE31D">
            <w:pPr>
              <w:jc w:val="center"/>
              <w:rPr>
                <w:rFonts w:ascii="Times New Roman" w:hAnsi="Times New Roman" w:cs="Times New Roman"/>
                <w:color w:val="auto"/>
                <w:sz w:val="21"/>
                <w:lang w:eastAsia="zh-CN"/>
              </w:rPr>
            </w:pPr>
          </w:p>
        </w:tc>
        <w:tc>
          <w:tcPr>
            <w:tcW w:w="441" w:type="pct"/>
            <w:vAlign w:val="center"/>
          </w:tcPr>
          <w:p w14:paraId="2E1BB1FE">
            <w:pPr>
              <w:jc w:val="center"/>
              <w:rPr>
                <w:rFonts w:ascii="Times New Roman" w:hAnsi="Times New Roman" w:cs="Times New Roman"/>
                <w:color w:val="auto"/>
                <w:sz w:val="21"/>
                <w:lang w:eastAsia="zh-CN"/>
              </w:rPr>
            </w:pPr>
          </w:p>
        </w:tc>
        <w:tc>
          <w:tcPr>
            <w:tcW w:w="343" w:type="pct"/>
            <w:vAlign w:val="center"/>
          </w:tcPr>
          <w:p w14:paraId="77882AAC">
            <w:pPr>
              <w:jc w:val="center"/>
              <w:rPr>
                <w:rFonts w:ascii="Times New Roman" w:hAnsi="Times New Roman" w:cs="Times New Roman"/>
                <w:color w:val="auto"/>
                <w:sz w:val="21"/>
              </w:rPr>
            </w:pPr>
          </w:p>
        </w:tc>
        <w:tc>
          <w:tcPr>
            <w:tcW w:w="392" w:type="pct"/>
            <w:vAlign w:val="center"/>
          </w:tcPr>
          <w:p w14:paraId="3DD9FAAD">
            <w:pPr>
              <w:jc w:val="center"/>
              <w:rPr>
                <w:rFonts w:ascii="Times New Roman" w:hAnsi="Times New Roman" w:cs="Times New Roman"/>
                <w:color w:val="auto"/>
                <w:sz w:val="21"/>
              </w:rPr>
            </w:pPr>
          </w:p>
        </w:tc>
        <w:tc>
          <w:tcPr>
            <w:tcW w:w="343" w:type="pct"/>
            <w:vAlign w:val="center"/>
          </w:tcPr>
          <w:p w14:paraId="6E7291CA">
            <w:pPr>
              <w:jc w:val="center"/>
              <w:rPr>
                <w:rFonts w:ascii="Times New Roman" w:hAnsi="Times New Roman" w:cs="Times New Roman"/>
                <w:color w:val="auto"/>
                <w:sz w:val="21"/>
              </w:rPr>
            </w:pPr>
          </w:p>
        </w:tc>
        <w:tc>
          <w:tcPr>
            <w:tcW w:w="372" w:type="pct"/>
            <w:vAlign w:val="center"/>
          </w:tcPr>
          <w:p w14:paraId="3C4FF582">
            <w:pPr>
              <w:jc w:val="center"/>
              <w:rPr>
                <w:rFonts w:ascii="Times New Roman" w:hAnsi="Times New Roman" w:cs="Times New Roman"/>
                <w:color w:val="auto"/>
                <w:sz w:val="21"/>
              </w:rPr>
            </w:pPr>
          </w:p>
        </w:tc>
        <w:tc>
          <w:tcPr>
            <w:tcW w:w="363" w:type="pct"/>
            <w:vAlign w:val="center"/>
          </w:tcPr>
          <w:p w14:paraId="628A5145">
            <w:pPr>
              <w:jc w:val="center"/>
              <w:rPr>
                <w:rFonts w:ascii="Times New Roman" w:hAnsi="Times New Roman" w:cs="Times New Roman"/>
                <w:color w:val="auto"/>
                <w:sz w:val="21"/>
              </w:rPr>
            </w:pPr>
          </w:p>
        </w:tc>
        <w:tc>
          <w:tcPr>
            <w:tcW w:w="294" w:type="pct"/>
            <w:vAlign w:val="center"/>
          </w:tcPr>
          <w:p w14:paraId="6F5CA41F">
            <w:pPr>
              <w:jc w:val="center"/>
              <w:rPr>
                <w:rFonts w:ascii="Times New Roman" w:hAnsi="Times New Roman" w:cs="Times New Roman"/>
                <w:color w:val="auto"/>
                <w:sz w:val="21"/>
                <w:lang w:eastAsia="zh-CN"/>
              </w:rPr>
            </w:pPr>
          </w:p>
        </w:tc>
        <w:tc>
          <w:tcPr>
            <w:tcW w:w="278" w:type="pct"/>
            <w:vAlign w:val="center"/>
          </w:tcPr>
          <w:p w14:paraId="50113438">
            <w:pPr>
              <w:jc w:val="center"/>
              <w:rPr>
                <w:rFonts w:ascii="Times New Roman" w:hAnsi="Times New Roman" w:cs="Times New Roman"/>
                <w:color w:val="auto"/>
                <w:sz w:val="21"/>
              </w:rPr>
            </w:pPr>
          </w:p>
        </w:tc>
        <w:tc>
          <w:tcPr>
            <w:tcW w:w="310" w:type="pct"/>
            <w:vAlign w:val="center"/>
          </w:tcPr>
          <w:p w14:paraId="3F0D2508">
            <w:pPr>
              <w:jc w:val="center"/>
              <w:rPr>
                <w:rFonts w:ascii="Times New Roman" w:hAnsi="Times New Roman" w:cs="Times New Roman"/>
                <w:color w:val="auto"/>
                <w:sz w:val="21"/>
                <w:lang w:eastAsia="zh-CN"/>
              </w:rPr>
            </w:pPr>
          </w:p>
        </w:tc>
      </w:tr>
      <w:tr w14:paraId="0F7B0B7C">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393" w:type="pct"/>
            <w:vMerge w:val="continue"/>
            <w:vAlign w:val="center"/>
          </w:tcPr>
          <w:p w14:paraId="53E5CE9F">
            <w:pPr>
              <w:jc w:val="center"/>
              <w:rPr>
                <w:rFonts w:ascii="Times New Roman" w:hAnsi="Times New Roman" w:cs="Times New Roman"/>
                <w:color w:val="auto"/>
                <w:sz w:val="21"/>
              </w:rPr>
            </w:pPr>
          </w:p>
        </w:tc>
        <w:tc>
          <w:tcPr>
            <w:tcW w:w="440" w:type="pct"/>
            <w:vAlign w:val="center"/>
          </w:tcPr>
          <w:p w14:paraId="3234864D">
            <w:pPr>
              <w:jc w:val="center"/>
              <w:rPr>
                <w:rFonts w:ascii="Times New Roman" w:hAnsi="Times New Roman" w:cs="Times New Roman"/>
                <w:color w:val="auto"/>
                <w:sz w:val="21"/>
              </w:rPr>
            </w:pPr>
            <w:r>
              <w:rPr>
                <w:rFonts w:ascii="Times New Roman" w:hAnsi="Times New Roman" w:cs="Times New Roman"/>
                <w:color w:val="auto"/>
                <w:sz w:val="21"/>
              </w:rPr>
              <w:t>达标情况</w:t>
            </w:r>
          </w:p>
        </w:tc>
        <w:tc>
          <w:tcPr>
            <w:tcW w:w="342" w:type="pct"/>
            <w:vAlign w:val="center"/>
          </w:tcPr>
          <w:p w14:paraId="2410F7F7">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12" w:type="pct"/>
            <w:vAlign w:val="center"/>
          </w:tcPr>
          <w:p w14:paraId="3A0576DA">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76" w:type="pct"/>
            <w:vAlign w:val="center"/>
          </w:tcPr>
          <w:p w14:paraId="7EAD64E7">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441" w:type="pct"/>
            <w:vAlign w:val="center"/>
          </w:tcPr>
          <w:p w14:paraId="5D04FEB5">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43" w:type="pct"/>
            <w:vAlign w:val="center"/>
          </w:tcPr>
          <w:p w14:paraId="23AC4B49">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92" w:type="pct"/>
            <w:vAlign w:val="center"/>
          </w:tcPr>
          <w:p w14:paraId="23D0E7B8">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43" w:type="pct"/>
            <w:vAlign w:val="center"/>
          </w:tcPr>
          <w:p w14:paraId="20563A2A">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72" w:type="pct"/>
            <w:vAlign w:val="center"/>
          </w:tcPr>
          <w:p w14:paraId="27021934">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63" w:type="pct"/>
            <w:vAlign w:val="center"/>
          </w:tcPr>
          <w:p w14:paraId="168D9F5C">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294" w:type="pct"/>
            <w:vAlign w:val="center"/>
          </w:tcPr>
          <w:p w14:paraId="52273A21">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278" w:type="pct"/>
            <w:vAlign w:val="center"/>
          </w:tcPr>
          <w:p w14:paraId="45EDD62F">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10" w:type="pct"/>
            <w:vAlign w:val="center"/>
          </w:tcPr>
          <w:p w14:paraId="503EACE1">
            <w:pPr>
              <w:jc w:val="center"/>
              <w:rPr>
                <w:rFonts w:ascii="Times New Roman" w:hAnsi="Times New Roman" w:cs="Times New Roman"/>
                <w:color w:val="auto"/>
                <w:sz w:val="21"/>
              </w:rPr>
            </w:pPr>
            <w:r>
              <w:rPr>
                <w:rFonts w:ascii="Times New Roman" w:hAnsi="Times New Roman" w:cs="Times New Roman"/>
                <w:color w:val="auto"/>
                <w:sz w:val="21"/>
              </w:rPr>
              <w:t>达标</w:t>
            </w:r>
          </w:p>
        </w:tc>
      </w:tr>
      <w:bookmarkEnd w:id="1283"/>
    </w:tbl>
    <w:p w14:paraId="7E743C0E">
      <w:pPr>
        <w:pStyle w:val="42"/>
        <w:ind w:firstLine="480"/>
        <w:sectPr>
          <w:pgSz w:w="16840" w:h="11907" w:orient="landscape"/>
          <w:pgMar w:top="1134" w:right="1191" w:bottom="1134" w:left="1191" w:header="0" w:footer="914" w:gutter="0"/>
          <w:cols w:space="720" w:num="1"/>
        </w:sectPr>
      </w:pPr>
    </w:p>
    <w:p w14:paraId="4C30E523">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（续）表5.2-1</w:t>
      </w:r>
      <w:r>
        <w:rPr>
          <w:rFonts w:hint="eastAsia" w:ascii="Times New Roman" w:hAnsi="Times New Roman" w:cs="Times New Roman"/>
          <w:b/>
          <w:bCs/>
          <w:color w:val="auto"/>
          <w:lang w:eastAsia="zh-CN"/>
        </w:rPr>
        <w:t>2</w:t>
      </w:r>
      <w:r>
        <w:rPr>
          <w:rFonts w:ascii="Times New Roman" w:hAnsi="Times New Roman" w:cs="Times New Roman"/>
          <w:b/>
          <w:bCs/>
          <w:color w:val="auto"/>
          <w:lang w:eastAsia="zh-CN"/>
        </w:rPr>
        <w:t xml:space="preserve"> 地下水水质监测及评价结果一览表   单位：mg/L ，pH 无量纲</w:t>
      </w:r>
    </w:p>
    <w:tbl>
      <w:tblPr>
        <w:tblStyle w:val="35"/>
        <w:tblW w:w="5000" w:type="pct"/>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autofit"/>
        <w:tblCellMar>
          <w:top w:w="0" w:type="dxa"/>
          <w:left w:w="0" w:type="dxa"/>
          <w:bottom w:w="0" w:type="dxa"/>
          <w:right w:w="0" w:type="dxa"/>
        </w:tblCellMar>
      </w:tblPr>
      <w:tblGrid>
        <w:gridCol w:w="1420"/>
        <w:gridCol w:w="1929"/>
        <w:gridCol w:w="1241"/>
        <w:gridCol w:w="1235"/>
        <w:gridCol w:w="992"/>
        <w:gridCol w:w="1478"/>
        <w:gridCol w:w="1235"/>
        <w:gridCol w:w="1235"/>
        <w:gridCol w:w="1235"/>
        <w:gridCol w:w="1233"/>
        <w:gridCol w:w="1225"/>
      </w:tblGrid>
      <w:tr w14:paraId="574ADE0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3" w:hRule="atLeast"/>
          <w:jc w:val="center"/>
        </w:trPr>
        <w:tc>
          <w:tcPr>
            <w:tcW w:w="491" w:type="pct"/>
            <w:vAlign w:val="center"/>
          </w:tcPr>
          <w:p w14:paraId="0AD359E4">
            <w:pPr>
              <w:jc w:val="center"/>
              <w:rPr>
                <w:rFonts w:ascii="Times New Roman" w:hAnsi="Times New Roman" w:cs="Times New Roman"/>
                <w:b/>
                <w:bCs/>
                <w:color w:val="auto"/>
                <w:sz w:val="21"/>
              </w:rPr>
            </w:pPr>
            <w:bookmarkStart w:id="1284" w:name="_Hlk187765499"/>
            <w:r>
              <w:rPr>
                <w:rFonts w:ascii="Times New Roman" w:hAnsi="Times New Roman" w:cs="Times New Roman"/>
                <w:b/>
                <w:bCs/>
                <w:color w:val="auto"/>
                <w:sz w:val="21"/>
              </w:rPr>
              <w:t>点位</w:t>
            </w:r>
          </w:p>
        </w:tc>
        <w:tc>
          <w:tcPr>
            <w:tcW w:w="667" w:type="pct"/>
            <w:vAlign w:val="center"/>
          </w:tcPr>
          <w:p w14:paraId="692C4210">
            <w:pPr>
              <w:jc w:val="center"/>
              <w:rPr>
                <w:rFonts w:ascii="Times New Roman" w:hAnsi="Times New Roman" w:cs="Times New Roman"/>
                <w:b/>
                <w:bCs/>
                <w:color w:val="auto"/>
                <w:sz w:val="21"/>
              </w:rPr>
            </w:pPr>
            <w:r>
              <w:rPr>
                <w:rFonts w:ascii="Times New Roman" w:hAnsi="Times New Roman" w:cs="Times New Roman"/>
                <w:b/>
                <w:bCs/>
                <w:color w:val="auto"/>
                <w:sz w:val="21"/>
              </w:rPr>
              <w:t>项目</w:t>
            </w:r>
          </w:p>
        </w:tc>
        <w:tc>
          <w:tcPr>
            <w:tcW w:w="429" w:type="pct"/>
            <w:vAlign w:val="center"/>
          </w:tcPr>
          <w:p w14:paraId="61EF4F87">
            <w:pPr>
              <w:jc w:val="center"/>
              <w:rPr>
                <w:rFonts w:ascii="Times New Roman" w:hAnsi="Times New Roman" w:cs="Times New Roman"/>
                <w:b/>
                <w:bCs/>
                <w:color w:val="auto"/>
                <w:sz w:val="21"/>
              </w:rPr>
            </w:pPr>
            <w:r>
              <w:rPr>
                <w:rFonts w:ascii="Times New Roman" w:hAnsi="Times New Roman" w:cs="Times New Roman"/>
                <w:b/>
                <w:bCs/>
                <w:color w:val="auto"/>
                <w:sz w:val="21"/>
              </w:rPr>
              <w:t>镉</w:t>
            </w:r>
          </w:p>
        </w:tc>
        <w:tc>
          <w:tcPr>
            <w:tcW w:w="427" w:type="pct"/>
            <w:vAlign w:val="center"/>
          </w:tcPr>
          <w:p w14:paraId="34CAE794">
            <w:pPr>
              <w:jc w:val="center"/>
              <w:rPr>
                <w:rFonts w:ascii="Times New Roman" w:hAnsi="Times New Roman" w:cs="Times New Roman"/>
                <w:b/>
                <w:bCs/>
                <w:color w:val="auto"/>
                <w:sz w:val="21"/>
              </w:rPr>
            </w:pPr>
            <w:r>
              <w:rPr>
                <w:rFonts w:ascii="Times New Roman" w:hAnsi="Times New Roman" w:cs="Times New Roman"/>
                <w:b/>
                <w:bCs/>
                <w:color w:val="auto"/>
                <w:sz w:val="21"/>
              </w:rPr>
              <w:t>铁</w:t>
            </w:r>
          </w:p>
        </w:tc>
        <w:tc>
          <w:tcPr>
            <w:tcW w:w="343" w:type="pct"/>
            <w:vAlign w:val="center"/>
          </w:tcPr>
          <w:p w14:paraId="6722E411">
            <w:pPr>
              <w:jc w:val="center"/>
              <w:rPr>
                <w:rFonts w:ascii="Times New Roman" w:hAnsi="Times New Roman" w:cs="Times New Roman"/>
                <w:b/>
                <w:bCs/>
                <w:color w:val="auto"/>
                <w:sz w:val="21"/>
              </w:rPr>
            </w:pPr>
            <w:r>
              <w:rPr>
                <w:rFonts w:ascii="Times New Roman" w:hAnsi="Times New Roman" w:cs="Times New Roman"/>
                <w:b/>
                <w:bCs/>
                <w:color w:val="auto"/>
                <w:sz w:val="21"/>
              </w:rPr>
              <w:t>锰</w:t>
            </w:r>
          </w:p>
        </w:tc>
        <w:tc>
          <w:tcPr>
            <w:tcW w:w="511" w:type="pct"/>
            <w:vAlign w:val="center"/>
          </w:tcPr>
          <w:p w14:paraId="40944F12">
            <w:pPr>
              <w:jc w:val="center"/>
              <w:rPr>
                <w:rFonts w:ascii="Times New Roman" w:hAnsi="Times New Roman" w:cs="Times New Roman"/>
                <w:b/>
                <w:bCs/>
                <w:color w:val="auto"/>
                <w:sz w:val="21"/>
                <w:lang w:eastAsia="zh-CN"/>
              </w:rPr>
            </w:pPr>
            <w:r>
              <w:rPr>
                <w:rFonts w:ascii="Times New Roman" w:hAnsi="Times New Roman" w:cs="Times New Roman"/>
                <w:b/>
                <w:bCs/>
                <w:color w:val="auto"/>
                <w:sz w:val="21"/>
              </w:rPr>
              <w:t>溶解性总固体</w:t>
            </w:r>
          </w:p>
        </w:tc>
        <w:tc>
          <w:tcPr>
            <w:tcW w:w="427" w:type="pct"/>
            <w:vAlign w:val="center"/>
          </w:tcPr>
          <w:p w14:paraId="14AA38CA">
            <w:pPr>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耗氧量</w:t>
            </w:r>
          </w:p>
        </w:tc>
        <w:tc>
          <w:tcPr>
            <w:tcW w:w="427" w:type="pct"/>
            <w:vAlign w:val="center"/>
          </w:tcPr>
          <w:p w14:paraId="6151494A">
            <w:pPr>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硫酸盐</w:t>
            </w:r>
          </w:p>
        </w:tc>
        <w:tc>
          <w:tcPr>
            <w:tcW w:w="427" w:type="pct"/>
            <w:vAlign w:val="center"/>
          </w:tcPr>
          <w:p w14:paraId="067586A9">
            <w:pPr>
              <w:jc w:val="center"/>
              <w:rPr>
                <w:rFonts w:ascii="Times New Roman" w:hAnsi="Times New Roman" w:cs="Times New Roman"/>
                <w:b/>
                <w:bCs/>
                <w:color w:val="auto"/>
                <w:sz w:val="21"/>
                <w:lang w:eastAsia="zh-CN"/>
              </w:rPr>
            </w:pPr>
            <w:r>
              <w:rPr>
                <w:rFonts w:ascii="Times New Roman" w:hAnsi="Times New Roman" w:cs="Times New Roman"/>
                <w:b/>
                <w:bCs/>
                <w:color w:val="auto"/>
                <w:sz w:val="21"/>
              </w:rPr>
              <w:t>氯化物</w:t>
            </w:r>
          </w:p>
        </w:tc>
        <w:tc>
          <w:tcPr>
            <w:tcW w:w="426" w:type="pct"/>
            <w:vAlign w:val="center"/>
          </w:tcPr>
          <w:p w14:paraId="65BBAEA6">
            <w:pPr>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总大肠菌群</w:t>
            </w:r>
          </w:p>
        </w:tc>
        <w:tc>
          <w:tcPr>
            <w:tcW w:w="423" w:type="pct"/>
            <w:vAlign w:val="center"/>
          </w:tcPr>
          <w:p w14:paraId="6C280B6A">
            <w:pPr>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细菌总</w:t>
            </w:r>
            <w:r>
              <w:rPr>
                <w:rFonts w:ascii="Times New Roman" w:hAnsi="Times New Roman" w:cs="Times New Roman"/>
                <w:b/>
                <w:bCs/>
                <w:color w:val="auto"/>
                <w:sz w:val="21"/>
              </w:rPr>
              <w:t>数</w:t>
            </w:r>
          </w:p>
        </w:tc>
      </w:tr>
      <w:tr w14:paraId="073F427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3" w:hRule="atLeast"/>
          <w:jc w:val="center"/>
        </w:trPr>
        <w:tc>
          <w:tcPr>
            <w:tcW w:w="491" w:type="pct"/>
            <w:vMerge w:val="restart"/>
            <w:vAlign w:val="center"/>
          </w:tcPr>
          <w:p w14:paraId="6E34FB46">
            <w:pPr>
              <w:jc w:val="center"/>
              <w:rPr>
                <w:rFonts w:ascii="Times New Roman" w:hAnsi="Times New Roman" w:cs="Times New Roman"/>
                <w:color w:val="auto"/>
                <w:sz w:val="21"/>
              </w:rPr>
            </w:pPr>
            <w:r>
              <w:rPr>
                <w:rFonts w:ascii="Times New Roman" w:hAnsi="Times New Roman" w:cs="Times New Roman"/>
                <w:color w:val="auto"/>
                <w:sz w:val="21"/>
              </w:rPr>
              <w:t>D1</w:t>
            </w:r>
          </w:p>
          <w:p w14:paraId="01989DE0">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项目场地</w:t>
            </w:r>
          </w:p>
        </w:tc>
        <w:tc>
          <w:tcPr>
            <w:tcW w:w="667" w:type="pct"/>
            <w:vAlign w:val="center"/>
          </w:tcPr>
          <w:p w14:paraId="56ED4E26">
            <w:pPr>
              <w:jc w:val="center"/>
              <w:rPr>
                <w:rFonts w:ascii="Times New Roman" w:hAnsi="Times New Roman" w:cs="Times New Roman"/>
                <w:color w:val="auto"/>
                <w:sz w:val="21"/>
              </w:rPr>
            </w:pPr>
            <w:r>
              <w:rPr>
                <w:rFonts w:ascii="Times New Roman" w:hAnsi="Times New Roman" w:cs="Times New Roman"/>
                <w:color w:val="auto"/>
                <w:sz w:val="21"/>
              </w:rPr>
              <w:t>监测结果</w:t>
            </w:r>
          </w:p>
        </w:tc>
        <w:tc>
          <w:tcPr>
            <w:tcW w:w="429" w:type="pct"/>
            <w:vAlign w:val="center"/>
          </w:tcPr>
          <w:p w14:paraId="68DBF559">
            <w:pPr>
              <w:jc w:val="center"/>
              <w:rPr>
                <w:rFonts w:ascii="Times New Roman" w:hAnsi="Times New Roman" w:cs="Times New Roman"/>
                <w:color w:val="auto"/>
                <w:sz w:val="21"/>
                <w:lang w:eastAsia="zh-CN"/>
              </w:rPr>
            </w:pPr>
          </w:p>
        </w:tc>
        <w:tc>
          <w:tcPr>
            <w:tcW w:w="427" w:type="pct"/>
            <w:vAlign w:val="center"/>
          </w:tcPr>
          <w:p w14:paraId="59605210">
            <w:pPr>
              <w:jc w:val="center"/>
              <w:rPr>
                <w:rFonts w:ascii="Times New Roman" w:hAnsi="Times New Roman" w:cs="Times New Roman"/>
                <w:color w:val="auto"/>
                <w:sz w:val="21"/>
                <w:lang w:eastAsia="zh-CN"/>
              </w:rPr>
            </w:pPr>
          </w:p>
        </w:tc>
        <w:tc>
          <w:tcPr>
            <w:tcW w:w="343" w:type="pct"/>
            <w:vAlign w:val="center"/>
          </w:tcPr>
          <w:p w14:paraId="5F391DE1">
            <w:pPr>
              <w:jc w:val="center"/>
              <w:rPr>
                <w:rFonts w:ascii="Times New Roman" w:hAnsi="Times New Roman" w:cs="Times New Roman"/>
                <w:color w:val="auto"/>
                <w:sz w:val="21"/>
                <w:lang w:eastAsia="zh-CN"/>
              </w:rPr>
            </w:pPr>
          </w:p>
        </w:tc>
        <w:tc>
          <w:tcPr>
            <w:tcW w:w="511" w:type="pct"/>
            <w:vAlign w:val="center"/>
          </w:tcPr>
          <w:p w14:paraId="2D3C3A6C">
            <w:pPr>
              <w:jc w:val="center"/>
              <w:rPr>
                <w:rFonts w:ascii="Times New Roman" w:hAnsi="Times New Roman" w:cs="Times New Roman"/>
                <w:color w:val="auto"/>
                <w:sz w:val="21"/>
                <w:lang w:eastAsia="zh-CN"/>
              </w:rPr>
            </w:pPr>
          </w:p>
        </w:tc>
        <w:tc>
          <w:tcPr>
            <w:tcW w:w="427" w:type="pct"/>
            <w:vAlign w:val="center"/>
          </w:tcPr>
          <w:p w14:paraId="7A9A1A79">
            <w:pPr>
              <w:jc w:val="center"/>
              <w:rPr>
                <w:rFonts w:ascii="Times New Roman" w:hAnsi="Times New Roman" w:cs="Times New Roman"/>
                <w:color w:val="auto"/>
                <w:sz w:val="21"/>
                <w:lang w:eastAsia="zh-CN"/>
              </w:rPr>
            </w:pPr>
          </w:p>
        </w:tc>
        <w:tc>
          <w:tcPr>
            <w:tcW w:w="427" w:type="pct"/>
            <w:vAlign w:val="center"/>
          </w:tcPr>
          <w:p w14:paraId="04F67A9D">
            <w:pPr>
              <w:jc w:val="center"/>
              <w:rPr>
                <w:rFonts w:ascii="Times New Roman" w:hAnsi="Times New Roman" w:cs="Times New Roman"/>
                <w:color w:val="auto"/>
                <w:sz w:val="21"/>
                <w:lang w:eastAsia="zh-CN"/>
              </w:rPr>
            </w:pPr>
          </w:p>
        </w:tc>
        <w:tc>
          <w:tcPr>
            <w:tcW w:w="427" w:type="pct"/>
            <w:vAlign w:val="center"/>
          </w:tcPr>
          <w:p w14:paraId="7ECA86D0">
            <w:pPr>
              <w:jc w:val="center"/>
              <w:rPr>
                <w:rFonts w:ascii="Times New Roman" w:hAnsi="Times New Roman" w:cs="Times New Roman"/>
                <w:color w:val="auto"/>
                <w:sz w:val="21"/>
                <w:lang w:eastAsia="zh-CN"/>
              </w:rPr>
            </w:pPr>
          </w:p>
        </w:tc>
        <w:tc>
          <w:tcPr>
            <w:tcW w:w="426" w:type="pct"/>
            <w:vAlign w:val="center"/>
          </w:tcPr>
          <w:p w14:paraId="3AA2D917">
            <w:pPr>
              <w:jc w:val="center"/>
              <w:rPr>
                <w:rFonts w:ascii="Times New Roman" w:hAnsi="Times New Roman" w:cs="Times New Roman"/>
                <w:color w:val="auto"/>
                <w:sz w:val="21"/>
                <w:lang w:eastAsia="zh-CN"/>
              </w:rPr>
            </w:pPr>
          </w:p>
        </w:tc>
        <w:tc>
          <w:tcPr>
            <w:tcW w:w="423" w:type="pct"/>
            <w:vAlign w:val="center"/>
          </w:tcPr>
          <w:p w14:paraId="146F2731">
            <w:pPr>
              <w:jc w:val="center"/>
              <w:rPr>
                <w:rFonts w:ascii="Times New Roman" w:hAnsi="Times New Roman" w:cs="Times New Roman"/>
                <w:color w:val="auto"/>
                <w:sz w:val="21"/>
                <w:lang w:eastAsia="zh-CN"/>
              </w:rPr>
            </w:pPr>
          </w:p>
        </w:tc>
      </w:tr>
      <w:tr w14:paraId="48B517D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3" w:hRule="atLeast"/>
          <w:jc w:val="center"/>
        </w:trPr>
        <w:tc>
          <w:tcPr>
            <w:tcW w:w="491" w:type="pct"/>
            <w:vMerge w:val="continue"/>
            <w:vAlign w:val="center"/>
          </w:tcPr>
          <w:p w14:paraId="20E69E63">
            <w:pPr>
              <w:jc w:val="center"/>
              <w:rPr>
                <w:rFonts w:ascii="Times New Roman" w:hAnsi="Times New Roman" w:cs="Times New Roman"/>
                <w:color w:val="auto"/>
                <w:sz w:val="21"/>
              </w:rPr>
            </w:pPr>
          </w:p>
        </w:tc>
        <w:tc>
          <w:tcPr>
            <w:tcW w:w="667" w:type="pct"/>
            <w:vAlign w:val="center"/>
          </w:tcPr>
          <w:p w14:paraId="4A5701CC">
            <w:pPr>
              <w:jc w:val="center"/>
              <w:rPr>
                <w:rFonts w:ascii="Times New Roman" w:hAnsi="Times New Roman" w:cs="Times New Roman"/>
                <w:color w:val="auto"/>
                <w:sz w:val="21"/>
              </w:rPr>
            </w:pPr>
            <w:r>
              <w:rPr>
                <w:rFonts w:ascii="Times New Roman" w:hAnsi="Times New Roman" w:cs="Times New Roman"/>
                <w:color w:val="auto"/>
                <w:sz w:val="21"/>
              </w:rPr>
              <w:t>标准限值</w:t>
            </w:r>
          </w:p>
        </w:tc>
        <w:tc>
          <w:tcPr>
            <w:tcW w:w="429" w:type="pct"/>
            <w:vAlign w:val="center"/>
          </w:tcPr>
          <w:p w14:paraId="06ECD40B">
            <w:pPr>
              <w:jc w:val="center"/>
              <w:rPr>
                <w:rFonts w:ascii="Times New Roman" w:hAnsi="Times New Roman" w:cs="Times New Roman"/>
                <w:color w:val="auto"/>
                <w:sz w:val="21"/>
              </w:rPr>
            </w:pPr>
          </w:p>
        </w:tc>
        <w:tc>
          <w:tcPr>
            <w:tcW w:w="427" w:type="pct"/>
            <w:vAlign w:val="center"/>
          </w:tcPr>
          <w:p w14:paraId="468F50CF">
            <w:pPr>
              <w:jc w:val="center"/>
              <w:rPr>
                <w:rFonts w:ascii="Times New Roman" w:hAnsi="Times New Roman" w:cs="Times New Roman"/>
                <w:color w:val="auto"/>
                <w:sz w:val="21"/>
              </w:rPr>
            </w:pPr>
          </w:p>
        </w:tc>
        <w:tc>
          <w:tcPr>
            <w:tcW w:w="343" w:type="pct"/>
            <w:vAlign w:val="center"/>
          </w:tcPr>
          <w:p w14:paraId="031BF27D">
            <w:pPr>
              <w:jc w:val="center"/>
              <w:rPr>
                <w:rFonts w:ascii="Times New Roman" w:hAnsi="Times New Roman" w:cs="Times New Roman"/>
                <w:color w:val="auto"/>
                <w:sz w:val="21"/>
              </w:rPr>
            </w:pPr>
          </w:p>
        </w:tc>
        <w:tc>
          <w:tcPr>
            <w:tcW w:w="511" w:type="pct"/>
            <w:vAlign w:val="center"/>
          </w:tcPr>
          <w:p w14:paraId="62325E5B">
            <w:pPr>
              <w:jc w:val="center"/>
              <w:rPr>
                <w:rFonts w:ascii="Times New Roman" w:hAnsi="Times New Roman" w:cs="Times New Roman"/>
                <w:color w:val="auto"/>
                <w:sz w:val="21"/>
                <w:lang w:eastAsia="zh-CN"/>
              </w:rPr>
            </w:pPr>
          </w:p>
        </w:tc>
        <w:tc>
          <w:tcPr>
            <w:tcW w:w="427" w:type="pct"/>
            <w:vAlign w:val="center"/>
          </w:tcPr>
          <w:p w14:paraId="415AA4B3">
            <w:pPr>
              <w:jc w:val="center"/>
              <w:rPr>
                <w:rFonts w:ascii="Times New Roman" w:hAnsi="Times New Roman" w:cs="Times New Roman"/>
                <w:color w:val="auto"/>
                <w:sz w:val="21"/>
                <w:lang w:eastAsia="zh-CN"/>
              </w:rPr>
            </w:pPr>
          </w:p>
        </w:tc>
        <w:tc>
          <w:tcPr>
            <w:tcW w:w="427" w:type="pct"/>
            <w:vAlign w:val="center"/>
          </w:tcPr>
          <w:p w14:paraId="4D6D3720">
            <w:pPr>
              <w:jc w:val="center"/>
              <w:rPr>
                <w:rFonts w:ascii="Times New Roman" w:hAnsi="Times New Roman" w:cs="Times New Roman"/>
                <w:color w:val="auto"/>
                <w:sz w:val="21"/>
                <w:lang w:eastAsia="zh-CN"/>
              </w:rPr>
            </w:pPr>
          </w:p>
        </w:tc>
        <w:tc>
          <w:tcPr>
            <w:tcW w:w="427" w:type="pct"/>
            <w:vAlign w:val="center"/>
          </w:tcPr>
          <w:p w14:paraId="71E8A721">
            <w:pPr>
              <w:jc w:val="center"/>
              <w:rPr>
                <w:rFonts w:ascii="Times New Roman" w:hAnsi="Times New Roman" w:cs="Times New Roman"/>
                <w:color w:val="auto"/>
                <w:sz w:val="21"/>
                <w:lang w:eastAsia="zh-CN"/>
              </w:rPr>
            </w:pPr>
          </w:p>
        </w:tc>
        <w:tc>
          <w:tcPr>
            <w:tcW w:w="426" w:type="pct"/>
            <w:vAlign w:val="center"/>
          </w:tcPr>
          <w:p w14:paraId="05609B65">
            <w:pPr>
              <w:jc w:val="center"/>
              <w:rPr>
                <w:rFonts w:ascii="Times New Roman" w:hAnsi="Times New Roman" w:cs="Times New Roman"/>
                <w:color w:val="auto"/>
                <w:sz w:val="21"/>
                <w:lang w:eastAsia="zh-CN"/>
              </w:rPr>
            </w:pPr>
          </w:p>
        </w:tc>
        <w:tc>
          <w:tcPr>
            <w:tcW w:w="423" w:type="pct"/>
            <w:vAlign w:val="center"/>
          </w:tcPr>
          <w:p w14:paraId="663635A6">
            <w:pPr>
              <w:jc w:val="center"/>
              <w:rPr>
                <w:rFonts w:ascii="Times New Roman" w:hAnsi="Times New Roman" w:cs="Times New Roman"/>
                <w:color w:val="auto"/>
                <w:sz w:val="21"/>
                <w:lang w:eastAsia="zh-CN"/>
              </w:rPr>
            </w:pPr>
          </w:p>
        </w:tc>
      </w:tr>
      <w:tr w14:paraId="2867DFA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3" w:hRule="atLeast"/>
          <w:jc w:val="center"/>
        </w:trPr>
        <w:tc>
          <w:tcPr>
            <w:tcW w:w="491" w:type="pct"/>
            <w:vMerge w:val="continue"/>
            <w:vAlign w:val="center"/>
          </w:tcPr>
          <w:p w14:paraId="66607A94">
            <w:pPr>
              <w:jc w:val="center"/>
              <w:rPr>
                <w:rFonts w:ascii="Times New Roman" w:hAnsi="Times New Roman" w:cs="Times New Roman"/>
                <w:color w:val="auto"/>
                <w:sz w:val="21"/>
              </w:rPr>
            </w:pPr>
          </w:p>
        </w:tc>
        <w:tc>
          <w:tcPr>
            <w:tcW w:w="667" w:type="pct"/>
            <w:vAlign w:val="center"/>
          </w:tcPr>
          <w:p w14:paraId="1E4B7A0D">
            <w:pPr>
              <w:jc w:val="center"/>
              <w:rPr>
                <w:rFonts w:ascii="Times New Roman" w:hAnsi="Times New Roman" w:cs="Times New Roman"/>
                <w:color w:val="auto"/>
                <w:sz w:val="21"/>
              </w:rPr>
            </w:pPr>
            <w:r>
              <w:rPr>
                <w:rFonts w:ascii="Times New Roman" w:hAnsi="Times New Roman" w:cs="Times New Roman"/>
                <w:color w:val="auto"/>
                <w:sz w:val="21"/>
                <w:lang w:eastAsia="zh-CN"/>
              </w:rPr>
              <w:t>评价结果</w:t>
            </w:r>
          </w:p>
        </w:tc>
        <w:tc>
          <w:tcPr>
            <w:tcW w:w="429" w:type="pct"/>
            <w:vAlign w:val="center"/>
          </w:tcPr>
          <w:p w14:paraId="509608FB">
            <w:pPr>
              <w:jc w:val="center"/>
              <w:rPr>
                <w:rFonts w:ascii="Times New Roman" w:hAnsi="Times New Roman" w:cs="Times New Roman"/>
                <w:color w:val="auto"/>
                <w:sz w:val="21"/>
                <w:lang w:eastAsia="zh-CN"/>
              </w:rPr>
            </w:pPr>
          </w:p>
        </w:tc>
        <w:tc>
          <w:tcPr>
            <w:tcW w:w="427" w:type="pct"/>
            <w:vAlign w:val="center"/>
          </w:tcPr>
          <w:p w14:paraId="26E3713B">
            <w:pPr>
              <w:jc w:val="center"/>
              <w:rPr>
                <w:rFonts w:ascii="Times New Roman" w:hAnsi="Times New Roman" w:cs="Times New Roman"/>
                <w:color w:val="auto"/>
                <w:sz w:val="21"/>
                <w:lang w:eastAsia="zh-CN"/>
              </w:rPr>
            </w:pPr>
          </w:p>
        </w:tc>
        <w:tc>
          <w:tcPr>
            <w:tcW w:w="343" w:type="pct"/>
            <w:vAlign w:val="center"/>
          </w:tcPr>
          <w:p w14:paraId="7E7BBB6C">
            <w:pPr>
              <w:jc w:val="center"/>
              <w:rPr>
                <w:rFonts w:ascii="Times New Roman" w:hAnsi="Times New Roman" w:cs="Times New Roman"/>
                <w:color w:val="auto"/>
                <w:sz w:val="21"/>
                <w:lang w:eastAsia="zh-CN"/>
              </w:rPr>
            </w:pPr>
          </w:p>
        </w:tc>
        <w:tc>
          <w:tcPr>
            <w:tcW w:w="511" w:type="pct"/>
            <w:vAlign w:val="center"/>
          </w:tcPr>
          <w:p w14:paraId="6BD21A03">
            <w:pPr>
              <w:jc w:val="center"/>
              <w:rPr>
                <w:rFonts w:ascii="Times New Roman" w:hAnsi="Times New Roman" w:cs="Times New Roman"/>
                <w:color w:val="auto"/>
                <w:sz w:val="21"/>
                <w:lang w:eastAsia="zh-CN"/>
              </w:rPr>
            </w:pPr>
          </w:p>
        </w:tc>
        <w:tc>
          <w:tcPr>
            <w:tcW w:w="427" w:type="pct"/>
            <w:vAlign w:val="center"/>
          </w:tcPr>
          <w:p w14:paraId="763CE7FD">
            <w:pPr>
              <w:jc w:val="center"/>
              <w:rPr>
                <w:rFonts w:ascii="Times New Roman" w:hAnsi="Times New Roman" w:cs="Times New Roman"/>
                <w:color w:val="auto"/>
                <w:sz w:val="21"/>
                <w:lang w:eastAsia="zh-CN"/>
              </w:rPr>
            </w:pPr>
          </w:p>
        </w:tc>
        <w:tc>
          <w:tcPr>
            <w:tcW w:w="427" w:type="pct"/>
            <w:vAlign w:val="center"/>
          </w:tcPr>
          <w:p w14:paraId="199CBB57">
            <w:pPr>
              <w:jc w:val="center"/>
              <w:rPr>
                <w:rFonts w:ascii="Times New Roman" w:hAnsi="Times New Roman" w:cs="Times New Roman"/>
                <w:color w:val="auto"/>
                <w:sz w:val="21"/>
                <w:lang w:eastAsia="zh-CN"/>
              </w:rPr>
            </w:pPr>
          </w:p>
        </w:tc>
        <w:tc>
          <w:tcPr>
            <w:tcW w:w="427" w:type="pct"/>
            <w:vAlign w:val="center"/>
          </w:tcPr>
          <w:p w14:paraId="2CCBB7C6">
            <w:pPr>
              <w:jc w:val="center"/>
              <w:rPr>
                <w:rFonts w:ascii="Times New Roman" w:hAnsi="Times New Roman" w:cs="Times New Roman"/>
                <w:color w:val="auto"/>
                <w:sz w:val="21"/>
                <w:lang w:eastAsia="zh-CN"/>
              </w:rPr>
            </w:pPr>
          </w:p>
        </w:tc>
        <w:tc>
          <w:tcPr>
            <w:tcW w:w="426" w:type="pct"/>
            <w:vAlign w:val="center"/>
          </w:tcPr>
          <w:p w14:paraId="1E55DF21">
            <w:pPr>
              <w:jc w:val="center"/>
              <w:rPr>
                <w:rFonts w:ascii="Times New Roman" w:hAnsi="Times New Roman" w:cs="Times New Roman"/>
                <w:color w:val="auto"/>
                <w:sz w:val="21"/>
                <w:lang w:eastAsia="zh-CN"/>
              </w:rPr>
            </w:pPr>
          </w:p>
        </w:tc>
        <w:tc>
          <w:tcPr>
            <w:tcW w:w="423" w:type="pct"/>
            <w:vAlign w:val="center"/>
          </w:tcPr>
          <w:p w14:paraId="5F5DB14E">
            <w:pPr>
              <w:jc w:val="center"/>
              <w:rPr>
                <w:rFonts w:ascii="Times New Roman" w:hAnsi="Times New Roman" w:cs="Times New Roman"/>
                <w:color w:val="auto"/>
                <w:sz w:val="21"/>
                <w:lang w:eastAsia="zh-CN"/>
              </w:rPr>
            </w:pPr>
          </w:p>
        </w:tc>
      </w:tr>
      <w:tr w14:paraId="52A4FDF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3" w:hRule="atLeast"/>
          <w:jc w:val="center"/>
        </w:trPr>
        <w:tc>
          <w:tcPr>
            <w:tcW w:w="491" w:type="pct"/>
            <w:vMerge w:val="continue"/>
            <w:vAlign w:val="center"/>
          </w:tcPr>
          <w:p w14:paraId="33FB7C68">
            <w:pPr>
              <w:jc w:val="center"/>
              <w:rPr>
                <w:rFonts w:ascii="Times New Roman" w:hAnsi="Times New Roman" w:cs="Times New Roman"/>
                <w:color w:val="auto"/>
                <w:sz w:val="21"/>
              </w:rPr>
            </w:pPr>
          </w:p>
        </w:tc>
        <w:tc>
          <w:tcPr>
            <w:tcW w:w="667" w:type="pct"/>
            <w:vAlign w:val="center"/>
          </w:tcPr>
          <w:p w14:paraId="51E075DA">
            <w:pPr>
              <w:jc w:val="center"/>
              <w:rPr>
                <w:rFonts w:ascii="Times New Roman" w:hAnsi="Times New Roman" w:cs="Times New Roman"/>
                <w:color w:val="auto"/>
                <w:sz w:val="21"/>
              </w:rPr>
            </w:pPr>
            <w:r>
              <w:rPr>
                <w:rFonts w:ascii="Times New Roman" w:hAnsi="Times New Roman" w:cs="Times New Roman"/>
                <w:color w:val="auto"/>
                <w:sz w:val="21"/>
              </w:rPr>
              <w:t>达标情况</w:t>
            </w:r>
          </w:p>
        </w:tc>
        <w:tc>
          <w:tcPr>
            <w:tcW w:w="429" w:type="pct"/>
            <w:vAlign w:val="center"/>
          </w:tcPr>
          <w:p w14:paraId="2B15FE65">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427" w:type="pct"/>
            <w:vAlign w:val="center"/>
          </w:tcPr>
          <w:p w14:paraId="05CD2623">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43" w:type="pct"/>
            <w:vAlign w:val="center"/>
          </w:tcPr>
          <w:p w14:paraId="2A3CBE18">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达</w:t>
            </w:r>
            <w:r>
              <w:rPr>
                <w:rFonts w:ascii="Times New Roman" w:hAnsi="Times New Roman" w:cs="Times New Roman"/>
                <w:color w:val="auto"/>
                <w:sz w:val="21"/>
              </w:rPr>
              <w:t>标</w:t>
            </w:r>
          </w:p>
        </w:tc>
        <w:tc>
          <w:tcPr>
            <w:tcW w:w="511" w:type="pct"/>
            <w:vAlign w:val="center"/>
          </w:tcPr>
          <w:p w14:paraId="77556D17">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427" w:type="pct"/>
            <w:vAlign w:val="center"/>
          </w:tcPr>
          <w:p w14:paraId="23470B69">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427" w:type="pct"/>
            <w:vAlign w:val="center"/>
          </w:tcPr>
          <w:p w14:paraId="778D7EF4">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427" w:type="pct"/>
            <w:vAlign w:val="center"/>
          </w:tcPr>
          <w:p w14:paraId="0A4C3F3E">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426" w:type="pct"/>
            <w:vAlign w:val="center"/>
          </w:tcPr>
          <w:p w14:paraId="2A22F6E1">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423" w:type="pct"/>
            <w:vAlign w:val="center"/>
          </w:tcPr>
          <w:p w14:paraId="1A65E8E9">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1DF70AAD">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3" w:hRule="atLeast"/>
          <w:jc w:val="center"/>
        </w:trPr>
        <w:tc>
          <w:tcPr>
            <w:tcW w:w="491" w:type="pct"/>
            <w:vMerge w:val="restart"/>
            <w:vAlign w:val="center"/>
          </w:tcPr>
          <w:p w14:paraId="1EAF1BCF">
            <w:pPr>
              <w:jc w:val="center"/>
              <w:rPr>
                <w:rFonts w:ascii="Times New Roman" w:hAnsi="Times New Roman" w:cs="Times New Roman"/>
                <w:color w:val="auto"/>
                <w:sz w:val="21"/>
              </w:rPr>
            </w:pPr>
            <w:r>
              <w:rPr>
                <w:rFonts w:ascii="Times New Roman" w:hAnsi="Times New Roman" w:cs="Times New Roman"/>
                <w:color w:val="auto"/>
                <w:sz w:val="21"/>
              </w:rPr>
              <w:t>D2</w:t>
            </w:r>
          </w:p>
          <w:p w14:paraId="3ECAA772">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三铺村</w:t>
            </w:r>
          </w:p>
        </w:tc>
        <w:tc>
          <w:tcPr>
            <w:tcW w:w="667" w:type="pct"/>
            <w:vAlign w:val="center"/>
          </w:tcPr>
          <w:p w14:paraId="7F8692AF">
            <w:pPr>
              <w:jc w:val="center"/>
              <w:rPr>
                <w:rFonts w:ascii="Times New Roman" w:hAnsi="Times New Roman" w:cs="Times New Roman"/>
                <w:color w:val="auto"/>
                <w:sz w:val="21"/>
              </w:rPr>
            </w:pPr>
            <w:r>
              <w:rPr>
                <w:rFonts w:ascii="Times New Roman" w:hAnsi="Times New Roman" w:cs="Times New Roman"/>
                <w:color w:val="auto"/>
                <w:sz w:val="21"/>
              </w:rPr>
              <w:t>监测结果</w:t>
            </w:r>
          </w:p>
        </w:tc>
        <w:tc>
          <w:tcPr>
            <w:tcW w:w="429" w:type="pct"/>
            <w:vAlign w:val="center"/>
          </w:tcPr>
          <w:p w14:paraId="68B62E58">
            <w:pPr>
              <w:jc w:val="center"/>
              <w:rPr>
                <w:rFonts w:ascii="Times New Roman" w:hAnsi="Times New Roman" w:cs="Times New Roman"/>
                <w:color w:val="000000" w:themeColor="text1"/>
                <w:sz w:val="21"/>
                <w:lang w:eastAsia="zh-CN"/>
                <w14:textFill>
                  <w14:solidFill>
                    <w14:schemeClr w14:val="tx1"/>
                  </w14:solidFill>
                </w14:textFill>
              </w:rPr>
            </w:pPr>
          </w:p>
        </w:tc>
        <w:tc>
          <w:tcPr>
            <w:tcW w:w="427" w:type="pct"/>
            <w:vAlign w:val="center"/>
          </w:tcPr>
          <w:p w14:paraId="301CE007">
            <w:pPr>
              <w:jc w:val="center"/>
              <w:rPr>
                <w:rFonts w:ascii="Times New Roman" w:hAnsi="Times New Roman" w:cs="Times New Roman"/>
                <w:color w:val="000000" w:themeColor="text1"/>
                <w:sz w:val="21"/>
                <w:lang w:eastAsia="zh-CN"/>
                <w14:textFill>
                  <w14:solidFill>
                    <w14:schemeClr w14:val="tx1"/>
                  </w14:solidFill>
                </w14:textFill>
              </w:rPr>
            </w:pPr>
          </w:p>
        </w:tc>
        <w:tc>
          <w:tcPr>
            <w:tcW w:w="343" w:type="pct"/>
            <w:vAlign w:val="center"/>
          </w:tcPr>
          <w:p w14:paraId="5ECB4242">
            <w:pPr>
              <w:jc w:val="center"/>
              <w:rPr>
                <w:rFonts w:ascii="Times New Roman" w:hAnsi="Times New Roman" w:cs="Times New Roman"/>
                <w:color w:val="000000" w:themeColor="text1"/>
                <w:sz w:val="21"/>
                <w:lang w:eastAsia="zh-CN"/>
                <w14:textFill>
                  <w14:solidFill>
                    <w14:schemeClr w14:val="tx1"/>
                  </w14:solidFill>
                </w14:textFill>
              </w:rPr>
            </w:pPr>
          </w:p>
        </w:tc>
        <w:tc>
          <w:tcPr>
            <w:tcW w:w="511" w:type="pct"/>
            <w:vAlign w:val="center"/>
          </w:tcPr>
          <w:p w14:paraId="36B9D663">
            <w:pPr>
              <w:jc w:val="center"/>
              <w:rPr>
                <w:rFonts w:ascii="Times New Roman" w:hAnsi="Times New Roman" w:cs="Times New Roman"/>
                <w:color w:val="000000" w:themeColor="text1"/>
                <w:sz w:val="21"/>
                <w:lang w:eastAsia="zh-CN"/>
                <w14:textFill>
                  <w14:solidFill>
                    <w14:schemeClr w14:val="tx1"/>
                  </w14:solidFill>
                </w14:textFill>
              </w:rPr>
            </w:pPr>
          </w:p>
        </w:tc>
        <w:tc>
          <w:tcPr>
            <w:tcW w:w="427" w:type="pct"/>
            <w:vAlign w:val="center"/>
          </w:tcPr>
          <w:p w14:paraId="126269D6">
            <w:pPr>
              <w:jc w:val="center"/>
              <w:rPr>
                <w:rFonts w:ascii="Times New Roman" w:hAnsi="Times New Roman" w:cs="Times New Roman"/>
                <w:color w:val="000000" w:themeColor="text1"/>
                <w:sz w:val="21"/>
                <w:lang w:eastAsia="zh-CN"/>
                <w14:textFill>
                  <w14:solidFill>
                    <w14:schemeClr w14:val="tx1"/>
                  </w14:solidFill>
                </w14:textFill>
              </w:rPr>
            </w:pPr>
          </w:p>
        </w:tc>
        <w:tc>
          <w:tcPr>
            <w:tcW w:w="427" w:type="pct"/>
            <w:vAlign w:val="center"/>
          </w:tcPr>
          <w:p w14:paraId="6482F05C">
            <w:pPr>
              <w:jc w:val="center"/>
              <w:rPr>
                <w:rFonts w:ascii="Times New Roman" w:hAnsi="Times New Roman" w:cs="Times New Roman"/>
                <w:color w:val="000000" w:themeColor="text1"/>
                <w:sz w:val="21"/>
                <w:lang w:eastAsia="zh-CN"/>
                <w14:textFill>
                  <w14:solidFill>
                    <w14:schemeClr w14:val="tx1"/>
                  </w14:solidFill>
                </w14:textFill>
              </w:rPr>
            </w:pPr>
          </w:p>
        </w:tc>
        <w:tc>
          <w:tcPr>
            <w:tcW w:w="427" w:type="pct"/>
            <w:vAlign w:val="center"/>
          </w:tcPr>
          <w:p w14:paraId="0E4BED6A">
            <w:pPr>
              <w:jc w:val="center"/>
              <w:rPr>
                <w:rFonts w:ascii="Times New Roman" w:hAnsi="Times New Roman" w:cs="Times New Roman"/>
                <w:color w:val="000000" w:themeColor="text1"/>
                <w:sz w:val="21"/>
                <w:lang w:eastAsia="zh-CN"/>
                <w14:textFill>
                  <w14:solidFill>
                    <w14:schemeClr w14:val="tx1"/>
                  </w14:solidFill>
                </w14:textFill>
              </w:rPr>
            </w:pPr>
          </w:p>
        </w:tc>
        <w:tc>
          <w:tcPr>
            <w:tcW w:w="426" w:type="pct"/>
            <w:vAlign w:val="center"/>
          </w:tcPr>
          <w:p w14:paraId="11DFB5E1">
            <w:pPr>
              <w:jc w:val="center"/>
              <w:rPr>
                <w:rFonts w:ascii="Times New Roman" w:hAnsi="Times New Roman" w:cs="Times New Roman"/>
                <w:color w:val="000000" w:themeColor="text1"/>
                <w:sz w:val="21"/>
                <w:lang w:eastAsia="zh-CN"/>
                <w14:textFill>
                  <w14:solidFill>
                    <w14:schemeClr w14:val="tx1"/>
                  </w14:solidFill>
                </w14:textFill>
              </w:rPr>
            </w:pPr>
          </w:p>
        </w:tc>
        <w:tc>
          <w:tcPr>
            <w:tcW w:w="423" w:type="pct"/>
            <w:vAlign w:val="center"/>
          </w:tcPr>
          <w:p w14:paraId="4E513F52">
            <w:pPr>
              <w:jc w:val="center"/>
              <w:rPr>
                <w:rFonts w:ascii="Times New Roman" w:hAnsi="Times New Roman" w:cs="Times New Roman"/>
                <w:color w:val="000000" w:themeColor="text1"/>
                <w:sz w:val="21"/>
                <w:lang w:eastAsia="zh-CN"/>
                <w14:textFill>
                  <w14:solidFill>
                    <w14:schemeClr w14:val="tx1"/>
                  </w14:solidFill>
                </w14:textFill>
              </w:rPr>
            </w:pPr>
          </w:p>
        </w:tc>
      </w:tr>
      <w:tr w14:paraId="6684B27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3" w:hRule="atLeast"/>
          <w:jc w:val="center"/>
        </w:trPr>
        <w:tc>
          <w:tcPr>
            <w:tcW w:w="491" w:type="pct"/>
            <w:vMerge w:val="continue"/>
            <w:vAlign w:val="center"/>
          </w:tcPr>
          <w:p w14:paraId="2961592E">
            <w:pPr>
              <w:jc w:val="center"/>
              <w:rPr>
                <w:rFonts w:ascii="Times New Roman" w:hAnsi="Times New Roman" w:cs="Times New Roman"/>
                <w:color w:val="auto"/>
                <w:sz w:val="21"/>
              </w:rPr>
            </w:pPr>
          </w:p>
        </w:tc>
        <w:tc>
          <w:tcPr>
            <w:tcW w:w="667" w:type="pct"/>
            <w:vAlign w:val="center"/>
          </w:tcPr>
          <w:p w14:paraId="16A6F462">
            <w:pPr>
              <w:jc w:val="center"/>
              <w:rPr>
                <w:rFonts w:ascii="Times New Roman" w:hAnsi="Times New Roman" w:cs="Times New Roman"/>
                <w:color w:val="auto"/>
                <w:sz w:val="21"/>
              </w:rPr>
            </w:pPr>
            <w:r>
              <w:rPr>
                <w:rFonts w:ascii="Times New Roman" w:hAnsi="Times New Roman" w:cs="Times New Roman"/>
                <w:color w:val="auto"/>
                <w:sz w:val="21"/>
              </w:rPr>
              <w:t>标准限值</w:t>
            </w:r>
          </w:p>
        </w:tc>
        <w:tc>
          <w:tcPr>
            <w:tcW w:w="429" w:type="pct"/>
            <w:vAlign w:val="center"/>
          </w:tcPr>
          <w:p w14:paraId="1DFA0FB2">
            <w:pPr>
              <w:jc w:val="center"/>
              <w:rPr>
                <w:rFonts w:ascii="Times New Roman" w:hAnsi="Times New Roman" w:cs="Times New Roman"/>
                <w:color w:val="000000" w:themeColor="text1"/>
                <w:sz w:val="21"/>
                <w14:textFill>
                  <w14:solidFill>
                    <w14:schemeClr w14:val="tx1"/>
                  </w14:solidFill>
                </w14:textFill>
              </w:rPr>
            </w:pPr>
          </w:p>
        </w:tc>
        <w:tc>
          <w:tcPr>
            <w:tcW w:w="427" w:type="pct"/>
            <w:vAlign w:val="center"/>
          </w:tcPr>
          <w:p w14:paraId="1D38ED11">
            <w:pPr>
              <w:jc w:val="center"/>
              <w:rPr>
                <w:rFonts w:ascii="Times New Roman" w:hAnsi="Times New Roman" w:cs="Times New Roman"/>
                <w:color w:val="000000" w:themeColor="text1"/>
                <w:sz w:val="21"/>
                <w14:textFill>
                  <w14:solidFill>
                    <w14:schemeClr w14:val="tx1"/>
                  </w14:solidFill>
                </w14:textFill>
              </w:rPr>
            </w:pPr>
          </w:p>
        </w:tc>
        <w:tc>
          <w:tcPr>
            <w:tcW w:w="343" w:type="pct"/>
            <w:vAlign w:val="center"/>
          </w:tcPr>
          <w:p w14:paraId="2BEB7101">
            <w:pPr>
              <w:jc w:val="center"/>
              <w:rPr>
                <w:rFonts w:ascii="Times New Roman" w:hAnsi="Times New Roman" w:cs="Times New Roman"/>
                <w:color w:val="000000" w:themeColor="text1"/>
                <w:sz w:val="21"/>
                <w14:textFill>
                  <w14:solidFill>
                    <w14:schemeClr w14:val="tx1"/>
                  </w14:solidFill>
                </w14:textFill>
              </w:rPr>
            </w:pPr>
          </w:p>
        </w:tc>
        <w:tc>
          <w:tcPr>
            <w:tcW w:w="511" w:type="pct"/>
            <w:vAlign w:val="center"/>
          </w:tcPr>
          <w:p w14:paraId="025B0650">
            <w:pPr>
              <w:jc w:val="center"/>
              <w:rPr>
                <w:rFonts w:ascii="Times New Roman" w:hAnsi="Times New Roman" w:cs="Times New Roman"/>
                <w:color w:val="000000" w:themeColor="text1"/>
                <w:sz w:val="21"/>
                <w:lang w:eastAsia="zh-CN"/>
                <w14:textFill>
                  <w14:solidFill>
                    <w14:schemeClr w14:val="tx1"/>
                  </w14:solidFill>
                </w14:textFill>
              </w:rPr>
            </w:pPr>
          </w:p>
        </w:tc>
        <w:tc>
          <w:tcPr>
            <w:tcW w:w="427" w:type="pct"/>
            <w:vAlign w:val="center"/>
          </w:tcPr>
          <w:p w14:paraId="790DE175">
            <w:pPr>
              <w:jc w:val="center"/>
              <w:rPr>
                <w:rFonts w:ascii="Times New Roman" w:hAnsi="Times New Roman" w:cs="Times New Roman"/>
                <w:color w:val="000000" w:themeColor="text1"/>
                <w:sz w:val="21"/>
                <w:lang w:eastAsia="zh-CN"/>
                <w14:textFill>
                  <w14:solidFill>
                    <w14:schemeClr w14:val="tx1"/>
                  </w14:solidFill>
                </w14:textFill>
              </w:rPr>
            </w:pPr>
          </w:p>
        </w:tc>
        <w:tc>
          <w:tcPr>
            <w:tcW w:w="427" w:type="pct"/>
            <w:vAlign w:val="center"/>
          </w:tcPr>
          <w:p w14:paraId="248F40C4">
            <w:pPr>
              <w:jc w:val="center"/>
              <w:rPr>
                <w:rFonts w:ascii="Times New Roman" w:hAnsi="Times New Roman" w:cs="Times New Roman"/>
                <w:color w:val="000000" w:themeColor="text1"/>
                <w:sz w:val="21"/>
                <w:lang w:eastAsia="zh-CN"/>
                <w14:textFill>
                  <w14:solidFill>
                    <w14:schemeClr w14:val="tx1"/>
                  </w14:solidFill>
                </w14:textFill>
              </w:rPr>
            </w:pPr>
          </w:p>
        </w:tc>
        <w:tc>
          <w:tcPr>
            <w:tcW w:w="427" w:type="pct"/>
            <w:vAlign w:val="center"/>
          </w:tcPr>
          <w:p w14:paraId="26B461F7">
            <w:pPr>
              <w:jc w:val="center"/>
              <w:rPr>
                <w:rFonts w:ascii="Times New Roman" w:hAnsi="Times New Roman" w:cs="Times New Roman"/>
                <w:color w:val="000000" w:themeColor="text1"/>
                <w:sz w:val="21"/>
                <w:lang w:eastAsia="zh-CN"/>
                <w14:textFill>
                  <w14:solidFill>
                    <w14:schemeClr w14:val="tx1"/>
                  </w14:solidFill>
                </w14:textFill>
              </w:rPr>
            </w:pPr>
          </w:p>
        </w:tc>
        <w:tc>
          <w:tcPr>
            <w:tcW w:w="426" w:type="pct"/>
            <w:vAlign w:val="center"/>
          </w:tcPr>
          <w:p w14:paraId="711F147F">
            <w:pPr>
              <w:jc w:val="center"/>
              <w:rPr>
                <w:rFonts w:ascii="Times New Roman" w:hAnsi="Times New Roman" w:cs="Times New Roman"/>
                <w:color w:val="000000" w:themeColor="text1"/>
                <w:sz w:val="21"/>
                <w:lang w:eastAsia="zh-CN"/>
                <w14:textFill>
                  <w14:solidFill>
                    <w14:schemeClr w14:val="tx1"/>
                  </w14:solidFill>
                </w14:textFill>
              </w:rPr>
            </w:pPr>
          </w:p>
        </w:tc>
        <w:tc>
          <w:tcPr>
            <w:tcW w:w="423" w:type="pct"/>
            <w:vAlign w:val="center"/>
          </w:tcPr>
          <w:p w14:paraId="50624F30">
            <w:pPr>
              <w:jc w:val="center"/>
              <w:rPr>
                <w:rFonts w:ascii="Times New Roman" w:hAnsi="Times New Roman" w:cs="Times New Roman"/>
                <w:color w:val="000000" w:themeColor="text1"/>
                <w:sz w:val="21"/>
                <w:lang w:eastAsia="zh-CN"/>
                <w14:textFill>
                  <w14:solidFill>
                    <w14:schemeClr w14:val="tx1"/>
                  </w14:solidFill>
                </w14:textFill>
              </w:rPr>
            </w:pPr>
          </w:p>
        </w:tc>
      </w:tr>
      <w:tr w14:paraId="00B4351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3" w:hRule="atLeast"/>
          <w:jc w:val="center"/>
        </w:trPr>
        <w:tc>
          <w:tcPr>
            <w:tcW w:w="491" w:type="pct"/>
            <w:vMerge w:val="continue"/>
            <w:vAlign w:val="center"/>
          </w:tcPr>
          <w:p w14:paraId="0BBE4FE7">
            <w:pPr>
              <w:jc w:val="center"/>
              <w:rPr>
                <w:rFonts w:ascii="Times New Roman" w:hAnsi="Times New Roman" w:cs="Times New Roman"/>
                <w:color w:val="auto"/>
                <w:sz w:val="21"/>
              </w:rPr>
            </w:pPr>
          </w:p>
        </w:tc>
        <w:tc>
          <w:tcPr>
            <w:tcW w:w="667" w:type="pct"/>
            <w:vAlign w:val="center"/>
          </w:tcPr>
          <w:p w14:paraId="1F0C02E6">
            <w:pPr>
              <w:jc w:val="center"/>
              <w:rPr>
                <w:rFonts w:ascii="Times New Roman" w:hAnsi="Times New Roman" w:cs="Times New Roman"/>
                <w:color w:val="auto"/>
                <w:sz w:val="21"/>
              </w:rPr>
            </w:pPr>
            <w:r>
              <w:rPr>
                <w:rFonts w:ascii="Times New Roman" w:hAnsi="Times New Roman" w:cs="Times New Roman"/>
                <w:color w:val="auto"/>
                <w:sz w:val="21"/>
                <w:lang w:eastAsia="zh-CN"/>
              </w:rPr>
              <w:t>评价结果</w:t>
            </w:r>
          </w:p>
        </w:tc>
        <w:tc>
          <w:tcPr>
            <w:tcW w:w="429" w:type="pct"/>
            <w:vAlign w:val="center"/>
          </w:tcPr>
          <w:p w14:paraId="2AD7EAF4">
            <w:pPr>
              <w:jc w:val="center"/>
              <w:rPr>
                <w:rFonts w:ascii="Times New Roman" w:hAnsi="Times New Roman" w:cs="Times New Roman"/>
                <w:color w:val="000000" w:themeColor="text1"/>
                <w:sz w:val="21"/>
                <w:lang w:eastAsia="zh-CN"/>
                <w14:textFill>
                  <w14:solidFill>
                    <w14:schemeClr w14:val="tx1"/>
                  </w14:solidFill>
                </w14:textFill>
              </w:rPr>
            </w:pPr>
          </w:p>
        </w:tc>
        <w:tc>
          <w:tcPr>
            <w:tcW w:w="427" w:type="pct"/>
            <w:vAlign w:val="center"/>
          </w:tcPr>
          <w:p w14:paraId="385D4B5D">
            <w:pPr>
              <w:jc w:val="center"/>
              <w:rPr>
                <w:rFonts w:ascii="Times New Roman" w:hAnsi="Times New Roman" w:cs="Times New Roman"/>
                <w:color w:val="000000" w:themeColor="text1"/>
                <w:sz w:val="21"/>
                <w:lang w:eastAsia="zh-CN"/>
                <w14:textFill>
                  <w14:solidFill>
                    <w14:schemeClr w14:val="tx1"/>
                  </w14:solidFill>
                </w14:textFill>
              </w:rPr>
            </w:pPr>
          </w:p>
        </w:tc>
        <w:tc>
          <w:tcPr>
            <w:tcW w:w="343" w:type="pct"/>
            <w:vAlign w:val="center"/>
          </w:tcPr>
          <w:p w14:paraId="6E20F584">
            <w:pPr>
              <w:jc w:val="center"/>
              <w:rPr>
                <w:rFonts w:ascii="Times New Roman" w:hAnsi="Times New Roman" w:cs="Times New Roman"/>
                <w:color w:val="000000" w:themeColor="text1"/>
                <w:sz w:val="21"/>
                <w:lang w:eastAsia="zh-CN"/>
                <w14:textFill>
                  <w14:solidFill>
                    <w14:schemeClr w14:val="tx1"/>
                  </w14:solidFill>
                </w14:textFill>
              </w:rPr>
            </w:pPr>
          </w:p>
        </w:tc>
        <w:tc>
          <w:tcPr>
            <w:tcW w:w="511" w:type="pct"/>
            <w:vAlign w:val="center"/>
          </w:tcPr>
          <w:p w14:paraId="0177B4C7">
            <w:pPr>
              <w:jc w:val="center"/>
              <w:rPr>
                <w:rFonts w:ascii="Times New Roman" w:hAnsi="Times New Roman" w:cs="Times New Roman"/>
                <w:color w:val="000000" w:themeColor="text1"/>
                <w:sz w:val="21"/>
                <w:lang w:eastAsia="zh-CN"/>
                <w14:textFill>
                  <w14:solidFill>
                    <w14:schemeClr w14:val="tx1"/>
                  </w14:solidFill>
                </w14:textFill>
              </w:rPr>
            </w:pPr>
          </w:p>
        </w:tc>
        <w:tc>
          <w:tcPr>
            <w:tcW w:w="427" w:type="pct"/>
            <w:vAlign w:val="center"/>
          </w:tcPr>
          <w:p w14:paraId="685EF874">
            <w:pPr>
              <w:jc w:val="center"/>
              <w:rPr>
                <w:rFonts w:ascii="Times New Roman" w:hAnsi="Times New Roman" w:cs="Times New Roman"/>
                <w:color w:val="000000" w:themeColor="text1"/>
                <w:sz w:val="21"/>
                <w:lang w:eastAsia="zh-CN"/>
                <w14:textFill>
                  <w14:solidFill>
                    <w14:schemeClr w14:val="tx1"/>
                  </w14:solidFill>
                </w14:textFill>
              </w:rPr>
            </w:pPr>
          </w:p>
        </w:tc>
        <w:tc>
          <w:tcPr>
            <w:tcW w:w="427" w:type="pct"/>
            <w:vAlign w:val="center"/>
          </w:tcPr>
          <w:p w14:paraId="1E6E62E5">
            <w:pPr>
              <w:jc w:val="center"/>
              <w:rPr>
                <w:rFonts w:ascii="Times New Roman" w:hAnsi="Times New Roman" w:cs="Times New Roman"/>
                <w:color w:val="000000" w:themeColor="text1"/>
                <w:sz w:val="21"/>
                <w:lang w:eastAsia="zh-CN"/>
                <w14:textFill>
                  <w14:solidFill>
                    <w14:schemeClr w14:val="tx1"/>
                  </w14:solidFill>
                </w14:textFill>
              </w:rPr>
            </w:pPr>
          </w:p>
        </w:tc>
        <w:tc>
          <w:tcPr>
            <w:tcW w:w="427" w:type="pct"/>
            <w:vAlign w:val="center"/>
          </w:tcPr>
          <w:p w14:paraId="0BD4A796">
            <w:pPr>
              <w:jc w:val="center"/>
              <w:rPr>
                <w:rFonts w:ascii="Times New Roman" w:hAnsi="Times New Roman" w:cs="Times New Roman"/>
                <w:color w:val="000000" w:themeColor="text1"/>
                <w:sz w:val="21"/>
                <w:lang w:eastAsia="zh-CN"/>
                <w14:textFill>
                  <w14:solidFill>
                    <w14:schemeClr w14:val="tx1"/>
                  </w14:solidFill>
                </w14:textFill>
              </w:rPr>
            </w:pPr>
          </w:p>
        </w:tc>
        <w:tc>
          <w:tcPr>
            <w:tcW w:w="426" w:type="pct"/>
            <w:vAlign w:val="center"/>
          </w:tcPr>
          <w:p w14:paraId="782DE866">
            <w:pPr>
              <w:jc w:val="center"/>
              <w:rPr>
                <w:rFonts w:ascii="Times New Roman" w:hAnsi="Times New Roman" w:cs="Times New Roman"/>
                <w:color w:val="000000" w:themeColor="text1"/>
                <w:sz w:val="21"/>
                <w:lang w:eastAsia="zh-CN"/>
                <w14:textFill>
                  <w14:solidFill>
                    <w14:schemeClr w14:val="tx1"/>
                  </w14:solidFill>
                </w14:textFill>
              </w:rPr>
            </w:pPr>
          </w:p>
        </w:tc>
        <w:tc>
          <w:tcPr>
            <w:tcW w:w="423" w:type="pct"/>
            <w:vAlign w:val="center"/>
          </w:tcPr>
          <w:p w14:paraId="14399921">
            <w:pPr>
              <w:jc w:val="center"/>
              <w:rPr>
                <w:rFonts w:ascii="Times New Roman" w:hAnsi="Times New Roman" w:cs="Times New Roman"/>
                <w:color w:val="000000" w:themeColor="text1"/>
                <w:sz w:val="21"/>
                <w:lang w:eastAsia="zh-CN"/>
                <w14:textFill>
                  <w14:solidFill>
                    <w14:schemeClr w14:val="tx1"/>
                  </w14:solidFill>
                </w14:textFill>
              </w:rPr>
            </w:pPr>
          </w:p>
        </w:tc>
      </w:tr>
      <w:tr w14:paraId="792D130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3" w:hRule="atLeast"/>
          <w:jc w:val="center"/>
        </w:trPr>
        <w:tc>
          <w:tcPr>
            <w:tcW w:w="491" w:type="pct"/>
            <w:vMerge w:val="continue"/>
            <w:vAlign w:val="center"/>
          </w:tcPr>
          <w:p w14:paraId="1C64C237">
            <w:pPr>
              <w:jc w:val="center"/>
              <w:rPr>
                <w:rFonts w:ascii="Times New Roman" w:hAnsi="Times New Roman" w:cs="Times New Roman"/>
                <w:color w:val="auto"/>
                <w:sz w:val="21"/>
              </w:rPr>
            </w:pPr>
          </w:p>
        </w:tc>
        <w:tc>
          <w:tcPr>
            <w:tcW w:w="667" w:type="pct"/>
            <w:vAlign w:val="center"/>
          </w:tcPr>
          <w:p w14:paraId="607B872E">
            <w:pPr>
              <w:jc w:val="center"/>
              <w:rPr>
                <w:rFonts w:ascii="Times New Roman" w:hAnsi="Times New Roman" w:cs="Times New Roman"/>
                <w:color w:val="auto"/>
                <w:sz w:val="21"/>
              </w:rPr>
            </w:pPr>
            <w:r>
              <w:rPr>
                <w:rFonts w:ascii="Times New Roman" w:hAnsi="Times New Roman" w:cs="Times New Roman"/>
                <w:color w:val="auto"/>
                <w:sz w:val="21"/>
              </w:rPr>
              <w:t>达标情况</w:t>
            </w:r>
          </w:p>
        </w:tc>
        <w:tc>
          <w:tcPr>
            <w:tcW w:w="429" w:type="pct"/>
            <w:vAlign w:val="center"/>
          </w:tcPr>
          <w:p w14:paraId="7DFDD4D3">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427" w:type="pct"/>
            <w:vAlign w:val="center"/>
          </w:tcPr>
          <w:p w14:paraId="0DDA9466">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43" w:type="pct"/>
            <w:vAlign w:val="center"/>
          </w:tcPr>
          <w:p w14:paraId="157BB658">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达</w:t>
            </w:r>
            <w:r>
              <w:rPr>
                <w:rFonts w:ascii="Times New Roman" w:hAnsi="Times New Roman" w:cs="Times New Roman"/>
                <w:color w:val="auto"/>
                <w:sz w:val="21"/>
              </w:rPr>
              <w:t>标</w:t>
            </w:r>
          </w:p>
        </w:tc>
        <w:tc>
          <w:tcPr>
            <w:tcW w:w="511" w:type="pct"/>
            <w:vAlign w:val="center"/>
          </w:tcPr>
          <w:p w14:paraId="460F04AB">
            <w:pPr>
              <w:jc w:val="center"/>
              <w:rPr>
                <w:rFonts w:ascii="Times New Roman" w:hAnsi="Times New Roman" w:cs="Times New Roman"/>
                <w:color w:val="auto"/>
                <w:sz w:val="21"/>
                <w:lang w:eastAsia="zh-CN"/>
              </w:rPr>
            </w:pPr>
            <w:r>
              <w:rPr>
                <w:rFonts w:ascii="Times New Roman" w:hAnsi="Times New Roman" w:cs="Times New Roman"/>
                <w:color w:val="auto"/>
                <w:sz w:val="21"/>
              </w:rPr>
              <w:t>达标</w:t>
            </w:r>
          </w:p>
        </w:tc>
        <w:tc>
          <w:tcPr>
            <w:tcW w:w="427" w:type="pct"/>
            <w:vAlign w:val="center"/>
          </w:tcPr>
          <w:p w14:paraId="4932DE86">
            <w:pPr>
              <w:jc w:val="center"/>
              <w:rPr>
                <w:rFonts w:ascii="Times New Roman" w:hAnsi="Times New Roman" w:cs="Times New Roman"/>
                <w:color w:val="auto"/>
                <w:sz w:val="21"/>
                <w:lang w:eastAsia="zh-CN"/>
              </w:rPr>
            </w:pPr>
            <w:r>
              <w:rPr>
                <w:rFonts w:ascii="Times New Roman" w:hAnsi="Times New Roman" w:cs="Times New Roman"/>
                <w:color w:val="auto"/>
                <w:sz w:val="21"/>
              </w:rPr>
              <w:t>达标</w:t>
            </w:r>
          </w:p>
        </w:tc>
        <w:tc>
          <w:tcPr>
            <w:tcW w:w="427" w:type="pct"/>
            <w:vAlign w:val="center"/>
          </w:tcPr>
          <w:p w14:paraId="3F8FA2AE">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427" w:type="pct"/>
            <w:vAlign w:val="center"/>
          </w:tcPr>
          <w:p w14:paraId="0460CB8D">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426" w:type="pct"/>
            <w:vAlign w:val="center"/>
          </w:tcPr>
          <w:p w14:paraId="106D87A3">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423" w:type="pct"/>
            <w:vAlign w:val="center"/>
          </w:tcPr>
          <w:p w14:paraId="54F94085">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790E36A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3" w:hRule="atLeast"/>
          <w:jc w:val="center"/>
        </w:trPr>
        <w:tc>
          <w:tcPr>
            <w:tcW w:w="491" w:type="pct"/>
            <w:vMerge w:val="restart"/>
            <w:vAlign w:val="center"/>
          </w:tcPr>
          <w:p w14:paraId="3F789CCD">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D3</w:t>
            </w:r>
          </w:p>
          <w:p w14:paraId="0CEF7681">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夏家湖</w:t>
            </w:r>
          </w:p>
        </w:tc>
        <w:tc>
          <w:tcPr>
            <w:tcW w:w="667" w:type="pct"/>
            <w:vAlign w:val="center"/>
          </w:tcPr>
          <w:p w14:paraId="59A1F1A7">
            <w:pPr>
              <w:jc w:val="center"/>
              <w:rPr>
                <w:rFonts w:ascii="Times New Roman" w:hAnsi="Times New Roman" w:cs="Times New Roman"/>
                <w:color w:val="auto"/>
                <w:sz w:val="21"/>
              </w:rPr>
            </w:pPr>
            <w:r>
              <w:rPr>
                <w:rFonts w:ascii="Times New Roman" w:hAnsi="Times New Roman" w:cs="Times New Roman"/>
                <w:color w:val="auto"/>
                <w:sz w:val="21"/>
              </w:rPr>
              <w:t>监测结果</w:t>
            </w:r>
          </w:p>
        </w:tc>
        <w:tc>
          <w:tcPr>
            <w:tcW w:w="429" w:type="pct"/>
            <w:vAlign w:val="center"/>
          </w:tcPr>
          <w:p w14:paraId="34C075C0">
            <w:pPr>
              <w:jc w:val="center"/>
              <w:rPr>
                <w:rFonts w:ascii="Times New Roman" w:hAnsi="Times New Roman" w:cs="Times New Roman"/>
                <w:color w:val="auto"/>
                <w:sz w:val="21"/>
                <w:lang w:eastAsia="zh-CN"/>
              </w:rPr>
            </w:pPr>
          </w:p>
        </w:tc>
        <w:tc>
          <w:tcPr>
            <w:tcW w:w="427" w:type="pct"/>
            <w:vAlign w:val="center"/>
          </w:tcPr>
          <w:p w14:paraId="567217AC">
            <w:pPr>
              <w:jc w:val="center"/>
              <w:rPr>
                <w:rFonts w:ascii="Times New Roman" w:hAnsi="Times New Roman" w:cs="Times New Roman"/>
                <w:color w:val="auto"/>
                <w:sz w:val="21"/>
                <w:lang w:eastAsia="zh-CN"/>
              </w:rPr>
            </w:pPr>
          </w:p>
        </w:tc>
        <w:tc>
          <w:tcPr>
            <w:tcW w:w="343" w:type="pct"/>
            <w:vAlign w:val="center"/>
          </w:tcPr>
          <w:p w14:paraId="720301EA">
            <w:pPr>
              <w:jc w:val="center"/>
              <w:rPr>
                <w:rFonts w:ascii="Times New Roman" w:hAnsi="Times New Roman" w:cs="Times New Roman"/>
                <w:color w:val="auto"/>
                <w:sz w:val="21"/>
                <w:lang w:eastAsia="zh-CN"/>
              </w:rPr>
            </w:pPr>
          </w:p>
        </w:tc>
        <w:tc>
          <w:tcPr>
            <w:tcW w:w="511" w:type="pct"/>
            <w:vAlign w:val="center"/>
          </w:tcPr>
          <w:p w14:paraId="786D6571">
            <w:pPr>
              <w:jc w:val="center"/>
              <w:rPr>
                <w:rFonts w:ascii="Times New Roman" w:hAnsi="Times New Roman" w:cs="Times New Roman"/>
                <w:color w:val="auto"/>
                <w:sz w:val="21"/>
                <w:lang w:eastAsia="zh-CN"/>
              </w:rPr>
            </w:pPr>
          </w:p>
        </w:tc>
        <w:tc>
          <w:tcPr>
            <w:tcW w:w="427" w:type="pct"/>
            <w:vAlign w:val="center"/>
          </w:tcPr>
          <w:p w14:paraId="17D98E93">
            <w:pPr>
              <w:jc w:val="center"/>
              <w:rPr>
                <w:rFonts w:ascii="Times New Roman" w:hAnsi="Times New Roman" w:cs="Times New Roman"/>
                <w:color w:val="auto"/>
                <w:sz w:val="21"/>
                <w:lang w:eastAsia="zh-CN"/>
              </w:rPr>
            </w:pPr>
          </w:p>
        </w:tc>
        <w:tc>
          <w:tcPr>
            <w:tcW w:w="427" w:type="pct"/>
            <w:vAlign w:val="center"/>
          </w:tcPr>
          <w:p w14:paraId="103F4DE2">
            <w:pPr>
              <w:jc w:val="center"/>
              <w:rPr>
                <w:rFonts w:ascii="Times New Roman" w:hAnsi="Times New Roman" w:cs="Times New Roman"/>
                <w:color w:val="auto"/>
                <w:sz w:val="21"/>
                <w:lang w:eastAsia="zh-CN"/>
              </w:rPr>
            </w:pPr>
          </w:p>
        </w:tc>
        <w:tc>
          <w:tcPr>
            <w:tcW w:w="427" w:type="pct"/>
            <w:vAlign w:val="center"/>
          </w:tcPr>
          <w:p w14:paraId="679B9E95">
            <w:pPr>
              <w:jc w:val="center"/>
              <w:rPr>
                <w:rFonts w:ascii="Times New Roman" w:hAnsi="Times New Roman" w:cs="Times New Roman"/>
                <w:color w:val="auto"/>
                <w:sz w:val="21"/>
                <w:lang w:eastAsia="zh-CN"/>
              </w:rPr>
            </w:pPr>
          </w:p>
        </w:tc>
        <w:tc>
          <w:tcPr>
            <w:tcW w:w="426" w:type="pct"/>
            <w:vAlign w:val="center"/>
          </w:tcPr>
          <w:p w14:paraId="581F9EE8">
            <w:pPr>
              <w:jc w:val="center"/>
              <w:rPr>
                <w:rFonts w:ascii="Times New Roman" w:hAnsi="Times New Roman" w:cs="Times New Roman"/>
                <w:color w:val="auto"/>
                <w:sz w:val="21"/>
                <w:lang w:eastAsia="zh-CN"/>
              </w:rPr>
            </w:pPr>
          </w:p>
        </w:tc>
        <w:tc>
          <w:tcPr>
            <w:tcW w:w="423" w:type="pct"/>
            <w:vAlign w:val="center"/>
          </w:tcPr>
          <w:p w14:paraId="50200FE2">
            <w:pPr>
              <w:jc w:val="center"/>
              <w:rPr>
                <w:rFonts w:ascii="Times New Roman" w:hAnsi="Times New Roman" w:cs="Times New Roman"/>
                <w:color w:val="auto"/>
                <w:sz w:val="21"/>
                <w:lang w:eastAsia="zh-CN"/>
              </w:rPr>
            </w:pPr>
          </w:p>
        </w:tc>
      </w:tr>
      <w:tr w14:paraId="6CFA05C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3" w:hRule="atLeast"/>
          <w:jc w:val="center"/>
        </w:trPr>
        <w:tc>
          <w:tcPr>
            <w:tcW w:w="491" w:type="pct"/>
            <w:vMerge w:val="continue"/>
            <w:vAlign w:val="center"/>
          </w:tcPr>
          <w:p w14:paraId="31529D0D">
            <w:pPr>
              <w:jc w:val="center"/>
              <w:rPr>
                <w:rFonts w:ascii="Times New Roman" w:hAnsi="Times New Roman" w:cs="Times New Roman"/>
                <w:color w:val="auto"/>
                <w:sz w:val="21"/>
              </w:rPr>
            </w:pPr>
          </w:p>
        </w:tc>
        <w:tc>
          <w:tcPr>
            <w:tcW w:w="667" w:type="pct"/>
            <w:vAlign w:val="center"/>
          </w:tcPr>
          <w:p w14:paraId="495FB831">
            <w:pPr>
              <w:jc w:val="center"/>
              <w:rPr>
                <w:rFonts w:ascii="Times New Roman" w:hAnsi="Times New Roman" w:cs="Times New Roman"/>
                <w:color w:val="auto"/>
                <w:sz w:val="21"/>
              </w:rPr>
            </w:pPr>
            <w:r>
              <w:rPr>
                <w:rFonts w:ascii="Times New Roman" w:hAnsi="Times New Roman" w:cs="Times New Roman"/>
                <w:color w:val="auto"/>
                <w:sz w:val="21"/>
              </w:rPr>
              <w:t>标准限值</w:t>
            </w:r>
          </w:p>
        </w:tc>
        <w:tc>
          <w:tcPr>
            <w:tcW w:w="429" w:type="pct"/>
            <w:vAlign w:val="center"/>
          </w:tcPr>
          <w:p w14:paraId="7829F9AD">
            <w:pPr>
              <w:jc w:val="center"/>
              <w:rPr>
                <w:rFonts w:ascii="Times New Roman" w:hAnsi="Times New Roman" w:cs="Times New Roman"/>
                <w:color w:val="auto"/>
                <w:sz w:val="21"/>
              </w:rPr>
            </w:pPr>
          </w:p>
        </w:tc>
        <w:tc>
          <w:tcPr>
            <w:tcW w:w="427" w:type="pct"/>
            <w:vAlign w:val="center"/>
          </w:tcPr>
          <w:p w14:paraId="7D5C65CB">
            <w:pPr>
              <w:jc w:val="center"/>
              <w:rPr>
                <w:rFonts w:ascii="Times New Roman" w:hAnsi="Times New Roman" w:cs="Times New Roman"/>
                <w:color w:val="auto"/>
                <w:sz w:val="21"/>
              </w:rPr>
            </w:pPr>
          </w:p>
        </w:tc>
        <w:tc>
          <w:tcPr>
            <w:tcW w:w="343" w:type="pct"/>
            <w:vAlign w:val="center"/>
          </w:tcPr>
          <w:p w14:paraId="5CBA1800">
            <w:pPr>
              <w:jc w:val="center"/>
              <w:rPr>
                <w:rFonts w:ascii="Times New Roman" w:hAnsi="Times New Roman" w:cs="Times New Roman"/>
                <w:color w:val="auto"/>
                <w:sz w:val="21"/>
              </w:rPr>
            </w:pPr>
          </w:p>
        </w:tc>
        <w:tc>
          <w:tcPr>
            <w:tcW w:w="511" w:type="pct"/>
            <w:vAlign w:val="center"/>
          </w:tcPr>
          <w:p w14:paraId="6A37B08F">
            <w:pPr>
              <w:jc w:val="center"/>
              <w:rPr>
                <w:rFonts w:ascii="Times New Roman" w:hAnsi="Times New Roman" w:cs="Times New Roman"/>
                <w:color w:val="auto"/>
                <w:sz w:val="21"/>
                <w:lang w:eastAsia="zh-CN"/>
              </w:rPr>
            </w:pPr>
          </w:p>
        </w:tc>
        <w:tc>
          <w:tcPr>
            <w:tcW w:w="427" w:type="pct"/>
            <w:vAlign w:val="center"/>
          </w:tcPr>
          <w:p w14:paraId="757D41C0">
            <w:pPr>
              <w:jc w:val="center"/>
              <w:rPr>
                <w:rFonts w:ascii="Times New Roman" w:hAnsi="Times New Roman" w:cs="Times New Roman"/>
                <w:color w:val="auto"/>
                <w:sz w:val="21"/>
                <w:lang w:eastAsia="zh-CN"/>
              </w:rPr>
            </w:pPr>
          </w:p>
        </w:tc>
        <w:tc>
          <w:tcPr>
            <w:tcW w:w="427" w:type="pct"/>
            <w:vAlign w:val="center"/>
          </w:tcPr>
          <w:p w14:paraId="615060DA">
            <w:pPr>
              <w:jc w:val="center"/>
              <w:rPr>
                <w:rFonts w:ascii="Times New Roman" w:hAnsi="Times New Roman" w:cs="Times New Roman"/>
                <w:color w:val="auto"/>
                <w:sz w:val="21"/>
                <w:lang w:eastAsia="zh-CN"/>
              </w:rPr>
            </w:pPr>
          </w:p>
        </w:tc>
        <w:tc>
          <w:tcPr>
            <w:tcW w:w="427" w:type="pct"/>
            <w:vAlign w:val="center"/>
          </w:tcPr>
          <w:p w14:paraId="63A08002">
            <w:pPr>
              <w:jc w:val="center"/>
              <w:rPr>
                <w:rFonts w:ascii="Times New Roman" w:hAnsi="Times New Roman" w:cs="Times New Roman"/>
                <w:color w:val="auto"/>
                <w:sz w:val="21"/>
                <w:lang w:eastAsia="zh-CN"/>
              </w:rPr>
            </w:pPr>
          </w:p>
        </w:tc>
        <w:tc>
          <w:tcPr>
            <w:tcW w:w="426" w:type="pct"/>
            <w:vAlign w:val="center"/>
          </w:tcPr>
          <w:p w14:paraId="1F5BAD63">
            <w:pPr>
              <w:jc w:val="center"/>
              <w:rPr>
                <w:rFonts w:ascii="Times New Roman" w:hAnsi="Times New Roman" w:cs="Times New Roman"/>
                <w:color w:val="auto"/>
                <w:sz w:val="21"/>
                <w:lang w:eastAsia="zh-CN"/>
              </w:rPr>
            </w:pPr>
          </w:p>
        </w:tc>
        <w:tc>
          <w:tcPr>
            <w:tcW w:w="423" w:type="pct"/>
            <w:vAlign w:val="center"/>
          </w:tcPr>
          <w:p w14:paraId="1B176E95">
            <w:pPr>
              <w:jc w:val="center"/>
              <w:rPr>
                <w:rFonts w:ascii="Times New Roman" w:hAnsi="Times New Roman" w:cs="Times New Roman"/>
                <w:color w:val="auto"/>
                <w:sz w:val="21"/>
                <w:lang w:eastAsia="zh-CN"/>
              </w:rPr>
            </w:pPr>
          </w:p>
        </w:tc>
      </w:tr>
      <w:tr w14:paraId="6E8D1BA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3" w:hRule="atLeast"/>
          <w:jc w:val="center"/>
        </w:trPr>
        <w:tc>
          <w:tcPr>
            <w:tcW w:w="491" w:type="pct"/>
            <w:vMerge w:val="continue"/>
            <w:vAlign w:val="center"/>
          </w:tcPr>
          <w:p w14:paraId="4EBC46E2">
            <w:pPr>
              <w:jc w:val="center"/>
              <w:rPr>
                <w:rFonts w:ascii="Times New Roman" w:hAnsi="Times New Roman" w:cs="Times New Roman"/>
                <w:color w:val="auto"/>
                <w:sz w:val="21"/>
              </w:rPr>
            </w:pPr>
          </w:p>
        </w:tc>
        <w:tc>
          <w:tcPr>
            <w:tcW w:w="667" w:type="pct"/>
            <w:vAlign w:val="center"/>
          </w:tcPr>
          <w:p w14:paraId="27F830BB">
            <w:pPr>
              <w:jc w:val="center"/>
              <w:rPr>
                <w:rFonts w:ascii="Times New Roman" w:hAnsi="Times New Roman" w:cs="Times New Roman"/>
                <w:color w:val="auto"/>
                <w:sz w:val="21"/>
              </w:rPr>
            </w:pPr>
            <w:r>
              <w:rPr>
                <w:rFonts w:ascii="Times New Roman" w:hAnsi="Times New Roman" w:cs="Times New Roman"/>
                <w:color w:val="auto"/>
                <w:sz w:val="21"/>
                <w:lang w:eastAsia="zh-CN"/>
              </w:rPr>
              <w:t>评价结果</w:t>
            </w:r>
          </w:p>
        </w:tc>
        <w:tc>
          <w:tcPr>
            <w:tcW w:w="429" w:type="pct"/>
            <w:vAlign w:val="center"/>
          </w:tcPr>
          <w:p w14:paraId="77724D99">
            <w:pPr>
              <w:jc w:val="center"/>
              <w:rPr>
                <w:rFonts w:ascii="Times New Roman" w:hAnsi="Times New Roman" w:cs="Times New Roman"/>
                <w:color w:val="auto"/>
                <w:sz w:val="21"/>
                <w:lang w:eastAsia="zh-CN"/>
              </w:rPr>
            </w:pPr>
          </w:p>
        </w:tc>
        <w:tc>
          <w:tcPr>
            <w:tcW w:w="427" w:type="pct"/>
            <w:vAlign w:val="center"/>
          </w:tcPr>
          <w:p w14:paraId="7717D459">
            <w:pPr>
              <w:jc w:val="center"/>
              <w:rPr>
                <w:rFonts w:ascii="Times New Roman" w:hAnsi="Times New Roman" w:cs="Times New Roman"/>
                <w:color w:val="auto"/>
                <w:sz w:val="21"/>
                <w:lang w:eastAsia="zh-CN"/>
              </w:rPr>
            </w:pPr>
          </w:p>
        </w:tc>
        <w:tc>
          <w:tcPr>
            <w:tcW w:w="343" w:type="pct"/>
            <w:vAlign w:val="center"/>
          </w:tcPr>
          <w:p w14:paraId="683A5E94">
            <w:pPr>
              <w:jc w:val="center"/>
              <w:rPr>
                <w:rFonts w:ascii="Times New Roman" w:hAnsi="Times New Roman" w:cs="Times New Roman"/>
                <w:color w:val="auto"/>
                <w:sz w:val="21"/>
                <w:lang w:eastAsia="zh-CN"/>
              </w:rPr>
            </w:pPr>
          </w:p>
        </w:tc>
        <w:tc>
          <w:tcPr>
            <w:tcW w:w="511" w:type="pct"/>
            <w:vAlign w:val="center"/>
          </w:tcPr>
          <w:p w14:paraId="224B4489">
            <w:pPr>
              <w:jc w:val="center"/>
              <w:rPr>
                <w:rFonts w:ascii="Times New Roman" w:hAnsi="Times New Roman" w:cs="Times New Roman"/>
                <w:color w:val="auto"/>
                <w:sz w:val="21"/>
                <w:lang w:eastAsia="zh-CN"/>
              </w:rPr>
            </w:pPr>
          </w:p>
        </w:tc>
        <w:tc>
          <w:tcPr>
            <w:tcW w:w="427" w:type="pct"/>
            <w:vAlign w:val="center"/>
          </w:tcPr>
          <w:p w14:paraId="3C90FD68">
            <w:pPr>
              <w:jc w:val="center"/>
              <w:rPr>
                <w:rFonts w:ascii="Times New Roman" w:hAnsi="Times New Roman" w:cs="Times New Roman"/>
                <w:color w:val="auto"/>
                <w:sz w:val="21"/>
                <w:lang w:eastAsia="zh-CN"/>
              </w:rPr>
            </w:pPr>
          </w:p>
        </w:tc>
        <w:tc>
          <w:tcPr>
            <w:tcW w:w="427" w:type="pct"/>
            <w:vAlign w:val="center"/>
          </w:tcPr>
          <w:p w14:paraId="21565D1E">
            <w:pPr>
              <w:jc w:val="center"/>
              <w:rPr>
                <w:rFonts w:ascii="Times New Roman" w:hAnsi="Times New Roman" w:cs="Times New Roman"/>
                <w:color w:val="auto"/>
                <w:sz w:val="21"/>
                <w:lang w:eastAsia="zh-CN"/>
              </w:rPr>
            </w:pPr>
          </w:p>
        </w:tc>
        <w:tc>
          <w:tcPr>
            <w:tcW w:w="427" w:type="pct"/>
            <w:vAlign w:val="center"/>
          </w:tcPr>
          <w:p w14:paraId="093F15AD">
            <w:pPr>
              <w:jc w:val="center"/>
              <w:rPr>
                <w:rFonts w:ascii="Times New Roman" w:hAnsi="Times New Roman" w:cs="Times New Roman"/>
                <w:color w:val="auto"/>
                <w:sz w:val="21"/>
                <w:lang w:eastAsia="zh-CN"/>
              </w:rPr>
            </w:pPr>
          </w:p>
        </w:tc>
        <w:tc>
          <w:tcPr>
            <w:tcW w:w="426" w:type="pct"/>
            <w:vAlign w:val="center"/>
          </w:tcPr>
          <w:p w14:paraId="542F5627">
            <w:pPr>
              <w:jc w:val="center"/>
              <w:rPr>
                <w:rFonts w:ascii="Times New Roman" w:hAnsi="Times New Roman" w:cs="Times New Roman"/>
                <w:color w:val="auto"/>
                <w:sz w:val="21"/>
                <w:lang w:eastAsia="zh-CN"/>
              </w:rPr>
            </w:pPr>
          </w:p>
        </w:tc>
        <w:tc>
          <w:tcPr>
            <w:tcW w:w="423" w:type="pct"/>
            <w:vAlign w:val="center"/>
          </w:tcPr>
          <w:p w14:paraId="3708FADF">
            <w:pPr>
              <w:jc w:val="center"/>
              <w:rPr>
                <w:rFonts w:ascii="Times New Roman" w:hAnsi="Times New Roman" w:cs="Times New Roman"/>
                <w:color w:val="auto"/>
                <w:sz w:val="21"/>
                <w:lang w:eastAsia="zh-CN"/>
              </w:rPr>
            </w:pPr>
          </w:p>
        </w:tc>
      </w:tr>
      <w:tr w14:paraId="5418EA3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3" w:hRule="atLeast"/>
          <w:jc w:val="center"/>
        </w:trPr>
        <w:tc>
          <w:tcPr>
            <w:tcW w:w="491" w:type="pct"/>
            <w:vMerge w:val="continue"/>
            <w:vAlign w:val="center"/>
          </w:tcPr>
          <w:p w14:paraId="366A7297">
            <w:pPr>
              <w:jc w:val="center"/>
              <w:rPr>
                <w:rFonts w:ascii="Times New Roman" w:hAnsi="Times New Roman" w:cs="Times New Roman"/>
                <w:color w:val="auto"/>
                <w:sz w:val="21"/>
              </w:rPr>
            </w:pPr>
          </w:p>
        </w:tc>
        <w:tc>
          <w:tcPr>
            <w:tcW w:w="667" w:type="pct"/>
            <w:vAlign w:val="center"/>
          </w:tcPr>
          <w:p w14:paraId="2CBAE931">
            <w:pPr>
              <w:jc w:val="center"/>
              <w:rPr>
                <w:rFonts w:ascii="Times New Roman" w:hAnsi="Times New Roman" w:cs="Times New Roman"/>
                <w:color w:val="auto"/>
                <w:sz w:val="21"/>
              </w:rPr>
            </w:pPr>
            <w:r>
              <w:rPr>
                <w:rFonts w:ascii="Times New Roman" w:hAnsi="Times New Roman" w:cs="Times New Roman"/>
                <w:color w:val="auto"/>
                <w:sz w:val="21"/>
              </w:rPr>
              <w:t>达标情况</w:t>
            </w:r>
          </w:p>
        </w:tc>
        <w:tc>
          <w:tcPr>
            <w:tcW w:w="429" w:type="pct"/>
            <w:vAlign w:val="center"/>
          </w:tcPr>
          <w:p w14:paraId="1990CA94">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427" w:type="pct"/>
            <w:vAlign w:val="center"/>
          </w:tcPr>
          <w:p w14:paraId="62B85812">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43" w:type="pct"/>
            <w:vAlign w:val="center"/>
          </w:tcPr>
          <w:p w14:paraId="55178F3E">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511" w:type="pct"/>
            <w:vAlign w:val="center"/>
          </w:tcPr>
          <w:p w14:paraId="03DF1C29">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427" w:type="pct"/>
            <w:vAlign w:val="center"/>
          </w:tcPr>
          <w:p w14:paraId="2148142F">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427" w:type="pct"/>
            <w:vAlign w:val="center"/>
          </w:tcPr>
          <w:p w14:paraId="653B06E5">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427" w:type="pct"/>
            <w:vAlign w:val="center"/>
          </w:tcPr>
          <w:p w14:paraId="24846565">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426" w:type="pct"/>
            <w:vAlign w:val="center"/>
          </w:tcPr>
          <w:p w14:paraId="0632A43E">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423" w:type="pct"/>
            <w:vAlign w:val="center"/>
          </w:tcPr>
          <w:p w14:paraId="5FD39C1D">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32076BC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3" w:hRule="atLeast"/>
          <w:jc w:val="center"/>
        </w:trPr>
        <w:tc>
          <w:tcPr>
            <w:tcW w:w="491" w:type="pct"/>
            <w:vMerge w:val="restart"/>
            <w:vAlign w:val="center"/>
          </w:tcPr>
          <w:p w14:paraId="4073B713">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D4</w:t>
            </w:r>
          </w:p>
          <w:p w14:paraId="129D60FA">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新洋丰厂区</w:t>
            </w:r>
          </w:p>
        </w:tc>
        <w:tc>
          <w:tcPr>
            <w:tcW w:w="667" w:type="pct"/>
            <w:vAlign w:val="center"/>
          </w:tcPr>
          <w:p w14:paraId="3A9E1383">
            <w:pPr>
              <w:jc w:val="center"/>
              <w:rPr>
                <w:rFonts w:ascii="Times New Roman" w:hAnsi="Times New Roman" w:cs="Times New Roman"/>
                <w:color w:val="auto"/>
                <w:sz w:val="21"/>
              </w:rPr>
            </w:pPr>
            <w:r>
              <w:rPr>
                <w:rFonts w:ascii="Times New Roman" w:hAnsi="Times New Roman" w:cs="Times New Roman"/>
                <w:color w:val="auto"/>
                <w:sz w:val="21"/>
              </w:rPr>
              <w:t>监测结果</w:t>
            </w:r>
          </w:p>
        </w:tc>
        <w:tc>
          <w:tcPr>
            <w:tcW w:w="429" w:type="pct"/>
            <w:vAlign w:val="center"/>
          </w:tcPr>
          <w:p w14:paraId="5D5F675F">
            <w:pPr>
              <w:jc w:val="center"/>
              <w:rPr>
                <w:rFonts w:ascii="Times New Roman" w:hAnsi="Times New Roman" w:cs="Times New Roman"/>
                <w:color w:val="auto"/>
                <w:sz w:val="21"/>
              </w:rPr>
            </w:pPr>
          </w:p>
        </w:tc>
        <w:tc>
          <w:tcPr>
            <w:tcW w:w="427" w:type="pct"/>
            <w:vAlign w:val="center"/>
          </w:tcPr>
          <w:p w14:paraId="300D9F19">
            <w:pPr>
              <w:jc w:val="center"/>
              <w:rPr>
                <w:rFonts w:ascii="Times New Roman" w:hAnsi="Times New Roman" w:cs="Times New Roman"/>
                <w:color w:val="auto"/>
                <w:sz w:val="21"/>
              </w:rPr>
            </w:pPr>
          </w:p>
        </w:tc>
        <w:tc>
          <w:tcPr>
            <w:tcW w:w="343" w:type="pct"/>
            <w:vAlign w:val="center"/>
          </w:tcPr>
          <w:p w14:paraId="159D5807">
            <w:pPr>
              <w:jc w:val="center"/>
              <w:rPr>
                <w:rFonts w:ascii="Times New Roman" w:hAnsi="Times New Roman" w:cs="Times New Roman"/>
                <w:color w:val="auto"/>
                <w:sz w:val="21"/>
              </w:rPr>
            </w:pPr>
          </w:p>
        </w:tc>
        <w:tc>
          <w:tcPr>
            <w:tcW w:w="511" w:type="pct"/>
            <w:vAlign w:val="center"/>
          </w:tcPr>
          <w:p w14:paraId="5046C521">
            <w:pPr>
              <w:jc w:val="center"/>
              <w:rPr>
                <w:rFonts w:ascii="Times New Roman" w:hAnsi="Times New Roman" w:cs="Times New Roman"/>
                <w:color w:val="auto"/>
                <w:sz w:val="21"/>
                <w:lang w:eastAsia="zh-CN"/>
              </w:rPr>
            </w:pPr>
          </w:p>
        </w:tc>
        <w:tc>
          <w:tcPr>
            <w:tcW w:w="427" w:type="pct"/>
            <w:vAlign w:val="center"/>
          </w:tcPr>
          <w:p w14:paraId="460572DB">
            <w:pPr>
              <w:jc w:val="center"/>
              <w:rPr>
                <w:rFonts w:ascii="Times New Roman" w:hAnsi="Times New Roman" w:cs="Times New Roman"/>
                <w:color w:val="auto"/>
                <w:sz w:val="21"/>
                <w:lang w:eastAsia="zh-CN"/>
              </w:rPr>
            </w:pPr>
          </w:p>
        </w:tc>
        <w:tc>
          <w:tcPr>
            <w:tcW w:w="427" w:type="pct"/>
            <w:vAlign w:val="center"/>
          </w:tcPr>
          <w:p w14:paraId="5A141CAA">
            <w:pPr>
              <w:jc w:val="center"/>
              <w:rPr>
                <w:rFonts w:ascii="Times New Roman" w:hAnsi="Times New Roman" w:cs="Times New Roman"/>
                <w:color w:val="auto"/>
                <w:sz w:val="21"/>
                <w:lang w:eastAsia="zh-CN"/>
              </w:rPr>
            </w:pPr>
          </w:p>
        </w:tc>
        <w:tc>
          <w:tcPr>
            <w:tcW w:w="427" w:type="pct"/>
            <w:vAlign w:val="center"/>
          </w:tcPr>
          <w:p w14:paraId="509C8F2E">
            <w:pPr>
              <w:jc w:val="center"/>
              <w:rPr>
                <w:rFonts w:ascii="Times New Roman" w:hAnsi="Times New Roman" w:cs="Times New Roman"/>
                <w:color w:val="auto"/>
                <w:sz w:val="21"/>
                <w:lang w:eastAsia="zh-CN"/>
              </w:rPr>
            </w:pPr>
          </w:p>
        </w:tc>
        <w:tc>
          <w:tcPr>
            <w:tcW w:w="426" w:type="pct"/>
            <w:vAlign w:val="center"/>
          </w:tcPr>
          <w:p w14:paraId="212DC75B">
            <w:pPr>
              <w:jc w:val="center"/>
              <w:rPr>
                <w:rFonts w:ascii="Times New Roman" w:hAnsi="Times New Roman" w:cs="Times New Roman"/>
                <w:color w:val="auto"/>
                <w:sz w:val="21"/>
                <w:lang w:eastAsia="zh-CN"/>
              </w:rPr>
            </w:pPr>
          </w:p>
        </w:tc>
        <w:tc>
          <w:tcPr>
            <w:tcW w:w="423" w:type="pct"/>
            <w:vAlign w:val="center"/>
          </w:tcPr>
          <w:p w14:paraId="7445BA42">
            <w:pPr>
              <w:jc w:val="center"/>
              <w:rPr>
                <w:rFonts w:ascii="Times New Roman" w:hAnsi="Times New Roman" w:cs="Times New Roman"/>
                <w:color w:val="auto"/>
                <w:sz w:val="21"/>
                <w:lang w:eastAsia="zh-CN"/>
              </w:rPr>
            </w:pPr>
          </w:p>
        </w:tc>
      </w:tr>
      <w:tr w14:paraId="57A0771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3" w:hRule="atLeast"/>
          <w:jc w:val="center"/>
        </w:trPr>
        <w:tc>
          <w:tcPr>
            <w:tcW w:w="491" w:type="pct"/>
            <w:vMerge w:val="continue"/>
            <w:vAlign w:val="center"/>
          </w:tcPr>
          <w:p w14:paraId="61BE065B">
            <w:pPr>
              <w:jc w:val="center"/>
              <w:rPr>
                <w:rFonts w:ascii="Times New Roman" w:hAnsi="Times New Roman" w:cs="Times New Roman"/>
                <w:color w:val="auto"/>
                <w:sz w:val="21"/>
              </w:rPr>
            </w:pPr>
          </w:p>
        </w:tc>
        <w:tc>
          <w:tcPr>
            <w:tcW w:w="667" w:type="pct"/>
            <w:vAlign w:val="center"/>
          </w:tcPr>
          <w:p w14:paraId="5206CE30">
            <w:pPr>
              <w:jc w:val="center"/>
              <w:rPr>
                <w:rFonts w:ascii="Times New Roman" w:hAnsi="Times New Roman" w:cs="Times New Roman"/>
                <w:color w:val="auto"/>
                <w:sz w:val="21"/>
              </w:rPr>
            </w:pPr>
            <w:r>
              <w:rPr>
                <w:rFonts w:ascii="Times New Roman" w:hAnsi="Times New Roman" w:cs="Times New Roman"/>
                <w:color w:val="auto"/>
                <w:sz w:val="21"/>
              </w:rPr>
              <w:t>标准限值</w:t>
            </w:r>
          </w:p>
        </w:tc>
        <w:tc>
          <w:tcPr>
            <w:tcW w:w="429" w:type="pct"/>
            <w:vAlign w:val="center"/>
          </w:tcPr>
          <w:p w14:paraId="6A20EE50">
            <w:pPr>
              <w:jc w:val="center"/>
              <w:rPr>
                <w:rFonts w:ascii="Times New Roman" w:hAnsi="Times New Roman" w:cs="Times New Roman"/>
                <w:color w:val="auto"/>
                <w:sz w:val="21"/>
              </w:rPr>
            </w:pPr>
          </w:p>
        </w:tc>
        <w:tc>
          <w:tcPr>
            <w:tcW w:w="427" w:type="pct"/>
            <w:vAlign w:val="center"/>
          </w:tcPr>
          <w:p w14:paraId="0C635BF7">
            <w:pPr>
              <w:jc w:val="center"/>
              <w:rPr>
                <w:rFonts w:ascii="Times New Roman" w:hAnsi="Times New Roman" w:cs="Times New Roman"/>
                <w:color w:val="auto"/>
                <w:sz w:val="21"/>
              </w:rPr>
            </w:pPr>
          </w:p>
        </w:tc>
        <w:tc>
          <w:tcPr>
            <w:tcW w:w="343" w:type="pct"/>
            <w:vAlign w:val="center"/>
          </w:tcPr>
          <w:p w14:paraId="5ACBD198">
            <w:pPr>
              <w:jc w:val="center"/>
              <w:rPr>
                <w:rFonts w:ascii="Times New Roman" w:hAnsi="Times New Roman" w:cs="Times New Roman"/>
                <w:color w:val="auto"/>
                <w:sz w:val="21"/>
              </w:rPr>
            </w:pPr>
          </w:p>
        </w:tc>
        <w:tc>
          <w:tcPr>
            <w:tcW w:w="511" w:type="pct"/>
            <w:vAlign w:val="center"/>
          </w:tcPr>
          <w:p w14:paraId="58349D44">
            <w:pPr>
              <w:jc w:val="center"/>
              <w:rPr>
                <w:rFonts w:ascii="Times New Roman" w:hAnsi="Times New Roman" w:cs="Times New Roman"/>
                <w:color w:val="auto"/>
                <w:sz w:val="21"/>
              </w:rPr>
            </w:pPr>
          </w:p>
        </w:tc>
        <w:tc>
          <w:tcPr>
            <w:tcW w:w="427" w:type="pct"/>
            <w:vAlign w:val="center"/>
          </w:tcPr>
          <w:p w14:paraId="75822CDD">
            <w:pPr>
              <w:jc w:val="center"/>
              <w:rPr>
                <w:rFonts w:ascii="Times New Roman" w:hAnsi="Times New Roman" w:cs="Times New Roman"/>
                <w:color w:val="auto"/>
                <w:sz w:val="21"/>
              </w:rPr>
            </w:pPr>
          </w:p>
        </w:tc>
        <w:tc>
          <w:tcPr>
            <w:tcW w:w="427" w:type="pct"/>
            <w:vAlign w:val="center"/>
          </w:tcPr>
          <w:p w14:paraId="1E002175">
            <w:pPr>
              <w:jc w:val="center"/>
              <w:rPr>
                <w:rFonts w:ascii="Times New Roman" w:hAnsi="Times New Roman" w:cs="Times New Roman"/>
                <w:color w:val="auto"/>
                <w:sz w:val="21"/>
              </w:rPr>
            </w:pPr>
          </w:p>
        </w:tc>
        <w:tc>
          <w:tcPr>
            <w:tcW w:w="427" w:type="pct"/>
            <w:vAlign w:val="center"/>
          </w:tcPr>
          <w:p w14:paraId="0610530F">
            <w:pPr>
              <w:jc w:val="center"/>
              <w:rPr>
                <w:rFonts w:ascii="Times New Roman" w:hAnsi="Times New Roman" w:cs="Times New Roman"/>
                <w:color w:val="auto"/>
                <w:sz w:val="21"/>
              </w:rPr>
            </w:pPr>
          </w:p>
        </w:tc>
        <w:tc>
          <w:tcPr>
            <w:tcW w:w="426" w:type="pct"/>
            <w:vAlign w:val="center"/>
          </w:tcPr>
          <w:p w14:paraId="3B4F19DA">
            <w:pPr>
              <w:jc w:val="center"/>
              <w:rPr>
                <w:rFonts w:ascii="Times New Roman" w:hAnsi="Times New Roman" w:cs="Times New Roman"/>
                <w:color w:val="auto"/>
                <w:sz w:val="21"/>
              </w:rPr>
            </w:pPr>
          </w:p>
        </w:tc>
        <w:tc>
          <w:tcPr>
            <w:tcW w:w="423" w:type="pct"/>
            <w:vAlign w:val="center"/>
          </w:tcPr>
          <w:p w14:paraId="649F8AE6">
            <w:pPr>
              <w:jc w:val="center"/>
              <w:rPr>
                <w:rFonts w:ascii="Times New Roman" w:hAnsi="Times New Roman" w:cs="Times New Roman"/>
                <w:color w:val="auto"/>
                <w:sz w:val="21"/>
              </w:rPr>
            </w:pPr>
          </w:p>
        </w:tc>
      </w:tr>
      <w:tr w14:paraId="089CBC0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3" w:hRule="atLeast"/>
          <w:jc w:val="center"/>
        </w:trPr>
        <w:tc>
          <w:tcPr>
            <w:tcW w:w="491" w:type="pct"/>
            <w:vMerge w:val="continue"/>
            <w:vAlign w:val="center"/>
          </w:tcPr>
          <w:p w14:paraId="42049507">
            <w:pPr>
              <w:jc w:val="center"/>
              <w:rPr>
                <w:rFonts w:ascii="Times New Roman" w:hAnsi="Times New Roman" w:cs="Times New Roman"/>
                <w:color w:val="auto"/>
                <w:sz w:val="21"/>
              </w:rPr>
            </w:pPr>
          </w:p>
        </w:tc>
        <w:tc>
          <w:tcPr>
            <w:tcW w:w="667" w:type="pct"/>
            <w:vAlign w:val="center"/>
          </w:tcPr>
          <w:p w14:paraId="44D5FCD1">
            <w:pPr>
              <w:jc w:val="center"/>
              <w:rPr>
                <w:rFonts w:ascii="Times New Roman" w:hAnsi="Times New Roman" w:cs="Times New Roman"/>
                <w:color w:val="auto"/>
                <w:sz w:val="21"/>
              </w:rPr>
            </w:pPr>
            <w:r>
              <w:rPr>
                <w:rFonts w:ascii="Times New Roman" w:hAnsi="Times New Roman" w:cs="Times New Roman"/>
                <w:color w:val="auto"/>
                <w:sz w:val="21"/>
                <w:lang w:eastAsia="zh-CN"/>
              </w:rPr>
              <w:t>评价结果</w:t>
            </w:r>
          </w:p>
        </w:tc>
        <w:tc>
          <w:tcPr>
            <w:tcW w:w="429" w:type="pct"/>
            <w:vAlign w:val="center"/>
          </w:tcPr>
          <w:p w14:paraId="6050BE82">
            <w:pPr>
              <w:jc w:val="center"/>
              <w:rPr>
                <w:rFonts w:ascii="Times New Roman" w:hAnsi="Times New Roman" w:cs="Times New Roman"/>
                <w:color w:val="auto"/>
                <w:sz w:val="21"/>
                <w:lang w:eastAsia="zh-CN"/>
              </w:rPr>
            </w:pPr>
          </w:p>
        </w:tc>
        <w:tc>
          <w:tcPr>
            <w:tcW w:w="427" w:type="pct"/>
            <w:vAlign w:val="center"/>
          </w:tcPr>
          <w:p w14:paraId="14A9603D">
            <w:pPr>
              <w:jc w:val="center"/>
              <w:rPr>
                <w:rFonts w:ascii="Times New Roman" w:hAnsi="Times New Roman" w:cs="Times New Roman"/>
                <w:color w:val="auto"/>
                <w:sz w:val="21"/>
                <w:lang w:eastAsia="zh-CN"/>
              </w:rPr>
            </w:pPr>
          </w:p>
        </w:tc>
        <w:tc>
          <w:tcPr>
            <w:tcW w:w="343" w:type="pct"/>
            <w:vAlign w:val="center"/>
          </w:tcPr>
          <w:p w14:paraId="40DDC3ED">
            <w:pPr>
              <w:jc w:val="center"/>
              <w:rPr>
                <w:rFonts w:ascii="Times New Roman" w:hAnsi="Times New Roman" w:cs="Times New Roman"/>
                <w:color w:val="auto"/>
                <w:sz w:val="21"/>
                <w:lang w:eastAsia="zh-CN"/>
              </w:rPr>
            </w:pPr>
          </w:p>
        </w:tc>
        <w:tc>
          <w:tcPr>
            <w:tcW w:w="511" w:type="pct"/>
            <w:vAlign w:val="center"/>
          </w:tcPr>
          <w:p w14:paraId="16B224AE">
            <w:pPr>
              <w:jc w:val="center"/>
              <w:rPr>
                <w:rFonts w:ascii="Times New Roman" w:hAnsi="Times New Roman" w:cs="Times New Roman"/>
                <w:color w:val="auto"/>
                <w:sz w:val="21"/>
                <w:lang w:eastAsia="zh-CN"/>
              </w:rPr>
            </w:pPr>
          </w:p>
        </w:tc>
        <w:tc>
          <w:tcPr>
            <w:tcW w:w="427" w:type="pct"/>
            <w:vAlign w:val="center"/>
          </w:tcPr>
          <w:p w14:paraId="4B35E8EC">
            <w:pPr>
              <w:jc w:val="center"/>
              <w:rPr>
                <w:rFonts w:ascii="Times New Roman" w:hAnsi="Times New Roman" w:cs="Times New Roman"/>
                <w:color w:val="auto"/>
                <w:sz w:val="21"/>
                <w:lang w:eastAsia="zh-CN"/>
              </w:rPr>
            </w:pPr>
          </w:p>
        </w:tc>
        <w:tc>
          <w:tcPr>
            <w:tcW w:w="427" w:type="pct"/>
            <w:vAlign w:val="center"/>
          </w:tcPr>
          <w:p w14:paraId="6E358B09">
            <w:pPr>
              <w:jc w:val="center"/>
              <w:rPr>
                <w:rFonts w:ascii="Times New Roman" w:hAnsi="Times New Roman" w:cs="Times New Roman"/>
                <w:color w:val="auto"/>
                <w:sz w:val="21"/>
                <w:lang w:eastAsia="zh-CN"/>
              </w:rPr>
            </w:pPr>
          </w:p>
        </w:tc>
        <w:tc>
          <w:tcPr>
            <w:tcW w:w="427" w:type="pct"/>
            <w:vAlign w:val="center"/>
          </w:tcPr>
          <w:p w14:paraId="1723C84A">
            <w:pPr>
              <w:jc w:val="center"/>
              <w:rPr>
                <w:rFonts w:ascii="Times New Roman" w:hAnsi="Times New Roman" w:cs="Times New Roman"/>
                <w:color w:val="auto"/>
                <w:sz w:val="21"/>
                <w:lang w:eastAsia="zh-CN"/>
              </w:rPr>
            </w:pPr>
          </w:p>
        </w:tc>
        <w:tc>
          <w:tcPr>
            <w:tcW w:w="426" w:type="pct"/>
            <w:vAlign w:val="center"/>
          </w:tcPr>
          <w:p w14:paraId="52C787A3">
            <w:pPr>
              <w:jc w:val="center"/>
              <w:rPr>
                <w:rFonts w:ascii="Times New Roman" w:hAnsi="Times New Roman" w:cs="Times New Roman"/>
                <w:color w:val="auto"/>
                <w:sz w:val="21"/>
                <w:lang w:eastAsia="zh-CN"/>
              </w:rPr>
            </w:pPr>
          </w:p>
        </w:tc>
        <w:tc>
          <w:tcPr>
            <w:tcW w:w="423" w:type="pct"/>
            <w:vAlign w:val="center"/>
          </w:tcPr>
          <w:p w14:paraId="4BAB605D">
            <w:pPr>
              <w:jc w:val="center"/>
              <w:rPr>
                <w:rFonts w:ascii="Times New Roman" w:hAnsi="Times New Roman" w:cs="Times New Roman"/>
                <w:color w:val="auto"/>
                <w:sz w:val="21"/>
                <w:lang w:eastAsia="zh-CN"/>
              </w:rPr>
            </w:pPr>
          </w:p>
        </w:tc>
      </w:tr>
      <w:tr w14:paraId="777DACA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3" w:hRule="atLeast"/>
          <w:jc w:val="center"/>
        </w:trPr>
        <w:tc>
          <w:tcPr>
            <w:tcW w:w="491" w:type="pct"/>
            <w:vMerge w:val="continue"/>
            <w:vAlign w:val="center"/>
          </w:tcPr>
          <w:p w14:paraId="7FE750FB">
            <w:pPr>
              <w:jc w:val="center"/>
              <w:rPr>
                <w:rFonts w:ascii="Times New Roman" w:hAnsi="Times New Roman" w:cs="Times New Roman"/>
                <w:color w:val="auto"/>
                <w:sz w:val="21"/>
              </w:rPr>
            </w:pPr>
          </w:p>
        </w:tc>
        <w:tc>
          <w:tcPr>
            <w:tcW w:w="667" w:type="pct"/>
            <w:vAlign w:val="center"/>
          </w:tcPr>
          <w:p w14:paraId="681A9C9A">
            <w:pPr>
              <w:jc w:val="center"/>
              <w:rPr>
                <w:rFonts w:ascii="Times New Roman" w:hAnsi="Times New Roman" w:cs="Times New Roman"/>
                <w:color w:val="auto"/>
                <w:sz w:val="21"/>
              </w:rPr>
            </w:pPr>
            <w:r>
              <w:rPr>
                <w:rFonts w:ascii="Times New Roman" w:hAnsi="Times New Roman" w:cs="Times New Roman"/>
                <w:color w:val="auto"/>
                <w:sz w:val="21"/>
              </w:rPr>
              <w:t>达标情况</w:t>
            </w:r>
          </w:p>
        </w:tc>
        <w:tc>
          <w:tcPr>
            <w:tcW w:w="429" w:type="pct"/>
            <w:vAlign w:val="center"/>
          </w:tcPr>
          <w:p w14:paraId="5FF69DAE">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427" w:type="pct"/>
            <w:vAlign w:val="center"/>
          </w:tcPr>
          <w:p w14:paraId="130BFEF8">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43" w:type="pct"/>
            <w:vAlign w:val="center"/>
          </w:tcPr>
          <w:p w14:paraId="4E413301">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511" w:type="pct"/>
            <w:vAlign w:val="center"/>
          </w:tcPr>
          <w:p w14:paraId="364E8F12">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427" w:type="pct"/>
            <w:vAlign w:val="center"/>
          </w:tcPr>
          <w:p w14:paraId="7ED379FB">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c>
          <w:tcPr>
            <w:tcW w:w="427" w:type="pct"/>
            <w:vAlign w:val="center"/>
          </w:tcPr>
          <w:p w14:paraId="11FB873A">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427" w:type="pct"/>
            <w:vAlign w:val="center"/>
          </w:tcPr>
          <w:p w14:paraId="797F650E">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426" w:type="pct"/>
            <w:vAlign w:val="center"/>
          </w:tcPr>
          <w:p w14:paraId="2754B1A4">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c>
          <w:tcPr>
            <w:tcW w:w="423" w:type="pct"/>
            <w:vAlign w:val="center"/>
          </w:tcPr>
          <w:p w14:paraId="772F9540">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r>
      <w:tr w14:paraId="173C758D">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3" w:hRule="atLeast"/>
          <w:jc w:val="center"/>
        </w:trPr>
        <w:tc>
          <w:tcPr>
            <w:tcW w:w="491" w:type="pct"/>
            <w:vMerge w:val="restart"/>
            <w:vAlign w:val="center"/>
          </w:tcPr>
          <w:p w14:paraId="3FAA4AF8">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D5</w:t>
            </w:r>
          </w:p>
          <w:p w14:paraId="3A1AD2EF">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海华科技</w:t>
            </w:r>
            <w:r>
              <w:rPr>
                <w:rFonts w:ascii="Times New Roman" w:hAnsi="Times New Roman" w:cs="Times New Roman"/>
                <w:color w:val="auto"/>
                <w:sz w:val="21"/>
                <w:lang w:eastAsia="zh-CN"/>
              </w:rPr>
              <w:t>厂区</w:t>
            </w:r>
          </w:p>
        </w:tc>
        <w:tc>
          <w:tcPr>
            <w:tcW w:w="667" w:type="pct"/>
            <w:vAlign w:val="center"/>
          </w:tcPr>
          <w:p w14:paraId="321AF9AF">
            <w:pPr>
              <w:jc w:val="center"/>
              <w:rPr>
                <w:rFonts w:ascii="Times New Roman" w:hAnsi="Times New Roman" w:cs="Times New Roman"/>
                <w:color w:val="auto"/>
                <w:sz w:val="21"/>
              </w:rPr>
            </w:pPr>
            <w:r>
              <w:rPr>
                <w:rFonts w:ascii="Times New Roman" w:hAnsi="Times New Roman" w:cs="Times New Roman"/>
                <w:color w:val="auto"/>
                <w:sz w:val="21"/>
              </w:rPr>
              <w:t>监测结果</w:t>
            </w:r>
          </w:p>
        </w:tc>
        <w:tc>
          <w:tcPr>
            <w:tcW w:w="429" w:type="pct"/>
            <w:vAlign w:val="center"/>
          </w:tcPr>
          <w:p w14:paraId="4FE986C4">
            <w:pPr>
              <w:jc w:val="center"/>
              <w:rPr>
                <w:rFonts w:ascii="Times New Roman" w:hAnsi="Times New Roman" w:cs="Times New Roman"/>
                <w:color w:val="auto"/>
                <w:sz w:val="21"/>
              </w:rPr>
            </w:pPr>
          </w:p>
        </w:tc>
        <w:tc>
          <w:tcPr>
            <w:tcW w:w="427" w:type="pct"/>
            <w:vAlign w:val="center"/>
          </w:tcPr>
          <w:p w14:paraId="4CE3DF06">
            <w:pPr>
              <w:jc w:val="center"/>
              <w:rPr>
                <w:rFonts w:ascii="Times New Roman" w:hAnsi="Times New Roman" w:cs="Times New Roman"/>
                <w:color w:val="auto"/>
                <w:sz w:val="21"/>
              </w:rPr>
            </w:pPr>
          </w:p>
        </w:tc>
        <w:tc>
          <w:tcPr>
            <w:tcW w:w="343" w:type="pct"/>
            <w:vAlign w:val="center"/>
          </w:tcPr>
          <w:p w14:paraId="5CEFD081">
            <w:pPr>
              <w:jc w:val="center"/>
              <w:rPr>
                <w:rFonts w:ascii="Times New Roman" w:hAnsi="Times New Roman" w:cs="Times New Roman"/>
                <w:color w:val="auto"/>
                <w:sz w:val="21"/>
              </w:rPr>
            </w:pPr>
          </w:p>
        </w:tc>
        <w:tc>
          <w:tcPr>
            <w:tcW w:w="511" w:type="pct"/>
            <w:vAlign w:val="center"/>
          </w:tcPr>
          <w:p w14:paraId="771ED135">
            <w:pPr>
              <w:jc w:val="center"/>
              <w:rPr>
                <w:rFonts w:ascii="Times New Roman" w:hAnsi="Times New Roman" w:cs="Times New Roman"/>
                <w:color w:val="auto"/>
                <w:sz w:val="21"/>
                <w:lang w:eastAsia="zh-CN"/>
              </w:rPr>
            </w:pPr>
          </w:p>
        </w:tc>
        <w:tc>
          <w:tcPr>
            <w:tcW w:w="427" w:type="pct"/>
            <w:vAlign w:val="center"/>
          </w:tcPr>
          <w:p w14:paraId="744CD11E">
            <w:pPr>
              <w:jc w:val="center"/>
              <w:rPr>
                <w:rFonts w:ascii="Times New Roman" w:hAnsi="Times New Roman" w:cs="Times New Roman"/>
                <w:color w:val="auto"/>
                <w:sz w:val="21"/>
                <w:lang w:eastAsia="zh-CN"/>
              </w:rPr>
            </w:pPr>
          </w:p>
        </w:tc>
        <w:tc>
          <w:tcPr>
            <w:tcW w:w="427" w:type="pct"/>
            <w:vAlign w:val="center"/>
          </w:tcPr>
          <w:p w14:paraId="41FF5745">
            <w:pPr>
              <w:jc w:val="center"/>
              <w:rPr>
                <w:rFonts w:ascii="Times New Roman" w:hAnsi="Times New Roman" w:cs="Times New Roman"/>
                <w:color w:val="auto"/>
                <w:sz w:val="21"/>
                <w:lang w:eastAsia="zh-CN"/>
              </w:rPr>
            </w:pPr>
          </w:p>
        </w:tc>
        <w:tc>
          <w:tcPr>
            <w:tcW w:w="427" w:type="pct"/>
            <w:vAlign w:val="center"/>
          </w:tcPr>
          <w:p w14:paraId="7BC3D724">
            <w:pPr>
              <w:jc w:val="center"/>
              <w:rPr>
                <w:rFonts w:ascii="Times New Roman" w:hAnsi="Times New Roman" w:cs="Times New Roman"/>
                <w:color w:val="auto"/>
                <w:sz w:val="21"/>
                <w:lang w:eastAsia="zh-CN"/>
              </w:rPr>
            </w:pPr>
          </w:p>
        </w:tc>
        <w:tc>
          <w:tcPr>
            <w:tcW w:w="426" w:type="pct"/>
            <w:vAlign w:val="center"/>
          </w:tcPr>
          <w:p w14:paraId="2321818E">
            <w:pPr>
              <w:jc w:val="center"/>
              <w:rPr>
                <w:rFonts w:ascii="Times New Roman" w:hAnsi="Times New Roman" w:cs="Times New Roman"/>
                <w:color w:val="auto"/>
                <w:sz w:val="21"/>
              </w:rPr>
            </w:pPr>
          </w:p>
        </w:tc>
        <w:tc>
          <w:tcPr>
            <w:tcW w:w="423" w:type="pct"/>
            <w:vAlign w:val="center"/>
          </w:tcPr>
          <w:p w14:paraId="5773F9A1">
            <w:pPr>
              <w:jc w:val="center"/>
              <w:rPr>
                <w:rFonts w:ascii="Times New Roman" w:hAnsi="Times New Roman" w:cs="Times New Roman"/>
                <w:color w:val="auto"/>
                <w:sz w:val="21"/>
                <w:lang w:eastAsia="zh-CN"/>
              </w:rPr>
            </w:pPr>
          </w:p>
        </w:tc>
      </w:tr>
      <w:tr w14:paraId="3076930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3" w:hRule="atLeast"/>
          <w:jc w:val="center"/>
        </w:trPr>
        <w:tc>
          <w:tcPr>
            <w:tcW w:w="491" w:type="pct"/>
            <w:vMerge w:val="continue"/>
            <w:vAlign w:val="center"/>
          </w:tcPr>
          <w:p w14:paraId="05765075">
            <w:pPr>
              <w:jc w:val="center"/>
              <w:rPr>
                <w:rFonts w:ascii="Times New Roman" w:hAnsi="Times New Roman" w:cs="Times New Roman"/>
                <w:color w:val="auto"/>
                <w:sz w:val="21"/>
              </w:rPr>
            </w:pPr>
          </w:p>
        </w:tc>
        <w:tc>
          <w:tcPr>
            <w:tcW w:w="667" w:type="pct"/>
            <w:vAlign w:val="center"/>
          </w:tcPr>
          <w:p w14:paraId="26F94EC1">
            <w:pPr>
              <w:jc w:val="center"/>
              <w:rPr>
                <w:rFonts w:ascii="Times New Roman" w:hAnsi="Times New Roman" w:cs="Times New Roman"/>
                <w:color w:val="auto"/>
                <w:sz w:val="21"/>
              </w:rPr>
            </w:pPr>
            <w:r>
              <w:rPr>
                <w:rFonts w:ascii="Times New Roman" w:hAnsi="Times New Roman" w:cs="Times New Roman"/>
                <w:color w:val="auto"/>
                <w:sz w:val="21"/>
              </w:rPr>
              <w:t>标准限值</w:t>
            </w:r>
          </w:p>
        </w:tc>
        <w:tc>
          <w:tcPr>
            <w:tcW w:w="429" w:type="pct"/>
            <w:vAlign w:val="center"/>
          </w:tcPr>
          <w:p w14:paraId="454F0912">
            <w:pPr>
              <w:jc w:val="center"/>
              <w:rPr>
                <w:rFonts w:ascii="Times New Roman" w:hAnsi="Times New Roman" w:cs="Times New Roman"/>
                <w:color w:val="auto"/>
                <w:sz w:val="21"/>
              </w:rPr>
            </w:pPr>
          </w:p>
        </w:tc>
        <w:tc>
          <w:tcPr>
            <w:tcW w:w="427" w:type="pct"/>
            <w:vAlign w:val="center"/>
          </w:tcPr>
          <w:p w14:paraId="041BD1E8">
            <w:pPr>
              <w:jc w:val="center"/>
              <w:rPr>
                <w:rFonts w:ascii="Times New Roman" w:hAnsi="Times New Roman" w:cs="Times New Roman"/>
                <w:color w:val="auto"/>
                <w:sz w:val="21"/>
              </w:rPr>
            </w:pPr>
          </w:p>
        </w:tc>
        <w:tc>
          <w:tcPr>
            <w:tcW w:w="343" w:type="pct"/>
            <w:vAlign w:val="center"/>
          </w:tcPr>
          <w:p w14:paraId="3A506701">
            <w:pPr>
              <w:jc w:val="center"/>
              <w:rPr>
                <w:rFonts w:ascii="Times New Roman" w:hAnsi="Times New Roman" w:cs="Times New Roman"/>
                <w:color w:val="auto"/>
                <w:sz w:val="21"/>
              </w:rPr>
            </w:pPr>
          </w:p>
        </w:tc>
        <w:tc>
          <w:tcPr>
            <w:tcW w:w="511" w:type="pct"/>
            <w:vAlign w:val="center"/>
          </w:tcPr>
          <w:p w14:paraId="398C7445">
            <w:pPr>
              <w:jc w:val="center"/>
              <w:rPr>
                <w:rFonts w:ascii="Times New Roman" w:hAnsi="Times New Roman" w:cs="Times New Roman"/>
                <w:color w:val="auto"/>
                <w:sz w:val="21"/>
              </w:rPr>
            </w:pPr>
          </w:p>
        </w:tc>
        <w:tc>
          <w:tcPr>
            <w:tcW w:w="427" w:type="pct"/>
            <w:vAlign w:val="center"/>
          </w:tcPr>
          <w:p w14:paraId="5C554BEA">
            <w:pPr>
              <w:jc w:val="center"/>
              <w:rPr>
                <w:rFonts w:ascii="Times New Roman" w:hAnsi="Times New Roman" w:cs="Times New Roman"/>
                <w:color w:val="auto"/>
                <w:sz w:val="21"/>
              </w:rPr>
            </w:pPr>
          </w:p>
        </w:tc>
        <w:tc>
          <w:tcPr>
            <w:tcW w:w="427" w:type="pct"/>
            <w:vAlign w:val="center"/>
          </w:tcPr>
          <w:p w14:paraId="4F4E2979">
            <w:pPr>
              <w:jc w:val="center"/>
              <w:rPr>
                <w:rFonts w:ascii="Times New Roman" w:hAnsi="Times New Roman" w:cs="Times New Roman"/>
                <w:color w:val="auto"/>
                <w:sz w:val="21"/>
              </w:rPr>
            </w:pPr>
          </w:p>
        </w:tc>
        <w:tc>
          <w:tcPr>
            <w:tcW w:w="427" w:type="pct"/>
            <w:vAlign w:val="center"/>
          </w:tcPr>
          <w:p w14:paraId="0499DC28">
            <w:pPr>
              <w:jc w:val="center"/>
              <w:rPr>
                <w:rFonts w:ascii="Times New Roman" w:hAnsi="Times New Roman" w:cs="Times New Roman"/>
                <w:color w:val="auto"/>
                <w:sz w:val="21"/>
              </w:rPr>
            </w:pPr>
          </w:p>
        </w:tc>
        <w:tc>
          <w:tcPr>
            <w:tcW w:w="426" w:type="pct"/>
            <w:vAlign w:val="center"/>
          </w:tcPr>
          <w:p w14:paraId="1D9F8BCD">
            <w:pPr>
              <w:jc w:val="center"/>
              <w:rPr>
                <w:rFonts w:ascii="Times New Roman" w:hAnsi="Times New Roman" w:cs="Times New Roman"/>
                <w:color w:val="auto"/>
                <w:sz w:val="21"/>
              </w:rPr>
            </w:pPr>
          </w:p>
        </w:tc>
        <w:tc>
          <w:tcPr>
            <w:tcW w:w="423" w:type="pct"/>
            <w:vAlign w:val="center"/>
          </w:tcPr>
          <w:p w14:paraId="0CC303D4">
            <w:pPr>
              <w:jc w:val="center"/>
              <w:rPr>
                <w:rFonts w:ascii="Times New Roman" w:hAnsi="Times New Roman" w:cs="Times New Roman"/>
                <w:color w:val="auto"/>
                <w:sz w:val="21"/>
              </w:rPr>
            </w:pPr>
          </w:p>
        </w:tc>
      </w:tr>
      <w:tr w14:paraId="0CD2D96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3" w:hRule="atLeast"/>
          <w:jc w:val="center"/>
        </w:trPr>
        <w:tc>
          <w:tcPr>
            <w:tcW w:w="491" w:type="pct"/>
            <w:vMerge w:val="continue"/>
            <w:vAlign w:val="center"/>
          </w:tcPr>
          <w:p w14:paraId="4FF2C05E">
            <w:pPr>
              <w:jc w:val="center"/>
              <w:rPr>
                <w:rFonts w:ascii="Times New Roman" w:hAnsi="Times New Roman" w:cs="Times New Roman"/>
                <w:color w:val="auto"/>
                <w:sz w:val="21"/>
              </w:rPr>
            </w:pPr>
          </w:p>
        </w:tc>
        <w:tc>
          <w:tcPr>
            <w:tcW w:w="667" w:type="pct"/>
            <w:vAlign w:val="center"/>
          </w:tcPr>
          <w:p w14:paraId="2ECAADAB">
            <w:pPr>
              <w:jc w:val="center"/>
              <w:rPr>
                <w:rFonts w:ascii="Times New Roman" w:hAnsi="Times New Roman" w:cs="Times New Roman"/>
                <w:color w:val="auto"/>
                <w:sz w:val="21"/>
              </w:rPr>
            </w:pPr>
            <w:r>
              <w:rPr>
                <w:rFonts w:ascii="Times New Roman" w:hAnsi="Times New Roman" w:cs="Times New Roman"/>
                <w:color w:val="auto"/>
                <w:sz w:val="21"/>
                <w:lang w:eastAsia="zh-CN"/>
              </w:rPr>
              <w:t>评价结果</w:t>
            </w:r>
          </w:p>
        </w:tc>
        <w:tc>
          <w:tcPr>
            <w:tcW w:w="429" w:type="pct"/>
            <w:vAlign w:val="center"/>
          </w:tcPr>
          <w:p w14:paraId="30753298">
            <w:pPr>
              <w:jc w:val="center"/>
              <w:rPr>
                <w:rFonts w:ascii="Times New Roman" w:hAnsi="Times New Roman" w:cs="Times New Roman"/>
                <w:color w:val="auto"/>
                <w:sz w:val="21"/>
              </w:rPr>
            </w:pPr>
          </w:p>
        </w:tc>
        <w:tc>
          <w:tcPr>
            <w:tcW w:w="427" w:type="pct"/>
            <w:vAlign w:val="center"/>
          </w:tcPr>
          <w:p w14:paraId="1B22B0E9">
            <w:pPr>
              <w:jc w:val="center"/>
              <w:rPr>
                <w:rFonts w:ascii="Times New Roman" w:hAnsi="Times New Roman" w:cs="Times New Roman"/>
                <w:color w:val="auto"/>
                <w:sz w:val="21"/>
              </w:rPr>
            </w:pPr>
          </w:p>
        </w:tc>
        <w:tc>
          <w:tcPr>
            <w:tcW w:w="343" w:type="pct"/>
            <w:vAlign w:val="center"/>
          </w:tcPr>
          <w:p w14:paraId="1CE99D42">
            <w:pPr>
              <w:jc w:val="center"/>
              <w:rPr>
                <w:rFonts w:ascii="Times New Roman" w:hAnsi="Times New Roman" w:cs="Times New Roman"/>
                <w:color w:val="auto"/>
                <w:sz w:val="21"/>
              </w:rPr>
            </w:pPr>
          </w:p>
        </w:tc>
        <w:tc>
          <w:tcPr>
            <w:tcW w:w="511" w:type="pct"/>
            <w:vAlign w:val="center"/>
          </w:tcPr>
          <w:p w14:paraId="4942B2CF">
            <w:pPr>
              <w:jc w:val="center"/>
              <w:rPr>
                <w:rFonts w:ascii="Times New Roman" w:hAnsi="Times New Roman" w:cs="Times New Roman"/>
                <w:color w:val="auto"/>
                <w:sz w:val="21"/>
                <w:lang w:eastAsia="zh-CN"/>
              </w:rPr>
            </w:pPr>
          </w:p>
        </w:tc>
        <w:tc>
          <w:tcPr>
            <w:tcW w:w="427" w:type="pct"/>
            <w:vAlign w:val="center"/>
          </w:tcPr>
          <w:p w14:paraId="1ED29421">
            <w:pPr>
              <w:jc w:val="center"/>
              <w:rPr>
                <w:rFonts w:ascii="Times New Roman" w:hAnsi="Times New Roman" w:cs="Times New Roman"/>
                <w:color w:val="auto"/>
                <w:sz w:val="21"/>
                <w:lang w:eastAsia="zh-CN"/>
              </w:rPr>
            </w:pPr>
          </w:p>
        </w:tc>
        <w:tc>
          <w:tcPr>
            <w:tcW w:w="427" w:type="pct"/>
            <w:vAlign w:val="center"/>
          </w:tcPr>
          <w:p w14:paraId="0F89832B">
            <w:pPr>
              <w:jc w:val="center"/>
              <w:rPr>
                <w:rFonts w:ascii="Times New Roman" w:hAnsi="Times New Roman" w:cs="Times New Roman"/>
                <w:color w:val="auto"/>
                <w:sz w:val="21"/>
                <w:lang w:eastAsia="zh-CN"/>
              </w:rPr>
            </w:pPr>
          </w:p>
        </w:tc>
        <w:tc>
          <w:tcPr>
            <w:tcW w:w="427" w:type="pct"/>
            <w:vAlign w:val="center"/>
          </w:tcPr>
          <w:p w14:paraId="2979BF8C">
            <w:pPr>
              <w:jc w:val="center"/>
              <w:rPr>
                <w:rFonts w:ascii="Times New Roman" w:hAnsi="Times New Roman" w:cs="Times New Roman"/>
                <w:color w:val="auto"/>
                <w:sz w:val="21"/>
                <w:lang w:eastAsia="zh-CN"/>
              </w:rPr>
            </w:pPr>
          </w:p>
        </w:tc>
        <w:tc>
          <w:tcPr>
            <w:tcW w:w="426" w:type="pct"/>
            <w:vAlign w:val="center"/>
          </w:tcPr>
          <w:p w14:paraId="3EB616CE">
            <w:pPr>
              <w:jc w:val="center"/>
              <w:rPr>
                <w:rFonts w:ascii="Times New Roman" w:hAnsi="Times New Roman" w:cs="Times New Roman"/>
                <w:color w:val="auto"/>
                <w:sz w:val="21"/>
              </w:rPr>
            </w:pPr>
          </w:p>
        </w:tc>
        <w:tc>
          <w:tcPr>
            <w:tcW w:w="423" w:type="pct"/>
            <w:vAlign w:val="center"/>
          </w:tcPr>
          <w:p w14:paraId="6A95B879">
            <w:pPr>
              <w:jc w:val="center"/>
              <w:rPr>
                <w:rFonts w:ascii="Times New Roman" w:hAnsi="Times New Roman" w:cs="Times New Roman"/>
                <w:color w:val="auto"/>
                <w:sz w:val="21"/>
                <w:lang w:eastAsia="zh-CN"/>
              </w:rPr>
            </w:pPr>
          </w:p>
        </w:tc>
      </w:tr>
      <w:tr w14:paraId="42DE14D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3" w:hRule="atLeast"/>
          <w:jc w:val="center"/>
        </w:trPr>
        <w:tc>
          <w:tcPr>
            <w:tcW w:w="491" w:type="pct"/>
            <w:vMerge w:val="continue"/>
            <w:vAlign w:val="center"/>
          </w:tcPr>
          <w:p w14:paraId="0FEBA116">
            <w:pPr>
              <w:jc w:val="center"/>
              <w:rPr>
                <w:rFonts w:ascii="Times New Roman" w:hAnsi="Times New Roman" w:cs="Times New Roman"/>
                <w:color w:val="auto"/>
                <w:sz w:val="21"/>
              </w:rPr>
            </w:pPr>
          </w:p>
        </w:tc>
        <w:tc>
          <w:tcPr>
            <w:tcW w:w="667" w:type="pct"/>
            <w:vAlign w:val="center"/>
          </w:tcPr>
          <w:p w14:paraId="5D8F79D8">
            <w:pPr>
              <w:jc w:val="center"/>
              <w:rPr>
                <w:rFonts w:ascii="Times New Roman" w:hAnsi="Times New Roman" w:cs="Times New Roman"/>
                <w:color w:val="auto"/>
                <w:sz w:val="21"/>
              </w:rPr>
            </w:pPr>
            <w:r>
              <w:rPr>
                <w:rFonts w:ascii="Times New Roman" w:hAnsi="Times New Roman" w:cs="Times New Roman"/>
                <w:color w:val="auto"/>
                <w:sz w:val="21"/>
              </w:rPr>
              <w:t>达标情况</w:t>
            </w:r>
          </w:p>
        </w:tc>
        <w:tc>
          <w:tcPr>
            <w:tcW w:w="429" w:type="pct"/>
            <w:vAlign w:val="center"/>
          </w:tcPr>
          <w:p w14:paraId="64423DCA">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427" w:type="pct"/>
            <w:vAlign w:val="center"/>
          </w:tcPr>
          <w:p w14:paraId="5C4964EB">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343" w:type="pct"/>
            <w:vAlign w:val="center"/>
          </w:tcPr>
          <w:p w14:paraId="06B172DA">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511" w:type="pct"/>
            <w:vAlign w:val="center"/>
          </w:tcPr>
          <w:p w14:paraId="608FC2C0">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427" w:type="pct"/>
            <w:vAlign w:val="center"/>
          </w:tcPr>
          <w:p w14:paraId="062F2A60">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427" w:type="pct"/>
            <w:vAlign w:val="center"/>
          </w:tcPr>
          <w:p w14:paraId="5A796A8F">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427" w:type="pct"/>
            <w:vAlign w:val="center"/>
          </w:tcPr>
          <w:p w14:paraId="7EF9C6F0">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426" w:type="pct"/>
            <w:vAlign w:val="center"/>
          </w:tcPr>
          <w:p w14:paraId="4F51E0F8">
            <w:pPr>
              <w:jc w:val="center"/>
              <w:rPr>
                <w:rFonts w:ascii="Times New Roman" w:hAnsi="Times New Roman" w:cs="Times New Roman"/>
                <w:color w:val="auto"/>
                <w:sz w:val="21"/>
              </w:rPr>
            </w:pPr>
            <w:r>
              <w:rPr>
                <w:rFonts w:ascii="Times New Roman" w:hAnsi="Times New Roman" w:cs="Times New Roman"/>
                <w:color w:val="auto"/>
                <w:sz w:val="21"/>
              </w:rPr>
              <w:t>达标</w:t>
            </w:r>
          </w:p>
        </w:tc>
        <w:tc>
          <w:tcPr>
            <w:tcW w:w="423" w:type="pct"/>
            <w:vAlign w:val="center"/>
          </w:tcPr>
          <w:p w14:paraId="133066A2">
            <w:pPr>
              <w:jc w:val="center"/>
              <w:rPr>
                <w:rFonts w:ascii="Times New Roman" w:hAnsi="Times New Roman" w:cs="Times New Roman"/>
                <w:color w:val="auto"/>
                <w:sz w:val="21"/>
              </w:rPr>
            </w:pPr>
            <w:r>
              <w:rPr>
                <w:rFonts w:ascii="Times New Roman" w:hAnsi="Times New Roman" w:cs="Times New Roman"/>
                <w:color w:val="auto"/>
                <w:sz w:val="21"/>
              </w:rPr>
              <w:t>达标</w:t>
            </w:r>
          </w:p>
        </w:tc>
      </w:tr>
      <w:bookmarkEnd w:id="1284"/>
    </w:tbl>
    <w:p w14:paraId="5CD25A97">
      <w:pPr>
        <w:pStyle w:val="42"/>
        <w:ind w:firstLine="480"/>
      </w:pPr>
    </w:p>
    <w:p w14:paraId="0CEA2E92">
      <w:pPr>
        <w:spacing w:line="360" w:lineRule="auto"/>
        <w:ind w:firstLine="480"/>
        <w:rPr>
          <w:rFonts w:ascii="Times New Roman" w:hAnsi="Times New Roman" w:cs="Times New Roman"/>
          <w:color w:val="auto"/>
        </w:rPr>
        <w:sectPr>
          <w:pgSz w:w="16840" w:h="11907" w:orient="landscape"/>
          <w:pgMar w:top="1134" w:right="1191" w:bottom="1134" w:left="1191" w:header="0" w:footer="914" w:gutter="0"/>
          <w:cols w:space="720" w:num="1"/>
        </w:sectPr>
      </w:pPr>
    </w:p>
    <w:p w14:paraId="0F09571B">
      <w:pPr>
        <w:spacing w:line="360" w:lineRule="auto"/>
        <w:ind w:firstLine="480" w:firstLineChars="200"/>
        <w:jc w:val="both"/>
        <w:rPr>
          <w:rFonts w:ascii="Times New Roman" w:hAnsi="Times New Roman" w:cs="Times New Roman"/>
          <w:color w:val="auto"/>
          <w:szCs w:val="24"/>
          <w:lang w:eastAsia="zh-CN"/>
        </w:rPr>
      </w:pPr>
      <w:bookmarkStart w:id="1285" w:name="_Toc30077"/>
      <w:bookmarkStart w:id="1286" w:name="_Toc15990"/>
      <w:r>
        <w:rPr>
          <w:rFonts w:ascii="Times New Roman" w:hAnsi="Times New Roman" w:cs="Times New Roman"/>
          <w:color w:val="auto"/>
          <w:szCs w:val="24"/>
          <w:lang w:eastAsia="zh-CN"/>
        </w:rPr>
        <w:t>（4）评价结果</w:t>
      </w:r>
      <w:bookmarkEnd w:id="1285"/>
      <w:bookmarkEnd w:id="1286"/>
    </w:p>
    <w:p w14:paraId="528F7927">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评价结果表明，</w:t>
      </w:r>
      <w:r>
        <w:rPr>
          <w:rFonts w:hint="eastAsia" w:ascii="Times New Roman" w:hAnsi="Times New Roman" w:cs="Times New Roman"/>
          <w:color w:val="auto"/>
          <w:szCs w:val="24"/>
          <w:lang w:eastAsia="zh-CN"/>
        </w:rPr>
        <w:t>地下水检测因子</w:t>
      </w:r>
      <w:r>
        <w:rPr>
          <w:rFonts w:ascii="Times New Roman" w:hAnsi="Times New Roman" w:cs="Times New Roman"/>
          <w:color w:val="auto"/>
          <w:szCs w:val="24"/>
          <w:lang w:eastAsia="zh-CN"/>
        </w:rPr>
        <w:t>满足《地下水质量标准》（GB/T 14848-2017）中Ⅲ类标准限值要求。</w:t>
      </w:r>
    </w:p>
    <w:p w14:paraId="0D5398F3">
      <w:pPr>
        <w:spacing w:line="360" w:lineRule="auto"/>
        <w:ind w:firstLine="482"/>
        <w:jc w:val="both"/>
        <w:outlineLvl w:val="3"/>
        <w:rPr>
          <w:rFonts w:ascii="Times New Roman" w:hAnsi="Times New Roman" w:cs="Times New Roman"/>
          <w:color w:val="auto"/>
          <w:szCs w:val="24"/>
          <w:lang w:eastAsia="zh-CN"/>
        </w:rPr>
      </w:pPr>
      <w:r>
        <w:fldChar w:fldCharType="begin"/>
      </w:r>
      <w:r>
        <w:instrText xml:space="preserve"> HYPERLINK "file:///D:\\1、工作\\善宇\\1、环评\\蚌埠\\安徽志一新材料科技有限公司聚合物抗氧剂项目\\4.3.4.2" </w:instrText>
      </w:r>
      <w:r>
        <w:fldChar w:fldCharType="separate"/>
      </w:r>
      <w:r>
        <w:rPr>
          <w:rFonts w:ascii="Times New Roman" w:hAnsi="Times New Roman" w:cs="Times New Roman"/>
          <w:b/>
          <w:bCs/>
          <w:color w:val="auto"/>
          <w:szCs w:val="24"/>
          <w:lang w:eastAsia="zh-CN"/>
        </w:rPr>
        <w:t>5.2.4.</w:t>
      </w:r>
      <w:r>
        <w:rPr>
          <w:rFonts w:hint="eastAsia" w:ascii="Times New Roman" w:hAnsi="Times New Roman" w:cs="Times New Roman"/>
          <w:b/>
          <w:bCs/>
          <w:color w:val="auto"/>
          <w:szCs w:val="24"/>
          <w:lang w:eastAsia="zh-CN"/>
        </w:rPr>
        <w:t>3</w:t>
      </w:r>
      <w:r>
        <w:rPr>
          <w:rFonts w:hint="eastAsia" w:ascii="Times New Roman" w:hAnsi="Times New Roman" w:cs="Times New Roman"/>
          <w:b/>
          <w:bCs/>
          <w:color w:val="auto"/>
          <w:szCs w:val="24"/>
          <w:lang w:eastAsia="zh-CN"/>
        </w:rPr>
        <w:fldChar w:fldCharType="end"/>
      </w:r>
      <w:r>
        <w:rPr>
          <w:rFonts w:ascii="Times New Roman" w:hAnsi="Times New Roman" w:cs="Times New Roman"/>
          <w:b/>
          <w:bCs/>
          <w:color w:val="auto"/>
          <w:szCs w:val="24"/>
          <w:lang w:eastAsia="zh-CN"/>
        </w:rPr>
        <w:t xml:space="preserve"> </w:t>
      </w:r>
      <w:r>
        <w:rPr>
          <w:rFonts w:hint="eastAsia" w:ascii="Times New Roman" w:hAnsi="Times New Roman" w:cs="Times New Roman"/>
          <w:b/>
          <w:bCs/>
          <w:color w:val="auto"/>
          <w:szCs w:val="24"/>
          <w:lang w:eastAsia="zh-CN"/>
        </w:rPr>
        <w:t>包气带污染物调查与监测</w:t>
      </w:r>
    </w:p>
    <w:p w14:paraId="0943D63F">
      <w:pPr>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依据《环境影响评价技术导则 地下水环境》（HJ610-2016）技术规范要求“对于二级评价的改、扩建类建设项目，应开展现有工业场地的包气带污染现状调查”。</w:t>
      </w:r>
    </w:p>
    <w:p w14:paraId="383769D7">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本次评价在厂区内设置1个包气带污染监测点位。</w:t>
      </w:r>
    </w:p>
    <w:p w14:paraId="5B1F553A">
      <w:pPr>
        <w:spacing w:line="360" w:lineRule="auto"/>
        <w:ind w:left="48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（1）监测点位</w:t>
      </w:r>
    </w:p>
    <w:p w14:paraId="5C157FB0">
      <w:pPr>
        <w:spacing w:line="360" w:lineRule="auto"/>
        <w:ind w:firstLine="480" w:firstLineChars="200"/>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具体点位设置见下表</w:t>
      </w:r>
      <w:r>
        <w:rPr>
          <w:rFonts w:ascii="Times New Roman" w:hAnsi="Times New Roman" w:cs="Times New Roman"/>
          <w:color w:val="auto"/>
          <w:szCs w:val="24"/>
          <w:lang w:eastAsia="zh-CN"/>
        </w:rPr>
        <w:t>。</w:t>
      </w:r>
    </w:p>
    <w:p w14:paraId="5A2D8B69">
      <w:pPr>
        <w:spacing w:line="360" w:lineRule="auto"/>
        <w:jc w:val="center"/>
        <w:rPr>
          <w:rFonts w:ascii="Times New Roman" w:hAnsi="Times New Roman" w:cs="Times New Roman"/>
          <w:color w:val="auto"/>
          <w:szCs w:val="24"/>
          <w:lang w:eastAsia="zh-CN"/>
        </w:rPr>
      </w:pPr>
      <w:r>
        <w:rPr>
          <w:rFonts w:hint="eastAsia" w:ascii="Times New Roman" w:hAnsi="Times New Roman" w:cs="Times New Roman"/>
          <w:b/>
          <w:bCs/>
          <w:color w:val="auto"/>
          <w:szCs w:val="24"/>
          <w:lang w:eastAsia="zh-CN"/>
        </w:rPr>
        <w:t xml:space="preserve">表5.2-13 </w:t>
      </w:r>
      <w:r>
        <w:rPr>
          <w:rFonts w:hint="eastAsia"/>
          <w:b/>
          <w:bCs/>
          <w:color w:val="auto"/>
          <w:lang w:eastAsia="zh-CN"/>
        </w:rPr>
        <w:t>包气带监测点位布设一览表</w:t>
      </w:r>
    </w:p>
    <w:tbl>
      <w:tblPr>
        <w:tblStyle w:val="36"/>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10"/>
        <w:gridCol w:w="1146"/>
        <w:gridCol w:w="4130"/>
        <w:gridCol w:w="1142"/>
        <w:gridCol w:w="1281"/>
        <w:gridCol w:w="1030"/>
      </w:tblGrid>
      <w:tr w14:paraId="565419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935" w:type="dxa"/>
            <w:tcBorders>
              <w:tl2br w:val="nil"/>
              <w:tr2bl w:val="nil"/>
            </w:tcBorders>
            <w:vAlign w:val="center"/>
          </w:tcPr>
          <w:p w14:paraId="204A21F3">
            <w:pPr>
              <w:widowControl w:val="0"/>
              <w:jc w:val="center"/>
              <w:rPr>
                <w:rFonts w:ascii="Times New Roman" w:hAnsi="Times New Roman" w:cs="Times New Roman"/>
                <w:b/>
                <w:bCs/>
                <w:color w:val="auto"/>
                <w:sz w:val="21"/>
                <w:szCs w:val="16"/>
                <w:lang w:eastAsia="zh-CN"/>
              </w:rPr>
            </w:pPr>
            <w:r>
              <w:rPr>
                <w:rFonts w:ascii="Times New Roman" w:hAnsi="Times New Roman" w:cs="Times New Roman"/>
                <w:b/>
                <w:bCs/>
                <w:color w:val="auto"/>
                <w:sz w:val="21"/>
                <w:szCs w:val="16"/>
                <w:lang w:eastAsia="zh-CN"/>
              </w:rPr>
              <w:t>类型</w:t>
            </w:r>
          </w:p>
        </w:tc>
        <w:tc>
          <w:tcPr>
            <w:tcW w:w="1183" w:type="dxa"/>
            <w:tcBorders>
              <w:tl2br w:val="nil"/>
              <w:tr2bl w:val="nil"/>
            </w:tcBorders>
            <w:vAlign w:val="center"/>
          </w:tcPr>
          <w:p w14:paraId="570522D8">
            <w:pPr>
              <w:widowControl w:val="0"/>
              <w:jc w:val="center"/>
              <w:rPr>
                <w:rFonts w:ascii="Times New Roman" w:hAnsi="Times New Roman" w:cs="Times New Roman"/>
                <w:b/>
                <w:bCs/>
                <w:color w:val="auto"/>
                <w:sz w:val="21"/>
                <w:szCs w:val="16"/>
                <w:lang w:eastAsia="zh-CN"/>
              </w:rPr>
            </w:pPr>
            <w:r>
              <w:rPr>
                <w:rFonts w:ascii="Times New Roman" w:hAnsi="Times New Roman" w:cs="Times New Roman"/>
                <w:b/>
                <w:bCs/>
                <w:color w:val="auto"/>
                <w:sz w:val="21"/>
                <w:szCs w:val="16"/>
                <w:lang w:eastAsia="zh-CN"/>
              </w:rPr>
              <w:t>监测点位</w:t>
            </w:r>
          </w:p>
        </w:tc>
        <w:tc>
          <w:tcPr>
            <w:tcW w:w="4306" w:type="dxa"/>
            <w:tcBorders>
              <w:tl2br w:val="nil"/>
              <w:tr2bl w:val="nil"/>
            </w:tcBorders>
            <w:vAlign w:val="center"/>
          </w:tcPr>
          <w:p w14:paraId="7B16A1D1">
            <w:pPr>
              <w:widowControl w:val="0"/>
              <w:jc w:val="center"/>
              <w:rPr>
                <w:rFonts w:ascii="Times New Roman" w:hAnsi="Times New Roman" w:cs="Times New Roman"/>
                <w:b/>
                <w:bCs/>
                <w:color w:val="auto"/>
                <w:sz w:val="21"/>
                <w:szCs w:val="16"/>
                <w:lang w:eastAsia="zh-CN"/>
              </w:rPr>
            </w:pPr>
            <w:r>
              <w:rPr>
                <w:rFonts w:ascii="Times New Roman" w:hAnsi="Times New Roman" w:cs="Times New Roman"/>
                <w:b/>
                <w:bCs/>
                <w:color w:val="auto"/>
                <w:sz w:val="21"/>
                <w:szCs w:val="16"/>
                <w:lang w:eastAsia="zh-CN"/>
              </w:rPr>
              <w:t>监测因子</w:t>
            </w:r>
          </w:p>
        </w:tc>
        <w:tc>
          <w:tcPr>
            <w:tcW w:w="1179" w:type="dxa"/>
            <w:tcBorders>
              <w:tl2br w:val="nil"/>
              <w:tr2bl w:val="nil"/>
            </w:tcBorders>
            <w:vAlign w:val="center"/>
          </w:tcPr>
          <w:p w14:paraId="2E4AB79A">
            <w:pPr>
              <w:widowControl w:val="0"/>
              <w:jc w:val="center"/>
              <w:rPr>
                <w:rFonts w:ascii="Times New Roman" w:hAnsi="Times New Roman" w:cs="Times New Roman"/>
                <w:b/>
                <w:bCs/>
                <w:color w:val="auto"/>
                <w:sz w:val="21"/>
                <w:szCs w:val="16"/>
                <w:lang w:eastAsia="zh-CN"/>
              </w:rPr>
            </w:pPr>
            <w:r>
              <w:rPr>
                <w:rFonts w:ascii="Times New Roman" w:hAnsi="Times New Roman" w:cs="Times New Roman"/>
                <w:b/>
                <w:bCs/>
                <w:color w:val="auto"/>
                <w:sz w:val="21"/>
                <w:szCs w:val="16"/>
                <w:lang w:eastAsia="zh-CN"/>
              </w:rPr>
              <w:t>监测频次</w:t>
            </w:r>
          </w:p>
        </w:tc>
        <w:tc>
          <w:tcPr>
            <w:tcW w:w="1300" w:type="dxa"/>
            <w:tcBorders>
              <w:tl2br w:val="nil"/>
              <w:tr2bl w:val="nil"/>
            </w:tcBorders>
            <w:vAlign w:val="center"/>
          </w:tcPr>
          <w:p w14:paraId="03725F59">
            <w:pPr>
              <w:widowControl w:val="0"/>
              <w:jc w:val="center"/>
              <w:rPr>
                <w:rFonts w:ascii="Times New Roman" w:hAnsi="Times New Roman" w:cs="Times New Roman"/>
                <w:b/>
                <w:bCs/>
                <w:color w:val="auto"/>
                <w:sz w:val="21"/>
                <w:szCs w:val="16"/>
                <w:lang w:eastAsia="zh-CN"/>
              </w:rPr>
            </w:pPr>
            <w:r>
              <w:rPr>
                <w:rFonts w:ascii="Times New Roman" w:hAnsi="Times New Roman" w:cs="Times New Roman"/>
                <w:b/>
                <w:bCs/>
                <w:color w:val="auto"/>
                <w:sz w:val="21"/>
                <w:szCs w:val="16"/>
                <w:lang w:eastAsia="zh-CN"/>
              </w:rPr>
              <w:t>采样深度</w:t>
            </w:r>
          </w:p>
        </w:tc>
        <w:tc>
          <w:tcPr>
            <w:tcW w:w="1060" w:type="dxa"/>
            <w:tcBorders>
              <w:tl2br w:val="nil"/>
              <w:tr2bl w:val="nil"/>
            </w:tcBorders>
            <w:vAlign w:val="center"/>
          </w:tcPr>
          <w:p w14:paraId="55C088FC">
            <w:pPr>
              <w:widowControl w:val="0"/>
              <w:jc w:val="center"/>
              <w:rPr>
                <w:rFonts w:ascii="Times New Roman" w:hAnsi="Times New Roman" w:cs="Times New Roman"/>
                <w:b/>
                <w:bCs/>
                <w:color w:val="auto"/>
                <w:sz w:val="21"/>
                <w:szCs w:val="16"/>
                <w:lang w:eastAsia="zh-CN"/>
              </w:rPr>
            </w:pPr>
            <w:r>
              <w:rPr>
                <w:rFonts w:ascii="Times New Roman" w:hAnsi="Times New Roman" w:cs="Times New Roman"/>
                <w:b/>
                <w:bCs/>
                <w:color w:val="auto"/>
                <w:sz w:val="21"/>
                <w:szCs w:val="16"/>
                <w:lang w:eastAsia="zh-CN"/>
              </w:rPr>
              <w:t>样品数</w:t>
            </w:r>
          </w:p>
        </w:tc>
      </w:tr>
      <w:tr w14:paraId="040AEA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935" w:type="dxa"/>
            <w:tcBorders>
              <w:tl2br w:val="nil"/>
              <w:tr2bl w:val="nil"/>
            </w:tcBorders>
            <w:vAlign w:val="center"/>
          </w:tcPr>
          <w:p w14:paraId="7361D5F9">
            <w:pPr>
              <w:widowControl w:val="0"/>
              <w:jc w:val="center"/>
              <w:rPr>
                <w:rFonts w:ascii="Times New Roman" w:hAnsi="Times New Roman" w:cs="Times New Roman"/>
                <w:color w:val="auto"/>
                <w:sz w:val="21"/>
                <w:szCs w:val="16"/>
                <w:lang w:eastAsia="zh-CN"/>
              </w:rPr>
            </w:pPr>
            <w:r>
              <w:rPr>
                <w:rFonts w:ascii="Times New Roman" w:hAnsi="Times New Roman" w:cs="Times New Roman"/>
                <w:color w:val="auto"/>
                <w:sz w:val="21"/>
                <w:szCs w:val="16"/>
                <w:lang w:eastAsia="zh-CN"/>
              </w:rPr>
              <w:t>占地范围内</w:t>
            </w:r>
          </w:p>
        </w:tc>
        <w:tc>
          <w:tcPr>
            <w:tcW w:w="1183" w:type="dxa"/>
            <w:tcBorders>
              <w:tl2br w:val="nil"/>
              <w:tr2bl w:val="nil"/>
            </w:tcBorders>
            <w:vAlign w:val="center"/>
          </w:tcPr>
          <w:p w14:paraId="0B5AB94E">
            <w:pPr>
              <w:widowControl w:val="0"/>
              <w:jc w:val="center"/>
              <w:rPr>
                <w:rFonts w:ascii="Times New Roman" w:hAnsi="Times New Roman" w:cs="Times New Roman"/>
                <w:color w:val="auto"/>
                <w:sz w:val="21"/>
                <w:szCs w:val="16"/>
                <w:lang w:eastAsia="zh-CN"/>
              </w:rPr>
            </w:pPr>
            <w:r>
              <w:rPr>
                <w:rFonts w:hint="eastAsia" w:ascii="Times New Roman" w:hAnsi="Times New Roman" w:cs="Times New Roman"/>
                <w:color w:val="auto"/>
                <w:sz w:val="21"/>
                <w:szCs w:val="16"/>
                <w:lang w:eastAsia="zh-CN"/>
              </w:rPr>
              <w:t>污水处理站</w:t>
            </w:r>
          </w:p>
        </w:tc>
        <w:tc>
          <w:tcPr>
            <w:tcW w:w="4306" w:type="dxa"/>
            <w:tcBorders>
              <w:tl2br w:val="nil"/>
              <w:tr2bl w:val="nil"/>
            </w:tcBorders>
            <w:vAlign w:val="center"/>
          </w:tcPr>
          <w:p w14:paraId="3283A4F4">
            <w:pPr>
              <w:widowControl w:val="0"/>
              <w:jc w:val="center"/>
              <w:rPr>
                <w:rFonts w:ascii="Times New Roman" w:hAnsi="Times New Roman" w:cs="Times New Roman"/>
                <w:color w:val="auto"/>
                <w:sz w:val="21"/>
                <w:szCs w:val="16"/>
                <w:lang w:eastAsia="zh-CN"/>
              </w:rPr>
            </w:pPr>
            <w:r>
              <w:rPr>
                <w:rFonts w:ascii="Times New Roman" w:hAnsi="Times New Roman" w:cs="Times New Roman"/>
                <w:color w:val="auto"/>
                <w:sz w:val="21"/>
                <w:szCs w:val="16"/>
                <w:lang w:eastAsia="zh-CN"/>
              </w:rPr>
              <w:t>pH、</w:t>
            </w:r>
            <w:r>
              <w:rPr>
                <w:rFonts w:hint="eastAsia" w:ascii="Times New Roman" w:hAnsi="Times New Roman" w:cs="Times New Roman"/>
                <w:color w:val="auto"/>
                <w:sz w:val="21"/>
                <w:szCs w:val="16"/>
                <w:lang w:eastAsia="zh-CN"/>
              </w:rPr>
              <w:t>氯化物、氟化物、六价铬、铅</w:t>
            </w:r>
          </w:p>
        </w:tc>
        <w:tc>
          <w:tcPr>
            <w:tcW w:w="1179" w:type="dxa"/>
            <w:tcBorders>
              <w:tl2br w:val="nil"/>
              <w:tr2bl w:val="nil"/>
            </w:tcBorders>
            <w:vAlign w:val="center"/>
          </w:tcPr>
          <w:p w14:paraId="7F5BE048">
            <w:pPr>
              <w:widowControl w:val="0"/>
              <w:jc w:val="center"/>
              <w:rPr>
                <w:rFonts w:ascii="Times New Roman" w:hAnsi="Times New Roman" w:cs="Times New Roman"/>
                <w:color w:val="auto"/>
                <w:sz w:val="21"/>
                <w:szCs w:val="16"/>
                <w:lang w:eastAsia="zh-CN"/>
              </w:rPr>
            </w:pPr>
            <w:r>
              <w:rPr>
                <w:rFonts w:ascii="Times New Roman" w:hAnsi="Times New Roman" w:cs="Times New Roman"/>
                <w:color w:val="auto"/>
                <w:sz w:val="21"/>
                <w:szCs w:val="16"/>
                <w:lang w:eastAsia="zh-CN"/>
              </w:rPr>
              <w:t>监测1次</w:t>
            </w:r>
          </w:p>
        </w:tc>
        <w:tc>
          <w:tcPr>
            <w:tcW w:w="1300" w:type="dxa"/>
            <w:tcBorders>
              <w:tl2br w:val="nil"/>
              <w:tr2bl w:val="nil"/>
            </w:tcBorders>
            <w:vAlign w:val="center"/>
          </w:tcPr>
          <w:p w14:paraId="02B81A7A">
            <w:pPr>
              <w:widowControl w:val="0"/>
              <w:jc w:val="center"/>
              <w:rPr>
                <w:rFonts w:ascii="Times New Roman" w:hAnsi="Times New Roman" w:cs="Times New Roman"/>
                <w:color w:val="auto"/>
                <w:sz w:val="21"/>
                <w:szCs w:val="16"/>
                <w:lang w:eastAsia="zh-CN"/>
              </w:rPr>
            </w:pPr>
            <w:r>
              <w:rPr>
                <w:rFonts w:ascii="Times New Roman" w:hAnsi="Times New Roman" w:cs="Times New Roman"/>
                <w:color w:val="auto"/>
                <w:sz w:val="21"/>
                <w:szCs w:val="16"/>
                <w:lang w:eastAsia="zh-CN"/>
              </w:rPr>
              <w:t>0~20cm埋深范围取样</w:t>
            </w:r>
          </w:p>
        </w:tc>
        <w:tc>
          <w:tcPr>
            <w:tcW w:w="1060" w:type="dxa"/>
            <w:tcBorders>
              <w:tl2br w:val="nil"/>
              <w:tr2bl w:val="nil"/>
            </w:tcBorders>
            <w:vAlign w:val="center"/>
          </w:tcPr>
          <w:p w14:paraId="6BDC7895">
            <w:pPr>
              <w:widowControl w:val="0"/>
              <w:jc w:val="center"/>
              <w:rPr>
                <w:rFonts w:ascii="Times New Roman" w:hAnsi="Times New Roman" w:cs="Times New Roman"/>
                <w:color w:val="auto"/>
                <w:sz w:val="21"/>
                <w:szCs w:val="16"/>
                <w:lang w:eastAsia="zh-CN"/>
              </w:rPr>
            </w:pPr>
            <w:r>
              <w:rPr>
                <w:rFonts w:ascii="Times New Roman" w:hAnsi="Times New Roman" w:cs="Times New Roman"/>
                <w:color w:val="auto"/>
                <w:sz w:val="21"/>
                <w:szCs w:val="16"/>
                <w:lang w:eastAsia="zh-CN"/>
              </w:rPr>
              <w:t>1个</w:t>
            </w:r>
          </w:p>
        </w:tc>
      </w:tr>
    </w:tbl>
    <w:p w14:paraId="2B20330F">
      <w:pPr>
        <w:spacing w:line="360" w:lineRule="auto"/>
        <w:ind w:left="48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（2）监测方法</w:t>
      </w:r>
    </w:p>
    <w:p w14:paraId="1C8BD00F">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采样方法按《水质 采样方案设计技术规定》（HJ495-2009）、《水质采样 样品的保存和管理技术规定》（HJ493-2009）。分析方法按《生活饮用水标准检验方法》（GB5750）执行。</w:t>
      </w:r>
    </w:p>
    <w:p w14:paraId="65E55F8A">
      <w:pPr>
        <w:spacing w:line="360" w:lineRule="auto"/>
        <w:ind w:left="48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（3）监测时间及采频次</w:t>
      </w:r>
    </w:p>
    <w:p w14:paraId="010DAD60">
      <w:pPr>
        <w:spacing w:line="360" w:lineRule="auto"/>
        <w:ind w:firstLine="480" w:firstLineChars="200"/>
        <w:jc w:val="both"/>
        <w:rPr>
          <w:rFonts w:ascii="Times New Roman" w:hAnsi="Times New Roman" w:cs="Times New Roman"/>
          <w:color w:val="EE0000"/>
          <w:szCs w:val="24"/>
          <w:lang w:eastAsia="zh-CN"/>
        </w:rPr>
      </w:pPr>
      <w:r>
        <w:rPr>
          <w:rFonts w:hint="eastAsia" w:ascii="Times New Roman" w:hAnsi="Times New Roman" w:cs="Times New Roman"/>
          <w:color w:val="auto"/>
          <w:lang w:eastAsia="zh-CN"/>
        </w:rPr>
        <w:t>安徽基越环境检测有限公司</w:t>
      </w:r>
      <w:r>
        <w:rPr>
          <w:rFonts w:ascii="Times New Roman" w:hAnsi="Times New Roman" w:cs="Times New Roman"/>
          <w:color w:val="auto"/>
          <w:szCs w:val="24"/>
          <w:lang w:eastAsia="zh-CN"/>
        </w:rPr>
        <w:t>202</w:t>
      </w:r>
      <w:r>
        <w:rPr>
          <w:rFonts w:hint="eastAsia" w:ascii="Times New Roman" w:hAnsi="Times New Roman" w:cs="Times New Roman"/>
          <w:color w:val="auto"/>
          <w:szCs w:val="24"/>
          <w:lang w:eastAsia="zh-CN"/>
        </w:rPr>
        <w:t>6</w:t>
      </w:r>
      <w:r>
        <w:rPr>
          <w:rFonts w:ascii="Times New Roman" w:hAnsi="Times New Roman" w:cs="Times New Roman"/>
          <w:color w:val="auto"/>
          <w:szCs w:val="24"/>
          <w:lang w:eastAsia="zh-CN"/>
        </w:rPr>
        <w:t>年</w:t>
      </w:r>
      <w:r>
        <w:rPr>
          <w:rFonts w:hint="eastAsia" w:ascii="Times New Roman" w:hAnsi="Times New Roman" w:cs="Times New Roman"/>
          <w:color w:val="auto"/>
          <w:szCs w:val="24"/>
          <w:lang w:eastAsia="zh-CN"/>
        </w:rPr>
        <w:t>7</w:t>
      </w:r>
      <w:r>
        <w:rPr>
          <w:rFonts w:ascii="Times New Roman" w:hAnsi="Times New Roman" w:cs="Times New Roman"/>
          <w:color w:val="auto"/>
          <w:szCs w:val="24"/>
          <w:lang w:eastAsia="zh-CN"/>
        </w:rPr>
        <w:t>月</w:t>
      </w:r>
      <w:r>
        <w:rPr>
          <w:rFonts w:hint="eastAsia" w:ascii="Times New Roman" w:hAnsi="Times New Roman" w:cs="Times New Roman"/>
          <w:color w:val="auto"/>
          <w:szCs w:val="24"/>
          <w:lang w:eastAsia="zh-CN"/>
        </w:rPr>
        <w:t>8</w:t>
      </w:r>
      <w:r>
        <w:rPr>
          <w:rFonts w:ascii="Times New Roman" w:hAnsi="Times New Roman" w:cs="Times New Roman"/>
          <w:color w:val="auto"/>
          <w:szCs w:val="24"/>
          <w:lang w:eastAsia="zh-CN"/>
        </w:rPr>
        <w:t>日进行</w:t>
      </w:r>
      <w:r>
        <w:rPr>
          <w:rFonts w:hint="eastAsia" w:ascii="Times New Roman" w:hAnsi="Times New Roman" w:cs="Times New Roman"/>
          <w:color w:val="auto"/>
          <w:szCs w:val="24"/>
          <w:lang w:eastAsia="zh-CN"/>
        </w:rPr>
        <w:t>采样</w:t>
      </w:r>
      <w:r>
        <w:rPr>
          <w:rFonts w:ascii="Times New Roman" w:hAnsi="Times New Roman" w:cs="Times New Roman"/>
          <w:color w:val="auto"/>
          <w:szCs w:val="24"/>
          <w:lang w:eastAsia="zh-CN"/>
        </w:rPr>
        <w:t>检测</w:t>
      </w:r>
      <w:r>
        <w:rPr>
          <w:rFonts w:hint="eastAsia" w:ascii="Times New Roman" w:hAnsi="Times New Roman" w:cs="Times New Roman"/>
          <w:color w:val="auto"/>
          <w:lang w:eastAsia="zh-CN"/>
        </w:rPr>
        <w:t>。</w:t>
      </w:r>
    </w:p>
    <w:p w14:paraId="65162D12">
      <w:pPr>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（4）监测结果</w:t>
      </w:r>
    </w:p>
    <w:p w14:paraId="29CB2E6F">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包气带监测结果见下表所示</w:t>
      </w:r>
      <w:r>
        <w:rPr>
          <w:rFonts w:hint="eastAsia" w:ascii="Times New Roman" w:hAnsi="Times New Roman" w:cs="Times New Roman"/>
          <w:color w:val="auto"/>
          <w:szCs w:val="24"/>
          <w:lang w:eastAsia="zh-CN"/>
        </w:rPr>
        <w:t>。</w:t>
      </w:r>
    </w:p>
    <w:p w14:paraId="1A2F664C">
      <w:pPr>
        <w:spacing w:line="360" w:lineRule="auto"/>
        <w:ind w:firstLine="482" w:firstLineChars="200"/>
        <w:jc w:val="center"/>
        <w:rPr>
          <w:rFonts w:ascii="Times New Roman" w:hAnsi="Times New Roman" w:cs="Times New Roman"/>
          <w:color w:val="auto"/>
          <w:lang w:eastAsia="zh-CN"/>
        </w:rPr>
      </w:pPr>
      <w:r>
        <w:rPr>
          <w:rFonts w:ascii="Times New Roman" w:hAnsi="Times New Roman" w:cs="Times New Roman"/>
          <w:b/>
          <w:bCs/>
          <w:color w:val="auto"/>
          <w:szCs w:val="24"/>
          <w:lang w:eastAsia="zh-CN"/>
        </w:rPr>
        <w:t>表5.2-1</w:t>
      </w:r>
      <w:r>
        <w:rPr>
          <w:rFonts w:hint="eastAsia" w:ascii="Times New Roman" w:hAnsi="Times New Roman" w:cs="Times New Roman"/>
          <w:b/>
          <w:bCs/>
          <w:color w:val="auto"/>
          <w:szCs w:val="24"/>
          <w:lang w:eastAsia="zh-CN"/>
        </w:rPr>
        <w:t>4</w:t>
      </w:r>
      <w:r>
        <w:rPr>
          <w:rFonts w:ascii="Times New Roman" w:hAnsi="Times New Roman" w:cs="Times New Roman"/>
          <w:b/>
          <w:bCs/>
          <w:color w:val="auto"/>
          <w:szCs w:val="24"/>
          <w:lang w:eastAsia="zh-CN"/>
        </w:rPr>
        <w:t xml:space="preserve"> 包气带污染状况一览表   单位：mg/L</w:t>
      </w:r>
      <w:r>
        <w:rPr>
          <w:rFonts w:hint="eastAsia" w:ascii="Times New Roman" w:hAnsi="Times New Roman" w:cs="Times New Roman"/>
          <w:b/>
          <w:bCs/>
          <w:color w:val="auto"/>
          <w:szCs w:val="24"/>
          <w:lang w:eastAsia="zh-CN"/>
        </w:rPr>
        <w:t>，</w:t>
      </w:r>
      <w:r>
        <w:rPr>
          <w:rFonts w:ascii="Times New Roman" w:hAnsi="Times New Roman" w:cs="Times New Roman"/>
          <w:b/>
          <w:bCs/>
          <w:color w:val="auto"/>
          <w:szCs w:val="24"/>
          <w:lang w:eastAsia="zh-CN"/>
        </w:rPr>
        <w:t>pH无量纲</w:t>
      </w:r>
    </w:p>
    <w:tbl>
      <w:tblPr>
        <w:tblStyle w:val="36"/>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818"/>
        <w:gridCol w:w="4821"/>
      </w:tblGrid>
      <w:tr w14:paraId="6F9824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499" w:type="pct"/>
            <w:vMerge w:val="restart"/>
            <w:tcBorders>
              <w:tl2br w:val="nil"/>
              <w:tr2bl w:val="nil"/>
            </w:tcBorders>
            <w:vAlign w:val="center"/>
          </w:tcPr>
          <w:p w14:paraId="277429A8">
            <w:pPr>
              <w:widowControl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检测项目</w:t>
            </w:r>
          </w:p>
        </w:tc>
        <w:tc>
          <w:tcPr>
            <w:tcW w:w="2501" w:type="pct"/>
            <w:tcBorders>
              <w:tl2br w:val="nil"/>
              <w:tr2bl w:val="nil"/>
            </w:tcBorders>
            <w:vAlign w:val="center"/>
          </w:tcPr>
          <w:p w14:paraId="2E6EE6C7">
            <w:pPr>
              <w:widowControl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监测点位</w:t>
            </w:r>
          </w:p>
        </w:tc>
      </w:tr>
      <w:tr w14:paraId="3A7343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7" w:hRule="atLeast"/>
        </w:trPr>
        <w:tc>
          <w:tcPr>
            <w:tcW w:w="2499" w:type="pct"/>
            <w:vMerge w:val="continue"/>
            <w:tcBorders>
              <w:tl2br w:val="nil"/>
              <w:tr2bl w:val="nil"/>
            </w:tcBorders>
            <w:vAlign w:val="center"/>
          </w:tcPr>
          <w:p w14:paraId="3ABC4166">
            <w:pPr>
              <w:widowControl w:val="0"/>
              <w:jc w:val="center"/>
              <w:rPr>
                <w:rFonts w:ascii="Times New Roman" w:hAnsi="Times New Roman" w:cs="Times New Roman"/>
                <w:b/>
                <w:bCs/>
                <w:color w:val="auto"/>
                <w:sz w:val="21"/>
                <w:lang w:eastAsia="zh-CN"/>
              </w:rPr>
            </w:pPr>
          </w:p>
        </w:tc>
        <w:tc>
          <w:tcPr>
            <w:tcW w:w="2501" w:type="pct"/>
            <w:tcBorders>
              <w:tl2br w:val="nil"/>
              <w:tr2bl w:val="nil"/>
            </w:tcBorders>
            <w:vAlign w:val="center"/>
          </w:tcPr>
          <w:p w14:paraId="6325C13E">
            <w:pPr>
              <w:widowControl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污水处理站</w:t>
            </w:r>
          </w:p>
        </w:tc>
      </w:tr>
      <w:tr w14:paraId="20CA40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499" w:type="pct"/>
            <w:tcBorders>
              <w:tl2br w:val="nil"/>
              <w:tr2bl w:val="nil"/>
            </w:tcBorders>
            <w:vAlign w:val="center"/>
          </w:tcPr>
          <w:p w14:paraId="72F2BAB4">
            <w:pPr>
              <w:widowControl/>
              <w:spacing w:line="0" w:lineRule="atLeast"/>
              <w:jc w:val="center"/>
              <w:rPr>
                <w:rFonts w:ascii="Times New Roman" w:hAnsi="Times New Roman" w:cs="Times New Roman"/>
                <w:color w:val="auto"/>
                <w:sz w:val="21"/>
                <w:lang w:eastAsia="zh-CN"/>
              </w:rPr>
            </w:pPr>
            <w:r>
              <w:rPr>
                <w:rFonts w:ascii="Times New Roman" w:hAnsi="Times New Roman" w:cs="Times New Roman"/>
                <w:color w:val="auto"/>
                <w:sz w:val="21"/>
              </w:rPr>
              <w:t>pH值（无量纲）</w:t>
            </w:r>
          </w:p>
        </w:tc>
        <w:tc>
          <w:tcPr>
            <w:tcW w:w="2501" w:type="pct"/>
            <w:tcBorders>
              <w:tl2br w:val="nil"/>
              <w:tr2bl w:val="nil"/>
            </w:tcBorders>
            <w:vAlign w:val="center"/>
          </w:tcPr>
          <w:p w14:paraId="64F186B8">
            <w:pPr>
              <w:widowControl/>
              <w:spacing w:line="0" w:lineRule="atLeast"/>
              <w:jc w:val="center"/>
              <w:rPr>
                <w:rFonts w:ascii="Times New Roman" w:hAnsi="Times New Roman" w:cs="Times New Roman"/>
                <w:color w:val="auto"/>
                <w:sz w:val="21"/>
                <w:lang w:eastAsia="zh-CN"/>
              </w:rPr>
            </w:pPr>
          </w:p>
        </w:tc>
      </w:tr>
      <w:tr w14:paraId="6924D3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99" w:type="pct"/>
            <w:tcBorders>
              <w:tl2br w:val="nil"/>
              <w:tr2bl w:val="nil"/>
            </w:tcBorders>
            <w:vAlign w:val="center"/>
          </w:tcPr>
          <w:p w14:paraId="0E1CD002">
            <w:pPr>
              <w:widowControl/>
              <w:spacing w:line="0" w:lineRule="atLeas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氟化物</w:t>
            </w:r>
          </w:p>
        </w:tc>
        <w:tc>
          <w:tcPr>
            <w:tcW w:w="2501" w:type="pct"/>
            <w:tcBorders>
              <w:tl2br w:val="nil"/>
              <w:tr2bl w:val="nil"/>
            </w:tcBorders>
            <w:vAlign w:val="center"/>
          </w:tcPr>
          <w:p w14:paraId="02649E98">
            <w:pPr>
              <w:widowControl/>
              <w:spacing w:line="0" w:lineRule="atLeast"/>
              <w:jc w:val="center"/>
              <w:rPr>
                <w:rFonts w:ascii="Times New Roman" w:hAnsi="Times New Roman" w:cs="Times New Roman"/>
                <w:color w:val="auto"/>
                <w:sz w:val="21"/>
                <w:lang w:eastAsia="zh-CN"/>
              </w:rPr>
            </w:pPr>
          </w:p>
        </w:tc>
      </w:tr>
      <w:tr w14:paraId="0706F4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499" w:type="pct"/>
            <w:tcBorders>
              <w:tl2br w:val="nil"/>
              <w:tr2bl w:val="nil"/>
            </w:tcBorders>
            <w:vAlign w:val="center"/>
          </w:tcPr>
          <w:p w14:paraId="44DB94B6">
            <w:pPr>
              <w:widowControl/>
              <w:spacing w:line="0" w:lineRule="atLeas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氯化物</w:t>
            </w:r>
          </w:p>
        </w:tc>
        <w:tc>
          <w:tcPr>
            <w:tcW w:w="2501" w:type="pct"/>
            <w:tcBorders>
              <w:tl2br w:val="nil"/>
              <w:tr2bl w:val="nil"/>
            </w:tcBorders>
            <w:vAlign w:val="center"/>
          </w:tcPr>
          <w:p w14:paraId="36E4EA8D">
            <w:pPr>
              <w:widowControl/>
              <w:spacing w:line="0" w:lineRule="atLeast"/>
              <w:jc w:val="center"/>
              <w:rPr>
                <w:rFonts w:ascii="Times New Roman" w:hAnsi="Times New Roman" w:cs="Times New Roman"/>
                <w:color w:val="auto"/>
                <w:sz w:val="21"/>
                <w:vertAlign w:val="superscript"/>
                <w:lang w:eastAsia="zh-CN"/>
              </w:rPr>
            </w:pPr>
          </w:p>
        </w:tc>
      </w:tr>
      <w:tr w14:paraId="415405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99" w:type="pct"/>
            <w:tcBorders>
              <w:tl2br w:val="nil"/>
              <w:tr2bl w:val="nil"/>
            </w:tcBorders>
            <w:vAlign w:val="center"/>
          </w:tcPr>
          <w:p w14:paraId="30D6CF9E">
            <w:pPr>
              <w:widowControl/>
              <w:spacing w:line="0" w:lineRule="atLeast"/>
              <w:jc w:val="center"/>
              <w:rPr>
                <w:rFonts w:ascii="Times New Roman" w:hAnsi="Times New Roman" w:cs="Times New Roman"/>
                <w:color w:val="auto"/>
                <w:sz w:val="21"/>
                <w:lang w:eastAsia="zh-CN"/>
              </w:rPr>
            </w:pPr>
            <w:r>
              <w:rPr>
                <w:rFonts w:ascii="Times New Roman" w:hAnsi="Times New Roman" w:cs="Times New Roman"/>
                <w:color w:val="auto"/>
                <w:sz w:val="21"/>
              </w:rPr>
              <w:t>六价铬</w:t>
            </w:r>
          </w:p>
        </w:tc>
        <w:tc>
          <w:tcPr>
            <w:tcW w:w="2501" w:type="pct"/>
            <w:tcBorders>
              <w:tl2br w:val="nil"/>
              <w:tr2bl w:val="nil"/>
            </w:tcBorders>
            <w:vAlign w:val="center"/>
          </w:tcPr>
          <w:p w14:paraId="3BE7A93B">
            <w:pPr>
              <w:widowControl/>
              <w:spacing w:line="0" w:lineRule="atLeast"/>
              <w:jc w:val="center"/>
              <w:rPr>
                <w:rFonts w:ascii="Times New Roman" w:hAnsi="Times New Roman" w:cs="Times New Roman"/>
                <w:color w:val="auto"/>
                <w:sz w:val="21"/>
                <w:lang w:eastAsia="zh-CN"/>
              </w:rPr>
            </w:pPr>
          </w:p>
        </w:tc>
      </w:tr>
      <w:tr w14:paraId="01F2EC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99" w:type="pct"/>
            <w:tcBorders>
              <w:tl2br w:val="nil"/>
              <w:tr2bl w:val="nil"/>
            </w:tcBorders>
            <w:vAlign w:val="center"/>
          </w:tcPr>
          <w:p w14:paraId="4F57EA96">
            <w:pPr>
              <w:widowControl/>
              <w:spacing w:line="0" w:lineRule="atLeast"/>
              <w:jc w:val="center"/>
              <w:rPr>
                <w:rFonts w:ascii="Times New Roman" w:hAnsi="Times New Roman" w:cs="Times New Roman"/>
                <w:color w:val="auto"/>
                <w:sz w:val="21"/>
                <w:lang w:eastAsia="zh-CN"/>
              </w:rPr>
            </w:pPr>
            <w:r>
              <w:rPr>
                <w:rFonts w:ascii="Times New Roman" w:hAnsi="Times New Roman" w:cs="Times New Roman"/>
                <w:color w:val="auto"/>
                <w:sz w:val="21"/>
              </w:rPr>
              <w:t>铅</w:t>
            </w:r>
          </w:p>
        </w:tc>
        <w:tc>
          <w:tcPr>
            <w:tcW w:w="2501" w:type="pct"/>
            <w:tcBorders>
              <w:tl2br w:val="nil"/>
              <w:tr2bl w:val="nil"/>
            </w:tcBorders>
            <w:vAlign w:val="center"/>
          </w:tcPr>
          <w:p w14:paraId="7ACF68C3">
            <w:pPr>
              <w:widowControl/>
              <w:spacing w:line="0" w:lineRule="atLeast"/>
              <w:jc w:val="center"/>
              <w:rPr>
                <w:rFonts w:ascii="Times New Roman" w:hAnsi="Times New Roman" w:cs="Times New Roman"/>
                <w:color w:val="auto"/>
                <w:sz w:val="21"/>
                <w:lang w:eastAsia="zh-CN"/>
              </w:rPr>
            </w:pPr>
          </w:p>
        </w:tc>
      </w:tr>
    </w:tbl>
    <w:p w14:paraId="5E8A01B2">
      <w:pPr>
        <w:spacing w:line="360" w:lineRule="auto"/>
        <w:ind w:firstLine="480" w:firstLineChars="200"/>
        <w:jc w:val="both"/>
        <w:rPr>
          <w:color w:val="auto"/>
          <w:lang w:eastAsia="zh-CN"/>
        </w:rPr>
      </w:pPr>
      <w:r>
        <w:rPr>
          <w:rFonts w:hint="eastAsia"/>
          <w:color w:val="auto"/>
          <w:lang w:eastAsia="zh-CN"/>
        </w:rPr>
        <w:t>根据调查结果，厂区包气带地下水各项指标均能满足标准要求，与厂区周边地下水监测结果对比看，各指标与周边地下水监测点监测数据相近，现有工程实施过程中未对厂区包气带造成污染影响。</w:t>
      </w:r>
    </w:p>
    <w:p w14:paraId="28E1AD0C">
      <w:pPr>
        <w:spacing w:line="360" w:lineRule="auto"/>
        <w:ind w:firstLine="480" w:firstLineChars="200"/>
        <w:jc w:val="both"/>
        <w:rPr>
          <w:color w:val="auto"/>
          <w:lang w:eastAsia="zh-CN"/>
        </w:rPr>
      </w:pPr>
    </w:p>
    <w:p w14:paraId="64B83BEA">
      <w:pPr>
        <w:spacing w:line="360" w:lineRule="auto"/>
        <w:ind w:firstLine="480" w:firstLineChars="200"/>
        <w:jc w:val="both"/>
        <w:rPr>
          <w:color w:val="auto"/>
          <w:lang w:eastAsia="zh-CN"/>
        </w:rPr>
      </w:pPr>
    </w:p>
    <w:p w14:paraId="50C7AF89">
      <w:pPr>
        <w:spacing w:line="360" w:lineRule="auto"/>
        <w:ind w:firstLine="480" w:firstLineChars="200"/>
        <w:jc w:val="both"/>
        <w:rPr>
          <w:color w:val="auto"/>
          <w:lang w:eastAsia="zh-CN"/>
        </w:rPr>
      </w:pPr>
    </w:p>
    <w:p w14:paraId="3549C519">
      <w:pPr>
        <w:spacing w:line="360" w:lineRule="auto"/>
        <w:ind w:firstLine="480" w:firstLineChars="200"/>
        <w:jc w:val="both"/>
        <w:rPr>
          <w:rFonts w:ascii="Times New Roman" w:hAnsi="Times New Roman" w:cs="Times New Roman"/>
          <w:color w:val="auto"/>
          <w:szCs w:val="24"/>
          <w:lang w:eastAsia="zh-CN"/>
        </w:rPr>
      </w:pPr>
    </w:p>
    <w:p w14:paraId="0AD50026">
      <w:pPr>
        <w:spacing w:line="360" w:lineRule="auto"/>
        <w:ind w:firstLine="482"/>
        <w:jc w:val="both"/>
        <w:outlineLvl w:val="2"/>
        <w:rPr>
          <w:rFonts w:ascii="Times New Roman" w:hAnsi="Times New Roman" w:cs="Times New Roman"/>
          <w:b/>
          <w:bCs/>
          <w:color w:val="auto"/>
          <w:szCs w:val="24"/>
          <w:lang w:eastAsia="zh-CN"/>
        </w:rPr>
      </w:pPr>
      <w:bookmarkStart w:id="1287" w:name="_Toc173740303"/>
      <w:bookmarkStart w:id="1288" w:name="_Toc231828604"/>
      <w:bookmarkStart w:id="1289" w:name="_Toc204515227"/>
      <w:bookmarkStart w:id="1290" w:name="_Toc172555671"/>
      <w:bookmarkStart w:id="1291" w:name="_Toc176513034"/>
      <w:bookmarkStart w:id="1292" w:name="_Toc175164298"/>
      <w:bookmarkStart w:id="1293" w:name="_Toc217662697"/>
      <w:bookmarkStart w:id="1294" w:name="_Toc204448492"/>
      <w:bookmarkStart w:id="1295" w:name="_Toc173743407"/>
      <w:bookmarkStart w:id="1296" w:name="_Toc203927026"/>
      <w:bookmarkStart w:id="1297" w:name="_Toc178602374"/>
      <w:bookmarkStart w:id="1298" w:name="_Toc223425082"/>
      <w:bookmarkStart w:id="1299" w:name="_Toc221900864"/>
      <w:bookmarkStart w:id="1300" w:name="_Toc237508317"/>
      <w:bookmarkStart w:id="1301" w:name="_Toc224674721"/>
      <w:bookmarkStart w:id="1302" w:name="_Toc236641852"/>
      <w:bookmarkStart w:id="1303" w:name="_Toc218784307"/>
      <w:bookmarkStart w:id="1304" w:name="_Toc236641335"/>
      <w:bookmarkStart w:id="1305" w:name="_Toc225784082"/>
      <w:r>
        <w:rPr>
          <w:rFonts w:ascii="Times New Roman" w:hAnsi="Times New Roman" w:cs="Times New Roman"/>
          <w:b/>
          <w:bCs/>
          <w:color w:val="auto"/>
          <w:szCs w:val="24"/>
          <w:lang w:eastAsia="zh-CN"/>
        </w:rPr>
        <w:t>5.2.5 土壤环境质量现状调查及评价</w:t>
      </w:r>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p>
    <w:p w14:paraId="28737252">
      <w:pPr>
        <w:spacing w:line="360" w:lineRule="auto"/>
        <w:ind w:firstLine="482"/>
        <w:jc w:val="both"/>
        <w:outlineLvl w:val="3"/>
        <w:rPr>
          <w:rFonts w:ascii="Times New Roman" w:hAnsi="Times New Roman" w:cs="Times New Roman"/>
          <w:color w:val="auto"/>
          <w:szCs w:val="24"/>
        </w:rPr>
      </w:pPr>
      <w:bookmarkStart w:id="1306" w:name="_Toc9715"/>
      <w:bookmarkStart w:id="1307" w:name="_Toc18390"/>
      <w:r>
        <w:rPr>
          <w:rFonts w:ascii="Times New Roman" w:hAnsi="Times New Roman" w:cs="Times New Roman"/>
          <w:b/>
          <w:bCs/>
          <w:color w:val="auto"/>
          <w:szCs w:val="24"/>
        </w:rPr>
        <w:fldChar w:fldCharType="begin"/>
      </w:r>
      <w:r>
        <w:rPr>
          <w:rFonts w:ascii="Times New Roman" w:hAnsi="Times New Roman" w:cs="Times New Roman"/>
          <w:b/>
          <w:bCs/>
          <w:color w:val="auto"/>
          <w:szCs w:val="24"/>
        </w:rPr>
        <w:instrText xml:space="preserve">HYPERLINK "D:\\1、工作\\善宇\\1、环评\\蚌埠\\安徽志一新材料科技有限公司聚合物抗氧剂项目\\4.3.5.1"</w:instrText>
      </w:r>
      <w:r>
        <w:rPr>
          <w:rFonts w:ascii="Times New Roman" w:hAnsi="Times New Roman" w:cs="Times New Roman"/>
          <w:b/>
          <w:bCs/>
          <w:color w:val="auto"/>
          <w:szCs w:val="24"/>
        </w:rPr>
        <w:fldChar w:fldCharType="separate"/>
      </w:r>
      <w:r>
        <w:rPr>
          <w:rFonts w:ascii="Times New Roman" w:hAnsi="Times New Roman" w:cs="Times New Roman"/>
          <w:b/>
          <w:bCs/>
          <w:color w:val="auto"/>
          <w:szCs w:val="24"/>
          <w:lang w:eastAsia="zh-CN"/>
        </w:rPr>
        <w:t>5.2</w:t>
      </w:r>
      <w:r>
        <w:rPr>
          <w:rFonts w:ascii="Times New Roman" w:hAnsi="Times New Roman" w:cs="Times New Roman"/>
          <w:b/>
          <w:bCs/>
          <w:color w:val="auto"/>
          <w:szCs w:val="24"/>
        </w:rPr>
        <w:t>.</w:t>
      </w:r>
      <w:r>
        <w:rPr>
          <w:rFonts w:ascii="Times New Roman" w:hAnsi="Times New Roman" w:cs="Times New Roman"/>
          <w:b/>
          <w:bCs/>
          <w:color w:val="auto"/>
          <w:szCs w:val="24"/>
          <w:lang w:eastAsia="zh-CN"/>
        </w:rPr>
        <w:t>5</w:t>
      </w:r>
      <w:r>
        <w:rPr>
          <w:rFonts w:ascii="Times New Roman" w:hAnsi="Times New Roman" w:cs="Times New Roman"/>
          <w:b/>
          <w:bCs/>
          <w:color w:val="auto"/>
          <w:szCs w:val="24"/>
        </w:rPr>
        <w:t>.1</w:t>
      </w:r>
      <w:r>
        <w:rPr>
          <w:rFonts w:ascii="Times New Roman" w:hAnsi="Times New Roman" w:cs="Times New Roman"/>
          <w:b/>
          <w:bCs/>
          <w:color w:val="auto"/>
          <w:szCs w:val="24"/>
        </w:rPr>
        <w:fldChar w:fldCharType="end"/>
      </w:r>
      <w:r>
        <w:rPr>
          <w:rFonts w:ascii="Times New Roman" w:hAnsi="Times New Roman" w:cs="Times New Roman"/>
          <w:b/>
          <w:bCs/>
          <w:color w:val="auto"/>
          <w:szCs w:val="24"/>
          <w:lang w:eastAsia="zh-CN"/>
        </w:rPr>
        <w:t xml:space="preserve"> </w:t>
      </w:r>
      <w:r>
        <w:rPr>
          <w:rFonts w:ascii="Times New Roman" w:hAnsi="Times New Roman" w:cs="Times New Roman"/>
          <w:b/>
          <w:bCs/>
          <w:color w:val="auto"/>
          <w:szCs w:val="24"/>
        </w:rPr>
        <w:t>理化性质调查</w:t>
      </w:r>
      <w:bookmarkEnd w:id="1306"/>
      <w:bookmarkEnd w:id="1307"/>
    </w:p>
    <w:p w14:paraId="6FF57653">
      <w:pPr>
        <w:spacing w:line="360" w:lineRule="auto"/>
        <w:ind w:firstLine="480" w:firstLineChars="200"/>
        <w:rPr>
          <w:rFonts w:ascii="Times New Roman" w:hAnsi="Times New Roman" w:cs="Times New Roman"/>
          <w:color w:val="auto"/>
          <w:szCs w:val="24"/>
        </w:rPr>
      </w:pPr>
      <w:r>
        <w:rPr>
          <w:rFonts w:ascii="Times New Roman" w:hAnsi="Times New Roman" w:cs="Times New Roman"/>
          <w:color w:val="auto"/>
          <w:szCs w:val="24"/>
        </w:rPr>
        <w:t>根据国家土壤信息服务平台（</w:t>
      </w:r>
      <w:r>
        <w:fldChar w:fldCharType="begin"/>
      </w:r>
      <w:r>
        <w:instrText xml:space="preserve"> HYPERLINK "http://www.soilinfo.cn/map/" </w:instrText>
      </w:r>
      <w:r>
        <w:fldChar w:fldCharType="separate"/>
      </w:r>
      <w:r>
        <w:rPr>
          <w:rFonts w:ascii="Times New Roman" w:hAnsi="Times New Roman" w:cs="Times New Roman"/>
          <w:color w:val="auto"/>
          <w:szCs w:val="24"/>
        </w:rPr>
        <w:t>http://www.soilinfo.cn/map/#</w:t>
      </w:r>
      <w:r>
        <w:rPr>
          <w:rFonts w:ascii="Times New Roman" w:hAnsi="Times New Roman" w:cs="Times New Roman"/>
          <w:color w:val="auto"/>
          <w:szCs w:val="24"/>
        </w:rPr>
        <w:fldChar w:fldCharType="end"/>
      </w:r>
      <w:r>
        <w:rPr>
          <w:rFonts w:ascii="Times New Roman" w:hAnsi="Times New Roman" w:cs="Times New Roman"/>
          <w:color w:val="auto"/>
          <w:szCs w:val="24"/>
        </w:rPr>
        <w:t>）查询结果，拟建项目所在区域土壤类型为</w:t>
      </w:r>
      <w:r>
        <w:rPr>
          <w:rFonts w:ascii="Times New Roman" w:hAnsi="Times New Roman" w:cs="Times New Roman"/>
          <w:color w:val="auto"/>
          <w:szCs w:val="24"/>
          <w:lang w:eastAsia="zh-CN"/>
        </w:rPr>
        <w:t>潮土</w:t>
      </w:r>
      <w:r>
        <w:rPr>
          <w:rFonts w:ascii="Times New Roman" w:hAnsi="Times New Roman" w:cs="Times New Roman"/>
          <w:color w:val="auto"/>
          <w:szCs w:val="24"/>
        </w:rPr>
        <w:t>，土地利用类型主要是工业用地。</w:t>
      </w:r>
    </w:p>
    <w:p w14:paraId="36C93362">
      <w:pPr>
        <w:spacing w:line="360" w:lineRule="auto"/>
        <w:jc w:val="center"/>
        <w:rPr>
          <w:rFonts w:ascii="Times New Roman" w:hAnsi="Times New Roman" w:cs="Times New Roman"/>
          <w:b/>
          <w:bCs/>
          <w:color w:val="auto"/>
          <w:szCs w:val="24"/>
          <w:lang w:eastAsia="zh-CN"/>
        </w:rPr>
      </w:pPr>
      <w:r>
        <w:rPr>
          <w:snapToGrid/>
        </w:rPr>
        <w:drawing>
          <wp:inline distT="0" distB="0" distL="0" distR="0">
            <wp:extent cx="6120765" cy="5128260"/>
            <wp:effectExtent l="0" t="0" r="0" b="0"/>
            <wp:docPr id="1670208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20862" name="图片 1"/>
                    <pic:cNvPicPr>
                      <a:picLocks noChangeAspect="1"/>
                    </pic:cNvPicPr>
                  </pic:nvPicPr>
                  <pic:blipFill>
                    <a:blip r:embed="rId75"/>
                    <a:stretch>
                      <a:fillRect/>
                    </a:stretch>
                  </pic:blipFill>
                  <pic:spPr>
                    <a:xfrm>
                      <a:off x="0" y="0"/>
                      <a:ext cx="6120765" cy="5128260"/>
                    </a:xfrm>
                    <a:prstGeom prst="rect">
                      <a:avLst/>
                    </a:prstGeom>
                  </pic:spPr>
                </pic:pic>
              </a:graphicData>
            </a:graphic>
          </wp:inline>
        </w:drawing>
      </w:r>
    </w:p>
    <w:p w14:paraId="0D35B5E7">
      <w:pPr>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表 5.2-1</w:t>
      </w:r>
      <w:r>
        <w:rPr>
          <w:rFonts w:hint="eastAsia" w:ascii="Times New Roman" w:hAnsi="Times New Roman" w:cs="Times New Roman"/>
          <w:b/>
          <w:bCs/>
          <w:color w:val="auto"/>
          <w:szCs w:val="24"/>
          <w:lang w:eastAsia="zh-CN"/>
        </w:rPr>
        <w:t>5</w:t>
      </w:r>
      <w:r>
        <w:rPr>
          <w:rFonts w:ascii="Times New Roman" w:hAnsi="Times New Roman" w:cs="Times New Roman"/>
          <w:b/>
          <w:bCs/>
          <w:color w:val="auto"/>
          <w:szCs w:val="24"/>
          <w:lang w:eastAsia="zh-CN"/>
        </w:rPr>
        <w:t xml:space="preserve">  土壤理化性质调查一览表</w:t>
      </w:r>
      <w:r>
        <w:rPr>
          <w:rFonts w:hint="eastAsia" w:ascii="Times New Roman" w:hAnsi="Times New Roman" w:cs="Times New Roman"/>
          <w:b/>
          <w:bCs/>
          <w:color w:val="auto"/>
          <w:szCs w:val="24"/>
          <w:lang w:eastAsia="zh-CN"/>
        </w:rPr>
        <w:t>（1）</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57" w:type="dxa"/>
          <w:bottom w:w="0" w:type="dxa"/>
          <w:right w:w="57" w:type="dxa"/>
        </w:tblCellMar>
      </w:tblPr>
      <w:tblGrid>
        <w:gridCol w:w="848"/>
        <w:gridCol w:w="893"/>
        <w:gridCol w:w="1197"/>
        <w:gridCol w:w="1373"/>
        <w:gridCol w:w="1166"/>
        <w:gridCol w:w="1043"/>
        <w:gridCol w:w="1043"/>
        <w:gridCol w:w="1043"/>
        <w:gridCol w:w="1033"/>
      </w:tblGrid>
      <w:tr w14:paraId="646FFDE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283" w:hRule="atLeast"/>
          <w:jc w:val="center"/>
        </w:trPr>
        <w:tc>
          <w:tcPr>
            <w:tcW w:w="440" w:type="pct"/>
            <w:vAlign w:val="center"/>
          </w:tcPr>
          <w:p w14:paraId="609017B6">
            <w:pPr>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采样日期</w:t>
            </w:r>
          </w:p>
        </w:tc>
        <w:tc>
          <w:tcPr>
            <w:tcW w:w="463" w:type="pct"/>
            <w:vAlign w:val="center"/>
          </w:tcPr>
          <w:p w14:paraId="12EA952F">
            <w:pPr>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检测点位</w:t>
            </w:r>
          </w:p>
        </w:tc>
        <w:tc>
          <w:tcPr>
            <w:tcW w:w="621" w:type="pct"/>
            <w:vAlign w:val="center"/>
          </w:tcPr>
          <w:p w14:paraId="4C69ED69">
            <w:pPr>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采样深度</w:t>
            </w:r>
          </w:p>
        </w:tc>
        <w:tc>
          <w:tcPr>
            <w:tcW w:w="712" w:type="pct"/>
            <w:vAlign w:val="center"/>
          </w:tcPr>
          <w:p w14:paraId="16C5BDF9">
            <w:pPr>
              <w:jc w:val="center"/>
              <w:rPr>
                <w:rFonts w:ascii="Times New Roman" w:hAnsi="Times New Roman" w:cs="Times New Roman"/>
                <w:b/>
                <w:color w:val="000000" w:themeColor="text1"/>
                <w:sz w:val="21"/>
                <w14:textFill>
                  <w14:solidFill>
                    <w14:schemeClr w14:val="tx1"/>
                  </w14:solidFill>
                </w14:textFill>
              </w:rPr>
            </w:pPr>
            <w:r>
              <w:rPr>
                <w:rFonts w:hint="eastAsia" w:ascii="Times New Roman" w:hAnsi="Times New Roman" w:cs="Times New Roman"/>
                <w:b/>
                <w:color w:val="000000" w:themeColor="text1"/>
                <w:sz w:val="21"/>
                <w:lang w:eastAsia="zh-CN"/>
                <w14:textFill>
                  <w14:solidFill>
                    <w14:schemeClr w14:val="tx1"/>
                  </w14:solidFill>
                </w14:textFill>
              </w:rPr>
              <w:t>颜色</w:t>
            </w:r>
          </w:p>
        </w:tc>
        <w:tc>
          <w:tcPr>
            <w:tcW w:w="605" w:type="pct"/>
            <w:vAlign w:val="center"/>
          </w:tcPr>
          <w:p w14:paraId="1C9D2DDE">
            <w:pPr>
              <w:jc w:val="center"/>
              <w:rPr>
                <w:rFonts w:ascii="Times New Roman" w:hAnsi="Times New Roman" w:cs="Times New Roman"/>
                <w:b/>
                <w:color w:val="000000" w:themeColor="text1"/>
                <w:sz w:val="21"/>
                <w:lang w:eastAsia="zh-CN"/>
                <w14:textFill>
                  <w14:solidFill>
                    <w14:schemeClr w14:val="tx1"/>
                  </w14:solidFill>
                </w14:textFill>
              </w:rPr>
            </w:pPr>
            <w:r>
              <w:rPr>
                <w:rFonts w:hint="eastAsia" w:ascii="Times New Roman" w:hAnsi="Times New Roman" w:cs="Times New Roman"/>
                <w:b/>
                <w:color w:val="000000" w:themeColor="text1"/>
                <w:sz w:val="21"/>
                <w:lang w:eastAsia="zh-CN"/>
                <w14:textFill>
                  <w14:solidFill>
                    <w14:schemeClr w14:val="tx1"/>
                  </w14:solidFill>
                </w14:textFill>
              </w:rPr>
              <w:t>结构</w:t>
            </w:r>
          </w:p>
        </w:tc>
        <w:tc>
          <w:tcPr>
            <w:tcW w:w="541" w:type="pct"/>
            <w:vAlign w:val="center"/>
          </w:tcPr>
          <w:p w14:paraId="3B15B15B">
            <w:pPr>
              <w:jc w:val="center"/>
              <w:rPr>
                <w:rFonts w:ascii="Times New Roman" w:hAnsi="Times New Roman" w:cs="Times New Roman"/>
                <w:b/>
                <w:color w:val="000000" w:themeColor="text1"/>
                <w:sz w:val="21"/>
                <w:lang w:eastAsia="zh-CN"/>
                <w14:textFill>
                  <w14:solidFill>
                    <w14:schemeClr w14:val="tx1"/>
                  </w14:solidFill>
                </w14:textFill>
              </w:rPr>
            </w:pPr>
            <w:r>
              <w:rPr>
                <w:rFonts w:hint="eastAsia" w:ascii="Times New Roman" w:hAnsi="Times New Roman" w:cs="Times New Roman"/>
                <w:b/>
                <w:color w:val="000000" w:themeColor="text1"/>
                <w:sz w:val="21"/>
                <w:lang w:eastAsia="zh-CN"/>
                <w14:textFill>
                  <w14:solidFill>
                    <w14:schemeClr w14:val="tx1"/>
                  </w14:solidFill>
                </w14:textFill>
              </w:rPr>
              <w:t>质地</w:t>
            </w:r>
          </w:p>
        </w:tc>
        <w:tc>
          <w:tcPr>
            <w:tcW w:w="541" w:type="pct"/>
            <w:vAlign w:val="center"/>
          </w:tcPr>
          <w:p w14:paraId="4A41B6DE">
            <w:pPr>
              <w:jc w:val="center"/>
              <w:rPr>
                <w:rFonts w:ascii="Times New Roman" w:hAnsi="Times New Roman" w:cs="Times New Roman"/>
                <w:b/>
                <w:color w:val="000000" w:themeColor="text1"/>
                <w:sz w:val="21"/>
                <w:lang w:eastAsia="zh-CN"/>
                <w14:textFill>
                  <w14:solidFill>
                    <w14:schemeClr w14:val="tx1"/>
                  </w14:solidFill>
                </w14:textFill>
              </w:rPr>
            </w:pPr>
            <w:r>
              <w:rPr>
                <w:rFonts w:hint="eastAsia" w:ascii="Times New Roman" w:hAnsi="Times New Roman" w:cs="Times New Roman"/>
                <w:b/>
                <w:color w:val="000000" w:themeColor="text1"/>
                <w:sz w:val="21"/>
                <w:lang w:eastAsia="zh-CN"/>
                <w14:textFill>
                  <w14:solidFill>
                    <w14:schemeClr w14:val="tx1"/>
                  </w14:solidFill>
                </w14:textFill>
              </w:rPr>
              <w:t>土壤湿度</w:t>
            </w:r>
          </w:p>
        </w:tc>
        <w:tc>
          <w:tcPr>
            <w:tcW w:w="541" w:type="pct"/>
            <w:vAlign w:val="center"/>
          </w:tcPr>
          <w:p w14:paraId="6C47D03B">
            <w:pPr>
              <w:jc w:val="center"/>
              <w:rPr>
                <w:rFonts w:ascii="Times New Roman" w:hAnsi="Times New Roman" w:cs="Times New Roman"/>
                <w:b/>
                <w:color w:val="000000" w:themeColor="text1"/>
                <w:sz w:val="21"/>
                <w:lang w:eastAsia="zh-CN"/>
                <w14:textFill>
                  <w14:solidFill>
                    <w14:schemeClr w14:val="tx1"/>
                  </w14:solidFill>
                </w14:textFill>
              </w:rPr>
            </w:pPr>
            <w:r>
              <w:rPr>
                <w:rFonts w:hint="eastAsia" w:ascii="Times New Roman" w:hAnsi="Times New Roman" w:cs="Times New Roman"/>
                <w:b/>
                <w:color w:val="000000" w:themeColor="text1"/>
                <w:sz w:val="21"/>
                <w:lang w:eastAsia="zh-CN"/>
                <w14:textFill>
                  <w14:solidFill>
                    <w14:schemeClr w14:val="tx1"/>
                  </w14:solidFill>
                </w14:textFill>
              </w:rPr>
              <w:t>砂砾含量</w:t>
            </w:r>
          </w:p>
        </w:tc>
        <w:tc>
          <w:tcPr>
            <w:tcW w:w="537" w:type="pct"/>
            <w:vAlign w:val="center"/>
          </w:tcPr>
          <w:p w14:paraId="1A0C4998">
            <w:pPr>
              <w:jc w:val="center"/>
              <w:rPr>
                <w:rFonts w:ascii="Times New Roman" w:hAnsi="Times New Roman" w:cs="Times New Roman"/>
                <w:b/>
                <w:color w:val="000000" w:themeColor="text1"/>
                <w:sz w:val="21"/>
                <w14:textFill>
                  <w14:solidFill>
                    <w14:schemeClr w14:val="tx1"/>
                  </w14:solidFill>
                </w14:textFill>
              </w:rPr>
            </w:pPr>
            <w:r>
              <w:rPr>
                <w:rFonts w:hint="eastAsia" w:ascii="Times New Roman" w:hAnsi="Times New Roman" w:cs="Times New Roman"/>
                <w:b/>
                <w:color w:val="000000" w:themeColor="text1"/>
                <w:sz w:val="21"/>
                <w:lang w:eastAsia="zh-CN"/>
                <w14:textFill>
                  <w14:solidFill>
                    <w14:schemeClr w14:val="tx1"/>
                  </w14:solidFill>
                </w14:textFill>
              </w:rPr>
              <w:t>其他异物</w:t>
            </w:r>
          </w:p>
        </w:tc>
      </w:tr>
      <w:tr w14:paraId="402AB34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283" w:hRule="atLeast"/>
          <w:jc w:val="center"/>
        </w:trPr>
        <w:tc>
          <w:tcPr>
            <w:tcW w:w="440" w:type="pct"/>
            <w:vAlign w:val="center"/>
          </w:tcPr>
          <w:p w14:paraId="376C2471">
            <w:pPr>
              <w:jc w:val="center"/>
              <w:rPr>
                <w:rFonts w:ascii="Times New Roman" w:hAnsi="Times New Roman" w:cs="Times New Roman"/>
                <w:bCs/>
                <w:color w:val="000000" w:themeColor="text1"/>
                <w:sz w:val="21"/>
                <w:lang w:eastAsia="zh-CN"/>
                <w14:textFill>
                  <w14:solidFill>
                    <w14:schemeClr w14:val="tx1"/>
                  </w14:solidFill>
                </w14:textFill>
              </w:rPr>
            </w:pPr>
          </w:p>
        </w:tc>
        <w:tc>
          <w:tcPr>
            <w:tcW w:w="463" w:type="pct"/>
            <w:vMerge w:val="restart"/>
            <w:vAlign w:val="center"/>
          </w:tcPr>
          <w:p w14:paraId="4ABECC41">
            <w:pPr>
              <w:jc w:val="center"/>
              <w:rPr>
                <w:rFonts w:ascii="Times New Roman" w:hAnsi="Times New Roman" w:cs="Times New Roman"/>
                <w:bCs/>
                <w:color w:val="000000" w:themeColor="text1"/>
                <w:sz w:val="21"/>
                <w:lang w:eastAsia="zh-CN"/>
                <w14:textFill>
                  <w14:solidFill>
                    <w14:schemeClr w14:val="tx1"/>
                  </w14:solidFill>
                </w14:textFill>
              </w:rPr>
            </w:pPr>
          </w:p>
        </w:tc>
        <w:tc>
          <w:tcPr>
            <w:tcW w:w="621" w:type="pct"/>
            <w:vAlign w:val="center"/>
          </w:tcPr>
          <w:p w14:paraId="14AEC537">
            <w:pPr>
              <w:jc w:val="center"/>
              <w:rPr>
                <w:rFonts w:ascii="Times New Roman" w:hAnsi="Times New Roman" w:cs="Times New Roman"/>
                <w:bCs/>
                <w:color w:val="000000" w:themeColor="text1"/>
                <w:sz w:val="21"/>
                <w14:textFill>
                  <w14:solidFill>
                    <w14:schemeClr w14:val="tx1"/>
                  </w14:solidFill>
                </w14:textFill>
              </w:rPr>
            </w:pPr>
          </w:p>
        </w:tc>
        <w:tc>
          <w:tcPr>
            <w:tcW w:w="712" w:type="pct"/>
            <w:vAlign w:val="center"/>
          </w:tcPr>
          <w:p w14:paraId="0FD07C2A">
            <w:pPr>
              <w:jc w:val="center"/>
              <w:rPr>
                <w:rFonts w:ascii="Times New Roman" w:hAnsi="Times New Roman" w:cs="Times New Roman"/>
                <w:bCs/>
                <w:color w:val="000000" w:themeColor="text1"/>
                <w:sz w:val="21"/>
                <w:lang w:eastAsia="zh-CN"/>
                <w14:textFill>
                  <w14:solidFill>
                    <w14:schemeClr w14:val="tx1"/>
                  </w14:solidFill>
                </w14:textFill>
              </w:rPr>
            </w:pPr>
          </w:p>
        </w:tc>
        <w:tc>
          <w:tcPr>
            <w:tcW w:w="605" w:type="pct"/>
            <w:vAlign w:val="center"/>
          </w:tcPr>
          <w:p w14:paraId="65F8FEF8">
            <w:pPr>
              <w:jc w:val="center"/>
              <w:rPr>
                <w:rFonts w:ascii="Times New Roman" w:hAnsi="Times New Roman" w:cs="Times New Roman"/>
                <w:bCs/>
                <w:color w:val="000000" w:themeColor="text1"/>
                <w:sz w:val="21"/>
                <w:lang w:eastAsia="zh-CN"/>
                <w14:textFill>
                  <w14:solidFill>
                    <w14:schemeClr w14:val="tx1"/>
                  </w14:solidFill>
                </w14:textFill>
              </w:rPr>
            </w:pPr>
          </w:p>
        </w:tc>
        <w:tc>
          <w:tcPr>
            <w:tcW w:w="541" w:type="pct"/>
            <w:vAlign w:val="center"/>
          </w:tcPr>
          <w:p w14:paraId="4C381F0A">
            <w:pPr>
              <w:jc w:val="center"/>
              <w:rPr>
                <w:rFonts w:ascii="Times New Roman" w:hAnsi="Times New Roman" w:cs="Times New Roman"/>
                <w:bCs/>
                <w:color w:val="000000" w:themeColor="text1"/>
                <w:sz w:val="21"/>
                <w:lang w:eastAsia="zh-CN"/>
                <w14:textFill>
                  <w14:solidFill>
                    <w14:schemeClr w14:val="tx1"/>
                  </w14:solidFill>
                </w14:textFill>
              </w:rPr>
            </w:pPr>
          </w:p>
        </w:tc>
        <w:tc>
          <w:tcPr>
            <w:tcW w:w="541" w:type="pct"/>
            <w:vAlign w:val="center"/>
          </w:tcPr>
          <w:p w14:paraId="200B9CEC">
            <w:pPr>
              <w:jc w:val="center"/>
              <w:rPr>
                <w:rFonts w:ascii="Times New Roman" w:hAnsi="Times New Roman" w:cs="Times New Roman"/>
                <w:bCs/>
                <w:color w:val="000000" w:themeColor="text1"/>
                <w:sz w:val="21"/>
                <w:lang w:eastAsia="zh-CN"/>
                <w14:textFill>
                  <w14:solidFill>
                    <w14:schemeClr w14:val="tx1"/>
                  </w14:solidFill>
                </w14:textFill>
              </w:rPr>
            </w:pPr>
          </w:p>
        </w:tc>
        <w:tc>
          <w:tcPr>
            <w:tcW w:w="541" w:type="pct"/>
            <w:vAlign w:val="center"/>
          </w:tcPr>
          <w:p w14:paraId="788FDEDA">
            <w:pPr>
              <w:jc w:val="center"/>
              <w:rPr>
                <w:rFonts w:ascii="Times New Roman" w:hAnsi="Times New Roman" w:cs="Times New Roman"/>
                <w:bCs/>
                <w:color w:val="000000" w:themeColor="text1"/>
                <w:sz w:val="21"/>
                <w:lang w:eastAsia="zh-CN"/>
                <w14:textFill>
                  <w14:solidFill>
                    <w14:schemeClr w14:val="tx1"/>
                  </w14:solidFill>
                </w14:textFill>
              </w:rPr>
            </w:pPr>
          </w:p>
        </w:tc>
        <w:tc>
          <w:tcPr>
            <w:tcW w:w="537" w:type="pct"/>
            <w:vAlign w:val="center"/>
          </w:tcPr>
          <w:p w14:paraId="42653839">
            <w:pPr>
              <w:jc w:val="center"/>
              <w:rPr>
                <w:rFonts w:ascii="Times New Roman" w:hAnsi="Times New Roman" w:cs="Times New Roman"/>
                <w:bCs/>
                <w:color w:val="000000" w:themeColor="text1"/>
                <w:sz w:val="21"/>
                <w:lang w:eastAsia="zh-CN"/>
                <w14:textFill>
                  <w14:solidFill>
                    <w14:schemeClr w14:val="tx1"/>
                  </w14:solidFill>
                </w14:textFill>
              </w:rPr>
            </w:pPr>
          </w:p>
        </w:tc>
      </w:tr>
      <w:tr w14:paraId="3A151A7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283" w:hRule="atLeast"/>
          <w:jc w:val="center"/>
        </w:trPr>
        <w:tc>
          <w:tcPr>
            <w:tcW w:w="440" w:type="pct"/>
            <w:vMerge w:val="restart"/>
            <w:vAlign w:val="center"/>
          </w:tcPr>
          <w:p w14:paraId="412BA891">
            <w:pPr>
              <w:jc w:val="center"/>
              <w:rPr>
                <w:rFonts w:ascii="Times New Roman" w:hAnsi="Times New Roman" w:cs="Times New Roman"/>
                <w:bCs/>
                <w:color w:val="000000" w:themeColor="text1"/>
                <w:sz w:val="21"/>
                <w:lang w:eastAsia="zh-CN"/>
                <w14:textFill>
                  <w14:solidFill>
                    <w14:schemeClr w14:val="tx1"/>
                  </w14:solidFill>
                </w14:textFill>
              </w:rPr>
            </w:pPr>
          </w:p>
        </w:tc>
        <w:tc>
          <w:tcPr>
            <w:tcW w:w="463" w:type="pct"/>
            <w:vMerge w:val="continue"/>
            <w:vAlign w:val="center"/>
          </w:tcPr>
          <w:p w14:paraId="42EEA85B">
            <w:pPr>
              <w:jc w:val="center"/>
              <w:rPr>
                <w:rFonts w:ascii="Times New Roman" w:hAnsi="Times New Roman" w:cs="Times New Roman"/>
                <w:bCs/>
                <w:color w:val="000000" w:themeColor="text1"/>
                <w:sz w:val="21"/>
                <w:lang w:eastAsia="zh-CN"/>
                <w14:textFill>
                  <w14:solidFill>
                    <w14:schemeClr w14:val="tx1"/>
                  </w14:solidFill>
                </w14:textFill>
              </w:rPr>
            </w:pPr>
          </w:p>
        </w:tc>
        <w:tc>
          <w:tcPr>
            <w:tcW w:w="621" w:type="pct"/>
            <w:vAlign w:val="center"/>
          </w:tcPr>
          <w:p w14:paraId="58BD7131">
            <w:pPr>
              <w:jc w:val="center"/>
              <w:rPr>
                <w:rFonts w:ascii="Times New Roman" w:hAnsi="Times New Roman" w:cs="Times New Roman"/>
                <w:bCs/>
                <w:color w:val="000000" w:themeColor="text1"/>
                <w:sz w:val="21"/>
                <w14:textFill>
                  <w14:solidFill>
                    <w14:schemeClr w14:val="tx1"/>
                  </w14:solidFill>
                </w14:textFill>
              </w:rPr>
            </w:pPr>
          </w:p>
        </w:tc>
        <w:tc>
          <w:tcPr>
            <w:tcW w:w="712" w:type="pct"/>
            <w:vAlign w:val="center"/>
          </w:tcPr>
          <w:p w14:paraId="76AC3F3C">
            <w:pPr>
              <w:jc w:val="center"/>
              <w:rPr>
                <w:rFonts w:ascii="Times New Roman" w:hAnsi="Times New Roman" w:cs="Times New Roman"/>
                <w:bCs/>
                <w:color w:val="000000" w:themeColor="text1"/>
                <w:sz w:val="21"/>
                <w:lang w:eastAsia="zh-CN"/>
                <w14:textFill>
                  <w14:solidFill>
                    <w14:schemeClr w14:val="tx1"/>
                  </w14:solidFill>
                </w14:textFill>
              </w:rPr>
            </w:pPr>
          </w:p>
        </w:tc>
        <w:tc>
          <w:tcPr>
            <w:tcW w:w="605" w:type="pct"/>
            <w:vAlign w:val="center"/>
          </w:tcPr>
          <w:p w14:paraId="5495C527">
            <w:pPr>
              <w:jc w:val="center"/>
              <w:rPr>
                <w:rFonts w:ascii="Times New Roman" w:hAnsi="Times New Roman" w:cs="Times New Roman"/>
                <w:bCs/>
                <w:color w:val="000000" w:themeColor="text1"/>
                <w:sz w:val="21"/>
                <w:lang w:eastAsia="zh-CN"/>
                <w14:textFill>
                  <w14:solidFill>
                    <w14:schemeClr w14:val="tx1"/>
                  </w14:solidFill>
                </w14:textFill>
              </w:rPr>
            </w:pPr>
          </w:p>
        </w:tc>
        <w:tc>
          <w:tcPr>
            <w:tcW w:w="541" w:type="pct"/>
            <w:vAlign w:val="center"/>
          </w:tcPr>
          <w:p w14:paraId="4902EA37">
            <w:pPr>
              <w:jc w:val="center"/>
              <w:rPr>
                <w:rFonts w:ascii="Times New Roman" w:hAnsi="Times New Roman" w:cs="Times New Roman"/>
                <w:bCs/>
                <w:color w:val="000000" w:themeColor="text1"/>
                <w:sz w:val="21"/>
                <w:lang w:eastAsia="zh-CN"/>
                <w14:textFill>
                  <w14:solidFill>
                    <w14:schemeClr w14:val="tx1"/>
                  </w14:solidFill>
                </w14:textFill>
              </w:rPr>
            </w:pPr>
          </w:p>
        </w:tc>
        <w:tc>
          <w:tcPr>
            <w:tcW w:w="541" w:type="pct"/>
            <w:vAlign w:val="center"/>
          </w:tcPr>
          <w:p w14:paraId="0FE01EEB">
            <w:pPr>
              <w:jc w:val="center"/>
              <w:rPr>
                <w:rFonts w:ascii="Times New Roman" w:hAnsi="Times New Roman" w:cs="Times New Roman"/>
                <w:bCs/>
                <w:color w:val="000000" w:themeColor="text1"/>
                <w:sz w:val="21"/>
                <w:lang w:eastAsia="zh-CN"/>
                <w14:textFill>
                  <w14:solidFill>
                    <w14:schemeClr w14:val="tx1"/>
                  </w14:solidFill>
                </w14:textFill>
              </w:rPr>
            </w:pPr>
          </w:p>
        </w:tc>
        <w:tc>
          <w:tcPr>
            <w:tcW w:w="541" w:type="pct"/>
            <w:vAlign w:val="center"/>
          </w:tcPr>
          <w:p w14:paraId="240ED62B">
            <w:pPr>
              <w:jc w:val="center"/>
              <w:rPr>
                <w:rFonts w:ascii="Times New Roman" w:hAnsi="Times New Roman" w:cs="Times New Roman"/>
                <w:bCs/>
                <w:color w:val="000000" w:themeColor="text1"/>
                <w:sz w:val="21"/>
                <w:lang w:eastAsia="zh-CN"/>
                <w14:textFill>
                  <w14:solidFill>
                    <w14:schemeClr w14:val="tx1"/>
                  </w14:solidFill>
                </w14:textFill>
              </w:rPr>
            </w:pPr>
          </w:p>
        </w:tc>
        <w:tc>
          <w:tcPr>
            <w:tcW w:w="537" w:type="pct"/>
            <w:vAlign w:val="center"/>
          </w:tcPr>
          <w:p w14:paraId="683AFD52">
            <w:pPr>
              <w:jc w:val="center"/>
              <w:rPr>
                <w:rFonts w:ascii="Times New Roman" w:hAnsi="Times New Roman" w:cs="Times New Roman"/>
                <w:bCs/>
                <w:color w:val="000000" w:themeColor="text1"/>
                <w:sz w:val="21"/>
                <w:lang w:eastAsia="zh-CN"/>
                <w14:textFill>
                  <w14:solidFill>
                    <w14:schemeClr w14:val="tx1"/>
                  </w14:solidFill>
                </w14:textFill>
              </w:rPr>
            </w:pPr>
          </w:p>
        </w:tc>
      </w:tr>
      <w:tr w14:paraId="5066DB3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283" w:hRule="atLeast"/>
          <w:jc w:val="center"/>
        </w:trPr>
        <w:tc>
          <w:tcPr>
            <w:tcW w:w="440" w:type="pct"/>
            <w:vMerge w:val="continue"/>
            <w:vAlign w:val="center"/>
          </w:tcPr>
          <w:p w14:paraId="56A6163C">
            <w:pPr>
              <w:jc w:val="center"/>
              <w:rPr>
                <w:rFonts w:ascii="Times New Roman" w:hAnsi="Times New Roman" w:cs="Times New Roman"/>
                <w:bCs/>
                <w:color w:val="000000" w:themeColor="text1"/>
                <w:sz w:val="21"/>
                <w14:textFill>
                  <w14:solidFill>
                    <w14:schemeClr w14:val="tx1"/>
                  </w14:solidFill>
                </w14:textFill>
              </w:rPr>
            </w:pPr>
          </w:p>
        </w:tc>
        <w:tc>
          <w:tcPr>
            <w:tcW w:w="463" w:type="pct"/>
            <w:vMerge w:val="continue"/>
            <w:vAlign w:val="center"/>
          </w:tcPr>
          <w:p w14:paraId="3CAFDA0F">
            <w:pPr>
              <w:jc w:val="center"/>
              <w:rPr>
                <w:rFonts w:ascii="Times New Roman" w:hAnsi="Times New Roman" w:cs="Times New Roman"/>
                <w:bCs/>
                <w:color w:val="000000" w:themeColor="text1"/>
                <w:sz w:val="21"/>
                <w:lang w:eastAsia="zh-CN"/>
                <w14:textFill>
                  <w14:solidFill>
                    <w14:schemeClr w14:val="tx1"/>
                  </w14:solidFill>
                </w14:textFill>
              </w:rPr>
            </w:pPr>
          </w:p>
        </w:tc>
        <w:tc>
          <w:tcPr>
            <w:tcW w:w="621" w:type="pct"/>
            <w:vAlign w:val="center"/>
          </w:tcPr>
          <w:p w14:paraId="414D3842">
            <w:pPr>
              <w:jc w:val="center"/>
              <w:rPr>
                <w:rFonts w:ascii="Times New Roman" w:hAnsi="Times New Roman" w:cs="Times New Roman"/>
                <w:bCs/>
                <w:color w:val="000000" w:themeColor="text1"/>
                <w:sz w:val="21"/>
                <w14:textFill>
                  <w14:solidFill>
                    <w14:schemeClr w14:val="tx1"/>
                  </w14:solidFill>
                </w14:textFill>
              </w:rPr>
            </w:pPr>
          </w:p>
        </w:tc>
        <w:tc>
          <w:tcPr>
            <w:tcW w:w="712" w:type="pct"/>
            <w:vAlign w:val="center"/>
          </w:tcPr>
          <w:p w14:paraId="4A740867">
            <w:pPr>
              <w:jc w:val="center"/>
              <w:rPr>
                <w:rFonts w:ascii="Times New Roman" w:hAnsi="Times New Roman" w:cs="Times New Roman"/>
                <w:bCs/>
                <w:color w:val="000000" w:themeColor="text1"/>
                <w:sz w:val="21"/>
                <w:lang w:eastAsia="zh-CN"/>
                <w14:textFill>
                  <w14:solidFill>
                    <w14:schemeClr w14:val="tx1"/>
                  </w14:solidFill>
                </w14:textFill>
              </w:rPr>
            </w:pPr>
          </w:p>
        </w:tc>
        <w:tc>
          <w:tcPr>
            <w:tcW w:w="605" w:type="pct"/>
            <w:vAlign w:val="center"/>
          </w:tcPr>
          <w:p w14:paraId="2D9D1D4A">
            <w:pPr>
              <w:jc w:val="center"/>
              <w:rPr>
                <w:rFonts w:ascii="Times New Roman" w:hAnsi="Times New Roman" w:cs="Times New Roman"/>
                <w:bCs/>
                <w:color w:val="000000" w:themeColor="text1"/>
                <w:sz w:val="21"/>
                <w:lang w:eastAsia="zh-CN"/>
                <w14:textFill>
                  <w14:solidFill>
                    <w14:schemeClr w14:val="tx1"/>
                  </w14:solidFill>
                </w14:textFill>
              </w:rPr>
            </w:pPr>
          </w:p>
        </w:tc>
        <w:tc>
          <w:tcPr>
            <w:tcW w:w="541" w:type="pct"/>
            <w:vAlign w:val="center"/>
          </w:tcPr>
          <w:p w14:paraId="60733BBF">
            <w:pPr>
              <w:jc w:val="center"/>
              <w:rPr>
                <w:rFonts w:ascii="Times New Roman" w:hAnsi="Times New Roman" w:cs="Times New Roman"/>
                <w:bCs/>
                <w:color w:val="000000" w:themeColor="text1"/>
                <w:sz w:val="21"/>
                <w:lang w:eastAsia="zh-CN"/>
                <w14:textFill>
                  <w14:solidFill>
                    <w14:schemeClr w14:val="tx1"/>
                  </w14:solidFill>
                </w14:textFill>
              </w:rPr>
            </w:pPr>
          </w:p>
        </w:tc>
        <w:tc>
          <w:tcPr>
            <w:tcW w:w="541" w:type="pct"/>
            <w:vAlign w:val="center"/>
          </w:tcPr>
          <w:p w14:paraId="3FC7F08B">
            <w:pPr>
              <w:jc w:val="center"/>
              <w:rPr>
                <w:rFonts w:ascii="Times New Roman" w:hAnsi="Times New Roman" w:cs="Times New Roman"/>
                <w:bCs/>
                <w:color w:val="000000" w:themeColor="text1"/>
                <w:sz w:val="21"/>
                <w:lang w:eastAsia="zh-CN"/>
                <w14:textFill>
                  <w14:solidFill>
                    <w14:schemeClr w14:val="tx1"/>
                  </w14:solidFill>
                </w14:textFill>
              </w:rPr>
            </w:pPr>
          </w:p>
        </w:tc>
        <w:tc>
          <w:tcPr>
            <w:tcW w:w="541" w:type="pct"/>
            <w:vAlign w:val="center"/>
          </w:tcPr>
          <w:p w14:paraId="7463DC62">
            <w:pPr>
              <w:jc w:val="center"/>
              <w:rPr>
                <w:rFonts w:ascii="Times New Roman" w:hAnsi="Times New Roman" w:cs="Times New Roman"/>
                <w:bCs/>
                <w:color w:val="000000" w:themeColor="text1"/>
                <w:sz w:val="21"/>
                <w:lang w:eastAsia="zh-CN"/>
                <w14:textFill>
                  <w14:solidFill>
                    <w14:schemeClr w14:val="tx1"/>
                  </w14:solidFill>
                </w14:textFill>
              </w:rPr>
            </w:pPr>
          </w:p>
        </w:tc>
        <w:tc>
          <w:tcPr>
            <w:tcW w:w="537" w:type="pct"/>
            <w:vAlign w:val="center"/>
          </w:tcPr>
          <w:p w14:paraId="360A9E47">
            <w:pPr>
              <w:jc w:val="center"/>
              <w:rPr>
                <w:rFonts w:ascii="Times New Roman" w:hAnsi="Times New Roman" w:cs="Times New Roman"/>
                <w:bCs/>
                <w:color w:val="000000" w:themeColor="text1"/>
                <w:sz w:val="21"/>
                <w:lang w:eastAsia="zh-CN"/>
                <w14:textFill>
                  <w14:solidFill>
                    <w14:schemeClr w14:val="tx1"/>
                  </w14:solidFill>
                </w14:textFill>
              </w:rPr>
            </w:pPr>
          </w:p>
        </w:tc>
      </w:tr>
    </w:tbl>
    <w:p w14:paraId="4F9D174B">
      <w:pPr>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表 5.2-1</w:t>
      </w:r>
      <w:r>
        <w:rPr>
          <w:rFonts w:hint="eastAsia" w:ascii="Times New Roman" w:hAnsi="Times New Roman" w:cs="Times New Roman"/>
          <w:b/>
          <w:bCs/>
          <w:color w:val="auto"/>
          <w:szCs w:val="24"/>
          <w:lang w:eastAsia="zh-CN"/>
        </w:rPr>
        <w:t>6</w:t>
      </w:r>
      <w:r>
        <w:rPr>
          <w:rFonts w:ascii="Times New Roman" w:hAnsi="Times New Roman" w:cs="Times New Roman"/>
          <w:b/>
          <w:bCs/>
          <w:color w:val="auto"/>
          <w:szCs w:val="24"/>
          <w:lang w:eastAsia="zh-CN"/>
        </w:rPr>
        <w:t xml:space="preserve"> 土壤理化性质调查一览表</w:t>
      </w:r>
      <w:r>
        <w:rPr>
          <w:rFonts w:hint="eastAsia" w:ascii="Times New Roman" w:hAnsi="Times New Roman" w:cs="Times New Roman"/>
          <w:b/>
          <w:bCs/>
          <w:color w:val="auto"/>
          <w:szCs w:val="24"/>
          <w:lang w:eastAsia="zh-CN"/>
        </w:rPr>
        <w:t>（2）</w:t>
      </w:r>
    </w:p>
    <w:tbl>
      <w:tblPr>
        <w:tblStyle w:val="35"/>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57" w:type="dxa"/>
          <w:bottom w:w="0" w:type="dxa"/>
          <w:right w:w="57" w:type="dxa"/>
        </w:tblCellMar>
      </w:tblPr>
      <w:tblGrid>
        <w:gridCol w:w="956"/>
        <w:gridCol w:w="1000"/>
        <w:gridCol w:w="1341"/>
        <w:gridCol w:w="1676"/>
        <w:gridCol w:w="1168"/>
        <w:gridCol w:w="1372"/>
        <w:gridCol w:w="1133"/>
        <w:gridCol w:w="989"/>
      </w:tblGrid>
      <w:tr w14:paraId="58B3E0F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283" w:hRule="atLeast"/>
          <w:jc w:val="center"/>
        </w:trPr>
        <w:tc>
          <w:tcPr>
            <w:tcW w:w="496" w:type="pct"/>
            <w:vAlign w:val="center"/>
          </w:tcPr>
          <w:p w14:paraId="589377B4">
            <w:pPr>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采样日期</w:t>
            </w:r>
          </w:p>
        </w:tc>
        <w:tc>
          <w:tcPr>
            <w:tcW w:w="519" w:type="pct"/>
            <w:vAlign w:val="center"/>
          </w:tcPr>
          <w:p w14:paraId="2C641DF7">
            <w:pPr>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检测点位</w:t>
            </w:r>
          </w:p>
        </w:tc>
        <w:tc>
          <w:tcPr>
            <w:tcW w:w="696" w:type="pct"/>
            <w:vAlign w:val="center"/>
          </w:tcPr>
          <w:p w14:paraId="17DE63F3">
            <w:pPr>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采样深度</w:t>
            </w:r>
          </w:p>
        </w:tc>
        <w:tc>
          <w:tcPr>
            <w:tcW w:w="870" w:type="pct"/>
            <w:vAlign w:val="center"/>
          </w:tcPr>
          <w:p w14:paraId="49AD253D">
            <w:pPr>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阳离子交换量(cmol(+)/kg)</w:t>
            </w:r>
          </w:p>
        </w:tc>
        <w:tc>
          <w:tcPr>
            <w:tcW w:w="606" w:type="pct"/>
            <w:vAlign w:val="center"/>
          </w:tcPr>
          <w:p w14:paraId="127A6556">
            <w:pPr>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氧化还原电位(mV)</w:t>
            </w:r>
          </w:p>
        </w:tc>
        <w:tc>
          <w:tcPr>
            <w:tcW w:w="712" w:type="pct"/>
            <w:vAlign w:val="center"/>
          </w:tcPr>
          <w:p w14:paraId="7C8E555A">
            <w:pPr>
              <w:jc w:val="center"/>
              <w:rPr>
                <w:rFonts w:ascii="Times New Roman" w:hAnsi="Times New Roman" w:cs="Times New Roman"/>
                <w:b/>
                <w:color w:val="000000" w:themeColor="text1"/>
                <w:sz w:val="21"/>
                <w:lang w:eastAsia="zh-CN"/>
                <w14:textFill>
                  <w14:solidFill>
                    <w14:schemeClr w14:val="tx1"/>
                  </w14:solidFill>
                </w14:textFill>
              </w:rPr>
            </w:pPr>
            <w:r>
              <w:rPr>
                <w:rFonts w:ascii="Times New Roman" w:hAnsi="Times New Roman" w:cs="Times New Roman"/>
                <w:b/>
                <w:color w:val="000000" w:themeColor="text1"/>
                <w:sz w:val="21"/>
                <w:lang w:eastAsia="zh-CN"/>
                <w14:textFill>
                  <w14:solidFill>
                    <w14:schemeClr w14:val="tx1"/>
                  </w14:solidFill>
                </w14:textFill>
              </w:rPr>
              <w:t>饱和导水率(</w:t>
            </w:r>
            <w:r>
              <w:rPr>
                <w:rFonts w:hint="eastAsia" w:ascii="Times New Roman" w:hAnsi="Times New Roman" w:cs="Times New Roman"/>
                <w:b/>
                <w:color w:val="000000" w:themeColor="text1"/>
                <w:sz w:val="21"/>
                <w:lang w:eastAsia="zh-CN"/>
                <w14:textFill>
                  <w14:solidFill>
                    <w14:schemeClr w14:val="tx1"/>
                  </w14:solidFill>
                </w14:textFill>
              </w:rPr>
              <w:t>m</w:t>
            </w:r>
            <w:r>
              <w:rPr>
                <w:rFonts w:ascii="Times New Roman" w:hAnsi="Times New Roman" w:cs="Times New Roman"/>
                <w:b/>
                <w:color w:val="000000" w:themeColor="text1"/>
                <w:sz w:val="21"/>
                <w:lang w:eastAsia="zh-CN"/>
                <w14:textFill>
                  <w14:solidFill>
                    <w14:schemeClr w14:val="tx1"/>
                  </w14:solidFill>
                </w14:textFill>
              </w:rPr>
              <w:t>m/min)</w:t>
            </w:r>
          </w:p>
        </w:tc>
        <w:tc>
          <w:tcPr>
            <w:tcW w:w="588" w:type="pct"/>
            <w:vAlign w:val="center"/>
          </w:tcPr>
          <w:p w14:paraId="7B6D57FA">
            <w:pPr>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土壤容重</w:t>
            </w:r>
          </w:p>
          <w:p w14:paraId="2CD4FC72">
            <w:pPr>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(g/cm</w:t>
            </w:r>
            <w:r>
              <w:rPr>
                <w:rFonts w:ascii="Times New Roman" w:hAnsi="Times New Roman" w:cs="Times New Roman"/>
                <w:b/>
                <w:color w:val="000000" w:themeColor="text1"/>
                <w:sz w:val="21"/>
                <w:vertAlign w:val="superscript"/>
                <w14:textFill>
                  <w14:solidFill>
                    <w14:schemeClr w14:val="tx1"/>
                  </w14:solidFill>
                </w14:textFill>
              </w:rPr>
              <w:t>3</w:t>
            </w:r>
            <w:r>
              <w:rPr>
                <w:rFonts w:ascii="Times New Roman" w:hAnsi="Times New Roman" w:cs="Times New Roman"/>
                <w:b/>
                <w:color w:val="000000" w:themeColor="text1"/>
                <w:sz w:val="21"/>
                <w14:textFill>
                  <w14:solidFill>
                    <w14:schemeClr w14:val="tx1"/>
                  </w14:solidFill>
                </w14:textFill>
              </w:rPr>
              <w:t>)</w:t>
            </w:r>
          </w:p>
        </w:tc>
        <w:tc>
          <w:tcPr>
            <w:tcW w:w="513" w:type="pct"/>
            <w:vAlign w:val="center"/>
          </w:tcPr>
          <w:p w14:paraId="01E5672D">
            <w:pPr>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lang w:eastAsia="zh-CN"/>
                <w14:textFill>
                  <w14:solidFill>
                    <w14:schemeClr w14:val="tx1"/>
                  </w14:solidFill>
                </w14:textFill>
              </w:rPr>
              <w:t>孔隙</w:t>
            </w:r>
            <w:r>
              <w:rPr>
                <w:rFonts w:hint="eastAsia" w:ascii="Times New Roman" w:hAnsi="Times New Roman" w:cs="Times New Roman"/>
                <w:b/>
                <w:color w:val="000000" w:themeColor="text1"/>
                <w:sz w:val="21"/>
                <w:lang w:eastAsia="zh-CN"/>
                <w14:textFill>
                  <w14:solidFill>
                    <w14:schemeClr w14:val="tx1"/>
                  </w14:solidFill>
                </w14:textFill>
              </w:rPr>
              <w:t>度</w:t>
            </w:r>
            <w:r>
              <w:rPr>
                <w:rFonts w:ascii="Times New Roman" w:hAnsi="Times New Roman" w:cs="Times New Roman"/>
                <w:b/>
                <w:color w:val="000000" w:themeColor="text1"/>
                <w:sz w:val="21"/>
                <w14:textFill>
                  <w14:solidFill>
                    <w14:schemeClr w14:val="tx1"/>
                  </w14:solidFill>
                </w14:textFill>
              </w:rPr>
              <w:t>(</w:t>
            </w:r>
            <w:r>
              <w:rPr>
                <w:rFonts w:ascii="Times New Roman" w:hAnsi="Times New Roman" w:cs="Times New Roman"/>
                <w:b/>
                <w:color w:val="000000" w:themeColor="text1"/>
                <w:sz w:val="21"/>
                <w:lang w:eastAsia="zh-CN"/>
                <w14:textFill>
                  <w14:solidFill>
                    <w14:schemeClr w14:val="tx1"/>
                  </w14:solidFill>
                </w14:textFill>
              </w:rPr>
              <w:t>%</w:t>
            </w:r>
            <w:r>
              <w:rPr>
                <w:rFonts w:ascii="Times New Roman" w:hAnsi="Times New Roman" w:cs="Times New Roman"/>
                <w:b/>
                <w:color w:val="000000" w:themeColor="text1"/>
                <w:sz w:val="21"/>
                <w14:textFill>
                  <w14:solidFill>
                    <w14:schemeClr w14:val="tx1"/>
                  </w14:solidFill>
                </w14:textFill>
              </w:rPr>
              <w:t>)</w:t>
            </w:r>
          </w:p>
        </w:tc>
      </w:tr>
      <w:tr w14:paraId="1764BD3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283" w:hRule="atLeast"/>
          <w:jc w:val="center"/>
        </w:trPr>
        <w:tc>
          <w:tcPr>
            <w:tcW w:w="496" w:type="pct"/>
            <w:vAlign w:val="center"/>
          </w:tcPr>
          <w:p w14:paraId="07C97538">
            <w:pPr>
              <w:jc w:val="center"/>
              <w:rPr>
                <w:rFonts w:ascii="Times New Roman" w:hAnsi="Times New Roman" w:cs="Times New Roman"/>
                <w:bCs/>
                <w:color w:val="000000" w:themeColor="text1"/>
                <w:sz w:val="21"/>
                <w14:textFill>
                  <w14:solidFill>
                    <w14:schemeClr w14:val="tx1"/>
                  </w14:solidFill>
                </w14:textFill>
              </w:rPr>
            </w:pPr>
          </w:p>
        </w:tc>
        <w:tc>
          <w:tcPr>
            <w:tcW w:w="519" w:type="pct"/>
            <w:vMerge w:val="restart"/>
            <w:vAlign w:val="center"/>
          </w:tcPr>
          <w:p w14:paraId="56A28C88">
            <w:pPr>
              <w:jc w:val="center"/>
              <w:rPr>
                <w:rFonts w:ascii="Times New Roman" w:hAnsi="Times New Roman" w:cs="Times New Roman"/>
                <w:bCs/>
                <w:color w:val="000000" w:themeColor="text1"/>
                <w:sz w:val="21"/>
                <w:lang w:eastAsia="zh-CN"/>
                <w14:textFill>
                  <w14:solidFill>
                    <w14:schemeClr w14:val="tx1"/>
                  </w14:solidFill>
                </w14:textFill>
              </w:rPr>
            </w:pPr>
          </w:p>
        </w:tc>
        <w:tc>
          <w:tcPr>
            <w:tcW w:w="696" w:type="pct"/>
            <w:vAlign w:val="center"/>
          </w:tcPr>
          <w:p w14:paraId="34F6172C">
            <w:pPr>
              <w:jc w:val="center"/>
              <w:rPr>
                <w:rFonts w:ascii="Times New Roman" w:hAnsi="Times New Roman" w:cs="Times New Roman"/>
                <w:bCs/>
                <w:color w:val="000000" w:themeColor="text1"/>
                <w:sz w:val="21"/>
                <w14:textFill>
                  <w14:solidFill>
                    <w14:schemeClr w14:val="tx1"/>
                  </w14:solidFill>
                </w14:textFill>
              </w:rPr>
            </w:pPr>
          </w:p>
        </w:tc>
        <w:tc>
          <w:tcPr>
            <w:tcW w:w="870" w:type="pct"/>
            <w:vAlign w:val="center"/>
          </w:tcPr>
          <w:p w14:paraId="5FE3BDB0">
            <w:pPr>
              <w:jc w:val="center"/>
              <w:rPr>
                <w:rFonts w:ascii="Times New Roman" w:hAnsi="Times New Roman" w:cs="Times New Roman"/>
                <w:bCs/>
                <w:color w:val="000000" w:themeColor="text1"/>
                <w:sz w:val="21"/>
                <w:lang w:eastAsia="zh-CN"/>
                <w14:textFill>
                  <w14:solidFill>
                    <w14:schemeClr w14:val="tx1"/>
                  </w14:solidFill>
                </w14:textFill>
              </w:rPr>
            </w:pPr>
          </w:p>
        </w:tc>
        <w:tc>
          <w:tcPr>
            <w:tcW w:w="606" w:type="pct"/>
            <w:vAlign w:val="center"/>
          </w:tcPr>
          <w:p w14:paraId="3EF0E673">
            <w:pPr>
              <w:jc w:val="center"/>
              <w:rPr>
                <w:rFonts w:ascii="Times New Roman" w:hAnsi="Times New Roman" w:cs="Times New Roman"/>
                <w:bCs/>
                <w:color w:val="000000" w:themeColor="text1"/>
                <w:sz w:val="21"/>
                <w:lang w:eastAsia="zh-CN"/>
                <w14:textFill>
                  <w14:solidFill>
                    <w14:schemeClr w14:val="tx1"/>
                  </w14:solidFill>
                </w14:textFill>
              </w:rPr>
            </w:pPr>
          </w:p>
        </w:tc>
        <w:tc>
          <w:tcPr>
            <w:tcW w:w="712" w:type="pct"/>
            <w:vAlign w:val="center"/>
          </w:tcPr>
          <w:p w14:paraId="3AC597A1">
            <w:pPr>
              <w:jc w:val="center"/>
              <w:rPr>
                <w:rFonts w:ascii="Times New Roman" w:hAnsi="Times New Roman" w:cs="Times New Roman"/>
                <w:bCs/>
                <w:color w:val="000000" w:themeColor="text1"/>
                <w:sz w:val="21"/>
                <w:lang w:eastAsia="zh-CN"/>
                <w14:textFill>
                  <w14:solidFill>
                    <w14:schemeClr w14:val="tx1"/>
                  </w14:solidFill>
                </w14:textFill>
              </w:rPr>
            </w:pPr>
          </w:p>
        </w:tc>
        <w:tc>
          <w:tcPr>
            <w:tcW w:w="588" w:type="pct"/>
            <w:vAlign w:val="center"/>
          </w:tcPr>
          <w:p w14:paraId="4956CAC3">
            <w:pPr>
              <w:jc w:val="center"/>
              <w:rPr>
                <w:rFonts w:ascii="Times New Roman" w:hAnsi="Times New Roman" w:cs="Times New Roman"/>
                <w:bCs/>
                <w:color w:val="000000" w:themeColor="text1"/>
                <w:sz w:val="21"/>
                <w:lang w:eastAsia="zh-CN"/>
                <w14:textFill>
                  <w14:solidFill>
                    <w14:schemeClr w14:val="tx1"/>
                  </w14:solidFill>
                </w14:textFill>
              </w:rPr>
            </w:pPr>
          </w:p>
        </w:tc>
        <w:tc>
          <w:tcPr>
            <w:tcW w:w="513" w:type="pct"/>
            <w:vAlign w:val="center"/>
          </w:tcPr>
          <w:p w14:paraId="21AD7B6D">
            <w:pPr>
              <w:jc w:val="center"/>
              <w:rPr>
                <w:rFonts w:ascii="Times New Roman" w:hAnsi="Times New Roman" w:cs="Times New Roman"/>
                <w:bCs/>
                <w:color w:val="000000" w:themeColor="text1"/>
                <w:sz w:val="21"/>
                <w:lang w:eastAsia="zh-CN"/>
                <w14:textFill>
                  <w14:solidFill>
                    <w14:schemeClr w14:val="tx1"/>
                  </w14:solidFill>
                </w14:textFill>
              </w:rPr>
            </w:pPr>
          </w:p>
        </w:tc>
      </w:tr>
      <w:tr w14:paraId="12EDB50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283" w:hRule="atLeast"/>
          <w:jc w:val="center"/>
        </w:trPr>
        <w:tc>
          <w:tcPr>
            <w:tcW w:w="496" w:type="pct"/>
            <w:vMerge w:val="restart"/>
            <w:vAlign w:val="center"/>
          </w:tcPr>
          <w:p w14:paraId="0EBCD9A7">
            <w:pPr>
              <w:jc w:val="center"/>
              <w:rPr>
                <w:rFonts w:ascii="Times New Roman" w:hAnsi="Times New Roman" w:cs="Times New Roman"/>
                <w:bCs/>
                <w:color w:val="000000" w:themeColor="text1"/>
                <w:sz w:val="21"/>
                <w14:textFill>
                  <w14:solidFill>
                    <w14:schemeClr w14:val="tx1"/>
                  </w14:solidFill>
                </w14:textFill>
              </w:rPr>
            </w:pPr>
          </w:p>
        </w:tc>
        <w:tc>
          <w:tcPr>
            <w:tcW w:w="519" w:type="pct"/>
            <w:vMerge w:val="continue"/>
            <w:vAlign w:val="center"/>
          </w:tcPr>
          <w:p w14:paraId="7DF6A53E">
            <w:pPr>
              <w:jc w:val="center"/>
              <w:rPr>
                <w:rFonts w:ascii="Times New Roman" w:hAnsi="Times New Roman" w:cs="Times New Roman"/>
                <w:bCs/>
                <w:color w:val="000000" w:themeColor="text1"/>
                <w:sz w:val="21"/>
                <w:lang w:eastAsia="zh-CN"/>
                <w14:textFill>
                  <w14:solidFill>
                    <w14:schemeClr w14:val="tx1"/>
                  </w14:solidFill>
                </w14:textFill>
              </w:rPr>
            </w:pPr>
          </w:p>
        </w:tc>
        <w:tc>
          <w:tcPr>
            <w:tcW w:w="696" w:type="pct"/>
            <w:vAlign w:val="center"/>
          </w:tcPr>
          <w:p w14:paraId="7A2E49F5">
            <w:pPr>
              <w:jc w:val="center"/>
              <w:rPr>
                <w:rFonts w:ascii="Times New Roman" w:hAnsi="Times New Roman" w:cs="Times New Roman"/>
                <w:bCs/>
                <w:color w:val="000000" w:themeColor="text1"/>
                <w:sz w:val="21"/>
                <w14:textFill>
                  <w14:solidFill>
                    <w14:schemeClr w14:val="tx1"/>
                  </w14:solidFill>
                </w14:textFill>
              </w:rPr>
            </w:pPr>
          </w:p>
        </w:tc>
        <w:tc>
          <w:tcPr>
            <w:tcW w:w="870" w:type="pct"/>
            <w:vAlign w:val="center"/>
          </w:tcPr>
          <w:p w14:paraId="5CD847BE">
            <w:pPr>
              <w:jc w:val="center"/>
              <w:rPr>
                <w:rFonts w:ascii="Times New Roman" w:hAnsi="Times New Roman" w:cs="Times New Roman"/>
                <w:bCs/>
                <w:color w:val="000000" w:themeColor="text1"/>
                <w:sz w:val="21"/>
                <w:lang w:eastAsia="zh-CN"/>
                <w14:textFill>
                  <w14:solidFill>
                    <w14:schemeClr w14:val="tx1"/>
                  </w14:solidFill>
                </w14:textFill>
              </w:rPr>
            </w:pPr>
          </w:p>
        </w:tc>
        <w:tc>
          <w:tcPr>
            <w:tcW w:w="606" w:type="pct"/>
            <w:vAlign w:val="center"/>
          </w:tcPr>
          <w:p w14:paraId="70453B15">
            <w:pPr>
              <w:jc w:val="center"/>
              <w:rPr>
                <w:rFonts w:ascii="Times New Roman" w:hAnsi="Times New Roman" w:cs="Times New Roman"/>
                <w:bCs/>
                <w:color w:val="000000" w:themeColor="text1"/>
                <w:sz w:val="21"/>
                <w:lang w:eastAsia="zh-CN"/>
                <w14:textFill>
                  <w14:solidFill>
                    <w14:schemeClr w14:val="tx1"/>
                  </w14:solidFill>
                </w14:textFill>
              </w:rPr>
            </w:pPr>
          </w:p>
        </w:tc>
        <w:tc>
          <w:tcPr>
            <w:tcW w:w="712" w:type="pct"/>
            <w:vAlign w:val="center"/>
          </w:tcPr>
          <w:p w14:paraId="2AF88686">
            <w:pPr>
              <w:jc w:val="center"/>
              <w:rPr>
                <w:rFonts w:ascii="Times New Roman" w:hAnsi="Times New Roman" w:cs="Times New Roman"/>
                <w:bCs/>
                <w:color w:val="000000" w:themeColor="text1"/>
                <w:sz w:val="21"/>
                <w:lang w:eastAsia="zh-CN"/>
                <w14:textFill>
                  <w14:solidFill>
                    <w14:schemeClr w14:val="tx1"/>
                  </w14:solidFill>
                </w14:textFill>
              </w:rPr>
            </w:pPr>
          </w:p>
        </w:tc>
        <w:tc>
          <w:tcPr>
            <w:tcW w:w="588" w:type="pct"/>
            <w:vAlign w:val="center"/>
          </w:tcPr>
          <w:p w14:paraId="1B4D79C1">
            <w:pPr>
              <w:jc w:val="center"/>
              <w:rPr>
                <w:rFonts w:ascii="Times New Roman" w:hAnsi="Times New Roman" w:cs="Times New Roman"/>
                <w:bCs/>
                <w:color w:val="000000" w:themeColor="text1"/>
                <w:sz w:val="21"/>
                <w:lang w:eastAsia="zh-CN"/>
                <w14:textFill>
                  <w14:solidFill>
                    <w14:schemeClr w14:val="tx1"/>
                  </w14:solidFill>
                </w14:textFill>
              </w:rPr>
            </w:pPr>
          </w:p>
        </w:tc>
        <w:tc>
          <w:tcPr>
            <w:tcW w:w="513" w:type="pct"/>
            <w:vAlign w:val="center"/>
          </w:tcPr>
          <w:p w14:paraId="0644A800">
            <w:pPr>
              <w:jc w:val="center"/>
              <w:rPr>
                <w:rFonts w:ascii="Times New Roman" w:hAnsi="Times New Roman" w:cs="Times New Roman"/>
                <w:bCs/>
                <w:color w:val="000000" w:themeColor="text1"/>
                <w:sz w:val="21"/>
                <w:lang w:eastAsia="zh-CN"/>
                <w14:textFill>
                  <w14:solidFill>
                    <w14:schemeClr w14:val="tx1"/>
                  </w14:solidFill>
                </w14:textFill>
              </w:rPr>
            </w:pPr>
          </w:p>
        </w:tc>
      </w:tr>
      <w:tr w14:paraId="6C37242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283" w:hRule="atLeast"/>
          <w:jc w:val="center"/>
        </w:trPr>
        <w:tc>
          <w:tcPr>
            <w:tcW w:w="496" w:type="pct"/>
            <w:vMerge w:val="continue"/>
            <w:vAlign w:val="center"/>
          </w:tcPr>
          <w:p w14:paraId="4446D41D">
            <w:pPr>
              <w:jc w:val="center"/>
              <w:rPr>
                <w:rFonts w:ascii="Times New Roman" w:hAnsi="Times New Roman" w:cs="Times New Roman"/>
                <w:bCs/>
                <w:color w:val="000000" w:themeColor="text1"/>
                <w:sz w:val="21"/>
                <w14:textFill>
                  <w14:solidFill>
                    <w14:schemeClr w14:val="tx1"/>
                  </w14:solidFill>
                </w14:textFill>
              </w:rPr>
            </w:pPr>
          </w:p>
        </w:tc>
        <w:tc>
          <w:tcPr>
            <w:tcW w:w="519" w:type="pct"/>
            <w:vMerge w:val="continue"/>
            <w:vAlign w:val="center"/>
          </w:tcPr>
          <w:p w14:paraId="6C443F10">
            <w:pPr>
              <w:jc w:val="center"/>
              <w:rPr>
                <w:rFonts w:ascii="Times New Roman" w:hAnsi="Times New Roman" w:cs="Times New Roman"/>
                <w:bCs/>
                <w:color w:val="000000" w:themeColor="text1"/>
                <w:sz w:val="21"/>
                <w:lang w:eastAsia="zh-CN"/>
                <w14:textFill>
                  <w14:solidFill>
                    <w14:schemeClr w14:val="tx1"/>
                  </w14:solidFill>
                </w14:textFill>
              </w:rPr>
            </w:pPr>
          </w:p>
        </w:tc>
        <w:tc>
          <w:tcPr>
            <w:tcW w:w="696" w:type="pct"/>
            <w:vAlign w:val="center"/>
          </w:tcPr>
          <w:p w14:paraId="1134438C">
            <w:pPr>
              <w:jc w:val="center"/>
              <w:rPr>
                <w:rFonts w:ascii="Times New Roman" w:hAnsi="Times New Roman" w:cs="Times New Roman"/>
                <w:bCs/>
                <w:color w:val="000000" w:themeColor="text1"/>
                <w:sz w:val="21"/>
                <w14:textFill>
                  <w14:solidFill>
                    <w14:schemeClr w14:val="tx1"/>
                  </w14:solidFill>
                </w14:textFill>
              </w:rPr>
            </w:pPr>
          </w:p>
        </w:tc>
        <w:tc>
          <w:tcPr>
            <w:tcW w:w="870" w:type="pct"/>
            <w:vAlign w:val="center"/>
          </w:tcPr>
          <w:p w14:paraId="1D1019B8">
            <w:pPr>
              <w:jc w:val="center"/>
              <w:rPr>
                <w:rFonts w:ascii="Times New Roman" w:hAnsi="Times New Roman" w:cs="Times New Roman"/>
                <w:bCs/>
                <w:color w:val="000000" w:themeColor="text1"/>
                <w:sz w:val="21"/>
                <w:lang w:eastAsia="zh-CN"/>
                <w14:textFill>
                  <w14:solidFill>
                    <w14:schemeClr w14:val="tx1"/>
                  </w14:solidFill>
                </w14:textFill>
              </w:rPr>
            </w:pPr>
          </w:p>
        </w:tc>
        <w:tc>
          <w:tcPr>
            <w:tcW w:w="606" w:type="pct"/>
            <w:vAlign w:val="center"/>
          </w:tcPr>
          <w:p w14:paraId="0DB762BE">
            <w:pPr>
              <w:jc w:val="center"/>
              <w:rPr>
                <w:rFonts w:ascii="Times New Roman" w:hAnsi="Times New Roman" w:cs="Times New Roman"/>
                <w:bCs/>
                <w:color w:val="000000" w:themeColor="text1"/>
                <w:sz w:val="21"/>
                <w:lang w:eastAsia="zh-CN"/>
                <w14:textFill>
                  <w14:solidFill>
                    <w14:schemeClr w14:val="tx1"/>
                  </w14:solidFill>
                </w14:textFill>
              </w:rPr>
            </w:pPr>
          </w:p>
        </w:tc>
        <w:tc>
          <w:tcPr>
            <w:tcW w:w="712" w:type="pct"/>
            <w:vAlign w:val="center"/>
          </w:tcPr>
          <w:p w14:paraId="4F53BDA8">
            <w:pPr>
              <w:jc w:val="center"/>
              <w:rPr>
                <w:rFonts w:ascii="Times New Roman" w:hAnsi="Times New Roman" w:cs="Times New Roman"/>
                <w:bCs/>
                <w:color w:val="000000" w:themeColor="text1"/>
                <w:sz w:val="21"/>
                <w:lang w:eastAsia="zh-CN"/>
                <w14:textFill>
                  <w14:solidFill>
                    <w14:schemeClr w14:val="tx1"/>
                  </w14:solidFill>
                </w14:textFill>
              </w:rPr>
            </w:pPr>
          </w:p>
        </w:tc>
        <w:tc>
          <w:tcPr>
            <w:tcW w:w="588" w:type="pct"/>
            <w:vAlign w:val="center"/>
          </w:tcPr>
          <w:p w14:paraId="5A9FBD6E">
            <w:pPr>
              <w:jc w:val="center"/>
              <w:rPr>
                <w:rFonts w:ascii="Times New Roman" w:hAnsi="Times New Roman" w:cs="Times New Roman"/>
                <w:bCs/>
                <w:color w:val="000000" w:themeColor="text1"/>
                <w:sz w:val="21"/>
                <w:lang w:eastAsia="zh-CN"/>
                <w14:textFill>
                  <w14:solidFill>
                    <w14:schemeClr w14:val="tx1"/>
                  </w14:solidFill>
                </w14:textFill>
              </w:rPr>
            </w:pPr>
          </w:p>
        </w:tc>
        <w:tc>
          <w:tcPr>
            <w:tcW w:w="513" w:type="pct"/>
            <w:vAlign w:val="center"/>
          </w:tcPr>
          <w:p w14:paraId="3D331847">
            <w:pPr>
              <w:jc w:val="center"/>
              <w:rPr>
                <w:rFonts w:ascii="Times New Roman" w:hAnsi="Times New Roman" w:cs="Times New Roman"/>
                <w:bCs/>
                <w:color w:val="000000" w:themeColor="text1"/>
                <w:sz w:val="21"/>
                <w:lang w:eastAsia="zh-CN"/>
                <w14:textFill>
                  <w14:solidFill>
                    <w14:schemeClr w14:val="tx1"/>
                  </w14:solidFill>
                </w14:textFill>
              </w:rPr>
            </w:pPr>
          </w:p>
        </w:tc>
      </w:tr>
    </w:tbl>
    <w:p w14:paraId="20E531F8">
      <w:pPr>
        <w:spacing w:line="360" w:lineRule="auto"/>
        <w:jc w:val="center"/>
        <w:rPr>
          <w:rFonts w:ascii="Times New Roman" w:hAnsi="Times New Roman" w:cs="Times New Roman"/>
          <w:b/>
          <w:bCs/>
          <w:color w:val="auto"/>
          <w:szCs w:val="24"/>
          <w:lang w:eastAsia="zh-CN"/>
        </w:rPr>
      </w:pPr>
    </w:p>
    <w:p w14:paraId="01DC0F8A">
      <w:pPr>
        <w:spacing w:line="360" w:lineRule="auto"/>
        <w:jc w:val="center"/>
        <w:rPr>
          <w:rFonts w:ascii="Times New Roman" w:hAnsi="Times New Roman" w:cs="Times New Roman"/>
          <w:color w:val="auto"/>
          <w:szCs w:val="24"/>
          <w:lang w:eastAsia="zh-CN"/>
        </w:rPr>
      </w:pPr>
      <w:r>
        <w:rPr>
          <w:rFonts w:ascii="Times New Roman" w:hAnsi="Times New Roman" w:cs="Times New Roman"/>
          <w:b/>
          <w:bCs/>
          <w:color w:val="auto"/>
          <w:szCs w:val="24"/>
          <w:lang w:eastAsia="zh-CN"/>
        </w:rPr>
        <w:t xml:space="preserve">表 </w:t>
      </w:r>
      <w:r>
        <w:rPr>
          <w:rFonts w:hint="eastAsia" w:ascii="Times New Roman" w:hAnsi="Times New Roman" w:cs="Times New Roman"/>
          <w:b/>
          <w:bCs/>
          <w:color w:val="auto"/>
          <w:szCs w:val="24"/>
          <w:lang w:eastAsia="zh-CN"/>
        </w:rPr>
        <w:t>5</w:t>
      </w:r>
      <w:r>
        <w:rPr>
          <w:rFonts w:ascii="Times New Roman" w:hAnsi="Times New Roman" w:cs="Times New Roman"/>
          <w:b/>
          <w:bCs/>
          <w:color w:val="auto"/>
          <w:szCs w:val="24"/>
          <w:lang w:eastAsia="zh-CN"/>
        </w:rPr>
        <w:t>.2-1</w:t>
      </w:r>
      <w:r>
        <w:rPr>
          <w:rFonts w:hint="eastAsia" w:ascii="Times New Roman" w:hAnsi="Times New Roman" w:cs="Times New Roman"/>
          <w:b/>
          <w:bCs/>
          <w:color w:val="auto"/>
          <w:szCs w:val="24"/>
          <w:lang w:eastAsia="zh-CN"/>
        </w:rPr>
        <w:t>7</w:t>
      </w:r>
      <w:r>
        <w:rPr>
          <w:rFonts w:ascii="Times New Roman" w:hAnsi="Times New Roman" w:cs="Times New Roman"/>
          <w:b/>
          <w:bCs/>
          <w:color w:val="auto"/>
          <w:szCs w:val="24"/>
          <w:lang w:eastAsia="zh-CN"/>
        </w:rPr>
        <w:t xml:space="preserve">   土壤</w:t>
      </w:r>
      <w:r>
        <w:rPr>
          <w:rFonts w:hint="eastAsia" w:ascii="Times New Roman" w:hAnsi="Times New Roman" w:cs="Times New Roman"/>
          <w:b/>
          <w:bCs/>
          <w:color w:val="auto"/>
          <w:szCs w:val="24"/>
          <w:lang w:eastAsia="zh-CN"/>
        </w:rPr>
        <w:t>剖面</w:t>
      </w:r>
      <w:r>
        <w:rPr>
          <w:rFonts w:ascii="Times New Roman" w:hAnsi="Times New Roman" w:cs="Times New Roman"/>
          <w:b/>
          <w:bCs/>
          <w:color w:val="auto"/>
          <w:szCs w:val="24"/>
          <w:lang w:eastAsia="zh-CN"/>
        </w:rPr>
        <w:t>调查一览表</w:t>
      </w:r>
    </w:p>
    <w:tbl>
      <w:tblPr>
        <w:tblStyle w:val="35"/>
        <w:tblW w:w="4999" w:type="pct"/>
        <w:tblInd w:w="0" w:type="dxa"/>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autofit"/>
        <w:tblCellMar>
          <w:top w:w="0" w:type="dxa"/>
          <w:left w:w="0" w:type="dxa"/>
          <w:bottom w:w="0" w:type="dxa"/>
          <w:right w:w="0" w:type="dxa"/>
        </w:tblCellMar>
      </w:tblPr>
      <w:tblGrid>
        <w:gridCol w:w="1363"/>
        <w:gridCol w:w="8274"/>
      </w:tblGrid>
      <w:tr w14:paraId="2524828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PrEx>
        <w:trPr>
          <w:trHeight w:val="344" w:hRule="atLeast"/>
        </w:trPr>
        <w:tc>
          <w:tcPr>
            <w:tcW w:w="707" w:type="pct"/>
            <w:vAlign w:val="center"/>
          </w:tcPr>
          <w:p w14:paraId="724CD774">
            <w:pPr>
              <w:jc w:val="center"/>
              <w:rPr>
                <w:rFonts w:ascii="Times New Roman" w:hAnsi="Times New Roman" w:cs="Times New Roman"/>
                <w:b/>
                <w:bCs/>
                <w:color w:val="auto"/>
                <w:sz w:val="21"/>
              </w:rPr>
            </w:pPr>
            <w:r>
              <w:rPr>
                <w:rFonts w:ascii="Times New Roman" w:hAnsi="Times New Roman" w:cs="Times New Roman"/>
                <w:b/>
                <w:bCs/>
                <w:color w:val="auto"/>
                <w:sz w:val="21"/>
              </w:rPr>
              <w:t>点号</w:t>
            </w:r>
          </w:p>
        </w:tc>
        <w:tc>
          <w:tcPr>
            <w:tcW w:w="4292" w:type="pct"/>
            <w:vAlign w:val="center"/>
          </w:tcPr>
          <w:p w14:paraId="08F2716F">
            <w:pPr>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val="en-US" w:eastAsia="zh-CN"/>
              </w:rPr>
              <w:t>剖面</w:t>
            </w:r>
            <w:r>
              <w:rPr>
                <w:rFonts w:hint="eastAsia" w:ascii="Times New Roman" w:hAnsi="Times New Roman" w:cs="Times New Roman"/>
                <w:b/>
                <w:bCs/>
                <w:color w:val="auto"/>
                <w:sz w:val="21"/>
                <w:lang w:eastAsia="zh-CN"/>
              </w:rPr>
              <w:t>照片</w:t>
            </w:r>
          </w:p>
        </w:tc>
      </w:tr>
      <w:tr w14:paraId="24C0464C">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707" w:type="pct"/>
            <w:vMerge w:val="restart"/>
            <w:vAlign w:val="center"/>
          </w:tcPr>
          <w:p w14:paraId="04B00468">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T5</w:t>
            </w:r>
            <w:r>
              <w:rPr>
                <w:rFonts w:hint="eastAsia" w:ascii="Times New Roman" w:hAnsi="Times New Roman" w:cs="Times New Roman"/>
                <w:bCs/>
                <w:color w:val="auto"/>
                <w:sz w:val="21"/>
                <w:lang w:eastAsia="zh-CN"/>
              </w:rPr>
              <w:t>（污水处理站）</w:t>
            </w:r>
          </w:p>
        </w:tc>
        <w:tc>
          <w:tcPr>
            <w:tcW w:w="4292" w:type="pct"/>
            <w:vMerge w:val="restart"/>
            <w:tcBorders>
              <w:right w:val="single" w:color="auto" w:sz="4" w:space="0"/>
            </w:tcBorders>
            <w:vAlign w:val="center"/>
          </w:tcPr>
          <w:p w14:paraId="45B62F00">
            <w:pPr>
              <w:jc w:val="center"/>
              <w:rPr>
                <w:color w:val="auto"/>
                <w:lang w:eastAsia="zh-CN"/>
              </w:rPr>
            </w:pPr>
          </w:p>
        </w:tc>
      </w:tr>
      <w:tr w14:paraId="245D709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720" w:hRule="atLeast"/>
        </w:trPr>
        <w:tc>
          <w:tcPr>
            <w:tcW w:w="707" w:type="pct"/>
            <w:vMerge w:val="continue"/>
            <w:vAlign w:val="center"/>
          </w:tcPr>
          <w:p w14:paraId="7F559544">
            <w:pPr>
              <w:jc w:val="center"/>
              <w:rPr>
                <w:rFonts w:ascii="Times New Roman" w:hAnsi="Times New Roman" w:cs="Times New Roman"/>
                <w:color w:val="auto"/>
                <w:sz w:val="21"/>
                <w:lang w:eastAsia="zh-CN"/>
              </w:rPr>
            </w:pPr>
          </w:p>
        </w:tc>
        <w:tc>
          <w:tcPr>
            <w:tcW w:w="4292" w:type="pct"/>
            <w:vMerge w:val="continue"/>
            <w:tcBorders>
              <w:right w:val="single" w:color="auto" w:sz="4" w:space="0"/>
            </w:tcBorders>
            <w:vAlign w:val="center"/>
          </w:tcPr>
          <w:p w14:paraId="114C52BC">
            <w:pPr>
              <w:jc w:val="center"/>
              <w:rPr>
                <w:rFonts w:ascii="Times New Roman" w:hAnsi="Times New Roman" w:cs="Times New Roman"/>
                <w:color w:val="auto"/>
                <w:sz w:val="21"/>
                <w:lang w:eastAsia="zh-CN"/>
              </w:rPr>
            </w:pPr>
          </w:p>
        </w:tc>
      </w:tr>
      <w:tr w14:paraId="270C4F6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707" w:type="pct"/>
            <w:vMerge w:val="continue"/>
            <w:vAlign w:val="center"/>
          </w:tcPr>
          <w:p w14:paraId="2FB45B25">
            <w:pPr>
              <w:jc w:val="center"/>
              <w:rPr>
                <w:rFonts w:ascii="Times New Roman" w:hAnsi="Times New Roman" w:cs="Times New Roman"/>
                <w:color w:val="auto"/>
                <w:sz w:val="21"/>
                <w:lang w:eastAsia="zh-CN"/>
              </w:rPr>
            </w:pPr>
          </w:p>
        </w:tc>
        <w:tc>
          <w:tcPr>
            <w:tcW w:w="4292" w:type="pct"/>
            <w:vMerge w:val="continue"/>
            <w:tcBorders>
              <w:right w:val="single" w:color="auto" w:sz="4" w:space="0"/>
            </w:tcBorders>
            <w:vAlign w:val="center"/>
          </w:tcPr>
          <w:p w14:paraId="35196692">
            <w:pPr>
              <w:jc w:val="center"/>
              <w:rPr>
                <w:rFonts w:ascii="Times New Roman" w:hAnsi="Times New Roman" w:cs="Times New Roman"/>
                <w:color w:val="auto"/>
                <w:sz w:val="21"/>
                <w:lang w:eastAsia="zh-CN"/>
              </w:rPr>
            </w:pPr>
          </w:p>
        </w:tc>
      </w:tr>
    </w:tbl>
    <w:p w14:paraId="37281396">
      <w:pPr>
        <w:pStyle w:val="84"/>
        <w:spacing w:line="360" w:lineRule="auto"/>
        <w:ind w:firstLine="482"/>
        <w:jc w:val="both"/>
        <w:outlineLvl w:val="3"/>
        <w:rPr>
          <w:rFonts w:ascii="Times New Roman" w:hAnsi="Times New Roman" w:cs="Times New Roman"/>
          <w:color w:val="auto"/>
          <w:szCs w:val="24"/>
          <w:lang w:eastAsia="zh-CN"/>
        </w:rPr>
      </w:pPr>
      <w:bookmarkStart w:id="1308" w:name="_Toc16972"/>
      <w:bookmarkStart w:id="1309" w:name="_Toc22066"/>
      <w:r>
        <w:rPr>
          <w:rFonts w:ascii="Times New Roman" w:hAnsi="Times New Roman" w:cs="Times New Roman"/>
          <w:b/>
          <w:bCs/>
          <w:color w:val="auto"/>
          <w:szCs w:val="24"/>
        </w:rPr>
        <w:fldChar w:fldCharType="begin"/>
      </w:r>
      <w:r>
        <w:rPr>
          <w:rFonts w:ascii="Times New Roman" w:hAnsi="Times New Roman" w:cs="Times New Roman"/>
          <w:b/>
          <w:bCs/>
          <w:color w:val="auto"/>
          <w:szCs w:val="24"/>
          <w:lang w:eastAsia="zh-CN"/>
        </w:rPr>
        <w:instrText xml:space="preserve">HYPERLINK "D:\\1、工作\\善宇\\1、环评\\蚌埠\\安徽志一新材料科技有限公司聚合物抗氧剂项目\\4.3.5.2"</w:instrText>
      </w:r>
      <w:r>
        <w:rPr>
          <w:rFonts w:ascii="Times New Roman" w:hAnsi="Times New Roman" w:cs="Times New Roman"/>
          <w:b/>
          <w:bCs/>
          <w:color w:val="auto"/>
          <w:szCs w:val="24"/>
        </w:rPr>
        <w:fldChar w:fldCharType="separate"/>
      </w:r>
      <w:r>
        <w:rPr>
          <w:rFonts w:ascii="Times New Roman" w:hAnsi="Times New Roman" w:cs="Times New Roman"/>
          <w:b/>
          <w:bCs/>
          <w:color w:val="auto"/>
          <w:szCs w:val="24"/>
          <w:lang w:eastAsia="zh-CN"/>
        </w:rPr>
        <w:t>5.2.5.2</w:t>
      </w:r>
      <w:r>
        <w:rPr>
          <w:rFonts w:ascii="Times New Roman" w:hAnsi="Times New Roman" w:cs="Times New Roman"/>
          <w:b/>
          <w:bCs/>
          <w:color w:val="auto"/>
          <w:szCs w:val="24"/>
        </w:rPr>
        <w:fldChar w:fldCharType="end"/>
      </w:r>
      <w:r>
        <w:rPr>
          <w:rFonts w:ascii="Times New Roman" w:hAnsi="Times New Roman" w:cs="Times New Roman"/>
          <w:b/>
          <w:bCs/>
          <w:color w:val="auto"/>
          <w:szCs w:val="24"/>
          <w:lang w:eastAsia="zh-CN"/>
        </w:rPr>
        <w:t xml:space="preserve"> 现状监测</w:t>
      </w:r>
      <w:bookmarkEnd w:id="1308"/>
      <w:bookmarkEnd w:id="1309"/>
    </w:p>
    <w:p w14:paraId="17843B7C">
      <w:pPr>
        <w:spacing w:line="360" w:lineRule="auto"/>
        <w:ind w:firstLine="480" w:firstLineChars="200"/>
        <w:jc w:val="both"/>
        <w:rPr>
          <w:rFonts w:ascii="Times New Roman" w:hAnsi="Times New Roman" w:cs="Times New Roman"/>
          <w:color w:val="auto"/>
          <w:szCs w:val="24"/>
          <w:lang w:eastAsia="zh-CN"/>
        </w:rPr>
      </w:pPr>
      <w:bookmarkStart w:id="1310" w:name="_Toc18303"/>
      <w:bookmarkStart w:id="1311" w:name="_Toc23002"/>
      <w:r>
        <w:rPr>
          <w:rFonts w:hint="eastAsia" w:ascii="Times New Roman" w:hAnsi="Times New Roman" w:cs="Times New Roman"/>
          <w:color w:val="auto"/>
          <w:szCs w:val="24"/>
          <w:lang w:eastAsia="zh-CN"/>
        </w:rPr>
        <w:t>（1）</w:t>
      </w:r>
      <w:r>
        <w:rPr>
          <w:rFonts w:ascii="Times New Roman" w:hAnsi="Times New Roman" w:cs="Times New Roman"/>
          <w:color w:val="auto"/>
          <w:szCs w:val="24"/>
          <w:lang w:eastAsia="zh-CN"/>
        </w:rPr>
        <w:t>监测点位布设</w:t>
      </w:r>
      <w:bookmarkEnd w:id="1310"/>
      <w:bookmarkEnd w:id="1311"/>
    </w:p>
    <w:p w14:paraId="46EABD4B">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为了评价区域土壤本底环</w:t>
      </w:r>
      <w:r>
        <w:rPr>
          <w:rFonts w:ascii="Times New Roman" w:hAnsi="Times New Roman" w:cs="Times New Roman"/>
          <w:color w:val="000000" w:themeColor="text1"/>
          <w:szCs w:val="24"/>
          <w:lang w:eastAsia="zh-CN"/>
          <w14:textFill>
            <w14:solidFill>
              <w14:schemeClr w14:val="tx1"/>
            </w14:solidFill>
          </w14:textFill>
        </w:rPr>
        <w:t>境状况，根据公司厂址区域的土壤地质背景资料并对此进行调查后制定监测方案，项目共布设</w:t>
      </w:r>
      <w:r>
        <w:rPr>
          <w:rFonts w:hint="eastAsia" w:ascii="Times New Roman" w:hAnsi="Times New Roman" w:cs="Times New Roman"/>
          <w:color w:val="000000" w:themeColor="text1"/>
          <w:szCs w:val="24"/>
          <w:lang w:eastAsia="zh-CN"/>
          <w14:textFill>
            <w14:solidFill>
              <w14:schemeClr w14:val="tx1"/>
            </w14:solidFill>
          </w14:textFill>
        </w:rPr>
        <w:t>11</w:t>
      </w:r>
      <w:r>
        <w:rPr>
          <w:rFonts w:ascii="Times New Roman" w:hAnsi="Times New Roman" w:cs="Times New Roman"/>
          <w:color w:val="000000" w:themeColor="text1"/>
          <w:szCs w:val="24"/>
          <w:lang w:eastAsia="zh-CN"/>
          <w14:textFill>
            <w14:solidFill>
              <w14:schemeClr w14:val="tx1"/>
            </w14:solidFill>
          </w14:textFill>
        </w:rPr>
        <w:t>个点位，</w:t>
      </w:r>
      <w:r>
        <w:rPr>
          <w:rFonts w:hint="eastAsia" w:ascii="Times New Roman" w:hAnsi="Times New Roman" w:cs="Times New Roman"/>
          <w:color w:val="000000" w:themeColor="text1"/>
          <w:szCs w:val="24"/>
          <w:lang w:eastAsia="zh-CN"/>
          <w14:textFill>
            <w14:solidFill>
              <w14:schemeClr w14:val="tx1"/>
            </w14:solidFill>
          </w14:textFill>
        </w:rPr>
        <w:t>其中T1～T7、T11</w:t>
      </w:r>
      <w:r>
        <w:rPr>
          <w:rFonts w:ascii="Times New Roman" w:hAnsi="Times New Roman" w:cs="Times New Roman"/>
          <w:color w:val="000000" w:themeColor="text1"/>
          <w:szCs w:val="24"/>
          <w:lang w:eastAsia="zh-CN"/>
          <w14:textFill>
            <w14:solidFill>
              <w14:schemeClr w14:val="tx1"/>
            </w14:solidFill>
          </w14:textFill>
        </w:rPr>
        <w:t>于202</w:t>
      </w:r>
      <w:r>
        <w:rPr>
          <w:rFonts w:hint="eastAsia" w:ascii="Times New Roman" w:hAnsi="Times New Roman" w:cs="Times New Roman"/>
          <w:color w:val="000000" w:themeColor="text1"/>
          <w:szCs w:val="24"/>
          <w:lang w:eastAsia="zh-CN"/>
          <w14:textFill>
            <w14:solidFill>
              <w14:schemeClr w14:val="tx1"/>
            </w14:solidFill>
          </w14:textFill>
        </w:rPr>
        <w:t>6</w:t>
      </w:r>
      <w:r>
        <w:rPr>
          <w:rFonts w:ascii="Times New Roman" w:hAnsi="Times New Roman" w:cs="Times New Roman"/>
          <w:color w:val="000000" w:themeColor="text1"/>
          <w:szCs w:val="24"/>
          <w:lang w:eastAsia="zh-CN"/>
          <w14:textFill>
            <w14:solidFill>
              <w14:schemeClr w14:val="tx1"/>
            </w14:solidFill>
          </w14:textFill>
        </w:rPr>
        <w:t>年</w:t>
      </w:r>
      <w:r>
        <w:rPr>
          <w:rFonts w:hint="eastAsia" w:ascii="Times New Roman" w:hAnsi="Times New Roman" w:cs="Times New Roman"/>
          <w:color w:val="000000" w:themeColor="text1"/>
          <w:szCs w:val="24"/>
          <w:lang w:eastAsia="zh-CN"/>
          <w14:textFill>
            <w14:solidFill>
              <w14:schemeClr w14:val="tx1"/>
            </w14:solidFill>
          </w14:textFill>
        </w:rPr>
        <w:t>6</w:t>
      </w:r>
      <w:r>
        <w:rPr>
          <w:rFonts w:ascii="Times New Roman" w:hAnsi="Times New Roman" w:cs="Times New Roman"/>
          <w:color w:val="000000" w:themeColor="text1"/>
          <w:szCs w:val="24"/>
          <w:lang w:eastAsia="zh-CN"/>
          <w14:textFill>
            <w14:solidFill>
              <w14:schemeClr w14:val="tx1"/>
            </w14:solidFill>
          </w14:textFill>
        </w:rPr>
        <w:t>月</w:t>
      </w:r>
      <w:r>
        <w:rPr>
          <w:rFonts w:hint="eastAsia" w:ascii="Times New Roman" w:hAnsi="Times New Roman" w:cs="Times New Roman"/>
          <w:color w:val="000000" w:themeColor="text1"/>
          <w:szCs w:val="24"/>
          <w:lang w:eastAsia="zh-CN"/>
          <w14:textFill>
            <w14:solidFill>
              <w14:schemeClr w14:val="tx1"/>
            </w14:solidFill>
          </w14:textFill>
        </w:rPr>
        <w:t>7</w:t>
      </w:r>
      <w:r>
        <w:rPr>
          <w:rFonts w:ascii="Times New Roman" w:hAnsi="Times New Roman" w:cs="Times New Roman"/>
          <w:color w:val="000000" w:themeColor="text1"/>
          <w:szCs w:val="24"/>
          <w:lang w:eastAsia="zh-CN"/>
          <w14:textFill>
            <w14:solidFill>
              <w14:schemeClr w14:val="tx1"/>
            </w14:solidFill>
          </w14:textFill>
        </w:rPr>
        <w:t>日</w:t>
      </w:r>
      <w:r>
        <w:rPr>
          <w:rFonts w:hint="eastAsia" w:ascii="Times New Roman" w:hAnsi="Times New Roman" w:cs="Times New Roman"/>
          <w:color w:val="000000" w:themeColor="text1"/>
          <w:szCs w:val="24"/>
          <w:lang w:eastAsia="zh-CN"/>
          <w14:textFill>
            <w14:solidFill>
              <w14:schemeClr w14:val="tx1"/>
            </w14:solidFill>
          </w14:textFill>
        </w:rPr>
        <w:t>～8日</w:t>
      </w:r>
      <w:r>
        <w:rPr>
          <w:rFonts w:ascii="Times New Roman" w:hAnsi="Times New Roman" w:cs="Times New Roman"/>
          <w:color w:val="000000" w:themeColor="text1"/>
          <w:szCs w:val="24"/>
          <w:lang w:eastAsia="zh-CN"/>
          <w14:textFill>
            <w14:solidFill>
              <w14:schemeClr w14:val="tx1"/>
            </w14:solidFill>
          </w14:textFill>
        </w:rPr>
        <w:t>委托</w:t>
      </w:r>
      <w:r>
        <w:rPr>
          <w:rFonts w:hint="eastAsia" w:ascii="Times New Roman" w:hAnsi="Times New Roman" w:cs="Times New Roman"/>
          <w:color w:val="000000" w:themeColor="text1"/>
          <w:lang w:eastAsia="zh-CN"/>
          <w14:textFill>
            <w14:solidFill>
              <w14:schemeClr w14:val="tx1"/>
            </w14:solidFill>
          </w14:textFill>
        </w:rPr>
        <w:t>安徽实朴检测技术服务有限公司</w:t>
      </w:r>
      <w:r>
        <w:rPr>
          <w:rFonts w:ascii="Times New Roman" w:hAnsi="Times New Roman" w:cs="Times New Roman"/>
          <w:color w:val="000000" w:themeColor="text1"/>
          <w:szCs w:val="24"/>
          <w:lang w:eastAsia="zh-CN"/>
          <w14:textFill>
            <w14:solidFill>
              <w14:schemeClr w14:val="tx1"/>
            </w14:solidFill>
          </w14:textFill>
        </w:rPr>
        <w:t>进行检测</w:t>
      </w:r>
      <w:r>
        <w:rPr>
          <w:rFonts w:hint="eastAsia" w:ascii="Times New Roman" w:hAnsi="Times New Roman" w:cs="Times New Roman"/>
          <w:color w:val="000000" w:themeColor="text1"/>
          <w:szCs w:val="24"/>
          <w:lang w:eastAsia="zh-CN"/>
          <w14:textFill>
            <w14:solidFill>
              <w14:schemeClr w14:val="tx1"/>
            </w14:solidFill>
          </w14:textFill>
        </w:rPr>
        <w:t>，T8、T1</w:t>
      </w:r>
      <w:r>
        <w:rPr>
          <w:rFonts w:hint="eastAsia" w:ascii="Times New Roman" w:hAnsi="Times New Roman" w:cs="Times New Roman"/>
          <w:color w:val="auto"/>
          <w:szCs w:val="24"/>
          <w:lang w:eastAsia="zh-CN"/>
        </w:rPr>
        <w:t>0引用《安徽新洋丰农业科技有限公司100万吨/年新型作物专用肥项目</w:t>
      </w:r>
      <w:r>
        <w:rPr>
          <w:rFonts w:ascii="Times New Roman" w:hAnsi="Times New Roman" w:cs="Times New Roman"/>
          <w:color w:val="auto"/>
          <w:szCs w:val="24"/>
          <w:lang w:eastAsia="zh-CN"/>
        </w:rPr>
        <w:t>环境影响报告书</w:t>
      </w:r>
      <w:r>
        <w:rPr>
          <w:rFonts w:hint="eastAsia" w:ascii="Times New Roman" w:hAnsi="Times New Roman" w:cs="Times New Roman"/>
          <w:color w:val="auto"/>
          <w:szCs w:val="24"/>
          <w:lang w:eastAsia="zh-CN"/>
        </w:rPr>
        <w:t>》中数据，监测时间为2025年11月6日；T9引用《安徽海华科技集团有限公司10000吨间甲酚车间环保技改项目</w:t>
      </w:r>
      <w:r>
        <w:rPr>
          <w:rFonts w:ascii="Times New Roman" w:hAnsi="Times New Roman" w:cs="Times New Roman"/>
          <w:color w:val="auto"/>
          <w:szCs w:val="24"/>
          <w:lang w:eastAsia="zh-CN"/>
        </w:rPr>
        <w:t>环境影响报告书</w:t>
      </w:r>
      <w:r>
        <w:rPr>
          <w:rFonts w:hint="eastAsia" w:ascii="Times New Roman" w:hAnsi="Times New Roman" w:cs="Times New Roman"/>
          <w:color w:val="auto"/>
          <w:szCs w:val="24"/>
          <w:lang w:eastAsia="zh-CN"/>
        </w:rPr>
        <w:t>》中数据，监测时间为2025年11月，</w:t>
      </w:r>
      <w:r>
        <w:rPr>
          <w:rFonts w:ascii="Times New Roman" w:hAnsi="Times New Roman" w:cs="Times New Roman"/>
          <w:color w:val="auto"/>
          <w:szCs w:val="24"/>
          <w:lang w:eastAsia="zh-CN"/>
        </w:rPr>
        <w:t>监测点的布设情况见下表和图所示。</w:t>
      </w:r>
    </w:p>
    <w:p w14:paraId="366CB765">
      <w:pPr>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表5.2-1</w:t>
      </w:r>
      <w:r>
        <w:rPr>
          <w:rFonts w:hint="eastAsia" w:ascii="Times New Roman" w:hAnsi="Times New Roman" w:cs="Times New Roman"/>
          <w:b/>
          <w:bCs/>
          <w:color w:val="auto"/>
          <w:szCs w:val="24"/>
          <w:lang w:eastAsia="zh-CN"/>
        </w:rPr>
        <w:t>8</w:t>
      </w:r>
      <w:r>
        <w:rPr>
          <w:rFonts w:ascii="Times New Roman" w:hAnsi="Times New Roman" w:cs="Times New Roman"/>
          <w:b/>
          <w:bCs/>
          <w:color w:val="auto"/>
          <w:szCs w:val="24"/>
          <w:lang w:eastAsia="zh-CN"/>
        </w:rPr>
        <w:t xml:space="preserve">  土壤环境质量现状监测点位一览表</w:t>
      </w:r>
    </w:p>
    <w:tbl>
      <w:tblPr>
        <w:tblStyle w:val="35"/>
        <w:tblW w:w="907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28" w:type="dxa"/>
          <w:left w:w="51" w:type="dxa"/>
          <w:bottom w:w="28" w:type="dxa"/>
          <w:right w:w="51" w:type="dxa"/>
        </w:tblCellMar>
      </w:tblPr>
      <w:tblGrid>
        <w:gridCol w:w="567"/>
        <w:gridCol w:w="1234"/>
        <w:gridCol w:w="2016"/>
        <w:gridCol w:w="5254"/>
      </w:tblGrid>
      <w:tr w14:paraId="73B7A0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51" w:type="dxa"/>
            <w:bottom w:w="28" w:type="dxa"/>
            <w:right w:w="51" w:type="dxa"/>
          </w:tblCellMar>
        </w:tblPrEx>
        <w:trPr>
          <w:jc w:val="center"/>
        </w:trPr>
        <w:tc>
          <w:tcPr>
            <w:tcW w:w="313" w:type="pct"/>
            <w:vAlign w:val="center"/>
          </w:tcPr>
          <w:p w14:paraId="03C46CAB">
            <w:pPr>
              <w:jc w:val="center"/>
              <w:rPr>
                <w:rFonts w:ascii="Times New Roman" w:hAnsi="Times New Roman" w:cs="Times New Roman"/>
                <w:b/>
                <w:bCs/>
                <w:color w:val="auto"/>
                <w:sz w:val="21"/>
              </w:rPr>
            </w:pPr>
            <w:r>
              <w:rPr>
                <w:rFonts w:ascii="Times New Roman" w:hAnsi="Times New Roman" w:cs="Times New Roman"/>
                <w:b/>
                <w:bCs/>
                <w:color w:val="auto"/>
                <w:sz w:val="21"/>
              </w:rPr>
              <w:t>编号</w:t>
            </w:r>
          </w:p>
        </w:tc>
        <w:tc>
          <w:tcPr>
            <w:tcW w:w="680" w:type="pct"/>
            <w:vAlign w:val="center"/>
          </w:tcPr>
          <w:p w14:paraId="2189A0D5">
            <w:pPr>
              <w:jc w:val="center"/>
              <w:rPr>
                <w:rFonts w:ascii="Times New Roman" w:hAnsi="Times New Roman" w:cs="Times New Roman"/>
                <w:b/>
                <w:bCs/>
                <w:color w:val="auto"/>
                <w:sz w:val="21"/>
              </w:rPr>
            </w:pPr>
            <w:r>
              <w:rPr>
                <w:rFonts w:ascii="Times New Roman" w:hAnsi="Times New Roman" w:cs="Times New Roman"/>
                <w:b/>
                <w:bCs/>
                <w:color w:val="auto"/>
                <w:sz w:val="21"/>
              </w:rPr>
              <w:t>监测点位</w:t>
            </w:r>
          </w:p>
        </w:tc>
        <w:tc>
          <w:tcPr>
            <w:tcW w:w="1111" w:type="pct"/>
            <w:vAlign w:val="center"/>
          </w:tcPr>
          <w:p w14:paraId="37EBD482">
            <w:pPr>
              <w:jc w:val="center"/>
              <w:rPr>
                <w:rFonts w:ascii="Times New Roman" w:hAnsi="Times New Roman" w:cs="Times New Roman"/>
                <w:b/>
                <w:bCs/>
                <w:color w:val="auto"/>
                <w:sz w:val="21"/>
              </w:rPr>
            </w:pPr>
            <w:r>
              <w:rPr>
                <w:rFonts w:ascii="Times New Roman" w:hAnsi="Times New Roman" w:cs="Times New Roman"/>
                <w:b/>
                <w:bCs/>
                <w:color w:val="auto"/>
                <w:sz w:val="21"/>
              </w:rPr>
              <w:t>采样点</w:t>
            </w:r>
          </w:p>
        </w:tc>
        <w:tc>
          <w:tcPr>
            <w:tcW w:w="2896" w:type="pct"/>
            <w:vAlign w:val="center"/>
          </w:tcPr>
          <w:p w14:paraId="6D4463DA">
            <w:pPr>
              <w:jc w:val="center"/>
              <w:rPr>
                <w:rFonts w:ascii="Times New Roman" w:hAnsi="Times New Roman" w:cs="Times New Roman"/>
                <w:b/>
                <w:bCs/>
                <w:color w:val="auto"/>
                <w:sz w:val="21"/>
              </w:rPr>
            </w:pPr>
            <w:r>
              <w:rPr>
                <w:rFonts w:ascii="Times New Roman" w:hAnsi="Times New Roman" w:cs="Times New Roman"/>
                <w:b/>
                <w:bCs/>
                <w:color w:val="auto"/>
                <w:sz w:val="21"/>
              </w:rPr>
              <w:t>监测因子</w:t>
            </w:r>
          </w:p>
        </w:tc>
      </w:tr>
      <w:tr w14:paraId="7DF25F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51" w:type="dxa"/>
            <w:bottom w:w="28" w:type="dxa"/>
            <w:right w:w="51" w:type="dxa"/>
          </w:tblCellMar>
        </w:tblPrEx>
        <w:trPr>
          <w:jc w:val="center"/>
        </w:trPr>
        <w:tc>
          <w:tcPr>
            <w:tcW w:w="313" w:type="pct"/>
            <w:vAlign w:val="center"/>
          </w:tcPr>
          <w:p w14:paraId="668A98A0">
            <w:pPr>
              <w:jc w:val="center"/>
              <w:textAlignment w:val="center"/>
              <w:rPr>
                <w:rFonts w:ascii="Times New Roman" w:hAnsi="Times New Roman" w:cs="Times New Roman"/>
                <w:color w:val="auto"/>
                <w:sz w:val="21"/>
              </w:rPr>
            </w:pPr>
            <w:r>
              <w:rPr>
                <w:rFonts w:ascii="Times New Roman" w:hAnsi="Times New Roman" w:cs="Times New Roman"/>
                <w:bCs/>
                <w:color w:val="auto"/>
                <w:sz w:val="21"/>
              </w:rPr>
              <w:t>T1</w:t>
            </w:r>
          </w:p>
        </w:tc>
        <w:tc>
          <w:tcPr>
            <w:tcW w:w="680" w:type="pct"/>
            <w:vAlign w:val="center"/>
          </w:tcPr>
          <w:p w14:paraId="6E0E1DF2">
            <w:pPr>
              <w:jc w:val="center"/>
              <w:rPr>
                <w:rFonts w:ascii="Times New Roman" w:hAnsi="Times New Roman" w:cs="Times New Roman"/>
                <w:color w:val="auto"/>
                <w:sz w:val="21"/>
              </w:rPr>
            </w:pPr>
            <w:r>
              <w:rPr>
                <w:rFonts w:hint="eastAsia" w:ascii="Times New Roman" w:hAnsi="Times New Roman" w:cs="Times New Roman"/>
                <w:bCs/>
                <w:color w:val="auto"/>
                <w:sz w:val="21"/>
                <w:lang w:eastAsia="zh-CN"/>
              </w:rPr>
              <w:t>拟建戊类罐区二</w:t>
            </w:r>
          </w:p>
        </w:tc>
        <w:tc>
          <w:tcPr>
            <w:tcW w:w="1111" w:type="pct"/>
            <w:vMerge w:val="restart"/>
            <w:vAlign w:val="center"/>
          </w:tcPr>
          <w:p w14:paraId="1C9165E9">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占地范围内</w:t>
            </w:r>
          </w:p>
          <w:p w14:paraId="46CDE6CB">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0~0.5m处柱状样</w:t>
            </w:r>
          </w:p>
          <w:p w14:paraId="641BCB31">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0.5~1.5m处柱状样</w:t>
            </w:r>
          </w:p>
          <w:p w14:paraId="2E9FB55E">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1.5~3m处柱状样</w:t>
            </w:r>
          </w:p>
        </w:tc>
        <w:tc>
          <w:tcPr>
            <w:tcW w:w="2896" w:type="pct"/>
            <w:vAlign w:val="center"/>
          </w:tcPr>
          <w:p w14:paraId="3FFD92B7">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pH、</w:t>
            </w:r>
            <w:r>
              <w:rPr>
                <w:rFonts w:ascii="Times New Roman" w:hAnsi="Times New Roman" w:cs="Times New Roman"/>
                <w:color w:val="auto"/>
                <w:sz w:val="21"/>
                <w:lang w:eastAsia="zh-CN"/>
              </w:rPr>
              <w:t>汞、砷、铜、铅、镉、镍、六价铬、四氯化碳、氯仿、氯甲烷、1,1-二氯乙烷、1,2-二氯乙烷、1,1-二氯乙烯、顺-1,2-二氯乙烯、反-1,2-二氯乙烯、二氯甲烷、1,2-二氯丙烷、1,1,1,2-四氯乙烷、1,1,2,2-四氯乙烷、四氯乙烯、1,1,1-三氯乙烷、1,1,2-三氯乙烷、三氯乙烯、1,2,3-三氯丙烷、氯乙烯、苯、氯苯、1,2-二氯苯、1,4-二氯苯、乙苯、苯乙烯、甲苯、间二甲苯+对二甲苯、邻二甲苯、硝基苯、苯胺、2-氯酚、苯并[a]蒽、苯并[a]芘、苯并[b]荧蒽、苯并[k]荧蒽、䓛、二苯并[a,h]蒽、茚并[1,2,3-cd]芘、萘</w:t>
            </w:r>
          </w:p>
        </w:tc>
      </w:tr>
      <w:tr w14:paraId="3AAD28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51" w:type="dxa"/>
            <w:bottom w:w="28" w:type="dxa"/>
            <w:right w:w="51" w:type="dxa"/>
          </w:tblCellMar>
        </w:tblPrEx>
        <w:trPr>
          <w:jc w:val="center"/>
        </w:trPr>
        <w:tc>
          <w:tcPr>
            <w:tcW w:w="313" w:type="pct"/>
            <w:vAlign w:val="center"/>
          </w:tcPr>
          <w:p w14:paraId="565330B0">
            <w:pPr>
              <w:jc w:val="center"/>
              <w:textAlignment w:val="center"/>
              <w:rPr>
                <w:rFonts w:ascii="Times New Roman" w:hAnsi="Times New Roman" w:cs="Times New Roman"/>
                <w:color w:val="auto"/>
                <w:sz w:val="21"/>
              </w:rPr>
            </w:pPr>
            <w:r>
              <w:rPr>
                <w:rFonts w:ascii="Times New Roman" w:hAnsi="Times New Roman" w:cs="Times New Roman"/>
                <w:bCs/>
                <w:color w:val="auto"/>
                <w:sz w:val="21"/>
              </w:rPr>
              <w:t>T2</w:t>
            </w:r>
          </w:p>
        </w:tc>
        <w:tc>
          <w:tcPr>
            <w:tcW w:w="680" w:type="pct"/>
          </w:tcPr>
          <w:p w14:paraId="507FC6B3">
            <w:pPr>
              <w:jc w:val="center"/>
              <w:rPr>
                <w:rFonts w:ascii="Times New Roman" w:hAnsi="Times New Roman" w:cs="Times New Roman"/>
                <w:color w:val="auto"/>
                <w:sz w:val="21"/>
              </w:rPr>
            </w:pPr>
            <w:r>
              <w:rPr>
                <w:rFonts w:hint="eastAsia" w:ascii="Times New Roman" w:hAnsi="Times New Roman" w:cs="Times New Roman"/>
                <w:bCs/>
                <w:color w:val="auto"/>
                <w:sz w:val="21"/>
                <w:lang w:eastAsia="zh-CN"/>
              </w:rPr>
              <w:t>现状综合车间</w:t>
            </w:r>
          </w:p>
        </w:tc>
        <w:tc>
          <w:tcPr>
            <w:tcW w:w="1111" w:type="pct"/>
            <w:vMerge w:val="continue"/>
            <w:vAlign w:val="center"/>
          </w:tcPr>
          <w:p w14:paraId="6164F2C1">
            <w:pPr>
              <w:jc w:val="center"/>
              <w:rPr>
                <w:rFonts w:ascii="Times New Roman" w:hAnsi="Times New Roman" w:cs="Times New Roman"/>
                <w:color w:val="auto"/>
                <w:sz w:val="21"/>
                <w:lang w:eastAsia="zh-CN"/>
              </w:rPr>
            </w:pPr>
          </w:p>
        </w:tc>
        <w:tc>
          <w:tcPr>
            <w:tcW w:w="2896" w:type="pct"/>
            <w:vMerge w:val="restart"/>
            <w:vAlign w:val="center"/>
          </w:tcPr>
          <w:p w14:paraId="78C1B798">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bidi="ar"/>
              </w:rPr>
              <w:t>pH、</w:t>
            </w:r>
            <w:r>
              <w:rPr>
                <w:rFonts w:ascii="Times New Roman" w:hAnsi="Times New Roman" w:cs="Times New Roman"/>
                <w:color w:val="auto"/>
                <w:sz w:val="21"/>
                <w:lang w:eastAsia="zh-CN" w:bidi="ar"/>
              </w:rPr>
              <w:t>砷、汞、铅、镉、铬（六价）、铜、镍</w:t>
            </w:r>
          </w:p>
        </w:tc>
      </w:tr>
      <w:tr w14:paraId="28EEC0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51" w:type="dxa"/>
            <w:bottom w:w="28" w:type="dxa"/>
            <w:right w:w="51" w:type="dxa"/>
          </w:tblCellMar>
        </w:tblPrEx>
        <w:trPr>
          <w:jc w:val="center"/>
        </w:trPr>
        <w:tc>
          <w:tcPr>
            <w:tcW w:w="313" w:type="pct"/>
            <w:vAlign w:val="center"/>
          </w:tcPr>
          <w:p w14:paraId="2C4339BB">
            <w:pPr>
              <w:jc w:val="center"/>
              <w:textAlignment w:val="center"/>
              <w:rPr>
                <w:rFonts w:ascii="Times New Roman" w:hAnsi="Times New Roman" w:cs="Times New Roman"/>
                <w:bCs/>
                <w:color w:val="auto"/>
                <w:sz w:val="21"/>
                <w:lang w:eastAsia="zh-CN"/>
              </w:rPr>
            </w:pPr>
            <w:r>
              <w:rPr>
                <w:rFonts w:hint="eastAsia" w:ascii="Times New Roman" w:hAnsi="Times New Roman" w:cs="Times New Roman"/>
                <w:bCs/>
                <w:color w:val="auto"/>
                <w:sz w:val="21"/>
                <w:lang w:eastAsia="zh-CN"/>
              </w:rPr>
              <w:t>T3</w:t>
            </w:r>
          </w:p>
        </w:tc>
        <w:tc>
          <w:tcPr>
            <w:tcW w:w="680" w:type="pct"/>
          </w:tcPr>
          <w:p w14:paraId="2A0A93CD">
            <w:pPr>
              <w:jc w:val="center"/>
              <w:rPr>
                <w:rFonts w:ascii="Times New Roman" w:hAnsi="Times New Roman" w:cs="Times New Roman"/>
                <w:bCs/>
                <w:color w:val="auto"/>
                <w:sz w:val="21"/>
                <w:lang w:eastAsia="zh-CN"/>
              </w:rPr>
            </w:pPr>
            <w:r>
              <w:rPr>
                <w:rFonts w:hint="eastAsia" w:ascii="Times New Roman" w:hAnsi="Times New Roman" w:cs="Times New Roman"/>
                <w:bCs/>
                <w:color w:val="auto"/>
                <w:sz w:val="21"/>
                <w:lang w:eastAsia="zh-CN"/>
              </w:rPr>
              <w:t>现状原料及产品罐区</w:t>
            </w:r>
          </w:p>
        </w:tc>
        <w:tc>
          <w:tcPr>
            <w:tcW w:w="1111" w:type="pct"/>
            <w:vMerge w:val="continue"/>
            <w:vAlign w:val="center"/>
          </w:tcPr>
          <w:p w14:paraId="72D4E348">
            <w:pPr>
              <w:jc w:val="center"/>
              <w:rPr>
                <w:rFonts w:ascii="Times New Roman" w:hAnsi="Times New Roman" w:cs="Times New Roman"/>
                <w:color w:val="auto"/>
                <w:sz w:val="21"/>
                <w:lang w:eastAsia="zh-CN"/>
              </w:rPr>
            </w:pPr>
          </w:p>
        </w:tc>
        <w:tc>
          <w:tcPr>
            <w:tcW w:w="2896" w:type="pct"/>
            <w:vMerge w:val="continue"/>
            <w:vAlign w:val="center"/>
          </w:tcPr>
          <w:p w14:paraId="6C2029C1">
            <w:pPr>
              <w:jc w:val="center"/>
              <w:rPr>
                <w:rFonts w:ascii="Times New Roman" w:hAnsi="Times New Roman" w:cs="Times New Roman"/>
                <w:color w:val="auto"/>
                <w:sz w:val="21"/>
                <w:lang w:eastAsia="zh-CN" w:bidi="ar"/>
              </w:rPr>
            </w:pPr>
          </w:p>
        </w:tc>
      </w:tr>
      <w:tr w14:paraId="2CE2B6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51" w:type="dxa"/>
            <w:bottom w:w="28" w:type="dxa"/>
            <w:right w:w="51" w:type="dxa"/>
          </w:tblCellMar>
        </w:tblPrEx>
        <w:trPr>
          <w:jc w:val="center"/>
        </w:trPr>
        <w:tc>
          <w:tcPr>
            <w:tcW w:w="313" w:type="pct"/>
            <w:vAlign w:val="center"/>
          </w:tcPr>
          <w:p w14:paraId="53F20DEF">
            <w:pPr>
              <w:jc w:val="center"/>
              <w:textAlignment w:val="center"/>
              <w:rPr>
                <w:rFonts w:ascii="Times New Roman" w:hAnsi="Times New Roman" w:cs="Times New Roman"/>
                <w:bCs/>
                <w:color w:val="auto"/>
                <w:sz w:val="21"/>
                <w:lang w:eastAsia="zh-CN"/>
              </w:rPr>
            </w:pPr>
            <w:r>
              <w:rPr>
                <w:rFonts w:hint="eastAsia" w:ascii="Times New Roman" w:hAnsi="Times New Roman" w:cs="Times New Roman"/>
                <w:bCs/>
                <w:color w:val="auto"/>
                <w:sz w:val="21"/>
                <w:lang w:eastAsia="zh-CN"/>
              </w:rPr>
              <w:t>T4</w:t>
            </w:r>
          </w:p>
        </w:tc>
        <w:tc>
          <w:tcPr>
            <w:tcW w:w="680" w:type="pct"/>
            <w:vAlign w:val="center"/>
          </w:tcPr>
          <w:p w14:paraId="080D78A6">
            <w:pPr>
              <w:jc w:val="center"/>
              <w:rPr>
                <w:rFonts w:ascii="Times New Roman" w:hAnsi="Times New Roman" w:cs="Times New Roman"/>
                <w:bCs/>
                <w:color w:val="auto"/>
                <w:sz w:val="21"/>
                <w:lang w:eastAsia="zh-CN"/>
              </w:rPr>
            </w:pPr>
            <w:r>
              <w:rPr>
                <w:rFonts w:hint="eastAsia" w:ascii="Times New Roman" w:hAnsi="Times New Roman" w:cs="Times New Roman"/>
                <w:bCs/>
                <w:color w:val="auto"/>
                <w:sz w:val="21"/>
                <w:lang w:eastAsia="zh-CN"/>
              </w:rPr>
              <w:t>刻蚀液混配车间</w:t>
            </w:r>
          </w:p>
        </w:tc>
        <w:tc>
          <w:tcPr>
            <w:tcW w:w="1111" w:type="pct"/>
            <w:vMerge w:val="continue"/>
            <w:vAlign w:val="center"/>
          </w:tcPr>
          <w:p w14:paraId="07DA1E39">
            <w:pPr>
              <w:jc w:val="center"/>
              <w:rPr>
                <w:rFonts w:ascii="Times New Roman" w:hAnsi="Times New Roman" w:cs="Times New Roman"/>
                <w:color w:val="auto"/>
                <w:sz w:val="21"/>
                <w:lang w:eastAsia="zh-CN"/>
              </w:rPr>
            </w:pPr>
          </w:p>
        </w:tc>
        <w:tc>
          <w:tcPr>
            <w:tcW w:w="2896" w:type="pct"/>
            <w:vMerge w:val="continue"/>
            <w:vAlign w:val="center"/>
          </w:tcPr>
          <w:p w14:paraId="55C620BC">
            <w:pPr>
              <w:jc w:val="center"/>
              <w:rPr>
                <w:rFonts w:ascii="Times New Roman" w:hAnsi="Times New Roman" w:cs="Times New Roman"/>
                <w:color w:val="auto"/>
                <w:sz w:val="21"/>
                <w:lang w:eastAsia="zh-CN" w:bidi="ar"/>
              </w:rPr>
            </w:pPr>
          </w:p>
        </w:tc>
      </w:tr>
      <w:tr w14:paraId="49BF0D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51" w:type="dxa"/>
            <w:bottom w:w="28" w:type="dxa"/>
            <w:right w:w="51" w:type="dxa"/>
          </w:tblCellMar>
        </w:tblPrEx>
        <w:trPr>
          <w:jc w:val="center"/>
        </w:trPr>
        <w:tc>
          <w:tcPr>
            <w:tcW w:w="313" w:type="pct"/>
            <w:vAlign w:val="center"/>
          </w:tcPr>
          <w:p w14:paraId="57B92083">
            <w:pPr>
              <w:jc w:val="center"/>
              <w:textAlignment w:val="center"/>
              <w:rPr>
                <w:rFonts w:ascii="Times New Roman" w:hAnsi="Times New Roman" w:cs="Times New Roman"/>
                <w:bCs/>
                <w:color w:val="auto"/>
                <w:sz w:val="21"/>
                <w:lang w:eastAsia="zh-CN"/>
              </w:rPr>
            </w:pPr>
            <w:r>
              <w:rPr>
                <w:rFonts w:hint="eastAsia" w:ascii="Times New Roman" w:hAnsi="Times New Roman" w:cs="Times New Roman"/>
                <w:bCs/>
                <w:color w:val="auto"/>
                <w:sz w:val="21"/>
                <w:lang w:eastAsia="zh-CN"/>
              </w:rPr>
              <w:t>T5</w:t>
            </w:r>
          </w:p>
        </w:tc>
        <w:tc>
          <w:tcPr>
            <w:tcW w:w="680" w:type="pct"/>
            <w:vAlign w:val="center"/>
          </w:tcPr>
          <w:p w14:paraId="74211EA6">
            <w:pPr>
              <w:jc w:val="center"/>
              <w:rPr>
                <w:rFonts w:ascii="Times New Roman" w:hAnsi="Times New Roman" w:cs="Times New Roman"/>
                <w:bCs/>
                <w:color w:val="auto"/>
                <w:sz w:val="21"/>
                <w:lang w:eastAsia="zh-CN"/>
              </w:rPr>
            </w:pPr>
            <w:r>
              <w:rPr>
                <w:rFonts w:hint="eastAsia" w:ascii="Times New Roman" w:hAnsi="Times New Roman" w:cs="Times New Roman"/>
                <w:bCs/>
                <w:color w:val="auto"/>
                <w:sz w:val="21"/>
                <w:lang w:eastAsia="zh-CN"/>
              </w:rPr>
              <w:t>现状污水处理站</w:t>
            </w:r>
          </w:p>
        </w:tc>
        <w:tc>
          <w:tcPr>
            <w:tcW w:w="1111" w:type="pct"/>
            <w:vMerge w:val="continue"/>
            <w:vAlign w:val="center"/>
          </w:tcPr>
          <w:p w14:paraId="35A1B713">
            <w:pPr>
              <w:jc w:val="center"/>
              <w:rPr>
                <w:rFonts w:ascii="Times New Roman" w:hAnsi="Times New Roman" w:cs="Times New Roman"/>
                <w:color w:val="auto"/>
                <w:sz w:val="21"/>
                <w:lang w:eastAsia="zh-CN"/>
              </w:rPr>
            </w:pPr>
          </w:p>
        </w:tc>
        <w:tc>
          <w:tcPr>
            <w:tcW w:w="2896" w:type="pct"/>
            <w:vMerge w:val="continue"/>
            <w:vAlign w:val="center"/>
          </w:tcPr>
          <w:p w14:paraId="17F9159E">
            <w:pPr>
              <w:jc w:val="center"/>
              <w:rPr>
                <w:rFonts w:ascii="Times New Roman" w:hAnsi="Times New Roman" w:cs="Times New Roman"/>
                <w:color w:val="auto"/>
                <w:sz w:val="21"/>
                <w:lang w:eastAsia="zh-CN" w:bidi="ar"/>
              </w:rPr>
            </w:pPr>
          </w:p>
        </w:tc>
      </w:tr>
      <w:tr w14:paraId="3927DC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51" w:type="dxa"/>
            <w:bottom w:w="28" w:type="dxa"/>
            <w:right w:w="51" w:type="dxa"/>
          </w:tblCellMar>
        </w:tblPrEx>
        <w:trPr>
          <w:jc w:val="center"/>
        </w:trPr>
        <w:tc>
          <w:tcPr>
            <w:tcW w:w="313" w:type="pct"/>
            <w:vAlign w:val="center"/>
          </w:tcPr>
          <w:p w14:paraId="1FE9084D">
            <w:pPr>
              <w:jc w:val="center"/>
              <w:textAlignment w:val="center"/>
              <w:rPr>
                <w:rFonts w:ascii="Times New Roman" w:hAnsi="Times New Roman" w:cs="Times New Roman"/>
                <w:color w:val="auto"/>
                <w:sz w:val="21"/>
                <w:lang w:eastAsia="zh-CN"/>
              </w:rPr>
            </w:pPr>
            <w:r>
              <w:rPr>
                <w:rFonts w:ascii="Times New Roman" w:hAnsi="Times New Roman" w:cs="Times New Roman"/>
                <w:bCs/>
                <w:color w:val="auto"/>
                <w:sz w:val="21"/>
              </w:rPr>
              <w:t>T</w:t>
            </w:r>
            <w:r>
              <w:rPr>
                <w:rFonts w:hint="eastAsia" w:ascii="Times New Roman" w:hAnsi="Times New Roman" w:cs="Times New Roman"/>
                <w:bCs/>
                <w:color w:val="auto"/>
                <w:sz w:val="21"/>
                <w:lang w:eastAsia="zh-CN"/>
              </w:rPr>
              <w:t>6</w:t>
            </w:r>
          </w:p>
        </w:tc>
        <w:tc>
          <w:tcPr>
            <w:tcW w:w="680" w:type="pct"/>
            <w:vAlign w:val="center"/>
          </w:tcPr>
          <w:p w14:paraId="49F0400C">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丁类仓库</w:t>
            </w:r>
          </w:p>
        </w:tc>
        <w:tc>
          <w:tcPr>
            <w:tcW w:w="1111" w:type="pct"/>
            <w:vMerge w:val="restart"/>
            <w:vAlign w:val="center"/>
          </w:tcPr>
          <w:p w14:paraId="06647B85">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占地范围内</w:t>
            </w:r>
          </w:p>
          <w:p w14:paraId="39BC06D4">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0~0.</w:t>
            </w:r>
            <w:r>
              <w:rPr>
                <w:rFonts w:hint="eastAsia" w:ascii="Times New Roman" w:hAnsi="Times New Roman" w:cs="Times New Roman"/>
                <w:color w:val="auto"/>
                <w:sz w:val="21"/>
                <w:lang w:eastAsia="zh-CN"/>
              </w:rPr>
              <w:t>2</w:t>
            </w:r>
            <w:r>
              <w:rPr>
                <w:rFonts w:ascii="Times New Roman" w:hAnsi="Times New Roman" w:cs="Times New Roman"/>
                <w:color w:val="auto"/>
                <w:sz w:val="21"/>
                <w:lang w:eastAsia="zh-CN"/>
              </w:rPr>
              <w:t>m处表层样</w:t>
            </w:r>
          </w:p>
        </w:tc>
        <w:tc>
          <w:tcPr>
            <w:tcW w:w="2896" w:type="pct"/>
            <w:vAlign w:val="center"/>
          </w:tcPr>
          <w:p w14:paraId="7D5ECE93">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bidi="ar"/>
              </w:rPr>
              <w:t>pH、</w:t>
            </w:r>
            <w:r>
              <w:rPr>
                <w:rFonts w:ascii="Times New Roman" w:hAnsi="Times New Roman" w:cs="Times New Roman"/>
                <w:color w:val="auto"/>
                <w:sz w:val="21"/>
                <w:lang w:eastAsia="zh-CN" w:bidi="ar"/>
              </w:rPr>
              <w:t>砷、汞、铅、镉、铬（六价）、铜、镍</w:t>
            </w:r>
          </w:p>
        </w:tc>
      </w:tr>
      <w:tr w14:paraId="2C12C7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51" w:type="dxa"/>
            <w:bottom w:w="28" w:type="dxa"/>
            <w:right w:w="51" w:type="dxa"/>
          </w:tblCellMar>
        </w:tblPrEx>
        <w:trPr>
          <w:jc w:val="center"/>
        </w:trPr>
        <w:tc>
          <w:tcPr>
            <w:tcW w:w="313" w:type="pct"/>
            <w:vAlign w:val="center"/>
          </w:tcPr>
          <w:p w14:paraId="49399762">
            <w:pPr>
              <w:jc w:val="center"/>
              <w:textAlignment w:val="center"/>
              <w:rPr>
                <w:rFonts w:ascii="Times New Roman" w:hAnsi="Times New Roman" w:cs="Times New Roman"/>
                <w:color w:val="auto"/>
                <w:sz w:val="21"/>
                <w:lang w:eastAsia="zh-CN"/>
              </w:rPr>
            </w:pPr>
            <w:r>
              <w:rPr>
                <w:rFonts w:ascii="Times New Roman" w:hAnsi="Times New Roman" w:cs="Times New Roman"/>
                <w:bCs/>
                <w:color w:val="auto"/>
                <w:sz w:val="21"/>
              </w:rPr>
              <w:t>T</w:t>
            </w:r>
            <w:r>
              <w:rPr>
                <w:rFonts w:hint="eastAsia" w:ascii="Times New Roman" w:hAnsi="Times New Roman" w:cs="Times New Roman"/>
                <w:bCs/>
                <w:color w:val="auto"/>
                <w:sz w:val="21"/>
                <w:lang w:eastAsia="zh-CN"/>
              </w:rPr>
              <w:t>7</w:t>
            </w:r>
          </w:p>
        </w:tc>
        <w:tc>
          <w:tcPr>
            <w:tcW w:w="680" w:type="pct"/>
            <w:vAlign w:val="center"/>
          </w:tcPr>
          <w:p w14:paraId="41716869">
            <w:pPr>
              <w:jc w:val="center"/>
              <w:rPr>
                <w:rFonts w:ascii="Times New Roman" w:hAnsi="Times New Roman" w:cs="Times New Roman"/>
                <w:color w:val="auto"/>
                <w:sz w:val="21"/>
              </w:rPr>
            </w:pPr>
            <w:r>
              <w:rPr>
                <w:rFonts w:hint="eastAsia" w:ascii="Times New Roman" w:hAnsi="Times New Roman" w:cs="Times New Roman"/>
                <w:bCs/>
                <w:color w:val="auto"/>
                <w:sz w:val="21"/>
                <w:lang w:eastAsia="zh-CN"/>
              </w:rPr>
              <w:t>现状污水氟化氢库房</w:t>
            </w:r>
          </w:p>
        </w:tc>
        <w:tc>
          <w:tcPr>
            <w:tcW w:w="1111" w:type="pct"/>
            <w:vMerge w:val="continue"/>
            <w:vAlign w:val="center"/>
          </w:tcPr>
          <w:p w14:paraId="77CC148D">
            <w:pPr>
              <w:jc w:val="center"/>
              <w:rPr>
                <w:rFonts w:ascii="Times New Roman" w:hAnsi="Times New Roman" w:cs="Times New Roman"/>
                <w:color w:val="auto"/>
                <w:sz w:val="21"/>
                <w:lang w:eastAsia="zh-CN"/>
              </w:rPr>
            </w:pPr>
          </w:p>
        </w:tc>
        <w:tc>
          <w:tcPr>
            <w:tcW w:w="2896" w:type="pct"/>
            <w:vAlign w:val="center"/>
          </w:tcPr>
          <w:p w14:paraId="6B3D5C82">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pH、</w:t>
            </w:r>
            <w:r>
              <w:rPr>
                <w:rFonts w:ascii="Times New Roman" w:hAnsi="Times New Roman" w:cs="Times New Roman"/>
                <w:color w:val="auto"/>
                <w:sz w:val="21"/>
                <w:lang w:eastAsia="zh-CN"/>
              </w:rPr>
              <w:t>汞、砷、铜、铅、镉、镍、六价铬、四氯化碳、氯仿、氯甲烷、1,1-二氯乙烷、1,2-二氯乙烷、1,1-二氯乙烯、顺-1,2-二氯乙烯、反-1,2-二氯乙烯、二氯甲烷、1,2-二氯丙烷、1,1,1,2-四氯乙烷、1,1,2,2-四氯乙烷、四氯乙烯、1,1,1-三氯乙烷、1,1,2-三氯乙烷、三氯乙烯、1,2,3-三氯丙烷、氯乙烯、苯、氯苯、1,2-二氯苯、1,4-二氯苯、乙苯、苯乙烯、甲苯、间二甲苯+对二甲苯、邻二甲苯、硝基苯、苯胺、2-氯酚、苯并[a]蒽、苯并[a]芘、苯并[b]荧蒽、苯并[k]荧蒽、䓛、二苯并[a,h]蒽、茚并[1,2,3-cd]芘、萘</w:t>
            </w:r>
          </w:p>
        </w:tc>
      </w:tr>
      <w:tr w14:paraId="64D704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51" w:type="dxa"/>
            <w:bottom w:w="28" w:type="dxa"/>
            <w:right w:w="51" w:type="dxa"/>
          </w:tblCellMar>
        </w:tblPrEx>
        <w:trPr>
          <w:jc w:val="center"/>
        </w:trPr>
        <w:tc>
          <w:tcPr>
            <w:tcW w:w="313" w:type="pct"/>
            <w:vAlign w:val="center"/>
          </w:tcPr>
          <w:p w14:paraId="67826F8A">
            <w:pPr>
              <w:jc w:val="center"/>
              <w:textAlignment w:val="center"/>
              <w:rPr>
                <w:rFonts w:ascii="Times New Roman" w:hAnsi="Times New Roman" w:cs="Times New Roman"/>
                <w:color w:val="auto"/>
                <w:sz w:val="21"/>
                <w:lang w:eastAsia="zh-CN"/>
              </w:rPr>
            </w:pPr>
            <w:r>
              <w:rPr>
                <w:rFonts w:ascii="Times New Roman" w:hAnsi="Times New Roman" w:cs="Times New Roman"/>
                <w:bCs/>
                <w:color w:val="auto"/>
                <w:sz w:val="21"/>
              </w:rPr>
              <w:t>T</w:t>
            </w:r>
            <w:r>
              <w:rPr>
                <w:rFonts w:hint="eastAsia" w:ascii="Times New Roman" w:hAnsi="Times New Roman" w:cs="Times New Roman"/>
                <w:bCs/>
                <w:color w:val="auto"/>
                <w:sz w:val="21"/>
                <w:lang w:eastAsia="zh-CN"/>
              </w:rPr>
              <w:t>8</w:t>
            </w:r>
          </w:p>
        </w:tc>
        <w:tc>
          <w:tcPr>
            <w:tcW w:w="680" w:type="pct"/>
            <w:vAlign w:val="center"/>
          </w:tcPr>
          <w:p w14:paraId="11FDF679">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厂界外北侧</w:t>
            </w:r>
          </w:p>
        </w:tc>
        <w:tc>
          <w:tcPr>
            <w:tcW w:w="1111" w:type="pct"/>
            <w:vMerge w:val="restart"/>
            <w:vAlign w:val="center"/>
          </w:tcPr>
          <w:p w14:paraId="2DCC28BB">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占地范围外</w:t>
            </w:r>
          </w:p>
          <w:p w14:paraId="56E544AA">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0~0.</w:t>
            </w:r>
            <w:r>
              <w:rPr>
                <w:rFonts w:hint="eastAsia" w:ascii="Times New Roman" w:hAnsi="Times New Roman" w:cs="Times New Roman"/>
                <w:color w:val="auto"/>
                <w:sz w:val="21"/>
                <w:lang w:eastAsia="zh-CN"/>
              </w:rPr>
              <w:t>2</w:t>
            </w:r>
            <w:r>
              <w:rPr>
                <w:rFonts w:ascii="Times New Roman" w:hAnsi="Times New Roman" w:cs="Times New Roman"/>
                <w:color w:val="auto"/>
                <w:sz w:val="21"/>
                <w:lang w:eastAsia="zh-CN"/>
              </w:rPr>
              <w:t>m处表层样</w:t>
            </w:r>
          </w:p>
        </w:tc>
        <w:tc>
          <w:tcPr>
            <w:tcW w:w="2896" w:type="pct"/>
            <w:vMerge w:val="restart"/>
            <w:vAlign w:val="center"/>
          </w:tcPr>
          <w:p w14:paraId="34881D41">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pH、</w:t>
            </w:r>
            <w:r>
              <w:rPr>
                <w:rFonts w:ascii="Times New Roman" w:hAnsi="Times New Roman" w:cs="Times New Roman"/>
                <w:color w:val="auto"/>
                <w:sz w:val="21"/>
                <w:lang w:eastAsia="zh-CN"/>
              </w:rPr>
              <w:t>汞、砷、铜、铅、镉、镍、六价铬、四氯化碳、氯仿、氯甲烷、1,1-二氯乙烷、1,2-二氯乙烷、1,1-二氯乙烯、顺-1,2-二氯乙烯、反-1,2-二氯乙烯、二氯甲烷、1,2-二氯丙烷、1,1,1,2-四氯乙烷、1,1,2,2-四氯乙烷、四氯乙烯、1,1,1-三氯乙烷、1,1,2-三氯乙烷、三氯乙烯、1,2,3-三氯丙烷、氯乙烯、苯、氯苯、1,2-二氯苯、1,4-二氯苯、乙苯、苯乙烯、甲苯、间二甲苯+对二甲苯、邻二甲苯、硝基苯、苯胺、2-氯酚、苯并[a]蒽、苯并[a]芘、苯并[b]荧蒽、苯并[k]荧蒽、䓛、二苯并[a,h]蒽、茚并[1,2,3-cd]芘、萘</w:t>
            </w:r>
          </w:p>
        </w:tc>
      </w:tr>
      <w:tr w14:paraId="243202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51" w:type="dxa"/>
            <w:bottom w:w="28" w:type="dxa"/>
            <w:right w:w="51" w:type="dxa"/>
          </w:tblCellMar>
        </w:tblPrEx>
        <w:trPr>
          <w:jc w:val="center"/>
        </w:trPr>
        <w:tc>
          <w:tcPr>
            <w:tcW w:w="313" w:type="pct"/>
            <w:vAlign w:val="center"/>
          </w:tcPr>
          <w:p w14:paraId="27E30368">
            <w:pPr>
              <w:jc w:val="center"/>
              <w:textAlignment w:val="center"/>
              <w:rPr>
                <w:rFonts w:ascii="Times New Roman" w:hAnsi="Times New Roman" w:cs="Times New Roman"/>
                <w:color w:val="auto"/>
                <w:sz w:val="21"/>
                <w:lang w:eastAsia="zh-CN"/>
              </w:rPr>
            </w:pPr>
            <w:r>
              <w:rPr>
                <w:rFonts w:ascii="Times New Roman" w:hAnsi="Times New Roman" w:cs="Times New Roman"/>
                <w:bCs/>
                <w:color w:val="auto"/>
                <w:sz w:val="21"/>
              </w:rPr>
              <w:t>T</w:t>
            </w:r>
            <w:r>
              <w:rPr>
                <w:rFonts w:hint="eastAsia" w:ascii="Times New Roman" w:hAnsi="Times New Roman" w:cs="Times New Roman"/>
                <w:bCs/>
                <w:color w:val="auto"/>
                <w:sz w:val="21"/>
                <w:lang w:eastAsia="zh-CN"/>
              </w:rPr>
              <w:t>9</w:t>
            </w:r>
          </w:p>
        </w:tc>
        <w:tc>
          <w:tcPr>
            <w:tcW w:w="680" w:type="pct"/>
            <w:vAlign w:val="center"/>
          </w:tcPr>
          <w:p w14:paraId="4B067430">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厂界外西南侧</w:t>
            </w:r>
          </w:p>
        </w:tc>
        <w:tc>
          <w:tcPr>
            <w:tcW w:w="1111" w:type="pct"/>
            <w:vMerge w:val="continue"/>
            <w:vAlign w:val="center"/>
          </w:tcPr>
          <w:p w14:paraId="51A4333F">
            <w:pPr>
              <w:jc w:val="center"/>
              <w:rPr>
                <w:rFonts w:ascii="Times New Roman" w:hAnsi="Times New Roman" w:cs="Times New Roman"/>
                <w:color w:val="auto"/>
                <w:sz w:val="21"/>
              </w:rPr>
            </w:pPr>
          </w:p>
        </w:tc>
        <w:tc>
          <w:tcPr>
            <w:tcW w:w="2896" w:type="pct"/>
            <w:vMerge w:val="continue"/>
            <w:vAlign w:val="center"/>
          </w:tcPr>
          <w:p w14:paraId="234EE19D">
            <w:pPr>
              <w:jc w:val="center"/>
              <w:rPr>
                <w:rFonts w:ascii="Times New Roman" w:hAnsi="Times New Roman" w:cs="Times New Roman"/>
                <w:color w:val="auto"/>
                <w:sz w:val="21"/>
                <w:lang w:eastAsia="zh-CN"/>
              </w:rPr>
            </w:pPr>
          </w:p>
        </w:tc>
      </w:tr>
      <w:tr w14:paraId="7E6A88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51" w:type="dxa"/>
            <w:bottom w:w="28" w:type="dxa"/>
            <w:right w:w="51" w:type="dxa"/>
          </w:tblCellMar>
        </w:tblPrEx>
        <w:trPr>
          <w:jc w:val="center"/>
        </w:trPr>
        <w:tc>
          <w:tcPr>
            <w:tcW w:w="313" w:type="pct"/>
            <w:vAlign w:val="center"/>
          </w:tcPr>
          <w:p w14:paraId="34664599">
            <w:pPr>
              <w:jc w:val="center"/>
              <w:textAlignment w:val="center"/>
              <w:rPr>
                <w:rFonts w:ascii="Times New Roman" w:hAnsi="Times New Roman" w:cs="Times New Roman"/>
                <w:bCs/>
                <w:color w:val="auto"/>
                <w:sz w:val="21"/>
                <w:lang w:eastAsia="zh-CN"/>
              </w:rPr>
            </w:pPr>
            <w:r>
              <w:rPr>
                <w:rFonts w:hint="eastAsia" w:ascii="Times New Roman" w:hAnsi="Times New Roman" w:cs="Times New Roman"/>
                <w:bCs/>
                <w:color w:val="auto"/>
                <w:sz w:val="21"/>
                <w:lang w:eastAsia="zh-CN"/>
              </w:rPr>
              <w:t>T10</w:t>
            </w:r>
          </w:p>
        </w:tc>
        <w:tc>
          <w:tcPr>
            <w:tcW w:w="680" w:type="pct"/>
            <w:vAlign w:val="center"/>
          </w:tcPr>
          <w:p w14:paraId="5288D98B">
            <w:pPr>
              <w:jc w:val="center"/>
              <w:rPr>
                <w:rFonts w:ascii="Times New Roman" w:hAnsi="Times New Roman" w:cs="Times New Roman"/>
                <w:bCs/>
                <w:color w:val="auto"/>
                <w:sz w:val="21"/>
                <w:lang w:eastAsia="zh-CN"/>
              </w:rPr>
            </w:pPr>
            <w:r>
              <w:rPr>
                <w:rFonts w:hint="eastAsia" w:ascii="Times New Roman" w:hAnsi="Times New Roman" w:cs="Times New Roman"/>
                <w:color w:val="auto"/>
                <w:sz w:val="21"/>
                <w:lang w:eastAsia="zh-CN"/>
              </w:rPr>
              <w:t>厂界外北侧</w:t>
            </w:r>
          </w:p>
        </w:tc>
        <w:tc>
          <w:tcPr>
            <w:tcW w:w="1111" w:type="pct"/>
            <w:vMerge w:val="continue"/>
            <w:vAlign w:val="center"/>
          </w:tcPr>
          <w:p w14:paraId="670E96F7">
            <w:pPr>
              <w:jc w:val="center"/>
              <w:rPr>
                <w:rFonts w:ascii="Times New Roman" w:hAnsi="Times New Roman" w:cs="Times New Roman"/>
                <w:color w:val="auto"/>
                <w:sz w:val="21"/>
                <w:lang w:eastAsia="zh-CN"/>
              </w:rPr>
            </w:pPr>
          </w:p>
        </w:tc>
        <w:tc>
          <w:tcPr>
            <w:tcW w:w="2896" w:type="pct"/>
            <w:vAlign w:val="center"/>
          </w:tcPr>
          <w:p w14:paraId="35C26A08">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pH、镉、汞、砷、铅、铬、铜、镍、锌</w:t>
            </w:r>
          </w:p>
        </w:tc>
      </w:tr>
      <w:tr w14:paraId="53AB6C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51" w:type="dxa"/>
            <w:bottom w:w="28" w:type="dxa"/>
            <w:right w:w="51" w:type="dxa"/>
          </w:tblCellMar>
        </w:tblPrEx>
        <w:trPr>
          <w:jc w:val="center"/>
        </w:trPr>
        <w:tc>
          <w:tcPr>
            <w:tcW w:w="313" w:type="pct"/>
            <w:vAlign w:val="center"/>
          </w:tcPr>
          <w:p w14:paraId="5E4F4C2B">
            <w:pPr>
              <w:jc w:val="center"/>
              <w:textAlignment w:val="center"/>
              <w:rPr>
                <w:rFonts w:ascii="Times New Roman" w:hAnsi="Times New Roman" w:cs="Times New Roman"/>
                <w:bCs/>
                <w:color w:val="auto"/>
                <w:sz w:val="21"/>
              </w:rPr>
            </w:pPr>
            <w:r>
              <w:rPr>
                <w:rFonts w:hint="eastAsia" w:ascii="Times New Roman" w:hAnsi="Times New Roman" w:cs="Times New Roman"/>
                <w:bCs/>
                <w:color w:val="auto"/>
                <w:sz w:val="21"/>
                <w:lang w:eastAsia="zh-CN"/>
              </w:rPr>
              <w:t>T11</w:t>
            </w:r>
          </w:p>
        </w:tc>
        <w:tc>
          <w:tcPr>
            <w:tcW w:w="680" w:type="pct"/>
            <w:vAlign w:val="center"/>
          </w:tcPr>
          <w:p w14:paraId="2329EBE2">
            <w:pPr>
              <w:jc w:val="center"/>
              <w:rPr>
                <w:rFonts w:ascii="Times New Roman" w:hAnsi="Times New Roman" w:cs="Times New Roman"/>
                <w:bCs/>
                <w:color w:val="auto"/>
                <w:sz w:val="21"/>
                <w:lang w:eastAsia="zh-CN"/>
              </w:rPr>
            </w:pPr>
            <w:r>
              <w:rPr>
                <w:rFonts w:hint="eastAsia" w:ascii="Times New Roman" w:hAnsi="Times New Roman" w:cs="Times New Roman"/>
                <w:color w:val="auto"/>
                <w:sz w:val="21"/>
                <w:lang w:eastAsia="zh-CN"/>
              </w:rPr>
              <w:t>大柏村</w:t>
            </w:r>
          </w:p>
        </w:tc>
        <w:tc>
          <w:tcPr>
            <w:tcW w:w="1111" w:type="pct"/>
            <w:vMerge w:val="continue"/>
            <w:vAlign w:val="center"/>
          </w:tcPr>
          <w:p w14:paraId="1A4B03E9">
            <w:pPr>
              <w:jc w:val="center"/>
              <w:rPr>
                <w:rFonts w:ascii="Times New Roman" w:hAnsi="Times New Roman" w:cs="Times New Roman"/>
                <w:color w:val="auto"/>
                <w:sz w:val="21"/>
                <w:lang w:eastAsia="zh-CN"/>
              </w:rPr>
            </w:pPr>
          </w:p>
        </w:tc>
        <w:tc>
          <w:tcPr>
            <w:tcW w:w="2896" w:type="pct"/>
            <w:vAlign w:val="center"/>
          </w:tcPr>
          <w:p w14:paraId="4AE1CE12">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pH、</w:t>
            </w:r>
            <w:r>
              <w:rPr>
                <w:rFonts w:ascii="Times New Roman" w:hAnsi="Times New Roman" w:cs="Times New Roman"/>
                <w:color w:val="auto"/>
                <w:sz w:val="21"/>
                <w:lang w:eastAsia="zh-CN"/>
              </w:rPr>
              <w:t>汞、砷、铜、铅、镉、镍、六价铬、四氯化碳、氯仿、氯甲烷、1,1-二氯乙烷、1,2-二氯乙烷、1,1-二氯乙烯、顺-1,2-二氯乙烯、反-1,2-二氯乙烯、二氯甲烷、1,2-二氯丙烷、1,1,1,2-四氯乙烷、1,1,2,2-四氯乙烷、四氯乙烯、1,1,1-三氯乙烷、1,1,2-三氯乙烷、三氯乙烯、1,2,3-三氯丙烷、氯乙烯、苯、氯苯、1,2-二氯苯、1,4-二氯苯、乙苯、苯乙烯、甲苯、间二甲苯+对二甲苯、邻二甲苯、硝基苯、苯胺、2-氯酚、苯并[a]蒽、苯并[a]芘、苯并[b]荧蒽、苯并[k]荧蒽、䓛、二苯并[a,h]蒽、茚并[1,2,3-cd]芘、萘</w:t>
            </w:r>
          </w:p>
        </w:tc>
      </w:tr>
    </w:tbl>
    <w:p w14:paraId="6A110F38">
      <w:pPr>
        <w:jc w:val="center"/>
        <w:rPr>
          <w:rFonts w:ascii="Times New Roman" w:hAnsi="Times New Roman" w:cs="Times New Roman"/>
          <w:color w:val="auto"/>
          <w:lang w:eastAsia="zh-CN"/>
        </w:rPr>
      </w:pPr>
      <w:r>
        <w:rPr>
          <w:rFonts w:ascii="Times New Roman" w:hAnsi="Times New Roman" w:cs="Times New Roman"/>
          <w:color w:val="auto"/>
        </w:rPr>
        <mc:AlternateContent>
          <mc:Choice Requires="wps">
            <w:drawing>
              <wp:anchor distT="0" distB="0" distL="114300" distR="114300" simplePos="0" relativeHeight="251705344" behindDoc="0" locked="0" layoutInCell="1" allowOverlap="1">
                <wp:simplePos x="0" y="0"/>
                <wp:positionH relativeFrom="column">
                  <wp:posOffset>1496695</wp:posOffset>
                </wp:positionH>
                <wp:positionV relativeFrom="paragraph">
                  <wp:posOffset>1603375</wp:posOffset>
                </wp:positionV>
                <wp:extent cx="438150" cy="254000"/>
                <wp:effectExtent l="1270" t="3810" r="0" b="0"/>
                <wp:wrapNone/>
                <wp:docPr id="1931764679" name="文本框 3256"/>
                <wp:cNvGraphicFramePr/>
                <a:graphic xmlns:a="http://schemas.openxmlformats.org/drawingml/2006/main">
                  <a:graphicData uri="http://schemas.microsoft.com/office/word/2010/wordprocessingShape">
                    <wps:wsp>
                      <wps:cNvSpPr txBox="1">
                        <a:spLocks noChangeArrowheads="1"/>
                      </wps:cNvSpPr>
                      <wps:spPr bwMode="auto">
                        <a:xfrm>
                          <a:off x="0" y="0"/>
                          <a:ext cx="438150" cy="254000"/>
                        </a:xfrm>
                        <a:prstGeom prst="rect">
                          <a:avLst/>
                        </a:prstGeom>
                        <a:noFill/>
                        <a:ln>
                          <a:noFill/>
                        </a:ln>
                      </wps:spPr>
                      <wps:txbx>
                        <w:txbxContent>
                          <w:p w14:paraId="292829FC">
                            <w:pPr>
                              <w:rPr>
                                <w:rFonts w:ascii="Times New Roman" w:hAnsi="Times New Roman" w:cs="Times New Roman"/>
                                <w:color w:val="FF0000"/>
                                <w:sz w:val="21"/>
                                <w:szCs w:val="18"/>
                                <w:lang w:eastAsia="zh-CN"/>
                              </w:rPr>
                            </w:pPr>
                            <w:r>
                              <w:rPr>
                                <w:rFonts w:hint="eastAsia" w:ascii="Times New Roman" w:hAnsi="Times New Roman" w:cs="Times New Roman"/>
                                <w:color w:val="FF0000"/>
                                <w:sz w:val="21"/>
                                <w:szCs w:val="18"/>
                                <w:lang w:eastAsia="zh-CN"/>
                              </w:rPr>
                              <w:t>T6</w:t>
                            </w:r>
                          </w:p>
                        </w:txbxContent>
                      </wps:txbx>
                      <wps:bodyPr rot="0" vert="horz" wrap="square" lIns="91440" tIns="45720" rIns="91440" bIns="45720" anchor="t" anchorCtr="0" upright="1">
                        <a:noAutofit/>
                      </wps:bodyPr>
                    </wps:wsp>
                  </a:graphicData>
                </a:graphic>
              </wp:anchor>
            </w:drawing>
          </mc:Choice>
          <mc:Fallback>
            <w:pict>
              <v:shape id="文本框 3256" o:spid="_x0000_s1026" o:spt="202" type="#_x0000_t202" style="position:absolute;left:0pt;margin-left:117.85pt;margin-top:126.25pt;height:20pt;width:34.5pt;z-index:251705344;mso-width-relative:page;mso-height-relative:page;" filled="f" stroked="f" coordsize="21600,21600" o:gfxdata="UEsDBAoAAAAAAIdO4kAAAAAAAAAAAAAAAAAEAAAAZHJzL1BLAwQUAAAACACHTuJAdPjBI9cAAAAL&#10;AQAADwAAAGRycy9kb3ducmV2LnhtbE2PT0/DMAzF70h8h8hI3FiybgVWmu4A4gpi/JG4eY3XVjRO&#10;1WRr+faYE9zs956efy63s+/VicbYBbawXBhQxHVwHTcW3l4fr25BxYTssA9MFr4pwrY6PyuxcGHi&#10;FzrtUqOkhGOBFtqUhkLrWLfkMS7CQCzeIYwek6xjo92Ik5T7XmfGXGuPHcuFFge6b6n+2h29hfen&#10;w+fH2jw3Dz4fpjAbzX6jrb28WJo7UInm9BeGX3xBh0qY9uHILqreQrbKbyQqQ57loCSxMmtR9qJs&#10;RNFVqf//UP0AUEsDBBQAAAAIAIdO4kAq6gprIQIAACAEAAAOAAAAZHJzL2Uyb0RvYy54bWytU8uO&#10;0zAU3SPxD5b3NEmbdqZR09Ew1SCk4SENfIDrOI1F7Gtst0n5APgDVmzY8139Dq6dTinDZhZsItvX&#10;99xzjk8WV71qyU5YJ0GXNBullAjNoZJ6U9KPH25fXFLiPNMVa0GLku6Fo1fL588WnSnEGBpoK2EJ&#10;gmhXdKakjfemSBLHG6GYG4ERGos1WMU8bu0mqSzrEF21yThNZ0kHtjIWuHAOT1dDkR4R7VMAoa4l&#10;FyvgWyW0H1CtaJlHSa6RxtFlZFvXgvt3de2EJ21JUamPXxyC63X4JssFKzaWmUbyIwX2FAqPNCkm&#10;NQ49Qa2YZ2Rr5T9QSnILDmo/4qCSQUh0BFVk6SNv7htmRNSCVjtzMt39P1j+dvfeEllhEuaT7GKW&#10;zy7mlGim8OUP378dfvw6/PxKJuPpLFjVGVdgx73BHt+/hB7bomxn7oB/ckTDTcP0RlxbC10jWIVU&#10;s9CZnLUOOC6ArLs3UOEotvUQgfraquAjOkMQHZ9pf3om0XvC8TCfXGZTrHAsjad5msZnTFjx0Gys&#10;868EKBIWJbWYggjOdnfOBzKseLgSZmm4lW0bk9Dqvw7wYjiJ5APfgbnv1/3RjDVUe5RhYQgW/la4&#10;aMB+oaTDUJXUfd4yKyhpX2u0Yp7leUhh3OTTizFu7HllfV5hmiNUST0lw/LGD8ndGis3DU4azNdw&#10;jfbVMkoLPg+sjrwxOFHxMeQhmef7eOvPj738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HT4wSPX&#10;AAAACwEAAA8AAAAAAAAAAQAgAAAAIgAAAGRycy9kb3ducmV2LnhtbFBLAQIUABQAAAAIAIdO4kAq&#10;6gprIQIAACAEAAAOAAAAAAAAAAEAIAAAACYBAABkcnMvZTJvRG9jLnhtbFBLBQYAAAAABgAGAFkB&#10;AAC5BQAAAAA=&#10;">
                <v:fill on="f" focussize="0,0"/>
                <v:stroke on="f"/>
                <v:imagedata o:title=""/>
                <o:lock v:ext="edit" aspectratio="f"/>
                <v:textbox>
                  <w:txbxContent>
                    <w:p w14:paraId="292829FC">
                      <w:pPr>
                        <w:rPr>
                          <w:rFonts w:ascii="Times New Roman" w:hAnsi="Times New Roman" w:cs="Times New Roman"/>
                          <w:color w:val="FF0000"/>
                          <w:sz w:val="21"/>
                          <w:szCs w:val="18"/>
                          <w:lang w:eastAsia="zh-CN"/>
                        </w:rPr>
                      </w:pPr>
                      <w:r>
                        <w:rPr>
                          <w:rFonts w:hint="eastAsia" w:ascii="Times New Roman" w:hAnsi="Times New Roman" w:cs="Times New Roman"/>
                          <w:color w:val="FF0000"/>
                          <w:sz w:val="21"/>
                          <w:szCs w:val="18"/>
                          <w:lang w:eastAsia="zh-CN"/>
                        </w:rPr>
                        <w:t>T6</w:t>
                      </w:r>
                    </w:p>
                  </w:txbxContent>
                </v:textbox>
              </v:shape>
            </w:pict>
          </mc:Fallback>
        </mc:AlternateContent>
      </w:r>
      <w:r>
        <w:rPr>
          <w:rFonts w:ascii="Times New Roman" w:hAnsi="Times New Roman" w:cs="Times New Roman"/>
          <w:color w:val="auto"/>
        </w:rPr>
        <mc:AlternateContent>
          <mc:Choice Requires="wps">
            <w:drawing>
              <wp:anchor distT="0" distB="0" distL="114300" distR="114300" simplePos="0" relativeHeight="251704320" behindDoc="0" locked="0" layoutInCell="1" allowOverlap="1">
                <wp:simplePos x="0" y="0"/>
                <wp:positionH relativeFrom="column">
                  <wp:posOffset>1471930</wp:posOffset>
                </wp:positionH>
                <wp:positionV relativeFrom="paragraph">
                  <wp:posOffset>1624965</wp:posOffset>
                </wp:positionV>
                <wp:extent cx="139700" cy="133350"/>
                <wp:effectExtent l="13335" t="13970" r="8890" b="5080"/>
                <wp:wrapNone/>
                <wp:docPr id="223679840" name="椭圆 3260"/>
                <wp:cNvGraphicFramePr/>
                <a:graphic xmlns:a="http://schemas.openxmlformats.org/drawingml/2006/main">
                  <a:graphicData uri="http://schemas.microsoft.com/office/word/2010/wordprocessingShape">
                    <wps:wsp>
                      <wps:cNvSpPr>
                        <a:spLocks noChangeArrowheads="1"/>
                      </wps:cNvSpPr>
                      <wps:spPr bwMode="auto">
                        <a:xfrm>
                          <a:off x="0" y="0"/>
                          <a:ext cx="139700" cy="133350"/>
                        </a:xfrm>
                        <a:prstGeom prst="ellipse">
                          <a:avLst/>
                        </a:prstGeom>
                        <a:solidFill>
                          <a:srgbClr val="FFFF00"/>
                        </a:solidFill>
                        <a:ln w="3175">
                          <a:solidFill>
                            <a:srgbClr val="4F81BD"/>
                          </a:solidFill>
                          <a:round/>
                        </a:ln>
                      </wps:spPr>
                      <wps:bodyPr rot="0" vert="horz" wrap="square" lIns="91440" tIns="45720" rIns="91440" bIns="45720" anchor="t" anchorCtr="0" upright="1">
                        <a:noAutofit/>
                      </wps:bodyPr>
                    </wps:wsp>
                  </a:graphicData>
                </a:graphic>
              </wp:anchor>
            </w:drawing>
          </mc:Choice>
          <mc:Fallback>
            <w:pict>
              <v:shape id="椭圆 3260" o:spid="_x0000_s1026" o:spt="3" type="#_x0000_t3" style="position:absolute;left:0pt;margin-left:115.9pt;margin-top:127.95pt;height:10.5pt;width:11pt;z-index:251704320;mso-width-relative:page;mso-height-relative:page;" fillcolor="#FFFF00" filled="t" stroked="t" coordsize="21600,21600" o:gfxdata="UEsDBAoAAAAAAIdO4kAAAAAAAAAAAAAAAAAEAAAAZHJzL1BLAwQUAAAACACHTuJADn0K1dkAAAAL&#10;AQAADwAAAGRycy9kb3ducmV2LnhtbE2PwW7CMBBE70j8g7WVuIGT0FCSxkEIqeqhFwr9ABMvSdp4&#10;HWJD6N93e2pvszuj2bfF5m47ccPBt44UxIsIBFLlTEu1go/jy3wNwgdNRneOUME3etiU00mhc+NG&#10;esfbIdSCS8jnWkETQp9L6asGrfYL1yOxd3aD1YHHoZZm0COX204mUbSSVrfEFxrd467B6utwtQq2&#10;fvtK58ytaXd5u+yPcvx8TPZKzR7i6BlEwHv4C8MvPqNDyUwndyXjRacgWcaMHlikaQaCE0m65M2J&#10;xdMqA1kW8v8P5Q9QSwMEFAAAAAgAh07iQCphjc09AgAAbwQAAA4AAABkcnMvZTJvRG9jLnhtbK1U&#10;wXLTMBC9M8M/aHSnjuOkaTxxOiWZMMwU6EzhAxRZjjXIWrFS4pQP4Cs4cuWz4DtYy2maFg494ING&#10;q9W+fft25dnlvjFsp9BrsAVPzwacKSuh1HZT8E8fV68uOPNB2FIYsKrgd8rzy/nLF7PW5WoINZhS&#10;ISMQ6/PWFbwOweVJ4mWtGuHPwClLzgqwEYFM3CQlipbQG5MMB4PzpAUsHYJU3tPpsnfyAyI+BxCq&#10;Sku1BLltlA09KiojApXka+08n0e2VaVk+FBVXgVmCk6VhrhSEtqvuzWZz0S+QeFqLQ8UxHMoPKmp&#10;EdpS0iPUUgTBtqj/gmq0RPBQhTMJTdIXEhWhKtLBE21ua+FUrIWk9u4ouv9/sPL97gaZLgs+HGbn&#10;k+nFiJSxoqHG//7x89f3bywbnkeZWudzun3rbrAr1LtrkJ89s7Cohd2oK0RoayVKIpd2siaPAjrD&#10;Uyhbt++gJHSxDRAV21fYdICkBdvHxtwdG6P2gUk6TLPpZEDEJLnSLMvGkVEi8vtghz68UdCwblNw&#10;ZQxNQSedyMXu2oeOj8jvb0X+YHS50sZEAzfrhUG2EzQmK/ooWR/iT68Zy9qCZ+lkHJEf+fwpxGh1&#10;kb5e/gsCYWvLHtrYg0idLt3A+nwN5R1phNDPKb1S2tSAXzlraUYL7r9sBSrOzFtLOk/TUdeuEI3R&#10;eDIkA08961OPsJKgCh4467eL0D+ErUO9qSlTGsuycEW9qXQU7YHVgSzNYdTy8Ga6QT+1462H/8T8&#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59CtXZAAAACwEAAA8AAAAAAAAAAQAgAAAAIgAAAGRy&#10;cy9kb3ducmV2LnhtbFBLAQIUABQAAAAIAIdO4kAqYY3NPQIAAG8EAAAOAAAAAAAAAAEAIAAAACgB&#10;AABkcnMvZTJvRG9jLnhtbFBLBQYAAAAABgAGAFkBAADXBQAAAAA=&#10;">
                <v:fill on="t" focussize="0,0"/>
                <v:stroke weight="0.25pt" color="#4F81BD" joinstyle="round"/>
                <v:imagedata o:title=""/>
                <o:lock v:ext="edit" aspectratio="f"/>
              </v:shape>
            </w:pict>
          </mc:Fallback>
        </mc:AlternateContent>
      </w:r>
      <w:r>
        <w:rPr>
          <w:rFonts w:ascii="Times New Roman" w:hAnsi="Times New Roman" w:cs="Times New Roman"/>
          <w:color w:val="auto"/>
        </w:rPr>
        <mc:AlternateContent>
          <mc:Choice Requires="wps">
            <w:drawing>
              <wp:anchor distT="0" distB="0" distL="114300" distR="114300" simplePos="0" relativeHeight="251834368" behindDoc="0" locked="0" layoutInCell="1" allowOverlap="1">
                <wp:simplePos x="0" y="0"/>
                <wp:positionH relativeFrom="margin">
                  <wp:posOffset>1148080</wp:posOffset>
                </wp:positionH>
                <wp:positionV relativeFrom="paragraph">
                  <wp:posOffset>2059940</wp:posOffset>
                </wp:positionV>
                <wp:extent cx="139700" cy="133350"/>
                <wp:effectExtent l="0" t="0" r="12700" b="19050"/>
                <wp:wrapNone/>
                <wp:docPr id="138825153" name="椭圆 3258"/>
                <wp:cNvGraphicFramePr/>
                <a:graphic xmlns:a="http://schemas.openxmlformats.org/drawingml/2006/main">
                  <a:graphicData uri="http://schemas.microsoft.com/office/word/2010/wordprocessingShape">
                    <wps:wsp>
                      <wps:cNvSpPr>
                        <a:spLocks noChangeArrowheads="1"/>
                      </wps:cNvSpPr>
                      <wps:spPr bwMode="auto">
                        <a:xfrm>
                          <a:off x="0" y="0"/>
                          <a:ext cx="139700" cy="133350"/>
                        </a:xfrm>
                        <a:prstGeom prst="ellipse">
                          <a:avLst/>
                        </a:prstGeom>
                        <a:solidFill>
                          <a:srgbClr val="FFFF00"/>
                        </a:solidFill>
                        <a:ln w="3175">
                          <a:solidFill>
                            <a:srgbClr val="4F81BD"/>
                          </a:solidFill>
                          <a:round/>
                        </a:ln>
                      </wps:spPr>
                      <wps:bodyPr rot="0" vert="horz" wrap="square" lIns="91440" tIns="45720" rIns="91440" bIns="45720" anchor="t" anchorCtr="0" upright="1">
                        <a:noAutofit/>
                      </wps:bodyPr>
                    </wps:wsp>
                  </a:graphicData>
                </a:graphic>
              </wp:anchor>
            </w:drawing>
          </mc:Choice>
          <mc:Fallback>
            <w:pict>
              <v:shape id="椭圆 3258" o:spid="_x0000_s1026" o:spt="3" type="#_x0000_t3" style="position:absolute;left:0pt;margin-left:90.4pt;margin-top:162.2pt;height:10.5pt;width:11pt;mso-position-horizontal-relative:margin;z-index:251834368;mso-width-relative:page;mso-height-relative:page;" fillcolor="#FFFF00" filled="t" stroked="t" coordsize="21600,21600" o:gfxdata="UEsDBAoAAAAAAIdO4kAAAAAAAAAAAAAAAAAEAAAAZHJzL1BLAwQUAAAACACHTuJAZW6R/tcAAAAL&#10;AQAADwAAAGRycy9kb3ducmV2LnhtbE2PwU7DMBBE70j8g7VI3KhdE1AIcaqqEuLApbR8gBtvk0C8&#10;TmO3KX/P9lSOMzuafVMuzr4XJxxjF8jAfKZAINXBddQY+Nq+PeQgYrLkbB8IDfxihEV1e1PawoWJ&#10;PvG0SY3gEoqFNdCmNBRSxrpFb+MsDEh824fR28RybKQb7cTlvpdaqWfpbUf8obUDrlqsfzZHb2AZ&#10;l++0fwk5rQ4fh/VWTt+ZXhtzfzdXryASntM1DBd8RoeKmXbhSC6KnnWuGD0ZeNRZBoITWml2duxk&#10;TxnIqpT/N1R/UEsDBBQAAAAIAIdO4kAMjk89PgIAAG8EAAAOAAAAZHJzL2Uyb0RvYy54bWytVMFu&#10;2zAMvQ/YPwi6r47jZE2NOkXXIMOAbivQ7QMUWY6FyaJGKXG6D9hX7LjrPmv7jlFymqXdDj3MB4EU&#10;yUfykfL5xa4zbKvQa7AVz09GnCkrodZ2XfGPH5YvZpz5IGwtDFhV8Tvl+cX8+bPz3pVqDC2YWiEj&#10;EOvL3lW8DcGVWeZlqzrhT8ApS8YGsBOBVFxnNYqe0DuTjUejl1kPWDsEqbyn28Vg5HtEfAogNI2W&#10;agFy0ykbBlRURgRqybfaeT5P1TaNkuF903gVmKk4dRrSSUlIXsUzm5+Lco3CtVruSxBPKeFRT53Q&#10;lpIeoBYiCLZB/RdUpyWChyacSOiyoZHECHWRjx5xc9sKp1IvRLV3B9L9/4OV77Y3yHRNm1DMZuNp&#10;Pi04s6Kjwf/6/uPnt6+sGE9nkabe+ZK8b90Nxka9uwb5yTMLV62wa3WJCH2rRE3F5dE/exAQFU+h&#10;bNW/hZrQxSZAYmzXYBcBiQu2S4O5OwxG7QKTdJkXZ6cjGpkkU14UxTQNLhPlfbBDH14r6FgUKq6M&#10;oS2I1IlSbK99iPWI8t4r1Q9G10ttTFJwvboyyLaC1mRJHyUbQvyxm7Gsr3iRn04T8gObP4aYLGf5&#10;q8W/IBA2th6gjd2TFHkZ+F1BfUccIQx7Sq+UhBbwC2c97WjF/eeNQMWZeWOJ57N8MolLnZTJ9HRM&#10;Ch5bVscWYSVBVTxwNohXYXgIG4d63VKmPLVl4ZJm0+hEWpzbUNW+WNrDxOX+zcRFP9aT15//xPw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ZW6R/tcAAAALAQAADwAAAAAAAAABACAAAAAiAAAAZHJz&#10;L2Rvd25yZXYueG1sUEsBAhQAFAAAAAgAh07iQAyOTz0+AgAAbwQAAA4AAAAAAAAAAQAgAAAAJgEA&#10;AGRycy9lMm9Eb2MueG1sUEsFBgAAAAAGAAYAWQEAANYFAAAAAA==&#10;">
                <v:fill on="t" focussize="0,0"/>
                <v:stroke weight="0.25pt" color="#4F81BD" joinstyle="round"/>
                <v:imagedata o:title=""/>
                <o:lock v:ext="edit" aspectratio="f"/>
              </v:shape>
            </w:pict>
          </mc:Fallback>
        </mc:AlternateContent>
      </w:r>
      <w:r>
        <w:rPr>
          <w:rFonts w:ascii="Times New Roman" w:hAnsi="Times New Roman" w:cs="Times New Roman"/>
          <w:color w:val="auto"/>
        </w:rPr>
        <mc:AlternateContent>
          <mc:Choice Requires="wps">
            <w:drawing>
              <wp:anchor distT="0" distB="0" distL="114300" distR="114300" simplePos="0" relativeHeight="251835392" behindDoc="0" locked="0" layoutInCell="1" allowOverlap="1">
                <wp:simplePos x="0" y="0"/>
                <wp:positionH relativeFrom="column">
                  <wp:posOffset>1148715</wp:posOffset>
                </wp:positionH>
                <wp:positionV relativeFrom="paragraph">
                  <wp:posOffset>2082800</wp:posOffset>
                </wp:positionV>
                <wp:extent cx="438150" cy="254000"/>
                <wp:effectExtent l="1270" t="3810" r="0" b="0"/>
                <wp:wrapNone/>
                <wp:docPr id="391095245" name="文本框 3256"/>
                <wp:cNvGraphicFramePr/>
                <a:graphic xmlns:a="http://schemas.openxmlformats.org/drawingml/2006/main">
                  <a:graphicData uri="http://schemas.microsoft.com/office/word/2010/wordprocessingShape">
                    <wps:wsp>
                      <wps:cNvSpPr txBox="1">
                        <a:spLocks noChangeArrowheads="1"/>
                      </wps:cNvSpPr>
                      <wps:spPr bwMode="auto">
                        <a:xfrm>
                          <a:off x="0" y="0"/>
                          <a:ext cx="438150" cy="254000"/>
                        </a:xfrm>
                        <a:prstGeom prst="rect">
                          <a:avLst/>
                        </a:prstGeom>
                        <a:noFill/>
                        <a:ln>
                          <a:noFill/>
                        </a:ln>
                      </wps:spPr>
                      <wps:txbx>
                        <w:txbxContent>
                          <w:p w14:paraId="6AF3BD31">
                            <w:pPr>
                              <w:rPr>
                                <w:rFonts w:ascii="Times New Roman" w:hAnsi="Times New Roman" w:cs="Times New Roman"/>
                                <w:color w:val="FF0000"/>
                                <w:sz w:val="21"/>
                                <w:szCs w:val="18"/>
                                <w:lang w:eastAsia="zh-CN"/>
                              </w:rPr>
                            </w:pPr>
                            <w:r>
                              <w:rPr>
                                <w:rFonts w:hint="eastAsia" w:ascii="Times New Roman" w:hAnsi="Times New Roman" w:cs="Times New Roman"/>
                                <w:color w:val="FF0000"/>
                                <w:sz w:val="21"/>
                                <w:szCs w:val="18"/>
                                <w:lang w:eastAsia="zh-CN"/>
                              </w:rPr>
                              <w:t>T4</w:t>
                            </w:r>
                          </w:p>
                        </w:txbxContent>
                      </wps:txbx>
                      <wps:bodyPr rot="0" vert="horz" wrap="square" lIns="91440" tIns="45720" rIns="91440" bIns="45720" anchor="t" anchorCtr="0" upright="1">
                        <a:noAutofit/>
                      </wps:bodyPr>
                    </wps:wsp>
                  </a:graphicData>
                </a:graphic>
              </wp:anchor>
            </w:drawing>
          </mc:Choice>
          <mc:Fallback>
            <w:pict>
              <v:shape id="文本框 3256" o:spid="_x0000_s1026" o:spt="202" type="#_x0000_t202" style="position:absolute;left:0pt;margin-left:90.45pt;margin-top:164pt;height:20pt;width:34.5pt;z-index:251835392;mso-width-relative:page;mso-height-relative:page;" filled="f" stroked="f" coordsize="21600,21600" o:gfxdata="UEsDBAoAAAAAAIdO4kAAAAAAAAAAAAAAAAAEAAAAZHJzL1BLAwQUAAAACACHTuJAxK+6xtYAAAAL&#10;AQAADwAAAGRycy9kb3ducmV2LnhtbE2PzU7DMBCE70i8g7VI3KjdUKokjdNDK64g+oPEzY23SdR4&#10;HcVuE96e5QTHmR3NflOsJ9eJGw6h9aRhPlMgkCpvW6o1HPavTymIEA1Z03lCDd8YYF3e3xUmt36k&#10;D7ztYi24hEJuNDQx9rmUoWrQmTDzPRLfzn5wJrIcamkHM3K562Si1FI60xJ/aEyPmwary+7qNBzf&#10;zl+fC/Veb91LP/pJSXKZ1PrxYa5WICJO8S8Mv/iMDiUznfyVbBAd61RlHNXwnKQ8ihPJImPnxM6S&#10;HVkW8v+G8gdQSwMEFAAAAAgAh07iQKnYGGggAgAAHwQAAA4AAABkcnMvZTJvRG9jLnhtbK1TS27b&#10;MBTcF+gdCO5rfSylsWA5SGOkKJA2BdIegKYoi6jEx5K0JfcAzQ266qb7nMvn6CPluG66yaIbgeTj&#10;mzczHM0vhq4lW2GsBFXSZBJTIhSHSqp1ST9/un51Tol1TFWsBSVKuhOWXixevpj3uhApNNBWwhAE&#10;UbbodUkb53QRRZY3omN2AlooLNZgOuZwa9ZRZViP6F0bpXF8FvVgKm2AC2vxdDkW6QHRPAcQ6lpy&#10;sQS+6YRyI6oRLXMoyTZSW7oIbOtacHdb11Y40pYUlbrwxSG4XvlvtJizYm2YbiQ/UGDPofBEU8ek&#10;wqFHqCVzjGyM/Aeqk9yAhdpNOHTRKCQ4giqS+Ik3dw3TImhBq60+mm7/Hyz/sP1oiKxKOp0l8SxP&#10;s5wSxTp8+P2P+/3Ph/2v72Sa5mfeqV7bAhvuNLa44Q0MmJ+g2uob4F8sUXDVMLUWl8ZA3whWIdPE&#10;d0YnrSOO9SCr/j1UOIptHASgoTadtxGNIYiOr7Q7vpIYHOF4mE3PkxwrHEtpnsVxeMWIFY/N2lj3&#10;VkBH/KKkBkMQwNn2xjpPhhWPV/wsBdeybUMQWvXXAV70J4G85zsyd8NqOJixgmqHMgyMucK/ChcN&#10;mG+U9JipktqvG2YEJe07hVbMkizzIQybLH+d4sacVlanFaY4QpXUUTIur9wY3I02ct3gpNF8BZdo&#10;Xy2DNO/zyOrAG3MTFB8y7oN5ug+3/vzXi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Er7rG1gAA&#10;AAsBAAAPAAAAAAAAAAEAIAAAACIAAABkcnMvZG93bnJldi54bWxQSwECFAAUAAAACACHTuJAqdgY&#10;aCACAAAfBAAADgAAAAAAAAABACAAAAAlAQAAZHJzL2Uyb0RvYy54bWxQSwUGAAAAAAYABgBZAQAA&#10;twUAAAAA&#10;">
                <v:fill on="f" focussize="0,0"/>
                <v:stroke on="f"/>
                <v:imagedata o:title=""/>
                <o:lock v:ext="edit" aspectratio="f"/>
                <v:textbox>
                  <w:txbxContent>
                    <w:p w14:paraId="6AF3BD31">
                      <w:pPr>
                        <w:rPr>
                          <w:rFonts w:ascii="Times New Roman" w:hAnsi="Times New Roman" w:cs="Times New Roman"/>
                          <w:color w:val="FF0000"/>
                          <w:sz w:val="21"/>
                          <w:szCs w:val="18"/>
                          <w:lang w:eastAsia="zh-CN"/>
                        </w:rPr>
                      </w:pPr>
                      <w:r>
                        <w:rPr>
                          <w:rFonts w:hint="eastAsia" w:ascii="Times New Roman" w:hAnsi="Times New Roman" w:cs="Times New Roman"/>
                          <w:color w:val="FF0000"/>
                          <w:sz w:val="21"/>
                          <w:szCs w:val="18"/>
                          <w:lang w:eastAsia="zh-CN"/>
                        </w:rPr>
                        <w:t>T4</w:t>
                      </w:r>
                    </w:p>
                  </w:txbxContent>
                </v:textbox>
              </v:shape>
            </w:pict>
          </mc:Fallback>
        </mc:AlternateContent>
      </w:r>
      <w:r>
        <w:rPr>
          <w:rFonts w:ascii="Times New Roman" w:hAnsi="Times New Roman" w:cs="Times New Roman"/>
          <w:color w:val="auto"/>
        </w:rPr>
        <mc:AlternateContent>
          <mc:Choice Requires="wps">
            <w:drawing>
              <wp:anchor distT="0" distB="0" distL="114300" distR="114300" simplePos="0" relativeHeight="251726848" behindDoc="0" locked="0" layoutInCell="1" allowOverlap="1">
                <wp:simplePos x="0" y="0"/>
                <wp:positionH relativeFrom="column">
                  <wp:posOffset>2710180</wp:posOffset>
                </wp:positionH>
                <wp:positionV relativeFrom="paragraph">
                  <wp:posOffset>2416810</wp:posOffset>
                </wp:positionV>
                <wp:extent cx="438150" cy="254000"/>
                <wp:effectExtent l="3810" t="0" r="0" b="0"/>
                <wp:wrapNone/>
                <wp:docPr id="2121509270" name="文本框 3252"/>
                <wp:cNvGraphicFramePr/>
                <a:graphic xmlns:a="http://schemas.openxmlformats.org/drawingml/2006/main">
                  <a:graphicData uri="http://schemas.microsoft.com/office/word/2010/wordprocessingShape">
                    <wps:wsp>
                      <wps:cNvSpPr txBox="1">
                        <a:spLocks noChangeArrowheads="1"/>
                      </wps:cNvSpPr>
                      <wps:spPr bwMode="auto">
                        <a:xfrm>
                          <a:off x="0" y="0"/>
                          <a:ext cx="438150" cy="254000"/>
                        </a:xfrm>
                        <a:prstGeom prst="rect">
                          <a:avLst/>
                        </a:prstGeom>
                        <a:noFill/>
                        <a:ln>
                          <a:noFill/>
                        </a:ln>
                      </wps:spPr>
                      <wps:txbx>
                        <w:txbxContent>
                          <w:p w14:paraId="48C13A65">
                            <w:pPr>
                              <w:rPr>
                                <w:rFonts w:ascii="Times New Roman" w:hAnsi="Times New Roman" w:cs="Times New Roman"/>
                                <w:color w:val="FF0000"/>
                                <w:sz w:val="21"/>
                                <w:szCs w:val="18"/>
                                <w:lang w:eastAsia="zh-CN"/>
                              </w:rPr>
                            </w:pPr>
                            <w:r>
                              <w:rPr>
                                <w:rFonts w:hint="eastAsia" w:ascii="Times New Roman" w:hAnsi="Times New Roman" w:cs="Times New Roman"/>
                                <w:color w:val="FF0000"/>
                                <w:sz w:val="21"/>
                                <w:szCs w:val="18"/>
                                <w:lang w:eastAsia="zh-CN"/>
                              </w:rPr>
                              <w:t>T5</w:t>
                            </w:r>
                          </w:p>
                        </w:txbxContent>
                      </wps:txbx>
                      <wps:bodyPr rot="0" vert="horz" wrap="square" lIns="91440" tIns="45720" rIns="91440" bIns="45720" anchor="t" anchorCtr="0" upright="1">
                        <a:noAutofit/>
                      </wps:bodyPr>
                    </wps:wsp>
                  </a:graphicData>
                </a:graphic>
              </wp:anchor>
            </w:drawing>
          </mc:Choice>
          <mc:Fallback>
            <w:pict>
              <v:shape id="文本框 3252" o:spid="_x0000_s1026" o:spt="202" type="#_x0000_t202" style="position:absolute;left:0pt;margin-left:213.4pt;margin-top:190.3pt;height:20pt;width:34.5pt;z-index:251726848;mso-width-relative:page;mso-height-relative:page;" filled="f" stroked="f" coordsize="21600,21600" o:gfxdata="UEsDBAoAAAAAAIdO4kAAAAAAAAAAAAAAAAAEAAAAZHJzL1BLAwQUAAAACACHTuJAuVOtXNcAAAAL&#10;AQAADwAAAGRycy9kb3ducmV2LnhtbE2PzW7CMBCE75X6DtZW6q3Y0BBBiMOhVa+t+KvUm4mXJCJe&#10;R7Eh6duznNrjzoxmv8nXo2vFFfvQeNIwnSgQSKW3DVUa9ruPlwWIEA1Z03pCDb8YYF08PuQms36g&#10;DV63sRJcQiEzGuoYu0zKUNboTJj4Dom9k++diXz2lbS9GbjctXKmVCqdaYg/1KbDtxrL8/biNBw+&#10;Tz/fifqq3t28G/yoJLml1Pr5aapWICKO8S8Md3xGh4KZjv5CNohWQzJLGT1qeF2oFAQnkuWclePd&#10;YkUWufy/obgBUEsDBBQAAAAIAIdO4kAMaiDCIAIAACAEAAAOAAAAZHJzL2Uyb0RvYy54bWytU0tu&#10;2zAQ3RfoHQjua31iN4lgOUhjpCiQfoC0B6ApyiIqcdghbSk9QHODrrrpvufyOTqkHNdNN1l0I5Ac&#10;zpv3Hp/mF0PXsq1Cp8GUPJuknCkjodJmXfJPH69fnHHmvDCVaMGokt8pxy8Wz5/Ne1uoHBpoK4WM&#10;QIwrelvyxntbJImTjeqEm4BVhoo1YCc8bXGdVCh6Qu/aJE/Tl0kPWFkEqZyj0+VY5HtEfAog1LWW&#10;agly0ynjR1RUrfAkyTXaOr6IbOtaSf++rp3yrC05KfXxS0NovQrfZDEXxRqFbbTcUxBPofBIUye0&#10;oaEHqKXwgm1Q/wPVaYngoPYTCV0yComOkIosfeTNbSOsilrIamcPprv/ByvfbT8g01XJ8yzPZul5&#10;fkrWGNHRy+++3+9+/Nr9/MZO8lkerOqtK6jj1lKPH17BQAGKsp29AfnZMQNXjTBrdYkIfaNERVSz&#10;0JkctY44LoCs+rdQ0Six8RCBhhq74CM5wwiduNwdnkkNnkk6nJ6cEVPOJJXy2TRN4zMmonhotuj8&#10;awUdC4uSI6UggovtjfOBjCgeroRZBq5128YktOavA7oYTiL5wHdk7ofVsDdjBdUdyUAYg0W/FS0a&#10;wK+c9RSqkrsvG4GKs/aNISvOs+mUiPu4mc5Oc9rgcWV1XBFGElTJPWfj8sqPyd1Y1OuGJo3mG7gk&#10;+2odpQWfR1Z73hScqHgf8pDM43289efHXv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uVOtXNcA&#10;AAALAQAADwAAAAAAAAABACAAAAAiAAAAZHJzL2Rvd25yZXYueG1sUEsBAhQAFAAAAAgAh07iQAxq&#10;IMIgAgAAIAQAAA4AAAAAAAAAAQAgAAAAJgEAAGRycy9lMm9Eb2MueG1sUEsFBgAAAAAGAAYAWQEA&#10;ALgFAAAAAA==&#10;">
                <v:fill on="f" focussize="0,0"/>
                <v:stroke on="f"/>
                <v:imagedata o:title=""/>
                <o:lock v:ext="edit" aspectratio="f"/>
                <v:textbox>
                  <w:txbxContent>
                    <w:p w14:paraId="48C13A65">
                      <w:pPr>
                        <w:rPr>
                          <w:rFonts w:ascii="Times New Roman" w:hAnsi="Times New Roman" w:cs="Times New Roman"/>
                          <w:color w:val="FF0000"/>
                          <w:sz w:val="21"/>
                          <w:szCs w:val="18"/>
                          <w:lang w:eastAsia="zh-CN"/>
                        </w:rPr>
                      </w:pPr>
                      <w:r>
                        <w:rPr>
                          <w:rFonts w:hint="eastAsia" w:ascii="Times New Roman" w:hAnsi="Times New Roman" w:cs="Times New Roman"/>
                          <w:color w:val="FF0000"/>
                          <w:sz w:val="21"/>
                          <w:szCs w:val="18"/>
                          <w:lang w:eastAsia="zh-CN"/>
                        </w:rPr>
                        <w:t>T5</w:t>
                      </w:r>
                    </w:p>
                  </w:txbxContent>
                </v:textbox>
              </v:shape>
            </w:pict>
          </mc:Fallback>
        </mc:AlternateContent>
      </w:r>
      <w:r>
        <w:rPr>
          <w:rFonts w:ascii="Times New Roman" w:hAnsi="Times New Roman" w:cs="Times New Roman"/>
          <w:color w:val="auto"/>
        </w:rPr>
        <mc:AlternateContent>
          <mc:Choice Requires="wps">
            <w:drawing>
              <wp:anchor distT="0" distB="0" distL="114300" distR="114300" simplePos="0" relativeHeight="251725824" behindDoc="0" locked="0" layoutInCell="1" allowOverlap="1">
                <wp:simplePos x="0" y="0"/>
                <wp:positionH relativeFrom="column">
                  <wp:posOffset>2876550</wp:posOffset>
                </wp:positionH>
                <wp:positionV relativeFrom="paragraph">
                  <wp:posOffset>2313940</wp:posOffset>
                </wp:positionV>
                <wp:extent cx="139700" cy="133350"/>
                <wp:effectExtent l="9525" t="11430" r="12700" b="7620"/>
                <wp:wrapNone/>
                <wp:docPr id="2101629249" name="椭圆 3258"/>
                <wp:cNvGraphicFramePr/>
                <a:graphic xmlns:a="http://schemas.openxmlformats.org/drawingml/2006/main">
                  <a:graphicData uri="http://schemas.microsoft.com/office/word/2010/wordprocessingShape">
                    <wps:wsp>
                      <wps:cNvSpPr>
                        <a:spLocks noChangeArrowheads="1"/>
                      </wps:cNvSpPr>
                      <wps:spPr bwMode="auto">
                        <a:xfrm>
                          <a:off x="0" y="0"/>
                          <a:ext cx="139700" cy="133350"/>
                        </a:xfrm>
                        <a:prstGeom prst="ellipse">
                          <a:avLst/>
                        </a:prstGeom>
                        <a:solidFill>
                          <a:srgbClr val="FFFF00"/>
                        </a:solidFill>
                        <a:ln w="3175">
                          <a:solidFill>
                            <a:srgbClr val="4F81BD"/>
                          </a:solidFill>
                          <a:round/>
                        </a:ln>
                      </wps:spPr>
                      <wps:bodyPr rot="0" vert="horz" wrap="square" lIns="91440" tIns="45720" rIns="91440" bIns="45720" anchor="t" anchorCtr="0" upright="1">
                        <a:noAutofit/>
                      </wps:bodyPr>
                    </wps:wsp>
                  </a:graphicData>
                </a:graphic>
              </wp:anchor>
            </w:drawing>
          </mc:Choice>
          <mc:Fallback>
            <w:pict>
              <v:shape id="椭圆 3258" o:spid="_x0000_s1026" o:spt="3" type="#_x0000_t3" style="position:absolute;left:0pt;margin-left:226.5pt;margin-top:182.2pt;height:10.5pt;width:11pt;z-index:251725824;mso-width-relative:page;mso-height-relative:page;" fillcolor="#FFFF00" filled="t" stroked="t" coordsize="21600,21600" o:gfxdata="UEsDBAoAAAAAAIdO4kAAAAAAAAAAAAAAAAAEAAAAZHJzL1BLAwQUAAAACACHTuJA4hpyldkAAAAL&#10;AQAADwAAAGRycy9kb3ducmV2LnhtbE2PwW7CMBBE75X6D9ZW6q04gENDiIMQUtVDLxT6ASZekrTx&#10;OsSG0L/v9tQed3Y086ZY31wnrjiE1pOG6SQBgVR521Kt4ePw8pSBCNGQNZ0n1PCNAdbl/V1hcutH&#10;esfrPtaCQyjkRkMTY59LGaoGnQkT3yPx7+QHZyKfQy3tYEYOd52cJclCOtMSNzSmx22D1df+4jRs&#10;wuaVTkuf0fb8dt4d5PipZjutHx+myQpExFv8M8MvPqNDyUxHfyEbRKdBpXPeEjXMF0qBYId6Tlk5&#10;spKlCmRZyP8byh9QSwMEFAAAAAgAh07iQKh8uptAAgAAcAQAAA4AAABkcnMvZTJvRG9jLnhtbK1U&#10;wW7bMAy9D9g/CLqvjp2kbYw6Rdcgw4BuK9DtAxRZjoXJokYpcboP2Ff0uOs+a/uOUXLapd0OPcwH&#10;gRTJR/KR8tn5rjNsq9BrsBXPj0acKSuh1nZd8U8fl69OOfNB2FoYsKrit8rz8/nLF2e9K1UBLZha&#10;ISMQ68veVbwNwZVZ5mWrOuGPwClLxgawE4FUXGc1ip7QO5MVo9Fx1gPWDkEq7+l2MRj5HhGfAwhN&#10;o6VagNx0yoYBFZURgVryrXaez1O1TaNk+NA0XgVmKk6dhnRSEpJX8czmZ6Jco3CtlvsSxHNKeNJT&#10;J7SlpA9QCxEE26D+C6rTEsFDE44kdNnQSGKEushHT7i5aYVTqRei2rsH0v3/g5Xvt9fIdF3xIh/l&#10;x8WsmMw4s6Kjyf/6/uPn3Tc2Lqankafe+ZLcb9w1xk69uwL52TMLl62wa3WBCH2rRE3V5dE/exQQ&#10;FU+hbNW/g5rQxSZAomzXYBcBiQy2S5O5fZiM2gUm6TIfz05GNDNJpnw8Hk/T5DJR3gc79OGNgo5F&#10;oeLKGFqDyJ0oxfbKh1iPKO+9Uv1gdL3UxiQF16tLg2wraE+W9FGyIcQfuhnL+oqP85NpQn5k84cQ&#10;k+Vp/nrxLwiEja0HaGP3JEVeBn5XUN8SRwjDotIzJaEF/MpZT0tacf9lI1BxZt5a4nmWTyZxq5My&#10;mZ4UpOChZXVoEVYSVMUDZ4N4GYaXsHGo1y1lylNbFi5oNo1OpMW5DVXti6VFTFzuH03c9EM9ef35&#10;Ucx/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OIacpXZAAAACwEAAA8AAAAAAAAAAQAgAAAAIgAA&#10;AGRycy9kb3ducmV2LnhtbFBLAQIUABQAAAAIAIdO4kCofLqbQAIAAHAEAAAOAAAAAAAAAAEAIAAA&#10;ACgBAABkcnMvZTJvRG9jLnhtbFBLBQYAAAAABgAGAFkBAADaBQAAAAA=&#10;">
                <v:fill on="t" focussize="0,0"/>
                <v:stroke weight="0.25pt" color="#4F81BD" joinstyle="round"/>
                <v:imagedata o:title=""/>
                <o:lock v:ext="edit" aspectratio="f"/>
              </v:shape>
            </w:pict>
          </mc:Fallback>
        </mc:AlternateContent>
      </w:r>
      <w:r>
        <w:rPr>
          <w:rFonts w:ascii="Times New Roman" w:hAnsi="Times New Roman" w:cs="Times New Roman"/>
          <w:color w:val="auto"/>
        </w:rPr>
        <mc:AlternateContent>
          <mc:Choice Requires="wps">
            <w:drawing>
              <wp:anchor distT="0" distB="0" distL="114300" distR="114300" simplePos="0" relativeHeight="251722752" behindDoc="0" locked="0" layoutInCell="1" allowOverlap="1">
                <wp:simplePos x="0" y="0"/>
                <wp:positionH relativeFrom="column">
                  <wp:posOffset>2611120</wp:posOffset>
                </wp:positionH>
                <wp:positionV relativeFrom="paragraph">
                  <wp:posOffset>612775</wp:posOffset>
                </wp:positionV>
                <wp:extent cx="438150" cy="254000"/>
                <wp:effectExtent l="3810" t="3175" r="0" b="0"/>
                <wp:wrapNone/>
                <wp:docPr id="2079768153" name="文本框 3253"/>
                <wp:cNvGraphicFramePr/>
                <a:graphic xmlns:a="http://schemas.openxmlformats.org/drawingml/2006/main">
                  <a:graphicData uri="http://schemas.microsoft.com/office/word/2010/wordprocessingShape">
                    <wps:wsp>
                      <wps:cNvSpPr txBox="1">
                        <a:spLocks noChangeArrowheads="1"/>
                      </wps:cNvSpPr>
                      <wps:spPr bwMode="auto">
                        <a:xfrm>
                          <a:off x="0" y="0"/>
                          <a:ext cx="438150" cy="254000"/>
                        </a:xfrm>
                        <a:prstGeom prst="rect">
                          <a:avLst/>
                        </a:prstGeom>
                        <a:noFill/>
                        <a:ln>
                          <a:noFill/>
                        </a:ln>
                      </wps:spPr>
                      <wps:txbx>
                        <w:txbxContent>
                          <w:p w14:paraId="0C1B92D7">
                            <w:pPr>
                              <w:rPr>
                                <w:rFonts w:ascii="Times New Roman" w:hAnsi="Times New Roman" w:cs="Times New Roman"/>
                                <w:color w:val="FF0000"/>
                                <w:sz w:val="21"/>
                                <w:szCs w:val="18"/>
                                <w:lang w:eastAsia="zh-CN"/>
                              </w:rPr>
                            </w:pPr>
                            <w:r>
                              <w:rPr>
                                <w:rFonts w:hint="eastAsia" w:ascii="Times New Roman" w:hAnsi="Times New Roman" w:cs="Times New Roman"/>
                                <w:color w:val="FF0000"/>
                                <w:sz w:val="21"/>
                                <w:szCs w:val="18"/>
                                <w:lang w:eastAsia="zh-CN"/>
                              </w:rPr>
                              <w:t>T7</w:t>
                            </w:r>
                          </w:p>
                        </w:txbxContent>
                      </wps:txbx>
                      <wps:bodyPr rot="0" vert="horz" wrap="square" lIns="91440" tIns="45720" rIns="91440" bIns="45720" anchor="t" anchorCtr="0" upright="1">
                        <a:noAutofit/>
                      </wps:bodyPr>
                    </wps:wsp>
                  </a:graphicData>
                </a:graphic>
              </wp:anchor>
            </w:drawing>
          </mc:Choice>
          <mc:Fallback>
            <w:pict>
              <v:shape id="文本框 3253" o:spid="_x0000_s1026" o:spt="202" type="#_x0000_t202" style="position:absolute;left:0pt;margin-left:205.6pt;margin-top:48.25pt;height:20pt;width:34.5pt;z-index:251722752;mso-width-relative:page;mso-height-relative:page;" filled="f" stroked="f" coordsize="21600,21600" o:gfxdata="UEsDBAoAAAAAAIdO4kAAAAAAAAAAAAAAAAAEAAAAZHJzL1BLAwQUAAAACACHTuJAMc03ztYAAAAK&#10;AQAADwAAAGRycy9kb3ducmV2LnhtbE2PTU/DMAyG70j8h8hI3FjS0U1baboDiCuI8SFx8xqvrWic&#10;qsnW8u8xJzj69aPXj8vd7Ht1pjF2gS1kCwOKuA6u48bC2+vjzQZUTMgO+8Bk4Zsi7KrLixILFyZ+&#10;ofM+NUpKOBZooU1pKLSOdUse4yIMxLI7htFjknFstBtxknLf66Uxa+2xY7nQ4kD3LdVf+5O38P50&#10;/PzIzXPz4FfDFGaj2W+1tddXmbkDlWhOfzD86os6VOJ0CCd2UfUW8ixbCmphu16BEiDfGAkOQt5K&#10;oqtS/3+h+gFQSwMEFAAAAAgAh07iQEkYOl8gAgAAIAQAAA4AAABkcnMvZTJvRG9jLnhtbK1Ty47T&#10;MBTdI/EPlvc0adrOI2o6GqYahDQ8pIEPcB2nsUh8zbXbpHwA/AErNuz5rn4H106nlGEzCzaRfa99&#10;7jnHJ/Orvm3YVqHTYAo+HqWcKSOh1GZd8I8fbl9ccOa8MKVowKiC75TjV4vnz+adzVUGNTSlQkYg&#10;xuWdLXjtvc2TxMlatcKNwCpDzQqwFZ62uE5KFB2ht02SpelZ0gGWFkEq56i6HJr8gIhPAYSq0lIt&#10;QW5aZfyAiqoRniS5WlvHF5FtVSnp31WVU541BSelPn5pCK1X4Zss5iJfo7C1lgcK4ikUHmlqhTY0&#10;9Ai1FF6wDep/oFotERxUfiShTQYh0RFSMU4feXNfC6uiFrLa2aPp7v/Byrfb98h0WfAsPb88P7sY&#10;zyacGdHSy++/f9v/+LX/+ZVNMqqSVZ11Od24t3TH9y+hpwBF2c7egfzkmIGbWpi1ukaErlaiJKrj&#10;cDM5uTrguACy6t5ASaPExkME6itsg4/kDCN0eqbd8ZlU75mk4nRCLKkjqZXNpmkanzER+cNli86/&#10;UtCysCg4UgoiuNjeOR/IiPzhSJhl4FY3TUxCY/4q0MFQieQD34G571f9wYwVlDuSgTAEi34rWtSA&#10;XzjrKFQFd583AhVnzWtDVlyOp9OQwriZzs4z2uBpZ3XaEUYSVME9Z8Pyxg/J3VjU65omDeYbuCb7&#10;Kh2lBZ8HVgfeFJyo+BDykMzTfTz158de/A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xzTfO1gAA&#10;AAoBAAAPAAAAAAAAAAEAIAAAACIAAABkcnMvZG93bnJldi54bWxQSwECFAAUAAAACACHTuJASRg6&#10;XyACAAAgBAAADgAAAAAAAAABACAAAAAlAQAAZHJzL2Uyb0RvYy54bWxQSwUGAAAAAAYABgBZAQAA&#10;twUAAAAA&#10;">
                <v:fill on="f" focussize="0,0"/>
                <v:stroke on="f"/>
                <v:imagedata o:title=""/>
                <o:lock v:ext="edit" aspectratio="f"/>
                <v:textbox>
                  <w:txbxContent>
                    <w:p w14:paraId="0C1B92D7">
                      <w:pPr>
                        <w:rPr>
                          <w:rFonts w:ascii="Times New Roman" w:hAnsi="Times New Roman" w:cs="Times New Roman"/>
                          <w:color w:val="FF0000"/>
                          <w:sz w:val="21"/>
                          <w:szCs w:val="18"/>
                          <w:lang w:eastAsia="zh-CN"/>
                        </w:rPr>
                      </w:pPr>
                      <w:r>
                        <w:rPr>
                          <w:rFonts w:hint="eastAsia" w:ascii="Times New Roman" w:hAnsi="Times New Roman" w:cs="Times New Roman"/>
                          <w:color w:val="FF0000"/>
                          <w:sz w:val="21"/>
                          <w:szCs w:val="18"/>
                          <w:lang w:eastAsia="zh-CN"/>
                        </w:rPr>
                        <w:t>T7</w:t>
                      </w:r>
                    </w:p>
                  </w:txbxContent>
                </v:textbox>
              </v:shape>
            </w:pict>
          </mc:Fallback>
        </mc:AlternateContent>
      </w:r>
      <w:r>
        <w:rPr>
          <w:rFonts w:ascii="Times New Roman" w:hAnsi="Times New Roman" w:cs="Times New Roman"/>
          <w:color w:val="auto"/>
        </w:rPr>
        <mc:AlternateContent>
          <mc:Choice Requires="wps">
            <w:drawing>
              <wp:anchor distT="0" distB="0" distL="114300" distR="114300" simplePos="0" relativeHeight="251724800" behindDoc="0" locked="0" layoutInCell="1" allowOverlap="1">
                <wp:simplePos x="0" y="0"/>
                <wp:positionH relativeFrom="column">
                  <wp:posOffset>2760980</wp:posOffset>
                </wp:positionH>
                <wp:positionV relativeFrom="paragraph">
                  <wp:posOffset>565785</wp:posOffset>
                </wp:positionV>
                <wp:extent cx="139700" cy="133350"/>
                <wp:effectExtent l="13335" t="13970" r="8890" b="5080"/>
                <wp:wrapNone/>
                <wp:docPr id="1483182042" name="椭圆 3258"/>
                <wp:cNvGraphicFramePr/>
                <a:graphic xmlns:a="http://schemas.openxmlformats.org/drawingml/2006/main">
                  <a:graphicData uri="http://schemas.microsoft.com/office/word/2010/wordprocessingShape">
                    <wps:wsp>
                      <wps:cNvSpPr>
                        <a:spLocks noChangeArrowheads="1"/>
                      </wps:cNvSpPr>
                      <wps:spPr bwMode="auto">
                        <a:xfrm>
                          <a:off x="0" y="0"/>
                          <a:ext cx="139700" cy="133350"/>
                        </a:xfrm>
                        <a:prstGeom prst="ellipse">
                          <a:avLst/>
                        </a:prstGeom>
                        <a:solidFill>
                          <a:srgbClr val="FFFF00"/>
                        </a:solidFill>
                        <a:ln w="3175">
                          <a:solidFill>
                            <a:srgbClr val="4F81BD"/>
                          </a:solidFill>
                          <a:round/>
                        </a:ln>
                      </wps:spPr>
                      <wps:bodyPr rot="0" vert="horz" wrap="square" lIns="91440" tIns="45720" rIns="91440" bIns="45720" anchor="t" anchorCtr="0" upright="1">
                        <a:noAutofit/>
                      </wps:bodyPr>
                    </wps:wsp>
                  </a:graphicData>
                </a:graphic>
              </wp:anchor>
            </w:drawing>
          </mc:Choice>
          <mc:Fallback>
            <w:pict>
              <v:shape id="椭圆 3258" o:spid="_x0000_s1026" o:spt="3" type="#_x0000_t3" style="position:absolute;left:0pt;margin-left:217.4pt;margin-top:44.55pt;height:10.5pt;width:11pt;z-index:251724800;mso-width-relative:page;mso-height-relative:page;" fillcolor="#FFFF00" filled="t" stroked="t" coordsize="21600,21600" o:gfxdata="UEsDBAoAAAAAAIdO4kAAAAAAAAAAAAAAAAAEAAAAZHJzL1BLAwQUAAAACACHTuJAzR5Sv9gAAAAK&#10;AQAADwAAAGRycy9kb3ducmV2LnhtbE2PwU7DMAyG70i8Q2QkbizJKFNXmk7TJMSBy9h4gKzx2kLj&#10;dE22jrfHnOBo+9Pv7y9XV9+LC46xC2RAzxQIpDq4jhoDH/uXhxxETJac7QOhgW+MsKpub0pbuDDR&#10;O152qREcQrGwBtqUhkLKWLfobZyFAYlvxzB6m3gcG+lGO3G47+VcqYX0tiP+0NoBNy3WX7uzN7CO&#10;61c6LkNOm9PbabuX02c23xpzf6fVM4iE1/QHw68+q0PFTodwJhdFbyB7zFg9GciXGgQD2dOCFwcm&#10;tdIgq1L+r1D9AFBLAwQUAAAACACHTuJA+4vysz8CAABwBAAADgAAAGRycy9lMm9Eb2MueG1srVTB&#10;btswDL0P2D8Iuq+O42RNjTpF1yDDgG4r0O0DFFmOhcmiRilxug/YV+y46z5r+45Rcpql3Q49zAeB&#10;FMlH8pHy+cWuM2yr0GuwFc9PRpwpK6HWdl3xjx+WL2ac+SBsLQxYVfE75fnF/Pmz896VagwtmFoh&#10;IxDry95VvA3BlVnmZas64U/AKUvGBrATgVRcZzWKntA7k41Ho5dZD1g7BKm8p9vFYOR7RHwKIDSN&#10;lmoBctMpGwZUVEYEasm32nk+T9U2jZLhfdN4FZipOHUa0klJSF7FM5ufi3KNwrVa7ksQTynhUU+d&#10;0JaSHqAWIgi2Qf0XVKclgocmnEjosqGRxAh1kY8ecXPbCqdSL0S1dwfS/f+Dle+2N8h0TZswmRX5&#10;bDyajDmzoqPJ//r+4+e3r6wYT2eRp975ktxv3Q3GTr27BvnJMwtXrbBrdYkIfatETdXl0T97EBAV&#10;T6Fs1b+FmtDFJkCibNdgFwGJDLZLk7k7TEbtApN0mRdnpyOamSRTXhTFNE0uE+V9sEMfXivoWBQq&#10;royhNYjciVJsr32I9Yjy3ivVD0bXS21MUnC9ujLItoL2ZEkfJRtC/LGbsayveJGfThPyA5s/hpgs&#10;Z/mrxb8gEDa2HqCN3ZMUeRn4XUF9RxwhDItKz5SEFvALZz0tacX9541AxZl5Y4nns3wyiVudlMn0&#10;dEwKHltWxxZhJUFVPHA2iFdheAkbh3rdUqY8tWXhkmbT6ERanNtQ1b5YWsTE5f7RxE0/1pPXnx/F&#10;/D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NHlK/2AAAAAoBAAAPAAAAAAAAAAEAIAAAACIAAABk&#10;cnMvZG93bnJldi54bWxQSwECFAAUAAAACACHTuJA+4vysz8CAABwBAAADgAAAAAAAAABACAAAAAn&#10;AQAAZHJzL2Uyb0RvYy54bWxQSwUGAAAAAAYABgBZAQAA2AUAAAAA&#10;">
                <v:fill on="t" focussize="0,0"/>
                <v:stroke weight="0.25pt" color="#4F81BD" joinstyle="round"/>
                <v:imagedata o:title=""/>
                <o:lock v:ext="edit" aspectratio="f"/>
              </v:shape>
            </w:pict>
          </mc:Fallback>
        </mc:AlternateContent>
      </w:r>
      <w:r>
        <w:rPr>
          <w:rFonts w:ascii="Times New Roman" w:hAnsi="Times New Roman" w:cs="Times New Roman"/>
          <w:color w:val="auto"/>
        </w:rPr>
        <mc:AlternateContent>
          <mc:Choice Requires="wps">
            <w:drawing>
              <wp:anchor distT="0" distB="0" distL="114300" distR="114300" simplePos="0" relativeHeight="251706368" behindDoc="0" locked="0" layoutInCell="1" allowOverlap="1">
                <wp:simplePos x="0" y="0"/>
                <wp:positionH relativeFrom="column">
                  <wp:posOffset>947420</wp:posOffset>
                </wp:positionH>
                <wp:positionV relativeFrom="paragraph">
                  <wp:posOffset>559435</wp:posOffset>
                </wp:positionV>
                <wp:extent cx="438150" cy="254000"/>
                <wp:effectExtent l="0" t="0" r="3810" b="3175"/>
                <wp:wrapNone/>
                <wp:docPr id="662122198" name="文本框 3255"/>
                <wp:cNvGraphicFramePr/>
                <a:graphic xmlns:a="http://schemas.openxmlformats.org/drawingml/2006/main">
                  <a:graphicData uri="http://schemas.microsoft.com/office/word/2010/wordprocessingShape">
                    <wps:wsp>
                      <wps:cNvSpPr txBox="1">
                        <a:spLocks noChangeArrowheads="1"/>
                      </wps:cNvSpPr>
                      <wps:spPr bwMode="auto">
                        <a:xfrm>
                          <a:off x="0" y="0"/>
                          <a:ext cx="438150" cy="254000"/>
                        </a:xfrm>
                        <a:prstGeom prst="rect">
                          <a:avLst/>
                        </a:prstGeom>
                        <a:noFill/>
                        <a:ln>
                          <a:noFill/>
                        </a:ln>
                      </wps:spPr>
                      <wps:txbx>
                        <w:txbxContent>
                          <w:p w14:paraId="715B7490">
                            <w:pPr>
                              <w:rPr>
                                <w:rFonts w:ascii="Times New Roman" w:hAnsi="Times New Roman" w:cs="Times New Roman"/>
                                <w:color w:val="FF0000"/>
                                <w:sz w:val="21"/>
                                <w:szCs w:val="18"/>
                                <w:lang w:eastAsia="zh-CN"/>
                              </w:rPr>
                            </w:pPr>
                            <w:r>
                              <w:rPr>
                                <w:rFonts w:hint="eastAsia" w:ascii="Times New Roman" w:hAnsi="Times New Roman" w:cs="Times New Roman"/>
                                <w:color w:val="FF0000"/>
                                <w:sz w:val="21"/>
                                <w:szCs w:val="18"/>
                                <w:lang w:eastAsia="zh-CN"/>
                              </w:rPr>
                              <w:t>T3</w:t>
                            </w:r>
                          </w:p>
                        </w:txbxContent>
                      </wps:txbx>
                      <wps:bodyPr rot="0" vert="horz" wrap="square" lIns="91440" tIns="45720" rIns="91440" bIns="45720" anchor="t" anchorCtr="0" upright="1">
                        <a:noAutofit/>
                      </wps:bodyPr>
                    </wps:wsp>
                  </a:graphicData>
                </a:graphic>
              </wp:anchor>
            </w:drawing>
          </mc:Choice>
          <mc:Fallback>
            <w:pict>
              <v:shape id="文本框 3255" o:spid="_x0000_s1026" o:spt="202" type="#_x0000_t202" style="position:absolute;left:0pt;margin-left:74.6pt;margin-top:44.05pt;height:20pt;width:34.5pt;z-index:251706368;mso-width-relative:page;mso-height-relative:page;" filled="f" stroked="f" coordsize="21600,21600" o:gfxdata="UEsDBAoAAAAAAIdO4kAAAAAAAAAAAAAAAAAEAAAAZHJzL1BLAwQUAAAACACHTuJAL0q4tdQAAAAK&#10;AQAADwAAAGRycy9kb3ducmV2LnhtbE2PTU/DMAyG70j8h8hI3FjSaqCuNN0BxBXEGEjcvMZrKxqn&#10;arK1/HvMCY7vh14/rraLH9SZptgHtpCtDCjiJrieWwv7t6ebAlRMyA6HwGThmyJs68uLCksXZn6l&#10;8y61SkY4lmihS2kstY5NRx7jKozEkh3D5DGJnFrtJpxl3A86N+ZOe+xZLnQ40kNHzdfu5C28Px8/&#10;P9bmpX30t+McFqPZb7S111eZuQeVaEl/ZfjFF3SohekQTuyiGkSvN7lULRRFBkoKeVaIcZAkF0fX&#10;lf7/Qv0DUEsDBBQAAAAIAIdO4kBjcrIFIAIAAB8EAAAOAAAAZHJzL2Uyb0RvYy54bWytU0tu2zAQ&#10;3RfoHQjua1mK7SaC5SCNkaJA+gHSHoCmKIuoxGGHtCX3AM0Nuuqm+57L5+iQclw33WTRjUByyDfv&#10;vXmaX/Ztw7YKnQZT8HQ05kwZCaU264J/+njz4pwz54UpRQNGFXynHL9cPH8272yuMqihKRUyAjEu&#10;72zBa+9tniRO1qoVbgRWGSpWgK3wtMV1UqLoCL1tkmw8niUdYGkRpHKOTpdDkR8Q8SmAUFVaqiXI&#10;TauMH1BRNcKTJFdr6/gisq0qJf37qnLKs6bgpNTHLzWh9Sp8k8Vc5GsUttbyQEE8hcIjTa3Qhpoe&#10;oZbCC7ZB/Q9UqyWCg8qPJLTJICQ6QirS8SNv7mphVdRCVjt7NN39P1j5bvsBmS4LPptlaZalFzR+&#10;I1oa/P77/f7Hr/3Pb+wsm06DU511OT24s/TE96+gp/xE1c7egvzsmIHrWpi1ukKErlaiJKZpeJmc&#10;PB1wXABZdW+hpFZi4yEC9RW2wUYyhhE6TWl3nJLqPZN0ODk7T6dUkVTKppPxOE4xEfnDY4vOv1bQ&#10;srAoOFIIIrjY3jofyIj84UroZeBGN00MQmP+OqCL4SSSD3wH5r5f9QczVlDuSAbCkCv6q2hRA37l&#10;rKNMFdx92QhUnDVvDFlxkU4mIYRxM5m+zGiDp5XVaUUYSVAF95wNy2s/BHdjUa9r6jSYb+CK7Kt0&#10;lBZ8HlgdeFNuouJDxkMwT/fx1p//evE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L0q4tdQAAAAK&#10;AQAADwAAAAAAAAABACAAAAAiAAAAZHJzL2Rvd25yZXYueG1sUEsBAhQAFAAAAAgAh07iQGNysgUg&#10;AgAAHwQAAA4AAAAAAAAAAQAgAAAAIwEAAGRycy9lMm9Eb2MueG1sUEsFBgAAAAAGAAYAWQEAALUF&#10;AAAAAA==&#10;">
                <v:fill on="f" focussize="0,0"/>
                <v:stroke on="f"/>
                <v:imagedata o:title=""/>
                <o:lock v:ext="edit" aspectratio="f"/>
                <v:textbox>
                  <w:txbxContent>
                    <w:p w14:paraId="715B7490">
                      <w:pPr>
                        <w:rPr>
                          <w:rFonts w:ascii="Times New Roman" w:hAnsi="Times New Roman" w:cs="Times New Roman"/>
                          <w:color w:val="FF0000"/>
                          <w:sz w:val="21"/>
                          <w:szCs w:val="18"/>
                          <w:lang w:eastAsia="zh-CN"/>
                        </w:rPr>
                      </w:pPr>
                      <w:r>
                        <w:rPr>
                          <w:rFonts w:hint="eastAsia" w:ascii="Times New Roman" w:hAnsi="Times New Roman" w:cs="Times New Roman"/>
                          <w:color w:val="FF0000"/>
                          <w:sz w:val="21"/>
                          <w:szCs w:val="18"/>
                          <w:lang w:eastAsia="zh-CN"/>
                        </w:rPr>
                        <w:t>T3</w:t>
                      </w:r>
                    </w:p>
                  </w:txbxContent>
                </v:textbox>
              </v:shape>
            </w:pict>
          </mc:Fallback>
        </mc:AlternateContent>
      </w:r>
      <w:r>
        <w:rPr>
          <w:rFonts w:ascii="Times New Roman" w:hAnsi="Times New Roman" w:cs="Times New Roman"/>
          <w:color w:val="auto"/>
        </w:rPr>
        <mc:AlternateContent>
          <mc:Choice Requires="wps">
            <w:drawing>
              <wp:anchor distT="0" distB="0" distL="114300" distR="114300" simplePos="0" relativeHeight="251721728" behindDoc="0" locked="0" layoutInCell="1" allowOverlap="1">
                <wp:simplePos x="0" y="0"/>
                <wp:positionH relativeFrom="column">
                  <wp:posOffset>1028700</wp:posOffset>
                </wp:positionH>
                <wp:positionV relativeFrom="paragraph">
                  <wp:posOffset>472440</wp:posOffset>
                </wp:positionV>
                <wp:extent cx="139700" cy="133350"/>
                <wp:effectExtent l="9525" t="13970" r="12700" b="5080"/>
                <wp:wrapNone/>
                <wp:docPr id="2044160670" name="椭圆 3258"/>
                <wp:cNvGraphicFramePr/>
                <a:graphic xmlns:a="http://schemas.openxmlformats.org/drawingml/2006/main">
                  <a:graphicData uri="http://schemas.microsoft.com/office/word/2010/wordprocessingShape">
                    <wps:wsp>
                      <wps:cNvSpPr>
                        <a:spLocks noChangeArrowheads="1"/>
                      </wps:cNvSpPr>
                      <wps:spPr bwMode="auto">
                        <a:xfrm>
                          <a:off x="0" y="0"/>
                          <a:ext cx="139700" cy="133350"/>
                        </a:xfrm>
                        <a:prstGeom prst="ellipse">
                          <a:avLst/>
                        </a:prstGeom>
                        <a:solidFill>
                          <a:srgbClr val="FFFF00"/>
                        </a:solidFill>
                        <a:ln w="3175">
                          <a:solidFill>
                            <a:srgbClr val="4F81BD"/>
                          </a:solidFill>
                          <a:round/>
                        </a:ln>
                      </wps:spPr>
                      <wps:bodyPr rot="0" vert="horz" wrap="square" lIns="91440" tIns="45720" rIns="91440" bIns="45720" anchor="t" anchorCtr="0" upright="1">
                        <a:noAutofit/>
                      </wps:bodyPr>
                    </wps:wsp>
                  </a:graphicData>
                </a:graphic>
              </wp:anchor>
            </w:drawing>
          </mc:Choice>
          <mc:Fallback>
            <w:pict>
              <v:shape id="椭圆 3258" o:spid="_x0000_s1026" o:spt="3" type="#_x0000_t3" style="position:absolute;left:0pt;margin-left:81pt;margin-top:37.2pt;height:10.5pt;width:11pt;z-index:251721728;mso-width-relative:page;mso-height-relative:page;" fillcolor="#FFFF00" filled="t" stroked="t" coordsize="21600,21600" o:gfxdata="UEsDBAoAAAAAAIdO4kAAAAAAAAAAAAAAAAAEAAAAZHJzL1BLAwQUAAAACACHTuJANMaYFtcAAAAJ&#10;AQAADwAAAGRycy9kb3ducmV2LnhtbE2PwW7CMBBE75X6D9ZW6q04RC4NIQ5CSFUPvVDoB5h4SULj&#10;dYgNoX/f5VSOMzuafVMsr64TFxxC60nDdJKAQKq8banW8L17f8lAhGjIms4TavjFAMvy8aEwufUj&#10;feFlG2vBJRRyo6GJsc+lDFWDzoSJ75H4dvCDM5HlUEs7mJHLXSfTJJlJZ1riD43pcd1g9bM9Ow2r&#10;sPqgw9xntD59njY7OR5VutH6+WmaLEBEvMb/MNzwGR1KZtr7M9kgOtazlLdEDW9KgbgFMsXGXsP8&#10;VYEsC3m/oPwDUEsDBBQAAAAIAIdO4kAURL9oPwIAAHAEAAAOAAAAZHJzL2Uyb0RvYy54bWytVM1u&#10;1DAQviPxDpbvNMn+dNuo2ap0tQipQKXCA3gdZ2PheMzYu9nyADxFj1x5LHgOxs62bAuHHsjB8njG&#10;33zzzThn57vOsK1Cr8FWvDjKOVNWQq3tuuKfPi5fnXDmg7C1MGBVxW+V5+fzly/OeleqEbRgaoWM&#10;QKwve1fxNgRXZpmXreqEPwKnLDkbwE4EMnGd1Sh6Qu9MNsrz46wHrB2CVN7T6WJw8j0iPgcQmkZL&#10;tQC56ZQNAyoqIwKV5FvtPJ8ntk2jZPjQNF4FZipOlYa0UhLar+Kazc9EuUbhWi33FMRzKDypqRPa&#10;UtIHqIUIgm1Q/wXVaYngoQlHErpsKCQpQlUU+RNtblrhVKqFpPbuQXT//2Dl++01Ml1XfJRPJsVx&#10;fjwjaazoqPO/vv/4efeNjUfTk6hT73xJ4TfuGmOl3l2B/OyZhctW2LW6QIS+VaImdkWMzx5diIan&#10;q2zVv4Oa0MUmQJJs12AXAUkMtkuduX3ojNoFJumwGJ/OciImyVWMx+Np6lwmyvvLDn14o6BjcVNx&#10;ZQyNQdROlGJ75UPkI8r7qMQfjK6X2phk4Hp1aZBtBc3Jkj5KNlzxh2HGsr7i42I2TciPfP4QYrI8&#10;KV4v/gWBsLH1AG3sXqSoy6DvCupb0ghhGFR6prRpAb9y1tOQVtx/2QhUnJm3lnQ+LSaTONXJmExn&#10;IzLw0LM69AgrCarigbNhexmGl7BxqNctZSpSWRYuqDeNTqLFvg2s9mRpEJOW+0cTJ/3QTlF/fhT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TGmBbXAAAACQEAAA8AAAAAAAAAAQAgAAAAIgAAAGRy&#10;cy9kb3ducmV2LnhtbFBLAQIUABQAAAAIAIdO4kAURL9oPwIAAHAEAAAOAAAAAAAAAAEAIAAAACYB&#10;AABkcnMvZTJvRG9jLnhtbFBLBQYAAAAABgAGAFkBAADXBQAAAAA=&#10;">
                <v:fill on="t" focussize="0,0"/>
                <v:stroke weight="0.25pt" color="#4F81BD" joinstyle="round"/>
                <v:imagedata o:title=""/>
                <o:lock v:ext="edit" aspectratio="f"/>
              </v:shape>
            </w:pict>
          </mc:Fallback>
        </mc:AlternateContent>
      </w:r>
      <w:r>
        <w:rPr>
          <w:rFonts w:ascii="Times New Roman" w:hAnsi="Times New Roman" w:cs="Times New Roman"/>
          <w:color w:val="auto"/>
        </w:rPr>
        <mc:AlternateContent>
          <mc:Choice Requires="wps">
            <w:drawing>
              <wp:anchor distT="0" distB="0" distL="114300" distR="114300" simplePos="0" relativeHeight="251707392" behindDoc="0" locked="0" layoutInCell="1" allowOverlap="1">
                <wp:simplePos x="0" y="0"/>
                <wp:positionH relativeFrom="column">
                  <wp:posOffset>2713990</wp:posOffset>
                </wp:positionH>
                <wp:positionV relativeFrom="paragraph">
                  <wp:posOffset>1261745</wp:posOffset>
                </wp:positionV>
                <wp:extent cx="438150" cy="254000"/>
                <wp:effectExtent l="1270" t="0" r="0" b="0"/>
                <wp:wrapNone/>
                <wp:docPr id="181579826" name="文本框 3253"/>
                <wp:cNvGraphicFramePr/>
                <a:graphic xmlns:a="http://schemas.openxmlformats.org/drawingml/2006/main">
                  <a:graphicData uri="http://schemas.microsoft.com/office/word/2010/wordprocessingShape">
                    <wps:wsp>
                      <wps:cNvSpPr txBox="1">
                        <a:spLocks noChangeArrowheads="1"/>
                      </wps:cNvSpPr>
                      <wps:spPr bwMode="auto">
                        <a:xfrm>
                          <a:off x="0" y="0"/>
                          <a:ext cx="438150" cy="254000"/>
                        </a:xfrm>
                        <a:prstGeom prst="rect">
                          <a:avLst/>
                        </a:prstGeom>
                        <a:noFill/>
                        <a:ln>
                          <a:noFill/>
                        </a:ln>
                      </wps:spPr>
                      <wps:txbx>
                        <w:txbxContent>
                          <w:p w14:paraId="29319C40">
                            <w:pPr>
                              <w:rPr>
                                <w:rFonts w:ascii="Times New Roman" w:hAnsi="Times New Roman" w:cs="Times New Roman"/>
                                <w:color w:val="FF0000"/>
                                <w:sz w:val="21"/>
                                <w:szCs w:val="18"/>
                                <w:lang w:eastAsia="zh-CN"/>
                              </w:rPr>
                            </w:pPr>
                            <w:r>
                              <w:rPr>
                                <w:rFonts w:hint="eastAsia" w:ascii="Times New Roman" w:hAnsi="Times New Roman" w:cs="Times New Roman"/>
                                <w:color w:val="FF0000"/>
                                <w:sz w:val="21"/>
                                <w:szCs w:val="18"/>
                                <w:lang w:eastAsia="zh-CN"/>
                              </w:rPr>
                              <w:t>T2</w:t>
                            </w:r>
                          </w:p>
                        </w:txbxContent>
                      </wps:txbx>
                      <wps:bodyPr rot="0" vert="horz" wrap="square" lIns="91440" tIns="45720" rIns="91440" bIns="45720" anchor="t" anchorCtr="0" upright="1">
                        <a:noAutofit/>
                      </wps:bodyPr>
                    </wps:wsp>
                  </a:graphicData>
                </a:graphic>
              </wp:anchor>
            </w:drawing>
          </mc:Choice>
          <mc:Fallback>
            <w:pict>
              <v:shape id="文本框 3253" o:spid="_x0000_s1026" o:spt="202" type="#_x0000_t202" style="position:absolute;left:0pt;margin-left:213.7pt;margin-top:99.35pt;height:20pt;width:34.5pt;z-index:251707392;mso-width-relative:page;mso-height-relative:page;" filled="f" stroked="f" coordsize="21600,21600" o:gfxdata="UEsDBAoAAAAAAIdO4kAAAAAAAAAAAAAAAAAEAAAAZHJzL1BLAwQUAAAACACHTuJAINyvrNcAAAAL&#10;AQAADwAAAGRycy9kb3ducmV2LnhtbE2PwU7DMBBE70j9B2uRuFG7IbRNiNNDEVcQbUHi5sbbJCJe&#10;R7HbhL9nOdHjzjzNzhSbyXXigkNoPWlYzBUIpMrblmoNh/3L/RpEiIas6Tyhhh8MsClnN4XJrR/p&#10;HS+7WAsOoZAbDU2MfS5lqBp0Jsx9j8TeyQ/ORD6HWtrBjBzuOpkotZTOtMQfGtPjtsHqe3d2Gj5e&#10;T1+fqXqrn91jP/pJSXKZ1PrudqGeQESc4j8Mf/W5OpTc6ejPZIPoNKTJKmWUjWy9AsFEmi1ZOWpI&#10;HliRZSGvN5S/UEsDBBQAAAAIAIdO4kCCTWQnHwIAAB8EAAAOAAAAZHJzL2Uyb0RvYy54bWytU0tu&#10;2zAQ3RfoHQjua8mynTiC5SCNkaJA+gHSHoCmKIuoxGGHtKX0AO0Nuuqm+57L5+iQclw33WTRjUBy&#10;OG/ee3xaXPZtw3YKnQZT8PEo5UwZCaU2m4J//HDzYs6Z88KUogGjCn6vHL9cPn+26GyuMqihKRUy&#10;AjEu72zBa+9tniRO1qoVbgRWGSpWgK3wtMVNUqLoCL1tkixNz5IOsLQIUjlHp6uhyA+I+BRAqCot&#10;1QrktlXGD6ioGuFJkqu1dXwZ2VaVkv5dVTnlWVNwUurjl4bQeh2+yXIh8g0KW2t5oCCeQuGRplZo&#10;Q0OPUCvhBdui/geq1RLBQeVHEtpkEBIdIRXj9JE3d7WwKmohq509mu7+H6x8u3uPTJeUhPl4dn4x&#10;z844M6Klh99//7b/8Wv/8yubZLNJcKqzLqeGO0stvn8JPXVF1c7egvzkmIHrWpiNukKErlaiJKbj&#10;0JmctA44LoCsuzdQ0iix9RCB+grbYCMZwwidXun++Eqq90zS4XRCTKkiqZTNpmkaXzER+UOzRedf&#10;KWhZWBQcKQQRXOxunQ9kRP5wJcwycKObJgahMX8d0MVwEskHvgNz36/7gxlrKO9JBsKQK/qraFED&#10;fuGso0wV3H3eClScNa8NWXExnk5DCONmOjvPaIOnlfVpRRhJUAX3nA3Laz8Ed2tRb2qaNJhv4Irs&#10;q3SUFnweWB14U26i4kPGQzBP9/HWn/96+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g3K+s1wAA&#10;AAsBAAAPAAAAAAAAAAEAIAAAACIAAABkcnMvZG93bnJldi54bWxQSwECFAAUAAAACACHTuJAgk1k&#10;Jx8CAAAfBAAADgAAAAAAAAABACAAAAAmAQAAZHJzL2Uyb0RvYy54bWxQSwUGAAAAAAYABgBZAQAA&#10;twUAAAAA&#10;">
                <v:fill on="f" focussize="0,0"/>
                <v:stroke on="f"/>
                <v:imagedata o:title=""/>
                <o:lock v:ext="edit" aspectratio="f"/>
                <v:textbox>
                  <w:txbxContent>
                    <w:p w14:paraId="29319C40">
                      <w:pPr>
                        <w:rPr>
                          <w:rFonts w:ascii="Times New Roman" w:hAnsi="Times New Roman" w:cs="Times New Roman"/>
                          <w:color w:val="FF0000"/>
                          <w:sz w:val="21"/>
                          <w:szCs w:val="18"/>
                          <w:lang w:eastAsia="zh-CN"/>
                        </w:rPr>
                      </w:pPr>
                      <w:r>
                        <w:rPr>
                          <w:rFonts w:hint="eastAsia" w:ascii="Times New Roman" w:hAnsi="Times New Roman" w:cs="Times New Roman"/>
                          <w:color w:val="FF0000"/>
                          <w:sz w:val="21"/>
                          <w:szCs w:val="18"/>
                          <w:lang w:eastAsia="zh-CN"/>
                        </w:rPr>
                        <w:t>T2</w:t>
                      </w:r>
                    </w:p>
                  </w:txbxContent>
                </v:textbox>
              </v:shape>
            </w:pict>
          </mc:Fallback>
        </mc:AlternateContent>
      </w:r>
      <w:r>
        <w:rPr>
          <w:rFonts w:ascii="Times New Roman" w:hAnsi="Times New Roman" w:cs="Times New Roman"/>
          <w:color w:val="auto"/>
        </w:rPr>
        <mc:AlternateContent>
          <mc:Choice Requires="wps">
            <w:drawing>
              <wp:anchor distT="0" distB="0" distL="114300" distR="114300" simplePos="0" relativeHeight="251723776" behindDoc="0" locked="0" layoutInCell="1" allowOverlap="1">
                <wp:simplePos x="0" y="0"/>
                <wp:positionH relativeFrom="column">
                  <wp:posOffset>2792730</wp:posOffset>
                </wp:positionH>
                <wp:positionV relativeFrom="paragraph">
                  <wp:posOffset>1477010</wp:posOffset>
                </wp:positionV>
                <wp:extent cx="139700" cy="133350"/>
                <wp:effectExtent l="8255" t="6985" r="13970" b="12065"/>
                <wp:wrapNone/>
                <wp:docPr id="714450477" name="椭圆 3258"/>
                <wp:cNvGraphicFramePr/>
                <a:graphic xmlns:a="http://schemas.openxmlformats.org/drawingml/2006/main">
                  <a:graphicData uri="http://schemas.microsoft.com/office/word/2010/wordprocessingShape">
                    <wps:wsp>
                      <wps:cNvSpPr>
                        <a:spLocks noChangeArrowheads="1"/>
                      </wps:cNvSpPr>
                      <wps:spPr bwMode="auto">
                        <a:xfrm>
                          <a:off x="0" y="0"/>
                          <a:ext cx="139700" cy="133350"/>
                        </a:xfrm>
                        <a:prstGeom prst="ellipse">
                          <a:avLst/>
                        </a:prstGeom>
                        <a:solidFill>
                          <a:srgbClr val="FFFF00"/>
                        </a:solidFill>
                        <a:ln w="3175">
                          <a:solidFill>
                            <a:srgbClr val="4F81BD"/>
                          </a:solidFill>
                          <a:round/>
                        </a:ln>
                      </wps:spPr>
                      <wps:bodyPr rot="0" vert="horz" wrap="square" lIns="91440" tIns="45720" rIns="91440" bIns="45720" anchor="t" anchorCtr="0" upright="1">
                        <a:noAutofit/>
                      </wps:bodyPr>
                    </wps:wsp>
                  </a:graphicData>
                </a:graphic>
              </wp:anchor>
            </w:drawing>
          </mc:Choice>
          <mc:Fallback>
            <w:pict>
              <v:shape id="椭圆 3258" o:spid="_x0000_s1026" o:spt="3" type="#_x0000_t3" style="position:absolute;left:0pt;margin-left:219.9pt;margin-top:116.3pt;height:10.5pt;width:11pt;z-index:251723776;mso-width-relative:page;mso-height-relative:page;" fillcolor="#FFFF00" filled="t" stroked="t" coordsize="21600,21600" o:gfxdata="UEsDBAoAAAAAAIdO4kAAAAAAAAAAAAAAAAAEAAAAZHJzL1BLAwQUAAAACACHTuJAbGC2F9gAAAAL&#10;AQAADwAAAGRycy9kb3ducmV2LnhtbE2Py27CMBBF95X6D9ZU6q44r0aQxkEIqeqiGwr9ABMPSSAe&#10;h9gQ+vedrsryPnTnTLm82V5ccfSdIwXxLAKBVDvTUaPge/f+Mgfhgyaje0eo4Ac9LKvHh1IXxk30&#10;hddtaASPkC+0gjaEoZDS1y1a7WduQOLs4EarA8uxkWbUE4/bXiZRlEurO+ILrR5w3WJ92l6sgpVf&#10;fdBh4ea0Pn+eNzs5HbNko9TzUxy9gQh4C/9l+MNndKiYae8uZLzoFWTpgtGDgiRNchDcyPKYnT07&#10;r2kOsirl/Q/VL1BLAwQUAAAACACHTuJAnQKc3z4CAABvBAAADgAAAGRycy9lMm9Eb2MueG1srVTN&#10;bhMxEL4j8Q6W72Sz+SHtqpuqJApCKlCp8ACO15u18HrM2MmmPABPwZErjwXPwdibhrRw6IE9WDOe&#10;mW9mvhnvxeW+NWyn0GuwJc8HQ86UlVBpuyn5xw+rF2ec+SBsJQxYVfI75fnl/Pmzi84VagQNmEoh&#10;IxDri86VvAnBFVnmZaNa4QfglCVjDdiKQCpusgpFR+ityUbD4cusA6wcglTe0+2yN/IDIj4FEOpa&#10;S7UEuW2VDT0qKiMCteQb7Tyfp2rrWsnwvq69CsyUnDoN6aQkJK/jmc0vRLFB4RotDyWIp5TwqKdW&#10;aEtJj1BLEQTbov4LqtUSwUMdBhLarG8kMUJd5MNH3Nw2wqnUC1Ht3ZF0//9g5bvdDTJdlXyWTybT&#10;4WQ248yKlgb/6/uPn9++svFoehZp6pwvyPvW3WBs1LtrkJ88s7BohN2oK0ToGiUqKi6P/tmDgKh4&#10;CmXr7i1UhC62ARJj+xrbCEhcsH0azN1xMGofmKTLfHw+G9LIJJny8Xg8TYPLRHEf7NCH1wpaFoWS&#10;K2NoCyJ1ohC7ax9iPaK490r1g9HVShuTFNysFwbZTtCarOijZH2IP3UzlnUlH+ezaUJ+YPOnEJPV&#10;Wf5q+S8IhK2temhjDyRFXnp+11DdEUcI/Z7SKyWhAfzCWUc7WnL/eStQcWbeWOL5nEYWlzopk+ls&#10;RAqeWtanFmElQZU8cNaLi9A/hK1DvWkoU57asnBFs6l1Ii3Ora/qUCztYeLy8Gbiop/qyevPf2L+&#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GxgthfYAAAACwEAAA8AAAAAAAAAAQAgAAAAIgAAAGRy&#10;cy9kb3ducmV2LnhtbFBLAQIUABQAAAAIAIdO4kCdApzfPgIAAG8EAAAOAAAAAAAAAAEAIAAAACcB&#10;AABkcnMvZTJvRG9jLnhtbFBLBQYAAAAABgAGAFkBAADXBQAAAAA=&#10;">
                <v:fill on="t" focussize="0,0"/>
                <v:stroke weight="0.25pt" color="#4F81BD" joinstyle="round"/>
                <v:imagedata o:title=""/>
                <o:lock v:ext="edit" aspectratio="f"/>
              </v:shape>
            </w:pict>
          </mc:Fallback>
        </mc:AlternateContent>
      </w:r>
      <w:r>
        <w:rPr>
          <w:rFonts w:ascii="Times New Roman" w:hAnsi="Times New Roman" w:cs="Times New Roman"/>
          <w:color w:val="auto"/>
        </w:rPr>
        <mc:AlternateContent>
          <mc:Choice Requires="wps">
            <w:drawing>
              <wp:anchor distT="0" distB="0" distL="114300" distR="114300" simplePos="0" relativeHeight="251702272" behindDoc="0" locked="0" layoutInCell="1" allowOverlap="1">
                <wp:simplePos x="0" y="0"/>
                <wp:positionH relativeFrom="column">
                  <wp:posOffset>1582420</wp:posOffset>
                </wp:positionH>
                <wp:positionV relativeFrom="paragraph">
                  <wp:posOffset>2569845</wp:posOffset>
                </wp:positionV>
                <wp:extent cx="139700" cy="133350"/>
                <wp:effectExtent l="13335" t="12700" r="8890" b="6350"/>
                <wp:wrapNone/>
                <wp:docPr id="1561052516" name="椭圆 3263"/>
                <wp:cNvGraphicFramePr/>
                <a:graphic xmlns:a="http://schemas.openxmlformats.org/drawingml/2006/main">
                  <a:graphicData uri="http://schemas.microsoft.com/office/word/2010/wordprocessingShape">
                    <wps:wsp>
                      <wps:cNvSpPr>
                        <a:spLocks noChangeArrowheads="1"/>
                      </wps:cNvSpPr>
                      <wps:spPr bwMode="auto">
                        <a:xfrm>
                          <a:off x="0" y="0"/>
                          <a:ext cx="139700" cy="133350"/>
                        </a:xfrm>
                        <a:prstGeom prst="ellipse">
                          <a:avLst/>
                        </a:prstGeom>
                        <a:solidFill>
                          <a:srgbClr val="FFFF00"/>
                        </a:solidFill>
                        <a:ln w="3175">
                          <a:solidFill>
                            <a:srgbClr val="4F81BD"/>
                          </a:solidFill>
                          <a:round/>
                        </a:ln>
                      </wps:spPr>
                      <wps:bodyPr rot="0" vert="horz" wrap="square" lIns="91440" tIns="45720" rIns="91440" bIns="45720" anchor="t" anchorCtr="0" upright="1">
                        <a:noAutofit/>
                      </wps:bodyPr>
                    </wps:wsp>
                  </a:graphicData>
                </a:graphic>
              </wp:anchor>
            </w:drawing>
          </mc:Choice>
          <mc:Fallback>
            <w:pict>
              <v:shape id="椭圆 3263" o:spid="_x0000_s1026" o:spt="3" type="#_x0000_t3" style="position:absolute;left:0pt;margin-left:124.6pt;margin-top:202.35pt;height:10.5pt;width:11pt;z-index:251702272;mso-width-relative:page;mso-height-relative:page;" fillcolor="#FFFF00" filled="t" stroked="t" coordsize="21600,21600" o:gfxdata="UEsDBAoAAAAAAIdO4kAAAAAAAAAAAAAAAAAEAAAAZHJzL1BLAwQUAAAACACHTuJA/8dNRNkAAAAL&#10;AQAADwAAAGRycy9kb3ducmV2LnhtbE2PwU7DMAyG70i8Q2QkbixtVOjWNZ2mSYgDl7HxAFnjtR2N&#10;0zXZOt4ec4Kjf3/6/blc3VwvrjiGzpOGdJaAQKq97ajR8Ll/fZqDCNGQNb0n1PCNAVbV/V1pCusn&#10;+sDrLjaCSygURkMb41BIGeoWnQkzPyDx7uhHZyKPYyPtaCYud71USfIinemIL7RmwE2L9dfu4jSs&#10;w/qNjgs/p835/bzdy+mUqa3Wjw9psgQR8Rb/YPjVZ3Wo2OngL2SD6DWobKEY1ZAlWQ6CCZWnnBw4&#10;Uc85yKqU/3+ofgBQSwMEFAAAAAgAh07iQCmFH8k/AgAAcAQAAA4AAABkcnMvZTJvRG9jLnhtbK1U&#10;wW7bMAy9D9g/CLqvjuMkbY06Rdcgw4BuK9DtAxRZjoXJokYpcboP2Ff0uOs+a/uOUXLapd0OPcwH&#10;gRTJR/KR8tn5rjNsq9BrsBXPj0acKSuh1nZd8U8fl69OOPNB2FoYsKrit8rz8/nLF2e9K9UYWjC1&#10;QkYg1pe9q3gbgiuzzMtWdcIfgVOWjA1gJwKpuM5qFD2hdyYbj0azrAesHYJU3tPtYjDyPSI+BxCa&#10;Rku1ALnplA0DKiojArXkW+08n6dqm0bJ8KFpvArMVJw6DemkJCSv4pnNz0S5RuFaLfcliOeU8KSn&#10;TmhLSR+gFiIItkH9F1SnJYKHJhxJ6LKhkcQIdZGPnnBz0wqnUi9EtXcPpPv/Byvfb6+R6Zo2YTrL&#10;R9PxNJ9xZkVHk//1/cfPu2+sGM+KyFPvfEnuN+4aY6feXYH87JmFy1bYtbpAhL5Voqbq8uifPQqI&#10;iqdQturfQU3oYhMgUbZrsIuARAbbpcncPkxG7QKTdJkXp8cjmpkkU14UxTRNLhPlfbBDH94o6FgU&#10;Kq6MoTWI3IlSbK98iPWI8t4r1Q9G10ttTFJwvbo0yLaC9mRJHyUbQvyhm7Gsr3iRH08T8iObP4SY&#10;LE/y14t/QSBsbD1AG7snKfIy8LuC+pY4QhgWlZ4pCS3gV856WtKK+y8bgYoz89YSz6f5ZBK3OimT&#10;6fGYFDy0rA4twkqCqnjgbBAvw/ASNg71uqVMeWrLwgXNptGJtDi3oap9sbSIicv9o4mbfqgnrz8/&#10;iv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8dNRNkAAAALAQAADwAAAAAAAAABACAAAAAiAAAA&#10;ZHJzL2Rvd25yZXYueG1sUEsBAhQAFAAAAAgAh07iQCmFH8k/AgAAcAQAAA4AAAAAAAAAAQAgAAAA&#10;KAEAAGRycy9lMm9Eb2MueG1sUEsFBgAAAAAGAAYAWQEAANkFAAAAAA==&#10;">
                <v:fill on="t" focussize="0,0"/>
                <v:stroke weight="0.25pt" color="#4F81BD" joinstyle="round"/>
                <v:imagedata o:title=""/>
                <o:lock v:ext="edit" aspectratio="f"/>
              </v:shape>
            </w:pict>
          </mc:Fallback>
        </mc:AlternateContent>
      </w:r>
      <w:r>
        <w:rPr>
          <w:rFonts w:ascii="Times New Roman" w:hAnsi="Times New Roman" w:cs="Times New Roman"/>
          <w:color w:val="auto"/>
        </w:rPr>
        <mc:AlternateContent>
          <mc:Choice Requires="wps">
            <w:drawing>
              <wp:anchor distT="0" distB="0" distL="114300" distR="114300" simplePos="0" relativeHeight="251703296" behindDoc="0" locked="0" layoutInCell="1" allowOverlap="1">
                <wp:simplePos x="0" y="0"/>
                <wp:positionH relativeFrom="column">
                  <wp:posOffset>1529080</wp:posOffset>
                </wp:positionH>
                <wp:positionV relativeFrom="paragraph">
                  <wp:posOffset>2643505</wp:posOffset>
                </wp:positionV>
                <wp:extent cx="438150" cy="254000"/>
                <wp:effectExtent l="0" t="0" r="4445" b="4445"/>
                <wp:wrapNone/>
                <wp:docPr id="348603528" name="文本框 3262"/>
                <wp:cNvGraphicFramePr/>
                <a:graphic xmlns:a="http://schemas.openxmlformats.org/drawingml/2006/main">
                  <a:graphicData uri="http://schemas.microsoft.com/office/word/2010/wordprocessingShape">
                    <wps:wsp>
                      <wps:cNvSpPr txBox="1">
                        <a:spLocks noChangeArrowheads="1"/>
                      </wps:cNvSpPr>
                      <wps:spPr bwMode="auto">
                        <a:xfrm>
                          <a:off x="0" y="0"/>
                          <a:ext cx="438150" cy="254000"/>
                        </a:xfrm>
                        <a:prstGeom prst="rect">
                          <a:avLst/>
                        </a:prstGeom>
                        <a:noFill/>
                        <a:ln>
                          <a:noFill/>
                        </a:ln>
                      </wps:spPr>
                      <wps:txbx>
                        <w:txbxContent>
                          <w:p w14:paraId="236A698A">
                            <w:pPr>
                              <w:rPr>
                                <w:rFonts w:ascii="Times New Roman" w:hAnsi="Times New Roman" w:cs="Times New Roman"/>
                                <w:color w:val="FF0000"/>
                                <w:sz w:val="21"/>
                                <w:szCs w:val="18"/>
                                <w:lang w:eastAsia="zh-CN"/>
                              </w:rPr>
                            </w:pPr>
                            <w:r>
                              <w:rPr>
                                <w:rFonts w:hint="eastAsia" w:ascii="Times New Roman" w:hAnsi="Times New Roman" w:cs="Times New Roman"/>
                                <w:color w:val="FF0000"/>
                                <w:sz w:val="21"/>
                                <w:szCs w:val="18"/>
                                <w:lang w:eastAsia="zh-CN"/>
                              </w:rPr>
                              <w:t>T</w:t>
                            </w:r>
                            <w:r>
                              <w:rPr>
                                <w:rFonts w:ascii="Times New Roman" w:hAnsi="Times New Roman" w:cs="Times New Roman"/>
                                <w:color w:val="FF0000"/>
                                <w:sz w:val="21"/>
                                <w:szCs w:val="18"/>
                                <w:lang w:eastAsia="zh-CN"/>
                              </w:rPr>
                              <w:t>1</w:t>
                            </w:r>
                          </w:p>
                        </w:txbxContent>
                      </wps:txbx>
                      <wps:bodyPr rot="0" vert="horz" wrap="square" lIns="91440" tIns="45720" rIns="91440" bIns="45720" anchor="t" anchorCtr="0" upright="1">
                        <a:noAutofit/>
                      </wps:bodyPr>
                    </wps:wsp>
                  </a:graphicData>
                </a:graphic>
              </wp:anchor>
            </w:drawing>
          </mc:Choice>
          <mc:Fallback>
            <w:pict>
              <v:shape id="文本框 3262" o:spid="_x0000_s1026" o:spt="202" type="#_x0000_t202" style="position:absolute;left:0pt;margin-left:120.4pt;margin-top:208.15pt;height:20pt;width:34.5pt;z-index:251703296;mso-width-relative:page;mso-height-relative:page;" filled="f" stroked="f" coordsize="21600,21600" o:gfxdata="UEsDBAoAAAAAAIdO4kAAAAAAAAAAAAAAAAAEAAAAZHJzL1BLAwQUAAAACACHTuJA51IdNtYAAAAL&#10;AQAADwAAAGRycy9kb3ducmV2LnhtbE2PTU/DMAyG70j8h8hI3FjSrZtYaboDiCuI8SFx8xqvrWic&#10;qsnW8u8xJzj68avXj8vd7Ht1pjF2gS1kCwOKuA6u48bC2+vjzS2omJAd9oHJwjdF2FWXFyUWLkz8&#10;Qud9apSUcCzQQpvSUGgd65Y8xkUYiGV3DKPHJOPYaDfiJOW+10tjNtpjx3KhxYHuW6q/9idv4f3p&#10;+PmRm+fmwa+HKcxGs99qa6+vMnMHKtGc/sLwqy/qUInTIZzYRdVbWOZG1JOFPNusQEliZbZCDkLW&#10;QnRV6v8/VD9QSwMEFAAAAAgAh07iQMrHI+QgAgAAHwQAAA4AAABkcnMvZTJvRG9jLnhtbK1Ty47T&#10;MBTdI/EPlvc0afqgRE1Hw1SDkIaHNPABruM0FomvuXablA+AP2DFhj3fNd/BtdMpZdjMgk1k+9rn&#10;nnPuyfKibxu2V+g0mIKPRylnykgotdkW/OOH62cLzpwXphQNGFXwg3L8YvX0ybKzucqghqZUyAjE&#10;uLyzBa+9t3mSOFmrVrgRWGWoWAG2wtMWt0mJoiP0tkmyNJ0nHWBpEaRyjk7XQ5EfEfExgFBVWqo1&#10;yF2rjB9QUTXCkyRXa+v4KrKtKiX9u6pyyrOm4KTUxy81ofUmfJPVUuRbFLbW8khBPIbCA02t0Iaa&#10;nqDWwgu2Q/0PVKslgoPKjyS0ySAkOkIqxukDb25rYVXUQlY7ezLd/T9Y+Xb/HpkuCz6ZLubpZJbR&#10;+I1oafB337/d/fh19/Mrm2TzLDjVWZfTg1tLT3z/EnrKT1Tt7A3IT44ZuKqF2apLROhqJUpiOg4v&#10;k7OnA44LIJvuDZTUSuw8RKC+wjbYSMYwQqcpHU5TUr1nkg6nk8V4RhVJpWw2TdM4xUTk948tOv9K&#10;QcvCouBIIYjgYn/jfCAj8vsroZeBa900MQiN+euALoaTSD7wHZj7ftMfzdhAeSAZCEOu6K+iRQ34&#10;hbOOMlVw93knUHHWvDZkxYvxdBpCGDfT2fOMNnhe2ZxXhJEEVXDP2bC88kNwdxb1tqZOg/kGLsm+&#10;SkdpweeB1ZE35SYqPmY8BPN8H2/9+a9X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nUh021gAA&#10;AAsBAAAPAAAAAAAAAAEAIAAAACIAAABkcnMvZG93bnJldi54bWxQSwECFAAUAAAACACHTuJAyscj&#10;5CACAAAfBAAADgAAAAAAAAABACAAAAAlAQAAZHJzL2Uyb0RvYy54bWxQSwUGAAAAAAYABgBZAQAA&#10;twUAAAAA&#10;">
                <v:fill on="f" focussize="0,0"/>
                <v:stroke on="f"/>
                <v:imagedata o:title=""/>
                <o:lock v:ext="edit" aspectratio="f"/>
                <v:textbox>
                  <w:txbxContent>
                    <w:p w14:paraId="236A698A">
                      <w:pPr>
                        <w:rPr>
                          <w:rFonts w:ascii="Times New Roman" w:hAnsi="Times New Roman" w:cs="Times New Roman"/>
                          <w:color w:val="FF0000"/>
                          <w:sz w:val="21"/>
                          <w:szCs w:val="18"/>
                          <w:lang w:eastAsia="zh-CN"/>
                        </w:rPr>
                      </w:pPr>
                      <w:r>
                        <w:rPr>
                          <w:rFonts w:hint="eastAsia" w:ascii="Times New Roman" w:hAnsi="Times New Roman" w:cs="Times New Roman"/>
                          <w:color w:val="FF0000"/>
                          <w:sz w:val="21"/>
                          <w:szCs w:val="18"/>
                          <w:lang w:eastAsia="zh-CN"/>
                        </w:rPr>
                        <w:t>T</w:t>
                      </w:r>
                      <w:r>
                        <w:rPr>
                          <w:rFonts w:ascii="Times New Roman" w:hAnsi="Times New Roman" w:cs="Times New Roman"/>
                          <w:color w:val="FF0000"/>
                          <w:sz w:val="21"/>
                          <w:szCs w:val="18"/>
                          <w:lang w:eastAsia="zh-CN"/>
                        </w:rPr>
                        <w:t>1</w:t>
                      </w:r>
                    </w:p>
                  </w:txbxContent>
                </v:textbox>
              </v:shape>
            </w:pict>
          </mc:Fallback>
        </mc:AlternateContent>
      </w:r>
      <w:r>
        <w:rPr>
          <w:rFonts w:ascii="Times New Roman" w:hAnsi="Times New Roman" w:cs="Times New Roman"/>
          <w:color w:val="auto"/>
        </w:rPr>
        <mc:AlternateContent>
          <mc:Choice Requires="wps">
            <w:drawing>
              <wp:anchor distT="0" distB="0" distL="114300" distR="114300" simplePos="0" relativeHeight="251720704" behindDoc="0" locked="0" layoutInCell="1" allowOverlap="1">
                <wp:simplePos x="0" y="0"/>
                <wp:positionH relativeFrom="column">
                  <wp:posOffset>5061585</wp:posOffset>
                </wp:positionH>
                <wp:positionV relativeFrom="paragraph">
                  <wp:posOffset>3634105</wp:posOffset>
                </wp:positionV>
                <wp:extent cx="139700" cy="133350"/>
                <wp:effectExtent l="7620" t="12700" r="5080" b="6350"/>
                <wp:wrapNone/>
                <wp:docPr id="2089669508" name="椭圆 3257"/>
                <wp:cNvGraphicFramePr/>
                <a:graphic xmlns:a="http://schemas.openxmlformats.org/drawingml/2006/main">
                  <a:graphicData uri="http://schemas.microsoft.com/office/word/2010/wordprocessingShape">
                    <wps:wsp>
                      <wps:cNvSpPr>
                        <a:spLocks noChangeArrowheads="1"/>
                      </wps:cNvSpPr>
                      <wps:spPr bwMode="auto">
                        <a:xfrm>
                          <a:off x="0" y="0"/>
                          <a:ext cx="139700" cy="133350"/>
                        </a:xfrm>
                        <a:prstGeom prst="ellipse">
                          <a:avLst/>
                        </a:prstGeom>
                        <a:solidFill>
                          <a:srgbClr val="FFFF00"/>
                        </a:solidFill>
                        <a:ln w="3175">
                          <a:solidFill>
                            <a:srgbClr val="4F81BD"/>
                          </a:solidFill>
                          <a:round/>
                        </a:ln>
                      </wps:spPr>
                      <wps:bodyPr rot="0" vert="horz" wrap="square" lIns="91440" tIns="45720" rIns="91440" bIns="45720" anchor="t" anchorCtr="0" upright="1">
                        <a:noAutofit/>
                      </wps:bodyPr>
                    </wps:wsp>
                  </a:graphicData>
                </a:graphic>
              </wp:anchor>
            </w:drawing>
          </mc:Choice>
          <mc:Fallback>
            <w:pict>
              <v:shape id="椭圆 3257" o:spid="_x0000_s1026" o:spt="3" type="#_x0000_t3" style="position:absolute;left:0pt;margin-left:398.55pt;margin-top:286.15pt;height:10.5pt;width:11pt;z-index:251720704;mso-width-relative:page;mso-height-relative:page;" fillcolor="#FFFF00" filled="t" stroked="t" coordsize="21600,21600" o:gfxdata="UEsDBAoAAAAAAIdO4kAAAAAAAAAAAAAAAAAEAAAAZHJzL1BLAwQUAAAACACHTuJAuzdPtNkAAAAL&#10;AQAADwAAAGRycy9kb3ducmV2LnhtbE2Py07DMBBF90j8gzVI7KjzAPIgTlVVQizYlJYPcONpEojH&#10;aew25e8ZVnQ5d47unKmWFzuIM06+d6QgXkQgkBpnemoVfO5eH3IQPmgyenCECn7Qw7K+val0adxM&#10;H3jehlZwCflSK+hCGEspfdOh1X7hRiTeHdxkdeBxaqWZ9MzldpBJFD1Lq3viC50ecd1h8709WQUr&#10;v3qjQ+FyWh/fj5udnL8ek41S93dx9AIi4CX8w/Cnz+pQs9Pench4MSjIiixmVMFTlqQgmMjjgpM9&#10;J0Wagqwref1D/QtQSwMEFAAAAAgAh07iQDGyMNVAAgAAcAQAAA4AAABkcnMvZTJvRG9jLnhtbK1U&#10;zW7bMAy+D9g7CLqvtvPTNEadomuQYcB+CnR7AEWWY2GyqFFKnO4B9hQ77rrH2p5jlJx2abdDD/NB&#10;IEXyI/mR8vnFvjNsp9BrsBUvTnLOlJVQa7up+McPqxdnnPkgbC0MWFXxW+X5xeL5s/PelWoELZha&#10;ISMQ68veVbwNwZVZ5mWrOuFPwClLxgawE4FU3GQ1ip7QO5ON8vw06wFrhyCV93S7HIz8gIhPAYSm&#10;0VItQW47ZcOAisqIQC35VjvPF6naplEyvG8arwIzFadOQzopCcnreGaLc1FuULhWy0MJ4iklPOqp&#10;E9pS0nuopQiCbVH/BdVpieChCScSumxoJDFCXRT5I25uWuFU6oWo9u6edP//YOW73TUyXVd8lJ/N&#10;T0/n05zmb0VHk//1/cfPb1/ZeDSdRZ5650tyv3HXGDv17g3IT55ZuGqF3ahLROhbJWqqroj+2YOA&#10;qHgKZev+LdSELrYBEmX7BrsISGSwfZrM7f1k1D4wSZfFeD7LaWaSTMV4PJ6myWWivAt26MMrBR2L&#10;QsWVMbQGkTtRit0bH2I9orzzSvWD0fVKG5MU3KyvDLKdoD1Z0UfJhhB/7GYs6ys+LmbThPzA5o8h&#10;Jquz4uXyXxAIW1sP0MYeSIq8DPyuob4ljhCGRaVnSkIL+IWznpa04v7zVqDizLy2xPO8mEziVidl&#10;Mp2NSMFjy/rYIqwkqIoHzgbxKgwvYetQb1rKVKS2LFzSbBqdSItzG6o6FEuLmLg8PJq46cd68vrz&#10;o1j8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Ls3T7TZAAAACwEAAA8AAAAAAAAAAQAgAAAAIgAA&#10;AGRycy9kb3ducmV2LnhtbFBLAQIUABQAAAAIAIdO4kAxsjDVQAIAAHAEAAAOAAAAAAAAAAEAIAAA&#10;ACgBAABkcnMvZTJvRG9jLnhtbFBLBQYAAAAABgAGAFkBAADaBQAAAAA=&#10;">
                <v:fill on="t" focussize="0,0"/>
                <v:stroke weight="0.25pt" color="#4F81BD" joinstyle="round"/>
                <v:imagedata o:title=""/>
                <o:lock v:ext="edit" aspectratio="f"/>
              </v:shape>
            </w:pict>
          </mc:Fallback>
        </mc:AlternateContent>
      </w:r>
      <w:r>
        <w:rPr>
          <w:rFonts w:ascii="Times New Roman" w:hAnsi="Times New Roman" w:cs="Times New Roman"/>
          <w:color w:val="auto"/>
        </w:rPr>
        <mc:AlternateContent>
          <mc:Choice Requires="wps">
            <w:drawing>
              <wp:anchor distT="0" distB="0" distL="114300" distR="114300" simplePos="0" relativeHeight="251718656" behindDoc="0" locked="0" layoutInCell="1" allowOverlap="1">
                <wp:simplePos x="0" y="0"/>
                <wp:positionH relativeFrom="column">
                  <wp:posOffset>5056505</wp:posOffset>
                </wp:positionH>
                <wp:positionV relativeFrom="paragraph">
                  <wp:posOffset>3416300</wp:posOffset>
                </wp:positionV>
                <wp:extent cx="107950" cy="114300"/>
                <wp:effectExtent l="8890" t="5080" r="6985" b="13970"/>
                <wp:wrapNone/>
                <wp:docPr id="607905768" name="矩形 3208"/>
                <wp:cNvGraphicFramePr/>
                <a:graphic xmlns:a="http://schemas.openxmlformats.org/drawingml/2006/main">
                  <a:graphicData uri="http://schemas.microsoft.com/office/word/2010/wordprocessingShape">
                    <wps:wsp>
                      <wps:cNvSpPr>
                        <a:spLocks noChangeArrowheads="1"/>
                      </wps:cNvSpPr>
                      <wps:spPr bwMode="auto">
                        <a:xfrm>
                          <a:off x="0" y="0"/>
                          <a:ext cx="107950" cy="114300"/>
                        </a:xfrm>
                        <a:prstGeom prst="rect">
                          <a:avLst/>
                        </a:prstGeom>
                        <a:noFill/>
                        <a:ln w="9525">
                          <a:solidFill>
                            <a:srgbClr val="FF0000"/>
                          </a:solidFill>
                          <a:miter lim="800000"/>
                        </a:ln>
                      </wps:spPr>
                      <wps:bodyPr rot="0" vert="horz" wrap="square" lIns="91440" tIns="45720" rIns="91440" bIns="45720" anchor="t" anchorCtr="0" upright="1">
                        <a:noAutofit/>
                      </wps:bodyPr>
                    </wps:wsp>
                  </a:graphicData>
                </a:graphic>
              </wp:anchor>
            </w:drawing>
          </mc:Choice>
          <mc:Fallback>
            <w:pict>
              <v:rect id="矩形 3208" o:spid="_x0000_s1026" o:spt="1" style="position:absolute;left:0pt;margin-left:398.15pt;margin-top:269pt;height:9pt;width:8.5pt;z-index:251718656;mso-width-relative:page;mso-height-relative:page;" filled="f" stroked="t" coordsize="21600,21600" o:gfxdata="UEsDBAoAAAAAAIdO4kAAAAAAAAAAAAAAAAAEAAAAZHJzL1BLAwQUAAAACACHTuJA5sh4ldoAAAAL&#10;AQAADwAAAGRycy9kb3ducmV2LnhtbE2PPU/DMBCGdyT+g3VILIg6IWpIQ5wOSFChDqgtQ0cnvsYW&#10;sR3FblL+PcdEx3vv0ftRrS+2ZxOOwXgnIF0kwNC1XhnXCfg6vD0WwEKUTsneOxTwgwHW9e1NJUvl&#10;Z7fDaR87RiYulFKAjnEoOQ+tRivDwg/o6Hfyo5WRzrHjapQzmduePyVJzq00jhK0HPBVY/u9P1sB&#10;4fP9uD3sPqbObLaz3hg8Dc2DEPd3afICLOIl/sPwV5+qQ02dGn92KrBewPMqzwgVsMwKGkVEkWak&#10;NKQs8wR4XfHrDfUvUEsDBBQAAAAIAIdO4kDj4JBPOwIAAFAEAAAOAAAAZHJzL2Uyb0RvYy54bWyt&#10;VMFu1DAQvSPxD5bvNMl2t91GzVZVq0VIBSoVPsDrOBsL22PG3s2Wn0HixkfwOYjfYOxsy1IuPZBD&#10;5MmMn+e9N875xc4atlUYNLiGV0clZ8pJaLVbN/zjh+WrOWchCtcKA041/F4FfrF4+eJ88LWaQA+m&#10;VcgIxIV68A3vY/R1UQTZKyvCEXjlKNkBWhEpxHXRohgI3ZpiUpYnxQDYegSpQqCv12OS7xHxOYDQ&#10;dVqqa5Abq1wcUVEZEYlS6LUPfJG77Tol4/uuCyoy03BiGvObDqH1Kr2Lxbmo1yh8r+W+BfGcFp5w&#10;skI7OvQR6lpEwTao/4GyWiIE6OKRBFuMRLIixKIqn2hz1wuvMheSOvhH0cP/g5XvtrfIdNvwk/L0&#10;rJydnpD9Tlgy/tfX7z9/fGPHk3KeZBp8qKn6zt9iIhr8DchPgTm46oVbq0tEGHolWmquSvXFXxtS&#10;EGgrWw1voSV0sYmQFdt1aBMgacF22Zj7R2PULjJJHyvqbUaWSUpV1fS4zMYVon7Y7DHE1wosS4uG&#10;I/mewcX2JsTUjKgfStJZDpbamOy9cWxo+NlsMssbAhjdpmTmiOvVlUG2FTQ9y2VJT2ZG7A/LrI50&#10;I4y2DZ+nmoci4/YqJOKjgCto70kEhHEQ6RrSogf8wtlAQ9jw8HkjUHFm3jgS8qyaTtPU5mA6O51Q&#10;gIeZ1WFGOElQDY+cjcurOE76xqNe93RSlTk6uCTxO52FScaMXe2bpUHLeu0vRZrkwzhX/fkRLH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5sh4ldoAAAALAQAADwAAAAAAAAABACAAAAAiAAAAZHJz&#10;L2Rvd25yZXYueG1sUEsBAhQAFAAAAAgAh07iQOPgkE87AgAAUAQAAA4AAAAAAAAAAQAgAAAAKQEA&#10;AGRycy9lMm9Eb2MueG1sUEsFBgAAAAAGAAYAWQEAANYFAAAAAA==&#10;">
                <v:fill on="f" focussize="0,0"/>
                <v:stroke color="#FF0000" miterlimit="8" joinstyle="miter"/>
                <v:imagedata o:title=""/>
                <o:lock v:ext="edit" aspectratio="f"/>
              </v:rect>
            </w:pict>
          </mc:Fallback>
        </mc:AlternateContent>
      </w:r>
      <w:r>
        <w:rPr>
          <w:rFonts w:ascii="Times New Roman" w:hAnsi="Times New Roman" w:cs="Times New Roman"/>
          <w:color w:val="auto"/>
        </w:rPr>
        <mc:AlternateContent>
          <mc:Choice Requires="wps">
            <w:drawing>
              <wp:anchor distT="0" distB="0" distL="114300" distR="114300" simplePos="0" relativeHeight="251717632" behindDoc="0" locked="0" layoutInCell="1" allowOverlap="1">
                <wp:simplePos x="0" y="0"/>
                <wp:positionH relativeFrom="margin">
                  <wp:align>right</wp:align>
                </wp:positionH>
                <wp:positionV relativeFrom="paragraph">
                  <wp:posOffset>3142615</wp:posOffset>
                </wp:positionV>
                <wp:extent cx="1193800" cy="737235"/>
                <wp:effectExtent l="0" t="0" r="25400" b="24765"/>
                <wp:wrapNone/>
                <wp:docPr id="1568400412" name="文本框 3206"/>
                <wp:cNvGraphicFramePr/>
                <a:graphic xmlns:a="http://schemas.openxmlformats.org/drawingml/2006/main">
                  <a:graphicData uri="http://schemas.microsoft.com/office/word/2010/wordprocessingShape">
                    <wps:wsp>
                      <wps:cNvSpPr txBox="1">
                        <a:spLocks noChangeArrowheads="1"/>
                      </wps:cNvSpPr>
                      <wps:spPr bwMode="auto">
                        <a:xfrm>
                          <a:off x="0" y="0"/>
                          <a:ext cx="1193800" cy="737235"/>
                        </a:xfrm>
                        <a:prstGeom prst="rect">
                          <a:avLst/>
                        </a:prstGeom>
                        <a:solidFill>
                          <a:srgbClr val="FFFFFF"/>
                        </a:solidFill>
                        <a:ln w="3175">
                          <a:solidFill>
                            <a:srgbClr val="000000"/>
                          </a:solidFill>
                          <a:miter lim="800000"/>
                        </a:ln>
                      </wps:spPr>
                      <wps:txbx>
                        <w:txbxContent>
                          <w:p w14:paraId="19DC964D">
                            <w:pPr>
                              <w:ind w:firstLine="480"/>
                              <w:jc w:val="center"/>
                              <w:rPr>
                                <w:rFonts w:hint="eastAsia" w:ascii="宋体" w:hAnsi="宋体" w:cs="宋体"/>
                                <w:szCs w:val="24"/>
                                <w:lang w:eastAsia="zh-CN"/>
                              </w:rPr>
                            </w:pPr>
                            <w:r>
                              <w:rPr>
                                <w:rFonts w:hint="eastAsia" w:ascii="宋体" w:hAnsi="宋体" w:cs="宋体"/>
                                <w:szCs w:val="24"/>
                                <w:lang w:eastAsia="zh-CN"/>
                              </w:rPr>
                              <w:t>图例</w:t>
                            </w:r>
                          </w:p>
                          <w:p w14:paraId="3E7EB4A1">
                            <w:pPr>
                              <w:ind w:firstLine="480"/>
                              <w:jc w:val="center"/>
                              <w:rPr>
                                <w:rFonts w:hint="eastAsia" w:ascii="宋体" w:hAnsi="宋体" w:cs="宋体"/>
                                <w:szCs w:val="24"/>
                                <w:lang w:eastAsia="zh-CN"/>
                              </w:rPr>
                            </w:pPr>
                            <w:r>
                              <w:rPr>
                                <w:rFonts w:hint="eastAsia" w:ascii="宋体" w:hAnsi="宋体" w:cs="宋体"/>
                                <w:szCs w:val="24"/>
                                <w:lang w:eastAsia="zh-CN"/>
                              </w:rPr>
                              <w:t xml:space="preserve"> 项目地</w:t>
                            </w:r>
                          </w:p>
                          <w:p w14:paraId="1DE46838">
                            <w:pPr>
                              <w:ind w:firstLine="480"/>
                              <w:jc w:val="center"/>
                              <w:rPr>
                                <w:rFonts w:hint="eastAsia" w:ascii="宋体" w:hAnsi="宋体" w:cs="宋体"/>
                                <w:szCs w:val="24"/>
                                <w:lang w:eastAsia="zh-CN"/>
                              </w:rPr>
                            </w:pPr>
                            <w:r>
                              <w:rPr>
                                <w:rFonts w:hint="eastAsia" w:ascii="宋体" w:hAnsi="宋体" w:cs="宋体"/>
                                <w:szCs w:val="24"/>
                                <w:lang w:eastAsia="zh-CN"/>
                              </w:rPr>
                              <w:t xml:space="preserve"> 监测点位</w:t>
                            </w:r>
                          </w:p>
                        </w:txbxContent>
                      </wps:txbx>
                      <wps:bodyPr rot="0" vert="horz" wrap="square" lIns="91440" tIns="45720" rIns="91440" bIns="45720" anchor="t" anchorCtr="0" upright="1">
                        <a:noAutofit/>
                      </wps:bodyPr>
                    </wps:wsp>
                  </a:graphicData>
                </a:graphic>
              </wp:anchor>
            </w:drawing>
          </mc:Choice>
          <mc:Fallback>
            <w:pict>
              <v:shape id="文本框 3206" o:spid="_x0000_s1026" o:spt="202" type="#_x0000_t202" style="position:absolute;left:0pt;margin-top:247.45pt;height:58.05pt;width:94pt;mso-position-horizontal:right;mso-position-horizontal-relative:margin;z-index:251717632;mso-width-relative:page;mso-height-relative:page;" fillcolor="#FFFFFF" filled="t" stroked="t" coordsize="21600,21600" o:gfxdata="UEsDBAoAAAAAAIdO4kAAAAAAAAAAAAAAAAAEAAAAZHJzL1BLAwQUAAAACACHTuJAS3MeL9UAAAAI&#10;AQAADwAAAGRycy9kb3ducmV2LnhtbE2PwU7DMBBE70j8g7VIXBC1U1UlDdlUCAluILXlA7axSaJm&#10;11HsNuHvcU9wnJ3VzJtyO3OvLm4MnReEbGFAOam97aRB+Dq8PeagQiSx1HtxCD8uwLa6vSmpsH6S&#10;nbvsY6NSiISCENoYh0LrULeOKSz84CR5335kikmOjbYjTSmce700Zq2ZOkkNLQ3utXX1aX9mhA8S&#10;mpl3Lw8+8idPy9P708Eg3t9l5hlUdHP8e4YrfkKHKjEd/VlsUD1CGhIRVpvVBtTVzvN0OSKss8yA&#10;rkr9f0D1C1BLAwQUAAAACACHTuJAz/sNs0wCAACTBAAADgAAAGRycy9lMm9Eb2MueG1srVTNbtQw&#10;EL4j8Q6W7zTJ/nTbqNmqdLUIqfxIhQfwOs7GwvYY27tJeQB4A05cuPNcfQ7GTlqWAlIP+GB5MjPf&#10;zHwzk7PzXiuyF85LMBUtjnJKhOFQS7Ot6Pt362cnlPjATM0UGFHRG+Hp+fLpk7POlmICLahaOIIg&#10;xpedrWgbgi2zzPNWaOaPwAqDygacZgFFt81qxzpE1yqb5Plx1oGrrQMuvMevq0FJR0T3GEBoGsnF&#10;CvhOCxMGVCcUC1iSb6X1dJmybRrBw5um8SIQVVGsNKQbg+B7E+9secbKrWO2lXxMgT0mhQc1aSYN&#10;Br2HWrHAyM7JP6C05A48NOGIg86GQhIjWEWRP+DmumVWpFqQam/vSff/D5a/3r91RNY4CfPjk1me&#10;z4oJJYZp7Pzt1y+3337cfv9MppP8OFLVWV+ix7VFn9A/hx7dUtneXgH/4ImBy5aZrbhwDrpWsBpT&#10;LaJnduA64PgIsuleQY2h2C5AAuobpyOPyAxBdGzTzX2bRB8IjyGL0+lJjiqOusV0MZnOUwhW3nlb&#10;58MLAZrER0UdjkFCZ/srH2I2rLwzicE8KFmvpVJJcNvNpXJkz3Bk1umM6L+ZKUO6ik6LxXwg4J8Q&#10;eTp/g9Ay4CYpqSuK5eAZjZQZ+YoUDWSFftOP/G+gvkHmHAyzjJuMjxbcJ0o6nOOK+o875gQl6qVB&#10;9k+L2SwOfhJm88UEBXeo2RxqmOEIVdFAyfC8DMOy7KyT2xYjDf02cIEda2QiM7Z2yGrMG2c1cTzu&#10;VVyGQzlZ/fqXLH8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S3MeL9UAAAAIAQAADwAAAAAAAAAB&#10;ACAAAAAiAAAAZHJzL2Rvd25yZXYueG1sUEsBAhQAFAAAAAgAh07iQM/7DbNMAgAAkwQAAA4AAAAA&#10;AAAAAQAgAAAAJAEAAGRycy9lMm9Eb2MueG1sUEsFBgAAAAAGAAYAWQEAAOIFAAAAAA==&#10;">
                <v:fill on="t" focussize="0,0"/>
                <v:stroke weight="0.25pt" color="#000000" miterlimit="8" joinstyle="miter"/>
                <v:imagedata o:title=""/>
                <o:lock v:ext="edit" aspectratio="f"/>
                <v:textbox>
                  <w:txbxContent>
                    <w:p w14:paraId="19DC964D">
                      <w:pPr>
                        <w:ind w:firstLine="480"/>
                        <w:jc w:val="center"/>
                        <w:rPr>
                          <w:rFonts w:hint="eastAsia" w:ascii="宋体" w:hAnsi="宋体" w:cs="宋体"/>
                          <w:szCs w:val="24"/>
                          <w:lang w:eastAsia="zh-CN"/>
                        </w:rPr>
                      </w:pPr>
                      <w:r>
                        <w:rPr>
                          <w:rFonts w:hint="eastAsia" w:ascii="宋体" w:hAnsi="宋体" w:cs="宋体"/>
                          <w:szCs w:val="24"/>
                          <w:lang w:eastAsia="zh-CN"/>
                        </w:rPr>
                        <w:t>图例</w:t>
                      </w:r>
                    </w:p>
                    <w:p w14:paraId="3E7EB4A1">
                      <w:pPr>
                        <w:ind w:firstLine="480"/>
                        <w:jc w:val="center"/>
                        <w:rPr>
                          <w:rFonts w:hint="eastAsia" w:ascii="宋体" w:hAnsi="宋体" w:cs="宋体"/>
                          <w:szCs w:val="24"/>
                          <w:lang w:eastAsia="zh-CN"/>
                        </w:rPr>
                      </w:pPr>
                      <w:r>
                        <w:rPr>
                          <w:rFonts w:hint="eastAsia" w:ascii="宋体" w:hAnsi="宋体" w:cs="宋体"/>
                          <w:szCs w:val="24"/>
                          <w:lang w:eastAsia="zh-CN"/>
                        </w:rPr>
                        <w:t xml:space="preserve"> 项目地</w:t>
                      </w:r>
                    </w:p>
                    <w:p w14:paraId="1DE46838">
                      <w:pPr>
                        <w:ind w:firstLine="480"/>
                        <w:jc w:val="center"/>
                        <w:rPr>
                          <w:rFonts w:hint="eastAsia" w:ascii="宋体" w:hAnsi="宋体" w:cs="宋体"/>
                          <w:szCs w:val="24"/>
                          <w:lang w:eastAsia="zh-CN"/>
                        </w:rPr>
                      </w:pPr>
                      <w:r>
                        <w:rPr>
                          <w:rFonts w:hint="eastAsia" w:ascii="宋体" w:hAnsi="宋体" w:cs="宋体"/>
                          <w:szCs w:val="24"/>
                          <w:lang w:eastAsia="zh-CN"/>
                        </w:rPr>
                        <w:t xml:space="preserve"> 监测点位</w:t>
                      </w:r>
                    </w:p>
                  </w:txbxContent>
                </v:textbox>
              </v:shape>
            </w:pict>
          </mc:Fallback>
        </mc:AlternateContent>
      </w:r>
      <w:r>
        <w:rPr>
          <w:rFonts w:ascii="Times New Roman" w:hAnsi="Times New Roman" w:cs="Times New Roman"/>
          <w:color w:val="auto"/>
        </w:rPr>
        <w:drawing>
          <wp:anchor distT="0" distB="0" distL="114300" distR="114300" simplePos="0" relativeHeight="251719680" behindDoc="0" locked="0" layoutInCell="1" allowOverlap="1">
            <wp:simplePos x="0" y="0"/>
            <wp:positionH relativeFrom="margin">
              <wp:align>right</wp:align>
            </wp:positionH>
            <wp:positionV relativeFrom="paragraph">
              <wp:posOffset>154940</wp:posOffset>
            </wp:positionV>
            <wp:extent cx="875030" cy="661670"/>
            <wp:effectExtent l="0" t="0" r="1270" b="5080"/>
            <wp:wrapNone/>
            <wp:docPr id="1892" name="图片 3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 name="图片 394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875030" cy="661670"/>
                    </a:xfrm>
                    <a:prstGeom prst="rect">
                      <a:avLst/>
                    </a:prstGeom>
                    <a:noFill/>
                    <a:ln>
                      <a:noFill/>
                    </a:ln>
                  </pic:spPr>
                </pic:pic>
              </a:graphicData>
            </a:graphic>
          </wp:anchor>
        </w:drawing>
      </w:r>
      <w:r>
        <w:rPr>
          <w:snapToGrid/>
        </w:rPr>
        <w:drawing>
          <wp:inline distT="0" distB="0" distL="0" distR="0">
            <wp:extent cx="6120765" cy="4495165"/>
            <wp:effectExtent l="0" t="0" r="0" b="635"/>
            <wp:docPr id="2724391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439194" name="图片 1"/>
                    <pic:cNvPicPr>
                      <a:picLocks noChangeAspect="1"/>
                    </pic:cNvPicPr>
                  </pic:nvPicPr>
                  <pic:blipFill>
                    <a:blip r:embed="rId76"/>
                    <a:stretch>
                      <a:fillRect/>
                    </a:stretch>
                  </pic:blipFill>
                  <pic:spPr>
                    <a:xfrm>
                      <a:off x="0" y="0"/>
                      <a:ext cx="6120765" cy="4495165"/>
                    </a:xfrm>
                    <a:prstGeom prst="rect">
                      <a:avLst/>
                    </a:prstGeom>
                  </pic:spPr>
                </pic:pic>
              </a:graphicData>
            </a:graphic>
          </wp:inline>
        </w:drawing>
      </w:r>
    </w:p>
    <w:p w14:paraId="2B81B7C7">
      <w:pPr>
        <w:jc w:val="center"/>
        <w:rPr>
          <w:rFonts w:ascii="Times New Roman" w:hAnsi="Times New Roman" w:cs="Times New Roman"/>
          <w:color w:val="auto"/>
          <w:lang w:eastAsia="zh-CN"/>
        </w:rPr>
      </w:pPr>
      <w:r>
        <w:rPr>
          <w:rFonts w:ascii="Times New Roman" w:hAnsi="Times New Roman" w:cs="Times New Roman"/>
          <w:b/>
          <w:bCs/>
          <w:color w:val="auto"/>
          <w:lang w:eastAsia="zh-CN"/>
        </w:rPr>
        <w:t>图5.2-5土壤环境质量监测布点图</w:t>
      </w:r>
      <w:r>
        <w:rPr>
          <w:rFonts w:hint="eastAsia" w:ascii="Times New Roman" w:hAnsi="Times New Roman" w:cs="Times New Roman"/>
          <w:b/>
          <w:bCs/>
          <w:color w:val="auto"/>
          <w:lang w:eastAsia="zh-CN"/>
        </w:rPr>
        <w:t>（1）</w:t>
      </w:r>
    </w:p>
    <w:p w14:paraId="2A741E5E">
      <w:pPr>
        <w:spacing w:line="360" w:lineRule="auto"/>
        <w:jc w:val="center"/>
        <w:rPr>
          <w:rFonts w:ascii="Times New Roman" w:hAnsi="Times New Roman" w:cs="Times New Roman"/>
          <w:color w:val="auto"/>
          <w:szCs w:val="24"/>
          <w:lang w:eastAsia="zh-CN"/>
        </w:rPr>
      </w:pPr>
      <w:r>
        <w:rPr>
          <w:rFonts w:ascii="Times New Roman" w:hAnsi="Times New Roman" w:cs="Times New Roman"/>
          <w:color w:val="auto"/>
        </w:rPr>
        <mc:AlternateContent>
          <mc:Choice Requires="wps">
            <w:drawing>
              <wp:anchor distT="0" distB="0" distL="114300" distR="114300" simplePos="0" relativeHeight="251845632" behindDoc="0" locked="0" layoutInCell="1" allowOverlap="1">
                <wp:simplePos x="0" y="0"/>
                <wp:positionH relativeFrom="column">
                  <wp:posOffset>1065530</wp:posOffset>
                </wp:positionH>
                <wp:positionV relativeFrom="paragraph">
                  <wp:posOffset>3089910</wp:posOffset>
                </wp:positionV>
                <wp:extent cx="438150" cy="254000"/>
                <wp:effectExtent l="3810" t="3175" r="0" b="0"/>
                <wp:wrapNone/>
                <wp:docPr id="1103370642" name="文本框 3253"/>
                <wp:cNvGraphicFramePr/>
                <a:graphic xmlns:a="http://schemas.openxmlformats.org/drawingml/2006/main">
                  <a:graphicData uri="http://schemas.microsoft.com/office/word/2010/wordprocessingShape">
                    <wps:wsp>
                      <wps:cNvSpPr txBox="1">
                        <a:spLocks noChangeArrowheads="1"/>
                      </wps:cNvSpPr>
                      <wps:spPr bwMode="auto">
                        <a:xfrm>
                          <a:off x="0" y="0"/>
                          <a:ext cx="438150" cy="254000"/>
                        </a:xfrm>
                        <a:prstGeom prst="rect">
                          <a:avLst/>
                        </a:prstGeom>
                        <a:noFill/>
                        <a:ln>
                          <a:noFill/>
                        </a:ln>
                      </wps:spPr>
                      <wps:txbx>
                        <w:txbxContent>
                          <w:p w14:paraId="5712048A">
                            <w:pPr>
                              <w:rPr>
                                <w:rFonts w:ascii="Times New Roman" w:hAnsi="Times New Roman" w:cs="Times New Roman"/>
                                <w:color w:val="FF0000"/>
                                <w:sz w:val="21"/>
                                <w:szCs w:val="18"/>
                                <w:lang w:eastAsia="zh-CN"/>
                              </w:rPr>
                            </w:pPr>
                            <w:r>
                              <w:rPr>
                                <w:rFonts w:hint="eastAsia" w:ascii="Times New Roman" w:hAnsi="Times New Roman" w:cs="Times New Roman"/>
                                <w:color w:val="FF0000"/>
                                <w:sz w:val="21"/>
                                <w:szCs w:val="18"/>
                                <w:lang w:eastAsia="zh-CN"/>
                              </w:rPr>
                              <w:t>T9</w:t>
                            </w:r>
                          </w:p>
                        </w:txbxContent>
                      </wps:txbx>
                      <wps:bodyPr rot="0" vert="horz" wrap="square" lIns="91440" tIns="45720" rIns="91440" bIns="45720" anchor="t" anchorCtr="0" upright="1">
                        <a:noAutofit/>
                      </wps:bodyPr>
                    </wps:wsp>
                  </a:graphicData>
                </a:graphic>
              </wp:anchor>
            </w:drawing>
          </mc:Choice>
          <mc:Fallback>
            <w:pict>
              <v:shape id="文本框 3253" o:spid="_x0000_s1026" o:spt="202" type="#_x0000_t202" style="position:absolute;left:0pt;margin-left:83.9pt;margin-top:243.3pt;height:20pt;width:34.5pt;z-index:251845632;mso-width-relative:page;mso-height-relative:page;" filled="f" stroked="f" coordsize="21600,21600" o:gfxdata="UEsDBAoAAAAAAIdO4kAAAAAAAAAAAAAAAAAEAAAAZHJzL1BLAwQUAAAACACHTuJAJ7mxLdcAAAAL&#10;AQAADwAAAGRycy9kb3ducmV2LnhtbE2PzU7DMBCE70i8g7VI3Kjd0JqSxumhFVcQ5Ufi5sbbJGq8&#10;jmK3CW/PcoLjzI5mvyk2k+/EBYfYBjIwnykQSFVwLdUG3t+e7lYgYrLkbBcIDXxjhE15fVXY3IWR&#10;XvGyT7XgEoq5NdCk1OdSxqpBb+Ms9Eh8O4bB28RyqKUb7MjlvpOZUlp62xJ/aGyP2war0/7sDXw8&#10;H78+F+ql3vllP4ZJSfKP0pjbm7lag0g4pb8w/OIzOpTMdAhnclF0rPUDoycDi5XWIDiR3Wt2DgaW&#10;GTuyLOT/DeUPUEsDBBQAAAAIAIdO4kC/6CFcIAIAACAEAAAOAAAAZHJzL2Uyb0RvYy54bWytU0tu&#10;2zAU3BfoHQjua30sJ6lgOUhjpCiQfoC0B6ApyiIq8rEkbck9QHODrrrpvufyOfpIOa6bbrLoRiD5&#10;+ObNDEfzy0F1ZCusk6Armk1SSoTmUEu9ruinjzcvLihxnumadaBFRXfC0cvF82fz3pQihxa6WliC&#10;INqVvalo670pk8TxVijmJmCExmIDVjGPW7tOast6RFddkqfpWdKDrY0FLpzD0+VYpAdE+xRAaBrJ&#10;xRL4RgntR1QrOuZRkmulcXQR2TaN4P590zjhSVdRVOrjF4fgehW+yWLOyrVlppX8QIE9hcIjTYpJ&#10;jUOPUEvmGdlY+Q+UktyCg8ZPOKhkFBIdQRVZ+sibu5YZEbWg1c4cTXf/D5a/236wRNaYhCydTs/T&#10;syKnRDOFL7//fr//8Wv/8xuZ5rNpsKo3rsSOO4M9fngFA7ZF2c7cAv/siIbrlum1uLIW+lawGqlm&#10;oTM5aR1xXABZ9W+hxlFs4yECDY1VwUd0hiA6PtPu+Exi8ITjYTG9yGZY4VjKZ0WaxmdMWPnQbKzz&#10;rwUoEhYVtZiCCM62t84HMqx8uBJmabiRXReT0Om/DvBiOInkA9+RuR9Ww8GMFdQ7lGFhDBb+Vrho&#10;wX6lpMdQVdR92TArKOneaLTiZVYUIYVxU8zOc9zY08rqtMI0R6iKekrG5bUfk7sxVq5bnDSar+EK&#10;7WtklBZ8HlkdeGNwouJDyEMyT/fx1p8fe/E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J7mxLdcA&#10;AAALAQAADwAAAAAAAAABACAAAAAiAAAAZHJzL2Rvd25yZXYueG1sUEsBAhQAFAAAAAgAh07iQL/o&#10;IVwgAgAAIAQAAA4AAAAAAAAAAQAgAAAAJgEAAGRycy9lMm9Eb2MueG1sUEsFBgAAAAAGAAYAWQEA&#10;ALgFAAAAAA==&#10;">
                <v:fill on="f" focussize="0,0"/>
                <v:stroke on="f"/>
                <v:imagedata o:title=""/>
                <o:lock v:ext="edit" aspectratio="f"/>
                <v:textbox>
                  <w:txbxContent>
                    <w:p w14:paraId="5712048A">
                      <w:pPr>
                        <w:rPr>
                          <w:rFonts w:ascii="Times New Roman" w:hAnsi="Times New Roman" w:cs="Times New Roman"/>
                          <w:color w:val="FF0000"/>
                          <w:sz w:val="21"/>
                          <w:szCs w:val="18"/>
                          <w:lang w:eastAsia="zh-CN"/>
                        </w:rPr>
                      </w:pPr>
                      <w:r>
                        <w:rPr>
                          <w:rFonts w:hint="eastAsia" w:ascii="Times New Roman" w:hAnsi="Times New Roman" w:cs="Times New Roman"/>
                          <w:color w:val="FF0000"/>
                          <w:sz w:val="21"/>
                          <w:szCs w:val="18"/>
                          <w:lang w:eastAsia="zh-CN"/>
                        </w:rPr>
                        <w:t>T9</w:t>
                      </w:r>
                    </w:p>
                  </w:txbxContent>
                </v:textbox>
              </v:shape>
            </w:pict>
          </mc:Fallback>
        </mc:AlternateContent>
      </w:r>
      <w:r>
        <w:rPr>
          <w:rFonts w:ascii="Times New Roman" w:hAnsi="Times New Roman" w:cs="Times New Roman"/>
          <w:color w:val="auto"/>
        </w:rPr>
        <mc:AlternateContent>
          <mc:Choice Requires="wps">
            <w:drawing>
              <wp:anchor distT="0" distB="0" distL="114300" distR="114300" simplePos="0" relativeHeight="251840512" behindDoc="0" locked="0" layoutInCell="1" allowOverlap="1">
                <wp:simplePos x="0" y="0"/>
                <wp:positionH relativeFrom="column">
                  <wp:posOffset>1163955</wp:posOffset>
                </wp:positionH>
                <wp:positionV relativeFrom="paragraph">
                  <wp:posOffset>3306445</wp:posOffset>
                </wp:positionV>
                <wp:extent cx="139700" cy="133350"/>
                <wp:effectExtent l="7620" t="12700" r="5080" b="6350"/>
                <wp:wrapNone/>
                <wp:docPr id="1362564034" name="椭圆 3257"/>
                <wp:cNvGraphicFramePr/>
                <a:graphic xmlns:a="http://schemas.openxmlformats.org/drawingml/2006/main">
                  <a:graphicData uri="http://schemas.microsoft.com/office/word/2010/wordprocessingShape">
                    <wps:wsp>
                      <wps:cNvSpPr>
                        <a:spLocks noChangeArrowheads="1"/>
                      </wps:cNvSpPr>
                      <wps:spPr bwMode="auto">
                        <a:xfrm>
                          <a:off x="0" y="0"/>
                          <a:ext cx="139700" cy="133350"/>
                        </a:xfrm>
                        <a:prstGeom prst="ellipse">
                          <a:avLst/>
                        </a:prstGeom>
                        <a:solidFill>
                          <a:srgbClr val="FFFF00"/>
                        </a:solidFill>
                        <a:ln w="3175">
                          <a:solidFill>
                            <a:srgbClr val="4F81BD"/>
                          </a:solidFill>
                          <a:round/>
                        </a:ln>
                      </wps:spPr>
                      <wps:bodyPr rot="0" vert="horz" wrap="square" lIns="91440" tIns="45720" rIns="91440" bIns="45720" anchor="t" anchorCtr="0" upright="1">
                        <a:noAutofit/>
                      </wps:bodyPr>
                    </wps:wsp>
                  </a:graphicData>
                </a:graphic>
              </wp:anchor>
            </w:drawing>
          </mc:Choice>
          <mc:Fallback>
            <w:pict>
              <v:shape id="椭圆 3257" o:spid="_x0000_s1026" o:spt="3" type="#_x0000_t3" style="position:absolute;left:0pt;margin-left:91.65pt;margin-top:260.35pt;height:10.5pt;width:11pt;z-index:251840512;mso-width-relative:page;mso-height-relative:page;" fillcolor="#FFFF00" filled="t" stroked="t" coordsize="21600,21600" o:gfxdata="UEsDBAoAAAAAAIdO4kAAAAAAAAAAAAAAAAAEAAAAZHJzL1BLAwQUAAAACACHTuJAXH0bu9gAAAAL&#10;AQAADwAAAGRycy9kb3ducmV2LnhtbE2PwW7CMBBE75X6D9ZW6q3YCVDSEAchpKqHXij0A0y8JKHx&#10;OsSG0L/v9tQeZ/ZpdqZY3VwnrjiE1pOGZKJAIFXetlRr+Ny/PmUgQjRkTecJNXxjgFV5f1eY3PqR&#10;PvC6i7XgEAq50dDE2OdShqpBZ8LE90h8O/rBmchyqKUdzMjhrpOpUs/SmZb4Q2N63DRYfe0uTsM6&#10;rN/o+OIz2pzfz9u9HE+zdKv140OiliAi3uIfDL/1uTqU3OngL2SD6Fhn0ymjGuapWoBgIlVzdg7s&#10;zJIFyLKQ/zeUP1BLAwQUAAAACACHTuJAVUWatj8CAABwBAAADgAAAGRycy9lMm9Eb2MueG1srVTB&#10;btswDL0P2D8Iuq+O46RpjTpF1yDDgG4r0O0DFFmOhcmiRilxug/YV/S46z5r+45Rctql3Q49zAeB&#10;FMlH8pHy2fmuM2yr0GuwFc+PRpwpK6HWdl3xTx+Xr04480HYWhiwquK3yvPz+csXZ70r1RhaMLVC&#10;RiDWl72reBuCK7PMy1Z1wh+BU5aMDWAnAqm4zmoUPaF3JhuPRsdZD1g7BKm8p9vFYOR7RHwOIDSN&#10;lmoBctMpGwZUVEYEasm32nk+T9U2jZLhQ9N4FZipOHUa0klJSF7FM5ufiXKNwrVa7ksQzynhSU+d&#10;0JaSPkAtRBBsg/ovqE5LBA9NOJLQZUMjiRHqIh894eamFU6lXohq7x5I9/8PVr7fXiPTNW1CcTye&#10;Hk9GxYQzKzqa/K/vP37efWPFeDqLPPXOl+R+464xdurdFcjPnlm4bIVdqwtE6Fslaqouj/7Zo4Co&#10;eAplq/4d1IQuNgESZbsGuwhIZLBdmsztw2TULjBJl3lxOhvRzCSZ8qIopmlymSjvgx368EZBx6JQ&#10;cWUMrUHkTpRie+VDrEeU916pfjC6XmpjkoLr1aVBthW0J0v6KNkQ4g/djGV9xYt8Nk3Ij2z+EGKy&#10;PMlfL/4FgbCx9QBt7J6kyMvA7wrqW+IIYVhUeqYktIBfOetpSSvuv2wEKs7MW0s8n+aTSdzqpEym&#10;szEpeGhZHVqElQRV8cDZIF6G4SVsHOp1S5ny1JaFC5pNoxNpcW5DVftiaRETl/tHEzf9UE9ef34U&#10;8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cfRu72AAAAAsBAAAPAAAAAAAAAAEAIAAAACIAAABk&#10;cnMvZG93bnJldi54bWxQSwECFAAUAAAACACHTuJAVUWatj8CAABwBAAADgAAAAAAAAABACAAAAAn&#10;AQAAZHJzL2Uyb0RvYy54bWxQSwUGAAAAAAYABgBZAQAA2AUAAAAA&#10;">
                <v:fill on="t" focussize="0,0"/>
                <v:stroke weight="0.25pt" color="#4F81BD" joinstyle="round"/>
                <v:imagedata o:title=""/>
                <o:lock v:ext="edit" aspectratio="f"/>
              </v:shape>
            </w:pict>
          </mc:Fallback>
        </mc:AlternateContent>
      </w:r>
      <w:r>
        <w:rPr>
          <w:rFonts w:ascii="Times New Roman" w:hAnsi="Times New Roman" w:cs="Times New Roman"/>
          <w:color w:val="auto"/>
        </w:rPr>
        <mc:AlternateContent>
          <mc:Choice Requires="wps">
            <w:drawing>
              <wp:anchor distT="0" distB="0" distL="114300" distR="114300" simplePos="0" relativeHeight="251841536" behindDoc="0" locked="0" layoutInCell="1" allowOverlap="1">
                <wp:simplePos x="0" y="0"/>
                <wp:positionH relativeFrom="column">
                  <wp:posOffset>2959100</wp:posOffset>
                </wp:positionH>
                <wp:positionV relativeFrom="paragraph">
                  <wp:posOffset>1511935</wp:posOffset>
                </wp:positionV>
                <wp:extent cx="139700" cy="133350"/>
                <wp:effectExtent l="7620" t="12700" r="5080" b="6350"/>
                <wp:wrapNone/>
                <wp:docPr id="995924042" name="椭圆 3257"/>
                <wp:cNvGraphicFramePr/>
                <a:graphic xmlns:a="http://schemas.openxmlformats.org/drawingml/2006/main">
                  <a:graphicData uri="http://schemas.microsoft.com/office/word/2010/wordprocessingShape">
                    <wps:wsp>
                      <wps:cNvSpPr>
                        <a:spLocks noChangeArrowheads="1"/>
                      </wps:cNvSpPr>
                      <wps:spPr bwMode="auto">
                        <a:xfrm>
                          <a:off x="0" y="0"/>
                          <a:ext cx="139700" cy="133350"/>
                        </a:xfrm>
                        <a:prstGeom prst="ellipse">
                          <a:avLst/>
                        </a:prstGeom>
                        <a:solidFill>
                          <a:srgbClr val="FFFF00"/>
                        </a:solidFill>
                        <a:ln w="3175">
                          <a:solidFill>
                            <a:srgbClr val="4F81BD"/>
                          </a:solidFill>
                          <a:round/>
                        </a:ln>
                      </wps:spPr>
                      <wps:bodyPr rot="0" vert="horz" wrap="square" lIns="91440" tIns="45720" rIns="91440" bIns="45720" anchor="t" anchorCtr="0" upright="1">
                        <a:noAutofit/>
                      </wps:bodyPr>
                    </wps:wsp>
                  </a:graphicData>
                </a:graphic>
              </wp:anchor>
            </w:drawing>
          </mc:Choice>
          <mc:Fallback>
            <w:pict>
              <v:shape id="椭圆 3257" o:spid="_x0000_s1026" o:spt="3" type="#_x0000_t3" style="position:absolute;left:0pt;margin-left:233pt;margin-top:119.05pt;height:10.5pt;width:11pt;z-index:251841536;mso-width-relative:page;mso-height-relative:page;" fillcolor="#FFFF00" filled="t" stroked="t" coordsize="21600,21600" o:gfxdata="UEsDBAoAAAAAAIdO4kAAAAAAAAAAAAAAAAAEAAAAZHJzL1BLAwQUAAAACACHTuJA7GsCg9kAAAAL&#10;AQAADwAAAGRycy9kb3ducmV2LnhtbE2PwU7DMBBE70j8g7VI3KiTECI3xKmqSogDl9LyAW68TQLx&#10;Oo3dpvw9ywmOOzuaeVOtrm4QF5xC70lDukhAIDXe9tRq+Ni/PCgQIRqyZvCEGr4xwKq+valMaf1M&#10;73jZxVZwCIXSaOhiHEspQ9OhM2HhRyT+Hf3kTORzaqWdzMzhbpBZkhTSmZ64oTMjbjpsvnZnp2Ed&#10;1q90XHpFm9PbabuX82eebbW+v0uTZxARr/HPDL/4jA41Mx38mWwQg4a8KHhL1JA9qhQEO3KlWDmw&#10;8rRMQdaV/L+h/gFQSwMEFAAAAAgAh07iQF+Eucs/AgAAbwQAAA4AAABkcnMvZTJvRG9jLnhtbK1U&#10;zW4TMRC+I/EOlu9ks/khzaqbqiQKQipQqfAAjtebtfB6zNjJpjwAT8GRK48Fz8HYm5a0cOiBPVgz&#10;nplvZr4Z7/nFoTVsr9BrsCXPB0POlJVQabst+ccP6xdnnPkgbCUMWFXyW+X5xeL5s/POFWoEDZhK&#10;ISMQ64vOlbwJwRVZ5mWjWuEH4JQlYw3YikAqbrMKRUforclGw+HLrAOsHIJU3tPtqjfyIyI+BRDq&#10;Wku1ArlrlQ09KiojArXkG+08X6Rq61rJ8L6uvQrMlJw6DemkJCRv4pktzkWxReEaLY8liKeU8Kin&#10;VmhLSe+hViIItkP9F1SrJYKHOgwktFnfSGKEusiHj7i5aYRTqRei2rt70v3/g5Xv9tfIdFXy+Xw6&#10;H02GkxFnVrQ0+F/ff/z89pWNR9NZpKlzviDvG3eNsVHvrkB+8szCshF2qy4RoWuUqKi4PPpnDwKi&#10;4imUbbq3UBG62AVIjB1qbCMgccEOaTC394NRh8AkXebj+WxII5Nkysfj8TQNLhPFXbBDH14raFkU&#10;Sq6MoS2I1IlC7K98iPWI4s4r1Q9GV2ttTFJwu1kaZHtBa7Kmj5L1If7UzVjWlXycz6YJ+YHNn0JM&#10;1mf5q9W/IBB2tuqhjT2SFHnp+d1AdUscIfR7Sq+UhAbwC2cd7WjJ/eedQMWZeWOJ53k+mcSlTspk&#10;OhuRgqeWzalFWElQJQ+c9eIy9A9h51BvG8qUp7YsXNJsap1Ii3PrqzoWS3uYuDy+mbjop3ry+vOf&#10;WPw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7GsCg9kAAAALAQAADwAAAAAAAAABACAAAAAiAAAA&#10;ZHJzL2Rvd25yZXYueG1sUEsBAhQAFAAAAAgAh07iQF+Eucs/AgAAbwQAAA4AAAAAAAAAAQAgAAAA&#10;KAEAAGRycy9lMm9Eb2MueG1sUEsFBgAAAAAGAAYAWQEAANkFAAAAAA==&#10;">
                <v:fill on="t" focussize="0,0"/>
                <v:stroke weight="0.25pt" color="#4F81BD" joinstyle="round"/>
                <v:imagedata o:title=""/>
                <o:lock v:ext="edit" aspectratio="f"/>
              </v:shape>
            </w:pict>
          </mc:Fallback>
        </mc:AlternateContent>
      </w:r>
      <w:r>
        <w:rPr>
          <w:rFonts w:ascii="Times New Roman" w:hAnsi="Times New Roman" w:cs="Times New Roman"/>
          <w:color w:val="auto"/>
        </w:rPr>
        <mc:AlternateContent>
          <mc:Choice Requires="wps">
            <w:drawing>
              <wp:anchor distT="0" distB="0" distL="114300" distR="114300" simplePos="0" relativeHeight="251844608" behindDoc="0" locked="0" layoutInCell="1" allowOverlap="1">
                <wp:simplePos x="0" y="0"/>
                <wp:positionH relativeFrom="column">
                  <wp:posOffset>4397375</wp:posOffset>
                </wp:positionH>
                <wp:positionV relativeFrom="paragraph">
                  <wp:posOffset>1113790</wp:posOffset>
                </wp:positionV>
                <wp:extent cx="438150" cy="254000"/>
                <wp:effectExtent l="3810" t="3175" r="0" b="0"/>
                <wp:wrapNone/>
                <wp:docPr id="390434558" name="文本框 3253"/>
                <wp:cNvGraphicFramePr/>
                <a:graphic xmlns:a="http://schemas.openxmlformats.org/drawingml/2006/main">
                  <a:graphicData uri="http://schemas.microsoft.com/office/word/2010/wordprocessingShape">
                    <wps:wsp>
                      <wps:cNvSpPr txBox="1">
                        <a:spLocks noChangeArrowheads="1"/>
                      </wps:cNvSpPr>
                      <wps:spPr bwMode="auto">
                        <a:xfrm>
                          <a:off x="0" y="0"/>
                          <a:ext cx="438150" cy="254000"/>
                        </a:xfrm>
                        <a:prstGeom prst="rect">
                          <a:avLst/>
                        </a:prstGeom>
                        <a:noFill/>
                        <a:ln>
                          <a:noFill/>
                        </a:ln>
                      </wps:spPr>
                      <wps:txbx>
                        <w:txbxContent>
                          <w:p w14:paraId="7C6FB964">
                            <w:pPr>
                              <w:rPr>
                                <w:rFonts w:ascii="Times New Roman" w:hAnsi="Times New Roman" w:cs="Times New Roman"/>
                                <w:color w:val="FF0000"/>
                                <w:sz w:val="21"/>
                                <w:szCs w:val="18"/>
                                <w:lang w:eastAsia="zh-CN"/>
                              </w:rPr>
                            </w:pPr>
                            <w:r>
                              <w:rPr>
                                <w:rFonts w:hint="eastAsia" w:ascii="Times New Roman" w:hAnsi="Times New Roman" w:cs="Times New Roman"/>
                                <w:color w:val="FF0000"/>
                                <w:sz w:val="21"/>
                                <w:szCs w:val="18"/>
                                <w:lang w:eastAsia="zh-CN"/>
                              </w:rPr>
                              <w:t>T11</w:t>
                            </w:r>
                          </w:p>
                        </w:txbxContent>
                      </wps:txbx>
                      <wps:bodyPr rot="0" vert="horz" wrap="square" lIns="91440" tIns="45720" rIns="91440" bIns="45720" anchor="t" anchorCtr="0" upright="1">
                        <a:noAutofit/>
                      </wps:bodyPr>
                    </wps:wsp>
                  </a:graphicData>
                </a:graphic>
              </wp:anchor>
            </w:drawing>
          </mc:Choice>
          <mc:Fallback>
            <w:pict>
              <v:shape id="文本框 3253" o:spid="_x0000_s1026" o:spt="202" type="#_x0000_t202" style="position:absolute;left:0pt;margin-left:346.25pt;margin-top:87.7pt;height:20pt;width:34.5pt;z-index:251844608;mso-width-relative:page;mso-height-relative:page;" filled="f" stroked="f" coordsize="21600,21600" o:gfxdata="UEsDBAoAAAAAAIdO4kAAAAAAAAAAAAAAAAAEAAAAZHJzL1BLAwQUAAAACACHTuJAUTyvs9cAAAAL&#10;AQAADwAAAGRycy9kb3ducmV2LnhtbE2PzU7DMBCE70h9B2srcaN2oialIU4PrbiCKD8SNzfeJhHx&#10;OordJrw9ywmOO/Npdqbcza4XVxxD50lDslIgkGpvO2o0vL0+3t2DCNGQNb0n1PCNAXbV4qY0hfUT&#10;veD1GBvBIRQKo6GNcSikDHWLzoSVH5DYO/vRmcjn2Eg7monDXS9TpXLpTEf8oTUD7lusv44Xp+H9&#10;6fz5sVbPzcFlw+RnJcltpda3y0Q9gIg4xz8Yfutzdai408lfyAbRa8i3acYoG5tsDYKJTZ6wctKQ&#10;JqzIqpT/N1Q/UEsDBBQAAAAIAIdO4kC0tc5HIAIAAB8EAAAOAAAAZHJzL2Uyb0RvYy54bWytU8uO&#10;0zAU3SPxD5b3NGmbwEzUdDRMNQhpeEgDH+A6TmOR+Jprt8nwAfAHrNiw57v6HVw7nVKGzSzYRLav&#10;fe45554sLoauZTuFToMp+XSScqaMhEqbTck/frh+dsaZ88JUogWjSn6nHL9YPn2y6G2hZtBAWylk&#10;BGJc0duSN97bIkmcbFQn3ASsMlSsATvhaYubpELRE3rXJrM0fZ70gJVFkMo5Ol2NRX5AxMcAQl1r&#10;qVYgt50yfkRF1QpPklyjrePLyLaulfTv6topz9qSk1Ifv9SE1uvwTZYLUWxQ2EbLAwXxGAoPNHVC&#10;G2p6hFoJL9gW9T9QnZYIDmo/kdAlo5DoCKmYpg+8uW2EVVELWe3s0XT3/2Dl2917ZLoq+fw8zeZZ&#10;ntP4jeho8Pvv3/Y/fu1/fmXzWT4PTvXWFfTg1tITP7yEgfITVTt7A/KTYwauGmE26hIR+kaJiphO&#10;w8vk5OmI4wLIun8DFbUSWw8RaKixCzaSMYzQaUp3xympwTNJh9n8bJpTRVJplmdpGqeYiOL+sUXn&#10;XynoWFiUHCkEEVzsbpwPZERxfyX0MnCt2zYGoTV/HdDFcBLJB74jcz+sh4MZa6juSAbCmCv6q2jR&#10;AH7hrKdMldx93gpUnLWvDVlxPs2yEMK4yfIXM9rgaWV9WhFGElTJPWfj8sqPwd1a1JuGOo3mG7gk&#10;+2odpQWfR1YH3pSbqPiQ8RDM03289ee/Xv4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UTyvs9cA&#10;AAALAQAADwAAAAAAAAABACAAAAAiAAAAZHJzL2Rvd25yZXYueG1sUEsBAhQAFAAAAAgAh07iQLS1&#10;zkcgAgAAHwQAAA4AAAAAAAAAAQAgAAAAJgEAAGRycy9lMm9Eb2MueG1sUEsFBgAAAAAGAAYAWQEA&#10;ALgFAAAAAA==&#10;">
                <v:fill on="f" focussize="0,0"/>
                <v:stroke on="f"/>
                <v:imagedata o:title=""/>
                <o:lock v:ext="edit" aspectratio="f"/>
                <v:textbox>
                  <w:txbxContent>
                    <w:p w14:paraId="7C6FB964">
                      <w:pPr>
                        <w:rPr>
                          <w:rFonts w:ascii="Times New Roman" w:hAnsi="Times New Roman" w:cs="Times New Roman"/>
                          <w:color w:val="FF0000"/>
                          <w:sz w:val="21"/>
                          <w:szCs w:val="18"/>
                          <w:lang w:eastAsia="zh-CN"/>
                        </w:rPr>
                      </w:pPr>
                      <w:r>
                        <w:rPr>
                          <w:rFonts w:hint="eastAsia" w:ascii="Times New Roman" w:hAnsi="Times New Roman" w:cs="Times New Roman"/>
                          <w:color w:val="FF0000"/>
                          <w:sz w:val="21"/>
                          <w:szCs w:val="18"/>
                          <w:lang w:eastAsia="zh-CN"/>
                        </w:rPr>
                        <w:t>T11</w:t>
                      </w:r>
                    </w:p>
                  </w:txbxContent>
                </v:textbox>
              </v:shape>
            </w:pict>
          </mc:Fallback>
        </mc:AlternateContent>
      </w:r>
      <w:r>
        <w:rPr>
          <w:rFonts w:ascii="Times New Roman" w:hAnsi="Times New Roman" w:cs="Times New Roman"/>
          <w:color w:val="auto"/>
        </w:rPr>
        <mc:AlternateContent>
          <mc:Choice Requires="wps">
            <w:drawing>
              <wp:anchor distT="0" distB="0" distL="114300" distR="114300" simplePos="0" relativeHeight="251842560" behindDoc="0" locked="0" layoutInCell="1" allowOverlap="1">
                <wp:simplePos x="0" y="0"/>
                <wp:positionH relativeFrom="column">
                  <wp:posOffset>4357370</wp:posOffset>
                </wp:positionH>
                <wp:positionV relativeFrom="paragraph">
                  <wp:posOffset>1046480</wp:posOffset>
                </wp:positionV>
                <wp:extent cx="139700" cy="133350"/>
                <wp:effectExtent l="7620" t="12700" r="5080" b="6350"/>
                <wp:wrapNone/>
                <wp:docPr id="1827483106" name="椭圆 3257"/>
                <wp:cNvGraphicFramePr/>
                <a:graphic xmlns:a="http://schemas.openxmlformats.org/drawingml/2006/main">
                  <a:graphicData uri="http://schemas.microsoft.com/office/word/2010/wordprocessingShape">
                    <wps:wsp>
                      <wps:cNvSpPr>
                        <a:spLocks noChangeArrowheads="1"/>
                      </wps:cNvSpPr>
                      <wps:spPr bwMode="auto">
                        <a:xfrm>
                          <a:off x="0" y="0"/>
                          <a:ext cx="139700" cy="133350"/>
                        </a:xfrm>
                        <a:prstGeom prst="ellipse">
                          <a:avLst/>
                        </a:prstGeom>
                        <a:solidFill>
                          <a:srgbClr val="FFFF00"/>
                        </a:solidFill>
                        <a:ln w="3175">
                          <a:solidFill>
                            <a:srgbClr val="4F81BD"/>
                          </a:solidFill>
                          <a:round/>
                        </a:ln>
                      </wps:spPr>
                      <wps:bodyPr rot="0" vert="horz" wrap="square" lIns="91440" tIns="45720" rIns="91440" bIns="45720" anchor="t" anchorCtr="0" upright="1">
                        <a:noAutofit/>
                      </wps:bodyPr>
                    </wps:wsp>
                  </a:graphicData>
                </a:graphic>
              </wp:anchor>
            </w:drawing>
          </mc:Choice>
          <mc:Fallback>
            <w:pict>
              <v:shape id="椭圆 3257" o:spid="_x0000_s1026" o:spt="3" type="#_x0000_t3" style="position:absolute;left:0pt;margin-left:343.1pt;margin-top:82.4pt;height:10.5pt;width:11pt;z-index:251842560;mso-width-relative:page;mso-height-relative:page;" fillcolor="#FFFF00" filled="t" stroked="t" coordsize="21600,21600" o:gfxdata="UEsDBAoAAAAAAIdO4kAAAAAAAAAAAAAAAAAEAAAAZHJzL1BLAwQUAAAACACHTuJA0X4Eg9cAAAAL&#10;AQAADwAAAGRycy9kb3ducmV2LnhtbE2PwU7DMBBE70j8g7VI3KjdqAQT4lRVJcSBS2n5ADfeJoF4&#10;ncZuU/6e5USPO/M0O1MuL74XZxxjF8jAfKZAINXBddQY+Ny9PmgQMVlytg+EBn4wwrK6vSlt4cJE&#10;H3jepkZwCMXCGmhTGgopY92it3EWBiT2DmH0NvE5NtKNduJw38tMqVx62xF/aO2A6xbr7+3JG1jF&#10;1RsdnoOm9fH9uNnJ6WuRbYy5v5urFxAJL+kfhr/6XB0q7rQPJ3JR9AZynWeMspEveAMTT0qzsmdF&#10;P2qQVSmvN1S/UEsDBBQAAAAIAIdO4kC6wRtZQAIAAHAEAAAOAAAAZHJzL2Uyb0RvYy54bWytVM1u&#10;2zAMvg/YOwi6r47jpEmNOkXXIMOA/RTo9gCKLMfCZFGjlDjdA+wpdtx1j7U9xyg57dJuhx7mg0CK&#10;5EfyI+Xzi31n2E6h12Arnp+MOFNWQq3tpuIfP6xezDnzQdhaGLCq4rfK84vF82fnvSvVGFowtUJG&#10;INaXvat4G4Irs8zLVnXCn4BTlowNYCcCqbjJahQ9oXcmG49Gp1kPWDsEqbyn2+Vg5AdEfAogNI2W&#10;agly2ykbBlRURgRqybfaeb5I1TaNkuF903gVmKk4dRrSSUlIXsczW5yLcoPCtVoeShBPKeFRT53Q&#10;lpLeQy1FEGyL+i+oTksED004kdBlQyOJEeoiHz3i5qYVTqVeiGrv7kn3/w9WvttdI9M1bcJ8PJvM&#10;i3x0ypkVHU3+1/cfP799ZcV4Oos89c6X5H7jrjF26t0bkJ88s3DVCrtRl4jQt0rUVF0e/bMHAVHx&#10;FMrW/VuoCV1sAyTK9g12EZDIYPs0mdv7yah9YJIu8+JsNqKZSTLlRVFM0+QyUd4FO/ThlYKORaHi&#10;yhhag8idKMXujQ+xHlHeeaX6weh6pY1JCm7WVwbZTtCerOijZEOIP3YzlvUVL/LZNCE/sPljiMlq&#10;nr9c/gsCYWvrAdrYA0mRl4HfNdS3xBHCsKj0TEloAb9w1tOSVtx/3gpUnJnXlng+yyeTuNVJmUxn&#10;Y1Lw2LI+tggrCarigbNBvArDS9g61JuWMuWpLQuXNJtGJ9Li3IaqDsXSIiYuD48mbvqxnrz+/Cg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RfgSD1wAAAAsBAAAPAAAAAAAAAAEAIAAAACIAAABk&#10;cnMvZG93bnJldi54bWxQSwECFAAUAAAACACHTuJAusEbWUACAABwBAAADgAAAAAAAAABACAAAAAm&#10;AQAAZHJzL2Uyb0RvYy54bWxQSwUGAAAAAAYABgBZAQAA2AUAAAAA&#10;">
                <v:fill on="t" focussize="0,0"/>
                <v:stroke weight="0.25pt" color="#4F81BD" joinstyle="round"/>
                <v:imagedata o:title=""/>
                <o:lock v:ext="edit" aspectratio="f"/>
              </v:shape>
            </w:pict>
          </mc:Fallback>
        </mc:AlternateContent>
      </w:r>
      <w:r>
        <w:rPr>
          <w:rFonts w:ascii="Times New Roman" w:hAnsi="Times New Roman" w:cs="Times New Roman"/>
          <w:color w:val="auto"/>
        </w:rPr>
        <mc:AlternateContent>
          <mc:Choice Requires="wps">
            <w:drawing>
              <wp:anchor distT="0" distB="0" distL="114300" distR="114300" simplePos="0" relativeHeight="251896832" behindDoc="0" locked="0" layoutInCell="1" allowOverlap="1">
                <wp:simplePos x="0" y="0"/>
                <wp:positionH relativeFrom="column">
                  <wp:posOffset>2559050</wp:posOffset>
                </wp:positionH>
                <wp:positionV relativeFrom="paragraph">
                  <wp:posOffset>394970</wp:posOffset>
                </wp:positionV>
                <wp:extent cx="438150" cy="254000"/>
                <wp:effectExtent l="3810" t="3175" r="0" b="0"/>
                <wp:wrapNone/>
                <wp:docPr id="1503400799" name="文本框 3253"/>
                <wp:cNvGraphicFramePr/>
                <a:graphic xmlns:a="http://schemas.openxmlformats.org/drawingml/2006/main">
                  <a:graphicData uri="http://schemas.microsoft.com/office/word/2010/wordprocessingShape">
                    <wps:wsp>
                      <wps:cNvSpPr txBox="1">
                        <a:spLocks noChangeArrowheads="1"/>
                      </wps:cNvSpPr>
                      <wps:spPr bwMode="auto">
                        <a:xfrm>
                          <a:off x="0" y="0"/>
                          <a:ext cx="438150" cy="254000"/>
                        </a:xfrm>
                        <a:prstGeom prst="rect">
                          <a:avLst/>
                        </a:prstGeom>
                        <a:noFill/>
                        <a:ln>
                          <a:noFill/>
                        </a:ln>
                      </wps:spPr>
                      <wps:txbx>
                        <w:txbxContent>
                          <w:p w14:paraId="1470675F">
                            <w:pPr>
                              <w:rPr>
                                <w:rFonts w:ascii="Times New Roman" w:hAnsi="Times New Roman" w:cs="Times New Roman"/>
                                <w:color w:val="FF0000"/>
                                <w:sz w:val="21"/>
                                <w:szCs w:val="18"/>
                                <w:lang w:eastAsia="zh-CN"/>
                              </w:rPr>
                            </w:pPr>
                            <w:r>
                              <w:rPr>
                                <w:rFonts w:hint="eastAsia" w:ascii="Times New Roman" w:hAnsi="Times New Roman" w:cs="Times New Roman"/>
                                <w:color w:val="FF0000"/>
                                <w:sz w:val="21"/>
                                <w:szCs w:val="18"/>
                                <w:lang w:eastAsia="zh-CN"/>
                              </w:rPr>
                              <w:t>T10</w:t>
                            </w:r>
                          </w:p>
                        </w:txbxContent>
                      </wps:txbx>
                      <wps:bodyPr rot="0" vert="horz" wrap="square" lIns="91440" tIns="45720" rIns="91440" bIns="45720" anchor="t" anchorCtr="0" upright="1">
                        <a:noAutofit/>
                      </wps:bodyPr>
                    </wps:wsp>
                  </a:graphicData>
                </a:graphic>
              </wp:anchor>
            </w:drawing>
          </mc:Choice>
          <mc:Fallback>
            <w:pict>
              <v:shape id="文本框 3253" o:spid="_x0000_s1026" o:spt="202" type="#_x0000_t202" style="position:absolute;left:0pt;margin-left:201.5pt;margin-top:31.1pt;height:20pt;width:34.5pt;z-index:251896832;mso-width-relative:page;mso-height-relative:page;" filled="f" stroked="f" coordsize="21600,21600" o:gfxdata="UEsDBAoAAAAAAIdO4kAAAAAAAAAAAAAAAAAEAAAAZHJzL1BLAwQUAAAACACHTuJAEE3qt9UAAAAK&#10;AQAADwAAAGRycy9kb3ducmV2LnhtbE2PTU/DMAyG70j8h8hI3FiyUjYodXcAcQUxYBK3rPHaisap&#10;mmwt/x5zgqNfP3o/ys3se3WiMXaBEZYLA4q4Dq7jBuH97enqFlRMlp3tAxPCN0XYVOdnpS1cmPiV&#10;TtvUKDHhWFiENqWh0DrWLXkbF2Eglt8hjN4mOcdGu9FOYu57nRmz0t52LAmtHeihpfpre/QIH8+H&#10;z11uXppHfzNMYTaa/Z1GvLxYmntQieb0B8NvfakOlXTahyO7qHqE3FzLloSwyjJQAuTrTIS9kEYU&#10;XZX6/4TqB1BLAwQUAAAACACHTuJAwnGULh8CAAAgBAAADgAAAGRycy9lMm9Eb2MueG1srVNLbtsw&#10;EN0X6B0I7mvJvyYWLAdpjBQF0qZA2gPQFGURlTjskLbkHqC5QVfddJ9z+RwdUo7rppssuhFIDufN&#10;e49P84uuqdlWodNgcj4cpJwpI6HQZp3zz5+uX51z5rwwhajBqJzvlOMXi5cv5q3N1AgqqAuFjECM&#10;y1qb88p7myWJk5VqhBuAVYaKJWAjPG1xnRQoWkJv6mSUpq+TFrCwCFI5R6fLvsgPiPgcQChLLdUS&#10;5KZRxveoqGrhSZKrtHV8EdmWpZL+tiyd8qzOOSn18UtDaL0K32QxF9kaha20PFAQz6HwRFMjtKGh&#10;R6il8IJtUP8D1WiJ4KD0AwlN0guJjpCKYfrEm7tKWBW1kNXOHk13/w9Wfth+RKYLSsI0HU/S9Gw2&#10;48yIhl5+/+N+//Nh/+s7G4+m42BVa11GHXeWenz3Bjpqi7KdvQH5xTEDV5Uwa3WJCG2lREFUh6Ez&#10;OWntcVwAWbXvoaBRYuMhAnUlNsFHcoYROj3T7vhMqvNM0uFkfE5kOZNUGk2Jc3zGRGSPzRadf6ug&#10;YWGRc6QURHCxvXE+kBHZ45Uwy8C1ruuYhNr8dUAXw0kkH/j2zH236g5mrKDYkQyEPlj0W9GiAvzG&#10;WUuhyrn7uhGoOKvfGbJiNpxMQgrjZjI9G9EGTyur04owkqBy7jnrl1e+T+7Gol5XNKk338Al2Vfq&#10;KC343LM68KbgRMWHkIdknu7jrT8/9uI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EE3qt9UAAAAK&#10;AQAADwAAAAAAAAABACAAAAAiAAAAZHJzL2Rvd25yZXYueG1sUEsBAhQAFAAAAAgAh07iQMJxlC4f&#10;AgAAIAQAAA4AAAAAAAAAAQAgAAAAJAEAAGRycy9lMm9Eb2MueG1sUEsFBgAAAAAGAAYAWQEAALUF&#10;AAAAAA==&#10;">
                <v:fill on="f" focussize="0,0"/>
                <v:stroke on="f"/>
                <v:imagedata o:title=""/>
                <o:lock v:ext="edit" aspectratio="f"/>
                <v:textbox>
                  <w:txbxContent>
                    <w:p w14:paraId="1470675F">
                      <w:pPr>
                        <w:rPr>
                          <w:rFonts w:ascii="Times New Roman" w:hAnsi="Times New Roman" w:cs="Times New Roman"/>
                          <w:color w:val="FF0000"/>
                          <w:sz w:val="21"/>
                          <w:szCs w:val="18"/>
                          <w:lang w:eastAsia="zh-CN"/>
                        </w:rPr>
                      </w:pPr>
                      <w:r>
                        <w:rPr>
                          <w:rFonts w:hint="eastAsia" w:ascii="Times New Roman" w:hAnsi="Times New Roman" w:cs="Times New Roman"/>
                          <w:color w:val="FF0000"/>
                          <w:sz w:val="21"/>
                          <w:szCs w:val="18"/>
                          <w:lang w:eastAsia="zh-CN"/>
                        </w:rPr>
                        <w:t>T10</w:t>
                      </w:r>
                    </w:p>
                  </w:txbxContent>
                </v:textbox>
              </v:shape>
            </w:pict>
          </mc:Fallback>
        </mc:AlternateContent>
      </w:r>
      <w:r>
        <w:rPr>
          <w:rFonts w:ascii="Times New Roman" w:hAnsi="Times New Roman" w:cs="Times New Roman"/>
          <w:color w:val="auto"/>
        </w:rPr>
        <mc:AlternateContent>
          <mc:Choice Requires="wps">
            <w:drawing>
              <wp:anchor distT="0" distB="0" distL="114300" distR="114300" simplePos="0" relativeHeight="251895808" behindDoc="0" locked="0" layoutInCell="1" allowOverlap="1">
                <wp:simplePos x="0" y="0"/>
                <wp:positionH relativeFrom="margin">
                  <wp:posOffset>2500630</wp:posOffset>
                </wp:positionH>
                <wp:positionV relativeFrom="paragraph">
                  <wp:posOffset>505460</wp:posOffset>
                </wp:positionV>
                <wp:extent cx="139700" cy="133350"/>
                <wp:effectExtent l="0" t="0" r="12700" b="19050"/>
                <wp:wrapNone/>
                <wp:docPr id="1038094933" name="椭圆 3257"/>
                <wp:cNvGraphicFramePr/>
                <a:graphic xmlns:a="http://schemas.openxmlformats.org/drawingml/2006/main">
                  <a:graphicData uri="http://schemas.microsoft.com/office/word/2010/wordprocessingShape">
                    <wps:wsp>
                      <wps:cNvSpPr>
                        <a:spLocks noChangeArrowheads="1"/>
                      </wps:cNvSpPr>
                      <wps:spPr bwMode="auto">
                        <a:xfrm>
                          <a:off x="0" y="0"/>
                          <a:ext cx="139700" cy="133350"/>
                        </a:xfrm>
                        <a:prstGeom prst="ellipse">
                          <a:avLst/>
                        </a:prstGeom>
                        <a:solidFill>
                          <a:srgbClr val="FFFF00"/>
                        </a:solidFill>
                        <a:ln w="3175">
                          <a:solidFill>
                            <a:srgbClr val="4F81BD"/>
                          </a:solidFill>
                          <a:round/>
                        </a:ln>
                      </wps:spPr>
                      <wps:bodyPr rot="0" vert="horz" wrap="square" lIns="91440" tIns="45720" rIns="91440" bIns="45720" anchor="t" anchorCtr="0" upright="1">
                        <a:noAutofit/>
                      </wps:bodyPr>
                    </wps:wsp>
                  </a:graphicData>
                </a:graphic>
              </wp:anchor>
            </w:drawing>
          </mc:Choice>
          <mc:Fallback>
            <w:pict>
              <v:shape id="椭圆 3257" o:spid="_x0000_s1026" o:spt="3" type="#_x0000_t3" style="position:absolute;left:0pt;margin-left:196.9pt;margin-top:39.8pt;height:10.5pt;width:11pt;mso-position-horizontal-relative:margin;z-index:251895808;mso-width-relative:page;mso-height-relative:page;" fillcolor="#FFFF00" filled="t" stroked="t" coordsize="21600,21600" o:gfxdata="UEsDBAoAAAAAAIdO4kAAAAAAAAAAAAAAAAAEAAAAZHJzL1BLAwQUAAAACACHTuJA0vjaGtcAAAAK&#10;AQAADwAAAGRycy9kb3ducmV2LnhtbE2PwU7CQBCG7ya+w2ZMvMm2gEhrp4SQGA9eEHyApTu01e5s&#10;6S4U397xpMeZ+fL/3xSrq+vUhYbQekZIJwko4srblmuEj/3LwxJUiIat6TwTwjcFWJW3N4XJrR/5&#10;nS67WCsJ4ZAbhCbGPtc6VA05Eya+J5bb0Q/ORBmHWtvBjBLuOj1NkoV2pmVpaExPm4aqr93ZIazD&#10;+pWPmV/y5vR22u71+DmfbhHv79LkGVSka/yD4Vdf1KEUp4M/sw2qQ5hlM1GPCE/ZApQA8/RRFgch&#10;pRd0Wej/L5Q/UEsDBBQAAAAIAIdO4kBr3ZawPwIAAHAEAAAOAAAAZHJzL2Uyb0RvYy54bWytVMFu&#10;2zAMvQ/YPwi6L7bjZGmMOkWXIMOAbivQ7QMUWY6NyaJGKXG6D9hX7LjrPmv7jlFy2qXdDj3MB4EU&#10;yUfykfL5xaHTbK/QtWBKno1SzpSRULVmW/KPH9YvzjhzXphKaDCq5LfK8YvF82fnvS3UGBrQlUJG&#10;IMYVvS15470tksTJRnXCjcAqQ8YasBOeVNwmFYqe0DudjNP0ZdIDVhZBKufodjUY+RERnwIIdd1K&#10;tQK565TxAyoqLTy15JrWOr6I1da1kv59XTvlmS45derjSUlI3oQzWZyLYovCNq08liCeUsKjnjrR&#10;Gkp6D7USXrAdtn9Bda1EcFD7kYQuGRqJjFAXWfqIm5tGWBV7IaqdvSfd/T9Y+W5/jaytaBPS/Cyd&#10;T+Z5zpkRHU3+1/cfP799Zfl4Ogs89dYV5H5jrzF06uwVyE+OGVg2wmzVJSL0jRIVVZcF/+RBQFAc&#10;hbJN/xYqQhc7D5GyQ41dACQy2CFO5vZ+MurgmaTLLJ/PUpqZJFOW5/k0Ti4RxV2wRedfK+hYEEqu&#10;tKY1CNyJQuyvnA/1iOLOK9YPuq3WrdZRwe1mqZHtBe3Jmj5KNoS4UzdtWF/yPJtNI/IDmzuFmKzP&#10;slerf0Eg7Ew1QGtzJCnwMvC7geqWOEIYFpWeKQkN4BfOelrSkrvPO4GKM/3GEM/zbDIJWx2VyXQ2&#10;JgVPLZtTizCSoEruORvEpR9ews5iu20oUxbbMnBJs6nbSFqY21DVsVhaxMjl8dGETT/Vo9efH8Xi&#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NL42hrXAAAACgEAAA8AAAAAAAAAAQAgAAAAIgAAAGRy&#10;cy9kb3ducmV2LnhtbFBLAQIUABQAAAAIAIdO4kBr3ZawPwIAAHAEAAAOAAAAAAAAAAEAIAAAACYB&#10;AABkcnMvZTJvRG9jLnhtbFBLBQYAAAAABgAGAFkBAADXBQAAAAA=&#10;">
                <v:fill on="t" focussize="0,0"/>
                <v:stroke weight="0.25pt" color="#4F81BD" joinstyle="round"/>
                <v:imagedata o:title=""/>
                <o:lock v:ext="edit" aspectratio="f"/>
              </v:shape>
            </w:pict>
          </mc:Fallback>
        </mc:AlternateContent>
      </w:r>
      <w:r>
        <w:rPr>
          <w:rFonts w:ascii="Times New Roman" w:hAnsi="Times New Roman" w:cs="Times New Roman"/>
          <w:color w:val="auto"/>
        </w:rPr>
        <mc:AlternateContent>
          <mc:Choice Requires="wps">
            <w:drawing>
              <wp:anchor distT="0" distB="0" distL="114300" distR="114300" simplePos="0" relativeHeight="251843584" behindDoc="0" locked="0" layoutInCell="1" allowOverlap="1">
                <wp:simplePos x="0" y="0"/>
                <wp:positionH relativeFrom="margin">
                  <wp:posOffset>2760345</wp:posOffset>
                </wp:positionH>
                <wp:positionV relativeFrom="paragraph">
                  <wp:posOffset>1572895</wp:posOffset>
                </wp:positionV>
                <wp:extent cx="438150" cy="254000"/>
                <wp:effectExtent l="0" t="0" r="0" b="0"/>
                <wp:wrapNone/>
                <wp:docPr id="1102477627" name="文本框 3253"/>
                <wp:cNvGraphicFramePr/>
                <a:graphic xmlns:a="http://schemas.openxmlformats.org/drawingml/2006/main">
                  <a:graphicData uri="http://schemas.microsoft.com/office/word/2010/wordprocessingShape">
                    <wps:wsp>
                      <wps:cNvSpPr txBox="1">
                        <a:spLocks noChangeArrowheads="1"/>
                      </wps:cNvSpPr>
                      <wps:spPr bwMode="auto">
                        <a:xfrm>
                          <a:off x="0" y="0"/>
                          <a:ext cx="438150" cy="254000"/>
                        </a:xfrm>
                        <a:prstGeom prst="rect">
                          <a:avLst/>
                        </a:prstGeom>
                        <a:noFill/>
                        <a:ln>
                          <a:noFill/>
                        </a:ln>
                      </wps:spPr>
                      <wps:txbx>
                        <w:txbxContent>
                          <w:p w14:paraId="10296537">
                            <w:pPr>
                              <w:rPr>
                                <w:rFonts w:ascii="Times New Roman" w:hAnsi="Times New Roman" w:cs="Times New Roman"/>
                                <w:color w:val="FF0000"/>
                                <w:sz w:val="21"/>
                                <w:szCs w:val="18"/>
                                <w:lang w:eastAsia="zh-CN"/>
                              </w:rPr>
                            </w:pPr>
                            <w:r>
                              <w:rPr>
                                <w:rFonts w:hint="eastAsia" w:ascii="Times New Roman" w:hAnsi="Times New Roman" w:cs="Times New Roman"/>
                                <w:color w:val="FF0000"/>
                                <w:sz w:val="21"/>
                                <w:szCs w:val="18"/>
                                <w:lang w:eastAsia="zh-CN"/>
                              </w:rPr>
                              <w:t>T8</w:t>
                            </w:r>
                          </w:p>
                        </w:txbxContent>
                      </wps:txbx>
                      <wps:bodyPr rot="0" vert="horz" wrap="square" lIns="91440" tIns="45720" rIns="91440" bIns="45720" anchor="t" anchorCtr="0" upright="1">
                        <a:noAutofit/>
                      </wps:bodyPr>
                    </wps:wsp>
                  </a:graphicData>
                </a:graphic>
              </wp:anchor>
            </w:drawing>
          </mc:Choice>
          <mc:Fallback>
            <w:pict>
              <v:shape id="文本框 3253" o:spid="_x0000_s1026" o:spt="202" type="#_x0000_t202" style="position:absolute;left:0pt;margin-left:217.35pt;margin-top:123.85pt;height:20pt;width:34.5pt;mso-position-horizontal-relative:margin;z-index:251843584;mso-width-relative:page;mso-height-relative:page;" filled="f" stroked="f" coordsize="21600,21600" o:gfxdata="UEsDBAoAAAAAAIdO4kAAAAAAAAAAAAAAAAAEAAAAZHJzL1BLAwQUAAAACACHTuJArRB4idcAAAAL&#10;AQAADwAAAGRycy9kb3ducmV2LnhtbE2PT0/DMAzF70h8h8hI3JizrWOjNN0BxBXE+CNxyxqvrWic&#10;qsnW8u0xJ3Z7fn56/rnYTr5TJxpiG9jAfKZBEVfBtVwbeH97utmAismys11gMvBDEbbl5UVhcxdG&#10;fqXTLtVKSjjm1kCTUp8jxqohb+Ms9MSyO4TB2yTjUKMb7CjlvsOF1rfobctyobE9PTRUfe+O3sDH&#10;8+HrM9Mv9aNf9WOYNLK/Q2Our+b6HlSiKf2H4Q9f0KEUpn04souqM5Ats7VEDSyytQhJrPRSxF6c&#10;jThYFnj+Q/kLUEsDBBQAAAAIAIdO4kBqLj3nIAIAACAEAAAOAAAAZHJzL2Uyb0RvYy54bWytU0tu&#10;2zAU3BfoHQjua30sx6lgOUhjpCiQfoC0B6ApyiIq8rEkbSk9QHODrrrpvufyOfpIOa6bbrLoRiD5&#10;+ObNDEeLi0F1ZCesk6Armk1SSoTmUEu9qeinj9cvzilxnumadaBFRe+EoxfL588WvSlFDi10tbAE&#10;QbQre1PR1ntTJonjrVDMTcAIjcUGrGIet3aT1Jb1iK66JE/Ts6QHWxsLXDiHp6uxSA+I9imA0DSS&#10;ixXwrRLaj6hWdMyjJNdK4+gysm0awf37pnHCk66iqNTHLw7B9Tp8k+WClRvLTCv5gQJ7CoVHmhST&#10;GoceoVbMM7K18h8oJbkFB42fcFDJKCQ6giqy9JE3ty0zImpBq505mu7+Hyx/t/tgiawxCVmaF/P5&#10;WT6nRDOFL7//fr//8Wv/8xuZ5rNpsKo3rsSOW4M9fngFA7ZF2c7cAP/siIarlumNuLQW+lawGqlm&#10;oTM5aR1xXABZ92+hxlFs6yECDY1VwUd0hiA6PtPd8ZnE4AnHw2J6ns2wwrGUz4o0jc+YsPKh2Vjn&#10;XwtQJCwqajEFEZztbpwPZFj5cCXM0nAtuy4modN/HeDFcBLJB74jcz+sh4MZa6jvUIaFMVj4W+Gi&#10;BfuVkh5DVVH3ZcusoKR7o9GKl1lRhBTGTTGb57ixp5X1aYVpjlAV9ZSMyys/JndrrNy0OGk0X8Ml&#10;2tfIKC34PLI68MbgRMWHkIdknu7jrT8/9vI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rRB4idcA&#10;AAALAQAADwAAAAAAAAABACAAAAAiAAAAZHJzL2Rvd25yZXYueG1sUEsBAhQAFAAAAAgAh07iQGou&#10;PecgAgAAIAQAAA4AAAAAAAAAAQAgAAAAJgEAAGRycy9lMm9Eb2MueG1sUEsFBgAAAAAGAAYAWQEA&#10;ALgFAAAAAA==&#10;">
                <v:fill on="f" focussize="0,0"/>
                <v:stroke on="f"/>
                <v:imagedata o:title=""/>
                <o:lock v:ext="edit" aspectratio="f"/>
                <v:textbox>
                  <w:txbxContent>
                    <w:p w14:paraId="10296537">
                      <w:pPr>
                        <w:rPr>
                          <w:rFonts w:ascii="Times New Roman" w:hAnsi="Times New Roman" w:cs="Times New Roman"/>
                          <w:color w:val="FF0000"/>
                          <w:sz w:val="21"/>
                          <w:szCs w:val="18"/>
                          <w:lang w:eastAsia="zh-CN"/>
                        </w:rPr>
                      </w:pPr>
                      <w:r>
                        <w:rPr>
                          <w:rFonts w:hint="eastAsia" w:ascii="Times New Roman" w:hAnsi="Times New Roman" w:cs="Times New Roman"/>
                          <w:color w:val="FF0000"/>
                          <w:sz w:val="21"/>
                          <w:szCs w:val="18"/>
                          <w:lang w:eastAsia="zh-CN"/>
                        </w:rPr>
                        <w:t>T8</w:t>
                      </w:r>
                    </w:p>
                  </w:txbxContent>
                </v:textbox>
              </v:shape>
            </w:pict>
          </mc:Fallback>
        </mc:AlternateContent>
      </w:r>
      <w:r>
        <w:rPr>
          <w:rFonts w:ascii="Times New Roman" w:hAnsi="Times New Roman" w:cs="Times New Roman"/>
          <w:color w:val="auto"/>
        </w:rPr>
        <mc:AlternateContent>
          <mc:Choice Requires="wps">
            <w:drawing>
              <wp:anchor distT="0" distB="0" distL="114300" distR="114300" simplePos="0" relativeHeight="251838464" behindDoc="0" locked="0" layoutInCell="1" allowOverlap="1">
                <wp:simplePos x="0" y="0"/>
                <wp:positionH relativeFrom="column">
                  <wp:posOffset>5062220</wp:posOffset>
                </wp:positionH>
                <wp:positionV relativeFrom="paragraph">
                  <wp:posOffset>3004185</wp:posOffset>
                </wp:positionV>
                <wp:extent cx="139700" cy="133350"/>
                <wp:effectExtent l="7620" t="12700" r="5080" b="6350"/>
                <wp:wrapNone/>
                <wp:docPr id="683016672" name="椭圆 3257"/>
                <wp:cNvGraphicFramePr/>
                <a:graphic xmlns:a="http://schemas.openxmlformats.org/drawingml/2006/main">
                  <a:graphicData uri="http://schemas.microsoft.com/office/word/2010/wordprocessingShape">
                    <wps:wsp>
                      <wps:cNvSpPr>
                        <a:spLocks noChangeArrowheads="1"/>
                      </wps:cNvSpPr>
                      <wps:spPr bwMode="auto">
                        <a:xfrm>
                          <a:off x="0" y="0"/>
                          <a:ext cx="139700" cy="133350"/>
                        </a:xfrm>
                        <a:prstGeom prst="ellipse">
                          <a:avLst/>
                        </a:prstGeom>
                        <a:solidFill>
                          <a:srgbClr val="FFFF00"/>
                        </a:solidFill>
                        <a:ln w="3175">
                          <a:solidFill>
                            <a:srgbClr val="4F81BD"/>
                          </a:solidFill>
                          <a:round/>
                        </a:ln>
                      </wps:spPr>
                      <wps:bodyPr rot="0" vert="horz" wrap="square" lIns="91440" tIns="45720" rIns="91440" bIns="45720" anchor="t" anchorCtr="0" upright="1">
                        <a:noAutofit/>
                      </wps:bodyPr>
                    </wps:wsp>
                  </a:graphicData>
                </a:graphic>
              </wp:anchor>
            </w:drawing>
          </mc:Choice>
          <mc:Fallback>
            <w:pict>
              <v:shape id="椭圆 3257" o:spid="_x0000_s1026" o:spt="3" type="#_x0000_t3" style="position:absolute;left:0pt;margin-left:398.6pt;margin-top:236.55pt;height:10.5pt;width:11pt;z-index:251838464;mso-width-relative:page;mso-height-relative:page;" fillcolor="#FFFF00" filled="t" stroked="t" coordsize="21600,21600" o:gfxdata="UEsDBAoAAAAAAIdO4kAAAAAAAAAAAAAAAAAEAAAAZHJzL1BLAwQUAAAACACHTuJAUR9OTNkAAAAL&#10;AQAADwAAAGRycy9kb3ducmV2LnhtbE2Py07DMBBF90j8gzVI7KiTEJEHcaqqEmLBprR8gBtPk0A8&#10;TmO3KX/PdFWWc+fozplqebGDOOPke0cK4kUEAqlxpqdWwdfu7SkH4YMmowdHqOAXPSzr+7tKl8bN&#10;9InnbWgFl5AvtYIuhLGU0jcdWu0XbkTi3cFNVgcep1aaSc9cbgeZRNGLtLonvtDpEdcdNj/bk1Ww&#10;8qt3OhQup/Xx47jZyfk7TTZKPT7E0SuIgJdwg+Gqz+pQs9Pench4MSjIiixhVEGaPccgmMjjgpM9&#10;J0Uag6wr+f+H+g9QSwMEFAAAAAgAh07iQFwNFY8/AgAAbwQAAA4AAABkcnMvZTJvRG9jLnhtbK1U&#10;zW7bMAy+D9g7CLqvjuP8tEadomuQYcB+CnR7AEWWY2GyqFFKnO4B9hQ77rrH2p5jlJx2abdDD/NB&#10;IEXyI/mR8vnFvjNsp9BrsBXPT0acKSuh1nZT8Y8fVi9OOfNB2FoYsKrit8rzi8XzZ+e9K9UYWjC1&#10;QkYg1pe9q3gbgiuzzMtWdcKfgFOWjA1gJwKpuMlqFD2hdyYbj0azrAesHYJU3tPtcjDyAyI+BRCa&#10;Rku1BLntlA0DKiojArXkW+08X6Rqm0bJ8L5pvArMVJw6DemkJCSv45ktzkW5QeFaLQ8liKeU8Kin&#10;TmhLSe+hliIItkX9F1SnJYKHJpxI6LKhkcQIdZGPHnFz0wqnUi9EtXf3pPv/Byvf7a6R6bris9Ni&#10;lM9m8zFnVnQ0+F/ff/z89pUV4+k80tQ7X5L3jbvG2Kh3b0B+8szCVSvsRl0iQt8qUVNxefTPHgRE&#10;xVMoW/dvoSZ0sQ2QGNs32EVA4oLt02Bu7wej9oFJusyLs/mIRibJlBdFMU2Dy0R5F+zQh1cKOhaF&#10;iitjaAsidaIUuzc+xHpEeeeV6gej65U2Jim4WV8ZZDtBa7Kij5INIf7YzVjWV7zI59OE/MDmjyEm&#10;q9P85fJfEAhbWw/Qxh5IirwM/K6hviWOEIY9pVdKQgv4hbOedrTi/vNWoOLMvLbE81k+mcSlTspk&#10;Oh+TgseW9bFFWElQFQ+cDeJVGB7C1qHetJQpT21ZuKTZNDqRFuc2VHUolvYwcXl4M3HRj/Xk9ec/&#10;sfg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UR9OTNkAAAALAQAADwAAAAAAAAABACAAAAAiAAAA&#10;ZHJzL2Rvd25yZXYueG1sUEsBAhQAFAAAAAgAh07iQFwNFY8/AgAAbwQAAA4AAAAAAAAAAQAgAAAA&#10;KAEAAGRycy9lMm9Eb2MueG1sUEsFBgAAAAAGAAYAWQEAANkFAAAAAA==&#10;">
                <v:fill on="t" focussize="0,0"/>
                <v:stroke weight="0.25pt" color="#4F81BD" joinstyle="round"/>
                <v:imagedata o:title=""/>
                <o:lock v:ext="edit" aspectratio="f"/>
              </v:shape>
            </w:pict>
          </mc:Fallback>
        </mc:AlternateContent>
      </w:r>
      <w:r>
        <w:rPr>
          <w:rFonts w:ascii="Times New Roman" w:hAnsi="Times New Roman" w:cs="Times New Roman"/>
          <w:color w:val="auto"/>
        </w:rPr>
        <mc:AlternateContent>
          <mc:Choice Requires="wps">
            <w:drawing>
              <wp:anchor distT="0" distB="0" distL="114300" distR="114300" simplePos="0" relativeHeight="251837440" behindDoc="0" locked="0" layoutInCell="1" allowOverlap="1">
                <wp:simplePos x="0" y="0"/>
                <wp:positionH relativeFrom="column">
                  <wp:posOffset>5060950</wp:posOffset>
                </wp:positionH>
                <wp:positionV relativeFrom="paragraph">
                  <wp:posOffset>2815590</wp:posOffset>
                </wp:positionV>
                <wp:extent cx="107950" cy="114300"/>
                <wp:effectExtent l="8890" t="5080" r="6985" b="13970"/>
                <wp:wrapNone/>
                <wp:docPr id="801155876" name="矩形 3208"/>
                <wp:cNvGraphicFramePr/>
                <a:graphic xmlns:a="http://schemas.openxmlformats.org/drawingml/2006/main">
                  <a:graphicData uri="http://schemas.microsoft.com/office/word/2010/wordprocessingShape">
                    <wps:wsp>
                      <wps:cNvSpPr>
                        <a:spLocks noChangeArrowheads="1"/>
                      </wps:cNvSpPr>
                      <wps:spPr bwMode="auto">
                        <a:xfrm>
                          <a:off x="0" y="0"/>
                          <a:ext cx="107950" cy="114300"/>
                        </a:xfrm>
                        <a:prstGeom prst="rect">
                          <a:avLst/>
                        </a:prstGeom>
                        <a:noFill/>
                        <a:ln w="9525">
                          <a:solidFill>
                            <a:srgbClr val="FF0000"/>
                          </a:solidFill>
                          <a:miter lim="800000"/>
                        </a:ln>
                      </wps:spPr>
                      <wps:bodyPr rot="0" vert="horz" wrap="square" lIns="91440" tIns="45720" rIns="91440" bIns="45720" anchor="t" anchorCtr="0" upright="1">
                        <a:noAutofit/>
                      </wps:bodyPr>
                    </wps:wsp>
                  </a:graphicData>
                </a:graphic>
              </wp:anchor>
            </w:drawing>
          </mc:Choice>
          <mc:Fallback>
            <w:pict>
              <v:rect id="矩形 3208" o:spid="_x0000_s1026" o:spt="1" style="position:absolute;left:0pt;margin-left:398.5pt;margin-top:221.7pt;height:9pt;width:8.5pt;z-index:251837440;mso-width-relative:page;mso-height-relative:page;" filled="f" stroked="t" coordsize="21600,21600" o:gfxdata="UEsDBAoAAAAAAIdO4kAAAAAAAAAAAAAAAAAEAAAAZHJzL1BLAwQUAAAACACHTuJA6Sap4dsAAAAL&#10;AQAADwAAAGRycy9kb3ducmV2LnhtbE2PzU7DMBCE70i8g7VIXBB1AlZ/0jg9IEGFekBtOXB04m1s&#10;EdtR7Cbl7VlO9Lizo5lvys3FdWzEIdrgJeSzDBj6JmjrWwmfx9fHJbCYlNeqCx4l/GCETXV7U6pC&#10;h8nvcTykllGIj4WSYFLqC85jY9CpOAs9evqdwuBUonNouR7UROGu409ZNudOWU8NRvX4YrD5Ppyd&#10;hPjx9rU77t/H1m53k9laPPX1g5T3d3m2Bpbwkv7N8IdP6FARUx3OXkfWSVisFrQlSRDiWQAjxzIX&#10;pNSkzHMBvCr59YbqF1BLAwQUAAAACACHTuJAmut0vDkCAABQBAAADgAAAGRycy9lMm9Eb2MueG1s&#10;rVTBbhMxEL0j8Q+W73R306RNV91UVasgpAKVCh/geL1ZC9tjxk425WeQuPERfA7iNxh70xLKpQf2&#10;YHk84zfz3oz3/GJnDdsqDBpcw6ujkjPlJLTarRv+8cPy1ZyzEIVrhQGnGn6vAr9YvHxxPvhaTaAH&#10;0ypkBOJCPfiG9zH6uiiC7JUV4Qi8cuTsAK2IZOK6aFEMhG5NMSnLk2IAbD2CVCHQ6fXo5HtEfA4g&#10;dJ2W6hrkxioXR1RURkSiFHrtA1/kartOyfi+64KKzDScmMa8UhLar9JaLM5FvUbhey33JYjnlPCE&#10;kxXaUdJHqGsRBdug/gfKaokQoItHEmwxEsmKEIuqfKLNXS+8ylxI6uAfRQ//D1a+294i023D52VV&#10;zWbz0xPOnLDU+F9fv//88Y0dT8p5kmnwoaboO3+LiWjwNyA/BebgqhdurS4RYeiVaKm4KsUXf11I&#10;RqCrbDW8hZbQxSZCVmzXoU2ApAXb5cbcPzZG7SKTdFiVp2czapkkV1VNj8vcuELUD5c9hvhagWVp&#10;03Ckvmdwsb0JMRUj6oeQlMvBUhuTe28cGxp+NpvM8oUARrfJmTnienVlkG0FTc9yWdKXmRH7wzCr&#10;I70Io20S8SDIuL0Kifgo4AraexIBYRxEeoa06QG/cDbQEDY8fN4IVJyZN46EPKum0zS12ZjOTidk&#10;4KFndegRThJUwyNn4/YqjpO+8ajXPWWqMkcHlyR+p7MwqTFjVftiadCyXvtHkSb50M5Rf34Ei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pJqnh2wAAAAsBAAAPAAAAAAAAAAEAIAAAACIAAABkcnMv&#10;ZG93bnJldi54bWxQSwECFAAUAAAACACHTuJAmut0vDkCAABQBAAADgAAAAAAAAABACAAAAAqAQAA&#10;ZHJzL2Uyb0RvYy54bWxQSwUGAAAAAAYABgBZAQAA1QUAAAAA&#10;">
                <v:fill on="f" focussize="0,0"/>
                <v:stroke color="#FF0000" miterlimit="8" joinstyle="miter"/>
                <v:imagedata o:title=""/>
                <o:lock v:ext="edit" aspectratio="f"/>
              </v:rect>
            </w:pict>
          </mc:Fallback>
        </mc:AlternateContent>
      </w:r>
      <w:r>
        <w:rPr>
          <w:rFonts w:ascii="Times New Roman" w:hAnsi="Times New Roman" w:cs="Times New Roman"/>
          <w:color w:val="auto"/>
        </w:rPr>
        <mc:AlternateContent>
          <mc:Choice Requires="wps">
            <w:drawing>
              <wp:anchor distT="0" distB="0" distL="114300" distR="114300" simplePos="0" relativeHeight="251836416" behindDoc="0" locked="0" layoutInCell="1" allowOverlap="1">
                <wp:simplePos x="0" y="0"/>
                <wp:positionH relativeFrom="margin">
                  <wp:posOffset>4880610</wp:posOffset>
                </wp:positionH>
                <wp:positionV relativeFrom="paragraph">
                  <wp:posOffset>2476500</wp:posOffset>
                </wp:positionV>
                <wp:extent cx="1193800" cy="737235"/>
                <wp:effectExtent l="0" t="0" r="25400" b="24765"/>
                <wp:wrapNone/>
                <wp:docPr id="976753377" name="文本框 3206"/>
                <wp:cNvGraphicFramePr/>
                <a:graphic xmlns:a="http://schemas.openxmlformats.org/drawingml/2006/main">
                  <a:graphicData uri="http://schemas.microsoft.com/office/word/2010/wordprocessingShape">
                    <wps:wsp>
                      <wps:cNvSpPr txBox="1">
                        <a:spLocks noChangeArrowheads="1"/>
                      </wps:cNvSpPr>
                      <wps:spPr bwMode="auto">
                        <a:xfrm>
                          <a:off x="0" y="0"/>
                          <a:ext cx="1193800" cy="737235"/>
                        </a:xfrm>
                        <a:prstGeom prst="rect">
                          <a:avLst/>
                        </a:prstGeom>
                        <a:solidFill>
                          <a:srgbClr val="FFFFFF"/>
                        </a:solidFill>
                        <a:ln w="3175">
                          <a:solidFill>
                            <a:srgbClr val="000000"/>
                          </a:solidFill>
                          <a:miter lim="800000"/>
                        </a:ln>
                      </wps:spPr>
                      <wps:txbx>
                        <w:txbxContent>
                          <w:p w14:paraId="3F424E76">
                            <w:pPr>
                              <w:ind w:firstLine="480"/>
                              <w:jc w:val="center"/>
                              <w:rPr>
                                <w:rFonts w:hint="eastAsia" w:ascii="宋体" w:hAnsi="宋体" w:cs="宋体"/>
                                <w:szCs w:val="24"/>
                                <w:lang w:eastAsia="zh-CN"/>
                              </w:rPr>
                            </w:pPr>
                            <w:r>
                              <w:rPr>
                                <w:rFonts w:hint="eastAsia" w:ascii="宋体" w:hAnsi="宋体" w:cs="宋体"/>
                                <w:szCs w:val="24"/>
                                <w:lang w:eastAsia="zh-CN"/>
                              </w:rPr>
                              <w:t>图例</w:t>
                            </w:r>
                          </w:p>
                          <w:p w14:paraId="6DC8D3EA">
                            <w:pPr>
                              <w:ind w:firstLine="480"/>
                              <w:jc w:val="center"/>
                              <w:rPr>
                                <w:rFonts w:hint="eastAsia" w:ascii="宋体" w:hAnsi="宋体" w:cs="宋体"/>
                                <w:szCs w:val="24"/>
                                <w:lang w:eastAsia="zh-CN"/>
                              </w:rPr>
                            </w:pPr>
                            <w:r>
                              <w:rPr>
                                <w:rFonts w:hint="eastAsia" w:ascii="宋体" w:hAnsi="宋体" w:cs="宋体"/>
                                <w:szCs w:val="24"/>
                                <w:lang w:eastAsia="zh-CN"/>
                              </w:rPr>
                              <w:t xml:space="preserve"> 项目地</w:t>
                            </w:r>
                          </w:p>
                          <w:p w14:paraId="4C76AA0C">
                            <w:pPr>
                              <w:ind w:firstLine="480"/>
                              <w:jc w:val="center"/>
                              <w:rPr>
                                <w:rFonts w:hint="eastAsia" w:ascii="宋体" w:hAnsi="宋体" w:cs="宋体"/>
                                <w:szCs w:val="24"/>
                                <w:lang w:eastAsia="zh-CN"/>
                              </w:rPr>
                            </w:pPr>
                            <w:r>
                              <w:rPr>
                                <w:rFonts w:hint="eastAsia" w:ascii="宋体" w:hAnsi="宋体" w:cs="宋体"/>
                                <w:szCs w:val="24"/>
                                <w:lang w:eastAsia="zh-CN"/>
                              </w:rPr>
                              <w:t xml:space="preserve"> 监测点位</w:t>
                            </w:r>
                          </w:p>
                        </w:txbxContent>
                      </wps:txbx>
                      <wps:bodyPr rot="0" vert="horz" wrap="square" lIns="91440" tIns="45720" rIns="91440" bIns="45720" anchor="t" anchorCtr="0" upright="1">
                        <a:noAutofit/>
                      </wps:bodyPr>
                    </wps:wsp>
                  </a:graphicData>
                </a:graphic>
              </wp:anchor>
            </w:drawing>
          </mc:Choice>
          <mc:Fallback>
            <w:pict>
              <v:shape id="文本框 3206" o:spid="_x0000_s1026" o:spt="202" type="#_x0000_t202" style="position:absolute;left:0pt;margin-left:384.3pt;margin-top:195pt;height:58.05pt;width:94pt;mso-position-horizontal-relative:margin;z-index:251836416;mso-width-relative:page;mso-height-relative:page;" fillcolor="#FFFFFF" filled="t" stroked="t" coordsize="21600,21600" o:gfxdata="UEsDBAoAAAAAAIdO4kAAAAAAAAAAAAAAAAAEAAAAZHJzL1BLAwQUAAAACACHTuJAERO5oNgAAAAL&#10;AQAADwAAAGRycy9kb3ducmV2LnhtbE2Py07DMBBF90j8gzWV2CBqp6hum8apEBLsQOrjA6axSaLG&#10;4yh2m/D3DCtYzszRnXOL3eQ7cXNDbAMZyOYKhKMq2JZqA6fj29MaRExIFrtAzsC3i7Ar7+8KzG0Y&#10;ae9uh1QLDqGYo4EmpT6XMlaN8xjnoXfEt68weEw8DrW0A44c7ju5UEpLjy3xhwZ799q46nK4egMf&#10;SDh5v395DMl/+nFxeV8dlTEPs0xtQSQ3pT8YfvVZHUp2Oocr2Sg6Ayu91owaeN4oLsXEZql5czaw&#10;VDoDWRbyf4fyB1BLAwQUAAAACACHTuJAJfSSPUwCAACSBAAADgAAAGRycy9lMm9Eb2MueG1srVTN&#10;btQwEL4j8Q6W7zTZTbdpo2ar0qoIqfxIhQfwOs7GwvYY27tJeQB4A05cuPNc+xyMnbQsBaQe8MHy&#10;ZGa+mflmJqdng1ZkK5yXYGo6O8gpEYZDI826pu/fXT07psQHZhqmwIia3gpPz5ZPn5z2thJz6EA1&#10;whEEMb7qbU27EGyVZZ53QjN/AFYYVLbgNAsounXWONYjulbZPM+Psh5cYx1w4T1+vRyVdEJ0jwGE&#10;tpVcXALfaGHCiOqEYgFL8p20ni5Ttm0reHjTtl4EomqKlYZ0YxB8r+KdLU9ZtXbMdpJPKbDHpPCg&#10;Js2kwaD3UJcsMLJx8g8oLbkDD2044KCzsZDECFYxyx9wc9MxK1ItSLW396T7/wfLX2/fOiKbmp6U&#10;R+WiKMqSEsM0Nn739cvu24/d98+kmOdHkane+godbiy6hOE5DDg/qWpvr4F/8MTARcfMWpw7B30n&#10;WIOZzqJntuc64vgIsupfQYOh2CZAAhpapyONSAxBdOzS7X2XxBAIjyFnJ8VxjiqOurIo58UihWDV&#10;nbd1PrwQoEl81NThFCR0tr32IWbDqjuTGMyDks2VVCoJbr26UI5sGU7MVToT+m9mypC+psWsXIwE&#10;/BMiT+dvEFoGXCQldU2xHDyTkTITX5GikawwrIaJ/xU0t8icg3GUcZHx0YH7REmPY1xT/3HDnKBE&#10;vTTI/sns8DDOfRIOF+UcBbevWe1rmOEIVdNAyfi8COOubKyT6w4jjf02cI4da2UiM7Z2zGrKG0c1&#10;cTytVdyFfTlZ/fqVLH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ERO5oNgAAAALAQAADwAAAAAA&#10;AAABACAAAAAiAAAAZHJzL2Rvd25yZXYueG1sUEsBAhQAFAAAAAgAh07iQCX0kj1MAgAAkgQAAA4A&#10;AAAAAAAAAQAgAAAAJwEAAGRycy9lMm9Eb2MueG1sUEsFBgAAAAAGAAYAWQEAAOUFAAAAAA==&#10;">
                <v:fill on="t" focussize="0,0"/>
                <v:stroke weight="0.25pt" color="#000000" miterlimit="8" joinstyle="miter"/>
                <v:imagedata o:title=""/>
                <o:lock v:ext="edit" aspectratio="f"/>
                <v:textbox>
                  <w:txbxContent>
                    <w:p w14:paraId="3F424E76">
                      <w:pPr>
                        <w:ind w:firstLine="480"/>
                        <w:jc w:val="center"/>
                        <w:rPr>
                          <w:rFonts w:hint="eastAsia" w:ascii="宋体" w:hAnsi="宋体" w:cs="宋体"/>
                          <w:szCs w:val="24"/>
                          <w:lang w:eastAsia="zh-CN"/>
                        </w:rPr>
                      </w:pPr>
                      <w:r>
                        <w:rPr>
                          <w:rFonts w:hint="eastAsia" w:ascii="宋体" w:hAnsi="宋体" w:cs="宋体"/>
                          <w:szCs w:val="24"/>
                          <w:lang w:eastAsia="zh-CN"/>
                        </w:rPr>
                        <w:t>图例</w:t>
                      </w:r>
                    </w:p>
                    <w:p w14:paraId="6DC8D3EA">
                      <w:pPr>
                        <w:ind w:firstLine="480"/>
                        <w:jc w:val="center"/>
                        <w:rPr>
                          <w:rFonts w:hint="eastAsia" w:ascii="宋体" w:hAnsi="宋体" w:cs="宋体"/>
                          <w:szCs w:val="24"/>
                          <w:lang w:eastAsia="zh-CN"/>
                        </w:rPr>
                      </w:pPr>
                      <w:r>
                        <w:rPr>
                          <w:rFonts w:hint="eastAsia" w:ascii="宋体" w:hAnsi="宋体" w:cs="宋体"/>
                          <w:szCs w:val="24"/>
                          <w:lang w:eastAsia="zh-CN"/>
                        </w:rPr>
                        <w:t xml:space="preserve"> 项目地</w:t>
                      </w:r>
                    </w:p>
                    <w:p w14:paraId="4C76AA0C">
                      <w:pPr>
                        <w:ind w:firstLine="480"/>
                        <w:jc w:val="center"/>
                        <w:rPr>
                          <w:rFonts w:hint="eastAsia" w:ascii="宋体" w:hAnsi="宋体" w:cs="宋体"/>
                          <w:szCs w:val="24"/>
                          <w:lang w:eastAsia="zh-CN"/>
                        </w:rPr>
                      </w:pPr>
                      <w:r>
                        <w:rPr>
                          <w:rFonts w:hint="eastAsia" w:ascii="宋体" w:hAnsi="宋体" w:cs="宋体"/>
                          <w:szCs w:val="24"/>
                          <w:lang w:eastAsia="zh-CN"/>
                        </w:rPr>
                        <w:t xml:space="preserve"> 监测点位</w:t>
                      </w:r>
                    </w:p>
                  </w:txbxContent>
                </v:textbox>
              </v:shape>
            </w:pict>
          </mc:Fallback>
        </mc:AlternateContent>
      </w:r>
      <w:r>
        <w:rPr>
          <w:rFonts w:ascii="Times New Roman" w:hAnsi="Times New Roman" w:cs="Times New Roman"/>
          <w:color w:val="auto"/>
        </w:rPr>
        <w:drawing>
          <wp:anchor distT="0" distB="0" distL="114300" distR="114300" simplePos="0" relativeHeight="251839488" behindDoc="0" locked="0" layoutInCell="1" allowOverlap="1">
            <wp:simplePos x="0" y="0"/>
            <wp:positionH relativeFrom="margin">
              <wp:posOffset>5213985</wp:posOffset>
            </wp:positionH>
            <wp:positionV relativeFrom="paragraph">
              <wp:posOffset>29210</wp:posOffset>
            </wp:positionV>
            <wp:extent cx="875030" cy="661670"/>
            <wp:effectExtent l="0" t="0" r="1270" b="5080"/>
            <wp:wrapNone/>
            <wp:docPr id="1596532941" name="图片 3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532941" name="图片 394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875030" cy="661670"/>
                    </a:xfrm>
                    <a:prstGeom prst="rect">
                      <a:avLst/>
                    </a:prstGeom>
                    <a:noFill/>
                    <a:ln>
                      <a:noFill/>
                    </a:ln>
                  </pic:spPr>
                </pic:pic>
              </a:graphicData>
            </a:graphic>
          </wp:anchor>
        </w:drawing>
      </w:r>
      <w:r>
        <w:rPr>
          <w:snapToGrid/>
        </w:rPr>
        <w:drawing>
          <wp:inline distT="0" distB="0" distL="0" distR="0">
            <wp:extent cx="6120765" cy="4034155"/>
            <wp:effectExtent l="0" t="0" r="0" b="4445"/>
            <wp:docPr id="4363090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309039" name="图片 1"/>
                    <pic:cNvPicPr>
                      <a:picLocks noChangeAspect="1"/>
                    </pic:cNvPicPr>
                  </pic:nvPicPr>
                  <pic:blipFill>
                    <a:blip r:embed="rId77"/>
                    <a:stretch>
                      <a:fillRect/>
                    </a:stretch>
                  </pic:blipFill>
                  <pic:spPr>
                    <a:xfrm>
                      <a:off x="0" y="0"/>
                      <a:ext cx="6120765" cy="4034155"/>
                    </a:xfrm>
                    <a:prstGeom prst="rect">
                      <a:avLst/>
                    </a:prstGeom>
                  </pic:spPr>
                </pic:pic>
              </a:graphicData>
            </a:graphic>
          </wp:inline>
        </w:drawing>
      </w:r>
    </w:p>
    <w:p w14:paraId="1DEA0BA3">
      <w:pPr>
        <w:jc w:val="center"/>
        <w:rPr>
          <w:rFonts w:ascii="Times New Roman" w:hAnsi="Times New Roman" w:cs="Times New Roman"/>
          <w:color w:val="auto"/>
          <w:lang w:eastAsia="zh-CN"/>
        </w:rPr>
      </w:pPr>
      <w:r>
        <w:rPr>
          <w:rFonts w:ascii="Times New Roman" w:hAnsi="Times New Roman" w:cs="Times New Roman"/>
          <w:b/>
          <w:bCs/>
          <w:color w:val="auto"/>
          <w:lang w:eastAsia="zh-CN"/>
        </w:rPr>
        <w:t>图5.2-5土壤环境质量监测布点图</w:t>
      </w:r>
      <w:r>
        <w:rPr>
          <w:rFonts w:hint="eastAsia" w:ascii="Times New Roman" w:hAnsi="Times New Roman" w:cs="Times New Roman"/>
          <w:b/>
          <w:bCs/>
          <w:color w:val="auto"/>
          <w:lang w:eastAsia="zh-CN"/>
        </w:rPr>
        <w:t>（2）</w:t>
      </w:r>
    </w:p>
    <w:p w14:paraId="43BDC428">
      <w:pPr>
        <w:widowControl w:val="0"/>
        <w:spacing w:line="360" w:lineRule="auto"/>
        <w:ind w:left="48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（2）</w:t>
      </w:r>
      <w:r>
        <w:rPr>
          <w:rFonts w:ascii="Times New Roman" w:hAnsi="Times New Roman" w:cs="Times New Roman"/>
          <w:color w:val="auto"/>
          <w:szCs w:val="24"/>
          <w:lang w:eastAsia="zh-CN"/>
        </w:rPr>
        <w:t>监测因子</w:t>
      </w:r>
    </w:p>
    <w:p w14:paraId="621AFB5C">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T1、</w:t>
      </w:r>
      <w:r>
        <w:rPr>
          <w:rFonts w:hint="eastAsia" w:ascii="Times New Roman" w:hAnsi="Times New Roman" w:cs="Times New Roman"/>
          <w:color w:val="auto"/>
          <w:szCs w:val="24"/>
          <w:lang w:eastAsia="zh-CN"/>
        </w:rPr>
        <w:t>T7、</w:t>
      </w:r>
      <w:r>
        <w:rPr>
          <w:rFonts w:ascii="Times New Roman" w:hAnsi="Times New Roman" w:cs="Times New Roman"/>
          <w:color w:val="auto"/>
          <w:szCs w:val="24"/>
          <w:lang w:eastAsia="zh-CN"/>
        </w:rPr>
        <w:t>T</w:t>
      </w:r>
      <w:r>
        <w:rPr>
          <w:rFonts w:hint="eastAsia" w:ascii="Times New Roman" w:hAnsi="Times New Roman" w:cs="Times New Roman"/>
          <w:color w:val="auto"/>
          <w:szCs w:val="24"/>
          <w:lang w:eastAsia="zh-CN"/>
        </w:rPr>
        <w:t>8</w:t>
      </w:r>
      <w:r>
        <w:rPr>
          <w:rFonts w:ascii="Times New Roman" w:hAnsi="Times New Roman" w:cs="Times New Roman"/>
          <w:color w:val="auto"/>
          <w:szCs w:val="24"/>
          <w:lang w:eastAsia="zh-CN"/>
        </w:rPr>
        <w:t>、</w:t>
      </w:r>
      <w:r>
        <w:rPr>
          <w:rFonts w:hint="eastAsia" w:ascii="Times New Roman" w:hAnsi="Times New Roman" w:cs="Times New Roman"/>
          <w:color w:val="auto"/>
          <w:szCs w:val="24"/>
          <w:lang w:eastAsia="zh-CN"/>
        </w:rPr>
        <w:t>T9、</w:t>
      </w:r>
      <w:r>
        <w:rPr>
          <w:rFonts w:ascii="Times New Roman" w:hAnsi="Times New Roman" w:cs="Times New Roman"/>
          <w:color w:val="auto"/>
          <w:szCs w:val="24"/>
          <w:lang w:eastAsia="zh-CN"/>
        </w:rPr>
        <w:t>T</w:t>
      </w:r>
      <w:r>
        <w:rPr>
          <w:rFonts w:hint="eastAsia" w:ascii="Times New Roman" w:hAnsi="Times New Roman" w:cs="Times New Roman"/>
          <w:color w:val="auto"/>
          <w:szCs w:val="24"/>
          <w:lang w:eastAsia="zh-CN"/>
        </w:rPr>
        <w:t>11</w:t>
      </w:r>
      <w:r>
        <w:rPr>
          <w:rFonts w:ascii="Times New Roman" w:hAnsi="Times New Roman" w:cs="Times New Roman"/>
          <w:color w:val="auto"/>
          <w:szCs w:val="24"/>
          <w:lang w:eastAsia="zh-CN"/>
        </w:rPr>
        <w:t>：pH+45个基本项：pH、砷、汞、镉、铅、铜、镍、六价铬、挥发性有机物</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半挥发性有机物；</w:t>
      </w:r>
    </w:p>
    <w:p w14:paraId="4029E78A">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T</w:t>
      </w:r>
      <w:r>
        <w:rPr>
          <w:rFonts w:hint="eastAsia" w:ascii="Times New Roman" w:hAnsi="Times New Roman" w:cs="Times New Roman"/>
          <w:color w:val="auto"/>
          <w:szCs w:val="24"/>
          <w:lang w:eastAsia="zh-CN"/>
        </w:rPr>
        <w:t>2</w:t>
      </w:r>
      <w:r>
        <w:rPr>
          <w:rFonts w:ascii="Times New Roman" w:hAnsi="Times New Roman" w:cs="Times New Roman"/>
          <w:color w:val="auto"/>
          <w:szCs w:val="24"/>
          <w:lang w:eastAsia="zh-CN"/>
        </w:rPr>
        <w:t>、T</w:t>
      </w:r>
      <w:r>
        <w:rPr>
          <w:rFonts w:hint="eastAsia" w:ascii="Times New Roman" w:hAnsi="Times New Roman" w:cs="Times New Roman"/>
          <w:color w:val="auto"/>
          <w:szCs w:val="24"/>
          <w:lang w:eastAsia="zh-CN"/>
        </w:rPr>
        <w:t>3</w:t>
      </w:r>
      <w:r>
        <w:rPr>
          <w:rFonts w:ascii="Times New Roman" w:hAnsi="Times New Roman" w:cs="Times New Roman"/>
          <w:color w:val="auto"/>
          <w:szCs w:val="24"/>
          <w:lang w:eastAsia="zh-CN"/>
        </w:rPr>
        <w:t>、T</w:t>
      </w:r>
      <w:r>
        <w:rPr>
          <w:rFonts w:hint="eastAsia" w:ascii="Times New Roman" w:hAnsi="Times New Roman" w:cs="Times New Roman"/>
          <w:color w:val="auto"/>
          <w:szCs w:val="24"/>
          <w:lang w:eastAsia="zh-CN"/>
        </w:rPr>
        <w:t>4、T5、</w:t>
      </w:r>
      <w:r>
        <w:rPr>
          <w:rFonts w:ascii="Times New Roman" w:hAnsi="Times New Roman" w:cs="Times New Roman"/>
          <w:color w:val="auto"/>
          <w:szCs w:val="24"/>
          <w:lang w:eastAsia="zh-CN"/>
        </w:rPr>
        <w:t>T</w:t>
      </w:r>
      <w:r>
        <w:rPr>
          <w:rFonts w:hint="eastAsia" w:ascii="Times New Roman" w:hAnsi="Times New Roman" w:cs="Times New Roman"/>
          <w:color w:val="auto"/>
          <w:szCs w:val="24"/>
          <w:lang w:eastAsia="zh-CN"/>
        </w:rPr>
        <w:t>6</w:t>
      </w:r>
      <w:r>
        <w:rPr>
          <w:rFonts w:ascii="Times New Roman" w:hAnsi="Times New Roman" w:cs="Times New Roman"/>
          <w:color w:val="auto"/>
          <w:szCs w:val="24"/>
          <w:lang w:eastAsia="zh-CN"/>
        </w:rPr>
        <w:t>：pH、砷、汞、镉、铅、铜、镍、六价铬</w:t>
      </w:r>
      <w:r>
        <w:rPr>
          <w:rFonts w:hint="eastAsia" w:ascii="Times New Roman" w:hAnsi="Times New Roman" w:cs="Times New Roman"/>
          <w:color w:val="auto"/>
          <w:szCs w:val="24"/>
          <w:lang w:eastAsia="zh-CN"/>
        </w:rPr>
        <w:t>；</w:t>
      </w:r>
    </w:p>
    <w:p w14:paraId="57715E60">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T10</w:t>
      </w:r>
      <w:r>
        <w:rPr>
          <w:rFonts w:ascii="Times New Roman" w:hAnsi="Times New Roman" w:cs="Times New Roman"/>
          <w:color w:val="auto"/>
          <w:szCs w:val="24"/>
          <w:lang w:eastAsia="zh-CN"/>
        </w:rPr>
        <w:t>：</w:t>
      </w:r>
      <w:r>
        <w:rPr>
          <w:rFonts w:hint="eastAsia" w:ascii="Times New Roman" w:hAnsi="Times New Roman" w:cs="Times New Roman"/>
          <w:color w:val="auto"/>
          <w:szCs w:val="24"/>
          <w:lang w:eastAsia="zh-CN"/>
        </w:rPr>
        <w:t>pH、镉、汞、砷、铅、铬、铜、镍、锌；</w:t>
      </w:r>
    </w:p>
    <w:p w14:paraId="22A48149">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挥发性有机物包含检测项目为氯甲烷、氯乙烯、1,1-二氯乙烯、二氯甲烷、反式-1,2-二氯乙烯、1,1-二氯乙烷、顺式-1,2-二氯乙烯、三氯甲烷、1,1,1-三氯乙烷、四氯化碳、苯、1,2-二氯乙烷、三氯乙烯、1,2-二氯丙烷、甲苯、1,1,2-三氯乙烷、四氯乙烯、氯苯、1,1,1,2-四氯乙烷、乙苯、间,对-二甲苯、邻二甲苯、苯乙烯、1,1,2,2-四氯乙烷、1,2,3-三氯丙烷、1,4-二氯苯、1,2-二氯苯；半挥发性有机物包含检测项目为硝基苯、2-氯苯酚、苯并[a]蒽、苯并[a]芘、苯并[b]荧蒽、苯并[k]荧蒽、䓛、二苯并[a,h]蒽、茚并[1,2,3-c,d]芘、萘、苯胺。</w:t>
      </w:r>
    </w:p>
    <w:p w14:paraId="1C00936E">
      <w:pPr>
        <w:widowControl w:val="0"/>
        <w:spacing w:line="360" w:lineRule="auto"/>
        <w:ind w:left="480"/>
        <w:jc w:val="both"/>
        <w:rPr>
          <w:rFonts w:ascii="Times New Roman" w:hAnsi="Times New Roman" w:cs="Times New Roman"/>
          <w:color w:val="auto"/>
          <w:szCs w:val="24"/>
          <w:lang w:eastAsia="zh-CN"/>
        </w:rPr>
      </w:pPr>
      <w:bookmarkStart w:id="1312" w:name="_Toc8"/>
      <w:r>
        <w:rPr>
          <w:rFonts w:hint="eastAsia" w:ascii="Times New Roman" w:hAnsi="Times New Roman" w:cs="Times New Roman"/>
          <w:color w:val="auto"/>
          <w:szCs w:val="24"/>
          <w:lang w:eastAsia="zh-CN"/>
        </w:rPr>
        <w:t>（3）</w:t>
      </w:r>
      <w:r>
        <w:rPr>
          <w:rFonts w:ascii="Times New Roman" w:hAnsi="Times New Roman" w:cs="Times New Roman"/>
          <w:color w:val="auto"/>
          <w:szCs w:val="24"/>
          <w:lang w:eastAsia="zh-CN"/>
        </w:rPr>
        <w:t>监测分析方法</w:t>
      </w:r>
      <w:bookmarkEnd w:id="1312"/>
    </w:p>
    <w:p w14:paraId="5D24A87E">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土壤样品分析方法参照国家环保局的《环境监测分析方法》和中国环境监测总站编制的《土壤元素的近代分析方法》的有关要求进行。</w:t>
      </w:r>
    </w:p>
    <w:p w14:paraId="6260D931">
      <w:pPr>
        <w:pStyle w:val="84"/>
        <w:widowControl w:val="0"/>
        <w:spacing w:line="360" w:lineRule="auto"/>
        <w:ind w:firstLine="482"/>
        <w:jc w:val="both"/>
        <w:outlineLvl w:val="3"/>
        <w:rPr>
          <w:rFonts w:ascii="Times New Roman" w:hAnsi="Times New Roman" w:cs="Times New Roman"/>
          <w:color w:val="auto"/>
          <w:szCs w:val="24"/>
          <w:lang w:eastAsia="zh-CN"/>
        </w:rPr>
      </w:pPr>
      <w:bookmarkStart w:id="1313" w:name="_Toc25437"/>
      <w:bookmarkStart w:id="1314" w:name="_Toc8903"/>
      <w:bookmarkStart w:id="1315" w:name="_Toc5889"/>
      <w:bookmarkStart w:id="1316" w:name="_Toc24672"/>
      <w:r>
        <w:rPr>
          <w:rFonts w:ascii="Times New Roman" w:hAnsi="Times New Roman" w:cs="Times New Roman"/>
          <w:b/>
          <w:bCs/>
          <w:color w:val="auto"/>
          <w:szCs w:val="24"/>
        </w:rPr>
        <w:fldChar w:fldCharType="begin"/>
      </w:r>
      <w:r>
        <w:rPr>
          <w:rFonts w:ascii="Times New Roman" w:hAnsi="Times New Roman" w:cs="Times New Roman"/>
          <w:b/>
          <w:bCs/>
          <w:color w:val="auto"/>
          <w:szCs w:val="24"/>
          <w:lang w:eastAsia="zh-CN"/>
        </w:rPr>
        <w:instrText xml:space="preserve">HYPERLINK "D:\\1、工作\\善宇\\1、环评\\蚌埠\\安徽东欣迅启生物科技有限公司年产2000吨丁酰乳酸丁酯及100吨反式2-己烯醛项目\\安徽东欣迅启生物科技有限公司年产2000吨丁酰乳酸丁酯及100吨反式2-己烯醛项目\\4.3.5.3"</w:instrText>
      </w:r>
      <w:r>
        <w:rPr>
          <w:rFonts w:ascii="Times New Roman" w:hAnsi="Times New Roman" w:cs="Times New Roman"/>
          <w:b/>
          <w:bCs/>
          <w:color w:val="auto"/>
          <w:szCs w:val="24"/>
        </w:rPr>
        <w:fldChar w:fldCharType="separate"/>
      </w:r>
      <w:r>
        <w:rPr>
          <w:rFonts w:ascii="Times New Roman" w:hAnsi="Times New Roman" w:cs="Times New Roman"/>
          <w:b/>
          <w:bCs/>
          <w:color w:val="auto"/>
          <w:szCs w:val="24"/>
          <w:lang w:eastAsia="zh-CN"/>
        </w:rPr>
        <w:t>5.2.5.3</w:t>
      </w:r>
      <w:r>
        <w:rPr>
          <w:rFonts w:ascii="Times New Roman" w:hAnsi="Times New Roman" w:cs="Times New Roman"/>
          <w:b/>
          <w:bCs/>
          <w:color w:val="auto"/>
          <w:szCs w:val="24"/>
        </w:rPr>
        <w:fldChar w:fldCharType="end"/>
      </w:r>
      <w:r>
        <w:rPr>
          <w:rFonts w:ascii="Times New Roman" w:hAnsi="Times New Roman" w:cs="Times New Roman"/>
          <w:b/>
          <w:bCs/>
          <w:color w:val="auto"/>
          <w:szCs w:val="24"/>
          <w:lang w:eastAsia="zh-CN"/>
        </w:rPr>
        <w:t xml:space="preserve"> 现状评价</w:t>
      </w:r>
      <w:bookmarkEnd w:id="1313"/>
      <w:bookmarkEnd w:id="1314"/>
    </w:p>
    <w:p w14:paraId="38790A76">
      <w:pPr>
        <w:widowControl w:val="0"/>
        <w:spacing w:line="360" w:lineRule="auto"/>
        <w:ind w:left="48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（1）</w:t>
      </w:r>
      <w:r>
        <w:rPr>
          <w:rFonts w:ascii="Times New Roman" w:hAnsi="Times New Roman" w:cs="Times New Roman"/>
          <w:color w:val="auto"/>
          <w:szCs w:val="24"/>
          <w:lang w:eastAsia="zh-CN"/>
        </w:rPr>
        <w:t>评价标准</w:t>
      </w:r>
    </w:p>
    <w:p w14:paraId="16932CA8">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占地范围内和占地范围外建设用地土壤环境质量执行《土壤环境质量 建设用地土壤污染风险管控标准（试行）》</w:t>
      </w:r>
      <w:r>
        <w:fldChar w:fldCharType="begin"/>
      </w:r>
      <w:r>
        <w:instrText xml:space="preserve"> HYPERLINK "http://kjs.mep.gov.cn/hjbhbz/bzwb/trhj/trhjzlbz/201807/t20180703_446027.shtml" </w:instrText>
      </w:r>
      <w:r>
        <w:fldChar w:fldCharType="separate"/>
      </w:r>
      <w:r>
        <w:rPr>
          <w:rStyle w:val="40"/>
          <w:rFonts w:ascii="Times New Roman" w:hAnsi="Times New Roman" w:cs="Times New Roman"/>
          <w:color w:val="auto"/>
          <w:szCs w:val="24"/>
          <w:u w:val="none"/>
          <w:lang w:eastAsia="zh-CN"/>
        </w:rPr>
        <w:t>（GB36600-2018）</w:t>
      </w:r>
      <w:r>
        <w:rPr>
          <w:rStyle w:val="40"/>
          <w:rFonts w:ascii="Times New Roman" w:hAnsi="Times New Roman" w:cs="Times New Roman"/>
          <w:color w:val="auto"/>
          <w:szCs w:val="24"/>
          <w:u w:val="none"/>
          <w:lang w:eastAsia="zh-CN"/>
        </w:rPr>
        <w:fldChar w:fldCharType="end"/>
      </w:r>
      <w:r>
        <w:rPr>
          <w:rFonts w:ascii="Times New Roman" w:hAnsi="Times New Roman" w:eastAsia="新宋体" w:cs="Times New Roman"/>
          <w:color w:val="auto"/>
          <w:szCs w:val="24"/>
          <w:lang w:eastAsia="zh-CN"/>
        </w:rPr>
        <w:t>中筛选值标准</w:t>
      </w:r>
      <w:r>
        <w:rPr>
          <w:rFonts w:hint="eastAsia" w:ascii="Times New Roman" w:hAnsi="Times New Roman" w:eastAsia="新宋体" w:cs="Times New Roman"/>
          <w:color w:val="auto"/>
          <w:szCs w:val="24"/>
          <w:lang w:eastAsia="zh-CN"/>
        </w:rPr>
        <w:t>，农用地土壤环质量境执行《土壤环境质量农用地土壤污染风险管控标准（试行）》（GB15618-2018）中筛选值标准</w:t>
      </w:r>
      <w:r>
        <w:rPr>
          <w:rFonts w:ascii="Times New Roman" w:hAnsi="Times New Roman" w:cs="Times New Roman"/>
          <w:color w:val="auto"/>
          <w:szCs w:val="24"/>
          <w:lang w:eastAsia="zh-CN"/>
        </w:rPr>
        <w:t>。</w:t>
      </w:r>
    </w:p>
    <w:p w14:paraId="2724F011">
      <w:pPr>
        <w:widowControl w:val="0"/>
        <w:spacing w:line="360" w:lineRule="auto"/>
        <w:ind w:left="480"/>
        <w:jc w:val="both"/>
        <w:rPr>
          <w:rFonts w:ascii="Times New Roman" w:hAnsi="Times New Roman" w:cs="Times New Roman"/>
          <w:color w:val="auto"/>
          <w:szCs w:val="24"/>
          <w:lang w:eastAsia="zh-CN"/>
        </w:rPr>
      </w:pPr>
      <w:bookmarkStart w:id="1317" w:name="_Toc23561"/>
      <w:bookmarkStart w:id="1318" w:name="_Toc20907"/>
      <w:r>
        <w:rPr>
          <w:rFonts w:hint="eastAsia" w:ascii="Times New Roman" w:hAnsi="Times New Roman" w:cs="Times New Roman"/>
          <w:color w:val="auto"/>
          <w:szCs w:val="24"/>
          <w:lang w:eastAsia="zh-CN"/>
        </w:rPr>
        <w:t>（2）</w:t>
      </w:r>
      <w:r>
        <w:rPr>
          <w:rFonts w:ascii="Times New Roman" w:hAnsi="Times New Roman" w:cs="Times New Roman"/>
          <w:color w:val="auto"/>
          <w:szCs w:val="24"/>
          <w:lang w:eastAsia="zh-CN"/>
        </w:rPr>
        <w:t>评价方法</w:t>
      </w:r>
      <w:bookmarkEnd w:id="1317"/>
      <w:bookmarkEnd w:id="1318"/>
    </w:p>
    <w:p w14:paraId="4F1A7725">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采用标准指数法。</w:t>
      </w:r>
    </w:p>
    <w:p w14:paraId="45599E68">
      <w:pPr>
        <w:widowControl w:val="0"/>
        <w:spacing w:line="360" w:lineRule="auto"/>
        <w:jc w:val="center"/>
        <w:rPr>
          <w:rFonts w:ascii="Times New Roman" w:hAnsi="Times New Roman" w:cs="Times New Roman"/>
          <w:color w:val="auto"/>
          <w:szCs w:val="24"/>
        </w:rPr>
      </w:pPr>
      <w:r>
        <w:rPr>
          <w:rFonts w:ascii="Times New Roman" w:hAnsi="Times New Roman" w:cs="Times New Roman"/>
          <w:color w:val="auto"/>
          <w:szCs w:val="24"/>
        </w:rPr>
        <w:t>Pi=Ci/Si</w:t>
      </w:r>
    </w:p>
    <w:p w14:paraId="1A1EDF10">
      <w:pPr>
        <w:widowControl w:val="0"/>
        <w:spacing w:line="360" w:lineRule="auto"/>
        <w:ind w:firstLine="480" w:firstLineChars="200"/>
        <w:jc w:val="both"/>
        <w:rPr>
          <w:rFonts w:ascii="Times New Roman" w:hAnsi="Times New Roman" w:cs="Times New Roman"/>
          <w:color w:val="auto"/>
          <w:szCs w:val="24"/>
        </w:rPr>
      </w:pPr>
      <w:r>
        <w:rPr>
          <w:rFonts w:ascii="Times New Roman" w:hAnsi="Times New Roman" w:cs="Times New Roman"/>
          <w:color w:val="auto"/>
          <w:szCs w:val="24"/>
        </w:rPr>
        <w:t>式中：Pi—单因子污染指数；</w:t>
      </w:r>
    </w:p>
    <w:p w14:paraId="2D603624">
      <w:pPr>
        <w:widowControl w:val="0"/>
        <w:spacing w:line="360" w:lineRule="auto"/>
        <w:ind w:firstLine="1200" w:firstLineChars="5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Ci—土壤参数 I 的监测浓度；</w:t>
      </w:r>
    </w:p>
    <w:p w14:paraId="5F09C7F0">
      <w:pPr>
        <w:widowControl w:val="0"/>
        <w:spacing w:line="360" w:lineRule="auto"/>
        <w:ind w:firstLine="1200" w:firstLineChars="500"/>
        <w:jc w:val="both"/>
        <w:rPr>
          <w:rFonts w:ascii="Times New Roman" w:hAnsi="Times New Roman" w:cs="Times New Roman"/>
          <w:color w:val="auto"/>
          <w:szCs w:val="24"/>
        </w:rPr>
      </w:pPr>
      <w:r>
        <w:rPr>
          <w:rFonts w:ascii="Times New Roman" w:hAnsi="Times New Roman" w:cs="Times New Roman"/>
          <w:color w:val="auto"/>
          <w:szCs w:val="24"/>
        </w:rPr>
        <w:t>Si—土壤参数 I 的标准值。</w:t>
      </w:r>
    </w:p>
    <w:p w14:paraId="15481942">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土壤参数的标准指数＞1 ，表明该监测点位土壤参数超过了规定的土壤质量标准。</w:t>
      </w:r>
    </w:p>
    <w:p w14:paraId="09FDAF01">
      <w:pPr>
        <w:widowControl w:val="0"/>
        <w:spacing w:line="360" w:lineRule="auto"/>
        <w:ind w:left="48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（3）</w:t>
      </w:r>
      <w:r>
        <w:rPr>
          <w:rFonts w:ascii="Times New Roman" w:hAnsi="Times New Roman" w:cs="Times New Roman"/>
          <w:color w:val="auto"/>
          <w:szCs w:val="24"/>
          <w:lang w:eastAsia="zh-CN"/>
        </w:rPr>
        <w:t>监测及评价结果</w:t>
      </w:r>
      <w:bookmarkEnd w:id="1315"/>
      <w:bookmarkEnd w:id="1316"/>
    </w:p>
    <w:p w14:paraId="642F6B6A">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具体监测及评价结果汇总见下表。</w:t>
      </w:r>
    </w:p>
    <w:p w14:paraId="0A38A83D">
      <w:pPr>
        <w:tabs>
          <w:tab w:val="left" w:pos="672"/>
        </w:tabs>
        <w:ind w:firstLine="480"/>
        <w:rPr>
          <w:rFonts w:ascii="Times New Roman" w:hAnsi="Times New Roman" w:cs="Times New Roman"/>
          <w:color w:val="auto"/>
          <w:lang w:eastAsia="zh-CN"/>
        </w:rPr>
        <w:sectPr>
          <w:headerReference r:id="rId29" w:type="first"/>
          <w:headerReference r:id="rId27" w:type="default"/>
          <w:footerReference r:id="rId30" w:type="default"/>
          <w:headerReference r:id="rId28" w:type="even"/>
          <w:pgSz w:w="11907" w:h="16840"/>
          <w:pgMar w:top="1191" w:right="1134" w:bottom="1191" w:left="1134" w:header="0" w:footer="914" w:gutter="0"/>
          <w:cols w:space="720" w:num="1"/>
        </w:sectPr>
      </w:pPr>
    </w:p>
    <w:p w14:paraId="3A9AE0C3">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表5.2-1</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 xml:space="preserve">  建设用地土壤环境质量监测及评价结果一览表  单位：mg/kg ，pH 无量纲</w:t>
      </w:r>
    </w:p>
    <w:tbl>
      <w:tblPr>
        <w:tblStyle w:val="35"/>
        <w:tblW w:w="5000" w:type="pct"/>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autofit"/>
        <w:tblCellMar>
          <w:top w:w="0" w:type="dxa"/>
          <w:left w:w="0" w:type="dxa"/>
          <w:bottom w:w="0" w:type="dxa"/>
          <w:right w:w="0" w:type="dxa"/>
        </w:tblCellMar>
      </w:tblPr>
      <w:tblGrid>
        <w:gridCol w:w="1559"/>
        <w:gridCol w:w="801"/>
        <w:gridCol w:w="882"/>
        <w:gridCol w:w="882"/>
        <w:gridCol w:w="882"/>
        <w:gridCol w:w="882"/>
        <w:gridCol w:w="882"/>
        <w:gridCol w:w="882"/>
        <w:gridCol w:w="882"/>
        <w:gridCol w:w="882"/>
        <w:gridCol w:w="882"/>
        <w:gridCol w:w="882"/>
        <w:gridCol w:w="891"/>
        <w:gridCol w:w="894"/>
        <w:gridCol w:w="928"/>
        <w:gridCol w:w="565"/>
      </w:tblGrid>
      <w:tr w14:paraId="2ACD92AC">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76" w:hRule="atLeast"/>
          <w:jc w:val="center"/>
        </w:trPr>
        <w:tc>
          <w:tcPr>
            <w:tcW w:w="539" w:type="pct"/>
            <w:vMerge w:val="restart"/>
            <w:vAlign w:val="center"/>
          </w:tcPr>
          <w:p w14:paraId="62AD5FF2">
            <w:pPr>
              <w:jc w:val="center"/>
              <w:rPr>
                <w:rFonts w:ascii="Times New Roman" w:hAnsi="Times New Roman" w:cs="Times New Roman"/>
                <w:b/>
                <w:bCs/>
                <w:color w:val="auto"/>
                <w:sz w:val="21"/>
              </w:rPr>
            </w:pPr>
            <w:r>
              <w:rPr>
                <w:rFonts w:ascii="Times New Roman" w:hAnsi="Times New Roman" w:cs="Times New Roman"/>
                <w:b/>
                <w:bCs/>
                <w:color w:val="auto"/>
                <w:sz w:val="21"/>
              </w:rPr>
              <w:t>监测因子</w:t>
            </w:r>
          </w:p>
        </w:tc>
        <w:tc>
          <w:tcPr>
            <w:tcW w:w="887" w:type="pct"/>
            <w:gridSpan w:val="3"/>
            <w:vAlign w:val="center"/>
          </w:tcPr>
          <w:p w14:paraId="1FD34C9D">
            <w:pPr>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T1</w:t>
            </w:r>
          </w:p>
        </w:tc>
        <w:tc>
          <w:tcPr>
            <w:tcW w:w="915" w:type="pct"/>
            <w:gridSpan w:val="3"/>
            <w:vAlign w:val="center"/>
          </w:tcPr>
          <w:p w14:paraId="6125E85B">
            <w:pPr>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T2</w:t>
            </w:r>
          </w:p>
        </w:tc>
        <w:tc>
          <w:tcPr>
            <w:tcW w:w="915" w:type="pct"/>
            <w:gridSpan w:val="3"/>
            <w:vAlign w:val="center"/>
          </w:tcPr>
          <w:p w14:paraId="7FFCB2BF">
            <w:pPr>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T3</w:t>
            </w:r>
          </w:p>
        </w:tc>
        <w:tc>
          <w:tcPr>
            <w:tcW w:w="918" w:type="pct"/>
            <w:gridSpan w:val="3"/>
            <w:vAlign w:val="center"/>
          </w:tcPr>
          <w:p w14:paraId="4612F4A0">
            <w:pPr>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T4</w:t>
            </w:r>
          </w:p>
        </w:tc>
        <w:tc>
          <w:tcPr>
            <w:tcW w:w="309" w:type="pct"/>
            <w:vMerge w:val="restart"/>
            <w:vAlign w:val="center"/>
          </w:tcPr>
          <w:p w14:paraId="603F68E7">
            <w:pPr>
              <w:jc w:val="center"/>
              <w:rPr>
                <w:rFonts w:ascii="Times New Roman" w:hAnsi="Times New Roman" w:cs="Times New Roman"/>
                <w:b/>
                <w:bCs/>
                <w:color w:val="auto"/>
                <w:sz w:val="21"/>
              </w:rPr>
            </w:pPr>
            <w:r>
              <w:rPr>
                <w:rFonts w:ascii="Times New Roman" w:hAnsi="Times New Roman" w:cs="Times New Roman"/>
                <w:b/>
                <w:bCs/>
                <w:color w:val="auto"/>
                <w:sz w:val="21"/>
              </w:rPr>
              <w:t>执行标准 mg/kg</w:t>
            </w:r>
          </w:p>
        </w:tc>
        <w:tc>
          <w:tcPr>
            <w:tcW w:w="321" w:type="pct"/>
            <w:vMerge w:val="restart"/>
            <w:vAlign w:val="center"/>
          </w:tcPr>
          <w:p w14:paraId="7BA84A65">
            <w:pPr>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最大单因子指数</w:t>
            </w:r>
          </w:p>
        </w:tc>
        <w:tc>
          <w:tcPr>
            <w:tcW w:w="195" w:type="pct"/>
            <w:vMerge w:val="restart"/>
            <w:vAlign w:val="center"/>
          </w:tcPr>
          <w:p w14:paraId="023AF4CA">
            <w:pPr>
              <w:jc w:val="center"/>
              <w:rPr>
                <w:rFonts w:ascii="Times New Roman" w:hAnsi="Times New Roman" w:cs="Times New Roman"/>
                <w:b/>
                <w:bCs/>
                <w:color w:val="auto"/>
                <w:sz w:val="21"/>
              </w:rPr>
            </w:pPr>
            <w:r>
              <w:rPr>
                <w:rFonts w:ascii="Times New Roman" w:hAnsi="Times New Roman" w:cs="Times New Roman"/>
                <w:b/>
                <w:bCs/>
                <w:color w:val="auto"/>
                <w:sz w:val="21"/>
              </w:rPr>
              <w:t>是否达标</w:t>
            </w:r>
          </w:p>
        </w:tc>
      </w:tr>
      <w:tr w14:paraId="61042C6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76" w:hRule="atLeast"/>
          <w:jc w:val="center"/>
        </w:trPr>
        <w:tc>
          <w:tcPr>
            <w:tcW w:w="539" w:type="pct"/>
            <w:vMerge w:val="continue"/>
            <w:vAlign w:val="center"/>
          </w:tcPr>
          <w:p w14:paraId="2B808730">
            <w:pPr>
              <w:jc w:val="center"/>
              <w:rPr>
                <w:rFonts w:ascii="Times New Roman" w:hAnsi="Times New Roman" w:cs="Times New Roman"/>
                <w:b/>
                <w:bCs/>
                <w:color w:val="auto"/>
                <w:sz w:val="21"/>
              </w:rPr>
            </w:pPr>
          </w:p>
        </w:tc>
        <w:tc>
          <w:tcPr>
            <w:tcW w:w="277" w:type="pct"/>
            <w:vAlign w:val="center"/>
          </w:tcPr>
          <w:p w14:paraId="7CCEF77A">
            <w:pPr>
              <w:jc w:val="center"/>
              <w:rPr>
                <w:rFonts w:ascii="Times New Roman" w:hAnsi="Times New Roman" w:cs="Times New Roman"/>
                <w:b/>
                <w:bCs/>
                <w:color w:val="auto"/>
                <w:sz w:val="21"/>
                <w:lang w:eastAsia="zh-CN"/>
              </w:rPr>
            </w:pPr>
            <w:r>
              <w:rPr>
                <w:rFonts w:ascii="Times New Roman" w:hAnsi="Times New Roman" w:cs="Times New Roman"/>
                <w:bCs/>
                <w:color w:val="auto"/>
                <w:sz w:val="21"/>
              </w:rPr>
              <w:t>0～0.5m</w:t>
            </w:r>
          </w:p>
        </w:tc>
        <w:tc>
          <w:tcPr>
            <w:tcW w:w="305" w:type="pct"/>
            <w:vAlign w:val="center"/>
          </w:tcPr>
          <w:p w14:paraId="2AF9089F">
            <w:pPr>
              <w:jc w:val="center"/>
              <w:rPr>
                <w:rFonts w:ascii="Times New Roman" w:hAnsi="Times New Roman" w:cs="Times New Roman"/>
                <w:b/>
                <w:bCs/>
                <w:color w:val="auto"/>
                <w:sz w:val="21"/>
                <w:lang w:eastAsia="zh-CN"/>
              </w:rPr>
            </w:pPr>
            <w:r>
              <w:rPr>
                <w:rFonts w:ascii="Times New Roman" w:hAnsi="Times New Roman" w:cs="Times New Roman"/>
                <w:bCs/>
                <w:color w:val="auto"/>
                <w:sz w:val="21"/>
              </w:rPr>
              <w:t>0</w:t>
            </w:r>
            <w:r>
              <w:rPr>
                <w:rFonts w:hint="eastAsia" w:ascii="Times New Roman" w:hAnsi="Times New Roman" w:cs="Times New Roman"/>
                <w:bCs/>
                <w:color w:val="auto"/>
                <w:sz w:val="21"/>
                <w:lang w:eastAsia="zh-CN"/>
              </w:rPr>
              <w:t>.5</w:t>
            </w:r>
            <w:r>
              <w:rPr>
                <w:rFonts w:ascii="Times New Roman" w:hAnsi="Times New Roman" w:cs="Times New Roman"/>
                <w:bCs/>
                <w:color w:val="auto"/>
                <w:sz w:val="21"/>
              </w:rPr>
              <w:t>～</w:t>
            </w:r>
            <w:r>
              <w:rPr>
                <w:rFonts w:hint="eastAsia" w:ascii="Times New Roman" w:hAnsi="Times New Roman" w:cs="Times New Roman"/>
                <w:bCs/>
                <w:color w:val="auto"/>
                <w:sz w:val="21"/>
                <w:lang w:eastAsia="zh-CN"/>
              </w:rPr>
              <w:t>1</w:t>
            </w:r>
            <w:r>
              <w:rPr>
                <w:rFonts w:ascii="Times New Roman" w:hAnsi="Times New Roman" w:cs="Times New Roman"/>
                <w:bCs/>
                <w:color w:val="auto"/>
                <w:sz w:val="21"/>
              </w:rPr>
              <w:t>.5m</w:t>
            </w:r>
          </w:p>
        </w:tc>
        <w:tc>
          <w:tcPr>
            <w:tcW w:w="305" w:type="pct"/>
            <w:vAlign w:val="center"/>
          </w:tcPr>
          <w:p w14:paraId="2ECC74A2">
            <w:pPr>
              <w:jc w:val="center"/>
              <w:rPr>
                <w:rFonts w:ascii="Times New Roman" w:hAnsi="Times New Roman" w:cs="Times New Roman"/>
                <w:b/>
                <w:bCs/>
                <w:color w:val="auto"/>
                <w:sz w:val="21"/>
                <w:lang w:eastAsia="zh-CN"/>
              </w:rPr>
            </w:pPr>
            <w:r>
              <w:rPr>
                <w:rFonts w:hint="eastAsia" w:ascii="Times New Roman" w:hAnsi="Times New Roman" w:cs="Times New Roman"/>
                <w:bCs/>
                <w:color w:val="auto"/>
                <w:sz w:val="21"/>
                <w:lang w:eastAsia="zh-CN"/>
              </w:rPr>
              <w:t>1</w:t>
            </w:r>
            <w:r>
              <w:rPr>
                <w:rFonts w:ascii="Times New Roman" w:hAnsi="Times New Roman" w:cs="Times New Roman"/>
                <w:bCs/>
                <w:color w:val="auto"/>
                <w:sz w:val="21"/>
                <w:lang w:eastAsia="zh-CN"/>
              </w:rPr>
              <w:t>.5</w:t>
            </w:r>
            <w:r>
              <w:rPr>
                <w:rFonts w:ascii="Times New Roman" w:hAnsi="Times New Roman" w:cs="Times New Roman"/>
                <w:bCs/>
                <w:color w:val="auto"/>
                <w:sz w:val="21"/>
              </w:rPr>
              <w:t>～</w:t>
            </w:r>
            <w:r>
              <w:rPr>
                <w:rFonts w:hint="eastAsia" w:ascii="Times New Roman" w:hAnsi="Times New Roman" w:cs="Times New Roman"/>
                <w:bCs/>
                <w:color w:val="auto"/>
                <w:sz w:val="21"/>
                <w:lang w:eastAsia="zh-CN"/>
              </w:rPr>
              <w:t>3</w:t>
            </w:r>
            <w:r>
              <w:rPr>
                <w:rFonts w:ascii="Times New Roman" w:hAnsi="Times New Roman" w:cs="Times New Roman"/>
                <w:bCs/>
                <w:color w:val="auto"/>
                <w:sz w:val="21"/>
              </w:rPr>
              <w:t>m</w:t>
            </w:r>
          </w:p>
        </w:tc>
        <w:tc>
          <w:tcPr>
            <w:tcW w:w="305" w:type="pct"/>
            <w:vAlign w:val="center"/>
          </w:tcPr>
          <w:p w14:paraId="74A33F85">
            <w:pPr>
              <w:jc w:val="center"/>
              <w:rPr>
                <w:rFonts w:ascii="Times New Roman" w:hAnsi="Times New Roman" w:cs="Times New Roman"/>
                <w:b/>
                <w:bCs/>
                <w:color w:val="auto"/>
                <w:sz w:val="21"/>
                <w:lang w:eastAsia="zh-CN"/>
              </w:rPr>
            </w:pPr>
            <w:r>
              <w:rPr>
                <w:rFonts w:ascii="Times New Roman" w:hAnsi="Times New Roman" w:cs="Times New Roman"/>
                <w:bCs/>
                <w:color w:val="auto"/>
                <w:sz w:val="21"/>
              </w:rPr>
              <w:t>0～0.5m</w:t>
            </w:r>
          </w:p>
        </w:tc>
        <w:tc>
          <w:tcPr>
            <w:tcW w:w="305" w:type="pct"/>
            <w:vAlign w:val="center"/>
          </w:tcPr>
          <w:p w14:paraId="35C8B4E6">
            <w:pPr>
              <w:jc w:val="center"/>
              <w:rPr>
                <w:rFonts w:ascii="Times New Roman" w:hAnsi="Times New Roman" w:cs="Times New Roman"/>
                <w:b/>
                <w:bCs/>
                <w:color w:val="auto"/>
                <w:sz w:val="21"/>
                <w:lang w:eastAsia="zh-CN"/>
              </w:rPr>
            </w:pPr>
            <w:r>
              <w:rPr>
                <w:rFonts w:ascii="Times New Roman" w:hAnsi="Times New Roman" w:cs="Times New Roman"/>
                <w:bCs/>
                <w:color w:val="auto"/>
                <w:sz w:val="21"/>
              </w:rPr>
              <w:t>0</w:t>
            </w:r>
            <w:r>
              <w:rPr>
                <w:rFonts w:hint="eastAsia" w:ascii="Times New Roman" w:hAnsi="Times New Roman" w:cs="Times New Roman"/>
                <w:bCs/>
                <w:color w:val="auto"/>
                <w:sz w:val="21"/>
                <w:lang w:eastAsia="zh-CN"/>
              </w:rPr>
              <w:t>.5</w:t>
            </w:r>
            <w:r>
              <w:rPr>
                <w:rFonts w:ascii="Times New Roman" w:hAnsi="Times New Roman" w:cs="Times New Roman"/>
                <w:bCs/>
                <w:color w:val="auto"/>
                <w:sz w:val="21"/>
              </w:rPr>
              <w:t>～</w:t>
            </w:r>
            <w:r>
              <w:rPr>
                <w:rFonts w:hint="eastAsia" w:ascii="Times New Roman" w:hAnsi="Times New Roman" w:cs="Times New Roman"/>
                <w:bCs/>
                <w:color w:val="auto"/>
                <w:sz w:val="21"/>
                <w:lang w:eastAsia="zh-CN"/>
              </w:rPr>
              <w:t>1</w:t>
            </w:r>
            <w:r>
              <w:rPr>
                <w:rFonts w:ascii="Times New Roman" w:hAnsi="Times New Roman" w:cs="Times New Roman"/>
                <w:bCs/>
                <w:color w:val="auto"/>
                <w:sz w:val="21"/>
              </w:rPr>
              <w:t>.5m</w:t>
            </w:r>
          </w:p>
        </w:tc>
        <w:tc>
          <w:tcPr>
            <w:tcW w:w="305" w:type="pct"/>
            <w:vAlign w:val="center"/>
          </w:tcPr>
          <w:p w14:paraId="6FD09E77">
            <w:pPr>
              <w:jc w:val="center"/>
              <w:rPr>
                <w:rFonts w:ascii="Times New Roman" w:hAnsi="Times New Roman" w:cs="Times New Roman"/>
                <w:b/>
                <w:bCs/>
                <w:color w:val="auto"/>
                <w:sz w:val="21"/>
                <w:lang w:eastAsia="zh-CN"/>
              </w:rPr>
            </w:pPr>
            <w:r>
              <w:rPr>
                <w:rFonts w:hint="eastAsia" w:ascii="Times New Roman" w:hAnsi="Times New Roman" w:cs="Times New Roman"/>
                <w:bCs/>
                <w:color w:val="auto"/>
                <w:sz w:val="21"/>
                <w:lang w:eastAsia="zh-CN"/>
              </w:rPr>
              <w:t>1</w:t>
            </w:r>
            <w:r>
              <w:rPr>
                <w:rFonts w:ascii="Times New Roman" w:hAnsi="Times New Roman" w:cs="Times New Roman"/>
                <w:bCs/>
                <w:color w:val="auto"/>
                <w:sz w:val="21"/>
                <w:lang w:eastAsia="zh-CN"/>
              </w:rPr>
              <w:t>.5</w:t>
            </w:r>
            <w:r>
              <w:rPr>
                <w:rFonts w:ascii="Times New Roman" w:hAnsi="Times New Roman" w:cs="Times New Roman"/>
                <w:bCs/>
                <w:color w:val="auto"/>
                <w:sz w:val="21"/>
              </w:rPr>
              <w:t>～</w:t>
            </w:r>
            <w:r>
              <w:rPr>
                <w:rFonts w:hint="eastAsia" w:ascii="Times New Roman" w:hAnsi="Times New Roman" w:cs="Times New Roman"/>
                <w:bCs/>
                <w:color w:val="auto"/>
                <w:sz w:val="21"/>
                <w:lang w:eastAsia="zh-CN"/>
              </w:rPr>
              <w:t>3</w:t>
            </w:r>
            <w:r>
              <w:rPr>
                <w:rFonts w:ascii="Times New Roman" w:hAnsi="Times New Roman" w:cs="Times New Roman"/>
                <w:bCs/>
                <w:color w:val="auto"/>
                <w:sz w:val="21"/>
              </w:rPr>
              <w:t>m</w:t>
            </w:r>
          </w:p>
        </w:tc>
        <w:tc>
          <w:tcPr>
            <w:tcW w:w="305" w:type="pct"/>
            <w:vAlign w:val="center"/>
          </w:tcPr>
          <w:p w14:paraId="315C1CF0">
            <w:pPr>
              <w:jc w:val="center"/>
              <w:rPr>
                <w:rFonts w:ascii="Times New Roman" w:hAnsi="Times New Roman" w:cs="Times New Roman"/>
                <w:b/>
                <w:bCs/>
                <w:color w:val="auto"/>
                <w:sz w:val="21"/>
                <w:lang w:eastAsia="zh-CN"/>
              </w:rPr>
            </w:pPr>
            <w:r>
              <w:rPr>
                <w:rFonts w:ascii="Times New Roman" w:hAnsi="Times New Roman" w:cs="Times New Roman"/>
                <w:bCs/>
                <w:color w:val="auto"/>
                <w:sz w:val="21"/>
              </w:rPr>
              <w:t>0～0.5m</w:t>
            </w:r>
          </w:p>
        </w:tc>
        <w:tc>
          <w:tcPr>
            <w:tcW w:w="305" w:type="pct"/>
            <w:vAlign w:val="center"/>
          </w:tcPr>
          <w:p w14:paraId="35CEF7A2">
            <w:pPr>
              <w:jc w:val="center"/>
              <w:rPr>
                <w:rFonts w:ascii="Times New Roman" w:hAnsi="Times New Roman" w:cs="Times New Roman"/>
                <w:b/>
                <w:bCs/>
                <w:color w:val="auto"/>
                <w:sz w:val="21"/>
                <w:lang w:eastAsia="zh-CN"/>
              </w:rPr>
            </w:pPr>
            <w:r>
              <w:rPr>
                <w:rFonts w:ascii="Times New Roman" w:hAnsi="Times New Roman" w:cs="Times New Roman"/>
                <w:bCs/>
                <w:color w:val="auto"/>
                <w:sz w:val="21"/>
              </w:rPr>
              <w:t>0</w:t>
            </w:r>
            <w:r>
              <w:rPr>
                <w:rFonts w:hint="eastAsia" w:ascii="Times New Roman" w:hAnsi="Times New Roman" w:cs="Times New Roman"/>
                <w:bCs/>
                <w:color w:val="auto"/>
                <w:sz w:val="21"/>
                <w:lang w:eastAsia="zh-CN"/>
              </w:rPr>
              <w:t>.5</w:t>
            </w:r>
            <w:r>
              <w:rPr>
                <w:rFonts w:ascii="Times New Roman" w:hAnsi="Times New Roman" w:cs="Times New Roman"/>
                <w:bCs/>
                <w:color w:val="auto"/>
                <w:sz w:val="21"/>
              </w:rPr>
              <w:t>～</w:t>
            </w:r>
            <w:r>
              <w:rPr>
                <w:rFonts w:hint="eastAsia" w:ascii="Times New Roman" w:hAnsi="Times New Roman" w:cs="Times New Roman"/>
                <w:bCs/>
                <w:color w:val="auto"/>
                <w:sz w:val="21"/>
                <w:lang w:eastAsia="zh-CN"/>
              </w:rPr>
              <w:t>1</w:t>
            </w:r>
            <w:r>
              <w:rPr>
                <w:rFonts w:ascii="Times New Roman" w:hAnsi="Times New Roman" w:cs="Times New Roman"/>
                <w:bCs/>
                <w:color w:val="auto"/>
                <w:sz w:val="21"/>
              </w:rPr>
              <w:t>.5m</w:t>
            </w:r>
          </w:p>
        </w:tc>
        <w:tc>
          <w:tcPr>
            <w:tcW w:w="305" w:type="pct"/>
            <w:vAlign w:val="center"/>
          </w:tcPr>
          <w:p w14:paraId="5FFED086">
            <w:pPr>
              <w:jc w:val="center"/>
              <w:rPr>
                <w:rFonts w:ascii="Times New Roman" w:hAnsi="Times New Roman" w:cs="Times New Roman"/>
                <w:b/>
                <w:bCs/>
                <w:color w:val="auto"/>
                <w:sz w:val="21"/>
                <w:lang w:eastAsia="zh-CN"/>
              </w:rPr>
            </w:pPr>
            <w:r>
              <w:rPr>
                <w:rFonts w:hint="eastAsia" w:ascii="Times New Roman" w:hAnsi="Times New Roman" w:cs="Times New Roman"/>
                <w:bCs/>
                <w:color w:val="auto"/>
                <w:sz w:val="21"/>
                <w:lang w:eastAsia="zh-CN"/>
              </w:rPr>
              <w:t>1</w:t>
            </w:r>
            <w:r>
              <w:rPr>
                <w:rFonts w:ascii="Times New Roman" w:hAnsi="Times New Roman" w:cs="Times New Roman"/>
                <w:bCs/>
                <w:color w:val="auto"/>
                <w:sz w:val="21"/>
                <w:lang w:eastAsia="zh-CN"/>
              </w:rPr>
              <w:t>.5</w:t>
            </w:r>
            <w:r>
              <w:rPr>
                <w:rFonts w:ascii="Times New Roman" w:hAnsi="Times New Roman" w:cs="Times New Roman"/>
                <w:bCs/>
                <w:color w:val="auto"/>
                <w:sz w:val="21"/>
              </w:rPr>
              <w:t>～</w:t>
            </w:r>
            <w:r>
              <w:rPr>
                <w:rFonts w:hint="eastAsia" w:ascii="Times New Roman" w:hAnsi="Times New Roman" w:cs="Times New Roman"/>
                <w:bCs/>
                <w:color w:val="auto"/>
                <w:sz w:val="21"/>
                <w:lang w:eastAsia="zh-CN"/>
              </w:rPr>
              <w:t>3</w:t>
            </w:r>
            <w:r>
              <w:rPr>
                <w:rFonts w:ascii="Times New Roman" w:hAnsi="Times New Roman" w:cs="Times New Roman"/>
                <w:bCs/>
                <w:color w:val="auto"/>
                <w:sz w:val="21"/>
              </w:rPr>
              <w:t>m</w:t>
            </w:r>
          </w:p>
        </w:tc>
        <w:tc>
          <w:tcPr>
            <w:tcW w:w="305" w:type="pct"/>
            <w:vAlign w:val="center"/>
          </w:tcPr>
          <w:p w14:paraId="4D929A3E">
            <w:pPr>
              <w:jc w:val="center"/>
              <w:rPr>
                <w:rFonts w:ascii="Times New Roman" w:hAnsi="Times New Roman" w:cs="Times New Roman"/>
                <w:b/>
                <w:bCs/>
                <w:color w:val="auto"/>
                <w:sz w:val="21"/>
                <w:lang w:eastAsia="zh-CN"/>
              </w:rPr>
            </w:pPr>
            <w:r>
              <w:rPr>
                <w:rFonts w:ascii="Times New Roman" w:hAnsi="Times New Roman" w:cs="Times New Roman"/>
                <w:bCs/>
                <w:color w:val="auto"/>
                <w:sz w:val="21"/>
              </w:rPr>
              <w:t>0～0.5m</w:t>
            </w:r>
          </w:p>
        </w:tc>
        <w:tc>
          <w:tcPr>
            <w:tcW w:w="305" w:type="pct"/>
            <w:vAlign w:val="center"/>
          </w:tcPr>
          <w:p w14:paraId="0C341624">
            <w:pPr>
              <w:jc w:val="center"/>
              <w:rPr>
                <w:rFonts w:ascii="Times New Roman" w:hAnsi="Times New Roman" w:cs="Times New Roman"/>
                <w:b/>
                <w:bCs/>
                <w:color w:val="auto"/>
                <w:sz w:val="21"/>
                <w:lang w:eastAsia="zh-CN"/>
              </w:rPr>
            </w:pPr>
            <w:r>
              <w:rPr>
                <w:rFonts w:ascii="Times New Roman" w:hAnsi="Times New Roman" w:cs="Times New Roman"/>
                <w:bCs/>
                <w:color w:val="auto"/>
                <w:sz w:val="21"/>
              </w:rPr>
              <w:t>0</w:t>
            </w:r>
            <w:r>
              <w:rPr>
                <w:rFonts w:hint="eastAsia" w:ascii="Times New Roman" w:hAnsi="Times New Roman" w:cs="Times New Roman"/>
                <w:bCs/>
                <w:color w:val="auto"/>
                <w:sz w:val="21"/>
                <w:lang w:eastAsia="zh-CN"/>
              </w:rPr>
              <w:t>.5</w:t>
            </w:r>
            <w:r>
              <w:rPr>
                <w:rFonts w:ascii="Times New Roman" w:hAnsi="Times New Roman" w:cs="Times New Roman"/>
                <w:bCs/>
                <w:color w:val="auto"/>
                <w:sz w:val="21"/>
              </w:rPr>
              <w:t>～</w:t>
            </w:r>
            <w:r>
              <w:rPr>
                <w:rFonts w:hint="eastAsia" w:ascii="Times New Roman" w:hAnsi="Times New Roman" w:cs="Times New Roman"/>
                <w:bCs/>
                <w:color w:val="auto"/>
                <w:sz w:val="21"/>
                <w:lang w:eastAsia="zh-CN"/>
              </w:rPr>
              <w:t>1</w:t>
            </w:r>
            <w:r>
              <w:rPr>
                <w:rFonts w:ascii="Times New Roman" w:hAnsi="Times New Roman" w:cs="Times New Roman"/>
                <w:bCs/>
                <w:color w:val="auto"/>
                <w:sz w:val="21"/>
              </w:rPr>
              <w:t>.5m</w:t>
            </w:r>
          </w:p>
        </w:tc>
        <w:tc>
          <w:tcPr>
            <w:tcW w:w="308" w:type="pct"/>
            <w:vAlign w:val="center"/>
          </w:tcPr>
          <w:p w14:paraId="45421FD8">
            <w:pPr>
              <w:jc w:val="center"/>
              <w:rPr>
                <w:rFonts w:ascii="Times New Roman" w:hAnsi="Times New Roman" w:cs="Times New Roman"/>
                <w:b/>
                <w:bCs/>
                <w:color w:val="auto"/>
                <w:sz w:val="21"/>
                <w:lang w:eastAsia="zh-CN"/>
              </w:rPr>
            </w:pPr>
            <w:r>
              <w:rPr>
                <w:rFonts w:hint="eastAsia" w:ascii="Times New Roman" w:hAnsi="Times New Roman" w:cs="Times New Roman"/>
                <w:bCs/>
                <w:color w:val="auto"/>
                <w:sz w:val="21"/>
                <w:lang w:eastAsia="zh-CN"/>
              </w:rPr>
              <w:t>1</w:t>
            </w:r>
            <w:r>
              <w:rPr>
                <w:rFonts w:ascii="Times New Roman" w:hAnsi="Times New Roman" w:cs="Times New Roman"/>
                <w:bCs/>
                <w:color w:val="auto"/>
                <w:sz w:val="21"/>
                <w:lang w:eastAsia="zh-CN"/>
              </w:rPr>
              <w:t>.5</w:t>
            </w:r>
            <w:r>
              <w:rPr>
                <w:rFonts w:ascii="Times New Roman" w:hAnsi="Times New Roman" w:cs="Times New Roman"/>
                <w:bCs/>
                <w:color w:val="auto"/>
                <w:sz w:val="21"/>
              </w:rPr>
              <w:t>～</w:t>
            </w:r>
            <w:r>
              <w:rPr>
                <w:rFonts w:hint="eastAsia" w:ascii="Times New Roman" w:hAnsi="Times New Roman" w:cs="Times New Roman"/>
                <w:bCs/>
                <w:color w:val="auto"/>
                <w:sz w:val="21"/>
                <w:lang w:eastAsia="zh-CN"/>
              </w:rPr>
              <w:t>3</w:t>
            </w:r>
            <w:r>
              <w:rPr>
                <w:rFonts w:ascii="Times New Roman" w:hAnsi="Times New Roman" w:cs="Times New Roman"/>
                <w:bCs/>
                <w:color w:val="auto"/>
                <w:sz w:val="21"/>
              </w:rPr>
              <w:t>m</w:t>
            </w:r>
          </w:p>
        </w:tc>
        <w:tc>
          <w:tcPr>
            <w:tcW w:w="309" w:type="pct"/>
            <w:vMerge w:val="continue"/>
            <w:vAlign w:val="center"/>
          </w:tcPr>
          <w:p w14:paraId="14CC8739">
            <w:pPr>
              <w:jc w:val="center"/>
              <w:rPr>
                <w:rFonts w:ascii="Times New Roman" w:hAnsi="Times New Roman" w:cs="Times New Roman"/>
                <w:b/>
                <w:bCs/>
                <w:color w:val="auto"/>
                <w:sz w:val="21"/>
              </w:rPr>
            </w:pPr>
          </w:p>
        </w:tc>
        <w:tc>
          <w:tcPr>
            <w:tcW w:w="321" w:type="pct"/>
            <w:vMerge w:val="continue"/>
            <w:vAlign w:val="center"/>
          </w:tcPr>
          <w:p w14:paraId="056C62D0">
            <w:pPr>
              <w:jc w:val="center"/>
              <w:rPr>
                <w:rFonts w:ascii="Times New Roman" w:hAnsi="Times New Roman" w:cs="Times New Roman"/>
                <w:b/>
                <w:bCs/>
                <w:color w:val="auto"/>
                <w:sz w:val="21"/>
                <w:lang w:eastAsia="zh-CN"/>
              </w:rPr>
            </w:pPr>
          </w:p>
        </w:tc>
        <w:tc>
          <w:tcPr>
            <w:tcW w:w="195" w:type="pct"/>
            <w:vMerge w:val="continue"/>
            <w:vAlign w:val="center"/>
          </w:tcPr>
          <w:p w14:paraId="2A177585">
            <w:pPr>
              <w:jc w:val="center"/>
              <w:rPr>
                <w:rFonts w:ascii="Times New Roman" w:hAnsi="Times New Roman" w:cs="Times New Roman"/>
                <w:b/>
                <w:bCs/>
                <w:color w:val="auto"/>
                <w:sz w:val="21"/>
              </w:rPr>
            </w:pPr>
          </w:p>
        </w:tc>
      </w:tr>
      <w:tr w14:paraId="205B135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539" w:type="pct"/>
            <w:vAlign w:val="center"/>
          </w:tcPr>
          <w:p w14:paraId="782786DC">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pH</w:t>
            </w:r>
          </w:p>
        </w:tc>
        <w:tc>
          <w:tcPr>
            <w:tcW w:w="277" w:type="pct"/>
            <w:vAlign w:val="center"/>
          </w:tcPr>
          <w:p w14:paraId="1F6DAF45">
            <w:pPr>
              <w:jc w:val="center"/>
              <w:rPr>
                <w:rFonts w:ascii="Times New Roman" w:hAnsi="Times New Roman" w:cs="Times New Roman"/>
                <w:color w:val="auto"/>
                <w:sz w:val="21"/>
                <w:lang w:eastAsia="zh-CN"/>
              </w:rPr>
            </w:pPr>
          </w:p>
        </w:tc>
        <w:tc>
          <w:tcPr>
            <w:tcW w:w="305" w:type="pct"/>
            <w:vAlign w:val="center"/>
          </w:tcPr>
          <w:p w14:paraId="4DE99B98">
            <w:pPr>
              <w:jc w:val="center"/>
              <w:rPr>
                <w:rFonts w:ascii="Times New Roman" w:hAnsi="Times New Roman" w:cs="Times New Roman"/>
                <w:color w:val="auto"/>
                <w:sz w:val="21"/>
                <w:lang w:eastAsia="zh-CN"/>
              </w:rPr>
            </w:pPr>
          </w:p>
        </w:tc>
        <w:tc>
          <w:tcPr>
            <w:tcW w:w="305" w:type="pct"/>
            <w:vAlign w:val="center"/>
          </w:tcPr>
          <w:p w14:paraId="1602F289">
            <w:pPr>
              <w:jc w:val="center"/>
              <w:rPr>
                <w:rFonts w:ascii="Times New Roman" w:hAnsi="Times New Roman" w:cs="Times New Roman"/>
                <w:color w:val="auto"/>
                <w:sz w:val="21"/>
                <w:lang w:eastAsia="zh-CN"/>
              </w:rPr>
            </w:pPr>
          </w:p>
        </w:tc>
        <w:tc>
          <w:tcPr>
            <w:tcW w:w="305" w:type="pct"/>
            <w:vAlign w:val="center"/>
          </w:tcPr>
          <w:p w14:paraId="0A1F1CDB">
            <w:pPr>
              <w:jc w:val="center"/>
              <w:rPr>
                <w:rFonts w:ascii="Times New Roman" w:hAnsi="Times New Roman" w:cs="Times New Roman"/>
                <w:color w:val="auto"/>
                <w:spacing w:val="1"/>
                <w:sz w:val="21"/>
                <w:lang w:eastAsia="zh-CN"/>
              </w:rPr>
            </w:pPr>
          </w:p>
        </w:tc>
        <w:tc>
          <w:tcPr>
            <w:tcW w:w="305" w:type="pct"/>
            <w:vAlign w:val="center"/>
          </w:tcPr>
          <w:p w14:paraId="66A2C20B">
            <w:pPr>
              <w:jc w:val="center"/>
              <w:rPr>
                <w:rFonts w:ascii="Times New Roman" w:hAnsi="Times New Roman" w:cs="Times New Roman"/>
                <w:color w:val="auto"/>
                <w:spacing w:val="1"/>
                <w:sz w:val="21"/>
                <w:lang w:eastAsia="zh-CN"/>
              </w:rPr>
            </w:pPr>
          </w:p>
        </w:tc>
        <w:tc>
          <w:tcPr>
            <w:tcW w:w="305" w:type="pct"/>
            <w:vAlign w:val="center"/>
          </w:tcPr>
          <w:p w14:paraId="0CFAFA96">
            <w:pPr>
              <w:jc w:val="center"/>
              <w:rPr>
                <w:rFonts w:ascii="Times New Roman" w:hAnsi="Times New Roman" w:cs="Times New Roman"/>
                <w:color w:val="auto"/>
                <w:spacing w:val="1"/>
                <w:sz w:val="21"/>
                <w:lang w:eastAsia="zh-CN"/>
              </w:rPr>
            </w:pPr>
          </w:p>
        </w:tc>
        <w:tc>
          <w:tcPr>
            <w:tcW w:w="305" w:type="pct"/>
            <w:vAlign w:val="center"/>
          </w:tcPr>
          <w:p w14:paraId="136C1720">
            <w:pPr>
              <w:jc w:val="center"/>
              <w:rPr>
                <w:rFonts w:ascii="Times New Roman" w:hAnsi="Times New Roman" w:cs="Times New Roman"/>
                <w:color w:val="auto"/>
                <w:spacing w:val="1"/>
                <w:sz w:val="21"/>
                <w:lang w:eastAsia="zh-CN"/>
              </w:rPr>
            </w:pPr>
          </w:p>
        </w:tc>
        <w:tc>
          <w:tcPr>
            <w:tcW w:w="305" w:type="pct"/>
            <w:vAlign w:val="center"/>
          </w:tcPr>
          <w:p w14:paraId="34BFD6CE">
            <w:pPr>
              <w:jc w:val="center"/>
              <w:rPr>
                <w:rFonts w:ascii="Times New Roman" w:hAnsi="Times New Roman" w:cs="Times New Roman"/>
                <w:color w:val="auto"/>
                <w:spacing w:val="1"/>
                <w:sz w:val="21"/>
                <w:lang w:eastAsia="zh-CN"/>
              </w:rPr>
            </w:pPr>
          </w:p>
        </w:tc>
        <w:tc>
          <w:tcPr>
            <w:tcW w:w="305" w:type="pct"/>
            <w:vAlign w:val="center"/>
          </w:tcPr>
          <w:p w14:paraId="3EA06ECF">
            <w:pPr>
              <w:jc w:val="center"/>
              <w:rPr>
                <w:rFonts w:ascii="Times New Roman" w:hAnsi="Times New Roman" w:cs="Times New Roman"/>
                <w:color w:val="auto"/>
                <w:spacing w:val="1"/>
                <w:sz w:val="21"/>
                <w:lang w:eastAsia="zh-CN"/>
              </w:rPr>
            </w:pPr>
          </w:p>
        </w:tc>
        <w:tc>
          <w:tcPr>
            <w:tcW w:w="305" w:type="pct"/>
            <w:vAlign w:val="center"/>
          </w:tcPr>
          <w:p w14:paraId="2BC7CA1A">
            <w:pPr>
              <w:jc w:val="center"/>
              <w:rPr>
                <w:rFonts w:ascii="Times New Roman" w:hAnsi="Times New Roman" w:cs="Times New Roman"/>
                <w:color w:val="auto"/>
                <w:spacing w:val="1"/>
                <w:sz w:val="21"/>
                <w:lang w:eastAsia="zh-CN"/>
              </w:rPr>
            </w:pPr>
          </w:p>
        </w:tc>
        <w:tc>
          <w:tcPr>
            <w:tcW w:w="305" w:type="pct"/>
            <w:vAlign w:val="center"/>
          </w:tcPr>
          <w:p w14:paraId="2AA10530">
            <w:pPr>
              <w:jc w:val="center"/>
              <w:rPr>
                <w:rFonts w:ascii="Times New Roman" w:hAnsi="Times New Roman" w:cs="Times New Roman"/>
                <w:color w:val="auto"/>
                <w:spacing w:val="1"/>
                <w:sz w:val="21"/>
                <w:lang w:eastAsia="zh-CN"/>
              </w:rPr>
            </w:pPr>
          </w:p>
        </w:tc>
        <w:tc>
          <w:tcPr>
            <w:tcW w:w="308" w:type="pct"/>
            <w:vAlign w:val="center"/>
          </w:tcPr>
          <w:p w14:paraId="7E50CFAF">
            <w:pPr>
              <w:jc w:val="center"/>
              <w:rPr>
                <w:rFonts w:ascii="Times New Roman" w:hAnsi="Times New Roman" w:cs="Times New Roman"/>
                <w:color w:val="auto"/>
                <w:spacing w:val="1"/>
                <w:sz w:val="21"/>
                <w:lang w:eastAsia="zh-CN"/>
              </w:rPr>
            </w:pPr>
          </w:p>
        </w:tc>
        <w:tc>
          <w:tcPr>
            <w:tcW w:w="309" w:type="pct"/>
            <w:vAlign w:val="center"/>
          </w:tcPr>
          <w:p w14:paraId="7D3C7730">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c>
          <w:tcPr>
            <w:tcW w:w="321" w:type="pct"/>
            <w:vAlign w:val="center"/>
          </w:tcPr>
          <w:p w14:paraId="13B56E24">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c>
          <w:tcPr>
            <w:tcW w:w="195" w:type="pct"/>
            <w:vAlign w:val="center"/>
          </w:tcPr>
          <w:p w14:paraId="324F1EBD">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r>
      <w:tr w14:paraId="53A1A0C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539" w:type="pct"/>
            <w:vAlign w:val="center"/>
          </w:tcPr>
          <w:p w14:paraId="689E86BB">
            <w:pPr>
              <w:jc w:val="center"/>
              <w:rPr>
                <w:rFonts w:ascii="Times New Roman" w:hAnsi="Times New Roman" w:cs="Times New Roman"/>
                <w:color w:val="auto"/>
                <w:sz w:val="21"/>
              </w:rPr>
            </w:pPr>
            <w:r>
              <w:rPr>
                <w:rFonts w:ascii="Times New Roman" w:hAnsi="Times New Roman" w:cs="Times New Roman"/>
                <w:color w:val="auto"/>
                <w:sz w:val="21"/>
              </w:rPr>
              <w:t>砷</w:t>
            </w:r>
          </w:p>
        </w:tc>
        <w:tc>
          <w:tcPr>
            <w:tcW w:w="277" w:type="pct"/>
            <w:vAlign w:val="center"/>
          </w:tcPr>
          <w:p w14:paraId="24A3A035">
            <w:pPr>
              <w:jc w:val="center"/>
              <w:rPr>
                <w:rFonts w:ascii="Times New Roman" w:hAnsi="Times New Roman" w:cs="Times New Roman"/>
                <w:color w:val="auto"/>
                <w:sz w:val="21"/>
                <w:lang w:eastAsia="zh-CN"/>
              </w:rPr>
            </w:pPr>
          </w:p>
        </w:tc>
        <w:tc>
          <w:tcPr>
            <w:tcW w:w="305" w:type="pct"/>
            <w:vAlign w:val="center"/>
          </w:tcPr>
          <w:p w14:paraId="3445D6CA">
            <w:pPr>
              <w:jc w:val="center"/>
              <w:rPr>
                <w:rFonts w:ascii="Times New Roman" w:hAnsi="Times New Roman" w:cs="Times New Roman"/>
                <w:color w:val="auto"/>
                <w:sz w:val="21"/>
                <w:lang w:eastAsia="zh-CN"/>
              </w:rPr>
            </w:pPr>
          </w:p>
        </w:tc>
        <w:tc>
          <w:tcPr>
            <w:tcW w:w="305" w:type="pct"/>
            <w:vAlign w:val="center"/>
          </w:tcPr>
          <w:p w14:paraId="764DCC6F">
            <w:pPr>
              <w:jc w:val="center"/>
              <w:rPr>
                <w:rFonts w:ascii="Times New Roman" w:hAnsi="Times New Roman" w:cs="Times New Roman"/>
                <w:color w:val="auto"/>
                <w:sz w:val="21"/>
                <w:lang w:eastAsia="zh-CN"/>
              </w:rPr>
            </w:pPr>
          </w:p>
        </w:tc>
        <w:tc>
          <w:tcPr>
            <w:tcW w:w="305" w:type="pct"/>
            <w:vAlign w:val="center"/>
          </w:tcPr>
          <w:p w14:paraId="21A8C25A">
            <w:pPr>
              <w:jc w:val="center"/>
              <w:rPr>
                <w:rFonts w:ascii="Times New Roman" w:hAnsi="Times New Roman" w:cs="Times New Roman"/>
                <w:color w:val="auto"/>
                <w:spacing w:val="1"/>
                <w:sz w:val="21"/>
                <w:lang w:eastAsia="zh-CN"/>
              </w:rPr>
            </w:pPr>
          </w:p>
        </w:tc>
        <w:tc>
          <w:tcPr>
            <w:tcW w:w="305" w:type="pct"/>
            <w:vAlign w:val="center"/>
          </w:tcPr>
          <w:p w14:paraId="6234AC44">
            <w:pPr>
              <w:jc w:val="center"/>
              <w:rPr>
                <w:rFonts w:ascii="Times New Roman" w:hAnsi="Times New Roman" w:cs="Times New Roman"/>
                <w:color w:val="auto"/>
                <w:spacing w:val="1"/>
                <w:sz w:val="21"/>
                <w:lang w:eastAsia="zh-CN"/>
              </w:rPr>
            </w:pPr>
          </w:p>
        </w:tc>
        <w:tc>
          <w:tcPr>
            <w:tcW w:w="305" w:type="pct"/>
            <w:vAlign w:val="center"/>
          </w:tcPr>
          <w:p w14:paraId="19C1A80A">
            <w:pPr>
              <w:jc w:val="center"/>
              <w:rPr>
                <w:rFonts w:ascii="Times New Roman" w:hAnsi="Times New Roman" w:cs="Times New Roman"/>
                <w:color w:val="auto"/>
                <w:spacing w:val="1"/>
                <w:sz w:val="21"/>
                <w:lang w:eastAsia="zh-CN"/>
              </w:rPr>
            </w:pPr>
          </w:p>
        </w:tc>
        <w:tc>
          <w:tcPr>
            <w:tcW w:w="305" w:type="pct"/>
            <w:vAlign w:val="center"/>
          </w:tcPr>
          <w:p w14:paraId="35583A5C">
            <w:pPr>
              <w:jc w:val="center"/>
              <w:rPr>
                <w:rFonts w:ascii="Times New Roman" w:hAnsi="Times New Roman" w:cs="Times New Roman"/>
                <w:color w:val="auto"/>
                <w:spacing w:val="1"/>
                <w:sz w:val="21"/>
                <w:lang w:eastAsia="zh-CN"/>
              </w:rPr>
            </w:pPr>
          </w:p>
        </w:tc>
        <w:tc>
          <w:tcPr>
            <w:tcW w:w="305" w:type="pct"/>
            <w:vAlign w:val="center"/>
          </w:tcPr>
          <w:p w14:paraId="14C3B424">
            <w:pPr>
              <w:jc w:val="center"/>
              <w:rPr>
                <w:rFonts w:ascii="Times New Roman" w:hAnsi="Times New Roman" w:cs="Times New Roman"/>
                <w:color w:val="auto"/>
                <w:spacing w:val="1"/>
                <w:sz w:val="21"/>
                <w:lang w:eastAsia="zh-CN"/>
              </w:rPr>
            </w:pPr>
          </w:p>
        </w:tc>
        <w:tc>
          <w:tcPr>
            <w:tcW w:w="305" w:type="pct"/>
            <w:vAlign w:val="center"/>
          </w:tcPr>
          <w:p w14:paraId="32E27EF4">
            <w:pPr>
              <w:jc w:val="center"/>
              <w:rPr>
                <w:rFonts w:ascii="Times New Roman" w:hAnsi="Times New Roman" w:cs="Times New Roman"/>
                <w:color w:val="auto"/>
                <w:spacing w:val="1"/>
                <w:sz w:val="21"/>
                <w:lang w:eastAsia="zh-CN"/>
              </w:rPr>
            </w:pPr>
          </w:p>
        </w:tc>
        <w:tc>
          <w:tcPr>
            <w:tcW w:w="305" w:type="pct"/>
            <w:vAlign w:val="center"/>
          </w:tcPr>
          <w:p w14:paraId="362D211F">
            <w:pPr>
              <w:jc w:val="center"/>
              <w:rPr>
                <w:rFonts w:ascii="Times New Roman" w:hAnsi="Times New Roman" w:cs="Times New Roman"/>
                <w:color w:val="auto"/>
                <w:spacing w:val="1"/>
                <w:sz w:val="21"/>
                <w:lang w:eastAsia="zh-CN"/>
              </w:rPr>
            </w:pPr>
          </w:p>
        </w:tc>
        <w:tc>
          <w:tcPr>
            <w:tcW w:w="305" w:type="pct"/>
            <w:vAlign w:val="center"/>
          </w:tcPr>
          <w:p w14:paraId="7C5C6ADD">
            <w:pPr>
              <w:jc w:val="center"/>
              <w:rPr>
                <w:rFonts w:ascii="Times New Roman" w:hAnsi="Times New Roman" w:cs="Times New Roman"/>
                <w:color w:val="auto"/>
                <w:spacing w:val="1"/>
                <w:sz w:val="21"/>
                <w:lang w:eastAsia="zh-CN"/>
              </w:rPr>
            </w:pPr>
          </w:p>
        </w:tc>
        <w:tc>
          <w:tcPr>
            <w:tcW w:w="308" w:type="pct"/>
            <w:vAlign w:val="center"/>
          </w:tcPr>
          <w:p w14:paraId="007CA0DE">
            <w:pPr>
              <w:jc w:val="center"/>
              <w:rPr>
                <w:rFonts w:ascii="Times New Roman" w:hAnsi="Times New Roman" w:cs="Times New Roman"/>
                <w:color w:val="auto"/>
                <w:spacing w:val="1"/>
                <w:sz w:val="21"/>
                <w:lang w:eastAsia="zh-CN"/>
              </w:rPr>
            </w:pPr>
          </w:p>
        </w:tc>
        <w:tc>
          <w:tcPr>
            <w:tcW w:w="309" w:type="pct"/>
            <w:vAlign w:val="center"/>
          </w:tcPr>
          <w:p w14:paraId="48340C6F">
            <w:pPr>
              <w:jc w:val="center"/>
              <w:rPr>
                <w:rFonts w:ascii="Times New Roman" w:hAnsi="Times New Roman" w:cs="Times New Roman"/>
                <w:color w:val="auto"/>
                <w:sz w:val="21"/>
              </w:rPr>
            </w:pPr>
            <w:r>
              <w:rPr>
                <w:rFonts w:ascii="Times New Roman" w:hAnsi="Times New Roman" w:cs="Times New Roman"/>
                <w:color w:val="auto"/>
                <w:sz w:val="21"/>
              </w:rPr>
              <w:t>60</w:t>
            </w:r>
          </w:p>
        </w:tc>
        <w:tc>
          <w:tcPr>
            <w:tcW w:w="321" w:type="pct"/>
            <w:vAlign w:val="center"/>
          </w:tcPr>
          <w:p w14:paraId="0FCDE97A">
            <w:pPr>
              <w:jc w:val="center"/>
              <w:rPr>
                <w:rFonts w:ascii="Times New Roman" w:hAnsi="Times New Roman" w:cs="Times New Roman"/>
                <w:color w:val="auto"/>
                <w:sz w:val="21"/>
                <w:lang w:eastAsia="zh-CN"/>
              </w:rPr>
            </w:pPr>
          </w:p>
        </w:tc>
        <w:tc>
          <w:tcPr>
            <w:tcW w:w="195" w:type="pct"/>
            <w:vAlign w:val="center"/>
          </w:tcPr>
          <w:p w14:paraId="6982A284">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0F4187C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539" w:type="pct"/>
            <w:vAlign w:val="center"/>
          </w:tcPr>
          <w:p w14:paraId="610128BF">
            <w:pPr>
              <w:jc w:val="center"/>
              <w:rPr>
                <w:rFonts w:ascii="Times New Roman" w:hAnsi="Times New Roman" w:cs="Times New Roman"/>
                <w:color w:val="auto"/>
                <w:sz w:val="21"/>
              </w:rPr>
            </w:pPr>
            <w:r>
              <w:rPr>
                <w:rFonts w:ascii="Times New Roman" w:hAnsi="Times New Roman" w:cs="Times New Roman"/>
                <w:color w:val="auto"/>
                <w:sz w:val="21"/>
              </w:rPr>
              <w:t>镉</w:t>
            </w:r>
          </w:p>
        </w:tc>
        <w:tc>
          <w:tcPr>
            <w:tcW w:w="277" w:type="pct"/>
            <w:vAlign w:val="center"/>
          </w:tcPr>
          <w:p w14:paraId="0485202D">
            <w:pPr>
              <w:jc w:val="center"/>
              <w:rPr>
                <w:rFonts w:ascii="Times New Roman" w:hAnsi="Times New Roman" w:cs="Times New Roman"/>
                <w:color w:val="auto"/>
                <w:sz w:val="21"/>
                <w:lang w:eastAsia="zh-CN"/>
              </w:rPr>
            </w:pPr>
          </w:p>
        </w:tc>
        <w:tc>
          <w:tcPr>
            <w:tcW w:w="305" w:type="pct"/>
            <w:vAlign w:val="center"/>
          </w:tcPr>
          <w:p w14:paraId="02300A56">
            <w:pPr>
              <w:jc w:val="center"/>
              <w:rPr>
                <w:rFonts w:ascii="Times New Roman" w:hAnsi="Times New Roman" w:cs="Times New Roman"/>
                <w:color w:val="auto"/>
                <w:sz w:val="21"/>
                <w:lang w:eastAsia="zh-CN"/>
              </w:rPr>
            </w:pPr>
          </w:p>
        </w:tc>
        <w:tc>
          <w:tcPr>
            <w:tcW w:w="305" w:type="pct"/>
            <w:vAlign w:val="center"/>
          </w:tcPr>
          <w:p w14:paraId="08092A43">
            <w:pPr>
              <w:jc w:val="center"/>
              <w:rPr>
                <w:rFonts w:ascii="Times New Roman" w:hAnsi="Times New Roman" w:cs="Times New Roman"/>
                <w:color w:val="auto"/>
                <w:sz w:val="21"/>
                <w:lang w:eastAsia="zh-CN"/>
              </w:rPr>
            </w:pPr>
          </w:p>
        </w:tc>
        <w:tc>
          <w:tcPr>
            <w:tcW w:w="305" w:type="pct"/>
            <w:vAlign w:val="center"/>
          </w:tcPr>
          <w:p w14:paraId="62A6F57A">
            <w:pPr>
              <w:jc w:val="center"/>
              <w:rPr>
                <w:rFonts w:ascii="Times New Roman" w:hAnsi="Times New Roman" w:cs="Times New Roman"/>
                <w:color w:val="auto"/>
                <w:spacing w:val="1"/>
                <w:sz w:val="21"/>
                <w:lang w:eastAsia="zh-CN"/>
              </w:rPr>
            </w:pPr>
          </w:p>
        </w:tc>
        <w:tc>
          <w:tcPr>
            <w:tcW w:w="305" w:type="pct"/>
            <w:vAlign w:val="center"/>
          </w:tcPr>
          <w:p w14:paraId="3A242F70">
            <w:pPr>
              <w:jc w:val="center"/>
              <w:rPr>
                <w:rFonts w:ascii="Times New Roman" w:hAnsi="Times New Roman" w:cs="Times New Roman"/>
                <w:color w:val="auto"/>
                <w:spacing w:val="1"/>
                <w:sz w:val="21"/>
                <w:lang w:eastAsia="zh-CN"/>
              </w:rPr>
            </w:pPr>
          </w:p>
        </w:tc>
        <w:tc>
          <w:tcPr>
            <w:tcW w:w="305" w:type="pct"/>
            <w:vAlign w:val="center"/>
          </w:tcPr>
          <w:p w14:paraId="193CBC59">
            <w:pPr>
              <w:jc w:val="center"/>
              <w:rPr>
                <w:rFonts w:ascii="Times New Roman" w:hAnsi="Times New Roman" w:cs="Times New Roman"/>
                <w:color w:val="auto"/>
                <w:spacing w:val="1"/>
                <w:sz w:val="21"/>
                <w:lang w:eastAsia="zh-CN"/>
              </w:rPr>
            </w:pPr>
          </w:p>
        </w:tc>
        <w:tc>
          <w:tcPr>
            <w:tcW w:w="305" w:type="pct"/>
            <w:vAlign w:val="center"/>
          </w:tcPr>
          <w:p w14:paraId="4A1261F2">
            <w:pPr>
              <w:jc w:val="center"/>
              <w:rPr>
                <w:rFonts w:ascii="Times New Roman" w:hAnsi="Times New Roman" w:cs="Times New Roman"/>
                <w:color w:val="auto"/>
                <w:spacing w:val="1"/>
                <w:sz w:val="21"/>
                <w:lang w:eastAsia="zh-CN"/>
              </w:rPr>
            </w:pPr>
          </w:p>
        </w:tc>
        <w:tc>
          <w:tcPr>
            <w:tcW w:w="305" w:type="pct"/>
            <w:vAlign w:val="center"/>
          </w:tcPr>
          <w:p w14:paraId="3E4462EC">
            <w:pPr>
              <w:jc w:val="center"/>
              <w:rPr>
                <w:rFonts w:ascii="Times New Roman" w:hAnsi="Times New Roman" w:cs="Times New Roman"/>
                <w:color w:val="auto"/>
                <w:spacing w:val="1"/>
                <w:sz w:val="21"/>
                <w:lang w:eastAsia="zh-CN"/>
              </w:rPr>
            </w:pPr>
          </w:p>
        </w:tc>
        <w:tc>
          <w:tcPr>
            <w:tcW w:w="305" w:type="pct"/>
            <w:vAlign w:val="center"/>
          </w:tcPr>
          <w:p w14:paraId="6093C1B0">
            <w:pPr>
              <w:jc w:val="center"/>
              <w:rPr>
                <w:rFonts w:ascii="Times New Roman" w:hAnsi="Times New Roman" w:cs="Times New Roman"/>
                <w:color w:val="auto"/>
                <w:spacing w:val="1"/>
                <w:sz w:val="21"/>
                <w:lang w:eastAsia="zh-CN"/>
              </w:rPr>
            </w:pPr>
          </w:p>
        </w:tc>
        <w:tc>
          <w:tcPr>
            <w:tcW w:w="305" w:type="pct"/>
            <w:vAlign w:val="center"/>
          </w:tcPr>
          <w:p w14:paraId="1F7A617E">
            <w:pPr>
              <w:jc w:val="center"/>
              <w:rPr>
                <w:rFonts w:ascii="Times New Roman" w:hAnsi="Times New Roman" w:cs="Times New Roman"/>
                <w:color w:val="auto"/>
                <w:spacing w:val="1"/>
                <w:sz w:val="21"/>
                <w:lang w:eastAsia="zh-CN"/>
              </w:rPr>
            </w:pPr>
          </w:p>
        </w:tc>
        <w:tc>
          <w:tcPr>
            <w:tcW w:w="305" w:type="pct"/>
            <w:vAlign w:val="center"/>
          </w:tcPr>
          <w:p w14:paraId="34FAEF79">
            <w:pPr>
              <w:jc w:val="center"/>
              <w:rPr>
                <w:rFonts w:ascii="Times New Roman" w:hAnsi="Times New Roman" w:cs="Times New Roman"/>
                <w:color w:val="auto"/>
                <w:spacing w:val="1"/>
                <w:sz w:val="21"/>
                <w:lang w:eastAsia="zh-CN"/>
              </w:rPr>
            </w:pPr>
          </w:p>
        </w:tc>
        <w:tc>
          <w:tcPr>
            <w:tcW w:w="308" w:type="pct"/>
            <w:vAlign w:val="center"/>
          </w:tcPr>
          <w:p w14:paraId="19C1C07D">
            <w:pPr>
              <w:jc w:val="center"/>
              <w:rPr>
                <w:rFonts w:ascii="Times New Roman" w:hAnsi="Times New Roman" w:cs="Times New Roman"/>
                <w:color w:val="auto"/>
                <w:spacing w:val="1"/>
                <w:sz w:val="21"/>
                <w:lang w:eastAsia="zh-CN"/>
              </w:rPr>
            </w:pPr>
          </w:p>
        </w:tc>
        <w:tc>
          <w:tcPr>
            <w:tcW w:w="309" w:type="pct"/>
            <w:vAlign w:val="center"/>
          </w:tcPr>
          <w:p w14:paraId="3902327C">
            <w:pPr>
              <w:jc w:val="center"/>
              <w:rPr>
                <w:rFonts w:ascii="Times New Roman" w:hAnsi="Times New Roman" w:cs="Times New Roman"/>
                <w:color w:val="auto"/>
                <w:sz w:val="21"/>
              </w:rPr>
            </w:pPr>
            <w:r>
              <w:rPr>
                <w:rFonts w:ascii="Times New Roman" w:hAnsi="Times New Roman" w:cs="Times New Roman"/>
                <w:color w:val="auto"/>
                <w:sz w:val="21"/>
              </w:rPr>
              <w:t>65</w:t>
            </w:r>
          </w:p>
        </w:tc>
        <w:tc>
          <w:tcPr>
            <w:tcW w:w="321" w:type="pct"/>
            <w:vAlign w:val="center"/>
          </w:tcPr>
          <w:p w14:paraId="245785EE">
            <w:pPr>
              <w:jc w:val="center"/>
              <w:rPr>
                <w:rFonts w:ascii="Times New Roman" w:hAnsi="Times New Roman" w:cs="Times New Roman"/>
                <w:color w:val="auto"/>
                <w:sz w:val="21"/>
                <w:lang w:eastAsia="zh-CN"/>
              </w:rPr>
            </w:pPr>
          </w:p>
        </w:tc>
        <w:tc>
          <w:tcPr>
            <w:tcW w:w="195" w:type="pct"/>
            <w:vAlign w:val="center"/>
          </w:tcPr>
          <w:p w14:paraId="4CB9CEDB">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150DC1B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0" w:hRule="atLeast"/>
          <w:jc w:val="center"/>
        </w:trPr>
        <w:tc>
          <w:tcPr>
            <w:tcW w:w="539" w:type="pct"/>
            <w:vAlign w:val="center"/>
          </w:tcPr>
          <w:p w14:paraId="60024CBB">
            <w:pPr>
              <w:jc w:val="center"/>
              <w:rPr>
                <w:rFonts w:ascii="Times New Roman" w:hAnsi="Times New Roman" w:cs="Times New Roman"/>
                <w:color w:val="auto"/>
                <w:sz w:val="21"/>
              </w:rPr>
            </w:pPr>
            <w:r>
              <w:rPr>
                <w:rFonts w:ascii="Times New Roman" w:hAnsi="Times New Roman" w:cs="Times New Roman"/>
                <w:color w:val="auto"/>
                <w:sz w:val="21"/>
              </w:rPr>
              <w:t>铬（六价）</w:t>
            </w:r>
          </w:p>
        </w:tc>
        <w:tc>
          <w:tcPr>
            <w:tcW w:w="277" w:type="pct"/>
            <w:vAlign w:val="center"/>
          </w:tcPr>
          <w:p w14:paraId="53469CAA">
            <w:pPr>
              <w:jc w:val="center"/>
              <w:rPr>
                <w:rFonts w:ascii="Times New Roman" w:hAnsi="Times New Roman" w:cs="Times New Roman"/>
                <w:color w:val="auto"/>
                <w:sz w:val="21"/>
                <w:lang w:eastAsia="zh-CN"/>
              </w:rPr>
            </w:pPr>
          </w:p>
        </w:tc>
        <w:tc>
          <w:tcPr>
            <w:tcW w:w="305" w:type="pct"/>
            <w:vAlign w:val="center"/>
          </w:tcPr>
          <w:p w14:paraId="56F513D4">
            <w:pPr>
              <w:jc w:val="center"/>
              <w:rPr>
                <w:rFonts w:ascii="Times New Roman" w:hAnsi="Times New Roman" w:cs="Times New Roman"/>
                <w:color w:val="auto"/>
                <w:sz w:val="21"/>
                <w:lang w:eastAsia="zh-CN"/>
              </w:rPr>
            </w:pPr>
          </w:p>
        </w:tc>
        <w:tc>
          <w:tcPr>
            <w:tcW w:w="305" w:type="pct"/>
            <w:vAlign w:val="center"/>
          </w:tcPr>
          <w:p w14:paraId="13067F57">
            <w:pPr>
              <w:jc w:val="center"/>
              <w:rPr>
                <w:rFonts w:ascii="Times New Roman" w:hAnsi="Times New Roman" w:cs="Times New Roman"/>
                <w:color w:val="auto"/>
                <w:sz w:val="21"/>
              </w:rPr>
            </w:pPr>
          </w:p>
        </w:tc>
        <w:tc>
          <w:tcPr>
            <w:tcW w:w="305" w:type="pct"/>
            <w:vAlign w:val="center"/>
          </w:tcPr>
          <w:p w14:paraId="7B4FDF7A">
            <w:pPr>
              <w:jc w:val="center"/>
              <w:rPr>
                <w:rFonts w:ascii="Times New Roman" w:hAnsi="Times New Roman" w:cs="Times New Roman"/>
                <w:color w:val="auto"/>
                <w:spacing w:val="1"/>
                <w:sz w:val="21"/>
              </w:rPr>
            </w:pPr>
          </w:p>
        </w:tc>
        <w:tc>
          <w:tcPr>
            <w:tcW w:w="305" w:type="pct"/>
            <w:vAlign w:val="center"/>
          </w:tcPr>
          <w:p w14:paraId="423D5856">
            <w:pPr>
              <w:jc w:val="center"/>
              <w:rPr>
                <w:rFonts w:ascii="Times New Roman" w:hAnsi="Times New Roman" w:cs="Times New Roman"/>
                <w:color w:val="auto"/>
                <w:spacing w:val="1"/>
                <w:sz w:val="21"/>
              </w:rPr>
            </w:pPr>
          </w:p>
        </w:tc>
        <w:tc>
          <w:tcPr>
            <w:tcW w:w="305" w:type="pct"/>
            <w:vAlign w:val="center"/>
          </w:tcPr>
          <w:p w14:paraId="4672AF63">
            <w:pPr>
              <w:jc w:val="center"/>
              <w:rPr>
                <w:rFonts w:ascii="Times New Roman" w:hAnsi="Times New Roman" w:cs="Times New Roman"/>
                <w:color w:val="auto"/>
                <w:spacing w:val="1"/>
                <w:sz w:val="21"/>
              </w:rPr>
            </w:pPr>
          </w:p>
        </w:tc>
        <w:tc>
          <w:tcPr>
            <w:tcW w:w="305" w:type="pct"/>
            <w:vAlign w:val="center"/>
          </w:tcPr>
          <w:p w14:paraId="38BF4221">
            <w:pPr>
              <w:jc w:val="center"/>
              <w:rPr>
                <w:rFonts w:ascii="Times New Roman" w:hAnsi="Times New Roman" w:cs="Times New Roman"/>
                <w:color w:val="auto"/>
                <w:spacing w:val="1"/>
                <w:sz w:val="21"/>
              </w:rPr>
            </w:pPr>
          </w:p>
        </w:tc>
        <w:tc>
          <w:tcPr>
            <w:tcW w:w="305" w:type="pct"/>
            <w:vAlign w:val="center"/>
          </w:tcPr>
          <w:p w14:paraId="1C58CBAD">
            <w:pPr>
              <w:jc w:val="center"/>
              <w:rPr>
                <w:rFonts w:ascii="Times New Roman" w:hAnsi="Times New Roman" w:cs="Times New Roman"/>
                <w:color w:val="auto"/>
                <w:spacing w:val="1"/>
                <w:sz w:val="21"/>
              </w:rPr>
            </w:pPr>
          </w:p>
        </w:tc>
        <w:tc>
          <w:tcPr>
            <w:tcW w:w="305" w:type="pct"/>
            <w:vAlign w:val="center"/>
          </w:tcPr>
          <w:p w14:paraId="158A5D9A">
            <w:pPr>
              <w:jc w:val="center"/>
              <w:rPr>
                <w:rFonts w:ascii="Times New Roman" w:hAnsi="Times New Roman" w:cs="Times New Roman"/>
                <w:color w:val="auto"/>
                <w:spacing w:val="1"/>
                <w:sz w:val="21"/>
              </w:rPr>
            </w:pPr>
          </w:p>
        </w:tc>
        <w:tc>
          <w:tcPr>
            <w:tcW w:w="305" w:type="pct"/>
            <w:vAlign w:val="center"/>
          </w:tcPr>
          <w:p w14:paraId="7835A7CC">
            <w:pPr>
              <w:jc w:val="center"/>
              <w:rPr>
                <w:rFonts w:ascii="Times New Roman" w:hAnsi="Times New Roman" w:cs="Times New Roman"/>
                <w:color w:val="auto"/>
                <w:spacing w:val="1"/>
                <w:sz w:val="21"/>
              </w:rPr>
            </w:pPr>
          </w:p>
        </w:tc>
        <w:tc>
          <w:tcPr>
            <w:tcW w:w="305" w:type="pct"/>
            <w:vAlign w:val="center"/>
          </w:tcPr>
          <w:p w14:paraId="3D73288F">
            <w:pPr>
              <w:jc w:val="center"/>
              <w:rPr>
                <w:rFonts w:ascii="Times New Roman" w:hAnsi="Times New Roman" w:cs="Times New Roman"/>
                <w:color w:val="auto"/>
                <w:spacing w:val="1"/>
                <w:sz w:val="21"/>
              </w:rPr>
            </w:pPr>
          </w:p>
        </w:tc>
        <w:tc>
          <w:tcPr>
            <w:tcW w:w="308" w:type="pct"/>
            <w:vAlign w:val="center"/>
          </w:tcPr>
          <w:p w14:paraId="05E7BBB6">
            <w:pPr>
              <w:jc w:val="center"/>
              <w:rPr>
                <w:rFonts w:ascii="Times New Roman" w:hAnsi="Times New Roman" w:cs="Times New Roman"/>
                <w:color w:val="auto"/>
                <w:spacing w:val="1"/>
                <w:sz w:val="21"/>
              </w:rPr>
            </w:pPr>
          </w:p>
        </w:tc>
        <w:tc>
          <w:tcPr>
            <w:tcW w:w="309" w:type="pct"/>
            <w:vAlign w:val="center"/>
          </w:tcPr>
          <w:p w14:paraId="2618ECB7">
            <w:pPr>
              <w:jc w:val="center"/>
              <w:rPr>
                <w:rFonts w:ascii="Times New Roman" w:hAnsi="Times New Roman" w:cs="Times New Roman"/>
                <w:color w:val="auto"/>
                <w:sz w:val="21"/>
              </w:rPr>
            </w:pPr>
            <w:r>
              <w:rPr>
                <w:rFonts w:ascii="Times New Roman" w:hAnsi="Times New Roman" w:cs="Times New Roman"/>
                <w:color w:val="auto"/>
                <w:sz w:val="21"/>
              </w:rPr>
              <w:t>5.7</w:t>
            </w:r>
          </w:p>
        </w:tc>
        <w:tc>
          <w:tcPr>
            <w:tcW w:w="321" w:type="pct"/>
            <w:vAlign w:val="center"/>
          </w:tcPr>
          <w:p w14:paraId="253DF9C8">
            <w:pPr>
              <w:jc w:val="center"/>
              <w:rPr>
                <w:rFonts w:ascii="Times New Roman" w:hAnsi="Times New Roman" w:cs="Times New Roman"/>
                <w:color w:val="auto"/>
                <w:sz w:val="21"/>
                <w:lang w:eastAsia="zh-CN"/>
              </w:rPr>
            </w:pPr>
          </w:p>
        </w:tc>
        <w:tc>
          <w:tcPr>
            <w:tcW w:w="195" w:type="pct"/>
            <w:vAlign w:val="center"/>
          </w:tcPr>
          <w:p w14:paraId="55A42434">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07C66F91">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539" w:type="pct"/>
            <w:vAlign w:val="center"/>
          </w:tcPr>
          <w:p w14:paraId="4BCDA016">
            <w:pPr>
              <w:jc w:val="center"/>
              <w:rPr>
                <w:rFonts w:ascii="Times New Roman" w:hAnsi="Times New Roman" w:cs="Times New Roman"/>
                <w:color w:val="auto"/>
                <w:sz w:val="21"/>
              </w:rPr>
            </w:pPr>
            <w:r>
              <w:rPr>
                <w:rFonts w:ascii="Times New Roman" w:hAnsi="Times New Roman" w:cs="Times New Roman"/>
                <w:color w:val="auto"/>
                <w:sz w:val="21"/>
              </w:rPr>
              <w:t>铜</w:t>
            </w:r>
          </w:p>
        </w:tc>
        <w:tc>
          <w:tcPr>
            <w:tcW w:w="277" w:type="pct"/>
            <w:vAlign w:val="center"/>
          </w:tcPr>
          <w:p w14:paraId="2A834994">
            <w:pPr>
              <w:jc w:val="center"/>
              <w:rPr>
                <w:rFonts w:ascii="Times New Roman" w:hAnsi="Times New Roman" w:cs="Times New Roman"/>
                <w:color w:val="auto"/>
                <w:sz w:val="21"/>
                <w:lang w:eastAsia="zh-CN"/>
              </w:rPr>
            </w:pPr>
          </w:p>
        </w:tc>
        <w:tc>
          <w:tcPr>
            <w:tcW w:w="305" w:type="pct"/>
            <w:vAlign w:val="center"/>
          </w:tcPr>
          <w:p w14:paraId="09AA8797">
            <w:pPr>
              <w:jc w:val="center"/>
              <w:rPr>
                <w:rFonts w:ascii="Times New Roman" w:hAnsi="Times New Roman" w:cs="Times New Roman"/>
                <w:color w:val="auto"/>
                <w:sz w:val="21"/>
                <w:lang w:eastAsia="zh-CN"/>
              </w:rPr>
            </w:pPr>
          </w:p>
        </w:tc>
        <w:tc>
          <w:tcPr>
            <w:tcW w:w="305" w:type="pct"/>
            <w:vAlign w:val="center"/>
          </w:tcPr>
          <w:p w14:paraId="6E2050A5">
            <w:pPr>
              <w:jc w:val="center"/>
              <w:rPr>
                <w:rFonts w:ascii="Times New Roman" w:hAnsi="Times New Roman" w:cs="Times New Roman"/>
                <w:color w:val="auto"/>
                <w:sz w:val="21"/>
                <w:lang w:eastAsia="zh-CN"/>
              </w:rPr>
            </w:pPr>
          </w:p>
        </w:tc>
        <w:tc>
          <w:tcPr>
            <w:tcW w:w="305" w:type="pct"/>
            <w:vAlign w:val="center"/>
          </w:tcPr>
          <w:p w14:paraId="68C2AAE5">
            <w:pPr>
              <w:jc w:val="center"/>
              <w:rPr>
                <w:rFonts w:ascii="Times New Roman" w:hAnsi="Times New Roman" w:cs="Times New Roman"/>
                <w:color w:val="auto"/>
                <w:spacing w:val="1"/>
                <w:sz w:val="21"/>
                <w:lang w:eastAsia="zh-CN"/>
              </w:rPr>
            </w:pPr>
          </w:p>
        </w:tc>
        <w:tc>
          <w:tcPr>
            <w:tcW w:w="305" w:type="pct"/>
            <w:vAlign w:val="center"/>
          </w:tcPr>
          <w:p w14:paraId="0F231532">
            <w:pPr>
              <w:jc w:val="center"/>
              <w:rPr>
                <w:rFonts w:ascii="Times New Roman" w:hAnsi="Times New Roman" w:cs="Times New Roman"/>
                <w:color w:val="auto"/>
                <w:spacing w:val="1"/>
                <w:sz w:val="21"/>
                <w:lang w:eastAsia="zh-CN"/>
              </w:rPr>
            </w:pPr>
          </w:p>
        </w:tc>
        <w:tc>
          <w:tcPr>
            <w:tcW w:w="305" w:type="pct"/>
            <w:vAlign w:val="center"/>
          </w:tcPr>
          <w:p w14:paraId="4FF0D842">
            <w:pPr>
              <w:jc w:val="center"/>
              <w:rPr>
                <w:rFonts w:ascii="Times New Roman" w:hAnsi="Times New Roman" w:cs="Times New Roman"/>
                <w:color w:val="auto"/>
                <w:spacing w:val="1"/>
                <w:sz w:val="21"/>
                <w:lang w:eastAsia="zh-CN"/>
              </w:rPr>
            </w:pPr>
          </w:p>
        </w:tc>
        <w:tc>
          <w:tcPr>
            <w:tcW w:w="305" w:type="pct"/>
            <w:vAlign w:val="center"/>
          </w:tcPr>
          <w:p w14:paraId="65A5458C">
            <w:pPr>
              <w:jc w:val="center"/>
              <w:rPr>
                <w:rFonts w:ascii="Times New Roman" w:hAnsi="Times New Roman" w:cs="Times New Roman"/>
                <w:color w:val="auto"/>
                <w:spacing w:val="1"/>
                <w:sz w:val="21"/>
                <w:lang w:eastAsia="zh-CN"/>
              </w:rPr>
            </w:pPr>
          </w:p>
        </w:tc>
        <w:tc>
          <w:tcPr>
            <w:tcW w:w="305" w:type="pct"/>
            <w:vAlign w:val="center"/>
          </w:tcPr>
          <w:p w14:paraId="106A0971">
            <w:pPr>
              <w:jc w:val="center"/>
              <w:rPr>
                <w:rFonts w:ascii="Times New Roman" w:hAnsi="Times New Roman" w:cs="Times New Roman"/>
                <w:color w:val="auto"/>
                <w:spacing w:val="1"/>
                <w:sz w:val="21"/>
                <w:lang w:eastAsia="zh-CN"/>
              </w:rPr>
            </w:pPr>
          </w:p>
        </w:tc>
        <w:tc>
          <w:tcPr>
            <w:tcW w:w="305" w:type="pct"/>
            <w:vAlign w:val="center"/>
          </w:tcPr>
          <w:p w14:paraId="4EF8F803">
            <w:pPr>
              <w:jc w:val="center"/>
              <w:rPr>
                <w:rFonts w:ascii="Times New Roman" w:hAnsi="Times New Roman" w:cs="Times New Roman"/>
                <w:color w:val="auto"/>
                <w:spacing w:val="1"/>
                <w:sz w:val="21"/>
                <w:lang w:eastAsia="zh-CN"/>
              </w:rPr>
            </w:pPr>
          </w:p>
        </w:tc>
        <w:tc>
          <w:tcPr>
            <w:tcW w:w="305" w:type="pct"/>
            <w:vAlign w:val="center"/>
          </w:tcPr>
          <w:p w14:paraId="404F5B43">
            <w:pPr>
              <w:jc w:val="center"/>
              <w:rPr>
                <w:rFonts w:ascii="Times New Roman" w:hAnsi="Times New Roman" w:cs="Times New Roman"/>
                <w:color w:val="auto"/>
                <w:spacing w:val="1"/>
                <w:sz w:val="21"/>
                <w:lang w:eastAsia="zh-CN"/>
              </w:rPr>
            </w:pPr>
          </w:p>
        </w:tc>
        <w:tc>
          <w:tcPr>
            <w:tcW w:w="305" w:type="pct"/>
            <w:vAlign w:val="center"/>
          </w:tcPr>
          <w:p w14:paraId="3F6D00D1">
            <w:pPr>
              <w:jc w:val="center"/>
              <w:rPr>
                <w:rFonts w:ascii="Times New Roman" w:hAnsi="Times New Roman" w:cs="Times New Roman"/>
                <w:color w:val="auto"/>
                <w:spacing w:val="1"/>
                <w:sz w:val="21"/>
                <w:lang w:eastAsia="zh-CN"/>
              </w:rPr>
            </w:pPr>
          </w:p>
        </w:tc>
        <w:tc>
          <w:tcPr>
            <w:tcW w:w="308" w:type="pct"/>
            <w:vAlign w:val="center"/>
          </w:tcPr>
          <w:p w14:paraId="53C525D8">
            <w:pPr>
              <w:jc w:val="center"/>
              <w:rPr>
                <w:rFonts w:ascii="Times New Roman" w:hAnsi="Times New Roman" w:cs="Times New Roman"/>
                <w:color w:val="auto"/>
                <w:spacing w:val="1"/>
                <w:sz w:val="21"/>
                <w:lang w:eastAsia="zh-CN"/>
              </w:rPr>
            </w:pPr>
          </w:p>
        </w:tc>
        <w:tc>
          <w:tcPr>
            <w:tcW w:w="309" w:type="pct"/>
            <w:vAlign w:val="center"/>
          </w:tcPr>
          <w:p w14:paraId="4D49BA17">
            <w:pPr>
              <w:jc w:val="center"/>
              <w:rPr>
                <w:rFonts w:ascii="Times New Roman" w:hAnsi="Times New Roman" w:cs="Times New Roman"/>
                <w:color w:val="auto"/>
                <w:sz w:val="21"/>
              </w:rPr>
            </w:pPr>
            <w:r>
              <w:rPr>
                <w:rFonts w:ascii="Times New Roman" w:hAnsi="Times New Roman" w:cs="Times New Roman"/>
                <w:color w:val="auto"/>
                <w:sz w:val="21"/>
              </w:rPr>
              <w:t>18000</w:t>
            </w:r>
          </w:p>
        </w:tc>
        <w:tc>
          <w:tcPr>
            <w:tcW w:w="321" w:type="pct"/>
            <w:vAlign w:val="center"/>
          </w:tcPr>
          <w:p w14:paraId="2074F068">
            <w:pPr>
              <w:jc w:val="center"/>
              <w:rPr>
                <w:rFonts w:ascii="Times New Roman" w:hAnsi="Times New Roman" w:cs="Times New Roman"/>
                <w:color w:val="auto"/>
                <w:sz w:val="21"/>
                <w:lang w:eastAsia="zh-CN"/>
              </w:rPr>
            </w:pPr>
          </w:p>
        </w:tc>
        <w:tc>
          <w:tcPr>
            <w:tcW w:w="195" w:type="pct"/>
            <w:vAlign w:val="center"/>
          </w:tcPr>
          <w:p w14:paraId="41377669">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2F910A4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539" w:type="pct"/>
            <w:vAlign w:val="center"/>
          </w:tcPr>
          <w:p w14:paraId="62B2C3D9">
            <w:pPr>
              <w:jc w:val="center"/>
              <w:rPr>
                <w:rFonts w:ascii="Times New Roman" w:hAnsi="Times New Roman" w:cs="Times New Roman"/>
                <w:color w:val="auto"/>
                <w:sz w:val="21"/>
              </w:rPr>
            </w:pPr>
            <w:r>
              <w:rPr>
                <w:rFonts w:ascii="Times New Roman" w:hAnsi="Times New Roman" w:cs="Times New Roman"/>
                <w:color w:val="auto"/>
                <w:sz w:val="21"/>
              </w:rPr>
              <w:t>铅</w:t>
            </w:r>
          </w:p>
        </w:tc>
        <w:tc>
          <w:tcPr>
            <w:tcW w:w="277" w:type="pct"/>
            <w:vAlign w:val="center"/>
          </w:tcPr>
          <w:p w14:paraId="7F10422E">
            <w:pPr>
              <w:jc w:val="center"/>
              <w:rPr>
                <w:rFonts w:ascii="Times New Roman" w:hAnsi="Times New Roman" w:cs="Times New Roman"/>
                <w:color w:val="auto"/>
                <w:sz w:val="21"/>
                <w:lang w:eastAsia="zh-CN"/>
              </w:rPr>
            </w:pPr>
          </w:p>
        </w:tc>
        <w:tc>
          <w:tcPr>
            <w:tcW w:w="305" w:type="pct"/>
            <w:vAlign w:val="center"/>
          </w:tcPr>
          <w:p w14:paraId="2DC7E38F">
            <w:pPr>
              <w:jc w:val="center"/>
              <w:rPr>
                <w:rFonts w:ascii="Times New Roman" w:hAnsi="Times New Roman" w:cs="Times New Roman"/>
                <w:color w:val="auto"/>
                <w:sz w:val="21"/>
                <w:lang w:eastAsia="zh-CN"/>
              </w:rPr>
            </w:pPr>
          </w:p>
        </w:tc>
        <w:tc>
          <w:tcPr>
            <w:tcW w:w="305" w:type="pct"/>
            <w:vAlign w:val="center"/>
          </w:tcPr>
          <w:p w14:paraId="6871C0BC">
            <w:pPr>
              <w:jc w:val="center"/>
              <w:rPr>
                <w:rFonts w:ascii="Times New Roman" w:hAnsi="Times New Roman" w:cs="Times New Roman"/>
                <w:color w:val="auto"/>
                <w:sz w:val="21"/>
                <w:lang w:eastAsia="zh-CN"/>
              </w:rPr>
            </w:pPr>
          </w:p>
        </w:tc>
        <w:tc>
          <w:tcPr>
            <w:tcW w:w="305" w:type="pct"/>
            <w:vAlign w:val="center"/>
          </w:tcPr>
          <w:p w14:paraId="6EFBD9B1">
            <w:pPr>
              <w:jc w:val="center"/>
              <w:rPr>
                <w:rFonts w:ascii="Times New Roman" w:hAnsi="Times New Roman" w:cs="Times New Roman"/>
                <w:color w:val="auto"/>
                <w:spacing w:val="1"/>
                <w:sz w:val="21"/>
                <w:lang w:eastAsia="zh-CN"/>
              </w:rPr>
            </w:pPr>
          </w:p>
        </w:tc>
        <w:tc>
          <w:tcPr>
            <w:tcW w:w="305" w:type="pct"/>
            <w:vAlign w:val="center"/>
          </w:tcPr>
          <w:p w14:paraId="4EDB3CA2">
            <w:pPr>
              <w:jc w:val="center"/>
              <w:rPr>
                <w:rFonts w:ascii="Times New Roman" w:hAnsi="Times New Roman" w:cs="Times New Roman"/>
                <w:color w:val="auto"/>
                <w:spacing w:val="1"/>
                <w:sz w:val="21"/>
                <w:lang w:eastAsia="zh-CN"/>
              </w:rPr>
            </w:pPr>
          </w:p>
        </w:tc>
        <w:tc>
          <w:tcPr>
            <w:tcW w:w="305" w:type="pct"/>
            <w:vAlign w:val="center"/>
          </w:tcPr>
          <w:p w14:paraId="4BB1EAE4">
            <w:pPr>
              <w:jc w:val="center"/>
              <w:rPr>
                <w:rFonts w:ascii="Times New Roman" w:hAnsi="Times New Roman" w:cs="Times New Roman"/>
                <w:color w:val="auto"/>
                <w:spacing w:val="1"/>
                <w:sz w:val="21"/>
                <w:lang w:eastAsia="zh-CN"/>
              </w:rPr>
            </w:pPr>
          </w:p>
        </w:tc>
        <w:tc>
          <w:tcPr>
            <w:tcW w:w="305" w:type="pct"/>
            <w:vAlign w:val="center"/>
          </w:tcPr>
          <w:p w14:paraId="038D1715">
            <w:pPr>
              <w:jc w:val="center"/>
              <w:rPr>
                <w:rFonts w:ascii="Times New Roman" w:hAnsi="Times New Roman" w:cs="Times New Roman"/>
                <w:color w:val="auto"/>
                <w:spacing w:val="1"/>
                <w:sz w:val="21"/>
                <w:lang w:eastAsia="zh-CN"/>
              </w:rPr>
            </w:pPr>
          </w:p>
        </w:tc>
        <w:tc>
          <w:tcPr>
            <w:tcW w:w="305" w:type="pct"/>
            <w:vAlign w:val="center"/>
          </w:tcPr>
          <w:p w14:paraId="56BB2378">
            <w:pPr>
              <w:jc w:val="center"/>
              <w:rPr>
                <w:rFonts w:ascii="Times New Roman" w:hAnsi="Times New Roman" w:cs="Times New Roman"/>
                <w:color w:val="auto"/>
                <w:spacing w:val="1"/>
                <w:sz w:val="21"/>
                <w:lang w:eastAsia="zh-CN"/>
              </w:rPr>
            </w:pPr>
          </w:p>
        </w:tc>
        <w:tc>
          <w:tcPr>
            <w:tcW w:w="305" w:type="pct"/>
            <w:vAlign w:val="center"/>
          </w:tcPr>
          <w:p w14:paraId="644C9E30">
            <w:pPr>
              <w:jc w:val="center"/>
              <w:rPr>
                <w:rFonts w:ascii="Times New Roman" w:hAnsi="Times New Roman" w:cs="Times New Roman"/>
                <w:color w:val="auto"/>
                <w:spacing w:val="1"/>
                <w:sz w:val="21"/>
                <w:lang w:eastAsia="zh-CN"/>
              </w:rPr>
            </w:pPr>
          </w:p>
        </w:tc>
        <w:tc>
          <w:tcPr>
            <w:tcW w:w="305" w:type="pct"/>
            <w:vAlign w:val="center"/>
          </w:tcPr>
          <w:p w14:paraId="6A5D9158">
            <w:pPr>
              <w:jc w:val="center"/>
              <w:rPr>
                <w:rFonts w:ascii="Times New Roman" w:hAnsi="Times New Roman" w:cs="Times New Roman"/>
                <w:color w:val="auto"/>
                <w:spacing w:val="1"/>
                <w:sz w:val="21"/>
                <w:lang w:eastAsia="zh-CN"/>
              </w:rPr>
            </w:pPr>
          </w:p>
        </w:tc>
        <w:tc>
          <w:tcPr>
            <w:tcW w:w="305" w:type="pct"/>
            <w:vAlign w:val="center"/>
          </w:tcPr>
          <w:p w14:paraId="229DCB1E">
            <w:pPr>
              <w:jc w:val="center"/>
              <w:rPr>
                <w:rFonts w:ascii="Times New Roman" w:hAnsi="Times New Roman" w:cs="Times New Roman"/>
                <w:color w:val="auto"/>
                <w:spacing w:val="1"/>
                <w:sz w:val="21"/>
                <w:lang w:eastAsia="zh-CN"/>
              </w:rPr>
            </w:pPr>
          </w:p>
        </w:tc>
        <w:tc>
          <w:tcPr>
            <w:tcW w:w="308" w:type="pct"/>
            <w:vAlign w:val="center"/>
          </w:tcPr>
          <w:p w14:paraId="1A85F1D4">
            <w:pPr>
              <w:jc w:val="center"/>
              <w:rPr>
                <w:rFonts w:ascii="Times New Roman" w:hAnsi="Times New Roman" w:cs="Times New Roman"/>
                <w:color w:val="auto"/>
                <w:spacing w:val="1"/>
                <w:sz w:val="21"/>
                <w:lang w:eastAsia="zh-CN"/>
              </w:rPr>
            </w:pPr>
          </w:p>
        </w:tc>
        <w:tc>
          <w:tcPr>
            <w:tcW w:w="309" w:type="pct"/>
            <w:vAlign w:val="center"/>
          </w:tcPr>
          <w:p w14:paraId="1F9B00C6">
            <w:pPr>
              <w:jc w:val="center"/>
              <w:rPr>
                <w:rFonts w:ascii="Times New Roman" w:hAnsi="Times New Roman" w:cs="Times New Roman"/>
                <w:color w:val="auto"/>
                <w:sz w:val="21"/>
              </w:rPr>
            </w:pPr>
            <w:r>
              <w:rPr>
                <w:rFonts w:ascii="Times New Roman" w:hAnsi="Times New Roman" w:cs="Times New Roman"/>
                <w:color w:val="auto"/>
                <w:sz w:val="21"/>
              </w:rPr>
              <w:t>800</w:t>
            </w:r>
          </w:p>
        </w:tc>
        <w:tc>
          <w:tcPr>
            <w:tcW w:w="321" w:type="pct"/>
            <w:vAlign w:val="center"/>
          </w:tcPr>
          <w:p w14:paraId="18796C98">
            <w:pPr>
              <w:jc w:val="center"/>
              <w:rPr>
                <w:rFonts w:ascii="Times New Roman" w:hAnsi="Times New Roman" w:cs="Times New Roman"/>
                <w:color w:val="auto"/>
                <w:sz w:val="21"/>
                <w:lang w:eastAsia="zh-CN"/>
              </w:rPr>
            </w:pPr>
          </w:p>
        </w:tc>
        <w:tc>
          <w:tcPr>
            <w:tcW w:w="195" w:type="pct"/>
            <w:vAlign w:val="center"/>
          </w:tcPr>
          <w:p w14:paraId="0547D3B2">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2B333F2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539" w:type="pct"/>
            <w:vAlign w:val="center"/>
          </w:tcPr>
          <w:p w14:paraId="6A447C51">
            <w:pPr>
              <w:jc w:val="center"/>
              <w:rPr>
                <w:rFonts w:ascii="Times New Roman" w:hAnsi="Times New Roman" w:cs="Times New Roman"/>
                <w:color w:val="auto"/>
                <w:sz w:val="21"/>
              </w:rPr>
            </w:pPr>
            <w:r>
              <w:rPr>
                <w:rFonts w:ascii="Times New Roman" w:hAnsi="Times New Roman" w:cs="Times New Roman"/>
                <w:color w:val="auto"/>
                <w:sz w:val="21"/>
              </w:rPr>
              <w:t>汞</w:t>
            </w:r>
          </w:p>
        </w:tc>
        <w:tc>
          <w:tcPr>
            <w:tcW w:w="277" w:type="pct"/>
            <w:vAlign w:val="center"/>
          </w:tcPr>
          <w:p w14:paraId="60621B8C">
            <w:pPr>
              <w:jc w:val="center"/>
              <w:rPr>
                <w:rFonts w:ascii="Times New Roman" w:hAnsi="Times New Roman" w:cs="Times New Roman"/>
                <w:color w:val="auto"/>
                <w:sz w:val="21"/>
                <w:lang w:eastAsia="zh-CN"/>
              </w:rPr>
            </w:pPr>
          </w:p>
        </w:tc>
        <w:tc>
          <w:tcPr>
            <w:tcW w:w="305" w:type="pct"/>
            <w:vAlign w:val="center"/>
          </w:tcPr>
          <w:p w14:paraId="2EC7A7D2">
            <w:pPr>
              <w:jc w:val="center"/>
              <w:rPr>
                <w:rFonts w:ascii="Times New Roman" w:hAnsi="Times New Roman" w:cs="Times New Roman"/>
                <w:color w:val="auto"/>
                <w:sz w:val="21"/>
                <w:lang w:eastAsia="zh-CN"/>
              </w:rPr>
            </w:pPr>
          </w:p>
        </w:tc>
        <w:tc>
          <w:tcPr>
            <w:tcW w:w="305" w:type="pct"/>
            <w:vAlign w:val="center"/>
          </w:tcPr>
          <w:p w14:paraId="3C7DF496">
            <w:pPr>
              <w:jc w:val="center"/>
              <w:rPr>
                <w:rFonts w:ascii="Times New Roman" w:hAnsi="Times New Roman" w:cs="Times New Roman"/>
                <w:color w:val="auto"/>
                <w:sz w:val="21"/>
                <w:lang w:eastAsia="zh-CN"/>
              </w:rPr>
            </w:pPr>
          </w:p>
        </w:tc>
        <w:tc>
          <w:tcPr>
            <w:tcW w:w="305" w:type="pct"/>
            <w:vAlign w:val="center"/>
          </w:tcPr>
          <w:p w14:paraId="471CFB67">
            <w:pPr>
              <w:jc w:val="center"/>
              <w:rPr>
                <w:rFonts w:ascii="Times New Roman" w:hAnsi="Times New Roman" w:cs="Times New Roman"/>
                <w:color w:val="auto"/>
                <w:spacing w:val="1"/>
                <w:sz w:val="21"/>
                <w:lang w:eastAsia="zh-CN"/>
              </w:rPr>
            </w:pPr>
          </w:p>
        </w:tc>
        <w:tc>
          <w:tcPr>
            <w:tcW w:w="305" w:type="pct"/>
            <w:vAlign w:val="center"/>
          </w:tcPr>
          <w:p w14:paraId="3DE58140">
            <w:pPr>
              <w:jc w:val="center"/>
              <w:rPr>
                <w:rFonts w:ascii="Times New Roman" w:hAnsi="Times New Roman" w:cs="Times New Roman"/>
                <w:color w:val="auto"/>
                <w:spacing w:val="1"/>
                <w:sz w:val="21"/>
                <w:lang w:eastAsia="zh-CN"/>
              </w:rPr>
            </w:pPr>
          </w:p>
        </w:tc>
        <w:tc>
          <w:tcPr>
            <w:tcW w:w="305" w:type="pct"/>
            <w:vAlign w:val="center"/>
          </w:tcPr>
          <w:p w14:paraId="289C3E22">
            <w:pPr>
              <w:jc w:val="center"/>
              <w:rPr>
                <w:rFonts w:ascii="Times New Roman" w:hAnsi="Times New Roman" w:cs="Times New Roman"/>
                <w:color w:val="auto"/>
                <w:spacing w:val="1"/>
                <w:sz w:val="21"/>
                <w:lang w:eastAsia="zh-CN"/>
              </w:rPr>
            </w:pPr>
          </w:p>
        </w:tc>
        <w:tc>
          <w:tcPr>
            <w:tcW w:w="305" w:type="pct"/>
            <w:vAlign w:val="center"/>
          </w:tcPr>
          <w:p w14:paraId="0D085594">
            <w:pPr>
              <w:jc w:val="center"/>
              <w:rPr>
                <w:rFonts w:ascii="Times New Roman" w:hAnsi="Times New Roman" w:cs="Times New Roman"/>
                <w:color w:val="auto"/>
                <w:spacing w:val="1"/>
                <w:sz w:val="21"/>
                <w:lang w:eastAsia="zh-CN"/>
              </w:rPr>
            </w:pPr>
          </w:p>
        </w:tc>
        <w:tc>
          <w:tcPr>
            <w:tcW w:w="305" w:type="pct"/>
            <w:vAlign w:val="center"/>
          </w:tcPr>
          <w:p w14:paraId="13C7BD39">
            <w:pPr>
              <w:jc w:val="center"/>
              <w:rPr>
                <w:rFonts w:ascii="Times New Roman" w:hAnsi="Times New Roman" w:cs="Times New Roman"/>
                <w:color w:val="auto"/>
                <w:spacing w:val="1"/>
                <w:sz w:val="21"/>
                <w:lang w:eastAsia="zh-CN"/>
              </w:rPr>
            </w:pPr>
          </w:p>
        </w:tc>
        <w:tc>
          <w:tcPr>
            <w:tcW w:w="305" w:type="pct"/>
            <w:vAlign w:val="center"/>
          </w:tcPr>
          <w:p w14:paraId="70B2FEDC">
            <w:pPr>
              <w:jc w:val="center"/>
              <w:rPr>
                <w:rFonts w:ascii="Times New Roman" w:hAnsi="Times New Roman" w:cs="Times New Roman"/>
                <w:color w:val="auto"/>
                <w:spacing w:val="1"/>
                <w:sz w:val="21"/>
                <w:lang w:eastAsia="zh-CN"/>
              </w:rPr>
            </w:pPr>
          </w:p>
        </w:tc>
        <w:tc>
          <w:tcPr>
            <w:tcW w:w="305" w:type="pct"/>
            <w:vAlign w:val="center"/>
          </w:tcPr>
          <w:p w14:paraId="1DE81EE2">
            <w:pPr>
              <w:jc w:val="center"/>
              <w:rPr>
                <w:rFonts w:ascii="Times New Roman" w:hAnsi="Times New Roman" w:cs="Times New Roman"/>
                <w:color w:val="auto"/>
                <w:spacing w:val="1"/>
                <w:sz w:val="21"/>
                <w:lang w:eastAsia="zh-CN"/>
              </w:rPr>
            </w:pPr>
          </w:p>
        </w:tc>
        <w:tc>
          <w:tcPr>
            <w:tcW w:w="305" w:type="pct"/>
            <w:vAlign w:val="center"/>
          </w:tcPr>
          <w:p w14:paraId="6CF57960">
            <w:pPr>
              <w:jc w:val="center"/>
              <w:rPr>
                <w:rFonts w:ascii="Times New Roman" w:hAnsi="Times New Roman" w:cs="Times New Roman"/>
                <w:color w:val="auto"/>
                <w:spacing w:val="1"/>
                <w:sz w:val="21"/>
                <w:lang w:eastAsia="zh-CN"/>
              </w:rPr>
            </w:pPr>
          </w:p>
        </w:tc>
        <w:tc>
          <w:tcPr>
            <w:tcW w:w="308" w:type="pct"/>
            <w:vAlign w:val="center"/>
          </w:tcPr>
          <w:p w14:paraId="203E3756">
            <w:pPr>
              <w:jc w:val="center"/>
              <w:rPr>
                <w:rFonts w:ascii="Times New Roman" w:hAnsi="Times New Roman" w:cs="Times New Roman"/>
                <w:color w:val="auto"/>
                <w:spacing w:val="1"/>
                <w:sz w:val="21"/>
                <w:lang w:eastAsia="zh-CN"/>
              </w:rPr>
            </w:pPr>
          </w:p>
        </w:tc>
        <w:tc>
          <w:tcPr>
            <w:tcW w:w="309" w:type="pct"/>
            <w:vAlign w:val="center"/>
          </w:tcPr>
          <w:p w14:paraId="0DDDA19B">
            <w:pPr>
              <w:jc w:val="center"/>
              <w:rPr>
                <w:rFonts w:ascii="Times New Roman" w:hAnsi="Times New Roman" w:cs="Times New Roman"/>
                <w:color w:val="auto"/>
                <w:sz w:val="21"/>
              </w:rPr>
            </w:pPr>
            <w:r>
              <w:rPr>
                <w:rFonts w:ascii="Times New Roman" w:hAnsi="Times New Roman" w:cs="Times New Roman"/>
                <w:color w:val="auto"/>
                <w:sz w:val="21"/>
              </w:rPr>
              <w:t>38</w:t>
            </w:r>
          </w:p>
        </w:tc>
        <w:tc>
          <w:tcPr>
            <w:tcW w:w="321" w:type="pct"/>
            <w:vAlign w:val="center"/>
          </w:tcPr>
          <w:p w14:paraId="0A8D761A">
            <w:pPr>
              <w:jc w:val="center"/>
              <w:rPr>
                <w:rFonts w:ascii="Times New Roman" w:hAnsi="Times New Roman" w:cs="Times New Roman"/>
                <w:color w:val="auto"/>
                <w:sz w:val="21"/>
                <w:lang w:eastAsia="zh-CN"/>
              </w:rPr>
            </w:pPr>
          </w:p>
        </w:tc>
        <w:tc>
          <w:tcPr>
            <w:tcW w:w="195" w:type="pct"/>
            <w:vAlign w:val="center"/>
          </w:tcPr>
          <w:p w14:paraId="6FF87F29">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3D0385C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539" w:type="pct"/>
            <w:vAlign w:val="center"/>
          </w:tcPr>
          <w:p w14:paraId="680BA824">
            <w:pPr>
              <w:jc w:val="center"/>
              <w:rPr>
                <w:rFonts w:ascii="Times New Roman" w:hAnsi="Times New Roman" w:cs="Times New Roman"/>
                <w:color w:val="auto"/>
                <w:sz w:val="21"/>
              </w:rPr>
            </w:pPr>
            <w:r>
              <w:rPr>
                <w:rFonts w:ascii="Times New Roman" w:hAnsi="Times New Roman" w:cs="Times New Roman"/>
                <w:color w:val="auto"/>
                <w:sz w:val="21"/>
              </w:rPr>
              <w:t>镍</w:t>
            </w:r>
          </w:p>
        </w:tc>
        <w:tc>
          <w:tcPr>
            <w:tcW w:w="277" w:type="pct"/>
            <w:vAlign w:val="center"/>
          </w:tcPr>
          <w:p w14:paraId="223E6484">
            <w:pPr>
              <w:jc w:val="center"/>
              <w:rPr>
                <w:rFonts w:ascii="Times New Roman" w:hAnsi="Times New Roman" w:cs="Times New Roman"/>
                <w:color w:val="auto"/>
                <w:sz w:val="21"/>
                <w:lang w:eastAsia="zh-CN"/>
              </w:rPr>
            </w:pPr>
          </w:p>
        </w:tc>
        <w:tc>
          <w:tcPr>
            <w:tcW w:w="305" w:type="pct"/>
            <w:vAlign w:val="center"/>
          </w:tcPr>
          <w:p w14:paraId="4EA2E3F5">
            <w:pPr>
              <w:jc w:val="center"/>
              <w:rPr>
                <w:rFonts w:ascii="Times New Roman" w:hAnsi="Times New Roman" w:cs="Times New Roman"/>
                <w:color w:val="auto"/>
                <w:sz w:val="21"/>
                <w:lang w:eastAsia="zh-CN"/>
              </w:rPr>
            </w:pPr>
          </w:p>
        </w:tc>
        <w:tc>
          <w:tcPr>
            <w:tcW w:w="305" w:type="pct"/>
            <w:vAlign w:val="center"/>
          </w:tcPr>
          <w:p w14:paraId="5A101D32">
            <w:pPr>
              <w:jc w:val="center"/>
              <w:rPr>
                <w:rFonts w:ascii="Times New Roman" w:hAnsi="Times New Roman" w:cs="Times New Roman"/>
                <w:color w:val="auto"/>
                <w:sz w:val="21"/>
                <w:lang w:eastAsia="zh-CN"/>
              </w:rPr>
            </w:pPr>
          </w:p>
        </w:tc>
        <w:tc>
          <w:tcPr>
            <w:tcW w:w="305" w:type="pct"/>
            <w:vAlign w:val="center"/>
          </w:tcPr>
          <w:p w14:paraId="373CF649">
            <w:pPr>
              <w:jc w:val="center"/>
              <w:rPr>
                <w:rFonts w:ascii="Times New Roman" w:hAnsi="Times New Roman" w:cs="Times New Roman"/>
                <w:color w:val="auto"/>
                <w:spacing w:val="1"/>
                <w:sz w:val="21"/>
                <w:lang w:eastAsia="zh-CN"/>
              </w:rPr>
            </w:pPr>
          </w:p>
        </w:tc>
        <w:tc>
          <w:tcPr>
            <w:tcW w:w="305" w:type="pct"/>
            <w:vAlign w:val="center"/>
          </w:tcPr>
          <w:p w14:paraId="38C1104F">
            <w:pPr>
              <w:jc w:val="center"/>
              <w:rPr>
                <w:rFonts w:ascii="Times New Roman" w:hAnsi="Times New Roman" w:cs="Times New Roman"/>
                <w:color w:val="auto"/>
                <w:spacing w:val="1"/>
                <w:sz w:val="21"/>
                <w:lang w:eastAsia="zh-CN"/>
              </w:rPr>
            </w:pPr>
          </w:p>
        </w:tc>
        <w:tc>
          <w:tcPr>
            <w:tcW w:w="305" w:type="pct"/>
            <w:vAlign w:val="center"/>
          </w:tcPr>
          <w:p w14:paraId="619B6C9B">
            <w:pPr>
              <w:jc w:val="center"/>
              <w:rPr>
                <w:rFonts w:ascii="Times New Roman" w:hAnsi="Times New Roman" w:cs="Times New Roman"/>
                <w:color w:val="auto"/>
                <w:spacing w:val="1"/>
                <w:sz w:val="21"/>
                <w:lang w:eastAsia="zh-CN"/>
              </w:rPr>
            </w:pPr>
          </w:p>
        </w:tc>
        <w:tc>
          <w:tcPr>
            <w:tcW w:w="305" w:type="pct"/>
            <w:vAlign w:val="center"/>
          </w:tcPr>
          <w:p w14:paraId="22A26235">
            <w:pPr>
              <w:jc w:val="center"/>
              <w:rPr>
                <w:rFonts w:ascii="Times New Roman" w:hAnsi="Times New Roman" w:cs="Times New Roman"/>
                <w:color w:val="auto"/>
                <w:spacing w:val="1"/>
                <w:sz w:val="21"/>
                <w:lang w:eastAsia="zh-CN"/>
              </w:rPr>
            </w:pPr>
          </w:p>
        </w:tc>
        <w:tc>
          <w:tcPr>
            <w:tcW w:w="305" w:type="pct"/>
            <w:vAlign w:val="center"/>
          </w:tcPr>
          <w:p w14:paraId="4A9E544F">
            <w:pPr>
              <w:jc w:val="center"/>
              <w:rPr>
                <w:rFonts w:ascii="Times New Roman" w:hAnsi="Times New Roman" w:cs="Times New Roman"/>
                <w:color w:val="auto"/>
                <w:spacing w:val="1"/>
                <w:sz w:val="21"/>
                <w:lang w:eastAsia="zh-CN"/>
              </w:rPr>
            </w:pPr>
          </w:p>
        </w:tc>
        <w:tc>
          <w:tcPr>
            <w:tcW w:w="305" w:type="pct"/>
            <w:vAlign w:val="center"/>
          </w:tcPr>
          <w:p w14:paraId="3715385C">
            <w:pPr>
              <w:jc w:val="center"/>
              <w:rPr>
                <w:rFonts w:ascii="Times New Roman" w:hAnsi="Times New Roman" w:cs="Times New Roman"/>
                <w:color w:val="auto"/>
                <w:spacing w:val="1"/>
                <w:sz w:val="21"/>
                <w:lang w:eastAsia="zh-CN"/>
              </w:rPr>
            </w:pPr>
          </w:p>
        </w:tc>
        <w:tc>
          <w:tcPr>
            <w:tcW w:w="305" w:type="pct"/>
            <w:vAlign w:val="center"/>
          </w:tcPr>
          <w:p w14:paraId="441FFD36">
            <w:pPr>
              <w:jc w:val="center"/>
              <w:rPr>
                <w:rFonts w:ascii="Times New Roman" w:hAnsi="Times New Roman" w:cs="Times New Roman"/>
                <w:color w:val="auto"/>
                <w:spacing w:val="1"/>
                <w:sz w:val="21"/>
                <w:lang w:eastAsia="zh-CN"/>
              </w:rPr>
            </w:pPr>
          </w:p>
        </w:tc>
        <w:tc>
          <w:tcPr>
            <w:tcW w:w="305" w:type="pct"/>
            <w:vAlign w:val="center"/>
          </w:tcPr>
          <w:p w14:paraId="1A41C7A7">
            <w:pPr>
              <w:jc w:val="center"/>
              <w:rPr>
                <w:rFonts w:ascii="Times New Roman" w:hAnsi="Times New Roman" w:cs="Times New Roman"/>
                <w:color w:val="auto"/>
                <w:spacing w:val="1"/>
                <w:sz w:val="21"/>
                <w:lang w:eastAsia="zh-CN"/>
              </w:rPr>
            </w:pPr>
          </w:p>
        </w:tc>
        <w:tc>
          <w:tcPr>
            <w:tcW w:w="308" w:type="pct"/>
            <w:vAlign w:val="center"/>
          </w:tcPr>
          <w:p w14:paraId="68950CA2">
            <w:pPr>
              <w:jc w:val="center"/>
              <w:rPr>
                <w:rFonts w:ascii="Times New Roman" w:hAnsi="Times New Roman" w:cs="Times New Roman"/>
                <w:color w:val="auto"/>
                <w:spacing w:val="1"/>
                <w:sz w:val="21"/>
                <w:lang w:eastAsia="zh-CN"/>
              </w:rPr>
            </w:pPr>
          </w:p>
        </w:tc>
        <w:tc>
          <w:tcPr>
            <w:tcW w:w="309" w:type="pct"/>
            <w:vAlign w:val="center"/>
          </w:tcPr>
          <w:p w14:paraId="3912A12E">
            <w:pPr>
              <w:jc w:val="center"/>
              <w:rPr>
                <w:rFonts w:ascii="Times New Roman" w:hAnsi="Times New Roman" w:cs="Times New Roman"/>
                <w:color w:val="auto"/>
                <w:sz w:val="21"/>
              </w:rPr>
            </w:pPr>
            <w:r>
              <w:rPr>
                <w:rFonts w:ascii="Times New Roman" w:hAnsi="Times New Roman" w:cs="Times New Roman"/>
                <w:color w:val="auto"/>
                <w:sz w:val="21"/>
              </w:rPr>
              <w:t>900</w:t>
            </w:r>
          </w:p>
        </w:tc>
        <w:tc>
          <w:tcPr>
            <w:tcW w:w="321" w:type="pct"/>
            <w:vAlign w:val="center"/>
          </w:tcPr>
          <w:p w14:paraId="1ABE44FE">
            <w:pPr>
              <w:jc w:val="center"/>
              <w:rPr>
                <w:rFonts w:ascii="Times New Roman" w:hAnsi="Times New Roman" w:cs="Times New Roman"/>
                <w:color w:val="auto"/>
                <w:sz w:val="21"/>
                <w:lang w:eastAsia="zh-CN"/>
              </w:rPr>
            </w:pPr>
          </w:p>
        </w:tc>
        <w:tc>
          <w:tcPr>
            <w:tcW w:w="195" w:type="pct"/>
            <w:vAlign w:val="center"/>
          </w:tcPr>
          <w:p w14:paraId="1069919A">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4ED935E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539" w:type="pct"/>
            <w:vAlign w:val="center"/>
          </w:tcPr>
          <w:p w14:paraId="4B3106E7">
            <w:pPr>
              <w:jc w:val="center"/>
              <w:rPr>
                <w:rFonts w:ascii="Times New Roman" w:hAnsi="Times New Roman" w:cs="Times New Roman"/>
                <w:color w:val="auto"/>
                <w:sz w:val="21"/>
              </w:rPr>
            </w:pPr>
            <w:r>
              <w:rPr>
                <w:rFonts w:ascii="Times New Roman" w:hAnsi="Times New Roman" w:cs="Times New Roman"/>
                <w:color w:val="auto"/>
                <w:sz w:val="21"/>
              </w:rPr>
              <w:t>四氯化碳</w:t>
            </w:r>
          </w:p>
        </w:tc>
        <w:tc>
          <w:tcPr>
            <w:tcW w:w="277" w:type="pct"/>
            <w:vAlign w:val="center"/>
          </w:tcPr>
          <w:p w14:paraId="32E2A84E">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3C5F90C0">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3940FC7A">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0D22AF49">
            <w:pPr>
              <w:jc w:val="center"/>
              <w:rPr>
                <w:rFonts w:ascii="Times New Roman" w:hAnsi="Times New Roman" w:cs="Times New Roman"/>
                <w:color w:val="auto"/>
                <w:spacing w:val="1"/>
                <w:sz w:val="21"/>
                <w:lang w:eastAsia="zh-CN"/>
              </w:rPr>
            </w:pPr>
            <w:r>
              <w:rPr>
                <w:rFonts w:hint="eastAsia" w:ascii="Times New Roman" w:hAnsi="Times New Roman" w:cs="Times New Roman"/>
                <w:color w:val="auto"/>
                <w:spacing w:val="1"/>
                <w:sz w:val="21"/>
                <w:lang w:eastAsia="zh-CN"/>
              </w:rPr>
              <w:t>/</w:t>
            </w:r>
          </w:p>
        </w:tc>
        <w:tc>
          <w:tcPr>
            <w:tcW w:w="305" w:type="pct"/>
            <w:vAlign w:val="center"/>
          </w:tcPr>
          <w:p w14:paraId="06AB4AA1">
            <w:pPr>
              <w:jc w:val="center"/>
              <w:rPr>
                <w:rFonts w:ascii="Times New Roman" w:hAnsi="Times New Roman" w:cs="Times New Roman"/>
                <w:color w:val="auto"/>
                <w:spacing w:val="1"/>
                <w:sz w:val="21"/>
                <w:lang w:eastAsia="zh-CN"/>
              </w:rPr>
            </w:pPr>
            <w:r>
              <w:rPr>
                <w:rFonts w:hint="eastAsia" w:ascii="Times New Roman" w:hAnsi="Times New Roman" w:cs="Times New Roman"/>
                <w:color w:val="auto"/>
                <w:spacing w:val="1"/>
                <w:sz w:val="21"/>
                <w:lang w:eastAsia="zh-CN"/>
              </w:rPr>
              <w:t>/</w:t>
            </w:r>
          </w:p>
        </w:tc>
        <w:tc>
          <w:tcPr>
            <w:tcW w:w="305" w:type="pct"/>
            <w:vAlign w:val="center"/>
          </w:tcPr>
          <w:p w14:paraId="745AC46C">
            <w:pPr>
              <w:jc w:val="center"/>
              <w:rPr>
                <w:rFonts w:ascii="Times New Roman" w:hAnsi="Times New Roman" w:cs="Times New Roman"/>
                <w:color w:val="auto"/>
                <w:spacing w:val="1"/>
                <w:sz w:val="21"/>
                <w:lang w:eastAsia="zh-CN"/>
              </w:rPr>
            </w:pPr>
            <w:r>
              <w:rPr>
                <w:rFonts w:hint="eastAsia" w:ascii="Times New Roman" w:hAnsi="Times New Roman" w:cs="Times New Roman"/>
                <w:color w:val="auto"/>
                <w:spacing w:val="1"/>
                <w:sz w:val="21"/>
                <w:lang w:eastAsia="zh-CN"/>
              </w:rPr>
              <w:t>/</w:t>
            </w:r>
          </w:p>
        </w:tc>
        <w:tc>
          <w:tcPr>
            <w:tcW w:w="305" w:type="pct"/>
            <w:vAlign w:val="center"/>
          </w:tcPr>
          <w:p w14:paraId="592E5D71">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62C39BC7">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053C186F">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6D820674">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303E8FD2">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8" w:type="pct"/>
            <w:vAlign w:val="center"/>
          </w:tcPr>
          <w:p w14:paraId="6B20328B">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9" w:type="pct"/>
            <w:vAlign w:val="center"/>
          </w:tcPr>
          <w:p w14:paraId="4D3FF4BC">
            <w:pPr>
              <w:jc w:val="center"/>
              <w:rPr>
                <w:rFonts w:ascii="Times New Roman" w:hAnsi="Times New Roman" w:cs="Times New Roman"/>
                <w:color w:val="auto"/>
                <w:sz w:val="21"/>
              </w:rPr>
            </w:pPr>
            <w:r>
              <w:rPr>
                <w:rFonts w:ascii="Times New Roman" w:hAnsi="Times New Roman" w:cs="Times New Roman"/>
                <w:color w:val="auto"/>
                <w:sz w:val="21"/>
              </w:rPr>
              <w:t>2.8</w:t>
            </w:r>
          </w:p>
        </w:tc>
        <w:tc>
          <w:tcPr>
            <w:tcW w:w="321" w:type="pct"/>
            <w:vAlign w:val="center"/>
          </w:tcPr>
          <w:p w14:paraId="299C9C0D">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195" w:type="pct"/>
            <w:vAlign w:val="center"/>
          </w:tcPr>
          <w:p w14:paraId="781B6AB2">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67227BA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539" w:type="pct"/>
            <w:vAlign w:val="center"/>
          </w:tcPr>
          <w:p w14:paraId="7DF6003C">
            <w:pPr>
              <w:jc w:val="center"/>
              <w:rPr>
                <w:rFonts w:ascii="Times New Roman" w:hAnsi="Times New Roman" w:cs="Times New Roman"/>
                <w:color w:val="auto"/>
                <w:sz w:val="21"/>
              </w:rPr>
            </w:pPr>
            <w:r>
              <w:rPr>
                <w:rFonts w:ascii="Times New Roman" w:hAnsi="Times New Roman" w:cs="Times New Roman"/>
                <w:color w:val="auto"/>
                <w:sz w:val="21"/>
              </w:rPr>
              <w:t>氯仿</w:t>
            </w:r>
          </w:p>
        </w:tc>
        <w:tc>
          <w:tcPr>
            <w:tcW w:w="277" w:type="pct"/>
            <w:vAlign w:val="center"/>
          </w:tcPr>
          <w:p w14:paraId="617400C5">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3A4E72E3">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6E9A48D3">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2FE8C91B">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1077CD6E">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5F10A669">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1CCD05DB">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006651C5">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705B904F">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03BC2B2E">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64D1249A">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8" w:type="pct"/>
            <w:vAlign w:val="center"/>
          </w:tcPr>
          <w:p w14:paraId="46761E2F">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9" w:type="pct"/>
            <w:vAlign w:val="center"/>
          </w:tcPr>
          <w:p w14:paraId="3C70BCAD">
            <w:pPr>
              <w:jc w:val="center"/>
              <w:rPr>
                <w:rFonts w:ascii="Times New Roman" w:hAnsi="Times New Roman" w:cs="Times New Roman"/>
                <w:color w:val="auto"/>
                <w:sz w:val="21"/>
              </w:rPr>
            </w:pPr>
            <w:r>
              <w:rPr>
                <w:rFonts w:ascii="Times New Roman" w:hAnsi="Times New Roman" w:cs="Times New Roman"/>
                <w:color w:val="auto"/>
                <w:sz w:val="21"/>
              </w:rPr>
              <w:t>0.9</w:t>
            </w:r>
          </w:p>
        </w:tc>
        <w:tc>
          <w:tcPr>
            <w:tcW w:w="321" w:type="pct"/>
            <w:vAlign w:val="center"/>
          </w:tcPr>
          <w:p w14:paraId="4C031D40">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195" w:type="pct"/>
            <w:vAlign w:val="center"/>
          </w:tcPr>
          <w:p w14:paraId="2E860960">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5881EF7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539" w:type="pct"/>
            <w:vAlign w:val="center"/>
          </w:tcPr>
          <w:p w14:paraId="30EE45A1">
            <w:pPr>
              <w:jc w:val="center"/>
              <w:rPr>
                <w:rFonts w:ascii="Times New Roman" w:hAnsi="Times New Roman" w:cs="Times New Roman"/>
                <w:color w:val="auto"/>
                <w:sz w:val="21"/>
              </w:rPr>
            </w:pPr>
            <w:r>
              <w:rPr>
                <w:rFonts w:ascii="Times New Roman" w:hAnsi="Times New Roman" w:cs="Times New Roman"/>
                <w:color w:val="auto"/>
                <w:sz w:val="21"/>
              </w:rPr>
              <w:t>氯甲烷</w:t>
            </w:r>
          </w:p>
        </w:tc>
        <w:tc>
          <w:tcPr>
            <w:tcW w:w="277" w:type="pct"/>
            <w:vAlign w:val="center"/>
          </w:tcPr>
          <w:p w14:paraId="3FF1FF6A">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41E05BC0">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572CB136">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68974400">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0E18969C">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605693A5">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746B0AE3">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498DA086">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59540A79">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08229CFA">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32ECCE34">
            <w:pPr>
              <w:jc w:val="center"/>
              <w:rPr>
                <w:rFonts w:ascii="Times New Roman" w:hAnsi="Times New Roman" w:cs="Times New Roman"/>
                <w:color w:val="auto"/>
                <w:spacing w:val="1"/>
                <w:sz w:val="21"/>
                <w:lang w:eastAsia="zh-CN"/>
              </w:rPr>
            </w:pPr>
            <w:r>
              <w:rPr>
                <w:rFonts w:ascii="Times New Roman" w:hAnsi="Times New Roman" w:cs="Times New Roman"/>
                <w:color w:val="auto"/>
                <w:spacing w:val="1"/>
                <w:sz w:val="21"/>
                <w:lang w:eastAsia="zh-CN"/>
              </w:rPr>
              <w:t>/</w:t>
            </w:r>
          </w:p>
        </w:tc>
        <w:tc>
          <w:tcPr>
            <w:tcW w:w="308" w:type="pct"/>
            <w:vAlign w:val="center"/>
          </w:tcPr>
          <w:p w14:paraId="41AF8140">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9" w:type="pct"/>
            <w:vAlign w:val="center"/>
          </w:tcPr>
          <w:p w14:paraId="04FE3E5C">
            <w:pPr>
              <w:jc w:val="center"/>
              <w:rPr>
                <w:rFonts w:ascii="Times New Roman" w:hAnsi="Times New Roman" w:cs="Times New Roman"/>
                <w:color w:val="auto"/>
                <w:sz w:val="21"/>
              </w:rPr>
            </w:pPr>
            <w:r>
              <w:rPr>
                <w:rFonts w:ascii="Times New Roman" w:hAnsi="Times New Roman" w:cs="Times New Roman"/>
                <w:color w:val="auto"/>
                <w:sz w:val="21"/>
              </w:rPr>
              <w:t>37</w:t>
            </w:r>
          </w:p>
        </w:tc>
        <w:tc>
          <w:tcPr>
            <w:tcW w:w="321" w:type="pct"/>
            <w:vAlign w:val="center"/>
          </w:tcPr>
          <w:p w14:paraId="28AAF530">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195" w:type="pct"/>
            <w:vAlign w:val="center"/>
          </w:tcPr>
          <w:p w14:paraId="418CFAE5">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4F41740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539" w:type="pct"/>
            <w:vAlign w:val="center"/>
          </w:tcPr>
          <w:p w14:paraId="0BCCA4FD">
            <w:pPr>
              <w:jc w:val="center"/>
              <w:rPr>
                <w:rFonts w:ascii="Times New Roman" w:hAnsi="Times New Roman" w:cs="Times New Roman"/>
                <w:color w:val="auto"/>
                <w:sz w:val="21"/>
              </w:rPr>
            </w:pPr>
            <w:r>
              <w:rPr>
                <w:rFonts w:ascii="Times New Roman" w:hAnsi="Times New Roman" w:cs="Times New Roman"/>
                <w:color w:val="auto"/>
                <w:sz w:val="21"/>
              </w:rPr>
              <w:t>1, 1-二氯乙烷</w:t>
            </w:r>
          </w:p>
        </w:tc>
        <w:tc>
          <w:tcPr>
            <w:tcW w:w="277" w:type="pct"/>
            <w:vAlign w:val="center"/>
          </w:tcPr>
          <w:p w14:paraId="44E241F2">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3708B80E">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6489D470">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16A7C759">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3D976212">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739A23FA">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7B632D0C">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26C40FAF">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4A9A7CD2">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23B372BC">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36456619">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8" w:type="pct"/>
            <w:vAlign w:val="center"/>
          </w:tcPr>
          <w:p w14:paraId="1F6A91B8">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9" w:type="pct"/>
            <w:vAlign w:val="center"/>
          </w:tcPr>
          <w:p w14:paraId="56650201">
            <w:pPr>
              <w:jc w:val="center"/>
              <w:rPr>
                <w:rFonts w:ascii="Times New Roman" w:hAnsi="Times New Roman" w:cs="Times New Roman"/>
                <w:color w:val="auto"/>
                <w:sz w:val="21"/>
              </w:rPr>
            </w:pPr>
            <w:r>
              <w:rPr>
                <w:rFonts w:ascii="Times New Roman" w:hAnsi="Times New Roman" w:cs="Times New Roman"/>
                <w:color w:val="auto"/>
                <w:sz w:val="21"/>
              </w:rPr>
              <w:t>9</w:t>
            </w:r>
          </w:p>
        </w:tc>
        <w:tc>
          <w:tcPr>
            <w:tcW w:w="321" w:type="pct"/>
            <w:vAlign w:val="center"/>
          </w:tcPr>
          <w:p w14:paraId="7C0AC91C">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195" w:type="pct"/>
            <w:vAlign w:val="center"/>
          </w:tcPr>
          <w:p w14:paraId="44D234D4">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71CD021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539" w:type="pct"/>
            <w:vAlign w:val="center"/>
          </w:tcPr>
          <w:p w14:paraId="1D0CB6D7">
            <w:pPr>
              <w:jc w:val="center"/>
              <w:rPr>
                <w:rFonts w:ascii="Times New Roman" w:hAnsi="Times New Roman" w:cs="Times New Roman"/>
                <w:color w:val="auto"/>
                <w:sz w:val="21"/>
              </w:rPr>
            </w:pPr>
            <w:r>
              <w:rPr>
                <w:rFonts w:ascii="Times New Roman" w:hAnsi="Times New Roman" w:cs="Times New Roman"/>
                <w:color w:val="auto"/>
                <w:sz w:val="21"/>
              </w:rPr>
              <w:t>1,2-二氯乙烷</w:t>
            </w:r>
          </w:p>
        </w:tc>
        <w:tc>
          <w:tcPr>
            <w:tcW w:w="277" w:type="pct"/>
            <w:vAlign w:val="center"/>
          </w:tcPr>
          <w:p w14:paraId="0BCF137A">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222AD9BB">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60EFAD6E">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65DD2E46">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7145210C">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0411BF9A">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37F01C56">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117BDB39">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5795D43A">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29FB8997">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31DA3B80">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8" w:type="pct"/>
            <w:vAlign w:val="center"/>
          </w:tcPr>
          <w:p w14:paraId="1C296895">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9" w:type="pct"/>
            <w:vAlign w:val="center"/>
          </w:tcPr>
          <w:p w14:paraId="7B9DCFC0">
            <w:pPr>
              <w:jc w:val="center"/>
              <w:rPr>
                <w:rFonts w:ascii="Times New Roman" w:hAnsi="Times New Roman" w:cs="Times New Roman"/>
                <w:color w:val="auto"/>
                <w:sz w:val="21"/>
              </w:rPr>
            </w:pPr>
            <w:r>
              <w:rPr>
                <w:rFonts w:ascii="Times New Roman" w:hAnsi="Times New Roman" w:cs="Times New Roman"/>
                <w:color w:val="auto"/>
                <w:sz w:val="21"/>
              </w:rPr>
              <w:t>5</w:t>
            </w:r>
          </w:p>
        </w:tc>
        <w:tc>
          <w:tcPr>
            <w:tcW w:w="321" w:type="pct"/>
            <w:vAlign w:val="center"/>
          </w:tcPr>
          <w:p w14:paraId="7037FEB8">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2F33D05B">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7AC87D1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539" w:type="pct"/>
            <w:vAlign w:val="center"/>
          </w:tcPr>
          <w:p w14:paraId="60D6B7D9">
            <w:pPr>
              <w:jc w:val="center"/>
              <w:rPr>
                <w:rFonts w:ascii="Times New Roman" w:hAnsi="Times New Roman" w:cs="Times New Roman"/>
                <w:color w:val="auto"/>
                <w:sz w:val="21"/>
              </w:rPr>
            </w:pPr>
            <w:r>
              <w:rPr>
                <w:rFonts w:ascii="Times New Roman" w:hAnsi="Times New Roman" w:cs="Times New Roman"/>
                <w:color w:val="auto"/>
                <w:sz w:val="21"/>
              </w:rPr>
              <w:t>1, 1-二氯乙烯</w:t>
            </w:r>
          </w:p>
        </w:tc>
        <w:tc>
          <w:tcPr>
            <w:tcW w:w="277" w:type="pct"/>
            <w:vAlign w:val="center"/>
          </w:tcPr>
          <w:p w14:paraId="2857EB5B">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4FECCEA2">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4AC00F1E">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4510CBD0">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3067C334">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17B87729">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1AC02E7F">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59C4865E">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6363A1E2">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00463DDC">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21BFE3D6">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8" w:type="pct"/>
            <w:vAlign w:val="center"/>
          </w:tcPr>
          <w:p w14:paraId="59944416">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9" w:type="pct"/>
            <w:vAlign w:val="center"/>
          </w:tcPr>
          <w:p w14:paraId="2804E2D3">
            <w:pPr>
              <w:jc w:val="center"/>
              <w:rPr>
                <w:rFonts w:ascii="Times New Roman" w:hAnsi="Times New Roman" w:cs="Times New Roman"/>
                <w:color w:val="auto"/>
                <w:sz w:val="21"/>
              </w:rPr>
            </w:pPr>
            <w:r>
              <w:rPr>
                <w:rFonts w:ascii="Times New Roman" w:hAnsi="Times New Roman" w:cs="Times New Roman"/>
                <w:color w:val="auto"/>
                <w:sz w:val="21"/>
              </w:rPr>
              <w:t>66</w:t>
            </w:r>
          </w:p>
        </w:tc>
        <w:tc>
          <w:tcPr>
            <w:tcW w:w="321" w:type="pct"/>
            <w:vAlign w:val="center"/>
          </w:tcPr>
          <w:p w14:paraId="5E7E8288">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366278FE">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6726A20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539" w:type="pct"/>
            <w:vAlign w:val="center"/>
          </w:tcPr>
          <w:p w14:paraId="7873CCDE">
            <w:pPr>
              <w:jc w:val="center"/>
              <w:rPr>
                <w:rFonts w:ascii="Times New Roman" w:hAnsi="Times New Roman" w:cs="Times New Roman"/>
                <w:color w:val="auto"/>
                <w:sz w:val="21"/>
              </w:rPr>
            </w:pPr>
            <w:r>
              <w:rPr>
                <w:rFonts w:ascii="Times New Roman" w:hAnsi="Times New Roman" w:cs="Times New Roman"/>
                <w:color w:val="auto"/>
                <w:sz w:val="21"/>
              </w:rPr>
              <w:t>顺 1,2-二氯乙烯</w:t>
            </w:r>
          </w:p>
        </w:tc>
        <w:tc>
          <w:tcPr>
            <w:tcW w:w="277" w:type="pct"/>
            <w:vAlign w:val="center"/>
          </w:tcPr>
          <w:p w14:paraId="0D87680C">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1EAF5087">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46B11F6A">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140EED38">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1BAF2A4E">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29F6A537">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762CEF44">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34E3FE10">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2996771E">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0C64826F">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06EC8936">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8" w:type="pct"/>
            <w:vAlign w:val="center"/>
          </w:tcPr>
          <w:p w14:paraId="3B588887">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9" w:type="pct"/>
            <w:vAlign w:val="center"/>
          </w:tcPr>
          <w:p w14:paraId="4E7A6774">
            <w:pPr>
              <w:jc w:val="center"/>
              <w:rPr>
                <w:rFonts w:ascii="Times New Roman" w:hAnsi="Times New Roman" w:cs="Times New Roman"/>
                <w:color w:val="auto"/>
                <w:sz w:val="21"/>
              </w:rPr>
            </w:pPr>
            <w:r>
              <w:rPr>
                <w:rFonts w:ascii="Times New Roman" w:hAnsi="Times New Roman" w:cs="Times New Roman"/>
                <w:color w:val="auto"/>
                <w:sz w:val="21"/>
              </w:rPr>
              <w:t>596</w:t>
            </w:r>
          </w:p>
        </w:tc>
        <w:tc>
          <w:tcPr>
            <w:tcW w:w="321" w:type="pct"/>
            <w:vAlign w:val="center"/>
          </w:tcPr>
          <w:p w14:paraId="48DFA0C3">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46272797">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367CEB3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539" w:type="pct"/>
            <w:vAlign w:val="center"/>
          </w:tcPr>
          <w:p w14:paraId="502295AC">
            <w:pPr>
              <w:jc w:val="center"/>
              <w:rPr>
                <w:rFonts w:ascii="Times New Roman" w:hAnsi="Times New Roman" w:cs="Times New Roman"/>
                <w:color w:val="auto"/>
                <w:sz w:val="21"/>
              </w:rPr>
            </w:pPr>
            <w:r>
              <w:rPr>
                <w:rFonts w:ascii="Times New Roman" w:hAnsi="Times New Roman" w:cs="Times New Roman"/>
                <w:color w:val="auto"/>
                <w:sz w:val="21"/>
              </w:rPr>
              <w:t>反 1,2-二氯乙烯</w:t>
            </w:r>
          </w:p>
        </w:tc>
        <w:tc>
          <w:tcPr>
            <w:tcW w:w="277" w:type="pct"/>
            <w:vAlign w:val="center"/>
          </w:tcPr>
          <w:p w14:paraId="59D4CAFD">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537C2E24">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5E02F9F0">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333B4461">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03BB0F10">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3A3D99C7">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68412D46">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2772C94C">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79A12D8A">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375D0B88">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079038C0">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8" w:type="pct"/>
            <w:vAlign w:val="center"/>
          </w:tcPr>
          <w:p w14:paraId="42DDD725">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9" w:type="pct"/>
            <w:vAlign w:val="center"/>
          </w:tcPr>
          <w:p w14:paraId="53938586">
            <w:pPr>
              <w:jc w:val="center"/>
              <w:rPr>
                <w:rFonts w:ascii="Times New Roman" w:hAnsi="Times New Roman" w:cs="Times New Roman"/>
                <w:color w:val="auto"/>
                <w:sz w:val="21"/>
              </w:rPr>
            </w:pPr>
            <w:r>
              <w:rPr>
                <w:rFonts w:ascii="Times New Roman" w:hAnsi="Times New Roman" w:cs="Times New Roman"/>
                <w:color w:val="auto"/>
                <w:sz w:val="21"/>
              </w:rPr>
              <w:t>54</w:t>
            </w:r>
          </w:p>
        </w:tc>
        <w:tc>
          <w:tcPr>
            <w:tcW w:w="321" w:type="pct"/>
            <w:vAlign w:val="center"/>
          </w:tcPr>
          <w:p w14:paraId="5D7652C6">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1F5261C1">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19EB917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539" w:type="pct"/>
            <w:vAlign w:val="center"/>
          </w:tcPr>
          <w:p w14:paraId="7157E54E">
            <w:pPr>
              <w:jc w:val="center"/>
              <w:rPr>
                <w:rFonts w:ascii="Times New Roman" w:hAnsi="Times New Roman" w:cs="Times New Roman"/>
                <w:color w:val="auto"/>
                <w:sz w:val="21"/>
              </w:rPr>
            </w:pPr>
            <w:r>
              <w:rPr>
                <w:rFonts w:ascii="Times New Roman" w:hAnsi="Times New Roman" w:cs="Times New Roman"/>
                <w:color w:val="auto"/>
                <w:sz w:val="21"/>
              </w:rPr>
              <w:t>二氯甲烷</w:t>
            </w:r>
          </w:p>
        </w:tc>
        <w:tc>
          <w:tcPr>
            <w:tcW w:w="277" w:type="pct"/>
            <w:vAlign w:val="center"/>
          </w:tcPr>
          <w:p w14:paraId="5404E31C">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5A899A16">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6BE933ED">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6C7A078D">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2080A130">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01B476BF">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033C3BBB">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38CC2D35">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0BEF248B">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70598F9B">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36E72678">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8" w:type="pct"/>
            <w:vAlign w:val="center"/>
          </w:tcPr>
          <w:p w14:paraId="5CBB987E">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9" w:type="pct"/>
            <w:vAlign w:val="center"/>
          </w:tcPr>
          <w:p w14:paraId="23D5FDE1">
            <w:pPr>
              <w:jc w:val="center"/>
              <w:rPr>
                <w:rFonts w:ascii="Times New Roman" w:hAnsi="Times New Roman" w:cs="Times New Roman"/>
                <w:color w:val="auto"/>
                <w:sz w:val="21"/>
              </w:rPr>
            </w:pPr>
            <w:r>
              <w:rPr>
                <w:rFonts w:ascii="Times New Roman" w:hAnsi="Times New Roman" w:cs="Times New Roman"/>
                <w:color w:val="auto"/>
                <w:sz w:val="21"/>
              </w:rPr>
              <w:t>616</w:t>
            </w:r>
          </w:p>
        </w:tc>
        <w:tc>
          <w:tcPr>
            <w:tcW w:w="321" w:type="pct"/>
            <w:vAlign w:val="center"/>
          </w:tcPr>
          <w:p w14:paraId="63796DFD">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447D672A">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1F0884D1">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539" w:type="pct"/>
            <w:vAlign w:val="center"/>
          </w:tcPr>
          <w:p w14:paraId="7D379E6C">
            <w:pPr>
              <w:jc w:val="center"/>
              <w:rPr>
                <w:rFonts w:ascii="Times New Roman" w:hAnsi="Times New Roman" w:cs="Times New Roman"/>
                <w:color w:val="auto"/>
                <w:sz w:val="21"/>
              </w:rPr>
            </w:pPr>
            <w:r>
              <w:rPr>
                <w:rFonts w:ascii="Times New Roman" w:hAnsi="Times New Roman" w:cs="Times New Roman"/>
                <w:color w:val="auto"/>
                <w:sz w:val="21"/>
              </w:rPr>
              <w:t>1,2-二氯丙烷</w:t>
            </w:r>
          </w:p>
        </w:tc>
        <w:tc>
          <w:tcPr>
            <w:tcW w:w="277" w:type="pct"/>
            <w:vAlign w:val="center"/>
          </w:tcPr>
          <w:p w14:paraId="59C59789">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0C5337D1">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6F91069E">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29B7D65C">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0CA73DC0">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06F89651">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09AB514F">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0C5AF9CD">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192DE67F">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10F05262">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6E952E93">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8" w:type="pct"/>
            <w:vAlign w:val="center"/>
          </w:tcPr>
          <w:p w14:paraId="6C28A759">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9" w:type="pct"/>
            <w:vAlign w:val="center"/>
          </w:tcPr>
          <w:p w14:paraId="6EA8FB8A">
            <w:pPr>
              <w:jc w:val="center"/>
              <w:rPr>
                <w:rFonts w:ascii="Times New Roman" w:hAnsi="Times New Roman" w:cs="Times New Roman"/>
                <w:color w:val="auto"/>
                <w:sz w:val="21"/>
              </w:rPr>
            </w:pPr>
            <w:r>
              <w:rPr>
                <w:rFonts w:ascii="Times New Roman" w:hAnsi="Times New Roman" w:cs="Times New Roman"/>
                <w:color w:val="auto"/>
                <w:sz w:val="21"/>
              </w:rPr>
              <w:t>5</w:t>
            </w:r>
          </w:p>
        </w:tc>
        <w:tc>
          <w:tcPr>
            <w:tcW w:w="321" w:type="pct"/>
            <w:vAlign w:val="center"/>
          </w:tcPr>
          <w:p w14:paraId="63C6C0DC">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5AE1AF22">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1319360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539" w:type="pct"/>
            <w:vAlign w:val="center"/>
          </w:tcPr>
          <w:p w14:paraId="24DC1B1F">
            <w:pPr>
              <w:jc w:val="center"/>
              <w:rPr>
                <w:rFonts w:ascii="Times New Roman" w:hAnsi="Times New Roman" w:cs="Times New Roman"/>
                <w:color w:val="auto"/>
                <w:sz w:val="21"/>
              </w:rPr>
            </w:pPr>
            <w:r>
              <w:rPr>
                <w:rFonts w:ascii="Times New Roman" w:hAnsi="Times New Roman" w:cs="Times New Roman"/>
                <w:color w:val="auto"/>
                <w:sz w:val="21"/>
              </w:rPr>
              <w:t>1, 1, 1,2- 四氯乙烷</w:t>
            </w:r>
          </w:p>
        </w:tc>
        <w:tc>
          <w:tcPr>
            <w:tcW w:w="277" w:type="pct"/>
            <w:vAlign w:val="center"/>
          </w:tcPr>
          <w:p w14:paraId="2B093BE5">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1C4B8C8C">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195B8DDC">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685DF0D5">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76ED1941">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00EED8D0">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66006353">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37EF5719">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73ED2741">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6C07EC43">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06FFA5BA">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8" w:type="pct"/>
            <w:vAlign w:val="center"/>
          </w:tcPr>
          <w:p w14:paraId="18858CE4">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9" w:type="pct"/>
            <w:vAlign w:val="center"/>
          </w:tcPr>
          <w:p w14:paraId="567AC2C5">
            <w:pPr>
              <w:jc w:val="center"/>
              <w:rPr>
                <w:rFonts w:ascii="Times New Roman" w:hAnsi="Times New Roman" w:cs="Times New Roman"/>
                <w:color w:val="auto"/>
                <w:sz w:val="21"/>
              </w:rPr>
            </w:pPr>
            <w:r>
              <w:rPr>
                <w:rFonts w:ascii="Times New Roman" w:hAnsi="Times New Roman" w:cs="Times New Roman"/>
                <w:color w:val="auto"/>
                <w:sz w:val="21"/>
              </w:rPr>
              <w:t>10</w:t>
            </w:r>
          </w:p>
        </w:tc>
        <w:tc>
          <w:tcPr>
            <w:tcW w:w="321" w:type="pct"/>
            <w:vAlign w:val="center"/>
          </w:tcPr>
          <w:p w14:paraId="3E8EE565">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0B0327C4">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29F7DC9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539" w:type="pct"/>
            <w:vAlign w:val="center"/>
          </w:tcPr>
          <w:p w14:paraId="493ADB13">
            <w:pPr>
              <w:jc w:val="center"/>
              <w:rPr>
                <w:rFonts w:ascii="Times New Roman" w:hAnsi="Times New Roman" w:cs="Times New Roman"/>
                <w:color w:val="auto"/>
                <w:sz w:val="21"/>
              </w:rPr>
            </w:pPr>
            <w:r>
              <w:rPr>
                <w:rFonts w:ascii="Times New Roman" w:hAnsi="Times New Roman" w:cs="Times New Roman"/>
                <w:color w:val="auto"/>
                <w:sz w:val="21"/>
              </w:rPr>
              <w:t>1, 1,2,2- 四氯乙烷</w:t>
            </w:r>
          </w:p>
        </w:tc>
        <w:tc>
          <w:tcPr>
            <w:tcW w:w="277" w:type="pct"/>
            <w:vAlign w:val="center"/>
          </w:tcPr>
          <w:p w14:paraId="71F33FA4">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1BDD6B52">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186ADC44">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5690EE60">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1115B245">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0864A8EF">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18B17E37">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6C43CFF5">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008DCAE4">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5AAD3B0F">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42BF8B10">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8" w:type="pct"/>
            <w:vAlign w:val="center"/>
          </w:tcPr>
          <w:p w14:paraId="4946B73C">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9" w:type="pct"/>
            <w:vAlign w:val="center"/>
          </w:tcPr>
          <w:p w14:paraId="38F04B25">
            <w:pPr>
              <w:jc w:val="center"/>
              <w:rPr>
                <w:rFonts w:ascii="Times New Roman" w:hAnsi="Times New Roman" w:cs="Times New Roman"/>
                <w:color w:val="auto"/>
                <w:sz w:val="21"/>
              </w:rPr>
            </w:pPr>
            <w:r>
              <w:rPr>
                <w:rFonts w:ascii="Times New Roman" w:hAnsi="Times New Roman" w:cs="Times New Roman"/>
                <w:color w:val="auto"/>
                <w:sz w:val="21"/>
              </w:rPr>
              <w:t>6.8</w:t>
            </w:r>
          </w:p>
        </w:tc>
        <w:tc>
          <w:tcPr>
            <w:tcW w:w="321" w:type="pct"/>
            <w:vAlign w:val="center"/>
          </w:tcPr>
          <w:p w14:paraId="757F95D1">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3AA368CA">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522AD5D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539" w:type="pct"/>
            <w:vAlign w:val="center"/>
          </w:tcPr>
          <w:p w14:paraId="24D619BF">
            <w:pPr>
              <w:jc w:val="center"/>
              <w:rPr>
                <w:rFonts w:ascii="Times New Roman" w:hAnsi="Times New Roman" w:cs="Times New Roman"/>
                <w:color w:val="auto"/>
                <w:sz w:val="21"/>
              </w:rPr>
            </w:pPr>
            <w:r>
              <w:rPr>
                <w:rFonts w:ascii="Times New Roman" w:hAnsi="Times New Roman" w:cs="Times New Roman"/>
                <w:color w:val="auto"/>
                <w:sz w:val="21"/>
              </w:rPr>
              <w:t>四氯乙烯</w:t>
            </w:r>
          </w:p>
        </w:tc>
        <w:tc>
          <w:tcPr>
            <w:tcW w:w="277" w:type="pct"/>
            <w:vAlign w:val="center"/>
          </w:tcPr>
          <w:p w14:paraId="44A67127">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404FCAEC">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50288CD6">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3EAFC40F">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780156E0">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666ED100">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4454D021">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04C167BF">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0AB5B121">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7758EEF0">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29D376FB">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8" w:type="pct"/>
            <w:vAlign w:val="center"/>
          </w:tcPr>
          <w:p w14:paraId="30885686">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9" w:type="pct"/>
            <w:vAlign w:val="center"/>
          </w:tcPr>
          <w:p w14:paraId="796C1643">
            <w:pPr>
              <w:jc w:val="center"/>
              <w:rPr>
                <w:rFonts w:ascii="Times New Roman" w:hAnsi="Times New Roman" w:cs="Times New Roman"/>
                <w:color w:val="auto"/>
                <w:sz w:val="21"/>
              </w:rPr>
            </w:pPr>
            <w:r>
              <w:rPr>
                <w:rFonts w:ascii="Times New Roman" w:hAnsi="Times New Roman" w:cs="Times New Roman"/>
                <w:color w:val="auto"/>
                <w:sz w:val="21"/>
              </w:rPr>
              <w:t>53</w:t>
            </w:r>
          </w:p>
        </w:tc>
        <w:tc>
          <w:tcPr>
            <w:tcW w:w="321" w:type="pct"/>
            <w:vAlign w:val="center"/>
          </w:tcPr>
          <w:p w14:paraId="429F0266">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692BD8D8">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7AD8045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539" w:type="pct"/>
            <w:vAlign w:val="center"/>
          </w:tcPr>
          <w:p w14:paraId="505AB794">
            <w:pPr>
              <w:jc w:val="center"/>
              <w:rPr>
                <w:rFonts w:ascii="Times New Roman" w:hAnsi="Times New Roman" w:cs="Times New Roman"/>
                <w:color w:val="auto"/>
                <w:sz w:val="21"/>
              </w:rPr>
            </w:pPr>
            <w:r>
              <w:rPr>
                <w:rFonts w:ascii="Times New Roman" w:hAnsi="Times New Roman" w:cs="Times New Roman"/>
                <w:color w:val="auto"/>
                <w:sz w:val="21"/>
              </w:rPr>
              <w:t>1, 1, 1-三氯乙烷</w:t>
            </w:r>
          </w:p>
        </w:tc>
        <w:tc>
          <w:tcPr>
            <w:tcW w:w="277" w:type="pct"/>
            <w:vAlign w:val="center"/>
          </w:tcPr>
          <w:p w14:paraId="43418920">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44365ABB">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7443840F">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5D2E2244">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4DE57D6B">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78094F3B">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183170B7">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3BBDCDB5">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7B897F8D">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64EF4C84">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4B574D60">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8" w:type="pct"/>
            <w:vAlign w:val="center"/>
          </w:tcPr>
          <w:p w14:paraId="6F404B84">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9" w:type="pct"/>
            <w:vAlign w:val="center"/>
          </w:tcPr>
          <w:p w14:paraId="109DF986">
            <w:pPr>
              <w:jc w:val="center"/>
              <w:rPr>
                <w:rFonts w:ascii="Times New Roman" w:hAnsi="Times New Roman" w:cs="Times New Roman"/>
                <w:color w:val="auto"/>
                <w:sz w:val="21"/>
              </w:rPr>
            </w:pPr>
            <w:r>
              <w:rPr>
                <w:rFonts w:ascii="Times New Roman" w:hAnsi="Times New Roman" w:cs="Times New Roman"/>
                <w:color w:val="auto"/>
                <w:sz w:val="21"/>
              </w:rPr>
              <w:t>840</w:t>
            </w:r>
          </w:p>
        </w:tc>
        <w:tc>
          <w:tcPr>
            <w:tcW w:w="321" w:type="pct"/>
            <w:vAlign w:val="center"/>
          </w:tcPr>
          <w:p w14:paraId="177A32D1">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45FC4B0D">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2C90B0A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539" w:type="pct"/>
            <w:vAlign w:val="center"/>
          </w:tcPr>
          <w:p w14:paraId="4C2C7166">
            <w:pPr>
              <w:jc w:val="center"/>
              <w:rPr>
                <w:rFonts w:ascii="Times New Roman" w:hAnsi="Times New Roman" w:cs="Times New Roman"/>
                <w:color w:val="auto"/>
                <w:sz w:val="21"/>
              </w:rPr>
            </w:pPr>
            <w:r>
              <w:rPr>
                <w:rFonts w:ascii="Times New Roman" w:hAnsi="Times New Roman" w:cs="Times New Roman"/>
                <w:color w:val="auto"/>
                <w:sz w:val="21"/>
              </w:rPr>
              <w:t>1, 1,2-三氯乙烷</w:t>
            </w:r>
          </w:p>
        </w:tc>
        <w:tc>
          <w:tcPr>
            <w:tcW w:w="277" w:type="pct"/>
            <w:vAlign w:val="center"/>
          </w:tcPr>
          <w:p w14:paraId="60073B95">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1085A1B1">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7198BF9E">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0BFBF2B5">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5B9AC938">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5C263D69">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420EDDB4">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4F5C2632">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1D3223E8">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279849A8">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184E8BB9">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8" w:type="pct"/>
            <w:vAlign w:val="center"/>
          </w:tcPr>
          <w:p w14:paraId="1852FBF2">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9" w:type="pct"/>
            <w:vAlign w:val="center"/>
          </w:tcPr>
          <w:p w14:paraId="42982E2F">
            <w:pPr>
              <w:jc w:val="center"/>
              <w:rPr>
                <w:rFonts w:ascii="Times New Roman" w:hAnsi="Times New Roman" w:cs="Times New Roman"/>
                <w:color w:val="auto"/>
                <w:sz w:val="21"/>
              </w:rPr>
            </w:pPr>
            <w:r>
              <w:rPr>
                <w:rFonts w:ascii="Times New Roman" w:hAnsi="Times New Roman" w:cs="Times New Roman"/>
                <w:color w:val="auto"/>
                <w:sz w:val="21"/>
              </w:rPr>
              <w:t>2.8</w:t>
            </w:r>
          </w:p>
        </w:tc>
        <w:tc>
          <w:tcPr>
            <w:tcW w:w="321" w:type="pct"/>
            <w:vAlign w:val="center"/>
          </w:tcPr>
          <w:p w14:paraId="63308E8C">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58D98A04">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23B1EB5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539" w:type="pct"/>
            <w:vAlign w:val="center"/>
          </w:tcPr>
          <w:p w14:paraId="45D560B7">
            <w:pPr>
              <w:jc w:val="center"/>
              <w:rPr>
                <w:rFonts w:ascii="Times New Roman" w:hAnsi="Times New Roman" w:cs="Times New Roman"/>
                <w:color w:val="auto"/>
                <w:sz w:val="21"/>
              </w:rPr>
            </w:pPr>
            <w:r>
              <w:rPr>
                <w:rFonts w:ascii="Times New Roman" w:hAnsi="Times New Roman" w:cs="Times New Roman"/>
                <w:color w:val="auto"/>
                <w:sz w:val="21"/>
              </w:rPr>
              <w:t>三氯乙烯</w:t>
            </w:r>
          </w:p>
        </w:tc>
        <w:tc>
          <w:tcPr>
            <w:tcW w:w="277" w:type="pct"/>
            <w:vAlign w:val="center"/>
          </w:tcPr>
          <w:p w14:paraId="25EC1DDB">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6E421812">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78A26F9C">
            <w:pPr>
              <w:jc w:val="center"/>
              <w:rPr>
                <w:rFonts w:ascii="Times New Roman" w:hAnsi="Times New Roman" w:cs="Times New Roman"/>
                <w:color w:val="auto"/>
                <w:sz w:val="21"/>
              </w:rPr>
            </w:pPr>
            <w:r>
              <w:rPr>
                <w:rFonts w:ascii="Times New Roman" w:hAnsi="Times New Roman" w:cs="Times New Roman"/>
                <w:color w:val="auto"/>
                <w:sz w:val="21"/>
                <w:lang w:eastAsia="zh-CN"/>
              </w:rPr>
              <w:t>ND</w:t>
            </w:r>
          </w:p>
        </w:tc>
        <w:tc>
          <w:tcPr>
            <w:tcW w:w="305" w:type="pct"/>
            <w:vAlign w:val="center"/>
          </w:tcPr>
          <w:p w14:paraId="0AA0A44B">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4FCB8505">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4DBAFE5C">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19BCFEB1">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02839C07">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0E057636">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0294BBE8">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1EF965EF">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8" w:type="pct"/>
            <w:vAlign w:val="center"/>
          </w:tcPr>
          <w:p w14:paraId="60C85392">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9" w:type="pct"/>
            <w:vAlign w:val="center"/>
          </w:tcPr>
          <w:p w14:paraId="003AFF67">
            <w:pPr>
              <w:jc w:val="center"/>
              <w:rPr>
                <w:rFonts w:ascii="Times New Roman" w:hAnsi="Times New Roman" w:cs="Times New Roman"/>
                <w:color w:val="auto"/>
                <w:sz w:val="21"/>
              </w:rPr>
            </w:pPr>
            <w:r>
              <w:rPr>
                <w:rFonts w:ascii="Times New Roman" w:hAnsi="Times New Roman" w:cs="Times New Roman"/>
                <w:color w:val="auto"/>
                <w:sz w:val="21"/>
              </w:rPr>
              <w:t>2.8</w:t>
            </w:r>
          </w:p>
        </w:tc>
        <w:tc>
          <w:tcPr>
            <w:tcW w:w="321" w:type="pct"/>
            <w:vAlign w:val="center"/>
          </w:tcPr>
          <w:p w14:paraId="7264D374">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2110FC75">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027AC16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539" w:type="pct"/>
            <w:vAlign w:val="center"/>
          </w:tcPr>
          <w:p w14:paraId="7B9E7CCF">
            <w:pPr>
              <w:pStyle w:val="65"/>
              <w:jc w:val="center"/>
              <w:rPr>
                <w:rFonts w:ascii="Times New Roman" w:hAnsi="Times New Roman" w:cs="Times New Roman"/>
                <w:color w:val="auto"/>
                <w:sz w:val="21"/>
                <w:szCs w:val="21"/>
              </w:rPr>
            </w:pPr>
            <w:r>
              <w:rPr>
                <w:rFonts w:ascii="Times New Roman" w:hAnsi="Times New Roman" w:cs="Times New Roman"/>
                <w:color w:val="auto"/>
                <w:spacing w:val="-3"/>
                <w:sz w:val="21"/>
                <w:szCs w:val="21"/>
              </w:rPr>
              <w:t>1,2,3-三氯丙烷</w:t>
            </w:r>
          </w:p>
        </w:tc>
        <w:tc>
          <w:tcPr>
            <w:tcW w:w="277" w:type="pct"/>
            <w:vAlign w:val="center"/>
          </w:tcPr>
          <w:p w14:paraId="0A271C58">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19771B49">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095E85A8">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0A3A321C">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75A118DC">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4043B512">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008644D7">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3A0BA2A7">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6B6BC37F">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2037DAD8">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19D3661D">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8" w:type="pct"/>
            <w:vAlign w:val="center"/>
          </w:tcPr>
          <w:p w14:paraId="5E01319D">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9" w:type="pct"/>
            <w:vAlign w:val="center"/>
          </w:tcPr>
          <w:p w14:paraId="6ED92E06">
            <w:pPr>
              <w:jc w:val="center"/>
              <w:rPr>
                <w:rFonts w:ascii="Times New Roman" w:hAnsi="Times New Roman" w:cs="Times New Roman"/>
                <w:color w:val="auto"/>
                <w:sz w:val="21"/>
              </w:rPr>
            </w:pPr>
            <w:r>
              <w:rPr>
                <w:rFonts w:ascii="Times New Roman" w:hAnsi="Times New Roman" w:cs="Times New Roman"/>
                <w:color w:val="auto"/>
                <w:sz w:val="21"/>
              </w:rPr>
              <w:t>0.5</w:t>
            </w:r>
          </w:p>
        </w:tc>
        <w:tc>
          <w:tcPr>
            <w:tcW w:w="321" w:type="pct"/>
            <w:vAlign w:val="center"/>
          </w:tcPr>
          <w:p w14:paraId="1CC77BCA">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2BE4C588">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2F2015E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539" w:type="pct"/>
            <w:vAlign w:val="center"/>
          </w:tcPr>
          <w:p w14:paraId="3A599150">
            <w:pPr>
              <w:pStyle w:val="65"/>
              <w:jc w:val="center"/>
              <w:rPr>
                <w:rFonts w:ascii="Times New Roman" w:hAnsi="Times New Roman" w:cs="Times New Roman"/>
                <w:color w:val="auto"/>
                <w:sz w:val="21"/>
                <w:szCs w:val="21"/>
              </w:rPr>
            </w:pPr>
            <w:r>
              <w:rPr>
                <w:rFonts w:ascii="Times New Roman" w:hAnsi="Times New Roman" w:cs="Times New Roman"/>
                <w:color w:val="auto"/>
                <w:spacing w:val="-2"/>
                <w:sz w:val="21"/>
                <w:szCs w:val="21"/>
              </w:rPr>
              <w:t>氯乙烯</w:t>
            </w:r>
          </w:p>
        </w:tc>
        <w:tc>
          <w:tcPr>
            <w:tcW w:w="277" w:type="pct"/>
            <w:vAlign w:val="center"/>
          </w:tcPr>
          <w:p w14:paraId="19287333">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3FD81A6F">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607AE2EC">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65606654">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3E428240">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188BB402">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428573A3">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14B215ED">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0EFFD32F">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07555A64">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70795729">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8" w:type="pct"/>
            <w:vAlign w:val="center"/>
          </w:tcPr>
          <w:p w14:paraId="7A11BFDE">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9" w:type="pct"/>
            <w:vAlign w:val="center"/>
          </w:tcPr>
          <w:p w14:paraId="15FAB125">
            <w:pPr>
              <w:jc w:val="center"/>
              <w:rPr>
                <w:rFonts w:ascii="Times New Roman" w:hAnsi="Times New Roman" w:cs="Times New Roman"/>
                <w:color w:val="auto"/>
                <w:sz w:val="21"/>
              </w:rPr>
            </w:pPr>
            <w:r>
              <w:rPr>
                <w:rFonts w:ascii="Times New Roman" w:hAnsi="Times New Roman" w:cs="Times New Roman"/>
                <w:color w:val="auto"/>
                <w:sz w:val="21"/>
              </w:rPr>
              <w:t>0.43</w:t>
            </w:r>
          </w:p>
        </w:tc>
        <w:tc>
          <w:tcPr>
            <w:tcW w:w="321" w:type="pct"/>
            <w:vAlign w:val="center"/>
          </w:tcPr>
          <w:p w14:paraId="4D6A97E8">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0D52735B">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3AC4520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539" w:type="pct"/>
            <w:vAlign w:val="center"/>
          </w:tcPr>
          <w:p w14:paraId="7CF4AFA1">
            <w:pPr>
              <w:pStyle w:val="65"/>
              <w:jc w:val="center"/>
              <w:rPr>
                <w:rFonts w:ascii="Times New Roman" w:hAnsi="Times New Roman" w:cs="Times New Roman"/>
                <w:color w:val="auto"/>
                <w:sz w:val="21"/>
                <w:szCs w:val="21"/>
              </w:rPr>
            </w:pPr>
            <w:r>
              <w:rPr>
                <w:rFonts w:ascii="Times New Roman" w:hAnsi="Times New Roman" w:cs="Times New Roman"/>
                <w:color w:val="auto"/>
                <w:sz w:val="21"/>
                <w:szCs w:val="21"/>
              </w:rPr>
              <w:t>苯</w:t>
            </w:r>
          </w:p>
        </w:tc>
        <w:tc>
          <w:tcPr>
            <w:tcW w:w="277" w:type="pct"/>
            <w:vAlign w:val="center"/>
          </w:tcPr>
          <w:p w14:paraId="5202B198">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4C63E2AB">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2EFB9AC8">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056DAA46">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5B29FB12">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7491D1DB">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192CA31D">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607A6062">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51D06911">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435B865F">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293EB225">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8" w:type="pct"/>
            <w:vAlign w:val="center"/>
          </w:tcPr>
          <w:p w14:paraId="654501CB">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9" w:type="pct"/>
            <w:vAlign w:val="center"/>
          </w:tcPr>
          <w:p w14:paraId="2362A61C">
            <w:pPr>
              <w:jc w:val="center"/>
              <w:rPr>
                <w:rFonts w:ascii="Times New Roman" w:hAnsi="Times New Roman" w:cs="Times New Roman"/>
                <w:color w:val="auto"/>
                <w:sz w:val="21"/>
              </w:rPr>
            </w:pPr>
            <w:r>
              <w:rPr>
                <w:rFonts w:ascii="Times New Roman" w:hAnsi="Times New Roman" w:cs="Times New Roman"/>
                <w:color w:val="auto"/>
                <w:sz w:val="21"/>
              </w:rPr>
              <w:t>4</w:t>
            </w:r>
          </w:p>
        </w:tc>
        <w:tc>
          <w:tcPr>
            <w:tcW w:w="321" w:type="pct"/>
            <w:vAlign w:val="center"/>
          </w:tcPr>
          <w:p w14:paraId="1A8B4017">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6B266382">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5B0A258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539" w:type="pct"/>
            <w:vAlign w:val="center"/>
          </w:tcPr>
          <w:p w14:paraId="188CEF94">
            <w:pPr>
              <w:pStyle w:val="65"/>
              <w:jc w:val="center"/>
              <w:rPr>
                <w:rFonts w:ascii="Times New Roman" w:hAnsi="Times New Roman" w:cs="Times New Roman"/>
                <w:color w:val="auto"/>
                <w:sz w:val="21"/>
                <w:szCs w:val="21"/>
              </w:rPr>
            </w:pPr>
            <w:r>
              <w:rPr>
                <w:rFonts w:ascii="Times New Roman" w:hAnsi="Times New Roman" w:cs="Times New Roman"/>
                <w:color w:val="auto"/>
                <w:spacing w:val="-3"/>
                <w:sz w:val="21"/>
                <w:szCs w:val="21"/>
              </w:rPr>
              <w:t>氯苯</w:t>
            </w:r>
          </w:p>
        </w:tc>
        <w:tc>
          <w:tcPr>
            <w:tcW w:w="277" w:type="pct"/>
            <w:vAlign w:val="center"/>
          </w:tcPr>
          <w:p w14:paraId="71CFCA58">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4B927A0B">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4D60DD60">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18197C80">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24C9FF10">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744AC401">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734E473B">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1D0F9FCB">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7B71DDDF">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5A59BDE1">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3FD642F8">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8" w:type="pct"/>
            <w:vAlign w:val="center"/>
          </w:tcPr>
          <w:p w14:paraId="19D402F5">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9" w:type="pct"/>
            <w:vAlign w:val="center"/>
          </w:tcPr>
          <w:p w14:paraId="758222D4">
            <w:pPr>
              <w:jc w:val="center"/>
              <w:rPr>
                <w:rFonts w:ascii="Times New Roman" w:hAnsi="Times New Roman" w:cs="Times New Roman"/>
                <w:color w:val="auto"/>
                <w:sz w:val="21"/>
              </w:rPr>
            </w:pPr>
            <w:r>
              <w:rPr>
                <w:rFonts w:ascii="Times New Roman" w:hAnsi="Times New Roman" w:cs="Times New Roman"/>
                <w:color w:val="auto"/>
                <w:sz w:val="21"/>
              </w:rPr>
              <w:t>270</w:t>
            </w:r>
          </w:p>
        </w:tc>
        <w:tc>
          <w:tcPr>
            <w:tcW w:w="321" w:type="pct"/>
            <w:vAlign w:val="center"/>
          </w:tcPr>
          <w:p w14:paraId="1C7F1734">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52A9E6DA">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284C74B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539" w:type="pct"/>
            <w:vAlign w:val="center"/>
          </w:tcPr>
          <w:p w14:paraId="2F4F1200">
            <w:pPr>
              <w:pStyle w:val="65"/>
              <w:jc w:val="center"/>
              <w:rPr>
                <w:rFonts w:ascii="Times New Roman" w:hAnsi="Times New Roman" w:cs="Times New Roman"/>
                <w:color w:val="auto"/>
                <w:sz w:val="21"/>
                <w:szCs w:val="21"/>
              </w:rPr>
            </w:pPr>
            <w:r>
              <w:rPr>
                <w:rFonts w:ascii="Times New Roman" w:hAnsi="Times New Roman" w:cs="Times New Roman"/>
                <w:color w:val="auto"/>
                <w:spacing w:val="-3"/>
                <w:sz w:val="21"/>
                <w:szCs w:val="21"/>
              </w:rPr>
              <w:t>1,2-二氯苯</w:t>
            </w:r>
          </w:p>
        </w:tc>
        <w:tc>
          <w:tcPr>
            <w:tcW w:w="277" w:type="pct"/>
            <w:vAlign w:val="center"/>
          </w:tcPr>
          <w:p w14:paraId="07724EF0">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474B04DC">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24064430">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1F72BE3B">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0FF89A47">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4F435C26">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66330D25">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4F8C417F">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52B9850B">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3231E405">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3F05524F">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8" w:type="pct"/>
            <w:vAlign w:val="center"/>
          </w:tcPr>
          <w:p w14:paraId="4A3366E8">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9" w:type="pct"/>
            <w:vAlign w:val="center"/>
          </w:tcPr>
          <w:p w14:paraId="30FFB3B0">
            <w:pPr>
              <w:jc w:val="center"/>
              <w:rPr>
                <w:rFonts w:ascii="Times New Roman" w:hAnsi="Times New Roman" w:cs="Times New Roman"/>
                <w:color w:val="auto"/>
                <w:sz w:val="21"/>
              </w:rPr>
            </w:pPr>
            <w:r>
              <w:rPr>
                <w:rFonts w:ascii="Times New Roman" w:hAnsi="Times New Roman" w:cs="Times New Roman"/>
                <w:color w:val="auto"/>
                <w:sz w:val="21"/>
              </w:rPr>
              <w:t>560</w:t>
            </w:r>
          </w:p>
        </w:tc>
        <w:tc>
          <w:tcPr>
            <w:tcW w:w="321" w:type="pct"/>
            <w:vAlign w:val="center"/>
          </w:tcPr>
          <w:p w14:paraId="5C9D45DF">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188E5B2C">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7948091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539" w:type="pct"/>
            <w:vAlign w:val="center"/>
          </w:tcPr>
          <w:p w14:paraId="18254547">
            <w:pPr>
              <w:pStyle w:val="65"/>
              <w:jc w:val="center"/>
              <w:rPr>
                <w:rFonts w:ascii="Times New Roman" w:hAnsi="Times New Roman" w:cs="Times New Roman"/>
                <w:color w:val="auto"/>
                <w:sz w:val="21"/>
                <w:szCs w:val="21"/>
              </w:rPr>
            </w:pPr>
            <w:r>
              <w:rPr>
                <w:rFonts w:ascii="Times New Roman" w:hAnsi="Times New Roman" w:cs="Times New Roman"/>
                <w:color w:val="auto"/>
                <w:spacing w:val="-3"/>
                <w:sz w:val="21"/>
                <w:szCs w:val="21"/>
              </w:rPr>
              <w:t>1,4-二氯苯</w:t>
            </w:r>
          </w:p>
        </w:tc>
        <w:tc>
          <w:tcPr>
            <w:tcW w:w="277" w:type="pct"/>
            <w:vAlign w:val="center"/>
          </w:tcPr>
          <w:p w14:paraId="68DF7741">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5FEED6DF">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68B6162E">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2C7DD581">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727473D4">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788C6E2B">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3E6B6607">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3935DE81">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62A5CB09">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0D6AFFC0">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5CE2164E">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8" w:type="pct"/>
            <w:vAlign w:val="center"/>
          </w:tcPr>
          <w:p w14:paraId="687E98F5">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9" w:type="pct"/>
            <w:vAlign w:val="center"/>
          </w:tcPr>
          <w:p w14:paraId="5BBEDB0D">
            <w:pPr>
              <w:jc w:val="center"/>
              <w:rPr>
                <w:rFonts w:ascii="Times New Roman" w:hAnsi="Times New Roman" w:cs="Times New Roman"/>
                <w:color w:val="auto"/>
                <w:sz w:val="21"/>
              </w:rPr>
            </w:pPr>
            <w:r>
              <w:rPr>
                <w:rFonts w:ascii="Times New Roman" w:hAnsi="Times New Roman" w:cs="Times New Roman"/>
                <w:color w:val="auto"/>
                <w:sz w:val="21"/>
              </w:rPr>
              <w:t>20</w:t>
            </w:r>
          </w:p>
        </w:tc>
        <w:tc>
          <w:tcPr>
            <w:tcW w:w="321" w:type="pct"/>
            <w:vAlign w:val="center"/>
          </w:tcPr>
          <w:p w14:paraId="43E658B7">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76E639E5">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16CB903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539" w:type="pct"/>
            <w:vAlign w:val="center"/>
          </w:tcPr>
          <w:p w14:paraId="5B919DC8">
            <w:pPr>
              <w:pStyle w:val="65"/>
              <w:jc w:val="center"/>
              <w:rPr>
                <w:rFonts w:ascii="Times New Roman" w:hAnsi="Times New Roman" w:cs="Times New Roman"/>
                <w:color w:val="auto"/>
                <w:sz w:val="21"/>
                <w:szCs w:val="21"/>
              </w:rPr>
            </w:pPr>
            <w:r>
              <w:rPr>
                <w:rFonts w:ascii="Times New Roman" w:hAnsi="Times New Roman" w:cs="Times New Roman"/>
                <w:color w:val="auto"/>
                <w:spacing w:val="-7"/>
                <w:sz w:val="21"/>
                <w:szCs w:val="21"/>
              </w:rPr>
              <w:t>乙苯</w:t>
            </w:r>
          </w:p>
        </w:tc>
        <w:tc>
          <w:tcPr>
            <w:tcW w:w="277" w:type="pct"/>
            <w:vAlign w:val="center"/>
          </w:tcPr>
          <w:p w14:paraId="7C5EE72E">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5FD7D4A2">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76052DAE">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3FB65C74">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5205ABE0">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3E9F9322">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0ADC4244">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3EE6E60C">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3B142ECE">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10546384">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107A67CB">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8" w:type="pct"/>
            <w:vAlign w:val="center"/>
          </w:tcPr>
          <w:p w14:paraId="42EC89FF">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9" w:type="pct"/>
            <w:vAlign w:val="center"/>
          </w:tcPr>
          <w:p w14:paraId="0776DEC5">
            <w:pPr>
              <w:jc w:val="center"/>
              <w:rPr>
                <w:rFonts w:ascii="Times New Roman" w:hAnsi="Times New Roman" w:cs="Times New Roman"/>
                <w:color w:val="auto"/>
                <w:sz w:val="21"/>
              </w:rPr>
            </w:pPr>
            <w:r>
              <w:rPr>
                <w:rFonts w:ascii="Times New Roman" w:hAnsi="Times New Roman" w:cs="Times New Roman"/>
                <w:color w:val="auto"/>
                <w:sz w:val="21"/>
              </w:rPr>
              <w:t>28</w:t>
            </w:r>
          </w:p>
        </w:tc>
        <w:tc>
          <w:tcPr>
            <w:tcW w:w="321" w:type="pct"/>
            <w:vAlign w:val="center"/>
          </w:tcPr>
          <w:p w14:paraId="764CEAF4">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7FDE861A">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689591E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539" w:type="pct"/>
            <w:vAlign w:val="center"/>
          </w:tcPr>
          <w:p w14:paraId="1A67DF01">
            <w:pPr>
              <w:pStyle w:val="65"/>
              <w:jc w:val="center"/>
              <w:rPr>
                <w:rFonts w:ascii="Times New Roman" w:hAnsi="Times New Roman" w:cs="Times New Roman"/>
                <w:color w:val="auto"/>
                <w:sz w:val="21"/>
                <w:szCs w:val="21"/>
              </w:rPr>
            </w:pPr>
            <w:r>
              <w:rPr>
                <w:rFonts w:ascii="Times New Roman" w:hAnsi="Times New Roman" w:cs="Times New Roman"/>
                <w:color w:val="auto"/>
                <w:spacing w:val="-2"/>
                <w:sz w:val="21"/>
                <w:szCs w:val="21"/>
              </w:rPr>
              <w:t>苯乙烯</w:t>
            </w:r>
          </w:p>
        </w:tc>
        <w:tc>
          <w:tcPr>
            <w:tcW w:w="277" w:type="pct"/>
            <w:vAlign w:val="center"/>
          </w:tcPr>
          <w:p w14:paraId="1DE2E11D">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23E2CE68">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4F154073">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7D565F5B">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75950F41">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727731B6">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61BB121E">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60B3049A">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4EC483E0">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640412D9">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0B53ECF2">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8" w:type="pct"/>
            <w:vAlign w:val="center"/>
          </w:tcPr>
          <w:p w14:paraId="2DB5B8C9">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9" w:type="pct"/>
            <w:vAlign w:val="center"/>
          </w:tcPr>
          <w:p w14:paraId="2F7ECBB1">
            <w:pPr>
              <w:jc w:val="center"/>
              <w:rPr>
                <w:rFonts w:ascii="Times New Roman" w:hAnsi="Times New Roman" w:cs="Times New Roman"/>
                <w:color w:val="auto"/>
                <w:sz w:val="21"/>
              </w:rPr>
            </w:pPr>
            <w:r>
              <w:rPr>
                <w:rFonts w:ascii="Times New Roman" w:hAnsi="Times New Roman" w:cs="Times New Roman"/>
                <w:color w:val="auto"/>
                <w:sz w:val="21"/>
              </w:rPr>
              <w:t>1290</w:t>
            </w:r>
          </w:p>
        </w:tc>
        <w:tc>
          <w:tcPr>
            <w:tcW w:w="321" w:type="pct"/>
            <w:vAlign w:val="center"/>
          </w:tcPr>
          <w:p w14:paraId="2E590285">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27C26B27">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5B649CE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539" w:type="pct"/>
            <w:vAlign w:val="center"/>
          </w:tcPr>
          <w:p w14:paraId="4D0B49D9">
            <w:pPr>
              <w:pStyle w:val="65"/>
              <w:jc w:val="center"/>
              <w:rPr>
                <w:rFonts w:ascii="Times New Roman" w:hAnsi="Times New Roman" w:cs="Times New Roman"/>
                <w:color w:val="auto"/>
                <w:sz w:val="21"/>
                <w:szCs w:val="21"/>
              </w:rPr>
            </w:pPr>
            <w:r>
              <w:rPr>
                <w:rFonts w:ascii="Times New Roman" w:hAnsi="Times New Roman" w:cs="Times New Roman"/>
                <w:color w:val="auto"/>
                <w:spacing w:val="-9"/>
                <w:sz w:val="21"/>
                <w:szCs w:val="21"/>
              </w:rPr>
              <w:t>甲苯</w:t>
            </w:r>
          </w:p>
        </w:tc>
        <w:tc>
          <w:tcPr>
            <w:tcW w:w="277" w:type="pct"/>
            <w:vAlign w:val="center"/>
          </w:tcPr>
          <w:p w14:paraId="451CD822">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7E9C6312">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509197C2">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7C77CECE">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1B45B32B">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5BF735B0">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35D37C33">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0D509383">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6737BA0A">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5FE90D56">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0AB1982D">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8" w:type="pct"/>
            <w:vAlign w:val="center"/>
          </w:tcPr>
          <w:p w14:paraId="5A27BA75">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9" w:type="pct"/>
            <w:vAlign w:val="center"/>
          </w:tcPr>
          <w:p w14:paraId="4128F89D">
            <w:pPr>
              <w:jc w:val="center"/>
              <w:rPr>
                <w:rFonts w:ascii="Times New Roman" w:hAnsi="Times New Roman" w:cs="Times New Roman"/>
                <w:color w:val="auto"/>
                <w:sz w:val="21"/>
              </w:rPr>
            </w:pPr>
            <w:r>
              <w:rPr>
                <w:rFonts w:ascii="Times New Roman" w:hAnsi="Times New Roman" w:cs="Times New Roman"/>
                <w:color w:val="auto"/>
                <w:sz w:val="21"/>
              </w:rPr>
              <w:t>1200</w:t>
            </w:r>
          </w:p>
        </w:tc>
        <w:tc>
          <w:tcPr>
            <w:tcW w:w="321" w:type="pct"/>
            <w:vAlign w:val="center"/>
          </w:tcPr>
          <w:p w14:paraId="5BD67E45">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4EB6F1BC">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26A704F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539" w:type="pct"/>
            <w:vAlign w:val="center"/>
          </w:tcPr>
          <w:p w14:paraId="3DE32693">
            <w:pPr>
              <w:pStyle w:val="65"/>
              <w:jc w:val="center"/>
              <w:rPr>
                <w:rFonts w:ascii="Times New Roman" w:hAnsi="Times New Roman" w:cs="Times New Roman"/>
                <w:color w:val="auto"/>
                <w:sz w:val="21"/>
                <w:szCs w:val="21"/>
              </w:rPr>
            </w:pPr>
            <w:r>
              <w:rPr>
                <w:rFonts w:ascii="Times New Roman" w:hAnsi="Times New Roman" w:cs="Times New Roman"/>
                <w:color w:val="auto"/>
                <w:spacing w:val="-3"/>
                <w:sz w:val="21"/>
                <w:szCs w:val="21"/>
              </w:rPr>
              <w:t>间二甲苯+对二甲苯</w:t>
            </w:r>
          </w:p>
        </w:tc>
        <w:tc>
          <w:tcPr>
            <w:tcW w:w="277" w:type="pct"/>
            <w:vAlign w:val="center"/>
          </w:tcPr>
          <w:p w14:paraId="4E4BB024">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48B12DA5">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5030E13E">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7E3DDA3E">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25EA6ABF">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2D0DDC5B">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07CB6707">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213C3476">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1DB56032">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52382306">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4EA4743F">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8" w:type="pct"/>
            <w:vAlign w:val="center"/>
          </w:tcPr>
          <w:p w14:paraId="160C7147">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9" w:type="pct"/>
            <w:vAlign w:val="center"/>
          </w:tcPr>
          <w:p w14:paraId="766262D8">
            <w:pPr>
              <w:jc w:val="center"/>
              <w:rPr>
                <w:rFonts w:ascii="Times New Roman" w:hAnsi="Times New Roman" w:cs="Times New Roman"/>
                <w:color w:val="auto"/>
                <w:sz w:val="21"/>
              </w:rPr>
            </w:pPr>
            <w:r>
              <w:rPr>
                <w:rFonts w:ascii="Times New Roman" w:hAnsi="Times New Roman" w:cs="Times New Roman"/>
                <w:color w:val="auto"/>
                <w:sz w:val="21"/>
              </w:rPr>
              <w:t>570</w:t>
            </w:r>
          </w:p>
        </w:tc>
        <w:tc>
          <w:tcPr>
            <w:tcW w:w="321" w:type="pct"/>
            <w:vAlign w:val="center"/>
          </w:tcPr>
          <w:p w14:paraId="3776DF32">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665D5C33">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1B60AA51">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539" w:type="pct"/>
            <w:vAlign w:val="center"/>
          </w:tcPr>
          <w:p w14:paraId="70765BE8">
            <w:pPr>
              <w:pStyle w:val="65"/>
              <w:jc w:val="center"/>
              <w:rPr>
                <w:rFonts w:ascii="Times New Roman" w:hAnsi="Times New Roman" w:cs="Times New Roman"/>
                <w:color w:val="auto"/>
                <w:spacing w:val="-3"/>
                <w:sz w:val="21"/>
                <w:szCs w:val="21"/>
                <w:lang w:eastAsia="zh-CN"/>
              </w:rPr>
            </w:pPr>
            <w:r>
              <w:rPr>
                <w:rFonts w:ascii="Times New Roman" w:hAnsi="Times New Roman" w:cs="Times New Roman"/>
                <w:color w:val="auto"/>
                <w:spacing w:val="-3"/>
                <w:sz w:val="21"/>
                <w:szCs w:val="21"/>
                <w:lang w:eastAsia="zh-CN"/>
              </w:rPr>
              <w:t>邻二甲苯</w:t>
            </w:r>
          </w:p>
        </w:tc>
        <w:tc>
          <w:tcPr>
            <w:tcW w:w="277" w:type="pct"/>
            <w:vAlign w:val="center"/>
          </w:tcPr>
          <w:p w14:paraId="07B0CDDE">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24D6776C">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52B01F6F">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49B2BDD0">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6928C241">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5BB134D1">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384423C5">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291D2159">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5D951292">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3AF65091">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167DA93D">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8" w:type="pct"/>
            <w:vAlign w:val="center"/>
          </w:tcPr>
          <w:p w14:paraId="6DD2457A">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9" w:type="pct"/>
            <w:vAlign w:val="center"/>
          </w:tcPr>
          <w:p w14:paraId="36C03BA1">
            <w:pPr>
              <w:jc w:val="center"/>
              <w:rPr>
                <w:rFonts w:ascii="Times New Roman" w:hAnsi="Times New Roman" w:cs="Times New Roman"/>
                <w:color w:val="auto"/>
                <w:sz w:val="21"/>
              </w:rPr>
            </w:pPr>
            <w:r>
              <w:rPr>
                <w:rFonts w:ascii="Times New Roman" w:hAnsi="Times New Roman" w:cs="Times New Roman"/>
                <w:color w:val="auto"/>
                <w:sz w:val="21"/>
              </w:rPr>
              <w:t>640</w:t>
            </w:r>
          </w:p>
        </w:tc>
        <w:tc>
          <w:tcPr>
            <w:tcW w:w="321" w:type="pct"/>
            <w:vAlign w:val="center"/>
          </w:tcPr>
          <w:p w14:paraId="07BC4EF5">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5E2DBAB5">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275F2FD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539" w:type="pct"/>
            <w:vAlign w:val="center"/>
          </w:tcPr>
          <w:p w14:paraId="6672A2DD">
            <w:pPr>
              <w:pStyle w:val="65"/>
              <w:jc w:val="center"/>
              <w:rPr>
                <w:rFonts w:ascii="Times New Roman" w:hAnsi="Times New Roman" w:cs="Times New Roman"/>
                <w:color w:val="auto"/>
                <w:spacing w:val="-3"/>
                <w:sz w:val="21"/>
                <w:szCs w:val="21"/>
                <w:lang w:eastAsia="zh-CN"/>
              </w:rPr>
            </w:pPr>
            <w:r>
              <w:rPr>
                <w:rFonts w:ascii="Times New Roman" w:hAnsi="Times New Roman" w:cs="Times New Roman"/>
                <w:color w:val="auto"/>
                <w:spacing w:val="-2"/>
                <w:sz w:val="21"/>
                <w:szCs w:val="21"/>
              </w:rPr>
              <w:t>硝基苯</w:t>
            </w:r>
          </w:p>
        </w:tc>
        <w:tc>
          <w:tcPr>
            <w:tcW w:w="277" w:type="pct"/>
            <w:vAlign w:val="center"/>
          </w:tcPr>
          <w:p w14:paraId="56DEF663">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429F28B4">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6EE95B14">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0957F85E">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0EDFE96C">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3F0A7B59">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102AD822">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56B238D0">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0E3A60B4">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709C8466">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3F9020EF">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308" w:type="pct"/>
            <w:vAlign w:val="center"/>
          </w:tcPr>
          <w:p w14:paraId="174C4F9C">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309" w:type="pct"/>
            <w:vAlign w:val="center"/>
          </w:tcPr>
          <w:p w14:paraId="6596E4E4">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76</w:t>
            </w:r>
          </w:p>
        </w:tc>
        <w:tc>
          <w:tcPr>
            <w:tcW w:w="321" w:type="pct"/>
            <w:vAlign w:val="center"/>
          </w:tcPr>
          <w:p w14:paraId="68D7FB22">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40CA2E4E">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1197BD7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539" w:type="pct"/>
            <w:vAlign w:val="center"/>
          </w:tcPr>
          <w:p w14:paraId="09BB2C37">
            <w:pPr>
              <w:pStyle w:val="65"/>
              <w:jc w:val="center"/>
              <w:rPr>
                <w:rFonts w:ascii="Times New Roman" w:hAnsi="Times New Roman" w:cs="Times New Roman"/>
                <w:color w:val="auto"/>
                <w:spacing w:val="-3"/>
                <w:sz w:val="21"/>
                <w:szCs w:val="21"/>
                <w:lang w:eastAsia="zh-CN"/>
              </w:rPr>
            </w:pPr>
            <w:r>
              <w:rPr>
                <w:rFonts w:ascii="Times New Roman" w:hAnsi="Times New Roman" w:cs="Times New Roman"/>
                <w:color w:val="auto"/>
                <w:spacing w:val="-3"/>
                <w:sz w:val="21"/>
                <w:szCs w:val="21"/>
              </w:rPr>
              <w:t>苯胺</w:t>
            </w:r>
          </w:p>
        </w:tc>
        <w:tc>
          <w:tcPr>
            <w:tcW w:w="277" w:type="pct"/>
            <w:vAlign w:val="center"/>
          </w:tcPr>
          <w:p w14:paraId="6C9BFD0A">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37475847">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47126825">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283230CE">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28870EC0">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604DB344">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1FE3178A">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660AC8D2">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46C70943">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5CBB3B89">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15E7DBB3">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308" w:type="pct"/>
            <w:vAlign w:val="center"/>
          </w:tcPr>
          <w:p w14:paraId="7AE42F33">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309" w:type="pct"/>
            <w:vAlign w:val="center"/>
          </w:tcPr>
          <w:p w14:paraId="1EF3BB2E">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260</w:t>
            </w:r>
          </w:p>
        </w:tc>
        <w:tc>
          <w:tcPr>
            <w:tcW w:w="321" w:type="pct"/>
            <w:vAlign w:val="center"/>
          </w:tcPr>
          <w:p w14:paraId="07608CBC">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1E03C48B">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14C4998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539" w:type="pct"/>
            <w:vAlign w:val="center"/>
          </w:tcPr>
          <w:p w14:paraId="054C8E8C">
            <w:pPr>
              <w:pStyle w:val="65"/>
              <w:jc w:val="center"/>
              <w:rPr>
                <w:rFonts w:ascii="Times New Roman" w:hAnsi="Times New Roman" w:cs="Times New Roman"/>
                <w:color w:val="auto"/>
                <w:spacing w:val="-3"/>
                <w:sz w:val="21"/>
                <w:szCs w:val="21"/>
                <w:lang w:eastAsia="zh-CN"/>
              </w:rPr>
            </w:pPr>
            <w:r>
              <w:rPr>
                <w:rFonts w:ascii="Times New Roman" w:hAnsi="Times New Roman" w:cs="Times New Roman"/>
                <w:color w:val="auto"/>
                <w:sz w:val="21"/>
                <w:szCs w:val="21"/>
              </w:rPr>
              <w:t>2-氯酚</w:t>
            </w:r>
          </w:p>
        </w:tc>
        <w:tc>
          <w:tcPr>
            <w:tcW w:w="277" w:type="pct"/>
            <w:vAlign w:val="center"/>
          </w:tcPr>
          <w:p w14:paraId="65053E30">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152FB386">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6206C75C">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391B10A7">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5E5AB6A6">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591DF24B">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6CE507FA">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296FEEC5">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4627B33D">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7C14036C">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26D44564">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308" w:type="pct"/>
            <w:vAlign w:val="center"/>
          </w:tcPr>
          <w:p w14:paraId="3876CA3F">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309" w:type="pct"/>
            <w:vAlign w:val="center"/>
          </w:tcPr>
          <w:p w14:paraId="4039A037">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2256</w:t>
            </w:r>
          </w:p>
        </w:tc>
        <w:tc>
          <w:tcPr>
            <w:tcW w:w="321" w:type="pct"/>
            <w:vAlign w:val="center"/>
          </w:tcPr>
          <w:p w14:paraId="7DC422D6">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6879692C">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5EB51A2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539" w:type="pct"/>
            <w:vAlign w:val="center"/>
          </w:tcPr>
          <w:p w14:paraId="554269AB">
            <w:pPr>
              <w:pStyle w:val="65"/>
              <w:jc w:val="center"/>
              <w:rPr>
                <w:rFonts w:ascii="Times New Roman" w:hAnsi="Times New Roman" w:cs="Times New Roman"/>
                <w:color w:val="auto"/>
                <w:spacing w:val="-3"/>
                <w:sz w:val="21"/>
                <w:szCs w:val="21"/>
                <w:lang w:eastAsia="zh-CN"/>
              </w:rPr>
            </w:pPr>
            <w:r>
              <w:rPr>
                <w:rFonts w:ascii="Times New Roman" w:hAnsi="Times New Roman" w:cs="Times New Roman"/>
                <w:color w:val="auto"/>
                <w:spacing w:val="-2"/>
                <w:sz w:val="21"/>
                <w:szCs w:val="21"/>
              </w:rPr>
              <w:t>苯并[a]蒽</w:t>
            </w:r>
          </w:p>
        </w:tc>
        <w:tc>
          <w:tcPr>
            <w:tcW w:w="277" w:type="pct"/>
            <w:vAlign w:val="center"/>
          </w:tcPr>
          <w:p w14:paraId="6FDCA39A">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7E7D4D04">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28009F3F">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3AE9F30D">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3C1E1848">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699664D6">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49A7480C">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3183DA30">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2A563782">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489C486C">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2E933B0A">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308" w:type="pct"/>
            <w:vAlign w:val="center"/>
          </w:tcPr>
          <w:p w14:paraId="614CC65F">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309" w:type="pct"/>
            <w:vAlign w:val="center"/>
          </w:tcPr>
          <w:p w14:paraId="59631F40">
            <w:pPr>
              <w:jc w:val="center"/>
              <w:rPr>
                <w:rFonts w:ascii="Times New Roman" w:hAnsi="Times New Roman" w:cs="Times New Roman"/>
                <w:color w:val="auto"/>
                <w:sz w:val="21"/>
              </w:rPr>
            </w:pPr>
            <w:r>
              <w:rPr>
                <w:rFonts w:ascii="Times New Roman" w:hAnsi="Times New Roman" w:cs="Times New Roman"/>
                <w:color w:val="auto"/>
                <w:sz w:val="21"/>
              </w:rPr>
              <w:t>15</w:t>
            </w:r>
          </w:p>
        </w:tc>
        <w:tc>
          <w:tcPr>
            <w:tcW w:w="321" w:type="pct"/>
            <w:vAlign w:val="center"/>
          </w:tcPr>
          <w:p w14:paraId="4AB2B3F0">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44ADE849">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71307A8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539" w:type="pct"/>
            <w:vAlign w:val="center"/>
          </w:tcPr>
          <w:p w14:paraId="64B917A4">
            <w:pPr>
              <w:pStyle w:val="65"/>
              <w:jc w:val="center"/>
              <w:rPr>
                <w:rFonts w:ascii="Times New Roman" w:hAnsi="Times New Roman" w:cs="Times New Roman"/>
                <w:color w:val="auto"/>
                <w:spacing w:val="-3"/>
                <w:sz w:val="21"/>
                <w:szCs w:val="21"/>
                <w:lang w:eastAsia="zh-CN"/>
              </w:rPr>
            </w:pPr>
            <w:r>
              <w:rPr>
                <w:rFonts w:ascii="Times New Roman" w:hAnsi="Times New Roman" w:cs="Times New Roman"/>
                <w:color w:val="auto"/>
                <w:spacing w:val="-2"/>
                <w:sz w:val="21"/>
                <w:szCs w:val="21"/>
              </w:rPr>
              <w:t>苯并[a]芘</w:t>
            </w:r>
          </w:p>
        </w:tc>
        <w:tc>
          <w:tcPr>
            <w:tcW w:w="277" w:type="pct"/>
            <w:vAlign w:val="center"/>
          </w:tcPr>
          <w:p w14:paraId="2BCCE7BD">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6EE30C7B">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1762CE30">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448CB285">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64A9832A">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5619BCD8">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346E9B76">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124ED46A">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7537921D">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6FED57CC">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7F4E1149">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308" w:type="pct"/>
            <w:vAlign w:val="center"/>
          </w:tcPr>
          <w:p w14:paraId="70FA182D">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309" w:type="pct"/>
            <w:vAlign w:val="center"/>
          </w:tcPr>
          <w:p w14:paraId="457E5D86">
            <w:pPr>
              <w:jc w:val="center"/>
              <w:rPr>
                <w:rFonts w:ascii="Times New Roman" w:hAnsi="Times New Roman" w:cs="Times New Roman"/>
                <w:color w:val="auto"/>
                <w:sz w:val="21"/>
              </w:rPr>
            </w:pPr>
            <w:r>
              <w:rPr>
                <w:rFonts w:ascii="Times New Roman" w:hAnsi="Times New Roman" w:cs="Times New Roman"/>
                <w:color w:val="auto"/>
                <w:sz w:val="21"/>
              </w:rPr>
              <w:t>1.5</w:t>
            </w:r>
          </w:p>
        </w:tc>
        <w:tc>
          <w:tcPr>
            <w:tcW w:w="321" w:type="pct"/>
            <w:vAlign w:val="center"/>
          </w:tcPr>
          <w:p w14:paraId="1BD6BC2B">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17FD72F9">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3192182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539" w:type="pct"/>
            <w:vAlign w:val="center"/>
          </w:tcPr>
          <w:p w14:paraId="6BD925C4">
            <w:pPr>
              <w:pStyle w:val="65"/>
              <w:jc w:val="center"/>
              <w:rPr>
                <w:rFonts w:ascii="Times New Roman" w:hAnsi="Times New Roman" w:cs="Times New Roman"/>
                <w:color w:val="auto"/>
                <w:spacing w:val="-3"/>
                <w:sz w:val="21"/>
                <w:szCs w:val="21"/>
                <w:lang w:eastAsia="zh-CN"/>
              </w:rPr>
            </w:pPr>
            <w:r>
              <w:rPr>
                <w:rFonts w:ascii="Times New Roman" w:hAnsi="Times New Roman" w:cs="Times New Roman"/>
                <w:color w:val="auto"/>
                <w:spacing w:val="-2"/>
                <w:sz w:val="21"/>
                <w:szCs w:val="21"/>
              </w:rPr>
              <w:t>苯并[b]荧蒽</w:t>
            </w:r>
          </w:p>
        </w:tc>
        <w:tc>
          <w:tcPr>
            <w:tcW w:w="277" w:type="pct"/>
            <w:vAlign w:val="center"/>
          </w:tcPr>
          <w:p w14:paraId="048ACE50">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5C197B26">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58964176">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175A31D9">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7A370D79">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2D0CCB47">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5EDF210F">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3104141E">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04848A4F">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6BBAB025">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7404652A">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308" w:type="pct"/>
            <w:vAlign w:val="center"/>
          </w:tcPr>
          <w:p w14:paraId="67A9E17C">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309" w:type="pct"/>
            <w:vAlign w:val="center"/>
          </w:tcPr>
          <w:p w14:paraId="7B3C3B2B">
            <w:pPr>
              <w:jc w:val="center"/>
              <w:rPr>
                <w:rFonts w:ascii="Times New Roman" w:hAnsi="Times New Roman" w:cs="Times New Roman"/>
                <w:color w:val="auto"/>
                <w:sz w:val="21"/>
              </w:rPr>
            </w:pPr>
            <w:r>
              <w:rPr>
                <w:rFonts w:ascii="Times New Roman" w:hAnsi="Times New Roman" w:cs="Times New Roman"/>
                <w:color w:val="auto"/>
                <w:sz w:val="21"/>
              </w:rPr>
              <w:t>15</w:t>
            </w:r>
          </w:p>
        </w:tc>
        <w:tc>
          <w:tcPr>
            <w:tcW w:w="321" w:type="pct"/>
            <w:vAlign w:val="center"/>
          </w:tcPr>
          <w:p w14:paraId="50B6DAC1">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11F2FAF4">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4132BA0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539" w:type="pct"/>
            <w:vAlign w:val="center"/>
          </w:tcPr>
          <w:p w14:paraId="4CB4EB14">
            <w:pPr>
              <w:pStyle w:val="65"/>
              <w:jc w:val="center"/>
              <w:rPr>
                <w:rFonts w:ascii="Times New Roman" w:hAnsi="Times New Roman" w:cs="Times New Roman"/>
                <w:color w:val="auto"/>
                <w:spacing w:val="-3"/>
                <w:sz w:val="21"/>
                <w:szCs w:val="21"/>
                <w:lang w:eastAsia="zh-CN"/>
              </w:rPr>
            </w:pPr>
            <w:r>
              <w:rPr>
                <w:rFonts w:ascii="Times New Roman" w:hAnsi="Times New Roman" w:cs="Times New Roman"/>
                <w:color w:val="auto"/>
                <w:spacing w:val="-2"/>
                <w:sz w:val="21"/>
                <w:szCs w:val="21"/>
              </w:rPr>
              <w:t>苯并[k]荧蒽</w:t>
            </w:r>
          </w:p>
        </w:tc>
        <w:tc>
          <w:tcPr>
            <w:tcW w:w="277" w:type="pct"/>
            <w:vAlign w:val="center"/>
          </w:tcPr>
          <w:p w14:paraId="53AB3B7A">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6B158FA9">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35352627">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53058567">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15DB9517">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23F35093">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4866DA3D">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2CCF30E6">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2393C01F">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763E338F">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4B4CEE08">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308" w:type="pct"/>
            <w:vAlign w:val="center"/>
          </w:tcPr>
          <w:p w14:paraId="61549720">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309" w:type="pct"/>
            <w:vAlign w:val="center"/>
          </w:tcPr>
          <w:p w14:paraId="053687E3">
            <w:pPr>
              <w:jc w:val="center"/>
              <w:rPr>
                <w:rFonts w:ascii="Times New Roman" w:hAnsi="Times New Roman" w:cs="Times New Roman"/>
                <w:color w:val="auto"/>
                <w:sz w:val="21"/>
              </w:rPr>
            </w:pPr>
            <w:r>
              <w:rPr>
                <w:rFonts w:ascii="Times New Roman" w:hAnsi="Times New Roman" w:cs="Times New Roman"/>
                <w:color w:val="auto"/>
                <w:sz w:val="21"/>
              </w:rPr>
              <w:t>151</w:t>
            </w:r>
          </w:p>
        </w:tc>
        <w:tc>
          <w:tcPr>
            <w:tcW w:w="321" w:type="pct"/>
            <w:vAlign w:val="center"/>
          </w:tcPr>
          <w:p w14:paraId="1807BA1A">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7B7B387B">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48ABB94D">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539" w:type="pct"/>
            <w:vAlign w:val="center"/>
          </w:tcPr>
          <w:p w14:paraId="52165A74">
            <w:pPr>
              <w:pStyle w:val="65"/>
              <w:jc w:val="center"/>
              <w:rPr>
                <w:rFonts w:ascii="Times New Roman" w:hAnsi="Times New Roman" w:cs="Times New Roman"/>
                <w:color w:val="auto"/>
                <w:spacing w:val="-3"/>
                <w:sz w:val="21"/>
                <w:szCs w:val="21"/>
                <w:lang w:eastAsia="zh-CN"/>
              </w:rPr>
            </w:pPr>
            <w:r>
              <w:rPr>
                <w:rFonts w:ascii="Times New Roman" w:hAnsi="Times New Roman" w:cs="Times New Roman"/>
                <w:color w:val="auto"/>
                <w:sz w:val="21"/>
                <w:szCs w:val="21"/>
              </w:rPr>
              <w:t>䓛</w:t>
            </w:r>
          </w:p>
        </w:tc>
        <w:tc>
          <w:tcPr>
            <w:tcW w:w="277" w:type="pct"/>
            <w:vAlign w:val="center"/>
          </w:tcPr>
          <w:p w14:paraId="3E9906C8">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0FA5FD0D">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6DE99FC1">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36A2AC9E">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19C50CD5">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3789FC47">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43A012C6">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6EFD0DBE">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7D052DBA">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4AB83494">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17C5DCEC">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308" w:type="pct"/>
            <w:vAlign w:val="center"/>
          </w:tcPr>
          <w:p w14:paraId="1CB90455">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309" w:type="pct"/>
            <w:vAlign w:val="center"/>
          </w:tcPr>
          <w:p w14:paraId="00E7E602">
            <w:pPr>
              <w:jc w:val="center"/>
              <w:rPr>
                <w:rFonts w:ascii="Times New Roman" w:hAnsi="Times New Roman" w:cs="Times New Roman"/>
                <w:color w:val="auto"/>
                <w:sz w:val="21"/>
              </w:rPr>
            </w:pPr>
            <w:r>
              <w:rPr>
                <w:rFonts w:ascii="Times New Roman" w:hAnsi="Times New Roman" w:cs="Times New Roman"/>
                <w:color w:val="auto"/>
                <w:sz w:val="21"/>
              </w:rPr>
              <w:t>1293</w:t>
            </w:r>
          </w:p>
        </w:tc>
        <w:tc>
          <w:tcPr>
            <w:tcW w:w="321" w:type="pct"/>
            <w:vAlign w:val="center"/>
          </w:tcPr>
          <w:p w14:paraId="5B6F85E2">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607020EB">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6460FD8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539" w:type="pct"/>
            <w:vAlign w:val="center"/>
          </w:tcPr>
          <w:p w14:paraId="7EF0A851">
            <w:pPr>
              <w:pStyle w:val="65"/>
              <w:jc w:val="center"/>
              <w:rPr>
                <w:rFonts w:ascii="Times New Roman" w:hAnsi="Times New Roman" w:cs="Times New Roman"/>
                <w:color w:val="auto"/>
                <w:spacing w:val="-3"/>
                <w:sz w:val="21"/>
                <w:szCs w:val="21"/>
                <w:lang w:eastAsia="zh-CN"/>
              </w:rPr>
            </w:pPr>
            <w:r>
              <w:rPr>
                <w:rFonts w:ascii="Times New Roman" w:hAnsi="Times New Roman" w:cs="Times New Roman"/>
                <w:color w:val="auto"/>
                <w:spacing w:val="-1"/>
                <w:sz w:val="21"/>
                <w:szCs w:val="21"/>
              </w:rPr>
              <w:t>二苯并[a,h]蒽</w:t>
            </w:r>
          </w:p>
        </w:tc>
        <w:tc>
          <w:tcPr>
            <w:tcW w:w="277" w:type="pct"/>
            <w:vAlign w:val="center"/>
          </w:tcPr>
          <w:p w14:paraId="71763A76">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5FADB7A0">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266A7195">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5C942FA7">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3BF5014B">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413F7C1A">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3B88D3D4">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0B333274">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462335BA">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4FD0F324">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1E0C8C5D">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308" w:type="pct"/>
            <w:vAlign w:val="center"/>
          </w:tcPr>
          <w:p w14:paraId="62718EEB">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309" w:type="pct"/>
            <w:vAlign w:val="center"/>
          </w:tcPr>
          <w:p w14:paraId="3984C3FC">
            <w:pPr>
              <w:jc w:val="center"/>
              <w:rPr>
                <w:rFonts w:ascii="Times New Roman" w:hAnsi="Times New Roman" w:cs="Times New Roman"/>
                <w:color w:val="auto"/>
                <w:sz w:val="21"/>
              </w:rPr>
            </w:pPr>
            <w:r>
              <w:rPr>
                <w:rFonts w:ascii="Times New Roman" w:hAnsi="Times New Roman" w:cs="Times New Roman"/>
                <w:color w:val="auto"/>
                <w:sz w:val="21"/>
              </w:rPr>
              <w:t>1.5</w:t>
            </w:r>
          </w:p>
        </w:tc>
        <w:tc>
          <w:tcPr>
            <w:tcW w:w="321" w:type="pct"/>
            <w:vAlign w:val="center"/>
          </w:tcPr>
          <w:p w14:paraId="355F62A1">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27578A4A">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0DAE0E4D">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539" w:type="pct"/>
            <w:vAlign w:val="center"/>
          </w:tcPr>
          <w:p w14:paraId="77EA997A">
            <w:pPr>
              <w:pStyle w:val="65"/>
              <w:jc w:val="center"/>
              <w:rPr>
                <w:rFonts w:ascii="Times New Roman" w:hAnsi="Times New Roman" w:cs="Times New Roman"/>
                <w:color w:val="auto"/>
                <w:spacing w:val="-3"/>
                <w:sz w:val="21"/>
                <w:szCs w:val="21"/>
                <w:lang w:eastAsia="zh-CN"/>
              </w:rPr>
            </w:pPr>
            <w:r>
              <w:rPr>
                <w:rFonts w:ascii="Times New Roman" w:hAnsi="Times New Roman" w:cs="Times New Roman"/>
                <w:color w:val="auto"/>
                <w:spacing w:val="-1"/>
                <w:sz w:val="21"/>
                <w:szCs w:val="21"/>
              </w:rPr>
              <w:t>茚并[1,2,3-cd]芘</w:t>
            </w:r>
          </w:p>
        </w:tc>
        <w:tc>
          <w:tcPr>
            <w:tcW w:w="277" w:type="pct"/>
            <w:vAlign w:val="center"/>
          </w:tcPr>
          <w:p w14:paraId="7E0EC611">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17D177FC">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59F4B11F">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1B3BE368">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638FCAE5">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1E67A349">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08EFF72C">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78EA09AE">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458248FA">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323686E6">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70E1E47E">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308" w:type="pct"/>
            <w:vAlign w:val="center"/>
          </w:tcPr>
          <w:p w14:paraId="2507A5CB">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309" w:type="pct"/>
            <w:vAlign w:val="center"/>
          </w:tcPr>
          <w:p w14:paraId="31702581">
            <w:pPr>
              <w:jc w:val="center"/>
              <w:rPr>
                <w:rFonts w:ascii="Times New Roman" w:hAnsi="Times New Roman" w:cs="Times New Roman"/>
                <w:color w:val="auto"/>
                <w:sz w:val="21"/>
              </w:rPr>
            </w:pPr>
            <w:r>
              <w:rPr>
                <w:rFonts w:ascii="Times New Roman" w:hAnsi="Times New Roman" w:cs="Times New Roman"/>
                <w:color w:val="auto"/>
                <w:sz w:val="21"/>
              </w:rPr>
              <w:t>15</w:t>
            </w:r>
          </w:p>
        </w:tc>
        <w:tc>
          <w:tcPr>
            <w:tcW w:w="321" w:type="pct"/>
            <w:vAlign w:val="center"/>
          </w:tcPr>
          <w:p w14:paraId="365B87A7">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706FD793">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41F0AC3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539" w:type="pct"/>
            <w:vAlign w:val="center"/>
          </w:tcPr>
          <w:p w14:paraId="69676907">
            <w:pPr>
              <w:pStyle w:val="65"/>
              <w:jc w:val="center"/>
              <w:rPr>
                <w:rFonts w:ascii="Times New Roman" w:hAnsi="Times New Roman" w:cs="Times New Roman"/>
                <w:color w:val="auto"/>
                <w:spacing w:val="-3"/>
                <w:sz w:val="21"/>
                <w:szCs w:val="21"/>
                <w:lang w:eastAsia="zh-CN"/>
              </w:rPr>
            </w:pPr>
            <w:r>
              <w:rPr>
                <w:rFonts w:ascii="Times New Roman" w:hAnsi="Times New Roman" w:cs="Times New Roman"/>
                <w:color w:val="auto"/>
                <w:sz w:val="21"/>
                <w:szCs w:val="21"/>
              </w:rPr>
              <w:t>萘</w:t>
            </w:r>
          </w:p>
        </w:tc>
        <w:tc>
          <w:tcPr>
            <w:tcW w:w="277" w:type="pct"/>
            <w:vAlign w:val="center"/>
          </w:tcPr>
          <w:p w14:paraId="3F350F34">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719519AD">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0006EF3F">
            <w:pPr>
              <w:jc w:val="center"/>
              <w:rPr>
                <w:rFonts w:ascii="Times New Roman" w:hAnsi="Times New Roman" w:cs="Times New Roman"/>
                <w:color w:val="auto"/>
                <w:spacing w:val="1"/>
                <w:sz w:val="21"/>
              </w:rPr>
            </w:pPr>
            <w:r>
              <w:rPr>
                <w:rFonts w:ascii="Times New Roman" w:hAnsi="Times New Roman" w:cs="Times New Roman"/>
                <w:color w:val="auto"/>
                <w:sz w:val="21"/>
                <w:lang w:eastAsia="zh-CN"/>
              </w:rPr>
              <w:t>ND</w:t>
            </w:r>
          </w:p>
        </w:tc>
        <w:tc>
          <w:tcPr>
            <w:tcW w:w="305" w:type="pct"/>
            <w:vAlign w:val="center"/>
          </w:tcPr>
          <w:p w14:paraId="2514FEDB">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3181EF87">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60CED898">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w:t>
            </w:r>
          </w:p>
        </w:tc>
        <w:tc>
          <w:tcPr>
            <w:tcW w:w="305" w:type="pct"/>
            <w:vAlign w:val="center"/>
          </w:tcPr>
          <w:p w14:paraId="7A583527">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24FC15A0">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75D669B9">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3DA2CCCD">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305" w:type="pct"/>
            <w:vAlign w:val="center"/>
          </w:tcPr>
          <w:p w14:paraId="2997B236">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308" w:type="pct"/>
            <w:vAlign w:val="center"/>
          </w:tcPr>
          <w:p w14:paraId="3B9C7E03">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309" w:type="pct"/>
            <w:vAlign w:val="center"/>
          </w:tcPr>
          <w:p w14:paraId="7D9AFBFF">
            <w:pPr>
              <w:jc w:val="center"/>
              <w:rPr>
                <w:rFonts w:ascii="Times New Roman" w:hAnsi="Times New Roman" w:cs="Times New Roman"/>
                <w:color w:val="auto"/>
                <w:sz w:val="21"/>
              </w:rPr>
            </w:pPr>
            <w:r>
              <w:rPr>
                <w:rFonts w:ascii="Times New Roman" w:hAnsi="Times New Roman" w:cs="Times New Roman"/>
                <w:color w:val="auto"/>
                <w:sz w:val="21"/>
              </w:rPr>
              <w:t>70</w:t>
            </w:r>
          </w:p>
        </w:tc>
        <w:tc>
          <w:tcPr>
            <w:tcW w:w="321" w:type="pct"/>
            <w:vAlign w:val="center"/>
          </w:tcPr>
          <w:p w14:paraId="3DC26DB5">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195" w:type="pct"/>
            <w:vAlign w:val="center"/>
          </w:tcPr>
          <w:p w14:paraId="66F78D32">
            <w:pPr>
              <w:jc w:val="center"/>
              <w:rPr>
                <w:rFonts w:ascii="Times New Roman" w:hAnsi="Times New Roman" w:cs="Times New Roman"/>
                <w:color w:val="auto"/>
                <w:sz w:val="21"/>
              </w:rPr>
            </w:pPr>
            <w:r>
              <w:rPr>
                <w:rFonts w:ascii="Times New Roman" w:hAnsi="Times New Roman" w:cs="Times New Roman"/>
                <w:color w:val="auto"/>
                <w:sz w:val="21"/>
              </w:rPr>
              <w:t>达标</w:t>
            </w:r>
          </w:p>
        </w:tc>
      </w:tr>
    </w:tbl>
    <w:p w14:paraId="347F951D">
      <w:pPr>
        <w:spacing w:line="360" w:lineRule="auto"/>
        <w:jc w:val="center"/>
        <w:rPr>
          <w:rFonts w:ascii="Times New Roman" w:hAnsi="Times New Roman" w:cs="Times New Roman"/>
          <w:b/>
          <w:bCs/>
          <w:color w:val="auto"/>
          <w:lang w:eastAsia="zh-CN"/>
        </w:rPr>
      </w:pPr>
    </w:p>
    <w:p w14:paraId="66725466">
      <w:pPr>
        <w:spacing w:line="360" w:lineRule="auto"/>
        <w:jc w:val="center"/>
        <w:rPr>
          <w:rFonts w:ascii="Times New Roman" w:hAnsi="Times New Roman" w:cs="Times New Roman"/>
          <w:b/>
          <w:bCs/>
          <w:color w:val="auto"/>
          <w:lang w:eastAsia="zh-CN"/>
        </w:rPr>
      </w:pPr>
    </w:p>
    <w:p w14:paraId="00647985">
      <w:pPr>
        <w:spacing w:line="360" w:lineRule="auto"/>
        <w:jc w:val="center"/>
        <w:rPr>
          <w:rFonts w:ascii="Times New Roman" w:hAnsi="Times New Roman" w:cs="Times New Roman"/>
          <w:b/>
          <w:bCs/>
          <w:color w:val="auto"/>
          <w:lang w:eastAsia="zh-CN"/>
        </w:rPr>
      </w:pPr>
      <w:r>
        <w:rPr>
          <w:rFonts w:hint="eastAsia" w:ascii="Times New Roman" w:hAnsi="Times New Roman" w:cs="Times New Roman"/>
          <w:b/>
          <w:bCs/>
          <w:color w:val="auto"/>
          <w:lang w:eastAsia="zh-CN"/>
        </w:rPr>
        <w:t>（续）</w:t>
      </w:r>
      <w:r>
        <w:rPr>
          <w:rFonts w:ascii="Times New Roman" w:hAnsi="Times New Roman" w:cs="Times New Roman"/>
          <w:b/>
          <w:bCs/>
          <w:color w:val="auto"/>
          <w:lang w:eastAsia="zh-CN"/>
        </w:rPr>
        <w:t>表5.2-1</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 xml:space="preserve">  建设用地土壤环境质量监测及评价结果一览表  单位：mg/kg ，pH 无量纲</w:t>
      </w:r>
    </w:p>
    <w:tbl>
      <w:tblPr>
        <w:tblStyle w:val="35"/>
        <w:tblW w:w="5000" w:type="pct"/>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autofit"/>
        <w:tblCellMar>
          <w:top w:w="0" w:type="dxa"/>
          <w:left w:w="0" w:type="dxa"/>
          <w:bottom w:w="0" w:type="dxa"/>
          <w:right w:w="0" w:type="dxa"/>
        </w:tblCellMar>
      </w:tblPr>
      <w:tblGrid>
        <w:gridCol w:w="2255"/>
        <w:gridCol w:w="1157"/>
        <w:gridCol w:w="1269"/>
        <w:gridCol w:w="1281"/>
        <w:gridCol w:w="1269"/>
        <w:gridCol w:w="1269"/>
        <w:gridCol w:w="1269"/>
        <w:gridCol w:w="1269"/>
        <w:gridCol w:w="1287"/>
        <w:gridCol w:w="1337"/>
        <w:gridCol w:w="796"/>
      </w:tblGrid>
      <w:tr w14:paraId="25023A3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PrEx>
        <w:trPr>
          <w:trHeight w:val="476" w:hRule="atLeast"/>
          <w:jc w:val="center"/>
        </w:trPr>
        <w:tc>
          <w:tcPr>
            <w:tcW w:w="780" w:type="pct"/>
            <w:vMerge w:val="restart"/>
            <w:vAlign w:val="center"/>
          </w:tcPr>
          <w:p w14:paraId="2996A0C2">
            <w:pPr>
              <w:jc w:val="center"/>
              <w:rPr>
                <w:rFonts w:ascii="Times New Roman" w:hAnsi="Times New Roman" w:cs="Times New Roman"/>
                <w:b/>
                <w:bCs/>
                <w:color w:val="auto"/>
                <w:sz w:val="21"/>
              </w:rPr>
            </w:pPr>
            <w:r>
              <w:rPr>
                <w:rFonts w:ascii="Times New Roman" w:hAnsi="Times New Roman" w:cs="Times New Roman"/>
                <w:b/>
                <w:bCs/>
                <w:color w:val="auto"/>
                <w:sz w:val="21"/>
              </w:rPr>
              <w:t>监测因子</w:t>
            </w:r>
          </w:p>
        </w:tc>
        <w:tc>
          <w:tcPr>
            <w:tcW w:w="1282" w:type="pct"/>
            <w:gridSpan w:val="3"/>
            <w:vAlign w:val="center"/>
          </w:tcPr>
          <w:p w14:paraId="12A20A39">
            <w:pPr>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T</w:t>
            </w:r>
            <w:r>
              <w:rPr>
                <w:rFonts w:hint="eastAsia" w:ascii="Times New Roman" w:hAnsi="Times New Roman" w:cs="Times New Roman"/>
                <w:b/>
                <w:bCs/>
                <w:color w:val="auto"/>
                <w:sz w:val="21"/>
                <w:lang w:eastAsia="zh-CN"/>
              </w:rPr>
              <w:t>5</w:t>
            </w:r>
          </w:p>
        </w:tc>
        <w:tc>
          <w:tcPr>
            <w:tcW w:w="439" w:type="pct"/>
            <w:vAlign w:val="center"/>
          </w:tcPr>
          <w:p w14:paraId="080B91AA">
            <w:pPr>
              <w:jc w:val="center"/>
              <w:rPr>
                <w:rFonts w:ascii="Times New Roman" w:hAnsi="Times New Roman" w:cs="Times New Roman"/>
                <w:b/>
                <w:bCs/>
                <w:color w:val="000000" w:themeColor="text1"/>
                <w:sz w:val="21"/>
                <w:lang w:eastAsia="zh-CN"/>
                <w14:textFill>
                  <w14:solidFill>
                    <w14:schemeClr w14:val="tx1"/>
                  </w14:solidFill>
                </w14:textFill>
              </w:rPr>
            </w:pPr>
            <w:r>
              <w:rPr>
                <w:rFonts w:hint="eastAsia" w:ascii="Times New Roman" w:hAnsi="Times New Roman" w:cs="Times New Roman"/>
                <w:b/>
                <w:bCs/>
                <w:color w:val="000000" w:themeColor="text1"/>
                <w:sz w:val="21"/>
                <w:lang w:eastAsia="zh-CN"/>
                <w14:textFill>
                  <w14:solidFill>
                    <w14:schemeClr w14:val="tx1"/>
                  </w14:solidFill>
                </w14:textFill>
              </w:rPr>
              <w:t>T6</w:t>
            </w:r>
          </w:p>
        </w:tc>
        <w:tc>
          <w:tcPr>
            <w:tcW w:w="439" w:type="pct"/>
            <w:vAlign w:val="center"/>
          </w:tcPr>
          <w:p w14:paraId="3EDFD870">
            <w:pPr>
              <w:jc w:val="center"/>
              <w:rPr>
                <w:rFonts w:ascii="Times New Roman" w:hAnsi="Times New Roman" w:cs="Times New Roman"/>
                <w:b/>
                <w:bCs/>
                <w:color w:val="000000" w:themeColor="text1"/>
                <w:sz w:val="21"/>
                <w:lang w:eastAsia="zh-CN"/>
                <w14:textFill>
                  <w14:solidFill>
                    <w14:schemeClr w14:val="tx1"/>
                  </w14:solidFill>
                </w14:textFill>
              </w:rPr>
            </w:pPr>
            <w:r>
              <w:rPr>
                <w:rFonts w:hint="eastAsia" w:ascii="Times New Roman" w:hAnsi="Times New Roman" w:cs="Times New Roman"/>
                <w:b/>
                <w:bCs/>
                <w:color w:val="000000" w:themeColor="text1"/>
                <w:sz w:val="21"/>
                <w:lang w:eastAsia="zh-CN"/>
                <w14:textFill>
                  <w14:solidFill>
                    <w14:schemeClr w14:val="tx1"/>
                  </w14:solidFill>
                </w14:textFill>
              </w:rPr>
              <w:t>T7</w:t>
            </w:r>
          </w:p>
        </w:tc>
        <w:tc>
          <w:tcPr>
            <w:tcW w:w="439" w:type="pct"/>
            <w:vAlign w:val="center"/>
          </w:tcPr>
          <w:p w14:paraId="6D6EE31A">
            <w:pPr>
              <w:jc w:val="center"/>
              <w:rPr>
                <w:rFonts w:ascii="Times New Roman" w:hAnsi="Times New Roman" w:cs="Times New Roman"/>
                <w:b/>
                <w:bCs/>
                <w:color w:val="EE0000"/>
                <w:sz w:val="21"/>
                <w:lang w:eastAsia="zh-CN"/>
              </w:rPr>
            </w:pPr>
            <w:r>
              <w:rPr>
                <w:rFonts w:hint="eastAsia" w:ascii="Times New Roman" w:hAnsi="Times New Roman" w:cs="Times New Roman"/>
                <w:b/>
                <w:bCs/>
                <w:color w:val="000000" w:themeColor="text1"/>
                <w:sz w:val="21"/>
                <w:lang w:eastAsia="zh-CN"/>
                <w14:textFill>
                  <w14:solidFill>
                    <w14:schemeClr w14:val="tx1"/>
                  </w14:solidFill>
                </w14:textFill>
              </w:rPr>
              <w:t>T8</w:t>
            </w:r>
          </w:p>
        </w:tc>
        <w:tc>
          <w:tcPr>
            <w:tcW w:w="439" w:type="pct"/>
            <w:vAlign w:val="center"/>
          </w:tcPr>
          <w:p w14:paraId="119BF9EB">
            <w:pPr>
              <w:jc w:val="center"/>
              <w:rPr>
                <w:rFonts w:ascii="Times New Roman" w:hAnsi="Times New Roman" w:cs="Times New Roman"/>
                <w:b/>
                <w:bCs/>
                <w:color w:val="EE0000"/>
                <w:sz w:val="21"/>
                <w:lang w:eastAsia="zh-CN"/>
              </w:rPr>
            </w:pPr>
            <w:r>
              <w:rPr>
                <w:rFonts w:hint="eastAsia" w:ascii="Times New Roman" w:hAnsi="Times New Roman" w:cs="Times New Roman"/>
                <w:b/>
                <w:bCs/>
                <w:color w:val="000000" w:themeColor="text1"/>
                <w:sz w:val="21"/>
                <w:lang w:eastAsia="zh-CN"/>
                <w14:textFill>
                  <w14:solidFill>
                    <w14:schemeClr w14:val="tx1"/>
                  </w14:solidFill>
                </w14:textFill>
              </w:rPr>
              <w:t>T9</w:t>
            </w:r>
          </w:p>
        </w:tc>
        <w:tc>
          <w:tcPr>
            <w:tcW w:w="445" w:type="pct"/>
            <w:vMerge w:val="restart"/>
            <w:vAlign w:val="center"/>
          </w:tcPr>
          <w:p w14:paraId="13DC6C4D">
            <w:pPr>
              <w:jc w:val="center"/>
              <w:rPr>
                <w:rFonts w:ascii="Times New Roman" w:hAnsi="Times New Roman" w:cs="Times New Roman"/>
                <w:b/>
                <w:bCs/>
                <w:color w:val="auto"/>
                <w:sz w:val="21"/>
              </w:rPr>
            </w:pPr>
            <w:r>
              <w:rPr>
                <w:rFonts w:ascii="Times New Roman" w:hAnsi="Times New Roman" w:cs="Times New Roman"/>
                <w:b/>
                <w:bCs/>
                <w:color w:val="auto"/>
                <w:sz w:val="21"/>
              </w:rPr>
              <w:t>执行标准 mg/kg</w:t>
            </w:r>
          </w:p>
        </w:tc>
        <w:tc>
          <w:tcPr>
            <w:tcW w:w="462" w:type="pct"/>
            <w:vMerge w:val="restart"/>
            <w:vAlign w:val="center"/>
          </w:tcPr>
          <w:p w14:paraId="0A33775B">
            <w:pPr>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最大单因子指数</w:t>
            </w:r>
          </w:p>
        </w:tc>
        <w:tc>
          <w:tcPr>
            <w:tcW w:w="275" w:type="pct"/>
            <w:vMerge w:val="restart"/>
            <w:vAlign w:val="center"/>
          </w:tcPr>
          <w:p w14:paraId="73768611">
            <w:pPr>
              <w:jc w:val="center"/>
              <w:rPr>
                <w:rFonts w:ascii="Times New Roman" w:hAnsi="Times New Roman" w:cs="Times New Roman"/>
                <w:b/>
                <w:bCs/>
                <w:color w:val="auto"/>
                <w:sz w:val="21"/>
              </w:rPr>
            </w:pPr>
            <w:r>
              <w:rPr>
                <w:rFonts w:ascii="Times New Roman" w:hAnsi="Times New Roman" w:cs="Times New Roman"/>
                <w:b/>
                <w:bCs/>
                <w:color w:val="auto"/>
                <w:sz w:val="21"/>
              </w:rPr>
              <w:t>是否达标</w:t>
            </w:r>
          </w:p>
        </w:tc>
      </w:tr>
      <w:tr w14:paraId="2646A82C">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76" w:hRule="atLeast"/>
          <w:jc w:val="center"/>
        </w:trPr>
        <w:tc>
          <w:tcPr>
            <w:tcW w:w="780" w:type="pct"/>
            <w:vMerge w:val="continue"/>
            <w:vAlign w:val="center"/>
          </w:tcPr>
          <w:p w14:paraId="6180AD3E">
            <w:pPr>
              <w:jc w:val="center"/>
              <w:rPr>
                <w:rFonts w:ascii="Times New Roman" w:hAnsi="Times New Roman" w:cs="Times New Roman"/>
                <w:b/>
                <w:bCs/>
                <w:color w:val="auto"/>
                <w:sz w:val="21"/>
              </w:rPr>
            </w:pPr>
          </w:p>
        </w:tc>
        <w:tc>
          <w:tcPr>
            <w:tcW w:w="400" w:type="pct"/>
            <w:vAlign w:val="center"/>
          </w:tcPr>
          <w:p w14:paraId="20830C20">
            <w:pPr>
              <w:jc w:val="center"/>
              <w:rPr>
                <w:rFonts w:ascii="Times New Roman" w:hAnsi="Times New Roman" w:cs="Times New Roman"/>
                <w:b/>
                <w:bCs/>
                <w:color w:val="auto"/>
                <w:sz w:val="21"/>
                <w:lang w:eastAsia="zh-CN"/>
              </w:rPr>
            </w:pPr>
            <w:r>
              <w:rPr>
                <w:rFonts w:ascii="Times New Roman" w:hAnsi="Times New Roman" w:cs="Times New Roman"/>
                <w:bCs/>
                <w:color w:val="auto"/>
                <w:sz w:val="21"/>
              </w:rPr>
              <w:t>0～0.5m</w:t>
            </w:r>
          </w:p>
        </w:tc>
        <w:tc>
          <w:tcPr>
            <w:tcW w:w="439" w:type="pct"/>
            <w:vAlign w:val="center"/>
          </w:tcPr>
          <w:p w14:paraId="5E74F0FA">
            <w:pPr>
              <w:jc w:val="center"/>
              <w:rPr>
                <w:rFonts w:ascii="Times New Roman" w:hAnsi="Times New Roman" w:cs="Times New Roman"/>
                <w:b/>
                <w:bCs/>
                <w:color w:val="auto"/>
                <w:sz w:val="21"/>
                <w:lang w:eastAsia="zh-CN"/>
              </w:rPr>
            </w:pPr>
            <w:r>
              <w:rPr>
                <w:rFonts w:ascii="Times New Roman" w:hAnsi="Times New Roman" w:cs="Times New Roman"/>
                <w:bCs/>
                <w:color w:val="auto"/>
                <w:sz w:val="21"/>
              </w:rPr>
              <w:t>0</w:t>
            </w:r>
            <w:r>
              <w:rPr>
                <w:rFonts w:hint="eastAsia" w:ascii="Times New Roman" w:hAnsi="Times New Roman" w:cs="Times New Roman"/>
                <w:bCs/>
                <w:color w:val="auto"/>
                <w:sz w:val="21"/>
                <w:lang w:eastAsia="zh-CN"/>
              </w:rPr>
              <w:t>.5</w:t>
            </w:r>
            <w:r>
              <w:rPr>
                <w:rFonts w:ascii="Times New Roman" w:hAnsi="Times New Roman" w:cs="Times New Roman"/>
                <w:bCs/>
                <w:color w:val="auto"/>
                <w:sz w:val="21"/>
              </w:rPr>
              <w:t>～</w:t>
            </w:r>
            <w:r>
              <w:rPr>
                <w:rFonts w:hint="eastAsia" w:ascii="Times New Roman" w:hAnsi="Times New Roman" w:cs="Times New Roman"/>
                <w:bCs/>
                <w:color w:val="auto"/>
                <w:sz w:val="21"/>
                <w:lang w:eastAsia="zh-CN"/>
              </w:rPr>
              <w:t>1</w:t>
            </w:r>
            <w:r>
              <w:rPr>
                <w:rFonts w:ascii="Times New Roman" w:hAnsi="Times New Roman" w:cs="Times New Roman"/>
                <w:bCs/>
                <w:color w:val="auto"/>
                <w:sz w:val="21"/>
              </w:rPr>
              <w:t>.5m</w:t>
            </w:r>
          </w:p>
        </w:tc>
        <w:tc>
          <w:tcPr>
            <w:tcW w:w="443" w:type="pct"/>
            <w:vAlign w:val="center"/>
          </w:tcPr>
          <w:p w14:paraId="474DA05B">
            <w:pPr>
              <w:jc w:val="center"/>
              <w:rPr>
                <w:rFonts w:ascii="Times New Roman" w:hAnsi="Times New Roman" w:cs="Times New Roman"/>
                <w:b/>
                <w:bCs/>
                <w:color w:val="auto"/>
                <w:sz w:val="21"/>
                <w:lang w:eastAsia="zh-CN"/>
              </w:rPr>
            </w:pPr>
            <w:r>
              <w:rPr>
                <w:rFonts w:hint="eastAsia" w:ascii="Times New Roman" w:hAnsi="Times New Roman" w:cs="Times New Roman"/>
                <w:bCs/>
                <w:color w:val="auto"/>
                <w:sz w:val="21"/>
                <w:lang w:eastAsia="zh-CN"/>
              </w:rPr>
              <w:t>1</w:t>
            </w:r>
            <w:r>
              <w:rPr>
                <w:rFonts w:ascii="Times New Roman" w:hAnsi="Times New Roman" w:cs="Times New Roman"/>
                <w:bCs/>
                <w:color w:val="auto"/>
                <w:sz w:val="21"/>
                <w:lang w:eastAsia="zh-CN"/>
              </w:rPr>
              <w:t>.5</w:t>
            </w:r>
            <w:r>
              <w:rPr>
                <w:rFonts w:ascii="Times New Roman" w:hAnsi="Times New Roman" w:cs="Times New Roman"/>
                <w:bCs/>
                <w:color w:val="auto"/>
                <w:sz w:val="21"/>
              </w:rPr>
              <w:t>～</w:t>
            </w:r>
            <w:r>
              <w:rPr>
                <w:rFonts w:hint="eastAsia" w:ascii="Times New Roman" w:hAnsi="Times New Roman" w:cs="Times New Roman"/>
                <w:bCs/>
                <w:color w:val="auto"/>
                <w:sz w:val="21"/>
                <w:lang w:eastAsia="zh-CN"/>
              </w:rPr>
              <w:t>3</w:t>
            </w:r>
            <w:r>
              <w:rPr>
                <w:rFonts w:ascii="Times New Roman" w:hAnsi="Times New Roman" w:cs="Times New Roman"/>
                <w:bCs/>
                <w:color w:val="auto"/>
                <w:sz w:val="21"/>
              </w:rPr>
              <w:t>m</w:t>
            </w:r>
          </w:p>
        </w:tc>
        <w:tc>
          <w:tcPr>
            <w:tcW w:w="439" w:type="pct"/>
            <w:vAlign w:val="center"/>
          </w:tcPr>
          <w:p w14:paraId="080D8E5E">
            <w:pPr>
              <w:jc w:val="center"/>
              <w:rPr>
                <w:rFonts w:ascii="Times New Roman" w:hAnsi="Times New Roman" w:cs="Times New Roman"/>
                <w:b/>
                <w:bCs/>
                <w:color w:val="auto"/>
                <w:sz w:val="21"/>
                <w:lang w:eastAsia="zh-CN"/>
              </w:rPr>
            </w:pPr>
            <w:r>
              <w:rPr>
                <w:rFonts w:ascii="Times New Roman" w:hAnsi="Times New Roman" w:cs="Times New Roman"/>
                <w:bCs/>
                <w:color w:val="auto"/>
                <w:sz w:val="21"/>
              </w:rPr>
              <w:t>0～0.</w:t>
            </w:r>
            <w:r>
              <w:rPr>
                <w:rFonts w:hint="eastAsia" w:ascii="Times New Roman" w:hAnsi="Times New Roman" w:cs="Times New Roman"/>
                <w:bCs/>
                <w:color w:val="auto"/>
                <w:sz w:val="21"/>
                <w:lang w:eastAsia="zh-CN"/>
              </w:rPr>
              <w:t>2</w:t>
            </w:r>
            <w:r>
              <w:rPr>
                <w:rFonts w:ascii="Times New Roman" w:hAnsi="Times New Roman" w:cs="Times New Roman"/>
                <w:bCs/>
                <w:color w:val="auto"/>
                <w:sz w:val="21"/>
              </w:rPr>
              <w:t>m</w:t>
            </w:r>
          </w:p>
        </w:tc>
        <w:tc>
          <w:tcPr>
            <w:tcW w:w="439" w:type="pct"/>
            <w:vAlign w:val="center"/>
          </w:tcPr>
          <w:p w14:paraId="0B1B4E52">
            <w:pPr>
              <w:jc w:val="center"/>
              <w:rPr>
                <w:rFonts w:ascii="Times New Roman" w:hAnsi="Times New Roman" w:cs="Times New Roman"/>
                <w:b/>
                <w:bCs/>
                <w:color w:val="auto"/>
                <w:sz w:val="21"/>
                <w:lang w:eastAsia="zh-CN"/>
              </w:rPr>
            </w:pPr>
            <w:r>
              <w:rPr>
                <w:rFonts w:ascii="Times New Roman" w:hAnsi="Times New Roman" w:cs="Times New Roman"/>
                <w:bCs/>
                <w:color w:val="auto"/>
                <w:sz w:val="21"/>
              </w:rPr>
              <w:t>0～0.</w:t>
            </w:r>
            <w:r>
              <w:rPr>
                <w:rFonts w:hint="eastAsia" w:ascii="Times New Roman" w:hAnsi="Times New Roman" w:cs="Times New Roman"/>
                <w:bCs/>
                <w:color w:val="auto"/>
                <w:sz w:val="21"/>
                <w:lang w:eastAsia="zh-CN"/>
              </w:rPr>
              <w:t>2</w:t>
            </w:r>
            <w:r>
              <w:rPr>
                <w:rFonts w:ascii="Times New Roman" w:hAnsi="Times New Roman" w:cs="Times New Roman"/>
                <w:bCs/>
                <w:color w:val="auto"/>
                <w:sz w:val="21"/>
              </w:rPr>
              <w:t>m</w:t>
            </w:r>
          </w:p>
        </w:tc>
        <w:tc>
          <w:tcPr>
            <w:tcW w:w="439" w:type="pct"/>
            <w:vAlign w:val="center"/>
          </w:tcPr>
          <w:p w14:paraId="31984CAC">
            <w:pPr>
              <w:jc w:val="center"/>
              <w:rPr>
                <w:rFonts w:ascii="Times New Roman" w:hAnsi="Times New Roman" w:cs="Times New Roman"/>
                <w:b/>
                <w:bCs/>
                <w:color w:val="auto"/>
                <w:sz w:val="21"/>
                <w:lang w:eastAsia="zh-CN"/>
              </w:rPr>
            </w:pPr>
            <w:r>
              <w:rPr>
                <w:rFonts w:ascii="Times New Roman" w:hAnsi="Times New Roman" w:cs="Times New Roman"/>
                <w:bCs/>
                <w:color w:val="auto"/>
                <w:sz w:val="21"/>
              </w:rPr>
              <w:t>0～0.</w:t>
            </w:r>
            <w:r>
              <w:rPr>
                <w:rFonts w:hint="eastAsia" w:ascii="Times New Roman" w:hAnsi="Times New Roman" w:cs="Times New Roman"/>
                <w:bCs/>
                <w:color w:val="auto"/>
                <w:sz w:val="21"/>
                <w:lang w:eastAsia="zh-CN"/>
              </w:rPr>
              <w:t>2</w:t>
            </w:r>
            <w:r>
              <w:rPr>
                <w:rFonts w:ascii="Times New Roman" w:hAnsi="Times New Roman" w:cs="Times New Roman"/>
                <w:bCs/>
                <w:color w:val="auto"/>
                <w:sz w:val="21"/>
              </w:rPr>
              <w:t>m</w:t>
            </w:r>
          </w:p>
        </w:tc>
        <w:tc>
          <w:tcPr>
            <w:tcW w:w="439" w:type="pct"/>
            <w:vAlign w:val="center"/>
          </w:tcPr>
          <w:p w14:paraId="3AC234C2">
            <w:pPr>
              <w:jc w:val="center"/>
              <w:rPr>
                <w:rFonts w:ascii="Times New Roman" w:hAnsi="Times New Roman" w:cs="Times New Roman"/>
                <w:b/>
                <w:bCs/>
                <w:color w:val="auto"/>
                <w:sz w:val="21"/>
                <w:lang w:eastAsia="zh-CN"/>
              </w:rPr>
            </w:pPr>
            <w:r>
              <w:rPr>
                <w:rFonts w:ascii="Times New Roman" w:hAnsi="Times New Roman" w:cs="Times New Roman"/>
                <w:bCs/>
                <w:color w:val="auto"/>
                <w:sz w:val="21"/>
              </w:rPr>
              <w:t>0～0.</w:t>
            </w:r>
            <w:r>
              <w:rPr>
                <w:rFonts w:hint="eastAsia" w:ascii="Times New Roman" w:hAnsi="Times New Roman" w:cs="Times New Roman"/>
                <w:bCs/>
                <w:color w:val="auto"/>
                <w:sz w:val="21"/>
                <w:lang w:eastAsia="zh-CN"/>
              </w:rPr>
              <w:t>2</w:t>
            </w:r>
            <w:r>
              <w:rPr>
                <w:rFonts w:ascii="Times New Roman" w:hAnsi="Times New Roman" w:cs="Times New Roman"/>
                <w:bCs/>
                <w:color w:val="auto"/>
                <w:sz w:val="21"/>
              </w:rPr>
              <w:t>m</w:t>
            </w:r>
          </w:p>
        </w:tc>
        <w:tc>
          <w:tcPr>
            <w:tcW w:w="445" w:type="pct"/>
            <w:vMerge w:val="continue"/>
            <w:vAlign w:val="center"/>
          </w:tcPr>
          <w:p w14:paraId="1403F6A5">
            <w:pPr>
              <w:jc w:val="center"/>
              <w:rPr>
                <w:rFonts w:ascii="Times New Roman" w:hAnsi="Times New Roman" w:cs="Times New Roman"/>
                <w:b/>
                <w:bCs/>
                <w:color w:val="auto"/>
                <w:sz w:val="21"/>
              </w:rPr>
            </w:pPr>
          </w:p>
        </w:tc>
        <w:tc>
          <w:tcPr>
            <w:tcW w:w="462" w:type="pct"/>
            <w:vMerge w:val="continue"/>
            <w:vAlign w:val="center"/>
          </w:tcPr>
          <w:p w14:paraId="7719D42E">
            <w:pPr>
              <w:jc w:val="center"/>
              <w:rPr>
                <w:rFonts w:ascii="Times New Roman" w:hAnsi="Times New Roman" w:cs="Times New Roman"/>
                <w:b/>
                <w:bCs/>
                <w:color w:val="auto"/>
                <w:sz w:val="21"/>
                <w:lang w:eastAsia="zh-CN"/>
              </w:rPr>
            </w:pPr>
          </w:p>
        </w:tc>
        <w:tc>
          <w:tcPr>
            <w:tcW w:w="275" w:type="pct"/>
            <w:vMerge w:val="continue"/>
            <w:vAlign w:val="center"/>
          </w:tcPr>
          <w:p w14:paraId="34EDEA6A">
            <w:pPr>
              <w:jc w:val="center"/>
              <w:rPr>
                <w:rFonts w:ascii="Times New Roman" w:hAnsi="Times New Roman" w:cs="Times New Roman"/>
                <w:b/>
                <w:bCs/>
                <w:color w:val="auto"/>
                <w:sz w:val="21"/>
              </w:rPr>
            </w:pPr>
          </w:p>
        </w:tc>
      </w:tr>
      <w:tr w14:paraId="1172E27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780" w:type="pct"/>
            <w:vAlign w:val="center"/>
          </w:tcPr>
          <w:p w14:paraId="7FAE5448">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pH</w:t>
            </w:r>
          </w:p>
        </w:tc>
        <w:tc>
          <w:tcPr>
            <w:tcW w:w="400" w:type="pct"/>
            <w:vAlign w:val="center"/>
          </w:tcPr>
          <w:p w14:paraId="5DE4461D">
            <w:pPr>
              <w:jc w:val="center"/>
              <w:rPr>
                <w:rFonts w:ascii="Times New Roman" w:hAnsi="Times New Roman" w:cs="Times New Roman"/>
                <w:color w:val="auto"/>
                <w:sz w:val="21"/>
                <w:lang w:eastAsia="zh-CN"/>
              </w:rPr>
            </w:pPr>
          </w:p>
        </w:tc>
        <w:tc>
          <w:tcPr>
            <w:tcW w:w="439" w:type="pct"/>
            <w:vAlign w:val="center"/>
          </w:tcPr>
          <w:p w14:paraId="1962BF66">
            <w:pPr>
              <w:jc w:val="center"/>
              <w:rPr>
                <w:rFonts w:ascii="Times New Roman" w:hAnsi="Times New Roman" w:cs="Times New Roman"/>
                <w:color w:val="auto"/>
                <w:sz w:val="21"/>
                <w:lang w:eastAsia="zh-CN"/>
              </w:rPr>
            </w:pPr>
          </w:p>
        </w:tc>
        <w:tc>
          <w:tcPr>
            <w:tcW w:w="443" w:type="pct"/>
            <w:vAlign w:val="center"/>
          </w:tcPr>
          <w:p w14:paraId="7C555F01">
            <w:pPr>
              <w:jc w:val="center"/>
              <w:rPr>
                <w:rFonts w:ascii="Times New Roman" w:hAnsi="Times New Roman" w:cs="Times New Roman"/>
                <w:color w:val="auto"/>
                <w:sz w:val="21"/>
                <w:lang w:eastAsia="zh-CN"/>
              </w:rPr>
            </w:pPr>
          </w:p>
        </w:tc>
        <w:tc>
          <w:tcPr>
            <w:tcW w:w="439" w:type="pct"/>
            <w:vAlign w:val="center"/>
          </w:tcPr>
          <w:p w14:paraId="722A96FB">
            <w:pPr>
              <w:jc w:val="center"/>
              <w:rPr>
                <w:rFonts w:ascii="Times New Roman" w:hAnsi="Times New Roman" w:cs="Times New Roman"/>
                <w:color w:val="auto"/>
                <w:spacing w:val="1"/>
                <w:sz w:val="21"/>
                <w:lang w:eastAsia="zh-CN"/>
              </w:rPr>
            </w:pPr>
          </w:p>
        </w:tc>
        <w:tc>
          <w:tcPr>
            <w:tcW w:w="439" w:type="pct"/>
            <w:vAlign w:val="center"/>
          </w:tcPr>
          <w:p w14:paraId="66EF117E">
            <w:pPr>
              <w:jc w:val="center"/>
              <w:rPr>
                <w:rFonts w:ascii="Times New Roman" w:hAnsi="Times New Roman" w:cs="Times New Roman"/>
                <w:color w:val="auto"/>
                <w:spacing w:val="1"/>
                <w:sz w:val="21"/>
                <w:lang w:eastAsia="zh-CN"/>
              </w:rPr>
            </w:pPr>
          </w:p>
        </w:tc>
        <w:tc>
          <w:tcPr>
            <w:tcW w:w="439" w:type="pct"/>
            <w:vAlign w:val="center"/>
          </w:tcPr>
          <w:p w14:paraId="7C7F07C7">
            <w:pPr>
              <w:jc w:val="center"/>
              <w:rPr>
                <w:rFonts w:ascii="Times New Roman" w:hAnsi="Times New Roman" w:cs="Times New Roman"/>
                <w:color w:val="auto"/>
                <w:spacing w:val="1"/>
                <w:sz w:val="21"/>
                <w:lang w:eastAsia="zh-CN"/>
              </w:rPr>
            </w:pPr>
          </w:p>
        </w:tc>
        <w:tc>
          <w:tcPr>
            <w:tcW w:w="439" w:type="pct"/>
            <w:vAlign w:val="center"/>
          </w:tcPr>
          <w:p w14:paraId="305A6AE9">
            <w:pPr>
              <w:jc w:val="center"/>
              <w:rPr>
                <w:rFonts w:ascii="Times New Roman" w:hAnsi="Times New Roman" w:cs="Times New Roman"/>
                <w:color w:val="auto"/>
                <w:spacing w:val="1"/>
                <w:sz w:val="21"/>
                <w:lang w:eastAsia="zh-CN"/>
              </w:rPr>
            </w:pPr>
          </w:p>
        </w:tc>
        <w:tc>
          <w:tcPr>
            <w:tcW w:w="445" w:type="pct"/>
            <w:vAlign w:val="center"/>
          </w:tcPr>
          <w:p w14:paraId="37E73B2F">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c>
          <w:tcPr>
            <w:tcW w:w="462" w:type="pct"/>
            <w:vAlign w:val="center"/>
          </w:tcPr>
          <w:p w14:paraId="3CD65350">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c>
          <w:tcPr>
            <w:tcW w:w="275" w:type="pct"/>
            <w:vAlign w:val="center"/>
          </w:tcPr>
          <w:p w14:paraId="05470AB8">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r>
      <w:tr w14:paraId="2EFC1AFC">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780" w:type="pct"/>
            <w:vAlign w:val="center"/>
          </w:tcPr>
          <w:p w14:paraId="63AFB729">
            <w:pPr>
              <w:jc w:val="center"/>
              <w:rPr>
                <w:rFonts w:ascii="Times New Roman" w:hAnsi="Times New Roman" w:cs="Times New Roman"/>
                <w:color w:val="auto"/>
                <w:sz w:val="21"/>
              </w:rPr>
            </w:pPr>
            <w:r>
              <w:rPr>
                <w:rFonts w:ascii="Times New Roman" w:hAnsi="Times New Roman" w:cs="Times New Roman"/>
                <w:color w:val="auto"/>
                <w:sz w:val="21"/>
              </w:rPr>
              <w:t>砷</w:t>
            </w:r>
          </w:p>
        </w:tc>
        <w:tc>
          <w:tcPr>
            <w:tcW w:w="400" w:type="pct"/>
            <w:vAlign w:val="center"/>
          </w:tcPr>
          <w:p w14:paraId="6712929C">
            <w:pPr>
              <w:jc w:val="center"/>
              <w:rPr>
                <w:rFonts w:ascii="Times New Roman" w:hAnsi="Times New Roman" w:cs="Times New Roman"/>
                <w:color w:val="auto"/>
                <w:sz w:val="21"/>
                <w:lang w:eastAsia="zh-CN"/>
              </w:rPr>
            </w:pPr>
          </w:p>
        </w:tc>
        <w:tc>
          <w:tcPr>
            <w:tcW w:w="439" w:type="pct"/>
            <w:vAlign w:val="center"/>
          </w:tcPr>
          <w:p w14:paraId="4E8F4808">
            <w:pPr>
              <w:jc w:val="center"/>
              <w:rPr>
                <w:rFonts w:ascii="Times New Roman" w:hAnsi="Times New Roman" w:cs="Times New Roman"/>
                <w:color w:val="auto"/>
                <w:sz w:val="21"/>
                <w:lang w:eastAsia="zh-CN"/>
              </w:rPr>
            </w:pPr>
          </w:p>
        </w:tc>
        <w:tc>
          <w:tcPr>
            <w:tcW w:w="443" w:type="pct"/>
            <w:vAlign w:val="center"/>
          </w:tcPr>
          <w:p w14:paraId="69CB412E">
            <w:pPr>
              <w:jc w:val="center"/>
              <w:rPr>
                <w:rFonts w:ascii="Times New Roman" w:hAnsi="Times New Roman" w:cs="Times New Roman"/>
                <w:color w:val="auto"/>
                <w:sz w:val="21"/>
                <w:lang w:eastAsia="zh-CN"/>
              </w:rPr>
            </w:pPr>
          </w:p>
        </w:tc>
        <w:tc>
          <w:tcPr>
            <w:tcW w:w="439" w:type="pct"/>
            <w:vAlign w:val="center"/>
          </w:tcPr>
          <w:p w14:paraId="35907F97">
            <w:pPr>
              <w:jc w:val="center"/>
              <w:rPr>
                <w:rFonts w:ascii="Times New Roman" w:hAnsi="Times New Roman" w:cs="Times New Roman"/>
                <w:color w:val="auto"/>
                <w:spacing w:val="1"/>
                <w:sz w:val="21"/>
                <w:lang w:eastAsia="zh-CN"/>
              </w:rPr>
            </w:pPr>
          </w:p>
        </w:tc>
        <w:tc>
          <w:tcPr>
            <w:tcW w:w="439" w:type="pct"/>
            <w:vAlign w:val="center"/>
          </w:tcPr>
          <w:p w14:paraId="037BA3B1">
            <w:pPr>
              <w:jc w:val="center"/>
              <w:rPr>
                <w:rFonts w:ascii="Times New Roman" w:hAnsi="Times New Roman" w:cs="Times New Roman"/>
                <w:color w:val="auto"/>
                <w:spacing w:val="1"/>
                <w:sz w:val="21"/>
                <w:lang w:eastAsia="zh-CN"/>
              </w:rPr>
            </w:pPr>
          </w:p>
        </w:tc>
        <w:tc>
          <w:tcPr>
            <w:tcW w:w="439" w:type="pct"/>
            <w:vAlign w:val="center"/>
          </w:tcPr>
          <w:p w14:paraId="39437CFE">
            <w:pPr>
              <w:jc w:val="center"/>
              <w:rPr>
                <w:rFonts w:ascii="Times New Roman" w:hAnsi="Times New Roman" w:cs="Times New Roman"/>
                <w:color w:val="auto"/>
                <w:spacing w:val="1"/>
                <w:sz w:val="21"/>
                <w:lang w:eastAsia="zh-CN"/>
              </w:rPr>
            </w:pPr>
          </w:p>
        </w:tc>
        <w:tc>
          <w:tcPr>
            <w:tcW w:w="439" w:type="pct"/>
            <w:vAlign w:val="center"/>
          </w:tcPr>
          <w:p w14:paraId="6D1EDEE2">
            <w:pPr>
              <w:jc w:val="center"/>
              <w:rPr>
                <w:rFonts w:ascii="Times New Roman" w:hAnsi="Times New Roman" w:cs="Times New Roman" w:eastAsiaTheme="minorEastAsia"/>
                <w:color w:val="auto"/>
                <w:spacing w:val="1"/>
                <w:sz w:val="21"/>
                <w:lang w:eastAsia="zh-CN"/>
              </w:rPr>
            </w:pPr>
          </w:p>
        </w:tc>
        <w:tc>
          <w:tcPr>
            <w:tcW w:w="445" w:type="pct"/>
            <w:vAlign w:val="center"/>
          </w:tcPr>
          <w:p w14:paraId="5459704C">
            <w:pPr>
              <w:jc w:val="center"/>
              <w:rPr>
                <w:rFonts w:ascii="Times New Roman" w:hAnsi="Times New Roman" w:cs="Times New Roman"/>
                <w:color w:val="auto"/>
                <w:sz w:val="21"/>
              </w:rPr>
            </w:pPr>
            <w:r>
              <w:rPr>
                <w:rFonts w:ascii="Times New Roman" w:hAnsi="Times New Roman" w:cs="Times New Roman"/>
                <w:color w:val="auto"/>
                <w:sz w:val="21"/>
              </w:rPr>
              <w:t>60</w:t>
            </w:r>
          </w:p>
        </w:tc>
        <w:tc>
          <w:tcPr>
            <w:tcW w:w="462" w:type="pct"/>
            <w:vAlign w:val="center"/>
          </w:tcPr>
          <w:p w14:paraId="0635F88B">
            <w:pPr>
              <w:jc w:val="center"/>
              <w:rPr>
                <w:rFonts w:ascii="Times New Roman" w:hAnsi="Times New Roman" w:cs="Times New Roman"/>
                <w:color w:val="auto"/>
                <w:sz w:val="21"/>
                <w:lang w:eastAsia="zh-CN"/>
              </w:rPr>
            </w:pPr>
          </w:p>
        </w:tc>
        <w:tc>
          <w:tcPr>
            <w:tcW w:w="275" w:type="pct"/>
            <w:vAlign w:val="center"/>
          </w:tcPr>
          <w:p w14:paraId="5F8C934F">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3A8B1E7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780" w:type="pct"/>
            <w:vAlign w:val="center"/>
          </w:tcPr>
          <w:p w14:paraId="7F672D8B">
            <w:pPr>
              <w:jc w:val="center"/>
              <w:rPr>
                <w:rFonts w:ascii="Times New Roman" w:hAnsi="Times New Roman" w:cs="Times New Roman"/>
                <w:color w:val="auto"/>
                <w:sz w:val="21"/>
              </w:rPr>
            </w:pPr>
            <w:r>
              <w:rPr>
                <w:rFonts w:ascii="Times New Roman" w:hAnsi="Times New Roman" w:cs="Times New Roman"/>
                <w:color w:val="auto"/>
                <w:sz w:val="21"/>
              </w:rPr>
              <w:t>镉</w:t>
            </w:r>
          </w:p>
        </w:tc>
        <w:tc>
          <w:tcPr>
            <w:tcW w:w="400" w:type="pct"/>
            <w:vAlign w:val="center"/>
          </w:tcPr>
          <w:p w14:paraId="344B3BC9">
            <w:pPr>
              <w:jc w:val="center"/>
              <w:rPr>
                <w:rFonts w:ascii="Times New Roman" w:hAnsi="Times New Roman" w:cs="Times New Roman"/>
                <w:color w:val="auto"/>
                <w:sz w:val="21"/>
                <w:lang w:eastAsia="zh-CN"/>
              </w:rPr>
            </w:pPr>
          </w:p>
        </w:tc>
        <w:tc>
          <w:tcPr>
            <w:tcW w:w="439" w:type="pct"/>
            <w:vAlign w:val="center"/>
          </w:tcPr>
          <w:p w14:paraId="45416576">
            <w:pPr>
              <w:jc w:val="center"/>
              <w:rPr>
                <w:rFonts w:ascii="Times New Roman" w:hAnsi="Times New Roman" w:cs="Times New Roman"/>
                <w:color w:val="auto"/>
                <w:sz w:val="21"/>
                <w:lang w:eastAsia="zh-CN"/>
              </w:rPr>
            </w:pPr>
          </w:p>
        </w:tc>
        <w:tc>
          <w:tcPr>
            <w:tcW w:w="443" w:type="pct"/>
            <w:vAlign w:val="center"/>
          </w:tcPr>
          <w:p w14:paraId="78DE38BB">
            <w:pPr>
              <w:jc w:val="center"/>
              <w:rPr>
                <w:rFonts w:ascii="Times New Roman" w:hAnsi="Times New Roman" w:cs="Times New Roman"/>
                <w:color w:val="auto"/>
                <w:sz w:val="21"/>
                <w:lang w:eastAsia="zh-CN"/>
              </w:rPr>
            </w:pPr>
          </w:p>
        </w:tc>
        <w:tc>
          <w:tcPr>
            <w:tcW w:w="439" w:type="pct"/>
            <w:vAlign w:val="center"/>
          </w:tcPr>
          <w:p w14:paraId="0033481C">
            <w:pPr>
              <w:jc w:val="center"/>
              <w:rPr>
                <w:rFonts w:ascii="Times New Roman" w:hAnsi="Times New Roman" w:cs="Times New Roman"/>
                <w:color w:val="auto"/>
                <w:spacing w:val="1"/>
                <w:sz w:val="21"/>
                <w:lang w:eastAsia="zh-CN"/>
              </w:rPr>
            </w:pPr>
          </w:p>
        </w:tc>
        <w:tc>
          <w:tcPr>
            <w:tcW w:w="439" w:type="pct"/>
            <w:vAlign w:val="center"/>
          </w:tcPr>
          <w:p w14:paraId="4A621C7C">
            <w:pPr>
              <w:jc w:val="center"/>
              <w:rPr>
                <w:rFonts w:ascii="Times New Roman" w:hAnsi="Times New Roman" w:cs="Times New Roman"/>
                <w:color w:val="auto"/>
                <w:spacing w:val="1"/>
                <w:sz w:val="21"/>
                <w:lang w:eastAsia="zh-CN"/>
              </w:rPr>
            </w:pPr>
          </w:p>
        </w:tc>
        <w:tc>
          <w:tcPr>
            <w:tcW w:w="439" w:type="pct"/>
            <w:vAlign w:val="center"/>
          </w:tcPr>
          <w:p w14:paraId="30EB915F">
            <w:pPr>
              <w:jc w:val="center"/>
              <w:rPr>
                <w:rFonts w:ascii="Times New Roman" w:hAnsi="Times New Roman" w:cs="Times New Roman"/>
                <w:color w:val="auto"/>
                <w:spacing w:val="1"/>
                <w:sz w:val="21"/>
              </w:rPr>
            </w:pPr>
          </w:p>
        </w:tc>
        <w:tc>
          <w:tcPr>
            <w:tcW w:w="439" w:type="pct"/>
            <w:vAlign w:val="center"/>
          </w:tcPr>
          <w:p w14:paraId="5834C6F2">
            <w:pPr>
              <w:jc w:val="center"/>
              <w:rPr>
                <w:rFonts w:ascii="Times New Roman" w:hAnsi="Times New Roman" w:cs="Times New Roman"/>
                <w:color w:val="auto"/>
                <w:spacing w:val="1"/>
                <w:sz w:val="21"/>
              </w:rPr>
            </w:pPr>
          </w:p>
        </w:tc>
        <w:tc>
          <w:tcPr>
            <w:tcW w:w="445" w:type="pct"/>
            <w:vAlign w:val="center"/>
          </w:tcPr>
          <w:p w14:paraId="74A593A6">
            <w:pPr>
              <w:jc w:val="center"/>
              <w:rPr>
                <w:rFonts w:ascii="Times New Roman" w:hAnsi="Times New Roman" w:cs="Times New Roman"/>
                <w:color w:val="auto"/>
                <w:sz w:val="21"/>
              </w:rPr>
            </w:pPr>
            <w:r>
              <w:rPr>
                <w:rFonts w:ascii="Times New Roman" w:hAnsi="Times New Roman" w:cs="Times New Roman"/>
                <w:color w:val="auto"/>
                <w:sz w:val="21"/>
              </w:rPr>
              <w:t>65</w:t>
            </w:r>
          </w:p>
        </w:tc>
        <w:tc>
          <w:tcPr>
            <w:tcW w:w="462" w:type="pct"/>
            <w:vAlign w:val="center"/>
          </w:tcPr>
          <w:p w14:paraId="0F1E3D78">
            <w:pPr>
              <w:jc w:val="center"/>
              <w:rPr>
                <w:rFonts w:ascii="Times New Roman" w:hAnsi="Times New Roman" w:cs="Times New Roman"/>
                <w:color w:val="auto"/>
                <w:sz w:val="21"/>
                <w:lang w:eastAsia="zh-CN"/>
              </w:rPr>
            </w:pPr>
          </w:p>
        </w:tc>
        <w:tc>
          <w:tcPr>
            <w:tcW w:w="275" w:type="pct"/>
            <w:vAlign w:val="center"/>
          </w:tcPr>
          <w:p w14:paraId="1628E94E">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5679C9EC">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0" w:hRule="atLeast"/>
          <w:jc w:val="center"/>
        </w:trPr>
        <w:tc>
          <w:tcPr>
            <w:tcW w:w="780" w:type="pct"/>
            <w:vAlign w:val="center"/>
          </w:tcPr>
          <w:p w14:paraId="061C9FDD">
            <w:pPr>
              <w:jc w:val="center"/>
              <w:rPr>
                <w:rFonts w:ascii="Times New Roman" w:hAnsi="Times New Roman" w:cs="Times New Roman"/>
                <w:color w:val="auto"/>
                <w:sz w:val="21"/>
              </w:rPr>
            </w:pPr>
            <w:r>
              <w:rPr>
                <w:rFonts w:ascii="Times New Roman" w:hAnsi="Times New Roman" w:cs="Times New Roman"/>
                <w:color w:val="auto"/>
                <w:sz w:val="21"/>
              </w:rPr>
              <w:t>铬（六价）</w:t>
            </w:r>
          </w:p>
        </w:tc>
        <w:tc>
          <w:tcPr>
            <w:tcW w:w="400" w:type="pct"/>
            <w:vAlign w:val="center"/>
          </w:tcPr>
          <w:p w14:paraId="132D9297">
            <w:pPr>
              <w:jc w:val="center"/>
              <w:rPr>
                <w:rFonts w:ascii="Times New Roman" w:hAnsi="Times New Roman" w:cs="Times New Roman"/>
                <w:color w:val="auto"/>
                <w:sz w:val="21"/>
                <w:lang w:eastAsia="zh-CN"/>
              </w:rPr>
            </w:pPr>
          </w:p>
        </w:tc>
        <w:tc>
          <w:tcPr>
            <w:tcW w:w="439" w:type="pct"/>
            <w:vAlign w:val="center"/>
          </w:tcPr>
          <w:p w14:paraId="565D7243">
            <w:pPr>
              <w:jc w:val="center"/>
              <w:rPr>
                <w:rFonts w:ascii="Times New Roman" w:hAnsi="Times New Roman" w:cs="Times New Roman"/>
                <w:color w:val="auto"/>
                <w:sz w:val="21"/>
                <w:lang w:eastAsia="zh-CN"/>
              </w:rPr>
            </w:pPr>
          </w:p>
        </w:tc>
        <w:tc>
          <w:tcPr>
            <w:tcW w:w="443" w:type="pct"/>
            <w:vAlign w:val="center"/>
          </w:tcPr>
          <w:p w14:paraId="59F55226">
            <w:pPr>
              <w:jc w:val="center"/>
              <w:rPr>
                <w:rFonts w:ascii="Times New Roman" w:hAnsi="Times New Roman" w:cs="Times New Roman"/>
                <w:color w:val="auto"/>
                <w:sz w:val="21"/>
              </w:rPr>
            </w:pPr>
          </w:p>
        </w:tc>
        <w:tc>
          <w:tcPr>
            <w:tcW w:w="439" w:type="pct"/>
            <w:vAlign w:val="center"/>
          </w:tcPr>
          <w:p w14:paraId="335D6588">
            <w:pPr>
              <w:jc w:val="center"/>
              <w:rPr>
                <w:rFonts w:ascii="Times New Roman" w:hAnsi="Times New Roman" w:cs="Times New Roman"/>
                <w:color w:val="auto"/>
                <w:spacing w:val="1"/>
                <w:sz w:val="21"/>
              </w:rPr>
            </w:pPr>
          </w:p>
        </w:tc>
        <w:tc>
          <w:tcPr>
            <w:tcW w:w="439" w:type="pct"/>
            <w:vAlign w:val="center"/>
          </w:tcPr>
          <w:p w14:paraId="210CD133">
            <w:pPr>
              <w:jc w:val="center"/>
              <w:rPr>
                <w:rFonts w:ascii="Times New Roman" w:hAnsi="Times New Roman" w:cs="Times New Roman"/>
                <w:color w:val="auto"/>
                <w:spacing w:val="1"/>
                <w:sz w:val="21"/>
              </w:rPr>
            </w:pPr>
          </w:p>
        </w:tc>
        <w:tc>
          <w:tcPr>
            <w:tcW w:w="439" w:type="pct"/>
            <w:vAlign w:val="center"/>
          </w:tcPr>
          <w:p w14:paraId="03C24D40">
            <w:pPr>
              <w:jc w:val="center"/>
              <w:rPr>
                <w:rFonts w:ascii="Times New Roman" w:hAnsi="Times New Roman" w:cs="Times New Roman"/>
                <w:color w:val="auto"/>
                <w:spacing w:val="1"/>
                <w:sz w:val="21"/>
              </w:rPr>
            </w:pPr>
          </w:p>
        </w:tc>
        <w:tc>
          <w:tcPr>
            <w:tcW w:w="439" w:type="pct"/>
            <w:vAlign w:val="center"/>
          </w:tcPr>
          <w:p w14:paraId="501A3ACF">
            <w:pPr>
              <w:jc w:val="center"/>
              <w:rPr>
                <w:rFonts w:ascii="Times New Roman" w:hAnsi="Times New Roman" w:cs="Times New Roman"/>
                <w:color w:val="auto"/>
                <w:spacing w:val="1"/>
                <w:sz w:val="21"/>
              </w:rPr>
            </w:pPr>
          </w:p>
        </w:tc>
        <w:tc>
          <w:tcPr>
            <w:tcW w:w="445" w:type="pct"/>
            <w:vAlign w:val="center"/>
          </w:tcPr>
          <w:p w14:paraId="06677308">
            <w:pPr>
              <w:jc w:val="center"/>
              <w:rPr>
                <w:rFonts w:ascii="Times New Roman" w:hAnsi="Times New Roman" w:cs="Times New Roman"/>
                <w:color w:val="auto"/>
                <w:sz w:val="21"/>
              </w:rPr>
            </w:pPr>
            <w:r>
              <w:rPr>
                <w:rFonts w:ascii="Times New Roman" w:hAnsi="Times New Roman" w:cs="Times New Roman"/>
                <w:color w:val="auto"/>
                <w:sz w:val="21"/>
              </w:rPr>
              <w:t>5.7</w:t>
            </w:r>
          </w:p>
        </w:tc>
        <w:tc>
          <w:tcPr>
            <w:tcW w:w="462" w:type="pct"/>
            <w:vAlign w:val="center"/>
          </w:tcPr>
          <w:p w14:paraId="49B4BFD0">
            <w:pPr>
              <w:jc w:val="center"/>
              <w:rPr>
                <w:rFonts w:ascii="Times New Roman" w:hAnsi="Times New Roman" w:cs="Times New Roman"/>
                <w:color w:val="auto"/>
                <w:sz w:val="21"/>
                <w:lang w:eastAsia="zh-CN"/>
              </w:rPr>
            </w:pPr>
          </w:p>
        </w:tc>
        <w:tc>
          <w:tcPr>
            <w:tcW w:w="275" w:type="pct"/>
            <w:vAlign w:val="center"/>
          </w:tcPr>
          <w:p w14:paraId="362F7A76">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3BAF62F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780" w:type="pct"/>
            <w:vAlign w:val="center"/>
          </w:tcPr>
          <w:p w14:paraId="19444066">
            <w:pPr>
              <w:jc w:val="center"/>
              <w:rPr>
                <w:rFonts w:ascii="Times New Roman" w:hAnsi="Times New Roman" w:cs="Times New Roman"/>
                <w:color w:val="auto"/>
                <w:sz w:val="21"/>
              </w:rPr>
            </w:pPr>
            <w:r>
              <w:rPr>
                <w:rFonts w:ascii="Times New Roman" w:hAnsi="Times New Roman" w:cs="Times New Roman"/>
                <w:color w:val="auto"/>
                <w:sz w:val="21"/>
              </w:rPr>
              <w:t>铜</w:t>
            </w:r>
          </w:p>
        </w:tc>
        <w:tc>
          <w:tcPr>
            <w:tcW w:w="400" w:type="pct"/>
            <w:vAlign w:val="center"/>
          </w:tcPr>
          <w:p w14:paraId="6A673E7A">
            <w:pPr>
              <w:jc w:val="center"/>
              <w:rPr>
                <w:rFonts w:ascii="Times New Roman" w:hAnsi="Times New Roman" w:cs="Times New Roman"/>
                <w:color w:val="auto"/>
                <w:sz w:val="21"/>
                <w:lang w:eastAsia="zh-CN"/>
              </w:rPr>
            </w:pPr>
          </w:p>
        </w:tc>
        <w:tc>
          <w:tcPr>
            <w:tcW w:w="439" w:type="pct"/>
            <w:vAlign w:val="center"/>
          </w:tcPr>
          <w:p w14:paraId="15D4BBB8">
            <w:pPr>
              <w:jc w:val="center"/>
              <w:rPr>
                <w:rFonts w:ascii="Times New Roman" w:hAnsi="Times New Roman" w:cs="Times New Roman"/>
                <w:color w:val="auto"/>
                <w:sz w:val="21"/>
                <w:lang w:eastAsia="zh-CN"/>
              </w:rPr>
            </w:pPr>
          </w:p>
        </w:tc>
        <w:tc>
          <w:tcPr>
            <w:tcW w:w="443" w:type="pct"/>
            <w:vAlign w:val="center"/>
          </w:tcPr>
          <w:p w14:paraId="1D323CD1">
            <w:pPr>
              <w:jc w:val="center"/>
              <w:rPr>
                <w:rFonts w:ascii="Times New Roman" w:hAnsi="Times New Roman" w:cs="Times New Roman"/>
                <w:color w:val="auto"/>
                <w:sz w:val="21"/>
                <w:lang w:eastAsia="zh-CN"/>
              </w:rPr>
            </w:pPr>
          </w:p>
        </w:tc>
        <w:tc>
          <w:tcPr>
            <w:tcW w:w="439" w:type="pct"/>
            <w:vAlign w:val="center"/>
          </w:tcPr>
          <w:p w14:paraId="2B53CF88">
            <w:pPr>
              <w:jc w:val="center"/>
              <w:rPr>
                <w:rFonts w:ascii="Times New Roman" w:hAnsi="Times New Roman" w:cs="Times New Roman"/>
                <w:color w:val="auto"/>
                <w:spacing w:val="1"/>
                <w:sz w:val="21"/>
                <w:lang w:eastAsia="zh-CN"/>
              </w:rPr>
            </w:pPr>
          </w:p>
        </w:tc>
        <w:tc>
          <w:tcPr>
            <w:tcW w:w="439" w:type="pct"/>
            <w:vAlign w:val="center"/>
          </w:tcPr>
          <w:p w14:paraId="494D5153">
            <w:pPr>
              <w:jc w:val="center"/>
              <w:rPr>
                <w:rFonts w:ascii="Times New Roman" w:hAnsi="Times New Roman" w:cs="Times New Roman"/>
                <w:color w:val="auto"/>
                <w:spacing w:val="1"/>
                <w:sz w:val="21"/>
                <w:lang w:eastAsia="zh-CN"/>
              </w:rPr>
            </w:pPr>
          </w:p>
        </w:tc>
        <w:tc>
          <w:tcPr>
            <w:tcW w:w="439" w:type="pct"/>
            <w:vAlign w:val="center"/>
          </w:tcPr>
          <w:p w14:paraId="3635AA7B">
            <w:pPr>
              <w:jc w:val="center"/>
              <w:rPr>
                <w:rFonts w:ascii="Times New Roman" w:hAnsi="Times New Roman" w:cs="Times New Roman"/>
                <w:color w:val="auto"/>
                <w:spacing w:val="1"/>
                <w:sz w:val="21"/>
              </w:rPr>
            </w:pPr>
          </w:p>
        </w:tc>
        <w:tc>
          <w:tcPr>
            <w:tcW w:w="439" w:type="pct"/>
            <w:vAlign w:val="center"/>
          </w:tcPr>
          <w:p w14:paraId="43D9F58B">
            <w:pPr>
              <w:jc w:val="center"/>
              <w:rPr>
                <w:rFonts w:ascii="Times New Roman" w:hAnsi="Times New Roman" w:cs="Times New Roman"/>
                <w:color w:val="auto"/>
                <w:spacing w:val="1"/>
                <w:sz w:val="21"/>
              </w:rPr>
            </w:pPr>
          </w:p>
        </w:tc>
        <w:tc>
          <w:tcPr>
            <w:tcW w:w="445" w:type="pct"/>
            <w:vAlign w:val="center"/>
          </w:tcPr>
          <w:p w14:paraId="1596C416">
            <w:pPr>
              <w:jc w:val="center"/>
              <w:rPr>
                <w:rFonts w:ascii="Times New Roman" w:hAnsi="Times New Roman" w:cs="Times New Roman"/>
                <w:color w:val="auto"/>
                <w:sz w:val="21"/>
              </w:rPr>
            </w:pPr>
            <w:r>
              <w:rPr>
                <w:rFonts w:ascii="Times New Roman" w:hAnsi="Times New Roman" w:cs="Times New Roman"/>
                <w:color w:val="auto"/>
                <w:sz w:val="21"/>
              </w:rPr>
              <w:t>18000</w:t>
            </w:r>
          </w:p>
        </w:tc>
        <w:tc>
          <w:tcPr>
            <w:tcW w:w="462" w:type="pct"/>
            <w:vAlign w:val="center"/>
          </w:tcPr>
          <w:p w14:paraId="53ED41EE">
            <w:pPr>
              <w:jc w:val="center"/>
              <w:rPr>
                <w:rFonts w:ascii="Times New Roman" w:hAnsi="Times New Roman" w:cs="Times New Roman"/>
                <w:color w:val="auto"/>
                <w:sz w:val="21"/>
                <w:lang w:eastAsia="zh-CN"/>
              </w:rPr>
            </w:pPr>
          </w:p>
        </w:tc>
        <w:tc>
          <w:tcPr>
            <w:tcW w:w="275" w:type="pct"/>
            <w:vAlign w:val="center"/>
          </w:tcPr>
          <w:p w14:paraId="50071B4E">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094C59EC">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780" w:type="pct"/>
            <w:vAlign w:val="center"/>
          </w:tcPr>
          <w:p w14:paraId="52757414">
            <w:pPr>
              <w:jc w:val="center"/>
              <w:rPr>
                <w:rFonts w:ascii="Times New Roman" w:hAnsi="Times New Roman" w:cs="Times New Roman"/>
                <w:color w:val="auto"/>
                <w:sz w:val="21"/>
              </w:rPr>
            </w:pPr>
            <w:r>
              <w:rPr>
                <w:rFonts w:ascii="Times New Roman" w:hAnsi="Times New Roman" w:cs="Times New Roman"/>
                <w:color w:val="auto"/>
                <w:sz w:val="21"/>
              </w:rPr>
              <w:t>铅</w:t>
            </w:r>
          </w:p>
        </w:tc>
        <w:tc>
          <w:tcPr>
            <w:tcW w:w="400" w:type="pct"/>
            <w:vAlign w:val="center"/>
          </w:tcPr>
          <w:p w14:paraId="7EF2F9E1">
            <w:pPr>
              <w:jc w:val="center"/>
              <w:rPr>
                <w:rFonts w:ascii="Times New Roman" w:hAnsi="Times New Roman" w:cs="Times New Roman"/>
                <w:color w:val="auto"/>
                <w:sz w:val="21"/>
                <w:lang w:eastAsia="zh-CN"/>
              </w:rPr>
            </w:pPr>
          </w:p>
        </w:tc>
        <w:tc>
          <w:tcPr>
            <w:tcW w:w="439" w:type="pct"/>
            <w:vAlign w:val="center"/>
          </w:tcPr>
          <w:p w14:paraId="4A692C0B">
            <w:pPr>
              <w:jc w:val="center"/>
              <w:rPr>
                <w:rFonts w:ascii="Times New Roman" w:hAnsi="Times New Roman" w:cs="Times New Roman"/>
                <w:color w:val="auto"/>
                <w:sz w:val="21"/>
                <w:lang w:eastAsia="zh-CN"/>
              </w:rPr>
            </w:pPr>
          </w:p>
        </w:tc>
        <w:tc>
          <w:tcPr>
            <w:tcW w:w="443" w:type="pct"/>
            <w:vAlign w:val="center"/>
          </w:tcPr>
          <w:p w14:paraId="3FCB6CDA">
            <w:pPr>
              <w:jc w:val="center"/>
              <w:rPr>
                <w:rFonts w:ascii="Times New Roman" w:hAnsi="Times New Roman" w:cs="Times New Roman"/>
                <w:color w:val="auto"/>
                <w:sz w:val="21"/>
                <w:lang w:eastAsia="zh-CN"/>
              </w:rPr>
            </w:pPr>
          </w:p>
        </w:tc>
        <w:tc>
          <w:tcPr>
            <w:tcW w:w="439" w:type="pct"/>
            <w:vAlign w:val="center"/>
          </w:tcPr>
          <w:p w14:paraId="7A1BAC47">
            <w:pPr>
              <w:jc w:val="center"/>
              <w:rPr>
                <w:rFonts w:ascii="Times New Roman" w:hAnsi="Times New Roman" w:cs="Times New Roman"/>
                <w:color w:val="auto"/>
                <w:spacing w:val="1"/>
                <w:sz w:val="21"/>
                <w:lang w:eastAsia="zh-CN"/>
              </w:rPr>
            </w:pPr>
          </w:p>
        </w:tc>
        <w:tc>
          <w:tcPr>
            <w:tcW w:w="439" w:type="pct"/>
            <w:vAlign w:val="center"/>
          </w:tcPr>
          <w:p w14:paraId="12AD0BC5">
            <w:pPr>
              <w:jc w:val="center"/>
              <w:rPr>
                <w:rFonts w:ascii="Times New Roman" w:hAnsi="Times New Roman" w:cs="Times New Roman"/>
                <w:color w:val="auto"/>
                <w:spacing w:val="1"/>
                <w:sz w:val="21"/>
                <w:lang w:eastAsia="zh-CN"/>
              </w:rPr>
            </w:pPr>
          </w:p>
        </w:tc>
        <w:tc>
          <w:tcPr>
            <w:tcW w:w="439" w:type="pct"/>
            <w:vAlign w:val="center"/>
          </w:tcPr>
          <w:p w14:paraId="13A92E4E">
            <w:pPr>
              <w:jc w:val="center"/>
              <w:rPr>
                <w:rFonts w:ascii="Times New Roman" w:hAnsi="Times New Roman" w:cs="Times New Roman"/>
                <w:color w:val="auto"/>
                <w:spacing w:val="1"/>
                <w:sz w:val="21"/>
              </w:rPr>
            </w:pPr>
          </w:p>
        </w:tc>
        <w:tc>
          <w:tcPr>
            <w:tcW w:w="439" w:type="pct"/>
            <w:vAlign w:val="center"/>
          </w:tcPr>
          <w:p w14:paraId="5C62207B">
            <w:pPr>
              <w:jc w:val="center"/>
              <w:rPr>
                <w:rFonts w:ascii="Times New Roman" w:hAnsi="Times New Roman" w:cs="Times New Roman"/>
                <w:color w:val="auto"/>
                <w:spacing w:val="1"/>
                <w:sz w:val="21"/>
              </w:rPr>
            </w:pPr>
          </w:p>
        </w:tc>
        <w:tc>
          <w:tcPr>
            <w:tcW w:w="445" w:type="pct"/>
            <w:vAlign w:val="center"/>
          </w:tcPr>
          <w:p w14:paraId="47F0A524">
            <w:pPr>
              <w:jc w:val="center"/>
              <w:rPr>
                <w:rFonts w:ascii="Times New Roman" w:hAnsi="Times New Roman" w:cs="Times New Roman"/>
                <w:color w:val="auto"/>
                <w:sz w:val="21"/>
              </w:rPr>
            </w:pPr>
            <w:r>
              <w:rPr>
                <w:rFonts w:ascii="Times New Roman" w:hAnsi="Times New Roman" w:cs="Times New Roman"/>
                <w:color w:val="auto"/>
                <w:sz w:val="21"/>
              </w:rPr>
              <w:t>800</w:t>
            </w:r>
          </w:p>
        </w:tc>
        <w:tc>
          <w:tcPr>
            <w:tcW w:w="462" w:type="pct"/>
            <w:vAlign w:val="center"/>
          </w:tcPr>
          <w:p w14:paraId="75FC33A9">
            <w:pPr>
              <w:jc w:val="center"/>
              <w:rPr>
                <w:rFonts w:ascii="Times New Roman" w:hAnsi="Times New Roman" w:cs="Times New Roman"/>
                <w:color w:val="auto"/>
                <w:sz w:val="21"/>
                <w:lang w:eastAsia="zh-CN"/>
              </w:rPr>
            </w:pPr>
          </w:p>
        </w:tc>
        <w:tc>
          <w:tcPr>
            <w:tcW w:w="275" w:type="pct"/>
            <w:vAlign w:val="center"/>
          </w:tcPr>
          <w:p w14:paraId="6756D593">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3EBBE28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780" w:type="pct"/>
            <w:vAlign w:val="center"/>
          </w:tcPr>
          <w:p w14:paraId="51226D54">
            <w:pPr>
              <w:jc w:val="center"/>
              <w:rPr>
                <w:rFonts w:ascii="Times New Roman" w:hAnsi="Times New Roman" w:cs="Times New Roman"/>
                <w:color w:val="auto"/>
                <w:sz w:val="21"/>
              </w:rPr>
            </w:pPr>
            <w:r>
              <w:rPr>
                <w:rFonts w:ascii="Times New Roman" w:hAnsi="Times New Roman" w:cs="Times New Roman"/>
                <w:color w:val="auto"/>
                <w:sz w:val="21"/>
              </w:rPr>
              <w:t>汞</w:t>
            </w:r>
          </w:p>
        </w:tc>
        <w:tc>
          <w:tcPr>
            <w:tcW w:w="400" w:type="pct"/>
            <w:vAlign w:val="center"/>
          </w:tcPr>
          <w:p w14:paraId="30C90B01">
            <w:pPr>
              <w:jc w:val="center"/>
              <w:rPr>
                <w:rFonts w:ascii="Times New Roman" w:hAnsi="Times New Roman" w:cs="Times New Roman"/>
                <w:color w:val="auto"/>
                <w:sz w:val="21"/>
                <w:lang w:eastAsia="zh-CN"/>
              </w:rPr>
            </w:pPr>
          </w:p>
        </w:tc>
        <w:tc>
          <w:tcPr>
            <w:tcW w:w="439" w:type="pct"/>
            <w:vAlign w:val="center"/>
          </w:tcPr>
          <w:p w14:paraId="2BB7F6E3">
            <w:pPr>
              <w:jc w:val="center"/>
              <w:rPr>
                <w:rFonts w:ascii="Times New Roman" w:hAnsi="Times New Roman" w:cs="Times New Roman"/>
                <w:color w:val="auto"/>
                <w:sz w:val="21"/>
                <w:lang w:eastAsia="zh-CN"/>
              </w:rPr>
            </w:pPr>
          </w:p>
        </w:tc>
        <w:tc>
          <w:tcPr>
            <w:tcW w:w="443" w:type="pct"/>
            <w:vAlign w:val="center"/>
          </w:tcPr>
          <w:p w14:paraId="4B872DEB">
            <w:pPr>
              <w:jc w:val="center"/>
              <w:rPr>
                <w:rFonts w:ascii="Times New Roman" w:hAnsi="Times New Roman" w:cs="Times New Roman"/>
                <w:color w:val="auto"/>
                <w:sz w:val="21"/>
                <w:lang w:eastAsia="zh-CN"/>
              </w:rPr>
            </w:pPr>
          </w:p>
        </w:tc>
        <w:tc>
          <w:tcPr>
            <w:tcW w:w="439" w:type="pct"/>
            <w:vAlign w:val="center"/>
          </w:tcPr>
          <w:p w14:paraId="1BF966D7">
            <w:pPr>
              <w:jc w:val="center"/>
              <w:rPr>
                <w:rFonts w:ascii="Times New Roman" w:hAnsi="Times New Roman" w:cs="Times New Roman"/>
                <w:color w:val="auto"/>
                <w:spacing w:val="1"/>
                <w:sz w:val="21"/>
                <w:lang w:eastAsia="zh-CN"/>
              </w:rPr>
            </w:pPr>
          </w:p>
        </w:tc>
        <w:tc>
          <w:tcPr>
            <w:tcW w:w="439" w:type="pct"/>
            <w:vAlign w:val="center"/>
          </w:tcPr>
          <w:p w14:paraId="49EB111C">
            <w:pPr>
              <w:jc w:val="center"/>
              <w:rPr>
                <w:rFonts w:ascii="Times New Roman" w:hAnsi="Times New Roman" w:cs="Times New Roman"/>
                <w:color w:val="auto"/>
                <w:spacing w:val="1"/>
                <w:sz w:val="21"/>
                <w:lang w:eastAsia="zh-CN"/>
              </w:rPr>
            </w:pPr>
          </w:p>
        </w:tc>
        <w:tc>
          <w:tcPr>
            <w:tcW w:w="439" w:type="pct"/>
            <w:vAlign w:val="center"/>
          </w:tcPr>
          <w:p w14:paraId="59FC3231">
            <w:pPr>
              <w:jc w:val="center"/>
              <w:rPr>
                <w:rFonts w:ascii="Times New Roman" w:hAnsi="Times New Roman" w:cs="Times New Roman"/>
                <w:color w:val="auto"/>
                <w:spacing w:val="1"/>
                <w:sz w:val="21"/>
              </w:rPr>
            </w:pPr>
          </w:p>
        </w:tc>
        <w:tc>
          <w:tcPr>
            <w:tcW w:w="439" w:type="pct"/>
            <w:vAlign w:val="center"/>
          </w:tcPr>
          <w:p w14:paraId="3B1E6588">
            <w:pPr>
              <w:jc w:val="center"/>
              <w:rPr>
                <w:rFonts w:ascii="Times New Roman" w:hAnsi="Times New Roman" w:cs="Times New Roman"/>
                <w:color w:val="auto"/>
                <w:spacing w:val="1"/>
                <w:sz w:val="21"/>
              </w:rPr>
            </w:pPr>
          </w:p>
        </w:tc>
        <w:tc>
          <w:tcPr>
            <w:tcW w:w="445" w:type="pct"/>
            <w:vAlign w:val="center"/>
          </w:tcPr>
          <w:p w14:paraId="5F264FA6">
            <w:pPr>
              <w:jc w:val="center"/>
              <w:rPr>
                <w:rFonts w:ascii="Times New Roman" w:hAnsi="Times New Roman" w:cs="Times New Roman"/>
                <w:color w:val="auto"/>
                <w:sz w:val="21"/>
              </w:rPr>
            </w:pPr>
            <w:r>
              <w:rPr>
                <w:rFonts w:ascii="Times New Roman" w:hAnsi="Times New Roman" w:cs="Times New Roman"/>
                <w:color w:val="auto"/>
                <w:sz w:val="21"/>
              </w:rPr>
              <w:t>38</w:t>
            </w:r>
          </w:p>
        </w:tc>
        <w:tc>
          <w:tcPr>
            <w:tcW w:w="462" w:type="pct"/>
            <w:vAlign w:val="center"/>
          </w:tcPr>
          <w:p w14:paraId="5BCA77B5">
            <w:pPr>
              <w:jc w:val="center"/>
              <w:rPr>
                <w:rFonts w:ascii="Times New Roman" w:hAnsi="Times New Roman" w:cs="Times New Roman"/>
                <w:color w:val="auto"/>
                <w:sz w:val="21"/>
                <w:lang w:eastAsia="zh-CN"/>
              </w:rPr>
            </w:pPr>
          </w:p>
        </w:tc>
        <w:tc>
          <w:tcPr>
            <w:tcW w:w="275" w:type="pct"/>
            <w:vAlign w:val="center"/>
          </w:tcPr>
          <w:p w14:paraId="015F43E2">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135BE51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780" w:type="pct"/>
            <w:vAlign w:val="center"/>
          </w:tcPr>
          <w:p w14:paraId="48ED71EA">
            <w:pPr>
              <w:jc w:val="center"/>
              <w:rPr>
                <w:rFonts w:ascii="Times New Roman" w:hAnsi="Times New Roman" w:cs="Times New Roman"/>
                <w:color w:val="auto"/>
                <w:sz w:val="21"/>
              </w:rPr>
            </w:pPr>
            <w:r>
              <w:rPr>
                <w:rFonts w:ascii="Times New Roman" w:hAnsi="Times New Roman" w:cs="Times New Roman"/>
                <w:color w:val="auto"/>
                <w:sz w:val="21"/>
              </w:rPr>
              <w:t>镍</w:t>
            </w:r>
          </w:p>
        </w:tc>
        <w:tc>
          <w:tcPr>
            <w:tcW w:w="400" w:type="pct"/>
            <w:vAlign w:val="center"/>
          </w:tcPr>
          <w:p w14:paraId="5837F765">
            <w:pPr>
              <w:jc w:val="center"/>
              <w:rPr>
                <w:rFonts w:ascii="Times New Roman" w:hAnsi="Times New Roman" w:cs="Times New Roman"/>
                <w:color w:val="auto"/>
                <w:sz w:val="21"/>
                <w:lang w:eastAsia="zh-CN"/>
              </w:rPr>
            </w:pPr>
          </w:p>
        </w:tc>
        <w:tc>
          <w:tcPr>
            <w:tcW w:w="439" w:type="pct"/>
            <w:vAlign w:val="center"/>
          </w:tcPr>
          <w:p w14:paraId="761AD247">
            <w:pPr>
              <w:jc w:val="center"/>
              <w:rPr>
                <w:rFonts w:ascii="Times New Roman" w:hAnsi="Times New Roman" w:cs="Times New Roman"/>
                <w:color w:val="auto"/>
                <w:sz w:val="21"/>
                <w:lang w:eastAsia="zh-CN"/>
              </w:rPr>
            </w:pPr>
          </w:p>
        </w:tc>
        <w:tc>
          <w:tcPr>
            <w:tcW w:w="443" w:type="pct"/>
            <w:vAlign w:val="center"/>
          </w:tcPr>
          <w:p w14:paraId="7E01DFE8">
            <w:pPr>
              <w:jc w:val="center"/>
              <w:rPr>
                <w:rFonts w:ascii="Times New Roman" w:hAnsi="Times New Roman" w:cs="Times New Roman"/>
                <w:color w:val="auto"/>
                <w:sz w:val="21"/>
                <w:lang w:eastAsia="zh-CN"/>
              </w:rPr>
            </w:pPr>
          </w:p>
        </w:tc>
        <w:tc>
          <w:tcPr>
            <w:tcW w:w="439" w:type="pct"/>
            <w:vAlign w:val="center"/>
          </w:tcPr>
          <w:p w14:paraId="28F7B9B3">
            <w:pPr>
              <w:jc w:val="center"/>
              <w:rPr>
                <w:rFonts w:ascii="Times New Roman" w:hAnsi="Times New Roman" w:cs="Times New Roman"/>
                <w:color w:val="auto"/>
                <w:spacing w:val="1"/>
                <w:sz w:val="21"/>
                <w:lang w:eastAsia="zh-CN"/>
              </w:rPr>
            </w:pPr>
          </w:p>
        </w:tc>
        <w:tc>
          <w:tcPr>
            <w:tcW w:w="439" w:type="pct"/>
            <w:vAlign w:val="center"/>
          </w:tcPr>
          <w:p w14:paraId="429BC997">
            <w:pPr>
              <w:jc w:val="center"/>
              <w:rPr>
                <w:rFonts w:ascii="Times New Roman" w:hAnsi="Times New Roman" w:cs="Times New Roman"/>
                <w:color w:val="auto"/>
                <w:spacing w:val="1"/>
                <w:sz w:val="21"/>
                <w:lang w:eastAsia="zh-CN"/>
              </w:rPr>
            </w:pPr>
          </w:p>
        </w:tc>
        <w:tc>
          <w:tcPr>
            <w:tcW w:w="439" w:type="pct"/>
            <w:vAlign w:val="center"/>
          </w:tcPr>
          <w:p w14:paraId="6D917D38">
            <w:pPr>
              <w:jc w:val="center"/>
              <w:rPr>
                <w:rFonts w:ascii="Times New Roman" w:hAnsi="Times New Roman" w:cs="Times New Roman"/>
                <w:color w:val="auto"/>
                <w:spacing w:val="1"/>
                <w:sz w:val="21"/>
              </w:rPr>
            </w:pPr>
          </w:p>
        </w:tc>
        <w:tc>
          <w:tcPr>
            <w:tcW w:w="439" w:type="pct"/>
            <w:vAlign w:val="center"/>
          </w:tcPr>
          <w:p w14:paraId="017DC59C">
            <w:pPr>
              <w:jc w:val="center"/>
              <w:rPr>
                <w:rFonts w:ascii="Times New Roman" w:hAnsi="Times New Roman" w:cs="Times New Roman"/>
                <w:color w:val="auto"/>
                <w:spacing w:val="1"/>
                <w:sz w:val="21"/>
              </w:rPr>
            </w:pPr>
          </w:p>
        </w:tc>
        <w:tc>
          <w:tcPr>
            <w:tcW w:w="445" w:type="pct"/>
            <w:vAlign w:val="center"/>
          </w:tcPr>
          <w:p w14:paraId="2C447C7A">
            <w:pPr>
              <w:jc w:val="center"/>
              <w:rPr>
                <w:rFonts w:ascii="Times New Roman" w:hAnsi="Times New Roman" w:cs="Times New Roman"/>
                <w:color w:val="auto"/>
                <w:sz w:val="21"/>
              </w:rPr>
            </w:pPr>
            <w:r>
              <w:rPr>
                <w:rFonts w:ascii="Times New Roman" w:hAnsi="Times New Roman" w:cs="Times New Roman"/>
                <w:color w:val="auto"/>
                <w:sz w:val="21"/>
              </w:rPr>
              <w:t>900</w:t>
            </w:r>
          </w:p>
        </w:tc>
        <w:tc>
          <w:tcPr>
            <w:tcW w:w="462" w:type="pct"/>
            <w:vAlign w:val="center"/>
          </w:tcPr>
          <w:p w14:paraId="5A681BA7">
            <w:pPr>
              <w:jc w:val="center"/>
              <w:rPr>
                <w:rFonts w:ascii="Times New Roman" w:hAnsi="Times New Roman" w:cs="Times New Roman"/>
                <w:color w:val="auto"/>
                <w:sz w:val="21"/>
                <w:lang w:eastAsia="zh-CN"/>
              </w:rPr>
            </w:pPr>
          </w:p>
        </w:tc>
        <w:tc>
          <w:tcPr>
            <w:tcW w:w="275" w:type="pct"/>
            <w:vAlign w:val="center"/>
          </w:tcPr>
          <w:p w14:paraId="66F9AC82">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429C589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780" w:type="pct"/>
            <w:vAlign w:val="center"/>
          </w:tcPr>
          <w:p w14:paraId="476FC851">
            <w:pPr>
              <w:jc w:val="center"/>
              <w:rPr>
                <w:rFonts w:ascii="Times New Roman" w:hAnsi="Times New Roman" w:cs="Times New Roman"/>
                <w:color w:val="auto"/>
                <w:sz w:val="21"/>
              </w:rPr>
            </w:pPr>
            <w:r>
              <w:rPr>
                <w:rFonts w:ascii="Times New Roman" w:hAnsi="Times New Roman" w:cs="Times New Roman"/>
                <w:color w:val="auto"/>
                <w:sz w:val="21"/>
              </w:rPr>
              <w:t>四氯化碳</w:t>
            </w:r>
          </w:p>
        </w:tc>
        <w:tc>
          <w:tcPr>
            <w:tcW w:w="400" w:type="pct"/>
            <w:vAlign w:val="center"/>
          </w:tcPr>
          <w:p w14:paraId="2664B108">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39" w:type="pct"/>
            <w:vAlign w:val="center"/>
          </w:tcPr>
          <w:p w14:paraId="7FE83F11">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43" w:type="pct"/>
            <w:vAlign w:val="center"/>
          </w:tcPr>
          <w:p w14:paraId="0BC8741A">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39" w:type="pct"/>
            <w:vAlign w:val="center"/>
          </w:tcPr>
          <w:p w14:paraId="241AC5EA">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32276BE3">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2D62C10D">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4094E48B">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59848CF6">
            <w:pPr>
              <w:jc w:val="center"/>
              <w:rPr>
                <w:rFonts w:ascii="Times New Roman" w:hAnsi="Times New Roman" w:cs="Times New Roman"/>
                <w:color w:val="auto"/>
                <w:sz w:val="21"/>
              </w:rPr>
            </w:pPr>
            <w:r>
              <w:rPr>
                <w:rFonts w:ascii="Times New Roman" w:hAnsi="Times New Roman" w:cs="Times New Roman"/>
                <w:color w:val="auto"/>
                <w:sz w:val="21"/>
              </w:rPr>
              <w:t>2.8</w:t>
            </w:r>
          </w:p>
        </w:tc>
        <w:tc>
          <w:tcPr>
            <w:tcW w:w="462" w:type="pct"/>
            <w:vAlign w:val="center"/>
          </w:tcPr>
          <w:p w14:paraId="4D209B5F">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275" w:type="pct"/>
            <w:vAlign w:val="center"/>
          </w:tcPr>
          <w:p w14:paraId="76F57BD4">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0EE1CB9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780" w:type="pct"/>
            <w:vAlign w:val="center"/>
          </w:tcPr>
          <w:p w14:paraId="02FEA9E4">
            <w:pPr>
              <w:jc w:val="center"/>
              <w:rPr>
                <w:rFonts w:ascii="Times New Roman" w:hAnsi="Times New Roman" w:cs="Times New Roman"/>
                <w:color w:val="auto"/>
                <w:sz w:val="21"/>
              </w:rPr>
            </w:pPr>
            <w:r>
              <w:rPr>
                <w:rFonts w:ascii="Times New Roman" w:hAnsi="Times New Roman" w:cs="Times New Roman"/>
                <w:color w:val="auto"/>
                <w:sz w:val="21"/>
              </w:rPr>
              <w:t>氯仿</w:t>
            </w:r>
          </w:p>
        </w:tc>
        <w:tc>
          <w:tcPr>
            <w:tcW w:w="400" w:type="pct"/>
            <w:vAlign w:val="center"/>
          </w:tcPr>
          <w:p w14:paraId="7EC842ED">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39" w:type="pct"/>
            <w:vAlign w:val="center"/>
          </w:tcPr>
          <w:p w14:paraId="63BC79A8">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43" w:type="pct"/>
            <w:vAlign w:val="center"/>
          </w:tcPr>
          <w:p w14:paraId="509400AA">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39" w:type="pct"/>
            <w:vAlign w:val="center"/>
          </w:tcPr>
          <w:p w14:paraId="58EA6368">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32F46AF8">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65B86BEE">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6F11805F">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30EA356F">
            <w:pPr>
              <w:jc w:val="center"/>
              <w:rPr>
                <w:rFonts w:ascii="Times New Roman" w:hAnsi="Times New Roman" w:cs="Times New Roman"/>
                <w:color w:val="auto"/>
                <w:sz w:val="21"/>
              </w:rPr>
            </w:pPr>
            <w:r>
              <w:rPr>
                <w:rFonts w:ascii="Times New Roman" w:hAnsi="Times New Roman" w:cs="Times New Roman"/>
                <w:color w:val="auto"/>
                <w:sz w:val="21"/>
              </w:rPr>
              <w:t>0.9</w:t>
            </w:r>
          </w:p>
        </w:tc>
        <w:tc>
          <w:tcPr>
            <w:tcW w:w="462" w:type="pct"/>
            <w:vAlign w:val="center"/>
          </w:tcPr>
          <w:p w14:paraId="2410B1B4">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275" w:type="pct"/>
            <w:vAlign w:val="center"/>
          </w:tcPr>
          <w:p w14:paraId="2F7DF9B8">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69B96C3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780" w:type="pct"/>
            <w:vAlign w:val="center"/>
          </w:tcPr>
          <w:p w14:paraId="074BCE67">
            <w:pPr>
              <w:jc w:val="center"/>
              <w:rPr>
                <w:rFonts w:ascii="Times New Roman" w:hAnsi="Times New Roman" w:cs="Times New Roman"/>
                <w:color w:val="auto"/>
                <w:sz w:val="21"/>
              </w:rPr>
            </w:pPr>
            <w:r>
              <w:rPr>
                <w:rFonts w:ascii="Times New Roman" w:hAnsi="Times New Roman" w:cs="Times New Roman"/>
                <w:color w:val="auto"/>
                <w:sz w:val="21"/>
              </w:rPr>
              <w:t>氯甲烷</w:t>
            </w:r>
          </w:p>
        </w:tc>
        <w:tc>
          <w:tcPr>
            <w:tcW w:w="400" w:type="pct"/>
            <w:vAlign w:val="center"/>
          </w:tcPr>
          <w:p w14:paraId="0239EC89">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39" w:type="pct"/>
            <w:vAlign w:val="center"/>
          </w:tcPr>
          <w:p w14:paraId="0333F035">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43" w:type="pct"/>
            <w:vAlign w:val="center"/>
          </w:tcPr>
          <w:p w14:paraId="7A92C9B7">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39" w:type="pct"/>
            <w:vAlign w:val="center"/>
          </w:tcPr>
          <w:p w14:paraId="6C51659D">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09B41F37">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5E1E391A">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48817628">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09E6773D">
            <w:pPr>
              <w:jc w:val="center"/>
              <w:rPr>
                <w:rFonts w:ascii="Times New Roman" w:hAnsi="Times New Roman" w:cs="Times New Roman"/>
                <w:color w:val="auto"/>
                <w:sz w:val="21"/>
              </w:rPr>
            </w:pPr>
            <w:r>
              <w:rPr>
                <w:rFonts w:ascii="Times New Roman" w:hAnsi="Times New Roman" w:cs="Times New Roman"/>
                <w:color w:val="auto"/>
                <w:sz w:val="21"/>
              </w:rPr>
              <w:t>37</w:t>
            </w:r>
          </w:p>
        </w:tc>
        <w:tc>
          <w:tcPr>
            <w:tcW w:w="462" w:type="pct"/>
            <w:vAlign w:val="center"/>
          </w:tcPr>
          <w:p w14:paraId="69792178">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275" w:type="pct"/>
            <w:vAlign w:val="center"/>
          </w:tcPr>
          <w:p w14:paraId="6705EF47">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6B8A68E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780" w:type="pct"/>
            <w:vAlign w:val="center"/>
          </w:tcPr>
          <w:p w14:paraId="0978F8EF">
            <w:pPr>
              <w:jc w:val="center"/>
              <w:rPr>
                <w:rFonts w:ascii="Times New Roman" w:hAnsi="Times New Roman" w:cs="Times New Roman"/>
                <w:color w:val="auto"/>
                <w:sz w:val="21"/>
              </w:rPr>
            </w:pPr>
            <w:r>
              <w:rPr>
                <w:rFonts w:ascii="Times New Roman" w:hAnsi="Times New Roman" w:cs="Times New Roman"/>
                <w:color w:val="auto"/>
                <w:sz w:val="21"/>
              </w:rPr>
              <w:t>1, 1-二氯乙烷</w:t>
            </w:r>
          </w:p>
        </w:tc>
        <w:tc>
          <w:tcPr>
            <w:tcW w:w="400" w:type="pct"/>
            <w:vAlign w:val="center"/>
          </w:tcPr>
          <w:p w14:paraId="00F2ADD6">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39" w:type="pct"/>
            <w:vAlign w:val="center"/>
          </w:tcPr>
          <w:p w14:paraId="7903A961">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43" w:type="pct"/>
            <w:vAlign w:val="center"/>
          </w:tcPr>
          <w:p w14:paraId="1C85E8C0">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39" w:type="pct"/>
            <w:vAlign w:val="center"/>
          </w:tcPr>
          <w:p w14:paraId="583ECC2A">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7C2B4CDB">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24307974">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72B00F69">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02B8FE15">
            <w:pPr>
              <w:jc w:val="center"/>
              <w:rPr>
                <w:rFonts w:ascii="Times New Roman" w:hAnsi="Times New Roman" w:cs="Times New Roman"/>
                <w:color w:val="auto"/>
                <w:sz w:val="21"/>
              </w:rPr>
            </w:pPr>
            <w:r>
              <w:rPr>
                <w:rFonts w:ascii="Times New Roman" w:hAnsi="Times New Roman" w:cs="Times New Roman"/>
                <w:color w:val="auto"/>
                <w:sz w:val="21"/>
              </w:rPr>
              <w:t>9</w:t>
            </w:r>
          </w:p>
        </w:tc>
        <w:tc>
          <w:tcPr>
            <w:tcW w:w="462" w:type="pct"/>
            <w:vAlign w:val="center"/>
          </w:tcPr>
          <w:p w14:paraId="0DF82FAB">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275" w:type="pct"/>
            <w:vAlign w:val="center"/>
          </w:tcPr>
          <w:p w14:paraId="054963E8">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51B127E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780" w:type="pct"/>
            <w:vAlign w:val="center"/>
          </w:tcPr>
          <w:p w14:paraId="37E7A43D">
            <w:pPr>
              <w:jc w:val="center"/>
              <w:rPr>
                <w:rFonts w:ascii="Times New Roman" w:hAnsi="Times New Roman" w:cs="Times New Roman"/>
                <w:color w:val="auto"/>
                <w:sz w:val="21"/>
              </w:rPr>
            </w:pPr>
            <w:r>
              <w:rPr>
                <w:rFonts w:ascii="Times New Roman" w:hAnsi="Times New Roman" w:cs="Times New Roman"/>
                <w:color w:val="auto"/>
                <w:sz w:val="21"/>
              </w:rPr>
              <w:t>1,2-二氯乙烷</w:t>
            </w:r>
          </w:p>
        </w:tc>
        <w:tc>
          <w:tcPr>
            <w:tcW w:w="400" w:type="pct"/>
            <w:vAlign w:val="center"/>
          </w:tcPr>
          <w:p w14:paraId="4C9479B9">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39" w:type="pct"/>
            <w:vAlign w:val="center"/>
          </w:tcPr>
          <w:p w14:paraId="770E8592">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43" w:type="pct"/>
            <w:vAlign w:val="center"/>
          </w:tcPr>
          <w:p w14:paraId="03272A4E">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39" w:type="pct"/>
            <w:vAlign w:val="center"/>
          </w:tcPr>
          <w:p w14:paraId="108E93FB">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48CFCD04">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66F8F236">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7770E0B3">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6F9D117B">
            <w:pPr>
              <w:jc w:val="center"/>
              <w:rPr>
                <w:rFonts w:ascii="Times New Roman" w:hAnsi="Times New Roman" w:cs="Times New Roman"/>
                <w:color w:val="auto"/>
                <w:sz w:val="21"/>
              </w:rPr>
            </w:pPr>
            <w:r>
              <w:rPr>
                <w:rFonts w:ascii="Times New Roman" w:hAnsi="Times New Roman" w:cs="Times New Roman"/>
                <w:color w:val="auto"/>
                <w:sz w:val="21"/>
              </w:rPr>
              <w:t>5</w:t>
            </w:r>
          </w:p>
        </w:tc>
        <w:tc>
          <w:tcPr>
            <w:tcW w:w="462" w:type="pct"/>
            <w:vAlign w:val="center"/>
          </w:tcPr>
          <w:p w14:paraId="77B491B1">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654636CC">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07290C0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780" w:type="pct"/>
            <w:vAlign w:val="center"/>
          </w:tcPr>
          <w:p w14:paraId="14554D39">
            <w:pPr>
              <w:jc w:val="center"/>
              <w:rPr>
                <w:rFonts w:ascii="Times New Roman" w:hAnsi="Times New Roman" w:cs="Times New Roman"/>
                <w:color w:val="auto"/>
                <w:sz w:val="21"/>
              </w:rPr>
            </w:pPr>
            <w:r>
              <w:rPr>
                <w:rFonts w:ascii="Times New Roman" w:hAnsi="Times New Roman" w:cs="Times New Roman"/>
                <w:color w:val="auto"/>
                <w:sz w:val="21"/>
              </w:rPr>
              <w:t>1, 1-二氯乙烯</w:t>
            </w:r>
          </w:p>
        </w:tc>
        <w:tc>
          <w:tcPr>
            <w:tcW w:w="400" w:type="pct"/>
            <w:vAlign w:val="center"/>
          </w:tcPr>
          <w:p w14:paraId="278037EF">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39" w:type="pct"/>
            <w:vAlign w:val="center"/>
          </w:tcPr>
          <w:p w14:paraId="7CEE9673">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43" w:type="pct"/>
            <w:vAlign w:val="center"/>
          </w:tcPr>
          <w:p w14:paraId="680EB6AE">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39" w:type="pct"/>
            <w:vAlign w:val="center"/>
          </w:tcPr>
          <w:p w14:paraId="178329A0">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1DE08EA2">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4ACC9679">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25B56D96">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46475411">
            <w:pPr>
              <w:jc w:val="center"/>
              <w:rPr>
                <w:rFonts w:ascii="Times New Roman" w:hAnsi="Times New Roman" w:cs="Times New Roman"/>
                <w:color w:val="auto"/>
                <w:sz w:val="21"/>
              </w:rPr>
            </w:pPr>
            <w:r>
              <w:rPr>
                <w:rFonts w:ascii="Times New Roman" w:hAnsi="Times New Roman" w:cs="Times New Roman"/>
                <w:color w:val="auto"/>
                <w:sz w:val="21"/>
              </w:rPr>
              <w:t>66</w:t>
            </w:r>
          </w:p>
        </w:tc>
        <w:tc>
          <w:tcPr>
            <w:tcW w:w="462" w:type="pct"/>
            <w:vAlign w:val="center"/>
          </w:tcPr>
          <w:p w14:paraId="3970E48C">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3AFC9691">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489CE65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780" w:type="pct"/>
            <w:vAlign w:val="center"/>
          </w:tcPr>
          <w:p w14:paraId="4CBE0EE0">
            <w:pPr>
              <w:jc w:val="center"/>
              <w:rPr>
                <w:rFonts w:ascii="Times New Roman" w:hAnsi="Times New Roman" w:cs="Times New Roman"/>
                <w:color w:val="auto"/>
                <w:sz w:val="21"/>
              </w:rPr>
            </w:pPr>
            <w:r>
              <w:rPr>
                <w:rFonts w:ascii="Times New Roman" w:hAnsi="Times New Roman" w:cs="Times New Roman"/>
                <w:color w:val="auto"/>
                <w:sz w:val="21"/>
              </w:rPr>
              <w:t>顺 1,2-二氯乙烯</w:t>
            </w:r>
          </w:p>
        </w:tc>
        <w:tc>
          <w:tcPr>
            <w:tcW w:w="400" w:type="pct"/>
            <w:vAlign w:val="center"/>
          </w:tcPr>
          <w:p w14:paraId="324D8E07">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39" w:type="pct"/>
            <w:vAlign w:val="center"/>
          </w:tcPr>
          <w:p w14:paraId="644E7689">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43" w:type="pct"/>
            <w:vAlign w:val="center"/>
          </w:tcPr>
          <w:p w14:paraId="3126575D">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39" w:type="pct"/>
            <w:vAlign w:val="center"/>
          </w:tcPr>
          <w:p w14:paraId="26F24C59">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3867C9B3">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00B1A9EE">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3AD0B108">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205C742C">
            <w:pPr>
              <w:jc w:val="center"/>
              <w:rPr>
                <w:rFonts w:ascii="Times New Roman" w:hAnsi="Times New Roman" w:cs="Times New Roman"/>
                <w:color w:val="auto"/>
                <w:sz w:val="21"/>
              </w:rPr>
            </w:pPr>
            <w:r>
              <w:rPr>
                <w:rFonts w:ascii="Times New Roman" w:hAnsi="Times New Roman" w:cs="Times New Roman"/>
                <w:color w:val="auto"/>
                <w:sz w:val="21"/>
              </w:rPr>
              <w:t>596</w:t>
            </w:r>
          </w:p>
        </w:tc>
        <w:tc>
          <w:tcPr>
            <w:tcW w:w="462" w:type="pct"/>
            <w:vAlign w:val="center"/>
          </w:tcPr>
          <w:p w14:paraId="15E1724F">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04EB0EA1">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36DDBEF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780" w:type="pct"/>
            <w:vAlign w:val="center"/>
          </w:tcPr>
          <w:p w14:paraId="463E809C">
            <w:pPr>
              <w:jc w:val="center"/>
              <w:rPr>
                <w:rFonts w:ascii="Times New Roman" w:hAnsi="Times New Roman" w:cs="Times New Roman"/>
                <w:color w:val="auto"/>
                <w:sz w:val="21"/>
              </w:rPr>
            </w:pPr>
            <w:r>
              <w:rPr>
                <w:rFonts w:ascii="Times New Roman" w:hAnsi="Times New Roman" w:cs="Times New Roman"/>
                <w:color w:val="auto"/>
                <w:sz w:val="21"/>
              </w:rPr>
              <w:t>反 1,2-二氯乙烯</w:t>
            </w:r>
          </w:p>
        </w:tc>
        <w:tc>
          <w:tcPr>
            <w:tcW w:w="400" w:type="pct"/>
            <w:vAlign w:val="center"/>
          </w:tcPr>
          <w:p w14:paraId="66D8C00E">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39" w:type="pct"/>
            <w:vAlign w:val="center"/>
          </w:tcPr>
          <w:p w14:paraId="244CBBB2">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43" w:type="pct"/>
            <w:vAlign w:val="center"/>
          </w:tcPr>
          <w:p w14:paraId="2EC950A4">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39" w:type="pct"/>
            <w:vAlign w:val="center"/>
          </w:tcPr>
          <w:p w14:paraId="7C276729">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0EAD89F5">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32922B6F">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2C991A57">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37C68DA6">
            <w:pPr>
              <w:jc w:val="center"/>
              <w:rPr>
                <w:rFonts w:ascii="Times New Roman" w:hAnsi="Times New Roman" w:cs="Times New Roman"/>
                <w:color w:val="auto"/>
                <w:sz w:val="21"/>
              </w:rPr>
            </w:pPr>
            <w:r>
              <w:rPr>
                <w:rFonts w:ascii="Times New Roman" w:hAnsi="Times New Roman" w:cs="Times New Roman"/>
                <w:color w:val="auto"/>
                <w:sz w:val="21"/>
              </w:rPr>
              <w:t>54</w:t>
            </w:r>
          </w:p>
        </w:tc>
        <w:tc>
          <w:tcPr>
            <w:tcW w:w="462" w:type="pct"/>
            <w:vAlign w:val="center"/>
          </w:tcPr>
          <w:p w14:paraId="5734EFB2">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24DC6A10">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1357CCF1">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780" w:type="pct"/>
            <w:vAlign w:val="center"/>
          </w:tcPr>
          <w:p w14:paraId="73F379FE">
            <w:pPr>
              <w:jc w:val="center"/>
              <w:rPr>
                <w:rFonts w:ascii="Times New Roman" w:hAnsi="Times New Roman" w:cs="Times New Roman"/>
                <w:color w:val="auto"/>
                <w:sz w:val="21"/>
              </w:rPr>
            </w:pPr>
            <w:r>
              <w:rPr>
                <w:rFonts w:ascii="Times New Roman" w:hAnsi="Times New Roman" w:cs="Times New Roman"/>
                <w:color w:val="auto"/>
                <w:sz w:val="21"/>
              </w:rPr>
              <w:t>二氯甲烷</w:t>
            </w:r>
          </w:p>
        </w:tc>
        <w:tc>
          <w:tcPr>
            <w:tcW w:w="400" w:type="pct"/>
            <w:vAlign w:val="center"/>
          </w:tcPr>
          <w:p w14:paraId="5E9BFFEE">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39" w:type="pct"/>
            <w:vAlign w:val="center"/>
          </w:tcPr>
          <w:p w14:paraId="21B634A4">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43" w:type="pct"/>
            <w:vAlign w:val="center"/>
          </w:tcPr>
          <w:p w14:paraId="660E2F9F">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39" w:type="pct"/>
            <w:vAlign w:val="center"/>
          </w:tcPr>
          <w:p w14:paraId="4945E1DE">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18F6EC33">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53D01F3E">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724B68A2">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1DA6317F">
            <w:pPr>
              <w:jc w:val="center"/>
              <w:rPr>
                <w:rFonts w:ascii="Times New Roman" w:hAnsi="Times New Roman" w:cs="Times New Roman"/>
                <w:color w:val="auto"/>
                <w:sz w:val="21"/>
              </w:rPr>
            </w:pPr>
            <w:r>
              <w:rPr>
                <w:rFonts w:ascii="Times New Roman" w:hAnsi="Times New Roman" w:cs="Times New Roman"/>
                <w:color w:val="auto"/>
                <w:sz w:val="21"/>
              </w:rPr>
              <w:t>616</w:t>
            </w:r>
          </w:p>
        </w:tc>
        <w:tc>
          <w:tcPr>
            <w:tcW w:w="462" w:type="pct"/>
            <w:vAlign w:val="center"/>
          </w:tcPr>
          <w:p w14:paraId="0BC584A5">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337E6790">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1711BB8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780" w:type="pct"/>
            <w:vAlign w:val="center"/>
          </w:tcPr>
          <w:p w14:paraId="2A5DF3EC">
            <w:pPr>
              <w:jc w:val="center"/>
              <w:rPr>
                <w:rFonts w:ascii="Times New Roman" w:hAnsi="Times New Roman" w:cs="Times New Roman"/>
                <w:color w:val="auto"/>
                <w:sz w:val="21"/>
              </w:rPr>
            </w:pPr>
            <w:r>
              <w:rPr>
                <w:rFonts w:ascii="Times New Roman" w:hAnsi="Times New Roman" w:cs="Times New Roman"/>
                <w:color w:val="auto"/>
                <w:sz w:val="21"/>
              </w:rPr>
              <w:t>1,2-二氯丙烷</w:t>
            </w:r>
          </w:p>
        </w:tc>
        <w:tc>
          <w:tcPr>
            <w:tcW w:w="400" w:type="pct"/>
            <w:vAlign w:val="center"/>
          </w:tcPr>
          <w:p w14:paraId="71636B50">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39" w:type="pct"/>
            <w:vAlign w:val="center"/>
          </w:tcPr>
          <w:p w14:paraId="0E18E050">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43" w:type="pct"/>
            <w:vAlign w:val="center"/>
          </w:tcPr>
          <w:p w14:paraId="6B622777">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39" w:type="pct"/>
            <w:vAlign w:val="center"/>
          </w:tcPr>
          <w:p w14:paraId="2F90E83B">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6529FDC4">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16F93C58">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728CC446">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50DF7551">
            <w:pPr>
              <w:jc w:val="center"/>
              <w:rPr>
                <w:rFonts w:ascii="Times New Roman" w:hAnsi="Times New Roman" w:cs="Times New Roman"/>
                <w:color w:val="auto"/>
                <w:sz w:val="21"/>
              </w:rPr>
            </w:pPr>
            <w:r>
              <w:rPr>
                <w:rFonts w:ascii="Times New Roman" w:hAnsi="Times New Roman" w:cs="Times New Roman"/>
                <w:color w:val="auto"/>
                <w:sz w:val="21"/>
              </w:rPr>
              <w:t>5</w:t>
            </w:r>
          </w:p>
        </w:tc>
        <w:tc>
          <w:tcPr>
            <w:tcW w:w="462" w:type="pct"/>
            <w:vAlign w:val="center"/>
          </w:tcPr>
          <w:p w14:paraId="27A48862">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6E10D6EA">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55B8D45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780" w:type="pct"/>
            <w:vAlign w:val="center"/>
          </w:tcPr>
          <w:p w14:paraId="1E531E4E">
            <w:pPr>
              <w:jc w:val="center"/>
              <w:rPr>
                <w:rFonts w:ascii="Times New Roman" w:hAnsi="Times New Roman" w:cs="Times New Roman"/>
                <w:color w:val="auto"/>
                <w:sz w:val="21"/>
              </w:rPr>
            </w:pPr>
            <w:r>
              <w:rPr>
                <w:rFonts w:ascii="Times New Roman" w:hAnsi="Times New Roman" w:cs="Times New Roman"/>
                <w:color w:val="auto"/>
                <w:sz w:val="21"/>
              </w:rPr>
              <w:t>1, 1, 1,2- 四氯乙烷</w:t>
            </w:r>
          </w:p>
        </w:tc>
        <w:tc>
          <w:tcPr>
            <w:tcW w:w="400" w:type="pct"/>
            <w:vAlign w:val="center"/>
          </w:tcPr>
          <w:p w14:paraId="75BE5306">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39" w:type="pct"/>
            <w:vAlign w:val="center"/>
          </w:tcPr>
          <w:p w14:paraId="21841254">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43" w:type="pct"/>
            <w:vAlign w:val="center"/>
          </w:tcPr>
          <w:p w14:paraId="62BFF1D0">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39" w:type="pct"/>
            <w:vAlign w:val="center"/>
          </w:tcPr>
          <w:p w14:paraId="78AC9578">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0FEF25CA">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64898056">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0A0D47CD">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213F6563">
            <w:pPr>
              <w:jc w:val="center"/>
              <w:rPr>
                <w:rFonts w:ascii="Times New Roman" w:hAnsi="Times New Roman" w:cs="Times New Roman"/>
                <w:color w:val="auto"/>
                <w:sz w:val="21"/>
              </w:rPr>
            </w:pPr>
            <w:r>
              <w:rPr>
                <w:rFonts w:ascii="Times New Roman" w:hAnsi="Times New Roman" w:cs="Times New Roman"/>
                <w:color w:val="auto"/>
                <w:sz w:val="21"/>
              </w:rPr>
              <w:t>10</w:t>
            </w:r>
          </w:p>
        </w:tc>
        <w:tc>
          <w:tcPr>
            <w:tcW w:w="462" w:type="pct"/>
            <w:vAlign w:val="center"/>
          </w:tcPr>
          <w:p w14:paraId="18215A23">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528BBC04">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5BEB104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780" w:type="pct"/>
            <w:vAlign w:val="center"/>
          </w:tcPr>
          <w:p w14:paraId="2EB72D94">
            <w:pPr>
              <w:jc w:val="center"/>
              <w:rPr>
                <w:rFonts w:ascii="Times New Roman" w:hAnsi="Times New Roman" w:cs="Times New Roman"/>
                <w:color w:val="auto"/>
                <w:sz w:val="21"/>
              </w:rPr>
            </w:pPr>
            <w:r>
              <w:rPr>
                <w:rFonts w:ascii="Times New Roman" w:hAnsi="Times New Roman" w:cs="Times New Roman"/>
                <w:color w:val="auto"/>
                <w:sz w:val="21"/>
              </w:rPr>
              <w:t>1, 1,2,2- 四氯乙烷</w:t>
            </w:r>
          </w:p>
        </w:tc>
        <w:tc>
          <w:tcPr>
            <w:tcW w:w="400" w:type="pct"/>
            <w:vAlign w:val="center"/>
          </w:tcPr>
          <w:p w14:paraId="445C5909">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39" w:type="pct"/>
            <w:vAlign w:val="center"/>
          </w:tcPr>
          <w:p w14:paraId="25D0990B">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43" w:type="pct"/>
            <w:vAlign w:val="center"/>
          </w:tcPr>
          <w:p w14:paraId="4E8C0E9E">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39" w:type="pct"/>
            <w:vAlign w:val="center"/>
          </w:tcPr>
          <w:p w14:paraId="6E199225">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660891F8">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71D4D319">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0CB35787">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5634FCC2">
            <w:pPr>
              <w:jc w:val="center"/>
              <w:rPr>
                <w:rFonts w:ascii="Times New Roman" w:hAnsi="Times New Roman" w:cs="Times New Roman"/>
                <w:color w:val="auto"/>
                <w:sz w:val="21"/>
              </w:rPr>
            </w:pPr>
            <w:r>
              <w:rPr>
                <w:rFonts w:ascii="Times New Roman" w:hAnsi="Times New Roman" w:cs="Times New Roman"/>
                <w:color w:val="auto"/>
                <w:sz w:val="21"/>
              </w:rPr>
              <w:t>6.8</w:t>
            </w:r>
          </w:p>
        </w:tc>
        <w:tc>
          <w:tcPr>
            <w:tcW w:w="462" w:type="pct"/>
            <w:vAlign w:val="center"/>
          </w:tcPr>
          <w:p w14:paraId="49D186DA">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062F3403">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315A367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780" w:type="pct"/>
            <w:vAlign w:val="center"/>
          </w:tcPr>
          <w:p w14:paraId="63DBA484">
            <w:pPr>
              <w:jc w:val="center"/>
              <w:rPr>
                <w:rFonts w:ascii="Times New Roman" w:hAnsi="Times New Roman" w:cs="Times New Roman"/>
                <w:color w:val="auto"/>
                <w:sz w:val="21"/>
              </w:rPr>
            </w:pPr>
            <w:r>
              <w:rPr>
                <w:rFonts w:ascii="Times New Roman" w:hAnsi="Times New Roman" w:cs="Times New Roman"/>
                <w:color w:val="auto"/>
                <w:sz w:val="21"/>
              </w:rPr>
              <w:t>四氯乙烯</w:t>
            </w:r>
          </w:p>
        </w:tc>
        <w:tc>
          <w:tcPr>
            <w:tcW w:w="400" w:type="pct"/>
            <w:vAlign w:val="center"/>
          </w:tcPr>
          <w:p w14:paraId="7C435569">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39" w:type="pct"/>
            <w:vAlign w:val="center"/>
          </w:tcPr>
          <w:p w14:paraId="3E3087D8">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43" w:type="pct"/>
            <w:vAlign w:val="center"/>
          </w:tcPr>
          <w:p w14:paraId="66D8361E">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39" w:type="pct"/>
            <w:vAlign w:val="center"/>
          </w:tcPr>
          <w:p w14:paraId="0FA11623">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31DAEC25">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36A22075">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04C3FA41">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5322025C">
            <w:pPr>
              <w:jc w:val="center"/>
              <w:rPr>
                <w:rFonts w:ascii="Times New Roman" w:hAnsi="Times New Roman" w:cs="Times New Roman"/>
                <w:color w:val="auto"/>
                <w:sz w:val="21"/>
              </w:rPr>
            </w:pPr>
            <w:r>
              <w:rPr>
                <w:rFonts w:ascii="Times New Roman" w:hAnsi="Times New Roman" w:cs="Times New Roman"/>
                <w:color w:val="auto"/>
                <w:sz w:val="21"/>
              </w:rPr>
              <w:t>53</w:t>
            </w:r>
          </w:p>
        </w:tc>
        <w:tc>
          <w:tcPr>
            <w:tcW w:w="462" w:type="pct"/>
            <w:vAlign w:val="center"/>
          </w:tcPr>
          <w:p w14:paraId="5AC16A4C">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4917CE82">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297F095D">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780" w:type="pct"/>
            <w:vAlign w:val="center"/>
          </w:tcPr>
          <w:p w14:paraId="6CE7E930">
            <w:pPr>
              <w:jc w:val="center"/>
              <w:rPr>
                <w:rFonts w:ascii="Times New Roman" w:hAnsi="Times New Roman" w:cs="Times New Roman"/>
                <w:color w:val="auto"/>
                <w:sz w:val="21"/>
              </w:rPr>
            </w:pPr>
            <w:r>
              <w:rPr>
                <w:rFonts w:ascii="Times New Roman" w:hAnsi="Times New Roman" w:cs="Times New Roman"/>
                <w:color w:val="auto"/>
                <w:sz w:val="21"/>
              </w:rPr>
              <w:t>1, 1, 1-三氯乙烷</w:t>
            </w:r>
          </w:p>
        </w:tc>
        <w:tc>
          <w:tcPr>
            <w:tcW w:w="400" w:type="pct"/>
            <w:vAlign w:val="center"/>
          </w:tcPr>
          <w:p w14:paraId="17E9C99B">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39" w:type="pct"/>
            <w:vAlign w:val="center"/>
          </w:tcPr>
          <w:p w14:paraId="7EE7F9D3">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43" w:type="pct"/>
            <w:vAlign w:val="center"/>
          </w:tcPr>
          <w:p w14:paraId="24680E89">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39" w:type="pct"/>
            <w:vAlign w:val="center"/>
          </w:tcPr>
          <w:p w14:paraId="4702736A">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44127496">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130F787C">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538DE64B">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7C3D0B1D">
            <w:pPr>
              <w:jc w:val="center"/>
              <w:rPr>
                <w:rFonts w:ascii="Times New Roman" w:hAnsi="Times New Roman" w:cs="Times New Roman"/>
                <w:color w:val="auto"/>
                <w:sz w:val="21"/>
              </w:rPr>
            </w:pPr>
            <w:r>
              <w:rPr>
                <w:rFonts w:ascii="Times New Roman" w:hAnsi="Times New Roman" w:cs="Times New Roman"/>
                <w:color w:val="auto"/>
                <w:sz w:val="21"/>
              </w:rPr>
              <w:t>840</w:t>
            </w:r>
          </w:p>
        </w:tc>
        <w:tc>
          <w:tcPr>
            <w:tcW w:w="462" w:type="pct"/>
            <w:vAlign w:val="center"/>
          </w:tcPr>
          <w:p w14:paraId="4CE045AE">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52DDFEA6">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0D98719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780" w:type="pct"/>
            <w:vAlign w:val="center"/>
          </w:tcPr>
          <w:p w14:paraId="0996ED36">
            <w:pPr>
              <w:jc w:val="center"/>
              <w:rPr>
                <w:rFonts w:ascii="Times New Roman" w:hAnsi="Times New Roman" w:cs="Times New Roman"/>
                <w:color w:val="auto"/>
                <w:sz w:val="21"/>
              </w:rPr>
            </w:pPr>
            <w:r>
              <w:rPr>
                <w:rFonts w:ascii="Times New Roman" w:hAnsi="Times New Roman" w:cs="Times New Roman"/>
                <w:color w:val="auto"/>
                <w:sz w:val="21"/>
              </w:rPr>
              <w:t>1, 1,2-三氯乙烷</w:t>
            </w:r>
          </w:p>
        </w:tc>
        <w:tc>
          <w:tcPr>
            <w:tcW w:w="400" w:type="pct"/>
            <w:vAlign w:val="center"/>
          </w:tcPr>
          <w:p w14:paraId="7E16DB79">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39" w:type="pct"/>
            <w:vAlign w:val="center"/>
          </w:tcPr>
          <w:p w14:paraId="4DEEAD43">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43" w:type="pct"/>
            <w:vAlign w:val="center"/>
          </w:tcPr>
          <w:p w14:paraId="5879CA5D">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39" w:type="pct"/>
            <w:vAlign w:val="center"/>
          </w:tcPr>
          <w:p w14:paraId="5355489F">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09CFD8C0">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05BB0130">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72295431">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6B036C85">
            <w:pPr>
              <w:jc w:val="center"/>
              <w:rPr>
                <w:rFonts w:ascii="Times New Roman" w:hAnsi="Times New Roman" w:cs="Times New Roman"/>
                <w:color w:val="auto"/>
                <w:sz w:val="21"/>
              </w:rPr>
            </w:pPr>
            <w:r>
              <w:rPr>
                <w:rFonts w:ascii="Times New Roman" w:hAnsi="Times New Roman" w:cs="Times New Roman"/>
                <w:color w:val="auto"/>
                <w:sz w:val="21"/>
              </w:rPr>
              <w:t>2.8</w:t>
            </w:r>
          </w:p>
        </w:tc>
        <w:tc>
          <w:tcPr>
            <w:tcW w:w="462" w:type="pct"/>
            <w:vAlign w:val="center"/>
          </w:tcPr>
          <w:p w14:paraId="7D6722A6">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78A92FB7">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4AB18F8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780" w:type="pct"/>
            <w:vAlign w:val="center"/>
          </w:tcPr>
          <w:p w14:paraId="2C4AC6A3">
            <w:pPr>
              <w:jc w:val="center"/>
              <w:rPr>
                <w:rFonts w:ascii="Times New Roman" w:hAnsi="Times New Roman" w:cs="Times New Roman"/>
                <w:color w:val="auto"/>
                <w:sz w:val="21"/>
              </w:rPr>
            </w:pPr>
            <w:r>
              <w:rPr>
                <w:rFonts w:ascii="Times New Roman" w:hAnsi="Times New Roman" w:cs="Times New Roman"/>
                <w:color w:val="auto"/>
                <w:sz w:val="21"/>
              </w:rPr>
              <w:t>三氯乙烯</w:t>
            </w:r>
          </w:p>
        </w:tc>
        <w:tc>
          <w:tcPr>
            <w:tcW w:w="400" w:type="pct"/>
            <w:vAlign w:val="center"/>
          </w:tcPr>
          <w:p w14:paraId="4BB31CB4">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39" w:type="pct"/>
            <w:vAlign w:val="center"/>
          </w:tcPr>
          <w:p w14:paraId="3160F5CA">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43" w:type="pct"/>
            <w:vAlign w:val="center"/>
          </w:tcPr>
          <w:p w14:paraId="6FC21C66">
            <w:pPr>
              <w:jc w:val="center"/>
              <w:rPr>
                <w:rFonts w:ascii="Times New Roman" w:hAnsi="Times New Roman" w:cs="Times New Roman"/>
                <w:color w:val="auto"/>
                <w:sz w:val="21"/>
              </w:rPr>
            </w:pPr>
            <w:r>
              <w:rPr>
                <w:rFonts w:ascii="Times New Roman" w:hAnsi="Times New Roman" w:cs="Times New Roman"/>
                <w:color w:val="auto"/>
                <w:spacing w:val="1"/>
                <w:sz w:val="21"/>
                <w:lang w:eastAsia="zh-CN"/>
              </w:rPr>
              <w:t>/</w:t>
            </w:r>
          </w:p>
        </w:tc>
        <w:tc>
          <w:tcPr>
            <w:tcW w:w="439" w:type="pct"/>
            <w:vAlign w:val="center"/>
          </w:tcPr>
          <w:p w14:paraId="04C862FA">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1689D648">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40EE4A3E">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10A30E4F">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7E627B59">
            <w:pPr>
              <w:jc w:val="center"/>
              <w:rPr>
                <w:rFonts w:ascii="Times New Roman" w:hAnsi="Times New Roman" w:cs="Times New Roman"/>
                <w:color w:val="auto"/>
                <w:sz w:val="21"/>
              </w:rPr>
            </w:pPr>
            <w:r>
              <w:rPr>
                <w:rFonts w:ascii="Times New Roman" w:hAnsi="Times New Roman" w:cs="Times New Roman"/>
                <w:color w:val="auto"/>
                <w:sz w:val="21"/>
              </w:rPr>
              <w:t>2.8</w:t>
            </w:r>
          </w:p>
        </w:tc>
        <w:tc>
          <w:tcPr>
            <w:tcW w:w="462" w:type="pct"/>
            <w:vAlign w:val="center"/>
          </w:tcPr>
          <w:p w14:paraId="23230A2F">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124A6280">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0016D13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780" w:type="pct"/>
            <w:vAlign w:val="center"/>
          </w:tcPr>
          <w:p w14:paraId="18DC35BE">
            <w:pPr>
              <w:pStyle w:val="65"/>
              <w:jc w:val="center"/>
              <w:rPr>
                <w:rFonts w:ascii="Times New Roman" w:hAnsi="Times New Roman" w:cs="Times New Roman"/>
                <w:color w:val="auto"/>
                <w:sz w:val="21"/>
                <w:szCs w:val="21"/>
              </w:rPr>
            </w:pPr>
            <w:r>
              <w:rPr>
                <w:rFonts w:ascii="Times New Roman" w:hAnsi="Times New Roman" w:cs="Times New Roman"/>
                <w:color w:val="auto"/>
                <w:spacing w:val="-3"/>
                <w:sz w:val="21"/>
                <w:szCs w:val="21"/>
              </w:rPr>
              <w:t>1,2,3-三氯丙烷</w:t>
            </w:r>
          </w:p>
        </w:tc>
        <w:tc>
          <w:tcPr>
            <w:tcW w:w="400" w:type="pct"/>
            <w:vAlign w:val="center"/>
          </w:tcPr>
          <w:p w14:paraId="53066BA0">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385BBC68">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43" w:type="pct"/>
            <w:vAlign w:val="center"/>
          </w:tcPr>
          <w:p w14:paraId="3257AF1C">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68E58A07">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48ED2BF9">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4DBCCBD8">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5EE4F5E2">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46A01C07">
            <w:pPr>
              <w:jc w:val="center"/>
              <w:rPr>
                <w:rFonts w:ascii="Times New Roman" w:hAnsi="Times New Roman" w:cs="Times New Roman"/>
                <w:color w:val="auto"/>
                <w:sz w:val="21"/>
              </w:rPr>
            </w:pPr>
            <w:r>
              <w:rPr>
                <w:rFonts w:ascii="Times New Roman" w:hAnsi="Times New Roman" w:cs="Times New Roman"/>
                <w:color w:val="auto"/>
                <w:sz w:val="21"/>
              </w:rPr>
              <w:t>0.5</w:t>
            </w:r>
          </w:p>
        </w:tc>
        <w:tc>
          <w:tcPr>
            <w:tcW w:w="462" w:type="pct"/>
            <w:vAlign w:val="center"/>
          </w:tcPr>
          <w:p w14:paraId="0760025A">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0946E6F4">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50B350C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780" w:type="pct"/>
            <w:vAlign w:val="center"/>
          </w:tcPr>
          <w:p w14:paraId="06651C20">
            <w:pPr>
              <w:pStyle w:val="65"/>
              <w:jc w:val="center"/>
              <w:rPr>
                <w:rFonts w:ascii="Times New Roman" w:hAnsi="Times New Roman" w:cs="Times New Roman"/>
                <w:color w:val="auto"/>
                <w:sz w:val="21"/>
                <w:szCs w:val="21"/>
              </w:rPr>
            </w:pPr>
            <w:r>
              <w:rPr>
                <w:rFonts w:ascii="Times New Roman" w:hAnsi="Times New Roman" w:cs="Times New Roman"/>
                <w:color w:val="auto"/>
                <w:spacing w:val="-2"/>
                <w:sz w:val="21"/>
                <w:szCs w:val="21"/>
              </w:rPr>
              <w:t>氯乙烯</w:t>
            </w:r>
          </w:p>
        </w:tc>
        <w:tc>
          <w:tcPr>
            <w:tcW w:w="400" w:type="pct"/>
            <w:vAlign w:val="center"/>
          </w:tcPr>
          <w:p w14:paraId="6FF4B5BD">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19ED1169">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43" w:type="pct"/>
            <w:vAlign w:val="center"/>
          </w:tcPr>
          <w:p w14:paraId="36C1B340">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40066A61">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512BD3B1">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19651FF2">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578736F1">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02FEC51D">
            <w:pPr>
              <w:jc w:val="center"/>
              <w:rPr>
                <w:rFonts w:ascii="Times New Roman" w:hAnsi="Times New Roman" w:cs="Times New Roman"/>
                <w:color w:val="auto"/>
                <w:sz w:val="21"/>
              </w:rPr>
            </w:pPr>
            <w:r>
              <w:rPr>
                <w:rFonts w:ascii="Times New Roman" w:hAnsi="Times New Roman" w:cs="Times New Roman"/>
                <w:color w:val="auto"/>
                <w:sz w:val="21"/>
              </w:rPr>
              <w:t>0.43</w:t>
            </w:r>
          </w:p>
        </w:tc>
        <w:tc>
          <w:tcPr>
            <w:tcW w:w="462" w:type="pct"/>
            <w:vAlign w:val="center"/>
          </w:tcPr>
          <w:p w14:paraId="02DC9885">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63D3D586">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7AE11AD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780" w:type="pct"/>
            <w:vAlign w:val="center"/>
          </w:tcPr>
          <w:p w14:paraId="0A2F22CA">
            <w:pPr>
              <w:pStyle w:val="65"/>
              <w:jc w:val="center"/>
              <w:rPr>
                <w:rFonts w:ascii="Times New Roman" w:hAnsi="Times New Roman" w:cs="Times New Roman"/>
                <w:color w:val="auto"/>
                <w:sz w:val="21"/>
                <w:szCs w:val="21"/>
              </w:rPr>
            </w:pPr>
            <w:r>
              <w:rPr>
                <w:rFonts w:ascii="Times New Roman" w:hAnsi="Times New Roman" w:cs="Times New Roman"/>
                <w:color w:val="auto"/>
                <w:sz w:val="21"/>
                <w:szCs w:val="21"/>
              </w:rPr>
              <w:t>苯</w:t>
            </w:r>
          </w:p>
        </w:tc>
        <w:tc>
          <w:tcPr>
            <w:tcW w:w="400" w:type="pct"/>
            <w:vAlign w:val="center"/>
          </w:tcPr>
          <w:p w14:paraId="4D5644D9">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019C0BC8">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43" w:type="pct"/>
            <w:vAlign w:val="center"/>
          </w:tcPr>
          <w:p w14:paraId="5A7CAE0E">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7C2E23FA">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112731C6">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27AD2776">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38CFABFD">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0DCE5504">
            <w:pPr>
              <w:jc w:val="center"/>
              <w:rPr>
                <w:rFonts w:ascii="Times New Roman" w:hAnsi="Times New Roman" w:cs="Times New Roman"/>
                <w:color w:val="auto"/>
                <w:sz w:val="21"/>
              </w:rPr>
            </w:pPr>
            <w:r>
              <w:rPr>
                <w:rFonts w:ascii="Times New Roman" w:hAnsi="Times New Roman" w:cs="Times New Roman"/>
                <w:color w:val="auto"/>
                <w:sz w:val="21"/>
              </w:rPr>
              <w:t>4</w:t>
            </w:r>
          </w:p>
        </w:tc>
        <w:tc>
          <w:tcPr>
            <w:tcW w:w="462" w:type="pct"/>
            <w:vAlign w:val="center"/>
          </w:tcPr>
          <w:p w14:paraId="3FA03353">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7FDDCBD1">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71E2B69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780" w:type="pct"/>
            <w:vAlign w:val="center"/>
          </w:tcPr>
          <w:p w14:paraId="28D09FED">
            <w:pPr>
              <w:pStyle w:val="65"/>
              <w:jc w:val="center"/>
              <w:rPr>
                <w:rFonts w:ascii="Times New Roman" w:hAnsi="Times New Roman" w:cs="Times New Roman"/>
                <w:color w:val="auto"/>
                <w:sz w:val="21"/>
                <w:szCs w:val="21"/>
              </w:rPr>
            </w:pPr>
            <w:r>
              <w:rPr>
                <w:rFonts w:ascii="Times New Roman" w:hAnsi="Times New Roman" w:cs="Times New Roman"/>
                <w:color w:val="auto"/>
                <w:spacing w:val="-3"/>
                <w:sz w:val="21"/>
                <w:szCs w:val="21"/>
              </w:rPr>
              <w:t>氯苯</w:t>
            </w:r>
          </w:p>
        </w:tc>
        <w:tc>
          <w:tcPr>
            <w:tcW w:w="400" w:type="pct"/>
            <w:vAlign w:val="center"/>
          </w:tcPr>
          <w:p w14:paraId="66940284">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57315D5D">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43" w:type="pct"/>
            <w:vAlign w:val="center"/>
          </w:tcPr>
          <w:p w14:paraId="1BD7A9B4">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3B962DF7">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0B6E32D4">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1DA0972E">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34D480F9">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01036482">
            <w:pPr>
              <w:jc w:val="center"/>
              <w:rPr>
                <w:rFonts w:ascii="Times New Roman" w:hAnsi="Times New Roman" w:cs="Times New Roman"/>
                <w:color w:val="auto"/>
                <w:sz w:val="21"/>
              </w:rPr>
            </w:pPr>
            <w:r>
              <w:rPr>
                <w:rFonts w:ascii="Times New Roman" w:hAnsi="Times New Roman" w:cs="Times New Roman"/>
                <w:color w:val="auto"/>
                <w:sz w:val="21"/>
              </w:rPr>
              <w:t>270</w:t>
            </w:r>
          </w:p>
        </w:tc>
        <w:tc>
          <w:tcPr>
            <w:tcW w:w="462" w:type="pct"/>
            <w:vAlign w:val="center"/>
          </w:tcPr>
          <w:p w14:paraId="7A3379EF">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23D9B432">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1CB39A0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780" w:type="pct"/>
            <w:vAlign w:val="center"/>
          </w:tcPr>
          <w:p w14:paraId="21844D59">
            <w:pPr>
              <w:pStyle w:val="65"/>
              <w:jc w:val="center"/>
              <w:rPr>
                <w:rFonts w:ascii="Times New Roman" w:hAnsi="Times New Roman" w:cs="Times New Roman"/>
                <w:color w:val="auto"/>
                <w:sz w:val="21"/>
                <w:szCs w:val="21"/>
              </w:rPr>
            </w:pPr>
            <w:r>
              <w:rPr>
                <w:rFonts w:ascii="Times New Roman" w:hAnsi="Times New Roman" w:cs="Times New Roman"/>
                <w:color w:val="auto"/>
                <w:spacing w:val="-3"/>
                <w:sz w:val="21"/>
                <w:szCs w:val="21"/>
              </w:rPr>
              <w:t>1,2-二氯苯</w:t>
            </w:r>
          </w:p>
        </w:tc>
        <w:tc>
          <w:tcPr>
            <w:tcW w:w="400" w:type="pct"/>
            <w:vAlign w:val="center"/>
          </w:tcPr>
          <w:p w14:paraId="6B981EAE">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45DDE0C3">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43" w:type="pct"/>
            <w:vAlign w:val="center"/>
          </w:tcPr>
          <w:p w14:paraId="6C0473E0">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01DE4CD1">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4835ABE4">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4E102BFC">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5D745170">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1A7354EF">
            <w:pPr>
              <w:jc w:val="center"/>
              <w:rPr>
                <w:rFonts w:ascii="Times New Roman" w:hAnsi="Times New Roman" w:cs="Times New Roman"/>
                <w:color w:val="auto"/>
                <w:sz w:val="21"/>
              </w:rPr>
            </w:pPr>
            <w:r>
              <w:rPr>
                <w:rFonts w:ascii="Times New Roman" w:hAnsi="Times New Roman" w:cs="Times New Roman"/>
                <w:color w:val="auto"/>
                <w:sz w:val="21"/>
              </w:rPr>
              <w:t>560</w:t>
            </w:r>
          </w:p>
        </w:tc>
        <w:tc>
          <w:tcPr>
            <w:tcW w:w="462" w:type="pct"/>
            <w:vAlign w:val="center"/>
          </w:tcPr>
          <w:p w14:paraId="558E09DF">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451DA0EE">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2649ABD1">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780" w:type="pct"/>
            <w:vAlign w:val="center"/>
          </w:tcPr>
          <w:p w14:paraId="3129215D">
            <w:pPr>
              <w:pStyle w:val="65"/>
              <w:jc w:val="center"/>
              <w:rPr>
                <w:rFonts w:ascii="Times New Roman" w:hAnsi="Times New Roman" w:cs="Times New Roman"/>
                <w:color w:val="auto"/>
                <w:sz w:val="21"/>
                <w:szCs w:val="21"/>
              </w:rPr>
            </w:pPr>
            <w:r>
              <w:rPr>
                <w:rFonts w:ascii="Times New Roman" w:hAnsi="Times New Roman" w:cs="Times New Roman"/>
                <w:color w:val="auto"/>
                <w:spacing w:val="-3"/>
                <w:sz w:val="21"/>
                <w:szCs w:val="21"/>
              </w:rPr>
              <w:t>1,4-二氯苯</w:t>
            </w:r>
          </w:p>
        </w:tc>
        <w:tc>
          <w:tcPr>
            <w:tcW w:w="400" w:type="pct"/>
            <w:vAlign w:val="center"/>
          </w:tcPr>
          <w:p w14:paraId="11F1BB50">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01ABAD54">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43" w:type="pct"/>
            <w:vAlign w:val="center"/>
          </w:tcPr>
          <w:p w14:paraId="32252B03">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56EFCE1C">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48C2E59B">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77EF588D">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342512FB">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6929C983">
            <w:pPr>
              <w:jc w:val="center"/>
              <w:rPr>
                <w:rFonts w:ascii="Times New Roman" w:hAnsi="Times New Roman" w:cs="Times New Roman"/>
                <w:color w:val="auto"/>
                <w:sz w:val="21"/>
              </w:rPr>
            </w:pPr>
            <w:r>
              <w:rPr>
                <w:rFonts w:ascii="Times New Roman" w:hAnsi="Times New Roman" w:cs="Times New Roman"/>
                <w:color w:val="auto"/>
                <w:sz w:val="21"/>
              </w:rPr>
              <w:t>20</w:t>
            </w:r>
          </w:p>
        </w:tc>
        <w:tc>
          <w:tcPr>
            <w:tcW w:w="462" w:type="pct"/>
            <w:vAlign w:val="center"/>
          </w:tcPr>
          <w:p w14:paraId="03248F1E">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2C933449">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45575B1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780" w:type="pct"/>
            <w:vAlign w:val="center"/>
          </w:tcPr>
          <w:p w14:paraId="73512C7E">
            <w:pPr>
              <w:pStyle w:val="65"/>
              <w:jc w:val="center"/>
              <w:rPr>
                <w:rFonts w:ascii="Times New Roman" w:hAnsi="Times New Roman" w:cs="Times New Roman"/>
                <w:color w:val="auto"/>
                <w:sz w:val="21"/>
                <w:szCs w:val="21"/>
              </w:rPr>
            </w:pPr>
            <w:r>
              <w:rPr>
                <w:rFonts w:ascii="Times New Roman" w:hAnsi="Times New Roman" w:cs="Times New Roman"/>
                <w:color w:val="auto"/>
                <w:spacing w:val="-7"/>
                <w:sz w:val="21"/>
                <w:szCs w:val="21"/>
              </w:rPr>
              <w:t>乙苯</w:t>
            </w:r>
          </w:p>
        </w:tc>
        <w:tc>
          <w:tcPr>
            <w:tcW w:w="400" w:type="pct"/>
            <w:vAlign w:val="center"/>
          </w:tcPr>
          <w:p w14:paraId="0C24C720">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79F7D915">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43" w:type="pct"/>
            <w:vAlign w:val="center"/>
          </w:tcPr>
          <w:p w14:paraId="344FFF41">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7C002791">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2CFAE667">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3065D9A8">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4E5BCC82">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54ADD15C">
            <w:pPr>
              <w:jc w:val="center"/>
              <w:rPr>
                <w:rFonts w:ascii="Times New Roman" w:hAnsi="Times New Roman" w:cs="Times New Roman"/>
                <w:color w:val="auto"/>
                <w:sz w:val="21"/>
              </w:rPr>
            </w:pPr>
            <w:r>
              <w:rPr>
                <w:rFonts w:ascii="Times New Roman" w:hAnsi="Times New Roman" w:cs="Times New Roman"/>
                <w:color w:val="auto"/>
                <w:sz w:val="21"/>
              </w:rPr>
              <w:t>28</w:t>
            </w:r>
          </w:p>
        </w:tc>
        <w:tc>
          <w:tcPr>
            <w:tcW w:w="462" w:type="pct"/>
            <w:vAlign w:val="center"/>
          </w:tcPr>
          <w:p w14:paraId="2B458E77">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26772F1E">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3EF5579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780" w:type="pct"/>
            <w:vAlign w:val="center"/>
          </w:tcPr>
          <w:p w14:paraId="434EE00B">
            <w:pPr>
              <w:pStyle w:val="65"/>
              <w:jc w:val="center"/>
              <w:rPr>
                <w:rFonts w:ascii="Times New Roman" w:hAnsi="Times New Roman" w:cs="Times New Roman"/>
                <w:color w:val="auto"/>
                <w:sz w:val="21"/>
                <w:szCs w:val="21"/>
              </w:rPr>
            </w:pPr>
            <w:r>
              <w:rPr>
                <w:rFonts w:ascii="Times New Roman" w:hAnsi="Times New Roman" w:cs="Times New Roman"/>
                <w:color w:val="auto"/>
                <w:spacing w:val="-2"/>
                <w:sz w:val="21"/>
                <w:szCs w:val="21"/>
              </w:rPr>
              <w:t>苯乙烯</w:t>
            </w:r>
          </w:p>
        </w:tc>
        <w:tc>
          <w:tcPr>
            <w:tcW w:w="400" w:type="pct"/>
            <w:vAlign w:val="center"/>
          </w:tcPr>
          <w:p w14:paraId="43F5D98B">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49A77147">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43" w:type="pct"/>
            <w:vAlign w:val="center"/>
          </w:tcPr>
          <w:p w14:paraId="37B18B15">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313179C0">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52187B6A">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104361FC">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0412B72C">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44710352">
            <w:pPr>
              <w:jc w:val="center"/>
              <w:rPr>
                <w:rFonts w:ascii="Times New Roman" w:hAnsi="Times New Roman" w:cs="Times New Roman"/>
                <w:color w:val="auto"/>
                <w:sz w:val="21"/>
              </w:rPr>
            </w:pPr>
            <w:r>
              <w:rPr>
                <w:rFonts w:ascii="Times New Roman" w:hAnsi="Times New Roman" w:cs="Times New Roman"/>
                <w:color w:val="auto"/>
                <w:sz w:val="21"/>
              </w:rPr>
              <w:t>1290</w:t>
            </w:r>
          </w:p>
        </w:tc>
        <w:tc>
          <w:tcPr>
            <w:tcW w:w="462" w:type="pct"/>
            <w:vAlign w:val="center"/>
          </w:tcPr>
          <w:p w14:paraId="3E992AAB">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1506BFB6">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11F4943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780" w:type="pct"/>
            <w:vAlign w:val="center"/>
          </w:tcPr>
          <w:p w14:paraId="652D6D8E">
            <w:pPr>
              <w:pStyle w:val="65"/>
              <w:jc w:val="center"/>
              <w:rPr>
                <w:rFonts w:ascii="Times New Roman" w:hAnsi="Times New Roman" w:cs="Times New Roman"/>
                <w:color w:val="auto"/>
                <w:sz w:val="21"/>
                <w:szCs w:val="21"/>
              </w:rPr>
            </w:pPr>
            <w:r>
              <w:rPr>
                <w:rFonts w:ascii="Times New Roman" w:hAnsi="Times New Roman" w:cs="Times New Roman"/>
                <w:color w:val="auto"/>
                <w:spacing w:val="-9"/>
                <w:sz w:val="21"/>
                <w:szCs w:val="21"/>
              </w:rPr>
              <w:t>甲苯</w:t>
            </w:r>
          </w:p>
        </w:tc>
        <w:tc>
          <w:tcPr>
            <w:tcW w:w="400" w:type="pct"/>
            <w:vAlign w:val="center"/>
          </w:tcPr>
          <w:p w14:paraId="1AD0C18C">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559DCCFC">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43" w:type="pct"/>
            <w:vAlign w:val="center"/>
          </w:tcPr>
          <w:p w14:paraId="21CDB112">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6B0ECAFD">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318E48BE">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3A896C2D">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4507DB4E">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5DE7797F">
            <w:pPr>
              <w:jc w:val="center"/>
              <w:rPr>
                <w:rFonts w:ascii="Times New Roman" w:hAnsi="Times New Roman" w:cs="Times New Roman"/>
                <w:color w:val="auto"/>
                <w:sz w:val="21"/>
              </w:rPr>
            </w:pPr>
            <w:r>
              <w:rPr>
                <w:rFonts w:ascii="Times New Roman" w:hAnsi="Times New Roman" w:cs="Times New Roman"/>
                <w:color w:val="auto"/>
                <w:sz w:val="21"/>
              </w:rPr>
              <w:t>1200</w:t>
            </w:r>
          </w:p>
        </w:tc>
        <w:tc>
          <w:tcPr>
            <w:tcW w:w="462" w:type="pct"/>
            <w:vAlign w:val="center"/>
          </w:tcPr>
          <w:p w14:paraId="142CE13E">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18C9D4C7">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170AB6B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780" w:type="pct"/>
            <w:vAlign w:val="center"/>
          </w:tcPr>
          <w:p w14:paraId="6EE5AA42">
            <w:pPr>
              <w:pStyle w:val="65"/>
              <w:jc w:val="center"/>
              <w:rPr>
                <w:rFonts w:ascii="Times New Roman" w:hAnsi="Times New Roman" w:cs="Times New Roman"/>
                <w:color w:val="auto"/>
                <w:sz w:val="21"/>
                <w:szCs w:val="21"/>
              </w:rPr>
            </w:pPr>
            <w:r>
              <w:rPr>
                <w:rFonts w:ascii="Times New Roman" w:hAnsi="Times New Roman" w:cs="Times New Roman"/>
                <w:color w:val="auto"/>
                <w:spacing w:val="-3"/>
                <w:sz w:val="21"/>
                <w:szCs w:val="21"/>
              </w:rPr>
              <w:t>间二甲苯+对二甲苯</w:t>
            </w:r>
          </w:p>
        </w:tc>
        <w:tc>
          <w:tcPr>
            <w:tcW w:w="400" w:type="pct"/>
            <w:vAlign w:val="center"/>
          </w:tcPr>
          <w:p w14:paraId="7BC1A859">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4F6460A2">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43" w:type="pct"/>
            <w:vAlign w:val="center"/>
          </w:tcPr>
          <w:p w14:paraId="58DBFBE5">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0A5B6041">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6E884BD7">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7DD27A14">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0EA23E97">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7744E237">
            <w:pPr>
              <w:jc w:val="center"/>
              <w:rPr>
                <w:rFonts w:ascii="Times New Roman" w:hAnsi="Times New Roman" w:cs="Times New Roman"/>
                <w:color w:val="auto"/>
                <w:sz w:val="21"/>
              </w:rPr>
            </w:pPr>
            <w:r>
              <w:rPr>
                <w:rFonts w:ascii="Times New Roman" w:hAnsi="Times New Roman" w:cs="Times New Roman"/>
                <w:color w:val="auto"/>
                <w:sz w:val="21"/>
              </w:rPr>
              <w:t>570</w:t>
            </w:r>
          </w:p>
        </w:tc>
        <w:tc>
          <w:tcPr>
            <w:tcW w:w="462" w:type="pct"/>
            <w:vAlign w:val="center"/>
          </w:tcPr>
          <w:p w14:paraId="28A75ACF">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3753705F">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5B56D72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780" w:type="pct"/>
            <w:vAlign w:val="center"/>
          </w:tcPr>
          <w:p w14:paraId="110F7766">
            <w:pPr>
              <w:pStyle w:val="65"/>
              <w:jc w:val="center"/>
              <w:rPr>
                <w:rFonts w:ascii="Times New Roman" w:hAnsi="Times New Roman" w:cs="Times New Roman"/>
                <w:color w:val="auto"/>
                <w:spacing w:val="-3"/>
                <w:sz w:val="21"/>
                <w:szCs w:val="21"/>
                <w:lang w:eastAsia="zh-CN"/>
              </w:rPr>
            </w:pPr>
            <w:r>
              <w:rPr>
                <w:rFonts w:ascii="Times New Roman" w:hAnsi="Times New Roman" w:cs="Times New Roman"/>
                <w:color w:val="auto"/>
                <w:spacing w:val="-3"/>
                <w:sz w:val="21"/>
                <w:szCs w:val="21"/>
                <w:lang w:eastAsia="zh-CN"/>
              </w:rPr>
              <w:t>邻二甲苯</w:t>
            </w:r>
          </w:p>
        </w:tc>
        <w:tc>
          <w:tcPr>
            <w:tcW w:w="400" w:type="pct"/>
            <w:vAlign w:val="center"/>
          </w:tcPr>
          <w:p w14:paraId="19644864">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3739F0FB">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43" w:type="pct"/>
            <w:vAlign w:val="center"/>
          </w:tcPr>
          <w:p w14:paraId="44DEA00E">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2BAF0EE1">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75DAA6C0">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603C0BDC">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7A9FD75A">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34C27791">
            <w:pPr>
              <w:jc w:val="center"/>
              <w:rPr>
                <w:rFonts w:ascii="Times New Roman" w:hAnsi="Times New Roman" w:cs="Times New Roman"/>
                <w:color w:val="auto"/>
                <w:sz w:val="21"/>
              </w:rPr>
            </w:pPr>
            <w:r>
              <w:rPr>
                <w:rFonts w:ascii="Times New Roman" w:hAnsi="Times New Roman" w:cs="Times New Roman"/>
                <w:color w:val="auto"/>
                <w:sz w:val="21"/>
              </w:rPr>
              <w:t>640</w:t>
            </w:r>
          </w:p>
        </w:tc>
        <w:tc>
          <w:tcPr>
            <w:tcW w:w="462" w:type="pct"/>
            <w:vAlign w:val="center"/>
          </w:tcPr>
          <w:p w14:paraId="2371BB36">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5D27CFAC">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03B6DCE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780" w:type="pct"/>
            <w:vAlign w:val="center"/>
          </w:tcPr>
          <w:p w14:paraId="2D88823B">
            <w:pPr>
              <w:pStyle w:val="65"/>
              <w:jc w:val="center"/>
              <w:rPr>
                <w:rFonts w:ascii="Times New Roman" w:hAnsi="Times New Roman" w:cs="Times New Roman"/>
                <w:color w:val="auto"/>
                <w:spacing w:val="-3"/>
                <w:sz w:val="21"/>
                <w:szCs w:val="21"/>
                <w:lang w:eastAsia="zh-CN"/>
              </w:rPr>
            </w:pPr>
            <w:r>
              <w:rPr>
                <w:rFonts w:ascii="Times New Roman" w:hAnsi="Times New Roman" w:cs="Times New Roman"/>
                <w:color w:val="auto"/>
                <w:spacing w:val="-2"/>
                <w:sz w:val="21"/>
                <w:szCs w:val="21"/>
              </w:rPr>
              <w:t>硝基苯</w:t>
            </w:r>
          </w:p>
        </w:tc>
        <w:tc>
          <w:tcPr>
            <w:tcW w:w="400" w:type="pct"/>
            <w:vAlign w:val="center"/>
          </w:tcPr>
          <w:p w14:paraId="68F8D877">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2D952E90">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43" w:type="pct"/>
            <w:vAlign w:val="center"/>
          </w:tcPr>
          <w:p w14:paraId="4F282247">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51B7E112">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1642633B">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0BE5934C">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01507B51">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63F4BEC0">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76</w:t>
            </w:r>
          </w:p>
        </w:tc>
        <w:tc>
          <w:tcPr>
            <w:tcW w:w="462" w:type="pct"/>
            <w:vAlign w:val="center"/>
          </w:tcPr>
          <w:p w14:paraId="3F46AA16">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14F7DBC5">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7E64ABC1">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780" w:type="pct"/>
            <w:vAlign w:val="center"/>
          </w:tcPr>
          <w:p w14:paraId="19443BB8">
            <w:pPr>
              <w:pStyle w:val="65"/>
              <w:jc w:val="center"/>
              <w:rPr>
                <w:rFonts w:ascii="Times New Roman" w:hAnsi="Times New Roman" w:cs="Times New Roman"/>
                <w:color w:val="auto"/>
                <w:spacing w:val="-3"/>
                <w:sz w:val="21"/>
                <w:szCs w:val="21"/>
                <w:lang w:eastAsia="zh-CN"/>
              </w:rPr>
            </w:pPr>
            <w:r>
              <w:rPr>
                <w:rFonts w:ascii="Times New Roman" w:hAnsi="Times New Roman" w:cs="Times New Roman"/>
                <w:color w:val="auto"/>
                <w:spacing w:val="-3"/>
                <w:sz w:val="21"/>
                <w:szCs w:val="21"/>
              </w:rPr>
              <w:t>苯胺</w:t>
            </w:r>
          </w:p>
        </w:tc>
        <w:tc>
          <w:tcPr>
            <w:tcW w:w="400" w:type="pct"/>
            <w:vAlign w:val="center"/>
          </w:tcPr>
          <w:p w14:paraId="69B3BA1D">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2EF7D42F">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43" w:type="pct"/>
            <w:vAlign w:val="center"/>
          </w:tcPr>
          <w:p w14:paraId="7493ED42">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6A01E32D">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65752C42">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5B2FC3EE">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527C6723">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05F8FB0B">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260</w:t>
            </w:r>
          </w:p>
        </w:tc>
        <w:tc>
          <w:tcPr>
            <w:tcW w:w="462" w:type="pct"/>
            <w:vAlign w:val="center"/>
          </w:tcPr>
          <w:p w14:paraId="3BC39177">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58B04C1C">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3539964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780" w:type="pct"/>
            <w:vAlign w:val="center"/>
          </w:tcPr>
          <w:p w14:paraId="771E064B">
            <w:pPr>
              <w:pStyle w:val="65"/>
              <w:jc w:val="center"/>
              <w:rPr>
                <w:rFonts w:ascii="Times New Roman" w:hAnsi="Times New Roman" w:cs="Times New Roman"/>
                <w:color w:val="auto"/>
                <w:spacing w:val="-3"/>
                <w:sz w:val="21"/>
                <w:szCs w:val="21"/>
                <w:lang w:eastAsia="zh-CN"/>
              </w:rPr>
            </w:pPr>
            <w:r>
              <w:rPr>
                <w:rFonts w:ascii="Times New Roman" w:hAnsi="Times New Roman" w:cs="Times New Roman"/>
                <w:color w:val="auto"/>
                <w:sz w:val="21"/>
                <w:szCs w:val="21"/>
              </w:rPr>
              <w:t>2-氯酚</w:t>
            </w:r>
          </w:p>
        </w:tc>
        <w:tc>
          <w:tcPr>
            <w:tcW w:w="400" w:type="pct"/>
            <w:vAlign w:val="center"/>
          </w:tcPr>
          <w:p w14:paraId="55E45CC3">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34C785DF">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43" w:type="pct"/>
            <w:vAlign w:val="center"/>
          </w:tcPr>
          <w:p w14:paraId="65679E77">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53372EFE">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0712B878">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743B802C">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29B11B1C">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43AB30C5">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2256</w:t>
            </w:r>
          </w:p>
        </w:tc>
        <w:tc>
          <w:tcPr>
            <w:tcW w:w="462" w:type="pct"/>
            <w:vAlign w:val="center"/>
          </w:tcPr>
          <w:p w14:paraId="197AD1A8">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17C9D693">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29095B3C">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780" w:type="pct"/>
            <w:vAlign w:val="center"/>
          </w:tcPr>
          <w:p w14:paraId="7D45EEB6">
            <w:pPr>
              <w:pStyle w:val="65"/>
              <w:jc w:val="center"/>
              <w:rPr>
                <w:rFonts w:ascii="Times New Roman" w:hAnsi="Times New Roman" w:cs="Times New Roman"/>
                <w:color w:val="auto"/>
                <w:spacing w:val="-3"/>
                <w:sz w:val="21"/>
                <w:szCs w:val="21"/>
                <w:lang w:eastAsia="zh-CN"/>
              </w:rPr>
            </w:pPr>
            <w:r>
              <w:rPr>
                <w:rFonts w:ascii="Times New Roman" w:hAnsi="Times New Roman" w:cs="Times New Roman"/>
                <w:color w:val="auto"/>
                <w:spacing w:val="-2"/>
                <w:sz w:val="21"/>
                <w:szCs w:val="21"/>
              </w:rPr>
              <w:t>苯并[a]蒽</w:t>
            </w:r>
          </w:p>
        </w:tc>
        <w:tc>
          <w:tcPr>
            <w:tcW w:w="400" w:type="pct"/>
            <w:vAlign w:val="center"/>
          </w:tcPr>
          <w:p w14:paraId="7EE3B7AC">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010A2F8F">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43" w:type="pct"/>
            <w:vAlign w:val="center"/>
          </w:tcPr>
          <w:p w14:paraId="7ECF2DFA">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6D23D664">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12E4A867">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691D2473">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1E0C2FFD">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61CD45CD">
            <w:pPr>
              <w:jc w:val="center"/>
              <w:rPr>
                <w:rFonts w:ascii="Times New Roman" w:hAnsi="Times New Roman" w:cs="Times New Roman"/>
                <w:color w:val="auto"/>
                <w:sz w:val="21"/>
              </w:rPr>
            </w:pPr>
            <w:r>
              <w:rPr>
                <w:rFonts w:ascii="Times New Roman" w:hAnsi="Times New Roman" w:cs="Times New Roman"/>
                <w:color w:val="auto"/>
                <w:sz w:val="21"/>
              </w:rPr>
              <w:t>15</w:t>
            </w:r>
          </w:p>
        </w:tc>
        <w:tc>
          <w:tcPr>
            <w:tcW w:w="462" w:type="pct"/>
            <w:vAlign w:val="center"/>
          </w:tcPr>
          <w:p w14:paraId="1AFBC3D5">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47948D9B">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3190397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780" w:type="pct"/>
            <w:vAlign w:val="center"/>
          </w:tcPr>
          <w:p w14:paraId="66FDE429">
            <w:pPr>
              <w:pStyle w:val="65"/>
              <w:jc w:val="center"/>
              <w:rPr>
                <w:rFonts w:ascii="Times New Roman" w:hAnsi="Times New Roman" w:cs="Times New Roman"/>
                <w:color w:val="auto"/>
                <w:spacing w:val="-3"/>
                <w:sz w:val="21"/>
                <w:szCs w:val="21"/>
                <w:lang w:eastAsia="zh-CN"/>
              </w:rPr>
            </w:pPr>
            <w:r>
              <w:rPr>
                <w:rFonts w:ascii="Times New Roman" w:hAnsi="Times New Roman" w:cs="Times New Roman"/>
                <w:color w:val="auto"/>
                <w:spacing w:val="-2"/>
                <w:sz w:val="21"/>
                <w:szCs w:val="21"/>
              </w:rPr>
              <w:t>苯并[a]芘</w:t>
            </w:r>
          </w:p>
        </w:tc>
        <w:tc>
          <w:tcPr>
            <w:tcW w:w="400" w:type="pct"/>
            <w:vAlign w:val="center"/>
          </w:tcPr>
          <w:p w14:paraId="3526F128">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31FE5377">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43" w:type="pct"/>
            <w:vAlign w:val="center"/>
          </w:tcPr>
          <w:p w14:paraId="04D4BE19">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708D6B98">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7C658DFE">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5F053924">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666DFB42">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1DC75956">
            <w:pPr>
              <w:jc w:val="center"/>
              <w:rPr>
                <w:rFonts w:ascii="Times New Roman" w:hAnsi="Times New Roman" w:cs="Times New Roman"/>
                <w:color w:val="auto"/>
                <w:sz w:val="21"/>
              </w:rPr>
            </w:pPr>
            <w:r>
              <w:rPr>
                <w:rFonts w:ascii="Times New Roman" w:hAnsi="Times New Roman" w:cs="Times New Roman"/>
                <w:color w:val="auto"/>
                <w:sz w:val="21"/>
              </w:rPr>
              <w:t>1.5</w:t>
            </w:r>
          </w:p>
        </w:tc>
        <w:tc>
          <w:tcPr>
            <w:tcW w:w="462" w:type="pct"/>
            <w:vAlign w:val="center"/>
          </w:tcPr>
          <w:p w14:paraId="03BAFE27">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37B4E3B4">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77FA6D0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780" w:type="pct"/>
            <w:vAlign w:val="center"/>
          </w:tcPr>
          <w:p w14:paraId="04F8A814">
            <w:pPr>
              <w:pStyle w:val="65"/>
              <w:jc w:val="center"/>
              <w:rPr>
                <w:rFonts w:ascii="Times New Roman" w:hAnsi="Times New Roman" w:cs="Times New Roman"/>
                <w:color w:val="auto"/>
                <w:spacing w:val="-3"/>
                <w:sz w:val="21"/>
                <w:szCs w:val="21"/>
                <w:lang w:eastAsia="zh-CN"/>
              </w:rPr>
            </w:pPr>
            <w:r>
              <w:rPr>
                <w:rFonts w:ascii="Times New Roman" w:hAnsi="Times New Roman" w:cs="Times New Roman"/>
                <w:color w:val="auto"/>
                <w:spacing w:val="-2"/>
                <w:sz w:val="21"/>
                <w:szCs w:val="21"/>
              </w:rPr>
              <w:t>苯并[b]荧蒽</w:t>
            </w:r>
          </w:p>
        </w:tc>
        <w:tc>
          <w:tcPr>
            <w:tcW w:w="400" w:type="pct"/>
            <w:vAlign w:val="center"/>
          </w:tcPr>
          <w:p w14:paraId="5254BCB0">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17D79956">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43" w:type="pct"/>
            <w:vAlign w:val="center"/>
          </w:tcPr>
          <w:p w14:paraId="45223336">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4C137695">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21B91569">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54772A78">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7AA528D0">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01B754A9">
            <w:pPr>
              <w:jc w:val="center"/>
              <w:rPr>
                <w:rFonts w:ascii="Times New Roman" w:hAnsi="Times New Roman" w:cs="Times New Roman"/>
                <w:color w:val="auto"/>
                <w:sz w:val="21"/>
              </w:rPr>
            </w:pPr>
            <w:r>
              <w:rPr>
                <w:rFonts w:ascii="Times New Roman" w:hAnsi="Times New Roman" w:cs="Times New Roman"/>
                <w:color w:val="auto"/>
                <w:sz w:val="21"/>
              </w:rPr>
              <w:t>15</w:t>
            </w:r>
          </w:p>
        </w:tc>
        <w:tc>
          <w:tcPr>
            <w:tcW w:w="462" w:type="pct"/>
            <w:vAlign w:val="center"/>
          </w:tcPr>
          <w:p w14:paraId="7137967B">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7C94EAA3">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01B8D12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780" w:type="pct"/>
            <w:vAlign w:val="center"/>
          </w:tcPr>
          <w:p w14:paraId="5D3531C1">
            <w:pPr>
              <w:pStyle w:val="65"/>
              <w:jc w:val="center"/>
              <w:rPr>
                <w:rFonts w:ascii="Times New Roman" w:hAnsi="Times New Roman" w:cs="Times New Roman"/>
                <w:color w:val="auto"/>
                <w:spacing w:val="-3"/>
                <w:sz w:val="21"/>
                <w:szCs w:val="21"/>
                <w:lang w:eastAsia="zh-CN"/>
              </w:rPr>
            </w:pPr>
            <w:r>
              <w:rPr>
                <w:rFonts w:ascii="Times New Roman" w:hAnsi="Times New Roman" w:cs="Times New Roman"/>
                <w:color w:val="auto"/>
                <w:spacing w:val="-2"/>
                <w:sz w:val="21"/>
                <w:szCs w:val="21"/>
              </w:rPr>
              <w:t>苯并[k]荧蒽</w:t>
            </w:r>
          </w:p>
        </w:tc>
        <w:tc>
          <w:tcPr>
            <w:tcW w:w="400" w:type="pct"/>
            <w:vAlign w:val="center"/>
          </w:tcPr>
          <w:p w14:paraId="5CC2AA54">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330D43F7">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43" w:type="pct"/>
            <w:vAlign w:val="center"/>
          </w:tcPr>
          <w:p w14:paraId="1EF52057">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3CE679A1">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70D4EF06">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33E2BBB5">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1C47D26B">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02CE1160">
            <w:pPr>
              <w:jc w:val="center"/>
              <w:rPr>
                <w:rFonts w:ascii="Times New Roman" w:hAnsi="Times New Roman" w:cs="Times New Roman"/>
                <w:color w:val="auto"/>
                <w:sz w:val="21"/>
              </w:rPr>
            </w:pPr>
            <w:r>
              <w:rPr>
                <w:rFonts w:ascii="Times New Roman" w:hAnsi="Times New Roman" w:cs="Times New Roman"/>
                <w:color w:val="auto"/>
                <w:sz w:val="21"/>
              </w:rPr>
              <w:t>151</w:t>
            </w:r>
          </w:p>
        </w:tc>
        <w:tc>
          <w:tcPr>
            <w:tcW w:w="462" w:type="pct"/>
            <w:vAlign w:val="center"/>
          </w:tcPr>
          <w:p w14:paraId="367D38A3">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7CF297DC">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56672E7D">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780" w:type="pct"/>
            <w:vAlign w:val="center"/>
          </w:tcPr>
          <w:p w14:paraId="2A3D87BC">
            <w:pPr>
              <w:pStyle w:val="65"/>
              <w:jc w:val="center"/>
              <w:rPr>
                <w:rFonts w:ascii="Times New Roman" w:hAnsi="Times New Roman" w:cs="Times New Roman"/>
                <w:color w:val="auto"/>
                <w:spacing w:val="-3"/>
                <w:sz w:val="21"/>
                <w:szCs w:val="21"/>
                <w:lang w:eastAsia="zh-CN"/>
              </w:rPr>
            </w:pPr>
            <w:r>
              <w:rPr>
                <w:rFonts w:ascii="Times New Roman" w:hAnsi="Times New Roman" w:cs="Times New Roman"/>
                <w:color w:val="auto"/>
                <w:sz w:val="21"/>
                <w:szCs w:val="21"/>
              </w:rPr>
              <w:t>䓛</w:t>
            </w:r>
          </w:p>
        </w:tc>
        <w:tc>
          <w:tcPr>
            <w:tcW w:w="400" w:type="pct"/>
            <w:vAlign w:val="center"/>
          </w:tcPr>
          <w:p w14:paraId="158D0FB8">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5FA0B6D8">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43" w:type="pct"/>
            <w:vAlign w:val="center"/>
          </w:tcPr>
          <w:p w14:paraId="339374BB">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3AF1F1DE">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6ED89382">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059FD578">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5FCD1E28">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388236FD">
            <w:pPr>
              <w:jc w:val="center"/>
              <w:rPr>
                <w:rFonts w:ascii="Times New Roman" w:hAnsi="Times New Roman" w:cs="Times New Roman"/>
                <w:color w:val="auto"/>
                <w:sz w:val="21"/>
              </w:rPr>
            </w:pPr>
            <w:r>
              <w:rPr>
                <w:rFonts w:ascii="Times New Roman" w:hAnsi="Times New Roman" w:cs="Times New Roman"/>
                <w:color w:val="auto"/>
                <w:sz w:val="21"/>
              </w:rPr>
              <w:t>1293</w:t>
            </w:r>
          </w:p>
        </w:tc>
        <w:tc>
          <w:tcPr>
            <w:tcW w:w="462" w:type="pct"/>
            <w:vAlign w:val="center"/>
          </w:tcPr>
          <w:p w14:paraId="7684542F">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4D9E8BD4">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7644D86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780" w:type="pct"/>
            <w:vAlign w:val="center"/>
          </w:tcPr>
          <w:p w14:paraId="4F6F4F85">
            <w:pPr>
              <w:pStyle w:val="65"/>
              <w:jc w:val="center"/>
              <w:rPr>
                <w:rFonts w:ascii="Times New Roman" w:hAnsi="Times New Roman" w:cs="Times New Roman"/>
                <w:color w:val="auto"/>
                <w:spacing w:val="-3"/>
                <w:sz w:val="21"/>
                <w:szCs w:val="21"/>
                <w:lang w:eastAsia="zh-CN"/>
              </w:rPr>
            </w:pPr>
            <w:r>
              <w:rPr>
                <w:rFonts w:ascii="Times New Roman" w:hAnsi="Times New Roman" w:cs="Times New Roman"/>
                <w:color w:val="auto"/>
                <w:spacing w:val="-1"/>
                <w:sz w:val="21"/>
                <w:szCs w:val="21"/>
              </w:rPr>
              <w:t>二苯并[a,h]蒽</w:t>
            </w:r>
          </w:p>
        </w:tc>
        <w:tc>
          <w:tcPr>
            <w:tcW w:w="400" w:type="pct"/>
            <w:vAlign w:val="center"/>
          </w:tcPr>
          <w:p w14:paraId="7C4A808C">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513275E4">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43" w:type="pct"/>
            <w:vAlign w:val="center"/>
          </w:tcPr>
          <w:p w14:paraId="17E18F8F">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434D31B9">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037958B5">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614CCAB4">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5A094902">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0B0653F0">
            <w:pPr>
              <w:jc w:val="center"/>
              <w:rPr>
                <w:rFonts w:ascii="Times New Roman" w:hAnsi="Times New Roman" w:cs="Times New Roman"/>
                <w:color w:val="auto"/>
                <w:sz w:val="21"/>
              </w:rPr>
            </w:pPr>
            <w:r>
              <w:rPr>
                <w:rFonts w:ascii="Times New Roman" w:hAnsi="Times New Roman" w:cs="Times New Roman"/>
                <w:color w:val="auto"/>
                <w:sz w:val="21"/>
              </w:rPr>
              <w:t>1.5</w:t>
            </w:r>
          </w:p>
        </w:tc>
        <w:tc>
          <w:tcPr>
            <w:tcW w:w="462" w:type="pct"/>
            <w:vAlign w:val="center"/>
          </w:tcPr>
          <w:p w14:paraId="0CCED3B1">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759BD4EF">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72EBA84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780" w:type="pct"/>
            <w:vAlign w:val="center"/>
          </w:tcPr>
          <w:p w14:paraId="4A2E9965">
            <w:pPr>
              <w:pStyle w:val="65"/>
              <w:jc w:val="center"/>
              <w:rPr>
                <w:rFonts w:ascii="Times New Roman" w:hAnsi="Times New Roman" w:cs="Times New Roman"/>
                <w:color w:val="auto"/>
                <w:spacing w:val="-3"/>
                <w:sz w:val="21"/>
                <w:szCs w:val="21"/>
                <w:lang w:eastAsia="zh-CN"/>
              </w:rPr>
            </w:pPr>
            <w:r>
              <w:rPr>
                <w:rFonts w:ascii="Times New Roman" w:hAnsi="Times New Roman" w:cs="Times New Roman"/>
                <w:color w:val="auto"/>
                <w:spacing w:val="-1"/>
                <w:sz w:val="21"/>
                <w:szCs w:val="21"/>
              </w:rPr>
              <w:t>茚并[1,2,3-cd]芘</w:t>
            </w:r>
          </w:p>
        </w:tc>
        <w:tc>
          <w:tcPr>
            <w:tcW w:w="400" w:type="pct"/>
            <w:vAlign w:val="center"/>
          </w:tcPr>
          <w:p w14:paraId="78BF9786">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6924D5BB">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43" w:type="pct"/>
            <w:vAlign w:val="center"/>
          </w:tcPr>
          <w:p w14:paraId="4528500F">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36942338">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6C17F807">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6E9318D4">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1C2C79A0">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7B1B9E9C">
            <w:pPr>
              <w:jc w:val="center"/>
              <w:rPr>
                <w:rFonts w:ascii="Times New Roman" w:hAnsi="Times New Roman" w:cs="Times New Roman"/>
                <w:color w:val="auto"/>
                <w:sz w:val="21"/>
              </w:rPr>
            </w:pPr>
            <w:r>
              <w:rPr>
                <w:rFonts w:ascii="Times New Roman" w:hAnsi="Times New Roman" w:cs="Times New Roman"/>
                <w:color w:val="auto"/>
                <w:sz w:val="21"/>
              </w:rPr>
              <w:t>15</w:t>
            </w:r>
          </w:p>
        </w:tc>
        <w:tc>
          <w:tcPr>
            <w:tcW w:w="462" w:type="pct"/>
            <w:vAlign w:val="center"/>
          </w:tcPr>
          <w:p w14:paraId="6DA0BD95">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4A95E128">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6E43C13D">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780" w:type="pct"/>
            <w:vAlign w:val="center"/>
          </w:tcPr>
          <w:p w14:paraId="55A28E98">
            <w:pPr>
              <w:pStyle w:val="65"/>
              <w:jc w:val="center"/>
              <w:rPr>
                <w:rFonts w:ascii="Times New Roman" w:hAnsi="Times New Roman" w:cs="Times New Roman"/>
                <w:color w:val="auto"/>
                <w:spacing w:val="-3"/>
                <w:sz w:val="21"/>
                <w:szCs w:val="21"/>
                <w:lang w:eastAsia="zh-CN"/>
              </w:rPr>
            </w:pPr>
            <w:r>
              <w:rPr>
                <w:rFonts w:ascii="Times New Roman" w:hAnsi="Times New Roman" w:cs="Times New Roman"/>
                <w:color w:val="auto"/>
                <w:sz w:val="21"/>
                <w:szCs w:val="21"/>
              </w:rPr>
              <w:t>萘</w:t>
            </w:r>
          </w:p>
        </w:tc>
        <w:tc>
          <w:tcPr>
            <w:tcW w:w="400" w:type="pct"/>
            <w:vAlign w:val="center"/>
          </w:tcPr>
          <w:p w14:paraId="5845340F">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71EB114B">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43" w:type="pct"/>
            <w:vAlign w:val="center"/>
          </w:tcPr>
          <w:p w14:paraId="62034F06">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33FB7EDC">
            <w:pPr>
              <w:jc w:val="center"/>
              <w:rPr>
                <w:rFonts w:ascii="Times New Roman" w:hAnsi="Times New Roman" w:cs="Times New Roman"/>
                <w:color w:val="auto"/>
                <w:spacing w:val="1"/>
                <w:sz w:val="21"/>
              </w:rPr>
            </w:pPr>
            <w:r>
              <w:rPr>
                <w:rFonts w:ascii="Times New Roman" w:hAnsi="Times New Roman" w:cs="Times New Roman"/>
                <w:color w:val="auto"/>
                <w:spacing w:val="1"/>
                <w:sz w:val="21"/>
                <w:lang w:eastAsia="zh-CN"/>
              </w:rPr>
              <w:t>/</w:t>
            </w:r>
          </w:p>
        </w:tc>
        <w:tc>
          <w:tcPr>
            <w:tcW w:w="439" w:type="pct"/>
            <w:vAlign w:val="center"/>
          </w:tcPr>
          <w:p w14:paraId="523E840E">
            <w:pPr>
              <w:jc w:val="center"/>
              <w:rPr>
                <w:rFonts w:ascii="Times New Roman" w:hAnsi="Times New Roman" w:cs="Times New Roman"/>
                <w:color w:val="auto"/>
                <w:spacing w:val="1"/>
                <w:sz w:val="21"/>
              </w:rPr>
            </w:pPr>
            <w:r>
              <w:rPr>
                <w:rFonts w:hint="eastAsia" w:ascii="Times New Roman" w:hAnsi="Times New Roman" w:cs="Times New Roman"/>
                <w:color w:val="auto"/>
                <w:spacing w:val="1"/>
                <w:sz w:val="21"/>
                <w:lang w:eastAsia="zh-CN"/>
              </w:rPr>
              <w:t>ND</w:t>
            </w:r>
          </w:p>
        </w:tc>
        <w:tc>
          <w:tcPr>
            <w:tcW w:w="439" w:type="pct"/>
            <w:vAlign w:val="center"/>
          </w:tcPr>
          <w:p w14:paraId="435CE786">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39" w:type="pct"/>
            <w:vAlign w:val="center"/>
          </w:tcPr>
          <w:p w14:paraId="5E2AE2BC">
            <w:pPr>
              <w:jc w:val="center"/>
              <w:rPr>
                <w:rFonts w:ascii="Times New Roman" w:hAnsi="Times New Roman" w:cs="Times New Roman"/>
                <w:color w:val="auto"/>
                <w:spacing w:val="1"/>
                <w:sz w:val="21"/>
              </w:rPr>
            </w:pPr>
            <w:r>
              <w:rPr>
                <w:rFonts w:hint="eastAsia" w:ascii="Times New Roman" w:hAnsi="Times New Roman" w:cs="Times New Roman"/>
                <w:color w:val="auto"/>
                <w:sz w:val="21"/>
                <w:lang w:eastAsia="zh-CN"/>
              </w:rPr>
              <w:t>ND</w:t>
            </w:r>
          </w:p>
        </w:tc>
        <w:tc>
          <w:tcPr>
            <w:tcW w:w="445" w:type="pct"/>
            <w:vAlign w:val="center"/>
          </w:tcPr>
          <w:p w14:paraId="4FCFA93B">
            <w:pPr>
              <w:jc w:val="center"/>
              <w:rPr>
                <w:rFonts w:ascii="Times New Roman" w:hAnsi="Times New Roman" w:cs="Times New Roman"/>
                <w:color w:val="auto"/>
                <w:sz w:val="21"/>
              </w:rPr>
            </w:pPr>
            <w:r>
              <w:rPr>
                <w:rFonts w:ascii="Times New Roman" w:hAnsi="Times New Roman" w:cs="Times New Roman"/>
                <w:color w:val="auto"/>
                <w:sz w:val="21"/>
              </w:rPr>
              <w:t>70</w:t>
            </w:r>
          </w:p>
        </w:tc>
        <w:tc>
          <w:tcPr>
            <w:tcW w:w="462" w:type="pct"/>
            <w:vAlign w:val="center"/>
          </w:tcPr>
          <w:p w14:paraId="6C9C25DB">
            <w:pPr>
              <w:jc w:val="center"/>
              <w:rPr>
                <w:rFonts w:ascii="Times New Roman" w:hAnsi="Times New Roman" w:cs="Times New Roman"/>
                <w:color w:val="auto"/>
                <w:sz w:val="21"/>
              </w:rPr>
            </w:pPr>
            <w:r>
              <w:rPr>
                <w:rFonts w:ascii="Times New Roman" w:hAnsi="Times New Roman" w:cs="Times New Roman"/>
                <w:color w:val="auto"/>
                <w:sz w:val="21"/>
                <w:lang w:eastAsia="zh-CN"/>
              </w:rPr>
              <w:t>/</w:t>
            </w:r>
          </w:p>
        </w:tc>
        <w:tc>
          <w:tcPr>
            <w:tcW w:w="275" w:type="pct"/>
            <w:vAlign w:val="center"/>
          </w:tcPr>
          <w:p w14:paraId="3D653234">
            <w:pPr>
              <w:jc w:val="center"/>
              <w:rPr>
                <w:rFonts w:ascii="Times New Roman" w:hAnsi="Times New Roman" w:cs="Times New Roman"/>
                <w:color w:val="auto"/>
                <w:sz w:val="21"/>
              </w:rPr>
            </w:pPr>
            <w:r>
              <w:rPr>
                <w:rFonts w:ascii="Times New Roman" w:hAnsi="Times New Roman" w:cs="Times New Roman"/>
                <w:color w:val="auto"/>
                <w:sz w:val="21"/>
              </w:rPr>
              <w:t>达标</w:t>
            </w:r>
          </w:p>
        </w:tc>
      </w:tr>
    </w:tbl>
    <w:p w14:paraId="40D52E88">
      <w:pPr>
        <w:jc w:val="center"/>
        <w:rPr>
          <w:rFonts w:ascii="Times New Roman" w:hAnsi="Times New Roman" w:cs="Times New Roman"/>
          <w:color w:val="auto"/>
          <w:lang w:eastAsia="zh-CN"/>
        </w:rPr>
      </w:pPr>
    </w:p>
    <w:p w14:paraId="490B1617">
      <w:pPr>
        <w:tabs>
          <w:tab w:val="center" w:pos="7229"/>
        </w:tabs>
        <w:rPr>
          <w:rFonts w:ascii="Times New Roman" w:hAnsi="Times New Roman" w:cs="Times New Roman"/>
          <w:lang w:eastAsia="zh-CN"/>
        </w:rPr>
        <w:sectPr>
          <w:pgSz w:w="16840" w:h="11907" w:orient="landscape"/>
          <w:pgMar w:top="1134" w:right="1191" w:bottom="1134" w:left="1191" w:header="0" w:footer="914" w:gutter="0"/>
          <w:cols w:space="720" w:num="1"/>
        </w:sectPr>
      </w:pPr>
      <w:r>
        <w:rPr>
          <w:rFonts w:ascii="Times New Roman" w:hAnsi="Times New Roman" w:cs="Times New Roman"/>
          <w:lang w:eastAsia="zh-CN"/>
        </w:rPr>
        <w:tab/>
      </w:r>
    </w:p>
    <w:p w14:paraId="50635EFA">
      <w:pPr>
        <w:spacing w:line="360" w:lineRule="auto"/>
        <w:ind w:firstLine="482"/>
        <w:jc w:val="center"/>
        <w:rPr>
          <w:rFonts w:ascii="Times New Roman" w:hAnsi="Times New Roman" w:cs="Times New Roman"/>
          <w:b/>
          <w:bCs/>
          <w:color w:val="000000" w:themeColor="text1"/>
          <w:lang w:eastAsia="zh-CN"/>
          <w14:textFill>
            <w14:solidFill>
              <w14:schemeClr w14:val="tx1"/>
            </w14:solidFill>
          </w14:textFill>
        </w:rPr>
      </w:pPr>
      <w:bookmarkStart w:id="1319" w:name="_Toc15625"/>
      <w:bookmarkStart w:id="1320" w:name="_Toc12645"/>
      <w:bookmarkStart w:id="1321" w:name="_Hlk176967322"/>
      <w:r>
        <w:rPr>
          <w:rFonts w:ascii="Times New Roman" w:hAnsi="Times New Roman" w:cs="Times New Roman"/>
          <w:b/>
          <w:bCs/>
          <w:color w:val="000000" w:themeColor="text1"/>
          <w:lang w:eastAsia="zh-CN"/>
          <w14:textFill>
            <w14:solidFill>
              <w14:schemeClr w14:val="tx1"/>
            </w14:solidFill>
          </w14:textFill>
        </w:rPr>
        <w:t>表</w:t>
      </w:r>
      <w:r>
        <w:rPr>
          <w:rFonts w:hint="eastAsia" w:ascii="Times New Roman" w:hAnsi="Times New Roman" w:cs="Times New Roman"/>
          <w:b/>
          <w:bCs/>
          <w:color w:val="000000" w:themeColor="text1"/>
          <w:lang w:eastAsia="zh-CN"/>
          <w14:textFill>
            <w14:solidFill>
              <w14:schemeClr w14:val="tx1"/>
            </w14:solidFill>
          </w14:textFill>
        </w:rPr>
        <w:t>5</w:t>
      </w:r>
      <w:r>
        <w:rPr>
          <w:rFonts w:ascii="Times New Roman" w:hAnsi="Times New Roman" w:cs="Times New Roman"/>
          <w:b/>
          <w:bCs/>
          <w:color w:val="000000" w:themeColor="text1"/>
          <w:lang w:eastAsia="zh-CN"/>
          <w14:textFill>
            <w14:solidFill>
              <w14:schemeClr w14:val="tx1"/>
            </w14:solidFill>
          </w14:textFill>
        </w:rPr>
        <w:t>.2-</w:t>
      </w:r>
      <w:r>
        <w:rPr>
          <w:rFonts w:hint="eastAsia" w:ascii="Times New Roman" w:hAnsi="Times New Roman" w:cs="Times New Roman"/>
          <w:b/>
          <w:bCs/>
          <w:color w:val="000000" w:themeColor="text1"/>
          <w:lang w:eastAsia="zh-CN"/>
          <w14:textFill>
            <w14:solidFill>
              <w14:schemeClr w14:val="tx1"/>
            </w14:solidFill>
          </w14:textFill>
        </w:rPr>
        <w:t>20</w:t>
      </w:r>
      <w:r>
        <w:rPr>
          <w:rFonts w:ascii="Times New Roman" w:hAnsi="Times New Roman" w:cs="Times New Roman"/>
          <w:b/>
          <w:bCs/>
          <w:color w:val="000000" w:themeColor="text1"/>
          <w:lang w:eastAsia="zh-CN"/>
          <w14:textFill>
            <w14:solidFill>
              <w14:schemeClr w14:val="tx1"/>
            </w14:solidFill>
          </w14:textFill>
        </w:rPr>
        <w:t xml:space="preserve">  </w:t>
      </w:r>
      <w:r>
        <w:rPr>
          <w:rFonts w:hint="eastAsia" w:ascii="Times New Roman" w:hAnsi="Times New Roman" w:cs="Times New Roman"/>
          <w:b/>
          <w:bCs/>
          <w:color w:val="000000" w:themeColor="text1"/>
          <w:lang w:eastAsia="zh-CN"/>
          <w14:textFill>
            <w14:solidFill>
              <w14:schemeClr w14:val="tx1"/>
            </w14:solidFill>
          </w14:textFill>
        </w:rPr>
        <w:t>T11</w:t>
      </w:r>
      <w:r>
        <w:rPr>
          <w:rFonts w:ascii="Times New Roman" w:hAnsi="Times New Roman" w:cs="Times New Roman"/>
          <w:b/>
          <w:bCs/>
          <w:color w:val="000000" w:themeColor="text1"/>
          <w:lang w:eastAsia="zh-CN"/>
          <w14:textFill>
            <w14:solidFill>
              <w14:schemeClr w14:val="tx1"/>
            </w14:solidFill>
          </w14:textFill>
        </w:rPr>
        <w:t>土壤环境质量监测</w:t>
      </w:r>
      <w:r>
        <w:rPr>
          <w:rFonts w:hint="eastAsia" w:ascii="Times New Roman" w:hAnsi="Times New Roman" w:cs="Times New Roman"/>
          <w:b/>
          <w:bCs/>
          <w:color w:val="000000" w:themeColor="text1"/>
          <w:lang w:eastAsia="zh-CN"/>
          <w14:textFill>
            <w14:solidFill>
              <w14:schemeClr w14:val="tx1"/>
            </w14:solidFill>
          </w14:textFill>
        </w:rPr>
        <w:t>及评价</w:t>
      </w:r>
      <w:r>
        <w:rPr>
          <w:rFonts w:ascii="Times New Roman" w:hAnsi="Times New Roman" w:cs="Times New Roman"/>
          <w:b/>
          <w:bCs/>
          <w:color w:val="000000" w:themeColor="text1"/>
          <w:lang w:eastAsia="zh-CN"/>
          <w14:textFill>
            <w14:solidFill>
              <w14:schemeClr w14:val="tx1"/>
            </w14:solidFill>
          </w14:textFill>
        </w:rPr>
        <w:t xml:space="preserve">结果一览表  单位：mg/kg ，pH </w:t>
      </w:r>
      <w:r>
        <w:rPr>
          <w:rFonts w:hint="eastAsia" w:ascii="Times New Roman" w:hAnsi="Times New Roman" w:cs="Times New Roman"/>
          <w:b/>
          <w:bCs/>
          <w:color w:val="000000" w:themeColor="text1"/>
          <w:lang w:eastAsia="zh-CN"/>
          <w14:textFill>
            <w14:solidFill>
              <w14:schemeClr w14:val="tx1"/>
            </w14:solidFill>
          </w14:textFill>
        </w:rPr>
        <w:t>无量纲</w:t>
      </w:r>
    </w:p>
    <w:bookmarkEnd w:id="1319"/>
    <w:bookmarkEnd w:id="1320"/>
    <w:tbl>
      <w:tblPr>
        <w:tblStyle w:val="35"/>
        <w:tblW w:w="5000" w:type="pct"/>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autofit"/>
        <w:tblCellMar>
          <w:top w:w="0" w:type="dxa"/>
          <w:left w:w="0" w:type="dxa"/>
          <w:bottom w:w="0" w:type="dxa"/>
          <w:right w:w="0" w:type="dxa"/>
        </w:tblCellMar>
      </w:tblPr>
      <w:tblGrid>
        <w:gridCol w:w="2409"/>
        <w:gridCol w:w="1844"/>
        <w:gridCol w:w="2694"/>
        <w:gridCol w:w="1635"/>
        <w:gridCol w:w="1164"/>
      </w:tblGrid>
      <w:tr w14:paraId="228EE2E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76" w:hRule="atLeast"/>
          <w:jc w:val="center"/>
        </w:trPr>
        <w:tc>
          <w:tcPr>
            <w:tcW w:w="1236" w:type="pct"/>
            <w:vAlign w:val="center"/>
          </w:tcPr>
          <w:p w14:paraId="0F3F717E">
            <w:pPr>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14:textFill>
                  <w14:solidFill>
                    <w14:schemeClr w14:val="tx1"/>
                  </w14:solidFill>
                </w14:textFill>
              </w:rPr>
              <w:t>监测因子</w:t>
            </w:r>
          </w:p>
        </w:tc>
        <w:tc>
          <w:tcPr>
            <w:tcW w:w="946" w:type="pct"/>
            <w:vAlign w:val="center"/>
          </w:tcPr>
          <w:p w14:paraId="0FF1ABFE">
            <w:pPr>
              <w:jc w:val="center"/>
              <w:rPr>
                <w:rFonts w:ascii="Times New Roman" w:hAnsi="Times New Roman" w:cs="Times New Roman"/>
                <w:b/>
                <w:bCs/>
                <w:color w:val="000000" w:themeColor="text1"/>
                <w:sz w:val="21"/>
                <w14:textFill>
                  <w14:solidFill>
                    <w14:schemeClr w14:val="tx1"/>
                  </w14:solidFill>
                </w14:textFill>
              </w:rPr>
            </w:pPr>
            <w:r>
              <w:rPr>
                <w:rFonts w:hint="eastAsia" w:ascii="Times New Roman" w:hAnsi="Times New Roman" w:cs="Times New Roman"/>
                <w:b/>
                <w:bCs/>
                <w:color w:val="000000" w:themeColor="text1"/>
                <w:sz w:val="21"/>
                <w:lang w:eastAsia="zh-CN"/>
                <w14:textFill>
                  <w14:solidFill>
                    <w14:schemeClr w14:val="tx1"/>
                  </w14:solidFill>
                </w14:textFill>
              </w:rPr>
              <w:t>监测结果</w:t>
            </w:r>
          </w:p>
        </w:tc>
        <w:tc>
          <w:tcPr>
            <w:tcW w:w="1382" w:type="pct"/>
            <w:vAlign w:val="center"/>
          </w:tcPr>
          <w:p w14:paraId="455FF21C">
            <w:pPr>
              <w:jc w:val="center"/>
              <w:rPr>
                <w:rFonts w:ascii="Times New Roman" w:hAnsi="Times New Roman" w:cs="Times New Roman"/>
                <w:b/>
                <w:bCs/>
                <w:color w:val="000000" w:themeColor="text1"/>
                <w:sz w:val="21"/>
                <w:lang w:eastAsia="zh-CN"/>
                <w14:textFill>
                  <w14:solidFill>
                    <w14:schemeClr w14:val="tx1"/>
                  </w14:solidFill>
                </w14:textFill>
              </w:rPr>
            </w:pPr>
            <w:r>
              <w:rPr>
                <w:rFonts w:hint="eastAsia" w:ascii="Times New Roman" w:hAnsi="Times New Roman" w:cs="Times New Roman"/>
                <w:b/>
                <w:bCs/>
                <w:color w:val="000000" w:themeColor="text1"/>
                <w:sz w:val="21"/>
                <w:lang w:eastAsia="zh-CN"/>
                <w14:textFill>
                  <w14:solidFill>
                    <w14:schemeClr w14:val="tx1"/>
                  </w14:solidFill>
                </w14:textFill>
              </w:rPr>
              <w:t>第一类</w:t>
            </w:r>
            <w:r>
              <w:rPr>
                <w:rFonts w:ascii="Times New Roman" w:hAnsi="Times New Roman" w:cs="Times New Roman"/>
                <w:b/>
                <w:bCs/>
                <w:color w:val="000000" w:themeColor="text1"/>
                <w:sz w:val="21"/>
                <w:lang w:eastAsia="zh-CN"/>
                <w14:textFill>
                  <w14:solidFill>
                    <w14:schemeClr w14:val="tx1"/>
                  </w14:solidFill>
                </w14:textFill>
              </w:rPr>
              <w:t>用地筛选值</w:t>
            </w:r>
            <w:r>
              <w:rPr>
                <w:rFonts w:hint="eastAsia" w:ascii="Times New Roman" w:hAnsi="Times New Roman" w:cs="Times New Roman"/>
                <w:b/>
                <w:bCs/>
                <w:color w:val="000000" w:themeColor="text1"/>
                <w:sz w:val="21"/>
                <w:lang w:eastAsia="zh-CN"/>
                <w14:textFill>
                  <w14:solidFill>
                    <w14:schemeClr w14:val="tx1"/>
                  </w14:solidFill>
                </w14:textFill>
              </w:rPr>
              <w:t>（</w:t>
            </w:r>
            <w:r>
              <w:rPr>
                <w:rFonts w:ascii="Times New Roman" w:hAnsi="Times New Roman" w:cs="Times New Roman"/>
                <w:b/>
                <w:bCs/>
                <w:color w:val="000000" w:themeColor="text1"/>
                <w:sz w:val="21"/>
                <w:lang w:eastAsia="zh-CN"/>
                <w14:textFill>
                  <w14:solidFill>
                    <w14:schemeClr w14:val="tx1"/>
                  </w14:solidFill>
                </w14:textFill>
              </w:rPr>
              <w:t>mg/kg</w:t>
            </w:r>
            <w:r>
              <w:rPr>
                <w:rFonts w:hint="eastAsia" w:ascii="Times New Roman" w:hAnsi="Times New Roman" w:cs="Times New Roman"/>
                <w:b/>
                <w:bCs/>
                <w:color w:val="000000" w:themeColor="text1"/>
                <w:sz w:val="21"/>
                <w:lang w:eastAsia="zh-CN"/>
                <w14:textFill>
                  <w14:solidFill>
                    <w14:schemeClr w14:val="tx1"/>
                  </w14:solidFill>
                </w14:textFill>
              </w:rPr>
              <w:t>）</w:t>
            </w:r>
          </w:p>
        </w:tc>
        <w:tc>
          <w:tcPr>
            <w:tcW w:w="839" w:type="pct"/>
            <w:vAlign w:val="center"/>
          </w:tcPr>
          <w:p w14:paraId="0CD7F6EA">
            <w:pPr>
              <w:jc w:val="center"/>
              <w:rPr>
                <w:rFonts w:ascii="Times New Roman" w:hAnsi="Times New Roman" w:cs="Times New Roman"/>
                <w:b/>
                <w:bCs/>
                <w:color w:val="000000" w:themeColor="text1"/>
                <w:sz w:val="21"/>
                <w:lang w:eastAsia="zh-CN"/>
                <w14:textFill>
                  <w14:solidFill>
                    <w14:schemeClr w14:val="tx1"/>
                  </w14:solidFill>
                </w14:textFill>
              </w:rPr>
            </w:pPr>
            <w:r>
              <w:rPr>
                <w:rFonts w:hint="eastAsia" w:ascii="Times New Roman" w:hAnsi="Times New Roman" w:cs="Times New Roman"/>
                <w:b/>
                <w:bCs/>
                <w:color w:val="000000" w:themeColor="text1"/>
                <w:sz w:val="21"/>
                <w:lang w:eastAsia="zh-CN"/>
                <w14:textFill>
                  <w14:solidFill>
                    <w14:schemeClr w14:val="tx1"/>
                  </w14:solidFill>
                </w14:textFill>
              </w:rPr>
              <w:t>最大单因子指数</w:t>
            </w:r>
          </w:p>
        </w:tc>
        <w:tc>
          <w:tcPr>
            <w:tcW w:w="597" w:type="pct"/>
            <w:vAlign w:val="center"/>
          </w:tcPr>
          <w:p w14:paraId="54282135">
            <w:pPr>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14:textFill>
                  <w14:solidFill>
                    <w14:schemeClr w14:val="tx1"/>
                  </w14:solidFill>
                </w14:textFill>
              </w:rPr>
              <w:t>是否达标</w:t>
            </w:r>
          </w:p>
        </w:tc>
      </w:tr>
      <w:tr w14:paraId="41D4C9E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1236" w:type="pct"/>
            <w:vAlign w:val="center"/>
          </w:tcPr>
          <w:p w14:paraId="5EA42417">
            <w:pPr>
              <w:jc w:val="center"/>
              <w:rPr>
                <w:rFonts w:ascii="Times New Roman" w:hAnsi="Times New Roman" w:cs="Times New Roman"/>
                <w:color w:val="000000" w:themeColor="text1"/>
                <w:sz w:val="21"/>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pH</w:t>
            </w:r>
          </w:p>
        </w:tc>
        <w:tc>
          <w:tcPr>
            <w:tcW w:w="946" w:type="pct"/>
            <w:vAlign w:val="center"/>
          </w:tcPr>
          <w:p w14:paraId="5A097493">
            <w:pPr>
              <w:jc w:val="center"/>
              <w:rPr>
                <w:rFonts w:ascii="Times New Roman" w:hAnsi="Times New Roman" w:cs="Times New Roman"/>
                <w:color w:val="000000" w:themeColor="text1"/>
                <w:sz w:val="21"/>
                <w:lang w:eastAsia="zh-CN"/>
                <w14:textFill>
                  <w14:solidFill>
                    <w14:schemeClr w14:val="tx1"/>
                  </w14:solidFill>
                </w14:textFill>
              </w:rPr>
            </w:pPr>
          </w:p>
        </w:tc>
        <w:tc>
          <w:tcPr>
            <w:tcW w:w="1382" w:type="pct"/>
            <w:vAlign w:val="center"/>
          </w:tcPr>
          <w:p w14:paraId="37CA0CA9">
            <w:pPr>
              <w:jc w:val="center"/>
              <w:rPr>
                <w:rFonts w:ascii="Times New Roman" w:hAnsi="Times New Roman" w:cs="Times New Roman"/>
                <w:color w:val="000000" w:themeColor="text1"/>
                <w:sz w:val="21"/>
                <w:lang w:eastAsia="zh-CN"/>
                <w14:textFill>
                  <w14:solidFill>
                    <w14:schemeClr w14:val="tx1"/>
                  </w14:solidFill>
                </w14:textFill>
              </w:rPr>
            </w:pPr>
          </w:p>
        </w:tc>
        <w:tc>
          <w:tcPr>
            <w:tcW w:w="839" w:type="pct"/>
            <w:vAlign w:val="center"/>
          </w:tcPr>
          <w:p w14:paraId="5D548064">
            <w:pPr>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w:t>
            </w:r>
          </w:p>
        </w:tc>
        <w:tc>
          <w:tcPr>
            <w:tcW w:w="597" w:type="pct"/>
            <w:vAlign w:val="center"/>
          </w:tcPr>
          <w:p w14:paraId="0DCE63BC">
            <w:pPr>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w:t>
            </w:r>
          </w:p>
        </w:tc>
      </w:tr>
      <w:tr w14:paraId="5459E331">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1236" w:type="pct"/>
            <w:vAlign w:val="center"/>
          </w:tcPr>
          <w:p w14:paraId="6A8B3A4C">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砷</w:t>
            </w:r>
          </w:p>
        </w:tc>
        <w:tc>
          <w:tcPr>
            <w:tcW w:w="946" w:type="pct"/>
            <w:vAlign w:val="center"/>
          </w:tcPr>
          <w:p w14:paraId="7A485AC2">
            <w:pPr>
              <w:jc w:val="center"/>
              <w:rPr>
                <w:rFonts w:ascii="Times New Roman" w:hAnsi="Times New Roman" w:cs="Times New Roman"/>
                <w:color w:val="000000" w:themeColor="text1"/>
                <w:sz w:val="21"/>
                <w:lang w:eastAsia="zh-CN"/>
                <w14:textFill>
                  <w14:solidFill>
                    <w14:schemeClr w14:val="tx1"/>
                  </w14:solidFill>
                </w14:textFill>
              </w:rPr>
            </w:pPr>
          </w:p>
        </w:tc>
        <w:tc>
          <w:tcPr>
            <w:tcW w:w="1382" w:type="pct"/>
            <w:vAlign w:val="center"/>
          </w:tcPr>
          <w:p w14:paraId="44CECCEC">
            <w:pPr>
              <w:jc w:val="center"/>
              <w:rPr>
                <w:rFonts w:ascii="Times New Roman" w:hAnsi="Times New Roman"/>
                <w:color w:val="000000" w:themeColor="text1"/>
                <w:sz w:val="21"/>
                <w14:textFill>
                  <w14:solidFill>
                    <w14:schemeClr w14:val="tx1"/>
                  </w14:solidFill>
                </w14:textFill>
              </w:rPr>
            </w:pPr>
          </w:p>
        </w:tc>
        <w:tc>
          <w:tcPr>
            <w:tcW w:w="839" w:type="pct"/>
            <w:vAlign w:val="center"/>
          </w:tcPr>
          <w:p w14:paraId="4C984ABB">
            <w:pPr>
              <w:jc w:val="center"/>
              <w:rPr>
                <w:rFonts w:ascii="Times New Roman" w:hAnsi="Times New Roman" w:cs="Times New Roman"/>
                <w:color w:val="000000" w:themeColor="text1"/>
                <w:sz w:val="21"/>
                <w:lang w:eastAsia="zh-CN"/>
                <w14:textFill>
                  <w14:solidFill>
                    <w14:schemeClr w14:val="tx1"/>
                  </w14:solidFill>
                </w14:textFill>
              </w:rPr>
            </w:pPr>
          </w:p>
        </w:tc>
        <w:tc>
          <w:tcPr>
            <w:tcW w:w="597" w:type="pct"/>
            <w:vAlign w:val="center"/>
          </w:tcPr>
          <w:p w14:paraId="0977CF57">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330CA6E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1236" w:type="pct"/>
            <w:vAlign w:val="center"/>
          </w:tcPr>
          <w:p w14:paraId="1B51D1D9">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镉</w:t>
            </w:r>
          </w:p>
        </w:tc>
        <w:tc>
          <w:tcPr>
            <w:tcW w:w="946" w:type="pct"/>
            <w:vAlign w:val="center"/>
          </w:tcPr>
          <w:p w14:paraId="2CEC3724">
            <w:pPr>
              <w:jc w:val="center"/>
              <w:rPr>
                <w:rFonts w:ascii="Times New Roman" w:hAnsi="Times New Roman" w:cs="Times New Roman"/>
                <w:color w:val="000000" w:themeColor="text1"/>
                <w:sz w:val="21"/>
                <w:lang w:eastAsia="zh-CN"/>
                <w14:textFill>
                  <w14:solidFill>
                    <w14:schemeClr w14:val="tx1"/>
                  </w14:solidFill>
                </w14:textFill>
              </w:rPr>
            </w:pPr>
          </w:p>
        </w:tc>
        <w:tc>
          <w:tcPr>
            <w:tcW w:w="1382" w:type="pct"/>
            <w:vAlign w:val="center"/>
          </w:tcPr>
          <w:p w14:paraId="7D0C3A97">
            <w:pPr>
              <w:jc w:val="center"/>
              <w:rPr>
                <w:rFonts w:ascii="Times New Roman" w:hAnsi="Times New Roman" w:cs="Times New Roman"/>
                <w:color w:val="000000" w:themeColor="text1"/>
                <w:sz w:val="21"/>
                <w:lang w:eastAsia="zh-CN"/>
                <w14:textFill>
                  <w14:solidFill>
                    <w14:schemeClr w14:val="tx1"/>
                  </w14:solidFill>
                </w14:textFill>
              </w:rPr>
            </w:pPr>
          </w:p>
        </w:tc>
        <w:tc>
          <w:tcPr>
            <w:tcW w:w="839" w:type="pct"/>
            <w:vAlign w:val="center"/>
          </w:tcPr>
          <w:p w14:paraId="59309CE1">
            <w:pPr>
              <w:jc w:val="center"/>
              <w:rPr>
                <w:rFonts w:ascii="Times New Roman" w:hAnsi="Times New Roman" w:cs="Times New Roman"/>
                <w:color w:val="000000" w:themeColor="text1"/>
                <w:sz w:val="21"/>
                <w:lang w:eastAsia="zh-CN"/>
                <w14:textFill>
                  <w14:solidFill>
                    <w14:schemeClr w14:val="tx1"/>
                  </w14:solidFill>
                </w14:textFill>
              </w:rPr>
            </w:pPr>
          </w:p>
        </w:tc>
        <w:tc>
          <w:tcPr>
            <w:tcW w:w="597" w:type="pct"/>
            <w:vAlign w:val="center"/>
          </w:tcPr>
          <w:p w14:paraId="38FF3E7A">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4D9D01A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0" w:hRule="atLeast"/>
          <w:jc w:val="center"/>
        </w:trPr>
        <w:tc>
          <w:tcPr>
            <w:tcW w:w="1236" w:type="pct"/>
            <w:vAlign w:val="center"/>
          </w:tcPr>
          <w:p w14:paraId="076B20C5">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铬（六价）</w:t>
            </w:r>
          </w:p>
        </w:tc>
        <w:tc>
          <w:tcPr>
            <w:tcW w:w="946" w:type="pct"/>
            <w:vAlign w:val="center"/>
          </w:tcPr>
          <w:p w14:paraId="33D4D1ED">
            <w:pPr>
              <w:jc w:val="center"/>
              <w:rPr>
                <w:rFonts w:ascii="Times New Roman" w:hAnsi="Times New Roman" w:cs="Times New Roman"/>
                <w:color w:val="000000" w:themeColor="text1"/>
                <w:sz w:val="21"/>
                <w:lang w:eastAsia="zh-CN"/>
                <w14:textFill>
                  <w14:solidFill>
                    <w14:schemeClr w14:val="tx1"/>
                  </w14:solidFill>
                </w14:textFill>
              </w:rPr>
            </w:pPr>
          </w:p>
        </w:tc>
        <w:tc>
          <w:tcPr>
            <w:tcW w:w="1382" w:type="pct"/>
            <w:vAlign w:val="center"/>
          </w:tcPr>
          <w:p w14:paraId="068638F5">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6643C9E5">
            <w:pPr>
              <w:jc w:val="center"/>
              <w:rPr>
                <w:rFonts w:ascii="Times New Roman" w:hAnsi="Times New Roman" w:cs="Times New Roman"/>
                <w:color w:val="000000" w:themeColor="text1"/>
                <w:sz w:val="21"/>
                <w:lang w:eastAsia="zh-CN"/>
                <w14:textFill>
                  <w14:solidFill>
                    <w14:schemeClr w14:val="tx1"/>
                  </w14:solidFill>
                </w14:textFill>
              </w:rPr>
            </w:pPr>
          </w:p>
        </w:tc>
        <w:tc>
          <w:tcPr>
            <w:tcW w:w="597" w:type="pct"/>
            <w:vAlign w:val="center"/>
          </w:tcPr>
          <w:p w14:paraId="51A54D8D">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586FB9C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1236" w:type="pct"/>
            <w:vAlign w:val="center"/>
          </w:tcPr>
          <w:p w14:paraId="1B542414">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铜</w:t>
            </w:r>
          </w:p>
        </w:tc>
        <w:tc>
          <w:tcPr>
            <w:tcW w:w="946" w:type="pct"/>
            <w:vAlign w:val="center"/>
          </w:tcPr>
          <w:p w14:paraId="05F8DBA6">
            <w:pPr>
              <w:jc w:val="center"/>
              <w:rPr>
                <w:rFonts w:ascii="Times New Roman" w:hAnsi="Times New Roman" w:cs="Times New Roman"/>
                <w:color w:val="000000" w:themeColor="text1"/>
                <w:sz w:val="21"/>
                <w:lang w:eastAsia="zh-CN"/>
                <w14:textFill>
                  <w14:solidFill>
                    <w14:schemeClr w14:val="tx1"/>
                  </w14:solidFill>
                </w14:textFill>
              </w:rPr>
            </w:pPr>
          </w:p>
        </w:tc>
        <w:tc>
          <w:tcPr>
            <w:tcW w:w="1382" w:type="pct"/>
            <w:vAlign w:val="center"/>
          </w:tcPr>
          <w:p w14:paraId="370F349D">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5D62458C">
            <w:pPr>
              <w:jc w:val="center"/>
              <w:rPr>
                <w:rFonts w:ascii="Times New Roman" w:hAnsi="Times New Roman" w:cs="Times New Roman"/>
                <w:color w:val="000000" w:themeColor="text1"/>
                <w:sz w:val="21"/>
                <w:lang w:eastAsia="zh-CN"/>
                <w14:textFill>
                  <w14:solidFill>
                    <w14:schemeClr w14:val="tx1"/>
                  </w14:solidFill>
                </w14:textFill>
              </w:rPr>
            </w:pPr>
          </w:p>
        </w:tc>
        <w:tc>
          <w:tcPr>
            <w:tcW w:w="597" w:type="pct"/>
            <w:vAlign w:val="center"/>
          </w:tcPr>
          <w:p w14:paraId="1E12F5E3">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0019297C">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1236" w:type="pct"/>
            <w:vAlign w:val="center"/>
          </w:tcPr>
          <w:p w14:paraId="513665CD">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铅</w:t>
            </w:r>
          </w:p>
        </w:tc>
        <w:tc>
          <w:tcPr>
            <w:tcW w:w="946" w:type="pct"/>
            <w:vAlign w:val="center"/>
          </w:tcPr>
          <w:p w14:paraId="2EEC3BE5">
            <w:pPr>
              <w:jc w:val="center"/>
              <w:rPr>
                <w:rFonts w:ascii="Times New Roman" w:hAnsi="Times New Roman" w:cs="Times New Roman"/>
                <w:color w:val="000000" w:themeColor="text1"/>
                <w:sz w:val="21"/>
                <w:lang w:eastAsia="zh-CN"/>
                <w14:textFill>
                  <w14:solidFill>
                    <w14:schemeClr w14:val="tx1"/>
                  </w14:solidFill>
                </w14:textFill>
              </w:rPr>
            </w:pPr>
          </w:p>
        </w:tc>
        <w:tc>
          <w:tcPr>
            <w:tcW w:w="1382" w:type="pct"/>
            <w:vAlign w:val="center"/>
          </w:tcPr>
          <w:p w14:paraId="37C2928A">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3E7C8383">
            <w:pPr>
              <w:jc w:val="center"/>
              <w:rPr>
                <w:rFonts w:ascii="Times New Roman" w:hAnsi="Times New Roman" w:cs="Times New Roman"/>
                <w:color w:val="000000" w:themeColor="text1"/>
                <w:sz w:val="21"/>
                <w:lang w:eastAsia="zh-CN"/>
                <w14:textFill>
                  <w14:solidFill>
                    <w14:schemeClr w14:val="tx1"/>
                  </w14:solidFill>
                </w14:textFill>
              </w:rPr>
            </w:pPr>
          </w:p>
        </w:tc>
        <w:tc>
          <w:tcPr>
            <w:tcW w:w="597" w:type="pct"/>
            <w:vAlign w:val="center"/>
          </w:tcPr>
          <w:p w14:paraId="49CE0817">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3655700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1236" w:type="pct"/>
            <w:vAlign w:val="center"/>
          </w:tcPr>
          <w:p w14:paraId="60592654">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汞</w:t>
            </w:r>
          </w:p>
        </w:tc>
        <w:tc>
          <w:tcPr>
            <w:tcW w:w="946" w:type="pct"/>
            <w:vAlign w:val="center"/>
          </w:tcPr>
          <w:p w14:paraId="57204BC4">
            <w:pPr>
              <w:jc w:val="center"/>
              <w:rPr>
                <w:rFonts w:ascii="Times New Roman" w:hAnsi="Times New Roman" w:cs="Times New Roman"/>
                <w:color w:val="000000" w:themeColor="text1"/>
                <w:sz w:val="21"/>
                <w:lang w:eastAsia="zh-CN"/>
                <w14:textFill>
                  <w14:solidFill>
                    <w14:schemeClr w14:val="tx1"/>
                  </w14:solidFill>
                </w14:textFill>
              </w:rPr>
            </w:pPr>
          </w:p>
        </w:tc>
        <w:tc>
          <w:tcPr>
            <w:tcW w:w="1382" w:type="pct"/>
            <w:vAlign w:val="center"/>
          </w:tcPr>
          <w:p w14:paraId="0D079139">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765AE436">
            <w:pPr>
              <w:jc w:val="center"/>
              <w:rPr>
                <w:rFonts w:ascii="Times New Roman" w:hAnsi="Times New Roman" w:cs="Times New Roman"/>
                <w:color w:val="000000" w:themeColor="text1"/>
                <w:sz w:val="21"/>
                <w:lang w:eastAsia="zh-CN"/>
                <w14:textFill>
                  <w14:solidFill>
                    <w14:schemeClr w14:val="tx1"/>
                  </w14:solidFill>
                </w14:textFill>
              </w:rPr>
            </w:pPr>
          </w:p>
        </w:tc>
        <w:tc>
          <w:tcPr>
            <w:tcW w:w="597" w:type="pct"/>
            <w:vAlign w:val="center"/>
          </w:tcPr>
          <w:p w14:paraId="17F1E7C7">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295499F1">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1236" w:type="pct"/>
            <w:vAlign w:val="center"/>
          </w:tcPr>
          <w:p w14:paraId="06B74889">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镍</w:t>
            </w:r>
          </w:p>
        </w:tc>
        <w:tc>
          <w:tcPr>
            <w:tcW w:w="946" w:type="pct"/>
            <w:vAlign w:val="center"/>
          </w:tcPr>
          <w:p w14:paraId="406665A5">
            <w:pPr>
              <w:jc w:val="center"/>
              <w:rPr>
                <w:rFonts w:ascii="Times New Roman" w:hAnsi="Times New Roman" w:cs="Times New Roman"/>
                <w:color w:val="000000" w:themeColor="text1"/>
                <w:sz w:val="21"/>
                <w:lang w:eastAsia="zh-CN"/>
                <w14:textFill>
                  <w14:solidFill>
                    <w14:schemeClr w14:val="tx1"/>
                  </w14:solidFill>
                </w14:textFill>
              </w:rPr>
            </w:pPr>
          </w:p>
        </w:tc>
        <w:tc>
          <w:tcPr>
            <w:tcW w:w="1382" w:type="pct"/>
            <w:vAlign w:val="center"/>
          </w:tcPr>
          <w:p w14:paraId="3356356C">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0D4C38D8">
            <w:pPr>
              <w:jc w:val="center"/>
              <w:rPr>
                <w:rFonts w:ascii="Times New Roman" w:hAnsi="Times New Roman" w:cs="Times New Roman"/>
                <w:color w:val="000000" w:themeColor="text1"/>
                <w:sz w:val="21"/>
                <w:lang w:eastAsia="zh-CN"/>
                <w14:textFill>
                  <w14:solidFill>
                    <w14:schemeClr w14:val="tx1"/>
                  </w14:solidFill>
                </w14:textFill>
              </w:rPr>
            </w:pPr>
          </w:p>
        </w:tc>
        <w:tc>
          <w:tcPr>
            <w:tcW w:w="597" w:type="pct"/>
            <w:vAlign w:val="center"/>
          </w:tcPr>
          <w:p w14:paraId="402D6A52">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53A9ED0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1236" w:type="pct"/>
            <w:vAlign w:val="center"/>
          </w:tcPr>
          <w:p w14:paraId="2DA27756">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四氯化碳</w:t>
            </w:r>
          </w:p>
        </w:tc>
        <w:tc>
          <w:tcPr>
            <w:tcW w:w="946" w:type="pct"/>
            <w:vAlign w:val="center"/>
          </w:tcPr>
          <w:p w14:paraId="4CC8EE57">
            <w:pPr>
              <w:jc w:val="center"/>
              <w:rPr>
                <w:rFonts w:ascii="Times New Roman" w:hAnsi="Times New Roman" w:cs="Times New Roman"/>
                <w:color w:val="000000" w:themeColor="text1"/>
                <w:sz w:val="21"/>
                <w14:textFill>
                  <w14:solidFill>
                    <w14:schemeClr w14:val="tx1"/>
                  </w14:solidFill>
                </w14:textFill>
              </w:rPr>
            </w:pPr>
          </w:p>
        </w:tc>
        <w:tc>
          <w:tcPr>
            <w:tcW w:w="1382" w:type="pct"/>
            <w:vAlign w:val="center"/>
          </w:tcPr>
          <w:p w14:paraId="536C601D">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7FB01093">
            <w:pPr>
              <w:jc w:val="center"/>
              <w:rPr>
                <w:rFonts w:ascii="Times New Roman" w:hAnsi="Times New Roman" w:cs="Times New Roman"/>
                <w:color w:val="000000" w:themeColor="text1"/>
                <w:sz w:val="21"/>
                <w:lang w:eastAsia="zh-CN"/>
                <w14:textFill>
                  <w14:solidFill>
                    <w14:schemeClr w14:val="tx1"/>
                  </w14:solidFill>
                </w14:textFill>
              </w:rPr>
            </w:pPr>
          </w:p>
        </w:tc>
        <w:tc>
          <w:tcPr>
            <w:tcW w:w="597" w:type="pct"/>
            <w:vAlign w:val="center"/>
          </w:tcPr>
          <w:p w14:paraId="2078C1A7">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7C1E27D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1236" w:type="pct"/>
            <w:vAlign w:val="center"/>
          </w:tcPr>
          <w:p w14:paraId="38F6D25A">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氯仿</w:t>
            </w:r>
          </w:p>
        </w:tc>
        <w:tc>
          <w:tcPr>
            <w:tcW w:w="946" w:type="pct"/>
            <w:vAlign w:val="center"/>
          </w:tcPr>
          <w:p w14:paraId="6FF091FF">
            <w:pPr>
              <w:jc w:val="center"/>
              <w:rPr>
                <w:rFonts w:ascii="Times New Roman" w:hAnsi="Times New Roman" w:cs="Times New Roman"/>
                <w:color w:val="000000" w:themeColor="text1"/>
                <w:sz w:val="21"/>
                <w14:textFill>
                  <w14:solidFill>
                    <w14:schemeClr w14:val="tx1"/>
                  </w14:solidFill>
                </w14:textFill>
              </w:rPr>
            </w:pPr>
          </w:p>
        </w:tc>
        <w:tc>
          <w:tcPr>
            <w:tcW w:w="1382" w:type="pct"/>
            <w:vAlign w:val="center"/>
          </w:tcPr>
          <w:p w14:paraId="7B1DD287">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42227EA7">
            <w:pPr>
              <w:jc w:val="center"/>
              <w:rPr>
                <w:rFonts w:ascii="Times New Roman" w:hAnsi="Times New Roman" w:cs="Times New Roman"/>
                <w:color w:val="000000" w:themeColor="text1"/>
                <w:sz w:val="21"/>
                <w:lang w:eastAsia="zh-CN"/>
                <w14:textFill>
                  <w14:solidFill>
                    <w14:schemeClr w14:val="tx1"/>
                  </w14:solidFill>
                </w14:textFill>
              </w:rPr>
            </w:pPr>
          </w:p>
        </w:tc>
        <w:tc>
          <w:tcPr>
            <w:tcW w:w="597" w:type="pct"/>
            <w:vAlign w:val="center"/>
          </w:tcPr>
          <w:p w14:paraId="40619F04">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0BD63F2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1236" w:type="pct"/>
            <w:vAlign w:val="center"/>
          </w:tcPr>
          <w:p w14:paraId="2BEAE5E1">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氯甲烷</w:t>
            </w:r>
          </w:p>
        </w:tc>
        <w:tc>
          <w:tcPr>
            <w:tcW w:w="946" w:type="pct"/>
            <w:vAlign w:val="center"/>
          </w:tcPr>
          <w:p w14:paraId="6D81B7EF">
            <w:pPr>
              <w:jc w:val="center"/>
              <w:rPr>
                <w:rFonts w:ascii="Times New Roman" w:hAnsi="Times New Roman" w:cs="Times New Roman"/>
                <w:color w:val="000000" w:themeColor="text1"/>
                <w:sz w:val="21"/>
                <w14:textFill>
                  <w14:solidFill>
                    <w14:schemeClr w14:val="tx1"/>
                  </w14:solidFill>
                </w14:textFill>
              </w:rPr>
            </w:pPr>
          </w:p>
        </w:tc>
        <w:tc>
          <w:tcPr>
            <w:tcW w:w="1382" w:type="pct"/>
            <w:vAlign w:val="center"/>
          </w:tcPr>
          <w:p w14:paraId="247A4BCE">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02BADA9B">
            <w:pPr>
              <w:jc w:val="center"/>
              <w:rPr>
                <w:rFonts w:ascii="Times New Roman" w:hAnsi="Times New Roman" w:cs="Times New Roman"/>
                <w:color w:val="000000" w:themeColor="text1"/>
                <w:sz w:val="21"/>
                <w:lang w:eastAsia="zh-CN"/>
                <w14:textFill>
                  <w14:solidFill>
                    <w14:schemeClr w14:val="tx1"/>
                  </w14:solidFill>
                </w14:textFill>
              </w:rPr>
            </w:pPr>
          </w:p>
        </w:tc>
        <w:tc>
          <w:tcPr>
            <w:tcW w:w="597" w:type="pct"/>
            <w:vAlign w:val="center"/>
          </w:tcPr>
          <w:p w14:paraId="55612BB2">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5A9572F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1236" w:type="pct"/>
            <w:vAlign w:val="center"/>
          </w:tcPr>
          <w:p w14:paraId="3540C24F">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1, 1-二氯乙烷</w:t>
            </w:r>
          </w:p>
        </w:tc>
        <w:tc>
          <w:tcPr>
            <w:tcW w:w="946" w:type="pct"/>
            <w:vAlign w:val="center"/>
          </w:tcPr>
          <w:p w14:paraId="106B2B11">
            <w:pPr>
              <w:jc w:val="center"/>
              <w:rPr>
                <w:rFonts w:ascii="Times New Roman" w:hAnsi="Times New Roman" w:cs="Times New Roman"/>
                <w:color w:val="000000" w:themeColor="text1"/>
                <w:sz w:val="21"/>
                <w14:textFill>
                  <w14:solidFill>
                    <w14:schemeClr w14:val="tx1"/>
                  </w14:solidFill>
                </w14:textFill>
              </w:rPr>
            </w:pPr>
          </w:p>
        </w:tc>
        <w:tc>
          <w:tcPr>
            <w:tcW w:w="1382" w:type="pct"/>
            <w:vAlign w:val="center"/>
          </w:tcPr>
          <w:p w14:paraId="7A5FE0E5">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4B43BA76">
            <w:pPr>
              <w:jc w:val="center"/>
              <w:rPr>
                <w:rFonts w:ascii="Times New Roman" w:hAnsi="Times New Roman" w:cs="Times New Roman"/>
                <w:color w:val="000000" w:themeColor="text1"/>
                <w:sz w:val="21"/>
                <w:lang w:eastAsia="zh-CN"/>
                <w14:textFill>
                  <w14:solidFill>
                    <w14:schemeClr w14:val="tx1"/>
                  </w14:solidFill>
                </w14:textFill>
              </w:rPr>
            </w:pPr>
          </w:p>
        </w:tc>
        <w:tc>
          <w:tcPr>
            <w:tcW w:w="597" w:type="pct"/>
            <w:vAlign w:val="center"/>
          </w:tcPr>
          <w:p w14:paraId="005511B8">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44F1B15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1236" w:type="pct"/>
            <w:vAlign w:val="center"/>
          </w:tcPr>
          <w:p w14:paraId="3267831C">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1,2-二氯乙烷</w:t>
            </w:r>
          </w:p>
        </w:tc>
        <w:tc>
          <w:tcPr>
            <w:tcW w:w="946" w:type="pct"/>
            <w:vAlign w:val="center"/>
          </w:tcPr>
          <w:p w14:paraId="481D9F30">
            <w:pPr>
              <w:jc w:val="center"/>
              <w:rPr>
                <w:rFonts w:ascii="Times New Roman" w:hAnsi="Times New Roman" w:cs="Times New Roman"/>
                <w:color w:val="000000" w:themeColor="text1"/>
                <w:sz w:val="21"/>
                <w14:textFill>
                  <w14:solidFill>
                    <w14:schemeClr w14:val="tx1"/>
                  </w14:solidFill>
                </w14:textFill>
              </w:rPr>
            </w:pPr>
          </w:p>
        </w:tc>
        <w:tc>
          <w:tcPr>
            <w:tcW w:w="1382" w:type="pct"/>
            <w:vAlign w:val="center"/>
          </w:tcPr>
          <w:p w14:paraId="3370E25C">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0CA8A8CF">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3D60C851">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321444D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1236" w:type="pct"/>
            <w:vAlign w:val="center"/>
          </w:tcPr>
          <w:p w14:paraId="072CBE8F">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1, 1-二氯乙烯</w:t>
            </w:r>
          </w:p>
        </w:tc>
        <w:tc>
          <w:tcPr>
            <w:tcW w:w="946" w:type="pct"/>
            <w:vAlign w:val="center"/>
          </w:tcPr>
          <w:p w14:paraId="5A971BA9">
            <w:pPr>
              <w:jc w:val="center"/>
              <w:rPr>
                <w:rFonts w:ascii="Times New Roman" w:hAnsi="Times New Roman" w:cs="Times New Roman"/>
                <w:color w:val="000000" w:themeColor="text1"/>
                <w:sz w:val="21"/>
                <w14:textFill>
                  <w14:solidFill>
                    <w14:schemeClr w14:val="tx1"/>
                  </w14:solidFill>
                </w14:textFill>
              </w:rPr>
            </w:pPr>
          </w:p>
        </w:tc>
        <w:tc>
          <w:tcPr>
            <w:tcW w:w="1382" w:type="pct"/>
            <w:vAlign w:val="center"/>
          </w:tcPr>
          <w:p w14:paraId="720D0692">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78C2099E">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46F7F8E5">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435E17E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1236" w:type="pct"/>
            <w:vAlign w:val="center"/>
          </w:tcPr>
          <w:p w14:paraId="4EA15879">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顺 1,2-二氯乙烯</w:t>
            </w:r>
          </w:p>
        </w:tc>
        <w:tc>
          <w:tcPr>
            <w:tcW w:w="946" w:type="pct"/>
            <w:vAlign w:val="center"/>
          </w:tcPr>
          <w:p w14:paraId="1ECC0389">
            <w:pPr>
              <w:jc w:val="center"/>
              <w:rPr>
                <w:rFonts w:ascii="Times New Roman" w:hAnsi="Times New Roman" w:cs="Times New Roman"/>
                <w:color w:val="000000" w:themeColor="text1"/>
                <w:sz w:val="21"/>
                <w14:textFill>
                  <w14:solidFill>
                    <w14:schemeClr w14:val="tx1"/>
                  </w14:solidFill>
                </w14:textFill>
              </w:rPr>
            </w:pPr>
          </w:p>
        </w:tc>
        <w:tc>
          <w:tcPr>
            <w:tcW w:w="1382" w:type="pct"/>
            <w:vAlign w:val="center"/>
          </w:tcPr>
          <w:p w14:paraId="13B04FA0">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6DEB7115">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7C5E292A">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00CA1DE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1236" w:type="pct"/>
            <w:vAlign w:val="center"/>
          </w:tcPr>
          <w:p w14:paraId="0BC71B09">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反 1,2-二氯乙烯</w:t>
            </w:r>
          </w:p>
        </w:tc>
        <w:tc>
          <w:tcPr>
            <w:tcW w:w="946" w:type="pct"/>
            <w:vAlign w:val="center"/>
          </w:tcPr>
          <w:p w14:paraId="7064EB41">
            <w:pPr>
              <w:jc w:val="center"/>
              <w:rPr>
                <w:rFonts w:ascii="Times New Roman" w:hAnsi="Times New Roman" w:cs="Times New Roman"/>
                <w:color w:val="000000" w:themeColor="text1"/>
                <w:sz w:val="21"/>
                <w14:textFill>
                  <w14:solidFill>
                    <w14:schemeClr w14:val="tx1"/>
                  </w14:solidFill>
                </w14:textFill>
              </w:rPr>
            </w:pPr>
          </w:p>
        </w:tc>
        <w:tc>
          <w:tcPr>
            <w:tcW w:w="1382" w:type="pct"/>
            <w:vAlign w:val="center"/>
          </w:tcPr>
          <w:p w14:paraId="6AA20549">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64B1B847">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10F7782D">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7BEFFEB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1236" w:type="pct"/>
            <w:vAlign w:val="center"/>
          </w:tcPr>
          <w:p w14:paraId="64EA12AA">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二氯甲烷</w:t>
            </w:r>
          </w:p>
        </w:tc>
        <w:tc>
          <w:tcPr>
            <w:tcW w:w="946" w:type="pct"/>
            <w:vAlign w:val="center"/>
          </w:tcPr>
          <w:p w14:paraId="02DAE53F">
            <w:pPr>
              <w:jc w:val="center"/>
              <w:rPr>
                <w:rFonts w:ascii="Times New Roman" w:hAnsi="Times New Roman" w:cs="Times New Roman"/>
                <w:color w:val="000000" w:themeColor="text1"/>
                <w:sz w:val="21"/>
                <w14:textFill>
                  <w14:solidFill>
                    <w14:schemeClr w14:val="tx1"/>
                  </w14:solidFill>
                </w14:textFill>
              </w:rPr>
            </w:pPr>
          </w:p>
        </w:tc>
        <w:tc>
          <w:tcPr>
            <w:tcW w:w="1382" w:type="pct"/>
            <w:vAlign w:val="center"/>
          </w:tcPr>
          <w:p w14:paraId="22994687">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6D337C10">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6B2B6C8B">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6CF4E2B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1236" w:type="pct"/>
            <w:vAlign w:val="center"/>
          </w:tcPr>
          <w:p w14:paraId="410B93D0">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1,2-二氯丙烷</w:t>
            </w:r>
          </w:p>
        </w:tc>
        <w:tc>
          <w:tcPr>
            <w:tcW w:w="946" w:type="pct"/>
            <w:vAlign w:val="center"/>
          </w:tcPr>
          <w:p w14:paraId="74326A9A">
            <w:pPr>
              <w:jc w:val="center"/>
              <w:rPr>
                <w:rFonts w:ascii="Times New Roman" w:hAnsi="Times New Roman" w:cs="Times New Roman"/>
                <w:color w:val="000000" w:themeColor="text1"/>
                <w:sz w:val="21"/>
                <w14:textFill>
                  <w14:solidFill>
                    <w14:schemeClr w14:val="tx1"/>
                  </w14:solidFill>
                </w14:textFill>
              </w:rPr>
            </w:pPr>
          </w:p>
        </w:tc>
        <w:tc>
          <w:tcPr>
            <w:tcW w:w="1382" w:type="pct"/>
            <w:vAlign w:val="center"/>
          </w:tcPr>
          <w:p w14:paraId="4D308031">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58B2C785">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5D9D0C7C">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6448F98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1236" w:type="pct"/>
            <w:vAlign w:val="center"/>
          </w:tcPr>
          <w:p w14:paraId="09AA4F04">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1, 1, 1,2- 四氯乙烷</w:t>
            </w:r>
          </w:p>
        </w:tc>
        <w:tc>
          <w:tcPr>
            <w:tcW w:w="946" w:type="pct"/>
            <w:vAlign w:val="center"/>
          </w:tcPr>
          <w:p w14:paraId="65A5F955">
            <w:pPr>
              <w:jc w:val="center"/>
              <w:rPr>
                <w:rFonts w:ascii="Times New Roman" w:hAnsi="Times New Roman" w:cs="Times New Roman"/>
                <w:color w:val="000000" w:themeColor="text1"/>
                <w:sz w:val="21"/>
                <w14:textFill>
                  <w14:solidFill>
                    <w14:schemeClr w14:val="tx1"/>
                  </w14:solidFill>
                </w14:textFill>
              </w:rPr>
            </w:pPr>
          </w:p>
        </w:tc>
        <w:tc>
          <w:tcPr>
            <w:tcW w:w="1382" w:type="pct"/>
            <w:vAlign w:val="center"/>
          </w:tcPr>
          <w:p w14:paraId="2B5B2A84">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637ACE5C">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794B9967">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05B7D7D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1236" w:type="pct"/>
            <w:vAlign w:val="center"/>
          </w:tcPr>
          <w:p w14:paraId="5E99ACA6">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1, 1,2,2- 四氯乙烷</w:t>
            </w:r>
          </w:p>
        </w:tc>
        <w:tc>
          <w:tcPr>
            <w:tcW w:w="946" w:type="pct"/>
            <w:vAlign w:val="center"/>
          </w:tcPr>
          <w:p w14:paraId="488138C4">
            <w:pPr>
              <w:jc w:val="center"/>
              <w:rPr>
                <w:rFonts w:ascii="Times New Roman" w:hAnsi="Times New Roman" w:cs="Times New Roman"/>
                <w:color w:val="000000" w:themeColor="text1"/>
                <w:sz w:val="21"/>
                <w14:textFill>
                  <w14:solidFill>
                    <w14:schemeClr w14:val="tx1"/>
                  </w14:solidFill>
                </w14:textFill>
              </w:rPr>
            </w:pPr>
          </w:p>
        </w:tc>
        <w:tc>
          <w:tcPr>
            <w:tcW w:w="1382" w:type="pct"/>
            <w:vAlign w:val="center"/>
          </w:tcPr>
          <w:p w14:paraId="206B9697">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5A7CDB19">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02EE296C">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5928677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1236" w:type="pct"/>
            <w:vAlign w:val="center"/>
          </w:tcPr>
          <w:p w14:paraId="78DF66FC">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四氯乙烯</w:t>
            </w:r>
          </w:p>
        </w:tc>
        <w:tc>
          <w:tcPr>
            <w:tcW w:w="946" w:type="pct"/>
            <w:vAlign w:val="center"/>
          </w:tcPr>
          <w:p w14:paraId="2D7EBE43">
            <w:pPr>
              <w:jc w:val="center"/>
              <w:rPr>
                <w:rFonts w:ascii="Times New Roman" w:hAnsi="Times New Roman" w:cs="Times New Roman"/>
                <w:color w:val="000000" w:themeColor="text1"/>
                <w:sz w:val="21"/>
                <w14:textFill>
                  <w14:solidFill>
                    <w14:schemeClr w14:val="tx1"/>
                  </w14:solidFill>
                </w14:textFill>
              </w:rPr>
            </w:pPr>
          </w:p>
        </w:tc>
        <w:tc>
          <w:tcPr>
            <w:tcW w:w="1382" w:type="pct"/>
            <w:vAlign w:val="center"/>
          </w:tcPr>
          <w:p w14:paraId="7255CA1B">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60376FBC">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49C657F0">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183C7B8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1236" w:type="pct"/>
            <w:vAlign w:val="center"/>
          </w:tcPr>
          <w:p w14:paraId="7E15C21A">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1, 1, 1-三氯乙烷</w:t>
            </w:r>
          </w:p>
        </w:tc>
        <w:tc>
          <w:tcPr>
            <w:tcW w:w="946" w:type="pct"/>
            <w:vAlign w:val="center"/>
          </w:tcPr>
          <w:p w14:paraId="23C44E0B">
            <w:pPr>
              <w:jc w:val="center"/>
              <w:rPr>
                <w:rFonts w:ascii="Times New Roman" w:hAnsi="Times New Roman" w:cs="Times New Roman"/>
                <w:color w:val="000000" w:themeColor="text1"/>
                <w:sz w:val="21"/>
                <w14:textFill>
                  <w14:solidFill>
                    <w14:schemeClr w14:val="tx1"/>
                  </w14:solidFill>
                </w14:textFill>
              </w:rPr>
            </w:pPr>
          </w:p>
        </w:tc>
        <w:tc>
          <w:tcPr>
            <w:tcW w:w="1382" w:type="pct"/>
            <w:vAlign w:val="center"/>
          </w:tcPr>
          <w:p w14:paraId="3CF2B35E">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45D7FFE7">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0A812A32">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6766637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1236" w:type="pct"/>
            <w:vAlign w:val="center"/>
          </w:tcPr>
          <w:p w14:paraId="635AFEAB">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1, 1,2-三氯乙烷</w:t>
            </w:r>
          </w:p>
        </w:tc>
        <w:tc>
          <w:tcPr>
            <w:tcW w:w="946" w:type="pct"/>
            <w:vAlign w:val="center"/>
          </w:tcPr>
          <w:p w14:paraId="34E8DB29">
            <w:pPr>
              <w:jc w:val="center"/>
              <w:rPr>
                <w:rFonts w:ascii="Times New Roman" w:hAnsi="Times New Roman" w:cs="Times New Roman"/>
                <w:color w:val="000000" w:themeColor="text1"/>
                <w:sz w:val="21"/>
                <w14:textFill>
                  <w14:solidFill>
                    <w14:schemeClr w14:val="tx1"/>
                  </w14:solidFill>
                </w14:textFill>
              </w:rPr>
            </w:pPr>
          </w:p>
        </w:tc>
        <w:tc>
          <w:tcPr>
            <w:tcW w:w="1382" w:type="pct"/>
            <w:vAlign w:val="center"/>
          </w:tcPr>
          <w:p w14:paraId="642C8318">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1AAE0956">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21A8E503">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682FBDF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1236" w:type="pct"/>
            <w:vAlign w:val="center"/>
          </w:tcPr>
          <w:p w14:paraId="5E0332C9">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三氯乙烯</w:t>
            </w:r>
          </w:p>
        </w:tc>
        <w:tc>
          <w:tcPr>
            <w:tcW w:w="946" w:type="pct"/>
            <w:vAlign w:val="center"/>
          </w:tcPr>
          <w:p w14:paraId="3BC01F56">
            <w:pPr>
              <w:jc w:val="center"/>
              <w:rPr>
                <w:rFonts w:ascii="Times New Roman" w:hAnsi="Times New Roman" w:cs="Times New Roman"/>
                <w:color w:val="000000" w:themeColor="text1"/>
                <w:sz w:val="21"/>
                <w14:textFill>
                  <w14:solidFill>
                    <w14:schemeClr w14:val="tx1"/>
                  </w14:solidFill>
                </w14:textFill>
              </w:rPr>
            </w:pPr>
          </w:p>
        </w:tc>
        <w:tc>
          <w:tcPr>
            <w:tcW w:w="1382" w:type="pct"/>
            <w:vAlign w:val="center"/>
          </w:tcPr>
          <w:p w14:paraId="547F09AC">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28A2E6C0">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0C7B105F">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72045D8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1236" w:type="pct"/>
            <w:vAlign w:val="center"/>
          </w:tcPr>
          <w:p w14:paraId="0A978214">
            <w:pPr>
              <w:pStyle w:val="65"/>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eastAsia="Times New Roman" w:cs="Times New Roman"/>
                <w:color w:val="000000" w:themeColor="text1"/>
                <w:spacing w:val="-3"/>
                <w:sz w:val="21"/>
                <w:szCs w:val="21"/>
                <w14:textFill>
                  <w14:solidFill>
                    <w14:schemeClr w14:val="tx1"/>
                  </w14:solidFill>
                </w14:textFill>
              </w:rPr>
              <w:t>1,2,3-</w:t>
            </w:r>
            <w:r>
              <w:rPr>
                <w:color w:val="000000" w:themeColor="text1"/>
                <w:spacing w:val="-3"/>
                <w:sz w:val="21"/>
                <w:szCs w:val="21"/>
                <w14:textFill>
                  <w14:solidFill>
                    <w14:schemeClr w14:val="tx1"/>
                  </w14:solidFill>
                </w14:textFill>
              </w:rPr>
              <w:t>三氯丙烷</w:t>
            </w:r>
          </w:p>
        </w:tc>
        <w:tc>
          <w:tcPr>
            <w:tcW w:w="946" w:type="pct"/>
            <w:vAlign w:val="center"/>
          </w:tcPr>
          <w:p w14:paraId="7165E878">
            <w:pPr>
              <w:jc w:val="center"/>
              <w:rPr>
                <w:rFonts w:ascii="Times New Roman" w:hAnsi="Times New Roman" w:eastAsia="Times New Roman" w:cs="Times New Roman"/>
                <w:color w:val="000000" w:themeColor="text1"/>
                <w:spacing w:val="1"/>
                <w:sz w:val="21"/>
                <w14:textFill>
                  <w14:solidFill>
                    <w14:schemeClr w14:val="tx1"/>
                  </w14:solidFill>
                </w14:textFill>
              </w:rPr>
            </w:pPr>
          </w:p>
        </w:tc>
        <w:tc>
          <w:tcPr>
            <w:tcW w:w="1382" w:type="pct"/>
            <w:vAlign w:val="center"/>
          </w:tcPr>
          <w:p w14:paraId="6D942E10">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68B8205C">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7ABE4FB2">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319862F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1236" w:type="pct"/>
            <w:vAlign w:val="center"/>
          </w:tcPr>
          <w:p w14:paraId="2C857D55">
            <w:pPr>
              <w:pStyle w:val="65"/>
              <w:jc w:val="center"/>
              <w:rPr>
                <w:rFonts w:ascii="Times New Roman" w:hAnsi="Times New Roman" w:cs="Times New Roman"/>
                <w:color w:val="000000" w:themeColor="text1"/>
                <w:sz w:val="21"/>
                <w:szCs w:val="21"/>
                <w14:textFill>
                  <w14:solidFill>
                    <w14:schemeClr w14:val="tx1"/>
                  </w14:solidFill>
                </w14:textFill>
              </w:rPr>
            </w:pPr>
            <w:r>
              <w:rPr>
                <w:color w:val="000000" w:themeColor="text1"/>
                <w:spacing w:val="-2"/>
                <w:sz w:val="21"/>
                <w:szCs w:val="21"/>
                <w14:textFill>
                  <w14:solidFill>
                    <w14:schemeClr w14:val="tx1"/>
                  </w14:solidFill>
                </w14:textFill>
              </w:rPr>
              <w:t>氯乙烯</w:t>
            </w:r>
          </w:p>
        </w:tc>
        <w:tc>
          <w:tcPr>
            <w:tcW w:w="946" w:type="pct"/>
            <w:vAlign w:val="center"/>
          </w:tcPr>
          <w:p w14:paraId="1825E5A5">
            <w:pPr>
              <w:jc w:val="center"/>
              <w:rPr>
                <w:rFonts w:ascii="Times New Roman" w:hAnsi="Times New Roman" w:eastAsia="Times New Roman" w:cs="Times New Roman"/>
                <w:color w:val="000000" w:themeColor="text1"/>
                <w:spacing w:val="1"/>
                <w:sz w:val="21"/>
                <w14:textFill>
                  <w14:solidFill>
                    <w14:schemeClr w14:val="tx1"/>
                  </w14:solidFill>
                </w14:textFill>
              </w:rPr>
            </w:pPr>
          </w:p>
        </w:tc>
        <w:tc>
          <w:tcPr>
            <w:tcW w:w="1382" w:type="pct"/>
            <w:vAlign w:val="center"/>
          </w:tcPr>
          <w:p w14:paraId="00E7B486">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54053A64">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679DF3A1">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671518B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1236" w:type="pct"/>
            <w:vAlign w:val="center"/>
          </w:tcPr>
          <w:p w14:paraId="3E19AB1F">
            <w:pPr>
              <w:pStyle w:val="65"/>
              <w:jc w:val="center"/>
              <w:rPr>
                <w:rFonts w:ascii="Times New Roman" w:hAnsi="Times New Roman" w:cs="Times New Roman"/>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苯</w:t>
            </w:r>
          </w:p>
        </w:tc>
        <w:tc>
          <w:tcPr>
            <w:tcW w:w="946" w:type="pct"/>
            <w:vAlign w:val="center"/>
          </w:tcPr>
          <w:p w14:paraId="79C694BB">
            <w:pPr>
              <w:jc w:val="center"/>
              <w:rPr>
                <w:rFonts w:ascii="Times New Roman" w:hAnsi="Times New Roman" w:eastAsia="Times New Roman" w:cs="Times New Roman"/>
                <w:color w:val="000000" w:themeColor="text1"/>
                <w:spacing w:val="1"/>
                <w:sz w:val="21"/>
                <w14:textFill>
                  <w14:solidFill>
                    <w14:schemeClr w14:val="tx1"/>
                  </w14:solidFill>
                </w14:textFill>
              </w:rPr>
            </w:pPr>
          </w:p>
        </w:tc>
        <w:tc>
          <w:tcPr>
            <w:tcW w:w="1382" w:type="pct"/>
            <w:vAlign w:val="center"/>
          </w:tcPr>
          <w:p w14:paraId="5244CD48">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34842D08">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4DC058A2">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40EA216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1236" w:type="pct"/>
            <w:vAlign w:val="center"/>
          </w:tcPr>
          <w:p w14:paraId="2F610FF9">
            <w:pPr>
              <w:pStyle w:val="65"/>
              <w:jc w:val="center"/>
              <w:rPr>
                <w:rFonts w:ascii="Times New Roman" w:hAnsi="Times New Roman" w:cs="Times New Roman"/>
                <w:color w:val="000000" w:themeColor="text1"/>
                <w:sz w:val="21"/>
                <w:szCs w:val="21"/>
                <w14:textFill>
                  <w14:solidFill>
                    <w14:schemeClr w14:val="tx1"/>
                  </w14:solidFill>
                </w14:textFill>
              </w:rPr>
            </w:pPr>
            <w:r>
              <w:rPr>
                <w:color w:val="000000" w:themeColor="text1"/>
                <w:spacing w:val="-3"/>
                <w:sz w:val="21"/>
                <w:szCs w:val="21"/>
                <w14:textFill>
                  <w14:solidFill>
                    <w14:schemeClr w14:val="tx1"/>
                  </w14:solidFill>
                </w14:textFill>
              </w:rPr>
              <w:t>氯苯</w:t>
            </w:r>
          </w:p>
        </w:tc>
        <w:tc>
          <w:tcPr>
            <w:tcW w:w="946" w:type="pct"/>
            <w:vAlign w:val="center"/>
          </w:tcPr>
          <w:p w14:paraId="39AE9CD9">
            <w:pPr>
              <w:jc w:val="center"/>
              <w:rPr>
                <w:rFonts w:ascii="Times New Roman" w:hAnsi="Times New Roman" w:eastAsia="Times New Roman" w:cs="Times New Roman"/>
                <w:color w:val="000000" w:themeColor="text1"/>
                <w:spacing w:val="1"/>
                <w:sz w:val="21"/>
                <w14:textFill>
                  <w14:solidFill>
                    <w14:schemeClr w14:val="tx1"/>
                  </w14:solidFill>
                </w14:textFill>
              </w:rPr>
            </w:pPr>
          </w:p>
        </w:tc>
        <w:tc>
          <w:tcPr>
            <w:tcW w:w="1382" w:type="pct"/>
            <w:vAlign w:val="center"/>
          </w:tcPr>
          <w:p w14:paraId="7AC3FF0E">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4C1CAE34">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0353CCF2">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53BB2061">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1236" w:type="pct"/>
            <w:vAlign w:val="center"/>
          </w:tcPr>
          <w:p w14:paraId="71103CD1">
            <w:pPr>
              <w:pStyle w:val="65"/>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eastAsia="Times New Roman" w:cs="Times New Roman"/>
                <w:color w:val="000000" w:themeColor="text1"/>
                <w:spacing w:val="-3"/>
                <w:sz w:val="21"/>
                <w:szCs w:val="21"/>
                <w14:textFill>
                  <w14:solidFill>
                    <w14:schemeClr w14:val="tx1"/>
                  </w14:solidFill>
                </w14:textFill>
              </w:rPr>
              <w:t>1,2-</w:t>
            </w:r>
            <w:r>
              <w:rPr>
                <w:color w:val="000000" w:themeColor="text1"/>
                <w:spacing w:val="-3"/>
                <w:sz w:val="21"/>
                <w:szCs w:val="21"/>
                <w14:textFill>
                  <w14:solidFill>
                    <w14:schemeClr w14:val="tx1"/>
                  </w14:solidFill>
                </w14:textFill>
              </w:rPr>
              <w:t>二氯苯</w:t>
            </w:r>
          </w:p>
        </w:tc>
        <w:tc>
          <w:tcPr>
            <w:tcW w:w="946" w:type="pct"/>
            <w:vAlign w:val="center"/>
          </w:tcPr>
          <w:p w14:paraId="16FA0AF3">
            <w:pPr>
              <w:jc w:val="center"/>
              <w:rPr>
                <w:rFonts w:ascii="Times New Roman" w:hAnsi="Times New Roman" w:eastAsia="Times New Roman" w:cs="Times New Roman"/>
                <w:color w:val="000000" w:themeColor="text1"/>
                <w:spacing w:val="1"/>
                <w:sz w:val="21"/>
                <w14:textFill>
                  <w14:solidFill>
                    <w14:schemeClr w14:val="tx1"/>
                  </w14:solidFill>
                </w14:textFill>
              </w:rPr>
            </w:pPr>
          </w:p>
        </w:tc>
        <w:tc>
          <w:tcPr>
            <w:tcW w:w="1382" w:type="pct"/>
            <w:vAlign w:val="center"/>
          </w:tcPr>
          <w:p w14:paraId="1182CAD8">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61AC8DA5">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33C2D03A">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1EEDC44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1236" w:type="pct"/>
            <w:vAlign w:val="center"/>
          </w:tcPr>
          <w:p w14:paraId="4CD604E0">
            <w:pPr>
              <w:pStyle w:val="65"/>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eastAsia="Times New Roman" w:cs="Times New Roman"/>
                <w:color w:val="000000" w:themeColor="text1"/>
                <w:spacing w:val="-3"/>
                <w:sz w:val="21"/>
                <w:szCs w:val="21"/>
                <w14:textFill>
                  <w14:solidFill>
                    <w14:schemeClr w14:val="tx1"/>
                  </w14:solidFill>
                </w14:textFill>
              </w:rPr>
              <w:t>1,4-</w:t>
            </w:r>
            <w:r>
              <w:rPr>
                <w:color w:val="000000" w:themeColor="text1"/>
                <w:spacing w:val="-3"/>
                <w:sz w:val="21"/>
                <w:szCs w:val="21"/>
                <w14:textFill>
                  <w14:solidFill>
                    <w14:schemeClr w14:val="tx1"/>
                  </w14:solidFill>
                </w14:textFill>
              </w:rPr>
              <w:t>二氯苯</w:t>
            </w:r>
          </w:p>
        </w:tc>
        <w:tc>
          <w:tcPr>
            <w:tcW w:w="946" w:type="pct"/>
            <w:vAlign w:val="center"/>
          </w:tcPr>
          <w:p w14:paraId="4985E4D5">
            <w:pPr>
              <w:jc w:val="center"/>
              <w:rPr>
                <w:rFonts w:ascii="Times New Roman" w:hAnsi="Times New Roman" w:eastAsia="Times New Roman" w:cs="Times New Roman"/>
                <w:color w:val="000000" w:themeColor="text1"/>
                <w:spacing w:val="1"/>
                <w:sz w:val="21"/>
                <w14:textFill>
                  <w14:solidFill>
                    <w14:schemeClr w14:val="tx1"/>
                  </w14:solidFill>
                </w14:textFill>
              </w:rPr>
            </w:pPr>
          </w:p>
        </w:tc>
        <w:tc>
          <w:tcPr>
            <w:tcW w:w="1382" w:type="pct"/>
            <w:vAlign w:val="center"/>
          </w:tcPr>
          <w:p w14:paraId="30A8A8F4">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51666FDB">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61DE0EE1">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5B668AB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1236" w:type="pct"/>
            <w:vAlign w:val="center"/>
          </w:tcPr>
          <w:p w14:paraId="228F98E8">
            <w:pPr>
              <w:pStyle w:val="65"/>
              <w:jc w:val="center"/>
              <w:rPr>
                <w:rFonts w:ascii="Times New Roman" w:hAnsi="Times New Roman" w:cs="Times New Roman"/>
                <w:color w:val="000000" w:themeColor="text1"/>
                <w:sz w:val="21"/>
                <w:szCs w:val="21"/>
                <w14:textFill>
                  <w14:solidFill>
                    <w14:schemeClr w14:val="tx1"/>
                  </w14:solidFill>
                </w14:textFill>
              </w:rPr>
            </w:pPr>
            <w:r>
              <w:rPr>
                <w:color w:val="000000" w:themeColor="text1"/>
                <w:spacing w:val="-7"/>
                <w:sz w:val="21"/>
                <w:szCs w:val="21"/>
                <w14:textFill>
                  <w14:solidFill>
                    <w14:schemeClr w14:val="tx1"/>
                  </w14:solidFill>
                </w14:textFill>
              </w:rPr>
              <w:t>乙苯</w:t>
            </w:r>
          </w:p>
        </w:tc>
        <w:tc>
          <w:tcPr>
            <w:tcW w:w="946" w:type="pct"/>
            <w:vAlign w:val="center"/>
          </w:tcPr>
          <w:p w14:paraId="79E9D033">
            <w:pPr>
              <w:jc w:val="center"/>
              <w:rPr>
                <w:rFonts w:ascii="Times New Roman" w:hAnsi="Times New Roman" w:eastAsia="Times New Roman" w:cs="Times New Roman"/>
                <w:color w:val="000000" w:themeColor="text1"/>
                <w:spacing w:val="1"/>
                <w:sz w:val="21"/>
                <w14:textFill>
                  <w14:solidFill>
                    <w14:schemeClr w14:val="tx1"/>
                  </w14:solidFill>
                </w14:textFill>
              </w:rPr>
            </w:pPr>
          </w:p>
        </w:tc>
        <w:tc>
          <w:tcPr>
            <w:tcW w:w="1382" w:type="pct"/>
            <w:vAlign w:val="center"/>
          </w:tcPr>
          <w:p w14:paraId="19E51F27">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05E8E0EE">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5209C20F">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1EB7F8D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1236" w:type="pct"/>
            <w:vAlign w:val="center"/>
          </w:tcPr>
          <w:p w14:paraId="07E59E4D">
            <w:pPr>
              <w:pStyle w:val="65"/>
              <w:jc w:val="center"/>
              <w:rPr>
                <w:rFonts w:ascii="Times New Roman" w:hAnsi="Times New Roman" w:cs="Times New Roman"/>
                <w:color w:val="000000" w:themeColor="text1"/>
                <w:sz w:val="21"/>
                <w:szCs w:val="21"/>
                <w14:textFill>
                  <w14:solidFill>
                    <w14:schemeClr w14:val="tx1"/>
                  </w14:solidFill>
                </w14:textFill>
              </w:rPr>
            </w:pPr>
            <w:r>
              <w:rPr>
                <w:color w:val="000000" w:themeColor="text1"/>
                <w:spacing w:val="-2"/>
                <w:sz w:val="21"/>
                <w:szCs w:val="21"/>
                <w14:textFill>
                  <w14:solidFill>
                    <w14:schemeClr w14:val="tx1"/>
                  </w14:solidFill>
                </w14:textFill>
              </w:rPr>
              <w:t>苯乙烯</w:t>
            </w:r>
          </w:p>
        </w:tc>
        <w:tc>
          <w:tcPr>
            <w:tcW w:w="946" w:type="pct"/>
            <w:vAlign w:val="center"/>
          </w:tcPr>
          <w:p w14:paraId="0EF6AC71">
            <w:pPr>
              <w:jc w:val="center"/>
              <w:rPr>
                <w:rFonts w:ascii="Times New Roman" w:hAnsi="Times New Roman" w:eastAsia="Times New Roman" w:cs="Times New Roman"/>
                <w:color w:val="000000" w:themeColor="text1"/>
                <w:spacing w:val="1"/>
                <w:sz w:val="21"/>
                <w14:textFill>
                  <w14:solidFill>
                    <w14:schemeClr w14:val="tx1"/>
                  </w14:solidFill>
                </w14:textFill>
              </w:rPr>
            </w:pPr>
          </w:p>
        </w:tc>
        <w:tc>
          <w:tcPr>
            <w:tcW w:w="1382" w:type="pct"/>
            <w:vAlign w:val="center"/>
          </w:tcPr>
          <w:p w14:paraId="284234EF">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0EF56C0D">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783EDD2D">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06B279A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1236" w:type="pct"/>
            <w:vAlign w:val="center"/>
          </w:tcPr>
          <w:p w14:paraId="12D31752">
            <w:pPr>
              <w:pStyle w:val="65"/>
              <w:jc w:val="center"/>
              <w:rPr>
                <w:rFonts w:ascii="Times New Roman" w:hAnsi="Times New Roman" w:cs="Times New Roman"/>
                <w:color w:val="000000" w:themeColor="text1"/>
                <w:sz w:val="21"/>
                <w:szCs w:val="21"/>
                <w14:textFill>
                  <w14:solidFill>
                    <w14:schemeClr w14:val="tx1"/>
                  </w14:solidFill>
                </w14:textFill>
              </w:rPr>
            </w:pPr>
            <w:r>
              <w:rPr>
                <w:color w:val="000000" w:themeColor="text1"/>
                <w:spacing w:val="-9"/>
                <w:sz w:val="21"/>
                <w:szCs w:val="21"/>
                <w14:textFill>
                  <w14:solidFill>
                    <w14:schemeClr w14:val="tx1"/>
                  </w14:solidFill>
                </w14:textFill>
              </w:rPr>
              <w:t>甲苯</w:t>
            </w:r>
          </w:p>
        </w:tc>
        <w:tc>
          <w:tcPr>
            <w:tcW w:w="946" w:type="pct"/>
            <w:vAlign w:val="center"/>
          </w:tcPr>
          <w:p w14:paraId="473260E2">
            <w:pPr>
              <w:jc w:val="center"/>
              <w:rPr>
                <w:rFonts w:ascii="Times New Roman" w:hAnsi="Times New Roman" w:eastAsia="Times New Roman" w:cs="Times New Roman"/>
                <w:color w:val="000000" w:themeColor="text1"/>
                <w:spacing w:val="1"/>
                <w:sz w:val="21"/>
                <w14:textFill>
                  <w14:solidFill>
                    <w14:schemeClr w14:val="tx1"/>
                  </w14:solidFill>
                </w14:textFill>
              </w:rPr>
            </w:pPr>
          </w:p>
        </w:tc>
        <w:tc>
          <w:tcPr>
            <w:tcW w:w="1382" w:type="pct"/>
            <w:vAlign w:val="center"/>
          </w:tcPr>
          <w:p w14:paraId="72BB8B80">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1FE39FB1">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7A721C3E">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0B4F8C4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1236" w:type="pct"/>
            <w:vAlign w:val="center"/>
          </w:tcPr>
          <w:p w14:paraId="07F1AA5A">
            <w:pPr>
              <w:pStyle w:val="65"/>
              <w:jc w:val="center"/>
              <w:rPr>
                <w:rFonts w:ascii="Times New Roman" w:hAnsi="Times New Roman" w:cs="Times New Roman"/>
                <w:color w:val="000000" w:themeColor="text1"/>
                <w:sz w:val="21"/>
                <w:szCs w:val="21"/>
                <w14:textFill>
                  <w14:solidFill>
                    <w14:schemeClr w14:val="tx1"/>
                  </w14:solidFill>
                </w14:textFill>
              </w:rPr>
            </w:pPr>
            <w:r>
              <w:rPr>
                <w:color w:val="000000" w:themeColor="text1"/>
                <w:spacing w:val="-3"/>
                <w:sz w:val="21"/>
                <w:szCs w:val="21"/>
                <w14:textFill>
                  <w14:solidFill>
                    <w14:schemeClr w14:val="tx1"/>
                  </w14:solidFill>
                </w14:textFill>
              </w:rPr>
              <w:t>间二甲苯</w:t>
            </w:r>
            <w:r>
              <w:rPr>
                <w:rFonts w:ascii="Times New Roman" w:hAnsi="Times New Roman" w:eastAsia="Times New Roman" w:cs="Times New Roman"/>
                <w:color w:val="000000" w:themeColor="text1"/>
                <w:spacing w:val="-3"/>
                <w:sz w:val="21"/>
                <w:szCs w:val="21"/>
                <w14:textFill>
                  <w14:solidFill>
                    <w14:schemeClr w14:val="tx1"/>
                  </w14:solidFill>
                </w14:textFill>
              </w:rPr>
              <w:t>+</w:t>
            </w:r>
            <w:r>
              <w:rPr>
                <w:color w:val="000000" w:themeColor="text1"/>
                <w:spacing w:val="-3"/>
                <w:sz w:val="21"/>
                <w:szCs w:val="21"/>
                <w14:textFill>
                  <w14:solidFill>
                    <w14:schemeClr w14:val="tx1"/>
                  </w14:solidFill>
                </w14:textFill>
              </w:rPr>
              <w:t>对二甲苯</w:t>
            </w:r>
          </w:p>
        </w:tc>
        <w:tc>
          <w:tcPr>
            <w:tcW w:w="946" w:type="pct"/>
            <w:vAlign w:val="center"/>
          </w:tcPr>
          <w:p w14:paraId="5D20F863">
            <w:pPr>
              <w:jc w:val="center"/>
              <w:rPr>
                <w:rFonts w:ascii="Times New Roman" w:hAnsi="Times New Roman" w:eastAsia="Times New Roman" w:cs="Times New Roman"/>
                <w:color w:val="000000" w:themeColor="text1"/>
                <w:spacing w:val="1"/>
                <w:sz w:val="21"/>
                <w14:textFill>
                  <w14:solidFill>
                    <w14:schemeClr w14:val="tx1"/>
                  </w14:solidFill>
                </w14:textFill>
              </w:rPr>
            </w:pPr>
          </w:p>
        </w:tc>
        <w:tc>
          <w:tcPr>
            <w:tcW w:w="1382" w:type="pct"/>
            <w:vAlign w:val="center"/>
          </w:tcPr>
          <w:p w14:paraId="54E5E8EC">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13258259">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2106574B">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48CC3E6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1236" w:type="pct"/>
            <w:vAlign w:val="center"/>
          </w:tcPr>
          <w:p w14:paraId="05C428FA">
            <w:pPr>
              <w:pStyle w:val="65"/>
              <w:jc w:val="center"/>
              <w:rPr>
                <w:rFonts w:hint="eastAsia"/>
                <w:color w:val="000000" w:themeColor="text1"/>
                <w:spacing w:val="-3"/>
                <w:sz w:val="21"/>
                <w:szCs w:val="21"/>
                <w:lang w:eastAsia="zh-CN"/>
                <w14:textFill>
                  <w14:solidFill>
                    <w14:schemeClr w14:val="tx1"/>
                  </w14:solidFill>
                </w14:textFill>
              </w:rPr>
            </w:pPr>
            <w:r>
              <w:rPr>
                <w:rFonts w:hint="eastAsia"/>
                <w:color w:val="000000" w:themeColor="text1"/>
                <w:spacing w:val="-3"/>
                <w:sz w:val="21"/>
                <w:szCs w:val="21"/>
                <w:lang w:eastAsia="zh-CN"/>
                <w14:textFill>
                  <w14:solidFill>
                    <w14:schemeClr w14:val="tx1"/>
                  </w14:solidFill>
                </w14:textFill>
              </w:rPr>
              <w:t>邻二甲苯</w:t>
            </w:r>
          </w:p>
        </w:tc>
        <w:tc>
          <w:tcPr>
            <w:tcW w:w="946" w:type="pct"/>
            <w:vAlign w:val="center"/>
          </w:tcPr>
          <w:p w14:paraId="5164BB5D">
            <w:pPr>
              <w:jc w:val="center"/>
              <w:rPr>
                <w:rFonts w:ascii="Times New Roman" w:hAnsi="Times New Roman" w:eastAsia="Times New Roman" w:cs="Times New Roman"/>
                <w:color w:val="000000" w:themeColor="text1"/>
                <w:spacing w:val="1"/>
                <w:sz w:val="21"/>
                <w14:textFill>
                  <w14:solidFill>
                    <w14:schemeClr w14:val="tx1"/>
                  </w14:solidFill>
                </w14:textFill>
              </w:rPr>
            </w:pPr>
          </w:p>
        </w:tc>
        <w:tc>
          <w:tcPr>
            <w:tcW w:w="1382" w:type="pct"/>
            <w:vAlign w:val="center"/>
          </w:tcPr>
          <w:p w14:paraId="2074AFA3">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3782B351">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2C25FF9F">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0C93A1C1">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1236" w:type="pct"/>
            <w:vAlign w:val="center"/>
          </w:tcPr>
          <w:p w14:paraId="5E82750B">
            <w:pPr>
              <w:pStyle w:val="65"/>
              <w:jc w:val="center"/>
              <w:rPr>
                <w:rFonts w:ascii="Times New Roman" w:hAnsi="Times New Roman" w:cs="Times New Roman"/>
                <w:color w:val="000000" w:themeColor="text1"/>
                <w:spacing w:val="-3"/>
                <w:sz w:val="21"/>
                <w:szCs w:val="21"/>
                <w:lang w:eastAsia="zh-CN"/>
                <w14:textFill>
                  <w14:solidFill>
                    <w14:schemeClr w14:val="tx1"/>
                  </w14:solidFill>
                </w14:textFill>
              </w:rPr>
            </w:pPr>
            <w:r>
              <w:rPr>
                <w:rFonts w:ascii="Times New Roman" w:hAnsi="Times New Roman" w:cs="Times New Roman"/>
                <w:color w:val="000000" w:themeColor="text1"/>
                <w:spacing w:val="-2"/>
                <w:sz w:val="21"/>
                <w:szCs w:val="21"/>
                <w14:textFill>
                  <w14:solidFill>
                    <w14:schemeClr w14:val="tx1"/>
                  </w14:solidFill>
                </w14:textFill>
              </w:rPr>
              <w:t>硝基苯</w:t>
            </w:r>
          </w:p>
        </w:tc>
        <w:tc>
          <w:tcPr>
            <w:tcW w:w="946" w:type="pct"/>
            <w:vAlign w:val="center"/>
          </w:tcPr>
          <w:p w14:paraId="4DD1045B">
            <w:pPr>
              <w:jc w:val="center"/>
              <w:rPr>
                <w:rFonts w:ascii="Times New Roman" w:hAnsi="Times New Roman" w:eastAsia="Times New Roman" w:cs="Times New Roman"/>
                <w:color w:val="000000" w:themeColor="text1"/>
                <w:spacing w:val="1"/>
                <w:sz w:val="21"/>
                <w14:textFill>
                  <w14:solidFill>
                    <w14:schemeClr w14:val="tx1"/>
                  </w14:solidFill>
                </w14:textFill>
              </w:rPr>
            </w:pPr>
          </w:p>
        </w:tc>
        <w:tc>
          <w:tcPr>
            <w:tcW w:w="1382" w:type="pct"/>
            <w:vAlign w:val="center"/>
          </w:tcPr>
          <w:p w14:paraId="66A0FD55">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4923A3C2">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774E294F">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6771A1C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1236" w:type="pct"/>
            <w:vAlign w:val="center"/>
          </w:tcPr>
          <w:p w14:paraId="16B12BE1">
            <w:pPr>
              <w:pStyle w:val="65"/>
              <w:jc w:val="center"/>
              <w:rPr>
                <w:rFonts w:ascii="Times New Roman" w:hAnsi="Times New Roman" w:cs="Times New Roman"/>
                <w:color w:val="000000" w:themeColor="text1"/>
                <w:spacing w:val="-3"/>
                <w:sz w:val="21"/>
                <w:szCs w:val="21"/>
                <w:lang w:eastAsia="zh-CN"/>
                <w14:textFill>
                  <w14:solidFill>
                    <w14:schemeClr w14:val="tx1"/>
                  </w14:solidFill>
                </w14:textFill>
              </w:rPr>
            </w:pPr>
            <w:r>
              <w:rPr>
                <w:rFonts w:ascii="Times New Roman" w:hAnsi="Times New Roman" w:cs="Times New Roman"/>
                <w:color w:val="000000" w:themeColor="text1"/>
                <w:spacing w:val="-3"/>
                <w:sz w:val="21"/>
                <w:szCs w:val="21"/>
                <w14:textFill>
                  <w14:solidFill>
                    <w14:schemeClr w14:val="tx1"/>
                  </w14:solidFill>
                </w14:textFill>
              </w:rPr>
              <w:t>苯胺</w:t>
            </w:r>
          </w:p>
        </w:tc>
        <w:tc>
          <w:tcPr>
            <w:tcW w:w="946" w:type="pct"/>
            <w:vAlign w:val="center"/>
          </w:tcPr>
          <w:p w14:paraId="25ED0426">
            <w:pPr>
              <w:jc w:val="center"/>
              <w:rPr>
                <w:rFonts w:ascii="Times New Roman" w:hAnsi="Times New Roman" w:eastAsia="Times New Roman" w:cs="Times New Roman"/>
                <w:color w:val="000000" w:themeColor="text1"/>
                <w:spacing w:val="1"/>
                <w:sz w:val="21"/>
                <w14:textFill>
                  <w14:solidFill>
                    <w14:schemeClr w14:val="tx1"/>
                  </w14:solidFill>
                </w14:textFill>
              </w:rPr>
            </w:pPr>
          </w:p>
        </w:tc>
        <w:tc>
          <w:tcPr>
            <w:tcW w:w="1382" w:type="pct"/>
            <w:vAlign w:val="center"/>
          </w:tcPr>
          <w:p w14:paraId="10C4DC22">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6B3DABE9">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37F90640">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610C470D">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1236" w:type="pct"/>
            <w:vAlign w:val="center"/>
          </w:tcPr>
          <w:p w14:paraId="0D588260">
            <w:pPr>
              <w:pStyle w:val="65"/>
              <w:jc w:val="center"/>
              <w:rPr>
                <w:rFonts w:ascii="Times New Roman" w:hAnsi="Times New Roman" w:cs="Times New Roman"/>
                <w:color w:val="000000" w:themeColor="text1"/>
                <w:spacing w:val="-3"/>
                <w:sz w:val="21"/>
                <w:szCs w:val="21"/>
                <w:lang w:eastAsia="zh-CN"/>
                <w14:textFill>
                  <w14:solidFill>
                    <w14:schemeClr w14:val="tx1"/>
                  </w14:solidFill>
                </w14:textFill>
              </w:rPr>
            </w:pPr>
            <w:r>
              <w:rPr>
                <w:rFonts w:ascii="Times New Roman" w:hAnsi="Times New Roman" w:eastAsia="Times New Roman" w:cs="Times New Roman"/>
                <w:color w:val="000000" w:themeColor="text1"/>
                <w:sz w:val="21"/>
                <w:szCs w:val="21"/>
                <w14:textFill>
                  <w14:solidFill>
                    <w14:schemeClr w14:val="tx1"/>
                  </w14:solidFill>
                </w14:textFill>
              </w:rPr>
              <w:t>2-</w:t>
            </w:r>
            <w:r>
              <w:rPr>
                <w:rFonts w:ascii="Times New Roman" w:hAnsi="Times New Roman" w:cs="Times New Roman"/>
                <w:color w:val="000000" w:themeColor="text1"/>
                <w:sz w:val="21"/>
                <w:szCs w:val="21"/>
                <w14:textFill>
                  <w14:solidFill>
                    <w14:schemeClr w14:val="tx1"/>
                  </w14:solidFill>
                </w14:textFill>
              </w:rPr>
              <w:t>氯酚</w:t>
            </w:r>
          </w:p>
        </w:tc>
        <w:tc>
          <w:tcPr>
            <w:tcW w:w="946" w:type="pct"/>
            <w:vAlign w:val="center"/>
          </w:tcPr>
          <w:p w14:paraId="178E5500">
            <w:pPr>
              <w:jc w:val="center"/>
              <w:rPr>
                <w:rFonts w:ascii="Times New Roman" w:hAnsi="Times New Roman" w:eastAsia="Times New Roman" w:cs="Times New Roman"/>
                <w:color w:val="000000" w:themeColor="text1"/>
                <w:spacing w:val="1"/>
                <w:sz w:val="21"/>
                <w14:textFill>
                  <w14:solidFill>
                    <w14:schemeClr w14:val="tx1"/>
                  </w14:solidFill>
                </w14:textFill>
              </w:rPr>
            </w:pPr>
          </w:p>
        </w:tc>
        <w:tc>
          <w:tcPr>
            <w:tcW w:w="1382" w:type="pct"/>
            <w:vAlign w:val="center"/>
          </w:tcPr>
          <w:p w14:paraId="4A5F9659">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5017BAC2">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396489EE">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262A1C01">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1236" w:type="pct"/>
            <w:vAlign w:val="center"/>
          </w:tcPr>
          <w:p w14:paraId="2F0EA487">
            <w:pPr>
              <w:pStyle w:val="65"/>
              <w:jc w:val="center"/>
              <w:rPr>
                <w:rFonts w:ascii="Times New Roman" w:hAnsi="Times New Roman" w:cs="Times New Roman"/>
                <w:color w:val="000000" w:themeColor="text1"/>
                <w:spacing w:val="-3"/>
                <w:sz w:val="21"/>
                <w:szCs w:val="21"/>
                <w:lang w:eastAsia="zh-CN"/>
                <w14:textFill>
                  <w14:solidFill>
                    <w14:schemeClr w14:val="tx1"/>
                  </w14:solidFill>
                </w14:textFill>
              </w:rPr>
            </w:pPr>
            <w:r>
              <w:rPr>
                <w:rFonts w:ascii="Times New Roman" w:hAnsi="Times New Roman" w:cs="Times New Roman"/>
                <w:color w:val="000000" w:themeColor="text1"/>
                <w:spacing w:val="-2"/>
                <w:sz w:val="21"/>
                <w:szCs w:val="21"/>
                <w14:textFill>
                  <w14:solidFill>
                    <w14:schemeClr w14:val="tx1"/>
                  </w14:solidFill>
                </w14:textFill>
              </w:rPr>
              <w:t>苯并</w:t>
            </w:r>
            <w:r>
              <w:rPr>
                <w:rFonts w:ascii="Times New Roman" w:hAnsi="Times New Roman" w:eastAsia="Times New Roman" w:cs="Times New Roman"/>
                <w:color w:val="000000" w:themeColor="text1"/>
                <w:spacing w:val="-2"/>
                <w:sz w:val="21"/>
                <w:szCs w:val="21"/>
                <w14:textFill>
                  <w14:solidFill>
                    <w14:schemeClr w14:val="tx1"/>
                  </w14:solidFill>
                </w14:textFill>
              </w:rPr>
              <w:t>[a]</w:t>
            </w:r>
            <w:r>
              <w:rPr>
                <w:rFonts w:ascii="Times New Roman" w:hAnsi="Times New Roman" w:cs="Times New Roman"/>
                <w:color w:val="000000" w:themeColor="text1"/>
                <w:spacing w:val="-2"/>
                <w:sz w:val="21"/>
                <w:szCs w:val="21"/>
                <w14:textFill>
                  <w14:solidFill>
                    <w14:schemeClr w14:val="tx1"/>
                  </w14:solidFill>
                </w14:textFill>
              </w:rPr>
              <w:t>蒽</w:t>
            </w:r>
          </w:p>
        </w:tc>
        <w:tc>
          <w:tcPr>
            <w:tcW w:w="946" w:type="pct"/>
            <w:vAlign w:val="center"/>
          </w:tcPr>
          <w:p w14:paraId="5FCA8A9C">
            <w:pPr>
              <w:jc w:val="center"/>
              <w:rPr>
                <w:rFonts w:ascii="Times New Roman" w:hAnsi="Times New Roman" w:eastAsia="Times New Roman" w:cs="Times New Roman"/>
                <w:color w:val="000000" w:themeColor="text1"/>
                <w:spacing w:val="1"/>
                <w:sz w:val="21"/>
                <w14:textFill>
                  <w14:solidFill>
                    <w14:schemeClr w14:val="tx1"/>
                  </w14:solidFill>
                </w14:textFill>
              </w:rPr>
            </w:pPr>
          </w:p>
        </w:tc>
        <w:tc>
          <w:tcPr>
            <w:tcW w:w="1382" w:type="pct"/>
            <w:vAlign w:val="center"/>
          </w:tcPr>
          <w:p w14:paraId="78346C05">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0E20E47F">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1EEA862D">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47484BF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1236" w:type="pct"/>
            <w:vAlign w:val="center"/>
          </w:tcPr>
          <w:p w14:paraId="388119EC">
            <w:pPr>
              <w:pStyle w:val="65"/>
              <w:jc w:val="center"/>
              <w:rPr>
                <w:rFonts w:ascii="Times New Roman" w:hAnsi="Times New Roman" w:cs="Times New Roman"/>
                <w:color w:val="000000" w:themeColor="text1"/>
                <w:spacing w:val="-3"/>
                <w:sz w:val="21"/>
                <w:szCs w:val="21"/>
                <w:lang w:eastAsia="zh-CN"/>
                <w14:textFill>
                  <w14:solidFill>
                    <w14:schemeClr w14:val="tx1"/>
                  </w14:solidFill>
                </w14:textFill>
              </w:rPr>
            </w:pPr>
            <w:r>
              <w:rPr>
                <w:rFonts w:ascii="Times New Roman" w:hAnsi="Times New Roman" w:cs="Times New Roman"/>
                <w:color w:val="000000" w:themeColor="text1"/>
                <w:spacing w:val="-2"/>
                <w:sz w:val="21"/>
                <w:szCs w:val="21"/>
                <w14:textFill>
                  <w14:solidFill>
                    <w14:schemeClr w14:val="tx1"/>
                  </w14:solidFill>
                </w14:textFill>
              </w:rPr>
              <w:t>苯并</w:t>
            </w:r>
            <w:r>
              <w:rPr>
                <w:rFonts w:ascii="Times New Roman" w:hAnsi="Times New Roman" w:eastAsia="Times New Roman" w:cs="Times New Roman"/>
                <w:color w:val="000000" w:themeColor="text1"/>
                <w:spacing w:val="-2"/>
                <w:sz w:val="21"/>
                <w:szCs w:val="21"/>
                <w14:textFill>
                  <w14:solidFill>
                    <w14:schemeClr w14:val="tx1"/>
                  </w14:solidFill>
                </w14:textFill>
              </w:rPr>
              <w:t>[a]</w:t>
            </w:r>
            <w:r>
              <w:rPr>
                <w:rFonts w:ascii="Times New Roman" w:hAnsi="Times New Roman" w:cs="Times New Roman"/>
                <w:color w:val="000000" w:themeColor="text1"/>
                <w:spacing w:val="-2"/>
                <w:sz w:val="21"/>
                <w:szCs w:val="21"/>
                <w14:textFill>
                  <w14:solidFill>
                    <w14:schemeClr w14:val="tx1"/>
                  </w14:solidFill>
                </w14:textFill>
              </w:rPr>
              <w:t>芘</w:t>
            </w:r>
          </w:p>
        </w:tc>
        <w:tc>
          <w:tcPr>
            <w:tcW w:w="946" w:type="pct"/>
            <w:vAlign w:val="center"/>
          </w:tcPr>
          <w:p w14:paraId="4BCC381E">
            <w:pPr>
              <w:jc w:val="center"/>
              <w:rPr>
                <w:rFonts w:ascii="Times New Roman" w:hAnsi="Times New Roman" w:eastAsia="Times New Roman" w:cs="Times New Roman"/>
                <w:color w:val="000000" w:themeColor="text1"/>
                <w:spacing w:val="1"/>
                <w:sz w:val="21"/>
                <w14:textFill>
                  <w14:solidFill>
                    <w14:schemeClr w14:val="tx1"/>
                  </w14:solidFill>
                </w14:textFill>
              </w:rPr>
            </w:pPr>
          </w:p>
        </w:tc>
        <w:tc>
          <w:tcPr>
            <w:tcW w:w="1382" w:type="pct"/>
            <w:vAlign w:val="center"/>
          </w:tcPr>
          <w:p w14:paraId="7491B861">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155B4725">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69C50B1D">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1EA4518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1236" w:type="pct"/>
            <w:vAlign w:val="center"/>
          </w:tcPr>
          <w:p w14:paraId="3B9773A3">
            <w:pPr>
              <w:pStyle w:val="65"/>
              <w:jc w:val="center"/>
              <w:rPr>
                <w:rFonts w:ascii="Times New Roman" w:hAnsi="Times New Roman" w:cs="Times New Roman"/>
                <w:color w:val="000000" w:themeColor="text1"/>
                <w:spacing w:val="-3"/>
                <w:sz w:val="21"/>
                <w:szCs w:val="21"/>
                <w:lang w:eastAsia="zh-CN"/>
                <w14:textFill>
                  <w14:solidFill>
                    <w14:schemeClr w14:val="tx1"/>
                  </w14:solidFill>
                </w14:textFill>
              </w:rPr>
            </w:pPr>
            <w:r>
              <w:rPr>
                <w:rFonts w:ascii="Times New Roman" w:hAnsi="Times New Roman" w:cs="Times New Roman"/>
                <w:color w:val="000000" w:themeColor="text1"/>
                <w:spacing w:val="-2"/>
                <w:sz w:val="21"/>
                <w:szCs w:val="21"/>
                <w14:textFill>
                  <w14:solidFill>
                    <w14:schemeClr w14:val="tx1"/>
                  </w14:solidFill>
                </w14:textFill>
              </w:rPr>
              <w:t>苯并</w:t>
            </w:r>
            <w:r>
              <w:rPr>
                <w:rFonts w:ascii="Times New Roman" w:hAnsi="Times New Roman" w:eastAsia="Times New Roman" w:cs="Times New Roman"/>
                <w:color w:val="000000" w:themeColor="text1"/>
                <w:spacing w:val="-2"/>
                <w:sz w:val="21"/>
                <w:szCs w:val="21"/>
                <w14:textFill>
                  <w14:solidFill>
                    <w14:schemeClr w14:val="tx1"/>
                  </w14:solidFill>
                </w14:textFill>
              </w:rPr>
              <w:t>[b]</w:t>
            </w:r>
            <w:r>
              <w:rPr>
                <w:rFonts w:ascii="Times New Roman" w:hAnsi="Times New Roman" w:cs="Times New Roman"/>
                <w:color w:val="000000" w:themeColor="text1"/>
                <w:spacing w:val="-2"/>
                <w:sz w:val="21"/>
                <w:szCs w:val="21"/>
                <w14:textFill>
                  <w14:solidFill>
                    <w14:schemeClr w14:val="tx1"/>
                  </w14:solidFill>
                </w14:textFill>
              </w:rPr>
              <w:t>荧蒽</w:t>
            </w:r>
          </w:p>
        </w:tc>
        <w:tc>
          <w:tcPr>
            <w:tcW w:w="946" w:type="pct"/>
            <w:vAlign w:val="center"/>
          </w:tcPr>
          <w:p w14:paraId="3C3C086F">
            <w:pPr>
              <w:jc w:val="center"/>
              <w:rPr>
                <w:rFonts w:ascii="Times New Roman" w:hAnsi="Times New Roman" w:eastAsia="Times New Roman" w:cs="Times New Roman"/>
                <w:color w:val="000000" w:themeColor="text1"/>
                <w:spacing w:val="1"/>
                <w:sz w:val="21"/>
                <w14:textFill>
                  <w14:solidFill>
                    <w14:schemeClr w14:val="tx1"/>
                  </w14:solidFill>
                </w14:textFill>
              </w:rPr>
            </w:pPr>
          </w:p>
        </w:tc>
        <w:tc>
          <w:tcPr>
            <w:tcW w:w="1382" w:type="pct"/>
            <w:vAlign w:val="center"/>
          </w:tcPr>
          <w:p w14:paraId="661C6A75">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6B2CE610">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3482F2AB">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6BF6054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69" w:hRule="atLeast"/>
          <w:jc w:val="center"/>
        </w:trPr>
        <w:tc>
          <w:tcPr>
            <w:tcW w:w="1236" w:type="pct"/>
            <w:vAlign w:val="center"/>
          </w:tcPr>
          <w:p w14:paraId="20D885DB">
            <w:pPr>
              <w:pStyle w:val="65"/>
              <w:jc w:val="center"/>
              <w:rPr>
                <w:rFonts w:ascii="Times New Roman" w:hAnsi="Times New Roman" w:cs="Times New Roman"/>
                <w:color w:val="000000" w:themeColor="text1"/>
                <w:spacing w:val="-3"/>
                <w:sz w:val="21"/>
                <w:szCs w:val="21"/>
                <w:lang w:eastAsia="zh-CN"/>
                <w14:textFill>
                  <w14:solidFill>
                    <w14:schemeClr w14:val="tx1"/>
                  </w14:solidFill>
                </w14:textFill>
              </w:rPr>
            </w:pPr>
            <w:r>
              <w:rPr>
                <w:rFonts w:ascii="Times New Roman" w:hAnsi="Times New Roman" w:cs="Times New Roman"/>
                <w:color w:val="000000" w:themeColor="text1"/>
                <w:spacing w:val="-2"/>
                <w:sz w:val="21"/>
                <w:szCs w:val="21"/>
                <w14:textFill>
                  <w14:solidFill>
                    <w14:schemeClr w14:val="tx1"/>
                  </w14:solidFill>
                </w14:textFill>
              </w:rPr>
              <w:t>苯并</w:t>
            </w:r>
            <w:r>
              <w:rPr>
                <w:rFonts w:ascii="Times New Roman" w:hAnsi="Times New Roman" w:eastAsia="Times New Roman" w:cs="Times New Roman"/>
                <w:color w:val="000000" w:themeColor="text1"/>
                <w:spacing w:val="-2"/>
                <w:sz w:val="21"/>
                <w:szCs w:val="21"/>
                <w14:textFill>
                  <w14:solidFill>
                    <w14:schemeClr w14:val="tx1"/>
                  </w14:solidFill>
                </w14:textFill>
              </w:rPr>
              <w:t>[k]</w:t>
            </w:r>
            <w:r>
              <w:rPr>
                <w:rFonts w:ascii="Times New Roman" w:hAnsi="Times New Roman" w:cs="Times New Roman"/>
                <w:color w:val="000000" w:themeColor="text1"/>
                <w:spacing w:val="-2"/>
                <w:sz w:val="21"/>
                <w:szCs w:val="21"/>
                <w14:textFill>
                  <w14:solidFill>
                    <w14:schemeClr w14:val="tx1"/>
                  </w14:solidFill>
                </w14:textFill>
              </w:rPr>
              <w:t>荧蒽</w:t>
            </w:r>
          </w:p>
        </w:tc>
        <w:tc>
          <w:tcPr>
            <w:tcW w:w="946" w:type="pct"/>
            <w:vAlign w:val="center"/>
          </w:tcPr>
          <w:p w14:paraId="2D93E5EC">
            <w:pPr>
              <w:jc w:val="center"/>
              <w:rPr>
                <w:rFonts w:ascii="Times New Roman" w:hAnsi="Times New Roman" w:eastAsia="Times New Roman" w:cs="Times New Roman"/>
                <w:color w:val="000000" w:themeColor="text1"/>
                <w:spacing w:val="1"/>
                <w:sz w:val="21"/>
                <w14:textFill>
                  <w14:solidFill>
                    <w14:schemeClr w14:val="tx1"/>
                  </w14:solidFill>
                </w14:textFill>
              </w:rPr>
            </w:pPr>
          </w:p>
        </w:tc>
        <w:tc>
          <w:tcPr>
            <w:tcW w:w="1382" w:type="pct"/>
            <w:vAlign w:val="center"/>
          </w:tcPr>
          <w:p w14:paraId="1DE84D87">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73F2EFC2">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49E4DCC3">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6A900391">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1236" w:type="pct"/>
            <w:vAlign w:val="center"/>
          </w:tcPr>
          <w:p w14:paraId="58351F80">
            <w:pPr>
              <w:pStyle w:val="65"/>
              <w:jc w:val="center"/>
              <w:rPr>
                <w:rFonts w:ascii="Times New Roman" w:hAnsi="Times New Roman" w:cs="Times New Roman"/>
                <w:color w:val="000000" w:themeColor="text1"/>
                <w:spacing w:val="-3"/>
                <w:sz w:val="21"/>
                <w:szCs w:val="21"/>
                <w:lang w:eastAsia="zh-CN"/>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䓛</w:t>
            </w:r>
          </w:p>
        </w:tc>
        <w:tc>
          <w:tcPr>
            <w:tcW w:w="946" w:type="pct"/>
            <w:vAlign w:val="center"/>
          </w:tcPr>
          <w:p w14:paraId="09066006">
            <w:pPr>
              <w:jc w:val="center"/>
              <w:rPr>
                <w:rFonts w:ascii="Times New Roman" w:hAnsi="Times New Roman" w:eastAsia="Times New Roman" w:cs="Times New Roman"/>
                <w:color w:val="000000" w:themeColor="text1"/>
                <w:spacing w:val="1"/>
                <w:sz w:val="21"/>
                <w14:textFill>
                  <w14:solidFill>
                    <w14:schemeClr w14:val="tx1"/>
                  </w14:solidFill>
                </w14:textFill>
              </w:rPr>
            </w:pPr>
          </w:p>
        </w:tc>
        <w:tc>
          <w:tcPr>
            <w:tcW w:w="1382" w:type="pct"/>
            <w:vAlign w:val="center"/>
          </w:tcPr>
          <w:p w14:paraId="549E7695">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5E381901">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29242444">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39BFBC3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1236" w:type="pct"/>
            <w:vAlign w:val="center"/>
          </w:tcPr>
          <w:p w14:paraId="31E5BABA">
            <w:pPr>
              <w:pStyle w:val="65"/>
              <w:jc w:val="center"/>
              <w:rPr>
                <w:rFonts w:ascii="Times New Roman" w:hAnsi="Times New Roman" w:cs="Times New Roman"/>
                <w:color w:val="000000" w:themeColor="text1"/>
                <w:spacing w:val="-3"/>
                <w:sz w:val="21"/>
                <w:szCs w:val="21"/>
                <w:lang w:eastAsia="zh-CN"/>
                <w14:textFill>
                  <w14:solidFill>
                    <w14:schemeClr w14:val="tx1"/>
                  </w14:solidFill>
                </w14:textFill>
              </w:rPr>
            </w:pPr>
            <w:r>
              <w:rPr>
                <w:rFonts w:ascii="Times New Roman" w:hAnsi="Times New Roman" w:cs="Times New Roman"/>
                <w:color w:val="000000" w:themeColor="text1"/>
                <w:spacing w:val="-1"/>
                <w:sz w:val="21"/>
                <w:szCs w:val="21"/>
                <w14:textFill>
                  <w14:solidFill>
                    <w14:schemeClr w14:val="tx1"/>
                  </w14:solidFill>
                </w14:textFill>
              </w:rPr>
              <w:t>二苯并</w:t>
            </w:r>
            <w:r>
              <w:rPr>
                <w:rFonts w:ascii="Times New Roman" w:hAnsi="Times New Roman" w:eastAsia="Times New Roman" w:cs="Times New Roman"/>
                <w:color w:val="000000" w:themeColor="text1"/>
                <w:spacing w:val="-1"/>
                <w:sz w:val="21"/>
                <w:szCs w:val="21"/>
                <w14:textFill>
                  <w14:solidFill>
                    <w14:schemeClr w14:val="tx1"/>
                  </w14:solidFill>
                </w14:textFill>
              </w:rPr>
              <w:t>[a,h]</w:t>
            </w:r>
            <w:r>
              <w:rPr>
                <w:rFonts w:ascii="Times New Roman" w:hAnsi="Times New Roman" w:cs="Times New Roman"/>
                <w:color w:val="000000" w:themeColor="text1"/>
                <w:spacing w:val="-1"/>
                <w:sz w:val="21"/>
                <w:szCs w:val="21"/>
                <w14:textFill>
                  <w14:solidFill>
                    <w14:schemeClr w14:val="tx1"/>
                  </w14:solidFill>
                </w14:textFill>
              </w:rPr>
              <w:t>蒽</w:t>
            </w:r>
          </w:p>
        </w:tc>
        <w:tc>
          <w:tcPr>
            <w:tcW w:w="946" w:type="pct"/>
            <w:vAlign w:val="center"/>
          </w:tcPr>
          <w:p w14:paraId="55393E5F">
            <w:pPr>
              <w:jc w:val="center"/>
              <w:rPr>
                <w:rFonts w:ascii="Times New Roman" w:hAnsi="Times New Roman" w:eastAsia="Times New Roman" w:cs="Times New Roman"/>
                <w:color w:val="000000" w:themeColor="text1"/>
                <w:spacing w:val="1"/>
                <w:sz w:val="21"/>
                <w14:textFill>
                  <w14:solidFill>
                    <w14:schemeClr w14:val="tx1"/>
                  </w14:solidFill>
                </w14:textFill>
              </w:rPr>
            </w:pPr>
          </w:p>
        </w:tc>
        <w:tc>
          <w:tcPr>
            <w:tcW w:w="1382" w:type="pct"/>
            <w:vAlign w:val="center"/>
          </w:tcPr>
          <w:p w14:paraId="101AA353">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68F84E56">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18E2395F">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642964D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1236" w:type="pct"/>
            <w:vAlign w:val="center"/>
          </w:tcPr>
          <w:p w14:paraId="0BA4677F">
            <w:pPr>
              <w:pStyle w:val="65"/>
              <w:jc w:val="center"/>
              <w:rPr>
                <w:rFonts w:ascii="Times New Roman" w:hAnsi="Times New Roman" w:cs="Times New Roman"/>
                <w:color w:val="000000" w:themeColor="text1"/>
                <w:spacing w:val="-3"/>
                <w:sz w:val="21"/>
                <w:szCs w:val="21"/>
                <w:lang w:eastAsia="zh-CN"/>
                <w14:textFill>
                  <w14:solidFill>
                    <w14:schemeClr w14:val="tx1"/>
                  </w14:solidFill>
                </w14:textFill>
              </w:rPr>
            </w:pPr>
            <w:r>
              <w:rPr>
                <w:rFonts w:ascii="Times New Roman" w:hAnsi="Times New Roman" w:cs="Times New Roman"/>
                <w:color w:val="000000" w:themeColor="text1"/>
                <w:spacing w:val="-1"/>
                <w:sz w:val="21"/>
                <w:szCs w:val="21"/>
                <w14:textFill>
                  <w14:solidFill>
                    <w14:schemeClr w14:val="tx1"/>
                  </w14:solidFill>
                </w14:textFill>
              </w:rPr>
              <w:t>茚并</w:t>
            </w:r>
            <w:r>
              <w:rPr>
                <w:rFonts w:ascii="Times New Roman" w:hAnsi="Times New Roman" w:eastAsia="Times New Roman" w:cs="Times New Roman"/>
                <w:color w:val="000000" w:themeColor="text1"/>
                <w:spacing w:val="-1"/>
                <w:sz w:val="21"/>
                <w:szCs w:val="21"/>
                <w14:textFill>
                  <w14:solidFill>
                    <w14:schemeClr w14:val="tx1"/>
                  </w14:solidFill>
                </w14:textFill>
              </w:rPr>
              <w:t>[1,2,3-cd]</w:t>
            </w:r>
            <w:r>
              <w:rPr>
                <w:rFonts w:ascii="Times New Roman" w:hAnsi="Times New Roman" w:cs="Times New Roman"/>
                <w:color w:val="000000" w:themeColor="text1"/>
                <w:spacing w:val="-1"/>
                <w:sz w:val="21"/>
                <w:szCs w:val="21"/>
                <w14:textFill>
                  <w14:solidFill>
                    <w14:schemeClr w14:val="tx1"/>
                  </w14:solidFill>
                </w14:textFill>
              </w:rPr>
              <w:t>芘</w:t>
            </w:r>
          </w:p>
        </w:tc>
        <w:tc>
          <w:tcPr>
            <w:tcW w:w="946" w:type="pct"/>
            <w:vAlign w:val="center"/>
          </w:tcPr>
          <w:p w14:paraId="3D231AA0">
            <w:pPr>
              <w:jc w:val="center"/>
              <w:rPr>
                <w:rFonts w:ascii="Times New Roman" w:hAnsi="Times New Roman" w:eastAsia="Times New Roman" w:cs="Times New Roman"/>
                <w:color w:val="000000" w:themeColor="text1"/>
                <w:spacing w:val="1"/>
                <w:sz w:val="21"/>
                <w14:textFill>
                  <w14:solidFill>
                    <w14:schemeClr w14:val="tx1"/>
                  </w14:solidFill>
                </w14:textFill>
              </w:rPr>
            </w:pPr>
          </w:p>
        </w:tc>
        <w:tc>
          <w:tcPr>
            <w:tcW w:w="1382" w:type="pct"/>
            <w:vAlign w:val="center"/>
          </w:tcPr>
          <w:p w14:paraId="06C13B67">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3E1098A3">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1DBC843A">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75D5873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1236" w:type="pct"/>
            <w:vAlign w:val="center"/>
          </w:tcPr>
          <w:p w14:paraId="230E2F53">
            <w:pPr>
              <w:pStyle w:val="65"/>
              <w:jc w:val="center"/>
              <w:rPr>
                <w:rFonts w:ascii="Times New Roman" w:hAnsi="Times New Roman" w:cs="Times New Roman"/>
                <w:color w:val="000000" w:themeColor="text1"/>
                <w:spacing w:val="-3"/>
                <w:sz w:val="21"/>
                <w:szCs w:val="21"/>
                <w:lang w:eastAsia="zh-CN"/>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萘</w:t>
            </w:r>
          </w:p>
        </w:tc>
        <w:tc>
          <w:tcPr>
            <w:tcW w:w="946" w:type="pct"/>
            <w:vAlign w:val="center"/>
          </w:tcPr>
          <w:p w14:paraId="723A44DD">
            <w:pPr>
              <w:jc w:val="center"/>
              <w:rPr>
                <w:rFonts w:ascii="Times New Roman" w:hAnsi="Times New Roman" w:eastAsia="Times New Roman" w:cs="Times New Roman"/>
                <w:color w:val="000000" w:themeColor="text1"/>
                <w:spacing w:val="1"/>
                <w:sz w:val="21"/>
                <w14:textFill>
                  <w14:solidFill>
                    <w14:schemeClr w14:val="tx1"/>
                  </w14:solidFill>
                </w14:textFill>
              </w:rPr>
            </w:pPr>
          </w:p>
        </w:tc>
        <w:tc>
          <w:tcPr>
            <w:tcW w:w="1382" w:type="pct"/>
            <w:vAlign w:val="center"/>
          </w:tcPr>
          <w:p w14:paraId="4070B797">
            <w:pPr>
              <w:jc w:val="center"/>
              <w:rPr>
                <w:rFonts w:ascii="Times New Roman" w:hAnsi="Times New Roman" w:cs="Times New Roman"/>
                <w:color w:val="000000" w:themeColor="text1"/>
                <w:sz w:val="21"/>
                <w14:textFill>
                  <w14:solidFill>
                    <w14:schemeClr w14:val="tx1"/>
                  </w14:solidFill>
                </w14:textFill>
              </w:rPr>
            </w:pPr>
          </w:p>
        </w:tc>
        <w:tc>
          <w:tcPr>
            <w:tcW w:w="839" w:type="pct"/>
            <w:vAlign w:val="center"/>
          </w:tcPr>
          <w:p w14:paraId="3F3FE583">
            <w:pPr>
              <w:jc w:val="center"/>
              <w:rPr>
                <w:rFonts w:ascii="Times New Roman" w:hAnsi="Times New Roman" w:cs="Times New Roman"/>
                <w:color w:val="000000" w:themeColor="text1"/>
                <w:sz w:val="21"/>
                <w14:textFill>
                  <w14:solidFill>
                    <w14:schemeClr w14:val="tx1"/>
                  </w14:solidFill>
                </w14:textFill>
              </w:rPr>
            </w:pPr>
          </w:p>
        </w:tc>
        <w:tc>
          <w:tcPr>
            <w:tcW w:w="597" w:type="pct"/>
            <w:vAlign w:val="center"/>
          </w:tcPr>
          <w:p w14:paraId="11549B46">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tr w14:paraId="5C9EF17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1236" w:type="pct"/>
            <w:vAlign w:val="center"/>
          </w:tcPr>
          <w:p w14:paraId="718C120A">
            <w:pPr>
              <w:pStyle w:val="65"/>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lang w:eastAsia="zh-CN"/>
                <w14:textFill>
                  <w14:solidFill>
                    <w14:schemeClr w14:val="tx1"/>
                  </w14:solidFill>
                </w14:textFill>
              </w:rPr>
              <w:t>石油烃</w:t>
            </w:r>
          </w:p>
        </w:tc>
        <w:tc>
          <w:tcPr>
            <w:tcW w:w="946" w:type="pct"/>
            <w:vAlign w:val="center"/>
          </w:tcPr>
          <w:p w14:paraId="259D0BA3">
            <w:pPr>
              <w:jc w:val="center"/>
              <w:rPr>
                <w:rFonts w:ascii="Times New Roman" w:hAnsi="Times New Roman" w:cs="Times New Roman"/>
                <w:color w:val="000000" w:themeColor="text1"/>
                <w:sz w:val="21"/>
                <w:lang w:eastAsia="zh-CN"/>
                <w14:textFill>
                  <w14:solidFill>
                    <w14:schemeClr w14:val="tx1"/>
                  </w14:solidFill>
                </w14:textFill>
              </w:rPr>
            </w:pPr>
          </w:p>
        </w:tc>
        <w:tc>
          <w:tcPr>
            <w:tcW w:w="1382" w:type="pct"/>
            <w:vAlign w:val="center"/>
          </w:tcPr>
          <w:p w14:paraId="14D42563">
            <w:pPr>
              <w:jc w:val="center"/>
              <w:rPr>
                <w:rFonts w:ascii="Times New Roman" w:hAnsi="Times New Roman"/>
                <w:color w:val="000000" w:themeColor="text1"/>
                <w:sz w:val="21"/>
                <w:lang w:eastAsia="zh-CN"/>
                <w14:textFill>
                  <w14:solidFill>
                    <w14:schemeClr w14:val="tx1"/>
                  </w14:solidFill>
                </w14:textFill>
              </w:rPr>
            </w:pPr>
          </w:p>
        </w:tc>
        <w:tc>
          <w:tcPr>
            <w:tcW w:w="839" w:type="pct"/>
            <w:vAlign w:val="center"/>
          </w:tcPr>
          <w:p w14:paraId="29AB1125">
            <w:pPr>
              <w:jc w:val="center"/>
              <w:rPr>
                <w:rFonts w:ascii="Times New Roman" w:hAnsi="Times New Roman" w:cs="Times New Roman"/>
                <w:color w:val="000000" w:themeColor="text1"/>
                <w:sz w:val="21"/>
                <w:lang w:eastAsia="zh-CN"/>
                <w14:textFill>
                  <w14:solidFill>
                    <w14:schemeClr w14:val="tx1"/>
                  </w14:solidFill>
                </w14:textFill>
              </w:rPr>
            </w:pPr>
          </w:p>
        </w:tc>
        <w:tc>
          <w:tcPr>
            <w:tcW w:w="597" w:type="pct"/>
            <w:vAlign w:val="center"/>
          </w:tcPr>
          <w:p w14:paraId="22BD8B8A">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达标</w:t>
            </w:r>
          </w:p>
        </w:tc>
      </w:tr>
      <w:bookmarkEnd w:id="1321"/>
    </w:tbl>
    <w:p w14:paraId="1BB26C48">
      <w:pPr>
        <w:spacing w:line="360" w:lineRule="auto"/>
        <w:ind w:firstLine="482"/>
        <w:jc w:val="center"/>
        <w:rPr>
          <w:rFonts w:ascii="Times New Roman" w:hAnsi="Times New Roman" w:cs="Times New Roman"/>
          <w:b/>
          <w:bCs/>
          <w:color w:val="auto"/>
          <w:lang w:eastAsia="zh-CN"/>
        </w:rPr>
      </w:pPr>
      <w:r>
        <w:rPr>
          <w:rFonts w:ascii="Times New Roman" w:hAnsi="Times New Roman" w:cs="Times New Roman"/>
          <w:b/>
          <w:bCs/>
          <w:color w:val="auto"/>
          <w:lang w:eastAsia="zh-CN"/>
        </w:rPr>
        <w:t>表</w:t>
      </w:r>
      <w:r>
        <w:rPr>
          <w:rFonts w:hint="eastAsia" w:ascii="Times New Roman" w:hAnsi="Times New Roman" w:cs="Times New Roman"/>
          <w:b/>
          <w:bCs/>
          <w:color w:val="auto"/>
          <w:lang w:eastAsia="zh-CN"/>
        </w:rPr>
        <w:t>5</w:t>
      </w:r>
      <w:r>
        <w:rPr>
          <w:rFonts w:ascii="Times New Roman" w:hAnsi="Times New Roman" w:cs="Times New Roman"/>
          <w:b/>
          <w:bCs/>
          <w:color w:val="auto"/>
          <w:lang w:eastAsia="zh-CN"/>
        </w:rPr>
        <w:t>.2-</w:t>
      </w:r>
      <w:r>
        <w:rPr>
          <w:rFonts w:hint="eastAsia" w:ascii="Times New Roman" w:hAnsi="Times New Roman" w:cs="Times New Roman"/>
          <w:b/>
          <w:bCs/>
          <w:color w:val="auto"/>
          <w:lang w:eastAsia="zh-CN"/>
        </w:rPr>
        <w:t>21</w:t>
      </w:r>
      <w:r>
        <w:rPr>
          <w:rFonts w:ascii="Times New Roman" w:hAnsi="Times New Roman" w:cs="Times New Roman"/>
          <w:b/>
          <w:bCs/>
          <w:color w:val="auto"/>
          <w:lang w:eastAsia="zh-CN"/>
        </w:rPr>
        <w:t xml:space="preserve">  </w:t>
      </w:r>
      <w:r>
        <w:rPr>
          <w:rFonts w:hint="eastAsia" w:ascii="Times New Roman" w:hAnsi="Times New Roman" w:cs="Times New Roman"/>
          <w:b/>
          <w:bCs/>
          <w:color w:val="auto"/>
          <w:lang w:eastAsia="zh-CN"/>
        </w:rPr>
        <w:t>T10农用地</w:t>
      </w:r>
      <w:r>
        <w:rPr>
          <w:rFonts w:ascii="Times New Roman" w:hAnsi="Times New Roman" w:cs="Times New Roman"/>
          <w:b/>
          <w:bCs/>
          <w:color w:val="auto"/>
          <w:lang w:eastAsia="zh-CN"/>
        </w:rPr>
        <w:t xml:space="preserve">土壤环境质量监测结果一览表  单位：mg/kg ，pH </w:t>
      </w:r>
      <w:r>
        <w:rPr>
          <w:rFonts w:hint="eastAsia" w:ascii="Times New Roman" w:hAnsi="Times New Roman" w:cs="Times New Roman"/>
          <w:b/>
          <w:bCs/>
          <w:color w:val="auto"/>
          <w:lang w:eastAsia="zh-CN"/>
        </w:rPr>
        <w:t>无量纲</w:t>
      </w:r>
    </w:p>
    <w:tbl>
      <w:tblPr>
        <w:tblStyle w:val="35"/>
        <w:tblW w:w="5000" w:type="pct"/>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autofit"/>
        <w:tblCellMar>
          <w:top w:w="0" w:type="dxa"/>
          <w:left w:w="0" w:type="dxa"/>
          <w:bottom w:w="0" w:type="dxa"/>
          <w:right w:w="0" w:type="dxa"/>
        </w:tblCellMar>
      </w:tblPr>
      <w:tblGrid>
        <w:gridCol w:w="3493"/>
        <w:gridCol w:w="2263"/>
        <w:gridCol w:w="2169"/>
        <w:gridCol w:w="1821"/>
      </w:tblGrid>
      <w:tr w14:paraId="2D35BFA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792" w:type="pct"/>
            <w:vAlign w:val="center"/>
          </w:tcPr>
          <w:p w14:paraId="26F0CB51">
            <w:pPr>
              <w:jc w:val="center"/>
              <w:rPr>
                <w:rFonts w:ascii="Times New Roman" w:hAnsi="Times New Roman" w:cs="Times New Roman"/>
                <w:b/>
                <w:bCs/>
                <w:color w:val="auto"/>
                <w:sz w:val="21"/>
              </w:rPr>
            </w:pPr>
            <w:r>
              <w:rPr>
                <w:rFonts w:ascii="Times New Roman" w:hAnsi="Times New Roman" w:cs="Times New Roman"/>
                <w:b/>
                <w:bCs/>
                <w:color w:val="auto"/>
                <w:sz w:val="21"/>
              </w:rPr>
              <w:t>监测因子</w:t>
            </w:r>
          </w:p>
        </w:tc>
        <w:tc>
          <w:tcPr>
            <w:tcW w:w="1161" w:type="pct"/>
            <w:vAlign w:val="center"/>
          </w:tcPr>
          <w:p w14:paraId="7EB4AF00">
            <w:pPr>
              <w:jc w:val="center"/>
              <w:rPr>
                <w:rFonts w:ascii="Times New Roman" w:hAnsi="Times New Roman" w:cs="Times New Roman"/>
                <w:b/>
                <w:bCs/>
                <w:color w:val="auto"/>
                <w:sz w:val="21"/>
                <w:lang w:eastAsia="zh-CN"/>
              </w:rPr>
            </w:pPr>
            <w:r>
              <w:rPr>
                <w:rFonts w:ascii="Times New Roman" w:hAnsi="Times New Roman" w:cs="Times New Roman"/>
                <w:b/>
                <w:bCs/>
                <w:color w:val="auto"/>
                <w:sz w:val="21"/>
              </w:rPr>
              <w:t>监</w:t>
            </w:r>
            <w:r>
              <w:rPr>
                <w:rFonts w:hint="eastAsia" w:ascii="Times New Roman" w:hAnsi="Times New Roman" w:cs="Times New Roman"/>
                <w:b/>
                <w:bCs/>
                <w:color w:val="auto"/>
                <w:sz w:val="21"/>
                <w:lang w:eastAsia="zh-CN"/>
              </w:rPr>
              <w:t>测结果</w:t>
            </w:r>
          </w:p>
        </w:tc>
        <w:tc>
          <w:tcPr>
            <w:tcW w:w="1113" w:type="pct"/>
            <w:vAlign w:val="center"/>
          </w:tcPr>
          <w:p w14:paraId="74AA8543">
            <w:pPr>
              <w:jc w:val="center"/>
              <w:rPr>
                <w:rFonts w:ascii="Times New Roman" w:hAnsi="Times New Roman" w:cs="Times New Roman"/>
                <w:b/>
                <w:bCs/>
                <w:color w:val="auto"/>
                <w:sz w:val="21"/>
              </w:rPr>
            </w:pPr>
            <w:r>
              <w:rPr>
                <w:rFonts w:ascii="Times New Roman" w:hAnsi="Times New Roman" w:cs="Times New Roman"/>
                <w:b/>
                <w:bCs/>
                <w:color w:val="auto"/>
                <w:sz w:val="21"/>
              </w:rPr>
              <w:t>执行标准 mg/kg</w:t>
            </w:r>
          </w:p>
        </w:tc>
        <w:tc>
          <w:tcPr>
            <w:tcW w:w="934" w:type="pct"/>
            <w:vAlign w:val="center"/>
          </w:tcPr>
          <w:p w14:paraId="171574FD">
            <w:pPr>
              <w:jc w:val="center"/>
              <w:rPr>
                <w:rFonts w:ascii="Times New Roman" w:hAnsi="Times New Roman" w:cs="Times New Roman"/>
                <w:b/>
                <w:bCs/>
                <w:color w:val="auto"/>
                <w:sz w:val="21"/>
              </w:rPr>
            </w:pPr>
            <w:r>
              <w:rPr>
                <w:rFonts w:ascii="Times New Roman" w:hAnsi="Times New Roman" w:cs="Times New Roman"/>
                <w:b/>
                <w:bCs/>
                <w:color w:val="auto"/>
                <w:sz w:val="21"/>
              </w:rPr>
              <w:t>是否达标</w:t>
            </w:r>
          </w:p>
        </w:tc>
      </w:tr>
      <w:tr w14:paraId="4F38F3A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792" w:type="pct"/>
            <w:vAlign w:val="center"/>
          </w:tcPr>
          <w:p w14:paraId="0206A79E">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pH</w:t>
            </w:r>
          </w:p>
        </w:tc>
        <w:tc>
          <w:tcPr>
            <w:tcW w:w="1161" w:type="pct"/>
            <w:vAlign w:val="center"/>
          </w:tcPr>
          <w:p w14:paraId="5458F71E">
            <w:pPr>
              <w:jc w:val="center"/>
              <w:rPr>
                <w:rFonts w:ascii="Times New Roman" w:hAnsi="Times New Roman" w:cs="Times New Roman"/>
                <w:color w:val="auto"/>
                <w:sz w:val="21"/>
                <w:lang w:eastAsia="zh-CN"/>
              </w:rPr>
            </w:pPr>
          </w:p>
        </w:tc>
        <w:tc>
          <w:tcPr>
            <w:tcW w:w="1113" w:type="pct"/>
            <w:vAlign w:val="center"/>
          </w:tcPr>
          <w:p w14:paraId="740D25DF">
            <w:pPr>
              <w:jc w:val="center"/>
              <w:rPr>
                <w:rFonts w:ascii="Times New Roman" w:hAnsi="Times New Roman" w:cs="Times New Roman"/>
                <w:bCs/>
                <w:color w:val="auto"/>
                <w:sz w:val="21"/>
              </w:rPr>
            </w:pPr>
            <w:r>
              <w:rPr>
                <w:rFonts w:hint="eastAsia" w:ascii="Times New Roman" w:hAnsi="Times New Roman" w:cs="Times New Roman"/>
                <w:bCs/>
                <w:color w:val="auto"/>
                <w:sz w:val="21"/>
                <w:lang w:eastAsia="zh-CN"/>
              </w:rPr>
              <w:t>6</w:t>
            </w:r>
            <w:r>
              <w:rPr>
                <w:rFonts w:ascii="Times New Roman" w:hAnsi="Times New Roman" w:cs="Times New Roman"/>
                <w:bCs/>
                <w:color w:val="auto"/>
                <w:sz w:val="21"/>
              </w:rPr>
              <w:t>.5~</w:t>
            </w:r>
            <w:r>
              <w:rPr>
                <w:rFonts w:hint="eastAsia" w:ascii="Times New Roman" w:hAnsi="Times New Roman" w:cs="Times New Roman"/>
                <w:bCs/>
                <w:color w:val="auto"/>
                <w:sz w:val="21"/>
                <w:lang w:eastAsia="zh-CN"/>
              </w:rPr>
              <w:t>7</w:t>
            </w:r>
            <w:r>
              <w:rPr>
                <w:rFonts w:ascii="Times New Roman" w:hAnsi="Times New Roman" w:cs="Times New Roman"/>
                <w:bCs/>
                <w:color w:val="auto"/>
                <w:sz w:val="21"/>
              </w:rPr>
              <w:t>.5</w:t>
            </w:r>
          </w:p>
        </w:tc>
        <w:tc>
          <w:tcPr>
            <w:tcW w:w="934" w:type="pct"/>
            <w:vAlign w:val="center"/>
          </w:tcPr>
          <w:p w14:paraId="48B1272E">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4056BBD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792" w:type="pct"/>
            <w:vAlign w:val="center"/>
          </w:tcPr>
          <w:p w14:paraId="56E8A66F">
            <w:pPr>
              <w:jc w:val="center"/>
              <w:rPr>
                <w:rFonts w:ascii="Times New Roman" w:hAnsi="Times New Roman" w:cs="Times New Roman"/>
                <w:color w:val="auto"/>
                <w:sz w:val="21"/>
              </w:rPr>
            </w:pPr>
            <w:r>
              <w:rPr>
                <w:rFonts w:ascii="Times New Roman" w:hAnsi="Times New Roman" w:cs="Times New Roman"/>
                <w:color w:val="auto"/>
                <w:sz w:val="21"/>
              </w:rPr>
              <w:t>镉</w:t>
            </w:r>
          </w:p>
        </w:tc>
        <w:tc>
          <w:tcPr>
            <w:tcW w:w="1161" w:type="pct"/>
            <w:vAlign w:val="center"/>
          </w:tcPr>
          <w:p w14:paraId="3645DCD2">
            <w:pPr>
              <w:jc w:val="center"/>
              <w:rPr>
                <w:rFonts w:ascii="Times New Roman" w:hAnsi="Times New Roman" w:cs="Times New Roman"/>
                <w:color w:val="auto"/>
                <w:sz w:val="21"/>
                <w:lang w:eastAsia="zh-CN"/>
              </w:rPr>
            </w:pPr>
          </w:p>
        </w:tc>
        <w:tc>
          <w:tcPr>
            <w:tcW w:w="1113" w:type="pct"/>
            <w:vAlign w:val="center"/>
          </w:tcPr>
          <w:p w14:paraId="31353EBB">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0.3</w:t>
            </w:r>
          </w:p>
        </w:tc>
        <w:tc>
          <w:tcPr>
            <w:tcW w:w="934" w:type="pct"/>
            <w:vAlign w:val="center"/>
          </w:tcPr>
          <w:p w14:paraId="395300E9">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0E0AA69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792" w:type="pct"/>
            <w:vAlign w:val="center"/>
          </w:tcPr>
          <w:p w14:paraId="5A720997">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汞</w:t>
            </w:r>
          </w:p>
        </w:tc>
        <w:tc>
          <w:tcPr>
            <w:tcW w:w="1161" w:type="pct"/>
            <w:vAlign w:val="center"/>
          </w:tcPr>
          <w:p w14:paraId="63E6CCCE">
            <w:pPr>
              <w:jc w:val="center"/>
              <w:rPr>
                <w:rFonts w:ascii="Times New Roman" w:hAnsi="Times New Roman" w:cs="Times New Roman"/>
                <w:color w:val="auto"/>
                <w:sz w:val="21"/>
                <w:lang w:eastAsia="zh-CN"/>
              </w:rPr>
            </w:pPr>
          </w:p>
        </w:tc>
        <w:tc>
          <w:tcPr>
            <w:tcW w:w="1113" w:type="pct"/>
            <w:vAlign w:val="center"/>
          </w:tcPr>
          <w:p w14:paraId="284BEAB5">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2.4</w:t>
            </w:r>
          </w:p>
        </w:tc>
        <w:tc>
          <w:tcPr>
            <w:tcW w:w="934" w:type="pct"/>
            <w:vAlign w:val="center"/>
          </w:tcPr>
          <w:p w14:paraId="2852DD90">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285102A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792" w:type="pct"/>
            <w:vAlign w:val="center"/>
          </w:tcPr>
          <w:p w14:paraId="49A5E16C">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砷</w:t>
            </w:r>
          </w:p>
        </w:tc>
        <w:tc>
          <w:tcPr>
            <w:tcW w:w="1161" w:type="pct"/>
            <w:vAlign w:val="center"/>
          </w:tcPr>
          <w:p w14:paraId="7BC5BBA8">
            <w:pPr>
              <w:jc w:val="center"/>
              <w:rPr>
                <w:rFonts w:ascii="Times New Roman" w:hAnsi="Times New Roman" w:cs="Times New Roman"/>
                <w:color w:val="auto"/>
                <w:sz w:val="21"/>
                <w:lang w:eastAsia="zh-CN"/>
              </w:rPr>
            </w:pPr>
          </w:p>
        </w:tc>
        <w:tc>
          <w:tcPr>
            <w:tcW w:w="1113" w:type="pct"/>
            <w:vAlign w:val="center"/>
          </w:tcPr>
          <w:p w14:paraId="6BBD0A8C">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30</w:t>
            </w:r>
          </w:p>
        </w:tc>
        <w:tc>
          <w:tcPr>
            <w:tcW w:w="934" w:type="pct"/>
            <w:vAlign w:val="center"/>
          </w:tcPr>
          <w:p w14:paraId="1F0545BC">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2698D08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792" w:type="pct"/>
            <w:vAlign w:val="center"/>
          </w:tcPr>
          <w:p w14:paraId="46E0AEB1">
            <w:pPr>
              <w:jc w:val="center"/>
              <w:rPr>
                <w:rFonts w:ascii="Times New Roman" w:hAnsi="Times New Roman" w:cs="Times New Roman"/>
                <w:color w:val="auto"/>
                <w:sz w:val="21"/>
              </w:rPr>
            </w:pPr>
            <w:r>
              <w:rPr>
                <w:rFonts w:ascii="Times New Roman" w:hAnsi="Times New Roman" w:cs="Times New Roman"/>
                <w:color w:val="auto"/>
                <w:sz w:val="21"/>
              </w:rPr>
              <w:t>铅</w:t>
            </w:r>
          </w:p>
        </w:tc>
        <w:tc>
          <w:tcPr>
            <w:tcW w:w="1161" w:type="pct"/>
            <w:vAlign w:val="center"/>
          </w:tcPr>
          <w:p w14:paraId="349AA234">
            <w:pPr>
              <w:jc w:val="center"/>
              <w:rPr>
                <w:rFonts w:ascii="Times New Roman" w:hAnsi="Times New Roman" w:cs="Times New Roman"/>
                <w:color w:val="auto"/>
                <w:sz w:val="21"/>
                <w:lang w:eastAsia="zh-CN"/>
              </w:rPr>
            </w:pPr>
          </w:p>
        </w:tc>
        <w:tc>
          <w:tcPr>
            <w:tcW w:w="1113" w:type="pct"/>
            <w:vAlign w:val="center"/>
          </w:tcPr>
          <w:p w14:paraId="2B4D7FEE">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120</w:t>
            </w:r>
          </w:p>
        </w:tc>
        <w:tc>
          <w:tcPr>
            <w:tcW w:w="934" w:type="pct"/>
            <w:vAlign w:val="center"/>
          </w:tcPr>
          <w:p w14:paraId="2528BAF3">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36F1D1C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792" w:type="pct"/>
            <w:vAlign w:val="center"/>
          </w:tcPr>
          <w:p w14:paraId="4F837845">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铬</w:t>
            </w:r>
          </w:p>
        </w:tc>
        <w:tc>
          <w:tcPr>
            <w:tcW w:w="1161" w:type="pct"/>
            <w:vAlign w:val="center"/>
          </w:tcPr>
          <w:p w14:paraId="01A9CAA2">
            <w:pPr>
              <w:jc w:val="center"/>
              <w:rPr>
                <w:rFonts w:ascii="Times New Roman" w:hAnsi="Times New Roman" w:cs="Times New Roman"/>
                <w:color w:val="auto"/>
                <w:sz w:val="21"/>
                <w:lang w:eastAsia="zh-CN"/>
              </w:rPr>
            </w:pPr>
          </w:p>
        </w:tc>
        <w:tc>
          <w:tcPr>
            <w:tcW w:w="1113" w:type="pct"/>
            <w:vAlign w:val="center"/>
          </w:tcPr>
          <w:p w14:paraId="69CF5AFA">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200</w:t>
            </w:r>
          </w:p>
        </w:tc>
        <w:tc>
          <w:tcPr>
            <w:tcW w:w="934" w:type="pct"/>
            <w:vAlign w:val="center"/>
          </w:tcPr>
          <w:p w14:paraId="4686A842">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3C02929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792" w:type="pct"/>
            <w:vAlign w:val="center"/>
          </w:tcPr>
          <w:p w14:paraId="760A9FE7">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铜</w:t>
            </w:r>
          </w:p>
        </w:tc>
        <w:tc>
          <w:tcPr>
            <w:tcW w:w="1161" w:type="pct"/>
            <w:vAlign w:val="center"/>
          </w:tcPr>
          <w:p w14:paraId="10A5597B">
            <w:pPr>
              <w:jc w:val="center"/>
              <w:rPr>
                <w:rFonts w:ascii="Times New Roman" w:hAnsi="Times New Roman" w:cs="Times New Roman"/>
                <w:color w:val="auto"/>
                <w:sz w:val="21"/>
                <w:lang w:eastAsia="zh-CN"/>
              </w:rPr>
            </w:pPr>
          </w:p>
        </w:tc>
        <w:tc>
          <w:tcPr>
            <w:tcW w:w="1113" w:type="pct"/>
            <w:vAlign w:val="center"/>
          </w:tcPr>
          <w:p w14:paraId="32668133">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100</w:t>
            </w:r>
          </w:p>
        </w:tc>
        <w:tc>
          <w:tcPr>
            <w:tcW w:w="934" w:type="pct"/>
            <w:vAlign w:val="center"/>
          </w:tcPr>
          <w:p w14:paraId="7BB3CE69">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1543693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792" w:type="pct"/>
            <w:vAlign w:val="center"/>
          </w:tcPr>
          <w:p w14:paraId="49BDD1C4">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镍</w:t>
            </w:r>
          </w:p>
        </w:tc>
        <w:tc>
          <w:tcPr>
            <w:tcW w:w="1161" w:type="pct"/>
            <w:vAlign w:val="center"/>
          </w:tcPr>
          <w:p w14:paraId="1225272B">
            <w:pPr>
              <w:jc w:val="center"/>
              <w:rPr>
                <w:rFonts w:ascii="Times New Roman" w:hAnsi="Times New Roman" w:cs="Times New Roman"/>
                <w:color w:val="auto"/>
                <w:sz w:val="21"/>
                <w:lang w:eastAsia="zh-CN"/>
              </w:rPr>
            </w:pPr>
          </w:p>
        </w:tc>
        <w:tc>
          <w:tcPr>
            <w:tcW w:w="1113" w:type="pct"/>
            <w:vAlign w:val="center"/>
          </w:tcPr>
          <w:p w14:paraId="365C63BB">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70</w:t>
            </w:r>
          </w:p>
        </w:tc>
        <w:tc>
          <w:tcPr>
            <w:tcW w:w="934" w:type="pct"/>
            <w:vAlign w:val="center"/>
          </w:tcPr>
          <w:p w14:paraId="472944DB">
            <w:pPr>
              <w:jc w:val="center"/>
              <w:rPr>
                <w:rFonts w:ascii="Times New Roman" w:hAnsi="Times New Roman" w:cs="Times New Roman"/>
                <w:color w:val="auto"/>
                <w:sz w:val="21"/>
              </w:rPr>
            </w:pPr>
            <w:r>
              <w:rPr>
                <w:rFonts w:ascii="Times New Roman" w:hAnsi="Times New Roman" w:cs="Times New Roman"/>
                <w:color w:val="auto"/>
                <w:sz w:val="21"/>
              </w:rPr>
              <w:t>达标</w:t>
            </w:r>
          </w:p>
        </w:tc>
      </w:tr>
      <w:tr w14:paraId="508C4D2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792" w:type="pct"/>
            <w:vAlign w:val="center"/>
          </w:tcPr>
          <w:p w14:paraId="56282CC9">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锌</w:t>
            </w:r>
          </w:p>
        </w:tc>
        <w:tc>
          <w:tcPr>
            <w:tcW w:w="1161" w:type="pct"/>
            <w:vAlign w:val="center"/>
          </w:tcPr>
          <w:p w14:paraId="5E4AF1A3">
            <w:pPr>
              <w:jc w:val="center"/>
              <w:rPr>
                <w:rFonts w:ascii="Times New Roman" w:hAnsi="Times New Roman" w:cs="Times New Roman"/>
                <w:color w:val="auto"/>
                <w:sz w:val="21"/>
                <w:lang w:eastAsia="zh-CN"/>
              </w:rPr>
            </w:pPr>
          </w:p>
        </w:tc>
        <w:tc>
          <w:tcPr>
            <w:tcW w:w="1113" w:type="pct"/>
            <w:vAlign w:val="center"/>
          </w:tcPr>
          <w:p w14:paraId="7C24D327">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200</w:t>
            </w:r>
          </w:p>
        </w:tc>
        <w:tc>
          <w:tcPr>
            <w:tcW w:w="934" w:type="pct"/>
            <w:vAlign w:val="center"/>
          </w:tcPr>
          <w:p w14:paraId="50726B54">
            <w:pPr>
              <w:jc w:val="center"/>
              <w:rPr>
                <w:rFonts w:ascii="Times New Roman" w:hAnsi="Times New Roman" w:cs="Times New Roman"/>
                <w:color w:val="auto"/>
                <w:sz w:val="21"/>
              </w:rPr>
            </w:pPr>
            <w:r>
              <w:rPr>
                <w:rFonts w:ascii="Times New Roman" w:hAnsi="Times New Roman" w:cs="Times New Roman"/>
                <w:color w:val="auto"/>
                <w:sz w:val="21"/>
              </w:rPr>
              <w:t>达标</w:t>
            </w:r>
          </w:p>
        </w:tc>
      </w:tr>
    </w:tbl>
    <w:p w14:paraId="495B49F8">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根据监测</w:t>
      </w:r>
      <w:r>
        <w:rPr>
          <w:rFonts w:hint="eastAsia" w:ascii="Times New Roman" w:hAnsi="Times New Roman" w:cs="Times New Roman"/>
          <w:color w:val="auto"/>
          <w:szCs w:val="24"/>
          <w:lang w:eastAsia="zh-CN"/>
        </w:rPr>
        <w:t>及评价</w:t>
      </w:r>
      <w:r>
        <w:rPr>
          <w:rFonts w:ascii="Times New Roman" w:hAnsi="Times New Roman" w:cs="Times New Roman"/>
          <w:color w:val="auto"/>
          <w:szCs w:val="24"/>
          <w:lang w:eastAsia="zh-CN"/>
        </w:rPr>
        <w:t>结果可知，占地范围内和占地范围外</w:t>
      </w:r>
      <w:r>
        <w:rPr>
          <w:rFonts w:hint="eastAsia" w:ascii="Times New Roman" w:hAnsi="Times New Roman" w:cs="Times New Roman"/>
          <w:color w:val="auto"/>
          <w:szCs w:val="24"/>
          <w:lang w:eastAsia="zh-CN"/>
        </w:rPr>
        <w:t>建设用地</w:t>
      </w:r>
      <w:r>
        <w:rPr>
          <w:rFonts w:ascii="Times New Roman" w:hAnsi="Times New Roman" w:cs="Times New Roman"/>
          <w:color w:val="auto"/>
          <w:szCs w:val="24"/>
          <w:lang w:eastAsia="zh-CN"/>
        </w:rPr>
        <w:t>监测点位各监测因子监测结果均可以满足《土壤环境质量 建设用地土壤污染风险管控标准（试行）》</w:t>
      </w:r>
      <w:r>
        <w:fldChar w:fldCharType="begin"/>
      </w:r>
      <w:r>
        <w:instrText xml:space="preserve"> HYPERLINK "http://kjs.mep.gov.cn/hjbhbz/bzwb/trhj/trhjzlbz/201807/t20180703_446027.shtml" </w:instrText>
      </w:r>
      <w:r>
        <w:fldChar w:fldCharType="separate"/>
      </w:r>
      <w:r>
        <w:rPr>
          <w:rFonts w:ascii="Times New Roman" w:hAnsi="Times New Roman" w:cs="Times New Roman"/>
          <w:color w:val="auto"/>
          <w:szCs w:val="24"/>
          <w:lang w:eastAsia="zh-CN"/>
        </w:rPr>
        <w:t>（GB36600-2018）</w:t>
      </w:r>
      <w:r>
        <w:rPr>
          <w:rFonts w:ascii="Times New Roman" w:hAnsi="Times New Roman" w:cs="Times New Roman"/>
          <w:color w:val="auto"/>
          <w:szCs w:val="24"/>
          <w:lang w:eastAsia="zh-CN"/>
        </w:rPr>
        <w:fldChar w:fldCharType="end"/>
      </w:r>
      <w:r>
        <w:rPr>
          <w:rFonts w:hint="eastAsia" w:ascii="Times New Roman" w:hAnsi="Times New Roman" w:cs="Times New Roman"/>
          <w:color w:val="auto"/>
          <w:szCs w:val="24"/>
          <w:lang w:eastAsia="zh-CN"/>
        </w:rPr>
        <w:t>第二类</w:t>
      </w:r>
      <w:r>
        <w:rPr>
          <w:rFonts w:ascii="Times New Roman" w:hAnsi="Times New Roman" w:cs="Times New Roman"/>
          <w:color w:val="auto"/>
          <w:szCs w:val="24"/>
          <w:lang w:eastAsia="zh-CN"/>
        </w:rPr>
        <w:t>用地筛选值</w:t>
      </w:r>
      <w:r>
        <w:rPr>
          <w:rFonts w:hint="eastAsia" w:ascii="Times New Roman" w:hAnsi="Times New Roman" w:cs="Times New Roman"/>
          <w:color w:val="auto"/>
          <w:szCs w:val="24"/>
          <w:lang w:eastAsia="zh-CN"/>
        </w:rPr>
        <w:t>；大柏村土壤环境</w:t>
      </w:r>
      <w:r>
        <w:rPr>
          <w:rFonts w:ascii="Times New Roman" w:hAnsi="Times New Roman" w:cs="Times New Roman"/>
          <w:color w:val="auto"/>
          <w:szCs w:val="24"/>
          <w:lang w:eastAsia="zh-CN"/>
        </w:rPr>
        <w:t>满足《土壤环境质量 建设用地土壤污染风险管控标准（试行）》</w:t>
      </w:r>
      <w:r>
        <w:fldChar w:fldCharType="begin"/>
      </w:r>
      <w:r>
        <w:instrText xml:space="preserve"> HYPERLINK "http://kjs.mep.gov.cn/hjbhbz/bzwb/trhj/trhjzlbz/201807/t20180703_446027.shtml" </w:instrText>
      </w:r>
      <w:r>
        <w:fldChar w:fldCharType="separate"/>
      </w:r>
      <w:r>
        <w:rPr>
          <w:rFonts w:ascii="Times New Roman" w:hAnsi="Times New Roman" w:cs="Times New Roman"/>
          <w:color w:val="auto"/>
          <w:szCs w:val="24"/>
          <w:lang w:eastAsia="zh-CN"/>
        </w:rPr>
        <w:t>（GB36600-2018）</w:t>
      </w:r>
      <w:r>
        <w:rPr>
          <w:rFonts w:ascii="Times New Roman" w:hAnsi="Times New Roman" w:cs="Times New Roman"/>
          <w:color w:val="auto"/>
          <w:szCs w:val="24"/>
          <w:lang w:eastAsia="zh-CN"/>
        </w:rPr>
        <w:fldChar w:fldCharType="end"/>
      </w:r>
      <w:r>
        <w:rPr>
          <w:rFonts w:hint="eastAsia" w:ascii="Times New Roman" w:hAnsi="Times New Roman" w:cs="Times New Roman"/>
          <w:color w:val="auto"/>
          <w:szCs w:val="24"/>
          <w:lang w:eastAsia="zh-CN"/>
        </w:rPr>
        <w:t>第一类</w:t>
      </w:r>
      <w:r>
        <w:rPr>
          <w:rFonts w:ascii="Times New Roman" w:hAnsi="Times New Roman" w:cs="Times New Roman"/>
          <w:color w:val="auto"/>
          <w:szCs w:val="24"/>
          <w:lang w:eastAsia="zh-CN"/>
        </w:rPr>
        <w:t>用地筛选值</w:t>
      </w:r>
      <w:r>
        <w:rPr>
          <w:rFonts w:hint="eastAsia" w:ascii="Times New Roman" w:hAnsi="Times New Roman" w:cs="Times New Roman"/>
          <w:color w:val="auto"/>
          <w:szCs w:val="24"/>
          <w:lang w:eastAsia="zh-CN"/>
        </w:rPr>
        <w:t>；占地范围外农用地</w:t>
      </w:r>
      <w:r>
        <w:rPr>
          <w:rFonts w:hint="eastAsia" w:ascii="Times New Roman" w:hAnsi="Times New Roman" w:eastAsia="新宋体" w:cs="Times New Roman"/>
          <w:color w:val="auto"/>
          <w:szCs w:val="24"/>
          <w:lang w:eastAsia="zh-CN"/>
        </w:rPr>
        <w:t>土壤环境满足《土壤环境质量农用地土壤污染风险管控标准（试行）》（GB15618-2018）中筛选值标准</w:t>
      </w:r>
      <w:r>
        <w:rPr>
          <w:rFonts w:ascii="Times New Roman" w:hAnsi="Times New Roman" w:cs="Times New Roman"/>
          <w:color w:val="auto"/>
          <w:szCs w:val="24"/>
          <w:lang w:eastAsia="zh-CN"/>
        </w:rPr>
        <w:t>。</w:t>
      </w:r>
    </w:p>
    <w:p w14:paraId="4E319239">
      <w:pPr>
        <w:widowControl w:val="0"/>
        <w:spacing w:line="360" w:lineRule="auto"/>
        <w:ind w:firstLine="480"/>
        <w:rPr>
          <w:rFonts w:ascii="Times New Roman" w:hAnsi="Times New Roman" w:cs="Times New Roman"/>
          <w:color w:val="auto"/>
          <w:szCs w:val="24"/>
          <w:lang w:eastAsia="zh-CN"/>
        </w:rPr>
        <w:sectPr>
          <w:pgSz w:w="11906" w:h="16838"/>
          <w:pgMar w:top="1440" w:right="1080" w:bottom="1440" w:left="1080" w:header="851" w:footer="992" w:gutter="0"/>
          <w:cols w:space="720" w:num="1"/>
          <w:docGrid w:type="lines" w:linePitch="312" w:charSpace="0"/>
        </w:sectPr>
      </w:pPr>
    </w:p>
    <w:p w14:paraId="5EC37A75">
      <w:pPr>
        <w:widowControl w:val="0"/>
        <w:spacing w:line="360" w:lineRule="auto"/>
        <w:jc w:val="center"/>
        <w:outlineLvl w:val="0"/>
        <w:rPr>
          <w:rFonts w:ascii="Times New Roman" w:hAnsi="Times New Roman" w:cs="Times New Roman"/>
          <w:b/>
          <w:bCs/>
          <w:color w:val="auto"/>
          <w:sz w:val="32"/>
          <w:szCs w:val="24"/>
          <w:lang w:eastAsia="zh-CN"/>
        </w:rPr>
      </w:pPr>
      <w:bookmarkStart w:id="1322" w:name="_Toc237508318"/>
      <w:r>
        <w:rPr>
          <w:rFonts w:ascii="Times New Roman" w:hAnsi="Times New Roman" w:cs="Times New Roman"/>
          <w:b/>
          <w:bCs/>
          <w:color w:val="auto"/>
          <w:sz w:val="32"/>
          <w:szCs w:val="24"/>
          <w:lang w:eastAsia="zh-CN"/>
        </w:rPr>
        <w:t>6 环境影响预测与评价</w:t>
      </w:r>
      <w:bookmarkEnd w:id="1322"/>
    </w:p>
    <w:p w14:paraId="0C3DCDF9">
      <w:pPr>
        <w:spacing w:line="360" w:lineRule="auto"/>
        <w:ind w:firstLine="562"/>
        <w:rPr>
          <w:rFonts w:ascii="Times New Roman" w:hAnsi="Times New Roman" w:cs="Times New Roman"/>
          <w:b/>
          <w:bCs/>
          <w:color w:val="auto"/>
          <w:sz w:val="28"/>
          <w:szCs w:val="22"/>
          <w:lang w:eastAsia="zh-CN"/>
        </w:rPr>
      </w:pPr>
    </w:p>
    <w:p w14:paraId="3A137969">
      <w:pPr>
        <w:spacing w:line="360" w:lineRule="auto"/>
        <w:ind w:firstLine="562"/>
        <w:jc w:val="both"/>
        <w:outlineLvl w:val="1"/>
        <w:rPr>
          <w:rFonts w:ascii="Times New Roman" w:hAnsi="Times New Roman" w:cs="Times New Roman"/>
          <w:b/>
          <w:bCs/>
          <w:color w:val="auto"/>
          <w:sz w:val="28"/>
          <w:szCs w:val="22"/>
          <w:lang w:eastAsia="zh-CN"/>
        </w:rPr>
      </w:pPr>
      <w:bookmarkStart w:id="1323" w:name="_Toc237508319"/>
      <w:r>
        <w:rPr>
          <w:rFonts w:ascii="Times New Roman" w:hAnsi="Times New Roman" w:cs="Times New Roman"/>
          <w:b/>
          <w:bCs/>
          <w:color w:val="auto"/>
          <w:sz w:val="28"/>
          <w:szCs w:val="22"/>
          <w:lang w:eastAsia="zh-CN"/>
        </w:rPr>
        <w:t>6.1 施工期环境影响分析</w:t>
      </w:r>
      <w:bookmarkEnd w:id="1323"/>
    </w:p>
    <w:p w14:paraId="18259494">
      <w:pPr>
        <w:spacing w:line="360" w:lineRule="auto"/>
        <w:ind w:firstLine="482"/>
        <w:jc w:val="both"/>
        <w:outlineLvl w:val="2"/>
        <w:rPr>
          <w:rFonts w:ascii="Times New Roman" w:hAnsi="Times New Roman" w:cs="Times New Roman"/>
          <w:b/>
          <w:bCs/>
          <w:color w:val="auto"/>
          <w:lang w:eastAsia="zh-CN"/>
        </w:rPr>
      </w:pPr>
      <w:bookmarkStart w:id="1324" w:name="_Toc225784085"/>
      <w:bookmarkStart w:id="1325" w:name="_Toc176513037"/>
      <w:bookmarkStart w:id="1326" w:name="_Toc204448495"/>
      <w:bookmarkStart w:id="1327" w:name="_Toc218784310"/>
      <w:bookmarkStart w:id="1328" w:name="_Toc173740306"/>
      <w:bookmarkStart w:id="1329" w:name="_Toc178602377"/>
      <w:bookmarkStart w:id="1330" w:name="_Toc236641338"/>
      <w:bookmarkStart w:id="1331" w:name="_Toc221900867"/>
      <w:bookmarkStart w:id="1332" w:name="_Toc175164301"/>
      <w:bookmarkStart w:id="1333" w:name="_Toc236641855"/>
      <w:bookmarkStart w:id="1334" w:name="_Toc203927029"/>
      <w:bookmarkStart w:id="1335" w:name="_Toc217662700"/>
      <w:bookmarkStart w:id="1336" w:name="_Toc173743410"/>
      <w:bookmarkStart w:id="1337" w:name="_Toc204515230"/>
      <w:bookmarkStart w:id="1338" w:name="_Toc231828607"/>
      <w:bookmarkStart w:id="1339" w:name="_Toc224674724"/>
      <w:bookmarkStart w:id="1340" w:name="_Toc172555674"/>
      <w:bookmarkStart w:id="1341" w:name="_Toc237508320"/>
      <w:bookmarkStart w:id="1342" w:name="_Toc223425085"/>
      <w:r>
        <w:rPr>
          <w:rFonts w:ascii="Times New Roman" w:hAnsi="Times New Roman" w:cs="Times New Roman"/>
          <w:b/>
          <w:bCs/>
          <w:color w:val="auto"/>
          <w:lang w:eastAsia="zh-CN"/>
        </w:rPr>
        <w:t>6.1.1 施工期大气环境影响及污染防治措施</w:t>
      </w:r>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p>
    <w:p w14:paraId="74C1A6A9">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1、施工扬尘</w:t>
      </w:r>
    </w:p>
    <w:p w14:paraId="4423AABD">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施工过程中大气污染主要来自于施工场地的扬尘，施工扬尘的产生与影响是有时间性的，它随着施工的结束而自行消失。在整个施工期，产生扬尘的作业有土地平整、基础开挖、回填、道路浇注、建材运输、露天堆放、装卸和搅拌等过程，如遇干旱无雨季节，加上大风，施工扬尘将更严重。根据资料查阅，如果在施工期间对车辆行驶的路面实施洒水抑尘，每天洒水4～5次，可使扬尘减少70%左右。下表为施工场地洒水抑尘的试验结果，结果表明实施每天洒水4～5次进行抑尘，可有效地控制施工扬尘，可将TSP污染距离缩小到5～20m范围。</w:t>
      </w:r>
    </w:p>
    <w:p w14:paraId="2759EC8E">
      <w:pPr>
        <w:spacing w:line="360" w:lineRule="auto"/>
        <w:jc w:val="center"/>
        <w:rPr>
          <w:rFonts w:ascii="Times New Roman" w:hAnsi="Times New Roman" w:eastAsia="新宋体" w:cs="Times New Roman"/>
          <w:b/>
          <w:color w:val="auto"/>
          <w:lang w:eastAsia="zh-CN"/>
        </w:rPr>
      </w:pPr>
      <w:r>
        <w:rPr>
          <w:rFonts w:ascii="Times New Roman" w:hAnsi="Times New Roman" w:eastAsia="新宋体" w:cs="Times New Roman"/>
          <w:b/>
          <w:color w:val="auto"/>
          <w:lang w:eastAsia="zh-CN"/>
        </w:rPr>
        <w:t>表6.1-1 施工场地洒水抑尘试验结果</w:t>
      </w:r>
    </w:p>
    <w:tbl>
      <w:tblPr>
        <w:tblStyle w:val="35"/>
        <w:tblW w:w="4998"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622"/>
        <w:gridCol w:w="1624"/>
        <w:gridCol w:w="1622"/>
        <w:gridCol w:w="1626"/>
        <w:gridCol w:w="1626"/>
        <w:gridCol w:w="1622"/>
      </w:tblGrid>
      <w:tr w14:paraId="7DC7CEB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665" w:type="pct"/>
            <w:gridSpan w:val="2"/>
            <w:vAlign w:val="center"/>
          </w:tcPr>
          <w:p w14:paraId="3FD4B989">
            <w:pPr>
              <w:jc w:val="center"/>
              <w:rPr>
                <w:rFonts w:ascii="Times New Roman" w:hAnsi="Times New Roman" w:eastAsia="新宋体" w:cs="Times New Roman"/>
                <w:b/>
                <w:color w:val="auto"/>
                <w:sz w:val="21"/>
              </w:rPr>
            </w:pPr>
            <w:r>
              <w:rPr>
                <w:rFonts w:ascii="Times New Roman" w:hAnsi="Times New Roman" w:eastAsia="新宋体" w:cs="Times New Roman"/>
                <w:b/>
                <w:color w:val="auto"/>
                <w:sz w:val="21"/>
              </w:rPr>
              <w:t>距离（米）</w:t>
            </w:r>
          </w:p>
        </w:tc>
        <w:tc>
          <w:tcPr>
            <w:tcW w:w="832" w:type="pct"/>
            <w:vAlign w:val="center"/>
          </w:tcPr>
          <w:p w14:paraId="5EDE8E37">
            <w:pPr>
              <w:jc w:val="center"/>
              <w:rPr>
                <w:rFonts w:ascii="Times New Roman" w:hAnsi="Times New Roman" w:eastAsia="新宋体" w:cs="Times New Roman"/>
                <w:b/>
                <w:color w:val="auto"/>
                <w:sz w:val="21"/>
              </w:rPr>
            </w:pPr>
            <w:r>
              <w:rPr>
                <w:rFonts w:ascii="Times New Roman" w:hAnsi="Times New Roman" w:eastAsia="新宋体" w:cs="Times New Roman"/>
                <w:b/>
                <w:color w:val="auto"/>
                <w:sz w:val="21"/>
              </w:rPr>
              <w:t>5</w:t>
            </w:r>
          </w:p>
        </w:tc>
        <w:tc>
          <w:tcPr>
            <w:tcW w:w="834" w:type="pct"/>
            <w:vAlign w:val="center"/>
          </w:tcPr>
          <w:p w14:paraId="1B02BED5">
            <w:pPr>
              <w:jc w:val="center"/>
              <w:rPr>
                <w:rFonts w:ascii="Times New Roman" w:hAnsi="Times New Roman" w:eastAsia="新宋体" w:cs="Times New Roman"/>
                <w:b/>
                <w:color w:val="auto"/>
                <w:sz w:val="21"/>
              </w:rPr>
            </w:pPr>
            <w:r>
              <w:rPr>
                <w:rFonts w:ascii="Times New Roman" w:hAnsi="Times New Roman" w:eastAsia="新宋体" w:cs="Times New Roman"/>
                <w:b/>
                <w:color w:val="auto"/>
                <w:sz w:val="21"/>
              </w:rPr>
              <w:t>20</w:t>
            </w:r>
          </w:p>
        </w:tc>
        <w:tc>
          <w:tcPr>
            <w:tcW w:w="834" w:type="pct"/>
            <w:vAlign w:val="center"/>
          </w:tcPr>
          <w:p w14:paraId="535FA59A">
            <w:pPr>
              <w:jc w:val="center"/>
              <w:rPr>
                <w:rFonts w:ascii="Times New Roman" w:hAnsi="Times New Roman" w:eastAsia="新宋体" w:cs="Times New Roman"/>
                <w:b/>
                <w:color w:val="auto"/>
                <w:sz w:val="21"/>
              </w:rPr>
            </w:pPr>
            <w:r>
              <w:rPr>
                <w:rFonts w:ascii="Times New Roman" w:hAnsi="Times New Roman" w:eastAsia="新宋体" w:cs="Times New Roman"/>
                <w:b/>
                <w:color w:val="auto"/>
                <w:sz w:val="21"/>
              </w:rPr>
              <w:t>50</w:t>
            </w:r>
          </w:p>
        </w:tc>
        <w:tc>
          <w:tcPr>
            <w:tcW w:w="832" w:type="pct"/>
            <w:vAlign w:val="center"/>
          </w:tcPr>
          <w:p w14:paraId="1760F5F1">
            <w:pPr>
              <w:jc w:val="center"/>
              <w:rPr>
                <w:rFonts w:ascii="Times New Roman" w:hAnsi="Times New Roman" w:eastAsia="新宋体" w:cs="Times New Roman"/>
                <w:b/>
                <w:color w:val="auto"/>
                <w:sz w:val="21"/>
              </w:rPr>
            </w:pPr>
            <w:r>
              <w:rPr>
                <w:rFonts w:ascii="Times New Roman" w:hAnsi="Times New Roman" w:eastAsia="新宋体" w:cs="Times New Roman"/>
                <w:b/>
                <w:color w:val="auto"/>
                <w:sz w:val="21"/>
              </w:rPr>
              <w:t>100</w:t>
            </w:r>
          </w:p>
        </w:tc>
      </w:tr>
      <w:tr w14:paraId="2BAC85C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832" w:type="pct"/>
            <w:vMerge w:val="restart"/>
            <w:vAlign w:val="center"/>
          </w:tcPr>
          <w:p w14:paraId="7552ADE7">
            <w:pPr>
              <w:jc w:val="center"/>
              <w:rPr>
                <w:rFonts w:ascii="Times New Roman" w:hAnsi="Times New Roman" w:eastAsia="新宋体" w:cs="Times New Roman"/>
                <w:color w:val="auto"/>
                <w:sz w:val="21"/>
                <w:lang w:eastAsia="zh-CN"/>
              </w:rPr>
            </w:pPr>
            <w:r>
              <w:rPr>
                <w:rFonts w:ascii="Times New Roman" w:hAnsi="Times New Roman" w:eastAsia="新宋体" w:cs="Times New Roman"/>
                <w:color w:val="auto"/>
                <w:sz w:val="21"/>
                <w:lang w:eastAsia="zh-CN"/>
              </w:rPr>
              <w:t>TSP小时平均浓度（mg/m</w:t>
            </w:r>
            <w:r>
              <w:rPr>
                <w:rFonts w:ascii="Times New Roman" w:hAnsi="Times New Roman" w:eastAsia="新宋体" w:cs="Times New Roman"/>
                <w:color w:val="auto"/>
                <w:sz w:val="21"/>
                <w:vertAlign w:val="superscript"/>
                <w:lang w:eastAsia="zh-CN"/>
              </w:rPr>
              <w:t>3</w:t>
            </w:r>
            <w:r>
              <w:rPr>
                <w:rFonts w:ascii="Times New Roman" w:hAnsi="Times New Roman" w:eastAsia="新宋体" w:cs="Times New Roman"/>
                <w:color w:val="auto"/>
                <w:sz w:val="21"/>
                <w:lang w:eastAsia="zh-CN"/>
              </w:rPr>
              <w:t>）</w:t>
            </w:r>
          </w:p>
        </w:tc>
        <w:tc>
          <w:tcPr>
            <w:tcW w:w="833" w:type="pct"/>
            <w:vAlign w:val="center"/>
          </w:tcPr>
          <w:p w14:paraId="7FE66C54">
            <w:pPr>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不洒水</w:t>
            </w:r>
          </w:p>
        </w:tc>
        <w:tc>
          <w:tcPr>
            <w:tcW w:w="832" w:type="pct"/>
            <w:vAlign w:val="center"/>
          </w:tcPr>
          <w:p w14:paraId="45D6C4A2">
            <w:pPr>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6.76</w:t>
            </w:r>
          </w:p>
        </w:tc>
        <w:tc>
          <w:tcPr>
            <w:tcW w:w="834" w:type="pct"/>
            <w:vAlign w:val="center"/>
          </w:tcPr>
          <w:p w14:paraId="5B4246E7">
            <w:pPr>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1.93</w:t>
            </w:r>
          </w:p>
        </w:tc>
        <w:tc>
          <w:tcPr>
            <w:tcW w:w="834" w:type="pct"/>
            <w:vAlign w:val="center"/>
          </w:tcPr>
          <w:p w14:paraId="18A6F3C5">
            <w:pPr>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0.76</w:t>
            </w:r>
          </w:p>
        </w:tc>
        <w:tc>
          <w:tcPr>
            <w:tcW w:w="832" w:type="pct"/>
            <w:vAlign w:val="center"/>
          </w:tcPr>
          <w:p w14:paraId="57E29CF7">
            <w:pPr>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0.57</w:t>
            </w:r>
          </w:p>
        </w:tc>
      </w:tr>
      <w:tr w14:paraId="646C114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832" w:type="pct"/>
            <w:vMerge w:val="continue"/>
            <w:vAlign w:val="center"/>
          </w:tcPr>
          <w:p w14:paraId="1493DE4F">
            <w:pPr>
              <w:jc w:val="center"/>
              <w:rPr>
                <w:rFonts w:ascii="Times New Roman" w:hAnsi="Times New Roman" w:eastAsia="新宋体" w:cs="Times New Roman"/>
                <w:color w:val="auto"/>
                <w:sz w:val="21"/>
              </w:rPr>
            </w:pPr>
          </w:p>
        </w:tc>
        <w:tc>
          <w:tcPr>
            <w:tcW w:w="833" w:type="pct"/>
            <w:vAlign w:val="center"/>
          </w:tcPr>
          <w:p w14:paraId="07C44216">
            <w:pPr>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洒水</w:t>
            </w:r>
          </w:p>
        </w:tc>
        <w:tc>
          <w:tcPr>
            <w:tcW w:w="832" w:type="pct"/>
            <w:vAlign w:val="center"/>
          </w:tcPr>
          <w:p w14:paraId="0F28011D">
            <w:pPr>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1.01</w:t>
            </w:r>
          </w:p>
        </w:tc>
        <w:tc>
          <w:tcPr>
            <w:tcW w:w="834" w:type="pct"/>
            <w:vAlign w:val="center"/>
          </w:tcPr>
          <w:p w14:paraId="0CBF7514">
            <w:pPr>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0.7</w:t>
            </w:r>
          </w:p>
        </w:tc>
        <w:tc>
          <w:tcPr>
            <w:tcW w:w="834" w:type="pct"/>
            <w:vAlign w:val="center"/>
          </w:tcPr>
          <w:p w14:paraId="27FB34F1">
            <w:pPr>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0.34</w:t>
            </w:r>
          </w:p>
        </w:tc>
        <w:tc>
          <w:tcPr>
            <w:tcW w:w="832" w:type="pct"/>
            <w:vAlign w:val="center"/>
          </w:tcPr>
          <w:p w14:paraId="6B2ACFA0">
            <w:pPr>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0.3</w:t>
            </w:r>
          </w:p>
        </w:tc>
      </w:tr>
    </w:tbl>
    <w:p w14:paraId="20E0B1A2">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因此，限速行驶及保持路面清洁，同时适当洒水是减少汽车扬尘的有效手段。</w:t>
      </w:r>
    </w:p>
    <w:p w14:paraId="670B5496">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施工扬尘的另一种情况是露天堆场和裸露场地的风力扬尘。这类扬尘的主要特点是与风速和尘粒含水率有关，因此，禁止大风天气作业和减少建材的露天堆放、保证一定的含水率是抑制这类扬尘的有效手段。施工扬尘最大产生时间将出现在土方开挖阶段，由于该阶段裸露浮土较多，产尘量较大。物料沿路撒落或风吹起尘，在工程区内和道路上易带起场尘，污染环境。一旦遇到大风扬尘天气，项目周边环境将会受到扬尘影响。因此建设单位必须采取有效的抑尘措施，如施工场地洒水抑尘、配置工地细目滞尘防护网，采用商品混凝土，做到施工现场及场外道路泥土及时清理，减少二次扬尘。这些措施将降低扬尘量50～70%，可有效减少施工扬尘对环境的影响。</w:t>
      </w:r>
    </w:p>
    <w:p w14:paraId="38B8FC4C">
      <w:pPr>
        <w:widowControl w:val="0"/>
        <w:spacing w:line="360" w:lineRule="auto"/>
        <w:ind w:left="48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2、</w:t>
      </w:r>
      <w:r>
        <w:rPr>
          <w:rFonts w:ascii="Times New Roman" w:hAnsi="Times New Roman" w:cs="Times New Roman"/>
          <w:color w:val="auto"/>
          <w:szCs w:val="24"/>
          <w:lang w:eastAsia="zh-CN"/>
        </w:rPr>
        <w:t>燃油机械及运输车辆尾气</w:t>
      </w:r>
    </w:p>
    <w:p w14:paraId="2BB3C87A">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本项目施工阶段挖掘机、装载机等燃油机械运行将产生一定量燃油废气，考虑其排放量不大，对周边环境空气质量影响范围及程度较小。</w:t>
      </w:r>
    </w:p>
    <w:p w14:paraId="2B1EB422">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3</w:t>
      </w:r>
      <w:r>
        <w:rPr>
          <w:rFonts w:ascii="Times New Roman" w:hAnsi="Times New Roman" w:cs="Times New Roman"/>
          <w:color w:val="auto"/>
          <w:szCs w:val="24"/>
          <w:lang w:eastAsia="zh-CN"/>
        </w:rPr>
        <w:t>、施工大气污染防治措施</w:t>
      </w:r>
    </w:p>
    <w:p w14:paraId="53F13E96">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1）建设单位是建筑工程施工扬尘污染防治的责任人，明确扬尘污染防治责任并监督落实；将扬尘污染防治费用列入工程安全文明施工措施费，作为不可竞争费用列入工程成本，并在开工前及时足额支付给施工单位。</w:t>
      </w:r>
    </w:p>
    <w:p w14:paraId="68FAF035">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（2）施工单位依照合同约定，具体承担建筑工程施工扬尘的污染防治工作，施工总承包单位对分包单位的扬尘污染防治负总责。</w:t>
      </w:r>
    </w:p>
    <w:p w14:paraId="7DDE1AC9">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（3）监理单位对建筑工程施工扬尘污染防治工作负监理责任，具体负责监督施工单位粉尘污染防治措施建立、防治费用使用、防治工作责任落实等情况。</w:t>
      </w:r>
    </w:p>
    <w:p w14:paraId="4CB682AF">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（4）施工现场实行围挡封闭。主要路段施工现场围挡高度不得低于2.5米，一般路段施工现场围挡高度不得低于1.8米。围档底边应当封闭并设置防溢沉淀井，不得有泥浆外漏。</w:t>
      </w:r>
    </w:p>
    <w:p w14:paraId="10C0628C">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（5）施工现场出入口道路实施混凝土硬化并配备车辆冲洗设施。对驶出施工现场的机动车辆冲洗干净，方可上路。</w:t>
      </w:r>
    </w:p>
    <w:p w14:paraId="3F9148B6">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（6）施工现场内道路、加工区实施混凝土硬化。硬化后的地面，不得有浮土、积土，裸露场地应当采取覆盖或绿化措施。</w:t>
      </w:r>
    </w:p>
    <w:p w14:paraId="439F3C44">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（7）施工现场设置洒水降尘设施，安排专人定时洒水降尘。</w:t>
      </w:r>
    </w:p>
    <w:p w14:paraId="4ED7E7DA">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（8）施工现场土方开挖后尽快完成回填，不能及时回填的场地，采取覆盖等防尘措施；砂石等散体材料集中堆放并覆盖。</w:t>
      </w:r>
    </w:p>
    <w:p w14:paraId="4BE6664B">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9）渣土等建筑垃圾集中、分类堆放，严密遮盖，采用封闭式管道或装袋清运，严禁高处抛洒。需要运输、处理的，按照市、县（区）政府市容环境卫生行政主管部门规定的时间、线路和要求，清运到指定的场所处理。</w:t>
      </w:r>
    </w:p>
    <w:p w14:paraId="60EF2BC1">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（10）外脚手架应当设置悬挂密目式安全网封闭，并保持严密整洁。</w:t>
      </w:r>
    </w:p>
    <w:p w14:paraId="526E6327">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（11）施工现场禁止焚烧沥青、油毡、橡胶、塑料、皮革、垃圾以及其他产生有毒有害烟尘和恶臭气体的物质。</w:t>
      </w:r>
    </w:p>
    <w:p w14:paraId="6FDEB96A">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（12）施工现场使用商品混凝土和预拌砂浆，搅拌混凝土和砂浆采取封闭、降尘措施。</w:t>
      </w:r>
    </w:p>
    <w:p w14:paraId="4E7C0713">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（13）运进或运出工地的土方、砂石、建筑垃圾等易产生扬尘的材料，应封闭运输。</w:t>
      </w:r>
    </w:p>
    <w:p w14:paraId="07284F94">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14）拆除工程工地的围挡应当使用金属或硬质板材材料，严禁使用各类砌筑墙体；拆除作业实行持续加压洒水或者喷淋方式作业；拆除作业后，场地闲置1个月以上的，用地单位对拆除后的裸露地面采取绿化等防尘措施。</w:t>
      </w:r>
    </w:p>
    <w:p w14:paraId="308194EB">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（15）根据《安徽省重污染天气应急预案》启动Ⅲ级（黄色</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预警以上或气象预报风速达到五级以上时，不得进行土方挖填和转运、拆除、道路路面鼓风机吹灰等易产生扬尘的作业。施工单位扬尘治理应符合以上规定，并贯彻执行《安徽省大气污染防治行动计划实施方案》，可有效减少扬尘对周围空气环境质量的影响。总的来说，施工期扬尘造成的污染影响是局部和短期的，施工结束后就会消失。</w:t>
      </w:r>
    </w:p>
    <w:p w14:paraId="763ABF07">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依据《防治城市扬尘污染技术规范》（HJ T393-2007）、《安徽省重污染天气环境应急预案》、《安徽省建筑工程施工扬尘污染防治规定》并结合“安徽省生态环境厅、安徽省住房城乡建设厅关于印发《安徽省建筑工程施工和预拌混凝土生产扬尘污染防治标准（试行）》通知（皖环发[2019]17号）”的相关规定，按照“属地管理、分级负责，谁污染、谁治理，谁主管、谁负责”的原则，项目施工期大气污染防治主要措施详见下表。</w:t>
      </w:r>
    </w:p>
    <w:p w14:paraId="46BF7092">
      <w:pPr>
        <w:spacing w:line="360" w:lineRule="auto"/>
        <w:jc w:val="center"/>
        <w:rPr>
          <w:rFonts w:ascii="Times New Roman" w:hAnsi="Times New Roman" w:eastAsia="新宋体" w:cs="Times New Roman"/>
          <w:b/>
          <w:color w:val="auto"/>
          <w:lang w:eastAsia="zh-CN"/>
        </w:rPr>
      </w:pPr>
      <w:r>
        <w:rPr>
          <w:rFonts w:ascii="Times New Roman" w:hAnsi="Times New Roman" w:eastAsia="新宋体" w:cs="Times New Roman"/>
          <w:b/>
          <w:color w:val="auto"/>
          <w:lang w:eastAsia="zh-CN"/>
        </w:rPr>
        <w:t>表6.1-2 施工期大气污染防治措施一览表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250"/>
        <w:gridCol w:w="8496"/>
      </w:tblGrid>
      <w:tr w14:paraId="5678E85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41" w:type="pct"/>
            <w:vAlign w:val="center"/>
          </w:tcPr>
          <w:p w14:paraId="394E62C9">
            <w:pPr>
              <w:adjustRightInd w:val="0"/>
              <w:snapToGrid w:val="0"/>
              <w:jc w:val="center"/>
              <w:rPr>
                <w:rFonts w:ascii="Times New Roman" w:hAnsi="Times New Roman" w:eastAsia="新宋体" w:cs="Times New Roman"/>
                <w:b/>
                <w:bCs/>
                <w:color w:val="auto"/>
                <w:kern w:val="2"/>
                <w:sz w:val="21"/>
              </w:rPr>
            </w:pPr>
            <w:r>
              <w:rPr>
                <w:rFonts w:ascii="Times New Roman" w:hAnsi="Times New Roman" w:eastAsia="新宋体" w:cs="Times New Roman"/>
                <w:b/>
                <w:bCs/>
                <w:color w:val="auto"/>
                <w:sz w:val="21"/>
              </w:rPr>
              <w:t>控制措施</w:t>
            </w:r>
          </w:p>
        </w:tc>
        <w:tc>
          <w:tcPr>
            <w:tcW w:w="4358" w:type="pct"/>
            <w:vAlign w:val="center"/>
          </w:tcPr>
          <w:p w14:paraId="0F309961">
            <w:pPr>
              <w:adjustRightInd w:val="0"/>
              <w:snapToGrid w:val="0"/>
              <w:jc w:val="center"/>
              <w:rPr>
                <w:rFonts w:ascii="Times New Roman" w:hAnsi="Times New Roman" w:eastAsia="新宋体" w:cs="Times New Roman"/>
                <w:b/>
                <w:bCs/>
                <w:color w:val="auto"/>
                <w:kern w:val="2"/>
                <w:sz w:val="21"/>
              </w:rPr>
            </w:pPr>
            <w:r>
              <w:rPr>
                <w:rFonts w:ascii="Times New Roman" w:hAnsi="Times New Roman" w:eastAsia="新宋体" w:cs="Times New Roman"/>
                <w:b/>
                <w:bCs/>
                <w:color w:val="auto"/>
                <w:sz w:val="21"/>
              </w:rPr>
              <w:t>具体实施内容</w:t>
            </w:r>
          </w:p>
        </w:tc>
      </w:tr>
      <w:tr w14:paraId="3C3BE97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41" w:type="pct"/>
            <w:vAlign w:val="center"/>
          </w:tcPr>
          <w:p w14:paraId="77764418">
            <w:pPr>
              <w:adjustRightInd w:val="0"/>
              <w:snapToGrid w:val="0"/>
              <w:jc w:val="center"/>
              <w:rPr>
                <w:rFonts w:ascii="Times New Roman" w:hAnsi="Times New Roman" w:eastAsia="新宋体" w:cs="Times New Roman"/>
                <w:bCs/>
                <w:color w:val="auto"/>
                <w:kern w:val="2"/>
                <w:sz w:val="21"/>
              </w:rPr>
            </w:pPr>
            <w:r>
              <w:rPr>
                <w:rFonts w:ascii="Times New Roman" w:hAnsi="Times New Roman" w:eastAsia="新宋体" w:cs="Times New Roman"/>
                <w:bCs/>
                <w:color w:val="auto"/>
                <w:sz w:val="21"/>
              </w:rPr>
              <w:t>封闭围挡</w:t>
            </w:r>
          </w:p>
        </w:tc>
        <w:tc>
          <w:tcPr>
            <w:tcW w:w="4358" w:type="pct"/>
            <w:vAlign w:val="center"/>
          </w:tcPr>
          <w:p w14:paraId="0F1F3B8A">
            <w:pPr>
              <w:adjustRightInd w:val="0"/>
              <w:snapToGrid w:val="0"/>
              <w:jc w:val="center"/>
              <w:rPr>
                <w:rFonts w:ascii="Times New Roman" w:hAnsi="Times New Roman" w:eastAsia="新宋体" w:cs="Times New Roman"/>
                <w:bCs/>
                <w:color w:val="auto"/>
                <w:kern w:val="2"/>
                <w:sz w:val="21"/>
                <w:lang w:eastAsia="zh-CN"/>
              </w:rPr>
            </w:pPr>
            <w:r>
              <w:rPr>
                <w:rFonts w:ascii="Times New Roman" w:hAnsi="Times New Roman" w:eastAsia="新宋体" w:cs="Times New Roman"/>
                <w:color w:val="auto"/>
                <w:sz w:val="21"/>
                <w:lang w:eastAsia="zh-CN"/>
              </w:rPr>
              <w:t>主干道围挡2.5米，次干道围挡1.8米；围挡底端应设置防溢座，围挡之间及围挡与防溢座之间无缝隙。对于特殊地点无法设置围挡、围栏及防溢座的，应设警示牌。</w:t>
            </w:r>
          </w:p>
        </w:tc>
      </w:tr>
      <w:tr w14:paraId="45DE31F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41" w:type="pct"/>
            <w:vAlign w:val="center"/>
          </w:tcPr>
          <w:p w14:paraId="61791768">
            <w:pPr>
              <w:adjustRightInd w:val="0"/>
              <w:snapToGrid w:val="0"/>
              <w:jc w:val="center"/>
              <w:rPr>
                <w:rFonts w:ascii="Times New Roman" w:hAnsi="Times New Roman" w:eastAsia="新宋体" w:cs="Times New Roman"/>
                <w:bCs/>
                <w:color w:val="auto"/>
                <w:kern w:val="2"/>
                <w:sz w:val="21"/>
              </w:rPr>
            </w:pPr>
            <w:r>
              <w:rPr>
                <w:rFonts w:ascii="Times New Roman" w:hAnsi="Times New Roman" w:eastAsia="新宋体" w:cs="Times New Roman"/>
                <w:bCs/>
                <w:color w:val="auto"/>
                <w:sz w:val="21"/>
              </w:rPr>
              <w:t>施工工地道路硬化</w:t>
            </w:r>
          </w:p>
        </w:tc>
        <w:tc>
          <w:tcPr>
            <w:tcW w:w="4358" w:type="pct"/>
            <w:vAlign w:val="center"/>
          </w:tcPr>
          <w:p w14:paraId="7D83D70E">
            <w:pPr>
              <w:adjustRightInd w:val="0"/>
              <w:snapToGrid w:val="0"/>
              <w:jc w:val="center"/>
              <w:rPr>
                <w:rFonts w:ascii="Times New Roman" w:hAnsi="Times New Roman" w:eastAsia="新宋体" w:cs="Times New Roman"/>
                <w:bCs/>
                <w:color w:val="auto"/>
                <w:kern w:val="2"/>
                <w:sz w:val="21"/>
                <w:lang w:eastAsia="zh-CN"/>
              </w:rPr>
            </w:pPr>
            <w:r>
              <w:rPr>
                <w:rFonts w:ascii="Times New Roman" w:hAnsi="Times New Roman" w:eastAsia="新宋体" w:cs="Times New Roman"/>
                <w:color w:val="auto"/>
                <w:sz w:val="21"/>
                <w:lang w:eastAsia="zh-CN"/>
              </w:rPr>
              <w:t>工地出口应采取铺设水泥混凝土或铺设沥青混凝土，并辅以洒水、喷洒抑尘剂等有效的防尘措施，保持路面清洁，防止机动车扬尘。</w:t>
            </w:r>
          </w:p>
        </w:tc>
      </w:tr>
      <w:tr w14:paraId="771E5AE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41" w:type="pct"/>
            <w:vMerge w:val="restart"/>
            <w:vAlign w:val="center"/>
          </w:tcPr>
          <w:p w14:paraId="782FB090">
            <w:pPr>
              <w:adjustRightInd w:val="0"/>
              <w:snapToGrid w:val="0"/>
              <w:jc w:val="center"/>
              <w:rPr>
                <w:rFonts w:ascii="Times New Roman" w:hAnsi="Times New Roman" w:eastAsia="新宋体" w:cs="Times New Roman"/>
                <w:bCs/>
                <w:color w:val="auto"/>
                <w:kern w:val="2"/>
                <w:sz w:val="21"/>
              </w:rPr>
            </w:pPr>
            <w:r>
              <w:rPr>
                <w:rFonts w:ascii="Times New Roman" w:hAnsi="Times New Roman" w:eastAsia="新宋体" w:cs="Times New Roman"/>
                <w:bCs/>
                <w:color w:val="auto"/>
                <w:sz w:val="21"/>
              </w:rPr>
              <w:t>材料堆放遮盖措施</w:t>
            </w:r>
          </w:p>
        </w:tc>
        <w:tc>
          <w:tcPr>
            <w:tcW w:w="4358" w:type="pct"/>
            <w:vAlign w:val="center"/>
          </w:tcPr>
          <w:p w14:paraId="58956A5D">
            <w:pPr>
              <w:adjustRightInd w:val="0"/>
              <w:snapToGrid w:val="0"/>
              <w:jc w:val="center"/>
              <w:rPr>
                <w:rFonts w:ascii="Times New Roman" w:hAnsi="Times New Roman" w:eastAsia="新宋体" w:cs="Times New Roman"/>
                <w:bCs/>
                <w:color w:val="auto"/>
                <w:kern w:val="2"/>
                <w:sz w:val="21"/>
                <w:lang w:eastAsia="zh-CN"/>
              </w:rPr>
            </w:pPr>
            <w:r>
              <w:rPr>
                <w:rFonts w:ascii="Times New Roman" w:hAnsi="Times New Roman" w:eastAsia="新宋体" w:cs="Times New Roman"/>
                <w:bCs/>
                <w:color w:val="auto"/>
                <w:sz w:val="21"/>
                <w:lang w:eastAsia="zh-CN"/>
              </w:rPr>
              <w:t>A.施工工程中产生的弃料及其他建筑垃圾，应及时清运。若在工地内堆置超过一周的，则应采取覆盖防尘布、防尘网、定期喷洒抑尘剂、定期喷水压尘等有效防尘措施，防止风蚀起尘及水蚀迁移。</w:t>
            </w:r>
          </w:p>
        </w:tc>
      </w:tr>
      <w:tr w14:paraId="4A8F5ED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41" w:type="pct"/>
            <w:vMerge w:val="continue"/>
            <w:vAlign w:val="center"/>
          </w:tcPr>
          <w:p w14:paraId="6292706A">
            <w:pPr>
              <w:adjustRightInd w:val="0"/>
              <w:snapToGrid w:val="0"/>
              <w:jc w:val="center"/>
              <w:rPr>
                <w:rFonts w:ascii="Times New Roman" w:hAnsi="Times New Roman" w:eastAsia="新宋体" w:cs="Times New Roman"/>
                <w:bCs/>
                <w:color w:val="auto"/>
                <w:kern w:val="2"/>
                <w:sz w:val="21"/>
                <w:lang w:eastAsia="zh-CN"/>
              </w:rPr>
            </w:pPr>
          </w:p>
        </w:tc>
        <w:tc>
          <w:tcPr>
            <w:tcW w:w="4358" w:type="pct"/>
            <w:vAlign w:val="center"/>
          </w:tcPr>
          <w:p w14:paraId="26EF6F59">
            <w:pPr>
              <w:adjustRightInd w:val="0"/>
              <w:snapToGrid w:val="0"/>
              <w:jc w:val="center"/>
              <w:rPr>
                <w:rFonts w:ascii="Times New Roman" w:hAnsi="Times New Roman" w:eastAsia="新宋体" w:cs="Times New Roman"/>
                <w:bCs/>
                <w:color w:val="auto"/>
                <w:kern w:val="2"/>
                <w:sz w:val="21"/>
                <w:lang w:eastAsia="zh-CN"/>
              </w:rPr>
            </w:pPr>
            <w:r>
              <w:rPr>
                <w:rFonts w:ascii="Times New Roman" w:hAnsi="Times New Roman" w:eastAsia="新宋体" w:cs="Times New Roman"/>
                <w:bCs/>
                <w:color w:val="auto"/>
                <w:sz w:val="21"/>
                <w:lang w:eastAsia="zh-CN"/>
              </w:rPr>
              <w:t>B.施工过程中使用水泥、石灰、砂石、涂料、铺装材料等易产生扬尘的建筑材料，应采取：密闭存储、设置围挡或堆砌围墙、采用防尘布苫盖等防尘措施；</w:t>
            </w:r>
          </w:p>
        </w:tc>
      </w:tr>
      <w:tr w14:paraId="4A0D13A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41" w:type="pct"/>
            <w:vAlign w:val="center"/>
          </w:tcPr>
          <w:p w14:paraId="7935DF60">
            <w:pPr>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进出车辆</w:t>
            </w:r>
          </w:p>
          <w:p w14:paraId="22C76974">
            <w:pPr>
              <w:adjustRightInd w:val="0"/>
              <w:snapToGrid w:val="0"/>
              <w:jc w:val="center"/>
              <w:rPr>
                <w:rFonts w:ascii="Times New Roman" w:hAnsi="Times New Roman" w:eastAsia="新宋体" w:cs="Times New Roman"/>
                <w:bCs/>
                <w:color w:val="auto"/>
                <w:kern w:val="2"/>
                <w:sz w:val="21"/>
              </w:rPr>
            </w:pPr>
            <w:r>
              <w:rPr>
                <w:rFonts w:ascii="Times New Roman" w:hAnsi="Times New Roman" w:eastAsia="新宋体" w:cs="Times New Roman"/>
                <w:color w:val="auto"/>
                <w:sz w:val="21"/>
              </w:rPr>
              <w:t>冲洗措施</w:t>
            </w:r>
          </w:p>
        </w:tc>
        <w:tc>
          <w:tcPr>
            <w:tcW w:w="4358" w:type="pct"/>
            <w:vAlign w:val="center"/>
          </w:tcPr>
          <w:p w14:paraId="5725391E">
            <w:pPr>
              <w:adjustRightInd w:val="0"/>
              <w:snapToGrid w:val="0"/>
              <w:jc w:val="center"/>
              <w:rPr>
                <w:rFonts w:ascii="Times New Roman" w:hAnsi="Times New Roman" w:eastAsia="新宋体" w:cs="Times New Roman"/>
                <w:bCs/>
                <w:color w:val="auto"/>
                <w:sz w:val="21"/>
                <w:lang w:eastAsia="zh-CN"/>
              </w:rPr>
            </w:pPr>
            <w:r>
              <w:rPr>
                <w:rFonts w:ascii="Times New Roman" w:hAnsi="Times New Roman" w:eastAsia="新宋体" w:cs="Times New Roman"/>
                <w:color w:val="auto"/>
                <w:sz w:val="21"/>
                <w:lang w:eastAsia="zh-CN"/>
              </w:rPr>
              <w:t>设置洗车平台，完善排水设施，防止泥土粘带。施工期间，应在物料、渣土、垃圾运输车辆的出口内侧设置洗车平台，车辆驶离工地前，应在洗车平台清洗轮胎及车身，不得带泥上路。洗车平台四周应设置防溢座、废水导流渠、废水收集池、沉砂池及其它防治设施，收集洗车、施工以及降水过程中产生的废水和泥浆。工地出口处铺装道路上可见粘带泥土不得超过10米，并应及时清扫冲洗。</w:t>
            </w:r>
          </w:p>
        </w:tc>
      </w:tr>
      <w:tr w14:paraId="2F46072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41" w:type="pct"/>
            <w:vMerge w:val="restart"/>
            <w:vAlign w:val="center"/>
          </w:tcPr>
          <w:p w14:paraId="72B7F31D">
            <w:pPr>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工程立面</w:t>
            </w:r>
          </w:p>
          <w:p w14:paraId="15F68CA2">
            <w:pPr>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围护措施</w:t>
            </w:r>
          </w:p>
        </w:tc>
        <w:tc>
          <w:tcPr>
            <w:tcW w:w="4358" w:type="pct"/>
            <w:vAlign w:val="center"/>
          </w:tcPr>
          <w:p w14:paraId="2E7DE850">
            <w:pPr>
              <w:adjustRightInd w:val="0"/>
              <w:snapToGrid w:val="0"/>
              <w:jc w:val="center"/>
              <w:rPr>
                <w:rFonts w:ascii="Times New Roman" w:hAnsi="Times New Roman" w:eastAsia="新宋体" w:cs="Times New Roman"/>
                <w:color w:val="auto"/>
                <w:sz w:val="21"/>
                <w:lang w:eastAsia="zh-CN"/>
              </w:rPr>
            </w:pPr>
            <w:r>
              <w:rPr>
                <w:rFonts w:ascii="Times New Roman" w:hAnsi="Times New Roman" w:eastAsia="新宋体" w:cs="Times New Roman"/>
                <w:color w:val="auto"/>
                <w:sz w:val="21"/>
                <w:lang w:eastAsia="zh-CN"/>
              </w:rPr>
              <w:t>对于工地内裸露地面，应采取覆盖防尘布、防尘网或铺设礁渣、细石或其他功能相当的材料或植被绿化、晴朗天气视情况每周等时间隔洒水二至七次，扬尘严重时应加大洒水等防尘措施。</w:t>
            </w:r>
          </w:p>
        </w:tc>
      </w:tr>
      <w:tr w14:paraId="4195FDD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41" w:type="pct"/>
            <w:vMerge w:val="continue"/>
            <w:vAlign w:val="center"/>
          </w:tcPr>
          <w:p w14:paraId="2C8D1E96">
            <w:pPr>
              <w:adjustRightInd w:val="0"/>
              <w:snapToGrid w:val="0"/>
              <w:jc w:val="center"/>
              <w:rPr>
                <w:rFonts w:ascii="Times New Roman" w:hAnsi="Times New Roman" w:eastAsia="新宋体" w:cs="Times New Roman"/>
                <w:color w:val="auto"/>
                <w:sz w:val="21"/>
                <w:lang w:eastAsia="zh-CN"/>
              </w:rPr>
            </w:pPr>
          </w:p>
        </w:tc>
        <w:tc>
          <w:tcPr>
            <w:tcW w:w="4358" w:type="pct"/>
            <w:vAlign w:val="center"/>
          </w:tcPr>
          <w:p w14:paraId="3CDB3BE8">
            <w:pPr>
              <w:adjustRightInd w:val="0"/>
              <w:snapToGrid w:val="0"/>
              <w:jc w:val="center"/>
              <w:rPr>
                <w:rFonts w:ascii="Times New Roman" w:hAnsi="Times New Roman" w:eastAsia="新宋体" w:cs="Times New Roman"/>
                <w:color w:val="auto"/>
                <w:sz w:val="21"/>
                <w:lang w:eastAsia="zh-CN"/>
              </w:rPr>
            </w:pPr>
            <w:r>
              <w:rPr>
                <w:rFonts w:ascii="Times New Roman" w:hAnsi="Times New Roman" w:eastAsia="新宋体" w:cs="Times New Roman"/>
                <w:color w:val="auto"/>
                <w:sz w:val="21"/>
                <w:lang w:eastAsia="zh-CN"/>
              </w:rPr>
              <w:t>土方工程遇干燥、易起尘的土方工程作业时，应辅以洒水压尘，尽量缩短起尘操作时间。遇到四级或四级以上大风天气，停止土方作业，作业处覆以防尘网。</w:t>
            </w:r>
          </w:p>
        </w:tc>
      </w:tr>
      <w:tr w14:paraId="7C18CBD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41" w:type="pct"/>
            <w:vMerge w:val="restart"/>
            <w:vAlign w:val="center"/>
          </w:tcPr>
          <w:p w14:paraId="3237CA51">
            <w:pPr>
              <w:adjustRightInd w:val="0"/>
              <w:snapToGrid w:val="0"/>
              <w:jc w:val="center"/>
              <w:rPr>
                <w:rFonts w:ascii="Times New Roman" w:hAnsi="Times New Roman" w:eastAsia="新宋体" w:cs="Times New Roman"/>
                <w:bCs/>
                <w:color w:val="auto"/>
                <w:kern w:val="2"/>
                <w:sz w:val="21"/>
              </w:rPr>
            </w:pPr>
            <w:r>
              <w:rPr>
                <w:rFonts w:ascii="Times New Roman" w:hAnsi="Times New Roman" w:eastAsia="新宋体" w:cs="Times New Roman"/>
                <w:color w:val="auto"/>
                <w:sz w:val="21"/>
              </w:rPr>
              <w:t>建筑垃圾清运措施</w:t>
            </w:r>
          </w:p>
        </w:tc>
        <w:tc>
          <w:tcPr>
            <w:tcW w:w="4358" w:type="pct"/>
            <w:vAlign w:val="center"/>
          </w:tcPr>
          <w:p w14:paraId="21595B85">
            <w:pPr>
              <w:adjustRightInd w:val="0"/>
              <w:snapToGrid w:val="0"/>
              <w:jc w:val="center"/>
              <w:rPr>
                <w:rFonts w:ascii="Times New Roman" w:hAnsi="Times New Roman" w:eastAsia="新宋体" w:cs="Times New Roman"/>
                <w:bCs/>
                <w:color w:val="auto"/>
                <w:kern w:val="2"/>
                <w:sz w:val="21"/>
                <w:lang w:eastAsia="zh-CN"/>
              </w:rPr>
            </w:pPr>
            <w:r>
              <w:rPr>
                <w:rFonts w:ascii="Times New Roman" w:hAnsi="Times New Roman" w:eastAsia="新宋体" w:cs="Times New Roman"/>
                <w:bCs/>
                <w:color w:val="auto"/>
                <w:sz w:val="21"/>
                <w:lang w:eastAsia="zh-CN"/>
              </w:rPr>
              <w:t>A.进出工地的物料、垃圾运输车辆的防尘措施、运输路线和时间。进出工地的物料、垃圾运输车辆，应尽可能采用密闭车斗，并保证物料不遗撒外漏。若无密闭车斗，物料、垃圾的装载高度不得超过车辆槽帮上沿，车斗应用苫布遮盖严实。苫布边缘至少要遮住槽帮上沿以下15厘米，保证物料、垃圾等不露出。车辆应按照批准的路线和时间进行物料、垃圾的运输。</w:t>
            </w:r>
          </w:p>
        </w:tc>
      </w:tr>
      <w:tr w14:paraId="6EB840A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41" w:type="pct"/>
            <w:vMerge w:val="continue"/>
            <w:vAlign w:val="center"/>
          </w:tcPr>
          <w:p w14:paraId="5E50DEBB">
            <w:pPr>
              <w:adjustRightInd w:val="0"/>
              <w:snapToGrid w:val="0"/>
              <w:jc w:val="center"/>
              <w:rPr>
                <w:rFonts w:ascii="Times New Roman" w:hAnsi="Times New Roman" w:eastAsia="新宋体" w:cs="Times New Roman"/>
                <w:bCs/>
                <w:color w:val="auto"/>
                <w:kern w:val="2"/>
                <w:sz w:val="21"/>
                <w:lang w:eastAsia="zh-CN"/>
              </w:rPr>
            </w:pPr>
          </w:p>
        </w:tc>
        <w:tc>
          <w:tcPr>
            <w:tcW w:w="4358" w:type="pct"/>
            <w:vAlign w:val="center"/>
          </w:tcPr>
          <w:p w14:paraId="5F7D8DDD">
            <w:pPr>
              <w:adjustRightInd w:val="0"/>
              <w:snapToGrid w:val="0"/>
              <w:jc w:val="center"/>
              <w:rPr>
                <w:rFonts w:ascii="Times New Roman" w:hAnsi="Times New Roman" w:eastAsia="新宋体" w:cs="Times New Roman"/>
                <w:bCs/>
                <w:color w:val="auto"/>
                <w:kern w:val="2"/>
                <w:sz w:val="21"/>
                <w:lang w:eastAsia="zh-CN"/>
              </w:rPr>
            </w:pPr>
            <w:r>
              <w:rPr>
                <w:rFonts w:ascii="Times New Roman" w:hAnsi="Times New Roman" w:eastAsia="新宋体" w:cs="Times New Roman"/>
                <w:bCs/>
                <w:color w:val="auto"/>
                <w:sz w:val="21"/>
                <w:lang w:eastAsia="zh-CN"/>
              </w:rPr>
              <w:t>B.施工工地道路积尘清洁措施。可采用吸尘或水冲洗的方法清洁施工工地道路积尘，不得在未实施洒水等抑尘措施情况下进行直接清扫。</w:t>
            </w:r>
          </w:p>
        </w:tc>
      </w:tr>
      <w:tr w14:paraId="0E3EEB1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41" w:type="pct"/>
            <w:vMerge w:val="continue"/>
            <w:vAlign w:val="center"/>
          </w:tcPr>
          <w:p w14:paraId="2D946F87">
            <w:pPr>
              <w:adjustRightInd w:val="0"/>
              <w:snapToGrid w:val="0"/>
              <w:jc w:val="center"/>
              <w:rPr>
                <w:rFonts w:ascii="Times New Roman" w:hAnsi="Times New Roman" w:eastAsia="新宋体" w:cs="Times New Roman"/>
                <w:bCs/>
                <w:color w:val="auto"/>
                <w:kern w:val="2"/>
                <w:sz w:val="21"/>
                <w:lang w:eastAsia="zh-CN"/>
              </w:rPr>
            </w:pPr>
          </w:p>
        </w:tc>
        <w:tc>
          <w:tcPr>
            <w:tcW w:w="4358" w:type="pct"/>
            <w:vAlign w:val="center"/>
          </w:tcPr>
          <w:p w14:paraId="32875E71">
            <w:pPr>
              <w:adjustRightInd w:val="0"/>
              <w:snapToGrid w:val="0"/>
              <w:jc w:val="center"/>
              <w:rPr>
                <w:rFonts w:ascii="Times New Roman" w:hAnsi="Times New Roman" w:eastAsia="新宋体" w:cs="Times New Roman"/>
                <w:bCs/>
                <w:color w:val="auto"/>
                <w:kern w:val="2"/>
                <w:sz w:val="21"/>
                <w:lang w:eastAsia="zh-CN"/>
              </w:rPr>
            </w:pPr>
            <w:r>
              <w:rPr>
                <w:rFonts w:ascii="Times New Roman" w:hAnsi="Times New Roman" w:eastAsia="新宋体" w:cs="Times New Roman"/>
                <w:bCs/>
                <w:color w:val="auto"/>
                <w:sz w:val="21"/>
                <w:lang w:eastAsia="zh-CN"/>
              </w:rPr>
              <w:t>C.施工期间需使用混凝土时，可使用预拌商品混凝土或者进行密闭搅拌并配备防尘除尘装置，不得现场露天搅拌混凝土、消化石灰及拌石灰土等。尽量采用石材、木制等成品或半成品，实施装配式施工。</w:t>
            </w:r>
          </w:p>
        </w:tc>
      </w:tr>
      <w:tr w14:paraId="35C20BB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41" w:type="pct"/>
            <w:vMerge w:val="continue"/>
            <w:vAlign w:val="center"/>
          </w:tcPr>
          <w:p w14:paraId="1ECCD919">
            <w:pPr>
              <w:adjustRightInd w:val="0"/>
              <w:snapToGrid w:val="0"/>
              <w:jc w:val="center"/>
              <w:rPr>
                <w:rFonts w:ascii="Times New Roman" w:hAnsi="Times New Roman" w:eastAsia="新宋体" w:cs="Times New Roman"/>
                <w:bCs/>
                <w:color w:val="auto"/>
                <w:kern w:val="2"/>
                <w:sz w:val="21"/>
                <w:lang w:eastAsia="zh-CN"/>
              </w:rPr>
            </w:pPr>
          </w:p>
        </w:tc>
        <w:tc>
          <w:tcPr>
            <w:tcW w:w="4358" w:type="pct"/>
            <w:vAlign w:val="center"/>
          </w:tcPr>
          <w:p w14:paraId="33B15977">
            <w:pPr>
              <w:adjustRightInd w:val="0"/>
              <w:snapToGrid w:val="0"/>
              <w:jc w:val="center"/>
              <w:rPr>
                <w:rFonts w:ascii="Times New Roman" w:hAnsi="Times New Roman" w:eastAsia="新宋体" w:cs="Times New Roman"/>
                <w:bCs/>
                <w:color w:val="auto"/>
                <w:kern w:val="2"/>
                <w:sz w:val="21"/>
                <w:lang w:eastAsia="zh-CN"/>
              </w:rPr>
            </w:pPr>
            <w:r>
              <w:rPr>
                <w:rFonts w:ascii="Times New Roman" w:hAnsi="Times New Roman" w:eastAsia="新宋体" w:cs="Times New Roman"/>
                <w:color w:val="auto"/>
                <w:sz w:val="21"/>
                <w:lang w:eastAsia="zh-CN"/>
              </w:rPr>
              <w:t>D.施工期间，工地内从建筑上层将具有粉尘逸散性的物料、渣土或废弃物输送至地面或地下楼层时，可从电梯孔道、建筑内部管道或密闭输送管道输送，或者打包装框搬运，不得凌空抛撒。</w:t>
            </w:r>
          </w:p>
        </w:tc>
      </w:tr>
      <w:tr w14:paraId="796354B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41" w:type="pct"/>
            <w:vMerge w:val="continue"/>
            <w:vAlign w:val="center"/>
          </w:tcPr>
          <w:p w14:paraId="70482B04">
            <w:pPr>
              <w:adjustRightInd w:val="0"/>
              <w:snapToGrid w:val="0"/>
              <w:jc w:val="center"/>
              <w:rPr>
                <w:rFonts w:ascii="Times New Roman" w:hAnsi="Times New Roman" w:eastAsia="新宋体" w:cs="Times New Roman"/>
                <w:bCs/>
                <w:color w:val="auto"/>
                <w:kern w:val="2"/>
                <w:sz w:val="21"/>
                <w:lang w:eastAsia="zh-CN"/>
              </w:rPr>
            </w:pPr>
          </w:p>
        </w:tc>
        <w:tc>
          <w:tcPr>
            <w:tcW w:w="4358" w:type="pct"/>
            <w:vAlign w:val="center"/>
          </w:tcPr>
          <w:p w14:paraId="1BA739DB">
            <w:pPr>
              <w:adjustRightInd w:val="0"/>
              <w:snapToGrid w:val="0"/>
              <w:jc w:val="center"/>
              <w:rPr>
                <w:rFonts w:ascii="Times New Roman" w:hAnsi="Times New Roman" w:eastAsia="新宋体" w:cs="Times New Roman"/>
                <w:bCs/>
                <w:color w:val="auto"/>
                <w:kern w:val="2"/>
                <w:sz w:val="21"/>
                <w:lang w:eastAsia="zh-CN"/>
              </w:rPr>
            </w:pPr>
            <w:r>
              <w:rPr>
                <w:rFonts w:ascii="Times New Roman" w:hAnsi="Times New Roman" w:eastAsia="新宋体" w:cs="Times New Roman"/>
                <w:color w:val="auto"/>
                <w:sz w:val="21"/>
                <w:lang w:eastAsia="zh-CN"/>
              </w:rPr>
              <w:t>E.工地应有专人负责逸散性材料、垃圾、渣土、裸地等密闭、覆盖、洒水作业以及车辆清洗作业等，并记录扬尘控制措施的实施情况。</w:t>
            </w:r>
          </w:p>
        </w:tc>
      </w:tr>
      <w:tr w14:paraId="1204ADC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41" w:type="pct"/>
            <w:vMerge w:val="continue"/>
            <w:vAlign w:val="center"/>
          </w:tcPr>
          <w:p w14:paraId="72B58EE6">
            <w:pPr>
              <w:adjustRightInd w:val="0"/>
              <w:snapToGrid w:val="0"/>
              <w:jc w:val="center"/>
              <w:rPr>
                <w:rFonts w:ascii="Times New Roman" w:hAnsi="Times New Roman" w:eastAsia="新宋体" w:cs="Times New Roman"/>
                <w:bCs/>
                <w:color w:val="auto"/>
                <w:kern w:val="2"/>
                <w:sz w:val="21"/>
                <w:lang w:eastAsia="zh-CN"/>
              </w:rPr>
            </w:pPr>
          </w:p>
        </w:tc>
        <w:tc>
          <w:tcPr>
            <w:tcW w:w="4358" w:type="pct"/>
            <w:vAlign w:val="center"/>
          </w:tcPr>
          <w:p w14:paraId="3A38042B">
            <w:pPr>
              <w:adjustRightInd w:val="0"/>
              <w:snapToGrid w:val="0"/>
              <w:jc w:val="center"/>
              <w:rPr>
                <w:rFonts w:ascii="Times New Roman" w:hAnsi="Times New Roman" w:eastAsia="新宋体" w:cs="Times New Roman"/>
                <w:color w:val="auto"/>
                <w:sz w:val="21"/>
                <w:lang w:eastAsia="zh-CN"/>
              </w:rPr>
            </w:pPr>
            <w:r>
              <w:rPr>
                <w:rFonts w:ascii="Times New Roman" w:hAnsi="Times New Roman" w:eastAsia="新宋体" w:cs="Times New Roman"/>
                <w:color w:val="auto"/>
                <w:sz w:val="21"/>
                <w:lang w:eastAsia="zh-CN"/>
              </w:rPr>
              <w:t>F.施工单位保洁责任区的范围应根据施工扬尘影响情况确定，一般设在施工工地周围20米范围内。</w:t>
            </w:r>
          </w:p>
        </w:tc>
      </w:tr>
      <w:tr w14:paraId="5CB68CF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41" w:type="pct"/>
            <w:vMerge w:val="restart"/>
            <w:vAlign w:val="center"/>
          </w:tcPr>
          <w:p w14:paraId="588B820F">
            <w:pPr>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装修材料</w:t>
            </w:r>
          </w:p>
          <w:p w14:paraId="7B096053">
            <w:pPr>
              <w:adjustRightInd w:val="0"/>
              <w:snapToGrid w:val="0"/>
              <w:jc w:val="center"/>
              <w:rPr>
                <w:rFonts w:ascii="Times New Roman" w:hAnsi="Times New Roman" w:eastAsia="新宋体" w:cs="Times New Roman"/>
                <w:bCs/>
                <w:color w:val="auto"/>
                <w:kern w:val="2"/>
                <w:sz w:val="21"/>
              </w:rPr>
            </w:pPr>
            <w:r>
              <w:rPr>
                <w:rFonts w:ascii="Times New Roman" w:hAnsi="Times New Roman" w:eastAsia="新宋体" w:cs="Times New Roman"/>
                <w:color w:val="auto"/>
                <w:sz w:val="21"/>
              </w:rPr>
              <w:t>环保措施</w:t>
            </w:r>
          </w:p>
        </w:tc>
        <w:tc>
          <w:tcPr>
            <w:tcW w:w="4358" w:type="pct"/>
            <w:vAlign w:val="center"/>
          </w:tcPr>
          <w:p w14:paraId="31C1390E">
            <w:pPr>
              <w:adjustRightInd w:val="0"/>
              <w:snapToGrid w:val="0"/>
              <w:jc w:val="center"/>
              <w:rPr>
                <w:rFonts w:ascii="Times New Roman" w:hAnsi="Times New Roman" w:eastAsia="新宋体" w:cs="Times New Roman"/>
                <w:color w:val="auto"/>
                <w:sz w:val="21"/>
                <w:lang w:eastAsia="zh-CN"/>
              </w:rPr>
            </w:pPr>
            <w:r>
              <w:rPr>
                <w:rFonts w:ascii="Times New Roman" w:hAnsi="Times New Roman" w:eastAsia="新宋体" w:cs="Times New Roman"/>
                <w:color w:val="auto"/>
                <w:sz w:val="21"/>
                <w:lang w:eastAsia="zh-CN"/>
              </w:rPr>
              <w:t>A.施工阶段采用砂、石、砖、水泥、商品混凝土、预制构件和新型墙体材料等，其放射性指标限量应符合标准要求，涂料胶粘剂、阻燃剂、防水剂、防腐剂等总挥发性有机化合物（TVOC）和游离甲醛含量应符合规定的要求。</w:t>
            </w:r>
          </w:p>
        </w:tc>
      </w:tr>
      <w:tr w14:paraId="39F5E23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41" w:type="pct"/>
            <w:vMerge w:val="continue"/>
            <w:vAlign w:val="center"/>
          </w:tcPr>
          <w:p w14:paraId="624A2F53">
            <w:pPr>
              <w:adjustRightInd w:val="0"/>
              <w:snapToGrid w:val="0"/>
              <w:jc w:val="center"/>
              <w:rPr>
                <w:rFonts w:ascii="Times New Roman" w:hAnsi="Times New Roman" w:eastAsia="新宋体" w:cs="Times New Roman"/>
                <w:bCs/>
                <w:color w:val="auto"/>
                <w:kern w:val="2"/>
                <w:sz w:val="21"/>
                <w:lang w:eastAsia="zh-CN"/>
              </w:rPr>
            </w:pPr>
          </w:p>
        </w:tc>
        <w:tc>
          <w:tcPr>
            <w:tcW w:w="4358" w:type="pct"/>
            <w:vAlign w:val="center"/>
          </w:tcPr>
          <w:p w14:paraId="53067651">
            <w:pPr>
              <w:adjustRightInd w:val="0"/>
              <w:snapToGrid w:val="0"/>
              <w:jc w:val="center"/>
              <w:rPr>
                <w:rFonts w:ascii="Times New Roman" w:hAnsi="Times New Roman" w:eastAsia="新宋体" w:cs="Times New Roman"/>
                <w:color w:val="auto"/>
                <w:sz w:val="21"/>
                <w:lang w:eastAsia="zh-CN"/>
              </w:rPr>
            </w:pPr>
            <w:r>
              <w:rPr>
                <w:rFonts w:ascii="Times New Roman" w:hAnsi="Times New Roman" w:eastAsia="新宋体" w:cs="Times New Roman"/>
                <w:color w:val="auto"/>
                <w:sz w:val="21"/>
                <w:lang w:eastAsia="zh-CN"/>
              </w:rPr>
              <w:t>B.进行室内装修时，应采用无污染的“绿色装修材料”和“生态装修材料”，使其对人类的生存空间、生活环境无污染。</w:t>
            </w:r>
          </w:p>
        </w:tc>
      </w:tr>
      <w:tr w14:paraId="270CC6C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41" w:type="pct"/>
            <w:vAlign w:val="center"/>
          </w:tcPr>
          <w:p w14:paraId="28F4E559">
            <w:pPr>
              <w:adjustRightInd w:val="0"/>
              <w:snapToGrid w:val="0"/>
              <w:jc w:val="center"/>
              <w:rPr>
                <w:rFonts w:ascii="Times New Roman" w:hAnsi="Times New Roman" w:eastAsia="新宋体" w:cs="Times New Roman"/>
                <w:bCs/>
                <w:color w:val="auto"/>
                <w:kern w:val="2"/>
                <w:sz w:val="21"/>
                <w:lang w:eastAsia="zh-CN"/>
              </w:rPr>
            </w:pPr>
            <w:r>
              <w:rPr>
                <w:rFonts w:ascii="Times New Roman" w:hAnsi="Times New Roman" w:eastAsia="新宋体" w:cs="Times New Roman"/>
                <w:color w:val="auto"/>
                <w:sz w:val="21"/>
                <w:lang w:eastAsia="zh-CN"/>
              </w:rPr>
              <w:t>《国务院关于印发打赢蓝天保卫战三年行动计划的通知》</w:t>
            </w:r>
          </w:p>
        </w:tc>
        <w:tc>
          <w:tcPr>
            <w:tcW w:w="4358" w:type="pct"/>
            <w:vAlign w:val="center"/>
          </w:tcPr>
          <w:p w14:paraId="560F6118">
            <w:pPr>
              <w:adjustRightInd w:val="0"/>
              <w:snapToGrid w:val="0"/>
              <w:jc w:val="center"/>
              <w:rPr>
                <w:rFonts w:ascii="Times New Roman" w:hAnsi="Times New Roman" w:eastAsia="新宋体" w:cs="Times New Roman"/>
                <w:color w:val="auto"/>
                <w:sz w:val="21"/>
                <w:lang w:eastAsia="zh-CN"/>
              </w:rPr>
            </w:pPr>
            <w:r>
              <w:rPr>
                <w:rFonts w:ascii="Times New Roman" w:hAnsi="Times New Roman" w:eastAsia="新宋体" w:cs="Times New Roman"/>
                <w:color w:val="auto"/>
                <w:sz w:val="21"/>
                <w:lang w:eastAsia="zh-CN"/>
              </w:rPr>
              <w:t>严格施工扬尘监管。各地建立施工工地管理清单。因地制宜稳步发展装配式建筑。将施工工地扬尘污染防治纳入文明施工管理范畴，建立扬尘控制责任制度，扬尘治理费用列入工程造价。重点区域建筑施工工地要做到工地周边围挡、物料堆放覆盖、土方开挖湿法作业、路面硬化、出入车辆清洗、渣土车辆密闭运输“六个百分之百”，安装在线监测和视频监控设备，并与当地有关主管部门联网。将扬尘管理工作不到位的不良信息纳入建筑市场信用管理体系，情节严重的，列入建筑市场主体“黑名单”。加强道路扬尘综合整治。大力推进道路清扫保洁机械化作业，提高道路机械化清扫率，2020年底前，地级及以上城市建成区达到70%以上，县城达到60%以上，重点区域要显著提高。严格渣土运输车辆规范化管理，渣土运输车要密闭。</w:t>
            </w:r>
          </w:p>
        </w:tc>
      </w:tr>
      <w:tr w14:paraId="67DA804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41" w:type="pct"/>
            <w:vAlign w:val="center"/>
          </w:tcPr>
          <w:p w14:paraId="3032EA88">
            <w:pPr>
              <w:adjustRightInd w:val="0"/>
              <w:snapToGrid w:val="0"/>
              <w:jc w:val="center"/>
              <w:rPr>
                <w:rFonts w:ascii="Times New Roman" w:hAnsi="Times New Roman" w:eastAsia="新宋体" w:cs="Times New Roman"/>
                <w:color w:val="auto"/>
                <w:sz w:val="21"/>
                <w:lang w:eastAsia="zh-CN"/>
              </w:rPr>
            </w:pPr>
            <w:r>
              <w:rPr>
                <w:rFonts w:ascii="Times New Roman" w:hAnsi="Times New Roman" w:eastAsia="新宋体" w:cs="Times New Roman"/>
                <w:color w:val="auto"/>
                <w:sz w:val="21"/>
                <w:lang w:eastAsia="zh-CN"/>
              </w:rPr>
              <w:t>《2020年安徽省大气污染防治重点工作任务》</w:t>
            </w:r>
          </w:p>
        </w:tc>
        <w:tc>
          <w:tcPr>
            <w:tcW w:w="4358" w:type="pct"/>
            <w:vAlign w:val="center"/>
          </w:tcPr>
          <w:p w14:paraId="2C5C3142">
            <w:pPr>
              <w:adjustRightInd w:val="0"/>
              <w:snapToGrid w:val="0"/>
              <w:jc w:val="center"/>
              <w:rPr>
                <w:rFonts w:ascii="Times New Roman" w:hAnsi="Times New Roman" w:eastAsia="新宋体" w:cs="Times New Roman"/>
                <w:color w:val="auto"/>
                <w:sz w:val="21"/>
                <w:lang w:eastAsia="zh-CN"/>
              </w:rPr>
            </w:pPr>
            <w:r>
              <w:rPr>
                <w:rFonts w:ascii="Times New Roman" w:hAnsi="Times New Roman" w:eastAsia="新宋体" w:cs="Times New Roman"/>
                <w:color w:val="auto"/>
                <w:sz w:val="21"/>
                <w:lang w:eastAsia="zh-CN"/>
              </w:rPr>
              <w:t>施工工地要做到工地封闭围挡、易扬尘物料堆放覆盖、出入车辆冲洗、路面硬化、土方开挖湿法作业、渣土车辆密闭运输“六个百分百”。</w:t>
            </w:r>
          </w:p>
        </w:tc>
      </w:tr>
      <w:tr w14:paraId="0BA31B4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41" w:type="pct"/>
            <w:vAlign w:val="center"/>
          </w:tcPr>
          <w:p w14:paraId="4476F7D5">
            <w:pPr>
              <w:adjustRightInd w:val="0"/>
              <w:snapToGrid w:val="0"/>
              <w:jc w:val="center"/>
              <w:rPr>
                <w:rFonts w:ascii="Times New Roman" w:hAnsi="Times New Roman" w:eastAsia="新宋体" w:cs="Times New Roman"/>
                <w:color w:val="auto"/>
                <w:sz w:val="21"/>
                <w:lang w:eastAsia="zh-CN"/>
              </w:rPr>
            </w:pPr>
            <w:r>
              <w:rPr>
                <w:rFonts w:ascii="Times New Roman" w:hAnsi="Times New Roman" w:eastAsia="新宋体" w:cs="Times New Roman"/>
                <w:color w:val="auto"/>
                <w:sz w:val="21"/>
                <w:lang w:eastAsia="zh-CN"/>
              </w:rPr>
              <w:t>《安徽省建筑工程施工和预拌混凝土生产扬尘污染防治标准（试行）》</w:t>
            </w:r>
          </w:p>
        </w:tc>
        <w:tc>
          <w:tcPr>
            <w:tcW w:w="4358" w:type="pct"/>
            <w:vAlign w:val="center"/>
          </w:tcPr>
          <w:p w14:paraId="230E8564">
            <w:pPr>
              <w:adjustRightInd w:val="0"/>
              <w:snapToGrid w:val="0"/>
              <w:jc w:val="center"/>
              <w:rPr>
                <w:rFonts w:ascii="Times New Roman" w:hAnsi="Times New Roman" w:eastAsia="新宋体" w:cs="Times New Roman"/>
                <w:color w:val="auto"/>
                <w:sz w:val="21"/>
                <w:lang w:eastAsia="zh-CN"/>
              </w:rPr>
            </w:pPr>
            <w:r>
              <w:rPr>
                <w:rFonts w:ascii="Times New Roman" w:hAnsi="Times New Roman" w:eastAsia="新宋体" w:cs="Times New Roman"/>
                <w:color w:val="auto"/>
                <w:sz w:val="21"/>
                <w:lang w:eastAsia="zh-CN"/>
              </w:rPr>
              <w:t>严格施工扬尘监管。因地制宜稳步发展装配式建筑。将施工工地扬尘污染防治纳入文明施工管理范畴，建立扬尘控制责任制度，扬尘治理费用列入工程造价。重点区域建筑施工工地要做到工地周边围挡、物料堆放覆盖、土方开挖湿法作业、路面硬化、出入车辆清洗、渣土车辆密闭运输“六个百分之百”，安装在线监测和视频监控设备，并与当地有关主管部门联网。</w:t>
            </w:r>
          </w:p>
          <w:p w14:paraId="7F200D17">
            <w:pPr>
              <w:adjustRightInd w:val="0"/>
              <w:snapToGrid w:val="0"/>
              <w:jc w:val="center"/>
              <w:rPr>
                <w:rFonts w:ascii="Times New Roman" w:hAnsi="Times New Roman" w:eastAsia="新宋体" w:cs="Times New Roman"/>
                <w:color w:val="auto"/>
                <w:sz w:val="21"/>
                <w:lang w:eastAsia="zh-CN"/>
              </w:rPr>
            </w:pPr>
            <w:r>
              <w:rPr>
                <w:rFonts w:ascii="Times New Roman" w:hAnsi="Times New Roman" w:eastAsia="新宋体" w:cs="Times New Roman"/>
                <w:color w:val="auto"/>
                <w:sz w:val="21"/>
                <w:lang w:eastAsia="zh-CN"/>
              </w:rPr>
              <w:t>将扬尘管理工作不到位的不良信息纳入建筑市场信用管理体系，情节严重的，列入建筑市场主体“黑名单”。加强道路扬尘综合整治。大力推进道路清扫保洁机械化作业，提高道路机械化清扫率，2020年底前，地级及以上城市建成区达到70%以上，县城达到60%以上，重点区域要显著提高。严格渣土运输车辆规范化管理，渣土运输车要密闭。</w:t>
            </w:r>
          </w:p>
        </w:tc>
      </w:tr>
    </w:tbl>
    <w:p w14:paraId="0B5B1AD7">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在严格落实《防治城市扬尘污染技术规范》（HJ T393-2007）、《安徽省重污染天气环境应急预案》、《安徽省建筑工程施工扬尘污染防治规定》、《安徽省建筑工程施工和预拌混凝土生产扬尘污染防治标准（试行）》措施，严格控制“六个百分百”措施，施工期产生的大气污染将得到有效控制，对施工人员以及周边居民的影响基本在人们可接受范围之内，施工期扬尘能够满足《施工场地颗粒物排放标准》（DB34/4811-2024）标准要求，对区域大气环境影响不大。此外，施工期大气环境影响是暂时的、局部的，随着工程的建成完工而消失。</w:t>
      </w:r>
    </w:p>
    <w:p w14:paraId="4121509E">
      <w:pPr>
        <w:spacing w:line="360" w:lineRule="auto"/>
        <w:ind w:firstLine="482"/>
        <w:outlineLvl w:val="2"/>
        <w:rPr>
          <w:rFonts w:ascii="Times New Roman" w:hAnsi="Times New Roman" w:cs="Times New Roman"/>
          <w:b/>
          <w:bCs/>
          <w:color w:val="auto"/>
          <w:szCs w:val="24"/>
          <w:lang w:eastAsia="zh-CN"/>
        </w:rPr>
      </w:pPr>
      <w:bookmarkStart w:id="1343" w:name="_Toc236641339"/>
      <w:bookmarkStart w:id="1344" w:name="_Toc204448496"/>
      <w:bookmarkStart w:id="1345" w:name="_Toc173743411"/>
      <w:bookmarkStart w:id="1346" w:name="_Toc217662701"/>
      <w:bookmarkStart w:id="1347" w:name="_Toc223425086"/>
      <w:bookmarkStart w:id="1348" w:name="_Toc175164302"/>
      <w:bookmarkStart w:id="1349" w:name="_Toc176513038"/>
      <w:bookmarkStart w:id="1350" w:name="_Toc231828608"/>
      <w:bookmarkStart w:id="1351" w:name="_Toc178602378"/>
      <w:bookmarkStart w:id="1352" w:name="_Toc204515231"/>
      <w:bookmarkStart w:id="1353" w:name="_Toc221900868"/>
      <w:bookmarkStart w:id="1354" w:name="_Toc203927030"/>
      <w:bookmarkStart w:id="1355" w:name="_Toc237508321"/>
      <w:bookmarkStart w:id="1356" w:name="_Toc225784086"/>
      <w:bookmarkStart w:id="1357" w:name="_Toc173740307"/>
      <w:bookmarkStart w:id="1358" w:name="_Toc218784311"/>
      <w:bookmarkStart w:id="1359" w:name="_Toc224674725"/>
      <w:bookmarkStart w:id="1360" w:name="_Toc172555675"/>
      <w:bookmarkStart w:id="1361" w:name="_Toc236641856"/>
      <w:r>
        <w:rPr>
          <w:rFonts w:ascii="Times New Roman" w:hAnsi="Times New Roman" w:cs="Times New Roman"/>
          <w:b/>
          <w:bCs/>
          <w:color w:val="auto"/>
          <w:szCs w:val="24"/>
          <w:lang w:eastAsia="zh-CN"/>
        </w:rPr>
        <w:t>6.1.2 施工期地表水环境影响及污染防治措施</w:t>
      </w:r>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p>
    <w:p w14:paraId="361EA52D">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1、废水污染源分析</w:t>
      </w:r>
    </w:p>
    <w:p w14:paraId="458CDD9D">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根据类比分析，施工期的水污染源主要包括施工人员产生的生活废水以及施工过程中产生的生产废水。</w:t>
      </w:r>
      <w:bookmarkStart w:id="1362" w:name="_Toc30923"/>
    </w:p>
    <w:p w14:paraId="102D446F">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（1）</w:t>
      </w:r>
      <w:r>
        <w:rPr>
          <w:rFonts w:ascii="Times New Roman" w:hAnsi="Times New Roman" w:cs="Times New Roman"/>
          <w:color w:val="auto"/>
          <w:szCs w:val="24"/>
          <w:lang w:eastAsia="zh-CN"/>
        </w:rPr>
        <w:t>生活污水</w:t>
      </w:r>
      <w:bookmarkEnd w:id="1362"/>
    </w:p>
    <w:p w14:paraId="33A71D82">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施工人员产生的生活废水主要包括餐饮、洗漱排放的废水。由于施工现场人员数量受到施工内容、施工季节、施工机械等多种因素影响，变化较大。根据类比分析，高峰期施工人员总数可达50人，人均生活用水量按50L/d计算，污水产生量按用水量的80%计算，则施工现场的生活污水产生量约为2.5m3/d，废水中主要污染物浓度为：COD 200~300mg/L、BOD</w:t>
      </w:r>
      <w:r>
        <w:rPr>
          <w:rFonts w:ascii="Times New Roman" w:hAnsi="Times New Roman" w:cs="Times New Roman"/>
          <w:color w:val="auto"/>
          <w:szCs w:val="24"/>
          <w:vertAlign w:val="subscript"/>
          <w:lang w:eastAsia="zh-CN"/>
        </w:rPr>
        <w:t>5</w:t>
      </w:r>
      <w:r>
        <w:rPr>
          <w:rFonts w:ascii="Times New Roman" w:hAnsi="Times New Roman" w:cs="Times New Roman"/>
          <w:color w:val="auto"/>
          <w:szCs w:val="24"/>
          <w:lang w:eastAsia="zh-CN"/>
        </w:rPr>
        <w:t xml:space="preserve"> 100~150mg/L、SS100~200mg/L。</w:t>
      </w:r>
    </w:p>
    <w:p w14:paraId="2D23CD22">
      <w:pPr>
        <w:spacing w:line="360" w:lineRule="auto"/>
        <w:ind w:left="480"/>
        <w:jc w:val="both"/>
        <w:rPr>
          <w:rFonts w:ascii="Times New Roman" w:hAnsi="Times New Roman" w:cs="Times New Roman"/>
          <w:color w:val="auto"/>
          <w:szCs w:val="24"/>
          <w:lang w:eastAsia="zh-CN"/>
        </w:rPr>
      </w:pPr>
      <w:bookmarkStart w:id="1363" w:name="_Toc4458"/>
      <w:r>
        <w:rPr>
          <w:rFonts w:hint="eastAsia" w:ascii="Times New Roman" w:hAnsi="Times New Roman" w:cs="Times New Roman"/>
          <w:color w:val="auto"/>
          <w:szCs w:val="24"/>
          <w:lang w:eastAsia="zh-CN"/>
        </w:rPr>
        <w:t>（2）</w:t>
      </w:r>
      <w:r>
        <w:rPr>
          <w:rFonts w:ascii="Times New Roman" w:hAnsi="Times New Roman" w:cs="Times New Roman"/>
          <w:color w:val="auto"/>
          <w:szCs w:val="24"/>
          <w:lang w:eastAsia="zh-CN"/>
        </w:rPr>
        <w:t>施工废水</w:t>
      </w:r>
      <w:bookmarkEnd w:id="1363"/>
    </w:p>
    <w:p w14:paraId="51816113">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施工废水主要包括：施工机械跑、冒、滴、漏的污油及露天机械被雨水等冲刷后产生油污染，混凝土养护用水、路面洒水以及施工材料的雨水冲刷废水等等。这些废水中主要污染物为SS和石油类。</w:t>
      </w:r>
    </w:p>
    <w:p w14:paraId="6B75F9EE">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施工废水的排放特点是间歇式排放，废水量不稳定。施工中往往用水量无节制、废水排放量大，若不采取措施，将会在施工现场随意流淌，对周围水环境造成一定影响。</w:t>
      </w:r>
    </w:p>
    <w:p w14:paraId="28020C1C">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2、废水污染防治措施</w:t>
      </w:r>
    </w:p>
    <w:p w14:paraId="71975055">
      <w:pPr>
        <w:spacing w:line="360" w:lineRule="auto"/>
        <w:ind w:firstLine="480" w:firstLineChars="200"/>
        <w:jc w:val="both"/>
        <w:rPr>
          <w:rFonts w:ascii="Times New Roman" w:hAnsi="Times New Roman" w:cs="Times New Roman"/>
          <w:color w:val="auto"/>
          <w:szCs w:val="24"/>
          <w:lang w:eastAsia="zh-CN"/>
        </w:rPr>
      </w:pPr>
      <w:bookmarkStart w:id="1364" w:name="_Toc24668"/>
      <w:r>
        <w:rPr>
          <w:rFonts w:ascii="Times New Roman" w:hAnsi="Times New Roman" w:cs="Times New Roman"/>
          <w:color w:val="auto"/>
          <w:szCs w:val="24"/>
          <w:lang w:eastAsia="zh-CN"/>
        </w:rPr>
        <w:t>（1）生活污水</w:t>
      </w:r>
      <w:bookmarkEnd w:id="1364"/>
    </w:p>
    <w:p w14:paraId="54F1B5A1">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本项目施工人员产生的生活污水依托现有企业及公共卫生系统进行处理。</w:t>
      </w:r>
    </w:p>
    <w:p w14:paraId="57D1B8EE">
      <w:pPr>
        <w:spacing w:line="360" w:lineRule="auto"/>
        <w:ind w:left="480"/>
        <w:jc w:val="both"/>
        <w:rPr>
          <w:rFonts w:ascii="Times New Roman" w:hAnsi="Times New Roman" w:cs="Times New Roman"/>
          <w:color w:val="auto"/>
          <w:szCs w:val="24"/>
          <w:lang w:eastAsia="zh-CN"/>
        </w:rPr>
      </w:pPr>
      <w:bookmarkStart w:id="1365" w:name="_Toc12168"/>
      <w:r>
        <w:rPr>
          <w:rFonts w:hint="eastAsia" w:ascii="Times New Roman" w:hAnsi="Times New Roman" w:cs="Times New Roman"/>
          <w:color w:val="auto"/>
          <w:szCs w:val="24"/>
          <w:lang w:eastAsia="zh-CN"/>
        </w:rPr>
        <w:t>（2）</w:t>
      </w:r>
      <w:r>
        <w:rPr>
          <w:rFonts w:ascii="Times New Roman" w:hAnsi="Times New Roman" w:cs="Times New Roman"/>
          <w:color w:val="auto"/>
          <w:szCs w:val="24"/>
          <w:lang w:eastAsia="zh-CN"/>
        </w:rPr>
        <w:t>施工废水</w:t>
      </w:r>
      <w:bookmarkEnd w:id="1365"/>
    </w:p>
    <w:p w14:paraId="23B05B54">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在施工工地周界设置排水明沟及临时沉淀池，生产废水、地表径流经临时沉淀池沉淀后回用。另外，做好建筑材料和建筑废料的管理工作，防止其成为二次面源污染源。</w:t>
      </w:r>
    </w:p>
    <w:p w14:paraId="3FAC6953">
      <w:pPr>
        <w:spacing w:line="360" w:lineRule="auto"/>
        <w:ind w:firstLine="482"/>
        <w:jc w:val="both"/>
        <w:outlineLvl w:val="2"/>
        <w:rPr>
          <w:rFonts w:ascii="Times New Roman" w:hAnsi="Times New Roman" w:cs="Times New Roman"/>
          <w:b/>
          <w:bCs/>
          <w:color w:val="auto"/>
          <w:szCs w:val="24"/>
          <w:lang w:eastAsia="zh-CN"/>
        </w:rPr>
      </w:pPr>
      <w:bookmarkStart w:id="1366" w:name="_Toc218784312"/>
      <w:bookmarkStart w:id="1367" w:name="_Toc173743412"/>
      <w:bookmarkStart w:id="1368" w:name="_Toc178602379"/>
      <w:bookmarkStart w:id="1369" w:name="_Toc203927031"/>
      <w:bookmarkStart w:id="1370" w:name="_Toc237508322"/>
      <w:bookmarkStart w:id="1371" w:name="_Toc173740308"/>
      <w:bookmarkStart w:id="1372" w:name="_Toc223425087"/>
      <w:bookmarkStart w:id="1373" w:name="_Toc236641857"/>
      <w:bookmarkStart w:id="1374" w:name="_Toc221900869"/>
      <w:bookmarkStart w:id="1375" w:name="_Toc225784087"/>
      <w:bookmarkStart w:id="1376" w:name="_Toc204515232"/>
      <w:bookmarkStart w:id="1377" w:name="_Toc204448497"/>
      <w:bookmarkStart w:id="1378" w:name="_Toc224674726"/>
      <w:bookmarkStart w:id="1379" w:name="_Toc231828609"/>
      <w:bookmarkStart w:id="1380" w:name="_Toc172555676"/>
      <w:bookmarkStart w:id="1381" w:name="_Toc236641340"/>
      <w:bookmarkStart w:id="1382" w:name="_Toc175164303"/>
      <w:bookmarkStart w:id="1383" w:name="_Toc176513039"/>
      <w:bookmarkStart w:id="1384" w:name="_Toc217662702"/>
      <w:r>
        <w:rPr>
          <w:rFonts w:ascii="Times New Roman" w:hAnsi="Times New Roman" w:cs="Times New Roman"/>
          <w:b/>
          <w:bCs/>
          <w:color w:val="auto"/>
          <w:szCs w:val="24"/>
          <w:lang w:eastAsia="zh-CN"/>
        </w:rPr>
        <w:t>6.1.3 施工期声环境影响及污染防治措施</w:t>
      </w:r>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p>
    <w:p w14:paraId="54517DC0">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1、噪声污染源分析</w:t>
      </w:r>
    </w:p>
    <w:p w14:paraId="55521E78">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施工期的主要噪声源有挖掘机、推土机、振动夯锤、装载车、电锯等。通过对上述机械设备和车辆等噪声值进行类比调查，同时结合《环境噪声与振动控制工程技术导则》（HJ 2034-2013），上述设备噪声源强见下表。</w:t>
      </w:r>
    </w:p>
    <w:p w14:paraId="4A67B4C4">
      <w:pPr>
        <w:spacing w:line="360" w:lineRule="auto"/>
        <w:jc w:val="center"/>
        <w:rPr>
          <w:rFonts w:ascii="Times New Roman" w:hAnsi="Times New Roman" w:eastAsia="新宋体" w:cs="Times New Roman"/>
          <w:b/>
          <w:color w:val="auto"/>
          <w:lang w:eastAsia="zh-CN"/>
        </w:rPr>
      </w:pPr>
      <w:r>
        <w:rPr>
          <w:rFonts w:ascii="Times New Roman" w:hAnsi="Times New Roman" w:eastAsia="新宋体" w:cs="Times New Roman"/>
          <w:b/>
          <w:color w:val="auto"/>
          <w:lang w:eastAsia="zh-CN"/>
        </w:rPr>
        <w:t>表6.1-3 施工期主要噪声设备源强一览表单位：dB(A)</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097"/>
        <w:gridCol w:w="1460"/>
        <w:gridCol w:w="2316"/>
        <w:gridCol w:w="924"/>
        <w:gridCol w:w="1945"/>
        <w:gridCol w:w="2004"/>
      </w:tblGrid>
      <w:tr w14:paraId="1BC7ACC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63" w:type="pct"/>
            <w:vAlign w:val="center"/>
          </w:tcPr>
          <w:p w14:paraId="078E8E83">
            <w:pPr>
              <w:adjustRightInd w:val="0"/>
              <w:snapToGrid w:val="0"/>
              <w:jc w:val="center"/>
              <w:rPr>
                <w:rFonts w:ascii="Times New Roman" w:hAnsi="Times New Roman" w:eastAsia="新宋体" w:cs="Times New Roman"/>
                <w:b/>
                <w:color w:val="auto"/>
                <w:sz w:val="21"/>
              </w:rPr>
            </w:pPr>
            <w:r>
              <w:rPr>
                <w:rFonts w:ascii="Times New Roman" w:hAnsi="Times New Roman" w:eastAsia="新宋体" w:cs="Times New Roman"/>
                <w:b/>
                <w:color w:val="auto"/>
                <w:sz w:val="21"/>
              </w:rPr>
              <w:t>施工阶段</w:t>
            </w:r>
          </w:p>
        </w:tc>
        <w:tc>
          <w:tcPr>
            <w:tcW w:w="749" w:type="pct"/>
            <w:vAlign w:val="center"/>
          </w:tcPr>
          <w:p w14:paraId="02FDD9C3">
            <w:pPr>
              <w:adjustRightInd w:val="0"/>
              <w:snapToGrid w:val="0"/>
              <w:jc w:val="center"/>
              <w:rPr>
                <w:rFonts w:ascii="Times New Roman" w:hAnsi="Times New Roman" w:eastAsia="新宋体" w:cs="Times New Roman"/>
                <w:b/>
                <w:color w:val="auto"/>
                <w:sz w:val="21"/>
              </w:rPr>
            </w:pPr>
            <w:r>
              <w:rPr>
                <w:rFonts w:ascii="Times New Roman" w:hAnsi="Times New Roman" w:eastAsia="新宋体" w:cs="Times New Roman"/>
                <w:b/>
                <w:color w:val="auto"/>
                <w:sz w:val="21"/>
              </w:rPr>
              <w:t>噪声源名称</w:t>
            </w:r>
          </w:p>
        </w:tc>
        <w:tc>
          <w:tcPr>
            <w:tcW w:w="1188" w:type="pct"/>
            <w:vAlign w:val="center"/>
          </w:tcPr>
          <w:p w14:paraId="5F97BAB8">
            <w:pPr>
              <w:adjustRightInd w:val="0"/>
              <w:snapToGrid w:val="0"/>
              <w:jc w:val="center"/>
              <w:rPr>
                <w:rFonts w:ascii="Times New Roman" w:hAnsi="Times New Roman" w:eastAsia="新宋体" w:cs="Times New Roman"/>
                <w:b/>
                <w:color w:val="auto"/>
                <w:sz w:val="21"/>
              </w:rPr>
            </w:pPr>
            <w:r>
              <w:rPr>
                <w:rFonts w:ascii="Times New Roman" w:hAnsi="Times New Roman" w:eastAsia="新宋体" w:cs="Times New Roman"/>
                <w:b/>
                <w:color w:val="auto"/>
                <w:sz w:val="21"/>
              </w:rPr>
              <w:t>距声源1米处声压级</w:t>
            </w:r>
          </w:p>
        </w:tc>
        <w:tc>
          <w:tcPr>
            <w:tcW w:w="474" w:type="pct"/>
            <w:vAlign w:val="center"/>
          </w:tcPr>
          <w:p w14:paraId="5AE31D7B">
            <w:pPr>
              <w:adjustRightInd w:val="0"/>
              <w:snapToGrid w:val="0"/>
              <w:jc w:val="center"/>
              <w:rPr>
                <w:rFonts w:ascii="Times New Roman" w:hAnsi="Times New Roman" w:eastAsia="新宋体" w:cs="Times New Roman"/>
                <w:b/>
                <w:color w:val="auto"/>
                <w:sz w:val="21"/>
              </w:rPr>
            </w:pPr>
            <w:r>
              <w:rPr>
                <w:rFonts w:ascii="Times New Roman" w:hAnsi="Times New Roman" w:eastAsia="新宋体" w:cs="Times New Roman"/>
                <w:b/>
                <w:color w:val="auto"/>
                <w:sz w:val="21"/>
              </w:rPr>
              <w:t>施工阶段</w:t>
            </w:r>
          </w:p>
        </w:tc>
        <w:tc>
          <w:tcPr>
            <w:tcW w:w="998" w:type="pct"/>
            <w:vAlign w:val="center"/>
          </w:tcPr>
          <w:p w14:paraId="55EED318">
            <w:pPr>
              <w:adjustRightInd w:val="0"/>
              <w:snapToGrid w:val="0"/>
              <w:jc w:val="center"/>
              <w:rPr>
                <w:rFonts w:ascii="Times New Roman" w:hAnsi="Times New Roman" w:eastAsia="新宋体" w:cs="Times New Roman"/>
                <w:b/>
                <w:color w:val="auto"/>
                <w:sz w:val="21"/>
              </w:rPr>
            </w:pPr>
            <w:r>
              <w:rPr>
                <w:rFonts w:ascii="Times New Roman" w:hAnsi="Times New Roman" w:eastAsia="新宋体" w:cs="Times New Roman"/>
                <w:b/>
                <w:color w:val="auto"/>
                <w:sz w:val="21"/>
              </w:rPr>
              <w:t>噪声源名称</w:t>
            </w:r>
          </w:p>
        </w:tc>
        <w:tc>
          <w:tcPr>
            <w:tcW w:w="1028" w:type="pct"/>
            <w:vAlign w:val="center"/>
          </w:tcPr>
          <w:p w14:paraId="462530A3">
            <w:pPr>
              <w:adjustRightInd w:val="0"/>
              <w:snapToGrid w:val="0"/>
              <w:jc w:val="center"/>
              <w:rPr>
                <w:rFonts w:ascii="Times New Roman" w:hAnsi="Times New Roman" w:eastAsia="新宋体" w:cs="Times New Roman"/>
                <w:b/>
                <w:color w:val="auto"/>
                <w:sz w:val="21"/>
              </w:rPr>
            </w:pPr>
            <w:r>
              <w:rPr>
                <w:rFonts w:ascii="Times New Roman" w:hAnsi="Times New Roman" w:eastAsia="新宋体" w:cs="Times New Roman"/>
                <w:b/>
                <w:color w:val="auto"/>
                <w:sz w:val="21"/>
              </w:rPr>
              <w:t>距声源1米处声压级</w:t>
            </w:r>
          </w:p>
        </w:tc>
      </w:tr>
      <w:tr w14:paraId="5FB8495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63" w:type="pct"/>
            <w:vMerge w:val="restart"/>
            <w:vAlign w:val="center"/>
          </w:tcPr>
          <w:p w14:paraId="563C9779">
            <w:pPr>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基础土方施工</w:t>
            </w:r>
          </w:p>
        </w:tc>
        <w:tc>
          <w:tcPr>
            <w:tcW w:w="749" w:type="pct"/>
            <w:vAlign w:val="center"/>
          </w:tcPr>
          <w:p w14:paraId="6D8BF1D8">
            <w:pPr>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液压挖掘机</w:t>
            </w:r>
          </w:p>
        </w:tc>
        <w:tc>
          <w:tcPr>
            <w:tcW w:w="1188" w:type="pct"/>
            <w:vAlign w:val="center"/>
          </w:tcPr>
          <w:p w14:paraId="2CC9D319">
            <w:pPr>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78~96</w:t>
            </w:r>
          </w:p>
        </w:tc>
        <w:tc>
          <w:tcPr>
            <w:tcW w:w="474" w:type="pct"/>
            <w:vMerge w:val="restart"/>
            <w:vAlign w:val="center"/>
          </w:tcPr>
          <w:p w14:paraId="55B421A6">
            <w:pPr>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构筑物建设</w:t>
            </w:r>
          </w:p>
        </w:tc>
        <w:tc>
          <w:tcPr>
            <w:tcW w:w="998" w:type="pct"/>
            <w:vAlign w:val="center"/>
          </w:tcPr>
          <w:p w14:paraId="7A7BC6A7">
            <w:pPr>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商砼搅拌车</w:t>
            </w:r>
          </w:p>
        </w:tc>
        <w:tc>
          <w:tcPr>
            <w:tcW w:w="1028" w:type="pct"/>
            <w:vAlign w:val="center"/>
          </w:tcPr>
          <w:p w14:paraId="7980DD57">
            <w:pPr>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82~84</w:t>
            </w:r>
          </w:p>
        </w:tc>
      </w:tr>
      <w:tr w14:paraId="0A07510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63" w:type="pct"/>
            <w:vMerge w:val="continue"/>
            <w:vAlign w:val="center"/>
          </w:tcPr>
          <w:p w14:paraId="3BE3713E">
            <w:pPr>
              <w:adjustRightInd w:val="0"/>
              <w:snapToGrid w:val="0"/>
              <w:jc w:val="center"/>
              <w:rPr>
                <w:rFonts w:ascii="Times New Roman" w:hAnsi="Times New Roman" w:eastAsia="新宋体" w:cs="Times New Roman"/>
                <w:color w:val="auto"/>
                <w:sz w:val="21"/>
              </w:rPr>
            </w:pPr>
          </w:p>
        </w:tc>
        <w:tc>
          <w:tcPr>
            <w:tcW w:w="749" w:type="pct"/>
            <w:vAlign w:val="center"/>
          </w:tcPr>
          <w:p w14:paraId="1F7C260D">
            <w:pPr>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推土机</w:t>
            </w:r>
          </w:p>
        </w:tc>
        <w:tc>
          <w:tcPr>
            <w:tcW w:w="1188" w:type="pct"/>
            <w:vAlign w:val="center"/>
          </w:tcPr>
          <w:p w14:paraId="78CC81FB">
            <w:pPr>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80~85</w:t>
            </w:r>
          </w:p>
        </w:tc>
        <w:tc>
          <w:tcPr>
            <w:tcW w:w="474" w:type="pct"/>
            <w:vMerge w:val="continue"/>
            <w:vAlign w:val="center"/>
          </w:tcPr>
          <w:p w14:paraId="58A38267">
            <w:pPr>
              <w:adjustRightInd w:val="0"/>
              <w:snapToGrid w:val="0"/>
              <w:jc w:val="center"/>
              <w:rPr>
                <w:rFonts w:ascii="Times New Roman" w:hAnsi="Times New Roman" w:eastAsia="新宋体" w:cs="Times New Roman"/>
                <w:color w:val="auto"/>
                <w:sz w:val="21"/>
              </w:rPr>
            </w:pPr>
          </w:p>
        </w:tc>
        <w:tc>
          <w:tcPr>
            <w:tcW w:w="998" w:type="pct"/>
            <w:vAlign w:val="center"/>
          </w:tcPr>
          <w:p w14:paraId="13CE8BF4">
            <w:pPr>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混凝土振捣器</w:t>
            </w:r>
          </w:p>
        </w:tc>
        <w:tc>
          <w:tcPr>
            <w:tcW w:w="1028" w:type="pct"/>
            <w:vAlign w:val="center"/>
          </w:tcPr>
          <w:p w14:paraId="75DBBDA5">
            <w:pPr>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100~105</w:t>
            </w:r>
          </w:p>
        </w:tc>
      </w:tr>
      <w:tr w14:paraId="79E9E32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63" w:type="pct"/>
            <w:vMerge w:val="continue"/>
            <w:vAlign w:val="center"/>
          </w:tcPr>
          <w:p w14:paraId="55BBB37C">
            <w:pPr>
              <w:adjustRightInd w:val="0"/>
              <w:snapToGrid w:val="0"/>
              <w:jc w:val="center"/>
              <w:rPr>
                <w:rFonts w:ascii="Times New Roman" w:hAnsi="Times New Roman" w:eastAsia="新宋体" w:cs="Times New Roman"/>
                <w:color w:val="auto"/>
                <w:sz w:val="21"/>
              </w:rPr>
            </w:pPr>
          </w:p>
        </w:tc>
        <w:tc>
          <w:tcPr>
            <w:tcW w:w="749" w:type="pct"/>
            <w:vAlign w:val="center"/>
          </w:tcPr>
          <w:p w14:paraId="1CE17C42">
            <w:pPr>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振动夯锤</w:t>
            </w:r>
          </w:p>
        </w:tc>
        <w:tc>
          <w:tcPr>
            <w:tcW w:w="1188" w:type="pct"/>
            <w:vAlign w:val="center"/>
          </w:tcPr>
          <w:p w14:paraId="1168AC26">
            <w:pPr>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86~94</w:t>
            </w:r>
          </w:p>
        </w:tc>
        <w:tc>
          <w:tcPr>
            <w:tcW w:w="474" w:type="pct"/>
            <w:vMerge w:val="continue"/>
            <w:vAlign w:val="center"/>
          </w:tcPr>
          <w:p w14:paraId="77A0DBCF">
            <w:pPr>
              <w:adjustRightInd w:val="0"/>
              <w:snapToGrid w:val="0"/>
              <w:jc w:val="center"/>
              <w:rPr>
                <w:rFonts w:ascii="Times New Roman" w:hAnsi="Times New Roman" w:eastAsia="新宋体" w:cs="Times New Roman"/>
                <w:color w:val="auto"/>
                <w:sz w:val="21"/>
              </w:rPr>
            </w:pPr>
          </w:p>
        </w:tc>
        <w:tc>
          <w:tcPr>
            <w:tcW w:w="998" w:type="pct"/>
            <w:vAlign w:val="center"/>
          </w:tcPr>
          <w:p w14:paraId="711D8244">
            <w:pPr>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电钻、手工钻等</w:t>
            </w:r>
          </w:p>
        </w:tc>
        <w:tc>
          <w:tcPr>
            <w:tcW w:w="1028" w:type="pct"/>
            <w:vAlign w:val="center"/>
          </w:tcPr>
          <w:p w14:paraId="141B6477">
            <w:pPr>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100~105</w:t>
            </w:r>
          </w:p>
        </w:tc>
      </w:tr>
      <w:tr w14:paraId="08DE44F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63" w:type="pct"/>
            <w:vMerge w:val="continue"/>
            <w:vAlign w:val="center"/>
          </w:tcPr>
          <w:p w14:paraId="1CBC124E">
            <w:pPr>
              <w:adjustRightInd w:val="0"/>
              <w:snapToGrid w:val="0"/>
              <w:jc w:val="center"/>
              <w:rPr>
                <w:rFonts w:ascii="Times New Roman" w:hAnsi="Times New Roman" w:eastAsia="新宋体" w:cs="Times New Roman"/>
                <w:color w:val="auto"/>
                <w:sz w:val="21"/>
              </w:rPr>
            </w:pPr>
          </w:p>
        </w:tc>
        <w:tc>
          <w:tcPr>
            <w:tcW w:w="749" w:type="pct"/>
            <w:vAlign w:val="center"/>
          </w:tcPr>
          <w:p w14:paraId="76170A95">
            <w:pPr>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重型运输车</w:t>
            </w:r>
          </w:p>
        </w:tc>
        <w:tc>
          <w:tcPr>
            <w:tcW w:w="1188" w:type="pct"/>
            <w:vAlign w:val="center"/>
          </w:tcPr>
          <w:p w14:paraId="6CFDE492">
            <w:pPr>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78~86</w:t>
            </w:r>
          </w:p>
        </w:tc>
        <w:tc>
          <w:tcPr>
            <w:tcW w:w="474" w:type="pct"/>
            <w:vMerge w:val="continue"/>
            <w:vAlign w:val="center"/>
          </w:tcPr>
          <w:p w14:paraId="6336AB59">
            <w:pPr>
              <w:adjustRightInd w:val="0"/>
              <w:snapToGrid w:val="0"/>
              <w:jc w:val="center"/>
              <w:rPr>
                <w:rFonts w:ascii="Times New Roman" w:hAnsi="Times New Roman" w:eastAsia="新宋体" w:cs="Times New Roman"/>
                <w:color w:val="auto"/>
                <w:sz w:val="21"/>
              </w:rPr>
            </w:pPr>
          </w:p>
        </w:tc>
        <w:tc>
          <w:tcPr>
            <w:tcW w:w="998" w:type="pct"/>
            <w:vAlign w:val="center"/>
          </w:tcPr>
          <w:p w14:paraId="43586E57">
            <w:pPr>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w:t>
            </w:r>
          </w:p>
        </w:tc>
        <w:tc>
          <w:tcPr>
            <w:tcW w:w="1028" w:type="pct"/>
            <w:vAlign w:val="center"/>
          </w:tcPr>
          <w:p w14:paraId="328DE6DC">
            <w:pPr>
              <w:adjustRightInd w:val="0"/>
              <w:snapToGrid w:val="0"/>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w:t>
            </w:r>
          </w:p>
        </w:tc>
      </w:tr>
    </w:tbl>
    <w:p w14:paraId="52077BCF">
      <w:pPr>
        <w:spacing w:line="360" w:lineRule="auto"/>
        <w:ind w:left="480"/>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2、</w:t>
      </w:r>
      <w:r>
        <w:rPr>
          <w:rFonts w:ascii="Times New Roman" w:hAnsi="Times New Roman" w:cs="Times New Roman"/>
          <w:color w:val="auto"/>
          <w:szCs w:val="24"/>
          <w:lang w:eastAsia="zh-CN"/>
        </w:rPr>
        <w:t>施工噪声影响预测</w:t>
      </w:r>
    </w:p>
    <w:p w14:paraId="04259F20">
      <w:pPr>
        <w:spacing w:line="360" w:lineRule="auto"/>
        <w:ind w:firstLine="480" w:firstLineChars="200"/>
        <w:rPr>
          <w:rFonts w:ascii="Times New Roman" w:hAnsi="Times New Roman" w:cs="Times New Roman"/>
          <w:color w:val="auto"/>
          <w:szCs w:val="24"/>
          <w:lang w:eastAsia="zh-CN"/>
        </w:rPr>
      </w:pPr>
      <w:r>
        <w:rPr>
          <w:rFonts w:ascii="宋体" w:hAnsi="宋体" w:cs="Cambria Math"/>
          <w:color w:val="auto"/>
          <w:szCs w:val="24"/>
          <w:lang w:eastAsia="zh-CN"/>
        </w:rPr>
        <w:t>①</w:t>
      </w:r>
      <w:r>
        <w:rPr>
          <w:rFonts w:ascii="Times New Roman" w:hAnsi="Times New Roman" w:cs="Times New Roman"/>
          <w:color w:val="auto"/>
          <w:szCs w:val="24"/>
          <w:lang w:eastAsia="zh-CN"/>
        </w:rPr>
        <w:t xml:space="preserve"> 声环境预测方法</w:t>
      </w:r>
    </w:p>
    <w:p w14:paraId="325649D2">
      <w:pPr>
        <w:pStyle w:val="84"/>
        <w:numPr>
          <w:ilvl w:val="0"/>
          <w:numId w:val="7"/>
        </w:numPr>
        <w:spacing w:line="360" w:lineRule="auto"/>
        <w:ind w:firstLineChars="0"/>
        <w:rPr>
          <w:rFonts w:ascii="Times New Roman" w:hAnsi="Times New Roman" w:cs="Times New Roman"/>
          <w:color w:val="auto"/>
          <w:szCs w:val="24"/>
          <w:lang w:eastAsia="zh-CN"/>
        </w:rPr>
      </w:pPr>
      <w:r>
        <w:rPr>
          <w:rFonts w:ascii="Times New Roman" w:hAnsi="Times New Roman" w:cs="Times New Roman"/>
          <w:color w:val="auto"/>
          <w:szCs w:val="24"/>
          <w:lang w:eastAsia="zh-CN"/>
        </w:rPr>
        <w:t>点声源衰减模式如下：</w:t>
      </w:r>
    </w:p>
    <w:p w14:paraId="335AC3CC">
      <w:pPr>
        <w:spacing w:line="360" w:lineRule="auto"/>
        <w:ind w:firstLine="480"/>
        <w:jc w:val="center"/>
        <w:rPr>
          <w:rFonts w:ascii="Times New Roman" w:hAnsi="Times New Roman" w:cs="Times New Roman"/>
          <w:color w:val="auto"/>
          <w:szCs w:val="24"/>
          <w:lang w:eastAsia="zh-CN"/>
        </w:rPr>
      </w:pPr>
      <w:r>
        <w:rPr>
          <w:rFonts w:ascii="Times New Roman" w:hAnsi="Times New Roman" w:cs="Times New Roman"/>
          <w:color w:val="auto"/>
          <w:szCs w:val="24"/>
          <w:lang w:eastAsia="zh-CN"/>
        </w:rPr>
        <w:drawing>
          <wp:inline distT="0" distB="0" distL="0" distR="0">
            <wp:extent cx="2466975" cy="428625"/>
            <wp:effectExtent l="0" t="0" r="0" b="0"/>
            <wp:docPr id="76"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2466975" cy="428625"/>
                    </a:xfrm>
                    <a:prstGeom prst="rect">
                      <a:avLst/>
                    </a:prstGeom>
                    <a:noFill/>
                    <a:ln>
                      <a:noFill/>
                    </a:ln>
                  </pic:spPr>
                </pic:pic>
              </a:graphicData>
            </a:graphic>
          </wp:inline>
        </w:drawing>
      </w:r>
    </w:p>
    <w:p w14:paraId="3C164007">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式中：LAI——距声源 r 处的声级，dB(A)；</w:t>
      </w:r>
    </w:p>
    <w:p w14:paraId="3CA31AFE">
      <w:pPr>
        <w:spacing w:line="360" w:lineRule="auto"/>
        <w:ind w:firstLine="480"/>
        <w:rPr>
          <w:rFonts w:ascii="Times New Roman" w:hAnsi="Times New Roman" w:cs="Times New Roman"/>
          <w:color w:val="auto"/>
          <w:szCs w:val="24"/>
          <w:lang w:eastAsia="zh-CN"/>
        </w:rPr>
      </w:pPr>
      <w:r>
        <w:rPr>
          <w:rFonts w:ascii="Times New Roman" w:hAnsi="Times New Roman" w:cs="Times New Roman"/>
          <w:color w:val="auto"/>
          <w:szCs w:val="24"/>
          <w:lang w:eastAsia="zh-CN"/>
        </w:rPr>
        <w:t xml:space="preserve">          LA(r0)——参考位置r0处的声级，dB(A)；</w:t>
      </w:r>
    </w:p>
    <w:p w14:paraId="584F62EE">
      <w:pPr>
        <w:spacing w:line="360" w:lineRule="auto"/>
        <w:ind w:firstLine="1200" w:firstLineChars="500"/>
        <w:rPr>
          <w:rFonts w:ascii="Times New Roman" w:hAnsi="Times New Roman" w:cs="Times New Roman"/>
          <w:color w:val="auto"/>
          <w:szCs w:val="24"/>
          <w:lang w:eastAsia="zh-CN"/>
        </w:rPr>
      </w:pPr>
      <w:r>
        <w:rPr>
          <w:rFonts w:ascii="Times New Roman" w:hAnsi="Times New Roman" w:cs="Times New Roman"/>
          <w:color w:val="auto"/>
          <w:szCs w:val="24"/>
          <w:lang w:eastAsia="zh-CN"/>
        </w:rPr>
        <w:t>r——预测点与点声源之间的距离(m)；</w:t>
      </w:r>
    </w:p>
    <w:p w14:paraId="78932A6F">
      <w:pPr>
        <w:spacing w:line="360" w:lineRule="auto"/>
        <w:ind w:firstLine="1200" w:firstLineChars="500"/>
        <w:rPr>
          <w:rFonts w:ascii="Times New Roman" w:hAnsi="Times New Roman" w:cs="Times New Roman"/>
          <w:color w:val="auto"/>
          <w:szCs w:val="24"/>
          <w:lang w:eastAsia="zh-CN"/>
        </w:rPr>
      </w:pPr>
      <w:r>
        <w:rPr>
          <w:rFonts w:ascii="Times New Roman" w:hAnsi="Times New Roman" w:cs="Times New Roman"/>
          <w:color w:val="auto"/>
          <w:szCs w:val="24"/>
          <w:lang w:eastAsia="zh-CN"/>
        </w:rPr>
        <w:t>r0——参考位置与点声源之间的距离(m)；</w:t>
      </w:r>
    </w:p>
    <w:p w14:paraId="40CFECB2">
      <w:pPr>
        <w:spacing w:line="360" w:lineRule="auto"/>
        <w:ind w:left="480"/>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2）</w:t>
      </w:r>
      <w:r>
        <w:rPr>
          <w:rFonts w:ascii="Times New Roman" w:hAnsi="Times New Roman" w:cs="Times New Roman"/>
          <w:color w:val="auto"/>
          <w:szCs w:val="24"/>
          <w:lang w:eastAsia="zh-CN"/>
        </w:rPr>
        <w:t>等效声级贡献值计算公式：</w:t>
      </w:r>
    </w:p>
    <w:p w14:paraId="03B8329F">
      <w:pPr>
        <w:spacing w:line="360" w:lineRule="auto"/>
        <w:ind w:firstLine="480"/>
        <w:jc w:val="center"/>
        <w:rPr>
          <w:rFonts w:ascii="Times New Roman" w:hAnsi="Times New Roman" w:cs="Times New Roman"/>
          <w:color w:val="auto"/>
          <w:szCs w:val="24"/>
          <w:lang w:eastAsia="zh-CN"/>
        </w:rPr>
      </w:pPr>
      <w:r>
        <w:rPr>
          <w:rFonts w:ascii="Times New Roman" w:hAnsi="Times New Roman" w:cs="Times New Roman"/>
          <w:color w:val="auto"/>
          <w:szCs w:val="24"/>
          <w:lang w:eastAsia="zh-CN"/>
        </w:rPr>
        <w:object>
          <v:shape id="_x0000_i1027" o:spt="75" type="#_x0000_t75" style="height:37.35pt;width:154.2pt;" o:ole="t" filled="f" coordsize="21600,21600">
            <v:path/>
            <v:fill on="f" focussize="0,0"/>
            <v:stroke/>
            <v:imagedata r:id="rId80" o:title=""/>
            <o:lock v:ext="edit" aspectratio="t"/>
            <w10:wrap type="none"/>
            <w10:anchorlock/>
          </v:shape>
          <o:OLEObject Type="Embed" ProgID="Equation.3" ShapeID="_x0000_i1027" DrawAspect="Content" ObjectID="_1468075727" r:id="rId79">
            <o:LockedField>false</o:LockedField>
          </o:OLEObject>
        </w:object>
      </w:r>
    </w:p>
    <w:p w14:paraId="4C7ABBF4">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式中：Leqg—建设项目声源在预测点的等效声级贡献值，dB(A)；</w:t>
      </w:r>
    </w:p>
    <w:p w14:paraId="1B895057">
      <w:pPr>
        <w:spacing w:line="360" w:lineRule="auto"/>
        <w:ind w:firstLine="1200" w:firstLineChars="500"/>
        <w:rPr>
          <w:rFonts w:ascii="Times New Roman" w:hAnsi="Times New Roman" w:cs="Times New Roman"/>
          <w:color w:val="auto"/>
          <w:szCs w:val="24"/>
          <w:lang w:eastAsia="zh-CN"/>
        </w:rPr>
      </w:pPr>
      <w:r>
        <w:rPr>
          <w:rFonts w:ascii="Times New Roman" w:hAnsi="Times New Roman" w:cs="Times New Roman"/>
          <w:color w:val="auto"/>
          <w:szCs w:val="24"/>
          <w:lang w:eastAsia="zh-CN"/>
        </w:rPr>
        <w:t>Lai— i声源在预测点产生的A 声级，dB(A)；</w:t>
      </w:r>
    </w:p>
    <w:p w14:paraId="7DDBE521">
      <w:pPr>
        <w:spacing w:line="360" w:lineRule="auto"/>
        <w:ind w:firstLine="1200" w:firstLineChars="500"/>
        <w:rPr>
          <w:rFonts w:ascii="Times New Roman" w:hAnsi="Times New Roman" w:cs="Times New Roman"/>
          <w:color w:val="auto"/>
          <w:szCs w:val="24"/>
          <w:lang w:eastAsia="zh-CN"/>
        </w:rPr>
      </w:pPr>
      <w:r>
        <w:rPr>
          <w:rFonts w:ascii="Times New Roman" w:hAnsi="Times New Roman" w:cs="Times New Roman"/>
          <w:color w:val="auto"/>
          <w:szCs w:val="24"/>
          <w:lang w:eastAsia="zh-CN"/>
        </w:rPr>
        <w:t>T  — 预测计算的时间段，本次评价取16h；</w:t>
      </w:r>
    </w:p>
    <w:p w14:paraId="77F226C9">
      <w:pPr>
        <w:spacing w:line="360" w:lineRule="auto"/>
        <w:ind w:firstLine="1200" w:firstLineChars="500"/>
        <w:rPr>
          <w:rFonts w:ascii="Times New Roman" w:hAnsi="Times New Roman" w:cs="Times New Roman"/>
          <w:color w:val="auto"/>
          <w:szCs w:val="24"/>
          <w:lang w:eastAsia="zh-CN"/>
        </w:rPr>
      </w:pPr>
      <w:r>
        <w:rPr>
          <w:rFonts w:ascii="Times New Roman" w:hAnsi="Times New Roman" w:cs="Times New Roman"/>
          <w:color w:val="auto"/>
          <w:szCs w:val="24"/>
          <w:lang w:eastAsia="zh-CN"/>
        </w:rPr>
        <w:t>ti — i声源在T 时段内的运行时间。</w:t>
      </w:r>
    </w:p>
    <w:p w14:paraId="1FC6DA58">
      <w:pPr>
        <w:spacing w:line="360" w:lineRule="auto"/>
        <w:ind w:left="480"/>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3）</w:t>
      </w:r>
      <w:r>
        <w:rPr>
          <w:rFonts w:ascii="Times New Roman" w:hAnsi="Times New Roman" w:cs="Times New Roman"/>
          <w:color w:val="auto"/>
          <w:szCs w:val="24"/>
          <w:lang w:eastAsia="zh-CN"/>
        </w:rPr>
        <w:t>预测点的预测等效声级计算公式</w:t>
      </w:r>
    </w:p>
    <w:p w14:paraId="2AB3160C">
      <w:pPr>
        <w:spacing w:line="360" w:lineRule="auto"/>
        <w:ind w:firstLine="480"/>
        <w:jc w:val="center"/>
        <w:rPr>
          <w:rFonts w:ascii="Times New Roman" w:hAnsi="Times New Roman" w:cs="Times New Roman"/>
          <w:color w:val="auto"/>
          <w:szCs w:val="24"/>
          <w:lang w:eastAsia="zh-CN"/>
        </w:rPr>
      </w:pPr>
      <w:r>
        <w:rPr>
          <w:rFonts w:ascii="Times New Roman" w:hAnsi="Times New Roman" w:cs="Times New Roman"/>
          <w:color w:val="auto"/>
          <w:szCs w:val="24"/>
          <w:lang w:eastAsia="zh-CN"/>
        </w:rPr>
        <w:object>
          <v:shape id="_x0000_i1028" o:spt="75" type="#_x0000_t75" style="height:35.3pt;width:277.15pt;" o:ole="t" filled="f" coordsize="21600,21600">
            <v:path/>
            <v:fill on="f" focussize="0,0"/>
            <v:stroke/>
            <v:imagedata r:id="rId82" o:title=""/>
            <o:lock v:ext="edit" aspectratio="t"/>
            <w10:wrap type="none"/>
            <w10:anchorlock/>
          </v:shape>
          <o:OLEObject Type="Embed" ProgID="Equation.3" ShapeID="_x0000_i1028" DrawAspect="Content" ObjectID="_1468075728" r:id="rId81">
            <o:LockedField>false</o:LockedField>
          </o:OLEObject>
        </w:object>
      </w:r>
    </w:p>
    <w:p w14:paraId="3361870D">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式中：Leqg—建设项目声源在预测点的等效声级贡献值，dB(A)</w:t>
      </w:r>
    </w:p>
    <w:p w14:paraId="3F86DC82">
      <w:pPr>
        <w:spacing w:line="360" w:lineRule="auto"/>
        <w:ind w:firstLine="1200" w:firstLineChars="500"/>
        <w:rPr>
          <w:rFonts w:ascii="Times New Roman" w:hAnsi="Times New Roman" w:cs="Times New Roman"/>
          <w:color w:val="auto"/>
          <w:szCs w:val="24"/>
          <w:lang w:eastAsia="zh-CN"/>
        </w:rPr>
      </w:pPr>
      <w:r>
        <w:rPr>
          <w:rFonts w:ascii="Times New Roman" w:hAnsi="Times New Roman" w:cs="Times New Roman"/>
          <w:color w:val="auto"/>
          <w:szCs w:val="24"/>
          <w:lang w:eastAsia="zh-CN"/>
        </w:rPr>
        <w:t>L eqb— 预测点的背景值，dB(A)</w:t>
      </w:r>
    </w:p>
    <w:p w14:paraId="33C63873">
      <w:pPr>
        <w:spacing w:line="360" w:lineRule="auto"/>
        <w:ind w:firstLine="480" w:firstLineChars="200"/>
        <w:rPr>
          <w:rFonts w:ascii="Times New Roman" w:hAnsi="Times New Roman" w:cs="Times New Roman"/>
          <w:color w:val="auto"/>
          <w:szCs w:val="24"/>
          <w:lang w:eastAsia="zh-CN"/>
        </w:rPr>
      </w:pPr>
      <w:r>
        <w:rPr>
          <w:rFonts w:ascii="宋体" w:hAnsi="宋体" w:cs="Cambria Math"/>
          <w:color w:val="auto"/>
          <w:szCs w:val="24"/>
          <w:lang w:eastAsia="zh-CN"/>
        </w:rPr>
        <w:t>②</w:t>
      </w:r>
      <w:r>
        <w:rPr>
          <w:rFonts w:ascii="Times New Roman" w:hAnsi="Times New Roman" w:cs="Times New Roman"/>
          <w:color w:val="auto"/>
          <w:szCs w:val="24"/>
          <w:lang w:eastAsia="zh-CN"/>
        </w:rPr>
        <w:t xml:space="preserve"> 预测结果</w:t>
      </w:r>
    </w:p>
    <w:p w14:paraId="567069B8">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通常情况下，施工现场都是不同工种、不同设备同时施工。因此，本评价类比其他项目施工过程中可能出现的施工方案，考虑不同施工情景下的多台设备同时施工对区域声环境造成的影响结果汇总见下表。</w:t>
      </w:r>
    </w:p>
    <w:p w14:paraId="31949ECC">
      <w:pPr>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表6.1-4 不同施工情景下施工噪声预测结果一览表单位：dB(A)</w:t>
      </w:r>
    </w:p>
    <w:tbl>
      <w:tblPr>
        <w:tblStyle w:val="35"/>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061"/>
        <w:gridCol w:w="2593"/>
        <w:gridCol w:w="800"/>
        <w:gridCol w:w="942"/>
        <w:gridCol w:w="942"/>
        <w:gridCol w:w="942"/>
        <w:gridCol w:w="942"/>
        <w:gridCol w:w="794"/>
        <w:gridCol w:w="726"/>
      </w:tblGrid>
      <w:tr w14:paraId="6295694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44" w:type="pct"/>
            <w:vMerge w:val="restart"/>
            <w:vAlign w:val="center"/>
          </w:tcPr>
          <w:p w14:paraId="2D9CC19E">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施工阶段</w:t>
            </w:r>
          </w:p>
        </w:tc>
        <w:tc>
          <w:tcPr>
            <w:tcW w:w="1329" w:type="pct"/>
            <w:vMerge w:val="restart"/>
            <w:vAlign w:val="center"/>
          </w:tcPr>
          <w:p w14:paraId="71BC8524">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情景组合</w:t>
            </w:r>
          </w:p>
        </w:tc>
        <w:tc>
          <w:tcPr>
            <w:tcW w:w="410" w:type="pct"/>
            <w:vMerge w:val="restart"/>
            <w:vAlign w:val="center"/>
          </w:tcPr>
          <w:p w14:paraId="684C9F80">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50 m</w:t>
            </w:r>
          </w:p>
        </w:tc>
        <w:tc>
          <w:tcPr>
            <w:tcW w:w="483" w:type="pct"/>
            <w:vMerge w:val="restart"/>
            <w:vAlign w:val="center"/>
          </w:tcPr>
          <w:p w14:paraId="5E8FE137">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100 m</w:t>
            </w:r>
          </w:p>
        </w:tc>
        <w:tc>
          <w:tcPr>
            <w:tcW w:w="483" w:type="pct"/>
            <w:vMerge w:val="restart"/>
            <w:vAlign w:val="center"/>
          </w:tcPr>
          <w:p w14:paraId="50BFF483">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150 m</w:t>
            </w:r>
          </w:p>
        </w:tc>
        <w:tc>
          <w:tcPr>
            <w:tcW w:w="483" w:type="pct"/>
            <w:vMerge w:val="restart"/>
            <w:vAlign w:val="center"/>
          </w:tcPr>
          <w:p w14:paraId="6F143741">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200 m</w:t>
            </w:r>
          </w:p>
        </w:tc>
        <w:tc>
          <w:tcPr>
            <w:tcW w:w="483" w:type="pct"/>
            <w:vMerge w:val="restart"/>
            <w:vAlign w:val="center"/>
          </w:tcPr>
          <w:p w14:paraId="7598A781">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300 m</w:t>
            </w:r>
          </w:p>
        </w:tc>
        <w:tc>
          <w:tcPr>
            <w:tcW w:w="779" w:type="pct"/>
            <w:gridSpan w:val="2"/>
            <w:vAlign w:val="center"/>
          </w:tcPr>
          <w:p w14:paraId="7C5EF978">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达标距离(m)</w:t>
            </w:r>
          </w:p>
        </w:tc>
      </w:tr>
      <w:tr w14:paraId="46ED3A5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44" w:type="pct"/>
            <w:vMerge w:val="continue"/>
            <w:vAlign w:val="center"/>
          </w:tcPr>
          <w:p w14:paraId="18F5A0CB">
            <w:pPr>
              <w:adjustRightInd w:val="0"/>
              <w:snapToGrid w:val="0"/>
              <w:jc w:val="center"/>
              <w:rPr>
                <w:rFonts w:ascii="Times New Roman" w:hAnsi="Times New Roman" w:cs="Times New Roman"/>
                <w:b/>
                <w:bCs/>
                <w:color w:val="auto"/>
                <w:sz w:val="21"/>
                <w:lang w:eastAsia="zh-CN"/>
              </w:rPr>
            </w:pPr>
          </w:p>
        </w:tc>
        <w:tc>
          <w:tcPr>
            <w:tcW w:w="1329" w:type="pct"/>
            <w:vMerge w:val="continue"/>
            <w:vAlign w:val="center"/>
          </w:tcPr>
          <w:p w14:paraId="22263BDA">
            <w:pPr>
              <w:adjustRightInd w:val="0"/>
              <w:snapToGrid w:val="0"/>
              <w:jc w:val="center"/>
              <w:rPr>
                <w:rFonts w:ascii="Times New Roman" w:hAnsi="Times New Roman" w:cs="Times New Roman"/>
                <w:b/>
                <w:bCs/>
                <w:color w:val="auto"/>
                <w:sz w:val="21"/>
                <w:lang w:eastAsia="zh-CN"/>
              </w:rPr>
            </w:pPr>
          </w:p>
        </w:tc>
        <w:tc>
          <w:tcPr>
            <w:tcW w:w="410" w:type="pct"/>
            <w:vMerge w:val="continue"/>
            <w:vAlign w:val="center"/>
          </w:tcPr>
          <w:p w14:paraId="2FD2E533">
            <w:pPr>
              <w:adjustRightInd w:val="0"/>
              <w:snapToGrid w:val="0"/>
              <w:jc w:val="center"/>
              <w:rPr>
                <w:rFonts w:ascii="Times New Roman" w:hAnsi="Times New Roman" w:cs="Times New Roman"/>
                <w:b/>
                <w:bCs/>
                <w:color w:val="auto"/>
                <w:sz w:val="21"/>
                <w:lang w:eastAsia="zh-CN"/>
              </w:rPr>
            </w:pPr>
          </w:p>
        </w:tc>
        <w:tc>
          <w:tcPr>
            <w:tcW w:w="483" w:type="pct"/>
            <w:vMerge w:val="continue"/>
            <w:vAlign w:val="center"/>
          </w:tcPr>
          <w:p w14:paraId="48AFA88C">
            <w:pPr>
              <w:adjustRightInd w:val="0"/>
              <w:snapToGrid w:val="0"/>
              <w:jc w:val="center"/>
              <w:rPr>
                <w:rFonts w:ascii="Times New Roman" w:hAnsi="Times New Roman" w:cs="Times New Roman"/>
                <w:b/>
                <w:bCs/>
                <w:color w:val="auto"/>
                <w:sz w:val="21"/>
                <w:lang w:eastAsia="zh-CN"/>
              </w:rPr>
            </w:pPr>
          </w:p>
        </w:tc>
        <w:tc>
          <w:tcPr>
            <w:tcW w:w="483" w:type="pct"/>
            <w:vMerge w:val="continue"/>
            <w:vAlign w:val="center"/>
          </w:tcPr>
          <w:p w14:paraId="15E1E698">
            <w:pPr>
              <w:adjustRightInd w:val="0"/>
              <w:snapToGrid w:val="0"/>
              <w:jc w:val="center"/>
              <w:rPr>
                <w:rFonts w:ascii="Times New Roman" w:hAnsi="Times New Roman" w:cs="Times New Roman"/>
                <w:b/>
                <w:bCs/>
                <w:color w:val="auto"/>
                <w:sz w:val="21"/>
                <w:lang w:eastAsia="zh-CN"/>
              </w:rPr>
            </w:pPr>
          </w:p>
        </w:tc>
        <w:tc>
          <w:tcPr>
            <w:tcW w:w="483" w:type="pct"/>
            <w:vMerge w:val="continue"/>
            <w:vAlign w:val="center"/>
          </w:tcPr>
          <w:p w14:paraId="1657FFA2">
            <w:pPr>
              <w:adjustRightInd w:val="0"/>
              <w:snapToGrid w:val="0"/>
              <w:jc w:val="center"/>
              <w:rPr>
                <w:rFonts w:ascii="Times New Roman" w:hAnsi="Times New Roman" w:cs="Times New Roman"/>
                <w:b/>
                <w:bCs/>
                <w:color w:val="auto"/>
                <w:sz w:val="21"/>
                <w:lang w:eastAsia="zh-CN"/>
              </w:rPr>
            </w:pPr>
          </w:p>
        </w:tc>
        <w:tc>
          <w:tcPr>
            <w:tcW w:w="483" w:type="pct"/>
            <w:vMerge w:val="continue"/>
            <w:vAlign w:val="center"/>
          </w:tcPr>
          <w:p w14:paraId="48F695FC">
            <w:pPr>
              <w:adjustRightInd w:val="0"/>
              <w:snapToGrid w:val="0"/>
              <w:jc w:val="center"/>
              <w:rPr>
                <w:rFonts w:ascii="Times New Roman" w:hAnsi="Times New Roman" w:cs="Times New Roman"/>
                <w:b/>
                <w:bCs/>
                <w:color w:val="auto"/>
                <w:sz w:val="21"/>
                <w:lang w:eastAsia="zh-CN"/>
              </w:rPr>
            </w:pPr>
          </w:p>
        </w:tc>
        <w:tc>
          <w:tcPr>
            <w:tcW w:w="407" w:type="pct"/>
            <w:vAlign w:val="center"/>
          </w:tcPr>
          <w:p w14:paraId="36E4BDDD">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昼间</w:t>
            </w:r>
          </w:p>
        </w:tc>
        <w:tc>
          <w:tcPr>
            <w:tcW w:w="372" w:type="pct"/>
            <w:vAlign w:val="center"/>
          </w:tcPr>
          <w:p w14:paraId="00548E8C">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夜间</w:t>
            </w:r>
          </w:p>
        </w:tc>
      </w:tr>
      <w:tr w14:paraId="0F27795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44" w:type="pct"/>
            <w:vAlign w:val="center"/>
          </w:tcPr>
          <w:p w14:paraId="15E51A1E">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打桩</w:t>
            </w:r>
          </w:p>
        </w:tc>
        <w:tc>
          <w:tcPr>
            <w:tcW w:w="1329" w:type="pct"/>
            <w:vAlign w:val="center"/>
          </w:tcPr>
          <w:p w14:paraId="1127BD54">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打桩机、重型运输车</w:t>
            </w:r>
          </w:p>
        </w:tc>
        <w:tc>
          <w:tcPr>
            <w:tcW w:w="410" w:type="pct"/>
            <w:vAlign w:val="center"/>
          </w:tcPr>
          <w:p w14:paraId="3C96FD7B">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96.48</w:t>
            </w:r>
          </w:p>
        </w:tc>
        <w:tc>
          <w:tcPr>
            <w:tcW w:w="483" w:type="pct"/>
            <w:vAlign w:val="center"/>
          </w:tcPr>
          <w:p w14:paraId="078739D8">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89.28</w:t>
            </w:r>
          </w:p>
        </w:tc>
        <w:tc>
          <w:tcPr>
            <w:tcW w:w="483" w:type="pct"/>
            <w:vAlign w:val="center"/>
          </w:tcPr>
          <w:p w14:paraId="69C2C4FE">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84.96</w:t>
            </w:r>
          </w:p>
        </w:tc>
        <w:tc>
          <w:tcPr>
            <w:tcW w:w="483" w:type="pct"/>
            <w:vAlign w:val="center"/>
          </w:tcPr>
          <w:p w14:paraId="700C46F2">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82.08</w:t>
            </w:r>
          </w:p>
        </w:tc>
        <w:tc>
          <w:tcPr>
            <w:tcW w:w="483" w:type="pct"/>
            <w:vAlign w:val="center"/>
          </w:tcPr>
          <w:p w14:paraId="220AA9BA">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77.52</w:t>
            </w:r>
          </w:p>
        </w:tc>
        <w:tc>
          <w:tcPr>
            <w:tcW w:w="407" w:type="pct"/>
            <w:vAlign w:val="center"/>
          </w:tcPr>
          <w:p w14:paraId="0E1E0922">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162</w:t>
            </w:r>
          </w:p>
        </w:tc>
        <w:tc>
          <w:tcPr>
            <w:tcW w:w="372" w:type="pct"/>
            <w:vAlign w:val="center"/>
          </w:tcPr>
          <w:p w14:paraId="3151188C">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258</w:t>
            </w:r>
          </w:p>
        </w:tc>
      </w:tr>
      <w:tr w14:paraId="5F35740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44" w:type="pct"/>
            <w:vAlign w:val="center"/>
          </w:tcPr>
          <w:p w14:paraId="7867E210">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土石方</w:t>
            </w:r>
          </w:p>
        </w:tc>
        <w:tc>
          <w:tcPr>
            <w:tcW w:w="1329" w:type="pct"/>
            <w:vAlign w:val="center"/>
          </w:tcPr>
          <w:p w14:paraId="445874A0">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推土机、挖掘机、压路机、重型运输车</w:t>
            </w:r>
          </w:p>
        </w:tc>
        <w:tc>
          <w:tcPr>
            <w:tcW w:w="410" w:type="pct"/>
            <w:vAlign w:val="center"/>
          </w:tcPr>
          <w:p w14:paraId="107EFEDC">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81.48</w:t>
            </w:r>
          </w:p>
        </w:tc>
        <w:tc>
          <w:tcPr>
            <w:tcW w:w="483" w:type="pct"/>
            <w:vAlign w:val="center"/>
          </w:tcPr>
          <w:p w14:paraId="73040480">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74.16</w:t>
            </w:r>
          </w:p>
        </w:tc>
        <w:tc>
          <w:tcPr>
            <w:tcW w:w="483" w:type="pct"/>
            <w:vAlign w:val="center"/>
          </w:tcPr>
          <w:p w14:paraId="7C2DA6B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70.08</w:t>
            </w:r>
          </w:p>
        </w:tc>
        <w:tc>
          <w:tcPr>
            <w:tcW w:w="483" w:type="pct"/>
            <w:vAlign w:val="center"/>
          </w:tcPr>
          <w:p w14:paraId="7E62DE26">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67.08</w:t>
            </w:r>
          </w:p>
        </w:tc>
        <w:tc>
          <w:tcPr>
            <w:tcW w:w="483" w:type="pct"/>
            <w:vAlign w:val="center"/>
          </w:tcPr>
          <w:p w14:paraId="31F1663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62.76</w:t>
            </w:r>
          </w:p>
        </w:tc>
        <w:tc>
          <w:tcPr>
            <w:tcW w:w="407" w:type="pct"/>
            <w:vAlign w:val="center"/>
          </w:tcPr>
          <w:p w14:paraId="14EC3DE8">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84</w:t>
            </w:r>
          </w:p>
        </w:tc>
        <w:tc>
          <w:tcPr>
            <w:tcW w:w="372" w:type="pct"/>
            <w:vAlign w:val="center"/>
          </w:tcPr>
          <w:p w14:paraId="460F978A">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179</w:t>
            </w:r>
          </w:p>
        </w:tc>
      </w:tr>
      <w:tr w14:paraId="5050321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44" w:type="pct"/>
            <w:vAlign w:val="center"/>
          </w:tcPr>
          <w:p w14:paraId="20B21EA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结构</w:t>
            </w:r>
          </w:p>
        </w:tc>
        <w:tc>
          <w:tcPr>
            <w:tcW w:w="1329" w:type="pct"/>
            <w:vAlign w:val="center"/>
          </w:tcPr>
          <w:p w14:paraId="6C4E6672">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商砼搅拌车、混凝土振捣器、电锯、重型运输车</w:t>
            </w:r>
          </w:p>
        </w:tc>
        <w:tc>
          <w:tcPr>
            <w:tcW w:w="410" w:type="pct"/>
            <w:vAlign w:val="center"/>
          </w:tcPr>
          <w:p w14:paraId="16BD20B2">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88.92</w:t>
            </w:r>
          </w:p>
        </w:tc>
        <w:tc>
          <w:tcPr>
            <w:tcW w:w="483" w:type="pct"/>
            <w:vAlign w:val="center"/>
          </w:tcPr>
          <w:p w14:paraId="709C1B1D">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81.72</w:t>
            </w:r>
          </w:p>
        </w:tc>
        <w:tc>
          <w:tcPr>
            <w:tcW w:w="483" w:type="pct"/>
            <w:vAlign w:val="center"/>
          </w:tcPr>
          <w:p w14:paraId="2FC90832">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77.52</w:t>
            </w:r>
          </w:p>
        </w:tc>
        <w:tc>
          <w:tcPr>
            <w:tcW w:w="483" w:type="pct"/>
            <w:vAlign w:val="center"/>
          </w:tcPr>
          <w:p w14:paraId="4E4C25ED">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74.52</w:t>
            </w:r>
          </w:p>
        </w:tc>
        <w:tc>
          <w:tcPr>
            <w:tcW w:w="483" w:type="pct"/>
            <w:vAlign w:val="center"/>
          </w:tcPr>
          <w:p w14:paraId="5A57E50A">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70.2</w:t>
            </w:r>
          </w:p>
        </w:tc>
        <w:tc>
          <w:tcPr>
            <w:tcW w:w="407" w:type="pct"/>
            <w:vAlign w:val="center"/>
          </w:tcPr>
          <w:p w14:paraId="78FA98B4">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131</w:t>
            </w:r>
          </w:p>
        </w:tc>
        <w:tc>
          <w:tcPr>
            <w:tcW w:w="372" w:type="pct"/>
            <w:vAlign w:val="center"/>
          </w:tcPr>
          <w:p w14:paraId="40C13D0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294</w:t>
            </w:r>
          </w:p>
        </w:tc>
      </w:tr>
      <w:tr w14:paraId="0102225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44" w:type="pct"/>
            <w:vAlign w:val="center"/>
          </w:tcPr>
          <w:p w14:paraId="2F9EFE7E">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装卸</w:t>
            </w:r>
          </w:p>
        </w:tc>
        <w:tc>
          <w:tcPr>
            <w:tcW w:w="1329" w:type="pct"/>
            <w:vAlign w:val="center"/>
          </w:tcPr>
          <w:p w14:paraId="0195E299">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重型运输车</w:t>
            </w:r>
          </w:p>
        </w:tc>
        <w:tc>
          <w:tcPr>
            <w:tcW w:w="410" w:type="pct"/>
            <w:vAlign w:val="center"/>
          </w:tcPr>
          <w:p w14:paraId="6E22AB3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74.4</w:t>
            </w:r>
          </w:p>
        </w:tc>
        <w:tc>
          <w:tcPr>
            <w:tcW w:w="483" w:type="pct"/>
            <w:vAlign w:val="center"/>
          </w:tcPr>
          <w:p w14:paraId="43107B69">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67.2</w:t>
            </w:r>
          </w:p>
        </w:tc>
        <w:tc>
          <w:tcPr>
            <w:tcW w:w="483" w:type="pct"/>
            <w:vAlign w:val="center"/>
          </w:tcPr>
          <w:p w14:paraId="6A5B435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63</w:t>
            </w:r>
          </w:p>
        </w:tc>
        <w:tc>
          <w:tcPr>
            <w:tcW w:w="483" w:type="pct"/>
            <w:vAlign w:val="center"/>
          </w:tcPr>
          <w:p w14:paraId="4A330C10">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60</w:t>
            </w:r>
          </w:p>
        </w:tc>
        <w:tc>
          <w:tcPr>
            <w:tcW w:w="483" w:type="pct"/>
            <w:vAlign w:val="center"/>
          </w:tcPr>
          <w:p w14:paraId="2362A924">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55.68</w:t>
            </w:r>
          </w:p>
        </w:tc>
        <w:tc>
          <w:tcPr>
            <w:tcW w:w="407" w:type="pct"/>
            <w:vAlign w:val="center"/>
          </w:tcPr>
          <w:p w14:paraId="1AFF9010">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43</w:t>
            </w:r>
          </w:p>
        </w:tc>
        <w:tc>
          <w:tcPr>
            <w:tcW w:w="372" w:type="pct"/>
            <w:vAlign w:val="center"/>
          </w:tcPr>
          <w:p w14:paraId="59468250">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134</w:t>
            </w:r>
          </w:p>
        </w:tc>
      </w:tr>
    </w:tbl>
    <w:p w14:paraId="49ED0175">
      <w:pPr>
        <w:widowControl w:val="0"/>
        <w:spacing w:line="360" w:lineRule="auto"/>
        <w:ind w:firstLine="480" w:firstLineChars="200"/>
        <w:rPr>
          <w:rFonts w:ascii="Times New Roman" w:hAnsi="Times New Roman" w:cs="Times New Roman"/>
          <w:color w:val="auto"/>
          <w:szCs w:val="24"/>
          <w:lang w:eastAsia="zh-CN"/>
        </w:rPr>
      </w:pPr>
      <w:r>
        <w:rPr>
          <w:rFonts w:ascii="宋体" w:hAnsi="宋体" w:cs="Cambria Math"/>
          <w:color w:val="auto"/>
          <w:szCs w:val="24"/>
          <w:lang w:eastAsia="zh-CN"/>
        </w:rPr>
        <w:t>③</w:t>
      </w:r>
      <w:r>
        <w:rPr>
          <w:rFonts w:ascii="Times New Roman" w:hAnsi="Times New Roman" w:cs="Times New Roman"/>
          <w:color w:val="auto"/>
          <w:szCs w:val="24"/>
          <w:lang w:eastAsia="zh-CN"/>
        </w:rPr>
        <w:t xml:space="preserve"> 影响分析</w:t>
      </w:r>
    </w:p>
    <w:p w14:paraId="245DBDC6">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预测结果表明，在仅考虑点声源衰减的前提下，昼间施工机械最大影响距离为84</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162m，夜间施工机械最大影响距离为134</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294m。</w:t>
      </w:r>
    </w:p>
    <w:p w14:paraId="3B4612D2">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本项目在合理安排施工作业时间、严格执行施工噪声污染防治措施的基础上，施工噪声对周边声环境质量造成的不利影响较小。</w:t>
      </w:r>
    </w:p>
    <w:p w14:paraId="0A4CDD7B">
      <w:pPr>
        <w:widowControl w:val="0"/>
        <w:spacing w:line="360" w:lineRule="auto"/>
        <w:ind w:left="48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1、</w:t>
      </w:r>
      <w:r>
        <w:rPr>
          <w:rFonts w:ascii="Times New Roman" w:hAnsi="Times New Roman" w:cs="Times New Roman"/>
          <w:color w:val="auto"/>
          <w:szCs w:val="24"/>
          <w:lang w:eastAsia="zh-CN"/>
        </w:rPr>
        <w:t>施工噪声防治措施</w:t>
      </w:r>
    </w:p>
    <w:p w14:paraId="41D96D55">
      <w:pPr>
        <w:widowControl w:val="0"/>
        <w:spacing w:line="360" w:lineRule="auto"/>
        <w:ind w:firstLine="480" w:firstLineChars="200"/>
        <w:jc w:val="both"/>
        <w:rPr>
          <w:rFonts w:ascii="Times New Roman" w:hAnsi="Times New Roman" w:cs="Times New Roman"/>
          <w:color w:val="auto"/>
          <w:szCs w:val="24"/>
          <w:lang w:eastAsia="zh-CN"/>
        </w:rPr>
      </w:pPr>
      <w:r>
        <w:rPr>
          <w:rFonts w:ascii="宋体" w:hAnsi="宋体" w:cs="Cambria Math"/>
          <w:color w:val="auto"/>
          <w:szCs w:val="24"/>
          <w:lang w:eastAsia="zh-CN"/>
        </w:rPr>
        <w:t>①</w:t>
      </w:r>
      <w:r>
        <w:rPr>
          <w:rFonts w:ascii="Times New Roman" w:hAnsi="Times New Roman" w:cs="Times New Roman"/>
          <w:color w:val="auto"/>
          <w:szCs w:val="24"/>
          <w:lang w:eastAsia="zh-CN"/>
        </w:rPr>
        <w:t xml:space="preserve"> 为减轻施工噪声对周围居民的影响，施工期应严格执行《建筑施工噪声排放标准》（GB12523-20</w:t>
      </w:r>
      <w:r>
        <w:rPr>
          <w:rFonts w:hint="eastAsia" w:ascii="Times New Roman" w:hAnsi="Times New Roman" w:cs="Times New Roman"/>
          <w:color w:val="auto"/>
          <w:szCs w:val="24"/>
          <w:lang w:eastAsia="zh-CN"/>
        </w:rPr>
        <w:t>25</w:t>
      </w:r>
      <w:r>
        <w:rPr>
          <w:rFonts w:ascii="Times New Roman" w:hAnsi="Times New Roman" w:cs="Times New Roman"/>
          <w:color w:val="auto"/>
          <w:szCs w:val="24"/>
          <w:lang w:eastAsia="zh-CN"/>
        </w:rPr>
        <w:t>）有关规定，加强管理，控制同时作业的高噪声设备的数量。夜间禁止进行打桩作业。</w:t>
      </w:r>
    </w:p>
    <w:p w14:paraId="4D4431D1">
      <w:pPr>
        <w:widowControl w:val="0"/>
        <w:spacing w:line="360" w:lineRule="auto"/>
        <w:ind w:firstLine="480" w:firstLineChars="200"/>
        <w:jc w:val="both"/>
        <w:rPr>
          <w:rFonts w:ascii="Times New Roman" w:hAnsi="Times New Roman" w:cs="Times New Roman"/>
          <w:color w:val="auto"/>
          <w:szCs w:val="24"/>
          <w:lang w:eastAsia="zh-CN"/>
        </w:rPr>
      </w:pPr>
      <w:r>
        <w:rPr>
          <w:rFonts w:ascii="宋体" w:hAnsi="宋体" w:cs="Cambria Math"/>
          <w:color w:val="auto"/>
          <w:szCs w:val="24"/>
          <w:lang w:eastAsia="zh-CN"/>
        </w:rPr>
        <w:t>②</w:t>
      </w:r>
      <w:r>
        <w:rPr>
          <w:rFonts w:ascii="Times New Roman" w:hAnsi="Times New Roman" w:cs="Times New Roman"/>
          <w:color w:val="auto"/>
          <w:szCs w:val="24"/>
          <w:lang w:eastAsia="zh-CN"/>
        </w:rPr>
        <w:t xml:space="preserve"> 施工机械噪声往往具有突发、无规则、不连续和高强度等特点，对于此类情况，一般可采取合理安排施工机械操作时间的方法加以缓解。如噪声源强大的作业可放在昼间(06:00</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22:00)或对各种施工机械作业时间加以适当调整。</w:t>
      </w:r>
    </w:p>
    <w:p w14:paraId="4C37F3E5">
      <w:pPr>
        <w:widowControl w:val="0"/>
        <w:spacing w:line="360" w:lineRule="auto"/>
        <w:ind w:firstLine="480" w:firstLineChars="200"/>
        <w:jc w:val="both"/>
        <w:rPr>
          <w:rFonts w:ascii="Times New Roman" w:hAnsi="Times New Roman" w:cs="Times New Roman"/>
          <w:color w:val="auto"/>
          <w:szCs w:val="24"/>
          <w:lang w:eastAsia="zh-CN"/>
        </w:rPr>
      </w:pPr>
      <w:r>
        <w:rPr>
          <w:rFonts w:ascii="宋体" w:hAnsi="宋体" w:cs="Cambria Math"/>
          <w:color w:val="auto"/>
          <w:szCs w:val="24"/>
          <w:lang w:eastAsia="zh-CN"/>
        </w:rPr>
        <w:t>③</w:t>
      </w:r>
      <w:r>
        <w:rPr>
          <w:rFonts w:ascii="Times New Roman" w:hAnsi="Times New Roman" w:cs="Times New Roman"/>
          <w:color w:val="auto"/>
          <w:szCs w:val="24"/>
          <w:lang w:eastAsia="zh-CN"/>
        </w:rPr>
        <w:t xml:space="preserve"> 对于施工期间的材料运输、敲击等施工声源，要求施工队通过文明施工、加强有效管理加以缓解。</w:t>
      </w:r>
    </w:p>
    <w:p w14:paraId="19947149">
      <w:pPr>
        <w:widowControl w:val="0"/>
        <w:spacing w:line="360" w:lineRule="auto"/>
        <w:ind w:firstLine="480" w:firstLineChars="200"/>
        <w:jc w:val="both"/>
        <w:rPr>
          <w:rFonts w:ascii="Times New Roman" w:hAnsi="Times New Roman" w:cs="Times New Roman"/>
          <w:color w:val="auto"/>
          <w:szCs w:val="24"/>
          <w:lang w:eastAsia="zh-CN"/>
        </w:rPr>
      </w:pPr>
      <w:r>
        <w:rPr>
          <w:rFonts w:ascii="宋体" w:hAnsi="宋体" w:cs="Cambria Math"/>
          <w:color w:val="auto"/>
          <w:szCs w:val="24"/>
          <w:lang w:eastAsia="zh-CN"/>
        </w:rPr>
        <w:t>④</w:t>
      </w:r>
      <w:r>
        <w:rPr>
          <w:rFonts w:ascii="Times New Roman" w:hAnsi="Times New Roman" w:cs="Times New Roman"/>
          <w:color w:val="auto"/>
          <w:szCs w:val="24"/>
          <w:lang w:eastAsia="zh-CN"/>
        </w:rPr>
        <w:t xml:space="preserve"> 考虑到项目施工期间工地来往车辆行驶可能会对沿途声环境造成一定的影响，本次评价建议工程施工材料运输应安排在白天进行，禁止夜间扰民。</w:t>
      </w:r>
    </w:p>
    <w:p w14:paraId="6ECAAFDE">
      <w:pPr>
        <w:widowControl w:val="0"/>
        <w:spacing w:line="360" w:lineRule="auto"/>
        <w:ind w:firstLine="480" w:firstLineChars="200"/>
        <w:jc w:val="both"/>
        <w:rPr>
          <w:rFonts w:ascii="Times New Roman" w:hAnsi="Times New Roman" w:cs="Times New Roman"/>
          <w:color w:val="auto"/>
          <w:szCs w:val="24"/>
          <w:lang w:eastAsia="zh-CN"/>
        </w:rPr>
      </w:pPr>
      <w:r>
        <w:rPr>
          <w:rFonts w:ascii="宋体" w:hAnsi="宋体" w:cs="Cambria Math"/>
          <w:color w:val="auto"/>
          <w:szCs w:val="24"/>
          <w:lang w:eastAsia="zh-CN"/>
        </w:rPr>
        <w:t>⑤</w:t>
      </w:r>
      <w:r>
        <w:rPr>
          <w:rFonts w:ascii="Times New Roman" w:hAnsi="Times New Roman" w:cs="Times New Roman"/>
          <w:color w:val="auto"/>
          <w:szCs w:val="24"/>
          <w:lang w:eastAsia="zh-CN"/>
        </w:rPr>
        <w:t xml:space="preserve"> 运输车辆进入现场应减速，并减少鸣笛；同时应合理安排施工工期，尽量避免夜间施工，如需进行夜间施工作业，需征得当地环保部门的同意，并告知周围居民，取得当地居民的谅解和支持。</w:t>
      </w:r>
    </w:p>
    <w:p w14:paraId="5B3027C5">
      <w:pPr>
        <w:spacing w:line="360" w:lineRule="auto"/>
        <w:ind w:firstLine="482"/>
        <w:jc w:val="both"/>
        <w:outlineLvl w:val="2"/>
        <w:rPr>
          <w:rFonts w:ascii="Times New Roman" w:hAnsi="Times New Roman" w:cs="Times New Roman"/>
          <w:b/>
          <w:bCs/>
          <w:color w:val="auto"/>
          <w:szCs w:val="24"/>
          <w:lang w:eastAsia="zh-CN"/>
        </w:rPr>
      </w:pPr>
      <w:bookmarkStart w:id="1385" w:name="_Toc236641858"/>
      <w:bookmarkStart w:id="1386" w:name="_Toc236641341"/>
      <w:bookmarkStart w:id="1387" w:name="_Toc237508323"/>
      <w:bookmarkStart w:id="1388" w:name="_Toc231828610"/>
      <w:r>
        <w:rPr>
          <w:rFonts w:ascii="Times New Roman" w:hAnsi="Times New Roman" w:cs="Times New Roman"/>
          <w:b/>
          <w:bCs/>
          <w:color w:val="auto"/>
          <w:szCs w:val="24"/>
          <w:lang w:eastAsia="zh-CN"/>
        </w:rPr>
        <w:t>6.1.</w:t>
      </w:r>
      <w:r>
        <w:rPr>
          <w:rFonts w:hint="eastAsia" w:ascii="Times New Roman" w:hAnsi="Times New Roman" w:cs="Times New Roman"/>
          <w:b/>
          <w:bCs/>
          <w:color w:val="auto"/>
          <w:szCs w:val="24"/>
          <w:lang w:eastAsia="zh-CN"/>
        </w:rPr>
        <w:t>4</w:t>
      </w:r>
      <w:r>
        <w:rPr>
          <w:rFonts w:ascii="Times New Roman" w:hAnsi="Times New Roman" w:cs="Times New Roman"/>
          <w:b/>
          <w:bCs/>
          <w:color w:val="auto"/>
          <w:szCs w:val="24"/>
          <w:lang w:eastAsia="zh-CN"/>
        </w:rPr>
        <w:t xml:space="preserve"> 施工期</w:t>
      </w:r>
      <w:r>
        <w:rPr>
          <w:rFonts w:hint="eastAsia" w:ascii="Times New Roman" w:hAnsi="Times New Roman" w:cs="Times New Roman"/>
          <w:b/>
          <w:bCs/>
          <w:color w:val="auto"/>
          <w:szCs w:val="24"/>
          <w:lang w:eastAsia="zh-CN"/>
        </w:rPr>
        <w:t>固废处置</w:t>
      </w:r>
      <w:r>
        <w:rPr>
          <w:rFonts w:ascii="Times New Roman" w:hAnsi="Times New Roman" w:cs="Times New Roman"/>
          <w:b/>
          <w:bCs/>
          <w:color w:val="auto"/>
          <w:szCs w:val="24"/>
          <w:lang w:eastAsia="zh-CN"/>
        </w:rPr>
        <w:t>影响及污染防治措施</w:t>
      </w:r>
      <w:bookmarkEnd w:id="1385"/>
      <w:bookmarkEnd w:id="1386"/>
      <w:bookmarkEnd w:id="1387"/>
      <w:bookmarkEnd w:id="1388"/>
    </w:p>
    <w:p w14:paraId="0AC693CF">
      <w:pPr>
        <w:widowControl w:val="0"/>
        <w:spacing w:line="360" w:lineRule="auto"/>
        <w:ind w:left="48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1、</w:t>
      </w:r>
      <w:r>
        <w:rPr>
          <w:rFonts w:ascii="Times New Roman" w:hAnsi="Times New Roman" w:cs="Times New Roman"/>
          <w:color w:val="auto"/>
          <w:szCs w:val="24"/>
          <w:lang w:eastAsia="zh-CN"/>
        </w:rPr>
        <w:t>固废来源分析</w:t>
      </w:r>
    </w:p>
    <w:p w14:paraId="47C0C0EE">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施工期固体废弃物主要包括施工人员的生活垃圾和施工过程中产生的建筑垃圾、废弃土石方等施工废弃物。</w:t>
      </w:r>
      <w:bookmarkStart w:id="1389" w:name="_Toc15018"/>
    </w:p>
    <w:p w14:paraId="3342131C">
      <w:pPr>
        <w:widowControl w:val="0"/>
        <w:spacing w:line="360" w:lineRule="auto"/>
        <w:ind w:left="48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（1）</w:t>
      </w:r>
      <w:r>
        <w:rPr>
          <w:rFonts w:ascii="Times New Roman" w:hAnsi="Times New Roman" w:cs="Times New Roman"/>
          <w:color w:val="auto"/>
          <w:szCs w:val="24"/>
          <w:lang w:eastAsia="zh-CN"/>
        </w:rPr>
        <w:t>生活垃圾</w:t>
      </w:r>
      <w:bookmarkEnd w:id="1389"/>
    </w:p>
    <w:p w14:paraId="08E3E3BB">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根据类比分析，本项目高峰期施工人数可达50人，人均生活垃圾的产生量按0.5kg/d计算，则施工现场的生活垃圾产生量大约为25kg/d。</w:t>
      </w:r>
    </w:p>
    <w:p w14:paraId="29A42625">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施工期间产生的生活垃圾如不及时处理，在气温适宜的条件下则会滋生蚊虫、产生恶臭并传播疾病，对周围环境产生不利影响；施工废弃物如不及时处理，不仅影响景观，而且在遇大风干燥天气时，将产生扬尘。</w:t>
      </w:r>
    </w:p>
    <w:p w14:paraId="19582F89">
      <w:pPr>
        <w:widowControl w:val="0"/>
        <w:spacing w:line="360" w:lineRule="auto"/>
        <w:ind w:left="48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（2）</w:t>
      </w:r>
      <w:r>
        <w:rPr>
          <w:rFonts w:ascii="Times New Roman" w:hAnsi="Times New Roman" w:cs="Times New Roman"/>
          <w:color w:val="auto"/>
          <w:szCs w:val="24"/>
          <w:lang w:eastAsia="zh-CN"/>
        </w:rPr>
        <w:t>建筑垃圾</w:t>
      </w:r>
    </w:p>
    <w:p w14:paraId="6724694B">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施工期间进行的地面挖掘、道路修筑、管道敷设、材料运输、地基基础、房屋建设等工程会产生一定量的废弃物，如土方石、砂石、混凝土、木材、废砖、废弃包装材料等等，基本无毒性，有害程度较低，为一般废物。但如若长时间不进行处理，不仅影响景观生态，在遇到大风干燥天气时，会长生大量扬尘，影响大气环境。</w:t>
      </w:r>
    </w:p>
    <w:p w14:paraId="7AE849DE">
      <w:pPr>
        <w:widowControl w:val="0"/>
        <w:spacing w:line="360" w:lineRule="auto"/>
        <w:ind w:left="48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2、</w:t>
      </w:r>
      <w:r>
        <w:rPr>
          <w:rFonts w:ascii="Times New Roman" w:hAnsi="Times New Roman" w:cs="Times New Roman"/>
          <w:color w:val="auto"/>
          <w:szCs w:val="24"/>
          <w:lang w:eastAsia="zh-CN"/>
        </w:rPr>
        <w:t>固废污染防治措施</w:t>
      </w:r>
    </w:p>
    <w:p w14:paraId="3C66D1DE">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为防止施工期固体废物对环境造成不利影响，应采取如下措施：</w:t>
      </w:r>
    </w:p>
    <w:p w14:paraId="4F8E142E">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（1）建筑固体废物分类堆放，回收部分和不可回收部分分开，无机垃圾与有机垃圾分开，及时清运。</w:t>
      </w:r>
    </w:p>
    <w:p w14:paraId="18A8FD15">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（2）对于施工垃圾、维修垃圾，要求进行分类收集处理，其中可利用的物料（如纸质、木质、金属性和玻璃质的垃圾等）可由废品收购站回收；对不能利用的，应按要求运送到指定地点。</w:t>
      </w:r>
    </w:p>
    <w:p w14:paraId="2601D656">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3）施工人员产生的生活垃圾，应采取定点收集的方式。在施工营地设置垃圾桶，按时清运；施工场地内，也应设置一些分散的垃圾收集装置，并派专人定时打扫清理。施工场地的生活垃圾交由环卫部门统一进行处理。</w:t>
      </w:r>
    </w:p>
    <w:p w14:paraId="2F887490">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（4）施工开挖的表层土应单独存放，并采取相应的防护措施，防止雨水冲刷，以备施工结束后绿化和复垦用。</w:t>
      </w:r>
    </w:p>
    <w:p w14:paraId="7C69E601">
      <w:pPr>
        <w:widowControl w:val="0"/>
        <w:spacing w:line="360" w:lineRule="auto"/>
        <w:ind w:firstLine="480" w:firstLineChars="200"/>
        <w:jc w:val="both"/>
        <w:rPr>
          <w:rFonts w:ascii="Times New Roman" w:hAnsi="Times New Roman" w:cs="Times New Roman"/>
          <w:color w:val="auto"/>
          <w:szCs w:val="24"/>
          <w:lang w:eastAsia="zh-CN"/>
        </w:rPr>
      </w:pPr>
    </w:p>
    <w:p w14:paraId="5C7239F9">
      <w:pPr>
        <w:widowControl w:val="0"/>
        <w:spacing w:line="360" w:lineRule="auto"/>
        <w:ind w:firstLine="480" w:firstLineChars="200"/>
        <w:jc w:val="both"/>
        <w:rPr>
          <w:rFonts w:ascii="Times New Roman" w:hAnsi="Times New Roman" w:cs="Times New Roman"/>
          <w:color w:val="auto"/>
          <w:szCs w:val="24"/>
          <w:lang w:eastAsia="zh-CN"/>
        </w:rPr>
      </w:pPr>
    </w:p>
    <w:p w14:paraId="6C0215EC">
      <w:pPr>
        <w:widowControl w:val="0"/>
        <w:spacing w:line="360" w:lineRule="auto"/>
        <w:ind w:firstLine="480" w:firstLineChars="200"/>
        <w:jc w:val="both"/>
        <w:rPr>
          <w:rFonts w:ascii="Times New Roman" w:hAnsi="Times New Roman" w:cs="Times New Roman"/>
          <w:color w:val="auto"/>
          <w:szCs w:val="24"/>
          <w:lang w:eastAsia="zh-CN"/>
        </w:rPr>
      </w:pPr>
    </w:p>
    <w:p w14:paraId="7593138D">
      <w:pPr>
        <w:widowControl w:val="0"/>
        <w:spacing w:line="360" w:lineRule="auto"/>
        <w:ind w:firstLine="480" w:firstLineChars="200"/>
        <w:jc w:val="both"/>
        <w:rPr>
          <w:rFonts w:ascii="Times New Roman" w:hAnsi="Times New Roman" w:cs="Times New Roman"/>
          <w:color w:val="auto"/>
          <w:szCs w:val="24"/>
          <w:lang w:eastAsia="zh-CN"/>
        </w:rPr>
      </w:pPr>
    </w:p>
    <w:p w14:paraId="3D820958">
      <w:pPr>
        <w:widowControl w:val="0"/>
        <w:spacing w:line="360" w:lineRule="auto"/>
        <w:ind w:firstLine="480" w:firstLineChars="200"/>
        <w:jc w:val="both"/>
        <w:rPr>
          <w:rFonts w:ascii="Times New Roman" w:hAnsi="Times New Roman" w:cs="Times New Roman"/>
          <w:color w:val="auto"/>
          <w:szCs w:val="24"/>
          <w:lang w:eastAsia="zh-CN"/>
        </w:rPr>
      </w:pPr>
    </w:p>
    <w:p w14:paraId="099EA36B">
      <w:pPr>
        <w:widowControl w:val="0"/>
        <w:spacing w:line="360" w:lineRule="auto"/>
        <w:ind w:firstLine="480" w:firstLineChars="200"/>
        <w:jc w:val="both"/>
        <w:rPr>
          <w:rFonts w:ascii="Times New Roman" w:hAnsi="Times New Roman" w:cs="Times New Roman"/>
          <w:color w:val="auto"/>
          <w:szCs w:val="24"/>
          <w:lang w:eastAsia="zh-CN"/>
        </w:rPr>
      </w:pPr>
    </w:p>
    <w:p w14:paraId="28A70409">
      <w:pPr>
        <w:widowControl w:val="0"/>
        <w:spacing w:line="360" w:lineRule="auto"/>
        <w:ind w:firstLine="480" w:firstLineChars="200"/>
        <w:jc w:val="both"/>
        <w:rPr>
          <w:rFonts w:ascii="Times New Roman" w:hAnsi="Times New Roman" w:cs="Times New Roman"/>
          <w:color w:val="auto"/>
          <w:szCs w:val="24"/>
          <w:lang w:eastAsia="zh-CN"/>
        </w:rPr>
      </w:pPr>
    </w:p>
    <w:p w14:paraId="2A2EDA0C">
      <w:pPr>
        <w:widowControl w:val="0"/>
        <w:spacing w:line="360" w:lineRule="auto"/>
        <w:ind w:firstLine="480" w:firstLineChars="200"/>
        <w:jc w:val="both"/>
        <w:rPr>
          <w:rFonts w:ascii="Times New Roman" w:hAnsi="Times New Roman" w:cs="Times New Roman"/>
          <w:color w:val="auto"/>
          <w:szCs w:val="24"/>
          <w:lang w:eastAsia="zh-CN"/>
        </w:rPr>
      </w:pPr>
    </w:p>
    <w:p w14:paraId="7436B731">
      <w:pPr>
        <w:widowControl w:val="0"/>
        <w:spacing w:line="360" w:lineRule="auto"/>
        <w:ind w:firstLine="480" w:firstLineChars="200"/>
        <w:jc w:val="both"/>
        <w:rPr>
          <w:rFonts w:ascii="Times New Roman" w:hAnsi="Times New Roman" w:cs="Times New Roman"/>
          <w:color w:val="auto"/>
          <w:szCs w:val="24"/>
          <w:lang w:eastAsia="zh-CN"/>
        </w:rPr>
      </w:pPr>
    </w:p>
    <w:p w14:paraId="23CDFC52">
      <w:pPr>
        <w:widowControl w:val="0"/>
        <w:spacing w:line="360" w:lineRule="auto"/>
        <w:ind w:firstLine="480" w:firstLineChars="200"/>
        <w:jc w:val="both"/>
        <w:rPr>
          <w:rFonts w:ascii="Times New Roman" w:hAnsi="Times New Roman" w:cs="Times New Roman"/>
          <w:color w:val="auto"/>
          <w:szCs w:val="24"/>
          <w:lang w:eastAsia="zh-CN"/>
        </w:rPr>
      </w:pPr>
    </w:p>
    <w:p w14:paraId="72151C3C">
      <w:pPr>
        <w:widowControl w:val="0"/>
        <w:spacing w:line="360" w:lineRule="auto"/>
        <w:ind w:firstLine="480" w:firstLineChars="200"/>
        <w:jc w:val="both"/>
        <w:rPr>
          <w:rFonts w:ascii="Times New Roman" w:hAnsi="Times New Roman" w:cs="Times New Roman"/>
          <w:color w:val="auto"/>
          <w:szCs w:val="24"/>
          <w:lang w:eastAsia="zh-CN"/>
        </w:rPr>
      </w:pPr>
    </w:p>
    <w:p w14:paraId="7A21A852">
      <w:pPr>
        <w:widowControl w:val="0"/>
        <w:spacing w:line="360" w:lineRule="auto"/>
        <w:ind w:firstLine="480" w:firstLineChars="200"/>
        <w:jc w:val="both"/>
        <w:rPr>
          <w:rFonts w:ascii="Times New Roman" w:hAnsi="Times New Roman" w:cs="Times New Roman"/>
          <w:color w:val="auto"/>
          <w:szCs w:val="24"/>
          <w:lang w:eastAsia="zh-CN"/>
        </w:rPr>
      </w:pPr>
    </w:p>
    <w:p w14:paraId="4A2329A5">
      <w:pPr>
        <w:widowControl w:val="0"/>
        <w:spacing w:line="360" w:lineRule="auto"/>
        <w:ind w:firstLine="480" w:firstLineChars="200"/>
        <w:jc w:val="both"/>
        <w:rPr>
          <w:rFonts w:ascii="Times New Roman" w:hAnsi="Times New Roman" w:cs="Times New Roman"/>
          <w:color w:val="auto"/>
          <w:szCs w:val="24"/>
          <w:lang w:eastAsia="zh-CN"/>
        </w:rPr>
      </w:pPr>
    </w:p>
    <w:p w14:paraId="484D7BB3">
      <w:pPr>
        <w:widowControl w:val="0"/>
        <w:spacing w:line="360" w:lineRule="auto"/>
        <w:ind w:firstLine="480" w:firstLineChars="200"/>
        <w:jc w:val="both"/>
        <w:rPr>
          <w:rFonts w:ascii="Times New Roman" w:hAnsi="Times New Roman" w:cs="Times New Roman"/>
          <w:color w:val="auto"/>
          <w:szCs w:val="24"/>
          <w:lang w:eastAsia="zh-CN"/>
        </w:rPr>
      </w:pPr>
    </w:p>
    <w:p w14:paraId="20EC918E">
      <w:pPr>
        <w:spacing w:line="360" w:lineRule="auto"/>
        <w:ind w:firstLine="562"/>
        <w:outlineLvl w:val="1"/>
        <w:rPr>
          <w:rFonts w:ascii="Times New Roman" w:hAnsi="Times New Roman" w:cs="Times New Roman"/>
          <w:b/>
          <w:bCs/>
          <w:color w:val="auto"/>
          <w:sz w:val="28"/>
          <w:szCs w:val="28"/>
          <w:lang w:eastAsia="zh-CN"/>
        </w:rPr>
      </w:pPr>
      <w:bookmarkStart w:id="1390" w:name="_Toc237508324"/>
      <w:r>
        <w:rPr>
          <w:rFonts w:ascii="Times New Roman" w:hAnsi="Times New Roman" w:cs="Times New Roman"/>
          <w:b/>
          <w:bCs/>
          <w:color w:val="auto"/>
          <w:sz w:val="28"/>
          <w:szCs w:val="28"/>
          <w:lang w:eastAsia="zh-CN"/>
        </w:rPr>
        <w:t>6.2 运营期大气环境影响分析</w:t>
      </w:r>
      <w:bookmarkEnd w:id="1390"/>
    </w:p>
    <w:p w14:paraId="2E98B4E0">
      <w:pPr>
        <w:spacing w:line="360" w:lineRule="auto"/>
        <w:ind w:firstLine="482"/>
        <w:outlineLvl w:val="2"/>
        <w:rPr>
          <w:rFonts w:ascii="Times New Roman" w:hAnsi="Times New Roman" w:cs="Times New Roman"/>
          <w:b/>
          <w:bCs/>
          <w:color w:val="auto"/>
          <w:szCs w:val="24"/>
          <w:lang w:eastAsia="zh-CN"/>
        </w:rPr>
      </w:pPr>
      <w:bookmarkStart w:id="1391" w:name="_Toc224674729"/>
      <w:bookmarkStart w:id="1392" w:name="_Toc173740311"/>
      <w:bookmarkStart w:id="1393" w:name="_Toc204448500"/>
      <w:bookmarkStart w:id="1394" w:name="_Toc236641343"/>
      <w:bookmarkStart w:id="1395" w:name="_Toc203927034"/>
      <w:bookmarkStart w:id="1396" w:name="_Toc231828612"/>
      <w:bookmarkStart w:id="1397" w:name="_Toc221900872"/>
      <w:bookmarkStart w:id="1398" w:name="_Toc218784315"/>
      <w:bookmarkStart w:id="1399" w:name="_Toc173743415"/>
      <w:bookmarkStart w:id="1400" w:name="_Toc225784090"/>
      <w:bookmarkStart w:id="1401" w:name="_Toc175164306"/>
      <w:bookmarkStart w:id="1402" w:name="_Toc236641860"/>
      <w:bookmarkStart w:id="1403" w:name="_Toc204515235"/>
      <w:bookmarkStart w:id="1404" w:name="_Toc237508325"/>
      <w:bookmarkStart w:id="1405" w:name="_Toc178602382"/>
      <w:bookmarkStart w:id="1406" w:name="_Toc172555679"/>
      <w:bookmarkStart w:id="1407" w:name="_Toc223425090"/>
      <w:bookmarkStart w:id="1408" w:name="_Toc176513042"/>
      <w:r>
        <w:rPr>
          <w:rFonts w:ascii="Times New Roman" w:hAnsi="Times New Roman" w:cs="Times New Roman"/>
          <w:b/>
          <w:bCs/>
          <w:color w:val="auto"/>
          <w:szCs w:val="24"/>
          <w:lang w:eastAsia="zh-CN"/>
        </w:rPr>
        <w:t>6.2.1 污染气象分析</w:t>
      </w:r>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p>
    <w:p w14:paraId="335FC95F">
      <w:pPr>
        <w:pStyle w:val="84"/>
        <w:numPr>
          <w:ilvl w:val="3"/>
          <w:numId w:val="8"/>
        </w:numPr>
        <w:spacing w:line="360" w:lineRule="auto"/>
        <w:ind w:firstLineChars="0"/>
        <w:outlineLvl w:val="3"/>
        <w:rPr>
          <w:rFonts w:ascii="Times New Roman" w:hAnsi="Times New Roman" w:cs="Times New Roman"/>
          <w:b/>
          <w:bCs/>
          <w:color w:val="auto"/>
          <w:szCs w:val="24"/>
          <w:lang w:eastAsia="zh-CN"/>
        </w:rPr>
      </w:pPr>
      <w:bookmarkStart w:id="1409" w:name="_Toc32680"/>
      <w:r>
        <w:rPr>
          <w:rFonts w:ascii="Times New Roman" w:hAnsi="Times New Roman" w:cs="Times New Roman"/>
          <w:b/>
          <w:bCs/>
          <w:color w:val="auto"/>
          <w:szCs w:val="24"/>
          <w:lang w:eastAsia="zh-CN"/>
        </w:rPr>
        <w:t>近20年气象资料统计</w:t>
      </w:r>
      <w:bookmarkEnd w:id="1409"/>
    </w:p>
    <w:p w14:paraId="342B4394">
      <w:pPr>
        <w:spacing w:line="360" w:lineRule="auto"/>
        <w:ind w:firstLine="480" w:firstLineChars="200"/>
        <w:jc w:val="both"/>
        <w:rPr>
          <w:rFonts w:ascii="Times New Roman" w:hAnsi="Times New Roman" w:cs="Times New Roman"/>
          <w:szCs w:val="24"/>
          <w:lang w:eastAsia="zh-CN"/>
        </w:rPr>
      </w:pPr>
      <w:bookmarkStart w:id="1410" w:name="_Toc24400"/>
      <w:r>
        <w:rPr>
          <w:rFonts w:ascii="Times New Roman" w:hAnsi="Times New Roman" w:cs="Times New Roman"/>
          <w:szCs w:val="24"/>
          <w:lang w:eastAsia="zh-CN"/>
        </w:rPr>
        <w:t>项目采用的是蚌埠气象站（58221）资料，气象站位于安徽省蚌埠市，地理坐标为东经117.3044度，北纬32.8436度，海拔高度26.8米。气象站始建于1951年，1951年正式进行气象观测。蚌埠气象站距本项目约19.9km，距离小于50km，满足导则气象资料的使用条件。站点性质为基本站。基准年为202</w:t>
      </w:r>
      <w:r>
        <w:rPr>
          <w:rFonts w:hint="eastAsia" w:ascii="Times New Roman" w:hAnsi="Times New Roman" w:cs="Times New Roman"/>
          <w:szCs w:val="24"/>
          <w:lang w:eastAsia="zh-CN"/>
        </w:rPr>
        <w:t>3</w:t>
      </w:r>
      <w:r>
        <w:rPr>
          <w:rFonts w:ascii="Times New Roman" w:hAnsi="Times New Roman" w:cs="Times New Roman"/>
          <w:szCs w:val="24"/>
          <w:lang w:eastAsia="zh-CN"/>
        </w:rPr>
        <w:t>年。</w:t>
      </w:r>
    </w:p>
    <w:p w14:paraId="7B9E9695">
      <w:pPr>
        <w:spacing w:line="360" w:lineRule="auto"/>
        <w:ind w:left="480"/>
        <w:jc w:val="both"/>
        <w:rPr>
          <w:rFonts w:ascii="Times New Roman" w:hAnsi="Times New Roman" w:cs="Times New Roman"/>
          <w:szCs w:val="24"/>
          <w:lang w:eastAsia="zh-CN"/>
        </w:rPr>
      </w:pPr>
      <w:r>
        <w:rPr>
          <w:rFonts w:hint="eastAsia" w:ascii="Times New Roman" w:hAnsi="Times New Roman" w:cs="Times New Roman"/>
          <w:szCs w:val="24"/>
          <w:lang w:eastAsia="zh-CN"/>
        </w:rPr>
        <w:t>（1）</w:t>
      </w:r>
      <w:r>
        <w:rPr>
          <w:rFonts w:ascii="Times New Roman" w:hAnsi="Times New Roman" w:cs="Times New Roman"/>
          <w:szCs w:val="24"/>
          <w:lang w:eastAsia="zh-CN"/>
        </w:rPr>
        <w:t xml:space="preserve">气候条件 </w:t>
      </w:r>
    </w:p>
    <w:p w14:paraId="0E03CFF0">
      <w:pPr>
        <w:spacing w:line="360" w:lineRule="auto"/>
        <w:ind w:firstLine="480" w:firstLineChars="200"/>
        <w:jc w:val="both"/>
        <w:rPr>
          <w:rFonts w:ascii="Times New Roman" w:hAnsi="Times New Roman" w:cs="Times New Roman"/>
          <w:szCs w:val="24"/>
          <w:lang w:eastAsia="zh-CN"/>
        </w:rPr>
      </w:pPr>
      <w:r>
        <w:rPr>
          <w:rFonts w:ascii="Times New Roman" w:hAnsi="Times New Roman" w:cs="Times New Roman"/>
          <w:szCs w:val="24"/>
          <w:lang w:eastAsia="zh-CN"/>
        </w:rPr>
        <w:t>蚌埠市地处亚热带和暖温带的过渡地带，属于东部季风性气候区暖温带半湿润气候，兼有南北过渡类型的气候特点。气候温和，四季分明，光照充足，雨量适中。</w:t>
      </w:r>
    </w:p>
    <w:p w14:paraId="434CDCC4">
      <w:pPr>
        <w:spacing w:line="360" w:lineRule="auto"/>
        <w:ind w:firstLine="480" w:firstLineChars="200"/>
        <w:jc w:val="both"/>
        <w:rPr>
          <w:rFonts w:ascii="Times New Roman" w:hAnsi="Times New Roman" w:cs="Times New Roman"/>
          <w:szCs w:val="24"/>
          <w:lang w:eastAsia="zh-CN"/>
        </w:rPr>
      </w:pPr>
      <w:r>
        <w:rPr>
          <w:rFonts w:ascii="Times New Roman" w:hAnsi="Times New Roman" w:cs="Times New Roman"/>
          <w:szCs w:val="24"/>
          <w:lang w:eastAsia="zh-CN"/>
        </w:rPr>
        <w:t>根据蚌埠市气象站近20年（2004</w:t>
      </w:r>
      <w:r>
        <w:rPr>
          <w:rFonts w:hint="eastAsia" w:ascii="Times New Roman" w:hAnsi="Times New Roman" w:cs="Times New Roman"/>
          <w:szCs w:val="24"/>
          <w:lang w:eastAsia="zh-CN"/>
        </w:rPr>
        <w:t>～</w:t>
      </w:r>
      <w:r>
        <w:rPr>
          <w:rFonts w:ascii="Times New Roman" w:hAnsi="Times New Roman" w:cs="Times New Roman"/>
          <w:szCs w:val="24"/>
          <w:lang w:eastAsia="zh-CN"/>
        </w:rPr>
        <w:t>2023年）的气象统计资料，基本气象资料概况如下：</w:t>
      </w:r>
    </w:p>
    <w:p w14:paraId="76BE15FB">
      <w:pPr>
        <w:spacing w:line="360" w:lineRule="auto"/>
        <w:jc w:val="center"/>
        <w:rPr>
          <w:rFonts w:ascii="Times New Roman" w:hAnsi="Times New Roman" w:cs="Times New Roman"/>
          <w:szCs w:val="24"/>
          <w:lang w:eastAsia="zh-CN"/>
        </w:rPr>
      </w:pPr>
      <w:r>
        <w:rPr>
          <w:rFonts w:hint="eastAsia" w:ascii="Times New Roman" w:hAnsi="Times New Roman" w:cs="Times New Roman"/>
          <w:b/>
          <w:bCs/>
          <w:szCs w:val="24"/>
          <w:lang w:eastAsia="zh-CN"/>
        </w:rPr>
        <w:t>表6.2-1 蚌埠市气象站2004年～2023年气象资料统计表</w:t>
      </w:r>
    </w:p>
    <w:tbl>
      <w:tblPr>
        <w:tblStyle w:val="35"/>
        <w:tblW w:w="5000"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0" w:type="dxa"/>
          <w:bottom w:w="0" w:type="dxa"/>
          <w:right w:w="0" w:type="dxa"/>
        </w:tblCellMar>
      </w:tblPr>
      <w:tblGrid>
        <w:gridCol w:w="898"/>
        <w:gridCol w:w="2765"/>
        <w:gridCol w:w="1656"/>
        <w:gridCol w:w="2321"/>
        <w:gridCol w:w="2106"/>
      </w:tblGrid>
      <w:tr w14:paraId="005A861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jc w:val="center"/>
        </w:trPr>
        <w:tc>
          <w:tcPr>
            <w:tcW w:w="1879" w:type="pct"/>
            <w:gridSpan w:val="2"/>
            <w:tcMar>
              <w:top w:w="15" w:type="dxa"/>
              <w:left w:w="15" w:type="dxa"/>
              <w:right w:w="15" w:type="dxa"/>
            </w:tcMar>
            <w:vAlign w:val="center"/>
          </w:tcPr>
          <w:p w14:paraId="755E22A9">
            <w:pPr>
              <w:spacing w:line="264" w:lineRule="auto"/>
              <w:jc w:val="center"/>
              <w:rPr>
                <w:rFonts w:ascii="Times New Roman" w:hAnsi="Times New Roman" w:cs="Times New Roman"/>
                <w:b/>
                <w:sz w:val="21"/>
              </w:rPr>
            </w:pPr>
            <w:r>
              <w:rPr>
                <w:rFonts w:ascii="Times New Roman" w:hAnsi="Times New Roman" w:cs="Times New Roman"/>
                <w:b/>
                <w:sz w:val="21"/>
              </w:rPr>
              <w:t>统计项目</w:t>
            </w:r>
          </w:p>
        </w:tc>
        <w:tc>
          <w:tcPr>
            <w:tcW w:w="849" w:type="pct"/>
            <w:tcMar>
              <w:top w:w="15" w:type="dxa"/>
              <w:left w:w="15" w:type="dxa"/>
              <w:right w:w="15" w:type="dxa"/>
            </w:tcMar>
            <w:vAlign w:val="center"/>
          </w:tcPr>
          <w:p w14:paraId="37649D90">
            <w:pPr>
              <w:spacing w:line="264" w:lineRule="auto"/>
              <w:jc w:val="center"/>
              <w:rPr>
                <w:rFonts w:ascii="Times New Roman" w:hAnsi="Times New Roman" w:cs="Times New Roman"/>
                <w:b/>
                <w:sz w:val="21"/>
              </w:rPr>
            </w:pPr>
            <w:r>
              <w:rPr>
                <w:rFonts w:ascii="Times New Roman" w:hAnsi="Times New Roman" w:cs="Times New Roman"/>
                <w:b/>
                <w:sz w:val="21"/>
              </w:rPr>
              <w:t>*统计值</w:t>
            </w:r>
          </w:p>
        </w:tc>
        <w:tc>
          <w:tcPr>
            <w:tcW w:w="1190" w:type="pct"/>
            <w:tcMar>
              <w:top w:w="15" w:type="dxa"/>
              <w:left w:w="15" w:type="dxa"/>
              <w:right w:w="15" w:type="dxa"/>
            </w:tcMar>
            <w:vAlign w:val="center"/>
          </w:tcPr>
          <w:p w14:paraId="29FD7402">
            <w:pPr>
              <w:spacing w:line="264" w:lineRule="auto"/>
              <w:jc w:val="center"/>
              <w:rPr>
                <w:rFonts w:ascii="Times New Roman" w:hAnsi="Times New Roman" w:cs="Times New Roman"/>
                <w:b/>
                <w:sz w:val="21"/>
              </w:rPr>
            </w:pPr>
            <w:r>
              <w:rPr>
                <w:rFonts w:ascii="Times New Roman" w:hAnsi="Times New Roman" w:cs="Times New Roman"/>
                <w:b/>
                <w:sz w:val="21"/>
              </w:rPr>
              <w:t>极值出现时间</w:t>
            </w:r>
          </w:p>
        </w:tc>
        <w:tc>
          <w:tcPr>
            <w:tcW w:w="1080" w:type="pct"/>
            <w:tcMar>
              <w:top w:w="15" w:type="dxa"/>
              <w:left w:w="15" w:type="dxa"/>
              <w:right w:w="15" w:type="dxa"/>
            </w:tcMar>
            <w:vAlign w:val="center"/>
          </w:tcPr>
          <w:p w14:paraId="7B582A45">
            <w:pPr>
              <w:spacing w:line="264" w:lineRule="auto"/>
              <w:jc w:val="center"/>
              <w:rPr>
                <w:rFonts w:ascii="Times New Roman" w:hAnsi="Times New Roman" w:cs="Times New Roman"/>
                <w:b/>
                <w:sz w:val="21"/>
              </w:rPr>
            </w:pPr>
            <w:r>
              <w:rPr>
                <w:rFonts w:ascii="Times New Roman" w:hAnsi="Times New Roman" w:cs="Times New Roman"/>
                <w:b/>
                <w:sz w:val="21"/>
              </w:rPr>
              <w:t>**极值</w:t>
            </w:r>
          </w:p>
        </w:tc>
      </w:tr>
      <w:tr w14:paraId="40E0C01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jc w:val="center"/>
        </w:trPr>
        <w:tc>
          <w:tcPr>
            <w:tcW w:w="1879" w:type="pct"/>
            <w:gridSpan w:val="2"/>
            <w:tcMar>
              <w:top w:w="15" w:type="dxa"/>
              <w:left w:w="15" w:type="dxa"/>
              <w:right w:w="15" w:type="dxa"/>
            </w:tcMar>
            <w:vAlign w:val="center"/>
          </w:tcPr>
          <w:p w14:paraId="2BD6DEEC">
            <w:pPr>
              <w:spacing w:line="264" w:lineRule="auto"/>
              <w:jc w:val="center"/>
              <w:rPr>
                <w:rFonts w:ascii="Times New Roman" w:hAnsi="Times New Roman" w:cs="Times New Roman"/>
                <w:sz w:val="21"/>
              </w:rPr>
            </w:pPr>
            <w:r>
              <w:rPr>
                <w:rFonts w:ascii="Times New Roman" w:hAnsi="Times New Roman" w:cs="Times New Roman"/>
                <w:sz w:val="21"/>
              </w:rPr>
              <w:t>多年平均气温（℃）</w:t>
            </w:r>
          </w:p>
        </w:tc>
        <w:tc>
          <w:tcPr>
            <w:tcW w:w="849" w:type="pct"/>
            <w:tcMar>
              <w:top w:w="15" w:type="dxa"/>
              <w:left w:w="15" w:type="dxa"/>
              <w:right w:w="15" w:type="dxa"/>
            </w:tcMar>
            <w:vAlign w:val="center"/>
          </w:tcPr>
          <w:p w14:paraId="6D32D0E9">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16.</w:t>
            </w:r>
            <w:r>
              <w:rPr>
                <w:rFonts w:hint="eastAsia" w:ascii="Times New Roman" w:hAnsi="Times New Roman" w:cs="Times New Roman"/>
                <w:sz w:val="21"/>
                <w:lang w:eastAsia="zh-CN"/>
              </w:rPr>
              <w:t>1</w:t>
            </w:r>
          </w:p>
        </w:tc>
        <w:tc>
          <w:tcPr>
            <w:tcW w:w="1190" w:type="pct"/>
            <w:noWrap/>
            <w:tcMar>
              <w:top w:w="15" w:type="dxa"/>
              <w:left w:w="15" w:type="dxa"/>
              <w:right w:w="15" w:type="dxa"/>
            </w:tcMar>
            <w:vAlign w:val="center"/>
          </w:tcPr>
          <w:p w14:paraId="51856651">
            <w:pPr>
              <w:spacing w:line="264" w:lineRule="auto"/>
              <w:jc w:val="center"/>
              <w:rPr>
                <w:rFonts w:ascii="Times New Roman" w:hAnsi="Times New Roman" w:cs="Times New Roman"/>
                <w:sz w:val="21"/>
              </w:rPr>
            </w:pPr>
          </w:p>
        </w:tc>
        <w:tc>
          <w:tcPr>
            <w:tcW w:w="1080" w:type="pct"/>
            <w:noWrap/>
            <w:tcMar>
              <w:top w:w="15" w:type="dxa"/>
              <w:left w:w="15" w:type="dxa"/>
              <w:right w:w="15" w:type="dxa"/>
            </w:tcMar>
            <w:vAlign w:val="center"/>
          </w:tcPr>
          <w:p w14:paraId="05B30C05">
            <w:pPr>
              <w:spacing w:line="264" w:lineRule="auto"/>
              <w:jc w:val="center"/>
              <w:rPr>
                <w:rFonts w:ascii="Times New Roman" w:hAnsi="Times New Roman" w:cs="Times New Roman"/>
                <w:sz w:val="21"/>
              </w:rPr>
            </w:pPr>
          </w:p>
        </w:tc>
      </w:tr>
      <w:tr w14:paraId="0C9CC36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jc w:val="center"/>
        </w:trPr>
        <w:tc>
          <w:tcPr>
            <w:tcW w:w="1879" w:type="pct"/>
            <w:gridSpan w:val="2"/>
            <w:tcMar>
              <w:top w:w="15" w:type="dxa"/>
              <w:left w:w="15" w:type="dxa"/>
              <w:right w:w="15" w:type="dxa"/>
            </w:tcMar>
            <w:vAlign w:val="center"/>
          </w:tcPr>
          <w:p w14:paraId="0935BC2D">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累年极端最高气温（℃）</w:t>
            </w:r>
          </w:p>
        </w:tc>
        <w:tc>
          <w:tcPr>
            <w:tcW w:w="849" w:type="pct"/>
            <w:tcMar>
              <w:top w:w="15" w:type="dxa"/>
              <w:left w:w="15" w:type="dxa"/>
              <w:right w:w="15" w:type="dxa"/>
            </w:tcMar>
            <w:vAlign w:val="center"/>
          </w:tcPr>
          <w:p w14:paraId="6D80B5F4">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37.77</w:t>
            </w:r>
          </w:p>
        </w:tc>
        <w:tc>
          <w:tcPr>
            <w:tcW w:w="1190" w:type="pct"/>
            <w:tcMar>
              <w:top w:w="15" w:type="dxa"/>
              <w:left w:w="15" w:type="dxa"/>
              <w:right w:w="15" w:type="dxa"/>
            </w:tcMar>
            <w:vAlign w:val="center"/>
          </w:tcPr>
          <w:p w14:paraId="7DD146E6">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2013.8.11</w:t>
            </w:r>
          </w:p>
        </w:tc>
        <w:tc>
          <w:tcPr>
            <w:tcW w:w="1080" w:type="pct"/>
            <w:tcMar>
              <w:top w:w="15" w:type="dxa"/>
              <w:left w:w="15" w:type="dxa"/>
              <w:right w:w="15" w:type="dxa"/>
            </w:tcMar>
            <w:vAlign w:val="center"/>
          </w:tcPr>
          <w:p w14:paraId="6099F018">
            <w:pPr>
              <w:spacing w:line="264" w:lineRule="auto"/>
              <w:jc w:val="center"/>
              <w:rPr>
                <w:rFonts w:ascii="Times New Roman" w:hAnsi="Times New Roman" w:cs="Times New Roman"/>
                <w:sz w:val="21"/>
                <w:lang w:eastAsia="zh-CN"/>
              </w:rPr>
            </w:pPr>
            <w:r>
              <w:rPr>
                <w:rFonts w:hint="eastAsia" w:ascii="Times New Roman" w:hAnsi="Times New Roman" w:cs="Times New Roman"/>
                <w:sz w:val="21"/>
                <w:lang w:eastAsia="zh-CN"/>
              </w:rPr>
              <w:t>40</w:t>
            </w:r>
          </w:p>
        </w:tc>
      </w:tr>
      <w:tr w14:paraId="2B2E5A4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jc w:val="center"/>
        </w:trPr>
        <w:tc>
          <w:tcPr>
            <w:tcW w:w="1879" w:type="pct"/>
            <w:gridSpan w:val="2"/>
            <w:tcMar>
              <w:top w:w="15" w:type="dxa"/>
              <w:left w:w="15" w:type="dxa"/>
              <w:right w:w="15" w:type="dxa"/>
            </w:tcMar>
            <w:vAlign w:val="center"/>
          </w:tcPr>
          <w:p w14:paraId="750020F9">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累年极端最低气温（℃）</w:t>
            </w:r>
          </w:p>
        </w:tc>
        <w:tc>
          <w:tcPr>
            <w:tcW w:w="849" w:type="pct"/>
            <w:tcMar>
              <w:top w:w="15" w:type="dxa"/>
              <w:left w:w="15" w:type="dxa"/>
              <w:right w:w="15" w:type="dxa"/>
            </w:tcMar>
            <w:vAlign w:val="center"/>
          </w:tcPr>
          <w:p w14:paraId="20FDEE44">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-8.51</w:t>
            </w:r>
          </w:p>
        </w:tc>
        <w:tc>
          <w:tcPr>
            <w:tcW w:w="1190" w:type="pct"/>
            <w:tcMar>
              <w:top w:w="15" w:type="dxa"/>
              <w:left w:w="15" w:type="dxa"/>
              <w:right w:w="15" w:type="dxa"/>
            </w:tcMar>
            <w:vAlign w:val="center"/>
          </w:tcPr>
          <w:p w14:paraId="48AA5948">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2018.1.22</w:t>
            </w:r>
          </w:p>
        </w:tc>
        <w:tc>
          <w:tcPr>
            <w:tcW w:w="1080" w:type="pct"/>
            <w:tcMar>
              <w:top w:w="15" w:type="dxa"/>
              <w:left w:w="15" w:type="dxa"/>
              <w:right w:w="15" w:type="dxa"/>
            </w:tcMar>
            <w:vAlign w:val="center"/>
          </w:tcPr>
          <w:p w14:paraId="4A2FE9EF">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-1</w:t>
            </w:r>
            <w:r>
              <w:rPr>
                <w:rFonts w:hint="eastAsia" w:ascii="Times New Roman" w:hAnsi="Times New Roman" w:cs="Times New Roman"/>
                <w:sz w:val="21"/>
                <w:lang w:eastAsia="zh-CN"/>
              </w:rPr>
              <w:t>9</w:t>
            </w:r>
          </w:p>
        </w:tc>
      </w:tr>
      <w:tr w14:paraId="5201AA1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jc w:val="center"/>
        </w:trPr>
        <w:tc>
          <w:tcPr>
            <w:tcW w:w="1879" w:type="pct"/>
            <w:gridSpan w:val="2"/>
            <w:tcMar>
              <w:top w:w="15" w:type="dxa"/>
              <w:left w:w="15" w:type="dxa"/>
              <w:right w:w="15" w:type="dxa"/>
            </w:tcMar>
            <w:vAlign w:val="center"/>
          </w:tcPr>
          <w:p w14:paraId="2C4B2C11">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多年平均气压（hPa）</w:t>
            </w:r>
          </w:p>
        </w:tc>
        <w:tc>
          <w:tcPr>
            <w:tcW w:w="849" w:type="pct"/>
            <w:tcMar>
              <w:top w:w="15" w:type="dxa"/>
              <w:left w:w="15" w:type="dxa"/>
              <w:right w:w="15" w:type="dxa"/>
            </w:tcMar>
            <w:vAlign w:val="center"/>
          </w:tcPr>
          <w:p w14:paraId="5AE657D3">
            <w:pPr>
              <w:jc w:val="center"/>
              <w:textAlignment w:val="center"/>
              <w:rPr>
                <w:rFonts w:ascii="Times New Roman" w:hAnsi="Times New Roman" w:cs="Times New Roman"/>
                <w:spacing w:val="-2"/>
                <w:sz w:val="21"/>
                <w:lang w:eastAsia="zh-CN"/>
              </w:rPr>
            </w:pPr>
            <w:r>
              <w:rPr>
                <w:rFonts w:ascii="Times New Roman" w:hAnsi="Times New Roman" w:cs="Times New Roman"/>
                <w:spacing w:val="-2"/>
                <w:sz w:val="21"/>
                <w:lang w:eastAsia="zh-CN" w:bidi="ar"/>
              </w:rPr>
              <w:t>1013.46</w:t>
            </w:r>
          </w:p>
        </w:tc>
        <w:tc>
          <w:tcPr>
            <w:tcW w:w="1190" w:type="pct"/>
            <w:noWrap/>
            <w:tcMar>
              <w:top w:w="15" w:type="dxa"/>
              <w:left w:w="15" w:type="dxa"/>
              <w:right w:w="15" w:type="dxa"/>
            </w:tcMar>
            <w:vAlign w:val="center"/>
          </w:tcPr>
          <w:p w14:paraId="51C416B6">
            <w:pPr>
              <w:spacing w:line="264" w:lineRule="auto"/>
              <w:jc w:val="center"/>
              <w:rPr>
                <w:rFonts w:ascii="Times New Roman" w:hAnsi="Times New Roman" w:cs="Times New Roman"/>
                <w:sz w:val="21"/>
              </w:rPr>
            </w:pPr>
          </w:p>
        </w:tc>
        <w:tc>
          <w:tcPr>
            <w:tcW w:w="1080" w:type="pct"/>
            <w:noWrap/>
            <w:tcMar>
              <w:top w:w="15" w:type="dxa"/>
              <w:left w:w="15" w:type="dxa"/>
              <w:right w:w="15" w:type="dxa"/>
            </w:tcMar>
            <w:vAlign w:val="center"/>
          </w:tcPr>
          <w:p w14:paraId="6AA834E2">
            <w:pPr>
              <w:spacing w:line="264" w:lineRule="auto"/>
              <w:jc w:val="center"/>
              <w:rPr>
                <w:rFonts w:ascii="Times New Roman" w:hAnsi="Times New Roman" w:cs="Times New Roman"/>
                <w:sz w:val="21"/>
              </w:rPr>
            </w:pPr>
          </w:p>
        </w:tc>
      </w:tr>
      <w:tr w14:paraId="19ABB47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jc w:val="center"/>
        </w:trPr>
        <w:tc>
          <w:tcPr>
            <w:tcW w:w="1879" w:type="pct"/>
            <w:gridSpan w:val="2"/>
            <w:tcMar>
              <w:top w:w="15" w:type="dxa"/>
              <w:left w:w="15" w:type="dxa"/>
              <w:right w:w="15" w:type="dxa"/>
            </w:tcMar>
            <w:vAlign w:val="center"/>
          </w:tcPr>
          <w:p w14:paraId="24E785C8">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多年平均水汽压（hPa）</w:t>
            </w:r>
          </w:p>
        </w:tc>
        <w:tc>
          <w:tcPr>
            <w:tcW w:w="849" w:type="pct"/>
            <w:tcMar>
              <w:top w:w="15" w:type="dxa"/>
              <w:left w:w="15" w:type="dxa"/>
              <w:right w:w="15" w:type="dxa"/>
            </w:tcMar>
            <w:vAlign w:val="center"/>
          </w:tcPr>
          <w:p w14:paraId="6104176E">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15.18</w:t>
            </w:r>
          </w:p>
        </w:tc>
        <w:tc>
          <w:tcPr>
            <w:tcW w:w="1190" w:type="pct"/>
            <w:noWrap/>
            <w:tcMar>
              <w:top w:w="15" w:type="dxa"/>
              <w:left w:w="15" w:type="dxa"/>
              <w:right w:w="15" w:type="dxa"/>
            </w:tcMar>
            <w:vAlign w:val="center"/>
          </w:tcPr>
          <w:p w14:paraId="7503C5A1">
            <w:pPr>
              <w:spacing w:line="264" w:lineRule="auto"/>
              <w:jc w:val="center"/>
              <w:rPr>
                <w:rFonts w:ascii="Times New Roman" w:hAnsi="Times New Roman" w:cs="Times New Roman"/>
                <w:sz w:val="21"/>
              </w:rPr>
            </w:pPr>
          </w:p>
        </w:tc>
        <w:tc>
          <w:tcPr>
            <w:tcW w:w="1080" w:type="pct"/>
            <w:noWrap/>
            <w:tcMar>
              <w:top w:w="15" w:type="dxa"/>
              <w:left w:w="15" w:type="dxa"/>
              <w:right w:w="15" w:type="dxa"/>
            </w:tcMar>
            <w:vAlign w:val="center"/>
          </w:tcPr>
          <w:p w14:paraId="2CC19632">
            <w:pPr>
              <w:spacing w:line="264" w:lineRule="auto"/>
              <w:jc w:val="center"/>
              <w:rPr>
                <w:rFonts w:ascii="Times New Roman" w:hAnsi="Times New Roman" w:cs="Times New Roman"/>
                <w:sz w:val="21"/>
              </w:rPr>
            </w:pPr>
          </w:p>
        </w:tc>
      </w:tr>
      <w:tr w14:paraId="439923B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jc w:val="center"/>
        </w:trPr>
        <w:tc>
          <w:tcPr>
            <w:tcW w:w="1879" w:type="pct"/>
            <w:gridSpan w:val="2"/>
            <w:tcMar>
              <w:top w:w="15" w:type="dxa"/>
              <w:left w:w="15" w:type="dxa"/>
              <w:right w:w="15" w:type="dxa"/>
            </w:tcMar>
            <w:vAlign w:val="center"/>
          </w:tcPr>
          <w:p w14:paraId="6B35EFF9">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多年平均相对湿度（%）</w:t>
            </w:r>
          </w:p>
        </w:tc>
        <w:tc>
          <w:tcPr>
            <w:tcW w:w="849" w:type="pct"/>
            <w:tcMar>
              <w:top w:w="15" w:type="dxa"/>
              <w:left w:w="15" w:type="dxa"/>
              <w:right w:w="15" w:type="dxa"/>
            </w:tcMar>
            <w:vAlign w:val="center"/>
          </w:tcPr>
          <w:p w14:paraId="0F4401A5">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71.93</w:t>
            </w:r>
          </w:p>
        </w:tc>
        <w:tc>
          <w:tcPr>
            <w:tcW w:w="1190" w:type="pct"/>
            <w:noWrap/>
            <w:tcMar>
              <w:top w:w="15" w:type="dxa"/>
              <w:left w:w="15" w:type="dxa"/>
              <w:right w:w="15" w:type="dxa"/>
            </w:tcMar>
            <w:vAlign w:val="center"/>
          </w:tcPr>
          <w:p w14:paraId="3EFFD6DB">
            <w:pPr>
              <w:spacing w:line="264" w:lineRule="auto"/>
              <w:jc w:val="center"/>
              <w:rPr>
                <w:rFonts w:ascii="Times New Roman" w:hAnsi="Times New Roman" w:cs="Times New Roman"/>
                <w:sz w:val="21"/>
              </w:rPr>
            </w:pPr>
          </w:p>
        </w:tc>
        <w:tc>
          <w:tcPr>
            <w:tcW w:w="1080" w:type="pct"/>
            <w:noWrap/>
            <w:tcMar>
              <w:top w:w="15" w:type="dxa"/>
              <w:left w:w="15" w:type="dxa"/>
              <w:right w:w="15" w:type="dxa"/>
            </w:tcMar>
            <w:vAlign w:val="center"/>
          </w:tcPr>
          <w:p w14:paraId="77E26712">
            <w:pPr>
              <w:spacing w:line="264" w:lineRule="auto"/>
              <w:jc w:val="center"/>
              <w:rPr>
                <w:rFonts w:ascii="Times New Roman" w:hAnsi="Times New Roman" w:cs="Times New Roman"/>
                <w:sz w:val="21"/>
              </w:rPr>
            </w:pPr>
          </w:p>
        </w:tc>
      </w:tr>
      <w:tr w14:paraId="7FADC5C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jc w:val="center"/>
        </w:trPr>
        <w:tc>
          <w:tcPr>
            <w:tcW w:w="1879" w:type="pct"/>
            <w:gridSpan w:val="2"/>
            <w:tcMar>
              <w:top w:w="15" w:type="dxa"/>
              <w:left w:w="15" w:type="dxa"/>
              <w:right w:w="15" w:type="dxa"/>
            </w:tcMar>
            <w:vAlign w:val="center"/>
          </w:tcPr>
          <w:p w14:paraId="64FCC96C">
            <w:pPr>
              <w:spacing w:line="264" w:lineRule="auto"/>
              <w:jc w:val="center"/>
              <w:rPr>
                <w:rFonts w:ascii="Times New Roman" w:hAnsi="Times New Roman" w:cs="Times New Roman"/>
                <w:sz w:val="21"/>
              </w:rPr>
            </w:pPr>
            <w:r>
              <w:rPr>
                <w:rFonts w:ascii="Times New Roman" w:hAnsi="Times New Roman" w:cs="Times New Roman"/>
                <w:sz w:val="21"/>
              </w:rPr>
              <w:t>多年平均降雨量（mm）</w:t>
            </w:r>
          </w:p>
        </w:tc>
        <w:tc>
          <w:tcPr>
            <w:tcW w:w="849" w:type="pct"/>
            <w:tcMar>
              <w:top w:w="15" w:type="dxa"/>
              <w:left w:w="15" w:type="dxa"/>
              <w:right w:w="15" w:type="dxa"/>
            </w:tcMar>
            <w:vAlign w:val="center"/>
          </w:tcPr>
          <w:p w14:paraId="50C8242D">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9</w:t>
            </w:r>
            <w:r>
              <w:rPr>
                <w:rFonts w:hint="eastAsia" w:ascii="Times New Roman" w:hAnsi="Times New Roman" w:cs="Times New Roman"/>
                <w:sz w:val="21"/>
                <w:lang w:eastAsia="zh-CN"/>
              </w:rPr>
              <w:t>05.4</w:t>
            </w:r>
          </w:p>
        </w:tc>
        <w:tc>
          <w:tcPr>
            <w:tcW w:w="1190" w:type="pct"/>
            <w:tcMar>
              <w:top w:w="15" w:type="dxa"/>
              <w:left w:w="15" w:type="dxa"/>
              <w:right w:w="15" w:type="dxa"/>
            </w:tcMar>
            <w:vAlign w:val="center"/>
          </w:tcPr>
          <w:p w14:paraId="2920BA6D">
            <w:pPr>
              <w:spacing w:line="264" w:lineRule="auto"/>
              <w:jc w:val="center"/>
              <w:rPr>
                <w:rFonts w:ascii="Times New Roman" w:hAnsi="Times New Roman" w:cs="Times New Roman"/>
                <w:sz w:val="21"/>
                <w:lang w:eastAsia="zh-CN"/>
              </w:rPr>
            </w:pPr>
          </w:p>
        </w:tc>
        <w:tc>
          <w:tcPr>
            <w:tcW w:w="1080" w:type="pct"/>
            <w:tcMar>
              <w:top w:w="15" w:type="dxa"/>
              <w:left w:w="15" w:type="dxa"/>
              <w:right w:w="15" w:type="dxa"/>
            </w:tcMar>
            <w:vAlign w:val="center"/>
          </w:tcPr>
          <w:p w14:paraId="679CA689">
            <w:pPr>
              <w:spacing w:line="264" w:lineRule="auto"/>
              <w:jc w:val="center"/>
              <w:rPr>
                <w:rFonts w:ascii="Times New Roman" w:hAnsi="Times New Roman" w:cs="Times New Roman"/>
                <w:sz w:val="21"/>
                <w:lang w:eastAsia="zh-CN"/>
              </w:rPr>
            </w:pPr>
          </w:p>
        </w:tc>
      </w:tr>
      <w:tr w14:paraId="52FC152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jc w:val="center"/>
        </w:trPr>
        <w:tc>
          <w:tcPr>
            <w:tcW w:w="1879" w:type="pct"/>
            <w:gridSpan w:val="2"/>
            <w:tcMar>
              <w:top w:w="15" w:type="dxa"/>
              <w:left w:w="15" w:type="dxa"/>
              <w:right w:w="15" w:type="dxa"/>
            </w:tcMar>
            <w:vAlign w:val="center"/>
          </w:tcPr>
          <w:p w14:paraId="48899F10">
            <w:pPr>
              <w:spacing w:line="264" w:lineRule="auto"/>
              <w:jc w:val="center"/>
              <w:rPr>
                <w:rFonts w:ascii="Times New Roman" w:hAnsi="Times New Roman" w:cs="Times New Roman"/>
                <w:sz w:val="21"/>
              </w:rPr>
            </w:pPr>
            <w:r>
              <w:rPr>
                <w:rFonts w:ascii="Times New Roman" w:hAnsi="Times New Roman" w:cs="Times New Roman"/>
                <w:sz w:val="21"/>
              </w:rPr>
              <w:t>多年平均最大日降水量（mm）</w:t>
            </w:r>
          </w:p>
        </w:tc>
        <w:tc>
          <w:tcPr>
            <w:tcW w:w="849" w:type="pct"/>
            <w:tcMar>
              <w:top w:w="15" w:type="dxa"/>
              <w:left w:w="15" w:type="dxa"/>
              <w:right w:w="15" w:type="dxa"/>
            </w:tcMar>
            <w:vAlign w:val="center"/>
          </w:tcPr>
          <w:p w14:paraId="62A80A24">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109.86</w:t>
            </w:r>
          </w:p>
        </w:tc>
        <w:tc>
          <w:tcPr>
            <w:tcW w:w="1190" w:type="pct"/>
            <w:tcMar>
              <w:top w:w="15" w:type="dxa"/>
              <w:left w:w="15" w:type="dxa"/>
              <w:right w:w="15" w:type="dxa"/>
            </w:tcMar>
            <w:vAlign w:val="center"/>
          </w:tcPr>
          <w:p w14:paraId="639A0568">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2018.6.28</w:t>
            </w:r>
          </w:p>
        </w:tc>
        <w:tc>
          <w:tcPr>
            <w:tcW w:w="1080" w:type="pct"/>
            <w:tcMar>
              <w:top w:w="15" w:type="dxa"/>
              <w:left w:w="15" w:type="dxa"/>
              <w:right w:w="15" w:type="dxa"/>
            </w:tcMar>
            <w:vAlign w:val="center"/>
          </w:tcPr>
          <w:p w14:paraId="26CE4A10">
            <w:pPr>
              <w:spacing w:line="264" w:lineRule="auto"/>
              <w:jc w:val="center"/>
              <w:rPr>
                <w:rFonts w:ascii="Times New Roman" w:hAnsi="Times New Roman" w:cs="Times New Roman"/>
                <w:sz w:val="21"/>
                <w:lang w:eastAsia="zh-CN"/>
              </w:rPr>
            </w:pPr>
            <w:r>
              <w:rPr>
                <w:rFonts w:hint="eastAsia" w:ascii="Times New Roman" w:hAnsi="Times New Roman" w:cs="Times New Roman"/>
                <w:sz w:val="21"/>
                <w:lang w:eastAsia="zh-CN"/>
              </w:rPr>
              <w:t>216.9</w:t>
            </w:r>
          </w:p>
        </w:tc>
      </w:tr>
      <w:tr w14:paraId="1247AAF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jc w:val="center"/>
        </w:trPr>
        <w:tc>
          <w:tcPr>
            <w:tcW w:w="461" w:type="pct"/>
            <w:vMerge w:val="restart"/>
            <w:tcMar>
              <w:top w:w="15" w:type="dxa"/>
              <w:left w:w="15" w:type="dxa"/>
              <w:right w:w="15" w:type="dxa"/>
            </w:tcMar>
            <w:vAlign w:val="center"/>
          </w:tcPr>
          <w:p w14:paraId="2BC3CAF0">
            <w:pPr>
              <w:spacing w:line="264" w:lineRule="auto"/>
              <w:jc w:val="center"/>
              <w:rPr>
                <w:rFonts w:ascii="Times New Roman" w:hAnsi="Times New Roman" w:cs="Times New Roman"/>
                <w:sz w:val="21"/>
                <w:lang w:eastAsia="zh-CN"/>
              </w:rPr>
            </w:pPr>
            <w:r>
              <w:rPr>
                <w:rFonts w:ascii="Times New Roman" w:hAnsi="Times New Roman" w:cs="Times New Roman"/>
                <w:sz w:val="21"/>
              </w:rPr>
              <w:t>灾害天气</w:t>
            </w:r>
          </w:p>
          <w:p w14:paraId="114D3042">
            <w:pPr>
              <w:spacing w:line="264" w:lineRule="auto"/>
              <w:jc w:val="center"/>
              <w:rPr>
                <w:rFonts w:ascii="Times New Roman" w:hAnsi="Times New Roman" w:cs="Times New Roman"/>
                <w:sz w:val="21"/>
              </w:rPr>
            </w:pPr>
            <w:r>
              <w:rPr>
                <w:rFonts w:ascii="Times New Roman" w:hAnsi="Times New Roman" w:cs="Times New Roman"/>
                <w:sz w:val="21"/>
              </w:rPr>
              <w:t>统计</w:t>
            </w:r>
          </w:p>
        </w:tc>
        <w:tc>
          <w:tcPr>
            <w:tcW w:w="1417" w:type="pct"/>
            <w:tcMar>
              <w:top w:w="15" w:type="dxa"/>
              <w:left w:w="15" w:type="dxa"/>
              <w:right w:w="15" w:type="dxa"/>
            </w:tcMar>
            <w:vAlign w:val="center"/>
          </w:tcPr>
          <w:p w14:paraId="59410A00">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多年平均沙暴日数（d）</w:t>
            </w:r>
          </w:p>
        </w:tc>
        <w:tc>
          <w:tcPr>
            <w:tcW w:w="849" w:type="pct"/>
            <w:tcMar>
              <w:top w:w="15" w:type="dxa"/>
              <w:left w:w="15" w:type="dxa"/>
              <w:right w:w="15" w:type="dxa"/>
            </w:tcMar>
            <w:vAlign w:val="center"/>
          </w:tcPr>
          <w:p w14:paraId="2F297A6B">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0.35</w:t>
            </w:r>
          </w:p>
        </w:tc>
        <w:tc>
          <w:tcPr>
            <w:tcW w:w="1190" w:type="pct"/>
            <w:tcMar>
              <w:top w:w="15" w:type="dxa"/>
              <w:left w:w="15" w:type="dxa"/>
              <w:right w:w="15" w:type="dxa"/>
            </w:tcMar>
            <w:vAlign w:val="center"/>
          </w:tcPr>
          <w:p w14:paraId="654A1B3C">
            <w:pPr>
              <w:spacing w:line="264" w:lineRule="auto"/>
              <w:jc w:val="center"/>
              <w:rPr>
                <w:rFonts w:ascii="Times New Roman" w:hAnsi="Times New Roman" w:cs="Times New Roman"/>
                <w:sz w:val="21"/>
              </w:rPr>
            </w:pPr>
          </w:p>
        </w:tc>
        <w:tc>
          <w:tcPr>
            <w:tcW w:w="1080" w:type="pct"/>
            <w:noWrap/>
            <w:tcMar>
              <w:top w:w="15" w:type="dxa"/>
              <w:left w:w="15" w:type="dxa"/>
              <w:right w:w="15" w:type="dxa"/>
            </w:tcMar>
            <w:vAlign w:val="center"/>
          </w:tcPr>
          <w:p w14:paraId="6703A7C2">
            <w:pPr>
              <w:spacing w:line="264" w:lineRule="auto"/>
              <w:jc w:val="center"/>
              <w:rPr>
                <w:rFonts w:ascii="Times New Roman" w:hAnsi="Times New Roman" w:cs="Times New Roman"/>
                <w:sz w:val="21"/>
              </w:rPr>
            </w:pPr>
          </w:p>
        </w:tc>
      </w:tr>
      <w:tr w14:paraId="401447A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jc w:val="center"/>
        </w:trPr>
        <w:tc>
          <w:tcPr>
            <w:tcW w:w="461" w:type="pct"/>
            <w:vMerge w:val="continue"/>
            <w:tcMar>
              <w:top w:w="15" w:type="dxa"/>
              <w:left w:w="15" w:type="dxa"/>
              <w:right w:w="15" w:type="dxa"/>
            </w:tcMar>
            <w:vAlign w:val="center"/>
          </w:tcPr>
          <w:p w14:paraId="6275EE36">
            <w:pPr>
              <w:spacing w:line="264" w:lineRule="auto"/>
              <w:jc w:val="center"/>
              <w:rPr>
                <w:rFonts w:ascii="Times New Roman" w:hAnsi="Times New Roman" w:cs="Times New Roman"/>
                <w:sz w:val="21"/>
              </w:rPr>
            </w:pPr>
          </w:p>
        </w:tc>
        <w:tc>
          <w:tcPr>
            <w:tcW w:w="1417" w:type="pct"/>
            <w:tcMar>
              <w:top w:w="15" w:type="dxa"/>
              <w:left w:w="15" w:type="dxa"/>
              <w:right w:w="15" w:type="dxa"/>
            </w:tcMar>
            <w:vAlign w:val="center"/>
          </w:tcPr>
          <w:p w14:paraId="614087D3">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多年平均雷暴日数（d）</w:t>
            </w:r>
          </w:p>
        </w:tc>
        <w:tc>
          <w:tcPr>
            <w:tcW w:w="849" w:type="pct"/>
            <w:tcMar>
              <w:top w:w="15" w:type="dxa"/>
              <w:left w:w="15" w:type="dxa"/>
              <w:right w:w="15" w:type="dxa"/>
            </w:tcMar>
            <w:vAlign w:val="center"/>
          </w:tcPr>
          <w:p w14:paraId="03A78D50">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26.4</w:t>
            </w:r>
          </w:p>
        </w:tc>
        <w:tc>
          <w:tcPr>
            <w:tcW w:w="1190" w:type="pct"/>
            <w:noWrap/>
            <w:tcMar>
              <w:top w:w="15" w:type="dxa"/>
              <w:left w:w="15" w:type="dxa"/>
              <w:right w:w="15" w:type="dxa"/>
            </w:tcMar>
            <w:vAlign w:val="center"/>
          </w:tcPr>
          <w:p w14:paraId="4DE4D981">
            <w:pPr>
              <w:spacing w:line="264" w:lineRule="auto"/>
              <w:jc w:val="center"/>
              <w:rPr>
                <w:rFonts w:ascii="Times New Roman" w:hAnsi="Times New Roman" w:cs="Times New Roman"/>
                <w:sz w:val="21"/>
              </w:rPr>
            </w:pPr>
          </w:p>
        </w:tc>
        <w:tc>
          <w:tcPr>
            <w:tcW w:w="1080" w:type="pct"/>
            <w:noWrap/>
            <w:tcMar>
              <w:top w:w="15" w:type="dxa"/>
              <w:left w:w="15" w:type="dxa"/>
              <w:right w:w="15" w:type="dxa"/>
            </w:tcMar>
            <w:vAlign w:val="center"/>
          </w:tcPr>
          <w:p w14:paraId="5F79007B">
            <w:pPr>
              <w:spacing w:line="264" w:lineRule="auto"/>
              <w:jc w:val="center"/>
              <w:rPr>
                <w:rFonts w:ascii="Times New Roman" w:hAnsi="Times New Roman" w:cs="Times New Roman"/>
                <w:sz w:val="21"/>
              </w:rPr>
            </w:pPr>
          </w:p>
        </w:tc>
      </w:tr>
      <w:tr w14:paraId="195FFB7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jc w:val="center"/>
        </w:trPr>
        <w:tc>
          <w:tcPr>
            <w:tcW w:w="461" w:type="pct"/>
            <w:vMerge w:val="continue"/>
            <w:tcMar>
              <w:top w:w="15" w:type="dxa"/>
              <w:left w:w="15" w:type="dxa"/>
              <w:right w:w="15" w:type="dxa"/>
            </w:tcMar>
            <w:vAlign w:val="center"/>
          </w:tcPr>
          <w:p w14:paraId="650C8FE7">
            <w:pPr>
              <w:spacing w:line="264" w:lineRule="auto"/>
              <w:jc w:val="center"/>
              <w:rPr>
                <w:rFonts w:ascii="Times New Roman" w:hAnsi="Times New Roman" w:cs="Times New Roman"/>
                <w:sz w:val="21"/>
              </w:rPr>
            </w:pPr>
          </w:p>
        </w:tc>
        <w:tc>
          <w:tcPr>
            <w:tcW w:w="1417" w:type="pct"/>
            <w:tcMar>
              <w:top w:w="15" w:type="dxa"/>
              <w:left w:w="15" w:type="dxa"/>
              <w:right w:w="15" w:type="dxa"/>
            </w:tcMar>
            <w:vAlign w:val="center"/>
          </w:tcPr>
          <w:p w14:paraId="2DF97566">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多年平均冰雹日数（d）</w:t>
            </w:r>
          </w:p>
        </w:tc>
        <w:tc>
          <w:tcPr>
            <w:tcW w:w="849" w:type="pct"/>
            <w:tcMar>
              <w:top w:w="15" w:type="dxa"/>
              <w:left w:w="15" w:type="dxa"/>
              <w:right w:w="15" w:type="dxa"/>
            </w:tcMar>
            <w:vAlign w:val="center"/>
          </w:tcPr>
          <w:p w14:paraId="561993C8">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0.05</w:t>
            </w:r>
          </w:p>
        </w:tc>
        <w:tc>
          <w:tcPr>
            <w:tcW w:w="1190" w:type="pct"/>
            <w:noWrap/>
            <w:tcMar>
              <w:top w:w="15" w:type="dxa"/>
              <w:left w:w="15" w:type="dxa"/>
              <w:right w:w="15" w:type="dxa"/>
            </w:tcMar>
            <w:vAlign w:val="center"/>
          </w:tcPr>
          <w:p w14:paraId="2E4755AB">
            <w:pPr>
              <w:spacing w:line="264" w:lineRule="auto"/>
              <w:jc w:val="center"/>
              <w:rPr>
                <w:rFonts w:ascii="Times New Roman" w:hAnsi="Times New Roman" w:cs="Times New Roman"/>
                <w:sz w:val="21"/>
              </w:rPr>
            </w:pPr>
          </w:p>
        </w:tc>
        <w:tc>
          <w:tcPr>
            <w:tcW w:w="1080" w:type="pct"/>
            <w:noWrap/>
            <w:tcMar>
              <w:top w:w="15" w:type="dxa"/>
              <w:left w:w="15" w:type="dxa"/>
              <w:right w:w="15" w:type="dxa"/>
            </w:tcMar>
            <w:vAlign w:val="center"/>
          </w:tcPr>
          <w:p w14:paraId="01AE5E30">
            <w:pPr>
              <w:spacing w:line="264" w:lineRule="auto"/>
              <w:jc w:val="center"/>
              <w:rPr>
                <w:rFonts w:ascii="Times New Roman" w:hAnsi="Times New Roman" w:cs="Times New Roman"/>
                <w:sz w:val="21"/>
              </w:rPr>
            </w:pPr>
          </w:p>
        </w:tc>
      </w:tr>
      <w:tr w14:paraId="3AD3DF9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jc w:val="center"/>
        </w:trPr>
        <w:tc>
          <w:tcPr>
            <w:tcW w:w="461" w:type="pct"/>
            <w:vMerge w:val="continue"/>
            <w:tcMar>
              <w:top w:w="15" w:type="dxa"/>
              <w:left w:w="15" w:type="dxa"/>
              <w:right w:w="15" w:type="dxa"/>
            </w:tcMar>
            <w:vAlign w:val="center"/>
          </w:tcPr>
          <w:p w14:paraId="123F5F54">
            <w:pPr>
              <w:spacing w:line="264" w:lineRule="auto"/>
              <w:jc w:val="center"/>
              <w:rPr>
                <w:rFonts w:ascii="Times New Roman" w:hAnsi="Times New Roman" w:cs="Times New Roman"/>
                <w:sz w:val="21"/>
              </w:rPr>
            </w:pPr>
          </w:p>
        </w:tc>
        <w:tc>
          <w:tcPr>
            <w:tcW w:w="1417" w:type="pct"/>
            <w:tcMar>
              <w:top w:w="15" w:type="dxa"/>
              <w:left w:w="15" w:type="dxa"/>
              <w:right w:w="15" w:type="dxa"/>
            </w:tcMar>
            <w:vAlign w:val="center"/>
          </w:tcPr>
          <w:p w14:paraId="2438C221">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多年平均大风日数（d）</w:t>
            </w:r>
          </w:p>
        </w:tc>
        <w:tc>
          <w:tcPr>
            <w:tcW w:w="849" w:type="pct"/>
            <w:tcMar>
              <w:top w:w="15" w:type="dxa"/>
              <w:left w:w="15" w:type="dxa"/>
              <w:right w:w="15" w:type="dxa"/>
            </w:tcMar>
            <w:vAlign w:val="center"/>
          </w:tcPr>
          <w:p w14:paraId="307C30B3">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2.05</w:t>
            </w:r>
          </w:p>
        </w:tc>
        <w:tc>
          <w:tcPr>
            <w:tcW w:w="1190" w:type="pct"/>
            <w:noWrap/>
            <w:tcMar>
              <w:top w:w="15" w:type="dxa"/>
              <w:left w:w="15" w:type="dxa"/>
              <w:right w:w="15" w:type="dxa"/>
            </w:tcMar>
            <w:vAlign w:val="center"/>
          </w:tcPr>
          <w:p w14:paraId="27650C29">
            <w:pPr>
              <w:spacing w:line="264" w:lineRule="auto"/>
              <w:jc w:val="center"/>
              <w:rPr>
                <w:rFonts w:ascii="Times New Roman" w:hAnsi="Times New Roman" w:cs="Times New Roman"/>
                <w:sz w:val="21"/>
              </w:rPr>
            </w:pPr>
          </w:p>
        </w:tc>
        <w:tc>
          <w:tcPr>
            <w:tcW w:w="1080" w:type="pct"/>
            <w:noWrap/>
            <w:tcMar>
              <w:top w:w="15" w:type="dxa"/>
              <w:left w:w="15" w:type="dxa"/>
              <w:right w:w="15" w:type="dxa"/>
            </w:tcMar>
            <w:vAlign w:val="center"/>
          </w:tcPr>
          <w:p w14:paraId="6A903F28">
            <w:pPr>
              <w:spacing w:line="264" w:lineRule="auto"/>
              <w:jc w:val="center"/>
              <w:rPr>
                <w:rFonts w:ascii="Times New Roman" w:hAnsi="Times New Roman" w:cs="Times New Roman"/>
                <w:sz w:val="21"/>
              </w:rPr>
            </w:pPr>
          </w:p>
        </w:tc>
      </w:tr>
      <w:tr w14:paraId="637C6BC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jc w:val="center"/>
        </w:trPr>
        <w:tc>
          <w:tcPr>
            <w:tcW w:w="1879" w:type="pct"/>
            <w:gridSpan w:val="2"/>
            <w:tcMar>
              <w:top w:w="15" w:type="dxa"/>
              <w:left w:w="15" w:type="dxa"/>
              <w:right w:w="15" w:type="dxa"/>
            </w:tcMar>
            <w:vAlign w:val="center"/>
          </w:tcPr>
          <w:p w14:paraId="6D345EB7">
            <w:pPr>
              <w:jc w:val="center"/>
              <w:rPr>
                <w:rFonts w:ascii="Times New Roman" w:hAnsi="Times New Roman" w:cs="Times New Roman"/>
                <w:sz w:val="21"/>
                <w:lang w:eastAsia="zh-CN"/>
              </w:rPr>
            </w:pPr>
            <w:r>
              <w:rPr>
                <w:rFonts w:ascii="Times New Roman" w:hAnsi="Times New Roman" w:cs="Times New Roman"/>
                <w:sz w:val="21"/>
                <w:lang w:eastAsia="zh-CN"/>
              </w:rPr>
              <w:t>多年实测极大风速（m/s）</w:t>
            </w:r>
          </w:p>
        </w:tc>
        <w:tc>
          <w:tcPr>
            <w:tcW w:w="849" w:type="pct"/>
            <w:tcMar>
              <w:top w:w="15" w:type="dxa"/>
              <w:left w:w="15" w:type="dxa"/>
              <w:right w:w="15" w:type="dxa"/>
            </w:tcMar>
            <w:vAlign w:val="center"/>
          </w:tcPr>
          <w:p w14:paraId="0D2296A8">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19.32</w:t>
            </w:r>
          </w:p>
        </w:tc>
        <w:tc>
          <w:tcPr>
            <w:tcW w:w="1190" w:type="pct"/>
            <w:tcMar>
              <w:top w:w="15" w:type="dxa"/>
              <w:left w:w="15" w:type="dxa"/>
              <w:right w:w="15" w:type="dxa"/>
            </w:tcMar>
            <w:vAlign w:val="center"/>
          </w:tcPr>
          <w:p w14:paraId="02FA6E65">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2005.6.15</w:t>
            </w:r>
          </w:p>
        </w:tc>
        <w:tc>
          <w:tcPr>
            <w:tcW w:w="1080" w:type="pct"/>
            <w:tcMar>
              <w:top w:w="15" w:type="dxa"/>
              <w:left w:w="15" w:type="dxa"/>
              <w:right w:w="15" w:type="dxa"/>
            </w:tcMar>
            <w:vAlign w:val="center"/>
          </w:tcPr>
          <w:p w14:paraId="5C69D77B">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25.9</w:t>
            </w:r>
          </w:p>
        </w:tc>
      </w:tr>
      <w:tr w14:paraId="0A81860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jc w:val="center"/>
        </w:trPr>
        <w:tc>
          <w:tcPr>
            <w:tcW w:w="1879" w:type="pct"/>
            <w:gridSpan w:val="2"/>
            <w:tcMar>
              <w:top w:w="15" w:type="dxa"/>
              <w:left w:w="15" w:type="dxa"/>
              <w:right w:w="15" w:type="dxa"/>
            </w:tcMar>
            <w:vAlign w:val="center"/>
          </w:tcPr>
          <w:p w14:paraId="373F2621">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多年平均风速（m/s）</w:t>
            </w:r>
          </w:p>
        </w:tc>
        <w:tc>
          <w:tcPr>
            <w:tcW w:w="849" w:type="pct"/>
            <w:tcMar>
              <w:top w:w="15" w:type="dxa"/>
              <w:left w:w="15" w:type="dxa"/>
              <w:right w:w="15" w:type="dxa"/>
            </w:tcMar>
            <w:vAlign w:val="center"/>
          </w:tcPr>
          <w:p w14:paraId="0CA6975C">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2.4</w:t>
            </w:r>
          </w:p>
        </w:tc>
        <w:tc>
          <w:tcPr>
            <w:tcW w:w="1190" w:type="pct"/>
            <w:noWrap/>
            <w:tcMar>
              <w:top w:w="15" w:type="dxa"/>
              <w:left w:w="15" w:type="dxa"/>
              <w:right w:w="15" w:type="dxa"/>
            </w:tcMar>
            <w:vAlign w:val="center"/>
          </w:tcPr>
          <w:p w14:paraId="6E094FF4">
            <w:pPr>
              <w:spacing w:line="264" w:lineRule="auto"/>
              <w:jc w:val="center"/>
              <w:rPr>
                <w:rFonts w:ascii="Times New Roman" w:hAnsi="Times New Roman" w:cs="Times New Roman"/>
                <w:sz w:val="21"/>
              </w:rPr>
            </w:pPr>
          </w:p>
        </w:tc>
        <w:tc>
          <w:tcPr>
            <w:tcW w:w="1080" w:type="pct"/>
            <w:noWrap/>
            <w:tcMar>
              <w:top w:w="15" w:type="dxa"/>
              <w:left w:w="15" w:type="dxa"/>
              <w:right w:w="15" w:type="dxa"/>
            </w:tcMar>
            <w:vAlign w:val="center"/>
          </w:tcPr>
          <w:p w14:paraId="764D31EF">
            <w:pPr>
              <w:spacing w:line="264" w:lineRule="auto"/>
              <w:jc w:val="center"/>
              <w:rPr>
                <w:rFonts w:ascii="Times New Roman" w:hAnsi="Times New Roman" w:cs="Times New Roman"/>
                <w:sz w:val="21"/>
              </w:rPr>
            </w:pPr>
          </w:p>
        </w:tc>
      </w:tr>
      <w:tr w14:paraId="7DFA7AA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jc w:val="center"/>
        </w:trPr>
        <w:tc>
          <w:tcPr>
            <w:tcW w:w="1879" w:type="pct"/>
            <w:gridSpan w:val="2"/>
            <w:tcMar>
              <w:top w:w="15" w:type="dxa"/>
              <w:left w:w="15" w:type="dxa"/>
              <w:right w:w="15" w:type="dxa"/>
            </w:tcMar>
            <w:vAlign w:val="center"/>
          </w:tcPr>
          <w:p w14:paraId="26006DAD">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多年主导风向、风向频率（%）</w:t>
            </w:r>
          </w:p>
        </w:tc>
        <w:tc>
          <w:tcPr>
            <w:tcW w:w="849" w:type="pct"/>
            <w:tcMar>
              <w:top w:w="15" w:type="dxa"/>
              <w:left w:w="15" w:type="dxa"/>
              <w:right w:w="15" w:type="dxa"/>
            </w:tcMar>
            <w:vAlign w:val="center"/>
          </w:tcPr>
          <w:p w14:paraId="797C4E3A">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ENE 13.72%</w:t>
            </w:r>
          </w:p>
        </w:tc>
        <w:tc>
          <w:tcPr>
            <w:tcW w:w="1190" w:type="pct"/>
            <w:noWrap/>
            <w:tcMar>
              <w:top w:w="15" w:type="dxa"/>
              <w:left w:w="15" w:type="dxa"/>
              <w:right w:w="15" w:type="dxa"/>
            </w:tcMar>
            <w:vAlign w:val="center"/>
          </w:tcPr>
          <w:p w14:paraId="30D1F2BE">
            <w:pPr>
              <w:spacing w:line="264" w:lineRule="auto"/>
              <w:jc w:val="center"/>
              <w:rPr>
                <w:rFonts w:ascii="Times New Roman" w:hAnsi="Times New Roman" w:cs="Times New Roman"/>
                <w:sz w:val="21"/>
              </w:rPr>
            </w:pPr>
          </w:p>
        </w:tc>
        <w:tc>
          <w:tcPr>
            <w:tcW w:w="1080" w:type="pct"/>
            <w:noWrap/>
            <w:tcMar>
              <w:top w:w="15" w:type="dxa"/>
              <w:left w:w="15" w:type="dxa"/>
              <w:right w:w="15" w:type="dxa"/>
            </w:tcMar>
            <w:vAlign w:val="center"/>
          </w:tcPr>
          <w:p w14:paraId="015A3D9E">
            <w:pPr>
              <w:spacing w:line="264" w:lineRule="auto"/>
              <w:jc w:val="center"/>
              <w:rPr>
                <w:rFonts w:ascii="Times New Roman" w:hAnsi="Times New Roman" w:cs="Times New Roman"/>
                <w:sz w:val="21"/>
              </w:rPr>
            </w:pPr>
          </w:p>
        </w:tc>
      </w:tr>
      <w:tr w14:paraId="27EB9AC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jc w:val="center"/>
        </w:trPr>
        <w:tc>
          <w:tcPr>
            <w:tcW w:w="1879" w:type="pct"/>
            <w:gridSpan w:val="2"/>
            <w:tcMar>
              <w:top w:w="15" w:type="dxa"/>
              <w:left w:w="15" w:type="dxa"/>
              <w:right w:w="15" w:type="dxa"/>
            </w:tcMar>
            <w:vAlign w:val="center"/>
          </w:tcPr>
          <w:p w14:paraId="0D40A24E">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多年静风频率（风速&lt;=0.2m/s）（%）</w:t>
            </w:r>
          </w:p>
        </w:tc>
        <w:tc>
          <w:tcPr>
            <w:tcW w:w="849" w:type="pct"/>
            <w:tcMar>
              <w:top w:w="15" w:type="dxa"/>
              <w:left w:w="15" w:type="dxa"/>
              <w:right w:w="15" w:type="dxa"/>
            </w:tcMar>
            <w:vAlign w:val="center"/>
          </w:tcPr>
          <w:p w14:paraId="039F4190">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2.34</w:t>
            </w:r>
          </w:p>
        </w:tc>
        <w:tc>
          <w:tcPr>
            <w:tcW w:w="1190" w:type="pct"/>
            <w:noWrap/>
            <w:tcMar>
              <w:top w:w="15" w:type="dxa"/>
              <w:left w:w="15" w:type="dxa"/>
              <w:right w:w="15" w:type="dxa"/>
            </w:tcMar>
            <w:vAlign w:val="center"/>
          </w:tcPr>
          <w:p w14:paraId="0FA2DFC5">
            <w:pPr>
              <w:spacing w:line="264" w:lineRule="auto"/>
              <w:jc w:val="center"/>
              <w:rPr>
                <w:rFonts w:ascii="Times New Roman" w:hAnsi="Times New Roman" w:cs="Times New Roman"/>
                <w:sz w:val="21"/>
              </w:rPr>
            </w:pPr>
          </w:p>
        </w:tc>
        <w:tc>
          <w:tcPr>
            <w:tcW w:w="1080" w:type="pct"/>
            <w:noWrap/>
            <w:tcMar>
              <w:top w:w="15" w:type="dxa"/>
              <w:left w:w="15" w:type="dxa"/>
              <w:right w:w="15" w:type="dxa"/>
            </w:tcMar>
            <w:vAlign w:val="center"/>
          </w:tcPr>
          <w:p w14:paraId="766F53B7">
            <w:pPr>
              <w:spacing w:line="264" w:lineRule="auto"/>
              <w:jc w:val="center"/>
              <w:rPr>
                <w:rFonts w:ascii="Times New Roman" w:hAnsi="Times New Roman" w:cs="Times New Roman"/>
                <w:sz w:val="21"/>
              </w:rPr>
            </w:pPr>
          </w:p>
        </w:tc>
      </w:tr>
      <w:tr w14:paraId="653D78D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jc w:val="center"/>
        </w:trPr>
        <w:tc>
          <w:tcPr>
            <w:tcW w:w="1879" w:type="pct"/>
            <w:gridSpan w:val="2"/>
            <w:tcMar>
              <w:top w:w="15" w:type="dxa"/>
              <w:left w:w="15" w:type="dxa"/>
              <w:right w:w="15" w:type="dxa"/>
            </w:tcMar>
            <w:vAlign w:val="center"/>
          </w:tcPr>
          <w:p w14:paraId="149E861D">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*统计值代表均值</w:t>
            </w:r>
          </w:p>
          <w:p w14:paraId="208BBFA2">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**极值代表极端值</w:t>
            </w:r>
          </w:p>
        </w:tc>
        <w:tc>
          <w:tcPr>
            <w:tcW w:w="849" w:type="pct"/>
            <w:tcMar>
              <w:top w:w="15" w:type="dxa"/>
              <w:left w:w="15" w:type="dxa"/>
              <w:right w:w="15" w:type="dxa"/>
            </w:tcMar>
            <w:vAlign w:val="center"/>
          </w:tcPr>
          <w:p w14:paraId="2C436D10">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举例：累年极端最高气温</w:t>
            </w:r>
          </w:p>
        </w:tc>
        <w:tc>
          <w:tcPr>
            <w:tcW w:w="1190" w:type="pct"/>
            <w:tcMar>
              <w:top w:w="15" w:type="dxa"/>
              <w:left w:w="15" w:type="dxa"/>
              <w:right w:w="15" w:type="dxa"/>
            </w:tcMar>
            <w:vAlign w:val="center"/>
          </w:tcPr>
          <w:p w14:paraId="31BBD608">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*代表极端最高气温的累年平均值</w:t>
            </w:r>
          </w:p>
        </w:tc>
        <w:tc>
          <w:tcPr>
            <w:tcW w:w="1080" w:type="pct"/>
            <w:tcMar>
              <w:top w:w="15" w:type="dxa"/>
              <w:left w:w="15" w:type="dxa"/>
              <w:right w:w="15" w:type="dxa"/>
            </w:tcMar>
            <w:vAlign w:val="center"/>
          </w:tcPr>
          <w:p w14:paraId="0E0EB4DF">
            <w:pPr>
              <w:spacing w:line="264" w:lineRule="auto"/>
              <w:jc w:val="center"/>
              <w:rPr>
                <w:rFonts w:ascii="Times New Roman" w:hAnsi="Times New Roman" w:cs="Times New Roman"/>
                <w:sz w:val="21"/>
                <w:lang w:eastAsia="zh-CN"/>
              </w:rPr>
            </w:pPr>
            <w:r>
              <w:rPr>
                <w:rFonts w:ascii="Times New Roman" w:hAnsi="Times New Roman" w:cs="Times New Roman"/>
                <w:sz w:val="21"/>
                <w:lang w:eastAsia="zh-CN"/>
              </w:rPr>
              <w:t>**代表极端最高气温的累年最高值</w:t>
            </w:r>
          </w:p>
        </w:tc>
      </w:tr>
    </w:tbl>
    <w:p w14:paraId="73453054">
      <w:pPr>
        <w:spacing w:line="360" w:lineRule="auto"/>
        <w:ind w:firstLine="480" w:firstLineChars="200"/>
        <w:jc w:val="both"/>
        <w:rPr>
          <w:rFonts w:ascii="Times New Roman" w:hAnsi="Times New Roman" w:cs="Times New Roman"/>
          <w:szCs w:val="24"/>
          <w:lang w:eastAsia="zh-CN"/>
        </w:rPr>
      </w:pPr>
    </w:p>
    <w:p w14:paraId="25E7CDAE">
      <w:pPr>
        <w:spacing w:line="360" w:lineRule="auto"/>
        <w:ind w:firstLine="480" w:firstLineChars="200"/>
        <w:jc w:val="both"/>
        <w:rPr>
          <w:rFonts w:ascii="Times New Roman" w:hAnsi="Times New Roman" w:cs="Times New Roman"/>
          <w:szCs w:val="24"/>
          <w:lang w:eastAsia="zh-CN"/>
        </w:rPr>
      </w:pPr>
    </w:p>
    <w:p w14:paraId="0250F7C5">
      <w:pPr>
        <w:spacing w:line="360" w:lineRule="auto"/>
        <w:ind w:left="480"/>
        <w:jc w:val="both"/>
        <w:rPr>
          <w:rFonts w:ascii="Times New Roman" w:hAnsi="Times New Roman" w:cs="Times New Roman"/>
          <w:szCs w:val="24"/>
          <w:lang w:eastAsia="zh-CN"/>
        </w:rPr>
      </w:pPr>
      <w:r>
        <w:rPr>
          <w:rFonts w:hint="eastAsia" w:ascii="Times New Roman" w:hAnsi="Times New Roman" w:cs="Times New Roman"/>
          <w:szCs w:val="24"/>
          <w:lang w:eastAsia="zh-CN"/>
        </w:rPr>
        <w:t>（2）风向和风频</w:t>
      </w:r>
    </w:p>
    <w:p w14:paraId="773DEE1F">
      <w:pPr>
        <w:spacing w:line="360" w:lineRule="auto"/>
        <w:ind w:firstLine="480" w:firstLineChars="200"/>
        <w:jc w:val="both"/>
        <w:rPr>
          <w:rFonts w:ascii="Times New Roman" w:hAnsi="Times New Roman" w:cs="Times New Roman"/>
          <w:szCs w:val="24"/>
          <w:lang w:eastAsia="zh-CN"/>
        </w:rPr>
      </w:pPr>
      <w:r>
        <w:rPr>
          <w:rFonts w:hint="eastAsia" w:ascii="Times New Roman" w:hAnsi="Times New Roman" w:cs="Times New Roman"/>
          <w:szCs w:val="24"/>
          <w:lang w:eastAsia="zh-CN"/>
        </w:rPr>
        <w:t>蚌埠市年风向频率见表6.2-2，近20年资料分析的风向玫瑰图如图6.2-1所示，蚌埠气象站主要风向为ENE和E、NE、ESE，占45.21%，其中以ENE为主风向，占全年13.72%左右。</w:t>
      </w:r>
    </w:p>
    <w:p w14:paraId="1DE505E4">
      <w:pPr>
        <w:spacing w:line="360" w:lineRule="auto"/>
        <w:jc w:val="center"/>
        <w:rPr>
          <w:rFonts w:ascii="Times New Roman" w:hAnsi="Times New Roman" w:cs="Times New Roman"/>
          <w:color w:val="EE0000"/>
          <w:szCs w:val="24"/>
          <w:lang w:eastAsia="zh-CN"/>
        </w:rPr>
      </w:pPr>
      <w:r>
        <w:rPr>
          <w:color w:val="0000FF"/>
        </w:rPr>
        <w:drawing>
          <wp:inline distT="0" distB="0" distL="0" distR="0">
            <wp:extent cx="2028825" cy="2314575"/>
            <wp:effectExtent l="0" t="0" r="0" b="0"/>
            <wp:docPr id="79" name="图片 13" descr="H:/2024年环评报告/6、蚌埠圣光化工硫酸镁环评/预测/近20年风向玫瑰图.png近20年风向玫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3" descr="H:/2024年环评报告/6、蚌埠圣光化工硫酸镁环评/预测/近20年风向玫瑰图.png近20年风向玫瑰图"/>
                    <pic:cNvPicPr>
                      <a:picLocks noChangeAspect="1" noChangeArrowheads="1"/>
                    </pic:cNvPicPr>
                  </pic:nvPicPr>
                  <pic:blipFill>
                    <a:blip r:embed="rId83">
                      <a:extLst>
                        <a:ext uri="{28A0092B-C50C-407E-A947-70E740481C1C}">
                          <a14:useLocalDpi xmlns:a14="http://schemas.microsoft.com/office/drawing/2010/main" val="0"/>
                        </a:ext>
                      </a:extLst>
                    </a:blip>
                    <a:srcRect t="1274" r="1147"/>
                    <a:stretch>
                      <a:fillRect/>
                    </a:stretch>
                  </pic:blipFill>
                  <pic:spPr>
                    <a:xfrm>
                      <a:off x="0" y="0"/>
                      <a:ext cx="2028825" cy="2314575"/>
                    </a:xfrm>
                    <a:prstGeom prst="rect">
                      <a:avLst/>
                    </a:prstGeom>
                    <a:noFill/>
                    <a:ln>
                      <a:noFill/>
                    </a:ln>
                  </pic:spPr>
                </pic:pic>
              </a:graphicData>
            </a:graphic>
          </wp:inline>
        </w:drawing>
      </w:r>
    </w:p>
    <w:p w14:paraId="761FB226">
      <w:pPr>
        <w:spacing w:line="360" w:lineRule="auto"/>
        <w:jc w:val="center"/>
        <w:rPr>
          <w:rFonts w:ascii="Times New Roman" w:hAnsi="Times New Roman" w:cs="Times New Roman"/>
          <w:b/>
          <w:bCs/>
          <w:szCs w:val="24"/>
          <w:lang w:eastAsia="zh-CN"/>
        </w:rPr>
      </w:pPr>
      <w:r>
        <w:rPr>
          <w:rFonts w:hint="eastAsia" w:ascii="Times New Roman" w:hAnsi="Times New Roman" w:cs="Times New Roman"/>
          <w:b/>
          <w:bCs/>
          <w:szCs w:val="24"/>
          <w:lang w:eastAsia="zh-CN"/>
        </w:rPr>
        <w:t>图6.2-1 蚌埠市风向玫瑰图（静风频率2.34%）</w:t>
      </w:r>
    </w:p>
    <w:p w14:paraId="39025018">
      <w:pPr>
        <w:spacing w:line="360" w:lineRule="auto"/>
        <w:jc w:val="center"/>
        <w:rPr>
          <w:rFonts w:ascii="Times New Roman" w:hAnsi="Times New Roman" w:cs="Times New Roman"/>
          <w:lang w:eastAsia="zh-CN"/>
        </w:rPr>
      </w:pPr>
      <w:r>
        <w:rPr>
          <w:rFonts w:ascii="Times New Roman" w:hAnsi="Times New Roman" w:cs="Times New Roman"/>
          <w:b/>
          <w:bCs/>
          <w:lang w:eastAsia="zh-CN"/>
        </w:rPr>
        <w:t>表</w:t>
      </w:r>
      <w:r>
        <w:rPr>
          <w:rFonts w:hint="eastAsia" w:ascii="Times New Roman" w:hAnsi="Times New Roman" w:cs="Times New Roman"/>
          <w:b/>
          <w:bCs/>
          <w:lang w:eastAsia="zh-CN"/>
        </w:rPr>
        <w:t>6</w:t>
      </w:r>
      <w:r>
        <w:rPr>
          <w:rFonts w:ascii="Times New Roman" w:hAnsi="Times New Roman" w:cs="Times New Roman"/>
          <w:b/>
          <w:bCs/>
          <w:lang w:eastAsia="zh-CN"/>
        </w:rPr>
        <w:t>.2-2 蚌埠市2004年</w:t>
      </w:r>
      <w:r>
        <w:rPr>
          <w:rFonts w:hint="eastAsia" w:ascii="Times New Roman" w:hAnsi="Times New Roman" w:cs="Times New Roman"/>
          <w:b/>
          <w:bCs/>
          <w:lang w:eastAsia="zh-CN"/>
        </w:rPr>
        <w:t>～</w:t>
      </w:r>
      <w:r>
        <w:rPr>
          <w:rFonts w:ascii="Times New Roman" w:hAnsi="Times New Roman" w:cs="Times New Roman"/>
          <w:b/>
          <w:bCs/>
          <w:lang w:eastAsia="zh-CN"/>
        </w:rPr>
        <w:t>2023年风向频率统计（单位：%）</w:t>
      </w:r>
    </w:p>
    <w:tbl>
      <w:tblPr>
        <w:tblStyle w:val="35"/>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15"/>
        <w:gridCol w:w="564"/>
        <w:gridCol w:w="595"/>
        <w:gridCol w:w="564"/>
        <w:gridCol w:w="664"/>
        <w:gridCol w:w="564"/>
        <w:gridCol w:w="564"/>
        <w:gridCol w:w="465"/>
        <w:gridCol w:w="564"/>
        <w:gridCol w:w="465"/>
        <w:gridCol w:w="595"/>
        <w:gridCol w:w="564"/>
        <w:gridCol w:w="675"/>
        <w:gridCol w:w="564"/>
        <w:gridCol w:w="704"/>
        <w:gridCol w:w="565"/>
        <w:gridCol w:w="655"/>
      </w:tblGrid>
      <w:tr w14:paraId="5F9C86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28C77EF7">
            <w:pPr>
              <w:widowControl w:val="0"/>
              <w:adjustRightInd w:val="0"/>
              <w:snapToGrid w:val="0"/>
              <w:jc w:val="center"/>
              <w:rPr>
                <w:rFonts w:ascii="Times New Roman" w:hAnsi="Times New Roman" w:cs="Times New Roman"/>
                <w:b/>
                <w:bCs/>
                <w:sz w:val="18"/>
                <w:szCs w:val="18"/>
                <w:lang w:eastAsia="zh-CN"/>
              </w:rPr>
            </w:pPr>
            <w:r>
              <w:rPr>
                <w:rFonts w:ascii="Times New Roman" w:hAnsi="Times New Roman" w:cs="Times New Roman"/>
                <w:b/>
                <w:bCs/>
                <w:sz w:val="18"/>
                <w:szCs w:val="18"/>
                <w:lang w:eastAsia="zh-CN"/>
              </w:rPr>
              <w:t>风向</w:t>
            </w:r>
          </w:p>
        </w:tc>
        <w:tc>
          <w:tcPr>
            <w:tcW w:w="502" w:type="dxa"/>
            <w:vAlign w:val="center"/>
          </w:tcPr>
          <w:p w14:paraId="085E7FD5">
            <w:pPr>
              <w:widowControl w:val="0"/>
              <w:adjustRightInd w:val="0"/>
              <w:snapToGrid w:val="0"/>
              <w:jc w:val="center"/>
              <w:rPr>
                <w:rFonts w:ascii="Times New Roman" w:hAnsi="Times New Roman" w:cs="Times New Roman"/>
                <w:b/>
                <w:bCs/>
                <w:sz w:val="18"/>
                <w:szCs w:val="18"/>
                <w:lang w:eastAsia="zh-CN"/>
              </w:rPr>
            </w:pPr>
            <w:r>
              <w:rPr>
                <w:rFonts w:ascii="Times New Roman" w:hAnsi="Times New Roman" w:cs="Times New Roman"/>
                <w:b/>
                <w:bCs/>
                <w:sz w:val="18"/>
                <w:szCs w:val="18"/>
                <w:lang w:eastAsia="zh-CN"/>
              </w:rPr>
              <w:t>N</w:t>
            </w:r>
          </w:p>
        </w:tc>
        <w:tc>
          <w:tcPr>
            <w:tcW w:w="633" w:type="dxa"/>
            <w:vAlign w:val="center"/>
          </w:tcPr>
          <w:p w14:paraId="2C5AC767">
            <w:pPr>
              <w:widowControl w:val="0"/>
              <w:adjustRightInd w:val="0"/>
              <w:snapToGrid w:val="0"/>
              <w:jc w:val="center"/>
              <w:rPr>
                <w:rFonts w:ascii="Times New Roman" w:hAnsi="Times New Roman" w:cs="Times New Roman"/>
                <w:b/>
                <w:bCs/>
                <w:sz w:val="18"/>
                <w:szCs w:val="18"/>
                <w:lang w:eastAsia="zh-CN"/>
              </w:rPr>
            </w:pPr>
            <w:r>
              <w:rPr>
                <w:rFonts w:ascii="Times New Roman" w:hAnsi="Times New Roman" w:cs="Times New Roman"/>
                <w:b/>
                <w:bCs/>
                <w:sz w:val="18"/>
                <w:szCs w:val="18"/>
                <w:lang w:eastAsia="zh-CN"/>
              </w:rPr>
              <w:t>NNE</w:t>
            </w:r>
          </w:p>
        </w:tc>
        <w:tc>
          <w:tcPr>
            <w:tcW w:w="558" w:type="dxa"/>
            <w:vAlign w:val="center"/>
          </w:tcPr>
          <w:p w14:paraId="31A076A9">
            <w:pPr>
              <w:widowControl w:val="0"/>
              <w:adjustRightInd w:val="0"/>
              <w:snapToGrid w:val="0"/>
              <w:jc w:val="center"/>
              <w:rPr>
                <w:rFonts w:ascii="Times New Roman" w:hAnsi="Times New Roman" w:cs="Times New Roman"/>
                <w:b/>
                <w:bCs/>
                <w:sz w:val="18"/>
                <w:szCs w:val="18"/>
                <w:lang w:eastAsia="zh-CN"/>
              </w:rPr>
            </w:pPr>
            <w:r>
              <w:rPr>
                <w:rFonts w:ascii="Times New Roman" w:hAnsi="Times New Roman" w:cs="Times New Roman"/>
                <w:b/>
                <w:bCs/>
                <w:sz w:val="18"/>
                <w:szCs w:val="18"/>
                <w:lang w:eastAsia="zh-CN"/>
              </w:rPr>
              <w:t>NE</w:t>
            </w:r>
          </w:p>
        </w:tc>
        <w:tc>
          <w:tcPr>
            <w:tcW w:w="622" w:type="dxa"/>
            <w:vAlign w:val="center"/>
          </w:tcPr>
          <w:p w14:paraId="73F50CBB">
            <w:pPr>
              <w:widowControl w:val="0"/>
              <w:adjustRightInd w:val="0"/>
              <w:snapToGrid w:val="0"/>
              <w:jc w:val="center"/>
              <w:rPr>
                <w:rFonts w:ascii="Times New Roman" w:hAnsi="Times New Roman" w:cs="Times New Roman"/>
                <w:b/>
                <w:bCs/>
                <w:sz w:val="18"/>
                <w:szCs w:val="18"/>
                <w:lang w:eastAsia="zh-CN"/>
              </w:rPr>
            </w:pPr>
            <w:r>
              <w:rPr>
                <w:rFonts w:ascii="Times New Roman" w:hAnsi="Times New Roman" w:cs="Times New Roman"/>
                <w:b/>
                <w:bCs/>
                <w:sz w:val="18"/>
                <w:szCs w:val="18"/>
                <w:lang w:eastAsia="zh-CN"/>
              </w:rPr>
              <w:t>ENE</w:t>
            </w:r>
          </w:p>
        </w:tc>
        <w:tc>
          <w:tcPr>
            <w:tcW w:w="505" w:type="dxa"/>
            <w:vAlign w:val="center"/>
          </w:tcPr>
          <w:p w14:paraId="1AF64BE3">
            <w:pPr>
              <w:widowControl w:val="0"/>
              <w:adjustRightInd w:val="0"/>
              <w:snapToGrid w:val="0"/>
              <w:jc w:val="center"/>
              <w:rPr>
                <w:rFonts w:ascii="Times New Roman" w:hAnsi="Times New Roman" w:cs="Times New Roman"/>
                <w:b/>
                <w:bCs/>
                <w:sz w:val="18"/>
                <w:szCs w:val="18"/>
                <w:lang w:eastAsia="zh-CN"/>
              </w:rPr>
            </w:pPr>
            <w:r>
              <w:rPr>
                <w:rFonts w:ascii="Times New Roman" w:hAnsi="Times New Roman" w:cs="Times New Roman"/>
                <w:b/>
                <w:bCs/>
                <w:sz w:val="18"/>
                <w:szCs w:val="18"/>
                <w:lang w:eastAsia="zh-CN"/>
              </w:rPr>
              <w:t>E</w:t>
            </w:r>
          </w:p>
        </w:tc>
        <w:tc>
          <w:tcPr>
            <w:tcW w:w="589" w:type="dxa"/>
            <w:vAlign w:val="center"/>
          </w:tcPr>
          <w:p w14:paraId="75C9F0F2">
            <w:pPr>
              <w:widowControl w:val="0"/>
              <w:adjustRightInd w:val="0"/>
              <w:snapToGrid w:val="0"/>
              <w:jc w:val="center"/>
              <w:rPr>
                <w:rFonts w:ascii="Times New Roman" w:hAnsi="Times New Roman" w:cs="Times New Roman"/>
                <w:b/>
                <w:bCs/>
                <w:sz w:val="18"/>
                <w:szCs w:val="18"/>
                <w:lang w:eastAsia="zh-CN"/>
              </w:rPr>
            </w:pPr>
            <w:r>
              <w:rPr>
                <w:rFonts w:ascii="Times New Roman" w:hAnsi="Times New Roman" w:cs="Times New Roman"/>
                <w:b/>
                <w:bCs/>
                <w:sz w:val="18"/>
                <w:szCs w:val="18"/>
                <w:lang w:eastAsia="zh-CN"/>
              </w:rPr>
              <w:t>ESE</w:t>
            </w:r>
          </w:p>
        </w:tc>
        <w:tc>
          <w:tcPr>
            <w:tcW w:w="521" w:type="dxa"/>
            <w:vAlign w:val="center"/>
          </w:tcPr>
          <w:p w14:paraId="5F2D5791">
            <w:pPr>
              <w:widowControl w:val="0"/>
              <w:adjustRightInd w:val="0"/>
              <w:snapToGrid w:val="0"/>
              <w:jc w:val="center"/>
              <w:rPr>
                <w:rFonts w:ascii="Times New Roman" w:hAnsi="Times New Roman" w:cs="Times New Roman"/>
                <w:b/>
                <w:bCs/>
                <w:sz w:val="18"/>
                <w:szCs w:val="18"/>
                <w:lang w:eastAsia="zh-CN"/>
              </w:rPr>
            </w:pPr>
            <w:r>
              <w:rPr>
                <w:rFonts w:ascii="Times New Roman" w:hAnsi="Times New Roman" w:cs="Times New Roman"/>
                <w:b/>
                <w:bCs/>
                <w:sz w:val="18"/>
                <w:szCs w:val="18"/>
                <w:lang w:eastAsia="zh-CN"/>
              </w:rPr>
              <w:t>SE</w:t>
            </w:r>
          </w:p>
        </w:tc>
        <w:tc>
          <w:tcPr>
            <w:tcW w:w="566" w:type="dxa"/>
            <w:vAlign w:val="center"/>
          </w:tcPr>
          <w:p w14:paraId="698545FE">
            <w:pPr>
              <w:widowControl w:val="0"/>
              <w:adjustRightInd w:val="0"/>
              <w:snapToGrid w:val="0"/>
              <w:jc w:val="center"/>
              <w:rPr>
                <w:rFonts w:ascii="Times New Roman" w:hAnsi="Times New Roman" w:cs="Times New Roman"/>
                <w:b/>
                <w:bCs/>
                <w:sz w:val="18"/>
                <w:szCs w:val="18"/>
                <w:lang w:eastAsia="zh-CN"/>
              </w:rPr>
            </w:pPr>
            <w:r>
              <w:rPr>
                <w:rFonts w:ascii="Times New Roman" w:hAnsi="Times New Roman" w:cs="Times New Roman"/>
                <w:b/>
                <w:bCs/>
                <w:sz w:val="18"/>
                <w:szCs w:val="18"/>
                <w:lang w:eastAsia="zh-CN"/>
              </w:rPr>
              <w:t>SSE</w:t>
            </w:r>
          </w:p>
        </w:tc>
        <w:tc>
          <w:tcPr>
            <w:tcW w:w="551" w:type="dxa"/>
            <w:vAlign w:val="center"/>
          </w:tcPr>
          <w:p w14:paraId="38DB05D4">
            <w:pPr>
              <w:widowControl w:val="0"/>
              <w:adjustRightInd w:val="0"/>
              <w:snapToGrid w:val="0"/>
              <w:jc w:val="center"/>
              <w:rPr>
                <w:rFonts w:ascii="Times New Roman" w:hAnsi="Times New Roman" w:cs="Times New Roman"/>
                <w:b/>
                <w:bCs/>
                <w:sz w:val="18"/>
                <w:szCs w:val="18"/>
                <w:lang w:eastAsia="zh-CN"/>
              </w:rPr>
            </w:pPr>
            <w:r>
              <w:rPr>
                <w:rFonts w:ascii="Times New Roman" w:hAnsi="Times New Roman" w:cs="Times New Roman"/>
                <w:b/>
                <w:bCs/>
                <w:sz w:val="18"/>
                <w:szCs w:val="18"/>
                <w:lang w:eastAsia="zh-CN"/>
              </w:rPr>
              <w:t>S</w:t>
            </w:r>
          </w:p>
        </w:tc>
        <w:tc>
          <w:tcPr>
            <w:tcW w:w="675" w:type="dxa"/>
            <w:vAlign w:val="center"/>
          </w:tcPr>
          <w:p w14:paraId="457B66B7">
            <w:pPr>
              <w:widowControl w:val="0"/>
              <w:adjustRightInd w:val="0"/>
              <w:snapToGrid w:val="0"/>
              <w:jc w:val="center"/>
              <w:rPr>
                <w:rFonts w:ascii="Times New Roman" w:hAnsi="Times New Roman" w:cs="Times New Roman"/>
                <w:b/>
                <w:bCs/>
                <w:sz w:val="18"/>
                <w:szCs w:val="18"/>
                <w:lang w:eastAsia="zh-CN"/>
              </w:rPr>
            </w:pPr>
            <w:r>
              <w:rPr>
                <w:rFonts w:ascii="Times New Roman" w:hAnsi="Times New Roman" w:cs="Times New Roman"/>
                <w:b/>
                <w:bCs/>
                <w:sz w:val="18"/>
                <w:szCs w:val="18"/>
                <w:lang w:eastAsia="zh-CN"/>
              </w:rPr>
              <w:t>SSW</w:t>
            </w:r>
          </w:p>
        </w:tc>
        <w:tc>
          <w:tcPr>
            <w:tcW w:w="502" w:type="dxa"/>
            <w:vAlign w:val="center"/>
          </w:tcPr>
          <w:p w14:paraId="2A204603">
            <w:pPr>
              <w:widowControl w:val="0"/>
              <w:adjustRightInd w:val="0"/>
              <w:snapToGrid w:val="0"/>
              <w:jc w:val="center"/>
              <w:rPr>
                <w:rFonts w:ascii="Times New Roman" w:hAnsi="Times New Roman" w:cs="Times New Roman"/>
                <w:b/>
                <w:bCs/>
                <w:sz w:val="18"/>
                <w:szCs w:val="18"/>
                <w:lang w:eastAsia="zh-CN"/>
              </w:rPr>
            </w:pPr>
            <w:r>
              <w:rPr>
                <w:rFonts w:ascii="Times New Roman" w:hAnsi="Times New Roman" w:cs="Times New Roman"/>
                <w:b/>
                <w:bCs/>
                <w:sz w:val="18"/>
                <w:szCs w:val="18"/>
                <w:lang w:eastAsia="zh-CN"/>
              </w:rPr>
              <w:t>SW</w:t>
            </w:r>
          </w:p>
        </w:tc>
        <w:tc>
          <w:tcPr>
            <w:tcW w:w="755" w:type="dxa"/>
            <w:vAlign w:val="center"/>
          </w:tcPr>
          <w:p w14:paraId="332A982A">
            <w:pPr>
              <w:widowControl w:val="0"/>
              <w:adjustRightInd w:val="0"/>
              <w:snapToGrid w:val="0"/>
              <w:jc w:val="center"/>
              <w:rPr>
                <w:rFonts w:ascii="Times New Roman" w:hAnsi="Times New Roman" w:cs="Times New Roman"/>
                <w:b/>
                <w:bCs/>
                <w:sz w:val="18"/>
                <w:szCs w:val="18"/>
                <w:lang w:eastAsia="zh-CN"/>
              </w:rPr>
            </w:pPr>
            <w:r>
              <w:rPr>
                <w:rFonts w:ascii="Times New Roman" w:hAnsi="Times New Roman" w:cs="Times New Roman"/>
                <w:b/>
                <w:bCs/>
                <w:sz w:val="18"/>
                <w:szCs w:val="18"/>
                <w:lang w:eastAsia="zh-CN"/>
              </w:rPr>
              <w:t>WSW</w:t>
            </w:r>
          </w:p>
        </w:tc>
        <w:tc>
          <w:tcPr>
            <w:tcW w:w="560" w:type="dxa"/>
            <w:vAlign w:val="center"/>
          </w:tcPr>
          <w:p w14:paraId="041C4A25">
            <w:pPr>
              <w:widowControl w:val="0"/>
              <w:adjustRightInd w:val="0"/>
              <w:snapToGrid w:val="0"/>
              <w:jc w:val="center"/>
              <w:rPr>
                <w:rFonts w:ascii="Times New Roman" w:hAnsi="Times New Roman" w:cs="Times New Roman"/>
                <w:b/>
                <w:bCs/>
                <w:sz w:val="18"/>
                <w:szCs w:val="18"/>
                <w:lang w:eastAsia="zh-CN"/>
              </w:rPr>
            </w:pPr>
            <w:r>
              <w:rPr>
                <w:rFonts w:ascii="Times New Roman" w:hAnsi="Times New Roman" w:cs="Times New Roman"/>
                <w:b/>
                <w:bCs/>
                <w:sz w:val="18"/>
                <w:szCs w:val="18"/>
                <w:lang w:eastAsia="zh-CN"/>
              </w:rPr>
              <w:t>W</w:t>
            </w:r>
          </w:p>
        </w:tc>
        <w:tc>
          <w:tcPr>
            <w:tcW w:w="699" w:type="dxa"/>
            <w:vAlign w:val="center"/>
          </w:tcPr>
          <w:p w14:paraId="4C551A79">
            <w:pPr>
              <w:widowControl w:val="0"/>
              <w:adjustRightInd w:val="0"/>
              <w:snapToGrid w:val="0"/>
              <w:jc w:val="center"/>
              <w:rPr>
                <w:rFonts w:ascii="Times New Roman" w:hAnsi="Times New Roman" w:cs="Times New Roman"/>
                <w:b/>
                <w:bCs/>
                <w:sz w:val="18"/>
                <w:szCs w:val="18"/>
                <w:lang w:eastAsia="zh-CN"/>
              </w:rPr>
            </w:pPr>
            <w:r>
              <w:rPr>
                <w:rFonts w:ascii="Times New Roman" w:hAnsi="Times New Roman" w:cs="Times New Roman"/>
                <w:b/>
                <w:bCs/>
                <w:sz w:val="18"/>
                <w:szCs w:val="18"/>
                <w:lang w:eastAsia="zh-CN"/>
              </w:rPr>
              <w:t>WNW</w:t>
            </w:r>
          </w:p>
        </w:tc>
        <w:tc>
          <w:tcPr>
            <w:tcW w:w="557" w:type="dxa"/>
            <w:vAlign w:val="center"/>
          </w:tcPr>
          <w:p w14:paraId="77E57429">
            <w:pPr>
              <w:widowControl w:val="0"/>
              <w:adjustRightInd w:val="0"/>
              <w:snapToGrid w:val="0"/>
              <w:jc w:val="center"/>
              <w:rPr>
                <w:rFonts w:ascii="Times New Roman" w:hAnsi="Times New Roman" w:cs="Times New Roman"/>
                <w:b/>
                <w:bCs/>
                <w:sz w:val="18"/>
                <w:szCs w:val="18"/>
                <w:lang w:eastAsia="zh-CN"/>
              </w:rPr>
            </w:pPr>
            <w:r>
              <w:rPr>
                <w:rFonts w:ascii="Times New Roman" w:hAnsi="Times New Roman" w:cs="Times New Roman"/>
                <w:b/>
                <w:bCs/>
                <w:sz w:val="18"/>
                <w:szCs w:val="18"/>
                <w:lang w:eastAsia="zh-CN"/>
              </w:rPr>
              <w:t>NW</w:t>
            </w:r>
          </w:p>
        </w:tc>
        <w:tc>
          <w:tcPr>
            <w:tcW w:w="700" w:type="dxa"/>
            <w:vAlign w:val="center"/>
          </w:tcPr>
          <w:p w14:paraId="38A651CA">
            <w:pPr>
              <w:widowControl w:val="0"/>
              <w:adjustRightInd w:val="0"/>
              <w:snapToGrid w:val="0"/>
              <w:jc w:val="center"/>
              <w:rPr>
                <w:rFonts w:ascii="Times New Roman" w:hAnsi="Times New Roman" w:cs="Times New Roman"/>
                <w:b/>
                <w:bCs/>
                <w:sz w:val="18"/>
                <w:szCs w:val="18"/>
                <w:lang w:eastAsia="zh-CN"/>
              </w:rPr>
            </w:pPr>
            <w:r>
              <w:rPr>
                <w:rFonts w:ascii="Times New Roman" w:hAnsi="Times New Roman" w:cs="Times New Roman"/>
                <w:b/>
                <w:bCs/>
                <w:sz w:val="18"/>
                <w:szCs w:val="18"/>
                <w:lang w:eastAsia="zh-CN"/>
              </w:rPr>
              <w:t>NNW</w:t>
            </w:r>
          </w:p>
        </w:tc>
      </w:tr>
      <w:tr w14:paraId="5DCD60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12ED41B2">
            <w:pPr>
              <w:widowControl w:val="0"/>
              <w:adjustRightInd w:val="0"/>
              <w:snapToGrid w:val="0"/>
              <w:jc w:val="center"/>
              <w:rPr>
                <w:rFonts w:ascii="Times New Roman" w:hAnsi="Times New Roman" w:cs="Times New Roman"/>
                <w:sz w:val="20"/>
                <w:szCs w:val="20"/>
                <w:lang w:eastAsia="zh-CN"/>
              </w:rPr>
            </w:pPr>
            <w:r>
              <w:rPr>
                <w:rFonts w:ascii="Times New Roman" w:hAnsi="Times New Roman" w:cs="Times New Roman"/>
                <w:sz w:val="20"/>
                <w:szCs w:val="20"/>
                <w:lang w:eastAsia="zh-CN"/>
              </w:rPr>
              <w:t>频率</w:t>
            </w:r>
          </w:p>
        </w:tc>
        <w:tc>
          <w:tcPr>
            <w:tcW w:w="502" w:type="dxa"/>
            <w:vAlign w:val="center"/>
          </w:tcPr>
          <w:p w14:paraId="32FDF280">
            <w:pPr>
              <w:widowControl w:val="0"/>
              <w:adjustRightInd w:val="0"/>
              <w:snapToGrid w:val="0"/>
              <w:jc w:val="center"/>
              <w:rPr>
                <w:rFonts w:ascii="Times New Roman" w:hAnsi="Times New Roman" w:cs="Times New Roman"/>
                <w:sz w:val="20"/>
                <w:szCs w:val="20"/>
                <w:lang w:eastAsia="zh-CN"/>
              </w:rPr>
            </w:pPr>
            <w:r>
              <w:rPr>
                <w:rFonts w:ascii="Times New Roman" w:hAnsi="Times New Roman" w:cs="Times New Roman"/>
                <w:sz w:val="20"/>
                <w:szCs w:val="20"/>
                <w:lang w:eastAsia="zh-CN"/>
              </w:rPr>
              <w:t>3.85</w:t>
            </w:r>
          </w:p>
        </w:tc>
        <w:tc>
          <w:tcPr>
            <w:tcW w:w="633" w:type="dxa"/>
            <w:vAlign w:val="center"/>
          </w:tcPr>
          <w:p w14:paraId="534CF21D">
            <w:pPr>
              <w:widowControl w:val="0"/>
              <w:adjustRightInd w:val="0"/>
              <w:snapToGrid w:val="0"/>
              <w:jc w:val="center"/>
              <w:rPr>
                <w:rFonts w:ascii="Times New Roman" w:hAnsi="Times New Roman" w:cs="Times New Roman"/>
                <w:sz w:val="20"/>
                <w:szCs w:val="20"/>
                <w:lang w:eastAsia="zh-CN"/>
              </w:rPr>
            </w:pPr>
            <w:r>
              <w:rPr>
                <w:rFonts w:ascii="Times New Roman" w:hAnsi="Times New Roman" w:cs="Times New Roman"/>
                <w:sz w:val="20"/>
                <w:szCs w:val="20"/>
                <w:lang w:eastAsia="zh-CN"/>
              </w:rPr>
              <w:t>5.1</w:t>
            </w:r>
          </w:p>
        </w:tc>
        <w:tc>
          <w:tcPr>
            <w:tcW w:w="558" w:type="dxa"/>
            <w:vAlign w:val="center"/>
          </w:tcPr>
          <w:p w14:paraId="49F125AA">
            <w:pPr>
              <w:widowControl w:val="0"/>
              <w:adjustRightInd w:val="0"/>
              <w:snapToGrid w:val="0"/>
              <w:jc w:val="center"/>
              <w:rPr>
                <w:rFonts w:ascii="Times New Roman" w:hAnsi="Times New Roman" w:cs="Times New Roman"/>
                <w:sz w:val="20"/>
                <w:szCs w:val="20"/>
                <w:lang w:eastAsia="zh-CN"/>
              </w:rPr>
            </w:pPr>
            <w:r>
              <w:rPr>
                <w:rFonts w:ascii="Times New Roman" w:hAnsi="Times New Roman" w:cs="Times New Roman"/>
                <w:sz w:val="20"/>
                <w:szCs w:val="20"/>
                <w:lang w:eastAsia="zh-CN"/>
              </w:rPr>
              <w:t>9.73</w:t>
            </w:r>
          </w:p>
        </w:tc>
        <w:tc>
          <w:tcPr>
            <w:tcW w:w="622" w:type="dxa"/>
            <w:vAlign w:val="center"/>
          </w:tcPr>
          <w:p w14:paraId="433ED083">
            <w:pPr>
              <w:widowControl w:val="0"/>
              <w:adjustRightInd w:val="0"/>
              <w:snapToGrid w:val="0"/>
              <w:jc w:val="center"/>
              <w:rPr>
                <w:rFonts w:ascii="Times New Roman" w:hAnsi="Times New Roman" w:cs="Times New Roman"/>
                <w:sz w:val="20"/>
                <w:szCs w:val="20"/>
                <w:lang w:eastAsia="zh-CN"/>
              </w:rPr>
            </w:pPr>
            <w:r>
              <w:rPr>
                <w:rFonts w:ascii="Times New Roman" w:hAnsi="Times New Roman" w:cs="Times New Roman"/>
                <w:sz w:val="20"/>
                <w:szCs w:val="20"/>
                <w:lang w:eastAsia="zh-CN"/>
              </w:rPr>
              <w:t>13.72</w:t>
            </w:r>
          </w:p>
        </w:tc>
        <w:tc>
          <w:tcPr>
            <w:tcW w:w="505" w:type="dxa"/>
            <w:vAlign w:val="center"/>
          </w:tcPr>
          <w:p w14:paraId="5BD1FEB1">
            <w:pPr>
              <w:widowControl w:val="0"/>
              <w:adjustRightInd w:val="0"/>
              <w:snapToGrid w:val="0"/>
              <w:jc w:val="center"/>
              <w:rPr>
                <w:rFonts w:ascii="Times New Roman" w:hAnsi="Times New Roman" w:cs="Times New Roman"/>
                <w:sz w:val="20"/>
                <w:szCs w:val="20"/>
                <w:lang w:eastAsia="zh-CN"/>
              </w:rPr>
            </w:pPr>
            <w:r>
              <w:rPr>
                <w:rFonts w:ascii="Times New Roman" w:hAnsi="Times New Roman" w:cs="Times New Roman"/>
                <w:sz w:val="20"/>
                <w:szCs w:val="20"/>
                <w:lang w:eastAsia="zh-CN"/>
              </w:rPr>
              <w:t>12.3</w:t>
            </w:r>
          </w:p>
        </w:tc>
        <w:tc>
          <w:tcPr>
            <w:tcW w:w="589" w:type="dxa"/>
            <w:vAlign w:val="center"/>
          </w:tcPr>
          <w:p w14:paraId="2224A29F">
            <w:pPr>
              <w:widowControl w:val="0"/>
              <w:adjustRightInd w:val="0"/>
              <w:snapToGrid w:val="0"/>
              <w:jc w:val="center"/>
              <w:rPr>
                <w:rFonts w:ascii="Times New Roman" w:hAnsi="Times New Roman" w:cs="Times New Roman"/>
                <w:sz w:val="20"/>
                <w:szCs w:val="20"/>
                <w:lang w:eastAsia="zh-CN"/>
              </w:rPr>
            </w:pPr>
            <w:r>
              <w:rPr>
                <w:rFonts w:ascii="Times New Roman" w:hAnsi="Times New Roman" w:cs="Times New Roman"/>
                <w:sz w:val="20"/>
                <w:szCs w:val="20"/>
                <w:lang w:eastAsia="zh-CN"/>
              </w:rPr>
              <w:t>9.46</w:t>
            </w:r>
          </w:p>
        </w:tc>
        <w:tc>
          <w:tcPr>
            <w:tcW w:w="521" w:type="dxa"/>
            <w:vAlign w:val="center"/>
          </w:tcPr>
          <w:p w14:paraId="727F6AD3">
            <w:pPr>
              <w:widowControl w:val="0"/>
              <w:adjustRightInd w:val="0"/>
              <w:snapToGrid w:val="0"/>
              <w:jc w:val="center"/>
              <w:rPr>
                <w:rFonts w:ascii="Times New Roman" w:hAnsi="Times New Roman" w:cs="Times New Roman"/>
                <w:sz w:val="20"/>
                <w:szCs w:val="20"/>
                <w:lang w:eastAsia="zh-CN"/>
              </w:rPr>
            </w:pPr>
            <w:r>
              <w:rPr>
                <w:rFonts w:ascii="Times New Roman" w:hAnsi="Times New Roman" w:cs="Times New Roman"/>
                <w:sz w:val="20"/>
                <w:szCs w:val="20"/>
                <w:lang w:eastAsia="zh-CN"/>
              </w:rPr>
              <w:t>5.6</w:t>
            </w:r>
          </w:p>
        </w:tc>
        <w:tc>
          <w:tcPr>
            <w:tcW w:w="566" w:type="dxa"/>
            <w:vAlign w:val="center"/>
          </w:tcPr>
          <w:p w14:paraId="1D322248">
            <w:pPr>
              <w:widowControl w:val="0"/>
              <w:adjustRightInd w:val="0"/>
              <w:snapToGrid w:val="0"/>
              <w:jc w:val="center"/>
              <w:rPr>
                <w:rFonts w:ascii="Times New Roman" w:hAnsi="Times New Roman" w:cs="Times New Roman"/>
                <w:sz w:val="20"/>
                <w:szCs w:val="20"/>
                <w:lang w:eastAsia="zh-CN"/>
              </w:rPr>
            </w:pPr>
            <w:r>
              <w:rPr>
                <w:rFonts w:ascii="Times New Roman" w:hAnsi="Times New Roman" w:cs="Times New Roman"/>
                <w:sz w:val="20"/>
                <w:szCs w:val="20"/>
                <w:lang w:eastAsia="zh-CN"/>
              </w:rPr>
              <w:t>4.15</w:t>
            </w:r>
          </w:p>
        </w:tc>
        <w:tc>
          <w:tcPr>
            <w:tcW w:w="551" w:type="dxa"/>
            <w:vAlign w:val="center"/>
          </w:tcPr>
          <w:p w14:paraId="2759E0ED">
            <w:pPr>
              <w:widowControl w:val="0"/>
              <w:adjustRightInd w:val="0"/>
              <w:snapToGrid w:val="0"/>
              <w:jc w:val="center"/>
              <w:rPr>
                <w:rFonts w:ascii="Times New Roman" w:hAnsi="Times New Roman" w:cs="Times New Roman"/>
                <w:sz w:val="20"/>
                <w:szCs w:val="20"/>
                <w:lang w:eastAsia="zh-CN"/>
              </w:rPr>
            </w:pPr>
            <w:r>
              <w:rPr>
                <w:rFonts w:ascii="Times New Roman" w:hAnsi="Times New Roman" w:cs="Times New Roman"/>
                <w:sz w:val="20"/>
                <w:szCs w:val="20"/>
                <w:lang w:eastAsia="zh-CN"/>
              </w:rPr>
              <w:t>4.6</w:t>
            </w:r>
          </w:p>
        </w:tc>
        <w:tc>
          <w:tcPr>
            <w:tcW w:w="675" w:type="dxa"/>
            <w:vAlign w:val="center"/>
          </w:tcPr>
          <w:p w14:paraId="3E16A37D">
            <w:pPr>
              <w:widowControl w:val="0"/>
              <w:adjustRightInd w:val="0"/>
              <w:snapToGrid w:val="0"/>
              <w:jc w:val="center"/>
              <w:rPr>
                <w:rFonts w:ascii="Times New Roman" w:hAnsi="Times New Roman" w:cs="Times New Roman"/>
                <w:sz w:val="20"/>
                <w:szCs w:val="20"/>
                <w:lang w:eastAsia="zh-CN"/>
              </w:rPr>
            </w:pPr>
            <w:r>
              <w:rPr>
                <w:rFonts w:ascii="Times New Roman" w:hAnsi="Times New Roman" w:cs="Times New Roman"/>
                <w:sz w:val="20"/>
                <w:szCs w:val="20"/>
                <w:lang w:eastAsia="zh-CN"/>
              </w:rPr>
              <w:t>5.23</w:t>
            </w:r>
          </w:p>
        </w:tc>
        <w:tc>
          <w:tcPr>
            <w:tcW w:w="502" w:type="dxa"/>
            <w:vAlign w:val="center"/>
          </w:tcPr>
          <w:p w14:paraId="058ABF84">
            <w:pPr>
              <w:widowControl w:val="0"/>
              <w:adjustRightInd w:val="0"/>
              <w:snapToGrid w:val="0"/>
              <w:jc w:val="center"/>
              <w:rPr>
                <w:rFonts w:ascii="Times New Roman" w:hAnsi="Times New Roman" w:cs="Times New Roman"/>
                <w:sz w:val="20"/>
                <w:szCs w:val="20"/>
                <w:lang w:eastAsia="zh-CN"/>
              </w:rPr>
            </w:pPr>
            <w:r>
              <w:rPr>
                <w:rFonts w:ascii="Times New Roman" w:hAnsi="Times New Roman" w:cs="Times New Roman"/>
                <w:sz w:val="20"/>
                <w:szCs w:val="20"/>
                <w:lang w:eastAsia="zh-CN"/>
              </w:rPr>
              <w:t>4.96</w:t>
            </w:r>
          </w:p>
        </w:tc>
        <w:tc>
          <w:tcPr>
            <w:tcW w:w="755" w:type="dxa"/>
            <w:vAlign w:val="center"/>
          </w:tcPr>
          <w:p w14:paraId="36E1DAE8">
            <w:pPr>
              <w:widowControl w:val="0"/>
              <w:adjustRightInd w:val="0"/>
              <w:snapToGrid w:val="0"/>
              <w:jc w:val="center"/>
              <w:rPr>
                <w:rFonts w:ascii="Times New Roman" w:hAnsi="Times New Roman" w:cs="Times New Roman"/>
                <w:sz w:val="20"/>
                <w:szCs w:val="20"/>
                <w:lang w:eastAsia="zh-CN"/>
              </w:rPr>
            </w:pPr>
            <w:r>
              <w:rPr>
                <w:rFonts w:ascii="Times New Roman" w:hAnsi="Times New Roman" w:cs="Times New Roman"/>
                <w:sz w:val="20"/>
                <w:szCs w:val="20"/>
                <w:lang w:eastAsia="zh-CN"/>
              </w:rPr>
              <w:t>5.51</w:t>
            </w:r>
          </w:p>
        </w:tc>
        <w:tc>
          <w:tcPr>
            <w:tcW w:w="560" w:type="dxa"/>
            <w:vAlign w:val="center"/>
          </w:tcPr>
          <w:p w14:paraId="1197D9B7">
            <w:pPr>
              <w:widowControl w:val="0"/>
              <w:adjustRightInd w:val="0"/>
              <w:snapToGrid w:val="0"/>
              <w:jc w:val="center"/>
              <w:rPr>
                <w:rFonts w:ascii="Times New Roman" w:hAnsi="Times New Roman" w:cs="Times New Roman"/>
                <w:sz w:val="20"/>
                <w:szCs w:val="20"/>
                <w:lang w:eastAsia="zh-CN"/>
              </w:rPr>
            </w:pPr>
            <w:r>
              <w:rPr>
                <w:rFonts w:ascii="Times New Roman" w:hAnsi="Times New Roman" w:cs="Times New Roman"/>
                <w:sz w:val="20"/>
                <w:szCs w:val="20"/>
                <w:lang w:eastAsia="zh-CN"/>
              </w:rPr>
              <w:t>4.09</w:t>
            </w:r>
          </w:p>
        </w:tc>
        <w:tc>
          <w:tcPr>
            <w:tcW w:w="699" w:type="dxa"/>
            <w:vAlign w:val="center"/>
          </w:tcPr>
          <w:p w14:paraId="0987F662">
            <w:pPr>
              <w:widowControl w:val="0"/>
              <w:adjustRightInd w:val="0"/>
              <w:snapToGrid w:val="0"/>
              <w:jc w:val="center"/>
              <w:rPr>
                <w:rFonts w:ascii="Times New Roman" w:hAnsi="Times New Roman" w:cs="Times New Roman"/>
                <w:sz w:val="20"/>
                <w:szCs w:val="20"/>
                <w:lang w:eastAsia="zh-CN"/>
              </w:rPr>
            </w:pPr>
            <w:r>
              <w:rPr>
                <w:rFonts w:ascii="Times New Roman" w:hAnsi="Times New Roman" w:cs="Times New Roman"/>
                <w:sz w:val="20"/>
                <w:szCs w:val="20"/>
                <w:lang w:eastAsia="zh-CN"/>
              </w:rPr>
              <w:t>3.12</w:t>
            </w:r>
          </w:p>
        </w:tc>
        <w:tc>
          <w:tcPr>
            <w:tcW w:w="557" w:type="dxa"/>
            <w:vAlign w:val="center"/>
          </w:tcPr>
          <w:p w14:paraId="4003CA38">
            <w:pPr>
              <w:widowControl w:val="0"/>
              <w:adjustRightInd w:val="0"/>
              <w:snapToGrid w:val="0"/>
              <w:jc w:val="center"/>
              <w:rPr>
                <w:rFonts w:ascii="Times New Roman" w:hAnsi="Times New Roman" w:cs="Times New Roman"/>
                <w:sz w:val="20"/>
                <w:szCs w:val="20"/>
                <w:lang w:eastAsia="zh-CN"/>
              </w:rPr>
            </w:pPr>
            <w:r>
              <w:rPr>
                <w:rFonts w:ascii="Times New Roman" w:hAnsi="Times New Roman" w:cs="Times New Roman"/>
                <w:sz w:val="20"/>
                <w:szCs w:val="20"/>
                <w:lang w:eastAsia="zh-CN"/>
              </w:rPr>
              <w:t>3.09</w:t>
            </w:r>
          </w:p>
        </w:tc>
        <w:tc>
          <w:tcPr>
            <w:tcW w:w="700" w:type="dxa"/>
            <w:vAlign w:val="center"/>
          </w:tcPr>
          <w:p w14:paraId="6C719E28">
            <w:pPr>
              <w:widowControl w:val="0"/>
              <w:adjustRightInd w:val="0"/>
              <w:snapToGrid w:val="0"/>
              <w:jc w:val="center"/>
              <w:rPr>
                <w:rFonts w:ascii="Times New Roman" w:hAnsi="Times New Roman" w:cs="Times New Roman"/>
                <w:sz w:val="20"/>
                <w:szCs w:val="20"/>
                <w:lang w:eastAsia="zh-CN"/>
              </w:rPr>
            </w:pPr>
            <w:r>
              <w:rPr>
                <w:rFonts w:ascii="Times New Roman" w:hAnsi="Times New Roman" w:cs="Times New Roman"/>
                <w:sz w:val="20"/>
                <w:szCs w:val="20"/>
                <w:lang w:eastAsia="zh-CN"/>
              </w:rPr>
              <w:t>3.03</w:t>
            </w:r>
          </w:p>
        </w:tc>
      </w:tr>
    </w:tbl>
    <w:p w14:paraId="63A5063E">
      <w:pPr>
        <w:spacing w:line="360" w:lineRule="auto"/>
        <w:ind w:firstLine="482"/>
        <w:jc w:val="both"/>
        <w:outlineLvl w:val="3"/>
        <w:rPr>
          <w:rFonts w:ascii="Times New Roman" w:hAnsi="Times New Roman" w:cs="Times New Roman"/>
          <w:b/>
          <w:bCs/>
          <w:lang w:eastAsia="zh-CN"/>
        </w:rPr>
      </w:pPr>
      <w:r>
        <w:rPr>
          <w:rFonts w:ascii="Times New Roman" w:hAnsi="Times New Roman" w:eastAsia="新宋体" w:cs="Times New Roman"/>
          <w:b/>
          <w:bCs/>
          <w:lang w:eastAsia="zh-CN"/>
        </w:rPr>
        <w:t>6.2.1.2评价基准年气象数据统计分析</w:t>
      </w:r>
    </w:p>
    <w:p w14:paraId="4CED7009">
      <w:pPr>
        <w:spacing w:line="360" w:lineRule="auto"/>
        <w:ind w:firstLine="480" w:firstLineChars="200"/>
        <w:jc w:val="both"/>
        <w:rPr>
          <w:rFonts w:ascii="Times New Roman" w:hAnsi="Times New Roman" w:cs="Times New Roman"/>
          <w:lang w:eastAsia="zh-CN"/>
        </w:rPr>
      </w:pPr>
      <w:r>
        <w:rPr>
          <w:rFonts w:ascii="Times New Roman" w:hAnsi="Times New Roman" w:cs="Times New Roman"/>
          <w:color w:val="000000" w:themeColor="text1"/>
          <w:lang w:eastAsia="zh-CN"/>
          <w14:textFill>
            <w14:solidFill>
              <w14:schemeClr w14:val="tx1"/>
            </w14:solidFill>
          </w14:textFill>
        </w:rPr>
        <w:t>本项目的大气环境影响评价等级为一级，</w:t>
      </w:r>
      <w:r>
        <w:rPr>
          <w:rFonts w:ascii="Times New Roman" w:hAnsi="Times New Roman" w:cs="Times New Roman"/>
          <w:lang w:eastAsia="zh-CN"/>
        </w:rPr>
        <w:t>预测范围为厂址为中心，边长5km矩形区域，根据《环境影响评价技术导则》（HJ2.2-2018），评价基准年可选择近3年中数据相对完整的1个日历年作为评价基准年，本评价选择202</w:t>
      </w:r>
      <w:r>
        <w:rPr>
          <w:rFonts w:hint="eastAsia" w:ascii="Times New Roman" w:hAnsi="Times New Roman" w:cs="Times New Roman"/>
          <w:lang w:eastAsia="zh-CN"/>
        </w:rPr>
        <w:t>3</w:t>
      </w:r>
      <w:r>
        <w:rPr>
          <w:rFonts w:ascii="Times New Roman" w:hAnsi="Times New Roman" w:cs="Times New Roman"/>
          <w:lang w:eastAsia="zh-CN"/>
        </w:rPr>
        <w:t>年为评价基准年。</w:t>
      </w:r>
    </w:p>
    <w:p w14:paraId="16430202">
      <w:pPr>
        <w:spacing w:line="360" w:lineRule="auto"/>
        <w:ind w:firstLine="480" w:firstLineChars="200"/>
        <w:jc w:val="both"/>
        <w:rPr>
          <w:rFonts w:ascii="Times New Roman" w:hAnsi="Times New Roman" w:cs="Times New Roman"/>
          <w:lang w:eastAsia="zh-CN"/>
        </w:rPr>
      </w:pPr>
      <w:r>
        <w:rPr>
          <w:rFonts w:ascii="Times New Roman" w:hAnsi="Times New Roman" w:cs="Times New Roman"/>
          <w:lang w:eastAsia="zh-CN"/>
        </w:rPr>
        <w:t>本次评价采用蚌埠市气象站202</w:t>
      </w:r>
      <w:r>
        <w:rPr>
          <w:rFonts w:hint="eastAsia" w:ascii="Times New Roman" w:hAnsi="Times New Roman" w:cs="Times New Roman"/>
          <w:lang w:eastAsia="zh-CN"/>
        </w:rPr>
        <w:t>3</w:t>
      </w:r>
      <w:r>
        <w:rPr>
          <w:rFonts w:ascii="Times New Roman" w:hAnsi="Times New Roman" w:cs="Times New Roman"/>
          <w:lang w:eastAsia="zh-CN"/>
        </w:rPr>
        <w:t>年的地面站逐时气象数据和高空模拟气象数据。蚌埠市气象站（编号：58221）位于安徽省蚌埠市，地理坐标为地处东经117.3044°，北纬32.8436°，海拔高度26.8米。站点性质为基本站。</w:t>
      </w:r>
    </w:p>
    <w:p w14:paraId="4B47AD98">
      <w:pPr>
        <w:spacing w:line="360" w:lineRule="auto"/>
        <w:ind w:left="480"/>
        <w:jc w:val="both"/>
        <w:rPr>
          <w:rFonts w:ascii="Times New Roman" w:hAnsi="Times New Roman" w:cs="Times New Roman"/>
          <w:lang w:eastAsia="zh-CN"/>
        </w:rPr>
      </w:pPr>
      <w:r>
        <w:rPr>
          <w:rFonts w:hint="eastAsia" w:ascii="Times New Roman" w:hAnsi="Times New Roman" w:cs="Times New Roman"/>
          <w:lang w:eastAsia="zh-CN"/>
        </w:rPr>
        <w:t>（1）</w:t>
      </w:r>
      <w:r>
        <w:rPr>
          <w:rFonts w:ascii="Times New Roman" w:hAnsi="Times New Roman" w:cs="Times New Roman"/>
          <w:lang w:eastAsia="zh-CN"/>
        </w:rPr>
        <w:t>基准年年平均温度月变化统计</w:t>
      </w:r>
    </w:p>
    <w:p w14:paraId="17DB8FB7">
      <w:pPr>
        <w:spacing w:line="360" w:lineRule="auto"/>
        <w:ind w:firstLine="480" w:firstLineChars="200"/>
        <w:jc w:val="both"/>
        <w:rPr>
          <w:rFonts w:ascii="Times New Roman" w:hAnsi="Times New Roman" w:cs="Times New Roman"/>
          <w:lang w:eastAsia="zh-CN"/>
        </w:rPr>
      </w:pPr>
      <w:r>
        <w:rPr>
          <w:rFonts w:ascii="Times New Roman" w:hAnsi="Times New Roman" w:cs="Times New Roman"/>
          <w:lang w:eastAsia="zh-CN"/>
        </w:rPr>
        <w:t>根据对202</w:t>
      </w:r>
      <w:r>
        <w:rPr>
          <w:rFonts w:hint="eastAsia" w:ascii="Times New Roman" w:hAnsi="Times New Roman" w:cs="Times New Roman"/>
          <w:lang w:eastAsia="zh-CN"/>
        </w:rPr>
        <w:t>3</w:t>
      </w:r>
      <w:r>
        <w:rPr>
          <w:rFonts w:ascii="Times New Roman" w:hAnsi="Times New Roman" w:cs="Times New Roman"/>
          <w:lang w:eastAsia="zh-CN"/>
        </w:rPr>
        <w:t>年蚌埠市气象站的地面站逐时气象数据统计分析可知，蚌埠市气象站202</w:t>
      </w:r>
      <w:r>
        <w:rPr>
          <w:rFonts w:hint="eastAsia" w:ascii="Times New Roman" w:hAnsi="Times New Roman" w:cs="Times New Roman"/>
          <w:lang w:eastAsia="zh-CN"/>
        </w:rPr>
        <w:t>3</w:t>
      </w:r>
      <w:r>
        <w:rPr>
          <w:rFonts w:ascii="Times New Roman" w:hAnsi="Times New Roman" w:cs="Times New Roman"/>
          <w:lang w:eastAsia="zh-CN"/>
        </w:rPr>
        <w:t>年日平均气温最高值为</w:t>
      </w:r>
      <w:r>
        <w:rPr>
          <w:rFonts w:hint="eastAsia" w:ascii="Times New Roman" w:hAnsi="Times New Roman" w:cs="Times New Roman"/>
          <w:lang w:eastAsia="zh-CN"/>
        </w:rPr>
        <w:t>32.14</w:t>
      </w:r>
      <w:r>
        <w:rPr>
          <w:rFonts w:ascii="Times New Roman" w:hAnsi="Times New Roman" w:cs="Times New Roman"/>
          <w:lang w:eastAsia="zh-CN"/>
        </w:rPr>
        <w:t>℃，出现在202</w:t>
      </w:r>
      <w:r>
        <w:rPr>
          <w:rFonts w:hint="eastAsia" w:ascii="Times New Roman" w:hAnsi="Times New Roman" w:cs="Times New Roman"/>
          <w:lang w:eastAsia="zh-CN"/>
        </w:rPr>
        <w:t>3</w:t>
      </w:r>
      <w:r>
        <w:rPr>
          <w:rFonts w:ascii="Times New Roman" w:hAnsi="Times New Roman" w:cs="Times New Roman"/>
          <w:lang w:eastAsia="zh-CN"/>
        </w:rPr>
        <w:t>年</w:t>
      </w:r>
      <w:r>
        <w:rPr>
          <w:rFonts w:hint="eastAsia" w:ascii="Times New Roman" w:hAnsi="Times New Roman" w:cs="Times New Roman"/>
          <w:lang w:eastAsia="zh-CN"/>
        </w:rPr>
        <w:t>7</w:t>
      </w:r>
      <w:r>
        <w:rPr>
          <w:rFonts w:ascii="Times New Roman" w:hAnsi="Times New Roman" w:cs="Times New Roman"/>
          <w:lang w:eastAsia="zh-CN"/>
        </w:rPr>
        <w:t>月1</w:t>
      </w:r>
      <w:r>
        <w:rPr>
          <w:rFonts w:hint="eastAsia" w:ascii="Times New Roman" w:hAnsi="Times New Roman" w:cs="Times New Roman"/>
          <w:lang w:eastAsia="zh-CN"/>
        </w:rPr>
        <w:t>1</w:t>
      </w:r>
      <w:r>
        <w:rPr>
          <w:rFonts w:ascii="Times New Roman" w:hAnsi="Times New Roman" w:cs="Times New Roman"/>
          <w:lang w:eastAsia="zh-CN"/>
        </w:rPr>
        <w:t>日；日平均气温最低值为-</w:t>
      </w:r>
      <w:r>
        <w:rPr>
          <w:rFonts w:hint="eastAsia" w:ascii="Times New Roman" w:hAnsi="Times New Roman" w:cs="Times New Roman"/>
          <w:lang w:eastAsia="zh-CN"/>
        </w:rPr>
        <w:t>5.15</w:t>
      </w:r>
      <w:r>
        <w:rPr>
          <w:rFonts w:ascii="Times New Roman" w:hAnsi="Times New Roman" w:cs="Times New Roman"/>
          <w:lang w:eastAsia="zh-CN"/>
        </w:rPr>
        <w:t>℃，出现在202</w:t>
      </w:r>
      <w:r>
        <w:rPr>
          <w:rFonts w:hint="eastAsia" w:ascii="Times New Roman" w:hAnsi="Times New Roman" w:cs="Times New Roman"/>
          <w:lang w:eastAsia="zh-CN"/>
        </w:rPr>
        <w:t>3</w:t>
      </w:r>
      <w:r>
        <w:rPr>
          <w:rFonts w:ascii="Times New Roman" w:hAnsi="Times New Roman" w:cs="Times New Roman"/>
          <w:lang w:eastAsia="zh-CN"/>
        </w:rPr>
        <w:t>年12月</w:t>
      </w:r>
      <w:r>
        <w:rPr>
          <w:rFonts w:hint="eastAsia" w:ascii="Times New Roman" w:hAnsi="Times New Roman" w:cs="Times New Roman"/>
          <w:lang w:eastAsia="zh-CN"/>
        </w:rPr>
        <w:t>22</w:t>
      </w:r>
      <w:r>
        <w:rPr>
          <w:rFonts w:ascii="Times New Roman" w:hAnsi="Times New Roman" w:cs="Times New Roman"/>
          <w:lang w:eastAsia="zh-CN"/>
        </w:rPr>
        <w:t>日；年平均气温为16.</w:t>
      </w:r>
      <w:r>
        <w:rPr>
          <w:rFonts w:hint="eastAsia" w:ascii="Times New Roman" w:hAnsi="Times New Roman" w:cs="Times New Roman"/>
          <w:lang w:eastAsia="zh-CN"/>
        </w:rPr>
        <w:t>73</w:t>
      </w:r>
      <w:r>
        <w:rPr>
          <w:rFonts w:ascii="Times New Roman" w:hAnsi="Times New Roman" w:cs="Times New Roman"/>
          <w:lang w:eastAsia="zh-CN"/>
        </w:rPr>
        <w:t>℃</w:t>
      </w:r>
      <w:r>
        <w:rPr>
          <w:rFonts w:hint="eastAsia" w:ascii="Times New Roman" w:hAnsi="Times New Roman" w:cs="Times New Roman"/>
          <w:lang w:eastAsia="zh-CN"/>
        </w:rPr>
        <w:t>。</w:t>
      </w:r>
    </w:p>
    <w:p w14:paraId="5D251DBF">
      <w:pPr>
        <w:widowControl w:val="0"/>
        <w:topLinePunct/>
        <w:spacing w:line="360" w:lineRule="auto"/>
        <w:ind w:left="480"/>
        <w:jc w:val="both"/>
        <w:rPr>
          <w:rFonts w:ascii="Times New Roman" w:hAnsi="Times New Roman" w:cs="Times New Roman"/>
          <w:szCs w:val="24"/>
          <w:lang w:eastAsia="zh-CN"/>
        </w:rPr>
      </w:pPr>
      <w:r>
        <w:rPr>
          <w:rFonts w:hint="eastAsia" w:ascii="Times New Roman" w:hAnsi="Times New Roman" w:cs="Times New Roman"/>
          <w:szCs w:val="24"/>
          <w:lang w:eastAsia="zh-CN"/>
        </w:rPr>
        <w:t>（2）</w:t>
      </w:r>
      <w:r>
        <w:rPr>
          <w:rFonts w:ascii="Times New Roman" w:hAnsi="Times New Roman" w:cs="Times New Roman"/>
          <w:szCs w:val="24"/>
          <w:lang w:eastAsia="zh-CN"/>
        </w:rPr>
        <w:t xml:space="preserve">温度 </w:t>
      </w:r>
    </w:p>
    <w:p w14:paraId="73F3000D">
      <w:pPr>
        <w:widowControl w:val="0"/>
        <w:topLinePunct/>
        <w:spacing w:line="360" w:lineRule="auto"/>
        <w:ind w:firstLine="480" w:firstLineChars="200"/>
        <w:jc w:val="both"/>
        <w:rPr>
          <w:rFonts w:ascii="Times New Roman" w:hAnsi="Times New Roman" w:cs="Times New Roman"/>
          <w:szCs w:val="24"/>
          <w:lang w:eastAsia="zh-CN"/>
        </w:rPr>
      </w:pPr>
      <w:r>
        <w:rPr>
          <w:rFonts w:ascii="Times New Roman" w:hAnsi="Times New Roman" w:cs="Times New Roman"/>
          <w:szCs w:val="24"/>
          <w:lang w:eastAsia="zh-CN"/>
        </w:rPr>
        <w:t>蚌埠市多年平均温度的月变化情况见表</w:t>
      </w:r>
      <w:r>
        <w:rPr>
          <w:rFonts w:hint="eastAsia" w:ascii="Times New Roman" w:hAnsi="Times New Roman" w:cs="Times New Roman"/>
          <w:szCs w:val="24"/>
          <w:lang w:eastAsia="zh-CN"/>
        </w:rPr>
        <w:t>6</w:t>
      </w:r>
      <w:r>
        <w:rPr>
          <w:rFonts w:ascii="Times New Roman" w:hAnsi="Times New Roman" w:cs="Times New Roman"/>
          <w:szCs w:val="24"/>
          <w:lang w:eastAsia="zh-CN"/>
        </w:rPr>
        <w:t>.2-</w:t>
      </w:r>
      <w:r>
        <w:rPr>
          <w:rFonts w:hint="eastAsia" w:ascii="Times New Roman" w:hAnsi="Times New Roman" w:cs="Times New Roman"/>
          <w:szCs w:val="24"/>
          <w:lang w:eastAsia="zh-CN"/>
        </w:rPr>
        <w:t>3</w:t>
      </w:r>
      <w:r>
        <w:rPr>
          <w:rFonts w:ascii="Times New Roman" w:hAnsi="Times New Roman" w:cs="Times New Roman"/>
          <w:szCs w:val="24"/>
          <w:lang w:eastAsia="zh-CN"/>
        </w:rPr>
        <w:t>和图</w:t>
      </w:r>
      <w:r>
        <w:rPr>
          <w:rFonts w:hint="eastAsia" w:ascii="Times New Roman" w:hAnsi="Times New Roman" w:cs="Times New Roman"/>
          <w:szCs w:val="24"/>
          <w:lang w:eastAsia="zh-CN"/>
        </w:rPr>
        <w:t>6</w:t>
      </w:r>
      <w:r>
        <w:rPr>
          <w:rFonts w:ascii="Times New Roman" w:hAnsi="Times New Roman" w:cs="Times New Roman"/>
          <w:szCs w:val="24"/>
          <w:lang w:eastAsia="zh-CN"/>
        </w:rPr>
        <w:t>.2-</w:t>
      </w:r>
      <w:r>
        <w:rPr>
          <w:rFonts w:hint="eastAsia" w:ascii="Times New Roman" w:hAnsi="Times New Roman" w:cs="Times New Roman"/>
          <w:szCs w:val="24"/>
          <w:lang w:eastAsia="zh-CN"/>
        </w:rPr>
        <w:t>2</w:t>
      </w:r>
      <w:r>
        <w:rPr>
          <w:rFonts w:ascii="Times New Roman" w:hAnsi="Times New Roman" w:cs="Times New Roman"/>
          <w:szCs w:val="24"/>
          <w:lang w:eastAsia="zh-CN"/>
        </w:rPr>
        <w:t>。全年平均气温为15.37℃，其中夏季气温明显高于其它季节，以7月温度最高，平均为29.62℃，1月温度最低，平均为0.75℃。</w:t>
      </w:r>
    </w:p>
    <w:p w14:paraId="4C55E07E">
      <w:pPr>
        <w:spacing w:line="360" w:lineRule="auto"/>
        <w:jc w:val="center"/>
        <w:rPr>
          <w:rFonts w:ascii="Times New Roman" w:hAnsi="Times New Roman" w:cs="Times New Roman"/>
          <w:b/>
          <w:bCs/>
          <w:lang w:eastAsia="zh-CN"/>
        </w:rPr>
      </w:pPr>
      <w:r>
        <w:rPr>
          <w:rFonts w:ascii="Times New Roman" w:hAnsi="Times New Roman" w:cs="Times New Roman"/>
          <w:b/>
          <w:bCs/>
          <w:lang w:eastAsia="zh-CN"/>
        </w:rPr>
        <w:t xml:space="preserve">表6.2-3 </w:t>
      </w:r>
      <w:r>
        <w:rPr>
          <w:rFonts w:hint="eastAsia" w:ascii="Times New Roman" w:hAnsi="Times New Roman" w:cs="Times New Roman"/>
          <w:b/>
          <w:bCs/>
          <w:lang w:eastAsia="zh-CN"/>
        </w:rPr>
        <w:t xml:space="preserve"> </w:t>
      </w:r>
      <w:r>
        <w:rPr>
          <w:rFonts w:ascii="Times New Roman" w:hAnsi="Times New Roman" w:cs="Times New Roman"/>
          <w:b/>
          <w:bCs/>
          <w:lang w:eastAsia="zh-CN"/>
        </w:rPr>
        <w:t>2023年蚌埠市气象站年平均温度月变化统计表（单位：℃）</w:t>
      </w:r>
    </w:p>
    <w:tbl>
      <w:tblPr>
        <w:tblStyle w:val="35"/>
        <w:tblW w:w="4993"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748"/>
        <w:gridCol w:w="748"/>
        <w:gridCol w:w="748"/>
        <w:gridCol w:w="748"/>
        <w:gridCol w:w="748"/>
        <w:gridCol w:w="748"/>
        <w:gridCol w:w="748"/>
        <w:gridCol w:w="748"/>
        <w:gridCol w:w="748"/>
        <w:gridCol w:w="750"/>
        <w:gridCol w:w="751"/>
        <w:gridCol w:w="751"/>
      </w:tblGrid>
      <w:tr w14:paraId="7C0FED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84" w:type="pct"/>
            <w:vAlign w:val="center"/>
          </w:tcPr>
          <w:p w14:paraId="15921FA9">
            <w:pPr>
              <w:widowControl w:val="0"/>
              <w:jc w:val="center"/>
              <w:rPr>
                <w:rFonts w:ascii="Times New Roman" w:hAnsi="Times New Roman" w:cs="Times New Roman"/>
                <w:b/>
                <w:bCs/>
                <w:sz w:val="21"/>
                <w:szCs w:val="16"/>
                <w:lang w:eastAsia="zh-CN"/>
              </w:rPr>
            </w:pPr>
            <w:r>
              <w:rPr>
                <w:rFonts w:ascii="Times New Roman" w:hAnsi="Times New Roman" w:cs="Times New Roman"/>
                <w:b/>
                <w:bCs/>
                <w:sz w:val="21"/>
                <w:szCs w:val="16"/>
                <w:lang w:eastAsia="zh-CN"/>
              </w:rPr>
              <w:t>月份</w:t>
            </w:r>
          </w:p>
        </w:tc>
        <w:tc>
          <w:tcPr>
            <w:tcW w:w="384" w:type="pct"/>
            <w:vAlign w:val="center"/>
          </w:tcPr>
          <w:p w14:paraId="21D560BA">
            <w:pPr>
              <w:widowControl w:val="0"/>
              <w:jc w:val="center"/>
              <w:rPr>
                <w:rFonts w:ascii="Times New Roman" w:hAnsi="Times New Roman" w:cs="Times New Roman"/>
                <w:b/>
                <w:bCs/>
                <w:sz w:val="21"/>
                <w:szCs w:val="16"/>
                <w:lang w:eastAsia="zh-CN"/>
              </w:rPr>
            </w:pPr>
            <w:r>
              <w:rPr>
                <w:rFonts w:ascii="Times New Roman" w:hAnsi="Times New Roman" w:cs="Times New Roman"/>
                <w:b/>
                <w:bCs/>
                <w:sz w:val="21"/>
                <w:szCs w:val="16"/>
                <w:lang w:eastAsia="zh-CN"/>
              </w:rPr>
              <w:t>1月</w:t>
            </w:r>
          </w:p>
        </w:tc>
        <w:tc>
          <w:tcPr>
            <w:tcW w:w="384" w:type="pct"/>
            <w:vAlign w:val="center"/>
          </w:tcPr>
          <w:p w14:paraId="11EC7A3E">
            <w:pPr>
              <w:widowControl w:val="0"/>
              <w:jc w:val="center"/>
              <w:rPr>
                <w:rFonts w:ascii="Times New Roman" w:hAnsi="Times New Roman" w:cs="Times New Roman"/>
                <w:b/>
                <w:bCs/>
                <w:sz w:val="21"/>
                <w:szCs w:val="16"/>
                <w:lang w:eastAsia="zh-CN"/>
              </w:rPr>
            </w:pPr>
            <w:r>
              <w:rPr>
                <w:rFonts w:ascii="Times New Roman" w:hAnsi="Times New Roman" w:cs="Times New Roman"/>
                <w:b/>
                <w:bCs/>
                <w:sz w:val="21"/>
                <w:szCs w:val="16"/>
                <w:lang w:eastAsia="zh-CN"/>
              </w:rPr>
              <w:t>2月</w:t>
            </w:r>
          </w:p>
        </w:tc>
        <w:tc>
          <w:tcPr>
            <w:tcW w:w="384" w:type="pct"/>
            <w:vAlign w:val="center"/>
          </w:tcPr>
          <w:p w14:paraId="381A589E">
            <w:pPr>
              <w:widowControl w:val="0"/>
              <w:jc w:val="center"/>
              <w:rPr>
                <w:rFonts w:ascii="Times New Roman" w:hAnsi="Times New Roman" w:cs="Times New Roman"/>
                <w:b/>
                <w:bCs/>
                <w:sz w:val="21"/>
                <w:szCs w:val="16"/>
                <w:lang w:eastAsia="zh-CN"/>
              </w:rPr>
            </w:pPr>
            <w:r>
              <w:rPr>
                <w:rFonts w:ascii="Times New Roman" w:hAnsi="Times New Roman" w:cs="Times New Roman"/>
                <w:b/>
                <w:bCs/>
                <w:sz w:val="21"/>
                <w:szCs w:val="16"/>
                <w:lang w:eastAsia="zh-CN"/>
              </w:rPr>
              <w:t>3月</w:t>
            </w:r>
          </w:p>
        </w:tc>
        <w:tc>
          <w:tcPr>
            <w:tcW w:w="384" w:type="pct"/>
            <w:vAlign w:val="center"/>
          </w:tcPr>
          <w:p w14:paraId="65C672CC">
            <w:pPr>
              <w:widowControl w:val="0"/>
              <w:jc w:val="center"/>
              <w:rPr>
                <w:rFonts w:ascii="Times New Roman" w:hAnsi="Times New Roman" w:cs="Times New Roman"/>
                <w:b/>
                <w:bCs/>
                <w:sz w:val="21"/>
                <w:szCs w:val="16"/>
                <w:lang w:eastAsia="zh-CN"/>
              </w:rPr>
            </w:pPr>
            <w:r>
              <w:rPr>
                <w:rFonts w:ascii="Times New Roman" w:hAnsi="Times New Roman" w:cs="Times New Roman"/>
                <w:b/>
                <w:bCs/>
                <w:sz w:val="21"/>
                <w:szCs w:val="16"/>
                <w:lang w:eastAsia="zh-CN"/>
              </w:rPr>
              <w:t>4月</w:t>
            </w:r>
          </w:p>
        </w:tc>
        <w:tc>
          <w:tcPr>
            <w:tcW w:w="384" w:type="pct"/>
            <w:vAlign w:val="center"/>
          </w:tcPr>
          <w:p w14:paraId="092EEE4E">
            <w:pPr>
              <w:widowControl w:val="0"/>
              <w:jc w:val="center"/>
              <w:rPr>
                <w:rFonts w:ascii="Times New Roman" w:hAnsi="Times New Roman" w:cs="Times New Roman"/>
                <w:b/>
                <w:bCs/>
                <w:sz w:val="21"/>
                <w:szCs w:val="16"/>
                <w:lang w:eastAsia="zh-CN"/>
              </w:rPr>
            </w:pPr>
            <w:r>
              <w:rPr>
                <w:rFonts w:ascii="Times New Roman" w:hAnsi="Times New Roman" w:cs="Times New Roman"/>
                <w:b/>
                <w:bCs/>
                <w:sz w:val="21"/>
                <w:szCs w:val="16"/>
                <w:lang w:eastAsia="zh-CN"/>
              </w:rPr>
              <w:t>5月</w:t>
            </w:r>
          </w:p>
        </w:tc>
        <w:tc>
          <w:tcPr>
            <w:tcW w:w="384" w:type="pct"/>
            <w:vAlign w:val="center"/>
          </w:tcPr>
          <w:p w14:paraId="6878D2EB">
            <w:pPr>
              <w:widowControl w:val="0"/>
              <w:jc w:val="center"/>
              <w:rPr>
                <w:rFonts w:ascii="Times New Roman" w:hAnsi="Times New Roman" w:cs="Times New Roman"/>
                <w:b/>
                <w:bCs/>
                <w:sz w:val="21"/>
                <w:szCs w:val="16"/>
                <w:lang w:eastAsia="zh-CN"/>
              </w:rPr>
            </w:pPr>
            <w:r>
              <w:rPr>
                <w:rFonts w:ascii="Times New Roman" w:hAnsi="Times New Roman" w:cs="Times New Roman"/>
                <w:b/>
                <w:bCs/>
                <w:sz w:val="21"/>
                <w:szCs w:val="16"/>
                <w:lang w:eastAsia="zh-CN"/>
              </w:rPr>
              <w:t>6月</w:t>
            </w:r>
          </w:p>
        </w:tc>
        <w:tc>
          <w:tcPr>
            <w:tcW w:w="384" w:type="pct"/>
            <w:vAlign w:val="center"/>
          </w:tcPr>
          <w:p w14:paraId="7E405E21">
            <w:pPr>
              <w:widowControl w:val="0"/>
              <w:jc w:val="center"/>
              <w:rPr>
                <w:rFonts w:ascii="Times New Roman" w:hAnsi="Times New Roman" w:cs="Times New Roman"/>
                <w:b/>
                <w:bCs/>
                <w:sz w:val="21"/>
                <w:szCs w:val="16"/>
                <w:lang w:eastAsia="zh-CN"/>
              </w:rPr>
            </w:pPr>
            <w:r>
              <w:rPr>
                <w:rFonts w:ascii="Times New Roman" w:hAnsi="Times New Roman" w:cs="Times New Roman"/>
                <w:b/>
                <w:bCs/>
                <w:sz w:val="21"/>
                <w:szCs w:val="16"/>
                <w:lang w:eastAsia="zh-CN"/>
              </w:rPr>
              <w:t>7月</w:t>
            </w:r>
          </w:p>
        </w:tc>
        <w:tc>
          <w:tcPr>
            <w:tcW w:w="384" w:type="pct"/>
            <w:vAlign w:val="center"/>
          </w:tcPr>
          <w:p w14:paraId="06681340">
            <w:pPr>
              <w:widowControl w:val="0"/>
              <w:jc w:val="center"/>
              <w:rPr>
                <w:rFonts w:ascii="Times New Roman" w:hAnsi="Times New Roman" w:cs="Times New Roman"/>
                <w:b/>
                <w:bCs/>
                <w:sz w:val="21"/>
                <w:szCs w:val="16"/>
                <w:lang w:eastAsia="zh-CN"/>
              </w:rPr>
            </w:pPr>
            <w:r>
              <w:rPr>
                <w:rFonts w:ascii="Times New Roman" w:hAnsi="Times New Roman" w:cs="Times New Roman"/>
                <w:b/>
                <w:bCs/>
                <w:sz w:val="21"/>
                <w:szCs w:val="16"/>
                <w:lang w:eastAsia="zh-CN"/>
              </w:rPr>
              <w:t>8月</w:t>
            </w:r>
          </w:p>
        </w:tc>
        <w:tc>
          <w:tcPr>
            <w:tcW w:w="384" w:type="pct"/>
            <w:vAlign w:val="center"/>
          </w:tcPr>
          <w:p w14:paraId="61B72A15">
            <w:pPr>
              <w:widowControl w:val="0"/>
              <w:jc w:val="center"/>
              <w:rPr>
                <w:rFonts w:ascii="Times New Roman" w:hAnsi="Times New Roman" w:cs="Times New Roman"/>
                <w:b/>
                <w:bCs/>
                <w:sz w:val="21"/>
                <w:szCs w:val="16"/>
                <w:lang w:eastAsia="zh-CN"/>
              </w:rPr>
            </w:pPr>
            <w:r>
              <w:rPr>
                <w:rFonts w:ascii="Times New Roman" w:hAnsi="Times New Roman" w:cs="Times New Roman"/>
                <w:b/>
                <w:bCs/>
                <w:sz w:val="21"/>
                <w:szCs w:val="16"/>
                <w:lang w:eastAsia="zh-CN"/>
              </w:rPr>
              <w:t>9月</w:t>
            </w:r>
          </w:p>
        </w:tc>
        <w:tc>
          <w:tcPr>
            <w:tcW w:w="385" w:type="pct"/>
            <w:vAlign w:val="center"/>
          </w:tcPr>
          <w:p w14:paraId="4AD64B6F">
            <w:pPr>
              <w:widowControl w:val="0"/>
              <w:jc w:val="center"/>
              <w:rPr>
                <w:rFonts w:ascii="Times New Roman" w:hAnsi="Times New Roman" w:cs="Times New Roman"/>
                <w:b/>
                <w:bCs/>
                <w:sz w:val="21"/>
                <w:szCs w:val="16"/>
                <w:lang w:eastAsia="zh-CN"/>
              </w:rPr>
            </w:pPr>
            <w:r>
              <w:rPr>
                <w:rFonts w:ascii="Times New Roman" w:hAnsi="Times New Roman" w:cs="Times New Roman"/>
                <w:b/>
                <w:bCs/>
                <w:sz w:val="21"/>
                <w:szCs w:val="16"/>
                <w:lang w:eastAsia="zh-CN"/>
              </w:rPr>
              <w:t>10月</w:t>
            </w:r>
          </w:p>
        </w:tc>
        <w:tc>
          <w:tcPr>
            <w:tcW w:w="385" w:type="pct"/>
            <w:vAlign w:val="center"/>
          </w:tcPr>
          <w:p w14:paraId="1A18B911">
            <w:pPr>
              <w:widowControl w:val="0"/>
              <w:jc w:val="center"/>
              <w:rPr>
                <w:rFonts w:ascii="Times New Roman" w:hAnsi="Times New Roman" w:cs="Times New Roman"/>
                <w:b/>
                <w:bCs/>
                <w:sz w:val="21"/>
                <w:szCs w:val="16"/>
                <w:lang w:eastAsia="zh-CN"/>
              </w:rPr>
            </w:pPr>
            <w:r>
              <w:rPr>
                <w:rFonts w:ascii="Times New Roman" w:hAnsi="Times New Roman" w:cs="Times New Roman"/>
                <w:b/>
                <w:bCs/>
                <w:sz w:val="21"/>
                <w:szCs w:val="16"/>
                <w:lang w:eastAsia="zh-CN"/>
              </w:rPr>
              <w:t>11月</w:t>
            </w:r>
          </w:p>
        </w:tc>
        <w:tc>
          <w:tcPr>
            <w:tcW w:w="385" w:type="pct"/>
            <w:vAlign w:val="center"/>
          </w:tcPr>
          <w:p w14:paraId="41808F8D">
            <w:pPr>
              <w:widowControl w:val="0"/>
              <w:jc w:val="center"/>
              <w:rPr>
                <w:rFonts w:ascii="Times New Roman" w:hAnsi="Times New Roman" w:cs="Times New Roman"/>
                <w:b/>
                <w:bCs/>
                <w:sz w:val="21"/>
                <w:szCs w:val="16"/>
                <w:lang w:eastAsia="zh-CN"/>
              </w:rPr>
            </w:pPr>
            <w:r>
              <w:rPr>
                <w:rFonts w:ascii="Times New Roman" w:hAnsi="Times New Roman" w:cs="Times New Roman"/>
                <w:b/>
                <w:bCs/>
                <w:sz w:val="21"/>
                <w:szCs w:val="16"/>
                <w:lang w:eastAsia="zh-CN"/>
              </w:rPr>
              <w:t>12月</w:t>
            </w:r>
          </w:p>
        </w:tc>
      </w:tr>
      <w:tr w14:paraId="79F7CB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84" w:type="pct"/>
            <w:vAlign w:val="center"/>
          </w:tcPr>
          <w:p w14:paraId="0A26EDBF">
            <w:pPr>
              <w:widowControl w:val="0"/>
              <w:jc w:val="center"/>
              <w:rPr>
                <w:rFonts w:ascii="Times New Roman" w:hAnsi="Times New Roman" w:cs="Times New Roman"/>
                <w:sz w:val="21"/>
                <w:szCs w:val="16"/>
                <w:lang w:eastAsia="zh-CN"/>
              </w:rPr>
            </w:pPr>
            <w:r>
              <w:rPr>
                <w:rFonts w:ascii="Times New Roman" w:hAnsi="Times New Roman" w:cs="Times New Roman"/>
                <w:sz w:val="21"/>
                <w:szCs w:val="16"/>
                <w:lang w:eastAsia="zh-CN"/>
              </w:rPr>
              <w:t>温度</w:t>
            </w:r>
          </w:p>
        </w:tc>
        <w:tc>
          <w:tcPr>
            <w:tcW w:w="384" w:type="pct"/>
            <w:vAlign w:val="center"/>
          </w:tcPr>
          <w:p w14:paraId="127B73A8">
            <w:pPr>
              <w:widowControl w:val="0"/>
              <w:jc w:val="center"/>
              <w:rPr>
                <w:rFonts w:ascii="Times New Roman" w:hAnsi="Times New Roman" w:cs="Times New Roman"/>
                <w:sz w:val="21"/>
                <w:szCs w:val="16"/>
                <w:lang w:eastAsia="zh-CN"/>
              </w:rPr>
            </w:pPr>
            <w:r>
              <w:rPr>
                <w:rFonts w:ascii="Times New Roman" w:hAnsi="Times New Roman" w:cs="Times New Roman"/>
                <w:sz w:val="21"/>
                <w:szCs w:val="16"/>
                <w:lang w:eastAsia="zh-CN"/>
              </w:rPr>
              <w:t>3.54</w:t>
            </w:r>
          </w:p>
        </w:tc>
        <w:tc>
          <w:tcPr>
            <w:tcW w:w="384" w:type="pct"/>
            <w:vAlign w:val="center"/>
          </w:tcPr>
          <w:p w14:paraId="2510C182">
            <w:pPr>
              <w:widowControl w:val="0"/>
              <w:jc w:val="center"/>
              <w:rPr>
                <w:rFonts w:ascii="Times New Roman" w:hAnsi="Times New Roman" w:cs="Times New Roman"/>
                <w:sz w:val="21"/>
                <w:szCs w:val="16"/>
                <w:lang w:eastAsia="zh-CN"/>
              </w:rPr>
            </w:pPr>
            <w:r>
              <w:rPr>
                <w:rFonts w:ascii="Times New Roman" w:hAnsi="Times New Roman" w:cs="Times New Roman"/>
                <w:sz w:val="21"/>
                <w:szCs w:val="16"/>
                <w:lang w:eastAsia="zh-CN"/>
              </w:rPr>
              <w:t>5.41</w:t>
            </w:r>
          </w:p>
        </w:tc>
        <w:tc>
          <w:tcPr>
            <w:tcW w:w="384" w:type="pct"/>
            <w:vAlign w:val="center"/>
          </w:tcPr>
          <w:p w14:paraId="0EDC6B07">
            <w:pPr>
              <w:widowControl w:val="0"/>
              <w:jc w:val="center"/>
              <w:rPr>
                <w:rFonts w:ascii="Times New Roman" w:hAnsi="Times New Roman" w:cs="Times New Roman"/>
                <w:sz w:val="21"/>
                <w:szCs w:val="16"/>
                <w:lang w:eastAsia="zh-CN"/>
              </w:rPr>
            </w:pPr>
            <w:r>
              <w:rPr>
                <w:rFonts w:ascii="Times New Roman" w:hAnsi="Times New Roman" w:cs="Times New Roman"/>
                <w:sz w:val="21"/>
                <w:szCs w:val="16"/>
                <w:lang w:eastAsia="zh-CN"/>
              </w:rPr>
              <w:t>12.75</w:t>
            </w:r>
          </w:p>
        </w:tc>
        <w:tc>
          <w:tcPr>
            <w:tcW w:w="384" w:type="pct"/>
            <w:vAlign w:val="center"/>
          </w:tcPr>
          <w:p w14:paraId="39029401">
            <w:pPr>
              <w:widowControl w:val="0"/>
              <w:jc w:val="center"/>
              <w:rPr>
                <w:rFonts w:ascii="Times New Roman" w:hAnsi="Times New Roman" w:cs="Times New Roman"/>
                <w:sz w:val="21"/>
                <w:szCs w:val="16"/>
                <w:lang w:eastAsia="zh-CN"/>
              </w:rPr>
            </w:pPr>
            <w:r>
              <w:rPr>
                <w:rFonts w:ascii="Times New Roman" w:hAnsi="Times New Roman" w:cs="Times New Roman"/>
                <w:sz w:val="21"/>
                <w:szCs w:val="16"/>
                <w:lang w:eastAsia="zh-CN"/>
              </w:rPr>
              <w:t>16.84</w:t>
            </w:r>
          </w:p>
        </w:tc>
        <w:tc>
          <w:tcPr>
            <w:tcW w:w="384" w:type="pct"/>
            <w:vAlign w:val="center"/>
          </w:tcPr>
          <w:p w14:paraId="32F4C780">
            <w:pPr>
              <w:widowControl w:val="0"/>
              <w:jc w:val="center"/>
              <w:rPr>
                <w:rFonts w:ascii="Times New Roman" w:hAnsi="Times New Roman" w:cs="Times New Roman"/>
                <w:sz w:val="21"/>
                <w:szCs w:val="16"/>
                <w:lang w:eastAsia="zh-CN"/>
              </w:rPr>
            </w:pPr>
            <w:r>
              <w:rPr>
                <w:rFonts w:ascii="Times New Roman" w:hAnsi="Times New Roman" w:cs="Times New Roman"/>
                <w:sz w:val="21"/>
                <w:szCs w:val="16"/>
                <w:lang w:eastAsia="zh-CN"/>
              </w:rPr>
              <w:t>21.74</w:t>
            </w:r>
          </w:p>
        </w:tc>
        <w:tc>
          <w:tcPr>
            <w:tcW w:w="384" w:type="pct"/>
            <w:vAlign w:val="center"/>
          </w:tcPr>
          <w:p w14:paraId="73964ADF">
            <w:pPr>
              <w:widowControl w:val="0"/>
              <w:jc w:val="center"/>
              <w:rPr>
                <w:rFonts w:ascii="Times New Roman" w:hAnsi="Times New Roman" w:cs="Times New Roman"/>
                <w:sz w:val="21"/>
                <w:szCs w:val="16"/>
                <w:lang w:eastAsia="zh-CN"/>
              </w:rPr>
            </w:pPr>
            <w:r>
              <w:rPr>
                <w:rFonts w:ascii="Times New Roman" w:hAnsi="Times New Roman" w:cs="Times New Roman"/>
                <w:sz w:val="21"/>
                <w:szCs w:val="16"/>
                <w:lang w:eastAsia="zh-CN"/>
              </w:rPr>
              <w:t>26.17</w:t>
            </w:r>
          </w:p>
        </w:tc>
        <w:tc>
          <w:tcPr>
            <w:tcW w:w="384" w:type="pct"/>
            <w:vAlign w:val="center"/>
          </w:tcPr>
          <w:p w14:paraId="67C330E4">
            <w:pPr>
              <w:widowControl w:val="0"/>
              <w:jc w:val="center"/>
              <w:rPr>
                <w:rFonts w:ascii="Times New Roman" w:hAnsi="Times New Roman" w:cs="Times New Roman"/>
                <w:sz w:val="21"/>
                <w:szCs w:val="16"/>
                <w:lang w:eastAsia="zh-CN"/>
              </w:rPr>
            </w:pPr>
            <w:r>
              <w:rPr>
                <w:rFonts w:ascii="Times New Roman" w:hAnsi="Times New Roman" w:cs="Times New Roman"/>
                <w:sz w:val="21"/>
                <w:szCs w:val="16"/>
                <w:lang w:eastAsia="zh-CN"/>
              </w:rPr>
              <w:t>28.63</w:t>
            </w:r>
          </w:p>
        </w:tc>
        <w:tc>
          <w:tcPr>
            <w:tcW w:w="384" w:type="pct"/>
            <w:vAlign w:val="center"/>
          </w:tcPr>
          <w:p w14:paraId="4637799D">
            <w:pPr>
              <w:widowControl w:val="0"/>
              <w:jc w:val="center"/>
              <w:rPr>
                <w:rFonts w:ascii="Times New Roman" w:hAnsi="Times New Roman" w:cs="Times New Roman"/>
                <w:sz w:val="21"/>
                <w:szCs w:val="16"/>
                <w:lang w:eastAsia="zh-CN"/>
              </w:rPr>
            </w:pPr>
            <w:r>
              <w:rPr>
                <w:rFonts w:ascii="Times New Roman" w:hAnsi="Times New Roman" w:cs="Times New Roman"/>
                <w:sz w:val="21"/>
                <w:szCs w:val="16"/>
                <w:lang w:eastAsia="zh-CN"/>
              </w:rPr>
              <w:t>27.96</w:t>
            </w:r>
          </w:p>
        </w:tc>
        <w:tc>
          <w:tcPr>
            <w:tcW w:w="384" w:type="pct"/>
            <w:vAlign w:val="center"/>
          </w:tcPr>
          <w:p w14:paraId="59414D42">
            <w:pPr>
              <w:widowControl w:val="0"/>
              <w:jc w:val="center"/>
              <w:rPr>
                <w:rFonts w:ascii="Times New Roman" w:hAnsi="Times New Roman" w:cs="Times New Roman"/>
                <w:sz w:val="21"/>
                <w:szCs w:val="16"/>
                <w:lang w:eastAsia="zh-CN"/>
              </w:rPr>
            </w:pPr>
            <w:r>
              <w:rPr>
                <w:rFonts w:ascii="Times New Roman" w:hAnsi="Times New Roman" w:cs="Times New Roman"/>
                <w:sz w:val="21"/>
                <w:szCs w:val="16"/>
                <w:lang w:eastAsia="zh-CN"/>
              </w:rPr>
              <w:t>23.79</w:t>
            </w:r>
          </w:p>
        </w:tc>
        <w:tc>
          <w:tcPr>
            <w:tcW w:w="385" w:type="pct"/>
            <w:vAlign w:val="center"/>
          </w:tcPr>
          <w:p w14:paraId="393DB2EC">
            <w:pPr>
              <w:widowControl w:val="0"/>
              <w:jc w:val="center"/>
              <w:rPr>
                <w:rFonts w:ascii="Times New Roman" w:hAnsi="Times New Roman" w:cs="Times New Roman"/>
                <w:sz w:val="21"/>
                <w:szCs w:val="16"/>
                <w:lang w:eastAsia="zh-CN"/>
              </w:rPr>
            </w:pPr>
            <w:r>
              <w:rPr>
                <w:rFonts w:ascii="Times New Roman" w:hAnsi="Times New Roman" w:cs="Times New Roman"/>
                <w:sz w:val="21"/>
                <w:szCs w:val="16"/>
                <w:lang w:eastAsia="zh-CN"/>
              </w:rPr>
              <w:t>18.51</w:t>
            </w:r>
          </w:p>
        </w:tc>
        <w:tc>
          <w:tcPr>
            <w:tcW w:w="385" w:type="pct"/>
            <w:vAlign w:val="center"/>
          </w:tcPr>
          <w:p w14:paraId="0F05C853">
            <w:pPr>
              <w:widowControl w:val="0"/>
              <w:jc w:val="center"/>
              <w:rPr>
                <w:rFonts w:ascii="Times New Roman" w:hAnsi="Times New Roman" w:cs="Times New Roman"/>
                <w:sz w:val="21"/>
                <w:szCs w:val="16"/>
                <w:lang w:eastAsia="zh-CN"/>
              </w:rPr>
            </w:pPr>
            <w:r>
              <w:rPr>
                <w:rFonts w:ascii="Times New Roman" w:hAnsi="Times New Roman" w:cs="Times New Roman"/>
                <w:sz w:val="21"/>
                <w:szCs w:val="16"/>
                <w:lang w:eastAsia="zh-CN"/>
              </w:rPr>
              <w:t>11.04</w:t>
            </w:r>
          </w:p>
        </w:tc>
        <w:tc>
          <w:tcPr>
            <w:tcW w:w="385" w:type="pct"/>
            <w:vAlign w:val="center"/>
          </w:tcPr>
          <w:p w14:paraId="6BE2E1A8">
            <w:pPr>
              <w:widowControl w:val="0"/>
              <w:jc w:val="center"/>
              <w:rPr>
                <w:rFonts w:ascii="Times New Roman" w:hAnsi="Times New Roman" w:cs="Times New Roman"/>
                <w:sz w:val="21"/>
                <w:szCs w:val="16"/>
                <w:lang w:eastAsia="zh-CN"/>
              </w:rPr>
            </w:pPr>
            <w:r>
              <w:rPr>
                <w:rFonts w:ascii="Times New Roman" w:hAnsi="Times New Roman" w:cs="Times New Roman"/>
                <w:sz w:val="21"/>
                <w:szCs w:val="16"/>
                <w:lang w:eastAsia="zh-CN"/>
              </w:rPr>
              <w:t>3.66</w:t>
            </w:r>
          </w:p>
        </w:tc>
      </w:tr>
    </w:tbl>
    <w:p w14:paraId="3238E724">
      <w:pPr>
        <w:spacing w:line="360" w:lineRule="auto"/>
        <w:jc w:val="center"/>
        <w:rPr>
          <w:rFonts w:ascii="Times New Roman" w:hAnsi="Times New Roman" w:cs="Times New Roman"/>
          <w:b/>
          <w:bCs/>
          <w:lang w:eastAsia="zh-CN"/>
        </w:rPr>
      </w:pPr>
      <w:r>
        <w:rPr>
          <w:color w:val="auto"/>
        </w:rPr>
        <w:drawing>
          <wp:inline distT="0" distB="0" distL="0" distR="0">
            <wp:extent cx="5281930" cy="2912110"/>
            <wp:effectExtent l="0" t="0" r="13970" b="2540"/>
            <wp:docPr id="80" name="图表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4C08196F">
      <w:pPr>
        <w:spacing w:line="360" w:lineRule="auto"/>
        <w:jc w:val="center"/>
        <w:rPr>
          <w:rFonts w:ascii="Times New Roman" w:hAnsi="Times New Roman" w:cs="Times New Roman"/>
          <w:b/>
          <w:bCs/>
          <w:lang w:eastAsia="zh-CN"/>
        </w:rPr>
      </w:pPr>
      <w:r>
        <w:rPr>
          <w:rFonts w:ascii="Times New Roman" w:hAnsi="Times New Roman" w:cs="Times New Roman"/>
          <w:b/>
          <w:bCs/>
          <w:lang w:eastAsia="zh-CN"/>
        </w:rPr>
        <w:t>图</w:t>
      </w:r>
      <w:r>
        <w:rPr>
          <w:rFonts w:hint="eastAsia" w:ascii="Times New Roman" w:hAnsi="Times New Roman" w:cs="Times New Roman"/>
          <w:b/>
          <w:bCs/>
          <w:lang w:eastAsia="zh-CN"/>
        </w:rPr>
        <w:t>6</w:t>
      </w:r>
      <w:r>
        <w:rPr>
          <w:rFonts w:ascii="Times New Roman" w:hAnsi="Times New Roman" w:cs="Times New Roman"/>
          <w:b/>
          <w:bCs/>
          <w:lang w:eastAsia="zh-CN"/>
        </w:rPr>
        <w:t>.2-2 2023年蚌埠市气象站年平均温度月变化</w:t>
      </w:r>
    </w:p>
    <w:p w14:paraId="2801F571">
      <w:pPr>
        <w:spacing w:line="360" w:lineRule="auto"/>
        <w:ind w:left="480"/>
        <w:jc w:val="both"/>
        <w:rPr>
          <w:rFonts w:ascii="Times New Roman" w:hAnsi="Times New Roman" w:cs="Times New Roman"/>
          <w:lang w:eastAsia="zh-CN"/>
        </w:rPr>
      </w:pPr>
      <w:r>
        <w:rPr>
          <w:rFonts w:hint="eastAsia" w:ascii="Times New Roman" w:hAnsi="Times New Roman" w:cs="Times New Roman"/>
          <w:lang w:eastAsia="zh-CN"/>
        </w:rPr>
        <w:t>（3）</w:t>
      </w:r>
      <w:r>
        <w:rPr>
          <w:rFonts w:ascii="Times New Roman" w:hAnsi="Times New Roman" w:cs="Times New Roman"/>
          <w:lang w:eastAsia="zh-CN"/>
        </w:rPr>
        <w:t>基准年年平均风速月变化统计</w:t>
      </w:r>
    </w:p>
    <w:p w14:paraId="6E31B8A7">
      <w:pPr>
        <w:spacing w:line="360" w:lineRule="auto"/>
        <w:ind w:firstLine="480" w:firstLineChars="200"/>
        <w:jc w:val="both"/>
        <w:rPr>
          <w:rFonts w:ascii="Times New Roman" w:hAnsi="Times New Roman" w:cs="Times New Roman"/>
          <w:lang w:eastAsia="zh-CN"/>
        </w:rPr>
      </w:pPr>
      <w:r>
        <w:rPr>
          <w:rFonts w:ascii="Times New Roman" w:hAnsi="Times New Roman" w:cs="Times New Roman"/>
          <w:lang w:eastAsia="zh-CN"/>
        </w:rPr>
        <w:t>根据对2023年蚌埠市气象站的地面站逐时气象数据的统计分析可知，项目评价区域的基准年的年平均风速月变化统计如下表所示。</w:t>
      </w:r>
    </w:p>
    <w:p w14:paraId="0485DF40">
      <w:pPr>
        <w:spacing w:line="360" w:lineRule="auto"/>
        <w:jc w:val="center"/>
        <w:rPr>
          <w:rFonts w:ascii="Times New Roman" w:hAnsi="Times New Roman" w:cs="Times New Roman"/>
          <w:b/>
          <w:bCs/>
          <w:lang w:eastAsia="zh-CN"/>
        </w:rPr>
      </w:pPr>
      <w:r>
        <w:rPr>
          <w:rFonts w:ascii="Times New Roman" w:hAnsi="Times New Roman" w:cs="Times New Roman"/>
          <w:b/>
          <w:bCs/>
          <w:lang w:eastAsia="zh-CN"/>
        </w:rPr>
        <w:t>表</w:t>
      </w:r>
      <w:r>
        <w:rPr>
          <w:rFonts w:hint="eastAsia" w:ascii="Times New Roman" w:hAnsi="Times New Roman" w:cs="Times New Roman"/>
          <w:b/>
          <w:bCs/>
          <w:lang w:eastAsia="zh-CN"/>
        </w:rPr>
        <w:t>6</w:t>
      </w:r>
      <w:r>
        <w:rPr>
          <w:rFonts w:ascii="Times New Roman" w:hAnsi="Times New Roman" w:cs="Times New Roman"/>
          <w:b/>
          <w:bCs/>
          <w:lang w:eastAsia="zh-CN"/>
        </w:rPr>
        <w:t xml:space="preserve">.2-4 </w:t>
      </w:r>
      <w:r>
        <w:rPr>
          <w:rFonts w:hint="eastAsia" w:ascii="Times New Roman" w:hAnsi="Times New Roman" w:cs="Times New Roman"/>
          <w:b/>
          <w:bCs/>
          <w:lang w:eastAsia="zh-CN"/>
        </w:rPr>
        <w:t xml:space="preserve"> </w:t>
      </w:r>
      <w:r>
        <w:rPr>
          <w:rFonts w:ascii="Times New Roman" w:hAnsi="Times New Roman" w:cs="Times New Roman"/>
          <w:b/>
          <w:bCs/>
          <w:lang w:eastAsia="zh-CN"/>
        </w:rPr>
        <w:t>2023年蚌埠市气象站年平均风速月变化统计表（单位m/s）</w:t>
      </w:r>
    </w:p>
    <w:tbl>
      <w:tblPr>
        <w:tblStyle w:val="35"/>
        <w:tblW w:w="4993"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748"/>
        <w:gridCol w:w="748"/>
        <w:gridCol w:w="748"/>
        <w:gridCol w:w="748"/>
        <w:gridCol w:w="748"/>
        <w:gridCol w:w="748"/>
        <w:gridCol w:w="748"/>
        <w:gridCol w:w="748"/>
        <w:gridCol w:w="748"/>
        <w:gridCol w:w="750"/>
        <w:gridCol w:w="751"/>
        <w:gridCol w:w="751"/>
      </w:tblGrid>
      <w:tr w14:paraId="0C8DE1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vAlign w:val="center"/>
          </w:tcPr>
          <w:p w14:paraId="1ED2420A">
            <w:pPr>
              <w:widowControl w:val="0"/>
              <w:jc w:val="center"/>
              <w:rPr>
                <w:rFonts w:ascii="Times New Roman" w:hAnsi="Times New Roman" w:cs="Times New Roman"/>
                <w:b/>
                <w:bCs/>
                <w:sz w:val="21"/>
                <w:szCs w:val="16"/>
                <w:lang w:eastAsia="zh-CN"/>
              </w:rPr>
            </w:pPr>
            <w:r>
              <w:rPr>
                <w:rFonts w:ascii="Times New Roman" w:hAnsi="Times New Roman" w:cs="Times New Roman"/>
                <w:b/>
                <w:bCs/>
                <w:sz w:val="21"/>
                <w:szCs w:val="16"/>
                <w:lang w:eastAsia="zh-CN"/>
              </w:rPr>
              <w:t>月份</w:t>
            </w:r>
          </w:p>
        </w:tc>
        <w:tc>
          <w:tcPr>
            <w:tcW w:w="384" w:type="pct"/>
            <w:vAlign w:val="center"/>
          </w:tcPr>
          <w:p w14:paraId="033C3E6C">
            <w:pPr>
              <w:widowControl w:val="0"/>
              <w:jc w:val="center"/>
              <w:rPr>
                <w:rFonts w:ascii="Times New Roman" w:hAnsi="Times New Roman" w:cs="Times New Roman"/>
                <w:b/>
                <w:bCs/>
                <w:sz w:val="21"/>
                <w:szCs w:val="16"/>
                <w:lang w:eastAsia="zh-CN"/>
              </w:rPr>
            </w:pPr>
            <w:r>
              <w:rPr>
                <w:rFonts w:ascii="Times New Roman" w:hAnsi="Times New Roman" w:cs="Times New Roman"/>
                <w:b/>
                <w:bCs/>
                <w:sz w:val="21"/>
                <w:szCs w:val="16"/>
                <w:lang w:eastAsia="zh-CN"/>
              </w:rPr>
              <w:t>1月</w:t>
            </w:r>
          </w:p>
        </w:tc>
        <w:tc>
          <w:tcPr>
            <w:tcW w:w="384" w:type="pct"/>
            <w:vAlign w:val="center"/>
          </w:tcPr>
          <w:p w14:paraId="39335EF8">
            <w:pPr>
              <w:widowControl w:val="0"/>
              <w:jc w:val="center"/>
              <w:rPr>
                <w:rFonts w:ascii="Times New Roman" w:hAnsi="Times New Roman" w:cs="Times New Roman"/>
                <w:b/>
                <w:bCs/>
                <w:sz w:val="21"/>
                <w:szCs w:val="16"/>
                <w:lang w:eastAsia="zh-CN"/>
              </w:rPr>
            </w:pPr>
            <w:r>
              <w:rPr>
                <w:rFonts w:ascii="Times New Roman" w:hAnsi="Times New Roman" w:cs="Times New Roman"/>
                <w:b/>
                <w:bCs/>
                <w:sz w:val="21"/>
                <w:szCs w:val="16"/>
                <w:lang w:eastAsia="zh-CN"/>
              </w:rPr>
              <w:t>2月</w:t>
            </w:r>
          </w:p>
        </w:tc>
        <w:tc>
          <w:tcPr>
            <w:tcW w:w="384" w:type="pct"/>
            <w:vAlign w:val="center"/>
          </w:tcPr>
          <w:p w14:paraId="02CF309C">
            <w:pPr>
              <w:widowControl w:val="0"/>
              <w:jc w:val="center"/>
              <w:rPr>
                <w:rFonts w:ascii="Times New Roman" w:hAnsi="Times New Roman" w:cs="Times New Roman"/>
                <w:b/>
                <w:bCs/>
                <w:sz w:val="21"/>
                <w:szCs w:val="16"/>
                <w:lang w:eastAsia="zh-CN"/>
              </w:rPr>
            </w:pPr>
            <w:r>
              <w:rPr>
                <w:rFonts w:ascii="Times New Roman" w:hAnsi="Times New Roman" w:cs="Times New Roman"/>
                <w:b/>
                <w:bCs/>
                <w:sz w:val="21"/>
                <w:szCs w:val="16"/>
                <w:lang w:eastAsia="zh-CN"/>
              </w:rPr>
              <w:t>3月</w:t>
            </w:r>
          </w:p>
        </w:tc>
        <w:tc>
          <w:tcPr>
            <w:tcW w:w="384" w:type="pct"/>
            <w:vAlign w:val="center"/>
          </w:tcPr>
          <w:p w14:paraId="618872FD">
            <w:pPr>
              <w:widowControl w:val="0"/>
              <w:jc w:val="center"/>
              <w:rPr>
                <w:rFonts w:ascii="Times New Roman" w:hAnsi="Times New Roman" w:cs="Times New Roman"/>
                <w:b/>
                <w:bCs/>
                <w:sz w:val="21"/>
                <w:szCs w:val="16"/>
                <w:lang w:eastAsia="zh-CN"/>
              </w:rPr>
            </w:pPr>
            <w:r>
              <w:rPr>
                <w:rFonts w:ascii="Times New Roman" w:hAnsi="Times New Roman" w:cs="Times New Roman"/>
                <w:b/>
                <w:bCs/>
                <w:sz w:val="21"/>
                <w:szCs w:val="16"/>
                <w:lang w:eastAsia="zh-CN"/>
              </w:rPr>
              <w:t>4月</w:t>
            </w:r>
          </w:p>
        </w:tc>
        <w:tc>
          <w:tcPr>
            <w:tcW w:w="384" w:type="pct"/>
            <w:vAlign w:val="center"/>
          </w:tcPr>
          <w:p w14:paraId="4AB03518">
            <w:pPr>
              <w:widowControl w:val="0"/>
              <w:jc w:val="center"/>
              <w:rPr>
                <w:rFonts w:ascii="Times New Roman" w:hAnsi="Times New Roman" w:cs="Times New Roman"/>
                <w:b/>
                <w:bCs/>
                <w:sz w:val="21"/>
                <w:szCs w:val="16"/>
                <w:lang w:eastAsia="zh-CN"/>
              </w:rPr>
            </w:pPr>
            <w:r>
              <w:rPr>
                <w:rFonts w:ascii="Times New Roman" w:hAnsi="Times New Roman" w:cs="Times New Roman"/>
                <w:b/>
                <w:bCs/>
                <w:sz w:val="21"/>
                <w:szCs w:val="16"/>
                <w:lang w:eastAsia="zh-CN"/>
              </w:rPr>
              <w:t>5月</w:t>
            </w:r>
          </w:p>
        </w:tc>
        <w:tc>
          <w:tcPr>
            <w:tcW w:w="384" w:type="pct"/>
            <w:vAlign w:val="center"/>
          </w:tcPr>
          <w:p w14:paraId="64F1BAC0">
            <w:pPr>
              <w:widowControl w:val="0"/>
              <w:jc w:val="center"/>
              <w:rPr>
                <w:rFonts w:ascii="Times New Roman" w:hAnsi="Times New Roman" w:cs="Times New Roman"/>
                <w:b/>
                <w:bCs/>
                <w:sz w:val="21"/>
                <w:szCs w:val="16"/>
                <w:lang w:eastAsia="zh-CN"/>
              </w:rPr>
            </w:pPr>
            <w:r>
              <w:rPr>
                <w:rFonts w:ascii="Times New Roman" w:hAnsi="Times New Roman" w:cs="Times New Roman"/>
                <w:b/>
                <w:bCs/>
                <w:sz w:val="21"/>
                <w:szCs w:val="16"/>
                <w:lang w:eastAsia="zh-CN"/>
              </w:rPr>
              <w:t>6月</w:t>
            </w:r>
          </w:p>
        </w:tc>
        <w:tc>
          <w:tcPr>
            <w:tcW w:w="384" w:type="pct"/>
            <w:vAlign w:val="center"/>
          </w:tcPr>
          <w:p w14:paraId="28963A35">
            <w:pPr>
              <w:widowControl w:val="0"/>
              <w:jc w:val="center"/>
              <w:rPr>
                <w:rFonts w:ascii="Times New Roman" w:hAnsi="Times New Roman" w:cs="Times New Roman"/>
                <w:b/>
                <w:bCs/>
                <w:sz w:val="21"/>
                <w:szCs w:val="16"/>
                <w:lang w:eastAsia="zh-CN"/>
              </w:rPr>
            </w:pPr>
            <w:r>
              <w:rPr>
                <w:rFonts w:ascii="Times New Roman" w:hAnsi="Times New Roman" w:cs="Times New Roman"/>
                <w:b/>
                <w:bCs/>
                <w:sz w:val="21"/>
                <w:szCs w:val="16"/>
                <w:lang w:eastAsia="zh-CN"/>
              </w:rPr>
              <w:t>7月</w:t>
            </w:r>
          </w:p>
        </w:tc>
        <w:tc>
          <w:tcPr>
            <w:tcW w:w="384" w:type="pct"/>
            <w:vAlign w:val="center"/>
          </w:tcPr>
          <w:p w14:paraId="2643D0A8">
            <w:pPr>
              <w:widowControl w:val="0"/>
              <w:jc w:val="center"/>
              <w:rPr>
                <w:rFonts w:ascii="Times New Roman" w:hAnsi="Times New Roman" w:cs="Times New Roman"/>
                <w:b/>
                <w:bCs/>
                <w:sz w:val="21"/>
                <w:szCs w:val="16"/>
                <w:lang w:eastAsia="zh-CN"/>
              </w:rPr>
            </w:pPr>
            <w:r>
              <w:rPr>
                <w:rFonts w:ascii="Times New Roman" w:hAnsi="Times New Roman" w:cs="Times New Roman"/>
                <w:b/>
                <w:bCs/>
                <w:sz w:val="21"/>
                <w:szCs w:val="16"/>
                <w:lang w:eastAsia="zh-CN"/>
              </w:rPr>
              <w:t>8月</w:t>
            </w:r>
          </w:p>
        </w:tc>
        <w:tc>
          <w:tcPr>
            <w:tcW w:w="384" w:type="pct"/>
            <w:vAlign w:val="center"/>
          </w:tcPr>
          <w:p w14:paraId="12A888DD">
            <w:pPr>
              <w:widowControl w:val="0"/>
              <w:jc w:val="center"/>
              <w:rPr>
                <w:rFonts w:ascii="Times New Roman" w:hAnsi="Times New Roman" w:cs="Times New Roman"/>
                <w:b/>
                <w:bCs/>
                <w:sz w:val="21"/>
                <w:szCs w:val="16"/>
                <w:lang w:eastAsia="zh-CN"/>
              </w:rPr>
            </w:pPr>
            <w:r>
              <w:rPr>
                <w:rFonts w:ascii="Times New Roman" w:hAnsi="Times New Roman" w:cs="Times New Roman"/>
                <w:b/>
                <w:bCs/>
                <w:sz w:val="21"/>
                <w:szCs w:val="16"/>
                <w:lang w:eastAsia="zh-CN"/>
              </w:rPr>
              <w:t>9月</w:t>
            </w:r>
          </w:p>
        </w:tc>
        <w:tc>
          <w:tcPr>
            <w:tcW w:w="385" w:type="pct"/>
            <w:vAlign w:val="center"/>
          </w:tcPr>
          <w:p w14:paraId="669732DE">
            <w:pPr>
              <w:widowControl w:val="0"/>
              <w:jc w:val="center"/>
              <w:rPr>
                <w:rFonts w:ascii="Times New Roman" w:hAnsi="Times New Roman" w:cs="Times New Roman"/>
                <w:b/>
                <w:bCs/>
                <w:sz w:val="21"/>
                <w:szCs w:val="16"/>
                <w:lang w:eastAsia="zh-CN"/>
              </w:rPr>
            </w:pPr>
            <w:r>
              <w:rPr>
                <w:rFonts w:ascii="Times New Roman" w:hAnsi="Times New Roman" w:cs="Times New Roman"/>
                <w:b/>
                <w:bCs/>
                <w:sz w:val="21"/>
                <w:szCs w:val="16"/>
                <w:lang w:eastAsia="zh-CN"/>
              </w:rPr>
              <w:t>10月</w:t>
            </w:r>
          </w:p>
        </w:tc>
        <w:tc>
          <w:tcPr>
            <w:tcW w:w="385" w:type="pct"/>
            <w:vAlign w:val="center"/>
          </w:tcPr>
          <w:p w14:paraId="51874B69">
            <w:pPr>
              <w:widowControl w:val="0"/>
              <w:jc w:val="center"/>
              <w:rPr>
                <w:rFonts w:ascii="Times New Roman" w:hAnsi="Times New Roman" w:cs="Times New Roman"/>
                <w:b/>
                <w:bCs/>
                <w:sz w:val="21"/>
                <w:szCs w:val="16"/>
                <w:lang w:eastAsia="zh-CN"/>
              </w:rPr>
            </w:pPr>
            <w:r>
              <w:rPr>
                <w:rFonts w:ascii="Times New Roman" w:hAnsi="Times New Roman" w:cs="Times New Roman"/>
                <w:b/>
                <w:bCs/>
                <w:sz w:val="21"/>
                <w:szCs w:val="16"/>
                <w:lang w:eastAsia="zh-CN"/>
              </w:rPr>
              <w:t>11月</w:t>
            </w:r>
          </w:p>
        </w:tc>
        <w:tc>
          <w:tcPr>
            <w:tcW w:w="385" w:type="pct"/>
            <w:vAlign w:val="center"/>
          </w:tcPr>
          <w:p w14:paraId="4E64D00A">
            <w:pPr>
              <w:widowControl w:val="0"/>
              <w:jc w:val="center"/>
              <w:rPr>
                <w:rFonts w:ascii="Times New Roman" w:hAnsi="Times New Roman" w:cs="Times New Roman"/>
                <w:b/>
                <w:bCs/>
                <w:sz w:val="21"/>
                <w:szCs w:val="16"/>
                <w:lang w:eastAsia="zh-CN"/>
              </w:rPr>
            </w:pPr>
            <w:r>
              <w:rPr>
                <w:rFonts w:ascii="Times New Roman" w:hAnsi="Times New Roman" w:cs="Times New Roman"/>
                <w:b/>
                <w:bCs/>
                <w:sz w:val="21"/>
                <w:szCs w:val="16"/>
                <w:lang w:eastAsia="zh-CN"/>
              </w:rPr>
              <w:t>12月</w:t>
            </w:r>
          </w:p>
        </w:tc>
      </w:tr>
      <w:tr w14:paraId="7C71FD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vAlign w:val="center"/>
          </w:tcPr>
          <w:p w14:paraId="3A1A85F3">
            <w:pPr>
              <w:widowControl w:val="0"/>
              <w:jc w:val="center"/>
              <w:rPr>
                <w:rFonts w:ascii="Times New Roman" w:hAnsi="Times New Roman" w:cs="Times New Roman"/>
                <w:sz w:val="21"/>
                <w:szCs w:val="16"/>
                <w:lang w:eastAsia="zh-CN"/>
              </w:rPr>
            </w:pPr>
            <w:r>
              <w:rPr>
                <w:rFonts w:ascii="Times New Roman" w:hAnsi="Times New Roman" w:cs="Times New Roman"/>
                <w:sz w:val="21"/>
                <w:szCs w:val="16"/>
                <w:lang w:eastAsia="zh-CN"/>
              </w:rPr>
              <w:t>风速</w:t>
            </w:r>
          </w:p>
        </w:tc>
        <w:tc>
          <w:tcPr>
            <w:tcW w:w="384" w:type="pct"/>
            <w:vAlign w:val="center"/>
          </w:tcPr>
          <w:p w14:paraId="26919724">
            <w:pPr>
              <w:widowControl w:val="0"/>
              <w:jc w:val="center"/>
              <w:rPr>
                <w:rFonts w:ascii="Times New Roman" w:hAnsi="Times New Roman" w:cs="Times New Roman"/>
                <w:sz w:val="21"/>
                <w:szCs w:val="16"/>
                <w:lang w:eastAsia="zh-CN"/>
              </w:rPr>
            </w:pPr>
            <w:r>
              <w:rPr>
                <w:rFonts w:ascii="Times New Roman" w:hAnsi="Times New Roman" w:cs="Times New Roman"/>
                <w:sz w:val="21"/>
                <w:szCs w:val="16"/>
                <w:lang w:eastAsia="zh-CN"/>
              </w:rPr>
              <w:t>2.31</w:t>
            </w:r>
          </w:p>
        </w:tc>
        <w:tc>
          <w:tcPr>
            <w:tcW w:w="384" w:type="pct"/>
            <w:vAlign w:val="center"/>
          </w:tcPr>
          <w:p w14:paraId="3A600E14">
            <w:pPr>
              <w:widowControl w:val="0"/>
              <w:jc w:val="center"/>
              <w:rPr>
                <w:rFonts w:ascii="Times New Roman" w:hAnsi="Times New Roman" w:cs="Times New Roman"/>
                <w:sz w:val="21"/>
                <w:szCs w:val="16"/>
                <w:lang w:eastAsia="zh-CN"/>
              </w:rPr>
            </w:pPr>
            <w:r>
              <w:rPr>
                <w:rFonts w:ascii="Times New Roman" w:hAnsi="Times New Roman" w:cs="Times New Roman"/>
                <w:sz w:val="21"/>
                <w:szCs w:val="16"/>
                <w:lang w:eastAsia="zh-CN"/>
              </w:rPr>
              <w:t>2.73</w:t>
            </w:r>
          </w:p>
        </w:tc>
        <w:tc>
          <w:tcPr>
            <w:tcW w:w="384" w:type="pct"/>
            <w:vAlign w:val="center"/>
          </w:tcPr>
          <w:p w14:paraId="1208F27B">
            <w:pPr>
              <w:widowControl w:val="0"/>
              <w:jc w:val="center"/>
              <w:rPr>
                <w:rFonts w:ascii="Times New Roman" w:hAnsi="Times New Roman" w:cs="Times New Roman"/>
                <w:sz w:val="21"/>
                <w:szCs w:val="16"/>
                <w:lang w:eastAsia="zh-CN"/>
              </w:rPr>
            </w:pPr>
            <w:r>
              <w:rPr>
                <w:rFonts w:ascii="Times New Roman" w:hAnsi="Times New Roman" w:cs="Times New Roman"/>
                <w:sz w:val="21"/>
                <w:szCs w:val="16"/>
                <w:lang w:eastAsia="zh-CN"/>
              </w:rPr>
              <w:t>2.81</w:t>
            </w:r>
          </w:p>
        </w:tc>
        <w:tc>
          <w:tcPr>
            <w:tcW w:w="384" w:type="pct"/>
            <w:vAlign w:val="center"/>
          </w:tcPr>
          <w:p w14:paraId="7C4B0AA8">
            <w:pPr>
              <w:widowControl w:val="0"/>
              <w:jc w:val="center"/>
              <w:rPr>
                <w:rFonts w:ascii="Times New Roman" w:hAnsi="Times New Roman" w:cs="Times New Roman"/>
                <w:sz w:val="21"/>
                <w:szCs w:val="16"/>
                <w:lang w:eastAsia="zh-CN"/>
              </w:rPr>
            </w:pPr>
            <w:r>
              <w:rPr>
                <w:rFonts w:ascii="Times New Roman" w:hAnsi="Times New Roman" w:cs="Times New Roman"/>
                <w:sz w:val="21"/>
                <w:szCs w:val="16"/>
                <w:lang w:eastAsia="zh-CN"/>
              </w:rPr>
              <w:t>3.33</w:t>
            </w:r>
          </w:p>
        </w:tc>
        <w:tc>
          <w:tcPr>
            <w:tcW w:w="384" w:type="pct"/>
            <w:vAlign w:val="center"/>
          </w:tcPr>
          <w:p w14:paraId="65E4D527">
            <w:pPr>
              <w:widowControl w:val="0"/>
              <w:jc w:val="center"/>
              <w:rPr>
                <w:rFonts w:ascii="Times New Roman" w:hAnsi="Times New Roman" w:cs="Times New Roman"/>
                <w:sz w:val="21"/>
                <w:szCs w:val="16"/>
                <w:lang w:eastAsia="zh-CN"/>
              </w:rPr>
            </w:pPr>
            <w:r>
              <w:rPr>
                <w:rFonts w:ascii="Times New Roman" w:hAnsi="Times New Roman" w:cs="Times New Roman"/>
                <w:sz w:val="21"/>
                <w:szCs w:val="16"/>
                <w:lang w:eastAsia="zh-CN"/>
              </w:rPr>
              <w:t>2.41</w:t>
            </w:r>
          </w:p>
        </w:tc>
        <w:tc>
          <w:tcPr>
            <w:tcW w:w="384" w:type="pct"/>
            <w:vAlign w:val="center"/>
          </w:tcPr>
          <w:p w14:paraId="16D21868">
            <w:pPr>
              <w:widowControl w:val="0"/>
              <w:jc w:val="center"/>
              <w:rPr>
                <w:rFonts w:ascii="Times New Roman" w:hAnsi="Times New Roman" w:cs="Times New Roman"/>
                <w:sz w:val="21"/>
                <w:szCs w:val="16"/>
                <w:lang w:eastAsia="zh-CN"/>
              </w:rPr>
            </w:pPr>
            <w:r>
              <w:rPr>
                <w:rFonts w:ascii="Times New Roman" w:hAnsi="Times New Roman" w:cs="Times New Roman"/>
                <w:sz w:val="21"/>
                <w:szCs w:val="16"/>
                <w:lang w:eastAsia="zh-CN"/>
              </w:rPr>
              <w:t>2.39</w:t>
            </w:r>
          </w:p>
        </w:tc>
        <w:tc>
          <w:tcPr>
            <w:tcW w:w="384" w:type="pct"/>
            <w:vAlign w:val="center"/>
          </w:tcPr>
          <w:p w14:paraId="14FEFC17">
            <w:pPr>
              <w:widowControl w:val="0"/>
              <w:jc w:val="center"/>
              <w:rPr>
                <w:rFonts w:ascii="Times New Roman" w:hAnsi="Times New Roman" w:cs="Times New Roman"/>
                <w:sz w:val="21"/>
                <w:szCs w:val="16"/>
                <w:lang w:eastAsia="zh-CN"/>
              </w:rPr>
            </w:pPr>
            <w:r>
              <w:rPr>
                <w:rFonts w:ascii="Times New Roman" w:hAnsi="Times New Roman" w:cs="Times New Roman"/>
                <w:sz w:val="21"/>
                <w:szCs w:val="16"/>
                <w:lang w:eastAsia="zh-CN"/>
              </w:rPr>
              <w:t>2.64</w:t>
            </w:r>
          </w:p>
        </w:tc>
        <w:tc>
          <w:tcPr>
            <w:tcW w:w="384" w:type="pct"/>
            <w:vAlign w:val="center"/>
          </w:tcPr>
          <w:p w14:paraId="1519BB93">
            <w:pPr>
              <w:widowControl w:val="0"/>
              <w:jc w:val="center"/>
              <w:rPr>
                <w:rFonts w:ascii="Times New Roman" w:hAnsi="Times New Roman" w:cs="Times New Roman"/>
                <w:sz w:val="21"/>
                <w:szCs w:val="16"/>
                <w:lang w:eastAsia="zh-CN"/>
              </w:rPr>
            </w:pPr>
            <w:r>
              <w:rPr>
                <w:rFonts w:ascii="Times New Roman" w:hAnsi="Times New Roman" w:cs="Times New Roman"/>
                <w:sz w:val="21"/>
                <w:szCs w:val="16"/>
                <w:lang w:eastAsia="zh-CN"/>
              </w:rPr>
              <w:t>2.02</w:t>
            </w:r>
          </w:p>
        </w:tc>
        <w:tc>
          <w:tcPr>
            <w:tcW w:w="384" w:type="pct"/>
            <w:vAlign w:val="center"/>
          </w:tcPr>
          <w:p w14:paraId="173DB93E">
            <w:pPr>
              <w:widowControl w:val="0"/>
              <w:jc w:val="center"/>
              <w:rPr>
                <w:rFonts w:ascii="Times New Roman" w:hAnsi="Times New Roman" w:cs="Times New Roman"/>
                <w:sz w:val="21"/>
                <w:szCs w:val="16"/>
                <w:lang w:eastAsia="zh-CN"/>
              </w:rPr>
            </w:pPr>
            <w:r>
              <w:rPr>
                <w:rFonts w:ascii="Times New Roman" w:hAnsi="Times New Roman" w:cs="Times New Roman"/>
                <w:sz w:val="21"/>
                <w:szCs w:val="16"/>
                <w:lang w:eastAsia="zh-CN"/>
              </w:rPr>
              <w:t>1.95</w:t>
            </w:r>
          </w:p>
        </w:tc>
        <w:tc>
          <w:tcPr>
            <w:tcW w:w="385" w:type="pct"/>
            <w:vAlign w:val="center"/>
          </w:tcPr>
          <w:p w14:paraId="35F833E6">
            <w:pPr>
              <w:widowControl w:val="0"/>
              <w:jc w:val="center"/>
              <w:rPr>
                <w:rFonts w:ascii="Times New Roman" w:hAnsi="Times New Roman" w:cs="Times New Roman"/>
                <w:sz w:val="21"/>
                <w:szCs w:val="16"/>
                <w:lang w:eastAsia="zh-CN"/>
              </w:rPr>
            </w:pPr>
            <w:r>
              <w:rPr>
                <w:rFonts w:ascii="Times New Roman" w:hAnsi="Times New Roman" w:cs="Times New Roman"/>
                <w:sz w:val="21"/>
                <w:szCs w:val="16"/>
                <w:lang w:eastAsia="zh-CN"/>
              </w:rPr>
              <w:t>1.75</w:t>
            </w:r>
          </w:p>
        </w:tc>
        <w:tc>
          <w:tcPr>
            <w:tcW w:w="385" w:type="pct"/>
            <w:vAlign w:val="center"/>
          </w:tcPr>
          <w:p w14:paraId="0DEBD720">
            <w:pPr>
              <w:widowControl w:val="0"/>
              <w:jc w:val="center"/>
              <w:rPr>
                <w:rFonts w:ascii="Times New Roman" w:hAnsi="Times New Roman" w:cs="Times New Roman"/>
                <w:sz w:val="21"/>
                <w:szCs w:val="16"/>
                <w:lang w:eastAsia="zh-CN"/>
              </w:rPr>
            </w:pPr>
            <w:r>
              <w:rPr>
                <w:rFonts w:ascii="Times New Roman" w:hAnsi="Times New Roman" w:cs="Times New Roman"/>
                <w:sz w:val="21"/>
                <w:szCs w:val="16"/>
                <w:lang w:eastAsia="zh-CN"/>
              </w:rPr>
              <w:t>2.55</w:t>
            </w:r>
          </w:p>
        </w:tc>
        <w:tc>
          <w:tcPr>
            <w:tcW w:w="385" w:type="pct"/>
            <w:vAlign w:val="center"/>
          </w:tcPr>
          <w:p w14:paraId="2BA88E90">
            <w:pPr>
              <w:widowControl w:val="0"/>
              <w:jc w:val="center"/>
              <w:rPr>
                <w:rFonts w:ascii="Times New Roman" w:hAnsi="Times New Roman" w:cs="Times New Roman"/>
                <w:sz w:val="21"/>
                <w:szCs w:val="16"/>
                <w:lang w:eastAsia="zh-CN"/>
              </w:rPr>
            </w:pPr>
            <w:r>
              <w:rPr>
                <w:rFonts w:ascii="Times New Roman" w:hAnsi="Times New Roman" w:cs="Times New Roman"/>
                <w:sz w:val="21"/>
                <w:szCs w:val="16"/>
                <w:lang w:eastAsia="zh-CN"/>
              </w:rPr>
              <w:t>2.46</w:t>
            </w:r>
          </w:p>
        </w:tc>
      </w:tr>
    </w:tbl>
    <w:p w14:paraId="3C050A20">
      <w:pPr>
        <w:spacing w:line="360" w:lineRule="auto"/>
        <w:jc w:val="center"/>
        <w:rPr>
          <w:rFonts w:ascii="Times New Roman" w:hAnsi="Times New Roman" w:cs="Times New Roman"/>
          <w:color w:val="EE0000"/>
          <w:lang w:eastAsia="zh-CN"/>
        </w:rPr>
      </w:pPr>
      <w:r>
        <w:rPr>
          <w:color w:val="0000FF"/>
        </w:rPr>
        <w:drawing>
          <wp:inline distT="0" distB="0" distL="0" distR="0">
            <wp:extent cx="5121910" cy="2910205"/>
            <wp:effectExtent l="0" t="0" r="2540" b="4445"/>
            <wp:docPr id="81" name="图表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28624EF5">
      <w:pPr>
        <w:spacing w:line="360" w:lineRule="auto"/>
        <w:jc w:val="center"/>
        <w:rPr>
          <w:rFonts w:ascii="Times New Roman" w:hAnsi="Times New Roman" w:cs="Times New Roman"/>
          <w:lang w:eastAsia="zh-CN"/>
        </w:rPr>
      </w:pPr>
      <w:r>
        <w:rPr>
          <w:rFonts w:ascii="Times New Roman" w:hAnsi="Times New Roman" w:cs="Times New Roman"/>
          <w:b/>
          <w:bCs/>
          <w:lang w:eastAsia="zh-CN"/>
        </w:rPr>
        <w:t>图</w:t>
      </w:r>
      <w:r>
        <w:rPr>
          <w:rFonts w:hint="eastAsia" w:ascii="Times New Roman" w:hAnsi="Times New Roman" w:cs="Times New Roman"/>
          <w:b/>
          <w:bCs/>
          <w:lang w:eastAsia="zh-CN"/>
        </w:rPr>
        <w:t>6</w:t>
      </w:r>
      <w:r>
        <w:rPr>
          <w:rFonts w:ascii="Times New Roman" w:hAnsi="Times New Roman" w:cs="Times New Roman"/>
          <w:b/>
          <w:bCs/>
          <w:lang w:eastAsia="zh-CN"/>
        </w:rPr>
        <w:t>.2-3</w:t>
      </w:r>
      <w:r>
        <w:rPr>
          <w:rFonts w:hint="eastAsia" w:ascii="Times New Roman" w:hAnsi="Times New Roman" w:cs="Times New Roman"/>
          <w:b/>
          <w:bCs/>
          <w:lang w:eastAsia="zh-CN"/>
        </w:rPr>
        <w:t xml:space="preserve"> </w:t>
      </w:r>
      <w:r>
        <w:rPr>
          <w:rFonts w:ascii="Times New Roman" w:hAnsi="Times New Roman" w:cs="Times New Roman"/>
          <w:b/>
          <w:bCs/>
          <w:lang w:eastAsia="zh-CN"/>
        </w:rPr>
        <w:t xml:space="preserve"> 2023年蚌埠市气象站年平均风速月变化</w:t>
      </w:r>
    </w:p>
    <w:p w14:paraId="5E7BE4F8">
      <w:pPr>
        <w:spacing w:line="360" w:lineRule="auto"/>
        <w:ind w:firstLine="480" w:firstLineChars="200"/>
        <w:jc w:val="both"/>
        <w:rPr>
          <w:rFonts w:ascii="Times New Roman" w:hAnsi="Times New Roman" w:cs="Times New Roman"/>
          <w:lang w:eastAsia="zh-CN"/>
        </w:rPr>
      </w:pPr>
      <w:r>
        <w:rPr>
          <w:rFonts w:ascii="Times New Roman" w:hAnsi="Times New Roman" w:cs="Times New Roman"/>
          <w:lang w:eastAsia="zh-CN"/>
        </w:rPr>
        <w:t>（</w:t>
      </w:r>
      <w:r>
        <w:rPr>
          <w:rFonts w:hint="eastAsia" w:ascii="Times New Roman" w:hAnsi="Times New Roman" w:cs="Times New Roman"/>
          <w:lang w:eastAsia="zh-CN"/>
        </w:rPr>
        <w:t>4</w:t>
      </w:r>
      <w:r>
        <w:rPr>
          <w:rFonts w:ascii="Times New Roman" w:hAnsi="Times New Roman" w:cs="Times New Roman"/>
          <w:lang w:eastAsia="zh-CN"/>
        </w:rPr>
        <w:t>）基准年月季年风频变化统计</w:t>
      </w:r>
    </w:p>
    <w:p w14:paraId="520BE15F">
      <w:pPr>
        <w:spacing w:line="360" w:lineRule="auto"/>
        <w:ind w:firstLine="480" w:firstLineChars="200"/>
        <w:jc w:val="both"/>
        <w:rPr>
          <w:rFonts w:ascii="Times New Roman" w:hAnsi="Times New Roman" w:cs="Times New Roman"/>
          <w:lang w:eastAsia="zh-CN"/>
        </w:rPr>
      </w:pPr>
      <w:r>
        <w:rPr>
          <w:rFonts w:ascii="Times New Roman" w:hAnsi="Times New Roman" w:cs="Times New Roman"/>
          <w:lang w:eastAsia="zh-CN"/>
        </w:rPr>
        <w:t>根据对2023年蚌埠市气象站的地面站逐时气象数据的统计分析可知，项目评价区域的基准年的月季年风频变化统计见表</w:t>
      </w:r>
      <w:r>
        <w:rPr>
          <w:rFonts w:hint="eastAsia" w:ascii="Times New Roman" w:hAnsi="Times New Roman" w:cs="Times New Roman"/>
          <w:lang w:eastAsia="zh-CN"/>
        </w:rPr>
        <w:t>6</w:t>
      </w:r>
      <w:r>
        <w:rPr>
          <w:rFonts w:ascii="Times New Roman" w:hAnsi="Times New Roman" w:cs="Times New Roman"/>
          <w:lang w:eastAsia="zh-CN"/>
        </w:rPr>
        <w:t>.2-5。由表绘出2023年蚌埠市年、季风向频率玫瑰图，见图</w:t>
      </w:r>
      <w:r>
        <w:rPr>
          <w:rFonts w:hint="eastAsia" w:ascii="Times New Roman" w:hAnsi="Times New Roman" w:cs="Times New Roman"/>
          <w:lang w:eastAsia="zh-CN"/>
        </w:rPr>
        <w:t>6</w:t>
      </w:r>
      <w:r>
        <w:rPr>
          <w:rFonts w:ascii="Times New Roman" w:hAnsi="Times New Roman" w:cs="Times New Roman"/>
          <w:lang w:eastAsia="zh-CN"/>
        </w:rPr>
        <w:t>.2-4。</w:t>
      </w:r>
    </w:p>
    <w:p w14:paraId="2CD1ED34">
      <w:pPr>
        <w:spacing w:line="360" w:lineRule="auto"/>
        <w:ind w:firstLine="480" w:firstLineChars="200"/>
        <w:jc w:val="both"/>
        <w:rPr>
          <w:rFonts w:ascii="Times New Roman" w:hAnsi="Times New Roman" w:cs="Times New Roman"/>
          <w:lang w:eastAsia="zh-CN"/>
        </w:rPr>
      </w:pPr>
      <w:r>
        <w:rPr>
          <w:rFonts w:ascii="Times New Roman" w:hAnsi="Times New Roman" w:cs="Times New Roman"/>
          <w:lang w:eastAsia="zh-CN"/>
        </w:rPr>
        <w:t>对比上图可知，蚌埠市近20年四季和全年主导风均为ENE风，2023全年主导风向为ENE风，这与当地20年气象统计资料基本符合。因此，评价预测选用2023年的气象资料是合理的</w:t>
      </w:r>
      <w:r>
        <w:rPr>
          <w:rFonts w:hint="eastAsia" w:ascii="Times New Roman" w:hAnsi="Times New Roman" w:cs="Times New Roman"/>
          <w:lang w:eastAsia="zh-CN"/>
        </w:rPr>
        <w:t>。</w:t>
      </w:r>
    </w:p>
    <w:p w14:paraId="0C85A8C1">
      <w:pPr>
        <w:spacing w:line="360" w:lineRule="auto"/>
        <w:jc w:val="center"/>
        <w:rPr>
          <w:rFonts w:ascii="Times New Roman" w:hAnsi="Times New Roman" w:cs="Times New Roman"/>
          <w:color w:val="EE0000"/>
          <w:lang w:eastAsia="zh-CN"/>
        </w:rPr>
      </w:pPr>
      <w:r>
        <w:rPr>
          <w:rFonts w:ascii="Times New Roman" w:hAnsi="Times New Roman" w:cs="Times New Roman"/>
          <w:color w:val="auto"/>
          <w:lang w:eastAsia="zh-CN"/>
        </w:rPr>
        <w:drawing>
          <wp:inline distT="0" distB="0" distL="0" distR="0">
            <wp:extent cx="5680710" cy="6322695"/>
            <wp:effectExtent l="0" t="0" r="0" b="1905"/>
            <wp:docPr id="82" name="图片 135" descr="风向玫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135" descr="风向玫瑰图"/>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5696893" cy="6340970"/>
                    </a:xfrm>
                    <a:prstGeom prst="rect">
                      <a:avLst/>
                    </a:prstGeom>
                    <a:noFill/>
                    <a:ln>
                      <a:noFill/>
                    </a:ln>
                  </pic:spPr>
                </pic:pic>
              </a:graphicData>
            </a:graphic>
          </wp:inline>
        </w:drawing>
      </w:r>
    </w:p>
    <w:p w14:paraId="7EA7A4D0">
      <w:pPr>
        <w:spacing w:line="360" w:lineRule="auto"/>
        <w:jc w:val="center"/>
        <w:rPr>
          <w:rFonts w:ascii="Times New Roman" w:hAnsi="Times New Roman" w:cs="Times New Roman"/>
          <w:lang w:eastAsia="zh-CN"/>
        </w:rPr>
      </w:pPr>
      <w:r>
        <w:rPr>
          <w:rFonts w:ascii="Times New Roman" w:hAnsi="Times New Roman" w:cs="Times New Roman"/>
          <w:b/>
          <w:bCs/>
          <w:lang w:eastAsia="zh-CN"/>
        </w:rPr>
        <w:t>图</w:t>
      </w:r>
      <w:r>
        <w:rPr>
          <w:rFonts w:hint="eastAsia" w:ascii="Times New Roman" w:hAnsi="Times New Roman" w:cs="Times New Roman"/>
          <w:b/>
          <w:bCs/>
          <w:lang w:eastAsia="zh-CN"/>
        </w:rPr>
        <w:t>6</w:t>
      </w:r>
      <w:r>
        <w:rPr>
          <w:rFonts w:ascii="Times New Roman" w:hAnsi="Times New Roman" w:cs="Times New Roman"/>
          <w:b/>
          <w:bCs/>
          <w:lang w:eastAsia="zh-CN"/>
        </w:rPr>
        <w:t xml:space="preserve">.2-4 </w:t>
      </w:r>
      <w:r>
        <w:rPr>
          <w:rFonts w:hint="eastAsia" w:ascii="Times New Roman" w:hAnsi="Times New Roman" w:cs="Times New Roman"/>
          <w:b/>
          <w:bCs/>
          <w:lang w:eastAsia="zh-CN"/>
        </w:rPr>
        <w:t xml:space="preserve"> </w:t>
      </w:r>
      <w:r>
        <w:rPr>
          <w:rFonts w:ascii="Times New Roman" w:hAnsi="Times New Roman" w:cs="Times New Roman"/>
          <w:b/>
          <w:bCs/>
          <w:lang w:eastAsia="zh-CN"/>
        </w:rPr>
        <w:t>2023年蚌埠市气象站风向频率玫瑰图</w:t>
      </w:r>
    </w:p>
    <w:p w14:paraId="0B84E09D">
      <w:pPr>
        <w:pStyle w:val="42"/>
        <w:ind w:firstLine="480"/>
        <w:rPr>
          <w:color w:val="auto"/>
        </w:rPr>
        <w:sectPr>
          <w:pgSz w:w="11906" w:h="16838"/>
          <w:pgMar w:top="1440" w:right="1080" w:bottom="1440" w:left="1080" w:header="851" w:footer="992" w:gutter="0"/>
          <w:cols w:space="720" w:num="1"/>
          <w:docGrid w:type="lines" w:linePitch="312" w:charSpace="0"/>
        </w:sectPr>
      </w:pPr>
    </w:p>
    <w:p w14:paraId="03A9A5D4">
      <w:pPr>
        <w:adjustRightInd w:val="0"/>
        <w:snapToGrid w:val="0"/>
        <w:spacing w:line="360" w:lineRule="auto"/>
        <w:jc w:val="center"/>
        <w:rPr>
          <w:rFonts w:ascii="Times New Roman" w:hAnsi="Times New Roman" w:cs="Times New Roman"/>
          <w:b/>
          <w:bCs/>
          <w:lang w:eastAsia="zh-CN"/>
        </w:rPr>
      </w:pPr>
      <w:r>
        <w:rPr>
          <w:rFonts w:ascii="Times New Roman" w:hAnsi="Times New Roman" w:cs="Times New Roman"/>
          <w:b/>
          <w:bCs/>
          <w:lang w:eastAsia="zh-CN"/>
        </w:rPr>
        <w:t>表6.2-</w:t>
      </w:r>
      <w:r>
        <w:rPr>
          <w:rFonts w:hint="eastAsia" w:ascii="Times New Roman" w:hAnsi="Times New Roman" w:cs="Times New Roman"/>
          <w:b/>
          <w:bCs/>
          <w:lang w:eastAsia="zh-CN"/>
        </w:rPr>
        <w:t>5</w:t>
      </w:r>
      <w:r>
        <w:rPr>
          <w:rFonts w:ascii="Times New Roman" w:hAnsi="Times New Roman" w:cs="Times New Roman"/>
          <w:b/>
          <w:bCs/>
          <w:lang w:eastAsia="zh-CN"/>
        </w:rPr>
        <w:t xml:space="preserve"> </w:t>
      </w:r>
      <w:r>
        <w:rPr>
          <w:rFonts w:hint="eastAsia" w:ascii="Times New Roman" w:hAnsi="Times New Roman" w:cs="Times New Roman"/>
          <w:b/>
          <w:bCs/>
          <w:lang w:eastAsia="zh-CN"/>
        </w:rPr>
        <w:t xml:space="preserve"> </w:t>
      </w:r>
      <w:r>
        <w:rPr>
          <w:rFonts w:ascii="Times New Roman" w:hAnsi="Times New Roman" w:cs="Times New Roman"/>
          <w:b/>
          <w:bCs/>
          <w:lang w:eastAsia="zh-CN"/>
        </w:rPr>
        <w:t>202</w:t>
      </w:r>
      <w:r>
        <w:rPr>
          <w:rFonts w:hint="eastAsia" w:ascii="Times New Roman" w:hAnsi="Times New Roman" w:cs="Times New Roman"/>
          <w:b/>
          <w:bCs/>
          <w:lang w:eastAsia="zh-CN"/>
        </w:rPr>
        <w:t xml:space="preserve">3 </w:t>
      </w:r>
      <w:r>
        <w:rPr>
          <w:rFonts w:ascii="Times New Roman" w:hAnsi="Times New Roman" w:cs="Times New Roman"/>
          <w:b/>
          <w:bCs/>
          <w:lang w:eastAsia="zh-CN"/>
        </w:rPr>
        <w:t>年蚌埠市风频的月、季、年变化（单位：%）</w:t>
      </w:r>
    </w:p>
    <w:tbl>
      <w:tblPr>
        <w:tblStyle w:val="35"/>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87"/>
        <w:gridCol w:w="643"/>
        <w:gridCol w:w="779"/>
        <w:gridCol w:w="779"/>
        <w:gridCol w:w="780"/>
        <w:gridCol w:w="780"/>
        <w:gridCol w:w="774"/>
        <w:gridCol w:w="772"/>
        <w:gridCol w:w="772"/>
        <w:gridCol w:w="772"/>
        <w:gridCol w:w="778"/>
        <w:gridCol w:w="772"/>
        <w:gridCol w:w="784"/>
        <w:gridCol w:w="707"/>
        <w:gridCol w:w="852"/>
        <w:gridCol w:w="772"/>
        <w:gridCol w:w="783"/>
        <w:gridCol w:w="772"/>
      </w:tblGrid>
      <w:tr w14:paraId="0C3F74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24" w:type="dxa"/>
            <w:vAlign w:val="center"/>
          </w:tcPr>
          <w:p w14:paraId="1E4B71BC">
            <w:pPr>
              <w:widowControl w:val="0"/>
              <w:adjustRightInd w:val="0"/>
              <w:snapToGrid w:val="0"/>
              <w:jc w:val="center"/>
              <w:rPr>
                <w:rFonts w:ascii="Times New Roman" w:hAnsi="Times New Roman" w:cs="Times New Roman"/>
                <w:b/>
                <w:bCs/>
                <w:sz w:val="21"/>
                <w:lang w:eastAsia="zh-CN"/>
              </w:rPr>
            </w:pPr>
            <w:r>
              <w:rPr>
                <w:rFonts w:ascii="Times New Roman" w:hAnsi="Times New Roman" w:cs="Times New Roman"/>
                <w:b/>
                <w:bCs/>
                <w:sz w:val="21"/>
                <w:lang w:eastAsia="zh-CN"/>
              </w:rPr>
              <w:t>月份</w:t>
            </w:r>
          </w:p>
        </w:tc>
        <w:tc>
          <w:tcPr>
            <w:tcW w:w="648" w:type="dxa"/>
            <w:vAlign w:val="center"/>
          </w:tcPr>
          <w:p w14:paraId="4F570A38">
            <w:pPr>
              <w:widowControl w:val="0"/>
              <w:adjustRightInd w:val="0"/>
              <w:snapToGrid w:val="0"/>
              <w:jc w:val="center"/>
              <w:rPr>
                <w:rFonts w:ascii="Times New Roman" w:hAnsi="Times New Roman" w:cs="Times New Roman"/>
                <w:b/>
                <w:bCs/>
                <w:sz w:val="21"/>
                <w:lang w:eastAsia="zh-CN"/>
              </w:rPr>
            </w:pPr>
            <w:r>
              <w:rPr>
                <w:rFonts w:ascii="Times New Roman" w:hAnsi="Times New Roman" w:cs="Times New Roman"/>
                <w:b/>
                <w:bCs/>
                <w:sz w:val="21"/>
                <w:lang w:eastAsia="zh-CN"/>
              </w:rPr>
              <w:t>N</w:t>
            </w:r>
          </w:p>
        </w:tc>
        <w:tc>
          <w:tcPr>
            <w:tcW w:w="786" w:type="dxa"/>
            <w:vAlign w:val="center"/>
          </w:tcPr>
          <w:p w14:paraId="592FE6C6">
            <w:pPr>
              <w:widowControl w:val="0"/>
              <w:adjustRightInd w:val="0"/>
              <w:snapToGrid w:val="0"/>
              <w:jc w:val="center"/>
              <w:rPr>
                <w:rFonts w:ascii="Times New Roman" w:hAnsi="Times New Roman" w:cs="Times New Roman"/>
                <w:b/>
                <w:bCs/>
                <w:sz w:val="21"/>
                <w:lang w:eastAsia="zh-CN"/>
              </w:rPr>
            </w:pPr>
            <w:r>
              <w:rPr>
                <w:rFonts w:ascii="Times New Roman" w:hAnsi="Times New Roman" w:cs="Times New Roman"/>
                <w:b/>
                <w:bCs/>
                <w:sz w:val="21"/>
                <w:lang w:eastAsia="zh-CN"/>
              </w:rPr>
              <w:t>NNE</w:t>
            </w:r>
          </w:p>
        </w:tc>
        <w:tc>
          <w:tcPr>
            <w:tcW w:w="786" w:type="dxa"/>
            <w:vAlign w:val="center"/>
          </w:tcPr>
          <w:p w14:paraId="1DB5315E">
            <w:pPr>
              <w:widowControl w:val="0"/>
              <w:adjustRightInd w:val="0"/>
              <w:snapToGrid w:val="0"/>
              <w:jc w:val="center"/>
              <w:rPr>
                <w:rFonts w:ascii="Times New Roman" w:hAnsi="Times New Roman" w:cs="Times New Roman"/>
                <w:b/>
                <w:bCs/>
                <w:sz w:val="21"/>
                <w:lang w:eastAsia="zh-CN"/>
              </w:rPr>
            </w:pPr>
            <w:r>
              <w:rPr>
                <w:rFonts w:ascii="Times New Roman" w:hAnsi="Times New Roman" w:cs="Times New Roman"/>
                <w:b/>
                <w:bCs/>
                <w:sz w:val="21"/>
                <w:lang w:eastAsia="zh-CN"/>
              </w:rPr>
              <w:t>NE</w:t>
            </w:r>
          </w:p>
        </w:tc>
        <w:tc>
          <w:tcPr>
            <w:tcW w:w="787" w:type="dxa"/>
            <w:vAlign w:val="center"/>
          </w:tcPr>
          <w:p w14:paraId="4B33AB27">
            <w:pPr>
              <w:widowControl w:val="0"/>
              <w:adjustRightInd w:val="0"/>
              <w:snapToGrid w:val="0"/>
              <w:jc w:val="center"/>
              <w:rPr>
                <w:rFonts w:ascii="Times New Roman" w:hAnsi="Times New Roman" w:cs="Times New Roman"/>
                <w:b/>
                <w:bCs/>
                <w:sz w:val="21"/>
                <w:lang w:eastAsia="zh-CN"/>
              </w:rPr>
            </w:pPr>
            <w:r>
              <w:rPr>
                <w:rFonts w:ascii="Times New Roman" w:hAnsi="Times New Roman" w:cs="Times New Roman"/>
                <w:b/>
                <w:bCs/>
                <w:sz w:val="21"/>
                <w:lang w:eastAsia="zh-CN"/>
              </w:rPr>
              <w:t>ENE</w:t>
            </w:r>
          </w:p>
        </w:tc>
        <w:tc>
          <w:tcPr>
            <w:tcW w:w="787" w:type="dxa"/>
            <w:vAlign w:val="center"/>
          </w:tcPr>
          <w:p w14:paraId="1839E65D">
            <w:pPr>
              <w:widowControl w:val="0"/>
              <w:adjustRightInd w:val="0"/>
              <w:snapToGrid w:val="0"/>
              <w:jc w:val="center"/>
              <w:rPr>
                <w:rFonts w:ascii="Times New Roman" w:hAnsi="Times New Roman" w:cs="Times New Roman"/>
                <w:b/>
                <w:bCs/>
                <w:sz w:val="21"/>
                <w:lang w:eastAsia="zh-CN"/>
              </w:rPr>
            </w:pPr>
            <w:r>
              <w:rPr>
                <w:rFonts w:ascii="Times New Roman" w:hAnsi="Times New Roman" w:cs="Times New Roman"/>
                <w:b/>
                <w:bCs/>
                <w:sz w:val="21"/>
                <w:lang w:eastAsia="zh-CN"/>
              </w:rPr>
              <w:t>E</w:t>
            </w:r>
          </w:p>
        </w:tc>
        <w:tc>
          <w:tcPr>
            <w:tcW w:w="787" w:type="dxa"/>
            <w:vAlign w:val="center"/>
          </w:tcPr>
          <w:p w14:paraId="0047468B">
            <w:pPr>
              <w:widowControl w:val="0"/>
              <w:adjustRightInd w:val="0"/>
              <w:snapToGrid w:val="0"/>
              <w:jc w:val="center"/>
              <w:rPr>
                <w:rFonts w:ascii="Times New Roman" w:hAnsi="Times New Roman" w:cs="Times New Roman"/>
                <w:b/>
                <w:bCs/>
                <w:sz w:val="21"/>
                <w:lang w:eastAsia="zh-CN"/>
              </w:rPr>
            </w:pPr>
            <w:r>
              <w:rPr>
                <w:rFonts w:ascii="Times New Roman" w:hAnsi="Times New Roman" w:cs="Times New Roman"/>
                <w:b/>
                <w:bCs/>
                <w:sz w:val="21"/>
                <w:lang w:eastAsia="zh-CN"/>
              </w:rPr>
              <w:t>ESE</w:t>
            </w:r>
          </w:p>
        </w:tc>
        <w:tc>
          <w:tcPr>
            <w:tcW w:w="787" w:type="dxa"/>
            <w:vAlign w:val="center"/>
          </w:tcPr>
          <w:p w14:paraId="496A0448">
            <w:pPr>
              <w:widowControl w:val="0"/>
              <w:adjustRightInd w:val="0"/>
              <w:snapToGrid w:val="0"/>
              <w:jc w:val="center"/>
              <w:rPr>
                <w:rFonts w:ascii="Times New Roman" w:hAnsi="Times New Roman" w:cs="Times New Roman"/>
                <w:b/>
                <w:bCs/>
                <w:sz w:val="21"/>
                <w:lang w:eastAsia="zh-CN"/>
              </w:rPr>
            </w:pPr>
            <w:r>
              <w:rPr>
                <w:rFonts w:ascii="Times New Roman" w:hAnsi="Times New Roman" w:cs="Times New Roman"/>
                <w:b/>
                <w:bCs/>
                <w:sz w:val="21"/>
                <w:lang w:eastAsia="zh-CN"/>
              </w:rPr>
              <w:t>SE</w:t>
            </w:r>
          </w:p>
        </w:tc>
        <w:tc>
          <w:tcPr>
            <w:tcW w:w="787" w:type="dxa"/>
            <w:vAlign w:val="center"/>
          </w:tcPr>
          <w:p w14:paraId="03332A6F">
            <w:pPr>
              <w:widowControl w:val="0"/>
              <w:adjustRightInd w:val="0"/>
              <w:snapToGrid w:val="0"/>
              <w:jc w:val="center"/>
              <w:rPr>
                <w:rFonts w:ascii="Times New Roman" w:hAnsi="Times New Roman" w:cs="Times New Roman"/>
                <w:b/>
                <w:bCs/>
                <w:sz w:val="21"/>
                <w:lang w:eastAsia="zh-CN"/>
              </w:rPr>
            </w:pPr>
            <w:r>
              <w:rPr>
                <w:rFonts w:ascii="Times New Roman" w:hAnsi="Times New Roman" w:cs="Times New Roman"/>
                <w:b/>
                <w:bCs/>
                <w:sz w:val="21"/>
                <w:lang w:eastAsia="zh-CN"/>
              </w:rPr>
              <w:t>SSE</w:t>
            </w:r>
          </w:p>
        </w:tc>
        <w:tc>
          <w:tcPr>
            <w:tcW w:w="787" w:type="dxa"/>
            <w:vAlign w:val="center"/>
          </w:tcPr>
          <w:p w14:paraId="5CEF91E1">
            <w:pPr>
              <w:widowControl w:val="0"/>
              <w:adjustRightInd w:val="0"/>
              <w:snapToGrid w:val="0"/>
              <w:jc w:val="center"/>
              <w:rPr>
                <w:rFonts w:ascii="Times New Roman" w:hAnsi="Times New Roman" w:cs="Times New Roman"/>
                <w:b/>
                <w:bCs/>
                <w:sz w:val="21"/>
                <w:lang w:eastAsia="zh-CN"/>
              </w:rPr>
            </w:pPr>
            <w:r>
              <w:rPr>
                <w:rFonts w:ascii="Times New Roman" w:hAnsi="Times New Roman" w:cs="Times New Roman"/>
                <w:b/>
                <w:bCs/>
                <w:sz w:val="21"/>
                <w:lang w:eastAsia="zh-CN"/>
              </w:rPr>
              <w:t>S</w:t>
            </w:r>
          </w:p>
        </w:tc>
        <w:tc>
          <w:tcPr>
            <w:tcW w:w="787" w:type="dxa"/>
            <w:vAlign w:val="center"/>
          </w:tcPr>
          <w:p w14:paraId="6DBC4F5C">
            <w:pPr>
              <w:widowControl w:val="0"/>
              <w:adjustRightInd w:val="0"/>
              <w:snapToGrid w:val="0"/>
              <w:jc w:val="center"/>
              <w:rPr>
                <w:rFonts w:ascii="Times New Roman" w:hAnsi="Times New Roman" w:cs="Times New Roman"/>
                <w:b/>
                <w:bCs/>
                <w:sz w:val="21"/>
                <w:lang w:eastAsia="zh-CN"/>
              </w:rPr>
            </w:pPr>
            <w:r>
              <w:rPr>
                <w:rFonts w:ascii="Times New Roman" w:hAnsi="Times New Roman" w:cs="Times New Roman"/>
                <w:b/>
                <w:bCs/>
                <w:sz w:val="21"/>
                <w:lang w:eastAsia="zh-CN"/>
              </w:rPr>
              <w:t>SSW</w:t>
            </w:r>
          </w:p>
        </w:tc>
        <w:tc>
          <w:tcPr>
            <w:tcW w:w="787" w:type="dxa"/>
            <w:vAlign w:val="center"/>
          </w:tcPr>
          <w:p w14:paraId="6C3D7F78">
            <w:pPr>
              <w:widowControl w:val="0"/>
              <w:adjustRightInd w:val="0"/>
              <w:snapToGrid w:val="0"/>
              <w:jc w:val="center"/>
              <w:rPr>
                <w:rFonts w:ascii="Times New Roman" w:hAnsi="Times New Roman" w:cs="Times New Roman"/>
                <w:b/>
                <w:bCs/>
                <w:sz w:val="21"/>
                <w:lang w:eastAsia="zh-CN"/>
              </w:rPr>
            </w:pPr>
            <w:r>
              <w:rPr>
                <w:rFonts w:ascii="Times New Roman" w:hAnsi="Times New Roman" w:cs="Times New Roman"/>
                <w:b/>
                <w:bCs/>
                <w:sz w:val="21"/>
                <w:lang w:eastAsia="zh-CN"/>
              </w:rPr>
              <w:t>SW</w:t>
            </w:r>
          </w:p>
        </w:tc>
        <w:tc>
          <w:tcPr>
            <w:tcW w:w="787" w:type="dxa"/>
            <w:vAlign w:val="center"/>
          </w:tcPr>
          <w:p w14:paraId="0E5012F6">
            <w:pPr>
              <w:widowControl w:val="0"/>
              <w:adjustRightInd w:val="0"/>
              <w:snapToGrid w:val="0"/>
              <w:jc w:val="center"/>
              <w:rPr>
                <w:rFonts w:ascii="Times New Roman" w:hAnsi="Times New Roman" w:cs="Times New Roman"/>
                <w:b/>
                <w:bCs/>
                <w:sz w:val="21"/>
                <w:lang w:eastAsia="zh-CN"/>
              </w:rPr>
            </w:pPr>
            <w:r>
              <w:rPr>
                <w:rFonts w:ascii="Times New Roman" w:hAnsi="Times New Roman" w:cs="Times New Roman"/>
                <w:b/>
                <w:bCs/>
                <w:sz w:val="21"/>
                <w:lang w:eastAsia="zh-CN"/>
              </w:rPr>
              <w:t>WSW</w:t>
            </w:r>
          </w:p>
        </w:tc>
        <w:tc>
          <w:tcPr>
            <w:tcW w:w="717" w:type="dxa"/>
            <w:vAlign w:val="center"/>
          </w:tcPr>
          <w:p w14:paraId="30F41E4A">
            <w:pPr>
              <w:widowControl w:val="0"/>
              <w:adjustRightInd w:val="0"/>
              <w:snapToGrid w:val="0"/>
              <w:jc w:val="center"/>
              <w:rPr>
                <w:rFonts w:ascii="Times New Roman" w:hAnsi="Times New Roman" w:cs="Times New Roman"/>
                <w:b/>
                <w:bCs/>
                <w:sz w:val="21"/>
                <w:lang w:eastAsia="zh-CN"/>
              </w:rPr>
            </w:pPr>
            <w:r>
              <w:rPr>
                <w:rFonts w:ascii="Times New Roman" w:hAnsi="Times New Roman" w:cs="Times New Roman"/>
                <w:b/>
                <w:bCs/>
                <w:sz w:val="21"/>
                <w:lang w:eastAsia="zh-CN"/>
              </w:rPr>
              <w:t>W</w:t>
            </w:r>
          </w:p>
        </w:tc>
        <w:tc>
          <w:tcPr>
            <w:tcW w:w="857" w:type="dxa"/>
            <w:vAlign w:val="center"/>
          </w:tcPr>
          <w:p w14:paraId="203ADC32">
            <w:pPr>
              <w:widowControl w:val="0"/>
              <w:adjustRightInd w:val="0"/>
              <w:snapToGrid w:val="0"/>
              <w:jc w:val="center"/>
              <w:rPr>
                <w:rFonts w:ascii="Times New Roman" w:hAnsi="Times New Roman" w:cs="Times New Roman"/>
                <w:b/>
                <w:bCs/>
                <w:sz w:val="21"/>
                <w:lang w:eastAsia="zh-CN"/>
              </w:rPr>
            </w:pPr>
            <w:r>
              <w:rPr>
                <w:rFonts w:ascii="Times New Roman" w:hAnsi="Times New Roman" w:cs="Times New Roman"/>
                <w:b/>
                <w:bCs/>
                <w:sz w:val="21"/>
                <w:lang w:eastAsia="zh-CN"/>
              </w:rPr>
              <w:t>WNW</w:t>
            </w:r>
          </w:p>
        </w:tc>
        <w:tc>
          <w:tcPr>
            <w:tcW w:w="787" w:type="dxa"/>
            <w:vAlign w:val="center"/>
          </w:tcPr>
          <w:p w14:paraId="0D1E1F71">
            <w:pPr>
              <w:widowControl w:val="0"/>
              <w:adjustRightInd w:val="0"/>
              <w:snapToGrid w:val="0"/>
              <w:jc w:val="center"/>
              <w:rPr>
                <w:rFonts w:ascii="Times New Roman" w:hAnsi="Times New Roman" w:cs="Times New Roman"/>
                <w:b/>
                <w:bCs/>
                <w:sz w:val="21"/>
                <w:lang w:eastAsia="zh-CN"/>
              </w:rPr>
            </w:pPr>
            <w:r>
              <w:rPr>
                <w:rFonts w:ascii="Times New Roman" w:hAnsi="Times New Roman" w:cs="Times New Roman"/>
                <w:b/>
                <w:bCs/>
                <w:sz w:val="21"/>
                <w:lang w:eastAsia="zh-CN"/>
              </w:rPr>
              <w:t>NW</w:t>
            </w:r>
          </w:p>
        </w:tc>
        <w:tc>
          <w:tcPr>
            <w:tcW w:w="787" w:type="dxa"/>
            <w:vAlign w:val="center"/>
          </w:tcPr>
          <w:p w14:paraId="57A8EB25">
            <w:pPr>
              <w:widowControl w:val="0"/>
              <w:adjustRightInd w:val="0"/>
              <w:snapToGrid w:val="0"/>
              <w:jc w:val="center"/>
              <w:rPr>
                <w:rFonts w:ascii="Times New Roman" w:hAnsi="Times New Roman" w:cs="Times New Roman"/>
                <w:b/>
                <w:bCs/>
                <w:sz w:val="21"/>
                <w:lang w:eastAsia="zh-CN"/>
              </w:rPr>
            </w:pPr>
            <w:r>
              <w:rPr>
                <w:rFonts w:ascii="Times New Roman" w:hAnsi="Times New Roman" w:cs="Times New Roman"/>
                <w:b/>
                <w:bCs/>
                <w:sz w:val="21"/>
                <w:lang w:eastAsia="zh-CN"/>
              </w:rPr>
              <w:t>NNW</w:t>
            </w:r>
          </w:p>
        </w:tc>
        <w:tc>
          <w:tcPr>
            <w:tcW w:w="787" w:type="dxa"/>
            <w:vAlign w:val="center"/>
          </w:tcPr>
          <w:p w14:paraId="0651D405">
            <w:pPr>
              <w:widowControl w:val="0"/>
              <w:adjustRightInd w:val="0"/>
              <w:snapToGrid w:val="0"/>
              <w:jc w:val="center"/>
              <w:rPr>
                <w:rFonts w:ascii="Times New Roman" w:hAnsi="Times New Roman" w:cs="Times New Roman"/>
                <w:b/>
                <w:bCs/>
                <w:sz w:val="21"/>
                <w:lang w:eastAsia="zh-CN"/>
              </w:rPr>
            </w:pPr>
            <w:r>
              <w:rPr>
                <w:rFonts w:ascii="Times New Roman" w:hAnsi="Times New Roman" w:cs="Times New Roman"/>
                <w:b/>
                <w:bCs/>
                <w:sz w:val="21"/>
                <w:lang w:eastAsia="zh-CN"/>
              </w:rPr>
              <w:t>静风</w:t>
            </w:r>
          </w:p>
        </w:tc>
      </w:tr>
      <w:tr w14:paraId="71E2E8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24" w:type="dxa"/>
            <w:vAlign w:val="center"/>
          </w:tcPr>
          <w:p w14:paraId="796BAE71">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一月</w:t>
            </w:r>
          </w:p>
        </w:tc>
        <w:tc>
          <w:tcPr>
            <w:tcW w:w="648" w:type="dxa"/>
            <w:vAlign w:val="center"/>
          </w:tcPr>
          <w:p w14:paraId="33101B97">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6.05</w:t>
            </w:r>
          </w:p>
        </w:tc>
        <w:tc>
          <w:tcPr>
            <w:tcW w:w="786" w:type="dxa"/>
            <w:vAlign w:val="center"/>
          </w:tcPr>
          <w:p w14:paraId="0BFF311F">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12.88</w:t>
            </w:r>
          </w:p>
        </w:tc>
        <w:tc>
          <w:tcPr>
            <w:tcW w:w="786" w:type="dxa"/>
            <w:vAlign w:val="center"/>
          </w:tcPr>
          <w:p w14:paraId="580C2DC1">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13.77</w:t>
            </w:r>
          </w:p>
        </w:tc>
        <w:tc>
          <w:tcPr>
            <w:tcW w:w="787" w:type="dxa"/>
            <w:vAlign w:val="center"/>
          </w:tcPr>
          <w:p w14:paraId="6644277E">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10.67</w:t>
            </w:r>
          </w:p>
        </w:tc>
        <w:tc>
          <w:tcPr>
            <w:tcW w:w="787" w:type="dxa"/>
            <w:vAlign w:val="center"/>
          </w:tcPr>
          <w:p w14:paraId="5FABF991">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7.91</w:t>
            </w:r>
          </w:p>
        </w:tc>
        <w:tc>
          <w:tcPr>
            <w:tcW w:w="787" w:type="dxa"/>
            <w:vAlign w:val="center"/>
          </w:tcPr>
          <w:p w14:paraId="639225FC">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4.92</w:t>
            </w:r>
          </w:p>
        </w:tc>
        <w:tc>
          <w:tcPr>
            <w:tcW w:w="787" w:type="dxa"/>
            <w:vAlign w:val="center"/>
          </w:tcPr>
          <w:p w14:paraId="78C82D7A">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3.36</w:t>
            </w:r>
          </w:p>
        </w:tc>
        <w:tc>
          <w:tcPr>
            <w:tcW w:w="787" w:type="dxa"/>
            <w:vAlign w:val="center"/>
          </w:tcPr>
          <w:p w14:paraId="3285A7F8">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3.29</w:t>
            </w:r>
          </w:p>
        </w:tc>
        <w:tc>
          <w:tcPr>
            <w:tcW w:w="787" w:type="dxa"/>
            <w:vAlign w:val="center"/>
          </w:tcPr>
          <w:p w14:paraId="4C89984E">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4.46</w:t>
            </w:r>
          </w:p>
        </w:tc>
        <w:tc>
          <w:tcPr>
            <w:tcW w:w="787" w:type="dxa"/>
            <w:vAlign w:val="center"/>
          </w:tcPr>
          <w:p w14:paraId="55A4BF8D">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4.78</w:t>
            </w:r>
          </w:p>
        </w:tc>
        <w:tc>
          <w:tcPr>
            <w:tcW w:w="787" w:type="dxa"/>
            <w:vAlign w:val="center"/>
          </w:tcPr>
          <w:p w14:paraId="2C556E8C">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5.39</w:t>
            </w:r>
          </w:p>
        </w:tc>
        <w:tc>
          <w:tcPr>
            <w:tcW w:w="787" w:type="dxa"/>
            <w:vAlign w:val="center"/>
          </w:tcPr>
          <w:p w14:paraId="647EC108">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4.62</w:t>
            </w:r>
          </w:p>
        </w:tc>
        <w:tc>
          <w:tcPr>
            <w:tcW w:w="717" w:type="dxa"/>
            <w:vAlign w:val="center"/>
          </w:tcPr>
          <w:p w14:paraId="6DC03761">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4.04</w:t>
            </w:r>
          </w:p>
        </w:tc>
        <w:tc>
          <w:tcPr>
            <w:tcW w:w="857" w:type="dxa"/>
            <w:vAlign w:val="center"/>
          </w:tcPr>
          <w:p w14:paraId="02197E86">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3.44</w:t>
            </w:r>
          </w:p>
        </w:tc>
        <w:tc>
          <w:tcPr>
            <w:tcW w:w="787" w:type="dxa"/>
            <w:vAlign w:val="center"/>
          </w:tcPr>
          <w:p w14:paraId="27179EF1">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3.61</w:t>
            </w:r>
          </w:p>
        </w:tc>
        <w:tc>
          <w:tcPr>
            <w:tcW w:w="787" w:type="dxa"/>
            <w:vAlign w:val="center"/>
          </w:tcPr>
          <w:p w14:paraId="5039493C">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4.42</w:t>
            </w:r>
          </w:p>
        </w:tc>
        <w:tc>
          <w:tcPr>
            <w:tcW w:w="787" w:type="dxa"/>
            <w:vAlign w:val="center"/>
          </w:tcPr>
          <w:p w14:paraId="40BB70CB">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2.74</w:t>
            </w:r>
          </w:p>
        </w:tc>
      </w:tr>
      <w:tr w14:paraId="26FA2E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24" w:type="dxa"/>
            <w:vAlign w:val="center"/>
          </w:tcPr>
          <w:p w14:paraId="28EEE472">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二月</w:t>
            </w:r>
          </w:p>
        </w:tc>
        <w:tc>
          <w:tcPr>
            <w:tcW w:w="648" w:type="dxa"/>
            <w:vAlign w:val="center"/>
          </w:tcPr>
          <w:p w14:paraId="6FBEA97A">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5.45</w:t>
            </w:r>
          </w:p>
        </w:tc>
        <w:tc>
          <w:tcPr>
            <w:tcW w:w="786" w:type="dxa"/>
            <w:vAlign w:val="center"/>
          </w:tcPr>
          <w:p w14:paraId="007892C7">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11.63</w:t>
            </w:r>
          </w:p>
        </w:tc>
        <w:tc>
          <w:tcPr>
            <w:tcW w:w="786" w:type="dxa"/>
            <w:vAlign w:val="center"/>
          </w:tcPr>
          <w:p w14:paraId="2CA38DAC">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15.16</w:t>
            </w:r>
          </w:p>
        </w:tc>
        <w:tc>
          <w:tcPr>
            <w:tcW w:w="787" w:type="dxa"/>
            <w:vAlign w:val="center"/>
          </w:tcPr>
          <w:p w14:paraId="197ECDDD">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13.41</w:t>
            </w:r>
          </w:p>
        </w:tc>
        <w:tc>
          <w:tcPr>
            <w:tcW w:w="787" w:type="dxa"/>
            <w:vAlign w:val="center"/>
          </w:tcPr>
          <w:p w14:paraId="30AC561D">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8.58</w:t>
            </w:r>
          </w:p>
        </w:tc>
        <w:tc>
          <w:tcPr>
            <w:tcW w:w="787" w:type="dxa"/>
            <w:vAlign w:val="center"/>
          </w:tcPr>
          <w:p w14:paraId="5E7068EB">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5.12</w:t>
            </w:r>
          </w:p>
        </w:tc>
        <w:tc>
          <w:tcPr>
            <w:tcW w:w="787" w:type="dxa"/>
            <w:vAlign w:val="center"/>
          </w:tcPr>
          <w:p w14:paraId="1975E16B">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3.59</w:t>
            </w:r>
          </w:p>
        </w:tc>
        <w:tc>
          <w:tcPr>
            <w:tcW w:w="787" w:type="dxa"/>
            <w:vAlign w:val="center"/>
          </w:tcPr>
          <w:p w14:paraId="5A55802A">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3.81</w:t>
            </w:r>
          </w:p>
        </w:tc>
        <w:tc>
          <w:tcPr>
            <w:tcW w:w="787" w:type="dxa"/>
            <w:vAlign w:val="center"/>
          </w:tcPr>
          <w:p w14:paraId="1D22B13D">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4.74</w:t>
            </w:r>
          </w:p>
        </w:tc>
        <w:tc>
          <w:tcPr>
            <w:tcW w:w="787" w:type="dxa"/>
            <w:vAlign w:val="center"/>
          </w:tcPr>
          <w:p w14:paraId="56F62CCD">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4.7</w:t>
            </w:r>
          </w:p>
        </w:tc>
        <w:tc>
          <w:tcPr>
            <w:tcW w:w="787" w:type="dxa"/>
            <w:vAlign w:val="center"/>
          </w:tcPr>
          <w:p w14:paraId="3D21A4CA">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4.79</w:t>
            </w:r>
          </w:p>
        </w:tc>
        <w:tc>
          <w:tcPr>
            <w:tcW w:w="787" w:type="dxa"/>
            <w:vAlign w:val="center"/>
          </w:tcPr>
          <w:p w14:paraId="4EBBBDF0">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3.97</w:t>
            </w:r>
          </w:p>
        </w:tc>
        <w:tc>
          <w:tcPr>
            <w:tcW w:w="717" w:type="dxa"/>
            <w:vAlign w:val="center"/>
          </w:tcPr>
          <w:p w14:paraId="137270E3">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3.27</w:t>
            </w:r>
          </w:p>
        </w:tc>
        <w:tc>
          <w:tcPr>
            <w:tcW w:w="857" w:type="dxa"/>
            <w:vAlign w:val="center"/>
          </w:tcPr>
          <w:p w14:paraId="28617FFF">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3.11</w:t>
            </w:r>
          </w:p>
        </w:tc>
        <w:tc>
          <w:tcPr>
            <w:tcW w:w="787" w:type="dxa"/>
            <w:vAlign w:val="center"/>
          </w:tcPr>
          <w:p w14:paraId="3F7810B6">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2.97</w:t>
            </w:r>
          </w:p>
        </w:tc>
        <w:tc>
          <w:tcPr>
            <w:tcW w:w="787" w:type="dxa"/>
            <w:vAlign w:val="center"/>
          </w:tcPr>
          <w:p w14:paraId="7C25DCFF">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3.75</w:t>
            </w:r>
          </w:p>
        </w:tc>
        <w:tc>
          <w:tcPr>
            <w:tcW w:w="787" w:type="dxa"/>
            <w:vAlign w:val="center"/>
          </w:tcPr>
          <w:p w14:paraId="539C1C65">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2.31</w:t>
            </w:r>
          </w:p>
        </w:tc>
      </w:tr>
      <w:tr w14:paraId="7A16CA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24" w:type="dxa"/>
            <w:vAlign w:val="center"/>
          </w:tcPr>
          <w:p w14:paraId="66E8EFF4">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三月</w:t>
            </w:r>
          </w:p>
        </w:tc>
        <w:tc>
          <w:tcPr>
            <w:tcW w:w="648" w:type="dxa"/>
            <w:vAlign w:val="center"/>
          </w:tcPr>
          <w:p w14:paraId="114A5A41">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5.18</w:t>
            </w:r>
          </w:p>
        </w:tc>
        <w:tc>
          <w:tcPr>
            <w:tcW w:w="786" w:type="dxa"/>
            <w:vAlign w:val="center"/>
          </w:tcPr>
          <w:p w14:paraId="6C7537B1">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10.47</w:t>
            </w:r>
          </w:p>
        </w:tc>
        <w:tc>
          <w:tcPr>
            <w:tcW w:w="786" w:type="dxa"/>
            <w:vAlign w:val="center"/>
          </w:tcPr>
          <w:p w14:paraId="67E67776">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14.35</w:t>
            </w:r>
          </w:p>
        </w:tc>
        <w:tc>
          <w:tcPr>
            <w:tcW w:w="787" w:type="dxa"/>
            <w:vAlign w:val="center"/>
          </w:tcPr>
          <w:p w14:paraId="0F81D4F1">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12.74</w:t>
            </w:r>
          </w:p>
        </w:tc>
        <w:tc>
          <w:tcPr>
            <w:tcW w:w="787" w:type="dxa"/>
            <w:vAlign w:val="center"/>
          </w:tcPr>
          <w:p w14:paraId="02D2EAAF">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8.78</w:t>
            </w:r>
          </w:p>
        </w:tc>
        <w:tc>
          <w:tcPr>
            <w:tcW w:w="787" w:type="dxa"/>
            <w:vAlign w:val="center"/>
          </w:tcPr>
          <w:p w14:paraId="7081F9D6">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5.5</w:t>
            </w:r>
          </w:p>
        </w:tc>
        <w:tc>
          <w:tcPr>
            <w:tcW w:w="787" w:type="dxa"/>
            <w:vAlign w:val="center"/>
          </w:tcPr>
          <w:p w14:paraId="455A84C6">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4.28</w:t>
            </w:r>
          </w:p>
        </w:tc>
        <w:tc>
          <w:tcPr>
            <w:tcW w:w="787" w:type="dxa"/>
            <w:vAlign w:val="center"/>
          </w:tcPr>
          <w:p w14:paraId="3CA47E6A">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4.79</w:t>
            </w:r>
          </w:p>
        </w:tc>
        <w:tc>
          <w:tcPr>
            <w:tcW w:w="787" w:type="dxa"/>
            <w:vAlign w:val="center"/>
          </w:tcPr>
          <w:p w14:paraId="0D928439">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6.03</w:t>
            </w:r>
          </w:p>
        </w:tc>
        <w:tc>
          <w:tcPr>
            <w:tcW w:w="787" w:type="dxa"/>
            <w:vAlign w:val="center"/>
          </w:tcPr>
          <w:p w14:paraId="48E73EC5">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5.11</w:t>
            </w:r>
          </w:p>
        </w:tc>
        <w:tc>
          <w:tcPr>
            <w:tcW w:w="787" w:type="dxa"/>
            <w:vAlign w:val="center"/>
          </w:tcPr>
          <w:p w14:paraId="6A5FF104">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5.48</w:t>
            </w:r>
          </w:p>
        </w:tc>
        <w:tc>
          <w:tcPr>
            <w:tcW w:w="787" w:type="dxa"/>
            <w:vAlign w:val="center"/>
          </w:tcPr>
          <w:p w14:paraId="7DAE2467">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3.6</w:t>
            </w:r>
          </w:p>
        </w:tc>
        <w:tc>
          <w:tcPr>
            <w:tcW w:w="717" w:type="dxa"/>
            <w:vAlign w:val="center"/>
          </w:tcPr>
          <w:p w14:paraId="1CB79096">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2.73</w:t>
            </w:r>
          </w:p>
        </w:tc>
        <w:tc>
          <w:tcPr>
            <w:tcW w:w="857" w:type="dxa"/>
            <w:vAlign w:val="center"/>
          </w:tcPr>
          <w:p w14:paraId="4932860F">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3.05</w:t>
            </w:r>
          </w:p>
        </w:tc>
        <w:tc>
          <w:tcPr>
            <w:tcW w:w="787" w:type="dxa"/>
            <w:vAlign w:val="center"/>
          </w:tcPr>
          <w:p w14:paraId="324DD6CD">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2.83</w:t>
            </w:r>
          </w:p>
        </w:tc>
        <w:tc>
          <w:tcPr>
            <w:tcW w:w="787" w:type="dxa"/>
            <w:vAlign w:val="center"/>
          </w:tcPr>
          <w:p w14:paraId="6F3638C8">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3.52</w:t>
            </w:r>
          </w:p>
        </w:tc>
        <w:tc>
          <w:tcPr>
            <w:tcW w:w="787" w:type="dxa"/>
            <w:vAlign w:val="center"/>
          </w:tcPr>
          <w:p w14:paraId="0E2D4759">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1.98</w:t>
            </w:r>
          </w:p>
        </w:tc>
      </w:tr>
      <w:tr w14:paraId="22CB80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24" w:type="dxa"/>
            <w:vAlign w:val="center"/>
          </w:tcPr>
          <w:p w14:paraId="5750ED7E">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四月</w:t>
            </w:r>
          </w:p>
        </w:tc>
        <w:tc>
          <w:tcPr>
            <w:tcW w:w="648" w:type="dxa"/>
            <w:vAlign w:val="center"/>
          </w:tcPr>
          <w:p w14:paraId="56B3E64B">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4.48</w:t>
            </w:r>
          </w:p>
        </w:tc>
        <w:tc>
          <w:tcPr>
            <w:tcW w:w="786" w:type="dxa"/>
            <w:vAlign w:val="center"/>
          </w:tcPr>
          <w:p w14:paraId="4E96BE2F">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8.92</w:t>
            </w:r>
          </w:p>
        </w:tc>
        <w:tc>
          <w:tcPr>
            <w:tcW w:w="786" w:type="dxa"/>
            <w:vAlign w:val="center"/>
          </w:tcPr>
          <w:p w14:paraId="080B0358">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12.61</w:t>
            </w:r>
          </w:p>
        </w:tc>
        <w:tc>
          <w:tcPr>
            <w:tcW w:w="787" w:type="dxa"/>
            <w:vAlign w:val="center"/>
          </w:tcPr>
          <w:p w14:paraId="298BFA85">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11.69</w:t>
            </w:r>
          </w:p>
        </w:tc>
        <w:tc>
          <w:tcPr>
            <w:tcW w:w="787" w:type="dxa"/>
            <w:vAlign w:val="center"/>
          </w:tcPr>
          <w:p w14:paraId="7A1698F4">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9.37</w:t>
            </w:r>
          </w:p>
        </w:tc>
        <w:tc>
          <w:tcPr>
            <w:tcW w:w="787" w:type="dxa"/>
            <w:vAlign w:val="center"/>
          </w:tcPr>
          <w:p w14:paraId="4FF6C446">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5.74</w:t>
            </w:r>
          </w:p>
        </w:tc>
        <w:tc>
          <w:tcPr>
            <w:tcW w:w="787" w:type="dxa"/>
            <w:vAlign w:val="center"/>
          </w:tcPr>
          <w:p w14:paraId="48D4802E">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4.61</w:t>
            </w:r>
          </w:p>
        </w:tc>
        <w:tc>
          <w:tcPr>
            <w:tcW w:w="787" w:type="dxa"/>
            <w:vAlign w:val="center"/>
          </w:tcPr>
          <w:p w14:paraId="1B463AE2">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5.34</w:t>
            </w:r>
          </w:p>
        </w:tc>
        <w:tc>
          <w:tcPr>
            <w:tcW w:w="787" w:type="dxa"/>
            <w:vAlign w:val="center"/>
          </w:tcPr>
          <w:p w14:paraId="704D9F3B">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5.85</w:t>
            </w:r>
          </w:p>
        </w:tc>
        <w:tc>
          <w:tcPr>
            <w:tcW w:w="787" w:type="dxa"/>
            <w:vAlign w:val="center"/>
          </w:tcPr>
          <w:p w14:paraId="6CE27DF0">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5.61</w:t>
            </w:r>
          </w:p>
        </w:tc>
        <w:tc>
          <w:tcPr>
            <w:tcW w:w="787" w:type="dxa"/>
            <w:vAlign w:val="center"/>
          </w:tcPr>
          <w:p w14:paraId="4806426B">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5.52</w:t>
            </w:r>
          </w:p>
        </w:tc>
        <w:tc>
          <w:tcPr>
            <w:tcW w:w="787" w:type="dxa"/>
            <w:vAlign w:val="center"/>
          </w:tcPr>
          <w:p w14:paraId="332EE1CE">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4.59</w:t>
            </w:r>
          </w:p>
        </w:tc>
        <w:tc>
          <w:tcPr>
            <w:tcW w:w="717" w:type="dxa"/>
            <w:vAlign w:val="center"/>
          </w:tcPr>
          <w:p w14:paraId="28997AFF">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3.53</w:t>
            </w:r>
          </w:p>
        </w:tc>
        <w:tc>
          <w:tcPr>
            <w:tcW w:w="857" w:type="dxa"/>
            <w:vAlign w:val="center"/>
          </w:tcPr>
          <w:p w14:paraId="23105657">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3.41</w:t>
            </w:r>
          </w:p>
        </w:tc>
        <w:tc>
          <w:tcPr>
            <w:tcW w:w="787" w:type="dxa"/>
            <w:vAlign w:val="center"/>
          </w:tcPr>
          <w:p w14:paraId="44CD08F1">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3.55</w:t>
            </w:r>
          </w:p>
        </w:tc>
        <w:tc>
          <w:tcPr>
            <w:tcW w:w="787" w:type="dxa"/>
            <w:vAlign w:val="center"/>
          </w:tcPr>
          <w:p w14:paraId="08DCEE61">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3.49</w:t>
            </w:r>
          </w:p>
        </w:tc>
        <w:tc>
          <w:tcPr>
            <w:tcW w:w="787" w:type="dxa"/>
            <w:vAlign w:val="center"/>
          </w:tcPr>
          <w:p w14:paraId="1EB1B723">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2.16</w:t>
            </w:r>
          </w:p>
        </w:tc>
      </w:tr>
      <w:tr w14:paraId="2A069E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24" w:type="dxa"/>
            <w:vAlign w:val="center"/>
          </w:tcPr>
          <w:p w14:paraId="740E611B">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五月</w:t>
            </w:r>
          </w:p>
        </w:tc>
        <w:tc>
          <w:tcPr>
            <w:tcW w:w="648" w:type="dxa"/>
            <w:vAlign w:val="center"/>
          </w:tcPr>
          <w:p w14:paraId="66B02D23">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4.4</w:t>
            </w:r>
          </w:p>
        </w:tc>
        <w:tc>
          <w:tcPr>
            <w:tcW w:w="786" w:type="dxa"/>
            <w:vAlign w:val="center"/>
          </w:tcPr>
          <w:p w14:paraId="0FC079F3">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7.75</w:t>
            </w:r>
          </w:p>
        </w:tc>
        <w:tc>
          <w:tcPr>
            <w:tcW w:w="786" w:type="dxa"/>
            <w:vAlign w:val="center"/>
          </w:tcPr>
          <w:p w14:paraId="661317C5">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12.43</w:t>
            </w:r>
          </w:p>
        </w:tc>
        <w:tc>
          <w:tcPr>
            <w:tcW w:w="787" w:type="dxa"/>
            <w:vAlign w:val="center"/>
          </w:tcPr>
          <w:p w14:paraId="0583DF20">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11.47</w:t>
            </w:r>
          </w:p>
        </w:tc>
        <w:tc>
          <w:tcPr>
            <w:tcW w:w="787" w:type="dxa"/>
            <w:vAlign w:val="center"/>
          </w:tcPr>
          <w:p w14:paraId="2F137A16">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9.93</w:t>
            </w:r>
          </w:p>
        </w:tc>
        <w:tc>
          <w:tcPr>
            <w:tcW w:w="787" w:type="dxa"/>
            <w:vAlign w:val="center"/>
          </w:tcPr>
          <w:p w14:paraId="193F5EF5">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6.25</w:t>
            </w:r>
          </w:p>
        </w:tc>
        <w:tc>
          <w:tcPr>
            <w:tcW w:w="787" w:type="dxa"/>
            <w:vAlign w:val="center"/>
          </w:tcPr>
          <w:p w14:paraId="2F2AA2FD">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5.23</w:t>
            </w:r>
          </w:p>
        </w:tc>
        <w:tc>
          <w:tcPr>
            <w:tcW w:w="787" w:type="dxa"/>
            <w:vAlign w:val="center"/>
          </w:tcPr>
          <w:p w14:paraId="11BB906A">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5.66</w:t>
            </w:r>
          </w:p>
        </w:tc>
        <w:tc>
          <w:tcPr>
            <w:tcW w:w="787" w:type="dxa"/>
            <w:vAlign w:val="center"/>
          </w:tcPr>
          <w:p w14:paraId="639FF771">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6.53</w:t>
            </w:r>
          </w:p>
        </w:tc>
        <w:tc>
          <w:tcPr>
            <w:tcW w:w="787" w:type="dxa"/>
            <w:vAlign w:val="center"/>
          </w:tcPr>
          <w:p w14:paraId="0AE48817">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6.47</w:t>
            </w:r>
          </w:p>
        </w:tc>
        <w:tc>
          <w:tcPr>
            <w:tcW w:w="787" w:type="dxa"/>
            <w:vAlign w:val="center"/>
          </w:tcPr>
          <w:p w14:paraId="7C458C41">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6.11</w:t>
            </w:r>
          </w:p>
        </w:tc>
        <w:tc>
          <w:tcPr>
            <w:tcW w:w="787" w:type="dxa"/>
            <w:vAlign w:val="center"/>
          </w:tcPr>
          <w:p w14:paraId="132298C5">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4.03</w:t>
            </w:r>
          </w:p>
        </w:tc>
        <w:tc>
          <w:tcPr>
            <w:tcW w:w="717" w:type="dxa"/>
            <w:vAlign w:val="center"/>
          </w:tcPr>
          <w:p w14:paraId="314B7A7C">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3.04</w:t>
            </w:r>
          </w:p>
        </w:tc>
        <w:tc>
          <w:tcPr>
            <w:tcW w:w="857" w:type="dxa"/>
            <w:vAlign w:val="center"/>
          </w:tcPr>
          <w:p w14:paraId="37A6B460">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w:t>
            </w:r>
          </w:p>
        </w:tc>
        <w:tc>
          <w:tcPr>
            <w:tcW w:w="787" w:type="dxa"/>
            <w:vAlign w:val="center"/>
          </w:tcPr>
          <w:p w14:paraId="11628BBD">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2.74</w:t>
            </w:r>
          </w:p>
        </w:tc>
        <w:tc>
          <w:tcPr>
            <w:tcW w:w="787" w:type="dxa"/>
            <w:vAlign w:val="center"/>
          </w:tcPr>
          <w:p w14:paraId="0C97825E">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3.16</w:t>
            </w:r>
          </w:p>
        </w:tc>
        <w:tc>
          <w:tcPr>
            <w:tcW w:w="787" w:type="dxa"/>
            <w:vAlign w:val="center"/>
          </w:tcPr>
          <w:p w14:paraId="2B71062C">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2.17</w:t>
            </w:r>
          </w:p>
        </w:tc>
      </w:tr>
      <w:tr w14:paraId="074378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24" w:type="dxa"/>
            <w:vAlign w:val="center"/>
          </w:tcPr>
          <w:p w14:paraId="5AF795C8">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六月</w:t>
            </w:r>
          </w:p>
        </w:tc>
        <w:tc>
          <w:tcPr>
            <w:tcW w:w="648" w:type="dxa"/>
            <w:vAlign w:val="center"/>
          </w:tcPr>
          <w:p w14:paraId="6739F49E">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3.52</w:t>
            </w:r>
          </w:p>
        </w:tc>
        <w:tc>
          <w:tcPr>
            <w:tcW w:w="786" w:type="dxa"/>
            <w:vAlign w:val="center"/>
          </w:tcPr>
          <w:p w14:paraId="356A3EDF">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6.67</w:t>
            </w:r>
          </w:p>
        </w:tc>
        <w:tc>
          <w:tcPr>
            <w:tcW w:w="786" w:type="dxa"/>
            <w:vAlign w:val="center"/>
          </w:tcPr>
          <w:p w14:paraId="47FAB2F3">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11.83</w:t>
            </w:r>
          </w:p>
        </w:tc>
        <w:tc>
          <w:tcPr>
            <w:tcW w:w="787" w:type="dxa"/>
            <w:vAlign w:val="center"/>
          </w:tcPr>
          <w:p w14:paraId="77AFE81E">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14.37</w:t>
            </w:r>
          </w:p>
        </w:tc>
        <w:tc>
          <w:tcPr>
            <w:tcW w:w="787" w:type="dxa"/>
            <w:vAlign w:val="center"/>
          </w:tcPr>
          <w:p w14:paraId="3268D0EB">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12.84</w:t>
            </w:r>
          </w:p>
        </w:tc>
        <w:tc>
          <w:tcPr>
            <w:tcW w:w="787" w:type="dxa"/>
            <w:vAlign w:val="center"/>
          </w:tcPr>
          <w:p w14:paraId="7A239152">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8.25</w:t>
            </w:r>
          </w:p>
        </w:tc>
        <w:tc>
          <w:tcPr>
            <w:tcW w:w="787" w:type="dxa"/>
            <w:vAlign w:val="center"/>
          </w:tcPr>
          <w:p w14:paraId="418B01B5">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6.29</w:t>
            </w:r>
          </w:p>
        </w:tc>
        <w:tc>
          <w:tcPr>
            <w:tcW w:w="787" w:type="dxa"/>
            <w:vAlign w:val="center"/>
          </w:tcPr>
          <w:p w14:paraId="0CCD4D9B">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5.23</w:t>
            </w:r>
          </w:p>
        </w:tc>
        <w:tc>
          <w:tcPr>
            <w:tcW w:w="787" w:type="dxa"/>
            <w:vAlign w:val="center"/>
          </w:tcPr>
          <w:p w14:paraId="3B26E669">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6.02</w:t>
            </w:r>
          </w:p>
        </w:tc>
        <w:tc>
          <w:tcPr>
            <w:tcW w:w="787" w:type="dxa"/>
            <w:vAlign w:val="center"/>
          </w:tcPr>
          <w:p w14:paraId="5E621F56">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5.49</w:t>
            </w:r>
          </w:p>
        </w:tc>
        <w:tc>
          <w:tcPr>
            <w:tcW w:w="787" w:type="dxa"/>
            <w:vAlign w:val="center"/>
          </w:tcPr>
          <w:p w14:paraId="7559143C">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5.23</w:t>
            </w:r>
          </w:p>
        </w:tc>
        <w:tc>
          <w:tcPr>
            <w:tcW w:w="787" w:type="dxa"/>
            <w:vAlign w:val="center"/>
          </w:tcPr>
          <w:p w14:paraId="756A3482">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3.32</w:t>
            </w:r>
          </w:p>
        </w:tc>
        <w:tc>
          <w:tcPr>
            <w:tcW w:w="717" w:type="dxa"/>
            <w:vAlign w:val="center"/>
          </w:tcPr>
          <w:p w14:paraId="066D6307">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2.39</w:t>
            </w:r>
          </w:p>
        </w:tc>
        <w:tc>
          <w:tcPr>
            <w:tcW w:w="857" w:type="dxa"/>
            <w:vAlign w:val="center"/>
          </w:tcPr>
          <w:p w14:paraId="2D7CCA80">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2.45</w:t>
            </w:r>
          </w:p>
        </w:tc>
        <w:tc>
          <w:tcPr>
            <w:tcW w:w="787" w:type="dxa"/>
            <w:vAlign w:val="center"/>
          </w:tcPr>
          <w:p w14:paraId="27716ADE">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2.24</w:t>
            </w:r>
          </w:p>
        </w:tc>
        <w:tc>
          <w:tcPr>
            <w:tcW w:w="787" w:type="dxa"/>
            <w:vAlign w:val="center"/>
          </w:tcPr>
          <w:p w14:paraId="451D7C5F">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2.63</w:t>
            </w:r>
          </w:p>
        </w:tc>
        <w:tc>
          <w:tcPr>
            <w:tcW w:w="787" w:type="dxa"/>
            <w:vAlign w:val="center"/>
          </w:tcPr>
          <w:p w14:paraId="17392B6B">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1.69</w:t>
            </w:r>
          </w:p>
        </w:tc>
      </w:tr>
      <w:tr w14:paraId="2F11C9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24" w:type="dxa"/>
            <w:vAlign w:val="center"/>
          </w:tcPr>
          <w:p w14:paraId="427B044F">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七月</w:t>
            </w:r>
          </w:p>
        </w:tc>
        <w:tc>
          <w:tcPr>
            <w:tcW w:w="648" w:type="dxa"/>
            <w:vAlign w:val="center"/>
          </w:tcPr>
          <w:p w14:paraId="04611FE6">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3.7</w:t>
            </w:r>
          </w:p>
        </w:tc>
        <w:tc>
          <w:tcPr>
            <w:tcW w:w="786" w:type="dxa"/>
            <w:vAlign w:val="center"/>
          </w:tcPr>
          <w:p w14:paraId="1D115BD3">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6.76</w:t>
            </w:r>
          </w:p>
        </w:tc>
        <w:tc>
          <w:tcPr>
            <w:tcW w:w="786" w:type="dxa"/>
            <w:vAlign w:val="center"/>
          </w:tcPr>
          <w:p w14:paraId="3DFC7A01">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10.55</w:t>
            </w:r>
          </w:p>
        </w:tc>
        <w:tc>
          <w:tcPr>
            <w:tcW w:w="787" w:type="dxa"/>
            <w:vAlign w:val="center"/>
          </w:tcPr>
          <w:p w14:paraId="19E155BA">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11.73</w:t>
            </w:r>
          </w:p>
        </w:tc>
        <w:tc>
          <w:tcPr>
            <w:tcW w:w="787" w:type="dxa"/>
            <w:vAlign w:val="center"/>
          </w:tcPr>
          <w:p w14:paraId="74A2807B">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12.61</w:t>
            </w:r>
          </w:p>
        </w:tc>
        <w:tc>
          <w:tcPr>
            <w:tcW w:w="787" w:type="dxa"/>
            <w:vAlign w:val="center"/>
          </w:tcPr>
          <w:p w14:paraId="1927EC91">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7.33</w:t>
            </w:r>
          </w:p>
        </w:tc>
        <w:tc>
          <w:tcPr>
            <w:tcW w:w="787" w:type="dxa"/>
            <w:vAlign w:val="center"/>
          </w:tcPr>
          <w:p w14:paraId="2BAB3026">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6.29</w:t>
            </w:r>
          </w:p>
        </w:tc>
        <w:tc>
          <w:tcPr>
            <w:tcW w:w="787" w:type="dxa"/>
            <w:vAlign w:val="center"/>
          </w:tcPr>
          <w:p w14:paraId="6162E17E">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7.67</w:t>
            </w:r>
          </w:p>
        </w:tc>
        <w:tc>
          <w:tcPr>
            <w:tcW w:w="787" w:type="dxa"/>
            <w:vAlign w:val="center"/>
          </w:tcPr>
          <w:p w14:paraId="297187C0">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7.68</w:t>
            </w:r>
          </w:p>
        </w:tc>
        <w:tc>
          <w:tcPr>
            <w:tcW w:w="787" w:type="dxa"/>
            <w:vAlign w:val="center"/>
          </w:tcPr>
          <w:p w14:paraId="03719696">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6.01</w:t>
            </w:r>
          </w:p>
        </w:tc>
        <w:tc>
          <w:tcPr>
            <w:tcW w:w="787" w:type="dxa"/>
            <w:vAlign w:val="center"/>
          </w:tcPr>
          <w:p w14:paraId="37AAB70F">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6.26</w:t>
            </w:r>
          </w:p>
        </w:tc>
        <w:tc>
          <w:tcPr>
            <w:tcW w:w="787" w:type="dxa"/>
            <w:vAlign w:val="center"/>
          </w:tcPr>
          <w:p w14:paraId="2B3D87A1">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3.6</w:t>
            </w:r>
          </w:p>
        </w:tc>
        <w:tc>
          <w:tcPr>
            <w:tcW w:w="717" w:type="dxa"/>
            <w:vAlign w:val="center"/>
          </w:tcPr>
          <w:p w14:paraId="7288E268">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2.17</w:t>
            </w:r>
          </w:p>
        </w:tc>
        <w:tc>
          <w:tcPr>
            <w:tcW w:w="857" w:type="dxa"/>
            <w:vAlign w:val="center"/>
          </w:tcPr>
          <w:p w14:paraId="0862B575">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2.06</w:t>
            </w:r>
          </w:p>
        </w:tc>
        <w:tc>
          <w:tcPr>
            <w:tcW w:w="787" w:type="dxa"/>
            <w:vAlign w:val="center"/>
          </w:tcPr>
          <w:p w14:paraId="4DD7FEC7">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1.9</w:t>
            </w:r>
          </w:p>
        </w:tc>
        <w:tc>
          <w:tcPr>
            <w:tcW w:w="787" w:type="dxa"/>
            <w:vAlign w:val="center"/>
          </w:tcPr>
          <w:p w14:paraId="7255F7C0">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2.25</w:t>
            </w:r>
          </w:p>
        </w:tc>
        <w:tc>
          <w:tcPr>
            <w:tcW w:w="787" w:type="dxa"/>
            <w:vAlign w:val="center"/>
          </w:tcPr>
          <w:p w14:paraId="670E6A52">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1.98</w:t>
            </w:r>
          </w:p>
        </w:tc>
      </w:tr>
      <w:tr w14:paraId="6D6A1E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24" w:type="dxa"/>
            <w:vAlign w:val="center"/>
          </w:tcPr>
          <w:p w14:paraId="5869E557">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八月</w:t>
            </w:r>
          </w:p>
        </w:tc>
        <w:tc>
          <w:tcPr>
            <w:tcW w:w="648" w:type="dxa"/>
            <w:vAlign w:val="center"/>
          </w:tcPr>
          <w:p w14:paraId="71902D05">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5.15</w:t>
            </w:r>
          </w:p>
        </w:tc>
        <w:tc>
          <w:tcPr>
            <w:tcW w:w="786" w:type="dxa"/>
            <w:vAlign w:val="center"/>
          </w:tcPr>
          <w:p w14:paraId="431C00AB">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9.56</w:t>
            </w:r>
          </w:p>
        </w:tc>
        <w:tc>
          <w:tcPr>
            <w:tcW w:w="786" w:type="dxa"/>
            <w:vAlign w:val="center"/>
          </w:tcPr>
          <w:p w14:paraId="245270AC">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14.3</w:t>
            </w:r>
          </w:p>
        </w:tc>
        <w:tc>
          <w:tcPr>
            <w:tcW w:w="787" w:type="dxa"/>
            <w:vAlign w:val="center"/>
          </w:tcPr>
          <w:p w14:paraId="09B93414">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12.51</w:t>
            </w:r>
          </w:p>
        </w:tc>
        <w:tc>
          <w:tcPr>
            <w:tcW w:w="787" w:type="dxa"/>
            <w:vAlign w:val="center"/>
          </w:tcPr>
          <w:p w14:paraId="210FA295">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11.16</w:t>
            </w:r>
          </w:p>
        </w:tc>
        <w:tc>
          <w:tcPr>
            <w:tcW w:w="787" w:type="dxa"/>
            <w:vAlign w:val="center"/>
          </w:tcPr>
          <w:p w14:paraId="6FDCF442">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5.52</w:t>
            </w:r>
          </w:p>
        </w:tc>
        <w:tc>
          <w:tcPr>
            <w:tcW w:w="787" w:type="dxa"/>
            <w:vAlign w:val="center"/>
          </w:tcPr>
          <w:p w14:paraId="0A9388C8">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4.14</w:t>
            </w:r>
          </w:p>
        </w:tc>
        <w:tc>
          <w:tcPr>
            <w:tcW w:w="787" w:type="dxa"/>
            <w:vAlign w:val="center"/>
          </w:tcPr>
          <w:p w14:paraId="58F31D6C">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4.38</w:t>
            </w:r>
          </w:p>
        </w:tc>
        <w:tc>
          <w:tcPr>
            <w:tcW w:w="787" w:type="dxa"/>
            <w:vAlign w:val="center"/>
          </w:tcPr>
          <w:p w14:paraId="01BC9DFE">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5.07</w:t>
            </w:r>
          </w:p>
        </w:tc>
        <w:tc>
          <w:tcPr>
            <w:tcW w:w="787" w:type="dxa"/>
            <w:vAlign w:val="center"/>
          </w:tcPr>
          <w:p w14:paraId="3C05C003">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4.59</w:t>
            </w:r>
          </w:p>
        </w:tc>
        <w:tc>
          <w:tcPr>
            <w:tcW w:w="787" w:type="dxa"/>
            <w:vAlign w:val="center"/>
          </w:tcPr>
          <w:p w14:paraId="43A40969">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5.69</w:t>
            </w:r>
          </w:p>
        </w:tc>
        <w:tc>
          <w:tcPr>
            <w:tcW w:w="787" w:type="dxa"/>
            <w:vAlign w:val="center"/>
          </w:tcPr>
          <w:p w14:paraId="0709D538">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3.68</w:t>
            </w:r>
          </w:p>
        </w:tc>
        <w:tc>
          <w:tcPr>
            <w:tcW w:w="717" w:type="dxa"/>
            <w:vAlign w:val="center"/>
          </w:tcPr>
          <w:p w14:paraId="1F45712E">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2.83</w:t>
            </w:r>
          </w:p>
        </w:tc>
        <w:tc>
          <w:tcPr>
            <w:tcW w:w="857" w:type="dxa"/>
            <w:vAlign w:val="center"/>
          </w:tcPr>
          <w:p w14:paraId="4613AF27">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2.41</w:t>
            </w:r>
          </w:p>
        </w:tc>
        <w:tc>
          <w:tcPr>
            <w:tcW w:w="787" w:type="dxa"/>
            <w:vAlign w:val="center"/>
          </w:tcPr>
          <w:p w14:paraId="7C3342E8">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3.04</w:t>
            </w:r>
          </w:p>
        </w:tc>
        <w:tc>
          <w:tcPr>
            <w:tcW w:w="787" w:type="dxa"/>
            <w:vAlign w:val="center"/>
          </w:tcPr>
          <w:p w14:paraId="559AB305">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4.18</w:t>
            </w:r>
          </w:p>
        </w:tc>
        <w:tc>
          <w:tcPr>
            <w:tcW w:w="787" w:type="dxa"/>
            <w:vAlign w:val="center"/>
          </w:tcPr>
          <w:p w14:paraId="2AD2A0A8">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2.19</w:t>
            </w:r>
          </w:p>
        </w:tc>
      </w:tr>
      <w:tr w14:paraId="628D7A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24" w:type="dxa"/>
            <w:vAlign w:val="center"/>
          </w:tcPr>
          <w:p w14:paraId="1B28B8C8">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九月</w:t>
            </w:r>
          </w:p>
        </w:tc>
        <w:tc>
          <w:tcPr>
            <w:tcW w:w="648" w:type="dxa"/>
            <w:vAlign w:val="center"/>
          </w:tcPr>
          <w:p w14:paraId="04459EF6">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5.54</w:t>
            </w:r>
          </w:p>
        </w:tc>
        <w:tc>
          <w:tcPr>
            <w:tcW w:w="786" w:type="dxa"/>
            <w:vAlign w:val="center"/>
          </w:tcPr>
          <w:p w14:paraId="7DEFEFB9">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10.61</w:t>
            </w:r>
          </w:p>
        </w:tc>
        <w:tc>
          <w:tcPr>
            <w:tcW w:w="786" w:type="dxa"/>
            <w:vAlign w:val="center"/>
          </w:tcPr>
          <w:p w14:paraId="78CC7A6C">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17.61</w:t>
            </w:r>
          </w:p>
        </w:tc>
        <w:tc>
          <w:tcPr>
            <w:tcW w:w="787" w:type="dxa"/>
            <w:vAlign w:val="center"/>
          </w:tcPr>
          <w:p w14:paraId="578188EE">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15.44</w:t>
            </w:r>
          </w:p>
        </w:tc>
        <w:tc>
          <w:tcPr>
            <w:tcW w:w="787" w:type="dxa"/>
            <w:vAlign w:val="center"/>
          </w:tcPr>
          <w:p w14:paraId="1F6EEA81">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9.24</w:t>
            </w:r>
          </w:p>
        </w:tc>
        <w:tc>
          <w:tcPr>
            <w:tcW w:w="787" w:type="dxa"/>
            <w:vAlign w:val="center"/>
          </w:tcPr>
          <w:p w14:paraId="7D271ABF">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4.67</w:t>
            </w:r>
          </w:p>
        </w:tc>
        <w:tc>
          <w:tcPr>
            <w:tcW w:w="787" w:type="dxa"/>
            <w:vAlign w:val="center"/>
          </w:tcPr>
          <w:p w14:paraId="603A00F4">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3.16</w:t>
            </w:r>
          </w:p>
        </w:tc>
        <w:tc>
          <w:tcPr>
            <w:tcW w:w="787" w:type="dxa"/>
            <w:vAlign w:val="center"/>
          </w:tcPr>
          <w:p w14:paraId="2C437C50">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2.75</w:t>
            </w:r>
          </w:p>
        </w:tc>
        <w:tc>
          <w:tcPr>
            <w:tcW w:w="787" w:type="dxa"/>
            <w:vAlign w:val="center"/>
          </w:tcPr>
          <w:p w14:paraId="3404E394">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3.01</w:t>
            </w:r>
          </w:p>
        </w:tc>
        <w:tc>
          <w:tcPr>
            <w:tcW w:w="787" w:type="dxa"/>
            <w:vAlign w:val="center"/>
          </w:tcPr>
          <w:p w14:paraId="3A9B686D">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3.66</w:t>
            </w:r>
          </w:p>
        </w:tc>
        <w:tc>
          <w:tcPr>
            <w:tcW w:w="787" w:type="dxa"/>
            <w:vAlign w:val="center"/>
          </w:tcPr>
          <w:p w14:paraId="7701F842">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4.88</w:t>
            </w:r>
          </w:p>
        </w:tc>
        <w:tc>
          <w:tcPr>
            <w:tcW w:w="787" w:type="dxa"/>
            <w:vAlign w:val="center"/>
          </w:tcPr>
          <w:p w14:paraId="219DF3F0">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3.66</w:t>
            </w:r>
          </w:p>
        </w:tc>
        <w:tc>
          <w:tcPr>
            <w:tcW w:w="717" w:type="dxa"/>
            <w:vAlign w:val="center"/>
          </w:tcPr>
          <w:p w14:paraId="43A410AF">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2.9</w:t>
            </w:r>
          </w:p>
        </w:tc>
        <w:tc>
          <w:tcPr>
            <w:tcW w:w="857" w:type="dxa"/>
            <w:vAlign w:val="center"/>
          </w:tcPr>
          <w:p w14:paraId="0820E2E4">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2.83</w:t>
            </w:r>
          </w:p>
        </w:tc>
        <w:tc>
          <w:tcPr>
            <w:tcW w:w="787" w:type="dxa"/>
            <w:vAlign w:val="center"/>
          </w:tcPr>
          <w:p w14:paraId="70AD0C15">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3.29</w:t>
            </w:r>
          </w:p>
        </w:tc>
        <w:tc>
          <w:tcPr>
            <w:tcW w:w="787" w:type="dxa"/>
            <w:vAlign w:val="center"/>
          </w:tcPr>
          <w:p w14:paraId="39B577DE">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4.46</w:t>
            </w:r>
          </w:p>
        </w:tc>
        <w:tc>
          <w:tcPr>
            <w:tcW w:w="787" w:type="dxa"/>
            <w:vAlign w:val="center"/>
          </w:tcPr>
          <w:p w14:paraId="01C44B68">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2.68</w:t>
            </w:r>
          </w:p>
        </w:tc>
      </w:tr>
      <w:tr w14:paraId="1AE579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24" w:type="dxa"/>
            <w:vAlign w:val="center"/>
          </w:tcPr>
          <w:p w14:paraId="689D5593">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十月</w:t>
            </w:r>
          </w:p>
        </w:tc>
        <w:tc>
          <w:tcPr>
            <w:tcW w:w="648" w:type="dxa"/>
            <w:vAlign w:val="center"/>
          </w:tcPr>
          <w:p w14:paraId="76E8D3EC">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5.67</w:t>
            </w:r>
          </w:p>
        </w:tc>
        <w:tc>
          <w:tcPr>
            <w:tcW w:w="786" w:type="dxa"/>
            <w:vAlign w:val="center"/>
          </w:tcPr>
          <w:p w14:paraId="5D16F7AC">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11.61</w:t>
            </w:r>
          </w:p>
        </w:tc>
        <w:tc>
          <w:tcPr>
            <w:tcW w:w="786" w:type="dxa"/>
            <w:vAlign w:val="center"/>
          </w:tcPr>
          <w:p w14:paraId="552873E6">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17.33</w:t>
            </w:r>
          </w:p>
        </w:tc>
        <w:tc>
          <w:tcPr>
            <w:tcW w:w="787" w:type="dxa"/>
            <w:vAlign w:val="center"/>
          </w:tcPr>
          <w:p w14:paraId="0BF32669">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13.69</w:t>
            </w:r>
          </w:p>
        </w:tc>
        <w:tc>
          <w:tcPr>
            <w:tcW w:w="787" w:type="dxa"/>
            <w:vAlign w:val="center"/>
          </w:tcPr>
          <w:p w14:paraId="0A15342F">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9.33</w:t>
            </w:r>
          </w:p>
        </w:tc>
        <w:tc>
          <w:tcPr>
            <w:tcW w:w="787" w:type="dxa"/>
            <w:vAlign w:val="center"/>
          </w:tcPr>
          <w:p w14:paraId="6A7F9EBA">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5.33</w:t>
            </w:r>
          </w:p>
        </w:tc>
        <w:tc>
          <w:tcPr>
            <w:tcW w:w="787" w:type="dxa"/>
            <w:vAlign w:val="center"/>
          </w:tcPr>
          <w:p w14:paraId="3CF9337E">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3.23</w:t>
            </w:r>
          </w:p>
        </w:tc>
        <w:tc>
          <w:tcPr>
            <w:tcW w:w="787" w:type="dxa"/>
            <w:vAlign w:val="center"/>
          </w:tcPr>
          <w:p w14:paraId="3F392E28">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3.13</w:t>
            </w:r>
          </w:p>
        </w:tc>
        <w:tc>
          <w:tcPr>
            <w:tcW w:w="787" w:type="dxa"/>
            <w:vAlign w:val="center"/>
          </w:tcPr>
          <w:p w14:paraId="0FAC9604">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3.42</w:t>
            </w:r>
          </w:p>
        </w:tc>
        <w:tc>
          <w:tcPr>
            <w:tcW w:w="787" w:type="dxa"/>
            <w:vAlign w:val="center"/>
          </w:tcPr>
          <w:p w14:paraId="6B03D6FD">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4.01</w:t>
            </w:r>
          </w:p>
        </w:tc>
        <w:tc>
          <w:tcPr>
            <w:tcW w:w="787" w:type="dxa"/>
            <w:vAlign w:val="center"/>
          </w:tcPr>
          <w:p w14:paraId="0D5BA951">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4.74</w:t>
            </w:r>
          </w:p>
        </w:tc>
        <w:tc>
          <w:tcPr>
            <w:tcW w:w="787" w:type="dxa"/>
            <w:vAlign w:val="center"/>
          </w:tcPr>
          <w:p w14:paraId="107B3037">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3.4</w:t>
            </w:r>
          </w:p>
        </w:tc>
        <w:tc>
          <w:tcPr>
            <w:tcW w:w="717" w:type="dxa"/>
            <w:vAlign w:val="center"/>
          </w:tcPr>
          <w:p w14:paraId="60F572C3">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2.89</w:t>
            </w:r>
          </w:p>
        </w:tc>
        <w:tc>
          <w:tcPr>
            <w:tcW w:w="857" w:type="dxa"/>
            <w:vAlign w:val="center"/>
          </w:tcPr>
          <w:p w14:paraId="4340994D">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2.81</w:t>
            </w:r>
          </w:p>
        </w:tc>
        <w:tc>
          <w:tcPr>
            <w:tcW w:w="787" w:type="dxa"/>
            <w:vAlign w:val="center"/>
          </w:tcPr>
          <w:p w14:paraId="2045FF7C">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2.82</w:t>
            </w:r>
          </w:p>
        </w:tc>
        <w:tc>
          <w:tcPr>
            <w:tcW w:w="787" w:type="dxa"/>
            <w:vAlign w:val="center"/>
          </w:tcPr>
          <w:p w14:paraId="3866E9BA">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w:t>
            </w:r>
          </w:p>
        </w:tc>
        <w:tc>
          <w:tcPr>
            <w:tcW w:w="787" w:type="dxa"/>
            <w:vAlign w:val="center"/>
          </w:tcPr>
          <w:p w14:paraId="5F214874">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3.1</w:t>
            </w:r>
          </w:p>
        </w:tc>
      </w:tr>
      <w:tr w14:paraId="45E6E0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24" w:type="dxa"/>
            <w:vAlign w:val="center"/>
          </w:tcPr>
          <w:p w14:paraId="707B0059">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十一月</w:t>
            </w:r>
          </w:p>
        </w:tc>
        <w:tc>
          <w:tcPr>
            <w:tcW w:w="648" w:type="dxa"/>
            <w:vAlign w:val="center"/>
          </w:tcPr>
          <w:p w14:paraId="39C9503E">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6.43</w:t>
            </w:r>
          </w:p>
        </w:tc>
        <w:tc>
          <w:tcPr>
            <w:tcW w:w="786" w:type="dxa"/>
            <w:vAlign w:val="center"/>
          </w:tcPr>
          <w:p w14:paraId="7B182260">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10.5</w:t>
            </w:r>
          </w:p>
        </w:tc>
        <w:tc>
          <w:tcPr>
            <w:tcW w:w="786" w:type="dxa"/>
            <w:vAlign w:val="center"/>
          </w:tcPr>
          <w:p w14:paraId="67EBC47E">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14.35</w:t>
            </w:r>
          </w:p>
        </w:tc>
        <w:tc>
          <w:tcPr>
            <w:tcW w:w="787" w:type="dxa"/>
            <w:vAlign w:val="center"/>
          </w:tcPr>
          <w:p w14:paraId="5ADE0D48">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11.87</w:t>
            </w:r>
          </w:p>
        </w:tc>
        <w:tc>
          <w:tcPr>
            <w:tcW w:w="787" w:type="dxa"/>
            <w:vAlign w:val="center"/>
          </w:tcPr>
          <w:p w14:paraId="13B0787F">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7.23</w:t>
            </w:r>
          </w:p>
        </w:tc>
        <w:tc>
          <w:tcPr>
            <w:tcW w:w="787" w:type="dxa"/>
            <w:vAlign w:val="center"/>
          </w:tcPr>
          <w:p w14:paraId="740B64D8">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4.49</w:t>
            </w:r>
          </w:p>
        </w:tc>
        <w:tc>
          <w:tcPr>
            <w:tcW w:w="787" w:type="dxa"/>
            <w:vAlign w:val="center"/>
          </w:tcPr>
          <w:p w14:paraId="7428A1F6">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3.22</w:t>
            </w:r>
          </w:p>
        </w:tc>
        <w:tc>
          <w:tcPr>
            <w:tcW w:w="787" w:type="dxa"/>
            <w:vAlign w:val="center"/>
          </w:tcPr>
          <w:p w14:paraId="55DA3EFF">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3.42</w:t>
            </w:r>
          </w:p>
        </w:tc>
        <w:tc>
          <w:tcPr>
            <w:tcW w:w="787" w:type="dxa"/>
            <w:vAlign w:val="center"/>
          </w:tcPr>
          <w:p w14:paraId="30AF9461">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4.26</w:t>
            </w:r>
          </w:p>
        </w:tc>
        <w:tc>
          <w:tcPr>
            <w:tcW w:w="787" w:type="dxa"/>
            <w:vAlign w:val="center"/>
          </w:tcPr>
          <w:p w14:paraId="5ADC1B9D">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4.71</w:t>
            </w:r>
          </w:p>
        </w:tc>
        <w:tc>
          <w:tcPr>
            <w:tcW w:w="787" w:type="dxa"/>
            <w:vAlign w:val="center"/>
          </w:tcPr>
          <w:p w14:paraId="491C2FB9">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6.13</w:t>
            </w:r>
          </w:p>
        </w:tc>
        <w:tc>
          <w:tcPr>
            <w:tcW w:w="787" w:type="dxa"/>
            <w:vAlign w:val="center"/>
          </w:tcPr>
          <w:p w14:paraId="595FB64E">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4.38</w:t>
            </w:r>
          </w:p>
        </w:tc>
        <w:tc>
          <w:tcPr>
            <w:tcW w:w="717" w:type="dxa"/>
            <w:vAlign w:val="center"/>
          </w:tcPr>
          <w:p w14:paraId="47E1AFF8">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4.04</w:t>
            </w:r>
          </w:p>
        </w:tc>
        <w:tc>
          <w:tcPr>
            <w:tcW w:w="857" w:type="dxa"/>
            <w:vAlign w:val="center"/>
          </w:tcPr>
          <w:p w14:paraId="38288A92">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3.72</w:t>
            </w:r>
          </w:p>
        </w:tc>
        <w:tc>
          <w:tcPr>
            <w:tcW w:w="787" w:type="dxa"/>
            <w:vAlign w:val="center"/>
          </w:tcPr>
          <w:p w14:paraId="0658D5D7">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3.7</w:t>
            </w:r>
          </w:p>
        </w:tc>
        <w:tc>
          <w:tcPr>
            <w:tcW w:w="787" w:type="dxa"/>
            <w:vAlign w:val="center"/>
          </w:tcPr>
          <w:p w14:paraId="19104192">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5.02</w:t>
            </w:r>
          </w:p>
        </w:tc>
        <w:tc>
          <w:tcPr>
            <w:tcW w:w="787" w:type="dxa"/>
            <w:vAlign w:val="center"/>
          </w:tcPr>
          <w:p w14:paraId="1FB034D0">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2.95</w:t>
            </w:r>
          </w:p>
        </w:tc>
      </w:tr>
      <w:tr w14:paraId="3194BF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24" w:type="dxa"/>
            <w:vAlign w:val="center"/>
          </w:tcPr>
          <w:p w14:paraId="455014B4">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十二月</w:t>
            </w:r>
          </w:p>
        </w:tc>
        <w:tc>
          <w:tcPr>
            <w:tcW w:w="648" w:type="dxa"/>
            <w:vAlign w:val="center"/>
          </w:tcPr>
          <w:p w14:paraId="2C371C1A">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6.19</w:t>
            </w:r>
          </w:p>
        </w:tc>
        <w:tc>
          <w:tcPr>
            <w:tcW w:w="786" w:type="dxa"/>
            <w:vAlign w:val="center"/>
          </w:tcPr>
          <w:p w14:paraId="593DDBB3">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10.25</w:t>
            </w:r>
          </w:p>
        </w:tc>
        <w:tc>
          <w:tcPr>
            <w:tcW w:w="786" w:type="dxa"/>
            <w:vAlign w:val="center"/>
          </w:tcPr>
          <w:p w14:paraId="35223C18">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13.02</w:t>
            </w:r>
          </w:p>
        </w:tc>
        <w:tc>
          <w:tcPr>
            <w:tcW w:w="787" w:type="dxa"/>
            <w:vAlign w:val="center"/>
          </w:tcPr>
          <w:p w14:paraId="7D6824EE">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9.67</w:t>
            </w:r>
          </w:p>
        </w:tc>
        <w:tc>
          <w:tcPr>
            <w:tcW w:w="787" w:type="dxa"/>
            <w:vAlign w:val="center"/>
          </w:tcPr>
          <w:p w14:paraId="1F5DB1DA">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6.61</w:t>
            </w:r>
          </w:p>
        </w:tc>
        <w:tc>
          <w:tcPr>
            <w:tcW w:w="787" w:type="dxa"/>
            <w:vAlign w:val="center"/>
          </w:tcPr>
          <w:p w14:paraId="687CC78B">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4.59</w:t>
            </w:r>
          </w:p>
        </w:tc>
        <w:tc>
          <w:tcPr>
            <w:tcW w:w="787" w:type="dxa"/>
            <w:vAlign w:val="center"/>
          </w:tcPr>
          <w:p w14:paraId="1600070D">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3.33</w:t>
            </w:r>
          </w:p>
        </w:tc>
        <w:tc>
          <w:tcPr>
            <w:tcW w:w="787" w:type="dxa"/>
            <w:vAlign w:val="center"/>
          </w:tcPr>
          <w:p w14:paraId="1A1B3240">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3.45</w:t>
            </w:r>
          </w:p>
        </w:tc>
        <w:tc>
          <w:tcPr>
            <w:tcW w:w="787" w:type="dxa"/>
            <w:vAlign w:val="center"/>
          </w:tcPr>
          <w:p w14:paraId="20638164">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4.95</w:t>
            </w:r>
          </w:p>
        </w:tc>
        <w:tc>
          <w:tcPr>
            <w:tcW w:w="787" w:type="dxa"/>
            <w:vAlign w:val="center"/>
          </w:tcPr>
          <w:p w14:paraId="24679F63">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5.41</w:t>
            </w:r>
          </w:p>
        </w:tc>
        <w:tc>
          <w:tcPr>
            <w:tcW w:w="787" w:type="dxa"/>
            <w:vAlign w:val="center"/>
          </w:tcPr>
          <w:p w14:paraId="365A6C70">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6.19</w:t>
            </w:r>
          </w:p>
        </w:tc>
        <w:tc>
          <w:tcPr>
            <w:tcW w:w="787" w:type="dxa"/>
            <w:vAlign w:val="center"/>
          </w:tcPr>
          <w:p w14:paraId="45FEC580">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5.2</w:t>
            </w:r>
          </w:p>
        </w:tc>
        <w:tc>
          <w:tcPr>
            <w:tcW w:w="717" w:type="dxa"/>
            <w:vAlign w:val="center"/>
          </w:tcPr>
          <w:p w14:paraId="59EB9DE9">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4.49</w:t>
            </w:r>
          </w:p>
        </w:tc>
        <w:tc>
          <w:tcPr>
            <w:tcW w:w="857" w:type="dxa"/>
            <w:vAlign w:val="center"/>
          </w:tcPr>
          <w:p w14:paraId="3F15C864">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4.57</w:t>
            </w:r>
          </w:p>
        </w:tc>
        <w:tc>
          <w:tcPr>
            <w:tcW w:w="787" w:type="dxa"/>
            <w:vAlign w:val="center"/>
          </w:tcPr>
          <w:p w14:paraId="41B56883">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4.32</w:t>
            </w:r>
          </w:p>
        </w:tc>
        <w:tc>
          <w:tcPr>
            <w:tcW w:w="787" w:type="dxa"/>
            <w:vAlign w:val="center"/>
          </w:tcPr>
          <w:p w14:paraId="67774EAB">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4.89</w:t>
            </w:r>
          </w:p>
        </w:tc>
        <w:tc>
          <w:tcPr>
            <w:tcW w:w="787" w:type="dxa"/>
            <w:vAlign w:val="center"/>
          </w:tcPr>
          <w:p w14:paraId="6711D13B">
            <w:pPr>
              <w:adjustRightInd w:val="0"/>
              <w:snapToGrid w:val="0"/>
              <w:jc w:val="center"/>
              <w:textAlignment w:val="center"/>
              <w:rPr>
                <w:rFonts w:ascii="Times New Roman" w:hAnsi="Times New Roman" w:cs="Times New Roman"/>
                <w:sz w:val="21"/>
                <w:lang w:eastAsia="zh-CN"/>
              </w:rPr>
            </w:pPr>
            <w:r>
              <w:rPr>
                <w:rFonts w:ascii="Times New Roman" w:hAnsi="Times New Roman" w:cs="Times New Roman"/>
                <w:spacing w:val="-2"/>
                <w:sz w:val="21"/>
                <w:lang w:eastAsia="zh-CN" w:bidi="ar"/>
              </w:rPr>
              <w:t>3.21</w:t>
            </w:r>
          </w:p>
        </w:tc>
      </w:tr>
      <w:tr w14:paraId="5ED7F7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24" w:type="dxa"/>
            <w:vAlign w:val="center"/>
          </w:tcPr>
          <w:p w14:paraId="32907B2A">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春季</w:t>
            </w:r>
          </w:p>
        </w:tc>
        <w:tc>
          <w:tcPr>
            <w:tcW w:w="648" w:type="dxa"/>
            <w:vAlign w:val="center"/>
          </w:tcPr>
          <w:p w14:paraId="6BD1CED9">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4.69</w:t>
            </w:r>
          </w:p>
        </w:tc>
        <w:tc>
          <w:tcPr>
            <w:tcW w:w="786" w:type="dxa"/>
            <w:vAlign w:val="center"/>
          </w:tcPr>
          <w:p w14:paraId="6AF95DCE">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9.05</w:t>
            </w:r>
          </w:p>
        </w:tc>
        <w:tc>
          <w:tcPr>
            <w:tcW w:w="786" w:type="dxa"/>
            <w:vAlign w:val="center"/>
          </w:tcPr>
          <w:p w14:paraId="7B909527">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13.13</w:t>
            </w:r>
          </w:p>
        </w:tc>
        <w:tc>
          <w:tcPr>
            <w:tcW w:w="787" w:type="dxa"/>
            <w:vAlign w:val="center"/>
          </w:tcPr>
          <w:p w14:paraId="74B6F9F8">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11.97</w:t>
            </w:r>
          </w:p>
        </w:tc>
        <w:tc>
          <w:tcPr>
            <w:tcW w:w="787" w:type="dxa"/>
            <w:vAlign w:val="center"/>
          </w:tcPr>
          <w:p w14:paraId="2AA0823A">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9.36</w:t>
            </w:r>
          </w:p>
        </w:tc>
        <w:tc>
          <w:tcPr>
            <w:tcW w:w="787" w:type="dxa"/>
            <w:vAlign w:val="center"/>
          </w:tcPr>
          <w:p w14:paraId="6AB0AA88">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5.83</w:t>
            </w:r>
          </w:p>
        </w:tc>
        <w:tc>
          <w:tcPr>
            <w:tcW w:w="787" w:type="dxa"/>
            <w:vAlign w:val="center"/>
          </w:tcPr>
          <w:p w14:paraId="168B1DD8">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4.71</w:t>
            </w:r>
          </w:p>
        </w:tc>
        <w:tc>
          <w:tcPr>
            <w:tcW w:w="787" w:type="dxa"/>
            <w:vAlign w:val="center"/>
          </w:tcPr>
          <w:p w14:paraId="7204934D">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5.26</w:t>
            </w:r>
          </w:p>
        </w:tc>
        <w:tc>
          <w:tcPr>
            <w:tcW w:w="787" w:type="dxa"/>
            <w:vAlign w:val="center"/>
          </w:tcPr>
          <w:p w14:paraId="3493D4C7">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6.14</w:t>
            </w:r>
          </w:p>
        </w:tc>
        <w:tc>
          <w:tcPr>
            <w:tcW w:w="787" w:type="dxa"/>
            <w:vAlign w:val="center"/>
          </w:tcPr>
          <w:p w14:paraId="2656AE09">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5.73</w:t>
            </w:r>
          </w:p>
        </w:tc>
        <w:tc>
          <w:tcPr>
            <w:tcW w:w="787" w:type="dxa"/>
            <w:vAlign w:val="center"/>
          </w:tcPr>
          <w:p w14:paraId="665F5DA4">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5.70</w:t>
            </w:r>
          </w:p>
        </w:tc>
        <w:tc>
          <w:tcPr>
            <w:tcW w:w="787" w:type="dxa"/>
            <w:vAlign w:val="center"/>
          </w:tcPr>
          <w:p w14:paraId="73985CA1">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4.07</w:t>
            </w:r>
          </w:p>
        </w:tc>
        <w:tc>
          <w:tcPr>
            <w:tcW w:w="717" w:type="dxa"/>
            <w:vAlign w:val="center"/>
          </w:tcPr>
          <w:p w14:paraId="37267696">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3.1</w:t>
            </w:r>
          </w:p>
        </w:tc>
        <w:tc>
          <w:tcPr>
            <w:tcW w:w="857" w:type="dxa"/>
            <w:vAlign w:val="center"/>
          </w:tcPr>
          <w:p w14:paraId="59A03A1F">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3.15</w:t>
            </w:r>
          </w:p>
        </w:tc>
        <w:tc>
          <w:tcPr>
            <w:tcW w:w="787" w:type="dxa"/>
            <w:vAlign w:val="center"/>
          </w:tcPr>
          <w:p w14:paraId="72E2AB19">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3.04</w:t>
            </w:r>
          </w:p>
        </w:tc>
        <w:tc>
          <w:tcPr>
            <w:tcW w:w="787" w:type="dxa"/>
            <w:vAlign w:val="center"/>
          </w:tcPr>
          <w:p w14:paraId="7CCAD73D">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3.39</w:t>
            </w:r>
          </w:p>
        </w:tc>
        <w:tc>
          <w:tcPr>
            <w:tcW w:w="787" w:type="dxa"/>
            <w:vAlign w:val="center"/>
          </w:tcPr>
          <w:p w14:paraId="0CB0346D">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2.10</w:t>
            </w:r>
          </w:p>
        </w:tc>
      </w:tr>
      <w:tr w14:paraId="154E47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24" w:type="dxa"/>
            <w:vAlign w:val="center"/>
          </w:tcPr>
          <w:p w14:paraId="1E3B71BB">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夏季</w:t>
            </w:r>
          </w:p>
        </w:tc>
        <w:tc>
          <w:tcPr>
            <w:tcW w:w="648" w:type="dxa"/>
            <w:vAlign w:val="center"/>
          </w:tcPr>
          <w:p w14:paraId="6986CCB3">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4.12</w:t>
            </w:r>
          </w:p>
        </w:tc>
        <w:tc>
          <w:tcPr>
            <w:tcW w:w="786" w:type="dxa"/>
            <w:vAlign w:val="center"/>
          </w:tcPr>
          <w:p w14:paraId="7367F0F3">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7.66</w:t>
            </w:r>
          </w:p>
        </w:tc>
        <w:tc>
          <w:tcPr>
            <w:tcW w:w="786" w:type="dxa"/>
            <w:vAlign w:val="center"/>
          </w:tcPr>
          <w:p w14:paraId="75939921">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12.23</w:t>
            </w:r>
          </w:p>
        </w:tc>
        <w:tc>
          <w:tcPr>
            <w:tcW w:w="787" w:type="dxa"/>
            <w:vAlign w:val="center"/>
          </w:tcPr>
          <w:p w14:paraId="3A6674C2">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12.87</w:t>
            </w:r>
          </w:p>
        </w:tc>
        <w:tc>
          <w:tcPr>
            <w:tcW w:w="787" w:type="dxa"/>
            <w:vAlign w:val="center"/>
          </w:tcPr>
          <w:p w14:paraId="079A145E">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12.20</w:t>
            </w:r>
          </w:p>
        </w:tc>
        <w:tc>
          <w:tcPr>
            <w:tcW w:w="787" w:type="dxa"/>
            <w:vAlign w:val="center"/>
          </w:tcPr>
          <w:p w14:paraId="3D0BFE1D">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7.03</w:t>
            </w:r>
          </w:p>
        </w:tc>
        <w:tc>
          <w:tcPr>
            <w:tcW w:w="787" w:type="dxa"/>
            <w:vAlign w:val="center"/>
          </w:tcPr>
          <w:p w14:paraId="10207F92">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5.57</w:t>
            </w:r>
          </w:p>
        </w:tc>
        <w:tc>
          <w:tcPr>
            <w:tcW w:w="787" w:type="dxa"/>
            <w:vAlign w:val="center"/>
          </w:tcPr>
          <w:p w14:paraId="49CAC022">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5.76</w:t>
            </w:r>
          </w:p>
        </w:tc>
        <w:tc>
          <w:tcPr>
            <w:tcW w:w="787" w:type="dxa"/>
            <w:vAlign w:val="center"/>
          </w:tcPr>
          <w:p w14:paraId="0239A5C2">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6.26</w:t>
            </w:r>
          </w:p>
        </w:tc>
        <w:tc>
          <w:tcPr>
            <w:tcW w:w="787" w:type="dxa"/>
            <w:vAlign w:val="center"/>
          </w:tcPr>
          <w:p w14:paraId="7898A8F0">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5.36</w:t>
            </w:r>
          </w:p>
        </w:tc>
        <w:tc>
          <w:tcPr>
            <w:tcW w:w="787" w:type="dxa"/>
            <w:vAlign w:val="center"/>
          </w:tcPr>
          <w:p w14:paraId="1395F880">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5.73</w:t>
            </w:r>
          </w:p>
        </w:tc>
        <w:tc>
          <w:tcPr>
            <w:tcW w:w="787" w:type="dxa"/>
            <w:vAlign w:val="center"/>
          </w:tcPr>
          <w:p w14:paraId="7B6B13E6">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3.53</w:t>
            </w:r>
          </w:p>
        </w:tc>
        <w:tc>
          <w:tcPr>
            <w:tcW w:w="717" w:type="dxa"/>
            <w:vAlign w:val="center"/>
          </w:tcPr>
          <w:p w14:paraId="55E750BF">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2.46</w:t>
            </w:r>
          </w:p>
        </w:tc>
        <w:tc>
          <w:tcPr>
            <w:tcW w:w="857" w:type="dxa"/>
            <w:vAlign w:val="center"/>
          </w:tcPr>
          <w:p w14:paraId="26118256">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2.31</w:t>
            </w:r>
          </w:p>
        </w:tc>
        <w:tc>
          <w:tcPr>
            <w:tcW w:w="787" w:type="dxa"/>
            <w:vAlign w:val="center"/>
          </w:tcPr>
          <w:p w14:paraId="08C1D3A5">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2.39</w:t>
            </w:r>
          </w:p>
        </w:tc>
        <w:tc>
          <w:tcPr>
            <w:tcW w:w="787" w:type="dxa"/>
            <w:vAlign w:val="center"/>
          </w:tcPr>
          <w:p w14:paraId="0EE10F7A">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3.02</w:t>
            </w:r>
          </w:p>
        </w:tc>
        <w:tc>
          <w:tcPr>
            <w:tcW w:w="787" w:type="dxa"/>
            <w:vAlign w:val="center"/>
          </w:tcPr>
          <w:p w14:paraId="6B1B6713">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1.95</w:t>
            </w:r>
          </w:p>
        </w:tc>
      </w:tr>
      <w:tr w14:paraId="5EBEC5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24" w:type="dxa"/>
            <w:vAlign w:val="center"/>
          </w:tcPr>
          <w:p w14:paraId="770A8C61">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秋季</w:t>
            </w:r>
          </w:p>
        </w:tc>
        <w:tc>
          <w:tcPr>
            <w:tcW w:w="648" w:type="dxa"/>
            <w:vAlign w:val="center"/>
          </w:tcPr>
          <w:p w14:paraId="6AB86091">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5.88</w:t>
            </w:r>
          </w:p>
        </w:tc>
        <w:tc>
          <w:tcPr>
            <w:tcW w:w="786" w:type="dxa"/>
            <w:vAlign w:val="center"/>
          </w:tcPr>
          <w:p w14:paraId="3E5D9A47">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10.91</w:t>
            </w:r>
          </w:p>
        </w:tc>
        <w:tc>
          <w:tcPr>
            <w:tcW w:w="786" w:type="dxa"/>
            <w:vAlign w:val="center"/>
          </w:tcPr>
          <w:p w14:paraId="27F47C72">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16.43</w:t>
            </w:r>
          </w:p>
        </w:tc>
        <w:tc>
          <w:tcPr>
            <w:tcW w:w="787" w:type="dxa"/>
            <w:vAlign w:val="center"/>
          </w:tcPr>
          <w:p w14:paraId="6956F568">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13.67</w:t>
            </w:r>
          </w:p>
        </w:tc>
        <w:tc>
          <w:tcPr>
            <w:tcW w:w="787" w:type="dxa"/>
            <w:vAlign w:val="center"/>
          </w:tcPr>
          <w:p w14:paraId="4811885F">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8.60</w:t>
            </w:r>
          </w:p>
        </w:tc>
        <w:tc>
          <w:tcPr>
            <w:tcW w:w="787" w:type="dxa"/>
            <w:vAlign w:val="center"/>
          </w:tcPr>
          <w:p w14:paraId="63A98C6F">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4.83</w:t>
            </w:r>
          </w:p>
        </w:tc>
        <w:tc>
          <w:tcPr>
            <w:tcW w:w="787" w:type="dxa"/>
            <w:vAlign w:val="center"/>
          </w:tcPr>
          <w:p w14:paraId="7A7D7C0D">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3.20</w:t>
            </w:r>
          </w:p>
        </w:tc>
        <w:tc>
          <w:tcPr>
            <w:tcW w:w="787" w:type="dxa"/>
            <w:vAlign w:val="center"/>
          </w:tcPr>
          <w:p w14:paraId="3B0CF6FC">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3.1</w:t>
            </w:r>
          </w:p>
        </w:tc>
        <w:tc>
          <w:tcPr>
            <w:tcW w:w="787" w:type="dxa"/>
            <w:vAlign w:val="center"/>
          </w:tcPr>
          <w:p w14:paraId="7B6BE98D">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3.56</w:t>
            </w:r>
          </w:p>
        </w:tc>
        <w:tc>
          <w:tcPr>
            <w:tcW w:w="787" w:type="dxa"/>
            <w:vAlign w:val="center"/>
          </w:tcPr>
          <w:p w14:paraId="75EBB56A">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4.13</w:t>
            </w:r>
          </w:p>
        </w:tc>
        <w:tc>
          <w:tcPr>
            <w:tcW w:w="787" w:type="dxa"/>
            <w:vAlign w:val="center"/>
          </w:tcPr>
          <w:p w14:paraId="6E9B92A0">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5.25</w:t>
            </w:r>
          </w:p>
        </w:tc>
        <w:tc>
          <w:tcPr>
            <w:tcW w:w="787" w:type="dxa"/>
            <w:vAlign w:val="center"/>
          </w:tcPr>
          <w:p w14:paraId="6154EC59">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3.81</w:t>
            </w:r>
          </w:p>
        </w:tc>
        <w:tc>
          <w:tcPr>
            <w:tcW w:w="717" w:type="dxa"/>
            <w:vAlign w:val="center"/>
          </w:tcPr>
          <w:p w14:paraId="11FC05A6">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3.27</w:t>
            </w:r>
          </w:p>
        </w:tc>
        <w:tc>
          <w:tcPr>
            <w:tcW w:w="857" w:type="dxa"/>
            <w:vAlign w:val="center"/>
          </w:tcPr>
          <w:p w14:paraId="0C7179B0">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3.12</w:t>
            </w:r>
          </w:p>
        </w:tc>
        <w:tc>
          <w:tcPr>
            <w:tcW w:w="787" w:type="dxa"/>
            <w:vAlign w:val="center"/>
          </w:tcPr>
          <w:p w14:paraId="78561A3E">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3.27</w:t>
            </w:r>
          </w:p>
        </w:tc>
        <w:tc>
          <w:tcPr>
            <w:tcW w:w="787" w:type="dxa"/>
            <w:vAlign w:val="center"/>
          </w:tcPr>
          <w:p w14:paraId="1A39BD67">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4.49</w:t>
            </w:r>
          </w:p>
        </w:tc>
        <w:tc>
          <w:tcPr>
            <w:tcW w:w="787" w:type="dxa"/>
            <w:vAlign w:val="center"/>
          </w:tcPr>
          <w:p w14:paraId="3423DC14">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2.91</w:t>
            </w:r>
          </w:p>
        </w:tc>
      </w:tr>
      <w:tr w14:paraId="11D641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24" w:type="dxa"/>
            <w:vAlign w:val="center"/>
          </w:tcPr>
          <w:p w14:paraId="57BC0D0F">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冬季</w:t>
            </w:r>
          </w:p>
        </w:tc>
        <w:tc>
          <w:tcPr>
            <w:tcW w:w="648" w:type="dxa"/>
            <w:vAlign w:val="center"/>
          </w:tcPr>
          <w:p w14:paraId="644DCADE">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5.90</w:t>
            </w:r>
          </w:p>
        </w:tc>
        <w:tc>
          <w:tcPr>
            <w:tcW w:w="786" w:type="dxa"/>
            <w:vAlign w:val="center"/>
          </w:tcPr>
          <w:p w14:paraId="176C9F5C">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11.59</w:t>
            </w:r>
          </w:p>
        </w:tc>
        <w:tc>
          <w:tcPr>
            <w:tcW w:w="786" w:type="dxa"/>
            <w:vAlign w:val="center"/>
          </w:tcPr>
          <w:p w14:paraId="3D2A57CD">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13.98</w:t>
            </w:r>
          </w:p>
        </w:tc>
        <w:tc>
          <w:tcPr>
            <w:tcW w:w="787" w:type="dxa"/>
            <w:vAlign w:val="center"/>
          </w:tcPr>
          <w:p w14:paraId="1C7722F9">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11.25</w:t>
            </w:r>
          </w:p>
        </w:tc>
        <w:tc>
          <w:tcPr>
            <w:tcW w:w="787" w:type="dxa"/>
            <w:vAlign w:val="center"/>
          </w:tcPr>
          <w:p w14:paraId="21857995">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7.7</w:t>
            </w:r>
          </w:p>
        </w:tc>
        <w:tc>
          <w:tcPr>
            <w:tcW w:w="787" w:type="dxa"/>
            <w:vAlign w:val="center"/>
          </w:tcPr>
          <w:p w14:paraId="18961BC7">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4.88</w:t>
            </w:r>
          </w:p>
        </w:tc>
        <w:tc>
          <w:tcPr>
            <w:tcW w:w="787" w:type="dxa"/>
            <w:vAlign w:val="center"/>
          </w:tcPr>
          <w:p w14:paraId="51B4622E">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3.43</w:t>
            </w:r>
          </w:p>
        </w:tc>
        <w:tc>
          <w:tcPr>
            <w:tcW w:w="787" w:type="dxa"/>
            <w:vAlign w:val="center"/>
          </w:tcPr>
          <w:p w14:paraId="10276418">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3.52</w:t>
            </w:r>
          </w:p>
        </w:tc>
        <w:tc>
          <w:tcPr>
            <w:tcW w:w="787" w:type="dxa"/>
            <w:vAlign w:val="center"/>
          </w:tcPr>
          <w:p w14:paraId="523796FA">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4.72</w:t>
            </w:r>
          </w:p>
        </w:tc>
        <w:tc>
          <w:tcPr>
            <w:tcW w:w="787" w:type="dxa"/>
            <w:vAlign w:val="center"/>
          </w:tcPr>
          <w:p w14:paraId="39A7DFBE">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4.96</w:t>
            </w:r>
          </w:p>
        </w:tc>
        <w:tc>
          <w:tcPr>
            <w:tcW w:w="787" w:type="dxa"/>
            <w:vAlign w:val="center"/>
          </w:tcPr>
          <w:p w14:paraId="783F5D94">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5.46</w:t>
            </w:r>
          </w:p>
        </w:tc>
        <w:tc>
          <w:tcPr>
            <w:tcW w:w="787" w:type="dxa"/>
            <w:vAlign w:val="center"/>
          </w:tcPr>
          <w:p w14:paraId="31F5E3A3">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4.60</w:t>
            </w:r>
          </w:p>
        </w:tc>
        <w:tc>
          <w:tcPr>
            <w:tcW w:w="717" w:type="dxa"/>
            <w:vAlign w:val="center"/>
          </w:tcPr>
          <w:p w14:paraId="412ABB35">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3.93</w:t>
            </w:r>
          </w:p>
        </w:tc>
        <w:tc>
          <w:tcPr>
            <w:tcW w:w="857" w:type="dxa"/>
            <w:vAlign w:val="center"/>
          </w:tcPr>
          <w:p w14:paraId="1F5CB5AD">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3.71</w:t>
            </w:r>
          </w:p>
        </w:tc>
        <w:tc>
          <w:tcPr>
            <w:tcW w:w="787" w:type="dxa"/>
            <w:vAlign w:val="center"/>
          </w:tcPr>
          <w:p w14:paraId="42B26405">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3.63</w:t>
            </w:r>
          </w:p>
        </w:tc>
        <w:tc>
          <w:tcPr>
            <w:tcW w:w="787" w:type="dxa"/>
            <w:vAlign w:val="center"/>
          </w:tcPr>
          <w:p w14:paraId="50B3FA2B">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4.35</w:t>
            </w:r>
          </w:p>
        </w:tc>
        <w:tc>
          <w:tcPr>
            <w:tcW w:w="787" w:type="dxa"/>
            <w:vAlign w:val="center"/>
          </w:tcPr>
          <w:p w14:paraId="2391221C">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2.75</w:t>
            </w:r>
          </w:p>
        </w:tc>
      </w:tr>
      <w:tr w14:paraId="1606BC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24" w:type="dxa"/>
            <w:vAlign w:val="center"/>
          </w:tcPr>
          <w:p w14:paraId="639C71BE">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全年</w:t>
            </w:r>
          </w:p>
        </w:tc>
        <w:tc>
          <w:tcPr>
            <w:tcW w:w="648" w:type="dxa"/>
            <w:vAlign w:val="center"/>
          </w:tcPr>
          <w:p w14:paraId="03C46B7B">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5.15</w:t>
            </w:r>
          </w:p>
        </w:tc>
        <w:tc>
          <w:tcPr>
            <w:tcW w:w="786" w:type="dxa"/>
            <w:vAlign w:val="center"/>
          </w:tcPr>
          <w:p w14:paraId="215BFEEA">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9.8</w:t>
            </w:r>
          </w:p>
        </w:tc>
        <w:tc>
          <w:tcPr>
            <w:tcW w:w="786" w:type="dxa"/>
            <w:vAlign w:val="center"/>
          </w:tcPr>
          <w:p w14:paraId="614F1772">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13.94</w:t>
            </w:r>
          </w:p>
        </w:tc>
        <w:tc>
          <w:tcPr>
            <w:tcW w:w="787" w:type="dxa"/>
            <w:vAlign w:val="center"/>
          </w:tcPr>
          <w:p w14:paraId="32435259">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12.44</w:t>
            </w:r>
          </w:p>
        </w:tc>
        <w:tc>
          <w:tcPr>
            <w:tcW w:w="787" w:type="dxa"/>
            <w:vAlign w:val="center"/>
          </w:tcPr>
          <w:p w14:paraId="5BBAE351">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9.47</w:t>
            </w:r>
          </w:p>
        </w:tc>
        <w:tc>
          <w:tcPr>
            <w:tcW w:w="787" w:type="dxa"/>
            <w:vAlign w:val="center"/>
          </w:tcPr>
          <w:p w14:paraId="2BAF831A">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5.64</w:t>
            </w:r>
          </w:p>
        </w:tc>
        <w:tc>
          <w:tcPr>
            <w:tcW w:w="787" w:type="dxa"/>
            <w:vAlign w:val="center"/>
          </w:tcPr>
          <w:p w14:paraId="07454CC6">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4.23</w:t>
            </w:r>
          </w:p>
        </w:tc>
        <w:tc>
          <w:tcPr>
            <w:tcW w:w="787" w:type="dxa"/>
            <w:vAlign w:val="center"/>
          </w:tcPr>
          <w:p w14:paraId="089EF09F">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4.41</w:t>
            </w:r>
          </w:p>
        </w:tc>
        <w:tc>
          <w:tcPr>
            <w:tcW w:w="787" w:type="dxa"/>
            <w:vAlign w:val="center"/>
          </w:tcPr>
          <w:p w14:paraId="5481A913">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5.17</w:t>
            </w:r>
          </w:p>
        </w:tc>
        <w:tc>
          <w:tcPr>
            <w:tcW w:w="787" w:type="dxa"/>
            <w:vAlign w:val="center"/>
          </w:tcPr>
          <w:p w14:paraId="0D402947">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5.05</w:t>
            </w:r>
          </w:p>
        </w:tc>
        <w:tc>
          <w:tcPr>
            <w:tcW w:w="787" w:type="dxa"/>
            <w:vAlign w:val="center"/>
          </w:tcPr>
          <w:p w14:paraId="717C476E">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5.53</w:t>
            </w:r>
          </w:p>
        </w:tc>
        <w:tc>
          <w:tcPr>
            <w:tcW w:w="787" w:type="dxa"/>
            <w:vAlign w:val="center"/>
          </w:tcPr>
          <w:p w14:paraId="47CD4178">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4</w:t>
            </w:r>
          </w:p>
        </w:tc>
        <w:tc>
          <w:tcPr>
            <w:tcW w:w="717" w:type="dxa"/>
            <w:vAlign w:val="center"/>
          </w:tcPr>
          <w:p w14:paraId="285571D6">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3.19</w:t>
            </w:r>
          </w:p>
        </w:tc>
        <w:tc>
          <w:tcPr>
            <w:tcW w:w="857" w:type="dxa"/>
            <w:vAlign w:val="center"/>
          </w:tcPr>
          <w:p w14:paraId="70FCDF07">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3.07</w:t>
            </w:r>
          </w:p>
        </w:tc>
        <w:tc>
          <w:tcPr>
            <w:tcW w:w="787" w:type="dxa"/>
            <w:vAlign w:val="center"/>
          </w:tcPr>
          <w:p w14:paraId="300509E7">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3.08</w:t>
            </w:r>
          </w:p>
        </w:tc>
        <w:tc>
          <w:tcPr>
            <w:tcW w:w="787" w:type="dxa"/>
            <w:vAlign w:val="center"/>
          </w:tcPr>
          <w:p w14:paraId="4C59AE38">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3.81</w:t>
            </w:r>
          </w:p>
        </w:tc>
        <w:tc>
          <w:tcPr>
            <w:tcW w:w="787" w:type="dxa"/>
            <w:vAlign w:val="center"/>
          </w:tcPr>
          <w:p w14:paraId="277D893D">
            <w:pPr>
              <w:widowControl w:val="0"/>
              <w:adjustRightInd w:val="0"/>
              <w:snapToGrid w:val="0"/>
              <w:jc w:val="center"/>
              <w:rPr>
                <w:rFonts w:ascii="Times New Roman" w:hAnsi="Times New Roman" w:cs="Times New Roman"/>
                <w:sz w:val="21"/>
                <w:lang w:eastAsia="zh-CN"/>
              </w:rPr>
            </w:pPr>
            <w:r>
              <w:rPr>
                <w:rFonts w:ascii="Times New Roman" w:hAnsi="Times New Roman" w:cs="Times New Roman"/>
                <w:sz w:val="21"/>
                <w:lang w:eastAsia="zh-CN"/>
              </w:rPr>
              <w:t>2.43</w:t>
            </w:r>
          </w:p>
        </w:tc>
      </w:tr>
    </w:tbl>
    <w:p w14:paraId="1B76B40E">
      <w:pPr>
        <w:pStyle w:val="42"/>
        <w:ind w:firstLine="480"/>
        <w:rPr>
          <w:color w:val="auto"/>
        </w:rPr>
        <w:sectPr>
          <w:pgSz w:w="16838" w:h="11906" w:orient="landscape"/>
          <w:pgMar w:top="1080" w:right="1440" w:bottom="1080" w:left="1440" w:header="851" w:footer="992" w:gutter="0"/>
          <w:cols w:space="720" w:num="1"/>
          <w:docGrid w:type="lines" w:linePitch="326" w:charSpace="0"/>
        </w:sectPr>
      </w:pPr>
    </w:p>
    <w:p w14:paraId="33E6417F">
      <w:pPr>
        <w:spacing w:line="360" w:lineRule="auto"/>
        <w:ind w:firstLine="482"/>
        <w:outlineLvl w:val="2"/>
        <w:rPr>
          <w:rFonts w:ascii="Times New Roman" w:hAnsi="Times New Roman" w:cs="Times New Roman"/>
          <w:b/>
          <w:bCs/>
          <w:color w:val="auto"/>
          <w:szCs w:val="24"/>
          <w:lang w:eastAsia="zh-CN"/>
        </w:rPr>
      </w:pPr>
      <w:bookmarkStart w:id="1411" w:name="_Toc223425091"/>
      <w:bookmarkStart w:id="1412" w:name="_Toc173740312"/>
      <w:bookmarkStart w:id="1413" w:name="_Toc203927035"/>
      <w:bookmarkStart w:id="1414" w:name="_Toc225784091"/>
      <w:bookmarkStart w:id="1415" w:name="_Toc176513043"/>
      <w:bookmarkStart w:id="1416" w:name="_Toc231828613"/>
      <w:bookmarkStart w:id="1417" w:name="_Toc178602383"/>
      <w:bookmarkStart w:id="1418" w:name="_Toc236641861"/>
      <w:bookmarkStart w:id="1419" w:name="_Toc173743416"/>
      <w:bookmarkStart w:id="1420" w:name="_Toc221900873"/>
      <w:bookmarkStart w:id="1421" w:name="_Toc218784316"/>
      <w:bookmarkStart w:id="1422" w:name="_Toc175164307"/>
      <w:bookmarkStart w:id="1423" w:name="_Toc204448501"/>
      <w:bookmarkStart w:id="1424" w:name="_Toc237508326"/>
      <w:bookmarkStart w:id="1425" w:name="_Toc224674730"/>
      <w:bookmarkStart w:id="1426" w:name="_Toc204515236"/>
      <w:bookmarkStart w:id="1427" w:name="_Toc236641344"/>
      <w:r>
        <w:rPr>
          <w:rFonts w:ascii="Times New Roman" w:hAnsi="Times New Roman" w:cs="Times New Roman"/>
          <w:b/>
          <w:bCs/>
          <w:color w:val="auto"/>
          <w:szCs w:val="24"/>
          <w:lang w:eastAsia="zh-CN"/>
        </w:rPr>
        <w:t>6.2.2 大气环境影响预测与评价</w:t>
      </w:r>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p>
    <w:p w14:paraId="236B78C2">
      <w:pPr>
        <w:spacing w:line="360" w:lineRule="auto"/>
        <w:ind w:firstLine="482"/>
        <w:jc w:val="both"/>
        <w:outlineLvl w:val="3"/>
        <w:rPr>
          <w:rFonts w:ascii="Times New Roman" w:hAnsi="Times New Roman" w:cs="Times New Roman"/>
          <w:b/>
          <w:bCs/>
          <w:color w:val="auto"/>
          <w:lang w:eastAsia="zh-CN"/>
        </w:rPr>
      </w:pPr>
      <w:bookmarkStart w:id="1428" w:name="_Toc19004"/>
      <w:r>
        <w:rPr>
          <w:rFonts w:ascii="Times New Roman" w:hAnsi="Times New Roman" w:eastAsia="新宋体" w:cs="Times New Roman"/>
          <w:b/>
          <w:bCs/>
          <w:color w:val="auto"/>
          <w:lang w:eastAsia="zh-CN"/>
        </w:rPr>
        <w:t xml:space="preserve">6.2.2.1 </w:t>
      </w:r>
      <w:bookmarkEnd w:id="1428"/>
      <w:r>
        <w:rPr>
          <w:rFonts w:ascii="Times New Roman" w:hAnsi="Times New Roman" w:eastAsia="新宋体" w:cs="Times New Roman"/>
          <w:b/>
          <w:bCs/>
          <w:color w:val="auto"/>
          <w:lang w:eastAsia="zh-CN"/>
        </w:rPr>
        <w:t>大气环境影响预测参数筛选</w:t>
      </w:r>
    </w:p>
    <w:p w14:paraId="6D047939">
      <w:pPr>
        <w:spacing w:line="360" w:lineRule="auto"/>
        <w:ind w:firstLine="480" w:firstLineChars="200"/>
        <w:jc w:val="both"/>
        <w:rPr>
          <w:rFonts w:ascii="Times New Roman" w:hAnsi="Times New Roman" w:cs="Times New Roman"/>
          <w:lang w:eastAsia="zh-CN"/>
        </w:rPr>
      </w:pPr>
      <w:r>
        <w:rPr>
          <w:rFonts w:ascii="Times New Roman" w:hAnsi="Times New Roman" w:cs="Times New Roman"/>
          <w:lang w:eastAsia="zh-CN"/>
        </w:rPr>
        <w:t>1、预测模式</w:t>
      </w:r>
    </w:p>
    <w:p w14:paraId="5FAB7C3C">
      <w:pPr>
        <w:spacing w:line="360" w:lineRule="auto"/>
        <w:ind w:firstLine="480" w:firstLineChars="200"/>
        <w:jc w:val="both"/>
        <w:rPr>
          <w:rFonts w:ascii="Times New Roman" w:hAnsi="Times New Roman" w:cs="Times New Roman"/>
          <w:color w:val="EE0000"/>
          <w:lang w:eastAsia="zh-CN"/>
        </w:rPr>
      </w:pPr>
      <w:r>
        <w:rPr>
          <w:rFonts w:ascii="Times New Roman" w:hAnsi="Times New Roman" w:cs="Times New Roman"/>
          <w:lang w:eastAsia="zh-CN"/>
        </w:rPr>
        <w:t>根据《环境影响评价技术导则大气环境》（HJ2.2-20018）要求，本次大气环境影响预测采用推荐模型清单中的进一步预测模型：AERMOD进行本项目污染源排放污染物的地面浓度预测，并计算相应浓度占标率。</w:t>
      </w:r>
    </w:p>
    <w:p w14:paraId="50CA05CD">
      <w:pPr>
        <w:spacing w:line="360" w:lineRule="auto"/>
        <w:ind w:left="480"/>
        <w:jc w:val="both"/>
        <w:rPr>
          <w:rFonts w:ascii="Times New Roman" w:hAnsi="Times New Roman" w:cs="Times New Roman"/>
          <w:lang w:eastAsia="zh-CN"/>
        </w:rPr>
      </w:pPr>
      <w:r>
        <w:rPr>
          <w:rFonts w:hint="eastAsia" w:ascii="Times New Roman" w:hAnsi="Times New Roman" w:cs="Times New Roman"/>
          <w:lang w:eastAsia="zh-CN"/>
        </w:rPr>
        <w:t>2、</w:t>
      </w:r>
      <w:r>
        <w:rPr>
          <w:rFonts w:ascii="Times New Roman" w:hAnsi="Times New Roman" w:cs="Times New Roman"/>
          <w:lang w:eastAsia="zh-CN"/>
        </w:rPr>
        <w:t>预测因子</w:t>
      </w:r>
    </w:p>
    <w:p w14:paraId="714D7AE9">
      <w:pPr>
        <w:spacing w:line="360" w:lineRule="auto"/>
        <w:ind w:firstLine="480" w:firstLineChars="200"/>
        <w:jc w:val="both"/>
        <w:rPr>
          <w:rFonts w:ascii="Times New Roman" w:hAnsi="Times New Roman" w:cs="Times New Roman"/>
          <w:lang w:eastAsia="zh-CN"/>
        </w:rPr>
      </w:pPr>
      <w:r>
        <w:rPr>
          <w:rFonts w:ascii="Times New Roman" w:hAnsi="Times New Roman" w:cs="Times New Roman"/>
          <w:lang w:eastAsia="zh-CN"/>
        </w:rPr>
        <w:t>根据本项目的工程分析，重点考虑本项目对区域空气环境的综合影响，并结合估算模式预测结果，确定本次环评空气环境影响评价的主要预测因子为：</w:t>
      </w:r>
      <w:r>
        <w:rPr>
          <w:rFonts w:hint="eastAsia" w:ascii="Times New Roman" w:hAnsi="Times New Roman" w:cs="Times New Roman"/>
          <w:lang w:eastAsia="zh-CN"/>
        </w:rPr>
        <w:t>氟化物、氯化氢。</w:t>
      </w:r>
    </w:p>
    <w:p w14:paraId="44713CFF">
      <w:pPr>
        <w:spacing w:line="360" w:lineRule="auto"/>
        <w:ind w:left="480"/>
        <w:jc w:val="both"/>
        <w:rPr>
          <w:rFonts w:ascii="Times New Roman" w:hAnsi="Times New Roman" w:cs="Times New Roman"/>
          <w:lang w:eastAsia="zh-CN"/>
        </w:rPr>
      </w:pPr>
      <w:r>
        <w:rPr>
          <w:rFonts w:hint="eastAsia" w:ascii="Times New Roman" w:hAnsi="Times New Roman" w:cs="Times New Roman"/>
          <w:lang w:eastAsia="zh-CN"/>
        </w:rPr>
        <w:t>3、</w:t>
      </w:r>
      <w:r>
        <w:rPr>
          <w:rFonts w:ascii="Times New Roman" w:hAnsi="Times New Roman" w:cs="Times New Roman"/>
          <w:lang w:eastAsia="zh-CN"/>
        </w:rPr>
        <w:t>预测评价标准</w:t>
      </w:r>
    </w:p>
    <w:p w14:paraId="473DE252">
      <w:pPr>
        <w:spacing w:line="360" w:lineRule="auto"/>
        <w:ind w:firstLine="480" w:firstLineChars="200"/>
        <w:jc w:val="both"/>
        <w:rPr>
          <w:rFonts w:ascii="Times New Roman" w:hAnsi="Times New Roman" w:cs="Times New Roman"/>
          <w:lang w:eastAsia="zh-CN"/>
        </w:rPr>
      </w:pPr>
      <w:r>
        <w:rPr>
          <w:rFonts w:hint="eastAsia" w:ascii="Times New Roman" w:hAnsi="Times New Roman" w:cs="Times New Roman"/>
          <w:lang w:eastAsia="zh-CN"/>
        </w:rPr>
        <w:t>氟化物</w:t>
      </w:r>
      <w:r>
        <w:rPr>
          <w:rFonts w:ascii="Times New Roman" w:hAnsi="Times New Roman" w:cs="Times New Roman"/>
          <w:lang w:eastAsia="zh-CN"/>
        </w:rPr>
        <w:t>环境空气质量</w:t>
      </w:r>
      <w:r>
        <w:rPr>
          <w:rFonts w:hint="eastAsia" w:ascii="Times New Roman" w:hAnsi="Times New Roman" w:cs="Times New Roman"/>
          <w:lang w:eastAsia="zh-CN"/>
        </w:rPr>
        <w:t>执行</w:t>
      </w:r>
      <w:r>
        <w:rPr>
          <w:rFonts w:ascii="Times New Roman" w:hAnsi="Times New Roman" w:cs="Times New Roman"/>
          <w:lang w:eastAsia="zh-CN"/>
        </w:rPr>
        <w:t>《环境空气质量标准》（GB3095-20</w:t>
      </w:r>
      <w:r>
        <w:rPr>
          <w:rFonts w:hint="eastAsia" w:ascii="Times New Roman" w:hAnsi="Times New Roman" w:cs="Times New Roman"/>
          <w:lang w:eastAsia="zh-CN"/>
        </w:rPr>
        <w:t>26</w:t>
      </w:r>
      <w:r>
        <w:rPr>
          <w:rFonts w:ascii="Times New Roman" w:hAnsi="Times New Roman" w:cs="Times New Roman"/>
          <w:lang w:eastAsia="zh-CN"/>
        </w:rPr>
        <w:t>）中二级标准；</w:t>
      </w:r>
      <w:r>
        <w:rPr>
          <w:rFonts w:hint="eastAsia" w:ascii="Times New Roman" w:hAnsi="Times New Roman" w:cs="Times New Roman"/>
          <w:lang w:eastAsia="zh-CN"/>
        </w:rPr>
        <w:t>氯化氢</w:t>
      </w:r>
      <w:r>
        <w:rPr>
          <w:rFonts w:ascii="Times New Roman" w:hAnsi="Times New Roman" w:cs="Times New Roman"/>
          <w:lang w:eastAsia="zh-CN"/>
        </w:rPr>
        <w:t>环境空气质量</w:t>
      </w:r>
      <w:r>
        <w:rPr>
          <w:rFonts w:hint="eastAsia" w:ascii="Times New Roman" w:hAnsi="Times New Roman" w:cs="Times New Roman"/>
          <w:lang w:eastAsia="zh-CN"/>
        </w:rPr>
        <w:t>执行</w:t>
      </w:r>
      <w:r>
        <w:rPr>
          <w:rFonts w:ascii="Times New Roman" w:hAnsi="Times New Roman" w:cs="Times New Roman"/>
          <w:lang w:eastAsia="zh-CN"/>
        </w:rPr>
        <w:t>《环境影响评价技术导则 大气环境》（HJ 2.2-2018）附录 D 其他污染物空气质量浓度参考限值</w:t>
      </w:r>
      <w:r>
        <w:rPr>
          <w:rFonts w:hint="eastAsia" w:ascii="Times New Roman" w:hAnsi="Times New Roman" w:cs="Times New Roman"/>
          <w:lang w:eastAsia="zh-CN"/>
        </w:rPr>
        <w:t>。</w:t>
      </w:r>
    </w:p>
    <w:p w14:paraId="2C203BE8">
      <w:pPr>
        <w:spacing w:line="360" w:lineRule="auto"/>
        <w:ind w:left="480"/>
        <w:jc w:val="both"/>
        <w:rPr>
          <w:rFonts w:ascii="Times New Roman" w:hAnsi="Times New Roman" w:cs="Times New Roman"/>
          <w:lang w:eastAsia="zh-CN"/>
        </w:rPr>
      </w:pPr>
      <w:r>
        <w:rPr>
          <w:rFonts w:hint="eastAsia" w:ascii="Times New Roman" w:hAnsi="Times New Roman" w:cs="Times New Roman"/>
          <w:lang w:eastAsia="zh-CN"/>
        </w:rPr>
        <w:t>4、</w:t>
      </w:r>
      <w:r>
        <w:rPr>
          <w:rFonts w:ascii="Times New Roman" w:hAnsi="Times New Roman" w:cs="Times New Roman"/>
          <w:lang w:eastAsia="zh-CN"/>
        </w:rPr>
        <w:t>预测范围</w:t>
      </w:r>
    </w:p>
    <w:p w14:paraId="7FF8C6D8">
      <w:pPr>
        <w:spacing w:line="360" w:lineRule="auto"/>
        <w:ind w:firstLine="480" w:firstLineChars="200"/>
        <w:jc w:val="both"/>
        <w:rPr>
          <w:rFonts w:ascii="Times New Roman" w:hAnsi="Times New Roman" w:cs="Times New Roman"/>
          <w:lang w:eastAsia="zh-CN"/>
        </w:rPr>
      </w:pPr>
      <w:r>
        <w:rPr>
          <w:rFonts w:ascii="Times New Roman" w:hAnsi="Times New Roman" w:cs="Times New Roman"/>
          <w:lang w:eastAsia="zh-CN"/>
        </w:rPr>
        <w:t>根据《大气环境影响评价技术导则大气环境》（HJ 2.2-2018）中推荐的估算模式计算结果判定，同时考虑区域主导风向以及敏感点的位置，判定本次评价的大气环境影响预测评价范围为厂址为中心、边长5km的矩形区域。</w:t>
      </w:r>
    </w:p>
    <w:p w14:paraId="007049CE">
      <w:pPr>
        <w:spacing w:line="360" w:lineRule="auto"/>
        <w:ind w:left="480"/>
        <w:jc w:val="both"/>
        <w:rPr>
          <w:rFonts w:ascii="Times New Roman" w:hAnsi="Times New Roman" w:cs="Times New Roman"/>
          <w:lang w:eastAsia="zh-CN"/>
        </w:rPr>
      </w:pPr>
      <w:r>
        <w:rPr>
          <w:rFonts w:hint="eastAsia" w:ascii="Times New Roman" w:hAnsi="Times New Roman" w:cs="Times New Roman"/>
          <w:lang w:eastAsia="zh-CN"/>
        </w:rPr>
        <w:t>（1）</w:t>
      </w:r>
      <w:r>
        <w:rPr>
          <w:rFonts w:ascii="Times New Roman" w:hAnsi="Times New Roman" w:cs="Times New Roman"/>
          <w:lang w:eastAsia="zh-CN"/>
        </w:rPr>
        <w:t>环境空气敏感点</w:t>
      </w:r>
    </w:p>
    <w:p w14:paraId="6ECC033A">
      <w:pPr>
        <w:spacing w:line="360" w:lineRule="auto"/>
        <w:ind w:firstLine="480" w:firstLineChars="200"/>
        <w:jc w:val="both"/>
        <w:rPr>
          <w:rFonts w:ascii="Times New Roman" w:hAnsi="Times New Roman" w:cs="Times New Roman"/>
          <w:b/>
          <w:szCs w:val="24"/>
          <w:lang w:eastAsia="zh-CN"/>
        </w:rPr>
      </w:pPr>
      <w:r>
        <w:rPr>
          <w:rFonts w:ascii="Times New Roman" w:hAnsi="Times New Roman" w:cs="Times New Roman"/>
          <w:szCs w:val="24"/>
          <w:lang w:eastAsia="zh-CN"/>
        </w:rPr>
        <w:t>根据现场调查，本项目不涉及自然保护区、风景名胜区等特殊保护区域，主要环境保护目标具体情况见“2.</w:t>
      </w:r>
      <w:r>
        <w:rPr>
          <w:rFonts w:hint="eastAsia" w:ascii="Times New Roman" w:hAnsi="Times New Roman" w:cs="Times New Roman"/>
          <w:szCs w:val="24"/>
          <w:lang w:eastAsia="zh-CN"/>
        </w:rPr>
        <w:t>6</w:t>
      </w:r>
      <w:r>
        <w:rPr>
          <w:rFonts w:ascii="Times New Roman" w:hAnsi="Times New Roman" w:cs="Times New Roman"/>
          <w:szCs w:val="24"/>
          <w:lang w:eastAsia="zh-CN"/>
        </w:rPr>
        <w:t xml:space="preserve"> 环境保护目标”章节环境保护目标分布表及图。</w:t>
      </w:r>
    </w:p>
    <w:p w14:paraId="23A4CC66">
      <w:pPr>
        <w:spacing w:line="360" w:lineRule="auto"/>
        <w:ind w:left="480"/>
        <w:jc w:val="both"/>
        <w:rPr>
          <w:rFonts w:ascii="Times New Roman" w:hAnsi="Times New Roman" w:cs="Times New Roman"/>
          <w:bCs/>
          <w:lang w:eastAsia="zh-CN"/>
        </w:rPr>
      </w:pPr>
      <w:r>
        <w:rPr>
          <w:rFonts w:hint="eastAsia" w:ascii="Times New Roman" w:hAnsi="Times New Roman" w:cs="Times New Roman"/>
          <w:bCs/>
          <w:lang w:eastAsia="zh-CN"/>
        </w:rPr>
        <w:t>（2）</w:t>
      </w:r>
      <w:r>
        <w:rPr>
          <w:rFonts w:ascii="Times New Roman" w:hAnsi="Times New Roman" w:cs="Times New Roman"/>
          <w:bCs/>
          <w:lang w:eastAsia="zh-CN"/>
        </w:rPr>
        <w:t>网格点</w:t>
      </w:r>
    </w:p>
    <w:p w14:paraId="04421B88">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bCs/>
          <w:lang w:eastAsia="zh-CN"/>
        </w:rPr>
        <w:t>采用以厂界西南角为坐标原点（0，0），采用直角坐标网格进行预测，本次计算点覆盖了</w:t>
      </w:r>
      <w:r>
        <w:rPr>
          <w:rFonts w:ascii="Times New Roman" w:hAnsi="Times New Roman" w:cs="Times New Roman"/>
          <w:bCs/>
          <w:color w:val="auto"/>
          <w:lang w:eastAsia="zh-CN"/>
        </w:rPr>
        <w:t>整个预测范围，采用直角坐标网格进行预测，预测网格点的网格间距为50m，一共</w:t>
      </w:r>
      <w:r>
        <w:rPr>
          <w:rFonts w:hint="eastAsia" w:ascii="Times New Roman" w:hAnsi="Times New Roman" w:cs="Times New Roman"/>
          <w:bCs/>
          <w:color w:val="auto"/>
          <w:lang w:eastAsia="zh-CN"/>
        </w:rPr>
        <w:t>10321</w:t>
      </w:r>
      <w:r>
        <w:rPr>
          <w:rFonts w:ascii="Times New Roman" w:hAnsi="Times New Roman" w:cs="Times New Roman"/>
          <w:bCs/>
          <w:color w:val="auto"/>
          <w:lang w:eastAsia="zh-CN"/>
        </w:rPr>
        <w:t>个计算点。项目大气环境影响评价范围见图2.6-1</w:t>
      </w:r>
      <w:r>
        <w:rPr>
          <w:rFonts w:ascii="Times New Roman" w:hAnsi="Times New Roman" w:cs="Times New Roman"/>
          <w:color w:val="auto"/>
          <w:lang w:eastAsia="zh-CN"/>
        </w:rPr>
        <w:t>。</w:t>
      </w:r>
    </w:p>
    <w:p w14:paraId="7726E5E7">
      <w:pPr>
        <w:widowControl w:val="0"/>
        <w:spacing w:line="360" w:lineRule="auto"/>
        <w:ind w:left="480"/>
        <w:jc w:val="both"/>
        <w:rPr>
          <w:rFonts w:ascii="Times New Roman" w:hAnsi="Times New Roman" w:cs="Times New Roman"/>
          <w:color w:val="auto"/>
          <w:lang w:eastAsia="zh-CN"/>
        </w:rPr>
      </w:pPr>
      <w:r>
        <w:rPr>
          <w:rFonts w:hint="eastAsia" w:ascii="Times New Roman" w:hAnsi="Times New Roman" w:cs="Times New Roman"/>
          <w:color w:val="auto"/>
          <w:lang w:eastAsia="zh-CN"/>
        </w:rPr>
        <w:t>5、</w:t>
      </w:r>
      <w:r>
        <w:rPr>
          <w:rFonts w:ascii="Times New Roman" w:hAnsi="Times New Roman" w:cs="Times New Roman"/>
          <w:color w:val="auto"/>
          <w:lang w:eastAsia="zh-CN"/>
        </w:rPr>
        <w:t>预测源强及参数</w:t>
      </w:r>
    </w:p>
    <w:p w14:paraId="2A4EC349">
      <w:pPr>
        <w:widowControl w:val="0"/>
        <w:spacing w:line="360" w:lineRule="auto"/>
        <w:ind w:firstLine="480" w:firstLineChars="200"/>
        <w:jc w:val="both"/>
        <w:rPr>
          <w:rFonts w:ascii="Times New Roman" w:hAnsi="Times New Roman" w:cs="Times New Roman"/>
          <w:lang w:eastAsia="zh-CN"/>
        </w:rPr>
      </w:pPr>
      <w:r>
        <w:rPr>
          <w:rFonts w:ascii="Times New Roman" w:hAnsi="Times New Roman" w:cs="Times New Roman"/>
          <w:bCs/>
          <w:lang w:eastAsia="zh-CN"/>
        </w:rPr>
        <w:t>根据工程分析结果，综合考虑污染物量和环境质量标准，选取环境影响最大的源强进行预测。评价范围内与评价项目排放污染物有关的其他在建项目、已批复环境影响评价文件的拟建项目污染源见下表。</w:t>
      </w:r>
    </w:p>
    <w:p w14:paraId="40EC7630">
      <w:pPr>
        <w:spacing w:line="360" w:lineRule="auto"/>
        <w:jc w:val="center"/>
        <w:rPr>
          <w:rFonts w:ascii="Times New Roman" w:hAnsi="Times New Roman" w:cs="Times New Roman"/>
          <w:b/>
          <w:color w:val="auto"/>
          <w:szCs w:val="24"/>
          <w:lang w:eastAsia="zh-CN"/>
        </w:rPr>
      </w:pPr>
    </w:p>
    <w:p w14:paraId="2AA67E72">
      <w:pPr>
        <w:spacing w:line="360" w:lineRule="auto"/>
        <w:jc w:val="center"/>
        <w:rPr>
          <w:rFonts w:ascii="Times New Roman" w:hAnsi="Times New Roman" w:cs="Times New Roman"/>
          <w:color w:val="auto"/>
          <w:szCs w:val="24"/>
          <w:lang w:eastAsia="zh-CN"/>
        </w:rPr>
      </w:pPr>
      <w:r>
        <w:rPr>
          <w:rFonts w:ascii="Times New Roman" w:hAnsi="Times New Roman" w:cs="Times New Roman"/>
          <w:b/>
          <w:color w:val="auto"/>
          <w:szCs w:val="24"/>
          <w:lang w:eastAsia="zh-CN"/>
        </w:rPr>
        <w:t>表6.2-</w:t>
      </w:r>
      <w:r>
        <w:rPr>
          <w:rFonts w:hint="eastAsia" w:ascii="Times New Roman" w:hAnsi="Times New Roman" w:cs="Times New Roman"/>
          <w:b/>
          <w:color w:val="auto"/>
          <w:szCs w:val="24"/>
          <w:lang w:eastAsia="zh-CN"/>
        </w:rPr>
        <w:t>6</w:t>
      </w:r>
      <w:r>
        <w:rPr>
          <w:rFonts w:ascii="Times New Roman" w:hAnsi="Times New Roman" w:cs="Times New Roman"/>
          <w:b/>
          <w:color w:val="auto"/>
          <w:szCs w:val="24"/>
          <w:lang w:eastAsia="zh-CN"/>
        </w:rPr>
        <w:t xml:space="preserve"> 正常工况下有组织废气污染源强汇总一览表</w:t>
      </w:r>
    </w:p>
    <w:tbl>
      <w:tblPr>
        <w:tblStyle w:val="35"/>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35"/>
        <w:gridCol w:w="768"/>
        <w:gridCol w:w="767"/>
        <w:gridCol w:w="790"/>
        <w:gridCol w:w="958"/>
        <w:gridCol w:w="985"/>
        <w:gridCol w:w="1134"/>
        <w:gridCol w:w="851"/>
        <w:gridCol w:w="850"/>
        <w:gridCol w:w="993"/>
        <w:gridCol w:w="815"/>
      </w:tblGrid>
      <w:tr w14:paraId="3CE071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835" w:type="dxa"/>
            <w:vMerge w:val="restart"/>
            <w:vAlign w:val="center"/>
          </w:tcPr>
          <w:p w14:paraId="504D945C">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名称</w:t>
            </w:r>
          </w:p>
        </w:tc>
        <w:tc>
          <w:tcPr>
            <w:tcW w:w="1535" w:type="dxa"/>
            <w:gridSpan w:val="2"/>
            <w:vAlign w:val="center"/>
          </w:tcPr>
          <w:p w14:paraId="4B41690F">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排气筒底部中心坐标</w:t>
            </w:r>
          </w:p>
        </w:tc>
        <w:tc>
          <w:tcPr>
            <w:tcW w:w="3867" w:type="dxa"/>
            <w:gridSpan w:val="4"/>
            <w:vAlign w:val="center"/>
          </w:tcPr>
          <w:p w14:paraId="276843E9">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排气筒参数</w:t>
            </w:r>
          </w:p>
        </w:tc>
        <w:tc>
          <w:tcPr>
            <w:tcW w:w="851" w:type="dxa"/>
            <w:vMerge w:val="restart"/>
            <w:vAlign w:val="center"/>
          </w:tcPr>
          <w:p w14:paraId="660204DA">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年排放小时数h</w:t>
            </w:r>
          </w:p>
        </w:tc>
        <w:tc>
          <w:tcPr>
            <w:tcW w:w="850" w:type="dxa"/>
            <w:vMerge w:val="restart"/>
            <w:vAlign w:val="center"/>
          </w:tcPr>
          <w:p w14:paraId="76811CC6">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排放工况</w:t>
            </w:r>
          </w:p>
        </w:tc>
        <w:tc>
          <w:tcPr>
            <w:tcW w:w="1808" w:type="dxa"/>
            <w:gridSpan w:val="2"/>
            <w:vMerge w:val="restart"/>
            <w:vAlign w:val="center"/>
          </w:tcPr>
          <w:p w14:paraId="5239C241">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rPr>
              <w:t>污染物排放速率</w:t>
            </w:r>
          </w:p>
          <w:p w14:paraId="0CDE07DD">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w:t>
            </w:r>
            <w:r>
              <w:rPr>
                <w:rFonts w:ascii="Times New Roman" w:hAnsi="Times New Roman" w:cs="Times New Roman"/>
                <w:b/>
                <w:bCs/>
                <w:color w:val="auto"/>
                <w:sz w:val="21"/>
              </w:rPr>
              <w:t>kg/h</w:t>
            </w:r>
            <w:r>
              <w:rPr>
                <w:rFonts w:ascii="Times New Roman" w:hAnsi="Times New Roman" w:cs="Times New Roman"/>
                <w:b/>
                <w:bCs/>
                <w:color w:val="auto"/>
                <w:sz w:val="21"/>
                <w:lang w:eastAsia="zh-CN"/>
              </w:rPr>
              <w:t>）</w:t>
            </w:r>
          </w:p>
        </w:tc>
      </w:tr>
      <w:tr w14:paraId="1F2779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35" w:type="dxa"/>
            <w:vMerge w:val="continue"/>
            <w:vAlign w:val="center"/>
          </w:tcPr>
          <w:p w14:paraId="0969F2F3">
            <w:pPr>
              <w:widowControl w:val="0"/>
              <w:adjustRightInd w:val="0"/>
              <w:snapToGrid w:val="0"/>
              <w:jc w:val="center"/>
              <w:rPr>
                <w:rFonts w:ascii="Times New Roman" w:hAnsi="Times New Roman" w:cs="Times New Roman"/>
                <w:b/>
                <w:bCs/>
                <w:color w:val="auto"/>
                <w:sz w:val="21"/>
              </w:rPr>
            </w:pPr>
          </w:p>
        </w:tc>
        <w:tc>
          <w:tcPr>
            <w:tcW w:w="768" w:type="dxa"/>
            <w:vAlign w:val="center"/>
          </w:tcPr>
          <w:p w14:paraId="409A18E9">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X</w:t>
            </w:r>
          </w:p>
        </w:tc>
        <w:tc>
          <w:tcPr>
            <w:tcW w:w="767" w:type="dxa"/>
            <w:vAlign w:val="center"/>
          </w:tcPr>
          <w:p w14:paraId="72BA8B2B">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Y</w:t>
            </w:r>
          </w:p>
        </w:tc>
        <w:tc>
          <w:tcPr>
            <w:tcW w:w="790" w:type="dxa"/>
            <w:vAlign w:val="center"/>
          </w:tcPr>
          <w:p w14:paraId="7979D95E">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高度m</w:t>
            </w:r>
          </w:p>
        </w:tc>
        <w:tc>
          <w:tcPr>
            <w:tcW w:w="958" w:type="dxa"/>
            <w:vAlign w:val="center"/>
          </w:tcPr>
          <w:p w14:paraId="5294E8F4">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排气筒内径m</w:t>
            </w:r>
          </w:p>
        </w:tc>
        <w:tc>
          <w:tcPr>
            <w:tcW w:w="985" w:type="dxa"/>
            <w:vAlign w:val="center"/>
          </w:tcPr>
          <w:p w14:paraId="35B9B195">
            <w:pPr>
              <w:widowControl w:val="0"/>
              <w:adjustRightInd w:val="0"/>
              <w:snapToGrid w:val="0"/>
              <w:jc w:val="center"/>
              <w:rPr>
                <w:rFonts w:ascii="Times New Roman" w:hAnsi="Times New Roman" w:cs="Times New Roman"/>
                <w:b/>
                <w:bCs/>
                <w:color w:val="auto"/>
                <w:sz w:val="21"/>
              </w:rPr>
            </w:pPr>
            <w:r>
              <w:rPr>
                <w:rFonts w:hint="eastAsia" w:ascii="Times New Roman" w:hAnsi="Times New Roman" w:cs="Times New Roman"/>
                <w:b/>
                <w:bCs/>
                <w:color w:val="auto"/>
                <w:sz w:val="21"/>
                <w:lang w:eastAsia="zh-CN"/>
              </w:rPr>
              <w:t>烟气</w:t>
            </w:r>
            <w:r>
              <w:rPr>
                <w:rFonts w:ascii="Times New Roman" w:hAnsi="Times New Roman" w:cs="Times New Roman"/>
                <w:b/>
                <w:bCs/>
                <w:color w:val="auto"/>
                <w:sz w:val="21"/>
                <w:lang w:eastAsia="zh-CN"/>
              </w:rPr>
              <w:t>温度℃</w:t>
            </w:r>
          </w:p>
        </w:tc>
        <w:tc>
          <w:tcPr>
            <w:tcW w:w="1134" w:type="dxa"/>
            <w:vAlign w:val="center"/>
          </w:tcPr>
          <w:p w14:paraId="2FDE6BE9">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烟气流量m</w:t>
            </w:r>
            <w:r>
              <w:rPr>
                <w:rFonts w:ascii="Times New Roman" w:hAnsi="Times New Roman" w:cs="Times New Roman"/>
                <w:b/>
                <w:bCs/>
                <w:color w:val="auto"/>
                <w:sz w:val="21"/>
                <w:vertAlign w:val="superscript"/>
                <w:lang w:eastAsia="zh-CN" w:bidi="ar"/>
              </w:rPr>
              <w:t>3</w:t>
            </w:r>
            <w:r>
              <w:rPr>
                <w:rFonts w:ascii="Times New Roman" w:hAnsi="Times New Roman" w:cs="Times New Roman"/>
                <w:b/>
                <w:bCs/>
                <w:color w:val="auto"/>
                <w:sz w:val="21"/>
                <w:lang w:eastAsia="zh-CN" w:bidi="ar"/>
              </w:rPr>
              <w:t>/h</w:t>
            </w:r>
          </w:p>
        </w:tc>
        <w:tc>
          <w:tcPr>
            <w:tcW w:w="851" w:type="dxa"/>
            <w:vMerge w:val="continue"/>
            <w:vAlign w:val="center"/>
          </w:tcPr>
          <w:p w14:paraId="02DE87C4">
            <w:pPr>
              <w:widowControl w:val="0"/>
              <w:adjustRightInd w:val="0"/>
              <w:snapToGrid w:val="0"/>
              <w:jc w:val="center"/>
              <w:rPr>
                <w:rFonts w:ascii="Times New Roman" w:hAnsi="Times New Roman" w:cs="Times New Roman"/>
                <w:b/>
                <w:bCs/>
                <w:color w:val="auto"/>
                <w:sz w:val="21"/>
              </w:rPr>
            </w:pPr>
          </w:p>
        </w:tc>
        <w:tc>
          <w:tcPr>
            <w:tcW w:w="850" w:type="dxa"/>
            <w:vMerge w:val="continue"/>
            <w:vAlign w:val="center"/>
          </w:tcPr>
          <w:p w14:paraId="2E0B0D92">
            <w:pPr>
              <w:widowControl w:val="0"/>
              <w:adjustRightInd w:val="0"/>
              <w:snapToGrid w:val="0"/>
              <w:jc w:val="center"/>
              <w:rPr>
                <w:rFonts w:ascii="Times New Roman" w:hAnsi="Times New Roman" w:cs="Times New Roman"/>
                <w:b/>
                <w:bCs/>
                <w:color w:val="auto"/>
                <w:sz w:val="21"/>
              </w:rPr>
            </w:pPr>
          </w:p>
        </w:tc>
        <w:tc>
          <w:tcPr>
            <w:tcW w:w="1808" w:type="dxa"/>
            <w:gridSpan w:val="2"/>
            <w:vMerge w:val="continue"/>
            <w:vAlign w:val="center"/>
          </w:tcPr>
          <w:p w14:paraId="791469B0">
            <w:pPr>
              <w:widowControl w:val="0"/>
              <w:adjustRightInd w:val="0"/>
              <w:snapToGrid w:val="0"/>
              <w:jc w:val="center"/>
              <w:rPr>
                <w:rFonts w:ascii="Times New Roman" w:hAnsi="Times New Roman" w:cs="Times New Roman"/>
                <w:b/>
                <w:bCs/>
                <w:color w:val="auto"/>
                <w:sz w:val="21"/>
              </w:rPr>
            </w:pPr>
          </w:p>
        </w:tc>
      </w:tr>
      <w:tr w14:paraId="7CF472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835" w:type="dxa"/>
            <w:vMerge w:val="restart"/>
            <w:vAlign w:val="center"/>
          </w:tcPr>
          <w:p w14:paraId="4859DCC7">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DA001</w:t>
            </w:r>
          </w:p>
        </w:tc>
        <w:tc>
          <w:tcPr>
            <w:tcW w:w="768" w:type="dxa"/>
            <w:vMerge w:val="restart"/>
            <w:vAlign w:val="center"/>
          </w:tcPr>
          <w:p w14:paraId="3A7787B9">
            <w:pPr>
              <w:widowControl w:val="0"/>
              <w:adjustRightInd w:val="0"/>
              <w:snapToGrid w:val="0"/>
              <w:jc w:val="center"/>
              <w:rPr>
                <w:rFonts w:ascii="Times New Roman" w:hAnsi="Times New Roman" w:cs="Times New Roman"/>
                <w:color w:val="auto"/>
                <w:sz w:val="21"/>
                <w:lang w:eastAsia="zh-CN"/>
              </w:rPr>
            </w:pPr>
          </w:p>
        </w:tc>
        <w:tc>
          <w:tcPr>
            <w:tcW w:w="767" w:type="dxa"/>
            <w:vMerge w:val="restart"/>
            <w:vAlign w:val="center"/>
          </w:tcPr>
          <w:p w14:paraId="169E9E59">
            <w:pPr>
              <w:widowControl w:val="0"/>
              <w:adjustRightInd w:val="0"/>
              <w:snapToGrid w:val="0"/>
              <w:jc w:val="center"/>
              <w:rPr>
                <w:rFonts w:ascii="Times New Roman" w:hAnsi="Times New Roman" w:cs="Times New Roman"/>
                <w:color w:val="auto"/>
                <w:sz w:val="21"/>
                <w:lang w:eastAsia="zh-CN"/>
              </w:rPr>
            </w:pPr>
          </w:p>
        </w:tc>
        <w:tc>
          <w:tcPr>
            <w:tcW w:w="790" w:type="dxa"/>
            <w:vMerge w:val="restart"/>
            <w:vAlign w:val="center"/>
          </w:tcPr>
          <w:p w14:paraId="5E2D8383">
            <w:pPr>
              <w:widowControl w:val="0"/>
              <w:adjustRightInd w:val="0"/>
              <w:snapToGrid w:val="0"/>
              <w:jc w:val="center"/>
              <w:rPr>
                <w:rFonts w:ascii="Times New Roman" w:hAnsi="Times New Roman" w:cs="Times New Roman"/>
                <w:color w:val="auto"/>
                <w:sz w:val="21"/>
              </w:rPr>
            </w:pPr>
          </w:p>
        </w:tc>
        <w:tc>
          <w:tcPr>
            <w:tcW w:w="958" w:type="dxa"/>
            <w:vMerge w:val="restart"/>
            <w:vAlign w:val="center"/>
          </w:tcPr>
          <w:p w14:paraId="131B27DD">
            <w:pPr>
              <w:widowControl w:val="0"/>
              <w:adjustRightInd w:val="0"/>
              <w:snapToGrid w:val="0"/>
              <w:jc w:val="center"/>
              <w:rPr>
                <w:rFonts w:ascii="Times New Roman" w:hAnsi="Times New Roman" w:cs="Times New Roman"/>
                <w:color w:val="auto"/>
                <w:sz w:val="21"/>
              </w:rPr>
            </w:pPr>
          </w:p>
        </w:tc>
        <w:tc>
          <w:tcPr>
            <w:tcW w:w="985" w:type="dxa"/>
            <w:vMerge w:val="restart"/>
            <w:vAlign w:val="center"/>
          </w:tcPr>
          <w:p w14:paraId="13D4F2A6">
            <w:pPr>
              <w:widowControl w:val="0"/>
              <w:adjustRightInd w:val="0"/>
              <w:snapToGrid w:val="0"/>
              <w:jc w:val="center"/>
              <w:rPr>
                <w:rFonts w:ascii="Times New Roman" w:hAnsi="Times New Roman" w:cs="Times New Roman"/>
                <w:color w:val="auto"/>
                <w:sz w:val="21"/>
              </w:rPr>
            </w:pPr>
          </w:p>
        </w:tc>
        <w:tc>
          <w:tcPr>
            <w:tcW w:w="1134" w:type="dxa"/>
            <w:vMerge w:val="restart"/>
            <w:vAlign w:val="center"/>
          </w:tcPr>
          <w:p w14:paraId="6B6D87F8">
            <w:pPr>
              <w:widowControl w:val="0"/>
              <w:adjustRightInd w:val="0"/>
              <w:snapToGrid w:val="0"/>
              <w:jc w:val="center"/>
              <w:rPr>
                <w:rFonts w:ascii="Times New Roman" w:hAnsi="Times New Roman" w:cs="Times New Roman"/>
                <w:color w:val="auto"/>
                <w:sz w:val="21"/>
              </w:rPr>
            </w:pPr>
          </w:p>
        </w:tc>
        <w:tc>
          <w:tcPr>
            <w:tcW w:w="851" w:type="dxa"/>
            <w:vMerge w:val="restart"/>
            <w:vAlign w:val="center"/>
          </w:tcPr>
          <w:p w14:paraId="640621BD">
            <w:pPr>
              <w:widowControl w:val="0"/>
              <w:adjustRightInd w:val="0"/>
              <w:snapToGrid w:val="0"/>
              <w:jc w:val="center"/>
              <w:rPr>
                <w:rFonts w:ascii="Times New Roman" w:hAnsi="Times New Roman" w:cs="Times New Roman"/>
                <w:color w:val="auto"/>
                <w:sz w:val="21"/>
              </w:rPr>
            </w:pPr>
          </w:p>
        </w:tc>
        <w:tc>
          <w:tcPr>
            <w:tcW w:w="850" w:type="dxa"/>
            <w:vMerge w:val="restart"/>
            <w:vAlign w:val="center"/>
          </w:tcPr>
          <w:p w14:paraId="5A49382F">
            <w:pPr>
              <w:widowControl w:val="0"/>
              <w:adjustRightInd w:val="0"/>
              <w:snapToGrid w:val="0"/>
              <w:jc w:val="center"/>
              <w:rPr>
                <w:rFonts w:ascii="Times New Roman" w:hAnsi="Times New Roman" w:cs="Times New Roman"/>
                <w:color w:val="auto"/>
                <w:sz w:val="21"/>
              </w:rPr>
            </w:pPr>
          </w:p>
        </w:tc>
        <w:tc>
          <w:tcPr>
            <w:tcW w:w="993" w:type="dxa"/>
            <w:vAlign w:val="center"/>
          </w:tcPr>
          <w:p w14:paraId="45FD4BD3">
            <w:pPr>
              <w:adjustRightInd w:val="0"/>
              <w:snapToGrid w:val="0"/>
              <w:jc w:val="center"/>
              <w:textAlignment w:val="center"/>
              <w:rPr>
                <w:rFonts w:ascii="Times New Roman" w:hAnsi="Times New Roman" w:cs="Times New Roman"/>
                <w:color w:val="auto"/>
                <w:sz w:val="21"/>
                <w:lang w:bidi="ar"/>
              </w:rPr>
            </w:pPr>
          </w:p>
        </w:tc>
        <w:tc>
          <w:tcPr>
            <w:tcW w:w="815" w:type="dxa"/>
            <w:vAlign w:val="center"/>
          </w:tcPr>
          <w:p w14:paraId="2152B4F2">
            <w:pPr>
              <w:adjustRightInd w:val="0"/>
              <w:snapToGrid w:val="0"/>
              <w:jc w:val="center"/>
              <w:textAlignment w:val="center"/>
              <w:rPr>
                <w:rFonts w:ascii="Times New Roman" w:hAnsi="Times New Roman" w:cs="Times New Roman"/>
                <w:color w:val="auto"/>
                <w:sz w:val="21"/>
                <w:lang w:eastAsia="zh-CN" w:bidi="ar"/>
              </w:rPr>
            </w:pPr>
          </w:p>
        </w:tc>
      </w:tr>
      <w:tr w14:paraId="79981C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835" w:type="dxa"/>
            <w:vMerge w:val="continue"/>
            <w:vAlign w:val="center"/>
          </w:tcPr>
          <w:p w14:paraId="48E69485">
            <w:pPr>
              <w:widowControl w:val="0"/>
              <w:adjustRightInd w:val="0"/>
              <w:snapToGrid w:val="0"/>
              <w:jc w:val="center"/>
              <w:rPr>
                <w:rFonts w:ascii="Times New Roman" w:hAnsi="Times New Roman" w:cs="Times New Roman"/>
                <w:color w:val="auto"/>
                <w:sz w:val="21"/>
                <w:lang w:eastAsia="zh-CN"/>
              </w:rPr>
            </w:pPr>
          </w:p>
        </w:tc>
        <w:tc>
          <w:tcPr>
            <w:tcW w:w="768" w:type="dxa"/>
            <w:vMerge w:val="continue"/>
            <w:vAlign w:val="center"/>
          </w:tcPr>
          <w:p w14:paraId="50DC9A3E">
            <w:pPr>
              <w:widowControl w:val="0"/>
              <w:adjustRightInd w:val="0"/>
              <w:snapToGrid w:val="0"/>
              <w:jc w:val="center"/>
              <w:rPr>
                <w:rFonts w:ascii="Times New Roman" w:hAnsi="Times New Roman" w:cs="Times New Roman"/>
                <w:color w:val="auto"/>
                <w:sz w:val="21"/>
                <w:lang w:eastAsia="zh-CN"/>
              </w:rPr>
            </w:pPr>
          </w:p>
        </w:tc>
        <w:tc>
          <w:tcPr>
            <w:tcW w:w="767" w:type="dxa"/>
            <w:vMerge w:val="continue"/>
            <w:vAlign w:val="center"/>
          </w:tcPr>
          <w:p w14:paraId="3A1613E4">
            <w:pPr>
              <w:widowControl w:val="0"/>
              <w:adjustRightInd w:val="0"/>
              <w:snapToGrid w:val="0"/>
              <w:jc w:val="center"/>
              <w:rPr>
                <w:rFonts w:ascii="Times New Roman" w:hAnsi="Times New Roman" w:cs="Times New Roman"/>
                <w:color w:val="auto"/>
                <w:sz w:val="21"/>
                <w:lang w:eastAsia="zh-CN"/>
              </w:rPr>
            </w:pPr>
          </w:p>
        </w:tc>
        <w:tc>
          <w:tcPr>
            <w:tcW w:w="790" w:type="dxa"/>
            <w:vMerge w:val="continue"/>
            <w:vAlign w:val="center"/>
          </w:tcPr>
          <w:p w14:paraId="7C05E3B9">
            <w:pPr>
              <w:widowControl w:val="0"/>
              <w:adjustRightInd w:val="0"/>
              <w:snapToGrid w:val="0"/>
              <w:jc w:val="center"/>
              <w:rPr>
                <w:rFonts w:ascii="Times New Roman" w:hAnsi="Times New Roman" w:cs="Times New Roman"/>
                <w:color w:val="auto"/>
                <w:sz w:val="21"/>
                <w:lang w:eastAsia="zh-CN"/>
              </w:rPr>
            </w:pPr>
          </w:p>
        </w:tc>
        <w:tc>
          <w:tcPr>
            <w:tcW w:w="958" w:type="dxa"/>
            <w:vMerge w:val="continue"/>
            <w:vAlign w:val="center"/>
          </w:tcPr>
          <w:p w14:paraId="08FE1E81">
            <w:pPr>
              <w:widowControl w:val="0"/>
              <w:adjustRightInd w:val="0"/>
              <w:snapToGrid w:val="0"/>
              <w:jc w:val="center"/>
              <w:rPr>
                <w:rFonts w:ascii="Times New Roman" w:hAnsi="Times New Roman" w:cs="Times New Roman"/>
                <w:color w:val="auto"/>
                <w:sz w:val="21"/>
                <w:lang w:eastAsia="zh-CN"/>
              </w:rPr>
            </w:pPr>
          </w:p>
        </w:tc>
        <w:tc>
          <w:tcPr>
            <w:tcW w:w="985" w:type="dxa"/>
            <w:vMerge w:val="continue"/>
            <w:vAlign w:val="center"/>
          </w:tcPr>
          <w:p w14:paraId="17E4FCBA">
            <w:pPr>
              <w:widowControl w:val="0"/>
              <w:adjustRightInd w:val="0"/>
              <w:snapToGrid w:val="0"/>
              <w:jc w:val="center"/>
              <w:rPr>
                <w:rFonts w:ascii="Times New Roman" w:hAnsi="Times New Roman" w:cs="Times New Roman"/>
                <w:color w:val="auto"/>
                <w:sz w:val="21"/>
                <w:lang w:eastAsia="zh-CN"/>
              </w:rPr>
            </w:pPr>
          </w:p>
        </w:tc>
        <w:tc>
          <w:tcPr>
            <w:tcW w:w="1134" w:type="dxa"/>
            <w:vMerge w:val="continue"/>
            <w:vAlign w:val="center"/>
          </w:tcPr>
          <w:p w14:paraId="46C03872">
            <w:pPr>
              <w:widowControl w:val="0"/>
              <w:adjustRightInd w:val="0"/>
              <w:snapToGrid w:val="0"/>
              <w:jc w:val="center"/>
              <w:rPr>
                <w:rFonts w:ascii="Times New Roman" w:hAnsi="Times New Roman" w:cs="Times New Roman"/>
                <w:color w:val="auto"/>
                <w:sz w:val="21"/>
                <w:lang w:eastAsia="zh-CN"/>
              </w:rPr>
            </w:pPr>
          </w:p>
        </w:tc>
        <w:tc>
          <w:tcPr>
            <w:tcW w:w="851" w:type="dxa"/>
            <w:vMerge w:val="continue"/>
            <w:vAlign w:val="center"/>
          </w:tcPr>
          <w:p w14:paraId="57425530">
            <w:pPr>
              <w:widowControl w:val="0"/>
              <w:adjustRightInd w:val="0"/>
              <w:snapToGrid w:val="0"/>
              <w:jc w:val="center"/>
              <w:rPr>
                <w:rFonts w:ascii="Times New Roman" w:hAnsi="Times New Roman" w:cs="Times New Roman"/>
                <w:color w:val="auto"/>
                <w:sz w:val="21"/>
                <w:lang w:eastAsia="zh-CN"/>
              </w:rPr>
            </w:pPr>
          </w:p>
        </w:tc>
        <w:tc>
          <w:tcPr>
            <w:tcW w:w="850" w:type="dxa"/>
            <w:vMerge w:val="continue"/>
            <w:vAlign w:val="center"/>
          </w:tcPr>
          <w:p w14:paraId="26CB023B">
            <w:pPr>
              <w:widowControl w:val="0"/>
              <w:adjustRightInd w:val="0"/>
              <w:snapToGrid w:val="0"/>
              <w:jc w:val="center"/>
              <w:rPr>
                <w:rFonts w:ascii="Times New Roman" w:hAnsi="Times New Roman" w:cs="Times New Roman"/>
                <w:color w:val="auto"/>
                <w:sz w:val="21"/>
                <w:lang w:eastAsia="zh-CN"/>
              </w:rPr>
            </w:pPr>
          </w:p>
        </w:tc>
        <w:tc>
          <w:tcPr>
            <w:tcW w:w="993" w:type="dxa"/>
            <w:vAlign w:val="center"/>
          </w:tcPr>
          <w:p w14:paraId="55216B92">
            <w:pPr>
              <w:adjustRightInd w:val="0"/>
              <w:snapToGrid w:val="0"/>
              <w:jc w:val="center"/>
              <w:textAlignment w:val="center"/>
              <w:rPr>
                <w:rFonts w:ascii="Times New Roman" w:hAnsi="Times New Roman" w:cs="Times New Roman"/>
                <w:color w:val="auto"/>
                <w:sz w:val="21"/>
                <w:lang w:eastAsia="zh-CN" w:bidi="ar"/>
              </w:rPr>
            </w:pPr>
          </w:p>
        </w:tc>
        <w:tc>
          <w:tcPr>
            <w:tcW w:w="815" w:type="dxa"/>
            <w:vAlign w:val="center"/>
          </w:tcPr>
          <w:p w14:paraId="7E28AD95">
            <w:pPr>
              <w:adjustRightInd w:val="0"/>
              <w:snapToGrid w:val="0"/>
              <w:jc w:val="center"/>
              <w:textAlignment w:val="center"/>
              <w:rPr>
                <w:rFonts w:ascii="Times New Roman" w:hAnsi="Times New Roman" w:cs="Times New Roman"/>
                <w:color w:val="auto"/>
                <w:sz w:val="21"/>
                <w:lang w:eastAsia="zh-CN" w:bidi="ar"/>
              </w:rPr>
            </w:pPr>
          </w:p>
        </w:tc>
      </w:tr>
    </w:tbl>
    <w:p w14:paraId="6EAEFD7F">
      <w:pPr>
        <w:spacing w:before="156" w:beforeLines="50"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表6.2-</w:t>
      </w:r>
      <w:r>
        <w:rPr>
          <w:rFonts w:hint="eastAsia" w:ascii="Times New Roman" w:hAnsi="Times New Roman" w:cs="Times New Roman"/>
          <w:b/>
          <w:bCs/>
          <w:color w:val="auto"/>
          <w:szCs w:val="24"/>
          <w:lang w:eastAsia="zh-CN"/>
        </w:rPr>
        <w:t>7</w:t>
      </w:r>
      <w:r>
        <w:rPr>
          <w:rFonts w:ascii="Times New Roman" w:hAnsi="Times New Roman" w:cs="Times New Roman"/>
          <w:b/>
          <w:bCs/>
          <w:color w:val="auto"/>
          <w:szCs w:val="24"/>
          <w:lang w:eastAsia="zh-CN"/>
        </w:rPr>
        <w:t xml:space="preserve"> 无组织废气污染源强汇总一览表</w:t>
      </w:r>
    </w:p>
    <w:tbl>
      <w:tblPr>
        <w:tblStyle w:val="35"/>
        <w:tblW w:w="9854" w:type="dxa"/>
        <w:jc w:val="center"/>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
      <w:tblGrid>
        <w:gridCol w:w="821"/>
        <w:gridCol w:w="627"/>
        <w:gridCol w:w="627"/>
        <w:gridCol w:w="1098"/>
        <w:gridCol w:w="932"/>
        <w:gridCol w:w="821"/>
        <w:gridCol w:w="821"/>
        <w:gridCol w:w="821"/>
        <w:gridCol w:w="717"/>
        <w:gridCol w:w="780"/>
        <w:gridCol w:w="967"/>
        <w:gridCol w:w="822"/>
      </w:tblGrid>
      <w:tr w14:paraId="6041FC46">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40" w:hRule="atLeast"/>
          <w:jc w:val="center"/>
        </w:trPr>
        <w:tc>
          <w:tcPr>
            <w:tcW w:w="821" w:type="dxa"/>
            <w:vAlign w:val="center"/>
          </w:tcPr>
          <w:p w14:paraId="4A3FF682">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名称</w:t>
            </w:r>
          </w:p>
        </w:tc>
        <w:tc>
          <w:tcPr>
            <w:tcW w:w="1254" w:type="dxa"/>
            <w:gridSpan w:val="2"/>
            <w:vAlign w:val="center"/>
          </w:tcPr>
          <w:p w14:paraId="12E0BF5B">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面源中心点坐标</w:t>
            </w:r>
          </w:p>
          <w:p w14:paraId="5319CFA3">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（X，Y）</w:t>
            </w:r>
          </w:p>
        </w:tc>
        <w:tc>
          <w:tcPr>
            <w:tcW w:w="1098" w:type="dxa"/>
            <w:vAlign w:val="center"/>
          </w:tcPr>
          <w:p w14:paraId="203F884B">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污染物名称</w:t>
            </w:r>
          </w:p>
        </w:tc>
        <w:tc>
          <w:tcPr>
            <w:tcW w:w="932" w:type="dxa"/>
            <w:vAlign w:val="center"/>
          </w:tcPr>
          <w:p w14:paraId="405C6430">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污染物排放量t/a</w:t>
            </w:r>
          </w:p>
        </w:tc>
        <w:tc>
          <w:tcPr>
            <w:tcW w:w="821" w:type="dxa"/>
            <w:vAlign w:val="center"/>
          </w:tcPr>
          <w:p w14:paraId="337C4F18">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排放速率kg/h</w:t>
            </w:r>
          </w:p>
        </w:tc>
        <w:tc>
          <w:tcPr>
            <w:tcW w:w="821" w:type="dxa"/>
            <w:vAlign w:val="center"/>
          </w:tcPr>
          <w:p w14:paraId="42F31466">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面源海拔高度m</w:t>
            </w:r>
          </w:p>
        </w:tc>
        <w:tc>
          <w:tcPr>
            <w:tcW w:w="821" w:type="dxa"/>
            <w:vAlign w:val="center"/>
          </w:tcPr>
          <w:p w14:paraId="02626E3E">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面源长度m</w:t>
            </w:r>
          </w:p>
        </w:tc>
        <w:tc>
          <w:tcPr>
            <w:tcW w:w="717" w:type="dxa"/>
            <w:vAlign w:val="center"/>
          </w:tcPr>
          <w:p w14:paraId="152BE431">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面源宽度m</w:t>
            </w:r>
          </w:p>
        </w:tc>
        <w:tc>
          <w:tcPr>
            <w:tcW w:w="780" w:type="dxa"/>
            <w:vAlign w:val="center"/>
          </w:tcPr>
          <w:p w14:paraId="4FDDF0F6">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正北向夹角°</w:t>
            </w:r>
          </w:p>
        </w:tc>
        <w:tc>
          <w:tcPr>
            <w:tcW w:w="967" w:type="dxa"/>
            <w:vAlign w:val="center"/>
          </w:tcPr>
          <w:p w14:paraId="1071F0F3">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面源有效排放高度m</w:t>
            </w:r>
          </w:p>
        </w:tc>
        <w:tc>
          <w:tcPr>
            <w:tcW w:w="822" w:type="dxa"/>
            <w:vAlign w:val="center"/>
          </w:tcPr>
          <w:p w14:paraId="7E355D1C">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年排放小时数</w:t>
            </w:r>
          </w:p>
        </w:tc>
      </w:tr>
      <w:tr w14:paraId="4BF46204">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40" w:hRule="atLeast"/>
          <w:jc w:val="center"/>
        </w:trPr>
        <w:tc>
          <w:tcPr>
            <w:tcW w:w="821" w:type="dxa"/>
            <w:vAlign w:val="center"/>
          </w:tcPr>
          <w:p w14:paraId="5E77E211">
            <w:pPr>
              <w:widowControl w:val="0"/>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综合</w:t>
            </w:r>
            <w:r>
              <w:rPr>
                <w:rFonts w:ascii="Times New Roman" w:hAnsi="Times New Roman" w:cs="Times New Roman"/>
                <w:color w:val="auto"/>
                <w:sz w:val="21"/>
                <w:lang w:eastAsia="zh-CN"/>
              </w:rPr>
              <w:t>车间</w:t>
            </w:r>
          </w:p>
        </w:tc>
        <w:tc>
          <w:tcPr>
            <w:tcW w:w="627" w:type="dxa"/>
            <w:vAlign w:val="center"/>
          </w:tcPr>
          <w:p w14:paraId="3828A1CF">
            <w:pPr>
              <w:widowControl w:val="0"/>
              <w:adjustRightInd w:val="0"/>
              <w:snapToGrid w:val="0"/>
              <w:jc w:val="center"/>
              <w:rPr>
                <w:rFonts w:ascii="Times New Roman" w:hAnsi="Times New Roman" w:cs="Times New Roman"/>
                <w:color w:val="auto"/>
                <w:sz w:val="21"/>
                <w:lang w:eastAsia="zh-CN"/>
              </w:rPr>
            </w:pPr>
          </w:p>
        </w:tc>
        <w:tc>
          <w:tcPr>
            <w:tcW w:w="627" w:type="dxa"/>
            <w:vAlign w:val="center"/>
          </w:tcPr>
          <w:p w14:paraId="09D450CD">
            <w:pPr>
              <w:widowControl w:val="0"/>
              <w:adjustRightInd w:val="0"/>
              <w:snapToGrid w:val="0"/>
              <w:jc w:val="center"/>
              <w:rPr>
                <w:rFonts w:ascii="Times New Roman" w:hAnsi="Times New Roman" w:cs="Times New Roman"/>
                <w:color w:val="auto"/>
                <w:sz w:val="21"/>
                <w:lang w:eastAsia="zh-CN"/>
              </w:rPr>
            </w:pPr>
          </w:p>
        </w:tc>
        <w:tc>
          <w:tcPr>
            <w:tcW w:w="1098" w:type="dxa"/>
            <w:vAlign w:val="center"/>
          </w:tcPr>
          <w:p w14:paraId="312C90B4">
            <w:pPr>
              <w:widowControl w:val="0"/>
              <w:adjustRightInd w:val="0"/>
              <w:snapToGrid w:val="0"/>
              <w:jc w:val="center"/>
              <w:rPr>
                <w:rFonts w:ascii="Times New Roman" w:hAnsi="Times New Roman" w:cs="Times New Roman"/>
                <w:color w:val="auto"/>
                <w:sz w:val="21"/>
              </w:rPr>
            </w:pPr>
          </w:p>
        </w:tc>
        <w:tc>
          <w:tcPr>
            <w:tcW w:w="932" w:type="dxa"/>
            <w:vAlign w:val="center"/>
          </w:tcPr>
          <w:p w14:paraId="15B82721">
            <w:pPr>
              <w:widowControl w:val="0"/>
              <w:adjustRightInd w:val="0"/>
              <w:snapToGrid w:val="0"/>
              <w:jc w:val="center"/>
              <w:rPr>
                <w:rFonts w:ascii="Times New Roman" w:hAnsi="Times New Roman" w:cs="Times New Roman"/>
                <w:color w:val="auto"/>
                <w:sz w:val="21"/>
                <w:lang w:eastAsia="zh-CN"/>
              </w:rPr>
            </w:pPr>
          </w:p>
        </w:tc>
        <w:tc>
          <w:tcPr>
            <w:tcW w:w="821" w:type="dxa"/>
            <w:vAlign w:val="center"/>
          </w:tcPr>
          <w:p w14:paraId="54C1D961">
            <w:pPr>
              <w:widowControl w:val="0"/>
              <w:adjustRightInd w:val="0"/>
              <w:snapToGrid w:val="0"/>
              <w:jc w:val="center"/>
              <w:rPr>
                <w:rFonts w:ascii="Times New Roman" w:hAnsi="Times New Roman" w:cs="Times New Roman"/>
                <w:color w:val="auto"/>
                <w:sz w:val="21"/>
                <w:lang w:eastAsia="zh-CN"/>
              </w:rPr>
            </w:pPr>
          </w:p>
        </w:tc>
        <w:tc>
          <w:tcPr>
            <w:tcW w:w="821" w:type="dxa"/>
            <w:vAlign w:val="center"/>
          </w:tcPr>
          <w:p w14:paraId="2BBD4784">
            <w:pPr>
              <w:widowControl w:val="0"/>
              <w:adjustRightInd w:val="0"/>
              <w:snapToGrid w:val="0"/>
              <w:jc w:val="center"/>
              <w:rPr>
                <w:rFonts w:ascii="Times New Roman" w:hAnsi="Times New Roman" w:cs="Times New Roman"/>
                <w:color w:val="auto"/>
                <w:sz w:val="21"/>
                <w:lang w:eastAsia="zh-CN"/>
              </w:rPr>
            </w:pPr>
          </w:p>
        </w:tc>
        <w:tc>
          <w:tcPr>
            <w:tcW w:w="821" w:type="dxa"/>
            <w:vAlign w:val="center"/>
          </w:tcPr>
          <w:p w14:paraId="176D4E4D">
            <w:pPr>
              <w:widowControl w:val="0"/>
              <w:adjustRightInd w:val="0"/>
              <w:snapToGrid w:val="0"/>
              <w:jc w:val="center"/>
              <w:rPr>
                <w:rFonts w:ascii="Times New Roman" w:hAnsi="Times New Roman" w:cs="Times New Roman"/>
                <w:color w:val="auto"/>
                <w:sz w:val="21"/>
                <w:lang w:eastAsia="zh-CN"/>
              </w:rPr>
            </w:pPr>
          </w:p>
        </w:tc>
        <w:tc>
          <w:tcPr>
            <w:tcW w:w="717" w:type="dxa"/>
            <w:vAlign w:val="center"/>
          </w:tcPr>
          <w:p w14:paraId="57618E0D">
            <w:pPr>
              <w:widowControl w:val="0"/>
              <w:adjustRightInd w:val="0"/>
              <w:snapToGrid w:val="0"/>
              <w:jc w:val="center"/>
              <w:rPr>
                <w:rFonts w:ascii="Times New Roman" w:hAnsi="Times New Roman" w:cs="Times New Roman"/>
                <w:color w:val="auto"/>
                <w:sz w:val="21"/>
                <w:lang w:eastAsia="zh-CN"/>
              </w:rPr>
            </w:pPr>
          </w:p>
        </w:tc>
        <w:tc>
          <w:tcPr>
            <w:tcW w:w="780" w:type="dxa"/>
            <w:vAlign w:val="center"/>
          </w:tcPr>
          <w:p w14:paraId="54937DC2">
            <w:pPr>
              <w:widowControl w:val="0"/>
              <w:adjustRightInd w:val="0"/>
              <w:snapToGrid w:val="0"/>
              <w:jc w:val="center"/>
              <w:rPr>
                <w:rFonts w:ascii="Times New Roman" w:hAnsi="Times New Roman" w:cs="Times New Roman"/>
                <w:color w:val="auto"/>
                <w:sz w:val="21"/>
              </w:rPr>
            </w:pPr>
          </w:p>
        </w:tc>
        <w:tc>
          <w:tcPr>
            <w:tcW w:w="967" w:type="dxa"/>
            <w:vAlign w:val="center"/>
          </w:tcPr>
          <w:p w14:paraId="394C710A">
            <w:pPr>
              <w:widowControl w:val="0"/>
              <w:adjustRightInd w:val="0"/>
              <w:snapToGrid w:val="0"/>
              <w:jc w:val="center"/>
              <w:rPr>
                <w:rFonts w:ascii="Times New Roman" w:hAnsi="Times New Roman" w:cs="Times New Roman"/>
                <w:color w:val="auto"/>
                <w:sz w:val="21"/>
                <w:lang w:eastAsia="zh-CN"/>
              </w:rPr>
            </w:pPr>
          </w:p>
        </w:tc>
        <w:tc>
          <w:tcPr>
            <w:tcW w:w="822" w:type="dxa"/>
            <w:vAlign w:val="center"/>
          </w:tcPr>
          <w:p w14:paraId="4499663F">
            <w:pPr>
              <w:widowControl w:val="0"/>
              <w:adjustRightInd w:val="0"/>
              <w:snapToGrid w:val="0"/>
              <w:jc w:val="center"/>
              <w:rPr>
                <w:rFonts w:ascii="Times New Roman" w:hAnsi="Times New Roman" w:cs="Times New Roman"/>
                <w:color w:val="auto"/>
                <w:sz w:val="21"/>
                <w:lang w:eastAsia="zh-CN"/>
              </w:rPr>
            </w:pPr>
          </w:p>
        </w:tc>
      </w:tr>
    </w:tbl>
    <w:p w14:paraId="0204FE10">
      <w:pPr>
        <w:spacing w:before="156" w:beforeLines="50"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表6.2-</w:t>
      </w:r>
      <w:r>
        <w:rPr>
          <w:rFonts w:hint="eastAsia" w:ascii="Times New Roman" w:hAnsi="Times New Roman" w:cs="Times New Roman"/>
          <w:b/>
          <w:bCs/>
          <w:color w:val="auto"/>
          <w:szCs w:val="24"/>
          <w:lang w:eastAsia="zh-CN"/>
        </w:rPr>
        <w:t>8</w:t>
      </w:r>
      <w:r>
        <w:rPr>
          <w:rFonts w:ascii="Times New Roman" w:hAnsi="Times New Roman" w:cs="Times New Roman"/>
          <w:b/>
          <w:bCs/>
          <w:color w:val="auto"/>
          <w:szCs w:val="24"/>
          <w:lang w:eastAsia="zh-CN"/>
        </w:rPr>
        <w:t xml:space="preserve"> 非正常工况下有组织废气污染源强一览表</w:t>
      </w:r>
    </w:p>
    <w:tbl>
      <w:tblPr>
        <w:tblStyle w:val="35"/>
        <w:tblW w:w="4966"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854"/>
        <w:gridCol w:w="1134"/>
        <w:gridCol w:w="1981"/>
        <w:gridCol w:w="1134"/>
        <w:gridCol w:w="1249"/>
        <w:gridCol w:w="1067"/>
        <w:gridCol w:w="1090"/>
        <w:gridCol w:w="1171"/>
      </w:tblGrid>
      <w:tr w14:paraId="08C9473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41" w:type="pct"/>
            <w:vAlign w:val="center"/>
          </w:tcPr>
          <w:p w14:paraId="69267CBC">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污染源</w:t>
            </w:r>
          </w:p>
        </w:tc>
        <w:tc>
          <w:tcPr>
            <w:tcW w:w="586" w:type="pct"/>
            <w:vAlign w:val="center"/>
          </w:tcPr>
          <w:p w14:paraId="048C2087">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污染物</w:t>
            </w:r>
          </w:p>
        </w:tc>
        <w:tc>
          <w:tcPr>
            <w:tcW w:w="1023" w:type="pct"/>
            <w:vAlign w:val="center"/>
          </w:tcPr>
          <w:p w14:paraId="0EC8818F">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处理</w:t>
            </w:r>
          </w:p>
          <w:p w14:paraId="3D1F0C5D">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方式</w:t>
            </w:r>
          </w:p>
        </w:tc>
        <w:tc>
          <w:tcPr>
            <w:tcW w:w="586" w:type="pct"/>
            <w:vAlign w:val="center"/>
          </w:tcPr>
          <w:p w14:paraId="6B2A1536">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排放速率</w:t>
            </w:r>
          </w:p>
          <w:p w14:paraId="487CB91E">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（kg/h）</w:t>
            </w:r>
          </w:p>
        </w:tc>
        <w:tc>
          <w:tcPr>
            <w:tcW w:w="645" w:type="pct"/>
            <w:vAlign w:val="center"/>
          </w:tcPr>
          <w:p w14:paraId="73D6A184">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排放浓度</w:t>
            </w:r>
          </w:p>
          <w:p w14:paraId="0BFF3B32">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（mg/m</w:t>
            </w:r>
            <w:r>
              <w:rPr>
                <w:rFonts w:ascii="Times New Roman" w:hAnsi="Times New Roman" w:cs="Times New Roman"/>
                <w:b/>
                <w:color w:val="auto"/>
                <w:sz w:val="21"/>
                <w:vertAlign w:val="superscript"/>
              </w:rPr>
              <w:t>3</w:t>
            </w:r>
            <w:r>
              <w:rPr>
                <w:rFonts w:ascii="Times New Roman" w:hAnsi="Times New Roman" w:cs="Times New Roman"/>
                <w:b/>
                <w:color w:val="auto"/>
                <w:sz w:val="21"/>
              </w:rPr>
              <w:t>）</w:t>
            </w:r>
          </w:p>
        </w:tc>
        <w:tc>
          <w:tcPr>
            <w:tcW w:w="551" w:type="pct"/>
            <w:vAlign w:val="center"/>
          </w:tcPr>
          <w:p w14:paraId="598E928D">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废气量</w:t>
            </w:r>
          </w:p>
          <w:p w14:paraId="4D991D90">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（m</w:t>
            </w:r>
            <w:r>
              <w:rPr>
                <w:rFonts w:ascii="Times New Roman" w:hAnsi="Times New Roman" w:cs="Times New Roman"/>
                <w:b/>
                <w:color w:val="auto"/>
                <w:sz w:val="21"/>
                <w:vertAlign w:val="superscript"/>
              </w:rPr>
              <w:t>3</w:t>
            </w:r>
            <w:r>
              <w:rPr>
                <w:rFonts w:ascii="Times New Roman" w:hAnsi="Times New Roman" w:cs="Times New Roman"/>
                <w:b/>
                <w:color w:val="auto"/>
                <w:sz w:val="21"/>
              </w:rPr>
              <w:t>/h）</w:t>
            </w:r>
          </w:p>
        </w:tc>
        <w:tc>
          <w:tcPr>
            <w:tcW w:w="563" w:type="pct"/>
            <w:vAlign w:val="center"/>
          </w:tcPr>
          <w:p w14:paraId="060FFE33">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排放高度（m）</w:t>
            </w:r>
          </w:p>
        </w:tc>
        <w:tc>
          <w:tcPr>
            <w:tcW w:w="605" w:type="pct"/>
            <w:vAlign w:val="center"/>
          </w:tcPr>
          <w:p w14:paraId="2E9798AF">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单次持续时间/min</w:t>
            </w:r>
          </w:p>
        </w:tc>
      </w:tr>
      <w:tr w14:paraId="0C285CE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41" w:type="pct"/>
            <w:vMerge w:val="restart"/>
            <w:vAlign w:val="center"/>
          </w:tcPr>
          <w:p w14:paraId="2CBDFA6C">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DA001</w:t>
            </w:r>
          </w:p>
        </w:tc>
        <w:tc>
          <w:tcPr>
            <w:tcW w:w="586" w:type="pct"/>
            <w:vAlign w:val="center"/>
          </w:tcPr>
          <w:p w14:paraId="0F3CDB3A">
            <w:pPr>
              <w:adjustRightInd w:val="0"/>
              <w:snapToGrid w:val="0"/>
              <w:jc w:val="center"/>
              <w:rPr>
                <w:rFonts w:ascii="Times New Roman" w:hAnsi="Times New Roman" w:cs="Times New Roman"/>
                <w:color w:val="auto"/>
                <w:sz w:val="21"/>
              </w:rPr>
            </w:pPr>
          </w:p>
        </w:tc>
        <w:tc>
          <w:tcPr>
            <w:tcW w:w="1023" w:type="pct"/>
            <w:vMerge w:val="restart"/>
            <w:vAlign w:val="center"/>
          </w:tcPr>
          <w:p w14:paraId="2CB2F951">
            <w:pPr>
              <w:adjustRightInd w:val="0"/>
              <w:snapToGrid w:val="0"/>
              <w:jc w:val="center"/>
              <w:rPr>
                <w:rFonts w:ascii="Times New Roman" w:hAnsi="Times New Roman" w:cs="Times New Roman"/>
                <w:color w:val="auto"/>
                <w:sz w:val="21"/>
                <w:lang w:eastAsia="zh-CN"/>
              </w:rPr>
            </w:pPr>
          </w:p>
        </w:tc>
        <w:tc>
          <w:tcPr>
            <w:tcW w:w="586" w:type="pct"/>
            <w:vAlign w:val="center"/>
          </w:tcPr>
          <w:p w14:paraId="69136992">
            <w:pPr>
              <w:adjustRightInd w:val="0"/>
              <w:snapToGrid w:val="0"/>
              <w:jc w:val="center"/>
              <w:textAlignment w:val="center"/>
              <w:rPr>
                <w:rFonts w:ascii="Times New Roman" w:hAnsi="Times New Roman" w:cs="Times New Roman"/>
                <w:color w:val="auto"/>
                <w:sz w:val="21"/>
                <w:lang w:eastAsia="zh-CN"/>
              </w:rPr>
            </w:pPr>
          </w:p>
        </w:tc>
        <w:tc>
          <w:tcPr>
            <w:tcW w:w="645" w:type="pct"/>
            <w:vAlign w:val="center"/>
          </w:tcPr>
          <w:p w14:paraId="28C5FB61">
            <w:pPr>
              <w:adjustRightInd w:val="0"/>
              <w:snapToGrid w:val="0"/>
              <w:jc w:val="center"/>
              <w:textAlignment w:val="center"/>
              <w:rPr>
                <w:rFonts w:ascii="Times New Roman" w:hAnsi="Times New Roman" w:cs="Times New Roman"/>
                <w:color w:val="auto"/>
                <w:sz w:val="21"/>
                <w:lang w:eastAsia="zh-CN"/>
              </w:rPr>
            </w:pPr>
          </w:p>
        </w:tc>
        <w:tc>
          <w:tcPr>
            <w:tcW w:w="551" w:type="pct"/>
            <w:vMerge w:val="restart"/>
            <w:vAlign w:val="center"/>
          </w:tcPr>
          <w:p w14:paraId="4E497CF2">
            <w:pPr>
              <w:adjustRightInd w:val="0"/>
              <w:snapToGrid w:val="0"/>
              <w:jc w:val="center"/>
              <w:rPr>
                <w:rFonts w:ascii="Times New Roman" w:hAnsi="Times New Roman" w:cs="Times New Roman"/>
                <w:color w:val="auto"/>
                <w:sz w:val="21"/>
              </w:rPr>
            </w:pPr>
          </w:p>
        </w:tc>
        <w:tc>
          <w:tcPr>
            <w:tcW w:w="563" w:type="pct"/>
            <w:vMerge w:val="restart"/>
            <w:vAlign w:val="center"/>
          </w:tcPr>
          <w:p w14:paraId="744B3F68">
            <w:pPr>
              <w:adjustRightInd w:val="0"/>
              <w:snapToGrid w:val="0"/>
              <w:jc w:val="center"/>
              <w:rPr>
                <w:rFonts w:ascii="Times New Roman" w:hAnsi="Times New Roman" w:cs="Times New Roman"/>
                <w:color w:val="auto"/>
                <w:sz w:val="21"/>
                <w:lang w:eastAsia="zh-CN"/>
              </w:rPr>
            </w:pPr>
          </w:p>
        </w:tc>
        <w:tc>
          <w:tcPr>
            <w:tcW w:w="605" w:type="pct"/>
            <w:vMerge w:val="restart"/>
            <w:vAlign w:val="center"/>
          </w:tcPr>
          <w:p w14:paraId="05CC5D6A">
            <w:pPr>
              <w:adjustRightInd w:val="0"/>
              <w:snapToGrid w:val="0"/>
              <w:jc w:val="center"/>
              <w:rPr>
                <w:rFonts w:ascii="Times New Roman" w:hAnsi="Times New Roman" w:cs="Times New Roman"/>
                <w:color w:val="auto"/>
                <w:sz w:val="21"/>
              </w:rPr>
            </w:pPr>
          </w:p>
        </w:tc>
      </w:tr>
      <w:tr w14:paraId="1803F87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41" w:type="pct"/>
            <w:vMerge w:val="continue"/>
            <w:vAlign w:val="center"/>
          </w:tcPr>
          <w:p w14:paraId="03803ED8">
            <w:pPr>
              <w:adjustRightInd w:val="0"/>
              <w:snapToGrid w:val="0"/>
              <w:jc w:val="center"/>
              <w:rPr>
                <w:rFonts w:ascii="Times New Roman" w:hAnsi="Times New Roman" w:cs="Times New Roman"/>
                <w:color w:val="auto"/>
                <w:sz w:val="21"/>
                <w:lang w:eastAsia="zh-CN"/>
              </w:rPr>
            </w:pPr>
          </w:p>
        </w:tc>
        <w:tc>
          <w:tcPr>
            <w:tcW w:w="586" w:type="pct"/>
            <w:vAlign w:val="center"/>
          </w:tcPr>
          <w:p w14:paraId="69F797CB">
            <w:pPr>
              <w:overflowPunct w:val="0"/>
              <w:jc w:val="center"/>
              <w:textAlignment w:val="center"/>
              <w:rPr>
                <w:rFonts w:ascii="Times New Roman" w:hAnsi="Times New Roman" w:cs="Times New Roman"/>
                <w:color w:val="auto"/>
                <w:sz w:val="21"/>
                <w:lang w:eastAsia="zh-CN" w:bidi="ar"/>
              </w:rPr>
            </w:pPr>
          </w:p>
        </w:tc>
        <w:tc>
          <w:tcPr>
            <w:tcW w:w="1023" w:type="pct"/>
            <w:vMerge w:val="continue"/>
            <w:vAlign w:val="center"/>
          </w:tcPr>
          <w:p w14:paraId="5A8730D8">
            <w:pPr>
              <w:adjustRightInd w:val="0"/>
              <w:snapToGrid w:val="0"/>
              <w:jc w:val="center"/>
              <w:rPr>
                <w:rFonts w:ascii="Times New Roman" w:hAnsi="Times New Roman" w:cs="Times New Roman"/>
                <w:color w:val="auto"/>
                <w:sz w:val="21"/>
                <w:lang w:eastAsia="zh-CN"/>
              </w:rPr>
            </w:pPr>
          </w:p>
        </w:tc>
        <w:tc>
          <w:tcPr>
            <w:tcW w:w="586" w:type="pct"/>
            <w:vAlign w:val="center"/>
          </w:tcPr>
          <w:p w14:paraId="0F69B01B">
            <w:pPr>
              <w:adjustRightInd w:val="0"/>
              <w:snapToGrid w:val="0"/>
              <w:jc w:val="center"/>
              <w:textAlignment w:val="center"/>
              <w:rPr>
                <w:rFonts w:ascii="Times New Roman" w:hAnsi="Times New Roman" w:cs="Times New Roman"/>
                <w:color w:val="auto"/>
                <w:sz w:val="21"/>
                <w:lang w:eastAsia="zh-CN" w:bidi="ar"/>
              </w:rPr>
            </w:pPr>
          </w:p>
        </w:tc>
        <w:tc>
          <w:tcPr>
            <w:tcW w:w="645" w:type="pct"/>
            <w:vAlign w:val="center"/>
          </w:tcPr>
          <w:p w14:paraId="6495A2EB">
            <w:pPr>
              <w:adjustRightInd w:val="0"/>
              <w:snapToGrid w:val="0"/>
              <w:jc w:val="center"/>
              <w:textAlignment w:val="center"/>
              <w:rPr>
                <w:rFonts w:ascii="Times New Roman" w:hAnsi="Times New Roman" w:cs="Times New Roman"/>
                <w:color w:val="auto"/>
                <w:sz w:val="21"/>
                <w:lang w:eastAsia="zh-CN" w:bidi="ar"/>
              </w:rPr>
            </w:pPr>
          </w:p>
        </w:tc>
        <w:tc>
          <w:tcPr>
            <w:tcW w:w="551" w:type="pct"/>
            <w:vMerge w:val="continue"/>
            <w:vAlign w:val="center"/>
          </w:tcPr>
          <w:p w14:paraId="5B980A87">
            <w:pPr>
              <w:adjustRightInd w:val="0"/>
              <w:snapToGrid w:val="0"/>
              <w:jc w:val="center"/>
              <w:rPr>
                <w:rFonts w:ascii="Times New Roman" w:hAnsi="Times New Roman" w:cs="Times New Roman"/>
                <w:color w:val="auto"/>
                <w:sz w:val="21"/>
                <w:lang w:eastAsia="zh-CN"/>
              </w:rPr>
            </w:pPr>
          </w:p>
        </w:tc>
        <w:tc>
          <w:tcPr>
            <w:tcW w:w="563" w:type="pct"/>
            <w:vMerge w:val="continue"/>
            <w:vAlign w:val="center"/>
          </w:tcPr>
          <w:p w14:paraId="72D8D23A">
            <w:pPr>
              <w:adjustRightInd w:val="0"/>
              <w:snapToGrid w:val="0"/>
              <w:jc w:val="center"/>
              <w:rPr>
                <w:rFonts w:ascii="Times New Roman" w:hAnsi="Times New Roman" w:cs="Times New Roman"/>
                <w:color w:val="auto"/>
                <w:sz w:val="21"/>
                <w:lang w:eastAsia="zh-CN"/>
              </w:rPr>
            </w:pPr>
          </w:p>
        </w:tc>
        <w:tc>
          <w:tcPr>
            <w:tcW w:w="605" w:type="pct"/>
            <w:vMerge w:val="continue"/>
            <w:vAlign w:val="center"/>
          </w:tcPr>
          <w:p w14:paraId="0305FE93">
            <w:pPr>
              <w:adjustRightInd w:val="0"/>
              <w:snapToGrid w:val="0"/>
              <w:jc w:val="center"/>
              <w:rPr>
                <w:rFonts w:ascii="Times New Roman" w:hAnsi="Times New Roman" w:cs="Times New Roman"/>
                <w:color w:val="auto"/>
                <w:sz w:val="21"/>
              </w:rPr>
            </w:pPr>
          </w:p>
        </w:tc>
      </w:tr>
    </w:tbl>
    <w:p w14:paraId="3EE83860">
      <w:pPr>
        <w:spacing w:line="360" w:lineRule="auto"/>
        <w:ind w:firstLine="422"/>
        <w:jc w:val="center"/>
        <w:rPr>
          <w:rFonts w:ascii="Times New Roman" w:hAnsi="Times New Roman" w:cs="Times New Roman"/>
          <w:b/>
          <w:bCs/>
          <w:color w:val="auto"/>
          <w:sz w:val="21"/>
          <w:lang w:eastAsia="zh-CN"/>
        </w:rPr>
        <w:sectPr>
          <w:pgSz w:w="11906" w:h="16838"/>
          <w:pgMar w:top="1440" w:right="1080" w:bottom="1440" w:left="1080" w:header="851" w:footer="992" w:gutter="0"/>
          <w:cols w:space="720" w:num="1"/>
          <w:docGrid w:type="lines" w:linePitch="312" w:charSpace="0"/>
        </w:sectPr>
      </w:pPr>
    </w:p>
    <w:p w14:paraId="6DC77DB6">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表6.2-</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 xml:space="preserve"> 区域在建、拟建排放污染物与本项目有关的项目</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2409"/>
        <w:gridCol w:w="1443"/>
        <w:gridCol w:w="1700"/>
        <w:gridCol w:w="1549"/>
        <w:gridCol w:w="1480"/>
        <w:gridCol w:w="1692"/>
        <w:gridCol w:w="1700"/>
      </w:tblGrid>
      <w:tr w14:paraId="1FDC7D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1" w:type="pct"/>
            <w:vMerge w:val="restart"/>
            <w:vAlign w:val="center"/>
          </w:tcPr>
          <w:p w14:paraId="57EF6A01">
            <w:pPr>
              <w:adjustRightInd w:val="0"/>
              <w:snapToGrid w:val="0"/>
              <w:jc w:val="center"/>
              <w:rPr>
                <w:rFonts w:ascii="Times New Roman" w:hAnsi="Times New Roman" w:cs="Times New Roman"/>
                <w:b/>
                <w:color w:val="auto"/>
                <w:sz w:val="21"/>
                <w:lang w:eastAsia="zh-CN"/>
              </w:rPr>
            </w:pPr>
            <w:r>
              <w:rPr>
                <w:rFonts w:ascii="Times New Roman" w:hAnsi="Times New Roman" w:cs="Times New Roman"/>
                <w:b/>
                <w:color w:val="auto"/>
                <w:sz w:val="21"/>
                <w:lang w:eastAsia="zh-CN"/>
              </w:rPr>
              <w:t>公司名称</w:t>
            </w:r>
          </w:p>
        </w:tc>
        <w:tc>
          <w:tcPr>
            <w:tcW w:w="863" w:type="pct"/>
            <w:vMerge w:val="restart"/>
            <w:vAlign w:val="center"/>
          </w:tcPr>
          <w:p w14:paraId="16C2995C">
            <w:pPr>
              <w:adjustRightInd w:val="0"/>
              <w:snapToGrid w:val="0"/>
              <w:jc w:val="center"/>
              <w:rPr>
                <w:rFonts w:ascii="Times New Roman" w:hAnsi="Times New Roman" w:cs="Times New Roman"/>
                <w:b/>
                <w:color w:val="auto"/>
                <w:sz w:val="21"/>
                <w:lang w:eastAsia="zh-CN"/>
              </w:rPr>
            </w:pPr>
            <w:r>
              <w:rPr>
                <w:rFonts w:ascii="Times New Roman" w:hAnsi="Times New Roman" w:cs="Times New Roman"/>
                <w:b/>
                <w:color w:val="auto"/>
                <w:sz w:val="21"/>
                <w:lang w:eastAsia="zh-CN"/>
              </w:rPr>
              <w:t>项目名称</w:t>
            </w:r>
          </w:p>
        </w:tc>
        <w:tc>
          <w:tcPr>
            <w:tcW w:w="517" w:type="pct"/>
            <w:vMerge w:val="restart"/>
            <w:vAlign w:val="center"/>
          </w:tcPr>
          <w:p w14:paraId="42820E9A">
            <w:pPr>
              <w:adjustRightInd w:val="0"/>
              <w:snapToGrid w:val="0"/>
              <w:jc w:val="center"/>
              <w:rPr>
                <w:rFonts w:ascii="Times New Roman" w:hAnsi="Times New Roman" w:cs="Times New Roman"/>
                <w:b/>
                <w:color w:val="auto"/>
                <w:sz w:val="21"/>
                <w:lang w:eastAsia="zh-CN"/>
              </w:rPr>
            </w:pPr>
            <w:r>
              <w:rPr>
                <w:rFonts w:ascii="Times New Roman" w:hAnsi="Times New Roman" w:cs="Times New Roman"/>
                <w:b/>
                <w:color w:val="auto"/>
                <w:sz w:val="21"/>
                <w:lang w:eastAsia="zh-CN"/>
              </w:rPr>
              <w:t>污染源</w:t>
            </w:r>
          </w:p>
        </w:tc>
        <w:tc>
          <w:tcPr>
            <w:tcW w:w="609" w:type="pct"/>
            <w:vMerge w:val="restart"/>
            <w:vAlign w:val="center"/>
          </w:tcPr>
          <w:p w14:paraId="38277C2C">
            <w:pPr>
              <w:adjustRightInd w:val="0"/>
              <w:snapToGrid w:val="0"/>
              <w:jc w:val="center"/>
              <w:rPr>
                <w:rFonts w:ascii="Times New Roman" w:hAnsi="Times New Roman" w:cs="Times New Roman"/>
                <w:b/>
                <w:color w:val="auto"/>
                <w:sz w:val="21"/>
                <w:lang w:eastAsia="zh-CN"/>
              </w:rPr>
            </w:pPr>
            <w:r>
              <w:rPr>
                <w:rFonts w:ascii="Times New Roman" w:hAnsi="Times New Roman" w:cs="Times New Roman"/>
                <w:b/>
                <w:color w:val="auto"/>
                <w:sz w:val="21"/>
                <w:lang w:eastAsia="zh-CN"/>
              </w:rPr>
              <w:t>排气筒高度m</w:t>
            </w:r>
          </w:p>
        </w:tc>
        <w:tc>
          <w:tcPr>
            <w:tcW w:w="555" w:type="pct"/>
            <w:vMerge w:val="restart"/>
            <w:vAlign w:val="center"/>
          </w:tcPr>
          <w:p w14:paraId="5DD3713C">
            <w:pPr>
              <w:adjustRightInd w:val="0"/>
              <w:snapToGrid w:val="0"/>
              <w:jc w:val="center"/>
              <w:rPr>
                <w:rFonts w:ascii="Times New Roman" w:hAnsi="Times New Roman" w:cs="Times New Roman"/>
                <w:b/>
                <w:color w:val="auto"/>
                <w:sz w:val="21"/>
                <w:lang w:eastAsia="zh-CN"/>
              </w:rPr>
            </w:pPr>
            <w:r>
              <w:rPr>
                <w:rFonts w:ascii="Times New Roman" w:hAnsi="Times New Roman" w:cs="Times New Roman"/>
                <w:b/>
                <w:color w:val="auto"/>
                <w:sz w:val="21"/>
                <w:lang w:eastAsia="zh-CN"/>
              </w:rPr>
              <w:t>排气筒内径m</w:t>
            </w:r>
          </w:p>
        </w:tc>
        <w:tc>
          <w:tcPr>
            <w:tcW w:w="530" w:type="pct"/>
            <w:vMerge w:val="restart"/>
            <w:vAlign w:val="center"/>
          </w:tcPr>
          <w:p w14:paraId="45FEA0E9">
            <w:pPr>
              <w:adjustRightInd w:val="0"/>
              <w:snapToGrid w:val="0"/>
              <w:jc w:val="center"/>
              <w:rPr>
                <w:rFonts w:ascii="Times New Roman" w:hAnsi="Times New Roman" w:cs="Times New Roman"/>
                <w:b/>
                <w:color w:val="auto"/>
                <w:sz w:val="21"/>
                <w:lang w:eastAsia="zh-CN"/>
              </w:rPr>
            </w:pPr>
            <w:r>
              <w:rPr>
                <w:rFonts w:ascii="Times New Roman" w:hAnsi="Times New Roman" w:cs="Times New Roman"/>
                <w:b/>
                <w:color w:val="auto"/>
                <w:sz w:val="21"/>
                <w:lang w:eastAsia="zh-CN"/>
              </w:rPr>
              <w:t>烟气温度℃</w:t>
            </w:r>
          </w:p>
        </w:tc>
        <w:tc>
          <w:tcPr>
            <w:tcW w:w="1215" w:type="pct"/>
            <w:gridSpan w:val="2"/>
            <w:vAlign w:val="center"/>
          </w:tcPr>
          <w:p w14:paraId="63F096F7">
            <w:pPr>
              <w:adjustRightInd w:val="0"/>
              <w:snapToGrid w:val="0"/>
              <w:jc w:val="center"/>
              <w:rPr>
                <w:rFonts w:ascii="Times New Roman" w:hAnsi="Times New Roman" w:cs="Times New Roman"/>
                <w:b/>
                <w:color w:val="auto"/>
                <w:sz w:val="21"/>
                <w:lang w:eastAsia="zh-CN"/>
              </w:rPr>
            </w:pPr>
            <w:r>
              <w:rPr>
                <w:rFonts w:ascii="Times New Roman" w:hAnsi="Times New Roman" w:cs="Times New Roman"/>
                <w:b/>
                <w:color w:val="auto"/>
                <w:sz w:val="21"/>
                <w:lang w:eastAsia="zh-CN"/>
              </w:rPr>
              <w:t>污染物排放速率kg/h</w:t>
            </w:r>
          </w:p>
        </w:tc>
      </w:tr>
      <w:tr w14:paraId="3F7CEC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1" w:type="pct"/>
            <w:vMerge w:val="continue"/>
            <w:vAlign w:val="center"/>
          </w:tcPr>
          <w:p w14:paraId="68B6A7E6">
            <w:pPr>
              <w:adjustRightInd w:val="0"/>
              <w:snapToGrid w:val="0"/>
              <w:jc w:val="center"/>
              <w:rPr>
                <w:rFonts w:ascii="Times New Roman" w:hAnsi="Times New Roman" w:cs="Times New Roman"/>
                <w:b/>
                <w:color w:val="auto"/>
                <w:sz w:val="21"/>
                <w:lang w:eastAsia="zh-CN"/>
              </w:rPr>
            </w:pPr>
          </w:p>
        </w:tc>
        <w:tc>
          <w:tcPr>
            <w:tcW w:w="863" w:type="pct"/>
            <w:vMerge w:val="continue"/>
            <w:vAlign w:val="center"/>
          </w:tcPr>
          <w:p w14:paraId="425421A2">
            <w:pPr>
              <w:adjustRightInd w:val="0"/>
              <w:snapToGrid w:val="0"/>
              <w:jc w:val="center"/>
              <w:rPr>
                <w:rFonts w:ascii="Times New Roman" w:hAnsi="Times New Roman" w:cs="Times New Roman"/>
                <w:b/>
                <w:color w:val="auto"/>
                <w:sz w:val="21"/>
                <w:lang w:eastAsia="zh-CN"/>
              </w:rPr>
            </w:pPr>
          </w:p>
        </w:tc>
        <w:tc>
          <w:tcPr>
            <w:tcW w:w="517" w:type="pct"/>
            <w:vMerge w:val="continue"/>
            <w:vAlign w:val="center"/>
          </w:tcPr>
          <w:p w14:paraId="309B2017">
            <w:pPr>
              <w:adjustRightInd w:val="0"/>
              <w:snapToGrid w:val="0"/>
              <w:jc w:val="center"/>
              <w:rPr>
                <w:rFonts w:ascii="Times New Roman" w:hAnsi="Times New Roman" w:cs="Times New Roman"/>
                <w:b/>
                <w:color w:val="auto"/>
                <w:sz w:val="21"/>
                <w:lang w:eastAsia="zh-CN"/>
              </w:rPr>
            </w:pPr>
          </w:p>
        </w:tc>
        <w:tc>
          <w:tcPr>
            <w:tcW w:w="609" w:type="pct"/>
            <w:vMerge w:val="continue"/>
            <w:vAlign w:val="center"/>
          </w:tcPr>
          <w:p w14:paraId="6966C658">
            <w:pPr>
              <w:adjustRightInd w:val="0"/>
              <w:snapToGrid w:val="0"/>
              <w:jc w:val="center"/>
              <w:rPr>
                <w:rFonts w:ascii="Times New Roman" w:hAnsi="Times New Roman" w:cs="Times New Roman"/>
                <w:b/>
                <w:color w:val="auto"/>
                <w:sz w:val="21"/>
                <w:lang w:eastAsia="zh-CN"/>
              </w:rPr>
            </w:pPr>
          </w:p>
        </w:tc>
        <w:tc>
          <w:tcPr>
            <w:tcW w:w="555" w:type="pct"/>
            <w:vMerge w:val="continue"/>
            <w:vAlign w:val="center"/>
          </w:tcPr>
          <w:p w14:paraId="26D41E8C">
            <w:pPr>
              <w:adjustRightInd w:val="0"/>
              <w:snapToGrid w:val="0"/>
              <w:jc w:val="center"/>
              <w:rPr>
                <w:rFonts w:ascii="Times New Roman" w:hAnsi="Times New Roman" w:cs="Times New Roman"/>
                <w:b/>
                <w:color w:val="auto"/>
                <w:sz w:val="21"/>
                <w:lang w:eastAsia="zh-CN"/>
              </w:rPr>
            </w:pPr>
          </w:p>
        </w:tc>
        <w:tc>
          <w:tcPr>
            <w:tcW w:w="530" w:type="pct"/>
            <w:vMerge w:val="continue"/>
            <w:vAlign w:val="center"/>
          </w:tcPr>
          <w:p w14:paraId="72DACADF">
            <w:pPr>
              <w:adjustRightInd w:val="0"/>
              <w:snapToGrid w:val="0"/>
              <w:jc w:val="center"/>
              <w:rPr>
                <w:rFonts w:ascii="Times New Roman" w:hAnsi="Times New Roman" w:cs="Times New Roman"/>
                <w:b/>
                <w:color w:val="auto"/>
                <w:sz w:val="21"/>
                <w:lang w:eastAsia="zh-CN"/>
              </w:rPr>
            </w:pPr>
          </w:p>
        </w:tc>
        <w:tc>
          <w:tcPr>
            <w:tcW w:w="606" w:type="pct"/>
            <w:vAlign w:val="center"/>
          </w:tcPr>
          <w:p w14:paraId="4848D98A">
            <w:pPr>
              <w:adjustRightInd w:val="0"/>
              <w:snapToGrid w:val="0"/>
              <w:jc w:val="center"/>
              <w:rPr>
                <w:rFonts w:ascii="Times New Roman" w:hAnsi="Times New Roman" w:cs="Times New Roman"/>
                <w:b/>
                <w:color w:val="auto"/>
                <w:sz w:val="21"/>
                <w:lang w:eastAsia="zh-CN"/>
              </w:rPr>
            </w:pPr>
            <w:r>
              <w:rPr>
                <w:rFonts w:ascii="Times New Roman" w:hAnsi="Times New Roman" w:cs="Times New Roman"/>
                <w:b/>
                <w:color w:val="auto"/>
                <w:sz w:val="21"/>
                <w:lang w:eastAsia="zh-CN"/>
              </w:rPr>
              <w:t>氟化物</w:t>
            </w:r>
          </w:p>
        </w:tc>
        <w:tc>
          <w:tcPr>
            <w:tcW w:w="609" w:type="pct"/>
            <w:vAlign w:val="center"/>
          </w:tcPr>
          <w:p w14:paraId="4A307172">
            <w:pPr>
              <w:adjustRightInd w:val="0"/>
              <w:snapToGrid w:val="0"/>
              <w:jc w:val="center"/>
              <w:rPr>
                <w:rFonts w:ascii="Times New Roman" w:hAnsi="Times New Roman" w:cs="Times New Roman"/>
                <w:b/>
                <w:color w:val="auto"/>
                <w:sz w:val="21"/>
                <w:lang w:eastAsia="zh-CN"/>
              </w:rPr>
            </w:pPr>
            <w:r>
              <w:rPr>
                <w:rFonts w:ascii="Times New Roman" w:hAnsi="Times New Roman" w:cs="Times New Roman"/>
                <w:b/>
                <w:color w:val="auto"/>
                <w:sz w:val="21"/>
                <w:lang w:eastAsia="zh-CN"/>
              </w:rPr>
              <w:t>氯化氢</w:t>
            </w:r>
          </w:p>
        </w:tc>
      </w:tr>
      <w:tr w14:paraId="74CBC1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11" w:type="pct"/>
            <w:vAlign w:val="center"/>
          </w:tcPr>
          <w:p w14:paraId="36793738">
            <w:pPr>
              <w:adjustRightInd w:val="0"/>
              <w:snapToGrid w:val="0"/>
              <w:jc w:val="center"/>
              <w:rPr>
                <w:rFonts w:ascii="Times New Roman" w:hAnsi="Times New Roman" w:cs="Times New Roman"/>
                <w:bCs/>
                <w:color w:val="auto"/>
                <w:sz w:val="21"/>
                <w:lang w:eastAsia="zh-CN"/>
              </w:rPr>
            </w:pPr>
          </w:p>
        </w:tc>
        <w:tc>
          <w:tcPr>
            <w:tcW w:w="863" w:type="pct"/>
            <w:vAlign w:val="center"/>
          </w:tcPr>
          <w:p w14:paraId="63484086">
            <w:pPr>
              <w:adjustRightInd w:val="0"/>
              <w:snapToGrid w:val="0"/>
              <w:jc w:val="center"/>
              <w:rPr>
                <w:rFonts w:ascii="Times New Roman" w:hAnsi="Times New Roman" w:cs="Times New Roman"/>
                <w:bCs/>
                <w:color w:val="auto"/>
                <w:sz w:val="21"/>
                <w:lang w:eastAsia="zh-CN"/>
              </w:rPr>
            </w:pPr>
          </w:p>
        </w:tc>
        <w:tc>
          <w:tcPr>
            <w:tcW w:w="517" w:type="pct"/>
            <w:vAlign w:val="center"/>
          </w:tcPr>
          <w:p w14:paraId="65E04512">
            <w:pPr>
              <w:adjustRightInd w:val="0"/>
              <w:snapToGrid w:val="0"/>
              <w:jc w:val="center"/>
              <w:rPr>
                <w:rFonts w:ascii="Times New Roman" w:hAnsi="Times New Roman" w:cs="Times New Roman"/>
                <w:bCs/>
                <w:color w:val="auto"/>
                <w:sz w:val="21"/>
                <w:lang w:eastAsia="zh-CN"/>
              </w:rPr>
            </w:pPr>
          </w:p>
        </w:tc>
        <w:tc>
          <w:tcPr>
            <w:tcW w:w="609" w:type="pct"/>
            <w:vAlign w:val="center"/>
          </w:tcPr>
          <w:p w14:paraId="4C36C564">
            <w:pPr>
              <w:adjustRightInd w:val="0"/>
              <w:snapToGrid w:val="0"/>
              <w:jc w:val="center"/>
              <w:rPr>
                <w:rFonts w:ascii="Times New Roman" w:hAnsi="Times New Roman" w:cs="Times New Roman"/>
                <w:bCs/>
                <w:color w:val="auto"/>
                <w:sz w:val="21"/>
                <w:lang w:eastAsia="zh-CN"/>
              </w:rPr>
            </w:pPr>
          </w:p>
        </w:tc>
        <w:tc>
          <w:tcPr>
            <w:tcW w:w="555" w:type="pct"/>
            <w:vAlign w:val="center"/>
          </w:tcPr>
          <w:p w14:paraId="6C3F593A">
            <w:pPr>
              <w:adjustRightInd w:val="0"/>
              <w:snapToGrid w:val="0"/>
              <w:jc w:val="center"/>
              <w:rPr>
                <w:rFonts w:ascii="Times New Roman" w:hAnsi="Times New Roman" w:cs="Times New Roman"/>
                <w:bCs/>
                <w:color w:val="auto"/>
                <w:sz w:val="21"/>
                <w:lang w:eastAsia="zh-CN"/>
              </w:rPr>
            </w:pPr>
          </w:p>
        </w:tc>
        <w:tc>
          <w:tcPr>
            <w:tcW w:w="530" w:type="pct"/>
            <w:vAlign w:val="center"/>
          </w:tcPr>
          <w:p w14:paraId="53B35CF9">
            <w:pPr>
              <w:adjustRightInd w:val="0"/>
              <w:snapToGrid w:val="0"/>
              <w:jc w:val="center"/>
              <w:rPr>
                <w:rFonts w:ascii="Times New Roman" w:hAnsi="Times New Roman" w:cs="Times New Roman"/>
                <w:bCs/>
                <w:color w:val="auto"/>
                <w:sz w:val="21"/>
                <w:lang w:eastAsia="zh-CN"/>
              </w:rPr>
            </w:pPr>
          </w:p>
        </w:tc>
        <w:tc>
          <w:tcPr>
            <w:tcW w:w="606" w:type="pct"/>
            <w:vAlign w:val="center"/>
          </w:tcPr>
          <w:p w14:paraId="349D5B2C">
            <w:pPr>
              <w:adjustRightInd w:val="0"/>
              <w:snapToGrid w:val="0"/>
              <w:jc w:val="center"/>
              <w:rPr>
                <w:rFonts w:ascii="Times New Roman" w:hAnsi="Times New Roman" w:cs="Times New Roman"/>
                <w:bCs/>
                <w:color w:val="auto"/>
                <w:sz w:val="21"/>
                <w:lang w:eastAsia="zh-CN"/>
              </w:rPr>
            </w:pPr>
          </w:p>
        </w:tc>
        <w:tc>
          <w:tcPr>
            <w:tcW w:w="609" w:type="pct"/>
            <w:vAlign w:val="center"/>
          </w:tcPr>
          <w:p w14:paraId="02BBAC40">
            <w:pPr>
              <w:adjustRightInd w:val="0"/>
              <w:snapToGrid w:val="0"/>
              <w:jc w:val="center"/>
              <w:rPr>
                <w:rFonts w:ascii="Times New Roman" w:hAnsi="Times New Roman" w:cs="Times New Roman"/>
                <w:bCs/>
                <w:color w:val="auto"/>
                <w:sz w:val="21"/>
                <w:lang w:eastAsia="zh-CN"/>
              </w:rPr>
            </w:pPr>
          </w:p>
        </w:tc>
      </w:tr>
      <w:tr w14:paraId="374582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711" w:type="pct"/>
            <w:vAlign w:val="center"/>
          </w:tcPr>
          <w:p w14:paraId="02B86708">
            <w:pPr>
              <w:adjustRightInd w:val="0"/>
              <w:snapToGrid w:val="0"/>
              <w:jc w:val="center"/>
              <w:rPr>
                <w:rFonts w:ascii="Times New Roman" w:hAnsi="Times New Roman" w:cs="Times New Roman"/>
                <w:color w:val="auto"/>
                <w:sz w:val="21"/>
                <w:lang w:eastAsia="zh-CN"/>
              </w:rPr>
            </w:pPr>
          </w:p>
        </w:tc>
        <w:tc>
          <w:tcPr>
            <w:tcW w:w="863" w:type="pct"/>
            <w:vAlign w:val="center"/>
          </w:tcPr>
          <w:p w14:paraId="775540E5">
            <w:pPr>
              <w:adjustRightInd w:val="0"/>
              <w:snapToGrid w:val="0"/>
              <w:jc w:val="center"/>
              <w:rPr>
                <w:rFonts w:ascii="Times New Roman" w:hAnsi="Times New Roman" w:cs="Times New Roman"/>
                <w:bCs/>
                <w:color w:val="auto"/>
                <w:sz w:val="21"/>
                <w:lang w:eastAsia="zh-CN"/>
              </w:rPr>
            </w:pPr>
          </w:p>
        </w:tc>
        <w:tc>
          <w:tcPr>
            <w:tcW w:w="517" w:type="pct"/>
            <w:vAlign w:val="center"/>
          </w:tcPr>
          <w:p w14:paraId="1CA78ABB">
            <w:pPr>
              <w:adjustRightInd w:val="0"/>
              <w:snapToGrid w:val="0"/>
              <w:jc w:val="center"/>
              <w:rPr>
                <w:rFonts w:ascii="Times New Roman" w:hAnsi="Times New Roman" w:cs="Times New Roman"/>
                <w:bCs/>
                <w:color w:val="auto"/>
                <w:sz w:val="21"/>
                <w:lang w:eastAsia="zh-CN"/>
              </w:rPr>
            </w:pPr>
          </w:p>
        </w:tc>
        <w:tc>
          <w:tcPr>
            <w:tcW w:w="609" w:type="pct"/>
            <w:vAlign w:val="center"/>
          </w:tcPr>
          <w:p w14:paraId="2C12CE13">
            <w:pPr>
              <w:adjustRightInd w:val="0"/>
              <w:snapToGrid w:val="0"/>
              <w:jc w:val="center"/>
              <w:rPr>
                <w:rFonts w:ascii="Times New Roman" w:hAnsi="Times New Roman" w:cs="Times New Roman"/>
                <w:bCs/>
                <w:color w:val="auto"/>
                <w:sz w:val="21"/>
                <w:lang w:eastAsia="zh-CN"/>
              </w:rPr>
            </w:pPr>
          </w:p>
        </w:tc>
        <w:tc>
          <w:tcPr>
            <w:tcW w:w="555" w:type="pct"/>
            <w:vAlign w:val="center"/>
          </w:tcPr>
          <w:p w14:paraId="68787ED9">
            <w:pPr>
              <w:adjustRightInd w:val="0"/>
              <w:snapToGrid w:val="0"/>
              <w:jc w:val="center"/>
              <w:rPr>
                <w:rFonts w:ascii="Times New Roman" w:hAnsi="Times New Roman" w:cs="Times New Roman"/>
                <w:bCs/>
                <w:color w:val="auto"/>
                <w:sz w:val="21"/>
                <w:lang w:eastAsia="zh-CN"/>
              </w:rPr>
            </w:pPr>
          </w:p>
        </w:tc>
        <w:tc>
          <w:tcPr>
            <w:tcW w:w="530" w:type="pct"/>
            <w:vAlign w:val="center"/>
          </w:tcPr>
          <w:p w14:paraId="38DF967D">
            <w:pPr>
              <w:adjustRightInd w:val="0"/>
              <w:snapToGrid w:val="0"/>
              <w:jc w:val="center"/>
              <w:rPr>
                <w:rFonts w:ascii="Times New Roman" w:hAnsi="Times New Roman" w:cs="Times New Roman"/>
                <w:bCs/>
                <w:color w:val="auto"/>
                <w:sz w:val="21"/>
                <w:lang w:eastAsia="zh-CN"/>
              </w:rPr>
            </w:pPr>
          </w:p>
        </w:tc>
        <w:tc>
          <w:tcPr>
            <w:tcW w:w="606" w:type="pct"/>
            <w:vAlign w:val="center"/>
          </w:tcPr>
          <w:p w14:paraId="459436FA">
            <w:pPr>
              <w:adjustRightInd w:val="0"/>
              <w:snapToGrid w:val="0"/>
              <w:jc w:val="center"/>
              <w:rPr>
                <w:rFonts w:ascii="Times New Roman" w:hAnsi="Times New Roman" w:cs="Times New Roman"/>
                <w:bCs/>
                <w:color w:val="auto"/>
                <w:sz w:val="21"/>
                <w:lang w:eastAsia="zh-CN"/>
              </w:rPr>
            </w:pPr>
          </w:p>
        </w:tc>
        <w:tc>
          <w:tcPr>
            <w:tcW w:w="609" w:type="pct"/>
            <w:vAlign w:val="center"/>
          </w:tcPr>
          <w:p w14:paraId="7C933AD9">
            <w:pPr>
              <w:adjustRightInd w:val="0"/>
              <w:snapToGrid w:val="0"/>
              <w:jc w:val="center"/>
              <w:rPr>
                <w:rFonts w:ascii="Times New Roman" w:hAnsi="Times New Roman" w:cs="Times New Roman"/>
                <w:bCs/>
                <w:color w:val="auto"/>
                <w:sz w:val="21"/>
                <w:lang w:eastAsia="zh-CN"/>
              </w:rPr>
            </w:pPr>
          </w:p>
        </w:tc>
      </w:tr>
      <w:tr w14:paraId="0808E7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711" w:type="pct"/>
            <w:vAlign w:val="center"/>
          </w:tcPr>
          <w:p w14:paraId="2EAB7929">
            <w:pPr>
              <w:adjustRightInd w:val="0"/>
              <w:snapToGrid w:val="0"/>
              <w:jc w:val="center"/>
              <w:rPr>
                <w:rFonts w:ascii="Times New Roman" w:hAnsi="Times New Roman" w:cs="Times New Roman"/>
                <w:color w:val="auto"/>
                <w:sz w:val="21"/>
                <w:lang w:eastAsia="zh-CN"/>
              </w:rPr>
            </w:pPr>
          </w:p>
        </w:tc>
        <w:tc>
          <w:tcPr>
            <w:tcW w:w="863" w:type="pct"/>
            <w:vAlign w:val="center"/>
          </w:tcPr>
          <w:p w14:paraId="0353DF0F">
            <w:pPr>
              <w:adjustRightInd w:val="0"/>
              <w:snapToGrid w:val="0"/>
              <w:jc w:val="center"/>
              <w:rPr>
                <w:rFonts w:ascii="Times New Roman" w:hAnsi="Times New Roman" w:cs="Times New Roman"/>
                <w:color w:val="auto"/>
                <w:sz w:val="21"/>
                <w:lang w:eastAsia="zh-CN"/>
              </w:rPr>
            </w:pPr>
          </w:p>
        </w:tc>
        <w:tc>
          <w:tcPr>
            <w:tcW w:w="517" w:type="pct"/>
            <w:vAlign w:val="center"/>
          </w:tcPr>
          <w:p w14:paraId="43A0E8AA">
            <w:pPr>
              <w:adjustRightInd w:val="0"/>
              <w:snapToGrid w:val="0"/>
              <w:jc w:val="center"/>
              <w:rPr>
                <w:rFonts w:ascii="Times New Roman" w:hAnsi="Times New Roman" w:cs="Times New Roman"/>
                <w:bCs/>
                <w:color w:val="auto"/>
                <w:sz w:val="21"/>
                <w:lang w:eastAsia="zh-CN"/>
              </w:rPr>
            </w:pPr>
          </w:p>
        </w:tc>
        <w:tc>
          <w:tcPr>
            <w:tcW w:w="609" w:type="pct"/>
            <w:vAlign w:val="center"/>
          </w:tcPr>
          <w:p w14:paraId="0F0A8DAA">
            <w:pPr>
              <w:adjustRightInd w:val="0"/>
              <w:snapToGrid w:val="0"/>
              <w:jc w:val="center"/>
              <w:rPr>
                <w:rFonts w:ascii="Times New Roman" w:hAnsi="Times New Roman" w:cs="Times New Roman"/>
                <w:bCs/>
                <w:color w:val="auto"/>
                <w:sz w:val="21"/>
                <w:lang w:eastAsia="zh-CN"/>
              </w:rPr>
            </w:pPr>
          </w:p>
        </w:tc>
        <w:tc>
          <w:tcPr>
            <w:tcW w:w="555" w:type="pct"/>
            <w:vAlign w:val="center"/>
          </w:tcPr>
          <w:p w14:paraId="22E97D50">
            <w:pPr>
              <w:adjustRightInd w:val="0"/>
              <w:snapToGrid w:val="0"/>
              <w:jc w:val="center"/>
              <w:rPr>
                <w:rFonts w:ascii="Times New Roman" w:hAnsi="Times New Roman" w:cs="Times New Roman"/>
                <w:bCs/>
                <w:color w:val="auto"/>
                <w:sz w:val="21"/>
                <w:lang w:eastAsia="zh-CN"/>
              </w:rPr>
            </w:pPr>
          </w:p>
        </w:tc>
        <w:tc>
          <w:tcPr>
            <w:tcW w:w="530" w:type="pct"/>
            <w:vAlign w:val="center"/>
          </w:tcPr>
          <w:p w14:paraId="727935A2">
            <w:pPr>
              <w:adjustRightInd w:val="0"/>
              <w:snapToGrid w:val="0"/>
              <w:jc w:val="center"/>
              <w:rPr>
                <w:rFonts w:ascii="Times New Roman" w:hAnsi="Times New Roman" w:cs="Times New Roman"/>
                <w:bCs/>
                <w:color w:val="auto"/>
                <w:sz w:val="21"/>
                <w:lang w:eastAsia="zh-CN"/>
              </w:rPr>
            </w:pPr>
          </w:p>
        </w:tc>
        <w:tc>
          <w:tcPr>
            <w:tcW w:w="606" w:type="pct"/>
            <w:vAlign w:val="center"/>
          </w:tcPr>
          <w:p w14:paraId="2F0B844F">
            <w:pPr>
              <w:adjustRightInd w:val="0"/>
              <w:snapToGrid w:val="0"/>
              <w:jc w:val="center"/>
              <w:rPr>
                <w:rFonts w:ascii="Times New Roman" w:hAnsi="Times New Roman" w:cs="Times New Roman"/>
                <w:bCs/>
                <w:color w:val="auto"/>
                <w:sz w:val="21"/>
                <w:lang w:eastAsia="zh-CN"/>
              </w:rPr>
            </w:pPr>
          </w:p>
        </w:tc>
        <w:tc>
          <w:tcPr>
            <w:tcW w:w="609" w:type="pct"/>
            <w:vAlign w:val="center"/>
          </w:tcPr>
          <w:p w14:paraId="67DF994C">
            <w:pPr>
              <w:adjustRightInd w:val="0"/>
              <w:snapToGrid w:val="0"/>
              <w:jc w:val="center"/>
              <w:rPr>
                <w:rFonts w:ascii="Times New Roman" w:hAnsi="Times New Roman" w:cs="Times New Roman"/>
                <w:bCs/>
                <w:color w:val="auto"/>
                <w:sz w:val="21"/>
                <w:lang w:eastAsia="zh-CN"/>
              </w:rPr>
            </w:pPr>
          </w:p>
        </w:tc>
      </w:tr>
      <w:tr w14:paraId="6056E6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1" w:type="pct"/>
            <w:vMerge w:val="restart"/>
            <w:vAlign w:val="center"/>
          </w:tcPr>
          <w:p w14:paraId="5685AA68">
            <w:pPr>
              <w:adjustRightInd w:val="0"/>
              <w:snapToGrid w:val="0"/>
              <w:jc w:val="center"/>
              <w:rPr>
                <w:rFonts w:ascii="Times New Roman" w:hAnsi="Times New Roman" w:cs="Times New Roman"/>
                <w:bCs/>
                <w:color w:val="auto"/>
                <w:sz w:val="21"/>
                <w:lang w:eastAsia="zh-CN"/>
              </w:rPr>
            </w:pPr>
          </w:p>
        </w:tc>
        <w:tc>
          <w:tcPr>
            <w:tcW w:w="863" w:type="pct"/>
            <w:vMerge w:val="restart"/>
            <w:vAlign w:val="center"/>
          </w:tcPr>
          <w:p w14:paraId="60E734EA">
            <w:pPr>
              <w:adjustRightInd w:val="0"/>
              <w:snapToGrid w:val="0"/>
              <w:jc w:val="center"/>
              <w:rPr>
                <w:rFonts w:ascii="Times New Roman" w:hAnsi="Times New Roman" w:cs="Times New Roman"/>
                <w:bCs/>
                <w:color w:val="auto"/>
                <w:sz w:val="21"/>
                <w:lang w:eastAsia="zh-CN"/>
              </w:rPr>
            </w:pPr>
          </w:p>
        </w:tc>
        <w:tc>
          <w:tcPr>
            <w:tcW w:w="517" w:type="pct"/>
            <w:vAlign w:val="center"/>
          </w:tcPr>
          <w:p w14:paraId="20E5ECBF">
            <w:pPr>
              <w:adjustRightInd w:val="0"/>
              <w:snapToGrid w:val="0"/>
              <w:jc w:val="center"/>
              <w:rPr>
                <w:rFonts w:ascii="Times New Roman" w:hAnsi="Times New Roman" w:cs="Times New Roman"/>
                <w:bCs/>
                <w:color w:val="auto"/>
                <w:sz w:val="21"/>
                <w:lang w:eastAsia="zh-CN"/>
              </w:rPr>
            </w:pPr>
          </w:p>
        </w:tc>
        <w:tc>
          <w:tcPr>
            <w:tcW w:w="609" w:type="pct"/>
            <w:vAlign w:val="center"/>
          </w:tcPr>
          <w:p w14:paraId="44A034A1">
            <w:pPr>
              <w:adjustRightInd w:val="0"/>
              <w:snapToGrid w:val="0"/>
              <w:jc w:val="center"/>
              <w:rPr>
                <w:rFonts w:ascii="Times New Roman" w:hAnsi="Times New Roman" w:cs="Times New Roman"/>
                <w:bCs/>
                <w:color w:val="auto"/>
                <w:sz w:val="21"/>
                <w:lang w:eastAsia="zh-CN"/>
              </w:rPr>
            </w:pPr>
          </w:p>
        </w:tc>
        <w:tc>
          <w:tcPr>
            <w:tcW w:w="555" w:type="pct"/>
            <w:vAlign w:val="center"/>
          </w:tcPr>
          <w:p w14:paraId="510FCEBE">
            <w:pPr>
              <w:adjustRightInd w:val="0"/>
              <w:snapToGrid w:val="0"/>
              <w:jc w:val="center"/>
              <w:rPr>
                <w:rFonts w:ascii="Times New Roman" w:hAnsi="Times New Roman" w:cs="Times New Roman"/>
                <w:bCs/>
                <w:color w:val="auto"/>
                <w:sz w:val="21"/>
                <w:lang w:eastAsia="zh-CN"/>
              </w:rPr>
            </w:pPr>
          </w:p>
        </w:tc>
        <w:tc>
          <w:tcPr>
            <w:tcW w:w="530" w:type="pct"/>
            <w:vAlign w:val="center"/>
          </w:tcPr>
          <w:p w14:paraId="1DE41792">
            <w:pPr>
              <w:adjustRightInd w:val="0"/>
              <w:snapToGrid w:val="0"/>
              <w:jc w:val="center"/>
              <w:rPr>
                <w:rFonts w:ascii="Times New Roman" w:hAnsi="Times New Roman" w:cs="Times New Roman"/>
                <w:bCs/>
                <w:color w:val="auto"/>
                <w:sz w:val="21"/>
                <w:lang w:eastAsia="zh-CN"/>
              </w:rPr>
            </w:pPr>
          </w:p>
        </w:tc>
        <w:tc>
          <w:tcPr>
            <w:tcW w:w="606" w:type="pct"/>
            <w:vAlign w:val="center"/>
          </w:tcPr>
          <w:p w14:paraId="228DA087">
            <w:pPr>
              <w:adjustRightInd w:val="0"/>
              <w:snapToGrid w:val="0"/>
              <w:jc w:val="center"/>
              <w:rPr>
                <w:rFonts w:ascii="Times New Roman" w:hAnsi="Times New Roman" w:cs="Times New Roman"/>
                <w:bCs/>
                <w:color w:val="auto"/>
                <w:sz w:val="21"/>
                <w:lang w:eastAsia="zh-CN"/>
              </w:rPr>
            </w:pPr>
          </w:p>
        </w:tc>
        <w:tc>
          <w:tcPr>
            <w:tcW w:w="609" w:type="pct"/>
            <w:vAlign w:val="center"/>
          </w:tcPr>
          <w:p w14:paraId="0CE5A0CF">
            <w:pPr>
              <w:adjustRightInd w:val="0"/>
              <w:snapToGrid w:val="0"/>
              <w:jc w:val="center"/>
              <w:rPr>
                <w:rFonts w:ascii="Times New Roman" w:hAnsi="Times New Roman" w:cs="Times New Roman"/>
                <w:bCs/>
                <w:color w:val="auto"/>
                <w:sz w:val="21"/>
                <w:lang w:eastAsia="zh-CN"/>
              </w:rPr>
            </w:pPr>
          </w:p>
        </w:tc>
      </w:tr>
      <w:tr w14:paraId="1B4FAD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1" w:type="pct"/>
            <w:vMerge w:val="continue"/>
            <w:vAlign w:val="center"/>
          </w:tcPr>
          <w:p w14:paraId="7AFDA91B">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863" w:type="pct"/>
            <w:vMerge w:val="continue"/>
            <w:vAlign w:val="center"/>
          </w:tcPr>
          <w:p w14:paraId="704D6FF6">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17" w:type="pct"/>
            <w:vAlign w:val="center"/>
          </w:tcPr>
          <w:p w14:paraId="65CD13A5">
            <w:pPr>
              <w:adjustRightInd w:val="0"/>
              <w:snapToGrid w:val="0"/>
              <w:jc w:val="center"/>
              <w:rPr>
                <w:rFonts w:ascii="Times New Roman" w:hAnsi="Times New Roman" w:cs="Times New Roman"/>
                <w:bCs/>
                <w:color w:val="auto"/>
                <w:sz w:val="21"/>
                <w:lang w:eastAsia="zh-CN"/>
              </w:rPr>
            </w:pPr>
          </w:p>
        </w:tc>
        <w:tc>
          <w:tcPr>
            <w:tcW w:w="609" w:type="pct"/>
            <w:vAlign w:val="center"/>
          </w:tcPr>
          <w:p w14:paraId="077794B6">
            <w:pPr>
              <w:adjustRightInd w:val="0"/>
              <w:snapToGrid w:val="0"/>
              <w:jc w:val="center"/>
              <w:rPr>
                <w:rFonts w:ascii="Times New Roman" w:hAnsi="Times New Roman" w:cs="Times New Roman"/>
                <w:bCs/>
                <w:color w:val="auto"/>
                <w:sz w:val="21"/>
                <w:lang w:eastAsia="zh-CN"/>
              </w:rPr>
            </w:pPr>
          </w:p>
        </w:tc>
        <w:tc>
          <w:tcPr>
            <w:tcW w:w="555" w:type="pct"/>
            <w:vAlign w:val="center"/>
          </w:tcPr>
          <w:p w14:paraId="1190AF96">
            <w:pPr>
              <w:adjustRightInd w:val="0"/>
              <w:snapToGrid w:val="0"/>
              <w:jc w:val="center"/>
              <w:rPr>
                <w:rFonts w:ascii="Times New Roman" w:hAnsi="Times New Roman" w:cs="Times New Roman"/>
                <w:bCs/>
                <w:color w:val="auto"/>
                <w:sz w:val="21"/>
                <w:lang w:eastAsia="zh-CN"/>
              </w:rPr>
            </w:pPr>
          </w:p>
        </w:tc>
        <w:tc>
          <w:tcPr>
            <w:tcW w:w="530" w:type="pct"/>
            <w:vAlign w:val="center"/>
          </w:tcPr>
          <w:p w14:paraId="76ACBA12">
            <w:pPr>
              <w:adjustRightInd w:val="0"/>
              <w:snapToGrid w:val="0"/>
              <w:jc w:val="center"/>
              <w:rPr>
                <w:rFonts w:ascii="Times New Roman" w:hAnsi="Times New Roman" w:cs="Times New Roman"/>
                <w:bCs/>
                <w:color w:val="auto"/>
                <w:sz w:val="21"/>
                <w:lang w:eastAsia="zh-CN"/>
              </w:rPr>
            </w:pPr>
          </w:p>
        </w:tc>
        <w:tc>
          <w:tcPr>
            <w:tcW w:w="606" w:type="pct"/>
            <w:vAlign w:val="center"/>
          </w:tcPr>
          <w:p w14:paraId="5B6B47AA">
            <w:pPr>
              <w:adjustRightInd w:val="0"/>
              <w:snapToGrid w:val="0"/>
              <w:jc w:val="center"/>
              <w:rPr>
                <w:rFonts w:ascii="Times New Roman" w:hAnsi="Times New Roman" w:cs="Times New Roman"/>
                <w:bCs/>
                <w:color w:val="auto"/>
                <w:sz w:val="21"/>
                <w:lang w:eastAsia="zh-CN"/>
              </w:rPr>
            </w:pPr>
          </w:p>
        </w:tc>
        <w:tc>
          <w:tcPr>
            <w:tcW w:w="609" w:type="pct"/>
            <w:vAlign w:val="center"/>
          </w:tcPr>
          <w:p w14:paraId="3DA919CD">
            <w:pPr>
              <w:adjustRightInd w:val="0"/>
              <w:snapToGrid w:val="0"/>
              <w:jc w:val="center"/>
              <w:rPr>
                <w:rFonts w:ascii="Times New Roman" w:hAnsi="Times New Roman" w:cs="Times New Roman"/>
                <w:bCs/>
                <w:color w:val="auto"/>
                <w:sz w:val="21"/>
                <w:lang w:eastAsia="zh-CN"/>
              </w:rPr>
            </w:pPr>
          </w:p>
        </w:tc>
      </w:tr>
      <w:tr w14:paraId="6AE6CA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1" w:type="pct"/>
            <w:vMerge w:val="continue"/>
            <w:vAlign w:val="center"/>
          </w:tcPr>
          <w:p w14:paraId="2B475F28">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863" w:type="pct"/>
            <w:vMerge w:val="continue"/>
            <w:vAlign w:val="center"/>
          </w:tcPr>
          <w:p w14:paraId="6C1A5812">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17" w:type="pct"/>
            <w:vAlign w:val="center"/>
          </w:tcPr>
          <w:p w14:paraId="49B1A2E0">
            <w:pPr>
              <w:adjustRightInd w:val="0"/>
              <w:snapToGrid w:val="0"/>
              <w:jc w:val="center"/>
              <w:rPr>
                <w:rFonts w:ascii="Times New Roman" w:hAnsi="Times New Roman" w:cs="Times New Roman"/>
                <w:bCs/>
                <w:color w:val="auto"/>
                <w:sz w:val="21"/>
                <w:lang w:eastAsia="zh-CN"/>
              </w:rPr>
            </w:pPr>
          </w:p>
        </w:tc>
        <w:tc>
          <w:tcPr>
            <w:tcW w:w="609" w:type="pct"/>
            <w:vAlign w:val="center"/>
          </w:tcPr>
          <w:p w14:paraId="3EC23A6D">
            <w:pPr>
              <w:adjustRightInd w:val="0"/>
              <w:snapToGrid w:val="0"/>
              <w:jc w:val="center"/>
              <w:rPr>
                <w:rFonts w:ascii="Times New Roman" w:hAnsi="Times New Roman" w:cs="Times New Roman"/>
                <w:bCs/>
                <w:color w:val="auto"/>
                <w:sz w:val="21"/>
                <w:lang w:eastAsia="zh-CN"/>
              </w:rPr>
            </w:pPr>
          </w:p>
        </w:tc>
        <w:tc>
          <w:tcPr>
            <w:tcW w:w="555" w:type="pct"/>
            <w:vAlign w:val="center"/>
          </w:tcPr>
          <w:p w14:paraId="3C483347">
            <w:pPr>
              <w:adjustRightInd w:val="0"/>
              <w:snapToGrid w:val="0"/>
              <w:jc w:val="center"/>
              <w:rPr>
                <w:rFonts w:ascii="Times New Roman" w:hAnsi="Times New Roman" w:cs="Times New Roman"/>
                <w:bCs/>
                <w:color w:val="auto"/>
                <w:sz w:val="21"/>
                <w:lang w:eastAsia="zh-CN"/>
              </w:rPr>
            </w:pPr>
          </w:p>
        </w:tc>
        <w:tc>
          <w:tcPr>
            <w:tcW w:w="530" w:type="pct"/>
            <w:vAlign w:val="center"/>
          </w:tcPr>
          <w:p w14:paraId="38E3EFCD">
            <w:pPr>
              <w:adjustRightInd w:val="0"/>
              <w:snapToGrid w:val="0"/>
              <w:jc w:val="center"/>
              <w:rPr>
                <w:rFonts w:ascii="Times New Roman" w:hAnsi="Times New Roman" w:cs="Times New Roman"/>
                <w:bCs/>
                <w:color w:val="auto"/>
                <w:sz w:val="21"/>
                <w:lang w:eastAsia="zh-CN"/>
              </w:rPr>
            </w:pPr>
          </w:p>
        </w:tc>
        <w:tc>
          <w:tcPr>
            <w:tcW w:w="606" w:type="pct"/>
            <w:vAlign w:val="center"/>
          </w:tcPr>
          <w:p w14:paraId="1B73707B">
            <w:pPr>
              <w:adjustRightInd w:val="0"/>
              <w:snapToGrid w:val="0"/>
              <w:jc w:val="center"/>
              <w:rPr>
                <w:rFonts w:ascii="Times New Roman" w:hAnsi="Times New Roman" w:cs="Times New Roman"/>
                <w:bCs/>
                <w:color w:val="auto"/>
                <w:sz w:val="21"/>
                <w:lang w:eastAsia="zh-CN"/>
              </w:rPr>
            </w:pPr>
          </w:p>
        </w:tc>
        <w:tc>
          <w:tcPr>
            <w:tcW w:w="609" w:type="pct"/>
            <w:vAlign w:val="center"/>
          </w:tcPr>
          <w:p w14:paraId="36AECC77">
            <w:pPr>
              <w:adjustRightInd w:val="0"/>
              <w:snapToGrid w:val="0"/>
              <w:jc w:val="center"/>
              <w:rPr>
                <w:rFonts w:ascii="Times New Roman" w:hAnsi="Times New Roman" w:cs="Times New Roman"/>
                <w:bCs/>
                <w:color w:val="auto"/>
                <w:sz w:val="21"/>
                <w:lang w:eastAsia="zh-CN"/>
              </w:rPr>
            </w:pPr>
          </w:p>
        </w:tc>
      </w:tr>
    </w:tbl>
    <w:p w14:paraId="355BC443">
      <w:pPr>
        <w:pStyle w:val="42"/>
        <w:rPr>
          <w:color w:val="auto"/>
        </w:rPr>
        <w:sectPr>
          <w:pgSz w:w="16838" w:h="11906" w:orient="landscape"/>
          <w:pgMar w:top="1080" w:right="1440" w:bottom="1080" w:left="1440" w:header="851" w:footer="992" w:gutter="0"/>
          <w:cols w:space="720" w:num="1"/>
          <w:docGrid w:type="lines" w:linePitch="326" w:charSpace="0"/>
        </w:sectPr>
      </w:pPr>
    </w:p>
    <w:p w14:paraId="1C850586">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7、气象条件</w:t>
      </w:r>
    </w:p>
    <w:p w14:paraId="3631AE96">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本次预测采用的气象条件为蚌埠气象站（站点编号58221）202</w:t>
      </w:r>
      <w:r>
        <w:rPr>
          <w:rFonts w:hint="eastAsia" w:ascii="Times New Roman" w:hAnsi="Times New Roman" w:cs="Times New Roman"/>
          <w:color w:val="auto"/>
          <w:lang w:eastAsia="zh-CN"/>
        </w:rPr>
        <w:t>3</w:t>
      </w:r>
      <w:r>
        <w:rPr>
          <w:rFonts w:ascii="Times New Roman" w:hAnsi="Times New Roman" w:cs="Times New Roman"/>
          <w:color w:val="auto"/>
          <w:lang w:eastAsia="zh-CN"/>
        </w:rPr>
        <w:t>年的地面站逐时气象数据</w:t>
      </w:r>
      <w:r>
        <w:rPr>
          <w:rFonts w:hint="eastAsia" w:ascii="Times New Roman" w:hAnsi="Times New Roman" w:cs="Times New Roman"/>
          <w:color w:val="auto"/>
          <w:lang w:eastAsia="zh-CN"/>
        </w:rPr>
        <w:t>。</w:t>
      </w:r>
    </w:p>
    <w:p w14:paraId="2B038038">
      <w:pPr>
        <w:spacing w:line="360" w:lineRule="auto"/>
        <w:ind w:firstLine="480" w:firstLineChars="200"/>
        <w:jc w:val="both"/>
        <w:rPr>
          <w:rFonts w:ascii="Times New Roman" w:hAnsi="Times New Roman" w:cs="Times New Roman"/>
          <w:bCs/>
          <w:color w:val="auto"/>
          <w:lang w:eastAsia="zh-CN"/>
        </w:rPr>
      </w:pPr>
      <w:r>
        <w:rPr>
          <w:rFonts w:ascii="Times New Roman" w:hAnsi="Times New Roman" w:cs="Times New Roman"/>
          <w:bCs/>
          <w:color w:val="auto"/>
          <w:lang w:eastAsia="zh-CN"/>
        </w:rPr>
        <w:t>8、预测模式</w:t>
      </w:r>
    </w:p>
    <w:p w14:paraId="405AA203">
      <w:pPr>
        <w:spacing w:line="360" w:lineRule="auto"/>
        <w:ind w:firstLine="480" w:firstLineChars="200"/>
        <w:jc w:val="both"/>
        <w:rPr>
          <w:rFonts w:ascii="Times New Roman" w:hAnsi="Times New Roman" w:cs="Times New Roman"/>
          <w:bCs/>
          <w:color w:val="auto"/>
          <w:lang w:eastAsia="zh-CN"/>
        </w:rPr>
      </w:pPr>
      <w:r>
        <w:rPr>
          <w:rFonts w:ascii="Times New Roman" w:hAnsi="Times New Roman" w:cs="Times New Roman"/>
          <w:bCs/>
          <w:color w:val="auto"/>
          <w:lang w:eastAsia="zh-CN"/>
        </w:rPr>
        <w:t>采用《环境影响评价技术导则—大气环境》（HJ2.2 -2018）中推荐的AERMOD模型进行预测，使用的预测软件为六五软件工作室的EIAPro2018，版本为2.6.507。气象预处理模型为AERMOD，使用的软件界面为EIAPro2018 2.6.507。</w:t>
      </w:r>
    </w:p>
    <w:p w14:paraId="7006135F">
      <w:pPr>
        <w:spacing w:line="360" w:lineRule="auto"/>
        <w:ind w:firstLine="480" w:firstLineChars="200"/>
        <w:jc w:val="both"/>
        <w:rPr>
          <w:rFonts w:ascii="Times New Roman" w:hAnsi="Times New Roman" w:cs="Times New Roman"/>
          <w:bCs/>
          <w:color w:val="auto"/>
          <w:lang w:eastAsia="zh-CN"/>
        </w:rPr>
      </w:pPr>
      <w:r>
        <w:rPr>
          <w:rFonts w:ascii="Times New Roman" w:hAnsi="Times New Roman" w:cs="Times New Roman"/>
          <w:color w:val="auto"/>
          <w:lang w:eastAsia="zh-CN"/>
        </w:rPr>
        <w:t>9</w:t>
      </w:r>
      <w:r>
        <w:rPr>
          <w:rFonts w:ascii="Times New Roman" w:hAnsi="Times New Roman" w:cs="Times New Roman"/>
          <w:bCs/>
          <w:color w:val="auto"/>
          <w:lang w:eastAsia="zh-CN"/>
        </w:rPr>
        <w:t>、预测模型中地表参数选取</w:t>
      </w:r>
    </w:p>
    <w:p w14:paraId="34220BE3">
      <w:pPr>
        <w:spacing w:line="360" w:lineRule="auto"/>
        <w:ind w:firstLine="480" w:firstLineChars="200"/>
        <w:jc w:val="both"/>
        <w:rPr>
          <w:rFonts w:ascii="Times New Roman" w:hAnsi="Times New Roman" w:cs="Times New Roman"/>
          <w:bCs/>
          <w:color w:val="auto"/>
          <w:lang w:eastAsia="zh-CN"/>
        </w:rPr>
      </w:pPr>
      <w:r>
        <w:rPr>
          <w:rFonts w:ascii="Times New Roman" w:hAnsi="Times New Roman" w:cs="Times New Roman"/>
          <w:bCs/>
          <w:color w:val="auto"/>
          <w:lang w:eastAsia="zh-CN"/>
        </w:rPr>
        <w:t>根据项目厂址周围5km的地面特征，地表类型分为一个扇形区域，项目所在区域为潮湿气候，0°～360°之间是城市工业用地，预测模式中的地表参数详见下表：</w:t>
      </w:r>
    </w:p>
    <w:p w14:paraId="192EDE5B">
      <w:pPr>
        <w:spacing w:line="360" w:lineRule="auto"/>
        <w:jc w:val="center"/>
        <w:rPr>
          <w:rFonts w:ascii="Times New Roman" w:hAnsi="Times New Roman" w:cs="Times New Roman"/>
          <w:b/>
          <w:bCs/>
          <w:color w:val="auto"/>
          <w:szCs w:val="24"/>
        </w:rPr>
      </w:pPr>
      <w:r>
        <w:rPr>
          <w:rFonts w:ascii="Times New Roman" w:hAnsi="Times New Roman" w:cs="Times New Roman"/>
          <w:b/>
          <w:bCs/>
          <w:color w:val="auto"/>
          <w:szCs w:val="24"/>
        </w:rPr>
        <w:t>表</w:t>
      </w:r>
      <w:r>
        <w:rPr>
          <w:rFonts w:ascii="Times New Roman" w:hAnsi="Times New Roman" w:cs="Times New Roman"/>
          <w:b/>
          <w:bCs/>
          <w:color w:val="auto"/>
          <w:szCs w:val="24"/>
          <w:lang w:eastAsia="zh-CN"/>
        </w:rPr>
        <w:t>6</w:t>
      </w:r>
      <w:r>
        <w:rPr>
          <w:rFonts w:ascii="Times New Roman" w:hAnsi="Times New Roman" w:cs="Times New Roman"/>
          <w:b/>
          <w:bCs/>
          <w:color w:val="auto"/>
          <w:szCs w:val="24"/>
        </w:rPr>
        <w:t>.2-1</w:t>
      </w:r>
      <w:r>
        <w:rPr>
          <w:rFonts w:hint="eastAsia" w:ascii="Times New Roman" w:hAnsi="Times New Roman" w:cs="Times New Roman"/>
          <w:b/>
          <w:bCs/>
          <w:color w:val="auto"/>
          <w:szCs w:val="24"/>
          <w:lang w:eastAsia="zh-CN"/>
        </w:rPr>
        <w:t>0</w:t>
      </w:r>
      <w:r>
        <w:rPr>
          <w:rFonts w:ascii="Times New Roman" w:hAnsi="Times New Roman" w:cs="Times New Roman"/>
          <w:b/>
          <w:bCs/>
          <w:color w:val="auto"/>
          <w:szCs w:val="24"/>
        </w:rPr>
        <w:t xml:space="preserve">  地表参数表</w:t>
      </w:r>
    </w:p>
    <w:tbl>
      <w:tblPr>
        <w:tblStyle w:val="35"/>
        <w:tblW w:w="4997"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1279"/>
        <w:gridCol w:w="1481"/>
        <w:gridCol w:w="2295"/>
        <w:gridCol w:w="1815"/>
        <w:gridCol w:w="1436"/>
        <w:gridCol w:w="1434"/>
      </w:tblGrid>
      <w:tr w14:paraId="20EEDBB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660" w:type="pct"/>
            <w:noWrap/>
            <w:vAlign w:val="center"/>
          </w:tcPr>
          <w:p w14:paraId="36150933">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扇区</w:t>
            </w:r>
          </w:p>
        </w:tc>
        <w:tc>
          <w:tcPr>
            <w:tcW w:w="745" w:type="pct"/>
            <w:noWrap/>
            <w:vAlign w:val="center"/>
          </w:tcPr>
          <w:p w14:paraId="600EAF95">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土地利用类型</w:t>
            </w:r>
          </w:p>
        </w:tc>
        <w:tc>
          <w:tcPr>
            <w:tcW w:w="1181" w:type="pct"/>
            <w:vAlign w:val="center"/>
          </w:tcPr>
          <w:p w14:paraId="2E72E0F7">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时段</w:t>
            </w:r>
          </w:p>
        </w:tc>
        <w:tc>
          <w:tcPr>
            <w:tcW w:w="935" w:type="pct"/>
            <w:noWrap/>
            <w:vAlign w:val="center"/>
          </w:tcPr>
          <w:p w14:paraId="082D248C">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正午反照率</w:t>
            </w:r>
          </w:p>
        </w:tc>
        <w:tc>
          <w:tcPr>
            <w:tcW w:w="740" w:type="pct"/>
            <w:noWrap/>
            <w:vAlign w:val="center"/>
          </w:tcPr>
          <w:p w14:paraId="46DFC6E8">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BOWEN</w:t>
            </w:r>
          </w:p>
        </w:tc>
        <w:tc>
          <w:tcPr>
            <w:tcW w:w="739" w:type="pct"/>
            <w:noWrap/>
            <w:vAlign w:val="center"/>
          </w:tcPr>
          <w:p w14:paraId="11DE8707">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粗糙度</w:t>
            </w:r>
          </w:p>
        </w:tc>
      </w:tr>
      <w:tr w14:paraId="4CE1D57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660" w:type="pct"/>
            <w:vMerge w:val="restart"/>
            <w:vAlign w:val="center"/>
          </w:tcPr>
          <w:p w14:paraId="067053A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0~360°</w:t>
            </w:r>
          </w:p>
        </w:tc>
        <w:tc>
          <w:tcPr>
            <w:tcW w:w="745" w:type="pct"/>
            <w:vMerge w:val="restart"/>
            <w:vAlign w:val="center"/>
          </w:tcPr>
          <w:p w14:paraId="1E45E26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城市工业用地</w:t>
            </w:r>
          </w:p>
        </w:tc>
        <w:tc>
          <w:tcPr>
            <w:tcW w:w="1181" w:type="pct"/>
            <w:vAlign w:val="center"/>
          </w:tcPr>
          <w:p w14:paraId="7A0BF7E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冬季（12、1、2月）</w:t>
            </w:r>
          </w:p>
        </w:tc>
        <w:tc>
          <w:tcPr>
            <w:tcW w:w="935" w:type="pct"/>
            <w:noWrap/>
            <w:vAlign w:val="center"/>
          </w:tcPr>
          <w:p w14:paraId="3832AC11">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0.35</w:t>
            </w:r>
          </w:p>
        </w:tc>
        <w:tc>
          <w:tcPr>
            <w:tcW w:w="740" w:type="pct"/>
            <w:noWrap/>
            <w:vAlign w:val="center"/>
          </w:tcPr>
          <w:p w14:paraId="0AFFDCE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1.5</w:t>
            </w:r>
          </w:p>
        </w:tc>
        <w:tc>
          <w:tcPr>
            <w:tcW w:w="739" w:type="pct"/>
            <w:noWrap/>
            <w:vAlign w:val="center"/>
          </w:tcPr>
          <w:p w14:paraId="14CB0DE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w:t>
            </w:r>
          </w:p>
        </w:tc>
      </w:tr>
      <w:tr w14:paraId="18A460C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660" w:type="pct"/>
            <w:vMerge w:val="continue"/>
            <w:vAlign w:val="center"/>
          </w:tcPr>
          <w:p w14:paraId="0EC677E5">
            <w:pPr>
              <w:adjustRightInd w:val="0"/>
              <w:snapToGrid w:val="0"/>
              <w:jc w:val="center"/>
              <w:rPr>
                <w:rFonts w:ascii="Times New Roman" w:hAnsi="Times New Roman" w:cs="Times New Roman"/>
                <w:color w:val="auto"/>
                <w:sz w:val="21"/>
              </w:rPr>
            </w:pPr>
          </w:p>
        </w:tc>
        <w:tc>
          <w:tcPr>
            <w:tcW w:w="745" w:type="pct"/>
            <w:vMerge w:val="continue"/>
            <w:vAlign w:val="center"/>
          </w:tcPr>
          <w:p w14:paraId="6EF23ADF">
            <w:pPr>
              <w:adjustRightInd w:val="0"/>
              <w:snapToGrid w:val="0"/>
              <w:jc w:val="center"/>
              <w:rPr>
                <w:rFonts w:ascii="Times New Roman" w:hAnsi="Times New Roman" w:cs="Times New Roman"/>
                <w:color w:val="auto"/>
                <w:sz w:val="21"/>
              </w:rPr>
            </w:pPr>
          </w:p>
        </w:tc>
        <w:tc>
          <w:tcPr>
            <w:tcW w:w="1181" w:type="pct"/>
            <w:vAlign w:val="center"/>
          </w:tcPr>
          <w:p w14:paraId="5DC95D11">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春季（3、4、5月）</w:t>
            </w:r>
          </w:p>
        </w:tc>
        <w:tc>
          <w:tcPr>
            <w:tcW w:w="935" w:type="pct"/>
            <w:noWrap/>
            <w:vAlign w:val="center"/>
          </w:tcPr>
          <w:p w14:paraId="1104504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0.</w:t>
            </w:r>
            <w:r>
              <w:rPr>
                <w:rFonts w:ascii="Times New Roman" w:hAnsi="Times New Roman" w:cs="Times New Roman"/>
                <w:color w:val="auto"/>
                <w:sz w:val="21"/>
                <w:lang w:eastAsia="zh-CN"/>
              </w:rPr>
              <w:t>14</w:t>
            </w:r>
          </w:p>
        </w:tc>
        <w:tc>
          <w:tcPr>
            <w:tcW w:w="740" w:type="pct"/>
            <w:noWrap/>
            <w:vAlign w:val="center"/>
          </w:tcPr>
          <w:p w14:paraId="6D88C4B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w:t>
            </w:r>
          </w:p>
        </w:tc>
        <w:tc>
          <w:tcPr>
            <w:tcW w:w="739" w:type="pct"/>
            <w:noWrap/>
            <w:vAlign w:val="center"/>
          </w:tcPr>
          <w:p w14:paraId="32EF1278">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w:t>
            </w:r>
          </w:p>
        </w:tc>
      </w:tr>
      <w:tr w14:paraId="651A427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660" w:type="pct"/>
            <w:vMerge w:val="continue"/>
            <w:vAlign w:val="center"/>
          </w:tcPr>
          <w:p w14:paraId="7521B4AA">
            <w:pPr>
              <w:adjustRightInd w:val="0"/>
              <w:snapToGrid w:val="0"/>
              <w:jc w:val="center"/>
              <w:rPr>
                <w:rFonts w:ascii="Times New Roman" w:hAnsi="Times New Roman" w:cs="Times New Roman"/>
                <w:color w:val="auto"/>
                <w:sz w:val="21"/>
              </w:rPr>
            </w:pPr>
          </w:p>
        </w:tc>
        <w:tc>
          <w:tcPr>
            <w:tcW w:w="745" w:type="pct"/>
            <w:vMerge w:val="continue"/>
            <w:vAlign w:val="center"/>
          </w:tcPr>
          <w:p w14:paraId="291CE00F">
            <w:pPr>
              <w:adjustRightInd w:val="0"/>
              <w:snapToGrid w:val="0"/>
              <w:jc w:val="center"/>
              <w:rPr>
                <w:rFonts w:ascii="Times New Roman" w:hAnsi="Times New Roman" w:cs="Times New Roman"/>
                <w:color w:val="auto"/>
                <w:sz w:val="21"/>
              </w:rPr>
            </w:pPr>
          </w:p>
        </w:tc>
        <w:tc>
          <w:tcPr>
            <w:tcW w:w="1181" w:type="pct"/>
            <w:vAlign w:val="center"/>
          </w:tcPr>
          <w:p w14:paraId="53CC747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夏季（6、7、8月）</w:t>
            </w:r>
          </w:p>
        </w:tc>
        <w:tc>
          <w:tcPr>
            <w:tcW w:w="935" w:type="pct"/>
            <w:noWrap/>
            <w:vAlign w:val="center"/>
          </w:tcPr>
          <w:p w14:paraId="659DE5D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0.</w:t>
            </w:r>
            <w:r>
              <w:rPr>
                <w:rFonts w:ascii="Times New Roman" w:hAnsi="Times New Roman" w:cs="Times New Roman"/>
                <w:color w:val="auto"/>
                <w:sz w:val="21"/>
                <w:lang w:eastAsia="zh-CN"/>
              </w:rPr>
              <w:t>16</w:t>
            </w:r>
          </w:p>
        </w:tc>
        <w:tc>
          <w:tcPr>
            <w:tcW w:w="740" w:type="pct"/>
            <w:noWrap/>
            <w:vAlign w:val="center"/>
          </w:tcPr>
          <w:p w14:paraId="7586F0F8">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2</w:t>
            </w:r>
          </w:p>
        </w:tc>
        <w:tc>
          <w:tcPr>
            <w:tcW w:w="739" w:type="pct"/>
            <w:noWrap/>
            <w:vAlign w:val="center"/>
          </w:tcPr>
          <w:p w14:paraId="54D75D11">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w:t>
            </w:r>
          </w:p>
        </w:tc>
      </w:tr>
      <w:tr w14:paraId="1B83E4B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660" w:type="pct"/>
            <w:vMerge w:val="continue"/>
            <w:vAlign w:val="center"/>
          </w:tcPr>
          <w:p w14:paraId="3B75DC80">
            <w:pPr>
              <w:adjustRightInd w:val="0"/>
              <w:snapToGrid w:val="0"/>
              <w:jc w:val="center"/>
              <w:rPr>
                <w:rFonts w:ascii="Times New Roman" w:hAnsi="Times New Roman" w:cs="Times New Roman"/>
                <w:color w:val="auto"/>
                <w:sz w:val="21"/>
              </w:rPr>
            </w:pPr>
          </w:p>
        </w:tc>
        <w:tc>
          <w:tcPr>
            <w:tcW w:w="745" w:type="pct"/>
            <w:vMerge w:val="continue"/>
            <w:vAlign w:val="center"/>
          </w:tcPr>
          <w:p w14:paraId="3398F697">
            <w:pPr>
              <w:adjustRightInd w:val="0"/>
              <w:snapToGrid w:val="0"/>
              <w:jc w:val="center"/>
              <w:rPr>
                <w:rFonts w:ascii="Times New Roman" w:hAnsi="Times New Roman" w:cs="Times New Roman"/>
                <w:color w:val="auto"/>
                <w:sz w:val="21"/>
              </w:rPr>
            </w:pPr>
          </w:p>
        </w:tc>
        <w:tc>
          <w:tcPr>
            <w:tcW w:w="1181" w:type="pct"/>
            <w:vAlign w:val="center"/>
          </w:tcPr>
          <w:p w14:paraId="0E38BB6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秋季（9、10、11月）</w:t>
            </w:r>
          </w:p>
        </w:tc>
        <w:tc>
          <w:tcPr>
            <w:tcW w:w="935" w:type="pct"/>
            <w:noWrap/>
            <w:vAlign w:val="center"/>
          </w:tcPr>
          <w:p w14:paraId="317A08E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0.1</w:t>
            </w:r>
            <w:r>
              <w:rPr>
                <w:rFonts w:ascii="Times New Roman" w:hAnsi="Times New Roman" w:cs="Times New Roman"/>
                <w:color w:val="auto"/>
                <w:sz w:val="21"/>
                <w:lang w:eastAsia="zh-CN"/>
              </w:rPr>
              <w:t>8</w:t>
            </w:r>
          </w:p>
        </w:tc>
        <w:tc>
          <w:tcPr>
            <w:tcW w:w="740" w:type="pct"/>
            <w:noWrap/>
            <w:vAlign w:val="center"/>
          </w:tcPr>
          <w:p w14:paraId="31B45F6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2</w:t>
            </w:r>
          </w:p>
        </w:tc>
        <w:tc>
          <w:tcPr>
            <w:tcW w:w="739" w:type="pct"/>
            <w:noWrap/>
            <w:vAlign w:val="center"/>
          </w:tcPr>
          <w:p w14:paraId="6FBC07C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w:t>
            </w:r>
          </w:p>
        </w:tc>
      </w:tr>
    </w:tbl>
    <w:p w14:paraId="2A63DE68">
      <w:pPr>
        <w:spacing w:line="360" w:lineRule="auto"/>
        <w:ind w:firstLine="482"/>
        <w:jc w:val="both"/>
        <w:outlineLvl w:val="3"/>
        <w:rPr>
          <w:rFonts w:ascii="Times New Roman" w:hAnsi="Times New Roman" w:cs="Times New Roman"/>
          <w:b/>
          <w:bCs/>
          <w:color w:val="auto"/>
          <w:lang w:eastAsia="zh-CN"/>
        </w:rPr>
      </w:pPr>
      <w:r>
        <w:rPr>
          <w:rFonts w:ascii="Times New Roman" w:hAnsi="Times New Roman" w:eastAsia="新宋体" w:cs="Times New Roman"/>
          <w:b/>
          <w:bCs/>
          <w:color w:val="auto"/>
          <w:lang w:eastAsia="zh-CN"/>
        </w:rPr>
        <w:t>6.2.2.</w:t>
      </w:r>
      <w:r>
        <w:rPr>
          <w:rFonts w:hint="eastAsia" w:ascii="Times New Roman" w:hAnsi="Times New Roman" w:eastAsia="新宋体" w:cs="Times New Roman"/>
          <w:b/>
          <w:bCs/>
          <w:color w:val="auto"/>
          <w:lang w:eastAsia="zh-CN"/>
        </w:rPr>
        <w:t>2</w:t>
      </w:r>
      <w:r>
        <w:rPr>
          <w:rFonts w:ascii="Times New Roman" w:hAnsi="Times New Roman" w:eastAsia="新宋体" w:cs="Times New Roman"/>
          <w:b/>
          <w:bCs/>
          <w:color w:val="auto"/>
          <w:lang w:eastAsia="zh-CN"/>
        </w:rPr>
        <w:t xml:space="preserve"> </w:t>
      </w:r>
      <w:r>
        <w:rPr>
          <w:rFonts w:hint="eastAsia" w:ascii="Times New Roman" w:hAnsi="Times New Roman" w:eastAsia="新宋体" w:cs="Times New Roman"/>
          <w:b/>
          <w:bCs/>
          <w:color w:val="auto"/>
          <w:lang w:eastAsia="zh-CN"/>
        </w:rPr>
        <w:t>环境空气质量影响预测内容</w:t>
      </w:r>
    </w:p>
    <w:p w14:paraId="2F39553D">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根据拟建项目污染物排放特点及《环境影响评价技术导则大气环境》（HJ 2.2-2018）相关要求，结合区域污染气象特征，项目所在区环境空气质量为不达标区，不达标区预测内容和评价要求详见</w:t>
      </w:r>
      <w:r>
        <w:rPr>
          <w:rFonts w:hint="eastAsia" w:ascii="Times New Roman" w:hAnsi="Times New Roman" w:cs="Times New Roman"/>
          <w:color w:val="auto"/>
          <w:lang w:eastAsia="zh-CN"/>
        </w:rPr>
        <w:t>下表</w:t>
      </w:r>
      <w:r>
        <w:rPr>
          <w:rFonts w:ascii="Times New Roman" w:hAnsi="Times New Roman" w:cs="Times New Roman"/>
          <w:color w:val="auto"/>
          <w:lang w:eastAsia="zh-CN"/>
        </w:rPr>
        <w:t>。</w:t>
      </w:r>
    </w:p>
    <w:p w14:paraId="4587C513">
      <w:pPr>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表6.2-1</w:t>
      </w:r>
      <w:r>
        <w:rPr>
          <w:rFonts w:hint="eastAsia" w:ascii="Times New Roman" w:hAnsi="Times New Roman" w:cs="Times New Roman"/>
          <w:b/>
          <w:bCs/>
          <w:color w:val="auto"/>
          <w:szCs w:val="24"/>
          <w:lang w:eastAsia="zh-CN"/>
        </w:rPr>
        <w:t>1</w:t>
      </w:r>
      <w:r>
        <w:rPr>
          <w:rFonts w:ascii="Times New Roman" w:hAnsi="Times New Roman" w:cs="Times New Roman"/>
          <w:b/>
          <w:bCs/>
          <w:color w:val="auto"/>
          <w:szCs w:val="24"/>
          <w:lang w:eastAsia="zh-CN"/>
        </w:rPr>
        <w:t xml:space="preserve"> 环境空气影响预测内容</w:t>
      </w:r>
    </w:p>
    <w:tbl>
      <w:tblPr>
        <w:tblStyle w:val="35"/>
        <w:tblW w:w="4983"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1381"/>
        <w:gridCol w:w="3232"/>
        <w:gridCol w:w="1842"/>
        <w:gridCol w:w="1430"/>
        <w:gridCol w:w="1828"/>
      </w:tblGrid>
      <w:tr w14:paraId="5C3C19C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jc w:val="center"/>
        </w:trPr>
        <w:tc>
          <w:tcPr>
            <w:tcW w:w="711" w:type="pct"/>
            <w:noWrap/>
            <w:tcMar>
              <w:top w:w="15" w:type="dxa"/>
              <w:left w:w="15" w:type="dxa"/>
              <w:right w:w="15" w:type="dxa"/>
            </w:tcMar>
            <w:vAlign w:val="center"/>
          </w:tcPr>
          <w:p w14:paraId="04A0416C">
            <w:pPr>
              <w:adjustRightInd w:val="0"/>
              <w:snapToGrid w:val="0"/>
              <w:jc w:val="center"/>
              <w:textAlignment w:val="center"/>
              <w:rPr>
                <w:rFonts w:ascii="Times New Roman" w:hAnsi="Times New Roman" w:cs="Times New Roman"/>
                <w:b/>
                <w:color w:val="auto"/>
                <w:sz w:val="21"/>
              </w:rPr>
            </w:pPr>
            <w:r>
              <w:rPr>
                <w:rFonts w:ascii="Times New Roman" w:hAnsi="Times New Roman" w:cs="Times New Roman"/>
                <w:b/>
                <w:color w:val="auto"/>
                <w:sz w:val="21"/>
              </w:rPr>
              <w:t>评价对象</w:t>
            </w:r>
          </w:p>
        </w:tc>
        <w:tc>
          <w:tcPr>
            <w:tcW w:w="1664" w:type="pct"/>
            <w:noWrap/>
            <w:tcMar>
              <w:top w:w="15" w:type="dxa"/>
              <w:left w:w="15" w:type="dxa"/>
              <w:right w:w="15" w:type="dxa"/>
            </w:tcMar>
            <w:vAlign w:val="center"/>
          </w:tcPr>
          <w:p w14:paraId="12FA85B5">
            <w:pPr>
              <w:adjustRightInd w:val="0"/>
              <w:snapToGrid w:val="0"/>
              <w:jc w:val="center"/>
              <w:textAlignment w:val="center"/>
              <w:rPr>
                <w:rFonts w:ascii="Times New Roman" w:hAnsi="Times New Roman" w:cs="Times New Roman"/>
                <w:b/>
                <w:color w:val="auto"/>
                <w:sz w:val="21"/>
              </w:rPr>
            </w:pPr>
            <w:r>
              <w:rPr>
                <w:rFonts w:ascii="Times New Roman" w:hAnsi="Times New Roman" w:cs="Times New Roman"/>
                <w:b/>
                <w:color w:val="auto"/>
                <w:sz w:val="21"/>
              </w:rPr>
              <w:t>污染源</w:t>
            </w:r>
          </w:p>
        </w:tc>
        <w:tc>
          <w:tcPr>
            <w:tcW w:w="948" w:type="pct"/>
            <w:noWrap/>
            <w:tcMar>
              <w:top w:w="15" w:type="dxa"/>
              <w:left w:w="15" w:type="dxa"/>
              <w:right w:w="15" w:type="dxa"/>
            </w:tcMar>
            <w:vAlign w:val="center"/>
          </w:tcPr>
          <w:p w14:paraId="2FE83072">
            <w:pPr>
              <w:adjustRightInd w:val="0"/>
              <w:snapToGrid w:val="0"/>
              <w:jc w:val="center"/>
              <w:textAlignment w:val="center"/>
              <w:rPr>
                <w:rFonts w:ascii="Times New Roman" w:hAnsi="Times New Roman" w:cs="Times New Roman"/>
                <w:b/>
                <w:color w:val="auto"/>
                <w:sz w:val="21"/>
              </w:rPr>
            </w:pPr>
            <w:r>
              <w:rPr>
                <w:rFonts w:ascii="Times New Roman" w:hAnsi="Times New Roman" w:cs="Times New Roman"/>
                <w:b/>
                <w:color w:val="auto"/>
                <w:sz w:val="21"/>
              </w:rPr>
              <w:t>污染源排放形式</w:t>
            </w:r>
          </w:p>
        </w:tc>
        <w:tc>
          <w:tcPr>
            <w:tcW w:w="736" w:type="pct"/>
            <w:noWrap/>
            <w:tcMar>
              <w:top w:w="15" w:type="dxa"/>
              <w:left w:w="15" w:type="dxa"/>
              <w:right w:w="15" w:type="dxa"/>
            </w:tcMar>
            <w:vAlign w:val="center"/>
          </w:tcPr>
          <w:p w14:paraId="79974806">
            <w:pPr>
              <w:adjustRightInd w:val="0"/>
              <w:snapToGrid w:val="0"/>
              <w:jc w:val="center"/>
              <w:textAlignment w:val="center"/>
              <w:rPr>
                <w:rFonts w:ascii="Times New Roman" w:hAnsi="Times New Roman" w:cs="Times New Roman"/>
                <w:b/>
                <w:color w:val="auto"/>
                <w:sz w:val="21"/>
              </w:rPr>
            </w:pPr>
            <w:r>
              <w:rPr>
                <w:rFonts w:ascii="Times New Roman" w:hAnsi="Times New Roman" w:cs="Times New Roman"/>
                <w:b/>
                <w:color w:val="auto"/>
                <w:sz w:val="21"/>
              </w:rPr>
              <w:t>预测内容</w:t>
            </w:r>
          </w:p>
        </w:tc>
        <w:tc>
          <w:tcPr>
            <w:tcW w:w="941" w:type="pct"/>
            <w:noWrap/>
            <w:tcMar>
              <w:top w:w="15" w:type="dxa"/>
              <w:left w:w="15" w:type="dxa"/>
              <w:right w:w="15" w:type="dxa"/>
            </w:tcMar>
            <w:vAlign w:val="center"/>
          </w:tcPr>
          <w:p w14:paraId="3BB2FA60">
            <w:pPr>
              <w:adjustRightInd w:val="0"/>
              <w:snapToGrid w:val="0"/>
              <w:jc w:val="center"/>
              <w:textAlignment w:val="center"/>
              <w:rPr>
                <w:rFonts w:ascii="Times New Roman" w:hAnsi="Times New Roman" w:cs="Times New Roman"/>
                <w:b/>
                <w:color w:val="auto"/>
                <w:sz w:val="21"/>
              </w:rPr>
            </w:pPr>
            <w:r>
              <w:rPr>
                <w:rFonts w:ascii="Times New Roman" w:hAnsi="Times New Roman" w:cs="Times New Roman"/>
                <w:b/>
                <w:color w:val="auto"/>
                <w:sz w:val="21"/>
              </w:rPr>
              <w:t>评价内容</w:t>
            </w:r>
          </w:p>
        </w:tc>
      </w:tr>
      <w:tr w14:paraId="02F7D40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jc w:val="center"/>
        </w:trPr>
        <w:tc>
          <w:tcPr>
            <w:tcW w:w="711" w:type="pct"/>
            <w:vMerge w:val="restart"/>
            <w:noWrap/>
            <w:tcMar>
              <w:top w:w="15" w:type="dxa"/>
              <w:left w:w="15" w:type="dxa"/>
              <w:right w:w="15" w:type="dxa"/>
            </w:tcMar>
            <w:vAlign w:val="center"/>
          </w:tcPr>
          <w:p w14:paraId="08B6C104">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rPr>
              <w:t>不达标区</w:t>
            </w:r>
          </w:p>
          <w:p w14:paraId="66176D60">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rPr>
              <w:t>评价项目</w:t>
            </w:r>
          </w:p>
        </w:tc>
        <w:tc>
          <w:tcPr>
            <w:tcW w:w="1664" w:type="pct"/>
            <w:noWrap/>
            <w:tcMar>
              <w:top w:w="15" w:type="dxa"/>
              <w:left w:w="15" w:type="dxa"/>
              <w:right w:w="15" w:type="dxa"/>
            </w:tcMar>
            <w:vAlign w:val="center"/>
          </w:tcPr>
          <w:p w14:paraId="2BCBDB2F">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rPr>
              <w:t>新增污染源</w:t>
            </w:r>
          </w:p>
        </w:tc>
        <w:tc>
          <w:tcPr>
            <w:tcW w:w="948" w:type="pct"/>
            <w:noWrap/>
            <w:tcMar>
              <w:top w:w="15" w:type="dxa"/>
              <w:left w:w="15" w:type="dxa"/>
              <w:right w:w="15" w:type="dxa"/>
            </w:tcMar>
            <w:vAlign w:val="center"/>
          </w:tcPr>
          <w:p w14:paraId="46A475B6">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rPr>
              <w:t>正常排放</w:t>
            </w:r>
          </w:p>
        </w:tc>
        <w:tc>
          <w:tcPr>
            <w:tcW w:w="736" w:type="pct"/>
            <w:tcMar>
              <w:top w:w="15" w:type="dxa"/>
              <w:left w:w="15" w:type="dxa"/>
              <w:right w:w="15" w:type="dxa"/>
            </w:tcMar>
            <w:vAlign w:val="center"/>
          </w:tcPr>
          <w:p w14:paraId="2E44A694">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rPr>
              <w:t>短期浓度</w:t>
            </w:r>
          </w:p>
        </w:tc>
        <w:tc>
          <w:tcPr>
            <w:tcW w:w="941" w:type="pct"/>
            <w:noWrap/>
            <w:tcMar>
              <w:top w:w="15" w:type="dxa"/>
              <w:left w:w="15" w:type="dxa"/>
              <w:right w:w="15" w:type="dxa"/>
            </w:tcMar>
            <w:vAlign w:val="center"/>
          </w:tcPr>
          <w:p w14:paraId="1AB73EFB">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rPr>
              <w:t>最大浓度占标率</w:t>
            </w:r>
          </w:p>
        </w:tc>
      </w:tr>
      <w:tr w14:paraId="58CE7A7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jc w:val="center"/>
        </w:trPr>
        <w:tc>
          <w:tcPr>
            <w:tcW w:w="711" w:type="pct"/>
            <w:vMerge w:val="continue"/>
            <w:noWrap/>
            <w:tcMar>
              <w:top w:w="15" w:type="dxa"/>
              <w:left w:w="15" w:type="dxa"/>
              <w:right w:w="15" w:type="dxa"/>
            </w:tcMar>
            <w:vAlign w:val="center"/>
          </w:tcPr>
          <w:p w14:paraId="788E4797">
            <w:pPr>
              <w:adjustRightInd w:val="0"/>
              <w:snapToGrid w:val="0"/>
              <w:jc w:val="center"/>
              <w:rPr>
                <w:rFonts w:ascii="Times New Roman" w:hAnsi="Times New Roman" w:cs="Times New Roman"/>
                <w:color w:val="auto"/>
                <w:sz w:val="21"/>
              </w:rPr>
            </w:pPr>
          </w:p>
        </w:tc>
        <w:tc>
          <w:tcPr>
            <w:tcW w:w="1664" w:type="pct"/>
            <w:tcMar>
              <w:top w:w="15" w:type="dxa"/>
              <w:left w:w="15" w:type="dxa"/>
              <w:right w:w="15" w:type="dxa"/>
            </w:tcMar>
            <w:vAlign w:val="center"/>
          </w:tcPr>
          <w:p w14:paraId="055D6266">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新增污染源</w:t>
            </w:r>
          </w:p>
          <w:p w14:paraId="6A9494E1">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p w14:paraId="612073EC">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“以新带老”污染源（如有）</w:t>
            </w:r>
          </w:p>
          <w:p w14:paraId="350C0C10">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p w14:paraId="2A3787CC">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区域削减污染源（如有）</w:t>
            </w:r>
          </w:p>
          <w:p w14:paraId="2F61699D">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p w14:paraId="471D70F8">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其他在建、拟建污染源</w:t>
            </w:r>
          </w:p>
          <w:p w14:paraId="4F83B821">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（如有）</w:t>
            </w:r>
          </w:p>
        </w:tc>
        <w:tc>
          <w:tcPr>
            <w:tcW w:w="948" w:type="pct"/>
            <w:noWrap/>
            <w:tcMar>
              <w:top w:w="15" w:type="dxa"/>
              <w:left w:w="15" w:type="dxa"/>
              <w:right w:w="15" w:type="dxa"/>
            </w:tcMar>
            <w:vAlign w:val="center"/>
          </w:tcPr>
          <w:p w14:paraId="0B3BA242">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rPr>
              <w:t>正常排放</w:t>
            </w:r>
          </w:p>
        </w:tc>
        <w:tc>
          <w:tcPr>
            <w:tcW w:w="736" w:type="pct"/>
            <w:tcMar>
              <w:top w:w="15" w:type="dxa"/>
              <w:left w:w="15" w:type="dxa"/>
              <w:right w:w="15" w:type="dxa"/>
            </w:tcMar>
            <w:vAlign w:val="center"/>
          </w:tcPr>
          <w:p w14:paraId="09CC7068">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rPr>
              <w:t>短期浓度</w:t>
            </w:r>
          </w:p>
        </w:tc>
        <w:tc>
          <w:tcPr>
            <w:tcW w:w="941" w:type="pct"/>
            <w:tcMar>
              <w:top w:w="15" w:type="dxa"/>
              <w:left w:w="15" w:type="dxa"/>
              <w:right w:w="15" w:type="dxa"/>
            </w:tcMar>
            <w:vAlign w:val="center"/>
          </w:tcPr>
          <w:p w14:paraId="030102A1">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叠加达标规划目标浓度后的保证率日平均质量浓度和年平均质量浓度的占标率，或短期浓度的达标情况</w:t>
            </w:r>
          </w:p>
        </w:tc>
      </w:tr>
      <w:tr w14:paraId="3279B37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jc w:val="center"/>
        </w:trPr>
        <w:tc>
          <w:tcPr>
            <w:tcW w:w="711" w:type="pct"/>
            <w:vMerge w:val="continue"/>
            <w:noWrap/>
            <w:tcMar>
              <w:top w:w="15" w:type="dxa"/>
              <w:left w:w="15" w:type="dxa"/>
              <w:right w:w="15" w:type="dxa"/>
            </w:tcMar>
            <w:vAlign w:val="center"/>
          </w:tcPr>
          <w:p w14:paraId="043DB009">
            <w:pPr>
              <w:adjustRightInd w:val="0"/>
              <w:snapToGrid w:val="0"/>
              <w:jc w:val="center"/>
              <w:rPr>
                <w:rFonts w:ascii="Times New Roman" w:hAnsi="Times New Roman" w:cs="Times New Roman"/>
                <w:color w:val="auto"/>
                <w:sz w:val="21"/>
                <w:lang w:eastAsia="zh-CN"/>
              </w:rPr>
            </w:pPr>
          </w:p>
        </w:tc>
        <w:tc>
          <w:tcPr>
            <w:tcW w:w="1664" w:type="pct"/>
            <w:noWrap/>
            <w:tcMar>
              <w:top w:w="15" w:type="dxa"/>
              <w:left w:w="15" w:type="dxa"/>
              <w:right w:w="15" w:type="dxa"/>
            </w:tcMar>
            <w:vAlign w:val="center"/>
          </w:tcPr>
          <w:p w14:paraId="4D96EA3D">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rPr>
              <w:t>新增污染源</w:t>
            </w:r>
          </w:p>
        </w:tc>
        <w:tc>
          <w:tcPr>
            <w:tcW w:w="948" w:type="pct"/>
            <w:noWrap/>
            <w:tcMar>
              <w:top w:w="15" w:type="dxa"/>
              <w:left w:w="15" w:type="dxa"/>
              <w:right w:w="15" w:type="dxa"/>
            </w:tcMar>
            <w:vAlign w:val="center"/>
          </w:tcPr>
          <w:p w14:paraId="31A4FD01">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rPr>
              <w:t>非正常排放</w:t>
            </w:r>
          </w:p>
        </w:tc>
        <w:tc>
          <w:tcPr>
            <w:tcW w:w="736" w:type="pct"/>
            <w:noWrap/>
            <w:tcMar>
              <w:top w:w="15" w:type="dxa"/>
              <w:left w:w="15" w:type="dxa"/>
              <w:right w:w="15" w:type="dxa"/>
            </w:tcMar>
            <w:vAlign w:val="center"/>
          </w:tcPr>
          <w:p w14:paraId="218AD6D9">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rPr>
              <w:t>1h平均质量浓度</w:t>
            </w:r>
          </w:p>
        </w:tc>
        <w:tc>
          <w:tcPr>
            <w:tcW w:w="941" w:type="pct"/>
            <w:noWrap/>
            <w:tcMar>
              <w:top w:w="15" w:type="dxa"/>
              <w:left w:w="15" w:type="dxa"/>
              <w:right w:w="15" w:type="dxa"/>
            </w:tcMar>
            <w:vAlign w:val="center"/>
          </w:tcPr>
          <w:p w14:paraId="6661013F">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rPr>
              <w:t>最大浓度占标率</w:t>
            </w:r>
          </w:p>
        </w:tc>
      </w:tr>
      <w:tr w14:paraId="07C85E1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jc w:val="center"/>
        </w:trPr>
        <w:tc>
          <w:tcPr>
            <w:tcW w:w="711" w:type="pct"/>
            <w:noWrap/>
            <w:tcMar>
              <w:top w:w="15" w:type="dxa"/>
              <w:left w:w="15" w:type="dxa"/>
              <w:right w:w="15" w:type="dxa"/>
            </w:tcMar>
            <w:vAlign w:val="center"/>
          </w:tcPr>
          <w:p w14:paraId="01E7A7F1">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rPr>
              <w:t>区域规划</w:t>
            </w:r>
          </w:p>
        </w:tc>
        <w:tc>
          <w:tcPr>
            <w:tcW w:w="1664" w:type="pct"/>
            <w:noWrap/>
            <w:tcMar>
              <w:top w:w="15" w:type="dxa"/>
              <w:left w:w="15" w:type="dxa"/>
              <w:right w:w="15" w:type="dxa"/>
            </w:tcMar>
            <w:vAlign w:val="center"/>
          </w:tcPr>
          <w:p w14:paraId="2F2280C0">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不同规划期/规划方案污染源</w:t>
            </w:r>
          </w:p>
        </w:tc>
        <w:tc>
          <w:tcPr>
            <w:tcW w:w="948" w:type="pct"/>
            <w:noWrap/>
            <w:tcMar>
              <w:top w:w="15" w:type="dxa"/>
              <w:left w:w="15" w:type="dxa"/>
              <w:right w:w="15" w:type="dxa"/>
            </w:tcMar>
            <w:vAlign w:val="center"/>
          </w:tcPr>
          <w:p w14:paraId="59B20212">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rPr>
              <w:t>正常排放</w:t>
            </w:r>
          </w:p>
        </w:tc>
        <w:tc>
          <w:tcPr>
            <w:tcW w:w="736" w:type="pct"/>
            <w:tcMar>
              <w:top w:w="15" w:type="dxa"/>
              <w:left w:w="15" w:type="dxa"/>
              <w:right w:w="15" w:type="dxa"/>
            </w:tcMar>
            <w:vAlign w:val="center"/>
          </w:tcPr>
          <w:p w14:paraId="1D063F7D">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rPr>
              <w:t>短期浓度</w:t>
            </w:r>
          </w:p>
        </w:tc>
        <w:tc>
          <w:tcPr>
            <w:tcW w:w="941" w:type="pct"/>
            <w:tcMar>
              <w:top w:w="15" w:type="dxa"/>
              <w:left w:w="15" w:type="dxa"/>
              <w:right w:w="15" w:type="dxa"/>
            </w:tcMar>
            <w:vAlign w:val="center"/>
          </w:tcPr>
          <w:p w14:paraId="13BE54D0">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保证率日平均质量浓度和年平均质量浓度的占标率，年平均质量浓度变化率</w:t>
            </w:r>
          </w:p>
        </w:tc>
      </w:tr>
      <w:tr w14:paraId="6A5BF26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jc w:val="center"/>
        </w:trPr>
        <w:tc>
          <w:tcPr>
            <w:tcW w:w="711" w:type="pct"/>
            <w:noWrap/>
            <w:tcMar>
              <w:top w:w="15" w:type="dxa"/>
              <w:left w:w="15" w:type="dxa"/>
              <w:right w:w="15" w:type="dxa"/>
            </w:tcMar>
            <w:vAlign w:val="center"/>
          </w:tcPr>
          <w:p w14:paraId="2CCE90D7">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rPr>
              <w:t>大气环境</w:t>
            </w:r>
          </w:p>
          <w:p w14:paraId="0B9764F2">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rPr>
              <w:t>防护距离</w:t>
            </w:r>
          </w:p>
        </w:tc>
        <w:tc>
          <w:tcPr>
            <w:tcW w:w="1664" w:type="pct"/>
            <w:tcMar>
              <w:top w:w="15" w:type="dxa"/>
              <w:left w:w="15" w:type="dxa"/>
              <w:right w:w="15" w:type="dxa"/>
            </w:tcMar>
            <w:vAlign w:val="center"/>
          </w:tcPr>
          <w:p w14:paraId="4A084D6A">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新增污染源</w:t>
            </w:r>
          </w:p>
          <w:p w14:paraId="3B8EA982">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p w14:paraId="6B09BD6F">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“以新带老”污染源（如有）</w:t>
            </w:r>
          </w:p>
          <w:p w14:paraId="6FB54A06">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rPr>
              <w:t>+</w:t>
            </w:r>
          </w:p>
          <w:p w14:paraId="18E5CE61">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rPr>
              <w:t>项目全厂现有污染源</w:t>
            </w:r>
          </w:p>
        </w:tc>
        <w:tc>
          <w:tcPr>
            <w:tcW w:w="948" w:type="pct"/>
            <w:noWrap/>
            <w:tcMar>
              <w:top w:w="15" w:type="dxa"/>
              <w:left w:w="15" w:type="dxa"/>
              <w:right w:w="15" w:type="dxa"/>
            </w:tcMar>
            <w:vAlign w:val="center"/>
          </w:tcPr>
          <w:p w14:paraId="432B1F01">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rPr>
              <w:t>正常排放</w:t>
            </w:r>
          </w:p>
        </w:tc>
        <w:tc>
          <w:tcPr>
            <w:tcW w:w="736" w:type="pct"/>
            <w:tcMar>
              <w:top w:w="15" w:type="dxa"/>
              <w:left w:w="15" w:type="dxa"/>
              <w:right w:w="15" w:type="dxa"/>
            </w:tcMar>
            <w:vAlign w:val="center"/>
          </w:tcPr>
          <w:p w14:paraId="685132F1">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rPr>
              <w:t>短期浓度</w:t>
            </w:r>
          </w:p>
        </w:tc>
        <w:tc>
          <w:tcPr>
            <w:tcW w:w="941" w:type="pct"/>
            <w:noWrap/>
            <w:tcMar>
              <w:top w:w="15" w:type="dxa"/>
              <w:left w:w="15" w:type="dxa"/>
              <w:right w:w="15" w:type="dxa"/>
            </w:tcMar>
            <w:vAlign w:val="center"/>
          </w:tcPr>
          <w:p w14:paraId="0E1C2FA1">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rPr>
              <w:t>大气环境防护距离</w:t>
            </w:r>
          </w:p>
        </w:tc>
      </w:tr>
    </w:tbl>
    <w:p w14:paraId="254300D7">
      <w:pPr>
        <w:spacing w:line="360" w:lineRule="auto"/>
        <w:ind w:firstLine="482"/>
        <w:outlineLvl w:val="2"/>
        <w:rPr>
          <w:rFonts w:ascii="Times New Roman" w:hAnsi="Times New Roman" w:cs="Times New Roman"/>
          <w:b/>
          <w:bCs/>
          <w:color w:val="auto"/>
          <w:szCs w:val="24"/>
          <w:lang w:eastAsia="zh-CN"/>
        </w:rPr>
      </w:pPr>
      <w:bookmarkStart w:id="1429" w:name="_Toc236641345"/>
      <w:bookmarkStart w:id="1430" w:name="_Toc231828614"/>
      <w:bookmarkStart w:id="1431" w:name="_Toc236641862"/>
      <w:bookmarkStart w:id="1432" w:name="_Toc225784092"/>
      <w:bookmarkStart w:id="1433" w:name="_Toc237508327"/>
      <w:r>
        <w:rPr>
          <w:rFonts w:ascii="Times New Roman" w:hAnsi="Times New Roman" w:cs="Times New Roman"/>
          <w:b/>
          <w:bCs/>
          <w:color w:val="auto"/>
          <w:szCs w:val="24"/>
          <w:lang w:eastAsia="zh-CN"/>
        </w:rPr>
        <w:t>6.2.</w:t>
      </w:r>
      <w:r>
        <w:rPr>
          <w:rFonts w:hint="eastAsia" w:ascii="Times New Roman" w:hAnsi="Times New Roman" w:cs="Times New Roman"/>
          <w:b/>
          <w:bCs/>
          <w:color w:val="auto"/>
          <w:szCs w:val="24"/>
          <w:lang w:eastAsia="zh-CN"/>
        </w:rPr>
        <w:t>3</w:t>
      </w:r>
      <w:r>
        <w:rPr>
          <w:rFonts w:ascii="Times New Roman" w:hAnsi="Times New Roman" w:cs="Times New Roman"/>
          <w:b/>
          <w:bCs/>
          <w:color w:val="auto"/>
          <w:szCs w:val="24"/>
          <w:lang w:eastAsia="zh-CN"/>
        </w:rPr>
        <w:t xml:space="preserve"> </w:t>
      </w:r>
      <w:r>
        <w:rPr>
          <w:rFonts w:hint="eastAsia" w:ascii="Times New Roman" w:hAnsi="Times New Roman" w:cs="Times New Roman"/>
          <w:b/>
          <w:bCs/>
          <w:color w:val="auto"/>
          <w:szCs w:val="24"/>
          <w:lang w:eastAsia="zh-CN"/>
        </w:rPr>
        <w:t>正常工况预测结果分析</w:t>
      </w:r>
      <w:bookmarkEnd w:id="1429"/>
      <w:bookmarkEnd w:id="1430"/>
      <w:bookmarkEnd w:id="1431"/>
      <w:bookmarkEnd w:id="1432"/>
      <w:bookmarkEnd w:id="1433"/>
    </w:p>
    <w:p w14:paraId="55B4CDFA">
      <w:pPr>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项目正常工况下，预测主要污染物</w:t>
      </w:r>
      <w:r>
        <w:rPr>
          <w:rFonts w:hint="eastAsia" w:ascii="Times New Roman" w:hAnsi="Times New Roman" w:cs="Times New Roman"/>
          <w:bCs/>
          <w:color w:val="auto"/>
          <w:szCs w:val="24"/>
          <w:lang w:eastAsia="zh-CN"/>
        </w:rPr>
        <w:t>氟化物、氯化氢</w:t>
      </w:r>
      <w:r>
        <w:rPr>
          <w:rFonts w:ascii="Times New Roman" w:hAnsi="Times New Roman" w:cs="Times New Roman"/>
          <w:bCs/>
          <w:color w:val="auto"/>
          <w:szCs w:val="24"/>
          <w:lang w:eastAsia="zh-CN"/>
        </w:rPr>
        <w:t>在各环境保护目标和网格点最大落地的短期浓度贡献值</w:t>
      </w:r>
      <w:r>
        <w:rPr>
          <w:rFonts w:hint="eastAsia" w:ascii="Times New Roman" w:hAnsi="Times New Roman" w:cs="Times New Roman"/>
          <w:bCs/>
          <w:color w:val="auto"/>
          <w:szCs w:val="24"/>
          <w:lang w:eastAsia="zh-CN"/>
        </w:rPr>
        <w:t>。</w:t>
      </w:r>
    </w:p>
    <w:p w14:paraId="49289EE8">
      <w:pPr>
        <w:spacing w:line="360" w:lineRule="auto"/>
        <w:ind w:left="480"/>
        <w:jc w:val="both"/>
        <w:rPr>
          <w:rFonts w:ascii="Times New Roman" w:hAnsi="Times New Roman" w:cs="Times New Roman"/>
          <w:bCs/>
          <w:color w:val="auto"/>
          <w:vertAlign w:val="subscript"/>
          <w:lang w:eastAsia="zh-CN"/>
        </w:rPr>
      </w:pPr>
      <w:r>
        <w:rPr>
          <w:rFonts w:hint="eastAsia" w:ascii="Times New Roman" w:hAnsi="Times New Roman" w:cs="Times New Roman"/>
          <w:bCs/>
          <w:color w:val="auto"/>
          <w:lang w:eastAsia="zh-CN"/>
        </w:rPr>
        <w:t>（1）氟化物</w:t>
      </w:r>
    </w:p>
    <w:p w14:paraId="3664F3A3">
      <w:pPr>
        <w:spacing w:line="360" w:lineRule="auto"/>
        <w:ind w:firstLine="480" w:firstLineChars="200"/>
        <w:jc w:val="both"/>
        <w:rPr>
          <w:rFonts w:ascii="Times New Roman" w:hAnsi="Times New Roman" w:cs="Times New Roman"/>
          <w:bCs/>
          <w:color w:val="auto"/>
          <w:lang w:eastAsia="zh-CN"/>
        </w:rPr>
      </w:pPr>
      <w:r>
        <w:rPr>
          <w:rFonts w:ascii="Times New Roman" w:hAnsi="Times New Roman" w:cs="Times New Roman"/>
          <w:bCs/>
          <w:color w:val="auto"/>
          <w:lang w:eastAsia="zh-CN"/>
        </w:rPr>
        <w:t>项目建成环境空气保护目标和网格点</w:t>
      </w:r>
      <w:r>
        <w:rPr>
          <w:rFonts w:hint="eastAsia" w:ascii="Times New Roman" w:hAnsi="Times New Roman" w:cs="Times New Roman"/>
          <w:bCs/>
          <w:color w:val="auto"/>
          <w:lang w:eastAsia="zh-CN"/>
        </w:rPr>
        <w:t>氟化物</w:t>
      </w:r>
      <w:r>
        <w:rPr>
          <w:rFonts w:ascii="Times New Roman" w:hAnsi="Times New Roman" w:cs="Times New Roman"/>
          <w:bCs/>
          <w:color w:val="auto"/>
          <w:lang w:eastAsia="zh-CN"/>
        </w:rPr>
        <w:t>短期浓度贡献值及其最大浓度占标率汇总见表</w:t>
      </w:r>
      <w:r>
        <w:rPr>
          <w:rFonts w:hint="eastAsia" w:ascii="Times New Roman" w:hAnsi="Times New Roman" w:cs="Times New Roman"/>
          <w:bCs/>
          <w:color w:val="auto"/>
          <w:lang w:eastAsia="zh-CN"/>
        </w:rPr>
        <w:t>6</w:t>
      </w:r>
      <w:r>
        <w:rPr>
          <w:rFonts w:ascii="Times New Roman" w:hAnsi="Times New Roman" w:cs="Times New Roman"/>
          <w:bCs/>
          <w:color w:val="auto"/>
          <w:lang w:eastAsia="zh-CN"/>
        </w:rPr>
        <w:t>.2-1</w:t>
      </w:r>
      <w:r>
        <w:rPr>
          <w:rFonts w:hint="eastAsia" w:ascii="Times New Roman" w:hAnsi="Times New Roman" w:cs="Times New Roman"/>
          <w:bCs/>
          <w:color w:val="auto"/>
          <w:lang w:eastAsia="zh-CN"/>
        </w:rPr>
        <w:t>2</w:t>
      </w:r>
      <w:r>
        <w:rPr>
          <w:rFonts w:ascii="Times New Roman" w:hAnsi="Times New Roman" w:cs="Times New Roman"/>
          <w:bCs/>
          <w:color w:val="auto"/>
          <w:lang w:eastAsia="zh-CN"/>
        </w:rPr>
        <w:t>，叠加区域背景浓度后预测值达标情况见表</w:t>
      </w:r>
      <w:r>
        <w:rPr>
          <w:rFonts w:hint="eastAsia" w:ascii="Times New Roman" w:hAnsi="Times New Roman" w:cs="Times New Roman"/>
          <w:bCs/>
          <w:color w:val="auto"/>
          <w:lang w:eastAsia="zh-CN"/>
        </w:rPr>
        <w:t>6</w:t>
      </w:r>
      <w:r>
        <w:rPr>
          <w:rFonts w:ascii="Times New Roman" w:hAnsi="Times New Roman" w:cs="Times New Roman"/>
          <w:bCs/>
          <w:color w:val="auto"/>
          <w:lang w:eastAsia="zh-CN"/>
        </w:rPr>
        <w:t>.2-1</w:t>
      </w:r>
      <w:r>
        <w:rPr>
          <w:rFonts w:hint="eastAsia" w:ascii="Times New Roman" w:hAnsi="Times New Roman" w:cs="Times New Roman"/>
          <w:bCs/>
          <w:color w:val="auto"/>
          <w:lang w:eastAsia="zh-CN"/>
        </w:rPr>
        <w:t>3</w:t>
      </w:r>
      <w:r>
        <w:rPr>
          <w:rFonts w:ascii="Times New Roman" w:hAnsi="Times New Roman" w:cs="Times New Roman"/>
          <w:bCs/>
          <w:color w:val="auto"/>
          <w:lang w:eastAsia="zh-CN"/>
        </w:rPr>
        <w:t>。网格点</w:t>
      </w:r>
      <w:r>
        <w:rPr>
          <w:rFonts w:hint="eastAsia" w:ascii="Times New Roman" w:hAnsi="Times New Roman" w:cs="Times New Roman"/>
          <w:bCs/>
          <w:color w:val="auto"/>
          <w:lang w:eastAsia="zh-CN"/>
        </w:rPr>
        <w:t>氟化物</w:t>
      </w:r>
      <w:r>
        <w:rPr>
          <w:rFonts w:ascii="Times New Roman" w:hAnsi="Times New Roman" w:cs="Times New Roman"/>
          <w:bCs/>
          <w:color w:val="auto"/>
          <w:lang w:eastAsia="zh-CN"/>
        </w:rPr>
        <w:t>小时、日均贡献浓度最大值分布见图</w:t>
      </w:r>
      <w:r>
        <w:rPr>
          <w:rFonts w:hint="eastAsia" w:ascii="Times New Roman" w:hAnsi="Times New Roman" w:cs="Times New Roman"/>
          <w:bCs/>
          <w:color w:val="auto"/>
          <w:lang w:eastAsia="zh-CN"/>
        </w:rPr>
        <w:t>6</w:t>
      </w:r>
      <w:r>
        <w:rPr>
          <w:rFonts w:ascii="Times New Roman" w:hAnsi="Times New Roman" w:cs="Times New Roman"/>
          <w:bCs/>
          <w:color w:val="auto"/>
          <w:lang w:eastAsia="zh-CN"/>
        </w:rPr>
        <w:t>.2-</w:t>
      </w:r>
      <w:r>
        <w:rPr>
          <w:rFonts w:hint="eastAsia" w:ascii="Times New Roman" w:hAnsi="Times New Roman" w:cs="Times New Roman"/>
          <w:bCs/>
          <w:color w:val="auto"/>
          <w:lang w:eastAsia="zh-CN"/>
        </w:rPr>
        <w:t>5</w:t>
      </w:r>
      <w:r>
        <w:rPr>
          <w:rFonts w:ascii="Times New Roman" w:hAnsi="Times New Roman" w:cs="Times New Roman"/>
          <w:bCs/>
          <w:color w:val="auto"/>
          <w:lang w:eastAsia="zh-CN"/>
        </w:rPr>
        <w:t>、图</w:t>
      </w:r>
      <w:r>
        <w:rPr>
          <w:rFonts w:hint="eastAsia" w:ascii="Times New Roman" w:hAnsi="Times New Roman" w:cs="Times New Roman"/>
          <w:bCs/>
          <w:color w:val="auto"/>
          <w:lang w:eastAsia="zh-CN"/>
        </w:rPr>
        <w:t>6</w:t>
      </w:r>
      <w:r>
        <w:rPr>
          <w:rFonts w:ascii="Times New Roman" w:hAnsi="Times New Roman" w:cs="Times New Roman"/>
          <w:bCs/>
          <w:color w:val="auto"/>
          <w:lang w:eastAsia="zh-CN"/>
        </w:rPr>
        <w:t>.2-</w:t>
      </w:r>
      <w:r>
        <w:rPr>
          <w:rFonts w:hint="eastAsia" w:ascii="Times New Roman" w:hAnsi="Times New Roman" w:cs="Times New Roman"/>
          <w:bCs/>
          <w:color w:val="auto"/>
          <w:lang w:eastAsia="zh-CN"/>
        </w:rPr>
        <w:t>6</w:t>
      </w:r>
      <w:r>
        <w:rPr>
          <w:rFonts w:ascii="Times New Roman" w:hAnsi="Times New Roman" w:cs="Times New Roman"/>
          <w:bCs/>
          <w:color w:val="auto"/>
          <w:lang w:eastAsia="zh-CN"/>
        </w:rPr>
        <w:t>。</w:t>
      </w:r>
    </w:p>
    <w:p w14:paraId="59E38762">
      <w:pPr>
        <w:spacing w:line="360" w:lineRule="auto"/>
        <w:jc w:val="center"/>
        <w:rPr>
          <w:rFonts w:ascii="Times New Roman" w:hAnsi="Times New Roman" w:eastAsia="新宋体" w:cs="Times New Roman"/>
          <w:b/>
          <w:bCs/>
          <w:szCs w:val="24"/>
          <w:lang w:eastAsia="zh-CN"/>
        </w:rPr>
      </w:pPr>
      <w:r>
        <w:rPr>
          <w:rFonts w:ascii="Times New Roman" w:hAnsi="Times New Roman" w:cs="Times New Roman"/>
          <w:b/>
          <w:kern w:val="2"/>
          <w:szCs w:val="24"/>
          <w:lang w:eastAsia="zh-CN"/>
        </w:rPr>
        <w:t>表</w:t>
      </w:r>
      <w:r>
        <w:rPr>
          <w:rFonts w:hint="eastAsia" w:ascii="Times New Roman" w:hAnsi="Times New Roman" w:cs="Times New Roman"/>
          <w:b/>
          <w:kern w:val="2"/>
          <w:szCs w:val="24"/>
          <w:lang w:eastAsia="zh-CN"/>
        </w:rPr>
        <w:t>6</w:t>
      </w:r>
      <w:r>
        <w:rPr>
          <w:rFonts w:ascii="Times New Roman" w:hAnsi="Times New Roman" w:cs="Times New Roman"/>
          <w:b/>
          <w:kern w:val="2"/>
          <w:szCs w:val="24"/>
          <w:lang w:eastAsia="zh-CN"/>
        </w:rPr>
        <w:t>.2-1</w:t>
      </w:r>
      <w:r>
        <w:rPr>
          <w:rFonts w:hint="eastAsia" w:ascii="Times New Roman" w:hAnsi="Times New Roman" w:cs="Times New Roman"/>
          <w:b/>
          <w:kern w:val="2"/>
          <w:szCs w:val="24"/>
          <w:lang w:eastAsia="zh-CN"/>
        </w:rPr>
        <w:t>2</w:t>
      </w:r>
      <w:r>
        <w:rPr>
          <w:rFonts w:ascii="Times New Roman" w:hAnsi="Times New Roman" w:cs="Times New Roman"/>
          <w:b/>
          <w:kern w:val="2"/>
          <w:szCs w:val="24"/>
          <w:lang w:eastAsia="zh-CN"/>
        </w:rPr>
        <w:t xml:space="preserve"> 项目</w:t>
      </w:r>
      <w:r>
        <w:rPr>
          <w:rFonts w:hint="eastAsia" w:ascii="Times New Roman" w:hAnsi="Times New Roman" w:cs="Times New Roman"/>
          <w:b/>
          <w:lang w:eastAsia="zh-CN"/>
        </w:rPr>
        <w:t>氟化物</w:t>
      </w:r>
      <w:r>
        <w:rPr>
          <w:rFonts w:ascii="Times New Roman" w:hAnsi="Times New Roman" w:cs="Times New Roman"/>
          <w:b/>
          <w:kern w:val="2"/>
          <w:szCs w:val="24"/>
          <w:lang w:eastAsia="zh-CN"/>
        </w:rPr>
        <w:t>贡献浓度预测结果一览表  单位：</w:t>
      </w:r>
      <w:r>
        <w:rPr>
          <w:rFonts w:ascii="Times New Roman" w:hAnsi="Times New Roman" w:cs="Times New Roman"/>
          <w:b/>
          <w:bCs/>
          <w:szCs w:val="24"/>
          <w:lang w:eastAsia="zh-CN" w:bidi="ar"/>
        </w:rPr>
        <w:t>μg/m</w:t>
      </w:r>
      <w:r>
        <w:rPr>
          <w:rFonts w:ascii="Times New Roman" w:hAnsi="Times New Roman" w:cs="Times New Roman"/>
          <w:b/>
          <w:bCs/>
          <w:szCs w:val="24"/>
          <w:vertAlign w:val="superscript"/>
          <w:lang w:eastAsia="zh-CN" w:bidi="ar"/>
        </w:rPr>
        <w:t>3</w:t>
      </w:r>
    </w:p>
    <w:tbl>
      <w:tblPr>
        <w:tblStyle w:val="35"/>
        <w:tblpPr w:leftFromText="180" w:rightFromText="180" w:vertAnchor="text" w:tblpXSpec="center" w:tblpY="1"/>
        <w:tblOverlap w:val="never"/>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86"/>
        <w:gridCol w:w="954"/>
        <w:gridCol w:w="958"/>
        <w:gridCol w:w="1542"/>
        <w:gridCol w:w="2249"/>
        <w:gridCol w:w="1542"/>
        <w:gridCol w:w="957"/>
        <w:gridCol w:w="958"/>
      </w:tblGrid>
      <w:tr w14:paraId="10DACE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tcBorders>
              <w:tl2br w:val="nil"/>
              <w:tr2bl w:val="nil"/>
            </w:tcBorders>
            <w:noWrap/>
            <w:vAlign w:val="center"/>
          </w:tcPr>
          <w:p w14:paraId="49C1E8BD">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序号</w:t>
            </w:r>
          </w:p>
        </w:tc>
        <w:tc>
          <w:tcPr>
            <w:tcW w:w="489" w:type="pct"/>
            <w:tcBorders>
              <w:tl2br w:val="nil"/>
              <w:tr2bl w:val="nil"/>
            </w:tcBorders>
            <w:noWrap/>
            <w:vAlign w:val="center"/>
          </w:tcPr>
          <w:p w14:paraId="2F0A7EEA">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点名称</w:t>
            </w:r>
          </w:p>
        </w:tc>
        <w:tc>
          <w:tcPr>
            <w:tcW w:w="491" w:type="pct"/>
            <w:tcBorders>
              <w:tl2br w:val="nil"/>
              <w:tr2bl w:val="nil"/>
            </w:tcBorders>
            <w:noWrap/>
            <w:vAlign w:val="center"/>
          </w:tcPr>
          <w:p w14:paraId="48C8042D">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浓度类型</w:t>
            </w:r>
          </w:p>
        </w:tc>
        <w:tc>
          <w:tcPr>
            <w:tcW w:w="1045" w:type="pct"/>
            <w:tcBorders>
              <w:tl2br w:val="nil"/>
              <w:tr2bl w:val="nil"/>
            </w:tcBorders>
            <w:noWrap/>
            <w:vAlign w:val="center"/>
          </w:tcPr>
          <w:p w14:paraId="3C550E49">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浓度增量(μg/m</w:t>
            </w:r>
            <w:r>
              <w:rPr>
                <w:rFonts w:ascii="Times New Roman" w:hAnsi="Times New Roman" w:cs="Times New Roman"/>
                <w:b/>
                <w:bCs/>
                <w:color w:val="auto"/>
                <w:sz w:val="21"/>
                <w:vertAlign w:val="superscript"/>
                <w:lang w:eastAsia="zh-CN" w:bidi="ar"/>
              </w:rPr>
              <w:t>3</w:t>
            </w:r>
            <w:r>
              <w:rPr>
                <w:rFonts w:ascii="Times New Roman" w:hAnsi="Times New Roman" w:cs="Times New Roman"/>
                <w:b/>
                <w:bCs/>
                <w:color w:val="auto"/>
                <w:sz w:val="21"/>
                <w:lang w:eastAsia="zh-CN" w:bidi="ar"/>
              </w:rPr>
              <w:t>)</w:t>
            </w:r>
          </w:p>
        </w:tc>
        <w:tc>
          <w:tcPr>
            <w:tcW w:w="900" w:type="pct"/>
            <w:tcBorders>
              <w:tl2br w:val="nil"/>
              <w:tr2bl w:val="nil"/>
            </w:tcBorders>
            <w:noWrap/>
            <w:vAlign w:val="center"/>
          </w:tcPr>
          <w:p w14:paraId="2611DB7D">
            <w:pPr>
              <w:adjustRightInd w:val="0"/>
              <w:snapToGrid w:val="0"/>
              <w:jc w:val="center"/>
              <w:textAlignment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bidi="ar"/>
              </w:rPr>
              <w:t>出现时间(YYMMDDHH)</w:t>
            </w:r>
          </w:p>
        </w:tc>
        <w:tc>
          <w:tcPr>
            <w:tcW w:w="792" w:type="pct"/>
            <w:tcBorders>
              <w:tl2br w:val="nil"/>
              <w:tr2bl w:val="nil"/>
            </w:tcBorders>
            <w:noWrap/>
            <w:vAlign w:val="center"/>
          </w:tcPr>
          <w:p w14:paraId="161E2381">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评价标准(μg/m</w:t>
            </w:r>
            <w:r>
              <w:rPr>
                <w:rFonts w:ascii="Times New Roman" w:hAnsi="Times New Roman" w:cs="Times New Roman"/>
                <w:b/>
                <w:bCs/>
                <w:color w:val="auto"/>
                <w:sz w:val="21"/>
                <w:vertAlign w:val="superscript"/>
                <w:lang w:eastAsia="zh-CN" w:bidi="ar"/>
              </w:rPr>
              <w:t>3</w:t>
            </w:r>
            <w:r>
              <w:rPr>
                <w:rFonts w:ascii="Times New Roman" w:hAnsi="Times New Roman" w:cs="Times New Roman"/>
                <w:b/>
                <w:bCs/>
                <w:color w:val="auto"/>
                <w:sz w:val="21"/>
                <w:lang w:eastAsia="zh-CN" w:bidi="ar"/>
              </w:rPr>
              <w:t>)</w:t>
            </w:r>
          </w:p>
        </w:tc>
        <w:tc>
          <w:tcPr>
            <w:tcW w:w="490" w:type="pct"/>
            <w:tcBorders>
              <w:tl2br w:val="nil"/>
              <w:tr2bl w:val="nil"/>
            </w:tcBorders>
            <w:noWrap/>
            <w:vAlign w:val="center"/>
          </w:tcPr>
          <w:p w14:paraId="1D44BE38">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占标率%</w:t>
            </w:r>
          </w:p>
        </w:tc>
        <w:tc>
          <w:tcPr>
            <w:tcW w:w="491" w:type="pct"/>
            <w:tcBorders>
              <w:tl2br w:val="nil"/>
              <w:tr2bl w:val="nil"/>
            </w:tcBorders>
            <w:noWrap/>
            <w:vAlign w:val="center"/>
          </w:tcPr>
          <w:p w14:paraId="71422037">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是否超标</w:t>
            </w:r>
          </w:p>
        </w:tc>
      </w:tr>
      <w:tr w14:paraId="767133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vMerge w:val="restart"/>
            <w:tcBorders>
              <w:tl2br w:val="nil"/>
              <w:tr2bl w:val="nil"/>
            </w:tcBorders>
            <w:noWrap/>
            <w:vAlign w:val="center"/>
          </w:tcPr>
          <w:p w14:paraId="353D3D69">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w:t>
            </w:r>
          </w:p>
        </w:tc>
        <w:tc>
          <w:tcPr>
            <w:tcW w:w="489" w:type="pct"/>
            <w:vMerge w:val="restart"/>
            <w:tcBorders>
              <w:tl2br w:val="nil"/>
              <w:tr2bl w:val="nil"/>
            </w:tcBorders>
            <w:noWrap/>
            <w:vAlign w:val="center"/>
          </w:tcPr>
          <w:p w14:paraId="0969A6EF">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大柏村</w:t>
            </w:r>
          </w:p>
        </w:tc>
        <w:tc>
          <w:tcPr>
            <w:tcW w:w="491" w:type="pct"/>
            <w:tcBorders>
              <w:tl2br w:val="nil"/>
              <w:tr2bl w:val="nil"/>
            </w:tcBorders>
            <w:noWrap/>
            <w:vAlign w:val="center"/>
          </w:tcPr>
          <w:p w14:paraId="6F94C5D4">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1小时</w:t>
            </w:r>
          </w:p>
        </w:tc>
        <w:tc>
          <w:tcPr>
            <w:tcW w:w="1045" w:type="pct"/>
            <w:tcBorders>
              <w:tl2br w:val="nil"/>
              <w:tr2bl w:val="nil"/>
            </w:tcBorders>
            <w:noWrap/>
            <w:vAlign w:val="center"/>
          </w:tcPr>
          <w:p w14:paraId="3976456F">
            <w:pPr>
              <w:adjustRightInd w:val="0"/>
              <w:snapToGrid w:val="0"/>
              <w:jc w:val="center"/>
              <w:textAlignment w:val="center"/>
              <w:rPr>
                <w:rFonts w:ascii="Times New Roman" w:hAnsi="Times New Roman" w:cs="Times New Roman"/>
                <w:color w:val="auto"/>
                <w:sz w:val="21"/>
                <w:lang w:eastAsia="zh-CN"/>
              </w:rPr>
            </w:pPr>
          </w:p>
        </w:tc>
        <w:tc>
          <w:tcPr>
            <w:tcW w:w="900" w:type="pct"/>
            <w:tcBorders>
              <w:tl2br w:val="nil"/>
              <w:tr2bl w:val="nil"/>
            </w:tcBorders>
            <w:noWrap/>
            <w:vAlign w:val="center"/>
          </w:tcPr>
          <w:p w14:paraId="09529110">
            <w:pPr>
              <w:adjustRightInd w:val="0"/>
              <w:snapToGrid w:val="0"/>
              <w:jc w:val="center"/>
              <w:textAlignment w:val="center"/>
              <w:rPr>
                <w:rFonts w:ascii="Times New Roman" w:hAnsi="Times New Roman" w:cs="Times New Roman"/>
                <w:color w:val="auto"/>
                <w:sz w:val="21"/>
              </w:rPr>
            </w:pPr>
          </w:p>
        </w:tc>
        <w:tc>
          <w:tcPr>
            <w:tcW w:w="792" w:type="pct"/>
            <w:tcBorders>
              <w:tl2br w:val="nil"/>
              <w:tr2bl w:val="nil"/>
            </w:tcBorders>
            <w:noWrap/>
            <w:vAlign w:val="center"/>
          </w:tcPr>
          <w:p w14:paraId="3F93CF34">
            <w:pPr>
              <w:adjustRightInd w:val="0"/>
              <w:snapToGrid w:val="0"/>
              <w:jc w:val="center"/>
              <w:textAlignment w:val="center"/>
              <w:rPr>
                <w:rFonts w:ascii="Times New Roman" w:hAnsi="Times New Roman" w:cs="Times New Roman"/>
                <w:color w:val="auto"/>
                <w:sz w:val="21"/>
              </w:rPr>
            </w:pPr>
          </w:p>
        </w:tc>
        <w:tc>
          <w:tcPr>
            <w:tcW w:w="490" w:type="pct"/>
            <w:tcBorders>
              <w:tl2br w:val="nil"/>
              <w:tr2bl w:val="nil"/>
            </w:tcBorders>
            <w:noWrap/>
            <w:vAlign w:val="center"/>
          </w:tcPr>
          <w:p w14:paraId="2480E72B">
            <w:pPr>
              <w:adjustRightInd w:val="0"/>
              <w:snapToGrid w:val="0"/>
              <w:jc w:val="center"/>
              <w:textAlignment w:val="center"/>
              <w:rPr>
                <w:rFonts w:ascii="Times New Roman" w:hAnsi="Times New Roman" w:cs="Times New Roman"/>
                <w:color w:val="auto"/>
                <w:sz w:val="21"/>
                <w:lang w:eastAsia="zh-CN"/>
              </w:rPr>
            </w:pPr>
          </w:p>
        </w:tc>
        <w:tc>
          <w:tcPr>
            <w:tcW w:w="491" w:type="pct"/>
            <w:tcBorders>
              <w:tl2br w:val="nil"/>
              <w:tr2bl w:val="nil"/>
            </w:tcBorders>
            <w:noWrap/>
            <w:vAlign w:val="center"/>
          </w:tcPr>
          <w:p w14:paraId="003117F8">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63D5D2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vMerge w:val="continue"/>
            <w:tcBorders>
              <w:tl2br w:val="nil"/>
              <w:tr2bl w:val="nil"/>
            </w:tcBorders>
            <w:noWrap/>
            <w:vAlign w:val="center"/>
          </w:tcPr>
          <w:p w14:paraId="6FC51405">
            <w:pPr>
              <w:adjustRightInd w:val="0"/>
              <w:snapToGrid w:val="0"/>
              <w:jc w:val="center"/>
              <w:rPr>
                <w:rFonts w:ascii="Times New Roman" w:hAnsi="Times New Roman" w:cs="Times New Roman"/>
                <w:color w:val="auto"/>
                <w:sz w:val="21"/>
              </w:rPr>
            </w:pPr>
          </w:p>
        </w:tc>
        <w:tc>
          <w:tcPr>
            <w:tcW w:w="489" w:type="pct"/>
            <w:vMerge w:val="continue"/>
            <w:tcBorders>
              <w:tl2br w:val="nil"/>
              <w:tr2bl w:val="nil"/>
            </w:tcBorders>
            <w:noWrap/>
            <w:vAlign w:val="center"/>
          </w:tcPr>
          <w:p w14:paraId="769E07C3">
            <w:pPr>
              <w:adjustRightInd w:val="0"/>
              <w:snapToGrid w:val="0"/>
              <w:jc w:val="center"/>
              <w:rPr>
                <w:rFonts w:ascii="Times New Roman" w:hAnsi="Times New Roman" w:cs="Times New Roman"/>
                <w:color w:val="auto"/>
                <w:sz w:val="21"/>
              </w:rPr>
            </w:pPr>
          </w:p>
        </w:tc>
        <w:tc>
          <w:tcPr>
            <w:tcW w:w="491" w:type="pct"/>
            <w:tcBorders>
              <w:tl2br w:val="nil"/>
              <w:tr2bl w:val="nil"/>
            </w:tcBorders>
            <w:noWrap/>
            <w:vAlign w:val="center"/>
          </w:tcPr>
          <w:p w14:paraId="435BF447">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日平均</w:t>
            </w:r>
          </w:p>
        </w:tc>
        <w:tc>
          <w:tcPr>
            <w:tcW w:w="1045" w:type="pct"/>
            <w:tcBorders>
              <w:tl2br w:val="nil"/>
              <w:tr2bl w:val="nil"/>
            </w:tcBorders>
            <w:noWrap/>
            <w:vAlign w:val="center"/>
          </w:tcPr>
          <w:p w14:paraId="39B72B99">
            <w:pPr>
              <w:adjustRightInd w:val="0"/>
              <w:snapToGrid w:val="0"/>
              <w:jc w:val="center"/>
              <w:textAlignment w:val="center"/>
              <w:rPr>
                <w:rFonts w:ascii="Times New Roman" w:hAnsi="Times New Roman" w:cs="Times New Roman"/>
                <w:color w:val="auto"/>
                <w:sz w:val="21"/>
              </w:rPr>
            </w:pPr>
          </w:p>
        </w:tc>
        <w:tc>
          <w:tcPr>
            <w:tcW w:w="900" w:type="pct"/>
            <w:tcBorders>
              <w:tl2br w:val="nil"/>
              <w:tr2bl w:val="nil"/>
            </w:tcBorders>
            <w:noWrap/>
            <w:vAlign w:val="center"/>
          </w:tcPr>
          <w:p w14:paraId="43106453">
            <w:pPr>
              <w:adjustRightInd w:val="0"/>
              <w:snapToGrid w:val="0"/>
              <w:jc w:val="center"/>
              <w:textAlignment w:val="center"/>
              <w:rPr>
                <w:rFonts w:ascii="Times New Roman" w:hAnsi="Times New Roman" w:cs="Times New Roman"/>
                <w:color w:val="auto"/>
                <w:sz w:val="21"/>
              </w:rPr>
            </w:pPr>
          </w:p>
        </w:tc>
        <w:tc>
          <w:tcPr>
            <w:tcW w:w="792" w:type="pct"/>
            <w:tcBorders>
              <w:tl2br w:val="nil"/>
              <w:tr2bl w:val="nil"/>
            </w:tcBorders>
            <w:noWrap/>
            <w:vAlign w:val="center"/>
          </w:tcPr>
          <w:p w14:paraId="66E59286">
            <w:pPr>
              <w:adjustRightInd w:val="0"/>
              <w:snapToGrid w:val="0"/>
              <w:jc w:val="center"/>
              <w:textAlignment w:val="center"/>
              <w:rPr>
                <w:rFonts w:ascii="Times New Roman" w:hAnsi="Times New Roman" w:cs="Times New Roman"/>
                <w:color w:val="auto"/>
                <w:sz w:val="21"/>
              </w:rPr>
            </w:pPr>
          </w:p>
        </w:tc>
        <w:tc>
          <w:tcPr>
            <w:tcW w:w="490" w:type="pct"/>
            <w:tcBorders>
              <w:tl2br w:val="nil"/>
              <w:tr2bl w:val="nil"/>
            </w:tcBorders>
            <w:noWrap/>
            <w:vAlign w:val="center"/>
          </w:tcPr>
          <w:p w14:paraId="10331EBC">
            <w:pPr>
              <w:adjustRightInd w:val="0"/>
              <w:snapToGrid w:val="0"/>
              <w:jc w:val="center"/>
              <w:textAlignment w:val="center"/>
              <w:rPr>
                <w:rFonts w:ascii="Times New Roman" w:hAnsi="Times New Roman" w:cs="Times New Roman"/>
                <w:color w:val="auto"/>
                <w:sz w:val="21"/>
                <w:lang w:eastAsia="zh-CN"/>
              </w:rPr>
            </w:pPr>
          </w:p>
        </w:tc>
        <w:tc>
          <w:tcPr>
            <w:tcW w:w="491" w:type="pct"/>
            <w:tcBorders>
              <w:tl2br w:val="nil"/>
              <w:tr2bl w:val="nil"/>
            </w:tcBorders>
            <w:noWrap/>
            <w:vAlign w:val="center"/>
          </w:tcPr>
          <w:p w14:paraId="142ED609">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335DB5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vMerge w:val="restart"/>
            <w:tcBorders>
              <w:tl2br w:val="nil"/>
              <w:tr2bl w:val="nil"/>
            </w:tcBorders>
            <w:noWrap/>
            <w:vAlign w:val="center"/>
          </w:tcPr>
          <w:p w14:paraId="2C0D8299">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2</w:t>
            </w:r>
          </w:p>
        </w:tc>
        <w:tc>
          <w:tcPr>
            <w:tcW w:w="489" w:type="pct"/>
            <w:vMerge w:val="restart"/>
            <w:tcBorders>
              <w:tl2br w:val="nil"/>
              <w:tr2bl w:val="nil"/>
            </w:tcBorders>
            <w:noWrap/>
            <w:vAlign w:val="center"/>
          </w:tcPr>
          <w:p w14:paraId="1D57F3A3">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草杨村</w:t>
            </w:r>
          </w:p>
        </w:tc>
        <w:tc>
          <w:tcPr>
            <w:tcW w:w="491" w:type="pct"/>
            <w:tcBorders>
              <w:tl2br w:val="nil"/>
              <w:tr2bl w:val="nil"/>
            </w:tcBorders>
            <w:noWrap/>
            <w:vAlign w:val="center"/>
          </w:tcPr>
          <w:p w14:paraId="41F24ACA">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1小时</w:t>
            </w:r>
          </w:p>
        </w:tc>
        <w:tc>
          <w:tcPr>
            <w:tcW w:w="1045" w:type="pct"/>
            <w:tcBorders>
              <w:tl2br w:val="nil"/>
              <w:tr2bl w:val="nil"/>
            </w:tcBorders>
            <w:noWrap/>
            <w:vAlign w:val="center"/>
          </w:tcPr>
          <w:p w14:paraId="072BFD67">
            <w:pPr>
              <w:adjustRightInd w:val="0"/>
              <w:snapToGrid w:val="0"/>
              <w:jc w:val="center"/>
              <w:textAlignment w:val="center"/>
              <w:rPr>
                <w:rFonts w:ascii="Times New Roman" w:hAnsi="Times New Roman" w:cs="Times New Roman"/>
                <w:color w:val="auto"/>
                <w:sz w:val="21"/>
                <w:lang w:eastAsia="zh-CN"/>
              </w:rPr>
            </w:pPr>
          </w:p>
        </w:tc>
        <w:tc>
          <w:tcPr>
            <w:tcW w:w="900" w:type="pct"/>
            <w:tcBorders>
              <w:tl2br w:val="nil"/>
              <w:tr2bl w:val="nil"/>
            </w:tcBorders>
            <w:noWrap/>
            <w:vAlign w:val="center"/>
          </w:tcPr>
          <w:p w14:paraId="3DA51FFA">
            <w:pPr>
              <w:adjustRightInd w:val="0"/>
              <w:snapToGrid w:val="0"/>
              <w:jc w:val="center"/>
              <w:textAlignment w:val="center"/>
              <w:rPr>
                <w:rFonts w:ascii="Times New Roman" w:hAnsi="Times New Roman" w:cs="Times New Roman"/>
                <w:color w:val="auto"/>
                <w:sz w:val="21"/>
              </w:rPr>
            </w:pPr>
          </w:p>
        </w:tc>
        <w:tc>
          <w:tcPr>
            <w:tcW w:w="792" w:type="pct"/>
            <w:tcBorders>
              <w:tl2br w:val="nil"/>
              <w:tr2bl w:val="nil"/>
            </w:tcBorders>
            <w:noWrap/>
            <w:vAlign w:val="center"/>
          </w:tcPr>
          <w:p w14:paraId="02C87F35">
            <w:pPr>
              <w:adjustRightInd w:val="0"/>
              <w:snapToGrid w:val="0"/>
              <w:jc w:val="center"/>
              <w:textAlignment w:val="center"/>
              <w:rPr>
                <w:rFonts w:ascii="Times New Roman" w:hAnsi="Times New Roman" w:cs="Times New Roman"/>
                <w:color w:val="auto"/>
                <w:sz w:val="21"/>
              </w:rPr>
            </w:pPr>
          </w:p>
        </w:tc>
        <w:tc>
          <w:tcPr>
            <w:tcW w:w="490" w:type="pct"/>
            <w:tcBorders>
              <w:tl2br w:val="nil"/>
              <w:tr2bl w:val="nil"/>
            </w:tcBorders>
            <w:noWrap/>
            <w:vAlign w:val="center"/>
          </w:tcPr>
          <w:p w14:paraId="60C4CF5F">
            <w:pPr>
              <w:adjustRightInd w:val="0"/>
              <w:snapToGrid w:val="0"/>
              <w:jc w:val="center"/>
              <w:textAlignment w:val="center"/>
              <w:rPr>
                <w:rFonts w:ascii="Times New Roman" w:hAnsi="Times New Roman" w:cs="Times New Roman"/>
                <w:color w:val="auto"/>
                <w:sz w:val="21"/>
                <w:lang w:eastAsia="zh-CN"/>
              </w:rPr>
            </w:pPr>
          </w:p>
        </w:tc>
        <w:tc>
          <w:tcPr>
            <w:tcW w:w="491" w:type="pct"/>
            <w:tcBorders>
              <w:tl2br w:val="nil"/>
              <w:tr2bl w:val="nil"/>
            </w:tcBorders>
            <w:noWrap/>
            <w:vAlign w:val="center"/>
          </w:tcPr>
          <w:p w14:paraId="7954556A">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13BD35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vMerge w:val="continue"/>
            <w:tcBorders>
              <w:tl2br w:val="nil"/>
              <w:tr2bl w:val="nil"/>
            </w:tcBorders>
            <w:noWrap/>
            <w:vAlign w:val="center"/>
          </w:tcPr>
          <w:p w14:paraId="2D0AA762">
            <w:pPr>
              <w:adjustRightInd w:val="0"/>
              <w:snapToGrid w:val="0"/>
              <w:jc w:val="center"/>
              <w:rPr>
                <w:rFonts w:ascii="Times New Roman" w:hAnsi="Times New Roman" w:cs="Times New Roman"/>
                <w:color w:val="auto"/>
                <w:sz w:val="21"/>
              </w:rPr>
            </w:pPr>
          </w:p>
        </w:tc>
        <w:tc>
          <w:tcPr>
            <w:tcW w:w="489" w:type="pct"/>
            <w:vMerge w:val="continue"/>
            <w:tcBorders>
              <w:tl2br w:val="nil"/>
              <w:tr2bl w:val="nil"/>
            </w:tcBorders>
            <w:noWrap/>
            <w:vAlign w:val="center"/>
          </w:tcPr>
          <w:p w14:paraId="0CC4272F">
            <w:pPr>
              <w:adjustRightInd w:val="0"/>
              <w:snapToGrid w:val="0"/>
              <w:jc w:val="center"/>
              <w:rPr>
                <w:rFonts w:ascii="Times New Roman" w:hAnsi="Times New Roman" w:cs="Times New Roman"/>
                <w:color w:val="auto"/>
                <w:sz w:val="21"/>
              </w:rPr>
            </w:pPr>
          </w:p>
        </w:tc>
        <w:tc>
          <w:tcPr>
            <w:tcW w:w="491" w:type="pct"/>
            <w:tcBorders>
              <w:tl2br w:val="nil"/>
              <w:tr2bl w:val="nil"/>
            </w:tcBorders>
            <w:noWrap/>
            <w:vAlign w:val="center"/>
          </w:tcPr>
          <w:p w14:paraId="4D38EFF3">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日平均</w:t>
            </w:r>
          </w:p>
        </w:tc>
        <w:tc>
          <w:tcPr>
            <w:tcW w:w="1045" w:type="pct"/>
            <w:tcBorders>
              <w:tl2br w:val="nil"/>
              <w:tr2bl w:val="nil"/>
            </w:tcBorders>
            <w:noWrap/>
            <w:vAlign w:val="center"/>
          </w:tcPr>
          <w:p w14:paraId="1C5A15EC">
            <w:pPr>
              <w:adjustRightInd w:val="0"/>
              <w:snapToGrid w:val="0"/>
              <w:jc w:val="center"/>
              <w:textAlignment w:val="center"/>
              <w:rPr>
                <w:rFonts w:ascii="Times New Roman" w:hAnsi="Times New Roman" w:cs="Times New Roman"/>
                <w:color w:val="auto"/>
                <w:sz w:val="21"/>
                <w:lang w:eastAsia="zh-CN"/>
              </w:rPr>
            </w:pPr>
          </w:p>
        </w:tc>
        <w:tc>
          <w:tcPr>
            <w:tcW w:w="900" w:type="pct"/>
            <w:tcBorders>
              <w:tl2br w:val="nil"/>
              <w:tr2bl w:val="nil"/>
            </w:tcBorders>
            <w:noWrap/>
            <w:vAlign w:val="center"/>
          </w:tcPr>
          <w:p w14:paraId="4707ADA4">
            <w:pPr>
              <w:adjustRightInd w:val="0"/>
              <w:snapToGrid w:val="0"/>
              <w:jc w:val="center"/>
              <w:textAlignment w:val="center"/>
              <w:rPr>
                <w:rFonts w:ascii="Times New Roman" w:hAnsi="Times New Roman" w:cs="Times New Roman"/>
                <w:color w:val="auto"/>
                <w:sz w:val="21"/>
              </w:rPr>
            </w:pPr>
          </w:p>
        </w:tc>
        <w:tc>
          <w:tcPr>
            <w:tcW w:w="792" w:type="pct"/>
            <w:tcBorders>
              <w:tl2br w:val="nil"/>
              <w:tr2bl w:val="nil"/>
            </w:tcBorders>
            <w:noWrap/>
            <w:vAlign w:val="center"/>
          </w:tcPr>
          <w:p w14:paraId="0C9D3B2E">
            <w:pPr>
              <w:adjustRightInd w:val="0"/>
              <w:snapToGrid w:val="0"/>
              <w:jc w:val="center"/>
              <w:textAlignment w:val="center"/>
              <w:rPr>
                <w:rFonts w:ascii="Times New Roman" w:hAnsi="Times New Roman" w:cs="Times New Roman"/>
                <w:color w:val="auto"/>
                <w:sz w:val="21"/>
              </w:rPr>
            </w:pPr>
          </w:p>
        </w:tc>
        <w:tc>
          <w:tcPr>
            <w:tcW w:w="490" w:type="pct"/>
            <w:tcBorders>
              <w:tl2br w:val="nil"/>
              <w:tr2bl w:val="nil"/>
            </w:tcBorders>
            <w:noWrap/>
            <w:vAlign w:val="center"/>
          </w:tcPr>
          <w:p w14:paraId="06F41BF2">
            <w:pPr>
              <w:adjustRightInd w:val="0"/>
              <w:snapToGrid w:val="0"/>
              <w:jc w:val="center"/>
              <w:textAlignment w:val="center"/>
              <w:rPr>
                <w:rFonts w:ascii="Times New Roman" w:hAnsi="Times New Roman" w:cs="Times New Roman"/>
                <w:color w:val="auto"/>
                <w:sz w:val="21"/>
                <w:lang w:eastAsia="zh-CN"/>
              </w:rPr>
            </w:pPr>
          </w:p>
        </w:tc>
        <w:tc>
          <w:tcPr>
            <w:tcW w:w="491" w:type="pct"/>
            <w:tcBorders>
              <w:tl2br w:val="nil"/>
              <w:tr2bl w:val="nil"/>
            </w:tcBorders>
            <w:noWrap/>
            <w:vAlign w:val="center"/>
          </w:tcPr>
          <w:p w14:paraId="5DE0CA49">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350DC0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vMerge w:val="restart"/>
            <w:tcBorders>
              <w:tl2br w:val="nil"/>
              <w:tr2bl w:val="nil"/>
            </w:tcBorders>
            <w:noWrap/>
            <w:vAlign w:val="center"/>
          </w:tcPr>
          <w:p w14:paraId="32775DB6">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3</w:t>
            </w:r>
          </w:p>
        </w:tc>
        <w:tc>
          <w:tcPr>
            <w:tcW w:w="489" w:type="pct"/>
            <w:vMerge w:val="restart"/>
            <w:tcBorders>
              <w:tl2br w:val="nil"/>
              <w:tr2bl w:val="nil"/>
            </w:tcBorders>
            <w:noWrap/>
            <w:vAlign w:val="center"/>
          </w:tcPr>
          <w:p w14:paraId="2852ED87">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大柏小学</w:t>
            </w:r>
          </w:p>
        </w:tc>
        <w:tc>
          <w:tcPr>
            <w:tcW w:w="491" w:type="pct"/>
            <w:tcBorders>
              <w:tl2br w:val="nil"/>
              <w:tr2bl w:val="nil"/>
            </w:tcBorders>
            <w:noWrap/>
            <w:vAlign w:val="center"/>
          </w:tcPr>
          <w:p w14:paraId="137C9192">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1小时</w:t>
            </w:r>
          </w:p>
        </w:tc>
        <w:tc>
          <w:tcPr>
            <w:tcW w:w="1045" w:type="pct"/>
            <w:tcBorders>
              <w:tl2br w:val="nil"/>
              <w:tr2bl w:val="nil"/>
            </w:tcBorders>
            <w:noWrap/>
            <w:vAlign w:val="center"/>
          </w:tcPr>
          <w:p w14:paraId="2CE94CC1">
            <w:pPr>
              <w:adjustRightInd w:val="0"/>
              <w:snapToGrid w:val="0"/>
              <w:jc w:val="center"/>
              <w:textAlignment w:val="center"/>
              <w:rPr>
                <w:rFonts w:ascii="Times New Roman" w:hAnsi="Times New Roman" w:cs="Times New Roman"/>
                <w:color w:val="auto"/>
                <w:sz w:val="21"/>
                <w:lang w:eastAsia="zh-CN"/>
              </w:rPr>
            </w:pPr>
          </w:p>
        </w:tc>
        <w:tc>
          <w:tcPr>
            <w:tcW w:w="900" w:type="pct"/>
            <w:tcBorders>
              <w:tl2br w:val="nil"/>
              <w:tr2bl w:val="nil"/>
            </w:tcBorders>
            <w:noWrap/>
            <w:vAlign w:val="center"/>
          </w:tcPr>
          <w:p w14:paraId="0D32633B">
            <w:pPr>
              <w:adjustRightInd w:val="0"/>
              <w:snapToGrid w:val="0"/>
              <w:jc w:val="center"/>
              <w:textAlignment w:val="center"/>
              <w:rPr>
                <w:rFonts w:ascii="Times New Roman" w:hAnsi="Times New Roman" w:cs="Times New Roman"/>
                <w:color w:val="auto"/>
                <w:sz w:val="21"/>
              </w:rPr>
            </w:pPr>
          </w:p>
        </w:tc>
        <w:tc>
          <w:tcPr>
            <w:tcW w:w="792" w:type="pct"/>
            <w:tcBorders>
              <w:tl2br w:val="nil"/>
              <w:tr2bl w:val="nil"/>
            </w:tcBorders>
            <w:noWrap/>
            <w:vAlign w:val="center"/>
          </w:tcPr>
          <w:p w14:paraId="61157D1D">
            <w:pPr>
              <w:adjustRightInd w:val="0"/>
              <w:snapToGrid w:val="0"/>
              <w:jc w:val="center"/>
              <w:textAlignment w:val="center"/>
              <w:rPr>
                <w:rFonts w:ascii="Times New Roman" w:hAnsi="Times New Roman" w:cs="Times New Roman"/>
                <w:color w:val="auto"/>
                <w:sz w:val="21"/>
              </w:rPr>
            </w:pPr>
          </w:p>
        </w:tc>
        <w:tc>
          <w:tcPr>
            <w:tcW w:w="490" w:type="pct"/>
            <w:tcBorders>
              <w:tl2br w:val="nil"/>
              <w:tr2bl w:val="nil"/>
            </w:tcBorders>
            <w:noWrap/>
            <w:vAlign w:val="center"/>
          </w:tcPr>
          <w:p w14:paraId="106DA199">
            <w:pPr>
              <w:adjustRightInd w:val="0"/>
              <w:snapToGrid w:val="0"/>
              <w:jc w:val="center"/>
              <w:textAlignment w:val="center"/>
              <w:rPr>
                <w:rFonts w:ascii="Times New Roman" w:hAnsi="Times New Roman" w:cs="Times New Roman"/>
                <w:color w:val="auto"/>
                <w:sz w:val="21"/>
              </w:rPr>
            </w:pPr>
          </w:p>
        </w:tc>
        <w:tc>
          <w:tcPr>
            <w:tcW w:w="491" w:type="pct"/>
            <w:tcBorders>
              <w:tl2br w:val="nil"/>
              <w:tr2bl w:val="nil"/>
            </w:tcBorders>
            <w:noWrap/>
            <w:vAlign w:val="center"/>
          </w:tcPr>
          <w:p w14:paraId="58DD18D0">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0762CD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2" w:type="pct"/>
            <w:vMerge w:val="continue"/>
            <w:tcBorders>
              <w:tl2br w:val="nil"/>
              <w:tr2bl w:val="nil"/>
            </w:tcBorders>
            <w:noWrap/>
            <w:vAlign w:val="center"/>
          </w:tcPr>
          <w:p w14:paraId="6B92454D">
            <w:pPr>
              <w:adjustRightInd w:val="0"/>
              <w:snapToGrid w:val="0"/>
              <w:jc w:val="center"/>
              <w:rPr>
                <w:rFonts w:ascii="Times New Roman" w:hAnsi="Times New Roman" w:cs="Times New Roman"/>
                <w:color w:val="auto"/>
                <w:sz w:val="21"/>
              </w:rPr>
            </w:pPr>
          </w:p>
        </w:tc>
        <w:tc>
          <w:tcPr>
            <w:tcW w:w="489" w:type="pct"/>
            <w:vMerge w:val="continue"/>
            <w:tcBorders>
              <w:tl2br w:val="nil"/>
              <w:tr2bl w:val="nil"/>
            </w:tcBorders>
            <w:noWrap/>
            <w:vAlign w:val="center"/>
          </w:tcPr>
          <w:p w14:paraId="65799BB3">
            <w:pPr>
              <w:adjustRightInd w:val="0"/>
              <w:snapToGrid w:val="0"/>
              <w:jc w:val="center"/>
              <w:rPr>
                <w:rFonts w:ascii="Times New Roman" w:hAnsi="Times New Roman" w:cs="Times New Roman"/>
                <w:color w:val="auto"/>
                <w:sz w:val="21"/>
              </w:rPr>
            </w:pPr>
          </w:p>
        </w:tc>
        <w:tc>
          <w:tcPr>
            <w:tcW w:w="491" w:type="pct"/>
            <w:tcBorders>
              <w:tl2br w:val="nil"/>
              <w:tr2bl w:val="nil"/>
            </w:tcBorders>
            <w:noWrap/>
            <w:vAlign w:val="center"/>
          </w:tcPr>
          <w:p w14:paraId="7565412E">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日平均</w:t>
            </w:r>
          </w:p>
        </w:tc>
        <w:tc>
          <w:tcPr>
            <w:tcW w:w="1045" w:type="pct"/>
            <w:tcBorders>
              <w:tl2br w:val="nil"/>
              <w:tr2bl w:val="nil"/>
            </w:tcBorders>
            <w:noWrap/>
            <w:vAlign w:val="center"/>
          </w:tcPr>
          <w:p w14:paraId="488270AE">
            <w:pPr>
              <w:adjustRightInd w:val="0"/>
              <w:snapToGrid w:val="0"/>
              <w:jc w:val="center"/>
              <w:textAlignment w:val="center"/>
              <w:rPr>
                <w:rFonts w:ascii="Times New Roman" w:hAnsi="Times New Roman" w:cs="Times New Roman"/>
                <w:color w:val="auto"/>
                <w:sz w:val="21"/>
              </w:rPr>
            </w:pPr>
          </w:p>
        </w:tc>
        <w:tc>
          <w:tcPr>
            <w:tcW w:w="900" w:type="pct"/>
            <w:tcBorders>
              <w:tl2br w:val="nil"/>
              <w:tr2bl w:val="nil"/>
            </w:tcBorders>
            <w:noWrap/>
            <w:vAlign w:val="center"/>
          </w:tcPr>
          <w:p w14:paraId="4F299D80">
            <w:pPr>
              <w:adjustRightInd w:val="0"/>
              <w:snapToGrid w:val="0"/>
              <w:jc w:val="center"/>
              <w:textAlignment w:val="center"/>
              <w:rPr>
                <w:rFonts w:ascii="Times New Roman" w:hAnsi="Times New Roman" w:cs="Times New Roman"/>
                <w:color w:val="auto"/>
                <w:sz w:val="21"/>
              </w:rPr>
            </w:pPr>
          </w:p>
        </w:tc>
        <w:tc>
          <w:tcPr>
            <w:tcW w:w="792" w:type="pct"/>
            <w:tcBorders>
              <w:tl2br w:val="nil"/>
              <w:tr2bl w:val="nil"/>
            </w:tcBorders>
            <w:noWrap/>
            <w:vAlign w:val="center"/>
          </w:tcPr>
          <w:p w14:paraId="0A8C0C9F">
            <w:pPr>
              <w:adjustRightInd w:val="0"/>
              <w:snapToGrid w:val="0"/>
              <w:jc w:val="center"/>
              <w:textAlignment w:val="center"/>
              <w:rPr>
                <w:rFonts w:ascii="Times New Roman" w:hAnsi="Times New Roman" w:cs="Times New Roman"/>
                <w:color w:val="auto"/>
                <w:sz w:val="21"/>
              </w:rPr>
            </w:pPr>
          </w:p>
        </w:tc>
        <w:tc>
          <w:tcPr>
            <w:tcW w:w="490" w:type="pct"/>
            <w:tcBorders>
              <w:tl2br w:val="nil"/>
              <w:tr2bl w:val="nil"/>
            </w:tcBorders>
            <w:noWrap/>
            <w:vAlign w:val="center"/>
          </w:tcPr>
          <w:p w14:paraId="39CCF06D">
            <w:pPr>
              <w:adjustRightInd w:val="0"/>
              <w:snapToGrid w:val="0"/>
              <w:jc w:val="center"/>
              <w:textAlignment w:val="center"/>
              <w:rPr>
                <w:rFonts w:ascii="Times New Roman" w:hAnsi="Times New Roman" w:cs="Times New Roman"/>
                <w:color w:val="auto"/>
                <w:sz w:val="21"/>
                <w:lang w:eastAsia="zh-CN"/>
              </w:rPr>
            </w:pPr>
          </w:p>
        </w:tc>
        <w:tc>
          <w:tcPr>
            <w:tcW w:w="491" w:type="pct"/>
            <w:tcBorders>
              <w:tl2br w:val="nil"/>
              <w:tr2bl w:val="nil"/>
            </w:tcBorders>
            <w:noWrap/>
            <w:vAlign w:val="center"/>
          </w:tcPr>
          <w:p w14:paraId="06305613">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47403F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vMerge w:val="restart"/>
            <w:tcBorders>
              <w:tl2br w:val="nil"/>
              <w:tr2bl w:val="nil"/>
            </w:tcBorders>
            <w:noWrap/>
            <w:vAlign w:val="center"/>
          </w:tcPr>
          <w:p w14:paraId="6EBC6BCA">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4</w:t>
            </w:r>
          </w:p>
        </w:tc>
        <w:tc>
          <w:tcPr>
            <w:tcW w:w="489" w:type="pct"/>
            <w:vMerge w:val="restart"/>
            <w:tcBorders>
              <w:tl2br w:val="nil"/>
              <w:tr2bl w:val="nil"/>
            </w:tcBorders>
            <w:noWrap/>
            <w:vAlign w:val="center"/>
          </w:tcPr>
          <w:p w14:paraId="4D800A0F">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夏家湖</w:t>
            </w:r>
          </w:p>
        </w:tc>
        <w:tc>
          <w:tcPr>
            <w:tcW w:w="491" w:type="pct"/>
            <w:tcBorders>
              <w:tl2br w:val="nil"/>
              <w:tr2bl w:val="nil"/>
            </w:tcBorders>
            <w:noWrap/>
            <w:vAlign w:val="center"/>
          </w:tcPr>
          <w:p w14:paraId="0702773A">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1小时</w:t>
            </w:r>
          </w:p>
        </w:tc>
        <w:tc>
          <w:tcPr>
            <w:tcW w:w="1045" w:type="pct"/>
            <w:tcBorders>
              <w:tl2br w:val="nil"/>
              <w:tr2bl w:val="nil"/>
            </w:tcBorders>
            <w:noWrap/>
            <w:vAlign w:val="center"/>
          </w:tcPr>
          <w:p w14:paraId="04A4A4A5">
            <w:pPr>
              <w:adjustRightInd w:val="0"/>
              <w:snapToGrid w:val="0"/>
              <w:jc w:val="center"/>
              <w:textAlignment w:val="center"/>
              <w:rPr>
                <w:rFonts w:ascii="Times New Roman" w:hAnsi="Times New Roman" w:cs="Times New Roman"/>
                <w:color w:val="auto"/>
                <w:sz w:val="21"/>
              </w:rPr>
            </w:pPr>
          </w:p>
        </w:tc>
        <w:tc>
          <w:tcPr>
            <w:tcW w:w="900" w:type="pct"/>
            <w:tcBorders>
              <w:tl2br w:val="nil"/>
              <w:tr2bl w:val="nil"/>
            </w:tcBorders>
            <w:noWrap/>
            <w:vAlign w:val="center"/>
          </w:tcPr>
          <w:p w14:paraId="3B4D06BD">
            <w:pPr>
              <w:adjustRightInd w:val="0"/>
              <w:snapToGrid w:val="0"/>
              <w:jc w:val="center"/>
              <w:textAlignment w:val="center"/>
              <w:rPr>
                <w:rFonts w:ascii="Times New Roman" w:hAnsi="Times New Roman" w:cs="Times New Roman"/>
                <w:color w:val="auto"/>
                <w:sz w:val="21"/>
              </w:rPr>
            </w:pPr>
          </w:p>
        </w:tc>
        <w:tc>
          <w:tcPr>
            <w:tcW w:w="792" w:type="pct"/>
            <w:tcBorders>
              <w:tl2br w:val="nil"/>
              <w:tr2bl w:val="nil"/>
            </w:tcBorders>
            <w:noWrap/>
            <w:vAlign w:val="center"/>
          </w:tcPr>
          <w:p w14:paraId="15084E5D">
            <w:pPr>
              <w:adjustRightInd w:val="0"/>
              <w:snapToGrid w:val="0"/>
              <w:jc w:val="center"/>
              <w:textAlignment w:val="center"/>
              <w:rPr>
                <w:rFonts w:ascii="Times New Roman" w:hAnsi="Times New Roman" w:cs="Times New Roman"/>
                <w:color w:val="auto"/>
                <w:sz w:val="21"/>
              </w:rPr>
            </w:pPr>
          </w:p>
        </w:tc>
        <w:tc>
          <w:tcPr>
            <w:tcW w:w="490" w:type="pct"/>
            <w:tcBorders>
              <w:tl2br w:val="nil"/>
              <w:tr2bl w:val="nil"/>
            </w:tcBorders>
            <w:noWrap/>
            <w:vAlign w:val="center"/>
          </w:tcPr>
          <w:p w14:paraId="7AB3071F">
            <w:pPr>
              <w:adjustRightInd w:val="0"/>
              <w:snapToGrid w:val="0"/>
              <w:jc w:val="center"/>
              <w:textAlignment w:val="center"/>
              <w:rPr>
                <w:rFonts w:ascii="Times New Roman" w:hAnsi="Times New Roman" w:cs="Times New Roman"/>
                <w:color w:val="auto"/>
                <w:sz w:val="21"/>
              </w:rPr>
            </w:pPr>
          </w:p>
        </w:tc>
        <w:tc>
          <w:tcPr>
            <w:tcW w:w="491" w:type="pct"/>
            <w:tcBorders>
              <w:tl2br w:val="nil"/>
              <w:tr2bl w:val="nil"/>
            </w:tcBorders>
            <w:noWrap/>
            <w:vAlign w:val="center"/>
          </w:tcPr>
          <w:p w14:paraId="41251916">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5922FA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vMerge w:val="continue"/>
            <w:tcBorders>
              <w:tl2br w:val="nil"/>
              <w:tr2bl w:val="nil"/>
            </w:tcBorders>
            <w:noWrap/>
            <w:vAlign w:val="center"/>
          </w:tcPr>
          <w:p w14:paraId="06CA474C">
            <w:pPr>
              <w:adjustRightInd w:val="0"/>
              <w:snapToGrid w:val="0"/>
              <w:jc w:val="center"/>
              <w:rPr>
                <w:rFonts w:ascii="Times New Roman" w:hAnsi="Times New Roman" w:cs="Times New Roman"/>
                <w:color w:val="auto"/>
                <w:sz w:val="21"/>
              </w:rPr>
            </w:pPr>
          </w:p>
        </w:tc>
        <w:tc>
          <w:tcPr>
            <w:tcW w:w="489" w:type="pct"/>
            <w:vMerge w:val="continue"/>
            <w:tcBorders>
              <w:tl2br w:val="nil"/>
              <w:tr2bl w:val="nil"/>
            </w:tcBorders>
            <w:noWrap/>
            <w:vAlign w:val="center"/>
          </w:tcPr>
          <w:p w14:paraId="191DD08E">
            <w:pPr>
              <w:adjustRightInd w:val="0"/>
              <w:snapToGrid w:val="0"/>
              <w:jc w:val="center"/>
              <w:rPr>
                <w:rFonts w:ascii="Times New Roman" w:hAnsi="Times New Roman" w:cs="Times New Roman"/>
                <w:color w:val="auto"/>
                <w:sz w:val="21"/>
              </w:rPr>
            </w:pPr>
          </w:p>
        </w:tc>
        <w:tc>
          <w:tcPr>
            <w:tcW w:w="491" w:type="pct"/>
            <w:tcBorders>
              <w:tl2br w:val="nil"/>
              <w:tr2bl w:val="nil"/>
            </w:tcBorders>
            <w:noWrap/>
            <w:vAlign w:val="center"/>
          </w:tcPr>
          <w:p w14:paraId="6E4283BB">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日平均</w:t>
            </w:r>
          </w:p>
        </w:tc>
        <w:tc>
          <w:tcPr>
            <w:tcW w:w="1045" w:type="pct"/>
            <w:tcBorders>
              <w:tl2br w:val="nil"/>
              <w:tr2bl w:val="nil"/>
            </w:tcBorders>
            <w:noWrap/>
            <w:vAlign w:val="center"/>
          </w:tcPr>
          <w:p w14:paraId="08C48696">
            <w:pPr>
              <w:adjustRightInd w:val="0"/>
              <w:snapToGrid w:val="0"/>
              <w:jc w:val="center"/>
              <w:textAlignment w:val="center"/>
              <w:rPr>
                <w:rFonts w:ascii="Times New Roman" w:hAnsi="Times New Roman" w:cs="Times New Roman"/>
                <w:color w:val="auto"/>
                <w:sz w:val="21"/>
              </w:rPr>
            </w:pPr>
          </w:p>
        </w:tc>
        <w:tc>
          <w:tcPr>
            <w:tcW w:w="900" w:type="pct"/>
            <w:tcBorders>
              <w:tl2br w:val="nil"/>
              <w:tr2bl w:val="nil"/>
            </w:tcBorders>
            <w:noWrap/>
            <w:vAlign w:val="center"/>
          </w:tcPr>
          <w:p w14:paraId="766BE076">
            <w:pPr>
              <w:adjustRightInd w:val="0"/>
              <w:snapToGrid w:val="0"/>
              <w:jc w:val="center"/>
              <w:textAlignment w:val="center"/>
              <w:rPr>
                <w:rFonts w:ascii="Times New Roman" w:hAnsi="Times New Roman" w:cs="Times New Roman"/>
                <w:color w:val="auto"/>
                <w:sz w:val="21"/>
              </w:rPr>
            </w:pPr>
          </w:p>
        </w:tc>
        <w:tc>
          <w:tcPr>
            <w:tcW w:w="792" w:type="pct"/>
            <w:tcBorders>
              <w:tl2br w:val="nil"/>
              <w:tr2bl w:val="nil"/>
            </w:tcBorders>
            <w:noWrap/>
            <w:vAlign w:val="center"/>
          </w:tcPr>
          <w:p w14:paraId="238F0302">
            <w:pPr>
              <w:adjustRightInd w:val="0"/>
              <w:snapToGrid w:val="0"/>
              <w:jc w:val="center"/>
              <w:textAlignment w:val="center"/>
              <w:rPr>
                <w:rFonts w:ascii="Times New Roman" w:hAnsi="Times New Roman" w:cs="Times New Roman"/>
                <w:color w:val="auto"/>
                <w:sz w:val="21"/>
              </w:rPr>
            </w:pPr>
          </w:p>
        </w:tc>
        <w:tc>
          <w:tcPr>
            <w:tcW w:w="490" w:type="pct"/>
            <w:tcBorders>
              <w:tl2br w:val="nil"/>
              <w:tr2bl w:val="nil"/>
            </w:tcBorders>
            <w:noWrap/>
            <w:vAlign w:val="center"/>
          </w:tcPr>
          <w:p w14:paraId="40732C2F">
            <w:pPr>
              <w:adjustRightInd w:val="0"/>
              <w:snapToGrid w:val="0"/>
              <w:jc w:val="center"/>
              <w:textAlignment w:val="center"/>
              <w:rPr>
                <w:rFonts w:ascii="Times New Roman" w:hAnsi="Times New Roman" w:cs="Times New Roman"/>
                <w:color w:val="auto"/>
                <w:sz w:val="21"/>
              </w:rPr>
            </w:pPr>
          </w:p>
        </w:tc>
        <w:tc>
          <w:tcPr>
            <w:tcW w:w="491" w:type="pct"/>
            <w:tcBorders>
              <w:tl2br w:val="nil"/>
              <w:tr2bl w:val="nil"/>
            </w:tcBorders>
            <w:noWrap/>
            <w:vAlign w:val="center"/>
          </w:tcPr>
          <w:p w14:paraId="1D72D35B">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233F00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vMerge w:val="restart"/>
            <w:tcBorders>
              <w:tl2br w:val="nil"/>
              <w:tr2bl w:val="nil"/>
            </w:tcBorders>
            <w:noWrap/>
            <w:vAlign w:val="center"/>
          </w:tcPr>
          <w:p w14:paraId="79F3F68E">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5</w:t>
            </w:r>
          </w:p>
        </w:tc>
        <w:tc>
          <w:tcPr>
            <w:tcW w:w="489" w:type="pct"/>
            <w:vMerge w:val="restart"/>
            <w:tcBorders>
              <w:tl2br w:val="nil"/>
              <w:tr2bl w:val="nil"/>
            </w:tcBorders>
            <w:noWrap/>
            <w:vAlign w:val="center"/>
          </w:tcPr>
          <w:p w14:paraId="1F469741">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高王家</w:t>
            </w:r>
          </w:p>
        </w:tc>
        <w:tc>
          <w:tcPr>
            <w:tcW w:w="491" w:type="pct"/>
            <w:tcBorders>
              <w:tl2br w:val="nil"/>
              <w:tr2bl w:val="nil"/>
            </w:tcBorders>
            <w:noWrap/>
            <w:vAlign w:val="center"/>
          </w:tcPr>
          <w:p w14:paraId="1F0F7B8F">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1小时</w:t>
            </w:r>
          </w:p>
        </w:tc>
        <w:tc>
          <w:tcPr>
            <w:tcW w:w="1045" w:type="pct"/>
            <w:tcBorders>
              <w:tl2br w:val="nil"/>
              <w:tr2bl w:val="nil"/>
            </w:tcBorders>
            <w:noWrap/>
            <w:vAlign w:val="center"/>
          </w:tcPr>
          <w:p w14:paraId="3003EB1A">
            <w:pPr>
              <w:adjustRightInd w:val="0"/>
              <w:snapToGrid w:val="0"/>
              <w:jc w:val="center"/>
              <w:textAlignment w:val="center"/>
              <w:rPr>
                <w:rFonts w:ascii="Times New Roman" w:hAnsi="Times New Roman" w:cs="Times New Roman"/>
                <w:color w:val="auto"/>
                <w:sz w:val="21"/>
                <w:lang w:eastAsia="zh-CN"/>
              </w:rPr>
            </w:pPr>
          </w:p>
        </w:tc>
        <w:tc>
          <w:tcPr>
            <w:tcW w:w="900" w:type="pct"/>
            <w:tcBorders>
              <w:tl2br w:val="nil"/>
              <w:tr2bl w:val="nil"/>
            </w:tcBorders>
            <w:noWrap/>
            <w:vAlign w:val="center"/>
          </w:tcPr>
          <w:p w14:paraId="215F093B">
            <w:pPr>
              <w:adjustRightInd w:val="0"/>
              <w:snapToGrid w:val="0"/>
              <w:jc w:val="center"/>
              <w:textAlignment w:val="center"/>
              <w:rPr>
                <w:rFonts w:ascii="Times New Roman" w:hAnsi="Times New Roman" w:cs="Times New Roman"/>
                <w:color w:val="auto"/>
                <w:sz w:val="21"/>
              </w:rPr>
            </w:pPr>
          </w:p>
        </w:tc>
        <w:tc>
          <w:tcPr>
            <w:tcW w:w="792" w:type="pct"/>
            <w:tcBorders>
              <w:tl2br w:val="nil"/>
              <w:tr2bl w:val="nil"/>
            </w:tcBorders>
            <w:noWrap/>
            <w:vAlign w:val="center"/>
          </w:tcPr>
          <w:p w14:paraId="55F1EC88">
            <w:pPr>
              <w:adjustRightInd w:val="0"/>
              <w:snapToGrid w:val="0"/>
              <w:jc w:val="center"/>
              <w:textAlignment w:val="center"/>
              <w:rPr>
                <w:rFonts w:ascii="Times New Roman" w:hAnsi="Times New Roman" w:cs="Times New Roman"/>
                <w:color w:val="auto"/>
                <w:sz w:val="21"/>
              </w:rPr>
            </w:pPr>
          </w:p>
        </w:tc>
        <w:tc>
          <w:tcPr>
            <w:tcW w:w="490" w:type="pct"/>
            <w:tcBorders>
              <w:tl2br w:val="nil"/>
              <w:tr2bl w:val="nil"/>
            </w:tcBorders>
            <w:noWrap/>
            <w:vAlign w:val="center"/>
          </w:tcPr>
          <w:p w14:paraId="3D0BFDEA">
            <w:pPr>
              <w:adjustRightInd w:val="0"/>
              <w:snapToGrid w:val="0"/>
              <w:jc w:val="center"/>
              <w:textAlignment w:val="center"/>
              <w:rPr>
                <w:rFonts w:ascii="Times New Roman" w:hAnsi="Times New Roman" w:cs="Times New Roman"/>
                <w:color w:val="auto"/>
                <w:sz w:val="21"/>
              </w:rPr>
            </w:pPr>
          </w:p>
        </w:tc>
        <w:tc>
          <w:tcPr>
            <w:tcW w:w="491" w:type="pct"/>
            <w:tcBorders>
              <w:tl2br w:val="nil"/>
              <w:tr2bl w:val="nil"/>
            </w:tcBorders>
            <w:noWrap/>
            <w:vAlign w:val="center"/>
          </w:tcPr>
          <w:p w14:paraId="1018D20D">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19EFC6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vMerge w:val="continue"/>
            <w:tcBorders>
              <w:tl2br w:val="nil"/>
              <w:tr2bl w:val="nil"/>
            </w:tcBorders>
            <w:noWrap/>
            <w:vAlign w:val="center"/>
          </w:tcPr>
          <w:p w14:paraId="430729E1">
            <w:pPr>
              <w:adjustRightInd w:val="0"/>
              <w:snapToGrid w:val="0"/>
              <w:jc w:val="center"/>
              <w:rPr>
                <w:rFonts w:ascii="Times New Roman" w:hAnsi="Times New Roman" w:cs="Times New Roman"/>
                <w:color w:val="auto"/>
                <w:sz w:val="21"/>
              </w:rPr>
            </w:pPr>
          </w:p>
        </w:tc>
        <w:tc>
          <w:tcPr>
            <w:tcW w:w="489" w:type="pct"/>
            <w:vMerge w:val="continue"/>
            <w:tcBorders>
              <w:tl2br w:val="nil"/>
              <w:tr2bl w:val="nil"/>
            </w:tcBorders>
            <w:noWrap/>
            <w:vAlign w:val="center"/>
          </w:tcPr>
          <w:p w14:paraId="04DE61FA">
            <w:pPr>
              <w:adjustRightInd w:val="0"/>
              <w:snapToGrid w:val="0"/>
              <w:jc w:val="center"/>
              <w:rPr>
                <w:rFonts w:ascii="Times New Roman" w:hAnsi="Times New Roman" w:cs="Times New Roman"/>
                <w:color w:val="auto"/>
                <w:sz w:val="21"/>
              </w:rPr>
            </w:pPr>
          </w:p>
        </w:tc>
        <w:tc>
          <w:tcPr>
            <w:tcW w:w="491" w:type="pct"/>
            <w:tcBorders>
              <w:tl2br w:val="nil"/>
              <w:tr2bl w:val="nil"/>
            </w:tcBorders>
            <w:noWrap/>
            <w:vAlign w:val="center"/>
          </w:tcPr>
          <w:p w14:paraId="4CD32B25">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日平均</w:t>
            </w:r>
          </w:p>
        </w:tc>
        <w:tc>
          <w:tcPr>
            <w:tcW w:w="1045" w:type="pct"/>
            <w:tcBorders>
              <w:tl2br w:val="nil"/>
              <w:tr2bl w:val="nil"/>
            </w:tcBorders>
            <w:noWrap/>
            <w:vAlign w:val="center"/>
          </w:tcPr>
          <w:p w14:paraId="5C2B04BB">
            <w:pPr>
              <w:adjustRightInd w:val="0"/>
              <w:snapToGrid w:val="0"/>
              <w:jc w:val="center"/>
              <w:textAlignment w:val="center"/>
              <w:rPr>
                <w:rFonts w:ascii="Times New Roman" w:hAnsi="Times New Roman" w:cs="Times New Roman"/>
                <w:color w:val="auto"/>
                <w:sz w:val="21"/>
              </w:rPr>
            </w:pPr>
          </w:p>
        </w:tc>
        <w:tc>
          <w:tcPr>
            <w:tcW w:w="900" w:type="pct"/>
            <w:tcBorders>
              <w:tl2br w:val="nil"/>
              <w:tr2bl w:val="nil"/>
            </w:tcBorders>
            <w:noWrap/>
            <w:vAlign w:val="center"/>
          </w:tcPr>
          <w:p w14:paraId="79614F0D">
            <w:pPr>
              <w:adjustRightInd w:val="0"/>
              <w:snapToGrid w:val="0"/>
              <w:jc w:val="center"/>
              <w:textAlignment w:val="center"/>
              <w:rPr>
                <w:rFonts w:ascii="Times New Roman" w:hAnsi="Times New Roman" w:cs="Times New Roman"/>
                <w:color w:val="auto"/>
                <w:sz w:val="21"/>
              </w:rPr>
            </w:pPr>
          </w:p>
        </w:tc>
        <w:tc>
          <w:tcPr>
            <w:tcW w:w="792" w:type="pct"/>
            <w:tcBorders>
              <w:tl2br w:val="nil"/>
              <w:tr2bl w:val="nil"/>
            </w:tcBorders>
            <w:noWrap/>
            <w:vAlign w:val="center"/>
          </w:tcPr>
          <w:p w14:paraId="25228CC0">
            <w:pPr>
              <w:adjustRightInd w:val="0"/>
              <w:snapToGrid w:val="0"/>
              <w:jc w:val="center"/>
              <w:textAlignment w:val="center"/>
              <w:rPr>
                <w:rFonts w:ascii="Times New Roman" w:hAnsi="Times New Roman" w:cs="Times New Roman"/>
                <w:color w:val="auto"/>
                <w:sz w:val="21"/>
              </w:rPr>
            </w:pPr>
          </w:p>
        </w:tc>
        <w:tc>
          <w:tcPr>
            <w:tcW w:w="490" w:type="pct"/>
            <w:tcBorders>
              <w:tl2br w:val="nil"/>
              <w:tr2bl w:val="nil"/>
            </w:tcBorders>
            <w:noWrap/>
            <w:vAlign w:val="center"/>
          </w:tcPr>
          <w:p w14:paraId="397E724C">
            <w:pPr>
              <w:adjustRightInd w:val="0"/>
              <w:snapToGrid w:val="0"/>
              <w:jc w:val="center"/>
              <w:textAlignment w:val="center"/>
              <w:rPr>
                <w:rFonts w:ascii="Times New Roman" w:hAnsi="Times New Roman" w:cs="Times New Roman"/>
                <w:color w:val="auto"/>
                <w:sz w:val="21"/>
              </w:rPr>
            </w:pPr>
          </w:p>
        </w:tc>
        <w:tc>
          <w:tcPr>
            <w:tcW w:w="491" w:type="pct"/>
            <w:tcBorders>
              <w:tl2br w:val="nil"/>
              <w:tr2bl w:val="nil"/>
            </w:tcBorders>
            <w:noWrap/>
            <w:vAlign w:val="center"/>
          </w:tcPr>
          <w:p w14:paraId="42F3B190">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74E71D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vMerge w:val="restart"/>
            <w:tcBorders>
              <w:tl2br w:val="nil"/>
              <w:tr2bl w:val="nil"/>
            </w:tcBorders>
            <w:noWrap/>
            <w:vAlign w:val="center"/>
          </w:tcPr>
          <w:p w14:paraId="0A30051F">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6</w:t>
            </w:r>
          </w:p>
        </w:tc>
        <w:tc>
          <w:tcPr>
            <w:tcW w:w="489" w:type="pct"/>
            <w:vMerge w:val="restart"/>
            <w:tcBorders>
              <w:tl2br w:val="nil"/>
              <w:tr2bl w:val="nil"/>
            </w:tcBorders>
            <w:noWrap/>
            <w:vAlign w:val="center"/>
          </w:tcPr>
          <w:p w14:paraId="6F411C19">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三铺中学</w:t>
            </w:r>
          </w:p>
        </w:tc>
        <w:tc>
          <w:tcPr>
            <w:tcW w:w="491" w:type="pct"/>
            <w:tcBorders>
              <w:tl2br w:val="nil"/>
              <w:tr2bl w:val="nil"/>
            </w:tcBorders>
            <w:noWrap/>
            <w:vAlign w:val="center"/>
          </w:tcPr>
          <w:p w14:paraId="3AC2932B">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1小时</w:t>
            </w:r>
          </w:p>
        </w:tc>
        <w:tc>
          <w:tcPr>
            <w:tcW w:w="1045" w:type="pct"/>
            <w:tcBorders>
              <w:tl2br w:val="nil"/>
              <w:tr2bl w:val="nil"/>
            </w:tcBorders>
            <w:noWrap/>
            <w:vAlign w:val="center"/>
          </w:tcPr>
          <w:p w14:paraId="5594AF63">
            <w:pPr>
              <w:adjustRightInd w:val="0"/>
              <w:snapToGrid w:val="0"/>
              <w:jc w:val="center"/>
              <w:textAlignment w:val="center"/>
              <w:rPr>
                <w:rFonts w:ascii="Times New Roman" w:hAnsi="Times New Roman" w:cs="Times New Roman"/>
                <w:color w:val="auto"/>
                <w:sz w:val="21"/>
              </w:rPr>
            </w:pPr>
          </w:p>
        </w:tc>
        <w:tc>
          <w:tcPr>
            <w:tcW w:w="900" w:type="pct"/>
            <w:tcBorders>
              <w:tl2br w:val="nil"/>
              <w:tr2bl w:val="nil"/>
            </w:tcBorders>
            <w:noWrap/>
            <w:vAlign w:val="center"/>
          </w:tcPr>
          <w:p w14:paraId="44194FD7">
            <w:pPr>
              <w:adjustRightInd w:val="0"/>
              <w:snapToGrid w:val="0"/>
              <w:jc w:val="center"/>
              <w:textAlignment w:val="center"/>
              <w:rPr>
                <w:rFonts w:ascii="Times New Roman" w:hAnsi="Times New Roman" w:cs="Times New Roman"/>
                <w:color w:val="auto"/>
                <w:sz w:val="21"/>
              </w:rPr>
            </w:pPr>
          </w:p>
        </w:tc>
        <w:tc>
          <w:tcPr>
            <w:tcW w:w="792" w:type="pct"/>
            <w:tcBorders>
              <w:tl2br w:val="nil"/>
              <w:tr2bl w:val="nil"/>
            </w:tcBorders>
            <w:noWrap/>
            <w:vAlign w:val="center"/>
          </w:tcPr>
          <w:p w14:paraId="1A18D402">
            <w:pPr>
              <w:adjustRightInd w:val="0"/>
              <w:snapToGrid w:val="0"/>
              <w:jc w:val="center"/>
              <w:textAlignment w:val="center"/>
              <w:rPr>
                <w:rFonts w:ascii="Times New Roman" w:hAnsi="Times New Roman" w:cs="Times New Roman"/>
                <w:color w:val="auto"/>
                <w:sz w:val="21"/>
              </w:rPr>
            </w:pPr>
          </w:p>
        </w:tc>
        <w:tc>
          <w:tcPr>
            <w:tcW w:w="490" w:type="pct"/>
            <w:tcBorders>
              <w:tl2br w:val="nil"/>
              <w:tr2bl w:val="nil"/>
            </w:tcBorders>
            <w:noWrap/>
            <w:vAlign w:val="center"/>
          </w:tcPr>
          <w:p w14:paraId="458A0F97">
            <w:pPr>
              <w:adjustRightInd w:val="0"/>
              <w:snapToGrid w:val="0"/>
              <w:jc w:val="center"/>
              <w:textAlignment w:val="center"/>
              <w:rPr>
                <w:rFonts w:ascii="Times New Roman" w:hAnsi="Times New Roman" w:cs="Times New Roman"/>
                <w:color w:val="auto"/>
                <w:sz w:val="21"/>
              </w:rPr>
            </w:pPr>
          </w:p>
        </w:tc>
        <w:tc>
          <w:tcPr>
            <w:tcW w:w="491" w:type="pct"/>
            <w:tcBorders>
              <w:tl2br w:val="nil"/>
              <w:tr2bl w:val="nil"/>
            </w:tcBorders>
            <w:noWrap/>
            <w:vAlign w:val="center"/>
          </w:tcPr>
          <w:p w14:paraId="5C84FCE7">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42F07F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vMerge w:val="continue"/>
            <w:tcBorders>
              <w:tl2br w:val="nil"/>
              <w:tr2bl w:val="nil"/>
            </w:tcBorders>
            <w:noWrap/>
            <w:vAlign w:val="center"/>
          </w:tcPr>
          <w:p w14:paraId="61538F6F">
            <w:pPr>
              <w:adjustRightInd w:val="0"/>
              <w:snapToGrid w:val="0"/>
              <w:jc w:val="center"/>
              <w:rPr>
                <w:rFonts w:ascii="Times New Roman" w:hAnsi="Times New Roman" w:cs="Times New Roman"/>
                <w:color w:val="auto"/>
                <w:sz w:val="21"/>
              </w:rPr>
            </w:pPr>
          </w:p>
        </w:tc>
        <w:tc>
          <w:tcPr>
            <w:tcW w:w="489" w:type="pct"/>
            <w:vMerge w:val="continue"/>
            <w:tcBorders>
              <w:tl2br w:val="nil"/>
              <w:tr2bl w:val="nil"/>
            </w:tcBorders>
            <w:noWrap/>
            <w:vAlign w:val="center"/>
          </w:tcPr>
          <w:p w14:paraId="5DB2893D">
            <w:pPr>
              <w:adjustRightInd w:val="0"/>
              <w:snapToGrid w:val="0"/>
              <w:jc w:val="center"/>
              <w:rPr>
                <w:rFonts w:ascii="Times New Roman" w:hAnsi="Times New Roman" w:cs="Times New Roman"/>
                <w:color w:val="auto"/>
                <w:sz w:val="21"/>
              </w:rPr>
            </w:pPr>
          </w:p>
        </w:tc>
        <w:tc>
          <w:tcPr>
            <w:tcW w:w="491" w:type="pct"/>
            <w:tcBorders>
              <w:tl2br w:val="nil"/>
              <w:tr2bl w:val="nil"/>
            </w:tcBorders>
            <w:noWrap/>
            <w:vAlign w:val="center"/>
          </w:tcPr>
          <w:p w14:paraId="4D0DC8CD">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日平均</w:t>
            </w:r>
          </w:p>
        </w:tc>
        <w:tc>
          <w:tcPr>
            <w:tcW w:w="1045" w:type="pct"/>
            <w:tcBorders>
              <w:tl2br w:val="nil"/>
              <w:tr2bl w:val="nil"/>
            </w:tcBorders>
            <w:noWrap/>
            <w:vAlign w:val="center"/>
          </w:tcPr>
          <w:p w14:paraId="24DD3DFC">
            <w:pPr>
              <w:adjustRightInd w:val="0"/>
              <w:snapToGrid w:val="0"/>
              <w:jc w:val="center"/>
              <w:textAlignment w:val="center"/>
              <w:rPr>
                <w:rFonts w:ascii="Times New Roman" w:hAnsi="Times New Roman" w:cs="Times New Roman"/>
                <w:color w:val="auto"/>
                <w:sz w:val="21"/>
                <w:lang w:eastAsia="zh-CN"/>
              </w:rPr>
            </w:pPr>
          </w:p>
        </w:tc>
        <w:tc>
          <w:tcPr>
            <w:tcW w:w="900" w:type="pct"/>
            <w:tcBorders>
              <w:tl2br w:val="nil"/>
              <w:tr2bl w:val="nil"/>
            </w:tcBorders>
            <w:noWrap/>
            <w:vAlign w:val="center"/>
          </w:tcPr>
          <w:p w14:paraId="569FBA65">
            <w:pPr>
              <w:adjustRightInd w:val="0"/>
              <w:snapToGrid w:val="0"/>
              <w:jc w:val="center"/>
              <w:textAlignment w:val="center"/>
              <w:rPr>
                <w:rFonts w:ascii="Times New Roman" w:hAnsi="Times New Roman" w:cs="Times New Roman"/>
                <w:color w:val="auto"/>
                <w:sz w:val="21"/>
              </w:rPr>
            </w:pPr>
          </w:p>
        </w:tc>
        <w:tc>
          <w:tcPr>
            <w:tcW w:w="792" w:type="pct"/>
            <w:tcBorders>
              <w:tl2br w:val="nil"/>
              <w:tr2bl w:val="nil"/>
            </w:tcBorders>
            <w:noWrap/>
            <w:vAlign w:val="center"/>
          </w:tcPr>
          <w:p w14:paraId="48BEAA54">
            <w:pPr>
              <w:adjustRightInd w:val="0"/>
              <w:snapToGrid w:val="0"/>
              <w:jc w:val="center"/>
              <w:textAlignment w:val="center"/>
              <w:rPr>
                <w:rFonts w:ascii="Times New Roman" w:hAnsi="Times New Roman" w:cs="Times New Roman"/>
                <w:color w:val="auto"/>
                <w:sz w:val="21"/>
              </w:rPr>
            </w:pPr>
          </w:p>
        </w:tc>
        <w:tc>
          <w:tcPr>
            <w:tcW w:w="490" w:type="pct"/>
            <w:tcBorders>
              <w:tl2br w:val="nil"/>
              <w:tr2bl w:val="nil"/>
            </w:tcBorders>
            <w:noWrap/>
            <w:vAlign w:val="center"/>
          </w:tcPr>
          <w:p w14:paraId="55993919">
            <w:pPr>
              <w:adjustRightInd w:val="0"/>
              <w:snapToGrid w:val="0"/>
              <w:jc w:val="center"/>
              <w:textAlignment w:val="center"/>
              <w:rPr>
                <w:rFonts w:ascii="Times New Roman" w:hAnsi="Times New Roman" w:cs="Times New Roman"/>
                <w:color w:val="auto"/>
                <w:sz w:val="21"/>
                <w:lang w:eastAsia="zh-CN"/>
              </w:rPr>
            </w:pPr>
          </w:p>
        </w:tc>
        <w:tc>
          <w:tcPr>
            <w:tcW w:w="491" w:type="pct"/>
            <w:tcBorders>
              <w:tl2br w:val="nil"/>
              <w:tr2bl w:val="nil"/>
            </w:tcBorders>
            <w:noWrap/>
            <w:vAlign w:val="center"/>
          </w:tcPr>
          <w:p w14:paraId="72305317">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22814B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vMerge w:val="restart"/>
            <w:tcBorders>
              <w:tl2br w:val="nil"/>
              <w:tr2bl w:val="nil"/>
            </w:tcBorders>
            <w:noWrap/>
            <w:vAlign w:val="center"/>
          </w:tcPr>
          <w:p w14:paraId="728D2D9C">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7</w:t>
            </w:r>
          </w:p>
        </w:tc>
        <w:tc>
          <w:tcPr>
            <w:tcW w:w="489" w:type="pct"/>
            <w:vMerge w:val="restart"/>
            <w:tcBorders>
              <w:tl2br w:val="nil"/>
              <w:tr2bl w:val="nil"/>
            </w:tcBorders>
            <w:noWrap/>
            <w:vAlign w:val="center"/>
          </w:tcPr>
          <w:p w14:paraId="2D1BBB60">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杜家湖</w:t>
            </w:r>
          </w:p>
        </w:tc>
        <w:tc>
          <w:tcPr>
            <w:tcW w:w="491" w:type="pct"/>
            <w:tcBorders>
              <w:tl2br w:val="nil"/>
              <w:tr2bl w:val="nil"/>
            </w:tcBorders>
            <w:noWrap/>
            <w:vAlign w:val="center"/>
          </w:tcPr>
          <w:p w14:paraId="6477036E">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1小时</w:t>
            </w:r>
          </w:p>
        </w:tc>
        <w:tc>
          <w:tcPr>
            <w:tcW w:w="1045" w:type="pct"/>
            <w:tcBorders>
              <w:tl2br w:val="nil"/>
              <w:tr2bl w:val="nil"/>
            </w:tcBorders>
            <w:noWrap/>
            <w:vAlign w:val="center"/>
          </w:tcPr>
          <w:p w14:paraId="44CB8AEC">
            <w:pPr>
              <w:adjustRightInd w:val="0"/>
              <w:snapToGrid w:val="0"/>
              <w:jc w:val="center"/>
              <w:textAlignment w:val="center"/>
              <w:rPr>
                <w:rFonts w:ascii="Times New Roman" w:hAnsi="Times New Roman" w:cs="Times New Roman"/>
                <w:color w:val="auto"/>
                <w:sz w:val="21"/>
              </w:rPr>
            </w:pPr>
          </w:p>
        </w:tc>
        <w:tc>
          <w:tcPr>
            <w:tcW w:w="900" w:type="pct"/>
            <w:tcBorders>
              <w:tl2br w:val="nil"/>
              <w:tr2bl w:val="nil"/>
            </w:tcBorders>
            <w:noWrap/>
            <w:vAlign w:val="center"/>
          </w:tcPr>
          <w:p w14:paraId="4F9D5228">
            <w:pPr>
              <w:adjustRightInd w:val="0"/>
              <w:snapToGrid w:val="0"/>
              <w:jc w:val="center"/>
              <w:textAlignment w:val="center"/>
              <w:rPr>
                <w:rFonts w:ascii="Times New Roman" w:hAnsi="Times New Roman" w:cs="Times New Roman"/>
                <w:color w:val="auto"/>
                <w:sz w:val="21"/>
              </w:rPr>
            </w:pPr>
          </w:p>
        </w:tc>
        <w:tc>
          <w:tcPr>
            <w:tcW w:w="792" w:type="pct"/>
            <w:tcBorders>
              <w:tl2br w:val="nil"/>
              <w:tr2bl w:val="nil"/>
            </w:tcBorders>
            <w:noWrap/>
            <w:vAlign w:val="center"/>
          </w:tcPr>
          <w:p w14:paraId="61659AE0">
            <w:pPr>
              <w:adjustRightInd w:val="0"/>
              <w:snapToGrid w:val="0"/>
              <w:jc w:val="center"/>
              <w:textAlignment w:val="center"/>
              <w:rPr>
                <w:rFonts w:ascii="Times New Roman" w:hAnsi="Times New Roman" w:cs="Times New Roman"/>
                <w:color w:val="auto"/>
                <w:sz w:val="21"/>
              </w:rPr>
            </w:pPr>
          </w:p>
        </w:tc>
        <w:tc>
          <w:tcPr>
            <w:tcW w:w="490" w:type="pct"/>
            <w:tcBorders>
              <w:tl2br w:val="nil"/>
              <w:tr2bl w:val="nil"/>
            </w:tcBorders>
            <w:noWrap/>
            <w:vAlign w:val="center"/>
          </w:tcPr>
          <w:p w14:paraId="11F3751F">
            <w:pPr>
              <w:adjustRightInd w:val="0"/>
              <w:snapToGrid w:val="0"/>
              <w:jc w:val="center"/>
              <w:textAlignment w:val="center"/>
              <w:rPr>
                <w:rFonts w:ascii="Times New Roman" w:hAnsi="Times New Roman" w:cs="Times New Roman"/>
                <w:color w:val="auto"/>
                <w:sz w:val="21"/>
              </w:rPr>
            </w:pPr>
          </w:p>
        </w:tc>
        <w:tc>
          <w:tcPr>
            <w:tcW w:w="491" w:type="pct"/>
            <w:tcBorders>
              <w:tl2br w:val="nil"/>
              <w:tr2bl w:val="nil"/>
            </w:tcBorders>
            <w:noWrap/>
            <w:vAlign w:val="center"/>
          </w:tcPr>
          <w:p w14:paraId="43E0CF66">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03C796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vMerge w:val="continue"/>
            <w:tcBorders>
              <w:tl2br w:val="nil"/>
              <w:tr2bl w:val="nil"/>
            </w:tcBorders>
            <w:noWrap/>
            <w:vAlign w:val="center"/>
          </w:tcPr>
          <w:p w14:paraId="552DF65B">
            <w:pPr>
              <w:adjustRightInd w:val="0"/>
              <w:snapToGrid w:val="0"/>
              <w:jc w:val="center"/>
              <w:rPr>
                <w:rFonts w:ascii="Times New Roman" w:hAnsi="Times New Roman" w:cs="Times New Roman"/>
                <w:color w:val="auto"/>
                <w:sz w:val="21"/>
              </w:rPr>
            </w:pPr>
          </w:p>
        </w:tc>
        <w:tc>
          <w:tcPr>
            <w:tcW w:w="489" w:type="pct"/>
            <w:vMerge w:val="continue"/>
            <w:tcBorders>
              <w:tl2br w:val="nil"/>
              <w:tr2bl w:val="nil"/>
            </w:tcBorders>
            <w:noWrap/>
            <w:vAlign w:val="center"/>
          </w:tcPr>
          <w:p w14:paraId="5F50E84F">
            <w:pPr>
              <w:adjustRightInd w:val="0"/>
              <w:snapToGrid w:val="0"/>
              <w:jc w:val="center"/>
              <w:rPr>
                <w:rFonts w:ascii="Times New Roman" w:hAnsi="Times New Roman" w:cs="Times New Roman"/>
                <w:color w:val="auto"/>
                <w:sz w:val="21"/>
              </w:rPr>
            </w:pPr>
          </w:p>
        </w:tc>
        <w:tc>
          <w:tcPr>
            <w:tcW w:w="491" w:type="pct"/>
            <w:tcBorders>
              <w:tl2br w:val="nil"/>
              <w:tr2bl w:val="nil"/>
            </w:tcBorders>
            <w:noWrap/>
            <w:vAlign w:val="center"/>
          </w:tcPr>
          <w:p w14:paraId="48C243E3">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日平均</w:t>
            </w:r>
          </w:p>
        </w:tc>
        <w:tc>
          <w:tcPr>
            <w:tcW w:w="1045" w:type="pct"/>
            <w:tcBorders>
              <w:tl2br w:val="nil"/>
              <w:tr2bl w:val="nil"/>
            </w:tcBorders>
            <w:noWrap/>
            <w:vAlign w:val="center"/>
          </w:tcPr>
          <w:p w14:paraId="5FB34663">
            <w:pPr>
              <w:adjustRightInd w:val="0"/>
              <w:snapToGrid w:val="0"/>
              <w:jc w:val="center"/>
              <w:textAlignment w:val="center"/>
              <w:rPr>
                <w:rFonts w:ascii="Times New Roman" w:hAnsi="Times New Roman" w:cs="Times New Roman"/>
                <w:color w:val="auto"/>
                <w:sz w:val="21"/>
                <w:lang w:eastAsia="zh-CN"/>
              </w:rPr>
            </w:pPr>
          </w:p>
        </w:tc>
        <w:tc>
          <w:tcPr>
            <w:tcW w:w="900" w:type="pct"/>
            <w:tcBorders>
              <w:tl2br w:val="nil"/>
              <w:tr2bl w:val="nil"/>
            </w:tcBorders>
            <w:noWrap/>
            <w:vAlign w:val="center"/>
          </w:tcPr>
          <w:p w14:paraId="7BA02585">
            <w:pPr>
              <w:adjustRightInd w:val="0"/>
              <w:snapToGrid w:val="0"/>
              <w:jc w:val="center"/>
              <w:textAlignment w:val="center"/>
              <w:rPr>
                <w:rFonts w:ascii="Times New Roman" w:hAnsi="Times New Roman" w:cs="Times New Roman"/>
                <w:color w:val="auto"/>
                <w:sz w:val="21"/>
              </w:rPr>
            </w:pPr>
          </w:p>
        </w:tc>
        <w:tc>
          <w:tcPr>
            <w:tcW w:w="792" w:type="pct"/>
            <w:tcBorders>
              <w:tl2br w:val="nil"/>
              <w:tr2bl w:val="nil"/>
            </w:tcBorders>
            <w:noWrap/>
            <w:vAlign w:val="center"/>
          </w:tcPr>
          <w:p w14:paraId="49CC4C30">
            <w:pPr>
              <w:adjustRightInd w:val="0"/>
              <w:snapToGrid w:val="0"/>
              <w:jc w:val="center"/>
              <w:textAlignment w:val="center"/>
              <w:rPr>
                <w:rFonts w:ascii="Times New Roman" w:hAnsi="Times New Roman" w:cs="Times New Roman"/>
                <w:color w:val="auto"/>
                <w:sz w:val="21"/>
              </w:rPr>
            </w:pPr>
          </w:p>
        </w:tc>
        <w:tc>
          <w:tcPr>
            <w:tcW w:w="490" w:type="pct"/>
            <w:tcBorders>
              <w:tl2br w:val="nil"/>
              <w:tr2bl w:val="nil"/>
            </w:tcBorders>
            <w:noWrap/>
            <w:vAlign w:val="center"/>
          </w:tcPr>
          <w:p w14:paraId="3D93A46E">
            <w:pPr>
              <w:adjustRightInd w:val="0"/>
              <w:snapToGrid w:val="0"/>
              <w:jc w:val="center"/>
              <w:textAlignment w:val="center"/>
              <w:rPr>
                <w:rFonts w:ascii="Times New Roman" w:hAnsi="Times New Roman" w:cs="Times New Roman"/>
                <w:color w:val="auto"/>
                <w:sz w:val="21"/>
                <w:lang w:eastAsia="zh-CN"/>
              </w:rPr>
            </w:pPr>
          </w:p>
        </w:tc>
        <w:tc>
          <w:tcPr>
            <w:tcW w:w="491" w:type="pct"/>
            <w:tcBorders>
              <w:tl2br w:val="nil"/>
              <w:tr2bl w:val="nil"/>
            </w:tcBorders>
            <w:noWrap/>
            <w:vAlign w:val="center"/>
          </w:tcPr>
          <w:p w14:paraId="6417E561">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464B34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vMerge w:val="restart"/>
            <w:tcBorders>
              <w:tl2br w:val="nil"/>
              <w:tr2bl w:val="nil"/>
            </w:tcBorders>
            <w:noWrap/>
            <w:vAlign w:val="center"/>
          </w:tcPr>
          <w:p w14:paraId="5F1FE5BD">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8</w:t>
            </w:r>
          </w:p>
        </w:tc>
        <w:tc>
          <w:tcPr>
            <w:tcW w:w="489" w:type="pct"/>
            <w:vMerge w:val="restart"/>
            <w:tcBorders>
              <w:tl2br w:val="nil"/>
              <w:tr2bl w:val="nil"/>
            </w:tcBorders>
            <w:noWrap/>
            <w:vAlign w:val="center"/>
          </w:tcPr>
          <w:p w14:paraId="65BD59AD">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网格点</w:t>
            </w:r>
          </w:p>
        </w:tc>
        <w:tc>
          <w:tcPr>
            <w:tcW w:w="491" w:type="pct"/>
            <w:tcBorders>
              <w:tl2br w:val="nil"/>
              <w:tr2bl w:val="nil"/>
            </w:tcBorders>
            <w:noWrap/>
            <w:vAlign w:val="center"/>
          </w:tcPr>
          <w:p w14:paraId="50035DF3">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1小时</w:t>
            </w:r>
          </w:p>
        </w:tc>
        <w:tc>
          <w:tcPr>
            <w:tcW w:w="1045" w:type="pct"/>
            <w:tcBorders>
              <w:tl2br w:val="nil"/>
              <w:tr2bl w:val="nil"/>
            </w:tcBorders>
            <w:noWrap/>
            <w:vAlign w:val="center"/>
          </w:tcPr>
          <w:p w14:paraId="2C3814C3">
            <w:pPr>
              <w:adjustRightInd w:val="0"/>
              <w:snapToGrid w:val="0"/>
              <w:jc w:val="center"/>
              <w:textAlignment w:val="center"/>
              <w:rPr>
                <w:rFonts w:ascii="Times New Roman" w:hAnsi="Times New Roman" w:cs="Times New Roman"/>
                <w:color w:val="auto"/>
                <w:sz w:val="21"/>
                <w:lang w:eastAsia="zh-CN"/>
              </w:rPr>
            </w:pPr>
          </w:p>
        </w:tc>
        <w:tc>
          <w:tcPr>
            <w:tcW w:w="900" w:type="pct"/>
            <w:tcBorders>
              <w:tl2br w:val="nil"/>
              <w:tr2bl w:val="nil"/>
            </w:tcBorders>
            <w:noWrap/>
            <w:vAlign w:val="center"/>
          </w:tcPr>
          <w:p w14:paraId="7E813C60">
            <w:pPr>
              <w:adjustRightInd w:val="0"/>
              <w:snapToGrid w:val="0"/>
              <w:jc w:val="center"/>
              <w:textAlignment w:val="center"/>
              <w:rPr>
                <w:rFonts w:ascii="Times New Roman" w:hAnsi="Times New Roman" w:cs="Times New Roman"/>
                <w:color w:val="auto"/>
                <w:sz w:val="21"/>
              </w:rPr>
            </w:pPr>
          </w:p>
        </w:tc>
        <w:tc>
          <w:tcPr>
            <w:tcW w:w="792" w:type="pct"/>
            <w:tcBorders>
              <w:tl2br w:val="nil"/>
              <w:tr2bl w:val="nil"/>
            </w:tcBorders>
            <w:noWrap/>
            <w:vAlign w:val="center"/>
          </w:tcPr>
          <w:p w14:paraId="3EF63047">
            <w:pPr>
              <w:adjustRightInd w:val="0"/>
              <w:snapToGrid w:val="0"/>
              <w:jc w:val="center"/>
              <w:textAlignment w:val="center"/>
              <w:rPr>
                <w:rFonts w:ascii="Times New Roman" w:hAnsi="Times New Roman" w:cs="Times New Roman"/>
                <w:color w:val="auto"/>
                <w:sz w:val="21"/>
              </w:rPr>
            </w:pPr>
          </w:p>
        </w:tc>
        <w:tc>
          <w:tcPr>
            <w:tcW w:w="490" w:type="pct"/>
            <w:tcBorders>
              <w:tl2br w:val="nil"/>
              <w:tr2bl w:val="nil"/>
            </w:tcBorders>
            <w:noWrap/>
            <w:vAlign w:val="center"/>
          </w:tcPr>
          <w:p w14:paraId="05A6E1F2">
            <w:pPr>
              <w:adjustRightInd w:val="0"/>
              <w:snapToGrid w:val="0"/>
              <w:jc w:val="center"/>
              <w:textAlignment w:val="center"/>
              <w:rPr>
                <w:rFonts w:ascii="Times New Roman" w:hAnsi="Times New Roman" w:cs="Times New Roman"/>
                <w:color w:val="auto"/>
                <w:sz w:val="21"/>
                <w:lang w:eastAsia="zh-CN"/>
              </w:rPr>
            </w:pPr>
          </w:p>
        </w:tc>
        <w:tc>
          <w:tcPr>
            <w:tcW w:w="491" w:type="pct"/>
            <w:tcBorders>
              <w:tl2br w:val="nil"/>
              <w:tr2bl w:val="nil"/>
            </w:tcBorders>
            <w:noWrap/>
            <w:vAlign w:val="center"/>
          </w:tcPr>
          <w:p w14:paraId="6E36C5B2">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351868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vMerge w:val="continue"/>
            <w:tcBorders>
              <w:tl2br w:val="nil"/>
              <w:tr2bl w:val="nil"/>
            </w:tcBorders>
            <w:noWrap/>
            <w:vAlign w:val="center"/>
          </w:tcPr>
          <w:p w14:paraId="4E1B9035">
            <w:pPr>
              <w:adjustRightInd w:val="0"/>
              <w:snapToGrid w:val="0"/>
              <w:jc w:val="center"/>
              <w:rPr>
                <w:rFonts w:ascii="Times New Roman" w:hAnsi="Times New Roman" w:cs="Times New Roman"/>
                <w:color w:val="auto"/>
                <w:sz w:val="21"/>
              </w:rPr>
            </w:pPr>
          </w:p>
        </w:tc>
        <w:tc>
          <w:tcPr>
            <w:tcW w:w="489" w:type="pct"/>
            <w:vMerge w:val="continue"/>
            <w:tcBorders>
              <w:tl2br w:val="nil"/>
              <w:tr2bl w:val="nil"/>
            </w:tcBorders>
            <w:noWrap/>
            <w:vAlign w:val="center"/>
          </w:tcPr>
          <w:p w14:paraId="12782044">
            <w:pPr>
              <w:adjustRightInd w:val="0"/>
              <w:snapToGrid w:val="0"/>
              <w:jc w:val="center"/>
              <w:rPr>
                <w:rFonts w:ascii="Times New Roman" w:hAnsi="Times New Roman" w:cs="Times New Roman"/>
                <w:color w:val="auto"/>
                <w:sz w:val="21"/>
              </w:rPr>
            </w:pPr>
          </w:p>
        </w:tc>
        <w:tc>
          <w:tcPr>
            <w:tcW w:w="491" w:type="pct"/>
            <w:tcBorders>
              <w:tl2br w:val="nil"/>
              <w:tr2bl w:val="nil"/>
            </w:tcBorders>
            <w:noWrap/>
            <w:vAlign w:val="center"/>
          </w:tcPr>
          <w:p w14:paraId="6A05152C">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日平均</w:t>
            </w:r>
          </w:p>
        </w:tc>
        <w:tc>
          <w:tcPr>
            <w:tcW w:w="1045" w:type="pct"/>
            <w:tcBorders>
              <w:tl2br w:val="nil"/>
              <w:tr2bl w:val="nil"/>
            </w:tcBorders>
            <w:noWrap/>
            <w:vAlign w:val="center"/>
          </w:tcPr>
          <w:p w14:paraId="600A210F">
            <w:pPr>
              <w:adjustRightInd w:val="0"/>
              <w:snapToGrid w:val="0"/>
              <w:jc w:val="center"/>
              <w:textAlignment w:val="center"/>
              <w:rPr>
                <w:rFonts w:ascii="Times New Roman" w:hAnsi="Times New Roman" w:cs="Times New Roman"/>
                <w:color w:val="auto"/>
                <w:sz w:val="21"/>
                <w:lang w:eastAsia="zh-CN"/>
              </w:rPr>
            </w:pPr>
          </w:p>
        </w:tc>
        <w:tc>
          <w:tcPr>
            <w:tcW w:w="900" w:type="pct"/>
            <w:tcBorders>
              <w:tl2br w:val="nil"/>
              <w:tr2bl w:val="nil"/>
            </w:tcBorders>
            <w:noWrap/>
            <w:vAlign w:val="center"/>
          </w:tcPr>
          <w:p w14:paraId="7FA321C0">
            <w:pPr>
              <w:adjustRightInd w:val="0"/>
              <w:snapToGrid w:val="0"/>
              <w:jc w:val="center"/>
              <w:textAlignment w:val="center"/>
              <w:rPr>
                <w:rFonts w:ascii="Times New Roman" w:hAnsi="Times New Roman" w:cs="Times New Roman"/>
                <w:color w:val="auto"/>
                <w:sz w:val="21"/>
              </w:rPr>
            </w:pPr>
          </w:p>
        </w:tc>
        <w:tc>
          <w:tcPr>
            <w:tcW w:w="792" w:type="pct"/>
            <w:tcBorders>
              <w:tl2br w:val="nil"/>
              <w:tr2bl w:val="nil"/>
            </w:tcBorders>
            <w:noWrap/>
            <w:vAlign w:val="center"/>
          </w:tcPr>
          <w:p w14:paraId="3052B2C5">
            <w:pPr>
              <w:adjustRightInd w:val="0"/>
              <w:snapToGrid w:val="0"/>
              <w:jc w:val="center"/>
              <w:textAlignment w:val="center"/>
              <w:rPr>
                <w:rFonts w:ascii="Times New Roman" w:hAnsi="Times New Roman" w:cs="Times New Roman"/>
                <w:color w:val="auto"/>
                <w:sz w:val="21"/>
              </w:rPr>
            </w:pPr>
          </w:p>
        </w:tc>
        <w:tc>
          <w:tcPr>
            <w:tcW w:w="490" w:type="pct"/>
            <w:tcBorders>
              <w:tl2br w:val="nil"/>
              <w:tr2bl w:val="nil"/>
            </w:tcBorders>
            <w:noWrap/>
            <w:vAlign w:val="center"/>
          </w:tcPr>
          <w:p w14:paraId="6FA0F852">
            <w:pPr>
              <w:adjustRightInd w:val="0"/>
              <w:snapToGrid w:val="0"/>
              <w:jc w:val="center"/>
              <w:textAlignment w:val="center"/>
              <w:rPr>
                <w:rFonts w:ascii="Times New Roman" w:hAnsi="Times New Roman" w:cs="Times New Roman"/>
                <w:color w:val="auto"/>
                <w:sz w:val="21"/>
                <w:lang w:eastAsia="zh-CN"/>
              </w:rPr>
            </w:pPr>
          </w:p>
        </w:tc>
        <w:tc>
          <w:tcPr>
            <w:tcW w:w="491" w:type="pct"/>
            <w:tcBorders>
              <w:tl2br w:val="nil"/>
              <w:tr2bl w:val="nil"/>
            </w:tcBorders>
            <w:noWrap/>
            <w:vAlign w:val="center"/>
          </w:tcPr>
          <w:p w14:paraId="0D6349F1">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bl>
    <w:p w14:paraId="0BE77C70">
      <w:pPr>
        <w:tabs>
          <w:tab w:val="left" w:pos="4469"/>
          <w:tab w:val="center" w:pos="4873"/>
        </w:tabs>
        <w:spacing w:line="360" w:lineRule="auto"/>
        <w:rPr>
          <w:rFonts w:ascii="Times New Roman" w:hAnsi="Times New Roman" w:cs="Times New Roman"/>
          <w:b/>
          <w:kern w:val="2"/>
          <w:szCs w:val="24"/>
          <w:lang w:eastAsia="zh-CN"/>
        </w:rPr>
      </w:pPr>
      <w:r>
        <w:rPr>
          <w:rFonts w:ascii="Times New Roman" w:hAnsi="Times New Roman" w:cs="Times New Roman"/>
          <w:b/>
          <w:kern w:val="2"/>
          <w:szCs w:val="24"/>
          <w:lang w:eastAsia="zh-CN"/>
        </w:rPr>
        <w:tab/>
      </w:r>
    </w:p>
    <w:p w14:paraId="1C2C8618">
      <w:pPr>
        <w:rPr>
          <w:rFonts w:ascii="Times New Roman" w:hAnsi="Times New Roman" w:cs="Times New Roman"/>
          <w:lang w:eastAsia="zh-CN"/>
        </w:rPr>
        <w:sectPr>
          <w:pgSz w:w="11906" w:h="16838"/>
          <w:pgMar w:top="1440" w:right="1080" w:bottom="1440" w:left="1080" w:header="851" w:footer="992" w:gutter="0"/>
          <w:cols w:space="720" w:num="1"/>
          <w:docGrid w:type="lines" w:linePitch="312" w:charSpace="0"/>
        </w:sectPr>
      </w:pPr>
    </w:p>
    <w:p w14:paraId="73211A69">
      <w:pPr>
        <w:spacing w:line="360" w:lineRule="auto"/>
        <w:jc w:val="center"/>
        <w:rPr>
          <w:rFonts w:ascii="Times New Roman" w:hAnsi="Times New Roman" w:eastAsia="新宋体" w:cs="Times New Roman"/>
          <w:b/>
          <w:bCs/>
          <w:szCs w:val="24"/>
          <w:lang w:eastAsia="zh-CN"/>
        </w:rPr>
      </w:pPr>
      <w:r>
        <w:rPr>
          <w:rFonts w:ascii="Times New Roman" w:hAnsi="Times New Roman" w:cs="Times New Roman"/>
          <w:b/>
          <w:kern w:val="2"/>
          <w:szCs w:val="24"/>
          <w:lang w:eastAsia="zh-CN"/>
        </w:rPr>
        <w:t>表5.2-1</w:t>
      </w:r>
      <w:r>
        <w:rPr>
          <w:rFonts w:hint="eastAsia" w:ascii="Times New Roman" w:hAnsi="Times New Roman" w:cs="Times New Roman"/>
          <w:b/>
          <w:kern w:val="2"/>
          <w:szCs w:val="24"/>
          <w:lang w:eastAsia="zh-CN"/>
        </w:rPr>
        <w:t>3</w:t>
      </w:r>
      <w:r>
        <w:rPr>
          <w:rFonts w:ascii="Times New Roman" w:hAnsi="Times New Roman" w:cs="Times New Roman"/>
          <w:b/>
          <w:kern w:val="2"/>
          <w:szCs w:val="24"/>
          <w:lang w:eastAsia="zh-CN"/>
        </w:rPr>
        <w:t xml:space="preserve"> 项目</w:t>
      </w:r>
      <w:r>
        <w:rPr>
          <w:rFonts w:hint="eastAsia" w:ascii="Times New Roman" w:hAnsi="Times New Roman" w:cs="Times New Roman"/>
          <w:b/>
          <w:lang w:eastAsia="zh-CN"/>
        </w:rPr>
        <w:t>氟化物</w:t>
      </w:r>
      <w:r>
        <w:rPr>
          <w:rFonts w:ascii="Times New Roman" w:hAnsi="Times New Roman" w:cs="Times New Roman"/>
          <w:b/>
          <w:kern w:val="2"/>
          <w:szCs w:val="24"/>
          <w:lang w:eastAsia="zh-CN"/>
        </w:rPr>
        <w:t>叠加背景浓度预测结果一览表  单位：</w:t>
      </w:r>
      <w:r>
        <w:rPr>
          <w:rFonts w:ascii="Times New Roman" w:hAnsi="Times New Roman" w:cs="Times New Roman"/>
          <w:b/>
          <w:bCs/>
          <w:szCs w:val="24"/>
          <w:lang w:eastAsia="zh-CN" w:bidi="ar"/>
        </w:rPr>
        <w:t>μg/m</w:t>
      </w:r>
      <w:r>
        <w:rPr>
          <w:rFonts w:ascii="Times New Roman" w:hAnsi="Times New Roman" w:cs="Times New Roman"/>
          <w:b/>
          <w:bCs/>
          <w:szCs w:val="24"/>
          <w:vertAlign w:val="superscript"/>
          <w:lang w:eastAsia="zh-CN" w:bidi="ar"/>
        </w:rPr>
        <w:t>3</w:t>
      </w:r>
    </w:p>
    <w:tbl>
      <w:tblPr>
        <w:tblStyle w:val="35"/>
        <w:tblpPr w:leftFromText="180" w:rightFromText="180" w:vertAnchor="text" w:tblpXSpec="center" w:tblpY="1"/>
        <w:tblOverlap w:val="never"/>
        <w:tblW w:w="5000"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573"/>
        <w:gridCol w:w="928"/>
        <w:gridCol w:w="1193"/>
        <w:gridCol w:w="1237"/>
        <w:gridCol w:w="1739"/>
        <w:gridCol w:w="1276"/>
        <w:gridCol w:w="1985"/>
        <w:gridCol w:w="1669"/>
        <w:gridCol w:w="1167"/>
        <w:gridCol w:w="1133"/>
        <w:gridCol w:w="1058"/>
      </w:tblGrid>
      <w:tr w14:paraId="5E7DB8E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jc w:val="center"/>
        </w:trPr>
        <w:tc>
          <w:tcPr>
            <w:tcW w:w="205" w:type="pct"/>
            <w:tcBorders>
              <w:tl2br w:val="nil"/>
              <w:tr2bl w:val="nil"/>
            </w:tcBorders>
            <w:noWrap/>
            <w:vAlign w:val="center"/>
          </w:tcPr>
          <w:p w14:paraId="412F8A05">
            <w:pPr>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序号</w:t>
            </w:r>
          </w:p>
        </w:tc>
        <w:tc>
          <w:tcPr>
            <w:tcW w:w="332" w:type="pct"/>
            <w:tcBorders>
              <w:tl2br w:val="nil"/>
              <w:tr2bl w:val="nil"/>
            </w:tcBorders>
            <w:noWrap/>
            <w:vAlign w:val="center"/>
          </w:tcPr>
          <w:p w14:paraId="57CEC000">
            <w:pPr>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点名称</w:t>
            </w:r>
          </w:p>
        </w:tc>
        <w:tc>
          <w:tcPr>
            <w:tcW w:w="427" w:type="pct"/>
            <w:tcBorders>
              <w:tl2br w:val="nil"/>
              <w:tr2bl w:val="nil"/>
            </w:tcBorders>
            <w:noWrap/>
            <w:vAlign w:val="center"/>
          </w:tcPr>
          <w:p w14:paraId="2DFCE971">
            <w:pPr>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浓度类型</w:t>
            </w:r>
          </w:p>
        </w:tc>
        <w:tc>
          <w:tcPr>
            <w:tcW w:w="443" w:type="pct"/>
            <w:tcBorders>
              <w:tl2br w:val="nil"/>
              <w:tr2bl w:val="nil"/>
            </w:tcBorders>
            <w:noWrap/>
            <w:vAlign w:val="center"/>
          </w:tcPr>
          <w:p w14:paraId="5A9451A4">
            <w:pPr>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浓度增量(μg/m</w:t>
            </w:r>
            <w:r>
              <w:rPr>
                <w:rFonts w:ascii="Times New Roman" w:hAnsi="Times New Roman" w:cs="Times New Roman"/>
                <w:b/>
                <w:bCs/>
                <w:color w:val="auto"/>
                <w:sz w:val="21"/>
                <w:vertAlign w:val="superscript"/>
                <w:lang w:eastAsia="zh-CN" w:bidi="ar"/>
              </w:rPr>
              <w:t>3</w:t>
            </w:r>
            <w:r>
              <w:rPr>
                <w:rFonts w:ascii="Times New Roman" w:hAnsi="Times New Roman" w:cs="Times New Roman"/>
                <w:b/>
                <w:bCs/>
                <w:color w:val="auto"/>
                <w:sz w:val="21"/>
                <w:lang w:eastAsia="zh-CN" w:bidi="ar"/>
              </w:rPr>
              <w:t>)</w:t>
            </w:r>
          </w:p>
        </w:tc>
        <w:tc>
          <w:tcPr>
            <w:tcW w:w="623" w:type="pct"/>
            <w:tcBorders>
              <w:tl2br w:val="nil"/>
              <w:tr2bl w:val="nil"/>
            </w:tcBorders>
            <w:noWrap/>
            <w:vAlign w:val="center"/>
          </w:tcPr>
          <w:p w14:paraId="070CE642">
            <w:pPr>
              <w:jc w:val="center"/>
              <w:textAlignment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bidi="ar"/>
              </w:rPr>
              <w:t>出现时间(YYMMDDHH)</w:t>
            </w:r>
          </w:p>
        </w:tc>
        <w:tc>
          <w:tcPr>
            <w:tcW w:w="457" w:type="pct"/>
            <w:tcBorders>
              <w:tl2br w:val="nil"/>
              <w:tr2bl w:val="nil"/>
            </w:tcBorders>
            <w:noWrap/>
            <w:vAlign w:val="center"/>
          </w:tcPr>
          <w:p w14:paraId="14EA381D">
            <w:pPr>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背景浓度(μg/m</w:t>
            </w:r>
            <w:r>
              <w:rPr>
                <w:rFonts w:ascii="Times New Roman" w:hAnsi="Times New Roman" w:cs="Times New Roman"/>
                <w:b/>
                <w:bCs/>
                <w:color w:val="auto"/>
                <w:sz w:val="21"/>
                <w:vertAlign w:val="superscript"/>
                <w:lang w:eastAsia="zh-CN" w:bidi="ar"/>
              </w:rPr>
              <w:t>3</w:t>
            </w:r>
            <w:r>
              <w:rPr>
                <w:rFonts w:ascii="Times New Roman" w:hAnsi="Times New Roman" w:cs="Times New Roman"/>
                <w:b/>
                <w:bCs/>
                <w:color w:val="auto"/>
                <w:sz w:val="21"/>
                <w:lang w:eastAsia="zh-CN" w:bidi="ar"/>
              </w:rPr>
              <w:t>)</w:t>
            </w:r>
          </w:p>
        </w:tc>
        <w:tc>
          <w:tcPr>
            <w:tcW w:w="711" w:type="pct"/>
            <w:tcBorders>
              <w:tl2br w:val="nil"/>
              <w:tr2bl w:val="nil"/>
            </w:tcBorders>
            <w:vAlign w:val="center"/>
          </w:tcPr>
          <w:p w14:paraId="7A36A17B">
            <w:pPr>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其他在建、拟建项目预测浓度</w:t>
            </w:r>
            <w:r>
              <w:rPr>
                <w:rFonts w:ascii="Times New Roman" w:hAnsi="Times New Roman" w:cs="Times New Roman"/>
                <w:b/>
                <w:bCs/>
                <w:color w:val="auto"/>
                <w:sz w:val="21"/>
                <w:lang w:eastAsia="zh-CN" w:bidi="ar"/>
              </w:rPr>
              <w:t>(μg/m</w:t>
            </w:r>
            <w:r>
              <w:rPr>
                <w:rFonts w:ascii="Times New Roman" w:hAnsi="Times New Roman" w:cs="Times New Roman"/>
                <w:b/>
                <w:bCs/>
                <w:color w:val="auto"/>
                <w:sz w:val="21"/>
                <w:vertAlign w:val="superscript"/>
                <w:lang w:eastAsia="zh-CN" w:bidi="ar"/>
              </w:rPr>
              <w:t>3</w:t>
            </w:r>
            <w:r>
              <w:rPr>
                <w:rFonts w:ascii="Times New Roman" w:hAnsi="Times New Roman" w:cs="Times New Roman"/>
                <w:b/>
                <w:bCs/>
                <w:color w:val="auto"/>
                <w:sz w:val="21"/>
                <w:lang w:eastAsia="zh-CN" w:bidi="ar"/>
              </w:rPr>
              <w:t>)</w:t>
            </w:r>
          </w:p>
        </w:tc>
        <w:tc>
          <w:tcPr>
            <w:tcW w:w="598" w:type="pct"/>
            <w:tcBorders>
              <w:tl2br w:val="nil"/>
              <w:tr2bl w:val="nil"/>
            </w:tcBorders>
            <w:noWrap/>
            <w:vAlign w:val="center"/>
          </w:tcPr>
          <w:p w14:paraId="7877649B">
            <w:pPr>
              <w:jc w:val="center"/>
              <w:textAlignment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bidi="ar"/>
              </w:rPr>
              <w:t>叠加后的浓度(μg/m</w:t>
            </w:r>
            <w:r>
              <w:rPr>
                <w:rFonts w:ascii="Times New Roman" w:hAnsi="Times New Roman" w:cs="Times New Roman"/>
                <w:b/>
                <w:bCs/>
                <w:color w:val="auto"/>
                <w:sz w:val="21"/>
                <w:vertAlign w:val="superscript"/>
                <w:lang w:eastAsia="zh-CN" w:bidi="ar"/>
              </w:rPr>
              <w:t>3</w:t>
            </w:r>
            <w:r>
              <w:rPr>
                <w:rFonts w:ascii="Times New Roman" w:hAnsi="Times New Roman" w:cs="Times New Roman"/>
                <w:b/>
                <w:bCs/>
                <w:color w:val="auto"/>
                <w:sz w:val="21"/>
                <w:lang w:eastAsia="zh-CN" w:bidi="ar"/>
              </w:rPr>
              <w:t>)</w:t>
            </w:r>
          </w:p>
        </w:tc>
        <w:tc>
          <w:tcPr>
            <w:tcW w:w="418" w:type="pct"/>
            <w:tcBorders>
              <w:tl2br w:val="nil"/>
              <w:tr2bl w:val="nil"/>
            </w:tcBorders>
            <w:noWrap/>
            <w:vAlign w:val="center"/>
          </w:tcPr>
          <w:p w14:paraId="175B97BB">
            <w:pPr>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评价标准(μg/m</w:t>
            </w:r>
            <w:r>
              <w:rPr>
                <w:rFonts w:ascii="Times New Roman" w:hAnsi="Times New Roman" w:cs="Times New Roman"/>
                <w:b/>
                <w:bCs/>
                <w:color w:val="auto"/>
                <w:sz w:val="21"/>
                <w:vertAlign w:val="superscript"/>
                <w:lang w:eastAsia="zh-CN" w:bidi="ar"/>
              </w:rPr>
              <w:t>3</w:t>
            </w:r>
            <w:r>
              <w:rPr>
                <w:rFonts w:ascii="Times New Roman" w:hAnsi="Times New Roman" w:cs="Times New Roman"/>
                <w:b/>
                <w:bCs/>
                <w:color w:val="auto"/>
                <w:sz w:val="21"/>
                <w:lang w:eastAsia="zh-CN" w:bidi="ar"/>
              </w:rPr>
              <w:t>)</w:t>
            </w:r>
          </w:p>
        </w:tc>
        <w:tc>
          <w:tcPr>
            <w:tcW w:w="406" w:type="pct"/>
            <w:tcBorders>
              <w:tl2br w:val="nil"/>
              <w:tr2bl w:val="nil"/>
            </w:tcBorders>
            <w:noWrap/>
            <w:vAlign w:val="center"/>
          </w:tcPr>
          <w:p w14:paraId="2FD89981">
            <w:pPr>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占标率%</w:t>
            </w:r>
          </w:p>
        </w:tc>
        <w:tc>
          <w:tcPr>
            <w:tcW w:w="379" w:type="pct"/>
            <w:tcBorders>
              <w:tl2br w:val="nil"/>
              <w:tr2bl w:val="nil"/>
            </w:tcBorders>
            <w:noWrap/>
            <w:vAlign w:val="center"/>
          </w:tcPr>
          <w:p w14:paraId="2385C906">
            <w:pPr>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是否超标</w:t>
            </w:r>
          </w:p>
        </w:tc>
      </w:tr>
      <w:tr w14:paraId="44EE825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jc w:val="center"/>
        </w:trPr>
        <w:tc>
          <w:tcPr>
            <w:tcW w:w="205" w:type="pct"/>
            <w:vMerge w:val="restart"/>
            <w:tcBorders>
              <w:tl2br w:val="nil"/>
              <w:tr2bl w:val="nil"/>
            </w:tcBorders>
            <w:noWrap/>
            <w:vAlign w:val="center"/>
          </w:tcPr>
          <w:p w14:paraId="182A7771">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w:t>
            </w:r>
          </w:p>
        </w:tc>
        <w:tc>
          <w:tcPr>
            <w:tcW w:w="332" w:type="pct"/>
            <w:vMerge w:val="restart"/>
            <w:tcBorders>
              <w:tl2br w:val="nil"/>
              <w:tr2bl w:val="nil"/>
            </w:tcBorders>
            <w:noWrap/>
            <w:vAlign w:val="center"/>
          </w:tcPr>
          <w:p w14:paraId="3034EC83">
            <w:pPr>
              <w:jc w:val="center"/>
              <w:textAlignment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大柏村</w:t>
            </w:r>
          </w:p>
        </w:tc>
        <w:tc>
          <w:tcPr>
            <w:tcW w:w="427" w:type="pct"/>
            <w:tcBorders>
              <w:tl2br w:val="nil"/>
              <w:tr2bl w:val="nil"/>
            </w:tcBorders>
            <w:noWrap/>
            <w:vAlign w:val="center"/>
          </w:tcPr>
          <w:p w14:paraId="489EE101">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1小时</w:t>
            </w:r>
          </w:p>
        </w:tc>
        <w:tc>
          <w:tcPr>
            <w:tcW w:w="443" w:type="pct"/>
            <w:tcBorders>
              <w:tl2br w:val="nil"/>
              <w:tr2bl w:val="nil"/>
            </w:tcBorders>
            <w:noWrap/>
            <w:vAlign w:val="center"/>
          </w:tcPr>
          <w:p w14:paraId="122AAFDE">
            <w:pPr>
              <w:jc w:val="center"/>
              <w:textAlignment w:val="center"/>
              <w:rPr>
                <w:rFonts w:ascii="Times New Roman" w:hAnsi="Times New Roman" w:cs="Times New Roman"/>
                <w:color w:val="auto"/>
                <w:sz w:val="21"/>
              </w:rPr>
            </w:pPr>
          </w:p>
        </w:tc>
        <w:tc>
          <w:tcPr>
            <w:tcW w:w="623" w:type="pct"/>
            <w:tcBorders>
              <w:tl2br w:val="nil"/>
              <w:tr2bl w:val="nil"/>
            </w:tcBorders>
            <w:noWrap/>
            <w:vAlign w:val="center"/>
          </w:tcPr>
          <w:p w14:paraId="0AA99C96">
            <w:pPr>
              <w:jc w:val="center"/>
              <w:textAlignment w:val="center"/>
              <w:rPr>
                <w:rFonts w:ascii="Times New Roman" w:hAnsi="Times New Roman" w:cs="Times New Roman"/>
                <w:color w:val="auto"/>
                <w:sz w:val="21"/>
              </w:rPr>
            </w:pPr>
          </w:p>
        </w:tc>
        <w:tc>
          <w:tcPr>
            <w:tcW w:w="457" w:type="pct"/>
            <w:tcBorders>
              <w:tl2br w:val="nil"/>
              <w:tr2bl w:val="nil"/>
            </w:tcBorders>
            <w:noWrap/>
            <w:vAlign w:val="center"/>
          </w:tcPr>
          <w:p w14:paraId="27E8DE2A">
            <w:pPr>
              <w:jc w:val="center"/>
              <w:textAlignment w:val="center"/>
              <w:rPr>
                <w:rFonts w:ascii="Times New Roman" w:hAnsi="Times New Roman" w:cs="Times New Roman"/>
                <w:color w:val="auto"/>
                <w:sz w:val="21"/>
                <w:lang w:eastAsia="zh-CN"/>
              </w:rPr>
            </w:pPr>
          </w:p>
        </w:tc>
        <w:tc>
          <w:tcPr>
            <w:tcW w:w="711" w:type="pct"/>
            <w:tcBorders>
              <w:tl2br w:val="nil"/>
              <w:tr2bl w:val="nil"/>
            </w:tcBorders>
            <w:vAlign w:val="center"/>
          </w:tcPr>
          <w:p w14:paraId="070E680B">
            <w:pPr>
              <w:jc w:val="center"/>
              <w:textAlignment w:val="center"/>
              <w:rPr>
                <w:rFonts w:ascii="Times New Roman" w:hAnsi="Times New Roman" w:cs="Times New Roman"/>
                <w:color w:val="auto"/>
                <w:sz w:val="21"/>
                <w:lang w:eastAsia="zh-CN" w:bidi="ar"/>
              </w:rPr>
            </w:pPr>
          </w:p>
        </w:tc>
        <w:tc>
          <w:tcPr>
            <w:tcW w:w="598" w:type="pct"/>
            <w:tcBorders>
              <w:tl2br w:val="nil"/>
              <w:tr2bl w:val="nil"/>
            </w:tcBorders>
            <w:noWrap/>
            <w:vAlign w:val="center"/>
          </w:tcPr>
          <w:p w14:paraId="2B9FC986">
            <w:pPr>
              <w:jc w:val="center"/>
              <w:textAlignment w:val="center"/>
              <w:rPr>
                <w:rFonts w:ascii="Times New Roman" w:hAnsi="Times New Roman" w:cs="Times New Roman"/>
                <w:color w:val="auto"/>
                <w:sz w:val="21"/>
              </w:rPr>
            </w:pPr>
          </w:p>
        </w:tc>
        <w:tc>
          <w:tcPr>
            <w:tcW w:w="418" w:type="pct"/>
            <w:tcBorders>
              <w:tl2br w:val="nil"/>
              <w:tr2bl w:val="nil"/>
            </w:tcBorders>
            <w:noWrap/>
            <w:vAlign w:val="center"/>
          </w:tcPr>
          <w:p w14:paraId="2C02F279">
            <w:pPr>
              <w:jc w:val="center"/>
              <w:textAlignment w:val="center"/>
              <w:rPr>
                <w:rFonts w:ascii="Times New Roman" w:hAnsi="Times New Roman" w:cs="Times New Roman"/>
                <w:color w:val="auto"/>
                <w:sz w:val="21"/>
              </w:rPr>
            </w:pPr>
          </w:p>
        </w:tc>
        <w:tc>
          <w:tcPr>
            <w:tcW w:w="406" w:type="pct"/>
            <w:tcBorders>
              <w:tl2br w:val="nil"/>
              <w:tr2bl w:val="nil"/>
            </w:tcBorders>
            <w:noWrap/>
            <w:vAlign w:val="center"/>
          </w:tcPr>
          <w:p w14:paraId="081CC8CD">
            <w:pPr>
              <w:jc w:val="center"/>
              <w:textAlignment w:val="center"/>
              <w:rPr>
                <w:rFonts w:ascii="Times New Roman" w:hAnsi="Times New Roman" w:cs="Times New Roman"/>
                <w:color w:val="auto"/>
                <w:sz w:val="21"/>
              </w:rPr>
            </w:pPr>
          </w:p>
        </w:tc>
        <w:tc>
          <w:tcPr>
            <w:tcW w:w="379" w:type="pct"/>
            <w:tcBorders>
              <w:tl2br w:val="nil"/>
              <w:tr2bl w:val="nil"/>
            </w:tcBorders>
            <w:noWrap/>
            <w:vAlign w:val="center"/>
          </w:tcPr>
          <w:p w14:paraId="535026D4">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5405BFB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jc w:val="center"/>
        </w:trPr>
        <w:tc>
          <w:tcPr>
            <w:tcW w:w="205" w:type="pct"/>
            <w:vMerge w:val="continue"/>
            <w:tcBorders>
              <w:tl2br w:val="nil"/>
              <w:tr2bl w:val="nil"/>
            </w:tcBorders>
            <w:noWrap/>
            <w:vAlign w:val="center"/>
          </w:tcPr>
          <w:p w14:paraId="0D0BDA1E">
            <w:pPr>
              <w:jc w:val="center"/>
              <w:rPr>
                <w:rFonts w:ascii="Times New Roman" w:hAnsi="Times New Roman" w:cs="Times New Roman"/>
                <w:color w:val="auto"/>
                <w:sz w:val="21"/>
              </w:rPr>
            </w:pPr>
          </w:p>
        </w:tc>
        <w:tc>
          <w:tcPr>
            <w:tcW w:w="332" w:type="pct"/>
            <w:vMerge w:val="continue"/>
            <w:tcBorders>
              <w:tl2br w:val="nil"/>
              <w:tr2bl w:val="nil"/>
            </w:tcBorders>
            <w:noWrap/>
            <w:vAlign w:val="center"/>
          </w:tcPr>
          <w:p w14:paraId="1ABB6A72">
            <w:pPr>
              <w:jc w:val="center"/>
              <w:rPr>
                <w:rFonts w:ascii="Times New Roman" w:hAnsi="Times New Roman" w:cs="Times New Roman"/>
                <w:color w:val="auto"/>
                <w:sz w:val="21"/>
              </w:rPr>
            </w:pPr>
          </w:p>
        </w:tc>
        <w:tc>
          <w:tcPr>
            <w:tcW w:w="427" w:type="pct"/>
            <w:tcBorders>
              <w:tl2br w:val="nil"/>
              <w:tr2bl w:val="nil"/>
            </w:tcBorders>
            <w:noWrap/>
            <w:vAlign w:val="center"/>
          </w:tcPr>
          <w:p w14:paraId="53F8BD64">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日平均</w:t>
            </w:r>
          </w:p>
        </w:tc>
        <w:tc>
          <w:tcPr>
            <w:tcW w:w="443" w:type="pct"/>
            <w:tcBorders>
              <w:tl2br w:val="nil"/>
              <w:tr2bl w:val="nil"/>
            </w:tcBorders>
            <w:noWrap/>
            <w:vAlign w:val="center"/>
          </w:tcPr>
          <w:p w14:paraId="088691E7">
            <w:pPr>
              <w:jc w:val="center"/>
              <w:textAlignment w:val="center"/>
              <w:rPr>
                <w:rFonts w:ascii="Times New Roman" w:hAnsi="Times New Roman" w:cs="Times New Roman"/>
                <w:color w:val="auto"/>
                <w:sz w:val="21"/>
              </w:rPr>
            </w:pPr>
          </w:p>
        </w:tc>
        <w:tc>
          <w:tcPr>
            <w:tcW w:w="623" w:type="pct"/>
            <w:tcBorders>
              <w:tl2br w:val="nil"/>
              <w:tr2bl w:val="nil"/>
            </w:tcBorders>
            <w:noWrap/>
            <w:vAlign w:val="center"/>
          </w:tcPr>
          <w:p w14:paraId="2D9805F7">
            <w:pPr>
              <w:jc w:val="center"/>
              <w:textAlignment w:val="center"/>
              <w:rPr>
                <w:rFonts w:ascii="Times New Roman" w:hAnsi="Times New Roman" w:cs="Times New Roman"/>
                <w:color w:val="auto"/>
                <w:sz w:val="21"/>
              </w:rPr>
            </w:pPr>
          </w:p>
        </w:tc>
        <w:tc>
          <w:tcPr>
            <w:tcW w:w="457" w:type="pct"/>
            <w:tcBorders>
              <w:tl2br w:val="nil"/>
              <w:tr2bl w:val="nil"/>
            </w:tcBorders>
            <w:noWrap/>
            <w:vAlign w:val="center"/>
          </w:tcPr>
          <w:p w14:paraId="3C298D4D">
            <w:pPr>
              <w:jc w:val="center"/>
              <w:textAlignment w:val="center"/>
              <w:rPr>
                <w:rFonts w:ascii="Times New Roman" w:hAnsi="Times New Roman" w:cs="Times New Roman"/>
                <w:color w:val="auto"/>
                <w:sz w:val="21"/>
                <w:lang w:eastAsia="zh-CN"/>
              </w:rPr>
            </w:pPr>
          </w:p>
        </w:tc>
        <w:tc>
          <w:tcPr>
            <w:tcW w:w="711" w:type="pct"/>
            <w:tcBorders>
              <w:tl2br w:val="nil"/>
              <w:tr2bl w:val="nil"/>
            </w:tcBorders>
            <w:vAlign w:val="center"/>
          </w:tcPr>
          <w:p w14:paraId="5538956A">
            <w:pPr>
              <w:jc w:val="center"/>
              <w:textAlignment w:val="center"/>
              <w:rPr>
                <w:rFonts w:ascii="Times New Roman" w:hAnsi="Times New Roman" w:cs="Times New Roman"/>
                <w:color w:val="auto"/>
                <w:sz w:val="21"/>
                <w:lang w:eastAsia="zh-CN" w:bidi="ar"/>
              </w:rPr>
            </w:pPr>
          </w:p>
        </w:tc>
        <w:tc>
          <w:tcPr>
            <w:tcW w:w="598" w:type="pct"/>
            <w:tcBorders>
              <w:tl2br w:val="nil"/>
              <w:tr2bl w:val="nil"/>
            </w:tcBorders>
            <w:noWrap/>
            <w:vAlign w:val="center"/>
          </w:tcPr>
          <w:p w14:paraId="211EA222">
            <w:pPr>
              <w:jc w:val="center"/>
              <w:textAlignment w:val="center"/>
              <w:rPr>
                <w:rFonts w:ascii="Times New Roman" w:hAnsi="Times New Roman" w:cs="Times New Roman"/>
                <w:color w:val="auto"/>
                <w:sz w:val="21"/>
              </w:rPr>
            </w:pPr>
          </w:p>
        </w:tc>
        <w:tc>
          <w:tcPr>
            <w:tcW w:w="418" w:type="pct"/>
            <w:tcBorders>
              <w:tl2br w:val="nil"/>
              <w:tr2bl w:val="nil"/>
            </w:tcBorders>
            <w:noWrap/>
            <w:vAlign w:val="center"/>
          </w:tcPr>
          <w:p w14:paraId="2F3EC00E">
            <w:pPr>
              <w:jc w:val="center"/>
              <w:textAlignment w:val="center"/>
              <w:rPr>
                <w:rFonts w:ascii="Times New Roman" w:hAnsi="Times New Roman" w:cs="Times New Roman"/>
                <w:color w:val="auto"/>
                <w:sz w:val="21"/>
              </w:rPr>
            </w:pPr>
          </w:p>
        </w:tc>
        <w:tc>
          <w:tcPr>
            <w:tcW w:w="406" w:type="pct"/>
            <w:tcBorders>
              <w:tl2br w:val="nil"/>
              <w:tr2bl w:val="nil"/>
            </w:tcBorders>
            <w:noWrap/>
            <w:vAlign w:val="center"/>
          </w:tcPr>
          <w:p w14:paraId="155A9A6D">
            <w:pPr>
              <w:jc w:val="center"/>
              <w:textAlignment w:val="center"/>
              <w:rPr>
                <w:rFonts w:ascii="Times New Roman" w:hAnsi="Times New Roman" w:cs="Times New Roman"/>
                <w:color w:val="auto"/>
                <w:sz w:val="21"/>
                <w:lang w:eastAsia="zh-CN"/>
              </w:rPr>
            </w:pPr>
          </w:p>
        </w:tc>
        <w:tc>
          <w:tcPr>
            <w:tcW w:w="379" w:type="pct"/>
            <w:tcBorders>
              <w:tl2br w:val="nil"/>
              <w:tr2bl w:val="nil"/>
            </w:tcBorders>
            <w:noWrap/>
            <w:vAlign w:val="center"/>
          </w:tcPr>
          <w:p w14:paraId="4FE30A0F">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5B4162F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jc w:val="center"/>
        </w:trPr>
        <w:tc>
          <w:tcPr>
            <w:tcW w:w="205" w:type="pct"/>
            <w:vMerge w:val="restart"/>
            <w:tcBorders>
              <w:tl2br w:val="nil"/>
              <w:tr2bl w:val="nil"/>
            </w:tcBorders>
            <w:noWrap/>
            <w:vAlign w:val="center"/>
          </w:tcPr>
          <w:p w14:paraId="430C9A3F">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2</w:t>
            </w:r>
          </w:p>
        </w:tc>
        <w:tc>
          <w:tcPr>
            <w:tcW w:w="332" w:type="pct"/>
            <w:vMerge w:val="restart"/>
            <w:tcBorders>
              <w:tl2br w:val="nil"/>
              <w:tr2bl w:val="nil"/>
            </w:tcBorders>
            <w:noWrap/>
            <w:vAlign w:val="center"/>
          </w:tcPr>
          <w:p w14:paraId="558646FD">
            <w:pPr>
              <w:jc w:val="center"/>
              <w:textAlignment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草杨村</w:t>
            </w:r>
          </w:p>
        </w:tc>
        <w:tc>
          <w:tcPr>
            <w:tcW w:w="427" w:type="pct"/>
            <w:tcBorders>
              <w:tl2br w:val="nil"/>
              <w:tr2bl w:val="nil"/>
            </w:tcBorders>
            <w:noWrap/>
            <w:vAlign w:val="center"/>
          </w:tcPr>
          <w:p w14:paraId="0B8437F0">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1小时</w:t>
            </w:r>
          </w:p>
        </w:tc>
        <w:tc>
          <w:tcPr>
            <w:tcW w:w="443" w:type="pct"/>
            <w:tcBorders>
              <w:tl2br w:val="nil"/>
              <w:tr2bl w:val="nil"/>
            </w:tcBorders>
            <w:noWrap/>
            <w:vAlign w:val="center"/>
          </w:tcPr>
          <w:p w14:paraId="6A62A702">
            <w:pPr>
              <w:jc w:val="center"/>
              <w:textAlignment w:val="center"/>
              <w:rPr>
                <w:rFonts w:ascii="Times New Roman" w:hAnsi="Times New Roman" w:cs="Times New Roman"/>
                <w:color w:val="auto"/>
                <w:sz w:val="21"/>
              </w:rPr>
            </w:pPr>
          </w:p>
        </w:tc>
        <w:tc>
          <w:tcPr>
            <w:tcW w:w="623" w:type="pct"/>
            <w:tcBorders>
              <w:tl2br w:val="nil"/>
              <w:tr2bl w:val="nil"/>
            </w:tcBorders>
            <w:noWrap/>
            <w:vAlign w:val="center"/>
          </w:tcPr>
          <w:p w14:paraId="65ADFA1A">
            <w:pPr>
              <w:jc w:val="center"/>
              <w:textAlignment w:val="center"/>
              <w:rPr>
                <w:rFonts w:ascii="Times New Roman" w:hAnsi="Times New Roman" w:cs="Times New Roman"/>
                <w:color w:val="auto"/>
                <w:sz w:val="21"/>
              </w:rPr>
            </w:pPr>
          </w:p>
        </w:tc>
        <w:tc>
          <w:tcPr>
            <w:tcW w:w="457" w:type="pct"/>
            <w:tcBorders>
              <w:tl2br w:val="nil"/>
              <w:tr2bl w:val="nil"/>
            </w:tcBorders>
            <w:noWrap/>
            <w:vAlign w:val="center"/>
          </w:tcPr>
          <w:p w14:paraId="5E609361">
            <w:pPr>
              <w:jc w:val="center"/>
              <w:textAlignment w:val="center"/>
              <w:rPr>
                <w:rFonts w:ascii="Times New Roman" w:hAnsi="Times New Roman" w:cs="Times New Roman"/>
                <w:color w:val="auto"/>
                <w:sz w:val="21"/>
              </w:rPr>
            </w:pPr>
          </w:p>
        </w:tc>
        <w:tc>
          <w:tcPr>
            <w:tcW w:w="711" w:type="pct"/>
            <w:tcBorders>
              <w:tl2br w:val="nil"/>
              <w:tr2bl w:val="nil"/>
            </w:tcBorders>
            <w:vAlign w:val="center"/>
          </w:tcPr>
          <w:p w14:paraId="12A9D377">
            <w:pPr>
              <w:jc w:val="center"/>
              <w:textAlignment w:val="center"/>
              <w:rPr>
                <w:rFonts w:ascii="Times New Roman" w:hAnsi="Times New Roman" w:cs="Times New Roman"/>
                <w:color w:val="auto"/>
                <w:sz w:val="21"/>
                <w:lang w:eastAsia="zh-CN" w:bidi="ar"/>
              </w:rPr>
            </w:pPr>
          </w:p>
        </w:tc>
        <w:tc>
          <w:tcPr>
            <w:tcW w:w="598" w:type="pct"/>
            <w:tcBorders>
              <w:tl2br w:val="nil"/>
              <w:tr2bl w:val="nil"/>
            </w:tcBorders>
            <w:noWrap/>
            <w:vAlign w:val="center"/>
          </w:tcPr>
          <w:p w14:paraId="3A02EB92">
            <w:pPr>
              <w:jc w:val="center"/>
              <w:textAlignment w:val="center"/>
              <w:rPr>
                <w:rFonts w:ascii="Times New Roman" w:hAnsi="Times New Roman" w:cs="Times New Roman"/>
                <w:color w:val="auto"/>
                <w:sz w:val="21"/>
              </w:rPr>
            </w:pPr>
          </w:p>
        </w:tc>
        <w:tc>
          <w:tcPr>
            <w:tcW w:w="418" w:type="pct"/>
            <w:tcBorders>
              <w:tl2br w:val="nil"/>
              <w:tr2bl w:val="nil"/>
            </w:tcBorders>
            <w:noWrap/>
            <w:vAlign w:val="center"/>
          </w:tcPr>
          <w:p w14:paraId="1D141922">
            <w:pPr>
              <w:jc w:val="center"/>
              <w:textAlignment w:val="center"/>
              <w:rPr>
                <w:rFonts w:ascii="Times New Roman" w:hAnsi="Times New Roman" w:cs="Times New Roman"/>
                <w:color w:val="auto"/>
                <w:sz w:val="21"/>
              </w:rPr>
            </w:pPr>
          </w:p>
        </w:tc>
        <w:tc>
          <w:tcPr>
            <w:tcW w:w="406" w:type="pct"/>
            <w:tcBorders>
              <w:tl2br w:val="nil"/>
              <w:tr2bl w:val="nil"/>
            </w:tcBorders>
            <w:noWrap/>
            <w:vAlign w:val="center"/>
          </w:tcPr>
          <w:p w14:paraId="2714DFB5">
            <w:pPr>
              <w:jc w:val="center"/>
              <w:textAlignment w:val="center"/>
              <w:rPr>
                <w:rFonts w:ascii="Times New Roman" w:hAnsi="Times New Roman" w:cs="Times New Roman"/>
                <w:color w:val="auto"/>
                <w:sz w:val="21"/>
              </w:rPr>
            </w:pPr>
          </w:p>
        </w:tc>
        <w:tc>
          <w:tcPr>
            <w:tcW w:w="379" w:type="pct"/>
            <w:tcBorders>
              <w:tl2br w:val="nil"/>
              <w:tr2bl w:val="nil"/>
            </w:tcBorders>
            <w:noWrap/>
            <w:vAlign w:val="center"/>
          </w:tcPr>
          <w:p w14:paraId="66D6D8A0">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144F454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jc w:val="center"/>
        </w:trPr>
        <w:tc>
          <w:tcPr>
            <w:tcW w:w="205" w:type="pct"/>
            <w:vMerge w:val="continue"/>
            <w:tcBorders>
              <w:tl2br w:val="nil"/>
              <w:tr2bl w:val="nil"/>
            </w:tcBorders>
            <w:noWrap/>
            <w:vAlign w:val="center"/>
          </w:tcPr>
          <w:p w14:paraId="767E8CB2">
            <w:pPr>
              <w:jc w:val="center"/>
              <w:rPr>
                <w:rFonts w:ascii="Times New Roman" w:hAnsi="Times New Roman" w:cs="Times New Roman"/>
                <w:color w:val="auto"/>
                <w:sz w:val="21"/>
              </w:rPr>
            </w:pPr>
          </w:p>
        </w:tc>
        <w:tc>
          <w:tcPr>
            <w:tcW w:w="332" w:type="pct"/>
            <w:vMerge w:val="continue"/>
            <w:tcBorders>
              <w:tl2br w:val="nil"/>
              <w:tr2bl w:val="nil"/>
            </w:tcBorders>
            <w:noWrap/>
            <w:vAlign w:val="center"/>
          </w:tcPr>
          <w:p w14:paraId="6FE8893D">
            <w:pPr>
              <w:jc w:val="center"/>
              <w:rPr>
                <w:rFonts w:ascii="Times New Roman" w:hAnsi="Times New Roman" w:cs="Times New Roman"/>
                <w:color w:val="auto"/>
                <w:sz w:val="21"/>
              </w:rPr>
            </w:pPr>
          </w:p>
        </w:tc>
        <w:tc>
          <w:tcPr>
            <w:tcW w:w="427" w:type="pct"/>
            <w:tcBorders>
              <w:tl2br w:val="nil"/>
              <w:tr2bl w:val="nil"/>
            </w:tcBorders>
            <w:noWrap/>
            <w:vAlign w:val="center"/>
          </w:tcPr>
          <w:p w14:paraId="7B75FAB4">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日平均</w:t>
            </w:r>
          </w:p>
        </w:tc>
        <w:tc>
          <w:tcPr>
            <w:tcW w:w="443" w:type="pct"/>
            <w:tcBorders>
              <w:tl2br w:val="nil"/>
              <w:tr2bl w:val="nil"/>
            </w:tcBorders>
            <w:noWrap/>
            <w:vAlign w:val="center"/>
          </w:tcPr>
          <w:p w14:paraId="781FC8D1">
            <w:pPr>
              <w:jc w:val="center"/>
              <w:textAlignment w:val="center"/>
              <w:rPr>
                <w:rFonts w:ascii="Times New Roman" w:hAnsi="Times New Roman" w:cs="Times New Roman"/>
                <w:color w:val="auto"/>
                <w:sz w:val="21"/>
              </w:rPr>
            </w:pPr>
          </w:p>
        </w:tc>
        <w:tc>
          <w:tcPr>
            <w:tcW w:w="623" w:type="pct"/>
            <w:tcBorders>
              <w:tl2br w:val="nil"/>
              <w:tr2bl w:val="nil"/>
            </w:tcBorders>
            <w:noWrap/>
            <w:vAlign w:val="center"/>
          </w:tcPr>
          <w:p w14:paraId="7667FCD3">
            <w:pPr>
              <w:jc w:val="center"/>
              <w:textAlignment w:val="center"/>
              <w:rPr>
                <w:rFonts w:ascii="Times New Roman" w:hAnsi="Times New Roman" w:cs="Times New Roman"/>
                <w:color w:val="auto"/>
                <w:sz w:val="21"/>
              </w:rPr>
            </w:pPr>
          </w:p>
        </w:tc>
        <w:tc>
          <w:tcPr>
            <w:tcW w:w="457" w:type="pct"/>
            <w:tcBorders>
              <w:tl2br w:val="nil"/>
              <w:tr2bl w:val="nil"/>
            </w:tcBorders>
            <w:noWrap/>
            <w:vAlign w:val="center"/>
          </w:tcPr>
          <w:p w14:paraId="0E5B1115">
            <w:pPr>
              <w:jc w:val="center"/>
              <w:textAlignment w:val="center"/>
              <w:rPr>
                <w:rFonts w:ascii="Times New Roman" w:hAnsi="Times New Roman" w:cs="Times New Roman"/>
                <w:color w:val="auto"/>
                <w:sz w:val="21"/>
              </w:rPr>
            </w:pPr>
          </w:p>
        </w:tc>
        <w:tc>
          <w:tcPr>
            <w:tcW w:w="711" w:type="pct"/>
            <w:tcBorders>
              <w:tl2br w:val="nil"/>
              <w:tr2bl w:val="nil"/>
            </w:tcBorders>
            <w:vAlign w:val="center"/>
          </w:tcPr>
          <w:p w14:paraId="72BB025B">
            <w:pPr>
              <w:jc w:val="center"/>
              <w:textAlignment w:val="center"/>
              <w:rPr>
                <w:rFonts w:ascii="Times New Roman" w:hAnsi="Times New Roman" w:cs="Times New Roman"/>
                <w:color w:val="auto"/>
                <w:sz w:val="21"/>
                <w:lang w:eastAsia="zh-CN" w:bidi="ar"/>
              </w:rPr>
            </w:pPr>
          </w:p>
        </w:tc>
        <w:tc>
          <w:tcPr>
            <w:tcW w:w="598" w:type="pct"/>
            <w:tcBorders>
              <w:tl2br w:val="nil"/>
              <w:tr2bl w:val="nil"/>
            </w:tcBorders>
            <w:noWrap/>
            <w:vAlign w:val="center"/>
          </w:tcPr>
          <w:p w14:paraId="56AB11CB">
            <w:pPr>
              <w:jc w:val="center"/>
              <w:textAlignment w:val="center"/>
              <w:rPr>
                <w:rFonts w:ascii="Times New Roman" w:hAnsi="Times New Roman" w:cs="Times New Roman"/>
                <w:color w:val="auto"/>
                <w:sz w:val="21"/>
              </w:rPr>
            </w:pPr>
          </w:p>
        </w:tc>
        <w:tc>
          <w:tcPr>
            <w:tcW w:w="418" w:type="pct"/>
            <w:tcBorders>
              <w:tl2br w:val="nil"/>
              <w:tr2bl w:val="nil"/>
            </w:tcBorders>
            <w:noWrap/>
            <w:vAlign w:val="center"/>
          </w:tcPr>
          <w:p w14:paraId="7BD6774D">
            <w:pPr>
              <w:jc w:val="center"/>
              <w:textAlignment w:val="center"/>
              <w:rPr>
                <w:rFonts w:ascii="Times New Roman" w:hAnsi="Times New Roman" w:cs="Times New Roman"/>
                <w:color w:val="auto"/>
                <w:sz w:val="21"/>
              </w:rPr>
            </w:pPr>
          </w:p>
        </w:tc>
        <w:tc>
          <w:tcPr>
            <w:tcW w:w="406" w:type="pct"/>
            <w:tcBorders>
              <w:tl2br w:val="nil"/>
              <w:tr2bl w:val="nil"/>
            </w:tcBorders>
            <w:noWrap/>
            <w:vAlign w:val="center"/>
          </w:tcPr>
          <w:p w14:paraId="6DABCE04">
            <w:pPr>
              <w:jc w:val="center"/>
              <w:textAlignment w:val="center"/>
              <w:rPr>
                <w:rFonts w:ascii="Times New Roman" w:hAnsi="Times New Roman" w:cs="Times New Roman"/>
                <w:color w:val="auto"/>
                <w:sz w:val="21"/>
              </w:rPr>
            </w:pPr>
          </w:p>
        </w:tc>
        <w:tc>
          <w:tcPr>
            <w:tcW w:w="379" w:type="pct"/>
            <w:tcBorders>
              <w:tl2br w:val="nil"/>
              <w:tr2bl w:val="nil"/>
            </w:tcBorders>
            <w:noWrap/>
            <w:vAlign w:val="center"/>
          </w:tcPr>
          <w:p w14:paraId="730B51D5">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71EC3E2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jc w:val="center"/>
        </w:trPr>
        <w:tc>
          <w:tcPr>
            <w:tcW w:w="205" w:type="pct"/>
            <w:vMerge w:val="restart"/>
            <w:tcBorders>
              <w:tl2br w:val="nil"/>
              <w:tr2bl w:val="nil"/>
            </w:tcBorders>
            <w:noWrap/>
            <w:vAlign w:val="center"/>
          </w:tcPr>
          <w:p w14:paraId="65AC6BCF">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3</w:t>
            </w:r>
          </w:p>
        </w:tc>
        <w:tc>
          <w:tcPr>
            <w:tcW w:w="332" w:type="pct"/>
            <w:vMerge w:val="restart"/>
            <w:tcBorders>
              <w:tl2br w:val="nil"/>
              <w:tr2bl w:val="nil"/>
            </w:tcBorders>
            <w:noWrap/>
            <w:vAlign w:val="center"/>
          </w:tcPr>
          <w:p w14:paraId="22B0D80B">
            <w:pPr>
              <w:jc w:val="center"/>
              <w:textAlignment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大柏小学</w:t>
            </w:r>
          </w:p>
        </w:tc>
        <w:tc>
          <w:tcPr>
            <w:tcW w:w="427" w:type="pct"/>
            <w:tcBorders>
              <w:tl2br w:val="nil"/>
              <w:tr2bl w:val="nil"/>
            </w:tcBorders>
            <w:noWrap/>
            <w:vAlign w:val="center"/>
          </w:tcPr>
          <w:p w14:paraId="05867901">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1小时</w:t>
            </w:r>
          </w:p>
        </w:tc>
        <w:tc>
          <w:tcPr>
            <w:tcW w:w="443" w:type="pct"/>
            <w:tcBorders>
              <w:tl2br w:val="nil"/>
              <w:tr2bl w:val="nil"/>
            </w:tcBorders>
            <w:noWrap/>
            <w:vAlign w:val="center"/>
          </w:tcPr>
          <w:p w14:paraId="12DCC181">
            <w:pPr>
              <w:jc w:val="center"/>
              <w:textAlignment w:val="center"/>
              <w:rPr>
                <w:rFonts w:ascii="Times New Roman" w:hAnsi="Times New Roman" w:cs="Times New Roman"/>
                <w:color w:val="auto"/>
                <w:sz w:val="21"/>
              </w:rPr>
            </w:pPr>
          </w:p>
        </w:tc>
        <w:tc>
          <w:tcPr>
            <w:tcW w:w="623" w:type="pct"/>
            <w:tcBorders>
              <w:tl2br w:val="nil"/>
              <w:tr2bl w:val="nil"/>
            </w:tcBorders>
            <w:noWrap/>
            <w:vAlign w:val="center"/>
          </w:tcPr>
          <w:p w14:paraId="39F836CC">
            <w:pPr>
              <w:jc w:val="center"/>
              <w:textAlignment w:val="center"/>
              <w:rPr>
                <w:rFonts w:ascii="Times New Roman" w:hAnsi="Times New Roman" w:cs="Times New Roman"/>
                <w:color w:val="auto"/>
                <w:sz w:val="21"/>
              </w:rPr>
            </w:pPr>
          </w:p>
        </w:tc>
        <w:tc>
          <w:tcPr>
            <w:tcW w:w="457" w:type="pct"/>
            <w:tcBorders>
              <w:tl2br w:val="nil"/>
              <w:tr2bl w:val="nil"/>
            </w:tcBorders>
            <w:noWrap/>
            <w:vAlign w:val="center"/>
          </w:tcPr>
          <w:p w14:paraId="025B0E26">
            <w:pPr>
              <w:jc w:val="center"/>
              <w:textAlignment w:val="center"/>
              <w:rPr>
                <w:rFonts w:ascii="Times New Roman" w:hAnsi="Times New Roman" w:cs="Times New Roman"/>
                <w:color w:val="auto"/>
                <w:sz w:val="21"/>
              </w:rPr>
            </w:pPr>
          </w:p>
        </w:tc>
        <w:tc>
          <w:tcPr>
            <w:tcW w:w="711" w:type="pct"/>
            <w:tcBorders>
              <w:tl2br w:val="nil"/>
              <w:tr2bl w:val="nil"/>
            </w:tcBorders>
            <w:vAlign w:val="center"/>
          </w:tcPr>
          <w:p w14:paraId="07119575">
            <w:pPr>
              <w:jc w:val="center"/>
              <w:textAlignment w:val="center"/>
              <w:rPr>
                <w:rFonts w:ascii="Times New Roman" w:hAnsi="Times New Roman" w:cs="Times New Roman"/>
                <w:color w:val="auto"/>
                <w:sz w:val="21"/>
                <w:lang w:eastAsia="zh-CN" w:bidi="ar"/>
              </w:rPr>
            </w:pPr>
          </w:p>
        </w:tc>
        <w:tc>
          <w:tcPr>
            <w:tcW w:w="598" w:type="pct"/>
            <w:tcBorders>
              <w:tl2br w:val="nil"/>
              <w:tr2bl w:val="nil"/>
            </w:tcBorders>
            <w:noWrap/>
            <w:vAlign w:val="center"/>
          </w:tcPr>
          <w:p w14:paraId="7A3A79B4">
            <w:pPr>
              <w:jc w:val="center"/>
              <w:textAlignment w:val="center"/>
              <w:rPr>
                <w:rFonts w:ascii="Times New Roman" w:hAnsi="Times New Roman" w:cs="Times New Roman"/>
                <w:color w:val="auto"/>
                <w:sz w:val="21"/>
              </w:rPr>
            </w:pPr>
          </w:p>
        </w:tc>
        <w:tc>
          <w:tcPr>
            <w:tcW w:w="418" w:type="pct"/>
            <w:tcBorders>
              <w:tl2br w:val="nil"/>
              <w:tr2bl w:val="nil"/>
            </w:tcBorders>
            <w:noWrap/>
            <w:vAlign w:val="center"/>
          </w:tcPr>
          <w:p w14:paraId="305BED8C">
            <w:pPr>
              <w:jc w:val="center"/>
              <w:textAlignment w:val="center"/>
              <w:rPr>
                <w:rFonts w:ascii="Times New Roman" w:hAnsi="Times New Roman" w:cs="Times New Roman"/>
                <w:color w:val="auto"/>
                <w:sz w:val="21"/>
              </w:rPr>
            </w:pPr>
          </w:p>
        </w:tc>
        <w:tc>
          <w:tcPr>
            <w:tcW w:w="406" w:type="pct"/>
            <w:tcBorders>
              <w:tl2br w:val="nil"/>
              <w:tr2bl w:val="nil"/>
            </w:tcBorders>
            <w:noWrap/>
            <w:vAlign w:val="center"/>
          </w:tcPr>
          <w:p w14:paraId="51B4E7B4">
            <w:pPr>
              <w:jc w:val="center"/>
              <w:textAlignment w:val="center"/>
              <w:rPr>
                <w:rFonts w:ascii="Times New Roman" w:hAnsi="Times New Roman" w:cs="Times New Roman"/>
                <w:color w:val="auto"/>
                <w:sz w:val="21"/>
              </w:rPr>
            </w:pPr>
          </w:p>
        </w:tc>
        <w:tc>
          <w:tcPr>
            <w:tcW w:w="379" w:type="pct"/>
            <w:tcBorders>
              <w:tl2br w:val="nil"/>
              <w:tr2bl w:val="nil"/>
            </w:tcBorders>
            <w:noWrap/>
            <w:vAlign w:val="center"/>
          </w:tcPr>
          <w:p w14:paraId="2429C80C">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060BFCF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jc w:val="center"/>
        </w:trPr>
        <w:tc>
          <w:tcPr>
            <w:tcW w:w="205" w:type="pct"/>
            <w:vMerge w:val="continue"/>
            <w:tcBorders>
              <w:tl2br w:val="nil"/>
              <w:tr2bl w:val="nil"/>
            </w:tcBorders>
            <w:noWrap/>
            <w:vAlign w:val="center"/>
          </w:tcPr>
          <w:p w14:paraId="0F19A7E1">
            <w:pPr>
              <w:jc w:val="center"/>
              <w:rPr>
                <w:rFonts w:ascii="Times New Roman" w:hAnsi="Times New Roman" w:cs="Times New Roman"/>
                <w:color w:val="auto"/>
                <w:sz w:val="21"/>
              </w:rPr>
            </w:pPr>
          </w:p>
        </w:tc>
        <w:tc>
          <w:tcPr>
            <w:tcW w:w="332" w:type="pct"/>
            <w:vMerge w:val="continue"/>
            <w:tcBorders>
              <w:tl2br w:val="nil"/>
              <w:tr2bl w:val="nil"/>
            </w:tcBorders>
            <w:noWrap/>
            <w:vAlign w:val="center"/>
          </w:tcPr>
          <w:p w14:paraId="664A1550">
            <w:pPr>
              <w:jc w:val="center"/>
              <w:rPr>
                <w:rFonts w:ascii="Times New Roman" w:hAnsi="Times New Roman" w:cs="Times New Roman"/>
                <w:color w:val="auto"/>
                <w:sz w:val="21"/>
              </w:rPr>
            </w:pPr>
          </w:p>
        </w:tc>
        <w:tc>
          <w:tcPr>
            <w:tcW w:w="427" w:type="pct"/>
            <w:tcBorders>
              <w:tl2br w:val="nil"/>
              <w:tr2bl w:val="nil"/>
            </w:tcBorders>
            <w:noWrap/>
            <w:vAlign w:val="center"/>
          </w:tcPr>
          <w:p w14:paraId="5322A25E">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日平均</w:t>
            </w:r>
          </w:p>
        </w:tc>
        <w:tc>
          <w:tcPr>
            <w:tcW w:w="443" w:type="pct"/>
            <w:tcBorders>
              <w:tl2br w:val="nil"/>
              <w:tr2bl w:val="nil"/>
            </w:tcBorders>
            <w:noWrap/>
            <w:vAlign w:val="center"/>
          </w:tcPr>
          <w:p w14:paraId="72BBE03D">
            <w:pPr>
              <w:jc w:val="center"/>
              <w:textAlignment w:val="center"/>
              <w:rPr>
                <w:rFonts w:ascii="Times New Roman" w:hAnsi="Times New Roman" w:cs="Times New Roman"/>
                <w:color w:val="auto"/>
                <w:sz w:val="21"/>
              </w:rPr>
            </w:pPr>
          </w:p>
        </w:tc>
        <w:tc>
          <w:tcPr>
            <w:tcW w:w="623" w:type="pct"/>
            <w:tcBorders>
              <w:tl2br w:val="nil"/>
              <w:tr2bl w:val="nil"/>
            </w:tcBorders>
            <w:noWrap/>
            <w:vAlign w:val="center"/>
          </w:tcPr>
          <w:p w14:paraId="2C967A2C">
            <w:pPr>
              <w:jc w:val="center"/>
              <w:textAlignment w:val="center"/>
              <w:rPr>
                <w:rFonts w:ascii="Times New Roman" w:hAnsi="Times New Roman" w:cs="Times New Roman"/>
                <w:color w:val="auto"/>
                <w:sz w:val="21"/>
              </w:rPr>
            </w:pPr>
          </w:p>
        </w:tc>
        <w:tc>
          <w:tcPr>
            <w:tcW w:w="457" w:type="pct"/>
            <w:tcBorders>
              <w:tl2br w:val="nil"/>
              <w:tr2bl w:val="nil"/>
            </w:tcBorders>
            <w:noWrap/>
            <w:vAlign w:val="center"/>
          </w:tcPr>
          <w:p w14:paraId="23D9C71F">
            <w:pPr>
              <w:jc w:val="center"/>
              <w:textAlignment w:val="center"/>
              <w:rPr>
                <w:rFonts w:ascii="Times New Roman" w:hAnsi="Times New Roman" w:cs="Times New Roman"/>
                <w:color w:val="auto"/>
                <w:sz w:val="21"/>
              </w:rPr>
            </w:pPr>
          </w:p>
        </w:tc>
        <w:tc>
          <w:tcPr>
            <w:tcW w:w="711" w:type="pct"/>
            <w:tcBorders>
              <w:tl2br w:val="nil"/>
              <w:tr2bl w:val="nil"/>
            </w:tcBorders>
            <w:vAlign w:val="center"/>
          </w:tcPr>
          <w:p w14:paraId="26BBA3F7">
            <w:pPr>
              <w:jc w:val="center"/>
              <w:textAlignment w:val="center"/>
              <w:rPr>
                <w:rFonts w:ascii="Times New Roman" w:hAnsi="Times New Roman" w:cs="Times New Roman"/>
                <w:color w:val="auto"/>
                <w:sz w:val="21"/>
                <w:lang w:eastAsia="zh-CN" w:bidi="ar"/>
              </w:rPr>
            </w:pPr>
          </w:p>
        </w:tc>
        <w:tc>
          <w:tcPr>
            <w:tcW w:w="598" w:type="pct"/>
            <w:tcBorders>
              <w:tl2br w:val="nil"/>
              <w:tr2bl w:val="nil"/>
            </w:tcBorders>
            <w:noWrap/>
            <w:vAlign w:val="center"/>
          </w:tcPr>
          <w:p w14:paraId="74B8C1A2">
            <w:pPr>
              <w:jc w:val="center"/>
              <w:textAlignment w:val="center"/>
              <w:rPr>
                <w:rFonts w:ascii="Times New Roman" w:hAnsi="Times New Roman" w:cs="Times New Roman"/>
                <w:color w:val="auto"/>
                <w:sz w:val="21"/>
              </w:rPr>
            </w:pPr>
          </w:p>
        </w:tc>
        <w:tc>
          <w:tcPr>
            <w:tcW w:w="418" w:type="pct"/>
            <w:tcBorders>
              <w:tl2br w:val="nil"/>
              <w:tr2bl w:val="nil"/>
            </w:tcBorders>
            <w:noWrap/>
            <w:vAlign w:val="center"/>
          </w:tcPr>
          <w:p w14:paraId="6EE947BA">
            <w:pPr>
              <w:jc w:val="center"/>
              <w:textAlignment w:val="center"/>
              <w:rPr>
                <w:rFonts w:ascii="Times New Roman" w:hAnsi="Times New Roman" w:cs="Times New Roman"/>
                <w:color w:val="auto"/>
                <w:sz w:val="21"/>
              </w:rPr>
            </w:pPr>
          </w:p>
        </w:tc>
        <w:tc>
          <w:tcPr>
            <w:tcW w:w="406" w:type="pct"/>
            <w:tcBorders>
              <w:tl2br w:val="nil"/>
              <w:tr2bl w:val="nil"/>
            </w:tcBorders>
            <w:noWrap/>
            <w:vAlign w:val="center"/>
          </w:tcPr>
          <w:p w14:paraId="0671AFB9">
            <w:pPr>
              <w:jc w:val="center"/>
              <w:textAlignment w:val="center"/>
              <w:rPr>
                <w:rFonts w:ascii="Times New Roman" w:hAnsi="Times New Roman" w:cs="Times New Roman"/>
                <w:color w:val="auto"/>
                <w:sz w:val="21"/>
                <w:lang w:eastAsia="zh-CN"/>
              </w:rPr>
            </w:pPr>
          </w:p>
        </w:tc>
        <w:tc>
          <w:tcPr>
            <w:tcW w:w="379" w:type="pct"/>
            <w:tcBorders>
              <w:tl2br w:val="nil"/>
              <w:tr2bl w:val="nil"/>
            </w:tcBorders>
            <w:noWrap/>
            <w:vAlign w:val="center"/>
          </w:tcPr>
          <w:p w14:paraId="526EF724">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37782B1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jc w:val="center"/>
        </w:trPr>
        <w:tc>
          <w:tcPr>
            <w:tcW w:w="205" w:type="pct"/>
            <w:vMerge w:val="restart"/>
            <w:tcBorders>
              <w:tl2br w:val="nil"/>
              <w:tr2bl w:val="nil"/>
            </w:tcBorders>
            <w:noWrap/>
            <w:vAlign w:val="center"/>
          </w:tcPr>
          <w:p w14:paraId="5E45277E">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4</w:t>
            </w:r>
          </w:p>
        </w:tc>
        <w:tc>
          <w:tcPr>
            <w:tcW w:w="332" w:type="pct"/>
            <w:vMerge w:val="restart"/>
            <w:tcBorders>
              <w:tl2br w:val="nil"/>
              <w:tr2bl w:val="nil"/>
            </w:tcBorders>
            <w:noWrap/>
            <w:vAlign w:val="center"/>
          </w:tcPr>
          <w:p w14:paraId="1E0904A9">
            <w:pPr>
              <w:jc w:val="center"/>
              <w:textAlignment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夏家湖</w:t>
            </w:r>
          </w:p>
        </w:tc>
        <w:tc>
          <w:tcPr>
            <w:tcW w:w="427" w:type="pct"/>
            <w:tcBorders>
              <w:tl2br w:val="nil"/>
              <w:tr2bl w:val="nil"/>
            </w:tcBorders>
            <w:noWrap/>
            <w:vAlign w:val="center"/>
          </w:tcPr>
          <w:p w14:paraId="5982654C">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1小时</w:t>
            </w:r>
          </w:p>
        </w:tc>
        <w:tc>
          <w:tcPr>
            <w:tcW w:w="443" w:type="pct"/>
            <w:tcBorders>
              <w:tl2br w:val="nil"/>
              <w:tr2bl w:val="nil"/>
            </w:tcBorders>
            <w:noWrap/>
            <w:vAlign w:val="center"/>
          </w:tcPr>
          <w:p w14:paraId="7A7505F9">
            <w:pPr>
              <w:jc w:val="center"/>
              <w:textAlignment w:val="center"/>
              <w:rPr>
                <w:rFonts w:ascii="Times New Roman" w:hAnsi="Times New Roman" w:cs="Times New Roman"/>
                <w:color w:val="auto"/>
                <w:sz w:val="21"/>
              </w:rPr>
            </w:pPr>
          </w:p>
        </w:tc>
        <w:tc>
          <w:tcPr>
            <w:tcW w:w="623" w:type="pct"/>
            <w:tcBorders>
              <w:tl2br w:val="nil"/>
              <w:tr2bl w:val="nil"/>
            </w:tcBorders>
            <w:noWrap/>
            <w:vAlign w:val="center"/>
          </w:tcPr>
          <w:p w14:paraId="76731AD6">
            <w:pPr>
              <w:jc w:val="center"/>
              <w:textAlignment w:val="center"/>
              <w:rPr>
                <w:rFonts w:ascii="Times New Roman" w:hAnsi="Times New Roman" w:cs="Times New Roman"/>
                <w:color w:val="auto"/>
                <w:sz w:val="21"/>
              </w:rPr>
            </w:pPr>
          </w:p>
        </w:tc>
        <w:tc>
          <w:tcPr>
            <w:tcW w:w="457" w:type="pct"/>
            <w:tcBorders>
              <w:tl2br w:val="nil"/>
              <w:tr2bl w:val="nil"/>
            </w:tcBorders>
            <w:noWrap/>
            <w:vAlign w:val="center"/>
          </w:tcPr>
          <w:p w14:paraId="38D98DD6">
            <w:pPr>
              <w:jc w:val="center"/>
              <w:textAlignment w:val="center"/>
              <w:rPr>
                <w:rFonts w:ascii="Times New Roman" w:hAnsi="Times New Roman" w:cs="Times New Roman"/>
                <w:color w:val="auto"/>
                <w:sz w:val="21"/>
              </w:rPr>
            </w:pPr>
          </w:p>
        </w:tc>
        <w:tc>
          <w:tcPr>
            <w:tcW w:w="711" w:type="pct"/>
            <w:tcBorders>
              <w:tl2br w:val="nil"/>
              <w:tr2bl w:val="nil"/>
            </w:tcBorders>
            <w:vAlign w:val="center"/>
          </w:tcPr>
          <w:p w14:paraId="70929864">
            <w:pPr>
              <w:jc w:val="center"/>
              <w:textAlignment w:val="center"/>
              <w:rPr>
                <w:rFonts w:ascii="Times New Roman" w:hAnsi="Times New Roman" w:cs="Times New Roman"/>
                <w:color w:val="auto"/>
                <w:sz w:val="21"/>
                <w:lang w:eastAsia="zh-CN" w:bidi="ar"/>
              </w:rPr>
            </w:pPr>
          </w:p>
        </w:tc>
        <w:tc>
          <w:tcPr>
            <w:tcW w:w="598" w:type="pct"/>
            <w:tcBorders>
              <w:tl2br w:val="nil"/>
              <w:tr2bl w:val="nil"/>
            </w:tcBorders>
            <w:noWrap/>
            <w:vAlign w:val="center"/>
          </w:tcPr>
          <w:p w14:paraId="0D231B98">
            <w:pPr>
              <w:jc w:val="center"/>
              <w:textAlignment w:val="center"/>
              <w:rPr>
                <w:rFonts w:ascii="Times New Roman" w:hAnsi="Times New Roman" w:cs="Times New Roman"/>
                <w:color w:val="auto"/>
                <w:sz w:val="21"/>
              </w:rPr>
            </w:pPr>
          </w:p>
        </w:tc>
        <w:tc>
          <w:tcPr>
            <w:tcW w:w="418" w:type="pct"/>
            <w:tcBorders>
              <w:tl2br w:val="nil"/>
              <w:tr2bl w:val="nil"/>
            </w:tcBorders>
            <w:noWrap/>
            <w:vAlign w:val="center"/>
          </w:tcPr>
          <w:p w14:paraId="16E64953">
            <w:pPr>
              <w:jc w:val="center"/>
              <w:textAlignment w:val="center"/>
              <w:rPr>
                <w:rFonts w:ascii="Times New Roman" w:hAnsi="Times New Roman" w:cs="Times New Roman"/>
                <w:color w:val="auto"/>
                <w:sz w:val="21"/>
              </w:rPr>
            </w:pPr>
          </w:p>
        </w:tc>
        <w:tc>
          <w:tcPr>
            <w:tcW w:w="406" w:type="pct"/>
            <w:tcBorders>
              <w:tl2br w:val="nil"/>
              <w:tr2bl w:val="nil"/>
            </w:tcBorders>
            <w:noWrap/>
            <w:vAlign w:val="center"/>
          </w:tcPr>
          <w:p w14:paraId="1B97A3FC">
            <w:pPr>
              <w:jc w:val="center"/>
              <w:textAlignment w:val="center"/>
              <w:rPr>
                <w:rFonts w:ascii="Times New Roman" w:hAnsi="Times New Roman" w:cs="Times New Roman"/>
                <w:color w:val="auto"/>
                <w:sz w:val="21"/>
              </w:rPr>
            </w:pPr>
          </w:p>
        </w:tc>
        <w:tc>
          <w:tcPr>
            <w:tcW w:w="379" w:type="pct"/>
            <w:tcBorders>
              <w:tl2br w:val="nil"/>
              <w:tr2bl w:val="nil"/>
            </w:tcBorders>
            <w:noWrap/>
            <w:vAlign w:val="center"/>
          </w:tcPr>
          <w:p w14:paraId="237AC22E">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2C7AA46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jc w:val="center"/>
        </w:trPr>
        <w:tc>
          <w:tcPr>
            <w:tcW w:w="205" w:type="pct"/>
            <w:vMerge w:val="continue"/>
            <w:tcBorders>
              <w:tl2br w:val="nil"/>
              <w:tr2bl w:val="nil"/>
            </w:tcBorders>
            <w:noWrap/>
            <w:vAlign w:val="center"/>
          </w:tcPr>
          <w:p w14:paraId="1818E22D">
            <w:pPr>
              <w:jc w:val="center"/>
              <w:rPr>
                <w:rFonts w:ascii="Times New Roman" w:hAnsi="Times New Roman" w:cs="Times New Roman"/>
                <w:color w:val="auto"/>
                <w:sz w:val="21"/>
              </w:rPr>
            </w:pPr>
          </w:p>
        </w:tc>
        <w:tc>
          <w:tcPr>
            <w:tcW w:w="332" w:type="pct"/>
            <w:vMerge w:val="continue"/>
            <w:tcBorders>
              <w:tl2br w:val="nil"/>
              <w:tr2bl w:val="nil"/>
            </w:tcBorders>
            <w:noWrap/>
            <w:vAlign w:val="center"/>
          </w:tcPr>
          <w:p w14:paraId="0DA99844">
            <w:pPr>
              <w:jc w:val="center"/>
              <w:rPr>
                <w:rFonts w:ascii="Times New Roman" w:hAnsi="Times New Roman" w:cs="Times New Roman"/>
                <w:color w:val="auto"/>
                <w:sz w:val="21"/>
              </w:rPr>
            </w:pPr>
          </w:p>
        </w:tc>
        <w:tc>
          <w:tcPr>
            <w:tcW w:w="427" w:type="pct"/>
            <w:tcBorders>
              <w:tl2br w:val="nil"/>
              <w:tr2bl w:val="nil"/>
            </w:tcBorders>
            <w:noWrap/>
            <w:vAlign w:val="center"/>
          </w:tcPr>
          <w:p w14:paraId="2F43C665">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日平均</w:t>
            </w:r>
          </w:p>
        </w:tc>
        <w:tc>
          <w:tcPr>
            <w:tcW w:w="443" w:type="pct"/>
            <w:tcBorders>
              <w:tl2br w:val="nil"/>
              <w:tr2bl w:val="nil"/>
            </w:tcBorders>
            <w:noWrap/>
            <w:vAlign w:val="center"/>
          </w:tcPr>
          <w:p w14:paraId="561ED061">
            <w:pPr>
              <w:jc w:val="center"/>
              <w:textAlignment w:val="center"/>
              <w:rPr>
                <w:rFonts w:ascii="Times New Roman" w:hAnsi="Times New Roman" w:cs="Times New Roman"/>
                <w:color w:val="auto"/>
                <w:sz w:val="21"/>
              </w:rPr>
            </w:pPr>
          </w:p>
        </w:tc>
        <w:tc>
          <w:tcPr>
            <w:tcW w:w="623" w:type="pct"/>
            <w:tcBorders>
              <w:tl2br w:val="nil"/>
              <w:tr2bl w:val="nil"/>
            </w:tcBorders>
            <w:noWrap/>
            <w:vAlign w:val="center"/>
          </w:tcPr>
          <w:p w14:paraId="772D0236">
            <w:pPr>
              <w:jc w:val="center"/>
              <w:textAlignment w:val="center"/>
              <w:rPr>
                <w:rFonts w:ascii="Times New Roman" w:hAnsi="Times New Roman" w:cs="Times New Roman"/>
                <w:color w:val="auto"/>
                <w:sz w:val="21"/>
              </w:rPr>
            </w:pPr>
          </w:p>
        </w:tc>
        <w:tc>
          <w:tcPr>
            <w:tcW w:w="457" w:type="pct"/>
            <w:tcBorders>
              <w:tl2br w:val="nil"/>
              <w:tr2bl w:val="nil"/>
            </w:tcBorders>
            <w:noWrap/>
            <w:vAlign w:val="center"/>
          </w:tcPr>
          <w:p w14:paraId="14BABDD1">
            <w:pPr>
              <w:jc w:val="center"/>
              <w:textAlignment w:val="center"/>
              <w:rPr>
                <w:rFonts w:ascii="Times New Roman" w:hAnsi="Times New Roman" w:cs="Times New Roman"/>
                <w:color w:val="auto"/>
                <w:sz w:val="21"/>
              </w:rPr>
            </w:pPr>
          </w:p>
        </w:tc>
        <w:tc>
          <w:tcPr>
            <w:tcW w:w="711" w:type="pct"/>
            <w:tcBorders>
              <w:tl2br w:val="nil"/>
              <w:tr2bl w:val="nil"/>
            </w:tcBorders>
            <w:vAlign w:val="center"/>
          </w:tcPr>
          <w:p w14:paraId="1D7B9FD1">
            <w:pPr>
              <w:jc w:val="center"/>
              <w:textAlignment w:val="center"/>
              <w:rPr>
                <w:rFonts w:ascii="Times New Roman" w:hAnsi="Times New Roman" w:cs="Times New Roman"/>
                <w:color w:val="auto"/>
                <w:sz w:val="21"/>
                <w:lang w:eastAsia="zh-CN" w:bidi="ar"/>
              </w:rPr>
            </w:pPr>
          </w:p>
        </w:tc>
        <w:tc>
          <w:tcPr>
            <w:tcW w:w="598" w:type="pct"/>
            <w:tcBorders>
              <w:tl2br w:val="nil"/>
              <w:tr2bl w:val="nil"/>
            </w:tcBorders>
            <w:noWrap/>
            <w:vAlign w:val="center"/>
          </w:tcPr>
          <w:p w14:paraId="5B10B97D">
            <w:pPr>
              <w:jc w:val="center"/>
              <w:textAlignment w:val="center"/>
              <w:rPr>
                <w:rFonts w:ascii="Times New Roman" w:hAnsi="Times New Roman" w:cs="Times New Roman"/>
                <w:color w:val="auto"/>
                <w:sz w:val="21"/>
              </w:rPr>
            </w:pPr>
          </w:p>
        </w:tc>
        <w:tc>
          <w:tcPr>
            <w:tcW w:w="418" w:type="pct"/>
            <w:tcBorders>
              <w:tl2br w:val="nil"/>
              <w:tr2bl w:val="nil"/>
            </w:tcBorders>
            <w:noWrap/>
            <w:vAlign w:val="center"/>
          </w:tcPr>
          <w:p w14:paraId="2BA8E3F3">
            <w:pPr>
              <w:jc w:val="center"/>
              <w:textAlignment w:val="center"/>
              <w:rPr>
                <w:rFonts w:ascii="Times New Roman" w:hAnsi="Times New Roman" w:cs="Times New Roman"/>
                <w:color w:val="auto"/>
                <w:sz w:val="21"/>
              </w:rPr>
            </w:pPr>
          </w:p>
        </w:tc>
        <w:tc>
          <w:tcPr>
            <w:tcW w:w="406" w:type="pct"/>
            <w:tcBorders>
              <w:tl2br w:val="nil"/>
              <w:tr2bl w:val="nil"/>
            </w:tcBorders>
            <w:noWrap/>
            <w:vAlign w:val="center"/>
          </w:tcPr>
          <w:p w14:paraId="093DBE91">
            <w:pPr>
              <w:jc w:val="center"/>
              <w:textAlignment w:val="center"/>
              <w:rPr>
                <w:rFonts w:ascii="Times New Roman" w:hAnsi="Times New Roman" w:cs="Times New Roman"/>
                <w:color w:val="auto"/>
                <w:sz w:val="21"/>
                <w:lang w:eastAsia="zh-CN"/>
              </w:rPr>
            </w:pPr>
          </w:p>
        </w:tc>
        <w:tc>
          <w:tcPr>
            <w:tcW w:w="379" w:type="pct"/>
            <w:tcBorders>
              <w:tl2br w:val="nil"/>
              <w:tr2bl w:val="nil"/>
            </w:tcBorders>
            <w:noWrap/>
            <w:vAlign w:val="center"/>
          </w:tcPr>
          <w:p w14:paraId="20C479A0">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54F1EAE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jc w:val="center"/>
        </w:trPr>
        <w:tc>
          <w:tcPr>
            <w:tcW w:w="205" w:type="pct"/>
            <w:vMerge w:val="restart"/>
            <w:tcBorders>
              <w:tl2br w:val="nil"/>
              <w:tr2bl w:val="nil"/>
            </w:tcBorders>
            <w:noWrap/>
            <w:vAlign w:val="center"/>
          </w:tcPr>
          <w:p w14:paraId="70BC0A82">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5</w:t>
            </w:r>
          </w:p>
        </w:tc>
        <w:tc>
          <w:tcPr>
            <w:tcW w:w="332" w:type="pct"/>
            <w:vMerge w:val="restart"/>
            <w:tcBorders>
              <w:tl2br w:val="nil"/>
              <w:tr2bl w:val="nil"/>
            </w:tcBorders>
            <w:noWrap/>
            <w:vAlign w:val="center"/>
          </w:tcPr>
          <w:p w14:paraId="78EC1B2E">
            <w:pPr>
              <w:jc w:val="center"/>
              <w:textAlignment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高王家</w:t>
            </w:r>
          </w:p>
        </w:tc>
        <w:tc>
          <w:tcPr>
            <w:tcW w:w="427" w:type="pct"/>
            <w:tcBorders>
              <w:tl2br w:val="nil"/>
              <w:tr2bl w:val="nil"/>
            </w:tcBorders>
            <w:noWrap/>
            <w:vAlign w:val="center"/>
          </w:tcPr>
          <w:p w14:paraId="47C65577">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1小时</w:t>
            </w:r>
          </w:p>
        </w:tc>
        <w:tc>
          <w:tcPr>
            <w:tcW w:w="443" w:type="pct"/>
            <w:tcBorders>
              <w:tl2br w:val="nil"/>
              <w:tr2bl w:val="nil"/>
            </w:tcBorders>
            <w:noWrap/>
            <w:vAlign w:val="center"/>
          </w:tcPr>
          <w:p w14:paraId="1EC9A26E">
            <w:pPr>
              <w:jc w:val="center"/>
              <w:textAlignment w:val="center"/>
              <w:rPr>
                <w:rFonts w:ascii="Times New Roman" w:hAnsi="Times New Roman" w:cs="Times New Roman"/>
                <w:color w:val="auto"/>
                <w:sz w:val="21"/>
              </w:rPr>
            </w:pPr>
          </w:p>
        </w:tc>
        <w:tc>
          <w:tcPr>
            <w:tcW w:w="623" w:type="pct"/>
            <w:tcBorders>
              <w:tl2br w:val="nil"/>
              <w:tr2bl w:val="nil"/>
            </w:tcBorders>
            <w:noWrap/>
            <w:vAlign w:val="center"/>
          </w:tcPr>
          <w:p w14:paraId="38691487">
            <w:pPr>
              <w:jc w:val="center"/>
              <w:textAlignment w:val="center"/>
              <w:rPr>
                <w:rFonts w:ascii="Times New Roman" w:hAnsi="Times New Roman" w:cs="Times New Roman"/>
                <w:color w:val="auto"/>
                <w:sz w:val="21"/>
              </w:rPr>
            </w:pPr>
          </w:p>
        </w:tc>
        <w:tc>
          <w:tcPr>
            <w:tcW w:w="457" w:type="pct"/>
            <w:tcBorders>
              <w:tl2br w:val="nil"/>
              <w:tr2bl w:val="nil"/>
            </w:tcBorders>
            <w:noWrap/>
            <w:vAlign w:val="center"/>
          </w:tcPr>
          <w:p w14:paraId="32454C38">
            <w:pPr>
              <w:jc w:val="center"/>
              <w:textAlignment w:val="center"/>
              <w:rPr>
                <w:rFonts w:ascii="Times New Roman" w:hAnsi="Times New Roman" w:cs="Times New Roman"/>
                <w:color w:val="auto"/>
                <w:sz w:val="21"/>
              </w:rPr>
            </w:pPr>
          </w:p>
        </w:tc>
        <w:tc>
          <w:tcPr>
            <w:tcW w:w="711" w:type="pct"/>
            <w:tcBorders>
              <w:tl2br w:val="nil"/>
              <w:tr2bl w:val="nil"/>
            </w:tcBorders>
            <w:vAlign w:val="center"/>
          </w:tcPr>
          <w:p w14:paraId="130AD263">
            <w:pPr>
              <w:jc w:val="center"/>
              <w:textAlignment w:val="center"/>
              <w:rPr>
                <w:rFonts w:ascii="Times New Roman" w:hAnsi="Times New Roman" w:cs="Times New Roman"/>
                <w:color w:val="auto"/>
                <w:sz w:val="21"/>
                <w:lang w:eastAsia="zh-CN" w:bidi="ar"/>
              </w:rPr>
            </w:pPr>
          </w:p>
        </w:tc>
        <w:tc>
          <w:tcPr>
            <w:tcW w:w="598" w:type="pct"/>
            <w:tcBorders>
              <w:tl2br w:val="nil"/>
              <w:tr2bl w:val="nil"/>
            </w:tcBorders>
            <w:noWrap/>
            <w:vAlign w:val="center"/>
          </w:tcPr>
          <w:p w14:paraId="2789DDA2">
            <w:pPr>
              <w:jc w:val="center"/>
              <w:textAlignment w:val="center"/>
              <w:rPr>
                <w:rFonts w:ascii="Times New Roman" w:hAnsi="Times New Roman" w:cs="Times New Roman"/>
                <w:color w:val="auto"/>
                <w:sz w:val="21"/>
              </w:rPr>
            </w:pPr>
          </w:p>
        </w:tc>
        <w:tc>
          <w:tcPr>
            <w:tcW w:w="418" w:type="pct"/>
            <w:tcBorders>
              <w:tl2br w:val="nil"/>
              <w:tr2bl w:val="nil"/>
            </w:tcBorders>
            <w:noWrap/>
            <w:vAlign w:val="center"/>
          </w:tcPr>
          <w:p w14:paraId="6F0848CB">
            <w:pPr>
              <w:jc w:val="center"/>
              <w:textAlignment w:val="center"/>
              <w:rPr>
                <w:rFonts w:ascii="Times New Roman" w:hAnsi="Times New Roman" w:cs="Times New Roman"/>
                <w:color w:val="auto"/>
                <w:sz w:val="21"/>
              </w:rPr>
            </w:pPr>
          </w:p>
        </w:tc>
        <w:tc>
          <w:tcPr>
            <w:tcW w:w="406" w:type="pct"/>
            <w:tcBorders>
              <w:tl2br w:val="nil"/>
              <w:tr2bl w:val="nil"/>
            </w:tcBorders>
            <w:noWrap/>
            <w:vAlign w:val="center"/>
          </w:tcPr>
          <w:p w14:paraId="2BDD95C0">
            <w:pPr>
              <w:jc w:val="center"/>
              <w:textAlignment w:val="center"/>
              <w:rPr>
                <w:rFonts w:ascii="Times New Roman" w:hAnsi="Times New Roman" w:cs="Times New Roman"/>
                <w:color w:val="auto"/>
                <w:sz w:val="21"/>
              </w:rPr>
            </w:pPr>
          </w:p>
        </w:tc>
        <w:tc>
          <w:tcPr>
            <w:tcW w:w="379" w:type="pct"/>
            <w:tcBorders>
              <w:tl2br w:val="nil"/>
              <w:tr2bl w:val="nil"/>
            </w:tcBorders>
            <w:noWrap/>
            <w:vAlign w:val="center"/>
          </w:tcPr>
          <w:p w14:paraId="6EC69FEB">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131C6B7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jc w:val="center"/>
        </w:trPr>
        <w:tc>
          <w:tcPr>
            <w:tcW w:w="205" w:type="pct"/>
            <w:vMerge w:val="continue"/>
            <w:tcBorders>
              <w:tl2br w:val="nil"/>
              <w:tr2bl w:val="nil"/>
            </w:tcBorders>
            <w:noWrap/>
            <w:vAlign w:val="center"/>
          </w:tcPr>
          <w:p w14:paraId="5FCDE640">
            <w:pPr>
              <w:jc w:val="center"/>
              <w:rPr>
                <w:rFonts w:ascii="Times New Roman" w:hAnsi="Times New Roman" w:cs="Times New Roman"/>
                <w:color w:val="auto"/>
                <w:sz w:val="21"/>
              </w:rPr>
            </w:pPr>
          </w:p>
        </w:tc>
        <w:tc>
          <w:tcPr>
            <w:tcW w:w="332" w:type="pct"/>
            <w:vMerge w:val="continue"/>
            <w:tcBorders>
              <w:tl2br w:val="nil"/>
              <w:tr2bl w:val="nil"/>
            </w:tcBorders>
            <w:noWrap/>
            <w:vAlign w:val="center"/>
          </w:tcPr>
          <w:p w14:paraId="79071DE2">
            <w:pPr>
              <w:jc w:val="center"/>
              <w:rPr>
                <w:rFonts w:ascii="Times New Roman" w:hAnsi="Times New Roman" w:cs="Times New Roman"/>
                <w:color w:val="auto"/>
                <w:sz w:val="21"/>
              </w:rPr>
            </w:pPr>
          </w:p>
        </w:tc>
        <w:tc>
          <w:tcPr>
            <w:tcW w:w="427" w:type="pct"/>
            <w:tcBorders>
              <w:tl2br w:val="nil"/>
              <w:tr2bl w:val="nil"/>
            </w:tcBorders>
            <w:noWrap/>
            <w:vAlign w:val="center"/>
          </w:tcPr>
          <w:p w14:paraId="56DBD212">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日平均</w:t>
            </w:r>
          </w:p>
        </w:tc>
        <w:tc>
          <w:tcPr>
            <w:tcW w:w="443" w:type="pct"/>
            <w:tcBorders>
              <w:tl2br w:val="nil"/>
              <w:tr2bl w:val="nil"/>
            </w:tcBorders>
            <w:noWrap/>
            <w:vAlign w:val="center"/>
          </w:tcPr>
          <w:p w14:paraId="4A16D242">
            <w:pPr>
              <w:jc w:val="center"/>
              <w:textAlignment w:val="center"/>
              <w:rPr>
                <w:rFonts w:ascii="Times New Roman" w:hAnsi="Times New Roman" w:cs="Times New Roman"/>
                <w:color w:val="auto"/>
                <w:sz w:val="21"/>
              </w:rPr>
            </w:pPr>
          </w:p>
        </w:tc>
        <w:tc>
          <w:tcPr>
            <w:tcW w:w="623" w:type="pct"/>
            <w:tcBorders>
              <w:tl2br w:val="nil"/>
              <w:tr2bl w:val="nil"/>
            </w:tcBorders>
            <w:noWrap/>
            <w:vAlign w:val="center"/>
          </w:tcPr>
          <w:p w14:paraId="688D0005">
            <w:pPr>
              <w:jc w:val="center"/>
              <w:textAlignment w:val="center"/>
              <w:rPr>
                <w:rFonts w:ascii="Times New Roman" w:hAnsi="Times New Roman" w:cs="Times New Roman"/>
                <w:color w:val="auto"/>
                <w:sz w:val="21"/>
              </w:rPr>
            </w:pPr>
          </w:p>
        </w:tc>
        <w:tc>
          <w:tcPr>
            <w:tcW w:w="457" w:type="pct"/>
            <w:tcBorders>
              <w:tl2br w:val="nil"/>
              <w:tr2bl w:val="nil"/>
            </w:tcBorders>
            <w:noWrap/>
            <w:vAlign w:val="center"/>
          </w:tcPr>
          <w:p w14:paraId="0446BC0D">
            <w:pPr>
              <w:jc w:val="center"/>
              <w:textAlignment w:val="center"/>
              <w:rPr>
                <w:rFonts w:ascii="Times New Roman" w:hAnsi="Times New Roman" w:cs="Times New Roman"/>
                <w:color w:val="auto"/>
                <w:sz w:val="21"/>
              </w:rPr>
            </w:pPr>
          </w:p>
        </w:tc>
        <w:tc>
          <w:tcPr>
            <w:tcW w:w="711" w:type="pct"/>
            <w:tcBorders>
              <w:tl2br w:val="nil"/>
              <w:tr2bl w:val="nil"/>
            </w:tcBorders>
            <w:vAlign w:val="center"/>
          </w:tcPr>
          <w:p w14:paraId="2C252362">
            <w:pPr>
              <w:jc w:val="center"/>
              <w:textAlignment w:val="center"/>
              <w:rPr>
                <w:rFonts w:ascii="Times New Roman" w:hAnsi="Times New Roman" w:cs="Times New Roman"/>
                <w:color w:val="auto"/>
                <w:sz w:val="21"/>
                <w:lang w:eastAsia="zh-CN" w:bidi="ar"/>
              </w:rPr>
            </w:pPr>
          </w:p>
        </w:tc>
        <w:tc>
          <w:tcPr>
            <w:tcW w:w="598" w:type="pct"/>
            <w:tcBorders>
              <w:tl2br w:val="nil"/>
              <w:tr2bl w:val="nil"/>
            </w:tcBorders>
            <w:noWrap/>
            <w:vAlign w:val="center"/>
          </w:tcPr>
          <w:p w14:paraId="28A8F858">
            <w:pPr>
              <w:jc w:val="center"/>
              <w:textAlignment w:val="center"/>
              <w:rPr>
                <w:rFonts w:ascii="Times New Roman" w:hAnsi="Times New Roman" w:cs="Times New Roman"/>
                <w:color w:val="auto"/>
                <w:sz w:val="21"/>
              </w:rPr>
            </w:pPr>
          </w:p>
        </w:tc>
        <w:tc>
          <w:tcPr>
            <w:tcW w:w="418" w:type="pct"/>
            <w:tcBorders>
              <w:tl2br w:val="nil"/>
              <w:tr2bl w:val="nil"/>
            </w:tcBorders>
            <w:noWrap/>
            <w:vAlign w:val="center"/>
          </w:tcPr>
          <w:p w14:paraId="754C1597">
            <w:pPr>
              <w:jc w:val="center"/>
              <w:textAlignment w:val="center"/>
              <w:rPr>
                <w:rFonts w:ascii="Times New Roman" w:hAnsi="Times New Roman" w:cs="Times New Roman"/>
                <w:color w:val="auto"/>
                <w:sz w:val="21"/>
              </w:rPr>
            </w:pPr>
          </w:p>
        </w:tc>
        <w:tc>
          <w:tcPr>
            <w:tcW w:w="406" w:type="pct"/>
            <w:tcBorders>
              <w:tl2br w:val="nil"/>
              <w:tr2bl w:val="nil"/>
            </w:tcBorders>
            <w:noWrap/>
            <w:vAlign w:val="center"/>
          </w:tcPr>
          <w:p w14:paraId="02E548F5">
            <w:pPr>
              <w:jc w:val="center"/>
              <w:textAlignment w:val="center"/>
              <w:rPr>
                <w:rFonts w:ascii="Times New Roman" w:hAnsi="Times New Roman" w:cs="Times New Roman"/>
                <w:color w:val="auto"/>
                <w:sz w:val="21"/>
                <w:lang w:eastAsia="zh-CN"/>
              </w:rPr>
            </w:pPr>
          </w:p>
        </w:tc>
        <w:tc>
          <w:tcPr>
            <w:tcW w:w="379" w:type="pct"/>
            <w:tcBorders>
              <w:tl2br w:val="nil"/>
              <w:tr2bl w:val="nil"/>
            </w:tcBorders>
            <w:noWrap/>
            <w:vAlign w:val="center"/>
          </w:tcPr>
          <w:p w14:paraId="312C7F4D">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13553A6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jc w:val="center"/>
        </w:trPr>
        <w:tc>
          <w:tcPr>
            <w:tcW w:w="205" w:type="pct"/>
            <w:vMerge w:val="restart"/>
            <w:tcBorders>
              <w:tl2br w:val="nil"/>
              <w:tr2bl w:val="nil"/>
            </w:tcBorders>
            <w:noWrap/>
            <w:vAlign w:val="center"/>
          </w:tcPr>
          <w:p w14:paraId="56012EF5">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6</w:t>
            </w:r>
          </w:p>
        </w:tc>
        <w:tc>
          <w:tcPr>
            <w:tcW w:w="332" w:type="pct"/>
            <w:vMerge w:val="restart"/>
            <w:tcBorders>
              <w:tl2br w:val="nil"/>
              <w:tr2bl w:val="nil"/>
            </w:tcBorders>
            <w:noWrap/>
            <w:vAlign w:val="center"/>
          </w:tcPr>
          <w:p w14:paraId="067354A2">
            <w:pPr>
              <w:jc w:val="center"/>
              <w:textAlignment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三铺中学</w:t>
            </w:r>
          </w:p>
        </w:tc>
        <w:tc>
          <w:tcPr>
            <w:tcW w:w="427" w:type="pct"/>
            <w:tcBorders>
              <w:tl2br w:val="nil"/>
              <w:tr2bl w:val="nil"/>
            </w:tcBorders>
            <w:noWrap/>
            <w:vAlign w:val="center"/>
          </w:tcPr>
          <w:p w14:paraId="5768C059">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1小时</w:t>
            </w:r>
          </w:p>
        </w:tc>
        <w:tc>
          <w:tcPr>
            <w:tcW w:w="443" w:type="pct"/>
            <w:tcBorders>
              <w:tl2br w:val="nil"/>
              <w:tr2bl w:val="nil"/>
            </w:tcBorders>
            <w:noWrap/>
            <w:vAlign w:val="center"/>
          </w:tcPr>
          <w:p w14:paraId="68A80320">
            <w:pPr>
              <w:jc w:val="center"/>
              <w:textAlignment w:val="center"/>
              <w:rPr>
                <w:rFonts w:ascii="Times New Roman" w:hAnsi="Times New Roman" w:cs="Times New Roman"/>
                <w:color w:val="auto"/>
                <w:sz w:val="21"/>
              </w:rPr>
            </w:pPr>
          </w:p>
        </w:tc>
        <w:tc>
          <w:tcPr>
            <w:tcW w:w="623" w:type="pct"/>
            <w:tcBorders>
              <w:tl2br w:val="nil"/>
              <w:tr2bl w:val="nil"/>
            </w:tcBorders>
            <w:noWrap/>
            <w:vAlign w:val="center"/>
          </w:tcPr>
          <w:p w14:paraId="108CD8F1">
            <w:pPr>
              <w:jc w:val="center"/>
              <w:textAlignment w:val="center"/>
              <w:rPr>
                <w:rFonts w:ascii="Times New Roman" w:hAnsi="Times New Roman" w:cs="Times New Roman"/>
                <w:color w:val="auto"/>
                <w:sz w:val="21"/>
              </w:rPr>
            </w:pPr>
          </w:p>
        </w:tc>
        <w:tc>
          <w:tcPr>
            <w:tcW w:w="457" w:type="pct"/>
            <w:tcBorders>
              <w:tl2br w:val="nil"/>
              <w:tr2bl w:val="nil"/>
            </w:tcBorders>
            <w:noWrap/>
            <w:vAlign w:val="center"/>
          </w:tcPr>
          <w:p w14:paraId="066B41C3">
            <w:pPr>
              <w:jc w:val="center"/>
              <w:textAlignment w:val="center"/>
              <w:rPr>
                <w:rFonts w:ascii="Times New Roman" w:hAnsi="Times New Roman" w:cs="Times New Roman"/>
                <w:color w:val="auto"/>
                <w:sz w:val="21"/>
              </w:rPr>
            </w:pPr>
          </w:p>
        </w:tc>
        <w:tc>
          <w:tcPr>
            <w:tcW w:w="711" w:type="pct"/>
            <w:tcBorders>
              <w:tl2br w:val="nil"/>
              <w:tr2bl w:val="nil"/>
            </w:tcBorders>
            <w:vAlign w:val="center"/>
          </w:tcPr>
          <w:p w14:paraId="3A51ADC9">
            <w:pPr>
              <w:jc w:val="center"/>
              <w:textAlignment w:val="center"/>
              <w:rPr>
                <w:rFonts w:ascii="Times New Roman" w:hAnsi="Times New Roman" w:cs="Times New Roman"/>
                <w:color w:val="auto"/>
                <w:sz w:val="21"/>
                <w:lang w:eastAsia="zh-CN" w:bidi="ar"/>
              </w:rPr>
            </w:pPr>
          </w:p>
        </w:tc>
        <w:tc>
          <w:tcPr>
            <w:tcW w:w="598" w:type="pct"/>
            <w:tcBorders>
              <w:tl2br w:val="nil"/>
              <w:tr2bl w:val="nil"/>
            </w:tcBorders>
            <w:noWrap/>
            <w:vAlign w:val="center"/>
          </w:tcPr>
          <w:p w14:paraId="5BC68FC2">
            <w:pPr>
              <w:jc w:val="center"/>
              <w:textAlignment w:val="center"/>
              <w:rPr>
                <w:rFonts w:ascii="Times New Roman" w:hAnsi="Times New Roman" w:cs="Times New Roman"/>
                <w:color w:val="auto"/>
                <w:sz w:val="21"/>
              </w:rPr>
            </w:pPr>
          </w:p>
        </w:tc>
        <w:tc>
          <w:tcPr>
            <w:tcW w:w="418" w:type="pct"/>
            <w:tcBorders>
              <w:tl2br w:val="nil"/>
              <w:tr2bl w:val="nil"/>
            </w:tcBorders>
            <w:noWrap/>
            <w:vAlign w:val="center"/>
          </w:tcPr>
          <w:p w14:paraId="6B85EEF9">
            <w:pPr>
              <w:jc w:val="center"/>
              <w:textAlignment w:val="center"/>
              <w:rPr>
                <w:rFonts w:ascii="Times New Roman" w:hAnsi="Times New Roman" w:cs="Times New Roman"/>
                <w:color w:val="auto"/>
                <w:sz w:val="21"/>
              </w:rPr>
            </w:pPr>
          </w:p>
        </w:tc>
        <w:tc>
          <w:tcPr>
            <w:tcW w:w="406" w:type="pct"/>
            <w:tcBorders>
              <w:tl2br w:val="nil"/>
              <w:tr2bl w:val="nil"/>
            </w:tcBorders>
            <w:noWrap/>
            <w:vAlign w:val="center"/>
          </w:tcPr>
          <w:p w14:paraId="0C2DBD12">
            <w:pPr>
              <w:jc w:val="center"/>
              <w:textAlignment w:val="center"/>
              <w:rPr>
                <w:rFonts w:ascii="Times New Roman" w:hAnsi="Times New Roman" w:cs="Times New Roman"/>
                <w:color w:val="auto"/>
                <w:sz w:val="21"/>
              </w:rPr>
            </w:pPr>
          </w:p>
        </w:tc>
        <w:tc>
          <w:tcPr>
            <w:tcW w:w="379" w:type="pct"/>
            <w:tcBorders>
              <w:tl2br w:val="nil"/>
              <w:tr2bl w:val="nil"/>
            </w:tcBorders>
            <w:noWrap/>
            <w:vAlign w:val="center"/>
          </w:tcPr>
          <w:p w14:paraId="51BB23B2">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632F002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jc w:val="center"/>
        </w:trPr>
        <w:tc>
          <w:tcPr>
            <w:tcW w:w="205" w:type="pct"/>
            <w:vMerge w:val="continue"/>
            <w:tcBorders>
              <w:tl2br w:val="nil"/>
              <w:tr2bl w:val="nil"/>
            </w:tcBorders>
            <w:noWrap/>
            <w:vAlign w:val="center"/>
          </w:tcPr>
          <w:p w14:paraId="47AF74D6">
            <w:pPr>
              <w:jc w:val="center"/>
              <w:rPr>
                <w:rFonts w:ascii="Times New Roman" w:hAnsi="Times New Roman" w:cs="Times New Roman"/>
                <w:color w:val="auto"/>
                <w:sz w:val="21"/>
              </w:rPr>
            </w:pPr>
          </w:p>
        </w:tc>
        <w:tc>
          <w:tcPr>
            <w:tcW w:w="332" w:type="pct"/>
            <w:vMerge w:val="continue"/>
            <w:tcBorders>
              <w:tl2br w:val="nil"/>
              <w:tr2bl w:val="nil"/>
            </w:tcBorders>
            <w:noWrap/>
            <w:vAlign w:val="center"/>
          </w:tcPr>
          <w:p w14:paraId="31221EA5">
            <w:pPr>
              <w:jc w:val="center"/>
              <w:rPr>
                <w:rFonts w:ascii="Times New Roman" w:hAnsi="Times New Roman" w:cs="Times New Roman"/>
                <w:color w:val="auto"/>
                <w:sz w:val="21"/>
              </w:rPr>
            </w:pPr>
          </w:p>
        </w:tc>
        <w:tc>
          <w:tcPr>
            <w:tcW w:w="427" w:type="pct"/>
            <w:tcBorders>
              <w:tl2br w:val="nil"/>
              <w:tr2bl w:val="nil"/>
            </w:tcBorders>
            <w:noWrap/>
            <w:vAlign w:val="center"/>
          </w:tcPr>
          <w:p w14:paraId="2D87EDE3">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日平均</w:t>
            </w:r>
          </w:p>
        </w:tc>
        <w:tc>
          <w:tcPr>
            <w:tcW w:w="443" w:type="pct"/>
            <w:tcBorders>
              <w:tl2br w:val="nil"/>
              <w:tr2bl w:val="nil"/>
            </w:tcBorders>
            <w:noWrap/>
            <w:vAlign w:val="center"/>
          </w:tcPr>
          <w:p w14:paraId="52BDEA44">
            <w:pPr>
              <w:jc w:val="center"/>
              <w:textAlignment w:val="center"/>
              <w:rPr>
                <w:rFonts w:ascii="Times New Roman" w:hAnsi="Times New Roman" w:cs="Times New Roman"/>
                <w:color w:val="auto"/>
                <w:sz w:val="21"/>
              </w:rPr>
            </w:pPr>
          </w:p>
        </w:tc>
        <w:tc>
          <w:tcPr>
            <w:tcW w:w="623" w:type="pct"/>
            <w:tcBorders>
              <w:tl2br w:val="nil"/>
              <w:tr2bl w:val="nil"/>
            </w:tcBorders>
            <w:noWrap/>
            <w:vAlign w:val="center"/>
          </w:tcPr>
          <w:p w14:paraId="5AD11382">
            <w:pPr>
              <w:jc w:val="center"/>
              <w:textAlignment w:val="center"/>
              <w:rPr>
                <w:rFonts w:ascii="Times New Roman" w:hAnsi="Times New Roman" w:cs="Times New Roman"/>
                <w:color w:val="auto"/>
                <w:sz w:val="21"/>
              </w:rPr>
            </w:pPr>
          </w:p>
        </w:tc>
        <w:tc>
          <w:tcPr>
            <w:tcW w:w="457" w:type="pct"/>
            <w:tcBorders>
              <w:tl2br w:val="nil"/>
              <w:tr2bl w:val="nil"/>
            </w:tcBorders>
            <w:noWrap/>
            <w:vAlign w:val="center"/>
          </w:tcPr>
          <w:p w14:paraId="21E65625">
            <w:pPr>
              <w:jc w:val="center"/>
              <w:textAlignment w:val="center"/>
              <w:rPr>
                <w:rFonts w:ascii="Times New Roman" w:hAnsi="Times New Roman" w:cs="Times New Roman"/>
                <w:color w:val="auto"/>
                <w:sz w:val="21"/>
              </w:rPr>
            </w:pPr>
          </w:p>
        </w:tc>
        <w:tc>
          <w:tcPr>
            <w:tcW w:w="711" w:type="pct"/>
            <w:tcBorders>
              <w:tl2br w:val="nil"/>
              <w:tr2bl w:val="nil"/>
            </w:tcBorders>
            <w:vAlign w:val="center"/>
          </w:tcPr>
          <w:p w14:paraId="03852155">
            <w:pPr>
              <w:jc w:val="center"/>
              <w:textAlignment w:val="center"/>
              <w:rPr>
                <w:rFonts w:ascii="Times New Roman" w:hAnsi="Times New Roman" w:cs="Times New Roman"/>
                <w:color w:val="auto"/>
                <w:sz w:val="21"/>
                <w:lang w:eastAsia="zh-CN" w:bidi="ar"/>
              </w:rPr>
            </w:pPr>
          </w:p>
        </w:tc>
        <w:tc>
          <w:tcPr>
            <w:tcW w:w="598" w:type="pct"/>
            <w:tcBorders>
              <w:tl2br w:val="nil"/>
              <w:tr2bl w:val="nil"/>
            </w:tcBorders>
            <w:noWrap/>
            <w:vAlign w:val="center"/>
          </w:tcPr>
          <w:p w14:paraId="1C837CD8">
            <w:pPr>
              <w:jc w:val="center"/>
              <w:textAlignment w:val="center"/>
              <w:rPr>
                <w:rFonts w:ascii="Times New Roman" w:hAnsi="Times New Roman" w:cs="Times New Roman"/>
                <w:color w:val="auto"/>
                <w:sz w:val="21"/>
              </w:rPr>
            </w:pPr>
          </w:p>
        </w:tc>
        <w:tc>
          <w:tcPr>
            <w:tcW w:w="418" w:type="pct"/>
            <w:tcBorders>
              <w:tl2br w:val="nil"/>
              <w:tr2bl w:val="nil"/>
            </w:tcBorders>
            <w:noWrap/>
            <w:vAlign w:val="center"/>
          </w:tcPr>
          <w:p w14:paraId="7B59352B">
            <w:pPr>
              <w:jc w:val="center"/>
              <w:textAlignment w:val="center"/>
              <w:rPr>
                <w:rFonts w:ascii="Times New Roman" w:hAnsi="Times New Roman" w:cs="Times New Roman"/>
                <w:color w:val="auto"/>
                <w:sz w:val="21"/>
              </w:rPr>
            </w:pPr>
          </w:p>
        </w:tc>
        <w:tc>
          <w:tcPr>
            <w:tcW w:w="406" w:type="pct"/>
            <w:tcBorders>
              <w:tl2br w:val="nil"/>
              <w:tr2bl w:val="nil"/>
            </w:tcBorders>
            <w:noWrap/>
            <w:vAlign w:val="center"/>
          </w:tcPr>
          <w:p w14:paraId="2859B67F">
            <w:pPr>
              <w:jc w:val="center"/>
              <w:textAlignment w:val="center"/>
              <w:rPr>
                <w:rFonts w:ascii="Times New Roman" w:hAnsi="Times New Roman" w:cs="Times New Roman"/>
                <w:color w:val="auto"/>
                <w:sz w:val="21"/>
                <w:lang w:eastAsia="zh-CN"/>
              </w:rPr>
            </w:pPr>
          </w:p>
        </w:tc>
        <w:tc>
          <w:tcPr>
            <w:tcW w:w="379" w:type="pct"/>
            <w:tcBorders>
              <w:tl2br w:val="nil"/>
              <w:tr2bl w:val="nil"/>
            </w:tcBorders>
            <w:noWrap/>
            <w:vAlign w:val="center"/>
          </w:tcPr>
          <w:p w14:paraId="14BAF3FD">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6DB3602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jc w:val="center"/>
        </w:trPr>
        <w:tc>
          <w:tcPr>
            <w:tcW w:w="205" w:type="pct"/>
            <w:vMerge w:val="restart"/>
            <w:tcBorders>
              <w:tl2br w:val="nil"/>
              <w:tr2bl w:val="nil"/>
            </w:tcBorders>
            <w:noWrap/>
            <w:vAlign w:val="center"/>
          </w:tcPr>
          <w:p w14:paraId="5F9420F3">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7</w:t>
            </w:r>
          </w:p>
        </w:tc>
        <w:tc>
          <w:tcPr>
            <w:tcW w:w="332" w:type="pct"/>
            <w:vMerge w:val="restart"/>
            <w:tcBorders>
              <w:tl2br w:val="nil"/>
              <w:tr2bl w:val="nil"/>
            </w:tcBorders>
            <w:noWrap/>
            <w:vAlign w:val="center"/>
          </w:tcPr>
          <w:p w14:paraId="50C0E457">
            <w:pPr>
              <w:jc w:val="center"/>
              <w:textAlignment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杜家湖</w:t>
            </w:r>
          </w:p>
        </w:tc>
        <w:tc>
          <w:tcPr>
            <w:tcW w:w="427" w:type="pct"/>
            <w:tcBorders>
              <w:tl2br w:val="nil"/>
              <w:tr2bl w:val="nil"/>
            </w:tcBorders>
            <w:noWrap/>
            <w:vAlign w:val="center"/>
          </w:tcPr>
          <w:p w14:paraId="38E70C1A">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1小时</w:t>
            </w:r>
          </w:p>
        </w:tc>
        <w:tc>
          <w:tcPr>
            <w:tcW w:w="443" w:type="pct"/>
            <w:tcBorders>
              <w:tl2br w:val="nil"/>
              <w:tr2bl w:val="nil"/>
            </w:tcBorders>
            <w:noWrap/>
            <w:vAlign w:val="center"/>
          </w:tcPr>
          <w:p w14:paraId="12C810CC">
            <w:pPr>
              <w:jc w:val="center"/>
              <w:textAlignment w:val="center"/>
              <w:rPr>
                <w:rFonts w:ascii="Times New Roman" w:hAnsi="Times New Roman" w:cs="Times New Roman"/>
                <w:color w:val="auto"/>
                <w:sz w:val="21"/>
              </w:rPr>
            </w:pPr>
          </w:p>
        </w:tc>
        <w:tc>
          <w:tcPr>
            <w:tcW w:w="623" w:type="pct"/>
            <w:tcBorders>
              <w:tl2br w:val="nil"/>
              <w:tr2bl w:val="nil"/>
            </w:tcBorders>
            <w:noWrap/>
            <w:vAlign w:val="center"/>
          </w:tcPr>
          <w:p w14:paraId="2039234D">
            <w:pPr>
              <w:jc w:val="center"/>
              <w:textAlignment w:val="center"/>
              <w:rPr>
                <w:rFonts w:ascii="Times New Roman" w:hAnsi="Times New Roman" w:cs="Times New Roman"/>
                <w:color w:val="auto"/>
                <w:sz w:val="21"/>
              </w:rPr>
            </w:pPr>
          </w:p>
        </w:tc>
        <w:tc>
          <w:tcPr>
            <w:tcW w:w="457" w:type="pct"/>
            <w:tcBorders>
              <w:tl2br w:val="nil"/>
              <w:tr2bl w:val="nil"/>
            </w:tcBorders>
            <w:noWrap/>
            <w:vAlign w:val="center"/>
          </w:tcPr>
          <w:p w14:paraId="4B0BF57F">
            <w:pPr>
              <w:jc w:val="center"/>
              <w:textAlignment w:val="center"/>
              <w:rPr>
                <w:rFonts w:ascii="Times New Roman" w:hAnsi="Times New Roman" w:cs="Times New Roman"/>
                <w:color w:val="auto"/>
                <w:sz w:val="21"/>
              </w:rPr>
            </w:pPr>
          </w:p>
        </w:tc>
        <w:tc>
          <w:tcPr>
            <w:tcW w:w="711" w:type="pct"/>
            <w:tcBorders>
              <w:tl2br w:val="nil"/>
              <w:tr2bl w:val="nil"/>
            </w:tcBorders>
            <w:vAlign w:val="center"/>
          </w:tcPr>
          <w:p w14:paraId="654F3411">
            <w:pPr>
              <w:jc w:val="center"/>
              <w:textAlignment w:val="center"/>
              <w:rPr>
                <w:rFonts w:ascii="Times New Roman" w:hAnsi="Times New Roman" w:cs="Times New Roman"/>
                <w:color w:val="auto"/>
                <w:sz w:val="21"/>
                <w:lang w:eastAsia="zh-CN" w:bidi="ar"/>
              </w:rPr>
            </w:pPr>
          </w:p>
        </w:tc>
        <w:tc>
          <w:tcPr>
            <w:tcW w:w="598" w:type="pct"/>
            <w:tcBorders>
              <w:tl2br w:val="nil"/>
              <w:tr2bl w:val="nil"/>
            </w:tcBorders>
            <w:noWrap/>
            <w:vAlign w:val="center"/>
          </w:tcPr>
          <w:p w14:paraId="24D5EFA4">
            <w:pPr>
              <w:jc w:val="center"/>
              <w:textAlignment w:val="center"/>
              <w:rPr>
                <w:rFonts w:ascii="Times New Roman" w:hAnsi="Times New Roman" w:cs="Times New Roman"/>
                <w:color w:val="auto"/>
                <w:sz w:val="21"/>
              </w:rPr>
            </w:pPr>
          </w:p>
        </w:tc>
        <w:tc>
          <w:tcPr>
            <w:tcW w:w="418" w:type="pct"/>
            <w:tcBorders>
              <w:tl2br w:val="nil"/>
              <w:tr2bl w:val="nil"/>
            </w:tcBorders>
            <w:noWrap/>
            <w:vAlign w:val="center"/>
          </w:tcPr>
          <w:p w14:paraId="3E572CA3">
            <w:pPr>
              <w:jc w:val="center"/>
              <w:textAlignment w:val="center"/>
              <w:rPr>
                <w:rFonts w:ascii="Times New Roman" w:hAnsi="Times New Roman" w:cs="Times New Roman"/>
                <w:color w:val="auto"/>
                <w:sz w:val="21"/>
              </w:rPr>
            </w:pPr>
          </w:p>
        </w:tc>
        <w:tc>
          <w:tcPr>
            <w:tcW w:w="406" w:type="pct"/>
            <w:tcBorders>
              <w:tl2br w:val="nil"/>
              <w:tr2bl w:val="nil"/>
            </w:tcBorders>
            <w:noWrap/>
            <w:vAlign w:val="center"/>
          </w:tcPr>
          <w:p w14:paraId="31583CB0">
            <w:pPr>
              <w:jc w:val="center"/>
              <w:textAlignment w:val="center"/>
              <w:rPr>
                <w:rFonts w:ascii="Times New Roman" w:hAnsi="Times New Roman" w:cs="Times New Roman"/>
                <w:color w:val="auto"/>
                <w:sz w:val="21"/>
              </w:rPr>
            </w:pPr>
          </w:p>
        </w:tc>
        <w:tc>
          <w:tcPr>
            <w:tcW w:w="379" w:type="pct"/>
            <w:tcBorders>
              <w:tl2br w:val="nil"/>
              <w:tr2bl w:val="nil"/>
            </w:tcBorders>
            <w:noWrap/>
            <w:vAlign w:val="center"/>
          </w:tcPr>
          <w:p w14:paraId="211CECC1">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60C9F64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jc w:val="center"/>
        </w:trPr>
        <w:tc>
          <w:tcPr>
            <w:tcW w:w="205" w:type="pct"/>
            <w:vMerge w:val="continue"/>
            <w:tcBorders>
              <w:tl2br w:val="nil"/>
              <w:tr2bl w:val="nil"/>
            </w:tcBorders>
            <w:noWrap/>
            <w:vAlign w:val="center"/>
          </w:tcPr>
          <w:p w14:paraId="157CD9A4">
            <w:pPr>
              <w:jc w:val="center"/>
              <w:rPr>
                <w:rFonts w:ascii="Times New Roman" w:hAnsi="Times New Roman" w:cs="Times New Roman"/>
                <w:color w:val="auto"/>
                <w:sz w:val="21"/>
              </w:rPr>
            </w:pPr>
          </w:p>
        </w:tc>
        <w:tc>
          <w:tcPr>
            <w:tcW w:w="332" w:type="pct"/>
            <w:vMerge w:val="continue"/>
            <w:tcBorders>
              <w:tl2br w:val="nil"/>
              <w:tr2bl w:val="nil"/>
            </w:tcBorders>
            <w:noWrap/>
            <w:vAlign w:val="center"/>
          </w:tcPr>
          <w:p w14:paraId="71B62CD6">
            <w:pPr>
              <w:jc w:val="center"/>
              <w:rPr>
                <w:rFonts w:ascii="Times New Roman" w:hAnsi="Times New Roman" w:cs="Times New Roman"/>
                <w:color w:val="auto"/>
                <w:sz w:val="21"/>
              </w:rPr>
            </w:pPr>
          </w:p>
        </w:tc>
        <w:tc>
          <w:tcPr>
            <w:tcW w:w="427" w:type="pct"/>
            <w:tcBorders>
              <w:tl2br w:val="nil"/>
              <w:tr2bl w:val="nil"/>
            </w:tcBorders>
            <w:noWrap/>
            <w:vAlign w:val="center"/>
          </w:tcPr>
          <w:p w14:paraId="42959186">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日平均</w:t>
            </w:r>
          </w:p>
        </w:tc>
        <w:tc>
          <w:tcPr>
            <w:tcW w:w="443" w:type="pct"/>
            <w:tcBorders>
              <w:tl2br w:val="nil"/>
              <w:tr2bl w:val="nil"/>
            </w:tcBorders>
            <w:noWrap/>
            <w:vAlign w:val="center"/>
          </w:tcPr>
          <w:p w14:paraId="7EFCA51B">
            <w:pPr>
              <w:jc w:val="center"/>
              <w:textAlignment w:val="center"/>
              <w:rPr>
                <w:rFonts w:ascii="Times New Roman" w:hAnsi="Times New Roman" w:cs="Times New Roman"/>
                <w:color w:val="auto"/>
                <w:sz w:val="21"/>
              </w:rPr>
            </w:pPr>
          </w:p>
        </w:tc>
        <w:tc>
          <w:tcPr>
            <w:tcW w:w="623" w:type="pct"/>
            <w:tcBorders>
              <w:tl2br w:val="nil"/>
              <w:tr2bl w:val="nil"/>
            </w:tcBorders>
            <w:noWrap/>
            <w:vAlign w:val="center"/>
          </w:tcPr>
          <w:p w14:paraId="3D56FE6F">
            <w:pPr>
              <w:jc w:val="center"/>
              <w:textAlignment w:val="center"/>
              <w:rPr>
                <w:rFonts w:ascii="Times New Roman" w:hAnsi="Times New Roman" w:cs="Times New Roman"/>
                <w:color w:val="auto"/>
                <w:sz w:val="21"/>
              </w:rPr>
            </w:pPr>
          </w:p>
        </w:tc>
        <w:tc>
          <w:tcPr>
            <w:tcW w:w="457" w:type="pct"/>
            <w:tcBorders>
              <w:tl2br w:val="nil"/>
              <w:tr2bl w:val="nil"/>
            </w:tcBorders>
            <w:noWrap/>
            <w:vAlign w:val="center"/>
          </w:tcPr>
          <w:p w14:paraId="4D6BCB74">
            <w:pPr>
              <w:jc w:val="center"/>
              <w:textAlignment w:val="center"/>
              <w:rPr>
                <w:rFonts w:ascii="Times New Roman" w:hAnsi="Times New Roman" w:cs="Times New Roman"/>
                <w:color w:val="auto"/>
                <w:sz w:val="21"/>
              </w:rPr>
            </w:pPr>
          </w:p>
        </w:tc>
        <w:tc>
          <w:tcPr>
            <w:tcW w:w="711" w:type="pct"/>
            <w:tcBorders>
              <w:tl2br w:val="nil"/>
              <w:tr2bl w:val="nil"/>
            </w:tcBorders>
            <w:vAlign w:val="center"/>
          </w:tcPr>
          <w:p w14:paraId="0AD01C72">
            <w:pPr>
              <w:jc w:val="center"/>
              <w:textAlignment w:val="center"/>
              <w:rPr>
                <w:rFonts w:ascii="Times New Roman" w:hAnsi="Times New Roman" w:cs="Times New Roman"/>
                <w:color w:val="auto"/>
                <w:sz w:val="21"/>
                <w:lang w:eastAsia="zh-CN" w:bidi="ar"/>
              </w:rPr>
            </w:pPr>
          </w:p>
        </w:tc>
        <w:tc>
          <w:tcPr>
            <w:tcW w:w="598" w:type="pct"/>
            <w:tcBorders>
              <w:tl2br w:val="nil"/>
              <w:tr2bl w:val="nil"/>
            </w:tcBorders>
            <w:noWrap/>
            <w:vAlign w:val="center"/>
          </w:tcPr>
          <w:p w14:paraId="3B6906E5">
            <w:pPr>
              <w:jc w:val="center"/>
              <w:textAlignment w:val="center"/>
              <w:rPr>
                <w:rFonts w:ascii="Times New Roman" w:hAnsi="Times New Roman" w:cs="Times New Roman"/>
                <w:color w:val="auto"/>
                <w:sz w:val="21"/>
              </w:rPr>
            </w:pPr>
          </w:p>
        </w:tc>
        <w:tc>
          <w:tcPr>
            <w:tcW w:w="418" w:type="pct"/>
            <w:tcBorders>
              <w:tl2br w:val="nil"/>
              <w:tr2bl w:val="nil"/>
            </w:tcBorders>
            <w:noWrap/>
            <w:vAlign w:val="center"/>
          </w:tcPr>
          <w:p w14:paraId="473A4C4B">
            <w:pPr>
              <w:jc w:val="center"/>
              <w:textAlignment w:val="center"/>
              <w:rPr>
                <w:rFonts w:ascii="Times New Roman" w:hAnsi="Times New Roman" w:cs="Times New Roman"/>
                <w:color w:val="auto"/>
                <w:sz w:val="21"/>
              </w:rPr>
            </w:pPr>
          </w:p>
        </w:tc>
        <w:tc>
          <w:tcPr>
            <w:tcW w:w="406" w:type="pct"/>
            <w:tcBorders>
              <w:tl2br w:val="nil"/>
              <w:tr2bl w:val="nil"/>
            </w:tcBorders>
            <w:noWrap/>
            <w:vAlign w:val="center"/>
          </w:tcPr>
          <w:p w14:paraId="228DAF91">
            <w:pPr>
              <w:jc w:val="center"/>
              <w:textAlignment w:val="center"/>
              <w:rPr>
                <w:rFonts w:ascii="Times New Roman" w:hAnsi="Times New Roman" w:cs="Times New Roman"/>
                <w:color w:val="auto"/>
                <w:sz w:val="21"/>
              </w:rPr>
            </w:pPr>
          </w:p>
        </w:tc>
        <w:tc>
          <w:tcPr>
            <w:tcW w:w="379" w:type="pct"/>
            <w:tcBorders>
              <w:tl2br w:val="nil"/>
              <w:tr2bl w:val="nil"/>
            </w:tcBorders>
            <w:noWrap/>
            <w:vAlign w:val="center"/>
          </w:tcPr>
          <w:p w14:paraId="30950ABE">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0812E1B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jc w:val="center"/>
        </w:trPr>
        <w:tc>
          <w:tcPr>
            <w:tcW w:w="205" w:type="pct"/>
            <w:vMerge w:val="restart"/>
            <w:tcBorders>
              <w:tl2br w:val="nil"/>
              <w:tr2bl w:val="nil"/>
            </w:tcBorders>
            <w:noWrap/>
            <w:vAlign w:val="center"/>
          </w:tcPr>
          <w:p w14:paraId="3A12E00C">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8</w:t>
            </w:r>
          </w:p>
        </w:tc>
        <w:tc>
          <w:tcPr>
            <w:tcW w:w="332" w:type="pct"/>
            <w:vMerge w:val="restart"/>
            <w:tcBorders>
              <w:tl2br w:val="nil"/>
              <w:tr2bl w:val="nil"/>
            </w:tcBorders>
            <w:noWrap/>
            <w:vAlign w:val="center"/>
          </w:tcPr>
          <w:p w14:paraId="012A0EAB">
            <w:pPr>
              <w:jc w:val="center"/>
              <w:textAlignment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网格点</w:t>
            </w:r>
          </w:p>
        </w:tc>
        <w:tc>
          <w:tcPr>
            <w:tcW w:w="427" w:type="pct"/>
            <w:tcBorders>
              <w:tl2br w:val="nil"/>
              <w:tr2bl w:val="nil"/>
            </w:tcBorders>
            <w:noWrap/>
            <w:vAlign w:val="center"/>
          </w:tcPr>
          <w:p w14:paraId="1288CF91">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1小时</w:t>
            </w:r>
          </w:p>
        </w:tc>
        <w:tc>
          <w:tcPr>
            <w:tcW w:w="443" w:type="pct"/>
            <w:tcBorders>
              <w:tl2br w:val="nil"/>
              <w:tr2bl w:val="nil"/>
            </w:tcBorders>
            <w:noWrap/>
            <w:vAlign w:val="center"/>
          </w:tcPr>
          <w:p w14:paraId="258FA4FA">
            <w:pPr>
              <w:jc w:val="center"/>
              <w:textAlignment w:val="center"/>
              <w:rPr>
                <w:rFonts w:ascii="Times New Roman" w:hAnsi="Times New Roman" w:cs="Times New Roman"/>
                <w:color w:val="auto"/>
                <w:sz w:val="21"/>
              </w:rPr>
            </w:pPr>
          </w:p>
        </w:tc>
        <w:tc>
          <w:tcPr>
            <w:tcW w:w="623" w:type="pct"/>
            <w:tcBorders>
              <w:tl2br w:val="nil"/>
              <w:tr2bl w:val="nil"/>
            </w:tcBorders>
            <w:noWrap/>
            <w:vAlign w:val="center"/>
          </w:tcPr>
          <w:p w14:paraId="12B8C03F">
            <w:pPr>
              <w:jc w:val="center"/>
              <w:textAlignment w:val="center"/>
              <w:rPr>
                <w:rFonts w:ascii="Times New Roman" w:hAnsi="Times New Roman" w:cs="Times New Roman"/>
                <w:color w:val="auto"/>
                <w:sz w:val="21"/>
              </w:rPr>
            </w:pPr>
          </w:p>
        </w:tc>
        <w:tc>
          <w:tcPr>
            <w:tcW w:w="457" w:type="pct"/>
            <w:tcBorders>
              <w:tl2br w:val="nil"/>
              <w:tr2bl w:val="nil"/>
            </w:tcBorders>
            <w:noWrap/>
            <w:vAlign w:val="center"/>
          </w:tcPr>
          <w:p w14:paraId="54B3F7EB">
            <w:pPr>
              <w:jc w:val="center"/>
              <w:textAlignment w:val="center"/>
              <w:rPr>
                <w:rFonts w:ascii="Times New Roman" w:hAnsi="Times New Roman" w:cs="Times New Roman"/>
                <w:color w:val="auto"/>
                <w:sz w:val="21"/>
              </w:rPr>
            </w:pPr>
          </w:p>
        </w:tc>
        <w:tc>
          <w:tcPr>
            <w:tcW w:w="711" w:type="pct"/>
            <w:tcBorders>
              <w:tl2br w:val="nil"/>
              <w:tr2bl w:val="nil"/>
            </w:tcBorders>
            <w:vAlign w:val="center"/>
          </w:tcPr>
          <w:p w14:paraId="678337D5">
            <w:pPr>
              <w:jc w:val="center"/>
              <w:textAlignment w:val="center"/>
              <w:rPr>
                <w:rFonts w:ascii="Times New Roman" w:hAnsi="Times New Roman" w:cs="Times New Roman"/>
                <w:color w:val="auto"/>
                <w:sz w:val="21"/>
                <w:lang w:eastAsia="zh-CN" w:bidi="ar"/>
              </w:rPr>
            </w:pPr>
          </w:p>
        </w:tc>
        <w:tc>
          <w:tcPr>
            <w:tcW w:w="598" w:type="pct"/>
            <w:tcBorders>
              <w:tl2br w:val="nil"/>
              <w:tr2bl w:val="nil"/>
            </w:tcBorders>
            <w:noWrap/>
            <w:vAlign w:val="center"/>
          </w:tcPr>
          <w:p w14:paraId="173AD3B5">
            <w:pPr>
              <w:jc w:val="center"/>
              <w:textAlignment w:val="center"/>
              <w:rPr>
                <w:rFonts w:ascii="Times New Roman" w:hAnsi="Times New Roman" w:cs="Times New Roman"/>
                <w:color w:val="auto"/>
                <w:sz w:val="21"/>
              </w:rPr>
            </w:pPr>
          </w:p>
        </w:tc>
        <w:tc>
          <w:tcPr>
            <w:tcW w:w="418" w:type="pct"/>
            <w:tcBorders>
              <w:tl2br w:val="nil"/>
              <w:tr2bl w:val="nil"/>
            </w:tcBorders>
            <w:noWrap/>
            <w:vAlign w:val="center"/>
          </w:tcPr>
          <w:p w14:paraId="46D8785B">
            <w:pPr>
              <w:jc w:val="center"/>
              <w:textAlignment w:val="center"/>
              <w:rPr>
                <w:rFonts w:ascii="Times New Roman" w:hAnsi="Times New Roman" w:cs="Times New Roman"/>
                <w:color w:val="auto"/>
                <w:sz w:val="21"/>
              </w:rPr>
            </w:pPr>
          </w:p>
        </w:tc>
        <w:tc>
          <w:tcPr>
            <w:tcW w:w="406" w:type="pct"/>
            <w:tcBorders>
              <w:tl2br w:val="nil"/>
              <w:tr2bl w:val="nil"/>
            </w:tcBorders>
            <w:noWrap/>
            <w:vAlign w:val="center"/>
          </w:tcPr>
          <w:p w14:paraId="798E1E56">
            <w:pPr>
              <w:jc w:val="center"/>
              <w:textAlignment w:val="center"/>
              <w:rPr>
                <w:rFonts w:ascii="Times New Roman" w:hAnsi="Times New Roman" w:cs="Times New Roman"/>
                <w:color w:val="auto"/>
                <w:sz w:val="21"/>
              </w:rPr>
            </w:pPr>
          </w:p>
        </w:tc>
        <w:tc>
          <w:tcPr>
            <w:tcW w:w="379" w:type="pct"/>
            <w:tcBorders>
              <w:tl2br w:val="nil"/>
              <w:tr2bl w:val="nil"/>
            </w:tcBorders>
            <w:noWrap/>
            <w:vAlign w:val="center"/>
          </w:tcPr>
          <w:p w14:paraId="5C2EBCEE">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60CFDCD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jc w:val="center"/>
        </w:trPr>
        <w:tc>
          <w:tcPr>
            <w:tcW w:w="205" w:type="pct"/>
            <w:vMerge w:val="continue"/>
            <w:tcBorders>
              <w:tl2br w:val="nil"/>
              <w:tr2bl w:val="nil"/>
            </w:tcBorders>
            <w:noWrap/>
            <w:vAlign w:val="center"/>
          </w:tcPr>
          <w:p w14:paraId="5768CDA4">
            <w:pPr>
              <w:jc w:val="center"/>
              <w:rPr>
                <w:rFonts w:ascii="Times New Roman" w:hAnsi="Times New Roman" w:cs="Times New Roman"/>
                <w:color w:val="auto"/>
                <w:sz w:val="21"/>
              </w:rPr>
            </w:pPr>
          </w:p>
        </w:tc>
        <w:tc>
          <w:tcPr>
            <w:tcW w:w="332" w:type="pct"/>
            <w:vMerge w:val="continue"/>
            <w:tcBorders>
              <w:tl2br w:val="nil"/>
              <w:tr2bl w:val="nil"/>
            </w:tcBorders>
            <w:noWrap/>
            <w:vAlign w:val="center"/>
          </w:tcPr>
          <w:p w14:paraId="6AA5E8F6">
            <w:pPr>
              <w:jc w:val="center"/>
              <w:rPr>
                <w:rFonts w:ascii="Times New Roman" w:hAnsi="Times New Roman" w:cs="Times New Roman"/>
                <w:color w:val="auto"/>
                <w:sz w:val="21"/>
              </w:rPr>
            </w:pPr>
          </w:p>
        </w:tc>
        <w:tc>
          <w:tcPr>
            <w:tcW w:w="427" w:type="pct"/>
            <w:tcBorders>
              <w:tl2br w:val="nil"/>
              <w:tr2bl w:val="nil"/>
            </w:tcBorders>
            <w:noWrap/>
            <w:vAlign w:val="center"/>
          </w:tcPr>
          <w:p w14:paraId="3362862B">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日平均</w:t>
            </w:r>
          </w:p>
        </w:tc>
        <w:tc>
          <w:tcPr>
            <w:tcW w:w="443" w:type="pct"/>
            <w:tcBorders>
              <w:tl2br w:val="nil"/>
              <w:tr2bl w:val="nil"/>
            </w:tcBorders>
            <w:noWrap/>
            <w:vAlign w:val="center"/>
          </w:tcPr>
          <w:p w14:paraId="65C1FAA8">
            <w:pPr>
              <w:jc w:val="center"/>
              <w:textAlignment w:val="center"/>
              <w:rPr>
                <w:rFonts w:ascii="Times New Roman" w:hAnsi="Times New Roman" w:cs="Times New Roman"/>
                <w:color w:val="auto"/>
                <w:sz w:val="21"/>
              </w:rPr>
            </w:pPr>
          </w:p>
        </w:tc>
        <w:tc>
          <w:tcPr>
            <w:tcW w:w="623" w:type="pct"/>
            <w:tcBorders>
              <w:tl2br w:val="nil"/>
              <w:tr2bl w:val="nil"/>
            </w:tcBorders>
            <w:noWrap/>
            <w:vAlign w:val="center"/>
          </w:tcPr>
          <w:p w14:paraId="5DB9F378">
            <w:pPr>
              <w:jc w:val="center"/>
              <w:textAlignment w:val="center"/>
              <w:rPr>
                <w:rFonts w:ascii="Times New Roman" w:hAnsi="Times New Roman" w:cs="Times New Roman"/>
                <w:color w:val="auto"/>
                <w:sz w:val="21"/>
              </w:rPr>
            </w:pPr>
          </w:p>
        </w:tc>
        <w:tc>
          <w:tcPr>
            <w:tcW w:w="457" w:type="pct"/>
            <w:tcBorders>
              <w:tl2br w:val="nil"/>
              <w:tr2bl w:val="nil"/>
            </w:tcBorders>
            <w:noWrap/>
            <w:vAlign w:val="center"/>
          </w:tcPr>
          <w:p w14:paraId="41BE26C6">
            <w:pPr>
              <w:jc w:val="center"/>
              <w:textAlignment w:val="center"/>
              <w:rPr>
                <w:rFonts w:ascii="Times New Roman" w:hAnsi="Times New Roman" w:cs="Times New Roman"/>
                <w:color w:val="auto"/>
                <w:sz w:val="21"/>
              </w:rPr>
            </w:pPr>
          </w:p>
        </w:tc>
        <w:tc>
          <w:tcPr>
            <w:tcW w:w="711" w:type="pct"/>
            <w:tcBorders>
              <w:tl2br w:val="nil"/>
              <w:tr2bl w:val="nil"/>
            </w:tcBorders>
            <w:vAlign w:val="center"/>
          </w:tcPr>
          <w:p w14:paraId="52C70182">
            <w:pPr>
              <w:jc w:val="center"/>
              <w:textAlignment w:val="center"/>
              <w:rPr>
                <w:rFonts w:ascii="Times New Roman" w:hAnsi="Times New Roman" w:cs="Times New Roman"/>
                <w:color w:val="auto"/>
                <w:sz w:val="21"/>
                <w:lang w:eastAsia="zh-CN" w:bidi="ar"/>
              </w:rPr>
            </w:pPr>
          </w:p>
        </w:tc>
        <w:tc>
          <w:tcPr>
            <w:tcW w:w="598" w:type="pct"/>
            <w:tcBorders>
              <w:tl2br w:val="nil"/>
              <w:tr2bl w:val="nil"/>
            </w:tcBorders>
            <w:noWrap/>
            <w:vAlign w:val="center"/>
          </w:tcPr>
          <w:p w14:paraId="36E24E26">
            <w:pPr>
              <w:jc w:val="center"/>
              <w:textAlignment w:val="center"/>
              <w:rPr>
                <w:rFonts w:ascii="Times New Roman" w:hAnsi="Times New Roman" w:cs="Times New Roman"/>
                <w:color w:val="auto"/>
                <w:sz w:val="21"/>
              </w:rPr>
            </w:pPr>
          </w:p>
        </w:tc>
        <w:tc>
          <w:tcPr>
            <w:tcW w:w="418" w:type="pct"/>
            <w:tcBorders>
              <w:tl2br w:val="nil"/>
              <w:tr2bl w:val="nil"/>
            </w:tcBorders>
            <w:noWrap/>
            <w:vAlign w:val="center"/>
          </w:tcPr>
          <w:p w14:paraId="22DCE7F1">
            <w:pPr>
              <w:jc w:val="center"/>
              <w:textAlignment w:val="center"/>
              <w:rPr>
                <w:rFonts w:ascii="Times New Roman" w:hAnsi="Times New Roman" w:cs="Times New Roman"/>
                <w:color w:val="auto"/>
                <w:sz w:val="21"/>
              </w:rPr>
            </w:pPr>
          </w:p>
        </w:tc>
        <w:tc>
          <w:tcPr>
            <w:tcW w:w="406" w:type="pct"/>
            <w:tcBorders>
              <w:tl2br w:val="nil"/>
              <w:tr2bl w:val="nil"/>
            </w:tcBorders>
            <w:noWrap/>
            <w:vAlign w:val="center"/>
          </w:tcPr>
          <w:p w14:paraId="0FBABDC1">
            <w:pPr>
              <w:jc w:val="center"/>
              <w:textAlignment w:val="center"/>
              <w:rPr>
                <w:rFonts w:ascii="Times New Roman" w:hAnsi="Times New Roman" w:cs="Times New Roman"/>
                <w:color w:val="auto"/>
                <w:sz w:val="21"/>
                <w:lang w:eastAsia="zh-CN"/>
              </w:rPr>
            </w:pPr>
          </w:p>
        </w:tc>
        <w:tc>
          <w:tcPr>
            <w:tcW w:w="379" w:type="pct"/>
            <w:tcBorders>
              <w:tl2br w:val="nil"/>
              <w:tr2bl w:val="nil"/>
            </w:tcBorders>
            <w:noWrap/>
            <w:vAlign w:val="center"/>
          </w:tcPr>
          <w:p w14:paraId="0A0E473E">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bl>
    <w:p w14:paraId="232A5284">
      <w:pPr>
        <w:tabs>
          <w:tab w:val="left" w:pos="6246"/>
          <w:tab w:val="center" w:pos="6979"/>
        </w:tabs>
        <w:spacing w:line="360" w:lineRule="auto"/>
        <w:rPr>
          <w:rFonts w:ascii="Times New Roman" w:hAnsi="Times New Roman" w:cs="Times New Roman"/>
          <w:b/>
          <w:kern w:val="2"/>
          <w:szCs w:val="24"/>
          <w:lang w:eastAsia="zh-CN"/>
        </w:rPr>
      </w:pPr>
      <w:r>
        <w:rPr>
          <w:rFonts w:ascii="Times New Roman" w:hAnsi="Times New Roman" w:cs="Times New Roman"/>
          <w:b/>
          <w:kern w:val="2"/>
          <w:szCs w:val="24"/>
          <w:lang w:eastAsia="zh-CN"/>
        </w:rPr>
        <w:tab/>
      </w:r>
    </w:p>
    <w:p w14:paraId="68469CBD">
      <w:pPr>
        <w:rPr>
          <w:rFonts w:ascii="Times New Roman" w:hAnsi="Times New Roman" w:cs="Times New Roman"/>
          <w:lang w:eastAsia="zh-CN"/>
        </w:rPr>
        <w:sectPr>
          <w:pgSz w:w="16838" w:h="11906" w:orient="landscape"/>
          <w:pgMar w:top="1080" w:right="1440" w:bottom="1080" w:left="1440" w:header="851" w:footer="992" w:gutter="0"/>
          <w:cols w:space="720" w:num="1"/>
          <w:docGrid w:type="lines" w:linePitch="326" w:charSpace="0"/>
        </w:sectPr>
      </w:pPr>
    </w:p>
    <w:p w14:paraId="77F7DC64">
      <w:pPr>
        <w:spacing w:line="360" w:lineRule="auto"/>
        <w:jc w:val="center"/>
        <w:rPr>
          <w:rFonts w:ascii="Times New Roman" w:hAnsi="Times New Roman" w:cs="Times New Roman"/>
          <w:bCs/>
          <w:color w:val="auto"/>
          <w:lang w:eastAsia="zh-CN"/>
        </w:rPr>
      </w:pPr>
      <w:r>
        <w:rPr>
          <w:rFonts w:ascii="Times New Roman" w:hAnsi="Times New Roman" w:cs="Times New Roman"/>
          <w:b/>
          <w:bCs/>
          <w:snapToGrid/>
          <w:color w:val="auto"/>
          <w:szCs w:val="24"/>
          <w:lang w:eastAsia="zh-CN"/>
        </w:rPr>
        <w:drawing>
          <wp:anchor distT="0" distB="0" distL="114300" distR="114300" simplePos="0" relativeHeight="251788288" behindDoc="0" locked="0" layoutInCell="1" allowOverlap="1">
            <wp:simplePos x="0" y="0"/>
            <wp:positionH relativeFrom="column">
              <wp:posOffset>502920</wp:posOffset>
            </wp:positionH>
            <wp:positionV relativeFrom="paragraph">
              <wp:posOffset>107950</wp:posOffset>
            </wp:positionV>
            <wp:extent cx="875030" cy="661670"/>
            <wp:effectExtent l="0" t="0" r="0" b="0"/>
            <wp:wrapNone/>
            <wp:docPr id="5593"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3" name="图片 15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875030" cy="661670"/>
                    </a:xfrm>
                    <a:prstGeom prst="rect">
                      <a:avLst/>
                    </a:prstGeom>
                    <a:noFill/>
                    <a:ln>
                      <a:noFill/>
                    </a:ln>
                  </pic:spPr>
                </pic:pic>
              </a:graphicData>
            </a:graphic>
          </wp:anchor>
        </w:drawing>
      </w:r>
    </w:p>
    <w:p w14:paraId="7ACEF172">
      <w:pPr>
        <w:spacing w:line="360" w:lineRule="auto"/>
        <w:jc w:val="center"/>
        <w:rPr>
          <w:rFonts w:ascii="Times New Roman" w:hAnsi="Times New Roman" w:cs="Times New Roman"/>
          <w:bCs/>
          <w:lang w:eastAsia="zh-CN"/>
        </w:rPr>
      </w:pPr>
      <w:r>
        <w:rPr>
          <w:rFonts w:ascii="Times New Roman" w:hAnsi="Times New Roman" w:cs="Times New Roman"/>
          <w:b/>
          <w:bCs/>
          <w:szCs w:val="24"/>
          <w:lang w:eastAsia="zh-CN"/>
        </w:rPr>
        <w:t>图</w:t>
      </w:r>
      <w:r>
        <w:rPr>
          <w:rFonts w:hint="eastAsia" w:ascii="Times New Roman" w:hAnsi="Times New Roman" w:cs="Times New Roman"/>
          <w:b/>
          <w:bCs/>
          <w:szCs w:val="24"/>
          <w:lang w:eastAsia="zh-CN"/>
        </w:rPr>
        <w:t>6</w:t>
      </w:r>
      <w:r>
        <w:rPr>
          <w:rFonts w:ascii="Times New Roman" w:hAnsi="Times New Roman" w:cs="Times New Roman"/>
          <w:b/>
          <w:bCs/>
          <w:szCs w:val="24"/>
          <w:lang w:eastAsia="zh-CN"/>
        </w:rPr>
        <w:t>.2-</w:t>
      </w:r>
      <w:r>
        <w:rPr>
          <w:rFonts w:hint="eastAsia" w:ascii="Times New Roman" w:hAnsi="Times New Roman" w:cs="Times New Roman"/>
          <w:b/>
          <w:bCs/>
          <w:szCs w:val="24"/>
          <w:lang w:eastAsia="zh-CN"/>
        </w:rPr>
        <w:t>5</w:t>
      </w:r>
      <w:r>
        <w:rPr>
          <w:rFonts w:ascii="Times New Roman" w:hAnsi="Times New Roman" w:cs="Times New Roman"/>
          <w:b/>
          <w:bCs/>
          <w:szCs w:val="24"/>
          <w:lang w:eastAsia="zh-CN"/>
        </w:rPr>
        <w:t xml:space="preserve"> 网格点处</w:t>
      </w:r>
      <w:r>
        <w:rPr>
          <w:rFonts w:hint="eastAsia" w:ascii="Times New Roman" w:hAnsi="Times New Roman" w:cs="Times New Roman"/>
          <w:b/>
          <w:bCs/>
          <w:szCs w:val="24"/>
          <w:lang w:eastAsia="zh-CN"/>
        </w:rPr>
        <w:t>氟化物</w:t>
      </w:r>
      <w:r>
        <w:rPr>
          <w:rFonts w:ascii="Times New Roman" w:hAnsi="Times New Roman" w:cs="Times New Roman"/>
          <w:b/>
          <w:bCs/>
          <w:szCs w:val="24"/>
          <w:lang w:eastAsia="zh-CN"/>
        </w:rPr>
        <w:t>小时平均浓度贡献值等值线图（单位：μg/m</w:t>
      </w:r>
      <w:r>
        <w:rPr>
          <w:rFonts w:ascii="Times New Roman" w:hAnsi="Times New Roman" w:cs="Times New Roman"/>
          <w:b/>
          <w:bCs/>
          <w:szCs w:val="24"/>
          <w:vertAlign w:val="superscript"/>
          <w:lang w:eastAsia="zh-CN"/>
        </w:rPr>
        <w:t>3</w:t>
      </w:r>
      <w:r>
        <w:rPr>
          <w:rFonts w:ascii="Times New Roman" w:hAnsi="Times New Roman" w:cs="Times New Roman"/>
          <w:b/>
          <w:bCs/>
          <w:szCs w:val="24"/>
          <w:lang w:eastAsia="zh-CN"/>
        </w:rPr>
        <w:t>）</w:t>
      </w:r>
    </w:p>
    <w:p w14:paraId="70118BD6">
      <w:pPr>
        <w:spacing w:line="360" w:lineRule="auto"/>
        <w:jc w:val="center"/>
        <w:rPr>
          <w:rFonts w:ascii="Times New Roman" w:hAnsi="Times New Roman" w:cs="Times New Roman"/>
          <w:bCs/>
          <w:color w:val="auto"/>
          <w:lang w:eastAsia="zh-CN"/>
        </w:rPr>
      </w:pPr>
      <w:r>
        <w:rPr>
          <w:rFonts w:ascii="Times New Roman" w:hAnsi="Times New Roman" w:cs="Times New Roman"/>
          <w:bCs/>
          <w:snapToGrid/>
          <w:color w:val="auto"/>
          <w:lang w:eastAsia="zh-CN"/>
        </w:rPr>
        <w:drawing>
          <wp:anchor distT="0" distB="0" distL="114300" distR="114300" simplePos="0" relativeHeight="251789312" behindDoc="0" locked="0" layoutInCell="1" allowOverlap="1">
            <wp:simplePos x="0" y="0"/>
            <wp:positionH relativeFrom="column">
              <wp:posOffset>483235</wp:posOffset>
            </wp:positionH>
            <wp:positionV relativeFrom="paragraph">
              <wp:posOffset>73025</wp:posOffset>
            </wp:positionV>
            <wp:extent cx="875030" cy="661670"/>
            <wp:effectExtent l="0" t="0" r="0" b="0"/>
            <wp:wrapNone/>
            <wp:docPr id="5594"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4" name="图片 15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875030" cy="661670"/>
                    </a:xfrm>
                    <a:prstGeom prst="rect">
                      <a:avLst/>
                    </a:prstGeom>
                    <a:noFill/>
                    <a:ln>
                      <a:noFill/>
                    </a:ln>
                  </pic:spPr>
                </pic:pic>
              </a:graphicData>
            </a:graphic>
          </wp:anchor>
        </w:drawing>
      </w:r>
    </w:p>
    <w:p w14:paraId="6C2E8075">
      <w:pPr>
        <w:spacing w:line="360" w:lineRule="auto"/>
        <w:jc w:val="center"/>
        <w:rPr>
          <w:rFonts w:ascii="Times New Roman" w:hAnsi="Times New Roman" w:cs="Times New Roman"/>
          <w:b/>
          <w:bCs/>
          <w:szCs w:val="24"/>
          <w:lang w:eastAsia="zh-CN"/>
        </w:rPr>
      </w:pPr>
      <w:r>
        <w:rPr>
          <w:rFonts w:ascii="Times New Roman" w:hAnsi="Times New Roman" w:cs="Times New Roman"/>
          <w:b/>
          <w:lang w:eastAsia="zh-CN"/>
        </w:rPr>
        <w:t>图</w:t>
      </w:r>
      <w:r>
        <w:rPr>
          <w:rFonts w:hint="eastAsia" w:ascii="Times New Roman" w:hAnsi="Times New Roman" w:cs="Times New Roman"/>
          <w:b/>
          <w:lang w:eastAsia="zh-CN"/>
        </w:rPr>
        <w:t>6</w:t>
      </w:r>
      <w:r>
        <w:rPr>
          <w:rFonts w:ascii="Times New Roman" w:hAnsi="Times New Roman" w:cs="Times New Roman"/>
          <w:b/>
          <w:lang w:eastAsia="zh-CN"/>
        </w:rPr>
        <w:t>.2-</w:t>
      </w:r>
      <w:r>
        <w:rPr>
          <w:rFonts w:hint="eastAsia" w:ascii="Times New Roman" w:hAnsi="Times New Roman" w:cs="Times New Roman"/>
          <w:b/>
          <w:lang w:eastAsia="zh-CN"/>
        </w:rPr>
        <w:t>6</w:t>
      </w:r>
      <w:r>
        <w:rPr>
          <w:rFonts w:ascii="Times New Roman" w:hAnsi="Times New Roman" w:cs="Times New Roman"/>
          <w:b/>
          <w:lang w:eastAsia="zh-CN"/>
        </w:rPr>
        <w:t xml:space="preserve"> 网格点</w:t>
      </w:r>
      <w:r>
        <w:rPr>
          <w:rFonts w:ascii="Times New Roman" w:hAnsi="Times New Roman" w:cs="Times New Roman"/>
          <w:b/>
          <w:szCs w:val="24"/>
          <w:lang w:eastAsia="zh-CN"/>
        </w:rPr>
        <w:t>处</w:t>
      </w:r>
      <w:r>
        <w:rPr>
          <w:rFonts w:hint="eastAsia" w:ascii="Times New Roman" w:hAnsi="Times New Roman" w:cs="Times New Roman"/>
          <w:b/>
          <w:lang w:eastAsia="zh-CN"/>
        </w:rPr>
        <w:t>氟化物</w:t>
      </w:r>
      <w:r>
        <w:rPr>
          <w:rFonts w:ascii="Times New Roman" w:hAnsi="Times New Roman" w:cs="Times New Roman"/>
          <w:b/>
          <w:szCs w:val="24"/>
          <w:lang w:eastAsia="zh-CN"/>
        </w:rPr>
        <w:t>日</w:t>
      </w:r>
      <w:r>
        <w:rPr>
          <w:rFonts w:ascii="Times New Roman" w:hAnsi="Times New Roman" w:cs="Times New Roman"/>
          <w:b/>
          <w:bCs/>
          <w:szCs w:val="24"/>
          <w:lang w:eastAsia="zh-CN"/>
        </w:rPr>
        <w:t>平均浓度贡献值等值线图（单位：μg/m</w:t>
      </w:r>
      <w:r>
        <w:rPr>
          <w:rFonts w:ascii="Times New Roman" w:hAnsi="Times New Roman" w:cs="Times New Roman"/>
          <w:b/>
          <w:bCs/>
          <w:szCs w:val="24"/>
          <w:vertAlign w:val="superscript"/>
          <w:lang w:eastAsia="zh-CN"/>
        </w:rPr>
        <w:t>3</w:t>
      </w:r>
      <w:r>
        <w:rPr>
          <w:rFonts w:ascii="Times New Roman" w:hAnsi="Times New Roman" w:cs="Times New Roman"/>
          <w:b/>
          <w:bCs/>
          <w:szCs w:val="24"/>
          <w:lang w:eastAsia="zh-CN"/>
        </w:rPr>
        <w:t>）</w:t>
      </w:r>
    </w:p>
    <w:p w14:paraId="45529AE3">
      <w:pPr>
        <w:widowControl w:val="0"/>
        <w:spacing w:line="360" w:lineRule="auto"/>
        <w:ind w:firstLine="480" w:firstLineChars="200"/>
        <w:jc w:val="both"/>
        <w:rPr>
          <w:rFonts w:ascii="Times New Roman" w:hAnsi="Times New Roman" w:cs="Times New Roman"/>
          <w:bCs/>
          <w:color w:val="auto"/>
          <w:lang w:eastAsia="zh-CN"/>
        </w:rPr>
      </w:pPr>
      <w:r>
        <w:rPr>
          <w:rFonts w:ascii="Times New Roman" w:hAnsi="Times New Roman" w:cs="Times New Roman"/>
          <w:bCs/>
          <w:color w:val="auto"/>
          <w:lang w:eastAsia="zh-CN"/>
        </w:rPr>
        <w:t>根据预测，</w:t>
      </w:r>
      <w:r>
        <w:rPr>
          <w:rFonts w:hint="eastAsia" w:ascii="Times New Roman" w:hAnsi="Times New Roman" w:cs="Times New Roman"/>
          <w:bCs/>
          <w:color w:val="auto"/>
          <w:lang w:eastAsia="zh-CN"/>
        </w:rPr>
        <w:t>网格点氟化物</w:t>
      </w:r>
      <w:r>
        <w:rPr>
          <w:rFonts w:ascii="Times New Roman" w:hAnsi="Times New Roman" w:cs="Times New Roman"/>
          <w:bCs/>
          <w:color w:val="auto"/>
          <w:lang w:eastAsia="zh-CN"/>
        </w:rPr>
        <w:t>小时浓度最大贡献值</w:t>
      </w:r>
      <w:r>
        <w:rPr>
          <w:rFonts w:hint="eastAsia" w:ascii="Times New Roman" w:hAnsi="Times New Roman" w:cs="Times New Roman"/>
          <w:bCs/>
          <w:color w:val="auto"/>
          <w:lang w:eastAsia="zh-CN"/>
        </w:rPr>
        <w:t>2.57</w:t>
      </w:r>
      <w:r>
        <w:rPr>
          <w:rFonts w:ascii="Times New Roman" w:hAnsi="Times New Roman" w:cs="Times New Roman"/>
          <w:bCs/>
          <w:color w:val="auto"/>
          <w:lang w:eastAsia="zh-CN"/>
        </w:rPr>
        <w:t>μg/m</w:t>
      </w:r>
      <w:r>
        <w:rPr>
          <w:rFonts w:ascii="Times New Roman" w:hAnsi="Times New Roman" w:cs="Times New Roman"/>
          <w:bCs/>
          <w:color w:val="auto"/>
          <w:vertAlign w:val="superscript"/>
          <w:lang w:eastAsia="zh-CN"/>
        </w:rPr>
        <w:t>3</w:t>
      </w:r>
      <w:r>
        <w:rPr>
          <w:rFonts w:ascii="Times New Roman" w:hAnsi="Times New Roman" w:cs="Times New Roman"/>
          <w:bCs/>
          <w:color w:val="auto"/>
          <w:lang w:eastAsia="zh-CN"/>
        </w:rPr>
        <w:t>，占标率</w:t>
      </w:r>
      <w:r>
        <w:rPr>
          <w:rFonts w:hint="eastAsia" w:ascii="Times New Roman" w:hAnsi="Times New Roman" w:cs="Times New Roman"/>
          <w:bCs/>
          <w:color w:val="auto"/>
          <w:lang w:eastAsia="zh-CN"/>
        </w:rPr>
        <w:t>12.85</w:t>
      </w:r>
      <w:r>
        <w:rPr>
          <w:rFonts w:ascii="Times New Roman" w:hAnsi="Times New Roman" w:cs="Times New Roman"/>
          <w:bCs/>
          <w:color w:val="auto"/>
          <w:lang w:eastAsia="zh-CN"/>
        </w:rPr>
        <w:t>%；</w:t>
      </w:r>
      <w:r>
        <w:rPr>
          <w:rFonts w:hint="eastAsia" w:ascii="Times New Roman" w:hAnsi="Times New Roman" w:cs="Times New Roman"/>
          <w:bCs/>
          <w:color w:val="auto"/>
          <w:lang w:eastAsia="zh-CN"/>
        </w:rPr>
        <w:t>氟化物</w:t>
      </w:r>
      <w:r>
        <w:rPr>
          <w:rFonts w:ascii="Times New Roman" w:hAnsi="Times New Roman" w:cs="Times New Roman"/>
          <w:bCs/>
          <w:color w:val="auto"/>
          <w:lang w:eastAsia="zh-CN"/>
        </w:rPr>
        <w:t>日平均浓度最大贡献值为</w:t>
      </w:r>
      <w:r>
        <w:rPr>
          <w:rFonts w:hint="eastAsia" w:ascii="Times New Roman" w:hAnsi="Times New Roman" w:cs="Times New Roman"/>
          <w:bCs/>
          <w:color w:val="auto"/>
          <w:lang w:eastAsia="zh-CN"/>
        </w:rPr>
        <w:t>0.37</w:t>
      </w:r>
      <w:r>
        <w:rPr>
          <w:rFonts w:ascii="Times New Roman" w:hAnsi="Times New Roman" w:cs="Times New Roman"/>
          <w:bCs/>
          <w:color w:val="auto"/>
          <w:lang w:eastAsia="zh-CN"/>
        </w:rPr>
        <w:t>μg/m</w:t>
      </w:r>
      <w:r>
        <w:rPr>
          <w:rFonts w:ascii="Times New Roman" w:hAnsi="Times New Roman" w:cs="Times New Roman"/>
          <w:bCs/>
          <w:color w:val="auto"/>
          <w:vertAlign w:val="superscript"/>
          <w:lang w:eastAsia="zh-CN"/>
        </w:rPr>
        <w:t>3</w:t>
      </w:r>
      <w:r>
        <w:rPr>
          <w:rFonts w:ascii="Times New Roman" w:hAnsi="Times New Roman" w:cs="Times New Roman"/>
          <w:bCs/>
          <w:color w:val="auto"/>
          <w:lang w:eastAsia="zh-CN"/>
        </w:rPr>
        <w:t>，占标率为</w:t>
      </w:r>
      <w:r>
        <w:rPr>
          <w:rFonts w:hint="eastAsia" w:ascii="Times New Roman" w:hAnsi="Times New Roman" w:cs="Times New Roman"/>
          <w:bCs/>
          <w:color w:val="auto"/>
          <w:lang w:eastAsia="zh-CN"/>
        </w:rPr>
        <w:t>5.29</w:t>
      </w:r>
      <w:r>
        <w:rPr>
          <w:rFonts w:ascii="Times New Roman" w:hAnsi="Times New Roman" w:cs="Times New Roman"/>
          <w:bCs/>
          <w:color w:val="auto"/>
          <w:lang w:eastAsia="zh-CN"/>
        </w:rPr>
        <w:t>%。</w:t>
      </w:r>
    </w:p>
    <w:p w14:paraId="0D0CCF09">
      <w:pPr>
        <w:widowControl w:val="0"/>
        <w:spacing w:line="360" w:lineRule="auto"/>
        <w:ind w:firstLine="480" w:firstLineChars="200"/>
        <w:jc w:val="both"/>
        <w:rPr>
          <w:rFonts w:ascii="Times New Roman" w:hAnsi="Times New Roman" w:cs="Times New Roman"/>
          <w:bCs/>
          <w:color w:val="auto"/>
          <w:lang w:eastAsia="zh-CN"/>
        </w:rPr>
      </w:pPr>
      <w:r>
        <w:rPr>
          <w:rFonts w:ascii="Times New Roman" w:hAnsi="Times New Roman" w:cs="Times New Roman"/>
          <w:bCs/>
          <w:color w:val="auto"/>
          <w:lang w:eastAsia="zh-CN"/>
        </w:rPr>
        <w:t>空气环境保护目标</w:t>
      </w:r>
      <w:r>
        <w:rPr>
          <w:rFonts w:hint="eastAsia" w:ascii="Times New Roman" w:hAnsi="Times New Roman" w:cs="Times New Roman"/>
          <w:bCs/>
          <w:color w:val="auto"/>
          <w:lang w:eastAsia="zh-CN"/>
        </w:rPr>
        <w:t>氟化物</w:t>
      </w:r>
      <w:r>
        <w:rPr>
          <w:rFonts w:ascii="Times New Roman" w:hAnsi="Times New Roman" w:cs="Times New Roman"/>
          <w:bCs/>
          <w:color w:val="auto"/>
          <w:lang w:eastAsia="zh-CN"/>
        </w:rPr>
        <w:t>小时浓度最大贡献值</w:t>
      </w:r>
      <w:r>
        <w:rPr>
          <w:rFonts w:hint="eastAsia" w:ascii="Times New Roman" w:hAnsi="Times New Roman" w:cs="Times New Roman"/>
          <w:bCs/>
          <w:color w:val="auto"/>
          <w:lang w:eastAsia="zh-CN"/>
        </w:rPr>
        <w:t>0.81</w:t>
      </w:r>
      <w:r>
        <w:rPr>
          <w:rFonts w:ascii="Times New Roman" w:hAnsi="Times New Roman" w:cs="Times New Roman"/>
          <w:bCs/>
          <w:color w:val="auto"/>
          <w:lang w:eastAsia="zh-CN"/>
        </w:rPr>
        <w:t>μg/m</w:t>
      </w:r>
      <w:r>
        <w:rPr>
          <w:rFonts w:ascii="Times New Roman" w:hAnsi="Times New Roman" w:cs="Times New Roman"/>
          <w:bCs/>
          <w:color w:val="auto"/>
          <w:vertAlign w:val="superscript"/>
          <w:lang w:eastAsia="zh-CN"/>
        </w:rPr>
        <w:t>3</w:t>
      </w:r>
      <w:r>
        <w:rPr>
          <w:rFonts w:ascii="Times New Roman" w:hAnsi="Times New Roman" w:cs="Times New Roman"/>
          <w:bCs/>
          <w:color w:val="auto"/>
          <w:lang w:eastAsia="zh-CN"/>
        </w:rPr>
        <w:t>，占标率</w:t>
      </w:r>
      <w:r>
        <w:rPr>
          <w:rFonts w:hint="eastAsia" w:ascii="Times New Roman" w:hAnsi="Times New Roman" w:cs="Times New Roman"/>
          <w:bCs/>
          <w:color w:val="auto"/>
          <w:lang w:eastAsia="zh-CN"/>
        </w:rPr>
        <w:t>4.05</w:t>
      </w:r>
      <w:r>
        <w:rPr>
          <w:rFonts w:ascii="Times New Roman" w:hAnsi="Times New Roman" w:cs="Times New Roman"/>
          <w:bCs/>
          <w:color w:val="auto"/>
          <w:lang w:eastAsia="zh-CN"/>
        </w:rPr>
        <w:t>%出现在</w:t>
      </w:r>
      <w:r>
        <w:rPr>
          <w:rFonts w:hint="eastAsia" w:ascii="Times New Roman" w:hAnsi="Times New Roman" w:cs="Times New Roman"/>
          <w:bCs/>
          <w:color w:val="auto"/>
          <w:lang w:eastAsia="zh-CN"/>
        </w:rPr>
        <w:t>大柏小学</w:t>
      </w:r>
      <w:r>
        <w:rPr>
          <w:rFonts w:ascii="Times New Roman" w:hAnsi="Times New Roman" w:cs="Times New Roman"/>
          <w:bCs/>
          <w:color w:val="auto"/>
          <w:lang w:eastAsia="zh-CN"/>
        </w:rPr>
        <w:t>，满足</w:t>
      </w:r>
      <w:r>
        <w:rPr>
          <w:rFonts w:hint="eastAsia" w:ascii="Times New Roman" w:hAnsi="Times New Roman" w:cs="Times New Roman"/>
          <w:bCs/>
          <w:color w:val="auto"/>
          <w:lang w:eastAsia="zh-CN"/>
        </w:rPr>
        <w:t>氟化物</w:t>
      </w:r>
      <w:r>
        <w:rPr>
          <w:rFonts w:ascii="Times New Roman" w:hAnsi="Times New Roman" w:cs="Times New Roman"/>
          <w:bCs/>
          <w:color w:val="auto"/>
          <w:lang w:eastAsia="zh-CN"/>
        </w:rPr>
        <w:t>小时浓度环境标准要求；</w:t>
      </w:r>
      <w:r>
        <w:rPr>
          <w:rFonts w:hint="eastAsia" w:ascii="Times New Roman" w:hAnsi="Times New Roman" w:cs="Times New Roman"/>
          <w:bCs/>
          <w:color w:val="auto"/>
          <w:lang w:eastAsia="zh-CN"/>
        </w:rPr>
        <w:t>氟化物</w:t>
      </w:r>
      <w:r>
        <w:rPr>
          <w:rFonts w:ascii="Times New Roman" w:hAnsi="Times New Roman" w:cs="Times New Roman"/>
          <w:bCs/>
          <w:color w:val="auto"/>
          <w:lang w:eastAsia="zh-CN"/>
        </w:rPr>
        <w:t>日平均浓度最大贡献值为</w:t>
      </w:r>
      <w:r>
        <w:rPr>
          <w:rFonts w:hint="eastAsia" w:ascii="Times New Roman" w:hAnsi="Times New Roman" w:cs="Times New Roman"/>
          <w:bCs/>
          <w:color w:val="auto"/>
          <w:lang w:eastAsia="zh-CN"/>
        </w:rPr>
        <w:t>0.07</w:t>
      </w:r>
      <w:r>
        <w:rPr>
          <w:rFonts w:ascii="Times New Roman" w:hAnsi="Times New Roman" w:cs="Times New Roman"/>
          <w:bCs/>
          <w:color w:val="auto"/>
          <w:lang w:eastAsia="zh-CN"/>
        </w:rPr>
        <w:t>μg/m</w:t>
      </w:r>
      <w:r>
        <w:rPr>
          <w:rFonts w:ascii="Times New Roman" w:hAnsi="Times New Roman" w:cs="Times New Roman"/>
          <w:bCs/>
          <w:color w:val="auto"/>
          <w:vertAlign w:val="superscript"/>
          <w:lang w:eastAsia="zh-CN"/>
        </w:rPr>
        <w:t>3</w:t>
      </w:r>
      <w:r>
        <w:rPr>
          <w:rFonts w:ascii="Times New Roman" w:hAnsi="Times New Roman" w:cs="Times New Roman"/>
          <w:bCs/>
          <w:color w:val="auto"/>
          <w:lang w:eastAsia="zh-CN"/>
        </w:rPr>
        <w:t>，占标率为</w:t>
      </w:r>
      <w:r>
        <w:rPr>
          <w:rFonts w:hint="eastAsia" w:ascii="Times New Roman" w:hAnsi="Times New Roman" w:cs="Times New Roman"/>
          <w:bCs/>
          <w:color w:val="auto"/>
          <w:lang w:eastAsia="zh-CN"/>
        </w:rPr>
        <w:t>1.0</w:t>
      </w:r>
      <w:r>
        <w:rPr>
          <w:rFonts w:ascii="Times New Roman" w:hAnsi="Times New Roman" w:cs="Times New Roman"/>
          <w:bCs/>
          <w:color w:val="auto"/>
          <w:lang w:eastAsia="zh-CN"/>
        </w:rPr>
        <w:t>%出现在</w:t>
      </w:r>
      <w:r>
        <w:rPr>
          <w:rFonts w:hint="eastAsia" w:ascii="Times New Roman" w:hAnsi="Times New Roman" w:cs="Times New Roman"/>
          <w:bCs/>
          <w:color w:val="auto"/>
          <w:lang w:eastAsia="zh-CN"/>
        </w:rPr>
        <w:t>大柏小学</w:t>
      </w:r>
      <w:r>
        <w:rPr>
          <w:rFonts w:ascii="Times New Roman" w:hAnsi="Times New Roman" w:cs="Times New Roman"/>
          <w:bCs/>
          <w:color w:val="auto"/>
          <w:lang w:eastAsia="zh-CN"/>
        </w:rPr>
        <w:t>，满足</w:t>
      </w:r>
      <w:r>
        <w:rPr>
          <w:rFonts w:hint="eastAsia" w:ascii="Times New Roman" w:hAnsi="Times New Roman" w:cs="Times New Roman"/>
          <w:bCs/>
          <w:color w:val="auto"/>
          <w:lang w:eastAsia="zh-CN"/>
        </w:rPr>
        <w:t>氟化物</w:t>
      </w:r>
      <w:r>
        <w:rPr>
          <w:rFonts w:ascii="Times New Roman" w:hAnsi="Times New Roman" w:cs="Times New Roman"/>
          <w:bCs/>
          <w:color w:val="auto"/>
          <w:lang w:eastAsia="zh-CN"/>
        </w:rPr>
        <w:t>日均浓度环境标准要求。</w:t>
      </w:r>
    </w:p>
    <w:p w14:paraId="3F6F3435">
      <w:pPr>
        <w:widowControl w:val="0"/>
        <w:spacing w:line="360" w:lineRule="auto"/>
        <w:ind w:firstLine="480" w:firstLineChars="200"/>
        <w:jc w:val="both"/>
        <w:rPr>
          <w:rFonts w:ascii="Times New Roman" w:hAnsi="Times New Roman" w:cs="Times New Roman"/>
          <w:bCs/>
          <w:color w:val="auto"/>
          <w:lang w:eastAsia="zh-CN"/>
        </w:rPr>
      </w:pPr>
      <w:r>
        <w:rPr>
          <w:rFonts w:ascii="Times New Roman" w:hAnsi="Times New Roman" w:cs="Times New Roman"/>
          <w:bCs/>
          <w:color w:val="auto"/>
          <w:lang w:eastAsia="zh-CN"/>
        </w:rPr>
        <w:t>根据预测，本项目叠加区域在建</w:t>
      </w:r>
      <w:r>
        <w:rPr>
          <w:rFonts w:hint="eastAsia" w:ascii="Times New Roman" w:hAnsi="Times New Roman" w:cs="Times New Roman"/>
          <w:bCs/>
          <w:color w:val="auto"/>
          <w:lang w:eastAsia="zh-CN"/>
        </w:rPr>
        <w:t>、拟建</w:t>
      </w:r>
      <w:r>
        <w:rPr>
          <w:rFonts w:ascii="Times New Roman" w:hAnsi="Times New Roman" w:cs="Times New Roman"/>
          <w:bCs/>
          <w:color w:val="auto"/>
          <w:lang w:eastAsia="zh-CN"/>
        </w:rPr>
        <w:t>及背景浓度后，</w:t>
      </w:r>
      <w:r>
        <w:rPr>
          <w:rFonts w:hint="eastAsia" w:ascii="Times New Roman" w:hAnsi="Times New Roman" w:cs="Times New Roman"/>
          <w:bCs/>
          <w:color w:val="auto"/>
          <w:lang w:eastAsia="zh-CN"/>
        </w:rPr>
        <w:t>氟化物</w:t>
      </w:r>
      <w:r>
        <w:rPr>
          <w:rFonts w:ascii="Times New Roman" w:hAnsi="Times New Roman" w:cs="Times New Roman"/>
          <w:bCs/>
          <w:color w:val="auto"/>
          <w:lang w:eastAsia="zh-CN"/>
        </w:rPr>
        <w:t>区域网格点小时浓度为</w:t>
      </w:r>
      <w:r>
        <w:rPr>
          <w:rFonts w:hint="eastAsia" w:ascii="Times New Roman" w:hAnsi="Times New Roman" w:cs="Times New Roman"/>
          <w:bCs/>
          <w:color w:val="auto"/>
          <w:lang w:eastAsia="zh-CN"/>
        </w:rPr>
        <w:t>10.0</w:t>
      </w:r>
      <w:r>
        <w:rPr>
          <w:rFonts w:ascii="Times New Roman" w:hAnsi="Times New Roman" w:cs="Times New Roman"/>
          <w:bCs/>
          <w:color w:val="auto"/>
          <w:lang w:eastAsia="zh-CN"/>
        </w:rPr>
        <w:t>μg/m</w:t>
      </w:r>
      <w:r>
        <w:rPr>
          <w:rFonts w:ascii="Times New Roman" w:hAnsi="Times New Roman" w:cs="Times New Roman"/>
          <w:bCs/>
          <w:color w:val="auto"/>
          <w:vertAlign w:val="superscript"/>
          <w:lang w:eastAsia="zh-CN"/>
        </w:rPr>
        <w:t>3</w:t>
      </w:r>
      <w:r>
        <w:rPr>
          <w:rFonts w:ascii="Times New Roman" w:hAnsi="Times New Roman" w:cs="Times New Roman"/>
          <w:bCs/>
          <w:color w:val="auto"/>
          <w:lang w:eastAsia="zh-CN"/>
        </w:rPr>
        <w:t>，占标率</w:t>
      </w:r>
      <w:r>
        <w:rPr>
          <w:rFonts w:hint="eastAsia" w:ascii="Times New Roman" w:hAnsi="Times New Roman" w:cs="Times New Roman"/>
          <w:bCs/>
          <w:color w:val="auto"/>
          <w:lang w:eastAsia="zh-CN"/>
        </w:rPr>
        <w:t>50.1</w:t>
      </w:r>
      <w:r>
        <w:rPr>
          <w:rFonts w:ascii="Times New Roman" w:hAnsi="Times New Roman" w:cs="Times New Roman"/>
          <w:bCs/>
          <w:color w:val="auto"/>
          <w:lang w:eastAsia="zh-CN"/>
        </w:rPr>
        <w:t>%；日均浓度</w:t>
      </w:r>
      <w:r>
        <w:rPr>
          <w:rFonts w:hint="eastAsia" w:ascii="Times New Roman" w:hAnsi="Times New Roman" w:cs="Times New Roman"/>
          <w:bCs/>
          <w:color w:val="auto"/>
          <w:lang w:eastAsia="zh-CN"/>
        </w:rPr>
        <w:t>1.96</w:t>
      </w:r>
      <w:r>
        <w:rPr>
          <w:rFonts w:ascii="Times New Roman" w:hAnsi="Times New Roman" w:cs="Times New Roman"/>
          <w:bCs/>
          <w:color w:val="auto"/>
          <w:lang w:eastAsia="zh-CN"/>
        </w:rPr>
        <w:t>μg/m</w:t>
      </w:r>
      <w:r>
        <w:rPr>
          <w:rFonts w:ascii="Times New Roman" w:hAnsi="Times New Roman" w:cs="Times New Roman"/>
          <w:bCs/>
          <w:color w:val="auto"/>
          <w:vertAlign w:val="superscript"/>
          <w:lang w:eastAsia="zh-CN"/>
        </w:rPr>
        <w:t>3</w:t>
      </w:r>
      <w:r>
        <w:rPr>
          <w:rFonts w:ascii="Times New Roman" w:hAnsi="Times New Roman" w:cs="Times New Roman"/>
          <w:bCs/>
          <w:color w:val="auto"/>
          <w:lang w:eastAsia="zh-CN"/>
        </w:rPr>
        <w:t>，占标率</w:t>
      </w:r>
      <w:r>
        <w:rPr>
          <w:rFonts w:hint="eastAsia" w:ascii="Times New Roman" w:hAnsi="Times New Roman" w:cs="Times New Roman"/>
          <w:bCs/>
          <w:color w:val="auto"/>
          <w:lang w:eastAsia="zh-CN"/>
        </w:rPr>
        <w:t>28</w:t>
      </w:r>
      <w:r>
        <w:rPr>
          <w:rFonts w:ascii="Times New Roman" w:hAnsi="Times New Roman" w:cs="Times New Roman"/>
          <w:bCs/>
          <w:color w:val="auto"/>
          <w:lang w:eastAsia="zh-CN"/>
        </w:rPr>
        <w:t>%。</w:t>
      </w:r>
    </w:p>
    <w:p w14:paraId="2832A7FA">
      <w:pPr>
        <w:widowControl w:val="0"/>
        <w:spacing w:line="360" w:lineRule="auto"/>
        <w:ind w:firstLine="480" w:firstLineChars="200"/>
        <w:jc w:val="both"/>
        <w:rPr>
          <w:rFonts w:ascii="Times New Roman" w:hAnsi="Times New Roman" w:cs="Times New Roman"/>
          <w:bCs/>
          <w:color w:val="auto"/>
          <w:lang w:eastAsia="zh-CN"/>
        </w:rPr>
      </w:pPr>
      <w:r>
        <w:rPr>
          <w:rFonts w:ascii="Times New Roman" w:hAnsi="Times New Roman" w:cs="Times New Roman"/>
          <w:bCs/>
          <w:color w:val="auto"/>
          <w:lang w:eastAsia="zh-CN"/>
        </w:rPr>
        <w:t>本项目叠加区域在建</w:t>
      </w:r>
      <w:r>
        <w:rPr>
          <w:rFonts w:hint="eastAsia" w:ascii="Times New Roman" w:hAnsi="Times New Roman" w:cs="Times New Roman"/>
          <w:bCs/>
          <w:color w:val="auto"/>
          <w:lang w:eastAsia="zh-CN"/>
        </w:rPr>
        <w:t>、拟建</w:t>
      </w:r>
      <w:r>
        <w:rPr>
          <w:rFonts w:ascii="Times New Roman" w:hAnsi="Times New Roman" w:cs="Times New Roman"/>
          <w:bCs/>
          <w:color w:val="auto"/>
          <w:lang w:eastAsia="zh-CN"/>
        </w:rPr>
        <w:t>及背景浓度后，</w:t>
      </w:r>
      <w:r>
        <w:rPr>
          <w:rFonts w:hint="eastAsia" w:ascii="Times New Roman" w:hAnsi="Times New Roman" w:cs="Times New Roman"/>
          <w:bCs/>
          <w:color w:val="auto"/>
          <w:lang w:eastAsia="zh-CN"/>
        </w:rPr>
        <w:t>氟化物</w:t>
      </w:r>
      <w:r>
        <w:rPr>
          <w:rFonts w:ascii="Times New Roman" w:hAnsi="Times New Roman" w:cs="Times New Roman"/>
          <w:bCs/>
          <w:color w:val="auto"/>
          <w:lang w:eastAsia="zh-CN"/>
        </w:rPr>
        <w:t>空气环境保护目标小时浓度为</w:t>
      </w:r>
      <w:r>
        <w:rPr>
          <w:rFonts w:hint="eastAsia" w:ascii="Times New Roman" w:hAnsi="Times New Roman" w:cs="Times New Roman"/>
          <w:bCs/>
          <w:color w:val="auto"/>
          <w:lang w:eastAsia="zh-CN"/>
        </w:rPr>
        <w:t>5.41</w:t>
      </w:r>
      <w:r>
        <w:rPr>
          <w:rFonts w:ascii="Times New Roman" w:hAnsi="Times New Roman" w:cs="Times New Roman"/>
          <w:bCs/>
          <w:color w:val="auto"/>
          <w:lang w:eastAsia="zh-CN"/>
        </w:rPr>
        <w:t>μg/m</w:t>
      </w:r>
      <w:r>
        <w:rPr>
          <w:rFonts w:ascii="Times New Roman" w:hAnsi="Times New Roman" w:cs="Times New Roman"/>
          <w:bCs/>
          <w:color w:val="auto"/>
          <w:vertAlign w:val="superscript"/>
          <w:lang w:eastAsia="zh-CN"/>
        </w:rPr>
        <w:t>3</w:t>
      </w:r>
      <w:r>
        <w:rPr>
          <w:rFonts w:ascii="Times New Roman" w:hAnsi="Times New Roman" w:cs="Times New Roman"/>
          <w:bCs/>
          <w:color w:val="auto"/>
          <w:lang w:eastAsia="zh-CN"/>
        </w:rPr>
        <w:t>，占标率</w:t>
      </w:r>
      <w:r>
        <w:rPr>
          <w:rFonts w:hint="eastAsia" w:ascii="Times New Roman" w:hAnsi="Times New Roman" w:cs="Times New Roman"/>
          <w:bCs/>
          <w:color w:val="auto"/>
          <w:lang w:eastAsia="zh-CN"/>
        </w:rPr>
        <w:t>27.05</w:t>
      </w:r>
      <w:r>
        <w:rPr>
          <w:rFonts w:ascii="Times New Roman" w:hAnsi="Times New Roman" w:cs="Times New Roman"/>
          <w:bCs/>
          <w:color w:val="auto"/>
          <w:lang w:eastAsia="zh-CN"/>
        </w:rPr>
        <w:t>%出现在</w:t>
      </w:r>
      <w:r>
        <w:rPr>
          <w:rFonts w:hint="eastAsia" w:ascii="Times New Roman" w:hAnsi="Times New Roman" w:cs="Times New Roman"/>
          <w:bCs/>
          <w:color w:val="auto"/>
          <w:lang w:eastAsia="zh-CN"/>
        </w:rPr>
        <w:t>大柏村</w:t>
      </w:r>
      <w:r>
        <w:rPr>
          <w:rFonts w:ascii="Times New Roman" w:hAnsi="Times New Roman" w:cs="Times New Roman"/>
          <w:bCs/>
          <w:color w:val="auto"/>
          <w:lang w:eastAsia="zh-CN"/>
        </w:rPr>
        <w:t>，满足</w:t>
      </w:r>
      <w:r>
        <w:rPr>
          <w:rFonts w:hint="eastAsia" w:ascii="Times New Roman" w:hAnsi="Times New Roman" w:cs="Times New Roman"/>
          <w:bCs/>
          <w:color w:val="auto"/>
          <w:lang w:eastAsia="zh-CN"/>
        </w:rPr>
        <w:t>氟化物</w:t>
      </w:r>
      <w:r>
        <w:rPr>
          <w:rFonts w:ascii="Times New Roman" w:hAnsi="Times New Roman" w:cs="Times New Roman"/>
          <w:bCs/>
          <w:color w:val="auto"/>
          <w:lang w:eastAsia="zh-CN"/>
        </w:rPr>
        <w:t>小时均浓度环境标准要求；日均浓度</w:t>
      </w:r>
      <w:r>
        <w:rPr>
          <w:rFonts w:hint="eastAsia" w:ascii="Times New Roman" w:hAnsi="Times New Roman" w:cs="Times New Roman"/>
          <w:bCs/>
          <w:color w:val="auto"/>
          <w:lang w:eastAsia="zh-CN"/>
        </w:rPr>
        <w:t>1.35</w:t>
      </w:r>
      <w:r>
        <w:rPr>
          <w:rFonts w:ascii="Times New Roman" w:hAnsi="Times New Roman" w:cs="Times New Roman"/>
          <w:bCs/>
          <w:color w:val="auto"/>
          <w:lang w:eastAsia="zh-CN"/>
        </w:rPr>
        <w:t>μg/m</w:t>
      </w:r>
      <w:r>
        <w:rPr>
          <w:rFonts w:ascii="Times New Roman" w:hAnsi="Times New Roman" w:cs="Times New Roman"/>
          <w:bCs/>
          <w:color w:val="auto"/>
          <w:vertAlign w:val="superscript"/>
          <w:lang w:eastAsia="zh-CN"/>
        </w:rPr>
        <w:t>3</w:t>
      </w:r>
      <w:r>
        <w:rPr>
          <w:rFonts w:ascii="Times New Roman" w:hAnsi="Times New Roman" w:cs="Times New Roman"/>
          <w:bCs/>
          <w:color w:val="auto"/>
          <w:lang w:eastAsia="zh-CN"/>
        </w:rPr>
        <w:t>，占标率</w:t>
      </w:r>
      <w:r>
        <w:rPr>
          <w:rFonts w:hint="eastAsia" w:ascii="Times New Roman" w:hAnsi="Times New Roman" w:cs="Times New Roman"/>
          <w:bCs/>
          <w:color w:val="auto"/>
          <w:lang w:eastAsia="zh-CN"/>
        </w:rPr>
        <w:t>19.29</w:t>
      </w:r>
      <w:r>
        <w:rPr>
          <w:rFonts w:ascii="Times New Roman" w:hAnsi="Times New Roman" w:cs="Times New Roman"/>
          <w:bCs/>
          <w:color w:val="auto"/>
          <w:lang w:eastAsia="zh-CN"/>
        </w:rPr>
        <w:t>%出现在</w:t>
      </w:r>
      <w:r>
        <w:rPr>
          <w:rFonts w:hint="eastAsia" w:ascii="Times New Roman" w:hAnsi="Times New Roman" w:cs="Times New Roman"/>
          <w:bCs/>
          <w:color w:val="auto"/>
          <w:lang w:eastAsia="zh-CN"/>
        </w:rPr>
        <w:t>大柏村</w:t>
      </w:r>
      <w:r>
        <w:rPr>
          <w:rFonts w:ascii="Times New Roman" w:hAnsi="Times New Roman" w:cs="Times New Roman"/>
          <w:bCs/>
          <w:color w:val="auto"/>
          <w:lang w:eastAsia="zh-CN"/>
        </w:rPr>
        <w:t>，满足</w:t>
      </w:r>
      <w:r>
        <w:rPr>
          <w:rFonts w:hint="eastAsia" w:ascii="Times New Roman" w:hAnsi="Times New Roman" w:cs="Times New Roman"/>
          <w:bCs/>
          <w:color w:val="auto"/>
          <w:lang w:eastAsia="zh-CN"/>
        </w:rPr>
        <w:t>氟化物</w:t>
      </w:r>
      <w:r>
        <w:rPr>
          <w:rFonts w:ascii="Times New Roman" w:hAnsi="Times New Roman" w:cs="Times New Roman"/>
          <w:bCs/>
          <w:color w:val="auto"/>
          <w:lang w:eastAsia="zh-CN"/>
        </w:rPr>
        <w:t>日均浓度环境标准要求</w:t>
      </w:r>
      <w:r>
        <w:rPr>
          <w:rFonts w:hint="eastAsia" w:ascii="Times New Roman" w:hAnsi="Times New Roman" w:cs="Times New Roman"/>
          <w:bCs/>
          <w:color w:val="auto"/>
          <w:lang w:eastAsia="zh-CN"/>
        </w:rPr>
        <w:t>。</w:t>
      </w:r>
    </w:p>
    <w:p w14:paraId="6573B760">
      <w:pPr>
        <w:widowControl w:val="0"/>
        <w:spacing w:line="360" w:lineRule="auto"/>
        <w:ind w:firstLine="480" w:firstLineChars="200"/>
        <w:jc w:val="both"/>
        <w:rPr>
          <w:rFonts w:ascii="Times New Roman" w:hAnsi="Times New Roman" w:cs="Times New Roman"/>
          <w:bCs/>
          <w:color w:val="auto"/>
          <w:vertAlign w:val="subscript"/>
          <w:lang w:eastAsia="zh-CN"/>
        </w:rPr>
      </w:pPr>
      <w:r>
        <w:rPr>
          <w:rFonts w:hint="eastAsia" w:ascii="Times New Roman" w:hAnsi="Times New Roman" w:cs="Times New Roman"/>
          <w:bCs/>
          <w:color w:val="auto"/>
          <w:lang w:eastAsia="zh-CN"/>
        </w:rPr>
        <w:t>（2）氯化氢</w:t>
      </w:r>
    </w:p>
    <w:p w14:paraId="234EDC82">
      <w:pPr>
        <w:widowControl w:val="0"/>
        <w:spacing w:line="360" w:lineRule="auto"/>
        <w:ind w:firstLine="480" w:firstLineChars="200"/>
        <w:jc w:val="both"/>
        <w:rPr>
          <w:rFonts w:ascii="Times New Roman" w:hAnsi="Times New Roman" w:cs="Times New Roman"/>
          <w:bCs/>
          <w:color w:val="auto"/>
          <w:lang w:eastAsia="zh-CN"/>
        </w:rPr>
      </w:pPr>
      <w:r>
        <w:rPr>
          <w:rFonts w:ascii="Times New Roman" w:hAnsi="Times New Roman" w:cs="Times New Roman"/>
          <w:bCs/>
          <w:color w:val="auto"/>
          <w:lang w:eastAsia="zh-CN"/>
        </w:rPr>
        <w:t>项目建成环境空气保护目标和网格点</w:t>
      </w:r>
      <w:r>
        <w:rPr>
          <w:rFonts w:hint="eastAsia" w:ascii="Times New Roman" w:hAnsi="Times New Roman" w:cs="Times New Roman"/>
          <w:bCs/>
          <w:color w:val="auto"/>
          <w:lang w:eastAsia="zh-CN"/>
        </w:rPr>
        <w:t>氯化氢</w:t>
      </w:r>
      <w:r>
        <w:rPr>
          <w:rFonts w:ascii="Times New Roman" w:hAnsi="Times New Roman" w:cs="Times New Roman"/>
          <w:bCs/>
          <w:color w:val="auto"/>
          <w:lang w:eastAsia="zh-CN"/>
        </w:rPr>
        <w:t>短期浓度贡献值及其最大浓度占标率汇总见表</w:t>
      </w:r>
      <w:r>
        <w:rPr>
          <w:rFonts w:hint="eastAsia" w:ascii="Times New Roman" w:hAnsi="Times New Roman" w:cs="Times New Roman"/>
          <w:bCs/>
          <w:color w:val="auto"/>
          <w:lang w:eastAsia="zh-CN"/>
        </w:rPr>
        <w:t>6</w:t>
      </w:r>
      <w:r>
        <w:rPr>
          <w:rFonts w:ascii="Times New Roman" w:hAnsi="Times New Roman" w:cs="Times New Roman"/>
          <w:bCs/>
          <w:color w:val="auto"/>
          <w:lang w:eastAsia="zh-CN"/>
        </w:rPr>
        <w:t>.2-1</w:t>
      </w:r>
      <w:r>
        <w:rPr>
          <w:rFonts w:hint="eastAsia" w:ascii="Times New Roman" w:hAnsi="Times New Roman" w:cs="Times New Roman"/>
          <w:bCs/>
          <w:color w:val="auto"/>
          <w:lang w:eastAsia="zh-CN"/>
        </w:rPr>
        <w:t>4</w:t>
      </w:r>
      <w:r>
        <w:rPr>
          <w:rFonts w:ascii="Times New Roman" w:hAnsi="Times New Roman" w:cs="Times New Roman"/>
          <w:bCs/>
          <w:color w:val="auto"/>
          <w:lang w:eastAsia="zh-CN"/>
        </w:rPr>
        <w:t>，叠加区域在建及背景浓度后浓度预测值达标情况见表</w:t>
      </w:r>
      <w:r>
        <w:rPr>
          <w:rFonts w:hint="eastAsia" w:ascii="Times New Roman" w:hAnsi="Times New Roman" w:cs="Times New Roman"/>
          <w:bCs/>
          <w:color w:val="auto"/>
          <w:lang w:eastAsia="zh-CN"/>
        </w:rPr>
        <w:t>6</w:t>
      </w:r>
      <w:r>
        <w:rPr>
          <w:rFonts w:ascii="Times New Roman" w:hAnsi="Times New Roman" w:cs="Times New Roman"/>
          <w:bCs/>
          <w:color w:val="auto"/>
          <w:lang w:eastAsia="zh-CN"/>
        </w:rPr>
        <w:t>.2-1</w:t>
      </w:r>
      <w:r>
        <w:rPr>
          <w:rFonts w:hint="eastAsia" w:ascii="Times New Roman" w:hAnsi="Times New Roman" w:cs="Times New Roman"/>
          <w:bCs/>
          <w:color w:val="auto"/>
          <w:lang w:eastAsia="zh-CN"/>
        </w:rPr>
        <w:t>5</w:t>
      </w:r>
      <w:r>
        <w:rPr>
          <w:rFonts w:ascii="Times New Roman" w:hAnsi="Times New Roman" w:cs="Times New Roman"/>
          <w:bCs/>
          <w:color w:val="auto"/>
          <w:lang w:eastAsia="zh-CN"/>
        </w:rPr>
        <w:t>。网格点</w:t>
      </w:r>
      <w:r>
        <w:rPr>
          <w:rFonts w:hint="eastAsia" w:ascii="Times New Roman" w:hAnsi="Times New Roman" w:cs="Times New Roman"/>
          <w:bCs/>
          <w:color w:val="auto"/>
          <w:lang w:eastAsia="zh-CN"/>
        </w:rPr>
        <w:t>氯化氢</w:t>
      </w:r>
      <w:r>
        <w:rPr>
          <w:rFonts w:ascii="Times New Roman" w:hAnsi="Times New Roman" w:cs="Times New Roman"/>
          <w:bCs/>
          <w:color w:val="auto"/>
          <w:lang w:eastAsia="zh-CN"/>
        </w:rPr>
        <w:t>小时、日均贡献浓度最大值分布见图</w:t>
      </w:r>
      <w:r>
        <w:rPr>
          <w:rFonts w:hint="eastAsia" w:ascii="Times New Roman" w:hAnsi="Times New Roman" w:cs="Times New Roman"/>
          <w:bCs/>
          <w:color w:val="auto"/>
          <w:lang w:eastAsia="zh-CN"/>
        </w:rPr>
        <w:t>6</w:t>
      </w:r>
      <w:r>
        <w:rPr>
          <w:rFonts w:ascii="Times New Roman" w:hAnsi="Times New Roman" w:cs="Times New Roman"/>
          <w:bCs/>
          <w:color w:val="auto"/>
          <w:lang w:eastAsia="zh-CN"/>
        </w:rPr>
        <w:t>.2-</w:t>
      </w:r>
      <w:r>
        <w:rPr>
          <w:rFonts w:hint="eastAsia" w:ascii="Times New Roman" w:hAnsi="Times New Roman" w:cs="Times New Roman"/>
          <w:bCs/>
          <w:color w:val="auto"/>
          <w:lang w:eastAsia="zh-CN"/>
        </w:rPr>
        <w:t>7</w:t>
      </w:r>
      <w:r>
        <w:rPr>
          <w:rFonts w:ascii="Times New Roman" w:hAnsi="Times New Roman" w:cs="Times New Roman"/>
          <w:bCs/>
          <w:color w:val="auto"/>
          <w:lang w:eastAsia="zh-CN"/>
        </w:rPr>
        <w:t>、图</w:t>
      </w:r>
      <w:r>
        <w:rPr>
          <w:rFonts w:hint="eastAsia" w:ascii="Times New Roman" w:hAnsi="Times New Roman" w:cs="Times New Roman"/>
          <w:bCs/>
          <w:color w:val="auto"/>
          <w:lang w:eastAsia="zh-CN"/>
        </w:rPr>
        <w:t>6</w:t>
      </w:r>
      <w:r>
        <w:rPr>
          <w:rFonts w:ascii="Times New Roman" w:hAnsi="Times New Roman" w:cs="Times New Roman"/>
          <w:bCs/>
          <w:color w:val="auto"/>
          <w:lang w:eastAsia="zh-CN"/>
        </w:rPr>
        <w:t>.2-</w:t>
      </w:r>
      <w:r>
        <w:rPr>
          <w:rFonts w:hint="eastAsia" w:ascii="Times New Roman" w:hAnsi="Times New Roman" w:cs="Times New Roman"/>
          <w:bCs/>
          <w:color w:val="auto"/>
          <w:lang w:eastAsia="zh-CN"/>
        </w:rPr>
        <w:t>8</w:t>
      </w:r>
      <w:r>
        <w:rPr>
          <w:rFonts w:ascii="Times New Roman" w:hAnsi="Times New Roman" w:cs="Times New Roman"/>
          <w:bCs/>
          <w:color w:val="auto"/>
          <w:lang w:eastAsia="zh-CN"/>
        </w:rPr>
        <w:t>。</w:t>
      </w:r>
    </w:p>
    <w:p w14:paraId="236E19A8">
      <w:pPr>
        <w:spacing w:line="360" w:lineRule="auto"/>
        <w:jc w:val="center"/>
        <w:rPr>
          <w:rFonts w:ascii="Times New Roman" w:hAnsi="Times New Roman" w:eastAsia="新宋体" w:cs="Times New Roman"/>
          <w:b/>
          <w:bCs/>
          <w:szCs w:val="24"/>
          <w:lang w:eastAsia="zh-CN"/>
        </w:rPr>
      </w:pPr>
      <w:r>
        <w:rPr>
          <w:rFonts w:ascii="Times New Roman" w:hAnsi="Times New Roman" w:cs="Times New Roman"/>
          <w:b/>
          <w:kern w:val="2"/>
          <w:szCs w:val="24"/>
          <w:lang w:eastAsia="zh-CN"/>
        </w:rPr>
        <w:t>表</w:t>
      </w:r>
      <w:r>
        <w:rPr>
          <w:rFonts w:hint="eastAsia" w:ascii="Times New Roman" w:hAnsi="Times New Roman" w:cs="Times New Roman"/>
          <w:b/>
          <w:kern w:val="2"/>
          <w:szCs w:val="24"/>
          <w:lang w:eastAsia="zh-CN"/>
        </w:rPr>
        <w:t>6</w:t>
      </w:r>
      <w:r>
        <w:rPr>
          <w:rFonts w:ascii="Times New Roman" w:hAnsi="Times New Roman" w:cs="Times New Roman"/>
          <w:b/>
          <w:kern w:val="2"/>
          <w:szCs w:val="24"/>
          <w:lang w:eastAsia="zh-CN"/>
        </w:rPr>
        <w:t>.2-1</w:t>
      </w:r>
      <w:r>
        <w:rPr>
          <w:rFonts w:hint="eastAsia" w:ascii="Times New Roman" w:hAnsi="Times New Roman" w:cs="Times New Roman"/>
          <w:b/>
          <w:kern w:val="2"/>
          <w:szCs w:val="24"/>
          <w:lang w:eastAsia="zh-CN"/>
        </w:rPr>
        <w:t>4</w:t>
      </w:r>
      <w:r>
        <w:rPr>
          <w:rFonts w:ascii="Times New Roman" w:hAnsi="Times New Roman" w:cs="Times New Roman"/>
          <w:b/>
          <w:kern w:val="2"/>
          <w:szCs w:val="24"/>
          <w:lang w:eastAsia="zh-CN"/>
        </w:rPr>
        <w:t xml:space="preserve"> 项目</w:t>
      </w:r>
      <w:r>
        <w:rPr>
          <w:rFonts w:hint="eastAsia" w:ascii="Times New Roman" w:hAnsi="Times New Roman" w:cs="Times New Roman"/>
          <w:b/>
          <w:lang w:eastAsia="zh-CN"/>
        </w:rPr>
        <w:t>氯化氢</w:t>
      </w:r>
      <w:r>
        <w:rPr>
          <w:rFonts w:ascii="Times New Roman" w:hAnsi="Times New Roman" w:cs="Times New Roman"/>
          <w:b/>
          <w:kern w:val="2"/>
          <w:szCs w:val="24"/>
          <w:lang w:eastAsia="zh-CN"/>
        </w:rPr>
        <w:t>贡献浓度预测结果一览表  单位：</w:t>
      </w:r>
      <w:r>
        <w:rPr>
          <w:rFonts w:ascii="Times New Roman" w:hAnsi="Times New Roman" w:cs="Times New Roman"/>
          <w:b/>
          <w:bCs/>
          <w:szCs w:val="24"/>
          <w:lang w:eastAsia="zh-CN" w:bidi="ar"/>
        </w:rPr>
        <w:t>μg/m</w:t>
      </w:r>
      <w:r>
        <w:rPr>
          <w:rFonts w:ascii="Times New Roman" w:hAnsi="Times New Roman" w:cs="Times New Roman"/>
          <w:b/>
          <w:bCs/>
          <w:szCs w:val="24"/>
          <w:vertAlign w:val="superscript"/>
          <w:lang w:eastAsia="zh-CN" w:bidi="ar"/>
        </w:rPr>
        <w:t>3</w:t>
      </w:r>
    </w:p>
    <w:tbl>
      <w:tblPr>
        <w:tblStyle w:val="35"/>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86"/>
        <w:gridCol w:w="954"/>
        <w:gridCol w:w="958"/>
        <w:gridCol w:w="1542"/>
        <w:gridCol w:w="2249"/>
        <w:gridCol w:w="1542"/>
        <w:gridCol w:w="957"/>
        <w:gridCol w:w="958"/>
      </w:tblGrid>
      <w:tr w14:paraId="1BFD6F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tcBorders>
              <w:tl2br w:val="nil"/>
              <w:tr2bl w:val="nil"/>
            </w:tcBorders>
            <w:noWrap/>
            <w:vAlign w:val="center"/>
          </w:tcPr>
          <w:p w14:paraId="0637B281">
            <w:pPr>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序号</w:t>
            </w:r>
          </w:p>
        </w:tc>
        <w:tc>
          <w:tcPr>
            <w:tcW w:w="489" w:type="pct"/>
            <w:tcBorders>
              <w:tl2br w:val="nil"/>
              <w:tr2bl w:val="nil"/>
            </w:tcBorders>
            <w:noWrap/>
            <w:vAlign w:val="center"/>
          </w:tcPr>
          <w:p w14:paraId="21C7B244">
            <w:pPr>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点名称</w:t>
            </w:r>
          </w:p>
        </w:tc>
        <w:tc>
          <w:tcPr>
            <w:tcW w:w="809" w:type="pct"/>
            <w:tcBorders>
              <w:tl2br w:val="nil"/>
              <w:tr2bl w:val="nil"/>
            </w:tcBorders>
            <w:noWrap/>
            <w:vAlign w:val="center"/>
          </w:tcPr>
          <w:p w14:paraId="1DEC644B">
            <w:pPr>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浓度类型</w:t>
            </w:r>
          </w:p>
        </w:tc>
        <w:tc>
          <w:tcPr>
            <w:tcW w:w="474" w:type="pct"/>
            <w:tcBorders>
              <w:tl2br w:val="nil"/>
              <w:tr2bl w:val="nil"/>
            </w:tcBorders>
            <w:noWrap/>
            <w:vAlign w:val="center"/>
          </w:tcPr>
          <w:p w14:paraId="10D05F1A">
            <w:pPr>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浓度增量(μg/m</w:t>
            </w:r>
            <w:r>
              <w:rPr>
                <w:rFonts w:ascii="Times New Roman" w:hAnsi="Times New Roman" w:cs="Times New Roman"/>
                <w:b/>
                <w:bCs/>
                <w:color w:val="auto"/>
                <w:sz w:val="21"/>
                <w:vertAlign w:val="superscript"/>
                <w:lang w:eastAsia="zh-CN" w:bidi="ar"/>
              </w:rPr>
              <w:t>3</w:t>
            </w:r>
            <w:r>
              <w:rPr>
                <w:rFonts w:ascii="Times New Roman" w:hAnsi="Times New Roman" w:cs="Times New Roman"/>
                <w:b/>
                <w:bCs/>
                <w:color w:val="auto"/>
                <w:sz w:val="21"/>
                <w:lang w:eastAsia="zh-CN" w:bidi="ar"/>
              </w:rPr>
              <w:t>)</w:t>
            </w:r>
          </w:p>
        </w:tc>
        <w:tc>
          <w:tcPr>
            <w:tcW w:w="1153" w:type="pct"/>
            <w:tcBorders>
              <w:tl2br w:val="nil"/>
              <w:tr2bl w:val="nil"/>
            </w:tcBorders>
            <w:noWrap/>
            <w:vAlign w:val="center"/>
          </w:tcPr>
          <w:p w14:paraId="24DD115C">
            <w:pPr>
              <w:jc w:val="center"/>
              <w:textAlignment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bidi="ar"/>
              </w:rPr>
              <w:t>出现时间(YYMMDDHH)</w:t>
            </w:r>
          </w:p>
        </w:tc>
        <w:tc>
          <w:tcPr>
            <w:tcW w:w="792" w:type="pct"/>
            <w:tcBorders>
              <w:tl2br w:val="nil"/>
              <w:tr2bl w:val="nil"/>
            </w:tcBorders>
            <w:noWrap/>
            <w:vAlign w:val="center"/>
          </w:tcPr>
          <w:p w14:paraId="4FEFB0A4">
            <w:pPr>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评价标准(μg/m</w:t>
            </w:r>
            <w:r>
              <w:rPr>
                <w:rFonts w:ascii="Times New Roman" w:hAnsi="Times New Roman" w:cs="Times New Roman"/>
                <w:b/>
                <w:bCs/>
                <w:color w:val="auto"/>
                <w:sz w:val="21"/>
                <w:vertAlign w:val="superscript"/>
                <w:lang w:eastAsia="zh-CN" w:bidi="ar"/>
              </w:rPr>
              <w:t>3</w:t>
            </w:r>
            <w:r>
              <w:rPr>
                <w:rFonts w:ascii="Times New Roman" w:hAnsi="Times New Roman" w:cs="Times New Roman"/>
                <w:b/>
                <w:bCs/>
                <w:color w:val="auto"/>
                <w:sz w:val="21"/>
                <w:lang w:eastAsia="zh-CN" w:bidi="ar"/>
              </w:rPr>
              <w:t>)</w:t>
            </w:r>
          </w:p>
        </w:tc>
        <w:tc>
          <w:tcPr>
            <w:tcW w:w="490" w:type="pct"/>
            <w:tcBorders>
              <w:tl2br w:val="nil"/>
              <w:tr2bl w:val="nil"/>
            </w:tcBorders>
            <w:noWrap/>
            <w:vAlign w:val="center"/>
          </w:tcPr>
          <w:p w14:paraId="39586297">
            <w:pPr>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占标率%</w:t>
            </w:r>
          </w:p>
        </w:tc>
        <w:tc>
          <w:tcPr>
            <w:tcW w:w="491" w:type="pct"/>
            <w:tcBorders>
              <w:tl2br w:val="nil"/>
              <w:tr2bl w:val="nil"/>
            </w:tcBorders>
            <w:noWrap/>
            <w:vAlign w:val="center"/>
          </w:tcPr>
          <w:p w14:paraId="0ECAFA9F">
            <w:pPr>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是否超标</w:t>
            </w:r>
          </w:p>
        </w:tc>
      </w:tr>
      <w:tr w14:paraId="16A55C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vMerge w:val="restart"/>
            <w:tcBorders>
              <w:tl2br w:val="nil"/>
              <w:tr2bl w:val="nil"/>
            </w:tcBorders>
            <w:noWrap/>
            <w:vAlign w:val="center"/>
          </w:tcPr>
          <w:p w14:paraId="64A544AE">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w:t>
            </w:r>
          </w:p>
        </w:tc>
        <w:tc>
          <w:tcPr>
            <w:tcW w:w="489" w:type="pct"/>
            <w:vMerge w:val="restart"/>
            <w:tcBorders>
              <w:tl2br w:val="nil"/>
              <w:tr2bl w:val="nil"/>
            </w:tcBorders>
            <w:noWrap/>
            <w:vAlign w:val="center"/>
          </w:tcPr>
          <w:p w14:paraId="3348AC84">
            <w:pPr>
              <w:jc w:val="center"/>
              <w:textAlignment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大柏村</w:t>
            </w:r>
          </w:p>
        </w:tc>
        <w:tc>
          <w:tcPr>
            <w:tcW w:w="809" w:type="pct"/>
            <w:tcBorders>
              <w:tl2br w:val="nil"/>
              <w:tr2bl w:val="nil"/>
            </w:tcBorders>
            <w:noWrap/>
            <w:vAlign w:val="center"/>
          </w:tcPr>
          <w:p w14:paraId="0A89E25B">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1小时</w:t>
            </w:r>
          </w:p>
        </w:tc>
        <w:tc>
          <w:tcPr>
            <w:tcW w:w="474" w:type="pct"/>
            <w:tcBorders>
              <w:tl2br w:val="nil"/>
              <w:tr2bl w:val="nil"/>
            </w:tcBorders>
            <w:noWrap/>
            <w:vAlign w:val="center"/>
          </w:tcPr>
          <w:p w14:paraId="66BD77E0">
            <w:pPr>
              <w:jc w:val="center"/>
              <w:textAlignment w:val="center"/>
              <w:rPr>
                <w:rFonts w:ascii="Times New Roman" w:hAnsi="Times New Roman" w:cs="Times New Roman"/>
                <w:color w:val="auto"/>
                <w:sz w:val="21"/>
                <w:lang w:eastAsia="zh-CN"/>
              </w:rPr>
            </w:pPr>
          </w:p>
        </w:tc>
        <w:tc>
          <w:tcPr>
            <w:tcW w:w="1153" w:type="pct"/>
            <w:tcBorders>
              <w:tl2br w:val="nil"/>
              <w:tr2bl w:val="nil"/>
            </w:tcBorders>
            <w:noWrap/>
            <w:vAlign w:val="center"/>
          </w:tcPr>
          <w:p w14:paraId="0DACBCC5">
            <w:pPr>
              <w:jc w:val="center"/>
              <w:textAlignment w:val="center"/>
              <w:rPr>
                <w:rFonts w:ascii="Times New Roman" w:hAnsi="Times New Roman" w:cs="Times New Roman"/>
                <w:color w:val="auto"/>
                <w:sz w:val="21"/>
              </w:rPr>
            </w:pPr>
          </w:p>
        </w:tc>
        <w:tc>
          <w:tcPr>
            <w:tcW w:w="792" w:type="pct"/>
            <w:tcBorders>
              <w:tl2br w:val="nil"/>
              <w:tr2bl w:val="nil"/>
            </w:tcBorders>
            <w:noWrap/>
            <w:vAlign w:val="center"/>
          </w:tcPr>
          <w:p w14:paraId="36D296BA">
            <w:pPr>
              <w:jc w:val="center"/>
              <w:textAlignment w:val="center"/>
              <w:rPr>
                <w:rFonts w:ascii="Times New Roman" w:hAnsi="Times New Roman" w:cs="Times New Roman"/>
                <w:color w:val="auto"/>
                <w:sz w:val="21"/>
              </w:rPr>
            </w:pPr>
          </w:p>
        </w:tc>
        <w:tc>
          <w:tcPr>
            <w:tcW w:w="490" w:type="pct"/>
            <w:tcBorders>
              <w:tl2br w:val="nil"/>
              <w:tr2bl w:val="nil"/>
            </w:tcBorders>
            <w:noWrap/>
            <w:vAlign w:val="center"/>
          </w:tcPr>
          <w:p w14:paraId="47ED2A26">
            <w:pPr>
              <w:jc w:val="center"/>
              <w:textAlignment w:val="center"/>
              <w:rPr>
                <w:rFonts w:ascii="Times New Roman" w:hAnsi="Times New Roman" w:cs="Times New Roman"/>
                <w:color w:val="auto"/>
                <w:sz w:val="21"/>
              </w:rPr>
            </w:pPr>
          </w:p>
        </w:tc>
        <w:tc>
          <w:tcPr>
            <w:tcW w:w="491" w:type="pct"/>
            <w:tcBorders>
              <w:tl2br w:val="nil"/>
              <w:tr2bl w:val="nil"/>
            </w:tcBorders>
            <w:noWrap/>
            <w:vAlign w:val="center"/>
          </w:tcPr>
          <w:p w14:paraId="7076BFB4">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551450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vMerge w:val="continue"/>
            <w:tcBorders>
              <w:tl2br w:val="nil"/>
              <w:tr2bl w:val="nil"/>
            </w:tcBorders>
            <w:noWrap/>
            <w:vAlign w:val="center"/>
          </w:tcPr>
          <w:p w14:paraId="60E0E4C2">
            <w:pPr>
              <w:jc w:val="center"/>
              <w:rPr>
                <w:rFonts w:ascii="Times New Roman" w:hAnsi="Times New Roman" w:cs="Times New Roman"/>
                <w:color w:val="auto"/>
                <w:sz w:val="21"/>
              </w:rPr>
            </w:pPr>
          </w:p>
        </w:tc>
        <w:tc>
          <w:tcPr>
            <w:tcW w:w="489" w:type="pct"/>
            <w:vMerge w:val="continue"/>
            <w:tcBorders>
              <w:tl2br w:val="nil"/>
              <w:tr2bl w:val="nil"/>
            </w:tcBorders>
            <w:noWrap/>
            <w:vAlign w:val="center"/>
          </w:tcPr>
          <w:p w14:paraId="2EB4E21C">
            <w:pPr>
              <w:jc w:val="center"/>
              <w:rPr>
                <w:rFonts w:ascii="Times New Roman" w:hAnsi="Times New Roman" w:cs="Times New Roman"/>
                <w:color w:val="auto"/>
                <w:sz w:val="21"/>
              </w:rPr>
            </w:pPr>
          </w:p>
        </w:tc>
        <w:tc>
          <w:tcPr>
            <w:tcW w:w="809" w:type="pct"/>
            <w:tcBorders>
              <w:tl2br w:val="nil"/>
              <w:tr2bl w:val="nil"/>
            </w:tcBorders>
            <w:noWrap/>
            <w:vAlign w:val="center"/>
          </w:tcPr>
          <w:p w14:paraId="4B36E629">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日平均</w:t>
            </w:r>
          </w:p>
        </w:tc>
        <w:tc>
          <w:tcPr>
            <w:tcW w:w="474" w:type="pct"/>
            <w:tcBorders>
              <w:tl2br w:val="nil"/>
              <w:tr2bl w:val="nil"/>
            </w:tcBorders>
            <w:noWrap/>
            <w:vAlign w:val="center"/>
          </w:tcPr>
          <w:p w14:paraId="142890A2">
            <w:pPr>
              <w:jc w:val="center"/>
              <w:textAlignment w:val="center"/>
              <w:rPr>
                <w:rFonts w:ascii="Times New Roman" w:hAnsi="Times New Roman" w:cs="Times New Roman"/>
                <w:color w:val="auto"/>
                <w:sz w:val="21"/>
                <w:lang w:eastAsia="zh-CN"/>
              </w:rPr>
            </w:pPr>
          </w:p>
        </w:tc>
        <w:tc>
          <w:tcPr>
            <w:tcW w:w="1153" w:type="pct"/>
            <w:tcBorders>
              <w:tl2br w:val="nil"/>
              <w:tr2bl w:val="nil"/>
            </w:tcBorders>
            <w:noWrap/>
            <w:vAlign w:val="center"/>
          </w:tcPr>
          <w:p w14:paraId="7341533E">
            <w:pPr>
              <w:jc w:val="center"/>
              <w:textAlignment w:val="center"/>
              <w:rPr>
                <w:rFonts w:ascii="Times New Roman" w:hAnsi="Times New Roman" w:cs="Times New Roman"/>
                <w:color w:val="auto"/>
                <w:sz w:val="21"/>
              </w:rPr>
            </w:pPr>
          </w:p>
        </w:tc>
        <w:tc>
          <w:tcPr>
            <w:tcW w:w="792" w:type="pct"/>
            <w:tcBorders>
              <w:tl2br w:val="nil"/>
              <w:tr2bl w:val="nil"/>
            </w:tcBorders>
            <w:noWrap/>
            <w:vAlign w:val="center"/>
          </w:tcPr>
          <w:p w14:paraId="2C235ACD">
            <w:pPr>
              <w:jc w:val="center"/>
              <w:textAlignment w:val="center"/>
              <w:rPr>
                <w:rFonts w:ascii="Times New Roman" w:hAnsi="Times New Roman" w:cs="Times New Roman"/>
                <w:color w:val="auto"/>
                <w:sz w:val="21"/>
              </w:rPr>
            </w:pPr>
          </w:p>
        </w:tc>
        <w:tc>
          <w:tcPr>
            <w:tcW w:w="490" w:type="pct"/>
            <w:tcBorders>
              <w:tl2br w:val="nil"/>
              <w:tr2bl w:val="nil"/>
            </w:tcBorders>
            <w:noWrap/>
            <w:vAlign w:val="center"/>
          </w:tcPr>
          <w:p w14:paraId="635F25E4">
            <w:pPr>
              <w:jc w:val="center"/>
              <w:textAlignment w:val="center"/>
              <w:rPr>
                <w:rFonts w:ascii="Times New Roman" w:hAnsi="Times New Roman" w:cs="Times New Roman"/>
                <w:color w:val="auto"/>
                <w:sz w:val="21"/>
              </w:rPr>
            </w:pPr>
          </w:p>
        </w:tc>
        <w:tc>
          <w:tcPr>
            <w:tcW w:w="491" w:type="pct"/>
            <w:tcBorders>
              <w:tl2br w:val="nil"/>
              <w:tr2bl w:val="nil"/>
            </w:tcBorders>
            <w:noWrap/>
            <w:vAlign w:val="center"/>
          </w:tcPr>
          <w:p w14:paraId="543D773D">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75D0C1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vMerge w:val="restart"/>
            <w:tcBorders>
              <w:tl2br w:val="nil"/>
              <w:tr2bl w:val="nil"/>
            </w:tcBorders>
            <w:noWrap/>
            <w:vAlign w:val="center"/>
          </w:tcPr>
          <w:p w14:paraId="0750DED8">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2</w:t>
            </w:r>
          </w:p>
        </w:tc>
        <w:tc>
          <w:tcPr>
            <w:tcW w:w="489" w:type="pct"/>
            <w:vMerge w:val="restart"/>
            <w:tcBorders>
              <w:tl2br w:val="nil"/>
              <w:tr2bl w:val="nil"/>
            </w:tcBorders>
            <w:noWrap/>
            <w:vAlign w:val="center"/>
          </w:tcPr>
          <w:p w14:paraId="4481B433">
            <w:pPr>
              <w:jc w:val="center"/>
              <w:textAlignment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草杨村</w:t>
            </w:r>
          </w:p>
        </w:tc>
        <w:tc>
          <w:tcPr>
            <w:tcW w:w="809" w:type="pct"/>
            <w:tcBorders>
              <w:tl2br w:val="nil"/>
              <w:tr2bl w:val="nil"/>
            </w:tcBorders>
            <w:noWrap/>
            <w:vAlign w:val="center"/>
          </w:tcPr>
          <w:p w14:paraId="5248F559">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1小时</w:t>
            </w:r>
          </w:p>
        </w:tc>
        <w:tc>
          <w:tcPr>
            <w:tcW w:w="474" w:type="pct"/>
            <w:tcBorders>
              <w:tl2br w:val="nil"/>
              <w:tr2bl w:val="nil"/>
            </w:tcBorders>
            <w:noWrap/>
            <w:vAlign w:val="center"/>
          </w:tcPr>
          <w:p w14:paraId="53F93930">
            <w:pPr>
              <w:jc w:val="center"/>
              <w:textAlignment w:val="center"/>
              <w:rPr>
                <w:rFonts w:ascii="Times New Roman" w:hAnsi="Times New Roman" w:cs="Times New Roman"/>
                <w:color w:val="auto"/>
                <w:sz w:val="21"/>
              </w:rPr>
            </w:pPr>
          </w:p>
        </w:tc>
        <w:tc>
          <w:tcPr>
            <w:tcW w:w="1153" w:type="pct"/>
            <w:tcBorders>
              <w:tl2br w:val="nil"/>
              <w:tr2bl w:val="nil"/>
            </w:tcBorders>
            <w:noWrap/>
            <w:vAlign w:val="center"/>
          </w:tcPr>
          <w:p w14:paraId="1B13C8D2">
            <w:pPr>
              <w:jc w:val="center"/>
              <w:textAlignment w:val="center"/>
              <w:rPr>
                <w:rFonts w:ascii="Times New Roman" w:hAnsi="Times New Roman" w:cs="Times New Roman"/>
                <w:color w:val="auto"/>
                <w:sz w:val="21"/>
              </w:rPr>
            </w:pPr>
          </w:p>
        </w:tc>
        <w:tc>
          <w:tcPr>
            <w:tcW w:w="792" w:type="pct"/>
            <w:tcBorders>
              <w:tl2br w:val="nil"/>
              <w:tr2bl w:val="nil"/>
            </w:tcBorders>
            <w:noWrap/>
            <w:vAlign w:val="center"/>
          </w:tcPr>
          <w:p w14:paraId="610BE6B8">
            <w:pPr>
              <w:jc w:val="center"/>
              <w:textAlignment w:val="center"/>
              <w:rPr>
                <w:rFonts w:ascii="Times New Roman" w:hAnsi="Times New Roman" w:cs="Times New Roman"/>
                <w:color w:val="auto"/>
                <w:sz w:val="21"/>
              </w:rPr>
            </w:pPr>
          </w:p>
        </w:tc>
        <w:tc>
          <w:tcPr>
            <w:tcW w:w="490" w:type="pct"/>
            <w:tcBorders>
              <w:tl2br w:val="nil"/>
              <w:tr2bl w:val="nil"/>
            </w:tcBorders>
            <w:noWrap/>
            <w:vAlign w:val="center"/>
          </w:tcPr>
          <w:p w14:paraId="209F1728">
            <w:pPr>
              <w:jc w:val="center"/>
              <w:textAlignment w:val="center"/>
              <w:rPr>
                <w:rFonts w:ascii="Times New Roman" w:hAnsi="Times New Roman" w:cs="Times New Roman"/>
                <w:color w:val="auto"/>
                <w:sz w:val="21"/>
              </w:rPr>
            </w:pPr>
          </w:p>
        </w:tc>
        <w:tc>
          <w:tcPr>
            <w:tcW w:w="491" w:type="pct"/>
            <w:tcBorders>
              <w:tl2br w:val="nil"/>
              <w:tr2bl w:val="nil"/>
            </w:tcBorders>
            <w:noWrap/>
            <w:vAlign w:val="center"/>
          </w:tcPr>
          <w:p w14:paraId="12482C1B">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5EA12D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vMerge w:val="continue"/>
            <w:tcBorders>
              <w:tl2br w:val="nil"/>
              <w:tr2bl w:val="nil"/>
            </w:tcBorders>
            <w:noWrap/>
            <w:vAlign w:val="center"/>
          </w:tcPr>
          <w:p w14:paraId="64A4E611">
            <w:pPr>
              <w:jc w:val="center"/>
              <w:rPr>
                <w:rFonts w:ascii="Times New Roman" w:hAnsi="Times New Roman" w:cs="Times New Roman"/>
                <w:color w:val="auto"/>
                <w:sz w:val="21"/>
              </w:rPr>
            </w:pPr>
          </w:p>
        </w:tc>
        <w:tc>
          <w:tcPr>
            <w:tcW w:w="489" w:type="pct"/>
            <w:vMerge w:val="continue"/>
            <w:tcBorders>
              <w:tl2br w:val="nil"/>
              <w:tr2bl w:val="nil"/>
            </w:tcBorders>
            <w:noWrap/>
            <w:vAlign w:val="center"/>
          </w:tcPr>
          <w:p w14:paraId="251B10CA">
            <w:pPr>
              <w:jc w:val="center"/>
              <w:rPr>
                <w:rFonts w:ascii="Times New Roman" w:hAnsi="Times New Roman" w:cs="Times New Roman"/>
                <w:color w:val="auto"/>
                <w:sz w:val="21"/>
              </w:rPr>
            </w:pPr>
          </w:p>
        </w:tc>
        <w:tc>
          <w:tcPr>
            <w:tcW w:w="809" w:type="pct"/>
            <w:tcBorders>
              <w:tl2br w:val="nil"/>
              <w:tr2bl w:val="nil"/>
            </w:tcBorders>
            <w:noWrap/>
            <w:vAlign w:val="center"/>
          </w:tcPr>
          <w:p w14:paraId="6ABFEE07">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日平均</w:t>
            </w:r>
          </w:p>
        </w:tc>
        <w:tc>
          <w:tcPr>
            <w:tcW w:w="474" w:type="pct"/>
            <w:tcBorders>
              <w:tl2br w:val="nil"/>
              <w:tr2bl w:val="nil"/>
            </w:tcBorders>
            <w:noWrap/>
            <w:vAlign w:val="center"/>
          </w:tcPr>
          <w:p w14:paraId="601B6D8A">
            <w:pPr>
              <w:jc w:val="center"/>
              <w:textAlignment w:val="center"/>
              <w:rPr>
                <w:rFonts w:ascii="Times New Roman" w:hAnsi="Times New Roman" w:cs="Times New Roman"/>
                <w:color w:val="auto"/>
                <w:sz w:val="21"/>
                <w:lang w:eastAsia="zh-CN"/>
              </w:rPr>
            </w:pPr>
          </w:p>
        </w:tc>
        <w:tc>
          <w:tcPr>
            <w:tcW w:w="1153" w:type="pct"/>
            <w:tcBorders>
              <w:tl2br w:val="nil"/>
              <w:tr2bl w:val="nil"/>
            </w:tcBorders>
            <w:noWrap/>
            <w:vAlign w:val="center"/>
          </w:tcPr>
          <w:p w14:paraId="17462FA9">
            <w:pPr>
              <w:jc w:val="center"/>
              <w:textAlignment w:val="center"/>
              <w:rPr>
                <w:rFonts w:ascii="Times New Roman" w:hAnsi="Times New Roman" w:cs="Times New Roman"/>
                <w:color w:val="auto"/>
                <w:sz w:val="21"/>
              </w:rPr>
            </w:pPr>
          </w:p>
        </w:tc>
        <w:tc>
          <w:tcPr>
            <w:tcW w:w="792" w:type="pct"/>
            <w:tcBorders>
              <w:tl2br w:val="nil"/>
              <w:tr2bl w:val="nil"/>
            </w:tcBorders>
            <w:noWrap/>
            <w:vAlign w:val="center"/>
          </w:tcPr>
          <w:p w14:paraId="7A9F28C7">
            <w:pPr>
              <w:jc w:val="center"/>
              <w:textAlignment w:val="center"/>
              <w:rPr>
                <w:rFonts w:ascii="Times New Roman" w:hAnsi="Times New Roman" w:cs="Times New Roman"/>
                <w:color w:val="auto"/>
                <w:sz w:val="21"/>
              </w:rPr>
            </w:pPr>
          </w:p>
        </w:tc>
        <w:tc>
          <w:tcPr>
            <w:tcW w:w="490" w:type="pct"/>
            <w:tcBorders>
              <w:tl2br w:val="nil"/>
              <w:tr2bl w:val="nil"/>
            </w:tcBorders>
            <w:noWrap/>
            <w:vAlign w:val="center"/>
          </w:tcPr>
          <w:p w14:paraId="46EC57F3">
            <w:pPr>
              <w:jc w:val="center"/>
              <w:textAlignment w:val="center"/>
              <w:rPr>
                <w:rFonts w:ascii="Times New Roman" w:hAnsi="Times New Roman" w:cs="Times New Roman"/>
                <w:color w:val="auto"/>
                <w:sz w:val="21"/>
              </w:rPr>
            </w:pPr>
          </w:p>
        </w:tc>
        <w:tc>
          <w:tcPr>
            <w:tcW w:w="491" w:type="pct"/>
            <w:tcBorders>
              <w:tl2br w:val="nil"/>
              <w:tr2bl w:val="nil"/>
            </w:tcBorders>
            <w:noWrap/>
            <w:vAlign w:val="center"/>
          </w:tcPr>
          <w:p w14:paraId="73F6D047">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6A4407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vMerge w:val="restart"/>
            <w:tcBorders>
              <w:tl2br w:val="nil"/>
              <w:tr2bl w:val="nil"/>
            </w:tcBorders>
            <w:noWrap/>
            <w:vAlign w:val="center"/>
          </w:tcPr>
          <w:p w14:paraId="684EFB13">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3</w:t>
            </w:r>
          </w:p>
        </w:tc>
        <w:tc>
          <w:tcPr>
            <w:tcW w:w="489" w:type="pct"/>
            <w:vMerge w:val="restart"/>
            <w:tcBorders>
              <w:tl2br w:val="nil"/>
              <w:tr2bl w:val="nil"/>
            </w:tcBorders>
            <w:noWrap/>
            <w:vAlign w:val="center"/>
          </w:tcPr>
          <w:p w14:paraId="3902FF0A">
            <w:pPr>
              <w:jc w:val="center"/>
              <w:textAlignment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大柏小学</w:t>
            </w:r>
          </w:p>
        </w:tc>
        <w:tc>
          <w:tcPr>
            <w:tcW w:w="809" w:type="pct"/>
            <w:tcBorders>
              <w:tl2br w:val="nil"/>
              <w:tr2bl w:val="nil"/>
            </w:tcBorders>
            <w:noWrap/>
            <w:vAlign w:val="center"/>
          </w:tcPr>
          <w:p w14:paraId="4A0ECC4D">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1小时</w:t>
            </w:r>
          </w:p>
        </w:tc>
        <w:tc>
          <w:tcPr>
            <w:tcW w:w="474" w:type="pct"/>
            <w:tcBorders>
              <w:tl2br w:val="nil"/>
              <w:tr2bl w:val="nil"/>
            </w:tcBorders>
            <w:noWrap/>
            <w:vAlign w:val="center"/>
          </w:tcPr>
          <w:p w14:paraId="34C09398">
            <w:pPr>
              <w:jc w:val="center"/>
              <w:textAlignment w:val="center"/>
              <w:rPr>
                <w:rFonts w:ascii="Times New Roman" w:hAnsi="Times New Roman" w:cs="Times New Roman"/>
                <w:color w:val="auto"/>
                <w:sz w:val="21"/>
              </w:rPr>
            </w:pPr>
          </w:p>
        </w:tc>
        <w:tc>
          <w:tcPr>
            <w:tcW w:w="1153" w:type="pct"/>
            <w:tcBorders>
              <w:tl2br w:val="nil"/>
              <w:tr2bl w:val="nil"/>
            </w:tcBorders>
            <w:noWrap/>
            <w:vAlign w:val="center"/>
          </w:tcPr>
          <w:p w14:paraId="5AEAFE17">
            <w:pPr>
              <w:jc w:val="center"/>
              <w:textAlignment w:val="center"/>
              <w:rPr>
                <w:rFonts w:ascii="Times New Roman" w:hAnsi="Times New Roman" w:cs="Times New Roman"/>
                <w:color w:val="auto"/>
                <w:sz w:val="21"/>
              </w:rPr>
            </w:pPr>
          </w:p>
        </w:tc>
        <w:tc>
          <w:tcPr>
            <w:tcW w:w="792" w:type="pct"/>
            <w:tcBorders>
              <w:tl2br w:val="nil"/>
              <w:tr2bl w:val="nil"/>
            </w:tcBorders>
            <w:noWrap/>
            <w:vAlign w:val="center"/>
          </w:tcPr>
          <w:p w14:paraId="0422AA53">
            <w:pPr>
              <w:jc w:val="center"/>
              <w:textAlignment w:val="center"/>
              <w:rPr>
                <w:rFonts w:ascii="Times New Roman" w:hAnsi="Times New Roman" w:cs="Times New Roman"/>
                <w:color w:val="auto"/>
                <w:sz w:val="21"/>
              </w:rPr>
            </w:pPr>
          </w:p>
        </w:tc>
        <w:tc>
          <w:tcPr>
            <w:tcW w:w="490" w:type="pct"/>
            <w:tcBorders>
              <w:tl2br w:val="nil"/>
              <w:tr2bl w:val="nil"/>
            </w:tcBorders>
            <w:noWrap/>
            <w:vAlign w:val="center"/>
          </w:tcPr>
          <w:p w14:paraId="40ECF031">
            <w:pPr>
              <w:jc w:val="center"/>
              <w:textAlignment w:val="center"/>
              <w:rPr>
                <w:rFonts w:ascii="Times New Roman" w:hAnsi="Times New Roman" w:cs="Times New Roman"/>
                <w:color w:val="auto"/>
                <w:sz w:val="21"/>
              </w:rPr>
            </w:pPr>
          </w:p>
        </w:tc>
        <w:tc>
          <w:tcPr>
            <w:tcW w:w="491" w:type="pct"/>
            <w:tcBorders>
              <w:tl2br w:val="nil"/>
              <w:tr2bl w:val="nil"/>
            </w:tcBorders>
            <w:noWrap/>
            <w:vAlign w:val="center"/>
          </w:tcPr>
          <w:p w14:paraId="5CC770EC">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7B08A8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vMerge w:val="continue"/>
            <w:tcBorders>
              <w:tl2br w:val="nil"/>
              <w:tr2bl w:val="nil"/>
            </w:tcBorders>
            <w:noWrap/>
            <w:vAlign w:val="center"/>
          </w:tcPr>
          <w:p w14:paraId="4EEEAC56">
            <w:pPr>
              <w:jc w:val="center"/>
              <w:rPr>
                <w:rFonts w:ascii="Times New Roman" w:hAnsi="Times New Roman" w:cs="Times New Roman"/>
                <w:color w:val="auto"/>
                <w:sz w:val="21"/>
              </w:rPr>
            </w:pPr>
          </w:p>
        </w:tc>
        <w:tc>
          <w:tcPr>
            <w:tcW w:w="489" w:type="pct"/>
            <w:vMerge w:val="continue"/>
            <w:tcBorders>
              <w:tl2br w:val="nil"/>
              <w:tr2bl w:val="nil"/>
            </w:tcBorders>
            <w:noWrap/>
            <w:vAlign w:val="center"/>
          </w:tcPr>
          <w:p w14:paraId="35562D2B">
            <w:pPr>
              <w:jc w:val="center"/>
              <w:rPr>
                <w:rFonts w:ascii="Times New Roman" w:hAnsi="Times New Roman" w:cs="Times New Roman"/>
                <w:color w:val="auto"/>
                <w:sz w:val="21"/>
              </w:rPr>
            </w:pPr>
          </w:p>
        </w:tc>
        <w:tc>
          <w:tcPr>
            <w:tcW w:w="809" w:type="pct"/>
            <w:tcBorders>
              <w:tl2br w:val="nil"/>
              <w:tr2bl w:val="nil"/>
            </w:tcBorders>
            <w:noWrap/>
            <w:vAlign w:val="center"/>
          </w:tcPr>
          <w:p w14:paraId="609B1ABF">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日平均</w:t>
            </w:r>
          </w:p>
        </w:tc>
        <w:tc>
          <w:tcPr>
            <w:tcW w:w="474" w:type="pct"/>
            <w:tcBorders>
              <w:tl2br w:val="nil"/>
              <w:tr2bl w:val="nil"/>
            </w:tcBorders>
            <w:noWrap/>
            <w:vAlign w:val="center"/>
          </w:tcPr>
          <w:p w14:paraId="395DF0C5">
            <w:pPr>
              <w:jc w:val="center"/>
              <w:textAlignment w:val="center"/>
              <w:rPr>
                <w:rFonts w:ascii="Times New Roman" w:hAnsi="Times New Roman" w:cs="Times New Roman"/>
                <w:color w:val="auto"/>
                <w:sz w:val="21"/>
                <w:lang w:eastAsia="zh-CN"/>
              </w:rPr>
            </w:pPr>
          </w:p>
        </w:tc>
        <w:tc>
          <w:tcPr>
            <w:tcW w:w="1153" w:type="pct"/>
            <w:tcBorders>
              <w:tl2br w:val="nil"/>
              <w:tr2bl w:val="nil"/>
            </w:tcBorders>
            <w:noWrap/>
            <w:vAlign w:val="center"/>
          </w:tcPr>
          <w:p w14:paraId="63EA982C">
            <w:pPr>
              <w:jc w:val="center"/>
              <w:textAlignment w:val="center"/>
              <w:rPr>
                <w:rFonts w:ascii="Times New Roman" w:hAnsi="Times New Roman" w:cs="Times New Roman"/>
                <w:color w:val="auto"/>
                <w:sz w:val="21"/>
              </w:rPr>
            </w:pPr>
          </w:p>
        </w:tc>
        <w:tc>
          <w:tcPr>
            <w:tcW w:w="792" w:type="pct"/>
            <w:tcBorders>
              <w:tl2br w:val="nil"/>
              <w:tr2bl w:val="nil"/>
            </w:tcBorders>
            <w:noWrap/>
            <w:vAlign w:val="center"/>
          </w:tcPr>
          <w:p w14:paraId="39DCAB53">
            <w:pPr>
              <w:jc w:val="center"/>
              <w:textAlignment w:val="center"/>
              <w:rPr>
                <w:rFonts w:ascii="Times New Roman" w:hAnsi="Times New Roman" w:cs="Times New Roman"/>
                <w:color w:val="auto"/>
                <w:sz w:val="21"/>
              </w:rPr>
            </w:pPr>
          </w:p>
        </w:tc>
        <w:tc>
          <w:tcPr>
            <w:tcW w:w="490" w:type="pct"/>
            <w:tcBorders>
              <w:tl2br w:val="nil"/>
              <w:tr2bl w:val="nil"/>
            </w:tcBorders>
            <w:noWrap/>
            <w:vAlign w:val="center"/>
          </w:tcPr>
          <w:p w14:paraId="61A552BC">
            <w:pPr>
              <w:jc w:val="center"/>
              <w:textAlignment w:val="center"/>
              <w:rPr>
                <w:rFonts w:ascii="Times New Roman" w:hAnsi="Times New Roman" w:cs="Times New Roman"/>
                <w:color w:val="auto"/>
                <w:sz w:val="21"/>
              </w:rPr>
            </w:pPr>
          </w:p>
        </w:tc>
        <w:tc>
          <w:tcPr>
            <w:tcW w:w="491" w:type="pct"/>
            <w:tcBorders>
              <w:tl2br w:val="nil"/>
              <w:tr2bl w:val="nil"/>
            </w:tcBorders>
            <w:noWrap/>
            <w:vAlign w:val="center"/>
          </w:tcPr>
          <w:p w14:paraId="1E63F05C">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7AECB3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vMerge w:val="restart"/>
            <w:tcBorders>
              <w:tl2br w:val="nil"/>
              <w:tr2bl w:val="nil"/>
            </w:tcBorders>
            <w:noWrap/>
            <w:vAlign w:val="center"/>
          </w:tcPr>
          <w:p w14:paraId="163FAC58">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4</w:t>
            </w:r>
          </w:p>
        </w:tc>
        <w:tc>
          <w:tcPr>
            <w:tcW w:w="489" w:type="pct"/>
            <w:vMerge w:val="restart"/>
            <w:tcBorders>
              <w:tl2br w:val="nil"/>
              <w:tr2bl w:val="nil"/>
            </w:tcBorders>
            <w:noWrap/>
            <w:vAlign w:val="center"/>
          </w:tcPr>
          <w:p w14:paraId="23C35B8D">
            <w:pPr>
              <w:jc w:val="center"/>
              <w:textAlignment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夏家湖</w:t>
            </w:r>
          </w:p>
        </w:tc>
        <w:tc>
          <w:tcPr>
            <w:tcW w:w="809" w:type="pct"/>
            <w:tcBorders>
              <w:tl2br w:val="nil"/>
              <w:tr2bl w:val="nil"/>
            </w:tcBorders>
            <w:noWrap/>
            <w:vAlign w:val="center"/>
          </w:tcPr>
          <w:p w14:paraId="31722512">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1小时</w:t>
            </w:r>
          </w:p>
        </w:tc>
        <w:tc>
          <w:tcPr>
            <w:tcW w:w="474" w:type="pct"/>
            <w:tcBorders>
              <w:tl2br w:val="nil"/>
              <w:tr2bl w:val="nil"/>
            </w:tcBorders>
            <w:noWrap/>
            <w:vAlign w:val="center"/>
          </w:tcPr>
          <w:p w14:paraId="0304DE49">
            <w:pPr>
              <w:jc w:val="center"/>
              <w:textAlignment w:val="center"/>
              <w:rPr>
                <w:rFonts w:ascii="Times New Roman" w:hAnsi="Times New Roman" w:cs="Times New Roman"/>
                <w:color w:val="auto"/>
                <w:sz w:val="21"/>
                <w:lang w:eastAsia="zh-CN"/>
              </w:rPr>
            </w:pPr>
          </w:p>
        </w:tc>
        <w:tc>
          <w:tcPr>
            <w:tcW w:w="1153" w:type="pct"/>
            <w:tcBorders>
              <w:tl2br w:val="nil"/>
              <w:tr2bl w:val="nil"/>
            </w:tcBorders>
            <w:noWrap/>
            <w:vAlign w:val="center"/>
          </w:tcPr>
          <w:p w14:paraId="6CD05994">
            <w:pPr>
              <w:jc w:val="center"/>
              <w:textAlignment w:val="center"/>
              <w:rPr>
                <w:rFonts w:ascii="Times New Roman" w:hAnsi="Times New Roman" w:cs="Times New Roman"/>
                <w:color w:val="auto"/>
                <w:sz w:val="21"/>
              </w:rPr>
            </w:pPr>
          </w:p>
        </w:tc>
        <w:tc>
          <w:tcPr>
            <w:tcW w:w="792" w:type="pct"/>
            <w:tcBorders>
              <w:tl2br w:val="nil"/>
              <w:tr2bl w:val="nil"/>
            </w:tcBorders>
            <w:noWrap/>
            <w:vAlign w:val="center"/>
          </w:tcPr>
          <w:p w14:paraId="1009726A">
            <w:pPr>
              <w:jc w:val="center"/>
              <w:textAlignment w:val="center"/>
              <w:rPr>
                <w:rFonts w:ascii="Times New Roman" w:hAnsi="Times New Roman" w:cs="Times New Roman"/>
                <w:color w:val="auto"/>
                <w:sz w:val="21"/>
              </w:rPr>
            </w:pPr>
          </w:p>
        </w:tc>
        <w:tc>
          <w:tcPr>
            <w:tcW w:w="490" w:type="pct"/>
            <w:tcBorders>
              <w:tl2br w:val="nil"/>
              <w:tr2bl w:val="nil"/>
            </w:tcBorders>
            <w:noWrap/>
            <w:vAlign w:val="center"/>
          </w:tcPr>
          <w:p w14:paraId="5577096C">
            <w:pPr>
              <w:jc w:val="center"/>
              <w:textAlignment w:val="center"/>
              <w:rPr>
                <w:rFonts w:ascii="Times New Roman" w:hAnsi="Times New Roman" w:cs="Times New Roman"/>
                <w:color w:val="auto"/>
                <w:sz w:val="21"/>
              </w:rPr>
            </w:pPr>
          </w:p>
        </w:tc>
        <w:tc>
          <w:tcPr>
            <w:tcW w:w="491" w:type="pct"/>
            <w:tcBorders>
              <w:tl2br w:val="nil"/>
              <w:tr2bl w:val="nil"/>
            </w:tcBorders>
            <w:noWrap/>
            <w:vAlign w:val="center"/>
          </w:tcPr>
          <w:p w14:paraId="52B167EC">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089511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vMerge w:val="continue"/>
            <w:tcBorders>
              <w:tl2br w:val="nil"/>
              <w:tr2bl w:val="nil"/>
            </w:tcBorders>
            <w:noWrap/>
            <w:vAlign w:val="center"/>
          </w:tcPr>
          <w:p w14:paraId="65C09512">
            <w:pPr>
              <w:jc w:val="center"/>
              <w:rPr>
                <w:rFonts w:ascii="Times New Roman" w:hAnsi="Times New Roman" w:cs="Times New Roman"/>
                <w:color w:val="auto"/>
                <w:sz w:val="21"/>
              </w:rPr>
            </w:pPr>
          </w:p>
        </w:tc>
        <w:tc>
          <w:tcPr>
            <w:tcW w:w="489" w:type="pct"/>
            <w:vMerge w:val="continue"/>
            <w:tcBorders>
              <w:tl2br w:val="nil"/>
              <w:tr2bl w:val="nil"/>
            </w:tcBorders>
            <w:noWrap/>
            <w:vAlign w:val="center"/>
          </w:tcPr>
          <w:p w14:paraId="2823B014">
            <w:pPr>
              <w:jc w:val="center"/>
              <w:rPr>
                <w:rFonts w:ascii="Times New Roman" w:hAnsi="Times New Roman" w:cs="Times New Roman"/>
                <w:color w:val="auto"/>
                <w:sz w:val="21"/>
              </w:rPr>
            </w:pPr>
          </w:p>
        </w:tc>
        <w:tc>
          <w:tcPr>
            <w:tcW w:w="809" w:type="pct"/>
            <w:tcBorders>
              <w:tl2br w:val="nil"/>
              <w:tr2bl w:val="nil"/>
            </w:tcBorders>
            <w:noWrap/>
            <w:vAlign w:val="center"/>
          </w:tcPr>
          <w:p w14:paraId="731E2F18">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日平均</w:t>
            </w:r>
          </w:p>
        </w:tc>
        <w:tc>
          <w:tcPr>
            <w:tcW w:w="474" w:type="pct"/>
            <w:tcBorders>
              <w:tl2br w:val="nil"/>
              <w:tr2bl w:val="nil"/>
            </w:tcBorders>
            <w:noWrap/>
            <w:vAlign w:val="center"/>
          </w:tcPr>
          <w:p w14:paraId="6801ADDE">
            <w:pPr>
              <w:jc w:val="center"/>
              <w:textAlignment w:val="center"/>
              <w:rPr>
                <w:rFonts w:ascii="Times New Roman" w:hAnsi="Times New Roman" w:cs="Times New Roman"/>
                <w:color w:val="auto"/>
                <w:sz w:val="21"/>
                <w:lang w:eastAsia="zh-CN"/>
              </w:rPr>
            </w:pPr>
          </w:p>
        </w:tc>
        <w:tc>
          <w:tcPr>
            <w:tcW w:w="1153" w:type="pct"/>
            <w:tcBorders>
              <w:tl2br w:val="nil"/>
              <w:tr2bl w:val="nil"/>
            </w:tcBorders>
            <w:noWrap/>
            <w:vAlign w:val="center"/>
          </w:tcPr>
          <w:p w14:paraId="23780B1F">
            <w:pPr>
              <w:jc w:val="center"/>
              <w:textAlignment w:val="center"/>
              <w:rPr>
                <w:rFonts w:ascii="Times New Roman" w:hAnsi="Times New Roman" w:cs="Times New Roman"/>
                <w:color w:val="auto"/>
                <w:sz w:val="21"/>
              </w:rPr>
            </w:pPr>
          </w:p>
        </w:tc>
        <w:tc>
          <w:tcPr>
            <w:tcW w:w="792" w:type="pct"/>
            <w:tcBorders>
              <w:tl2br w:val="nil"/>
              <w:tr2bl w:val="nil"/>
            </w:tcBorders>
            <w:noWrap/>
            <w:vAlign w:val="center"/>
          </w:tcPr>
          <w:p w14:paraId="4F4F6633">
            <w:pPr>
              <w:jc w:val="center"/>
              <w:textAlignment w:val="center"/>
              <w:rPr>
                <w:rFonts w:ascii="Times New Roman" w:hAnsi="Times New Roman" w:cs="Times New Roman"/>
                <w:color w:val="auto"/>
                <w:sz w:val="21"/>
              </w:rPr>
            </w:pPr>
          </w:p>
        </w:tc>
        <w:tc>
          <w:tcPr>
            <w:tcW w:w="490" w:type="pct"/>
            <w:tcBorders>
              <w:tl2br w:val="nil"/>
              <w:tr2bl w:val="nil"/>
            </w:tcBorders>
            <w:noWrap/>
            <w:vAlign w:val="center"/>
          </w:tcPr>
          <w:p w14:paraId="34108660">
            <w:pPr>
              <w:jc w:val="center"/>
              <w:textAlignment w:val="center"/>
              <w:rPr>
                <w:rFonts w:ascii="Times New Roman" w:hAnsi="Times New Roman" w:cs="Times New Roman"/>
                <w:color w:val="auto"/>
                <w:sz w:val="21"/>
              </w:rPr>
            </w:pPr>
          </w:p>
        </w:tc>
        <w:tc>
          <w:tcPr>
            <w:tcW w:w="491" w:type="pct"/>
            <w:tcBorders>
              <w:tl2br w:val="nil"/>
              <w:tr2bl w:val="nil"/>
            </w:tcBorders>
            <w:noWrap/>
            <w:vAlign w:val="center"/>
          </w:tcPr>
          <w:p w14:paraId="78FFCE2A">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75D9B5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vMerge w:val="restart"/>
            <w:tcBorders>
              <w:tl2br w:val="nil"/>
              <w:tr2bl w:val="nil"/>
            </w:tcBorders>
            <w:noWrap/>
            <w:vAlign w:val="center"/>
          </w:tcPr>
          <w:p w14:paraId="59CA594A">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5</w:t>
            </w:r>
          </w:p>
        </w:tc>
        <w:tc>
          <w:tcPr>
            <w:tcW w:w="489" w:type="pct"/>
            <w:vMerge w:val="restart"/>
            <w:tcBorders>
              <w:tl2br w:val="nil"/>
              <w:tr2bl w:val="nil"/>
            </w:tcBorders>
            <w:noWrap/>
            <w:vAlign w:val="center"/>
          </w:tcPr>
          <w:p w14:paraId="42D04BCB">
            <w:pPr>
              <w:jc w:val="center"/>
              <w:textAlignment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高王家</w:t>
            </w:r>
          </w:p>
        </w:tc>
        <w:tc>
          <w:tcPr>
            <w:tcW w:w="809" w:type="pct"/>
            <w:tcBorders>
              <w:tl2br w:val="nil"/>
              <w:tr2bl w:val="nil"/>
            </w:tcBorders>
            <w:noWrap/>
            <w:vAlign w:val="center"/>
          </w:tcPr>
          <w:p w14:paraId="15236146">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1小时</w:t>
            </w:r>
          </w:p>
        </w:tc>
        <w:tc>
          <w:tcPr>
            <w:tcW w:w="474" w:type="pct"/>
            <w:tcBorders>
              <w:tl2br w:val="nil"/>
              <w:tr2bl w:val="nil"/>
            </w:tcBorders>
            <w:noWrap/>
            <w:vAlign w:val="center"/>
          </w:tcPr>
          <w:p w14:paraId="095780A4">
            <w:pPr>
              <w:jc w:val="center"/>
              <w:textAlignment w:val="center"/>
              <w:rPr>
                <w:rFonts w:ascii="Times New Roman" w:hAnsi="Times New Roman" w:cs="Times New Roman"/>
                <w:color w:val="auto"/>
                <w:sz w:val="21"/>
              </w:rPr>
            </w:pPr>
          </w:p>
        </w:tc>
        <w:tc>
          <w:tcPr>
            <w:tcW w:w="1153" w:type="pct"/>
            <w:tcBorders>
              <w:tl2br w:val="nil"/>
              <w:tr2bl w:val="nil"/>
            </w:tcBorders>
            <w:noWrap/>
            <w:vAlign w:val="center"/>
          </w:tcPr>
          <w:p w14:paraId="7CEECE9E">
            <w:pPr>
              <w:jc w:val="center"/>
              <w:textAlignment w:val="center"/>
              <w:rPr>
                <w:rFonts w:ascii="Times New Roman" w:hAnsi="Times New Roman" w:cs="Times New Roman"/>
                <w:color w:val="auto"/>
                <w:sz w:val="21"/>
              </w:rPr>
            </w:pPr>
          </w:p>
        </w:tc>
        <w:tc>
          <w:tcPr>
            <w:tcW w:w="792" w:type="pct"/>
            <w:tcBorders>
              <w:tl2br w:val="nil"/>
              <w:tr2bl w:val="nil"/>
            </w:tcBorders>
            <w:noWrap/>
            <w:vAlign w:val="center"/>
          </w:tcPr>
          <w:p w14:paraId="707988B1">
            <w:pPr>
              <w:jc w:val="center"/>
              <w:textAlignment w:val="center"/>
              <w:rPr>
                <w:rFonts w:ascii="Times New Roman" w:hAnsi="Times New Roman" w:cs="Times New Roman"/>
                <w:color w:val="auto"/>
                <w:sz w:val="21"/>
              </w:rPr>
            </w:pPr>
          </w:p>
        </w:tc>
        <w:tc>
          <w:tcPr>
            <w:tcW w:w="490" w:type="pct"/>
            <w:tcBorders>
              <w:tl2br w:val="nil"/>
              <w:tr2bl w:val="nil"/>
            </w:tcBorders>
            <w:noWrap/>
            <w:vAlign w:val="center"/>
          </w:tcPr>
          <w:p w14:paraId="017DF3E7">
            <w:pPr>
              <w:jc w:val="center"/>
              <w:textAlignment w:val="center"/>
              <w:rPr>
                <w:rFonts w:ascii="Times New Roman" w:hAnsi="Times New Roman" w:cs="Times New Roman"/>
                <w:color w:val="auto"/>
                <w:sz w:val="21"/>
              </w:rPr>
            </w:pPr>
          </w:p>
        </w:tc>
        <w:tc>
          <w:tcPr>
            <w:tcW w:w="491" w:type="pct"/>
            <w:tcBorders>
              <w:tl2br w:val="nil"/>
              <w:tr2bl w:val="nil"/>
            </w:tcBorders>
            <w:noWrap/>
            <w:vAlign w:val="center"/>
          </w:tcPr>
          <w:p w14:paraId="5802934C">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681A6F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vMerge w:val="continue"/>
            <w:tcBorders>
              <w:tl2br w:val="nil"/>
              <w:tr2bl w:val="nil"/>
            </w:tcBorders>
            <w:noWrap/>
            <w:vAlign w:val="center"/>
          </w:tcPr>
          <w:p w14:paraId="3C07B013">
            <w:pPr>
              <w:jc w:val="center"/>
              <w:rPr>
                <w:rFonts w:ascii="Times New Roman" w:hAnsi="Times New Roman" w:cs="Times New Roman"/>
                <w:color w:val="auto"/>
                <w:sz w:val="21"/>
              </w:rPr>
            </w:pPr>
          </w:p>
        </w:tc>
        <w:tc>
          <w:tcPr>
            <w:tcW w:w="489" w:type="pct"/>
            <w:vMerge w:val="continue"/>
            <w:tcBorders>
              <w:tl2br w:val="nil"/>
              <w:tr2bl w:val="nil"/>
            </w:tcBorders>
            <w:noWrap/>
            <w:vAlign w:val="center"/>
          </w:tcPr>
          <w:p w14:paraId="0DFA9C27">
            <w:pPr>
              <w:jc w:val="center"/>
              <w:rPr>
                <w:rFonts w:ascii="Times New Roman" w:hAnsi="Times New Roman" w:cs="Times New Roman"/>
                <w:color w:val="auto"/>
                <w:sz w:val="21"/>
              </w:rPr>
            </w:pPr>
          </w:p>
        </w:tc>
        <w:tc>
          <w:tcPr>
            <w:tcW w:w="809" w:type="pct"/>
            <w:tcBorders>
              <w:tl2br w:val="nil"/>
              <w:tr2bl w:val="nil"/>
            </w:tcBorders>
            <w:noWrap/>
            <w:vAlign w:val="center"/>
          </w:tcPr>
          <w:p w14:paraId="135233AE">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日平均</w:t>
            </w:r>
          </w:p>
        </w:tc>
        <w:tc>
          <w:tcPr>
            <w:tcW w:w="474" w:type="pct"/>
            <w:tcBorders>
              <w:tl2br w:val="nil"/>
              <w:tr2bl w:val="nil"/>
            </w:tcBorders>
            <w:noWrap/>
            <w:vAlign w:val="center"/>
          </w:tcPr>
          <w:p w14:paraId="53954777">
            <w:pPr>
              <w:jc w:val="center"/>
              <w:textAlignment w:val="center"/>
              <w:rPr>
                <w:rFonts w:ascii="Times New Roman" w:hAnsi="Times New Roman" w:cs="Times New Roman"/>
                <w:color w:val="auto"/>
                <w:sz w:val="21"/>
              </w:rPr>
            </w:pPr>
          </w:p>
        </w:tc>
        <w:tc>
          <w:tcPr>
            <w:tcW w:w="1153" w:type="pct"/>
            <w:tcBorders>
              <w:tl2br w:val="nil"/>
              <w:tr2bl w:val="nil"/>
            </w:tcBorders>
            <w:noWrap/>
            <w:vAlign w:val="center"/>
          </w:tcPr>
          <w:p w14:paraId="20E39558">
            <w:pPr>
              <w:jc w:val="center"/>
              <w:textAlignment w:val="center"/>
              <w:rPr>
                <w:rFonts w:ascii="Times New Roman" w:hAnsi="Times New Roman" w:cs="Times New Roman"/>
                <w:color w:val="auto"/>
                <w:sz w:val="21"/>
              </w:rPr>
            </w:pPr>
          </w:p>
        </w:tc>
        <w:tc>
          <w:tcPr>
            <w:tcW w:w="792" w:type="pct"/>
            <w:tcBorders>
              <w:tl2br w:val="nil"/>
              <w:tr2bl w:val="nil"/>
            </w:tcBorders>
            <w:noWrap/>
            <w:vAlign w:val="center"/>
          </w:tcPr>
          <w:p w14:paraId="55E52723">
            <w:pPr>
              <w:jc w:val="center"/>
              <w:textAlignment w:val="center"/>
              <w:rPr>
                <w:rFonts w:ascii="Times New Roman" w:hAnsi="Times New Roman" w:cs="Times New Roman"/>
                <w:color w:val="auto"/>
                <w:sz w:val="21"/>
              </w:rPr>
            </w:pPr>
          </w:p>
        </w:tc>
        <w:tc>
          <w:tcPr>
            <w:tcW w:w="490" w:type="pct"/>
            <w:tcBorders>
              <w:tl2br w:val="nil"/>
              <w:tr2bl w:val="nil"/>
            </w:tcBorders>
            <w:noWrap/>
            <w:vAlign w:val="center"/>
          </w:tcPr>
          <w:p w14:paraId="531B3F35">
            <w:pPr>
              <w:jc w:val="center"/>
              <w:textAlignment w:val="center"/>
              <w:rPr>
                <w:rFonts w:ascii="Times New Roman" w:hAnsi="Times New Roman" w:cs="Times New Roman"/>
                <w:color w:val="auto"/>
                <w:sz w:val="21"/>
              </w:rPr>
            </w:pPr>
          </w:p>
        </w:tc>
        <w:tc>
          <w:tcPr>
            <w:tcW w:w="491" w:type="pct"/>
            <w:tcBorders>
              <w:tl2br w:val="nil"/>
              <w:tr2bl w:val="nil"/>
            </w:tcBorders>
            <w:noWrap/>
            <w:vAlign w:val="center"/>
          </w:tcPr>
          <w:p w14:paraId="5754B7C2">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051895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vMerge w:val="restart"/>
            <w:tcBorders>
              <w:tl2br w:val="nil"/>
              <w:tr2bl w:val="nil"/>
            </w:tcBorders>
            <w:noWrap/>
            <w:vAlign w:val="center"/>
          </w:tcPr>
          <w:p w14:paraId="593C519D">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6</w:t>
            </w:r>
          </w:p>
        </w:tc>
        <w:tc>
          <w:tcPr>
            <w:tcW w:w="489" w:type="pct"/>
            <w:vMerge w:val="restart"/>
            <w:tcBorders>
              <w:tl2br w:val="nil"/>
              <w:tr2bl w:val="nil"/>
            </w:tcBorders>
            <w:noWrap/>
            <w:vAlign w:val="center"/>
          </w:tcPr>
          <w:p w14:paraId="7A13CC39">
            <w:pPr>
              <w:jc w:val="center"/>
              <w:textAlignment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三铺中学</w:t>
            </w:r>
          </w:p>
        </w:tc>
        <w:tc>
          <w:tcPr>
            <w:tcW w:w="809" w:type="pct"/>
            <w:tcBorders>
              <w:tl2br w:val="nil"/>
              <w:tr2bl w:val="nil"/>
            </w:tcBorders>
            <w:noWrap/>
            <w:vAlign w:val="center"/>
          </w:tcPr>
          <w:p w14:paraId="4E727827">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1小时</w:t>
            </w:r>
          </w:p>
        </w:tc>
        <w:tc>
          <w:tcPr>
            <w:tcW w:w="474" w:type="pct"/>
            <w:tcBorders>
              <w:tl2br w:val="nil"/>
              <w:tr2bl w:val="nil"/>
            </w:tcBorders>
            <w:noWrap/>
            <w:vAlign w:val="center"/>
          </w:tcPr>
          <w:p w14:paraId="18785C84">
            <w:pPr>
              <w:jc w:val="center"/>
              <w:textAlignment w:val="center"/>
              <w:rPr>
                <w:rFonts w:ascii="Times New Roman" w:hAnsi="Times New Roman" w:cs="Times New Roman"/>
                <w:color w:val="auto"/>
                <w:sz w:val="21"/>
              </w:rPr>
            </w:pPr>
          </w:p>
        </w:tc>
        <w:tc>
          <w:tcPr>
            <w:tcW w:w="1153" w:type="pct"/>
            <w:tcBorders>
              <w:tl2br w:val="nil"/>
              <w:tr2bl w:val="nil"/>
            </w:tcBorders>
            <w:noWrap/>
            <w:vAlign w:val="center"/>
          </w:tcPr>
          <w:p w14:paraId="5C820074">
            <w:pPr>
              <w:jc w:val="center"/>
              <w:textAlignment w:val="center"/>
              <w:rPr>
                <w:rFonts w:ascii="Times New Roman" w:hAnsi="Times New Roman" w:cs="Times New Roman"/>
                <w:color w:val="auto"/>
                <w:sz w:val="21"/>
              </w:rPr>
            </w:pPr>
          </w:p>
        </w:tc>
        <w:tc>
          <w:tcPr>
            <w:tcW w:w="792" w:type="pct"/>
            <w:tcBorders>
              <w:tl2br w:val="nil"/>
              <w:tr2bl w:val="nil"/>
            </w:tcBorders>
            <w:noWrap/>
            <w:vAlign w:val="center"/>
          </w:tcPr>
          <w:p w14:paraId="02584D71">
            <w:pPr>
              <w:jc w:val="center"/>
              <w:textAlignment w:val="center"/>
              <w:rPr>
                <w:rFonts w:ascii="Times New Roman" w:hAnsi="Times New Roman" w:cs="Times New Roman"/>
                <w:color w:val="auto"/>
                <w:sz w:val="21"/>
              </w:rPr>
            </w:pPr>
          </w:p>
        </w:tc>
        <w:tc>
          <w:tcPr>
            <w:tcW w:w="490" w:type="pct"/>
            <w:tcBorders>
              <w:tl2br w:val="nil"/>
              <w:tr2bl w:val="nil"/>
            </w:tcBorders>
            <w:noWrap/>
            <w:vAlign w:val="center"/>
          </w:tcPr>
          <w:p w14:paraId="109F9FBA">
            <w:pPr>
              <w:jc w:val="center"/>
              <w:textAlignment w:val="center"/>
              <w:rPr>
                <w:rFonts w:ascii="Times New Roman" w:hAnsi="Times New Roman" w:cs="Times New Roman"/>
                <w:color w:val="auto"/>
                <w:sz w:val="21"/>
              </w:rPr>
            </w:pPr>
          </w:p>
        </w:tc>
        <w:tc>
          <w:tcPr>
            <w:tcW w:w="491" w:type="pct"/>
            <w:tcBorders>
              <w:tl2br w:val="nil"/>
              <w:tr2bl w:val="nil"/>
            </w:tcBorders>
            <w:noWrap/>
            <w:vAlign w:val="center"/>
          </w:tcPr>
          <w:p w14:paraId="56BF5479">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42F7F8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vMerge w:val="continue"/>
            <w:tcBorders>
              <w:tl2br w:val="nil"/>
              <w:tr2bl w:val="nil"/>
            </w:tcBorders>
            <w:noWrap/>
            <w:vAlign w:val="center"/>
          </w:tcPr>
          <w:p w14:paraId="1B35C0E4">
            <w:pPr>
              <w:jc w:val="center"/>
              <w:rPr>
                <w:rFonts w:ascii="Times New Roman" w:hAnsi="Times New Roman" w:cs="Times New Roman"/>
                <w:color w:val="auto"/>
                <w:sz w:val="21"/>
              </w:rPr>
            </w:pPr>
          </w:p>
        </w:tc>
        <w:tc>
          <w:tcPr>
            <w:tcW w:w="489" w:type="pct"/>
            <w:vMerge w:val="continue"/>
            <w:tcBorders>
              <w:tl2br w:val="nil"/>
              <w:tr2bl w:val="nil"/>
            </w:tcBorders>
            <w:noWrap/>
            <w:vAlign w:val="center"/>
          </w:tcPr>
          <w:p w14:paraId="7835B202">
            <w:pPr>
              <w:jc w:val="center"/>
              <w:rPr>
                <w:rFonts w:ascii="Times New Roman" w:hAnsi="Times New Roman" w:cs="Times New Roman"/>
                <w:color w:val="auto"/>
                <w:sz w:val="21"/>
              </w:rPr>
            </w:pPr>
          </w:p>
        </w:tc>
        <w:tc>
          <w:tcPr>
            <w:tcW w:w="809" w:type="pct"/>
            <w:tcBorders>
              <w:tl2br w:val="nil"/>
              <w:tr2bl w:val="nil"/>
            </w:tcBorders>
            <w:noWrap/>
            <w:vAlign w:val="center"/>
          </w:tcPr>
          <w:p w14:paraId="3A563770">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日平均</w:t>
            </w:r>
          </w:p>
        </w:tc>
        <w:tc>
          <w:tcPr>
            <w:tcW w:w="474" w:type="pct"/>
            <w:tcBorders>
              <w:tl2br w:val="nil"/>
              <w:tr2bl w:val="nil"/>
            </w:tcBorders>
            <w:noWrap/>
            <w:vAlign w:val="center"/>
          </w:tcPr>
          <w:p w14:paraId="18998853">
            <w:pPr>
              <w:jc w:val="center"/>
              <w:textAlignment w:val="center"/>
              <w:rPr>
                <w:rFonts w:ascii="Times New Roman" w:hAnsi="Times New Roman" w:cs="Times New Roman"/>
                <w:color w:val="auto"/>
                <w:sz w:val="21"/>
                <w:lang w:eastAsia="zh-CN"/>
              </w:rPr>
            </w:pPr>
          </w:p>
        </w:tc>
        <w:tc>
          <w:tcPr>
            <w:tcW w:w="1153" w:type="pct"/>
            <w:tcBorders>
              <w:tl2br w:val="nil"/>
              <w:tr2bl w:val="nil"/>
            </w:tcBorders>
            <w:noWrap/>
            <w:vAlign w:val="center"/>
          </w:tcPr>
          <w:p w14:paraId="550F9A50">
            <w:pPr>
              <w:jc w:val="center"/>
              <w:textAlignment w:val="center"/>
              <w:rPr>
                <w:rFonts w:ascii="Times New Roman" w:hAnsi="Times New Roman" w:cs="Times New Roman"/>
                <w:color w:val="auto"/>
                <w:sz w:val="21"/>
              </w:rPr>
            </w:pPr>
          </w:p>
        </w:tc>
        <w:tc>
          <w:tcPr>
            <w:tcW w:w="792" w:type="pct"/>
            <w:tcBorders>
              <w:tl2br w:val="nil"/>
              <w:tr2bl w:val="nil"/>
            </w:tcBorders>
            <w:noWrap/>
            <w:vAlign w:val="center"/>
          </w:tcPr>
          <w:p w14:paraId="529FD7D0">
            <w:pPr>
              <w:jc w:val="center"/>
              <w:textAlignment w:val="center"/>
              <w:rPr>
                <w:rFonts w:ascii="Times New Roman" w:hAnsi="Times New Roman" w:cs="Times New Roman"/>
                <w:color w:val="auto"/>
                <w:sz w:val="21"/>
              </w:rPr>
            </w:pPr>
          </w:p>
        </w:tc>
        <w:tc>
          <w:tcPr>
            <w:tcW w:w="490" w:type="pct"/>
            <w:tcBorders>
              <w:tl2br w:val="nil"/>
              <w:tr2bl w:val="nil"/>
            </w:tcBorders>
            <w:noWrap/>
            <w:vAlign w:val="center"/>
          </w:tcPr>
          <w:p w14:paraId="59271DDA">
            <w:pPr>
              <w:jc w:val="center"/>
              <w:textAlignment w:val="center"/>
              <w:rPr>
                <w:rFonts w:ascii="Times New Roman" w:hAnsi="Times New Roman" w:cs="Times New Roman"/>
                <w:color w:val="auto"/>
                <w:sz w:val="21"/>
              </w:rPr>
            </w:pPr>
          </w:p>
        </w:tc>
        <w:tc>
          <w:tcPr>
            <w:tcW w:w="491" w:type="pct"/>
            <w:tcBorders>
              <w:tl2br w:val="nil"/>
              <w:tr2bl w:val="nil"/>
            </w:tcBorders>
            <w:noWrap/>
            <w:vAlign w:val="center"/>
          </w:tcPr>
          <w:p w14:paraId="4CB1257D">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0EB0F2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vMerge w:val="restart"/>
            <w:tcBorders>
              <w:tl2br w:val="nil"/>
              <w:tr2bl w:val="nil"/>
            </w:tcBorders>
            <w:noWrap/>
            <w:vAlign w:val="center"/>
          </w:tcPr>
          <w:p w14:paraId="3E03AEB8">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7</w:t>
            </w:r>
          </w:p>
        </w:tc>
        <w:tc>
          <w:tcPr>
            <w:tcW w:w="489" w:type="pct"/>
            <w:vMerge w:val="restart"/>
            <w:tcBorders>
              <w:tl2br w:val="nil"/>
              <w:tr2bl w:val="nil"/>
            </w:tcBorders>
            <w:noWrap/>
            <w:vAlign w:val="center"/>
          </w:tcPr>
          <w:p w14:paraId="2E52993E">
            <w:pPr>
              <w:jc w:val="center"/>
              <w:textAlignment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杜家湖</w:t>
            </w:r>
          </w:p>
        </w:tc>
        <w:tc>
          <w:tcPr>
            <w:tcW w:w="809" w:type="pct"/>
            <w:tcBorders>
              <w:tl2br w:val="nil"/>
              <w:tr2bl w:val="nil"/>
            </w:tcBorders>
            <w:noWrap/>
            <w:vAlign w:val="center"/>
          </w:tcPr>
          <w:p w14:paraId="3BBA5D0E">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1小时</w:t>
            </w:r>
          </w:p>
        </w:tc>
        <w:tc>
          <w:tcPr>
            <w:tcW w:w="474" w:type="pct"/>
            <w:tcBorders>
              <w:tl2br w:val="nil"/>
              <w:tr2bl w:val="nil"/>
            </w:tcBorders>
            <w:noWrap/>
            <w:vAlign w:val="center"/>
          </w:tcPr>
          <w:p w14:paraId="7790A777">
            <w:pPr>
              <w:jc w:val="center"/>
              <w:textAlignment w:val="center"/>
              <w:rPr>
                <w:rFonts w:ascii="Times New Roman" w:hAnsi="Times New Roman" w:cs="Times New Roman"/>
                <w:color w:val="auto"/>
                <w:sz w:val="21"/>
                <w:lang w:eastAsia="zh-CN"/>
              </w:rPr>
            </w:pPr>
          </w:p>
        </w:tc>
        <w:tc>
          <w:tcPr>
            <w:tcW w:w="1153" w:type="pct"/>
            <w:tcBorders>
              <w:tl2br w:val="nil"/>
              <w:tr2bl w:val="nil"/>
            </w:tcBorders>
            <w:noWrap/>
            <w:vAlign w:val="center"/>
          </w:tcPr>
          <w:p w14:paraId="03758814">
            <w:pPr>
              <w:jc w:val="center"/>
              <w:textAlignment w:val="center"/>
              <w:rPr>
                <w:rFonts w:ascii="Times New Roman" w:hAnsi="Times New Roman" w:cs="Times New Roman"/>
                <w:color w:val="auto"/>
                <w:sz w:val="21"/>
              </w:rPr>
            </w:pPr>
          </w:p>
        </w:tc>
        <w:tc>
          <w:tcPr>
            <w:tcW w:w="792" w:type="pct"/>
            <w:tcBorders>
              <w:tl2br w:val="nil"/>
              <w:tr2bl w:val="nil"/>
            </w:tcBorders>
            <w:noWrap/>
            <w:vAlign w:val="center"/>
          </w:tcPr>
          <w:p w14:paraId="4EF226E1">
            <w:pPr>
              <w:jc w:val="center"/>
              <w:textAlignment w:val="center"/>
              <w:rPr>
                <w:rFonts w:ascii="Times New Roman" w:hAnsi="Times New Roman" w:cs="Times New Roman"/>
                <w:color w:val="auto"/>
                <w:sz w:val="21"/>
              </w:rPr>
            </w:pPr>
          </w:p>
        </w:tc>
        <w:tc>
          <w:tcPr>
            <w:tcW w:w="490" w:type="pct"/>
            <w:tcBorders>
              <w:tl2br w:val="nil"/>
              <w:tr2bl w:val="nil"/>
            </w:tcBorders>
            <w:noWrap/>
            <w:vAlign w:val="center"/>
          </w:tcPr>
          <w:p w14:paraId="3ACA67BF">
            <w:pPr>
              <w:jc w:val="center"/>
              <w:textAlignment w:val="center"/>
              <w:rPr>
                <w:rFonts w:ascii="Times New Roman" w:hAnsi="Times New Roman" w:cs="Times New Roman"/>
                <w:color w:val="auto"/>
                <w:sz w:val="21"/>
              </w:rPr>
            </w:pPr>
          </w:p>
        </w:tc>
        <w:tc>
          <w:tcPr>
            <w:tcW w:w="491" w:type="pct"/>
            <w:tcBorders>
              <w:tl2br w:val="nil"/>
              <w:tr2bl w:val="nil"/>
            </w:tcBorders>
            <w:noWrap/>
            <w:vAlign w:val="center"/>
          </w:tcPr>
          <w:p w14:paraId="01FAD458">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4BD33A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vMerge w:val="continue"/>
            <w:tcBorders>
              <w:tl2br w:val="nil"/>
              <w:tr2bl w:val="nil"/>
            </w:tcBorders>
            <w:noWrap/>
            <w:vAlign w:val="center"/>
          </w:tcPr>
          <w:p w14:paraId="3546DF98">
            <w:pPr>
              <w:jc w:val="center"/>
              <w:rPr>
                <w:rFonts w:ascii="Times New Roman" w:hAnsi="Times New Roman" w:cs="Times New Roman"/>
                <w:color w:val="auto"/>
                <w:sz w:val="21"/>
              </w:rPr>
            </w:pPr>
          </w:p>
        </w:tc>
        <w:tc>
          <w:tcPr>
            <w:tcW w:w="489" w:type="pct"/>
            <w:vMerge w:val="continue"/>
            <w:tcBorders>
              <w:tl2br w:val="nil"/>
              <w:tr2bl w:val="nil"/>
            </w:tcBorders>
            <w:noWrap/>
            <w:vAlign w:val="center"/>
          </w:tcPr>
          <w:p w14:paraId="7AFCACBF">
            <w:pPr>
              <w:jc w:val="center"/>
              <w:rPr>
                <w:rFonts w:ascii="Times New Roman" w:hAnsi="Times New Roman" w:cs="Times New Roman"/>
                <w:color w:val="auto"/>
                <w:sz w:val="21"/>
              </w:rPr>
            </w:pPr>
          </w:p>
        </w:tc>
        <w:tc>
          <w:tcPr>
            <w:tcW w:w="809" w:type="pct"/>
            <w:tcBorders>
              <w:tl2br w:val="nil"/>
              <w:tr2bl w:val="nil"/>
            </w:tcBorders>
            <w:noWrap/>
            <w:vAlign w:val="center"/>
          </w:tcPr>
          <w:p w14:paraId="15696B1F">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日平均</w:t>
            </w:r>
          </w:p>
        </w:tc>
        <w:tc>
          <w:tcPr>
            <w:tcW w:w="474" w:type="pct"/>
            <w:tcBorders>
              <w:tl2br w:val="nil"/>
              <w:tr2bl w:val="nil"/>
            </w:tcBorders>
            <w:noWrap/>
            <w:vAlign w:val="center"/>
          </w:tcPr>
          <w:p w14:paraId="083F3F29">
            <w:pPr>
              <w:jc w:val="center"/>
              <w:textAlignment w:val="center"/>
              <w:rPr>
                <w:rFonts w:ascii="Times New Roman" w:hAnsi="Times New Roman" w:cs="Times New Roman"/>
                <w:color w:val="auto"/>
                <w:sz w:val="21"/>
              </w:rPr>
            </w:pPr>
          </w:p>
        </w:tc>
        <w:tc>
          <w:tcPr>
            <w:tcW w:w="1153" w:type="pct"/>
            <w:tcBorders>
              <w:tl2br w:val="nil"/>
              <w:tr2bl w:val="nil"/>
            </w:tcBorders>
            <w:noWrap/>
            <w:vAlign w:val="center"/>
          </w:tcPr>
          <w:p w14:paraId="7D66B286">
            <w:pPr>
              <w:jc w:val="center"/>
              <w:textAlignment w:val="center"/>
              <w:rPr>
                <w:rFonts w:ascii="Times New Roman" w:hAnsi="Times New Roman" w:cs="Times New Roman"/>
                <w:color w:val="auto"/>
                <w:sz w:val="21"/>
              </w:rPr>
            </w:pPr>
          </w:p>
        </w:tc>
        <w:tc>
          <w:tcPr>
            <w:tcW w:w="792" w:type="pct"/>
            <w:tcBorders>
              <w:tl2br w:val="nil"/>
              <w:tr2bl w:val="nil"/>
            </w:tcBorders>
            <w:noWrap/>
            <w:vAlign w:val="center"/>
          </w:tcPr>
          <w:p w14:paraId="67DBCC71">
            <w:pPr>
              <w:jc w:val="center"/>
              <w:textAlignment w:val="center"/>
              <w:rPr>
                <w:rFonts w:ascii="Times New Roman" w:hAnsi="Times New Roman" w:cs="Times New Roman"/>
                <w:color w:val="auto"/>
                <w:sz w:val="21"/>
              </w:rPr>
            </w:pPr>
          </w:p>
        </w:tc>
        <w:tc>
          <w:tcPr>
            <w:tcW w:w="490" w:type="pct"/>
            <w:tcBorders>
              <w:tl2br w:val="nil"/>
              <w:tr2bl w:val="nil"/>
            </w:tcBorders>
            <w:noWrap/>
            <w:vAlign w:val="center"/>
          </w:tcPr>
          <w:p w14:paraId="763EFE5D">
            <w:pPr>
              <w:jc w:val="center"/>
              <w:textAlignment w:val="center"/>
              <w:rPr>
                <w:rFonts w:ascii="Times New Roman" w:hAnsi="Times New Roman" w:cs="Times New Roman"/>
                <w:color w:val="auto"/>
                <w:sz w:val="21"/>
              </w:rPr>
            </w:pPr>
          </w:p>
        </w:tc>
        <w:tc>
          <w:tcPr>
            <w:tcW w:w="491" w:type="pct"/>
            <w:tcBorders>
              <w:tl2br w:val="nil"/>
              <w:tr2bl w:val="nil"/>
            </w:tcBorders>
            <w:noWrap/>
            <w:vAlign w:val="center"/>
          </w:tcPr>
          <w:p w14:paraId="69B12487">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27325E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vMerge w:val="restart"/>
            <w:tcBorders>
              <w:tl2br w:val="nil"/>
              <w:tr2bl w:val="nil"/>
            </w:tcBorders>
            <w:noWrap/>
            <w:vAlign w:val="center"/>
          </w:tcPr>
          <w:p w14:paraId="018618BD">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8</w:t>
            </w:r>
          </w:p>
        </w:tc>
        <w:tc>
          <w:tcPr>
            <w:tcW w:w="489" w:type="pct"/>
            <w:vMerge w:val="restart"/>
            <w:tcBorders>
              <w:tl2br w:val="nil"/>
              <w:tr2bl w:val="nil"/>
            </w:tcBorders>
            <w:noWrap/>
            <w:vAlign w:val="center"/>
          </w:tcPr>
          <w:p w14:paraId="106FC615">
            <w:pPr>
              <w:jc w:val="center"/>
              <w:textAlignment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网格点</w:t>
            </w:r>
          </w:p>
        </w:tc>
        <w:tc>
          <w:tcPr>
            <w:tcW w:w="809" w:type="pct"/>
            <w:tcBorders>
              <w:tl2br w:val="nil"/>
              <w:tr2bl w:val="nil"/>
            </w:tcBorders>
            <w:noWrap/>
            <w:vAlign w:val="center"/>
          </w:tcPr>
          <w:p w14:paraId="71359143">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1小时</w:t>
            </w:r>
          </w:p>
        </w:tc>
        <w:tc>
          <w:tcPr>
            <w:tcW w:w="474" w:type="pct"/>
            <w:tcBorders>
              <w:tl2br w:val="nil"/>
              <w:tr2bl w:val="nil"/>
            </w:tcBorders>
            <w:noWrap/>
            <w:vAlign w:val="center"/>
          </w:tcPr>
          <w:p w14:paraId="2F12BBED">
            <w:pPr>
              <w:jc w:val="center"/>
              <w:textAlignment w:val="center"/>
              <w:rPr>
                <w:rFonts w:ascii="Times New Roman" w:hAnsi="Times New Roman" w:cs="Times New Roman"/>
                <w:color w:val="auto"/>
                <w:sz w:val="21"/>
                <w:lang w:eastAsia="zh-CN"/>
              </w:rPr>
            </w:pPr>
          </w:p>
        </w:tc>
        <w:tc>
          <w:tcPr>
            <w:tcW w:w="1153" w:type="pct"/>
            <w:tcBorders>
              <w:tl2br w:val="nil"/>
              <w:tr2bl w:val="nil"/>
            </w:tcBorders>
            <w:noWrap/>
            <w:vAlign w:val="center"/>
          </w:tcPr>
          <w:p w14:paraId="7CC049A3">
            <w:pPr>
              <w:jc w:val="center"/>
              <w:textAlignment w:val="center"/>
              <w:rPr>
                <w:rFonts w:ascii="Times New Roman" w:hAnsi="Times New Roman" w:cs="Times New Roman"/>
                <w:color w:val="auto"/>
                <w:sz w:val="21"/>
              </w:rPr>
            </w:pPr>
          </w:p>
        </w:tc>
        <w:tc>
          <w:tcPr>
            <w:tcW w:w="792" w:type="pct"/>
            <w:tcBorders>
              <w:tl2br w:val="nil"/>
              <w:tr2bl w:val="nil"/>
            </w:tcBorders>
            <w:noWrap/>
            <w:vAlign w:val="center"/>
          </w:tcPr>
          <w:p w14:paraId="77D5EA8C">
            <w:pPr>
              <w:jc w:val="center"/>
              <w:textAlignment w:val="center"/>
              <w:rPr>
                <w:rFonts w:ascii="Times New Roman" w:hAnsi="Times New Roman" w:cs="Times New Roman"/>
                <w:color w:val="auto"/>
                <w:sz w:val="21"/>
              </w:rPr>
            </w:pPr>
          </w:p>
        </w:tc>
        <w:tc>
          <w:tcPr>
            <w:tcW w:w="490" w:type="pct"/>
            <w:tcBorders>
              <w:tl2br w:val="nil"/>
              <w:tr2bl w:val="nil"/>
            </w:tcBorders>
            <w:noWrap/>
            <w:vAlign w:val="center"/>
          </w:tcPr>
          <w:p w14:paraId="6493F245">
            <w:pPr>
              <w:jc w:val="center"/>
              <w:textAlignment w:val="center"/>
              <w:rPr>
                <w:rFonts w:ascii="Times New Roman" w:hAnsi="Times New Roman" w:cs="Times New Roman"/>
                <w:color w:val="auto"/>
                <w:sz w:val="21"/>
              </w:rPr>
            </w:pPr>
          </w:p>
        </w:tc>
        <w:tc>
          <w:tcPr>
            <w:tcW w:w="491" w:type="pct"/>
            <w:tcBorders>
              <w:tl2br w:val="nil"/>
              <w:tr2bl w:val="nil"/>
            </w:tcBorders>
            <w:noWrap/>
            <w:vAlign w:val="center"/>
          </w:tcPr>
          <w:p w14:paraId="1AC2332F">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461987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 w:type="pct"/>
            <w:vMerge w:val="continue"/>
            <w:tcBorders>
              <w:tl2br w:val="nil"/>
              <w:tr2bl w:val="nil"/>
            </w:tcBorders>
            <w:noWrap/>
            <w:vAlign w:val="center"/>
          </w:tcPr>
          <w:p w14:paraId="524EF99B">
            <w:pPr>
              <w:jc w:val="center"/>
              <w:rPr>
                <w:rFonts w:ascii="Times New Roman" w:hAnsi="Times New Roman" w:cs="Times New Roman"/>
                <w:color w:val="auto"/>
                <w:sz w:val="21"/>
              </w:rPr>
            </w:pPr>
          </w:p>
        </w:tc>
        <w:tc>
          <w:tcPr>
            <w:tcW w:w="489" w:type="pct"/>
            <w:vMerge w:val="continue"/>
            <w:tcBorders>
              <w:tl2br w:val="nil"/>
              <w:tr2bl w:val="nil"/>
            </w:tcBorders>
            <w:noWrap/>
            <w:vAlign w:val="center"/>
          </w:tcPr>
          <w:p w14:paraId="3ACA83D4">
            <w:pPr>
              <w:jc w:val="center"/>
              <w:rPr>
                <w:rFonts w:ascii="Times New Roman" w:hAnsi="Times New Roman" w:cs="Times New Roman"/>
                <w:color w:val="auto"/>
                <w:sz w:val="21"/>
              </w:rPr>
            </w:pPr>
          </w:p>
        </w:tc>
        <w:tc>
          <w:tcPr>
            <w:tcW w:w="809" w:type="pct"/>
            <w:tcBorders>
              <w:tl2br w:val="nil"/>
              <w:tr2bl w:val="nil"/>
            </w:tcBorders>
            <w:noWrap/>
            <w:vAlign w:val="center"/>
          </w:tcPr>
          <w:p w14:paraId="01EDEB7A">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日平均</w:t>
            </w:r>
          </w:p>
        </w:tc>
        <w:tc>
          <w:tcPr>
            <w:tcW w:w="474" w:type="pct"/>
            <w:tcBorders>
              <w:tl2br w:val="nil"/>
              <w:tr2bl w:val="nil"/>
            </w:tcBorders>
            <w:noWrap/>
            <w:vAlign w:val="center"/>
          </w:tcPr>
          <w:p w14:paraId="1F6F5AF3">
            <w:pPr>
              <w:jc w:val="center"/>
              <w:textAlignment w:val="center"/>
              <w:rPr>
                <w:rFonts w:ascii="Times New Roman" w:hAnsi="Times New Roman" w:cs="Times New Roman"/>
                <w:color w:val="auto"/>
                <w:sz w:val="21"/>
              </w:rPr>
            </w:pPr>
          </w:p>
        </w:tc>
        <w:tc>
          <w:tcPr>
            <w:tcW w:w="1153" w:type="pct"/>
            <w:tcBorders>
              <w:tl2br w:val="nil"/>
              <w:tr2bl w:val="nil"/>
            </w:tcBorders>
            <w:noWrap/>
            <w:vAlign w:val="center"/>
          </w:tcPr>
          <w:p w14:paraId="0E00D587">
            <w:pPr>
              <w:jc w:val="center"/>
              <w:textAlignment w:val="center"/>
              <w:rPr>
                <w:rFonts w:ascii="Times New Roman" w:hAnsi="Times New Roman" w:cs="Times New Roman"/>
                <w:color w:val="auto"/>
                <w:sz w:val="21"/>
              </w:rPr>
            </w:pPr>
          </w:p>
        </w:tc>
        <w:tc>
          <w:tcPr>
            <w:tcW w:w="792" w:type="pct"/>
            <w:tcBorders>
              <w:tl2br w:val="nil"/>
              <w:tr2bl w:val="nil"/>
            </w:tcBorders>
            <w:noWrap/>
            <w:vAlign w:val="center"/>
          </w:tcPr>
          <w:p w14:paraId="510C5DD4">
            <w:pPr>
              <w:jc w:val="center"/>
              <w:textAlignment w:val="center"/>
              <w:rPr>
                <w:rFonts w:ascii="Times New Roman" w:hAnsi="Times New Roman" w:cs="Times New Roman"/>
                <w:color w:val="auto"/>
                <w:sz w:val="21"/>
              </w:rPr>
            </w:pPr>
          </w:p>
        </w:tc>
        <w:tc>
          <w:tcPr>
            <w:tcW w:w="490" w:type="pct"/>
            <w:tcBorders>
              <w:tl2br w:val="nil"/>
              <w:tr2bl w:val="nil"/>
            </w:tcBorders>
            <w:noWrap/>
            <w:vAlign w:val="center"/>
          </w:tcPr>
          <w:p w14:paraId="62787A49">
            <w:pPr>
              <w:jc w:val="center"/>
              <w:textAlignment w:val="center"/>
              <w:rPr>
                <w:rFonts w:ascii="Times New Roman" w:hAnsi="Times New Roman" w:cs="Times New Roman"/>
                <w:color w:val="auto"/>
                <w:sz w:val="21"/>
              </w:rPr>
            </w:pPr>
          </w:p>
        </w:tc>
        <w:tc>
          <w:tcPr>
            <w:tcW w:w="491" w:type="pct"/>
            <w:tcBorders>
              <w:tl2br w:val="nil"/>
              <w:tr2bl w:val="nil"/>
            </w:tcBorders>
            <w:noWrap/>
            <w:vAlign w:val="center"/>
          </w:tcPr>
          <w:p w14:paraId="42F82E6B">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bl>
    <w:p w14:paraId="50C1538E">
      <w:pPr>
        <w:spacing w:line="360" w:lineRule="auto"/>
        <w:jc w:val="center"/>
        <w:rPr>
          <w:rFonts w:ascii="Times New Roman" w:hAnsi="Times New Roman" w:cs="Times New Roman"/>
          <w:b/>
          <w:kern w:val="2"/>
          <w:szCs w:val="24"/>
          <w:lang w:eastAsia="zh-CN"/>
        </w:rPr>
      </w:pPr>
    </w:p>
    <w:p w14:paraId="1A45E38F">
      <w:pPr>
        <w:rPr>
          <w:rFonts w:ascii="Times New Roman" w:hAnsi="Times New Roman" w:cs="Times New Roman"/>
          <w:b/>
          <w:kern w:val="2"/>
          <w:szCs w:val="24"/>
          <w:lang w:eastAsia="zh-CN"/>
        </w:rPr>
      </w:pPr>
    </w:p>
    <w:p w14:paraId="059214AC">
      <w:pPr>
        <w:rPr>
          <w:rFonts w:ascii="Times New Roman" w:hAnsi="Times New Roman" w:cs="Times New Roman"/>
          <w:lang w:eastAsia="zh-CN"/>
        </w:rPr>
        <w:sectPr>
          <w:pgSz w:w="11906" w:h="16838"/>
          <w:pgMar w:top="1440" w:right="1080" w:bottom="1440" w:left="1080" w:header="851" w:footer="992" w:gutter="0"/>
          <w:cols w:space="720" w:num="1"/>
          <w:docGrid w:type="lines" w:linePitch="312" w:charSpace="0"/>
        </w:sectPr>
      </w:pPr>
    </w:p>
    <w:p w14:paraId="502FAE00">
      <w:pPr>
        <w:spacing w:line="360" w:lineRule="auto"/>
        <w:jc w:val="center"/>
        <w:rPr>
          <w:rFonts w:ascii="Times New Roman" w:hAnsi="Times New Roman" w:eastAsia="新宋体" w:cs="Times New Roman"/>
          <w:b/>
          <w:bCs/>
          <w:szCs w:val="24"/>
          <w:lang w:eastAsia="zh-CN"/>
        </w:rPr>
      </w:pPr>
      <w:r>
        <w:rPr>
          <w:rFonts w:ascii="Times New Roman" w:hAnsi="Times New Roman" w:cs="Times New Roman"/>
          <w:b/>
          <w:kern w:val="2"/>
          <w:szCs w:val="24"/>
          <w:lang w:eastAsia="zh-CN"/>
        </w:rPr>
        <w:t>表</w:t>
      </w:r>
      <w:r>
        <w:rPr>
          <w:rFonts w:hint="eastAsia" w:ascii="Times New Roman" w:hAnsi="Times New Roman" w:cs="Times New Roman"/>
          <w:b/>
          <w:kern w:val="2"/>
          <w:szCs w:val="24"/>
          <w:lang w:eastAsia="zh-CN"/>
        </w:rPr>
        <w:t>6</w:t>
      </w:r>
      <w:r>
        <w:rPr>
          <w:rFonts w:ascii="Times New Roman" w:hAnsi="Times New Roman" w:cs="Times New Roman"/>
          <w:b/>
          <w:kern w:val="2"/>
          <w:szCs w:val="24"/>
          <w:lang w:eastAsia="zh-CN"/>
        </w:rPr>
        <w:t>.2-1</w:t>
      </w:r>
      <w:r>
        <w:rPr>
          <w:rFonts w:hint="eastAsia" w:ascii="Times New Roman" w:hAnsi="Times New Roman" w:cs="Times New Roman"/>
          <w:b/>
          <w:kern w:val="2"/>
          <w:szCs w:val="24"/>
          <w:lang w:eastAsia="zh-CN"/>
        </w:rPr>
        <w:t>5</w:t>
      </w:r>
      <w:r>
        <w:rPr>
          <w:rFonts w:ascii="Times New Roman" w:hAnsi="Times New Roman" w:cs="Times New Roman"/>
          <w:b/>
          <w:kern w:val="2"/>
          <w:szCs w:val="24"/>
          <w:lang w:eastAsia="zh-CN"/>
        </w:rPr>
        <w:t xml:space="preserve"> 项目</w:t>
      </w:r>
      <w:r>
        <w:rPr>
          <w:rFonts w:hint="eastAsia" w:ascii="Times New Roman" w:hAnsi="Times New Roman" w:cs="Times New Roman"/>
          <w:b/>
          <w:lang w:eastAsia="zh-CN"/>
        </w:rPr>
        <w:t>氯化氢</w:t>
      </w:r>
      <w:r>
        <w:rPr>
          <w:rFonts w:ascii="Times New Roman" w:hAnsi="Times New Roman" w:cs="Times New Roman"/>
          <w:b/>
          <w:kern w:val="2"/>
          <w:szCs w:val="24"/>
          <w:lang w:eastAsia="zh-CN"/>
        </w:rPr>
        <w:t>叠加背景浓度预测结果一览表  单位：</w:t>
      </w:r>
      <w:r>
        <w:rPr>
          <w:rFonts w:ascii="Times New Roman" w:hAnsi="Times New Roman" w:cs="Times New Roman"/>
          <w:b/>
          <w:bCs/>
          <w:szCs w:val="24"/>
          <w:lang w:eastAsia="zh-CN" w:bidi="ar"/>
        </w:rPr>
        <w:t>μg/m</w:t>
      </w:r>
      <w:r>
        <w:rPr>
          <w:rFonts w:ascii="Times New Roman" w:hAnsi="Times New Roman" w:cs="Times New Roman"/>
          <w:b/>
          <w:bCs/>
          <w:szCs w:val="24"/>
          <w:vertAlign w:val="superscript"/>
          <w:lang w:eastAsia="zh-CN" w:bidi="ar"/>
        </w:rPr>
        <w:t>3</w:t>
      </w:r>
    </w:p>
    <w:tbl>
      <w:tblPr>
        <w:tblStyle w:val="35"/>
        <w:tblpPr w:leftFromText="180" w:rightFromText="180" w:vertAnchor="text" w:tblpXSpec="center" w:tblpY="1"/>
        <w:tblOverlap w:val="never"/>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444"/>
        <w:gridCol w:w="922"/>
        <w:gridCol w:w="1477"/>
        <w:gridCol w:w="1686"/>
        <w:gridCol w:w="1136"/>
        <w:gridCol w:w="1982"/>
        <w:gridCol w:w="1424"/>
        <w:gridCol w:w="1477"/>
        <w:gridCol w:w="921"/>
        <w:gridCol w:w="921"/>
      </w:tblGrid>
      <w:tr w14:paraId="22CA7E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03" w:type="pct"/>
            <w:tcBorders>
              <w:tl2br w:val="nil"/>
              <w:tr2bl w:val="nil"/>
            </w:tcBorders>
            <w:noWrap/>
            <w:vAlign w:val="center"/>
          </w:tcPr>
          <w:p w14:paraId="19B288DF">
            <w:pPr>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序号</w:t>
            </w:r>
          </w:p>
        </w:tc>
        <w:tc>
          <w:tcPr>
            <w:tcW w:w="517" w:type="pct"/>
            <w:tcBorders>
              <w:tl2br w:val="nil"/>
              <w:tr2bl w:val="nil"/>
            </w:tcBorders>
            <w:noWrap/>
            <w:vAlign w:val="center"/>
          </w:tcPr>
          <w:p w14:paraId="71399E2A">
            <w:pPr>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点名称</w:t>
            </w:r>
          </w:p>
        </w:tc>
        <w:tc>
          <w:tcPr>
            <w:tcW w:w="330" w:type="pct"/>
            <w:tcBorders>
              <w:tl2br w:val="nil"/>
              <w:tr2bl w:val="nil"/>
            </w:tcBorders>
            <w:noWrap/>
            <w:vAlign w:val="center"/>
          </w:tcPr>
          <w:p w14:paraId="1B77239F">
            <w:pPr>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浓度类型</w:t>
            </w:r>
          </w:p>
        </w:tc>
        <w:tc>
          <w:tcPr>
            <w:tcW w:w="529" w:type="pct"/>
            <w:tcBorders>
              <w:tl2br w:val="nil"/>
              <w:tr2bl w:val="nil"/>
            </w:tcBorders>
            <w:noWrap/>
            <w:vAlign w:val="center"/>
          </w:tcPr>
          <w:p w14:paraId="449E43DB">
            <w:pPr>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浓度增量(μg/m</w:t>
            </w:r>
            <w:r>
              <w:rPr>
                <w:rFonts w:ascii="Times New Roman" w:hAnsi="Times New Roman" w:cs="Times New Roman"/>
                <w:b/>
                <w:bCs/>
                <w:color w:val="auto"/>
                <w:sz w:val="21"/>
                <w:vertAlign w:val="superscript"/>
                <w:lang w:eastAsia="zh-CN" w:bidi="ar"/>
              </w:rPr>
              <w:t>3</w:t>
            </w:r>
            <w:r>
              <w:rPr>
                <w:rFonts w:ascii="Times New Roman" w:hAnsi="Times New Roman" w:cs="Times New Roman"/>
                <w:b/>
                <w:bCs/>
                <w:color w:val="auto"/>
                <w:sz w:val="21"/>
                <w:lang w:eastAsia="zh-CN" w:bidi="ar"/>
              </w:rPr>
              <w:t>)</w:t>
            </w:r>
          </w:p>
        </w:tc>
        <w:tc>
          <w:tcPr>
            <w:tcW w:w="604" w:type="pct"/>
            <w:tcBorders>
              <w:tl2br w:val="nil"/>
              <w:tr2bl w:val="nil"/>
            </w:tcBorders>
            <w:noWrap/>
            <w:vAlign w:val="center"/>
          </w:tcPr>
          <w:p w14:paraId="069E1223">
            <w:pPr>
              <w:jc w:val="center"/>
              <w:textAlignment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bidi="ar"/>
              </w:rPr>
              <w:t>出现时间(YYMMDDHH)</w:t>
            </w:r>
          </w:p>
        </w:tc>
        <w:tc>
          <w:tcPr>
            <w:tcW w:w="407" w:type="pct"/>
            <w:tcBorders>
              <w:tl2br w:val="nil"/>
              <w:tr2bl w:val="nil"/>
            </w:tcBorders>
            <w:noWrap/>
            <w:vAlign w:val="center"/>
          </w:tcPr>
          <w:p w14:paraId="792A7991">
            <w:pPr>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背景浓度(μg/m</w:t>
            </w:r>
            <w:r>
              <w:rPr>
                <w:rFonts w:ascii="Times New Roman" w:hAnsi="Times New Roman" w:cs="Times New Roman"/>
                <w:b/>
                <w:bCs/>
                <w:color w:val="auto"/>
                <w:sz w:val="21"/>
                <w:vertAlign w:val="superscript"/>
                <w:lang w:eastAsia="zh-CN" w:bidi="ar"/>
              </w:rPr>
              <w:t>3</w:t>
            </w:r>
            <w:r>
              <w:rPr>
                <w:rFonts w:ascii="Times New Roman" w:hAnsi="Times New Roman" w:cs="Times New Roman"/>
                <w:b/>
                <w:bCs/>
                <w:color w:val="auto"/>
                <w:sz w:val="21"/>
                <w:lang w:eastAsia="zh-CN" w:bidi="ar"/>
              </w:rPr>
              <w:t>)</w:t>
            </w:r>
          </w:p>
        </w:tc>
        <w:tc>
          <w:tcPr>
            <w:tcW w:w="710" w:type="pct"/>
            <w:tcBorders>
              <w:tl2br w:val="nil"/>
              <w:tr2bl w:val="nil"/>
            </w:tcBorders>
            <w:vAlign w:val="center"/>
          </w:tcPr>
          <w:p w14:paraId="105C0701">
            <w:pPr>
              <w:jc w:val="center"/>
              <w:textAlignment w:val="center"/>
              <w:rPr>
                <w:rFonts w:ascii="Times New Roman" w:hAnsi="Times New Roman" w:cs="Times New Roman"/>
                <w:b/>
                <w:bCs/>
                <w:color w:val="auto"/>
                <w:sz w:val="21"/>
                <w:lang w:eastAsia="zh-CN" w:bidi="ar"/>
              </w:rPr>
            </w:pPr>
            <w:r>
              <w:rPr>
                <w:rFonts w:ascii="Times New Roman" w:hAnsi="Times New Roman" w:cs="Times New Roman"/>
                <w:b/>
                <w:bCs/>
                <w:color w:val="000000" w:themeColor="text1"/>
                <w:sz w:val="21"/>
                <w:lang w:eastAsia="zh-CN"/>
                <w14:textFill>
                  <w14:solidFill>
                    <w14:schemeClr w14:val="tx1"/>
                  </w14:solidFill>
                </w14:textFill>
              </w:rPr>
              <w:t>其他在建、拟建项目预测浓度</w:t>
            </w:r>
            <w:r>
              <w:rPr>
                <w:rFonts w:ascii="Times New Roman" w:hAnsi="Times New Roman" w:cs="Times New Roman"/>
                <w:b/>
                <w:bCs/>
                <w:color w:val="auto"/>
                <w:sz w:val="21"/>
                <w:lang w:eastAsia="zh-CN" w:bidi="ar"/>
              </w:rPr>
              <w:t>(μg/m</w:t>
            </w:r>
            <w:r>
              <w:rPr>
                <w:rFonts w:ascii="Times New Roman" w:hAnsi="Times New Roman" w:cs="Times New Roman"/>
                <w:b/>
                <w:bCs/>
                <w:color w:val="auto"/>
                <w:sz w:val="21"/>
                <w:vertAlign w:val="superscript"/>
                <w:lang w:eastAsia="zh-CN" w:bidi="ar"/>
              </w:rPr>
              <w:t>3</w:t>
            </w:r>
            <w:r>
              <w:rPr>
                <w:rFonts w:ascii="Times New Roman" w:hAnsi="Times New Roman" w:cs="Times New Roman"/>
                <w:b/>
                <w:bCs/>
                <w:color w:val="auto"/>
                <w:sz w:val="21"/>
                <w:lang w:eastAsia="zh-CN" w:bidi="ar"/>
              </w:rPr>
              <w:t>)</w:t>
            </w:r>
          </w:p>
        </w:tc>
        <w:tc>
          <w:tcPr>
            <w:tcW w:w="510" w:type="pct"/>
            <w:tcBorders>
              <w:tl2br w:val="nil"/>
              <w:tr2bl w:val="nil"/>
            </w:tcBorders>
            <w:noWrap/>
            <w:vAlign w:val="center"/>
          </w:tcPr>
          <w:p w14:paraId="6D8699FF">
            <w:pPr>
              <w:jc w:val="center"/>
              <w:textAlignment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bidi="ar"/>
              </w:rPr>
              <w:t>叠加后的浓度(μg/m</w:t>
            </w:r>
            <w:r>
              <w:rPr>
                <w:rFonts w:ascii="Times New Roman" w:hAnsi="Times New Roman" w:cs="Times New Roman"/>
                <w:b/>
                <w:bCs/>
                <w:color w:val="auto"/>
                <w:sz w:val="21"/>
                <w:vertAlign w:val="superscript"/>
                <w:lang w:eastAsia="zh-CN" w:bidi="ar"/>
              </w:rPr>
              <w:t>3</w:t>
            </w:r>
            <w:r>
              <w:rPr>
                <w:rFonts w:ascii="Times New Roman" w:hAnsi="Times New Roman" w:cs="Times New Roman"/>
                <w:b/>
                <w:bCs/>
                <w:color w:val="auto"/>
                <w:sz w:val="21"/>
                <w:lang w:eastAsia="zh-CN" w:bidi="ar"/>
              </w:rPr>
              <w:t>)</w:t>
            </w:r>
          </w:p>
        </w:tc>
        <w:tc>
          <w:tcPr>
            <w:tcW w:w="529" w:type="pct"/>
            <w:tcBorders>
              <w:tl2br w:val="nil"/>
              <w:tr2bl w:val="nil"/>
            </w:tcBorders>
            <w:noWrap/>
            <w:vAlign w:val="center"/>
          </w:tcPr>
          <w:p w14:paraId="5FCEC23F">
            <w:pPr>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评价标准(μg/m</w:t>
            </w:r>
            <w:r>
              <w:rPr>
                <w:rFonts w:ascii="Times New Roman" w:hAnsi="Times New Roman" w:cs="Times New Roman"/>
                <w:b/>
                <w:bCs/>
                <w:color w:val="auto"/>
                <w:sz w:val="21"/>
                <w:vertAlign w:val="superscript"/>
                <w:lang w:eastAsia="zh-CN" w:bidi="ar"/>
              </w:rPr>
              <w:t>3</w:t>
            </w:r>
            <w:r>
              <w:rPr>
                <w:rFonts w:ascii="Times New Roman" w:hAnsi="Times New Roman" w:cs="Times New Roman"/>
                <w:b/>
                <w:bCs/>
                <w:color w:val="auto"/>
                <w:sz w:val="21"/>
                <w:lang w:eastAsia="zh-CN" w:bidi="ar"/>
              </w:rPr>
              <w:t>)</w:t>
            </w:r>
          </w:p>
        </w:tc>
        <w:tc>
          <w:tcPr>
            <w:tcW w:w="330" w:type="pct"/>
            <w:tcBorders>
              <w:tl2br w:val="nil"/>
              <w:tr2bl w:val="nil"/>
            </w:tcBorders>
            <w:noWrap/>
            <w:vAlign w:val="center"/>
          </w:tcPr>
          <w:p w14:paraId="19FED969">
            <w:pPr>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占标率%</w:t>
            </w:r>
          </w:p>
        </w:tc>
        <w:tc>
          <w:tcPr>
            <w:tcW w:w="330" w:type="pct"/>
            <w:tcBorders>
              <w:tl2br w:val="nil"/>
              <w:tr2bl w:val="nil"/>
            </w:tcBorders>
            <w:noWrap/>
            <w:vAlign w:val="center"/>
          </w:tcPr>
          <w:p w14:paraId="60E7418C">
            <w:pPr>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是否超标</w:t>
            </w:r>
          </w:p>
        </w:tc>
      </w:tr>
      <w:tr w14:paraId="502784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03" w:type="pct"/>
            <w:vMerge w:val="restart"/>
            <w:tcBorders>
              <w:tl2br w:val="nil"/>
              <w:tr2bl w:val="nil"/>
            </w:tcBorders>
            <w:noWrap/>
            <w:vAlign w:val="center"/>
          </w:tcPr>
          <w:p w14:paraId="4D6CDB32">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w:t>
            </w:r>
          </w:p>
        </w:tc>
        <w:tc>
          <w:tcPr>
            <w:tcW w:w="517" w:type="pct"/>
            <w:vMerge w:val="restart"/>
            <w:tcBorders>
              <w:tl2br w:val="nil"/>
              <w:tr2bl w:val="nil"/>
            </w:tcBorders>
            <w:noWrap/>
            <w:vAlign w:val="center"/>
          </w:tcPr>
          <w:p w14:paraId="6421F264">
            <w:pPr>
              <w:jc w:val="center"/>
              <w:textAlignment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大柏村</w:t>
            </w:r>
          </w:p>
        </w:tc>
        <w:tc>
          <w:tcPr>
            <w:tcW w:w="330" w:type="pct"/>
            <w:tcBorders>
              <w:tl2br w:val="nil"/>
              <w:tr2bl w:val="nil"/>
            </w:tcBorders>
            <w:noWrap/>
            <w:vAlign w:val="center"/>
          </w:tcPr>
          <w:p w14:paraId="548C890A">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1小时</w:t>
            </w:r>
          </w:p>
        </w:tc>
        <w:tc>
          <w:tcPr>
            <w:tcW w:w="529" w:type="pct"/>
            <w:tcBorders>
              <w:tl2br w:val="nil"/>
              <w:tr2bl w:val="nil"/>
            </w:tcBorders>
            <w:noWrap/>
            <w:vAlign w:val="center"/>
          </w:tcPr>
          <w:p w14:paraId="2E722571">
            <w:pPr>
              <w:jc w:val="center"/>
              <w:textAlignment w:val="center"/>
              <w:rPr>
                <w:rFonts w:ascii="Times New Roman" w:hAnsi="Times New Roman" w:cs="Times New Roman"/>
                <w:color w:val="auto"/>
                <w:sz w:val="21"/>
              </w:rPr>
            </w:pPr>
          </w:p>
        </w:tc>
        <w:tc>
          <w:tcPr>
            <w:tcW w:w="604" w:type="pct"/>
            <w:tcBorders>
              <w:tl2br w:val="nil"/>
              <w:tr2bl w:val="nil"/>
            </w:tcBorders>
            <w:noWrap/>
            <w:vAlign w:val="center"/>
          </w:tcPr>
          <w:p w14:paraId="6C132D99">
            <w:pPr>
              <w:jc w:val="center"/>
              <w:textAlignment w:val="center"/>
              <w:rPr>
                <w:rFonts w:ascii="Times New Roman" w:hAnsi="Times New Roman" w:cs="Times New Roman"/>
                <w:color w:val="auto"/>
                <w:sz w:val="21"/>
              </w:rPr>
            </w:pPr>
          </w:p>
        </w:tc>
        <w:tc>
          <w:tcPr>
            <w:tcW w:w="407" w:type="pct"/>
            <w:tcBorders>
              <w:tl2br w:val="nil"/>
              <w:tr2bl w:val="nil"/>
            </w:tcBorders>
            <w:noWrap/>
            <w:vAlign w:val="center"/>
          </w:tcPr>
          <w:p w14:paraId="36C946B6">
            <w:pPr>
              <w:jc w:val="center"/>
              <w:textAlignment w:val="center"/>
              <w:rPr>
                <w:rFonts w:ascii="Times New Roman" w:hAnsi="Times New Roman" w:cs="Times New Roman"/>
                <w:color w:val="auto"/>
                <w:sz w:val="21"/>
              </w:rPr>
            </w:pPr>
          </w:p>
        </w:tc>
        <w:tc>
          <w:tcPr>
            <w:tcW w:w="710" w:type="pct"/>
            <w:tcBorders>
              <w:tl2br w:val="nil"/>
              <w:tr2bl w:val="nil"/>
            </w:tcBorders>
            <w:vAlign w:val="center"/>
          </w:tcPr>
          <w:p w14:paraId="5B3AD51A">
            <w:pPr>
              <w:jc w:val="center"/>
              <w:textAlignment w:val="center"/>
              <w:rPr>
                <w:rFonts w:ascii="Times New Roman" w:hAnsi="Times New Roman" w:cs="Times New Roman"/>
                <w:color w:val="auto"/>
                <w:sz w:val="21"/>
                <w:lang w:eastAsia="zh-CN" w:bidi="ar"/>
              </w:rPr>
            </w:pPr>
          </w:p>
        </w:tc>
        <w:tc>
          <w:tcPr>
            <w:tcW w:w="510" w:type="pct"/>
            <w:tcBorders>
              <w:tl2br w:val="nil"/>
              <w:tr2bl w:val="nil"/>
            </w:tcBorders>
            <w:noWrap/>
            <w:vAlign w:val="center"/>
          </w:tcPr>
          <w:p w14:paraId="62AA7EF8">
            <w:pPr>
              <w:jc w:val="center"/>
              <w:textAlignment w:val="center"/>
              <w:rPr>
                <w:rFonts w:ascii="Times New Roman" w:hAnsi="Times New Roman" w:cs="Times New Roman"/>
                <w:color w:val="auto"/>
                <w:sz w:val="21"/>
              </w:rPr>
            </w:pPr>
          </w:p>
        </w:tc>
        <w:tc>
          <w:tcPr>
            <w:tcW w:w="529" w:type="pct"/>
            <w:tcBorders>
              <w:tl2br w:val="nil"/>
              <w:tr2bl w:val="nil"/>
            </w:tcBorders>
            <w:noWrap/>
            <w:vAlign w:val="center"/>
          </w:tcPr>
          <w:p w14:paraId="41D5DB8B">
            <w:pPr>
              <w:jc w:val="center"/>
              <w:textAlignment w:val="center"/>
              <w:rPr>
                <w:rFonts w:ascii="Times New Roman" w:hAnsi="Times New Roman" w:cs="Times New Roman"/>
                <w:color w:val="auto"/>
                <w:sz w:val="21"/>
              </w:rPr>
            </w:pPr>
          </w:p>
        </w:tc>
        <w:tc>
          <w:tcPr>
            <w:tcW w:w="330" w:type="pct"/>
            <w:tcBorders>
              <w:tl2br w:val="nil"/>
              <w:tr2bl w:val="nil"/>
            </w:tcBorders>
            <w:noWrap/>
            <w:vAlign w:val="center"/>
          </w:tcPr>
          <w:p w14:paraId="4454291B">
            <w:pPr>
              <w:jc w:val="center"/>
              <w:textAlignment w:val="center"/>
              <w:rPr>
                <w:rFonts w:ascii="Times New Roman" w:hAnsi="Times New Roman" w:cs="Times New Roman"/>
                <w:color w:val="auto"/>
                <w:sz w:val="21"/>
              </w:rPr>
            </w:pPr>
          </w:p>
        </w:tc>
        <w:tc>
          <w:tcPr>
            <w:tcW w:w="330" w:type="pct"/>
            <w:tcBorders>
              <w:tl2br w:val="nil"/>
              <w:tr2bl w:val="nil"/>
            </w:tcBorders>
            <w:noWrap/>
            <w:vAlign w:val="center"/>
          </w:tcPr>
          <w:p w14:paraId="6BB9C0D4">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3E4C3C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03" w:type="pct"/>
            <w:vMerge w:val="continue"/>
            <w:tcBorders>
              <w:tl2br w:val="nil"/>
              <w:tr2bl w:val="nil"/>
            </w:tcBorders>
            <w:noWrap/>
            <w:vAlign w:val="center"/>
          </w:tcPr>
          <w:p w14:paraId="1723079C">
            <w:pPr>
              <w:jc w:val="center"/>
              <w:rPr>
                <w:rFonts w:ascii="Times New Roman" w:hAnsi="Times New Roman" w:cs="Times New Roman"/>
                <w:color w:val="auto"/>
                <w:sz w:val="21"/>
              </w:rPr>
            </w:pPr>
          </w:p>
        </w:tc>
        <w:tc>
          <w:tcPr>
            <w:tcW w:w="517" w:type="pct"/>
            <w:vMerge w:val="continue"/>
            <w:tcBorders>
              <w:tl2br w:val="nil"/>
              <w:tr2bl w:val="nil"/>
            </w:tcBorders>
            <w:noWrap/>
            <w:vAlign w:val="center"/>
          </w:tcPr>
          <w:p w14:paraId="35E7B627">
            <w:pPr>
              <w:jc w:val="center"/>
              <w:rPr>
                <w:rFonts w:ascii="Times New Roman" w:hAnsi="Times New Roman" w:cs="Times New Roman"/>
                <w:color w:val="auto"/>
                <w:sz w:val="21"/>
              </w:rPr>
            </w:pPr>
          </w:p>
        </w:tc>
        <w:tc>
          <w:tcPr>
            <w:tcW w:w="330" w:type="pct"/>
            <w:tcBorders>
              <w:tl2br w:val="nil"/>
              <w:tr2bl w:val="nil"/>
            </w:tcBorders>
            <w:noWrap/>
            <w:vAlign w:val="center"/>
          </w:tcPr>
          <w:p w14:paraId="62FA8C24">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日平均</w:t>
            </w:r>
          </w:p>
        </w:tc>
        <w:tc>
          <w:tcPr>
            <w:tcW w:w="529" w:type="pct"/>
            <w:tcBorders>
              <w:tl2br w:val="nil"/>
              <w:tr2bl w:val="nil"/>
            </w:tcBorders>
            <w:noWrap/>
            <w:vAlign w:val="center"/>
          </w:tcPr>
          <w:p w14:paraId="40DF3598">
            <w:pPr>
              <w:jc w:val="center"/>
              <w:textAlignment w:val="center"/>
              <w:rPr>
                <w:rFonts w:ascii="Times New Roman" w:hAnsi="Times New Roman" w:cs="Times New Roman"/>
                <w:color w:val="auto"/>
                <w:sz w:val="21"/>
              </w:rPr>
            </w:pPr>
          </w:p>
        </w:tc>
        <w:tc>
          <w:tcPr>
            <w:tcW w:w="604" w:type="pct"/>
            <w:tcBorders>
              <w:tl2br w:val="nil"/>
              <w:tr2bl w:val="nil"/>
            </w:tcBorders>
            <w:noWrap/>
            <w:vAlign w:val="center"/>
          </w:tcPr>
          <w:p w14:paraId="4E17CD01">
            <w:pPr>
              <w:jc w:val="center"/>
              <w:textAlignment w:val="center"/>
              <w:rPr>
                <w:rFonts w:ascii="Times New Roman" w:hAnsi="Times New Roman" w:cs="Times New Roman"/>
                <w:color w:val="auto"/>
                <w:sz w:val="21"/>
              </w:rPr>
            </w:pPr>
          </w:p>
        </w:tc>
        <w:tc>
          <w:tcPr>
            <w:tcW w:w="407" w:type="pct"/>
            <w:tcBorders>
              <w:tl2br w:val="nil"/>
              <w:tr2bl w:val="nil"/>
            </w:tcBorders>
            <w:noWrap/>
            <w:vAlign w:val="center"/>
          </w:tcPr>
          <w:p w14:paraId="02206F77">
            <w:pPr>
              <w:jc w:val="center"/>
              <w:textAlignment w:val="center"/>
              <w:rPr>
                <w:rFonts w:ascii="Times New Roman" w:hAnsi="Times New Roman" w:cs="Times New Roman"/>
                <w:color w:val="auto"/>
                <w:sz w:val="21"/>
              </w:rPr>
            </w:pPr>
          </w:p>
        </w:tc>
        <w:tc>
          <w:tcPr>
            <w:tcW w:w="710" w:type="pct"/>
            <w:tcBorders>
              <w:tl2br w:val="nil"/>
              <w:tr2bl w:val="nil"/>
            </w:tcBorders>
            <w:vAlign w:val="center"/>
          </w:tcPr>
          <w:p w14:paraId="6B7D19B6">
            <w:pPr>
              <w:jc w:val="center"/>
              <w:textAlignment w:val="center"/>
              <w:rPr>
                <w:rFonts w:ascii="Times New Roman" w:hAnsi="Times New Roman" w:cs="Times New Roman"/>
                <w:color w:val="auto"/>
                <w:sz w:val="21"/>
                <w:lang w:eastAsia="zh-CN" w:bidi="ar"/>
              </w:rPr>
            </w:pPr>
          </w:p>
        </w:tc>
        <w:tc>
          <w:tcPr>
            <w:tcW w:w="510" w:type="pct"/>
            <w:tcBorders>
              <w:tl2br w:val="nil"/>
              <w:tr2bl w:val="nil"/>
            </w:tcBorders>
            <w:noWrap/>
            <w:vAlign w:val="center"/>
          </w:tcPr>
          <w:p w14:paraId="3160E260">
            <w:pPr>
              <w:jc w:val="center"/>
              <w:textAlignment w:val="center"/>
              <w:rPr>
                <w:rFonts w:ascii="Times New Roman" w:hAnsi="Times New Roman" w:cs="Times New Roman"/>
                <w:color w:val="auto"/>
                <w:sz w:val="21"/>
              </w:rPr>
            </w:pPr>
          </w:p>
        </w:tc>
        <w:tc>
          <w:tcPr>
            <w:tcW w:w="529" w:type="pct"/>
            <w:tcBorders>
              <w:tl2br w:val="nil"/>
              <w:tr2bl w:val="nil"/>
            </w:tcBorders>
            <w:noWrap/>
            <w:vAlign w:val="center"/>
          </w:tcPr>
          <w:p w14:paraId="6CD954EA">
            <w:pPr>
              <w:jc w:val="center"/>
              <w:textAlignment w:val="center"/>
              <w:rPr>
                <w:rFonts w:ascii="Times New Roman" w:hAnsi="Times New Roman" w:cs="Times New Roman"/>
                <w:color w:val="auto"/>
                <w:sz w:val="21"/>
              </w:rPr>
            </w:pPr>
          </w:p>
        </w:tc>
        <w:tc>
          <w:tcPr>
            <w:tcW w:w="330" w:type="pct"/>
            <w:tcBorders>
              <w:tl2br w:val="nil"/>
              <w:tr2bl w:val="nil"/>
            </w:tcBorders>
            <w:noWrap/>
            <w:vAlign w:val="center"/>
          </w:tcPr>
          <w:p w14:paraId="689B9642">
            <w:pPr>
              <w:jc w:val="center"/>
              <w:textAlignment w:val="center"/>
              <w:rPr>
                <w:rFonts w:ascii="Times New Roman" w:hAnsi="Times New Roman" w:cs="Times New Roman"/>
                <w:color w:val="auto"/>
                <w:sz w:val="21"/>
                <w:lang w:eastAsia="zh-CN"/>
              </w:rPr>
            </w:pPr>
          </w:p>
        </w:tc>
        <w:tc>
          <w:tcPr>
            <w:tcW w:w="330" w:type="pct"/>
            <w:tcBorders>
              <w:tl2br w:val="nil"/>
              <w:tr2bl w:val="nil"/>
            </w:tcBorders>
            <w:noWrap/>
            <w:vAlign w:val="center"/>
          </w:tcPr>
          <w:p w14:paraId="33E0488E">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4F5BC1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03" w:type="pct"/>
            <w:vMerge w:val="restart"/>
            <w:tcBorders>
              <w:tl2br w:val="nil"/>
              <w:tr2bl w:val="nil"/>
            </w:tcBorders>
            <w:noWrap/>
            <w:vAlign w:val="center"/>
          </w:tcPr>
          <w:p w14:paraId="0DBE2263">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2</w:t>
            </w:r>
          </w:p>
        </w:tc>
        <w:tc>
          <w:tcPr>
            <w:tcW w:w="517" w:type="pct"/>
            <w:vMerge w:val="restart"/>
            <w:tcBorders>
              <w:tl2br w:val="nil"/>
              <w:tr2bl w:val="nil"/>
            </w:tcBorders>
            <w:noWrap/>
            <w:vAlign w:val="center"/>
          </w:tcPr>
          <w:p w14:paraId="5239F127">
            <w:pPr>
              <w:jc w:val="center"/>
              <w:textAlignment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草杨村</w:t>
            </w:r>
          </w:p>
        </w:tc>
        <w:tc>
          <w:tcPr>
            <w:tcW w:w="330" w:type="pct"/>
            <w:tcBorders>
              <w:tl2br w:val="nil"/>
              <w:tr2bl w:val="nil"/>
            </w:tcBorders>
            <w:noWrap/>
            <w:vAlign w:val="center"/>
          </w:tcPr>
          <w:p w14:paraId="5CD73F96">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1小时</w:t>
            </w:r>
          </w:p>
        </w:tc>
        <w:tc>
          <w:tcPr>
            <w:tcW w:w="529" w:type="pct"/>
            <w:tcBorders>
              <w:tl2br w:val="nil"/>
              <w:tr2bl w:val="nil"/>
            </w:tcBorders>
            <w:noWrap/>
            <w:vAlign w:val="center"/>
          </w:tcPr>
          <w:p w14:paraId="48AF49EA">
            <w:pPr>
              <w:jc w:val="center"/>
              <w:textAlignment w:val="center"/>
              <w:rPr>
                <w:rFonts w:ascii="Times New Roman" w:hAnsi="Times New Roman" w:cs="Times New Roman"/>
                <w:color w:val="auto"/>
                <w:sz w:val="21"/>
              </w:rPr>
            </w:pPr>
          </w:p>
        </w:tc>
        <w:tc>
          <w:tcPr>
            <w:tcW w:w="604" w:type="pct"/>
            <w:tcBorders>
              <w:tl2br w:val="nil"/>
              <w:tr2bl w:val="nil"/>
            </w:tcBorders>
            <w:noWrap/>
            <w:vAlign w:val="center"/>
          </w:tcPr>
          <w:p w14:paraId="07B3697B">
            <w:pPr>
              <w:jc w:val="center"/>
              <w:textAlignment w:val="center"/>
              <w:rPr>
                <w:rFonts w:ascii="Times New Roman" w:hAnsi="Times New Roman" w:cs="Times New Roman"/>
                <w:color w:val="auto"/>
                <w:sz w:val="21"/>
              </w:rPr>
            </w:pPr>
          </w:p>
        </w:tc>
        <w:tc>
          <w:tcPr>
            <w:tcW w:w="407" w:type="pct"/>
            <w:tcBorders>
              <w:tl2br w:val="nil"/>
              <w:tr2bl w:val="nil"/>
            </w:tcBorders>
            <w:noWrap/>
            <w:vAlign w:val="center"/>
          </w:tcPr>
          <w:p w14:paraId="08E25480">
            <w:pPr>
              <w:jc w:val="center"/>
              <w:textAlignment w:val="center"/>
              <w:rPr>
                <w:rFonts w:ascii="Times New Roman" w:hAnsi="Times New Roman" w:cs="Times New Roman"/>
                <w:color w:val="auto"/>
                <w:sz w:val="21"/>
              </w:rPr>
            </w:pPr>
          </w:p>
        </w:tc>
        <w:tc>
          <w:tcPr>
            <w:tcW w:w="710" w:type="pct"/>
            <w:tcBorders>
              <w:tl2br w:val="nil"/>
              <w:tr2bl w:val="nil"/>
            </w:tcBorders>
            <w:vAlign w:val="center"/>
          </w:tcPr>
          <w:p w14:paraId="5728D470">
            <w:pPr>
              <w:jc w:val="center"/>
              <w:textAlignment w:val="center"/>
              <w:rPr>
                <w:rFonts w:ascii="Times New Roman" w:hAnsi="Times New Roman" w:cs="Times New Roman"/>
                <w:color w:val="auto"/>
                <w:sz w:val="21"/>
                <w:lang w:eastAsia="zh-CN" w:bidi="ar"/>
              </w:rPr>
            </w:pPr>
          </w:p>
        </w:tc>
        <w:tc>
          <w:tcPr>
            <w:tcW w:w="510" w:type="pct"/>
            <w:tcBorders>
              <w:tl2br w:val="nil"/>
              <w:tr2bl w:val="nil"/>
            </w:tcBorders>
            <w:noWrap/>
            <w:vAlign w:val="center"/>
          </w:tcPr>
          <w:p w14:paraId="6DD06A8B">
            <w:pPr>
              <w:jc w:val="center"/>
              <w:textAlignment w:val="center"/>
              <w:rPr>
                <w:rFonts w:ascii="Times New Roman" w:hAnsi="Times New Roman" w:cs="Times New Roman"/>
                <w:color w:val="auto"/>
                <w:sz w:val="21"/>
              </w:rPr>
            </w:pPr>
          </w:p>
        </w:tc>
        <w:tc>
          <w:tcPr>
            <w:tcW w:w="529" w:type="pct"/>
            <w:tcBorders>
              <w:tl2br w:val="nil"/>
              <w:tr2bl w:val="nil"/>
            </w:tcBorders>
            <w:noWrap/>
            <w:vAlign w:val="center"/>
          </w:tcPr>
          <w:p w14:paraId="6F94519A">
            <w:pPr>
              <w:jc w:val="center"/>
              <w:textAlignment w:val="center"/>
              <w:rPr>
                <w:rFonts w:ascii="Times New Roman" w:hAnsi="Times New Roman" w:cs="Times New Roman"/>
                <w:color w:val="auto"/>
                <w:sz w:val="21"/>
              </w:rPr>
            </w:pPr>
          </w:p>
        </w:tc>
        <w:tc>
          <w:tcPr>
            <w:tcW w:w="330" w:type="pct"/>
            <w:tcBorders>
              <w:tl2br w:val="nil"/>
              <w:tr2bl w:val="nil"/>
            </w:tcBorders>
            <w:noWrap/>
            <w:vAlign w:val="center"/>
          </w:tcPr>
          <w:p w14:paraId="280B6B92">
            <w:pPr>
              <w:jc w:val="center"/>
              <w:textAlignment w:val="center"/>
              <w:rPr>
                <w:rFonts w:ascii="Times New Roman" w:hAnsi="Times New Roman" w:cs="Times New Roman"/>
                <w:color w:val="auto"/>
                <w:sz w:val="21"/>
                <w:lang w:eastAsia="zh-CN"/>
              </w:rPr>
            </w:pPr>
          </w:p>
        </w:tc>
        <w:tc>
          <w:tcPr>
            <w:tcW w:w="330" w:type="pct"/>
            <w:tcBorders>
              <w:tl2br w:val="nil"/>
              <w:tr2bl w:val="nil"/>
            </w:tcBorders>
            <w:noWrap/>
            <w:vAlign w:val="center"/>
          </w:tcPr>
          <w:p w14:paraId="592A85CC">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37C8BB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03" w:type="pct"/>
            <w:vMerge w:val="continue"/>
            <w:tcBorders>
              <w:tl2br w:val="nil"/>
              <w:tr2bl w:val="nil"/>
            </w:tcBorders>
            <w:noWrap/>
            <w:vAlign w:val="center"/>
          </w:tcPr>
          <w:p w14:paraId="0E0AA0D7">
            <w:pPr>
              <w:jc w:val="center"/>
              <w:rPr>
                <w:rFonts w:ascii="Times New Roman" w:hAnsi="Times New Roman" w:cs="Times New Roman"/>
                <w:color w:val="auto"/>
                <w:sz w:val="21"/>
              </w:rPr>
            </w:pPr>
          </w:p>
        </w:tc>
        <w:tc>
          <w:tcPr>
            <w:tcW w:w="517" w:type="pct"/>
            <w:vMerge w:val="continue"/>
            <w:tcBorders>
              <w:tl2br w:val="nil"/>
              <w:tr2bl w:val="nil"/>
            </w:tcBorders>
            <w:noWrap/>
            <w:vAlign w:val="center"/>
          </w:tcPr>
          <w:p w14:paraId="48C90EA7">
            <w:pPr>
              <w:jc w:val="center"/>
              <w:rPr>
                <w:rFonts w:ascii="Times New Roman" w:hAnsi="Times New Roman" w:cs="Times New Roman"/>
                <w:color w:val="auto"/>
                <w:sz w:val="21"/>
              </w:rPr>
            </w:pPr>
          </w:p>
        </w:tc>
        <w:tc>
          <w:tcPr>
            <w:tcW w:w="330" w:type="pct"/>
            <w:tcBorders>
              <w:tl2br w:val="nil"/>
              <w:tr2bl w:val="nil"/>
            </w:tcBorders>
            <w:noWrap/>
            <w:vAlign w:val="center"/>
          </w:tcPr>
          <w:p w14:paraId="1FAD9B62">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日平均</w:t>
            </w:r>
          </w:p>
        </w:tc>
        <w:tc>
          <w:tcPr>
            <w:tcW w:w="529" w:type="pct"/>
            <w:tcBorders>
              <w:tl2br w:val="nil"/>
              <w:tr2bl w:val="nil"/>
            </w:tcBorders>
            <w:noWrap/>
            <w:vAlign w:val="center"/>
          </w:tcPr>
          <w:p w14:paraId="622EB5D2">
            <w:pPr>
              <w:jc w:val="center"/>
              <w:textAlignment w:val="center"/>
              <w:rPr>
                <w:rFonts w:ascii="Times New Roman" w:hAnsi="Times New Roman" w:cs="Times New Roman"/>
                <w:color w:val="auto"/>
                <w:sz w:val="21"/>
              </w:rPr>
            </w:pPr>
          </w:p>
        </w:tc>
        <w:tc>
          <w:tcPr>
            <w:tcW w:w="604" w:type="pct"/>
            <w:tcBorders>
              <w:tl2br w:val="nil"/>
              <w:tr2bl w:val="nil"/>
            </w:tcBorders>
            <w:noWrap/>
            <w:vAlign w:val="center"/>
          </w:tcPr>
          <w:p w14:paraId="35023479">
            <w:pPr>
              <w:jc w:val="center"/>
              <w:textAlignment w:val="center"/>
              <w:rPr>
                <w:rFonts w:ascii="Times New Roman" w:hAnsi="Times New Roman" w:cs="Times New Roman"/>
                <w:color w:val="auto"/>
                <w:sz w:val="21"/>
              </w:rPr>
            </w:pPr>
          </w:p>
        </w:tc>
        <w:tc>
          <w:tcPr>
            <w:tcW w:w="407" w:type="pct"/>
            <w:tcBorders>
              <w:tl2br w:val="nil"/>
              <w:tr2bl w:val="nil"/>
            </w:tcBorders>
            <w:noWrap/>
            <w:vAlign w:val="center"/>
          </w:tcPr>
          <w:p w14:paraId="30A3D11D">
            <w:pPr>
              <w:jc w:val="center"/>
              <w:textAlignment w:val="center"/>
              <w:rPr>
                <w:rFonts w:ascii="Times New Roman" w:hAnsi="Times New Roman" w:cs="Times New Roman"/>
                <w:color w:val="auto"/>
                <w:sz w:val="21"/>
              </w:rPr>
            </w:pPr>
          </w:p>
        </w:tc>
        <w:tc>
          <w:tcPr>
            <w:tcW w:w="710" w:type="pct"/>
            <w:tcBorders>
              <w:tl2br w:val="nil"/>
              <w:tr2bl w:val="nil"/>
            </w:tcBorders>
            <w:vAlign w:val="center"/>
          </w:tcPr>
          <w:p w14:paraId="1A5DFC66">
            <w:pPr>
              <w:jc w:val="center"/>
              <w:textAlignment w:val="center"/>
              <w:rPr>
                <w:rFonts w:ascii="Times New Roman" w:hAnsi="Times New Roman" w:cs="Times New Roman"/>
                <w:color w:val="auto"/>
                <w:sz w:val="21"/>
                <w:lang w:eastAsia="zh-CN" w:bidi="ar"/>
              </w:rPr>
            </w:pPr>
          </w:p>
        </w:tc>
        <w:tc>
          <w:tcPr>
            <w:tcW w:w="510" w:type="pct"/>
            <w:tcBorders>
              <w:tl2br w:val="nil"/>
              <w:tr2bl w:val="nil"/>
            </w:tcBorders>
            <w:noWrap/>
            <w:vAlign w:val="center"/>
          </w:tcPr>
          <w:p w14:paraId="179A0022">
            <w:pPr>
              <w:jc w:val="center"/>
              <w:textAlignment w:val="center"/>
              <w:rPr>
                <w:rFonts w:ascii="Times New Roman" w:hAnsi="Times New Roman" w:cs="Times New Roman"/>
                <w:color w:val="auto"/>
                <w:sz w:val="21"/>
              </w:rPr>
            </w:pPr>
          </w:p>
        </w:tc>
        <w:tc>
          <w:tcPr>
            <w:tcW w:w="529" w:type="pct"/>
            <w:tcBorders>
              <w:tl2br w:val="nil"/>
              <w:tr2bl w:val="nil"/>
            </w:tcBorders>
            <w:noWrap/>
            <w:vAlign w:val="center"/>
          </w:tcPr>
          <w:p w14:paraId="0A03CD7B">
            <w:pPr>
              <w:jc w:val="center"/>
              <w:textAlignment w:val="center"/>
              <w:rPr>
                <w:rFonts w:ascii="Times New Roman" w:hAnsi="Times New Roman" w:cs="Times New Roman"/>
                <w:color w:val="auto"/>
                <w:sz w:val="21"/>
              </w:rPr>
            </w:pPr>
          </w:p>
        </w:tc>
        <w:tc>
          <w:tcPr>
            <w:tcW w:w="330" w:type="pct"/>
            <w:tcBorders>
              <w:tl2br w:val="nil"/>
              <w:tr2bl w:val="nil"/>
            </w:tcBorders>
            <w:noWrap/>
            <w:vAlign w:val="center"/>
          </w:tcPr>
          <w:p w14:paraId="4EEE92D7">
            <w:pPr>
              <w:jc w:val="center"/>
              <w:textAlignment w:val="center"/>
              <w:rPr>
                <w:rFonts w:ascii="Times New Roman" w:hAnsi="Times New Roman" w:cs="Times New Roman"/>
                <w:color w:val="auto"/>
                <w:sz w:val="21"/>
                <w:lang w:eastAsia="zh-CN"/>
              </w:rPr>
            </w:pPr>
          </w:p>
        </w:tc>
        <w:tc>
          <w:tcPr>
            <w:tcW w:w="330" w:type="pct"/>
            <w:tcBorders>
              <w:tl2br w:val="nil"/>
              <w:tr2bl w:val="nil"/>
            </w:tcBorders>
            <w:noWrap/>
            <w:vAlign w:val="center"/>
          </w:tcPr>
          <w:p w14:paraId="318433EC">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1A6DF5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03" w:type="pct"/>
            <w:vMerge w:val="restart"/>
            <w:tcBorders>
              <w:tl2br w:val="nil"/>
              <w:tr2bl w:val="nil"/>
            </w:tcBorders>
            <w:noWrap/>
            <w:vAlign w:val="center"/>
          </w:tcPr>
          <w:p w14:paraId="2AC284E5">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3</w:t>
            </w:r>
          </w:p>
        </w:tc>
        <w:tc>
          <w:tcPr>
            <w:tcW w:w="517" w:type="pct"/>
            <w:vMerge w:val="restart"/>
            <w:tcBorders>
              <w:tl2br w:val="nil"/>
              <w:tr2bl w:val="nil"/>
            </w:tcBorders>
            <w:noWrap/>
            <w:vAlign w:val="center"/>
          </w:tcPr>
          <w:p w14:paraId="03711837">
            <w:pPr>
              <w:jc w:val="center"/>
              <w:textAlignment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大柏小学</w:t>
            </w:r>
          </w:p>
        </w:tc>
        <w:tc>
          <w:tcPr>
            <w:tcW w:w="330" w:type="pct"/>
            <w:tcBorders>
              <w:tl2br w:val="nil"/>
              <w:tr2bl w:val="nil"/>
            </w:tcBorders>
            <w:noWrap/>
            <w:vAlign w:val="center"/>
          </w:tcPr>
          <w:p w14:paraId="297F2E1B">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1小时</w:t>
            </w:r>
          </w:p>
        </w:tc>
        <w:tc>
          <w:tcPr>
            <w:tcW w:w="529" w:type="pct"/>
            <w:tcBorders>
              <w:tl2br w:val="nil"/>
              <w:tr2bl w:val="nil"/>
            </w:tcBorders>
            <w:noWrap/>
            <w:vAlign w:val="center"/>
          </w:tcPr>
          <w:p w14:paraId="0F18944F">
            <w:pPr>
              <w:jc w:val="center"/>
              <w:textAlignment w:val="center"/>
              <w:rPr>
                <w:rFonts w:ascii="Times New Roman" w:hAnsi="Times New Roman" w:cs="Times New Roman"/>
                <w:color w:val="auto"/>
                <w:sz w:val="21"/>
              </w:rPr>
            </w:pPr>
          </w:p>
        </w:tc>
        <w:tc>
          <w:tcPr>
            <w:tcW w:w="604" w:type="pct"/>
            <w:tcBorders>
              <w:tl2br w:val="nil"/>
              <w:tr2bl w:val="nil"/>
            </w:tcBorders>
            <w:noWrap/>
            <w:vAlign w:val="center"/>
          </w:tcPr>
          <w:p w14:paraId="3CFE4DA7">
            <w:pPr>
              <w:jc w:val="center"/>
              <w:textAlignment w:val="center"/>
              <w:rPr>
                <w:rFonts w:ascii="Times New Roman" w:hAnsi="Times New Roman" w:cs="Times New Roman"/>
                <w:color w:val="auto"/>
                <w:sz w:val="21"/>
              </w:rPr>
            </w:pPr>
          </w:p>
        </w:tc>
        <w:tc>
          <w:tcPr>
            <w:tcW w:w="407" w:type="pct"/>
            <w:tcBorders>
              <w:tl2br w:val="nil"/>
              <w:tr2bl w:val="nil"/>
            </w:tcBorders>
            <w:noWrap/>
            <w:vAlign w:val="center"/>
          </w:tcPr>
          <w:p w14:paraId="02F5C6EE">
            <w:pPr>
              <w:jc w:val="center"/>
              <w:textAlignment w:val="center"/>
              <w:rPr>
                <w:rFonts w:ascii="Times New Roman" w:hAnsi="Times New Roman" w:cs="Times New Roman"/>
                <w:color w:val="auto"/>
                <w:sz w:val="21"/>
              </w:rPr>
            </w:pPr>
          </w:p>
        </w:tc>
        <w:tc>
          <w:tcPr>
            <w:tcW w:w="710" w:type="pct"/>
            <w:tcBorders>
              <w:tl2br w:val="nil"/>
              <w:tr2bl w:val="nil"/>
            </w:tcBorders>
            <w:vAlign w:val="center"/>
          </w:tcPr>
          <w:p w14:paraId="38C0E19A">
            <w:pPr>
              <w:jc w:val="center"/>
              <w:textAlignment w:val="center"/>
              <w:rPr>
                <w:rFonts w:ascii="Times New Roman" w:hAnsi="Times New Roman" w:cs="Times New Roman"/>
                <w:color w:val="auto"/>
                <w:sz w:val="21"/>
                <w:lang w:eastAsia="zh-CN" w:bidi="ar"/>
              </w:rPr>
            </w:pPr>
          </w:p>
        </w:tc>
        <w:tc>
          <w:tcPr>
            <w:tcW w:w="510" w:type="pct"/>
            <w:tcBorders>
              <w:tl2br w:val="nil"/>
              <w:tr2bl w:val="nil"/>
            </w:tcBorders>
            <w:noWrap/>
            <w:vAlign w:val="center"/>
          </w:tcPr>
          <w:p w14:paraId="29DD41F9">
            <w:pPr>
              <w:jc w:val="center"/>
              <w:textAlignment w:val="center"/>
              <w:rPr>
                <w:rFonts w:ascii="Times New Roman" w:hAnsi="Times New Roman" w:cs="Times New Roman"/>
                <w:color w:val="auto"/>
                <w:sz w:val="21"/>
                <w:lang w:eastAsia="zh-CN"/>
              </w:rPr>
            </w:pPr>
          </w:p>
        </w:tc>
        <w:tc>
          <w:tcPr>
            <w:tcW w:w="529" w:type="pct"/>
            <w:tcBorders>
              <w:tl2br w:val="nil"/>
              <w:tr2bl w:val="nil"/>
            </w:tcBorders>
            <w:noWrap/>
            <w:vAlign w:val="center"/>
          </w:tcPr>
          <w:p w14:paraId="2838B910">
            <w:pPr>
              <w:jc w:val="center"/>
              <w:textAlignment w:val="center"/>
              <w:rPr>
                <w:rFonts w:ascii="Times New Roman" w:hAnsi="Times New Roman" w:cs="Times New Roman"/>
                <w:color w:val="auto"/>
                <w:sz w:val="21"/>
              </w:rPr>
            </w:pPr>
          </w:p>
        </w:tc>
        <w:tc>
          <w:tcPr>
            <w:tcW w:w="330" w:type="pct"/>
            <w:tcBorders>
              <w:tl2br w:val="nil"/>
              <w:tr2bl w:val="nil"/>
            </w:tcBorders>
            <w:noWrap/>
            <w:vAlign w:val="center"/>
          </w:tcPr>
          <w:p w14:paraId="23206FDC">
            <w:pPr>
              <w:jc w:val="center"/>
              <w:textAlignment w:val="center"/>
              <w:rPr>
                <w:rFonts w:ascii="Times New Roman" w:hAnsi="Times New Roman" w:cs="Times New Roman"/>
                <w:color w:val="auto"/>
                <w:sz w:val="21"/>
                <w:lang w:eastAsia="zh-CN"/>
              </w:rPr>
            </w:pPr>
          </w:p>
        </w:tc>
        <w:tc>
          <w:tcPr>
            <w:tcW w:w="330" w:type="pct"/>
            <w:tcBorders>
              <w:tl2br w:val="nil"/>
              <w:tr2bl w:val="nil"/>
            </w:tcBorders>
            <w:noWrap/>
            <w:vAlign w:val="center"/>
          </w:tcPr>
          <w:p w14:paraId="2E70049E">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125826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03" w:type="pct"/>
            <w:vMerge w:val="continue"/>
            <w:tcBorders>
              <w:tl2br w:val="nil"/>
              <w:tr2bl w:val="nil"/>
            </w:tcBorders>
            <w:noWrap/>
            <w:vAlign w:val="center"/>
          </w:tcPr>
          <w:p w14:paraId="0782EDE3">
            <w:pPr>
              <w:jc w:val="center"/>
              <w:rPr>
                <w:rFonts w:ascii="Times New Roman" w:hAnsi="Times New Roman" w:cs="Times New Roman"/>
                <w:color w:val="auto"/>
                <w:sz w:val="21"/>
              </w:rPr>
            </w:pPr>
          </w:p>
        </w:tc>
        <w:tc>
          <w:tcPr>
            <w:tcW w:w="517" w:type="pct"/>
            <w:vMerge w:val="continue"/>
            <w:tcBorders>
              <w:tl2br w:val="nil"/>
              <w:tr2bl w:val="nil"/>
            </w:tcBorders>
            <w:noWrap/>
            <w:vAlign w:val="center"/>
          </w:tcPr>
          <w:p w14:paraId="44ECE46C">
            <w:pPr>
              <w:jc w:val="center"/>
              <w:rPr>
                <w:rFonts w:ascii="Times New Roman" w:hAnsi="Times New Roman" w:cs="Times New Roman"/>
                <w:color w:val="auto"/>
                <w:sz w:val="21"/>
              </w:rPr>
            </w:pPr>
          </w:p>
        </w:tc>
        <w:tc>
          <w:tcPr>
            <w:tcW w:w="330" w:type="pct"/>
            <w:tcBorders>
              <w:tl2br w:val="nil"/>
              <w:tr2bl w:val="nil"/>
            </w:tcBorders>
            <w:noWrap/>
            <w:vAlign w:val="center"/>
          </w:tcPr>
          <w:p w14:paraId="625912AB">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日平均</w:t>
            </w:r>
          </w:p>
        </w:tc>
        <w:tc>
          <w:tcPr>
            <w:tcW w:w="529" w:type="pct"/>
            <w:tcBorders>
              <w:tl2br w:val="nil"/>
              <w:tr2bl w:val="nil"/>
            </w:tcBorders>
            <w:noWrap/>
            <w:vAlign w:val="center"/>
          </w:tcPr>
          <w:p w14:paraId="0E2E0D08">
            <w:pPr>
              <w:jc w:val="center"/>
              <w:textAlignment w:val="center"/>
              <w:rPr>
                <w:rFonts w:ascii="Times New Roman" w:hAnsi="Times New Roman" w:cs="Times New Roman"/>
                <w:color w:val="auto"/>
                <w:sz w:val="21"/>
              </w:rPr>
            </w:pPr>
          </w:p>
        </w:tc>
        <w:tc>
          <w:tcPr>
            <w:tcW w:w="604" w:type="pct"/>
            <w:tcBorders>
              <w:tl2br w:val="nil"/>
              <w:tr2bl w:val="nil"/>
            </w:tcBorders>
            <w:noWrap/>
            <w:vAlign w:val="center"/>
          </w:tcPr>
          <w:p w14:paraId="17B69665">
            <w:pPr>
              <w:jc w:val="center"/>
              <w:textAlignment w:val="center"/>
              <w:rPr>
                <w:rFonts w:ascii="Times New Roman" w:hAnsi="Times New Roman" w:cs="Times New Roman"/>
                <w:color w:val="auto"/>
                <w:sz w:val="21"/>
              </w:rPr>
            </w:pPr>
          </w:p>
        </w:tc>
        <w:tc>
          <w:tcPr>
            <w:tcW w:w="407" w:type="pct"/>
            <w:tcBorders>
              <w:tl2br w:val="nil"/>
              <w:tr2bl w:val="nil"/>
            </w:tcBorders>
            <w:noWrap/>
            <w:vAlign w:val="center"/>
          </w:tcPr>
          <w:p w14:paraId="52B453CB">
            <w:pPr>
              <w:jc w:val="center"/>
              <w:textAlignment w:val="center"/>
              <w:rPr>
                <w:rFonts w:ascii="Times New Roman" w:hAnsi="Times New Roman" w:cs="Times New Roman"/>
                <w:color w:val="auto"/>
                <w:sz w:val="21"/>
              </w:rPr>
            </w:pPr>
          </w:p>
        </w:tc>
        <w:tc>
          <w:tcPr>
            <w:tcW w:w="710" w:type="pct"/>
            <w:tcBorders>
              <w:tl2br w:val="nil"/>
              <w:tr2bl w:val="nil"/>
            </w:tcBorders>
            <w:vAlign w:val="center"/>
          </w:tcPr>
          <w:p w14:paraId="1FF3DE34">
            <w:pPr>
              <w:jc w:val="center"/>
              <w:textAlignment w:val="center"/>
              <w:rPr>
                <w:rFonts w:ascii="Times New Roman" w:hAnsi="Times New Roman" w:cs="Times New Roman"/>
                <w:color w:val="auto"/>
                <w:sz w:val="21"/>
                <w:lang w:eastAsia="zh-CN" w:bidi="ar"/>
              </w:rPr>
            </w:pPr>
          </w:p>
        </w:tc>
        <w:tc>
          <w:tcPr>
            <w:tcW w:w="510" w:type="pct"/>
            <w:tcBorders>
              <w:tl2br w:val="nil"/>
              <w:tr2bl w:val="nil"/>
            </w:tcBorders>
            <w:noWrap/>
            <w:vAlign w:val="center"/>
          </w:tcPr>
          <w:p w14:paraId="6AFF67F0">
            <w:pPr>
              <w:jc w:val="center"/>
              <w:textAlignment w:val="center"/>
              <w:rPr>
                <w:rFonts w:ascii="Times New Roman" w:hAnsi="Times New Roman" w:cs="Times New Roman"/>
                <w:color w:val="auto"/>
                <w:sz w:val="21"/>
              </w:rPr>
            </w:pPr>
          </w:p>
        </w:tc>
        <w:tc>
          <w:tcPr>
            <w:tcW w:w="529" w:type="pct"/>
            <w:tcBorders>
              <w:tl2br w:val="nil"/>
              <w:tr2bl w:val="nil"/>
            </w:tcBorders>
            <w:noWrap/>
            <w:vAlign w:val="center"/>
          </w:tcPr>
          <w:p w14:paraId="6343502E">
            <w:pPr>
              <w:jc w:val="center"/>
              <w:textAlignment w:val="center"/>
              <w:rPr>
                <w:rFonts w:ascii="Times New Roman" w:hAnsi="Times New Roman" w:cs="Times New Roman"/>
                <w:color w:val="auto"/>
                <w:sz w:val="21"/>
              </w:rPr>
            </w:pPr>
          </w:p>
        </w:tc>
        <w:tc>
          <w:tcPr>
            <w:tcW w:w="330" w:type="pct"/>
            <w:tcBorders>
              <w:tl2br w:val="nil"/>
              <w:tr2bl w:val="nil"/>
            </w:tcBorders>
            <w:noWrap/>
            <w:vAlign w:val="center"/>
          </w:tcPr>
          <w:p w14:paraId="2867E76E">
            <w:pPr>
              <w:jc w:val="center"/>
              <w:textAlignment w:val="center"/>
              <w:rPr>
                <w:rFonts w:ascii="Times New Roman" w:hAnsi="Times New Roman" w:cs="Times New Roman"/>
                <w:color w:val="auto"/>
                <w:sz w:val="21"/>
                <w:lang w:eastAsia="zh-CN"/>
              </w:rPr>
            </w:pPr>
          </w:p>
        </w:tc>
        <w:tc>
          <w:tcPr>
            <w:tcW w:w="330" w:type="pct"/>
            <w:tcBorders>
              <w:tl2br w:val="nil"/>
              <w:tr2bl w:val="nil"/>
            </w:tcBorders>
            <w:noWrap/>
            <w:vAlign w:val="center"/>
          </w:tcPr>
          <w:p w14:paraId="35261DF6">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003FB1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03" w:type="pct"/>
            <w:vMerge w:val="restart"/>
            <w:tcBorders>
              <w:tl2br w:val="nil"/>
              <w:tr2bl w:val="nil"/>
            </w:tcBorders>
            <w:noWrap/>
            <w:vAlign w:val="center"/>
          </w:tcPr>
          <w:p w14:paraId="5AC16FAC">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4</w:t>
            </w:r>
          </w:p>
        </w:tc>
        <w:tc>
          <w:tcPr>
            <w:tcW w:w="517" w:type="pct"/>
            <w:vMerge w:val="restart"/>
            <w:tcBorders>
              <w:tl2br w:val="nil"/>
              <w:tr2bl w:val="nil"/>
            </w:tcBorders>
            <w:noWrap/>
            <w:vAlign w:val="center"/>
          </w:tcPr>
          <w:p w14:paraId="49E5F951">
            <w:pPr>
              <w:jc w:val="center"/>
              <w:textAlignment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夏家湖</w:t>
            </w:r>
          </w:p>
        </w:tc>
        <w:tc>
          <w:tcPr>
            <w:tcW w:w="330" w:type="pct"/>
            <w:tcBorders>
              <w:tl2br w:val="nil"/>
              <w:tr2bl w:val="nil"/>
            </w:tcBorders>
            <w:noWrap/>
            <w:vAlign w:val="center"/>
          </w:tcPr>
          <w:p w14:paraId="3FF2F74C">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1小时</w:t>
            </w:r>
          </w:p>
        </w:tc>
        <w:tc>
          <w:tcPr>
            <w:tcW w:w="529" w:type="pct"/>
            <w:tcBorders>
              <w:tl2br w:val="nil"/>
              <w:tr2bl w:val="nil"/>
            </w:tcBorders>
            <w:noWrap/>
            <w:vAlign w:val="center"/>
          </w:tcPr>
          <w:p w14:paraId="6705E471">
            <w:pPr>
              <w:jc w:val="center"/>
              <w:textAlignment w:val="center"/>
              <w:rPr>
                <w:rFonts w:ascii="Times New Roman" w:hAnsi="Times New Roman" w:cs="Times New Roman"/>
                <w:color w:val="auto"/>
                <w:sz w:val="21"/>
              </w:rPr>
            </w:pPr>
          </w:p>
        </w:tc>
        <w:tc>
          <w:tcPr>
            <w:tcW w:w="604" w:type="pct"/>
            <w:tcBorders>
              <w:tl2br w:val="nil"/>
              <w:tr2bl w:val="nil"/>
            </w:tcBorders>
            <w:noWrap/>
            <w:vAlign w:val="center"/>
          </w:tcPr>
          <w:p w14:paraId="6819A7FA">
            <w:pPr>
              <w:jc w:val="center"/>
              <w:textAlignment w:val="center"/>
              <w:rPr>
                <w:rFonts w:ascii="Times New Roman" w:hAnsi="Times New Roman" w:cs="Times New Roman"/>
                <w:color w:val="auto"/>
                <w:sz w:val="21"/>
              </w:rPr>
            </w:pPr>
          </w:p>
        </w:tc>
        <w:tc>
          <w:tcPr>
            <w:tcW w:w="407" w:type="pct"/>
            <w:tcBorders>
              <w:tl2br w:val="nil"/>
              <w:tr2bl w:val="nil"/>
            </w:tcBorders>
            <w:noWrap/>
            <w:vAlign w:val="center"/>
          </w:tcPr>
          <w:p w14:paraId="3B4E155C">
            <w:pPr>
              <w:jc w:val="center"/>
              <w:textAlignment w:val="center"/>
              <w:rPr>
                <w:rFonts w:ascii="Times New Roman" w:hAnsi="Times New Roman" w:cs="Times New Roman"/>
                <w:color w:val="auto"/>
                <w:sz w:val="21"/>
              </w:rPr>
            </w:pPr>
          </w:p>
        </w:tc>
        <w:tc>
          <w:tcPr>
            <w:tcW w:w="710" w:type="pct"/>
            <w:tcBorders>
              <w:tl2br w:val="nil"/>
              <w:tr2bl w:val="nil"/>
            </w:tcBorders>
            <w:vAlign w:val="center"/>
          </w:tcPr>
          <w:p w14:paraId="42C7B77B">
            <w:pPr>
              <w:jc w:val="center"/>
              <w:textAlignment w:val="center"/>
              <w:rPr>
                <w:rFonts w:ascii="Times New Roman" w:hAnsi="Times New Roman" w:cs="Times New Roman"/>
                <w:color w:val="auto"/>
                <w:sz w:val="21"/>
                <w:lang w:eastAsia="zh-CN" w:bidi="ar"/>
              </w:rPr>
            </w:pPr>
          </w:p>
        </w:tc>
        <w:tc>
          <w:tcPr>
            <w:tcW w:w="510" w:type="pct"/>
            <w:tcBorders>
              <w:tl2br w:val="nil"/>
              <w:tr2bl w:val="nil"/>
            </w:tcBorders>
            <w:noWrap/>
            <w:vAlign w:val="center"/>
          </w:tcPr>
          <w:p w14:paraId="3D9647B5">
            <w:pPr>
              <w:jc w:val="center"/>
              <w:textAlignment w:val="center"/>
              <w:rPr>
                <w:rFonts w:ascii="Times New Roman" w:hAnsi="Times New Roman" w:cs="Times New Roman"/>
                <w:color w:val="auto"/>
                <w:sz w:val="21"/>
                <w:lang w:eastAsia="zh-CN"/>
              </w:rPr>
            </w:pPr>
          </w:p>
        </w:tc>
        <w:tc>
          <w:tcPr>
            <w:tcW w:w="529" w:type="pct"/>
            <w:tcBorders>
              <w:tl2br w:val="nil"/>
              <w:tr2bl w:val="nil"/>
            </w:tcBorders>
            <w:noWrap/>
            <w:vAlign w:val="center"/>
          </w:tcPr>
          <w:p w14:paraId="4949CA10">
            <w:pPr>
              <w:jc w:val="center"/>
              <w:textAlignment w:val="center"/>
              <w:rPr>
                <w:rFonts w:ascii="Times New Roman" w:hAnsi="Times New Roman" w:cs="Times New Roman"/>
                <w:color w:val="auto"/>
                <w:sz w:val="21"/>
              </w:rPr>
            </w:pPr>
          </w:p>
        </w:tc>
        <w:tc>
          <w:tcPr>
            <w:tcW w:w="330" w:type="pct"/>
            <w:tcBorders>
              <w:tl2br w:val="nil"/>
              <w:tr2bl w:val="nil"/>
            </w:tcBorders>
            <w:noWrap/>
            <w:vAlign w:val="center"/>
          </w:tcPr>
          <w:p w14:paraId="2ED9A374">
            <w:pPr>
              <w:jc w:val="center"/>
              <w:textAlignment w:val="center"/>
              <w:rPr>
                <w:rFonts w:ascii="Times New Roman" w:hAnsi="Times New Roman" w:cs="Times New Roman"/>
                <w:color w:val="auto"/>
                <w:sz w:val="21"/>
                <w:lang w:eastAsia="zh-CN"/>
              </w:rPr>
            </w:pPr>
          </w:p>
        </w:tc>
        <w:tc>
          <w:tcPr>
            <w:tcW w:w="330" w:type="pct"/>
            <w:tcBorders>
              <w:tl2br w:val="nil"/>
              <w:tr2bl w:val="nil"/>
            </w:tcBorders>
            <w:noWrap/>
            <w:vAlign w:val="center"/>
          </w:tcPr>
          <w:p w14:paraId="6E60523C">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27B473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03" w:type="pct"/>
            <w:vMerge w:val="continue"/>
            <w:tcBorders>
              <w:tl2br w:val="nil"/>
              <w:tr2bl w:val="nil"/>
            </w:tcBorders>
            <w:noWrap/>
            <w:vAlign w:val="center"/>
          </w:tcPr>
          <w:p w14:paraId="268460CE">
            <w:pPr>
              <w:jc w:val="center"/>
              <w:rPr>
                <w:rFonts w:ascii="Times New Roman" w:hAnsi="Times New Roman" w:cs="Times New Roman"/>
                <w:color w:val="auto"/>
                <w:sz w:val="21"/>
              </w:rPr>
            </w:pPr>
          </w:p>
        </w:tc>
        <w:tc>
          <w:tcPr>
            <w:tcW w:w="517" w:type="pct"/>
            <w:vMerge w:val="continue"/>
            <w:tcBorders>
              <w:tl2br w:val="nil"/>
              <w:tr2bl w:val="nil"/>
            </w:tcBorders>
            <w:noWrap/>
            <w:vAlign w:val="center"/>
          </w:tcPr>
          <w:p w14:paraId="3F8289C4">
            <w:pPr>
              <w:jc w:val="center"/>
              <w:rPr>
                <w:rFonts w:ascii="Times New Roman" w:hAnsi="Times New Roman" w:cs="Times New Roman"/>
                <w:color w:val="auto"/>
                <w:sz w:val="21"/>
              </w:rPr>
            </w:pPr>
          </w:p>
        </w:tc>
        <w:tc>
          <w:tcPr>
            <w:tcW w:w="330" w:type="pct"/>
            <w:tcBorders>
              <w:tl2br w:val="nil"/>
              <w:tr2bl w:val="nil"/>
            </w:tcBorders>
            <w:noWrap/>
            <w:vAlign w:val="center"/>
          </w:tcPr>
          <w:p w14:paraId="3194BCA2">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日平均</w:t>
            </w:r>
          </w:p>
        </w:tc>
        <w:tc>
          <w:tcPr>
            <w:tcW w:w="529" w:type="pct"/>
            <w:tcBorders>
              <w:tl2br w:val="nil"/>
              <w:tr2bl w:val="nil"/>
            </w:tcBorders>
            <w:noWrap/>
            <w:vAlign w:val="center"/>
          </w:tcPr>
          <w:p w14:paraId="321571A3">
            <w:pPr>
              <w:jc w:val="center"/>
              <w:textAlignment w:val="center"/>
              <w:rPr>
                <w:rFonts w:ascii="Times New Roman" w:hAnsi="Times New Roman" w:cs="Times New Roman"/>
                <w:color w:val="auto"/>
                <w:sz w:val="21"/>
              </w:rPr>
            </w:pPr>
          </w:p>
        </w:tc>
        <w:tc>
          <w:tcPr>
            <w:tcW w:w="604" w:type="pct"/>
            <w:tcBorders>
              <w:tl2br w:val="nil"/>
              <w:tr2bl w:val="nil"/>
            </w:tcBorders>
            <w:noWrap/>
            <w:vAlign w:val="center"/>
          </w:tcPr>
          <w:p w14:paraId="7BB54B6F">
            <w:pPr>
              <w:jc w:val="center"/>
              <w:textAlignment w:val="center"/>
              <w:rPr>
                <w:rFonts w:ascii="Times New Roman" w:hAnsi="Times New Roman" w:cs="Times New Roman"/>
                <w:color w:val="auto"/>
                <w:sz w:val="21"/>
              </w:rPr>
            </w:pPr>
          </w:p>
        </w:tc>
        <w:tc>
          <w:tcPr>
            <w:tcW w:w="407" w:type="pct"/>
            <w:tcBorders>
              <w:tl2br w:val="nil"/>
              <w:tr2bl w:val="nil"/>
            </w:tcBorders>
            <w:noWrap/>
            <w:vAlign w:val="center"/>
          </w:tcPr>
          <w:p w14:paraId="751BDDA1">
            <w:pPr>
              <w:jc w:val="center"/>
              <w:textAlignment w:val="center"/>
              <w:rPr>
                <w:rFonts w:ascii="Times New Roman" w:hAnsi="Times New Roman" w:cs="Times New Roman"/>
                <w:color w:val="auto"/>
                <w:sz w:val="21"/>
              </w:rPr>
            </w:pPr>
          </w:p>
        </w:tc>
        <w:tc>
          <w:tcPr>
            <w:tcW w:w="710" w:type="pct"/>
            <w:tcBorders>
              <w:tl2br w:val="nil"/>
              <w:tr2bl w:val="nil"/>
            </w:tcBorders>
            <w:vAlign w:val="center"/>
          </w:tcPr>
          <w:p w14:paraId="02F56A6B">
            <w:pPr>
              <w:jc w:val="center"/>
              <w:textAlignment w:val="center"/>
              <w:rPr>
                <w:rFonts w:ascii="Times New Roman" w:hAnsi="Times New Roman" w:cs="Times New Roman"/>
                <w:color w:val="auto"/>
                <w:sz w:val="21"/>
                <w:lang w:eastAsia="zh-CN" w:bidi="ar"/>
              </w:rPr>
            </w:pPr>
          </w:p>
        </w:tc>
        <w:tc>
          <w:tcPr>
            <w:tcW w:w="510" w:type="pct"/>
            <w:tcBorders>
              <w:tl2br w:val="nil"/>
              <w:tr2bl w:val="nil"/>
            </w:tcBorders>
            <w:noWrap/>
            <w:vAlign w:val="center"/>
          </w:tcPr>
          <w:p w14:paraId="49125084">
            <w:pPr>
              <w:jc w:val="center"/>
              <w:textAlignment w:val="center"/>
              <w:rPr>
                <w:rFonts w:ascii="Times New Roman" w:hAnsi="Times New Roman" w:cs="Times New Roman"/>
                <w:color w:val="auto"/>
                <w:sz w:val="21"/>
              </w:rPr>
            </w:pPr>
          </w:p>
        </w:tc>
        <w:tc>
          <w:tcPr>
            <w:tcW w:w="529" w:type="pct"/>
            <w:tcBorders>
              <w:tl2br w:val="nil"/>
              <w:tr2bl w:val="nil"/>
            </w:tcBorders>
            <w:noWrap/>
            <w:vAlign w:val="center"/>
          </w:tcPr>
          <w:p w14:paraId="5EA7A880">
            <w:pPr>
              <w:jc w:val="center"/>
              <w:textAlignment w:val="center"/>
              <w:rPr>
                <w:rFonts w:ascii="Times New Roman" w:hAnsi="Times New Roman" w:cs="Times New Roman"/>
                <w:color w:val="auto"/>
                <w:sz w:val="21"/>
              </w:rPr>
            </w:pPr>
          </w:p>
        </w:tc>
        <w:tc>
          <w:tcPr>
            <w:tcW w:w="330" w:type="pct"/>
            <w:tcBorders>
              <w:tl2br w:val="nil"/>
              <w:tr2bl w:val="nil"/>
            </w:tcBorders>
            <w:noWrap/>
            <w:vAlign w:val="center"/>
          </w:tcPr>
          <w:p w14:paraId="60F81A74">
            <w:pPr>
              <w:jc w:val="center"/>
              <w:textAlignment w:val="center"/>
              <w:rPr>
                <w:rFonts w:ascii="Times New Roman" w:hAnsi="Times New Roman" w:cs="Times New Roman"/>
                <w:color w:val="auto"/>
                <w:sz w:val="21"/>
                <w:lang w:eastAsia="zh-CN"/>
              </w:rPr>
            </w:pPr>
          </w:p>
        </w:tc>
        <w:tc>
          <w:tcPr>
            <w:tcW w:w="330" w:type="pct"/>
            <w:tcBorders>
              <w:tl2br w:val="nil"/>
              <w:tr2bl w:val="nil"/>
            </w:tcBorders>
            <w:noWrap/>
            <w:vAlign w:val="center"/>
          </w:tcPr>
          <w:p w14:paraId="291BB9D2">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1FB48F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03" w:type="pct"/>
            <w:vMerge w:val="restart"/>
            <w:tcBorders>
              <w:tl2br w:val="nil"/>
              <w:tr2bl w:val="nil"/>
            </w:tcBorders>
            <w:noWrap/>
            <w:vAlign w:val="center"/>
          </w:tcPr>
          <w:p w14:paraId="50BCD0AC">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5</w:t>
            </w:r>
          </w:p>
        </w:tc>
        <w:tc>
          <w:tcPr>
            <w:tcW w:w="517" w:type="pct"/>
            <w:vMerge w:val="restart"/>
            <w:tcBorders>
              <w:tl2br w:val="nil"/>
              <w:tr2bl w:val="nil"/>
            </w:tcBorders>
            <w:noWrap/>
            <w:vAlign w:val="center"/>
          </w:tcPr>
          <w:p w14:paraId="769E3989">
            <w:pPr>
              <w:jc w:val="center"/>
              <w:textAlignment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高王家</w:t>
            </w:r>
          </w:p>
        </w:tc>
        <w:tc>
          <w:tcPr>
            <w:tcW w:w="330" w:type="pct"/>
            <w:tcBorders>
              <w:tl2br w:val="nil"/>
              <w:tr2bl w:val="nil"/>
            </w:tcBorders>
            <w:noWrap/>
            <w:vAlign w:val="center"/>
          </w:tcPr>
          <w:p w14:paraId="6A77A5AB">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1小时</w:t>
            </w:r>
          </w:p>
        </w:tc>
        <w:tc>
          <w:tcPr>
            <w:tcW w:w="529" w:type="pct"/>
            <w:tcBorders>
              <w:tl2br w:val="nil"/>
              <w:tr2bl w:val="nil"/>
            </w:tcBorders>
            <w:noWrap/>
            <w:vAlign w:val="center"/>
          </w:tcPr>
          <w:p w14:paraId="0B1B6E09">
            <w:pPr>
              <w:jc w:val="center"/>
              <w:textAlignment w:val="center"/>
              <w:rPr>
                <w:rFonts w:ascii="Times New Roman" w:hAnsi="Times New Roman" w:cs="Times New Roman"/>
                <w:color w:val="auto"/>
                <w:sz w:val="21"/>
              </w:rPr>
            </w:pPr>
          </w:p>
        </w:tc>
        <w:tc>
          <w:tcPr>
            <w:tcW w:w="604" w:type="pct"/>
            <w:tcBorders>
              <w:tl2br w:val="nil"/>
              <w:tr2bl w:val="nil"/>
            </w:tcBorders>
            <w:noWrap/>
            <w:vAlign w:val="center"/>
          </w:tcPr>
          <w:p w14:paraId="36590BBD">
            <w:pPr>
              <w:jc w:val="center"/>
              <w:textAlignment w:val="center"/>
              <w:rPr>
                <w:rFonts w:ascii="Times New Roman" w:hAnsi="Times New Roman" w:cs="Times New Roman"/>
                <w:color w:val="auto"/>
                <w:sz w:val="21"/>
              </w:rPr>
            </w:pPr>
          </w:p>
        </w:tc>
        <w:tc>
          <w:tcPr>
            <w:tcW w:w="407" w:type="pct"/>
            <w:tcBorders>
              <w:tl2br w:val="nil"/>
              <w:tr2bl w:val="nil"/>
            </w:tcBorders>
            <w:noWrap/>
            <w:vAlign w:val="center"/>
          </w:tcPr>
          <w:p w14:paraId="11241B8B">
            <w:pPr>
              <w:jc w:val="center"/>
              <w:textAlignment w:val="center"/>
              <w:rPr>
                <w:rFonts w:ascii="Times New Roman" w:hAnsi="Times New Roman" w:cs="Times New Roman"/>
                <w:color w:val="auto"/>
                <w:sz w:val="21"/>
              </w:rPr>
            </w:pPr>
          </w:p>
        </w:tc>
        <w:tc>
          <w:tcPr>
            <w:tcW w:w="710" w:type="pct"/>
            <w:tcBorders>
              <w:tl2br w:val="nil"/>
              <w:tr2bl w:val="nil"/>
            </w:tcBorders>
            <w:vAlign w:val="center"/>
          </w:tcPr>
          <w:p w14:paraId="4F762FBC">
            <w:pPr>
              <w:jc w:val="center"/>
              <w:textAlignment w:val="center"/>
              <w:rPr>
                <w:rFonts w:ascii="Times New Roman" w:hAnsi="Times New Roman" w:cs="Times New Roman"/>
                <w:color w:val="auto"/>
                <w:sz w:val="21"/>
                <w:lang w:eastAsia="zh-CN" w:bidi="ar"/>
              </w:rPr>
            </w:pPr>
          </w:p>
        </w:tc>
        <w:tc>
          <w:tcPr>
            <w:tcW w:w="510" w:type="pct"/>
            <w:tcBorders>
              <w:tl2br w:val="nil"/>
              <w:tr2bl w:val="nil"/>
            </w:tcBorders>
            <w:noWrap/>
            <w:vAlign w:val="center"/>
          </w:tcPr>
          <w:p w14:paraId="31415AB8">
            <w:pPr>
              <w:jc w:val="center"/>
              <w:textAlignment w:val="center"/>
              <w:rPr>
                <w:rFonts w:ascii="Times New Roman" w:hAnsi="Times New Roman" w:cs="Times New Roman"/>
                <w:color w:val="auto"/>
                <w:sz w:val="21"/>
                <w:lang w:eastAsia="zh-CN"/>
              </w:rPr>
            </w:pPr>
          </w:p>
        </w:tc>
        <w:tc>
          <w:tcPr>
            <w:tcW w:w="529" w:type="pct"/>
            <w:tcBorders>
              <w:tl2br w:val="nil"/>
              <w:tr2bl w:val="nil"/>
            </w:tcBorders>
            <w:noWrap/>
            <w:vAlign w:val="center"/>
          </w:tcPr>
          <w:p w14:paraId="334219AA">
            <w:pPr>
              <w:jc w:val="center"/>
              <w:textAlignment w:val="center"/>
              <w:rPr>
                <w:rFonts w:ascii="Times New Roman" w:hAnsi="Times New Roman" w:cs="Times New Roman"/>
                <w:color w:val="auto"/>
                <w:sz w:val="21"/>
              </w:rPr>
            </w:pPr>
          </w:p>
        </w:tc>
        <w:tc>
          <w:tcPr>
            <w:tcW w:w="330" w:type="pct"/>
            <w:tcBorders>
              <w:tl2br w:val="nil"/>
              <w:tr2bl w:val="nil"/>
            </w:tcBorders>
            <w:noWrap/>
            <w:vAlign w:val="center"/>
          </w:tcPr>
          <w:p w14:paraId="09DF59EA">
            <w:pPr>
              <w:jc w:val="center"/>
              <w:textAlignment w:val="center"/>
              <w:rPr>
                <w:rFonts w:ascii="Times New Roman" w:hAnsi="Times New Roman" w:cs="Times New Roman"/>
                <w:color w:val="auto"/>
                <w:sz w:val="21"/>
                <w:lang w:eastAsia="zh-CN"/>
              </w:rPr>
            </w:pPr>
          </w:p>
        </w:tc>
        <w:tc>
          <w:tcPr>
            <w:tcW w:w="330" w:type="pct"/>
            <w:tcBorders>
              <w:tl2br w:val="nil"/>
              <w:tr2bl w:val="nil"/>
            </w:tcBorders>
            <w:noWrap/>
            <w:vAlign w:val="center"/>
          </w:tcPr>
          <w:p w14:paraId="5889209A">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73612C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03" w:type="pct"/>
            <w:vMerge w:val="continue"/>
            <w:tcBorders>
              <w:tl2br w:val="nil"/>
              <w:tr2bl w:val="nil"/>
            </w:tcBorders>
            <w:noWrap/>
            <w:vAlign w:val="center"/>
          </w:tcPr>
          <w:p w14:paraId="6CEF66D8">
            <w:pPr>
              <w:jc w:val="center"/>
              <w:rPr>
                <w:rFonts w:ascii="Times New Roman" w:hAnsi="Times New Roman" w:cs="Times New Roman"/>
                <w:color w:val="auto"/>
                <w:sz w:val="21"/>
              </w:rPr>
            </w:pPr>
          </w:p>
        </w:tc>
        <w:tc>
          <w:tcPr>
            <w:tcW w:w="517" w:type="pct"/>
            <w:vMerge w:val="continue"/>
            <w:tcBorders>
              <w:tl2br w:val="nil"/>
              <w:tr2bl w:val="nil"/>
            </w:tcBorders>
            <w:noWrap/>
            <w:vAlign w:val="center"/>
          </w:tcPr>
          <w:p w14:paraId="37495E49">
            <w:pPr>
              <w:jc w:val="center"/>
              <w:rPr>
                <w:rFonts w:ascii="Times New Roman" w:hAnsi="Times New Roman" w:cs="Times New Roman"/>
                <w:color w:val="auto"/>
                <w:sz w:val="21"/>
              </w:rPr>
            </w:pPr>
          </w:p>
        </w:tc>
        <w:tc>
          <w:tcPr>
            <w:tcW w:w="330" w:type="pct"/>
            <w:tcBorders>
              <w:tl2br w:val="nil"/>
              <w:tr2bl w:val="nil"/>
            </w:tcBorders>
            <w:noWrap/>
            <w:vAlign w:val="center"/>
          </w:tcPr>
          <w:p w14:paraId="2F3D50C9">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日平均</w:t>
            </w:r>
          </w:p>
        </w:tc>
        <w:tc>
          <w:tcPr>
            <w:tcW w:w="529" w:type="pct"/>
            <w:tcBorders>
              <w:tl2br w:val="nil"/>
              <w:tr2bl w:val="nil"/>
            </w:tcBorders>
            <w:noWrap/>
            <w:vAlign w:val="center"/>
          </w:tcPr>
          <w:p w14:paraId="5E50FDEB">
            <w:pPr>
              <w:jc w:val="center"/>
              <w:textAlignment w:val="center"/>
              <w:rPr>
                <w:rFonts w:ascii="Times New Roman" w:hAnsi="Times New Roman" w:cs="Times New Roman"/>
                <w:color w:val="auto"/>
                <w:sz w:val="21"/>
              </w:rPr>
            </w:pPr>
          </w:p>
        </w:tc>
        <w:tc>
          <w:tcPr>
            <w:tcW w:w="604" w:type="pct"/>
            <w:tcBorders>
              <w:tl2br w:val="nil"/>
              <w:tr2bl w:val="nil"/>
            </w:tcBorders>
            <w:noWrap/>
            <w:vAlign w:val="center"/>
          </w:tcPr>
          <w:p w14:paraId="642A0479">
            <w:pPr>
              <w:jc w:val="center"/>
              <w:textAlignment w:val="center"/>
              <w:rPr>
                <w:rFonts w:ascii="Times New Roman" w:hAnsi="Times New Roman" w:cs="Times New Roman"/>
                <w:color w:val="auto"/>
                <w:sz w:val="21"/>
              </w:rPr>
            </w:pPr>
          </w:p>
        </w:tc>
        <w:tc>
          <w:tcPr>
            <w:tcW w:w="407" w:type="pct"/>
            <w:tcBorders>
              <w:tl2br w:val="nil"/>
              <w:tr2bl w:val="nil"/>
            </w:tcBorders>
            <w:noWrap/>
            <w:vAlign w:val="center"/>
          </w:tcPr>
          <w:p w14:paraId="3AFA8992">
            <w:pPr>
              <w:jc w:val="center"/>
              <w:textAlignment w:val="center"/>
              <w:rPr>
                <w:rFonts w:ascii="Times New Roman" w:hAnsi="Times New Roman" w:cs="Times New Roman"/>
                <w:color w:val="auto"/>
                <w:sz w:val="21"/>
              </w:rPr>
            </w:pPr>
          </w:p>
        </w:tc>
        <w:tc>
          <w:tcPr>
            <w:tcW w:w="710" w:type="pct"/>
            <w:tcBorders>
              <w:tl2br w:val="nil"/>
              <w:tr2bl w:val="nil"/>
            </w:tcBorders>
            <w:vAlign w:val="center"/>
          </w:tcPr>
          <w:p w14:paraId="480D0659">
            <w:pPr>
              <w:jc w:val="center"/>
              <w:textAlignment w:val="center"/>
              <w:rPr>
                <w:rFonts w:ascii="Times New Roman" w:hAnsi="Times New Roman" w:cs="Times New Roman"/>
                <w:color w:val="auto"/>
                <w:sz w:val="21"/>
                <w:lang w:eastAsia="zh-CN" w:bidi="ar"/>
              </w:rPr>
            </w:pPr>
          </w:p>
        </w:tc>
        <w:tc>
          <w:tcPr>
            <w:tcW w:w="510" w:type="pct"/>
            <w:tcBorders>
              <w:tl2br w:val="nil"/>
              <w:tr2bl w:val="nil"/>
            </w:tcBorders>
            <w:noWrap/>
            <w:vAlign w:val="center"/>
          </w:tcPr>
          <w:p w14:paraId="387C8A4B">
            <w:pPr>
              <w:jc w:val="center"/>
              <w:textAlignment w:val="center"/>
              <w:rPr>
                <w:rFonts w:ascii="Times New Roman" w:hAnsi="Times New Roman" w:cs="Times New Roman"/>
                <w:color w:val="auto"/>
                <w:sz w:val="21"/>
              </w:rPr>
            </w:pPr>
          </w:p>
        </w:tc>
        <w:tc>
          <w:tcPr>
            <w:tcW w:w="529" w:type="pct"/>
            <w:tcBorders>
              <w:tl2br w:val="nil"/>
              <w:tr2bl w:val="nil"/>
            </w:tcBorders>
            <w:noWrap/>
            <w:vAlign w:val="center"/>
          </w:tcPr>
          <w:p w14:paraId="1CD23A70">
            <w:pPr>
              <w:jc w:val="center"/>
              <w:textAlignment w:val="center"/>
              <w:rPr>
                <w:rFonts w:ascii="Times New Roman" w:hAnsi="Times New Roman" w:cs="Times New Roman"/>
                <w:color w:val="auto"/>
                <w:sz w:val="21"/>
              </w:rPr>
            </w:pPr>
          </w:p>
        </w:tc>
        <w:tc>
          <w:tcPr>
            <w:tcW w:w="330" w:type="pct"/>
            <w:tcBorders>
              <w:tl2br w:val="nil"/>
              <w:tr2bl w:val="nil"/>
            </w:tcBorders>
            <w:noWrap/>
            <w:vAlign w:val="center"/>
          </w:tcPr>
          <w:p w14:paraId="48189056">
            <w:pPr>
              <w:jc w:val="center"/>
              <w:textAlignment w:val="center"/>
              <w:rPr>
                <w:rFonts w:ascii="Times New Roman" w:hAnsi="Times New Roman" w:cs="Times New Roman"/>
                <w:color w:val="auto"/>
                <w:sz w:val="21"/>
                <w:lang w:eastAsia="zh-CN"/>
              </w:rPr>
            </w:pPr>
          </w:p>
        </w:tc>
        <w:tc>
          <w:tcPr>
            <w:tcW w:w="330" w:type="pct"/>
            <w:tcBorders>
              <w:tl2br w:val="nil"/>
              <w:tr2bl w:val="nil"/>
            </w:tcBorders>
            <w:noWrap/>
            <w:vAlign w:val="center"/>
          </w:tcPr>
          <w:p w14:paraId="71660F2D">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0E3108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03" w:type="pct"/>
            <w:vMerge w:val="restart"/>
            <w:tcBorders>
              <w:tl2br w:val="nil"/>
              <w:tr2bl w:val="nil"/>
            </w:tcBorders>
            <w:noWrap/>
            <w:vAlign w:val="center"/>
          </w:tcPr>
          <w:p w14:paraId="71FBE873">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6</w:t>
            </w:r>
          </w:p>
        </w:tc>
        <w:tc>
          <w:tcPr>
            <w:tcW w:w="517" w:type="pct"/>
            <w:vMerge w:val="restart"/>
            <w:tcBorders>
              <w:tl2br w:val="nil"/>
              <w:tr2bl w:val="nil"/>
            </w:tcBorders>
            <w:noWrap/>
            <w:vAlign w:val="center"/>
          </w:tcPr>
          <w:p w14:paraId="68116A80">
            <w:pPr>
              <w:jc w:val="center"/>
              <w:textAlignment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三铺中学</w:t>
            </w:r>
          </w:p>
        </w:tc>
        <w:tc>
          <w:tcPr>
            <w:tcW w:w="330" w:type="pct"/>
            <w:tcBorders>
              <w:tl2br w:val="nil"/>
              <w:tr2bl w:val="nil"/>
            </w:tcBorders>
            <w:noWrap/>
            <w:vAlign w:val="center"/>
          </w:tcPr>
          <w:p w14:paraId="63C8B8FE">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1小时</w:t>
            </w:r>
          </w:p>
        </w:tc>
        <w:tc>
          <w:tcPr>
            <w:tcW w:w="529" w:type="pct"/>
            <w:tcBorders>
              <w:tl2br w:val="nil"/>
              <w:tr2bl w:val="nil"/>
            </w:tcBorders>
            <w:noWrap/>
            <w:vAlign w:val="center"/>
          </w:tcPr>
          <w:p w14:paraId="266DCC9B">
            <w:pPr>
              <w:jc w:val="center"/>
              <w:textAlignment w:val="center"/>
              <w:rPr>
                <w:rFonts w:ascii="Times New Roman" w:hAnsi="Times New Roman" w:cs="Times New Roman"/>
                <w:color w:val="auto"/>
                <w:sz w:val="21"/>
              </w:rPr>
            </w:pPr>
          </w:p>
        </w:tc>
        <w:tc>
          <w:tcPr>
            <w:tcW w:w="604" w:type="pct"/>
            <w:tcBorders>
              <w:tl2br w:val="nil"/>
              <w:tr2bl w:val="nil"/>
            </w:tcBorders>
            <w:noWrap/>
            <w:vAlign w:val="center"/>
          </w:tcPr>
          <w:p w14:paraId="5D4F121A">
            <w:pPr>
              <w:jc w:val="center"/>
              <w:textAlignment w:val="center"/>
              <w:rPr>
                <w:rFonts w:ascii="Times New Roman" w:hAnsi="Times New Roman" w:cs="Times New Roman"/>
                <w:color w:val="auto"/>
                <w:sz w:val="21"/>
              </w:rPr>
            </w:pPr>
          </w:p>
        </w:tc>
        <w:tc>
          <w:tcPr>
            <w:tcW w:w="407" w:type="pct"/>
            <w:tcBorders>
              <w:tl2br w:val="nil"/>
              <w:tr2bl w:val="nil"/>
            </w:tcBorders>
            <w:noWrap/>
            <w:vAlign w:val="center"/>
          </w:tcPr>
          <w:p w14:paraId="3D764756">
            <w:pPr>
              <w:jc w:val="center"/>
              <w:textAlignment w:val="center"/>
              <w:rPr>
                <w:rFonts w:ascii="Times New Roman" w:hAnsi="Times New Roman" w:cs="Times New Roman"/>
                <w:color w:val="auto"/>
                <w:sz w:val="21"/>
              </w:rPr>
            </w:pPr>
          </w:p>
        </w:tc>
        <w:tc>
          <w:tcPr>
            <w:tcW w:w="710" w:type="pct"/>
            <w:tcBorders>
              <w:tl2br w:val="nil"/>
              <w:tr2bl w:val="nil"/>
            </w:tcBorders>
            <w:vAlign w:val="center"/>
          </w:tcPr>
          <w:p w14:paraId="018F41F4">
            <w:pPr>
              <w:jc w:val="center"/>
              <w:textAlignment w:val="center"/>
              <w:rPr>
                <w:rFonts w:ascii="Times New Roman" w:hAnsi="Times New Roman" w:cs="Times New Roman"/>
                <w:color w:val="auto"/>
                <w:sz w:val="21"/>
                <w:lang w:eastAsia="zh-CN" w:bidi="ar"/>
              </w:rPr>
            </w:pPr>
          </w:p>
        </w:tc>
        <w:tc>
          <w:tcPr>
            <w:tcW w:w="510" w:type="pct"/>
            <w:tcBorders>
              <w:tl2br w:val="nil"/>
              <w:tr2bl w:val="nil"/>
            </w:tcBorders>
            <w:noWrap/>
            <w:vAlign w:val="center"/>
          </w:tcPr>
          <w:p w14:paraId="7D9B8A8D">
            <w:pPr>
              <w:jc w:val="center"/>
              <w:textAlignment w:val="center"/>
              <w:rPr>
                <w:rFonts w:ascii="Times New Roman" w:hAnsi="Times New Roman" w:cs="Times New Roman"/>
                <w:color w:val="auto"/>
                <w:sz w:val="21"/>
              </w:rPr>
            </w:pPr>
          </w:p>
        </w:tc>
        <w:tc>
          <w:tcPr>
            <w:tcW w:w="529" w:type="pct"/>
            <w:tcBorders>
              <w:tl2br w:val="nil"/>
              <w:tr2bl w:val="nil"/>
            </w:tcBorders>
            <w:noWrap/>
            <w:vAlign w:val="center"/>
          </w:tcPr>
          <w:p w14:paraId="531F3B08">
            <w:pPr>
              <w:jc w:val="center"/>
              <w:textAlignment w:val="center"/>
              <w:rPr>
                <w:rFonts w:ascii="Times New Roman" w:hAnsi="Times New Roman" w:cs="Times New Roman"/>
                <w:color w:val="auto"/>
                <w:sz w:val="21"/>
              </w:rPr>
            </w:pPr>
          </w:p>
        </w:tc>
        <w:tc>
          <w:tcPr>
            <w:tcW w:w="330" w:type="pct"/>
            <w:tcBorders>
              <w:tl2br w:val="nil"/>
              <w:tr2bl w:val="nil"/>
            </w:tcBorders>
            <w:noWrap/>
            <w:vAlign w:val="center"/>
          </w:tcPr>
          <w:p w14:paraId="70288CD4">
            <w:pPr>
              <w:jc w:val="center"/>
              <w:textAlignment w:val="center"/>
              <w:rPr>
                <w:rFonts w:ascii="Times New Roman" w:hAnsi="Times New Roman" w:cs="Times New Roman"/>
                <w:color w:val="auto"/>
                <w:sz w:val="21"/>
              </w:rPr>
            </w:pPr>
          </w:p>
        </w:tc>
        <w:tc>
          <w:tcPr>
            <w:tcW w:w="330" w:type="pct"/>
            <w:tcBorders>
              <w:tl2br w:val="nil"/>
              <w:tr2bl w:val="nil"/>
            </w:tcBorders>
            <w:noWrap/>
            <w:vAlign w:val="center"/>
          </w:tcPr>
          <w:p w14:paraId="5EAF8292">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245F6C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03" w:type="pct"/>
            <w:vMerge w:val="continue"/>
            <w:tcBorders>
              <w:tl2br w:val="nil"/>
              <w:tr2bl w:val="nil"/>
            </w:tcBorders>
            <w:noWrap/>
            <w:vAlign w:val="center"/>
          </w:tcPr>
          <w:p w14:paraId="0A0F0C4E">
            <w:pPr>
              <w:jc w:val="center"/>
              <w:rPr>
                <w:rFonts w:ascii="Times New Roman" w:hAnsi="Times New Roman" w:cs="Times New Roman"/>
                <w:color w:val="auto"/>
                <w:sz w:val="21"/>
              </w:rPr>
            </w:pPr>
          </w:p>
        </w:tc>
        <w:tc>
          <w:tcPr>
            <w:tcW w:w="517" w:type="pct"/>
            <w:vMerge w:val="continue"/>
            <w:tcBorders>
              <w:tl2br w:val="nil"/>
              <w:tr2bl w:val="nil"/>
            </w:tcBorders>
            <w:noWrap/>
            <w:vAlign w:val="center"/>
          </w:tcPr>
          <w:p w14:paraId="7E57D28A">
            <w:pPr>
              <w:jc w:val="center"/>
              <w:rPr>
                <w:rFonts w:ascii="Times New Roman" w:hAnsi="Times New Roman" w:cs="Times New Roman"/>
                <w:color w:val="auto"/>
                <w:sz w:val="21"/>
              </w:rPr>
            </w:pPr>
          </w:p>
        </w:tc>
        <w:tc>
          <w:tcPr>
            <w:tcW w:w="330" w:type="pct"/>
            <w:tcBorders>
              <w:tl2br w:val="nil"/>
              <w:tr2bl w:val="nil"/>
            </w:tcBorders>
            <w:noWrap/>
            <w:vAlign w:val="center"/>
          </w:tcPr>
          <w:p w14:paraId="2E4A1FDB">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日平均</w:t>
            </w:r>
          </w:p>
        </w:tc>
        <w:tc>
          <w:tcPr>
            <w:tcW w:w="529" w:type="pct"/>
            <w:tcBorders>
              <w:tl2br w:val="nil"/>
              <w:tr2bl w:val="nil"/>
            </w:tcBorders>
            <w:noWrap/>
            <w:vAlign w:val="center"/>
          </w:tcPr>
          <w:p w14:paraId="6CB4CD5A">
            <w:pPr>
              <w:jc w:val="center"/>
              <w:textAlignment w:val="center"/>
              <w:rPr>
                <w:rFonts w:ascii="Times New Roman" w:hAnsi="Times New Roman" w:cs="Times New Roman"/>
                <w:color w:val="auto"/>
                <w:sz w:val="21"/>
              </w:rPr>
            </w:pPr>
          </w:p>
        </w:tc>
        <w:tc>
          <w:tcPr>
            <w:tcW w:w="604" w:type="pct"/>
            <w:tcBorders>
              <w:tl2br w:val="nil"/>
              <w:tr2bl w:val="nil"/>
            </w:tcBorders>
            <w:noWrap/>
            <w:vAlign w:val="center"/>
          </w:tcPr>
          <w:p w14:paraId="6F36E9C2">
            <w:pPr>
              <w:jc w:val="center"/>
              <w:textAlignment w:val="center"/>
              <w:rPr>
                <w:rFonts w:ascii="Times New Roman" w:hAnsi="Times New Roman" w:cs="Times New Roman"/>
                <w:color w:val="auto"/>
                <w:sz w:val="21"/>
              </w:rPr>
            </w:pPr>
          </w:p>
        </w:tc>
        <w:tc>
          <w:tcPr>
            <w:tcW w:w="407" w:type="pct"/>
            <w:tcBorders>
              <w:tl2br w:val="nil"/>
              <w:tr2bl w:val="nil"/>
            </w:tcBorders>
            <w:noWrap/>
            <w:vAlign w:val="center"/>
          </w:tcPr>
          <w:p w14:paraId="28B29F41">
            <w:pPr>
              <w:jc w:val="center"/>
              <w:textAlignment w:val="center"/>
              <w:rPr>
                <w:rFonts w:ascii="Times New Roman" w:hAnsi="Times New Roman" w:cs="Times New Roman"/>
                <w:color w:val="auto"/>
                <w:sz w:val="21"/>
              </w:rPr>
            </w:pPr>
          </w:p>
        </w:tc>
        <w:tc>
          <w:tcPr>
            <w:tcW w:w="710" w:type="pct"/>
            <w:tcBorders>
              <w:tl2br w:val="nil"/>
              <w:tr2bl w:val="nil"/>
            </w:tcBorders>
            <w:vAlign w:val="center"/>
          </w:tcPr>
          <w:p w14:paraId="453BA7F4">
            <w:pPr>
              <w:jc w:val="center"/>
              <w:textAlignment w:val="center"/>
              <w:rPr>
                <w:rFonts w:ascii="Times New Roman" w:hAnsi="Times New Roman" w:cs="Times New Roman"/>
                <w:color w:val="auto"/>
                <w:sz w:val="21"/>
                <w:lang w:eastAsia="zh-CN" w:bidi="ar"/>
              </w:rPr>
            </w:pPr>
          </w:p>
        </w:tc>
        <w:tc>
          <w:tcPr>
            <w:tcW w:w="510" w:type="pct"/>
            <w:tcBorders>
              <w:tl2br w:val="nil"/>
              <w:tr2bl w:val="nil"/>
            </w:tcBorders>
            <w:noWrap/>
            <w:vAlign w:val="center"/>
          </w:tcPr>
          <w:p w14:paraId="67944A1E">
            <w:pPr>
              <w:jc w:val="center"/>
              <w:textAlignment w:val="center"/>
              <w:rPr>
                <w:rFonts w:ascii="Times New Roman" w:hAnsi="Times New Roman" w:cs="Times New Roman"/>
                <w:color w:val="auto"/>
                <w:sz w:val="21"/>
              </w:rPr>
            </w:pPr>
          </w:p>
        </w:tc>
        <w:tc>
          <w:tcPr>
            <w:tcW w:w="529" w:type="pct"/>
            <w:tcBorders>
              <w:tl2br w:val="nil"/>
              <w:tr2bl w:val="nil"/>
            </w:tcBorders>
            <w:noWrap/>
            <w:vAlign w:val="center"/>
          </w:tcPr>
          <w:p w14:paraId="3EEC4202">
            <w:pPr>
              <w:jc w:val="center"/>
              <w:textAlignment w:val="center"/>
              <w:rPr>
                <w:rFonts w:ascii="Times New Roman" w:hAnsi="Times New Roman" w:cs="Times New Roman"/>
                <w:color w:val="auto"/>
                <w:sz w:val="21"/>
              </w:rPr>
            </w:pPr>
          </w:p>
        </w:tc>
        <w:tc>
          <w:tcPr>
            <w:tcW w:w="330" w:type="pct"/>
            <w:tcBorders>
              <w:tl2br w:val="nil"/>
              <w:tr2bl w:val="nil"/>
            </w:tcBorders>
            <w:noWrap/>
            <w:vAlign w:val="center"/>
          </w:tcPr>
          <w:p w14:paraId="08AD09CB">
            <w:pPr>
              <w:jc w:val="center"/>
              <w:textAlignment w:val="center"/>
              <w:rPr>
                <w:rFonts w:ascii="Times New Roman" w:hAnsi="Times New Roman" w:cs="Times New Roman"/>
                <w:color w:val="auto"/>
                <w:sz w:val="21"/>
                <w:lang w:eastAsia="zh-CN"/>
              </w:rPr>
            </w:pPr>
          </w:p>
        </w:tc>
        <w:tc>
          <w:tcPr>
            <w:tcW w:w="330" w:type="pct"/>
            <w:tcBorders>
              <w:tl2br w:val="nil"/>
              <w:tr2bl w:val="nil"/>
            </w:tcBorders>
            <w:noWrap/>
            <w:vAlign w:val="center"/>
          </w:tcPr>
          <w:p w14:paraId="715D53A9">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653AD2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03" w:type="pct"/>
            <w:vMerge w:val="restart"/>
            <w:tcBorders>
              <w:tl2br w:val="nil"/>
              <w:tr2bl w:val="nil"/>
            </w:tcBorders>
            <w:noWrap/>
            <w:vAlign w:val="center"/>
          </w:tcPr>
          <w:p w14:paraId="7BE3E8DD">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7</w:t>
            </w:r>
          </w:p>
        </w:tc>
        <w:tc>
          <w:tcPr>
            <w:tcW w:w="517" w:type="pct"/>
            <w:vMerge w:val="restart"/>
            <w:tcBorders>
              <w:tl2br w:val="nil"/>
              <w:tr2bl w:val="nil"/>
            </w:tcBorders>
            <w:noWrap/>
            <w:vAlign w:val="center"/>
          </w:tcPr>
          <w:p w14:paraId="71695BC5">
            <w:pPr>
              <w:jc w:val="center"/>
              <w:textAlignment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杜家湖</w:t>
            </w:r>
          </w:p>
        </w:tc>
        <w:tc>
          <w:tcPr>
            <w:tcW w:w="330" w:type="pct"/>
            <w:tcBorders>
              <w:tl2br w:val="nil"/>
              <w:tr2bl w:val="nil"/>
            </w:tcBorders>
            <w:noWrap/>
            <w:vAlign w:val="center"/>
          </w:tcPr>
          <w:p w14:paraId="012E27BC">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1小时</w:t>
            </w:r>
          </w:p>
        </w:tc>
        <w:tc>
          <w:tcPr>
            <w:tcW w:w="529" w:type="pct"/>
            <w:tcBorders>
              <w:tl2br w:val="nil"/>
              <w:tr2bl w:val="nil"/>
            </w:tcBorders>
            <w:noWrap/>
            <w:vAlign w:val="center"/>
          </w:tcPr>
          <w:p w14:paraId="62B6F6FD">
            <w:pPr>
              <w:jc w:val="center"/>
              <w:textAlignment w:val="center"/>
              <w:rPr>
                <w:rFonts w:ascii="Times New Roman" w:hAnsi="Times New Roman" w:cs="Times New Roman"/>
                <w:color w:val="auto"/>
                <w:sz w:val="21"/>
              </w:rPr>
            </w:pPr>
          </w:p>
        </w:tc>
        <w:tc>
          <w:tcPr>
            <w:tcW w:w="604" w:type="pct"/>
            <w:tcBorders>
              <w:tl2br w:val="nil"/>
              <w:tr2bl w:val="nil"/>
            </w:tcBorders>
            <w:noWrap/>
            <w:vAlign w:val="center"/>
          </w:tcPr>
          <w:p w14:paraId="202E41BF">
            <w:pPr>
              <w:jc w:val="center"/>
              <w:textAlignment w:val="center"/>
              <w:rPr>
                <w:rFonts w:ascii="Times New Roman" w:hAnsi="Times New Roman" w:cs="Times New Roman"/>
                <w:color w:val="auto"/>
                <w:sz w:val="21"/>
              </w:rPr>
            </w:pPr>
          </w:p>
        </w:tc>
        <w:tc>
          <w:tcPr>
            <w:tcW w:w="407" w:type="pct"/>
            <w:tcBorders>
              <w:tl2br w:val="nil"/>
              <w:tr2bl w:val="nil"/>
            </w:tcBorders>
            <w:noWrap/>
            <w:vAlign w:val="center"/>
          </w:tcPr>
          <w:p w14:paraId="299D08AA">
            <w:pPr>
              <w:jc w:val="center"/>
              <w:textAlignment w:val="center"/>
              <w:rPr>
                <w:rFonts w:ascii="Times New Roman" w:hAnsi="Times New Roman" w:cs="Times New Roman"/>
                <w:color w:val="auto"/>
                <w:sz w:val="21"/>
              </w:rPr>
            </w:pPr>
          </w:p>
        </w:tc>
        <w:tc>
          <w:tcPr>
            <w:tcW w:w="710" w:type="pct"/>
            <w:tcBorders>
              <w:tl2br w:val="nil"/>
              <w:tr2bl w:val="nil"/>
            </w:tcBorders>
            <w:vAlign w:val="center"/>
          </w:tcPr>
          <w:p w14:paraId="521AD3E8">
            <w:pPr>
              <w:jc w:val="center"/>
              <w:textAlignment w:val="center"/>
              <w:rPr>
                <w:rFonts w:ascii="Times New Roman" w:hAnsi="Times New Roman" w:cs="Times New Roman"/>
                <w:color w:val="auto"/>
                <w:sz w:val="21"/>
                <w:lang w:eastAsia="zh-CN" w:bidi="ar"/>
              </w:rPr>
            </w:pPr>
          </w:p>
        </w:tc>
        <w:tc>
          <w:tcPr>
            <w:tcW w:w="510" w:type="pct"/>
            <w:tcBorders>
              <w:tl2br w:val="nil"/>
              <w:tr2bl w:val="nil"/>
            </w:tcBorders>
            <w:noWrap/>
            <w:vAlign w:val="center"/>
          </w:tcPr>
          <w:p w14:paraId="08623827">
            <w:pPr>
              <w:jc w:val="center"/>
              <w:textAlignment w:val="center"/>
              <w:rPr>
                <w:rFonts w:ascii="Times New Roman" w:hAnsi="Times New Roman" w:cs="Times New Roman"/>
                <w:color w:val="auto"/>
                <w:sz w:val="21"/>
              </w:rPr>
            </w:pPr>
          </w:p>
        </w:tc>
        <w:tc>
          <w:tcPr>
            <w:tcW w:w="529" w:type="pct"/>
            <w:tcBorders>
              <w:tl2br w:val="nil"/>
              <w:tr2bl w:val="nil"/>
            </w:tcBorders>
            <w:noWrap/>
            <w:vAlign w:val="center"/>
          </w:tcPr>
          <w:p w14:paraId="3B10F434">
            <w:pPr>
              <w:jc w:val="center"/>
              <w:textAlignment w:val="center"/>
              <w:rPr>
                <w:rFonts w:ascii="Times New Roman" w:hAnsi="Times New Roman" w:cs="Times New Roman"/>
                <w:color w:val="auto"/>
                <w:sz w:val="21"/>
              </w:rPr>
            </w:pPr>
          </w:p>
        </w:tc>
        <w:tc>
          <w:tcPr>
            <w:tcW w:w="330" w:type="pct"/>
            <w:tcBorders>
              <w:tl2br w:val="nil"/>
              <w:tr2bl w:val="nil"/>
            </w:tcBorders>
            <w:noWrap/>
            <w:vAlign w:val="center"/>
          </w:tcPr>
          <w:p w14:paraId="14754609">
            <w:pPr>
              <w:jc w:val="center"/>
              <w:textAlignment w:val="center"/>
              <w:rPr>
                <w:rFonts w:ascii="Times New Roman" w:hAnsi="Times New Roman" w:cs="Times New Roman"/>
                <w:color w:val="auto"/>
                <w:sz w:val="21"/>
              </w:rPr>
            </w:pPr>
          </w:p>
        </w:tc>
        <w:tc>
          <w:tcPr>
            <w:tcW w:w="330" w:type="pct"/>
            <w:tcBorders>
              <w:tl2br w:val="nil"/>
              <w:tr2bl w:val="nil"/>
            </w:tcBorders>
            <w:noWrap/>
            <w:vAlign w:val="center"/>
          </w:tcPr>
          <w:p w14:paraId="720C8442">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57C721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03" w:type="pct"/>
            <w:vMerge w:val="continue"/>
            <w:tcBorders>
              <w:tl2br w:val="nil"/>
              <w:tr2bl w:val="nil"/>
            </w:tcBorders>
            <w:noWrap/>
            <w:vAlign w:val="center"/>
          </w:tcPr>
          <w:p w14:paraId="1CAF7808">
            <w:pPr>
              <w:jc w:val="center"/>
              <w:rPr>
                <w:rFonts w:ascii="Times New Roman" w:hAnsi="Times New Roman" w:cs="Times New Roman"/>
                <w:color w:val="auto"/>
                <w:sz w:val="21"/>
              </w:rPr>
            </w:pPr>
          </w:p>
        </w:tc>
        <w:tc>
          <w:tcPr>
            <w:tcW w:w="517" w:type="pct"/>
            <w:vMerge w:val="continue"/>
            <w:tcBorders>
              <w:tl2br w:val="nil"/>
              <w:tr2bl w:val="nil"/>
            </w:tcBorders>
            <w:noWrap/>
            <w:vAlign w:val="center"/>
          </w:tcPr>
          <w:p w14:paraId="129C82F5">
            <w:pPr>
              <w:jc w:val="center"/>
              <w:rPr>
                <w:rFonts w:ascii="Times New Roman" w:hAnsi="Times New Roman" w:cs="Times New Roman"/>
                <w:color w:val="auto"/>
                <w:sz w:val="21"/>
              </w:rPr>
            </w:pPr>
          </w:p>
        </w:tc>
        <w:tc>
          <w:tcPr>
            <w:tcW w:w="330" w:type="pct"/>
            <w:tcBorders>
              <w:tl2br w:val="nil"/>
              <w:tr2bl w:val="nil"/>
            </w:tcBorders>
            <w:noWrap/>
            <w:vAlign w:val="center"/>
          </w:tcPr>
          <w:p w14:paraId="77E75D26">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日平均</w:t>
            </w:r>
          </w:p>
        </w:tc>
        <w:tc>
          <w:tcPr>
            <w:tcW w:w="529" w:type="pct"/>
            <w:tcBorders>
              <w:tl2br w:val="nil"/>
              <w:tr2bl w:val="nil"/>
            </w:tcBorders>
            <w:noWrap/>
            <w:vAlign w:val="center"/>
          </w:tcPr>
          <w:p w14:paraId="01ED5FE3">
            <w:pPr>
              <w:jc w:val="center"/>
              <w:textAlignment w:val="center"/>
              <w:rPr>
                <w:rFonts w:ascii="Times New Roman" w:hAnsi="Times New Roman" w:cs="Times New Roman"/>
                <w:color w:val="auto"/>
                <w:sz w:val="21"/>
              </w:rPr>
            </w:pPr>
          </w:p>
        </w:tc>
        <w:tc>
          <w:tcPr>
            <w:tcW w:w="604" w:type="pct"/>
            <w:tcBorders>
              <w:tl2br w:val="nil"/>
              <w:tr2bl w:val="nil"/>
            </w:tcBorders>
            <w:noWrap/>
            <w:vAlign w:val="center"/>
          </w:tcPr>
          <w:p w14:paraId="0A843C4B">
            <w:pPr>
              <w:jc w:val="center"/>
              <w:textAlignment w:val="center"/>
              <w:rPr>
                <w:rFonts w:ascii="Times New Roman" w:hAnsi="Times New Roman" w:cs="Times New Roman"/>
                <w:color w:val="auto"/>
                <w:sz w:val="21"/>
              </w:rPr>
            </w:pPr>
          </w:p>
        </w:tc>
        <w:tc>
          <w:tcPr>
            <w:tcW w:w="407" w:type="pct"/>
            <w:tcBorders>
              <w:tl2br w:val="nil"/>
              <w:tr2bl w:val="nil"/>
            </w:tcBorders>
            <w:noWrap/>
            <w:vAlign w:val="center"/>
          </w:tcPr>
          <w:p w14:paraId="0E09BEE7">
            <w:pPr>
              <w:jc w:val="center"/>
              <w:textAlignment w:val="center"/>
              <w:rPr>
                <w:rFonts w:ascii="Times New Roman" w:hAnsi="Times New Roman" w:cs="Times New Roman"/>
                <w:color w:val="auto"/>
                <w:sz w:val="21"/>
              </w:rPr>
            </w:pPr>
          </w:p>
        </w:tc>
        <w:tc>
          <w:tcPr>
            <w:tcW w:w="710" w:type="pct"/>
            <w:tcBorders>
              <w:tl2br w:val="nil"/>
              <w:tr2bl w:val="nil"/>
            </w:tcBorders>
            <w:vAlign w:val="center"/>
          </w:tcPr>
          <w:p w14:paraId="3D9A5417">
            <w:pPr>
              <w:jc w:val="center"/>
              <w:textAlignment w:val="center"/>
              <w:rPr>
                <w:rFonts w:ascii="Times New Roman" w:hAnsi="Times New Roman" w:cs="Times New Roman"/>
                <w:color w:val="auto"/>
                <w:sz w:val="21"/>
                <w:lang w:eastAsia="zh-CN" w:bidi="ar"/>
              </w:rPr>
            </w:pPr>
          </w:p>
        </w:tc>
        <w:tc>
          <w:tcPr>
            <w:tcW w:w="510" w:type="pct"/>
            <w:tcBorders>
              <w:tl2br w:val="nil"/>
              <w:tr2bl w:val="nil"/>
            </w:tcBorders>
            <w:noWrap/>
            <w:vAlign w:val="center"/>
          </w:tcPr>
          <w:p w14:paraId="26ED4A20">
            <w:pPr>
              <w:jc w:val="center"/>
              <w:textAlignment w:val="center"/>
              <w:rPr>
                <w:rFonts w:ascii="Times New Roman" w:hAnsi="Times New Roman" w:cs="Times New Roman"/>
                <w:color w:val="auto"/>
                <w:sz w:val="21"/>
              </w:rPr>
            </w:pPr>
          </w:p>
        </w:tc>
        <w:tc>
          <w:tcPr>
            <w:tcW w:w="529" w:type="pct"/>
            <w:tcBorders>
              <w:tl2br w:val="nil"/>
              <w:tr2bl w:val="nil"/>
            </w:tcBorders>
            <w:noWrap/>
            <w:vAlign w:val="center"/>
          </w:tcPr>
          <w:p w14:paraId="78416A47">
            <w:pPr>
              <w:jc w:val="center"/>
              <w:textAlignment w:val="center"/>
              <w:rPr>
                <w:rFonts w:ascii="Times New Roman" w:hAnsi="Times New Roman" w:cs="Times New Roman"/>
                <w:color w:val="auto"/>
                <w:sz w:val="21"/>
              </w:rPr>
            </w:pPr>
          </w:p>
        </w:tc>
        <w:tc>
          <w:tcPr>
            <w:tcW w:w="330" w:type="pct"/>
            <w:tcBorders>
              <w:tl2br w:val="nil"/>
              <w:tr2bl w:val="nil"/>
            </w:tcBorders>
            <w:noWrap/>
            <w:vAlign w:val="center"/>
          </w:tcPr>
          <w:p w14:paraId="00971447">
            <w:pPr>
              <w:jc w:val="center"/>
              <w:textAlignment w:val="center"/>
              <w:rPr>
                <w:rFonts w:ascii="Times New Roman" w:hAnsi="Times New Roman" w:cs="Times New Roman"/>
                <w:color w:val="auto"/>
                <w:sz w:val="21"/>
              </w:rPr>
            </w:pPr>
          </w:p>
        </w:tc>
        <w:tc>
          <w:tcPr>
            <w:tcW w:w="330" w:type="pct"/>
            <w:tcBorders>
              <w:tl2br w:val="nil"/>
              <w:tr2bl w:val="nil"/>
            </w:tcBorders>
            <w:noWrap/>
            <w:vAlign w:val="center"/>
          </w:tcPr>
          <w:p w14:paraId="3EF1A802">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6F8521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03" w:type="pct"/>
            <w:vMerge w:val="restart"/>
            <w:tcBorders>
              <w:tl2br w:val="nil"/>
              <w:tr2bl w:val="nil"/>
            </w:tcBorders>
            <w:noWrap/>
            <w:vAlign w:val="center"/>
          </w:tcPr>
          <w:p w14:paraId="0D66C3EE">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8</w:t>
            </w:r>
          </w:p>
        </w:tc>
        <w:tc>
          <w:tcPr>
            <w:tcW w:w="517" w:type="pct"/>
            <w:vMerge w:val="restart"/>
            <w:tcBorders>
              <w:tl2br w:val="nil"/>
              <w:tr2bl w:val="nil"/>
            </w:tcBorders>
            <w:noWrap/>
            <w:vAlign w:val="center"/>
          </w:tcPr>
          <w:p w14:paraId="3A773AA2">
            <w:pPr>
              <w:jc w:val="center"/>
              <w:textAlignment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网格点</w:t>
            </w:r>
          </w:p>
        </w:tc>
        <w:tc>
          <w:tcPr>
            <w:tcW w:w="330" w:type="pct"/>
            <w:tcBorders>
              <w:tl2br w:val="nil"/>
              <w:tr2bl w:val="nil"/>
            </w:tcBorders>
            <w:noWrap/>
            <w:vAlign w:val="center"/>
          </w:tcPr>
          <w:p w14:paraId="2B79BD01">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1小时</w:t>
            </w:r>
          </w:p>
        </w:tc>
        <w:tc>
          <w:tcPr>
            <w:tcW w:w="529" w:type="pct"/>
            <w:tcBorders>
              <w:tl2br w:val="nil"/>
              <w:tr2bl w:val="nil"/>
            </w:tcBorders>
            <w:noWrap/>
            <w:vAlign w:val="center"/>
          </w:tcPr>
          <w:p w14:paraId="785493B2">
            <w:pPr>
              <w:jc w:val="center"/>
              <w:textAlignment w:val="center"/>
              <w:rPr>
                <w:rFonts w:ascii="Times New Roman" w:hAnsi="Times New Roman" w:cs="Times New Roman"/>
                <w:color w:val="auto"/>
                <w:sz w:val="21"/>
              </w:rPr>
            </w:pPr>
          </w:p>
        </w:tc>
        <w:tc>
          <w:tcPr>
            <w:tcW w:w="604" w:type="pct"/>
            <w:tcBorders>
              <w:tl2br w:val="nil"/>
              <w:tr2bl w:val="nil"/>
            </w:tcBorders>
            <w:noWrap/>
            <w:vAlign w:val="center"/>
          </w:tcPr>
          <w:p w14:paraId="5FB306AD">
            <w:pPr>
              <w:jc w:val="center"/>
              <w:textAlignment w:val="center"/>
              <w:rPr>
                <w:rFonts w:ascii="Times New Roman" w:hAnsi="Times New Roman" w:cs="Times New Roman"/>
                <w:color w:val="auto"/>
                <w:sz w:val="21"/>
              </w:rPr>
            </w:pPr>
          </w:p>
        </w:tc>
        <w:tc>
          <w:tcPr>
            <w:tcW w:w="407" w:type="pct"/>
            <w:tcBorders>
              <w:tl2br w:val="nil"/>
              <w:tr2bl w:val="nil"/>
            </w:tcBorders>
            <w:noWrap/>
            <w:vAlign w:val="center"/>
          </w:tcPr>
          <w:p w14:paraId="72141427">
            <w:pPr>
              <w:jc w:val="center"/>
              <w:textAlignment w:val="center"/>
              <w:rPr>
                <w:rFonts w:ascii="Times New Roman" w:hAnsi="Times New Roman" w:cs="Times New Roman"/>
                <w:color w:val="auto"/>
                <w:sz w:val="21"/>
              </w:rPr>
            </w:pPr>
          </w:p>
        </w:tc>
        <w:tc>
          <w:tcPr>
            <w:tcW w:w="710" w:type="pct"/>
            <w:tcBorders>
              <w:tl2br w:val="nil"/>
              <w:tr2bl w:val="nil"/>
            </w:tcBorders>
            <w:vAlign w:val="center"/>
          </w:tcPr>
          <w:p w14:paraId="55F65A25">
            <w:pPr>
              <w:jc w:val="center"/>
              <w:textAlignment w:val="center"/>
              <w:rPr>
                <w:rFonts w:ascii="Times New Roman" w:hAnsi="Times New Roman" w:cs="Times New Roman"/>
                <w:color w:val="auto"/>
                <w:sz w:val="21"/>
                <w:lang w:eastAsia="zh-CN" w:bidi="ar"/>
              </w:rPr>
            </w:pPr>
          </w:p>
        </w:tc>
        <w:tc>
          <w:tcPr>
            <w:tcW w:w="510" w:type="pct"/>
            <w:tcBorders>
              <w:tl2br w:val="nil"/>
              <w:tr2bl w:val="nil"/>
            </w:tcBorders>
            <w:noWrap/>
            <w:vAlign w:val="center"/>
          </w:tcPr>
          <w:p w14:paraId="07561F4C">
            <w:pPr>
              <w:jc w:val="center"/>
              <w:textAlignment w:val="center"/>
              <w:rPr>
                <w:rFonts w:ascii="Times New Roman" w:hAnsi="Times New Roman" w:cs="Times New Roman"/>
                <w:color w:val="auto"/>
                <w:sz w:val="21"/>
                <w:lang w:eastAsia="zh-CN"/>
              </w:rPr>
            </w:pPr>
          </w:p>
        </w:tc>
        <w:tc>
          <w:tcPr>
            <w:tcW w:w="529" w:type="pct"/>
            <w:tcBorders>
              <w:tl2br w:val="nil"/>
              <w:tr2bl w:val="nil"/>
            </w:tcBorders>
            <w:noWrap/>
            <w:vAlign w:val="center"/>
          </w:tcPr>
          <w:p w14:paraId="0DFB554B">
            <w:pPr>
              <w:jc w:val="center"/>
              <w:textAlignment w:val="center"/>
              <w:rPr>
                <w:rFonts w:ascii="Times New Roman" w:hAnsi="Times New Roman" w:cs="Times New Roman"/>
                <w:color w:val="auto"/>
                <w:sz w:val="21"/>
              </w:rPr>
            </w:pPr>
          </w:p>
        </w:tc>
        <w:tc>
          <w:tcPr>
            <w:tcW w:w="330" w:type="pct"/>
            <w:tcBorders>
              <w:tl2br w:val="nil"/>
              <w:tr2bl w:val="nil"/>
            </w:tcBorders>
            <w:noWrap/>
            <w:vAlign w:val="center"/>
          </w:tcPr>
          <w:p w14:paraId="7E03D7F0">
            <w:pPr>
              <w:jc w:val="center"/>
              <w:textAlignment w:val="center"/>
              <w:rPr>
                <w:rFonts w:ascii="Times New Roman" w:hAnsi="Times New Roman" w:cs="Times New Roman"/>
                <w:color w:val="auto"/>
                <w:sz w:val="21"/>
                <w:lang w:eastAsia="zh-CN"/>
              </w:rPr>
            </w:pPr>
          </w:p>
        </w:tc>
        <w:tc>
          <w:tcPr>
            <w:tcW w:w="330" w:type="pct"/>
            <w:tcBorders>
              <w:tl2br w:val="nil"/>
              <w:tr2bl w:val="nil"/>
            </w:tcBorders>
            <w:noWrap/>
            <w:vAlign w:val="center"/>
          </w:tcPr>
          <w:p w14:paraId="74800D24">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r w14:paraId="00F4DE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03" w:type="pct"/>
            <w:vMerge w:val="continue"/>
            <w:tcBorders>
              <w:tl2br w:val="nil"/>
              <w:tr2bl w:val="nil"/>
            </w:tcBorders>
            <w:noWrap/>
            <w:vAlign w:val="center"/>
          </w:tcPr>
          <w:p w14:paraId="6154BCFD">
            <w:pPr>
              <w:jc w:val="center"/>
              <w:rPr>
                <w:rFonts w:ascii="Times New Roman" w:hAnsi="Times New Roman" w:cs="Times New Roman"/>
                <w:color w:val="auto"/>
                <w:sz w:val="21"/>
              </w:rPr>
            </w:pPr>
          </w:p>
        </w:tc>
        <w:tc>
          <w:tcPr>
            <w:tcW w:w="517" w:type="pct"/>
            <w:vMerge w:val="continue"/>
            <w:tcBorders>
              <w:tl2br w:val="nil"/>
              <w:tr2bl w:val="nil"/>
            </w:tcBorders>
            <w:noWrap/>
            <w:vAlign w:val="center"/>
          </w:tcPr>
          <w:p w14:paraId="0AE31333">
            <w:pPr>
              <w:jc w:val="center"/>
              <w:rPr>
                <w:rFonts w:ascii="Times New Roman" w:hAnsi="Times New Roman" w:cs="Times New Roman"/>
                <w:color w:val="auto"/>
                <w:sz w:val="21"/>
              </w:rPr>
            </w:pPr>
          </w:p>
        </w:tc>
        <w:tc>
          <w:tcPr>
            <w:tcW w:w="330" w:type="pct"/>
            <w:tcBorders>
              <w:tl2br w:val="nil"/>
              <w:tr2bl w:val="nil"/>
            </w:tcBorders>
            <w:noWrap/>
            <w:vAlign w:val="center"/>
          </w:tcPr>
          <w:p w14:paraId="55A3B198">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日平均</w:t>
            </w:r>
          </w:p>
        </w:tc>
        <w:tc>
          <w:tcPr>
            <w:tcW w:w="529" w:type="pct"/>
            <w:tcBorders>
              <w:tl2br w:val="nil"/>
              <w:tr2bl w:val="nil"/>
            </w:tcBorders>
            <w:noWrap/>
            <w:vAlign w:val="center"/>
          </w:tcPr>
          <w:p w14:paraId="03E0F3AE">
            <w:pPr>
              <w:jc w:val="center"/>
              <w:textAlignment w:val="center"/>
              <w:rPr>
                <w:rFonts w:ascii="Times New Roman" w:hAnsi="Times New Roman" w:cs="Times New Roman"/>
                <w:color w:val="auto"/>
                <w:sz w:val="21"/>
              </w:rPr>
            </w:pPr>
          </w:p>
        </w:tc>
        <w:tc>
          <w:tcPr>
            <w:tcW w:w="604" w:type="pct"/>
            <w:tcBorders>
              <w:tl2br w:val="nil"/>
              <w:tr2bl w:val="nil"/>
            </w:tcBorders>
            <w:noWrap/>
            <w:vAlign w:val="center"/>
          </w:tcPr>
          <w:p w14:paraId="67F11D6B">
            <w:pPr>
              <w:jc w:val="center"/>
              <w:textAlignment w:val="center"/>
              <w:rPr>
                <w:rFonts w:ascii="Times New Roman" w:hAnsi="Times New Roman" w:cs="Times New Roman"/>
                <w:color w:val="auto"/>
                <w:sz w:val="21"/>
              </w:rPr>
            </w:pPr>
          </w:p>
        </w:tc>
        <w:tc>
          <w:tcPr>
            <w:tcW w:w="407" w:type="pct"/>
            <w:tcBorders>
              <w:tl2br w:val="nil"/>
              <w:tr2bl w:val="nil"/>
            </w:tcBorders>
            <w:noWrap/>
            <w:vAlign w:val="center"/>
          </w:tcPr>
          <w:p w14:paraId="28028F74">
            <w:pPr>
              <w:jc w:val="center"/>
              <w:textAlignment w:val="center"/>
              <w:rPr>
                <w:rFonts w:ascii="Times New Roman" w:hAnsi="Times New Roman" w:cs="Times New Roman"/>
                <w:color w:val="auto"/>
                <w:sz w:val="21"/>
              </w:rPr>
            </w:pPr>
          </w:p>
        </w:tc>
        <w:tc>
          <w:tcPr>
            <w:tcW w:w="710" w:type="pct"/>
            <w:tcBorders>
              <w:tl2br w:val="nil"/>
              <w:tr2bl w:val="nil"/>
            </w:tcBorders>
            <w:vAlign w:val="center"/>
          </w:tcPr>
          <w:p w14:paraId="32242580">
            <w:pPr>
              <w:jc w:val="center"/>
              <w:textAlignment w:val="center"/>
              <w:rPr>
                <w:rFonts w:ascii="Times New Roman" w:hAnsi="Times New Roman" w:cs="Times New Roman"/>
                <w:color w:val="auto"/>
                <w:sz w:val="21"/>
                <w:lang w:eastAsia="zh-CN" w:bidi="ar"/>
              </w:rPr>
            </w:pPr>
          </w:p>
        </w:tc>
        <w:tc>
          <w:tcPr>
            <w:tcW w:w="510" w:type="pct"/>
            <w:tcBorders>
              <w:tl2br w:val="nil"/>
              <w:tr2bl w:val="nil"/>
            </w:tcBorders>
            <w:noWrap/>
            <w:vAlign w:val="center"/>
          </w:tcPr>
          <w:p w14:paraId="0546191B">
            <w:pPr>
              <w:jc w:val="center"/>
              <w:textAlignment w:val="center"/>
              <w:rPr>
                <w:rFonts w:ascii="Times New Roman" w:hAnsi="Times New Roman" w:cs="Times New Roman"/>
                <w:color w:val="auto"/>
                <w:sz w:val="21"/>
              </w:rPr>
            </w:pPr>
          </w:p>
        </w:tc>
        <w:tc>
          <w:tcPr>
            <w:tcW w:w="529" w:type="pct"/>
            <w:tcBorders>
              <w:tl2br w:val="nil"/>
              <w:tr2bl w:val="nil"/>
            </w:tcBorders>
            <w:noWrap/>
            <w:vAlign w:val="center"/>
          </w:tcPr>
          <w:p w14:paraId="6D3DCA9E">
            <w:pPr>
              <w:jc w:val="center"/>
              <w:textAlignment w:val="center"/>
              <w:rPr>
                <w:rFonts w:ascii="Times New Roman" w:hAnsi="Times New Roman" w:cs="Times New Roman"/>
                <w:color w:val="auto"/>
                <w:sz w:val="21"/>
              </w:rPr>
            </w:pPr>
          </w:p>
        </w:tc>
        <w:tc>
          <w:tcPr>
            <w:tcW w:w="330" w:type="pct"/>
            <w:tcBorders>
              <w:tl2br w:val="nil"/>
              <w:tr2bl w:val="nil"/>
            </w:tcBorders>
            <w:noWrap/>
            <w:vAlign w:val="center"/>
          </w:tcPr>
          <w:p w14:paraId="7692F6DF">
            <w:pPr>
              <w:jc w:val="center"/>
              <w:textAlignment w:val="center"/>
              <w:rPr>
                <w:rFonts w:ascii="Times New Roman" w:hAnsi="Times New Roman" w:cs="Times New Roman"/>
                <w:color w:val="auto"/>
                <w:sz w:val="21"/>
                <w:lang w:eastAsia="zh-CN"/>
              </w:rPr>
            </w:pPr>
          </w:p>
        </w:tc>
        <w:tc>
          <w:tcPr>
            <w:tcW w:w="330" w:type="pct"/>
            <w:tcBorders>
              <w:tl2br w:val="nil"/>
              <w:tr2bl w:val="nil"/>
            </w:tcBorders>
            <w:noWrap/>
            <w:vAlign w:val="center"/>
          </w:tcPr>
          <w:p w14:paraId="7F15C35E">
            <w:pPr>
              <w:jc w:val="center"/>
              <w:textAlignment w:val="center"/>
              <w:rPr>
                <w:rFonts w:ascii="Times New Roman" w:hAnsi="Times New Roman" w:cs="Times New Roman"/>
                <w:color w:val="auto"/>
                <w:sz w:val="21"/>
              </w:rPr>
            </w:pPr>
            <w:r>
              <w:rPr>
                <w:rFonts w:ascii="Times New Roman" w:hAnsi="Times New Roman" w:cs="Times New Roman"/>
                <w:color w:val="auto"/>
                <w:sz w:val="21"/>
                <w:lang w:eastAsia="zh-CN" w:bidi="ar"/>
              </w:rPr>
              <w:t>达标</w:t>
            </w:r>
          </w:p>
        </w:tc>
      </w:tr>
    </w:tbl>
    <w:p w14:paraId="1DA42015">
      <w:pPr>
        <w:tabs>
          <w:tab w:val="left" w:pos="6380"/>
          <w:tab w:val="center" w:pos="6979"/>
        </w:tabs>
        <w:spacing w:line="360" w:lineRule="auto"/>
        <w:rPr>
          <w:rFonts w:ascii="Times New Roman" w:hAnsi="Times New Roman" w:cs="Times New Roman"/>
          <w:b/>
          <w:kern w:val="2"/>
          <w:szCs w:val="24"/>
          <w:lang w:eastAsia="zh-CN"/>
        </w:rPr>
      </w:pPr>
      <w:r>
        <w:rPr>
          <w:rFonts w:ascii="Times New Roman" w:hAnsi="Times New Roman" w:cs="Times New Roman"/>
          <w:b/>
          <w:kern w:val="2"/>
          <w:szCs w:val="24"/>
          <w:lang w:eastAsia="zh-CN"/>
        </w:rPr>
        <w:tab/>
      </w:r>
    </w:p>
    <w:p w14:paraId="47245AB4">
      <w:pPr>
        <w:rPr>
          <w:rFonts w:ascii="Times New Roman" w:hAnsi="Times New Roman" w:cs="Times New Roman"/>
          <w:lang w:eastAsia="zh-CN"/>
        </w:rPr>
        <w:sectPr>
          <w:pgSz w:w="16838" w:h="11906" w:orient="landscape"/>
          <w:pgMar w:top="1080" w:right="1440" w:bottom="1080" w:left="1440" w:header="851" w:footer="992" w:gutter="0"/>
          <w:cols w:space="720" w:num="1"/>
          <w:docGrid w:type="lines" w:linePitch="326" w:charSpace="0"/>
        </w:sectPr>
      </w:pPr>
    </w:p>
    <w:p w14:paraId="58B88AB3">
      <w:pPr>
        <w:spacing w:line="360" w:lineRule="auto"/>
        <w:jc w:val="center"/>
        <w:rPr>
          <w:rFonts w:ascii="Times New Roman" w:hAnsi="Times New Roman" w:cs="Times New Roman"/>
          <w:bCs/>
          <w:color w:val="auto"/>
          <w:lang w:eastAsia="zh-CN"/>
        </w:rPr>
      </w:pPr>
      <w:r>
        <w:rPr>
          <w:rFonts w:ascii="Times New Roman" w:hAnsi="Times New Roman" w:cs="Times New Roman"/>
          <w:b/>
          <w:bCs/>
          <w:snapToGrid/>
          <w:color w:val="auto"/>
          <w:szCs w:val="24"/>
          <w:lang w:eastAsia="zh-CN"/>
        </w:rPr>
        <w:drawing>
          <wp:anchor distT="0" distB="0" distL="114300" distR="114300" simplePos="0" relativeHeight="251790336" behindDoc="0" locked="0" layoutInCell="1" allowOverlap="1">
            <wp:simplePos x="0" y="0"/>
            <wp:positionH relativeFrom="column">
              <wp:posOffset>490855</wp:posOffset>
            </wp:positionH>
            <wp:positionV relativeFrom="paragraph">
              <wp:posOffset>113665</wp:posOffset>
            </wp:positionV>
            <wp:extent cx="875030" cy="661670"/>
            <wp:effectExtent l="0" t="0" r="0" b="0"/>
            <wp:wrapNone/>
            <wp:docPr id="5596"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6" name="图片 15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875030" cy="661670"/>
                    </a:xfrm>
                    <a:prstGeom prst="rect">
                      <a:avLst/>
                    </a:prstGeom>
                    <a:noFill/>
                    <a:ln>
                      <a:noFill/>
                    </a:ln>
                  </pic:spPr>
                </pic:pic>
              </a:graphicData>
            </a:graphic>
          </wp:anchor>
        </w:drawing>
      </w:r>
    </w:p>
    <w:p w14:paraId="3AADD0AA">
      <w:pPr>
        <w:spacing w:line="360" w:lineRule="auto"/>
        <w:jc w:val="center"/>
        <w:rPr>
          <w:rFonts w:ascii="Times New Roman" w:hAnsi="Times New Roman" w:cs="Times New Roman"/>
          <w:bCs/>
          <w:color w:val="auto"/>
          <w:lang w:eastAsia="zh-CN"/>
        </w:rPr>
      </w:pPr>
      <w:r>
        <w:rPr>
          <w:rFonts w:ascii="Times New Roman" w:hAnsi="Times New Roman" w:cs="Times New Roman"/>
          <w:b/>
          <w:bCs/>
          <w:color w:val="auto"/>
          <w:lang w:eastAsia="zh-CN"/>
        </w:rPr>
        <w:t>图</w:t>
      </w:r>
      <w:r>
        <w:rPr>
          <w:rFonts w:hint="eastAsia" w:ascii="Times New Roman" w:hAnsi="Times New Roman" w:cs="Times New Roman"/>
          <w:b/>
          <w:bCs/>
          <w:color w:val="auto"/>
          <w:lang w:eastAsia="zh-CN"/>
        </w:rPr>
        <w:t>6</w:t>
      </w:r>
      <w:r>
        <w:rPr>
          <w:rFonts w:ascii="Times New Roman" w:hAnsi="Times New Roman" w:cs="Times New Roman"/>
          <w:b/>
          <w:bCs/>
          <w:color w:val="auto"/>
          <w:lang w:eastAsia="zh-CN"/>
        </w:rPr>
        <w:t>.2-</w:t>
      </w:r>
      <w:r>
        <w:rPr>
          <w:rFonts w:hint="eastAsia" w:ascii="Times New Roman" w:hAnsi="Times New Roman" w:cs="Times New Roman"/>
          <w:b/>
          <w:bCs/>
          <w:color w:val="auto"/>
          <w:lang w:eastAsia="zh-CN"/>
        </w:rPr>
        <w:t>7</w:t>
      </w:r>
      <w:r>
        <w:rPr>
          <w:rFonts w:ascii="Times New Roman" w:hAnsi="Times New Roman" w:cs="Times New Roman"/>
          <w:b/>
          <w:bCs/>
          <w:color w:val="auto"/>
          <w:lang w:eastAsia="zh-CN"/>
        </w:rPr>
        <w:t xml:space="preserve"> 网格点处</w:t>
      </w:r>
      <w:r>
        <w:rPr>
          <w:rFonts w:hint="eastAsia" w:ascii="Times New Roman" w:hAnsi="Times New Roman" w:cs="Times New Roman"/>
          <w:b/>
          <w:bCs/>
          <w:color w:val="auto"/>
          <w:lang w:eastAsia="zh-CN"/>
        </w:rPr>
        <w:t>氯化氢</w:t>
      </w:r>
      <w:r>
        <w:rPr>
          <w:rFonts w:ascii="Times New Roman" w:hAnsi="Times New Roman" w:cs="Times New Roman"/>
          <w:b/>
          <w:bCs/>
          <w:color w:val="auto"/>
          <w:lang w:eastAsia="zh-CN"/>
        </w:rPr>
        <w:t>小时平均浓度贡献值等值线图（单位：μg/m</w:t>
      </w:r>
      <w:r>
        <w:rPr>
          <w:rFonts w:ascii="Times New Roman" w:hAnsi="Times New Roman" w:cs="Times New Roman"/>
          <w:b/>
          <w:bCs/>
          <w:color w:val="auto"/>
          <w:vertAlign w:val="superscript"/>
          <w:lang w:eastAsia="zh-CN"/>
        </w:rPr>
        <w:t>3</w:t>
      </w:r>
      <w:r>
        <w:rPr>
          <w:rFonts w:ascii="Times New Roman" w:hAnsi="Times New Roman" w:cs="Times New Roman"/>
          <w:b/>
          <w:bCs/>
          <w:color w:val="auto"/>
          <w:lang w:eastAsia="zh-CN"/>
        </w:rPr>
        <w:t>）</w:t>
      </w:r>
    </w:p>
    <w:p w14:paraId="392AE938">
      <w:pPr>
        <w:spacing w:line="360" w:lineRule="auto"/>
        <w:jc w:val="center"/>
        <w:rPr>
          <w:rFonts w:ascii="Times New Roman" w:hAnsi="Times New Roman" w:cs="Times New Roman"/>
          <w:bCs/>
          <w:color w:val="auto"/>
          <w:lang w:eastAsia="zh-CN"/>
        </w:rPr>
      </w:pPr>
      <w:r>
        <w:rPr>
          <w:rFonts w:ascii="Times New Roman" w:hAnsi="Times New Roman" w:cs="Times New Roman"/>
          <w:b/>
          <w:bCs/>
          <w:snapToGrid/>
          <w:color w:val="auto"/>
          <w:szCs w:val="24"/>
          <w:lang w:eastAsia="zh-CN"/>
        </w:rPr>
        <w:drawing>
          <wp:anchor distT="0" distB="0" distL="114300" distR="114300" simplePos="0" relativeHeight="251994112" behindDoc="0" locked="0" layoutInCell="1" allowOverlap="1">
            <wp:simplePos x="0" y="0"/>
            <wp:positionH relativeFrom="column">
              <wp:posOffset>451485</wp:posOffset>
            </wp:positionH>
            <wp:positionV relativeFrom="paragraph">
              <wp:posOffset>94615</wp:posOffset>
            </wp:positionV>
            <wp:extent cx="875030" cy="661670"/>
            <wp:effectExtent l="0" t="0" r="0" b="0"/>
            <wp:wrapNone/>
            <wp:docPr id="598870786"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870786" name="图片 15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875030" cy="661670"/>
                    </a:xfrm>
                    <a:prstGeom prst="rect">
                      <a:avLst/>
                    </a:prstGeom>
                    <a:noFill/>
                    <a:ln>
                      <a:noFill/>
                    </a:ln>
                  </pic:spPr>
                </pic:pic>
              </a:graphicData>
            </a:graphic>
          </wp:anchor>
        </w:drawing>
      </w:r>
    </w:p>
    <w:p w14:paraId="3E41CC8E">
      <w:pPr>
        <w:spacing w:line="360" w:lineRule="auto"/>
        <w:jc w:val="center"/>
        <w:rPr>
          <w:rFonts w:ascii="Times New Roman" w:hAnsi="Times New Roman" w:cs="Times New Roman"/>
          <w:b/>
          <w:bCs/>
          <w:szCs w:val="24"/>
          <w:lang w:eastAsia="zh-CN"/>
        </w:rPr>
      </w:pPr>
      <w:r>
        <w:rPr>
          <w:rFonts w:ascii="Times New Roman" w:hAnsi="Times New Roman" w:cs="Times New Roman"/>
          <w:b/>
          <w:lang w:eastAsia="zh-CN"/>
        </w:rPr>
        <w:t>图</w:t>
      </w:r>
      <w:r>
        <w:rPr>
          <w:rFonts w:hint="eastAsia" w:ascii="Times New Roman" w:hAnsi="Times New Roman" w:cs="Times New Roman"/>
          <w:b/>
          <w:lang w:eastAsia="zh-CN"/>
        </w:rPr>
        <w:t>6</w:t>
      </w:r>
      <w:r>
        <w:rPr>
          <w:rFonts w:ascii="Times New Roman" w:hAnsi="Times New Roman" w:cs="Times New Roman"/>
          <w:b/>
          <w:lang w:eastAsia="zh-CN"/>
        </w:rPr>
        <w:t>.2-</w:t>
      </w:r>
      <w:r>
        <w:rPr>
          <w:rFonts w:hint="eastAsia" w:ascii="Times New Roman" w:hAnsi="Times New Roman" w:cs="Times New Roman"/>
          <w:b/>
          <w:lang w:eastAsia="zh-CN"/>
        </w:rPr>
        <w:t>8</w:t>
      </w:r>
      <w:r>
        <w:rPr>
          <w:rFonts w:ascii="Times New Roman" w:hAnsi="Times New Roman" w:cs="Times New Roman"/>
          <w:b/>
          <w:lang w:eastAsia="zh-CN"/>
        </w:rPr>
        <w:t xml:space="preserve"> 网格点</w:t>
      </w:r>
      <w:r>
        <w:rPr>
          <w:rFonts w:ascii="Times New Roman" w:hAnsi="Times New Roman" w:cs="Times New Roman"/>
          <w:b/>
          <w:szCs w:val="24"/>
          <w:lang w:eastAsia="zh-CN"/>
        </w:rPr>
        <w:t>处</w:t>
      </w:r>
      <w:r>
        <w:rPr>
          <w:rFonts w:hint="eastAsia" w:ascii="Times New Roman" w:hAnsi="Times New Roman" w:cs="Times New Roman"/>
          <w:b/>
          <w:lang w:eastAsia="zh-CN"/>
        </w:rPr>
        <w:t>氯化氢</w:t>
      </w:r>
      <w:r>
        <w:rPr>
          <w:rFonts w:ascii="Times New Roman" w:hAnsi="Times New Roman" w:cs="Times New Roman"/>
          <w:b/>
          <w:szCs w:val="24"/>
          <w:lang w:eastAsia="zh-CN"/>
        </w:rPr>
        <w:t>日</w:t>
      </w:r>
      <w:r>
        <w:rPr>
          <w:rFonts w:ascii="Times New Roman" w:hAnsi="Times New Roman" w:cs="Times New Roman"/>
          <w:b/>
          <w:bCs/>
          <w:szCs w:val="24"/>
          <w:lang w:eastAsia="zh-CN"/>
        </w:rPr>
        <w:t>平均浓度贡献值等值线图（单位：μg/m</w:t>
      </w:r>
      <w:r>
        <w:rPr>
          <w:rFonts w:ascii="Times New Roman" w:hAnsi="Times New Roman" w:cs="Times New Roman"/>
          <w:b/>
          <w:bCs/>
          <w:szCs w:val="24"/>
          <w:vertAlign w:val="superscript"/>
          <w:lang w:eastAsia="zh-CN"/>
        </w:rPr>
        <w:t>3</w:t>
      </w:r>
      <w:r>
        <w:rPr>
          <w:rFonts w:ascii="Times New Roman" w:hAnsi="Times New Roman" w:cs="Times New Roman"/>
          <w:b/>
          <w:bCs/>
          <w:szCs w:val="24"/>
          <w:lang w:eastAsia="zh-CN"/>
        </w:rPr>
        <w:t>）</w:t>
      </w:r>
    </w:p>
    <w:p w14:paraId="5F72976C">
      <w:pPr>
        <w:spacing w:line="360" w:lineRule="auto"/>
        <w:ind w:firstLine="480" w:firstLineChars="200"/>
        <w:jc w:val="both"/>
        <w:rPr>
          <w:rFonts w:ascii="Times New Roman" w:hAnsi="Times New Roman" w:cs="Times New Roman"/>
          <w:bCs/>
          <w:color w:val="auto"/>
          <w:lang w:eastAsia="zh-CN"/>
        </w:rPr>
      </w:pPr>
      <w:r>
        <w:rPr>
          <w:rFonts w:ascii="Times New Roman" w:hAnsi="Times New Roman" w:cs="Times New Roman"/>
          <w:bCs/>
          <w:color w:val="auto"/>
          <w:lang w:eastAsia="zh-CN"/>
        </w:rPr>
        <w:t>根据预测，网格点</w:t>
      </w:r>
      <w:r>
        <w:rPr>
          <w:rFonts w:hint="eastAsia" w:ascii="Times New Roman" w:hAnsi="Times New Roman" w:cs="Times New Roman"/>
          <w:bCs/>
          <w:color w:val="auto"/>
          <w:lang w:eastAsia="zh-CN"/>
        </w:rPr>
        <w:t>氯化氢</w:t>
      </w:r>
      <w:r>
        <w:rPr>
          <w:rFonts w:ascii="Times New Roman" w:hAnsi="Times New Roman" w:cs="Times New Roman"/>
          <w:bCs/>
          <w:color w:val="auto"/>
          <w:lang w:eastAsia="zh-CN"/>
        </w:rPr>
        <w:t>小时浓度最大贡献值</w:t>
      </w:r>
      <w:r>
        <w:rPr>
          <w:rFonts w:hint="eastAsia" w:ascii="Times New Roman" w:hAnsi="Times New Roman" w:cs="Times New Roman"/>
          <w:bCs/>
          <w:color w:val="auto"/>
          <w:lang w:eastAsia="zh-CN"/>
        </w:rPr>
        <w:t>0.44</w:t>
      </w:r>
      <w:r>
        <w:rPr>
          <w:rFonts w:ascii="Times New Roman" w:hAnsi="Times New Roman" w:cs="Times New Roman"/>
          <w:bCs/>
          <w:color w:val="auto"/>
          <w:lang w:eastAsia="zh-CN"/>
        </w:rPr>
        <w:t>μg/m</w:t>
      </w:r>
      <w:r>
        <w:rPr>
          <w:rFonts w:ascii="Times New Roman" w:hAnsi="Times New Roman" w:cs="Times New Roman"/>
          <w:bCs/>
          <w:color w:val="auto"/>
          <w:vertAlign w:val="superscript"/>
          <w:lang w:eastAsia="zh-CN"/>
        </w:rPr>
        <w:t>3</w:t>
      </w:r>
      <w:r>
        <w:rPr>
          <w:rFonts w:ascii="Times New Roman" w:hAnsi="Times New Roman" w:cs="Times New Roman"/>
          <w:bCs/>
          <w:color w:val="auto"/>
          <w:lang w:eastAsia="zh-CN"/>
        </w:rPr>
        <w:t>，占标率</w:t>
      </w:r>
      <w:r>
        <w:rPr>
          <w:rFonts w:hint="eastAsia" w:ascii="Times New Roman" w:hAnsi="Times New Roman" w:cs="Times New Roman"/>
          <w:bCs/>
          <w:color w:val="auto"/>
          <w:lang w:eastAsia="zh-CN"/>
        </w:rPr>
        <w:t>0.88</w:t>
      </w:r>
      <w:r>
        <w:rPr>
          <w:rFonts w:ascii="Times New Roman" w:hAnsi="Times New Roman" w:cs="Times New Roman"/>
          <w:bCs/>
          <w:color w:val="auto"/>
          <w:lang w:eastAsia="zh-CN"/>
        </w:rPr>
        <w:t>%；</w:t>
      </w:r>
      <w:r>
        <w:rPr>
          <w:rFonts w:hint="eastAsia" w:ascii="Times New Roman" w:hAnsi="Times New Roman" w:cs="Times New Roman"/>
          <w:bCs/>
          <w:color w:val="auto"/>
          <w:lang w:eastAsia="zh-CN"/>
        </w:rPr>
        <w:t>氯化氢</w:t>
      </w:r>
      <w:r>
        <w:rPr>
          <w:rFonts w:ascii="Times New Roman" w:hAnsi="Times New Roman" w:cs="Times New Roman"/>
          <w:bCs/>
          <w:color w:val="auto"/>
          <w:lang w:eastAsia="zh-CN"/>
        </w:rPr>
        <w:t>日平均浓度最大贡献值为</w:t>
      </w:r>
      <w:r>
        <w:rPr>
          <w:rFonts w:hint="eastAsia" w:ascii="Times New Roman" w:hAnsi="Times New Roman" w:cs="Times New Roman"/>
          <w:bCs/>
          <w:color w:val="auto"/>
          <w:lang w:eastAsia="zh-CN"/>
        </w:rPr>
        <w:t>0.043</w:t>
      </w:r>
      <w:r>
        <w:rPr>
          <w:rFonts w:ascii="Times New Roman" w:hAnsi="Times New Roman" w:cs="Times New Roman"/>
          <w:bCs/>
          <w:color w:val="auto"/>
          <w:lang w:eastAsia="zh-CN"/>
        </w:rPr>
        <w:t>μg/m</w:t>
      </w:r>
      <w:r>
        <w:rPr>
          <w:rFonts w:ascii="Times New Roman" w:hAnsi="Times New Roman" w:cs="Times New Roman"/>
          <w:bCs/>
          <w:color w:val="auto"/>
          <w:vertAlign w:val="superscript"/>
          <w:lang w:eastAsia="zh-CN"/>
        </w:rPr>
        <w:t>3</w:t>
      </w:r>
      <w:r>
        <w:rPr>
          <w:rFonts w:ascii="Times New Roman" w:hAnsi="Times New Roman" w:cs="Times New Roman"/>
          <w:bCs/>
          <w:color w:val="auto"/>
          <w:lang w:eastAsia="zh-CN"/>
        </w:rPr>
        <w:t>，占标率为</w:t>
      </w:r>
      <w:r>
        <w:rPr>
          <w:rFonts w:hint="eastAsia" w:ascii="Times New Roman" w:hAnsi="Times New Roman" w:cs="Times New Roman"/>
          <w:bCs/>
          <w:color w:val="auto"/>
          <w:lang w:eastAsia="zh-CN"/>
        </w:rPr>
        <w:t>0.29</w:t>
      </w:r>
      <w:r>
        <w:rPr>
          <w:rFonts w:ascii="Times New Roman" w:hAnsi="Times New Roman" w:cs="Times New Roman"/>
          <w:bCs/>
          <w:color w:val="auto"/>
          <w:lang w:eastAsia="zh-CN"/>
        </w:rPr>
        <w:t>%。</w:t>
      </w:r>
    </w:p>
    <w:p w14:paraId="4A28068A">
      <w:pPr>
        <w:spacing w:line="360" w:lineRule="auto"/>
        <w:ind w:firstLine="480" w:firstLineChars="200"/>
        <w:jc w:val="both"/>
        <w:rPr>
          <w:rFonts w:ascii="Times New Roman" w:hAnsi="Times New Roman" w:cs="Times New Roman"/>
          <w:bCs/>
          <w:color w:val="auto"/>
          <w:lang w:eastAsia="zh-CN"/>
        </w:rPr>
      </w:pPr>
      <w:r>
        <w:rPr>
          <w:rFonts w:ascii="Times New Roman" w:hAnsi="Times New Roman" w:cs="Times New Roman"/>
          <w:bCs/>
          <w:color w:val="auto"/>
          <w:lang w:eastAsia="zh-CN"/>
        </w:rPr>
        <w:t>空气环境保护目标</w:t>
      </w:r>
      <w:r>
        <w:rPr>
          <w:rFonts w:hint="eastAsia" w:ascii="Times New Roman" w:hAnsi="Times New Roman" w:cs="Times New Roman"/>
          <w:bCs/>
          <w:color w:val="auto"/>
          <w:lang w:eastAsia="zh-CN"/>
        </w:rPr>
        <w:t>氯化氢</w:t>
      </w:r>
      <w:r>
        <w:rPr>
          <w:rFonts w:ascii="Times New Roman" w:hAnsi="Times New Roman" w:cs="Times New Roman"/>
          <w:bCs/>
          <w:color w:val="auto"/>
          <w:lang w:eastAsia="zh-CN"/>
        </w:rPr>
        <w:t>小时浓度最大贡献值</w:t>
      </w:r>
      <w:r>
        <w:rPr>
          <w:rFonts w:hint="eastAsia" w:ascii="Times New Roman" w:hAnsi="Times New Roman" w:cs="Times New Roman"/>
          <w:bCs/>
          <w:color w:val="auto"/>
          <w:lang w:eastAsia="zh-CN"/>
        </w:rPr>
        <w:t>0.12</w:t>
      </w:r>
      <w:r>
        <w:rPr>
          <w:rFonts w:ascii="Times New Roman" w:hAnsi="Times New Roman" w:cs="Times New Roman"/>
          <w:bCs/>
          <w:color w:val="auto"/>
          <w:lang w:eastAsia="zh-CN"/>
        </w:rPr>
        <w:t>μg/m</w:t>
      </w:r>
      <w:r>
        <w:rPr>
          <w:rFonts w:ascii="Times New Roman" w:hAnsi="Times New Roman" w:cs="Times New Roman"/>
          <w:bCs/>
          <w:color w:val="auto"/>
          <w:vertAlign w:val="superscript"/>
          <w:lang w:eastAsia="zh-CN"/>
        </w:rPr>
        <w:t>3</w:t>
      </w:r>
      <w:r>
        <w:rPr>
          <w:rFonts w:ascii="Times New Roman" w:hAnsi="Times New Roman" w:cs="Times New Roman"/>
          <w:bCs/>
          <w:color w:val="auto"/>
          <w:lang w:eastAsia="zh-CN"/>
        </w:rPr>
        <w:t>，占标率</w:t>
      </w:r>
      <w:r>
        <w:rPr>
          <w:rFonts w:hint="eastAsia" w:ascii="Times New Roman" w:hAnsi="Times New Roman" w:cs="Times New Roman"/>
          <w:bCs/>
          <w:color w:val="auto"/>
          <w:lang w:eastAsia="zh-CN"/>
        </w:rPr>
        <w:t>0.24</w:t>
      </w:r>
      <w:r>
        <w:rPr>
          <w:rFonts w:ascii="Times New Roman" w:hAnsi="Times New Roman" w:cs="Times New Roman"/>
          <w:bCs/>
          <w:color w:val="auto"/>
          <w:lang w:eastAsia="zh-CN"/>
        </w:rPr>
        <w:t>%出现在</w:t>
      </w:r>
      <w:r>
        <w:rPr>
          <w:rFonts w:hint="eastAsia" w:ascii="Times New Roman" w:hAnsi="Times New Roman" w:cs="Times New Roman"/>
          <w:bCs/>
          <w:color w:val="auto"/>
          <w:lang w:eastAsia="zh-CN"/>
        </w:rPr>
        <w:t>大柏村</w:t>
      </w:r>
      <w:r>
        <w:rPr>
          <w:rFonts w:ascii="Times New Roman" w:hAnsi="Times New Roman" w:cs="Times New Roman"/>
          <w:bCs/>
          <w:color w:val="auto"/>
          <w:lang w:eastAsia="zh-CN"/>
        </w:rPr>
        <w:t>，满足</w:t>
      </w:r>
      <w:r>
        <w:rPr>
          <w:rFonts w:hint="eastAsia" w:ascii="Times New Roman" w:hAnsi="Times New Roman" w:cs="Times New Roman"/>
          <w:bCs/>
          <w:color w:val="auto"/>
          <w:lang w:eastAsia="zh-CN"/>
        </w:rPr>
        <w:t>氯化氢</w:t>
      </w:r>
      <w:r>
        <w:rPr>
          <w:rFonts w:ascii="Times New Roman" w:hAnsi="Times New Roman" w:cs="Times New Roman"/>
          <w:bCs/>
          <w:color w:val="auto"/>
          <w:lang w:eastAsia="zh-CN"/>
        </w:rPr>
        <w:t>小时浓度环境标准要求；</w:t>
      </w:r>
      <w:r>
        <w:rPr>
          <w:rFonts w:hint="eastAsia" w:ascii="Times New Roman" w:hAnsi="Times New Roman" w:cs="Times New Roman"/>
          <w:bCs/>
          <w:color w:val="auto"/>
          <w:lang w:eastAsia="zh-CN"/>
        </w:rPr>
        <w:t>氯化氢</w:t>
      </w:r>
      <w:r>
        <w:rPr>
          <w:rFonts w:ascii="Times New Roman" w:hAnsi="Times New Roman" w:cs="Times New Roman"/>
          <w:bCs/>
          <w:color w:val="auto"/>
          <w:lang w:eastAsia="zh-CN"/>
        </w:rPr>
        <w:t>日平均浓度最大贡献值为</w:t>
      </w:r>
      <w:r>
        <w:rPr>
          <w:rFonts w:hint="eastAsia" w:ascii="Times New Roman" w:hAnsi="Times New Roman" w:cs="Times New Roman"/>
          <w:bCs/>
          <w:color w:val="auto"/>
          <w:lang w:eastAsia="zh-CN"/>
        </w:rPr>
        <w:t>0.015</w:t>
      </w:r>
      <w:r>
        <w:rPr>
          <w:rFonts w:ascii="Times New Roman" w:hAnsi="Times New Roman" w:cs="Times New Roman"/>
          <w:bCs/>
          <w:color w:val="auto"/>
          <w:lang w:eastAsia="zh-CN"/>
        </w:rPr>
        <w:t>μg/m</w:t>
      </w:r>
      <w:r>
        <w:rPr>
          <w:rFonts w:ascii="Times New Roman" w:hAnsi="Times New Roman" w:cs="Times New Roman"/>
          <w:bCs/>
          <w:color w:val="auto"/>
          <w:vertAlign w:val="superscript"/>
          <w:lang w:eastAsia="zh-CN"/>
        </w:rPr>
        <w:t>3</w:t>
      </w:r>
      <w:r>
        <w:rPr>
          <w:rFonts w:ascii="Times New Roman" w:hAnsi="Times New Roman" w:cs="Times New Roman"/>
          <w:bCs/>
          <w:color w:val="auto"/>
          <w:lang w:eastAsia="zh-CN"/>
        </w:rPr>
        <w:t>，占标率为0.</w:t>
      </w:r>
      <w:r>
        <w:rPr>
          <w:rFonts w:hint="eastAsia" w:ascii="Times New Roman" w:hAnsi="Times New Roman" w:cs="Times New Roman"/>
          <w:bCs/>
          <w:color w:val="auto"/>
          <w:lang w:eastAsia="zh-CN"/>
        </w:rPr>
        <w:t>1</w:t>
      </w:r>
      <w:r>
        <w:rPr>
          <w:rFonts w:ascii="Times New Roman" w:hAnsi="Times New Roman" w:cs="Times New Roman"/>
          <w:bCs/>
          <w:color w:val="auto"/>
          <w:lang w:eastAsia="zh-CN"/>
        </w:rPr>
        <w:t>%出现在</w:t>
      </w:r>
      <w:r>
        <w:rPr>
          <w:rFonts w:hint="eastAsia" w:ascii="Times New Roman" w:hAnsi="Times New Roman" w:cs="Times New Roman"/>
          <w:bCs/>
          <w:color w:val="auto"/>
          <w:lang w:eastAsia="zh-CN"/>
        </w:rPr>
        <w:t>大柏村</w:t>
      </w:r>
      <w:r>
        <w:rPr>
          <w:rFonts w:ascii="Times New Roman" w:hAnsi="Times New Roman" w:cs="Times New Roman"/>
          <w:bCs/>
          <w:color w:val="auto"/>
          <w:lang w:eastAsia="zh-CN"/>
        </w:rPr>
        <w:t>，满足</w:t>
      </w:r>
      <w:r>
        <w:rPr>
          <w:rFonts w:hint="eastAsia" w:ascii="Times New Roman" w:hAnsi="Times New Roman" w:cs="Times New Roman"/>
          <w:bCs/>
          <w:color w:val="auto"/>
          <w:lang w:eastAsia="zh-CN"/>
        </w:rPr>
        <w:t>氯化氢</w:t>
      </w:r>
      <w:r>
        <w:rPr>
          <w:rFonts w:ascii="Times New Roman" w:hAnsi="Times New Roman" w:cs="Times New Roman"/>
          <w:bCs/>
          <w:color w:val="auto"/>
          <w:lang w:eastAsia="zh-CN"/>
        </w:rPr>
        <w:t>日均浓度环境标准要求。</w:t>
      </w:r>
    </w:p>
    <w:p w14:paraId="7C8FC315">
      <w:pPr>
        <w:widowControl w:val="0"/>
        <w:spacing w:line="360" w:lineRule="auto"/>
        <w:ind w:firstLine="480" w:firstLineChars="200"/>
        <w:jc w:val="both"/>
        <w:rPr>
          <w:rFonts w:ascii="Times New Roman" w:hAnsi="Times New Roman" w:cs="Times New Roman"/>
          <w:bCs/>
          <w:color w:val="auto"/>
          <w:lang w:eastAsia="zh-CN"/>
        </w:rPr>
      </w:pPr>
      <w:r>
        <w:rPr>
          <w:rFonts w:ascii="Times New Roman" w:hAnsi="Times New Roman" w:cs="Times New Roman"/>
          <w:bCs/>
          <w:color w:val="auto"/>
          <w:lang w:eastAsia="zh-CN"/>
        </w:rPr>
        <w:t>根据预测，本项目叠加区域在建</w:t>
      </w:r>
      <w:r>
        <w:rPr>
          <w:rFonts w:hint="eastAsia" w:ascii="Times New Roman" w:hAnsi="Times New Roman" w:cs="Times New Roman"/>
          <w:bCs/>
          <w:color w:val="auto"/>
          <w:lang w:eastAsia="zh-CN"/>
        </w:rPr>
        <w:t>、拟建</w:t>
      </w:r>
      <w:r>
        <w:rPr>
          <w:rFonts w:ascii="Times New Roman" w:hAnsi="Times New Roman" w:cs="Times New Roman"/>
          <w:bCs/>
          <w:color w:val="auto"/>
          <w:lang w:eastAsia="zh-CN"/>
        </w:rPr>
        <w:t>及背景浓度后，</w:t>
      </w:r>
      <w:r>
        <w:rPr>
          <w:rFonts w:hint="eastAsia" w:ascii="Times New Roman" w:hAnsi="Times New Roman" w:cs="Times New Roman"/>
          <w:bCs/>
          <w:color w:val="auto"/>
          <w:lang w:eastAsia="zh-CN"/>
        </w:rPr>
        <w:t>氯化氢</w:t>
      </w:r>
      <w:r>
        <w:rPr>
          <w:rFonts w:ascii="Times New Roman" w:hAnsi="Times New Roman" w:cs="Times New Roman"/>
          <w:bCs/>
          <w:color w:val="auto"/>
          <w:lang w:eastAsia="zh-CN"/>
        </w:rPr>
        <w:t>区域网格点小时浓度为</w:t>
      </w:r>
      <w:r>
        <w:rPr>
          <w:rFonts w:hint="eastAsia" w:ascii="Times New Roman" w:hAnsi="Times New Roman" w:cs="Times New Roman"/>
          <w:bCs/>
          <w:color w:val="auto"/>
          <w:lang w:eastAsia="zh-CN"/>
        </w:rPr>
        <w:t>42.4</w:t>
      </w:r>
      <w:r>
        <w:rPr>
          <w:rFonts w:ascii="Times New Roman" w:hAnsi="Times New Roman" w:cs="Times New Roman"/>
          <w:bCs/>
          <w:color w:val="auto"/>
          <w:lang w:eastAsia="zh-CN"/>
        </w:rPr>
        <w:t>μg/m</w:t>
      </w:r>
      <w:r>
        <w:rPr>
          <w:rFonts w:ascii="Times New Roman" w:hAnsi="Times New Roman" w:cs="Times New Roman"/>
          <w:bCs/>
          <w:color w:val="auto"/>
          <w:vertAlign w:val="superscript"/>
          <w:lang w:eastAsia="zh-CN"/>
        </w:rPr>
        <w:t>3</w:t>
      </w:r>
      <w:r>
        <w:rPr>
          <w:rFonts w:ascii="Times New Roman" w:hAnsi="Times New Roman" w:cs="Times New Roman"/>
          <w:bCs/>
          <w:color w:val="auto"/>
          <w:lang w:eastAsia="zh-CN"/>
        </w:rPr>
        <w:t>，占标率</w:t>
      </w:r>
      <w:r>
        <w:rPr>
          <w:rFonts w:hint="eastAsia" w:ascii="Times New Roman" w:hAnsi="Times New Roman" w:cs="Times New Roman"/>
          <w:bCs/>
          <w:color w:val="auto"/>
          <w:lang w:eastAsia="zh-CN"/>
        </w:rPr>
        <w:t>84.7</w:t>
      </w:r>
      <w:r>
        <w:rPr>
          <w:rFonts w:ascii="Times New Roman" w:hAnsi="Times New Roman" w:cs="Times New Roman"/>
          <w:bCs/>
          <w:color w:val="auto"/>
          <w:lang w:eastAsia="zh-CN"/>
        </w:rPr>
        <w:t>%；日均浓度</w:t>
      </w:r>
      <w:r>
        <w:rPr>
          <w:rFonts w:hint="eastAsia" w:ascii="Times New Roman" w:hAnsi="Times New Roman" w:cs="Times New Roman"/>
          <w:bCs/>
          <w:color w:val="auto"/>
          <w:lang w:eastAsia="zh-CN"/>
        </w:rPr>
        <w:t>14.0</w:t>
      </w:r>
      <w:r>
        <w:rPr>
          <w:rFonts w:ascii="Times New Roman" w:hAnsi="Times New Roman" w:cs="Times New Roman"/>
          <w:bCs/>
          <w:color w:val="auto"/>
          <w:lang w:eastAsia="zh-CN"/>
        </w:rPr>
        <w:t>μg/m</w:t>
      </w:r>
      <w:r>
        <w:rPr>
          <w:rFonts w:ascii="Times New Roman" w:hAnsi="Times New Roman" w:cs="Times New Roman"/>
          <w:bCs/>
          <w:color w:val="auto"/>
          <w:vertAlign w:val="superscript"/>
          <w:lang w:eastAsia="zh-CN"/>
        </w:rPr>
        <w:t>3</w:t>
      </w:r>
      <w:r>
        <w:rPr>
          <w:rFonts w:ascii="Times New Roman" w:hAnsi="Times New Roman" w:cs="Times New Roman"/>
          <w:bCs/>
          <w:color w:val="auto"/>
          <w:lang w:eastAsia="zh-CN"/>
        </w:rPr>
        <w:t>，占标率</w:t>
      </w:r>
      <w:r>
        <w:rPr>
          <w:rFonts w:hint="eastAsia" w:ascii="Times New Roman" w:hAnsi="Times New Roman" w:cs="Times New Roman"/>
          <w:bCs/>
          <w:color w:val="auto"/>
          <w:lang w:eastAsia="zh-CN"/>
        </w:rPr>
        <w:t>93.09</w:t>
      </w:r>
      <w:r>
        <w:rPr>
          <w:rFonts w:ascii="Times New Roman" w:hAnsi="Times New Roman" w:cs="Times New Roman"/>
          <w:bCs/>
          <w:color w:val="auto"/>
          <w:lang w:eastAsia="zh-CN"/>
        </w:rPr>
        <w:t>%。</w:t>
      </w:r>
    </w:p>
    <w:p w14:paraId="323BEC7F">
      <w:pPr>
        <w:widowControl w:val="0"/>
        <w:spacing w:line="360" w:lineRule="auto"/>
        <w:ind w:firstLine="480" w:firstLineChars="200"/>
        <w:jc w:val="both"/>
        <w:rPr>
          <w:rFonts w:ascii="Times New Roman" w:hAnsi="Times New Roman" w:cs="Times New Roman"/>
          <w:bCs/>
          <w:color w:val="auto"/>
          <w:lang w:eastAsia="zh-CN"/>
        </w:rPr>
      </w:pPr>
      <w:r>
        <w:rPr>
          <w:rFonts w:ascii="Times New Roman" w:hAnsi="Times New Roman" w:cs="Times New Roman"/>
          <w:bCs/>
          <w:color w:val="auto"/>
          <w:lang w:eastAsia="zh-CN"/>
        </w:rPr>
        <w:t>本项目叠加区域在建</w:t>
      </w:r>
      <w:r>
        <w:rPr>
          <w:rFonts w:hint="eastAsia" w:ascii="Times New Roman" w:hAnsi="Times New Roman" w:cs="Times New Roman"/>
          <w:bCs/>
          <w:color w:val="auto"/>
          <w:lang w:eastAsia="zh-CN"/>
        </w:rPr>
        <w:t>、拟建</w:t>
      </w:r>
      <w:r>
        <w:rPr>
          <w:rFonts w:ascii="Times New Roman" w:hAnsi="Times New Roman" w:cs="Times New Roman"/>
          <w:bCs/>
          <w:color w:val="auto"/>
          <w:lang w:eastAsia="zh-CN"/>
        </w:rPr>
        <w:t>及背景浓度后，</w:t>
      </w:r>
      <w:r>
        <w:rPr>
          <w:rFonts w:hint="eastAsia" w:ascii="Times New Roman" w:hAnsi="Times New Roman" w:cs="Times New Roman"/>
          <w:bCs/>
          <w:color w:val="auto"/>
          <w:lang w:eastAsia="zh-CN"/>
        </w:rPr>
        <w:t>氯化氢</w:t>
      </w:r>
      <w:r>
        <w:rPr>
          <w:rFonts w:ascii="Times New Roman" w:hAnsi="Times New Roman" w:cs="Times New Roman"/>
          <w:bCs/>
          <w:color w:val="auto"/>
          <w:lang w:eastAsia="zh-CN"/>
        </w:rPr>
        <w:t>空气环境保护目标小时浓度为</w:t>
      </w:r>
      <w:r>
        <w:rPr>
          <w:rFonts w:hint="eastAsia" w:ascii="Times New Roman" w:hAnsi="Times New Roman" w:cs="Times New Roman"/>
          <w:bCs/>
          <w:color w:val="auto"/>
          <w:lang w:eastAsia="zh-CN"/>
        </w:rPr>
        <w:t>40.8</w:t>
      </w:r>
      <w:r>
        <w:rPr>
          <w:rFonts w:ascii="Times New Roman" w:hAnsi="Times New Roman" w:cs="Times New Roman"/>
          <w:bCs/>
          <w:color w:val="auto"/>
          <w:lang w:eastAsia="zh-CN"/>
        </w:rPr>
        <w:t>μg/m</w:t>
      </w:r>
      <w:r>
        <w:rPr>
          <w:rFonts w:ascii="Times New Roman" w:hAnsi="Times New Roman" w:cs="Times New Roman"/>
          <w:bCs/>
          <w:color w:val="auto"/>
          <w:vertAlign w:val="superscript"/>
          <w:lang w:eastAsia="zh-CN"/>
        </w:rPr>
        <w:t>3</w:t>
      </w:r>
      <w:r>
        <w:rPr>
          <w:rFonts w:ascii="Times New Roman" w:hAnsi="Times New Roman" w:cs="Times New Roman"/>
          <w:bCs/>
          <w:color w:val="auto"/>
          <w:lang w:eastAsia="zh-CN"/>
        </w:rPr>
        <w:t>，占标率</w:t>
      </w:r>
      <w:r>
        <w:rPr>
          <w:rFonts w:hint="eastAsia" w:ascii="Times New Roman" w:hAnsi="Times New Roman" w:cs="Times New Roman"/>
          <w:bCs/>
          <w:color w:val="auto"/>
          <w:lang w:eastAsia="zh-CN"/>
        </w:rPr>
        <w:t>81.58</w:t>
      </w:r>
      <w:r>
        <w:rPr>
          <w:rFonts w:ascii="Times New Roman" w:hAnsi="Times New Roman" w:cs="Times New Roman"/>
          <w:bCs/>
          <w:color w:val="auto"/>
          <w:lang w:eastAsia="zh-CN"/>
        </w:rPr>
        <w:t>%出现在</w:t>
      </w:r>
      <w:r>
        <w:rPr>
          <w:rFonts w:hint="eastAsia" w:ascii="Times New Roman" w:hAnsi="Times New Roman" w:cs="Times New Roman"/>
          <w:bCs/>
          <w:color w:val="auto"/>
          <w:lang w:eastAsia="zh-CN"/>
        </w:rPr>
        <w:t>大柏村</w:t>
      </w:r>
      <w:r>
        <w:rPr>
          <w:rFonts w:ascii="Times New Roman" w:hAnsi="Times New Roman" w:cs="Times New Roman"/>
          <w:bCs/>
          <w:color w:val="auto"/>
          <w:lang w:eastAsia="zh-CN"/>
        </w:rPr>
        <w:t>，满足</w:t>
      </w:r>
      <w:r>
        <w:rPr>
          <w:rFonts w:hint="eastAsia" w:ascii="Times New Roman" w:hAnsi="Times New Roman" w:cs="Times New Roman"/>
          <w:bCs/>
          <w:color w:val="auto"/>
          <w:lang w:eastAsia="zh-CN"/>
        </w:rPr>
        <w:t>氯化氢</w:t>
      </w:r>
      <w:r>
        <w:rPr>
          <w:rFonts w:ascii="Times New Roman" w:hAnsi="Times New Roman" w:cs="Times New Roman"/>
          <w:bCs/>
          <w:color w:val="auto"/>
          <w:lang w:eastAsia="zh-CN"/>
        </w:rPr>
        <w:t>小时均浓度环境标准要求；日均浓度</w:t>
      </w:r>
      <w:r>
        <w:rPr>
          <w:rFonts w:hint="eastAsia" w:ascii="Times New Roman" w:hAnsi="Times New Roman" w:cs="Times New Roman"/>
          <w:bCs/>
          <w:color w:val="auto"/>
          <w:lang w:eastAsia="zh-CN"/>
        </w:rPr>
        <w:t>13.4</w:t>
      </w:r>
      <w:r>
        <w:rPr>
          <w:rFonts w:ascii="Times New Roman" w:hAnsi="Times New Roman" w:cs="Times New Roman"/>
          <w:bCs/>
          <w:color w:val="auto"/>
          <w:lang w:eastAsia="zh-CN"/>
        </w:rPr>
        <w:t>μg/m</w:t>
      </w:r>
      <w:r>
        <w:rPr>
          <w:rFonts w:ascii="Times New Roman" w:hAnsi="Times New Roman" w:cs="Times New Roman"/>
          <w:bCs/>
          <w:color w:val="auto"/>
          <w:vertAlign w:val="superscript"/>
          <w:lang w:eastAsia="zh-CN"/>
        </w:rPr>
        <w:t>3</w:t>
      </w:r>
      <w:r>
        <w:rPr>
          <w:rFonts w:ascii="Times New Roman" w:hAnsi="Times New Roman" w:cs="Times New Roman"/>
          <w:bCs/>
          <w:color w:val="auto"/>
          <w:lang w:eastAsia="zh-CN"/>
        </w:rPr>
        <w:t>，占标率</w:t>
      </w:r>
      <w:r>
        <w:rPr>
          <w:rFonts w:hint="eastAsia" w:ascii="Times New Roman" w:hAnsi="Times New Roman" w:cs="Times New Roman"/>
          <w:bCs/>
          <w:color w:val="auto"/>
          <w:lang w:eastAsia="zh-CN"/>
        </w:rPr>
        <w:t>89.33</w:t>
      </w:r>
      <w:r>
        <w:rPr>
          <w:rFonts w:ascii="Times New Roman" w:hAnsi="Times New Roman" w:cs="Times New Roman"/>
          <w:bCs/>
          <w:color w:val="auto"/>
          <w:lang w:eastAsia="zh-CN"/>
        </w:rPr>
        <w:t>%出现在</w:t>
      </w:r>
      <w:r>
        <w:rPr>
          <w:rFonts w:hint="eastAsia" w:ascii="Times New Roman" w:hAnsi="Times New Roman" w:cs="Times New Roman"/>
          <w:bCs/>
          <w:color w:val="auto"/>
          <w:lang w:eastAsia="zh-CN"/>
        </w:rPr>
        <w:t>大柏村</w:t>
      </w:r>
      <w:r>
        <w:rPr>
          <w:rFonts w:ascii="Times New Roman" w:hAnsi="Times New Roman" w:cs="Times New Roman"/>
          <w:bCs/>
          <w:color w:val="auto"/>
          <w:lang w:eastAsia="zh-CN"/>
        </w:rPr>
        <w:t>，满足</w:t>
      </w:r>
      <w:r>
        <w:rPr>
          <w:rFonts w:hint="eastAsia" w:ascii="Times New Roman" w:hAnsi="Times New Roman" w:cs="Times New Roman"/>
          <w:bCs/>
          <w:color w:val="auto"/>
          <w:lang w:eastAsia="zh-CN"/>
        </w:rPr>
        <w:t>氯化氢</w:t>
      </w:r>
      <w:r>
        <w:rPr>
          <w:rFonts w:ascii="Times New Roman" w:hAnsi="Times New Roman" w:cs="Times New Roman"/>
          <w:bCs/>
          <w:color w:val="auto"/>
          <w:lang w:eastAsia="zh-CN"/>
        </w:rPr>
        <w:t>日均浓度环境标准要求</w:t>
      </w:r>
      <w:r>
        <w:rPr>
          <w:rFonts w:hint="eastAsia" w:ascii="Times New Roman" w:hAnsi="Times New Roman" w:cs="Times New Roman"/>
          <w:bCs/>
          <w:color w:val="auto"/>
          <w:lang w:eastAsia="zh-CN"/>
        </w:rPr>
        <w:t>。</w:t>
      </w:r>
    </w:p>
    <w:p w14:paraId="15CC9235">
      <w:pPr>
        <w:spacing w:line="360" w:lineRule="auto"/>
        <w:ind w:firstLine="482"/>
        <w:outlineLvl w:val="2"/>
        <w:rPr>
          <w:rFonts w:ascii="Times New Roman" w:hAnsi="Times New Roman" w:cs="Times New Roman"/>
          <w:b/>
          <w:bCs/>
          <w:color w:val="auto"/>
          <w:szCs w:val="24"/>
          <w:lang w:eastAsia="zh-CN"/>
        </w:rPr>
      </w:pPr>
      <w:bookmarkStart w:id="1434" w:name="_Toc237508328"/>
      <w:bookmarkStart w:id="1435" w:name="_Toc236641863"/>
      <w:bookmarkStart w:id="1436" w:name="_Toc231828615"/>
      <w:bookmarkStart w:id="1437" w:name="_Toc236641346"/>
      <w:bookmarkStart w:id="1438" w:name="_Toc225784093"/>
      <w:bookmarkStart w:id="1439" w:name="OLE_LINK44"/>
      <w:r>
        <w:rPr>
          <w:rFonts w:ascii="Times New Roman" w:hAnsi="Times New Roman" w:cs="Times New Roman"/>
          <w:b/>
          <w:bCs/>
          <w:color w:val="auto"/>
          <w:szCs w:val="24"/>
          <w:lang w:eastAsia="zh-CN"/>
        </w:rPr>
        <w:t>6.2.</w:t>
      </w:r>
      <w:r>
        <w:rPr>
          <w:rFonts w:hint="eastAsia" w:ascii="Times New Roman" w:hAnsi="Times New Roman" w:cs="Times New Roman"/>
          <w:b/>
          <w:bCs/>
          <w:color w:val="auto"/>
          <w:szCs w:val="24"/>
          <w:lang w:eastAsia="zh-CN"/>
        </w:rPr>
        <w:t>4</w:t>
      </w:r>
      <w:r>
        <w:rPr>
          <w:rFonts w:ascii="Times New Roman" w:hAnsi="Times New Roman" w:cs="Times New Roman"/>
          <w:b/>
          <w:bCs/>
          <w:color w:val="auto"/>
          <w:szCs w:val="24"/>
          <w:lang w:eastAsia="zh-CN"/>
        </w:rPr>
        <w:t xml:space="preserve"> </w:t>
      </w:r>
      <w:r>
        <w:rPr>
          <w:rFonts w:hint="eastAsia" w:ascii="Times New Roman" w:hAnsi="Times New Roman" w:cs="Times New Roman"/>
          <w:b/>
          <w:bCs/>
          <w:color w:val="auto"/>
          <w:szCs w:val="24"/>
          <w:lang w:eastAsia="zh-CN"/>
        </w:rPr>
        <w:t>厂界达标情况分析</w:t>
      </w:r>
      <w:bookmarkEnd w:id="1434"/>
      <w:bookmarkEnd w:id="1435"/>
      <w:bookmarkEnd w:id="1436"/>
      <w:bookmarkEnd w:id="1437"/>
      <w:bookmarkEnd w:id="1438"/>
    </w:p>
    <w:p w14:paraId="6CF07BCC">
      <w:pPr>
        <w:spacing w:line="360" w:lineRule="auto"/>
        <w:ind w:firstLine="482"/>
        <w:jc w:val="both"/>
        <w:rPr>
          <w:rFonts w:ascii="Times New Roman" w:hAnsi="Times New Roman" w:cs="Times New Roman"/>
          <w:color w:val="000000" w:themeColor="text1"/>
          <w:szCs w:val="24"/>
          <w:lang w:eastAsia="zh-CN"/>
          <w14:textFill>
            <w14:solidFill>
              <w14:schemeClr w14:val="tx1"/>
            </w14:solidFill>
          </w14:textFill>
        </w:rPr>
      </w:pPr>
      <w:r>
        <w:rPr>
          <w:rFonts w:ascii="Times New Roman" w:hAnsi="Times New Roman" w:cs="Times New Roman"/>
          <w:color w:val="000000" w:themeColor="text1"/>
          <w:szCs w:val="24"/>
          <w:lang w:eastAsia="zh-CN"/>
          <w14:textFill>
            <w14:solidFill>
              <w14:schemeClr w14:val="tx1"/>
            </w14:solidFill>
          </w14:textFill>
        </w:rPr>
        <w:t>本项目在生产过程中会产生</w:t>
      </w:r>
      <w:r>
        <w:rPr>
          <w:rFonts w:hint="eastAsia" w:ascii="Times New Roman" w:hAnsi="Times New Roman" w:cs="Times New Roman"/>
          <w:color w:val="000000" w:themeColor="text1"/>
          <w:szCs w:val="24"/>
          <w:lang w:eastAsia="zh-CN"/>
          <w14:textFill>
            <w14:solidFill>
              <w14:schemeClr w14:val="tx1"/>
            </w14:solidFill>
          </w14:textFill>
        </w:rPr>
        <w:t>氟化物、氯化氢</w:t>
      </w:r>
      <w:r>
        <w:rPr>
          <w:rFonts w:ascii="Times New Roman" w:hAnsi="Times New Roman" w:cs="Times New Roman"/>
          <w:color w:val="000000" w:themeColor="text1"/>
          <w:szCs w:val="24"/>
          <w:lang w:eastAsia="zh-CN"/>
          <w14:textFill>
            <w14:solidFill>
              <w14:schemeClr w14:val="tx1"/>
            </w14:solidFill>
          </w14:textFill>
        </w:rPr>
        <w:t>等污染物，若处置不当将对周边环境产生不良影响，采用AERMOD模式预测了正常工况下厂界最大落地浓度贡献值，计算结果见</w:t>
      </w:r>
      <w:r>
        <w:rPr>
          <w:rFonts w:hint="eastAsia" w:ascii="Times New Roman" w:hAnsi="Times New Roman" w:cs="Times New Roman"/>
          <w:color w:val="000000" w:themeColor="text1"/>
          <w:szCs w:val="24"/>
          <w:lang w:eastAsia="zh-CN"/>
          <w14:textFill>
            <w14:solidFill>
              <w14:schemeClr w14:val="tx1"/>
            </w14:solidFill>
          </w14:textFill>
        </w:rPr>
        <w:t>下表。</w:t>
      </w:r>
    </w:p>
    <w:p w14:paraId="60CA3B2A">
      <w:pPr>
        <w:spacing w:line="360" w:lineRule="auto"/>
        <w:jc w:val="center"/>
        <w:rPr>
          <w:rFonts w:ascii="Times New Roman" w:hAnsi="Times New Roman" w:cs="Times New Roman"/>
          <w:b/>
          <w:bCs/>
          <w:color w:val="000000" w:themeColor="text1"/>
          <w:szCs w:val="24"/>
          <w:lang w:eastAsia="zh-CN"/>
          <w14:textFill>
            <w14:solidFill>
              <w14:schemeClr w14:val="tx1"/>
            </w14:solidFill>
          </w14:textFill>
        </w:rPr>
      </w:pPr>
      <w:r>
        <w:rPr>
          <w:rFonts w:hint="eastAsia" w:ascii="Times New Roman" w:hAnsi="Times New Roman" w:cs="Times New Roman"/>
          <w:b/>
          <w:bCs/>
          <w:color w:val="000000" w:themeColor="text1"/>
          <w:szCs w:val="24"/>
          <w:lang w:eastAsia="zh-CN"/>
          <w14:textFill>
            <w14:solidFill>
              <w14:schemeClr w14:val="tx1"/>
            </w14:solidFill>
          </w14:textFill>
        </w:rPr>
        <w:t xml:space="preserve">表6.2-16 </w:t>
      </w:r>
      <w:r>
        <w:rPr>
          <w:rFonts w:ascii="黑体" w:hAnsi="黑体"/>
          <w:b/>
          <w:bCs/>
          <w:color w:val="000000" w:themeColor="text1"/>
          <w:szCs w:val="24"/>
          <w:lang w:eastAsia="zh-CN"/>
          <w14:textFill>
            <w14:solidFill>
              <w14:schemeClr w14:val="tx1"/>
            </w14:solidFill>
          </w14:textFill>
        </w:rPr>
        <w:t>无组织排放污染物厂界最大落地浓度贡献值</w:t>
      </w:r>
    </w:p>
    <w:tbl>
      <w:tblPr>
        <w:tblStyle w:val="144"/>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99"/>
        <w:gridCol w:w="2803"/>
        <w:gridCol w:w="2298"/>
        <w:gridCol w:w="2347"/>
      </w:tblGrid>
      <w:tr w14:paraId="7EF51F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10" w:type="pct"/>
            <w:vMerge w:val="restart"/>
            <w:vAlign w:val="center"/>
          </w:tcPr>
          <w:p w14:paraId="494CB66A">
            <w:pPr>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14:textFill>
                  <w14:solidFill>
                    <w14:schemeClr w14:val="tx1"/>
                  </w14:solidFill>
                </w14:textFill>
              </w:rPr>
              <w:t>序号</w:t>
            </w:r>
          </w:p>
        </w:tc>
        <w:tc>
          <w:tcPr>
            <w:tcW w:w="769" w:type="pct"/>
            <w:vMerge w:val="restart"/>
            <w:vAlign w:val="center"/>
          </w:tcPr>
          <w:p w14:paraId="1EFED986">
            <w:pPr>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14:textFill>
                  <w14:solidFill>
                    <w14:schemeClr w14:val="tx1"/>
                  </w14:solidFill>
                </w14:textFill>
              </w:rPr>
              <w:t>评价因子</w:t>
            </w:r>
          </w:p>
        </w:tc>
        <w:tc>
          <w:tcPr>
            <w:tcW w:w="1438" w:type="pct"/>
            <w:vMerge w:val="restart"/>
            <w:vAlign w:val="center"/>
          </w:tcPr>
          <w:p w14:paraId="31EBBB6D">
            <w:pPr>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厂界最大落地浓度/（mg/m</w:t>
            </w:r>
            <w:r>
              <w:rPr>
                <w:rFonts w:ascii="Times New Roman" w:hAnsi="Times New Roman" w:cs="Times New Roman"/>
                <w:b/>
                <w:bCs/>
                <w:color w:val="000000" w:themeColor="text1"/>
                <w:sz w:val="21"/>
                <w:vertAlign w:val="superscript"/>
                <w:lang w:eastAsia="zh-CN"/>
                <w14:textFill>
                  <w14:solidFill>
                    <w14:schemeClr w14:val="tx1"/>
                  </w14:solidFill>
                </w14:textFill>
              </w:rPr>
              <w:t>3</w:t>
            </w:r>
            <w:r>
              <w:rPr>
                <w:rFonts w:ascii="Times New Roman" w:hAnsi="Times New Roman" w:cs="Times New Roman"/>
                <w:b/>
                <w:bCs/>
                <w:color w:val="000000" w:themeColor="text1"/>
                <w:sz w:val="21"/>
                <w:lang w:eastAsia="zh-CN"/>
                <w14:textFill>
                  <w14:solidFill>
                    <w14:schemeClr w14:val="tx1"/>
                  </w14:solidFill>
                </w14:textFill>
              </w:rPr>
              <w:t>）</w:t>
            </w:r>
          </w:p>
        </w:tc>
        <w:tc>
          <w:tcPr>
            <w:tcW w:w="1179" w:type="pct"/>
            <w:vMerge w:val="restart"/>
            <w:vAlign w:val="center"/>
          </w:tcPr>
          <w:p w14:paraId="3B8224F5">
            <w:pPr>
              <w:jc w:val="center"/>
              <w:rPr>
                <w:rFonts w:ascii="Times New Roman" w:hAnsi="Times New Roman" w:cs="Times New Roman"/>
                <w:b/>
                <w:bCs/>
                <w:color w:val="000000" w:themeColor="text1"/>
                <w:sz w:val="21"/>
                <w14:textFill>
                  <w14:solidFill>
                    <w14:schemeClr w14:val="tx1"/>
                  </w14:solidFill>
                </w14:textFill>
              </w:rPr>
            </w:pPr>
            <w:r>
              <w:rPr>
                <w:rFonts w:hint="eastAsia" w:ascii="Times New Roman" w:hAnsi="Times New Roman" w:cs="Times New Roman"/>
                <w:b/>
                <w:bCs/>
                <w:color w:val="000000" w:themeColor="text1"/>
                <w:sz w:val="21"/>
                <w:lang w:eastAsia="zh-CN"/>
                <w14:textFill>
                  <w14:solidFill>
                    <w14:schemeClr w14:val="tx1"/>
                  </w14:solidFill>
                </w14:textFill>
              </w:rPr>
              <w:t>排放限值</w:t>
            </w:r>
            <w:r>
              <w:rPr>
                <w:rFonts w:ascii="Times New Roman" w:hAnsi="Times New Roman" w:cs="Times New Roman"/>
                <w:b/>
                <w:bCs/>
                <w:color w:val="000000" w:themeColor="text1"/>
                <w:sz w:val="21"/>
                <w14:textFill>
                  <w14:solidFill>
                    <w14:schemeClr w14:val="tx1"/>
                  </w14:solidFill>
                </w14:textFill>
              </w:rPr>
              <w:t>/（mg/m</w:t>
            </w:r>
            <w:r>
              <w:rPr>
                <w:rFonts w:ascii="Times New Roman" w:hAnsi="Times New Roman" w:cs="Times New Roman"/>
                <w:b/>
                <w:bCs/>
                <w:color w:val="000000" w:themeColor="text1"/>
                <w:sz w:val="21"/>
                <w:vertAlign w:val="superscript"/>
                <w14:textFill>
                  <w14:solidFill>
                    <w14:schemeClr w14:val="tx1"/>
                  </w14:solidFill>
                </w14:textFill>
              </w:rPr>
              <w:t>3</w:t>
            </w:r>
            <w:r>
              <w:rPr>
                <w:rFonts w:ascii="Times New Roman" w:hAnsi="Times New Roman" w:cs="Times New Roman"/>
                <w:b/>
                <w:bCs/>
                <w:color w:val="000000" w:themeColor="text1"/>
                <w:sz w:val="21"/>
                <w14:textFill>
                  <w14:solidFill>
                    <w14:schemeClr w14:val="tx1"/>
                  </w14:solidFill>
                </w14:textFill>
              </w:rPr>
              <w:t>）</w:t>
            </w:r>
          </w:p>
        </w:tc>
        <w:tc>
          <w:tcPr>
            <w:tcW w:w="1204" w:type="pct"/>
            <w:vMerge w:val="restart"/>
            <w:vAlign w:val="center"/>
          </w:tcPr>
          <w:p w14:paraId="0AD0951D">
            <w:pPr>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14:textFill>
                  <w14:solidFill>
                    <w14:schemeClr w14:val="tx1"/>
                  </w14:solidFill>
                </w14:textFill>
              </w:rPr>
              <w:t>厂界浓度占标率/%</w:t>
            </w:r>
          </w:p>
        </w:tc>
      </w:tr>
      <w:tr w14:paraId="17B158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10" w:type="pct"/>
            <w:vMerge w:val="continue"/>
            <w:vAlign w:val="center"/>
          </w:tcPr>
          <w:p w14:paraId="1CBE956E">
            <w:pPr>
              <w:jc w:val="center"/>
              <w:rPr>
                <w:rFonts w:ascii="Times New Roman" w:hAnsi="Times New Roman" w:cs="Times New Roman"/>
                <w:color w:val="000000" w:themeColor="text1"/>
                <w:sz w:val="21"/>
                <w14:textFill>
                  <w14:solidFill>
                    <w14:schemeClr w14:val="tx1"/>
                  </w14:solidFill>
                </w14:textFill>
              </w:rPr>
            </w:pPr>
          </w:p>
        </w:tc>
        <w:tc>
          <w:tcPr>
            <w:tcW w:w="769" w:type="pct"/>
            <w:vMerge w:val="continue"/>
            <w:vAlign w:val="center"/>
          </w:tcPr>
          <w:p w14:paraId="56776950">
            <w:pPr>
              <w:jc w:val="center"/>
              <w:rPr>
                <w:rFonts w:ascii="Times New Roman" w:hAnsi="Times New Roman" w:cs="Times New Roman"/>
                <w:color w:val="000000" w:themeColor="text1"/>
                <w:sz w:val="21"/>
                <w14:textFill>
                  <w14:solidFill>
                    <w14:schemeClr w14:val="tx1"/>
                  </w14:solidFill>
                </w14:textFill>
              </w:rPr>
            </w:pPr>
          </w:p>
        </w:tc>
        <w:tc>
          <w:tcPr>
            <w:tcW w:w="1438" w:type="pct"/>
            <w:vMerge w:val="continue"/>
            <w:vAlign w:val="center"/>
          </w:tcPr>
          <w:p w14:paraId="3E0FFF6C">
            <w:pPr>
              <w:jc w:val="center"/>
              <w:rPr>
                <w:rFonts w:ascii="Times New Roman" w:hAnsi="Times New Roman" w:cs="Times New Roman"/>
                <w:color w:val="000000" w:themeColor="text1"/>
                <w:sz w:val="21"/>
                <w14:textFill>
                  <w14:solidFill>
                    <w14:schemeClr w14:val="tx1"/>
                  </w14:solidFill>
                </w14:textFill>
              </w:rPr>
            </w:pPr>
          </w:p>
        </w:tc>
        <w:tc>
          <w:tcPr>
            <w:tcW w:w="1179" w:type="pct"/>
            <w:vMerge w:val="continue"/>
            <w:vAlign w:val="center"/>
          </w:tcPr>
          <w:p w14:paraId="06C6B884">
            <w:pPr>
              <w:jc w:val="center"/>
              <w:rPr>
                <w:rFonts w:ascii="Times New Roman" w:hAnsi="Times New Roman" w:cs="Times New Roman"/>
                <w:color w:val="000000" w:themeColor="text1"/>
                <w:sz w:val="21"/>
                <w14:textFill>
                  <w14:solidFill>
                    <w14:schemeClr w14:val="tx1"/>
                  </w14:solidFill>
                </w14:textFill>
              </w:rPr>
            </w:pPr>
          </w:p>
        </w:tc>
        <w:tc>
          <w:tcPr>
            <w:tcW w:w="1204" w:type="pct"/>
            <w:vMerge w:val="continue"/>
            <w:vAlign w:val="center"/>
          </w:tcPr>
          <w:p w14:paraId="10A1511C">
            <w:pPr>
              <w:jc w:val="center"/>
              <w:rPr>
                <w:rFonts w:ascii="Times New Roman" w:hAnsi="Times New Roman" w:cs="Times New Roman"/>
                <w:color w:val="000000" w:themeColor="text1"/>
                <w:sz w:val="21"/>
                <w14:textFill>
                  <w14:solidFill>
                    <w14:schemeClr w14:val="tx1"/>
                  </w14:solidFill>
                </w14:textFill>
              </w:rPr>
            </w:pPr>
          </w:p>
        </w:tc>
      </w:tr>
      <w:tr w14:paraId="3E0506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0" w:type="pct"/>
            <w:vAlign w:val="center"/>
          </w:tcPr>
          <w:p w14:paraId="09A271A2">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1</w:t>
            </w:r>
          </w:p>
        </w:tc>
        <w:tc>
          <w:tcPr>
            <w:tcW w:w="769" w:type="pct"/>
            <w:vAlign w:val="center"/>
          </w:tcPr>
          <w:p w14:paraId="37EE1677">
            <w:pPr>
              <w:jc w:val="center"/>
              <w:rPr>
                <w:rFonts w:ascii="Times New Roman" w:hAnsi="Times New Roman" w:cs="Times New Roman"/>
                <w:color w:val="000000" w:themeColor="text1"/>
                <w:sz w:val="21"/>
                <w:lang w:eastAsia="zh-CN"/>
                <w14:textFill>
                  <w14:solidFill>
                    <w14:schemeClr w14:val="tx1"/>
                  </w14:solidFill>
                </w14:textFill>
              </w:rPr>
            </w:pPr>
          </w:p>
        </w:tc>
        <w:tc>
          <w:tcPr>
            <w:tcW w:w="1438" w:type="pct"/>
            <w:vAlign w:val="center"/>
          </w:tcPr>
          <w:p w14:paraId="43E09910">
            <w:pPr>
              <w:jc w:val="center"/>
              <w:rPr>
                <w:rFonts w:ascii="Times New Roman" w:hAnsi="Times New Roman" w:cs="Times New Roman"/>
                <w:color w:val="000000" w:themeColor="text1"/>
                <w:sz w:val="21"/>
                <w:lang w:eastAsia="zh-CN"/>
                <w14:textFill>
                  <w14:solidFill>
                    <w14:schemeClr w14:val="tx1"/>
                  </w14:solidFill>
                </w14:textFill>
              </w:rPr>
            </w:pPr>
          </w:p>
        </w:tc>
        <w:tc>
          <w:tcPr>
            <w:tcW w:w="1179" w:type="pct"/>
            <w:vAlign w:val="center"/>
          </w:tcPr>
          <w:p w14:paraId="1A5CDFBE">
            <w:pPr>
              <w:jc w:val="center"/>
              <w:rPr>
                <w:rFonts w:ascii="Times New Roman" w:hAnsi="Times New Roman" w:cs="Times New Roman"/>
                <w:color w:val="000000" w:themeColor="text1"/>
                <w:sz w:val="21"/>
                <w:lang w:eastAsia="zh-CN"/>
                <w14:textFill>
                  <w14:solidFill>
                    <w14:schemeClr w14:val="tx1"/>
                  </w14:solidFill>
                </w14:textFill>
              </w:rPr>
            </w:pPr>
          </w:p>
        </w:tc>
        <w:tc>
          <w:tcPr>
            <w:tcW w:w="1204" w:type="pct"/>
            <w:vAlign w:val="center"/>
          </w:tcPr>
          <w:p w14:paraId="78004932">
            <w:pPr>
              <w:jc w:val="center"/>
              <w:rPr>
                <w:rFonts w:ascii="Times New Roman" w:hAnsi="Times New Roman" w:cs="Times New Roman"/>
                <w:color w:val="000000" w:themeColor="text1"/>
                <w:sz w:val="21"/>
                <w:lang w:eastAsia="zh-CN"/>
                <w14:textFill>
                  <w14:solidFill>
                    <w14:schemeClr w14:val="tx1"/>
                  </w14:solidFill>
                </w14:textFill>
              </w:rPr>
            </w:pPr>
          </w:p>
        </w:tc>
      </w:tr>
    </w:tbl>
    <w:p w14:paraId="67FE3293">
      <w:pPr>
        <w:spacing w:line="360" w:lineRule="auto"/>
        <w:ind w:firstLine="480" w:firstLineChars="200"/>
        <w:rPr>
          <w:rFonts w:ascii="Times New Roman" w:hAnsi="Times New Roman" w:cs="Times New Roman"/>
          <w:color w:val="000000" w:themeColor="text1"/>
          <w:szCs w:val="24"/>
          <w:lang w:eastAsia="zh-CN"/>
          <w14:textFill>
            <w14:solidFill>
              <w14:schemeClr w14:val="tx1"/>
            </w14:solidFill>
          </w14:textFill>
        </w:rPr>
      </w:pPr>
      <w:r>
        <w:rPr>
          <w:rFonts w:hint="eastAsia" w:ascii="宋体" w:hAnsi="宋体"/>
          <w:color w:val="000000" w:themeColor="text1"/>
          <w:szCs w:val="24"/>
          <w:lang w:eastAsia="zh-CN"/>
          <w14:textFill>
            <w14:solidFill>
              <w14:schemeClr w14:val="tx1"/>
            </w14:solidFill>
          </w14:textFill>
        </w:rPr>
        <w:t>由上表可知，本项目排放的</w:t>
      </w:r>
      <w:r>
        <w:rPr>
          <w:rFonts w:hint="eastAsia" w:ascii="Times New Roman" w:hAnsi="Times New Roman" w:cs="Times New Roman"/>
          <w:color w:val="000000" w:themeColor="text1"/>
          <w:szCs w:val="24"/>
          <w:lang w:eastAsia="zh-CN"/>
          <w14:textFill>
            <w14:solidFill>
              <w14:schemeClr w14:val="tx1"/>
            </w14:solidFill>
          </w14:textFill>
        </w:rPr>
        <w:t>氟化物、氯化氢</w:t>
      </w:r>
      <w:r>
        <w:rPr>
          <w:rFonts w:hint="eastAsia" w:ascii="宋体" w:hAnsi="宋体"/>
          <w:color w:val="000000" w:themeColor="text1"/>
          <w:szCs w:val="24"/>
          <w:lang w:eastAsia="zh-CN"/>
          <w14:textFill>
            <w14:solidFill>
              <w14:schemeClr w14:val="tx1"/>
            </w14:solidFill>
          </w14:textFill>
        </w:rPr>
        <w:t>等</w:t>
      </w:r>
      <w:r>
        <w:rPr>
          <w:rFonts w:ascii="宋体" w:hAnsi="宋体"/>
          <w:color w:val="000000" w:themeColor="text1"/>
          <w:szCs w:val="24"/>
          <w:lang w:eastAsia="zh-CN"/>
          <w14:textFill>
            <w14:solidFill>
              <w14:schemeClr w14:val="tx1"/>
            </w14:solidFill>
          </w14:textFill>
        </w:rPr>
        <w:t>厂界最大落地浓度贡献值均能达到厂界无组织监控点浓度要求，因此，本项目正常工况下各污染物排放浓度可做到厂界达标</w:t>
      </w:r>
      <w:r>
        <w:rPr>
          <w:rFonts w:hint="eastAsia" w:ascii="宋体" w:hAnsi="宋体"/>
          <w:color w:val="000000" w:themeColor="text1"/>
          <w:szCs w:val="24"/>
          <w:lang w:eastAsia="zh-CN"/>
          <w14:textFill>
            <w14:solidFill>
              <w14:schemeClr w14:val="tx1"/>
            </w14:solidFill>
          </w14:textFill>
        </w:rPr>
        <w:t>。</w:t>
      </w:r>
    </w:p>
    <w:bookmarkEnd w:id="1439"/>
    <w:p w14:paraId="3424502A">
      <w:pPr>
        <w:spacing w:line="360" w:lineRule="auto"/>
        <w:ind w:firstLine="482"/>
        <w:outlineLvl w:val="2"/>
        <w:rPr>
          <w:rFonts w:ascii="Times New Roman" w:hAnsi="Times New Roman" w:cs="Times New Roman"/>
          <w:b/>
          <w:bCs/>
          <w:color w:val="auto"/>
          <w:szCs w:val="24"/>
          <w:lang w:eastAsia="zh-CN"/>
        </w:rPr>
      </w:pPr>
      <w:bookmarkStart w:id="1440" w:name="_Toc203927037"/>
      <w:bookmarkStart w:id="1441" w:name="_Toc221900875"/>
      <w:bookmarkStart w:id="1442" w:name="_Toc231828616"/>
      <w:bookmarkStart w:id="1443" w:name="_Toc236641347"/>
      <w:bookmarkStart w:id="1444" w:name="_Toc173740314"/>
      <w:bookmarkStart w:id="1445" w:name="_Toc223425093"/>
      <w:bookmarkStart w:id="1446" w:name="_Toc178602385"/>
      <w:bookmarkStart w:id="1447" w:name="_Toc225784094"/>
      <w:bookmarkStart w:id="1448" w:name="_Toc224674733"/>
      <w:bookmarkStart w:id="1449" w:name="_Toc175164309"/>
      <w:bookmarkStart w:id="1450" w:name="_Toc218784318"/>
      <w:bookmarkStart w:id="1451" w:name="_Toc237508329"/>
      <w:bookmarkStart w:id="1452" w:name="_Toc204515238"/>
      <w:bookmarkStart w:id="1453" w:name="_Toc176513045"/>
      <w:bookmarkStart w:id="1454" w:name="_Toc236641864"/>
      <w:bookmarkStart w:id="1455" w:name="_Toc173743418"/>
      <w:bookmarkStart w:id="1456" w:name="_Toc204448503"/>
      <w:r>
        <w:rPr>
          <w:rFonts w:hint="eastAsia" w:ascii="Times New Roman" w:hAnsi="Times New Roman" w:cs="Times New Roman"/>
          <w:b/>
          <w:bCs/>
          <w:color w:val="auto"/>
          <w:szCs w:val="24"/>
          <w:lang w:eastAsia="zh-CN"/>
        </w:rPr>
        <w:t>6</w:t>
      </w:r>
      <w:r>
        <w:rPr>
          <w:rFonts w:ascii="Times New Roman" w:hAnsi="Times New Roman" w:cs="Times New Roman"/>
          <w:b/>
          <w:bCs/>
          <w:color w:val="auto"/>
          <w:szCs w:val="24"/>
          <w:lang w:eastAsia="zh-CN"/>
        </w:rPr>
        <w:t>.2.</w:t>
      </w:r>
      <w:r>
        <w:rPr>
          <w:rFonts w:hint="eastAsia" w:ascii="Times New Roman" w:hAnsi="Times New Roman" w:cs="Times New Roman"/>
          <w:b/>
          <w:bCs/>
          <w:color w:val="auto"/>
          <w:szCs w:val="24"/>
          <w:lang w:eastAsia="zh-CN"/>
        </w:rPr>
        <w:t>5</w:t>
      </w:r>
      <w:r>
        <w:rPr>
          <w:rFonts w:ascii="Times New Roman" w:hAnsi="Times New Roman" w:cs="Times New Roman"/>
          <w:b/>
          <w:bCs/>
          <w:color w:val="auto"/>
          <w:szCs w:val="24"/>
          <w:lang w:eastAsia="zh-CN"/>
        </w:rPr>
        <w:t xml:space="preserve"> 非正常工况预测结果分析</w:t>
      </w:r>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p>
    <w:p w14:paraId="70243279">
      <w:pPr>
        <w:spacing w:line="360" w:lineRule="auto"/>
        <w:ind w:firstLine="480" w:firstLineChars="200"/>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经预测计算得到本项目非正常工况下各污染物的影响分析如下：</w:t>
      </w:r>
    </w:p>
    <w:p w14:paraId="37B13648">
      <w:pPr>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表</w:t>
      </w:r>
      <w:r>
        <w:rPr>
          <w:rFonts w:hint="eastAsia" w:ascii="Times New Roman" w:hAnsi="Times New Roman" w:cs="Times New Roman"/>
          <w:b/>
          <w:bCs/>
          <w:color w:val="auto"/>
          <w:szCs w:val="24"/>
          <w:lang w:eastAsia="zh-CN"/>
        </w:rPr>
        <w:t>6</w:t>
      </w:r>
      <w:r>
        <w:rPr>
          <w:rFonts w:ascii="Times New Roman" w:hAnsi="Times New Roman" w:cs="Times New Roman"/>
          <w:b/>
          <w:bCs/>
          <w:color w:val="auto"/>
          <w:szCs w:val="24"/>
          <w:lang w:eastAsia="zh-CN"/>
        </w:rPr>
        <w:t>.2-</w:t>
      </w:r>
      <w:r>
        <w:rPr>
          <w:rFonts w:hint="eastAsia" w:ascii="Times New Roman" w:hAnsi="Times New Roman" w:cs="Times New Roman"/>
          <w:b/>
          <w:bCs/>
          <w:color w:val="auto"/>
          <w:szCs w:val="24"/>
          <w:lang w:eastAsia="zh-CN"/>
        </w:rPr>
        <w:t>17</w:t>
      </w:r>
      <w:r>
        <w:rPr>
          <w:rFonts w:ascii="Times New Roman" w:hAnsi="Times New Roman" w:cs="Times New Roman"/>
          <w:b/>
          <w:bCs/>
          <w:color w:val="auto"/>
          <w:szCs w:val="24"/>
          <w:lang w:eastAsia="zh-CN"/>
        </w:rPr>
        <w:t xml:space="preserve"> 非正常工况下各污染物贡献质量浓度结果表</w:t>
      </w:r>
    </w:p>
    <w:tbl>
      <w:tblPr>
        <w:tblStyle w:val="35"/>
        <w:tblW w:w="4996"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577"/>
        <w:gridCol w:w="956"/>
        <w:gridCol w:w="1019"/>
        <w:gridCol w:w="1134"/>
        <w:gridCol w:w="1276"/>
        <w:gridCol w:w="1418"/>
        <w:gridCol w:w="1276"/>
        <w:gridCol w:w="1141"/>
        <w:gridCol w:w="941"/>
      </w:tblGrid>
      <w:tr w14:paraId="1CF1BF1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71" w:hRule="atLeast"/>
          <w:jc w:val="center"/>
        </w:trPr>
        <w:tc>
          <w:tcPr>
            <w:tcW w:w="296" w:type="pct"/>
            <w:noWrap/>
            <w:vAlign w:val="center"/>
          </w:tcPr>
          <w:p w14:paraId="5B48E451">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序号</w:t>
            </w:r>
          </w:p>
        </w:tc>
        <w:tc>
          <w:tcPr>
            <w:tcW w:w="491" w:type="pct"/>
            <w:noWrap/>
            <w:vAlign w:val="center"/>
          </w:tcPr>
          <w:p w14:paraId="166BCF18">
            <w:pPr>
              <w:adjustRightInd w:val="0"/>
              <w:snapToGrid w:val="0"/>
              <w:jc w:val="center"/>
              <w:textAlignment w:val="center"/>
              <w:rPr>
                <w:rFonts w:ascii="Times New Roman" w:hAnsi="Times New Roman" w:cs="Times New Roman"/>
                <w:b/>
                <w:bCs/>
                <w:color w:val="auto"/>
                <w:sz w:val="21"/>
                <w:lang w:bidi="ar"/>
              </w:rPr>
            </w:pPr>
            <w:r>
              <w:rPr>
                <w:rFonts w:ascii="Times New Roman" w:hAnsi="Times New Roman" w:cs="Times New Roman"/>
                <w:b/>
                <w:bCs/>
                <w:color w:val="auto"/>
                <w:sz w:val="21"/>
                <w:lang w:eastAsia="zh-CN" w:bidi="ar"/>
              </w:rPr>
              <w:t>污染物</w:t>
            </w:r>
          </w:p>
        </w:tc>
        <w:tc>
          <w:tcPr>
            <w:tcW w:w="523" w:type="pct"/>
            <w:noWrap/>
            <w:vAlign w:val="center"/>
          </w:tcPr>
          <w:p w14:paraId="40F49320">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点名称</w:t>
            </w:r>
          </w:p>
        </w:tc>
        <w:tc>
          <w:tcPr>
            <w:tcW w:w="582" w:type="pct"/>
            <w:noWrap/>
            <w:vAlign w:val="center"/>
          </w:tcPr>
          <w:p w14:paraId="01BD1070">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浓度类型</w:t>
            </w:r>
          </w:p>
        </w:tc>
        <w:tc>
          <w:tcPr>
            <w:tcW w:w="655" w:type="pct"/>
            <w:noWrap/>
            <w:vAlign w:val="center"/>
          </w:tcPr>
          <w:p w14:paraId="4D2C5C0C">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浓度增量(μg/</w:t>
            </w:r>
            <w:r>
              <w:rPr>
                <w:rFonts w:ascii="Times New Roman" w:hAnsi="Times New Roman" w:cs="Times New Roman"/>
                <w:b/>
                <w:bCs/>
                <w:color w:val="auto"/>
                <w:spacing w:val="-2"/>
                <w:sz w:val="21"/>
                <w:lang w:eastAsia="zh-CN" w:bidi="ar"/>
              </w:rPr>
              <w:t xml:space="preserve"> m</w:t>
            </w:r>
            <w:r>
              <w:rPr>
                <w:rFonts w:ascii="Times New Roman" w:hAnsi="Times New Roman" w:cs="Times New Roman"/>
                <w:b/>
                <w:bCs/>
                <w:color w:val="auto"/>
                <w:spacing w:val="-2"/>
                <w:sz w:val="21"/>
                <w:vertAlign w:val="superscript"/>
                <w:lang w:eastAsia="zh-CN" w:bidi="ar"/>
              </w:rPr>
              <w:t>3</w:t>
            </w:r>
            <w:r>
              <w:rPr>
                <w:rFonts w:ascii="Times New Roman" w:hAnsi="Times New Roman" w:cs="Times New Roman"/>
                <w:b/>
                <w:bCs/>
                <w:color w:val="auto"/>
                <w:sz w:val="21"/>
                <w:lang w:eastAsia="zh-CN" w:bidi="ar"/>
              </w:rPr>
              <w:t>)</w:t>
            </w:r>
          </w:p>
        </w:tc>
        <w:tc>
          <w:tcPr>
            <w:tcW w:w="728" w:type="pct"/>
            <w:noWrap/>
            <w:vAlign w:val="center"/>
          </w:tcPr>
          <w:p w14:paraId="39D41D84">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出现时间</w:t>
            </w:r>
          </w:p>
        </w:tc>
        <w:tc>
          <w:tcPr>
            <w:tcW w:w="655" w:type="pct"/>
            <w:noWrap/>
            <w:vAlign w:val="center"/>
          </w:tcPr>
          <w:p w14:paraId="197D23AD">
            <w:pPr>
              <w:adjustRightInd w:val="0"/>
              <w:snapToGrid w:val="0"/>
              <w:jc w:val="center"/>
              <w:textAlignment w:val="center"/>
              <w:rPr>
                <w:rFonts w:ascii="Times New Roman" w:hAnsi="Times New Roman" w:cs="Times New Roman"/>
                <w:b/>
                <w:bCs/>
                <w:color w:val="auto"/>
                <w:sz w:val="21"/>
                <w:lang w:eastAsia="zh-CN" w:bidi="ar"/>
              </w:rPr>
            </w:pPr>
            <w:r>
              <w:rPr>
                <w:rFonts w:ascii="Times New Roman" w:hAnsi="Times New Roman" w:cs="Times New Roman"/>
                <w:b/>
                <w:bCs/>
                <w:color w:val="auto"/>
                <w:sz w:val="21"/>
                <w:lang w:eastAsia="zh-CN" w:bidi="ar"/>
              </w:rPr>
              <w:t>评价标准</w:t>
            </w:r>
          </w:p>
          <w:p w14:paraId="70CE6BB4">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(μg/</w:t>
            </w:r>
            <w:r>
              <w:rPr>
                <w:rFonts w:ascii="Times New Roman" w:hAnsi="Times New Roman" w:cs="Times New Roman"/>
                <w:b/>
                <w:bCs/>
                <w:color w:val="auto"/>
                <w:spacing w:val="-2"/>
                <w:sz w:val="21"/>
                <w:lang w:eastAsia="zh-CN" w:bidi="ar"/>
              </w:rPr>
              <w:t xml:space="preserve"> m</w:t>
            </w:r>
            <w:r>
              <w:rPr>
                <w:rFonts w:ascii="Times New Roman" w:hAnsi="Times New Roman" w:cs="Times New Roman"/>
                <w:b/>
                <w:bCs/>
                <w:color w:val="auto"/>
                <w:spacing w:val="-2"/>
                <w:sz w:val="21"/>
                <w:vertAlign w:val="superscript"/>
                <w:lang w:eastAsia="zh-CN" w:bidi="ar"/>
              </w:rPr>
              <w:t>3</w:t>
            </w:r>
            <w:r>
              <w:rPr>
                <w:rFonts w:ascii="Times New Roman" w:hAnsi="Times New Roman" w:cs="Times New Roman"/>
                <w:b/>
                <w:bCs/>
                <w:color w:val="auto"/>
                <w:sz w:val="21"/>
                <w:lang w:eastAsia="zh-CN" w:bidi="ar"/>
              </w:rPr>
              <w:t>)</w:t>
            </w:r>
          </w:p>
        </w:tc>
        <w:tc>
          <w:tcPr>
            <w:tcW w:w="586" w:type="pct"/>
            <w:noWrap/>
            <w:vAlign w:val="center"/>
          </w:tcPr>
          <w:p w14:paraId="3A06B9A6">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占标率%</w:t>
            </w:r>
          </w:p>
        </w:tc>
        <w:tc>
          <w:tcPr>
            <w:tcW w:w="483" w:type="pct"/>
            <w:noWrap/>
            <w:vAlign w:val="center"/>
          </w:tcPr>
          <w:p w14:paraId="2F0CE674">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lang w:eastAsia="zh-CN" w:bidi="ar"/>
              </w:rPr>
              <w:t>是否超标</w:t>
            </w:r>
          </w:p>
        </w:tc>
      </w:tr>
      <w:tr w14:paraId="1F4E659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1" w:hRule="atLeast"/>
          <w:jc w:val="center"/>
        </w:trPr>
        <w:tc>
          <w:tcPr>
            <w:tcW w:w="296" w:type="pct"/>
            <w:vMerge w:val="restart"/>
            <w:noWrap/>
            <w:vAlign w:val="center"/>
          </w:tcPr>
          <w:p w14:paraId="12084CA9">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1</w:t>
            </w:r>
          </w:p>
        </w:tc>
        <w:tc>
          <w:tcPr>
            <w:tcW w:w="491" w:type="pct"/>
            <w:vMerge w:val="restart"/>
            <w:noWrap/>
            <w:vAlign w:val="center"/>
          </w:tcPr>
          <w:p w14:paraId="6371BAFF">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氟化物</w:t>
            </w:r>
          </w:p>
        </w:tc>
        <w:tc>
          <w:tcPr>
            <w:tcW w:w="523" w:type="pct"/>
            <w:vMerge w:val="restart"/>
            <w:noWrap/>
            <w:vAlign w:val="center"/>
          </w:tcPr>
          <w:p w14:paraId="1D1FAD0B">
            <w:pPr>
              <w:jc w:val="center"/>
              <w:textAlignment w:val="center"/>
              <w:rPr>
                <w:rFonts w:ascii="Times New Roman" w:hAnsi="Times New Roman" w:cs="Times New Roman"/>
                <w:color w:val="auto"/>
                <w:sz w:val="21"/>
                <w:lang w:eastAsia="zh-CN" w:bidi="ar"/>
              </w:rPr>
            </w:pPr>
            <w:r>
              <w:rPr>
                <w:rFonts w:ascii="Times New Roman" w:hAnsi="Times New Roman" w:cs="Times New Roman"/>
                <w:color w:val="000000" w:themeColor="text1"/>
                <w:sz w:val="21"/>
                <w14:textFill>
                  <w14:solidFill>
                    <w14:schemeClr w14:val="tx1"/>
                  </w14:solidFill>
                </w14:textFill>
              </w:rPr>
              <w:t>大柏村</w:t>
            </w:r>
          </w:p>
        </w:tc>
        <w:tc>
          <w:tcPr>
            <w:tcW w:w="582" w:type="pct"/>
            <w:noWrap/>
            <w:vAlign w:val="center"/>
          </w:tcPr>
          <w:p w14:paraId="633E41C1">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spacing w:val="-2"/>
                <w:sz w:val="21"/>
                <w:lang w:eastAsia="zh-CN" w:bidi="ar"/>
              </w:rPr>
              <w:t>1小时</w:t>
            </w:r>
          </w:p>
        </w:tc>
        <w:tc>
          <w:tcPr>
            <w:tcW w:w="655" w:type="pct"/>
            <w:noWrap/>
          </w:tcPr>
          <w:p w14:paraId="666D833F">
            <w:pPr>
              <w:jc w:val="center"/>
              <w:textAlignment w:val="center"/>
              <w:rPr>
                <w:rFonts w:ascii="Times New Roman" w:hAnsi="Times New Roman" w:cs="Times New Roman"/>
                <w:color w:val="auto"/>
                <w:sz w:val="21"/>
                <w:lang w:eastAsia="zh-CN" w:bidi="ar"/>
              </w:rPr>
            </w:pPr>
          </w:p>
        </w:tc>
        <w:tc>
          <w:tcPr>
            <w:tcW w:w="728" w:type="pct"/>
            <w:noWrap/>
            <w:vAlign w:val="center"/>
          </w:tcPr>
          <w:p w14:paraId="1250E493">
            <w:pPr>
              <w:jc w:val="center"/>
              <w:textAlignment w:val="center"/>
              <w:rPr>
                <w:rFonts w:ascii="Times New Roman" w:hAnsi="Times New Roman" w:cs="Times New Roman"/>
                <w:color w:val="auto"/>
                <w:sz w:val="21"/>
                <w:lang w:eastAsia="zh-CN" w:bidi="ar"/>
              </w:rPr>
            </w:pPr>
          </w:p>
        </w:tc>
        <w:tc>
          <w:tcPr>
            <w:tcW w:w="655" w:type="pct"/>
            <w:noWrap/>
            <w:vAlign w:val="center"/>
          </w:tcPr>
          <w:p w14:paraId="445DA954">
            <w:pPr>
              <w:jc w:val="center"/>
              <w:textAlignment w:val="center"/>
              <w:rPr>
                <w:rFonts w:ascii="Times New Roman" w:hAnsi="Times New Roman" w:cs="Times New Roman"/>
                <w:color w:val="auto"/>
                <w:sz w:val="21"/>
                <w:lang w:eastAsia="zh-CN" w:bidi="ar"/>
              </w:rPr>
            </w:pPr>
          </w:p>
        </w:tc>
        <w:tc>
          <w:tcPr>
            <w:tcW w:w="586" w:type="pct"/>
            <w:noWrap/>
            <w:vAlign w:val="center"/>
          </w:tcPr>
          <w:p w14:paraId="5835D1C2">
            <w:pPr>
              <w:jc w:val="center"/>
              <w:textAlignment w:val="center"/>
              <w:rPr>
                <w:rFonts w:ascii="Times New Roman" w:hAnsi="Times New Roman" w:cs="Times New Roman"/>
                <w:color w:val="auto"/>
                <w:sz w:val="21"/>
                <w:lang w:eastAsia="zh-CN" w:bidi="ar"/>
              </w:rPr>
            </w:pPr>
          </w:p>
        </w:tc>
        <w:tc>
          <w:tcPr>
            <w:tcW w:w="483" w:type="pct"/>
            <w:noWrap/>
            <w:vAlign w:val="center"/>
          </w:tcPr>
          <w:p w14:paraId="23BCDBF1">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达标</w:t>
            </w:r>
          </w:p>
        </w:tc>
      </w:tr>
      <w:tr w14:paraId="691B6D5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1" w:hRule="atLeast"/>
          <w:jc w:val="center"/>
        </w:trPr>
        <w:tc>
          <w:tcPr>
            <w:tcW w:w="296" w:type="pct"/>
            <w:vMerge w:val="continue"/>
            <w:noWrap/>
            <w:vAlign w:val="center"/>
          </w:tcPr>
          <w:p w14:paraId="1D9B74A6">
            <w:pPr>
              <w:adjustRightInd w:val="0"/>
              <w:snapToGrid w:val="0"/>
              <w:jc w:val="center"/>
              <w:textAlignment w:val="center"/>
              <w:rPr>
                <w:rFonts w:ascii="Times New Roman" w:hAnsi="Times New Roman" w:cs="Times New Roman"/>
                <w:color w:val="auto"/>
                <w:sz w:val="21"/>
                <w:lang w:eastAsia="zh-CN"/>
              </w:rPr>
            </w:pPr>
          </w:p>
        </w:tc>
        <w:tc>
          <w:tcPr>
            <w:tcW w:w="491" w:type="pct"/>
            <w:vMerge w:val="continue"/>
            <w:noWrap/>
            <w:vAlign w:val="center"/>
          </w:tcPr>
          <w:p w14:paraId="6FD6B947">
            <w:pPr>
              <w:adjustRightInd w:val="0"/>
              <w:snapToGrid w:val="0"/>
              <w:jc w:val="center"/>
              <w:textAlignment w:val="center"/>
              <w:rPr>
                <w:rFonts w:ascii="Times New Roman" w:hAnsi="Times New Roman" w:cs="Times New Roman"/>
                <w:color w:val="auto"/>
                <w:sz w:val="21"/>
                <w:lang w:bidi="ar"/>
              </w:rPr>
            </w:pPr>
          </w:p>
        </w:tc>
        <w:tc>
          <w:tcPr>
            <w:tcW w:w="523" w:type="pct"/>
            <w:vMerge w:val="continue"/>
            <w:noWrap/>
            <w:vAlign w:val="center"/>
          </w:tcPr>
          <w:p w14:paraId="1B8EC2BE">
            <w:pPr>
              <w:jc w:val="center"/>
              <w:textAlignment w:val="center"/>
              <w:rPr>
                <w:rFonts w:ascii="Times New Roman" w:hAnsi="Times New Roman" w:cs="Times New Roman"/>
                <w:color w:val="auto"/>
                <w:sz w:val="21"/>
                <w:lang w:eastAsia="zh-CN" w:bidi="ar"/>
              </w:rPr>
            </w:pPr>
          </w:p>
        </w:tc>
        <w:tc>
          <w:tcPr>
            <w:tcW w:w="582" w:type="pct"/>
            <w:noWrap/>
            <w:vAlign w:val="center"/>
          </w:tcPr>
          <w:p w14:paraId="4ED1C6DE">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spacing w:val="-2"/>
                <w:sz w:val="21"/>
                <w:lang w:eastAsia="zh-CN" w:bidi="ar"/>
              </w:rPr>
              <w:t>日均</w:t>
            </w:r>
          </w:p>
        </w:tc>
        <w:tc>
          <w:tcPr>
            <w:tcW w:w="655" w:type="pct"/>
            <w:noWrap/>
          </w:tcPr>
          <w:p w14:paraId="60C7164D">
            <w:pPr>
              <w:jc w:val="center"/>
              <w:textAlignment w:val="center"/>
              <w:rPr>
                <w:rFonts w:ascii="Times New Roman" w:hAnsi="Times New Roman" w:cs="Times New Roman"/>
                <w:color w:val="auto"/>
                <w:sz w:val="21"/>
                <w:lang w:eastAsia="zh-CN" w:bidi="ar"/>
              </w:rPr>
            </w:pPr>
          </w:p>
        </w:tc>
        <w:tc>
          <w:tcPr>
            <w:tcW w:w="728" w:type="pct"/>
            <w:noWrap/>
            <w:vAlign w:val="center"/>
          </w:tcPr>
          <w:p w14:paraId="50AF7824">
            <w:pPr>
              <w:jc w:val="center"/>
              <w:textAlignment w:val="center"/>
              <w:rPr>
                <w:rFonts w:ascii="Times New Roman" w:hAnsi="Times New Roman" w:cs="Times New Roman"/>
                <w:color w:val="auto"/>
                <w:sz w:val="21"/>
                <w:lang w:eastAsia="zh-CN" w:bidi="ar"/>
              </w:rPr>
            </w:pPr>
          </w:p>
        </w:tc>
        <w:tc>
          <w:tcPr>
            <w:tcW w:w="655" w:type="pct"/>
            <w:noWrap/>
            <w:vAlign w:val="center"/>
          </w:tcPr>
          <w:p w14:paraId="76A0D3B1">
            <w:pPr>
              <w:jc w:val="center"/>
              <w:textAlignment w:val="center"/>
              <w:rPr>
                <w:rFonts w:ascii="Times New Roman" w:hAnsi="Times New Roman" w:cs="Times New Roman"/>
                <w:color w:val="auto"/>
                <w:sz w:val="21"/>
                <w:lang w:eastAsia="zh-CN" w:bidi="ar"/>
              </w:rPr>
            </w:pPr>
          </w:p>
        </w:tc>
        <w:tc>
          <w:tcPr>
            <w:tcW w:w="586" w:type="pct"/>
            <w:noWrap/>
            <w:vAlign w:val="center"/>
          </w:tcPr>
          <w:p w14:paraId="12E62C9B">
            <w:pPr>
              <w:jc w:val="center"/>
              <w:textAlignment w:val="center"/>
              <w:rPr>
                <w:rFonts w:ascii="Times New Roman" w:hAnsi="Times New Roman" w:cs="Times New Roman"/>
                <w:color w:val="auto"/>
                <w:sz w:val="21"/>
                <w:lang w:eastAsia="zh-CN" w:bidi="ar"/>
              </w:rPr>
            </w:pPr>
          </w:p>
        </w:tc>
        <w:tc>
          <w:tcPr>
            <w:tcW w:w="483" w:type="pct"/>
            <w:noWrap/>
            <w:vAlign w:val="center"/>
          </w:tcPr>
          <w:p w14:paraId="234A012A">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达标</w:t>
            </w:r>
          </w:p>
        </w:tc>
      </w:tr>
      <w:tr w14:paraId="4F52EAC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1" w:hRule="atLeast"/>
          <w:jc w:val="center"/>
        </w:trPr>
        <w:tc>
          <w:tcPr>
            <w:tcW w:w="296" w:type="pct"/>
            <w:vMerge w:val="restart"/>
            <w:noWrap/>
            <w:vAlign w:val="center"/>
          </w:tcPr>
          <w:p w14:paraId="5C3E8E93">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2</w:t>
            </w:r>
          </w:p>
        </w:tc>
        <w:tc>
          <w:tcPr>
            <w:tcW w:w="491" w:type="pct"/>
            <w:vMerge w:val="continue"/>
            <w:noWrap/>
            <w:vAlign w:val="center"/>
          </w:tcPr>
          <w:p w14:paraId="66F093C9">
            <w:pPr>
              <w:adjustRightInd w:val="0"/>
              <w:snapToGrid w:val="0"/>
              <w:jc w:val="center"/>
              <w:textAlignment w:val="center"/>
              <w:rPr>
                <w:rFonts w:ascii="Times New Roman" w:hAnsi="Times New Roman" w:cs="Times New Roman"/>
                <w:color w:val="auto"/>
                <w:sz w:val="21"/>
                <w:lang w:bidi="ar"/>
              </w:rPr>
            </w:pPr>
          </w:p>
        </w:tc>
        <w:tc>
          <w:tcPr>
            <w:tcW w:w="523" w:type="pct"/>
            <w:vMerge w:val="restart"/>
            <w:noWrap/>
            <w:vAlign w:val="center"/>
          </w:tcPr>
          <w:p w14:paraId="366285EC">
            <w:pPr>
              <w:jc w:val="center"/>
              <w:textAlignment w:val="center"/>
              <w:rPr>
                <w:rFonts w:ascii="Times New Roman" w:hAnsi="Times New Roman" w:cs="Times New Roman"/>
                <w:color w:val="auto"/>
                <w:sz w:val="21"/>
                <w:lang w:eastAsia="zh-CN" w:bidi="ar"/>
              </w:rPr>
            </w:pPr>
            <w:r>
              <w:rPr>
                <w:rFonts w:ascii="Times New Roman" w:hAnsi="Times New Roman" w:cs="Times New Roman"/>
                <w:color w:val="000000" w:themeColor="text1"/>
                <w:sz w:val="21"/>
                <w14:textFill>
                  <w14:solidFill>
                    <w14:schemeClr w14:val="tx1"/>
                  </w14:solidFill>
                </w14:textFill>
              </w:rPr>
              <w:t>草杨村</w:t>
            </w:r>
          </w:p>
        </w:tc>
        <w:tc>
          <w:tcPr>
            <w:tcW w:w="582" w:type="pct"/>
            <w:noWrap/>
            <w:vAlign w:val="center"/>
          </w:tcPr>
          <w:p w14:paraId="7CB88AE5">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spacing w:val="-2"/>
                <w:sz w:val="21"/>
                <w:lang w:eastAsia="zh-CN" w:bidi="ar"/>
              </w:rPr>
              <w:t>1小时</w:t>
            </w:r>
          </w:p>
        </w:tc>
        <w:tc>
          <w:tcPr>
            <w:tcW w:w="655" w:type="pct"/>
            <w:noWrap/>
          </w:tcPr>
          <w:p w14:paraId="4EB55D11">
            <w:pPr>
              <w:jc w:val="center"/>
              <w:textAlignment w:val="center"/>
              <w:rPr>
                <w:rFonts w:ascii="Times New Roman" w:hAnsi="Times New Roman" w:cs="Times New Roman"/>
                <w:color w:val="auto"/>
                <w:sz w:val="21"/>
                <w:lang w:eastAsia="zh-CN" w:bidi="ar"/>
              </w:rPr>
            </w:pPr>
          </w:p>
        </w:tc>
        <w:tc>
          <w:tcPr>
            <w:tcW w:w="728" w:type="pct"/>
            <w:noWrap/>
            <w:vAlign w:val="center"/>
          </w:tcPr>
          <w:p w14:paraId="1EC021FB">
            <w:pPr>
              <w:jc w:val="center"/>
              <w:textAlignment w:val="center"/>
              <w:rPr>
                <w:rFonts w:ascii="Times New Roman" w:hAnsi="Times New Roman" w:cs="Times New Roman"/>
                <w:color w:val="auto"/>
                <w:sz w:val="21"/>
                <w:lang w:eastAsia="zh-CN" w:bidi="ar"/>
              </w:rPr>
            </w:pPr>
          </w:p>
        </w:tc>
        <w:tc>
          <w:tcPr>
            <w:tcW w:w="655" w:type="pct"/>
            <w:noWrap/>
            <w:vAlign w:val="center"/>
          </w:tcPr>
          <w:p w14:paraId="4BE454A1">
            <w:pPr>
              <w:jc w:val="center"/>
              <w:textAlignment w:val="center"/>
              <w:rPr>
                <w:rFonts w:ascii="Times New Roman" w:hAnsi="Times New Roman" w:cs="Times New Roman"/>
                <w:color w:val="auto"/>
                <w:sz w:val="21"/>
                <w:lang w:eastAsia="zh-CN" w:bidi="ar"/>
              </w:rPr>
            </w:pPr>
          </w:p>
        </w:tc>
        <w:tc>
          <w:tcPr>
            <w:tcW w:w="586" w:type="pct"/>
            <w:noWrap/>
            <w:vAlign w:val="center"/>
          </w:tcPr>
          <w:p w14:paraId="118F720B">
            <w:pPr>
              <w:jc w:val="center"/>
              <w:textAlignment w:val="center"/>
              <w:rPr>
                <w:rFonts w:ascii="Times New Roman" w:hAnsi="Times New Roman" w:cs="Times New Roman"/>
                <w:color w:val="auto"/>
                <w:sz w:val="21"/>
                <w:lang w:eastAsia="zh-CN" w:bidi="ar"/>
              </w:rPr>
            </w:pPr>
          </w:p>
        </w:tc>
        <w:tc>
          <w:tcPr>
            <w:tcW w:w="483" w:type="pct"/>
            <w:noWrap/>
            <w:vAlign w:val="center"/>
          </w:tcPr>
          <w:p w14:paraId="4716C366">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达标</w:t>
            </w:r>
          </w:p>
        </w:tc>
      </w:tr>
      <w:tr w14:paraId="4D53ED8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1" w:hRule="atLeast"/>
          <w:jc w:val="center"/>
        </w:trPr>
        <w:tc>
          <w:tcPr>
            <w:tcW w:w="296" w:type="pct"/>
            <w:vMerge w:val="continue"/>
            <w:noWrap/>
            <w:vAlign w:val="center"/>
          </w:tcPr>
          <w:p w14:paraId="3B04F1FD">
            <w:pPr>
              <w:adjustRightInd w:val="0"/>
              <w:snapToGrid w:val="0"/>
              <w:jc w:val="center"/>
              <w:textAlignment w:val="center"/>
              <w:rPr>
                <w:rFonts w:ascii="Times New Roman" w:hAnsi="Times New Roman" w:cs="Times New Roman"/>
                <w:color w:val="auto"/>
                <w:sz w:val="21"/>
                <w:lang w:eastAsia="zh-CN"/>
              </w:rPr>
            </w:pPr>
          </w:p>
        </w:tc>
        <w:tc>
          <w:tcPr>
            <w:tcW w:w="491" w:type="pct"/>
            <w:vMerge w:val="continue"/>
            <w:noWrap/>
            <w:vAlign w:val="center"/>
          </w:tcPr>
          <w:p w14:paraId="47C444C3">
            <w:pPr>
              <w:adjustRightInd w:val="0"/>
              <w:snapToGrid w:val="0"/>
              <w:jc w:val="center"/>
              <w:textAlignment w:val="center"/>
              <w:rPr>
                <w:rFonts w:ascii="Times New Roman" w:hAnsi="Times New Roman" w:cs="Times New Roman"/>
                <w:color w:val="auto"/>
                <w:sz w:val="21"/>
                <w:lang w:bidi="ar"/>
              </w:rPr>
            </w:pPr>
          </w:p>
        </w:tc>
        <w:tc>
          <w:tcPr>
            <w:tcW w:w="523" w:type="pct"/>
            <w:vMerge w:val="continue"/>
            <w:noWrap/>
            <w:vAlign w:val="center"/>
          </w:tcPr>
          <w:p w14:paraId="4F8EBC1D">
            <w:pPr>
              <w:jc w:val="center"/>
              <w:textAlignment w:val="center"/>
              <w:rPr>
                <w:rFonts w:ascii="Times New Roman" w:hAnsi="Times New Roman" w:cs="Times New Roman"/>
                <w:color w:val="auto"/>
                <w:sz w:val="21"/>
                <w:lang w:eastAsia="zh-CN" w:bidi="ar"/>
              </w:rPr>
            </w:pPr>
          </w:p>
        </w:tc>
        <w:tc>
          <w:tcPr>
            <w:tcW w:w="582" w:type="pct"/>
            <w:noWrap/>
            <w:vAlign w:val="center"/>
          </w:tcPr>
          <w:p w14:paraId="31D3851E">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spacing w:val="-2"/>
                <w:sz w:val="21"/>
                <w:lang w:eastAsia="zh-CN" w:bidi="ar"/>
              </w:rPr>
              <w:t>日均</w:t>
            </w:r>
          </w:p>
        </w:tc>
        <w:tc>
          <w:tcPr>
            <w:tcW w:w="655" w:type="pct"/>
            <w:noWrap/>
          </w:tcPr>
          <w:p w14:paraId="1AA6AEE9">
            <w:pPr>
              <w:jc w:val="center"/>
              <w:textAlignment w:val="center"/>
              <w:rPr>
                <w:rFonts w:ascii="Times New Roman" w:hAnsi="Times New Roman" w:cs="Times New Roman"/>
                <w:color w:val="auto"/>
                <w:sz w:val="21"/>
                <w:lang w:eastAsia="zh-CN" w:bidi="ar"/>
              </w:rPr>
            </w:pPr>
          </w:p>
        </w:tc>
        <w:tc>
          <w:tcPr>
            <w:tcW w:w="728" w:type="pct"/>
            <w:noWrap/>
            <w:vAlign w:val="center"/>
          </w:tcPr>
          <w:p w14:paraId="0790E06A">
            <w:pPr>
              <w:jc w:val="center"/>
              <w:textAlignment w:val="center"/>
              <w:rPr>
                <w:rFonts w:ascii="Times New Roman" w:hAnsi="Times New Roman" w:cs="Times New Roman"/>
                <w:color w:val="auto"/>
                <w:sz w:val="21"/>
                <w:lang w:eastAsia="zh-CN" w:bidi="ar"/>
              </w:rPr>
            </w:pPr>
          </w:p>
        </w:tc>
        <w:tc>
          <w:tcPr>
            <w:tcW w:w="655" w:type="pct"/>
            <w:noWrap/>
            <w:vAlign w:val="center"/>
          </w:tcPr>
          <w:p w14:paraId="5BFDE5B9">
            <w:pPr>
              <w:jc w:val="center"/>
              <w:textAlignment w:val="center"/>
              <w:rPr>
                <w:rFonts w:ascii="Times New Roman" w:hAnsi="Times New Roman" w:cs="Times New Roman"/>
                <w:color w:val="auto"/>
                <w:sz w:val="21"/>
                <w:lang w:eastAsia="zh-CN" w:bidi="ar"/>
              </w:rPr>
            </w:pPr>
          </w:p>
        </w:tc>
        <w:tc>
          <w:tcPr>
            <w:tcW w:w="586" w:type="pct"/>
            <w:noWrap/>
            <w:vAlign w:val="center"/>
          </w:tcPr>
          <w:p w14:paraId="3662D249">
            <w:pPr>
              <w:jc w:val="center"/>
              <w:textAlignment w:val="center"/>
              <w:rPr>
                <w:rFonts w:ascii="Times New Roman" w:hAnsi="Times New Roman" w:cs="Times New Roman"/>
                <w:color w:val="auto"/>
                <w:sz w:val="21"/>
                <w:lang w:eastAsia="zh-CN" w:bidi="ar"/>
              </w:rPr>
            </w:pPr>
          </w:p>
        </w:tc>
        <w:tc>
          <w:tcPr>
            <w:tcW w:w="483" w:type="pct"/>
            <w:noWrap/>
            <w:vAlign w:val="center"/>
          </w:tcPr>
          <w:p w14:paraId="0829F977">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达标</w:t>
            </w:r>
          </w:p>
        </w:tc>
      </w:tr>
      <w:tr w14:paraId="519C0EB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1" w:hRule="atLeast"/>
          <w:jc w:val="center"/>
        </w:trPr>
        <w:tc>
          <w:tcPr>
            <w:tcW w:w="296" w:type="pct"/>
            <w:vMerge w:val="restart"/>
            <w:noWrap/>
            <w:vAlign w:val="center"/>
          </w:tcPr>
          <w:p w14:paraId="27CBF65D">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3</w:t>
            </w:r>
          </w:p>
        </w:tc>
        <w:tc>
          <w:tcPr>
            <w:tcW w:w="491" w:type="pct"/>
            <w:vMerge w:val="continue"/>
            <w:noWrap/>
            <w:vAlign w:val="center"/>
          </w:tcPr>
          <w:p w14:paraId="56B7089A">
            <w:pPr>
              <w:adjustRightInd w:val="0"/>
              <w:snapToGrid w:val="0"/>
              <w:jc w:val="center"/>
              <w:textAlignment w:val="center"/>
              <w:rPr>
                <w:rFonts w:ascii="Times New Roman" w:hAnsi="Times New Roman" w:cs="Times New Roman"/>
                <w:color w:val="auto"/>
                <w:sz w:val="21"/>
                <w:lang w:bidi="ar"/>
              </w:rPr>
            </w:pPr>
          </w:p>
        </w:tc>
        <w:tc>
          <w:tcPr>
            <w:tcW w:w="523" w:type="pct"/>
            <w:vMerge w:val="restart"/>
            <w:noWrap/>
            <w:vAlign w:val="center"/>
          </w:tcPr>
          <w:p w14:paraId="46D1EC56">
            <w:pPr>
              <w:jc w:val="center"/>
              <w:textAlignment w:val="center"/>
              <w:rPr>
                <w:rFonts w:ascii="Times New Roman" w:hAnsi="Times New Roman" w:cs="Times New Roman"/>
                <w:color w:val="auto"/>
                <w:sz w:val="21"/>
                <w:lang w:eastAsia="zh-CN" w:bidi="ar"/>
              </w:rPr>
            </w:pPr>
            <w:r>
              <w:rPr>
                <w:rFonts w:ascii="Times New Roman" w:hAnsi="Times New Roman" w:cs="Times New Roman"/>
                <w:color w:val="000000" w:themeColor="text1"/>
                <w:sz w:val="21"/>
                <w14:textFill>
                  <w14:solidFill>
                    <w14:schemeClr w14:val="tx1"/>
                  </w14:solidFill>
                </w14:textFill>
              </w:rPr>
              <w:t>大柏小学</w:t>
            </w:r>
          </w:p>
        </w:tc>
        <w:tc>
          <w:tcPr>
            <w:tcW w:w="582" w:type="pct"/>
            <w:noWrap/>
            <w:vAlign w:val="center"/>
          </w:tcPr>
          <w:p w14:paraId="7E648AC3">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spacing w:val="-2"/>
                <w:sz w:val="21"/>
                <w:lang w:eastAsia="zh-CN" w:bidi="ar"/>
              </w:rPr>
              <w:t>1小时</w:t>
            </w:r>
          </w:p>
        </w:tc>
        <w:tc>
          <w:tcPr>
            <w:tcW w:w="655" w:type="pct"/>
            <w:noWrap/>
          </w:tcPr>
          <w:p w14:paraId="722C4DC7">
            <w:pPr>
              <w:jc w:val="center"/>
              <w:textAlignment w:val="center"/>
              <w:rPr>
                <w:rFonts w:ascii="Times New Roman" w:hAnsi="Times New Roman" w:cs="Times New Roman"/>
                <w:color w:val="auto"/>
                <w:sz w:val="21"/>
                <w:lang w:eastAsia="zh-CN" w:bidi="ar"/>
              </w:rPr>
            </w:pPr>
          </w:p>
        </w:tc>
        <w:tc>
          <w:tcPr>
            <w:tcW w:w="728" w:type="pct"/>
            <w:noWrap/>
            <w:vAlign w:val="center"/>
          </w:tcPr>
          <w:p w14:paraId="28B0BDB6">
            <w:pPr>
              <w:jc w:val="center"/>
              <w:textAlignment w:val="center"/>
              <w:rPr>
                <w:rFonts w:ascii="Times New Roman" w:hAnsi="Times New Roman" w:cs="Times New Roman"/>
                <w:color w:val="auto"/>
                <w:sz w:val="21"/>
                <w:lang w:eastAsia="zh-CN" w:bidi="ar"/>
              </w:rPr>
            </w:pPr>
          </w:p>
        </w:tc>
        <w:tc>
          <w:tcPr>
            <w:tcW w:w="655" w:type="pct"/>
            <w:noWrap/>
            <w:vAlign w:val="center"/>
          </w:tcPr>
          <w:p w14:paraId="1F6AB0AF">
            <w:pPr>
              <w:jc w:val="center"/>
              <w:textAlignment w:val="center"/>
              <w:rPr>
                <w:rFonts w:ascii="Times New Roman" w:hAnsi="Times New Roman" w:cs="Times New Roman"/>
                <w:color w:val="auto"/>
                <w:sz w:val="21"/>
                <w:lang w:eastAsia="zh-CN" w:bidi="ar"/>
              </w:rPr>
            </w:pPr>
          </w:p>
        </w:tc>
        <w:tc>
          <w:tcPr>
            <w:tcW w:w="586" w:type="pct"/>
            <w:noWrap/>
            <w:vAlign w:val="center"/>
          </w:tcPr>
          <w:p w14:paraId="5B08DA93">
            <w:pPr>
              <w:jc w:val="center"/>
              <w:textAlignment w:val="center"/>
              <w:rPr>
                <w:rFonts w:ascii="Times New Roman" w:hAnsi="Times New Roman" w:cs="Times New Roman"/>
                <w:color w:val="auto"/>
                <w:sz w:val="21"/>
                <w:lang w:eastAsia="zh-CN" w:bidi="ar"/>
              </w:rPr>
            </w:pPr>
          </w:p>
        </w:tc>
        <w:tc>
          <w:tcPr>
            <w:tcW w:w="483" w:type="pct"/>
            <w:noWrap/>
            <w:vAlign w:val="center"/>
          </w:tcPr>
          <w:p w14:paraId="7DB631A9">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达标</w:t>
            </w:r>
          </w:p>
        </w:tc>
      </w:tr>
      <w:tr w14:paraId="2DEB9B5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1" w:hRule="atLeast"/>
          <w:jc w:val="center"/>
        </w:trPr>
        <w:tc>
          <w:tcPr>
            <w:tcW w:w="296" w:type="pct"/>
            <w:vMerge w:val="continue"/>
            <w:noWrap/>
            <w:vAlign w:val="center"/>
          </w:tcPr>
          <w:p w14:paraId="6AEC5E29">
            <w:pPr>
              <w:adjustRightInd w:val="0"/>
              <w:snapToGrid w:val="0"/>
              <w:jc w:val="center"/>
              <w:textAlignment w:val="center"/>
              <w:rPr>
                <w:rFonts w:ascii="Times New Roman" w:hAnsi="Times New Roman" w:cs="Times New Roman"/>
                <w:color w:val="auto"/>
                <w:sz w:val="21"/>
                <w:lang w:eastAsia="zh-CN"/>
              </w:rPr>
            </w:pPr>
          </w:p>
        </w:tc>
        <w:tc>
          <w:tcPr>
            <w:tcW w:w="491" w:type="pct"/>
            <w:vMerge w:val="continue"/>
            <w:noWrap/>
            <w:vAlign w:val="center"/>
          </w:tcPr>
          <w:p w14:paraId="08E53E23">
            <w:pPr>
              <w:adjustRightInd w:val="0"/>
              <w:snapToGrid w:val="0"/>
              <w:jc w:val="center"/>
              <w:textAlignment w:val="center"/>
              <w:rPr>
                <w:rFonts w:ascii="Times New Roman" w:hAnsi="Times New Roman" w:cs="Times New Roman"/>
                <w:color w:val="auto"/>
                <w:sz w:val="21"/>
                <w:lang w:bidi="ar"/>
              </w:rPr>
            </w:pPr>
          </w:p>
        </w:tc>
        <w:tc>
          <w:tcPr>
            <w:tcW w:w="523" w:type="pct"/>
            <w:vMerge w:val="continue"/>
            <w:noWrap/>
            <w:vAlign w:val="center"/>
          </w:tcPr>
          <w:p w14:paraId="5D8D8647">
            <w:pPr>
              <w:jc w:val="center"/>
              <w:textAlignment w:val="center"/>
              <w:rPr>
                <w:rFonts w:ascii="Times New Roman" w:hAnsi="Times New Roman" w:cs="Times New Roman"/>
                <w:color w:val="auto"/>
                <w:sz w:val="21"/>
                <w:lang w:eastAsia="zh-CN" w:bidi="ar"/>
              </w:rPr>
            </w:pPr>
          </w:p>
        </w:tc>
        <w:tc>
          <w:tcPr>
            <w:tcW w:w="582" w:type="pct"/>
            <w:noWrap/>
            <w:vAlign w:val="center"/>
          </w:tcPr>
          <w:p w14:paraId="19652929">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spacing w:val="-2"/>
                <w:sz w:val="21"/>
                <w:lang w:eastAsia="zh-CN" w:bidi="ar"/>
              </w:rPr>
              <w:t>日均</w:t>
            </w:r>
          </w:p>
        </w:tc>
        <w:tc>
          <w:tcPr>
            <w:tcW w:w="655" w:type="pct"/>
            <w:noWrap/>
          </w:tcPr>
          <w:p w14:paraId="58E8DBCA">
            <w:pPr>
              <w:jc w:val="center"/>
              <w:textAlignment w:val="center"/>
              <w:rPr>
                <w:rFonts w:ascii="Times New Roman" w:hAnsi="Times New Roman" w:cs="Times New Roman"/>
                <w:color w:val="auto"/>
                <w:sz w:val="21"/>
                <w:lang w:eastAsia="zh-CN" w:bidi="ar"/>
              </w:rPr>
            </w:pPr>
          </w:p>
        </w:tc>
        <w:tc>
          <w:tcPr>
            <w:tcW w:w="728" w:type="pct"/>
            <w:noWrap/>
            <w:vAlign w:val="center"/>
          </w:tcPr>
          <w:p w14:paraId="7844C2AD">
            <w:pPr>
              <w:jc w:val="center"/>
              <w:textAlignment w:val="center"/>
              <w:rPr>
                <w:rFonts w:ascii="Times New Roman" w:hAnsi="Times New Roman" w:cs="Times New Roman"/>
                <w:color w:val="auto"/>
                <w:sz w:val="21"/>
                <w:lang w:eastAsia="zh-CN" w:bidi="ar"/>
              </w:rPr>
            </w:pPr>
          </w:p>
        </w:tc>
        <w:tc>
          <w:tcPr>
            <w:tcW w:w="655" w:type="pct"/>
            <w:noWrap/>
            <w:vAlign w:val="center"/>
          </w:tcPr>
          <w:p w14:paraId="00ED4F14">
            <w:pPr>
              <w:jc w:val="center"/>
              <w:textAlignment w:val="center"/>
              <w:rPr>
                <w:rFonts w:ascii="Times New Roman" w:hAnsi="Times New Roman" w:cs="Times New Roman"/>
                <w:color w:val="auto"/>
                <w:sz w:val="21"/>
                <w:lang w:eastAsia="zh-CN" w:bidi="ar"/>
              </w:rPr>
            </w:pPr>
          </w:p>
        </w:tc>
        <w:tc>
          <w:tcPr>
            <w:tcW w:w="586" w:type="pct"/>
            <w:noWrap/>
            <w:vAlign w:val="center"/>
          </w:tcPr>
          <w:p w14:paraId="2AFF58DB">
            <w:pPr>
              <w:jc w:val="center"/>
              <w:textAlignment w:val="center"/>
              <w:rPr>
                <w:rFonts w:ascii="Times New Roman" w:hAnsi="Times New Roman" w:cs="Times New Roman"/>
                <w:color w:val="auto"/>
                <w:sz w:val="21"/>
                <w:lang w:eastAsia="zh-CN" w:bidi="ar"/>
              </w:rPr>
            </w:pPr>
          </w:p>
        </w:tc>
        <w:tc>
          <w:tcPr>
            <w:tcW w:w="483" w:type="pct"/>
            <w:noWrap/>
            <w:vAlign w:val="center"/>
          </w:tcPr>
          <w:p w14:paraId="210091F1">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达标</w:t>
            </w:r>
          </w:p>
        </w:tc>
      </w:tr>
      <w:tr w14:paraId="6893F4F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1" w:hRule="atLeast"/>
          <w:jc w:val="center"/>
        </w:trPr>
        <w:tc>
          <w:tcPr>
            <w:tcW w:w="296" w:type="pct"/>
            <w:vMerge w:val="restart"/>
            <w:noWrap/>
            <w:vAlign w:val="center"/>
          </w:tcPr>
          <w:p w14:paraId="42B40195">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4</w:t>
            </w:r>
          </w:p>
        </w:tc>
        <w:tc>
          <w:tcPr>
            <w:tcW w:w="491" w:type="pct"/>
            <w:vMerge w:val="continue"/>
            <w:noWrap/>
            <w:vAlign w:val="center"/>
          </w:tcPr>
          <w:p w14:paraId="0EAD9B91">
            <w:pPr>
              <w:adjustRightInd w:val="0"/>
              <w:snapToGrid w:val="0"/>
              <w:jc w:val="center"/>
              <w:textAlignment w:val="center"/>
              <w:rPr>
                <w:rFonts w:ascii="Times New Roman" w:hAnsi="Times New Roman" w:cs="Times New Roman"/>
                <w:color w:val="auto"/>
                <w:sz w:val="21"/>
                <w:lang w:bidi="ar"/>
              </w:rPr>
            </w:pPr>
          </w:p>
        </w:tc>
        <w:tc>
          <w:tcPr>
            <w:tcW w:w="523" w:type="pct"/>
            <w:vMerge w:val="restart"/>
            <w:noWrap/>
            <w:vAlign w:val="center"/>
          </w:tcPr>
          <w:p w14:paraId="3535D129">
            <w:pPr>
              <w:jc w:val="center"/>
              <w:textAlignment w:val="center"/>
              <w:rPr>
                <w:rFonts w:ascii="Times New Roman" w:hAnsi="Times New Roman" w:cs="Times New Roman"/>
                <w:color w:val="auto"/>
                <w:sz w:val="21"/>
                <w:lang w:eastAsia="zh-CN" w:bidi="ar"/>
              </w:rPr>
            </w:pPr>
            <w:r>
              <w:rPr>
                <w:rFonts w:ascii="Times New Roman" w:hAnsi="Times New Roman" w:cs="Times New Roman"/>
                <w:color w:val="000000" w:themeColor="text1"/>
                <w:sz w:val="21"/>
                <w14:textFill>
                  <w14:solidFill>
                    <w14:schemeClr w14:val="tx1"/>
                  </w14:solidFill>
                </w14:textFill>
              </w:rPr>
              <w:t>夏家湖</w:t>
            </w:r>
          </w:p>
        </w:tc>
        <w:tc>
          <w:tcPr>
            <w:tcW w:w="582" w:type="pct"/>
            <w:noWrap/>
            <w:vAlign w:val="center"/>
          </w:tcPr>
          <w:p w14:paraId="6CA5D04F">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spacing w:val="-2"/>
                <w:sz w:val="21"/>
                <w:lang w:eastAsia="zh-CN" w:bidi="ar"/>
              </w:rPr>
              <w:t>1小时</w:t>
            </w:r>
          </w:p>
        </w:tc>
        <w:tc>
          <w:tcPr>
            <w:tcW w:w="655" w:type="pct"/>
            <w:noWrap/>
          </w:tcPr>
          <w:p w14:paraId="30354C4E">
            <w:pPr>
              <w:jc w:val="center"/>
              <w:textAlignment w:val="center"/>
              <w:rPr>
                <w:rFonts w:ascii="Times New Roman" w:hAnsi="Times New Roman" w:cs="Times New Roman"/>
                <w:color w:val="auto"/>
                <w:sz w:val="21"/>
                <w:lang w:eastAsia="zh-CN" w:bidi="ar"/>
              </w:rPr>
            </w:pPr>
          </w:p>
        </w:tc>
        <w:tc>
          <w:tcPr>
            <w:tcW w:w="728" w:type="pct"/>
            <w:noWrap/>
            <w:vAlign w:val="center"/>
          </w:tcPr>
          <w:p w14:paraId="07BD0B81">
            <w:pPr>
              <w:jc w:val="center"/>
              <w:textAlignment w:val="center"/>
              <w:rPr>
                <w:rFonts w:ascii="Times New Roman" w:hAnsi="Times New Roman" w:cs="Times New Roman"/>
                <w:color w:val="auto"/>
                <w:sz w:val="21"/>
                <w:lang w:eastAsia="zh-CN" w:bidi="ar"/>
              </w:rPr>
            </w:pPr>
          </w:p>
        </w:tc>
        <w:tc>
          <w:tcPr>
            <w:tcW w:w="655" w:type="pct"/>
            <w:noWrap/>
            <w:vAlign w:val="center"/>
          </w:tcPr>
          <w:p w14:paraId="7A6F0C0E">
            <w:pPr>
              <w:jc w:val="center"/>
              <w:textAlignment w:val="center"/>
              <w:rPr>
                <w:rFonts w:ascii="Times New Roman" w:hAnsi="Times New Roman" w:cs="Times New Roman"/>
                <w:color w:val="auto"/>
                <w:sz w:val="21"/>
                <w:lang w:eastAsia="zh-CN" w:bidi="ar"/>
              </w:rPr>
            </w:pPr>
          </w:p>
        </w:tc>
        <w:tc>
          <w:tcPr>
            <w:tcW w:w="586" w:type="pct"/>
            <w:noWrap/>
            <w:vAlign w:val="center"/>
          </w:tcPr>
          <w:p w14:paraId="112E7E22">
            <w:pPr>
              <w:jc w:val="center"/>
              <w:textAlignment w:val="center"/>
              <w:rPr>
                <w:rFonts w:ascii="Times New Roman" w:hAnsi="Times New Roman" w:cs="Times New Roman"/>
                <w:color w:val="auto"/>
                <w:sz w:val="21"/>
                <w:lang w:eastAsia="zh-CN" w:bidi="ar"/>
              </w:rPr>
            </w:pPr>
          </w:p>
        </w:tc>
        <w:tc>
          <w:tcPr>
            <w:tcW w:w="483" w:type="pct"/>
            <w:noWrap/>
            <w:vAlign w:val="center"/>
          </w:tcPr>
          <w:p w14:paraId="3FA99A5F">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达标</w:t>
            </w:r>
          </w:p>
        </w:tc>
      </w:tr>
      <w:tr w14:paraId="67C5192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1" w:hRule="atLeast"/>
          <w:jc w:val="center"/>
        </w:trPr>
        <w:tc>
          <w:tcPr>
            <w:tcW w:w="296" w:type="pct"/>
            <w:vMerge w:val="continue"/>
            <w:noWrap/>
            <w:vAlign w:val="center"/>
          </w:tcPr>
          <w:p w14:paraId="0F28B7DE">
            <w:pPr>
              <w:adjustRightInd w:val="0"/>
              <w:snapToGrid w:val="0"/>
              <w:jc w:val="center"/>
              <w:textAlignment w:val="center"/>
              <w:rPr>
                <w:rFonts w:ascii="Times New Roman" w:hAnsi="Times New Roman" w:cs="Times New Roman"/>
                <w:color w:val="auto"/>
                <w:sz w:val="21"/>
                <w:lang w:eastAsia="zh-CN"/>
              </w:rPr>
            </w:pPr>
          </w:p>
        </w:tc>
        <w:tc>
          <w:tcPr>
            <w:tcW w:w="491" w:type="pct"/>
            <w:vMerge w:val="continue"/>
            <w:noWrap/>
            <w:vAlign w:val="center"/>
          </w:tcPr>
          <w:p w14:paraId="28226BDC">
            <w:pPr>
              <w:adjustRightInd w:val="0"/>
              <w:snapToGrid w:val="0"/>
              <w:jc w:val="center"/>
              <w:textAlignment w:val="center"/>
              <w:rPr>
                <w:rFonts w:ascii="Times New Roman" w:hAnsi="Times New Roman" w:cs="Times New Roman"/>
                <w:color w:val="auto"/>
                <w:sz w:val="21"/>
                <w:lang w:bidi="ar"/>
              </w:rPr>
            </w:pPr>
          </w:p>
        </w:tc>
        <w:tc>
          <w:tcPr>
            <w:tcW w:w="523" w:type="pct"/>
            <w:vMerge w:val="continue"/>
            <w:noWrap/>
            <w:vAlign w:val="center"/>
          </w:tcPr>
          <w:p w14:paraId="4B9090D7">
            <w:pPr>
              <w:jc w:val="center"/>
              <w:textAlignment w:val="center"/>
              <w:rPr>
                <w:rFonts w:ascii="Times New Roman" w:hAnsi="Times New Roman" w:cs="Times New Roman"/>
                <w:color w:val="auto"/>
                <w:sz w:val="21"/>
                <w:lang w:eastAsia="zh-CN" w:bidi="ar"/>
              </w:rPr>
            </w:pPr>
          </w:p>
        </w:tc>
        <w:tc>
          <w:tcPr>
            <w:tcW w:w="582" w:type="pct"/>
            <w:noWrap/>
            <w:vAlign w:val="center"/>
          </w:tcPr>
          <w:p w14:paraId="0411719C">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spacing w:val="-2"/>
                <w:sz w:val="21"/>
                <w:lang w:eastAsia="zh-CN" w:bidi="ar"/>
              </w:rPr>
              <w:t>日均</w:t>
            </w:r>
          </w:p>
        </w:tc>
        <w:tc>
          <w:tcPr>
            <w:tcW w:w="655" w:type="pct"/>
            <w:noWrap/>
          </w:tcPr>
          <w:p w14:paraId="2C40178F">
            <w:pPr>
              <w:jc w:val="center"/>
              <w:textAlignment w:val="center"/>
              <w:rPr>
                <w:rFonts w:ascii="Times New Roman" w:hAnsi="Times New Roman" w:cs="Times New Roman"/>
                <w:color w:val="auto"/>
                <w:sz w:val="21"/>
                <w:lang w:eastAsia="zh-CN" w:bidi="ar"/>
              </w:rPr>
            </w:pPr>
          </w:p>
        </w:tc>
        <w:tc>
          <w:tcPr>
            <w:tcW w:w="728" w:type="pct"/>
            <w:noWrap/>
            <w:vAlign w:val="center"/>
          </w:tcPr>
          <w:p w14:paraId="31D49108">
            <w:pPr>
              <w:jc w:val="center"/>
              <w:textAlignment w:val="center"/>
              <w:rPr>
                <w:rFonts w:ascii="Times New Roman" w:hAnsi="Times New Roman" w:cs="Times New Roman"/>
                <w:color w:val="auto"/>
                <w:sz w:val="21"/>
                <w:lang w:eastAsia="zh-CN" w:bidi="ar"/>
              </w:rPr>
            </w:pPr>
          </w:p>
        </w:tc>
        <w:tc>
          <w:tcPr>
            <w:tcW w:w="655" w:type="pct"/>
            <w:noWrap/>
            <w:vAlign w:val="center"/>
          </w:tcPr>
          <w:p w14:paraId="42CCAFB4">
            <w:pPr>
              <w:jc w:val="center"/>
              <w:textAlignment w:val="center"/>
              <w:rPr>
                <w:rFonts w:ascii="Times New Roman" w:hAnsi="Times New Roman" w:cs="Times New Roman"/>
                <w:color w:val="auto"/>
                <w:sz w:val="21"/>
                <w:lang w:eastAsia="zh-CN" w:bidi="ar"/>
              </w:rPr>
            </w:pPr>
          </w:p>
        </w:tc>
        <w:tc>
          <w:tcPr>
            <w:tcW w:w="586" w:type="pct"/>
            <w:noWrap/>
            <w:vAlign w:val="center"/>
          </w:tcPr>
          <w:p w14:paraId="417D7763">
            <w:pPr>
              <w:jc w:val="center"/>
              <w:textAlignment w:val="center"/>
              <w:rPr>
                <w:rFonts w:ascii="Times New Roman" w:hAnsi="Times New Roman" w:cs="Times New Roman"/>
                <w:color w:val="auto"/>
                <w:sz w:val="21"/>
                <w:lang w:eastAsia="zh-CN" w:bidi="ar"/>
              </w:rPr>
            </w:pPr>
          </w:p>
        </w:tc>
        <w:tc>
          <w:tcPr>
            <w:tcW w:w="483" w:type="pct"/>
            <w:noWrap/>
            <w:vAlign w:val="center"/>
          </w:tcPr>
          <w:p w14:paraId="0559F97E">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达标</w:t>
            </w:r>
          </w:p>
        </w:tc>
      </w:tr>
      <w:tr w14:paraId="44196F4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1" w:hRule="atLeast"/>
          <w:jc w:val="center"/>
        </w:trPr>
        <w:tc>
          <w:tcPr>
            <w:tcW w:w="296" w:type="pct"/>
            <w:vMerge w:val="restart"/>
            <w:noWrap/>
            <w:vAlign w:val="center"/>
          </w:tcPr>
          <w:p w14:paraId="0F631130">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5</w:t>
            </w:r>
          </w:p>
        </w:tc>
        <w:tc>
          <w:tcPr>
            <w:tcW w:w="491" w:type="pct"/>
            <w:vMerge w:val="continue"/>
            <w:noWrap/>
            <w:vAlign w:val="center"/>
          </w:tcPr>
          <w:p w14:paraId="6697295D">
            <w:pPr>
              <w:adjustRightInd w:val="0"/>
              <w:snapToGrid w:val="0"/>
              <w:jc w:val="center"/>
              <w:textAlignment w:val="center"/>
              <w:rPr>
                <w:rFonts w:ascii="Times New Roman" w:hAnsi="Times New Roman" w:cs="Times New Roman"/>
                <w:color w:val="auto"/>
                <w:sz w:val="21"/>
                <w:lang w:bidi="ar"/>
              </w:rPr>
            </w:pPr>
          </w:p>
        </w:tc>
        <w:tc>
          <w:tcPr>
            <w:tcW w:w="523" w:type="pct"/>
            <w:vMerge w:val="restart"/>
            <w:noWrap/>
            <w:vAlign w:val="center"/>
          </w:tcPr>
          <w:p w14:paraId="501AC733">
            <w:pPr>
              <w:jc w:val="center"/>
              <w:textAlignment w:val="center"/>
              <w:rPr>
                <w:rFonts w:ascii="Times New Roman" w:hAnsi="Times New Roman" w:cs="Times New Roman"/>
                <w:color w:val="auto"/>
                <w:sz w:val="21"/>
                <w:lang w:eastAsia="zh-CN" w:bidi="ar"/>
              </w:rPr>
            </w:pPr>
            <w:r>
              <w:rPr>
                <w:rFonts w:ascii="Times New Roman" w:hAnsi="Times New Roman" w:cs="Times New Roman"/>
                <w:color w:val="000000" w:themeColor="text1"/>
                <w:sz w:val="21"/>
                <w14:textFill>
                  <w14:solidFill>
                    <w14:schemeClr w14:val="tx1"/>
                  </w14:solidFill>
                </w14:textFill>
              </w:rPr>
              <w:t>高王家</w:t>
            </w:r>
          </w:p>
        </w:tc>
        <w:tc>
          <w:tcPr>
            <w:tcW w:w="582" w:type="pct"/>
            <w:noWrap/>
            <w:vAlign w:val="center"/>
          </w:tcPr>
          <w:p w14:paraId="2E58D761">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spacing w:val="-2"/>
                <w:sz w:val="21"/>
                <w:lang w:eastAsia="zh-CN" w:bidi="ar"/>
              </w:rPr>
              <w:t>1小时</w:t>
            </w:r>
          </w:p>
        </w:tc>
        <w:tc>
          <w:tcPr>
            <w:tcW w:w="655" w:type="pct"/>
            <w:noWrap/>
          </w:tcPr>
          <w:p w14:paraId="214B74A3">
            <w:pPr>
              <w:jc w:val="center"/>
              <w:textAlignment w:val="center"/>
              <w:rPr>
                <w:rFonts w:ascii="Times New Roman" w:hAnsi="Times New Roman" w:cs="Times New Roman"/>
                <w:color w:val="auto"/>
                <w:sz w:val="21"/>
                <w:lang w:eastAsia="zh-CN" w:bidi="ar"/>
              </w:rPr>
            </w:pPr>
          </w:p>
        </w:tc>
        <w:tc>
          <w:tcPr>
            <w:tcW w:w="728" w:type="pct"/>
            <w:noWrap/>
            <w:vAlign w:val="center"/>
          </w:tcPr>
          <w:p w14:paraId="66C6673B">
            <w:pPr>
              <w:jc w:val="center"/>
              <w:textAlignment w:val="center"/>
              <w:rPr>
                <w:rFonts w:ascii="Times New Roman" w:hAnsi="Times New Roman" w:cs="Times New Roman"/>
                <w:color w:val="auto"/>
                <w:sz w:val="21"/>
                <w:lang w:eastAsia="zh-CN" w:bidi="ar"/>
              </w:rPr>
            </w:pPr>
          </w:p>
        </w:tc>
        <w:tc>
          <w:tcPr>
            <w:tcW w:w="655" w:type="pct"/>
            <w:noWrap/>
            <w:vAlign w:val="center"/>
          </w:tcPr>
          <w:p w14:paraId="6473305A">
            <w:pPr>
              <w:jc w:val="center"/>
              <w:textAlignment w:val="center"/>
              <w:rPr>
                <w:rFonts w:ascii="Times New Roman" w:hAnsi="Times New Roman" w:cs="Times New Roman"/>
                <w:color w:val="auto"/>
                <w:sz w:val="21"/>
                <w:lang w:eastAsia="zh-CN" w:bidi="ar"/>
              </w:rPr>
            </w:pPr>
          </w:p>
        </w:tc>
        <w:tc>
          <w:tcPr>
            <w:tcW w:w="586" w:type="pct"/>
            <w:noWrap/>
            <w:vAlign w:val="center"/>
          </w:tcPr>
          <w:p w14:paraId="3212D872">
            <w:pPr>
              <w:jc w:val="center"/>
              <w:textAlignment w:val="center"/>
              <w:rPr>
                <w:rFonts w:ascii="Times New Roman" w:hAnsi="Times New Roman" w:cs="Times New Roman"/>
                <w:color w:val="auto"/>
                <w:sz w:val="21"/>
                <w:lang w:eastAsia="zh-CN" w:bidi="ar"/>
              </w:rPr>
            </w:pPr>
          </w:p>
        </w:tc>
        <w:tc>
          <w:tcPr>
            <w:tcW w:w="483" w:type="pct"/>
            <w:noWrap/>
            <w:vAlign w:val="center"/>
          </w:tcPr>
          <w:p w14:paraId="18064889">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达标</w:t>
            </w:r>
          </w:p>
        </w:tc>
      </w:tr>
      <w:tr w14:paraId="01F4C6A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1" w:hRule="atLeast"/>
          <w:jc w:val="center"/>
        </w:trPr>
        <w:tc>
          <w:tcPr>
            <w:tcW w:w="296" w:type="pct"/>
            <w:vMerge w:val="continue"/>
            <w:noWrap/>
            <w:vAlign w:val="center"/>
          </w:tcPr>
          <w:p w14:paraId="1ED004BD">
            <w:pPr>
              <w:adjustRightInd w:val="0"/>
              <w:snapToGrid w:val="0"/>
              <w:jc w:val="center"/>
              <w:textAlignment w:val="center"/>
              <w:rPr>
                <w:rFonts w:ascii="Times New Roman" w:hAnsi="Times New Roman" w:cs="Times New Roman"/>
                <w:color w:val="auto"/>
                <w:sz w:val="21"/>
                <w:lang w:eastAsia="zh-CN"/>
              </w:rPr>
            </w:pPr>
          </w:p>
        </w:tc>
        <w:tc>
          <w:tcPr>
            <w:tcW w:w="491" w:type="pct"/>
            <w:vMerge w:val="continue"/>
            <w:noWrap/>
            <w:vAlign w:val="center"/>
          </w:tcPr>
          <w:p w14:paraId="2D5294BD">
            <w:pPr>
              <w:adjustRightInd w:val="0"/>
              <w:snapToGrid w:val="0"/>
              <w:jc w:val="center"/>
              <w:textAlignment w:val="center"/>
              <w:rPr>
                <w:rFonts w:ascii="Times New Roman" w:hAnsi="Times New Roman" w:cs="Times New Roman"/>
                <w:color w:val="auto"/>
                <w:sz w:val="21"/>
                <w:lang w:bidi="ar"/>
              </w:rPr>
            </w:pPr>
          </w:p>
        </w:tc>
        <w:tc>
          <w:tcPr>
            <w:tcW w:w="523" w:type="pct"/>
            <w:vMerge w:val="continue"/>
            <w:noWrap/>
            <w:vAlign w:val="center"/>
          </w:tcPr>
          <w:p w14:paraId="5420D47A">
            <w:pPr>
              <w:jc w:val="center"/>
              <w:textAlignment w:val="center"/>
              <w:rPr>
                <w:rFonts w:ascii="Times New Roman" w:hAnsi="Times New Roman" w:cs="Times New Roman"/>
                <w:color w:val="auto"/>
                <w:sz w:val="21"/>
                <w:lang w:eastAsia="zh-CN" w:bidi="ar"/>
              </w:rPr>
            </w:pPr>
          </w:p>
        </w:tc>
        <w:tc>
          <w:tcPr>
            <w:tcW w:w="582" w:type="pct"/>
            <w:noWrap/>
            <w:vAlign w:val="center"/>
          </w:tcPr>
          <w:p w14:paraId="0A84208B">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spacing w:val="-2"/>
                <w:sz w:val="21"/>
                <w:lang w:eastAsia="zh-CN" w:bidi="ar"/>
              </w:rPr>
              <w:t>日均</w:t>
            </w:r>
          </w:p>
        </w:tc>
        <w:tc>
          <w:tcPr>
            <w:tcW w:w="655" w:type="pct"/>
            <w:noWrap/>
          </w:tcPr>
          <w:p w14:paraId="09E12E45">
            <w:pPr>
              <w:jc w:val="center"/>
              <w:textAlignment w:val="center"/>
              <w:rPr>
                <w:rFonts w:ascii="Times New Roman" w:hAnsi="Times New Roman" w:cs="Times New Roman"/>
                <w:color w:val="auto"/>
                <w:sz w:val="21"/>
                <w:lang w:eastAsia="zh-CN" w:bidi="ar"/>
              </w:rPr>
            </w:pPr>
          </w:p>
        </w:tc>
        <w:tc>
          <w:tcPr>
            <w:tcW w:w="728" w:type="pct"/>
            <w:noWrap/>
            <w:vAlign w:val="center"/>
          </w:tcPr>
          <w:p w14:paraId="1EB8C245">
            <w:pPr>
              <w:jc w:val="center"/>
              <w:textAlignment w:val="center"/>
              <w:rPr>
                <w:rFonts w:ascii="Times New Roman" w:hAnsi="Times New Roman" w:cs="Times New Roman"/>
                <w:color w:val="auto"/>
                <w:sz w:val="21"/>
                <w:lang w:eastAsia="zh-CN" w:bidi="ar"/>
              </w:rPr>
            </w:pPr>
          </w:p>
        </w:tc>
        <w:tc>
          <w:tcPr>
            <w:tcW w:w="655" w:type="pct"/>
            <w:noWrap/>
            <w:vAlign w:val="center"/>
          </w:tcPr>
          <w:p w14:paraId="31018332">
            <w:pPr>
              <w:jc w:val="center"/>
              <w:textAlignment w:val="center"/>
              <w:rPr>
                <w:rFonts w:ascii="Times New Roman" w:hAnsi="Times New Roman" w:cs="Times New Roman"/>
                <w:color w:val="auto"/>
                <w:sz w:val="21"/>
                <w:lang w:eastAsia="zh-CN" w:bidi="ar"/>
              </w:rPr>
            </w:pPr>
          </w:p>
        </w:tc>
        <w:tc>
          <w:tcPr>
            <w:tcW w:w="586" w:type="pct"/>
            <w:noWrap/>
            <w:vAlign w:val="center"/>
          </w:tcPr>
          <w:p w14:paraId="2212DC7F">
            <w:pPr>
              <w:jc w:val="center"/>
              <w:textAlignment w:val="center"/>
              <w:rPr>
                <w:rFonts w:ascii="Times New Roman" w:hAnsi="Times New Roman" w:cs="Times New Roman"/>
                <w:color w:val="auto"/>
                <w:sz w:val="21"/>
                <w:lang w:eastAsia="zh-CN" w:bidi="ar"/>
              </w:rPr>
            </w:pPr>
          </w:p>
        </w:tc>
        <w:tc>
          <w:tcPr>
            <w:tcW w:w="483" w:type="pct"/>
            <w:noWrap/>
            <w:vAlign w:val="center"/>
          </w:tcPr>
          <w:p w14:paraId="48A1CAFA">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达标</w:t>
            </w:r>
          </w:p>
        </w:tc>
      </w:tr>
      <w:tr w14:paraId="2ADBEB6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95" w:hRule="atLeast"/>
          <w:jc w:val="center"/>
        </w:trPr>
        <w:tc>
          <w:tcPr>
            <w:tcW w:w="296" w:type="pct"/>
            <w:vMerge w:val="restart"/>
            <w:noWrap/>
            <w:vAlign w:val="center"/>
          </w:tcPr>
          <w:p w14:paraId="26764C8A">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6</w:t>
            </w:r>
          </w:p>
        </w:tc>
        <w:tc>
          <w:tcPr>
            <w:tcW w:w="491" w:type="pct"/>
            <w:vMerge w:val="continue"/>
            <w:noWrap/>
            <w:vAlign w:val="center"/>
          </w:tcPr>
          <w:p w14:paraId="23630960">
            <w:pPr>
              <w:adjustRightInd w:val="0"/>
              <w:snapToGrid w:val="0"/>
              <w:jc w:val="center"/>
              <w:textAlignment w:val="center"/>
              <w:rPr>
                <w:rFonts w:ascii="Times New Roman" w:hAnsi="Times New Roman" w:cs="Times New Roman"/>
                <w:color w:val="auto"/>
                <w:sz w:val="21"/>
                <w:lang w:bidi="ar"/>
              </w:rPr>
            </w:pPr>
          </w:p>
        </w:tc>
        <w:tc>
          <w:tcPr>
            <w:tcW w:w="523" w:type="pct"/>
            <w:vMerge w:val="restart"/>
            <w:noWrap/>
            <w:vAlign w:val="center"/>
          </w:tcPr>
          <w:p w14:paraId="296B7E0B">
            <w:pPr>
              <w:jc w:val="center"/>
              <w:textAlignment w:val="center"/>
              <w:rPr>
                <w:rFonts w:ascii="Times New Roman" w:hAnsi="Times New Roman" w:cs="Times New Roman"/>
                <w:color w:val="auto"/>
                <w:sz w:val="21"/>
                <w:lang w:eastAsia="zh-CN" w:bidi="ar"/>
              </w:rPr>
            </w:pPr>
            <w:r>
              <w:rPr>
                <w:rFonts w:ascii="Times New Roman" w:hAnsi="Times New Roman" w:cs="Times New Roman"/>
                <w:color w:val="000000" w:themeColor="text1"/>
                <w:sz w:val="21"/>
                <w14:textFill>
                  <w14:solidFill>
                    <w14:schemeClr w14:val="tx1"/>
                  </w14:solidFill>
                </w14:textFill>
              </w:rPr>
              <w:t>三铺中学</w:t>
            </w:r>
          </w:p>
        </w:tc>
        <w:tc>
          <w:tcPr>
            <w:tcW w:w="582" w:type="pct"/>
            <w:noWrap/>
            <w:vAlign w:val="center"/>
          </w:tcPr>
          <w:p w14:paraId="1BCF417E">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spacing w:val="-2"/>
                <w:sz w:val="21"/>
                <w:lang w:eastAsia="zh-CN" w:bidi="ar"/>
              </w:rPr>
              <w:t>1小时</w:t>
            </w:r>
          </w:p>
        </w:tc>
        <w:tc>
          <w:tcPr>
            <w:tcW w:w="655" w:type="pct"/>
            <w:noWrap/>
          </w:tcPr>
          <w:p w14:paraId="79103BE9">
            <w:pPr>
              <w:jc w:val="center"/>
              <w:textAlignment w:val="center"/>
              <w:rPr>
                <w:rFonts w:ascii="Times New Roman" w:hAnsi="Times New Roman" w:cs="Times New Roman"/>
                <w:color w:val="auto"/>
                <w:sz w:val="21"/>
                <w:lang w:eastAsia="zh-CN" w:bidi="ar"/>
              </w:rPr>
            </w:pPr>
          </w:p>
        </w:tc>
        <w:tc>
          <w:tcPr>
            <w:tcW w:w="728" w:type="pct"/>
            <w:noWrap/>
            <w:vAlign w:val="center"/>
          </w:tcPr>
          <w:p w14:paraId="7ED7623C">
            <w:pPr>
              <w:jc w:val="center"/>
              <w:textAlignment w:val="center"/>
              <w:rPr>
                <w:rFonts w:ascii="Times New Roman" w:hAnsi="Times New Roman" w:cs="Times New Roman"/>
                <w:color w:val="auto"/>
                <w:sz w:val="21"/>
                <w:lang w:eastAsia="zh-CN" w:bidi="ar"/>
              </w:rPr>
            </w:pPr>
          </w:p>
        </w:tc>
        <w:tc>
          <w:tcPr>
            <w:tcW w:w="655" w:type="pct"/>
            <w:noWrap/>
            <w:vAlign w:val="center"/>
          </w:tcPr>
          <w:p w14:paraId="27E09D19">
            <w:pPr>
              <w:jc w:val="center"/>
              <w:textAlignment w:val="center"/>
              <w:rPr>
                <w:rFonts w:ascii="Times New Roman" w:hAnsi="Times New Roman" w:cs="Times New Roman"/>
                <w:color w:val="auto"/>
                <w:sz w:val="21"/>
                <w:lang w:eastAsia="zh-CN" w:bidi="ar"/>
              </w:rPr>
            </w:pPr>
          </w:p>
        </w:tc>
        <w:tc>
          <w:tcPr>
            <w:tcW w:w="586" w:type="pct"/>
            <w:noWrap/>
            <w:vAlign w:val="center"/>
          </w:tcPr>
          <w:p w14:paraId="6EF780F3">
            <w:pPr>
              <w:jc w:val="center"/>
              <w:textAlignment w:val="center"/>
              <w:rPr>
                <w:rFonts w:ascii="Times New Roman" w:hAnsi="Times New Roman" w:cs="Times New Roman"/>
                <w:color w:val="auto"/>
                <w:sz w:val="21"/>
                <w:lang w:eastAsia="zh-CN" w:bidi="ar"/>
              </w:rPr>
            </w:pPr>
          </w:p>
        </w:tc>
        <w:tc>
          <w:tcPr>
            <w:tcW w:w="483" w:type="pct"/>
            <w:noWrap/>
            <w:vAlign w:val="center"/>
          </w:tcPr>
          <w:p w14:paraId="281AE550">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达标</w:t>
            </w:r>
          </w:p>
        </w:tc>
      </w:tr>
      <w:tr w14:paraId="6E52AF3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1" w:hRule="atLeast"/>
          <w:jc w:val="center"/>
        </w:trPr>
        <w:tc>
          <w:tcPr>
            <w:tcW w:w="296" w:type="pct"/>
            <w:vMerge w:val="continue"/>
            <w:noWrap/>
            <w:vAlign w:val="center"/>
          </w:tcPr>
          <w:p w14:paraId="51E3ABBC">
            <w:pPr>
              <w:adjustRightInd w:val="0"/>
              <w:snapToGrid w:val="0"/>
              <w:jc w:val="center"/>
              <w:textAlignment w:val="center"/>
              <w:rPr>
                <w:rFonts w:ascii="Times New Roman" w:hAnsi="Times New Roman" w:cs="Times New Roman"/>
                <w:color w:val="auto"/>
                <w:sz w:val="21"/>
                <w:lang w:eastAsia="zh-CN"/>
              </w:rPr>
            </w:pPr>
          </w:p>
        </w:tc>
        <w:tc>
          <w:tcPr>
            <w:tcW w:w="491" w:type="pct"/>
            <w:vMerge w:val="continue"/>
            <w:noWrap/>
            <w:vAlign w:val="center"/>
          </w:tcPr>
          <w:p w14:paraId="26401DCB">
            <w:pPr>
              <w:adjustRightInd w:val="0"/>
              <w:snapToGrid w:val="0"/>
              <w:jc w:val="center"/>
              <w:textAlignment w:val="center"/>
              <w:rPr>
                <w:rFonts w:ascii="Times New Roman" w:hAnsi="Times New Roman" w:cs="Times New Roman"/>
                <w:color w:val="auto"/>
                <w:sz w:val="21"/>
                <w:lang w:bidi="ar"/>
              </w:rPr>
            </w:pPr>
          </w:p>
        </w:tc>
        <w:tc>
          <w:tcPr>
            <w:tcW w:w="523" w:type="pct"/>
            <w:vMerge w:val="continue"/>
            <w:noWrap/>
            <w:vAlign w:val="center"/>
          </w:tcPr>
          <w:p w14:paraId="04C3CE11">
            <w:pPr>
              <w:jc w:val="center"/>
              <w:textAlignment w:val="center"/>
              <w:rPr>
                <w:rFonts w:ascii="Times New Roman" w:hAnsi="Times New Roman" w:cs="Times New Roman"/>
                <w:color w:val="auto"/>
                <w:sz w:val="21"/>
                <w:lang w:eastAsia="zh-CN" w:bidi="ar"/>
              </w:rPr>
            </w:pPr>
          </w:p>
        </w:tc>
        <w:tc>
          <w:tcPr>
            <w:tcW w:w="582" w:type="pct"/>
            <w:noWrap/>
            <w:vAlign w:val="center"/>
          </w:tcPr>
          <w:p w14:paraId="66C50311">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spacing w:val="-2"/>
                <w:sz w:val="21"/>
                <w:lang w:eastAsia="zh-CN" w:bidi="ar"/>
              </w:rPr>
              <w:t>日均</w:t>
            </w:r>
          </w:p>
        </w:tc>
        <w:tc>
          <w:tcPr>
            <w:tcW w:w="655" w:type="pct"/>
            <w:noWrap/>
          </w:tcPr>
          <w:p w14:paraId="2F13996A">
            <w:pPr>
              <w:jc w:val="center"/>
              <w:textAlignment w:val="center"/>
              <w:rPr>
                <w:rFonts w:ascii="Times New Roman" w:hAnsi="Times New Roman" w:cs="Times New Roman"/>
                <w:color w:val="auto"/>
                <w:sz w:val="21"/>
                <w:lang w:eastAsia="zh-CN" w:bidi="ar"/>
              </w:rPr>
            </w:pPr>
          </w:p>
        </w:tc>
        <w:tc>
          <w:tcPr>
            <w:tcW w:w="728" w:type="pct"/>
            <w:noWrap/>
            <w:vAlign w:val="center"/>
          </w:tcPr>
          <w:p w14:paraId="1DF1431D">
            <w:pPr>
              <w:jc w:val="center"/>
              <w:textAlignment w:val="center"/>
              <w:rPr>
                <w:rFonts w:ascii="Times New Roman" w:hAnsi="Times New Roman" w:cs="Times New Roman"/>
                <w:color w:val="auto"/>
                <w:sz w:val="21"/>
                <w:lang w:eastAsia="zh-CN" w:bidi="ar"/>
              </w:rPr>
            </w:pPr>
          </w:p>
        </w:tc>
        <w:tc>
          <w:tcPr>
            <w:tcW w:w="655" w:type="pct"/>
            <w:noWrap/>
            <w:vAlign w:val="center"/>
          </w:tcPr>
          <w:p w14:paraId="4BA86D93">
            <w:pPr>
              <w:jc w:val="center"/>
              <w:textAlignment w:val="center"/>
              <w:rPr>
                <w:rFonts w:ascii="Times New Roman" w:hAnsi="Times New Roman" w:cs="Times New Roman"/>
                <w:color w:val="auto"/>
                <w:sz w:val="21"/>
                <w:lang w:eastAsia="zh-CN" w:bidi="ar"/>
              </w:rPr>
            </w:pPr>
          </w:p>
        </w:tc>
        <w:tc>
          <w:tcPr>
            <w:tcW w:w="586" w:type="pct"/>
            <w:noWrap/>
            <w:vAlign w:val="center"/>
          </w:tcPr>
          <w:p w14:paraId="17808988">
            <w:pPr>
              <w:jc w:val="center"/>
              <w:textAlignment w:val="center"/>
              <w:rPr>
                <w:rFonts w:ascii="Times New Roman" w:hAnsi="Times New Roman" w:cs="Times New Roman"/>
                <w:color w:val="auto"/>
                <w:sz w:val="21"/>
                <w:lang w:eastAsia="zh-CN" w:bidi="ar"/>
              </w:rPr>
            </w:pPr>
          </w:p>
        </w:tc>
        <w:tc>
          <w:tcPr>
            <w:tcW w:w="483" w:type="pct"/>
            <w:noWrap/>
            <w:vAlign w:val="center"/>
          </w:tcPr>
          <w:p w14:paraId="3928D3D0">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达标</w:t>
            </w:r>
          </w:p>
        </w:tc>
      </w:tr>
      <w:tr w14:paraId="7DC0970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1" w:hRule="atLeast"/>
          <w:jc w:val="center"/>
        </w:trPr>
        <w:tc>
          <w:tcPr>
            <w:tcW w:w="296" w:type="pct"/>
            <w:vMerge w:val="restart"/>
            <w:noWrap/>
            <w:vAlign w:val="center"/>
          </w:tcPr>
          <w:p w14:paraId="7519F82C">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7</w:t>
            </w:r>
          </w:p>
        </w:tc>
        <w:tc>
          <w:tcPr>
            <w:tcW w:w="491" w:type="pct"/>
            <w:vMerge w:val="continue"/>
            <w:noWrap/>
            <w:vAlign w:val="center"/>
          </w:tcPr>
          <w:p w14:paraId="0052AC98">
            <w:pPr>
              <w:adjustRightInd w:val="0"/>
              <w:snapToGrid w:val="0"/>
              <w:jc w:val="center"/>
              <w:textAlignment w:val="center"/>
              <w:rPr>
                <w:rFonts w:ascii="Times New Roman" w:hAnsi="Times New Roman" w:cs="Times New Roman"/>
                <w:color w:val="auto"/>
                <w:sz w:val="21"/>
                <w:lang w:bidi="ar"/>
              </w:rPr>
            </w:pPr>
          </w:p>
        </w:tc>
        <w:tc>
          <w:tcPr>
            <w:tcW w:w="523" w:type="pct"/>
            <w:vMerge w:val="restart"/>
            <w:noWrap/>
            <w:vAlign w:val="center"/>
          </w:tcPr>
          <w:p w14:paraId="7EB3F963">
            <w:pPr>
              <w:jc w:val="center"/>
              <w:textAlignment w:val="center"/>
              <w:rPr>
                <w:rFonts w:ascii="Times New Roman" w:hAnsi="Times New Roman" w:cs="Times New Roman"/>
                <w:color w:val="auto"/>
                <w:sz w:val="21"/>
                <w:lang w:eastAsia="zh-CN" w:bidi="ar"/>
              </w:rPr>
            </w:pPr>
            <w:r>
              <w:rPr>
                <w:rFonts w:ascii="Times New Roman" w:hAnsi="Times New Roman" w:cs="Times New Roman"/>
                <w:color w:val="000000" w:themeColor="text1"/>
                <w:sz w:val="21"/>
                <w14:textFill>
                  <w14:solidFill>
                    <w14:schemeClr w14:val="tx1"/>
                  </w14:solidFill>
                </w14:textFill>
              </w:rPr>
              <w:t>杜家湖</w:t>
            </w:r>
          </w:p>
        </w:tc>
        <w:tc>
          <w:tcPr>
            <w:tcW w:w="582" w:type="pct"/>
            <w:noWrap/>
            <w:vAlign w:val="center"/>
          </w:tcPr>
          <w:p w14:paraId="597357AE">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spacing w:val="-2"/>
                <w:sz w:val="21"/>
                <w:lang w:eastAsia="zh-CN" w:bidi="ar"/>
              </w:rPr>
              <w:t>1小时</w:t>
            </w:r>
          </w:p>
        </w:tc>
        <w:tc>
          <w:tcPr>
            <w:tcW w:w="655" w:type="pct"/>
            <w:noWrap/>
          </w:tcPr>
          <w:p w14:paraId="38F79B15">
            <w:pPr>
              <w:jc w:val="center"/>
              <w:textAlignment w:val="center"/>
              <w:rPr>
                <w:rFonts w:ascii="Times New Roman" w:hAnsi="Times New Roman" w:cs="Times New Roman"/>
                <w:color w:val="auto"/>
                <w:sz w:val="21"/>
                <w:lang w:eastAsia="zh-CN" w:bidi="ar"/>
              </w:rPr>
            </w:pPr>
          </w:p>
        </w:tc>
        <w:tc>
          <w:tcPr>
            <w:tcW w:w="728" w:type="pct"/>
            <w:noWrap/>
            <w:vAlign w:val="center"/>
          </w:tcPr>
          <w:p w14:paraId="0E054B8D">
            <w:pPr>
              <w:jc w:val="center"/>
              <w:textAlignment w:val="center"/>
              <w:rPr>
                <w:rFonts w:ascii="Times New Roman" w:hAnsi="Times New Roman" w:cs="Times New Roman"/>
                <w:color w:val="auto"/>
                <w:sz w:val="21"/>
                <w:lang w:eastAsia="zh-CN" w:bidi="ar"/>
              </w:rPr>
            </w:pPr>
          </w:p>
        </w:tc>
        <w:tc>
          <w:tcPr>
            <w:tcW w:w="655" w:type="pct"/>
            <w:noWrap/>
            <w:vAlign w:val="center"/>
          </w:tcPr>
          <w:p w14:paraId="7C30084E">
            <w:pPr>
              <w:jc w:val="center"/>
              <w:textAlignment w:val="center"/>
              <w:rPr>
                <w:rFonts w:ascii="Times New Roman" w:hAnsi="Times New Roman" w:cs="Times New Roman"/>
                <w:color w:val="auto"/>
                <w:sz w:val="21"/>
                <w:lang w:eastAsia="zh-CN" w:bidi="ar"/>
              </w:rPr>
            </w:pPr>
          </w:p>
        </w:tc>
        <w:tc>
          <w:tcPr>
            <w:tcW w:w="586" w:type="pct"/>
            <w:noWrap/>
            <w:vAlign w:val="center"/>
          </w:tcPr>
          <w:p w14:paraId="59BB9F5B">
            <w:pPr>
              <w:jc w:val="center"/>
              <w:textAlignment w:val="center"/>
              <w:rPr>
                <w:rFonts w:ascii="Times New Roman" w:hAnsi="Times New Roman" w:cs="Times New Roman"/>
                <w:color w:val="auto"/>
                <w:sz w:val="21"/>
                <w:lang w:eastAsia="zh-CN" w:bidi="ar"/>
              </w:rPr>
            </w:pPr>
          </w:p>
        </w:tc>
        <w:tc>
          <w:tcPr>
            <w:tcW w:w="483" w:type="pct"/>
            <w:noWrap/>
            <w:vAlign w:val="center"/>
          </w:tcPr>
          <w:p w14:paraId="0DDD4C30">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达标</w:t>
            </w:r>
          </w:p>
        </w:tc>
      </w:tr>
      <w:tr w14:paraId="406EBF6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1" w:hRule="atLeast"/>
          <w:jc w:val="center"/>
        </w:trPr>
        <w:tc>
          <w:tcPr>
            <w:tcW w:w="296" w:type="pct"/>
            <w:vMerge w:val="continue"/>
            <w:noWrap/>
            <w:vAlign w:val="center"/>
          </w:tcPr>
          <w:p w14:paraId="606E5C87">
            <w:pPr>
              <w:adjustRightInd w:val="0"/>
              <w:snapToGrid w:val="0"/>
              <w:jc w:val="center"/>
              <w:textAlignment w:val="center"/>
              <w:rPr>
                <w:rFonts w:ascii="Times New Roman" w:hAnsi="Times New Roman" w:cs="Times New Roman"/>
                <w:color w:val="auto"/>
                <w:sz w:val="21"/>
                <w:lang w:eastAsia="zh-CN"/>
              </w:rPr>
            </w:pPr>
          </w:p>
        </w:tc>
        <w:tc>
          <w:tcPr>
            <w:tcW w:w="491" w:type="pct"/>
            <w:vMerge w:val="continue"/>
            <w:noWrap/>
            <w:vAlign w:val="center"/>
          </w:tcPr>
          <w:p w14:paraId="04E08C6D">
            <w:pPr>
              <w:adjustRightInd w:val="0"/>
              <w:snapToGrid w:val="0"/>
              <w:jc w:val="center"/>
              <w:textAlignment w:val="center"/>
              <w:rPr>
                <w:rFonts w:ascii="Times New Roman" w:hAnsi="Times New Roman" w:cs="Times New Roman"/>
                <w:color w:val="auto"/>
                <w:sz w:val="21"/>
                <w:lang w:bidi="ar"/>
              </w:rPr>
            </w:pPr>
          </w:p>
        </w:tc>
        <w:tc>
          <w:tcPr>
            <w:tcW w:w="523" w:type="pct"/>
            <w:vMerge w:val="continue"/>
            <w:noWrap/>
            <w:vAlign w:val="center"/>
          </w:tcPr>
          <w:p w14:paraId="3577DBDC">
            <w:pPr>
              <w:jc w:val="center"/>
              <w:textAlignment w:val="center"/>
              <w:rPr>
                <w:rFonts w:ascii="Times New Roman" w:hAnsi="Times New Roman" w:cs="Times New Roman"/>
                <w:color w:val="auto"/>
                <w:sz w:val="21"/>
                <w:lang w:eastAsia="zh-CN" w:bidi="ar"/>
              </w:rPr>
            </w:pPr>
          </w:p>
        </w:tc>
        <w:tc>
          <w:tcPr>
            <w:tcW w:w="582" w:type="pct"/>
            <w:noWrap/>
            <w:vAlign w:val="center"/>
          </w:tcPr>
          <w:p w14:paraId="523A4B7B">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spacing w:val="-2"/>
                <w:sz w:val="21"/>
                <w:lang w:eastAsia="zh-CN" w:bidi="ar"/>
              </w:rPr>
              <w:t>日均</w:t>
            </w:r>
          </w:p>
        </w:tc>
        <w:tc>
          <w:tcPr>
            <w:tcW w:w="655" w:type="pct"/>
            <w:noWrap/>
          </w:tcPr>
          <w:p w14:paraId="216E8F3E">
            <w:pPr>
              <w:jc w:val="center"/>
              <w:textAlignment w:val="center"/>
              <w:rPr>
                <w:rFonts w:ascii="Times New Roman" w:hAnsi="Times New Roman" w:cs="Times New Roman"/>
                <w:color w:val="auto"/>
                <w:sz w:val="21"/>
                <w:lang w:eastAsia="zh-CN" w:bidi="ar"/>
              </w:rPr>
            </w:pPr>
          </w:p>
        </w:tc>
        <w:tc>
          <w:tcPr>
            <w:tcW w:w="728" w:type="pct"/>
            <w:noWrap/>
            <w:vAlign w:val="center"/>
          </w:tcPr>
          <w:p w14:paraId="297A0408">
            <w:pPr>
              <w:jc w:val="center"/>
              <w:textAlignment w:val="center"/>
              <w:rPr>
                <w:rFonts w:ascii="Times New Roman" w:hAnsi="Times New Roman" w:cs="Times New Roman"/>
                <w:color w:val="auto"/>
                <w:sz w:val="21"/>
                <w:lang w:eastAsia="zh-CN" w:bidi="ar"/>
              </w:rPr>
            </w:pPr>
          </w:p>
        </w:tc>
        <w:tc>
          <w:tcPr>
            <w:tcW w:w="655" w:type="pct"/>
            <w:noWrap/>
            <w:vAlign w:val="center"/>
          </w:tcPr>
          <w:p w14:paraId="48F97DD3">
            <w:pPr>
              <w:jc w:val="center"/>
              <w:textAlignment w:val="center"/>
              <w:rPr>
                <w:rFonts w:ascii="Times New Roman" w:hAnsi="Times New Roman" w:cs="Times New Roman"/>
                <w:color w:val="auto"/>
                <w:sz w:val="21"/>
                <w:lang w:eastAsia="zh-CN" w:bidi="ar"/>
              </w:rPr>
            </w:pPr>
          </w:p>
        </w:tc>
        <w:tc>
          <w:tcPr>
            <w:tcW w:w="586" w:type="pct"/>
            <w:noWrap/>
            <w:vAlign w:val="center"/>
          </w:tcPr>
          <w:p w14:paraId="265CD61B">
            <w:pPr>
              <w:jc w:val="center"/>
              <w:textAlignment w:val="center"/>
              <w:rPr>
                <w:rFonts w:ascii="Times New Roman" w:hAnsi="Times New Roman" w:cs="Times New Roman"/>
                <w:color w:val="auto"/>
                <w:sz w:val="21"/>
                <w:lang w:eastAsia="zh-CN" w:bidi="ar"/>
              </w:rPr>
            </w:pPr>
          </w:p>
        </w:tc>
        <w:tc>
          <w:tcPr>
            <w:tcW w:w="483" w:type="pct"/>
            <w:noWrap/>
            <w:vAlign w:val="center"/>
          </w:tcPr>
          <w:p w14:paraId="528E841A">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达标</w:t>
            </w:r>
          </w:p>
        </w:tc>
      </w:tr>
      <w:tr w14:paraId="1A1F1EB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1" w:hRule="atLeast"/>
          <w:jc w:val="center"/>
        </w:trPr>
        <w:tc>
          <w:tcPr>
            <w:tcW w:w="296" w:type="pct"/>
            <w:vMerge w:val="restart"/>
            <w:noWrap/>
            <w:vAlign w:val="center"/>
          </w:tcPr>
          <w:p w14:paraId="73B2743D">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8</w:t>
            </w:r>
          </w:p>
        </w:tc>
        <w:tc>
          <w:tcPr>
            <w:tcW w:w="491" w:type="pct"/>
            <w:vMerge w:val="continue"/>
            <w:noWrap/>
            <w:vAlign w:val="center"/>
          </w:tcPr>
          <w:p w14:paraId="2022387B">
            <w:pPr>
              <w:adjustRightInd w:val="0"/>
              <w:snapToGrid w:val="0"/>
              <w:jc w:val="center"/>
              <w:textAlignment w:val="center"/>
              <w:rPr>
                <w:rFonts w:ascii="Times New Roman" w:hAnsi="Times New Roman" w:cs="Times New Roman"/>
                <w:color w:val="auto"/>
                <w:sz w:val="21"/>
                <w:lang w:bidi="ar"/>
              </w:rPr>
            </w:pPr>
          </w:p>
        </w:tc>
        <w:tc>
          <w:tcPr>
            <w:tcW w:w="523" w:type="pct"/>
            <w:vMerge w:val="restart"/>
            <w:noWrap/>
            <w:vAlign w:val="center"/>
          </w:tcPr>
          <w:p w14:paraId="5BDD84F3">
            <w:pPr>
              <w:jc w:val="center"/>
              <w:textAlignment w:val="center"/>
              <w:rPr>
                <w:rFonts w:ascii="Times New Roman" w:hAnsi="Times New Roman" w:cs="Times New Roman"/>
                <w:color w:val="auto"/>
                <w:sz w:val="21"/>
                <w:lang w:eastAsia="zh-CN" w:bidi="ar"/>
              </w:rPr>
            </w:pPr>
            <w:r>
              <w:rPr>
                <w:rFonts w:ascii="Times New Roman" w:hAnsi="Times New Roman" w:cs="Times New Roman"/>
                <w:color w:val="000000" w:themeColor="text1"/>
                <w:sz w:val="21"/>
                <w14:textFill>
                  <w14:solidFill>
                    <w14:schemeClr w14:val="tx1"/>
                  </w14:solidFill>
                </w14:textFill>
              </w:rPr>
              <w:t>网格点</w:t>
            </w:r>
          </w:p>
        </w:tc>
        <w:tc>
          <w:tcPr>
            <w:tcW w:w="582" w:type="pct"/>
            <w:noWrap/>
            <w:vAlign w:val="center"/>
          </w:tcPr>
          <w:p w14:paraId="5C4235F1">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spacing w:val="-2"/>
                <w:sz w:val="21"/>
                <w:lang w:eastAsia="zh-CN" w:bidi="ar"/>
              </w:rPr>
              <w:t>1小时</w:t>
            </w:r>
          </w:p>
        </w:tc>
        <w:tc>
          <w:tcPr>
            <w:tcW w:w="655" w:type="pct"/>
            <w:noWrap/>
          </w:tcPr>
          <w:p w14:paraId="731C4C51">
            <w:pPr>
              <w:jc w:val="center"/>
              <w:textAlignment w:val="center"/>
              <w:rPr>
                <w:rFonts w:ascii="Times New Roman" w:hAnsi="Times New Roman" w:cs="Times New Roman"/>
                <w:color w:val="auto"/>
                <w:sz w:val="21"/>
                <w:lang w:eastAsia="zh-CN" w:bidi="ar"/>
              </w:rPr>
            </w:pPr>
          </w:p>
        </w:tc>
        <w:tc>
          <w:tcPr>
            <w:tcW w:w="728" w:type="pct"/>
            <w:noWrap/>
            <w:vAlign w:val="center"/>
          </w:tcPr>
          <w:p w14:paraId="1FA8C39A">
            <w:pPr>
              <w:jc w:val="center"/>
              <w:textAlignment w:val="center"/>
              <w:rPr>
                <w:rFonts w:ascii="Times New Roman" w:hAnsi="Times New Roman" w:cs="Times New Roman"/>
                <w:color w:val="auto"/>
                <w:sz w:val="21"/>
                <w:lang w:eastAsia="zh-CN" w:bidi="ar"/>
              </w:rPr>
            </w:pPr>
          </w:p>
        </w:tc>
        <w:tc>
          <w:tcPr>
            <w:tcW w:w="655" w:type="pct"/>
            <w:noWrap/>
            <w:vAlign w:val="center"/>
          </w:tcPr>
          <w:p w14:paraId="2864AE4F">
            <w:pPr>
              <w:jc w:val="center"/>
              <w:textAlignment w:val="center"/>
              <w:rPr>
                <w:rFonts w:ascii="Times New Roman" w:hAnsi="Times New Roman" w:cs="Times New Roman"/>
                <w:color w:val="auto"/>
                <w:sz w:val="21"/>
                <w:lang w:eastAsia="zh-CN" w:bidi="ar"/>
              </w:rPr>
            </w:pPr>
          </w:p>
        </w:tc>
        <w:tc>
          <w:tcPr>
            <w:tcW w:w="586" w:type="pct"/>
            <w:noWrap/>
            <w:vAlign w:val="center"/>
          </w:tcPr>
          <w:p w14:paraId="397FCB7D">
            <w:pPr>
              <w:jc w:val="center"/>
              <w:textAlignment w:val="center"/>
              <w:rPr>
                <w:rFonts w:ascii="Times New Roman" w:hAnsi="Times New Roman" w:cs="Times New Roman"/>
                <w:color w:val="auto"/>
                <w:sz w:val="21"/>
                <w:lang w:eastAsia="zh-CN" w:bidi="ar"/>
              </w:rPr>
            </w:pPr>
          </w:p>
        </w:tc>
        <w:tc>
          <w:tcPr>
            <w:tcW w:w="483" w:type="pct"/>
            <w:noWrap/>
            <w:vAlign w:val="center"/>
          </w:tcPr>
          <w:p w14:paraId="76AE5C7D">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达标</w:t>
            </w:r>
          </w:p>
        </w:tc>
      </w:tr>
      <w:tr w14:paraId="30D0A9C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1" w:hRule="atLeast"/>
          <w:jc w:val="center"/>
        </w:trPr>
        <w:tc>
          <w:tcPr>
            <w:tcW w:w="296" w:type="pct"/>
            <w:vMerge w:val="continue"/>
            <w:noWrap/>
            <w:vAlign w:val="center"/>
          </w:tcPr>
          <w:p w14:paraId="36E97319">
            <w:pPr>
              <w:adjustRightInd w:val="0"/>
              <w:snapToGrid w:val="0"/>
              <w:jc w:val="center"/>
              <w:textAlignment w:val="center"/>
              <w:rPr>
                <w:rFonts w:ascii="Times New Roman" w:hAnsi="Times New Roman" w:cs="Times New Roman"/>
                <w:color w:val="auto"/>
                <w:sz w:val="21"/>
                <w:lang w:eastAsia="zh-CN"/>
              </w:rPr>
            </w:pPr>
          </w:p>
        </w:tc>
        <w:tc>
          <w:tcPr>
            <w:tcW w:w="491" w:type="pct"/>
            <w:vMerge w:val="continue"/>
            <w:noWrap/>
            <w:vAlign w:val="center"/>
          </w:tcPr>
          <w:p w14:paraId="34F15728">
            <w:pPr>
              <w:adjustRightInd w:val="0"/>
              <w:snapToGrid w:val="0"/>
              <w:jc w:val="center"/>
              <w:textAlignment w:val="center"/>
              <w:rPr>
                <w:rFonts w:ascii="Times New Roman" w:hAnsi="Times New Roman" w:cs="Times New Roman"/>
                <w:color w:val="auto"/>
                <w:sz w:val="21"/>
                <w:lang w:bidi="ar"/>
              </w:rPr>
            </w:pPr>
          </w:p>
        </w:tc>
        <w:tc>
          <w:tcPr>
            <w:tcW w:w="523" w:type="pct"/>
            <w:vMerge w:val="continue"/>
            <w:noWrap/>
            <w:vAlign w:val="center"/>
          </w:tcPr>
          <w:p w14:paraId="29A9618A">
            <w:pPr>
              <w:jc w:val="center"/>
              <w:textAlignment w:val="center"/>
              <w:rPr>
                <w:rFonts w:ascii="Times New Roman" w:hAnsi="Times New Roman" w:cs="Times New Roman"/>
                <w:color w:val="auto"/>
                <w:sz w:val="21"/>
                <w:lang w:eastAsia="zh-CN" w:bidi="ar"/>
              </w:rPr>
            </w:pPr>
          </w:p>
        </w:tc>
        <w:tc>
          <w:tcPr>
            <w:tcW w:w="582" w:type="pct"/>
            <w:noWrap/>
            <w:vAlign w:val="center"/>
          </w:tcPr>
          <w:p w14:paraId="620FB3F6">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spacing w:val="-2"/>
                <w:sz w:val="21"/>
                <w:lang w:eastAsia="zh-CN" w:bidi="ar"/>
              </w:rPr>
              <w:t>日均</w:t>
            </w:r>
          </w:p>
        </w:tc>
        <w:tc>
          <w:tcPr>
            <w:tcW w:w="655" w:type="pct"/>
            <w:noWrap/>
          </w:tcPr>
          <w:p w14:paraId="0F77D37D">
            <w:pPr>
              <w:jc w:val="center"/>
              <w:textAlignment w:val="center"/>
              <w:rPr>
                <w:rFonts w:ascii="Times New Roman" w:hAnsi="Times New Roman" w:cs="Times New Roman"/>
                <w:color w:val="auto"/>
                <w:sz w:val="21"/>
                <w:lang w:eastAsia="zh-CN" w:bidi="ar"/>
              </w:rPr>
            </w:pPr>
          </w:p>
        </w:tc>
        <w:tc>
          <w:tcPr>
            <w:tcW w:w="728" w:type="pct"/>
            <w:noWrap/>
            <w:vAlign w:val="center"/>
          </w:tcPr>
          <w:p w14:paraId="02F92434">
            <w:pPr>
              <w:jc w:val="center"/>
              <w:textAlignment w:val="center"/>
              <w:rPr>
                <w:rFonts w:ascii="Times New Roman" w:hAnsi="Times New Roman" w:cs="Times New Roman"/>
                <w:color w:val="auto"/>
                <w:sz w:val="21"/>
                <w:lang w:eastAsia="zh-CN" w:bidi="ar"/>
              </w:rPr>
            </w:pPr>
          </w:p>
        </w:tc>
        <w:tc>
          <w:tcPr>
            <w:tcW w:w="655" w:type="pct"/>
            <w:noWrap/>
            <w:vAlign w:val="center"/>
          </w:tcPr>
          <w:p w14:paraId="2AEE7E70">
            <w:pPr>
              <w:jc w:val="center"/>
              <w:textAlignment w:val="center"/>
              <w:rPr>
                <w:rFonts w:ascii="Times New Roman" w:hAnsi="Times New Roman" w:cs="Times New Roman"/>
                <w:color w:val="auto"/>
                <w:sz w:val="21"/>
                <w:lang w:eastAsia="zh-CN" w:bidi="ar"/>
              </w:rPr>
            </w:pPr>
          </w:p>
        </w:tc>
        <w:tc>
          <w:tcPr>
            <w:tcW w:w="586" w:type="pct"/>
            <w:noWrap/>
            <w:vAlign w:val="center"/>
          </w:tcPr>
          <w:p w14:paraId="1A75543A">
            <w:pPr>
              <w:jc w:val="center"/>
              <w:textAlignment w:val="center"/>
              <w:rPr>
                <w:rFonts w:ascii="Times New Roman" w:hAnsi="Times New Roman" w:cs="Times New Roman"/>
                <w:color w:val="auto"/>
                <w:sz w:val="21"/>
                <w:lang w:eastAsia="zh-CN" w:bidi="ar"/>
              </w:rPr>
            </w:pPr>
          </w:p>
        </w:tc>
        <w:tc>
          <w:tcPr>
            <w:tcW w:w="483" w:type="pct"/>
            <w:noWrap/>
            <w:vAlign w:val="center"/>
          </w:tcPr>
          <w:p w14:paraId="222CEEC4">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达标</w:t>
            </w:r>
          </w:p>
        </w:tc>
      </w:tr>
      <w:tr w14:paraId="16E7F63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1" w:hRule="atLeast"/>
          <w:jc w:val="center"/>
        </w:trPr>
        <w:tc>
          <w:tcPr>
            <w:tcW w:w="296" w:type="pct"/>
            <w:vMerge w:val="restart"/>
            <w:noWrap/>
            <w:vAlign w:val="center"/>
          </w:tcPr>
          <w:p w14:paraId="3DDD078C">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1</w:t>
            </w:r>
          </w:p>
        </w:tc>
        <w:tc>
          <w:tcPr>
            <w:tcW w:w="491" w:type="pct"/>
            <w:vMerge w:val="restart"/>
            <w:noWrap/>
            <w:vAlign w:val="center"/>
          </w:tcPr>
          <w:p w14:paraId="63775402">
            <w:pPr>
              <w:adjustRightInd w:val="0"/>
              <w:snapToGrid w:val="0"/>
              <w:jc w:val="center"/>
              <w:textAlignment w:val="center"/>
              <w:rPr>
                <w:rFonts w:ascii="Times New Roman" w:hAnsi="Times New Roman" w:cs="Times New Roman"/>
                <w:color w:val="auto"/>
                <w:sz w:val="21"/>
                <w:lang w:bidi="ar"/>
              </w:rPr>
            </w:pPr>
            <w:r>
              <w:rPr>
                <w:rFonts w:ascii="Times New Roman" w:hAnsi="Times New Roman" w:cs="Times New Roman"/>
                <w:color w:val="auto"/>
                <w:sz w:val="21"/>
                <w:lang w:eastAsia="zh-CN" w:bidi="ar"/>
              </w:rPr>
              <w:t>氯化氢</w:t>
            </w:r>
          </w:p>
        </w:tc>
        <w:tc>
          <w:tcPr>
            <w:tcW w:w="523" w:type="pct"/>
            <w:vMerge w:val="restart"/>
            <w:noWrap/>
            <w:vAlign w:val="center"/>
          </w:tcPr>
          <w:p w14:paraId="73DEBBDF">
            <w:pPr>
              <w:jc w:val="center"/>
              <w:textAlignment w:val="center"/>
              <w:rPr>
                <w:rFonts w:ascii="Times New Roman" w:hAnsi="Times New Roman" w:cs="Times New Roman"/>
                <w:color w:val="auto"/>
                <w:sz w:val="21"/>
                <w:lang w:eastAsia="zh-CN" w:bidi="ar"/>
              </w:rPr>
            </w:pPr>
            <w:r>
              <w:rPr>
                <w:rFonts w:ascii="Times New Roman" w:hAnsi="Times New Roman" w:cs="Times New Roman"/>
                <w:color w:val="000000" w:themeColor="text1"/>
                <w:sz w:val="21"/>
                <w14:textFill>
                  <w14:solidFill>
                    <w14:schemeClr w14:val="tx1"/>
                  </w14:solidFill>
                </w14:textFill>
              </w:rPr>
              <w:t>大柏村</w:t>
            </w:r>
          </w:p>
        </w:tc>
        <w:tc>
          <w:tcPr>
            <w:tcW w:w="582" w:type="pct"/>
            <w:noWrap/>
            <w:vAlign w:val="center"/>
          </w:tcPr>
          <w:p w14:paraId="42DA5079">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spacing w:val="-2"/>
                <w:sz w:val="21"/>
                <w:lang w:eastAsia="zh-CN" w:bidi="ar"/>
              </w:rPr>
              <w:t>1小时</w:t>
            </w:r>
          </w:p>
        </w:tc>
        <w:tc>
          <w:tcPr>
            <w:tcW w:w="655" w:type="pct"/>
            <w:noWrap/>
          </w:tcPr>
          <w:p w14:paraId="4C4E128A">
            <w:pPr>
              <w:jc w:val="center"/>
              <w:textAlignment w:val="center"/>
              <w:rPr>
                <w:rFonts w:ascii="Times New Roman" w:hAnsi="Times New Roman" w:cs="Times New Roman"/>
                <w:color w:val="auto"/>
                <w:sz w:val="21"/>
                <w:lang w:eastAsia="zh-CN" w:bidi="ar"/>
              </w:rPr>
            </w:pPr>
          </w:p>
        </w:tc>
        <w:tc>
          <w:tcPr>
            <w:tcW w:w="728" w:type="pct"/>
            <w:noWrap/>
            <w:vAlign w:val="center"/>
          </w:tcPr>
          <w:p w14:paraId="6A2A1724">
            <w:pPr>
              <w:jc w:val="center"/>
              <w:textAlignment w:val="center"/>
              <w:rPr>
                <w:rFonts w:ascii="Times New Roman" w:hAnsi="Times New Roman" w:cs="Times New Roman"/>
                <w:color w:val="auto"/>
                <w:sz w:val="21"/>
                <w:lang w:eastAsia="zh-CN" w:bidi="ar"/>
              </w:rPr>
            </w:pPr>
          </w:p>
        </w:tc>
        <w:tc>
          <w:tcPr>
            <w:tcW w:w="655" w:type="pct"/>
            <w:noWrap/>
            <w:vAlign w:val="center"/>
          </w:tcPr>
          <w:p w14:paraId="6BC6A634">
            <w:pPr>
              <w:jc w:val="center"/>
              <w:textAlignment w:val="center"/>
              <w:rPr>
                <w:rFonts w:ascii="Times New Roman" w:hAnsi="Times New Roman" w:cs="Times New Roman"/>
                <w:color w:val="auto"/>
                <w:sz w:val="21"/>
                <w:lang w:eastAsia="zh-CN" w:bidi="ar"/>
              </w:rPr>
            </w:pPr>
          </w:p>
        </w:tc>
        <w:tc>
          <w:tcPr>
            <w:tcW w:w="586" w:type="pct"/>
            <w:noWrap/>
            <w:vAlign w:val="center"/>
          </w:tcPr>
          <w:p w14:paraId="3EE308D5">
            <w:pPr>
              <w:jc w:val="center"/>
              <w:textAlignment w:val="center"/>
              <w:rPr>
                <w:rFonts w:ascii="Times New Roman" w:hAnsi="Times New Roman" w:cs="Times New Roman"/>
                <w:color w:val="auto"/>
                <w:sz w:val="21"/>
                <w:lang w:eastAsia="zh-CN" w:bidi="ar"/>
              </w:rPr>
            </w:pPr>
          </w:p>
        </w:tc>
        <w:tc>
          <w:tcPr>
            <w:tcW w:w="483" w:type="pct"/>
            <w:noWrap/>
            <w:vAlign w:val="center"/>
          </w:tcPr>
          <w:p w14:paraId="26D6BB9B">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达标</w:t>
            </w:r>
          </w:p>
        </w:tc>
      </w:tr>
      <w:tr w14:paraId="07A6815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1" w:hRule="atLeast"/>
          <w:jc w:val="center"/>
        </w:trPr>
        <w:tc>
          <w:tcPr>
            <w:tcW w:w="296" w:type="pct"/>
            <w:vMerge w:val="continue"/>
            <w:noWrap/>
            <w:vAlign w:val="center"/>
          </w:tcPr>
          <w:p w14:paraId="5BDC50D9">
            <w:pPr>
              <w:adjustRightInd w:val="0"/>
              <w:snapToGrid w:val="0"/>
              <w:jc w:val="center"/>
              <w:textAlignment w:val="center"/>
              <w:rPr>
                <w:rFonts w:ascii="Times New Roman" w:hAnsi="Times New Roman" w:cs="Times New Roman"/>
                <w:color w:val="auto"/>
                <w:sz w:val="21"/>
                <w:lang w:eastAsia="zh-CN"/>
              </w:rPr>
            </w:pPr>
          </w:p>
        </w:tc>
        <w:tc>
          <w:tcPr>
            <w:tcW w:w="491" w:type="pct"/>
            <w:vMerge w:val="continue"/>
            <w:noWrap/>
            <w:vAlign w:val="center"/>
          </w:tcPr>
          <w:p w14:paraId="2E1684A0">
            <w:pPr>
              <w:adjustRightInd w:val="0"/>
              <w:snapToGrid w:val="0"/>
              <w:jc w:val="center"/>
              <w:textAlignment w:val="center"/>
              <w:rPr>
                <w:rFonts w:ascii="Times New Roman" w:hAnsi="Times New Roman" w:cs="Times New Roman"/>
                <w:color w:val="auto"/>
                <w:sz w:val="21"/>
                <w:lang w:bidi="ar"/>
              </w:rPr>
            </w:pPr>
          </w:p>
        </w:tc>
        <w:tc>
          <w:tcPr>
            <w:tcW w:w="523" w:type="pct"/>
            <w:vMerge w:val="continue"/>
            <w:noWrap/>
            <w:vAlign w:val="center"/>
          </w:tcPr>
          <w:p w14:paraId="30EAC844">
            <w:pPr>
              <w:jc w:val="center"/>
              <w:textAlignment w:val="center"/>
              <w:rPr>
                <w:rFonts w:ascii="Times New Roman" w:hAnsi="Times New Roman" w:cs="Times New Roman"/>
                <w:color w:val="auto"/>
                <w:sz w:val="21"/>
                <w:lang w:eastAsia="zh-CN" w:bidi="ar"/>
              </w:rPr>
            </w:pPr>
          </w:p>
        </w:tc>
        <w:tc>
          <w:tcPr>
            <w:tcW w:w="582" w:type="pct"/>
            <w:noWrap/>
            <w:vAlign w:val="center"/>
          </w:tcPr>
          <w:p w14:paraId="3A119FE3">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spacing w:val="-2"/>
                <w:sz w:val="21"/>
                <w:lang w:eastAsia="zh-CN" w:bidi="ar"/>
              </w:rPr>
              <w:t>日均</w:t>
            </w:r>
          </w:p>
        </w:tc>
        <w:tc>
          <w:tcPr>
            <w:tcW w:w="655" w:type="pct"/>
            <w:noWrap/>
          </w:tcPr>
          <w:p w14:paraId="512F905F">
            <w:pPr>
              <w:jc w:val="center"/>
              <w:textAlignment w:val="center"/>
              <w:rPr>
                <w:rFonts w:ascii="Times New Roman" w:hAnsi="Times New Roman" w:cs="Times New Roman"/>
                <w:color w:val="auto"/>
                <w:sz w:val="21"/>
                <w:lang w:eastAsia="zh-CN" w:bidi="ar"/>
              </w:rPr>
            </w:pPr>
          </w:p>
        </w:tc>
        <w:tc>
          <w:tcPr>
            <w:tcW w:w="728" w:type="pct"/>
            <w:noWrap/>
            <w:vAlign w:val="center"/>
          </w:tcPr>
          <w:p w14:paraId="28C25C3D">
            <w:pPr>
              <w:jc w:val="center"/>
              <w:textAlignment w:val="center"/>
              <w:rPr>
                <w:rFonts w:ascii="Times New Roman" w:hAnsi="Times New Roman" w:cs="Times New Roman"/>
                <w:color w:val="auto"/>
                <w:sz w:val="21"/>
                <w:lang w:eastAsia="zh-CN" w:bidi="ar"/>
              </w:rPr>
            </w:pPr>
          </w:p>
        </w:tc>
        <w:tc>
          <w:tcPr>
            <w:tcW w:w="655" w:type="pct"/>
            <w:noWrap/>
            <w:vAlign w:val="center"/>
          </w:tcPr>
          <w:p w14:paraId="43594DD4">
            <w:pPr>
              <w:jc w:val="center"/>
              <w:textAlignment w:val="center"/>
              <w:rPr>
                <w:rFonts w:ascii="Times New Roman" w:hAnsi="Times New Roman" w:cs="Times New Roman"/>
                <w:color w:val="auto"/>
                <w:sz w:val="21"/>
                <w:lang w:eastAsia="zh-CN" w:bidi="ar"/>
              </w:rPr>
            </w:pPr>
          </w:p>
        </w:tc>
        <w:tc>
          <w:tcPr>
            <w:tcW w:w="586" w:type="pct"/>
            <w:noWrap/>
            <w:vAlign w:val="center"/>
          </w:tcPr>
          <w:p w14:paraId="540B844C">
            <w:pPr>
              <w:jc w:val="center"/>
              <w:textAlignment w:val="center"/>
              <w:rPr>
                <w:rFonts w:ascii="Times New Roman" w:hAnsi="Times New Roman" w:cs="Times New Roman"/>
                <w:color w:val="auto"/>
                <w:sz w:val="21"/>
                <w:lang w:eastAsia="zh-CN" w:bidi="ar"/>
              </w:rPr>
            </w:pPr>
          </w:p>
        </w:tc>
        <w:tc>
          <w:tcPr>
            <w:tcW w:w="483" w:type="pct"/>
            <w:noWrap/>
            <w:vAlign w:val="center"/>
          </w:tcPr>
          <w:p w14:paraId="58DF3FFC">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达标</w:t>
            </w:r>
          </w:p>
        </w:tc>
      </w:tr>
      <w:tr w14:paraId="092F718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1" w:hRule="atLeast"/>
          <w:jc w:val="center"/>
        </w:trPr>
        <w:tc>
          <w:tcPr>
            <w:tcW w:w="296" w:type="pct"/>
            <w:vMerge w:val="restart"/>
            <w:noWrap/>
            <w:vAlign w:val="center"/>
          </w:tcPr>
          <w:p w14:paraId="19BD85F5">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2</w:t>
            </w:r>
          </w:p>
        </w:tc>
        <w:tc>
          <w:tcPr>
            <w:tcW w:w="491" w:type="pct"/>
            <w:vMerge w:val="continue"/>
            <w:noWrap/>
            <w:vAlign w:val="center"/>
          </w:tcPr>
          <w:p w14:paraId="16C8D230">
            <w:pPr>
              <w:adjustRightInd w:val="0"/>
              <w:snapToGrid w:val="0"/>
              <w:jc w:val="center"/>
              <w:textAlignment w:val="center"/>
              <w:rPr>
                <w:rFonts w:ascii="Times New Roman" w:hAnsi="Times New Roman" w:cs="Times New Roman"/>
                <w:color w:val="auto"/>
                <w:sz w:val="21"/>
                <w:lang w:bidi="ar"/>
              </w:rPr>
            </w:pPr>
          </w:p>
        </w:tc>
        <w:tc>
          <w:tcPr>
            <w:tcW w:w="523" w:type="pct"/>
            <w:vMerge w:val="restart"/>
            <w:noWrap/>
            <w:vAlign w:val="center"/>
          </w:tcPr>
          <w:p w14:paraId="3134282C">
            <w:pPr>
              <w:jc w:val="center"/>
              <w:textAlignment w:val="center"/>
              <w:rPr>
                <w:rFonts w:ascii="Times New Roman" w:hAnsi="Times New Roman" w:cs="Times New Roman"/>
                <w:color w:val="auto"/>
                <w:sz w:val="21"/>
                <w:lang w:eastAsia="zh-CN" w:bidi="ar"/>
              </w:rPr>
            </w:pPr>
            <w:r>
              <w:rPr>
                <w:rFonts w:ascii="Times New Roman" w:hAnsi="Times New Roman" w:cs="Times New Roman"/>
                <w:color w:val="000000" w:themeColor="text1"/>
                <w:sz w:val="21"/>
                <w14:textFill>
                  <w14:solidFill>
                    <w14:schemeClr w14:val="tx1"/>
                  </w14:solidFill>
                </w14:textFill>
              </w:rPr>
              <w:t>草杨村</w:t>
            </w:r>
          </w:p>
        </w:tc>
        <w:tc>
          <w:tcPr>
            <w:tcW w:w="582" w:type="pct"/>
            <w:noWrap/>
            <w:vAlign w:val="center"/>
          </w:tcPr>
          <w:p w14:paraId="38F5E452">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spacing w:val="-2"/>
                <w:sz w:val="21"/>
                <w:lang w:eastAsia="zh-CN" w:bidi="ar"/>
              </w:rPr>
              <w:t>1小时</w:t>
            </w:r>
          </w:p>
        </w:tc>
        <w:tc>
          <w:tcPr>
            <w:tcW w:w="655" w:type="pct"/>
            <w:noWrap/>
          </w:tcPr>
          <w:p w14:paraId="4C44EA71">
            <w:pPr>
              <w:jc w:val="center"/>
              <w:textAlignment w:val="center"/>
              <w:rPr>
                <w:rFonts w:ascii="Times New Roman" w:hAnsi="Times New Roman" w:cs="Times New Roman"/>
                <w:color w:val="auto"/>
                <w:sz w:val="21"/>
                <w:lang w:eastAsia="zh-CN" w:bidi="ar"/>
              </w:rPr>
            </w:pPr>
          </w:p>
        </w:tc>
        <w:tc>
          <w:tcPr>
            <w:tcW w:w="728" w:type="pct"/>
            <w:noWrap/>
            <w:vAlign w:val="center"/>
          </w:tcPr>
          <w:p w14:paraId="0AE2C3ED">
            <w:pPr>
              <w:jc w:val="center"/>
              <w:textAlignment w:val="center"/>
              <w:rPr>
                <w:rFonts w:ascii="Times New Roman" w:hAnsi="Times New Roman" w:cs="Times New Roman"/>
                <w:color w:val="auto"/>
                <w:sz w:val="21"/>
                <w:lang w:eastAsia="zh-CN" w:bidi="ar"/>
              </w:rPr>
            </w:pPr>
          </w:p>
        </w:tc>
        <w:tc>
          <w:tcPr>
            <w:tcW w:w="655" w:type="pct"/>
            <w:noWrap/>
            <w:vAlign w:val="center"/>
          </w:tcPr>
          <w:p w14:paraId="38830A87">
            <w:pPr>
              <w:jc w:val="center"/>
              <w:textAlignment w:val="center"/>
              <w:rPr>
                <w:rFonts w:ascii="Times New Roman" w:hAnsi="Times New Roman" w:cs="Times New Roman"/>
                <w:color w:val="auto"/>
                <w:sz w:val="21"/>
                <w:lang w:eastAsia="zh-CN" w:bidi="ar"/>
              </w:rPr>
            </w:pPr>
          </w:p>
        </w:tc>
        <w:tc>
          <w:tcPr>
            <w:tcW w:w="586" w:type="pct"/>
            <w:noWrap/>
            <w:vAlign w:val="center"/>
          </w:tcPr>
          <w:p w14:paraId="1637B610">
            <w:pPr>
              <w:jc w:val="center"/>
              <w:textAlignment w:val="center"/>
              <w:rPr>
                <w:rFonts w:ascii="Times New Roman" w:hAnsi="Times New Roman" w:cs="Times New Roman"/>
                <w:color w:val="auto"/>
                <w:sz w:val="21"/>
                <w:lang w:eastAsia="zh-CN" w:bidi="ar"/>
              </w:rPr>
            </w:pPr>
          </w:p>
        </w:tc>
        <w:tc>
          <w:tcPr>
            <w:tcW w:w="483" w:type="pct"/>
            <w:noWrap/>
            <w:vAlign w:val="center"/>
          </w:tcPr>
          <w:p w14:paraId="72502F31">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达标</w:t>
            </w:r>
          </w:p>
        </w:tc>
      </w:tr>
      <w:tr w14:paraId="1A2E0AD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1" w:hRule="atLeast"/>
          <w:jc w:val="center"/>
        </w:trPr>
        <w:tc>
          <w:tcPr>
            <w:tcW w:w="296" w:type="pct"/>
            <w:vMerge w:val="continue"/>
            <w:noWrap/>
            <w:vAlign w:val="center"/>
          </w:tcPr>
          <w:p w14:paraId="7C22EBEE">
            <w:pPr>
              <w:adjustRightInd w:val="0"/>
              <w:snapToGrid w:val="0"/>
              <w:jc w:val="center"/>
              <w:textAlignment w:val="center"/>
              <w:rPr>
                <w:rFonts w:ascii="Times New Roman" w:hAnsi="Times New Roman" w:cs="Times New Roman"/>
                <w:color w:val="auto"/>
                <w:sz w:val="21"/>
                <w:lang w:eastAsia="zh-CN"/>
              </w:rPr>
            </w:pPr>
          </w:p>
        </w:tc>
        <w:tc>
          <w:tcPr>
            <w:tcW w:w="491" w:type="pct"/>
            <w:vMerge w:val="continue"/>
            <w:noWrap/>
            <w:vAlign w:val="center"/>
          </w:tcPr>
          <w:p w14:paraId="62C209E3">
            <w:pPr>
              <w:adjustRightInd w:val="0"/>
              <w:snapToGrid w:val="0"/>
              <w:jc w:val="center"/>
              <w:textAlignment w:val="center"/>
              <w:rPr>
                <w:rFonts w:ascii="Times New Roman" w:hAnsi="Times New Roman" w:cs="Times New Roman"/>
                <w:color w:val="auto"/>
                <w:sz w:val="21"/>
                <w:lang w:bidi="ar"/>
              </w:rPr>
            </w:pPr>
          </w:p>
        </w:tc>
        <w:tc>
          <w:tcPr>
            <w:tcW w:w="523" w:type="pct"/>
            <w:vMerge w:val="continue"/>
            <w:noWrap/>
            <w:vAlign w:val="center"/>
          </w:tcPr>
          <w:p w14:paraId="49023031">
            <w:pPr>
              <w:jc w:val="center"/>
              <w:textAlignment w:val="center"/>
              <w:rPr>
                <w:rFonts w:ascii="Times New Roman" w:hAnsi="Times New Roman" w:cs="Times New Roman"/>
                <w:color w:val="auto"/>
                <w:sz w:val="21"/>
                <w:lang w:eastAsia="zh-CN" w:bidi="ar"/>
              </w:rPr>
            </w:pPr>
          </w:p>
        </w:tc>
        <w:tc>
          <w:tcPr>
            <w:tcW w:w="582" w:type="pct"/>
            <w:noWrap/>
            <w:vAlign w:val="center"/>
          </w:tcPr>
          <w:p w14:paraId="73FFA2C3">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spacing w:val="-2"/>
                <w:sz w:val="21"/>
                <w:lang w:eastAsia="zh-CN" w:bidi="ar"/>
              </w:rPr>
              <w:t>日均</w:t>
            </w:r>
          </w:p>
        </w:tc>
        <w:tc>
          <w:tcPr>
            <w:tcW w:w="655" w:type="pct"/>
            <w:noWrap/>
          </w:tcPr>
          <w:p w14:paraId="31140050">
            <w:pPr>
              <w:jc w:val="center"/>
              <w:textAlignment w:val="center"/>
              <w:rPr>
                <w:rFonts w:ascii="Times New Roman" w:hAnsi="Times New Roman" w:cs="Times New Roman"/>
                <w:color w:val="auto"/>
                <w:sz w:val="21"/>
                <w:lang w:eastAsia="zh-CN" w:bidi="ar"/>
              </w:rPr>
            </w:pPr>
          </w:p>
        </w:tc>
        <w:tc>
          <w:tcPr>
            <w:tcW w:w="728" w:type="pct"/>
            <w:noWrap/>
            <w:vAlign w:val="center"/>
          </w:tcPr>
          <w:p w14:paraId="675CBF12">
            <w:pPr>
              <w:jc w:val="center"/>
              <w:textAlignment w:val="center"/>
              <w:rPr>
                <w:rFonts w:ascii="Times New Roman" w:hAnsi="Times New Roman" w:cs="Times New Roman"/>
                <w:color w:val="auto"/>
                <w:sz w:val="21"/>
                <w:lang w:eastAsia="zh-CN" w:bidi="ar"/>
              </w:rPr>
            </w:pPr>
          </w:p>
        </w:tc>
        <w:tc>
          <w:tcPr>
            <w:tcW w:w="655" w:type="pct"/>
            <w:noWrap/>
            <w:vAlign w:val="center"/>
          </w:tcPr>
          <w:p w14:paraId="6C1B16B7">
            <w:pPr>
              <w:jc w:val="center"/>
              <w:textAlignment w:val="center"/>
              <w:rPr>
                <w:rFonts w:ascii="Times New Roman" w:hAnsi="Times New Roman" w:cs="Times New Roman"/>
                <w:color w:val="auto"/>
                <w:sz w:val="21"/>
                <w:lang w:eastAsia="zh-CN" w:bidi="ar"/>
              </w:rPr>
            </w:pPr>
          </w:p>
        </w:tc>
        <w:tc>
          <w:tcPr>
            <w:tcW w:w="586" w:type="pct"/>
            <w:noWrap/>
            <w:vAlign w:val="center"/>
          </w:tcPr>
          <w:p w14:paraId="66434A03">
            <w:pPr>
              <w:jc w:val="center"/>
              <w:textAlignment w:val="center"/>
              <w:rPr>
                <w:rFonts w:ascii="Times New Roman" w:hAnsi="Times New Roman" w:cs="Times New Roman"/>
                <w:color w:val="auto"/>
                <w:sz w:val="21"/>
                <w:lang w:eastAsia="zh-CN" w:bidi="ar"/>
              </w:rPr>
            </w:pPr>
          </w:p>
        </w:tc>
        <w:tc>
          <w:tcPr>
            <w:tcW w:w="483" w:type="pct"/>
            <w:noWrap/>
            <w:vAlign w:val="center"/>
          </w:tcPr>
          <w:p w14:paraId="3E7B45B5">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达标</w:t>
            </w:r>
          </w:p>
        </w:tc>
      </w:tr>
      <w:tr w14:paraId="3C0ECD9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1" w:hRule="atLeast"/>
          <w:jc w:val="center"/>
        </w:trPr>
        <w:tc>
          <w:tcPr>
            <w:tcW w:w="296" w:type="pct"/>
            <w:vMerge w:val="restart"/>
            <w:noWrap/>
            <w:vAlign w:val="center"/>
          </w:tcPr>
          <w:p w14:paraId="7361DA80">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3</w:t>
            </w:r>
          </w:p>
        </w:tc>
        <w:tc>
          <w:tcPr>
            <w:tcW w:w="491" w:type="pct"/>
            <w:vMerge w:val="continue"/>
            <w:noWrap/>
            <w:vAlign w:val="center"/>
          </w:tcPr>
          <w:p w14:paraId="0C0853E5">
            <w:pPr>
              <w:adjustRightInd w:val="0"/>
              <w:snapToGrid w:val="0"/>
              <w:jc w:val="center"/>
              <w:textAlignment w:val="center"/>
              <w:rPr>
                <w:rFonts w:ascii="Times New Roman" w:hAnsi="Times New Roman" w:cs="Times New Roman"/>
                <w:color w:val="auto"/>
                <w:sz w:val="21"/>
                <w:lang w:bidi="ar"/>
              </w:rPr>
            </w:pPr>
          </w:p>
        </w:tc>
        <w:tc>
          <w:tcPr>
            <w:tcW w:w="523" w:type="pct"/>
            <w:vMerge w:val="restart"/>
            <w:noWrap/>
            <w:vAlign w:val="center"/>
          </w:tcPr>
          <w:p w14:paraId="3687212E">
            <w:pPr>
              <w:jc w:val="center"/>
              <w:textAlignment w:val="center"/>
              <w:rPr>
                <w:rFonts w:ascii="Times New Roman" w:hAnsi="Times New Roman" w:cs="Times New Roman"/>
                <w:color w:val="auto"/>
                <w:sz w:val="21"/>
                <w:lang w:eastAsia="zh-CN" w:bidi="ar"/>
              </w:rPr>
            </w:pPr>
            <w:r>
              <w:rPr>
                <w:rFonts w:ascii="Times New Roman" w:hAnsi="Times New Roman" w:cs="Times New Roman"/>
                <w:color w:val="000000" w:themeColor="text1"/>
                <w:sz w:val="21"/>
                <w14:textFill>
                  <w14:solidFill>
                    <w14:schemeClr w14:val="tx1"/>
                  </w14:solidFill>
                </w14:textFill>
              </w:rPr>
              <w:t>大柏小学</w:t>
            </w:r>
          </w:p>
        </w:tc>
        <w:tc>
          <w:tcPr>
            <w:tcW w:w="582" w:type="pct"/>
            <w:noWrap/>
            <w:vAlign w:val="center"/>
          </w:tcPr>
          <w:p w14:paraId="7910A2E5">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spacing w:val="-2"/>
                <w:sz w:val="21"/>
                <w:lang w:eastAsia="zh-CN" w:bidi="ar"/>
              </w:rPr>
              <w:t>1小时</w:t>
            </w:r>
          </w:p>
        </w:tc>
        <w:tc>
          <w:tcPr>
            <w:tcW w:w="655" w:type="pct"/>
            <w:noWrap/>
          </w:tcPr>
          <w:p w14:paraId="0E462C72">
            <w:pPr>
              <w:jc w:val="center"/>
              <w:textAlignment w:val="center"/>
              <w:rPr>
                <w:rFonts w:ascii="Times New Roman" w:hAnsi="Times New Roman" w:cs="Times New Roman"/>
                <w:color w:val="auto"/>
                <w:sz w:val="21"/>
                <w:lang w:eastAsia="zh-CN" w:bidi="ar"/>
              </w:rPr>
            </w:pPr>
          </w:p>
        </w:tc>
        <w:tc>
          <w:tcPr>
            <w:tcW w:w="728" w:type="pct"/>
            <w:noWrap/>
            <w:vAlign w:val="center"/>
          </w:tcPr>
          <w:p w14:paraId="3523D1A1">
            <w:pPr>
              <w:jc w:val="center"/>
              <w:textAlignment w:val="center"/>
              <w:rPr>
                <w:rFonts w:ascii="Times New Roman" w:hAnsi="Times New Roman" w:cs="Times New Roman"/>
                <w:color w:val="auto"/>
                <w:sz w:val="21"/>
                <w:lang w:eastAsia="zh-CN" w:bidi="ar"/>
              </w:rPr>
            </w:pPr>
          </w:p>
        </w:tc>
        <w:tc>
          <w:tcPr>
            <w:tcW w:w="655" w:type="pct"/>
            <w:noWrap/>
            <w:vAlign w:val="center"/>
          </w:tcPr>
          <w:p w14:paraId="3A2DDA84">
            <w:pPr>
              <w:jc w:val="center"/>
              <w:textAlignment w:val="center"/>
              <w:rPr>
                <w:rFonts w:ascii="Times New Roman" w:hAnsi="Times New Roman" w:cs="Times New Roman"/>
                <w:color w:val="auto"/>
                <w:sz w:val="21"/>
                <w:lang w:eastAsia="zh-CN" w:bidi="ar"/>
              </w:rPr>
            </w:pPr>
          </w:p>
        </w:tc>
        <w:tc>
          <w:tcPr>
            <w:tcW w:w="586" w:type="pct"/>
            <w:noWrap/>
            <w:vAlign w:val="center"/>
          </w:tcPr>
          <w:p w14:paraId="0C24C94E">
            <w:pPr>
              <w:jc w:val="center"/>
              <w:textAlignment w:val="center"/>
              <w:rPr>
                <w:rFonts w:ascii="Times New Roman" w:hAnsi="Times New Roman" w:cs="Times New Roman"/>
                <w:color w:val="auto"/>
                <w:sz w:val="21"/>
                <w:lang w:eastAsia="zh-CN" w:bidi="ar"/>
              </w:rPr>
            </w:pPr>
          </w:p>
        </w:tc>
        <w:tc>
          <w:tcPr>
            <w:tcW w:w="483" w:type="pct"/>
            <w:noWrap/>
            <w:vAlign w:val="center"/>
          </w:tcPr>
          <w:p w14:paraId="7A4B7685">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达标</w:t>
            </w:r>
          </w:p>
        </w:tc>
      </w:tr>
      <w:tr w14:paraId="66469CC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1" w:hRule="atLeast"/>
          <w:jc w:val="center"/>
        </w:trPr>
        <w:tc>
          <w:tcPr>
            <w:tcW w:w="296" w:type="pct"/>
            <w:vMerge w:val="continue"/>
            <w:noWrap/>
            <w:vAlign w:val="center"/>
          </w:tcPr>
          <w:p w14:paraId="1EF11A41">
            <w:pPr>
              <w:adjustRightInd w:val="0"/>
              <w:snapToGrid w:val="0"/>
              <w:jc w:val="center"/>
              <w:textAlignment w:val="center"/>
              <w:rPr>
                <w:rFonts w:ascii="Times New Roman" w:hAnsi="Times New Roman" w:cs="Times New Roman"/>
                <w:color w:val="auto"/>
                <w:sz w:val="21"/>
                <w:lang w:eastAsia="zh-CN"/>
              </w:rPr>
            </w:pPr>
          </w:p>
        </w:tc>
        <w:tc>
          <w:tcPr>
            <w:tcW w:w="491" w:type="pct"/>
            <w:vMerge w:val="continue"/>
            <w:noWrap/>
            <w:vAlign w:val="center"/>
          </w:tcPr>
          <w:p w14:paraId="2288FCA4">
            <w:pPr>
              <w:adjustRightInd w:val="0"/>
              <w:snapToGrid w:val="0"/>
              <w:jc w:val="center"/>
              <w:textAlignment w:val="center"/>
              <w:rPr>
                <w:rFonts w:ascii="Times New Roman" w:hAnsi="Times New Roman" w:cs="Times New Roman"/>
                <w:color w:val="auto"/>
                <w:sz w:val="21"/>
                <w:lang w:bidi="ar"/>
              </w:rPr>
            </w:pPr>
          </w:p>
        </w:tc>
        <w:tc>
          <w:tcPr>
            <w:tcW w:w="523" w:type="pct"/>
            <w:vMerge w:val="continue"/>
            <w:noWrap/>
            <w:vAlign w:val="center"/>
          </w:tcPr>
          <w:p w14:paraId="7C50EEED">
            <w:pPr>
              <w:jc w:val="center"/>
              <w:textAlignment w:val="center"/>
              <w:rPr>
                <w:rFonts w:ascii="Times New Roman" w:hAnsi="Times New Roman" w:cs="Times New Roman"/>
                <w:color w:val="auto"/>
                <w:sz w:val="21"/>
                <w:lang w:eastAsia="zh-CN" w:bidi="ar"/>
              </w:rPr>
            </w:pPr>
          </w:p>
        </w:tc>
        <w:tc>
          <w:tcPr>
            <w:tcW w:w="582" w:type="pct"/>
            <w:noWrap/>
            <w:vAlign w:val="center"/>
          </w:tcPr>
          <w:p w14:paraId="47EAE1A6">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spacing w:val="-2"/>
                <w:sz w:val="21"/>
                <w:lang w:eastAsia="zh-CN" w:bidi="ar"/>
              </w:rPr>
              <w:t>日均</w:t>
            </w:r>
          </w:p>
        </w:tc>
        <w:tc>
          <w:tcPr>
            <w:tcW w:w="655" w:type="pct"/>
            <w:noWrap/>
          </w:tcPr>
          <w:p w14:paraId="18DF7858">
            <w:pPr>
              <w:jc w:val="center"/>
              <w:textAlignment w:val="center"/>
              <w:rPr>
                <w:rFonts w:ascii="Times New Roman" w:hAnsi="Times New Roman" w:cs="Times New Roman"/>
                <w:color w:val="auto"/>
                <w:sz w:val="21"/>
                <w:lang w:eastAsia="zh-CN" w:bidi="ar"/>
              </w:rPr>
            </w:pPr>
          </w:p>
        </w:tc>
        <w:tc>
          <w:tcPr>
            <w:tcW w:w="728" w:type="pct"/>
            <w:noWrap/>
            <w:vAlign w:val="center"/>
          </w:tcPr>
          <w:p w14:paraId="5018960B">
            <w:pPr>
              <w:jc w:val="center"/>
              <w:textAlignment w:val="center"/>
              <w:rPr>
                <w:rFonts w:ascii="Times New Roman" w:hAnsi="Times New Roman" w:cs="Times New Roman"/>
                <w:color w:val="auto"/>
                <w:sz w:val="21"/>
                <w:lang w:eastAsia="zh-CN" w:bidi="ar"/>
              </w:rPr>
            </w:pPr>
          </w:p>
        </w:tc>
        <w:tc>
          <w:tcPr>
            <w:tcW w:w="655" w:type="pct"/>
            <w:noWrap/>
            <w:vAlign w:val="center"/>
          </w:tcPr>
          <w:p w14:paraId="5A41082D">
            <w:pPr>
              <w:jc w:val="center"/>
              <w:textAlignment w:val="center"/>
              <w:rPr>
                <w:rFonts w:ascii="Times New Roman" w:hAnsi="Times New Roman" w:cs="Times New Roman"/>
                <w:color w:val="auto"/>
                <w:sz w:val="21"/>
                <w:lang w:eastAsia="zh-CN" w:bidi="ar"/>
              </w:rPr>
            </w:pPr>
          </w:p>
        </w:tc>
        <w:tc>
          <w:tcPr>
            <w:tcW w:w="586" w:type="pct"/>
            <w:noWrap/>
            <w:vAlign w:val="center"/>
          </w:tcPr>
          <w:p w14:paraId="0BE37A92">
            <w:pPr>
              <w:jc w:val="center"/>
              <w:textAlignment w:val="center"/>
              <w:rPr>
                <w:rFonts w:ascii="Times New Roman" w:hAnsi="Times New Roman" w:cs="Times New Roman"/>
                <w:color w:val="auto"/>
                <w:sz w:val="21"/>
                <w:lang w:eastAsia="zh-CN" w:bidi="ar"/>
              </w:rPr>
            </w:pPr>
          </w:p>
        </w:tc>
        <w:tc>
          <w:tcPr>
            <w:tcW w:w="483" w:type="pct"/>
            <w:noWrap/>
            <w:vAlign w:val="center"/>
          </w:tcPr>
          <w:p w14:paraId="30E1ECCF">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达标</w:t>
            </w:r>
          </w:p>
        </w:tc>
      </w:tr>
      <w:tr w14:paraId="14F1367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1" w:hRule="atLeast"/>
          <w:jc w:val="center"/>
        </w:trPr>
        <w:tc>
          <w:tcPr>
            <w:tcW w:w="296" w:type="pct"/>
            <w:vMerge w:val="restart"/>
            <w:noWrap/>
            <w:vAlign w:val="center"/>
          </w:tcPr>
          <w:p w14:paraId="3DF8BD55">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4</w:t>
            </w:r>
          </w:p>
        </w:tc>
        <w:tc>
          <w:tcPr>
            <w:tcW w:w="491" w:type="pct"/>
            <w:vMerge w:val="continue"/>
            <w:noWrap/>
            <w:vAlign w:val="center"/>
          </w:tcPr>
          <w:p w14:paraId="0A842D37">
            <w:pPr>
              <w:adjustRightInd w:val="0"/>
              <w:snapToGrid w:val="0"/>
              <w:jc w:val="center"/>
              <w:textAlignment w:val="center"/>
              <w:rPr>
                <w:rFonts w:ascii="Times New Roman" w:hAnsi="Times New Roman" w:cs="Times New Roman"/>
                <w:color w:val="auto"/>
                <w:sz w:val="21"/>
                <w:lang w:bidi="ar"/>
              </w:rPr>
            </w:pPr>
          </w:p>
        </w:tc>
        <w:tc>
          <w:tcPr>
            <w:tcW w:w="523" w:type="pct"/>
            <w:vMerge w:val="restart"/>
            <w:noWrap/>
            <w:vAlign w:val="center"/>
          </w:tcPr>
          <w:p w14:paraId="0BC74776">
            <w:pPr>
              <w:jc w:val="center"/>
              <w:textAlignment w:val="center"/>
              <w:rPr>
                <w:rFonts w:ascii="Times New Roman" w:hAnsi="Times New Roman" w:cs="Times New Roman"/>
                <w:color w:val="auto"/>
                <w:sz w:val="21"/>
                <w:lang w:eastAsia="zh-CN" w:bidi="ar"/>
              </w:rPr>
            </w:pPr>
            <w:r>
              <w:rPr>
                <w:rFonts w:ascii="Times New Roman" w:hAnsi="Times New Roman" w:cs="Times New Roman"/>
                <w:color w:val="000000" w:themeColor="text1"/>
                <w:sz w:val="21"/>
                <w14:textFill>
                  <w14:solidFill>
                    <w14:schemeClr w14:val="tx1"/>
                  </w14:solidFill>
                </w14:textFill>
              </w:rPr>
              <w:t>夏家湖</w:t>
            </w:r>
          </w:p>
        </w:tc>
        <w:tc>
          <w:tcPr>
            <w:tcW w:w="582" w:type="pct"/>
            <w:noWrap/>
            <w:vAlign w:val="center"/>
          </w:tcPr>
          <w:p w14:paraId="770D4159">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spacing w:val="-2"/>
                <w:sz w:val="21"/>
                <w:lang w:eastAsia="zh-CN" w:bidi="ar"/>
              </w:rPr>
              <w:t>1小时</w:t>
            </w:r>
          </w:p>
        </w:tc>
        <w:tc>
          <w:tcPr>
            <w:tcW w:w="655" w:type="pct"/>
            <w:noWrap/>
          </w:tcPr>
          <w:p w14:paraId="5290D81C">
            <w:pPr>
              <w:jc w:val="center"/>
              <w:textAlignment w:val="center"/>
              <w:rPr>
                <w:rFonts w:ascii="Times New Roman" w:hAnsi="Times New Roman" w:cs="Times New Roman"/>
                <w:color w:val="auto"/>
                <w:sz w:val="21"/>
                <w:lang w:eastAsia="zh-CN" w:bidi="ar"/>
              </w:rPr>
            </w:pPr>
          </w:p>
        </w:tc>
        <w:tc>
          <w:tcPr>
            <w:tcW w:w="728" w:type="pct"/>
            <w:noWrap/>
            <w:vAlign w:val="center"/>
          </w:tcPr>
          <w:p w14:paraId="19BF8FDA">
            <w:pPr>
              <w:jc w:val="center"/>
              <w:textAlignment w:val="center"/>
              <w:rPr>
                <w:rFonts w:ascii="Times New Roman" w:hAnsi="Times New Roman" w:cs="Times New Roman"/>
                <w:color w:val="auto"/>
                <w:sz w:val="21"/>
                <w:lang w:eastAsia="zh-CN" w:bidi="ar"/>
              </w:rPr>
            </w:pPr>
          </w:p>
        </w:tc>
        <w:tc>
          <w:tcPr>
            <w:tcW w:w="655" w:type="pct"/>
            <w:noWrap/>
            <w:vAlign w:val="center"/>
          </w:tcPr>
          <w:p w14:paraId="64FE6454">
            <w:pPr>
              <w:jc w:val="center"/>
              <w:textAlignment w:val="center"/>
              <w:rPr>
                <w:rFonts w:ascii="Times New Roman" w:hAnsi="Times New Roman" w:cs="Times New Roman"/>
                <w:color w:val="auto"/>
                <w:sz w:val="21"/>
                <w:lang w:eastAsia="zh-CN" w:bidi="ar"/>
              </w:rPr>
            </w:pPr>
          </w:p>
        </w:tc>
        <w:tc>
          <w:tcPr>
            <w:tcW w:w="586" w:type="pct"/>
            <w:noWrap/>
            <w:vAlign w:val="center"/>
          </w:tcPr>
          <w:p w14:paraId="0E5BC4F5">
            <w:pPr>
              <w:jc w:val="center"/>
              <w:textAlignment w:val="center"/>
              <w:rPr>
                <w:rFonts w:ascii="Times New Roman" w:hAnsi="Times New Roman" w:cs="Times New Roman"/>
                <w:color w:val="auto"/>
                <w:sz w:val="21"/>
                <w:lang w:eastAsia="zh-CN" w:bidi="ar"/>
              </w:rPr>
            </w:pPr>
          </w:p>
        </w:tc>
        <w:tc>
          <w:tcPr>
            <w:tcW w:w="483" w:type="pct"/>
            <w:noWrap/>
            <w:vAlign w:val="center"/>
          </w:tcPr>
          <w:p w14:paraId="719FA7B1">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达标</w:t>
            </w:r>
          </w:p>
        </w:tc>
      </w:tr>
      <w:tr w14:paraId="403ECAA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1" w:hRule="atLeast"/>
          <w:jc w:val="center"/>
        </w:trPr>
        <w:tc>
          <w:tcPr>
            <w:tcW w:w="296" w:type="pct"/>
            <w:vMerge w:val="continue"/>
            <w:noWrap/>
            <w:vAlign w:val="center"/>
          </w:tcPr>
          <w:p w14:paraId="04C2AB14">
            <w:pPr>
              <w:adjustRightInd w:val="0"/>
              <w:snapToGrid w:val="0"/>
              <w:jc w:val="center"/>
              <w:textAlignment w:val="center"/>
              <w:rPr>
                <w:rFonts w:ascii="Times New Roman" w:hAnsi="Times New Roman" w:cs="Times New Roman"/>
                <w:color w:val="auto"/>
                <w:sz w:val="21"/>
                <w:lang w:eastAsia="zh-CN"/>
              </w:rPr>
            </w:pPr>
          </w:p>
        </w:tc>
        <w:tc>
          <w:tcPr>
            <w:tcW w:w="491" w:type="pct"/>
            <w:vMerge w:val="continue"/>
            <w:noWrap/>
            <w:vAlign w:val="center"/>
          </w:tcPr>
          <w:p w14:paraId="3B29D4D0">
            <w:pPr>
              <w:adjustRightInd w:val="0"/>
              <w:snapToGrid w:val="0"/>
              <w:jc w:val="center"/>
              <w:textAlignment w:val="center"/>
              <w:rPr>
                <w:rFonts w:ascii="Times New Roman" w:hAnsi="Times New Roman" w:cs="Times New Roman"/>
                <w:color w:val="auto"/>
                <w:sz w:val="21"/>
                <w:lang w:bidi="ar"/>
              </w:rPr>
            </w:pPr>
          </w:p>
        </w:tc>
        <w:tc>
          <w:tcPr>
            <w:tcW w:w="523" w:type="pct"/>
            <w:vMerge w:val="continue"/>
            <w:noWrap/>
            <w:vAlign w:val="center"/>
          </w:tcPr>
          <w:p w14:paraId="4ED61264">
            <w:pPr>
              <w:jc w:val="center"/>
              <w:textAlignment w:val="center"/>
              <w:rPr>
                <w:rFonts w:ascii="Times New Roman" w:hAnsi="Times New Roman" w:cs="Times New Roman"/>
                <w:color w:val="auto"/>
                <w:sz w:val="21"/>
                <w:lang w:eastAsia="zh-CN" w:bidi="ar"/>
              </w:rPr>
            </w:pPr>
          </w:p>
        </w:tc>
        <w:tc>
          <w:tcPr>
            <w:tcW w:w="582" w:type="pct"/>
            <w:noWrap/>
            <w:vAlign w:val="center"/>
          </w:tcPr>
          <w:p w14:paraId="058C7693">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spacing w:val="-2"/>
                <w:sz w:val="21"/>
                <w:lang w:eastAsia="zh-CN" w:bidi="ar"/>
              </w:rPr>
              <w:t>日均</w:t>
            </w:r>
          </w:p>
        </w:tc>
        <w:tc>
          <w:tcPr>
            <w:tcW w:w="655" w:type="pct"/>
            <w:noWrap/>
          </w:tcPr>
          <w:p w14:paraId="78AD9C9F">
            <w:pPr>
              <w:jc w:val="center"/>
              <w:textAlignment w:val="center"/>
              <w:rPr>
                <w:rFonts w:ascii="Times New Roman" w:hAnsi="Times New Roman" w:cs="Times New Roman"/>
                <w:color w:val="auto"/>
                <w:sz w:val="21"/>
                <w:lang w:eastAsia="zh-CN" w:bidi="ar"/>
              </w:rPr>
            </w:pPr>
          </w:p>
        </w:tc>
        <w:tc>
          <w:tcPr>
            <w:tcW w:w="728" w:type="pct"/>
            <w:noWrap/>
            <w:vAlign w:val="center"/>
          </w:tcPr>
          <w:p w14:paraId="375E7AF2">
            <w:pPr>
              <w:jc w:val="center"/>
              <w:textAlignment w:val="center"/>
              <w:rPr>
                <w:rFonts w:ascii="Times New Roman" w:hAnsi="Times New Roman" w:cs="Times New Roman"/>
                <w:color w:val="auto"/>
                <w:sz w:val="21"/>
                <w:lang w:eastAsia="zh-CN" w:bidi="ar"/>
              </w:rPr>
            </w:pPr>
          </w:p>
        </w:tc>
        <w:tc>
          <w:tcPr>
            <w:tcW w:w="655" w:type="pct"/>
            <w:noWrap/>
            <w:vAlign w:val="center"/>
          </w:tcPr>
          <w:p w14:paraId="3E9F6111">
            <w:pPr>
              <w:jc w:val="center"/>
              <w:textAlignment w:val="center"/>
              <w:rPr>
                <w:rFonts w:ascii="Times New Roman" w:hAnsi="Times New Roman" w:cs="Times New Roman"/>
                <w:color w:val="auto"/>
                <w:sz w:val="21"/>
                <w:lang w:eastAsia="zh-CN" w:bidi="ar"/>
              </w:rPr>
            </w:pPr>
          </w:p>
        </w:tc>
        <w:tc>
          <w:tcPr>
            <w:tcW w:w="586" w:type="pct"/>
            <w:noWrap/>
            <w:vAlign w:val="center"/>
          </w:tcPr>
          <w:p w14:paraId="035BAA23">
            <w:pPr>
              <w:jc w:val="center"/>
              <w:textAlignment w:val="center"/>
              <w:rPr>
                <w:rFonts w:ascii="Times New Roman" w:hAnsi="Times New Roman" w:cs="Times New Roman"/>
                <w:color w:val="auto"/>
                <w:sz w:val="21"/>
                <w:lang w:eastAsia="zh-CN" w:bidi="ar"/>
              </w:rPr>
            </w:pPr>
          </w:p>
        </w:tc>
        <w:tc>
          <w:tcPr>
            <w:tcW w:w="483" w:type="pct"/>
            <w:noWrap/>
            <w:vAlign w:val="center"/>
          </w:tcPr>
          <w:p w14:paraId="6E9AB5D6">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达标</w:t>
            </w:r>
          </w:p>
        </w:tc>
      </w:tr>
      <w:tr w14:paraId="2B9BF3A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1" w:hRule="atLeast"/>
          <w:jc w:val="center"/>
        </w:trPr>
        <w:tc>
          <w:tcPr>
            <w:tcW w:w="296" w:type="pct"/>
            <w:vMerge w:val="restart"/>
            <w:noWrap/>
            <w:vAlign w:val="center"/>
          </w:tcPr>
          <w:p w14:paraId="43F04DF1">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5</w:t>
            </w:r>
          </w:p>
        </w:tc>
        <w:tc>
          <w:tcPr>
            <w:tcW w:w="491" w:type="pct"/>
            <w:vMerge w:val="continue"/>
            <w:noWrap/>
            <w:vAlign w:val="center"/>
          </w:tcPr>
          <w:p w14:paraId="74EAED04">
            <w:pPr>
              <w:adjustRightInd w:val="0"/>
              <w:snapToGrid w:val="0"/>
              <w:jc w:val="center"/>
              <w:textAlignment w:val="center"/>
              <w:rPr>
                <w:rFonts w:ascii="Times New Roman" w:hAnsi="Times New Roman" w:cs="Times New Roman"/>
                <w:color w:val="auto"/>
                <w:sz w:val="21"/>
                <w:lang w:bidi="ar"/>
              </w:rPr>
            </w:pPr>
          </w:p>
        </w:tc>
        <w:tc>
          <w:tcPr>
            <w:tcW w:w="523" w:type="pct"/>
            <w:vMerge w:val="restart"/>
            <w:noWrap/>
            <w:vAlign w:val="center"/>
          </w:tcPr>
          <w:p w14:paraId="7393A3D1">
            <w:pPr>
              <w:jc w:val="center"/>
              <w:textAlignment w:val="center"/>
              <w:rPr>
                <w:rFonts w:ascii="Times New Roman" w:hAnsi="Times New Roman" w:cs="Times New Roman"/>
                <w:color w:val="auto"/>
                <w:sz w:val="21"/>
                <w:lang w:eastAsia="zh-CN" w:bidi="ar"/>
              </w:rPr>
            </w:pPr>
            <w:r>
              <w:rPr>
                <w:rFonts w:ascii="Times New Roman" w:hAnsi="Times New Roman" w:cs="Times New Roman"/>
                <w:color w:val="000000" w:themeColor="text1"/>
                <w:sz w:val="21"/>
                <w14:textFill>
                  <w14:solidFill>
                    <w14:schemeClr w14:val="tx1"/>
                  </w14:solidFill>
                </w14:textFill>
              </w:rPr>
              <w:t>高王家</w:t>
            </w:r>
          </w:p>
        </w:tc>
        <w:tc>
          <w:tcPr>
            <w:tcW w:w="582" w:type="pct"/>
            <w:noWrap/>
            <w:vAlign w:val="center"/>
          </w:tcPr>
          <w:p w14:paraId="02008263">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spacing w:val="-2"/>
                <w:sz w:val="21"/>
                <w:lang w:eastAsia="zh-CN" w:bidi="ar"/>
              </w:rPr>
              <w:t>1小时</w:t>
            </w:r>
          </w:p>
        </w:tc>
        <w:tc>
          <w:tcPr>
            <w:tcW w:w="655" w:type="pct"/>
            <w:noWrap/>
          </w:tcPr>
          <w:p w14:paraId="6896D45F">
            <w:pPr>
              <w:jc w:val="center"/>
              <w:textAlignment w:val="center"/>
              <w:rPr>
                <w:rFonts w:ascii="Times New Roman" w:hAnsi="Times New Roman" w:cs="Times New Roman"/>
                <w:color w:val="auto"/>
                <w:sz w:val="21"/>
                <w:lang w:eastAsia="zh-CN" w:bidi="ar"/>
              </w:rPr>
            </w:pPr>
          </w:p>
        </w:tc>
        <w:tc>
          <w:tcPr>
            <w:tcW w:w="728" w:type="pct"/>
            <w:noWrap/>
            <w:vAlign w:val="center"/>
          </w:tcPr>
          <w:p w14:paraId="7D5E3A7E">
            <w:pPr>
              <w:jc w:val="center"/>
              <w:textAlignment w:val="center"/>
              <w:rPr>
                <w:rFonts w:ascii="Times New Roman" w:hAnsi="Times New Roman" w:cs="Times New Roman"/>
                <w:color w:val="auto"/>
                <w:sz w:val="21"/>
                <w:lang w:eastAsia="zh-CN" w:bidi="ar"/>
              </w:rPr>
            </w:pPr>
          </w:p>
        </w:tc>
        <w:tc>
          <w:tcPr>
            <w:tcW w:w="655" w:type="pct"/>
            <w:noWrap/>
            <w:vAlign w:val="center"/>
          </w:tcPr>
          <w:p w14:paraId="22F6FFE4">
            <w:pPr>
              <w:jc w:val="center"/>
              <w:textAlignment w:val="center"/>
              <w:rPr>
                <w:rFonts w:ascii="Times New Roman" w:hAnsi="Times New Roman" w:cs="Times New Roman"/>
                <w:color w:val="auto"/>
                <w:sz w:val="21"/>
                <w:lang w:eastAsia="zh-CN" w:bidi="ar"/>
              </w:rPr>
            </w:pPr>
          </w:p>
        </w:tc>
        <w:tc>
          <w:tcPr>
            <w:tcW w:w="586" w:type="pct"/>
            <w:noWrap/>
            <w:vAlign w:val="center"/>
          </w:tcPr>
          <w:p w14:paraId="78C39B13">
            <w:pPr>
              <w:jc w:val="center"/>
              <w:textAlignment w:val="center"/>
              <w:rPr>
                <w:rFonts w:ascii="Times New Roman" w:hAnsi="Times New Roman" w:cs="Times New Roman"/>
                <w:color w:val="auto"/>
                <w:sz w:val="21"/>
                <w:lang w:eastAsia="zh-CN" w:bidi="ar"/>
              </w:rPr>
            </w:pPr>
          </w:p>
        </w:tc>
        <w:tc>
          <w:tcPr>
            <w:tcW w:w="483" w:type="pct"/>
            <w:noWrap/>
            <w:vAlign w:val="center"/>
          </w:tcPr>
          <w:p w14:paraId="03213286">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达标</w:t>
            </w:r>
          </w:p>
        </w:tc>
      </w:tr>
      <w:tr w14:paraId="6DA01D5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1" w:hRule="atLeast"/>
          <w:jc w:val="center"/>
        </w:trPr>
        <w:tc>
          <w:tcPr>
            <w:tcW w:w="296" w:type="pct"/>
            <w:vMerge w:val="continue"/>
            <w:noWrap/>
            <w:vAlign w:val="center"/>
          </w:tcPr>
          <w:p w14:paraId="18DF379F">
            <w:pPr>
              <w:adjustRightInd w:val="0"/>
              <w:snapToGrid w:val="0"/>
              <w:jc w:val="center"/>
              <w:textAlignment w:val="center"/>
              <w:rPr>
                <w:rFonts w:ascii="Times New Roman" w:hAnsi="Times New Roman" w:cs="Times New Roman"/>
                <w:color w:val="auto"/>
                <w:sz w:val="21"/>
                <w:lang w:eastAsia="zh-CN"/>
              </w:rPr>
            </w:pPr>
          </w:p>
        </w:tc>
        <w:tc>
          <w:tcPr>
            <w:tcW w:w="491" w:type="pct"/>
            <w:vMerge w:val="continue"/>
            <w:noWrap/>
            <w:vAlign w:val="center"/>
          </w:tcPr>
          <w:p w14:paraId="46659319">
            <w:pPr>
              <w:adjustRightInd w:val="0"/>
              <w:snapToGrid w:val="0"/>
              <w:jc w:val="center"/>
              <w:textAlignment w:val="center"/>
              <w:rPr>
                <w:rFonts w:ascii="Times New Roman" w:hAnsi="Times New Roman" w:cs="Times New Roman"/>
                <w:color w:val="auto"/>
                <w:sz w:val="21"/>
                <w:lang w:bidi="ar"/>
              </w:rPr>
            </w:pPr>
          </w:p>
        </w:tc>
        <w:tc>
          <w:tcPr>
            <w:tcW w:w="523" w:type="pct"/>
            <w:vMerge w:val="continue"/>
            <w:noWrap/>
            <w:vAlign w:val="center"/>
          </w:tcPr>
          <w:p w14:paraId="41C8F2BC">
            <w:pPr>
              <w:jc w:val="center"/>
              <w:textAlignment w:val="center"/>
              <w:rPr>
                <w:rFonts w:ascii="Times New Roman" w:hAnsi="Times New Roman" w:cs="Times New Roman"/>
                <w:color w:val="auto"/>
                <w:sz w:val="21"/>
                <w:lang w:eastAsia="zh-CN" w:bidi="ar"/>
              </w:rPr>
            </w:pPr>
          </w:p>
        </w:tc>
        <w:tc>
          <w:tcPr>
            <w:tcW w:w="582" w:type="pct"/>
            <w:noWrap/>
            <w:vAlign w:val="center"/>
          </w:tcPr>
          <w:p w14:paraId="5514E92B">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spacing w:val="-2"/>
                <w:sz w:val="21"/>
                <w:lang w:eastAsia="zh-CN" w:bidi="ar"/>
              </w:rPr>
              <w:t>日均</w:t>
            </w:r>
          </w:p>
        </w:tc>
        <w:tc>
          <w:tcPr>
            <w:tcW w:w="655" w:type="pct"/>
            <w:noWrap/>
          </w:tcPr>
          <w:p w14:paraId="1E41EC6B">
            <w:pPr>
              <w:jc w:val="center"/>
              <w:textAlignment w:val="center"/>
              <w:rPr>
                <w:rFonts w:ascii="Times New Roman" w:hAnsi="Times New Roman" w:cs="Times New Roman"/>
                <w:color w:val="auto"/>
                <w:sz w:val="21"/>
                <w:lang w:eastAsia="zh-CN" w:bidi="ar"/>
              </w:rPr>
            </w:pPr>
          </w:p>
        </w:tc>
        <w:tc>
          <w:tcPr>
            <w:tcW w:w="728" w:type="pct"/>
            <w:noWrap/>
            <w:vAlign w:val="center"/>
          </w:tcPr>
          <w:p w14:paraId="62177785">
            <w:pPr>
              <w:jc w:val="center"/>
              <w:textAlignment w:val="center"/>
              <w:rPr>
                <w:rFonts w:ascii="Times New Roman" w:hAnsi="Times New Roman" w:cs="Times New Roman"/>
                <w:color w:val="auto"/>
                <w:sz w:val="21"/>
                <w:lang w:eastAsia="zh-CN" w:bidi="ar"/>
              </w:rPr>
            </w:pPr>
          </w:p>
        </w:tc>
        <w:tc>
          <w:tcPr>
            <w:tcW w:w="655" w:type="pct"/>
            <w:noWrap/>
            <w:vAlign w:val="center"/>
          </w:tcPr>
          <w:p w14:paraId="3951216D">
            <w:pPr>
              <w:jc w:val="center"/>
              <w:textAlignment w:val="center"/>
              <w:rPr>
                <w:rFonts w:ascii="Times New Roman" w:hAnsi="Times New Roman" w:cs="Times New Roman"/>
                <w:color w:val="auto"/>
                <w:sz w:val="21"/>
                <w:lang w:eastAsia="zh-CN" w:bidi="ar"/>
              </w:rPr>
            </w:pPr>
          </w:p>
        </w:tc>
        <w:tc>
          <w:tcPr>
            <w:tcW w:w="586" w:type="pct"/>
            <w:noWrap/>
            <w:vAlign w:val="center"/>
          </w:tcPr>
          <w:p w14:paraId="787C32F4">
            <w:pPr>
              <w:jc w:val="center"/>
              <w:textAlignment w:val="center"/>
              <w:rPr>
                <w:rFonts w:ascii="Times New Roman" w:hAnsi="Times New Roman" w:cs="Times New Roman"/>
                <w:color w:val="auto"/>
                <w:sz w:val="21"/>
                <w:lang w:eastAsia="zh-CN" w:bidi="ar"/>
              </w:rPr>
            </w:pPr>
          </w:p>
        </w:tc>
        <w:tc>
          <w:tcPr>
            <w:tcW w:w="483" w:type="pct"/>
            <w:noWrap/>
            <w:vAlign w:val="center"/>
          </w:tcPr>
          <w:p w14:paraId="4FBBAB1B">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达标</w:t>
            </w:r>
          </w:p>
        </w:tc>
      </w:tr>
      <w:tr w14:paraId="1484CA3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1" w:hRule="atLeast"/>
          <w:jc w:val="center"/>
        </w:trPr>
        <w:tc>
          <w:tcPr>
            <w:tcW w:w="296" w:type="pct"/>
            <w:vMerge w:val="restart"/>
            <w:noWrap/>
            <w:vAlign w:val="center"/>
          </w:tcPr>
          <w:p w14:paraId="3293BB4D">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6</w:t>
            </w:r>
          </w:p>
        </w:tc>
        <w:tc>
          <w:tcPr>
            <w:tcW w:w="491" w:type="pct"/>
            <w:vMerge w:val="continue"/>
            <w:noWrap/>
            <w:vAlign w:val="center"/>
          </w:tcPr>
          <w:p w14:paraId="68854120">
            <w:pPr>
              <w:adjustRightInd w:val="0"/>
              <w:snapToGrid w:val="0"/>
              <w:jc w:val="center"/>
              <w:textAlignment w:val="center"/>
              <w:rPr>
                <w:rFonts w:ascii="Times New Roman" w:hAnsi="Times New Roman" w:cs="Times New Roman"/>
                <w:color w:val="auto"/>
                <w:sz w:val="21"/>
                <w:lang w:bidi="ar"/>
              </w:rPr>
            </w:pPr>
          </w:p>
        </w:tc>
        <w:tc>
          <w:tcPr>
            <w:tcW w:w="523" w:type="pct"/>
            <w:vMerge w:val="restart"/>
            <w:noWrap/>
            <w:vAlign w:val="center"/>
          </w:tcPr>
          <w:p w14:paraId="5B2065C1">
            <w:pPr>
              <w:jc w:val="center"/>
              <w:textAlignment w:val="center"/>
              <w:rPr>
                <w:rFonts w:ascii="Times New Roman" w:hAnsi="Times New Roman" w:cs="Times New Roman"/>
                <w:color w:val="auto"/>
                <w:sz w:val="21"/>
                <w:lang w:eastAsia="zh-CN" w:bidi="ar"/>
              </w:rPr>
            </w:pPr>
            <w:r>
              <w:rPr>
                <w:rFonts w:ascii="Times New Roman" w:hAnsi="Times New Roman" w:cs="Times New Roman"/>
                <w:color w:val="000000" w:themeColor="text1"/>
                <w:sz w:val="21"/>
                <w14:textFill>
                  <w14:solidFill>
                    <w14:schemeClr w14:val="tx1"/>
                  </w14:solidFill>
                </w14:textFill>
              </w:rPr>
              <w:t>三铺中学</w:t>
            </w:r>
          </w:p>
        </w:tc>
        <w:tc>
          <w:tcPr>
            <w:tcW w:w="582" w:type="pct"/>
            <w:noWrap/>
            <w:vAlign w:val="center"/>
          </w:tcPr>
          <w:p w14:paraId="04EC83FE">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spacing w:val="-2"/>
                <w:sz w:val="21"/>
                <w:lang w:eastAsia="zh-CN" w:bidi="ar"/>
              </w:rPr>
              <w:t>1小时</w:t>
            </w:r>
          </w:p>
        </w:tc>
        <w:tc>
          <w:tcPr>
            <w:tcW w:w="655" w:type="pct"/>
            <w:noWrap/>
          </w:tcPr>
          <w:p w14:paraId="009069D0">
            <w:pPr>
              <w:jc w:val="center"/>
              <w:textAlignment w:val="center"/>
              <w:rPr>
                <w:rFonts w:ascii="Times New Roman" w:hAnsi="Times New Roman" w:cs="Times New Roman"/>
                <w:color w:val="auto"/>
                <w:sz w:val="21"/>
                <w:lang w:eastAsia="zh-CN" w:bidi="ar"/>
              </w:rPr>
            </w:pPr>
          </w:p>
        </w:tc>
        <w:tc>
          <w:tcPr>
            <w:tcW w:w="728" w:type="pct"/>
            <w:noWrap/>
            <w:vAlign w:val="center"/>
          </w:tcPr>
          <w:p w14:paraId="3F380F6D">
            <w:pPr>
              <w:jc w:val="center"/>
              <w:textAlignment w:val="center"/>
              <w:rPr>
                <w:rFonts w:ascii="Times New Roman" w:hAnsi="Times New Roman" w:cs="Times New Roman"/>
                <w:color w:val="auto"/>
                <w:sz w:val="21"/>
                <w:lang w:eastAsia="zh-CN" w:bidi="ar"/>
              </w:rPr>
            </w:pPr>
          </w:p>
        </w:tc>
        <w:tc>
          <w:tcPr>
            <w:tcW w:w="655" w:type="pct"/>
            <w:noWrap/>
            <w:vAlign w:val="center"/>
          </w:tcPr>
          <w:p w14:paraId="64B4B1A5">
            <w:pPr>
              <w:jc w:val="center"/>
              <w:textAlignment w:val="center"/>
              <w:rPr>
                <w:rFonts w:ascii="Times New Roman" w:hAnsi="Times New Roman" w:cs="Times New Roman"/>
                <w:color w:val="auto"/>
                <w:sz w:val="21"/>
                <w:lang w:eastAsia="zh-CN" w:bidi="ar"/>
              </w:rPr>
            </w:pPr>
          </w:p>
        </w:tc>
        <w:tc>
          <w:tcPr>
            <w:tcW w:w="586" w:type="pct"/>
            <w:noWrap/>
            <w:vAlign w:val="center"/>
          </w:tcPr>
          <w:p w14:paraId="03100593">
            <w:pPr>
              <w:jc w:val="center"/>
              <w:textAlignment w:val="center"/>
              <w:rPr>
                <w:rFonts w:ascii="Times New Roman" w:hAnsi="Times New Roman" w:cs="Times New Roman"/>
                <w:color w:val="auto"/>
                <w:sz w:val="21"/>
                <w:lang w:eastAsia="zh-CN" w:bidi="ar"/>
              </w:rPr>
            </w:pPr>
          </w:p>
        </w:tc>
        <w:tc>
          <w:tcPr>
            <w:tcW w:w="483" w:type="pct"/>
            <w:noWrap/>
            <w:vAlign w:val="center"/>
          </w:tcPr>
          <w:p w14:paraId="18B28AD5">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达标</w:t>
            </w:r>
          </w:p>
        </w:tc>
      </w:tr>
      <w:tr w14:paraId="7DD6F16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1" w:hRule="atLeast"/>
          <w:jc w:val="center"/>
        </w:trPr>
        <w:tc>
          <w:tcPr>
            <w:tcW w:w="296" w:type="pct"/>
            <w:vMerge w:val="continue"/>
            <w:noWrap/>
            <w:vAlign w:val="center"/>
          </w:tcPr>
          <w:p w14:paraId="454ECA11">
            <w:pPr>
              <w:adjustRightInd w:val="0"/>
              <w:snapToGrid w:val="0"/>
              <w:jc w:val="center"/>
              <w:textAlignment w:val="center"/>
              <w:rPr>
                <w:rFonts w:ascii="Times New Roman" w:hAnsi="Times New Roman" w:cs="Times New Roman"/>
                <w:color w:val="auto"/>
                <w:sz w:val="21"/>
                <w:lang w:eastAsia="zh-CN"/>
              </w:rPr>
            </w:pPr>
          </w:p>
        </w:tc>
        <w:tc>
          <w:tcPr>
            <w:tcW w:w="491" w:type="pct"/>
            <w:vMerge w:val="continue"/>
            <w:noWrap/>
            <w:vAlign w:val="center"/>
          </w:tcPr>
          <w:p w14:paraId="7AAAD473">
            <w:pPr>
              <w:adjustRightInd w:val="0"/>
              <w:snapToGrid w:val="0"/>
              <w:jc w:val="center"/>
              <w:textAlignment w:val="center"/>
              <w:rPr>
                <w:rFonts w:ascii="Times New Roman" w:hAnsi="Times New Roman" w:cs="Times New Roman"/>
                <w:color w:val="auto"/>
                <w:sz w:val="21"/>
                <w:lang w:bidi="ar"/>
              </w:rPr>
            </w:pPr>
          </w:p>
        </w:tc>
        <w:tc>
          <w:tcPr>
            <w:tcW w:w="523" w:type="pct"/>
            <w:vMerge w:val="continue"/>
            <w:noWrap/>
            <w:vAlign w:val="center"/>
          </w:tcPr>
          <w:p w14:paraId="06A53DA9">
            <w:pPr>
              <w:jc w:val="center"/>
              <w:textAlignment w:val="center"/>
              <w:rPr>
                <w:rFonts w:ascii="Times New Roman" w:hAnsi="Times New Roman" w:cs="Times New Roman"/>
                <w:color w:val="auto"/>
                <w:sz w:val="21"/>
                <w:lang w:eastAsia="zh-CN" w:bidi="ar"/>
              </w:rPr>
            </w:pPr>
          </w:p>
        </w:tc>
        <w:tc>
          <w:tcPr>
            <w:tcW w:w="582" w:type="pct"/>
            <w:noWrap/>
            <w:vAlign w:val="center"/>
          </w:tcPr>
          <w:p w14:paraId="0C3B35DE">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spacing w:val="-2"/>
                <w:sz w:val="21"/>
                <w:lang w:eastAsia="zh-CN" w:bidi="ar"/>
              </w:rPr>
              <w:t>日均</w:t>
            </w:r>
          </w:p>
        </w:tc>
        <w:tc>
          <w:tcPr>
            <w:tcW w:w="655" w:type="pct"/>
            <w:noWrap/>
          </w:tcPr>
          <w:p w14:paraId="568E4556">
            <w:pPr>
              <w:jc w:val="center"/>
              <w:textAlignment w:val="center"/>
              <w:rPr>
                <w:rFonts w:ascii="Times New Roman" w:hAnsi="Times New Roman" w:cs="Times New Roman"/>
                <w:color w:val="auto"/>
                <w:sz w:val="21"/>
                <w:lang w:eastAsia="zh-CN" w:bidi="ar"/>
              </w:rPr>
            </w:pPr>
          </w:p>
        </w:tc>
        <w:tc>
          <w:tcPr>
            <w:tcW w:w="728" w:type="pct"/>
            <w:noWrap/>
            <w:vAlign w:val="center"/>
          </w:tcPr>
          <w:p w14:paraId="2B06DD38">
            <w:pPr>
              <w:jc w:val="center"/>
              <w:textAlignment w:val="center"/>
              <w:rPr>
                <w:rFonts w:ascii="Times New Roman" w:hAnsi="Times New Roman" w:cs="Times New Roman"/>
                <w:color w:val="auto"/>
                <w:sz w:val="21"/>
                <w:lang w:eastAsia="zh-CN" w:bidi="ar"/>
              </w:rPr>
            </w:pPr>
          </w:p>
        </w:tc>
        <w:tc>
          <w:tcPr>
            <w:tcW w:w="655" w:type="pct"/>
            <w:noWrap/>
            <w:vAlign w:val="center"/>
          </w:tcPr>
          <w:p w14:paraId="4161732D">
            <w:pPr>
              <w:jc w:val="center"/>
              <w:textAlignment w:val="center"/>
              <w:rPr>
                <w:rFonts w:ascii="Times New Roman" w:hAnsi="Times New Roman" w:cs="Times New Roman"/>
                <w:color w:val="auto"/>
                <w:sz w:val="21"/>
                <w:lang w:eastAsia="zh-CN" w:bidi="ar"/>
              </w:rPr>
            </w:pPr>
          </w:p>
        </w:tc>
        <w:tc>
          <w:tcPr>
            <w:tcW w:w="586" w:type="pct"/>
            <w:noWrap/>
            <w:vAlign w:val="center"/>
          </w:tcPr>
          <w:p w14:paraId="528C6A46">
            <w:pPr>
              <w:jc w:val="center"/>
              <w:textAlignment w:val="center"/>
              <w:rPr>
                <w:rFonts w:ascii="Times New Roman" w:hAnsi="Times New Roman" w:cs="Times New Roman"/>
                <w:color w:val="auto"/>
                <w:sz w:val="21"/>
                <w:lang w:eastAsia="zh-CN" w:bidi="ar"/>
              </w:rPr>
            </w:pPr>
          </w:p>
        </w:tc>
        <w:tc>
          <w:tcPr>
            <w:tcW w:w="483" w:type="pct"/>
            <w:noWrap/>
            <w:vAlign w:val="center"/>
          </w:tcPr>
          <w:p w14:paraId="6FD5F2F7">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达标</w:t>
            </w:r>
          </w:p>
        </w:tc>
      </w:tr>
      <w:tr w14:paraId="64024F4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1" w:hRule="atLeast"/>
          <w:jc w:val="center"/>
        </w:trPr>
        <w:tc>
          <w:tcPr>
            <w:tcW w:w="296" w:type="pct"/>
            <w:vMerge w:val="restart"/>
            <w:noWrap/>
            <w:vAlign w:val="center"/>
          </w:tcPr>
          <w:p w14:paraId="39F6F59F">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7</w:t>
            </w:r>
          </w:p>
        </w:tc>
        <w:tc>
          <w:tcPr>
            <w:tcW w:w="491" w:type="pct"/>
            <w:vMerge w:val="continue"/>
            <w:noWrap/>
            <w:vAlign w:val="center"/>
          </w:tcPr>
          <w:p w14:paraId="5239B771">
            <w:pPr>
              <w:adjustRightInd w:val="0"/>
              <w:snapToGrid w:val="0"/>
              <w:jc w:val="center"/>
              <w:textAlignment w:val="center"/>
              <w:rPr>
                <w:rFonts w:ascii="Times New Roman" w:hAnsi="Times New Roman" w:cs="Times New Roman"/>
                <w:color w:val="auto"/>
                <w:sz w:val="21"/>
                <w:lang w:bidi="ar"/>
              </w:rPr>
            </w:pPr>
          </w:p>
        </w:tc>
        <w:tc>
          <w:tcPr>
            <w:tcW w:w="523" w:type="pct"/>
            <w:vMerge w:val="restart"/>
            <w:noWrap/>
            <w:vAlign w:val="center"/>
          </w:tcPr>
          <w:p w14:paraId="0B3F4C5C">
            <w:pPr>
              <w:jc w:val="center"/>
              <w:textAlignment w:val="center"/>
              <w:rPr>
                <w:rFonts w:ascii="Times New Roman" w:hAnsi="Times New Roman" w:cs="Times New Roman"/>
                <w:color w:val="auto"/>
                <w:sz w:val="21"/>
                <w:lang w:eastAsia="zh-CN" w:bidi="ar"/>
              </w:rPr>
            </w:pPr>
            <w:r>
              <w:rPr>
                <w:rFonts w:ascii="Times New Roman" w:hAnsi="Times New Roman" w:cs="Times New Roman"/>
                <w:color w:val="000000" w:themeColor="text1"/>
                <w:sz w:val="21"/>
                <w14:textFill>
                  <w14:solidFill>
                    <w14:schemeClr w14:val="tx1"/>
                  </w14:solidFill>
                </w14:textFill>
              </w:rPr>
              <w:t>杜家湖</w:t>
            </w:r>
          </w:p>
        </w:tc>
        <w:tc>
          <w:tcPr>
            <w:tcW w:w="582" w:type="pct"/>
            <w:noWrap/>
            <w:vAlign w:val="center"/>
          </w:tcPr>
          <w:p w14:paraId="166124E4">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spacing w:val="-2"/>
                <w:sz w:val="21"/>
                <w:lang w:eastAsia="zh-CN" w:bidi="ar"/>
              </w:rPr>
              <w:t>1小时</w:t>
            </w:r>
          </w:p>
        </w:tc>
        <w:tc>
          <w:tcPr>
            <w:tcW w:w="655" w:type="pct"/>
            <w:noWrap/>
          </w:tcPr>
          <w:p w14:paraId="27D0EC89">
            <w:pPr>
              <w:jc w:val="center"/>
              <w:textAlignment w:val="center"/>
              <w:rPr>
                <w:rFonts w:ascii="Times New Roman" w:hAnsi="Times New Roman" w:cs="Times New Roman"/>
                <w:color w:val="auto"/>
                <w:sz w:val="21"/>
                <w:lang w:eastAsia="zh-CN" w:bidi="ar"/>
              </w:rPr>
            </w:pPr>
          </w:p>
        </w:tc>
        <w:tc>
          <w:tcPr>
            <w:tcW w:w="728" w:type="pct"/>
            <w:noWrap/>
            <w:vAlign w:val="center"/>
          </w:tcPr>
          <w:p w14:paraId="150F15F8">
            <w:pPr>
              <w:jc w:val="center"/>
              <w:textAlignment w:val="center"/>
              <w:rPr>
                <w:rFonts w:ascii="Times New Roman" w:hAnsi="Times New Roman" w:cs="Times New Roman"/>
                <w:color w:val="auto"/>
                <w:sz w:val="21"/>
                <w:lang w:eastAsia="zh-CN" w:bidi="ar"/>
              </w:rPr>
            </w:pPr>
          </w:p>
        </w:tc>
        <w:tc>
          <w:tcPr>
            <w:tcW w:w="655" w:type="pct"/>
            <w:noWrap/>
            <w:vAlign w:val="center"/>
          </w:tcPr>
          <w:p w14:paraId="7ECA8888">
            <w:pPr>
              <w:jc w:val="center"/>
              <w:textAlignment w:val="center"/>
              <w:rPr>
                <w:rFonts w:ascii="Times New Roman" w:hAnsi="Times New Roman" w:cs="Times New Roman"/>
                <w:color w:val="auto"/>
                <w:sz w:val="21"/>
                <w:lang w:eastAsia="zh-CN" w:bidi="ar"/>
              </w:rPr>
            </w:pPr>
          </w:p>
        </w:tc>
        <w:tc>
          <w:tcPr>
            <w:tcW w:w="586" w:type="pct"/>
            <w:noWrap/>
            <w:vAlign w:val="center"/>
          </w:tcPr>
          <w:p w14:paraId="3AE4C783">
            <w:pPr>
              <w:jc w:val="center"/>
              <w:textAlignment w:val="center"/>
              <w:rPr>
                <w:rFonts w:ascii="Times New Roman" w:hAnsi="Times New Roman" w:cs="Times New Roman"/>
                <w:color w:val="auto"/>
                <w:sz w:val="21"/>
                <w:lang w:eastAsia="zh-CN" w:bidi="ar"/>
              </w:rPr>
            </w:pPr>
          </w:p>
        </w:tc>
        <w:tc>
          <w:tcPr>
            <w:tcW w:w="483" w:type="pct"/>
            <w:noWrap/>
            <w:vAlign w:val="center"/>
          </w:tcPr>
          <w:p w14:paraId="75C6BB09">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达标</w:t>
            </w:r>
          </w:p>
        </w:tc>
      </w:tr>
      <w:tr w14:paraId="3D10624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1" w:hRule="atLeast"/>
          <w:jc w:val="center"/>
        </w:trPr>
        <w:tc>
          <w:tcPr>
            <w:tcW w:w="296" w:type="pct"/>
            <w:vMerge w:val="continue"/>
            <w:noWrap/>
            <w:vAlign w:val="center"/>
          </w:tcPr>
          <w:p w14:paraId="47A8B003">
            <w:pPr>
              <w:adjustRightInd w:val="0"/>
              <w:snapToGrid w:val="0"/>
              <w:jc w:val="center"/>
              <w:textAlignment w:val="center"/>
              <w:rPr>
                <w:rFonts w:ascii="Times New Roman" w:hAnsi="Times New Roman" w:cs="Times New Roman"/>
                <w:color w:val="auto"/>
                <w:sz w:val="21"/>
                <w:lang w:eastAsia="zh-CN"/>
              </w:rPr>
            </w:pPr>
          </w:p>
        </w:tc>
        <w:tc>
          <w:tcPr>
            <w:tcW w:w="491" w:type="pct"/>
            <w:vMerge w:val="continue"/>
            <w:noWrap/>
            <w:vAlign w:val="center"/>
          </w:tcPr>
          <w:p w14:paraId="2D752CAC">
            <w:pPr>
              <w:adjustRightInd w:val="0"/>
              <w:snapToGrid w:val="0"/>
              <w:jc w:val="center"/>
              <w:textAlignment w:val="center"/>
              <w:rPr>
                <w:rFonts w:ascii="Times New Roman" w:hAnsi="Times New Roman" w:cs="Times New Roman"/>
                <w:color w:val="auto"/>
                <w:sz w:val="21"/>
                <w:lang w:bidi="ar"/>
              </w:rPr>
            </w:pPr>
          </w:p>
        </w:tc>
        <w:tc>
          <w:tcPr>
            <w:tcW w:w="523" w:type="pct"/>
            <w:vMerge w:val="continue"/>
            <w:noWrap/>
            <w:vAlign w:val="center"/>
          </w:tcPr>
          <w:p w14:paraId="033F8433">
            <w:pPr>
              <w:jc w:val="center"/>
              <w:textAlignment w:val="center"/>
              <w:rPr>
                <w:rFonts w:ascii="Times New Roman" w:hAnsi="Times New Roman" w:cs="Times New Roman"/>
                <w:color w:val="auto"/>
                <w:sz w:val="21"/>
                <w:lang w:eastAsia="zh-CN" w:bidi="ar"/>
              </w:rPr>
            </w:pPr>
          </w:p>
        </w:tc>
        <w:tc>
          <w:tcPr>
            <w:tcW w:w="582" w:type="pct"/>
            <w:noWrap/>
            <w:vAlign w:val="center"/>
          </w:tcPr>
          <w:p w14:paraId="36BF5778">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spacing w:val="-2"/>
                <w:sz w:val="21"/>
                <w:lang w:eastAsia="zh-CN" w:bidi="ar"/>
              </w:rPr>
              <w:t>日均</w:t>
            </w:r>
          </w:p>
        </w:tc>
        <w:tc>
          <w:tcPr>
            <w:tcW w:w="655" w:type="pct"/>
            <w:noWrap/>
          </w:tcPr>
          <w:p w14:paraId="658B6040">
            <w:pPr>
              <w:jc w:val="center"/>
              <w:textAlignment w:val="center"/>
              <w:rPr>
                <w:rFonts w:ascii="Times New Roman" w:hAnsi="Times New Roman" w:cs="Times New Roman"/>
                <w:color w:val="auto"/>
                <w:sz w:val="21"/>
                <w:lang w:eastAsia="zh-CN" w:bidi="ar"/>
              </w:rPr>
            </w:pPr>
          </w:p>
        </w:tc>
        <w:tc>
          <w:tcPr>
            <w:tcW w:w="728" w:type="pct"/>
            <w:noWrap/>
            <w:vAlign w:val="center"/>
          </w:tcPr>
          <w:p w14:paraId="2EF856EF">
            <w:pPr>
              <w:jc w:val="center"/>
              <w:textAlignment w:val="center"/>
              <w:rPr>
                <w:rFonts w:ascii="Times New Roman" w:hAnsi="Times New Roman" w:cs="Times New Roman"/>
                <w:color w:val="auto"/>
                <w:sz w:val="21"/>
                <w:lang w:eastAsia="zh-CN" w:bidi="ar"/>
              </w:rPr>
            </w:pPr>
          </w:p>
        </w:tc>
        <w:tc>
          <w:tcPr>
            <w:tcW w:w="655" w:type="pct"/>
            <w:noWrap/>
            <w:vAlign w:val="center"/>
          </w:tcPr>
          <w:p w14:paraId="082BE6F2">
            <w:pPr>
              <w:jc w:val="center"/>
              <w:textAlignment w:val="center"/>
              <w:rPr>
                <w:rFonts w:ascii="Times New Roman" w:hAnsi="Times New Roman" w:cs="Times New Roman"/>
                <w:color w:val="auto"/>
                <w:sz w:val="21"/>
                <w:lang w:eastAsia="zh-CN" w:bidi="ar"/>
              </w:rPr>
            </w:pPr>
          </w:p>
        </w:tc>
        <w:tc>
          <w:tcPr>
            <w:tcW w:w="586" w:type="pct"/>
            <w:noWrap/>
            <w:vAlign w:val="center"/>
          </w:tcPr>
          <w:p w14:paraId="17477668">
            <w:pPr>
              <w:jc w:val="center"/>
              <w:textAlignment w:val="center"/>
              <w:rPr>
                <w:rFonts w:ascii="Times New Roman" w:hAnsi="Times New Roman" w:cs="Times New Roman"/>
                <w:color w:val="auto"/>
                <w:sz w:val="21"/>
                <w:lang w:eastAsia="zh-CN" w:bidi="ar"/>
              </w:rPr>
            </w:pPr>
          </w:p>
        </w:tc>
        <w:tc>
          <w:tcPr>
            <w:tcW w:w="483" w:type="pct"/>
            <w:noWrap/>
            <w:vAlign w:val="center"/>
          </w:tcPr>
          <w:p w14:paraId="2B9638DE">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达标</w:t>
            </w:r>
          </w:p>
        </w:tc>
      </w:tr>
      <w:tr w14:paraId="247C6EB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1" w:hRule="atLeast"/>
          <w:jc w:val="center"/>
        </w:trPr>
        <w:tc>
          <w:tcPr>
            <w:tcW w:w="296" w:type="pct"/>
            <w:vMerge w:val="restart"/>
            <w:noWrap/>
            <w:vAlign w:val="center"/>
          </w:tcPr>
          <w:p w14:paraId="38964E00">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8</w:t>
            </w:r>
          </w:p>
        </w:tc>
        <w:tc>
          <w:tcPr>
            <w:tcW w:w="491" w:type="pct"/>
            <w:vMerge w:val="continue"/>
            <w:noWrap/>
            <w:vAlign w:val="center"/>
          </w:tcPr>
          <w:p w14:paraId="793B2F89">
            <w:pPr>
              <w:adjustRightInd w:val="0"/>
              <w:snapToGrid w:val="0"/>
              <w:jc w:val="center"/>
              <w:textAlignment w:val="center"/>
              <w:rPr>
                <w:rFonts w:ascii="Times New Roman" w:hAnsi="Times New Roman" w:cs="Times New Roman"/>
                <w:color w:val="auto"/>
                <w:sz w:val="21"/>
                <w:lang w:bidi="ar"/>
              </w:rPr>
            </w:pPr>
          </w:p>
        </w:tc>
        <w:tc>
          <w:tcPr>
            <w:tcW w:w="523" w:type="pct"/>
            <w:vMerge w:val="restart"/>
            <w:noWrap/>
            <w:vAlign w:val="center"/>
          </w:tcPr>
          <w:p w14:paraId="6E9B9D4B">
            <w:pPr>
              <w:jc w:val="center"/>
              <w:textAlignment w:val="center"/>
              <w:rPr>
                <w:rFonts w:ascii="Times New Roman" w:hAnsi="Times New Roman" w:cs="Times New Roman"/>
                <w:color w:val="auto"/>
                <w:sz w:val="21"/>
                <w:lang w:eastAsia="zh-CN" w:bidi="ar"/>
              </w:rPr>
            </w:pPr>
            <w:r>
              <w:rPr>
                <w:rFonts w:ascii="Times New Roman" w:hAnsi="Times New Roman" w:cs="Times New Roman"/>
                <w:color w:val="000000" w:themeColor="text1"/>
                <w:sz w:val="21"/>
                <w14:textFill>
                  <w14:solidFill>
                    <w14:schemeClr w14:val="tx1"/>
                  </w14:solidFill>
                </w14:textFill>
              </w:rPr>
              <w:t>网格点</w:t>
            </w:r>
          </w:p>
        </w:tc>
        <w:tc>
          <w:tcPr>
            <w:tcW w:w="582" w:type="pct"/>
            <w:noWrap/>
            <w:vAlign w:val="center"/>
          </w:tcPr>
          <w:p w14:paraId="62EE3045">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spacing w:val="-2"/>
                <w:sz w:val="21"/>
                <w:lang w:eastAsia="zh-CN" w:bidi="ar"/>
              </w:rPr>
              <w:t>1小时</w:t>
            </w:r>
          </w:p>
        </w:tc>
        <w:tc>
          <w:tcPr>
            <w:tcW w:w="655" w:type="pct"/>
            <w:noWrap/>
          </w:tcPr>
          <w:p w14:paraId="66BEA1CD">
            <w:pPr>
              <w:jc w:val="center"/>
              <w:textAlignment w:val="center"/>
              <w:rPr>
                <w:rFonts w:ascii="Times New Roman" w:hAnsi="Times New Roman" w:cs="Times New Roman"/>
                <w:color w:val="auto"/>
                <w:sz w:val="21"/>
                <w:lang w:eastAsia="zh-CN" w:bidi="ar"/>
              </w:rPr>
            </w:pPr>
          </w:p>
        </w:tc>
        <w:tc>
          <w:tcPr>
            <w:tcW w:w="728" w:type="pct"/>
            <w:noWrap/>
            <w:vAlign w:val="center"/>
          </w:tcPr>
          <w:p w14:paraId="3A523467">
            <w:pPr>
              <w:jc w:val="center"/>
              <w:textAlignment w:val="center"/>
              <w:rPr>
                <w:rFonts w:ascii="Times New Roman" w:hAnsi="Times New Roman" w:cs="Times New Roman"/>
                <w:color w:val="auto"/>
                <w:sz w:val="21"/>
                <w:lang w:eastAsia="zh-CN" w:bidi="ar"/>
              </w:rPr>
            </w:pPr>
          </w:p>
        </w:tc>
        <w:tc>
          <w:tcPr>
            <w:tcW w:w="655" w:type="pct"/>
            <w:noWrap/>
            <w:vAlign w:val="center"/>
          </w:tcPr>
          <w:p w14:paraId="7EB121B7">
            <w:pPr>
              <w:jc w:val="center"/>
              <w:textAlignment w:val="center"/>
              <w:rPr>
                <w:rFonts w:ascii="Times New Roman" w:hAnsi="Times New Roman" w:cs="Times New Roman"/>
                <w:color w:val="auto"/>
                <w:sz w:val="21"/>
                <w:lang w:eastAsia="zh-CN" w:bidi="ar"/>
              </w:rPr>
            </w:pPr>
          </w:p>
        </w:tc>
        <w:tc>
          <w:tcPr>
            <w:tcW w:w="586" w:type="pct"/>
            <w:noWrap/>
            <w:vAlign w:val="center"/>
          </w:tcPr>
          <w:p w14:paraId="6C676290">
            <w:pPr>
              <w:jc w:val="center"/>
              <w:textAlignment w:val="center"/>
              <w:rPr>
                <w:rFonts w:ascii="Times New Roman" w:hAnsi="Times New Roman" w:cs="Times New Roman"/>
                <w:color w:val="auto"/>
                <w:sz w:val="21"/>
                <w:lang w:eastAsia="zh-CN" w:bidi="ar"/>
              </w:rPr>
            </w:pPr>
          </w:p>
        </w:tc>
        <w:tc>
          <w:tcPr>
            <w:tcW w:w="483" w:type="pct"/>
            <w:noWrap/>
            <w:vAlign w:val="center"/>
          </w:tcPr>
          <w:p w14:paraId="553D1C88">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达标</w:t>
            </w:r>
          </w:p>
        </w:tc>
      </w:tr>
      <w:tr w14:paraId="20AF343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1" w:hRule="atLeast"/>
          <w:jc w:val="center"/>
        </w:trPr>
        <w:tc>
          <w:tcPr>
            <w:tcW w:w="296" w:type="pct"/>
            <w:vMerge w:val="continue"/>
            <w:noWrap/>
            <w:vAlign w:val="center"/>
          </w:tcPr>
          <w:p w14:paraId="54B120A0">
            <w:pPr>
              <w:adjustRightInd w:val="0"/>
              <w:snapToGrid w:val="0"/>
              <w:jc w:val="center"/>
              <w:textAlignment w:val="center"/>
              <w:rPr>
                <w:rFonts w:ascii="Times New Roman" w:hAnsi="Times New Roman" w:cs="Times New Roman"/>
                <w:color w:val="auto"/>
                <w:sz w:val="21"/>
                <w:lang w:eastAsia="zh-CN"/>
              </w:rPr>
            </w:pPr>
          </w:p>
        </w:tc>
        <w:tc>
          <w:tcPr>
            <w:tcW w:w="491" w:type="pct"/>
            <w:vMerge w:val="continue"/>
            <w:noWrap/>
            <w:vAlign w:val="center"/>
          </w:tcPr>
          <w:p w14:paraId="2A3D7D68">
            <w:pPr>
              <w:adjustRightInd w:val="0"/>
              <w:snapToGrid w:val="0"/>
              <w:jc w:val="center"/>
              <w:textAlignment w:val="center"/>
              <w:rPr>
                <w:rFonts w:ascii="Times New Roman" w:hAnsi="Times New Roman" w:cs="Times New Roman"/>
                <w:color w:val="auto"/>
                <w:sz w:val="21"/>
                <w:lang w:bidi="ar"/>
              </w:rPr>
            </w:pPr>
          </w:p>
        </w:tc>
        <w:tc>
          <w:tcPr>
            <w:tcW w:w="523" w:type="pct"/>
            <w:vMerge w:val="continue"/>
            <w:noWrap/>
            <w:vAlign w:val="center"/>
          </w:tcPr>
          <w:p w14:paraId="1400CC1C">
            <w:pPr>
              <w:jc w:val="center"/>
              <w:textAlignment w:val="center"/>
              <w:rPr>
                <w:rFonts w:ascii="Times New Roman" w:hAnsi="Times New Roman" w:cs="Times New Roman"/>
                <w:color w:val="auto"/>
                <w:sz w:val="21"/>
                <w:lang w:eastAsia="zh-CN" w:bidi="ar"/>
              </w:rPr>
            </w:pPr>
          </w:p>
        </w:tc>
        <w:tc>
          <w:tcPr>
            <w:tcW w:w="582" w:type="pct"/>
            <w:noWrap/>
            <w:vAlign w:val="center"/>
          </w:tcPr>
          <w:p w14:paraId="7DA31307">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spacing w:val="-2"/>
                <w:sz w:val="21"/>
                <w:lang w:eastAsia="zh-CN" w:bidi="ar"/>
              </w:rPr>
              <w:t>日均</w:t>
            </w:r>
          </w:p>
        </w:tc>
        <w:tc>
          <w:tcPr>
            <w:tcW w:w="655" w:type="pct"/>
            <w:noWrap/>
          </w:tcPr>
          <w:p w14:paraId="741DF0F8">
            <w:pPr>
              <w:jc w:val="center"/>
              <w:textAlignment w:val="center"/>
              <w:rPr>
                <w:rFonts w:ascii="Times New Roman" w:hAnsi="Times New Roman" w:cs="Times New Roman"/>
                <w:color w:val="auto"/>
                <w:sz w:val="21"/>
                <w:lang w:eastAsia="zh-CN" w:bidi="ar"/>
              </w:rPr>
            </w:pPr>
          </w:p>
        </w:tc>
        <w:tc>
          <w:tcPr>
            <w:tcW w:w="728" w:type="pct"/>
            <w:noWrap/>
            <w:vAlign w:val="center"/>
          </w:tcPr>
          <w:p w14:paraId="3BB25CFE">
            <w:pPr>
              <w:jc w:val="center"/>
              <w:textAlignment w:val="center"/>
              <w:rPr>
                <w:rFonts w:ascii="Times New Roman" w:hAnsi="Times New Roman" w:cs="Times New Roman"/>
                <w:color w:val="auto"/>
                <w:sz w:val="21"/>
                <w:lang w:eastAsia="zh-CN" w:bidi="ar"/>
              </w:rPr>
            </w:pPr>
          </w:p>
        </w:tc>
        <w:tc>
          <w:tcPr>
            <w:tcW w:w="655" w:type="pct"/>
            <w:noWrap/>
            <w:vAlign w:val="center"/>
          </w:tcPr>
          <w:p w14:paraId="44A662B3">
            <w:pPr>
              <w:jc w:val="center"/>
              <w:textAlignment w:val="center"/>
              <w:rPr>
                <w:rFonts w:ascii="Times New Roman" w:hAnsi="Times New Roman" w:cs="Times New Roman"/>
                <w:color w:val="auto"/>
                <w:sz w:val="21"/>
                <w:lang w:eastAsia="zh-CN" w:bidi="ar"/>
              </w:rPr>
            </w:pPr>
          </w:p>
        </w:tc>
        <w:tc>
          <w:tcPr>
            <w:tcW w:w="586" w:type="pct"/>
            <w:noWrap/>
            <w:vAlign w:val="center"/>
          </w:tcPr>
          <w:p w14:paraId="3E25527B">
            <w:pPr>
              <w:jc w:val="center"/>
              <w:textAlignment w:val="center"/>
              <w:rPr>
                <w:rFonts w:ascii="Times New Roman" w:hAnsi="Times New Roman" w:cs="Times New Roman"/>
                <w:color w:val="auto"/>
                <w:sz w:val="21"/>
                <w:lang w:eastAsia="zh-CN" w:bidi="ar"/>
              </w:rPr>
            </w:pPr>
          </w:p>
        </w:tc>
        <w:tc>
          <w:tcPr>
            <w:tcW w:w="483" w:type="pct"/>
            <w:noWrap/>
            <w:vAlign w:val="center"/>
          </w:tcPr>
          <w:p w14:paraId="38DA1047">
            <w:pPr>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达标</w:t>
            </w:r>
          </w:p>
        </w:tc>
      </w:tr>
    </w:tbl>
    <w:p w14:paraId="5AF37F29">
      <w:pPr>
        <w:widowControl w:val="0"/>
        <w:spacing w:line="360" w:lineRule="auto"/>
        <w:ind w:firstLine="480" w:firstLineChars="200"/>
        <w:jc w:val="both"/>
        <w:rPr>
          <w:rFonts w:ascii="Times New Roman" w:hAnsi="Times New Roman" w:cs="Times New Roman"/>
          <w:bCs/>
          <w:color w:val="auto"/>
          <w:lang w:eastAsia="zh-CN"/>
        </w:rPr>
      </w:pPr>
      <w:r>
        <w:rPr>
          <w:rFonts w:ascii="Times New Roman" w:hAnsi="Times New Roman" w:cs="Times New Roman"/>
          <w:bCs/>
          <w:color w:val="auto"/>
          <w:lang w:eastAsia="zh-CN"/>
        </w:rPr>
        <w:t>根据预测可知，非正常工况下污染物</w:t>
      </w:r>
      <w:r>
        <w:rPr>
          <w:rFonts w:hint="eastAsia" w:ascii="Times New Roman" w:hAnsi="Times New Roman" w:cs="Times New Roman"/>
          <w:bCs/>
          <w:color w:val="auto"/>
          <w:lang w:eastAsia="zh-CN"/>
        </w:rPr>
        <w:t>氟化物、氯化氢</w:t>
      </w:r>
      <w:r>
        <w:rPr>
          <w:rFonts w:ascii="Times New Roman" w:hAnsi="Times New Roman" w:cs="Times New Roman"/>
          <w:bCs/>
          <w:color w:val="auto"/>
          <w:lang w:eastAsia="zh-CN"/>
        </w:rPr>
        <w:t>小时</w:t>
      </w:r>
      <w:r>
        <w:rPr>
          <w:rFonts w:hint="eastAsia" w:ascii="Times New Roman" w:hAnsi="Times New Roman" w:cs="Times New Roman"/>
          <w:bCs/>
          <w:color w:val="auto"/>
          <w:lang w:eastAsia="zh-CN"/>
        </w:rPr>
        <w:t>及日均</w:t>
      </w:r>
      <w:r>
        <w:rPr>
          <w:rFonts w:ascii="Times New Roman" w:hAnsi="Times New Roman" w:cs="Times New Roman"/>
          <w:bCs/>
          <w:color w:val="auto"/>
          <w:lang w:eastAsia="zh-CN"/>
        </w:rPr>
        <w:t>最大浓度贡献值</w:t>
      </w:r>
      <w:r>
        <w:rPr>
          <w:rFonts w:hint="eastAsia" w:ascii="Times New Roman" w:hAnsi="Times New Roman" w:cs="Times New Roman"/>
          <w:bCs/>
          <w:color w:val="auto"/>
          <w:lang w:eastAsia="zh-CN"/>
        </w:rPr>
        <w:t>均满足标准限值</w:t>
      </w:r>
      <w:r>
        <w:rPr>
          <w:rFonts w:ascii="Times New Roman" w:hAnsi="Times New Roman" w:cs="Times New Roman"/>
          <w:bCs/>
          <w:color w:val="auto"/>
          <w:lang w:eastAsia="zh-CN"/>
        </w:rPr>
        <w:t>。评价要求企业加强日常管理和设备维护，一旦发现异常情况，及时排查原因，确保污染物达标排放</w:t>
      </w:r>
      <w:r>
        <w:rPr>
          <w:rFonts w:hint="eastAsia" w:ascii="Times New Roman" w:hAnsi="Times New Roman" w:cs="Times New Roman"/>
          <w:bCs/>
          <w:color w:val="auto"/>
          <w:lang w:eastAsia="zh-CN"/>
        </w:rPr>
        <w:t>。</w:t>
      </w:r>
    </w:p>
    <w:p w14:paraId="64359DFA">
      <w:pPr>
        <w:widowControl w:val="0"/>
        <w:spacing w:line="360" w:lineRule="auto"/>
        <w:ind w:firstLine="482"/>
        <w:outlineLvl w:val="2"/>
        <w:rPr>
          <w:rFonts w:ascii="Times New Roman" w:hAnsi="Times New Roman" w:cs="Times New Roman"/>
          <w:b/>
          <w:bCs/>
          <w:color w:val="auto"/>
          <w:szCs w:val="24"/>
          <w:lang w:eastAsia="zh-CN"/>
        </w:rPr>
      </w:pPr>
      <w:bookmarkStart w:id="1457" w:name="_Toc223425095"/>
      <w:bookmarkStart w:id="1458" w:name="_Toc173740315"/>
      <w:bookmarkStart w:id="1459" w:name="_Toc225784096"/>
      <w:bookmarkStart w:id="1460" w:name="_Toc204448504"/>
      <w:bookmarkStart w:id="1461" w:name="_Toc221900877"/>
      <w:bookmarkStart w:id="1462" w:name="_Toc218784320"/>
      <w:bookmarkStart w:id="1463" w:name="_Toc237508330"/>
      <w:bookmarkStart w:id="1464" w:name="_Toc203927038"/>
      <w:bookmarkStart w:id="1465" w:name="_Toc176513046"/>
      <w:bookmarkStart w:id="1466" w:name="_Toc204515239"/>
      <w:bookmarkStart w:id="1467" w:name="_Toc175164310"/>
      <w:bookmarkStart w:id="1468" w:name="_Toc173743419"/>
      <w:bookmarkStart w:id="1469" w:name="_Toc178602386"/>
      <w:bookmarkStart w:id="1470" w:name="_Toc224674735"/>
      <w:bookmarkStart w:id="1471" w:name="_Toc231828617"/>
      <w:bookmarkStart w:id="1472" w:name="_Toc236641865"/>
      <w:bookmarkStart w:id="1473" w:name="_Toc236641348"/>
      <w:r>
        <w:rPr>
          <w:rFonts w:hint="eastAsia" w:ascii="Times New Roman" w:hAnsi="Times New Roman" w:cs="Times New Roman"/>
          <w:b/>
          <w:bCs/>
          <w:color w:val="auto"/>
          <w:szCs w:val="24"/>
          <w:lang w:eastAsia="zh-CN"/>
        </w:rPr>
        <w:t>6</w:t>
      </w:r>
      <w:r>
        <w:rPr>
          <w:rFonts w:ascii="Times New Roman" w:hAnsi="Times New Roman" w:cs="Times New Roman"/>
          <w:b/>
          <w:bCs/>
          <w:color w:val="auto"/>
          <w:szCs w:val="24"/>
          <w:lang w:eastAsia="zh-CN"/>
        </w:rPr>
        <w:t>.2.</w:t>
      </w:r>
      <w:r>
        <w:rPr>
          <w:rFonts w:hint="eastAsia" w:ascii="Times New Roman" w:hAnsi="Times New Roman" w:cs="Times New Roman"/>
          <w:b/>
          <w:bCs/>
          <w:color w:val="auto"/>
          <w:szCs w:val="24"/>
          <w:lang w:eastAsia="zh-CN"/>
        </w:rPr>
        <w:t>6</w:t>
      </w:r>
      <w:r>
        <w:rPr>
          <w:rFonts w:ascii="Times New Roman" w:hAnsi="Times New Roman" w:cs="Times New Roman"/>
          <w:b/>
          <w:bCs/>
          <w:color w:val="auto"/>
          <w:szCs w:val="24"/>
          <w:lang w:eastAsia="zh-CN"/>
        </w:rPr>
        <w:t xml:space="preserve"> 防护距离</w:t>
      </w:r>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p>
    <w:p w14:paraId="77FA5E60">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1、确定依据</w:t>
      </w:r>
    </w:p>
    <w:p w14:paraId="5B0391EB">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（1）按照《环境影响评价技术导则 大气环境》（HJ2.2-2018）中的要求，应采用推荐模式中的大气环境防护距离模式，计算各排放源的大气环境防护距离。计算出的距离是以厂界向外设置一定范围的大气环境防护区域，以确保大气环境防护区域外的污染物贡献浓度满足环境质量标准，在大气环境防护距离内不应有长期居住的人群。</w:t>
      </w:r>
    </w:p>
    <w:p w14:paraId="3301C6C1">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（2）对于项目厂界浓度超过大气污染物厂界浓度限值的，应要求削减排放源强或调整工程布局，待满足厂界浓度限值后，再核算大气环境防护距离。</w:t>
      </w:r>
    </w:p>
    <w:p w14:paraId="6632A08B">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2、分析结果</w:t>
      </w:r>
    </w:p>
    <w:p w14:paraId="3F45EACF">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（1）大气环境防护距离</w:t>
      </w:r>
    </w:p>
    <w:p w14:paraId="784DD9C4">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依据《环境影响评价技术导则 大气环境》（HJ2.2-2018）采用AERMOD模式进行预测，结果表明厂界浓度满足大气污染物厂界浓度限值，厂界外大气污染物短期浓度贡献浓度值未超过环境浓度质量限值，因此本项目无需设置大气环境防护距离。</w:t>
      </w:r>
    </w:p>
    <w:p w14:paraId="5DA83AD9">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hint="eastAsia" w:ascii="Times New Roman" w:hAnsi="Times New Roman" w:eastAsia="新宋体" w:cs="Times New Roman"/>
          <w:color w:val="auto"/>
          <w:szCs w:val="24"/>
          <w:lang w:eastAsia="zh-CN"/>
        </w:rPr>
        <w:t>（2）</w:t>
      </w:r>
      <w:r>
        <w:rPr>
          <w:rFonts w:ascii="Times New Roman" w:hAnsi="Times New Roman" w:eastAsia="新宋体" w:cs="Times New Roman"/>
          <w:color w:val="auto"/>
          <w:szCs w:val="24"/>
          <w:lang w:eastAsia="zh-CN"/>
        </w:rPr>
        <w:t>环境风险防护距离</w:t>
      </w:r>
    </w:p>
    <w:p w14:paraId="19E68069">
      <w:pPr>
        <w:widowControl w:val="0"/>
        <w:spacing w:line="360" w:lineRule="auto"/>
        <w:ind w:firstLine="480" w:firstLineChars="200"/>
        <w:jc w:val="both"/>
        <w:rPr>
          <w:rFonts w:ascii="Times New Roman" w:hAnsi="Times New Roman" w:eastAsia="新宋体" w:cs="Times New Roman"/>
          <w:color w:val="auto"/>
          <w:szCs w:val="24"/>
          <w:lang w:eastAsia="zh-CN"/>
        </w:rPr>
      </w:pPr>
      <w:bookmarkStart w:id="1474" w:name="_Hlk176943948"/>
      <w:r>
        <w:rPr>
          <w:rFonts w:ascii="Times New Roman" w:hAnsi="Times New Roman" w:eastAsia="新宋体" w:cs="Times New Roman"/>
          <w:color w:val="auto"/>
          <w:szCs w:val="24"/>
          <w:lang w:eastAsia="zh-CN"/>
        </w:rPr>
        <w:t>根据“</w:t>
      </w:r>
      <w:r>
        <w:rPr>
          <w:rFonts w:hint="eastAsia" w:ascii="Times New Roman" w:hAnsi="Times New Roman" w:eastAsia="新宋体" w:cs="Times New Roman"/>
          <w:color w:val="auto"/>
          <w:szCs w:val="24"/>
          <w:lang w:eastAsia="zh-CN"/>
        </w:rPr>
        <w:t>7</w:t>
      </w:r>
      <w:r>
        <w:rPr>
          <w:rFonts w:ascii="Times New Roman" w:hAnsi="Times New Roman" w:eastAsia="新宋体" w:cs="Times New Roman"/>
          <w:color w:val="auto"/>
          <w:szCs w:val="24"/>
          <w:lang w:eastAsia="zh-CN"/>
        </w:rPr>
        <w:t>.</w:t>
      </w:r>
      <w:r>
        <w:rPr>
          <w:rFonts w:hint="eastAsia" w:ascii="Times New Roman" w:hAnsi="Times New Roman" w:eastAsia="新宋体" w:cs="Times New Roman"/>
          <w:color w:val="auto"/>
          <w:szCs w:val="24"/>
          <w:lang w:eastAsia="zh-CN"/>
        </w:rPr>
        <w:t>8</w:t>
      </w:r>
      <w:r>
        <w:rPr>
          <w:rFonts w:ascii="Times New Roman" w:hAnsi="Times New Roman" w:eastAsia="新宋体" w:cs="Times New Roman"/>
          <w:color w:val="auto"/>
          <w:szCs w:val="24"/>
          <w:lang w:eastAsia="zh-CN"/>
        </w:rPr>
        <w:t xml:space="preserve"> 风险预测与评价”可知，在考虑</w:t>
      </w:r>
      <w:r>
        <w:rPr>
          <w:rFonts w:hint="eastAsia" w:ascii="Times New Roman" w:hAnsi="Times New Roman" w:eastAsia="新宋体" w:cs="Times New Roman"/>
          <w:color w:val="auto"/>
          <w:szCs w:val="24"/>
          <w:lang w:eastAsia="zh-CN"/>
        </w:rPr>
        <w:t>化学纯氢氟酸储罐储罐</w:t>
      </w:r>
      <w:r>
        <w:rPr>
          <w:rFonts w:ascii="Times New Roman" w:hAnsi="Times New Roman" w:eastAsia="新宋体" w:cs="Times New Roman"/>
          <w:color w:val="auto"/>
          <w:szCs w:val="24"/>
          <w:lang w:eastAsia="zh-CN"/>
        </w:rPr>
        <w:t>泄漏事故情境下，预测结果表明，</w:t>
      </w:r>
      <w:r>
        <w:rPr>
          <w:rFonts w:hint="eastAsia" w:ascii="Times New Roman" w:hAnsi="Times New Roman" w:eastAsia="新宋体" w:cs="Times New Roman"/>
          <w:color w:val="auto"/>
          <w:szCs w:val="24"/>
          <w:lang w:eastAsia="zh-CN"/>
        </w:rPr>
        <w:t>化学纯氢氟酸</w:t>
      </w:r>
      <w:r>
        <w:rPr>
          <w:rFonts w:ascii="Times New Roman" w:hAnsi="Times New Roman" w:eastAsia="新宋体" w:cs="Times New Roman"/>
          <w:color w:val="auto"/>
          <w:szCs w:val="24"/>
          <w:lang w:eastAsia="zh-CN"/>
        </w:rPr>
        <w:t>大气毒性终点浓度1级最远影响距离为</w:t>
      </w:r>
      <w:r>
        <w:rPr>
          <w:rFonts w:hint="eastAsia" w:ascii="Times New Roman" w:hAnsi="Times New Roman" w:eastAsia="新宋体" w:cs="Times New Roman"/>
          <w:color w:val="auto"/>
          <w:szCs w:val="24"/>
          <w:lang w:eastAsia="zh-CN"/>
        </w:rPr>
        <w:t>450</w:t>
      </w:r>
      <w:r>
        <w:rPr>
          <w:rFonts w:ascii="Times New Roman" w:hAnsi="Times New Roman" w:eastAsia="新宋体" w:cs="Times New Roman"/>
          <w:color w:val="auto"/>
          <w:szCs w:val="24"/>
          <w:lang w:eastAsia="zh-CN"/>
        </w:rPr>
        <w:t>m，故本项目至少设置</w:t>
      </w:r>
      <w:r>
        <w:rPr>
          <w:rFonts w:hint="eastAsia" w:ascii="Times New Roman" w:hAnsi="Times New Roman" w:eastAsia="新宋体" w:cs="Times New Roman"/>
          <w:color w:val="auto"/>
          <w:szCs w:val="24"/>
          <w:lang w:eastAsia="zh-CN"/>
        </w:rPr>
        <w:t>45</w:t>
      </w:r>
      <w:r>
        <w:rPr>
          <w:rFonts w:ascii="Times New Roman" w:hAnsi="Times New Roman" w:eastAsia="新宋体" w:cs="Times New Roman"/>
          <w:color w:val="auto"/>
          <w:szCs w:val="24"/>
          <w:lang w:eastAsia="zh-CN"/>
        </w:rPr>
        <w:t>0m风险防护距离。根据</w:t>
      </w:r>
      <w:r>
        <w:rPr>
          <w:rFonts w:hint="eastAsia" w:ascii="Times New Roman" w:hAnsi="Times New Roman" w:eastAsia="新宋体" w:cs="Times New Roman"/>
          <w:color w:val="auto"/>
          <w:szCs w:val="24"/>
          <w:lang w:eastAsia="zh-CN"/>
        </w:rPr>
        <w:t>《</w:t>
      </w:r>
      <w:r>
        <w:rPr>
          <w:rFonts w:hint="eastAsia" w:ascii="Times New Roman" w:hAnsi="Times New Roman" w:cs="Times New Roman"/>
          <w:color w:val="auto"/>
          <w:szCs w:val="24"/>
          <w:lang w:eastAsia="zh-CN"/>
        </w:rPr>
        <w:t>安徽氟瑞星化工有限公司年产4万吨电子级氢氟酸、4万吨化学纯氢氟酸及4.5万吨刻蚀液项目（一期工程）》</w:t>
      </w:r>
      <w:r>
        <w:rPr>
          <w:rFonts w:ascii="Times New Roman" w:hAnsi="Times New Roman" w:eastAsia="新宋体" w:cs="Times New Roman"/>
          <w:color w:val="auto"/>
          <w:szCs w:val="24"/>
          <w:lang w:eastAsia="zh-CN"/>
        </w:rPr>
        <w:t>可知，</w:t>
      </w:r>
      <w:r>
        <w:rPr>
          <w:rFonts w:hint="eastAsia" w:ascii="Times New Roman" w:hAnsi="Times New Roman" w:cs="Times New Roman"/>
          <w:color w:val="auto"/>
          <w:szCs w:val="24"/>
          <w:lang w:eastAsia="zh-CN"/>
        </w:rPr>
        <w:t>安徽氟瑞星化工有限公司</w:t>
      </w:r>
      <w:r>
        <w:rPr>
          <w:rFonts w:ascii="Times New Roman" w:hAnsi="Times New Roman" w:eastAsia="新宋体" w:cs="Times New Roman"/>
          <w:color w:val="auto"/>
          <w:szCs w:val="24"/>
          <w:lang w:eastAsia="zh-CN"/>
        </w:rPr>
        <w:t>现有</w:t>
      </w:r>
      <w:r>
        <w:rPr>
          <w:rFonts w:hint="eastAsia" w:ascii="Times New Roman" w:hAnsi="Times New Roman" w:eastAsia="新宋体" w:cs="Times New Roman"/>
          <w:color w:val="auto"/>
          <w:szCs w:val="24"/>
          <w:lang w:eastAsia="zh-CN"/>
        </w:rPr>
        <w:t>环境</w:t>
      </w:r>
      <w:r>
        <w:rPr>
          <w:rFonts w:ascii="Times New Roman" w:hAnsi="Times New Roman" w:eastAsia="新宋体" w:cs="Times New Roman"/>
          <w:color w:val="auto"/>
          <w:szCs w:val="24"/>
          <w:lang w:eastAsia="zh-CN"/>
        </w:rPr>
        <w:t>防护距离为</w:t>
      </w:r>
      <w:r>
        <w:rPr>
          <w:rFonts w:hint="eastAsia" w:ascii="Times New Roman" w:hAnsi="Times New Roman" w:eastAsia="新宋体" w:cs="Times New Roman"/>
          <w:color w:val="auto"/>
          <w:szCs w:val="24"/>
          <w:lang w:eastAsia="zh-CN"/>
        </w:rPr>
        <w:t>65</w:t>
      </w:r>
      <w:r>
        <w:rPr>
          <w:rFonts w:ascii="Times New Roman" w:hAnsi="Times New Roman" w:eastAsia="新宋体" w:cs="Times New Roman"/>
          <w:color w:val="auto"/>
          <w:szCs w:val="24"/>
          <w:lang w:eastAsia="zh-CN"/>
        </w:rPr>
        <w:t>0m</w:t>
      </w:r>
      <w:r>
        <w:rPr>
          <w:rFonts w:hint="eastAsia" w:ascii="Times New Roman" w:hAnsi="Times New Roman" w:eastAsia="新宋体" w:cs="Times New Roman"/>
          <w:color w:val="auto"/>
          <w:szCs w:val="24"/>
          <w:lang w:eastAsia="zh-CN"/>
        </w:rPr>
        <w:t>，</w:t>
      </w:r>
      <w:r>
        <w:rPr>
          <w:rFonts w:ascii="Times New Roman" w:hAnsi="Times New Roman" w:eastAsia="新宋体" w:cs="Times New Roman"/>
          <w:color w:val="auto"/>
          <w:szCs w:val="24"/>
          <w:lang w:eastAsia="zh-CN"/>
        </w:rPr>
        <w:t>故</w:t>
      </w:r>
      <w:r>
        <w:rPr>
          <w:rFonts w:hint="eastAsia" w:ascii="Times New Roman" w:hAnsi="Times New Roman" w:cs="Times New Roman"/>
          <w:color w:val="auto"/>
          <w:szCs w:val="24"/>
          <w:lang w:eastAsia="zh-CN"/>
        </w:rPr>
        <w:t>安徽氟瑞星化工有限公司</w:t>
      </w:r>
      <w:r>
        <w:rPr>
          <w:rFonts w:ascii="Times New Roman" w:hAnsi="Times New Roman" w:eastAsia="新宋体" w:cs="Times New Roman"/>
          <w:color w:val="auto"/>
          <w:szCs w:val="24"/>
          <w:lang w:eastAsia="zh-CN"/>
        </w:rPr>
        <w:t>环境防护距离仍为以公司厂界外延伸</w:t>
      </w:r>
      <w:r>
        <w:rPr>
          <w:rFonts w:hint="eastAsia" w:ascii="Times New Roman" w:hAnsi="Times New Roman" w:eastAsia="新宋体" w:cs="Times New Roman"/>
          <w:color w:val="auto"/>
          <w:szCs w:val="24"/>
          <w:lang w:eastAsia="zh-CN"/>
        </w:rPr>
        <w:t>65</w:t>
      </w:r>
      <w:r>
        <w:rPr>
          <w:rFonts w:ascii="Times New Roman" w:hAnsi="Times New Roman" w:eastAsia="新宋体" w:cs="Times New Roman"/>
          <w:color w:val="auto"/>
          <w:szCs w:val="24"/>
          <w:lang w:eastAsia="zh-CN"/>
        </w:rPr>
        <w:t>0m范围</w:t>
      </w:r>
      <w:r>
        <w:rPr>
          <w:rFonts w:hint="eastAsia" w:ascii="Times New Roman" w:hAnsi="Times New Roman" w:eastAsia="新宋体" w:cs="Times New Roman"/>
          <w:color w:val="auto"/>
          <w:szCs w:val="24"/>
          <w:lang w:eastAsia="zh-CN"/>
        </w:rPr>
        <w:t>。</w:t>
      </w:r>
    </w:p>
    <w:p w14:paraId="2D12C8C5">
      <w:pPr>
        <w:widowControl w:val="0"/>
        <w:spacing w:line="360" w:lineRule="auto"/>
        <w:ind w:firstLine="480" w:firstLineChars="200"/>
        <w:jc w:val="both"/>
        <w:rPr>
          <w:rFonts w:ascii="Times New Roman" w:hAnsi="Times New Roman" w:eastAsia="新宋体" w:cs="Times New Roman"/>
          <w:color w:val="auto"/>
          <w:szCs w:val="24"/>
          <w:lang w:eastAsia="zh-CN"/>
        </w:rPr>
      </w:pPr>
    </w:p>
    <w:p w14:paraId="3AD8ED00">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hint="eastAsia" w:ascii="Times New Roman" w:hAnsi="Times New Roman" w:eastAsia="新宋体" w:cs="Times New Roman"/>
          <w:color w:val="auto"/>
          <w:szCs w:val="24"/>
          <w:lang w:eastAsia="zh-CN"/>
        </w:rPr>
        <w:t>（3）</w:t>
      </w:r>
      <w:r>
        <w:rPr>
          <w:rFonts w:ascii="Times New Roman" w:hAnsi="Times New Roman" w:eastAsia="新宋体" w:cs="Times New Roman"/>
          <w:color w:val="auto"/>
          <w:szCs w:val="24"/>
          <w:lang w:eastAsia="zh-CN"/>
        </w:rPr>
        <w:t>综合环境防护距离</w:t>
      </w:r>
    </w:p>
    <w:p w14:paraId="2F08DCF6">
      <w:pPr>
        <w:pStyle w:val="42"/>
        <w:snapToGrid w:val="0"/>
        <w:spacing w:line="360" w:lineRule="auto"/>
        <w:ind w:firstLine="480" w:firstLineChars="200"/>
        <w:rPr>
          <w:color w:val="auto"/>
        </w:rPr>
      </w:pPr>
      <w:r>
        <w:rPr>
          <w:rFonts w:eastAsia="新宋体"/>
          <w:color w:val="auto"/>
        </w:rPr>
        <w:t>结合大气环境防护距离、风险防护距离</w:t>
      </w:r>
      <w:r>
        <w:rPr>
          <w:rFonts w:hint="eastAsia" w:eastAsia="新宋体"/>
          <w:color w:val="auto"/>
        </w:rPr>
        <w:t>、</w:t>
      </w:r>
      <w:r>
        <w:rPr>
          <w:rFonts w:eastAsia="新宋体"/>
          <w:color w:val="auto"/>
        </w:rPr>
        <w:t>蚌埠精细化工高新技术产业基地规划环评</w:t>
      </w:r>
      <w:r>
        <w:rPr>
          <w:rFonts w:hint="eastAsia" w:eastAsia="新宋体"/>
          <w:color w:val="auto"/>
        </w:rPr>
        <w:t>以及《</w:t>
      </w:r>
      <w:r>
        <w:rPr>
          <w:rFonts w:hint="eastAsia"/>
          <w:color w:val="auto"/>
        </w:rPr>
        <w:t>安徽氟瑞星化工有限公司年产4万吨电子级氢氟酸、4万吨化学纯氢氟酸及4.5万吨刻蚀液项目（一期工程）》</w:t>
      </w:r>
      <w:r>
        <w:rPr>
          <w:rFonts w:eastAsia="新宋体"/>
          <w:color w:val="auto"/>
        </w:rPr>
        <w:t>要求，综合考虑本项目性质及对周边环境影响程度，本项目综合环境防护距离为以厂界外延伸</w:t>
      </w:r>
      <w:r>
        <w:rPr>
          <w:rFonts w:hint="eastAsia" w:eastAsia="新宋体"/>
          <w:color w:val="auto"/>
        </w:rPr>
        <w:t>65</w:t>
      </w:r>
      <w:r>
        <w:rPr>
          <w:rFonts w:eastAsia="新宋体"/>
          <w:color w:val="auto"/>
        </w:rPr>
        <w:t>0m范围。经现场踏勘，本项目设置的</w:t>
      </w:r>
      <w:r>
        <w:rPr>
          <w:rFonts w:hint="eastAsia" w:eastAsia="新宋体"/>
          <w:color w:val="auto"/>
        </w:rPr>
        <w:t>65</w:t>
      </w:r>
      <w:r>
        <w:rPr>
          <w:rFonts w:eastAsia="新宋体"/>
          <w:color w:val="auto"/>
        </w:rPr>
        <w:t>0m环境防护距离内无居民、学校、医院等环境敏感目标，本项目环境防护距离包络线图</w:t>
      </w:r>
      <w:r>
        <w:rPr>
          <w:color w:val="auto"/>
        </w:rPr>
        <w:t>见下图所示</w:t>
      </w:r>
      <w:bookmarkEnd w:id="1474"/>
      <w:r>
        <w:rPr>
          <w:color w:val="auto"/>
        </w:rPr>
        <w:t>。</w:t>
      </w:r>
    </w:p>
    <w:p w14:paraId="0211998B">
      <w:pPr>
        <w:pStyle w:val="42"/>
        <w:jc w:val="center"/>
        <w:rPr>
          <w:color w:val="auto"/>
        </w:rPr>
      </w:pPr>
      <w:r>
        <mc:AlternateContent>
          <mc:Choice Requires="wps">
            <w:drawing>
              <wp:anchor distT="0" distB="0" distL="114300" distR="114300" simplePos="0" relativeHeight="251945984" behindDoc="0" locked="0" layoutInCell="1" allowOverlap="1">
                <wp:simplePos x="0" y="0"/>
                <wp:positionH relativeFrom="column">
                  <wp:posOffset>3985260</wp:posOffset>
                </wp:positionH>
                <wp:positionV relativeFrom="paragraph">
                  <wp:posOffset>2466340</wp:posOffset>
                </wp:positionV>
                <wp:extent cx="883920" cy="517525"/>
                <wp:effectExtent l="2540" t="0" r="0" b="0"/>
                <wp:wrapNone/>
                <wp:docPr id="1687937699" name="矩形 7274"/>
                <wp:cNvGraphicFramePr/>
                <a:graphic xmlns:a="http://schemas.openxmlformats.org/drawingml/2006/main">
                  <a:graphicData uri="http://schemas.microsoft.com/office/word/2010/wordprocessingShape">
                    <wps:wsp>
                      <wps:cNvSpPr>
                        <a:spLocks noChangeArrowheads="1"/>
                      </wps:cNvSpPr>
                      <wps:spPr bwMode="auto">
                        <a:xfrm>
                          <a:off x="0" y="0"/>
                          <a:ext cx="883920" cy="517525"/>
                        </a:xfrm>
                        <a:prstGeom prst="rect">
                          <a:avLst/>
                        </a:prstGeom>
                        <a:noFill/>
                        <a:ln>
                          <a:noFill/>
                        </a:ln>
                      </wps:spPr>
                      <wps:txbx>
                        <w:txbxContent>
                          <w:p w14:paraId="43609617">
                            <w:pPr>
                              <w:rPr>
                                <w:rFonts w:ascii="Times New Roman" w:hAnsi="Times New Roman" w:cs="Times New Roman"/>
                                <w:b/>
                                <w:bCs/>
                                <w:color w:val="EE0000"/>
                                <w:sz w:val="28"/>
                                <w:szCs w:val="22"/>
                              </w:rPr>
                            </w:pPr>
                            <w:r>
                              <w:rPr>
                                <w:rFonts w:hint="eastAsia" w:ascii="Times New Roman" w:hAnsi="Times New Roman" w:cs="Times New Roman"/>
                                <w:b/>
                                <w:bCs/>
                                <w:color w:val="EE0000"/>
                                <w:sz w:val="28"/>
                                <w:szCs w:val="22"/>
                                <w:lang w:eastAsia="zh-CN"/>
                              </w:rPr>
                              <w:t>65</w:t>
                            </w:r>
                            <w:r>
                              <w:rPr>
                                <w:rFonts w:ascii="Times New Roman" w:hAnsi="Times New Roman" w:cs="Times New Roman"/>
                                <w:b/>
                                <w:bCs/>
                                <w:color w:val="EE0000"/>
                                <w:sz w:val="28"/>
                                <w:szCs w:val="22"/>
                                <w:lang w:eastAsia="zh-CN"/>
                              </w:rPr>
                              <w:t>0m</w:t>
                            </w:r>
                            <w:r>
                              <w:rPr>
                                <w:rFonts w:ascii="Times New Roman" w:hAnsi="Times New Roman" w:cs="Times New Roman"/>
                                <w:b/>
                                <w:bCs/>
                                <w:color w:val="EE0000"/>
                                <w:sz w:val="28"/>
                                <w:szCs w:val="22"/>
                                <w:lang w:eastAsia="zh-CN"/>
                              </w:rPr>
                              <w:drawing>
                                <wp:inline distT="0" distB="0" distL="0" distR="0">
                                  <wp:extent cx="1485900" cy="114300"/>
                                  <wp:effectExtent l="0" t="0" r="0" b="0"/>
                                  <wp:docPr id="61650292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502928" name="图片 1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1485900" cy="114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rect id="矩形 7274" o:spid="_x0000_s1026" o:spt="1" style="position:absolute;left:0pt;margin-left:313.8pt;margin-top:194.2pt;height:40.75pt;width:69.6pt;z-index:251945984;mso-width-relative:page;mso-height-relative:page;" filled="f" stroked="f" coordsize="21600,21600" o:gfxdata="UEsDBAoAAAAAAIdO4kAAAAAAAAAAAAAAAAAEAAAAZHJzL1BLAwQUAAAACACHTuJAjVkectwAAAAL&#10;AQAADwAAAGRycy9kb3ducmV2LnhtbE2PQU/CQBCF7yb+h82YeDGyBclSSrccSIzEmBCLcl7aoW3s&#10;zpbu0uK/dzzpcTJf3vteur7aVgzY+8aRhukkAoFUuLKhSsPH/vkxBuGDodK0jlDDN3pYZ7c3qUlK&#10;N9I7DnmoBIeQT4yGOoQukdIXNVrjJ65D4t/J9dYEPvtKlr0ZOdy2chZFSlrTEDfUpsNNjcVXfrEa&#10;xmI3HPZvL3L3cNg6Om/Pm/zzVev7u2m0AhHwGv5g+NVndcjY6eguVHrRalCzhWJUw1Mcz0EwsVCK&#10;xxw1zNVyCTJL5f8N2Q9QSwMEFAAAAAgAh07iQB3Fc7YXAgAAEwQAAA4AAABkcnMvZTJvRG9jLnht&#10;bK1TS27bMBDdF+gdCO5rWY6/guUgiJGiQNoGSHsAmqIsohKHHdKW3MsU6C6H6HGKXqNDynGddJNF&#10;NwTJGb55781wedk1NdsrdBpMztPBkDNlJBTabHP++dPNmzlnzgtTiBqMyvlBOX65ev1q2dpMjaCC&#10;ulDICMS4rLU5r7y3WZI4WalGuAFYZShYAjbC0xG3SYGiJfSmTkbD4TRpAQuLIJVzdLvug/yIiC8B&#10;hLLUUq1B7hplfI+KqhaeJLlKW8dXkW1ZKuk/lqVTntU5J6U+rlSE9puwJqulyLYobKXlkYJ4CYVn&#10;mhqhDRU9Qa2FF2yH+h+oRksEB6UfSGiSXkh0hFSkw2fe3FfCqqiFrHb2ZLr7f7Dyw/4OmS5oEqbz&#10;2eJiNl0sODOioc7//v7w6+cPNhvNxsGn1rqM0u/tHQalzt6C/OKYgetKmK26QoS2UqIgdmnIT548&#10;CAdHT9mmfQ8FoYudh2hZV2ITAMkM1sXOHE6dUZ1nki7n84vFiHomKTRJZ5PRJFYQ2eNji86/VdCw&#10;sMk5UuMjuNjfOh/IiOwxJdQycKPrOja/Nk8uKDHcRPKBb6/bd5vuaMEGigPJQOhniX4SbSrAb5y1&#10;NEc5d193AhVn9TtDVizS8TgMXjyMJ7OgAs8jm/OIMJKgcu4567fXvh/WnUW9rahSGmUZuCL7Sh2l&#10;BWt7VkfeNCtR8XGuwzCen2PW37+8+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NWR5y3AAAAAsB&#10;AAAPAAAAAAAAAAEAIAAAACIAAABkcnMvZG93bnJldi54bWxQSwECFAAUAAAACACHTuJAHcVzthcC&#10;AAATBAAADgAAAAAAAAABACAAAAArAQAAZHJzL2Uyb0RvYy54bWxQSwUGAAAAAAYABgBZAQAAtAUA&#10;AAAA&#10;">
                <v:fill on="f" focussize="0,0"/>
                <v:stroke on="f"/>
                <v:imagedata o:title=""/>
                <o:lock v:ext="edit" aspectratio="f"/>
                <v:textbox>
                  <w:txbxContent>
                    <w:p w14:paraId="43609617">
                      <w:pPr>
                        <w:rPr>
                          <w:rFonts w:ascii="Times New Roman" w:hAnsi="Times New Roman" w:cs="Times New Roman"/>
                          <w:b/>
                          <w:bCs/>
                          <w:color w:val="EE0000"/>
                          <w:sz w:val="28"/>
                          <w:szCs w:val="22"/>
                        </w:rPr>
                      </w:pPr>
                      <w:r>
                        <w:rPr>
                          <w:rFonts w:hint="eastAsia" w:ascii="Times New Roman" w:hAnsi="Times New Roman" w:cs="Times New Roman"/>
                          <w:b/>
                          <w:bCs/>
                          <w:color w:val="EE0000"/>
                          <w:sz w:val="28"/>
                          <w:szCs w:val="22"/>
                          <w:lang w:eastAsia="zh-CN"/>
                        </w:rPr>
                        <w:t>65</w:t>
                      </w:r>
                      <w:r>
                        <w:rPr>
                          <w:rFonts w:ascii="Times New Roman" w:hAnsi="Times New Roman" w:cs="Times New Roman"/>
                          <w:b/>
                          <w:bCs/>
                          <w:color w:val="EE0000"/>
                          <w:sz w:val="28"/>
                          <w:szCs w:val="22"/>
                          <w:lang w:eastAsia="zh-CN"/>
                        </w:rPr>
                        <w:t>0m</w:t>
                      </w:r>
                      <w:r>
                        <w:rPr>
                          <w:rFonts w:ascii="Times New Roman" w:hAnsi="Times New Roman" w:cs="Times New Roman"/>
                          <w:b/>
                          <w:bCs/>
                          <w:color w:val="EE0000"/>
                          <w:sz w:val="28"/>
                          <w:szCs w:val="22"/>
                          <w:lang w:eastAsia="zh-CN"/>
                        </w:rPr>
                        <w:drawing>
                          <wp:inline distT="0" distB="0" distL="0" distR="0">
                            <wp:extent cx="1485900" cy="114300"/>
                            <wp:effectExtent l="0" t="0" r="0" b="0"/>
                            <wp:docPr id="61650292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502928" name="图片 1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1485900" cy="114300"/>
                                    </a:xfrm>
                                    <a:prstGeom prst="rect">
                                      <a:avLst/>
                                    </a:prstGeom>
                                    <a:noFill/>
                                    <a:ln>
                                      <a:noFill/>
                                    </a:ln>
                                  </pic:spPr>
                                </pic:pic>
                              </a:graphicData>
                            </a:graphic>
                          </wp:inline>
                        </w:drawing>
                      </w:r>
                    </w:p>
                  </w:txbxContent>
                </v:textbox>
              </v:rect>
            </w:pict>
          </mc:Fallback>
        </mc:AlternateContent>
      </w:r>
      <w:r>
        <mc:AlternateContent>
          <mc:Choice Requires="wps">
            <w:drawing>
              <wp:anchor distT="0" distB="0" distL="114300" distR="114300" simplePos="0" relativeHeight="251944960" behindDoc="0" locked="0" layoutInCell="1" allowOverlap="1">
                <wp:simplePos x="0" y="0"/>
                <wp:positionH relativeFrom="column">
                  <wp:posOffset>3337560</wp:posOffset>
                </wp:positionH>
                <wp:positionV relativeFrom="paragraph">
                  <wp:posOffset>2927350</wp:posOffset>
                </wp:positionV>
                <wp:extent cx="2101215" cy="0"/>
                <wp:effectExtent l="38100" t="76200" r="13335" b="95250"/>
                <wp:wrapNone/>
                <wp:docPr id="965092850" name="自选图形 7273"/>
                <wp:cNvGraphicFramePr/>
                <a:graphic xmlns:a="http://schemas.openxmlformats.org/drawingml/2006/main">
                  <a:graphicData uri="http://schemas.microsoft.com/office/word/2010/wordprocessingShape">
                    <wps:wsp>
                      <wps:cNvCnPr>
                        <a:cxnSpLocks noChangeShapeType="1"/>
                      </wps:cNvCnPr>
                      <wps:spPr bwMode="auto">
                        <a:xfrm flipV="1">
                          <a:off x="0" y="0"/>
                          <a:ext cx="2101251" cy="0"/>
                        </a:xfrm>
                        <a:prstGeom prst="straightConnector1">
                          <a:avLst/>
                        </a:prstGeom>
                        <a:noFill/>
                        <a:ln w="19050">
                          <a:solidFill>
                            <a:srgbClr val="EE0000"/>
                          </a:solidFill>
                          <a:round/>
                          <a:headEnd type="triangle" w="med" len="med"/>
                          <a:tailEnd type="triangle" w="med" len="med"/>
                        </a:ln>
                      </wps:spPr>
                      <wps:bodyPr/>
                    </wps:wsp>
                  </a:graphicData>
                </a:graphic>
              </wp:anchor>
            </w:drawing>
          </mc:Choice>
          <mc:Fallback>
            <w:pict>
              <v:shape id="自选图形 7273" o:spid="_x0000_s1026" o:spt="32" type="#_x0000_t32" style="position:absolute;left:0pt;flip:y;margin-left:262.8pt;margin-top:230.5pt;height:0pt;width:165.45pt;z-index:251944960;mso-width-relative:page;mso-height-relative:page;" filled="f" stroked="t" coordsize="21600,21600" o:gfxdata="UEsDBAoAAAAAAIdO4kAAAAAAAAAAAAAAAAAEAAAAZHJzL1BLAwQUAAAACACHTuJAdGzfTdkAAAAL&#10;AQAADwAAAGRycy9kb3ducmV2LnhtbE2PwUrEMBCG74LvEEbwIrtJ67aW2nQRQQ+e3FVYvGXbsS02&#10;k9qk3fr2jiDocWY+/vn+YrvYXsw4+s6RhmitQCBVru6o0fD68rDKQPhgqDa9I9TwhR625flZYfLa&#10;nWiH8z40gkPI50ZDG8KQS+mrFq3xazcg8e3djdYEHsdG1qM5cbjtZaxUKq3piD+0ZsD7FquP/WQ1&#10;2M+b5vrZxurOPm4OT7O8esuWSevLi0jdggi4hD8YfvRZHUp2OrqJai96DUmcpIxq2KQRl2IiS9IE&#10;xPF3I8tC/u9QfgNQSwMEFAAAAAgAh07iQLb8yiIdAgAAJwQAAA4AAABkcnMvZTJvRG9jLnhtbK1T&#10;sY4TMRDtkfgHyz3ZzaLcXVbZXJHkaA6IdAe9Y3t3Lbwey3aySUeH+AY6yvsH+JuT4C8YOyEHoUnB&#10;FiuPZ+bNvDfjyfW202QjnVdgKjoc5JRIw0Eo01T03f3NiytKfGBGMA1GVnQnPb2ePn826W0pC2hB&#10;C+kIghhf9raibQi2zDLPW9kxPwArDTprcB0LaLomE471iN7prMjzi6wHJ6wDLr3H2/neSQ+I7hxA&#10;qGvF5Rz4upMm7FGd1CwgJd8q6+k0dVvXkoe3de1lILqiyDSkPxbB8yr+s+mElY1jtlX80AI7p4UT&#10;Th1TBoseoeYsMLJ26h+oTnEHHuow4NBleyJJEWQxzE+0uWuZlYkLSu3tUXT//2D5m83SESUqOr4Y&#10;5ePiaoTKGNbh4H98evj58fPjl++P376Sy+LyZRSrt77EnJlZukiXb82dvQX+wRMDs5aZRqam73cW&#10;EYYxI/srJRreYslV/xoExrB1gKTctnYdqbWy72NiBEd1yDaNanccldwGwvGyGObDYjSkhP/2ZayM&#10;EDHROh9eSehIPFTUB8dU04YZGIMLAW4Pzza3PsQGnxJisoEbpXXaC21Ij82McxQlujxoJaI3Ga5Z&#10;zbQjG4artVjk+CW6J2EO1kYktFYysTCChKRNcArV0pLGEp0UlGiJ7zGeUnRgSp8bjQy0OSgdxd2P&#10;aQVit3SRYBQd9ydRPex6XNA/7RT19L6n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0bN9N2QAA&#10;AAsBAAAPAAAAAAAAAAEAIAAAACIAAABkcnMvZG93bnJldi54bWxQSwECFAAUAAAACACHTuJAtvzK&#10;Ih0CAAAnBAAADgAAAAAAAAABACAAAAAoAQAAZHJzL2Uyb0RvYy54bWxQSwUGAAAAAAYABgBZAQAA&#10;twUAAAAA&#10;">
                <v:fill on="f" focussize="0,0"/>
                <v:stroke weight="1.5pt" color="#EE0000" joinstyle="round" startarrow="block" endarrow="block"/>
                <v:imagedata o:title=""/>
                <o:lock v:ext="edit" aspectratio="f"/>
              </v:shape>
            </w:pict>
          </mc:Fallback>
        </mc:AlternateContent>
      </w:r>
      <w:r>
        <w:drawing>
          <wp:anchor distT="0" distB="0" distL="114300" distR="114300" simplePos="0" relativeHeight="251943936" behindDoc="0" locked="0" layoutInCell="1" allowOverlap="1">
            <wp:simplePos x="0" y="0"/>
            <wp:positionH relativeFrom="margin">
              <wp:align>right</wp:align>
            </wp:positionH>
            <wp:positionV relativeFrom="paragraph">
              <wp:posOffset>47625</wp:posOffset>
            </wp:positionV>
            <wp:extent cx="1062990" cy="803910"/>
            <wp:effectExtent l="0" t="0" r="3810" b="0"/>
            <wp:wrapNone/>
            <wp:docPr id="283490302"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490302" name="图片 12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1062990" cy="803910"/>
                    </a:xfrm>
                    <a:prstGeom prst="rect">
                      <a:avLst/>
                    </a:prstGeom>
                    <a:noFill/>
                    <a:ln>
                      <a:noFill/>
                    </a:ln>
                    <a:effectLst/>
                  </pic:spPr>
                </pic:pic>
              </a:graphicData>
            </a:graphic>
          </wp:anchor>
        </w:drawing>
      </w:r>
      <w:r>
        <w:drawing>
          <wp:inline distT="0" distB="0" distL="0" distR="0">
            <wp:extent cx="6188710" cy="6049010"/>
            <wp:effectExtent l="0" t="0" r="2540" b="8890"/>
            <wp:docPr id="19140972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097212" name="图片 1"/>
                    <pic:cNvPicPr>
                      <a:picLocks noChangeAspect="1"/>
                    </pic:cNvPicPr>
                  </pic:nvPicPr>
                  <pic:blipFill>
                    <a:blip r:embed="rId87"/>
                    <a:stretch>
                      <a:fillRect/>
                    </a:stretch>
                  </pic:blipFill>
                  <pic:spPr>
                    <a:xfrm>
                      <a:off x="0" y="0"/>
                      <a:ext cx="6188710" cy="6049010"/>
                    </a:xfrm>
                    <a:prstGeom prst="rect">
                      <a:avLst/>
                    </a:prstGeom>
                  </pic:spPr>
                </pic:pic>
              </a:graphicData>
            </a:graphic>
          </wp:inline>
        </w:drawing>
      </w:r>
    </w:p>
    <w:p w14:paraId="783C2A9B">
      <w:pPr>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图</w:t>
      </w:r>
      <w:r>
        <w:rPr>
          <w:rFonts w:hint="eastAsia" w:ascii="Times New Roman" w:hAnsi="Times New Roman" w:cs="Times New Roman"/>
          <w:b/>
          <w:bCs/>
          <w:color w:val="auto"/>
          <w:szCs w:val="24"/>
          <w:lang w:eastAsia="zh-CN"/>
        </w:rPr>
        <w:t>6</w:t>
      </w:r>
      <w:r>
        <w:rPr>
          <w:rFonts w:ascii="Times New Roman" w:hAnsi="Times New Roman" w:cs="Times New Roman"/>
          <w:b/>
          <w:bCs/>
          <w:color w:val="auto"/>
          <w:szCs w:val="24"/>
          <w:lang w:eastAsia="zh-CN"/>
        </w:rPr>
        <w:t>.2-</w:t>
      </w:r>
      <w:r>
        <w:rPr>
          <w:rFonts w:hint="eastAsia" w:ascii="Times New Roman" w:hAnsi="Times New Roman" w:cs="Times New Roman"/>
          <w:b/>
          <w:bCs/>
          <w:color w:val="auto"/>
          <w:szCs w:val="24"/>
          <w:lang w:eastAsia="zh-CN"/>
        </w:rPr>
        <w:t>9</w:t>
      </w:r>
      <w:r>
        <w:rPr>
          <w:rFonts w:ascii="Times New Roman" w:hAnsi="Times New Roman" w:cs="Times New Roman"/>
          <w:b/>
          <w:bCs/>
          <w:color w:val="auto"/>
          <w:szCs w:val="24"/>
          <w:lang w:eastAsia="zh-CN"/>
        </w:rPr>
        <w:t xml:space="preserve"> 环境防护距离包络线图</w:t>
      </w:r>
    </w:p>
    <w:p w14:paraId="4DB371D7">
      <w:pPr>
        <w:spacing w:line="360" w:lineRule="auto"/>
        <w:jc w:val="center"/>
        <w:rPr>
          <w:rFonts w:ascii="Times New Roman" w:hAnsi="Times New Roman" w:cs="Times New Roman"/>
          <w:b/>
          <w:bCs/>
          <w:color w:val="auto"/>
          <w:szCs w:val="24"/>
          <w:lang w:eastAsia="zh-CN"/>
        </w:rPr>
      </w:pPr>
    </w:p>
    <w:p w14:paraId="3CBA15B0">
      <w:pPr>
        <w:spacing w:line="360" w:lineRule="auto"/>
        <w:jc w:val="center"/>
        <w:rPr>
          <w:rFonts w:ascii="Times New Roman" w:hAnsi="Times New Roman" w:cs="Times New Roman"/>
          <w:b/>
          <w:bCs/>
          <w:color w:val="auto"/>
          <w:szCs w:val="24"/>
          <w:lang w:eastAsia="zh-CN"/>
        </w:rPr>
      </w:pPr>
    </w:p>
    <w:p w14:paraId="7F41808E">
      <w:pPr>
        <w:spacing w:line="360" w:lineRule="auto"/>
        <w:ind w:firstLine="482"/>
        <w:outlineLvl w:val="2"/>
        <w:rPr>
          <w:rFonts w:ascii="Times New Roman" w:hAnsi="Times New Roman" w:cs="Times New Roman"/>
          <w:b/>
          <w:bCs/>
          <w:color w:val="auto"/>
          <w:szCs w:val="24"/>
          <w:lang w:eastAsia="zh-CN"/>
        </w:rPr>
      </w:pPr>
      <w:bookmarkStart w:id="1475" w:name="_Toc231828618"/>
      <w:bookmarkStart w:id="1476" w:name="_Toc225784097"/>
      <w:bookmarkStart w:id="1477" w:name="_Toc223425096"/>
      <w:bookmarkStart w:id="1478" w:name="_Toc221900878"/>
      <w:bookmarkStart w:id="1479" w:name="_Toc176513047"/>
      <w:bookmarkStart w:id="1480" w:name="_Toc203927039"/>
      <w:bookmarkStart w:id="1481" w:name="_Toc173740316"/>
      <w:bookmarkStart w:id="1482" w:name="_Toc224674736"/>
      <w:bookmarkStart w:id="1483" w:name="_Toc204448505"/>
      <w:bookmarkStart w:id="1484" w:name="_Toc204515240"/>
      <w:bookmarkStart w:id="1485" w:name="_Toc237508331"/>
      <w:bookmarkStart w:id="1486" w:name="_Toc236641349"/>
      <w:bookmarkStart w:id="1487" w:name="_Toc178602387"/>
      <w:bookmarkStart w:id="1488" w:name="_Toc175164311"/>
      <w:bookmarkStart w:id="1489" w:name="_Toc173743420"/>
      <w:bookmarkStart w:id="1490" w:name="_Toc236641866"/>
      <w:bookmarkStart w:id="1491" w:name="_Toc218784321"/>
      <w:r>
        <w:rPr>
          <w:rFonts w:hint="eastAsia" w:ascii="Times New Roman" w:hAnsi="Times New Roman" w:cs="Times New Roman"/>
          <w:b/>
          <w:bCs/>
          <w:color w:val="auto"/>
          <w:szCs w:val="24"/>
          <w:lang w:eastAsia="zh-CN"/>
        </w:rPr>
        <w:t>6</w:t>
      </w:r>
      <w:r>
        <w:rPr>
          <w:rFonts w:ascii="Times New Roman" w:hAnsi="Times New Roman" w:cs="Times New Roman"/>
          <w:b/>
          <w:bCs/>
          <w:color w:val="auto"/>
          <w:szCs w:val="24"/>
          <w:lang w:eastAsia="zh-CN"/>
        </w:rPr>
        <w:t>.2.</w:t>
      </w:r>
      <w:r>
        <w:rPr>
          <w:rFonts w:hint="eastAsia" w:ascii="Times New Roman" w:hAnsi="Times New Roman" w:cs="Times New Roman"/>
          <w:b/>
          <w:bCs/>
          <w:color w:val="auto"/>
          <w:szCs w:val="24"/>
          <w:lang w:eastAsia="zh-CN"/>
        </w:rPr>
        <w:t>8</w:t>
      </w:r>
      <w:r>
        <w:rPr>
          <w:rFonts w:ascii="Times New Roman" w:hAnsi="Times New Roman" w:cs="Times New Roman"/>
          <w:b/>
          <w:bCs/>
          <w:color w:val="auto"/>
          <w:szCs w:val="24"/>
          <w:lang w:eastAsia="zh-CN"/>
        </w:rPr>
        <w:t xml:space="preserve"> 大气环境影响评价结论</w:t>
      </w:r>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p>
    <w:p w14:paraId="0EEDB18A">
      <w:pPr>
        <w:widowControl w:val="0"/>
        <w:spacing w:line="360" w:lineRule="auto"/>
        <w:ind w:firstLine="472" w:firstLineChars="200"/>
        <w:jc w:val="both"/>
        <w:rPr>
          <w:rFonts w:ascii="Times New Roman" w:hAnsi="Times New Roman" w:eastAsia="新宋体" w:cs="Times New Roman"/>
          <w:snapToGrid/>
          <w:color w:val="auto"/>
          <w:spacing w:val="-2"/>
          <w:szCs w:val="24"/>
          <w:lang w:eastAsia="zh-CN"/>
        </w:rPr>
      </w:pPr>
      <w:r>
        <w:rPr>
          <w:rFonts w:ascii="Times New Roman" w:hAnsi="Times New Roman" w:eastAsia="新宋体" w:cs="Times New Roman"/>
          <w:snapToGrid/>
          <w:color w:val="auto"/>
          <w:spacing w:val="-2"/>
          <w:szCs w:val="24"/>
          <w:lang w:eastAsia="zh-CN"/>
        </w:rPr>
        <w:t>（1）</w:t>
      </w:r>
      <w:r>
        <w:rPr>
          <w:rFonts w:hint="eastAsia" w:ascii="Times New Roman" w:hAnsi="Times New Roman" w:cs="Times New Roman"/>
          <w:color w:val="auto"/>
          <w:szCs w:val="24"/>
          <w:lang w:eastAsia="zh-CN"/>
        </w:rPr>
        <w:t>由于</w:t>
      </w:r>
      <w:r>
        <w:rPr>
          <w:rFonts w:ascii="Times New Roman" w:hAnsi="Times New Roman" w:cs="Times New Roman"/>
          <w:color w:val="auto"/>
          <w:szCs w:val="24"/>
          <w:lang w:eastAsia="zh-CN"/>
        </w:rPr>
        <w:t>202</w:t>
      </w:r>
      <w:r>
        <w:rPr>
          <w:rFonts w:hint="eastAsia" w:ascii="Times New Roman" w:hAnsi="Times New Roman" w:cs="Times New Roman"/>
          <w:color w:val="auto"/>
          <w:szCs w:val="24"/>
          <w:lang w:eastAsia="zh-CN"/>
        </w:rPr>
        <w:t>5</w:t>
      </w:r>
      <w:r>
        <w:rPr>
          <w:rFonts w:ascii="Times New Roman" w:hAnsi="Times New Roman" w:cs="Times New Roman"/>
          <w:color w:val="auto"/>
          <w:szCs w:val="24"/>
          <w:lang w:eastAsia="zh-CN"/>
        </w:rPr>
        <w:t>年蚌埠市SO</w:t>
      </w:r>
      <w:r>
        <w:rPr>
          <w:rFonts w:ascii="Times New Roman" w:hAnsi="Times New Roman" w:cs="Times New Roman"/>
          <w:color w:val="auto"/>
          <w:szCs w:val="24"/>
          <w:vertAlign w:val="subscript"/>
          <w:lang w:eastAsia="zh-CN"/>
        </w:rPr>
        <w:t>2</w:t>
      </w:r>
      <w:r>
        <w:rPr>
          <w:rFonts w:ascii="Times New Roman" w:hAnsi="Times New Roman" w:cs="Times New Roman"/>
          <w:color w:val="auto"/>
          <w:szCs w:val="24"/>
          <w:lang w:eastAsia="zh-CN"/>
        </w:rPr>
        <w:t>、NO</w:t>
      </w:r>
      <w:r>
        <w:rPr>
          <w:rFonts w:ascii="Times New Roman" w:hAnsi="Times New Roman" w:cs="Times New Roman"/>
          <w:color w:val="auto"/>
          <w:szCs w:val="24"/>
          <w:vertAlign w:val="subscript"/>
          <w:lang w:eastAsia="zh-CN"/>
        </w:rPr>
        <w:t>2</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PM</w:t>
      </w:r>
      <w:r>
        <w:rPr>
          <w:rFonts w:ascii="Times New Roman" w:hAnsi="Times New Roman" w:cs="Times New Roman"/>
          <w:color w:val="auto"/>
          <w:szCs w:val="24"/>
          <w:vertAlign w:val="subscript"/>
          <w:lang w:eastAsia="zh-CN"/>
        </w:rPr>
        <w:t>10</w:t>
      </w:r>
      <w:r>
        <w:rPr>
          <w:rFonts w:ascii="Times New Roman" w:hAnsi="Times New Roman" w:cs="Times New Roman"/>
          <w:color w:val="auto"/>
          <w:szCs w:val="24"/>
          <w:lang w:eastAsia="zh-CN"/>
        </w:rPr>
        <w:t>、PM</w:t>
      </w:r>
      <w:r>
        <w:rPr>
          <w:rFonts w:ascii="Times New Roman" w:hAnsi="Times New Roman" w:cs="Times New Roman"/>
          <w:color w:val="auto"/>
          <w:szCs w:val="24"/>
          <w:vertAlign w:val="subscript"/>
          <w:lang w:eastAsia="zh-CN"/>
        </w:rPr>
        <w:t>2.5</w:t>
      </w:r>
      <w:r>
        <w:rPr>
          <w:rFonts w:hint="eastAsia" w:ascii="Times New Roman" w:hAnsi="Times New Roman" w:cs="Times New Roman"/>
          <w:color w:val="auto"/>
          <w:szCs w:val="24"/>
          <w:lang w:eastAsia="zh-CN"/>
        </w:rPr>
        <w:t>年平均质量浓度、</w:t>
      </w:r>
      <w:r>
        <w:rPr>
          <w:rFonts w:ascii="Times New Roman" w:hAnsi="Times New Roman" w:cs="Times New Roman"/>
          <w:color w:val="auto"/>
          <w:szCs w:val="24"/>
          <w:lang w:eastAsia="zh-CN"/>
        </w:rPr>
        <w:t>CO日平均第95百分位数质量浓度</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O</w:t>
      </w:r>
      <w:r>
        <w:rPr>
          <w:rFonts w:ascii="Times New Roman" w:hAnsi="Times New Roman" w:cs="Times New Roman"/>
          <w:color w:val="auto"/>
          <w:szCs w:val="24"/>
          <w:vertAlign w:val="subscript"/>
          <w:lang w:eastAsia="zh-CN"/>
        </w:rPr>
        <w:t>3</w:t>
      </w:r>
      <w:r>
        <w:rPr>
          <w:rFonts w:ascii="Times New Roman" w:hAnsi="Times New Roman" w:cs="Times New Roman"/>
          <w:color w:val="auto"/>
          <w:szCs w:val="24"/>
          <w:lang w:eastAsia="zh-CN"/>
        </w:rPr>
        <w:t>最大8 h滑动平均第90百分位数质量浓度</w:t>
      </w:r>
      <w:r>
        <w:rPr>
          <w:rFonts w:hint="eastAsia" w:ascii="Times New Roman" w:hAnsi="Times New Roman" w:cs="Times New Roman"/>
          <w:color w:val="auto"/>
          <w:szCs w:val="24"/>
          <w:lang w:eastAsia="zh-CN"/>
        </w:rPr>
        <w:t>数据未发布，故本次环评</w:t>
      </w:r>
      <w:r>
        <w:rPr>
          <w:rFonts w:ascii="Times New Roman" w:hAnsi="Times New Roman" w:cs="Times New Roman"/>
          <w:color w:val="auto"/>
          <w:szCs w:val="24"/>
          <w:lang w:eastAsia="zh-CN"/>
        </w:rPr>
        <w:t>PM</w:t>
      </w:r>
      <w:r>
        <w:rPr>
          <w:rFonts w:ascii="Times New Roman" w:hAnsi="Times New Roman" w:cs="Times New Roman"/>
          <w:color w:val="auto"/>
          <w:szCs w:val="24"/>
          <w:vertAlign w:val="subscript"/>
          <w:lang w:eastAsia="zh-CN"/>
        </w:rPr>
        <w:t>2.5</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SO</w:t>
      </w:r>
      <w:r>
        <w:rPr>
          <w:rFonts w:ascii="Times New Roman" w:hAnsi="Times New Roman" w:cs="Times New Roman"/>
          <w:color w:val="auto"/>
          <w:szCs w:val="24"/>
          <w:vertAlign w:val="subscript"/>
          <w:lang w:eastAsia="zh-CN"/>
        </w:rPr>
        <w:t>2</w:t>
      </w:r>
      <w:r>
        <w:rPr>
          <w:rFonts w:ascii="Times New Roman" w:hAnsi="Times New Roman" w:cs="Times New Roman"/>
          <w:color w:val="auto"/>
          <w:szCs w:val="24"/>
          <w:lang w:eastAsia="zh-CN"/>
        </w:rPr>
        <w:t>、NO</w:t>
      </w:r>
      <w:r>
        <w:rPr>
          <w:rFonts w:ascii="Times New Roman" w:hAnsi="Times New Roman" w:cs="Times New Roman"/>
          <w:color w:val="auto"/>
          <w:szCs w:val="24"/>
          <w:vertAlign w:val="subscript"/>
          <w:lang w:eastAsia="zh-CN"/>
        </w:rPr>
        <w:t>2</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PM</w:t>
      </w:r>
      <w:r>
        <w:rPr>
          <w:rFonts w:ascii="Times New Roman" w:hAnsi="Times New Roman" w:cs="Times New Roman"/>
          <w:color w:val="auto"/>
          <w:szCs w:val="24"/>
          <w:vertAlign w:val="subscript"/>
          <w:lang w:eastAsia="zh-CN"/>
        </w:rPr>
        <w:t>10</w:t>
      </w:r>
      <w:r>
        <w:rPr>
          <w:rFonts w:ascii="Times New Roman" w:hAnsi="Times New Roman" w:cs="Times New Roman"/>
          <w:color w:val="auto"/>
          <w:szCs w:val="24"/>
          <w:lang w:eastAsia="zh-CN"/>
        </w:rPr>
        <w:t>、CO</w:t>
      </w:r>
      <w:r>
        <w:rPr>
          <w:rFonts w:hint="eastAsia" w:ascii="Times New Roman" w:hAnsi="Times New Roman" w:cs="Times New Roman"/>
          <w:color w:val="auto"/>
          <w:szCs w:val="24"/>
          <w:lang w:eastAsia="zh-CN"/>
        </w:rPr>
        <w:t>和</w:t>
      </w:r>
      <w:r>
        <w:rPr>
          <w:rFonts w:ascii="Times New Roman" w:hAnsi="Times New Roman" w:cs="Times New Roman"/>
          <w:color w:val="auto"/>
          <w:szCs w:val="24"/>
          <w:lang w:eastAsia="zh-CN"/>
        </w:rPr>
        <w:t>O</w:t>
      </w:r>
      <w:r>
        <w:rPr>
          <w:rFonts w:ascii="Times New Roman" w:hAnsi="Times New Roman" w:cs="Times New Roman"/>
          <w:color w:val="auto"/>
          <w:szCs w:val="24"/>
          <w:vertAlign w:val="subscript"/>
          <w:lang w:eastAsia="zh-CN"/>
        </w:rPr>
        <w:t>3</w:t>
      </w:r>
      <w:r>
        <w:rPr>
          <w:rFonts w:ascii="Times New Roman" w:hAnsi="Times New Roman" w:cs="Times New Roman"/>
          <w:color w:val="auto"/>
          <w:szCs w:val="24"/>
          <w:lang w:eastAsia="zh-CN"/>
        </w:rPr>
        <w:t>评价</w:t>
      </w:r>
      <w:r>
        <w:rPr>
          <w:rFonts w:hint="eastAsia" w:ascii="Times New Roman" w:hAnsi="Times New Roman" w:cs="Times New Roman"/>
          <w:color w:val="auto"/>
          <w:szCs w:val="24"/>
          <w:lang w:eastAsia="zh-CN"/>
        </w:rPr>
        <w:t>选取环境空气质量模型技术支持服务系统（</w:t>
      </w:r>
      <w:r>
        <w:rPr>
          <w:rFonts w:ascii="Times New Roman" w:hAnsi="Times New Roman" w:cs="Times New Roman"/>
          <w:color w:val="auto"/>
          <w:szCs w:val="24"/>
          <w:lang w:eastAsia="zh-CN"/>
        </w:rPr>
        <w:t>http://data.lem.org.cn/eamds/apply/tostepone.html</w:t>
      </w:r>
      <w:r>
        <w:rPr>
          <w:rFonts w:hint="eastAsia" w:ascii="Times New Roman" w:hAnsi="Times New Roman" w:cs="Times New Roman"/>
          <w:color w:val="auto"/>
          <w:szCs w:val="24"/>
          <w:lang w:eastAsia="zh-CN"/>
        </w:rPr>
        <w:t>）中达标区判定模块的数据进行评价</w:t>
      </w:r>
      <w:r>
        <w:rPr>
          <w:rFonts w:ascii="Times New Roman" w:hAnsi="Times New Roman" w:eastAsia="新宋体" w:cs="Times New Roman"/>
          <w:snapToGrid/>
          <w:color w:val="auto"/>
          <w:spacing w:val="-2"/>
          <w:szCs w:val="24"/>
          <w:lang w:eastAsia="zh-CN"/>
        </w:rPr>
        <w:t>，项目所在区域属于不达标区</w:t>
      </w:r>
      <w:r>
        <w:rPr>
          <w:rFonts w:hint="eastAsia" w:ascii="Times New Roman" w:hAnsi="Times New Roman" w:eastAsia="新宋体" w:cs="Times New Roman"/>
          <w:snapToGrid/>
          <w:color w:val="auto"/>
          <w:spacing w:val="-2"/>
          <w:szCs w:val="24"/>
          <w:lang w:eastAsia="zh-CN"/>
        </w:rPr>
        <w:t>，不达标因子为PM</w:t>
      </w:r>
      <w:r>
        <w:rPr>
          <w:rFonts w:hint="eastAsia" w:ascii="Times New Roman" w:hAnsi="Times New Roman" w:eastAsia="新宋体" w:cs="Times New Roman"/>
          <w:snapToGrid/>
          <w:color w:val="auto"/>
          <w:spacing w:val="-2"/>
          <w:szCs w:val="24"/>
          <w:vertAlign w:val="subscript"/>
          <w:lang w:eastAsia="zh-CN"/>
        </w:rPr>
        <w:t>2.5</w:t>
      </w:r>
      <w:r>
        <w:rPr>
          <w:rFonts w:ascii="Times New Roman" w:hAnsi="Times New Roman" w:eastAsia="新宋体" w:cs="Times New Roman"/>
          <w:snapToGrid/>
          <w:color w:val="auto"/>
          <w:spacing w:val="-2"/>
          <w:szCs w:val="24"/>
          <w:lang w:eastAsia="zh-CN"/>
        </w:rPr>
        <w:t>。</w:t>
      </w:r>
      <w:r>
        <w:rPr>
          <w:rFonts w:hint="eastAsia" w:ascii="Times New Roman" w:hAnsi="Times New Roman" w:eastAsia="新宋体" w:cs="Times New Roman"/>
          <w:snapToGrid/>
          <w:color w:val="auto"/>
          <w:spacing w:val="-2"/>
          <w:szCs w:val="24"/>
          <w:lang w:eastAsia="zh-CN"/>
        </w:rPr>
        <w:t>本项目排放的废气污染物为氟化物、氯化氢，不涉及PM</w:t>
      </w:r>
      <w:r>
        <w:rPr>
          <w:rFonts w:hint="eastAsia" w:ascii="Times New Roman" w:hAnsi="Times New Roman" w:eastAsia="新宋体" w:cs="Times New Roman"/>
          <w:snapToGrid/>
          <w:color w:val="auto"/>
          <w:spacing w:val="-2"/>
          <w:szCs w:val="24"/>
          <w:vertAlign w:val="subscript"/>
          <w:lang w:eastAsia="zh-CN"/>
        </w:rPr>
        <w:t>2.5</w:t>
      </w:r>
      <w:r>
        <w:rPr>
          <w:rFonts w:hint="eastAsia" w:ascii="Times New Roman" w:hAnsi="Times New Roman" w:eastAsia="新宋体" w:cs="Times New Roman"/>
          <w:snapToGrid/>
          <w:color w:val="auto"/>
          <w:spacing w:val="-2"/>
          <w:szCs w:val="24"/>
          <w:lang w:eastAsia="zh-CN"/>
        </w:rPr>
        <w:t>，</w:t>
      </w:r>
      <w:r>
        <w:rPr>
          <w:rFonts w:ascii="Times New Roman" w:hAnsi="Times New Roman" w:eastAsia="新宋体" w:cs="Times New Roman"/>
          <w:snapToGrid/>
          <w:color w:val="auto"/>
          <w:spacing w:val="-2"/>
          <w:szCs w:val="24"/>
          <w:lang w:eastAsia="zh-CN"/>
        </w:rPr>
        <w:t>按照《环境影响评价技术导则大气环境》（HJ2.2-2018），本次评价不</w:t>
      </w:r>
      <w:r>
        <w:rPr>
          <w:rFonts w:hint="eastAsia" w:ascii="Times New Roman" w:hAnsi="Times New Roman" w:eastAsia="新宋体" w:cs="Times New Roman"/>
          <w:snapToGrid/>
          <w:color w:val="auto"/>
          <w:spacing w:val="-2"/>
          <w:szCs w:val="24"/>
          <w:lang w:eastAsia="zh-CN"/>
        </w:rPr>
        <w:t>需要</w:t>
      </w:r>
      <w:r>
        <w:rPr>
          <w:rFonts w:ascii="Times New Roman" w:hAnsi="Times New Roman" w:eastAsia="新宋体" w:cs="Times New Roman"/>
          <w:snapToGrid/>
          <w:color w:val="auto"/>
          <w:spacing w:val="-2"/>
          <w:szCs w:val="24"/>
          <w:lang w:eastAsia="zh-CN"/>
        </w:rPr>
        <w:t>预测</w:t>
      </w:r>
      <w:r>
        <w:rPr>
          <w:rFonts w:hint="eastAsia" w:ascii="Times New Roman" w:hAnsi="Times New Roman" w:eastAsia="新宋体" w:cs="Times New Roman"/>
          <w:snapToGrid/>
          <w:color w:val="auto"/>
          <w:spacing w:val="-2"/>
          <w:szCs w:val="24"/>
          <w:lang w:eastAsia="zh-CN"/>
        </w:rPr>
        <w:t>PM</w:t>
      </w:r>
      <w:r>
        <w:rPr>
          <w:rFonts w:hint="eastAsia" w:ascii="Times New Roman" w:hAnsi="Times New Roman" w:eastAsia="新宋体" w:cs="Times New Roman"/>
          <w:snapToGrid/>
          <w:color w:val="auto"/>
          <w:spacing w:val="-2"/>
          <w:szCs w:val="24"/>
          <w:vertAlign w:val="subscript"/>
          <w:lang w:eastAsia="zh-CN"/>
        </w:rPr>
        <w:t>2.5</w:t>
      </w:r>
      <w:r>
        <w:rPr>
          <w:rFonts w:ascii="Times New Roman" w:hAnsi="Times New Roman" w:eastAsia="新宋体" w:cs="Times New Roman"/>
          <w:bCs/>
          <w:snapToGrid/>
          <w:color w:val="auto"/>
          <w:spacing w:val="-2"/>
          <w:szCs w:val="24"/>
          <w:lang w:eastAsia="zh-CN"/>
        </w:rPr>
        <w:t>年平均质量浓度变化情况</w:t>
      </w:r>
      <w:r>
        <w:rPr>
          <w:rFonts w:hint="eastAsia" w:ascii="Times New Roman" w:hAnsi="Times New Roman" w:eastAsia="新宋体" w:cs="Times New Roman"/>
          <w:bCs/>
          <w:snapToGrid/>
          <w:color w:val="auto"/>
          <w:spacing w:val="-2"/>
          <w:szCs w:val="24"/>
          <w:lang w:eastAsia="zh-CN"/>
        </w:rPr>
        <w:t>。</w:t>
      </w:r>
    </w:p>
    <w:p w14:paraId="4FC0A89D">
      <w:pPr>
        <w:widowControl w:val="0"/>
        <w:spacing w:line="360" w:lineRule="auto"/>
        <w:ind w:firstLine="472" w:firstLineChars="200"/>
        <w:jc w:val="both"/>
        <w:rPr>
          <w:rFonts w:ascii="Times New Roman" w:hAnsi="Times New Roman" w:eastAsia="新宋体" w:cs="Times New Roman"/>
          <w:snapToGrid/>
          <w:color w:val="auto"/>
          <w:spacing w:val="-2"/>
          <w:szCs w:val="24"/>
          <w:lang w:eastAsia="zh-CN"/>
        </w:rPr>
      </w:pPr>
      <w:r>
        <w:rPr>
          <w:rFonts w:ascii="Times New Roman" w:hAnsi="Times New Roman" w:eastAsia="新宋体" w:cs="Times New Roman"/>
          <w:snapToGrid/>
          <w:color w:val="auto"/>
          <w:spacing w:val="-2"/>
          <w:szCs w:val="24"/>
          <w:lang w:eastAsia="zh-CN"/>
        </w:rPr>
        <w:t>（2）</w:t>
      </w:r>
      <w:r>
        <w:rPr>
          <w:rFonts w:hint="eastAsia" w:ascii="Times New Roman" w:hAnsi="Times New Roman" w:eastAsia="新宋体" w:cs="Times New Roman"/>
          <w:snapToGrid/>
          <w:color w:val="auto"/>
          <w:spacing w:val="-2"/>
          <w:szCs w:val="24"/>
          <w:lang w:eastAsia="zh-CN"/>
        </w:rPr>
        <w:t>由预测结果可知，本项目</w:t>
      </w:r>
      <w:r>
        <w:rPr>
          <w:rFonts w:ascii="Times New Roman" w:hAnsi="Times New Roman" w:eastAsia="新宋体" w:cs="Times New Roman"/>
          <w:snapToGrid/>
          <w:color w:val="auto"/>
          <w:spacing w:val="-2"/>
          <w:szCs w:val="24"/>
          <w:lang w:eastAsia="zh-CN"/>
        </w:rPr>
        <w:t>新增污染物</w:t>
      </w:r>
      <w:r>
        <w:rPr>
          <w:rFonts w:hint="eastAsia" w:ascii="Times New Roman" w:hAnsi="Times New Roman" w:eastAsia="新宋体" w:cs="Times New Roman"/>
          <w:snapToGrid/>
          <w:color w:val="auto"/>
          <w:spacing w:val="-2"/>
          <w:szCs w:val="24"/>
          <w:lang w:eastAsia="zh-CN"/>
        </w:rPr>
        <w:t>氟化物</w:t>
      </w:r>
      <w:r>
        <w:rPr>
          <w:rFonts w:ascii="Times New Roman" w:hAnsi="Times New Roman" w:eastAsia="新宋体" w:cs="Times New Roman"/>
          <w:snapToGrid/>
          <w:color w:val="auto"/>
          <w:spacing w:val="-2"/>
          <w:szCs w:val="24"/>
          <w:lang w:eastAsia="zh-CN"/>
        </w:rPr>
        <w:t>正常排放下污染物短期浓度贡献值的最大浓</w:t>
      </w:r>
      <w:r>
        <w:rPr>
          <w:rFonts w:ascii="Times New Roman" w:hAnsi="Times New Roman" w:eastAsia="新宋体" w:cs="Times New Roman"/>
          <w:snapToGrid/>
          <w:color w:val="000000" w:themeColor="text1"/>
          <w:spacing w:val="-2"/>
          <w:szCs w:val="24"/>
          <w:lang w:eastAsia="zh-CN"/>
          <w14:textFill>
            <w14:solidFill>
              <w14:schemeClr w14:val="tx1"/>
            </w14:solidFill>
          </w14:textFill>
        </w:rPr>
        <w:t>度占标率</w:t>
      </w:r>
      <w:r>
        <w:rPr>
          <w:rFonts w:hint="eastAsia" w:ascii="Times New Roman" w:hAnsi="Times New Roman" w:eastAsia="新宋体" w:cs="Times New Roman"/>
          <w:snapToGrid/>
          <w:color w:val="000000" w:themeColor="text1"/>
          <w:spacing w:val="-2"/>
          <w:szCs w:val="24"/>
          <w:lang w:eastAsia="zh-CN"/>
          <w14:textFill>
            <w14:solidFill>
              <w14:schemeClr w14:val="tx1"/>
            </w14:solidFill>
          </w14:textFill>
        </w:rPr>
        <w:t>为16.9%，氯化氢</w:t>
      </w:r>
      <w:r>
        <w:rPr>
          <w:rFonts w:ascii="Times New Roman" w:hAnsi="Times New Roman" w:eastAsia="新宋体" w:cs="Times New Roman"/>
          <w:snapToGrid/>
          <w:color w:val="000000" w:themeColor="text1"/>
          <w:spacing w:val="-2"/>
          <w:szCs w:val="24"/>
          <w:lang w:eastAsia="zh-CN"/>
          <w14:textFill>
            <w14:solidFill>
              <w14:schemeClr w14:val="tx1"/>
            </w14:solidFill>
          </w14:textFill>
        </w:rPr>
        <w:t>正常排放下污染物短期浓度贡献值的最大浓度占标率</w:t>
      </w:r>
      <w:r>
        <w:rPr>
          <w:rFonts w:hint="eastAsia" w:ascii="Times New Roman" w:hAnsi="Times New Roman" w:eastAsia="新宋体" w:cs="Times New Roman"/>
          <w:snapToGrid/>
          <w:color w:val="000000" w:themeColor="text1"/>
          <w:spacing w:val="-2"/>
          <w:szCs w:val="24"/>
          <w:lang w:eastAsia="zh-CN"/>
          <w14:textFill>
            <w14:solidFill>
              <w14:schemeClr w14:val="tx1"/>
            </w14:solidFill>
          </w14:textFill>
        </w:rPr>
        <w:t>为0.07%，</w:t>
      </w:r>
      <w:r>
        <w:rPr>
          <w:rFonts w:ascii="Times New Roman" w:hAnsi="Times New Roman" w:eastAsia="新宋体" w:cs="Times New Roman"/>
          <w:snapToGrid/>
          <w:color w:val="auto"/>
          <w:spacing w:val="-2"/>
          <w:szCs w:val="24"/>
          <w:lang w:eastAsia="zh-CN"/>
        </w:rPr>
        <w:t>均＜</w:t>
      </w:r>
      <w:r>
        <w:rPr>
          <w:rFonts w:hint="eastAsia" w:ascii="Times New Roman" w:hAnsi="Times New Roman" w:eastAsia="新宋体" w:cs="Times New Roman"/>
          <w:snapToGrid/>
          <w:color w:val="auto"/>
          <w:spacing w:val="-2"/>
          <w:szCs w:val="24"/>
          <w:lang w:eastAsia="zh-CN"/>
        </w:rPr>
        <w:t>10</w:t>
      </w:r>
      <w:r>
        <w:rPr>
          <w:rFonts w:ascii="Times New Roman" w:hAnsi="Times New Roman" w:eastAsia="新宋体" w:cs="Times New Roman"/>
          <w:snapToGrid/>
          <w:color w:val="auto"/>
          <w:spacing w:val="-2"/>
          <w:szCs w:val="24"/>
          <w:lang w:eastAsia="zh-CN"/>
        </w:rPr>
        <w:t>0%</w:t>
      </w:r>
      <w:r>
        <w:rPr>
          <w:rFonts w:hint="eastAsia" w:ascii="Times New Roman" w:hAnsi="Times New Roman" w:eastAsia="新宋体" w:cs="Times New Roman"/>
          <w:snapToGrid/>
          <w:color w:val="auto"/>
          <w:spacing w:val="-2"/>
          <w:szCs w:val="24"/>
          <w:lang w:eastAsia="zh-CN"/>
        </w:rPr>
        <w:t>；</w:t>
      </w:r>
      <w:r>
        <w:rPr>
          <w:rFonts w:ascii="Times New Roman" w:hAnsi="Times New Roman" w:eastAsia="新宋体" w:cs="Times New Roman"/>
          <w:snapToGrid/>
          <w:color w:val="auto"/>
          <w:spacing w:val="-2"/>
          <w:szCs w:val="24"/>
          <w:lang w:eastAsia="zh-CN"/>
        </w:rPr>
        <w:t>新增污染物</w:t>
      </w:r>
      <w:r>
        <w:rPr>
          <w:rFonts w:hint="eastAsia" w:ascii="Times New Roman" w:hAnsi="Times New Roman" w:eastAsia="新宋体" w:cs="Times New Roman"/>
          <w:snapToGrid/>
          <w:color w:val="auto"/>
          <w:spacing w:val="-2"/>
          <w:szCs w:val="24"/>
          <w:lang w:eastAsia="zh-CN"/>
        </w:rPr>
        <w:t>氟化物浓度贡献值</w:t>
      </w:r>
      <w:r>
        <w:rPr>
          <w:rFonts w:ascii="Times New Roman" w:hAnsi="Times New Roman" w:eastAsia="新宋体" w:cs="Times New Roman"/>
          <w:snapToGrid/>
          <w:color w:val="auto"/>
          <w:spacing w:val="-2"/>
          <w:szCs w:val="24"/>
          <w:lang w:eastAsia="zh-CN"/>
        </w:rPr>
        <w:t>叠加现状背景值及拟建、在建项目</w:t>
      </w:r>
      <w:r>
        <w:rPr>
          <w:rFonts w:hint="eastAsia" w:ascii="Times New Roman" w:hAnsi="Times New Roman" w:eastAsia="新宋体" w:cs="Times New Roman"/>
          <w:snapToGrid/>
          <w:color w:val="auto"/>
          <w:spacing w:val="-2"/>
          <w:szCs w:val="24"/>
          <w:lang w:eastAsia="zh-CN"/>
        </w:rPr>
        <w:t>污染源</w:t>
      </w:r>
      <w:r>
        <w:rPr>
          <w:rFonts w:ascii="Times New Roman" w:hAnsi="Times New Roman" w:eastAsia="新宋体" w:cs="Times New Roman"/>
          <w:snapToGrid/>
          <w:color w:val="auto"/>
          <w:spacing w:val="-2"/>
          <w:szCs w:val="24"/>
          <w:lang w:eastAsia="zh-CN"/>
        </w:rPr>
        <w:t>后，污染物浓度满足</w:t>
      </w:r>
      <w:r>
        <w:rPr>
          <w:rFonts w:ascii="Times New Roman" w:hAnsi="Times New Roman" w:cs="Times New Roman"/>
          <w:color w:val="auto"/>
          <w:szCs w:val="24"/>
          <w:lang w:eastAsia="zh-CN"/>
        </w:rPr>
        <w:t>《环境空气质量标准》（GB3095-20</w:t>
      </w:r>
      <w:r>
        <w:rPr>
          <w:rFonts w:hint="eastAsia" w:ascii="Times New Roman" w:hAnsi="Times New Roman" w:cs="Times New Roman"/>
          <w:color w:val="auto"/>
          <w:szCs w:val="24"/>
          <w:lang w:eastAsia="zh-CN"/>
        </w:rPr>
        <w:t>26</w:t>
      </w:r>
      <w:r>
        <w:rPr>
          <w:rFonts w:ascii="Times New Roman" w:hAnsi="Times New Roman" w:cs="Times New Roman"/>
          <w:color w:val="auto"/>
          <w:szCs w:val="24"/>
          <w:lang w:eastAsia="zh-CN"/>
        </w:rPr>
        <w:t>）中的二级标准</w:t>
      </w:r>
      <w:r>
        <w:rPr>
          <w:rFonts w:hint="eastAsia" w:ascii="Times New Roman" w:hAnsi="Times New Roman" w:cs="Times New Roman"/>
          <w:color w:val="auto"/>
          <w:szCs w:val="24"/>
          <w:lang w:eastAsia="zh-CN"/>
        </w:rPr>
        <w:t>；</w:t>
      </w:r>
      <w:r>
        <w:rPr>
          <w:rFonts w:hint="eastAsia" w:ascii="Times New Roman" w:hAnsi="Times New Roman" w:cs="Times New Roman"/>
          <w:lang w:eastAsia="zh-CN"/>
        </w:rPr>
        <w:t>氯化氢</w:t>
      </w:r>
      <w:r>
        <w:rPr>
          <w:rFonts w:hint="eastAsia" w:ascii="Times New Roman" w:hAnsi="Times New Roman" w:eastAsia="新宋体" w:cs="Times New Roman"/>
          <w:snapToGrid/>
          <w:color w:val="auto"/>
          <w:spacing w:val="-2"/>
          <w:szCs w:val="24"/>
          <w:lang w:eastAsia="zh-CN"/>
        </w:rPr>
        <w:t>浓度贡献值</w:t>
      </w:r>
      <w:r>
        <w:rPr>
          <w:rFonts w:ascii="Times New Roman" w:hAnsi="Times New Roman" w:eastAsia="新宋体" w:cs="Times New Roman"/>
          <w:snapToGrid/>
          <w:color w:val="auto"/>
          <w:spacing w:val="-2"/>
          <w:szCs w:val="24"/>
          <w:lang w:eastAsia="zh-CN"/>
        </w:rPr>
        <w:t>叠加现状背景值及拟建、在建项目</w:t>
      </w:r>
      <w:r>
        <w:rPr>
          <w:rFonts w:hint="eastAsia" w:ascii="Times New Roman" w:hAnsi="Times New Roman" w:eastAsia="新宋体" w:cs="Times New Roman"/>
          <w:snapToGrid/>
          <w:color w:val="auto"/>
          <w:spacing w:val="-2"/>
          <w:szCs w:val="24"/>
          <w:lang w:eastAsia="zh-CN"/>
        </w:rPr>
        <w:t>污染源</w:t>
      </w:r>
      <w:r>
        <w:rPr>
          <w:rFonts w:ascii="Times New Roman" w:hAnsi="Times New Roman" w:eastAsia="新宋体" w:cs="Times New Roman"/>
          <w:snapToGrid/>
          <w:color w:val="auto"/>
          <w:spacing w:val="-2"/>
          <w:szCs w:val="24"/>
          <w:lang w:eastAsia="zh-CN"/>
        </w:rPr>
        <w:t>后，污染物浓度满足</w:t>
      </w:r>
      <w:r>
        <w:rPr>
          <w:rFonts w:ascii="Times New Roman" w:hAnsi="Times New Roman" w:cs="Times New Roman"/>
          <w:color w:val="auto"/>
          <w:szCs w:val="24"/>
          <w:lang w:eastAsia="zh-CN"/>
        </w:rPr>
        <w:t>《环境影响评价技术导则 大气环境》（HJ 2.2-2018）附录 D 其他污染物空气质量浓度参考限值</w:t>
      </w:r>
      <w:r>
        <w:rPr>
          <w:rFonts w:ascii="Times New Roman" w:hAnsi="Times New Roman" w:eastAsia="新宋体" w:cs="Times New Roman"/>
          <w:snapToGrid/>
          <w:color w:val="auto"/>
          <w:spacing w:val="-2"/>
          <w:szCs w:val="24"/>
          <w:lang w:eastAsia="zh-CN"/>
        </w:rPr>
        <w:t>。</w:t>
      </w:r>
    </w:p>
    <w:p w14:paraId="14B1A706">
      <w:pPr>
        <w:widowControl w:val="0"/>
        <w:spacing w:line="360" w:lineRule="auto"/>
        <w:ind w:firstLine="472" w:firstLineChars="200"/>
        <w:jc w:val="both"/>
        <w:rPr>
          <w:rFonts w:ascii="Times New Roman" w:hAnsi="Times New Roman" w:eastAsia="新宋体" w:cs="Times New Roman"/>
          <w:snapToGrid/>
          <w:color w:val="auto"/>
          <w:spacing w:val="-2"/>
          <w:szCs w:val="24"/>
          <w:lang w:eastAsia="zh-CN"/>
        </w:rPr>
      </w:pPr>
      <w:r>
        <w:rPr>
          <w:rFonts w:ascii="Times New Roman" w:hAnsi="Times New Roman" w:eastAsia="新宋体" w:cs="Times New Roman"/>
          <w:snapToGrid/>
          <w:color w:val="auto"/>
          <w:spacing w:val="-2"/>
          <w:szCs w:val="24"/>
          <w:lang w:eastAsia="zh-CN"/>
        </w:rPr>
        <w:t>（3）本项目厂界浓度满足大气污染物厂界浓度限值，厂界外大气污染物短期浓度贡献浓度值未超过环境浓度质量限值，因此本项目无需设置大气环境防护距离。</w:t>
      </w:r>
      <w:r>
        <w:rPr>
          <w:rFonts w:hint="eastAsia" w:ascii="Times New Roman" w:hAnsi="Times New Roman" w:eastAsia="新宋体" w:cs="Times New Roman"/>
          <w:snapToGrid/>
          <w:color w:val="auto"/>
          <w:spacing w:val="-2"/>
          <w:szCs w:val="24"/>
          <w:lang w:eastAsia="zh-CN"/>
        </w:rPr>
        <w:t>根据大气环境风险预测，本项目</w:t>
      </w:r>
      <w:r>
        <w:rPr>
          <w:rFonts w:hint="eastAsia" w:ascii="Times New Roman" w:hAnsi="Times New Roman" w:cs="Times New Roman"/>
          <w:color w:val="000000" w:themeColor="text1"/>
          <w:szCs w:val="24"/>
          <w:lang w:eastAsia="zh-CN"/>
          <w14:textFill>
            <w14:solidFill>
              <w14:schemeClr w14:val="tx1"/>
            </w14:solidFill>
          </w14:textFill>
        </w:rPr>
        <w:t>化学纯氢氟酸储罐</w:t>
      </w:r>
      <w:r>
        <w:rPr>
          <w:rFonts w:ascii="Times New Roman" w:hAnsi="Times New Roman" w:cs="Times New Roman"/>
          <w:color w:val="000000" w:themeColor="text1"/>
          <w:szCs w:val="24"/>
          <w:lang w:eastAsia="zh-CN"/>
          <w14:textFill>
            <w14:solidFill>
              <w14:schemeClr w14:val="tx1"/>
            </w14:solidFill>
          </w14:textFill>
        </w:rPr>
        <w:t>泄漏</w:t>
      </w:r>
      <w:r>
        <w:rPr>
          <w:rFonts w:hint="eastAsia" w:ascii="Times New Roman" w:hAnsi="Times New Roman" w:cs="Times New Roman"/>
          <w:color w:val="000000" w:themeColor="text1"/>
          <w:szCs w:val="24"/>
          <w:lang w:eastAsia="zh-CN"/>
          <w14:textFill>
            <w14:solidFill>
              <w14:schemeClr w14:val="tx1"/>
            </w14:solidFill>
          </w14:textFill>
        </w:rPr>
        <w:t>，</w:t>
      </w:r>
      <w:r>
        <w:rPr>
          <w:rFonts w:ascii="Times New Roman" w:hAnsi="Times New Roman" w:cs="Times New Roman"/>
          <w:color w:val="000000" w:themeColor="text1"/>
          <w:szCs w:val="24"/>
          <w:lang w:eastAsia="zh-CN"/>
          <w14:textFill>
            <w14:solidFill>
              <w14:schemeClr w14:val="tx1"/>
            </w14:solidFill>
          </w14:textFill>
        </w:rPr>
        <w:t>最不利气象条件下</w:t>
      </w:r>
      <w:r>
        <w:rPr>
          <w:rFonts w:hint="eastAsia" w:ascii="Times New Roman" w:hAnsi="Times New Roman" w:cs="Times New Roman"/>
          <w:color w:val="000000" w:themeColor="text1"/>
          <w:szCs w:val="24"/>
          <w:lang w:eastAsia="zh-CN"/>
          <w14:textFill>
            <w14:solidFill>
              <w14:schemeClr w14:val="tx1"/>
            </w14:solidFill>
          </w14:textFill>
        </w:rPr>
        <w:t>氟化氢</w:t>
      </w:r>
      <w:r>
        <w:rPr>
          <w:rFonts w:ascii="Times New Roman" w:hAnsi="Times New Roman" w:cs="Times New Roman"/>
          <w:color w:val="000000" w:themeColor="text1"/>
          <w:szCs w:val="24"/>
          <w:lang w:eastAsia="zh-CN"/>
          <w14:textFill>
            <w14:solidFill>
              <w14:schemeClr w14:val="tx1"/>
            </w14:solidFill>
          </w14:textFill>
        </w:rPr>
        <w:t>达到</w:t>
      </w:r>
      <w:r>
        <w:rPr>
          <w:rFonts w:hint="eastAsia" w:ascii="Times New Roman" w:hAnsi="Times New Roman" w:cs="Times New Roman"/>
          <w:color w:val="000000" w:themeColor="text1"/>
          <w:szCs w:val="24"/>
          <w:lang w:eastAsia="zh-CN"/>
          <w14:textFill>
            <w14:solidFill>
              <w14:schemeClr w14:val="tx1"/>
            </w14:solidFill>
          </w14:textFill>
        </w:rPr>
        <w:t>1</w:t>
      </w:r>
      <w:r>
        <w:rPr>
          <w:rFonts w:ascii="Times New Roman" w:hAnsi="Times New Roman" w:cs="Times New Roman"/>
          <w:color w:val="000000" w:themeColor="text1"/>
          <w:szCs w:val="24"/>
          <w:lang w:eastAsia="zh-CN"/>
          <w14:textFill>
            <w14:solidFill>
              <w14:schemeClr w14:val="tx1"/>
            </w14:solidFill>
          </w14:textFill>
        </w:rPr>
        <w:t>级大气毒性终点浓度标准最大距离</w:t>
      </w:r>
      <w:r>
        <w:rPr>
          <w:rFonts w:hint="eastAsia" w:ascii="Times New Roman" w:hAnsi="Times New Roman" w:cs="Times New Roman"/>
          <w:color w:val="000000" w:themeColor="text1"/>
          <w:szCs w:val="24"/>
          <w:lang w:eastAsia="zh-CN"/>
          <w14:textFill>
            <w14:solidFill>
              <w14:schemeClr w14:val="tx1"/>
            </w14:solidFill>
          </w14:textFill>
        </w:rPr>
        <w:t>450</w:t>
      </w:r>
      <w:r>
        <w:rPr>
          <w:rFonts w:ascii="Times New Roman" w:hAnsi="Times New Roman" w:cs="Times New Roman"/>
          <w:color w:val="000000" w:themeColor="text1"/>
          <w:szCs w:val="24"/>
          <w:lang w:eastAsia="zh-CN"/>
          <w14:textFill>
            <w14:solidFill>
              <w14:schemeClr w14:val="tx1"/>
            </w14:solidFill>
          </w14:textFill>
        </w:rPr>
        <w:t>m</w:t>
      </w:r>
      <w:r>
        <w:rPr>
          <w:rFonts w:hint="eastAsia" w:ascii="Times New Roman" w:hAnsi="Times New Roman" w:cs="Times New Roman"/>
          <w:color w:val="000000" w:themeColor="text1"/>
          <w:szCs w:val="24"/>
          <w:lang w:eastAsia="zh-CN"/>
          <w14:textFill>
            <w14:solidFill>
              <w14:schemeClr w14:val="tx1"/>
            </w14:solidFill>
          </w14:textFill>
        </w:rPr>
        <w:t>，本项目应设置450m环境防护距离。同时</w:t>
      </w:r>
      <w:r>
        <w:rPr>
          <w:rFonts w:hint="eastAsia" w:ascii="Times New Roman" w:hAnsi="Times New Roman" w:eastAsia="新宋体" w:cs="Times New Roman"/>
          <w:snapToGrid/>
          <w:color w:val="auto"/>
          <w:spacing w:val="-2"/>
          <w:szCs w:val="24"/>
          <w:lang w:eastAsia="zh-CN"/>
        </w:rPr>
        <w:t>结合</w:t>
      </w:r>
      <w:r>
        <w:rPr>
          <w:rFonts w:hint="eastAsia" w:ascii="Times New Roman" w:hAnsi="Times New Roman" w:eastAsia="新宋体" w:cs="Times New Roman"/>
          <w:color w:val="auto"/>
          <w:szCs w:val="24"/>
          <w:lang w:eastAsia="zh-CN"/>
        </w:rPr>
        <w:t>《</w:t>
      </w:r>
      <w:r>
        <w:rPr>
          <w:rFonts w:hint="eastAsia" w:ascii="Times New Roman" w:hAnsi="Times New Roman" w:cs="Times New Roman"/>
          <w:color w:val="auto"/>
          <w:szCs w:val="24"/>
          <w:lang w:eastAsia="zh-CN"/>
        </w:rPr>
        <w:t>安徽氟瑞星化工有限公司年产4万吨电子级氢氟酸、4万吨化学纯氢氟酸及4.5万吨刻蚀液项目（一期工程）》</w:t>
      </w:r>
      <w:r>
        <w:rPr>
          <w:rFonts w:ascii="Times New Roman" w:hAnsi="Times New Roman" w:eastAsia="新宋体" w:cs="Times New Roman"/>
          <w:snapToGrid/>
          <w:color w:val="auto"/>
          <w:spacing w:val="-2"/>
          <w:szCs w:val="24"/>
          <w:lang w:eastAsia="zh-CN"/>
        </w:rPr>
        <w:t>，</w:t>
      </w:r>
      <w:r>
        <w:rPr>
          <w:rFonts w:hint="eastAsia" w:ascii="Times New Roman" w:hAnsi="Times New Roman" w:eastAsia="新宋体" w:cs="Times New Roman"/>
          <w:snapToGrid/>
          <w:color w:val="auto"/>
          <w:spacing w:val="-2"/>
          <w:szCs w:val="24"/>
          <w:lang w:eastAsia="zh-CN"/>
        </w:rPr>
        <w:t>现有工程</w:t>
      </w:r>
      <w:r>
        <w:rPr>
          <w:rFonts w:ascii="Times New Roman" w:hAnsi="Times New Roman" w:eastAsia="新宋体" w:cs="Times New Roman"/>
          <w:snapToGrid/>
          <w:color w:val="auto"/>
          <w:spacing w:val="-2"/>
          <w:szCs w:val="24"/>
          <w:lang w:eastAsia="zh-CN"/>
        </w:rPr>
        <w:t>以厂界外扩</w:t>
      </w:r>
      <w:r>
        <w:rPr>
          <w:rFonts w:hint="eastAsia" w:ascii="Times New Roman" w:hAnsi="Times New Roman" w:eastAsia="新宋体" w:cs="Times New Roman"/>
          <w:snapToGrid/>
          <w:color w:val="auto"/>
          <w:spacing w:val="-2"/>
          <w:szCs w:val="24"/>
          <w:lang w:eastAsia="zh-CN"/>
        </w:rPr>
        <w:t>65</w:t>
      </w:r>
      <w:r>
        <w:rPr>
          <w:rFonts w:ascii="Times New Roman" w:hAnsi="Times New Roman" w:eastAsia="新宋体" w:cs="Times New Roman"/>
          <w:snapToGrid/>
          <w:color w:val="auto"/>
          <w:spacing w:val="-2"/>
          <w:szCs w:val="24"/>
          <w:lang w:eastAsia="zh-CN"/>
        </w:rPr>
        <w:t>0m环境防护距离作为环境防护距离</w:t>
      </w:r>
      <w:r>
        <w:rPr>
          <w:rFonts w:hint="eastAsia" w:ascii="Times New Roman" w:hAnsi="Times New Roman" w:eastAsia="新宋体" w:cs="Times New Roman"/>
          <w:snapToGrid/>
          <w:color w:val="auto"/>
          <w:spacing w:val="-2"/>
          <w:szCs w:val="24"/>
          <w:lang w:eastAsia="zh-CN"/>
        </w:rPr>
        <w:t>，故本项目</w:t>
      </w:r>
      <w:r>
        <w:rPr>
          <w:rFonts w:ascii="Times New Roman" w:hAnsi="Times New Roman" w:eastAsia="新宋体" w:cs="Times New Roman"/>
          <w:snapToGrid/>
          <w:color w:val="auto"/>
          <w:spacing w:val="-2"/>
          <w:szCs w:val="24"/>
          <w:lang w:eastAsia="zh-CN"/>
        </w:rPr>
        <w:t>以厂界外扩</w:t>
      </w:r>
      <w:r>
        <w:rPr>
          <w:rFonts w:hint="eastAsia" w:ascii="Times New Roman" w:hAnsi="Times New Roman" w:eastAsia="新宋体" w:cs="Times New Roman"/>
          <w:snapToGrid/>
          <w:color w:val="auto"/>
          <w:spacing w:val="-2"/>
          <w:szCs w:val="24"/>
          <w:lang w:eastAsia="zh-CN"/>
        </w:rPr>
        <w:t>65</w:t>
      </w:r>
      <w:r>
        <w:rPr>
          <w:rFonts w:ascii="Times New Roman" w:hAnsi="Times New Roman" w:eastAsia="新宋体" w:cs="Times New Roman"/>
          <w:snapToGrid/>
          <w:color w:val="auto"/>
          <w:spacing w:val="-2"/>
          <w:szCs w:val="24"/>
          <w:lang w:eastAsia="zh-CN"/>
        </w:rPr>
        <w:t>0m环境防护距离作为</w:t>
      </w:r>
      <w:r>
        <w:rPr>
          <w:rFonts w:hint="eastAsia" w:ascii="Times New Roman" w:hAnsi="Times New Roman" w:eastAsia="新宋体" w:cs="Times New Roman"/>
          <w:snapToGrid/>
          <w:color w:val="auto"/>
          <w:spacing w:val="-2"/>
          <w:szCs w:val="24"/>
          <w:lang w:eastAsia="zh-CN"/>
        </w:rPr>
        <w:t>全厂</w:t>
      </w:r>
      <w:r>
        <w:rPr>
          <w:rFonts w:ascii="Times New Roman" w:hAnsi="Times New Roman" w:eastAsia="新宋体" w:cs="Times New Roman"/>
          <w:snapToGrid/>
          <w:color w:val="auto"/>
          <w:spacing w:val="-2"/>
          <w:szCs w:val="24"/>
          <w:lang w:eastAsia="zh-CN"/>
        </w:rPr>
        <w:t>环境防护距离</w:t>
      </w:r>
      <w:r>
        <w:rPr>
          <w:rFonts w:hint="eastAsia" w:ascii="Times New Roman" w:hAnsi="Times New Roman" w:eastAsia="新宋体" w:cs="Times New Roman"/>
          <w:snapToGrid/>
          <w:color w:val="auto"/>
          <w:spacing w:val="-2"/>
          <w:szCs w:val="24"/>
          <w:lang w:eastAsia="zh-CN"/>
        </w:rPr>
        <w:t>。</w:t>
      </w:r>
    </w:p>
    <w:p w14:paraId="2D1172B1">
      <w:pPr>
        <w:widowControl w:val="0"/>
        <w:spacing w:line="360" w:lineRule="auto"/>
        <w:ind w:firstLine="472" w:firstLineChars="200"/>
        <w:jc w:val="both"/>
        <w:rPr>
          <w:rFonts w:ascii="Times New Roman" w:hAnsi="Times New Roman" w:eastAsia="新宋体" w:cs="Times New Roman"/>
          <w:snapToGrid/>
          <w:color w:val="auto"/>
          <w:spacing w:val="-2"/>
          <w:szCs w:val="24"/>
          <w:lang w:eastAsia="zh-CN"/>
        </w:rPr>
      </w:pPr>
      <w:r>
        <w:rPr>
          <w:rFonts w:ascii="Times New Roman" w:hAnsi="Times New Roman" w:eastAsia="新宋体" w:cs="Times New Roman"/>
          <w:snapToGrid/>
          <w:color w:val="auto"/>
          <w:spacing w:val="-2"/>
          <w:szCs w:val="24"/>
          <w:lang w:eastAsia="zh-CN"/>
        </w:rPr>
        <w:t>本次评价在环境防护距离包络线内不得有环境敏感点，且不允许规划医院、学校、居住小区等敏感目标。根据现场探勘，本项目环境防护距离内无敏感点，满足环境防护距离设置要求。</w:t>
      </w:r>
    </w:p>
    <w:p w14:paraId="1169BA1C">
      <w:pPr>
        <w:widowControl w:val="0"/>
        <w:spacing w:line="360" w:lineRule="auto"/>
        <w:ind w:firstLine="472" w:firstLineChars="200"/>
        <w:jc w:val="both"/>
        <w:rPr>
          <w:rFonts w:ascii="Times New Roman" w:hAnsi="Times New Roman" w:eastAsia="新宋体" w:cs="Times New Roman"/>
          <w:snapToGrid/>
          <w:color w:val="auto"/>
          <w:spacing w:val="-2"/>
          <w:szCs w:val="24"/>
          <w:lang w:eastAsia="zh-CN"/>
        </w:rPr>
      </w:pPr>
      <w:r>
        <w:rPr>
          <w:rFonts w:ascii="Times New Roman" w:hAnsi="Times New Roman" w:eastAsia="新宋体" w:cs="Times New Roman"/>
          <w:snapToGrid/>
          <w:color w:val="auto"/>
          <w:spacing w:val="-2"/>
          <w:szCs w:val="24"/>
          <w:lang w:eastAsia="zh-CN"/>
        </w:rPr>
        <w:t>综上所述，本项目大气环境影响可接受。</w:t>
      </w:r>
    </w:p>
    <w:p w14:paraId="2015746E">
      <w:pPr>
        <w:spacing w:line="360" w:lineRule="auto"/>
        <w:ind w:firstLine="482"/>
        <w:outlineLvl w:val="2"/>
        <w:rPr>
          <w:rFonts w:ascii="Times New Roman" w:hAnsi="Times New Roman" w:cs="Times New Roman"/>
          <w:b/>
          <w:bCs/>
          <w:color w:val="auto"/>
          <w:szCs w:val="24"/>
          <w:lang w:eastAsia="zh-CN"/>
        </w:rPr>
      </w:pPr>
      <w:bookmarkStart w:id="1492" w:name="_Toc221900879"/>
      <w:bookmarkStart w:id="1493" w:name="_Toc218784322"/>
      <w:bookmarkStart w:id="1494" w:name="_Toc175164312"/>
      <w:bookmarkStart w:id="1495" w:name="_Toc173743421"/>
      <w:bookmarkStart w:id="1496" w:name="_Toc204515241"/>
      <w:bookmarkStart w:id="1497" w:name="_Toc237508332"/>
      <w:bookmarkStart w:id="1498" w:name="_Toc204448506"/>
      <w:bookmarkStart w:id="1499" w:name="_Toc236641867"/>
      <w:bookmarkStart w:id="1500" w:name="_Toc176513048"/>
      <w:bookmarkStart w:id="1501" w:name="_Toc223425097"/>
      <w:bookmarkStart w:id="1502" w:name="_Toc203927040"/>
      <w:bookmarkStart w:id="1503" w:name="_Toc173740317"/>
      <w:bookmarkStart w:id="1504" w:name="_Toc231828619"/>
      <w:bookmarkStart w:id="1505" w:name="_Toc178602388"/>
      <w:bookmarkStart w:id="1506" w:name="_Toc225784098"/>
      <w:bookmarkStart w:id="1507" w:name="_Toc236641350"/>
      <w:bookmarkStart w:id="1508" w:name="_Toc224674737"/>
      <w:r>
        <w:rPr>
          <w:rFonts w:hint="eastAsia" w:ascii="Times New Roman" w:hAnsi="Times New Roman" w:cs="Times New Roman"/>
          <w:b/>
          <w:bCs/>
          <w:color w:val="auto"/>
          <w:szCs w:val="24"/>
          <w:lang w:eastAsia="zh-CN"/>
        </w:rPr>
        <w:t>6</w:t>
      </w:r>
      <w:r>
        <w:rPr>
          <w:rFonts w:ascii="Times New Roman" w:hAnsi="Times New Roman" w:cs="Times New Roman"/>
          <w:b/>
          <w:bCs/>
          <w:color w:val="auto"/>
          <w:szCs w:val="24"/>
          <w:lang w:eastAsia="zh-CN"/>
        </w:rPr>
        <w:t>.2.</w:t>
      </w:r>
      <w:r>
        <w:rPr>
          <w:rFonts w:hint="eastAsia" w:ascii="Times New Roman" w:hAnsi="Times New Roman" w:cs="Times New Roman"/>
          <w:b/>
          <w:bCs/>
          <w:color w:val="auto"/>
          <w:szCs w:val="24"/>
          <w:lang w:eastAsia="zh-CN"/>
        </w:rPr>
        <w:t>9</w:t>
      </w:r>
      <w:r>
        <w:rPr>
          <w:rFonts w:ascii="Times New Roman" w:hAnsi="Times New Roman" w:cs="Times New Roman"/>
          <w:b/>
          <w:bCs/>
          <w:color w:val="auto"/>
          <w:szCs w:val="24"/>
          <w:lang w:eastAsia="zh-CN"/>
        </w:rPr>
        <w:t xml:space="preserve"> 大气污染物排放量核算</w:t>
      </w:r>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p>
    <w:p w14:paraId="72205289">
      <w:pPr>
        <w:spacing w:line="360" w:lineRule="auto"/>
        <w:jc w:val="center"/>
        <w:rPr>
          <w:rFonts w:ascii="Times New Roman" w:hAnsi="Times New Roman" w:cs="Times New Roman"/>
          <w:b/>
          <w:color w:val="auto"/>
          <w:lang w:eastAsia="zh-CN"/>
        </w:rPr>
      </w:pPr>
      <w:r>
        <w:rPr>
          <w:rFonts w:ascii="Times New Roman" w:hAnsi="Times New Roman" w:cs="Times New Roman"/>
          <w:b/>
          <w:color w:val="auto"/>
          <w:lang w:eastAsia="zh-CN"/>
        </w:rPr>
        <w:t>表</w:t>
      </w:r>
      <w:r>
        <w:rPr>
          <w:rFonts w:hint="eastAsia" w:ascii="Times New Roman" w:hAnsi="Times New Roman" w:cs="Times New Roman"/>
          <w:b/>
          <w:color w:val="auto"/>
          <w:lang w:eastAsia="zh-CN"/>
        </w:rPr>
        <w:t>6</w:t>
      </w:r>
      <w:r>
        <w:rPr>
          <w:rFonts w:ascii="Times New Roman" w:hAnsi="Times New Roman" w:cs="Times New Roman"/>
          <w:b/>
          <w:color w:val="auto"/>
          <w:lang w:eastAsia="zh-CN"/>
        </w:rPr>
        <w:t>.2-</w:t>
      </w:r>
      <w:r>
        <w:rPr>
          <w:rFonts w:hint="eastAsia" w:ascii="Times New Roman" w:hAnsi="Times New Roman" w:cs="Times New Roman"/>
          <w:b/>
          <w:color w:val="auto"/>
          <w:lang w:eastAsia="zh-CN"/>
        </w:rPr>
        <w:t>18</w:t>
      </w:r>
      <w:r>
        <w:rPr>
          <w:rFonts w:ascii="Times New Roman" w:hAnsi="Times New Roman" w:cs="Times New Roman"/>
          <w:b/>
          <w:color w:val="auto"/>
          <w:lang w:eastAsia="zh-CN"/>
        </w:rPr>
        <w:t xml:space="preserve"> 大气污染物有组织排放量核算表</w:t>
      </w:r>
    </w:p>
    <w:tbl>
      <w:tblPr>
        <w:tblStyle w:val="35"/>
        <w:tblW w:w="5000" w:type="pct"/>
        <w:tblInd w:w="0" w:type="dxa"/>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Layout w:type="autofit"/>
        <w:tblCellMar>
          <w:top w:w="0" w:type="dxa"/>
          <w:left w:w="108" w:type="dxa"/>
          <w:bottom w:w="0" w:type="dxa"/>
          <w:right w:w="108" w:type="dxa"/>
        </w:tblCellMar>
      </w:tblPr>
      <w:tblGrid>
        <w:gridCol w:w="1175"/>
        <w:gridCol w:w="1446"/>
        <w:gridCol w:w="1766"/>
        <w:gridCol w:w="1766"/>
        <w:gridCol w:w="1811"/>
        <w:gridCol w:w="1782"/>
      </w:tblGrid>
      <w:tr w14:paraId="414FBF5E">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340" w:hRule="atLeast"/>
        </w:trPr>
        <w:tc>
          <w:tcPr>
            <w:tcW w:w="603" w:type="pct"/>
            <w:noWrap/>
            <w:vAlign w:val="center"/>
          </w:tcPr>
          <w:p w14:paraId="5D0B42E9">
            <w:pPr>
              <w:adjustRightInd w:val="0"/>
              <w:snapToGrid w:val="0"/>
              <w:jc w:val="center"/>
              <w:rPr>
                <w:rFonts w:ascii="Times New Roman" w:hAnsi="Times New Roman" w:cs="Times New Roman"/>
                <w:b/>
                <w:bCs/>
                <w:color w:val="auto"/>
                <w:sz w:val="21"/>
              </w:rPr>
            </w:pPr>
            <w:bookmarkStart w:id="1509" w:name="_Hlk174366869"/>
            <w:r>
              <w:rPr>
                <w:rFonts w:ascii="Times New Roman" w:hAnsi="Times New Roman" w:cs="Times New Roman"/>
                <w:b/>
                <w:bCs/>
                <w:color w:val="auto"/>
                <w:sz w:val="21"/>
              </w:rPr>
              <w:t>序号</w:t>
            </w:r>
          </w:p>
        </w:tc>
        <w:tc>
          <w:tcPr>
            <w:tcW w:w="742" w:type="pct"/>
            <w:vAlign w:val="center"/>
          </w:tcPr>
          <w:p w14:paraId="1412C947">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排放口编号</w:t>
            </w:r>
          </w:p>
        </w:tc>
        <w:tc>
          <w:tcPr>
            <w:tcW w:w="906" w:type="pct"/>
            <w:noWrap/>
            <w:vAlign w:val="center"/>
          </w:tcPr>
          <w:p w14:paraId="2FC05A19">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污染物</w:t>
            </w:r>
          </w:p>
        </w:tc>
        <w:tc>
          <w:tcPr>
            <w:tcW w:w="906" w:type="pct"/>
            <w:vAlign w:val="center"/>
          </w:tcPr>
          <w:p w14:paraId="014D387E">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核算排放浓度</w:t>
            </w:r>
          </w:p>
          <w:p w14:paraId="0A7CF139">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（mg/m</w:t>
            </w:r>
            <w:r>
              <w:rPr>
                <w:rFonts w:ascii="Times New Roman" w:hAnsi="Times New Roman" w:cs="Times New Roman"/>
                <w:b/>
                <w:bCs/>
                <w:color w:val="auto"/>
                <w:sz w:val="21"/>
                <w:vertAlign w:val="superscript"/>
                <w:lang w:eastAsia="zh-CN"/>
              </w:rPr>
              <w:t>3</w:t>
            </w:r>
            <w:r>
              <w:rPr>
                <w:rFonts w:ascii="Times New Roman" w:hAnsi="Times New Roman" w:cs="Times New Roman"/>
                <w:b/>
                <w:bCs/>
                <w:color w:val="auto"/>
                <w:sz w:val="21"/>
                <w:lang w:eastAsia="zh-CN"/>
              </w:rPr>
              <w:t>）</w:t>
            </w:r>
          </w:p>
        </w:tc>
        <w:tc>
          <w:tcPr>
            <w:tcW w:w="929" w:type="pct"/>
            <w:vAlign w:val="center"/>
          </w:tcPr>
          <w:p w14:paraId="763EDB11">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核算排放速率</w:t>
            </w:r>
          </w:p>
          <w:p w14:paraId="64670BD4">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（kg/h）</w:t>
            </w:r>
          </w:p>
        </w:tc>
        <w:tc>
          <w:tcPr>
            <w:tcW w:w="914" w:type="pct"/>
            <w:vAlign w:val="center"/>
          </w:tcPr>
          <w:p w14:paraId="603DB4C8">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核算年排放量</w:t>
            </w:r>
          </w:p>
          <w:p w14:paraId="3A4D44A8">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（t/a）</w:t>
            </w:r>
          </w:p>
        </w:tc>
      </w:tr>
      <w:tr w14:paraId="1A46BA68">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340" w:hRule="atLeast"/>
        </w:trPr>
        <w:tc>
          <w:tcPr>
            <w:tcW w:w="5000" w:type="pct"/>
            <w:gridSpan w:val="6"/>
            <w:noWrap/>
            <w:vAlign w:val="center"/>
          </w:tcPr>
          <w:p w14:paraId="2B6D46ED">
            <w:pPr>
              <w:adjustRightInd w:val="0"/>
              <w:snapToGrid w:val="0"/>
              <w:jc w:val="center"/>
              <w:rPr>
                <w:rFonts w:ascii="Times New Roman" w:hAnsi="Times New Roman" w:cs="Times New Roman"/>
                <w:b/>
                <w:bCs/>
                <w:color w:val="auto"/>
                <w:sz w:val="21"/>
              </w:rPr>
            </w:pPr>
            <w:r>
              <w:rPr>
                <w:rFonts w:hint="eastAsia" w:ascii="Times New Roman" w:hAnsi="Times New Roman" w:cs="Times New Roman"/>
                <w:b/>
                <w:bCs/>
                <w:color w:val="auto"/>
                <w:sz w:val="21"/>
                <w:lang w:eastAsia="zh-CN"/>
              </w:rPr>
              <w:t>一般排放口</w:t>
            </w:r>
          </w:p>
        </w:tc>
      </w:tr>
      <w:tr w14:paraId="182B91B9">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340" w:hRule="atLeast"/>
        </w:trPr>
        <w:tc>
          <w:tcPr>
            <w:tcW w:w="603" w:type="pct"/>
            <w:vMerge w:val="restart"/>
            <w:noWrap/>
            <w:vAlign w:val="center"/>
          </w:tcPr>
          <w:p w14:paraId="0402D7F6">
            <w:pPr>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sz w:val="21"/>
                <w:szCs w:val="18"/>
                <w:lang w:eastAsia="zh-CN"/>
              </w:rPr>
              <w:t>1</w:t>
            </w:r>
          </w:p>
        </w:tc>
        <w:tc>
          <w:tcPr>
            <w:tcW w:w="742" w:type="pct"/>
            <w:vMerge w:val="restart"/>
            <w:noWrap/>
            <w:vAlign w:val="center"/>
          </w:tcPr>
          <w:p w14:paraId="7C23AB51">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DA00</w:t>
            </w:r>
            <w:r>
              <w:rPr>
                <w:rFonts w:hint="eastAsia" w:ascii="Times New Roman" w:hAnsi="Times New Roman" w:cs="Times New Roman"/>
                <w:color w:val="auto"/>
                <w:sz w:val="21"/>
                <w:lang w:eastAsia="zh-CN"/>
              </w:rPr>
              <w:t>1</w:t>
            </w:r>
          </w:p>
        </w:tc>
        <w:tc>
          <w:tcPr>
            <w:tcW w:w="906" w:type="pct"/>
            <w:noWrap/>
            <w:vAlign w:val="center"/>
          </w:tcPr>
          <w:p w14:paraId="7F70300B">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氟化物</w:t>
            </w:r>
          </w:p>
        </w:tc>
        <w:tc>
          <w:tcPr>
            <w:tcW w:w="906" w:type="pct"/>
            <w:noWrap/>
            <w:vAlign w:val="center"/>
          </w:tcPr>
          <w:p w14:paraId="0DF00C50">
            <w:pPr>
              <w:adjustRightInd w:val="0"/>
              <w:snapToGrid w:val="0"/>
              <w:jc w:val="center"/>
              <w:textAlignment w:val="center"/>
              <w:rPr>
                <w:rFonts w:ascii="Times New Roman" w:hAnsi="Times New Roman" w:cs="Times New Roman"/>
                <w:color w:val="auto"/>
                <w:sz w:val="21"/>
                <w:lang w:eastAsia="zh-CN"/>
              </w:rPr>
            </w:pPr>
          </w:p>
        </w:tc>
        <w:tc>
          <w:tcPr>
            <w:tcW w:w="929" w:type="pct"/>
            <w:noWrap/>
            <w:vAlign w:val="center"/>
          </w:tcPr>
          <w:p w14:paraId="4D150558">
            <w:pPr>
              <w:adjustRightInd w:val="0"/>
              <w:snapToGrid w:val="0"/>
              <w:jc w:val="center"/>
              <w:textAlignment w:val="center"/>
              <w:rPr>
                <w:rFonts w:ascii="Times New Roman" w:hAnsi="Times New Roman" w:cs="Times New Roman"/>
                <w:color w:val="auto"/>
                <w:sz w:val="21"/>
                <w:lang w:eastAsia="zh-CN" w:bidi="ar"/>
              </w:rPr>
            </w:pPr>
          </w:p>
        </w:tc>
        <w:tc>
          <w:tcPr>
            <w:tcW w:w="914" w:type="pct"/>
            <w:noWrap/>
            <w:vAlign w:val="center"/>
          </w:tcPr>
          <w:p w14:paraId="3A7AE838">
            <w:pPr>
              <w:adjustRightInd w:val="0"/>
              <w:snapToGrid w:val="0"/>
              <w:jc w:val="center"/>
              <w:textAlignment w:val="center"/>
              <w:rPr>
                <w:rFonts w:ascii="Times New Roman" w:hAnsi="Times New Roman" w:cs="Times New Roman"/>
                <w:color w:val="auto"/>
                <w:sz w:val="21"/>
                <w:lang w:eastAsia="zh-CN" w:bidi="ar"/>
              </w:rPr>
            </w:pPr>
          </w:p>
        </w:tc>
      </w:tr>
      <w:tr w14:paraId="1F374E3A">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340" w:hRule="atLeast"/>
        </w:trPr>
        <w:tc>
          <w:tcPr>
            <w:tcW w:w="603" w:type="pct"/>
            <w:vMerge w:val="continue"/>
            <w:noWrap/>
            <w:vAlign w:val="center"/>
          </w:tcPr>
          <w:p w14:paraId="65A5E1C4">
            <w:pPr>
              <w:adjustRightInd w:val="0"/>
              <w:snapToGrid w:val="0"/>
              <w:jc w:val="center"/>
              <w:rPr>
                <w:rFonts w:ascii="Times New Roman" w:hAnsi="Times New Roman" w:cs="Times New Roman"/>
                <w:color w:val="auto"/>
                <w:sz w:val="21"/>
                <w:lang w:eastAsia="zh-CN"/>
              </w:rPr>
            </w:pPr>
          </w:p>
        </w:tc>
        <w:tc>
          <w:tcPr>
            <w:tcW w:w="742" w:type="pct"/>
            <w:vMerge w:val="continue"/>
            <w:noWrap/>
            <w:vAlign w:val="center"/>
          </w:tcPr>
          <w:p w14:paraId="27D2F79E">
            <w:pPr>
              <w:adjustRightInd w:val="0"/>
              <w:snapToGrid w:val="0"/>
              <w:jc w:val="center"/>
              <w:rPr>
                <w:rFonts w:ascii="Times New Roman" w:hAnsi="Times New Roman" w:cs="Times New Roman"/>
                <w:color w:val="auto"/>
                <w:sz w:val="21"/>
                <w:lang w:eastAsia="zh-CN"/>
              </w:rPr>
            </w:pPr>
          </w:p>
        </w:tc>
        <w:tc>
          <w:tcPr>
            <w:tcW w:w="906" w:type="pct"/>
            <w:noWrap/>
            <w:vAlign w:val="center"/>
          </w:tcPr>
          <w:p w14:paraId="637232F3">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氯化氢</w:t>
            </w:r>
          </w:p>
        </w:tc>
        <w:tc>
          <w:tcPr>
            <w:tcW w:w="906" w:type="pct"/>
            <w:noWrap/>
            <w:vAlign w:val="center"/>
          </w:tcPr>
          <w:p w14:paraId="2F198A37">
            <w:pPr>
              <w:adjustRightInd w:val="0"/>
              <w:snapToGrid w:val="0"/>
              <w:jc w:val="center"/>
              <w:textAlignment w:val="center"/>
              <w:rPr>
                <w:rFonts w:ascii="Times New Roman" w:hAnsi="Times New Roman" w:cs="Times New Roman"/>
                <w:color w:val="auto"/>
                <w:sz w:val="21"/>
                <w:lang w:eastAsia="zh-CN"/>
              </w:rPr>
            </w:pPr>
          </w:p>
        </w:tc>
        <w:tc>
          <w:tcPr>
            <w:tcW w:w="929" w:type="pct"/>
            <w:noWrap/>
            <w:vAlign w:val="center"/>
          </w:tcPr>
          <w:p w14:paraId="01D83614">
            <w:pPr>
              <w:adjustRightInd w:val="0"/>
              <w:snapToGrid w:val="0"/>
              <w:jc w:val="center"/>
              <w:textAlignment w:val="center"/>
              <w:rPr>
                <w:rFonts w:ascii="Times New Roman" w:hAnsi="Times New Roman" w:cs="Times New Roman"/>
                <w:color w:val="auto"/>
                <w:sz w:val="21"/>
                <w:lang w:eastAsia="zh-CN" w:bidi="ar"/>
              </w:rPr>
            </w:pPr>
          </w:p>
        </w:tc>
        <w:tc>
          <w:tcPr>
            <w:tcW w:w="914" w:type="pct"/>
            <w:noWrap/>
            <w:vAlign w:val="center"/>
          </w:tcPr>
          <w:p w14:paraId="5E9F456D">
            <w:pPr>
              <w:adjustRightInd w:val="0"/>
              <w:snapToGrid w:val="0"/>
              <w:jc w:val="center"/>
              <w:textAlignment w:val="center"/>
              <w:rPr>
                <w:rFonts w:ascii="Times New Roman" w:hAnsi="Times New Roman" w:cs="Times New Roman"/>
                <w:color w:val="auto"/>
                <w:sz w:val="21"/>
                <w:lang w:eastAsia="zh-CN" w:bidi="ar"/>
              </w:rPr>
            </w:pPr>
          </w:p>
        </w:tc>
      </w:tr>
      <w:tr w14:paraId="2AA1EA07">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340" w:hRule="atLeast"/>
        </w:trPr>
        <w:tc>
          <w:tcPr>
            <w:tcW w:w="1345" w:type="pct"/>
            <w:gridSpan w:val="2"/>
            <w:vMerge w:val="restart"/>
            <w:vAlign w:val="center"/>
          </w:tcPr>
          <w:p w14:paraId="1FBED8D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有组织排放口总计</w:t>
            </w:r>
          </w:p>
        </w:tc>
        <w:tc>
          <w:tcPr>
            <w:tcW w:w="2741" w:type="pct"/>
            <w:gridSpan w:val="3"/>
            <w:vAlign w:val="center"/>
          </w:tcPr>
          <w:p w14:paraId="779173EA">
            <w:pPr>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氟化物</w:t>
            </w:r>
          </w:p>
        </w:tc>
        <w:tc>
          <w:tcPr>
            <w:tcW w:w="914" w:type="pct"/>
            <w:vAlign w:val="center"/>
          </w:tcPr>
          <w:p w14:paraId="2218C09C">
            <w:pPr>
              <w:adjustRightInd w:val="0"/>
              <w:snapToGrid w:val="0"/>
              <w:jc w:val="center"/>
              <w:rPr>
                <w:rFonts w:ascii="Times New Roman" w:hAnsi="Times New Roman" w:cs="Times New Roman"/>
                <w:color w:val="auto"/>
                <w:sz w:val="21"/>
              </w:rPr>
            </w:pPr>
          </w:p>
        </w:tc>
      </w:tr>
      <w:tr w14:paraId="1A2F2118">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340" w:hRule="atLeast"/>
        </w:trPr>
        <w:tc>
          <w:tcPr>
            <w:tcW w:w="1345" w:type="pct"/>
            <w:gridSpan w:val="2"/>
            <w:vMerge w:val="continue"/>
            <w:vAlign w:val="center"/>
          </w:tcPr>
          <w:p w14:paraId="32918D6C">
            <w:pPr>
              <w:adjustRightInd w:val="0"/>
              <w:snapToGrid w:val="0"/>
              <w:jc w:val="center"/>
              <w:rPr>
                <w:rFonts w:ascii="Times New Roman" w:hAnsi="Times New Roman" w:cs="Times New Roman"/>
                <w:color w:val="auto"/>
                <w:sz w:val="21"/>
              </w:rPr>
            </w:pPr>
          </w:p>
        </w:tc>
        <w:tc>
          <w:tcPr>
            <w:tcW w:w="2741" w:type="pct"/>
            <w:gridSpan w:val="3"/>
            <w:vAlign w:val="center"/>
          </w:tcPr>
          <w:p w14:paraId="14EB2933">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氯化氢</w:t>
            </w:r>
          </w:p>
        </w:tc>
        <w:tc>
          <w:tcPr>
            <w:tcW w:w="914" w:type="pct"/>
            <w:vAlign w:val="center"/>
          </w:tcPr>
          <w:p w14:paraId="1C984F83">
            <w:pPr>
              <w:adjustRightInd w:val="0"/>
              <w:snapToGrid w:val="0"/>
              <w:jc w:val="center"/>
              <w:rPr>
                <w:rFonts w:ascii="Times New Roman" w:hAnsi="Times New Roman" w:cs="Times New Roman"/>
                <w:color w:val="auto"/>
                <w:sz w:val="21"/>
                <w:lang w:eastAsia="zh-CN"/>
              </w:rPr>
            </w:pPr>
          </w:p>
        </w:tc>
      </w:tr>
      <w:bookmarkEnd w:id="1509"/>
    </w:tbl>
    <w:p w14:paraId="5A6F8D10">
      <w:pPr>
        <w:spacing w:line="360" w:lineRule="auto"/>
        <w:jc w:val="center"/>
        <w:rPr>
          <w:rFonts w:ascii="Times New Roman" w:hAnsi="Times New Roman" w:cs="Times New Roman"/>
          <w:b/>
          <w:color w:val="auto"/>
          <w:lang w:eastAsia="zh-CN"/>
        </w:rPr>
      </w:pPr>
      <w:r>
        <w:rPr>
          <w:rFonts w:ascii="Times New Roman" w:hAnsi="Times New Roman" w:cs="Times New Roman"/>
          <w:b/>
          <w:color w:val="auto"/>
          <w:lang w:eastAsia="zh-CN"/>
        </w:rPr>
        <w:t>表</w:t>
      </w:r>
      <w:r>
        <w:rPr>
          <w:rFonts w:hint="eastAsia" w:ascii="Times New Roman" w:hAnsi="Times New Roman" w:cs="Times New Roman"/>
          <w:b/>
          <w:color w:val="auto"/>
          <w:lang w:eastAsia="zh-CN"/>
        </w:rPr>
        <w:t>6</w:t>
      </w:r>
      <w:r>
        <w:rPr>
          <w:rFonts w:ascii="Times New Roman" w:hAnsi="Times New Roman" w:cs="Times New Roman"/>
          <w:b/>
          <w:color w:val="auto"/>
          <w:lang w:eastAsia="zh-CN"/>
        </w:rPr>
        <w:t>.2-</w:t>
      </w:r>
      <w:r>
        <w:rPr>
          <w:rFonts w:hint="eastAsia" w:ascii="Times New Roman" w:hAnsi="Times New Roman" w:cs="Times New Roman"/>
          <w:b/>
          <w:color w:val="auto"/>
          <w:lang w:eastAsia="zh-CN"/>
        </w:rPr>
        <w:t>19</w:t>
      </w:r>
      <w:r>
        <w:rPr>
          <w:rFonts w:ascii="Times New Roman" w:hAnsi="Times New Roman" w:cs="Times New Roman"/>
          <w:b/>
          <w:color w:val="auto"/>
          <w:lang w:eastAsia="zh-CN"/>
        </w:rPr>
        <w:t xml:space="preserve"> 大气污染物无组织排放量核算表</w:t>
      </w:r>
    </w:p>
    <w:tbl>
      <w:tblPr>
        <w:tblStyle w:val="35"/>
        <w:tblW w:w="4967" w:type="pct"/>
        <w:tblInd w:w="0" w:type="dxa"/>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Layout w:type="autofit"/>
        <w:tblCellMar>
          <w:top w:w="0" w:type="dxa"/>
          <w:left w:w="108" w:type="dxa"/>
          <w:bottom w:w="0" w:type="dxa"/>
          <w:right w:w="108" w:type="dxa"/>
        </w:tblCellMar>
      </w:tblPr>
      <w:tblGrid>
        <w:gridCol w:w="2449"/>
        <w:gridCol w:w="4456"/>
        <w:gridCol w:w="2777"/>
      </w:tblGrid>
      <w:tr w14:paraId="444ADE3C">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345" w:hRule="atLeast"/>
        </w:trPr>
        <w:tc>
          <w:tcPr>
            <w:tcW w:w="5000" w:type="pct"/>
            <w:gridSpan w:val="3"/>
            <w:noWrap/>
            <w:vAlign w:val="center"/>
          </w:tcPr>
          <w:p w14:paraId="04838325">
            <w:pPr>
              <w:pStyle w:val="21"/>
              <w:adjustRightInd w:val="0"/>
              <w:jc w:val="center"/>
              <w:rPr>
                <w:rFonts w:ascii="Times New Roman" w:hAnsi="Times New Roman" w:cs="Times New Roman"/>
                <w:color w:val="auto"/>
                <w:sz w:val="21"/>
                <w:szCs w:val="24"/>
                <w:lang w:eastAsia="zh-CN"/>
              </w:rPr>
            </w:pPr>
            <w:bookmarkStart w:id="1510" w:name="_Hlk174367028"/>
            <w:r>
              <w:rPr>
                <w:rFonts w:ascii="Times New Roman" w:hAnsi="Times New Roman" w:cs="Times New Roman"/>
                <w:b/>
                <w:bCs/>
                <w:color w:val="auto"/>
                <w:sz w:val="21"/>
                <w:szCs w:val="24"/>
                <w:lang w:eastAsia="zh-CN"/>
              </w:rPr>
              <w:t>拟建项目无组织排放总计</w:t>
            </w:r>
            <w:r>
              <w:rPr>
                <w:rFonts w:hint="eastAsia" w:ascii="Times New Roman" w:hAnsi="Times New Roman" w:cs="Times New Roman"/>
                <w:b/>
                <w:bCs/>
                <w:color w:val="auto"/>
                <w:sz w:val="21"/>
                <w:szCs w:val="24"/>
                <w:lang w:eastAsia="zh-CN"/>
              </w:rPr>
              <w:t>（t/a）</w:t>
            </w:r>
          </w:p>
        </w:tc>
      </w:tr>
      <w:tr w14:paraId="181BE284">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340" w:hRule="atLeast"/>
        </w:trPr>
        <w:tc>
          <w:tcPr>
            <w:tcW w:w="1265" w:type="pct"/>
            <w:noWrap/>
            <w:vAlign w:val="center"/>
          </w:tcPr>
          <w:p w14:paraId="073C7BB1">
            <w:pPr>
              <w:pStyle w:val="21"/>
              <w:adjustRightInd w:val="0"/>
              <w:jc w:val="center"/>
              <w:rPr>
                <w:rFonts w:ascii="Times New Roman" w:hAnsi="Times New Roman" w:cs="Times New Roman"/>
                <w:color w:val="auto"/>
                <w:sz w:val="21"/>
                <w:szCs w:val="24"/>
              </w:rPr>
            </w:pPr>
            <w:r>
              <w:rPr>
                <w:rFonts w:ascii="Times New Roman" w:hAnsi="Times New Roman" w:cs="Times New Roman"/>
                <w:color w:val="auto"/>
                <w:sz w:val="21"/>
                <w:szCs w:val="24"/>
              </w:rPr>
              <w:t>无组织排放总计</w:t>
            </w:r>
          </w:p>
        </w:tc>
        <w:tc>
          <w:tcPr>
            <w:tcW w:w="2301" w:type="pct"/>
            <w:noWrap/>
            <w:vAlign w:val="center"/>
          </w:tcPr>
          <w:p w14:paraId="3661EB40">
            <w:pPr>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氟化物</w:t>
            </w:r>
          </w:p>
        </w:tc>
        <w:tc>
          <w:tcPr>
            <w:tcW w:w="1434" w:type="pct"/>
            <w:noWrap/>
            <w:vAlign w:val="center"/>
          </w:tcPr>
          <w:p w14:paraId="658AC7B2">
            <w:pPr>
              <w:adjustRightInd w:val="0"/>
              <w:snapToGrid w:val="0"/>
              <w:jc w:val="center"/>
              <w:rPr>
                <w:rFonts w:ascii="Times New Roman" w:hAnsi="Times New Roman" w:cs="Times New Roman"/>
                <w:color w:val="auto"/>
                <w:sz w:val="21"/>
              </w:rPr>
            </w:pPr>
          </w:p>
        </w:tc>
      </w:tr>
      <w:bookmarkEnd w:id="1510"/>
    </w:tbl>
    <w:p w14:paraId="584CCB9B">
      <w:pPr>
        <w:spacing w:line="360" w:lineRule="auto"/>
        <w:jc w:val="center"/>
        <w:rPr>
          <w:rFonts w:ascii="Times New Roman" w:hAnsi="Times New Roman" w:cs="Times New Roman"/>
          <w:b/>
          <w:color w:val="auto"/>
        </w:rPr>
      </w:pPr>
      <w:r>
        <w:rPr>
          <w:rFonts w:ascii="Times New Roman" w:hAnsi="Times New Roman" w:cs="Times New Roman"/>
          <w:b/>
          <w:color w:val="auto"/>
          <w:lang w:eastAsia="zh-CN"/>
        </w:rPr>
        <w:t>表</w:t>
      </w:r>
      <w:r>
        <w:rPr>
          <w:rFonts w:hint="eastAsia" w:ascii="Times New Roman" w:hAnsi="Times New Roman" w:cs="Times New Roman"/>
          <w:b/>
          <w:color w:val="auto"/>
          <w:lang w:eastAsia="zh-CN"/>
        </w:rPr>
        <w:t>6</w:t>
      </w:r>
      <w:r>
        <w:rPr>
          <w:rFonts w:ascii="Times New Roman" w:hAnsi="Times New Roman" w:cs="Times New Roman"/>
          <w:b/>
          <w:color w:val="auto"/>
          <w:lang w:eastAsia="zh-CN"/>
        </w:rPr>
        <w:t>.2-</w:t>
      </w:r>
      <w:r>
        <w:rPr>
          <w:rFonts w:hint="eastAsia" w:ascii="Times New Roman" w:hAnsi="Times New Roman" w:cs="Times New Roman"/>
          <w:b/>
          <w:color w:val="auto"/>
          <w:lang w:eastAsia="zh-CN"/>
        </w:rPr>
        <w:t>20</w:t>
      </w:r>
      <w:r>
        <w:rPr>
          <w:rFonts w:ascii="Times New Roman" w:hAnsi="Times New Roman" w:cs="Times New Roman"/>
          <w:b/>
          <w:color w:val="auto"/>
          <w:lang w:eastAsia="zh-CN"/>
        </w:rPr>
        <w:t xml:space="preserve"> 大气污染物年排放量核算表  单位：t/a</w:t>
      </w:r>
    </w:p>
    <w:tbl>
      <w:tblPr>
        <w:tblStyle w:val="35"/>
        <w:tblW w:w="4933" w:type="pct"/>
        <w:tblInd w:w="0" w:type="dxa"/>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1188"/>
        <w:gridCol w:w="1583"/>
        <w:gridCol w:w="2392"/>
        <w:gridCol w:w="4452"/>
      </w:tblGrid>
      <w:tr w14:paraId="2868613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618" w:type="pct"/>
            <w:noWrap/>
            <w:vAlign w:val="center"/>
          </w:tcPr>
          <w:p w14:paraId="152BCF67">
            <w:pPr>
              <w:adjustRightInd w:val="0"/>
              <w:snapToGrid w:val="0"/>
              <w:jc w:val="center"/>
              <w:rPr>
                <w:rFonts w:ascii="Times New Roman" w:hAnsi="Times New Roman" w:cs="Times New Roman"/>
                <w:b/>
                <w:bCs/>
                <w:color w:val="auto"/>
                <w:sz w:val="21"/>
              </w:rPr>
            </w:pPr>
            <w:bookmarkStart w:id="1511" w:name="_Hlk174367055"/>
            <w:r>
              <w:rPr>
                <w:rFonts w:ascii="Times New Roman" w:hAnsi="Times New Roman" w:cs="Times New Roman"/>
                <w:b/>
                <w:bCs/>
                <w:color w:val="auto"/>
                <w:sz w:val="21"/>
              </w:rPr>
              <w:t>种类</w:t>
            </w:r>
          </w:p>
        </w:tc>
        <w:tc>
          <w:tcPr>
            <w:tcW w:w="2067" w:type="pct"/>
            <w:gridSpan w:val="2"/>
            <w:noWrap/>
            <w:vAlign w:val="center"/>
          </w:tcPr>
          <w:p w14:paraId="4CC070F1">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污染物名称</w:t>
            </w:r>
          </w:p>
        </w:tc>
        <w:tc>
          <w:tcPr>
            <w:tcW w:w="2315" w:type="pct"/>
            <w:vAlign w:val="center"/>
          </w:tcPr>
          <w:p w14:paraId="0DB9B52E">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拟建项目排放量（t/a）</w:t>
            </w:r>
          </w:p>
        </w:tc>
      </w:tr>
      <w:tr w14:paraId="78D3BD6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618" w:type="pct"/>
            <w:vMerge w:val="restart"/>
            <w:noWrap/>
            <w:vAlign w:val="center"/>
          </w:tcPr>
          <w:p w14:paraId="4765EA4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rPr>
              <w:t>废气</w:t>
            </w:r>
          </w:p>
        </w:tc>
        <w:tc>
          <w:tcPr>
            <w:tcW w:w="823" w:type="pct"/>
            <w:vMerge w:val="restart"/>
            <w:vAlign w:val="center"/>
          </w:tcPr>
          <w:p w14:paraId="2BD945DD">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有组织</w:t>
            </w:r>
          </w:p>
        </w:tc>
        <w:tc>
          <w:tcPr>
            <w:tcW w:w="1244" w:type="pct"/>
            <w:vAlign w:val="center"/>
          </w:tcPr>
          <w:p w14:paraId="4959FF3C">
            <w:pPr>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氟化物</w:t>
            </w:r>
          </w:p>
        </w:tc>
        <w:tc>
          <w:tcPr>
            <w:tcW w:w="2315" w:type="pct"/>
            <w:noWrap/>
            <w:vAlign w:val="center"/>
          </w:tcPr>
          <w:p w14:paraId="1CA1735F">
            <w:pPr>
              <w:adjustRightInd w:val="0"/>
              <w:snapToGrid w:val="0"/>
              <w:jc w:val="center"/>
              <w:textAlignment w:val="center"/>
              <w:rPr>
                <w:rFonts w:ascii="Times New Roman" w:hAnsi="Times New Roman" w:cs="Times New Roman"/>
                <w:color w:val="auto"/>
                <w:sz w:val="21"/>
              </w:rPr>
            </w:pPr>
          </w:p>
        </w:tc>
      </w:tr>
      <w:tr w14:paraId="11550D1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618" w:type="pct"/>
            <w:vMerge w:val="continue"/>
            <w:vAlign w:val="center"/>
          </w:tcPr>
          <w:p w14:paraId="6E170E75">
            <w:pPr>
              <w:adjustRightInd w:val="0"/>
              <w:snapToGrid w:val="0"/>
              <w:jc w:val="center"/>
              <w:rPr>
                <w:rFonts w:ascii="Times New Roman" w:hAnsi="Times New Roman" w:cs="Times New Roman"/>
                <w:color w:val="auto"/>
                <w:sz w:val="21"/>
              </w:rPr>
            </w:pPr>
          </w:p>
        </w:tc>
        <w:tc>
          <w:tcPr>
            <w:tcW w:w="823" w:type="pct"/>
            <w:vMerge w:val="continue"/>
            <w:vAlign w:val="center"/>
          </w:tcPr>
          <w:p w14:paraId="0592951F">
            <w:pPr>
              <w:adjustRightInd w:val="0"/>
              <w:snapToGrid w:val="0"/>
              <w:jc w:val="center"/>
              <w:rPr>
                <w:rFonts w:ascii="Times New Roman" w:hAnsi="Times New Roman" w:cs="Times New Roman"/>
                <w:color w:val="auto"/>
                <w:sz w:val="21"/>
              </w:rPr>
            </w:pPr>
          </w:p>
        </w:tc>
        <w:tc>
          <w:tcPr>
            <w:tcW w:w="1244" w:type="pct"/>
            <w:vAlign w:val="center"/>
          </w:tcPr>
          <w:p w14:paraId="636F680D">
            <w:pPr>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氯化氢</w:t>
            </w:r>
          </w:p>
        </w:tc>
        <w:tc>
          <w:tcPr>
            <w:tcW w:w="2315" w:type="pct"/>
            <w:noWrap/>
            <w:vAlign w:val="center"/>
          </w:tcPr>
          <w:p w14:paraId="43F7B7DA">
            <w:pPr>
              <w:adjustRightInd w:val="0"/>
              <w:snapToGrid w:val="0"/>
              <w:jc w:val="center"/>
              <w:rPr>
                <w:rFonts w:ascii="Times New Roman" w:hAnsi="Times New Roman" w:cs="Times New Roman"/>
                <w:color w:val="auto"/>
                <w:sz w:val="21"/>
              </w:rPr>
            </w:pPr>
          </w:p>
        </w:tc>
      </w:tr>
      <w:tr w14:paraId="59B3130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618" w:type="pct"/>
            <w:vMerge w:val="continue"/>
            <w:vAlign w:val="center"/>
          </w:tcPr>
          <w:p w14:paraId="06E35471">
            <w:pPr>
              <w:adjustRightInd w:val="0"/>
              <w:snapToGrid w:val="0"/>
              <w:jc w:val="center"/>
              <w:rPr>
                <w:rFonts w:ascii="Times New Roman" w:hAnsi="Times New Roman" w:cs="Times New Roman"/>
                <w:color w:val="auto"/>
                <w:sz w:val="21"/>
              </w:rPr>
            </w:pPr>
          </w:p>
        </w:tc>
        <w:tc>
          <w:tcPr>
            <w:tcW w:w="823" w:type="pct"/>
            <w:noWrap/>
            <w:vAlign w:val="center"/>
          </w:tcPr>
          <w:p w14:paraId="5A2B31E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无组织</w:t>
            </w:r>
          </w:p>
        </w:tc>
        <w:tc>
          <w:tcPr>
            <w:tcW w:w="1244" w:type="pct"/>
            <w:noWrap/>
            <w:vAlign w:val="center"/>
          </w:tcPr>
          <w:p w14:paraId="4626C70F">
            <w:pPr>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氟化物</w:t>
            </w:r>
          </w:p>
        </w:tc>
        <w:tc>
          <w:tcPr>
            <w:tcW w:w="2315" w:type="pct"/>
            <w:noWrap/>
            <w:vAlign w:val="center"/>
          </w:tcPr>
          <w:p w14:paraId="58AF5740">
            <w:pPr>
              <w:adjustRightInd w:val="0"/>
              <w:snapToGrid w:val="0"/>
              <w:jc w:val="center"/>
              <w:rPr>
                <w:rFonts w:ascii="Times New Roman" w:hAnsi="Times New Roman" w:cs="Times New Roman"/>
                <w:color w:val="auto"/>
                <w:sz w:val="21"/>
              </w:rPr>
            </w:pPr>
          </w:p>
        </w:tc>
      </w:tr>
      <w:tr w14:paraId="4738197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618" w:type="pct"/>
            <w:vMerge w:val="continue"/>
            <w:vAlign w:val="center"/>
          </w:tcPr>
          <w:p w14:paraId="28E51EC0">
            <w:pPr>
              <w:adjustRightInd w:val="0"/>
              <w:snapToGrid w:val="0"/>
              <w:jc w:val="center"/>
              <w:rPr>
                <w:rFonts w:ascii="Times New Roman" w:hAnsi="Times New Roman" w:cs="Times New Roman"/>
                <w:color w:val="auto"/>
                <w:sz w:val="21"/>
              </w:rPr>
            </w:pPr>
          </w:p>
        </w:tc>
        <w:tc>
          <w:tcPr>
            <w:tcW w:w="4382" w:type="pct"/>
            <w:gridSpan w:val="3"/>
            <w:noWrap/>
            <w:vAlign w:val="center"/>
          </w:tcPr>
          <w:p w14:paraId="78D9665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总计</w:t>
            </w:r>
          </w:p>
        </w:tc>
      </w:tr>
      <w:tr w14:paraId="3532DA1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618" w:type="pct"/>
            <w:vMerge w:val="continue"/>
            <w:vAlign w:val="center"/>
          </w:tcPr>
          <w:p w14:paraId="4E356F1A">
            <w:pPr>
              <w:adjustRightInd w:val="0"/>
              <w:snapToGrid w:val="0"/>
              <w:jc w:val="center"/>
              <w:rPr>
                <w:rFonts w:ascii="Times New Roman" w:hAnsi="Times New Roman" w:cs="Times New Roman"/>
                <w:color w:val="auto"/>
                <w:sz w:val="21"/>
              </w:rPr>
            </w:pPr>
          </w:p>
        </w:tc>
        <w:tc>
          <w:tcPr>
            <w:tcW w:w="2067" w:type="pct"/>
            <w:gridSpan w:val="2"/>
            <w:vAlign w:val="center"/>
          </w:tcPr>
          <w:p w14:paraId="72F40ADD">
            <w:pPr>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氟化物</w:t>
            </w:r>
          </w:p>
        </w:tc>
        <w:tc>
          <w:tcPr>
            <w:tcW w:w="2315" w:type="pct"/>
            <w:noWrap/>
            <w:vAlign w:val="center"/>
          </w:tcPr>
          <w:p w14:paraId="1751B8FF">
            <w:pPr>
              <w:adjustRightInd w:val="0"/>
              <w:snapToGrid w:val="0"/>
              <w:jc w:val="center"/>
              <w:rPr>
                <w:rFonts w:ascii="Times New Roman" w:hAnsi="Times New Roman" w:cs="Times New Roman"/>
                <w:color w:val="auto"/>
                <w:sz w:val="21"/>
              </w:rPr>
            </w:pPr>
          </w:p>
        </w:tc>
      </w:tr>
      <w:tr w14:paraId="4E0E895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618" w:type="pct"/>
            <w:vMerge w:val="continue"/>
            <w:vAlign w:val="center"/>
          </w:tcPr>
          <w:p w14:paraId="7AE57AD2">
            <w:pPr>
              <w:adjustRightInd w:val="0"/>
              <w:snapToGrid w:val="0"/>
              <w:jc w:val="center"/>
              <w:rPr>
                <w:rFonts w:ascii="Times New Roman" w:hAnsi="Times New Roman" w:cs="Times New Roman"/>
                <w:color w:val="auto"/>
                <w:sz w:val="21"/>
              </w:rPr>
            </w:pPr>
          </w:p>
        </w:tc>
        <w:tc>
          <w:tcPr>
            <w:tcW w:w="2067" w:type="pct"/>
            <w:gridSpan w:val="2"/>
            <w:vAlign w:val="center"/>
          </w:tcPr>
          <w:p w14:paraId="50A5BBA8">
            <w:pPr>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氯化氢</w:t>
            </w:r>
          </w:p>
        </w:tc>
        <w:tc>
          <w:tcPr>
            <w:tcW w:w="2315" w:type="pct"/>
            <w:noWrap/>
            <w:vAlign w:val="center"/>
          </w:tcPr>
          <w:p w14:paraId="011CEF22">
            <w:pPr>
              <w:adjustRightInd w:val="0"/>
              <w:snapToGrid w:val="0"/>
              <w:jc w:val="center"/>
              <w:rPr>
                <w:rFonts w:ascii="Times New Roman" w:hAnsi="Times New Roman" w:cs="Times New Roman"/>
                <w:color w:val="auto"/>
                <w:sz w:val="21"/>
              </w:rPr>
            </w:pPr>
          </w:p>
        </w:tc>
      </w:tr>
      <w:bookmarkEnd w:id="1511"/>
    </w:tbl>
    <w:p w14:paraId="03E048B2">
      <w:pPr>
        <w:spacing w:line="360" w:lineRule="auto"/>
        <w:ind w:firstLine="482"/>
        <w:outlineLvl w:val="2"/>
        <w:rPr>
          <w:rFonts w:ascii="Times New Roman" w:hAnsi="Times New Roman" w:cs="Times New Roman"/>
          <w:b/>
          <w:bCs/>
          <w:color w:val="auto"/>
          <w:szCs w:val="24"/>
          <w:lang w:eastAsia="zh-CN"/>
        </w:rPr>
      </w:pPr>
      <w:bookmarkStart w:id="1512" w:name="_Toc175164313"/>
      <w:bookmarkStart w:id="1513" w:name="_Toc173743422"/>
      <w:bookmarkStart w:id="1514" w:name="_Toc204515242"/>
      <w:bookmarkStart w:id="1515" w:name="_Toc237508333"/>
      <w:bookmarkStart w:id="1516" w:name="_Toc231828620"/>
      <w:bookmarkStart w:id="1517" w:name="_Toc236641868"/>
      <w:bookmarkStart w:id="1518" w:name="_Toc203927041"/>
      <w:bookmarkStart w:id="1519" w:name="_Toc225784099"/>
      <w:bookmarkStart w:id="1520" w:name="_Toc176513049"/>
      <w:bookmarkStart w:id="1521" w:name="_Toc224674738"/>
      <w:bookmarkStart w:id="1522" w:name="_Toc178602389"/>
      <w:bookmarkStart w:id="1523" w:name="_Toc223425098"/>
      <w:bookmarkStart w:id="1524" w:name="_Toc236641351"/>
      <w:bookmarkStart w:id="1525" w:name="_Toc218784323"/>
      <w:bookmarkStart w:id="1526" w:name="_Toc204448507"/>
      <w:bookmarkStart w:id="1527" w:name="_Toc221900880"/>
      <w:bookmarkStart w:id="1528" w:name="_Toc173740318"/>
      <w:r>
        <w:rPr>
          <w:rFonts w:hint="eastAsia" w:ascii="Times New Roman" w:hAnsi="Times New Roman" w:cs="Times New Roman"/>
          <w:b/>
          <w:bCs/>
          <w:color w:val="auto"/>
          <w:szCs w:val="24"/>
          <w:lang w:eastAsia="zh-CN"/>
        </w:rPr>
        <w:t>6</w:t>
      </w:r>
      <w:r>
        <w:rPr>
          <w:rFonts w:ascii="Times New Roman" w:hAnsi="Times New Roman" w:cs="Times New Roman"/>
          <w:b/>
          <w:bCs/>
          <w:color w:val="auto"/>
          <w:szCs w:val="24"/>
          <w:lang w:eastAsia="zh-CN"/>
        </w:rPr>
        <w:t>.2.</w:t>
      </w:r>
      <w:r>
        <w:rPr>
          <w:rFonts w:hint="eastAsia" w:ascii="Times New Roman" w:hAnsi="Times New Roman" w:cs="Times New Roman"/>
          <w:b/>
          <w:bCs/>
          <w:color w:val="auto"/>
          <w:szCs w:val="24"/>
          <w:lang w:eastAsia="zh-CN"/>
        </w:rPr>
        <w:t>10</w:t>
      </w:r>
      <w:r>
        <w:rPr>
          <w:rFonts w:ascii="Times New Roman" w:hAnsi="Times New Roman" w:cs="Times New Roman"/>
          <w:b/>
          <w:bCs/>
          <w:color w:val="auto"/>
          <w:szCs w:val="24"/>
          <w:lang w:eastAsia="zh-CN"/>
        </w:rPr>
        <w:t xml:space="preserve"> 大气环境影响评价自查表</w:t>
      </w:r>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p>
    <w:p w14:paraId="4E5183F1">
      <w:pPr>
        <w:spacing w:line="360" w:lineRule="auto"/>
        <w:jc w:val="center"/>
        <w:rPr>
          <w:rFonts w:ascii="Times New Roman" w:hAnsi="Times New Roman" w:cs="Times New Roman"/>
          <w:b/>
          <w:color w:val="auto"/>
          <w:szCs w:val="24"/>
          <w:lang w:eastAsia="zh-CN"/>
        </w:rPr>
      </w:pPr>
      <w:r>
        <w:rPr>
          <w:rFonts w:ascii="Times New Roman" w:hAnsi="Times New Roman" w:cs="Times New Roman"/>
          <w:b/>
          <w:color w:val="auto"/>
          <w:szCs w:val="24"/>
          <w:lang w:eastAsia="zh-CN"/>
        </w:rPr>
        <w:t>表</w:t>
      </w:r>
      <w:r>
        <w:rPr>
          <w:rFonts w:hint="eastAsia" w:ascii="Times New Roman" w:hAnsi="Times New Roman" w:cs="Times New Roman"/>
          <w:b/>
          <w:color w:val="auto"/>
          <w:szCs w:val="24"/>
          <w:lang w:eastAsia="zh-CN"/>
        </w:rPr>
        <w:t>6</w:t>
      </w:r>
      <w:r>
        <w:rPr>
          <w:rFonts w:ascii="Times New Roman" w:hAnsi="Times New Roman" w:cs="Times New Roman"/>
          <w:b/>
          <w:color w:val="auto"/>
          <w:szCs w:val="24"/>
          <w:lang w:eastAsia="zh-CN"/>
        </w:rPr>
        <w:t>.2-</w:t>
      </w:r>
      <w:r>
        <w:rPr>
          <w:rFonts w:hint="eastAsia" w:ascii="Times New Roman" w:hAnsi="Times New Roman" w:cs="Times New Roman"/>
          <w:b/>
          <w:color w:val="auto"/>
          <w:szCs w:val="24"/>
          <w:lang w:eastAsia="zh-CN"/>
        </w:rPr>
        <w:t>21</w:t>
      </w:r>
      <w:r>
        <w:rPr>
          <w:rFonts w:ascii="Times New Roman" w:hAnsi="Times New Roman" w:cs="Times New Roman"/>
          <w:b/>
          <w:color w:val="auto"/>
          <w:szCs w:val="24"/>
          <w:lang w:eastAsia="zh-CN"/>
        </w:rPr>
        <w:t xml:space="preserve"> 大气环境影响评价自查表</w:t>
      </w:r>
    </w:p>
    <w:tbl>
      <w:tblPr>
        <w:tblStyle w:val="3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945"/>
        <w:gridCol w:w="2250"/>
        <w:gridCol w:w="967"/>
        <w:gridCol w:w="405"/>
        <w:gridCol w:w="86"/>
        <w:gridCol w:w="230"/>
        <w:gridCol w:w="41"/>
        <w:gridCol w:w="543"/>
        <w:gridCol w:w="53"/>
        <w:gridCol w:w="150"/>
        <w:gridCol w:w="282"/>
        <w:gridCol w:w="236"/>
        <w:gridCol w:w="1258"/>
        <w:gridCol w:w="310"/>
        <w:gridCol w:w="243"/>
        <w:gridCol w:w="29"/>
        <w:gridCol w:w="47"/>
        <w:gridCol w:w="352"/>
        <w:gridCol w:w="53"/>
        <w:gridCol w:w="53"/>
        <w:gridCol w:w="321"/>
        <w:gridCol w:w="119"/>
        <w:gridCol w:w="761"/>
      </w:tblGrid>
      <w:tr w14:paraId="3D1B7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1642" w:type="pct"/>
            <w:gridSpan w:val="2"/>
            <w:vAlign w:val="center"/>
          </w:tcPr>
          <w:p w14:paraId="283FA5FE">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工作内容</w:t>
            </w:r>
          </w:p>
        </w:tc>
        <w:tc>
          <w:tcPr>
            <w:tcW w:w="3358" w:type="pct"/>
            <w:gridSpan w:val="21"/>
            <w:vAlign w:val="center"/>
          </w:tcPr>
          <w:p w14:paraId="2CCFDB44">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自查项目</w:t>
            </w:r>
          </w:p>
        </w:tc>
      </w:tr>
      <w:tr w14:paraId="753A7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1" w:hRule="atLeast"/>
          <w:jc w:val="center"/>
        </w:trPr>
        <w:tc>
          <w:tcPr>
            <w:tcW w:w="486" w:type="pct"/>
            <w:vMerge w:val="restart"/>
            <w:vAlign w:val="center"/>
          </w:tcPr>
          <w:p w14:paraId="61FBD36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评价等级与范围</w:t>
            </w:r>
          </w:p>
        </w:tc>
        <w:tc>
          <w:tcPr>
            <w:tcW w:w="1156" w:type="pct"/>
            <w:vAlign w:val="center"/>
          </w:tcPr>
          <w:p w14:paraId="14EACB9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评价等级</w:t>
            </w:r>
          </w:p>
        </w:tc>
        <w:tc>
          <w:tcPr>
            <w:tcW w:w="1194" w:type="pct"/>
            <w:gridSpan w:val="7"/>
            <w:vAlign w:val="center"/>
          </w:tcPr>
          <w:p w14:paraId="0E908B1D">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一级</w:t>
            </w:r>
            <w:r>
              <w:rPr>
                <w:rFonts w:ascii="Segoe UI Symbol" w:hAnsi="Segoe UI Symbol" w:cs="Segoe UI Symbol"/>
                <w:color w:val="auto"/>
                <w:sz w:val="21"/>
              </w:rPr>
              <w:t>☑</w:t>
            </w:r>
          </w:p>
        </w:tc>
        <w:tc>
          <w:tcPr>
            <w:tcW w:w="1288" w:type="pct"/>
            <w:gridSpan w:val="7"/>
            <w:vAlign w:val="center"/>
          </w:tcPr>
          <w:p w14:paraId="5A35A0A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二级</w:t>
            </w:r>
            <w:r>
              <w:rPr>
                <w:rFonts w:hint="eastAsia" w:ascii="宋体" w:hAnsi="宋体"/>
                <w:color w:val="000000" w:themeColor="text1"/>
                <w:sz w:val="21"/>
                <w14:textFill>
                  <w14:solidFill>
                    <w14:schemeClr w14:val="tx1"/>
                  </w14:solidFill>
                </w14:textFill>
              </w:rPr>
              <w:t>□</w:t>
            </w:r>
          </w:p>
        </w:tc>
        <w:tc>
          <w:tcPr>
            <w:tcW w:w="876" w:type="pct"/>
            <w:gridSpan w:val="7"/>
            <w:vAlign w:val="center"/>
          </w:tcPr>
          <w:p w14:paraId="56617E6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三级</w:t>
            </w:r>
            <w:r>
              <w:rPr>
                <w:rFonts w:hint="eastAsia" w:ascii="宋体" w:hAnsi="宋体"/>
                <w:color w:val="000000" w:themeColor="text1"/>
                <w:sz w:val="21"/>
                <w14:textFill>
                  <w14:solidFill>
                    <w14:schemeClr w14:val="tx1"/>
                  </w14:solidFill>
                </w14:textFill>
              </w:rPr>
              <w:t>□</w:t>
            </w:r>
          </w:p>
        </w:tc>
      </w:tr>
      <w:tr w14:paraId="0F8CF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4" w:hRule="atLeast"/>
          <w:jc w:val="center"/>
        </w:trPr>
        <w:tc>
          <w:tcPr>
            <w:tcW w:w="486" w:type="pct"/>
            <w:vMerge w:val="continue"/>
            <w:vAlign w:val="center"/>
          </w:tcPr>
          <w:p w14:paraId="5E72D542">
            <w:pPr>
              <w:adjustRightInd w:val="0"/>
              <w:snapToGrid w:val="0"/>
              <w:jc w:val="center"/>
              <w:rPr>
                <w:rFonts w:ascii="Times New Roman" w:hAnsi="Times New Roman" w:cs="Times New Roman"/>
                <w:color w:val="auto"/>
                <w:sz w:val="21"/>
              </w:rPr>
            </w:pPr>
          </w:p>
        </w:tc>
        <w:tc>
          <w:tcPr>
            <w:tcW w:w="1156" w:type="pct"/>
            <w:vAlign w:val="center"/>
          </w:tcPr>
          <w:p w14:paraId="766C22D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评价范围</w:t>
            </w:r>
          </w:p>
        </w:tc>
        <w:tc>
          <w:tcPr>
            <w:tcW w:w="1194" w:type="pct"/>
            <w:gridSpan w:val="7"/>
            <w:vAlign w:val="center"/>
          </w:tcPr>
          <w:p w14:paraId="2D82429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边长=50km</w:t>
            </w:r>
            <w:r>
              <w:rPr>
                <w:rFonts w:hint="eastAsia" w:ascii="宋体" w:hAnsi="宋体"/>
                <w:color w:val="000000" w:themeColor="text1"/>
                <w:sz w:val="21"/>
                <w14:textFill>
                  <w14:solidFill>
                    <w14:schemeClr w14:val="tx1"/>
                  </w14:solidFill>
                </w14:textFill>
              </w:rPr>
              <w:t>□</w:t>
            </w:r>
          </w:p>
        </w:tc>
        <w:tc>
          <w:tcPr>
            <w:tcW w:w="1288" w:type="pct"/>
            <w:gridSpan w:val="7"/>
            <w:vAlign w:val="center"/>
          </w:tcPr>
          <w:p w14:paraId="7942621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边长5～50km</w:t>
            </w:r>
            <w:r>
              <w:rPr>
                <w:rFonts w:hint="eastAsia" w:ascii="宋体" w:hAnsi="宋体"/>
                <w:color w:val="000000" w:themeColor="text1"/>
                <w:sz w:val="21"/>
                <w14:textFill>
                  <w14:solidFill>
                    <w14:schemeClr w14:val="tx1"/>
                  </w14:solidFill>
                </w14:textFill>
              </w:rPr>
              <w:t>□</w:t>
            </w:r>
          </w:p>
        </w:tc>
        <w:tc>
          <w:tcPr>
            <w:tcW w:w="876" w:type="pct"/>
            <w:gridSpan w:val="7"/>
            <w:vAlign w:val="center"/>
          </w:tcPr>
          <w:p w14:paraId="02B908A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边长=5 km</w:t>
            </w:r>
            <w:r>
              <w:rPr>
                <w:rFonts w:ascii="Segoe UI Symbol" w:hAnsi="Segoe UI Symbol" w:cs="Segoe UI Symbol"/>
                <w:color w:val="auto"/>
                <w:sz w:val="21"/>
              </w:rPr>
              <w:t>☑</w:t>
            </w:r>
          </w:p>
        </w:tc>
      </w:tr>
      <w:tr w14:paraId="5F7B4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1" w:hRule="atLeast"/>
          <w:jc w:val="center"/>
        </w:trPr>
        <w:tc>
          <w:tcPr>
            <w:tcW w:w="486" w:type="pct"/>
            <w:vMerge w:val="restart"/>
            <w:vAlign w:val="center"/>
          </w:tcPr>
          <w:p w14:paraId="2EBBD53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评价因子</w:t>
            </w:r>
          </w:p>
        </w:tc>
        <w:tc>
          <w:tcPr>
            <w:tcW w:w="1156" w:type="pct"/>
            <w:vAlign w:val="center"/>
          </w:tcPr>
          <w:p w14:paraId="76EE4DC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SO</w:t>
            </w:r>
            <w:r>
              <w:rPr>
                <w:rFonts w:ascii="Times New Roman" w:hAnsi="Times New Roman" w:cs="Times New Roman"/>
                <w:color w:val="auto"/>
                <w:sz w:val="21"/>
                <w:vertAlign w:val="subscript"/>
              </w:rPr>
              <w:t xml:space="preserve">2 </w:t>
            </w:r>
            <w:r>
              <w:rPr>
                <w:rFonts w:ascii="Times New Roman" w:hAnsi="Times New Roman" w:cs="Times New Roman"/>
                <w:color w:val="auto"/>
                <w:sz w:val="21"/>
              </w:rPr>
              <w:t>+NO</w:t>
            </w:r>
            <w:r>
              <w:rPr>
                <w:rFonts w:ascii="Times New Roman" w:hAnsi="Times New Roman" w:cs="Times New Roman"/>
                <w:i/>
                <w:color w:val="auto"/>
                <w:sz w:val="21"/>
                <w:vertAlign w:val="subscript"/>
              </w:rPr>
              <w:t>x</w:t>
            </w:r>
            <w:r>
              <w:rPr>
                <w:rFonts w:ascii="Times New Roman" w:hAnsi="Times New Roman" w:cs="Times New Roman"/>
                <w:color w:val="auto"/>
                <w:sz w:val="21"/>
              </w:rPr>
              <w:t>排放量</w:t>
            </w:r>
          </w:p>
        </w:tc>
        <w:tc>
          <w:tcPr>
            <w:tcW w:w="749" w:type="pct"/>
            <w:gridSpan w:val="3"/>
            <w:vAlign w:val="center"/>
          </w:tcPr>
          <w:p w14:paraId="2F2AC61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 2000t/a</w:t>
            </w:r>
            <w:r>
              <w:rPr>
                <w:rFonts w:hint="eastAsia" w:ascii="宋体" w:hAnsi="宋体"/>
                <w:color w:val="000000" w:themeColor="text1"/>
                <w:sz w:val="21"/>
                <w14:textFill>
                  <w14:solidFill>
                    <w14:schemeClr w14:val="tx1"/>
                  </w14:solidFill>
                </w14:textFill>
              </w:rPr>
              <w:t>□</w:t>
            </w:r>
          </w:p>
        </w:tc>
        <w:tc>
          <w:tcPr>
            <w:tcW w:w="1732" w:type="pct"/>
            <w:gridSpan w:val="11"/>
            <w:vAlign w:val="center"/>
          </w:tcPr>
          <w:p w14:paraId="16FEA23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500~ 2000t/a</w:t>
            </w:r>
            <w:r>
              <w:rPr>
                <w:rFonts w:hint="eastAsia" w:ascii="宋体" w:hAnsi="宋体"/>
                <w:color w:val="000000" w:themeColor="text1"/>
                <w:sz w:val="21"/>
                <w14:textFill>
                  <w14:solidFill>
                    <w14:schemeClr w14:val="tx1"/>
                  </w14:solidFill>
                </w14:textFill>
              </w:rPr>
              <w:t>□</w:t>
            </w:r>
          </w:p>
        </w:tc>
        <w:tc>
          <w:tcPr>
            <w:tcW w:w="876" w:type="pct"/>
            <w:gridSpan w:val="7"/>
            <w:vAlign w:val="center"/>
          </w:tcPr>
          <w:p w14:paraId="41A12E5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＜500 t/a</w:t>
            </w:r>
            <w:r>
              <w:rPr>
                <w:rFonts w:ascii="Segoe UI Symbol" w:hAnsi="Segoe UI Symbol" w:cs="Segoe UI Symbol"/>
                <w:color w:val="auto"/>
                <w:sz w:val="21"/>
              </w:rPr>
              <w:t>☑</w:t>
            </w:r>
          </w:p>
        </w:tc>
      </w:tr>
      <w:tr w14:paraId="46177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3" w:hRule="atLeast"/>
          <w:jc w:val="center"/>
        </w:trPr>
        <w:tc>
          <w:tcPr>
            <w:tcW w:w="486" w:type="pct"/>
            <w:vMerge w:val="continue"/>
            <w:vAlign w:val="center"/>
          </w:tcPr>
          <w:p w14:paraId="17944805">
            <w:pPr>
              <w:adjustRightInd w:val="0"/>
              <w:snapToGrid w:val="0"/>
              <w:jc w:val="center"/>
              <w:rPr>
                <w:rFonts w:ascii="Times New Roman" w:hAnsi="Times New Roman" w:cs="Times New Roman"/>
                <w:color w:val="auto"/>
                <w:sz w:val="21"/>
              </w:rPr>
            </w:pPr>
          </w:p>
        </w:tc>
        <w:tc>
          <w:tcPr>
            <w:tcW w:w="1156" w:type="pct"/>
            <w:vAlign w:val="center"/>
          </w:tcPr>
          <w:p w14:paraId="2E9BA3A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评价因子</w:t>
            </w:r>
          </w:p>
        </w:tc>
        <w:tc>
          <w:tcPr>
            <w:tcW w:w="2342" w:type="pct"/>
            <w:gridSpan w:val="12"/>
            <w:vAlign w:val="center"/>
          </w:tcPr>
          <w:p w14:paraId="01871682">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基本污染物（</w:t>
            </w:r>
            <w:r>
              <w:rPr>
                <w:rFonts w:ascii="Times New Roman" w:hAnsi="Times New Roman" w:cs="Times New Roman"/>
                <w:color w:val="auto"/>
                <w:sz w:val="21"/>
                <w:lang w:eastAsia="zh-CN"/>
              </w:rPr>
              <w:t>SO</w:t>
            </w:r>
            <w:r>
              <w:rPr>
                <w:rFonts w:ascii="Times New Roman" w:hAnsi="Times New Roman" w:cs="Times New Roman"/>
                <w:color w:val="auto"/>
                <w:sz w:val="21"/>
                <w:vertAlign w:val="subscript"/>
                <w:lang w:eastAsia="zh-CN"/>
              </w:rPr>
              <w:t>2</w:t>
            </w:r>
            <w:r>
              <w:rPr>
                <w:rFonts w:ascii="Times New Roman" w:hAnsi="Times New Roman" w:cs="Times New Roman"/>
                <w:color w:val="auto"/>
                <w:sz w:val="21"/>
                <w:lang w:eastAsia="zh-CN"/>
              </w:rPr>
              <w:t>、NO</w:t>
            </w:r>
            <w:r>
              <w:rPr>
                <w:rFonts w:ascii="Times New Roman" w:hAnsi="Times New Roman" w:cs="Times New Roman"/>
                <w:color w:val="auto"/>
                <w:sz w:val="21"/>
                <w:vertAlign w:val="subscript"/>
                <w:lang w:eastAsia="zh-CN"/>
              </w:rPr>
              <w:t>2</w:t>
            </w:r>
            <w:r>
              <w:rPr>
                <w:rFonts w:ascii="Times New Roman" w:hAnsi="Times New Roman" w:cs="Times New Roman"/>
                <w:color w:val="auto"/>
                <w:sz w:val="21"/>
                <w:lang w:eastAsia="zh-CN"/>
              </w:rPr>
              <w:t>、CO、O</w:t>
            </w:r>
            <w:r>
              <w:rPr>
                <w:rFonts w:ascii="Times New Roman" w:hAnsi="Times New Roman" w:cs="Times New Roman"/>
                <w:color w:val="auto"/>
                <w:sz w:val="21"/>
                <w:vertAlign w:val="subscript"/>
                <w:lang w:eastAsia="zh-CN"/>
              </w:rPr>
              <w:t>3</w:t>
            </w:r>
            <w:r>
              <w:rPr>
                <w:rFonts w:ascii="Times New Roman" w:hAnsi="Times New Roman" w:cs="Times New Roman"/>
                <w:color w:val="auto"/>
                <w:sz w:val="21"/>
                <w:lang w:eastAsia="zh-CN"/>
              </w:rPr>
              <w:t>、PM</w:t>
            </w:r>
            <w:r>
              <w:rPr>
                <w:rFonts w:ascii="Times New Roman" w:hAnsi="Times New Roman" w:cs="Times New Roman"/>
                <w:color w:val="auto"/>
                <w:sz w:val="21"/>
                <w:vertAlign w:val="subscript"/>
                <w:lang w:eastAsia="zh-CN"/>
              </w:rPr>
              <w:t>10</w:t>
            </w:r>
            <w:r>
              <w:rPr>
                <w:rFonts w:ascii="Times New Roman" w:hAnsi="Times New Roman" w:cs="Times New Roman"/>
                <w:color w:val="auto"/>
                <w:sz w:val="21"/>
                <w:lang w:eastAsia="zh-CN"/>
              </w:rPr>
              <w:t>、PM</w:t>
            </w:r>
            <w:r>
              <w:rPr>
                <w:rFonts w:ascii="Times New Roman" w:hAnsi="Times New Roman" w:cs="Times New Roman"/>
                <w:color w:val="auto"/>
                <w:sz w:val="21"/>
                <w:vertAlign w:val="subscript"/>
                <w:lang w:eastAsia="zh-CN"/>
              </w:rPr>
              <w:t>2.5</w:t>
            </w:r>
            <w:r>
              <w:rPr>
                <w:rFonts w:hint="eastAsia" w:ascii="Times New Roman" w:hAnsi="Times New Roman" w:cs="Times New Roman"/>
                <w:color w:val="auto"/>
                <w:sz w:val="21"/>
                <w:lang w:eastAsia="zh-CN"/>
              </w:rPr>
              <w:t>）</w:t>
            </w:r>
          </w:p>
          <w:p w14:paraId="23E34F6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其他污染物（</w:t>
            </w:r>
            <w:r>
              <w:rPr>
                <w:rFonts w:hint="eastAsia" w:ascii="Times New Roman" w:hAnsi="Times New Roman" w:cs="Times New Roman"/>
                <w:color w:val="auto"/>
                <w:sz w:val="21"/>
                <w:lang w:eastAsia="zh-CN"/>
              </w:rPr>
              <w:t>氟化物</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氯化氢</w:t>
            </w:r>
            <w:r>
              <w:rPr>
                <w:rFonts w:ascii="Times New Roman" w:hAnsi="Times New Roman" w:cs="Times New Roman"/>
                <w:color w:val="auto"/>
                <w:sz w:val="21"/>
                <w:lang w:eastAsia="zh-CN"/>
              </w:rPr>
              <w:t>）</w:t>
            </w:r>
          </w:p>
        </w:tc>
        <w:tc>
          <w:tcPr>
            <w:tcW w:w="1016" w:type="pct"/>
            <w:gridSpan w:val="9"/>
            <w:vAlign w:val="center"/>
          </w:tcPr>
          <w:p w14:paraId="626B2D8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包括二次PM</w:t>
            </w:r>
            <w:r>
              <w:rPr>
                <w:rFonts w:ascii="Times New Roman" w:hAnsi="Times New Roman" w:cs="Times New Roman"/>
                <w:color w:val="auto"/>
                <w:sz w:val="21"/>
                <w:vertAlign w:val="subscript"/>
              </w:rPr>
              <w:t>2.5</w:t>
            </w:r>
            <w:r>
              <w:rPr>
                <w:rFonts w:ascii="Times New Roman" w:hAnsi="Times New Roman" w:cs="Times New Roman"/>
                <w:color w:val="auto"/>
                <w:sz w:val="21"/>
              </w:rPr>
              <w:t>□</w:t>
            </w:r>
          </w:p>
          <w:p w14:paraId="44BDF2C6">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不包括二次PM</w:t>
            </w:r>
            <w:r>
              <w:rPr>
                <w:rFonts w:ascii="Times New Roman" w:hAnsi="Times New Roman" w:cs="Times New Roman"/>
                <w:color w:val="auto"/>
                <w:sz w:val="21"/>
                <w:vertAlign w:val="subscript"/>
              </w:rPr>
              <w:t>2.5</w:t>
            </w:r>
            <w:r>
              <w:rPr>
                <w:rFonts w:ascii="Segoe UI Symbol" w:hAnsi="Segoe UI Symbol" w:cs="Segoe UI Symbol"/>
                <w:color w:val="auto"/>
                <w:sz w:val="21"/>
              </w:rPr>
              <w:t>☑</w:t>
            </w:r>
          </w:p>
        </w:tc>
      </w:tr>
      <w:tr w14:paraId="0BDFB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1" w:hRule="atLeast"/>
          <w:jc w:val="center"/>
        </w:trPr>
        <w:tc>
          <w:tcPr>
            <w:tcW w:w="486" w:type="pct"/>
            <w:vAlign w:val="center"/>
          </w:tcPr>
          <w:p w14:paraId="0E2D12F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评价标准</w:t>
            </w:r>
          </w:p>
        </w:tc>
        <w:tc>
          <w:tcPr>
            <w:tcW w:w="1156" w:type="pct"/>
            <w:vAlign w:val="center"/>
          </w:tcPr>
          <w:p w14:paraId="723D33D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评价标准</w:t>
            </w:r>
          </w:p>
        </w:tc>
        <w:tc>
          <w:tcPr>
            <w:tcW w:w="888" w:type="pct"/>
            <w:gridSpan w:val="5"/>
            <w:vAlign w:val="center"/>
          </w:tcPr>
          <w:p w14:paraId="30FBB6F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国家标准</w:t>
            </w:r>
            <w:r>
              <w:rPr>
                <w:rFonts w:ascii="Segoe UI Symbol" w:hAnsi="Segoe UI Symbol" w:cs="Segoe UI Symbol"/>
                <w:color w:val="auto"/>
                <w:sz w:val="21"/>
              </w:rPr>
              <w:t>☑</w:t>
            </w:r>
          </w:p>
        </w:tc>
        <w:tc>
          <w:tcPr>
            <w:tcW w:w="1295" w:type="pct"/>
            <w:gridSpan w:val="6"/>
            <w:vAlign w:val="center"/>
          </w:tcPr>
          <w:p w14:paraId="43A63FF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地方标准</w:t>
            </w:r>
            <w:r>
              <w:rPr>
                <w:rFonts w:ascii="Times New Roman" w:hAnsi="Times New Roman" w:cs="Times New Roman"/>
                <w:color w:val="auto"/>
                <w:sz w:val="21"/>
                <w:lang w:eastAsia="zh-CN"/>
              </w:rPr>
              <w:t>□</w:t>
            </w:r>
          </w:p>
        </w:tc>
        <w:tc>
          <w:tcPr>
            <w:tcW w:w="531" w:type="pct"/>
            <w:gridSpan w:val="6"/>
            <w:vAlign w:val="center"/>
          </w:tcPr>
          <w:p w14:paraId="5BF0258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附录D</w:t>
            </w:r>
            <w:r>
              <w:rPr>
                <w:rFonts w:ascii="Segoe UI Symbol" w:hAnsi="Segoe UI Symbol" w:cs="Segoe UI Symbol"/>
                <w:color w:val="auto"/>
                <w:sz w:val="21"/>
              </w:rPr>
              <w:t>☑</w:t>
            </w:r>
          </w:p>
        </w:tc>
        <w:tc>
          <w:tcPr>
            <w:tcW w:w="644" w:type="pct"/>
            <w:gridSpan w:val="4"/>
            <w:vAlign w:val="center"/>
          </w:tcPr>
          <w:p w14:paraId="26DD1E4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其他标准</w:t>
            </w:r>
            <w:r>
              <w:rPr>
                <w:rFonts w:ascii="Segoe UI Symbol" w:hAnsi="Segoe UI Symbol" w:cs="Segoe UI Symbol"/>
                <w:color w:val="auto"/>
                <w:sz w:val="21"/>
                <w:lang w:eastAsia="zh-CN"/>
              </w:rPr>
              <w:t>☑</w:t>
            </w:r>
          </w:p>
        </w:tc>
      </w:tr>
      <w:tr w14:paraId="1CE3D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2" w:hRule="atLeast"/>
          <w:jc w:val="center"/>
        </w:trPr>
        <w:tc>
          <w:tcPr>
            <w:tcW w:w="486" w:type="pct"/>
            <w:vMerge w:val="restart"/>
            <w:vAlign w:val="center"/>
          </w:tcPr>
          <w:p w14:paraId="20E4DAE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现状评价</w:t>
            </w:r>
          </w:p>
        </w:tc>
        <w:tc>
          <w:tcPr>
            <w:tcW w:w="1156" w:type="pct"/>
            <w:vAlign w:val="center"/>
          </w:tcPr>
          <w:p w14:paraId="06AFA57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环境功能区</w:t>
            </w:r>
          </w:p>
        </w:tc>
        <w:tc>
          <w:tcPr>
            <w:tcW w:w="1416" w:type="pct"/>
            <w:gridSpan w:val="9"/>
            <w:vAlign w:val="center"/>
          </w:tcPr>
          <w:p w14:paraId="1B6AB6B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一类区</w:t>
            </w:r>
            <w:r>
              <w:rPr>
                <w:rFonts w:hint="eastAsia" w:ascii="宋体" w:hAnsi="宋体"/>
                <w:color w:val="000000" w:themeColor="text1"/>
                <w:sz w:val="21"/>
                <w14:textFill>
                  <w14:solidFill>
                    <w14:schemeClr w14:val="tx1"/>
                  </w14:solidFill>
                </w14:textFill>
              </w:rPr>
              <w:t>□</w:t>
            </w:r>
          </w:p>
        </w:tc>
        <w:tc>
          <w:tcPr>
            <w:tcW w:w="1066" w:type="pct"/>
            <w:gridSpan w:val="5"/>
            <w:vAlign w:val="center"/>
          </w:tcPr>
          <w:p w14:paraId="67F176E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二类区</w:t>
            </w:r>
            <w:r>
              <w:rPr>
                <w:rFonts w:ascii="Segoe UI Symbol" w:hAnsi="Segoe UI Symbol" w:cs="Segoe UI Symbol"/>
                <w:color w:val="auto"/>
                <w:sz w:val="21"/>
              </w:rPr>
              <w:t>☑</w:t>
            </w:r>
          </w:p>
        </w:tc>
        <w:tc>
          <w:tcPr>
            <w:tcW w:w="876" w:type="pct"/>
            <w:gridSpan w:val="7"/>
            <w:vAlign w:val="center"/>
          </w:tcPr>
          <w:p w14:paraId="356C757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一类区和二类区□</w:t>
            </w:r>
          </w:p>
        </w:tc>
      </w:tr>
      <w:tr w14:paraId="2E7C6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1" w:hRule="atLeast"/>
          <w:jc w:val="center"/>
        </w:trPr>
        <w:tc>
          <w:tcPr>
            <w:tcW w:w="486" w:type="pct"/>
            <w:vMerge w:val="continue"/>
            <w:vAlign w:val="center"/>
          </w:tcPr>
          <w:p w14:paraId="6B5D7857">
            <w:pPr>
              <w:adjustRightInd w:val="0"/>
              <w:snapToGrid w:val="0"/>
              <w:jc w:val="center"/>
              <w:rPr>
                <w:rFonts w:ascii="Times New Roman" w:hAnsi="Times New Roman" w:cs="Times New Roman"/>
                <w:color w:val="auto"/>
                <w:sz w:val="21"/>
              </w:rPr>
            </w:pPr>
          </w:p>
        </w:tc>
        <w:tc>
          <w:tcPr>
            <w:tcW w:w="1156" w:type="pct"/>
            <w:vAlign w:val="center"/>
          </w:tcPr>
          <w:p w14:paraId="7BDE830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评价基准年</w:t>
            </w:r>
          </w:p>
        </w:tc>
        <w:tc>
          <w:tcPr>
            <w:tcW w:w="3358" w:type="pct"/>
            <w:gridSpan w:val="21"/>
            <w:vAlign w:val="center"/>
          </w:tcPr>
          <w:p w14:paraId="2254E90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（202</w:t>
            </w:r>
            <w:r>
              <w:rPr>
                <w:rFonts w:hint="eastAsia" w:ascii="Times New Roman" w:hAnsi="Times New Roman" w:cs="Times New Roman"/>
                <w:color w:val="auto"/>
                <w:sz w:val="21"/>
                <w:lang w:eastAsia="zh-CN"/>
              </w:rPr>
              <w:t>3</w:t>
            </w:r>
            <w:r>
              <w:rPr>
                <w:rFonts w:ascii="Times New Roman" w:hAnsi="Times New Roman" w:cs="Times New Roman"/>
                <w:color w:val="auto"/>
                <w:sz w:val="21"/>
              </w:rPr>
              <w:t>）年</w:t>
            </w:r>
          </w:p>
        </w:tc>
      </w:tr>
      <w:tr w14:paraId="60C85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1" w:hRule="atLeast"/>
          <w:jc w:val="center"/>
        </w:trPr>
        <w:tc>
          <w:tcPr>
            <w:tcW w:w="486" w:type="pct"/>
            <w:vMerge w:val="continue"/>
            <w:vAlign w:val="center"/>
          </w:tcPr>
          <w:p w14:paraId="760B392C">
            <w:pPr>
              <w:adjustRightInd w:val="0"/>
              <w:snapToGrid w:val="0"/>
              <w:jc w:val="center"/>
              <w:rPr>
                <w:rFonts w:ascii="Times New Roman" w:hAnsi="Times New Roman" w:cs="Times New Roman"/>
                <w:color w:val="auto"/>
                <w:sz w:val="21"/>
              </w:rPr>
            </w:pPr>
          </w:p>
        </w:tc>
        <w:tc>
          <w:tcPr>
            <w:tcW w:w="1156" w:type="pct"/>
            <w:vAlign w:val="center"/>
          </w:tcPr>
          <w:p w14:paraId="279D56EE">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环境空气质量现状调查数据来源</w:t>
            </w:r>
          </w:p>
        </w:tc>
        <w:tc>
          <w:tcPr>
            <w:tcW w:w="1167" w:type="pct"/>
            <w:gridSpan w:val="6"/>
            <w:vAlign w:val="center"/>
          </w:tcPr>
          <w:p w14:paraId="5A1CAB5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长期例行监测数据</w:t>
            </w:r>
            <w:r>
              <w:rPr>
                <w:rFonts w:hint="eastAsia" w:ascii="宋体" w:hAnsi="宋体"/>
                <w:color w:val="000000" w:themeColor="text1"/>
                <w:sz w:val="21"/>
                <w14:textFill>
                  <w14:solidFill>
                    <w14:schemeClr w14:val="tx1"/>
                  </w14:solidFill>
                </w14:textFill>
              </w:rPr>
              <w:t>□</w:t>
            </w:r>
          </w:p>
        </w:tc>
        <w:tc>
          <w:tcPr>
            <w:tcW w:w="1314" w:type="pct"/>
            <w:gridSpan w:val="8"/>
            <w:vAlign w:val="center"/>
          </w:tcPr>
          <w:p w14:paraId="18E73D3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主管部门发布的数据</w:t>
            </w:r>
            <w:r>
              <w:rPr>
                <w:rFonts w:ascii="Segoe UI Symbol" w:hAnsi="Segoe UI Symbol" w:cs="Segoe UI Symbol"/>
                <w:color w:val="auto"/>
                <w:sz w:val="21"/>
              </w:rPr>
              <w:t>☑</w:t>
            </w:r>
          </w:p>
        </w:tc>
        <w:tc>
          <w:tcPr>
            <w:tcW w:w="876" w:type="pct"/>
            <w:gridSpan w:val="7"/>
            <w:vAlign w:val="center"/>
          </w:tcPr>
          <w:p w14:paraId="7A2461C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现状补充监测</w:t>
            </w:r>
            <w:r>
              <w:rPr>
                <w:rFonts w:ascii="Segoe UI Symbol" w:hAnsi="Segoe UI Symbol" w:cs="Segoe UI Symbol"/>
                <w:color w:val="auto"/>
                <w:sz w:val="21"/>
              </w:rPr>
              <w:t>☑</w:t>
            </w:r>
          </w:p>
        </w:tc>
      </w:tr>
      <w:tr w14:paraId="089DA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1" w:hRule="atLeast"/>
          <w:jc w:val="center"/>
        </w:trPr>
        <w:tc>
          <w:tcPr>
            <w:tcW w:w="486" w:type="pct"/>
            <w:vMerge w:val="continue"/>
            <w:vAlign w:val="center"/>
          </w:tcPr>
          <w:p w14:paraId="7FDA7BCB">
            <w:pPr>
              <w:adjustRightInd w:val="0"/>
              <w:snapToGrid w:val="0"/>
              <w:jc w:val="center"/>
              <w:rPr>
                <w:rFonts w:ascii="Times New Roman" w:hAnsi="Times New Roman" w:cs="Times New Roman"/>
                <w:color w:val="auto"/>
                <w:sz w:val="21"/>
              </w:rPr>
            </w:pPr>
          </w:p>
        </w:tc>
        <w:tc>
          <w:tcPr>
            <w:tcW w:w="1156" w:type="pct"/>
            <w:vAlign w:val="center"/>
          </w:tcPr>
          <w:p w14:paraId="7BCC28A8">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现状评价</w:t>
            </w:r>
          </w:p>
        </w:tc>
        <w:tc>
          <w:tcPr>
            <w:tcW w:w="2183" w:type="pct"/>
            <w:gridSpan w:val="11"/>
            <w:vAlign w:val="center"/>
          </w:tcPr>
          <w:p w14:paraId="6240B66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达标区</w:t>
            </w:r>
            <w:r>
              <w:rPr>
                <w:rFonts w:ascii="Times New Roman" w:hAnsi="Times New Roman" w:cs="Times New Roman"/>
                <w:color w:val="auto"/>
                <w:sz w:val="21"/>
                <w:lang w:eastAsia="zh-CN"/>
              </w:rPr>
              <w:t>□</w:t>
            </w:r>
          </w:p>
        </w:tc>
        <w:tc>
          <w:tcPr>
            <w:tcW w:w="1175" w:type="pct"/>
            <w:gridSpan w:val="10"/>
            <w:vAlign w:val="center"/>
          </w:tcPr>
          <w:p w14:paraId="67A38E7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不达标区</w:t>
            </w:r>
            <w:r>
              <w:rPr>
                <w:rFonts w:ascii="Segoe UI Symbol" w:hAnsi="Segoe UI Symbol" w:cs="Segoe UI Symbol"/>
                <w:color w:val="auto"/>
                <w:sz w:val="21"/>
                <w:lang w:eastAsia="zh-CN"/>
              </w:rPr>
              <w:t>☑</w:t>
            </w:r>
          </w:p>
        </w:tc>
      </w:tr>
      <w:tr w14:paraId="55B92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99" w:hRule="atLeast"/>
          <w:jc w:val="center"/>
        </w:trPr>
        <w:tc>
          <w:tcPr>
            <w:tcW w:w="486" w:type="pct"/>
            <w:vAlign w:val="center"/>
          </w:tcPr>
          <w:p w14:paraId="228712E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污染源调查</w:t>
            </w:r>
          </w:p>
        </w:tc>
        <w:tc>
          <w:tcPr>
            <w:tcW w:w="1156" w:type="pct"/>
            <w:vAlign w:val="center"/>
          </w:tcPr>
          <w:p w14:paraId="32ED2EC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调查内容</w:t>
            </w:r>
          </w:p>
        </w:tc>
        <w:tc>
          <w:tcPr>
            <w:tcW w:w="1271" w:type="pct"/>
            <w:gridSpan w:val="8"/>
            <w:vAlign w:val="center"/>
          </w:tcPr>
          <w:p w14:paraId="5028D36C">
            <w:pPr>
              <w:adjustRightInd w:val="0"/>
              <w:snapToGrid w:val="0"/>
              <w:jc w:val="center"/>
              <w:rPr>
                <w:rFonts w:ascii="Times New Roman" w:hAnsi="Times New Roman" w:cs="Times New Roman"/>
                <w:b/>
                <w:color w:val="auto"/>
                <w:sz w:val="21"/>
                <w:lang w:eastAsia="zh-CN"/>
              </w:rPr>
            </w:pPr>
            <w:r>
              <w:rPr>
                <w:rFonts w:ascii="Times New Roman" w:hAnsi="Times New Roman" w:cs="Times New Roman"/>
                <w:color w:val="auto"/>
                <w:sz w:val="21"/>
                <w:lang w:eastAsia="zh-CN"/>
              </w:rPr>
              <w:t>本项目正常排放源</w:t>
            </w:r>
            <w:r>
              <w:rPr>
                <w:rFonts w:ascii="Segoe UI Symbol" w:hAnsi="Segoe UI Symbol" w:cs="Segoe UI Symbol"/>
                <w:color w:val="auto"/>
                <w:sz w:val="21"/>
                <w:lang w:eastAsia="zh-CN"/>
              </w:rPr>
              <w:t>☑</w:t>
            </w:r>
          </w:p>
          <w:p w14:paraId="4943C07C">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本项目非正常排放源</w:t>
            </w:r>
            <w:r>
              <w:rPr>
                <w:rFonts w:ascii="Segoe UI Symbol" w:hAnsi="Segoe UI Symbol" w:cs="Segoe UI Symbol"/>
                <w:color w:val="auto"/>
                <w:sz w:val="21"/>
                <w:lang w:eastAsia="zh-CN"/>
              </w:rPr>
              <w:t>☑</w:t>
            </w:r>
          </w:p>
          <w:p w14:paraId="473C1E4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现有污染源</w:t>
            </w:r>
            <w:r>
              <w:rPr>
                <w:rFonts w:hint="eastAsia" w:ascii="宋体" w:hAnsi="宋体"/>
                <w:color w:val="000000" w:themeColor="text1"/>
                <w:sz w:val="21"/>
                <w14:textFill>
                  <w14:solidFill>
                    <w14:schemeClr w14:val="tx1"/>
                  </w14:solidFill>
                </w14:textFill>
              </w:rPr>
              <w:t>□</w:t>
            </w:r>
          </w:p>
        </w:tc>
        <w:tc>
          <w:tcPr>
            <w:tcW w:w="912" w:type="pct"/>
            <w:gridSpan w:val="3"/>
            <w:vAlign w:val="center"/>
          </w:tcPr>
          <w:p w14:paraId="52DD51D2">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rPr>
              <w:t>拟替代的污染源</w:t>
            </w:r>
          </w:p>
          <w:p w14:paraId="686168D8">
            <w:pPr>
              <w:adjustRightInd w:val="0"/>
              <w:snapToGrid w:val="0"/>
              <w:jc w:val="center"/>
              <w:rPr>
                <w:rFonts w:ascii="Times New Roman" w:hAnsi="Times New Roman" w:cs="Times New Roman"/>
                <w:color w:val="auto"/>
                <w:sz w:val="21"/>
              </w:rPr>
            </w:pPr>
            <w:r>
              <w:rPr>
                <w:rFonts w:hint="eastAsia" w:ascii="宋体" w:hAnsi="宋体"/>
                <w:color w:val="000000" w:themeColor="text1"/>
                <w:sz w:val="21"/>
                <w14:textFill>
                  <w14:solidFill>
                    <w14:schemeClr w14:val="tx1"/>
                  </w14:solidFill>
                </w14:textFill>
              </w:rPr>
              <w:t>□</w:t>
            </w:r>
          </w:p>
        </w:tc>
        <w:tc>
          <w:tcPr>
            <w:tcW w:w="558" w:type="pct"/>
            <w:gridSpan w:val="7"/>
            <w:vAlign w:val="center"/>
          </w:tcPr>
          <w:p w14:paraId="7C002060">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其他在建、拟建项目污染源</w:t>
            </w:r>
            <w:r>
              <w:rPr>
                <w:rFonts w:ascii="Segoe UI Symbol" w:hAnsi="Segoe UI Symbol" w:cs="Segoe UI Symbol"/>
                <w:color w:val="auto"/>
                <w:sz w:val="21"/>
                <w:lang w:eastAsia="zh-CN"/>
              </w:rPr>
              <w:t>☑</w:t>
            </w:r>
          </w:p>
        </w:tc>
        <w:tc>
          <w:tcPr>
            <w:tcW w:w="617" w:type="pct"/>
            <w:gridSpan w:val="3"/>
            <w:vAlign w:val="center"/>
          </w:tcPr>
          <w:p w14:paraId="2BE6F10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区域污染源</w:t>
            </w:r>
            <w:r>
              <w:rPr>
                <w:rFonts w:hint="eastAsia" w:ascii="宋体" w:hAnsi="宋体"/>
                <w:color w:val="000000" w:themeColor="text1"/>
                <w:sz w:val="21"/>
                <w14:textFill>
                  <w14:solidFill>
                    <w14:schemeClr w14:val="tx1"/>
                  </w14:solidFill>
                </w14:textFill>
              </w:rPr>
              <w:t>□</w:t>
            </w:r>
          </w:p>
        </w:tc>
      </w:tr>
      <w:tr w14:paraId="31305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1" w:hRule="atLeast"/>
          <w:jc w:val="center"/>
        </w:trPr>
        <w:tc>
          <w:tcPr>
            <w:tcW w:w="486" w:type="pct"/>
            <w:vMerge w:val="restart"/>
            <w:vAlign w:val="center"/>
          </w:tcPr>
          <w:p w14:paraId="3B23CBAB">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大气环境影响预测与评价</w:t>
            </w:r>
          </w:p>
        </w:tc>
        <w:tc>
          <w:tcPr>
            <w:tcW w:w="1156" w:type="pct"/>
            <w:vAlign w:val="center"/>
          </w:tcPr>
          <w:p w14:paraId="67493DE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预测模型</w:t>
            </w:r>
          </w:p>
        </w:tc>
        <w:tc>
          <w:tcPr>
            <w:tcW w:w="497" w:type="pct"/>
            <w:vAlign w:val="center"/>
          </w:tcPr>
          <w:p w14:paraId="7FD8BE8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AERMOD</w:t>
            </w:r>
          </w:p>
          <w:p w14:paraId="391130CF">
            <w:pPr>
              <w:adjustRightInd w:val="0"/>
              <w:snapToGrid w:val="0"/>
              <w:jc w:val="center"/>
              <w:rPr>
                <w:rFonts w:ascii="Times New Roman" w:hAnsi="Times New Roman" w:cs="Times New Roman"/>
                <w:color w:val="auto"/>
                <w:sz w:val="21"/>
              </w:rPr>
            </w:pPr>
            <w:r>
              <w:rPr>
                <w:rFonts w:ascii="Segoe UI Symbol" w:hAnsi="Segoe UI Symbol" w:cs="Segoe UI Symbol"/>
                <w:color w:val="auto"/>
                <w:sz w:val="21"/>
              </w:rPr>
              <w:t>☑</w:t>
            </w:r>
          </w:p>
        </w:tc>
        <w:tc>
          <w:tcPr>
            <w:tcW w:w="370" w:type="pct"/>
            <w:gridSpan w:val="3"/>
            <w:vAlign w:val="center"/>
          </w:tcPr>
          <w:p w14:paraId="638A35D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ADMS</w:t>
            </w:r>
          </w:p>
          <w:p w14:paraId="48412FC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w:t>
            </w:r>
          </w:p>
        </w:tc>
        <w:tc>
          <w:tcPr>
            <w:tcW w:w="670" w:type="pct"/>
            <w:gridSpan w:val="6"/>
            <w:vAlign w:val="center"/>
          </w:tcPr>
          <w:p w14:paraId="07D2027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AUSTAL2000</w:t>
            </w:r>
          </w:p>
          <w:p w14:paraId="1EB552A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w:t>
            </w:r>
          </w:p>
        </w:tc>
        <w:tc>
          <w:tcPr>
            <w:tcW w:w="646" w:type="pct"/>
            <w:vAlign w:val="center"/>
          </w:tcPr>
          <w:p w14:paraId="2D312FE1">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EDMS/AEDT</w:t>
            </w:r>
          </w:p>
          <w:p w14:paraId="5306A8B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w:t>
            </w:r>
          </w:p>
        </w:tc>
        <w:tc>
          <w:tcPr>
            <w:tcW w:w="504" w:type="pct"/>
            <w:gridSpan w:val="5"/>
            <w:vAlign w:val="center"/>
          </w:tcPr>
          <w:p w14:paraId="4182AC5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CALPUFF</w:t>
            </w:r>
          </w:p>
          <w:p w14:paraId="4D19C91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w:t>
            </w:r>
          </w:p>
        </w:tc>
        <w:tc>
          <w:tcPr>
            <w:tcW w:w="280" w:type="pct"/>
            <w:gridSpan w:val="4"/>
            <w:vAlign w:val="center"/>
          </w:tcPr>
          <w:p w14:paraId="71434DA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网格模型</w:t>
            </w:r>
          </w:p>
          <w:p w14:paraId="3E067CD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w:t>
            </w:r>
          </w:p>
        </w:tc>
        <w:tc>
          <w:tcPr>
            <w:tcW w:w="390" w:type="pct"/>
            <w:vAlign w:val="center"/>
          </w:tcPr>
          <w:p w14:paraId="19EF620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其他</w:t>
            </w:r>
          </w:p>
          <w:p w14:paraId="0F9062F0">
            <w:pPr>
              <w:adjustRightInd w:val="0"/>
              <w:snapToGrid w:val="0"/>
              <w:jc w:val="center"/>
              <w:rPr>
                <w:rFonts w:ascii="Times New Roman" w:hAnsi="Times New Roman" w:cs="Times New Roman"/>
                <w:color w:val="auto"/>
                <w:sz w:val="21"/>
              </w:rPr>
            </w:pPr>
            <w:r>
              <w:rPr>
                <w:rFonts w:ascii="Segoe UI Symbol" w:hAnsi="Segoe UI Symbol" w:cs="Segoe UI Symbol"/>
                <w:color w:val="auto"/>
                <w:sz w:val="21"/>
              </w:rPr>
              <w:t>☑</w:t>
            </w:r>
          </w:p>
        </w:tc>
      </w:tr>
      <w:tr w14:paraId="60587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2" w:hRule="atLeast"/>
          <w:jc w:val="center"/>
        </w:trPr>
        <w:tc>
          <w:tcPr>
            <w:tcW w:w="486" w:type="pct"/>
            <w:vMerge w:val="continue"/>
            <w:vAlign w:val="center"/>
          </w:tcPr>
          <w:p w14:paraId="261724CA">
            <w:pPr>
              <w:adjustRightInd w:val="0"/>
              <w:snapToGrid w:val="0"/>
              <w:jc w:val="center"/>
              <w:rPr>
                <w:rFonts w:ascii="Times New Roman" w:hAnsi="Times New Roman" w:cs="Times New Roman"/>
                <w:color w:val="auto"/>
                <w:sz w:val="21"/>
              </w:rPr>
            </w:pPr>
          </w:p>
        </w:tc>
        <w:tc>
          <w:tcPr>
            <w:tcW w:w="1156" w:type="pct"/>
            <w:vAlign w:val="center"/>
          </w:tcPr>
          <w:p w14:paraId="60EB2DD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预测范围</w:t>
            </w:r>
          </w:p>
        </w:tc>
        <w:tc>
          <w:tcPr>
            <w:tcW w:w="867" w:type="pct"/>
            <w:gridSpan w:val="4"/>
            <w:vAlign w:val="center"/>
          </w:tcPr>
          <w:p w14:paraId="3949ECB1">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边长≥50km□</w:t>
            </w:r>
          </w:p>
        </w:tc>
        <w:tc>
          <w:tcPr>
            <w:tcW w:w="1600" w:type="pct"/>
            <w:gridSpan w:val="9"/>
            <w:vAlign w:val="center"/>
          </w:tcPr>
          <w:p w14:paraId="640A118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边长5～50km□</w:t>
            </w:r>
          </w:p>
        </w:tc>
        <w:tc>
          <w:tcPr>
            <w:tcW w:w="892" w:type="pct"/>
            <w:gridSpan w:val="8"/>
            <w:vAlign w:val="center"/>
          </w:tcPr>
          <w:p w14:paraId="714E351D">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边长=5 km</w:t>
            </w:r>
            <w:r>
              <w:rPr>
                <w:rFonts w:ascii="Segoe UI Symbol" w:hAnsi="Segoe UI Symbol" w:cs="Segoe UI Symbol"/>
                <w:color w:val="auto"/>
                <w:sz w:val="21"/>
              </w:rPr>
              <w:t>☑</w:t>
            </w:r>
          </w:p>
        </w:tc>
      </w:tr>
      <w:tr w14:paraId="4987A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6" w:hRule="atLeast"/>
          <w:jc w:val="center"/>
        </w:trPr>
        <w:tc>
          <w:tcPr>
            <w:tcW w:w="486" w:type="pct"/>
            <w:vMerge w:val="continue"/>
            <w:vAlign w:val="center"/>
          </w:tcPr>
          <w:p w14:paraId="3DB36B96">
            <w:pPr>
              <w:adjustRightInd w:val="0"/>
              <w:snapToGrid w:val="0"/>
              <w:jc w:val="center"/>
              <w:rPr>
                <w:rFonts w:ascii="Times New Roman" w:hAnsi="Times New Roman" w:cs="Times New Roman"/>
                <w:color w:val="auto"/>
                <w:sz w:val="21"/>
              </w:rPr>
            </w:pPr>
          </w:p>
        </w:tc>
        <w:tc>
          <w:tcPr>
            <w:tcW w:w="1156" w:type="pct"/>
            <w:vAlign w:val="center"/>
          </w:tcPr>
          <w:p w14:paraId="27332D9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预测因子</w:t>
            </w:r>
          </w:p>
        </w:tc>
        <w:tc>
          <w:tcPr>
            <w:tcW w:w="2183" w:type="pct"/>
            <w:gridSpan w:val="11"/>
            <w:vAlign w:val="center"/>
          </w:tcPr>
          <w:p w14:paraId="7167BF82">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预测因子（</w:t>
            </w:r>
            <w:r>
              <w:rPr>
                <w:rFonts w:hint="eastAsia" w:ascii="Times New Roman" w:hAnsi="Times New Roman" w:cs="Times New Roman"/>
                <w:color w:val="auto"/>
                <w:sz w:val="21"/>
                <w:lang w:eastAsia="zh-CN"/>
              </w:rPr>
              <w:t>氟化物</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氯化氢</w:t>
            </w:r>
            <w:r>
              <w:rPr>
                <w:rFonts w:ascii="Times New Roman" w:hAnsi="Times New Roman" w:cs="Times New Roman"/>
                <w:color w:val="auto"/>
                <w:sz w:val="21"/>
                <w:lang w:eastAsia="zh-CN"/>
              </w:rPr>
              <w:t>）</w:t>
            </w:r>
          </w:p>
        </w:tc>
        <w:tc>
          <w:tcPr>
            <w:tcW w:w="1175" w:type="pct"/>
            <w:gridSpan w:val="10"/>
            <w:vAlign w:val="center"/>
          </w:tcPr>
          <w:p w14:paraId="342AC208">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包括二次PM</w:t>
            </w:r>
            <w:r>
              <w:rPr>
                <w:rFonts w:ascii="Times New Roman" w:hAnsi="Times New Roman" w:cs="Times New Roman"/>
                <w:color w:val="auto"/>
                <w:sz w:val="21"/>
                <w:vertAlign w:val="subscript"/>
              </w:rPr>
              <w:t>2.5</w:t>
            </w:r>
            <w:r>
              <w:rPr>
                <w:rFonts w:ascii="Times New Roman" w:hAnsi="Times New Roman" w:cs="Times New Roman"/>
                <w:color w:val="auto"/>
                <w:sz w:val="21"/>
              </w:rPr>
              <w:t>□</w:t>
            </w:r>
          </w:p>
          <w:p w14:paraId="676284A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不包括二次PM</w:t>
            </w:r>
            <w:r>
              <w:rPr>
                <w:rFonts w:ascii="Times New Roman" w:hAnsi="Times New Roman" w:cs="Times New Roman"/>
                <w:color w:val="auto"/>
                <w:sz w:val="21"/>
                <w:vertAlign w:val="subscript"/>
              </w:rPr>
              <w:t>2.5</w:t>
            </w:r>
            <w:r>
              <w:rPr>
                <w:rFonts w:ascii="Segoe UI Symbol" w:hAnsi="Segoe UI Symbol" w:cs="Segoe UI Symbol"/>
                <w:color w:val="auto"/>
                <w:sz w:val="21"/>
              </w:rPr>
              <w:t>☑</w:t>
            </w:r>
          </w:p>
        </w:tc>
      </w:tr>
      <w:tr w14:paraId="10E63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3" w:hRule="atLeast"/>
          <w:jc w:val="center"/>
        </w:trPr>
        <w:tc>
          <w:tcPr>
            <w:tcW w:w="486" w:type="pct"/>
            <w:vMerge w:val="continue"/>
            <w:vAlign w:val="center"/>
          </w:tcPr>
          <w:p w14:paraId="7378C6E6">
            <w:pPr>
              <w:adjustRightInd w:val="0"/>
              <w:snapToGrid w:val="0"/>
              <w:jc w:val="center"/>
              <w:rPr>
                <w:rFonts w:ascii="Times New Roman" w:hAnsi="Times New Roman" w:cs="Times New Roman"/>
                <w:color w:val="auto"/>
                <w:sz w:val="21"/>
              </w:rPr>
            </w:pPr>
          </w:p>
        </w:tc>
        <w:tc>
          <w:tcPr>
            <w:tcW w:w="1156" w:type="pct"/>
            <w:vAlign w:val="center"/>
          </w:tcPr>
          <w:p w14:paraId="7B734FA6">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正常排放短期浓度贡献值</w:t>
            </w:r>
          </w:p>
        </w:tc>
        <w:tc>
          <w:tcPr>
            <w:tcW w:w="2183" w:type="pct"/>
            <w:gridSpan w:val="11"/>
            <w:vAlign w:val="center"/>
          </w:tcPr>
          <w:p w14:paraId="11C39B4D">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最大占标率≤100%</w:t>
            </w:r>
            <w:r>
              <w:rPr>
                <w:rFonts w:ascii="Segoe UI Symbol" w:hAnsi="Segoe UI Symbol" w:cs="Segoe UI Symbol"/>
                <w:color w:val="auto"/>
                <w:sz w:val="21"/>
              </w:rPr>
              <w:t>☑</w:t>
            </w:r>
          </w:p>
        </w:tc>
        <w:tc>
          <w:tcPr>
            <w:tcW w:w="1175" w:type="pct"/>
            <w:gridSpan w:val="10"/>
            <w:vAlign w:val="center"/>
          </w:tcPr>
          <w:p w14:paraId="1829A68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最大占标率＞100%</w:t>
            </w:r>
            <w:r>
              <w:rPr>
                <w:rFonts w:hint="eastAsia" w:ascii="宋体" w:hAnsi="宋体"/>
                <w:color w:val="000000" w:themeColor="text1"/>
                <w:sz w:val="21"/>
                <w14:textFill>
                  <w14:solidFill>
                    <w14:schemeClr w14:val="tx1"/>
                  </w14:solidFill>
                </w14:textFill>
              </w:rPr>
              <w:t>□</w:t>
            </w:r>
          </w:p>
        </w:tc>
      </w:tr>
      <w:tr w14:paraId="557F4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486" w:type="pct"/>
            <w:vMerge w:val="continue"/>
            <w:vAlign w:val="center"/>
          </w:tcPr>
          <w:p w14:paraId="6BA9AC1D">
            <w:pPr>
              <w:adjustRightInd w:val="0"/>
              <w:snapToGrid w:val="0"/>
              <w:jc w:val="center"/>
              <w:rPr>
                <w:rFonts w:ascii="Times New Roman" w:hAnsi="Times New Roman" w:cs="Times New Roman"/>
                <w:color w:val="auto"/>
                <w:sz w:val="21"/>
              </w:rPr>
            </w:pPr>
          </w:p>
        </w:tc>
        <w:tc>
          <w:tcPr>
            <w:tcW w:w="1156" w:type="pct"/>
            <w:vMerge w:val="restart"/>
            <w:vAlign w:val="center"/>
          </w:tcPr>
          <w:p w14:paraId="673CD868">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正常排放年均浓度贡献值</w:t>
            </w:r>
          </w:p>
        </w:tc>
        <w:tc>
          <w:tcPr>
            <w:tcW w:w="705" w:type="pct"/>
            <w:gridSpan w:val="2"/>
            <w:vAlign w:val="center"/>
          </w:tcPr>
          <w:p w14:paraId="244701F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一类区</w:t>
            </w:r>
          </w:p>
        </w:tc>
        <w:tc>
          <w:tcPr>
            <w:tcW w:w="1478" w:type="pct"/>
            <w:gridSpan w:val="9"/>
            <w:vAlign w:val="center"/>
          </w:tcPr>
          <w:p w14:paraId="532462E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最大占标率≤10%</w:t>
            </w:r>
            <w:r>
              <w:rPr>
                <w:rFonts w:hint="eastAsia" w:ascii="宋体" w:hAnsi="宋体"/>
                <w:color w:val="000000" w:themeColor="text1"/>
                <w:sz w:val="21"/>
                <w14:textFill>
                  <w14:solidFill>
                    <w14:schemeClr w14:val="tx1"/>
                  </w14:solidFill>
                </w14:textFill>
              </w:rPr>
              <w:t>□</w:t>
            </w:r>
          </w:p>
        </w:tc>
        <w:tc>
          <w:tcPr>
            <w:tcW w:w="1175" w:type="pct"/>
            <w:gridSpan w:val="10"/>
            <w:vAlign w:val="center"/>
          </w:tcPr>
          <w:p w14:paraId="35F3653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 xml:space="preserve">最大标率＞10% </w:t>
            </w:r>
            <w:r>
              <w:rPr>
                <w:rFonts w:hint="eastAsia" w:ascii="宋体" w:hAnsi="宋体"/>
                <w:color w:val="000000" w:themeColor="text1"/>
                <w:sz w:val="21"/>
                <w14:textFill>
                  <w14:solidFill>
                    <w14:schemeClr w14:val="tx1"/>
                  </w14:solidFill>
                </w14:textFill>
              </w:rPr>
              <w:t>□</w:t>
            </w:r>
          </w:p>
        </w:tc>
      </w:tr>
      <w:tr w14:paraId="5E91F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3" w:hRule="atLeast"/>
          <w:jc w:val="center"/>
        </w:trPr>
        <w:tc>
          <w:tcPr>
            <w:tcW w:w="486" w:type="pct"/>
            <w:vMerge w:val="continue"/>
            <w:vAlign w:val="center"/>
          </w:tcPr>
          <w:p w14:paraId="0DF08265">
            <w:pPr>
              <w:adjustRightInd w:val="0"/>
              <w:snapToGrid w:val="0"/>
              <w:jc w:val="center"/>
              <w:rPr>
                <w:rFonts w:ascii="Times New Roman" w:hAnsi="Times New Roman" w:cs="Times New Roman"/>
                <w:color w:val="auto"/>
                <w:sz w:val="21"/>
              </w:rPr>
            </w:pPr>
          </w:p>
        </w:tc>
        <w:tc>
          <w:tcPr>
            <w:tcW w:w="1156" w:type="pct"/>
            <w:vMerge w:val="continue"/>
            <w:vAlign w:val="center"/>
          </w:tcPr>
          <w:p w14:paraId="5EC72645">
            <w:pPr>
              <w:adjustRightInd w:val="0"/>
              <w:snapToGrid w:val="0"/>
              <w:jc w:val="center"/>
              <w:rPr>
                <w:rFonts w:ascii="Times New Roman" w:hAnsi="Times New Roman" w:cs="Times New Roman"/>
                <w:color w:val="auto"/>
                <w:sz w:val="21"/>
              </w:rPr>
            </w:pPr>
          </w:p>
        </w:tc>
        <w:tc>
          <w:tcPr>
            <w:tcW w:w="705" w:type="pct"/>
            <w:gridSpan w:val="2"/>
            <w:vAlign w:val="center"/>
          </w:tcPr>
          <w:p w14:paraId="19140D2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二类区</w:t>
            </w:r>
          </w:p>
        </w:tc>
        <w:tc>
          <w:tcPr>
            <w:tcW w:w="1478" w:type="pct"/>
            <w:gridSpan w:val="9"/>
            <w:vAlign w:val="center"/>
          </w:tcPr>
          <w:p w14:paraId="3149036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最大占标率≤30%</w:t>
            </w:r>
            <w:r>
              <w:rPr>
                <w:rFonts w:hint="eastAsia" w:ascii="宋体" w:hAnsi="宋体"/>
                <w:color w:val="000000" w:themeColor="text1"/>
                <w:sz w:val="21"/>
                <w14:textFill>
                  <w14:solidFill>
                    <w14:schemeClr w14:val="tx1"/>
                  </w14:solidFill>
                </w14:textFill>
              </w:rPr>
              <w:t>□</w:t>
            </w:r>
          </w:p>
        </w:tc>
        <w:tc>
          <w:tcPr>
            <w:tcW w:w="1175" w:type="pct"/>
            <w:gridSpan w:val="10"/>
            <w:vAlign w:val="center"/>
          </w:tcPr>
          <w:p w14:paraId="59139041">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 xml:space="preserve">最大标率＞30% </w:t>
            </w:r>
            <w:r>
              <w:rPr>
                <w:rFonts w:hint="eastAsia" w:ascii="宋体" w:hAnsi="宋体"/>
                <w:color w:val="000000" w:themeColor="text1"/>
                <w:sz w:val="21"/>
                <w14:textFill>
                  <w14:solidFill>
                    <w14:schemeClr w14:val="tx1"/>
                  </w14:solidFill>
                </w14:textFill>
              </w:rPr>
              <w:t>□</w:t>
            </w:r>
          </w:p>
        </w:tc>
      </w:tr>
      <w:tr w14:paraId="33554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4" w:hRule="atLeast"/>
          <w:jc w:val="center"/>
        </w:trPr>
        <w:tc>
          <w:tcPr>
            <w:tcW w:w="486" w:type="pct"/>
            <w:vMerge w:val="continue"/>
            <w:vAlign w:val="center"/>
          </w:tcPr>
          <w:p w14:paraId="21969A37">
            <w:pPr>
              <w:adjustRightInd w:val="0"/>
              <w:snapToGrid w:val="0"/>
              <w:jc w:val="center"/>
              <w:rPr>
                <w:rFonts w:ascii="Times New Roman" w:hAnsi="Times New Roman" w:cs="Times New Roman"/>
                <w:color w:val="auto"/>
                <w:sz w:val="21"/>
              </w:rPr>
            </w:pPr>
          </w:p>
        </w:tc>
        <w:tc>
          <w:tcPr>
            <w:tcW w:w="1156" w:type="pct"/>
            <w:vAlign w:val="center"/>
          </w:tcPr>
          <w:p w14:paraId="29A6FA03">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非正常排放1h浓度贡献值</w:t>
            </w:r>
          </w:p>
        </w:tc>
        <w:tc>
          <w:tcPr>
            <w:tcW w:w="705" w:type="pct"/>
            <w:gridSpan w:val="2"/>
            <w:vAlign w:val="center"/>
          </w:tcPr>
          <w:p w14:paraId="05D20A41">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非正常持续时长（0.5）h</w:t>
            </w:r>
          </w:p>
        </w:tc>
        <w:tc>
          <w:tcPr>
            <w:tcW w:w="1478" w:type="pct"/>
            <w:gridSpan w:val="9"/>
            <w:vAlign w:val="center"/>
          </w:tcPr>
          <w:p w14:paraId="65E005D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 xml:space="preserve">占标率≤100% </w:t>
            </w:r>
            <w:r>
              <w:rPr>
                <w:rFonts w:ascii="Segoe UI Symbol" w:hAnsi="Segoe UI Symbol" w:cs="Segoe UI Symbol"/>
                <w:color w:val="auto"/>
                <w:sz w:val="21"/>
                <w:lang w:eastAsia="zh-CN"/>
              </w:rPr>
              <w:t>☑</w:t>
            </w:r>
          </w:p>
        </w:tc>
        <w:tc>
          <w:tcPr>
            <w:tcW w:w="1175" w:type="pct"/>
            <w:gridSpan w:val="10"/>
            <w:vAlign w:val="center"/>
          </w:tcPr>
          <w:p w14:paraId="5E4C61E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占标率＞100%□</w:t>
            </w:r>
          </w:p>
        </w:tc>
      </w:tr>
      <w:tr w14:paraId="2FE22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9" w:hRule="atLeast"/>
          <w:jc w:val="center"/>
        </w:trPr>
        <w:tc>
          <w:tcPr>
            <w:tcW w:w="486" w:type="pct"/>
            <w:vMerge w:val="continue"/>
            <w:vAlign w:val="center"/>
          </w:tcPr>
          <w:p w14:paraId="6AA91F28">
            <w:pPr>
              <w:adjustRightInd w:val="0"/>
              <w:snapToGrid w:val="0"/>
              <w:jc w:val="center"/>
              <w:rPr>
                <w:rFonts w:ascii="Times New Roman" w:hAnsi="Times New Roman" w:cs="Times New Roman"/>
                <w:color w:val="auto"/>
                <w:sz w:val="21"/>
              </w:rPr>
            </w:pPr>
          </w:p>
        </w:tc>
        <w:tc>
          <w:tcPr>
            <w:tcW w:w="1156" w:type="pct"/>
            <w:vAlign w:val="center"/>
          </w:tcPr>
          <w:p w14:paraId="751D3D29">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保证率日平均浓度和年平均浓度叠加值</w:t>
            </w:r>
          </w:p>
        </w:tc>
        <w:tc>
          <w:tcPr>
            <w:tcW w:w="2183" w:type="pct"/>
            <w:gridSpan w:val="11"/>
            <w:vAlign w:val="center"/>
          </w:tcPr>
          <w:p w14:paraId="7DC042D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达标□</w:t>
            </w:r>
          </w:p>
        </w:tc>
        <w:tc>
          <w:tcPr>
            <w:tcW w:w="1175" w:type="pct"/>
            <w:gridSpan w:val="10"/>
            <w:vAlign w:val="center"/>
          </w:tcPr>
          <w:p w14:paraId="53D1BA3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不达标□</w:t>
            </w:r>
          </w:p>
        </w:tc>
      </w:tr>
      <w:tr w14:paraId="589BF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8" w:hRule="atLeast"/>
          <w:jc w:val="center"/>
        </w:trPr>
        <w:tc>
          <w:tcPr>
            <w:tcW w:w="486" w:type="pct"/>
            <w:vMerge w:val="continue"/>
            <w:vAlign w:val="center"/>
          </w:tcPr>
          <w:p w14:paraId="121F9570">
            <w:pPr>
              <w:adjustRightInd w:val="0"/>
              <w:snapToGrid w:val="0"/>
              <w:jc w:val="center"/>
              <w:rPr>
                <w:rFonts w:ascii="Times New Roman" w:hAnsi="Times New Roman" w:cs="Times New Roman"/>
                <w:color w:val="auto"/>
                <w:sz w:val="21"/>
              </w:rPr>
            </w:pPr>
          </w:p>
        </w:tc>
        <w:tc>
          <w:tcPr>
            <w:tcW w:w="1156" w:type="pct"/>
            <w:vAlign w:val="center"/>
          </w:tcPr>
          <w:p w14:paraId="60B4A8DA">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区域环境质量的整体变化情况</w:t>
            </w:r>
          </w:p>
        </w:tc>
        <w:tc>
          <w:tcPr>
            <w:tcW w:w="2183" w:type="pct"/>
            <w:gridSpan w:val="11"/>
            <w:vAlign w:val="center"/>
          </w:tcPr>
          <w:p w14:paraId="0DBE91C2">
            <w:pPr>
              <w:adjustRightInd w:val="0"/>
              <w:snapToGrid w:val="0"/>
              <w:jc w:val="center"/>
              <w:rPr>
                <w:rFonts w:ascii="Times New Roman" w:hAnsi="Times New Roman" w:cs="Times New Roman"/>
                <w:color w:val="auto"/>
                <w:sz w:val="21"/>
              </w:rPr>
            </w:pPr>
            <w:r>
              <w:rPr>
                <w:rFonts w:ascii="Times New Roman" w:hAnsi="Times New Roman" w:cs="Times New Roman"/>
                <w:i/>
                <w:color w:val="auto"/>
                <w:sz w:val="21"/>
              </w:rPr>
              <w:t xml:space="preserve">k </w:t>
            </w:r>
            <w:r>
              <w:rPr>
                <w:rFonts w:ascii="Times New Roman" w:hAnsi="Times New Roman" w:cs="Times New Roman"/>
                <w:color w:val="auto"/>
                <w:sz w:val="21"/>
              </w:rPr>
              <w:t>≤-20%</w:t>
            </w:r>
            <w:r>
              <w:rPr>
                <w:rFonts w:hint="eastAsia" w:ascii="宋体" w:hAnsi="宋体"/>
                <w:color w:val="000000" w:themeColor="text1"/>
                <w:sz w:val="21"/>
                <w14:textFill>
                  <w14:solidFill>
                    <w14:schemeClr w14:val="tx1"/>
                  </w14:solidFill>
                </w14:textFill>
              </w:rPr>
              <w:t>□</w:t>
            </w:r>
          </w:p>
        </w:tc>
        <w:tc>
          <w:tcPr>
            <w:tcW w:w="1175" w:type="pct"/>
            <w:gridSpan w:val="10"/>
            <w:vAlign w:val="center"/>
          </w:tcPr>
          <w:p w14:paraId="62EA7BCB">
            <w:pPr>
              <w:adjustRightInd w:val="0"/>
              <w:snapToGrid w:val="0"/>
              <w:jc w:val="center"/>
              <w:rPr>
                <w:rFonts w:ascii="Times New Roman" w:hAnsi="Times New Roman" w:cs="Times New Roman"/>
                <w:color w:val="auto"/>
                <w:sz w:val="21"/>
              </w:rPr>
            </w:pPr>
            <w:r>
              <w:rPr>
                <w:rFonts w:ascii="Times New Roman" w:hAnsi="Times New Roman" w:cs="Times New Roman"/>
                <w:i/>
                <w:color w:val="auto"/>
                <w:sz w:val="21"/>
              </w:rPr>
              <w:t>k</w:t>
            </w:r>
            <w:r>
              <w:rPr>
                <w:rFonts w:ascii="Times New Roman" w:hAnsi="Times New Roman" w:cs="Times New Roman"/>
                <w:color w:val="auto"/>
                <w:sz w:val="21"/>
              </w:rPr>
              <w:t xml:space="preserve">＞-20% </w:t>
            </w:r>
            <w:r>
              <w:rPr>
                <w:rFonts w:hint="eastAsia" w:ascii="宋体" w:hAnsi="宋体"/>
                <w:color w:val="000000" w:themeColor="text1"/>
                <w:sz w:val="21"/>
                <w14:textFill>
                  <w14:solidFill>
                    <w14:schemeClr w14:val="tx1"/>
                  </w14:solidFill>
                </w14:textFill>
              </w:rPr>
              <w:t>□</w:t>
            </w:r>
          </w:p>
        </w:tc>
      </w:tr>
      <w:tr w14:paraId="7E7CF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1" w:hRule="atLeast"/>
          <w:jc w:val="center"/>
        </w:trPr>
        <w:tc>
          <w:tcPr>
            <w:tcW w:w="486" w:type="pct"/>
            <w:vMerge w:val="restart"/>
            <w:vAlign w:val="center"/>
          </w:tcPr>
          <w:p w14:paraId="7347C18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环境监测计划</w:t>
            </w:r>
          </w:p>
        </w:tc>
        <w:tc>
          <w:tcPr>
            <w:tcW w:w="1156" w:type="pct"/>
            <w:vAlign w:val="center"/>
          </w:tcPr>
          <w:p w14:paraId="22D9124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污染源监测</w:t>
            </w:r>
          </w:p>
        </w:tc>
        <w:tc>
          <w:tcPr>
            <w:tcW w:w="2183" w:type="pct"/>
            <w:gridSpan w:val="11"/>
            <w:vAlign w:val="center"/>
          </w:tcPr>
          <w:p w14:paraId="7C9F9997">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监测因子：（</w:t>
            </w:r>
            <w:r>
              <w:rPr>
                <w:rFonts w:hint="eastAsia" w:ascii="Times New Roman" w:hAnsi="Times New Roman" w:cs="Times New Roman"/>
                <w:color w:val="auto"/>
                <w:sz w:val="21"/>
                <w:lang w:eastAsia="zh-CN"/>
              </w:rPr>
              <w:t>氟化物、氯化氢</w:t>
            </w:r>
            <w:r>
              <w:rPr>
                <w:rFonts w:ascii="Times New Roman" w:hAnsi="Times New Roman" w:cs="Times New Roman"/>
                <w:color w:val="auto"/>
                <w:sz w:val="21"/>
                <w:lang w:eastAsia="zh-CN"/>
              </w:rPr>
              <w:t>）</w:t>
            </w:r>
          </w:p>
        </w:tc>
        <w:tc>
          <w:tcPr>
            <w:tcW w:w="723" w:type="pct"/>
            <w:gridSpan w:val="8"/>
            <w:vAlign w:val="center"/>
          </w:tcPr>
          <w:p w14:paraId="11D4279A">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有组织废气监测</w:t>
            </w:r>
            <w:r>
              <w:rPr>
                <w:rFonts w:ascii="Segoe UI Symbol" w:hAnsi="Segoe UI Symbol" w:cs="Segoe UI Symbol"/>
                <w:color w:val="auto"/>
                <w:sz w:val="21"/>
                <w:lang w:eastAsia="zh-CN"/>
              </w:rPr>
              <w:t>☑</w:t>
            </w:r>
            <w:r>
              <w:rPr>
                <w:rFonts w:ascii="Times New Roman" w:hAnsi="Times New Roman" w:cs="Times New Roman"/>
                <w:color w:val="auto"/>
                <w:sz w:val="21"/>
                <w:lang w:eastAsia="zh-CN"/>
              </w:rPr>
              <w:t>无组织废气监测</w:t>
            </w:r>
            <w:r>
              <w:rPr>
                <w:rFonts w:ascii="Segoe UI Symbol" w:hAnsi="Segoe UI Symbol" w:cs="Segoe UI Symbol"/>
                <w:color w:val="auto"/>
                <w:sz w:val="21"/>
                <w:lang w:eastAsia="zh-CN"/>
              </w:rPr>
              <w:t>☑</w:t>
            </w:r>
          </w:p>
        </w:tc>
        <w:tc>
          <w:tcPr>
            <w:tcW w:w="452" w:type="pct"/>
            <w:gridSpan w:val="2"/>
            <w:vAlign w:val="center"/>
          </w:tcPr>
          <w:p w14:paraId="12FFE83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无监测□</w:t>
            </w:r>
          </w:p>
        </w:tc>
      </w:tr>
      <w:tr w14:paraId="08258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1" w:hRule="atLeast"/>
          <w:jc w:val="center"/>
        </w:trPr>
        <w:tc>
          <w:tcPr>
            <w:tcW w:w="486" w:type="pct"/>
            <w:vMerge w:val="continue"/>
            <w:vAlign w:val="center"/>
          </w:tcPr>
          <w:p w14:paraId="1BEF5E8B">
            <w:pPr>
              <w:adjustRightInd w:val="0"/>
              <w:snapToGrid w:val="0"/>
              <w:jc w:val="center"/>
              <w:rPr>
                <w:rFonts w:ascii="Times New Roman" w:hAnsi="Times New Roman" w:cs="Times New Roman"/>
                <w:color w:val="auto"/>
                <w:sz w:val="21"/>
              </w:rPr>
            </w:pPr>
          </w:p>
        </w:tc>
        <w:tc>
          <w:tcPr>
            <w:tcW w:w="1156" w:type="pct"/>
            <w:vAlign w:val="center"/>
          </w:tcPr>
          <w:p w14:paraId="490ABC3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环境质量监测</w:t>
            </w:r>
          </w:p>
        </w:tc>
        <w:tc>
          <w:tcPr>
            <w:tcW w:w="2183" w:type="pct"/>
            <w:gridSpan w:val="11"/>
            <w:vAlign w:val="center"/>
          </w:tcPr>
          <w:p w14:paraId="3BE3228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监测因子：（</w:t>
            </w:r>
            <w:r>
              <w:rPr>
                <w:rFonts w:hint="eastAsia" w:ascii="Times New Roman" w:hAnsi="Times New Roman" w:cs="Times New Roman"/>
                <w:color w:val="auto"/>
                <w:sz w:val="21"/>
                <w:lang w:eastAsia="zh-CN"/>
              </w:rPr>
              <w:t>氟化物、氯化氢</w:t>
            </w:r>
            <w:r>
              <w:rPr>
                <w:rFonts w:ascii="Times New Roman" w:hAnsi="Times New Roman" w:cs="Times New Roman"/>
                <w:color w:val="auto"/>
                <w:sz w:val="21"/>
                <w:lang w:eastAsia="zh-CN"/>
              </w:rPr>
              <w:t>）</w:t>
            </w:r>
          </w:p>
        </w:tc>
        <w:tc>
          <w:tcPr>
            <w:tcW w:w="723" w:type="pct"/>
            <w:gridSpan w:val="8"/>
            <w:vAlign w:val="center"/>
          </w:tcPr>
          <w:p w14:paraId="13B1919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监测点位数</w:t>
            </w:r>
          </w:p>
          <w:p w14:paraId="1E2BAFF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w:t>
            </w:r>
            <w:r>
              <w:rPr>
                <w:rFonts w:ascii="Times New Roman" w:hAnsi="Times New Roman" w:cs="Times New Roman"/>
                <w:color w:val="auto"/>
                <w:sz w:val="21"/>
                <w:lang w:eastAsia="zh-CN"/>
              </w:rPr>
              <w:t>1</w:t>
            </w:r>
            <w:r>
              <w:rPr>
                <w:rFonts w:ascii="Times New Roman" w:hAnsi="Times New Roman" w:cs="Times New Roman"/>
                <w:color w:val="auto"/>
                <w:sz w:val="21"/>
              </w:rPr>
              <w:t>）</w:t>
            </w:r>
          </w:p>
        </w:tc>
        <w:tc>
          <w:tcPr>
            <w:tcW w:w="452" w:type="pct"/>
            <w:gridSpan w:val="2"/>
            <w:vAlign w:val="center"/>
          </w:tcPr>
          <w:p w14:paraId="0D0B5E18">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无监测□</w:t>
            </w:r>
          </w:p>
        </w:tc>
      </w:tr>
      <w:tr w14:paraId="3235E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5" w:hRule="atLeast"/>
          <w:jc w:val="center"/>
        </w:trPr>
        <w:tc>
          <w:tcPr>
            <w:tcW w:w="486" w:type="pct"/>
            <w:vMerge w:val="restart"/>
            <w:vAlign w:val="center"/>
          </w:tcPr>
          <w:p w14:paraId="22FBF2E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评价结论</w:t>
            </w:r>
          </w:p>
        </w:tc>
        <w:tc>
          <w:tcPr>
            <w:tcW w:w="1156" w:type="pct"/>
            <w:vAlign w:val="center"/>
          </w:tcPr>
          <w:p w14:paraId="36A2A13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环境影响</w:t>
            </w:r>
          </w:p>
        </w:tc>
        <w:tc>
          <w:tcPr>
            <w:tcW w:w="3358" w:type="pct"/>
            <w:gridSpan w:val="21"/>
            <w:vAlign w:val="center"/>
          </w:tcPr>
          <w:p w14:paraId="180FD39D">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可以接受</w:t>
            </w:r>
            <w:r>
              <w:rPr>
                <w:rFonts w:ascii="Segoe UI Symbol" w:hAnsi="Segoe UI Symbol" w:cs="Segoe UI Symbol"/>
                <w:color w:val="auto"/>
                <w:sz w:val="21"/>
              </w:rPr>
              <w:t>☑</w:t>
            </w:r>
            <w:r>
              <w:rPr>
                <w:rFonts w:ascii="Times New Roman" w:hAnsi="Times New Roman" w:cs="Times New Roman"/>
                <w:color w:val="auto"/>
                <w:sz w:val="21"/>
              </w:rPr>
              <w:t xml:space="preserve">   不可以接受□</w:t>
            </w:r>
          </w:p>
        </w:tc>
      </w:tr>
      <w:tr w14:paraId="0C8DF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4" w:hRule="atLeast"/>
          <w:jc w:val="center"/>
        </w:trPr>
        <w:tc>
          <w:tcPr>
            <w:tcW w:w="486" w:type="pct"/>
            <w:vMerge w:val="continue"/>
            <w:vAlign w:val="center"/>
          </w:tcPr>
          <w:p w14:paraId="581C1022">
            <w:pPr>
              <w:adjustRightInd w:val="0"/>
              <w:snapToGrid w:val="0"/>
              <w:jc w:val="center"/>
              <w:rPr>
                <w:rFonts w:ascii="Times New Roman" w:hAnsi="Times New Roman" w:cs="Times New Roman"/>
                <w:color w:val="auto"/>
                <w:sz w:val="21"/>
              </w:rPr>
            </w:pPr>
          </w:p>
        </w:tc>
        <w:tc>
          <w:tcPr>
            <w:tcW w:w="1156" w:type="pct"/>
            <w:vAlign w:val="center"/>
          </w:tcPr>
          <w:p w14:paraId="47A3BD9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大气环境防护距离</w:t>
            </w:r>
          </w:p>
        </w:tc>
        <w:tc>
          <w:tcPr>
            <w:tcW w:w="3358" w:type="pct"/>
            <w:gridSpan w:val="21"/>
            <w:vAlign w:val="center"/>
          </w:tcPr>
          <w:p w14:paraId="6FAE4B5C">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距（/）厂界最远（</w:t>
            </w:r>
            <w:r>
              <w:rPr>
                <w:rFonts w:hint="eastAsia" w:ascii="Times New Roman" w:hAnsi="Times New Roman" w:cs="Times New Roman"/>
                <w:color w:val="auto"/>
                <w:sz w:val="21"/>
                <w:lang w:eastAsia="zh-CN"/>
              </w:rPr>
              <w:t>650</w:t>
            </w:r>
            <w:r>
              <w:rPr>
                <w:rFonts w:ascii="Times New Roman" w:hAnsi="Times New Roman" w:cs="Times New Roman"/>
                <w:color w:val="auto"/>
                <w:sz w:val="21"/>
                <w:lang w:eastAsia="zh-CN"/>
              </w:rPr>
              <w:t>）m</w:t>
            </w:r>
          </w:p>
        </w:tc>
      </w:tr>
      <w:tr w14:paraId="2CFE3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486" w:type="pct"/>
            <w:vMerge w:val="continue"/>
            <w:vAlign w:val="center"/>
          </w:tcPr>
          <w:p w14:paraId="3D4A3230">
            <w:pPr>
              <w:adjustRightInd w:val="0"/>
              <w:snapToGrid w:val="0"/>
              <w:jc w:val="center"/>
              <w:rPr>
                <w:rFonts w:ascii="Times New Roman" w:hAnsi="Times New Roman" w:cs="Times New Roman"/>
                <w:color w:val="auto"/>
                <w:sz w:val="21"/>
                <w:lang w:eastAsia="zh-CN"/>
              </w:rPr>
            </w:pPr>
          </w:p>
        </w:tc>
        <w:tc>
          <w:tcPr>
            <w:tcW w:w="1156" w:type="pct"/>
            <w:vAlign w:val="center"/>
          </w:tcPr>
          <w:p w14:paraId="62743E31">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污染源年排放量</w:t>
            </w:r>
          </w:p>
        </w:tc>
        <w:tc>
          <w:tcPr>
            <w:tcW w:w="705" w:type="pct"/>
            <w:gridSpan w:val="2"/>
            <w:vAlign w:val="center"/>
          </w:tcPr>
          <w:p w14:paraId="2082C71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SO</w:t>
            </w:r>
            <w:r>
              <w:rPr>
                <w:rFonts w:ascii="Times New Roman" w:hAnsi="Times New Roman" w:cs="Times New Roman"/>
                <w:color w:val="auto"/>
                <w:sz w:val="21"/>
                <w:vertAlign w:val="subscript"/>
              </w:rPr>
              <w:t>2</w:t>
            </w:r>
            <w:r>
              <w:rPr>
                <w:rFonts w:ascii="Times New Roman" w:hAnsi="Times New Roman" w:cs="Times New Roman"/>
                <w:color w:val="auto"/>
                <w:sz w:val="21"/>
              </w:rPr>
              <w:t>:（</w:t>
            </w:r>
            <w:r>
              <w:rPr>
                <w:rFonts w:hint="eastAsia" w:ascii="Times New Roman" w:hAnsi="Times New Roman" w:cs="Times New Roman"/>
                <w:color w:val="auto"/>
                <w:sz w:val="21"/>
                <w:lang w:eastAsia="zh-CN"/>
              </w:rPr>
              <w:t>/</w:t>
            </w:r>
            <w:r>
              <w:rPr>
                <w:rFonts w:ascii="Times New Roman" w:hAnsi="Times New Roman" w:cs="Times New Roman"/>
                <w:color w:val="auto"/>
                <w:sz w:val="21"/>
              </w:rPr>
              <w:t>）t/a</w:t>
            </w:r>
          </w:p>
        </w:tc>
        <w:tc>
          <w:tcPr>
            <w:tcW w:w="832" w:type="pct"/>
            <w:gridSpan w:val="8"/>
            <w:vAlign w:val="center"/>
          </w:tcPr>
          <w:p w14:paraId="541C059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NO</w:t>
            </w:r>
            <w:r>
              <w:rPr>
                <w:rFonts w:ascii="Times New Roman" w:hAnsi="Times New Roman" w:cs="Times New Roman"/>
                <w:color w:val="auto"/>
                <w:sz w:val="21"/>
                <w:vertAlign w:val="subscript"/>
              </w:rPr>
              <w:t>x</w:t>
            </w:r>
            <w:r>
              <w:rPr>
                <w:rFonts w:ascii="Times New Roman" w:hAnsi="Times New Roman" w:cs="Times New Roman"/>
                <w:color w:val="auto"/>
                <w:sz w:val="21"/>
              </w:rPr>
              <w:t>:（</w:t>
            </w:r>
            <w:r>
              <w:rPr>
                <w:rFonts w:hint="eastAsia" w:ascii="Times New Roman" w:hAnsi="Times New Roman" w:cs="Times New Roman"/>
                <w:color w:val="auto"/>
                <w:sz w:val="21"/>
                <w:lang w:eastAsia="zh-CN"/>
              </w:rPr>
              <w:t>/</w:t>
            </w:r>
            <w:r>
              <w:rPr>
                <w:rFonts w:ascii="Times New Roman" w:hAnsi="Times New Roman" w:cs="Times New Roman"/>
                <w:color w:val="auto"/>
                <w:sz w:val="21"/>
              </w:rPr>
              <w:t>）t/a</w:t>
            </w:r>
          </w:p>
        </w:tc>
        <w:tc>
          <w:tcPr>
            <w:tcW w:w="969" w:type="pct"/>
            <w:gridSpan w:val="5"/>
            <w:vAlign w:val="center"/>
          </w:tcPr>
          <w:p w14:paraId="5210061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颗粒物:（</w:t>
            </w:r>
            <w:r>
              <w:rPr>
                <w:rFonts w:hint="eastAsia" w:ascii="Times New Roman" w:hAnsi="Times New Roman" w:cs="Times New Roman"/>
                <w:color w:val="auto"/>
                <w:sz w:val="21"/>
                <w:lang w:eastAsia="zh-CN"/>
              </w:rPr>
              <w:t>/</w:t>
            </w:r>
            <w:r>
              <w:rPr>
                <w:rFonts w:ascii="Times New Roman" w:hAnsi="Times New Roman" w:cs="Times New Roman"/>
                <w:color w:val="auto"/>
                <w:sz w:val="21"/>
              </w:rPr>
              <w:t>）t/a</w:t>
            </w:r>
          </w:p>
        </w:tc>
        <w:tc>
          <w:tcPr>
            <w:tcW w:w="852" w:type="pct"/>
            <w:gridSpan w:val="6"/>
            <w:vAlign w:val="center"/>
          </w:tcPr>
          <w:p w14:paraId="3EDC859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VOCs</w:t>
            </w:r>
            <w:r>
              <w:rPr>
                <w:rFonts w:ascii="Times New Roman" w:hAnsi="Times New Roman" w:cs="Times New Roman"/>
                <w:color w:val="auto"/>
                <w:sz w:val="21"/>
                <w:lang w:eastAsia="zh-CN"/>
              </w:rPr>
              <w:t>：</w:t>
            </w:r>
            <w:r>
              <w:rPr>
                <w:rFonts w:ascii="Times New Roman" w:hAnsi="Times New Roman" w:cs="Times New Roman"/>
                <w:color w:val="auto"/>
                <w:sz w:val="21"/>
              </w:rPr>
              <w:t>（</w:t>
            </w:r>
            <w:r>
              <w:rPr>
                <w:rFonts w:hint="eastAsia" w:ascii="Times New Roman" w:hAnsi="Times New Roman" w:cs="Times New Roman"/>
                <w:color w:val="auto"/>
                <w:sz w:val="21"/>
                <w:lang w:eastAsia="zh-CN"/>
              </w:rPr>
              <w:t>/</w:t>
            </w:r>
            <w:r>
              <w:rPr>
                <w:rFonts w:ascii="Times New Roman" w:hAnsi="Times New Roman" w:cs="Times New Roman"/>
                <w:color w:val="auto"/>
                <w:sz w:val="21"/>
              </w:rPr>
              <w:t>）t/a</w:t>
            </w:r>
          </w:p>
        </w:tc>
      </w:tr>
      <w:tr w14:paraId="57F20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1" w:hRule="atLeast"/>
          <w:jc w:val="center"/>
        </w:trPr>
        <w:tc>
          <w:tcPr>
            <w:tcW w:w="5000" w:type="pct"/>
            <w:gridSpan w:val="23"/>
            <w:vAlign w:val="center"/>
          </w:tcPr>
          <w:p w14:paraId="30B2D71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注：“□”为勾选项，填“√”；“（）” 为内容填写项</w:t>
            </w:r>
          </w:p>
        </w:tc>
      </w:tr>
      <w:bookmarkEnd w:id="1410"/>
    </w:tbl>
    <w:p w14:paraId="52B9D257">
      <w:pPr>
        <w:spacing w:line="360" w:lineRule="auto"/>
        <w:ind w:firstLine="562"/>
        <w:outlineLvl w:val="1"/>
        <w:rPr>
          <w:rFonts w:ascii="Times New Roman" w:hAnsi="Times New Roman" w:cs="Times New Roman"/>
          <w:b/>
          <w:bCs/>
          <w:color w:val="auto"/>
          <w:sz w:val="28"/>
          <w:szCs w:val="28"/>
          <w:lang w:eastAsia="zh-CN"/>
        </w:rPr>
      </w:pPr>
      <w:bookmarkStart w:id="1529" w:name="_Toc237508334"/>
      <w:r>
        <w:rPr>
          <w:rFonts w:ascii="Times New Roman" w:hAnsi="Times New Roman" w:cs="Times New Roman"/>
          <w:b/>
          <w:bCs/>
          <w:color w:val="auto"/>
          <w:sz w:val="28"/>
          <w:szCs w:val="28"/>
          <w:lang w:eastAsia="zh-CN"/>
        </w:rPr>
        <w:t>6.</w:t>
      </w:r>
      <w:r>
        <w:rPr>
          <w:rFonts w:hint="eastAsia" w:ascii="Times New Roman" w:hAnsi="Times New Roman" w:cs="Times New Roman"/>
          <w:b/>
          <w:bCs/>
          <w:color w:val="auto"/>
          <w:sz w:val="28"/>
          <w:szCs w:val="28"/>
          <w:lang w:eastAsia="zh-CN"/>
        </w:rPr>
        <w:t>3</w:t>
      </w:r>
      <w:r>
        <w:rPr>
          <w:rFonts w:ascii="Times New Roman" w:hAnsi="Times New Roman" w:cs="Times New Roman"/>
          <w:b/>
          <w:bCs/>
          <w:color w:val="auto"/>
          <w:sz w:val="28"/>
          <w:szCs w:val="28"/>
          <w:lang w:eastAsia="zh-CN"/>
        </w:rPr>
        <w:t xml:space="preserve"> 运营期</w:t>
      </w:r>
      <w:r>
        <w:rPr>
          <w:rFonts w:hint="eastAsia" w:ascii="Times New Roman" w:hAnsi="Times New Roman" w:cs="Times New Roman"/>
          <w:b/>
          <w:bCs/>
          <w:color w:val="auto"/>
          <w:sz w:val="28"/>
          <w:szCs w:val="28"/>
          <w:lang w:eastAsia="zh-CN"/>
        </w:rPr>
        <w:t>地表水</w:t>
      </w:r>
      <w:r>
        <w:rPr>
          <w:rFonts w:ascii="Times New Roman" w:hAnsi="Times New Roman" w:cs="Times New Roman"/>
          <w:b/>
          <w:bCs/>
          <w:color w:val="auto"/>
          <w:sz w:val="28"/>
          <w:szCs w:val="28"/>
          <w:lang w:eastAsia="zh-CN"/>
        </w:rPr>
        <w:t>环境影响分析</w:t>
      </w:r>
      <w:bookmarkEnd w:id="1529"/>
    </w:p>
    <w:p w14:paraId="7CD93968">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根据项目规划，</w:t>
      </w:r>
      <w:r>
        <w:rPr>
          <w:rFonts w:ascii="Times New Roman" w:hAnsi="Times New Roman" w:eastAsia="新宋体" w:cs="Times New Roman"/>
          <w:color w:val="auto"/>
          <w:szCs w:val="24"/>
          <w:lang w:eastAsia="zh-CN"/>
        </w:rPr>
        <w:t>项目废水主要为</w:t>
      </w:r>
      <w:r>
        <w:rPr>
          <w:rFonts w:hint="eastAsia" w:ascii="Times New Roman" w:hAnsi="Times New Roman" w:eastAsia="新宋体" w:cs="Times New Roman"/>
          <w:color w:val="auto"/>
          <w:szCs w:val="24"/>
          <w:lang w:eastAsia="zh-CN"/>
        </w:rPr>
        <w:t>碱</w:t>
      </w:r>
      <w:r>
        <w:rPr>
          <w:rFonts w:ascii="Times New Roman" w:hAnsi="Times New Roman" w:eastAsia="新宋体" w:cs="Times New Roman"/>
          <w:color w:val="auto"/>
          <w:szCs w:val="24"/>
          <w:lang w:eastAsia="zh-CN"/>
        </w:rPr>
        <w:t>喷淋塔置换废水、地面清洁废水、循环冷却置换</w:t>
      </w:r>
      <w:r>
        <w:rPr>
          <w:rFonts w:hint="eastAsia" w:ascii="Times New Roman" w:hAnsi="Times New Roman" w:eastAsia="新宋体" w:cs="Times New Roman"/>
          <w:color w:val="auto"/>
          <w:szCs w:val="24"/>
          <w:lang w:eastAsia="zh-CN"/>
        </w:rPr>
        <w:t>废水、生活污水</w:t>
      </w:r>
      <w:r>
        <w:rPr>
          <w:rFonts w:ascii="Times New Roman" w:hAnsi="Times New Roman" w:eastAsia="新宋体" w:cs="Times New Roman"/>
          <w:color w:val="auto"/>
          <w:szCs w:val="24"/>
          <w:lang w:eastAsia="zh-CN"/>
        </w:rPr>
        <w:t>以及初期雨水等</w:t>
      </w:r>
      <w:r>
        <w:rPr>
          <w:rFonts w:ascii="Times New Roman" w:hAnsi="Times New Roman" w:cs="Times New Roman"/>
          <w:color w:val="auto"/>
          <w:szCs w:val="24"/>
          <w:lang w:eastAsia="zh-CN"/>
        </w:rPr>
        <w:t>。</w:t>
      </w:r>
    </w:p>
    <w:p w14:paraId="347C5420">
      <w:pPr>
        <w:widowControl w:val="0"/>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eastAsia="新宋体" w:cs="Times New Roman"/>
          <w:color w:val="auto"/>
          <w:szCs w:val="24"/>
          <w:lang w:eastAsia="zh-CN"/>
        </w:rPr>
        <w:t>碱</w:t>
      </w:r>
      <w:r>
        <w:rPr>
          <w:rFonts w:ascii="Times New Roman" w:hAnsi="Times New Roman" w:eastAsia="新宋体" w:cs="Times New Roman"/>
          <w:color w:val="auto"/>
          <w:szCs w:val="24"/>
          <w:lang w:eastAsia="zh-CN"/>
        </w:rPr>
        <w:t>喷淋塔置换废水、</w:t>
      </w:r>
      <w:r>
        <w:rPr>
          <w:rFonts w:ascii="Times New Roman" w:hAnsi="Times New Roman" w:cs="Times New Roman"/>
          <w:color w:val="auto"/>
          <w:lang w:eastAsia="zh-CN"/>
        </w:rPr>
        <w:t>地面清洁废水</w:t>
      </w:r>
      <w:r>
        <w:rPr>
          <w:rFonts w:hint="eastAsia" w:ascii="Times New Roman" w:hAnsi="Times New Roman" w:cs="Times New Roman"/>
          <w:color w:val="auto"/>
          <w:lang w:eastAsia="zh-CN"/>
        </w:rPr>
        <w:t>依托现有厂区</w:t>
      </w:r>
      <w:r>
        <w:rPr>
          <w:rFonts w:ascii="Times New Roman" w:hAnsi="Times New Roman" w:cs="Times New Roman"/>
          <w:color w:val="auto"/>
          <w:lang w:eastAsia="zh-CN"/>
        </w:rPr>
        <w:t>污水处理站</w:t>
      </w:r>
      <w:r>
        <w:rPr>
          <w:rFonts w:hint="eastAsia" w:ascii="Times New Roman" w:hAnsi="Times New Roman" w:cs="Times New Roman"/>
          <w:color w:val="auto"/>
          <w:lang w:eastAsia="zh-CN"/>
        </w:rPr>
        <w:t>“</w:t>
      </w:r>
      <w:r>
        <w:rPr>
          <w:rFonts w:ascii="Times New Roman" w:hAnsi="Times New Roman" w:cs="Times New Roman"/>
          <w:color w:val="auto"/>
          <w:lang w:eastAsia="zh-CN"/>
        </w:rPr>
        <w:t>四级除氟反应+四级除氟沉淀</w:t>
      </w:r>
      <w:r>
        <w:rPr>
          <w:rFonts w:hint="eastAsia" w:ascii="Times New Roman" w:hAnsi="Times New Roman" w:cs="Times New Roman"/>
          <w:color w:val="auto"/>
          <w:lang w:eastAsia="zh-CN"/>
        </w:rPr>
        <w:t>”</w:t>
      </w:r>
      <w:r>
        <w:rPr>
          <w:rFonts w:ascii="Times New Roman" w:hAnsi="Times New Roman" w:cs="Times New Roman"/>
          <w:color w:val="auto"/>
          <w:lang w:eastAsia="zh-CN"/>
        </w:rPr>
        <w:t>处理后，</w:t>
      </w:r>
      <w:r>
        <w:rPr>
          <w:rFonts w:hint="eastAsia" w:ascii="Times New Roman" w:hAnsi="Times New Roman" w:cs="Times New Roman"/>
          <w:color w:val="auto"/>
          <w:lang w:eastAsia="zh-CN"/>
        </w:rPr>
        <w:t>与</w:t>
      </w:r>
      <w:r>
        <w:rPr>
          <w:rFonts w:ascii="Times New Roman" w:hAnsi="Times New Roman" w:eastAsia="新宋体" w:cs="Times New Roman"/>
          <w:color w:val="auto"/>
          <w:szCs w:val="24"/>
          <w:lang w:eastAsia="zh-CN"/>
        </w:rPr>
        <w:t>循环冷却置换废水</w:t>
      </w:r>
      <w:r>
        <w:rPr>
          <w:rFonts w:hint="eastAsia" w:ascii="Times New Roman" w:hAnsi="Times New Roman" w:eastAsia="新宋体" w:cs="Times New Roman"/>
          <w:color w:val="auto"/>
          <w:szCs w:val="24"/>
          <w:lang w:eastAsia="zh-CN"/>
        </w:rPr>
        <w:t>、生活污水一同</w:t>
      </w:r>
      <w:r>
        <w:rPr>
          <w:rFonts w:ascii="Times New Roman" w:hAnsi="Times New Roman" w:cs="Times New Roman"/>
          <w:color w:val="auto"/>
          <w:lang w:eastAsia="zh-CN"/>
        </w:rPr>
        <w:t>排入园区污水管网，进入沫河口污水处理厂处理达标排放。</w:t>
      </w:r>
      <w:r>
        <w:rPr>
          <w:rFonts w:hint="eastAsia" w:ascii="Times New Roman" w:hAnsi="Times New Roman" w:cs="Times New Roman"/>
          <w:color w:val="auto"/>
          <w:lang w:eastAsia="zh-CN"/>
        </w:rPr>
        <w:t>项目废水排放满足</w:t>
      </w:r>
      <w:r>
        <w:rPr>
          <w:rFonts w:ascii="Times New Roman" w:hAnsi="Times New Roman" w:cs="Times New Roman"/>
          <w:color w:val="auto"/>
          <w:lang w:eastAsia="zh-CN"/>
        </w:rPr>
        <w:t>沫河口污水处理厂接管标准以及</w:t>
      </w:r>
      <w:r>
        <w:rPr>
          <w:rFonts w:hint="eastAsia" w:ascii="Times New Roman" w:hAnsi="Times New Roman" w:cs="Times New Roman"/>
          <w:color w:val="auto"/>
          <w:lang w:eastAsia="zh-CN"/>
        </w:rPr>
        <w:t>《无机化学工业污染物排放标准》（GB31573-2015）、</w:t>
      </w:r>
      <w:r>
        <w:rPr>
          <w:rFonts w:ascii="Times New Roman" w:hAnsi="Times New Roman" w:cs="Times New Roman"/>
          <w:color w:val="auto"/>
          <w:lang w:eastAsia="zh-CN"/>
        </w:rPr>
        <w:t>《电子工业水污染物排放标准》（GB39731-2020）排放限值要求，沫河口污水处理厂尾水</w:t>
      </w:r>
      <w:r>
        <w:rPr>
          <w:rFonts w:hint="eastAsia" w:ascii="Times New Roman" w:hAnsi="Times New Roman" w:cs="Times New Roman"/>
          <w:color w:val="auto"/>
          <w:lang w:eastAsia="zh-CN"/>
        </w:rPr>
        <w:t>处理</w:t>
      </w:r>
      <w:r>
        <w:rPr>
          <w:rFonts w:ascii="Times New Roman" w:hAnsi="Times New Roman" w:cs="Times New Roman"/>
          <w:color w:val="auto"/>
          <w:lang w:eastAsia="zh-CN"/>
        </w:rPr>
        <w:t>达到《城镇污水处理厂污染物排放标准》（GB18918-2002）中一级 A 标准后，排入</w:t>
      </w:r>
      <w:r>
        <w:rPr>
          <w:rFonts w:ascii="Times New Roman" w:hAnsi="Times New Roman" w:cs="Times New Roman"/>
          <w:color w:val="auto"/>
          <w:szCs w:val="24"/>
          <w:lang w:eastAsia="zh-CN"/>
        </w:rPr>
        <w:t>三铺大沟</w:t>
      </w:r>
      <w:r>
        <w:rPr>
          <w:rFonts w:ascii="Times New Roman" w:hAnsi="Times New Roman" w:cs="Times New Roman"/>
          <w:color w:val="auto"/>
          <w:lang w:eastAsia="zh-CN"/>
        </w:rPr>
        <w:t>，最终汇入淮河</w:t>
      </w:r>
      <w:r>
        <w:rPr>
          <w:rFonts w:ascii="Times New Roman" w:hAnsi="Times New Roman" w:cs="Times New Roman"/>
          <w:color w:val="auto"/>
          <w:szCs w:val="24"/>
          <w:lang w:eastAsia="zh-CN"/>
        </w:rPr>
        <w:t>。</w:t>
      </w:r>
    </w:p>
    <w:p w14:paraId="20B42785">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对照《环境影响评价技术导则 地表水环境》（HJ 2.2-2018）“5.2 评价等级确定”表 1 中规定：建设项目废水最终经沫河口污水处理厂处理达标后排入淮河，排放方式属于间接排放的，本次水环境影响评价等级定为三级 B。</w:t>
      </w:r>
    </w:p>
    <w:p w14:paraId="3B808519">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根据导则要求，三级 B 项目可不进行地表水环境影响预测，但需要进行“水污染控制和水环境影响减缓措施有效性评价”，评价内容如下。</w:t>
      </w:r>
    </w:p>
    <w:p w14:paraId="15883527">
      <w:pPr>
        <w:widowControl w:val="0"/>
        <w:spacing w:line="360" w:lineRule="auto"/>
        <w:ind w:left="48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（1）</w:t>
      </w:r>
      <w:r>
        <w:rPr>
          <w:rFonts w:ascii="Times New Roman" w:hAnsi="Times New Roman" w:cs="Times New Roman"/>
          <w:color w:val="auto"/>
          <w:szCs w:val="24"/>
          <w:lang w:eastAsia="zh-CN"/>
        </w:rPr>
        <w:t>厂区污水处理站有效性分析</w:t>
      </w:r>
    </w:p>
    <w:p w14:paraId="256BDDA8">
      <w:pPr>
        <w:widowControl w:val="0"/>
        <w:spacing w:line="360" w:lineRule="auto"/>
        <w:ind w:firstLine="480" w:firstLineChars="200"/>
        <w:jc w:val="both"/>
        <w:rPr>
          <w:rFonts w:ascii="Times New Roman" w:hAnsi="Times New Roman" w:cs="Times New Roman"/>
          <w:color w:val="auto"/>
          <w:szCs w:val="24"/>
          <w:lang w:eastAsia="zh-CN"/>
        </w:rPr>
      </w:pPr>
      <w:r>
        <w:rPr>
          <w:rFonts w:ascii="宋体" w:hAnsi="宋体" w:cs="Cambria Math"/>
          <w:color w:val="auto"/>
          <w:szCs w:val="24"/>
          <w:lang w:eastAsia="zh-CN"/>
        </w:rPr>
        <w:t>①</w:t>
      </w:r>
      <w:r>
        <w:rPr>
          <w:rFonts w:ascii="Times New Roman" w:hAnsi="Times New Roman" w:cs="Times New Roman"/>
          <w:color w:val="auto"/>
          <w:szCs w:val="24"/>
          <w:lang w:eastAsia="zh-CN"/>
        </w:rPr>
        <w:t xml:space="preserve"> 处理工艺有效性</w:t>
      </w:r>
    </w:p>
    <w:p w14:paraId="36232A42">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依托现有厂区</w:t>
      </w:r>
      <w:r>
        <w:rPr>
          <w:rFonts w:ascii="Times New Roman" w:hAnsi="Times New Roman" w:cs="Times New Roman"/>
          <w:color w:val="auto"/>
          <w:szCs w:val="24"/>
          <w:lang w:eastAsia="zh-CN"/>
        </w:rPr>
        <w:t>1座污水处理站，处理能力</w:t>
      </w:r>
      <w:r>
        <w:rPr>
          <w:rFonts w:hint="eastAsia" w:ascii="Times New Roman" w:hAnsi="Times New Roman" w:cs="Times New Roman"/>
          <w:color w:val="auto"/>
          <w:szCs w:val="24"/>
          <w:lang w:eastAsia="zh-CN"/>
        </w:rPr>
        <w:t>40</w:t>
      </w:r>
      <w:r>
        <w:rPr>
          <w:rFonts w:ascii="Times New Roman" w:hAnsi="Times New Roman" w:cs="Times New Roman"/>
          <w:color w:val="auto"/>
          <w:szCs w:val="24"/>
          <w:lang w:eastAsia="zh-CN"/>
        </w:rPr>
        <w:t>m</w:t>
      </w:r>
      <w:r>
        <w:rPr>
          <w:rFonts w:ascii="Times New Roman" w:hAnsi="Times New Roman" w:cs="Times New Roman"/>
          <w:color w:val="auto"/>
          <w:szCs w:val="24"/>
          <w:vertAlign w:val="superscript"/>
          <w:lang w:eastAsia="zh-CN"/>
        </w:rPr>
        <w:t>3</w:t>
      </w:r>
      <w:r>
        <w:rPr>
          <w:rFonts w:ascii="Times New Roman" w:hAnsi="Times New Roman" w:cs="Times New Roman"/>
          <w:color w:val="auto"/>
          <w:szCs w:val="24"/>
          <w:lang w:eastAsia="zh-CN"/>
        </w:rPr>
        <w:t>/d ，处理工艺为“</w:t>
      </w:r>
      <w:r>
        <w:rPr>
          <w:rFonts w:ascii="Times New Roman" w:hAnsi="Times New Roman" w:cs="Times New Roman"/>
          <w:bCs/>
          <w:color w:val="auto"/>
          <w:szCs w:val="24"/>
          <w:lang w:eastAsia="zh-CN"/>
        </w:rPr>
        <w:t>四级除氟反应池+四级除氟沉淀池</w:t>
      </w:r>
      <w:r>
        <w:rPr>
          <w:rFonts w:ascii="Times New Roman" w:hAnsi="Times New Roman" w:cs="Times New Roman"/>
          <w:color w:val="auto"/>
          <w:szCs w:val="24"/>
          <w:lang w:eastAsia="zh-CN"/>
        </w:rPr>
        <w:t>”</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根据建设单位提供的监测数据，现有工程废水污染物能够达标排放</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本项目排入污水处理站处理的废水主要为碱喷淋塔置换废水、地面清洁废水，主要污染物为氟化物，项目废水种类、水质与现有工程废水种类、水质相似</w:t>
      </w:r>
      <w:r>
        <w:rPr>
          <w:rFonts w:hint="eastAsia" w:ascii="Times New Roman" w:hAnsi="Times New Roman" w:cs="Times New Roman"/>
          <w:color w:val="auto"/>
          <w:szCs w:val="24"/>
          <w:lang w:eastAsia="zh-CN"/>
        </w:rPr>
        <w:t>，根据</w:t>
      </w:r>
      <w:r>
        <w:rPr>
          <w:rFonts w:ascii="Times New Roman" w:hAnsi="Times New Roman" w:cs="Times New Roman"/>
          <w:color w:val="auto"/>
          <w:lang w:eastAsia="zh-CN"/>
        </w:rPr>
        <w:t>《排污许可证申请与核发技术规范 无机化学工业》（HJ 1035-2019）</w:t>
      </w:r>
      <w:r>
        <w:rPr>
          <w:rFonts w:hint="eastAsia" w:ascii="Times New Roman" w:hAnsi="Times New Roman" w:cs="Times New Roman"/>
          <w:color w:val="auto"/>
          <w:lang w:eastAsia="zh-CN"/>
        </w:rPr>
        <w:t>、</w:t>
      </w:r>
      <w:r>
        <w:rPr>
          <w:rFonts w:ascii="Times New Roman" w:hAnsi="Times New Roman" w:cs="Times New Roman"/>
          <w:color w:val="auto"/>
          <w:lang w:eastAsia="zh-CN"/>
        </w:rPr>
        <w:t>《排污许可证申请与核发技术规范 电子工业》（HJ1031-2019）中废水处理可行技术</w:t>
      </w:r>
      <w:r>
        <w:rPr>
          <w:rFonts w:hint="eastAsia" w:ascii="Times New Roman" w:hAnsi="Times New Roman" w:cs="Times New Roman"/>
          <w:color w:val="auto"/>
          <w:lang w:eastAsia="zh-CN"/>
        </w:rPr>
        <w:t>，本项目废水处理工艺为可行性技术。项目</w:t>
      </w:r>
      <w:r>
        <w:rPr>
          <w:rFonts w:ascii="Times New Roman" w:hAnsi="Times New Roman" w:cs="Times New Roman"/>
          <w:color w:val="auto"/>
          <w:szCs w:val="24"/>
          <w:lang w:eastAsia="zh-CN"/>
        </w:rPr>
        <w:t>废水</w:t>
      </w:r>
      <w:r>
        <w:rPr>
          <w:rFonts w:hint="eastAsia" w:ascii="Times New Roman" w:hAnsi="Times New Roman" w:cs="Times New Roman"/>
          <w:color w:val="auto"/>
          <w:szCs w:val="24"/>
          <w:lang w:eastAsia="zh-CN"/>
        </w:rPr>
        <w:t>排放</w:t>
      </w:r>
      <w:r>
        <w:rPr>
          <w:rFonts w:ascii="Times New Roman" w:hAnsi="Times New Roman" w:cs="Times New Roman"/>
          <w:color w:val="auto"/>
          <w:szCs w:val="24"/>
          <w:lang w:eastAsia="zh-CN"/>
        </w:rPr>
        <w:t>满足沫河口污水处理厂接管限值及</w:t>
      </w:r>
      <w:r>
        <w:rPr>
          <w:rFonts w:hint="eastAsia" w:ascii="Times New Roman" w:hAnsi="Times New Roman" w:cs="Times New Roman"/>
          <w:color w:val="auto"/>
          <w:lang w:eastAsia="zh-CN"/>
        </w:rPr>
        <w:t>《无机化学工业污染物排放标准》（GB31573-2015）、</w:t>
      </w:r>
      <w:r>
        <w:rPr>
          <w:rFonts w:ascii="Times New Roman" w:hAnsi="Times New Roman" w:cs="Times New Roman"/>
          <w:color w:val="auto"/>
          <w:lang w:eastAsia="zh-CN"/>
        </w:rPr>
        <w:t>《电子工业水污染物排放标准》（GB39731-2020）</w:t>
      </w:r>
      <w:r>
        <w:rPr>
          <w:rFonts w:ascii="Times New Roman" w:hAnsi="Times New Roman" w:eastAsia="新宋体" w:cs="Times New Roman"/>
          <w:color w:val="auto"/>
          <w:szCs w:val="24"/>
          <w:lang w:eastAsia="zh-CN"/>
        </w:rPr>
        <w:t>中</w:t>
      </w:r>
      <w:r>
        <w:rPr>
          <w:rFonts w:ascii="Times New Roman" w:hAnsi="Times New Roman" w:cs="Times New Roman"/>
          <w:color w:val="auto"/>
          <w:szCs w:val="24"/>
          <w:lang w:eastAsia="zh-CN"/>
        </w:rPr>
        <w:t>标准限值。</w:t>
      </w:r>
    </w:p>
    <w:p w14:paraId="7E18F09A">
      <w:pPr>
        <w:widowControl w:val="0"/>
        <w:spacing w:line="360" w:lineRule="auto"/>
        <w:ind w:firstLine="480" w:firstLineChars="200"/>
        <w:jc w:val="both"/>
        <w:rPr>
          <w:rFonts w:ascii="Times New Roman" w:hAnsi="Times New Roman" w:cs="Times New Roman"/>
          <w:color w:val="auto"/>
          <w:szCs w:val="24"/>
          <w:lang w:eastAsia="zh-CN"/>
        </w:rPr>
      </w:pPr>
      <w:r>
        <w:rPr>
          <w:rFonts w:ascii="宋体" w:hAnsi="宋体" w:cs="Cambria Math"/>
          <w:color w:val="auto"/>
          <w:szCs w:val="24"/>
          <w:lang w:eastAsia="zh-CN"/>
        </w:rPr>
        <w:t>②</w:t>
      </w:r>
      <w:r>
        <w:rPr>
          <w:rFonts w:ascii="Times New Roman" w:hAnsi="Times New Roman" w:cs="Times New Roman"/>
          <w:color w:val="auto"/>
          <w:szCs w:val="24"/>
          <w:lang w:eastAsia="zh-CN"/>
        </w:rPr>
        <w:t xml:space="preserve"> 处理能力匹配性</w:t>
      </w:r>
    </w:p>
    <w:p w14:paraId="1DD340DA">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本项目排入污水处理站处理废水量为</w:t>
      </w:r>
      <w:r>
        <w:rPr>
          <w:rFonts w:hint="eastAsia" w:ascii="Times New Roman" w:hAnsi="Times New Roman" w:cs="Times New Roman"/>
          <w:color w:val="auto"/>
          <w:szCs w:val="24"/>
          <w:lang w:eastAsia="zh-CN"/>
        </w:rPr>
        <w:t>31.96</w:t>
      </w:r>
      <w:r>
        <w:rPr>
          <w:rFonts w:ascii="Times New Roman" w:hAnsi="Times New Roman" w:cs="Times New Roman"/>
          <w:color w:val="auto"/>
          <w:szCs w:val="24"/>
          <w:lang w:eastAsia="zh-CN"/>
        </w:rPr>
        <w:t>t/d，改扩建后，全厂排入污水处理站处理废水量为</w:t>
      </w:r>
      <w:r>
        <w:rPr>
          <w:rFonts w:hint="eastAsia" w:ascii="Times New Roman" w:hAnsi="Times New Roman" w:cs="Times New Roman"/>
          <w:color w:val="auto"/>
          <w:szCs w:val="24"/>
          <w:lang w:eastAsia="zh-CN"/>
        </w:rPr>
        <w:t>33.6</w:t>
      </w:r>
      <w:r>
        <w:rPr>
          <w:rFonts w:ascii="Times New Roman" w:hAnsi="Times New Roman" w:cs="Times New Roman"/>
          <w:color w:val="auto"/>
          <w:szCs w:val="24"/>
          <w:lang w:eastAsia="zh-CN"/>
        </w:rPr>
        <w:t>t/d</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未突破污水处理站处理规模40t/d</w:t>
      </w:r>
      <w:r>
        <w:rPr>
          <w:rFonts w:hint="eastAsia" w:ascii="Times New Roman" w:hAnsi="Times New Roman" w:cs="Times New Roman"/>
          <w:color w:val="auto"/>
          <w:szCs w:val="24"/>
          <w:lang w:eastAsia="zh-CN"/>
        </w:rPr>
        <w:t>，现有厂区污水处理站</w:t>
      </w:r>
      <w:r>
        <w:rPr>
          <w:rFonts w:ascii="Times New Roman" w:hAnsi="Times New Roman" w:cs="Times New Roman"/>
          <w:color w:val="auto"/>
          <w:szCs w:val="24"/>
          <w:lang w:eastAsia="zh-CN"/>
        </w:rPr>
        <w:t>能够满足本项目废水处理需求。</w:t>
      </w:r>
    </w:p>
    <w:p w14:paraId="4C6BBD3E">
      <w:pPr>
        <w:widowControl w:val="0"/>
        <w:spacing w:line="360" w:lineRule="auto"/>
        <w:ind w:left="48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（2）</w:t>
      </w:r>
      <w:r>
        <w:rPr>
          <w:rFonts w:ascii="Times New Roman" w:hAnsi="Times New Roman" w:cs="Times New Roman"/>
          <w:color w:val="auto"/>
          <w:szCs w:val="24"/>
          <w:lang w:eastAsia="zh-CN"/>
        </w:rPr>
        <w:t>沫河口污水处理厂处理有效性分析</w:t>
      </w:r>
    </w:p>
    <w:p w14:paraId="5C47C964">
      <w:pPr>
        <w:widowControl w:val="0"/>
        <w:spacing w:line="360" w:lineRule="auto"/>
        <w:ind w:firstLine="480" w:firstLineChars="200"/>
        <w:jc w:val="both"/>
        <w:rPr>
          <w:rFonts w:ascii="Times New Roman" w:hAnsi="Times New Roman" w:cs="Times New Roman"/>
          <w:color w:val="auto"/>
          <w:szCs w:val="24"/>
          <w:lang w:eastAsia="zh-CN"/>
        </w:rPr>
      </w:pPr>
      <w:r>
        <w:rPr>
          <w:rFonts w:ascii="宋体" w:hAnsi="宋体" w:cs="Cambria Math"/>
          <w:color w:val="auto"/>
          <w:szCs w:val="24"/>
          <w:lang w:eastAsia="zh-CN"/>
        </w:rPr>
        <w:t>①</w:t>
      </w:r>
      <w:r>
        <w:rPr>
          <w:rFonts w:ascii="Times New Roman" w:hAnsi="Times New Roman" w:cs="Times New Roman"/>
          <w:color w:val="auto"/>
          <w:szCs w:val="24"/>
          <w:lang w:eastAsia="zh-CN"/>
        </w:rPr>
        <w:t xml:space="preserve"> 处理能力匹配性</w:t>
      </w:r>
    </w:p>
    <w:p w14:paraId="4905E150">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沫河口污水厂位于蚌埠精细化工产业基地金漴路和南环路交叉口东北侧，接管范围主要为安徽蚌埠精细化工高新技术产业基地内工业废水及生活污水。设计规模为5万m</w:t>
      </w:r>
      <w:r>
        <w:rPr>
          <w:rFonts w:ascii="Times New Roman" w:hAnsi="Times New Roman" w:cs="Times New Roman"/>
          <w:color w:val="auto"/>
          <w:szCs w:val="24"/>
          <w:vertAlign w:val="superscript"/>
          <w:lang w:eastAsia="zh-CN"/>
        </w:rPr>
        <w:t>3</w:t>
      </w:r>
      <w:r>
        <w:rPr>
          <w:rFonts w:ascii="Times New Roman" w:hAnsi="Times New Roman" w:cs="Times New Roman"/>
          <w:color w:val="auto"/>
          <w:szCs w:val="24"/>
          <w:lang w:eastAsia="zh-CN"/>
        </w:rPr>
        <w:t>/d，其中2万m</w:t>
      </w:r>
      <w:r>
        <w:rPr>
          <w:rFonts w:ascii="Times New Roman" w:hAnsi="Times New Roman" w:cs="Times New Roman"/>
          <w:color w:val="auto"/>
          <w:szCs w:val="24"/>
          <w:vertAlign w:val="superscript"/>
          <w:lang w:eastAsia="zh-CN"/>
        </w:rPr>
        <w:t>3</w:t>
      </w:r>
      <w:r>
        <w:rPr>
          <w:rFonts w:ascii="Times New Roman" w:hAnsi="Times New Roman" w:cs="Times New Roman"/>
          <w:color w:val="auto"/>
          <w:szCs w:val="24"/>
          <w:lang w:eastAsia="zh-CN"/>
        </w:rPr>
        <w:t>/d规模已验收且正常运营，规划3万m</w:t>
      </w:r>
      <w:r>
        <w:rPr>
          <w:rFonts w:ascii="Times New Roman" w:hAnsi="Times New Roman" w:cs="Times New Roman"/>
          <w:color w:val="auto"/>
          <w:szCs w:val="24"/>
          <w:vertAlign w:val="superscript"/>
          <w:lang w:eastAsia="zh-CN"/>
        </w:rPr>
        <w:t>3</w:t>
      </w:r>
      <w:r>
        <w:rPr>
          <w:rFonts w:ascii="Times New Roman" w:hAnsi="Times New Roman" w:cs="Times New Roman"/>
          <w:color w:val="auto"/>
          <w:szCs w:val="24"/>
          <w:lang w:eastAsia="zh-CN"/>
        </w:rPr>
        <w:t>/d已投入试运行，尚未完成环保竣工验收。区内管道已铺设到位，企业废水经沫河口污水处理厂处理达到《城镇污水处理厂污染物排放标准》(GB18918-2002)一级A标准后，经三铺大沟后最终排放进入淮河。</w:t>
      </w:r>
    </w:p>
    <w:p w14:paraId="01A187B1">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本项目外排废水排放量为</w:t>
      </w:r>
      <w:r>
        <w:rPr>
          <w:rFonts w:hint="eastAsia" w:ascii="Times New Roman" w:hAnsi="Times New Roman" w:cs="Times New Roman"/>
          <w:color w:val="000000" w:themeColor="text1"/>
          <w:szCs w:val="24"/>
          <w:lang w:eastAsia="zh-CN"/>
          <w14:textFill>
            <w14:solidFill>
              <w14:schemeClr w14:val="tx1"/>
            </w14:solidFill>
          </w14:textFill>
        </w:rPr>
        <w:t>111.81</w:t>
      </w:r>
      <w:r>
        <w:rPr>
          <w:rFonts w:ascii="Times New Roman" w:hAnsi="Times New Roman" w:cs="Times New Roman"/>
          <w:color w:val="auto"/>
          <w:szCs w:val="24"/>
          <w:lang w:eastAsia="zh-CN"/>
        </w:rPr>
        <w:t>m</w:t>
      </w:r>
      <w:r>
        <w:rPr>
          <w:rFonts w:ascii="Times New Roman" w:hAnsi="Times New Roman" w:cs="Times New Roman"/>
          <w:color w:val="auto"/>
          <w:szCs w:val="24"/>
          <w:vertAlign w:val="superscript"/>
          <w:lang w:eastAsia="zh-CN"/>
        </w:rPr>
        <w:t>3</w:t>
      </w:r>
      <w:r>
        <w:rPr>
          <w:rFonts w:ascii="Times New Roman" w:hAnsi="Times New Roman" w:cs="Times New Roman"/>
          <w:color w:val="auto"/>
          <w:szCs w:val="24"/>
          <w:lang w:eastAsia="zh-CN"/>
        </w:rPr>
        <w:t>/d，沫河口污水处理厂废水设计处理规模为5万m</w:t>
      </w:r>
      <w:r>
        <w:rPr>
          <w:rFonts w:ascii="Times New Roman" w:hAnsi="Times New Roman" w:cs="Times New Roman"/>
          <w:color w:val="auto"/>
          <w:szCs w:val="24"/>
          <w:vertAlign w:val="superscript"/>
          <w:lang w:eastAsia="zh-CN"/>
        </w:rPr>
        <w:t>3</w:t>
      </w:r>
      <w:r>
        <w:rPr>
          <w:rFonts w:ascii="Times New Roman" w:hAnsi="Times New Roman" w:cs="Times New Roman"/>
          <w:color w:val="auto"/>
          <w:szCs w:val="24"/>
          <w:lang w:eastAsia="zh-CN"/>
        </w:rPr>
        <w:t>/d，现有处理规模2万m</w:t>
      </w:r>
      <w:r>
        <w:rPr>
          <w:rFonts w:ascii="Times New Roman" w:hAnsi="Times New Roman" w:cs="Times New Roman"/>
          <w:color w:val="auto"/>
          <w:szCs w:val="24"/>
          <w:vertAlign w:val="superscript"/>
          <w:lang w:eastAsia="zh-CN"/>
        </w:rPr>
        <w:t>3</w:t>
      </w:r>
      <w:r>
        <w:rPr>
          <w:rFonts w:ascii="Times New Roman" w:hAnsi="Times New Roman" w:cs="Times New Roman"/>
          <w:color w:val="auto"/>
          <w:szCs w:val="24"/>
          <w:lang w:eastAsia="zh-CN"/>
        </w:rPr>
        <w:t>/d，三期工程处理规模3万m</w:t>
      </w:r>
      <w:r>
        <w:rPr>
          <w:rFonts w:ascii="Times New Roman" w:hAnsi="Times New Roman" w:cs="Times New Roman"/>
          <w:color w:val="auto"/>
          <w:szCs w:val="24"/>
          <w:vertAlign w:val="superscript"/>
          <w:lang w:eastAsia="zh-CN"/>
        </w:rPr>
        <w:t>3</w:t>
      </w:r>
      <w:r>
        <w:rPr>
          <w:rFonts w:ascii="Times New Roman" w:hAnsi="Times New Roman" w:cs="Times New Roman"/>
          <w:color w:val="auto"/>
          <w:szCs w:val="24"/>
          <w:lang w:eastAsia="zh-CN"/>
        </w:rPr>
        <w:t>/d目前已建成试运营并已申领排污许可证，目前污水处理厂现状处理量约11000m</w:t>
      </w:r>
      <w:r>
        <w:rPr>
          <w:rFonts w:ascii="Times New Roman" w:hAnsi="Times New Roman" w:cs="Times New Roman"/>
          <w:color w:val="auto"/>
          <w:szCs w:val="24"/>
          <w:vertAlign w:val="superscript"/>
          <w:lang w:eastAsia="zh-CN"/>
        </w:rPr>
        <w:t>3</w:t>
      </w:r>
      <w:r>
        <w:rPr>
          <w:rFonts w:ascii="Times New Roman" w:hAnsi="Times New Roman" w:cs="Times New Roman"/>
          <w:color w:val="auto"/>
          <w:szCs w:val="24"/>
          <w:lang w:eastAsia="zh-CN"/>
        </w:rPr>
        <w:t>/d，剩余处理能力39000m</w:t>
      </w:r>
      <w:r>
        <w:rPr>
          <w:rFonts w:ascii="Times New Roman" w:hAnsi="Times New Roman" w:cs="Times New Roman"/>
          <w:color w:val="auto"/>
          <w:szCs w:val="24"/>
          <w:vertAlign w:val="superscript"/>
          <w:lang w:eastAsia="zh-CN"/>
        </w:rPr>
        <w:t>3</w:t>
      </w:r>
      <w:r>
        <w:rPr>
          <w:rFonts w:ascii="Times New Roman" w:hAnsi="Times New Roman" w:cs="Times New Roman"/>
          <w:color w:val="auto"/>
          <w:szCs w:val="24"/>
          <w:lang w:eastAsia="zh-CN"/>
        </w:rPr>
        <w:t>/d，因此沫河口污水处理厂现有处理规模能够满足本项目废水处理需求。</w:t>
      </w:r>
    </w:p>
    <w:p w14:paraId="2CDF4BAC">
      <w:pPr>
        <w:widowControl w:val="0"/>
        <w:spacing w:line="360" w:lineRule="auto"/>
        <w:ind w:firstLine="480" w:firstLineChars="200"/>
        <w:jc w:val="both"/>
        <w:rPr>
          <w:rFonts w:ascii="Times New Roman" w:hAnsi="Times New Roman" w:cs="Times New Roman"/>
          <w:color w:val="auto"/>
          <w:szCs w:val="24"/>
          <w:lang w:eastAsia="zh-CN"/>
        </w:rPr>
      </w:pPr>
      <w:r>
        <w:rPr>
          <w:rFonts w:ascii="宋体" w:hAnsi="宋体" w:cs="Cambria Math"/>
          <w:color w:val="auto"/>
          <w:szCs w:val="24"/>
          <w:lang w:eastAsia="zh-CN"/>
        </w:rPr>
        <w:t>②</w:t>
      </w:r>
      <w:r>
        <w:rPr>
          <w:rFonts w:ascii="Times New Roman" w:hAnsi="Times New Roman" w:cs="Times New Roman"/>
          <w:color w:val="auto"/>
          <w:szCs w:val="24"/>
          <w:lang w:eastAsia="zh-CN"/>
        </w:rPr>
        <w:t xml:space="preserve"> 收集管网可达性</w:t>
      </w:r>
    </w:p>
    <w:p w14:paraId="0D66CC12">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根据管委会提供污水管网施工设计图，基地内污水管网已全部铺设到位，污水管网均架空铺设，本项目厂区污水处理站经过污水局部加压泵站提升后进入地面架空综合管廊，最后进入污水处理厂，可满足配套管网接入沫河口污水处理厂的要求。</w:t>
      </w:r>
    </w:p>
    <w:p w14:paraId="3BAF9190">
      <w:pPr>
        <w:widowControl w:val="0"/>
        <w:spacing w:line="360" w:lineRule="auto"/>
        <w:ind w:firstLine="480" w:firstLineChars="200"/>
        <w:jc w:val="both"/>
        <w:rPr>
          <w:rFonts w:ascii="Times New Roman" w:hAnsi="Times New Roman" w:cs="Times New Roman"/>
          <w:color w:val="auto"/>
          <w:szCs w:val="24"/>
          <w:lang w:eastAsia="zh-CN"/>
        </w:rPr>
      </w:pPr>
      <w:r>
        <w:rPr>
          <w:rFonts w:ascii="宋体" w:hAnsi="宋体" w:cs="Cambria Math"/>
          <w:color w:val="auto"/>
          <w:szCs w:val="24"/>
          <w:lang w:eastAsia="zh-CN"/>
        </w:rPr>
        <w:t>③</w:t>
      </w:r>
      <w:r>
        <w:rPr>
          <w:rFonts w:ascii="Times New Roman" w:hAnsi="Times New Roman" w:cs="Times New Roman"/>
          <w:color w:val="auto"/>
          <w:szCs w:val="24"/>
          <w:lang w:eastAsia="zh-CN"/>
        </w:rPr>
        <w:t xml:space="preserve"> 废水处理达标可行性</w:t>
      </w:r>
    </w:p>
    <w:p w14:paraId="59701A4A">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沫河口污水处理厂二期处理工艺为“曝气沉砂池+调节池+水解酸化池+生物反应及沉淀池+反应沉淀池+臭氧接触池+曝气生物滤池+滤布滤池及消毒池”，三期处理工艺为“水解酸化+A</w:t>
      </w:r>
      <w:r>
        <w:rPr>
          <w:rFonts w:ascii="Times New Roman" w:hAnsi="Times New Roman" w:cs="Times New Roman"/>
          <w:color w:val="auto"/>
          <w:szCs w:val="24"/>
          <w:vertAlign w:val="subscript"/>
          <w:lang w:eastAsia="zh-CN"/>
        </w:rPr>
        <w:t>2</w:t>
      </w:r>
      <w:r>
        <w:rPr>
          <w:rFonts w:ascii="Times New Roman" w:hAnsi="Times New Roman" w:cs="Times New Roman"/>
          <w:color w:val="auto"/>
          <w:szCs w:val="24"/>
          <w:lang w:eastAsia="zh-CN"/>
        </w:rPr>
        <w:t>/O 生化处理＋磁介质高效沉淀池+反硝化深床滤池+接触消毒”；厂区污水处理站能够确保将废水处理达到接管标准</w:t>
      </w:r>
      <w:r>
        <w:rPr>
          <w:rFonts w:hint="eastAsia" w:ascii="Times New Roman" w:hAnsi="Times New Roman" w:cs="Times New Roman"/>
          <w:color w:val="auto"/>
          <w:szCs w:val="24"/>
          <w:lang w:eastAsia="zh-CN"/>
        </w:rPr>
        <w:t>以及</w:t>
      </w:r>
      <w:r>
        <w:rPr>
          <w:rFonts w:ascii="Times New Roman" w:hAnsi="Times New Roman" w:cs="Times New Roman"/>
          <w:color w:val="auto"/>
          <w:lang w:eastAsia="zh-CN"/>
        </w:rPr>
        <w:t>《无机化学工业污染物排放标准》（GB31573-2015）</w:t>
      </w:r>
      <w:r>
        <w:rPr>
          <w:rFonts w:hint="eastAsia" w:ascii="Times New Roman" w:hAnsi="Times New Roman" w:cs="Times New Roman"/>
          <w:color w:val="auto"/>
          <w:lang w:eastAsia="zh-CN"/>
        </w:rPr>
        <w:t>、</w:t>
      </w:r>
      <w:r>
        <w:rPr>
          <w:rFonts w:ascii="Times New Roman" w:hAnsi="Times New Roman" w:cs="Times New Roman"/>
          <w:color w:val="auto"/>
          <w:lang w:eastAsia="zh-CN"/>
        </w:rPr>
        <w:t>《电子工业水污染物排放标准》（GB39731-2020）</w:t>
      </w:r>
      <w:r>
        <w:rPr>
          <w:rFonts w:ascii="Times New Roman" w:hAnsi="Times New Roman" w:cs="Times New Roman"/>
          <w:color w:val="auto"/>
          <w:szCs w:val="24"/>
          <w:lang w:eastAsia="zh-CN"/>
        </w:rPr>
        <w:t>中标准限值，因此，不会对沫河口污水处理厂处理工艺造成冲击。</w:t>
      </w:r>
    </w:p>
    <w:p w14:paraId="3CAD6A4A">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综上，评价认为拟建项目废水经“</w:t>
      </w:r>
      <w:r>
        <w:rPr>
          <w:rFonts w:ascii="Times New Roman" w:hAnsi="Times New Roman" w:cs="Times New Roman"/>
          <w:color w:val="auto"/>
          <w:lang w:eastAsia="zh-CN"/>
        </w:rPr>
        <w:t>四级除氟反应+四级除氟沉淀</w:t>
      </w:r>
      <w:r>
        <w:rPr>
          <w:rFonts w:ascii="Times New Roman" w:hAnsi="Times New Roman" w:cs="Times New Roman"/>
          <w:color w:val="auto"/>
          <w:szCs w:val="24"/>
          <w:lang w:eastAsia="zh-CN"/>
        </w:rPr>
        <w:t>”处理达到沫河口污水处理厂接管限值及</w:t>
      </w:r>
      <w:r>
        <w:rPr>
          <w:rFonts w:hint="eastAsia" w:ascii="Times New Roman" w:hAnsi="Times New Roman" w:cs="Times New Roman"/>
          <w:color w:val="auto"/>
          <w:lang w:eastAsia="zh-CN"/>
        </w:rPr>
        <w:t>《无机化学工业污染物排放标准》（GB31573-2015）、</w:t>
      </w:r>
      <w:bookmarkStart w:id="1530" w:name="OLE_LINK3"/>
      <w:r>
        <w:rPr>
          <w:rFonts w:ascii="Times New Roman" w:hAnsi="Times New Roman" w:cs="Times New Roman"/>
          <w:color w:val="auto"/>
          <w:lang w:eastAsia="zh-CN"/>
        </w:rPr>
        <w:t>《电子工业水污染物排放标准》（GB39731-2020）</w:t>
      </w:r>
      <w:bookmarkEnd w:id="1530"/>
      <w:r>
        <w:rPr>
          <w:rFonts w:ascii="Times New Roman" w:hAnsi="Times New Roman" w:cs="Times New Roman"/>
          <w:color w:val="auto"/>
          <w:szCs w:val="24"/>
          <w:lang w:eastAsia="zh-CN"/>
        </w:rPr>
        <w:t>标准后进入沫河口污水处理厂可行，外排废水达到《城镇污水处理厂污染物排放标准》（GB 18918-2002）一级 A 排放标准，项目建设对区域地表水环境造成的不利影响较小。</w:t>
      </w:r>
    </w:p>
    <w:p w14:paraId="26117189">
      <w:pPr>
        <w:widowControl w:val="0"/>
        <w:spacing w:line="360" w:lineRule="auto"/>
        <w:ind w:firstLine="562"/>
        <w:outlineLvl w:val="1"/>
        <w:rPr>
          <w:rFonts w:ascii="Times New Roman" w:hAnsi="Times New Roman" w:cs="Times New Roman"/>
          <w:b/>
          <w:bCs/>
          <w:color w:val="auto"/>
          <w:sz w:val="28"/>
          <w:szCs w:val="28"/>
          <w:lang w:eastAsia="zh-CN"/>
        </w:rPr>
      </w:pPr>
      <w:bookmarkStart w:id="1531" w:name="_Toc237508335"/>
      <w:r>
        <w:rPr>
          <w:rFonts w:ascii="Times New Roman" w:hAnsi="Times New Roman" w:cs="Times New Roman"/>
          <w:b/>
          <w:bCs/>
          <w:color w:val="auto"/>
          <w:sz w:val="28"/>
          <w:szCs w:val="28"/>
          <w:lang w:eastAsia="zh-CN"/>
        </w:rPr>
        <w:t>6.</w:t>
      </w:r>
      <w:r>
        <w:rPr>
          <w:rFonts w:hint="eastAsia" w:ascii="Times New Roman" w:hAnsi="Times New Roman" w:cs="Times New Roman"/>
          <w:b/>
          <w:bCs/>
          <w:color w:val="auto"/>
          <w:sz w:val="28"/>
          <w:szCs w:val="28"/>
          <w:lang w:eastAsia="zh-CN"/>
        </w:rPr>
        <w:t>4</w:t>
      </w:r>
      <w:r>
        <w:rPr>
          <w:rFonts w:ascii="Times New Roman" w:hAnsi="Times New Roman" w:cs="Times New Roman"/>
          <w:b/>
          <w:bCs/>
          <w:color w:val="auto"/>
          <w:sz w:val="28"/>
          <w:szCs w:val="28"/>
          <w:lang w:eastAsia="zh-CN"/>
        </w:rPr>
        <w:t xml:space="preserve"> 运营期</w:t>
      </w:r>
      <w:r>
        <w:rPr>
          <w:rFonts w:hint="eastAsia" w:ascii="Times New Roman" w:hAnsi="Times New Roman" w:cs="Times New Roman"/>
          <w:b/>
          <w:bCs/>
          <w:color w:val="auto"/>
          <w:sz w:val="28"/>
          <w:szCs w:val="28"/>
          <w:lang w:eastAsia="zh-CN"/>
        </w:rPr>
        <w:t>声</w:t>
      </w:r>
      <w:r>
        <w:rPr>
          <w:rFonts w:ascii="Times New Roman" w:hAnsi="Times New Roman" w:cs="Times New Roman"/>
          <w:b/>
          <w:bCs/>
          <w:color w:val="auto"/>
          <w:sz w:val="28"/>
          <w:szCs w:val="28"/>
          <w:lang w:eastAsia="zh-CN"/>
        </w:rPr>
        <w:t>环境影响分析</w:t>
      </w:r>
      <w:bookmarkEnd w:id="1531"/>
    </w:p>
    <w:p w14:paraId="15AF4F01">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本次评价车间新增泵、风机等噪声源，采取合适的预测模式论证东、西、南、北四周厂界达标可行性。</w:t>
      </w:r>
    </w:p>
    <w:p w14:paraId="01769BD4">
      <w:pPr>
        <w:widowControl w:val="0"/>
        <w:spacing w:line="360" w:lineRule="auto"/>
        <w:ind w:firstLine="482"/>
        <w:jc w:val="both"/>
        <w:outlineLvl w:val="2"/>
        <w:rPr>
          <w:rFonts w:ascii="Times New Roman" w:hAnsi="Times New Roman" w:cs="Times New Roman"/>
          <w:b/>
          <w:bCs/>
          <w:color w:val="auto"/>
          <w:lang w:eastAsia="zh-CN"/>
        </w:rPr>
      </w:pPr>
      <w:bookmarkStart w:id="1532" w:name="_Toc203927044"/>
      <w:bookmarkStart w:id="1533" w:name="_Toc173740321"/>
      <w:bookmarkStart w:id="1534" w:name="_Toc173743425"/>
      <w:bookmarkStart w:id="1535" w:name="_Toc176513052"/>
      <w:bookmarkStart w:id="1536" w:name="_Toc223425101"/>
      <w:bookmarkStart w:id="1537" w:name="_Toc236641354"/>
      <w:bookmarkStart w:id="1538" w:name="_Toc237508336"/>
      <w:bookmarkStart w:id="1539" w:name="_Toc231828623"/>
      <w:bookmarkStart w:id="1540" w:name="_Toc221900883"/>
      <w:bookmarkStart w:id="1541" w:name="_Toc178602392"/>
      <w:bookmarkStart w:id="1542" w:name="_Toc218784326"/>
      <w:bookmarkStart w:id="1543" w:name="_Toc172555683"/>
      <w:bookmarkStart w:id="1544" w:name="_Toc18557"/>
      <w:bookmarkStart w:id="1545" w:name="_Toc224674741"/>
      <w:bookmarkStart w:id="1546" w:name="_Toc204448510"/>
      <w:bookmarkStart w:id="1547" w:name="_Toc236641871"/>
      <w:bookmarkStart w:id="1548" w:name="_Toc175164316"/>
      <w:bookmarkStart w:id="1549" w:name="_Toc204515245"/>
      <w:bookmarkStart w:id="1550" w:name="_Toc225784102"/>
      <w:r>
        <w:rPr>
          <w:rFonts w:ascii="Times New Roman" w:hAnsi="Times New Roman" w:cs="Times New Roman"/>
          <w:b/>
          <w:bCs/>
          <w:color w:val="auto"/>
          <w:lang w:eastAsia="zh-CN"/>
        </w:rPr>
        <w:t>6.4.1 噪声污染源</w:t>
      </w:r>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p>
    <w:p w14:paraId="3E44CBEA">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运营期噪声主要来自风机、泵及其它配套设施等设备。主要噪声源强见“表4.3-1</w:t>
      </w:r>
      <w:r>
        <w:rPr>
          <w:rFonts w:hint="eastAsia" w:ascii="Times New Roman" w:hAnsi="Times New Roman" w:cs="Times New Roman"/>
          <w:color w:val="auto"/>
          <w:lang w:eastAsia="zh-CN"/>
        </w:rPr>
        <w:t>4</w:t>
      </w:r>
      <w:r>
        <w:rPr>
          <w:rFonts w:ascii="Times New Roman" w:hAnsi="Times New Roman" w:cs="Times New Roman"/>
          <w:color w:val="auto"/>
          <w:lang w:eastAsia="zh-CN"/>
        </w:rPr>
        <w:t>、1</w:t>
      </w:r>
      <w:r>
        <w:rPr>
          <w:rFonts w:hint="eastAsia" w:ascii="Times New Roman" w:hAnsi="Times New Roman" w:cs="Times New Roman"/>
          <w:color w:val="auto"/>
          <w:lang w:eastAsia="zh-CN"/>
        </w:rPr>
        <w:t>5</w:t>
      </w:r>
      <w:r>
        <w:rPr>
          <w:rFonts w:ascii="Times New Roman" w:hAnsi="Times New Roman" w:cs="Times New Roman"/>
          <w:color w:val="auto"/>
          <w:lang w:eastAsia="zh-CN"/>
        </w:rPr>
        <w:t>”。</w:t>
      </w:r>
    </w:p>
    <w:p w14:paraId="704F96D0">
      <w:pPr>
        <w:widowControl w:val="0"/>
        <w:spacing w:line="360" w:lineRule="auto"/>
        <w:ind w:firstLine="482"/>
        <w:jc w:val="both"/>
        <w:outlineLvl w:val="2"/>
        <w:rPr>
          <w:rFonts w:ascii="Times New Roman" w:hAnsi="Times New Roman" w:cs="Times New Roman"/>
          <w:b/>
          <w:bCs/>
          <w:color w:val="auto"/>
          <w:lang w:eastAsia="zh-CN"/>
        </w:rPr>
      </w:pPr>
      <w:bookmarkStart w:id="1551" w:name="_Toc178602393"/>
      <w:bookmarkStart w:id="1552" w:name="_Toc176513053"/>
      <w:bookmarkStart w:id="1553" w:name="_Toc231828624"/>
      <w:bookmarkStart w:id="1554" w:name="_Toc204515246"/>
      <w:bookmarkStart w:id="1555" w:name="_Toc236641872"/>
      <w:bookmarkStart w:id="1556" w:name="_Toc21191"/>
      <w:bookmarkStart w:id="1557" w:name="_Toc218784327"/>
      <w:bookmarkStart w:id="1558" w:name="_Toc173743426"/>
      <w:bookmarkStart w:id="1559" w:name="_Toc204448511"/>
      <w:bookmarkStart w:id="1560" w:name="_Toc175164317"/>
      <w:bookmarkStart w:id="1561" w:name="_Toc203927045"/>
      <w:bookmarkStart w:id="1562" w:name="_Toc2414"/>
      <w:bookmarkStart w:id="1563" w:name="_Toc224674742"/>
      <w:bookmarkStart w:id="1564" w:name="_Toc173740322"/>
      <w:bookmarkStart w:id="1565" w:name="_Toc221900884"/>
      <w:bookmarkStart w:id="1566" w:name="_Toc172555684"/>
      <w:bookmarkStart w:id="1567" w:name="_Toc237508337"/>
      <w:bookmarkStart w:id="1568" w:name="_Toc223425102"/>
      <w:bookmarkStart w:id="1569" w:name="_Toc236641355"/>
      <w:bookmarkStart w:id="1570" w:name="_Toc225784103"/>
      <w:r>
        <w:rPr>
          <w:rFonts w:ascii="Times New Roman" w:hAnsi="Times New Roman" w:cs="Times New Roman"/>
          <w:b/>
          <w:bCs/>
          <w:color w:val="auto"/>
          <w:lang w:eastAsia="zh-CN"/>
        </w:rPr>
        <w:t>6.4.2 预测点布设</w:t>
      </w:r>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p>
    <w:p w14:paraId="3859A7D1">
      <w:pPr>
        <w:widowControl w:val="0"/>
        <w:spacing w:line="360" w:lineRule="auto"/>
        <w:ind w:firstLine="480" w:firstLineChars="200"/>
        <w:jc w:val="both"/>
        <w:rPr>
          <w:rFonts w:ascii="Times New Roman" w:hAnsi="Times New Roman" w:cs="Times New Roman"/>
          <w:color w:val="auto"/>
          <w:lang w:eastAsia="zh-CN"/>
        </w:rPr>
      </w:pPr>
      <w:bookmarkStart w:id="1571" w:name="_Toc15240"/>
      <w:r>
        <w:rPr>
          <w:rFonts w:ascii="Times New Roman" w:hAnsi="Times New Roman" w:cs="Times New Roman"/>
          <w:color w:val="auto"/>
          <w:lang w:eastAsia="zh-CN"/>
        </w:rPr>
        <w:t>本项目声环境现状评价中东西南北四周厂界声环境质量能够满足 3 类</w:t>
      </w:r>
      <w:r>
        <w:rPr>
          <w:rFonts w:hint="eastAsia" w:ascii="Times New Roman" w:hAnsi="Times New Roman" w:cs="Times New Roman"/>
          <w:color w:val="auto"/>
          <w:lang w:eastAsia="zh-CN"/>
        </w:rPr>
        <w:t>标准</w:t>
      </w:r>
      <w:r>
        <w:rPr>
          <w:rFonts w:ascii="Times New Roman" w:hAnsi="Times New Roman" w:cs="Times New Roman"/>
          <w:color w:val="auto"/>
          <w:lang w:eastAsia="zh-CN"/>
        </w:rPr>
        <w:t>要求</w:t>
      </w:r>
      <w:bookmarkEnd w:id="1571"/>
      <w:r>
        <w:rPr>
          <w:rFonts w:ascii="Times New Roman" w:hAnsi="Times New Roman" w:cs="Times New Roman"/>
          <w:color w:val="auto"/>
          <w:lang w:eastAsia="zh-CN"/>
        </w:rPr>
        <w:t>，本次评价预测东、北、西、南厂界噪声。</w:t>
      </w:r>
    </w:p>
    <w:p w14:paraId="1DA6D631">
      <w:pPr>
        <w:spacing w:line="360" w:lineRule="auto"/>
        <w:ind w:firstLine="482"/>
        <w:jc w:val="both"/>
        <w:outlineLvl w:val="2"/>
        <w:rPr>
          <w:rFonts w:ascii="Times New Roman" w:hAnsi="Times New Roman" w:cs="Times New Roman"/>
          <w:b/>
          <w:bCs/>
          <w:color w:val="auto"/>
          <w:lang w:eastAsia="zh-CN"/>
        </w:rPr>
      </w:pPr>
      <w:bookmarkStart w:id="1572" w:name="_Toc231828625"/>
      <w:bookmarkStart w:id="1573" w:name="_Toc236641873"/>
      <w:bookmarkStart w:id="1574" w:name="_Toc237508338"/>
      <w:bookmarkStart w:id="1575" w:name="_Toc236641356"/>
      <w:r>
        <w:rPr>
          <w:rFonts w:ascii="Times New Roman" w:hAnsi="Times New Roman" w:cs="Times New Roman"/>
          <w:b/>
          <w:bCs/>
          <w:color w:val="auto"/>
          <w:lang w:eastAsia="zh-CN"/>
        </w:rPr>
        <w:t>6.4.</w:t>
      </w:r>
      <w:r>
        <w:rPr>
          <w:rFonts w:hint="eastAsia" w:ascii="Times New Roman" w:hAnsi="Times New Roman" w:cs="Times New Roman"/>
          <w:b/>
          <w:bCs/>
          <w:color w:val="auto"/>
          <w:lang w:eastAsia="zh-CN"/>
        </w:rPr>
        <w:t>3</w:t>
      </w:r>
      <w:r>
        <w:rPr>
          <w:rFonts w:ascii="Times New Roman" w:hAnsi="Times New Roman" w:cs="Times New Roman"/>
          <w:b/>
          <w:bCs/>
          <w:color w:val="auto"/>
          <w:lang w:eastAsia="zh-CN"/>
        </w:rPr>
        <w:t xml:space="preserve"> 预测</w:t>
      </w:r>
      <w:r>
        <w:rPr>
          <w:rFonts w:hint="eastAsia" w:ascii="Times New Roman" w:hAnsi="Times New Roman" w:cs="Times New Roman"/>
          <w:b/>
          <w:bCs/>
          <w:color w:val="auto"/>
          <w:lang w:eastAsia="zh-CN"/>
        </w:rPr>
        <w:t>模式</w:t>
      </w:r>
      <w:bookmarkEnd w:id="1572"/>
      <w:bookmarkEnd w:id="1573"/>
      <w:bookmarkEnd w:id="1574"/>
      <w:bookmarkEnd w:id="1575"/>
    </w:p>
    <w:p w14:paraId="3C202D87">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确定各噪声源位置，并测量各噪声源到预测点的距离，将各噪声源视为半自由状态噪声源，按声能量在空气传播中衰减模式可计算出某噪声源在预测点的声压级，预测模式如下：</w:t>
      </w:r>
      <w:bookmarkStart w:id="1576" w:name="_Toc17134"/>
    </w:p>
    <w:p w14:paraId="064C3453">
      <w:pPr>
        <w:spacing w:line="360" w:lineRule="auto"/>
        <w:ind w:left="48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（1）</w:t>
      </w:r>
      <w:r>
        <w:rPr>
          <w:rFonts w:ascii="Times New Roman" w:hAnsi="Times New Roman" w:cs="Times New Roman"/>
          <w:color w:val="auto"/>
          <w:szCs w:val="24"/>
          <w:lang w:eastAsia="zh-CN"/>
        </w:rPr>
        <w:t>室外噪声源</w:t>
      </w:r>
      <w:bookmarkEnd w:id="1576"/>
    </w:p>
    <w:p w14:paraId="34801B43">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计算某个声源在预测点的倍频带声压级：</w:t>
      </w:r>
    </w:p>
    <w:p w14:paraId="31A29B47">
      <w:pPr>
        <w:spacing w:line="360" w:lineRule="auto"/>
        <w:ind w:firstLine="480"/>
        <w:jc w:val="center"/>
        <w:rPr>
          <w:rFonts w:ascii="Times New Roman" w:hAnsi="Times New Roman" w:cs="Times New Roman"/>
          <w:color w:val="auto"/>
          <w:szCs w:val="24"/>
          <w:lang w:eastAsia="zh-CN"/>
        </w:rPr>
      </w:pPr>
      <w:r>
        <w:rPr>
          <w:rFonts w:ascii="Times New Roman" w:hAnsi="Times New Roman" w:cs="Times New Roman"/>
          <w:color w:val="auto"/>
          <w:szCs w:val="24"/>
          <w:lang w:eastAsia="zh-CN"/>
        </w:rPr>
        <w:drawing>
          <wp:inline distT="0" distB="0" distL="0" distR="0">
            <wp:extent cx="3838575" cy="723900"/>
            <wp:effectExtent l="0" t="0" r="0" b="0"/>
            <wp:docPr id="105" name="图片 512" descr="微信截图_2023112812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512" descr="微信截图_2023112812135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a:off x="0" y="0"/>
                      <a:ext cx="3838575" cy="723900"/>
                    </a:xfrm>
                    <a:prstGeom prst="rect">
                      <a:avLst/>
                    </a:prstGeom>
                    <a:noFill/>
                    <a:ln>
                      <a:noFill/>
                    </a:ln>
                  </pic:spPr>
                </pic:pic>
              </a:graphicData>
            </a:graphic>
          </wp:inline>
        </w:drawing>
      </w:r>
    </w:p>
    <w:p w14:paraId="462BC6A3">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式中：Loct（r）—— 点声源在预测点产生的倍频带声压级；</w:t>
      </w:r>
    </w:p>
    <w:p w14:paraId="18703EDF">
      <w:pPr>
        <w:spacing w:line="360" w:lineRule="auto"/>
        <w:ind w:firstLine="1200" w:firstLineChars="500"/>
        <w:rPr>
          <w:rFonts w:ascii="Times New Roman" w:hAnsi="Times New Roman" w:cs="Times New Roman"/>
          <w:color w:val="auto"/>
          <w:szCs w:val="24"/>
          <w:lang w:eastAsia="zh-CN"/>
        </w:rPr>
      </w:pPr>
      <w:r>
        <w:rPr>
          <w:rFonts w:ascii="Times New Roman" w:hAnsi="Times New Roman" w:cs="Times New Roman"/>
          <w:color w:val="auto"/>
          <w:szCs w:val="24"/>
          <w:lang w:eastAsia="zh-CN"/>
        </w:rPr>
        <w:t>Loct（r0）—参考位置 r0 处的倍频带声压级；</w:t>
      </w:r>
    </w:p>
    <w:p w14:paraId="2528BAD1">
      <w:pPr>
        <w:spacing w:line="360" w:lineRule="auto"/>
        <w:ind w:firstLine="1200" w:firstLineChars="500"/>
        <w:rPr>
          <w:rFonts w:ascii="Times New Roman" w:hAnsi="Times New Roman" w:cs="Times New Roman"/>
          <w:color w:val="auto"/>
          <w:szCs w:val="24"/>
          <w:lang w:eastAsia="zh-CN"/>
        </w:rPr>
      </w:pPr>
      <w:r>
        <w:rPr>
          <w:rFonts w:ascii="Times New Roman" w:hAnsi="Times New Roman" w:cs="Times New Roman"/>
          <w:color w:val="auto"/>
          <w:szCs w:val="24"/>
          <w:lang w:eastAsia="zh-CN"/>
        </w:rPr>
        <w:t>r—预测点距声源的距离，m；</w:t>
      </w:r>
    </w:p>
    <w:p w14:paraId="2693BA8B">
      <w:pPr>
        <w:spacing w:line="360" w:lineRule="auto"/>
        <w:ind w:firstLine="960" w:firstLineChars="400"/>
        <w:rPr>
          <w:rFonts w:ascii="Times New Roman" w:hAnsi="Times New Roman" w:cs="Times New Roman"/>
          <w:color w:val="auto"/>
          <w:szCs w:val="24"/>
          <w:lang w:eastAsia="zh-CN"/>
        </w:rPr>
      </w:pPr>
      <w:r>
        <w:rPr>
          <w:rFonts w:ascii="Times New Roman" w:hAnsi="Times New Roman" w:cs="Times New Roman"/>
          <w:color w:val="auto"/>
          <w:szCs w:val="24"/>
          <w:lang w:eastAsia="zh-CN"/>
        </w:rPr>
        <w:t>r0—参考位置距声源的距离，m；</w:t>
      </w:r>
    </w:p>
    <w:p w14:paraId="0C683F70">
      <w:pPr>
        <w:spacing w:line="360" w:lineRule="auto"/>
        <w:ind w:firstLine="960" w:firstLineChars="4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Δloct—各种因素衰减量（包括声屏障、遮挡物、空气吸收、地面效应等衰减量）。</w:t>
      </w:r>
    </w:p>
    <w:p w14:paraId="16567678">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如果已知声源的倍频带声功率级 Lwoct，且声源可看作是位于地面上的，则由各倍频带声压级合成计算出该声源产生的声级 LA。</w:t>
      </w:r>
    </w:p>
    <w:p w14:paraId="0E0B97B6">
      <w:pPr>
        <w:spacing w:line="360" w:lineRule="auto"/>
        <w:ind w:firstLine="480"/>
        <w:jc w:val="center"/>
        <w:rPr>
          <w:rFonts w:ascii="Times New Roman" w:hAnsi="Times New Roman" w:cs="Times New Roman"/>
          <w:color w:val="auto"/>
          <w:szCs w:val="24"/>
          <w:lang w:eastAsia="zh-CN"/>
        </w:rPr>
      </w:pPr>
      <w:r>
        <w:rPr>
          <w:rFonts w:ascii="Times New Roman" w:hAnsi="Times New Roman" w:cs="Times New Roman"/>
          <w:color w:val="auto"/>
          <w:szCs w:val="24"/>
          <w:lang w:eastAsia="zh-CN"/>
        </w:rPr>
        <w:drawing>
          <wp:inline distT="0" distB="0" distL="0" distR="0">
            <wp:extent cx="3276600" cy="733425"/>
            <wp:effectExtent l="0" t="0" r="0" b="0"/>
            <wp:docPr id="106" name="图片 513" descr="微信截图_20231128121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513" descr="微信截图_2023112812162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a:xfrm>
                      <a:off x="0" y="0"/>
                      <a:ext cx="3276600" cy="733425"/>
                    </a:xfrm>
                    <a:prstGeom prst="rect">
                      <a:avLst/>
                    </a:prstGeom>
                    <a:noFill/>
                    <a:ln>
                      <a:noFill/>
                    </a:ln>
                  </pic:spPr>
                </pic:pic>
              </a:graphicData>
            </a:graphic>
          </wp:inline>
        </w:drawing>
      </w:r>
    </w:p>
    <w:p w14:paraId="6DC7EAD8">
      <w:pPr>
        <w:spacing w:line="360" w:lineRule="auto"/>
        <w:ind w:firstLine="480" w:firstLineChars="200"/>
        <w:rPr>
          <w:rFonts w:ascii="Times New Roman" w:hAnsi="Times New Roman" w:cs="Times New Roman"/>
          <w:color w:val="auto"/>
          <w:szCs w:val="24"/>
          <w:lang w:eastAsia="zh-CN"/>
        </w:rPr>
      </w:pPr>
      <w:bookmarkStart w:id="1577" w:name="_Toc8590"/>
      <w:r>
        <w:rPr>
          <w:rFonts w:ascii="Times New Roman" w:hAnsi="Times New Roman" w:cs="Times New Roman"/>
          <w:color w:val="auto"/>
          <w:szCs w:val="24"/>
          <w:lang w:eastAsia="zh-CN"/>
        </w:rPr>
        <w:t>（2）室内声源</w:t>
      </w:r>
      <w:bookmarkEnd w:id="1577"/>
    </w:p>
    <w:p w14:paraId="2989567C">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1）首先计算出某个室内靠近围护结构处的倍频带声压级：</w:t>
      </w:r>
    </w:p>
    <w:p w14:paraId="14C789D3">
      <w:pPr>
        <w:spacing w:line="360" w:lineRule="auto"/>
        <w:ind w:firstLine="480"/>
        <w:jc w:val="center"/>
        <w:rPr>
          <w:rFonts w:ascii="Times New Roman" w:hAnsi="Times New Roman" w:cs="Times New Roman"/>
          <w:color w:val="auto"/>
          <w:szCs w:val="24"/>
          <w:lang w:eastAsia="zh-CN"/>
        </w:rPr>
      </w:pPr>
      <w:r>
        <w:rPr>
          <w:rFonts w:ascii="Times New Roman" w:hAnsi="Times New Roman" w:cs="Times New Roman"/>
          <w:color w:val="auto"/>
          <w:szCs w:val="24"/>
          <w:lang w:eastAsia="zh-CN"/>
        </w:rPr>
        <w:drawing>
          <wp:inline distT="0" distB="0" distL="0" distR="0">
            <wp:extent cx="2705100" cy="647700"/>
            <wp:effectExtent l="0" t="0" r="0" b="0"/>
            <wp:docPr id="107" name="图片 514" descr="微信截图_2023112812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514" descr="微信截图_2023112812171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a:xfrm>
                      <a:off x="0" y="0"/>
                      <a:ext cx="2705100" cy="647700"/>
                    </a:xfrm>
                    <a:prstGeom prst="rect">
                      <a:avLst/>
                    </a:prstGeom>
                    <a:noFill/>
                    <a:ln>
                      <a:noFill/>
                    </a:ln>
                  </pic:spPr>
                </pic:pic>
              </a:graphicData>
            </a:graphic>
          </wp:inline>
        </w:drawing>
      </w:r>
    </w:p>
    <w:p w14:paraId="45FF0EA9">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式中：Loct ，1 某个室内声源在靠近围护结构处产生的倍频带声压级，</w:t>
      </w:r>
    </w:p>
    <w:p w14:paraId="64E24D46">
      <w:pPr>
        <w:spacing w:line="360" w:lineRule="auto"/>
        <w:ind w:firstLine="1200" w:firstLineChars="500"/>
        <w:rPr>
          <w:rFonts w:ascii="Times New Roman" w:hAnsi="Times New Roman" w:cs="Times New Roman"/>
          <w:color w:val="auto"/>
          <w:szCs w:val="24"/>
          <w:lang w:eastAsia="zh-CN"/>
        </w:rPr>
      </w:pPr>
      <w:r>
        <w:rPr>
          <w:rFonts w:ascii="Times New Roman" w:hAnsi="Times New Roman" w:cs="Times New Roman"/>
          <w:color w:val="auto"/>
          <w:szCs w:val="24"/>
          <w:lang w:eastAsia="zh-CN"/>
        </w:rPr>
        <w:t>Lwoct 为某个声源的倍频带声功率级，</w:t>
      </w:r>
    </w:p>
    <w:p w14:paraId="078566F2">
      <w:pPr>
        <w:spacing w:line="360" w:lineRule="auto"/>
        <w:ind w:firstLine="1200" w:firstLineChars="500"/>
        <w:rPr>
          <w:rFonts w:ascii="Times New Roman" w:hAnsi="Times New Roman" w:cs="Times New Roman"/>
          <w:color w:val="auto"/>
          <w:szCs w:val="24"/>
          <w:lang w:eastAsia="zh-CN"/>
        </w:rPr>
      </w:pPr>
      <w:r>
        <w:rPr>
          <w:rFonts w:ascii="Times New Roman" w:hAnsi="Times New Roman" w:cs="Times New Roman"/>
          <w:color w:val="auto"/>
          <w:szCs w:val="24"/>
          <w:lang w:eastAsia="zh-CN"/>
        </w:rPr>
        <w:t>r1 为室内某个声源与靠近围护结构处的距离，R 为房间常数，Q 方向因子。</w:t>
      </w:r>
    </w:p>
    <w:p w14:paraId="23CB1221">
      <w:pPr>
        <w:spacing w:line="360" w:lineRule="auto"/>
        <w:ind w:firstLine="480"/>
        <w:jc w:val="center"/>
        <w:rPr>
          <w:rFonts w:ascii="Times New Roman" w:hAnsi="Times New Roman" w:cs="Times New Roman"/>
          <w:color w:val="auto"/>
          <w:szCs w:val="24"/>
          <w:lang w:eastAsia="zh-CN"/>
        </w:rPr>
      </w:pPr>
      <w:r>
        <w:rPr>
          <w:rFonts w:ascii="Times New Roman" w:hAnsi="Times New Roman" w:cs="Times New Roman"/>
          <w:color w:val="auto"/>
          <w:szCs w:val="24"/>
          <w:lang w:eastAsia="zh-CN"/>
        </w:rPr>
        <w:drawing>
          <wp:inline distT="0" distB="0" distL="0" distR="0">
            <wp:extent cx="1666875" cy="990600"/>
            <wp:effectExtent l="0" t="0" r="0" b="0"/>
            <wp:docPr id="108" name="IM 206"/>
            <wp:cNvGraphicFramePr/>
            <a:graphic xmlns:a="http://schemas.openxmlformats.org/drawingml/2006/main">
              <a:graphicData uri="http://schemas.openxmlformats.org/drawingml/2006/picture">
                <pic:pic xmlns:pic="http://schemas.openxmlformats.org/drawingml/2006/picture">
                  <pic:nvPicPr>
                    <pic:cNvPr id="108" name="IM 206"/>
                    <pic:cNvPicPr>
                      <a:picLocks noChangeArrowheads="1"/>
                    </pic:cNvPicPr>
                  </pic:nvPicPr>
                  <pic:blipFill>
                    <a:blip r:embed="rId91">
                      <a:extLst>
                        <a:ext uri="{28A0092B-C50C-407E-A947-70E740481C1C}">
                          <a14:useLocalDpi xmlns:a14="http://schemas.microsoft.com/office/drawing/2010/main" val="0"/>
                        </a:ext>
                      </a:extLst>
                    </a:blip>
                    <a:srcRect/>
                    <a:stretch>
                      <a:fillRect/>
                    </a:stretch>
                  </pic:blipFill>
                  <pic:spPr>
                    <a:xfrm>
                      <a:off x="0" y="0"/>
                      <a:ext cx="1666875" cy="990600"/>
                    </a:xfrm>
                    <a:prstGeom prst="rect">
                      <a:avLst/>
                    </a:prstGeom>
                    <a:noFill/>
                    <a:ln>
                      <a:noFill/>
                    </a:ln>
                  </pic:spPr>
                </pic:pic>
              </a:graphicData>
            </a:graphic>
          </wp:inline>
        </w:drawing>
      </w:r>
    </w:p>
    <w:p w14:paraId="40834904">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2）再计算出所有室内声源在靠近围护结构处产生的总倍频带声压级：</w:t>
      </w:r>
    </w:p>
    <w:p w14:paraId="0794EDCE">
      <w:pPr>
        <w:spacing w:line="360" w:lineRule="auto"/>
        <w:ind w:firstLine="480"/>
        <w:jc w:val="center"/>
        <w:rPr>
          <w:rFonts w:ascii="Times New Roman" w:hAnsi="Times New Roman" w:cs="Times New Roman"/>
          <w:color w:val="auto"/>
          <w:szCs w:val="24"/>
          <w:lang w:eastAsia="zh-CN"/>
        </w:rPr>
      </w:pPr>
      <w:r>
        <w:rPr>
          <w:rFonts w:ascii="Times New Roman" w:hAnsi="Times New Roman" w:cs="Times New Roman"/>
          <w:color w:val="auto"/>
          <w:szCs w:val="24"/>
          <w:lang w:eastAsia="zh-CN"/>
        </w:rPr>
        <w:drawing>
          <wp:inline distT="0" distB="0" distL="0" distR="0">
            <wp:extent cx="2952750" cy="714375"/>
            <wp:effectExtent l="0" t="0" r="0" b="0"/>
            <wp:docPr id="109" name="图片 515" descr="微信截图_20231128121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515" descr="微信截图_2023112812191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a:xfrm>
                      <a:off x="0" y="0"/>
                      <a:ext cx="2952750" cy="714375"/>
                    </a:xfrm>
                    <a:prstGeom prst="rect">
                      <a:avLst/>
                    </a:prstGeom>
                    <a:noFill/>
                    <a:ln>
                      <a:noFill/>
                    </a:ln>
                  </pic:spPr>
                </pic:pic>
              </a:graphicData>
            </a:graphic>
          </wp:inline>
        </w:drawing>
      </w:r>
    </w:p>
    <w:p w14:paraId="7773B905">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3）计算出室外靠近围护结构处的声压级：</w:t>
      </w:r>
    </w:p>
    <w:p w14:paraId="2D8DF612">
      <w:pPr>
        <w:spacing w:line="360" w:lineRule="auto"/>
        <w:ind w:firstLine="480"/>
        <w:jc w:val="center"/>
        <w:rPr>
          <w:rFonts w:ascii="Times New Roman" w:hAnsi="Times New Roman" w:cs="Times New Roman"/>
          <w:color w:val="auto"/>
          <w:szCs w:val="24"/>
          <w:lang w:eastAsia="zh-CN"/>
        </w:rPr>
      </w:pPr>
      <w:r>
        <w:rPr>
          <w:rFonts w:ascii="Times New Roman" w:hAnsi="Times New Roman" w:cs="Times New Roman"/>
          <w:color w:val="auto"/>
          <w:szCs w:val="24"/>
          <w:lang w:eastAsia="zh-CN"/>
        </w:rPr>
        <w:t>Loct ,2 (T) = Loct ,1 (T) – (Tloct  + 6)</w:t>
      </w:r>
    </w:p>
    <w:p w14:paraId="3A25D0C1">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4）将室外声级 Loct ，2（T）和透声面积换算成等效的室外声源，计算出等效声源第 I 个倍频带的声功率级 Lwoct：</w:t>
      </w:r>
    </w:p>
    <w:p w14:paraId="57C64923">
      <w:pPr>
        <w:spacing w:line="360" w:lineRule="auto"/>
        <w:ind w:firstLine="480"/>
        <w:jc w:val="center"/>
        <w:rPr>
          <w:rFonts w:ascii="Times New Roman" w:hAnsi="Times New Roman" w:cs="Times New Roman"/>
          <w:color w:val="auto"/>
          <w:szCs w:val="24"/>
          <w:lang w:eastAsia="zh-CN"/>
        </w:rPr>
      </w:pPr>
      <w:r>
        <w:rPr>
          <w:rFonts w:ascii="Times New Roman" w:hAnsi="Times New Roman" w:cs="Times New Roman"/>
          <w:color w:val="auto"/>
          <w:szCs w:val="24"/>
          <w:lang w:eastAsia="zh-CN"/>
        </w:rPr>
        <w:t>Lwoct   = Loct , 2 (T) + 10 lg S</w:t>
      </w:r>
    </w:p>
    <w:p w14:paraId="6CF0B96D">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式中：</w:t>
      </w:r>
    </w:p>
    <w:p w14:paraId="6A067225">
      <w:pPr>
        <w:spacing w:line="360" w:lineRule="auto"/>
        <w:ind w:firstLine="960" w:firstLineChars="400"/>
        <w:rPr>
          <w:rFonts w:ascii="Times New Roman" w:hAnsi="Times New Roman" w:cs="Times New Roman"/>
          <w:color w:val="auto"/>
          <w:szCs w:val="24"/>
          <w:lang w:eastAsia="zh-CN"/>
        </w:rPr>
      </w:pPr>
      <w:r>
        <w:rPr>
          <w:rFonts w:ascii="Times New Roman" w:hAnsi="Times New Roman" w:cs="Times New Roman"/>
          <w:color w:val="auto"/>
          <w:szCs w:val="24"/>
          <w:lang w:eastAsia="zh-CN"/>
        </w:rPr>
        <w:t>S 为透声面积，m</w:t>
      </w:r>
      <w:r>
        <w:rPr>
          <w:rFonts w:ascii="Times New Roman" w:hAnsi="Times New Roman" w:cs="Times New Roman"/>
          <w:color w:val="auto"/>
          <w:szCs w:val="24"/>
          <w:vertAlign w:val="superscript"/>
          <w:lang w:eastAsia="zh-CN"/>
        </w:rPr>
        <w:t>2</w:t>
      </w:r>
      <w:r>
        <w:rPr>
          <w:rFonts w:ascii="Times New Roman" w:hAnsi="Times New Roman" w:cs="Times New Roman"/>
          <w:color w:val="auto"/>
          <w:szCs w:val="24"/>
          <w:lang w:eastAsia="zh-CN"/>
        </w:rPr>
        <w:t>。</w:t>
      </w:r>
    </w:p>
    <w:p w14:paraId="1455F6D8">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5）等效室外声源的位置为围护结构的位置，其倍频带声功率级为 Lwoct ，由此按室外声源方法计算等效室外声源在预测点产生的声级。</w:t>
      </w:r>
    </w:p>
    <w:p w14:paraId="40EB8A8B">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由上述各式可计算出周围声环境因该项目设备新增加的声级值，综合该区内的声环境背</w:t>
      </w:r>
    </w:p>
    <w:p w14:paraId="272EDAAD">
      <w:pPr>
        <w:spacing w:line="360" w:lineRule="auto"/>
        <w:ind w:firstLine="48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景值，再按声能量迭加模式预测出某点的总声压级值，预测模式如下：</w:t>
      </w:r>
    </w:p>
    <w:p w14:paraId="3984B34F">
      <w:pPr>
        <w:spacing w:line="360" w:lineRule="auto"/>
        <w:ind w:firstLine="480"/>
        <w:jc w:val="center"/>
        <w:rPr>
          <w:rFonts w:ascii="Times New Roman" w:hAnsi="Times New Roman" w:cs="Times New Roman"/>
          <w:color w:val="auto"/>
          <w:szCs w:val="24"/>
          <w:lang w:eastAsia="zh-CN"/>
        </w:rPr>
      </w:pPr>
      <w:r>
        <w:rPr>
          <w:rFonts w:ascii="Times New Roman" w:hAnsi="Times New Roman" w:cs="Times New Roman"/>
          <w:color w:val="auto"/>
          <w:szCs w:val="24"/>
          <w:lang w:eastAsia="zh-CN"/>
        </w:rPr>
        <w:drawing>
          <wp:inline distT="0" distB="0" distL="0" distR="0">
            <wp:extent cx="4562475" cy="695325"/>
            <wp:effectExtent l="0" t="0" r="0" b="0"/>
            <wp:docPr id="110" name="图片 517" descr="微信截图_20231128122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517" descr="微信截图_2023112812243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a:xfrm>
                      <a:off x="0" y="0"/>
                      <a:ext cx="4562475" cy="695325"/>
                    </a:xfrm>
                    <a:prstGeom prst="rect">
                      <a:avLst/>
                    </a:prstGeom>
                    <a:noFill/>
                    <a:ln>
                      <a:noFill/>
                    </a:ln>
                  </pic:spPr>
                </pic:pic>
              </a:graphicData>
            </a:graphic>
          </wp:inline>
        </w:drawing>
      </w:r>
    </w:p>
    <w:p w14:paraId="32DFB943">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式中：Leq 总—某预测点总声压级，dB（A）；</w:t>
      </w:r>
    </w:p>
    <w:p w14:paraId="4BD317D4">
      <w:pPr>
        <w:spacing w:line="360" w:lineRule="auto"/>
        <w:ind w:firstLine="1200" w:firstLineChars="500"/>
        <w:rPr>
          <w:rFonts w:ascii="Times New Roman" w:hAnsi="Times New Roman" w:cs="Times New Roman"/>
          <w:color w:val="auto"/>
          <w:szCs w:val="24"/>
          <w:lang w:eastAsia="zh-CN"/>
        </w:rPr>
      </w:pPr>
      <w:r>
        <w:rPr>
          <w:rFonts w:ascii="Times New Roman" w:hAnsi="Times New Roman" w:cs="Times New Roman"/>
          <w:color w:val="auto"/>
          <w:szCs w:val="24"/>
          <w:lang w:eastAsia="zh-CN"/>
        </w:rPr>
        <w:t>n—为室外声源个数；</w:t>
      </w:r>
    </w:p>
    <w:p w14:paraId="7C460DB5">
      <w:pPr>
        <w:spacing w:line="360" w:lineRule="auto"/>
        <w:ind w:firstLine="1200" w:firstLineChars="500"/>
        <w:rPr>
          <w:rFonts w:ascii="Times New Roman" w:hAnsi="Times New Roman" w:cs="Times New Roman"/>
          <w:color w:val="auto"/>
          <w:szCs w:val="24"/>
          <w:lang w:eastAsia="zh-CN"/>
        </w:rPr>
      </w:pPr>
      <w:r>
        <w:rPr>
          <w:rFonts w:ascii="Times New Roman" w:hAnsi="Times New Roman" w:cs="Times New Roman"/>
          <w:color w:val="auto"/>
          <w:szCs w:val="24"/>
          <w:lang w:eastAsia="zh-CN"/>
        </w:rPr>
        <w:t>m—为等效室外声源个数；</w:t>
      </w:r>
    </w:p>
    <w:p w14:paraId="2688D5F6">
      <w:pPr>
        <w:spacing w:line="360" w:lineRule="auto"/>
        <w:ind w:firstLine="1200" w:firstLineChars="500"/>
        <w:rPr>
          <w:rFonts w:ascii="Times New Roman" w:hAnsi="Times New Roman" w:cs="Times New Roman"/>
          <w:color w:val="auto"/>
          <w:szCs w:val="24"/>
          <w:lang w:eastAsia="zh-CN"/>
        </w:rPr>
      </w:pPr>
      <w:r>
        <w:rPr>
          <w:rFonts w:ascii="Times New Roman" w:hAnsi="Times New Roman" w:cs="Times New Roman"/>
          <w:color w:val="auto"/>
          <w:szCs w:val="24"/>
          <w:lang w:eastAsia="zh-CN"/>
        </w:rPr>
        <w:t>T—为计算等效声级时间。</w:t>
      </w:r>
    </w:p>
    <w:p w14:paraId="6A8505EC">
      <w:pPr>
        <w:spacing w:line="360" w:lineRule="auto"/>
        <w:ind w:firstLine="480" w:firstLineChars="200"/>
        <w:jc w:val="both"/>
        <w:rPr>
          <w:rFonts w:ascii="Times New Roman" w:hAnsi="Times New Roman" w:cs="Times New Roman"/>
          <w:color w:val="auto"/>
          <w:szCs w:val="24"/>
          <w:lang w:eastAsia="zh-CN"/>
        </w:rPr>
      </w:pPr>
      <w:bookmarkStart w:id="1578" w:name="_Toc17955"/>
      <w:r>
        <w:rPr>
          <w:rFonts w:ascii="Times New Roman" w:hAnsi="Times New Roman" w:cs="Times New Roman"/>
          <w:color w:val="auto"/>
          <w:szCs w:val="24"/>
          <w:lang w:eastAsia="zh-CN"/>
        </w:rPr>
        <w:t>（3）预测参数</w:t>
      </w:r>
      <w:bookmarkEnd w:id="1578"/>
    </w:p>
    <w:p w14:paraId="0C411A7C">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经对现有资料整理分析，拟选用如下参数和条件进行计算：</w:t>
      </w:r>
    </w:p>
    <w:p w14:paraId="38A1C22B">
      <w:pPr>
        <w:spacing w:line="360" w:lineRule="auto"/>
        <w:ind w:left="48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1、</w:t>
      </w:r>
      <w:r>
        <w:rPr>
          <w:rFonts w:ascii="Times New Roman" w:hAnsi="Times New Roman" w:cs="Times New Roman"/>
          <w:color w:val="auto"/>
          <w:szCs w:val="24"/>
          <w:lang w:eastAsia="zh-CN"/>
        </w:rPr>
        <w:t>一般属性：声源离地面高度为 0 ，室内点源位置为地面，房间内壁吸声系数 0.01。</w:t>
      </w:r>
    </w:p>
    <w:p w14:paraId="30A2AB29">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B、发声特性：稳态发声，不分频。</w:t>
      </w:r>
    </w:p>
    <w:p w14:paraId="6B8D1EEE">
      <w:pPr>
        <w:spacing w:line="360" w:lineRule="auto"/>
        <w:ind w:firstLine="482"/>
        <w:jc w:val="both"/>
        <w:outlineLvl w:val="2"/>
        <w:rPr>
          <w:rFonts w:ascii="Times New Roman" w:hAnsi="Times New Roman" w:cs="Times New Roman"/>
          <w:b/>
          <w:bCs/>
          <w:color w:val="auto"/>
          <w:lang w:eastAsia="zh-CN"/>
        </w:rPr>
      </w:pPr>
      <w:bookmarkStart w:id="1579" w:name="_Toc21905"/>
      <w:bookmarkStart w:id="1580" w:name="_Toc5626"/>
      <w:r>
        <w:rPr>
          <w:rFonts w:ascii="Times New Roman" w:hAnsi="Times New Roman" w:cs="Times New Roman"/>
          <w:b/>
          <w:bCs/>
          <w:color w:val="auto"/>
        </w:rPr>
        <w:fldChar w:fldCharType="begin"/>
      </w:r>
      <w:r>
        <w:rPr>
          <w:rFonts w:ascii="Times New Roman" w:hAnsi="Times New Roman" w:cs="Times New Roman"/>
          <w:b/>
          <w:bCs/>
          <w:color w:val="auto"/>
          <w:lang w:eastAsia="zh-CN"/>
        </w:rPr>
        <w:instrText xml:space="preserve">HYPERLINK "D:\\1、工作\\善宇\\1、环评\\蚌埠\\安徽志一新材料科技有限公司聚合物抗氧剂项目\\5.2.4.4"</w:instrText>
      </w:r>
      <w:r>
        <w:rPr>
          <w:rFonts w:ascii="Times New Roman" w:hAnsi="Times New Roman" w:cs="Times New Roman"/>
          <w:b/>
          <w:bCs/>
          <w:color w:val="auto"/>
        </w:rPr>
        <w:fldChar w:fldCharType="separate"/>
      </w:r>
      <w:bookmarkStart w:id="1581" w:name="_Toc236641357"/>
      <w:bookmarkStart w:id="1582" w:name="_Toc224674744"/>
      <w:bookmarkStart w:id="1583" w:name="_Toc204448513"/>
      <w:bookmarkStart w:id="1584" w:name="_Toc236641874"/>
      <w:bookmarkStart w:id="1585" w:name="_Toc204515248"/>
      <w:bookmarkStart w:id="1586" w:name="_Toc225784105"/>
      <w:bookmarkStart w:id="1587" w:name="_Toc237508339"/>
      <w:bookmarkStart w:id="1588" w:name="_Toc221900886"/>
      <w:bookmarkStart w:id="1589" w:name="_Toc176513055"/>
      <w:bookmarkStart w:id="1590" w:name="_Toc223425104"/>
      <w:bookmarkStart w:id="1591" w:name="_Toc231828626"/>
      <w:bookmarkStart w:id="1592" w:name="_Toc173743428"/>
      <w:bookmarkStart w:id="1593" w:name="_Toc172555686"/>
      <w:bookmarkStart w:id="1594" w:name="_Toc203927047"/>
      <w:bookmarkStart w:id="1595" w:name="_Toc218784329"/>
      <w:bookmarkStart w:id="1596" w:name="_Toc175164319"/>
      <w:bookmarkStart w:id="1597" w:name="_Toc173740324"/>
      <w:bookmarkStart w:id="1598" w:name="_Toc178602395"/>
      <w:r>
        <w:rPr>
          <w:rFonts w:ascii="Times New Roman" w:hAnsi="Times New Roman" w:cs="Times New Roman"/>
          <w:b/>
          <w:bCs/>
          <w:color w:val="auto"/>
          <w:lang w:eastAsia="zh-CN"/>
        </w:rPr>
        <w:t>6.4.4</w:t>
      </w:r>
      <w:r>
        <w:rPr>
          <w:rFonts w:ascii="Times New Roman" w:hAnsi="Times New Roman" w:cs="Times New Roman"/>
          <w:b/>
          <w:bCs/>
          <w:color w:val="auto"/>
        </w:rPr>
        <w:fldChar w:fldCharType="end"/>
      </w:r>
      <w:r>
        <w:rPr>
          <w:rFonts w:ascii="Times New Roman" w:hAnsi="Times New Roman" w:cs="Times New Roman"/>
          <w:b/>
          <w:bCs/>
          <w:color w:val="auto"/>
          <w:lang w:eastAsia="zh-CN"/>
        </w:rPr>
        <w:t xml:space="preserve"> 坐标系建立</w:t>
      </w:r>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p>
    <w:p w14:paraId="1FE884E7">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噪声评价坐标原点设在西厂界和南厂界交叉处，X轴正向为南厂界延长线，Y轴西厂界 延长线，预测高度为1.2m。预测区内测算点的间隔为X方向10m，Y方向10m。要预测一个有限区域上的多种噪声设备共同对外界的影响，首先必须确定各个噪声源的坐标位置和源强参数，然后将其代入预测模式当中进行计算。</w:t>
      </w:r>
    </w:p>
    <w:p w14:paraId="363F4FE2">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本项目噪声预测点选取项目厂界的 4 个点。拟建项目预测点详细情况见表6.4-1。</w:t>
      </w:r>
    </w:p>
    <w:p w14:paraId="35E87342">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表6.4-1 项目预测点情况一览表</w:t>
      </w:r>
    </w:p>
    <w:tbl>
      <w:tblPr>
        <w:tblStyle w:val="35"/>
        <w:tblW w:w="9746" w:type="dxa"/>
        <w:tblInd w:w="2" w:type="dxa"/>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fixed"/>
        <w:tblCellMar>
          <w:top w:w="0" w:type="dxa"/>
          <w:left w:w="0" w:type="dxa"/>
          <w:bottom w:w="0" w:type="dxa"/>
          <w:right w:w="0" w:type="dxa"/>
        </w:tblCellMar>
      </w:tblPr>
      <w:tblGrid>
        <w:gridCol w:w="1156"/>
        <w:gridCol w:w="1514"/>
        <w:gridCol w:w="1152"/>
        <w:gridCol w:w="1177"/>
        <w:gridCol w:w="1190"/>
        <w:gridCol w:w="1163"/>
        <w:gridCol w:w="2394"/>
      </w:tblGrid>
      <w:tr w14:paraId="3F9D9B0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2670" w:type="dxa"/>
            <w:gridSpan w:val="2"/>
            <w:vMerge w:val="restart"/>
            <w:vAlign w:val="center"/>
          </w:tcPr>
          <w:p w14:paraId="319A82DE">
            <w:pPr>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14:textFill>
                  <w14:solidFill>
                    <w14:schemeClr w14:val="tx1"/>
                  </w14:solidFill>
                </w14:textFill>
              </w:rPr>
              <w:t>预测点名称</w:t>
            </w:r>
          </w:p>
        </w:tc>
        <w:tc>
          <w:tcPr>
            <w:tcW w:w="1152" w:type="dxa"/>
            <w:vMerge w:val="restart"/>
            <w:vAlign w:val="center"/>
          </w:tcPr>
          <w:p w14:paraId="0F9B5AF7">
            <w:pPr>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14:textFill>
                  <w14:solidFill>
                    <w14:schemeClr w14:val="tx1"/>
                  </w14:solidFill>
                </w14:textFill>
              </w:rPr>
              <w:t>类型</w:t>
            </w:r>
          </w:p>
        </w:tc>
        <w:tc>
          <w:tcPr>
            <w:tcW w:w="2367" w:type="dxa"/>
            <w:gridSpan w:val="2"/>
            <w:vAlign w:val="center"/>
          </w:tcPr>
          <w:p w14:paraId="55FD60D0">
            <w:pPr>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14:textFill>
                  <w14:solidFill>
                    <w14:schemeClr w14:val="tx1"/>
                  </w14:solidFill>
                </w14:textFill>
              </w:rPr>
              <w:t>坐标</w:t>
            </w:r>
          </w:p>
        </w:tc>
        <w:tc>
          <w:tcPr>
            <w:tcW w:w="1163" w:type="dxa"/>
            <w:vMerge w:val="restart"/>
            <w:vAlign w:val="center"/>
          </w:tcPr>
          <w:p w14:paraId="7477F668">
            <w:pPr>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14:textFill>
                  <w14:solidFill>
                    <w14:schemeClr w14:val="tx1"/>
                  </w14:solidFill>
                </w14:textFill>
              </w:rPr>
              <w:t>预测高度 m</w:t>
            </w:r>
          </w:p>
        </w:tc>
        <w:tc>
          <w:tcPr>
            <w:tcW w:w="2394" w:type="dxa"/>
            <w:vMerge w:val="restart"/>
            <w:vAlign w:val="center"/>
          </w:tcPr>
          <w:p w14:paraId="3934F4BC">
            <w:pPr>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14:textFill>
                  <w14:solidFill>
                    <w14:schemeClr w14:val="tx1"/>
                  </w14:solidFill>
                </w14:textFill>
              </w:rPr>
              <w:t>执行声标准</w:t>
            </w:r>
          </w:p>
        </w:tc>
      </w:tr>
      <w:tr w14:paraId="2B817CE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2670" w:type="dxa"/>
            <w:gridSpan w:val="2"/>
            <w:vMerge w:val="continue"/>
            <w:vAlign w:val="center"/>
          </w:tcPr>
          <w:p w14:paraId="1C502C83">
            <w:pPr>
              <w:adjustRightInd w:val="0"/>
              <w:snapToGrid w:val="0"/>
              <w:jc w:val="center"/>
              <w:rPr>
                <w:rFonts w:ascii="Times New Roman" w:hAnsi="Times New Roman" w:cs="Times New Roman"/>
                <w:color w:val="000000" w:themeColor="text1"/>
                <w:sz w:val="21"/>
                <w14:textFill>
                  <w14:solidFill>
                    <w14:schemeClr w14:val="tx1"/>
                  </w14:solidFill>
                </w14:textFill>
              </w:rPr>
            </w:pPr>
          </w:p>
        </w:tc>
        <w:tc>
          <w:tcPr>
            <w:tcW w:w="1152" w:type="dxa"/>
            <w:vMerge w:val="continue"/>
            <w:vAlign w:val="center"/>
          </w:tcPr>
          <w:p w14:paraId="4AC86B71">
            <w:pPr>
              <w:adjustRightInd w:val="0"/>
              <w:snapToGrid w:val="0"/>
              <w:jc w:val="center"/>
              <w:rPr>
                <w:rFonts w:ascii="Times New Roman" w:hAnsi="Times New Roman" w:cs="Times New Roman"/>
                <w:color w:val="000000" w:themeColor="text1"/>
                <w:sz w:val="21"/>
                <w14:textFill>
                  <w14:solidFill>
                    <w14:schemeClr w14:val="tx1"/>
                  </w14:solidFill>
                </w14:textFill>
              </w:rPr>
            </w:pPr>
          </w:p>
        </w:tc>
        <w:tc>
          <w:tcPr>
            <w:tcW w:w="1177" w:type="dxa"/>
            <w:vAlign w:val="center"/>
          </w:tcPr>
          <w:p w14:paraId="05CE9D54">
            <w:pPr>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14:textFill>
                  <w14:solidFill>
                    <w14:schemeClr w14:val="tx1"/>
                  </w14:solidFill>
                </w14:textFill>
              </w:rPr>
              <w:t>X</w:t>
            </w:r>
          </w:p>
        </w:tc>
        <w:tc>
          <w:tcPr>
            <w:tcW w:w="1190" w:type="dxa"/>
            <w:vAlign w:val="center"/>
          </w:tcPr>
          <w:p w14:paraId="627659BC">
            <w:pPr>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14:textFill>
                  <w14:solidFill>
                    <w14:schemeClr w14:val="tx1"/>
                  </w14:solidFill>
                </w14:textFill>
              </w:rPr>
              <w:t>Y</w:t>
            </w:r>
          </w:p>
        </w:tc>
        <w:tc>
          <w:tcPr>
            <w:tcW w:w="1163" w:type="dxa"/>
            <w:vMerge w:val="continue"/>
            <w:vAlign w:val="center"/>
          </w:tcPr>
          <w:p w14:paraId="715D604E">
            <w:pPr>
              <w:adjustRightInd w:val="0"/>
              <w:snapToGrid w:val="0"/>
              <w:jc w:val="center"/>
              <w:rPr>
                <w:rFonts w:ascii="Times New Roman" w:hAnsi="Times New Roman" w:cs="Times New Roman"/>
                <w:color w:val="000000" w:themeColor="text1"/>
                <w:sz w:val="21"/>
                <w14:textFill>
                  <w14:solidFill>
                    <w14:schemeClr w14:val="tx1"/>
                  </w14:solidFill>
                </w14:textFill>
              </w:rPr>
            </w:pPr>
          </w:p>
        </w:tc>
        <w:tc>
          <w:tcPr>
            <w:tcW w:w="2394" w:type="dxa"/>
            <w:vMerge w:val="continue"/>
            <w:vAlign w:val="center"/>
          </w:tcPr>
          <w:p w14:paraId="26447677">
            <w:pPr>
              <w:adjustRightInd w:val="0"/>
              <w:snapToGrid w:val="0"/>
              <w:jc w:val="center"/>
              <w:rPr>
                <w:rFonts w:ascii="Times New Roman" w:hAnsi="Times New Roman" w:cs="Times New Roman"/>
                <w:color w:val="000000" w:themeColor="text1"/>
                <w:sz w:val="21"/>
                <w14:textFill>
                  <w14:solidFill>
                    <w14:schemeClr w14:val="tx1"/>
                  </w14:solidFill>
                </w14:textFill>
              </w:rPr>
            </w:pPr>
          </w:p>
        </w:tc>
      </w:tr>
      <w:tr w14:paraId="446BC86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156" w:type="dxa"/>
            <w:vMerge w:val="restart"/>
            <w:vAlign w:val="center"/>
          </w:tcPr>
          <w:p w14:paraId="21A0D926">
            <w:pPr>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厂界</w:t>
            </w:r>
          </w:p>
        </w:tc>
        <w:tc>
          <w:tcPr>
            <w:tcW w:w="1514" w:type="dxa"/>
            <w:vAlign w:val="center"/>
          </w:tcPr>
          <w:p w14:paraId="32B741A0">
            <w:pPr>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边界东</w:t>
            </w:r>
          </w:p>
        </w:tc>
        <w:tc>
          <w:tcPr>
            <w:tcW w:w="1152" w:type="dxa"/>
            <w:vMerge w:val="restart"/>
            <w:vAlign w:val="center"/>
          </w:tcPr>
          <w:p w14:paraId="3B5D6128">
            <w:pPr>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厂界点</w:t>
            </w:r>
          </w:p>
        </w:tc>
        <w:tc>
          <w:tcPr>
            <w:tcW w:w="1177" w:type="dxa"/>
            <w:vAlign w:val="center"/>
          </w:tcPr>
          <w:p w14:paraId="086500B2">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117.4</w:t>
            </w:r>
          </w:p>
        </w:tc>
        <w:tc>
          <w:tcPr>
            <w:tcW w:w="1190" w:type="dxa"/>
            <w:vAlign w:val="center"/>
          </w:tcPr>
          <w:p w14:paraId="25D852E1">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134.8</w:t>
            </w:r>
          </w:p>
        </w:tc>
        <w:tc>
          <w:tcPr>
            <w:tcW w:w="1163" w:type="dxa"/>
            <w:vAlign w:val="center"/>
          </w:tcPr>
          <w:p w14:paraId="76F04DA3">
            <w:pPr>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1.2</w:t>
            </w:r>
          </w:p>
        </w:tc>
        <w:tc>
          <w:tcPr>
            <w:tcW w:w="2394" w:type="dxa"/>
            <w:vMerge w:val="restart"/>
            <w:vAlign w:val="center"/>
          </w:tcPr>
          <w:p w14:paraId="7BDF667D">
            <w:pPr>
              <w:adjustRightInd w:val="0"/>
              <w:snapToGrid w:val="0"/>
              <w:jc w:val="both"/>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（GB12348-2008）3 类</w:t>
            </w:r>
          </w:p>
        </w:tc>
      </w:tr>
      <w:tr w14:paraId="5893DE2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156" w:type="dxa"/>
            <w:vMerge w:val="continue"/>
            <w:vAlign w:val="center"/>
          </w:tcPr>
          <w:p w14:paraId="75F45FD9">
            <w:pPr>
              <w:adjustRightInd w:val="0"/>
              <w:snapToGrid w:val="0"/>
              <w:jc w:val="center"/>
              <w:rPr>
                <w:rFonts w:ascii="Times New Roman" w:hAnsi="Times New Roman" w:cs="Times New Roman"/>
                <w:color w:val="000000" w:themeColor="text1"/>
                <w:sz w:val="21"/>
                <w14:textFill>
                  <w14:solidFill>
                    <w14:schemeClr w14:val="tx1"/>
                  </w14:solidFill>
                </w14:textFill>
              </w:rPr>
            </w:pPr>
          </w:p>
        </w:tc>
        <w:tc>
          <w:tcPr>
            <w:tcW w:w="1514" w:type="dxa"/>
            <w:vAlign w:val="center"/>
          </w:tcPr>
          <w:p w14:paraId="3B0E03C4">
            <w:pPr>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边界南</w:t>
            </w:r>
          </w:p>
        </w:tc>
        <w:tc>
          <w:tcPr>
            <w:tcW w:w="1152" w:type="dxa"/>
            <w:vMerge w:val="continue"/>
            <w:vAlign w:val="center"/>
          </w:tcPr>
          <w:p w14:paraId="23B33A77">
            <w:pPr>
              <w:adjustRightInd w:val="0"/>
              <w:snapToGrid w:val="0"/>
              <w:jc w:val="center"/>
              <w:rPr>
                <w:rFonts w:ascii="Times New Roman" w:hAnsi="Times New Roman" w:cs="Times New Roman"/>
                <w:color w:val="000000" w:themeColor="text1"/>
                <w:sz w:val="21"/>
                <w14:textFill>
                  <w14:solidFill>
                    <w14:schemeClr w14:val="tx1"/>
                  </w14:solidFill>
                </w14:textFill>
              </w:rPr>
            </w:pPr>
          </w:p>
        </w:tc>
        <w:tc>
          <w:tcPr>
            <w:tcW w:w="1177" w:type="dxa"/>
            <w:vAlign w:val="center"/>
          </w:tcPr>
          <w:p w14:paraId="2DD6ACEA">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68.2</w:t>
            </w:r>
          </w:p>
        </w:tc>
        <w:tc>
          <w:tcPr>
            <w:tcW w:w="1190" w:type="dxa"/>
            <w:vAlign w:val="center"/>
          </w:tcPr>
          <w:p w14:paraId="1FB46400">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-1.0</w:t>
            </w:r>
          </w:p>
        </w:tc>
        <w:tc>
          <w:tcPr>
            <w:tcW w:w="1163" w:type="dxa"/>
            <w:vAlign w:val="center"/>
          </w:tcPr>
          <w:p w14:paraId="666D296B">
            <w:pPr>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1.2</w:t>
            </w:r>
          </w:p>
        </w:tc>
        <w:tc>
          <w:tcPr>
            <w:tcW w:w="2394" w:type="dxa"/>
            <w:vMerge w:val="continue"/>
            <w:vAlign w:val="center"/>
          </w:tcPr>
          <w:p w14:paraId="04DACA69">
            <w:pPr>
              <w:adjustRightInd w:val="0"/>
              <w:snapToGrid w:val="0"/>
              <w:jc w:val="center"/>
              <w:rPr>
                <w:rFonts w:ascii="Times New Roman" w:hAnsi="Times New Roman" w:cs="Times New Roman"/>
                <w:color w:val="000000" w:themeColor="text1"/>
                <w:sz w:val="21"/>
                <w14:textFill>
                  <w14:solidFill>
                    <w14:schemeClr w14:val="tx1"/>
                  </w14:solidFill>
                </w14:textFill>
              </w:rPr>
            </w:pPr>
          </w:p>
        </w:tc>
      </w:tr>
      <w:tr w14:paraId="6BB390F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156" w:type="dxa"/>
            <w:vMerge w:val="continue"/>
            <w:vAlign w:val="center"/>
          </w:tcPr>
          <w:p w14:paraId="3BBD9CD6">
            <w:pPr>
              <w:adjustRightInd w:val="0"/>
              <w:snapToGrid w:val="0"/>
              <w:jc w:val="center"/>
              <w:rPr>
                <w:rFonts w:ascii="Times New Roman" w:hAnsi="Times New Roman" w:cs="Times New Roman"/>
                <w:color w:val="000000" w:themeColor="text1"/>
                <w:sz w:val="21"/>
                <w14:textFill>
                  <w14:solidFill>
                    <w14:schemeClr w14:val="tx1"/>
                  </w14:solidFill>
                </w14:textFill>
              </w:rPr>
            </w:pPr>
          </w:p>
        </w:tc>
        <w:tc>
          <w:tcPr>
            <w:tcW w:w="1514" w:type="dxa"/>
            <w:vAlign w:val="center"/>
          </w:tcPr>
          <w:p w14:paraId="74369974">
            <w:pPr>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边界西</w:t>
            </w:r>
          </w:p>
        </w:tc>
        <w:tc>
          <w:tcPr>
            <w:tcW w:w="1152" w:type="dxa"/>
            <w:vMerge w:val="continue"/>
            <w:vAlign w:val="center"/>
          </w:tcPr>
          <w:p w14:paraId="6DA9DD91">
            <w:pPr>
              <w:adjustRightInd w:val="0"/>
              <w:snapToGrid w:val="0"/>
              <w:jc w:val="center"/>
              <w:rPr>
                <w:rFonts w:ascii="Times New Roman" w:hAnsi="Times New Roman" w:cs="Times New Roman"/>
                <w:color w:val="000000" w:themeColor="text1"/>
                <w:sz w:val="21"/>
                <w14:textFill>
                  <w14:solidFill>
                    <w14:schemeClr w14:val="tx1"/>
                  </w14:solidFill>
                </w14:textFill>
              </w:rPr>
            </w:pPr>
          </w:p>
        </w:tc>
        <w:tc>
          <w:tcPr>
            <w:tcW w:w="1177" w:type="dxa"/>
            <w:vAlign w:val="center"/>
          </w:tcPr>
          <w:p w14:paraId="28A5E935">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-1.0</w:t>
            </w:r>
          </w:p>
        </w:tc>
        <w:tc>
          <w:tcPr>
            <w:tcW w:w="1190" w:type="dxa"/>
            <w:vAlign w:val="center"/>
          </w:tcPr>
          <w:p w14:paraId="7FF04E85">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134.8</w:t>
            </w:r>
          </w:p>
        </w:tc>
        <w:tc>
          <w:tcPr>
            <w:tcW w:w="1163" w:type="dxa"/>
            <w:vAlign w:val="center"/>
          </w:tcPr>
          <w:p w14:paraId="41015454">
            <w:pPr>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1.2</w:t>
            </w:r>
          </w:p>
        </w:tc>
        <w:tc>
          <w:tcPr>
            <w:tcW w:w="2394" w:type="dxa"/>
            <w:vMerge w:val="continue"/>
            <w:vAlign w:val="center"/>
          </w:tcPr>
          <w:p w14:paraId="6B0CF8D9">
            <w:pPr>
              <w:adjustRightInd w:val="0"/>
              <w:snapToGrid w:val="0"/>
              <w:jc w:val="center"/>
              <w:rPr>
                <w:rFonts w:ascii="Times New Roman" w:hAnsi="Times New Roman" w:cs="Times New Roman"/>
                <w:color w:val="000000" w:themeColor="text1"/>
                <w:sz w:val="21"/>
                <w14:textFill>
                  <w14:solidFill>
                    <w14:schemeClr w14:val="tx1"/>
                  </w14:solidFill>
                </w14:textFill>
              </w:rPr>
            </w:pPr>
          </w:p>
        </w:tc>
      </w:tr>
      <w:tr w14:paraId="31AA626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156" w:type="dxa"/>
            <w:vMerge w:val="continue"/>
            <w:vAlign w:val="center"/>
          </w:tcPr>
          <w:p w14:paraId="62CD68E9">
            <w:pPr>
              <w:adjustRightInd w:val="0"/>
              <w:snapToGrid w:val="0"/>
              <w:jc w:val="center"/>
              <w:rPr>
                <w:rFonts w:ascii="Times New Roman" w:hAnsi="Times New Roman" w:cs="Times New Roman"/>
                <w:color w:val="000000" w:themeColor="text1"/>
                <w:sz w:val="21"/>
                <w14:textFill>
                  <w14:solidFill>
                    <w14:schemeClr w14:val="tx1"/>
                  </w14:solidFill>
                </w14:textFill>
              </w:rPr>
            </w:pPr>
          </w:p>
        </w:tc>
        <w:tc>
          <w:tcPr>
            <w:tcW w:w="1514" w:type="dxa"/>
            <w:vAlign w:val="center"/>
          </w:tcPr>
          <w:p w14:paraId="7D3EA55B">
            <w:pPr>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边界北</w:t>
            </w:r>
          </w:p>
        </w:tc>
        <w:tc>
          <w:tcPr>
            <w:tcW w:w="1152" w:type="dxa"/>
            <w:vMerge w:val="continue"/>
            <w:vAlign w:val="center"/>
          </w:tcPr>
          <w:p w14:paraId="675A97C8">
            <w:pPr>
              <w:adjustRightInd w:val="0"/>
              <w:snapToGrid w:val="0"/>
              <w:jc w:val="center"/>
              <w:rPr>
                <w:rFonts w:ascii="Times New Roman" w:hAnsi="Times New Roman" w:cs="Times New Roman"/>
                <w:color w:val="000000" w:themeColor="text1"/>
                <w:sz w:val="21"/>
                <w14:textFill>
                  <w14:solidFill>
                    <w14:schemeClr w14:val="tx1"/>
                  </w14:solidFill>
                </w14:textFill>
              </w:rPr>
            </w:pPr>
          </w:p>
        </w:tc>
        <w:tc>
          <w:tcPr>
            <w:tcW w:w="1177" w:type="dxa"/>
            <w:vAlign w:val="center"/>
          </w:tcPr>
          <w:p w14:paraId="197DBA16">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68.2</w:t>
            </w:r>
          </w:p>
        </w:tc>
        <w:tc>
          <w:tcPr>
            <w:tcW w:w="1190" w:type="dxa"/>
            <w:vAlign w:val="center"/>
          </w:tcPr>
          <w:p w14:paraId="07589D16">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270.6</w:t>
            </w:r>
          </w:p>
        </w:tc>
        <w:tc>
          <w:tcPr>
            <w:tcW w:w="1163" w:type="dxa"/>
            <w:vAlign w:val="center"/>
          </w:tcPr>
          <w:p w14:paraId="6D8F0638">
            <w:pPr>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1.2</w:t>
            </w:r>
          </w:p>
        </w:tc>
        <w:tc>
          <w:tcPr>
            <w:tcW w:w="2394" w:type="dxa"/>
            <w:vMerge w:val="continue"/>
            <w:vAlign w:val="center"/>
          </w:tcPr>
          <w:p w14:paraId="22EE7926">
            <w:pPr>
              <w:adjustRightInd w:val="0"/>
              <w:snapToGrid w:val="0"/>
              <w:jc w:val="center"/>
              <w:rPr>
                <w:rFonts w:ascii="Times New Roman" w:hAnsi="Times New Roman" w:cs="Times New Roman"/>
                <w:color w:val="000000" w:themeColor="text1"/>
                <w:sz w:val="21"/>
                <w14:textFill>
                  <w14:solidFill>
                    <w14:schemeClr w14:val="tx1"/>
                  </w14:solidFill>
                </w14:textFill>
              </w:rPr>
            </w:pPr>
          </w:p>
        </w:tc>
      </w:tr>
    </w:tbl>
    <w:p w14:paraId="708CBFDC">
      <w:pPr>
        <w:spacing w:line="360" w:lineRule="auto"/>
        <w:ind w:firstLine="210" w:firstLineChars="100"/>
        <w:jc w:val="both"/>
        <w:rPr>
          <w:rFonts w:ascii="Times New Roman" w:hAnsi="Times New Roman" w:cs="Times New Roman"/>
          <w:color w:val="auto"/>
          <w:sz w:val="21"/>
          <w:lang w:eastAsia="zh-CN"/>
        </w:rPr>
      </w:pPr>
      <w:r>
        <w:rPr>
          <w:rFonts w:ascii="Times New Roman" w:hAnsi="Times New Roman" w:cs="Times New Roman"/>
          <w:color w:val="auto"/>
          <w:sz w:val="21"/>
          <w:lang w:eastAsia="zh-CN"/>
        </w:rPr>
        <w:t>注：项目噪声坐标以以厂区西南角作为坐标原点（0，0），正北方向为 X 轴，正东方向为 Y 轴。</w:t>
      </w:r>
    </w:p>
    <w:p w14:paraId="79C0DB8E">
      <w:pPr>
        <w:spacing w:line="360" w:lineRule="auto"/>
        <w:ind w:firstLine="482"/>
        <w:jc w:val="both"/>
        <w:outlineLvl w:val="2"/>
        <w:rPr>
          <w:rFonts w:ascii="Times New Roman" w:hAnsi="Times New Roman" w:cs="Times New Roman"/>
          <w:b/>
          <w:bCs/>
          <w:color w:val="auto"/>
          <w:lang w:eastAsia="zh-CN"/>
        </w:rPr>
      </w:pPr>
      <w:r>
        <w:fldChar w:fldCharType="begin"/>
      </w:r>
      <w:r>
        <w:instrText xml:space="preserve"> HYPERLINK "file:///D:\\1、工作\\善宇\\1、环评\\蚌埠\\安徽志一新材料科技有限公司聚合物抗氧剂项目\\5.2.4.4" </w:instrText>
      </w:r>
      <w:r>
        <w:fldChar w:fldCharType="separate"/>
      </w:r>
      <w:bookmarkStart w:id="1599" w:name="_Toc237508340"/>
      <w:bookmarkStart w:id="1600" w:name="_Toc236641875"/>
      <w:bookmarkStart w:id="1601" w:name="_Toc231828627"/>
      <w:bookmarkStart w:id="1602" w:name="_Toc225784106"/>
      <w:bookmarkStart w:id="1603" w:name="_Toc236641358"/>
      <w:r>
        <w:rPr>
          <w:rFonts w:ascii="Times New Roman" w:hAnsi="Times New Roman" w:cs="Times New Roman"/>
          <w:b/>
          <w:bCs/>
          <w:color w:val="auto"/>
          <w:lang w:eastAsia="zh-CN"/>
        </w:rPr>
        <w:t>6.4.</w:t>
      </w:r>
      <w:r>
        <w:rPr>
          <w:rFonts w:hint="eastAsia" w:ascii="Times New Roman" w:hAnsi="Times New Roman" w:cs="Times New Roman"/>
          <w:b/>
          <w:bCs/>
          <w:color w:val="auto"/>
          <w:lang w:eastAsia="zh-CN"/>
        </w:rPr>
        <w:t>5</w:t>
      </w:r>
      <w:r>
        <w:rPr>
          <w:rFonts w:hint="eastAsia" w:ascii="Times New Roman" w:hAnsi="Times New Roman" w:cs="Times New Roman"/>
          <w:b/>
          <w:bCs/>
          <w:color w:val="auto"/>
          <w:lang w:eastAsia="zh-CN"/>
        </w:rPr>
        <w:fldChar w:fldCharType="end"/>
      </w:r>
      <w:r>
        <w:rPr>
          <w:rFonts w:ascii="Times New Roman" w:hAnsi="Times New Roman" w:cs="Times New Roman"/>
          <w:b/>
          <w:bCs/>
          <w:color w:val="auto"/>
          <w:lang w:eastAsia="zh-CN"/>
        </w:rPr>
        <w:t xml:space="preserve"> </w:t>
      </w:r>
      <w:r>
        <w:rPr>
          <w:rFonts w:hint="eastAsia" w:ascii="Times New Roman" w:hAnsi="Times New Roman" w:cs="Times New Roman"/>
          <w:b/>
          <w:bCs/>
          <w:color w:val="auto"/>
          <w:lang w:eastAsia="zh-CN"/>
        </w:rPr>
        <w:t>预测结果</w:t>
      </w:r>
      <w:bookmarkEnd w:id="1599"/>
      <w:bookmarkEnd w:id="1600"/>
      <w:bookmarkEnd w:id="1601"/>
      <w:bookmarkEnd w:id="1602"/>
      <w:bookmarkEnd w:id="1603"/>
    </w:p>
    <w:p w14:paraId="129314FC">
      <w:pPr>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估算出项目建成运行后的厂界噪声值具体结果见下表。</w:t>
      </w:r>
    </w:p>
    <w:p w14:paraId="2F98B734">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 xml:space="preserve">表6.4-2 </w:t>
      </w:r>
      <w:r>
        <w:rPr>
          <w:rFonts w:hint="eastAsia" w:ascii="Times New Roman" w:hAnsi="Times New Roman" w:cs="Times New Roman"/>
          <w:b/>
          <w:bCs/>
          <w:color w:val="auto"/>
          <w:lang w:eastAsia="zh-CN"/>
        </w:rPr>
        <w:t xml:space="preserve"> </w:t>
      </w:r>
      <w:r>
        <w:rPr>
          <w:rFonts w:ascii="Times New Roman" w:hAnsi="Times New Roman" w:cs="Times New Roman"/>
          <w:b/>
          <w:bCs/>
          <w:color w:val="auto"/>
          <w:lang w:eastAsia="zh-CN"/>
        </w:rPr>
        <w:t>项目建成后四周厂界噪声预测结果  单位：dB(A)</w:t>
      </w:r>
    </w:p>
    <w:tbl>
      <w:tblPr>
        <w:tblStyle w:val="35"/>
        <w:tblW w:w="5000"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0" w:type="dxa"/>
          <w:bottom w:w="0" w:type="dxa"/>
          <w:right w:w="0" w:type="dxa"/>
        </w:tblCellMar>
      </w:tblPr>
      <w:tblGrid>
        <w:gridCol w:w="1508"/>
        <w:gridCol w:w="1781"/>
        <w:gridCol w:w="1782"/>
        <w:gridCol w:w="1782"/>
        <w:gridCol w:w="1782"/>
        <w:gridCol w:w="1111"/>
      </w:tblGrid>
      <w:tr w14:paraId="14A302E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9" w:hRule="atLeast"/>
          <w:jc w:val="center"/>
        </w:trPr>
        <w:tc>
          <w:tcPr>
            <w:tcW w:w="774" w:type="pct"/>
            <w:vMerge w:val="restart"/>
            <w:vAlign w:val="center"/>
          </w:tcPr>
          <w:p w14:paraId="5E756276">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预测方位</w:t>
            </w:r>
          </w:p>
        </w:tc>
        <w:tc>
          <w:tcPr>
            <w:tcW w:w="914" w:type="pct"/>
            <w:vAlign w:val="center"/>
          </w:tcPr>
          <w:p w14:paraId="2BA3BF59">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贡献</w:t>
            </w:r>
            <w:r>
              <w:rPr>
                <w:rFonts w:ascii="Times New Roman" w:hAnsi="Times New Roman" w:cs="Times New Roman"/>
                <w:b/>
                <w:bCs/>
                <w:color w:val="auto"/>
                <w:sz w:val="21"/>
              </w:rPr>
              <w:t>值（dB(A)）</w:t>
            </w:r>
          </w:p>
        </w:tc>
        <w:tc>
          <w:tcPr>
            <w:tcW w:w="914" w:type="pct"/>
            <w:vAlign w:val="center"/>
          </w:tcPr>
          <w:p w14:paraId="5BD07830">
            <w:pPr>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背景</w:t>
            </w:r>
            <w:r>
              <w:rPr>
                <w:rFonts w:ascii="Times New Roman" w:hAnsi="Times New Roman" w:cs="Times New Roman"/>
                <w:b/>
                <w:bCs/>
                <w:color w:val="auto"/>
                <w:sz w:val="21"/>
              </w:rPr>
              <w:t>值（dB(A)）</w:t>
            </w:r>
          </w:p>
        </w:tc>
        <w:tc>
          <w:tcPr>
            <w:tcW w:w="914" w:type="pct"/>
            <w:vAlign w:val="center"/>
          </w:tcPr>
          <w:p w14:paraId="2B5DAF77">
            <w:pPr>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预测</w:t>
            </w:r>
            <w:r>
              <w:rPr>
                <w:rFonts w:ascii="Times New Roman" w:hAnsi="Times New Roman" w:cs="Times New Roman"/>
                <w:b/>
                <w:bCs/>
                <w:color w:val="auto"/>
                <w:sz w:val="21"/>
              </w:rPr>
              <w:t>值（dB(A)）</w:t>
            </w:r>
          </w:p>
        </w:tc>
        <w:tc>
          <w:tcPr>
            <w:tcW w:w="914" w:type="pct"/>
            <w:vAlign w:val="center"/>
          </w:tcPr>
          <w:p w14:paraId="0FE6BD5E">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标准</w:t>
            </w:r>
            <w:r>
              <w:rPr>
                <w:rFonts w:ascii="Times New Roman" w:hAnsi="Times New Roman" w:cs="Times New Roman"/>
                <w:b/>
                <w:bCs/>
                <w:color w:val="auto"/>
                <w:sz w:val="21"/>
              </w:rPr>
              <w:t>值（dB(A)）</w:t>
            </w:r>
          </w:p>
        </w:tc>
        <w:tc>
          <w:tcPr>
            <w:tcW w:w="571" w:type="pct"/>
            <w:vAlign w:val="center"/>
          </w:tcPr>
          <w:p w14:paraId="50D9C805">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达标情况</w:t>
            </w:r>
          </w:p>
        </w:tc>
      </w:tr>
      <w:tr w14:paraId="55AD19B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4" w:hRule="atLeast"/>
          <w:jc w:val="center"/>
        </w:trPr>
        <w:tc>
          <w:tcPr>
            <w:tcW w:w="774" w:type="pct"/>
            <w:vMerge w:val="continue"/>
            <w:vAlign w:val="center"/>
          </w:tcPr>
          <w:p w14:paraId="4CB2FCEF">
            <w:pPr>
              <w:adjustRightInd w:val="0"/>
              <w:snapToGrid w:val="0"/>
              <w:jc w:val="center"/>
              <w:rPr>
                <w:rFonts w:ascii="Times New Roman" w:hAnsi="Times New Roman" w:cs="Times New Roman"/>
                <w:b/>
                <w:bCs/>
                <w:color w:val="auto"/>
                <w:sz w:val="21"/>
              </w:rPr>
            </w:pPr>
          </w:p>
        </w:tc>
        <w:tc>
          <w:tcPr>
            <w:tcW w:w="914" w:type="pct"/>
            <w:vAlign w:val="center"/>
          </w:tcPr>
          <w:p w14:paraId="099E2C54">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昼间</w:t>
            </w:r>
          </w:p>
        </w:tc>
        <w:tc>
          <w:tcPr>
            <w:tcW w:w="914" w:type="pct"/>
            <w:vAlign w:val="center"/>
          </w:tcPr>
          <w:p w14:paraId="5A49E570">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昼间</w:t>
            </w:r>
          </w:p>
        </w:tc>
        <w:tc>
          <w:tcPr>
            <w:tcW w:w="914" w:type="pct"/>
            <w:vAlign w:val="center"/>
          </w:tcPr>
          <w:p w14:paraId="2A093C91">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昼间</w:t>
            </w:r>
          </w:p>
        </w:tc>
        <w:tc>
          <w:tcPr>
            <w:tcW w:w="914" w:type="pct"/>
            <w:tcBorders>
              <w:right w:val="single" w:color="000000" w:sz="2" w:space="0"/>
            </w:tcBorders>
            <w:vAlign w:val="center"/>
          </w:tcPr>
          <w:p w14:paraId="2DD2E989">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昼间</w:t>
            </w:r>
          </w:p>
        </w:tc>
        <w:tc>
          <w:tcPr>
            <w:tcW w:w="571" w:type="pct"/>
            <w:vAlign w:val="center"/>
          </w:tcPr>
          <w:p w14:paraId="6DB0B53C">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昼间</w:t>
            </w:r>
          </w:p>
        </w:tc>
      </w:tr>
      <w:tr w14:paraId="50A027C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74" w:type="pct"/>
            <w:vAlign w:val="center"/>
          </w:tcPr>
          <w:p w14:paraId="6CC0622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厂界东侧</w:t>
            </w:r>
          </w:p>
        </w:tc>
        <w:tc>
          <w:tcPr>
            <w:tcW w:w="914" w:type="pct"/>
            <w:vAlign w:val="center"/>
          </w:tcPr>
          <w:p w14:paraId="2B81BEB2">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41</w:t>
            </w:r>
          </w:p>
        </w:tc>
        <w:tc>
          <w:tcPr>
            <w:tcW w:w="914" w:type="pct"/>
            <w:vAlign w:val="center"/>
          </w:tcPr>
          <w:p w14:paraId="06007687">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52</w:t>
            </w:r>
          </w:p>
        </w:tc>
        <w:tc>
          <w:tcPr>
            <w:tcW w:w="914" w:type="pct"/>
            <w:vAlign w:val="center"/>
          </w:tcPr>
          <w:p w14:paraId="71E2D09B">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52.3</w:t>
            </w:r>
          </w:p>
        </w:tc>
        <w:tc>
          <w:tcPr>
            <w:tcW w:w="914" w:type="pct"/>
            <w:tcBorders>
              <w:right w:val="single" w:color="000000" w:sz="2" w:space="0"/>
            </w:tcBorders>
            <w:vAlign w:val="center"/>
          </w:tcPr>
          <w:p w14:paraId="63DEB41D">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65</w:t>
            </w:r>
          </w:p>
        </w:tc>
        <w:tc>
          <w:tcPr>
            <w:tcW w:w="571" w:type="pct"/>
            <w:vAlign w:val="center"/>
          </w:tcPr>
          <w:p w14:paraId="22C161CB">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达标</w:t>
            </w:r>
          </w:p>
        </w:tc>
      </w:tr>
      <w:tr w14:paraId="747683E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153" w:hRule="atLeast"/>
          <w:jc w:val="center"/>
        </w:trPr>
        <w:tc>
          <w:tcPr>
            <w:tcW w:w="774" w:type="pct"/>
            <w:vAlign w:val="center"/>
          </w:tcPr>
          <w:p w14:paraId="2B23473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厂界南侧</w:t>
            </w:r>
          </w:p>
        </w:tc>
        <w:tc>
          <w:tcPr>
            <w:tcW w:w="914" w:type="pct"/>
            <w:vAlign w:val="center"/>
          </w:tcPr>
          <w:p w14:paraId="0370438E">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19.3</w:t>
            </w:r>
          </w:p>
        </w:tc>
        <w:tc>
          <w:tcPr>
            <w:tcW w:w="914" w:type="pct"/>
            <w:vAlign w:val="center"/>
          </w:tcPr>
          <w:p w14:paraId="14E8AE9B">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63</w:t>
            </w:r>
          </w:p>
        </w:tc>
        <w:tc>
          <w:tcPr>
            <w:tcW w:w="914" w:type="pct"/>
            <w:vAlign w:val="center"/>
          </w:tcPr>
          <w:p w14:paraId="534D1384">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63.0</w:t>
            </w:r>
          </w:p>
        </w:tc>
        <w:tc>
          <w:tcPr>
            <w:tcW w:w="914" w:type="pct"/>
            <w:tcBorders>
              <w:right w:val="single" w:color="000000" w:sz="2" w:space="0"/>
            </w:tcBorders>
            <w:vAlign w:val="center"/>
          </w:tcPr>
          <w:p w14:paraId="4AC9D628">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65</w:t>
            </w:r>
          </w:p>
        </w:tc>
        <w:tc>
          <w:tcPr>
            <w:tcW w:w="571" w:type="pct"/>
            <w:vAlign w:val="center"/>
          </w:tcPr>
          <w:p w14:paraId="2446777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达标</w:t>
            </w:r>
          </w:p>
        </w:tc>
      </w:tr>
      <w:tr w14:paraId="5514A10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4" w:hRule="atLeast"/>
          <w:jc w:val="center"/>
        </w:trPr>
        <w:tc>
          <w:tcPr>
            <w:tcW w:w="774" w:type="pct"/>
            <w:vAlign w:val="center"/>
          </w:tcPr>
          <w:p w14:paraId="01AEE64D">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厂界西侧</w:t>
            </w:r>
          </w:p>
        </w:tc>
        <w:tc>
          <w:tcPr>
            <w:tcW w:w="914" w:type="pct"/>
            <w:vAlign w:val="center"/>
          </w:tcPr>
          <w:p w14:paraId="2DC5C010">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44.1</w:t>
            </w:r>
          </w:p>
        </w:tc>
        <w:tc>
          <w:tcPr>
            <w:tcW w:w="914" w:type="pct"/>
            <w:vAlign w:val="center"/>
          </w:tcPr>
          <w:p w14:paraId="5D5368CA">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56</w:t>
            </w:r>
          </w:p>
        </w:tc>
        <w:tc>
          <w:tcPr>
            <w:tcW w:w="914" w:type="pct"/>
            <w:vAlign w:val="center"/>
          </w:tcPr>
          <w:p w14:paraId="527BC8EE">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56.3</w:t>
            </w:r>
          </w:p>
        </w:tc>
        <w:tc>
          <w:tcPr>
            <w:tcW w:w="914" w:type="pct"/>
            <w:tcBorders>
              <w:right w:val="single" w:color="000000" w:sz="2" w:space="0"/>
            </w:tcBorders>
            <w:vAlign w:val="center"/>
          </w:tcPr>
          <w:p w14:paraId="0EC08549">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65</w:t>
            </w:r>
          </w:p>
        </w:tc>
        <w:tc>
          <w:tcPr>
            <w:tcW w:w="571" w:type="pct"/>
            <w:vAlign w:val="center"/>
          </w:tcPr>
          <w:p w14:paraId="65CDBDE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达标</w:t>
            </w:r>
          </w:p>
        </w:tc>
      </w:tr>
      <w:tr w14:paraId="34134E2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9" w:hRule="atLeast"/>
          <w:jc w:val="center"/>
        </w:trPr>
        <w:tc>
          <w:tcPr>
            <w:tcW w:w="774" w:type="pct"/>
            <w:vAlign w:val="center"/>
          </w:tcPr>
          <w:p w14:paraId="137181B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厂界北侧</w:t>
            </w:r>
          </w:p>
        </w:tc>
        <w:tc>
          <w:tcPr>
            <w:tcW w:w="914" w:type="pct"/>
            <w:vAlign w:val="center"/>
          </w:tcPr>
          <w:p w14:paraId="04897DCF">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27.8</w:t>
            </w:r>
          </w:p>
        </w:tc>
        <w:tc>
          <w:tcPr>
            <w:tcW w:w="914" w:type="pct"/>
            <w:vAlign w:val="center"/>
          </w:tcPr>
          <w:p w14:paraId="48F419C8">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56</w:t>
            </w:r>
          </w:p>
        </w:tc>
        <w:tc>
          <w:tcPr>
            <w:tcW w:w="914" w:type="pct"/>
            <w:vAlign w:val="center"/>
          </w:tcPr>
          <w:p w14:paraId="7AAEBC87">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56.0</w:t>
            </w:r>
          </w:p>
        </w:tc>
        <w:tc>
          <w:tcPr>
            <w:tcW w:w="914" w:type="pct"/>
            <w:tcBorders>
              <w:right w:val="single" w:color="000000" w:sz="2" w:space="0"/>
            </w:tcBorders>
            <w:vAlign w:val="center"/>
          </w:tcPr>
          <w:p w14:paraId="7D8F0621">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65</w:t>
            </w:r>
          </w:p>
        </w:tc>
        <w:tc>
          <w:tcPr>
            <w:tcW w:w="571" w:type="pct"/>
            <w:vAlign w:val="center"/>
          </w:tcPr>
          <w:p w14:paraId="40E5AD7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达标</w:t>
            </w:r>
          </w:p>
        </w:tc>
      </w:tr>
    </w:tbl>
    <w:p w14:paraId="1A48C62B">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预测结果表明，在采取相应隔声降噪措施后，生产过程厂内各设备运转产生的噪声对厂界噪声的影响值均能满足《工业企业厂界环境噪声排放标准》（GB12348-2008）中 3 类标准的要求。因此，本评价认为，项目生产过程中的噪声不会对区域声环境造成明显不利影响。</w:t>
      </w:r>
    </w:p>
    <w:p w14:paraId="74E716EA">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项目声环境影响评价自查表如下：</w:t>
      </w:r>
    </w:p>
    <w:p w14:paraId="4DFFC7B1">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表6.4-3 声环境影响评价自查表</w:t>
      </w:r>
    </w:p>
    <w:tbl>
      <w:tblPr>
        <w:tblStyle w:val="35"/>
        <w:tblW w:w="496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063"/>
        <w:gridCol w:w="1698"/>
        <w:gridCol w:w="985"/>
        <w:gridCol w:w="589"/>
        <w:gridCol w:w="56"/>
        <w:gridCol w:w="536"/>
        <w:gridCol w:w="1022"/>
        <w:gridCol w:w="645"/>
        <w:gridCol w:w="205"/>
        <w:gridCol w:w="418"/>
        <w:gridCol w:w="62"/>
        <w:gridCol w:w="600"/>
        <w:gridCol w:w="544"/>
        <w:gridCol w:w="1257"/>
      </w:tblGrid>
      <w:tr w14:paraId="6EE38F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1426" w:type="pct"/>
            <w:gridSpan w:val="2"/>
            <w:vAlign w:val="center"/>
          </w:tcPr>
          <w:p w14:paraId="689CC058">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工作内容</w:t>
            </w:r>
          </w:p>
        </w:tc>
        <w:tc>
          <w:tcPr>
            <w:tcW w:w="3573" w:type="pct"/>
            <w:gridSpan w:val="12"/>
            <w:vAlign w:val="center"/>
          </w:tcPr>
          <w:p w14:paraId="608BD126">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自查项目</w:t>
            </w:r>
          </w:p>
        </w:tc>
      </w:tr>
      <w:tr w14:paraId="4617D4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549" w:type="pct"/>
            <w:vAlign w:val="center"/>
          </w:tcPr>
          <w:p w14:paraId="2AF95CB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评价等级与</w:t>
            </w:r>
          </w:p>
        </w:tc>
        <w:tc>
          <w:tcPr>
            <w:tcW w:w="876" w:type="pct"/>
            <w:vAlign w:val="center"/>
          </w:tcPr>
          <w:p w14:paraId="3B65989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评价等级</w:t>
            </w:r>
          </w:p>
        </w:tc>
        <w:tc>
          <w:tcPr>
            <w:tcW w:w="3573" w:type="pct"/>
            <w:gridSpan w:val="12"/>
            <w:vAlign w:val="center"/>
          </w:tcPr>
          <w:p w14:paraId="439BABB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一级</w:t>
            </w:r>
            <w:r>
              <w:rPr>
                <w:rFonts w:ascii="Times New Roman" w:hAnsi="Times New Roman" w:cs="Times New Roman"/>
                <w:color w:val="auto"/>
                <w:sz w:val="21"/>
                <w:lang w:eastAsia="zh-CN"/>
              </w:rPr>
              <w:t>□</w:t>
            </w:r>
            <w:r>
              <w:rPr>
                <w:rFonts w:ascii="Times New Roman" w:hAnsi="Times New Roman" w:cs="Times New Roman"/>
                <w:color w:val="auto"/>
                <w:sz w:val="21"/>
              </w:rPr>
              <w:t xml:space="preserve">        二级</w:t>
            </w:r>
            <w:r>
              <w:rPr>
                <w:rFonts w:ascii="Times New Roman" w:hAnsi="Times New Roman" w:cs="Times New Roman"/>
                <w:color w:val="auto"/>
                <w:sz w:val="21"/>
                <w:lang w:eastAsia="zh-CN"/>
              </w:rPr>
              <w:t>□</w:t>
            </w:r>
            <w:r>
              <w:rPr>
                <w:rFonts w:ascii="Times New Roman" w:hAnsi="Times New Roman" w:cs="Times New Roman"/>
                <w:color w:val="auto"/>
                <w:sz w:val="21"/>
              </w:rPr>
              <w:t xml:space="preserve">           三级</w:t>
            </w:r>
            <w:r>
              <w:rPr>
                <w:rFonts w:ascii="Segoe UI Symbol" w:hAnsi="Segoe UI Symbol" w:cs="Segoe UI Symbol"/>
                <w:color w:val="auto"/>
                <w:sz w:val="21"/>
                <w:lang w:eastAsia="zh-CN"/>
              </w:rPr>
              <w:t>☑</w:t>
            </w:r>
            <w:r>
              <w:rPr>
                <w:rFonts w:ascii="Times New Roman" w:hAnsi="Times New Roman" w:cs="Times New Roman"/>
                <w:color w:val="auto"/>
                <w:sz w:val="21"/>
              </w:rPr>
              <w:t xml:space="preserve">  </w:t>
            </w:r>
          </w:p>
        </w:tc>
      </w:tr>
      <w:tr w14:paraId="2590CD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549" w:type="pct"/>
            <w:vAlign w:val="center"/>
          </w:tcPr>
          <w:p w14:paraId="1B3ACCCD">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范围</w:t>
            </w:r>
          </w:p>
        </w:tc>
        <w:tc>
          <w:tcPr>
            <w:tcW w:w="876" w:type="pct"/>
            <w:vAlign w:val="center"/>
          </w:tcPr>
          <w:p w14:paraId="39CFA638">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评价范围</w:t>
            </w:r>
          </w:p>
        </w:tc>
        <w:tc>
          <w:tcPr>
            <w:tcW w:w="3573" w:type="pct"/>
            <w:gridSpan w:val="12"/>
            <w:vAlign w:val="center"/>
          </w:tcPr>
          <w:p w14:paraId="6E2892B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200 m</w:t>
            </w:r>
            <w:r>
              <w:rPr>
                <w:rFonts w:ascii="Segoe UI Symbol" w:hAnsi="Segoe UI Symbol" w:cs="Segoe UI Symbol"/>
                <w:color w:val="auto"/>
                <w:sz w:val="21"/>
                <w:lang w:eastAsia="zh-CN"/>
              </w:rPr>
              <w:t>☑</w:t>
            </w:r>
            <w:r>
              <w:rPr>
                <w:rFonts w:ascii="Times New Roman" w:hAnsi="Times New Roman" w:cs="Times New Roman"/>
                <w:color w:val="auto"/>
                <w:sz w:val="21"/>
              </w:rPr>
              <w:t xml:space="preserve">                     大于200 m </w:t>
            </w:r>
            <w:r>
              <w:rPr>
                <w:rFonts w:ascii="Times New Roman" w:hAnsi="Times New Roman" w:cs="Times New Roman"/>
                <w:color w:val="auto"/>
                <w:sz w:val="21"/>
                <w:lang w:eastAsia="zh-CN"/>
              </w:rPr>
              <w:t>□</w:t>
            </w:r>
            <w:r>
              <w:rPr>
                <w:rFonts w:ascii="Times New Roman" w:hAnsi="Times New Roman" w:cs="Times New Roman"/>
                <w:color w:val="auto"/>
                <w:sz w:val="21"/>
              </w:rPr>
              <w:t xml:space="preserve">             小于200 m</w:t>
            </w:r>
            <w:r>
              <w:rPr>
                <w:rFonts w:ascii="Times New Roman" w:hAnsi="Times New Roman" w:cs="Times New Roman"/>
                <w:color w:val="auto"/>
                <w:sz w:val="21"/>
                <w:lang w:eastAsia="zh-CN"/>
              </w:rPr>
              <w:t>□</w:t>
            </w:r>
            <w:r>
              <w:rPr>
                <w:rFonts w:ascii="Times New Roman" w:hAnsi="Times New Roman" w:cs="Times New Roman"/>
                <w:color w:val="auto"/>
                <w:sz w:val="21"/>
              </w:rPr>
              <w:t xml:space="preserve">  </w:t>
            </w:r>
          </w:p>
        </w:tc>
      </w:tr>
      <w:tr w14:paraId="4FC035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549" w:type="pct"/>
            <w:vAlign w:val="center"/>
          </w:tcPr>
          <w:p w14:paraId="3F284D5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评价因子</w:t>
            </w:r>
          </w:p>
        </w:tc>
        <w:tc>
          <w:tcPr>
            <w:tcW w:w="876" w:type="pct"/>
            <w:vAlign w:val="center"/>
          </w:tcPr>
          <w:p w14:paraId="082BD208">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评价因子</w:t>
            </w:r>
          </w:p>
        </w:tc>
        <w:tc>
          <w:tcPr>
            <w:tcW w:w="1119" w:type="pct"/>
            <w:gridSpan w:val="4"/>
            <w:vAlign w:val="center"/>
          </w:tcPr>
          <w:p w14:paraId="14254511">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等效连续 A 声级</w:t>
            </w:r>
            <w:r>
              <w:rPr>
                <w:rFonts w:ascii="Segoe UI Symbol" w:hAnsi="Segoe UI Symbol" w:cs="Segoe UI Symbol"/>
                <w:color w:val="auto"/>
                <w:sz w:val="21"/>
                <w:lang w:eastAsia="zh-CN"/>
              </w:rPr>
              <w:t>☑</w:t>
            </w:r>
            <w:r>
              <w:rPr>
                <w:rFonts w:ascii="Times New Roman" w:hAnsi="Times New Roman" w:cs="Times New Roman"/>
                <w:color w:val="auto"/>
                <w:sz w:val="21"/>
              </w:rPr>
              <w:t xml:space="preserve">  </w:t>
            </w:r>
          </w:p>
        </w:tc>
        <w:tc>
          <w:tcPr>
            <w:tcW w:w="967" w:type="pct"/>
            <w:gridSpan w:val="3"/>
            <w:vAlign w:val="center"/>
          </w:tcPr>
          <w:p w14:paraId="74D74D9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最大 A 声级</w:t>
            </w:r>
            <w:r>
              <w:rPr>
                <w:rFonts w:ascii="Times New Roman" w:hAnsi="Times New Roman" w:cs="Times New Roman"/>
                <w:color w:val="auto"/>
                <w:sz w:val="21"/>
                <w:lang w:eastAsia="zh-CN"/>
              </w:rPr>
              <w:t>□</w:t>
            </w:r>
            <w:r>
              <w:rPr>
                <w:rFonts w:ascii="Times New Roman" w:hAnsi="Times New Roman" w:cs="Times New Roman"/>
                <w:color w:val="auto"/>
                <w:sz w:val="21"/>
              </w:rPr>
              <w:t xml:space="preserve">  </w:t>
            </w:r>
          </w:p>
        </w:tc>
        <w:tc>
          <w:tcPr>
            <w:tcW w:w="1487" w:type="pct"/>
            <w:gridSpan w:val="5"/>
            <w:vAlign w:val="center"/>
          </w:tcPr>
          <w:p w14:paraId="02C80DA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 xml:space="preserve">计权等效连续感觉噪声级□  </w:t>
            </w:r>
          </w:p>
        </w:tc>
      </w:tr>
      <w:tr w14:paraId="5FA69E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549" w:type="pct"/>
            <w:vAlign w:val="center"/>
          </w:tcPr>
          <w:p w14:paraId="1BD34E6D">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评价标准</w:t>
            </w:r>
          </w:p>
        </w:tc>
        <w:tc>
          <w:tcPr>
            <w:tcW w:w="876" w:type="pct"/>
            <w:vAlign w:val="center"/>
          </w:tcPr>
          <w:p w14:paraId="14745AC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评价标准</w:t>
            </w:r>
          </w:p>
        </w:tc>
        <w:tc>
          <w:tcPr>
            <w:tcW w:w="1119" w:type="pct"/>
            <w:gridSpan w:val="4"/>
            <w:vAlign w:val="center"/>
          </w:tcPr>
          <w:p w14:paraId="4ECC54F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国家标准</w:t>
            </w:r>
            <w:r>
              <w:rPr>
                <w:rFonts w:ascii="Segoe UI Symbol" w:hAnsi="Segoe UI Symbol" w:cs="Segoe UI Symbol"/>
                <w:color w:val="auto"/>
                <w:sz w:val="21"/>
                <w:lang w:eastAsia="zh-CN"/>
              </w:rPr>
              <w:t>☑</w:t>
            </w:r>
            <w:r>
              <w:rPr>
                <w:rFonts w:ascii="Times New Roman" w:hAnsi="Times New Roman" w:cs="Times New Roman"/>
                <w:color w:val="auto"/>
                <w:sz w:val="21"/>
              </w:rPr>
              <w:t xml:space="preserve">  </w:t>
            </w:r>
          </w:p>
        </w:tc>
        <w:tc>
          <w:tcPr>
            <w:tcW w:w="967" w:type="pct"/>
            <w:gridSpan w:val="3"/>
            <w:vAlign w:val="center"/>
          </w:tcPr>
          <w:p w14:paraId="0FE3A60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地方标准</w:t>
            </w:r>
            <w:r>
              <w:rPr>
                <w:rFonts w:ascii="Times New Roman" w:hAnsi="Times New Roman" w:cs="Times New Roman"/>
                <w:color w:val="auto"/>
                <w:sz w:val="21"/>
                <w:lang w:eastAsia="zh-CN"/>
              </w:rPr>
              <w:t>□</w:t>
            </w:r>
            <w:r>
              <w:rPr>
                <w:rFonts w:ascii="Times New Roman" w:hAnsi="Times New Roman" w:cs="Times New Roman"/>
                <w:color w:val="auto"/>
                <w:sz w:val="21"/>
              </w:rPr>
              <w:t xml:space="preserve">  </w:t>
            </w:r>
          </w:p>
        </w:tc>
        <w:tc>
          <w:tcPr>
            <w:tcW w:w="1487" w:type="pct"/>
            <w:gridSpan w:val="5"/>
            <w:vAlign w:val="center"/>
          </w:tcPr>
          <w:p w14:paraId="2B65136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国外标准</w:t>
            </w:r>
          </w:p>
        </w:tc>
      </w:tr>
      <w:tr w14:paraId="01CDD2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549" w:type="pct"/>
            <w:vMerge w:val="restart"/>
            <w:tcBorders>
              <w:bottom w:val="nil"/>
            </w:tcBorders>
            <w:vAlign w:val="center"/>
          </w:tcPr>
          <w:p w14:paraId="160F07E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现状评价</w:t>
            </w:r>
          </w:p>
        </w:tc>
        <w:tc>
          <w:tcPr>
            <w:tcW w:w="876" w:type="pct"/>
            <w:vAlign w:val="center"/>
          </w:tcPr>
          <w:p w14:paraId="59AFF84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环境功能区</w:t>
            </w:r>
          </w:p>
        </w:tc>
        <w:tc>
          <w:tcPr>
            <w:tcW w:w="509" w:type="pct"/>
            <w:vAlign w:val="center"/>
          </w:tcPr>
          <w:p w14:paraId="4ED5565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0类区</w:t>
            </w:r>
            <w:r>
              <w:rPr>
                <w:rFonts w:ascii="Times New Roman" w:hAnsi="Times New Roman" w:cs="Times New Roman"/>
                <w:color w:val="auto"/>
                <w:sz w:val="21"/>
                <w:lang w:eastAsia="zh-CN"/>
              </w:rPr>
              <w:t>□</w:t>
            </w:r>
          </w:p>
        </w:tc>
        <w:tc>
          <w:tcPr>
            <w:tcW w:w="609" w:type="pct"/>
            <w:gridSpan w:val="3"/>
            <w:vAlign w:val="center"/>
          </w:tcPr>
          <w:p w14:paraId="695E6CE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1类区</w:t>
            </w:r>
            <w:r>
              <w:rPr>
                <w:rFonts w:ascii="Times New Roman" w:hAnsi="Times New Roman" w:cs="Times New Roman"/>
                <w:color w:val="auto"/>
                <w:sz w:val="21"/>
                <w:lang w:eastAsia="zh-CN"/>
              </w:rPr>
              <w:t>□</w:t>
            </w:r>
            <w:r>
              <w:rPr>
                <w:rFonts w:ascii="Times New Roman" w:hAnsi="Times New Roman" w:cs="Times New Roman"/>
                <w:color w:val="auto"/>
                <w:sz w:val="21"/>
              </w:rPr>
              <w:t xml:space="preserve">  </w:t>
            </w:r>
          </w:p>
        </w:tc>
        <w:tc>
          <w:tcPr>
            <w:tcW w:w="528" w:type="pct"/>
            <w:vAlign w:val="center"/>
          </w:tcPr>
          <w:p w14:paraId="668481D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2类区</w:t>
            </w:r>
            <w:r>
              <w:rPr>
                <w:rFonts w:ascii="Times New Roman" w:hAnsi="Times New Roman" w:cs="Times New Roman"/>
                <w:color w:val="auto"/>
                <w:sz w:val="21"/>
                <w:lang w:eastAsia="zh-CN"/>
              </w:rPr>
              <w:t>□</w:t>
            </w:r>
            <w:r>
              <w:rPr>
                <w:rFonts w:ascii="Times New Roman" w:hAnsi="Times New Roman" w:cs="Times New Roman"/>
                <w:color w:val="auto"/>
                <w:sz w:val="21"/>
              </w:rPr>
              <w:t xml:space="preserve">  </w:t>
            </w:r>
          </w:p>
        </w:tc>
        <w:tc>
          <w:tcPr>
            <w:tcW w:w="687" w:type="pct"/>
            <w:gridSpan w:val="4"/>
            <w:vAlign w:val="center"/>
          </w:tcPr>
          <w:p w14:paraId="0476814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3类区</w:t>
            </w:r>
            <w:r>
              <w:rPr>
                <w:rFonts w:ascii="Segoe UI Symbol" w:hAnsi="Segoe UI Symbol" w:cs="Segoe UI Symbol"/>
                <w:color w:val="auto"/>
                <w:sz w:val="21"/>
                <w:lang w:eastAsia="zh-CN"/>
              </w:rPr>
              <w:t>☑</w:t>
            </w:r>
            <w:r>
              <w:rPr>
                <w:rFonts w:ascii="Times New Roman" w:hAnsi="Times New Roman" w:cs="Times New Roman"/>
                <w:color w:val="auto"/>
                <w:sz w:val="21"/>
              </w:rPr>
              <w:t xml:space="preserve">  </w:t>
            </w:r>
          </w:p>
        </w:tc>
        <w:tc>
          <w:tcPr>
            <w:tcW w:w="589" w:type="pct"/>
            <w:gridSpan w:val="2"/>
            <w:vAlign w:val="center"/>
          </w:tcPr>
          <w:p w14:paraId="514A6F0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4a类区</w:t>
            </w:r>
            <w:r>
              <w:rPr>
                <w:rFonts w:ascii="Times New Roman" w:hAnsi="Times New Roman" w:cs="Times New Roman"/>
                <w:color w:val="auto"/>
                <w:sz w:val="21"/>
                <w:lang w:eastAsia="zh-CN"/>
              </w:rPr>
              <w:t>□</w:t>
            </w:r>
            <w:r>
              <w:rPr>
                <w:rFonts w:ascii="Times New Roman" w:hAnsi="Times New Roman" w:cs="Times New Roman"/>
                <w:color w:val="auto"/>
                <w:sz w:val="21"/>
              </w:rPr>
              <w:t xml:space="preserve">  </w:t>
            </w:r>
          </w:p>
        </w:tc>
        <w:tc>
          <w:tcPr>
            <w:tcW w:w="648" w:type="pct"/>
            <w:vAlign w:val="center"/>
          </w:tcPr>
          <w:p w14:paraId="2F91A75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4b类区</w:t>
            </w:r>
            <w:r>
              <w:rPr>
                <w:rFonts w:ascii="Times New Roman" w:hAnsi="Times New Roman" w:cs="Times New Roman"/>
                <w:color w:val="auto"/>
                <w:sz w:val="21"/>
                <w:lang w:eastAsia="zh-CN"/>
              </w:rPr>
              <w:t>□</w:t>
            </w:r>
            <w:r>
              <w:rPr>
                <w:rFonts w:ascii="Times New Roman" w:hAnsi="Times New Roman" w:cs="Times New Roman"/>
                <w:color w:val="auto"/>
                <w:sz w:val="21"/>
              </w:rPr>
              <w:t xml:space="preserve">  </w:t>
            </w:r>
          </w:p>
        </w:tc>
      </w:tr>
      <w:tr w14:paraId="02212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549" w:type="pct"/>
            <w:vMerge w:val="continue"/>
            <w:tcBorders>
              <w:top w:val="nil"/>
              <w:bottom w:val="nil"/>
            </w:tcBorders>
            <w:vAlign w:val="center"/>
          </w:tcPr>
          <w:p w14:paraId="500AC7EA">
            <w:pPr>
              <w:adjustRightInd w:val="0"/>
              <w:snapToGrid w:val="0"/>
              <w:jc w:val="center"/>
              <w:rPr>
                <w:rFonts w:ascii="Times New Roman" w:hAnsi="Times New Roman" w:cs="Times New Roman"/>
                <w:color w:val="auto"/>
                <w:sz w:val="21"/>
              </w:rPr>
            </w:pPr>
          </w:p>
        </w:tc>
        <w:tc>
          <w:tcPr>
            <w:tcW w:w="876" w:type="pct"/>
            <w:vAlign w:val="center"/>
          </w:tcPr>
          <w:p w14:paraId="48A44F5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评价年度</w:t>
            </w:r>
          </w:p>
        </w:tc>
        <w:tc>
          <w:tcPr>
            <w:tcW w:w="813" w:type="pct"/>
            <w:gridSpan w:val="2"/>
            <w:vAlign w:val="center"/>
          </w:tcPr>
          <w:p w14:paraId="6284028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初期</w:t>
            </w:r>
            <w:r>
              <w:rPr>
                <w:rFonts w:ascii="Times New Roman" w:hAnsi="Times New Roman" w:cs="Times New Roman"/>
                <w:color w:val="auto"/>
                <w:sz w:val="21"/>
                <w:lang w:eastAsia="zh-CN"/>
              </w:rPr>
              <w:t>□</w:t>
            </w:r>
            <w:r>
              <w:rPr>
                <w:rFonts w:ascii="Times New Roman" w:hAnsi="Times New Roman" w:cs="Times New Roman"/>
                <w:color w:val="auto"/>
                <w:sz w:val="21"/>
              </w:rPr>
              <w:t xml:space="preserve">  </w:t>
            </w:r>
          </w:p>
        </w:tc>
        <w:tc>
          <w:tcPr>
            <w:tcW w:w="833" w:type="pct"/>
            <w:gridSpan w:val="3"/>
            <w:vAlign w:val="center"/>
          </w:tcPr>
          <w:p w14:paraId="7D62245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近期</w:t>
            </w:r>
            <w:r>
              <w:rPr>
                <w:rFonts w:ascii="Segoe UI Symbol" w:hAnsi="Segoe UI Symbol" w:cs="Segoe UI Symbol"/>
                <w:color w:val="auto"/>
                <w:sz w:val="21"/>
                <w:lang w:eastAsia="zh-CN"/>
              </w:rPr>
              <w:t>☑</w:t>
            </w:r>
            <w:r>
              <w:rPr>
                <w:rFonts w:ascii="Times New Roman" w:hAnsi="Times New Roman" w:cs="Times New Roman"/>
                <w:color w:val="auto"/>
                <w:sz w:val="21"/>
              </w:rPr>
              <w:t xml:space="preserve">  </w:t>
            </w:r>
          </w:p>
        </w:tc>
        <w:tc>
          <w:tcPr>
            <w:tcW w:w="996" w:type="pct"/>
            <w:gridSpan w:val="5"/>
            <w:vAlign w:val="center"/>
          </w:tcPr>
          <w:p w14:paraId="391A523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中期</w:t>
            </w:r>
            <w:r>
              <w:rPr>
                <w:rFonts w:ascii="Times New Roman" w:hAnsi="Times New Roman" w:cs="Times New Roman"/>
                <w:color w:val="auto"/>
                <w:sz w:val="21"/>
                <w:lang w:eastAsia="zh-CN"/>
              </w:rPr>
              <w:t>□</w:t>
            </w:r>
            <w:r>
              <w:rPr>
                <w:rFonts w:ascii="Times New Roman" w:hAnsi="Times New Roman" w:cs="Times New Roman"/>
                <w:color w:val="auto"/>
                <w:sz w:val="21"/>
              </w:rPr>
              <w:t xml:space="preserve">  </w:t>
            </w:r>
          </w:p>
        </w:tc>
        <w:tc>
          <w:tcPr>
            <w:tcW w:w="929" w:type="pct"/>
            <w:gridSpan w:val="2"/>
            <w:vAlign w:val="center"/>
          </w:tcPr>
          <w:p w14:paraId="41D0CBA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远期</w:t>
            </w:r>
            <w:r>
              <w:rPr>
                <w:rFonts w:ascii="Times New Roman" w:hAnsi="Times New Roman" w:cs="Times New Roman"/>
                <w:color w:val="auto"/>
                <w:sz w:val="21"/>
                <w:lang w:eastAsia="zh-CN"/>
              </w:rPr>
              <w:t>□</w:t>
            </w:r>
            <w:r>
              <w:rPr>
                <w:rFonts w:ascii="Times New Roman" w:hAnsi="Times New Roman" w:cs="Times New Roman"/>
                <w:color w:val="auto"/>
                <w:sz w:val="21"/>
              </w:rPr>
              <w:t xml:space="preserve">  </w:t>
            </w:r>
          </w:p>
        </w:tc>
      </w:tr>
      <w:tr w14:paraId="47B392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549" w:type="pct"/>
            <w:vMerge w:val="continue"/>
            <w:tcBorders>
              <w:top w:val="nil"/>
              <w:bottom w:val="nil"/>
            </w:tcBorders>
            <w:vAlign w:val="center"/>
          </w:tcPr>
          <w:p w14:paraId="4DD1751F">
            <w:pPr>
              <w:adjustRightInd w:val="0"/>
              <w:snapToGrid w:val="0"/>
              <w:jc w:val="center"/>
              <w:rPr>
                <w:rFonts w:ascii="Times New Roman" w:hAnsi="Times New Roman" w:cs="Times New Roman"/>
                <w:color w:val="auto"/>
                <w:sz w:val="21"/>
              </w:rPr>
            </w:pPr>
          </w:p>
        </w:tc>
        <w:tc>
          <w:tcPr>
            <w:tcW w:w="876" w:type="pct"/>
            <w:vAlign w:val="center"/>
          </w:tcPr>
          <w:p w14:paraId="7786F8A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现状调查方法</w:t>
            </w:r>
          </w:p>
        </w:tc>
        <w:tc>
          <w:tcPr>
            <w:tcW w:w="1119" w:type="pct"/>
            <w:gridSpan w:val="4"/>
            <w:vAlign w:val="center"/>
          </w:tcPr>
          <w:p w14:paraId="0FFF3AED">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现场实测法</w:t>
            </w:r>
            <w:r>
              <w:rPr>
                <w:rFonts w:ascii="Segoe UI Symbol" w:hAnsi="Segoe UI Symbol" w:cs="Segoe UI Symbol"/>
                <w:color w:val="auto"/>
                <w:sz w:val="21"/>
                <w:lang w:eastAsia="zh-CN"/>
              </w:rPr>
              <w:t>☑</w:t>
            </w:r>
            <w:r>
              <w:rPr>
                <w:rFonts w:ascii="Times New Roman" w:hAnsi="Times New Roman" w:cs="Times New Roman"/>
                <w:color w:val="auto"/>
                <w:sz w:val="21"/>
              </w:rPr>
              <w:t xml:space="preserve">  </w:t>
            </w:r>
          </w:p>
        </w:tc>
        <w:tc>
          <w:tcPr>
            <w:tcW w:w="1525" w:type="pct"/>
            <w:gridSpan w:val="6"/>
            <w:vAlign w:val="center"/>
          </w:tcPr>
          <w:p w14:paraId="4D84588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 xml:space="preserve">现场实测加模型计算法□  </w:t>
            </w:r>
          </w:p>
        </w:tc>
        <w:tc>
          <w:tcPr>
            <w:tcW w:w="929" w:type="pct"/>
            <w:gridSpan w:val="2"/>
            <w:vAlign w:val="center"/>
          </w:tcPr>
          <w:p w14:paraId="6946443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收集资料</w:t>
            </w:r>
            <w:r>
              <w:rPr>
                <w:rFonts w:ascii="Times New Roman" w:hAnsi="Times New Roman" w:cs="Times New Roman"/>
                <w:color w:val="auto"/>
                <w:sz w:val="21"/>
                <w:lang w:eastAsia="zh-CN"/>
              </w:rPr>
              <w:t>□</w:t>
            </w:r>
            <w:r>
              <w:rPr>
                <w:rFonts w:ascii="Times New Roman" w:hAnsi="Times New Roman" w:cs="Times New Roman"/>
                <w:color w:val="auto"/>
                <w:sz w:val="21"/>
              </w:rPr>
              <w:t xml:space="preserve">  </w:t>
            </w:r>
          </w:p>
        </w:tc>
      </w:tr>
      <w:tr w14:paraId="013DA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549" w:type="pct"/>
            <w:vMerge w:val="continue"/>
            <w:tcBorders>
              <w:top w:val="nil"/>
            </w:tcBorders>
            <w:vAlign w:val="center"/>
          </w:tcPr>
          <w:p w14:paraId="4F052C06">
            <w:pPr>
              <w:adjustRightInd w:val="0"/>
              <w:snapToGrid w:val="0"/>
              <w:jc w:val="center"/>
              <w:rPr>
                <w:rFonts w:ascii="Times New Roman" w:hAnsi="Times New Roman" w:cs="Times New Roman"/>
                <w:color w:val="auto"/>
                <w:sz w:val="21"/>
              </w:rPr>
            </w:pPr>
          </w:p>
        </w:tc>
        <w:tc>
          <w:tcPr>
            <w:tcW w:w="876" w:type="pct"/>
            <w:vAlign w:val="center"/>
          </w:tcPr>
          <w:p w14:paraId="1476C68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现状评价</w:t>
            </w:r>
          </w:p>
        </w:tc>
        <w:tc>
          <w:tcPr>
            <w:tcW w:w="1119" w:type="pct"/>
            <w:gridSpan w:val="4"/>
            <w:vAlign w:val="center"/>
          </w:tcPr>
          <w:p w14:paraId="2BAA4B6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达标百分比</w:t>
            </w:r>
          </w:p>
        </w:tc>
        <w:tc>
          <w:tcPr>
            <w:tcW w:w="2454" w:type="pct"/>
            <w:gridSpan w:val="8"/>
            <w:vAlign w:val="center"/>
          </w:tcPr>
          <w:p w14:paraId="3F1AC67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100%</w:t>
            </w:r>
          </w:p>
        </w:tc>
      </w:tr>
      <w:tr w14:paraId="7581D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549" w:type="pct"/>
            <w:vAlign w:val="center"/>
          </w:tcPr>
          <w:p w14:paraId="35FF9971">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噪声源调查</w:t>
            </w:r>
          </w:p>
        </w:tc>
        <w:tc>
          <w:tcPr>
            <w:tcW w:w="876" w:type="pct"/>
            <w:vAlign w:val="center"/>
          </w:tcPr>
          <w:p w14:paraId="29AE488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噪声源调查方法</w:t>
            </w:r>
          </w:p>
        </w:tc>
        <w:tc>
          <w:tcPr>
            <w:tcW w:w="1119" w:type="pct"/>
            <w:gridSpan w:val="4"/>
            <w:vAlign w:val="center"/>
          </w:tcPr>
          <w:p w14:paraId="1E2195D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现场实测</w:t>
            </w:r>
            <w:r>
              <w:rPr>
                <w:rFonts w:ascii="Times New Roman" w:hAnsi="Times New Roman" w:cs="Times New Roman"/>
                <w:color w:val="auto"/>
                <w:sz w:val="21"/>
                <w:lang w:eastAsia="zh-CN"/>
              </w:rPr>
              <w:t>□</w:t>
            </w:r>
            <w:r>
              <w:rPr>
                <w:rFonts w:ascii="Times New Roman" w:hAnsi="Times New Roman" w:cs="Times New Roman"/>
                <w:color w:val="auto"/>
                <w:sz w:val="21"/>
              </w:rPr>
              <w:t xml:space="preserve">  </w:t>
            </w:r>
          </w:p>
        </w:tc>
        <w:tc>
          <w:tcPr>
            <w:tcW w:w="1525" w:type="pct"/>
            <w:gridSpan w:val="6"/>
            <w:vAlign w:val="center"/>
          </w:tcPr>
          <w:p w14:paraId="097D824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已有资料</w:t>
            </w:r>
            <w:r>
              <w:rPr>
                <w:rFonts w:ascii="Segoe UI Symbol" w:hAnsi="Segoe UI Symbol" w:cs="Segoe UI Symbol"/>
                <w:color w:val="auto"/>
                <w:sz w:val="21"/>
                <w:lang w:eastAsia="zh-CN"/>
              </w:rPr>
              <w:t>☑</w:t>
            </w:r>
            <w:r>
              <w:rPr>
                <w:rFonts w:ascii="Times New Roman" w:hAnsi="Times New Roman" w:cs="Times New Roman"/>
                <w:color w:val="auto"/>
                <w:sz w:val="21"/>
              </w:rPr>
              <w:t xml:space="preserve">  </w:t>
            </w:r>
          </w:p>
        </w:tc>
        <w:tc>
          <w:tcPr>
            <w:tcW w:w="929" w:type="pct"/>
            <w:gridSpan w:val="2"/>
            <w:vAlign w:val="center"/>
          </w:tcPr>
          <w:p w14:paraId="2EFB308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研究成果</w:t>
            </w:r>
            <w:r>
              <w:rPr>
                <w:rFonts w:ascii="Times New Roman" w:hAnsi="Times New Roman" w:cs="Times New Roman"/>
                <w:color w:val="auto"/>
                <w:sz w:val="21"/>
                <w:lang w:eastAsia="zh-CN"/>
              </w:rPr>
              <w:t>□</w:t>
            </w:r>
            <w:r>
              <w:rPr>
                <w:rFonts w:ascii="Times New Roman" w:hAnsi="Times New Roman" w:cs="Times New Roman"/>
                <w:color w:val="auto"/>
                <w:sz w:val="21"/>
              </w:rPr>
              <w:t xml:space="preserve">  </w:t>
            </w:r>
          </w:p>
        </w:tc>
      </w:tr>
      <w:tr w14:paraId="7238E0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549" w:type="pct"/>
            <w:vMerge w:val="restart"/>
            <w:tcBorders>
              <w:bottom w:val="nil"/>
            </w:tcBorders>
            <w:vAlign w:val="center"/>
          </w:tcPr>
          <w:p w14:paraId="11FC8C3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声环境影响 预测与评价</w:t>
            </w:r>
          </w:p>
        </w:tc>
        <w:tc>
          <w:tcPr>
            <w:tcW w:w="876" w:type="pct"/>
            <w:vAlign w:val="center"/>
          </w:tcPr>
          <w:p w14:paraId="209B845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预测模型</w:t>
            </w:r>
          </w:p>
        </w:tc>
        <w:tc>
          <w:tcPr>
            <w:tcW w:w="1980" w:type="pct"/>
            <w:gridSpan w:val="6"/>
            <w:vAlign w:val="center"/>
          </w:tcPr>
          <w:p w14:paraId="09305167">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导则推荐模型</w:t>
            </w:r>
            <w:r>
              <w:rPr>
                <w:rFonts w:ascii="Segoe UI Symbol" w:hAnsi="Segoe UI Symbol" w:cs="Segoe UI Symbol"/>
                <w:color w:val="auto"/>
                <w:sz w:val="21"/>
                <w:lang w:eastAsia="zh-CN"/>
              </w:rPr>
              <w:t>☑</w:t>
            </w:r>
            <w:r>
              <w:rPr>
                <w:rFonts w:ascii="Times New Roman" w:hAnsi="Times New Roman" w:cs="Times New Roman"/>
                <w:color w:val="auto"/>
                <w:sz w:val="21"/>
                <w:lang w:eastAsia="zh-CN"/>
              </w:rPr>
              <w:t xml:space="preserve">  附录A、附录B</w:t>
            </w:r>
          </w:p>
        </w:tc>
        <w:tc>
          <w:tcPr>
            <w:tcW w:w="1593" w:type="pct"/>
            <w:gridSpan w:val="6"/>
            <w:vAlign w:val="center"/>
          </w:tcPr>
          <w:p w14:paraId="1DAF897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其他</w:t>
            </w:r>
            <w:r>
              <w:rPr>
                <w:rFonts w:ascii="Times New Roman" w:hAnsi="Times New Roman" w:cs="Times New Roman"/>
                <w:color w:val="auto"/>
                <w:sz w:val="21"/>
                <w:lang w:eastAsia="zh-CN"/>
              </w:rPr>
              <w:t>□</w:t>
            </w:r>
            <w:r>
              <w:rPr>
                <w:rFonts w:ascii="Times New Roman" w:hAnsi="Times New Roman" w:cs="Times New Roman"/>
                <w:color w:val="auto"/>
                <w:sz w:val="21"/>
              </w:rPr>
              <w:t xml:space="preserve">  </w:t>
            </w:r>
          </w:p>
        </w:tc>
      </w:tr>
      <w:tr w14:paraId="659B66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549" w:type="pct"/>
            <w:vMerge w:val="continue"/>
            <w:tcBorders>
              <w:top w:val="nil"/>
              <w:bottom w:val="nil"/>
            </w:tcBorders>
            <w:vAlign w:val="center"/>
          </w:tcPr>
          <w:p w14:paraId="0B1C0615">
            <w:pPr>
              <w:adjustRightInd w:val="0"/>
              <w:snapToGrid w:val="0"/>
              <w:jc w:val="center"/>
              <w:rPr>
                <w:rFonts w:ascii="Times New Roman" w:hAnsi="Times New Roman" w:cs="Times New Roman"/>
                <w:color w:val="auto"/>
                <w:sz w:val="21"/>
              </w:rPr>
            </w:pPr>
          </w:p>
        </w:tc>
        <w:tc>
          <w:tcPr>
            <w:tcW w:w="876" w:type="pct"/>
            <w:vAlign w:val="center"/>
          </w:tcPr>
          <w:p w14:paraId="4D2201B6">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预测范围</w:t>
            </w:r>
          </w:p>
        </w:tc>
        <w:tc>
          <w:tcPr>
            <w:tcW w:w="1119" w:type="pct"/>
            <w:gridSpan w:val="4"/>
            <w:vAlign w:val="center"/>
          </w:tcPr>
          <w:p w14:paraId="2CA871C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200 m</w:t>
            </w:r>
            <w:r>
              <w:rPr>
                <w:rFonts w:ascii="Segoe UI Symbol" w:hAnsi="Segoe UI Symbol" w:cs="Segoe UI Symbol"/>
                <w:color w:val="auto"/>
                <w:sz w:val="21"/>
                <w:lang w:eastAsia="zh-CN"/>
              </w:rPr>
              <w:t>☑</w:t>
            </w:r>
            <w:r>
              <w:rPr>
                <w:rFonts w:ascii="Times New Roman" w:hAnsi="Times New Roman" w:cs="Times New Roman"/>
                <w:color w:val="auto"/>
                <w:sz w:val="21"/>
              </w:rPr>
              <w:t xml:space="preserve">  </w:t>
            </w:r>
          </w:p>
        </w:tc>
        <w:tc>
          <w:tcPr>
            <w:tcW w:w="861" w:type="pct"/>
            <w:gridSpan w:val="2"/>
            <w:vAlign w:val="center"/>
          </w:tcPr>
          <w:p w14:paraId="552247F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大于 200 m</w:t>
            </w:r>
            <w:r>
              <w:rPr>
                <w:rFonts w:ascii="Times New Roman" w:hAnsi="Times New Roman" w:cs="Times New Roman"/>
                <w:color w:val="auto"/>
                <w:sz w:val="21"/>
                <w:lang w:eastAsia="zh-CN"/>
              </w:rPr>
              <w:t>□</w:t>
            </w:r>
            <w:r>
              <w:rPr>
                <w:rFonts w:ascii="Times New Roman" w:hAnsi="Times New Roman" w:cs="Times New Roman"/>
                <w:color w:val="auto"/>
                <w:sz w:val="21"/>
              </w:rPr>
              <w:t xml:space="preserve">  </w:t>
            </w:r>
          </w:p>
        </w:tc>
        <w:tc>
          <w:tcPr>
            <w:tcW w:w="1593" w:type="pct"/>
            <w:gridSpan w:val="6"/>
            <w:vAlign w:val="center"/>
          </w:tcPr>
          <w:p w14:paraId="1F2EE888">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小于 200 m</w:t>
            </w:r>
            <w:r>
              <w:rPr>
                <w:rFonts w:ascii="Times New Roman" w:hAnsi="Times New Roman" w:cs="Times New Roman"/>
                <w:color w:val="auto"/>
                <w:sz w:val="21"/>
                <w:lang w:eastAsia="zh-CN"/>
              </w:rPr>
              <w:t>□</w:t>
            </w:r>
            <w:r>
              <w:rPr>
                <w:rFonts w:ascii="Times New Roman" w:hAnsi="Times New Roman" w:cs="Times New Roman"/>
                <w:color w:val="auto"/>
                <w:sz w:val="21"/>
              </w:rPr>
              <w:t xml:space="preserve">  </w:t>
            </w:r>
          </w:p>
        </w:tc>
      </w:tr>
      <w:tr w14:paraId="4AF0A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549" w:type="pct"/>
            <w:vMerge w:val="continue"/>
            <w:tcBorders>
              <w:top w:val="nil"/>
              <w:bottom w:val="nil"/>
            </w:tcBorders>
            <w:vAlign w:val="center"/>
          </w:tcPr>
          <w:p w14:paraId="15AB8BBD">
            <w:pPr>
              <w:adjustRightInd w:val="0"/>
              <w:snapToGrid w:val="0"/>
              <w:jc w:val="center"/>
              <w:rPr>
                <w:rFonts w:ascii="Times New Roman" w:hAnsi="Times New Roman" w:cs="Times New Roman"/>
                <w:color w:val="auto"/>
                <w:sz w:val="21"/>
              </w:rPr>
            </w:pPr>
          </w:p>
        </w:tc>
        <w:tc>
          <w:tcPr>
            <w:tcW w:w="876" w:type="pct"/>
            <w:vAlign w:val="center"/>
          </w:tcPr>
          <w:p w14:paraId="711C9EC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预测因子</w:t>
            </w:r>
          </w:p>
        </w:tc>
        <w:tc>
          <w:tcPr>
            <w:tcW w:w="1119" w:type="pct"/>
            <w:gridSpan w:val="4"/>
            <w:vAlign w:val="center"/>
          </w:tcPr>
          <w:p w14:paraId="72037528">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等效连续 A 声级</w:t>
            </w:r>
            <w:r>
              <w:rPr>
                <w:rFonts w:ascii="Segoe UI Symbol" w:hAnsi="Segoe UI Symbol" w:cs="Segoe UI Symbol"/>
                <w:color w:val="auto"/>
                <w:sz w:val="21"/>
                <w:lang w:eastAsia="zh-CN"/>
              </w:rPr>
              <w:t>☑</w:t>
            </w:r>
            <w:r>
              <w:rPr>
                <w:rFonts w:ascii="Times New Roman" w:hAnsi="Times New Roman" w:cs="Times New Roman"/>
                <w:color w:val="auto"/>
                <w:sz w:val="21"/>
              </w:rPr>
              <w:t xml:space="preserve">  </w:t>
            </w:r>
          </w:p>
        </w:tc>
        <w:tc>
          <w:tcPr>
            <w:tcW w:w="861" w:type="pct"/>
            <w:gridSpan w:val="2"/>
            <w:vAlign w:val="center"/>
          </w:tcPr>
          <w:p w14:paraId="09B262F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最大 A 声级</w:t>
            </w:r>
          </w:p>
        </w:tc>
        <w:tc>
          <w:tcPr>
            <w:tcW w:w="1593" w:type="pct"/>
            <w:gridSpan w:val="6"/>
            <w:vAlign w:val="center"/>
          </w:tcPr>
          <w:p w14:paraId="1B8B52B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计权等效连续感觉噪声级</w:t>
            </w:r>
          </w:p>
        </w:tc>
      </w:tr>
      <w:tr w14:paraId="189109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549" w:type="pct"/>
            <w:vMerge w:val="continue"/>
            <w:tcBorders>
              <w:top w:val="nil"/>
              <w:bottom w:val="nil"/>
            </w:tcBorders>
            <w:vAlign w:val="center"/>
          </w:tcPr>
          <w:p w14:paraId="0E36B64E">
            <w:pPr>
              <w:adjustRightInd w:val="0"/>
              <w:snapToGrid w:val="0"/>
              <w:jc w:val="center"/>
              <w:rPr>
                <w:rFonts w:ascii="Times New Roman" w:hAnsi="Times New Roman" w:cs="Times New Roman"/>
                <w:color w:val="auto"/>
                <w:sz w:val="21"/>
                <w:lang w:eastAsia="zh-CN"/>
              </w:rPr>
            </w:pPr>
          </w:p>
        </w:tc>
        <w:tc>
          <w:tcPr>
            <w:tcW w:w="876" w:type="pct"/>
            <w:vAlign w:val="center"/>
          </w:tcPr>
          <w:p w14:paraId="63FC7DB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厂界噪声贡献值</w:t>
            </w:r>
          </w:p>
        </w:tc>
        <w:tc>
          <w:tcPr>
            <w:tcW w:w="1980" w:type="pct"/>
            <w:gridSpan w:val="6"/>
            <w:vAlign w:val="center"/>
          </w:tcPr>
          <w:p w14:paraId="686EC158">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达标</w:t>
            </w:r>
            <w:r>
              <w:rPr>
                <w:rFonts w:ascii="Segoe UI Symbol" w:hAnsi="Segoe UI Symbol" w:cs="Segoe UI Symbol"/>
                <w:color w:val="auto"/>
                <w:sz w:val="21"/>
                <w:lang w:eastAsia="zh-CN"/>
              </w:rPr>
              <w:t>☑</w:t>
            </w:r>
            <w:r>
              <w:rPr>
                <w:rFonts w:ascii="Times New Roman" w:hAnsi="Times New Roman" w:cs="Times New Roman"/>
                <w:color w:val="auto"/>
                <w:sz w:val="21"/>
              </w:rPr>
              <w:t xml:space="preserve">   </w:t>
            </w:r>
          </w:p>
        </w:tc>
        <w:tc>
          <w:tcPr>
            <w:tcW w:w="1593" w:type="pct"/>
            <w:gridSpan w:val="6"/>
            <w:vAlign w:val="center"/>
          </w:tcPr>
          <w:p w14:paraId="7BFC493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不达标</w:t>
            </w:r>
            <w:r>
              <w:rPr>
                <w:rFonts w:ascii="Times New Roman" w:hAnsi="Times New Roman" w:cs="Times New Roman"/>
                <w:color w:val="auto"/>
                <w:sz w:val="21"/>
                <w:lang w:eastAsia="zh-CN"/>
              </w:rPr>
              <w:t>□</w:t>
            </w:r>
            <w:r>
              <w:rPr>
                <w:rFonts w:ascii="Times New Roman" w:hAnsi="Times New Roman" w:cs="Times New Roman"/>
                <w:color w:val="auto"/>
                <w:sz w:val="21"/>
              </w:rPr>
              <w:t xml:space="preserve">  </w:t>
            </w:r>
          </w:p>
        </w:tc>
      </w:tr>
      <w:tr w14:paraId="795B6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9" w:type="pct"/>
            <w:vMerge w:val="continue"/>
            <w:tcBorders>
              <w:top w:val="nil"/>
            </w:tcBorders>
            <w:vAlign w:val="center"/>
          </w:tcPr>
          <w:p w14:paraId="0F26B44B">
            <w:pPr>
              <w:adjustRightInd w:val="0"/>
              <w:snapToGrid w:val="0"/>
              <w:jc w:val="center"/>
              <w:rPr>
                <w:rFonts w:ascii="Times New Roman" w:hAnsi="Times New Roman" w:cs="Times New Roman"/>
                <w:color w:val="auto"/>
                <w:sz w:val="21"/>
              </w:rPr>
            </w:pPr>
          </w:p>
        </w:tc>
        <w:tc>
          <w:tcPr>
            <w:tcW w:w="876" w:type="pct"/>
            <w:vAlign w:val="center"/>
          </w:tcPr>
          <w:p w14:paraId="5ADF629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声环境保护目标处噪声值</w:t>
            </w:r>
          </w:p>
        </w:tc>
        <w:tc>
          <w:tcPr>
            <w:tcW w:w="1980" w:type="pct"/>
            <w:gridSpan w:val="6"/>
            <w:vAlign w:val="center"/>
          </w:tcPr>
          <w:p w14:paraId="46D5D6F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达标</w:t>
            </w:r>
            <w:r>
              <w:rPr>
                <w:rFonts w:ascii="Segoe UI Symbol" w:hAnsi="Segoe UI Symbol" w:cs="Segoe UI Symbol"/>
                <w:color w:val="auto"/>
                <w:sz w:val="21"/>
                <w:lang w:eastAsia="zh-CN"/>
              </w:rPr>
              <w:t>☑</w:t>
            </w:r>
            <w:r>
              <w:rPr>
                <w:rFonts w:ascii="Times New Roman" w:hAnsi="Times New Roman" w:cs="Times New Roman"/>
                <w:color w:val="auto"/>
                <w:sz w:val="21"/>
              </w:rPr>
              <w:t xml:space="preserve">  </w:t>
            </w:r>
          </w:p>
        </w:tc>
        <w:tc>
          <w:tcPr>
            <w:tcW w:w="1593" w:type="pct"/>
            <w:gridSpan w:val="6"/>
            <w:vAlign w:val="center"/>
          </w:tcPr>
          <w:p w14:paraId="14A42CE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不达标</w:t>
            </w:r>
            <w:r>
              <w:rPr>
                <w:rFonts w:ascii="Times New Roman" w:hAnsi="Times New Roman" w:cs="Times New Roman"/>
                <w:color w:val="auto"/>
                <w:sz w:val="21"/>
                <w:lang w:eastAsia="zh-CN"/>
              </w:rPr>
              <w:t>□</w:t>
            </w:r>
            <w:r>
              <w:rPr>
                <w:rFonts w:ascii="Times New Roman" w:hAnsi="Times New Roman" w:cs="Times New Roman"/>
                <w:color w:val="auto"/>
                <w:sz w:val="21"/>
              </w:rPr>
              <w:t xml:space="preserve">  </w:t>
            </w:r>
          </w:p>
        </w:tc>
      </w:tr>
      <w:tr w14:paraId="7A8320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549" w:type="pct"/>
            <w:vMerge w:val="restart"/>
            <w:tcBorders>
              <w:bottom w:val="nil"/>
            </w:tcBorders>
            <w:vAlign w:val="center"/>
          </w:tcPr>
          <w:p w14:paraId="419A8BF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环境监测计 划</w:t>
            </w:r>
          </w:p>
        </w:tc>
        <w:tc>
          <w:tcPr>
            <w:tcW w:w="876" w:type="pct"/>
            <w:vAlign w:val="center"/>
          </w:tcPr>
          <w:p w14:paraId="60F999F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排放监测</w:t>
            </w:r>
          </w:p>
        </w:tc>
        <w:tc>
          <w:tcPr>
            <w:tcW w:w="842" w:type="pct"/>
            <w:gridSpan w:val="3"/>
            <w:tcBorders>
              <w:right w:val="single" w:color="000000" w:sz="6" w:space="0"/>
            </w:tcBorders>
            <w:vAlign w:val="center"/>
          </w:tcPr>
          <w:p w14:paraId="62947AE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厂界监测</w:t>
            </w:r>
            <w:r>
              <w:rPr>
                <w:rFonts w:ascii="Segoe UI Symbol" w:hAnsi="Segoe UI Symbol" w:cs="Segoe UI Symbol"/>
                <w:color w:val="auto"/>
                <w:sz w:val="21"/>
                <w:lang w:eastAsia="zh-CN"/>
              </w:rPr>
              <w:t>☑</w:t>
            </w:r>
            <w:r>
              <w:rPr>
                <w:rFonts w:ascii="Times New Roman" w:hAnsi="Times New Roman" w:cs="Times New Roman"/>
                <w:color w:val="auto"/>
                <w:sz w:val="21"/>
              </w:rPr>
              <w:t xml:space="preserve">           </w:t>
            </w:r>
          </w:p>
        </w:tc>
        <w:tc>
          <w:tcPr>
            <w:tcW w:w="804" w:type="pct"/>
            <w:gridSpan w:val="2"/>
            <w:tcBorders>
              <w:left w:val="single" w:color="000000" w:sz="6" w:space="0"/>
            </w:tcBorders>
            <w:vAlign w:val="center"/>
          </w:tcPr>
          <w:p w14:paraId="753B2E5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固定位置监测</w:t>
            </w:r>
            <w:r>
              <w:rPr>
                <w:rFonts w:ascii="Times New Roman" w:hAnsi="Times New Roman" w:cs="Times New Roman"/>
                <w:color w:val="auto"/>
                <w:sz w:val="21"/>
                <w:lang w:eastAsia="zh-CN"/>
              </w:rPr>
              <w:t>□</w:t>
            </w:r>
          </w:p>
        </w:tc>
        <w:tc>
          <w:tcPr>
            <w:tcW w:w="655" w:type="pct"/>
            <w:gridSpan w:val="3"/>
            <w:tcBorders>
              <w:right w:val="single" w:color="000000" w:sz="6" w:space="0"/>
            </w:tcBorders>
            <w:vAlign w:val="center"/>
          </w:tcPr>
          <w:p w14:paraId="7A6E355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自动监测</w:t>
            </w:r>
            <w:r>
              <w:rPr>
                <w:rFonts w:ascii="Times New Roman" w:hAnsi="Times New Roman" w:cs="Times New Roman"/>
                <w:color w:val="auto"/>
                <w:sz w:val="21"/>
                <w:lang w:eastAsia="zh-CN"/>
              </w:rPr>
              <w:t>□</w:t>
            </w:r>
            <w:r>
              <w:rPr>
                <w:rFonts w:ascii="Times New Roman" w:hAnsi="Times New Roman" w:cs="Times New Roman"/>
                <w:color w:val="auto"/>
                <w:sz w:val="21"/>
              </w:rPr>
              <w:t xml:space="preserve">     </w:t>
            </w:r>
          </w:p>
        </w:tc>
        <w:tc>
          <w:tcPr>
            <w:tcW w:w="622" w:type="pct"/>
            <w:gridSpan w:val="3"/>
            <w:tcBorders>
              <w:left w:val="single" w:color="000000" w:sz="6" w:space="0"/>
            </w:tcBorders>
            <w:vAlign w:val="center"/>
          </w:tcPr>
          <w:p w14:paraId="71024EF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手动监测</w:t>
            </w:r>
            <w:r>
              <w:rPr>
                <w:rFonts w:ascii="Times New Roman" w:hAnsi="Times New Roman" w:cs="Times New Roman"/>
                <w:color w:val="auto"/>
                <w:sz w:val="21"/>
                <w:lang w:eastAsia="zh-CN"/>
              </w:rPr>
              <w:t>□</w:t>
            </w:r>
          </w:p>
        </w:tc>
        <w:tc>
          <w:tcPr>
            <w:tcW w:w="648" w:type="pct"/>
            <w:vAlign w:val="center"/>
          </w:tcPr>
          <w:p w14:paraId="009BF7E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无监测</w:t>
            </w:r>
            <w:r>
              <w:rPr>
                <w:rFonts w:ascii="Times New Roman" w:hAnsi="Times New Roman" w:cs="Times New Roman"/>
                <w:color w:val="auto"/>
                <w:sz w:val="21"/>
                <w:lang w:eastAsia="zh-CN"/>
              </w:rPr>
              <w:t>□</w:t>
            </w:r>
            <w:r>
              <w:rPr>
                <w:rFonts w:ascii="Times New Roman" w:hAnsi="Times New Roman" w:cs="Times New Roman"/>
                <w:color w:val="auto"/>
                <w:sz w:val="21"/>
              </w:rPr>
              <w:t xml:space="preserve">  </w:t>
            </w:r>
          </w:p>
        </w:tc>
      </w:tr>
      <w:tr w14:paraId="58C31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9" w:type="pct"/>
            <w:vMerge w:val="continue"/>
            <w:tcBorders>
              <w:top w:val="nil"/>
            </w:tcBorders>
            <w:vAlign w:val="center"/>
          </w:tcPr>
          <w:p w14:paraId="138B736A">
            <w:pPr>
              <w:adjustRightInd w:val="0"/>
              <w:snapToGrid w:val="0"/>
              <w:jc w:val="center"/>
              <w:rPr>
                <w:rFonts w:ascii="Times New Roman" w:hAnsi="Times New Roman" w:cs="Times New Roman"/>
                <w:color w:val="auto"/>
                <w:sz w:val="21"/>
              </w:rPr>
            </w:pPr>
          </w:p>
        </w:tc>
        <w:tc>
          <w:tcPr>
            <w:tcW w:w="876" w:type="pct"/>
            <w:vAlign w:val="center"/>
          </w:tcPr>
          <w:p w14:paraId="67D7617A">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声环境保护目标处噪声监测</w:t>
            </w:r>
          </w:p>
        </w:tc>
        <w:tc>
          <w:tcPr>
            <w:tcW w:w="1647" w:type="pct"/>
            <w:gridSpan w:val="5"/>
            <w:vAlign w:val="center"/>
          </w:tcPr>
          <w:p w14:paraId="4CC3797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监测因子：（等效连续A声级）</w:t>
            </w:r>
          </w:p>
        </w:tc>
        <w:tc>
          <w:tcPr>
            <w:tcW w:w="1277" w:type="pct"/>
            <w:gridSpan w:val="6"/>
            <w:vAlign w:val="center"/>
          </w:tcPr>
          <w:p w14:paraId="02176C2D">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监测点位数</w:t>
            </w:r>
            <w:r>
              <w:rPr>
                <w:rFonts w:ascii="Times New Roman" w:hAnsi="Times New Roman" w:cs="Times New Roman"/>
                <w:color w:val="auto"/>
                <w:sz w:val="21"/>
                <w:lang w:eastAsia="zh-CN"/>
              </w:rPr>
              <w:t>（4）</w:t>
            </w:r>
          </w:p>
        </w:tc>
        <w:tc>
          <w:tcPr>
            <w:tcW w:w="648" w:type="pct"/>
            <w:vAlign w:val="center"/>
          </w:tcPr>
          <w:p w14:paraId="579DB8B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无监测</w:t>
            </w:r>
            <w:r>
              <w:rPr>
                <w:rFonts w:ascii="Times New Roman" w:hAnsi="Times New Roman" w:cs="Times New Roman"/>
                <w:color w:val="auto"/>
                <w:sz w:val="21"/>
                <w:lang w:eastAsia="zh-CN"/>
              </w:rPr>
              <w:t>□</w:t>
            </w:r>
            <w:r>
              <w:rPr>
                <w:rFonts w:ascii="Times New Roman" w:hAnsi="Times New Roman" w:cs="Times New Roman"/>
                <w:color w:val="auto"/>
                <w:sz w:val="21"/>
              </w:rPr>
              <w:t xml:space="preserve">  </w:t>
            </w:r>
          </w:p>
        </w:tc>
      </w:tr>
      <w:tr w14:paraId="74D6E9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549" w:type="pct"/>
            <w:vAlign w:val="center"/>
          </w:tcPr>
          <w:p w14:paraId="4F45DFB1">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评价结论</w:t>
            </w:r>
          </w:p>
        </w:tc>
        <w:tc>
          <w:tcPr>
            <w:tcW w:w="876" w:type="pct"/>
            <w:vAlign w:val="center"/>
          </w:tcPr>
          <w:p w14:paraId="46A35E6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环境影响</w:t>
            </w:r>
          </w:p>
        </w:tc>
        <w:tc>
          <w:tcPr>
            <w:tcW w:w="3573" w:type="pct"/>
            <w:gridSpan w:val="12"/>
            <w:vAlign w:val="center"/>
          </w:tcPr>
          <w:p w14:paraId="046A15E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可行</w:t>
            </w:r>
            <w:r>
              <w:rPr>
                <w:rFonts w:ascii="Segoe UI Symbol" w:hAnsi="Segoe UI Symbol" w:cs="Segoe UI Symbol"/>
                <w:color w:val="auto"/>
                <w:sz w:val="21"/>
                <w:lang w:eastAsia="zh-CN"/>
              </w:rPr>
              <w:t>☑</w:t>
            </w:r>
            <w:r>
              <w:rPr>
                <w:rFonts w:ascii="Times New Roman" w:hAnsi="Times New Roman" w:cs="Times New Roman"/>
                <w:color w:val="auto"/>
                <w:sz w:val="21"/>
              </w:rPr>
              <w:t xml:space="preserve">       不可行</w:t>
            </w:r>
            <w:r>
              <w:rPr>
                <w:rFonts w:ascii="Times New Roman" w:hAnsi="Times New Roman" w:cs="Times New Roman"/>
                <w:color w:val="auto"/>
                <w:sz w:val="21"/>
                <w:lang w:eastAsia="zh-CN"/>
              </w:rPr>
              <w:t>□</w:t>
            </w:r>
            <w:r>
              <w:rPr>
                <w:rFonts w:ascii="Times New Roman" w:hAnsi="Times New Roman" w:cs="Times New Roman"/>
                <w:color w:val="auto"/>
                <w:sz w:val="21"/>
              </w:rPr>
              <w:t xml:space="preserve">  </w:t>
            </w:r>
          </w:p>
        </w:tc>
      </w:tr>
    </w:tbl>
    <w:p w14:paraId="22A844BB">
      <w:pPr>
        <w:widowControl w:val="0"/>
        <w:spacing w:line="360" w:lineRule="auto"/>
        <w:ind w:firstLine="480" w:firstLineChars="200"/>
        <w:jc w:val="both"/>
        <w:rPr>
          <w:rFonts w:ascii="Times New Roman" w:hAnsi="Times New Roman" w:cs="Times New Roman"/>
          <w:color w:val="auto"/>
          <w:lang w:eastAsia="zh-CN"/>
        </w:rPr>
      </w:pPr>
    </w:p>
    <w:p w14:paraId="31EB5897">
      <w:pPr>
        <w:widowControl w:val="0"/>
        <w:spacing w:line="360" w:lineRule="auto"/>
        <w:ind w:firstLine="480" w:firstLineChars="200"/>
        <w:jc w:val="both"/>
        <w:rPr>
          <w:rFonts w:ascii="Times New Roman" w:hAnsi="Times New Roman" w:cs="Times New Roman"/>
          <w:color w:val="auto"/>
          <w:lang w:eastAsia="zh-CN"/>
        </w:rPr>
      </w:pPr>
    </w:p>
    <w:p w14:paraId="55E3DCF4">
      <w:pPr>
        <w:widowControl w:val="0"/>
        <w:spacing w:line="360" w:lineRule="auto"/>
        <w:ind w:firstLine="480" w:firstLineChars="200"/>
        <w:jc w:val="both"/>
        <w:rPr>
          <w:rFonts w:ascii="Times New Roman" w:hAnsi="Times New Roman" w:cs="Times New Roman"/>
          <w:color w:val="auto"/>
          <w:lang w:eastAsia="zh-CN"/>
        </w:rPr>
      </w:pPr>
    </w:p>
    <w:p w14:paraId="22361AEC">
      <w:pPr>
        <w:widowControl w:val="0"/>
        <w:spacing w:line="360" w:lineRule="auto"/>
        <w:ind w:firstLine="480" w:firstLineChars="200"/>
        <w:jc w:val="both"/>
        <w:rPr>
          <w:rFonts w:ascii="Times New Roman" w:hAnsi="Times New Roman" w:cs="Times New Roman"/>
          <w:color w:val="auto"/>
          <w:lang w:eastAsia="zh-CN"/>
        </w:rPr>
      </w:pPr>
    </w:p>
    <w:p w14:paraId="54EDDB8F">
      <w:pPr>
        <w:widowControl w:val="0"/>
        <w:spacing w:line="360" w:lineRule="auto"/>
        <w:ind w:firstLine="480" w:firstLineChars="200"/>
        <w:jc w:val="both"/>
        <w:rPr>
          <w:rFonts w:ascii="Times New Roman" w:hAnsi="Times New Roman" w:cs="Times New Roman"/>
          <w:color w:val="auto"/>
          <w:lang w:eastAsia="zh-CN"/>
        </w:rPr>
      </w:pPr>
    </w:p>
    <w:p w14:paraId="3D86BAEB">
      <w:pPr>
        <w:rPr>
          <w:rFonts w:ascii="Times New Roman" w:hAnsi="Times New Roman" w:cs="Times New Roman"/>
          <w:color w:val="auto"/>
          <w:lang w:eastAsia="zh-CN"/>
        </w:rPr>
      </w:pPr>
      <w:r>
        <w:rPr>
          <w:rFonts w:ascii="Times New Roman" w:hAnsi="Times New Roman" w:cs="Times New Roman"/>
          <w:color w:val="auto"/>
          <w:lang w:eastAsia="zh-CN"/>
        </w:rPr>
        <w:br w:type="page"/>
      </w:r>
    </w:p>
    <w:p w14:paraId="016D726A">
      <w:pPr>
        <w:spacing w:line="360" w:lineRule="auto"/>
        <w:ind w:firstLine="562"/>
        <w:jc w:val="both"/>
        <w:outlineLvl w:val="1"/>
        <w:rPr>
          <w:rFonts w:ascii="Times New Roman" w:hAnsi="Times New Roman" w:cs="Times New Roman"/>
          <w:color w:val="auto"/>
          <w:sz w:val="28"/>
          <w:szCs w:val="28"/>
          <w:lang w:eastAsia="zh-CN"/>
        </w:rPr>
      </w:pPr>
      <w:bookmarkStart w:id="1604" w:name="_Toc237508341"/>
      <w:r>
        <w:rPr>
          <w:rFonts w:ascii="Times New Roman" w:hAnsi="Times New Roman" w:cs="Times New Roman"/>
          <w:b/>
          <w:bCs/>
          <w:color w:val="auto"/>
          <w:sz w:val="28"/>
          <w:szCs w:val="28"/>
          <w:lang w:eastAsia="zh-CN"/>
        </w:rPr>
        <w:t>6.5 运营期地下水环境影响分析</w:t>
      </w:r>
      <w:bookmarkEnd w:id="1604"/>
    </w:p>
    <w:p w14:paraId="5ECB0441">
      <w:pPr>
        <w:spacing w:line="360" w:lineRule="auto"/>
        <w:ind w:firstLine="482"/>
        <w:jc w:val="both"/>
        <w:outlineLvl w:val="2"/>
        <w:rPr>
          <w:rFonts w:ascii="Times New Roman" w:hAnsi="Times New Roman" w:cs="Times New Roman"/>
          <w:color w:val="auto"/>
          <w:szCs w:val="24"/>
          <w:lang w:eastAsia="zh-CN"/>
        </w:rPr>
      </w:pPr>
      <w:bookmarkStart w:id="1605" w:name="_Toc173740327"/>
      <w:bookmarkStart w:id="1606" w:name="_Toc218784332"/>
      <w:bookmarkStart w:id="1607" w:name="_Toc223425107"/>
      <w:bookmarkStart w:id="1608" w:name="_Toc236641360"/>
      <w:bookmarkStart w:id="1609" w:name="_Toc225784108"/>
      <w:bookmarkStart w:id="1610" w:name="_Toc204448516"/>
      <w:bookmarkStart w:id="1611" w:name="_Toc176513058"/>
      <w:bookmarkStart w:id="1612" w:name="_Toc224674747"/>
      <w:bookmarkStart w:id="1613" w:name="_Toc236641877"/>
      <w:bookmarkStart w:id="1614" w:name="_Toc204515251"/>
      <w:bookmarkStart w:id="1615" w:name="_Toc237508342"/>
      <w:bookmarkStart w:id="1616" w:name="_Toc203927050"/>
      <w:bookmarkStart w:id="1617" w:name="_Toc173743431"/>
      <w:bookmarkStart w:id="1618" w:name="_Toc231828629"/>
      <w:bookmarkStart w:id="1619" w:name="_Toc221900889"/>
      <w:bookmarkStart w:id="1620" w:name="_Toc178602398"/>
      <w:bookmarkStart w:id="1621" w:name="_Toc175164322"/>
      <w:bookmarkStart w:id="1622" w:name="_Toc172555689"/>
      <w:r>
        <w:rPr>
          <w:rFonts w:ascii="Times New Roman" w:hAnsi="Times New Roman" w:cs="Times New Roman"/>
          <w:b/>
          <w:bCs/>
          <w:color w:val="auto"/>
          <w:szCs w:val="24"/>
          <w:lang w:eastAsia="zh-CN"/>
        </w:rPr>
        <w:t>6.5.1 区域水文地质条件</w:t>
      </w:r>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p>
    <w:p w14:paraId="2D6F10DA">
      <w:pPr>
        <w:spacing w:line="360" w:lineRule="auto"/>
        <w:ind w:firstLine="482"/>
        <w:jc w:val="both"/>
        <w:outlineLvl w:val="3"/>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6.5.1.1 地形、地貌</w:t>
      </w:r>
    </w:p>
    <w:p w14:paraId="18E634F8">
      <w:pPr>
        <w:widowControl w:val="0"/>
        <w:spacing w:line="360" w:lineRule="auto"/>
        <w:ind w:firstLine="480" w:firstLineChars="200"/>
        <w:jc w:val="both"/>
        <w:rPr>
          <w:rFonts w:ascii="Times New Roman" w:hAnsi="Times New Roman" w:eastAsia="新宋体" w:cs="Times New Roman"/>
          <w:color w:val="auto"/>
          <w:szCs w:val="24"/>
          <w:lang w:eastAsia="zh-CN"/>
        </w:rPr>
      </w:pPr>
      <w:bookmarkStart w:id="1623" w:name="_Toc3813"/>
      <w:r>
        <w:rPr>
          <w:rFonts w:ascii="Times New Roman" w:hAnsi="Times New Roman" w:eastAsia="新宋体" w:cs="Times New Roman"/>
          <w:color w:val="auto"/>
          <w:szCs w:val="24"/>
          <w:lang w:eastAsia="zh-CN"/>
        </w:rPr>
        <w:t>蚌埠市地形以平原为主，山丘相对集中，河沟纵横，湖泊散落。淮河以北为平原地区，约占全市面积的86%。地势呈西北高东南低，西部最高地面高程在涡芡之间西部为24米，最低地面高程在老潼河附近为14米，东西高差10米；北部沱浍之间任桥附近最高地面高程为22.0米，南部北淝河下游地面高程最低为14米，南北高差8米。淮河以南地形为有湖洼间隔的不连续山丘高地，约占全市面积的14%。蚌埠地处江淮腹地丘陵地区，由西向东的江淮分水岭贯穿该市，形成低缓的鱼背形地势。项目范围内的地形基本为岗冲起伏的丘陵荒地，高程在23.06米～49.54米之间，整个地形呈东高西低。</w:t>
      </w:r>
    </w:p>
    <w:bookmarkEnd w:id="1623"/>
    <w:p w14:paraId="528AC34B">
      <w:pPr>
        <w:widowControl w:val="0"/>
        <w:spacing w:line="360" w:lineRule="auto"/>
        <w:ind w:firstLine="482"/>
        <w:jc w:val="both"/>
        <w:outlineLvl w:val="3"/>
        <w:rPr>
          <w:rFonts w:ascii="Times New Roman" w:hAnsi="Times New Roman" w:eastAsia="新宋体" w:cs="Times New Roman"/>
          <w:color w:val="auto"/>
          <w:szCs w:val="24"/>
          <w:lang w:eastAsia="zh-CN"/>
        </w:rPr>
      </w:pPr>
      <w:bookmarkStart w:id="1624" w:name="_Toc9789"/>
      <w:r>
        <w:rPr>
          <w:rFonts w:ascii="Times New Roman" w:hAnsi="Times New Roman" w:eastAsia="新宋体" w:cs="Times New Roman"/>
          <w:b/>
          <w:bCs/>
          <w:color w:val="auto"/>
          <w:szCs w:val="24"/>
          <w:lang w:eastAsia="zh-CN"/>
        </w:rPr>
        <w:t>6.5.1.2 地质条件</w:t>
      </w:r>
      <w:bookmarkEnd w:id="1624"/>
    </w:p>
    <w:p w14:paraId="3072ECBD">
      <w:pPr>
        <w:widowControl w:val="0"/>
        <w:spacing w:line="360" w:lineRule="auto"/>
        <w:ind w:firstLine="480" w:firstLineChars="200"/>
        <w:jc w:val="both"/>
        <w:rPr>
          <w:rFonts w:ascii="Times New Roman" w:hAnsi="Times New Roman" w:cs="Times New Roman"/>
          <w:color w:val="auto"/>
        </w:rPr>
      </w:pPr>
      <w:r>
        <w:rPr>
          <w:rFonts w:ascii="Times New Roman" w:hAnsi="Times New Roman" w:cs="Times New Roman"/>
          <w:color w:val="auto"/>
          <w:lang w:eastAsia="zh-CN"/>
        </w:rPr>
        <w:t>区域地层属于华北地层大区晋冀鲁豫地层区徐淮地层分区淮南地层小区。主要为上古太界五河群（Ar2wh）、古近系双浮组（E1sh），大部分被第四系覆盖，仅在淮河南侧临淮关东部一带出露。区域地层简表见下表。</w:t>
      </w:r>
    </w:p>
    <w:p w14:paraId="43F0D5FE">
      <w:pPr>
        <w:spacing w:line="360" w:lineRule="auto"/>
        <w:jc w:val="center"/>
        <w:rPr>
          <w:rFonts w:ascii="Times New Roman" w:hAnsi="Times New Roman" w:cs="Times New Roman"/>
          <w:b/>
          <w:bCs/>
          <w:color w:val="auto"/>
        </w:rPr>
      </w:pPr>
      <w:r>
        <w:rPr>
          <w:rFonts w:ascii="Times New Roman" w:hAnsi="Times New Roman" w:cs="Times New Roman"/>
          <w:b/>
          <w:bCs/>
          <w:color w:val="auto"/>
          <w:lang w:eastAsia="zh-CN"/>
        </w:rPr>
        <w:t>表6.5-1 区域地层概况</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
        <w:gridCol w:w="673"/>
        <w:gridCol w:w="853"/>
        <w:gridCol w:w="863"/>
        <w:gridCol w:w="970"/>
        <w:gridCol w:w="898"/>
        <w:gridCol w:w="4993"/>
      </w:tblGrid>
      <w:tr w14:paraId="2C85E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 w:type="pct"/>
            <w:tcBorders>
              <w:top w:val="single" w:color="auto" w:sz="12" w:space="0"/>
              <w:left w:val="nil"/>
              <w:bottom w:val="single" w:color="auto" w:sz="4" w:space="0"/>
              <w:right w:val="single" w:color="auto" w:sz="4" w:space="0"/>
            </w:tcBorders>
            <w:vAlign w:val="center"/>
          </w:tcPr>
          <w:p w14:paraId="094E481E">
            <w:pPr>
              <w:pStyle w:val="96"/>
              <w:rPr>
                <w:b/>
                <w:bCs/>
              </w:rPr>
            </w:pPr>
            <w:r>
              <w:rPr>
                <w:b/>
                <w:bCs/>
              </w:rPr>
              <w:t>界</w:t>
            </w:r>
          </w:p>
        </w:tc>
        <w:tc>
          <w:tcPr>
            <w:tcW w:w="346" w:type="pct"/>
            <w:tcBorders>
              <w:top w:val="single" w:color="auto" w:sz="12" w:space="0"/>
              <w:left w:val="single" w:color="auto" w:sz="4" w:space="0"/>
              <w:bottom w:val="single" w:color="auto" w:sz="4" w:space="0"/>
              <w:right w:val="single" w:color="auto" w:sz="4" w:space="0"/>
            </w:tcBorders>
            <w:vAlign w:val="center"/>
          </w:tcPr>
          <w:p w14:paraId="1B316E62">
            <w:pPr>
              <w:pStyle w:val="96"/>
              <w:rPr>
                <w:b/>
                <w:bCs/>
              </w:rPr>
            </w:pPr>
            <w:r>
              <w:rPr>
                <w:b/>
                <w:bCs/>
              </w:rPr>
              <w:t>系</w:t>
            </w:r>
          </w:p>
        </w:tc>
        <w:tc>
          <w:tcPr>
            <w:tcW w:w="438" w:type="pct"/>
            <w:tcBorders>
              <w:top w:val="single" w:color="auto" w:sz="12" w:space="0"/>
              <w:left w:val="single" w:color="auto" w:sz="4" w:space="0"/>
              <w:bottom w:val="single" w:color="auto" w:sz="4" w:space="0"/>
              <w:right w:val="single" w:color="auto" w:sz="4" w:space="0"/>
            </w:tcBorders>
            <w:vAlign w:val="center"/>
          </w:tcPr>
          <w:p w14:paraId="52646404">
            <w:pPr>
              <w:pStyle w:val="96"/>
              <w:rPr>
                <w:b/>
                <w:bCs/>
              </w:rPr>
            </w:pPr>
            <w:r>
              <w:rPr>
                <w:b/>
                <w:bCs/>
              </w:rPr>
              <w:t>统</w:t>
            </w:r>
          </w:p>
        </w:tc>
        <w:tc>
          <w:tcPr>
            <w:tcW w:w="443" w:type="pct"/>
            <w:tcBorders>
              <w:top w:val="single" w:color="auto" w:sz="12" w:space="0"/>
              <w:left w:val="single" w:color="auto" w:sz="4" w:space="0"/>
              <w:bottom w:val="single" w:color="auto" w:sz="4" w:space="0"/>
              <w:right w:val="single" w:color="auto" w:sz="4" w:space="0"/>
            </w:tcBorders>
            <w:vAlign w:val="center"/>
          </w:tcPr>
          <w:p w14:paraId="705DD30E">
            <w:pPr>
              <w:pStyle w:val="96"/>
              <w:rPr>
                <w:b/>
                <w:bCs/>
              </w:rPr>
            </w:pPr>
            <w:r>
              <w:rPr>
                <w:b/>
                <w:bCs/>
              </w:rPr>
              <w:t>地层名称</w:t>
            </w:r>
          </w:p>
        </w:tc>
        <w:tc>
          <w:tcPr>
            <w:tcW w:w="498" w:type="pct"/>
            <w:tcBorders>
              <w:top w:val="single" w:color="auto" w:sz="12" w:space="0"/>
              <w:left w:val="single" w:color="auto" w:sz="4" w:space="0"/>
              <w:bottom w:val="single" w:color="auto" w:sz="4" w:space="0"/>
              <w:right w:val="single" w:color="auto" w:sz="4" w:space="0"/>
            </w:tcBorders>
            <w:vAlign w:val="center"/>
          </w:tcPr>
          <w:p w14:paraId="5A76A59D">
            <w:pPr>
              <w:pStyle w:val="96"/>
              <w:rPr>
                <w:b/>
                <w:bCs/>
              </w:rPr>
            </w:pPr>
            <w:r>
              <w:rPr>
                <w:b/>
                <w:bCs/>
              </w:rPr>
              <w:t>代号</w:t>
            </w:r>
          </w:p>
        </w:tc>
        <w:tc>
          <w:tcPr>
            <w:tcW w:w="461" w:type="pct"/>
            <w:tcBorders>
              <w:top w:val="single" w:color="auto" w:sz="12" w:space="0"/>
              <w:left w:val="single" w:color="auto" w:sz="4" w:space="0"/>
              <w:bottom w:val="single" w:color="auto" w:sz="4" w:space="0"/>
              <w:right w:val="single" w:color="auto" w:sz="4" w:space="0"/>
            </w:tcBorders>
            <w:vAlign w:val="center"/>
          </w:tcPr>
          <w:p w14:paraId="14BC56AC">
            <w:pPr>
              <w:pStyle w:val="96"/>
              <w:rPr>
                <w:b/>
                <w:bCs/>
              </w:rPr>
            </w:pPr>
            <w:r>
              <w:rPr>
                <w:b/>
                <w:bCs/>
              </w:rPr>
              <w:t>厚度</w:t>
            </w:r>
          </w:p>
          <w:p w14:paraId="1855C7C6">
            <w:pPr>
              <w:pStyle w:val="96"/>
              <w:rPr>
                <w:b/>
                <w:bCs/>
              </w:rPr>
            </w:pPr>
            <w:r>
              <w:rPr>
                <w:b/>
                <w:bCs/>
              </w:rPr>
              <w:t>（m）</w:t>
            </w:r>
          </w:p>
        </w:tc>
        <w:tc>
          <w:tcPr>
            <w:tcW w:w="2564" w:type="pct"/>
            <w:tcBorders>
              <w:top w:val="single" w:color="auto" w:sz="12" w:space="0"/>
              <w:left w:val="single" w:color="auto" w:sz="4" w:space="0"/>
              <w:bottom w:val="single" w:color="auto" w:sz="4" w:space="0"/>
              <w:right w:val="nil"/>
            </w:tcBorders>
            <w:vAlign w:val="center"/>
          </w:tcPr>
          <w:p w14:paraId="2DDDAEC1">
            <w:pPr>
              <w:pStyle w:val="96"/>
              <w:rPr>
                <w:b/>
                <w:bCs/>
              </w:rPr>
            </w:pPr>
            <w:r>
              <w:rPr>
                <w:b/>
                <w:bCs/>
              </w:rPr>
              <w:t>岩性特征</w:t>
            </w:r>
          </w:p>
        </w:tc>
      </w:tr>
      <w:tr w14:paraId="05CBE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 w:type="pct"/>
            <w:vMerge w:val="restart"/>
            <w:tcBorders>
              <w:top w:val="single" w:color="auto" w:sz="4" w:space="0"/>
              <w:left w:val="nil"/>
              <w:bottom w:val="single" w:color="auto" w:sz="4" w:space="0"/>
              <w:right w:val="single" w:color="auto" w:sz="4" w:space="0"/>
            </w:tcBorders>
            <w:vAlign w:val="center"/>
          </w:tcPr>
          <w:p w14:paraId="273A1E31">
            <w:pPr>
              <w:pStyle w:val="96"/>
            </w:pPr>
            <w:r>
              <w:t>新</w:t>
            </w:r>
          </w:p>
          <w:p w14:paraId="7BA4FB63">
            <w:pPr>
              <w:pStyle w:val="96"/>
            </w:pPr>
            <w:r>
              <w:t>生</w:t>
            </w:r>
          </w:p>
          <w:p w14:paraId="034D1103">
            <w:pPr>
              <w:pStyle w:val="96"/>
            </w:pPr>
            <w:r>
              <w:t>界</w:t>
            </w:r>
          </w:p>
        </w:tc>
        <w:tc>
          <w:tcPr>
            <w:tcW w:w="346" w:type="pct"/>
            <w:vMerge w:val="restart"/>
            <w:tcBorders>
              <w:top w:val="single" w:color="auto" w:sz="4" w:space="0"/>
              <w:left w:val="single" w:color="auto" w:sz="4" w:space="0"/>
              <w:bottom w:val="single" w:color="auto" w:sz="4" w:space="0"/>
              <w:right w:val="single" w:color="auto" w:sz="4" w:space="0"/>
            </w:tcBorders>
            <w:vAlign w:val="center"/>
          </w:tcPr>
          <w:p w14:paraId="3E923FEF">
            <w:pPr>
              <w:pStyle w:val="96"/>
            </w:pPr>
            <w:r>
              <w:t>第</w:t>
            </w:r>
          </w:p>
          <w:p w14:paraId="0BAB953D">
            <w:pPr>
              <w:pStyle w:val="96"/>
            </w:pPr>
            <w:r>
              <w:t>四</w:t>
            </w:r>
          </w:p>
          <w:p w14:paraId="5088EE5F">
            <w:pPr>
              <w:pStyle w:val="96"/>
            </w:pPr>
            <w:r>
              <w:t>系</w:t>
            </w:r>
          </w:p>
        </w:tc>
        <w:tc>
          <w:tcPr>
            <w:tcW w:w="438" w:type="pct"/>
            <w:tcBorders>
              <w:top w:val="single" w:color="auto" w:sz="4" w:space="0"/>
              <w:left w:val="single" w:color="auto" w:sz="4" w:space="0"/>
              <w:bottom w:val="single" w:color="auto" w:sz="4" w:space="0"/>
              <w:right w:val="single" w:color="auto" w:sz="4" w:space="0"/>
            </w:tcBorders>
            <w:vAlign w:val="center"/>
          </w:tcPr>
          <w:p w14:paraId="302D889B">
            <w:pPr>
              <w:pStyle w:val="96"/>
            </w:pPr>
            <w:r>
              <w:t>全新统</w:t>
            </w:r>
          </w:p>
        </w:tc>
        <w:tc>
          <w:tcPr>
            <w:tcW w:w="443" w:type="pct"/>
            <w:tcBorders>
              <w:top w:val="single" w:color="auto" w:sz="4" w:space="0"/>
              <w:left w:val="single" w:color="auto" w:sz="4" w:space="0"/>
              <w:bottom w:val="single" w:color="auto" w:sz="4" w:space="0"/>
              <w:right w:val="single" w:color="auto" w:sz="4" w:space="0"/>
            </w:tcBorders>
            <w:vAlign w:val="center"/>
          </w:tcPr>
          <w:p w14:paraId="5DDE70D5">
            <w:pPr>
              <w:pStyle w:val="96"/>
            </w:pPr>
            <w:r>
              <w:t>大墩组</w:t>
            </w:r>
          </w:p>
        </w:tc>
        <w:tc>
          <w:tcPr>
            <w:tcW w:w="498" w:type="pct"/>
            <w:tcBorders>
              <w:top w:val="single" w:color="auto" w:sz="4" w:space="0"/>
              <w:left w:val="single" w:color="auto" w:sz="4" w:space="0"/>
              <w:bottom w:val="single" w:color="auto" w:sz="4" w:space="0"/>
              <w:right w:val="single" w:color="auto" w:sz="4" w:space="0"/>
            </w:tcBorders>
            <w:vAlign w:val="center"/>
          </w:tcPr>
          <w:p w14:paraId="399B8301">
            <w:pPr>
              <w:pStyle w:val="96"/>
            </w:pPr>
            <w:r>
              <w:t>Q</w:t>
            </w:r>
            <w:r>
              <w:rPr>
                <w:vertAlign w:val="subscript"/>
              </w:rPr>
              <w:t>4</w:t>
            </w:r>
            <w:r>
              <w:t>d</w:t>
            </w:r>
          </w:p>
        </w:tc>
        <w:tc>
          <w:tcPr>
            <w:tcW w:w="461" w:type="pct"/>
            <w:tcBorders>
              <w:top w:val="single" w:color="auto" w:sz="4" w:space="0"/>
              <w:left w:val="single" w:color="auto" w:sz="4" w:space="0"/>
              <w:bottom w:val="single" w:color="auto" w:sz="4" w:space="0"/>
              <w:right w:val="single" w:color="auto" w:sz="4" w:space="0"/>
            </w:tcBorders>
            <w:vAlign w:val="center"/>
          </w:tcPr>
          <w:p w14:paraId="1DFD9F39">
            <w:pPr>
              <w:pStyle w:val="96"/>
            </w:pPr>
            <w:r>
              <w:t>0～8</w:t>
            </w:r>
          </w:p>
        </w:tc>
        <w:tc>
          <w:tcPr>
            <w:tcW w:w="2564" w:type="pct"/>
            <w:tcBorders>
              <w:top w:val="single" w:color="auto" w:sz="4" w:space="0"/>
              <w:left w:val="single" w:color="auto" w:sz="4" w:space="0"/>
              <w:bottom w:val="single" w:color="auto" w:sz="4" w:space="0"/>
              <w:right w:val="nil"/>
            </w:tcBorders>
            <w:vAlign w:val="center"/>
          </w:tcPr>
          <w:p w14:paraId="25D209BA">
            <w:pPr>
              <w:pStyle w:val="96"/>
            </w:pPr>
            <w:r>
              <w:t>出露地表，分布于淮河及其支流的两岸漫滩上，为河流最新泛滥堆积物，宽2～10km，厚度0～20m，岩性为棕黄色、灰黄色、灰色、棕褐色粘土，棕黄色粉质粘土，灰棕色、灰黄色、灰黑色粉质粘土、细砂、粉土。局部地区，顶部有1～5m淤泥质粉质粘土。</w:t>
            </w:r>
          </w:p>
        </w:tc>
      </w:tr>
      <w:tr w14:paraId="6ED48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nil"/>
              <w:bottom w:val="single" w:color="auto" w:sz="4" w:space="0"/>
              <w:right w:val="single" w:color="auto" w:sz="4" w:space="0"/>
            </w:tcBorders>
            <w:vAlign w:val="center"/>
          </w:tcPr>
          <w:p w14:paraId="7B03554F">
            <w:pPr>
              <w:pStyle w:val="96"/>
            </w:pPr>
          </w:p>
        </w:tc>
        <w:tc>
          <w:tcPr>
            <w:tcW w:w="346" w:type="pct"/>
            <w:vMerge w:val="continue"/>
            <w:tcBorders>
              <w:top w:val="single" w:color="auto" w:sz="4" w:space="0"/>
              <w:left w:val="single" w:color="auto" w:sz="4" w:space="0"/>
              <w:bottom w:val="single" w:color="auto" w:sz="4" w:space="0"/>
              <w:right w:val="single" w:color="auto" w:sz="4" w:space="0"/>
            </w:tcBorders>
            <w:vAlign w:val="center"/>
          </w:tcPr>
          <w:p w14:paraId="49ECB0A2">
            <w:pPr>
              <w:pStyle w:val="96"/>
            </w:pPr>
          </w:p>
        </w:tc>
        <w:tc>
          <w:tcPr>
            <w:tcW w:w="438" w:type="pct"/>
            <w:vMerge w:val="restart"/>
            <w:tcBorders>
              <w:top w:val="single" w:color="auto" w:sz="4" w:space="0"/>
              <w:left w:val="single" w:color="auto" w:sz="4" w:space="0"/>
              <w:bottom w:val="single" w:color="auto" w:sz="4" w:space="0"/>
              <w:right w:val="single" w:color="auto" w:sz="4" w:space="0"/>
            </w:tcBorders>
            <w:vAlign w:val="center"/>
          </w:tcPr>
          <w:p w14:paraId="18411749">
            <w:pPr>
              <w:pStyle w:val="96"/>
            </w:pPr>
            <w:r>
              <w:t>上更</w:t>
            </w:r>
          </w:p>
          <w:p w14:paraId="14271C98">
            <w:pPr>
              <w:pStyle w:val="96"/>
            </w:pPr>
            <w:r>
              <w:t>新统</w:t>
            </w:r>
          </w:p>
        </w:tc>
        <w:tc>
          <w:tcPr>
            <w:tcW w:w="443" w:type="pct"/>
            <w:vMerge w:val="restart"/>
            <w:tcBorders>
              <w:top w:val="single" w:color="auto" w:sz="4" w:space="0"/>
              <w:left w:val="single" w:color="auto" w:sz="4" w:space="0"/>
              <w:bottom w:val="single" w:color="auto" w:sz="4" w:space="0"/>
              <w:right w:val="single" w:color="auto" w:sz="4" w:space="0"/>
            </w:tcBorders>
            <w:vAlign w:val="center"/>
          </w:tcPr>
          <w:p w14:paraId="3B80BB3A">
            <w:pPr>
              <w:pStyle w:val="96"/>
            </w:pPr>
            <w:r>
              <w:t>茆塘组</w:t>
            </w:r>
          </w:p>
        </w:tc>
        <w:tc>
          <w:tcPr>
            <w:tcW w:w="498" w:type="pct"/>
            <w:vMerge w:val="restart"/>
            <w:tcBorders>
              <w:top w:val="single" w:color="auto" w:sz="4" w:space="0"/>
              <w:left w:val="single" w:color="auto" w:sz="4" w:space="0"/>
              <w:bottom w:val="single" w:color="auto" w:sz="4" w:space="0"/>
              <w:right w:val="single" w:color="auto" w:sz="4" w:space="0"/>
            </w:tcBorders>
            <w:vAlign w:val="center"/>
          </w:tcPr>
          <w:p w14:paraId="549B68E6">
            <w:pPr>
              <w:pStyle w:val="96"/>
            </w:pPr>
            <w:r>
              <w:t>Q</w:t>
            </w:r>
            <w:r>
              <w:rPr>
                <w:vertAlign w:val="subscript"/>
              </w:rPr>
              <w:t>3</w:t>
            </w:r>
            <w:r>
              <w:t>m</w:t>
            </w:r>
          </w:p>
        </w:tc>
        <w:tc>
          <w:tcPr>
            <w:tcW w:w="461" w:type="pct"/>
            <w:tcBorders>
              <w:top w:val="single" w:color="auto" w:sz="4" w:space="0"/>
              <w:left w:val="single" w:color="auto" w:sz="4" w:space="0"/>
              <w:bottom w:val="single" w:color="auto" w:sz="4" w:space="0"/>
              <w:right w:val="single" w:color="auto" w:sz="4" w:space="0"/>
            </w:tcBorders>
            <w:vAlign w:val="center"/>
          </w:tcPr>
          <w:p w14:paraId="69142EAC">
            <w:pPr>
              <w:pStyle w:val="96"/>
            </w:pPr>
            <w:r>
              <w:t>20～35</w:t>
            </w:r>
          </w:p>
        </w:tc>
        <w:tc>
          <w:tcPr>
            <w:tcW w:w="2564" w:type="pct"/>
            <w:tcBorders>
              <w:top w:val="single" w:color="auto" w:sz="4" w:space="0"/>
              <w:left w:val="single" w:color="auto" w:sz="4" w:space="0"/>
              <w:bottom w:val="single" w:color="auto" w:sz="4" w:space="0"/>
              <w:right w:val="nil"/>
            </w:tcBorders>
            <w:vAlign w:val="center"/>
          </w:tcPr>
          <w:p w14:paraId="464F64A2">
            <w:pPr>
              <w:pStyle w:val="96"/>
            </w:pPr>
            <w:r>
              <w:t>广泛出露，局部隐伏于大墩组以下。岩性以粘土、粉质粘土、粘土质粉砂为主，底部夹粉砂。含有铁锰质结核和钙质结核，柱状节理较发育。</w:t>
            </w:r>
          </w:p>
        </w:tc>
      </w:tr>
      <w:tr w14:paraId="4DEB5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nil"/>
              <w:bottom w:val="single" w:color="auto" w:sz="4" w:space="0"/>
              <w:right w:val="single" w:color="auto" w:sz="4" w:space="0"/>
            </w:tcBorders>
            <w:vAlign w:val="center"/>
          </w:tcPr>
          <w:p w14:paraId="6A509C28">
            <w:pPr>
              <w:pStyle w:val="96"/>
            </w:pPr>
          </w:p>
        </w:tc>
        <w:tc>
          <w:tcPr>
            <w:tcW w:w="346" w:type="pct"/>
            <w:vMerge w:val="continue"/>
            <w:tcBorders>
              <w:top w:val="single" w:color="auto" w:sz="4" w:space="0"/>
              <w:left w:val="single" w:color="auto" w:sz="4" w:space="0"/>
              <w:bottom w:val="single" w:color="auto" w:sz="4" w:space="0"/>
              <w:right w:val="single" w:color="auto" w:sz="4" w:space="0"/>
            </w:tcBorders>
            <w:vAlign w:val="center"/>
          </w:tcPr>
          <w:p w14:paraId="318399F3">
            <w:pPr>
              <w:pStyle w:val="96"/>
            </w:pPr>
          </w:p>
        </w:tc>
        <w:tc>
          <w:tcPr>
            <w:tcW w:w="438" w:type="pct"/>
            <w:vMerge w:val="continue"/>
            <w:tcBorders>
              <w:top w:val="single" w:color="auto" w:sz="4" w:space="0"/>
              <w:left w:val="single" w:color="auto" w:sz="4" w:space="0"/>
              <w:bottom w:val="single" w:color="auto" w:sz="4" w:space="0"/>
              <w:right w:val="single" w:color="auto" w:sz="4" w:space="0"/>
            </w:tcBorders>
            <w:vAlign w:val="center"/>
          </w:tcPr>
          <w:p w14:paraId="20B5DCF1">
            <w:pPr>
              <w:pStyle w:val="96"/>
            </w:pPr>
          </w:p>
        </w:tc>
        <w:tc>
          <w:tcPr>
            <w:tcW w:w="443" w:type="pct"/>
            <w:vMerge w:val="continue"/>
            <w:tcBorders>
              <w:top w:val="single" w:color="auto" w:sz="4" w:space="0"/>
              <w:left w:val="single" w:color="auto" w:sz="4" w:space="0"/>
              <w:bottom w:val="single" w:color="auto" w:sz="4" w:space="0"/>
              <w:right w:val="single" w:color="auto" w:sz="4" w:space="0"/>
            </w:tcBorders>
            <w:vAlign w:val="center"/>
          </w:tcPr>
          <w:p w14:paraId="7BE9BEF9">
            <w:pPr>
              <w:pStyle w:val="96"/>
            </w:pPr>
          </w:p>
        </w:tc>
        <w:tc>
          <w:tcPr>
            <w:tcW w:w="498" w:type="pct"/>
            <w:vMerge w:val="continue"/>
            <w:tcBorders>
              <w:top w:val="single" w:color="auto" w:sz="4" w:space="0"/>
              <w:left w:val="single" w:color="auto" w:sz="4" w:space="0"/>
              <w:bottom w:val="single" w:color="auto" w:sz="4" w:space="0"/>
              <w:right w:val="single" w:color="auto" w:sz="4" w:space="0"/>
            </w:tcBorders>
            <w:vAlign w:val="center"/>
          </w:tcPr>
          <w:p w14:paraId="515043DA">
            <w:pPr>
              <w:pStyle w:val="96"/>
            </w:pPr>
          </w:p>
        </w:tc>
        <w:tc>
          <w:tcPr>
            <w:tcW w:w="461" w:type="pct"/>
            <w:tcBorders>
              <w:top w:val="single" w:color="auto" w:sz="4" w:space="0"/>
              <w:left w:val="single" w:color="auto" w:sz="4" w:space="0"/>
              <w:bottom w:val="single" w:color="auto" w:sz="4" w:space="0"/>
              <w:right w:val="single" w:color="auto" w:sz="4" w:space="0"/>
            </w:tcBorders>
            <w:vAlign w:val="center"/>
          </w:tcPr>
          <w:p w14:paraId="0F47E388">
            <w:pPr>
              <w:pStyle w:val="96"/>
            </w:pPr>
            <w:r>
              <w:t>8～25</w:t>
            </w:r>
          </w:p>
        </w:tc>
        <w:tc>
          <w:tcPr>
            <w:tcW w:w="2564" w:type="pct"/>
            <w:tcBorders>
              <w:top w:val="single" w:color="auto" w:sz="4" w:space="0"/>
              <w:left w:val="single" w:color="auto" w:sz="4" w:space="0"/>
              <w:bottom w:val="single" w:color="auto" w:sz="4" w:space="0"/>
              <w:right w:val="nil"/>
            </w:tcBorders>
            <w:vAlign w:val="center"/>
          </w:tcPr>
          <w:p w14:paraId="53F08A02">
            <w:pPr>
              <w:pStyle w:val="96"/>
            </w:pPr>
            <w:r>
              <w:t>在残丘的坡麓地带为棕黄及黄色粉质粘土；在山前平原地带，下部为含砾粉质粘土，上部为灰黄色粉质粘土。普遍含有铁锰质结核。</w:t>
            </w:r>
          </w:p>
        </w:tc>
      </w:tr>
      <w:tr w14:paraId="268D0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nil"/>
              <w:bottom w:val="single" w:color="auto" w:sz="4" w:space="0"/>
              <w:right w:val="single" w:color="auto" w:sz="4" w:space="0"/>
            </w:tcBorders>
            <w:vAlign w:val="center"/>
          </w:tcPr>
          <w:p w14:paraId="57B5E40D">
            <w:pPr>
              <w:pStyle w:val="96"/>
            </w:pPr>
          </w:p>
        </w:tc>
        <w:tc>
          <w:tcPr>
            <w:tcW w:w="346" w:type="pct"/>
            <w:vMerge w:val="continue"/>
            <w:tcBorders>
              <w:top w:val="single" w:color="auto" w:sz="4" w:space="0"/>
              <w:left w:val="single" w:color="auto" w:sz="4" w:space="0"/>
              <w:bottom w:val="single" w:color="auto" w:sz="4" w:space="0"/>
              <w:right w:val="single" w:color="auto" w:sz="4" w:space="0"/>
            </w:tcBorders>
            <w:vAlign w:val="center"/>
          </w:tcPr>
          <w:p w14:paraId="77FAB1F1">
            <w:pPr>
              <w:pStyle w:val="96"/>
            </w:pPr>
          </w:p>
        </w:tc>
        <w:tc>
          <w:tcPr>
            <w:tcW w:w="438" w:type="pct"/>
            <w:tcBorders>
              <w:top w:val="single" w:color="auto" w:sz="4" w:space="0"/>
              <w:left w:val="single" w:color="auto" w:sz="4" w:space="0"/>
              <w:bottom w:val="single" w:color="auto" w:sz="4" w:space="0"/>
              <w:right w:val="single" w:color="auto" w:sz="4" w:space="0"/>
            </w:tcBorders>
            <w:vAlign w:val="center"/>
          </w:tcPr>
          <w:p w14:paraId="678967FB">
            <w:pPr>
              <w:pStyle w:val="96"/>
            </w:pPr>
            <w:r>
              <w:t>中更</w:t>
            </w:r>
          </w:p>
          <w:p w14:paraId="1D66E4B9">
            <w:pPr>
              <w:pStyle w:val="96"/>
            </w:pPr>
            <w:r>
              <w:t>新统</w:t>
            </w:r>
          </w:p>
        </w:tc>
        <w:tc>
          <w:tcPr>
            <w:tcW w:w="443" w:type="pct"/>
            <w:tcBorders>
              <w:top w:val="single" w:color="auto" w:sz="4" w:space="0"/>
              <w:left w:val="single" w:color="auto" w:sz="4" w:space="0"/>
              <w:bottom w:val="single" w:color="auto" w:sz="4" w:space="0"/>
              <w:right w:val="single" w:color="auto" w:sz="4" w:space="0"/>
            </w:tcBorders>
            <w:vAlign w:val="center"/>
          </w:tcPr>
          <w:p w14:paraId="0F614D33">
            <w:pPr>
              <w:pStyle w:val="96"/>
            </w:pPr>
            <w:r>
              <w:t>潘集组</w:t>
            </w:r>
          </w:p>
        </w:tc>
        <w:tc>
          <w:tcPr>
            <w:tcW w:w="498" w:type="pct"/>
            <w:tcBorders>
              <w:top w:val="single" w:color="auto" w:sz="4" w:space="0"/>
              <w:left w:val="single" w:color="auto" w:sz="4" w:space="0"/>
              <w:bottom w:val="single" w:color="auto" w:sz="4" w:space="0"/>
              <w:right w:val="single" w:color="auto" w:sz="4" w:space="0"/>
            </w:tcBorders>
            <w:vAlign w:val="center"/>
          </w:tcPr>
          <w:p w14:paraId="22DB55A7">
            <w:pPr>
              <w:pStyle w:val="96"/>
            </w:pPr>
            <w:r>
              <w:t>Q</w:t>
            </w:r>
            <w:r>
              <w:rPr>
                <w:vertAlign w:val="subscript"/>
              </w:rPr>
              <w:t>2</w:t>
            </w:r>
            <w:r>
              <w:t>p</w:t>
            </w:r>
          </w:p>
        </w:tc>
        <w:tc>
          <w:tcPr>
            <w:tcW w:w="461" w:type="pct"/>
            <w:tcBorders>
              <w:top w:val="single" w:color="auto" w:sz="4" w:space="0"/>
              <w:left w:val="single" w:color="auto" w:sz="4" w:space="0"/>
              <w:bottom w:val="single" w:color="auto" w:sz="4" w:space="0"/>
              <w:right w:val="single" w:color="auto" w:sz="4" w:space="0"/>
            </w:tcBorders>
            <w:vAlign w:val="center"/>
          </w:tcPr>
          <w:p w14:paraId="53719D04">
            <w:pPr>
              <w:pStyle w:val="96"/>
            </w:pPr>
            <w:r>
              <w:t>30～60</w:t>
            </w:r>
          </w:p>
        </w:tc>
        <w:tc>
          <w:tcPr>
            <w:tcW w:w="2564" w:type="pct"/>
            <w:tcBorders>
              <w:top w:val="single" w:color="auto" w:sz="4" w:space="0"/>
              <w:left w:val="single" w:color="auto" w:sz="4" w:space="0"/>
              <w:bottom w:val="single" w:color="auto" w:sz="4" w:space="0"/>
              <w:right w:val="nil"/>
            </w:tcBorders>
            <w:vAlign w:val="center"/>
          </w:tcPr>
          <w:p w14:paraId="48A188E1">
            <w:pPr>
              <w:pStyle w:val="96"/>
            </w:pPr>
            <w:r>
              <w:t>隐伏于上更新统之下。下部为黄灰色、黄绿色粉砂、细砂、粗中砂，结构松散，分选性较好，厚20～40m；</w:t>
            </w:r>
          </w:p>
          <w:p w14:paraId="780D0530">
            <w:pPr>
              <w:pStyle w:val="96"/>
            </w:pPr>
            <w:r>
              <w:t>上部为青黄色粉质粘土，结构紧密，含钙质结核和铁锰质结核。</w:t>
            </w:r>
          </w:p>
        </w:tc>
      </w:tr>
      <w:tr w14:paraId="0397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nil"/>
              <w:bottom w:val="single" w:color="auto" w:sz="4" w:space="0"/>
              <w:right w:val="single" w:color="auto" w:sz="4" w:space="0"/>
            </w:tcBorders>
            <w:vAlign w:val="center"/>
          </w:tcPr>
          <w:p w14:paraId="0A54E335">
            <w:pPr>
              <w:pStyle w:val="96"/>
            </w:pPr>
          </w:p>
        </w:tc>
        <w:tc>
          <w:tcPr>
            <w:tcW w:w="346" w:type="pct"/>
            <w:vMerge w:val="continue"/>
            <w:tcBorders>
              <w:top w:val="single" w:color="auto" w:sz="4" w:space="0"/>
              <w:left w:val="single" w:color="auto" w:sz="4" w:space="0"/>
              <w:bottom w:val="single" w:color="auto" w:sz="4" w:space="0"/>
              <w:right w:val="single" w:color="auto" w:sz="4" w:space="0"/>
            </w:tcBorders>
            <w:vAlign w:val="center"/>
          </w:tcPr>
          <w:p w14:paraId="759D2ACA">
            <w:pPr>
              <w:pStyle w:val="96"/>
            </w:pPr>
          </w:p>
        </w:tc>
        <w:tc>
          <w:tcPr>
            <w:tcW w:w="438" w:type="pct"/>
            <w:tcBorders>
              <w:top w:val="single" w:color="auto" w:sz="4" w:space="0"/>
              <w:left w:val="single" w:color="auto" w:sz="4" w:space="0"/>
              <w:bottom w:val="single" w:color="auto" w:sz="4" w:space="0"/>
              <w:right w:val="single" w:color="auto" w:sz="4" w:space="0"/>
            </w:tcBorders>
            <w:vAlign w:val="center"/>
          </w:tcPr>
          <w:p w14:paraId="297F6C9D">
            <w:pPr>
              <w:pStyle w:val="96"/>
            </w:pPr>
            <w:r>
              <w:t>下更</w:t>
            </w:r>
          </w:p>
          <w:p w14:paraId="187685CD">
            <w:pPr>
              <w:pStyle w:val="96"/>
            </w:pPr>
            <w:r>
              <w:t>新统</w:t>
            </w:r>
          </w:p>
        </w:tc>
        <w:tc>
          <w:tcPr>
            <w:tcW w:w="443" w:type="pct"/>
            <w:tcBorders>
              <w:top w:val="single" w:color="auto" w:sz="4" w:space="0"/>
              <w:left w:val="single" w:color="auto" w:sz="4" w:space="0"/>
              <w:bottom w:val="single" w:color="auto" w:sz="4" w:space="0"/>
              <w:right w:val="single" w:color="auto" w:sz="4" w:space="0"/>
            </w:tcBorders>
            <w:vAlign w:val="center"/>
          </w:tcPr>
          <w:p w14:paraId="15F7B6E2">
            <w:pPr>
              <w:pStyle w:val="96"/>
            </w:pPr>
            <w:r>
              <w:t>蒙城组</w:t>
            </w:r>
          </w:p>
        </w:tc>
        <w:tc>
          <w:tcPr>
            <w:tcW w:w="498" w:type="pct"/>
            <w:tcBorders>
              <w:top w:val="single" w:color="auto" w:sz="4" w:space="0"/>
              <w:left w:val="single" w:color="auto" w:sz="4" w:space="0"/>
              <w:bottom w:val="single" w:color="auto" w:sz="4" w:space="0"/>
              <w:right w:val="single" w:color="auto" w:sz="4" w:space="0"/>
            </w:tcBorders>
            <w:vAlign w:val="center"/>
          </w:tcPr>
          <w:p w14:paraId="5B2FB26C">
            <w:pPr>
              <w:pStyle w:val="96"/>
            </w:pPr>
            <w:r>
              <w:t>Q</w:t>
            </w:r>
            <w:r>
              <w:rPr>
                <w:vertAlign w:val="subscript"/>
              </w:rPr>
              <w:t>1</w:t>
            </w:r>
            <w:r>
              <w:t>M</w:t>
            </w:r>
          </w:p>
        </w:tc>
        <w:tc>
          <w:tcPr>
            <w:tcW w:w="461" w:type="pct"/>
            <w:tcBorders>
              <w:top w:val="single" w:color="auto" w:sz="4" w:space="0"/>
              <w:left w:val="single" w:color="auto" w:sz="4" w:space="0"/>
              <w:bottom w:val="single" w:color="auto" w:sz="4" w:space="0"/>
              <w:right w:val="single" w:color="auto" w:sz="4" w:space="0"/>
            </w:tcBorders>
            <w:vAlign w:val="center"/>
          </w:tcPr>
          <w:p w14:paraId="4FDCCD86">
            <w:pPr>
              <w:pStyle w:val="96"/>
            </w:pPr>
            <w:r>
              <w:t>15～35</w:t>
            </w:r>
          </w:p>
        </w:tc>
        <w:tc>
          <w:tcPr>
            <w:tcW w:w="2564" w:type="pct"/>
            <w:tcBorders>
              <w:top w:val="single" w:color="auto" w:sz="4" w:space="0"/>
              <w:left w:val="single" w:color="auto" w:sz="4" w:space="0"/>
              <w:bottom w:val="single" w:color="auto" w:sz="4" w:space="0"/>
              <w:right w:val="nil"/>
            </w:tcBorders>
            <w:vAlign w:val="center"/>
          </w:tcPr>
          <w:p w14:paraId="64C563EC">
            <w:pPr>
              <w:pStyle w:val="96"/>
            </w:pPr>
            <w:r>
              <w:t>隐伏于中更新统之下。顶板埋深60～120m。下部为灰黄色的细砂、中砂、含砾中粗砂，厚10～28m，结构松散，分选性较好；上部为青黄色粉质粘土，厚5～10m，层位稳定，结构紧密，含钙质结核和铁锰质结核。顶部有0.2～0.5m铁质风化壳。</w:t>
            </w:r>
          </w:p>
        </w:tc>
      </w:tr>
      <w:tr w14:paraId="18DA5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nil"/>
              <w:bottom w:val="single" w:color="auto" w:sz="4" w:space="0"/>
              <w:right w:val="single" w:color="auto" w:sz="4" w:space="0"/>
            </w:tcBorders>
            <w:vAlign w:val="center"/>
          </w:tcPr>
          <w:p w14:paraId="5A472A8C">
            <w:pPr>
              <w:pStyle w:val="96"/>
            </w:pPr>
          </w:p>
        </w:tc>
        <w:tc>
          <w:tcPr>
            <w:tcW w:w="346" w:type="pct"/>
            <w:tcBorders>
              <w:top w:val="single" w:color="auto" w:sz="4" w:space="0"/>
              <w:left w:val="single" w:color="auto" w:sz="4" w:space="0"/>
              <w:bottom w:val="single" w:color="auto" w:sz="4" w:space="0"/>
              <w:right w:val="single" w:color="auto" w:sz="4" w:space="0"/>
            </w:tcBorders>
            <w:vAlign w:val="center"/>
          </w:tcPr>
          <w:p w14:paraId="77381F76">
            <w:pPr>
              <w:pStyle w:val="96"/>
            </w:pPr>
            <w:r>
              <w:t>新近系</w:t>
            </w:r>
          </w:p>
        </w:tc>
        <w:tc>
          <w:tcPr>
            <w:tcW w:w="438" w:type="pct"/>
            <w:tcBorders>
              <w:top w:val="single" w:color="auto" w:sz="4" w:space="0"/>
              <w:left w:val="single" w:color="auto" w:sz="4" w:space="0"/>
              <w:bottom w:val="single" w:color="auto" w:sz="4" w:space="0"/>
              <w:right w:val="single" w:color="auto" w:sz="4" w:space="0"/>
            </w:tcBorders>
            <w:vAlign w:val="center"/>
          </w:tcPr>
          <w:p w14:paraId="3F1BF392">
            <w:pPr>
              <w:pStyle w:val="96"/>
            </w:pPr>
            <w:r>
              <w:t>上新统</w:t>
            </w:r>
          </w:p>
        </w:tc>
        <w:tc>
          <w:tcPr>
            <w:tcW w:w="443" w:type="pct"/>
            <w:tcBorders>
              <w:top w:val="single" w:color="auto" w:sz="4" w:space="0"/>
              <w:left w:val="single" w:color="auto" w:sz="4" w:space="0"/>
              <w:bottom w:val="single" w:color="auto" w:sz="4" w:space="0"/>
              <w:right w:val="single" w:color="auto" w:sz="4" w:space="0"/>
            </w:tcBorders>
            <w:vAlign w:val="center"/>
          </w:tcPr>
          <w:p w14:paraId="2E5BEBB3">
            <w:pPr>
              <w:pStyle w:val="96"/>
            </w:pPr>
            <w:r>
              <w:t>明化镇组</w:t>
            </w:r>
          </w:p>
        </w:tc>
        <w:tc>
          <w:tcPr>
            <w:tcW w:w="498" w:type="pct"/>
            <w:tcBorders>
              <w:top w:val="single" w:color="auto" w:sz="4" w:space="0"/>
              <w:left w:val="single" w:color="auto" w:sz="4" w:space="0"/>
              <w:bottom w:val="single" w:color="auto" w:sz="4" w:space="0"/>
              <w:right w:val="single" w:color="auto" w:sz="4" w:space="0"/>
            </w:tcBorders>
            <w:vAlign w:val="center"/>
          </w:tcPr>
          <w:p w14:paraId="176E0CB2">
            <w:pPr>
              <w:pStyle w:val="96"/>
            </w:pPr>
            <w:r>
              <w:t>N</w:t>
            </w:r>
            <w:r>
              <w:rPr>
                <w:vertAlign w:val="subscript"/>
              </w:rPr>
              <w:t>2</w:t>
            </w:r>
            <w:r>
              <w:t>M</w:t>
            </w:r>
          </w:p>
        </w:tc>
        <w:tc>
          <w:tcPr>
            <w:tcW w:w="461" w:type="pct"/>
            <w:tcBorders>
              <w:top w:val="single" w:color="auto" w:sz="4" w:space="0"/>
              <w:left w:val="single" w:color="auto" w:sz="4" w:space="0"/>
              <w:bottom w:val="single" w:color="auto" w:sz="4" w:space="0"/>
              <w:right w:val="single" w:color="auto" w:sz="4" w:space="0"/>
            </w:tcBorders>
            <w:vAlign w:val="center"/>
          </w:tcPr>
          <w:p w14:paraId="73E9B3E5">
            <w:pPr>
              <w:pStyle w:val="96"/>
            </w:pPr>
            <w:r>
              <w:t>47～70</w:t>
            </w:r>
          </w:p>
        </w:tc>
        <w:tc>
          <w:tcPr>
            <w:tcW w:w="2564" w:type="pct"/>
            <w:tcBorders>
              <w:top w:val="single" w:color="auto" w:sz="4" w:space="0"/>
              <w:left w:val="single" w:color="auto" w:sz="4" w:space="0"/>
              <w:bottom w:val="single" w:color="auto" w:sz="4" w:space="0"/>
              <w:right w:val="nil"/>
            </w:tcBorders>
            <w:vAlign w:val="center"/>
          </w:tcPr>
          <w:p w14:paraId="67A750F9">
            <w:pPr>
              <w:pStyle w:val="96"/>
            </w:pPr>
            <w:r>
              <w:t>隐伏于第四系之下。上部为蓝灰色、灰绿色含砾粘土、粉质粘土，灰绿色厚层含砾细砂、中粗砂等；下部为灰绿色、棕红色含砾泥岩、砂质泥岩、砾质泥岩等。</w:t>
            </w:r>
          </w:p>
        </w:tc>
      </w:tr>
      <w:tr w14:paraId="3AF4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nil"/>
              <w:bottom w:val="single" w:color="auto" w:sz="4" w:space="0"/>
              <w:right w:val="single" w:color="auto" w:sz="4" w:space="0"/>
            </w:tcBorders>
            <w:vAlign w:val="center"/>
          </w:tcPr>
          <w:p w14:paraId="0B9B9201">
            <w:pPr>
              <w:pStyle w:val="96"/>
            </w:pPr>
          </w:p>
        </w:tc>
        <w:tc>
          <w:tcPr>
            <w:tcW w:w="346" w:type="pct"/>
            <w:tcBorders>
              <w:top w:val="single" w:color="auto" w:sz="4" w:space="0"/>
              <w:left w:val="single" w:color="auto" w:sz="4" w:space="0"/>
              <w:bottom w:val="single" w:color="auto" w:sz="4" w:space="0"/>
              <w:right w:val="single" w:color="auto" w:sz="4" w:space="0"/>
            </w:tcBorders>
            <w:vAlign w:val="center"/>
          </w:tcPr>
          <w:p w14:paraId="6A3CD97F">
            <w:pPr>
              <w:pStyle w:val="96"/>
            </w:pPr>
            <w:r>
              <w:t>古近系</w:t>
            </w:r>
          </w:p>
        </w:tc>
        <w:tc>
          <w:tcPr>
            <w:tcW w:w="438" w:type="pct"/>
            <w:tcBorders>
              <w:top w:val="single" w:color="auto" w:sz="4" w:space="0"/>
              <w:left w:val="single" w:color="auto" w:sz="4" w:space="0"/>
              <w:bottom w:val="single" w:color="auto" w:sz="4" w:space="0"/>
              <w:right w:val="single" w:color="auto" w:sz="4" w:space="0"/>
            </w:tcBorders>
            <w:vAlign w:val="center"/>
          </w:tcPr>
          <w:p w14:paraId="3B70D2A0">
            <w:pPr>
              <w:pStyle w:val="96"/>
            </w:pPr>
            <w:r>
              <w:t>古新统</w:t>
            </w:r>
          </w:p>
        </w:tc>
        <w:tc>
          <w:tcPr>
            <w:tcW w:w="443" w:type="pct"/>
            <w:tcBorders>
              <w:top w:val="single" w:color="auto" w:sz="4" w:space="0"/>
              <w:left w:val="single" w:color="auto" w:sz="4" w:space="0"/>
              <w:bottom w:val="single" w:color="auto" w:sz="4" w:space="0"/>
              <w:right w:val="single" w:color="auto" w:sz="4" w:space="0"/>
            </w:tcBorders>
            <w:vAlign w:val="center"/>
          </w:tcPr>
          <w:p w14:paraId="724D16C5">
            <w:pPr>
              <w:pStyle w:val="96"/>
            </w:pPr>
            <w:r>
              <w:t>双浮组</w:t>
            </w:r>
          </w:p>
        </w:tc>
        <w:tc>
          <w:tcPr>
            <w:tcW w:w="498" w:type="pct"/>
            <w:tcBorders>
              <w:top w:val="single" w:color="auto" w:sz="4" w:space="0"/>
              <w:left w:val="single" w:color="auto" w:sz="4" w:space="0"/>
              <w:bottom w:val="single" w:color="auto" w:sz="4" w:space="0"/>
              <w:right w:val="single" w:color="auto" w:sz="4" w:space="0"/>
            </w:tcBorders>
            <w:vAlign w:val="center"/>
          </w:tcPr>
          <w:p w14:paraId="126F6AD2">
            <w:pPr>
              <w:pStyle w:val="96"/>
            </w:pPr>
            <w:r>
              <w:t>E</w:t>
            </w:r>
            <w:r>
              <w:rPr>
                <w:vertAlign w:val="subscript"/>
              </w:rPr>
              <w:t>1</w:t>
            </w:r>
            <w:r>
              <w:t>sh</w:t>
            </w:r>
          </w:p>
        </w:tc>
        <w:tc>
          <w:tcPr>
            <w:tcW w:w="461" w:type="pct"/>
            <w:tcBorders>
              <w:top w:val="single" w:color="auto" w:sz="4" w:space="0"/>
              <w:left w:val="single" w:color="auto" w:sz="4" w:space="0"/>
              <w:bottom w:val="single" w:color="auto" w:sz="4" w:space="0"/>
              <w:right w:val="single" w:color="auto" w:sz="4" w:space="0"/>
            </w:tcBorders>
            <w:vAlign w:val="center"/>
          </w:tcPr>
          <w:p w14:paraId="5761B974">
            <w:pPr>
              <w:pStyle w:val="96"/>
            </w:pPr>
            <w:r>
              <w:t>＞631</w:t>
            </w:r>
          </w:p>
        </w:tc>
        <w:tc>
          <w:tcPr>
            <w:tcW w:w="2564" w:type="pct"/>
            <w:tcBorders>
              <w:top w:val="single" w:color="auto" w:sz="4" w:space="0"/>
              <w:left w:val="single" w:color="auto" w:sz="4" w:space="0"/>
              <w:bottom w:val="single" w:color="auto" w:sz="4" w:space="0"/>
              <w:right w:val="nil"/>
            </w:tcBorders>
            <w:vAlign w:val="center"/>
          </w:tcPr>
          <w:p w14:paraId="5B1475B3">
            <w:pPr>
              <w:pStyle w:val="96"/>
            </w:pPr>
            <w:r>
              <w:t>细砂岩与泥岩、粉砂岩互层、底部为砾岩。</w:t>
            </w:r>
          </w:p>
        </w:tc>
      </w:tr>
      <w:tr w14:paraId="0E9F9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 w:type="pct"/>
            <w:tcBorders>
              <w:top w:val="single" w:color="auto" w:sz="4" w:space="0"/>
              <w:left w:val="nil"/>
              <w:bottom w:val="single" w:color="auto" w:sz="12" w:space="0"/>
              <w:right w:val="single" w:color="auto" w:sz="4" w:space="0"/>
            </w:tcBorders>
            <w:vAlign w:val="center"/>
          </w:tcPr>
          <w:p w14:paraId="45E3A00F">
            <w:pPr>
              <w:pStyle w:val="96"/>
            </w:pPr>
            <w:r>
              <w:t>上太古界</w:t>
            </w:r>
          </w:p>
        </w:tc>
        <w:tc>
          <w:tcPr>
            <w:tcW w:w="784" w:type="pct"/>
            <w:gridSpan w:val="2"/>
            <w:tcBorders>
              <w:top w:val="single" w:color="auto" w:sz="4" w:space="0"/>
              <w:left w:val="single" w:color="auto" w:sz="4" w:space="0"/>
              <w:bottom w:val="single" w:color="auto" w:sz="12" w:space="0"/>
              <w:right w:val="single" w:color="auto" w:sz="4" w:space="0"/>
            </w:tcBorders>
            <w:vAlign w:val="center"/>
          </w:tcPr>
          <w:p w14:paraId="48804547">
            <w:pPr>
              <w:pStyle w:val="96"/>
            </w:pPr>
            <w:r>
              <w:t>五河群</w:t>
            </w:r>
          </w:p>
        </w:tc>
        <w:tc>
          <w:tcPr>
            <w:tcW w:w="443" w:type="pct"/>
            <w:tcBorders>
              <w:top w:val="single" w:color="auto" w:sz="4" w:space="0"/>
              <w:left w:val="single" w:color="auto" w:sz="4" w:space="0"/>
              <w:bottom w:val="single" w:color="auto" w:sz="12" w:space="0"/>
              <w:right w:val="single" w:color="auto" w:sz="4" w:space="0"/>
            </w:tcBorders>
            <w:vAlign w:val="center"/>
          </w:tcPr>
          <w:p w14:paraId="7BEE88DC">
            <w:pPr>
              <w:pStyle w:val="96"/>
            </w:pPr>
            <w:r>
              <w:t>庄子里组</w:t>
            </w:r>
          </w:p>
        </w:tc>
        <w:tc>
          <w:tcPr>
            <w:tcW w:w="498" w:type="pct"/>
            <w:tcBorders>
              <w:top w:val="single" w:color="auto" w:sz="4" w:space="0"/>
              <w:left w:val="single" w:color="auto" w:sz="4" w:space="0"/>
              <w:bottom w:val="single" w:color="auto" w:sz="12" w:space="0"/>
              <w:right w:val="single" w:color="auto" w:sz="4" w:space="0"/>
            </w:tcBorders>
            <w:vAlign w:val="center"/>
          </w:tcPr>
          <w:p w14:paraId="0905587C">
            <w:pPr>
              <w:pStyle w:val="96"/>
            </w:pPr>
            <w:r>
              <w:t>Ar</w:t>
            </w:r>
            <w:r>
              <w:rPr>
                <w:vertAlign w:val="subscript"/>
              </w:rPr>
              <w:t>2</w:t>
            </w:r>
            <w:r>
              <w:t>wh</w:t>
            </w:r>
          </w:p>
        </w:tc>
        <w:tc>
          <w:tcPr>
            <w:tcW w:w="461" w:type="pct"/>
            <w:tcBorders>
              <w:top w:val="single" w:color="auto" w:sz="4" w:space="0"/>
              <w:left w:val="single" w:color="auto" w:sz="4" w:space="0"/>
              <w:bottom w:val="single" w:color="auto" w:sz="12" w:space="0"/>
              <w:right w:val="single" w:color="auto" w:sz="4" w:space="0"/>
            </w:tcBorders>
            <w:vAlign w:val="center"/>
          </w:tcPr>
          <w:p w14:paraId="2D204A91">
            <w:pPr>
              <w:pStyle w:val="96"/>
            </w:pPr>
            <w:r>
              <w:t>＞1521</w:t>
            </w:r>
          </w:p>
        </w:tc>
        <w:tc>
          <w:tcPr>
            <w:tcW w:w="2564" w:type="pct"/>
            <w:tcBorders>
              <w:top w:val="single" w:color="auto" w:sz="4" w:space="0"/>
              <w:left w:val="single" w:color="auto" w:sz="4" w:space="0"/>
              <w:bottom w:val="single" w:color="auto" w:sz="12" w:space="0"/>
              <w:right w:val="nil"/>
            </w:tcBorders>
            <w:vAlign w:val="center"/>
          </w:tcPr>
          <w:p w14:paraId="4AD95506">
            <w:pPr>
              <w:pStyle w:val="96"/>
            </w:pPr>
            <w:r>
              <w:t>岩性主要为大理岩、变流纹岩、白云石英片岩及斜长角闪岩，并含黑云斜长片麻岩、黑云二长片麻岩、浅粒岩等变质侵入体。</w:t>
            </w:r>
          </w:p>
        </w:tc>
      </w:tr>
    </w:tbl>
    <w:p w14:paraId="1A9B2964">
      <w:pPr>
        <w:spacing w:line="360" w:lineRule="auto"/>
        <w:ind w:firstLine="482"/>
        <w:jc w:val="both"/>
        <w:outlineLvl w:val="3"/>
        <w:rPr>
          <w:rFonts w:ascii="Times New Roman" w:hAnsi="Times New Roman" w:eastAsia="新宋体" w:cs="Times New Roman"/>
          <w:color w:val="auto"/>
          <w:szCs w:val="24"/>
          <w:lang w:eastAsia="zh-CN"/>
        </w:rPr>
      </w:pPr>
      <w:r>
        <w:rPr>
          <w:rFonts w:ascii="Times New Roman" w:hAnsi="Times New Roman" w:eastAsia="新宋体" w:cs="Times New Roman"/>
          <w:b/>
          <w:bCs/>
          <w:color w:val="auto"/>
          <w:szCs w:val="24"/>
          <w:lang w:eastAsia="zh-CN"/>
        </w:rPr>
        <w:t>6.5.1.3 区域地层</w:t>
      </w:r>
    </w:p>
    <w:p w14:paraId="4D8FA18B">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评价区地表出露地层为新生界第四系，松散层包括新近系（N）和第四系（Q）；其下基岩主要为上太古界五河群（Ar</w:t>
      </w:r>
      <w:r>
        <w:rPr>
          <w:rFonts w:ascii="Times New Roman" w:hAnsi="Times New Roman" w:eastAsia="新宋体" w:cs="Times New Roman"/>
          <w:color w:val="auto"/>
          <w:szCs w:val="24"/>
          <w:vertAlign w:val="subscript"/>
          <w:lang w:eastAsia="zh-CN"/>
        </w:rPr>
        <w:t>2</w:t>
      </w:r>
      <w:r>
        <w:rPr>
          <w:rFonts w:ascii="Times New Roman" w:hAnsi="Times New Roman" w:eastAsia="新宋体" w:cs="Times New Roman"/>
          <w:color w:val="auto"/>
          <w:szCs w:val="24"/>
          <w:lang w:eastAsia="zh-CN"/>
        </w:rPr>
        <w:t>wh）。</w:t>
      </w:r>
    </w:p>
    <w:p w14:paraId="2DBAE7C1">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根据区域地质资料，评估区内地层由老到新描述如下：</w:t>
      </w:r>
    </w:p>
    <w:p w14:paraId="02E0CA08">
      <w:pPr>
        <w:widowControl w:val="0"/>
        <w:spacing w:line="360" w:lineRule="auto"/>
        <w:ind w:left="480"/>
        <w:jc w:val="both"/>
        <w:rPr>
          <w:rFonts w:ascii="Times New Roman" w:hAnsi="Times New Roman" w:eastAsia="新宋体" w:cs="Times New Roman"/>
          <w:color w:val="auto"/>
          <w:szCs w:val="24"/>
          <w:lang w:eastAsia="zh-CN"/>
        </w:rPr>
      </w:pPr>
      <w:r>
        <w:rPr>
          <w:rFonts w:hint="eastAsia" w:ascii="Times New Roman" w:hAnsi="Times New Roman" w:eastAsia="新宋体" w:cs="Times New Roman"/>
          <w:color w:val="auto"/>
          <w:szCs w:val="24"/>
          <w:lang w:eastAsia="zh-CN"/>
        </w:rPr>
        <w:t>（1）</w:t>
      </w:r>
      <w:r>
        <w:rPr>
          <w:rFonts w:ascii="Times New Roman" w:hAnsi="Times New Roman" w:eastAsia="新宋体" w:cs="Times New Roman"/>
          <w:color w:val="auto"/>
          <w:szCs w:val="24"/>
          <w:lang w:eastAsia="zh-CN"/>
        </w:rPr>
        <w:t>上太古界五河群（Ar</w:t>
      </w:r>
      <w:r>
        <w:rPr>
          <w:rFonts w:ascii="Times New Roman" w:hAnsi="Times New Roman" w:eastAsia="新宋体" w:cs="Times New Roman"/>
          <w:color w:val="auto"/>
          <w:szCs w:val="24"/>
          <w:vertAlign w:val="subscript"/>
          <w:lang w:eastAsia="zh-CN"/>
        </w:rPr>
        <w:t>2</w:t>
      </w:r>
      <w:r>
        <w:rPr>
          <w:rFonts w:ascii="Times New Roman" w:hAnsi="Times New Roman" w:eastAsia="新宋体" w:cs="Times New Roman"/>
          <w:color w:val="auto"/>
          <w:szCs w:val="24"/>
          <w:lang w:eastAsia="zh-CN"/>
        </w:rPr>
        <w:t>wh）</w:t>
      </w:r>
    </w:p>
    <w:p w14:paraId="04B35619">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分布全区，隐伏于新近系之下，岩性主要为大理岩、变流纹岩、白云石英片岩及斜长角闪岩，并含黑云斜长片麻岩、黑云二长片麻岩、浅粒岩等变质侵入体。厚度大于1521m。</w:t>
      </w:r>
    </w:p>
    <w:p w14:paraId="6EFAB19B">
      <w:pPr>
        <w:widowControl w:val="0"/>
        <w:spacing w:line="360" w:lineRule="auto"/>
        <w:ind w:left="480"/>
        <w:jc w:val="both"/>
        <w:rPr>
          <w:rFonts w:ascii="Times New Roman" w:hAnsi="Times New Roman" w:eastAsia="新宋体" w:cs="Times New Roman"/>
          <w:color w:val="auto"/>
          <w:szCs w:val="24"/>
          <w:lang w:eastAsia="zh-CN"/>
        </w:rPr>
      </w:pPr>
      <w:r>
        <w:rPr>
          <w:rFonts w:hint="eastAsia" w:ascii="Times New Roman" w:hAnsi="Times New Roman" w:eastAsia="新宋体" w:cs="Times New Roman"/>
          <w:color w:val="auto"/>
          <w:szCs w:val="24"/>
          <w:lang w:eastAsia="zh-CN"/>
        </w:rPr>
        <w:t>（2）</w:t>
      </w:r>
      <w:r>
        <w:rPr>
          <w:rFonts w:ascii="Times New Roman" w:hAnsi="Times New Roman" w:eastAsia="新宋体" w:cs="Times New Roman"/>
          <w:color w:val="auto"/>
          <w:szCs w:val="24"/>
          <w:lang w:eastAsia="zh-CN"/>
        </w:rPr>
        <w:t>新生界新近系明化镇组（N</w:t>
      </w:r>
      <w:r>
        <w:rPr>
          <w:rFonts w:ascii="Times New Roman" w:hAnsi="Times New Roman" w:eastAsia="新宋体" w:cs="Times New Roman"/>
          <w:color w:val="auto"/>
          <w:szCs w:val="24"/>
          <w:vertAlign w:val="subscript"/>
          <w:lang w:eastAsia="zh-CN"/>
        </w:rPr>
        <w:t>2</w:t>
      </w:r>
      <w:r>
        <w:rPr>
          <w:rFonts w:ascii="Times New Roman" w:hAnsi="Times New Roman" w:eastAsia="新宋体" w:cs="Times New Roman"/>
          <w:color w:val="auto"/>
          <w:szCs w:val="24"/>
          <w:lang w:eastAsia="zh-CN"/>
        </w:rPr>
        <w:t>M）</w:t>
      </w:r>
    </w:p>
    <w:p w14:paraId="227C84CE">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分布全区，隐伏于第四系之下，层厚为50～60m，岩性为绿色、灰白色粉质粘土，灰白、灰黄色泥质微胶结或含泥质中粗砂、含砾中粗砂、砂砾层。</w:t>
      </w:r>
    </w:p>
    <w:p w14:paraId="1DFFA6FC">
      <w:pPr>
        <w:widowControl w:val="0"/>
        <w:spacing w:line="360" w:lineRule="auto"/>
        <w:ind w:left="480"/>
        <w:jc w:val="both"/>
        <w:rPr>
          <w:rFonts w:ascii="Times New Roman" w:hAnsi="Times New Roman" w:eastAsia="新宋体" w:cs="Times New Roman"/>
          <w:color w:val="auto"/>
          <w:szCs w:val="24"/>
          <w:lang w:eastAsia="zh-CN"/>
        </w:rPr>
      </w:pPr>
      <w:r>
        <w:rPr>
          <w:rFonts w:hint="eastAsia" w:ascii="Times New Roman" w:hAnsi="Times New Roman" w:eastAsia="新宋体" w:cs="Times New Roman"/>
          <w:color w:val="auto"/>
          <w:szCs w:val="24"/>
          <w:lang w:eastAsia="zh-CN"/>
        </w:rPr>
        <w:t>（3）</w:t>
      </w:r>
      <w:r>
        <w:rPr>
          <w:rFonts w:ascii="Times New Roman" w:hAnsi="Times New Roman" w:eastAsia="新宋体" w:cs="Times New Roman"/>
          <w:color w:val="auto"/>
          <w:szCs w:val="24"/>
          <w:lang w:eastAsia="zh-CN"/>
        </w:rPr>
        <w:t>新生界第四系（Q）</w:t>
      </w:r>
    </w:p>
    <w:p w14:paraId="73B5C458">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本区自下而上分别为下更新统蒙城组（Q</w:t>
      </w:r>
      <w:r>
        <w:rPr>
          <w:rFonts w:ascii="Times New Roman" w:hAnsi="Times New Roman" w:eastAsia="新宋体" w:cs="Times New Roman"/>
          <w:color w:val="auto"/>
          <w:szCs w:val="24"/>
          <w:vertAlign w:val="subscript"/>
          <w:lang w:eastAsia="zh-CN"/>
        </w:rPr>
        <w:t>1</w:t>
      </w:r>
      <w:r>
        <w:rPr>
          <w:rFonts w:ascii="Times New Roman" w:hAnsi="Times New Roman" w:eastAsia="新宋体" w:cs="Times New Roman"/>
          <w:color w:val="auto"/>
          <w:szCs w:val="24"/>
          <w:lang w:eastAsia="zh-CN"/>
        </w:rPr>
        <w:t>M）、中更新统潘集组（Q</w:t>
      </w:r>
      <w:r>
        <w:rPr>
          <w:rFonts w:ascii="Times New Roman" w:hAnsi="Times New Roman" w:eastAsia="新宋体" w:cs="Times New Roman"/>
          <w:color w:val="auto"/>
          <w:szCs w:val="24"/>
          <w:vertAlign w:val="subscript"/>
          <w:lang w:eastAsia="zh-CN"/>
        </w:rPr>
        <w:t>2</w:t>
      </w:r>
      <w:r>
        <w:rPr>
          <w:rFonts w:ascii="Times New Roman" w:hAnsi="Times New Roman" w:eastAsia="新宋体" w:cs="Times New Roman"/>
          <w:color w:val="auto"/>
          <w:szCs w:val="24"/>
          <w:lang w:eastAsia="zh-CN"/>
        </w:rPr>
        <w:t>p）和上更新统茆塘组（Q</w:t>
      </w:r>
      <w:r>
        <w:rPr>
          <w:rFonts w:ascii="Times New Roman" w:hAnsi="Times New Roman" w:eastAsia="新宋体" w:cs="Times New Roman"/>
          <w:color w:val="auto"/>
          <w:szCs w:val="24"/>
          <w:vertAlign w:val="subscript"/>
          <w:lang w:eastAsia="zh-CN"/>
        </w:rPr>
        <w:t>3</w:t>
      </w:r>
      <w:r>
        <w:rPr>
          <w:rFonts w:ascii="Times New Roman" w:hAnsi="Times New Roman" w:eastAsia="新宋体" w:cs="Times New Roman"/>
          <w:color w:val="auto"/>
          <w:szCs w:val="24"/>
          <w:lang w:eastAsia="zh-CN"/>
        </w:rPr>
        <w:t>m）。</w:t>
      </w:r>
    </w:p>
    <w:p w14:paraId="1F3A6A05">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下更新统蒙城组（Q</w:t>
      </w:r>
      <w:r>
        <w:rPr>
          <w:rFonts w:ascii="Times New Roman" w:hAnsi="Times New Roman" w:eastAsia="新宋体" w:cs="Times New Roman"/>
          <w:color w:val="auto"/>
          <w:szCs w:val="24"/>
          <w:vertAlign w:val="subscript"/>
          <w:lang w:eastAsia="zh-CN"/>
        </w:rPr>
        <w:t>1</w:t>
      </w:r>
      <w:r>
        <w:rPr>
          <w:rFonts w:ascii="Times New Roman" w:hAnsi="Times New Roman" w:eastAsia="新宋体" w:cs="Times New Roman"/>
          <w:color w:val="auto"/>
          <w:szCs w:val="24"/>
          <w:lang w:eastAsia="zh-CN"/>
        </w:rPr>
        <w:t>M）：全区广泛分布，隐伏于中更新统之下。厚度为20～35m，底部为黄棕色粉细砂、细砂、粉砂；上部为浅棕、灰黄色粉质粘土互层，夹薄层粉砂土及粉砂，富含钙质结核和铁锰质结核。</w:t>
      </w:r>
    </w:p>
    <w:p w14:paraId="1F01F3A5">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中更新统潘集组（Q</w:t>
      </w:r>
      <w:r>
        <w:rPr>
          <w:rFonts w:ascii="Times New Roman" w:hAnsi="Times New Roman" w:eastAsia="新宋体" w:cs="Times New Roman"/>
          <w:color w:val="auto"/>
          <w:szCs w:val="24"/>
          <w:vertAlign w:val="subscript"/>
          <w:lang w:eastAsia="zh-CN"/>
        </w:rPr>
        <w:t>2</w:t>
      </w:r>
      <w:r>
        <w:rPr>
          <w:rFonts w:ascii="Times New Roman" w:hAnsi="Times New Roman" w:eastAsia="新宋体" w:cs="Times New Roman"/>
          <w:color w:val="auto"/>
          <w:szCs w:val="24"/>
          <w:lang w:eastAsia="zh-CN"/>
        </w:rPr>
        <w:t>p）：全区广泛分布，隐伏于上更新统之下，层厚为45～60m，可分为上下两段：下段为黄灰色、黄绿色粉砂、细砂、粗中砂，结构松散，分选性较好，厚25～35m；上段为青黄色粘土，结构紧密，含钙质结核和铁锰质结核，厚度为20-30m。</w:t>
      </w:r>
    </w:p>
    <w:p w14:paraId="28ECD2C4">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上更新统茆塘组（Q</w:t>
      </w:r>
      <w:r>
        <w:rPr>
          <w:rFonts w:ascii="Times New Roman" w:hAnsi="Times New Roman" w:eastAsia="新宋体" w:cs="Times New Roman"/>
          <w:color w:val="auto"/>
          <w:szCs w:val="24"/>
          <w:vertAlign w:val="subscript"/>
          <w:lang w:eastAsia="zh-CN"/>
        </w:rPr>
        <w:t>3</w:t>
      </w:r>
      <w:r>
        <w:rPr>
          <w:rFonts w:ascii="Times New Roman" w:hAnsi="Times New Roman" w:eastAsia="新宋体" w:cs="Times New Roman"/>
          <w:color w:val="auto"/>
          <w:szCs w:val="24"/>
          <w:lang w:eastAsia="zh-CN"/>
        </w:rPr>
        <w:t>m）：全区出露，厚度为20～30m，主要为褐黄色、灰褐色粉质粘土、粘土、粉土夹砂、粉细砂-中砂，局部地段下部夹少量砾石，普遍含有铁锰质结核和钙质结核，柱状节理较发育。</w:t>
      </w:r>
    </w:p>
    <w:p w14:paraId="58B134AC">
      <w:pPr>
        <w:widowControl w:val="0"/>
        <w:spacing w:line="360" w:lineRule="auto"/>
        <w:ind w:firstLine="480" w:firstLineChars="200"/>
        <w:jc w:val="both"/>
        <w:rPr>
          <w:rFonts w:ascii="Times New Roman" w:hAnsi="Times New Roman" w:eastAsia="新宋体" w:cs="Times New Roman"/>
          <w:color w:val="auto"/>
          <w:szCs w:val="24"/>
          <w:lang w:eastAsia="zh-CN"/>
        </w:rPr>
      </w:pPr>
    </w:p>
    <w:p w14:paraId="46CBFC45">
      <w:pPr>
        <w:widowControl w:val="0"/>
        <w:spacing w:line="360" w:lineRule="auto"/>
        <w:ind w:firstLine="480" w:firstLineChars="200"/>
        <w:jc w:val="both"/>
        <w:rPr>
          <w:rFonts w:ascii="Times New Roman" w:hAnsi="Times New Roman" w:eastAsia="新宋体" w:cs="Times New Roman"/>
          <w:color w:val="auto"/>
          <w:szCs w:val="24"/>
          <w:lang w:eastAsia="zh-CN"/>
        </w:rPr>
      </w:pPr>
    </w:p>
    <w:p w14:paraId="205E6A2B">
      <w:pPr>
        <w:widowControl w:val="0"/>
        <w:spacing w:line="360" w:lineRule="auto"/>
        <w:ind w:firstLine="482"/>
        <w:jc w:val="both"/>
        <w:outlineLvl w:val="3"/>
        <w:rPr>
          <w:rFonts w:ascii="Times New Roman" w:hAnsi="Times New Roman" w:eastAsia="新宋体" w:cs="Times New Roman"/>
          <w:color w:val="auto"/>
          <w:szCs w:val="24"/>
          <w:lang w:eastAsia="zh-CN"/>
        </w:rPr>
      </w:pPr>
      <w:r>
        <w:rPr>
          <w:rFonts w:ascii="Times New Roman" w:hAnsi="Times New Roman" w:eastAsia="新宋体" w:cs="Times New Roman"/>
          <w:b/>
          <w:bCs/>
          <w:color w:val="auto"/>
          <w:szCs w:val="24"/>
          <w:lang w:eastAsia="zh-CN"/>
        </w:rPr>
        <w:t>6.5.1.4 区域构造</w:t>
      </w:r>
    </w:p>
    <w:p w14:paraId="611BB99A">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（1）地质构造</w:t>
      </w:r>
    </w:p>
    <w:p w14:paraId="7FAC3BCF">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评价区在大地构造分区上位于中朝准地台淮河台坳蚌埠台拱。区域褶皱和断裂较发育。</w:t>
      </w:r>
    </w:p>
    <w:p w14:paraId="0D7F5F80">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宋体" w:hAnsi="宋体" w:cs="Cambria Math"/>
          <w:color w:val="auto"/>
          <w:szCs w:val="24"/>
          <w:lang w:eastAsia="zh-CN"/>
        </w:rPr>
        <w:t>①</w:t>
      </w:r>
      <w:r>
        <w:rPr>
          <w:rFonts w:ascii="Times New Roman" w:hAnsi="Times New Roman" w:eastAsia="新宋体" w:cs="Times New Roman"/>
          <w:color w:val="auto"/>
          <w:szCs w:val="24"/>
          <w:lang w:eastAsia="zh-CN"/>
        </w:rPr>
        <w:t>褶皱</w:t>
      </w:r>
    </w:p>
    <w:p w14:paraId="6A7F692B">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区域褶皱构造主要为蚌埠期构造运动形成的蚌埠复背斜。蚌埠复背斜核部为五河杂岩，轴迹为NWW至SEE，走向280º，长约76km，宽为5～10km。它的主要特征是核部向SEE倾伏，倾角南翼陡，北翼缓。</w:t>
      </w:r>
    </w:p>
    <w:p w14:paraId="34F29540">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宋体" w:hAnsi="宋体" w:cs="Cambria Math"/>
          <w:color w:val="auto"/>
          <w:szCs w:val="24"/>
          <w:lang w:eastAsia="zh-CN"/>
        </w:rPr>
        <w:t>②</w:t>
      </w:r>
      <w:r>
        <w:rPr>
          <w:rFonts w:ascii="Times New Roman" w:hAnsi="Times New Roman" w:eastAsia="新宋体" w:cs="Times New Roman"/>
          <w:color w:val="auto"/>
          <w:szCs w:val="24"/>
          <w:lang w:eastAsia="zh-CN"/>
        </w:rPr>
        <w:t>断裂</w:t>
      </w:r>
    </w:p>
    <w:p w14:paraId="5954910A">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区域断裂构造以NNE向最为发育，为压扭性兼有平移特征。</w:t>
      </w:r>
    </w:p>
    <w:p w14:paraId="1C4D0FD7">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评估区附近东侧隐伏有平移断层F</w:t>
      </w:r>
      <w:r>
        <w:rPr>
          <w:rFonts w:ascii="Times New Roman" w:hAnsi="Times New Roman" w:eastAsia="新宋体" w:cs="Times New Roman"/>
          <w:color w:val="auto"/>
          <w:szCs w:val="24"/>
          <w:vertAlign w:val="subscript"/>
          <w:lang w:eastAsia="zh-CN"/>
        </w:rPr>
        <w:t>2</w:t>
      </w:r>
      <w:r>
        <w:rPr>
          <w:rFonts w:ascii="Times New Roman" w:hAnsi="Times New Roman" w:eastAsia="新宋体" w:cs="Times New Roman"/>
          <w:color w:val="auto"/>
          <w:szCs w:val="24"/>
          <w:lang w:eastAsia="zh-CN"/>
        </w:rPr>
        <w:t>，方向NNE，呈带状分布，破碎带宽10m左右，破碎带岩石多具钾长石化；断裂面波状弯曲，走向12°～15°，倾角陡立，断距20～25m。</w:t>
      </w:r>
    </w:p>
    <w:p w14:paraId="53657176">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（2）区域地壳稳定性</w:t>
      </w:r>
    </w:p>
    <w:p w14:paraId="75BEAB35">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1）新构造运动</w:t>
      </w:r>
    </w:p>
    <w:p w14:paraId="2EBB0D50">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新构造活动方式表现形式有两种，第三纪末期的构造运动以新断裂为主，第四纪以下降为主及升降相间的振荡运动为特点。</w:t>
      </w:r>
    </w:p>
    <w:p w14:paraId="58FA6FAE">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宋体" w:hAnsi="宋体" w:cs="Cambria Math"/>
          <w:color w:val="auto"/>
          <w:szCs w:val="24"/>
          <w:lang w:eastAsia="zh-CN"/>
        </w:rPr>
        <w:t>①</w:t>
      </w:r>
      <w:r>
        <w:rPr>
          <w:rFonts w:ascii="Times New Roman" w:hAnsi="Times New Roman" w:eastAsia="新宋体" w:cs="Times New Roman"/>
          <w:color w:val="auto"/>
          <w:szCs w:val="24"/>
          <w:lang w:eastAsia="zh-CN"/>
        </w:rPr>
        <w:t>新构造断裂的特征</w:t>
      </w:r>
    </w:p>
    <w:p w14:paraId="1A9B5A34">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a.方向性。构造格局表明，新构造断裂是由近EW向（区外）和NNE向两组断裂组成的断裂系统，且NNE向断裂切割近EW断裂。</w:t>
      </w:r>
    </w:p>
    <w:p w14:paraId="54E03742">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b.力学性质。NNE向断裂表现为张性和压扭性，断裂面多向北西倾斜；而EW向断裂均为压性，断裂面向南倾斜；两者均具高角度特点。</w:t>
      </w:r>
    </w:p>
    <w:p w14:paraId="38B4CBEC">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c.继承性。两组断裂区外不仅切割了第三系地层，而且也切穿了五河杂岩地层和燕山期岩体；剖面上，五河杂岩地层上下盘落差大于新地层落差，说明在晚第三纪之前断裂即已形成，晚第三纪以来仅是沿老断裂微弱活动而已。</w:t>
      </w:r>
    </w:p>
    <w:p w14:paraId="0AFFFAA0">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宋体" w:hAnsi="宋体" w:cs="Cambria Math"/>
          <w:color w:val="auto"/>
          <w:szCs w:val="24"/>
          <w:lang w:eastAsia="zh-CN"/>
        </w:rPr>
        <w:t>②</w:t>
      </w:r>
      <w:r>
        <w:rPr>
          <w:rFonts w:ascii="Times New Roman" w:hAnsi="Times New Roman" w:eastAsia="新宋体" w:cs="Times New Roman"/>
          <w:color w:val="auto"/>
          <w:szCs w:val="24"/>
          <w:lang w:eastAsia="zh-CN"/>
        </w:rPr>
        <w:t>下降为主、升降相间的振荡运动</w:t>
      </w:r>
    </w:p>
    <w:p w14:paraId="193E7018">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a.水系展布规律：淮河南岸支流纵比降大，河道狭窄，流速大且急，一般较短；淮河北岸支流纵比降小，流速缓慢，河道宽且长，形成不对称羽毛状。说明区内新构造运动的垂直上升运动南部比北部大。</w:t>
      </w:r>
    </w:p>
    <w:p w14:paraId="0B5F0364">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b.松散沉积厚度变化：松散沉积厚度除受构造坳陷、隆起控制外，沉积厚度和地貌特征也有不同。淮河以南，有中、上更新统组成的山前斜坡地，以及全新统组成的河漫滩；淮河以北，为一微有起伏的开阔平原，地表绝大部分为上更新统河流相沉积物，仅构成河间平地，厚度约50m左右。新构造运动表现为全新世以前区域以沉积为主，地壳趋于稳定。</w:t>
      </w:r>
    </w:p>
    <w:p w14:paraId="5711CF6B">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2）地震</w:t>
      </w:r>
    </w:p>
    <w:p w14:paraId="614F2FA2">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从史志记载以来，蚌埠市及邻近地区发生5级以上地震5次。1644年2月3日凤阳与蚌埠交界处发生5.5级地震，震中烈度7度；1829年11月18日五河发生5.5级地震，震中烈度7度；1831年9月28日怀远县平峨山发生6.5级地震，震中烈度8度；1979年3月2日固镇县新马桥发生5级地震，震中烈度6度。据1965年～2003年的统计资料，评估区及临近地区小于4级大于3级的地震约22次。</w:t>
      </w:r>
    </w:p>
    <w:p w14:paraId="35E34C0B">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根据《中国地震动参数区划图（GB18306—2001）》，评估区地震基本烈度为7度，设计基本地震加速度值为0.10g。</w:t>
      </w:r>
    </w:p>
    <w:p w14:paraId="6BE914F0">
      <w:pPr>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表6.4-2 地震动峰值加速度分区与地震基本烈度对照表</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49"/>
        <w:gridCol w:w="865"/>
        <w:gridCol w:w="1020"/>
        <w:gridCol w:w="1020"/>
        <w:gridCol w:w="1020"/>
        <w:gridCol w:w="1020"/>
        <w:gridCol w:w="1021"/>
        <w:gridCol w:w="1021"/>
      </w:tblGrid>
      <w:tr w14:paraId="4AB10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2" w:type="pct"/>
            <w:tcBorders>
              <w:top w:val="single" w:color="auto" w:sz="12" w:space="0"/>
              <w:left w:val="nil"/>
              <w:bottom w:val="single" w:color="auto" w:sz="4" w:space="0"/>
              <w:right w:val="single" w:color="auto" w:sz="4" w:space="0"/>
            </w:tcBorders>
          </w:tcPr>
          <w:p w14:paraId="67D53E4F">
            <w:pPr>
              <w:pStyle w:val="96"/>
            </w:pPr>
            <w:r>
              <w:t>地震动峰值加速度（g）</w:t>
            </w:r>
          </w:p>
        </w:tc>
        <w:tc>
          <w:tcPr>
            <w:tcW w:w="444" w:type="pct"/>
            <w:tcBorders>
              <w:top w:val="single" w:color="auto" w:sz="12" w:space="0"/>
              <w:left w:val="single" w:color="auto" w:sz="4" w:space="0"/>
              <w:bottom w:val="single" w:color="auto" w:sz="4" w:space="0"/>
              <w:right w:val="single" w:color="auto" w:sz="4" w:space="0"/>
            </w:tcBorders>
          </w:tcPr>
          <w:p w14:paraId="7AC4581A">
            <w:pPr>
              <w:pStyle w:val="96"/>
            </w:pPr>
            <w:r>
              <w:t>&lt;0.05</w:t>
            </w:r>
          </w:p>
        </w:tc>
        <w:tc>
          <w:tcPr>
            <w:tcW w:w="524" w:type="pct"/>
            <w:tcBorders>
              <w:top w:val="single" w:color="auto" w:sz="12" w:space="0"/>
              <w:left w:val="single" w:color="auto" w:sz="4" w:space="0"/>
              <w:bottom w:val="single" w:color="auto" w:sz="4" w:space="0"/>
              <w:right w:val="single" w:color="auto" w:sz="4" w:space="0"/>
            </w:tcBorders>
          </w:tcPr>
          <w:p w14:paraId="5974E3DE">
            <w:pPr>
              <w:pStyle w:val="96"/>
            </w:pPr>
            <w:r>
              <w:t>0.05</w:t>
            </w:r>
          </w:p>
        </w:tc>
        <w:tc>
          <w:tcPr>
            <w:tcW w:w="524" w:type="pct"/>
            <w:tcBorders>
              <w:top w:val="single" w:color="auto" w:sz="12" w:space="0"/>
              <w:left w:val="single" w:color="auto" w:sz="4" w:space="0"/>
              <w:bottom w:val="single" w:color="auto" w:sz="4" w:space="0"/>
              <w:right w:val="single" w:color="auto" w:sz="4" w:space="0"/>
            </w:tcBorders>
          </w:tcPr>
          <w:p w14:paraId="74569064">
            <w:pPr>
              <w:pStyle w:val="96"/>
            </w:pPr>
            <w:r>
              <w:t>0.1</w:t>
            </w:r>
          </w:p>
        </w:tc>
        <w:tc>
          <w:tcPr>
            <w:tcW w:w="524" w:type="pct"/>
            <w:tcBorders>
              <w:top w:val="single" w:color="auto" w:sz="12" w:space="0"/>
              <w:left w:val="single" w:color="auto" w:sz="4" w:space="0"/>
              <w:bottom w:val="single" w:color="auto" w:sz="4" w:space="0"/>
              <w:right w:val="single" w:color="auto" w:sz="4" w:space="0"/>
            </w:tcBorders>
          </w:tcPr>
          <w:p w14:paraId="37EE36E1">
            <w:pPr>
              <w:pStyle w:val="96"/>
            </w:pPr>
            <w:r>
              <w:t>0.15</w:t>
            </w:r>
          </w:p>
        </w:tc>
        <w:tc>
          <w:tcPr>
            <w:tcW w:w="524" w:type="pct"/>
            <w:tcBorders>
              <w:top w:val="single" w:color="auto" w:sz="12" w:space="0"/>
              <w:left w:val="single" w:color="auto" w:sz="4" w:space="0"/>
              <w:bottom w:val="single" w:color="auto" w:sz="4" w:space="0"/>
              <w:right w:val="single" w:color="auto" w:sz="4" w:space="0"/>
            </w:tcBorders>
          </w:tcPr>
          <w:p w14:paraId="48BC149A">
            <w:pPr>
              <w:pStyle w:val="96"/>
            </w:pPr>
            <w:r>
              <w:t>0.2</w:t>
            </w:r>
          </w:p>
        </w:tc>
        <w:tc>
          <w:tcPr>
            <w:tcW w:w="524" w:type="pct"/>
            <w:tcBorders>
              <w:top w:val="single" w:color="auto" w:sz="12" w:space="0"/>
              <w:left w:val="single" w:color="auto" w:sz="4" w:space="0"/>
              <w:bottom w:val="single" w:color="auto" w:sz="4" w:space="0"/>
              <w:right w:val="single" w:color="auto" w:sz="4" w:space="0"/>
            </w:tcBorders>
          </w:tcPr>
          <w:p w14:paraId="726F40FE">
            <w:pPr>
              <w:pStyle w:val="96"/>
            </w:pPr>
            <w:r>
              <w:t>0.3</w:t>
            </w:r>
          </w:p>
        </w:tc>
        <w:tc>
          <w:tcPr>
            <w:tcW w:w="524" w:type="pct"/>
            <w:tcBorders>
              <w:top w:val="single" w:color="auto" w:sz="12" w:space="0"/>
              <w:left w:val="single" w:color="auto" w:sz="4" w:space="0"/>
              <w:bottom w:val="single" w:color="auto" w:sz="4" w:space="0"/>
              <w:right w:val="nil"/>
            </w:tcBorders>
          </w:tcPr>
          <w:p w14:paraId="311D4371">
            <w:pPr>
              <w:pStyle w:val="96"/>
            </w:pPr>
            <w:r>
              <w:t>≥0.4</w:t>
            </w:r>
          </w:p>
        </w:tc>
      </w:tr>
      <w:tr w14:paraId="51855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2" w:type="pct"/>
            <w:tcBorders>
              <w:top w:val="single" w:color="auto" w:sz="4" w:space="0"/>
              <w:left w:val="nil"/>
              <w:bottom w:val="single" w:color="auto" w:sz="12" w:space="0"/>
              <w:right w:val="single" w:color="auto" w:sz="4" w:space="0"/>
            </w:tcBorders>
          </w:tcPr>
          <w:p w14:paraId="036FB590">
            <w:pPr>
              <w:pStyle w:val="96"/>
            </w:pPr>
            <w:r>
              <w:t>地震基本烈度值</w:t>
            </w:r>
          </w:p>
        </w:tc>
        <w:tc>
          <w:tcPr>
            <w:tcW w:w="444" w:type="pct"/>
            <w:tcBorders>
              <w:top w:val="single" w:color="auto" w:sz="4" w:space="0"/>
              <w:left w:val="single" w:color="auto" w:sz="4" w:space="0"/>
              <w:bottom w:val="single" w:color="auto" w:sz="12" w:space="0"/>
              <w:right w:val="single" w:color="auto" w:sz="4" w:space="0"/>
            </w:tcBorders>
          </w:tcPr>
          <w:p w14:paraId="6F950497">
            <w:pPr>
              <w:pStyle w:val="96"/>
            </w:pPr>
            <w:r>
              <w:t>&lt;Ⅵ</w:t>
            </w:r>
          </w:p>
        </w:tc>
        <w:tc>
          <w:tcPr>
            <w:tcW w:w="524" w:type="pct"/>
            <w:tcBorders>
              <w:top w:val="single" w:color="auto" w:sz="4" w:space="0"/>
              <w:left w:val="single" w:color="auto" w:sz="4" w:space="0"/>
              <w:bottom w:val="single" w:color="auto" w:sz="12" w:space="0"/>
              <w:right w:val="single" w:color="auto" w:sz="4" w:space="0"/>
            </w:tcBorders>
          </w:tcPr>
          <w:p w14:paraId="42DE064C">
            <w:pPr>
              <w:pStyle w:val="96"/>
            </w:pPr>
            <w:r>
              <w:t>Ⅵ</w:t>
            </w:r>
          </w:p>
        </w:tc>
        <w:tc>
          <w:tcPr>
            <w:tcW w:w="524" w:type="pct"/>
            <w:tcBorders>
              <w:top w:val="single" w:color="auto" w:sz="4" w:space="0"/>
              <w:left w:val="single" w:color="auto" w:sz="4" w:space="0"/>
              <w:bottom w:val="single" w:color="auto" w:sz="12" w:space="0"/>
              <w:right w:val="single" w:color="auto" w:sz="4" w:space="0"/>
            </w:tcBorders>
          </w:tcPr>
          <w:p w14:paraId="5AA46BBF">
            <w:pPr>
              <w:pStyle w:val="96"/>
            </w:pPr>
            <w:r>
              <w:t>Ⅶ</w:t>
            </w:r>
          </w:p>
        </w:tc>
        <w:tc>
          <w:tcPr>
            <w:tcW w:w="524" w:type="pct"/>
            <w:tcBorders>
              <w:top w:val="single" w:color="auto" w:sz="4" w:space="0"/>
              <w:left w:val="single" w:color="auto" w:sz="4" w:space="0"/>
              <w:bottom w:val="single" w:color="auto" w:sz="12" w:space="0"/>
              <w:right w:val="single" w:color="auto" w:sz="4" w:space="0"/>
            </w:tcBorders>
          </w:tcPr>
          <w:p w14:paraId="70C66BEE">
            <w:pPr>
              <w:pStyle w:val="96"/>
            </w:pPr>
            <w:r>
              <w:t>Ⅶ</w:t>
            </w:r>
          </w:p>
        </w:tc>
        <w:tc>
          <w:tcPr>
            <w:tcW w:w="524" w:type="pct"/>
            <w:tcBorders>
              <w:top w:val="single" w:color="auto" w:sz="4" w:space="0"/>
              <w:left w:val="single" w:color="auto" w:sz="4" w:space="0"/>
              <w:bottom w:val="single" w:color="auto" w:sz="12" w:space="0"/>
              <w:right w:val="single" w:color="auto" w:sz="4" w:space="0"/>
            </w:tcBorders>
          </w:tcPr>
          <w:p w14:paraId="072778BC">
            <w:pPr>
              <w:pStyle w:val="96"/>
            </w:pPr>
            <w:r>
              <w:t>Ⅷ</w:t>
            </w:r>
          </w:p>
        </w:tc>
        <w:tc>
          <w:tcPr>
            <w:tcW w:w="524" w:type="pct"/>
            <w:tcBorders>
              <w:top w:val="single" w:color="auto" w:sz="4" w:space="0"/>
              <w:left w:val="single" w:color="auto" w:sz="4" w:space="0"/>
              <w:bottom w:val="single" w:color="auto" w:sz="12" w:space="0"/>
              <w:right w:val="single" w:color="auto" w:sz="4" w:space="0"/>
            </w:tcBorders>
          </w:tcPr>
          <w:p w14:paraId="104F6DBC">
            <w:pPr>
              <w:pStyle w:val="96"/>
            </w:pPr>
            <w:r>
              <w:t>Ⅷ</w:t>
            </w:r>
          </w:p>
        </w:tc>
        <w:tc>
          <w:tcPr>
            <w:tcW w:w="524" w:type="pct"/>
            <w:tcBorders>
              <w:top w:val="single" w:color="auto" w:sz="4" w:space="0"/>
              <w:left w:val="single" w:color="auto" w:sz="4" w:space="0"/>
              <w:bottom w:val="single" w:color="auto" w:sz="12" w:space="0"/>
              <w:right w:val="nil"/>
            </w:tcBorders>
          </w:tcPr>
          <w:p w14:paraId="523189EE">
            <w:pPr>
              <w:pStyle w:val="96"/>
            </w:pPr>
            <w:r>
              <w:t>≥Ⅸ</w:t>
            </w:r>
          </w:p>
        </w:tc>
      </w:tr>
    </w:tbl>
    <w:p w14:paraId="038D474D">
      <w:pPr>
        <w:adjustRightInd w:val="0"/>
        <w:snapToGrid w:val="0"/>
        <w:spacing w:line="360" w:lineRule="auto"/>
        <w:jc w:val="center"/>
        <w:rPr>
          <w:rFonts w:ascii="Times New Roman" w:hAnsi="Times New Roman" w:cs="Times New Roman"/>
          <w:color w:val="auto"/>
        </w:rPr>
      </w:pPr>
      <w:r>
        <w:rPr>
          <w:rFonts w:ascii="Times New Roman" w:hAnsi="Times New Roman" w:cs="Times New Roman"/>
          <w:snapToGrid/>
          <w:color w:val="auto"/>
          <w:lang w:eastAsia="zh-CN"/>
        </w:rPr>
        <w:drawing>
          <wp:inline distT="0" distB="0" distL="0" distR="0">
            <wp:extent cx="6162675" cy="4672330"/>
            <wp:effectExtent l="0" t="0" r="0" b="0"/>
            <wp:docPr id="111" name="图片 107" descr="C:\Users\ADMINI~1\AppData\Local\Temp\ksohtml\wps4AFC.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07" descr="C:\Users\ADMINI~1\AppData\Local\Temp\ksohtml\wps4AFC.tmp.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a:xfrm>
                      <a:off x="0" y="0"/>
                      <a:ext cx="6164012" cy="4673495"/>
                    </a:xfrm>
                    <a:prstGeom prst="rect">
                      <a:avLst/>
                    </a:prstGeom>
                    <a:noFill/>
                    <a:ln>
                      <a:noFill/>
                    </a:ln>
                  </pic:spPr>
                </pic:pic>
              </a:graphicData>
            </a:graphic>
          </wp:inline>
        </w:drawing>
      </w:r>
    </w:p>
    <w:p w14:paraId="5DF505E6">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图6.4-1 地震动峰值加速度区划图</w:t>
      </w:r>
    </w:p>
    <w:p w14:paraId="1BF039D9">
      <w:pPr>
        <w:spacing w:line="360" w:lineRule="auto"/>
        <w:ind w:firstLine="482"/>
        <w:jc w:val="both"/>
        <w:outlineLvl w:val="3"/>
        <w:rPr>
          <w:rFonts w:ascii="Times New Roman" w:hAnsi="Times New Roman" w:eastAsia="新宋体" w:cs="Times New Roman"/>
          <w:color w:val="auto"/>
          <w:szCs w:val="24"/>
          <w:lang w:eastAsia="zh-CN"/>
        </w:rPr>
      </w:pPr>
      <w:r>
        <w:rPr>
          <w:rFonts w:ascii="Times New Roman" w:hAnsi="Times New Roman" w:eastAsia="新宋体" w:cs="Times New Roman"/>
          <w:b/>
          <w:bCs/>
          <w:color w:val="auto"/>
          <w:szCs w:val="24"/>
          <w:lang w:eastAsia="zh-CN"/>
        </w:rPr>
        <w:t>6.5.1.5 岩浆岩</w:t>
      </w:r>
    </w:p>
    <w:p w14:paraId="69E805E2">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区域岩浆岩体主要为燕山期造山运动时侵入的花岗岩。岩性以燕山期二长花岗岩和燕山期钾长花岗岩为主。</w:t>
      </w:r>
    </w:p>
    <w:p w14:paraId="053696F5">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燕山期钾长花岗岩主要分布在秦集一带。岩石呈浅灰、灰白色，矿物的粒度一般为2~4mm。主要成分为钾长石45%，更长石15~20％，石英20~30%，黑云母2~3%和少量白云母、角闪石、铁铝榴石、磁铁矿、磷灰石、锆石、绿帘石及榍石等。</w:t>
      </w:r>
    </w:p>
    <w:p w14:paraId="1A49DF0B">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燕山期二长花岗岩主要分布在评估区及外围陶山、燕山等地。岩石呈灰白色，不等粒花岗变晶结构。主要由钾长石35~40%，斜长石3~45%、石英20~25%、黑云母、白云母或角闪石及少量磁铁矿、榍石、磷灰石等组成。</w:t>
      </w:r>
    </w:p>
    <w:p w14:paraId="1EFE58A7">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根据以往的地质资料，燕山期二长花岗岩表层风化作用强烈，全风化～强风化厚度一般5</w:t>
      </w:r>
      <w:r>
        <w:rPr>
          <w:lang w:eastAsia="zh-CN"/>
        </w:rPr>
        <w:t>～</w:t>
      </w:r>
      <w:r>
        <w:rPr>
          <w:rFonts w:ascii="Times New Roman" w:hAnsi="Times New Roman" w:eastAsia="新宋体" w:cs="Times New Roman"/>
          <w:color w:val="auto"/>
          <w:szCs w:val="24"/>
          <w:lang w:eastAsia="zh-CN"/>
        </w:rPr>
        <w:t>10m。裂隙较为发育，但厚度不大。</w:t>
      </w:r>
    </w:p>
    <w:p w14:paraId="59106474">
      <w:pPr>
        <w:widowControl w:val="0"/>
        <w:spacing w:line="360" w:lineRule="auto"/>
        <w:ind w:firstLine="482"/>
        <w:jc w:val="both"/>
        <w:outlineLvl w:val="3"/>
        <w:rPr>
          <w:rFonts w:ascii="Times New Roman" w:hAnsi="Times New Roman" w:eastAsia="新宋体" w:cs="Times New Roman"/>
          <w:color w:val="auto"/>
          <w:szCs w:val="24"/>
          <w:lang w:eastAsia="zh-CN"/>
        </w:rPr>
      </w:pPr>
      <w:r>
        <w:rPr>
          <w:rFonts w:ascii="Times New Roman" w:hAnsi="Times New Roman" w:eastAsia="新宋体" w:cs="Times New Roman"/>
          <w:b/>
          <w:bCs/>
          <w:color w:val="auto"/>
          <w:szCs w:val="24"/>
          <w:lang w:eastAsia="zh-CN"/>
        </w:rPr>
        <w:t>6.5.1.6 区域工程地质条件</w:t>
      </w:r>
    </w:p>
    <w:p w14:paraId="64EA979F">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（1）岩体</w:t>
      </w:r>
    </w:p>
    <w:p w14:paraId="16C794AB">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评价区内岩体隐伏在第四系覆盖层之下，建造类型为变质岩建造，岩性为上太古界五河群（Ar</w:t>
      </w:r>
      <w:r>
        <w:rPr>
          <w:rFonts w:ascii="Times New Roman" w:hAnsi="Times New Roman" w:eastAsia="新宋体" w:cs="Times New Roman"/>
          <w:color w:val="auto"/>
          <w:szCs w:val="24"/>
          <w:vertAlign w:val="subscript"/>
          <w:lang w:eastAsia="zh-CN"/>
        </w:rPr>
        <w:t>2</w:t>
      </w:r>
      <w:r>
        <w:rPr>
          <w:rFonts w:ascii="Times New Roman" w:hAnsi="Times New Roman" w:eastAsia="新宋体" w:cs="Times New Roman"/>
          <w:color w:val="auto"/>
          <w:szCs w:val="24"/>
          <w:lang w:eastAsia="zh-CN"/>
        </w:rPr>
        <w:t>wh），岩性由变粒岩、片麻岩、变流纹岩等组成，岩石单轴搞压强度为74～250MPa，属坚硬中—厚层状片麻岩、大理岩岩组。</w:t>
      </w:r>
    </w:p>
    <w:p w14:paraId="019F18CD">
      <w:pPr>
        <w:widowControl w:val="0"/>
        <w:spacing w:line="360" w:lineRule="auto"/>
        <w:ind w:left="480"/>
        <w:jc w:val="both"/>
        <w:rPr>
          <w:rFonts w:ascii="Times New Roman" w:hAnsi="Times New Roman" w:eastAsia="新宋体" w:cs="Times New Roman"/>
          <w:color w:val="auto"/>
          <w:szCs w:val="24"/>
          <w:lang w:eastAsia="zh-CN"/>
        </w:rPr>
      </w:pPr>
      <w:r>
        <w:rPr>
          <w:rFonts w:hint="eastAsia" w:ascii="Times New Roman" w:hAnsi="Times New Roman" w:eastAsia="新宋体" w:cs="Times New Roman"/>
          <w:color w:val="auto"/>
          <w:szCs w:val="24"/>
          <w:lang w:eastAsia="zh-CN"/>
        </w:rPr>
        <w:t>（2）</w:t>
      </w:r>
      <w:r>
        <w:rPr>
          <w:rFonts w:ascii="Times New Roman" w:hAnsi="Times New Roman" w:eastAsia="新宋体" w:cs="Times New Roman"/>
          <w:color w:val="auto"/>
          <w:szCs w:val="24"/>
          <w:lang w:eastAsia="zh-CN"/>
        </w:rPr>
        <w:t>土体</w:t>
      </w:r>
    </w:p>
    <w:p w14:paraId="4F87182F">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根据收集到评价区内及周边钻探资料，评价区自上而下可分为七层：</w:t>
      </w:r>
    </w:p>
    <w:p w14:paraId="0CB7A742">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宋体" w:hAnsi="宋体" w:cs="Cambria Math"/>
          <w:color w:val="auto"/>
          <w:szCs w:val="24"/>
          <w:lang w:eastAsia="zh-CN"/>
        </w:rPr>
        <w:t>①</w:t>
      </w:r>
      <w:r>
        <w:rPr>
          <w:rFonts w:ascii="Times New Roman" w:hAnsi="Times New Roman" w:eastAsia="新宋体" w:cs="Times New Roman"/>
          <w:color w:val="auto"/>
          <w:szCs w:val="24"/>
          <w:lang w:eastAsia="zh-CN"/>
        </w:rPr>
        <w:t>粘土(Q</w:t>
      </w:r>
      <w:r>
        <w:rPr>
          <w:rFonts w:ascii="Times New Roman" w:hAnsi="Times New Roman" w:eastAsia="新宋体" w:cs="Times New Roman"/>
          <w:color w:val="auto"/>
          <w:szCs w:val="24"/>
          <w:vertAlign w:val="subscript"/>
          <w:lang w:eastAsia="zh-CN"/>
        </w:rPr>
        <w:t>3</w:t>
      </w:r>
      <w:r>
        <w:rPr>
          <w:rFonts w:ascii="Times New Roman" w:hAnsi="Times New Roman" w:eastAsia="新宋体" w:cs="Times New Roman"/>
          <w:color w:val="auto"/>
          <w:szCs w:val="24"/>
          <w:lang w:eastAsia="zh-CN"/>
        </w:rPr>
        <w:t>m)：褐黄、黄褐色，硬塑状态，湿，光滑，无摇振反应，含氧化铁、铁锰结核，具铁锰质浸染，杂青灰色团块，干强度高，韧性高。层厚一般为3.0～5.80m，其静力触探比贯入阻力Ps值为2.9～3.6MPa。fak=240～280kPa，Es=11.0～14.0MPa。</w:t>
      </w:r>
    </w:p>
    <w:p w14:paraId="7C98484B">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宋体" w:hAnsi="宋体" w:cs="Cambria Math"/>
          <w:color w:val="auto"/>
          <w:szCs w:val="24"/>
          <w:lang w:eastAsia="zh-CN"/>
        </w:rPr>
        <w:t>②</w:t>
      </w:r>
      <w:r>
        <w:rPr>
          <w:rFonts w:ascii="Times New Roman" w:hAnsi="Times New Roman" w:eastAsia="新宋体" w:cs="Times New Roman"/>
          <w:color w:val="auto"/>
          <w:szCs w:val="24"/>
          <w:lang w:eastAsia="zh-CN"/>
        </w:rPr>
        <w:t>粉土夹砂(Q</w:t>
      </w:r>
      <w:r>
        <w:rPr>
          <w:rFonts w:ascii="Times New Roman" w:hAnsi="Times New Roman" w:eastAsia="新宋体" w:cs="Times New Roman"/>
          <w:color w:val="auto"/>
          <w:szCs w:val="24"/>
          <w:vertAlign w:val="subscript"/>
          <w:lang w:eastAsia="zh-CN"/>
        </w:rPr>
        <w:t>3</w:t>
      </w:r>
      <w:r>
        <w:rPr>
          <w:rFonts w:ascii="Times New Roman" w:hAnsi="Times New Roman" w:eastAsia="新宋体" w:cs="Times New Roman"/>
          <w:color w:val="auto"/>
          <w:szCs w:val="24"/>
          <w:lang w:eastAsia="zh-CN"/>
        </w:rPr>
        <w:t>m)：层厚7.0～12.6m。褐灰、灰黄，稍密状态，局部夹薄层粉细砂，很湿，无光泽反应，震动析水，摇振反应迅速，干强度低，韧性低。其标贯试验实测击数N一般值为13～17击／30cm。其静力触探比贯入阻力PS值为3.0～5.0MPa。fak=160～190kPa，Es=7.5～9.0MPa。</w:t>
      </w:r>
    </w:p>
    <w:p w14:paraId="791A63B9">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宋体" w:hAnsi="宋体" w:cs="Cambria Math"/>
          <w:color w:val="auto"/>
          <w:szCs w:val="24"/>
          <w:lang w:eastAsia="zh-CN"/>
        </w:rPr>
        <w:t>③</w:t>
      </w:r>
      <w:r>
        <w:rPr>
          <w:rFonts w:ascii="Times New Roman" w:hAnsi="Times New Roman" w:eastAsia="新宋体" w:cs="Times New Roman"/>
          <w:color w:val="auto"/>
          <w:szCs w:val="24"/>
          <w:lang w:eastAsia="zh-CN"/>
        </w:rPr>
        <w:t>粉质粘土夹粉土(Q</w:t>
      </w:r>
      <w:r>
        <w:rPr>
          <w:rFonts w:ascii="Times New Roman" w:hAnsi="Times New Roman" w:eastAsia="新宋体" w:cs="Times New Roman"/>
          <w:color w:val="auto"/>
          <w:szCs w:val="24"/>
          <w:vertAlign w:val="subscript"/>
          <w:lang w:eastAsia="zh-CN"/>
        </w:rPr>
        <w:t>3</w:t>
      </w:r>
      <w:r>
        <w:rPr>
          <w:rFonts w:ascii="Times New Roman" w:hAnsi="Times New Roman" w:eastAsia="新宋体" w:cs="Times New Roman"/>
          <w:color w:val="auto"/>
          <w:szCs w:val="24"/>
          <w:lang w:eastAsia="zh-CN"/>
        </w:rPr>
        <w:t>m)：层厚一般为1.60～8.30m。灰黄、褐黄色，可塑状态，湿，稍光滑，摇振反应中等，干强度中等，韧性中等，局部夹薄层粉土；其静力触探比贯入阻力PS值为2.0～2.4MPa。fak=200～220kPa，Es=7.8～10.0MPa。</w:t>
      </w:r>
    </w:p>
    <w:p w14:paraId="0470A16D">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宋体" w:hAnsi="宋体" w:cs="Cambria Math"/>
          <w:color w:val="auto"/>
          <w:szCs w:val="24"/>
          <w:lang w:eastAsia="zh-CN"/>
        </w:rPr>
        <w:t>④</w:t>
      </w:r>
      <w:r>
        <w:rPr>
          <w:rFonts w:ascii="Times New Roman" w:hAnsi="Times New Roman" w:eastAsia="新宋体" w:cs="Times New Roman"/>
          <w:color w:val="auto"/>
          <w:szCs w:val="24"/>
          <w:lang w:eastAsia="zh-CN"/>
        </w:rPr>
        <w:t>粘土(Q</w:t>
      </w:r>
      <w:r>
        <w:rPr>
          <w:rFonts w:ascii="Times New Roman" w:hAnsi="Times New Roman" w:eastAsia="新宋体" w:cs="Times New Roman"/>
          <w:color w:val="auto"/>
          <w:szCs w:val="24"/>
          <w:vertAlign w:val="subscript"/>
          <w:lang w:eastAsia="zh-CN"/>
        </w:rPr>
        <w:t>3</w:t>
      </w:r>
      <w:r>
        <w:rPr>
          <w:rFonts w:ascii="Times New Roman" w:hAnsi="Times New Roman" w:eastAsia="新宋体" w:cs="Times New Roman"/>
          <w:color w:val="auto"/>
          <w:szCs w:val="24"/>
          <w:lang w:eastAsia="zh-CN"/>
        </w:rPr>
        <w:t>m)：褐黄、黄褐色，硬塑状态，稍湿，光滑，无摇振反应，干强度高，韧性高；含氧化铁、铁锰结核、钙质结核等，夹薄层粉质粘土、粉土。层厚一般为2.0～5.0m。静力触探比贯入阻力Ps值为3.3～4.8MPa，fak=270～320kPa，Es=11.0～13.0MPa。</w:t>
      </w:r>
    </w:p>
    <w:p w14:paraId="6FED97C1">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宋体" w:hAnsi="宋体" w:cs="Cambria Math"/>
          <w:color w:val="auto"/>
          <w:szCs w:val="24"/>
          <w:lang w:eastAsia="zh-CN"/>
        </w:rPr>
        <w:t>⑤</w:t>
      </w:r>
      <w:r>
        <w:rPr>
          <w:rFonts w:ascii="Times New Roman" w:hAnsi="Times New Roman" w:eastAsia="新宋体" w:cs="Times New Roman"/>
          <w:color w:val="auto"/>
          <w:szCs w:val="24"/>
          <w:lang w:eastAsia="zh-CN"/>
        </w:rPr>
        <w:t>粘土夹砂(Q</w:t>
      </w:r>
      <w:r>
        <w:rPr>
          <w:rFonts w:ascii="Times New Roman" w:hAnsi="Times New Roman" w:eastAsia="新宋体" w:cs="Times New Roman"/>
          <w:color w:val="auto"/>
          <w:szCs w:val="24"/>
          <w:vertAlign w:val="subscript"/>
          <w:lang w:eastAsia="zh-CN"/>
        </w:rPr>
        <w:t>3</w:t>
      </w:r>
      <w:r>
        <w:rPr>
          <w:rFonts w:ascii="Times New Roman" w:hAnsi="Times New Roman" w:eastAsia="新宋体" w:cs="Times New Roman"/>
          <w:color w:val="auto"/>
          <w:szCs w:val="24"/>
          <w:lang w:eastAsia="zh-CN"/>
        </w:rPr>
        <w:t>m)：层厚2.00～4.0m。褐灰、黄褐色，稍密状态，夹中砂，稍湿，无光泽反应，摇振反应高，干强度低，韧性低。其静力触探比贯入阻力PS值为4.0～5.0MPa。fak=170～200kPa，Es =8.0～9.0MPa。</w:t>
      </w:r>
    </w:p>
    <w:p w14:paraId="08E3BA0F">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宋体" w:hAnsi="宋体" w:cs="Cambria Math"/>
          <w:color w:val="auto"/>
          <w:szCs w:val="24"/>
          <w:lang w:eastAsia="zh-CN"/>
        </w:rPr>
        <w:t>⑥</w:t>
      </w:r>
      <w:r>
        <w:rPr>
          <w:rFonts w:ascii="Times New Roman" w:hAnsi="Times New Roman" w:eastAsia="新宋体" w:cs="Times New Roman"/>
          <w:color w:val="auto"/>
          <w:szCs w:val="24"/>
          <w:lang w:eastAsia="zh-CN"/>
        </w:rPr>
        <w:t>中砂(Q</w:t>
      </w:r>
      <w:r>
        <w:rPr>
          <w:rFonts w:ascii="Times New Roman" w:hAnsi="Times New Roman" w:eastAsia="新宋体" w:cs="Times New Roman"/>
          <w:color w:val="auto"/>
          <w:szCs w:val="24"/>
          <w:vertAlign w:val="subscript"/>
          <w:lang w:eastAsia="zh-CN"/>
        </w:rPr>
        <w:t>3</w:t>
      </w:r>
      <w:r>
        <w:rPr>
          <w:rFonts w:ascii="Times New Roman" w:hAnsi="Times New Roman" w:eastAsia="新宋体" w:cs="Times New Roman"/>
          <w:color w:val="auto"/>
          <w:szCs w:val="24"/>
          <w:lang w:eastAsia="zh-CN"/>
        </w:rPr>
        <w:t>m)：层厚5.0～8.0m，灰黄，饱和，密实，稍湿，无光泽反应，震动析水，摇振反应迅速，干强度低，韧性低。Fak=180～200kPa，Es =8.0～10.0MPa。</w:t>
      </w:r>
    </w:p>
    <w:p w14:paraId="23657724">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宋体" w:hAnsi="宋体" w:cs="Cambria Math"/>
          <w:color w:val="auto"/>
          <w:szCs w:val="24"/>
          <w:lang w:eastAsia="zh-CN"/>
        </w:rPr>
        <w:t>⑦</w:t>
      </w:r>
      <w:r>
        <w:rPr>
          <w:rFonts w:ascii="Times New Roman" w:hAnsi="Times New Roman" w:eastAsia="新宋体" w:cs="Times New Roman"/>
          <w:color w:val="auto"/>
          <w:szCs w:val="24"/>
          <w:lang w:eastAsia="zh-CN"/>
        </w:rPr>
        <w:t>粘土(Q</w:t>
      </w:r>
      <w:r>
        <w:rPr>
          <w:rFonts w:ascii="Times New Roman" w:hAnsi="Times New Roman" w:eastAsia="新宋体" w:cs="Times New Roman"/>
          <w:color w:val="auto"/>
          <w:szCs w:val="24"/>
          <w:vertAlign w:val="subscript"/>
          <w:lang w:eastAsia="zh-CN"/>
        </w:rPr>
        <w:t>2</w:t>
      </w:r>
      <w:r>
        <w:rPr>
          <w:rFonts w:ascii="Times New Roman" w:hAnsi="Times New Roman" w:eastAsia="新宋体" w:cs="Times New Roman"/>
          <w:color w:val="auto"/>
          <w:szCs w:val="24"/>
          <w:lang w:eastAsia="zh-CN"/>
        </w:rPr>
        <w:t>p)：该层未钻穿。层厚一般大于8.0m。褐黄、黄褐色，硬塑状态，稍湿，光滑，无摇振反应，干强度高，韧性高；含氧化铁、铁锰结核、钙质结核等，fak=270～300kPa，Es=12.0～14.0MPa。</w:t>
      </w:r>
    </w:p>
    <w:p w14:paraId="237F56EC">
      <w:pPr>
        <w:widowControl w:val="0"/>
        <w:spacing w:line="360" w:lineRule="auto"/>
        <w:ind w:firstLine="482"/>
        <w:jc w:val="both"/>
        <w:outlineLvl w:val="2"/>
        <w:rPr>
          <w:rFonts w:ascii="Times New Roman" w:hAnsi="Times New Roman" w:cs="Times New Roman"/>
          <w:color w:val="auto"/>
          <w:szCs w:val="24"/>
          <w:lang w:eastAsia="zh-CN"/>
        </w:rPr>
      </w:pPr>
      <w:bookmarkStart w:id="1625" w:name="_Toc173740328"/>
      <w:bookmarkStart w:id="1626" w:name="_Toc218784333"/>
      <w:bookmarkStart w:id="1627" w:name="_Toc221900890"/>
      <w:bookmarkStart w:id="1628" w:name="_Toc236641878"/>
      <w:bookmarkStart w:id="1629" w:name="_Toc203927051"/>
      <w:bookmarkStart w:id="1630" w:name="_Toc236641361"/>
      <w:bookmarkStart w:id="1631" w:name="_Toc231828630"/>
      <w:bookmarkStart w:id="1632" w:name="_Toc175164323"/>
      <w:bookmarkStart w:id="1633" w:name="_Toc204448517"/>
      <w:bookmarkStart w:id="1634" w:name="_Toc223425108"/>
      <w:bookmarkStart w:id="1635" w:name="_Toc225784109"/>
      <w:bookmarkStart w:id="1636" w:name="_Toc173743432"/>
      <w:bookmarkStart w:id="1637" w:name="_Toc176513059"/>
      <w:bookmarkStart w:id="1638" w:name="_Toc237508343"/>
      <w:bookmarkStart w:id="1639" w:name="_Toc204515252"/>
      <w:bookmarkStart w:id="1640" w:name="_Toc178602399"/>
      <w:bookmarkStart w:id="1641" w:name="_Toc224674748"/>
      <w:r>
        <w:rPr>
          <w:rFonts w:ascii="Times New Roman" w:hAnsi="Times New Roman" w:cs="Times New Roman"/>
          <w:b/>
          <w:bCs/>
          <w:color w:val="auto"/>
          <w:szCs w:val="24"/>
          <w:lang w:eastAsia="zh-CN"/>
        </w:rPr>
        <w:t>6.5.2 区域水文地质条件概况</w:t>
      </w:r>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p>
    <w:p w14:paraId="6736634A">
      <w:pPr>
        <w:widowControl w:val="0"/>
        <w:spacing w:line="360" w:lineRule="auto"/>
        <w:ind w:firstLine="482"/>
        <w:jc w:val="both"/>
        <w:outlineLvl w:val="3"/>
        <w:rPr>
          <w:rFonts w:ascii="Times New Roman" w:hAnsi="Times New Roman" w:eastAsia="新宋体" w:cs="Times New Roman"/>
          <w:color w:val="auto"/>
          <w:szCs w:val="24"/>
          <w:lang w:eastAsia="zh-CN"/>
        </w:rPr>
      </w:pPr>
      <w:r>
        <w:rPr>
          <w:rFonts w:ascii="Times New Roman" w:hAnsi="Times New Roman" w:eastAsia="新宋体" w:cs="Times New Roman"/>
          <w:b/>
          <w:bCs/>
          <w:color w:val="auto"/>
          <w:szCs w:val="24"/>
          <w:lang w:eastAsia="zh-CN"/>
        </w:rPr>
        <w:t>6.5.2.1 地下水类型及含水层特征</w:t>
      </w:r>
    </w:p>
    <w:p w14:paraId="2C8BF9A2">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1、地下水类型</w:t>
      </w:r>
    </w:p>
    <w:p w14:paraId="10F476F9">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根据地下水的赋存条件、含水介质及地层岩性组合特征，评价区区域地下水类型可划分为松散岩类孔隙水和基岩裂隙水，松散岩类孔隙水进一步可划分浅层松散岩类孔隙水和深层松散岩类孔隙水。</w:t>
      </w:r>
    </w:p>
    <w:p w14:paraId="0D84EE00">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（1）松散岩类孔隙水</w:t>
      </w:r>
    </w:p>
    <w:p w14:paraId="3FAB2AAD">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1）浅层松散岩类孔隙水</w:t>
      </w:r>
    </w:p>
    <w:p w14:paraId="2490FCED">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根据地下水的富水性，将本区划分为水量较丰富、水量中等及水量贫乏的含水岩组。</w:t>
      </w:r>
    </w:p>
    <w:p w14:paraId="6943CDE9">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宋体" w:hAnsi="宋体" w:cs="Cambria Math"/>
          <w:color w:val="auto"/>
          <w:szCs w:val="24"/>
          <w:lang w:eastAsia="zh-CN"/>
        </w:rPr>
        <w:t>①</w:t>
      </w:r>
      <w:r>
        <w:rPr>
          <w:rFonts w:ascii="Times New Roman" w:hAnsi="Times New Roman" w:eastAsia="新宋体" w:cs="Times New Roman"/>
          <w:color w:val="auto"/>
          <w:szCs w:val="24"/>
          <w:lang w:eastAsia="zh-CN"/>
        </w:rPr>
        <w:t>水量较丰富的（单井涌水量500-1000m</w:t>
      </w:r>
      <w:r>
        <w:rPr>
          <w:rFonts w:ascii="Times New Roman" w:hAnsi="Times New Roman" w:eastAsia="新宋体" w:cs="Times New Roman"/>
          <w:color w:val="auto"/>
          <w:szCs w:val="24"/>
          <w:vertAlign w:val="superscript"/>
          <w:lang w:eastAsia="zh-CN"/>
        </w:rPr>
        <w:t>3</w:t>
      </w:r>
      <w:r>
        <w:rPr>
          <w:rFonts w:ascii="Times New Roman" w:hAnsi="Times New Roman" w:eastAsia="新宋体" w:cs="Times New Roman"/>
          <w:color w:val="auto"/>
          <w:szCs w:val="24"/>
          <w:lang w:eastAsia="zh-CN"/>
        </w:rPr>
        <w:t>/d）</w:t>
      </w:r>
    </w:p>
    <w:p w14:paraId="693F5E3A">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浅层松散岩类孔隙水主要赋存于第四系上更新统的粉-中砂、局部粉土夹砂的孔隙中，含水层厚度10.87-15.27m，水位埋深0.4-3.0m，据钻孔抽水试验资料，单井涌水量为500-1000m</w:t>
      </w:r>
      <w:r>
        <w:rPr>
          <w:rFonts w:ascii="Times New Roman" w:hAnsi="Times New Roman" w:eastAsia="新宋体" w:cs="Times New Roman"/>
          <w:color w:val="auto"/>
          <w:szCs w:val="24"/>
          <w:vertAlign w:val="superscript"/>
          <w:lang w:eastAsia="zh-CN"/>
        </w:rPr>
        <w:t>3</w:t>
      </w:r>
      <w:r>
        <w:rPr>
          <w:rFonts w:ascii="Times New Roman" w:hAnsi="Times New Roman" w:eastAsia="新宋体" w:cs="Times New Roman"/>
          <w:color w:val="auto"/>
          <w:szCs w:val="24"/>
          <w:lang w:eastAsia="zh-CN"/>
        </w:rPr>
        <w:t>/d，地下水化学类型以HCO</w:t>
      </w:r>
      <w:r>
        <w:rPr>
          <w:rFonts w:ascii="Times New Roman" w:hAnsi="Times New Roman" w:eastAsia="新宋体" w:cs="Times New Roman"/>
          <w:color w:val="auto"/>
          <w:szCs w:val="24"/>
          <w:vertAlign w:val="subscript"/>
          <w:lang w:eastAsia="zh-CN"/>
        </w:rPr>
        <w:t>3</w:t>
      </w:r>
      <w:r>
        <w:rPr>
          <w:rFonts w:ascii="Times New Roman" w:hAnsi="Times New Roman" w:eastAsia="新宋体" w:cs="Times New Roman"/>
          <w:color w:val="auto"/>
          <w:szCs w:val="24"/>
          <w:lang w:eastAsia="zh-CN"/>
        </w:rPr>
        <w:t>-Ca型为主，溶解性总固体小于1.0g/L。</w:t>
      </w:r>
    </w:p>
    <w:p w14:paraId="3F0EB734">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宋体" w:hAnsi="宋体" w:cs="Cambria Math"/>
          <w:color w:val="auto"/>
          <w:szCs w:val="24"/>
          <w:lang w:eastAsia="zh-CN"/>
        </w:rPr>
        <w:t>②</w:t>
      </w:r>
      <w:r>
        <w:rPr>
          <w:rFonts w:ascii="Times New Roman" w:hAnsi="Times New Roman" w:eastAsia="新宋体" w:cs="Times New Roman"/>
          <w:color w:val="auto"/>
          <w:szCs w:val="24"/>
          <w:lang w:eastAsia="zh-CN"/>
        </w:rPr>
        <w:t>水量中等的（单井涌水量100-500m</w:t>
      </w:r>
      <w:r>
        <w:rPr>
          <w:rFonts w:ascii="Times New Roman" w:hAnsi="Times New Roman" w:eastAsia="新宋体" w:cs="Times New Roman"/>
          <w:color w:val="auto"/>
          <w:szCs w:val="24"/>
          <w:vertAlign w:val="superscript"/>
          <w:lang w:eastAsia="zh-CN"/>
        </w:rPr>
        <w:t>3</w:t>
      </w:r>
      <w:r>
        <w:rPr>
          <w:rFonts w:ascii="Times New Roman" w:hAnsi="Times New Roman" w:eastAsia="新宋体" w:cs="Times New Roman"/>
          <w:color w:val="auto"/>
          <w:szCs w:val="24"/>
          <w:lang w:eastAsia="zh-CN"/>
        </w:rPr>
        <w:t>/d）</w:t>
      </w:r>
    </w:p>
    <w:p w14:paraId="32972174">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主要沿淮河北岸分布，含水层由第四系全新新统砂砾层组成，厚度6.8-10.29m，水位埋深0.9-5.20m，据钻孔抽水试验资料，单井涌水量为100-500m</w:t>
      </w:r>
      <w:r>
        <w:rPr>
          <w:rFonts w:ascii="Times New Roman" w:hAnsi="Times New Roman" w:eastAsia="新宋体" w:cs="Times New Roman"/>
          <w:color w:val="auto"/>
          <w:szCs w:val="24"/>
          <w:vertAlign w:val="superscript"/>
          <w:lang w:eastAsia="zh-CN"/>
        </w:rPr>
        <w:t>3</w:t>
      </w:r>
      <w:r>
        <w:rPr>
          <w:rFonts w:ascii="Times New Roman" w:hAnsi="Times New Roman" w:eastAsia="新宋体" w:cs="Times New Roman"/>
          <w:color w:val="auto"/>
          <w:szCs w:val="24"/>
          <w:lang w:eastAsia="zh-CN"/>
        </w:rPr>
        <w:t>/d，地下水化学类型以HCO</w:t>
      </w:r>
      <w:r>
        <w:rPr>
          <w:rFonts w:ascii="Times New Roman" w:hAnsi="Times New Roman" w:eastAsia="新宋体" w:cs="Times New Roman"/>
          <w:color w:val="auto"/>
          <w:szCs w:val="24"/>
          <w:vertAlign w:val="subscript"/>
          <w:lang w:eastAsia="zh-CN"/>
        </w:rPr>
        <w:t>3</w:t>
      </w:r>
      <w:r>
        <w:rPr>
          <w:rFonts w:ascii="Times New Roman" w:hAnsi="Times New Roman" w:eastAsia="新宋体" w:cs="Times New Roman"/>
          <w:color w:val="auto"/>
          <w:szCs w:val="24"/>
          <w:lang w:eastAsia="zh-CN"/>
        </w:rPr>
        <w:t>-Ca型为主，溶解性总固体小于1.0g/L。</w:t>
      </w:r>
    </w:p>
    <w:p w14:paraId="6AEB37A1">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宋体" w:hAnsi="宋体" w:cs="Cambria Math"/>
          <w:color w:val="auto"/>
          <w:szCs w:val="24"/>
          <w:lang w:eastAsia="zh-CN"/>
        </w:rPr>
        <w:t>③</w:t>
      </w:r>
      <w:r>
        <w:rPr>
          <w:rFonts w:ascii="Times New Roman" w:hAnsi="Times New Roman" w:eastAsia="新宋体" w:cs="Times New Roman"/>
          <w:color w:val="auto"/>
          <w:szCs w:val="24"/>
          <w:lang w:eastAsia="zh-CN"/>
        </w:rPr>
        <w:t>水量贫乏的（单井涌水量&lt;100m</w:t>
      </w:r>
      <w:r>
        <w:rPr>
          <w:rFonts w:ascii="Times New Roman" w:hAnsi="Times New Roman" w:eastAsia="新宋体" w:cs="Times New Roman"/>
          <w:color w:val="auto"/>
          <w:szCs w:val="24"/>
          <w:vertAlign w:val="superscript"/>
          <w:lang w:eastAsia="zh-CN"/>
        </w:rPr>
        <w:t>3</w:t>
      </w:r>
      <w:r>
        <w:rPr>
          <w:rFonts w:ascii="Times New Roman" w:hAnsi="Times New Roman" w:eastAsia="新宋体" w:cs="Times New Roman"/>
          <w:color w:val="auto"/>
          <w:szCs w:val="24"/>
          <w:lang w:eastAsia="zh-CN"/>
        </w:rPr>
        <w:t>/d）</w:t>
      </w:r>
    </w:p>
    <w:p w14:paraId="5CC2092F">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分布于评价区东北部，主要由第四系上更新统的粘土、粉土夹砂组成，砂岩沿现代河流两侧成条带状分布，厚度小于5m，水位埋深0.4-3.5m，据钻孔及民井抽水试验资料，单井涌水量均小于100m</w:t>
      </w:r>
      <w:r>
        <w:rPr>
          <w:rFonts w:ascii="Times New Roman" w:hAnsi="Times New Roman" w:eastAsia="新宋体" w:cs="Times New Roman"/>
          <w:color w:val="auto"/>
          <w:szCs w:val="24"/>
          <w:vertAlign w:val="superscript"/>
          <w:lang w:eastAsia="zh-CN"/>
        </w:rPr>
        <w:t>3</w:t>
      </w:r>
      <w:r>
        <w:rPr>
          <w:rFonts w:ascii="Times New Roman" w:hAnsi="Times New Roman" w:eastAsia="新宋体" w:cs="Times New Roman"/>
          <w:color w:val="auto"/>
          <w:szCs w:val="24"/>
          <w:lang w:eastAsia="zh-CN"/>
        </w:rPr>
        <w:t>/d，地下水化学类型为HCO</w:t>
      </w:r>
      <w:r>
        <w:rPr>
          <w:rFonts w:ascii="Times New Roman" w:hAnsi="Times New Roman" w:eastAsia="新宋体" w:cs="Times New Roman"/>
          <w:color w:val="auto"/>
          <w:szCs w:val="24"/>
          <w:vertAlign w:val="subscript"/>
          <w:lang w:eastAsia="zh-CN"/>
        </w:rPr>
        <w:t>3</w:t>
      </w:r>
      <w:r>
        <w:rPr>
          <w:rFonts w:ascii="Times New Roman" w:hAnsi="Times New Roman" w:eastAsia="新宋体" w:cs="Times New Roman"/>
          <w:color w:val="auto"/>
          <w:szCs w:val="24"/>
          <w:lang w:eastAsia="zh-CN"/>
        </w:rPr>
        <w:t>-Ca·Mg型或HCO</w:t>
      </w:r>
      <w:r>
        <w:rPr>
          <w:rFonts w:ascii="Times New Roman" w:hAnsi="Times New Roman" w:eastAsia="新宋体" w:cs="Times New Roman"/>
          <w:color w:val="auto"/>
          <w:szCs w:val="24"/>
          <w:vertAlign w:val="subscript"/>
          <w:lang w:eastAsia="zh-CN"/>
        </w:rPr>
        <w:t>3</w:t>
      </w:r>
      <w:r>
        <w:rPr>
          <w:rFonts w:ascii="Times New Roman" w:hAnsi="Times New Roman" w:eastAsia="新宋体" w:cs="Times New Roman"/>
          <w:color w:val="auto"/>
          <w:szCs w:val="24"/>
          <w:lang w:eastAsia="zh-CN"/>
        </w:rPr>
        <w:t>-Ca•Na型，溶解性总固体小于1.0g/L。</w:t>
      </w:r>
    </w:p>
    <w:p w14:paraId="1AE726EB">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含水层组由第四系全新统和上更新统砂性土组成，以粉土和粘质粉土为主。含水层厚度10.0~30.00m，水位埋深2.00~8.00m，水力性质多属上层潜水。水量贫乏，单井涌水量多小于100m</w:t>
      </w:r>
      <w:r>
        <w:rPr>
          <w:rFonts w:ascii="Times New Roman" w:hAnsi="Times New Roman" w:eastAsia="新宋体" w:cs="Times New Roman"/>
          <w:color w:val="auto"/>
          <w:szCs w:val="24"/>
          <w:vertAlign w:val="superscript"/>
          <w:lang w:eastAsia="zh-CN"/>
        </w:rPr>
        <w:t>3</w:t>
      </w:r>
      <w:r>
        <w:rPr>
          <w:rFonts w:ascii="Times New Roman" w:hAnsi="Times New Roman" w:eastAsia="新宋体" w:cs="Times New Roman"/>
          <w:color w:val="auto"/>
          <w:szCs w:val="24"/>
          <w:lang w:eastAsia="zh-CN"/>
        </w:rPr>
        <w:t>/d。水化学类型以HCO</w:t>
      </w:r>
      <w:r>
        <w:rPr>
          <w:rFonts w:ascii="Times New Roman" w:hAnsi="Times New Roman" w:eastAsia="新宋体" w:cs="Times New Roman"/>
          <w:color w:val="auto"/>
          <w:szCs w:val="24"/>
          <w:vertAlign w:val="subscript"/>
          <w:lang w:eastAsia="zh-CN"/>
        </w:rPr>
        <w:t>3</w:t>
      </w:r>
      <w:r>
        <w:rPr>
          <w:rFonts w:ascii="Times New Roman" w:hAnsi="Times New Roman" w:eastAsia="新宋体" w:cs="Times New Roman"/>
          <w:color w:val="auto"/>
          <w:szCs w:val="24"/>
          <w:lang w:eastAsia="zh-CN"/>
        </w:rPr>
        <w:t>-Ca</w:t>
      </w:r>
      <w:r>
        <w:rPr>
          <w:rFonts w:ascii="Times New Roman" w:hAnsi="Times New Roman" w:eastAsia="新宋体" w:cs="Times New Roman"/>
          <w:color w:val="auto"/>
          <w:szCs w:val="24"/>
          <w:vertAlign w:val="subscript"/>
          <w:lang w:eastAsia="zh-CN"/>
        </w:rPr>
        <w:t>2</w:t>
      </w:r>
      <w:r>
        <w:rPr>
          <w:rFonts w:ascii="Times New Roman" w:hAnsi="Times New Roman" w:eastAsia="新宋体" w:cs="Times New Roman"/>
          <w:color w:val="auto"/>
          <w:szCs w:val="24"/>
          <w:lang w:eastAsia="zh-CN"/>
        </w:rPr>
        <w:t>+型为主，溶解性总固体小于1.0g/L，pH值7.5~8.0。</w:t>
      </w:r>
    </w:p>
    <w:p w14:paraId="30CCCCDB">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2）深层松散岩类孔隙水</w:t>
      </w:r>
    </w:p>
    <w:p w14:paraId="3BDBABF9">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该类型水由中下更新统含水砂层及新近系含水砂层组成，厚度较大。</w:t>
      </w:r>
    </w:p>
    <w:p w14:paraId="7561550F">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深层松散岩类孔隙水的富水等级，按单井涌水量可划分为水量丰富的、水量较丰富的和水量中等的三级。现分述如下：</w:t>
      </w:r>
    </w:p>
    <w:p w14:paraId="320905FA">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宋体" w:hAnsi="宋体" w:cs="Cambria Math"/>
          <w:color w:val="auto"/>
          <w:szCs w:val="24"/>
          <w:lang w:eastAsia="zh-CN"/>
        </w:rPr>
        <w:t>①</w:t>
      </w:r>
      <w:r>
        <w:rPr>
          <w:rFonts w:ascii="Times New Roman" w:hAnsi="Times New Roman" w:eastAsia="新宋体" w:cs="Times New Roman"/>
          <w:color w:val="auto"/>
          <w:szCs w:val="24"/>
          <w:lang w:eastAsia="zh-CN"/>
        </w:rPr>
        <w:t>水量丰富的（单井涌水量1000-3000m</w:t>
      </w:r>
      <w:r>
        <w:rPr>
          <w:rFonts w:ascii="Times New Roman" w:hAnsi="Times New Roman" w:eastAsia="新宋体" w:cs="Times New Roman"/>
          <w:color w:val="auto"/>
          <w:szCs w:val="24"/>
          <w:vertAlign w:val="superscript"/>
          <w:lang w:eastAsia="zh-CN"/>
        </w:rPr>
        <w:t>3</w:t>
      </w:r>
      <w:r>
        <w:rPr>
          <w:rFonts w:ascii="Times New Roman" w:hAnsi="Times New Roman" w:eastAsia="新宋体" w:cs="Times New Roman"/>
          <w:color w:val="auto"/>
          <w:szCs w:val="24"/>
          <w:lang w:eastAsia="zh-CN"/>
        </w:rPr>
        <w:t>/d）</w:t>
      </w:r>
    </w:p>
    <w:p w14:paraId="1F372675">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含水层为粉细砂-中砂，厚度6-31m，水位埋深1-5m，据钻孔抽水试验资料，单井涌水量1163.90-2986.28m</w:t>
      </w:r>
      <w:r>
        <w:rPr>
          <w:rFonts w:ascii="Times New Roman" w:hAnsi="Times New Roman" w:eastAsia="新宋体" w:cs="Times New Roman"/>
          <w:color w:val="auto"/>
          <w:szCs w:val="24"/>
          <w:vertAlign w:val="superscript"/>
          <w:lang w:eastAsia="zh-CN"/>
        </w:rPr>
        <w:t>3</w:t>
      </w:r>
      <w:r>
        <w:rPr>
          <w:rFonts w:ascii="Times New Roman" w:hAnsi="Times New Roman" w:eastAsia="新宋体" w:cs="Times New Roman"/>
          <w:color w:val="auto"/>
          <w:szCs w:val="24"/>
          <w:lang w:eastAsia="zh-CN"/>
        </w:rPr>
        <w:t>/d，地下水化学类型以HCO</w:t>
      </w:r>
      <w:r>
        <w:rPr>
          <w:rFonts w:ascii="Times New Roman" w:hAnsi="Times New Roman" w:eastAsia="新宋体" w:cs="Times New Roman"/>
          <w:color w:val="auto"/>
          <w:szCs w:val="24"/>
          <w:vertAlign w:val="subscript"/>
          <w:lang w:eastAsia="zh-CN"/>
        </w:rPr>
        <w:t>3</w:t>
      </w:r>
      <w:r>
        <w:rPr>
          <w:rFonts w:ascii="Times New Roman" w:hAnsi="Times New Roman" w:eastAsia="新宋体" w:cs="Times New Roman"/>
          <w:color w:val="auto"/>
          <w:szCs w:val="24"/>
          <w:lang w:eastAsia="zh-CN"/>
        </w:rPr>
        <w:t>-Na型为主，溶解性总固体小于1.0g/L。</w:t>
      </w:r>
    </w:p>
    <w:p w14:paraId="21CB19CB">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宋体" w:hAnsi="宋体" w:cs="Cambria Math"/>
          <w:color w:val="auto"/>
          <w:szCs w:val="24"/>
          <w:lang w:eastAsia="zh-CN"/>
        </w:rPr>
        <w:t>②</w:t>
      </w:r>
      <w:r>
        <w:rPr>
          <w:rFonts w:ascii="Times New Roman" w:hAnsi="Times New Roman" w:eastAsia="新宋体" w:cs="Times New Roman"/>
          <w:color w:val="auto"/>
          <w:szCs w:val="24"/>
          <w:lang w:eastAsia="zh-CN"/>
        </w:rPr>
        <w:t>水量较丰富的（单井涌水量500-1000m</w:t>
      </w:r>
      <w:r>
        <w:rPr>
          <w:rFonts w:ascii="Times New Roman" w:hAnsi="Times New Roman" w:eastAsia="新宋体" w:cs="Times New Roman"/>
          <w:color w:val="auto"/>
          <w:szCs w:val="24"/>
          <w:vertAlign w:val="superscript"/>
          <w:lang w:eastAsia="zh-CN"/>
        </w:rPr>
        <w:t>3</w:t>
      </w:r>
      <w:r>
        <w:rPr>
          <w:rFonts w:ascii="Times New Roman" w:hAnsi="Times New Roman" w:eastAsia="新宋体" w:cs="Times New Roman"/>
          <w:color w:val="auto"/>
          <w:szCs w:val="24"/>
          <w:lang w:eastAsia="zh-CN"/>
        </w:rPr>
        <w:t>/d）</w:t>
      </w:r>
    </w:p>
    <w:p w14:paraId="07A93892">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含水层为粉细砂、中砂，厚度4.38-29.79m，水位埋深0.4-5m，据钻孔抽水试验资料，单井涌水量为527.27-983.35m</w:t>
      </w:r>
      <w:r>
        <w:rPr>
          <w:rFonts w:ascii="Times New Roman" w:hAnsi="Times New Roman" w:eastAsia="新宋体" w:cs="Times New Roman"/>
          <w:color w:val="auto"/>
          <w:szCs w:val="24"/>
          <w:vertAlign w:val="superscript"/>
          <w:lang w:eastAsia="zh-CN"/>
        </w:rPr>
        <w:t>3</w:t>
      </w:r>
      <w:r>
        <w:rPr>
          <w:rFonts w:ascii="Times New Roman" w:hAnsi="Times New Roman" w:eastAsia="新宋体" w:cs="Times New Roman"/>
          <w:color w:val="auto"/>
          <w:szCs w:val="24"/>
          <w:lang w:eastAsia="zh-CN"/>
        </w:rPr>
        <w:t>/d，地下水化学类型以HCO</w:t>
      </w:r>
      <w:r>
        <w:rPr>
          <w:rFonts w:ascii="Times New Roman" w:hAnsi="Times New Roman" w:eastAsia="新宋体" w:cs="Times New Roman"/>
          <w:color w:val="auto"/>
          <w:szCs w:val="24"/>
          <w:vertAlign w:val="subscript"/>
          <w:lang w:eastAsia="zh-CN"/>
        </w:rPr>
        <w:t>3</w:t>
      </w:r>
      <w:r>
        <w:rPr>
          <w:rFonts w:ascii="Times New Roman" w:hAnsi="Times New Roman" w:eastAsia="新宋体" w:cs="Times New Roman"/>
          <w:color w:val="auto"/>
          <w:szCs w:val="24"/>
          <w:lang w:eastAsia="zh-CN"/>
        </w:rPr>
        <w:t>-Na•Ca型为主，溶解性总固体小于1.0g/L。</w:t>
      </w:r>
    </w:p>
    <w:p w14:paraId="01EBF8E2">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宋体" w:hAnsi="宋体" w:cs="Cambria Math"/>
          <w:color w:val="auto"/>
          <w:szCs w:val="24"/>
          <w:lang w:eastAsia="zh-CN"/>
        </w:rPr>
        <w:t>③</w:t>
      </w:r>
      <w:r>
        <w:rPr>
          <w:rFonts w:ascii="Times New Roman" w:hAnsi="Times New Roman" w:eastAsia="新宋体" w:cs="Times New Roman"/>
          <w:color w:val="auto"/>
          <w:szCs w:val="24"/>
          <w:lang w:eastAsia="zh-CN"/>
        </w:rPr>
        <w:t>水量中等的（单井涌水量100-500m</w:t>
      </w:r>
      <w:r>
        <w:rPr>
          <w:rFonts w:ascii="Times New Roman" w:hAnsi="Times New Roman" w:eastAsia="新宋体" w:cs="Times New Roman"/>
          <w:color w:val="auto"/>
          <w:szCs w:val="24"/>
          <w:vertAlign w:val="superscript"/>
          <w:lang w:eastAsia="zh-CN"/>
        </w:rPr>
        <w:t>3</w:t>
      </w:r>
      <w:r>
        <w:rPr>
          <w:rFonts w:ascii="Times New Roman" w:hAnsi="Times New Roman" w:eastAsia="新宋体" w:cs="Times New Roman"/>
          <w:color w:val="auto"/>
          <w:szCs w:val="24"/>
          <w:lang w:eastAsia="zh-CN"/>
        </w:rPr>
        <w:t>/d）</w:t>
      </w:r>
    </w:p>
    <w:p w14:paraId="54B7A049">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含水砂层为粉细砂-中砂，厚度6.8-19.36m，水位埋深0.18-2.71m，据钻孔抽水试验资料，单井涌水量为118.31-428.25m</w:t>
      </w:r>
      <w:r>
        <w:rPr>
          <w:rFonts w:ascii="Times New Roman" w:hAnsi="Times New Roman" w:eastAsia="新宋体" w:cs="Times New Roman"/>
          <w:color w:val="auto"/>
          <w:szCs w:val="24"/>
          <w:vertAlign w:val="superscript"/>
          <w:lang w:eastAsia="zh-CN"/>
        </w:rPr>
        <w:t>3</w:t>
      </w:r>
      <w:r>
        <w:rPr>
          <w:rFonts w:ascii="Times New Roman" w:hAnsi="Times New Roman" w:eastAsia="新宋体" w:cs="Times New Roman"/>
          <w:color w:val="auto"/>
          <w:szCs w:val="24"/>
          <w:lang w:eastAsia="zh-CN"/>
        </w:rPr>
        <w:t>/d，地下水化学类型较复杂，为HCO</w:t>
      </w:r>
      <w:r>
        <w:rPr>
          <w:rFonts w:ascii="Times New Roman" w:hAnsi="Times New Roman" w:eastAsia="新宋体" w:cs="Times New Roman"/>
          <w:color w:val="auto"/>
          <w:szCs w:val="24"/>
          <w:vertAlign w:val="subscript"/>
          <w:lang w:eastAsia="zh-CN"/>
        </w:rPr>
        <w:t>3</w:t>
      </w:r>
      <w:r>
        <w:rPr>
          <w:rFonts w:ascii="Times New Roman" w:hAnsi="Times New Roman" w:eastAsia="新宋体" w:cs="Times New Roman"/>
          <w:color w:val="auto"/>
          <w:szCs w:val="24"/>
          <w:lang w:eastAsia="zh-CN"/>
        </w:rPr>
        <w:t>-Ca•Na型、HCO</w:t>
      </w:r>
      <w:r>
        <w:rPr>
          <w:rFonts w:ascii="Times New Roman" w:hAnsi="Times New Roman" w:eastAsia="新宋体" w:cs="Times New Roman"/>
          <w:color w:val="auto"/>
          <w:szCs w:val="24"/>
          <w:vertAlign w:val="subscript"/>
          <w:lang w:eastAsia="zh-CN"/>
        </w:rPr>
        <w:t>3</w:t>
      </w:r>
      <w:r>
        <w:rPr>
          <w:rFonts w:ascii="Times New Roman" w:hAnsi="Times New Roman" w:eastAsia="新宋体" w:cs="Times New Roman"/>
          <w:color w:val="auto"/>
          <w:szCs w:val="24"/>
          <w:lang w:eastAsia="zh-CN"/>
        </w:rPr>
        <w:t>-Na型或HCO</w:t>
      </w:r>
      <w:r>
        <w:rPr>
          <w:rFonts w:ascii="Times New Roman" w:hAnsi="Times New Roman" w:eastAsia="新宋体" w:cs="Times New Roman"/>
          <w:color w:val="auto"/>
          <w:szCs w:val="24"/>
          <w:vertAlign w:val="subscript"/>
          <w:lang w:eastAsia="zh-CN"/>
        </w:rPr>
        <w:t>3</w:t>
      </w:r>
      <w:r>
        <w:rPr>
          <w:rFonts w:ascii="Times New Roman" w:hAnsi="Times New Roman" w:eastAsia="新宋体" w:cs="Times New Roman"/>
          <w:color w:val="auto"/>
          <w:szCs w:val="24"/>
          <w:lang w:eastAsia="zh-CN"/>
        </w:rPr>
        <w:t>•SO</w:t>
      </w:r>
      <w:r>
        <w:rPr>
          <w:rFonts w:ascii="Times New Roman" w:hAnsi="Times New Roman" w:eastAsia="新宋体" w:cs="Times New Roman"/>
          <w:color w:val="auto"/>
          <w:szCs w:val="24"/>
          <w:vertAlign w:val="subscript"/>
          <w:lang w:eastAsia="zh-CN"/>
        </w:rPr>
        <w:t>4</w:t>
      </w:r>
      <w:r>
        <w:rPr>
          <w:rFonts w:ascii="Times New Roman" w:hAnsi="Times New Roman" w:eastAsia="新宋体" w:cs="Times New Roman"/>
          <w:color w:val="auto"/>
          <w:szCs w:val="24"/>
          <w:lang w:eastAsia="zh-CN"/>
        </w:rPr>
        <w:t>2-•Cl-Na•Mg型，溶解性总固体小于1.0g/L。</w:t>
      </w:r>
    </w:p>
    <w:p w14:paraId="238CF47A">
      <w:pPr>
        <w:widowControl w:val="0"/>
        <w:spacing w:line="360" w:lineRule="auto"/>
        <w:ind w:left="480"/>
        <w:jc w:val="both"/>
        <w:rPr>
          <w:rFonts w:ascii="Times New Roman" w:hAnsi="Times New Roman" w:eastAsia="新宋体" w:cs="Times New Roman"/>
          <w:color w:val="auto"/>
          <w:szCs w:val="24"/>
          <w:lang w:eastAsia="zh-CN"/>
        </w:rPr>
      </w:pPr>
      <w:r>
        <w:rPr>
          <w:rFonts w:hint="eastAsia" w:ascii="Times New Roman" w:hAnsi="Times New Roman" w:eastAsia="新宋体" w:cs="Times New Roman"/>
          <w:color w:val="auto"/>
          <w:szCs w:val="24"/>
          <w:lang w:eastAsia="zh-CN"/>
        </w:rPr>
        <w:t>（2）</w:t>
      </w:r>
      <w:r>
        <w:rPr>
          <w:rFonts w:ascii="Times New Roman" w:hAnsi="Times New Roman" w:eastAsia="新宋体" w:cs="Times New Roman"/>
          <w:color w:val="auto"/>
          <w:szCs w:val="24"/>
          <w:lang w:eastAsia="zh-CN"/>
        </w:rPr>
        <w:t>基岩裂隙水</w:t>
      </w:r>
    </w:p>
    <w:p w14:paraId="718BC2A3">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主要分布于淮河以南临淮关东部一带，岩性为蚌埠期混合二长花岗岩，呈球状风化，风化层厚度小于10m，网格状节理裂隙发育，多被泥质充填，所处地貌部位属丘陵地带，地形较陡峭，不利于地下水储存与富集，单井涌水量小于100m</w:t>
      </w:r>
      <w:r>
        <w:rPr>
          <w:rFonts w:ascii="Times New Roman" w:hAnsi="Times New Roman" w:eastAsia="新宋体" w:cs="Times New Roman"/>
          <w:color w:val="auto"/>
          <w:szCs w:val="24"/>
          <w:vertAlign w:val="superscript"/>
          <w:lang w:eastAsia="zh-CN"/>
        </w:rPr>
        <w:t>3</w:t>
      </w:r>
      <w:r>
        <w:rPr>
          <w:rFonts w:ascii="Times New Roman" w:hAnsi="Times New Roman" w:eastAsia="新宋体" w:cs="Times New Roman"/>
          <w:color w:val="auto"/>
          <w:szCs w:val="24"/>
          <w:lang w:eastAsia="zh-CN"/>
        </w:rPr>
        <w:t>/d，径流模数为0.11l/s•km</w:t>
      </w:r>
      <w:r>
        <w:rPr>
          <w:rFonts w:ascii="Times New Roman" w:hAnsi="Times New Roman" w:eastAsia="新宋体" w:cs="Times New Roman"/>
          <w:color w:val="auto"/>
          <w:szCs w:val="24"/>
          <w:vertAlign w:val="superscript"/>
          <w:lang w:eastAsia="zh-CN"/>
        </w:rPr>
        <w:t>2</w:t>
      </w:r>
      <w:r>
        <w:rPr>
          <w:rFonts w:ascii="Times New Roman" w:hAnsi="Times New Roman" w:eastAsia="新宋体" w:cs="Times New Roman"/>
          <w:color w:val="auto"/>
          <w:szCs w:val="24"/>
          <w:lang w:eastAsia="zh-CN"/>
        </w:rPr>
        <w:t>。</w:t>
      </w:r>
    </w:p>
    <w:p w14:paraId="19B6CAA6">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区域综合水文地质图见下图。</w:t>
      </w:r>
    </w:p>
    <w:p w14:paraId="1488F748">
      <w:pPr>
        <w:adjustRightInd w:val="0"/>
        <w:snapToGrid w:val="0"/>
        <w:spacing w:line="360" w:lineRule="auto"/>
        <w:jc w:val="center"/>
        <w:rPr>
          <w:rFonts w:ascii="Times New Roman" w:hAnsi="Times New Roman" w:eastAsia="新宋体" w:cs="Times New Roman"/>
          <w:color w:val="auto"/>
          <w:szCs w:val="24"/>
          <w:lang w:eastAsia="zh-CN"/>
        </w:rPr>
      </w:pPr>
      <w:r>
        <w:rPr>
          <w:rFonts w:ascii="Times New Roman" w:hAnsi="Times New Roman" w:cs="Times New Roman"/>
          <w:snapToGrid/>
          <w:color w:val="auto"/>
          <w:lang w:eastAsia="zh-CN"/>
        </w:rPr>
        <w:drawing>
          <wp:inline distT="0" distB="0" distL="0" distR="0">
            <wp:extent cx="4793615" cy="3747135"/>
            <wp:effectExtent l="0" t="0" r="6985" b="5715"/>
            <wp:docPr id="112"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6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a:xfrm>
                      <a:off x="0" y="0"/>
                      <a:ext cx="4816676" cy="3765416"/>
                    </a:xfrm>
                    <a:prstGeom prst="rect">
                      <a:avLst/>
                    </a:prstGeom>
                    <a:noFill/>
                    <a:ln>
                      <a:noFill/>
                    </a:ln>
                  </pic:spPr>
                </pic:pic>
              </a:graphicData>
            </a:graphic>
          </wp:inline>
        </w:drawing>
      </w:r>
    </w:p>
    <w:p w14:paraId="658348BD">
      <w:pPr>
        <w:spacing w:line="360" w:lineRule="auto"/>
        <w:jc w:val="center"/>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图6.4-2 区域综合水文地质图</w:t>
      </w:r>
    </w:p>
    <w:p w14:paraId="788A74B7">
      <w:pPr>
        <w:widowControl w:val="0"/>
        <w:spacing w:line="360" w:lineRule="auto"/>
        <w:ind w:left="480"/>
        <w:jc w:val="both"/>
        <w:rPr>
          <w:rFonts w:ascii="Times New Roman" w:hAnsi="Times New Roman" w:eastAsia="新宋体" w:cs="Times New Roman"/>
          <w:color w:val="auto"/>
          <w:szCs w:val="24"/>
          <w:lang w:eastAsia="zh-CN"/>
        </w:rPr>
      </w:pPr>
      <w:r>
        <w:rPr>
          <w:rFonts w:hint="eastAsia" w:ascii="Times New Roman" w:hAnsi="Times New Roman" w:eastAsia="新宋体" w:cs="Times New Roman"/>
          <w:color w:val="auto"/>
          <w:szCs w:val="24"/>
          <w:lang w:eastAsia="zh-CN"/>
        </w:rPr>
        <w:t>2、</w:t>
      </w:r>
      <w:r>
        <w:rPr>
          <w:rFonts w:ascii="Times New Roman" w:hAnsi="Times New Roman" w:eastAsia="新宋体" w:cs="Times New Roman"/>
          <w:color w:val="auto"/>
          <w:szCs w:val="24"/>
          <w:lang w:eastAsia="zh-CN"/>
        </w:rPr>
        <w:t>含水层分布</w:t>
      </w:r>
    </w:p>
    <w:p w14:paraId="17017978">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根据地下水的赋存条件、水力性质及地层岩性组合特征，评价区地下水类型可划分为松散层类孔隙水，按含水层的渗透性可进一步划分为一个弱透水层，一个含水层和两个隔水层，具体描述如下：</w:t>
      </w:r>
    </w:p>
    <w:p w14:paraId="6099425B">
      <w:pPr>
        <w:widowControl w:val="0"/>
        <w:spacing w:line="360" w:lineRule="auto"/>
        <w:ind w:left="480"/>
        <w:jc w:val="both"/>
        <w:rPr>
          <w:rFonts w:ascii="Times New Roman" w:hAnsi="Times New Roman" w:eastAsia="新宋体" w:cs="Times New Roman"/>
          <w:color w:val="auto"/>
          <w:szCs w:val="24"/>
          <w:lang w:eastAsia="zh-CN"/>
        </w:rPr>
      </w:pPr>
      <w:r>
        <w:rPr>
          <w:rFonts w:hint="eastAsia" w:ascii="Times New Roman" w:hAnsi="Times New Roman" w:eastAsia="新宋体" w:cs="Times New Roman"/>
          <w:color w:val="auto"/>
          <w:szCs w:val="24"/>
          <w:lang w:eastAsia="zh-CN"/>
        </w:rPr>
        <w:t>（1）</w:t>
      </w:r>
      <w:r>
        <w:rPr>
          <w:rFonts w:ascii="Times New Roman" w:hAnsi="Times New Roman" w:eastAsia="新宋体" w:cs="Times New Roman"/>
          <w:color w:val="auto"/>
          <w:szCs w:val="24"/>
          <w:lang w:eastAsia="zh-CN"/>
        </w:rPr>
        <w:t>第一弱透水层</w:t>
      </w:r>
    </w:p>
    <w:p w14:paraId="7293995D">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该层主要由第四系上更新统粘土、粉质粘土、粘土夹砂和薄层粉细砂组成。底板埋深15-20.0m，调查枯水期（12月）水位埋深0.40～2.5m左右，地下水水位年变幅约1.00m，该含水层单井涌水量&lt;100m</w:t>
      </w:r>
      <w:r>
        <w:rPr>
          <w:rFonts w:ascii="Times New Roman" w:hAnsi="Times New Roman" w:eastAsia="新宋体" w:cs="Times New Roman"/>
          <w:color w:val="auto"/>
          <w:szCs w:val="24"/>
          <w:vertAlign w:val="superscript"/>
          <w:lang w:eastAsia="zh-CN"/>
        </w:rPr>
        <w:t>3</w:t>
      </w:r>
      <w:r>
        <w:rPr>
          <w:rFonts w:ascii="Times New Roman" w:hAnsi="Times New Roman" w:eastAsia="新宋体" w:cs="Times New Roman"/>
          <w:color w:val="auto"/>
          <w:szCs w:val="24"/>
          <w:lang w:eastAsia="zh-CN"/>
        </w:rPr>
        <w:t>，根据现场取样、室内测试结果，该层平均渗透系数为3.82×10</w:t>
      </w:r>
      <w:r>
        <w:rPr>
          <w:rFonts w:ascii="Times New Roman" w:hAnsi="Times New Roman" w:eastAsia="新宋体" w:cs="Times New Roman"/>
          <w:color w:val="auto"/>
          <w:szCs w:val="24"/>
          <w:vertAlign w:val="superscript"/>
          <w:lang w:eastAsia="zh-CN"/>
        </w:rPr>
        <w:t>-5</w:t>
      </w:r>
      <w:r>
        <w:rPr>
          <w:rFonts w:ascii="Times New Roman" w:hAnsi="Times New Roman" w:eastAsia="新宋体" w:cs="Times New Roman"/>
          <w:color w:val="auto"/>
          <w:szCs w:val="24"/>
          <w:lang w:eastAsia="zh-CN"/>
        </w:rPr>
        <w:t>cm/s，地下水水力特征为潜水。地下水化学类型为HCO</w:t>
      </w:r>
      <w:r>
        <w:rPr>
          <w:rFonts w:ascii="Times New Roman" w:hAnsi="Times New Roman" w:eastAsia="新宋体" w:cs="Times New Roman"/>
          <w:color w:val="auto"/>
          <w:szCs w:val="24"/>
          <w:vertAlign w:val="subscript"/>
          <w:lang w:eastAsia="zh-CN"/>
        </w:rPr>
        <w:t>3</w:t>
      </w:r>
      <w:r>
        <w:rPr>
          <w:rFonts w:ascii="Times New Roman" w:hAnsi="Times New Roman" w:eastAsia="新宋体" w:cs="Times New Roman"/>
          <w:color w:val="auto"/>
          <w:szCs w:val="24"/>
          <w:lang w:eastAsia="zh-CN"/>
        </w:rPr>
        <w:t>-Ca·Mg 型或HCO</w:t>
      </w:r>
      <w:r>
        <w:rPr>
          <w:rFonts w:ascii="Times New Roman" w:hAnsi="Times New Roman" w:eastAsia="新宋体" w:cs="Times New Roman"/>
          <w:color w:val="auto"/>
          <w:szCs w:val="24"/>
          <w:vertAlign w:val="subscript"/>
          <w:lang w:eastAsia="zh-CN"/>
        </w:rPr>
        <w:t>3</w:t>
      </w:r>
      <w:r>
        <w:rPr>
          <w:rFonts w:ascii="Times New Roman" w:hAnsi="Times New Roman" w:eastAsia="新宋体" w:cs="Times New Roman"/>
          <w:color w:val="auto"/>
          <w:szCs w:val="24"/>
          <w:lang w:eastAsia="zh-CN"/>
        </w:rPr>
        <w:t>-Ca• Na 型水，溶解性总固体小于1.0g/l。</w:t>
      </w:r>
    </w:p>
    <w:p w14:paraId="236F6BBD">
      <w:pPr>
        <w:widowControl w:val="0"/>
        <w:spacing w:line="360" w:lineRule="auto"/>
        <w:ind w:left="480"/>
        <w:jc w:val="both"/>
        <w:rPr>
          <w:rFonts w:ascii="Times New Roman" w:hAnsi="Times New Roman" w:eastAsia="新宋体" w:cs="Times New Roman"/>
          <w:color w:val="auto"/>
          <w:szCs w:val="24"/>
          <w:lang w:eastAsia="zh-CN"/>
        </w:rPr>
      </w:pPr>
      <w:r>
        <w:rPr>
          <w:rFonts w:hint="eastAsia" w:ascii="Times New Roman" w:hAnsi="Times New Roman" w:eastAsia="新宋体" w:cs="Times New Roman"/>
          <w:color w:val="auto"/>
          <w:szCs w:val="24"/>
          <w:lang w:eastAsia="zh-CN"/>
        </w:rPr>
        <w:t>（2）</w:t>
      </w:r>
      <w:r>
        <w:rPr>
          <w:rFonts w:ascii="Times New Roman" w:hAnsi="Times New Roman" w:eastAsia="新宋体" w:cs="Times New Roman"/>
          <w:color w:val="auto"/>
          <w:szCs w:val="24"/>
          <w:lang w:eastAsia="zh-CN"/>
        </w:rPr>
        <w:t>第一隔水层</w:t>
      </w:r>
    </w:p>
    <w:p w14:paraId="0484FB52">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该层主要由上更新统粘土组成，底板埋深在20.0～25.0m之间，厚度一般为2.0～5.0m，根据现场钻探取样、室内测试结果，该层平均渗透系数为7.42×10</w:t>
      </w:r>
      <w:r>
        <w:rPr>
          <w:rFonts w:ascii="Times New Roman" w:hAnsi="Times New Roman" w:eastAsia="新宋体" w:cs="Times New Roman"/>
          <w:color w:val="auto"/>
          <w:szCs w:val="24"/>
          <w:vertAlign w:val="superscript"/>
          <w:lang w:eastAsia="zh-CN"/>
        </w:rPr>
        <w:t>-6</w:t>
      </w:r>
      <w:r>
        <w:rPr>
          <w:rFonts w:ascii="Times New Roman" w:hAnsi="Times New Roman" w:eastAsia="新宋体" w:cs="Times New Roman"/>
          <w:color w:val="auto"/>
          <w:szCs w:val="24"/>
          <w:lang w:eastAsia="zh-CN"/>
        </w:rPr>
        <w:t>cm/s。</w:t>
      </w:r>
    </w:p>
    <w:p w14:paraId="7CAA1B1A">
      <w:pPr>
        <w:widowControl w:val="0"/>
        <w:spacing w:line="360" w:lineRule="auto"/>
        <w:ind w:left="480"/>
        <w:jc w:val="both"/>
        <w:rPr>
          <w:rFonts w:ascii="Times New Roman" w:hAnsi="Times New Roman" w:eastAsia="新宋体" w:cs="Times New Roman"/>
          <w:color w:val="auto"/>
          <w:szCs w:val="24"/>
          <w:lang w:eastAsia="zh-CN"/>
        </w:rPr>
      </w:pPr>
      <w:r>
        <w:rPr>
          <w:rFonts w:hint="eastAsia" w:ascii="Times New Roman" w:hAnsi="Times New Roman" w:eastAsia="新宋体" w:cs="Times New Roman"/>
          <w:color w:val="auto"/>
          <w:szCs w:val="24"/>
          <w:lang w:eastAsia="zh-CN"/>
        </w:rPr>
        <w:t>（3）</w:t>
      </w:r>
      <w:r>
        <w:rPr>
          <w:rFonts w:ascii="Times New Roman" w:hAnsi="Times New Roman" w:eastAsia="新宋体" w:cs="Times New Roman"/>
          <w:color w:val="auto"/>
          <w:szCs w:val="24"/>
          <w:lang w:eastAsia="zh-CN"/>
        </w:rPr>
        <w:t>第一含水层</w:t>
      </w:r>
    </w:p>
    <w:p w14:paraId="24DEBBFE">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该层主要由上更新统粉细砂-中砂、粘土夹砂组成，底板埋深&lt;35m，层厚7.5～10.0m，调查枯水期水位埋深一般0.4～3.0m，丰水期水位埋深0.33～2.5m；根据现场抽水试验，单井涌水量为505m</w:t>
      </w:r>
      <w:r>
        <w:rPr>
          <w:rFonts w:ascii="Times New Roman" w:hAnsi="Times New Roman" w:eastAsia="新宋体" w:cs="Times New Roman"/>
          <w:color w:val="auto"/>
          <w:szCs w:val="24"/>
          <w:vertAlign w:val="superscript"/>
          <w:lang w:eastAsia="zh-CN"/>
        </w:rPr>
        <w:t>3</w:t>
      </w:r>
      <w:r>
        <w:rPr>
          <w:rFonts w:ascii="Times New Roman" w:hAnsi="Times New Roman" w:eastAsia="新宋体" w:cs="Times New Roman"/>
          <w:color w:val="auto"/>
          <w:szCs w:val="24"/>
          <w:lang w:eastAsia="zh-CN"/>
        </w:rPr>
        <w:t>/d，平均渗透系数为2.23×10</w:t>
      </w:r>
      <w:r>
        <w:rPr>
          <w:rFonts w:ascii="Times New Roman" w:hAnsi="Times New Roman" w:eastAsia="新宋体" w:cs="Times New Roman"/>
          <w:color w:val="auto"/>
          <w:szCs w:val="24"/>
          <w:vertAlign w:val="superscript"/>
          <w:lang w:eastAsia="zh-CN"/>
        </w:rPr>
        <w:t>-3</w:t>
      </w:r>
      <w:r>
        <w:rPr>
          <w:rFonts w:ascii="Times New Roman" w:hAnsi="Times New Roman" w:eastAsia="新宋体" w:cs="Times New Roman"/>
          <w:color w:val="auto"/>
          <w:szCs w:val="24"/>
          <w:lang w:eastAsia="zh-CN"/>
        </w:rPr>
        <w:t>cm/s，地下水水力特征为承压水，地下水化学类型以HCO</w:t>
      </w:r>
      <w:r>
        <w:rPr>
          <w:rFonts w:ascii="Times New Roman" w:hAnsi="Times New Roman" w:eastAsia="新宋体" w:cs="Times New Roman"/>
          <w:color w:val="auto"/>
          <w:szCs w:val="24"/>
          <w:vertAlign w:val="subscript"/>
          <w:lang w:eastAsia="zh-CN"/>
        </w:rPr>
        <w:t>3</w:t>
      </w:r>
      <w:r>
        <w:rPr>
          <w:rFonts w:ascii="Times New Roman" w:hAnsi="Times New Roman" w:eastAsia="新宋体" w:cs="Times New Roman"/>
          <w:color w:val="auto"/>
          <w:szCs w:val="24"/>
          <w:lang w:eastAsia="zh-CN"/>
        </w:rPr>
        <w:t>-Ca型为主，溶解性总固体一般小于1.0g/</w:t>
      </w:r>
      <w:r>
        <w:rPr>
          <w:rFonts w:hint="eastAsia" w:ascii="Times New Roman" w:hAnsi="Times New Roman" w:eastAsia="新宋体" w:cs="Times New Roman"/>
          <w:color w:val="auto"/>
          <w:szCs w:val="24"/>
          <w:lang w:eastAsia="zh-CN"/>
        </w:rPr>
        <w:t>L</w:t>
      </w:r>
      <w:r>
        <w:rPr>
          <w:rFonts w:ascii="Times New Roman" w:hAnsi="Times New Roman" w:eastAsia="新宋体" w:cs="Times New Roman"/>
          <w:color w:val="auto"/>
          <w:szCs w:val="24"/>
          <w:lang w:eastAsia="zh-CN"/>
        </w:rPr>
        <w:t>。</w:t>
      </w:r>
    </w:p>
    <w:p w14:paraId="0FDEC961">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（4）第二隔水层</w:t>
      </w:r>
    </w:p>
    <w:p w14:paraId="70E05A5D">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该层主要由中更新统粘土层组成，厚度一般大于10m，根据现场钻探取样、室内测试结果，该层平均渗透系数为5.80×10</w:t>
      </w:r>
      <w:r>
        <w:rPr>
          <w:rFonts w:ascii="Times New Roman" w:hAnsi="Times New Roman" w:eastAsia="新宋体" w:cs="Times New Roman"/>
          <w:color w:val="auto"/>
          <w:szCs w:val="24"/>
          <w:vertAlign w:val="superscript"/>
          <w:lang w:eastAsia="zh-CN"/>
        </w:rPr>
        <w:t>-7</w:t>
      </w:r>
      <w:r>
        <w:rPr>
          <w:rFonts w:ascii="Times New Roman" w:hAnsi="Times New Roman" w:eastAsia="新宋体" w:cs="Times New Roman"/>
          <w:color w:val="auto"/>
          <w:szCs w:val="24"/>
          <w:lang w:eastAsia="zh-CN"/>
        </w:rPr>
        <w:t xml:space="preserve"> cm/s。</w:t>
      </w:r>
    </w:p>
    <w:p w14:paraId="69F7909A">
      <w:pPr>
        <w:widowControl w:val="0"/>
        <w:spacing w:line="360" w:lineRule="auto"/>
        <w:ind w:firstLine="482"/>
        <w:jc w:val="both"/>
        <w:outlineLvl w:val="3"/>
        <w:rPr>
          <w:rFonts w:ascii="Times New Roman" w:hAnsi="Times New Roman" w:eastAsia="新宋体" w:cs="Times New Roman"/>
          <w:color w:val="auto"/>
          <w:szCs w:val="24"/>
          <w:lang w:eastAsia="zh-CN"/>
        </w:rPr>
      </w:pPr>
      <w:r>
        <w:rPr>
          <w:rFonts w:ascii="Times New Roman" w:hAnsi="Times New Roman" w:eastAsia="新宋体" w:cs="Times New Roman"/>
          <w:b/>
          <w:bCs/>
          <w:color w:val="auto"/>
          <w:szCs w:val="24"/>
          <w:lang w:eastAsia="zh-CN"/>
        </w:rPr>
        <w:t>6.5.2.2 各含水层之间的水力联系</w:t>
      </w:r>
    </w:p>
    <w:p w14:paraId="597356A9">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1、第一弱透水层与地表水体</w:t>
      </w:r>
    </w:p>
    <w:p w14:paraId="38D06EC2">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该弱透水层直接与地表水体接触，该层岩性为第四系上更新统粘土、粉细砂和粉土夹砂，具有弱透水性，使得第一弱透水层与上部地表水有一定的水力联系，根据监测，一般情况下，地下水补给地表水体，但在汛期洪峰时，出现地表水补给地下水。</w:t>
      </w:r>
    </w:p>
    <w:p w14:paraId="2F35C864">
      <w:pPr>
        <w:widowControl w:val="0"/>
        <w:spacing w:line="360" w:lineRule="auto"/>
        <w:ind w:left="480"/>
        <w:jc w:val="both"/>
        <w:rPr>
          <w:rFonts w:ascii="Times New Roman" w:hAnsi="Times New Roman" w:eastAsia="新宋体" w:cs="Times New Roman"/>
          <w:color w:val="auto"/>
          <w:szCs w:val="24"/>
          <w:lang w:eastAsia="zh-CN"/>
        </w:rPr>
      </w:pPr>
      <w:r>
        <w:rPr>
          <w:rFonts w:hint="eastAsia" w:ascii="Times New Roman" w:hAnsi="Times New Roman" w:eastAsia="新宋体" w:cs="Times New Roman"/>
          <w:color w:val="auto"/>
          <w:szCs w:val="24"/>
          <w:lang w:eastAsia="zh-CN"/>
        </w:rPr>
        <w:t>2、</w:t>
      </w:r>
      <w:r>
        <w:rPr>
          <w:rFonts w:ascii="Times New Roman" w:hAnsi="Times New Roman" w:eastAsia="新宋体" w:cs="Times New Roman"/>
          <w:color w:val="auto"/>
          <w:szCs w:val="24"/>
          <w:lang w:eastAsia="zh-CN"/>
        </w:rPr>
        <w:t>第一含水层与地表水体和第一弱透水层</w:t>
      </w:r>
    </w:p>
    <w:p w14:paraId="3D557BD8">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该含水层上部有第一隔水层存在，岩性为为上更新统的粘土，分布稳定，并且未发育“天窗”，有一定的隔水性能，使得第一含水层与第一弱透水层无水力联系，且区内河流和水塘均未切至第一含水层，使得第一含水层与上部地表水体无水力联系。</w:t>
      </w:r>
    </w:p>
    <w:p w14:paraId="137CED4E">
      <w:pPr>
        <w:widowControl w:val="0"/>
        <w:spacing w:line="360" w:lineRule="auto"/>
        <w:ind w:firstLine="482"/>
        <w:jc w:val="both"/>
        <w:outlineLvl w:val="3"/>
        <w:rPr>
          <w:rFonts w:ascii="Times New Roman" w:hAnsi="Times New Roman" w:eastAsia="新宋体" w:cs="Times New Roman"/>
          <w:color w:val="auto"/>
          <w:szCs w:val="24"/>
          <w:lang w:eastAsia="zh-CN"/>
        </w:rPr>
      </w:pPr>
      <w:r>
        <w:rPr>
          <w:rFonts w:ascii="Times New Roman" w:hAnsi="Times New Roman" w:eastAsia="新宋体" w:cs="Times New Roman"/>
          <w:b/>
          <w:bCs/>
          <w:color w:val="auto"/>
          <w:szCs w:val="24"/>
          <w:lang w:eastAsia="zh-CN"/>
        </w:rPr>
        <w:t>6.5.2.3 区域地下水与地表水之间水力联系</w:t>
      </w:r>
    </w:p>
    <w:p w14:paraId="3AA88907">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1、浅层松散层类孔隙水与地表水体</w:t>
      </w:r>
    </w:p>
    <w:p w14:paraId="6E9D9427">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浅层松散层类孔隙水与地表水体直接接触，地下水主要赋存在第四系粉细砂-中砂，具有透水性，使得松散层类孔隙水与上部地表水有一定的水力联系，根据监测，一般情况下，地下水补给地表水体，但在汛期洪峰时，出现地表水补给地下水。</w:t>
      </w:r>
    </w:p>
    <w:p w14:paraId="2E49885E">
      <w:pPr>
        <w:widowControl w:val="0"/>
        <w:spacing w:line="360" w:lineRule="auto"/>
        <w:ind w:left="480"/>
        <w:jc w:val="both"/>
        <w:rPr>
          <w:rFonts w:ascii="Times New Roman" w:hAnsi="Times New Roman" w:eastAsia="新宋体" w:cs="Times New Roman"/>
          <w:color w:val="auto"/>
          <w:szCs w:val="24"/>
          <w:lang w:eastAsia="zh-CN"/>
        </w:rPr>
      </w:pPr>
      <w:r>
        <w:rPr>
          <w:rFonts w:hint="eastAsia" w:ascii="Times New Roman" w:hAnsi="Times New Roman" w:eastAsia="新宋体" w:cs="Times New Roman"/>
          <w:color w:val="auto"/>
          <w:szCs w:val="24"/>
          <w:lang w:eastAsia="zh-CN"/>
        </w:rPr>
        <w:t>2、</w:t>
      </w:r>
      <w:r>
        <w:rPr>
          <w:rFonts w:ascii="Times New Roman" w:hAnsi="Times New Roman" w:eastAsia="新宋体" w:cs="Times New Roman"/>
          <w:color w:val="auto"/>
          <w:szCs w:val="24"/>
          <w:lang w:eastAsia="zh-CN"/>
        </w:rPr>
        <w:t>深层松散层类孔隙水与地表水体</w:t>
      </w:r>
    </w:p>
    <w:p w14:paraId="56013CB6">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深层松散层类孔隙水上覆浅层松散层类孔隙水，浅层松散层类孔隙水岩性主要为第四系粘土、粉土夹砂和粉细砂，具有透水性，使得深层松散层类孔隙水与上部地表水有一定的水力联系，但联系不密切。</w:t>
      </w:r>
    </w:p>
    <w:p w14:paraId="088305A9">
      <w:pPr>
        <w:widowControl w:val="0"/>
        <w:spacing w:line="360" w:lineRule="auto"/>
        <w:ind w:left="480"/>
        <w:jc w:val="both"/>
        <w:rPr>
          <w:rFonts w:ascii="Times New Roman" w:hAnsi="Times New Roman" w:eastAsia="新宋体" w:cs="Times New Roman"/>
          <w:color w:val="auto"/>
          <w:szCs w:val="24"/>
          <w:lang w:eastAsia="zh-CN"/>
        </w:rPr>
      </w:pPr>
      <w:r>
        <w:rPr>
          <w:rFonts w:hint="eastAsia" w:ascii="Times New Roman" w:hAnsi="Times New Roman" w:eastAsia="新宋体" w:cs="Times New Roman"/>
          <w:color w:val="auto"/>
          <w:szCs w:val="24"/>
          <w:lang w:eastAsia="zh-CN"/>
        </w:rPr>
        <w:t>3、</w:t>
      </w:r>
      <w:r>
        <w:rPr>
          <w:rFonts w:ascii="Times New Roman" w:hAnsi="Times New Roman" w:eastAsia="新宋体" w:cs="Times New Roman"/>
          <w:color w:val="auto"/>
          <w:szCs w:val="24"/>
          <w:lang w:eastAsia="zh-CN"/>
        </w:rPr>
        <w:t>基岩裂隙水与地表水体</w:t>
      </w:r>
    </w:p>
    <w:p w14:paraId="257CDB52">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在岩石裸露区，基岩裂隙水与地表水体直接接触，地下水主要赋存在蚌埠期混合二长花岗岩的节理裂隙中，具有弱透水性，使得基岩裂隙水与上部地表水有一定的水力联系。</w:t>
      </w:r>
    </w:p>
    <w:p w14:paraId="41F691BC">
      <w:pPr>
        <w:widowControl w:val="0"/>
        <w:spacing w:line="360" w:lineRule="auto"/>
        <w:ind w:firstLine="482"/>
        <w:jc w:val="both"/>
        <w:outlineLvl w:val="3"/>
        <w:rPr>
          <w:rFonts w:ascii="Times New Roman" w:hAnsi="Times New Roman" w:eastAsia="新宋体" w:cs="Times New Roman"/>
          <w:color w:val="auto"/>
          <w:szCs w:val="24"/>
          <w:lang w:eastAsia="zh-CN"/>
        </w:rPr>
      </w:pPr>
      <w:r>
        <w:rPr>
          <w:rFonts w:ascii="Times New Roman" w:hAnsi="Times New Roman" w:eastAsia="新宋体" w:cs="Times New Roman"/>
          <w:b/>
          <w:bCs/>
          <w:color w:val="auto"/>
          <w:szCs w:val="24"/>
          <w:lang w:eastAsia="zh-CN"/>
        </w:rPr>
        <w:t>6.5.2.4 地下水开发利用现状</w:t>
      </w:r>
    </w:p>
    <w:p w14:paraId="2B41B4F0">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根据《2022年蚌埠市水资源公报》，本项目位于蚌洪区间北岸，其总供水量为8.75亿m</w:t>
      </w:r>
      <w:r>
        <w:rPr>
          <w:rFonts w:ascii="Times New Roman" w:hAnsi="Times New Roman" w:eastAsia="新宋体" w:cs="Times New Roman"/>
          <w:color w:val="auto"/>
          <w:szCs w:val="24"/>
          <w:vertAlign w:val="superscript"/>
          <w:lang w:eastAsia="zh-CN"/>
        </w:rPr>
        <w:t>3</w:t>
      </w:r>
      <w:r>
        <w:rPr>
          <w:rFonts w:ascii="Times New Roman" w:hAnsi="Times New Roman" w:eastAsia="新宋体" w:cs="Times New Roman"/>
          <w:color w:val="auto"/>
          <w:szCs w:val="24"/>
          <w:lang w:eastAsia="zh-CN"/>
        </w:rPr>
        <w:t>（其中地表水源供水量7.13亿m</w:t>
      </w:r>
      <w:r>
        <w:rPr>
          <w:rFonts w:ascii="Times New Roman" w:hAnsi="Times New Roman" w:eastAsia="新宋体" w:cs="Times New Roman"/>
          <w:color w:val="auto"/>
          <w:szCs w:val="24"/>
          <w:vertAlign w:val="superscript"/>
          <w:lang w:eastAsia="zh-CN"/>
        </w:rPr>
        <w:t>3</w:t>
      </w:r>
      <w:r>
        <w:rPr>
          <w:rFonts w:ascii="Times New Roman" w:hAnsi="Times New Roman" w:eastAsia="新宋体" w:cs="Times New Roman"/>
          <w:color w:val="auto"/>
          <w:szCs w:val="24"/>
          <w:lang w:eastAsia="zh-CN"/>
        </w:rPr>
        <w:t>、地下水源供水量为1.41亿m</w:t>
      </w:r>
      <w:r>
        <w:rPr>
          <w:rFonts w:ascii="Times New Roman" w:hAnsi="Times New Roman" w:eastAsia="新宋体" w:cs="Times New Roman"/>
          <w:color w:val="auto"/>
          <w:szCs w:val="24"/>
          <w:vertAlign w:val="superscript"/>
          <w:lang w:eastAsia="zh-CN"/>
        </w:rPr>
        <w:t>3</w:t>
      </w:r>
      <w:r>
        <w:rPr>
          <w:rFonts w:ascii="Times New Roman" w:hAnsi="Times New Roman" w:eastAsia="新宋体" w:cs="Times New Roman"/>
          <w:color w:val="auto"/>
          <w:szCs w:val="24"/>
          <w:lang w:eastAsia="zh-CN"/>
        </w:rPr>
        <w:t>、其他水源供水量为0.21亿m</w:t>
      </w:r>
      <w:r>
        <w:rPr>
          <w:rFonts w:ascii="Times New Roman" w:hAnsi="Times New Roman" w:eastAsia="新宋体" w:cs="Times New Roman"/>
          <w:color w:val="auto"/>
          <w:szCs w:val="24"/>
          <w:vertAlign w:val="superscript"/>
          <w:lang w:eastAsia="zh-CN"/>
        </w:rPr>
        <w:t>3</w:t>
      </w:r>
      <w:r>
        <w:rPr>
          <w:rFonts w:ascii="Times New Roman" w:hAnsi="Times New Roman" w:eastAsia="新宋体" w:cs="Times New Roman"/>
          <w:color w:val="auto"/>
          <w:szCs w:val="24"/>
          <w:lang w:eastAsia="zh-CN"/>
        </w:rPr>
        <w:t>），总用水量为8.75亿m</w:t>
      </w:r>
      <w:r>
        <w:rPr>
          <w:rFonts w:ascii="Times New Roman" w:hAnsi="Times New Roman" w:eastAsia="新宋体" w:cs="Times New Roman"/>
          <w:color w:val="auto"/>
          <w:szCs w:val="24"/>
          <w:vertAlign w:val="superscript"/>
          <w:lang w:eastAsia="zh-CN"/>
        </w:rPr>
        <w:t>3</w:t>
      </w:r>
      <w:r>
        <w:rPr>
          <w:rFonts w:ascii="Times New Roman" w:hAnsi="Times New Roman" w:eastAsia="新宋体" w:cs="Times New Roman"/>
          <w:color w:val="auto"/>
          <w:szCs w:val="24"/>
          <w:lang w:eastAsia="zh-CN"/>
        </w:rPr>
        <w:t>（其中农田灌溉6.01亿m</w:t>
      </w:r>
      <w:r>
        <w:rPr>
          <w:rFonts w:ascii="Times New Roman" w:hAnsi="Times New Roman" w:eastAsia="新宋体" w:cs="Times New Roman"/>
          <w:color w:val="auto"/>
          <w:szCs w:val="24"/>
          <w:vertAlign w:val="superscript"/>
          <w:lang w:eastAsia="zh-CN"/>
        </w:rPr>
        <w:t>3</w:t>
      </w:r>
      <w:r>
        <w:rPr>
          <w:rFonts w:ascii="Times New Roman" w:hAnsi="Times New Roman" w:eastAsia="新宋体" w:cs="Times New Roman"/>
          <w:color w:val="auto"/>
          <w:szCs w:val="24"/>
          <w:lang w:eastAsia="zh-CN"/>
        </w:rPr>
        <w:t>、林牧渔畜0.99亿m</w:t>
      </w:r>
      <w:r>
        <w:rPr>
          <w:rFonts w:ascii="Times New Roman" w:hAnsi="Times New Roman" w:eastAsia="新宋体" w:cs="Times New Roman"/>
          <w:color w:val="auto"/>
          <w:szCs w:val="24"/>
          <w:vertAlign w:val="superscript"/>
          <w:lang w:eastAsia="zh-CN"/>
        </w:rPr>
        <w:t>3</w:t>
      </w:r>
      <w:r>
        <w:rPr>
          <w:rFonts w:ascii="Times New Roman" w:hAnsi="Times New Roman" w:eastAsia="新宋体" w:cs="Times New Roman"/>
          <w:color w:val="auto"/>
          <w:szCs w:val="24"/>
          <w:lang w:eastAsia="zh-CN"/>
        </w:rPr>
        <w:t>、工业0.49亿m</w:t>
      </w:r>
      <w:r>
        <w:rPr>
          <w:rFonts w:ascii="Times New Roman" w:hAnsi="Times New Roman" w:eastAsia="新宋体" w:cs="Times New Roman"/>
          <w:color w:val="auto"/>
          <w:szCs w:val="24"/>
          <w:vertAlign w:val="superscript"/>
          <w:lang w:eastAsia="zh-CN"/>
        </w:rPr>
        <w:t>3</w:t>
      </w:r>
      <w:r>
        <w:rPr>
          <w:rFonts w:ascii="Times New Roman" w:hAnsi="Times New Roman" w:eastAsia="新宋体" w:cs="Times New Roman"/>
          <w:color w:val="auto"/>
          <w:szCs w:val="24"/>
          <w:lang w:eastAsia="zh-CN"/>
        </w:rPr>
        <w:t>、城镇公用0.18亿m</w:t>
      </w:r>
      <w:r>
        <w:rPr>
          <w:rFonts w:ascii="Times New Roman" w:hAnsi="Times New Roman" w:eastAsia="新宋体" w:cs="Times New Roman"/>
          <w:color w:val="auto"/>
          <w:szCs w:val="24"/>
          <w:vertAlign w:val="superscript"/>
          <w:lang w:eastAsia="zh-CN"/>
        </w:rPr>
        <w:t>3</w:t>
      </w:r>
      <w:r>
        <w:rPr>
          <w:rFonts w:ascii="Times New Roman" w:hAnsi="Times New Roman" w:eastAsia="新宋体" w:cs="Times New Roman"/>
          <w:color w:val="auto"/>
          <w:szCs w:val="24"/>
          <w:lang w:eastAsia="zh-CN"/>
        </w:rPr>
        <w:t>、居民生活0.73亿m</w:t>
      </w:r>
      <w:r>
        <w:rPr>
          <w:rFonts w:ascii="Times New Roman" w:hAnsi="Times New Roman" w:eastAsia="新宋体" w:cs="Times New Roman"/>
          <w:color w:val="auto"/>
          <w:szCs w:val="24"/>
          <w:vertAlign w:val="superscript"/>
          <w:lang w:eastAsia="zh-CN"/>
        </w:rPr>
        <w:t>3</w:t>
      </w:r>
      <w:r>
        <w:rPr>
          <w:rFonts w:ascii="Times New Roman" w:hAnsi="Times New Roman" w:eastAsia="新宋体" w:cs="Times New Roman"/>
          <w:color w:val="auto"/>
          <w:szCs w:val="24"/>
          <w:lang w:eastAsia="zh-CN"/>
        </w:rPr>
        <w:t>、生态环境0.35亿m</w:t>
      </w:r>
      <w:r>
        <w:rPr>
          <w:rFonts w:ascii="Times New Roman" w:hAnsi="Times New Roman" w:eastAsia="新宋体" w:cs="Times New Roman"/>
          <w:color w:val="auto"/>
          <w:szCs w:val="24"/>
          <w:vertAlign w:val="superscript"/>
          <w:lang w:eastAsia="zh-CN"/>
        </w:rPr>
        <w:t>3</w:t>
      </w:r>
      <w:r>
        <w:rPr>
          <w:rFonts w:ascii="Times New Roman" w:hAnsi="Times New Roman" w:eastAsia="新宋体" w:cs="Times New Roman"/>
          <w:color w:val="auto"/>
          <w:szCs w:val="24"/>
          <w:lang w:eastAsia="zh-CN"/>
        </w:rPr>
        <w:t>）。</w:t>
      </w:r>
    </w:p>
    <w:p w14:paraId="12C71449">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通过现场调查和访问，评价范围内的各企事业单位与周边居民的生产、生活用水均来自地表水体，区域几乎不开采地下水，仅剩部分村庄的民用井（不具备饮用、生活功能）未拆除。</w:t>
      </w:r>
    </w:p>
    <w:p w14:paraId="7A61F7BA">
      <w:pPr>
        <w:widowControl w:val="0"/>
        <w:spacing w:line="360" w:lineRule="auto"/>
        <w:ind w:firstLine="482"/>
        <w:jc w:val="both"/>
        <w:outlineLvl w:val="3"/>
        <w:rPr>
          <w:rFonts w:ascii="Times New Roman" w:hAnsi="Times New Roman" w:eastAsia="新宋体" w:cs="Times New Roman"/>
          <w:color w:val="auto"/>
          <w:szCs w:val="24"/>
          <w:lang w:eastAsia="zh-CN"/>
        </w:rPr>
      </w:pPr>
      <w:r>
        <w:rPr>
          <w:rFonts w:ascii="Times New Roman" w:hAnsi="Times New Roman" w:eastAsia="新宋体" w:cs="Times New Roman"/>
          <w:b/>
          <w:bCs/>
          <w:color w:val="auto"/>
          <w:szCs w:val="24"/>
          <w:lang w:eastAsia="zh-CN"/>
        </w:rPr>
        <w:t>6.5.2.5 包气带防污性能分析</w:t>
      </w:r>
    </w:p>
    <w:p w14:paraId="1B699827">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包气带防污能力根据园区扩区规划环评勘察资料，项目区含水层主要是由第四系上更新统层杂填土与粉质粘土夹砾与粉土所组成，赋存潜水、局部具有弱承压性质；该套含水层之上，覆盖有第四系上更新统和全新统粉质粘土、粘土层，该套弱透水层构成建设项目场地包气带层。</w:t>
      </w:r>
    </w:p>
    <w:p w14:paraId="3CFED421">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建设项目区域位于第四系上更新统和全新统层粉质粘土、粉土，揭露层厚大于30m，场地包气带岩层单层厚度Mb≥1m，且分布连续稳定；根据场地内的渗水试验结果，该层渗透垂向渗透系数为2.5×10</w:t>
      </w:r>
      <w:r>
        <w:rPr>
          <w:rFonts w:ascii="Times New Roman" w:hAnsi="Times New Roman" w:eastAsia="新宋体" w:cs="Times New Roman"/>
          <w:color w:val="auto"/>
          <w:szCs w:val="24"/>
          <w:vertAlign w:val="superscript"/>
          <w:lang w:eastAsia="zh-CN"/>
        </w:rPr>
        <w:t>-5</w:t>
      </w:r>
      <w:r>
        <w:rPr>
          <w:rFonts w:hint="eastAsia" w:ascii="Times New Roman" w:hAnsi="Times New Roman" w:eastAsia="新宋体" w:cs="Times New Roman"/>
          <w:color w:val="auto"/>
          <w:szCs w:val="24"/>
          <w:lang w:eastAsia="zh-CN"/>
        </w:rPr>
        <w:t>～</w:t>
      </w:r>
      <w:r>
        <w:rPr>
          <w:rFonts w:ascii="Times New Roman" w:hAnsi="Times New Roman" w:eastAsia="新宋体" w:cs="Times New Roman"/>
          <w:color w:val="auto"/>
          <w:szCs w:val="24"/>
          <w:lang w:eastAsia="zh-CN"/>
        </w:rPr>
        <w:t>3.33×10</w:t>
      </w:r>
      <w:r>
        <w:rPr>
          <w:rFonts w:ascii="Times New Roman" w:hAnsi="Times New Roman" w:eastAsia="新宋体" w:cs="Times New Roman"/>
          <w:color w:val="auto"/>
          <w:szCs w:val="24"/>
          <w:vertAlign w:val="superscript"/>
          <w:lang w:eastAsia="zh-CN"/>
        </w:rPr>
        <w:t>-5</w:t>
      </w:r>
      <w:r>
        <w:rPr>
          <w:rFonts w:ascii="Times New Roman" w:hAnsi="Times New Roman" w:eastAsia="新宋体" w:cs="Times New Roman"/>
          <w:color w:val="auto"/>
          <w:szCs w:val="24"/>
          <w:lang w:eastAsia="zh-CN"/>
        </w:rPr>
        <w:t>cm/s，即为10</w:t>
      </w:r>
      <w:r>
        <w:rPr>
          <w:rFonts w:ascii="Times New Roman" w:hAnsi="Times New Roman" w:eastAsia="新宋体" w:cs="Times New Roman"/>
          <w:color w:val="auto"/>
          <w:szCs w:val="24"/>
          <w:vertAlign w:val="superscript"/>
          <w:lang w:eastAsia="zh-CN"/>
        </w:rPr>
        <w:t>-6</w:t>
      </w:r>
      <w:r>
        <w:rPr>
          <w:rFonts w:ascii="Times New Roman" w:hAnsi="Times New Roman" w:eastAsia="新宋体" w:cs="Times New Roman"/>
          <w:color w:val="auto"/>
          <w:szCs w:val="24"/>
          <w:lang w:eastAsia="zh-CN"/>
        </w:rPr>
        <w:t>cm/s≤渗透系数≤10</w:t>
      </w:r>
      <w:r>
        <w:rPr>
          <w:rFonts w:ascii="Times New Roman" w:hAnsi="Times New Roman" w:eastAsia="新宋体" w:cs="Times New Roman"/>
          <w:color w:val="auto"/>
          <w:szCs w:val="24"/>
          <w:vertAlign w:val="superscript"/>
          <w:lang w:eastAsia="zh-CN"/>
        </w:rPr>
        <w:t>-4</w:t>
      </w:r>
      <w:r>
        <w:rPr>
          <w:rFonts w:ascii="Times New Roman" w:hAnsi="Times New Roman" w:eastAsia="新宋体" w:cs="Times New Roman"/>
          <w:color w:val="auto"/>
          <w:szCs w:val="24"/>
          <w:lang w:eastAsia="zh-CN"/>
        </w:rPr>
        <w:t>cm/s。</w:t>
      </w:r>
    </w:p>
    <w:p w14:paraId="171CC62A">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因此，确定评价区地下水包气带防污性能分级确定为“中”。</w:t>
      </w:r>
    </w:p>
    <w:p w14:paraId="5E628095">
      <w:pPr>
        <w:widowControl w:val="0"/>
        <w:spacing w:line="360" w:lineRule="auto"/>
        <w:ind w:firstLine="482"/>
        <w:jc w:val="both"/>
        <w:outlineLvl w:val="2"/>
        <w:rPr>
          <w:rFonts w:ascii="Times New Roman" w:hAnsi="Times New Roman" w:cs="Times New Roman"/>
          <w:color w:val="auto"/>
          <w:szCs w:val="24"/>
          <w:lang w:eastAsia="zh-CN"/>
        </w:rPr>
      </w:pPr>
      <w:bookmarkStart w:id="1642" w:name="_Toc176513060"/>
      <w:bookmarkStart w:id="1643" w:name="_Toc173740329"/>
      <w:bookmarkStart w:id="1644" w:name="_Toc237508344"/>
      <w:bookmarkStart w:id="1645" w:name="_Toc175164324"/>
      <w:bookmarkStart w:id="1646" w:name="_Toc178602400"/>
      <w:bookmarkStart w:id="1647" w:name="_Toc225784110"/>
      <w:bookmarkStart w:id="1648" w:name="_Toc236641362"/>
      <w:bookmarkStart w:id="1649" w:name="_Toc173743433"/>
      <w:bookmarkStart w:id="1650" w:name="_Toc221900891"/>
      <w:bookmarkStart w:id="1651" w:name="_Toc204448518"/>
      <w:bookmarkStart w:id="1652" w:name="_Toc236641879"/>
      <w:bookmarkStart w:id="1653" w:name="_Toc203927052"/>
      <w:bookmarkStart w:id="1654" w:name="_Toc223425109"/>
      <w:bookmarkStart w:id="1655" w:name="_Toc204515253"/>
      <w:bookmarkStart w:id="1656" w:name="_Toc224674749"/>
      <w:bookmarkStart w:id="1657" w:name="_Toc218784334"/>
      <w:bookmarkStart w:id="1658" w:name="_Toc231828631"/>
      <w:r>
        <w:rPr>
          <w:rFonts w:ascii="Times New Roman" w:hAnsi="Times New Roman" w:cs="Times New Roman"/>
          <w:b/>
          <w:bCs/>
          <w:color w:val="auto"/>
          <w:szCs w:val="24"/>
          <w:lang w:eastAsia="zh-CN"/>
        </w:rPr>
        <w:t>6.5.3 地下水环境影响分析</w:t>
      </w:r>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p>
    <w:p w14:paraId="03EBC02E">
      <w:pPr>
        <w:widowControl w:val="0"/>
        <w:spacing w:line="360" w:lineRule="auto"/>
        <w:ind w:firstLine="482"/>
        <w:jc w:val="both"/>
        <w:outlineLvl w:val="3"/>
        <w:rPr>
          <w:rFonts w:ascii="Times New Roman" w:hAnsi="Times New Roman" w:eastAsia="新宋体" w:cs="Times New Roman"/>
          <w:color w:val="auto"/>
          <w:szCs w:val="24"/>
          <w:lang w:eastAsia="zh-CN"/>
        </w:rPr>
      </w:pPr>
      <w:r>
        <w:rPr>
          <w:rFonts w:ascii="Times New Roman" w:hAnsi="Times New Roman" w:eastAsia="新宋体" w:cs="Times New Roman"/>
          <w:b/>
          <w:bCs/>
          <w:color w:val="auto"/>
          <w:szCs w:val="24"/>
          <w:lang w:eastAsia="zh-CN"/>
        </w:rPr>
        <w:t>6.5.3.1</w:t>
      </w:r>
      <w:r>
        <w:rPr>
          <w:rFonts w:hint="eastAsia" w:ascii="Times New Roman" w:hAnsi="Times New Roman" w:eastAsia="新宋体" w:cs="Times New Roman"/>
          <w:b/>
          <w:bCs/>
          <w:color w:val="auto"/>
          <w:szCs w:val="24"/>
          <w:lang w:eastAsia="zh-CN"/>
        </w:rPr>
        <w:t xml:space="preserve"> 预测范围</w:t>
      </w:r>
    </w:p>
    <w:p w14:paraId="06385558">
      <w:pPr>
        <w:widowControl w:val="0"/>
        <w:spacing w:line="360" w:lineRule="auto"/>
        <w:ind w:firstLine="472" w:firstLineChars="200"/>
        <w:jc w:val="both"/>
        <w:rPr>
          <w:rFonts w:ascii="Times New Roman" w:hAnsi="Times New Roman" w:cs="Times New Roman"/>
          <w:snapToGrid/>
          <w:color w:val="auto"/>
          <w:spacing w:val="-2"/>
          <w:szCs w:val="20"/>
          <w:lang w:eastAsia="zh-CN"/>
        </w:rPr>
      </w:pPr>
      <w:r>
        <w:rPr>
          <w:rFonts w:ascii="Times New Roman" w:hAnsi="Times New Roman" w:cs="Times New Roman"/>
          <w:snapToGrid/>
          <w:color w:val="auto"/>
          <w:spacing w:val="-2"/>
          <w:szCs w:val="20"/>
          <w:lang w:eastAsia="zh-CN"/>
        </w:rPr>
        <w:t>本次预测范围与调查评价范围一致，预测层位为第一含水层。</w:t>
      </w:r>
      <w:r>
        <w:rPr>
          <w:rFonts w:ascii="Times New Roman" w:hAnsi="Times New Roman" w:cs="Times New Roman"/>
          <w:color w:val="auto"/>
          <w:lang w:eastAsia="zh-CN"/>
        </w:rPr>
        <w:t>范围为以项目厂区为中心，面积约</w:t>
      </w:r>
      <w:r>
        <w:rPr>
          <w:rFonts w:hint="eastAsia" w:ascii="Times New Roman" w:hAnsi="Times New Roman" w:cs="Times New Roman"/>
          <w:color w:val="auto"/>
          <w:lang w:eastAsia="zh-CN"/>
        </w:rPr>
        <w:t>20</w:t>
      </w:r>
      <w:r>
        <w:rPr>
          <w:rFonts w:ascii="Times New Roman" w:hAnsi="Times New Roman" w:cs="Times New Roman"/>
          <w:color w:val="auto"/>
          <w:lang w:eastAsia="zh-CN"/>
        </w:rPr>
        <w:t>km</w:t>
      </w:r>
      <w:r>
        <w:rPr>
          <w:rFonts w:ascii="Times New Roman" w:hAnsi="Times New Roman" w:cs="Times New Roman"/>
          <w:color w:val="auto"/>
          <w:vertAlign w:val="superscript"/>
          <w:lang w:eastAsia="zh-CN"/>
        </w:rPr>
        <w:t>2</w:t>
      </w:r>
      <w:r>
        <w:rPr>
          <w:rFonts w:ascii="Times New Roman" w:hAnsi="Times New Roman" w:cs="Times New Roman"/>
          <w:color w:val="auto"/>
          <w:lang w:eastAsia="zh-CN"/>
        </w:rPr>
        <w:t>的区域。</w:t>
      </w:r>
    </w:p>
    <w:p w14:paraId="3A2EC006">
      <w:pPr>
        <w:pStyle w:val="42"/>
        <w:snapToGrid w:val="0"/>
        <w:jc w:val="center"/>
        <w:rPr>
          <w:b/>
          <w:color w:val="auto"/>
        </w:rPr>
      </w:pPr>
      <w:r>
        <w:rPr>
          <w:color w:val="auto"/>
        </w:rPr>
        <mc:AlternateContent>
          <mc:Choice Requires="wps">
            <w:drawing>
              <wp:anchor distT="0" distB="0" distL="114300" distR="114300" simplePos="0" relativeHeight="251853824" behindDoc="0" locked="0" layoutInCell="1" allowOverlap="1">
                <wp:simplePos x="0" y="0"/>
                <wp:positionH relativeFrom="page">
                  <wp:posOffset>1118870</wp:posOffset>
                </wp:positionH>
                <wp:positionV relativeFrom="paragraph">
                  <wp:posOffset>264160</wp:posOffset>
                </wp:positionV>
                <wp:extent cx="5374005" cy="3312160"/>
                <wp:effectExtent l="19050" t="19050" r="36830" b="40640"/>
                <wp:wrapNone/>
                <wp:docPr id="1469016112" name="任意多边形: 形状 1397"/>
                <wp:cNvGraphicFramePr/>
                <a:graphic xmlns:a="http://schemas.openxmlformats.org/drawingml/2006/main">
                  <a:graphicData uri="http://schemas.microsoft.com/office/word/2010/wordprocessingShape">
                    <wps:wsp>
                      <wps:cNvSpPr/>
                      <wps:spPr>
                        <a:xfrm>
                          <a:off x="0" y="0"/>
                          <a:ext cx="5373730" cy="3312292"/>
                        </a:xfrm>
                        <a:custGeom>
                          <a:avLst/>
                          <a:gdLst>
                            <a:gd name="csX0" fmla="*/ 0 w 7974418"/>
                            <a:gd name="csY0" fmla="*/ 2073348 h 4922874"/>
                            <a:gd name="csX1" fmla="*/ 2456120 w 7974418"/>
                            <a:gd name="csY1" fmla="*/ 3976576 h 4922874"/>
                            <a:gd name="csX2" fmla="*/ 3444948 w 7974418"/>
                            <a:gd name="csY2" fmla="*/ 4274288 h 4922874"/>
                            <a:gd name="csX3" fmla="*/ 5082362 w 7974418"/>
                            <a:gd name="csY3" fmla="*/ 4284921 h 4922874"/>
                            <a:gd name="csX4" fmla="*/ 5996762 w 7974418"/>
                            <a:gd name="csY4" fmla="*/ 4922874 h 4922874"/>
                            <a:gd name="csX5" fmla="*/ 7910623 w 7974418"/>
                            <a:gd name="csY5" fmla="*/ 2647507 h 4922874"/>
                            <a:gd name="csX6" fmla="*/ 7974418 w 7974418"/>
                            <a:gd name="csY6" fmla="*/ 318976 h 4922874"/>
                            <a:gd name="csX7" fmla="*/ 7634176 w 7974418"/>
                            <a:gd name="csY7" fmla="*/ 467832 h 4922874"/>
                            <a:gd name="csX8" fmla="*/ 3423683 w 7974418"/>
                            <a:gd name="csY8" fmla="*/ 404037 h 4922874"/>
                            <a:gd name="csX9" fmla="*/ 3030279 w 7974418"/>
                            <a:gd name="csY9" fmla="*/ 340241 h 4922874"/>
                            <a:gd name="csX10" fmla="*/ 584790 w 7974418"/>
                            <a:gd name="csY10" fmla="*/ 0 h 4922874"/>
                            <a:gd name="csX11" fmla="*/ 425302 w 7974418"/>
                            <a:gd name="csY11" fmla="*/ 170121 h 4922874"/>
                            <a:gd name="csX12" fmla="*/ 0 w 7974418"/>
                            <a:gd name="csY12" fmla="*/ 2073348 h 49228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7974418" h="4922874">
                              <a:moveTo>
                                <a:pt x="0" y="2073348"/>
                              </a:moveTo>
                              <a:lnTo>
                                <a:pt x="2456120" y="3976576"/>
                              </a:lnTo>
                              <a:lnTo>
                                <a:pt x="3444948" y="4274288"/>
                              </a:lnTo>
                              <a:lnTo>
                                <a:pt x="5082362" y="4284921"/>
                              </a:lnTo>
                              <a:lnTo>
                                <a:pt x="5996762" y="4922874"/>
                              </a:lnTo>
                              <a:lnTo>
                                <a:pt x="7910623" y="2647507"/>
                              </a:lnTo>
                              <a:lnTo>
                                <a:pt x="7974418" y="318976"/>
                              </a:lnTo>
                              <a:lnTo>
                                <a:pt x="7634176" y="467832"/>
                              </a:lnTo>
                              <a:lnTo>
                                <a:pt x="3423683" y="404037"/>
                              </a:lnTo>
                              <a:lnTo>
                                <a:pt x="3030279" y="340241"/>
                              </a:lnTo>
                              <a:lnTo>
                                <a:pt x="584790" y="0"/>
                              </a:lnTo>
                              <a:lnTo>
                                <a:pt x="425302" y="170121"/>
                              </a:lnTo>
                              <a:lnTo>
                                <a:pt x="0" y="2073348"/>
                              </a:lnTo>
                              <a:close/>
                            </a:path>
                          </a:pathLst>
                        </a:custGeom>
                        <a:solidFill>
                          <a:schemeClr val="bg1">
                            <a:lumMod val="75000"/>
                            <a:alpha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任意多边形: 形状 1397" o:spid="_x0000_s1026" o:spt="100" style="position:absolute;left:0pt;margin-left:88.1pt;margin-top:20.8pt;height:260.8pt;width:423.15pt;mso-position-horizontal-relative:page;z-index:251853824;v-text-anchor:middle;mso-width-relative:page;mso-height-relative:page;" fillcolor="#BFBFBF [2412]" filled="t" stroked="t" coordsize="7974418,4922874" o:gfxdata="UEsDBAoAAAAAAIdO4kAAAAAAAAAAAAAAAAAEAAAAZHJzL1BLAwQUAAAACACHTuJAklU4dNkAAAAL&#10;AQAADwAAAGRycy9kb3ducmV2LnhtbE2PQU7DMBBF90jcwRqk7qgdlwQIcaoKqYINEg0cYBpPk4jY&#10;jmy3TW+Pu4Ll1zz9/6Zaz2ZkJ/JhcFZBthTAyLZOD7ZT8P21vX8CFiJajaOzpOBCAdb17U2FpXZn&#10;u6NTEzuWSmwoUUEf41RyHtqeDIalm8im28F5gzFF33Ht8ZzKzcilEAU3ONi00ONErz21P83RKGg2&#10;b3k2fLznmwNedmZ+7lbefCq1uMvEC7BIc/yD4aqf1KFOTnt3tDqwMeXHQiZUwUNWALsCQsoc2F5B&#10;Xqwk8Lri/3+ofwFQSwMEFAAAAAgAh07iQMGtEcwHBQAAjQ8AAA4AAABkcnMvZTJvRG9jLnhtbK1X&#10;S4/rNBTeI/EfrCyRmMaOmzTVdK6GGQ1CGrgjzUVclm4eTaQkDrY7nWHNig17lojfgISu4NdwgZ/B&#10;8SOtex++XaBKqRN/5/Px8Xn4nD977Dv0UAnZ8mEV4bM4QtVQ8LIdNqvo6xc3ny4iJBUbStbxoVpF&#10;T5WMnl18/NH5blxWhDe8KyuBgGSQy924ihqlxuVsJoum6pk842M1wGTNRc8UvIrNrBRsB+x9NyNx&#10;nM52XJSj4EUlJXy9tpORYxSnEPK6bovqmhfbvhqUZRVVxxRsSTbtKKMLo21dV4V6XteyUqhbRbBT&#10;ZZ6wCIzX+jm7OGfLjWBj0xZOBXaKCm/sqWftAIvuqa6ZYmgr2reo+rYQXPJanRW8n9mNGIvALnD8&#10;hm3uGzZWZi9gajnujS7/P9riq4c7gdoSPIGmeYxTjEmEBtbDyf/16tXfP/z0+tef//3z99d//LJE&#10;8Pjnx98QTvJMG243yiXI3493wr1JGGorPNai1/+wP/RojP20N3b1qFABH+dJBj84hwLmkgQTkhPN&#10;OjuIF1upPq+4oWIPt1LZ0yphZGxdOkUL+RJ46r6Do/tkhmK0Q1meUYoX7nwPwG99IImzJKEL1CCa&#10;E7LI6Fvwl9jjJXSeYhJk9+FgpXSepSF2MPVe64RSmoMyAd19OCUZJYug7onHPo8XJElJiN2HAzWY&#10;BId0pz57nqdZmN2HO2uH2Ocee5bjOCVJSHcfTlKazeMsxJ4esRtPCbH78AQv4FxD5JlPniYUAzxw&#10;qD6cptkiISFySM6ex8CRLoJ28eE0pnESNEvuk8dJTLI8pPkRnMaEBv0F+5E3X9AsD0eSD49DJsF+&#10;0FEyB71DWh/BcRbjsJvrdLi3eFhjH/nO1AKpbTMlL9ZM+ax4HFxCgxFiugzHppaMXOrsabMbJMlC&#10;QvayGRKQOgO+VwBMYgXwiQKguxWYcvCHVoBsYQWSE1eABGAFTJYFU3xoBYhpKzA/cQUIUyuQnigA&#10;oWcFTDk7QSUIJytgCssJAhAiViA/USUdJVYCRiee9eGwTz1t7dRulaPztjty3ijg8qSvTZ25NqkI&#10;wbVJmGvTWmvGliNT2omnIdqtoqnsomYVTTVVz/f8oXrBDVIdbgQuSNw+D5hu8LGu7BqNXU11EhNu&#10;+h8NtyukBu+qZBDvSqPDm7oXxttiZ/GHewPYbtJj+rf6uPJl8K42Bfn3NoQTstUmDLclxqpj6kcQ&#10;nlBTNCzcVIQw3JYBA09Mjg/CbV436Ml9J2NM/9YoNk8boM3BQVobFMfuMvEVHZeVjRTtkOYCufdM&#10;7dDeJVLyri1v2q7TnijFZn3VCfTAwMk/u9E/k3a7bf8lL+1nuEjErklg3dgw+1V/nLbnWMyyR/Td&#10;oAMCkwygqGDQKdXQocCwH+G2LYdNhFi3gRasUMKseyR9pBzOyNUcW1DDyspqgSfdYJPv1WIUUl0z&#10;2VgRs4S2NERkq6CN69p+FS30dqb9dFBYZvpmb+/yerTm5RM0CYLb7kmOxU0LtLdMqjsm4M4NG4SG&#10;Uj2HR91x2DVEuxlFqOHi+3d913joYmA2Qjtov8Ai322ZqCLUfTFAf5NjSoFWmRc6zwi8CH9m7c8M&#10;2/6KwylCJgTtzFDjVTcNa8H7b6DvvNSrwhQbCljb2t69XCnbFkLnWlSXlwYGPRq40u1wPxaaXNtt&#10;4JdbxetW9yLGTtY67gW6NOMJrqPUbaD/blCHLvri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kHAABbQ29udGVudF9UeXBlc10ueG1sUEsBAhQA&#10;CgAAAAAAh07iQAAAAAAAAAAAAAAAAAYAAAAAAAAAAAAQAAAAWwYAAF9yZWxzL1BLAQIUABQAAAAI&#10;AIdO4kCKFGY80QAAAJQBAAALAAAAAAAAAAEAIAAAAH8GAABfcmVscy8ucmVsc1BLAQIUAAoAAAAA&#10;AIdO4kAAAAAAAAAAAAAAAAAEAAAAAAAAAAAAEAAAAAAAAABkcnMvUEsBAhQAFAAAAAgAh07iQJJV&#10;OHTZAAAACwEAAA8AAAAAAAAAAQAgAAAAIgAAAGRycy9kb3ducmV2LnhtbFBLAQIUABQAAAAIAIdO&#10;4kDBrRHMBwUAAI0PAAAOAAAAAAAAAAEAIAAAACgBAABkcnMvZTJvRG9jLnhtbFBLBQYAAAAABgAG&#10;AFkBAAChCAAAAAA=&#10;" path="m0,2073348l2456120,3976576,3444948,4274288,5082362,4284921,5996762,4922874,7910623,2647507,7974418,318976,7634176,467832,3423683,404037,3030279,340241,584790,0,425302,170121,0,2073348xe">
                <v:path o:connectlocs="0,1395025;1655108,2675587;2321450,2875899;3424856,2883053;4041044,3312292;5330740,1781340;5373730,214618;5144450,314774;2307121,271851;2042017,228926;394073,0;286598,114463;0,1395025" o:connectangles="0,0,0,0,0,0,0,0,0,0,0,0,0"/>
                <v:fill on="t" opacity="32768f" focussize="0,0"/>
                <v:stroke weight="1pt" color="#172C51 [3204]" miterlimit="8" joinstyle="miter"/>
                <v:imagedata o:title=""/>
                <o:lock v:ext="edit" aspectratio="f"/>
              </v:shape>
            </w:pict>
          </mc:Fallback>
        </mc:AlternateContent>
      </w:r>
      <w:r>
        <w:rPr>
          <w:color w:val="auto"/>
        </w:rPr>
        <mc:AlternateContent>
          <mc:Choice Requires="wps">
            <w:drawing>
              <wp:anchor distT="0" distB="0" distL="114300" distR="114300" simplePos="0" relativeHeight="251915264" behindDoc="0" locked="0" layoutInCell="1" allowOverlap="1">
                <wp:simplePos x="0" y="0"/>
                <wp:positionH relativeFrom="column">
                  <wp:posOffset>1155700</wp:posOffset>
                </wp:positionH>
                <wp:positionV relativeFrom="paragraph">
                  <wp:posOffset>1778000</wp:posOffset>
                </wp:positionV>
                <wp:extent cx="89535" cy="183515"/>
                <wp:effectExtent l="29528" t="84772" r="16192" b="73343"/>
                <wp:wrapNone/>
                <wp:docPr id="1336174229" name="矩形 722"/>
                <wp:cNvGraphicFramePr/>
                <a:graphic xmlns:a="http://schemas.openxmlformats.org/drawingml/2006/main">
                  <a:graphicData uri="http://schemas.microsoft.com/office/word/2010/wordprocessingShape">
                    <wps:wsp>
                      <wps:cNvSpPr/>
                      <wps:spPr>
                        <a:xfrm rot="18657632">
                          <a:off x="0" y="0"/>
                          <a:ext cx="89841" cy="183240"/>
                        </a:xfrm>
                        <a:prstGeom prst="rect">
                          <a:avLst/>
                        </a:prstGeom>
                        <a:noFill/>
                        <a:ln w="2857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722" o:spid="_x0000_s1026" o:spt="1" style="position:absolute;left:0pt;margin-left:91pt;margin-top:140pt;height:14.45pt;width:7.05pt;rotation:-3213850f;z-index:251915264;v-text-anchor:middle;mso-width-relative:page;mso-height-relative:page;" filled="f" stroked="t" coordsize="21600,21600" o:gfxdata="UEsDBAoAAAAAAIdO4kAAAAAAAAAAAAAAAAAEAAAAZHJzL1BLAwQUAAAACACHTuJAxTwU8NcAAAAL&#10;AQAADwAAAGRycy9kb3ducmV2LnhtbE2PQU+EMBCF7yb+h2ZMvLktGFcWKZuo8WiM6MXbQCugdEpo&#10;WdBf7+zJvc3LvLz3vWK/ukEc7BR6TxqSjQJhqfGmp1bD+9vTVQYiRCSDgyer4ccG2JfnZwXmxi/0&#10;ag9VbAWHUMhRQxfjmEsZms46DBs/WuLfp58cRpZTK82EC4e7QaZKbaXDnrihw9E+dLb5rman4Qtx&#10;uV+r50qlLx/tzbDezr+PtdaXF4m6AxHtGv/NcMRndCiZqfYzmSAG1lnKW6KGNFN8HB27bQKi1nCt&#10;sh3IspCnG8o/UEsDBBQAAAAIAIdO4kA+yD2KjAIAAAUFAAAOAAAAZHJzL2Uyb0RvYy54bWytVEtu&#10;2zAQ3RfoHQjuG9nyN0bswIiRokDaBEiLrmmKsgjwV5L+pJcp0F0O0eMUvUYfKcVJ0y6yKAQIM5zR&#10;48ybNzo7P2hFdsIHac2c9k96lAjDbSXNZk4/fbx8M6UkRGYqpqwRc3onAj1fvH51tnczUdrGqkp4&#10;AhATZns3p02MblYUgTdCs3BinTAI1tZrFuH6TVF5tge6VkXZ642LvfWV85aLEHC6aoO0Q/QvAbR1&#10;LblYWb7VwsQW1QvFIloKjXSBLnK1dS14vK7rICJRc4pOY37jEtjr9C4WZ2y28cw1knclsJeU8Kwn&#10;zaTBpUeoFYuMbL38C0pL7m2wdTzhVhdtI5kRdNHvPePmtmFO5F5AdXBH0sP/g+UfdjeeyApKGAzG&#10;/cmwLE8pMUxj8r++3f/88Z1MyjLRtHdhhuxbd+M7L8BMPR9qr4m34LY/HY8m40GZqUBz5JCZvjsy&#10;LQ6RcBxOT6fDPiUckf50UA7zIIoWKkE6H+JbYTVJxpx6zDFjst1ViLgeqQ8pKd3YS6lUnqUyZD+n&#10;5XQ0GQGfQaA1hAFTOzQZzIYSpjZQPo8+QwarZJU+T0DBb9YXypMdg16W4/TkJLXV723VHo9Hvd5D&#10;vV1+LugPoFTdioWm/SSHWq1pGbE+SmqQAJwjkjIASRy3rCZrbas7DCczC70Gxy8lYK9YiDfMQ6Y4&#10;xCLHa7xqZdG27SxKGuu//us85UM9iFKyh+xByZct84IS9c5AV6f9IYZBYnaGo0kJxz+NrJ9GzFZf&#10;WDCFUaK6bKb8qB7M2lv9Gfu+TLcixAzH3S35nXMR23XEH4OL5TKnYTcci1fm1vEE3o54uY22lnn6&#10;j+x0pGE78gy6TU7r99TPWY9/r8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xTwU8NcAAAALAQAA&#10;DwAAAAAAAAABACAAAAAiAAAAZHJzL2Rvd25yZXYueG1sUEsBAhQAFAAAAAgAh07iQD7IPYqMAgAA&#10;BQUAAA4AAAAAAAAAAQAgAAAAJgEAAGRycy9lMm9Eb2MueG1sUEsFBgAAAAAGAAYAWQEAACQGAAAA&#10;AA==&#10;">
                <v:fill on="f" focussize="0,0"/>
                <v:stroke weight="2.25pt" color="#A6A6A6 [2092]" miterlimit="8" joinstyle="miter"/>
                <v:imagedata o:title=""/>
                <o:lock v:ext="edit" aspectratio="f"/>
              </v:rect>
            </w:pict>
          </mc:Fallback>
        </mc:AlternateContent>
      </w:r>
      <w:r>
        <w:rPr>
          <w:color w:val="auto"/>
        </w:rPr>
        <mc:AlternateContent>
          <mc:Choice Requires="wps">
            <w:drawing>
              <wp:anchor distT="0" distB="0" distL="114300" distR="114300" simplePos="0" relativeHeight="251740160" behindDoc="0" locked="0" layoutInCell="1" allowOverlap="1">
                <wp:simplePos x="0" y="0"/>
                <wp:positionH relativeFrom="column">
                  <wp:posOffset>3947160</wp:posOffset>
                </wp:positionH>
                <wp:positionV relativeFrom="paragraph">
                  <wp:posOffset>375920</wp:posOffset>
                </wp:positionV>
                <wp:extent cx="784860" cy="314325"/>
                <wp:effectExtent l="0" t="0" r="15240" b="371475"/>
                <wp:wrapNone/>
                <wp:docPr id="1736965597" name="圆角矩形标注 51"/>
                <wp:cNvGraphicFramePr/>
                <a:graphic xmlns:a="http://schemas.openxmlformats.org/drawingml/2006/main">
                  <a:graphicData uri="http://schemas.microsoft.com/office/word/2010/wordprocessingShape">
                    <wps:wsp>
                      <wps:cNvSpPr>
                        <a:spLocks noChangeArrowheads="1"/>
                      </wps:cNvSpPr>
                      <wps:spPr bwMode="auto">
                        <a:xfrm>
                          <a:off x="0" y="0"/>
                          <a:ext cx="784860" cy="314325"/>
                        </a:xfrm>
                        <a:prstGeom prst="wedgeRoundRectCallout">
                          <a:avLst>
                            <a:gd name="adj1" fmla="val 46372"/>
                            <a:gd name="adj2" fmla="val 142386"/>
                            <a:gd name="adj3" fmla="val 16667"/>
                          </a:avLst>
                        </a:prstGeom>
                        <a:solidFill>
                          <a:srgbClr val="FFFFFF"/>
                        </a:solidFill>
                        <a:ln w="9525">
                          <a:solidFill>
                            <a:srgbClr val="FFFFFF"/>
                          </a:solidFill>
                          <a:miter lim="800000"/>
                          <a:tailEnd type="none" w="sm" len="med"/>
                        </a:ln>
                      </wps:spPr>
                      <wps:txbx>
                        <w:txbxContent>
                          <w:p w14:paraId="13BDE34F">
                            <w:pPr>
                              <w:jc w:val="center"/>
                              <w:rPr>
                                <w:b/>
                                <w:bCs/>
                                <w:sz w:val="21"/>
                              </w:rPr>
                            </w:pPr>
                            <w:r>
                              <w:rPr>
                                <w:rFonts w:hint="eastAsia"/>
                                <w:b/>
                                <w:bCs/>
                                <w:sz w:val="21"/>
                                <w:lang w:eastAsia="zh-CN"/>
                              </w:rPr>
                              <w:t>项目位置</w:t>
                            </w:r>
                          </w:p>
                        </w:txbxContent>
                      </wps:txbx>
                      <wps:bodyPr rot="0" vert="horz" wrap="square" lIns="91440" tIns="45720" rIns="91440" bIns="45720" anchor="t" anchorCtr="0" upright="1">
                        <a:noAutofit/>
                      </wps:bodyPr>
                    </wps:wsp>
                  </a:graphicData>
                </a:graphic>
              </wp:anchor>
            </w:drawing>
          </mc:Choice>
          <mc:Fallback>
            <w:pict>
              <v:shape id="圆角矩形标注 51" o:spid="_x0000_s1026" o:spt="62" type="#_x0000_t62" style="position:absolute;left:0pt;margin-left:310.8pt;margin-top:29.6pt;height:24.75pt;width:61.8pt;z-index:251740160;mso-width-relative:page;mso-height-relative:page;" fillcolor="#FFFFFF" filled="t" stroked="t" coordsize="21600,21600" o:gfxdata="UEsDBAoAAAAAAIdO4kAAAAAAAAAAAAAAAAAEAAAAZHJzL1BLAwQUAAAACACHTuJAcFFigdkAAAAK&#10;AQAADwAAAGRycy9kb3ducmV2LnhtbE2PTU/DMAyG70j8h8hI3FjSinWjNJ3EJBA3RAEBt7Tx2o7G&#10;KU32wb+fOcHNlh+9ft5idXSD2OMUek8akpkCgdR421Or4fXl/moJIkRD1gyeUMMPBliV52eFya0/&#10;0DPuq9gKDqGQGw1djGMuZWg6dCbM/IjEt42fnIm8Tq20kzlwuBtkqlQmnemJP3RmxHWHzVe1cxri&#10;w+P7Jsa3+u5zix/t2vff26dK68uLRN2CiHiMfzD86rM6lOxU+x3ZIAYNWZpkjGqY36QgGFhcz3mo&#10;mVTLBciykP8rlCdQSwMEFAAAAAgAh07iQMY52m+hAgAAPwUAAA4AAABkcnMvZTJvRG9jLnhtbK1U&#10;zW7UMBC+I/EOlu80m+xu9kfNVtWWIiR+qhYewBs7icF/2M5mlweAO2ckEBfgzJnHaeExmDhp2baX&#10;CpFD5LHH33zzzYz3DzZSoDWzjmuV4XhvgBFTuaZclRl++eL4wRQj54miRGjFMrxlDh8s7t/bb8yc&#10;JbrSgjKLAES5eWMyXHlv5lHk8opJ4va0YQoOC20l8WDaMqKWNIAuRZQMBmnUaEuN1TlzDnaPukPc&#10;I9q7AOqi4Dk70nktmfIdqmWCeEjJVdw4vAhsi4Ll/nlROOaRyDBk6sMfgsB61f6jxT6Zl5aYiuc9&#10;BXIXCjdykoQrCHoFdUQ8QbXlt6Akz612uvB7uZZRl0hQBLKIBze0OauIYSEXkNqZK9Hd/4PNn61P&#10;LOIUOmEyTGfpeDybYKSIhMqff3z3++uHX5++n//8cvH5/cWPb2gct4o1xs3h4pk5sW3OzjzR+WuH&#10;lF5WRJXs0FrdVIxQ4Bn8o2sXWsPBVbRqnmoKcUjtdRBvU1jZAoIsaBNqtL2qEdt4lMPmZDqaplC9&#10;HI6G8WiYjFtGEZlfXjbW+UdMS9QuMtwwWrJTXSt6Cs2wJELo2odoZP3E+VAz2idM6KsYo0IKaIE1&#10;EWiUDidJ3yI7PsmuTzxKhtP0ttPwmlOappOeZx8WGF8yDRpqwekxFyIYtlwthUXAIcPH4esvu103&#10;oVCT4dkYJPhXCMk9DLPgMsPTQft1iXjCxUNFkd8aqI+CdwC3oZzESDB4NSSjPSGhQPzLinad4Ter&#10;Td8kK023UGiru7mDVwcWlbZvAQ5mDhDf1MQCuHisoFlm8WjUDmkwRuNJAobdPVntnhCVA1SGPUbd&#10;cum7wa6N5WUFkeKgi9KH0GAF922ftFQ7Vr0BcxXap38D2sHdtYPX33dv8Q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BwUWKB2QAAAAoBAAAPAAAAAAAAAAEAIAAAACIAAABkcnMvZG93bnJldi54bWxQ&#10;SwECFAAUAAAACACHTuJAxjnab6ECAAA/BQAADgAAAAAAAAABACAAAAAoAQAAZHJzL2Uyb0RvYy54&#10;bWxQSwUGAAAAAAYABgBZAQAAOwYAAAAA&#10;" adj="20816,41555,14400">
                <v:fill on="t" focussize="0,0"/>
                <v:stroke color="#FFFFFF" miterlimit="8" joinstyle="miter" endarrowwidth="narrow"/>
                <v:imagedata o:title=""/>
                <o:lock v:ext="edit" aspectratio="f"/>
                <v:textbox>
                  <w:txbxContent>
                    <w:p w14:paraId="13BDE34F">
                      <w:pPr>
                        <w:jc w:val="center"/>
                        <w:rPr>
                          <w:b/>
                          <w:bCs/>
                          <w:sz w:val="21"/>
                        </w:rPr>
                      </w:pPr>
                      <w:r>
                        <w:rPr>
                          <w:rFonts w:hint="eastAsia"/>
                          <w:b/>
                          <w:bCs/>
                          <w:sz w:val="21"/>
                          <w:lang w:eastAsia="zh-CN"/>
                        </w:rPr>
                        <w:t>项目位置</w:t>
                      </w:r>
                    </w:p>
                  </w:txbxContent>
                </v:textbox>
              </v:shape>
            </w:pict>
          </mc:Fallback>
        </mc:AlternateContent>
      </w:r>
      <w:r>
        <w:rPr>
          <w:color w:val="auto"/>
        </w:rPr>
        <mc:AlternateContent>
          <mc:Choice Requires="wps">
            <w:drawing>
              <wp:anchor distT="0" distB="0" distL="114300" distR="114300" simplePos="0" relativeHeight="251914240" behindDoc="0" locked="0" layoutInCell="1" allowOverlap="1">
                <wp:simplePos x="0" y="0"/>
                <wp:positionH relativeFrom="column">
                  <wp:posOffset>4718050</wp:posOffset>
                </wp:positionH>
                <wp:positionV relativeFrom="paragraph">
                  <wp:posOffset>901700</wp:posOffset>
                </wp:positionV>
                <wp:extent cx="81915" cy="231775"/>
                <wp:effectExtent l="19050" t="19050" r="13970" b="16510"/>
                <wp:wrapNone/>
                <wp:docPr id="87134088" name="矩形 722"/>
                <wp:cNvGraphicFramePr/>
                <a:graphic xmlns:a="http://schemas.openxmlformats.org/drawingml/2006/main">
                  <a:graphicData uri="http://schemas.microsoft.com/office/word/2010/wordprocessingShape">
                    <wps:wsp>
                      <wps:cNvSpPr/>
                      <wps:spPr>
                        <a:xfrm>
                          <a:off x="0" y="0"/>
                          <a:ext cx="81887" cy="231614"/>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722" o:spid="_x0000_s1026" o:spt="1" style="position:absolute;left:0pt;margin-left:371.5pt;margin-top:71pt;height:18.25pt;width:6.45pt;z-index:251914240;v-text-anchor:middle;mso-width-relative:page;mso-height-relative:page;" filled="f" stroked="t" coordsize="21600,21600" o:gfxdata="UEsDBAoAAAAAAIdO4kAAAAAAAAAAAAAAAAAEAAAAZHJzL1BLAwQUAAAACACHTuJAdjHkY9kAAAAL&#10;AQAADwAAAGRycy9kb3ducmV2LnhtbE2PzU7DMBCE70i8g7VI3KjdtGlCiFMBggsnUvoAbryNA/4J&#10;sfsDT89ygtvuzmj2m3p9dpYdcYpD8BLmMwEMfRf04HsJ27fnmxJYTMprZYNHCV8YYd1cXtSq0uHk&#10;WzxuUs8oxMdKSTApjRXnsTPoVJyFET1p+zA5lWideq4ndaJwZ3kmxIo7NXj6YNSIjwa7j83BSWjN&#10;AldPr+X+vg1bi9/vn9mDeJHy+mou7oAlPKc/M/ziEzo0xLQLB68jsxKK5YK6JBKWGQ3kKPL8FtiO&#10;LkWZA29q/r9D8wNQSwMEFAAAAAgAh07iQAUvzC9xAgAA0gQAAA4AAABkcnMvZTJvRG9jLnhtbK1U&#10;S27bMBTcF+gdCO4bWY4Tq0LkwIiTokDQBEiLrmmKsgjwV5K2nF6mQHc5RI9T9BodSsqnaRdZ1Av6&#10;ke9xyBnO08npXiuyEz5IayqaH0woEYbbWppNRT99vHhTUBIiMzVT1oiK3opATxevX510rhRT21pV&#10;C08AYkLZuYq2MboyywJvhWbhwDphkGys1yxi6jdZ7VkHdK2y6WRynHXW185bLkLA6mpI0hHRvwTQ&#10;No3kYmX5VgsTB1QvFIugFFrpAl30t20aweNV0wQRiaoomMZ+xCGI12nMFies3HjmWsnHK7CXXOEZ&#10;J82kwaEPUCsWGdl6+ReUltzbYJt4wK3OBiK9ImCRT55pc9MyJ3oukDq4B9HD/4PlH3bXnsi6osU8&#10;P5xNCry+YRrv/uvb3c8f38l8Ok0idS6UqL1x136cBYSJ8b7xOv2DC9n3wt4+CCv2kXAsFnlRzCnh&#10;yEwP8+N8liCzx73Oh/hOWE1SUFGPZ+vVZLvLEIfS+5J0lLEXUimss1IZ0gG0OJofAZ/Bjw18gFA7&#10;cApmQwlTGxidR99DBqtknban3cFv1mfKkx2DPc7PJ/iNN/ujLJ29YqEd6vpUKmOllhG9oKQGxbT5&#10;frcyoJckG0RK0drWt1Da28GCwfELCdhLFuI18/AcHImujFcYGmVByo4RJa31X/+1nuphBWQp6eBh&#10;EP6yZV5Qot4bmORtPpsl0/eT2dF8iol/mlk/zZitPrPQIUf/O96HqT6q+7DxVn9G8y7TqUgxw3H2&#10;IO04OYtDb6H9uVgu+zIY3bF4aW4cT+DDAy630Tayf9tHdUbRYPXeHWNbpl56Ou+rHj9Fi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2MeRj2QAAAAsBAAAPAAAAAAAAAAEAIAAAACIAAABkcnMvZG93&#10;bnJldi54bWxQSwECFAAUAAAACACHTuJABS/ML3ECAADSBAAADgAAAAAAAAABACAAAAAoAQAAZHJz&#10;L2Uyb0RvYy54bWxQSwUGAAAAAAYABgBZAQAACwYAAAAA&#10;">
                <v:fill on="f" focussize="0,0"/>
                <v:stroke weight="2.25pt" color="#EE0000 [3204]" miterlimit="8" joinstyle="miter"/>
                <v:imagedata o:title=""/>
                <o:lock v:ext="edit" aspectratio="f"/>
              </v:rect>
            </w:pict>
          </mc:Fallback>
        </mc:AlternateContent>
      </w:r>
      <w:r>
        <w:rPr>
          <w:color w:val="auto"/>
        </w:rPr>
        <w:drawing>
          <wp:anchor distT="0" distB="0" distL="114300" distR="114300" simplePos="0" relativeHeight="251781120" behindDoc="0" locked="0" layoutInCell="1" allowOverlap="1">
            <wp:simplePos x="0" y="0"/>
            <wp:positionH relativeFrom="column">
              <wp:posOffset>5490210</wp:posOffset>
            </wp:positionH>
            <wp:positionV relativeFrom="paragraph">
              <wp:posOffset>6350</wp:posOffset>
            </wp:positionV>
            <wp:extent cx="685165" cy="518160"/>
            <wp:effectExtent l="0" t="0" r="635" b="0"/>
            <wp:wrapNone/>
            <wp:docPr id="5549"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9" name="图片 15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685249" cy="518164"/>
                    </a:xfrm>
                    <a:prstGeom prst="rect">
                      <a:avLst/>
                    </a:prstGeom>
                    <a:noFill/>
                    <a:ln>
                      <a:noFill/>
                    </a:ln>
                    <a:effectLst/>
                  </pic:spPr>
                </pic:pic>
              </a:graphicData>
            </a:graphic>
          </wp:anchor>
        </w:drawing>
      </w:r>
      <w:r>
        <w:rPr>
          <w:color w:val="auto"/>
        </w:rPr>
        <mc:AlternateContent>
          <mc:Choice Requires="wps">
            <w:drawing>
              <wp:anchor distT="0" distB="0" distL="114300" distR="114300" simplePos="0" relativeHeight="251784192" behindDoc="0" locked="0" layoutInCell="1" allowOverlap="1">
                <wp:simplePos x="0" y="0"/>
                <wp:positionH relativeFrom="column">
                  <wp:posOffset>2563495</wp:posOffset>
                </wp:positionH>
                <wp:positionV relativeFrom="paragraph">
                  <wp:posOffset>1223645</wp:posOffset>
                </wp:positionV>
                <wp:extent cx="1605280" cy="359410"/>
                <wp:effectExtent l="1270" t="2540" r="3175" b="0"/>
                <wp:wrapNone/>
                <wp:docPr id="1098090463" name="矩形 5045"/>
                <wp:cNvGraphicFramePr/>
                <a:graphic xmlns:a="http://schemas.openxmlformats.org/drawingml/2006/main">
                  <a:graphicData uri="http://schemas.microsoft.com/office/word/2010/wordprocessingShape">
                    <wps:wsp>
                      <wps:cNvSpPr>
                        <a:spLocks noChangeArrowheads="1"/>
                      </wps:cNvSpPr>
                      <wps:spPr bwMode="auto">
                        <a:xfrm>
                          <a:off x="0" y="0"/>
                          <a:ext cx="1605280" cy="359410"/>
                        </a:xfrm>
                        <a:prstGeom prst="rect">
                          <a:avLst/>
                        </a:prstGeom>
                        <a:noFill/>
                        <a:ln>
                          <a:noFill/>
                        </a:ln>
                      </wps:spPr>
                      <wps:txbx>
                        <w:txbxContent>
                          <w:p w14:paraId="534C7496">
                            <w:pPr>
                              <w:rPr>
                                <w:rFonts w:ascii="Times New Roman" w:hAnsi="Times New Roman" w:cs="Times New Roman"/>
                                <w:b/>
                                <w:bCs/>
                                <w:color w:val="EE0000"/>
                                <w:sz w:val="28"/>
                                <w:szCs w:val="22"/>
                                <w:lang w:eastAsia="zh-CN"/>
                              </w:rPr>
                            </w:pPr>
                            <w:r>
                              <w:rPr>
                                <w:rFonts w:ascii="Times New Roman" w:hAnsi="Times New Roman" w:cs="Times New Roman"/>
                                <w:b/>
                                <w:bCs/>
                                <w:color w:val="EE0000"/>
                                <w:sz w:val="28"/>
                                <w:szCs w:val="22"/>
                                <w:lang w:eastAsia="zh-CN"/>
                              </w:rPr>
                              <w:t>2</w:t>
                            </w:r>
                            <w:r>
                              <w:rPr>
                                <w:rFonts w:hint="eastAsia" w:ascii="Times New Roman" w:hAnsi="Times New Roman" w:cs="Times New Roman"/>
                                <w:b/>
                                <w:bCs/>
                                <w:color w:val="EE0000"/>
                                <w:sz w:val="28"/>
                                <w:szCs w:val="22"/>
                                <w:lang w:eastAsia="zh-CN"/>
                              </w:rPr>
                              <w:t>0</w:t>
                            </w:r>
                            <w:r>
                              <w:rPr>
                                <w:rFonts w:ascii="Times New Roman" w:hAnsi="Times New Roman" w:cs="Times New Roman"/>
                                <w:b/>
                                <w:bCs/>
                                <w:color w:val="EE0000"/>
                                <w:sz w:val="28"/>
                                <w:szCs w:val="22"/>
                                <w:lang w:eastAsia="zh-CN"/>
                              </w:rPr>
                              <w:t>km</w:t>
                            </w:r>
                            <w:r>
                              <w:rPr>
                                <w:rFonts w:hint="eastAsia" w:ascii="Times New Roman" w:hAnsi="Times New Roman" w:cs="Times New Roman"/>
                                <w:b/>
                                <w:bCs/>
                                <w:color w:val="EE0000"/>
                                <w:sz w:val="28"/>
                                <w:szCs w:val="22"/>
                                <w:vertAlign w:val="superscript"/>
                                <w:lang w:eastAsia="zh-CN"/>
                              </w:rPr>
                              <w:t>2</w:t>
                            </w:r>
                            <w:r>
                              <w:rPr>
                                <w:rFonts w:hint="eastAsia" w:ascii="Times New Roman" w:hAnsi="Times New Roman" w:cs="Times New Roman"/>
                                <w:b/>
                                <w:bCs/>
                                <w:color w:val="EE0000"/>
                                <w:sz w:val="28"/>
                                <w:szCs w:val="22"/>
                                <w:lang w:eastAsia="zh-CN"/>
                              </w:rPr>
                              <w:t>预测</w:t>
                            </w:r>
                            <w:r>
                              <w:rPr>
                                <w:rFonts w:ascii="Times New Roman" w:hAnsi="Times New Roman" w:cs="Times New Roman"/>
                                <w:b/>
                                <w:bCs/>
                                <w:color w:val="EE0000"/>
                                <w:sz w:val="28"/>
                                <w:szCs w:val="22"/>
                                <w:lang w:eastAsia="zh-CN"/>
                              </w:rPr>
                              <w:t>范围</w:t>
                            </w:r>
                          </w:p>
                        </w:txbxContent>
                      </wps:txbx>
                      <wps:bodyPr rot="0" vert="horz" wrap="square" lIns="91440" tIns="45720" rIns="91440" bIns="45720" anchor="t" anchorCtr="0" upright="1">
                        <a:noAutofit/>
                      </wps:bodyPr>
                    </wps:wsp>
                  </a:graphicData>
                </a:graphic>
              </wp:anchor>
            </w:drawing>
          </mc:Choice>
          <mc:Fallback>
            <w:pict>
              <v:rect id="矩形 5045" o:spid="_x0000_s1026" o:spt="1" style="position:absolute;left:0pt;margin-left:201.85pt;margin-top:96.35pt;height:28.3pt;width:126.4pt;z-index:251784192;mso-width-relative:page;mso-height-relative:page;" filled="f" stroked="f" coordsize="21600,21600" o:gfxdata="UEsDBAoAAAAAAIdO4kAAAAAAAAAAAAAAAAAEAAAAZHJzL1BLAwQUAAAACACHTuJAwBVagNwAAAAL&#10;AQAADwAAAGRycy9kb3ducmV2LnhtbE2PwU7DMAyG70i8Q2QkLogl67bCStMdJiEmNGmig52z1rQV&#10;jdM1WTveHnOCm63/0+/P6epiWzFg7xtHGqYTBQKpcGVDlYb3/fP9IwgfDJWmdYQavtHDKru+Sk1S&#10;upHecMhDJbiEfGI01CF0iZS+qNEaP3EdEmefrrcm8NpXsuzNyOW2lZFSsbSmIb5Qmw7XNRZf+dlq&#10;GIvdcNhvX+Tu7rBxdNqc1vnHq9a3N1P1BCLgJfzB8KvP6pCx09GdqfSi1TBXswdGOVhGPDARL+IF&#10;iKOGaL6cgcxS+f+H7AdQSwMEFAAAAAgAh07iQMHFuz4YAgAAFAQAAA4AAABkcnMvZTJvRG9jLnht&#10;bK1TwY7TMBC9I/EPlu80STctbdR0tdpqEdICKy18gOs4jUXiMWO3afkZJG58BJ+D+A3GTrd0l8se&#10;uFgez/j5vTfjxeW+a9lOodNgSp6NUs6UkVBpsyn5p483r2acOS9MJVowquQH5fjl8uWLRW8LNYYG&#10;2kohIxDjit6WvPHeFkniZKM64UZglaFkDdgJTyFukgpFT+hdm4zTdJr0gJVFkMo5Ol0NSX5ExOcA&#10;Ql1rqVYgt50yfkBF1QpPklyjrePLyLaulfQf6topz9qSk1IfV3qE9uuwJsuFKDYobKPlkYJ4DoUn&#10;mjqhDT16gloJL9gW9T9QnZYIDmo/ktAlg5DoCKnI0ife3DfCqqiFrHb2ZLr7f7Dy/e4Oma5oEtL5&#10;LJ2n+fSCMyM66vzvbz9+/fzOJmk+CT711hVUfm/vMCh19hbkZ8cMXDfCbNQVIvSNEhWxy0J98uhC&#10;CBxdZev+HVSELrYeomX7GrsASGawfezM4dQZtfdM0mE2TSfjGTVNUu5iMs+z2LpEFA+3LTr/RkHH&#10;wqbkSJ2P6GJ363xgI4qHkvCYgRvdtrH7rXl0QIXhJLIPhAfhfr/eHz1YQ3UgHQjDMNFXok0D+JWz&#10;ngap5O7LVqDirH1ryIt5ludh8mKQT16PKcDzzPo8I4wkqJJ7zobttR+mdWtRbxp6KYuyDFyRf7WO&#10;0oK3A6sjbxqWqPg42GEaz+NY9fczL/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wBVagNwAAAAL&#10;AQAADwAAAAAAAAABACAAAAAiAAAAZHJzL2Rvd25yZXYueG1sUEsBAhQAFAAAAAgAh07iQMHFuz4Y&#10;AgAAFAQAAA4AAAAAAAAAAQAgAAAAKwEAAGRycy9lMm9Eb2MueG1sUEsFBgAAAAAGAAYAWQEAALUF&#10;AAAAAA==&#10;">
                <v:fill on="f" focussize="0,0"/>
                <v:stroke on="f"/>
                <v:imagedata o:title=""/>
                <o:lock v:ext="edit" aspectratio="f"/>
                <v:textbox>
                  <w:txbxContent>
                    <w:p w14:paraId="534C7496">
                      <w:pPr>
                        <w:rPr>
                          <w:rFonts w:ascii="Times New Roman" w:hAnsi="Times New Roman" w:cs="Times New Roman"/>
                          <w:b/>
                          <w:bCs/>
                          <w:color w:val="EE0000"/>
                          <w:sz w:val="28"/>
                          <w:szCs w:val="22"/>
                          <w:lang w:eastAsia="zh-CN"/>
                        </w:rPr>
                      </w:pPr>
                      <w:r>
                        <w:rPr>
                          <w:rFonts w:ascii="Times New Roman" w:hAnsi="Times New Roman" w:cs="Times New Roman"/>
                          <w:b/>
                          <w:bCs/>
                          <w:color w:val="EE0000"/>
                          <w:sz w:val="28"/>
                          <w:szCs w:val="22"/>
                          <w:lang w:eastAsia="zh-CN"/>
                        </w:rPr>
                        <w:t>2</w:t>
                      </w:r>
                      <w:r>
                        <w:rPr>
                          <w:rFonts w:hint="eastAsia" w:ascii="Times New Roman" w:hAnsi="Times New Roman" w:cs="Times New Roman"/>
                          <w:b/>
                          <w:bCs/>
                          <w:color w:val="EE0000"/>
                          <w:sz w:val="28"/>
                          <w:szCs w:val="22"/>
                          <w:lang w:eastAsia="zh-CN"/>
                        </w:rPr>
                        <w:t>0</w:t>
                      </w:r>
                      <w:r>
                        <w:rPr>
                          <w:rFonts w:ascii="Times New Roman" w:hAnsi="Times New Roman" w:cs="Times New Roman"/>
                          <w:b/>
                          <w:bCs/>
                          <w:color w:val="EE0000"/>
                          <w:sz w:val="28"/>
                          <w:szCs w:val="22"/>
                          <w:lang w:eastAsia="zh-CN"/>
                        </w:rPr>
                        <w:t>km</w:t>
                      </w:r>
                      <w:r>
                        <w:rPr>
                          <w:rFonts w:hint="eastAsia" w:ascii="Times New Roman" w:hAnsi="Times New Roman" w:cs="Times New Roman"/>
                          <w:b/>
                          <w:bCs/>
                          <w:color w:val="EE0000"/>
                          <w:sz w:val="28"/>
                          <w:szCs w:val="22"/>
                          <w:vertAlign w:val="superscript"/>
                          <w:lang w:eastAsia="zh-CN"/>
                        </w:rPr>
                        <w:t>2</w:t>
                      </w:r>
                      <w:r>
                        <w:rPr>
                          <w:rFonts w:hint="eastAsia" w:ascii="Times New Roman" w:hAnsi="Times New Roman" w:cs="Times New Roman"/>
                          <w:b/>
                          <w:bCs/>
                          <w:color w:val="EE0000"/>
                          <w:sz w:val="28"/>
                          <w:szCs w:val="22"/>
                          <w:lang w:eastAsia="zh-CN"/>
                        </w:rPr>
                        <w:t>预测</w:t>
                      </w:r>
                      <w:r>
                        <w:rPr>
                          <w:rFonts w:ascii="Times New Roman" w:hAnsi="Times New Roman" w:cs="Times New Roman"/>
                          <w:b/>
                          <w:bCs/>
                          <w:color w:val="EE0000"/>
                          <w:sz w:val="28"/>
                          <w:szCs w:val="22"/>
                          <w:lang w:eastAsia="zh-CN"/>
                        </w:rPr>
                        <w:t>范围</w:t>
                      </w:r>
                    </w:p>
                  </w:txbxContent>
                </v:textbox>
              </v:rect>
            </w:pict>
          </mc:Fallback>
        </mc:AlternateContent>
      </w:r>
      <w:r>
        <w:rPr>
          <w:color w:val="auto"/>
        </w:rPr>
        <mc:AlternateContent>
          <mc:Choice Requires="wps">
            <w:drawing>
              <wp:anchor distT="0" distB="0" distL="114300" distR="114300" simplePos="0" relativeHeight="251783168" behindDoc="0" locked="0" layoutInCell="1" allowOverlap="1">
                <wp:simplePos x="0" y="0"/>
                <wp:positionH relativeFrom="column">
                  <wp:posOffset>551815</wp:posOffset>
                </wp:positionH>
                <wp:positionV relativeFrom="paragraph">
                  <wp:posOffset>1042035</wp:posOffset>
                </wp:positionV>
                <wp:extent cx="1605280" cy="415290"/>
                <wp:effectExtent l="0" t="1905" r="0" b="1905"/>
                <wp:wrapNone/>
                <wp:docPr id="1907230368" name="矩形 5047"/>
                <wp:cNvGraphicFramePr/>
                <a:graphic xmlns:a="http://schemas.openxmlformats.org/drawingml/2006/main">
                  <a:graphicData uri="http://schemas.microsoft.com/office/word/2010/wordprocessingShape">
                    <wps:wsp>
                      <wps:cNvSpPr>
                        <a:spLocks noChangeArrowheads="1"/>
                      </wps:cNvSpPr>
                      <wps:spPr bwMode="auto">
                        <a:xfrm>
                          <a:off x="0" y="0"/>
                          <a:ext cx="1605280" cy="415290"/>
                        </a:xfrm>
                        <a:prstGeom prst="rect">
                          <a:avLst/>
                        </a:prstGeom>
                        <a:noFill/>
                        <a:ln>
                          <a:noFill/>
                        </a:ln>
                      </wps:spPr>
                      <wps:txbx>
                        <w:txbxContent>
                          <w:p w14:paraId="18A2371B">
                            <w:pPr>
                              <w:rPr>
                                <w:rFonts w:ascii="Times New Roman" w:hAnsi="Times New Roman" w:cs="Times New Roman"/>
                                <w:b/>
                                <w:bCs/>
                                <w:color w:val="EE0000"/>
                                <w:sz w:val="28"/>
                                <w:szCs w:val="22"/>
                                <w:lang w:eastAsia="zh-CN"/>
                              </w:rPr>
                            </w:pPr>
                            <w:r>
                              <w:rPr>
                                <w:rFonts w:hint="eastAsia" w:ascii="Times New Roman" w:hAnsi="Times New Roman" w:cs="Times New Roman"/>
                                <w:b/>
                                <w:bCs/>
                                <w:color w:val="EE0000"/>
                                <w:sz w:val="28"/>
                                <w:szCs w:val="22"/>
                                <w:lang w:eastAsia="zh-CN"/>
                              </w:rPr>
                              <w:t>地下水流向</w:t>
                            </w:r>
                          </w:p>
                        </w:txbxContent>
                      </wps:txbx>
                      <wps:bodyPr rot="0" vert="horz" wrap="square" lIns="91440" tIns="45720" rIns="91440" bIns="45720" anchor="t" anchorCtr="0" upright="1">
                        <a:noAutofit/>
                      </wps:bodyPr>
                    </wps:wsp>
                  </a:graphicData>
                </a:graphic>
              </wp:anchor>
            </w:drawing>
          </mc:Choice>
          <mc:Fallback>
            <w:pict>
              <v:rect id="矩形 5047" o:spid="_x0000_s1026" o:spt="1" style="position:absolute;left:0pt;margin-left:43.45pt;margin-top:82.05pt;height:32.7pt;width:126.4pt;z-index:251783168;mso-width-relative:page;mso-height-relative:page;" filled="f" stroked="f" coordsize="21600,21600" o:gfxdata="UEsDBAoAAAAAAIdO4kAAAAAAAAAAAAAAAAAEAAAAZHJzL1BLAwQUAAAACACHTuJAPtKSDtsAAAAK&#10;AQAADwAAAGRycy9kb3ducmV2LnhtbE2PwU6DQBCG7ya+w2ZMvBi7QCsWZOmhibFpTBqp9ryFEYjs&#10;LGW3UN/e8aTHmfnyz/dnq4vpxIiDay0pCGcBCKTSVi3VCt73z/dLEM5rqnRnCRV8o4NVfn2V6bSy&#10;E73hWPhacAi5VCtovO9TKV3ZoNFuZnskvn3awWjP41DLatATh5tORkEQS6Nb4g+N7nHdYPlVnI2C&#10;qdyNh/3ri9zdHTaWTpvTuvjYKnV7EwZPIDxe/B8Mv/qsDjk7He2ZKic6Bcs4YZL38SIEwcB8njyC&#10;OCqIouQBZJ7J/xXyH1BLAwQUAAAACACHTuJAr4Ib7xgCAAAUBAAADgAAAGRycy9lMm9Eb2MueG1s&#10;rVNBbtswELwX6B8I3mtJju3EguUgiJGiQNoGSPsAmqIsohKXXdKW3M8U6C2P6HOKfqNLynGd9JJD&#10;LwSXuxzOzC4Xl33bsJ1Cp8EUPBulnCkjodRmU/DPn27eXHDmvDClaMCogu+V45fL168Wnc3VGGpo&#10;SoWMQIzLO1vw2nubJ4mTtWqFG4FVhpIVYCs8hbhJShQdobdNMk7TWdIBlhZBKufodDUk+QERXwII&#10;VaWlWoHctsr4ARVVIzxJcrW2ji8j26pS0n+sKqc8awpOSn1c6RHar8OaLBci36CwtZYHCuIlFJ5p&#10;aoU29OgRaiW8YFvU/0C1WiI4qPxIQpsMQqIjpCJLn3lzXwurohay2tmj6e7/wcoPuztkuqRJmKfn&#10;47P0bEb9N6Klzv/+/vDr5w82TSfnwafOupzK7+0dBqXO3oL84piB61qYjbpChK5WoiR2WahPnlwI&#10;gaOrbN29h5LQxdZDtKyvsA2AZAbrY2f2x86o3jNJh9ksnY4vqGmScpNsOp7H1iUif7xt0fm3CloW&#10;NgVH6nxEF7tb5wMbkT+WhMcM3Oimid1vzJMDKgwnkX0gPAj3/bo/eLCGck86EIZhoq9EmxrwG2cd&#10;DVLB3detQMVZ886QF/NsMgmTF4PJ9HxMAZ5m1qcZYSRBFdxzNmyv/TCtW4t6U9NLWZRl4Ir8q3SU&#10;FrwdWB1407BExYfBDtN4Gseqv595+Q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0pIO2wAAAAoB&#10;AAAPAAAAAAAAAAEAIAAAACIAAABkcnMvZG93bnJldi54bWxQSwECFAAUAAAACACHTuJAr4Ib7xgC&#10;AAAUBAAADgAAAAAAAAABACAAAAAqAQAAZHJzL2Uyb0RvYy54bWxQSwUGAAAAAAYABgBZAQAAtAUA&#10;AAAA&#10;">
                <v:fill on="f" focussize="0,0"/>
                <v:stroke on="f"/>
                <v:imagedata o:title=""/>
                <o:lock v:ext="edit" aspectratio="f"/>
                <v:textbox>
                  <w:txbxContent>
                    <w:p w14:paraId="18A2371B">
                      <w:pPr>
                        <w:rPr>
                          <w:rFonts w:ascii="Times New Roman" w:hAnsi="Times New Roman" w:cs="Times New Roman"/>
                          <w:b/>
                          <w:bCs/>
                          <w:color w:val="EE0000"/>
                          <w:sz w:val="28"/>
                          <w:szCs w:val="22"/>
                          <w:lang w:eastAsia="zh-CN"/>
                        </w:rPr>
                      </w:pPr>
                      <w:r>
                        <w:rPr>
                          <w:rFonts w:hint="eastAsia" w:ascii="Times New Roman" w:hAnsi="Times New Roman" w:cs="Times New Roman"/>
                          <w:b/>
                          <w:bCs/>
                          <w:color w:val="EE0000"/>
                          <w:sz w:val="28"/>
                          <w:szCs w:val="22"/>
                          <w:lang w:eastAsia="zh-CN"/>
                        </w:rPr>
                        <w:t>地下水流向</w:t>
                      </w:r>
                    </w:p>
                  </w:txbxContent>
                </v:textbox>
              </v:rect>
            </w:pict>
          </mc:Fallback>
        </mc:AlternateContent>
      </w:r>
      <w:r>
        <w:rPr>
          <w:color w:val="auto"/>
        </w:rPr>
        <mc:AlternateContent>
          <mc:Choice Requires="wps">
            <w:drawing>
              <wp:anchor distT="0" distB="0" distL="114300" distR="114300" simplePos="0" relativeHeight="251782144" behindDoc="0" locked="0" layoutInCell="1" allowOverlap="1">
                <wp:simplePos x="0" y="0"/>
                <wp:positionH relativeFrom="column">
                  <wp:posOffset>1149350</wp:posOffset>
                </wp:positionH>
                <wp:positionV relativeFrom="paragraph">
                  <wp:posOffset>-74295</wp:posOffset>
                </wp:positionV>
                <wp:extent cx="306070" cy="2105660"/>
                <wp:effectExtent l="0" t="385445" r="0" b="318135"/>
                <wp:wrapNone/>
                <wp:docPr id="6348580" name="自选图形 5046"/>
                <wp:cNvGraphicFramePr/>
                <a:graphic xmlns:a="http://schemas.openxmlformats.org/drawingml/2006/main">
                  <a:graphicData uri="http://schemas.microsoft.com/office/word/2010/wordprocessingShape">
                    <wps:wsp>
                      <wps:cNvSpPr>
                        <a:spLocks noChangeArrowheads="1"/>
                      </wps:cNvSpPr>
                      <wps:spPr bwMode="auto">
                        <a:xfrm rot="17703530">
                          <a:off x="0" y="0"/>
                          <a:ext cx="306070" cy="2105660"/>
                        </a:xfrm>
                        <a:prstGeom prst="downArrow">
                          <a:avLst>
                            <a:gd name="adj1" fmla="val 50000"/>
                            <a:gd name="adj2" fmla="val 171992"/>
                          </a:avLst>
                        </a:prstGeom>
                        <a:solidFill>
                          <a:srgbClr val="FFFFFF"/>
                        </a:solidFill>
                        <a:ln w="9525">
                          <a:solidFill>
                            <a:srgbClr val="000000"/>
                          </a:solidFill>
                          <a:miter lim="800000"/>
                        </a:ln>
                      </wps:spPr>
                      <wps:bodyPr rot="0" vert="eaVert" wrap="square" lIns="91440" tIns="45720" rIns="91440" bIns="45720" anchor="t" anchorCtr="0" upright="1">
                        <a:noAutofit/>
                      </wps:bodyPr>
                    </wps:wsp>
                  </a:graphicData>
                </a:graphic>
              </wp:anchor>
            </w:drawing>
          </mc:Choice>
          <mc:Fallback>
            <w:pict>
              <v:shape id="自选图形 5046" o:spid="_x0000_s1026" o:spt="67" type="#_x0000_t67" style="position:absolute;left:0pt;margin-left:90.5pt;margin-top:-5.85pt;height:165.8pt;width:24.1pt;rotation:-4255984f;z-index:251782144;mso-width-relative:page;mso-height-relative:page;" fillcolor="#FFFFFF" filled="t" stroked="t" coordsize="21600,21600" o:gfxdata="UEsDBAoAAAAAAIdO4kAAAAAAAAAAAAAAAAAEAAAAZHJzL1BLAwQUAAAACACHTuJABI8oH9gAAAAL&#10;AQAADwAAAGRycy9kb3ducmV2LnhtbE2PwU7DMBBE70j9B2srcWsdBwniEKcCJLiBRMqF2zZekqjx&#10;OordtPw95gTH0Yxm3lS7ixvFQnMYPBtQ2wwEcevtwJ2Bj/3zpgARIrLF0TMZ+KYAu3p1VWFp/Znf&#10;aWliJ1IJhxIN9DFOpZSh7clh2PqJOHlffnYYk5w7aWc8p3I3yjzLbqXDgdNCjxM99dQem5Mz8ICu&#10;2KtGf3axfdPz8mIfm+OrMddrld2DiHSJf2H4xU/oUCemgz+xDWJMulDpSzSwUeoORErkuc5BHAzc&#10;KK1B1pX8/6H+AVBLAwQUAAAACACHTuJA4xGiIXYCAADmBAAADgAAAGRycy9lMm9Eb2MueG1srVTL&#10;btQwFN0j8Q+W9zSPmcwjaqaqWhUhFahUYO+xnYnBL2zPZLpjh/gGdiz5B/ibSvAX3DhpyZRNF2SR&#10;+PpeH597jp3jk72SaMedF0ZXODtKMeKaGib0psJv31w8W2DkA9GMSKN5hW+4xyerp0+OW1vy3DRG&#10;Mu4QgGhftrbCTQi2TBJPG66IPzKWa0jWxikSIHSbhDnSArqSSZ6ms6Q1jllnKPceZs/7JB4Q3WMA&#10;TV0Lys8N3SquQ4/quCQBWvKNsB6vItu65jS8rmvPA5IVhk5DfMMmMF5372R1TMqNI7YRdKBAHkPh&#10;QU+KCA2b3kOdk0DQ1ol/oJSgznhThyNqVNI3EhWBLrL0gTbXDbE89gJSe3svuv9/sPTV7sohwSo8&#10;m0wXxQJ00USB7b8+f//96cvt15+3P76hIp3OOqla60tYcW2vXNest5eGfvBIm7OG6A0/dc60DScM&#10;CGZdfXKwoAs8LEXr9qVhsAfZBhNV29dOIWfAnWw+TyfFJI3TIA/aR69u7r3i+4AoTE7SWToHthRS&#10;eZYWs1k0MyFlB9axs86H59wo1A0qzEyrI8EITXaXPkTD2NAwYe8zjGolwf8dkdAzPMP5GNXk45ps&#10;ni2XeeyUlAMkMLjbOWpkpGAXQsoYuM36TDoE+BW+iM+w2I/LpEZthZdFXkSuBzk/hugo9iRh14My&#10;JQLcUilUhRfjIqkHVzojekPXht2AKVF+EBR+DaAWJ+/gi1ELV6PC/uOWOI6RfKHB2mU2nUJhiMG0&#10;mOcQuHFmPc4QTRsDNw7A+uFZ6O/f1jqxaTrPY5fanMJxqEW4Ozc9r4EuHH8YHdyvcRyr/v6eVn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BI8oH9gAAAALAQAADwAAAAAAAAABACAAAAAiAAAAZHJz&#10;L2Rvd25yZXYueG1sUEsBAhQAFAAAAAgAh07iQOMRoiF2AgAA5gQAAA4AAAAAAAAAAQAgAAAAJwEA&#10;AGRycy9lMm9Eb2MueG1sUEsFBgAAAAAGAAYAWQEAAA8GAAAAAA==&#10;" adj="16200,5400">
                <v:fill on="t" focussize="0,0"/>
                <v:stroke color="#000000" miterlimit="8" joinstyle="miter"/>
                <v:imagedata o:title=""/>
                <o:lock v:ext="edit" aspectratio="f"/>
                <v:textbox style="layout-flow:vertical-ideographic;"/>
              </v:shape>
            </w:pict>
          </mc:Fallback>
        </mc:AlternateContent>
      </w:r>
      <w:r>
        <w:drawing>
          <wp:inline distT="0" distB="0" distL="0" distR="0">
            <wp:extent cx="6188710" cy="3874770"/>
            <wp:effectExtent l="0" t="0" r="2540" b="0"/>
            <wp:docPr id="20484215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21568" name="图片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6188710" cy="3875174"/>
                    </a:xfrm>
                    <a:prstGeom prst="rect">
                      <a:avLst/>
                    </a:prstGeom>
                    <a:noFill/>
                    <a:ln>
                      <a:noFill/>
                    </a:ln>
                  </pic:spPr>
                </pic:pic>
              </a:graphicData>
            </a:graphic>
          </wp:inline>
        </w:drawing>
      </w:r>
    </w:p>
    <w:p w14:paraId="51A1D240">
      <w:pPr>
        <w:pStyle w:val="42"/>
        <w:jc w:val="center"/>
        <w:rPr>
          <w:b/>
          <w:bCs/>
          <w:color w:val="auto"/>
        </w:rPr>
      </w:pPr>
      <w:r>
        <w:rPr>
          <w:b/>
          <w:bCs/>
          <w:color w:val="auto"/>
        </w:rPr>
        <w:t>图6.5-</w:t>
      </w:r>
      <w:r>
        <w:rPr>
          <w:rFonts w:hint="eastAsia"/>
          <w:b/>
          <w:bCs/>
          <w:color w:val="auto"/>
        </w:rPr>
        <w:t>1</w:t>
      </w:r>
      <w:r>
        <w:rPr>
          <w:b/>
          <w:bCs/>
          <w:color w:val="auto"/>
        </w:rPr>
        <w:t xml:space="preserve"> 地下水</w:t>
      </w:r>
      <w:r>
        <w:rPr>
          <w:rFonts w:hint="eastAsia"/>
          <w:b/>
          <w:bCs/>
          <w:color w:val="auto"/>
        </w:rPr>
        <w:t>预测</w:t>
      </w:r>
      <w:r>
        <w:rPr>
          <w:b/>
          <w:bCs/>
          <w:color w:val="auto"/>
        </w:rPr>
        <w:t>范围图</w:t>
      </w:r>
    </w:p>
    <w:p w14:paraId="6C688CD5">
      <w:pPr>
        <w:widowControl w:val="0"/>
        <w:spacing w:line="360" w:lineRule="auto"/>
        <w:ind w:firstLine="482"/>
        <w:jc w:val="both"/>
        <w:outlineLvl w:val="3"/>
        <w:rPr>
          <w:rFonts w:ascii="Times New Roman" w:hAnsi="Times New Roman" w:eastAsia="新宋体" w:cs="Times New Roman"/>
          <w:color w:val="auto"/>
          <w:szCs w:val="24"/>
          <w:lang w:eastAsia="zh-CN"/>
        </w:rPr>
      </w:pPr>
      <w:r>
        <w:rPr>
          <w:rFonts w:ascii="Times New Roman" w:hAnsi="Times New Roman" w:eastAsia="新宋体" w:cs="Times New Roman"/>
          <w:b/>
          <w:bCs/>
          <w:color w:val="auto"/>
          <w:szCs w:val="24"/>
          <w:lang w:eastAsia="zh-CN"/>
        </w:rPr>
        <w:t>6.5.3.</w:t>
      </w:r>
      <w:r>
        <w:rPr>
          <w:rFonts w:hint="eastAsia" w:ascii="Times New Roman" w:hAnsi="Times New Roman" w:eastAsia="新宋体" w:cs="Times New Roman"/>
          <w:b/>
          <w:bCs/>
          <w:color w:val="auto"/>
          <w:szCs w:val="24"/>
          <w:lang w:eastAsia="zh-CN"/>
        </w:rPr>
        <w:t>2 预测时段</w:t>
      </w:r>
    </w:p>
    <w:p w14:paraId="01EFA5DE">
      <w:pPr>
        <w:widowControl w:val="0"/>
        <w:spacing w:line="360" w:lineRule="auto"/>
        <w:ind w:firstLine="472" w:firstLineChars="200"/>
        <w:jc w:val="both"/>
        <w:rPr>
          <w:rFonts w:ascii="Times New Roman" w:hAnsi="Times New Roman" w:cs="Times New Roman"/>
          <w:snapToGrid/>
          <w:color w:val="auto"/>
          <w:spacing w:val="-2"/>
          <w:szCs w:val="20"/>
          <w:lang w:eastAsia="zh-CN"/>
        </w:rPr>
      </w:pPr>
      <w:r>
        <w:rPr>
          <w:rFonts w:ascii="Times New Roman" w:hAnsi="Times New Roman" w:cs="Times New Roman"/>
          <w:snapToGrid/>
          <w:color w:val="auto"/>
          <w:spacing w:val="-2"/>
          <w:szCs w:val="20"/>
          <w:lang w:eastAsia="zh-CN"/>
        </w:rPr>
        <w:t>根据项目的特点和水文地质特征，预测时段应选取可能引起地下水污染的关键时刻，本项目预测时段为地下水污染发生后100d、1000d和服务期满（本项目运营期为</w:t>
      </w:r>
      <w:r>
        <w:rPr>
          <w:rFonts w:hint="eastAsia" w:ascii="Times New Roman" w:hAnsi="Times New Roman" w:cs="Times New Roman"/>
          <w:snapToGrid/>
          <w:color w:val="auto"/>
          <w:spacing w:val="-2"/>
          <w:szCs w:val="20"/>
          <w:lang w:eastAsia="zh-CN"/>
        </w:rPr>
        <w:t>1</w:t>
      </w:r>
      <w:r>
        <w:rPr>
          <w:rFonts w:ascii="Times New Roman" w:hAnsi="Times New Roman" w:cs="Times New Roman"/>
          <w:snapToGrid/>
          <w:color w:val="auto"/>
          <w:spacing w:val="-2"/>
          <w:szCs w:val="20"/>
          <w:lang w:eastAsia="zh-CN"/>
        </w:rPr>
        <w:t>0年）。</w:t>
      </w:r>
    </w:p>
    <w:p w14:paraId="61BAEB12">
      <w:pPr>
        <w:widowControl w:val="0"/>
        <w:spacing w:line="360" w:lineRule="auto"/>
        <w:ind w:firstLine="482"/>
        <w:jc w:val="both"/>
        <w:outlineLvl w:val="3"/>
        <w:rPr>
          <w:rFonts w:ascii="Times New Roman" w:hAnsi="Times New Roman" w:eastAsia="新宋体" w:cs="Times New Roman"/>
          <w:color w:val="auto"/>
          <w:szCs w:val="24"/>
          <w:lang w:eastAsia="zh-CN"/>
        </w:rPr>
      </w:pPr>
      <w:r>
        <w:rPr>
          <w:rFonts w:ascii="Times New Roman" w:hAnsi="Times New Roman" w:eastAsia="新宋体" w:cs="Times New Roman"/>
          <w:b/>
          <w:bCs/>
          <w:color w:val="auto"/>
          <w:szCs w:val="24"/>
          <w:lang w:eastAsia="zh-CN"/>
        </w:rPr>
        <w:t>6.5.3.</w:t>
      </w:r>
      <w:r>
        <w:rPr>
          <w:rFonts w:hint="eastAsia" w:ascii="Times New Roman" w:hAnsi="Times New Roman" w:eastAsia="新宋体" w:cs="Times New Roman"/>
          <w:b/>
          <w:bCs/>
          <w:color w:val="auto"/>
          <w:szCs w:val="24"/>
          <w:lang w:eastAsia="zh-CN"/>
        </w:rPr>
        <w:t>3 污染途径</w:t>
      </w:r>
    </w:p>
    <w:p w14:paraId="5AD8FEEF">
      <w:pPr>
        <w:widowControl w:val="0"/>
        <w:spacing w:line="360" w:lineRule="auto"/>
        <w:ind w:firstLine="472" w:firstLineChars="200"/>
        <w:jc w:val="both"/>
        <w:rPr>
          <w:rFonts w:ascii="Times New Roman" w:hAnsi="Times New Roman" w:cs="Times New Roman"/>
          <w:snapToGrid/>
          <w:color w:val="000000" w:themeColor="text1"/>
          <w:spacing w:val="-2"/>
          <w:szCs w:val="20"/>
          <w:lang w:eastAsia="zh-CN"/>
          <w14:textFill>
            <w14:solidFill>
              <w14:schemeClr w14:val="tx1"/>
            </w14:solidFill>
          </w14:textFill>
        </w:rPr>
      </w:pPr>
      <w:r>
        <w:rPr>
          <w:rFonts w:ascii="Times New Roman" w:hAnsi="Times New Roman" w:cs="Times New Roman"/>
          <w:snapToGrid/>
          <w:color w:val="000000" w:themeColor="text1"/>
          <w:spacing w:val="-2"/>
          <w:szCs w:val="20"/>
          <w:lang w:eastAsia="zh-CN"/>
          <w14:textFill>
            <w14:solidFill>
              <w14:schemeClr w14:val="tx1"/>
            </w14:solidFill>
          </w14:textFill>
        </w:rPr>
        <w:t>污染物从污染源进入地下水所经过的路径称为地下水污染途径，地下水污染途径是多种多样的。根据工程所处区域的地质情况，拟建项目可能对下水造成污染的途径主要为非正常状况下</w:t>
      </w:r>
      <w:r>
        <w:rPr>
          <w:rFonts w:hint="eastAsia" w:ascii="Times New Roman" w:hAnsi="Times New Roman" w:cs="Times New Roman"/>
          <w:snapToGrid/>
          <w:color w:val="auto"/>
          <w:spacing w:val="-2"/>
          <w:szCs w:val="20"/>
          <w:lang w:eastAsia="zh-CN"/>
        </w:rPr>
        <w:t>无水氟化氢</w:t>
      </w:r>
      <w:r>
        <w:rPr>
          <w:rFonts w:hint="eastAsia" w:ascii="Times New Roman" w:hAnsi="Times New Roman" w:cs="Times New Roman"/>
          <w:snapToGrid/>
          <w:color w:val="000000" w:themeColor="text1"/>
          <w:spacing w:val="-2"/>
          <w:szCs w:val="20"/>
          <w:lang w:eastAsia="zh-CN"/>
          <w14:textFill>
            <w14:solidFill>
              <w14:schemeClr w14:val="tx1"/>
            </w14:solidFill>
          </w14:textFill>
        </w:rPr>
        <w:t>罐区储罐</w:t>
      </w:r>
      <w:r>
        <w:rPr>
          <w:rFonts w:ascii="Times New Roman" w:hAnsi="Times New Roman" w:cs="Times New Roman"/>
          <w:snapToGrid/>
          <w:color w:val="000000" w:themeColor="text1"/>
          <w:spacing w:val="-2"/>
          <w:szCs w:val="20"/>
          <w:lang w:eastAsia="zh-CN"/>
          <w14:textFill>
            <w14:solidFill>
              <w14:schemeClr w14:val="tx1"/>
            </w14:solidFill>
          </w14:textFill>
        </w:rPr>
        <w:t>泄漏</w:t>
      </w:r>
      <w:r>
        <w:rPr>
          <w:rFonts w:hint="eastAsia" w:ascii="Times New Roman" w:hAnsi="Times New Roman" w:cs="Times New Roman"/>
          <w:snapToGrid/>
          <w:color w:val="000000" w:themeColor="text1"/>
          <w:spacing w:val="-2"/>
          <w:szCs w:val="20"/>
          <w:lang w:eastAsia="zh-CN"/>
          <w14:textFill>
            <w14:solidFill>
              <w14:schemeClr w14:val="tx1"/>
            </w14:solidFill>
          </w14:textFill>
        </w:rPr>
        <w:t>泄漏</w:t>
      </w:r>
      <w:r>
        <w:rPr>
          <w:rFonts w:ascii="Times New Roman" w:hAnsi="Times New Roman" w:cs="Times New Roman"/>
          <w:snapToGrid/>
          <w:color w:val="000000" w:themeColor="text1"/>
          <w:spacing w:val="-2"/>
          <w:szCs w:val="20"/>
          <w:lang w:eastAsia="zh-CN"/>
          <w14:textFill>
            <w14:solidFill>
              <w14:schemeClr w14:val="tx1"/>
            </w14:solidFill>
          </w14:textFill>
        </w:rPr>
        <w:t>后，污染物进入地下水环境中造成污染，污染物排放类型为</w:t>
      </w:r>
      <w:r>
        <w:rPr>
          <w:rFonts w:hint="eastAsia" w:ascii="Times New Roman" w:hAnsi="Times New Roman" w:cs="Times New Roman"/>
          <w:snapToGrid/>
          <w:color w:val="000000" w:themeColor="text1"/>
          <w:spacing w:val="-2"/>
          <w:szCs w:val="20"/>
          <w:lang w:eastAsia="zh-CN"/>
          <w14:textFill>
            <w14:solidFill>
              <w14:schemeClr w14:val="tx1"/>
            </w14:solidFill>
          </w14:textFill>
        </w:rPr>
        <w:t>短时</w:t>
      </w:r>
      <w:r>
        <w:rPr>
          <w:rFonts w:ascii="Times New Roman" w:hAnsi="Times New Roman" w:cs="Times New Roman"/>
          <w:snapToGrid/>
          <w:color w:val="000000" w:themeColor="text1"/>
          <w:spacing w:val="-2"/>
          <w:szCs w:val="20"/>
          <w:lang w:eastAsia="zh-CN"/>
          <w14:textFill>
            <w14:solidFill>
              <w14:schemeClr w14:val="tx1"/>
            </w14:solidFill>
          </w14:textFill>
        </w:rPr>
        <w:t>排放。根据工程所处区域的地质情况，拟建项目可能对下水造成污染的途径主要为非正常状况下</w:t>
      </w:r>
      <w:r>
        <w:rPr>
          <w:rFonts w:hint="eastAsia" w:ascii="Times New Roman" w:hAnsi="Times New Roman" w:cs="Times New Roman"/>
          <w:snapToGrid/>
          <w:color w:val="000000" w:themeColor="text1"/>
          <w:spacing w:val="-2"/>
          <w:szCs w:val="20"/>
          <w:lang w:eastAsia="zh-CN"/>
          <w14:textFill>
            <w14:solidFill>
              <w14:schemeClr w14:val="tx1"/>
            </w14:solidFill>
          </w14:textFill>
        </w:rPr>
        <w:t>二级水喷淋塔吸收的氟化氢水溶液暂存罐</w:t>
      </w:r>
      <w:r>
        <w:rPr>
          <w:rFonts w:ascii="Times New Roman" w:hAnsi="Times New Roman" w:cs="Times New Roman"/>
          <w:snapToGrid/>
          <w:color w:val="000000" w:themeColor="text1"/>
          <w:spacing w:val="-2"/>
          <w:szCs w:val="20"/>
          <w:lang w:eastAsia="zh-CN"/>
          <w14:textFill>
            <w14:solidFill>
              <w14:schemeClr w14:val="tx1"/>
            </w14:solidFill>
          </w14:textFill>
        </w:rPr>
        <w:t>泄漏后，污染物</w:t>
      </w:r>
      <w:r>
        <w:rPr>
          <w:rFonts w:hint="eastAsia" w:ascii="Times New Roman" w:hAnsi="Times New Roman" w:cs="Times New Roman"/>
          <w:snapToGrid/>
          <w:color w:val="000000" w:themeColor="text1"/>
          <w:spacing w:val="-2"/>
          <w:szCs w:val="20"/>
          <w:lang w:eastAsia="zh-CN"/>
          <w14:textFill>
            <w14:solidFill>
              <w14:schemeClr w14:val="tx1"/>
            </w14:solidFill>
          </w14:textFill>
        </w:rPr>
        <w:t>氟化物</w:t>
      </w:r>
      <w:r>
        <w:rPr>
          <w:rFonts w:ascii="Times New Roman" w:hAnsi="Times New Roman" w:cs="Times New Roman"/>
          <w:snapToGrid/>
          <w:color w:val="000000" w:themeColor="text1"/>
          <w:spacing w:val="-2"/>
          <w:szCs w:val="20"/>
          <w:lang w:eastAsia="zh-CN"/>
          <w14:textFill>
            <w14:solidFill>
              <w14:schemeClr w14:val="tx1"/>
            </w14:solidFill>
          </w14:textFill>
        </w:rPr>
        <w:t>进入地下水环境中造成污染，污染物排放类型为连续排放。</w:t>
      </w:r>
    </w:p>
    <w:p w14:paraId="51B90F29">
      <w:pPr>
        <w:widowControl w:val="0"/>
        <w:spacing w:line="360" w:lineRule="auto"/>
        <w:ind w:firstLine="482"/>
        <w:jc w:val="both"/>
        <w:outlineLvl w:val="3"/>
        <w:rPr>
          <w:rFonts w:ascii="Times New Roman" w:hAnsi="Times New Roman" w:eastAsia="新宋体" w:cs="Times New Roman"/>
          <w:color w:val="auto"/>
          <w:szCs w:val="24"/>
          <w:lang w:eastAsia="zh-CN"/>
        </w:rPr>
      </w:pPr>
      <w:r>
        <w:rPr>
          <w:rFonts w:ascii="Times New Roman" w:hAnsi="Times New Roman" w:eastAsia="新宋体" w:cs="Times New Roman"/>
          <w:b/>
          <w:bCs/>
          <w:color w:val="auto"/>
          <w:szCs w:val="24"/>
          <w:lang w:eastAsia="zh-CN"/>
        </w:rPr>
        <w:t>6.5.3.</w:t>
      </w:r>
      <w:r>
        <w:rPr>
          <w:rFonts w:hint="eastAsia" w:ascii="Times New Roman" w:hAnsi="Times New Roman" w:eastAsia="新宋体" w:cs="Times New Roman"/>
          <w:b/>
          <w:bCs/>
          <w:color w:val="auto"/>
          <w:szCs w:val="24"/>
          <w:lang w:eastAsia="zh-CN"/>
        </w:rPr>
        <w:t>4 预测因子与源强</w:t>
      </w:r>
    </w:p>
    <w:p w14:paraId="7C83C691">
      <w:pPr>
        <w:widowControl w:val="0"/>
        <w:spacing w:line="360" w:lineRule="auto"/>
        <w:ind w:firstLine="472" w:firstLineChars="200"/>
        <w:jc w:val="both"/>
        <w:rPr>
          <w:rFonts w:ascii="Times New Roman" w:hAnsi="Times New Roman" w:cs="Times New Roman"/>
          <w:snapToGrid/>
          <w:color w:val="auto"/>
          <w:spacing w:val="-2"/>
          <w:szCs w:val="20"/>
          <w:lang w:eastAsia="zh-CN"/>
        </w:rPr>
      </w:pPr>
      <w:r>
        <w:rPr>
          <w:rFonts w:hint="eastAsia" w:ascii="Times New Roman" w:hAnsi="Times New Roman" w:cs="Times New Roman"/>
          <w:snapToGrid/>
          <w:color w:val="auto"/>
          <w:spacing w:val="-2"/>
          <w:szCs w:val="20"/>
          <w:lang w:eastAsia="zh-CN"/>
        </w:rPr>
        <w:t>（1）无水氟化氢</w:t>
      </w:r>
      <w:r>
        <w:rPr>
          <w:rFonts w:ascii="Times New Roman" w:hAnsi="Times New Roman" w:cs="Times New Roman"/>
          <w:snapToGrid/>
          <w:color w:val="auto"/>
          <w:spacing w:val="-2"/>
          <w:szCs w:val="20"/>
          <w:lang w:eastAsia="zh-CN"/>
        </w:rPr>
        <w:t>储罐泄漏通过包气带进入地下水的情形</w:t>
      </w:r>
    </w:p>
    <w:p w14:paraId="6665B444">
      <w:pPr>
        <w:widowControl w:val="0"/>
        <w:spacing w:line="360" w:lineRule="auto"/>
        <w:ind w:firstLine="472" w:firstLineChars="200"/>
        <w:jc w:val="both"/>
        <w:rPr>
          <w:rFonts w:ascii="Times New Roman" w:hAnsi="Times New Roman" w:cs="Times New Roman"/>
          <w:snapToGrid/>
          <w:color w:val="auto"/>
          <w:spacing w:val="-2"/>
          <w:szCs w:val="20"/>
          <w:lang w:eastAsia="zh-CN"/>
        </w:rPr>
      </w:pPr>
      <w:r>
        <w:rPr>
          <w:rFonts w:hint="eastAsia" w:ascii="Times New Roman" w:hAnsi="Times New Roman" w:cs="Times New Roman"/>
          <w:snapToGrid/>
          <w:color w:val="auto"/>
          <w:spacing w:val="-2"/>
          <w:szCs w:val="20"/>
          <w:lang w:eastAsia="zh-CN"/>
        </w:rPr>
        <w:t>根据环境风险章节，无水氟化氢</w:t>
      </w:r>
      <w:r>
        <w:rPr>
          <w:rFonts w:ascii="Times New Roman" w:hAnsi="Times New Roman" w:cs="Times New Roman"/>
          <w:snapToGrid/>
          <w:color w:val="auto"/>
          <w:spacing w:val="-2"/>
          <w:szCs w:val="20"/>
          <w:lang w:eastAsia="zh-CN"/>
        </w:rPr>
        <w:t>储罐</w:t>
      </w:r>
      <w:r>
        <w:rPr>
          <w:rFonts w:hint="eastAsia" w:ascii="Times New Roman" w:hAnsi="Times New Roman" w:cs="Times New Roman"/>
          <w:snapToGrid/>
          <w:color w:val="auto"/>
          <w:spacing w:val="-2"/>
          <w:szCs w:val="20"/>
          <w:lang w:eastAsia="zh-CN"/>
        </w:rPr>
        <w:t>（100</w:t>
      </w:r>
      <w:r>
        <w:rPr>
          <w:rFonts w:ascii="Times New Roman" w:hAnsi="Times New Roman" w:cs="Times New Roman"/>
          <w:snapToGrid/>
          <w:color w:val="auto"/>
          <w:spacing w:val="-2"/>
          <w:szCs w:val="20"/>
          <w:lang w:eastAsia="zh-CN"/>
        </w:rPr>
        <w:t>m</w:t>
      </w:r>
      <w:r>
        <w:rPr>
          <w:rFonts w:ascii="Times New Roman" w:hAnsi="Times New Roman" w:cs="Times New Roman"/>
          <w:snapToGrid/>
          <w:color w:val="auto"/>
          <w:spacing w:val="-2"/>
          <w:szCs w:val="20"/>
          <w:vertAlign w:val="superscript"/>
          <w:lang w:eastAsia="zh-CN"/>
        </w:rPr>
        <w:t>3</w:t>
      </w:r>
      <w:r>
        <w:rPr>
          <w:rFonts w:hint="eastAsia" w:ascii="Times New Roman" w:hAnsi="Times New Roman" w:cs="Times New Roman"/>
          <w:snapToGrid/>
          <w:color w:val="auto"/>
          <w:spacing w:val="-2"/>
          <w:szCs w:val="20"/>
          <w:lang w:eastAsia="zh-CN"/>
        </w:rPr>
        <w:t>）泄漏，氟化氢单次泄漏量为6606kg。</w:t>
      </w:r>
      <w:r>
        <w:rPr>
          <w:rFonts w:ascii="Times New Roman" w:hAnsi="Times New Roman" w:cs="Times New Roman"/>
          <w:snapToGrid/>
          <w:color w:val="auto"/>
          <w:spacing w:val="-2"/>
          <w:szCs w:val="20"/>
          <w:lang w:eastAsia="zh-CN"/>
        </w:rPr>
        <w:t>发生意外泄漏后，其中5%</w:t>
      </w:r>
      <w:r>
        <w:rPr>
          <w:rFonts w:hint="eastAsia" w:ascii="Times New Roman" w:hAnsi="Times New Roman" w:cs="Times New Roman"/>
          <w:snapToGrid/>
          <w:color w:val="auto"/>
          <w:spacing w:val="-2"/>
          <w:szCs w:val="20"/>
          <w:lang w:eastAsia="zh-CN"/>
        </w:rPr>
        <w:t>氟化氢</w:t>
      </w:r>
      <w:r>
        <w:rPr>
          <w:rFonts w:ascii="Times New Roman" w:hAnsi="Times New Roman" w:cs="Times New Roman"/>
          <w:snapToGrid/>
          <w:color w:val="auto"/>
          <w:spacing w:val="-2"/>
          <w:szCs w:val="20"/>
          <w:lang w:eastAsia="zh-CN"/>
        </w:rPr>
        <w:t>在防渗失效的情况下会下渗到包气带，包气带残存量约占10%，则</w:t>
      </w:r>
      <w:r>
        <w:rPr>
          <w:rFonts w:hint="eastAsia" w:ascii="Times New Roman" w:hAnsi="Times New Roman" w:cs="Times New Roman"/>
          <w:snapToGrid/>
          <w:color w:val="auto"/>
          <w:spacing w:val="-2"/>
          <w:szCs w:val="20"/>
          <w:lang w:eastAsia="zh-CN"/>
        </w:rPr>
        <w:t>氟化氢</w:t>
      </w:r>
      <w:r>
        <w:rPr>
          <w:rFonts w:ascii="Times New Roman" w:hAnsi="Times New Roman" w:cs="Times New Roman"/>
          <w:snapToGrid/>
          <w:color w:val="auto"/>
          <w:spacing w:val="-2"/>
          <w:szCs w:val="20"/>
          <w:lang w:eastAsia="zh-CN"/>
        </w:rPr>
        <w:t>进入潜水的质量为</w:t>
      </w:r>
      <w:r>
        <w:rPr>
          <w:rFonts w:hint="eastAsia" w:ascii="Times New Roman" w:hAnsi="Times New Roman" w:cs="Times New Roman"/>
          <w:snapToGrid/>
          <w:color w:val="auto"/>
          <w:spacing w:val="-2"/>
          <w:szCs w:val="20"/>
          <w:lang w:eastAsia="zh-CN"/>
        </w:rPr>
        <w:t>297.27</w:t>
      </w:r>
      <w:r>
        <w:rPr>
          <w:rFonts w:ascii="Times New Roman" w:hAnsi="Times New Roman" w:cs="Times New Roman"/>
          <w:snapToGrid/>
          <w:color w:val="auto"/>
          <w:spacing w:val="-2"/>
          <w:szCs w:val="20"/>
          <w:lang w:eastAsia="zh-CN"/>
        </w:rPr>
        <w:t>kg</w:t>
      </w:r>
      <w:r>
        <w:rPr>
          <w:rFonts w:hint="eastAsia" w:ascii="Times New Roman" w:hAnsi="Times New Roman" w:cs="Times New Roman"/>
          <w:snapToGrid/>
          <w:color w:val="auto"/>
          <w:spacing w:val="-2"/>
          <w:szCs w:val="20"/>
          <w:lang w:eastAsia="zh-CN"/>
        </w:rPr>
        <w:t>，选取无水氟化氢</w:t>
      </w:r>
      <w:r>
        <w:rPr>
          <w:rFonts w:ascii="Times New Roman" w:hAnsi="Times New Roman" w:cs="Times New Roman"/>
          <w:snapToGrid/>
          <w:color w:val="auto"/>
          <w:spacing w:val="-2"/>
          <w:szCs w:val="20"/>
          <w:lang w:eastAsia="zh-CN"/>
        </w:rPr>
        <w:t>储罐泄漏</w:t>
      </w:r>
      <w:r>
        <w:rPr>
          <w:rFonts w:hint="eastAsia" w:ascii="Times New Roman" w:hAnsi="Times New Roman" w:cs="Times New Roman"/>
          <w:snapToGrid/>
          <w:color w:val="auto"/>
          <w:spacing w:val="-2"/>
          <w:szCs w:val="20"/>
          <w:lang w:eastAsia="zh-CN"/>
        </w:rPr>
        <w:t>，氟化物进入地下水环境中作为预测情景。</w:t>
      </w:r>
    </w:p>
    <w:p w14:paraId="169CA27A">
      <w:pPr>
        <w:widowControl w:val="0"/>
        <w:spacing w:line="360" w:lineRule="auto"/>
        <w:ind w:left="480"/>
        <w:jc w:val="both"/>
        <w:rPr>
          <w:rFonts w:ascii="Times New Roman" w:hAnsi="Times New Roman" w:cs="Times New Roman"/>
          <w:snapToGrid/>
          <w:color w:val="auto"/>
          <w:spacing w:val="-2"/>
          <w:szCs w:val="20"/>
          <w:lang w:eastAsia="zh-CN"/>
        </w:rPr>
      </w:pPr>
      <w:r>
        <w:rPr>
          <w:rFonts w:hint="eastAsia" w:ascii="Times New Roman" w:hAnsi="Times New Roman" w:cs="Times New Roman"/>
          <w:snapToGrid/>
          <w:color w:val="auto"/>
          <w:spacing w:val="-2"/>
          <w:szCs w:val="20"/>
          <w:lang w:eastAsia="zh-CN"/>
        </w:rPr>
        <w:t>（2）</w:t>
      </w:r>
      <w:r>
        <w:rPr>
          <w:rFonts w:hint="eastAsia" w:ascii="Times New Roman" w:hAnsi="Times New Roman" w:cs="Times New Roman"/>
          <w:snapToGrid/>
          <w:color w:val="000000" w:themeColor="text1"/>
          <w:spacing w:val="-2"/>
          <w:szCs w:val="20"/>
          <w:lang w:eastAsia="zh-CN"/>
          <w14:textFill>
            <w14:solidFill>
              <w14:schemeClr w14:val="tx1"/>
            </w14:solidFill>
          </w14:textFill>
        </w:rPr>
        <w:t>二级水喷淋塔吸收的氟化氢水溶液暂存罐</w:t>
      </w:r>
      <w:r>
        <w:rPr>
          <w:rFonts w:hint="eastAsia" w:ascii="Times New Roman" w:hAnsi="Times New Roman" w:cs="Times New Roman"/>
          <w:snapToGrid/>
          <w:color w:val="auto"/>
          <w:spacing w:val="-2"/>
          <w:szCs w:val="20"/>
          <w:lang w:eastAsia="zh-CN"/>
        </w:rPr>
        <w:t>泄漏</w:t>
      </w:r>
      <w:r>
        <w:rPr>
          <w:rFonts w:ascii="Times New Roman" w:hAnsi="Times New Roman" w:cs="Times New Roman"/>
          <w:snapToGrid/>
          <w:color w:val="auto"/>
          <w:spacing w:val="-2"/>
          <w:szCs w:val="20"/>
          <w:lang w:eastAsia="zh-CN"/>
        </w:rPr>
        <w:t>通过包气带进入地下水的情形</w:t>
      </w:r>
    </w:p>
    <w:p w14:paraId="4286453E">
      <w:pPr>
        <w:widowControl w:val="0"/>
        <w:spacing w:line="360" w:lineRule="auto"/>
        <w:ind w:firstLine="472" w:firstLineChars="200"/>
        <w:jc w:val="both"/>
        <w:rPr>
          <w:rFonts w:ascii="Times New Roman" w:hAnsi="Times New Roman" w:cs="Times New Roman"/>
          <w:snapToGrid/>
          <w:color w:val="000000" w:themeColor="text1"/>
          <w:spacing w:val="-2"/>
          <w:szCs w:val="20"/>
          <w:lang w:eastAsia="zh-CN"/>
          <w14:textFill>
            <w14:solidFill>
              <w14:schemeClr w14:val="tx1"/>
            </w14:solidFill>
          </w14:textFill>
        </w:rPr>
      </w:pPr>
      <w:r>
        <w:rPr>
          <w:rFonts w:hint="eastAsia" w:ascii="Times New Roman" w:hAnsi="Times New Roman" w:cs="Times New Roman"/>
          <w:snapToGrid/>
          <w:color w:val="000000" w:themeColor="text1"/>
          <w:spacing w:val="-2"/>
          <w:szCs w:val="20"/>
          <w:lang w:eastAsia="zh-CN"/>
          <w14:textFill>
            <w14:solidFill>
              <w14:schemeClr w14:val="tx1"/>
            </w14:solidFill>
          </w14:textFill>
        </w:rPr>
        <w:t>本项目二级水喷淋塔吸收的氟化氢水溶液中氟化物浓度为氟化物18372mg/L</w:t>
      </w:r>
      <w:r>
        <w:rPr>
          <w:rFonts w:ascii="Times New Roman" w:hAnsi="Times New Roman" w:cs="Times New Roman"/>
          <w:snapToGrid/>
          <w:color w:val="000000" w:themeColor="text1"/>
          <w:spacing w:val="-2"/>
          <w:szCs w:val="20"/>
          <w:lang w:eastAsia="zh-CN"/>
          <w14:textFill>
            <w14:solidFill>
              <w14:schemeClr w14:val="tx1"/>
            </w14:solidFill>
          </w14:textFill>
        </w:rPr>
        <w:t xml:space="preserve"> </w:t>
      </w:r>
      <w:r>
        <w:rPr>
          <w:rFonts w:hint="eastAsia" w:ascii="Times New Roman" w:hAnsi="Times New Roman" w:cs="Times New Roman"/>
          <w:snapToGrid/>
          <w:color w:val="000000" w:themeColor="text1"/>
          <w:spacing w:val="-2"/>
          <w:szCs w:val="20"/>
          <w:lang w:eastAsia="zh-CN"/>
          <w14:textFill>
            <w14:solidFill>
              <w14:schemeClr w14:val="tx1"/>
            </w14:solidFill>
          </w14:textFill>
        </w:rPr>
        <w:t>，项目选取氟化物作为预测因子。项目二级水喷淋塔吸收的氟化氢水溶液暂存罐容积为2m</w:t>
      </w:r>
      <w:r>
        <w:rPr>
          <w:rFonts w:hint="eastAsia" w:ascii="Times New Roman" w:hAnsi="Times New Roman" w:cs="Times New Roman"/>
          <w:snapToGrid/>
          <w:color w:val="000000" w:themeColor="text1"/>
          <w:spacing w:val="-2"/>
          <w:szCs w:val="20"/>
          <w:vertAlign w:val="superscript"/>
          <w:lang w:eastAsia="zh-CN"/>
          <w14:textFill>
            <w14:solidFill>
              <w14:schemeClr w14:val="tx1"/>
            </w14:solidFill>
          </w14:textFill>
        </w:rPr>
        <w:t>3</w:t>
      </w:r>
      <w:r>
        <w:rPr>
          <w:rFonts w:hint="eastAsia" w:ascii="Times New Roman" w:hAnsi="Times New Roman" w:cs="Times New Roman"/>
          <w:snapToGrid/>
          <w:color w:val="000000" w:themeColor="text1"/>
          <w:spacing w:val="-2"/>
          <w:szCs w:val="20"/>
          <w:lang w:eastAsia="zh-CN"/>
          <w14:textFill>
            <w14:solidFill>
              <w14:schemeClr w14:val="tx1"/>
            </w14:solidFill>
          </w14:textFill>
        </w:rPr>
        <w:t>，</w:t>
      </w:r>
      <w:r>
        <w:rPr>
          <w:rFonts w:ascii="Times New Roman" w:hAnsi="Times New Roman" w:cs="Times New Roman"/>
          <w:snapToGrid/>
          <w:color w:val="000000" w:themeColor="text1"/>
          <w:spacing w:val="-2"/>
          <w:szCs w:val="20"/>
          <w:lang w:eastAsia="zh-CN"/>
          <w14:textFill>
            <w14:solidFill>
              <w14:schemeClr w14:val="tx1"/>
            </w14:solidFill>
          </w14:textFill>
        </w:rPr>
        <w:t>发生意外泄漏后，其中5%</w:t>
      </w:r>
      <w:r>
        <w:rPr>
          <w:rFonts w:hint="eastAsia" w:ascii="Times New Roman" w:hAnsi="Times New Roman" w:cs="Times New Roman"/>
          <w:snapToGrid/>
          <w:color w:val="000000" w:themeColor="text1"/>
          <w:spacing w:val="-2"/>
          <w:szCs w:val="20"/>
          <w:lang w:eastAsia="zh-CN"/>
          <w14:textFill>
            <w14:solidFill>
              <w14:schemeClr w14:val="tx1"/>
            </w14:solidFill>
          </w14:textFill>
        </w:rPr>
        <w:t>水溶液</w:t>
      </w:r>
      <w:r>
        <w:rPr>
          <w:rFonts w:ascii="Times New Roman" w:hAnsi="Times New Roman" w:cs="Times New Roman"/>
          <w:snapToGrid/>
          <w:color w:val="000000" w:themeColor="text1"/>
          <w:spacing w:val="-2"/>
          <w:szCs w:val="20"/>
          <w:lang w:eastAsia="zh-CN"/>
          <w14:textFill>
            <w14:solidFill>
              <w14:schemeClr w14:val="tx1"/>
            </w14:solidFill>
          </w14:textFill>
        </w:rPr>
        <w:t>在防渗失效的情况下会下渗到包气带，包气带残存量约占10%，则</w:t>
      </w:r>
      <w:r>
        <w:rPr>
          <w:rFonts w:hint="eastAsia" w:ascii="Times New Roman" w:hAnsi="Times New Roman" w:cs="Times New Roman"/>
          <w:snapToGrid/>
          <w:color w:val="000000" w:themeColor="text1"/>
          <w:spacing w:val="-2"/>
          <w:szCs w:val="20"/>
          <w:lang w:eastAsia="zh-CN"/>
          <w14:textFill>
            <w14:solidFill>
              <w14:schemeClr w14:val="tx1"/>
            </w14:solidFill>
          </w14:textFill>
        </w:rPr>
        <w:t>则氟化物</w:t>
      </w:r>
      <w:r>
        <w:rPr>
          <w:rFonts w:ascii="Times New Roman" w:hAnsi="Times New Roman" w:cs="Times New Roman"/>
          <w:snapToGrid/>
          <w:color w:val="000000" w:themeColor="text1"/>
          <w:spacing w:val="-2"/>
          <w:szCs w:val="20"/>
          <w:lang w:eastAsia="zh-CN"/>
          <w14:textFill>
            <w14:solidFill>
              <w14:schemeClr w14:val="tx1"/>
            </w14:solidFill>
          </w14:textFill>
        </w:rPr>
        <w:t>进入潜水的质量为</w:t>
      </w:r>
      <w:r>
        <w:rPr>
          <w:rFonts w:hint="eastAsia" w:ascii="Times New Roman" w:hAnsi="Times New Roman" w:cs="Times New Roman"/>
          <w:snapToGrid/>
          <w:color w:val="000000" w:themeColor="text1"/>
          <w:spacing w:val="-2"/>
          <w:szCs w:val="20"/>
          <w:lang w:eastAsia="zh-CN"/>
          <w14:textFill>
            <w14:solidFill>
              <w14:schemeClr w14:val="tx1"/>
            </w14:solidFill>
          </w14:textFill>
        </w:rPr>
        <w:t>1653.48</w:t>
      </w:r>
      <w:r>
        <w:rPr>
          <w:rFonts w:ascii="Times New Roman" w:hAnsi="Times New Roman" w:cs="Times New Roman"/>
          <w:snapToGrid/>
          <w:color w:val="000000" w:themeColor="text1"/>
          <w:spacing w:val="-2"/>
          <w:szCs w:val="20"/>
          <w:lang w:eastAsia="zh-CN"/>
          <w14:textFill>
            <w14:solidFill>
              <w14:schemeClr w14:val="tx1"/>
            </w14:solidFill>
          </w14:textFill>
        </w:rPr>
        <w:t>g</w:t>
      </w:r>
      <w:r>
        <w:rPr>
          <w:rFonts w:hint="eastAsia" w:ascii="Times New Roman" w:hAnsi="Times New Roman" w:cs="Times New Roman"/>
          <w:snapToGrid/>
          <w:color w:val="000000" w:themeColor="text1"/>
          <w:spacing w:val="-2"/>
          <w:szCs w:val="20"/>
          <w:lang w:eastAsia="zh-CN"/>
          <w14:textFill>
            <w14:solidFill>
              <w14:schemeClr w14:val="tx1"/>
            </w14:solidFill>
          </w14:textFill>
        </w:rPr>
        <w:t>。</w:t>
      </w:r>
    </w:p>
    <w:p w14:paraId="251B96AC">
      <w:pPr>
        <w:widowControl w:val="0"/>
        <w:spacing w:line="360" w:lineRule="auto"/>
        <w:ind w:firstLine="482"/>
        <w:jc w:val="both"/>
        <w:outlineLvl w:val="3"/>
        <w:rPr>
          <w:rFonts w:ascii="Times New Roman" w:hAnsi="Times New Roman" w:eastAsia="新宋体" w:cs="Times New Roman"/>
          <w:color w:val="auto"/>
          <w:szCs w:val="24"/>
          <w:lang w:eastAsia="zh-CN"/>
        </w:rPr>
      </w:pPr>
      <w:r>
        <w:rPr>
          <w:rFonts w:ascii="Times New Roman" w:hAnsi="Times New Roman" w:eastAsia="新宋体" w:cs="Times New Roman"/>
          <w:b/>
          <w:bCs/>
          <w:color w:val="auto"/>
          <w:szCs w:val="24"/>
          <w:lang w:eastAsia="zh-CN"/>
        </w:rPr>
        <w:t>6.5.3.</w:t>
      </w:r>
      <w:r>
        <w:rPr>
          <w:rFonts w:hint="eastAsia" w:ascii="Times New Roman" w:hAnsi="Times New Roman" w:eastAsia="新宋体" w:cs="Times New Roman"/>
          <w:b/>
          <w:bCs/>
          <w:color w:val="auto"/>
          <w:szCs w:val="24"/>
          <w:lang w:eastAsia="zh-CN"/>
        </w:rPr>
        <w:t>5 预测模型</w:t>
      </w:r>
    </w:p>
    <w:p w14:paraId="18C1E775">
      <w:pPr>
        <w:widowControl w:val="0"/>
        <w:spacing w:line="360" w:lineRule="auto"/>
        <w:ind w:firstLine="480" w:firstLineChars="200"/>
        <w:jc w:val="both"/>
        <w:rPr>
          <w:rFonts w:ascii="Times New Roman" w:hAnsi="Times New Roman" w:cs="Times New Roman"/>
          <w:szCs w:val="24"/>
          <w:lang w:eastAsia="zh-CN"/>
        </w:rPr>
      </w:pPr>
      <w:r>
        <w:rPr>
          <w:rFonts w:ascii="Times New Roman" w:hAnsi="Times New Roman" w:cs="Times New Roman"/>
          <w:szCs w:val="24"/>
          <w:lang w:eastAsia="zh-CN"/>
        </w:rPr>
        <w:t>根据《环境影响评价技术导则地下水环境》（HJ 610-2016），通过对水文地质模型的分析，依据渗流连续性方程和达西定律，建立评价区地下水系统水文地质模型相对应的三维稳定流数学模型：</w:t>
      </w:r>
    </w:p>
    <w:p w14:paraId="61D920D5">
      <w:pPr>
        <w:spacing w:line="360" w:lineRule="auto"/>
        <w:jc w:val="center"/>
        <w:rPr>
          <w:rFonts w:cs="Times New Roman"/>
          <w:color w:val="000000" w:themeColor="text1"/>
          <w:szCs w:val="24"/>
          <w14:textFill>
            <w14:solidFill>
              <w14:schemeClr w14:val="tx1"/>
            </w14:solidFill>
          </w14:textFill>
        </w:rPr>
      </w:pPr>
      <m:oMathPara>
        <m:oMath>
          <m:f>
            <m:fPr>
              <m:ctrlPr>
                <w:rPr>
                  <w:rFonts w:ascii="Cambria Math" w:hAnsi="Cambria Math" w:cs="Times New Roman"/>
                  <w:color w:val="000000" w:themeColor="text1"/>
                  <w:szCs w:val="24"/>
                  <w14:textFill>
                    <w14:solidFill>
                      <w14:schemeClr w14:val="tx1"/>
                    </w14:solidFill>
                  </w14:textFill>
                </w:rPr>
              </m:ctrlPr>
            </m:fPr>
            <m:num>
              <m:r>
                <m:rPr/>
                <w:rPr>
                  <w:rFonts w:ascii="Cambria Math" w:hAnsi="Cambria Math" w:cs="Times New Roman"/>
                  <w:color w:val="000000" w:themeColor="text1"/>
                  <w:szCs w:val="24"/>
                  <w14:textFill>
                    <w14:solidFill>
                      <w14:schemeClr w14:val="tx1"/>
                    </w14:solidFill>
                  </w14:textFill>
                </w:rPr>
                <m:t>∂</m:t>
              </m:r>
              <m:ctrlPr>
                <w:rPr>
                  <w:rFonts w:ascii="Cambria Math" w:hAnsi="Cambria Math" w:cs="Times New Roman"/>
                  <w:color w:val="000000" w:themeColor="text1"/>
                  <w:szCs w:val="24"/>
                  <w14:textFill>
                    <w14:solidFill>
                      <w14:schemeClr w14:val="tx1"/>
                    </w14:solidFill>
                  </w14:textFill>
                </w:rPr>
              </m:ctrlPr>
            </m:num>
            <m:den>
              <m:r>
                <m:rPr/>
                <w:rPr>
                  <w:rFonts w:ascii="Cambria Math" w:hAnsi="Cambria Math" w:cs="Times New Roman"/>
                  <w:color w:val="000000" w:themeColor="text1"/>
                  <w:szCs w:val="24"/>
                  <w14:textFill>
                    <w14:solidFill>
                      <w14:schemeClr w14:val="tx1"/>
                    </w14:solidFill>
                  </w14:textFill>
                </w:rPr>
                <m:t>∂x</m:t>
              </m:r>
              <m:ctrlPr>
                <w:rPr>
                  <w:rFonts w:ascii="Cambria Math" w:hAnsi="Cambria Math" w:cs="Times New Roman"/>
                  <w:color w:val="000000" w:themeColor="text1"/>
                  <w:szCs w:val="24"/>
                  <w14:textFill>
                    <w14:solidFill>
                      <w14:schemeClr w14:val="tx1"/>
                    </w14:solidFill>
                  </w14:textFill>
                </w:rPr>
              </m:ctrlPr>
            </m:den>
          </m:f>
          <m:d>
            <m:dPr>
              <m:ctrlPr>
                <w:rPr>
                  <w:rFonts w:ascii="Cambria Math" w:hAnsi="Cambria Math" w:cs="Times New Roman"/>
                  <w:i/>
                  <w:color w:val="000000" w:themeColor="text1"/>
                  <w:szCs w:val="24"/>
                  <w14:textFill>
                    <w14:solidFill>
                      <w14:schemeClr w14:val="tx1"/>
                    </w14:solidFill>
                  </w14:textFill>
                </w:rPr>
              </m:ctrlPr>
            </m:dPr>
            <m:e>
              <m:sSub>
                <m:sSubPr>
                  <m:ctrlPr>
                    <w:rPr>
                      <w:rFonts w:ascii="Cambria Math" w:hAnsi="Cambria Math" w:cs="Times New Roman"/>
                      <w:i/>
                      <w:color w:val="000000" w:themeColor="text1"/>
                      <w:szCs w:val="24"/>
                      <w14:textFill>
                        <w14:solidFill>
                          <w14:schemeClr w14:val="tx1"/>
                        </w14:solidFill>
                      </w14:textFill>
                    </w:rPr>
                  </m:ctrlPr>
                </m:sSubPr>
                <m:e>
                  <m:r>
                    <m:rPr/>
                    <w:rPr>
                      <w:rFonts w:ascii="Cambria Math" w:hAnsi="Cambria Math" w:cs="Times New Roman"/>
                      <w:color w:val="000000" w:themeColor="text1"/>
                      <w:szCs w:val="24"/>
                      <w14:textFill>
                        <w14:solidFill>
                          <w14:schemeClr w14:val="tx1"/>
                        </w14:solidFill>
                      </w14:textFill>
                    </w:rPr>
                    <m:t>K</m:t>
                  </m:r>
                  <m:ctrlPr>
                    <w:rPr>
                      <w:rFonts w:ascii="Cambria Math" w:hAnsi="Cambria Math" w:cs="Times New Roman"/>
                      <w:i/>
                      <w:color w:val="000000" w:themeColor="text1"/>
                      <w:szCs w:val="24"/>
                      <w14:textFill>
                        <w14:solidFill>
                          <w14:schemeClr w14:val="tx1"/>
                        </w14:solidFill>
                      </w14:textFill>
                    </w:rPr>
                  </m:ctrlPr>
                </m:e>
                <m:sub>
                  <m:r>
                    <m:rPr/>
                    <w:rPr>
                      <w:rFonts w:ascii="Cambria Math" w:hAnsi="Cambria Math" w:cs="Times New Roman"/>
                      <w:color w:val="000000" w:themeColor="text1"/>
                      <w:szCs w:val="24"/>
                      <w14:textFill>
                        <w14:solidFill>
                          <w14:schemeClr w14:val="tx1"/>
                        </w14:solidFill>
                      </w14:textFill>
                    </w:rPr>
                    <m:t>xx</m:t>
                  </m:r>
                  <m:ctrlPr>
                    <w:rPr>
                      <w:rFonts w:ascii="Cambria Math" w:hAnsi="Cambria Math" w:cs="Times New Roman"/>
                      <w:i/>
                      <w:color w:val="000000" w:themeColor="text1"/>
                      <w:szCs w:val="24"/>
                      <w14:textFill>
                        <w14:solidFill>
                          <w14:schemeClr w14:val="tx1"/>
                        </w14:solidFill>
                      </w14:textFill>
                    </w:rPr>
                  </m:ctrlPr>
                </m:sub>
              </m:sSub>
              <m:f>
                <m:fPr>
                  <m:ctrlPr>
                    <w:rPr>
                      <w:rFonts w:ascii="Cambria Math" w:hAnsi="Cambria Math" w:cs="Times New Roman"/>
                      <w:i/>
                      <w:color w:val="000000" w:themeColor="text1"/>
                      <w:szCs w:val="24"/>
                      <w14:textFill>
                        <w14:solidFill>
                          <w14:schemeClr w14:val="tx1"/>
                        </w14:solidFill>
                      </w14:textFill>
                    </w:rPr>
                  </m:ctrlPr>
                </m:fPr>
                <m:num>
                  <m:r>
                    <m:rPr/>
                    <w:rPr>
                      <w:rFonts w:ascii="Cambria Math" w:hAnsi="Cambria Math" w:cs="Times New Roman"/>
                      <w:color w:val="000000" w:themeColor="text1"/>
                      <w:szCs w:val="24"/>
                      <w14:textFill>
                        <w14:solidFill>
                          <w14:schemeClr w14:val="tx1"/>
                        </w14:solidFill>
                      </w14:textFill>
                    </w:rPr>
                    <m:t>∂H</m:t>
                  </m:r>
                  <m:ctrlPr>
                    <w:rPr>
                      <w:rFonts w:ascii="Cambria Math" w:hAnsi="Cambria Math" w:cs="Times New Roman"/>
                      <w:i/>
                      <w:color w:val="000000" w:themeColor="text1"/>
                      <w:szCs w:val="24"/>
                      <w14:textFill>
                        <w14:solidFill>
                          <w14:schemeClr w14:val="tx1"/>
                        </w14:solidFill>
                      </w14:textFill>
                    </w:rPr>
                  </m:ctrlPr>
                </m:num>
                <m:den>
                  <m:r>
                    <m:rPr/>
                    <w:rPr>
                      <w:rFonts w:ascii="Cambria Math" w:hAnsi="Cambria Math" w:cs="Times New Roman"/>
                      <w:color w:val="000000" w:themeColor="text1"/>
                      <w:szCs w:val="24"/>
                      <w14:textFill>
                        <w14:solidFill>
                          <w14:schemeClr w14:val="tx1"/>
                        </w14:solidFill>
                      </w14:textFill>
                    </w:rPr>
                    <m:t>∂x</m:t>
                  </m:r>
                  <m:ctrlPr>
                    <w:rPr>
                      <w:rFonts w:ascii="Cambria Math" w:hAnsi="Cambria Math" w:cs="Times New Roman"/>
                      <w:i/>
                      <w:color w:val="000000" w:themeColor="text1"/>
                      <w:szCs w:val="24"/>
                      <w14:textFill>
                        <w14:solidFill>
                          <w14:schemeClr w14:val="tx1"/>
                        </w14:solidFill>
                      </w14:textFill>
                    </w:rPr>
                  </m:ctrlPr>
                </m:den>
              </m:f>
              <m:ctrlPr>
                <w:rPr>
                  <w:rFonts w:ascii="Cambria Math" w:hAnsi="Cambria Math" w:cs="Times New Roman"/>
                  <w:i/>
                  <w:color w:val="000000" w:themeColor="text1"/>
                  <w:szCs w:val="24"/>
                  <w14:textFill>
                    <w14:solidFill>
                      <w14:schemeClr w14:val="tx1"/>
                    </w14:solidFill>
                  </w14:textFill>
                </w:rPr>
              </m:ctrlPr>
            </m:e>
          </m:d>
          <m:r>
            <m:rPr/>
            <w:rPr>
              <w:rFonts w:ascii="Cambria Math" w:hAnsi="Cambria Math" w:cs="Times New Roman"/>
              <w:color w:val="000000" w:themeColor="text1"/>
              <w:szCs w:val="24"/>
              <w14:textFill>
                <w14:solidFill>
                  <w14:schemeClr w14:val="tx1"/>
                </w14:solidFill>
              </w14:textFill>
            </w:rPr>
            <m:t>+</m:t>
          </m:r>
          <m:f>
            <m:fPr>
              <m:ctrlPr>
                <w:rPr>
                  <w:rFonts w:ascii="Cambria Math" w:hAnsi="Cambria Math" w:cs="Times New Roman"/>
                  <w:color w:val="000000" w:themeColor="text1"/>
                  <w:szCs w:val="24"/>
                  <w14:textFill>
                    <w14:solidFill>
                      <w14:schemeClr w14:val="tx1"/>
                    </w14:solidFill>
                  </w14:textFill>
                </w:rPr>
              </m:ctrlPr>
            </m:fPr>
            <m:num>
              <m:r>
                <m:rPr/>
                <w:rPr>
                  <w:rFonts w:ascii="Cambria Math" w:hAnsi="Cambria Math" w:cs="Times New Roman"/>
                  <w:color w:val="000000" w:themeColor="text1"/>
                  <w:szCs w:val="24"/>
                  <w14:textFill>
                    <w14:solidFill>
                      <w14:schemeClr w14:val="tx1"/>
                    </w14:solidFill>
                  </w14:textFill>
                </w:rPr>
                <m:t>∂</m:t>
              </m:r>
              <m:ctrlPr>
                <w:rPr>
                  <w:rFonts w:ascii="Cambria Math" w:hAnsi="Cambria Math" w:cs="Times New Roman"/>
                  <w:color w:val="000000" w:themeColor="text1"/>
                  <w:szCs w:val="24"/>
                  <w14:textFill>
                    <w14:solidFill>
                      <w14:schemeClr w14:val="tx1"/>
                    </w14:solidFill>
                  </w14:textFill>
                </w:rPr>
              </m:ctrlPr>
            </m:num>
            <m:den>
              <m:r>
                <m:rPr/>
                <w:rPr>
                  <w:rFonts w:ascii="Cambria Math" w:hAnsi="Cambria Math" w:cs="Times New Roman"/>
                  <w:color w:val="000000" w:themeColor="text1"/>
                  <w:szCs w:val="24"/>
                  <w14:textFill>
                    <w14:solidFill>
                      <w14:schemeClr w14:val="tx1"/>
                    </w14:solidFill>
                  </w14:textFill>
                </w:rPr>
                <m:t>∂y</m:t>
              </m:r>
              <m:ctrlPr>
                <w:rPr>
                  <w:rFonts w:ascii="Cambria Math" w:hAnsi="Cambria Math" w:cs="Times New Roman"/>
                  <w:color w:val="000000" w:themeColor="text1"/>
                  <w:szCs w:val="24"/>
                  <w14:textFill>
                    <w14:solidFill>
                      <w14:schemeClr w14:val="tx1"/>
                    </w14:solidFill>
                  </w14:textFill>
                </w:rPr>
              </m:ctrlPr>
            </m:den>
          </m:f>
          <m:d>
            <m:dPr>
              <m:ctrlPr>
                <w:rPr>
                  <w:rFonts w:ascii="Cambria Math" w:hAnsi="Cambria Math" w:cs="Times New Roman"/>
                  <w:i/>
                  <w:color w:val="000000" w:themeColor="text1"/>
                  <w:szCs w:val="24"/>
                  <w14:textFill>
                    <w14:solidFill>
                      <w14:schemeClr w14:val="tx1"/>
                    </w14:solidFill>
                  </w14:textFill>
                </w:rPr>
              </m:ctrlPr>
            </m:dPr>
            <m:e>
              <m:sSub>
                <m:sSubPr>
                  <m:ctrlPr>
                    <w:rPr>
                      <w:rFonts w:ascii="Cambria Math" w:hAnsi="Cambria Math" w:cs="Times New Roman"/>
                      <w:i/>
                      <w:color w:val="000000" w:themeColor="text1"/>
                      <w:szCs w:val="24"/>
                      <w14:textFill>
                        <w14:solidFill>
                          <w14:schemeClr w14:val="tx1"/>
                        </w14:solidFill>
                      </w14:textFill>
                    </w:rPr>
                  </m:ctrlPr>
                </m:sSubPr>
                <m:e>
                  <m:r>
                    <m:rPr/>
                    <w:rPr>
                      <w:rFonts w:ascii="Cambria Math" w:hAnsi="Cambria Math" w:cs="Times New Roman"/>
                      <w:color w:val="000000" w:themeColor="text1"/>
                      <w:szCs w:val="24"/>
                      <w14:textFill>
                        <w14:solidFill>
                          <w14:schemeClr w14:val="tx1"/>
                        </w14:solidFill>
                      </w14:textFill>
                    </w:rPr>
                    <m:t>K</m:t>
                  </m:r>
                  <m:ctrlPr>
                    <w:rPr>
                      <w:rFonts w:ascii="Cambria Math" w:hAnsi="Cambria Math" w:cs="Times New Roman"/>
                      <w:i/>
                      <w:color w:val="000000" w:themeColor="text1"/>
                      <w:szCs w:val="24"/>
                      <w14:textFill>
                        <w14:solidFill>
                          <w14:schemeClr w14:val="tx1"/>
                        </w14:solidFill>
                      </w14:textFill>
                    </w:rPr>
                  </m:ctrlPr>
                </m:e>
                <m:sub>
                  <m:r>
                    <m:rPr/>
                    <w:rPr>
                      <w:rFonts w:ascii="Cambria Math" w:hAnsi="Cambria Math" w:cs="Times New Roman"/>
                      <w:color w:val="000000" w:themeColor="text1"/>
                      <w:szCs w:val="24"/>
                      <w14:textFill>
                        <w14:solidFill>
                          <w14:schemeClr w14:val="tx1"/>
                        </w14:solidFill>
                      </w14:textFill>
                    </w:rPr>
                    <m:t>yy</m:t>
                  </m:r>
                  <m:ctrlPr>
                    <w:rPr>
                      <w:rFonts w:ascii="Cambria Math" w:hAnsi="Cambria Math" w:cs="Times New Roman"/>
                      <w:i/>
                      <w:color w:val="000000" w:themeColor="text1"/>
                      <w:szCs w:val="24"/>
                      <w14:textFill>
                        <w14:solidFill>
                          <w14:schemeClr w14:val="tx1"/>
                        </w14:solidFill>
                      </w14:textFill>
                    </w:rPr>
                  </m:ctrlPr>
                </m:sub>
              </m:sSub>
              <m:f>
                <m:fPr>
                  <m:ctrlPr>
                    <w:rPr>
                      <w:rFonts w:ascii="Cambria Math" w:hAnsi="Cambria Math" w:cs="Times New Roman"/>
                      <w:i/>
                      <w:color w:val="000000" w:themeColor="text1"/>
                      <w:szCs w:val="24"/>
                      <w14:textFill>
                        <w14:solidFill>
                          <w14:schemeClr w14:val="tx1"/>
                        </w14:solidFill>
                      </w14:textFill>
                    </w:rPr>
                  </m:ctrlPr>
                </m:fPr>
                <m:num>
                  <m:r>
                    <m:rPr/>
                    <w:rPr>
                      <w:rFonts w:ascii="Cambria Math" w:hAnsi="Cambria Math" w:cs="Times New Roman"/>
                      <w:color w:val="000000" w:themeColor="text1"/>
                      <w:szCs w:val="24"/>
                      <w14:textFill>
                        <w14:solidFill>
                          <w14:schemeClr w14:val="tx1"/>
                        </w14:solidFill>
                      </w14:textFill>
                    </w:rPr>
                    <m:t>∂H</m:t>
                  </m:r>
                  <m:ctrlPr>
                    <w:rPr>
                      <w:rFonts w:ascii="Cambria Math" w:hAnsi="Cambria Math" w:cs="Times New Roman"/>
                      <w:i/>
                      <w:color w:val="000000" w:themeColor="text1"/>
                      <w:szCs w:val="24"/>
                      <w14:textFill>
                        <w14:solidFill>
                          <w14:schemeClr w14:val="tx1"/>
                        </w14:solidFill>
                      </w14:textFill>
                    </w:rPr>
                  </m:ctrlPr>
                </m:num>
                <m:den>
                  <m:r>
                    <m:rPr/>
                    <w:rPr>
                      <w:rFonts w:ascii="Cambria Math" w:hAnsi="Cambria Math" w:cs="Times New Roman"/>
                      <w:color w:val="000000" w:themeColor="text1"/>
                      <w:szCs w:val="24"/>
                      <w14:textFill>
                        <w14:solidFill>
                          <w14:schemeClr w14:val="tx1"/>
                        </w14:solidFill>
                      </w14:textFill>
                    </w:rPr>
                    <m:t>∂y</m:t>
                  </m:r>
                  <m:ctrlPr>
                    <w:rPr>
                      <w:rFonts w:ascii="Cambria Math" w:hAnsi="Cambria Math" w:cs="Times New Roman"/>
                      <w:i/>
                      <w:color w:val="000000" w:themeColor="text1"/>
                      <w:szCs w:val="24"/>
                      <w14:textFill>
                        <w14:solidFill>
                          <w14:schemeClr w14:val="tx1"/>
                        </w14:solidFill>
                      </w14:textFill>
                    </w:rPr>
                  </m:ctrlPr>
                </m:den>
              </m:f>
              <m:ctrlPr>
                <w:rPr>
                  <w:rFonts w:ascii="Cambria Math" w:hAnsi="Cambria Math" w:cs="Times New Roman"/>
                  <w:i/>
                  <w:color w:val="000000" w:themeColor="text1"/>
                  <w:szCs w:val="24"/>
                  <w14:textFill>
                    <w14:solidFill>
                      <w14:schemeClr w14:val="tx1"/>
                    </w14:solidFill>
                  </w14:textFill>
                </w:rPr>
              </m:ctrlPr>
            </m:e>
          </m:d>
          <m:r>
            <m:rPr/>
            <w:rPr>
              <w:rFonts w:ascii="Cambria Math" w:hAnsi="Cambria Math" w:cs="Times New Roman"/>
              <w:color w:val="000000" w:themeColor="text1"/>
              <w:szCs w:val="24"/>
              <w14:textFill>
                <w14:solidFill>
                  <w14:schemeClr w14:val="tx1"/>
                </w14:solidFill>
              </w14:textFill>
            </w:rPr>
            <m:t>+</m:t>
          </m:r>
          <m:f>
            <m:fPr>
              <m:ctrlPr>
                <w:rPr>
                  <w:rFonts w:ascii="Cambria Math" w:hAnsi="Cambria Math" w:cs="Times New Roman"/>
                  <w:color w:val="000000" w:themeColor="text1"/>
                  <w:szCs w:val="24"/>
                  <w14:textFill>
                    <w14:solidFill>
                      <w14:schemeClr w14:val="tx1"/>
                    </w14:solidFill>
                  </w14:textFill>
                </w:rPr>
              </m:ctrlPr>
            </m:fPr>
            <m:num>
              <m:r>
                <m:rPr/>
                <w:rPr>
                  <w:rFonts w:ascii="Cambria Math" w:hAnsi="Cambria Math" w:cs="Times New Roman"/>
                  <w:color w:val="000000" w:themeColor="text1"/>
                  <w:szCs w:val="24"/>
                  <w14:textFill>
                    <w14:solidFill>
                      <w14:schemeClr w14:val="tx1"/>
                    </w14:solidFill>
                  </w14:textFill>
                </w:rPr>
                <m:t>∂</m:t>
              </m:r>
              <m:ctrlPr>
                <w:rPr>
                  <w:rFonts w:ascii="Cambria Math" w:hAnsi="Cambria Math" w:cs="Times New Roman"/>
                  <w:color w:val="000000" w:themeColor="text1"/>
                  <w:szCs w:val="24"/>
                  <w14:textFill>
                    <w14:solidFill>
                      <w14:schemeClr w14:val="tx1"/>
                    </w14:solidFill>
                  </w14:textFill>
                </w:rPr>
              </m:ctrlPr>
            </m:num>
            <m:den>
              <m:r>
                <m:rPr/>
                <w:rPr>
                  <w:rFonts w:ascii="Cambria Math" w:hAnsi="Cambria Math" w:cs="Times New Roman"/>
                  <w:color w:val="000000" w:themeColor="text1"/>
                  <w:szCs w:val="24"/>
                  <w14:textFill>
                    <w14:solidFill>
                      <w14:schemeClr w14:val="tx1"/>
                    </w14:solidFill>
                  </w14:textFill>
                </w:rPr>
                <m:t>∂z</m:t>
              </m:r>
              <m:ctrlPr>
                <w:rPr>
                  <w:rFonts w:ascii="Cambria Math" w:hAnsi="Cambria Math" w:cs="Times New Roman"/>
                  <w:color w:val="000000" w:themeColor="text1"/>
                  <w:szCs w:val="24"/>
                  <w14:textFill>
                    <w14:solidFill>
                      <w14:schemeClr w14:val="tx1"/>
                    </w14:solidFill>
                  </w14:textFill>
                </w:rPr>
              </m:ctrlPr>
            </m:den>
          </m:f>
          <m:d>
            <m:dPr>
              <m:ctrlPr>
                <w:rPr>
                  <w:rFonts w:ascii="Cambria Math" w:hAnsi="Cambria Math" w:cs="Times New Roman"/>
                  <w:i/>
                  <w:color w:val="000000" w:themeColor="text1"/>
                  <w:szCs w:val="24"/>
                  <w14:textFill>
                    <w14:solidFill>
                      <w14:schemeClr w14:val="tx1"/>
                    </w14:solidFill>
                  </w14:textFill>
                </w:rPr>
              </m:ctrlPr>
            </m:dPr>
            <m:e>
              <m:sSub>
                <m:sSubPr>
                  <m:ctrlPr>
                    <w:rPr>
                      <w:rFonts w:ascii="Cambria Math" w:hAnsi="Cambria Math" w:cs="Times New Roman"/>
                      <w:i/>
                      <w:color w:val="000000" w:themeColor="text1"/>
                      <w:szCs w:val="24"/>
                      <w14:textFill>
                        <w14:solidFill>
                          <w14:schemeClr w14:val="tx1"/>
                        </w14:solidFill>
                      </w14:textFill>
                    </w:rPr>
                  </m:ctrlPr>
                </m:sSubPr>
                <m:e>
                  <m:r>
                    <m:rPr/>
                    <w:rPr>
                      <w:rFonts w:ascii="Cambria Math" w:hAnsi="Cambria Math" w:cs="Times New Roman"/>
                      <w:color w:val="000000" w:themeColor="text1"/>
                      <w:szCs w:val="24"/>
                      <w14:textFill>
                        <w14:solidFill>
                          <w14:schemeClr w14:val="tx1"/>
                        </w14:solidFill>
                      </w14:textFill>
                    </w:rPr>
                    <m:t>K</m:t>
                  </m:r>
                  <m:ctrlPr>
                    <w:rPr>
                      <w:rFonts w:ascii="Cambria Math" w:hAnsi="Cambria Math" w:cs="Times New Roman"/>
                      <w:i/>
                      <w:color w:val="000000" w:themeColor="text1"/>
                      <w:szCs w:val="24"/>
                      <w14:textFill>
                        <w14:solidFill>
                          <w14:schemeClr w14:val="tx1"/>
                        </w14:solidFill>
                      </w14:textFill>
                    </w:rPr>
                  </m:ctrlPr>
                </m:e>
                <m:sub>
                  <m:r>
                    <m:rPr/>
                    <w:rPr>
                      <w:rFonts w:ascii="Cambria Math" w:hAnsi="Cambria Math" w:cs="Times New Roman"/>
                      <w:color w:val="000000" w:themeColor="text1"/>
                      <w:szCs w:val="24"/>
                      <w14:textFill>
                        <w14:solidFill>
                          <w14:schemeClr w14:val="tx1"/>
                        </w14:solidFill>
                      </w14:textFill>
                    </w:rPr>
                    <m:t>zz</m:t>
                  </m:r>
                  <m:ctrlPr>
                    <w:rPr>
                      <w:rFonts w:ascii="Cambria Math" w:hAnsi="Cambria Math" w:cs="Times New Roman"/>
                      <w:i/>
                      <w:color w:val="000000" w:themeColor="text1"/>
                      <w:szCs w:val="24"/>
                      <w14:textFill>
                        <w14:solidFill>
                          <w14:schemeClr w14:val="tx1"/>
                        </w14:solidFill>
                      </w14:textFill>
                    </w:rPr>
                  </m:ctrlPr>
                </m:sub>
              </m:sSub>
              <m:f>
                <m:fPr>
                  <m:ctrlPr>
                    <w:rPr>
                      <w:rFonts w:ascii="Cambria Math" w:hAnsi="Cambria Math" w:cs="Times New Roman"/>
                      <w:i/>
                      <w:color w:val="000000" w:themeColor="text1"/>
                      <w:szCs w:val="24"/>
                      <w14:textFill>
                        <w14:solidFill>
                          <w14:schemeClr w14:val="tx1"/>
                        </w14:solidFill>
                      </w14:textFill>
                    </w:rPr>
                  </m:ctrlPr>
                </m:fPr>
                <m:num>
                  <m:r>
                    <m:rPr/>
                    <w:rPr>
                      <w:rFonts w:ascii="Cambria Math" w:hAnsi="Cambria Math" w:cs="Times New Roman"/>
                      <w:color w:val="000000" w:themeColor="text1"/>
                      <w:szCs w:val="24"/>
                      <w14:textFill>
                        <w14:solidFill>
                          <w14:schemeClr w14:val="tx1"/>
                        </w14:solidFill>
                      </w14:textFill>
                    </w:rPr>
                    <m:t>∂H</m:t>
                  </m:r>
                  <m:ctrlPr>
                    <w:rPr>
                      <w:rFonts w:ascii="Cambria Math" w:hAnsi="Cambria Math" w:cs="Times New Roman"/>
                      <w:i/>
                      <w:color w:val="000000" w:themeColor="text1"/>
                      <w:szCs w:val="24"/>
                      <w14:textFill>
                        <w14:solidFill>
                          <w14:schemeClr w14:val="tx1"/>
                        </w14:solidFill>
                      </w14:textFill>
                    </w:rPr>
                  </m:ctrlPr>
                </m:num>
                <m:den>
                  <m:r>
                    <m:rPr/>
                    <w:rPr>
                      <w:rFonts w:ascii="Cambria Math" w:hAnsi="Cambria Math" w:cs="Times New Roman"/>
                      <w:color w:val="000000" w:themeColor="text1"/>
                      <w:szCs w:val="24"/>
                      <w14:textFill>
                        <w14:solidFill>
                          <w14:schemeClr w14:val="tx1"/>
                        </w14:solidFill>
                      </w14:textFill>
                    </w:rPr>
                    <m:t>∂z</m:t>
                  </m:r>
                  <m:ctrlPr>
                    <w:rPr>
                      <w:rFonts w:ascii="Cambria Math" w:hAnsi="Cambria Math" w:cs="Times New Roman"/>
                      <w:i/>
                      <w:color w:val="000000" w:themeColor="text1"/>
                      <w:szCs w:val="24"/>
                      <w14:textFill>
                        <w14:solidFill>
                          <w14:schemeClr w14:val="tx1"/>
                        </w14:solidFill>
                      </w14:textFill>
                    </w:rPr>
                  </m:ctrlPr>
                </m:den>
              </m:f>
              <m:ctrlPr>
                <w:rPr>
                  <w:rFonts w:ascii="Cambria Math" w:hAnsi="Cambria Math" w:cs="Times New Roman"/>
                  <w:i/>
                  <w:color w:val="000000" w:themeColor="text1"/>
                  <w:szCs w:val="24"/>
                  <w14:textFill>
                    <w14:solidFill>
                      <w14:schemeClr w14:val="tx1"/>
                    </w14:solidFill>
                  </w14:textFill>
                </w:rPr>
              </m:ctrlPr>
            </m:e>
          </m:d>
          <m:r>
            <m:rPr/>
            <w:rPr>
              <w:rFonts w:ascii="Cambria Math" w:hAnsi="Cambria Math" w:cs="Times New Roman"/>
              <w:color w:val="000000" w:themeColor="text1"/>
              <w:szCs w:val="24"/>
              <w14:textFill>
                <w14:solidFill>
                  <w14:schemeClr w14:val="tx1"/>
                </w14:solidFill>
              </w14:textFill>
            </w:rPr>
            <m:t>+w=</m:t>
          </m:r>
          <m:sSub>
            <m:sSubPr>
              <m:ctrlPr>
                <w:rPr>
                  <w:rFonts w:ascii="Cambria Math" w:hAnsi="Cambria Math" w:cs="Times New Roman"/>
                  <w:i/>
                  <w:color w:val="000000" w:themeColor="text1"/>
                  <w:szCs w:val="24"/>
                  <w14:textFill>
                    <w14:solidFill>
                      <w14:schemeClr w14:val="tx1"/>
                    </w14:solidFill>
                  </w14:textFill>
                </w:rPr>
              </m:ctrlPr>
            </m:sSubPr>
            <m:e>
              <m:r>
                <m:rPr/>
                <w:rPr>
                  <w:rFonts w:ascii="Cambria Math" w:hAnsi="Cambria Math" w:cs="Times New Roman"/>
                  <w:color w:val="000000" w:themeColor="text1"/>
                  <w:szCs w:val="24"/>
                  <w14:textFill>
                    <w14:solidFill>
                      <w14:schemeClr w14:val="tx1"/>
                    </w14:solidFill>
                  </w14:textFill>
                </w:rPr>
                <m:t>μ</m:t>
              </m:r>
              <m:ctrlPr>
                <w:rPr>
                  <w:rFonts w:ascii="Cambria Math" w:hAnsi="Cambria Math" w:cs="Times New Roman"/>
                  <w:i/>
                  <w:color w:val="000000" w:themeColor="text1"/>
                  <w:szCs w:val="24"/>
                  <w14:textFill>
                    <w14:solidFill>
                      <w14:schemeClr w14:val="tx1"/>
                    </w14:solidFill>
                  </w14:textFill>
                </w:rPr>
              </m:ctrlPr>
            </m:e>
            <m:sub>
              <m:r>
                <m:rPr/>
                <w:rPr>
                  <w:rFonts w:ascii="Cambria Math" w:hAnsi="Cambria Math" w:cs="Times New Roman"/>
                  <w:color w:val="000000" w:themeColor="text1"/>
                  <w:szCs w:val="24"/>
                  <w14:textFill>
                    <w14:solidFill>
                      <w14:schemeClr w14:val="tx1"/>
                    </w14:solidFill>
                  </w14:textFill>
                </w:rPr>
                <m:t>s</m:t>
              </m:r>
              <m:ctrlPr>
                <w:rPr>
                  <w:rFonts w:ascii="Cambria Math" w:hAnsi="Cambria Math" w:cs="Times New Roman"/>
                  <w:i/>
                  <w:color w:val="000000" w:themeColor="text1"/>
                  <w:szCs w:val="24"/>
                  <w14:textFill>
                    <w14:solidFill>
                      <w14:schemeClr w14:val="tx1"/>
                    </w14:solidFill>
                  </w14:textFill>
                </w:rPr>
              </m:ctrlPr>
            </m:sub>
          </m:sSub>
          <m:f>
            <m:fPr>
              <m:ctrlPr>
                <w:rPr>
                  <w:rFonts w:ascii="Cambria Math" w:hAnsi="Cambria Math" w:cs="Times New Roman"/>
                  <w:i/>
                  <w:color w:val="000000" w:themeColor="text1"/>
                  <w:szCs w:val="24"/>
                  <w14:textFill>
                    <w14:solidFill>
                      <w14:schemeClr w14:val="tx1"/>
                    </w14:solidFill>
                  </w14:textFill>
                </w:rPr>
              </m:ctrlPr>
            </m:fPr>
            <m:num>
              <m:r>
                <m:rPr/>
                <w:rPr>
                  <w:rFonts w:ascii="Cambria Math" w:hAnsi="Cambria Math" w:cs="Times New Roman"/>
                  <w:color w:val="000000" w:themeColor="text1"/>
                  <w:szCs w:val="24"/>
                  <w14:textFill>
                    <w14:solidFill>
                      <w14:schemeClr w14:val="tx1"/>
                    </w14:solidFill>
                  </w14:textFill>
                </w:rPr>
                <m:t>∂H</m:t>
              </m:r>
              <m:ctrlPr>
                <w:rPr>
                  <w:rFonts w:ascii="Cambria Math" w:hAnsi="Cambria Math" w:cs="Times New Roman"/>
                  <w:i/>
                  <w:color w:val="000000" w:themeColor="text1"/>
                  <w:szCs w:val="24"/>
                  <w14:textFill>
                    <w14:solidFill>
                      <w14:schemeClr w14:val="tx1"/>
                    </w14:solidFill>
                  </w14:textFill>
                </w:rPr>
              </m:ctrlPr>
            </m:num>
            <m:den>
              <m:r>
                <m:rPr/>
                <w:rPr>
                  <w:rFonts w:ascii="Cambria Math" w:hAnsi="Cambria Math" w:cs="Times New Roman"/>
                  <w:color w:val="000000" w:themeColor="text1"/>
                  <w:szCs w:val="24"/>
                  <w14:textFill>
                    <w14:solidFill>
                      <w14:schemeClr w14:val="tx1"/>
                    </w14:solidFill>
                  </w14:textFill>
                </w:rPr>
                <m:t>∂t</m:t>
              </m:r>
              <m:ctrlPr>
                <w:rPr>
                  <w:rFonts w:ascii="Cambria Math" w:hAnsi="Cambria Math" w:cs="Times New Roman"/>
                  <w:i/>
                  <w:color w:val="000000" w:themeColor="text1"/>
                  <w:szCs w:val="24"/>
                  <w14:textFill>
                    <w14:solidFill>
                      <w14:schemeClr w14:val="tx1"/>
                    </w14:solidFill>
                  </w14:textFill>
                </w:rPr>
              </m:ctrlPr>
            </m:den>
          </m:f>
        </m:oMath>
      </m:oMathPara>
    </w:p>
    <w:p w14:paraId="61CD8775">
      <w:pPr>
        <w:spacing w:line="360" w:lineRule="auto"/>
        <w:jc w:val="center"/>
        <w:rPr>
          <w:rFonts w:cs="Times New Roman"/>
          <w:color w:val="000000" w:themeColor="text1"/>
          <w:szCs w:val="24"/>
          <w14:textFill>
            <w14:solidFill>
              <w14:schemeClr w14:val="tx1"/>
            </w14:solidFill>
          </w14:textFill>
        </w:rPr>
      </w:pPr>
      <m:oMathPara>
        <m:oMath>
          <m:r>
            <m:rPr/>
            <w:rPr>
              <w:rFonts w:ascii="Cambria Math" w:hAnsi="Cambria Math" w:cs="Times New Roman"/>
              <w:color w:val="000000" w:themeColor="text1"/>
              <w:szCs w:val="24"/>
              <w14:textFill>
                <w14:solidFill>
                  <w14:schemeClr w14:val="tx1"/>
                </w14:solidFill>
              </w14:textFill>
            </w:rPr>
            <m:t>H</m:t>
          </m:r>
          <m:d>
            <m:dPr>
              <m:ctrlPr>
                <w:rPr>
                  <w:rFonts w:ascii="Cambria Math" w:hAnsi="Cambria Math" w:cs="Times New Roman"/>
                  <w:color w:val="000000" w:themeColor="text1"/>
                  <w:szCs w:val="24"/>
                  <w14:textFill>
                    <w14:solidFill>
                      <w14:schemeClr w14:val="tx1"/>
                    </w14:solidFill>
                  </w14:textFill>
                </w:rPr>
              </m:ctrlPr>
            </m:dPr>
            <m:e>
              <m:r>
                <m:rPr/>
                <w:rPr>
                  <w:rFonts w:ascii="Cambria Math" w:hAnsi="Cambria Math" w:cs="Times New Roman"/>
                  <w:color w:val="000000" w:themeColor="text1"/>
                  <w:szCs w:val="24"/>
                  <w14:textFill>
                    <w14:solidFill>
                      <w14:schemeClr w14:val="tx1"/>
                    </w14:solidFill>
                  </w14:textFill>
                </w:rPr>
                <m:t>x,y,z,0</m:t>
              </m:r>
              <m:ctrlPr>
                <w:rPr>
                  <w:rFonts w:ascii="Cambria Math" w:hAnsi="Cambria Math" w:cs="Times New Roman"/>
                  <w:color w:val="000000" w:themeColor="text1"/>
                  <w:szCs w:val="24"/>
                  <w14:textFill>
                    <w14:solidFill>
                      <w14:schemeClr w14:val="tx1"/>
                    </w14:solidFill>
                  </w14:textFill>
                </w:rPr>
              </m:ctrlPr>
            </m:e>
          </m:d>
          <m:r>
            <m:rPr/>
            <w:rPr>
              <w:rFonts w:ascii="Cambria Math" w:hAnsi="Cambria Math" w:cs="Times New Roman"/>
              <w:color w:val="000000" w:themeColor="text1"/>
              <w:szCs w:val="24"/>
              <w14:textFill>
                <w14:solidFill>
                  <w14:schemeClr w14:val="tx1"/>
                </w14:solidFill>
              </w14:textFill>
            </w:rPr>
            <m:t>=</m:t>
          </m:r>
          <m:sSub>
            <m:sSubPr>
              <m:ctrlPr>
                <w:rPr>
                  <w:rFonts w:ascii="Cambria Math" w:hAnsi="Cambria Math" w:cs="Times New Roman"/>
                  <w:i/>
                  <w:color w:val="000000" w:themeColor="text1"/>
                  <w:szCs w:val="24"/>
                  <w14:textFill>
                    <w14:solidFill>
                      <w14:schemeClr w14:val="tx1"/>
                    </w14:solidFill>
                  </w14:textFill>
                </w:rPr>
              </m:ctrlPr>
            </m:sSubPr>
            <m:e>
              <m:r>
                <m:rPr/>
                <w:rPr>
                  <w:rFonts w:ascii="Cambria Math" w:hAnsi="Cambria Math" w:cs="Times New Roman"/>
                  <w:color w:val="000000" w:themeColor="text1"/>
                  <w:szCs w:val="24"/>
                  <w14:textFill>
                    <w14:solidFill>
                      <w14:schemeClr w14:val="tx1"/>
                    </w14:solidFill>
                  </w14:textFill>
                </w:rPr>
                <m:t>H</m:t>
              </m:r>
              <m:ctrlPr>
                <w:rPr>
                  <w:rFonts w:ascii="Cambria Math" w:hAnsi="Cambria Math" w:cs="Times New Roman"/>
                  <w:i/>
                  <w:color w:val="000000" w:themeColor="text1"/>
                  <w:szCs w:val="24"/>
                  <w14:textFill>
                    <w14:solidFill>
                      <w14:schemeClr w14:val="tx1"/>
                    </w14:solidFill>
                  </w14:textFill>
                </w:rPr>
              </m:ctrlPr>
            </m:e>
            <m:sub>
              <m:r>
                <m:rPr/>
                <w:rPr>
                  <w:rFonts w:ascii="Cambria Math" w:hAnsi="Cambria Math" w:cs="Times New Roman"/>
                  <w:color w:val="000000" w:themeColor="text1"/>
                  <w:szCs w:val="24"/>
                  <w14:textFill>
                    <w14:solidFill>
                      <w14:schemeClr w14:val="tx1"/>
                    </w14:solidFill>
                  </w14:textFill>
                </w:rPr>
                <m:t>0</m:t>
              </m:r>
              <m:ctrlPr>
                <w:rPr>
                  <w:rFonts w:ascii="Cambria Math" w:hAnsi="Cambria Math" w:cs="Times New Roman"/>
                  <w:i/>
                  <w:color w:val="000000" w:themeColor="text1"/>
                  <w:szCs w:val="24"/>
                  <w14:textFill>
                    <w14:solidFill>
                      <w14:schemeClr w14:val="tx1"/>
                    </w14:solidFill>
                  </w14:textFill>
                </w:rPr>
              </m:ctrlPr>
            </m:sub>
          </m:sSub>
          <m:r>
            <m:rPr/>
            <w:rPr>
              <w:rFonts w:ascii="Cambria Math" w:hAnsi="Cambria Math" w:cs="Times New Roman"/>
              <w:color w:val="000000" w:themeColor="text1"/>
              <w:szCs w:val="24"/>
              <w14:textFill>
                <w14:solidFill>
                  <w14:schemeClr w14:val="tx1"/>
                </w14:solidFill>
              </w14:textFill>
            </w:rPr>
            <m:t>,</m:t>
          </m:r>
          <m:d>
            <m:dPr>
              <m:ctrlPr>
                <w:rPr>
                  <w:rFonts w:ascii="Cambria Math" w:hAnsi="Cambria Math" w:cs="Times New Roman"/>
                  <w:i/>
                  <w:color w:val="000000" w:themeColor="text1"/>
                  <w:szCs w:val="24"/>
                  <w14:textFill>
                    <w14:solidFill>
                      <w14:schemeClr w14:val="tx1"/>
                    </w14:solidFill>
                  </w14:textFill>
                </w:rPr>
              </m:ctrlPr>
            </m:dPr>
            <m:e>
              <m:r>
                <m:rPr/>
                <w:rPr>
                  <w:rFonts w:ascii="Cambria Math" w:hAnsi="Cambria Math" w:cs="Times New Roman"/>
                  <w:color w:val="000000" w:themeColor="text1"/>
                  <w:szCs w:val="24"/>
                  <w14:textFill>
                    <w14:solidFill>
                      <w14:schemeClr w14:val="tx1"/>
                    </w14:solidFill>
                  </w14:textFill>
                </w:rPr>
                <m:t>x,y,z</m:t>
              </m:r>
              <m:ctrlPr>
                <w:rPr>
                  <w:rFonts w:ascii="Cambria Math" w:hAnsi="Cambria Math" w:cs="Times New Roman"/>
                  <w:i/>
                  <w:color w:val="000000" w:themeColor="text1"/>
                  <w:szCs w:val="24"/>
                  <w14:textFill>
                    <w14:solidFill>
                      <w14:schemeClr w14:val="tx1"/>
                    </w14:solidFill>
                  </w14:textFill>
                </w:rPr>
              </m:ctrlPr>
            </m:e>
          </m:d>
          <m:r>
            <m:rPr/>
            <w:rPr>
              <w:rFonts w:ascii="Cambria Math" w:hAnsi="Cambria Math" w:cs="Times New Roman"/>
              <w:color w:val="000000" w:themeColor="text1"/>
              <w:szCs w:val="24"/>
              <w14:textFill>
                <w14:solidFill>
                  <w14:schemeClr w14:val="tx1"/>
                </w14:solidFill>
              </w14:textFill>
            </w:rPr>
            <m:t>∈Ω</m:t>
          </m:r>
        </m:oMath>
      </m:oMathPara>
    </w:p>
    <w:p w14:paraId="24D28BEA">
      <w:pPr>
        <w:spacing w:line="360" w:lineRule="auto"/>
        <w:jc w:val="center"/>
        <w:rPr>
          <w:rFonts w:cs="Times New Roman"/>
          <w:color w:val="000000" w:themeColor="text1"/>
          <w:szCs w:val="24"/>
          <w14:textFill>
            <w14:solidFill>
              <w14:schemeClr w14:val="tx1"/>
            </w14:solidFill>
          </w14:textFill>
        </w:rPr>
      </w:pPr>
      <m:oMathPara>
        <m:oMath>
          <m:r>
            <m:rPr>
              <m:sty m:val="p"/>
            </m:rPr>
            <w:rPr>
              <w:rFonts w:ascii="Cambria Math" w:hAnsi="Cambria Math" w:cs="Times New Roman"/>
              <w:color w:val="000000" w:themeColor="text1"/>
              <w:szCs w:val="24"/>
              <w14:textFill>
                <w14:solidFill>
                  <w14:schemeClr w14:val="tx1"/>
                </w14:solidFill>
              </w14:textFill>
            </w:rPr>
            <m:t>K</m:t>
          </m:r>
          <m:f>
            <m:fPr>
              <m:ctrlPr>
                <w:rPr>
                  <w:rFonts w:ascii="Cambria Math" w:hAnsi="Cambria Math" w:cs="Times New Roman"/>
                  <w:color w:val="000000" w:themeColor="text1"/>
                  <w:szCs w:val="24"/>
                  <w14:textFill>
                    <w14:solidFill>
                      <w14:schemeClr w14:val="tx1"/>
                    </w14:solidFill>
                  </w14:textFill>
                </w:rPr>
              </m:ctrlPr>
            </m:fPr>
            <m:num>
              <m:r>
                <m:rPr/>
                <w:rPr>
                  <w:rFonts w:ascii="Cambria Math" w:hAnsi="Cambria Math" w:cs="Times New Roman"/>
                  <w:color w:val="000000" w:themeColor="text1"/>
                  <w:szCs w:val="24"/>
                  <w14:textFill>
                    <w14:solidFill>
                      <w14:schemeClr w14:val="tx1"/>
                    </w14:solidFill>
                  </w14:textFill>
                </w:rPr>
                <m:t>∂H</m:t>
              </m:r>
              <m:ctrlPr>
                <w:rPr>
                  <w:rFonts w:ascii="Cambria Math" w:hAnsi="Cambria Math" w:cs="Times New Roman"/>
                  <w:color w:val="000000" w:themeColor="text1"/>
                  <w:szCs w:val="24"/>
                  <w14:textFill>
                    <w14:solidFill>
                      <w14:schemeClr w14:val="tx1"/>
                    </w14:solidFill>
                  </w14:textFill>
                </w:rPr>
              </m:ctrlPr>
            </m:num>
            <m:den>
              <m:r>
                <m:rPr/>
                <w:rPr>
                  <w:rFonts w:ascii="Cambria Math" w:hAnsi="Cambria Math" w:cs="Times New Roman"/>
                  <w:color w:val="000000" w:themeColor="text1"/>
                  <w:szCs w:val="24"/>
                  <w14:textFill>
                    <w14:solidFill>
                      <w14:schemeClr w14:val="tx1"/>
                    </w14:solidFill>
                  </w14:textFill>
                </w:rPr>
                <m:t>∂n</m:t>
              </m:r>
              <m:ctrlPr>
                <w:rPr>
                  <w:rFonts w:ascii="Cambria Math" w:hAnsi="Cambria Math" w:cs="Times New Roman"/>
                  <w:color w:val="000000" w:themeColor="text1"/>
                  <w:szCs w:val="24"/>
                  <w14:textFill>
                    <w14:solidFill>
                      <w14:schemeClr w14:val="tx1"/>
                    </w14:solidFill>
                  </w14:textFill>
                </w:rPr>
              </m:ctrlPr>
            </m:den>
          </m:f>
          <m:d>
            <m:dPr>
              <m:begChr m:val="|"/>
              <m:endChr m:val=""/>
              <m:ctrlPr>
                <w:rPr>
                  <w:rFonts w:ascii="Cambria Math" w:hAnsi="Cambria Math" w:cs="Times New Roman"/>
                  <w:i/>
                  <w:color w:val="000000" w:themeColor="text1"/>
                  <w:szCs w:val="24"/>
                  <w14:textFill>
                    <w14:solidFill>
                      <w14:schemeClr w14:val="tx1"/>
                    </w14:solidFill>
                  </w14:textFill>
                </w:rPr>
              </m:ctrlPr>
            </m:dPr>
            <m:e>
              <m:sSub>
                <m:sSubPr>
                  <m:ctrlPr>
                    <w:rPr>
                      <w:rFonts w:ascii="Cambria Math" w:hAnsi="Cambria Math" w:cs="Times New Roman"/>
                      <w:i/>
                      <w:color w:val="000000" w:themeColor="text1"/>
                      <w:szCs w:val="24"/>
                      <w14:textFill>
                        <w14:solidFill>
                          <w14:schemeClr w14:val="tx1"/>
                        </w14:solidFill>
                      </w14:textFill>
                    </w:rPr>
                  </m:ctrlPr>
                </m:sSubPr>
                <m:e>
                  <m:r>
                    <m:rPr/>
                    <w:rPr>
                      <w:rFonts w:ascii="Cambria Math" w:hAnsi="Cambria Math" w:cs="Times New Roman"/>
                      <w:color w:val="000000" w:themeColor="text1"/>
                      <w:szCs w:val="24"/>
                      <w14:textFill>
                        <w14:solidFill>
                          <w14:schemeClr w14:val="tx1"/>
                        </w14:solidFill>
                      </w14:textFill>
                    </w:rPr>
                    <m:t>S</m:t>
                  </m:r>
                  <m:ctrlPr>
                    <w:rPr>
                      <w:rFonts w:ascii="Cambria Math" w:hAnsi="Cambria Math" w:cs="Times New Roman"/>
                      <w:i/>
                      <w:color w:val="000000" w:themeColor="text1"/>
                      <w:szCs w:val="24"/>
                      <w14:textFill>
                        <w14:solidFill>
                          <w14:schemeClr w14:val="tx1"/>
                        </w14:solidFill>
                      </w14:textFill>
                    </w:rPr>
                  </m:ctrlPr>
                </m:e>
                <m:sub>
                  <m:r>
                    <m:rPr/>
                    <w:rPr>
                      <w:rFonts w:ascii="Cambria Math" w:hAnsi="Cambria Math" w:cs="Times New Roman"/>
                      <w:color w:val="000000" w:themeColor="text1"/>
                      <w:szCs w:val="24"/>
                      <w14:textFill>
                        <w14:solidFill>
                          <w14:schemeClr w14:val="tx1"/>
                        </w14:solidFill>
                      </w14:textFill>
                    </w:rPr>
                    <m:t>2</m:t>
                  </m:r>
                  <m:ctrlPr>
                    <w:rPr>
                      <w:rFonts w:ascii="Cambria Math" w:hAnsi="Cambria Math" w:cs="Times New Roman"/>
                      <w:i/>
                      <w:color w:val="000000" w:themeColor="text1"/>
                      <w:szCs w:val="24"/>
                      <w14:textFill>
                        <w14:solidFill>
                          <w14:schemeClr w14:val="tx1"/>
                        </w14:solidFill>
                      </w14:textFill>
                    </w:rPr>
                  </m:ctrlPr>
                </m:sub>
              </m:sSub>
              <m:r>
                <m:rPr/>
                <w:rPr>
                  <w:rFonts w:ascii="Cambria Math" w:hAnsi="Cambria Math" w:cs="Times New Roman"/>
                  <w:color w:val="000000" w:themeColor="text1"/>
                  <w:szCs w:val="24"/>
                  <w14:textFill>
                    <w14:solidFill>
                      <w14:schemeClr w14:val="tx1"/>
                    </w14:solidFill>
                  </w14:textFill>
                </w:rPr>
                <m:t>=q</m:t>
              </m:r>
              <m:d>
                <m:dPr>
                  <m:ctrlPr>
                    <w:rPr>
                      <w:rFonts w:ascii="Cambria Math" w:hAnsi="Cambria Math" w:cs="Times New Roman"/>
                      <w:i/>
                      <w:color w:val="000000" w:themeColor="text1"/>
                      <w:szCs w:val="24"/>
                      <w14:textFill>
                        <w14:solidFill>
                          <w14:schemeClr w14:val="tx1"/>
                        </w14:solidFill>
                      </w14:textFill>
                    </w:rPr>
                  </m:ctrlPr>
                </m:dPr>
                <m:e>
                  <m:r>
                    <m:rPr/>
                    <w:rPr>
                      <w:rFonts w:ascii="Cambria Math" w:hAnsi="Cambria Math" w:cs="Times New Roman"/>
                      <w:color w:val="000000" w:themeColor="text1"/>
                      <w:szCs w:val="24"/>
                      <w14:textFill>
                        <w14:solidFill>
                          <w14:schemeClr w14:val="tx1"/>
                        </w14:solidFill>
                      </w14:textFill>
                    </w:rPr>
                    <m:t>x,y,z,t</m:t>
                  </m:r>
                  <m:ctrlPr>
                    <w:rPr>
                      <w:rFonts w:ascii="Cambria Math" w:hAnsi="Cambria Math" w:cs="Times New Roman"/>
                      <w:i/>
                      <w:color w:val="000000" w:themeColor="text1"/>
                      <w:szCs w:val="24"/>
                      <w14:textFill>
                        <w14:solidFill>
                          <w14:schemeClr w14:val="tx1"/>
                        </w14:solidFill>
                      </w14:textFill>
                    </w:rPr>
                  </m:ctrlPr>
                </m:e>
              </m:d>
              <m:r>
                <m:rPr/>
                <w:rPr>
                  <w:rFonts w:ascii="Cambria Math" w:hAnsi="Cambria Math" w:cs="Times New Roman"/>
                  <w:color w:val="000000" w:themeColor="text1"/>
                  <w:szCs w:val="24"/>
                  <w14:textFill>
                    <w14:solidFill>
                      <w14:schemeClr w14:val="tx1"/>
                    </w14:solidFill>
                  </w14:textFill>
                </w:rPr>
                <m:t>,</m:t>
              </m:r>
              <m:d>
                <m:dPr>
                  <m:ctrlPr>
                    <w:rPr>
                      <w:rFonts w:ascii="Cambria Math" w:hAnsi="Cambria Math" w:cs="Times New Roman"/>
                      <w:i/>
                      <w:color w:val="000000" w:themeColor="text1"/>
                      <w:szCs w:val="24"/>
                      <w14:textFill>
                        <w14:solidFill>
                          <w14:schemeClr w14:val="tx1"/>
                        </w14:solidFill>
                      </w14:textFill>
                    </w:rPr>
                  </m:ctrlPr>
                </m:dPr>
                <m:e>
                  <m:r>
                    <m:rPr/>
                    <w:rPr>
                      <w:rFonts w:ascii="Cambria Math" w:hAnsi="Cambria Math" w:cs="Times New Roman"/>
                      <w:color w:val="000000" w:themeColor="text1"/>
                      <w:szCs w:val="24"/>
                      <w14:textFill>
                        <w14:solidFill>
                          <w14:schemeClr w14:val="tx1"/>
                        </w14:solidFill>
                      </w14:textFill>
                    </w:rPr>
                    <m:t>x,y,z</m:t>
                  </m:r>
                  <m:ctrlPr>
                    <w:rPr>
                      <w:rFonts w:ascii="Cambria Math" w:hAnsi="Cambria Math" w:cs="Times New Roman"/>
                      <w:i/>
                      <w:color w:val="000000" w:themeColor="text1"/>
                      <w:szCs w:val="24"/>
                      <w14:textFill>
                        <w14:solidFill>
                          <w14:schemeClr w14:val="tx1"/>
                        </w14:solidFill>
                      </w14:textFill>
                    </w:rPr>
                  </m:ctrlPr>
                </m:e>
              </m:d>
              <m:r>
                <m:rPr/>
                <w:rPr>
                  <w:rFonts w:ascii="Cambria Math" w:hAnsi="Cambria Math" w:cs="Times New Roman"/>
                  <w:color w:val="000000" w:themeColor="text1"/>
                  <w:szCs w:val="24"/>
                  <w14:textFill>
                    <w14:solidFill>
                      <w14:schemeClr w14:val="tx1"/>
                    </w14:solidFill>
                  </w14:textFill>
                </w:rPr>
                <m:t>∈</m:t>
              </m:r>
              <m:sSub>
                <m:sSubPr>
                  <m:ctrlPr>
                    <w:rPr>
                      <w:rFonts w:ascii="Cambria Math" w:hAnsi="Cambria Math" w:cs="Times New Roman"/>
                      <w:i/>
                      <w:color w:val="000000" w:themeColor="text1"/>
                      <w:szCs w:val="24"/>
                      <w14:textFill>
                        <w14:solidFill>
                          <w14:schemeClr w14:val="tx1"/>
                        </w14:solidFill>
                      </w14:textFill>
                    </w:rPr>
                  </m:ctrlPr>
                </m:sSubPr>
                <m:e>
                  <m:r>
                    <m:rPr/>
                    <w:rPr>
                      <w:rFonts w:ascii="Cambria Math" w:hAnsi="Cambria Math" w:cs="Times New Roman"/>
                      <w:color w:val="000000" w:themeColor="text1"/>
                      <w:szCs w:val="24"/>
                      <w14:textFill>
                        <w14:solidFill>
                          <w14:schemeClr w14:val="tx1"/>
                        </w14:solidFill>
                      </w14:textFill>
                    </w:rPr>
                    <m:t>S</m:t>
                  </m:r>
                  <m:ctrlPr>
                    <w:rPr>
                      <w:rFonts w:ascii="Cambria Math" w:hAnsi="Cambria Math" w:cs="Times New Roman"/>
                      <w:i/>
                      <w:color w:val="000000" w:themeColor="text1"/>
                      <w:szCs w:val="24"/>
                      <w14:textFill>
                        <w14:solidFill>
                          <w14:schemeClr w14:val="tx1"/>
                        </w14:solidFill>
                      </w14:textFill>
                    </w:rPr>
                  </m:ctrlPr>
                </m:e>
                <m:sub>
                  <m:r>
                    <m:rPr/>
                    <w:rPr>
                      <w:rFonts w:ascii="Cambria Math" w:hAnsi="Cambria Math" w:cs="Times New Roman"/>
                      <w:color w:val="000000" w:themeColor="text1"/>
                      <w:szCs w:val="24"/>
                      <w14:textFill>
                        <w14:solidFill>
                          <w14:schemeClr w14:val="tx1"/>
                        </w14:solidFill>
                      </w14:textFill>
                    </w:rPr>
                    <m:t>2</m:t>
                  </m:r>
                  <m:ctrlPr>
                    <w:rPr>
                      <w:rFonts w:ascii="Cambria Math" w:hAnsi="Cambria Math" w:cs="Times New Roman"/>
                      <w:i/>
                      <w:color w:val="000000" w:themeColor="text1"/>
                      <w:szCs w:val="24"/>
                      <w14:textFill>
                        <w14:solidFill>
                          <w14:schemeClr w14:val="tx1"/>
                        </w14:solidFill>
                      </w14:textFill>
                    </w:rPr>
                  </m:ctrlPr>
                </m:sub>
              </m:sSub>
              <m:ctrlPr>
                <w:rPr>
                  <w:rFonts w:ascii="Cambria Math" w:hAnsi="Cambria Math" w:cs="Times New Roman"/>
                  <w:i/>
                  <w:color w:val="000000" w:themeColor="text1"/>
                  <w:szCs w:val="24"/>
                  <w14:textFill>
                    <w14:solidFill>
                      <w14:schemeClr w14:val="tx1"/>
                    </w14:solidFill>
                  </w14:textFill>
                </w:rPr>
              </m:ctrlPr>
            </m:e>
          </m:d>
        </m:oMath>
      </m:oMathPara>
    </w:p>
    <w:p w14:paraId="3C4E65E0">
      <w:pPr>
        <w:spacing w:line="360" w:lineRule="auto"/>
        <w:jc w:val="center"/>
        <w:rPr>
          <w:rFonts w:cs="Times New Roman"/>
          <w:color w:val="000000" w:themeColor="text1"/>
          <w:szCs w:val="24"/>
          <w14:textFill>
            <w14:solidFill>
              <w14:schemeClr w14:val="tx1"/>
            </w14:solidFill>
          </w14:textFill>
        </w:rPr>
      </w:pPr>
      <m:oMathPara>
        <m:oMath>
          <m:r>
            <m:rPr>
              <m:sty m:val="p"/>
            </m:rPr>
            <w:rPr>
              <w:rFonts w:ascii="Cambria Math" w:hAnsi="Cambria Math" w:cs="Times New Roman"/>
              <w:color w:val="000000" w:themeColor="text1"/>
              <w:szCs w:val="24"/>
              <w14:textFill>
                <w14:solidFill>
                  <w14:schemeClr w14:val="tx1"/>
                </w14:solidFill>
              </w14:textFill>
            </w:rPr>
            <m:t>H</m:t>
          </m:r>
          <m:d>
            <m:dPr>
              <m:ctrlPr>
                <w:rPr>
                  <w:rFonts w:ascii="Cambria Math" w:hAnsi="Cambria Math" w:cs="Times New Roman"/>
                  <w:color w:val="000000" w:themeColor="text1"/>
                  <w:szCs w:val="24"/>
                  <w14:textFill>
                    <w14:solidFill>
                      <w14:schemeClr w14:val="tx1"/>
                    </w14:solidFill>
                  </w14:textFill>
                </w:rPr>
              </m:ctrlPr>
            </m:dPr>
            <m:e>
              <m:r>
                <m:rPr/>
                <w:rPr>
                  <w:rFonts w:ascii="Cambria Math" w:hAnsi="Cambria Math" w:cs="Times New Roman"/>
                  <w:color w:val="000000" w:themeColor="text1"/>
                  <w:szCs w:val="24"/>
                  <w14:textFill>
                    <w14:solidFill>
                      <w14:schemeClr w14:val="tx1"/>
                    </w14:solidFill>
                  </w14:textFill>
                </w:rPr>
                <m:t>x,y,z,t</m:t>
              </m:r>
              <m:ctrlPr>
                <w:rPr>
                  <w:rFonts w:ascii="Cambria Math" w:hAnsi="Cambria Math" w:cs="Times New Roman"/>
                  <w:color w:val="000000" w:themeColor="text1"/>
                  <w:szCs w:val="24"/>
                  <w14:textFill>
                    <w14:solidFill>
                      <w14:schemeClr w14:val="tx1"/>
                    </w14:solidFill>
                  </w14:textFill>
                </w:rPr>
              </m:ctrlPr>
            </m:e>
          </m:d>
          <m:r>
            <m:rPr/>
            <w:rPr>
              <w:rFonts w:ascii="Cambria Math" w:hAnsi="Cambria Math" w:cs="Times New Roman"/>
              <w:color w:val="000000" w:themeColor="text1"/>
              <w:szCs w:val="24"/>
              <w14:textFill>
                <w14:solidFill>
                  <w14:schemeClr w14:val="tx1"/>
                </w14:solidFill>
              </w14:textFill>
            </w:rPr>
            <m:t>=</m:t>
          </m:r>
          <m:sSub>
            <m:sSubPr>
              <m:ctrlPr>
                <w:rPr>
                  <w:rFonts w:ascii="Cambria Math" w:hAnsi="Cambria Math" w:cs="Times New Roman"/>
                  <w:color w:val="000000" w:themeColor="text1"/>
                  <w:szCs w:val="24"/>
                  <w14:textFill>
                    <w14:solidFill>
                      <w14:schemeClr w14:val="tx1"/>
                    </w14:solidFill>
                  </w14:textFill>
                </w:rPr>
              </m:ctrlPr>
            </m:sSubPr>
            <m:e>
              <m:r>
                <m:rPr>
                  <m:sty m:val="p"/>
                </m:rPr>
                <w:rPr>
                  <w:rFonts w:ascii="Cambria Math" w:hAnsi="Cambria Math" w:cs="Times New Roman"/>
                  <w:color w:val="000000" w:themeColor="text1"/>
                  <w:szCs w:val="24"/>
                  <w14:textFill>
                    <w14:solidFill>
                      <w14:schemeClr w14:val="tx1"/>
                    </w14:solidFill>
                  </w14:textFill>
                </w:rPr>
                <m:t>H</m:t>
              </m:r>
              <m:ctrlPr>
                <w:rPr>
                  <w:rFonts w:ascii="Cambria Math" w:hAnsi="Cambria Math" w:cs="Times New Roman"/>
                  <w:color w:val="000000" w:themeColor="text1"/>
                  <w:szCs w:val="24"/>
                  <w14:textFill>
                    <w14:solidFill>
                      <w14:schemeClr w14:val="tx1"/>
                    </w14:solidFill>
                  </w14:textFill>
                </w:rPr>
              </m:ctrlPr>
            </m:e>
            <m:sub>
              <m:r>
                <m:rPr>
                  <m:sty m:val="p"/>
                </m:rPr>
                <w:rPr>
                  <w:rFonts w:ascii="Cambria Math" w:hAnsi="Cambria Math" w:cs="Times New Roman"/>
                  <w:color w:val="000000" w:themeColor="text1"/>
                  <w:szCs w:val="24"/>
                  <w14:textFill>
                    <w14:solidFill>
                      <w14:schemeClr w14:val="tx1"/>
                    </w14:solidFill>
                  </w14:textFill>
                </w:rPr>
                <m:t>1</m:t>
              </m:r>
              <m:ctrlPr>
                <w:rPr>
                  <w:rFonts w:ascii="Cambria Math" w:hAnsi="Cambria Math" w:cs="Times New Roman"/>
                  <w:color w:val="000000" w:themeColor="text1"/>
                  <w:szCs w:val="24"/>
                  <w14:textFill>
                    <w14:solidFill>
                      <w14:schemeClr w14:val="tx1"/>
                    </w14:solidFill>
                  </w14:textFill>
                </w:rPr>
              </m:ctrlPr>
            </m:sub>
          </m:sSub>
          <m:r>
            <m:rPr/>
            <w:rPr>
              <w:rFonts w:ascii="Cambria Math" w:hAnsi="Cambria Math" w:cs="Times New Roman"/>
              <w:color w:val="000000" w:themeColor="text1"/>
              <w:szCs w:val="24"/>
              <w14:textFill>
                <w14:solidFill>
                  <w14:schemeClr w14:val="tx1"/>
                </w14:solidFill>
              </w14:textFill>
            </w:rPr>
            <m:t>,</m:t>
          </m:r>
          <m:d>
            <m:dPr>
              <m:ctrlPr>
                <w:rPr>
                  <w:rFonts w:ascii="Cambria Math" w:hAnsi="Cambria Math" w:cs="Times New Roman"/>
                  <w:i/>
                  <w:color w:val="000000" w:themeColor="text1"/>
                  <w:szCs w:val="24"/>
                  <w14:textFill>
                    <w14:solidFill>
                      <w14:schemeClr w14:val="tx1"/>
                    </w14:solidFill>
                  </w14:textFill>
                </w:rPr>
              </m:ctrlPr>
            </m:dPr>
            <m:e>
              <m:r>
                <m:rPr/>
                <w:rPr>
                  <w:rFonts w:ascii="Cambria Math" w:hAnsi="Cambria Math" w:cs="Times New Roman"/>
                  <w:color w:val="000000" w:themeColor="text1"/>
                  <w:szCs w:val="24"/>
                  <w14:textFill>
                    <w14:solidFill>
                      <w14:schemeClr w14:val="tx1"/>
                    </w14:solidFill>
                  </w14:textFill>
                </w:rPr>
                <m:t>x,y,z</m:t>
              </m:r>
              <m:ctrlPr>
                <w:rPr>
                  <w:rFonts w:ascii="Cambria Math" w:hAnsi="Cambria Math" w:cs="Times New Roman"/>
                  <w:i/>
                  <w:color w:val="000000" w:themeColor="text1"/>
                  <w:szCs w:val="24"/>
                  <w14:textFill>
                    <w14:solidFill>
                      <w14:schemeClr w14:val="tx1"/>
                    </w14:solidFill>
                  </w14:textFill>
                </w:rPr>
              </m:ctrlPr>
            </m:e>
          </m:d>
          <m:r>
            <m:rPr/>
            <w:rPr>
              <w:rFonts w:ascii="Cambria Math" w:hAnsi="Cambria Math" w:cs="Times New Roman"/>
              <w:color w:val="000000" w:themeColor="text1"/>
              <w:szCs w:val="24"/>
              <w14:textFill>
                <w14:solidFill>
                  <w14:schemeClr w14:val="tx1"/>
                </w14:solidFill>
              </w14:textFill>
            </w:rPr>
            <m:t>∈</m:t>
          </m:r>
          <m:sSub>
            <m:sSubPr>
              <m:ctrlPr>
                <w:rPr>
                  <w:rFonts w:ascii="Cambria Math" w:hAnsi="Cambria Math" w:cs="Times New Roman"/>
                  <w:i/>
                  <w:color w:val="000000" w:themeColor="text1"/>
                  <w:szCs w:val="24"/>
                  <w14:textFill>
                    <w14:solidFill>
                      <w14:schemeClr w14:val="tx1"/>
                    </w14:solidFill>
                  </w14:textFill>
                </w:rPr>
              </m:ctrlPr>
            </m:sSubPr>
            <m:e>
              <m:r>
                <m:rPr/>
                <w:rPr>
                  <w:rFonts w:ascii="Cambria Math" w:hAnsi="Cambria Math" w:cs="Times New Roman"/>
                  <w:color w:val="000000" w:themeColor="text1"/>
                  <w:szCs w:val="24"/>
                  <w14:textFill>
                    <w14:solidFill>
                      <w14:schemeClr w14:val="tx1"/>
                    </w14:solidFill>
                  </w14:textFill>
                </w:rPr>
                <m:t>S</m:t>
              </m:r>
              <m:ctrlPr>
                <w:rPr>
                  <w:rFonts w:ascii="Cambria Math" w:hAnsi="Cambria Math" w:cs="Times New Roman"/>
                  <w:i/>
                  <w:color w:val="000000" w:themeColor="text1"/>
                  <w:szCs w:val="24"/>
                  <w14:textFill>
                    <w14:solidFill>
                      <w14:schemeClr w14:val="tx1"/>
                    </w14:solidFill>
                  </w14:textFill>
                </w:rPr>
              </m:ctrlPr>
            </m:e>
            <m:sub>
              <m:r>
                <m:rPr/>
                <w:rPr>
                  <w:rFonts w:ascii="Cambria Math" w:hAnsi="Cambria Math" w:cs="Times New Roman"/>
                  <w:color w:val="000000" w:themeColor="text1"/>
                  <w:szCs w:val="24"/>
                  <w14:textFill>
                    <w14:solidFill>
                      <w14:schemeClr w14:val="tx1"/>
                    </w14:solidFill>
                  </w14:textFill>
                </w:rPr>
                <m:t>1</m:t>
              </m:r>
              <m:ctrlPr>
                <w:rPr>
                  <w:rFonts w:ascii="Cambria Math" w:hAnsi="Cambria Math" w:cs="Times New Roman"/>
                  <w:i/>
                  <w:color w:val="000000" w:themeColor="text1"/>
                  <w:szCs w:val="24"/>
                  <w14:textFill>
                    <w14:solidFill>
                      <w14:schemeClr w14:val="tx1"/>
                    </w14:solidFill>
                  </w14:textFill>
                </w:rPr>
              </m:ctrlPr>
            </m:sub>
          </m:sSub>
        </m:oMath>
      </m:oMathPara>
    </w:p>
    <w:p w14:paraId="26A7225C">
      <w:pPr>
        <w:spacing w:line="360" w:lineRule="auto"/>
        <w:ind w:firstLine="960" w:firstLineChars="400"/>
        <w:rPr>
          <w:rFonts w:ascii="Times New Roman" w:hAnsi="Times New Roman" w:cs="Times New Roman"/>
          <w:szCs w:val="24"/>
          <w:lang w:eastAsia="zh-CN"/>
        </w:rPr>
      </w:pPr>
      <w:r>
        <w:rPr>
          <w:rFonts w:ascii="Times New Roman" w:hAnsi="Times New Roman" w:cs="Times New Roman"/>
          <w:szCs w:val="24"/>
          <w:lang w:eastAsia="zh-CN"/>
        </w:rPr>
        <w:t>式中：</w:t>
      </w:r>
      <w:r>
        <w:rPr>
          <w:rFonts w:ascii="Times New Roman" w:hAnsi="Times New Roman" w:cs="Times New Roman"/>
          <w:bCs/>
          <w:szCs w:val="24"/>
        </w:rPr>
        <w:t>Ω</w:t>
      </w:r>
      <w:r>
        <w:rPr>
          <w:rFonts w:ascii="Times New Roman" w:hAnsi="Times New Roman" w:cs="Times New Roman"/>
          <w:szCs w:val="24"/>
          <w:lang w:eastAsia="zh-CN"/>
        </w:rPr>
        <w:t>：模型模拟区；</w:t>
      </w:r>
    </w:p>
    <w:p w14:paraId="74DDF10B">
      <w:pPr>
        <w:spacing w:line="360" w:lineRule="auto"/>
        <w:ind w:firstLine="1680" w:firstLineChars="700"/>
        <w:rPr>
          <w:rFonts w:ascii="Times New Roman" w:hAnsi="Times New Roman" w:cs="Times New Roman"/>
          <w:szCs w:val="24"/>
        </w:rPr>
      </w:pPr>
      <w:r>
        <w:rPr>
          <w:rFonts w:ascii="Times New Roman" w:hAnsi="Times New Roman" w:cs="Times New Roman"/>
          <w:szCs w:val="24"/>
        </w:rPr>
        <w:t>H</w:t>
      </w:r>
      <w:r>
        <w:rPr>
          <w:rFonts w:ascii="Times New Roman" w:hAnsi="Times New Roman" w:cs="Times New Roman"/>
          <w:szCs w:val="24"/>
          <w:vertAlign w:val="subscript"/>
        </w:rPr>
        <w:t>0</w:t>
      </w:r>
      <w:r>
        <w:rPr>
          <w:rFonts w:ascii="Times New Roman" w:hAnsi="Times New Roman" w:cs="Times New Roman"/>
          <w:szCs w:val="24"/>
        </w:rPr>
        <w:t>：初始地下水位，L；</w:t>
      </w:r>
    </w:p>
    <w:p w14:paraId="01753A19">
      <w:pPr>
        <w:spacing w:line="360" w:lineRule="auto"/>
        <w:ind w:firstLine="1680" w:firstLineChars="700"/>
        <w:rPr>
          <w:rFonts w:ascii="Times New Roman" w:hAnsi="Times New Roman" w:cs="Times New Roman"/>
          <w:szCs w:val="24"/>
          <w:lang w:eastAsia="zh-CN"/>
        </w:rPr>
      </w:pPr>
      <w:r>
        <w:rPr>
          <w:rFonts w:ascii="Times New Roman" w:hAnsi="Times New Roman" w:cs="Times New Roman"/>
          <w:szCs w:val="24"/>
          <w:lang w:eastAsia="zh-CN"/>
        </w:rPr>
        <w:t>H</w:t>
      </w:r>
      <w:r>
        <w:rPr>
          <w:rFonts w:ascii="Times New Roman" w:hAnsi="Times New Roman" w:cs="Times New Roman"/>
          <w:szCs w:val="24"/>
          <w:vertAlign w:val="subscript"/>
          <w:lang w:eastAsia="zh-CN"/>
        </w:rPr>
        <w:t>1</w:t>
      </w:r>
      <w:r>
        <w:rPr>
          <w:rFonts w:ascii="Times New Roman" w:hAnsi="Times New Roman" w:cs="Times New Roman"/>
          <w:szCs w:val="24"/>
          <w:lang w:eastAsia="zh-CN"/>
        </w:rPr>
        <w:t>：指定定水头，L;</w:t>
      </w:r>
    </w:p>
    <w:p w14:paraId="09427161">
      <w:pPr>
        <w:spacing w:line="360" w:lineRule="auto"/>
        <w:ind w:firstLine="1680" w:firstLineChars="700"/>
        <w:rPr>
          <w:rFonts w:ascii="Times New Roman" w:hAnsi="Times New Roman" w:cs="Times New Roman"/>
          <w:szCs w:val="24"/>
          <w:lang w:eastAsia="zh-CN"/>
        </w:rPr>
      </w:pPr>
      <w:r>
        <w:rPr>
          <w:rFonts w:ascii="Times New Roman" w:hAnsi="Times New Roman" w:cs="Times New Roman"/>
          <w:szCs w:val="24"/>
          <w:lang w:eastAsia="zh-CN"/>
        </w:rPr>
        <w:t>S</w:t>
      </w:r>
      <w:r>
        <w:rPr>
          <w:rFonts w:ascii="Times New Roman" w:hAnsi="Times New Roman" w:cs="Times New Roman"/>
          <w:szCs w:val="24"/>
          <w:vertAlign w:val="subscript"/>
          <w:lang w:eastAsia="zh-CN"/>
        </w:rPr>
        <w:t>1</w:t>
      </w:r>
      <w:r>
        <w:rPr>
          <w:rFonts w:ascii="Times New Roman" w:hAnsi="Times New Roman" w:cs="Times New Roman"/>
          <w:szCs w:val="24"/>
          <w:lang w:eastAsia="zh-CN"/>
        </w:rPr>
        <w:t>:第一类边界；</w:t>
      </w:r>
    </w:p>
    <w:p w14:paraId="550454BB">
      <w:pPr>
        <w:spacing w:line="360" w:lineRule="auto"/>
        <w:ind w:firstLine="1680" w:firstLineChars="700"/>
        <w:rPr>
          <w:rFonts w:ascii="Times New Roman" w:hAnsi="Times New Roman" w:cs="Times New Roman"/>
          <w:szCs w:val="24"/>
          <w:lang w:eastAsia="zh-CN"/>
        </w:rPr>
      </w:pPr>
      <w:r>
        <w:rPr>
          <w:rFonts w:ascii="Times New Roman" w:hAnsi="Times New Roman" w:cs="Times New Roman"/>
          <w:szCs w:val="24"/>
          <w:lang w:eastAsia="zh-CN"/>
        </w:rPr>
        <w:t>S</w:t>
      </w:r>
      <w:r>
        <w:rPr>
          <w:rFonts w:ascii="Times New Roman" w:hAnsi="Times New Roman" w:cs="Times New Roman"/>
          <w:szCs w:val="24"/>
          <w:vertAlign w:val="subscript"/>
          <w:lang w:eastAsia="zh-CN"/>
        </w:rPr>
        <w:t>2</w:t>
      </w:r>
      <w:r>
        <w:rPr>
          <w:rFonts w:ascii="Times New Roman" w:hAnsi="Times New Roman" w:cs="Times New Roman"/>
          <w:szCs w:val="24"/>
          <w:lang w:eastAsia="zh-CN"/>
        </w:rPr>
        <w:t>：第二类边界；</w:t>
      </w:r>
    </w:p>
    <w:p w14:paraId="22335BA5">
      <w:pPr>
        <w:spacing w:line="360" w:lineRule="auto"/>
        <w:ind w:firstLine="1680" w:firstLineChars="700"/>
        <w:rPr>
          <w:rFonts w:ascii="Times New Roman" w:hAnsi="Times New Roman" w:cs="Times New Roman"/>
          <w:szCs w:val="24"/>
          <w:lang w:eastAsia="zh-CN"/>
        </w:rPr>
      </w:pPr>
      <w:r>
        <w:rPr>
          <w:rFonts w:ascii="Times New Roman" w:hAnsi="Times New Roman" w:cs="Times New Roman"/>
          <w:szCs w:val="24"/>
        </w:rPr>
        <w:t>μ</w:t>
      </w:r>
      <w:r>
        <w:rPr>
          <w:rFonts w:ascii="Times New Roman" w:hAnsi="Times New Roman" w:cs="Times New Roman"/>
          <w:szCs w:val="24"/>
          <w:vertAlign w:val="subscript"/>
          <w:lang w:eastAsia="zh-CN"/>
        </w:rPr>
        <w:t>s</w:t>
      </w:r>
      <w:r>
        <w:rPr>
          <w:rFonts w:ascii="Times New Roman" w:hAnsi="Times New Roman" w:cs="Times New Roman"/>
          <w:szCs w:val="24"/>
          <w:lang w:eastAsia="zh-CN"/>
        </w:rPr>
        <w:t>：单位储水系数，L</w:t>
      </w:r>
      <w:r>
        <w:rPr>
          <w:rFonts w:ascii="Times New Roman" w:hAnsi="Times New Roman" w:cs="Times New Roman"/>
          <w:szCs w:val="24"/>
          <w:vertAlign w:val="superscript"/>
          <w:lang w:eastAsia="zh-CN"/>
        </w:rPr>
        <w:t>-1</w:t>
      </w:r>
      <w:r>
        <w:rPr>
          <w:rFonts w:ascii="Times New Roman" w:hAnsi="Times New Roman" w:cs="Times New Roman"/>
          <w:szCs w:val="24"/>
          <w:lang w:eastAsia="zh-CN"/>
        </w:rPr>
        <w:t>;</w:t>
      </w:r>
    </w:p>
    <w:p w14:paraId="274F92AC">
      <w:pPr>
        <w:spacing w:line="360" w:lineRule="auto"/>
        <w:ind w:firstLine="1680" w:firstLineChars="700"/>
        <w:rPr>
          <w:rFonts w:ascii="Times New Roman" w:hAnsi="Times New Roman" w:cs="Times New Roman"/>
          <w:szCs w:val="24"/>
          <w:lang w:eastAsia="zh-CN"/>
        </w:rPr>
      </w:pPr>
      <w:r>
        <w:rPr>
          <w:rFonts w:ascii="Times New Roman" w:hAnsi="Times New Roman" w:cs="Times New Roman"/>
          <w:szCs w:val="24"/>
          <w:lang w:eastAsia="zh-CN"/>
        </w:rPr>
        <w:t>K</w:t>
      </w:r>
      <w:r>
        <w:rPr>
          <w:rFonts w:ascii="Times New Roman" w:hAnsi="Times New Roman" w:cs="Times New Roman"/>
          <w:szCs w:val="24"/>
          <w:vertAlign w:val="subscript"/>
          <w:lang w:eastAsia="zh-CN"/>
        </w:rPr>
        <w:t>xx</w:t>
      </w:r>
      <w:r>
        <w:rPr>
          <w:rFonts w:ascii="Times New Roman" w:hAnsi="Times New Roman" w:cs="Times New Roman"/>
          <w:szCs w:val="24"/>
          <w:lang w:eastAsia="zh-CN"/>
        </w:rPr>
        <w:t>，K</w:t>
      </w:r>
      <w:r>
        <w:rPr>
          <w:rFonts w:ascii="Times New Roman" w:hAnsi="Times New Roman" w:cs="Times New Roman"/>
          <w:szCs w:val="24"/>
          <w:vertAlign w:val="subscript"/>
          <w:lang w:eastAsia="zh-CN"/>
        </w:rPr>
        <w:t>yy</w:t>
      </w:r>
      <w:r>
        <w:rPr>
          <w:rFonts w:ascii="Times New Roman" w:hAnsi="Times New Roman" w:cs="Times New Roman"/>
          <w:szCs w:val="24"/>
          <w:lang w:eastAsia="zh-CN"/>
        </w:rPr>
        <w:t>，K</w:t>
      </w:r>
      <w:r>
        <w:rPr>
          <w:rFonts w:ascii="Times New Roman" w:hAnsi="Times New Roman" w:cs="Times New Roman"/>
          <w:szCs w:val="24"/>
          <w:vertAlign w:val="subscript"/>
          <w:lang w:eastAsia="zh-CN"/>
        </w:rPr>
        <w:t>zz</w:t>
      </w:r>
      <w:r>
        <w:rPr>
          <w:rFonts w:ascii="Times New Roman" w:hAnsi="Times New Roman" w:cs="Times New Roman"/>
          <w:szCs w:val="24"/>
          <w:lang w:eastAsia="zh-CN"/>
        </w:rPr>
        <w:t>：分别为x，y，z主方向的渗透系数，LT</w:t>
      </w:r>
      <w:r>
        <w:rPr>
          <w:rFonts w:ascii="Times New Roman" w:hAnsi="Times New Roman" w:cs="Times New Roman"/>
          <w:szCs w:val="24"/>
          <w:vertAlign w:val="superscript"/>
          <w:lang w:eastAsia="zh-CN"/>
        </w:rPr>
        <w:t>-1</w:t>
      </w:r>
      <w:r>
        <w:rPr>
          <w:rFonts w:ascii="Times New Roman" w:hAnsi="Times New Roman" w:cs="Times New Roman"/>
          <w:szCs w:val="24"/>
          <w:lang w:eastAsia="zh-CN"/>
        </w:rPr>
        <w:t>;</w:t>
      </w:r>
    </w:p>
    <w:p w14:paraId="32BAA022">
      <w:pPr>
        <w:spacing w:line="360" w:lineRule="auto"/>
        <w:ind w:firstLine="1680" w:firstLineChars="700"/>
        <w:rPr>
          <w:rFonts w:ascii="Times New Roman" w:hAnsi="Times New Roman" w:cs="Times New Roman"/>
          <w:szCs w:val="24"/>
          <w:lang w:eastAsia="zh-CN"/>
        </w:rPr>
      </w:pPr>
      <w:r>
        <w:rPr>
          <w:rFonts w:ascii="Times New Roman" w:hAnsi="Times New Roman" w:cs="Times New Roman"/>
          <w:szCs w:val="24"/>
          <w:lang w:eastAsia="zh-CN"/>
        </w:rPr>
        <w:t>w：源汇项，考虑降雨入渗补给；</w:t>
      </w:r>
    </w:p>
    <w:p w14:paraId="3C9E156A">
      <w:pPr>
        <w:spacing w:line="360" w:lineRule="auto"/>
        <w:ind w:firstLine="1680" w:firstLineChars="700"/>
        <w:rPr>
          <w:rFonts w:ascii="Times New Roman" w:hAnsi="Times New Roman" w:cs="Times New Roman"/>
          <w:szCs w:val="24"/>
          <w:lang w:eastAsia="zh-CN"/>
        </w:rPr>
      </w:pPr>
      <w:r>
        <w:rPr>
          <w:rFonts w:ascii="Times New Roman" w:hAnsi="Times New Roman" w:cs="Times New Roman"/>
          <w:szCs w:val="24"/>
          <w:lang w:eastAsia="zh-CN"/>
        </w:rPr>
        <w:t>q（x,y,z,t）:边界不同位置上不同时间的流量，L</w:t>
      </w:r>
      <w:r>
        <w:rPr>
          <w:rFonts w:ascii="Times New Roman" w:hAnsi="Times New Roman" w:cs="Times New Roman"/>
          <w:szCs w:val="24"/>
          <w:vertAlign w:val="superscript"/>
          <w:lang w:eastAsia="zh-CN"/>
        </w:rPr>
        <w:t>3</w:t>
      </w:r>
      <w:r>
        <w:rPr>
          <w:rFonts w:ascii="Times New Roman" w:hAnsi="Times New Roman" w:cs="Times New Roman"/>
          <w:szCs w:val="24"/>
          <w:lang w:eastAsia="zh-CN"/>
        </w:rPr>
        <w:t>T</w:t>
      </w:r>
      <w:r>
        <w:rPr>
          <w:rFonts w:ascii="Times New Roman" w:hAnsi="Times New Roman" w:cs="Times New Roman"/>
          <w:szCs w:val="24"/>
          <w:vertAlign w:val="superscript"/>
          <w:lang w:eastAsia="zh-CN"/>
        </w:rPr>
        <w:t>-1</w:t>
      </w:r>
      <w:r>
        <w:rPr>
          <w:rFonts w:ascii="Times New Roman" w:hAnsi="Times New Roman" w:cs="Times New Roman"/>
          <w:szCs w:val="24"/>
          <w:lang w:eastAsia="zh-CN"/>
        </w:rPr>
        <w:t>；</w:t>
      </w:r>
    </w:p>
    <w:p w14:paraId="17A84DEA">
      <w:pPr>
        <w:spacing w:line="360" w:lineRule="auto"/>
        <w:ind w:firstLine="1440" w:firstLineChars="600"/>
        <w:rPr>
          <w:rFonts w:cs="Times New Roman"/>
          <w:szCs w:val="24"/>
          <w:lang w:eastAsia="zh-CN"/>
        </w:rPr>
      </w:pPr>
      <m:oMath>
        <m:f>
          <m:fPr>
            <m:ctrlPr>
              <w:rPr>
                <w:rFonts w:ascii="Cambria Math" w:hAnsi="Cambria Math" w:cs="Times New Roman"/>
                <w:color w:val="000000" w:themeColor="text1"/>
                <w:szCs w:val="24"/>
                <w14:textFill>
                  <w14:solidFill>
                    <w14:schemeClr w14:val="tx1"/>
                  </w14:solidFill>
                </w14:textFill>
              </w:rPr>
            </m:ctrlPr>
          </m:fPr>
          <m:num>
            <m:r>
              <m:rPr/>
              <w:rPr>
                <w:rFonts w:ascii="Cambria Math" w:hAnsi="Cambria Math" w:cs="Times New Roman"/>
                <w:color w:val="000000" w:themeColor="text1"/>
                <w:szCs w:val="24"/>
                <w:lang w:eastAsia="zh-CN"/>
                <w14:textFill>
                  <w14:solidFill>
                    <w14:schemeClr w14:val="tx1"/>
                  </w14:solidFill>
                </w14:textFill>
              </w:rPr>
              <m:t>∂H</m:t>
            </m:r>
            <m:ctrlPr>
              <w:rPr>
                <w:rFonts w:ascii="Cambria Math" w:hAnsi="Cambria Math" w:cs="Times New Roman"/>
                <w:color w:val="000000" w:themeColor="text1"/>
                <w:szCs w:val="24"/>
                <w14:textFill>
                  <w14:solidFill>
                    <w14:schemeClr w14:val="tx1"/>
                  </w14:solidFill>
                </w14:textFill>
              </w:rPr>
            </m:ctrlPr>
          </m:num>
          <m:den>
            <m:r>
              <m:rPr/>
              <w:rPr>
                <w:rFonts w:ascii="Cambria Math" w:hAnsi="Cambria Math" w:cs="Times New Roman"/>
                <w:color w:val="000000" w:themeColor="text1"/>
                <w:szCs w:val="24"/>
                <w:lang w:eastAsia="zh-CN"/>
                <w14:textFill>
                  <w14:solidFill>
                    <w14:schemeClr w14:val="tx1"/>
                  </w14:solidFill>
                </w14:textFill>
              </w:rPr>
              <m:t>∂n</m:t>
            </m:r>
            <m:ctrlPr>
              <w:rPr>
                <w:rFonts w:ascii="Cambria Math" w:hAnsi="Cambria Math" w:cs="Times New Roman"/>
                <w:color w:val="000000" w:themeColor="text1"/>
                <w:szCs w:val="24"/>
                <w14:textFill>
                  <w14:solidFill>
                    <w14:schemeClr w14:val="tx1"/>
                  </w14:solidFill>
                </w14:textFill>
              </w:rPr>
            </m:ctrlPr>
          </m:den>
        </m:f>
      </m:oMath>
      <w:r>
        <w:rPr>
          <w:rFonts w:cs="Times New Roman"/>
          <w:szCs w:val="24"/>
          <w:lang w:eastAsia="zh-CN"/>
        </w:rPr>
        <w:t>：水力梯度在边界法线上的分量。</w:t>
      </w:r>
    </w:p>
    <w:p w14:paraId="2EC1CBA5">
      <w:pPr>
        <w:spacing w:line="360" w:lineRule="auto"/>
        <w:ind w:firstLine="480" w:firstLineChars="200"/>
        <w:jc w:val="both"/>
        <w:rPr>
          <w:rFonts w:ascii="Times New Roman" w:hAnsi="Times New Roman" w:cs="Times New Roman"/>
          <w:szCs w:val="24"/>
          <w:lang w:eastAsia="zh-CN"/>
        </w:rPr>
      </w:pPr>
      <w:r>
        <w:rPr>
          <w:rFonts w:ascii="Times New Roman" w:hAnsi="Times New Roman" w:cs="Times New Roman"/>
          <w:szCs w:val="24"/>
          <w:lang w:eastAsia="zh-CN"/>
        </w:rPr>
        <w:t>上述数学控制方程的求解采用DHI-WASY公司开发的基于有限单元法的FEFLOW软件。</w:t>
      </w:r>
    </w:p>
    <w:p w14:paraId="5BAE5746">
      <w:pPr>
        <w:spacing w:line="360" w:lineRule="auto"/>
        <w:jc w:val="both"/>
        <w:rPr>
          <w:rFonts w:ascii="Times New Roman" w:hAnsi="Times New Roman" w:cs="Times New Roman"/>
          <w:szCs w:val="24"/>
          <w:lang w:eastAsia="zh-CN"/>
        </w:rPr>
      </w:pPr>
      <w:r>
        <w:rPr>
          <w:rFonts w:ascii="Times New Roman" w:hAnsi="Times New Roman" w:cs="Times New Roman"/>
          <w:szCs w:val="24"/>
          <w:lang w:eastAsia="zh-CN"/>
        </w:rPr>
        <w:t>溶质运移的三维水动力弥散方程的数学模型如下：</w:t>
      </w:r>
    </w:p>
    <w:p w14:paraId="4A570C91">
      <w:pPr>
        <w:spacing w:line="360" w:lineRule="auto"/>
        <w:jc w:val="center"/>
        <w:rPr>
          <w:rFonts w:ascii="Times New Roman" w:hAnsi="Times New Roman" w:cs="Times New Roman"/>
          <w:color w:val="000000" w:themeColor="text1"/>
          <w:szCs w:val="24"/>
          <w14:textFill>
            <w14:solidFill>
              <w14:schemeClr w14:val="tx1"/>
            </w14:solidFill>
          </w14:textFill>
        </w:rPr>
      </w:pPr>
      <m:oMathPara>
        <m:oMath>
          <m:f>
            <m:fPr>
              <m:ctrlPr>
                <w:rPr>
                  <w:rFonts w:ascii="Cambria Math" w:hAnsi="Cambria Math" w:cs="Times New Roman"/>
                  <w:color w:val="000000" w:themeColor="text1"/>
                  <w:szCs w:val="24"/>
                  <w14:textFill>
                    <w14:solidFill>
                      <w14:schemeClr w14:val="tx1"/>
                    </w14:solidFill>
                  </w14:textFill>
                </w:rPr>
              </m:ctrlPr>
            </m:fPr>
            <m:num>
              <m:r>
                <m:rPr/>
                <w:rPr>
                  <w:rFonts w:ascii="Cambria Math" w:hAnsi="Cambria Math" w:cs="Times New Roman"/>
                  <w:color w:val="000000" w:themeColor="text1"/>
                  <w:szCs w:val="24"/>
                  <w14:textFill>
                    <w14:solidFill>
                      <w14:schemeClr w14:val="tx1"/>
                    </w14:solidFill>
                  </w14:textFill>
                </w:rPr>
                <m:t>∂c</m:t>
              </m:r>
              <m:ctrlPr>
                <w:rPr>
                  <w:rFonts w:ascii="Cambria Math" w:hAnsi="Cambria Math" w:cs="Times New Roman"/>
                  <w:color w:val="000000" w:themeColor="text1"/>
                  <w:szCs w:val="24"/>
                  <w14:textFill>
                    <w14:solidFill>
                      <w14:schemeClr w14:val="tx1"/>
                    </w14:solidFill>
                  </w14:textFill>
                </w:rPr>
              </m:ctrlPr>
            </m:num>
            <m:den>
              <m:r>
                <m:rPr/>
                <w:rPr>
                  <w:rFonts w:ascii="Cambria Math" w:hAnsi="Cambria Math" w:cs="Times New Roman"/>
                  <w:color w:val="000000" w:themeColor="text1"/>
                  <w:szCs w:val="24"/>
                  <w14:textFill>
                    <w14:solidFill>
                      <w14:schemeClr w14:val="tx1"/>
                    </w14:solidFill>
                  </w14:textFill>
                </w:rPr>
                <m:t>∂t</m:t>
              </m:r>
              <m:ctrlPr>
                <w:rPr>
                  <w:rFonts w:ascii="Cambria Math" w:hAnsi="Cambria Math" w:cs="Times New Roman"/>
                  <w:color w:val="000000" w:themeColor="text1"/>
                  <w:szCs w:val="24"/>
                  <w14:textFill>
                    <w14:solidFill>
                      <w14:schemeClr w14:val="tx1"/>
                    </w14:solidFill>
                  </w14:textFill>
                </w:rPr>
              </m:ctrlPr>
            </m:den>
          </m:f>
          <m:r>
            <m:rPr/>
            <w:rPr>
              <w:rFonts w:ascii="Cambria Math" w:hAnsi="Cambria Math" w:cs="Times New Roman"/>
              <w:color w:val="000000" w:themeColor="text1"/>
              <w:szCs w:val="24"/>
              <w14:textFill>
                <w14:solidFill>
                  <w14:schemeClr w14:val="tx1"/>
                </w14:solidFill>
              </w14:textFill>
            </w:rPr>
            <m:t>=</m:t>
          </m:r>
          <m:f>
            <m:fPr>
              <m:ctrlPr>
                <w:rPr>
                  <w:rFonts w:ascii="Cambria Math" w:hAnsi="Cambria Math" w:cs="Times New Roman"/>
                  <w:i/>
                  <w:color w:val="000000" w:themeColor="text1"/>
                  <w:szCs w:val="24"/>
                  <w14:textFill>
                    <w14:solidFill>
                      <w14:schemeClr w14:val="tx1"/>
                    </w14:solidFill>
                  </w14:textFill>
                </w:rPr>
              </m:ctrlPr>
            </m:fPr>
            <m:num>
              <m:r>
                <m:rPr/>
                <w:rPr>
                  <w:rFonts w:ascii="Cambria Math" w:hAnsi="Cambria Math" w:cs="Times New Roman"/>
                  <w:color w:val="000000" w:themeColor="text1"/>
                  <w:szCs w:val="24"/>
                  <w14:textFill>
                    <w14:solidFill>
                      <w14:schemeClr w14:val="tx1"/>
                    </w14:solidFill>
                  </w14:textFill>
                </w:rPr>
                <m:t>∂</m:t>
              </m:r>
              <m:ctrlPr>
                <w:rPr>
                  <w:rFonts w:ascii="Cambria Math" w:hAnsi="Cambria Math" w:cs="Times New Roman"/>
                  <w:i/>
                  <w:color w:val="000000" w:themeColor="text1"/>
                  <w:szCs w:val="24"/>
                  <w14:textFill>
                    <w14:solidFill>
                      <w14:schemeClr w14:val="tx1"/>
                    </w14:solidFill>
                  </w14:textFill>
                </w:rPr>
              </m:ctrlPr>
            </m:num>
            <m:den>
              <m:r>
                <m:rPr/>
                <w:rPr>
                  <w:rFonts w:ascii="Cambria Math" w:hAnsi="Cambria Math" w:cs="Times New Roman"/>
                  <w:color w:val="000000" w:themeColor="text1"/>
                  <w:szCs w:val="24"/>
                  <w14:textFill>
                    <w14:solidFill>
                      <w14:schemeClr w14:val="tx1"/>
                    </w14:solidFill>
                  </w14:textFill>
                </w:rPr>
                <m:t>∂x</m:t>
              </m:r>
              <m:ctrlPr>
                <w:rPr>
                  <w:rFonts w:ascii="Cambria Math" w:hAnsi="Cambria Math" w:cs="Times New Roman"/>
                  <w:i/>
                  <w:color w:val="000000" w:themeColor="text1"/>
                  <w:szCs w:val="24"/>
                  <w14:textFill>
                    <w14:solidFill>
                      <w14:schemeClr w14:val="tx1"/>
                    </w14:solidFill>
                  </w14:textFill>
                </w:rPr>
              </m:ctrlPr>
            </m:den>
          </m:f>
          <m:d>
            <m:dPr>
              <m:ctrlPr>
                <w:rPr>
                  <w:rFonts w:ascii="Cambria Math" w:hAnsi="Cambria Math" w:cs="Times New Roman"/>
                  <w:i/>
                  <w:color w:val="000000" w:themeColor="text1"/>
                  <w:szCs w:val="24"/>
                  <w14:textFill>
                    <w14:solidFill>
                      <w14:schemeClr w14:val="tx1"/>
                    </w14:solidFill>
                  </w14:textFill>
                </w:rPr>
              </m:ctrlPr>
            </m:dPr>
            <m:e>
              <m:sSub>
                <m:sSubPr>
                  <m:ctrlPr>
                    <w:rPr>
                      <w:rFonts w:ascii="Cambria Math" w:hAnsi="Cambria Math" w:cs="Times New Roman"/>
                      <w:i/>
                      <w:color w:val="000000" w:themeColor="text1"/>
                      <w:szCs w:val="24"/>
                      <w14:textFill>
                        <w14:solidFill>
                          <w14:schemeClr w14:val="tx1"/>
                        </w14:solidFill>
                      </w14:textFill>
                    </w:rPr>
                  </m:ctrlPr>
                </m:sSubPr>
                <m:e>
                  <m:r>
                    <m:rPr/>
                    <w:rPr>
                      <w:rFonts w:ascii="Cambria Math" w:hAnsi="Cambria Math" w:cs="Times New Roman"/>
                      <w:color w:val="000000" w:themeColor="text1"/>
                      <w:szCs w:val="24"/>
                      <w14:textFill>
                        <w14:solidFill>
                          <w14:schemeClr w14:val="tx1"/>
                        </w14:solidFill>
                      </w14:textFill>
                    </w:rPr>
                    <m:t>D</m:t>
                  </m:r>
                  <m:ctrlPr>
                    <w:rPr>
                      <w:rFonts w:ascii="Cambria Math" w:hAnsi="Cambria Math" w:cs="Times New Roman"/>
                      <w:i/>
                      <w:color w:val="000000" w:themeColor="text1"/>
                      <w:szCs w:val="24"/>
                      <w14:textFill>
                        <w14:solidFill>
                          <w14:schemeClr w14:val="tx1"/>
                        </w14:solidFill>
                      </w14:textFill>
                    </w:rPr>
                  </m:ctrlPr>
                </m:e>
                <m:sub>
                  <m:r>
                    <m:rPr/>
                    <w:rPr>
                      <w:rFonts w:ascii="Cambria Math" w:hAnsi="Cambria Math" w:cs="Times New Roman"/>
                      <w:color w:val="000000" w:themeColor="text1"/>
                      <w:szCs w:val="24"/>
                      <w14:textFill>
                        <w14:solidFill>
                          <w14:schemeClr w14:val="tx1"/>
                        </w14:solidFill>
                      </w14:textFill>
                    </w:rPr>
                    <m:t>xx</m:t>
                  </m:r>
                  <m:ctrlPr>
                    <w:rPr>
                      <w:rFonts w:ascii="Cambria Math" w:hAnsi="Cambria Math" w:cs="Times New Roman"/>
                      <w:i/>
                      <w:color w:val="000000" w:themeColor="text1"/>
                      <w:szCs w:val="24"/>
                      <w14:textFill>
                        <w14:solidFill>
                          <w14:schemeClr w14:val="tx1"/>
                        </w14:solidFill>
                      </w14:textFill>
                    </w:rPr>
                  </m:ctrlPr>
                </m:sub>
              </m:sSub>
              <m:f>
                <m:fPr>
                  <m:ctrlPr>
                    <w:rPr>
                      <w:rFonts w:ascii="Cambria Math" w:hAnsi="Cambria Math" w:cs="Times New Roman"/>
                      <w:i/>
                      <w:color w:val="000000" w:themeColor="text1"/>
                      <w:szCs w:val="24"/>
                      <w14:textFill>
                        <w14:solidFill>
                          <w14:schemeClr w14:val="tx1"/>
                        </w14:solidFill>
                      </w14:textFill>
                    </w:rPr>
                  </m:ctrlPr>
                </m:fPr>
                <m:num>
                  <m:r>
                    <m:rPr/>
                    <w:rPr>
                      <w:rFonts w:ascii="Cambria Math" w:hAnsi="Cambria Math" w:cs="Times New Roman"/>
                      <w:color w:val="000000" w:themeColor="text1"/>
                      <w:szCs w:val="24"/>
                      <w14:textFill>
                        <w14:solidFill>
                          <w14:schemeClr w14:val="tx1"/>
                        </w14:solidFill>
                      </w14:textFill>
                    </w:rPr>
                    <m:t>∂c</m:t>
                  </m:r>
                  <m:ctrlPr>
                    <w:rPr>
                      <w:rFonts w:ascii="Cambria Math" w:hAnsi="Cambria Math" w:cs="Times New Roman"/>
                      <w:i/>
                      <w:color w:val="000000" w:themeColor="text1"/>
                      <w:szCs w:val="24"/>
                      <w14:textFill>
                        <w14:solidFill>
                          <w14:schemeClr w14:val="tx1"/>
                        </w14:solidFill>
                      </w14:textFill>
                    </w:rPr>
                  </m:ctrlPr>
                </m:num>
                <m:den>
                  <m:r>
                    <m:rPr/>
                    <w:rPr>
                      <w:rFonts w:ascii="Cambria Math" w:hAnsi="Cambria Math" w:cs="Times New Roman"/>
                      <w:color w:val="000000" w:themeColor="text1"/>
                      <w:szCs w:val="24"/>
                      <w14:textFill>
                        <w14:solidFill>
                          <w14:schemeClr w14:val="tx1"/>
                        </w14:solidFill>
                      </w14:textFill>
                    </w:rPr>
                    <m:t>∂x</m:t>
                  </m:r>
                  <m:ctrlPr>
                    <w:rPr>
                      <w:rFonts w:ascii="Cambria Math" w:hAnsi="Cambria Math" w:cs="Times New Roman"/>
                      <w:i/>
                      <w:color w:val="000000" w:themeColor="text1"/>
                      <w:szCs w:val="24"/>
                      <w14:textFill>
                        <w14:solidFill>
                          <w14:schemeClr w14:val="tx1"/>
                        </w14:solidFill>
                      </w14:textFill>
                    </w:rPr>
                  </m:ctrlPr>
                </m:den>
              </m:f>
              <m:ctrlPr>
                <w:rPr>
                  <w:rFonts w:ascii="Cambria Math" w:hAnsi="Cambria Math" w:cs="Times New Roman"/>
                  <w:i/>
                  <w:color w:val="000000" w:themeColor="text1"/>
                  <w:szCs w:val="24"/>
                  <w14:textFill>
                    <w14:solidFill>
                      <w14:schemeClr w14:val="tx1"/>
                    </w14:solidFill>
                  </w14:textFill>
                </w:rPr>
              </m:ctrlPr>
            </m:e>
          </m:d>
          <m:r>
            <m:rPr/>
            <w:rPr>
              <w:rFonts w:ascii="Cambria Math" w:hAnsi="Cambria Math" w:cs="Times New Roman"/>
              <w:color w:val="000000" w:themeColor="text1"/>
              <w:szCs w:val="24"/>
              <w14:textFill>
                <w14:solidFill>
                  <w14:schemeClr w14:val="tx1"/>
                </w14:solidFill>
              </w14:textFill>
            </w:rPr>
            <m:t>+</m:t>
          </m:r>
          <m:f>
            <m:fPr>
              <m:ctrlPr>
                <w:rPr>
                  <w:rFonts w:ascii="Cambria Math" w:hAnsi="Cambria Math" w:cs="Times New Roman"/>
                  <w:i/>
                  <w:color w:val="000000" w:themeColor="text1"/>
                  <w:szCs w:val="24"/>
                  <w14:textFill>
                    <w14:solidFill>
                      <w14:schemeClr w14:val="tx1"/>
                    </w14:solidFill>
                  </w14:textFill>
                </w:rPr>
              </m:ctrlPr>
            </m:fPr>
            <m:num>
              <m:r>
                <m:rPr/>
                <w:rPr>
                  <w:rFonts w:ascii="Cambria Math" w:hAnsi="Cambria Math" w:cs="Times New Roman"/>
                  <w:color w:val="000000" w:themeColor="text1"/>
                  <w:szCs w:val="24"/>
                  <w14:textFill>
                    <w14:solidFill>
                      <w14:schemeClr w14:val="tx1"/>
                    </w14:solidFill>
                  </w14:textFill>
                </w:rPr>
                <m:t>∂</m:t>
              </m:r>
              <m:ctrlPr>
                <w:rPr>
                  <w:rFonts w:ascii="Cambria Math" w:hAnsi="Cambria Math" w:cs="Times New Roman"/>
                  <w:i/>
                  <w:color w:val="000000" w:themeColor="text1"/>
                  <w:szCs w:val="24"/>
                  <w14:textFill>
                    <w14:solidFill>
                      <w14:schemeClr w14:val="tx1"/>
                    </w14:solidFill>
                  </w14:textFill>
                </w:rPr>
              </m:ctrlPr>
            </m:num>
            <m:den>
              <m:r>
                <m:rPr/>
                <w:rPr>
                  <w:rFonts w:ascii="Cambria Math" w:hAnsi="Cambria Math" w:cs="Times New Roman"/>
                  <w:color w:val="000000" w:themeColor="text1"/>
                  <w:szCs w:val="24"/>
                  <w14:textFill>
                    <w14:solidFill>
                      <w14:schemeClr w14:val="tx1"/>
                    </w14:solidFill>
                  </w14:textFill>
                </w:rPr>
                <m:t>∂y</m:t>
              </m:r>
              <m:ctrlPr>
                <w:rPr>
                  <w:rFonts w:ascii="Cambria Math" w:hAnsi="Cambria Math" w:cs="Times New Roman"/>
                  <w:i/>
                  <w:color w:val="000000" w:themeColor="text1"/>
                  <w:szCs w:val="24"/>
                  <w14:textFill>
                    <w14:solidFill>
                      <w14:schemeClr w14:val="tx1"/>
                    </w14:solidFill>
                  </w14:textFill>
                </w:rPr>
              </m:ctrlPr>
            </m:den>
          </m:f>
          <m:d>
            <m:dPr>
              <m:ctrlPr>
                <w:rPr>
                  <w:rFonts w:ascii="Cambria Math" w:hAnsi="Cambria Math" w:cs="Times New Roman"/>
                  <w:i/>
                  <w:color w:val="000000" w:themeColor="text1"/>
                  <w:szCs w:val="24"/>
                  <w14:textFill>
                    <w14:solidFill>
                      <w14:schemeClr w14:val="tx1"/>
                    </w14:solidFill>
                  </w14:textFill>
                </w:rPr>
              </m:ctrlPr>
            </m:dPr>
            <m:e>
              <m:sSub>
                <m:sSubPr>
                  <m:ctrlPr>
                    <w:rPr>
                      <w:rFonts w:ascii="Cambria Math" w:hAnsi="Cambria Math" w:cs="Times New Roman"/>
                      <w:i/>
                      <w:color w:val="000000" w:themeColor="text1"/>
                      <w:szCs w:val="24"/>
                      <w14:textFill>
                        <w14:solidFill>
                          <w14:schemeClr w14:val="tx1"/>
                        </w14:solidFill>
                      </w14:textFill>
                    </w:rPr>
                  </m:ctrlPr>
                </m:sSubPr>
                <m:e>
                  <m:r>
                    <m:rPr/>
                    <w:rPr>
                      <w:rFonts w:ascii="Cambria Math" w:hAnsi="Cambria Math" w:cs="Times New Roman"/>
                      <w:color w:val="000000" w:themeColor="text1"/>
                      <w:szCs w:val="24"/>
                      <w14:textFill>
                        <w14:solidFill>
                          <w14:schemeClr w14:val="tx1"/>
                        </w14:solidFill>
                      </w14:textFill>
                    </w:rPr>
                    <m:t>D</m:t>
                  </m:r>
                  <m:ctrlPr>
                    <w:rPr>
                      <w:rFonts w:ascii="Cambria Math" w:hAnsi="Cambria Math" w:cs="Times New Roman"/>
                      <w:i/>
                      <w:color w:val="000000" w:themeColor="text1"/>
                      <w:szCs w:val="24"/>
                      <w14:textFill>
                        <w14:solidFill>
                          <w14:schemeClr w14:val="tx1"/>
                        </w14:solidFill>
                      </w14:textFill>
                    </w:rPr>
                  </m:ctrlPr>
                </m:e>
                <m:sub>
                  <m:r>
                    <m:rPr/>
                    <w:rPr>
                      <w:rFonts w:ascii="Cambria Math" w:hAnsi="Cambria Math" w:cs="Times New Roman"/>
                      <w:color w:val="000000" w:themeColor="text1"/>
                      <w:szCs w:val="24"/>
                      <w14:textFill>
                        <w14:solidFill>
                          <w14:schemeClr w14:val="tx1"/>
                        </w14:solidFill>
                      </w14:textFill>
                    </w:rPr>
                    <m:t>yy</m:t>
                  </m:r>
                  <m:ctrlPr>
                    <w:rPr>
                      <w:rFonts w:ascii="Cambria Math" w:hAnsi="Cambria Math" w:cs="Times New Roman"/>
                      <w:i/>
                      <w:color w:val="000000" w:themeColor="text1"/>
                      <w:szCs w:val="24"/>
                      <w14:textFill>
                        <w14:solidFill>
                          <w14:schemeClr w14:val="tx1"/>
                        </w14:solidFill>
                      </w14:textFill>
                    </w:rPr>
                  </m:ctrlPr>
                </m:sub>
              </m:sSub>
              <m:f>
                <m:fPr>
                  <m:ctrlPr>
                    <w:rPr>
                      <w:rFonts w:ascii="Cambria Math" w:hAnsi="Cambria Math" w:cs="Times New Roman"/>
                      <w:i/>
                      <w:color w:val="000000" w:themeColor="text1"/>
                      <w:szCs w:val="24"/>
                      <w14:textFill>
                        <w14:solidFill>
                          <w14:schemeClr w14:val="tx1"/>
                        </w14:solidFill>
                      </w14:textFill>
                    </w:rPr>
                  </m:ctrlPr>
                </m:fPr>
                <m:num>
                  <m:r>
                    <m:rPr/>
                    <w:rPr>
                      <w:rFonts w:ascii="Cambria Math" w:hAnsi="Cambria Math" w:cs="Times New Roman"/>
                      <w:color w:val="000000" w:themeColor="text1"/>
                      <w:szCs w:val="24"/>
                      <w14:textFill>
                        <w14:solidFill>
                          <w14:schemeClr w14:val="tx1"/>
                        </w14:solidFill>
                      </w14:textFill>
                    </w:rPr>
                    <m:t>∂c</m:t>
                  </m:r>
                  <m:ctrlPr>
                    <w:rPr>
                      <w:rFonts w:ascii="Cambria Math" w:hAnsi="Cambria Math" w:cs="Times New Roman"/>
                      <w:i/>
                      <w:color w:val="000000" w:themeColor="text1"/>
                      <w:szCs w:val="24"/>
                      <w14:textFill>
                        <w14:solidFill>
                          <w14:schemeClr w14:val="tx1"/>
                        </w14:solidFill>
                      </w14:textFill>
                    </w:rPr>
                  </m:ctrlPr>
                </m:num>
                <m:den>
                  <m:r>
                    <m:rPr/>
                    <w:rPr>
                      <w:rFonts w:ascii="Cambria Math" w:hAnsi="Cambria Math" w:cs="Times New Roman"/>
                      <w:color w:val="000000" w:themeColor="text1"/>
                      <w:szCs w:val="24"/>
                      <w14:textFill>
                        <w14:solidFill>
                          <w14:schemeClr w14:val="tx1"/>
                        </w14:solidFill>
                      </w14:textFill>
                    </w:rPr>
                    <m:t>∂y</m:t>
                  </m:r>
                  <m:ctrlPr>
                    <w:rPr>
                      <w:rFonts w:ascii="Cambria Math" w:hAnsi="Cambria Math" w:cs="Times New Roman"/>
                      <w:i/>
                      <w:color w:val="000000" w:themeColor="text1"/>
                      <w:szCs w:val="24"/>
                      <w14:textFill>
                        <w14:solidFill>
                          <w14:schemeClr w14:val="tx1"/>
                        </w14:solidFill>
                      </w14:textFill>
                    </w:rPr>
                  </m:ctrlPr>
                </m:den>
              </m:f>
              <m:ctrlPr>
                <w:rPr>
                  <w:rFonts w:ascii="Cambria Math" w:hAnsi="Cambria Math" w:cs="Times New Roman"/>
                  <w:i/>
                  <w:color w:val="000000" w:themeColor="text1"/>
                  <w:szCs w:val="24"/>
                  <w14:textFill>
                    <w14:solidFill>
                      <w14:schemeClr w14:val="tx1"/>
                    </w14:solidFill>
                  </w14:textFill>
                </w:rPr>
              </m:ctrlPr>
            </m:e>
          </m:d>
          <m:r>
            <m:rPr/>
            <w:rPr>
              <w:rFonts w:ascii="Cambria Math" w:hAnsi="Cambria Math" w:cs="Times New Roman"/>
              <w:color w:val="000000" w:themeColor="text1"/>
              <w:szCs w:val="24"/>
              <w14:textFill>
                <w14:solidFill>
                  <w14:schemeClr w14:val="tx1"/>
                </w14:solidFill>
              </w14:textFill>
            </w:rPr>
            <m:t>+</m:t>
          </m:r>
          <m:f>
            <m:fPr>
              <m:ctrlPr>
                <w:rPr>
                  <w:rFonts w:ascii="Cambria Math" w:hAnsi="Cambria Math" w:cs="Times New Roman"/>
                  <w:i/>
                  <w:color w:val="000000" w:themeColor="text1"/>
                  <w:szCs w:val="24"/>
                  <w14:textFill>
                    <w14:solidFill>
                      <w14:schemeClr w14:val="tx1"/>
                    </w14:solidFill>
                  </w14:textFill>
                </w:rPr>
              </m:ctrlPr>
            </m:fPr>
            <m:num>
              <m:r>
                <m:rPr/>
                <w:rPr>
                  <w:rFonts w:ascii="Cambria Math" w:hAnsi="Cambria Math" w:cs="Times New Roman"/>
                  <w:color w:val="000000" w:themeColor="text1"/>
                  <w:szCs w:val="24"/>
                  <w14:textFill>
                    <w14:solidFill>
                      <w14:schemeClr w14:val="tx1"/>
                    </w14:solidFill>
                  </w14:textFill>
                </w:rPr>
                <m:t>∂</m:t>
              </m:r>
              <m:ctrlPr>
                <w:rPr>
                  <w:rFonts w:ascii="Cambria Math" w:hAnsi="Cambria Math" w:cs="Times New Roman"/>
                  <w:i/>
                  <w:color w:val="000000" w:themeColor="text1"/>
                  <w:szCs w:val="24"/>
                  <w14:textFill>
                    <w14:solidFill>
                      <w14:schemeClr w14:val="tx1"/>
                    </w14:solidFill>
                  </w14:textFill>
                </w:rPr>
              </m:ctrlPr>
            </m:num>
            <m:den>
              <m:r>
                <m:rPr/>
                <w:rPr>
                  <w:rFonts w:ascii="Cambria Math" w:hAnsi="Cambria Math" w:cs="Times New Roman"/>
                  <w:color w:val="000000" w:themeColor="text1"/>
                  <w:szCs w:val="24"/>
                  <w14:textFill>
                    <w14:solidFill>
                      <w14:schemeClr w14:val="tx1"/>
                    </w14:solidFill>
                  </w14:textFill>
                </w:rPr>
                <m:t>∂z</m:t>
              </m:r>
              <m:ctrlPr>
                <w:rPr>
                  <w:rFonts w:ascii="Cambria Math" w:hAnsi="Cambria Math" w:cs="Times New Roman"/>
                  <w:i/>
                  <w:color w:val="000000" w:themeColor="text1"/>
                  <w:szCs w:val="24"/>
                  <w14:textFill>
                    <w14:solidFill>
                      <w14:schemeClr w14:val="tx1"/>
                    </w14:solidFill>
                  </w14:textFill>
                </w:rPr>
              </m:ctrlPr>
            </m:den>
          </m:f>
          <m:d>
            <m:dPr>
              <m:ctrlPr>
                <w:rPr>
                  <w:rFonts w:ascii="Cambria Math" w:hAnsi="Cambria Math" w:cs="Times New Roman"/>
                  <w:i/>
                  <w:color w:val="000000" w:themeColor="text1"/>
                  <w:szCs w:val="24"/>
                  <w14:textFill>
                    <w14:solidFill>
                      <w14:schemeClr w14:val="tx1"/>
                    </w14:solidFill>
                  </w14:textFill>
                </w:rPr>
              </m:ctrlPr>
            </m:dPr>
            <m:e>
              <m:sSub>
                <m:sSubPr>
                  <m:ctrlPr>
                    <w:rPr>
                      <w:rFonts w:ascii="Cambria Math" w:hAnsi="Cambria Math" w:cs="Times New Roman"/>
                      <w:i/>
                      <w:color w:val="000000" w:themeColor="text1"/>
                      <w:szCs w:val="24"/>
                      <w14:textFill>
                        <w14:solidFill>
                          <w14:schemeClr w14:val="tx1"/>
                        </w14:solidFill>
                      </w14:textFill>
                    </w:rPr>
                  </m:ctrlPr>
                </m:sSubPr>
                <m:e>
                  <m:r>
                    <m:rPr/>
                    <w:rPr>
                      <w:rFonts w:ascii="Cambria Math" w:hAnsi="Cambria Math" w:cs="Times New Roman"/>
                      <w:color w:val="000000" w:themeColor="text1"/>
                      <w:szCs w:val="24"/>
                      <w14:textFill>
                        <w14:solidFill>
                          <w14:schemeClr w14:val="tx1"/>
                        </w14:solidFill>
                      </w14:textFill>
                    </w:rPr>
                    <m:t>D</m:t>
                  </m:r>
                  <m:ctrlPr>
                    <w:rPr>
                      <w:rFonts w:ascii="Cambria Math" w:hAnsi="Cambria Math" w:cs="Times New Roman"/>
                      <w:i/>
                      <w:color w:val="000000" w:themeColor="text1"/>
                      <w:szCs w:val="24"/>
                      <w14:textFill>
                        <w14:solidFill>
                          <w14:schemeClr w14:val="tx1"/>
                        </w14:solidFill>
                      </w14:textFill>
                    </w:rPr>
                  </m:ctrlPr>
                </m:e>
                <m:sub>
                  <m:r>
                    <m:rPr/>
                    <w:rPr>
                      <w:rFonts w:ascii="Cambria Math" w:hAnsi="Cambria Math" w:cs="Times New Roman"/>
                      <w:color w:val="000000" w:themeColor="text1"/>
                      <w:szCs w:val="24"/>
                      <w14:textFill>
                        <w14:solidFill>
                          <w14:schemeClr w14:val="tx1"/>
                        </w14:solidFill>
                      </w14:textFill>
                    </w:rPr>
                    <m:t>zz</m:t>
                  </m:r>
                  <m:ctrlPr>
                    <w:rPr>
                      <w:rFonts w:ascii="Cambria Math" w:hAnsi="Cambria Math" w:cs="Times New Roman"/>
                      <w:i/>
                      <w:color w:val="000000" w:themeColor="text1"/>
                      <w:szCs w:val="24"/>
                      <w14:textFill>
                        <w14:solidFill>
                          <w14:schemeClr w14:val="tx1"/>
                        </w14:solidFill>
                      </w14:textFill>
                    </w:rPr>
                  </m:ctrlPr>
                </m:sub>
              </m:sSub>
              <m:f>
                <m:fPr>
                  <m:ctrlPr>
                    <w:rPr>
                      <w:rFonts w:ascii="Cambria Math" w:hAnsi="Cambria Math" w:cs="Times New Roman"/>
                      <w:i/>
                      <w:color w:val="000000" w:themeColor="text1"/>
                      <w:szCs w:val="24"/>
                      <w14:textFill>
                        <w14:solidFill>
                          <w14:schemeClr w14:val="tx1"/>
                        </w14:solidFill>
                      </w14:textFill>
                    </w:rPr>
                  </m:ctrlPr>
                </m:fPr>
                <m:num>
                  <m:r>
                    <m:rPr/>
                    <w:rPr>
                      <w:rFonts w:ascii="Cambria Math" w:hAnsi="Cambria Math" w:cs="Times New Roman"/>
                      <w:color w:val="000000" w:themeColor="text1"/>
                      <w:szCs w:val="24"/>
                      <w14:textFill>
                        <w14:solidFill>
                          <w14:schemeClr w14:val="tx1"/>
                        </w14:solidFill>
                      </w14:textFill>
                    </w:rPr>
                    <m:t>∂c</m:t>
                  </m:r>
                  <m:ctrlPr>
                    <w:rPr>
                      <w:rFonts w:ascii="Cambria Math" w:hAnsi="Cambria Math" w:cs="Times New Roman"/>
                      <w:i/>
                      <w:color w:val="000000" w:themeColor="text1"/>
                      <w:szCs w:val="24"/>
                      <w14:textFill>
                        <w14:solidFill>
                          <w14:schemeClr w14:val="tx1"/>
                        </w14:solidFill>
                      </w14:textFill>
                    </w:rPr>
                  </m:ctrlPr>
                </m:num>
                <m:den>
                  <m:r>
                    <m:rPr/>
                    <w:rPr>
                      <w:rFonts w:ascii="Cambria Math" w:hAnsi="Cambria Math" w:cs="Times New Roman"/>
                      <w:color w:val="000000" w:themeColor="text1"/>
                      <w:szCs w:val="24"/>
                      <w14:textFill>
                        <w14:solidFill>
                          <w14:schemeClr w14:val="tx1"/>
                        </w14:solidFill>
                      </w14:textFill>
                    </w:rPr>
                    <m:t>∂z</m:t>
                  </m:r>
                  <m:ctrlPr>
                    <w:rPr>
                      <w:rFonts w:ascii="Cambria Math" w:hAnsi="Cambria Math" w:cs="Times New Roman"/>
                      <w:i/>
                      <w:color w:val="000000" w:themeColor="text1"/>
                      <w:szCs w:val="24"/>
                      <w14:textFill>
                        <w14:solidFill>
                          <w14:schemeClr w14:val="tx1"/>
                        </w14:solidFill>
                      </w14:textFill>
                    </w:rPr>
                  </m:ctrlPr>
                </m:den>
              </m:f>
              <m:ctrlPr>
                <w:rPr>
                  <w:rFonts w:ascii="Cambria Math" w:hAnsi="Cambria Math" w:cs="Times New Roman"/>
                  <w:i/>
                  <w:color w:val="000000" w:themeColor="text1"/>
                  <w:szCs w:val="24"/>
                  <w14:textFill>
                    <w14:solidFill>
                      <w14:schemeClr w14:val="tx1"/>
                    </w14:solidFill>
                  </w14:textFill>
                </w:rPr>
              </m:ctrlPr>
            </m:e>
          </m:d>
          <m:r>
            <m:rPr/>
            <w:rPr>
              <w:rFonts w:ascii="Cambria Math" w:hAnsi="Cambria Math" w:cs="Times New Roman"/>
              <w:color w:val="000000" w:themeColor="text1"/>
              <w:szCs w:val="24"/>
              <w14:textFill>
                <w14:solidFill>
                  <w14:schemeClr w14:val="tx1"/>
                </w14:solidFill>
              </w14:textFill>
            </w:rPr>
            <m:t>−</m:t>
          </m:r>
          <m:f>
            <m:fPr>
              <m:ctrlPr>
                <w:rPr>
                  <w:rFonts w:ascii="Cambria Math" w:hAnsi="Cambria Math" w:cs="Times New Roman"/>
                  <w:i/>
                  <w:color w:val="000000" w:themeColor="text1"/>
                  <w:szCs w:val="24"/>
                  <w14:textFill>
                    <w14:solidFill>
                      <w14:schemeClr w14:val="tx1"/>
                    </w14:solidFill>
                  </w14:textFill>
                </w:rPr>
              </m:ctrlPr>
            </m:fPr>
            <m:num>
              <m:r>
                <m:rPr/>
                <w:rPr>
                  <w:rFonts w:ascii="Cambria Math" w:hAnsi="Cambria Math" w:cs="Times New Roman"/>
                  <w:color w:val="000000" w:themeColor="text1"/>
                  <w:szCs w:val="24"/>
                  <w14:textFill>
                    <w14:solidFill>
                      <w14:schemeClr w14:val="tx1"/>
                    </w14:solidFill>
                  </w14:textFill>
                </w:rPr>
                <m:t>∂</m:t>
              </m:r>
              <m:sSub>
                <m:sSubPr>
                  <m:ctrlPr>
                    <w:rPr>
                      <w:rFonts w:ascii="Cambria Math" w:hAnsi="Cambria Math" w:cs="Times New Roman"/>
                      <w:i/>
                      <w:color w:val="000000" w:themeColor="text1"/>
                      <w:szCs w:val="24"/>
                      <w14:textFill>
                        <w14:solidFill>
                          <w14:schemeClr w14:val="tx1"/>
                        </w14:solidFill>
                      </w14:textFill>
                    </w:rPr>
                  </m:ctrlPr>
                </m:sSubPr>
                <m:e>
                  <m:r>
                    <m:rPr/>
                    <w:rPr>
                      <w:rFonts w:ascii="Cambria Math" w:hAnsi="Cambria Math" w:cs="Times New Roman"/>
                      <w:color w:val="000000" w:themeColor="text1"/>
                      <w:szCs w:val="24"/>
                      <w14:textFill>
                        <w14:solidFill>
                          <w14:schemeClr w14:val="tx1"/>
                        </w14:solidFill>
                      </w14:textFill>
                    </w:rPr>
                    <m:t>μ</m:t>
                  </m:r>
                  <m:ctrlPr>
                    <w:rPr>
                      <w:rFonts w:ascii="Cambria Math" w:hAnsi="Cambria Math" w:cs="Times New Roman"/>
                      <w:i/>
                      <w:color w:val="000000" w:themeColor="text1"/>
                      <w:szCs w:val="24"/>
                      <w14:textFill>
                        <w14:solidFill>
                          <w14:schemeClr w14:val="tx1"/>
                        </w14:solidFill>
                      </w14:textFill>
                    </w:rPr>
                  </m:ctrlPr>
                </m:e>
                <m:sub>
                  <m:r>
                    <m:rPr/>
                    <w:rPr>
                      <w:rFonts w:ascii="Cambria Math" w:hAnsi="Cambria Math" w:cs="Times New Roman"/>
                      <w:color w:val="000000" w:themeColor="text1"/>
                      <w:szCs w:val="24"/>
                      <w14:textFill>
                        <w14:solidFill>
                          <w14:schemeClr w14:val="tx1"/>
                        </w14:solidFill>
                      </w14:textFill>
                    </w:rPr>
                    <m:t>x</m:t>
                  </m:r>
                  <m:ctrlPr>
                    <w:rPr>
                      <w:rFonts w:ascii="Cambria Math" w:hAnsi="Cambria Math" w:cs="Times New Roman"/>
                      <w:i/>
                      <w:color w:val="000000" w:themeColor="text1"/>
                      <w:szCs w:val="24"/>
                      <w14:textFill>
                        <w14:solidFill>
                          <w14:schemeClr w14:val="tx1"/>
                        </w14:solidFill>
                      </w14:textFill>
                    </w:rPr>
                  </m:ctrlPr>
                </m:sub>
              </m:sSub>
              <m:r>
                <m:rPr/>
                <w:rPr>
                  <w:rFonts w:ascii="Cambria Math" w:hAnsi="Cambria Math" w:cs="Times New Roman"/>
                  <w:color w:val="000000" w:themeColor="text1"/>
                  <w:szCs w:val="24"/>
                  <w14:textFill>
                    <w14:solidFill>
                      <w14:schemeClr w14:val="tx1"/>
                    </w14:solidFill>
                  </w14:textFill>
                </w:rPr>
                <m:t>c</m:t>
              </m:r>
              <m:ctrlPr>
                <w:rPr>
                  <w:rFonts w:ascii="Cambria Math" w:hAnsi="Cambria Math" w:cs="Times New Roman"/>
                  <w:i/>
                  <w:color w:val="000000" w:themeColor="text1"/>
                  <w:szCs w:val="24"/>
                  <w14:textFill>
                    <w14:solidFill>
                      <w14:schemeClr w14:val="tx1"/>
                    </w14:solidFill>
                  </w14:textFill>
                </w:rPr>
              </m:ctrlPr>
            </m:num>
            <m:den>
              <m:r>
                <m:rPr/>
                <w:rPr>
                  <w:rFonts w:ascii="Cambria Math" w:hAnsi="Cambria Math" w:cs="Times New Roman"/>
                  <w:color w:val="000000" w:themeColor="text1"/>
                  <w:szCs w:val="24"/>
                  <w14:textFill>
                    <w14:solidFill>
                      <w14:schemeClr w14:val="tx1"/>
                    </w14:solidFill>
                  </w14:textFill>
                </w:rPr>
                <m:t>∂x</m:t>
              </m:r>
              <m:ctrlPr>
                <w:rPr>
                  <w:rFonts w:ascii="Cambria Math" w:hAnsi="Cambria Math" w:cs="Times New Roman"/>
                  <w:i/>
                  <w:color w:val="000000" w:themeColor="text1"/>
                  <w:szCs w:val="24"/>
                  <w14:textFill>
                    <w14:solidFill>
                      <w14:schemeClr w14:val="tx1"/>
                    </w14:solidFill>
                  </w14:textFill>
                </w:rPr>
              </m:ctrlPr>
            </m:den>
          </m:f>
          <m:r>
            <m:rPr/>
            <w:rPr>
              <w:rFonts w:ascii="Cambria Math" w:hAnsi="Cambria Math" w:cs="Times New Roman"/>
              <w:color w:val="000000" w:themeColor="text1"/>
              <w:szCs w:val="24"/>
              <w14:textFill>
                <w14:solidFill>
                  <w14:schemeClr w14:val="tx1"/>
                </w14:solidFill>
              </w14:textFill>
            </w:rPr>
            <m:t>−</m:t>
          </m:r>
          <m:f>
            <m:fPr>
              <m:ctrlPr>
                <w:rPr>
                  <w:rFonts w:ascii="Cambria Math" w:hAnsi="Cambria Math" w:cs="Times New Roman"/>
                  <w:i/>
                  <w:color w:val="000000" w:themeColor="text1"/>
                  <w:szCs w:val="24"/>
                  <w14:textFill>
                    <w14:solidFill>
                      <w14:schemeClr w14:val="tx1"/>
                    </w14:solidFill>
                  </w14:textFill>
                </w:rPr>
              </m:ctrlPr>
            </m:fPr>
            <m:num>
              <m:r>
                <m:rPr/>
                <w:rPr>
                  <w:rFonts w:ascii="Cambria Math" w:hAnsi="Cambria Math" w:cs="Times New Roman"/>
                  <w:color w:val="000000" w:themeColor="text1"/>
                  <w:szCs w:val="24"/>
                  <w14:textFill>
                    <w14:solidFill>
                      <w14:schemeClr w14:val="tx1"/>
                    </w14:solidFill>
                  </w14:textFill>
                </w:rPr>
                <m:t>∂</m:t>
              </m:r>
              <m:sSub>
                <m:sSubPr>
                  <m:ctrlPr>
                    <w:rPr>
                      <w:rFonts w:ascii="Cambria Math" w:hAnsi="Cambria Math" w:cs="Times New Roman"/>
                      <w:i/>
                      <w:color w:val="000000" w:themeColor="text1"/>
                      <w:szCs w:val="24"/>
                      <w14:textFill>
                        <w14:solidFill>
                          <w14:schemeClr w14:val="tx1"/>
                        </w14:solidFill>
                      </w14:textFill>
                    </w:rPr>
                  </m:ctrlPr>
                </m:sSubPr>
                <m:e>
                  <m:r>
                    <m:rPr/>
                    <w:rPr>
                      <w:rFonts w:ascii="Cambria Math" w:hAnsi="Cambria Math" w:cs="Times New Roman"/>
                      <w:color w:val="000000" w:themeColor="text1"/>
                      <w:szCs w:val="24"/>
                      <w14:textFill>
                        <w14:solidFill>
                          <w14:schemeClr w14:val="tx1"/>
                        </w14:solidFill>
                      </w14:textFill>
                    </w:rPr>
                    <m:t>μ</m:t>
                  </m:r>
                  <m:ctrlPr>
                    <w:rPr>
                      <w:rFonts w:ascii="Cambria Math" w:hAnsi="Cambria Math" w:cs="Times New Roman"/>
                      <w:i/>
                      <w:color w:val="000000" w:themeColor="text1"/>
                      <w:szCs w:val="24"/>
                      <w14:textFill>
                        <w14:solidFill>
                          <w14:schemeClr w14:val="tx1"/>
                        </w14:solidFill>
                      </w14:textFill>
                    </w:rPr>
                  </m:ctrlPr>
                </m:e>
                <m:sub>
                  <m:r>
                    <m:rPr/>
                    <w:rPr>
                      <w:rFonts w:ascii="Cambria Math" w:hAnsi="Cambria Math" w:cs="Times New Roman"/>
                      <w:color w:val="000000" w:themeColor="text1"/>
                      <w:szCs w:val="24"/>
                      <w14:textFill>
                        <w14:solidFill>
                          <w14:schemeClr w14:val="tx1"/>
                        </w14:solidFill>
                      </w14:textFill>
                    </w:rPr>
                    <m:t>y</m:t>
                  </m:r>
                  <m:ctrlPr>
                    <w:rPr>
                      <w:rFonts w:ascii="Cambria Math" w:hAnsi="Cambria Math" w:cs="Times New Roman"/>
                      <w:i/>
                      <w:color w:val="000000" w:themeColor="text1"/>
                      <w:szCs w:val="24"/>
                      <w14:textFill>
                        <w14:solidFill>
                          <w14:schemeClr w14:val="tx1"/>
                        </w14:solidFill>
                      </w14:textFill>
                    </w:rPr>
                  </m:ctrlPr>
                </m:sub>
              </m:sSub>
              <m:r>
                <m:rPr/>
                <w:rPr>
                  <w:rFonts w:ascii="Cambria Math" w:hAnsi="Cambria Math" w:cs="Times New Roman"/>
                  <w:color w:val="000000" w:themeColor="text1"/>
                  <w:szCs w:val="24"/>
                  <w14:textFill>
                    <w14:solidFill>
                      <w14:schemeClr w14:val="tx1"/>
                    </w14:solidFill>
                  </w14:textFill>
                </w:rPr>
                <m:t>c</m:t>
              </m:r>
              <m:ctrlPr>
                <w:rPr>
                  <w:rFonts w:ascii="Cambria Math" w:hAnsi="Cambria Math" w:cs="Times New Roman"/>
                  <w:i/>
                  <w:color w:val="000000" w:themeColor="text1"/>
                  <w:szCs w:val="24"/>
                  <w14:textFill>
                    <w14:solidFill>
                      <w14:schemeClr w14:val="tx1"/>
                    </w14:solidFill>
                  </w14:textFill>
                </w:rPr>
              </m:ctrlPr>
            </m:num>
            <m:den>
              <m:r>
                <m:rPr/>
                <w:rPr>
                  <w:rFonts w:ascii="Cambria Math" w:hAnsi="Cambria Math" w:cs="Times New Roman"/>
                  <w:color w:val="000000" w:themeColor="text1"/>
                  <w:szCs w:val="24"/>
                  <w14:textFill>
                    <w14:solidFill>
                      <w14:schemeClr w14:val="tx1"/>
                    </w14:solidFill>
                  </w14:textFill>
                </w:rPr>
                <m:t>∂y</m:t>
              </m:r>
              <m:ctrlPr>
                <w:rPr>
                  <w:rFonts w:ascii="Cambria Math" w:hAnsi="Cambria Math" w:cs="Times New Roman"/>
                  <w:i/>
                  <w:color w:val="000000" w:themeColor="text1"/>
                  <w:szCs w:val="24"/>
                  <w14:textFill>
                    <w14:solidFill>
                      <w14:schemeClr w14:val="tx1"/>
                    </w14:solidFill>
                  </w14:textFill>
                </w:rPr>
              </m:ctrlPr>
            </m:den>
          </m:f>
          <m:r>
            <m:rPr/>
            <w:rPr>
              <w:rFonts w:ascii="Cambria Math" w:hAnsi="Cambria Math" w:cs="Times New Roman"/>
              <w:color w:val="000000" w:themeColor="text1"/>
              <w:szCs w:val="24"/>
              <w14:textFill>
                <w14:solidFill>
                  <w14:schemeClr w14:val="tx1"/>
                </w14:solidFill>
              </w14:textFill>
            </w:rPr>
            <m:t>−</m:t>
          </m:r>
          <m:f>
            <m:fPr>
              <m:ctrlPr>
                <w:rPr>
                  <w:rFonts w:ascii="Cambria Math" w:hAnsi="Cambria Math" w:cs="Times New Roman"/>
                  <w:i/>
                  <w:color w:val="000000" w:themeColor="text1"/>
                  <w:szCs w:val="24"/>
                  <w14:textFill>
                    <w14:solidFill>
                      <w14:schemeClr w14:val="tx1"/>
                    </w14:solidFill>
                  </w14:textFill>
                </w:rPr>
              </m:ctrlPr>
            </m:fPr>
            <m:num>
              <m:r>
                <m:rPr/>
                <w:rPr>
                  <w:rFonts w:ascii="Cambria Math" w:hAnsi="Cambria Math" w:cs="Times New Roman"/>
                  <w:color w:val="000000" w:themeColor="text1"/>
                  <w:szCs w:val="24"/>
                  <w14:textFill>
                    <w14:solidFill>
                      <w14:schemeClr w14:val="tx1"/>
                    </w14:solidFill>
                  </w14:textFill>
                </w:rPr>
                <m:t>∂</m:t>
              </m:r>
              <m:sSub>
                <m:sSubPr>
                  <m:ctrlPr>
                    <w:rPr>
                      <w:rFonts w:ascii="Cambria Math" w:hAnsi="Cambria Math" w:cs="Times New Roman"/>
                      <w:i/>
                      <w:color w:val="000000" w:themeColor="text1"/>
                      <w:szCs w:val="24"/>
                      <w14:textFill>
                        <w14:solidFill>
                          <w14:schemeClr w14:val="tx1"/>
                        </w14:solidFill>
                      </w14:textFill>
                    </w:rPr>
                  </m:ctrlPr>
                </m:sSubPr>
                <m:e>
                  <m:r>
                    <m:rPr/>
                    <w:rPr>
                      <w:rFonts w:ascii="Cambria Math" w:hAnsi="Cambria Math" w:cs="Times New Roman"/>
                      <w:color w:val="000000" w:themeColor="text1"/>
                      <w:szCs w:val="24"/>
                      <w14:textFill>
                        <w14:solidFill>
                          <w14:schemeClr w14:val="tx1"/>
                        </w14:solidFill>
                      </w14:textFill>
                    </w:rPr>
                    <m:t>μ</m:t>
                  </m:r>
                  <m:ctrlPr>
                    <w:rPr>
                      <w:rFonts w:ascii="Cambria Math" w:hAnsi="Cambria Math" w:cs="Times New Roman"/>
                      <w:i/>
                      <w:color w:val="000000" w:themeColor="text1"/>
                      <w:szCs w:val="24"/>
                      <w14:textFill>
                        <w14:solidFill>
                          <w14:schemeClr w14:val="tx1"/>
                        </w14:solidFill>
                      </w14:textFill>
                    </w:rPr>
                  </m:ctrlPr>
                </m:e>
                <m:sub>
                  <m:r>
                    <m:rPr/>
                    <w:rPr>
                      <w:rFonts w:ascii="Cambria Math" w:hAnsi="Cambria Math" w:cs="Times New Roman"/>
                      <w:color w:val="000000" w:themeColor="text1"/>
                      <w:szCs w:val="24"/>
                      <w14:textFill>
                        <w14:solidFill>
                          <w14:schemeClr w14:val="tx1"/>
                        </w14:solidFill>
                      </w14:textFill>
                    </w:rPr>
                    <m:t>z</m:t>
                  </m:r>
                  <m:ctrlPr>
                    <w:rPr>
                      <w:rFonts w:ascii="Cambria Math" w:hAnsi="Cambria Math" w:cs="Times New Roman"/>
                      <w:i/>
                      <w:color w:val="000000" w:themeColor="text1"/>
                      <w:szCs w:val="24"/>
                      <w14:textFill>
                        <w14:solidFill>
                          <w14:schemeClr w14:val="tx1"/>
                        </w14:solidFill>
                      </w14:textFill>
                    </w:rPr>
                  </m:ctrlPr>
                </m:sub>
              </m:sSub>
              <m:r>
                <m:rPr/>
                <w:rPr>
                  <w:rFonts w:ascii="Cambria Math" w:hAnsi="Cambria Math" w:cs="Times New Roman"/>
                  <w:color w:val="000000" w:themeColor="text1"/>
                  <w:szCs w:val="24"/>
                  <w14:textFill>
                    <w14:solidFill>
                      <w14:schemeClr w14:val="tx1"/>
                    </w14:solidFill>
                  </w14:textFill>
                </w:rPr>
                <m:t>c</m:t>
              </m:r>
              <m:ctrlPr>
                <w:rPr>
                  <w:rFonts w:ascii="Cambria Math" w:hAnsi="Cambria Math" w:cs="Times New Roman"/>
                  <w:i/>
                  <w:color w:val="000000" w:themeColor="text1"/>
                  <w:szCs w:val="24"/>
                  <w14:textFill>
                    <w14:solidFill>
                      <w14:schemeClr w14:val="tx1"/>
                    </w14:solidFill>
                  </w14:textFill>
                </w:rPr>
              </m:ctrlPr>
            </m:num>
            <m:den>
              <m:r>
                <m:rPr/>
                <w:rPr>
                  <w:rFonts w:ascii="Cambria Math" w:hAnsi="Cambria Math" w:cs="Times New Roman"/>
                  <w:color w:val="000000" w:themeColor="text1"/>
                  <w:szCs w:val="24"/>
                  <w14:textFill>
                    <w14:solidFill>
                      <w14:schemeClr w14:val="tx1"/>
                    </w14:solidFill>
                  </w14:textFill>
                </w:rPr>
                <m:t>∂z</m:t>
              </m:r>
              <m:ctrlPr>
                <w:rPr>
                  <w:rFonts w:ascii="Cambria Math" w:hAnsi="Cambria Math" w:cs="Times New Roman"/>
                  <w:i/>
                  <w:color w:val="000000" w:themeColor="text1"/>
                  <w:szCs w:val="24"/>
                  <w14:textFill>
                    <w14:solidFill>
                      <w14:schemeClr w14:val="tx1"/>
                    </w14:solidFill>
                  </w14:textFill>
                </w:rPr>
              </m:ctrlPr>
            </m:den>
          </m:f>
          <m:r>
            <m:rPr/>
            <w:rPr>
              <w:rFonts w:ascii="Cambria Math" w:hAnsi="Cambria Math" w:cs="Times New Roman"/>
              <w:color w:val="000000" w:themeColor="text1"/>
              <w:szCs w:val="24"/>
              <w14:textFill>
                <w14:solidFill>
                  <w14:schemeClr w14:val="tx1"/>
                </w14:solidFill>
              </w14:textFill>
            </w:rPr>
            <m:t>+f</m:t>
          </m:r>
        </m:oMath>
      </m:oMathPara>
    </w:p>
    <w:p w14:paraId="088A0559">
      <w:pPr>
        <w:spacing w:line="360" w:lineRule="auto"/>
        <w:jc w:val="center"/>
        <w:rPr>
          <w:rFonts w:ascii="Times New Roman" w:hAnsi="Times New Roman" w:cs="Times New Roman"/>
          <w:color w:val="000000" w:themeColor="text1"/>
          <w:szCs w:val="24"/>
          <w14:textFill>
            <w14:solidFill>
              <w14:schemeClr w14:val="tx1"/>
            </w14:solidFill>
          </w14:textFill>
        </w:rPr>
      </w:pPr>
      <m:oMathPara>
        <m:oMath>
          <m:r>
            <m:rPr>
              <m:sty m:val="p"/>
            </m:rPr>
            <w:rPr>
              <w:rFonts w:ascii="Cambria Math" w:hAnsi="Cambria Math" w:cs="Times New Roman"/>
              <w:color w:val="000000" w:themeColor="text1"/>
              <w:szCs w:val="24"/>
              <w14:textFill>
                <w14:solidFill>
                  <w14:schemeClr w14:val="tx1"/>
                </w14:solidFill>
              </w14:textFill>
            </w:rPr>
            <m:t>c</m:t>
          </m:r>
          <m:d>
            <m:dPr>
              <m:ctrlPr>
                <w:rPr>
                  <w:rFonts w:ascii="Cambria Math" w:hAnsi="Cambria Math" w:cs="Times New Roman"/>
                  <w:color w:val="000000" w:themeColor="text1"/>
                  <w:szCs w:val="24"/>
                  <w14:textFill>
                    <w14:solidFill>
                      <w14:schemeClr w14:val="tx1"/>
                    </w14:solidFill>
                  </w14:textFill>
                </w:rPr>
              </m:ctrlPr>
            </m:dPr>
            <m:e>
              <m:r>
                <m:rPr/>
                <w:rPr>
                  <w:rFonts w:ascii="Cambria Math" w:hAnsi="Cambria Math" w:cs="Times New Roman"/>
                  <w:color w:val="000000" w:themeColor="text1"/>
                  <w:szCs w:val="24"/>
                  <w14:textFill>
                    <w14:solidFill>
                      <w14:schemeClr w14:val="tx1"/>
                    </w14:solidFill>
                  </w14:textFill>
                </w:rPr>
                <m:t>x,y,z,0</m:t>
              </m:r>
              <m:ctrlPr>
                <w:rPr>
                  <w:rFonts w:ascii="Cambria Math" w:hAnsi="Cambria Math" w:cs="Times New Roman"/>
                  <w:color w:val="000000" w:themeColor="text1"/>
                  <w:szCs w:val="24"/>
                  <w14:textFill>
                    <w14:solidFill>
                      <w14:schemeClr w14:val="tx1"/>
                    </w14:solidFill>
                  </w14:textFill>
                </w:rPr>
              </m:ctrlPr>
            </m:e>
          </m:d>
          <m:r>
            <m:rPr/>
            <w:rPr>
              <w:rFonts w:ascii="Cambria Math" w:hAnsi="Cambria Math" w:cs="Times New Roman"/>
              <w:color w:val="000000" w:themeColor="text1"/>
              <w:szCs w:val="24"/>
              <w14:textFill>
                <w14:solidFill>
                  <w14:schemeClr w14:val="tx1"/>
                </w14:solidFill>
              </w14:textFill>
            </w:rPr>
            <m:t>=</m:t>
          </m:r>
          <m:sSub>
            <m:sSubPr>
              <m:ctrlPr>
                <w:rPr>
                  <w:rFonts w:ascii="Cambria Math" w:hAnsi="Cambria Math" w:cs="Times New Roman"/>
                  <w:i/>
                  <w:color w:val="000000" w:themeColor="text1"/>
                  <w:szCs w:val="24"/>
                  <w14:textFill>
                    <w14:solidFill>
                      <w14:schemeClr w14:val="tx1"/>
                    </w14:solidFill>
                  </w14:textFill>
                </w:rPr>
              </m:ctrlPr>
            </m:sSubPr>
            <m:e>
              <m:r>
                <m:rPr/>
                <w:rPr>
                  <w:rFonts w:ascii="Cambria Math" w:hAnsi="Cambria Math" w:cs="Times New Roman"/>
                  <w:color w:val="000000" w:themeColor="text1"/>
                  <w:szCs w:val="24"/>
                  <w14:textFill>
                    <w14:solidFill>
                      <w14:schemeClr w14:val="tx1"/>
                    </w14:solidFill>
                  </w14:textFill>
                </w:rPr>
                <m:t>c</m:t>
              </m:r>
              <m:ctrlPr>
                <w:rPr>
                  <w:rFonts w:ascii="Cambria Math" w:hAnsi="Cambria Math" w:cs="Times New Roman"/>
                  <w:i/>
                  <w:color w:val="000000" w:themeColor="text1"/>
                  <w:szCs w:val="24"/>
                  <w14:textFill>
                    <w14:solidFill>
                      <w14:schemeClr w14:val="tx1"/>
                    </w14:solidFill>
                  </w14:textFill>
                </w:rPr>
              </m:ctrlPr>
            </m:e>
            <m:sub>
              <m:r>
                <m:rPr/>
                <w:rPr>
                  <w:rFonts w:ascii="Cambria Math" w:hAnsi="Cambria Math" w:cs="Times New Roman"/>
                  <w:color w:val="000000" w:themeColor="text1"/>
                  <w:szCs w:val="24"/>
                  <w14:textFill>
                    <w14:solidFill>
                      <w14:schemeClr w14:val="tx1"/>
                    </w14:solidFill>
                  </w14:textFill>
                </w:rPr>
                <m:t>0</m:t>
              </m:r>
              <m:ctrlPr>
                <w:rPr>
                  <w:rFonts w:ascii="Cambria Math" w:hAnsi="Cambria Math" w:cs="Times New Roman"/>
                  <w:i/>
                  <w:color w:val="000000" w:themeColor="text1"/>
                  <w:szCs w:val="24"/>
                  <w14:textFill>
                    <w14:solidFill>
                      <w14:schemeClr w14:val="tx1"/>
                    </w14:solidFill>
                  </w14:textFill>
                </w:rPr>
              </m:ctrlPr>
            </m:sub>
          </m:sSub>
          <m:d>
            <m:dPr>
              <m:ctrlPr>
                <w:rPr>
                  <w:rFonts w:ascii="Cambria Math" w:hAnsi="Cambria Math" w:cs="Times New Roman"/>
                  <w:i/>
                  <w:color w:val="000000" w:themeColor="text1"/>
                  <w:szCs w:val="24"/>
                  <w14:textFill>
                    <w14:solidFill>
                      <w14:schemeClr w14:val="tx1"/>
                    </w14:solidFill>
                  </w14:textFill>
                </w:rPr>
              </m:ctrlPr>
            </m:dPr>
            <m:e>
              <m:r>
                <m:rPr/>
                <w:rPr>
                  <w:rFonts w:ascii="Cambria Math" w:hAnsi="Cambria Math" w:cs="Times New Roman"/>
                  <w:color w:val="000000" w:themeColor="text1"/>
                  <w:szCs w:val="24"/>
                  <w14:textFill>
                    <w14:solidFill>
                      <w14:schemeClr w14:val="tx1"/>
                    </w14:solidFill>
                  </w14:textFill>
                </w:rPr>
                <m:t>x,y,z</m:t>
              </m:r>
              <m:ctrlPr>
                <w:rPr>
                  <w:rFonts w:ascii="Cambria Math" w:hAnsi="Cambria Math" w:cs="Times New Roman"/>
                  <w:i/>
                  <w:color w:val="000000" w:themeColor="text1"/>
                  <w:szCs w:val="24"/>
                  <w14:textFill>
                    <w14:solidFill>
                      <w14:schemeClr w14:val="tx1"/>
                    </w14:solidFill>
                  </w14:textFill>
                </w:rPr>
              </m:ctrlPr>
            </m:e>
          </m:d>
        </m:oMath>
      </m:oMathPara>
    </w:p>
    <w:p w14:paraId="31FBE5AC">
      <w:pPr>
        <w:spacing w:line="360" w:lineRule="auto"/>
        <w:jc w:val="center"/>
        <w:rPr>
          <w:rFonts w:ascii="Times New Roman" w:hAnsi="Times New Roman" w:cs="Times New Roman"/>
          <w:color w:val="000000" w:themeColor="text1"/>
          <w:szCs w:val="24"/>
          <w14:textFill>
            <w14:solidFill>
              <w14:schemeClr w14:val="tx1"/>
            </w14:solidFill>
          </w14:textFill>
        </w:rPr>
      </w:pPr>
      <m:oMathPara>
        <m:oMath>
          <m:d>
            <m:dPr>
              <m:ctrlPr>
                <w:rPr>
                  <w:rFonts w:ascii="Cambria Math" w:hAnsi="Cambria Math" w:cs="Times New Roman"/>
                  <w:color w:val="000000" w:themeColor="text1"/>
                  <w:szCs w:val="24"/>
                  <w14:textFill>
                    <w14:solidFill>
                      <w14:schemeClr w14:val="tx1"/>
                    </w14:solidFill>
                  </w14:textFill>
                </w:rPr>
              </m:ctrlPr>
            </m:dPr>
            <m:e>
              <m:r>
                <m:rPr/>
                <w:rPr>
                  <w:rFonts w:ascii="Cambria Math" w:hAnsi="Cambria Math" w:cs="Times New Roman"/>
                  <w:color w:val="000000" w:themeColor="text1"/>
                  <w:szCs w:val="24"/>
                  <w14:textFill>
                    <w14:solidFill>
                      <w14:schemeClr w14:val="tx1"/>
                    </w14:solidFill>
                  </w14:textFill>
                </w:rPr>
                <m:t>x,y,z</m:t>
              </m:r>
              <m:ctrlPr>
                <w:rPr>
                  <w:rFonts w:ascii="Cambria Math" w:hAnsi="Cambria Math" w:cs="Times New Roman"/>
                  <w:color w:val="000000" w:themeColor="text1"/>
                  <w:szCs w:val="24"/>
                  <w14:textFill>
                    <w14:solidFill>
                      <w14:schemeClr w14:val="tx1"/>
                    </w14:solidFill>
                  </w14:textFill>
                </w:rPr>
              </m:ctrlPr>
            </m:e>
          </m:d>
          <m:r>
            <m:rPr/>
            <w:rPr>
              <w:rFonts w:ascii="Cambria Math" w:hAnsi="Cambria Math" w:cs="Times New Roman"/>
              <w:color w:val="000000" w:themeColor="text1"/>
              <w:szCs w:val="24"/>
              <w14:textFill>
                <w14:solidFill>
                  <w14:schemeClr w14:val="tx1"/>
                </w14:solidFill>
              </w14:textFill>
            </w:rPr>
            <m:t>∈Ω</m:t>
          </m:r>
        </m:oMath>
      </m:oMathPara>
    </w:p>
    <w:p w14:paraId="27A6D61F">
      <w:pPr>
        <w:widowControl w:val="0"/>
        <w:spacing w:line="360" w:lineRule="auto"/>
        <w:ind w:firstLine="480" w:firstLineChars="200"/>
        <w:jc w:val="both"/>
        <w:rPr>
          <w:rFonts w:ascii="Times New Roman" w:hAnsi="Times New Roman" w:cs="Times New Roman"/>
          <w:lang w:eastAsia="zh-CN"/>
        </w:rPr>
      </w:pPr>
      <w:r>
        <w:rPr>
          <w:rFonts w:ascii="Times New Roman" w:hAnsi="Times New Roman" w:cs="Times New Roman"/>
          <w:szCs w:val="24"/>
          <w:lang w:eastAsia="zh-CN"/>
        </w:rPr>
        <w:t>式中，右端前三项为弥散项，后三项为对流项，最后一项为由于化学反应或吸附解析所产生的溶质的增量：</w:t>
      </w:r>
    </w:p>
    <w:p w14:paraId="4671268C">
      <w:pPr>
        <w:widowControl w:val="0"/>
        <w:spacing w:line="360" w:lineRule="auto"/>
        <w:ind w:firstLine="960" w:firstLineChars="400"/>
        <w:jc w:val="both"/>
        <w:rPr>
          <w:rFonts w:ascii="Times New Roman" w:hAnsi="Times New Roman" w:cs="Times New Roman"/>
          <w:color w:val="auto"/>
          <w:lang w:eastAsia="zh-CN"/>
        </w:rPr>
      </w:pPr>
      <w:r>
        <w:rPr>
          <w:rFonts w:ascii="Times New Roman" w:hAnsi="Times New Roman" w:cs="Times New Roman"/>
          <w:color w:val="auto"/>
          <w:lang w:eastAsia="zh-CN"/>
        </w:rPr>
        <w:t>D</w:t>
      </w:r>
      <w:r>
        <w:rPr>
          <w:rFonts w:ascii="Times New Roman" w:hAnsi="Times New Roman" w:cs="Times New Roman"/>
          <w:color w:val="auto"/>
          <w:vertAlign w:val="subscript"/>
          <w:lang w:eastAsia="zh-CN"/>
        </w:rPr>
        <w:t>xx</w:t>
      </w:r>
      <w:r>
        <w:rPr>
          <w:rFonts w:ascii="Times New Roman" w:hAnsi="Times New Roman" w:cs="Times New Roman"/>
          <w:color w:val="auto"/>
          <w:lang w:eastAsia="zh-CN"/>
        </w:rPr>
        <w:t>,D</w:t>
      </w:r>
      <w:r>
        <w:rPr>
          <w:rFonts w:ascii="Times New Roman" w:hAnsi="Times New Roman" w:cs="Times New Roman"/>
          <w:color w:val="auto"/>
          <w:vertAlign w:val="subscript"/>
          <w:lang w:eastAsia="zh-CN"/>
        </w:rPr>
        <w:t>yy</w:t>
      </w:r>
      <w:r>
        <w:rPr>
          <w:rFonts w:ascii="Times New Roman" w:hAnsi="Times New Roman" w:cs="Times New Roman"/>
          <w:color w:val="auto"/>
          <w:lang w:eastAsia="zh-CN"/>
        </w:rPr>
        <w:t>,D</w:t>
      </w:r>
      <w:r>
        <w:rPr>
          <w:rFonts w:ascii="Times New Roman" w:hAnsi="Times New Roman" w:cs="Times New Roman"/>
          <w:color w:val="auto"/>
          <w:vertAlign w:val="subscript"/>
          <w:lang w:eastAsia="zh-CN"/>
        </w:rPr>
        <w:t>zz</w:t>
      </w:r>
      <w:r>
        <w:rPr>
          <w:rFonts w:ascii="Times New Roman" w:hAnsi="Times New Roman" w:cs="Times New Roman"/>
          <w:color w:val="auto"/>
          <w:lang w:eastAsia="zh-CN"/>
        </w:rPr>
        <w:t>：分别为x、y、z三个主方向的弥散系数；</w:t>
      </w:r>
    </w:p>
    <w:p w14:paraId="7DE0A70A">
      <w:pPr>
        <w:widowControl w:val="0"/>
        <w:spacing w:line="360" w:lineRule="auto"/>
        <w:ind w:firstLine="960" w:firstLineChars="400"/>
        <w:jc w:val="both"/>
        <w:rPr>
          <w:rFonts w:ascii="Times New Roman" w:hAnsi="Times New Roman" w:cs="Times New Roman"/>
          <w:color w:val="auto"/>
          <w:lang w:eastAsia="zh-CN"/>
        </w:rPr>
      </w:pPr>
      <w:r>
        <w:rPr>
          <w:rFonts w:ascii="Times New Roman" w:hAnsi="Times New Roman" w:cs="Times New Roman"/>
          <w:color w:val="auto"/>
          <w:lang w:eastAsia="zh-CN"/>
        </w:rPr>
        <w:t>μ</w:t>
      </w:r>
      <w:r>
        <w:rPr>
          <w:rFonts w:ascii="Times New Roman" w:hAnsi="Times New Roman" w:cs="Times New Roman"/>
          <w:color w:val="auto"/>
          <w:vertAlign w:val="subscript"/>
          <w:lang w:eastAsia="zh-CN"/>
        </w:rPr>
        <w:t>x</w:t>
      </w:r>
      <w:r>
        <w:rPr>
          <w:rFonts w:ascii="Times New Roman" w:hAnsi="Times New Roman" w:cs="Times New Roman"/>
          <w:color w:val="auto"/>
          <w:lang w:eastAsia="zh-CN"/>
        </w:rPr>
        <w:t>、μ</w:t>
      </w:r>
      <w:r>
        <w:rPr>
          <w:rFonts w:ascii="Times New Roman" w:hAnsi="Times New Roman" w:cs="Times New Roman"/>
          <w:color w:val="auto"/>
          <w:vertAlign w:val="subscript"/>
          <w:lang w:eastAsia="zh-CN"/>
        </w:rPr>
        <w:t>y</w:t>
      </w:r>
      <w:r>
        <w:rPr>
          <w:rFonts w:ascii="Times New Roman" w:hAnsi="Times New Roman" w:cs="Times New Roman"/>
          <w:color w:val="auto"/>
          <w:lang w:eastAsia="zh-CN"/>
        </w:rPr>
        <w:t>、μ</w:t>
      </w:r>
      <w:r>
        <w:rPr>
          <w:rFonts w:ascii="Times New Roman" w:hAnsi="Times New Roman" w:cs="Times New Roman"/>
          <w:color w:val="auto"/>
          <w:vertAlign w:val="subscript"/>
          <w:lang w:eastAsia="zh-CN"/>
        </w:rPr>
        <w:t>z</w:t>
      </w:r>
      <w:r>
        <w:rPr>
          <w:rFonts w:ascii="Times New Roman" w:hAnsi="Times New Roman" w:cs="Times New Roman"/>
          <w:color w:val="auto"/>
          <w:lang w:eastAsia="zh-CN"/>
        </w:rPr>
        <w:t>：x、y、z方向的实际水流速度；</w:t>
      </w:r>
    </w:p>
    <w:p w14:paraId="2E753733">
      <w:pPr>
        <w:widowControl w:val="0"/>
        <w:spacing w:line="360" w:lineRule="auto"/>
        <w:ind w:firstLine="960" w:firstLineChars="400"/>
        <w:jc w:val="both"/>
        <w:rPr>
          <w:rFonts w:ascii="Times New Roman" w:hAnsi="Times New Roman" w:cs="Times New Roman"/>
          <w:color w:val="auto"/>
          <w:lang w:eastAsia="zh-CN"/>
        </w:rPr>
      </w:pPr>
      <w:r>
        <w:rPr>
          <w:rFonts w:ascii="Times New Roman" w:hAnsi="Times New Roman" w:cs="Times New Roman"/>
          <w:color w:val="auto"/>
          <w:lang w:eastAsia="zh-CN"/>
        </w:rPr>
        <w:t>c：溶质浓度，mg/L；</w:t>
      </w:r>
    </w:p>
    <w:p w14:paraId="61D37013">
      <w:pPr>
        <w:widowControl w:val="0"/>
        <w:spacing w:line="360" w:lineRule="auto"/>
        <w:ind w:firstLine="960" w:firstLineChars="400"/>
        <w:jc w:val="both"/>
        <w:rPr>
          <w:rFonts w:ascii="Times New Roman" w:hAnsi="Times New Roman" w:cs="Times New Roman"/>
          <w:color w:val="auto"/>
          <w:lang w:eastAsia="zh-CN"/>
        </w:rPr>
      </w:pPr>
      <w:r>
        <w:rPr>
          <w:rFonts w:ascii="Times New Roman" w:hAnsi="Times New Roman" w:cs="Times New Roman"/>
          <w:color w:val="auto"/>
          <w:lang w:eastAsia="zh-CN"/>
        </w:rPr>
        <w:t>Ω：溶质渗流的区域；</w:t>
      </w:r>
    </w:p>
    <w:p w14:paraId="077F6CDC">
      <w:pPr>
        <w:widowControl w:val="0"/>
        <w:spacing w:line="360" w:lineRule="auto"/>
        <w:ind w:firstLine="960" w:firstLineChars="400"/>
        <w:jc w:val="both"/>
        <w:rPr>
          <w:rFonts w:ascii="Times New Roman" w:hAnsi="Times New Roman" w:cs="Times New Roman"/>
          <w:color w:val="auto"/>
          <w:lang w:eastAsia="zh-CN"/>
        </w:rPr>
      </w:pPr>
      <w:r>
        <w:rPr>
          <w:rFonts w:ascii="Times New Roman" w:hAnsi="Times New Roman" w:cs="Times New Roman"/>
          <w:color w:val="auto"/>
          <w:lang w:eastAsia="zh-CN"/>
        </w:rPr>
        <w:t>c</w:t>
      </w:r>
      <w:r>
        <w:rPr>
          <w:rFonts w:ascii="Times New Roman" w:hAnsi="Times New Roman" w:cs="Times New Roman"/>
          <w:color w:val="auto"/>
          <w:vertAlign w:val="subscript"/>
          <w:lang w:eastAsia="zh-CN"/>
        </w:rPr>
        <w:t>0</w:t>
      </w:r>
      <w:r>
        <w:rPr>
          <w:rFonts w:ascii="Times New Roman" w:hAnsi="Times New Roman" w:cs="Times New Roman"/>
          <w:color w:val="auto"/>
          <w:lang w:eastAsia="zh-CN"/>
        </w:rPr>
        <w:t>：初始浓度，mg/L。</w:t>
      </w:r>
    </w:p>
    <w:p w14:paraId="3E7FF33D">
      <w:pPr>
        <w:widowControl w:val="0"/>
        <w:spacing w:line="360" w:lineRule="auto"/>
        <w:ind w:firstLine="482"/>
        <w:jc w:val="both"/>
        <w:outlineLvl w:val="3"/>
        <w:rPr>
          <w:rFonts w:ascii="Times New Roman" w:hAnsi="Times New Roman" w:eastAsia="新宋体" w:cs="Times New Roman"/>
          <w:color w:val="auto"/>
          <w:szCs w:val="24"/>
          <w:lang w:eastAsia="zh-CN"/>
        </w:rPr>
      </w:pPr>
      <w:r>
        <w:rPr>
          <w:rFonts w:ascii="Times New Roman" w:hAnsi="Times New Roman" w:eastAsia="新宋体" w:cs="Times New Roman"/>
          <w:b/>
          <w:bCs/>
          <w:color w:val="auto"/>
          <w:szCs w:val="24"/>
          <w:lang w:eastAsia="zh-CN"/>
        </w:rPr>
        <w:t>6.5.3.</w:t>
      </w:r>
      <w:r>
        <w:rPr>
          <w:rFonts w:hint="eastAsia" w:ascii="Times New Roman" w:hAnsi="Times New Roman" w:eastAsia="新宋体" w:cs="Times New Roman"/>
          <w:b/>
          <w:bCs/>
          <w:color w:val="auto"/>
          <w:szCs w:val="24"/>
          <w:lang w:eastAsia="zh-CN"/>
        </w:rPr>
        <w:t>6 边界条件及模拟参数的确定</w:t>
      </w:r>
    </w:p>
    <w:p w14:paraId="4DA3314B">
      <w:pPr>
        <w:widowControl w:val="0"/>
        <w:spacing w:line="360" w:lineRule="auto"/>
        <w:ind w:firstLine="472" w:firstLineChars="200"/>
        <w:jc w:val="both"/>
        <w:rPr>
          <w:rFonts w:ascii="Times New Roman" w:hAnsi="Times New Roman" w:cs="Times New Roman"/>
          <w:snapToGrid/>
          <w:color w:val="auto"/>
          <w:spacing w:val="-2"/>
          <w:szCs w:val="20"/>
          <w:lang w:eastAsia="zh-CN"/>
        </w:rPr>
      </w:pPr>
      <w:r>
        <w:rPr>
          <w:rFonts w:ascii="Times New Roman" w:hAnsi="Times New Roman" w:cs="Times New Roman"/>
          <w:snapToGrid/>
          <w:color w:val="auto"/>
          <w:spacing w:val="-2"/>
          <w:szCs w:val="20"/>
          <w:lang w:eastAsia="zh-CN"/>
        </w:rPr>
        <w:t>根据本项目的区域地质及水文地质情况，确定评价区的边界条件和相关参数。</w:t>
      </w:r>
    </w:p>
    <w:p w14:paraId="08A6E4B0">
      <w:pPr>
        <w:widowControl w:val="0"/>
        <w:spacing w:line="360" w:lineRule="auto"/>
        <w:ind w:firstLine="472" w:firstLineChars="200"/>
        <w:jc w:val="both"/>
        <w:rPr>
          <w:rFonts w:ascii="Times New Roman" w:hAnsi="Times New Roman" w:cs="Times New Roman"/>
          <w:snapToGrid/>
          <w:color w:val="auto"/>
          <w:spacing w:val="-2"/>
          <w:szCs w:val="20"/>
          <w:lang w:eastAsia="zh-CN"/>
        </w:rPr>
      </w:pPr>
      <w:r>
        <w:rPr>
          <w:rFonts w:ascii="Times New Roman" w:hAnsi="Times New Roman" w:cs="Times New Roman"/>
          <w:snapToGrid/>
          <w:color w:val="auto"/>
          <w:spacing w:val="-2"/>
          <w:szCs w:val="20"/>
          <w:lang w:eastAsia="zh-CN"/>
        </w:rPr>
        <w:t>根据规划环评规划区内污染源分布在规划区内部，其地下水污染主要分布在规划区内及下游地区；根据收集到的区域地形资料、水文、水文地质资料，将评价区四周概化为定水头边界，在垂直分布上，顶板为自由水面，底板以隔水层为边界。</w:t>
      </w:r>
    </w:p>
    <w:p w14:paraId="059FF0A2">
      <w:pPr>
        <w:widowControl w:val="0"/>
        <w:spacing w:line="360" w:lineRule="auto"/>
        <w:jc w:val="center"/>
        <w:rPr>
          <w:rFonts w:cs="Times New Roman"/>
          <w:snapToGrid/>
          <w:color w:val="7030A0"/>
          <w:lang w:eastAsia="zh-CN"/>
        </w:rPr>
      </w:pPr>
      <w:r>
        <w:rPr>
          <w:rFonts w:cs="Times New Roman"/>
          <w:snapToGrid/>
          <w:color w:val="7030A0"/>
          <w:lang w:eastAsia="zh-CN"/>
        </w:rPr>
        <w:drawing>
          <wp:inline distT="0" distB="0" distL="0" distR="0">
            <wp:extent cx="5962650" cy="1400175"/>
            <wp:effectExtent l="0" t="0" r="0" b="0"/>
            <wp:docPr id="123" name="图片 2" descr="说明: 水文地质概化模型示意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2" descr="说明: 水文地质概化模型示意图.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a:xfrm>
                      <a:off x="0" y="0"/>
                      <a:ext cx="5962650" cy="1400175"/>
                    </a:xfrm>
                    <a:prstGeom prst="rect">
                      <a:avLst/>
                    </a:prstGeom>
                    <a:noFill/>
                    <a:ln>
                      <a:noFill/>
                    </a:ln>
                  </pic:spPr>
                </pic:pic>
              </a:graphicData>
            </a:graphic>
          </wp:inline>
        </w:drawing>
      </w:r>
    </w:p>
    <w:p w14:paraId="63DF2F45">
      <w:pPr>
        <w:pStyle w:val="42"/>
        <w:jc w:val="center"/>
      </w:pPr>
      <w:r>
        <w:rPr>
          <w:b/>
          <w:bCs/>
        </w:rPr>
        <w:t>图6.5-</w:t>
      </w:r>
      <w:r>
        <w:rPr>
          <w:rFonts w:hint="eastAsia"/>
          <w:b/>
          <w:bCs/>
        </w:rPr>
        <w:t>2</w:t>
      </w:r>
      <w:r>
        <w:rPr>
          <w:b/>
          <w:bCs/>
        </w:rPr>
        <w:t xml:space="preserve"> 水文地质概化模型示意图</w:t>
      </w:r>
    </w:p>
    <w:p w14:paraId="042561A8">
      <w:pPr>
        <w:autoSpaceDE w:val="0"/>
        <w:autoSpaceDN w:val="0"/>
        <w:adjustRightInd w:val="0"/>
        <w:spacing w:line="360" w:lineRule="auto"/>
        <w:ind w:firstLine="482"/>
        <w:jc w:val="both"/>
        <w:rPr>
          <w:rFonts w:ascii="Times New Roman" w:hAnsi="Times New Roman" w:cs="Times New Roman"/>
          <w:szCs w:val="24"/>
          <w:lang w:eastAsia="zh-CN"/>
        </w:rPr>
      </w:pPr>
      <w:r>
        <w:rPr>
          <w:rFonts w:ascii="Times New Roman" w:hAnsi="Times New Roman" w:cs="Times New Roman"/>
          <w:szCs w:val="24"/>
          <w:lang w:eastAsia="zh-CN"/>
        </w:rPr>
        <w:t>评价区域垂向上概化为第四系粘土层（25m）。水文地质参数取值情况如下：</w:t>
      </w:r>
    </w:p>
    <w:p w14:paraId="1455031D">
      <w:pPr>
        <w:spacing w:line="360" w:lineRule="auto"/>
        <w:jc w:val="center"/>
        <w:rPr>
          <w:rFonts w:ascii="Times New Roman" w:hAnsi="Times New Roman" w:cs="Times New Roman"/>
          <w:b/>
          <w:szCs w:val="24"/>
          <w:lang w:eastAsia="zh-CN"/>
        </w:rPr>
      </w:pPr>
      <w:r>
        <w:rPr>
          <w:rFonts w:ascii="Times New Roman" w:hAnsi="Times New Roman" w:cs="Times New Roman"/>
          <w:b/>
          <w:szCs w:val="24"/>
          <w:lang w:eastAsia="zh-CN"/>
        </w:rPr>
        <w:t>表6.5-1  水文地质参数取值一览表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0" w:type="dxa"/>
          <w:bottom w:w="0" w:type="dxa"/>
          <w:right w:w="0" w:type="dxa"/>
        </w:tblCellMar>
      </w:tblPr>
      <w:tblGrid>
        <w:gridCol w:w="4873"/>
        <w:gridCol w:w="4873"/>
      </w:tblGrid>
      <w:tr w14:paraId="1531F45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2500" w:type="pct"/>
            <w:vAlign w:val="center"/>
          </w:tcPr>
          <w:p w14:paraId="1C653F09">
            <w:pPr>
              <w:spacing w:line="240" w:lineRule="exact"/>
              <w:jc w:val="center"/>
              <w:rPr>
                <w:rFonts w:ascii="Times New Roman" w:hAnsi="Times New Roman" w:cs="Times New Roman"/>
                <w:b/>
                <w:sz w:val="21"/>
                <w:szCs w:val="20"/>
              </w:rPr>
            </w:pPr>
            <w:r>
              <w:rPr>
                <w:rFonts w:ascii="Times New Roman" w:hAnsi="Times New Roman" w:cs="Times New Roman"/>
                <w:b/>
                <w:sz w:val="21"/>
                <w:szCs w:val="20"/>
              </w:rPr>
              <w:t>参数</w:t>
            </w:r>
          </w:p>
        </w:tc>
        <w:tc>
          <w:tcPr>
            <w:tcW w:w="2500" w:type="pct"/>
            <w:vAlign w:val="center"/>
          </w:tcPr>
          <w:p w14:paraId="73300B64">
            <w:pPr>
              <w:spacing w:line="240" w:lineRule="exact"/>
              <w:jc w:val="center"/>
              <w:rPr>
                <w:rFonts w:ascii="Times New Roman" w:hAnsi="Times New Roman" w:cs="Times New Roman"/>
                <w:b/>
                <w:sz w:val="21"/>
                <w:szCs w:val="20"/>
              </w:rPr>
            </w:pPr>
            <w:r>
              <w:rPr>
                <w:rFonts w:ascii="Times New Roman" w:hAnsi="Times New Roman" w:cs="Times New Roman"/>
                <w:b/>
                <w:sz w:val="21"/>
                <w:szCs w:val="20"/>
              </w:rPr>
              <w:t>第四系粘土层</w:t>
            </w:r>
          </w:p>
        </w:tc>
      </w:tr>
      <w:tr w14:paraId="2F69BBA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2500" w:type="pct"/>
            <w:vAlign w:val="center"/>
          </w:tcPr>
          <w:p w14:paraId="38776E92">
            <w:pPr>
              <w:spacing w:line="240" w:lineRule="exact"/>
              <w:jc w:val="center"/>
              <w:rPr>
                <w:rFonts w:ascii="Times New Roman" w:hAnsi="Times New Roman" w:cs="Times New Roman"/>
                <w:sz w:val="21"/>
                <w:szCs w:val="20"/>
              </w:rPr>
            </w:pPr>
            <w:r>
              <w:rPr>
                <w:rFonts w:ascii="Times New Roman" w:hAnsi="Times New Roman" w:cs="Times New Roman"/>
                <w:sz w:val="21"/>
                <w:szCs w:val="20"/>
              </w:rPr>
              <w:t>Kxx</w:t>
            </w:r>
          </w:p>
        </w:tc>
        <w:tc>
          <w:tcPr>
            <w:tcW w:w="2500" w:type="pct"/>
            <w:vAlign w:val="center"/>
          </w:tcPr>
          <w:p w14:paraId="58D99D05">
            <w:pPr>
              <w:spacing w:line="240" w:lineRule="exact"/>
              <w:jc w:val="center"/>
              <w:rPr>
                <w:rFonts w:ascii="Times New Roman" w:hAnsi="Times New Roman" w:cs="Times New Roman"/>
                <w:sz w:val="21"/>
                <w:szCs w:val="20"/>
              </w:rPr>
            </w:pPr>
            <w:r>
              <w:rPr>
                <w:rFonts w:ascii="Times New Roman" w:hAnsi="Times New Roman" w:cs="Times New Roman"/>
                <w:sz w:val="21"/>
                <w:szCs w:val="20"/>
              </w:rPr>
              <w:t>0.83</w:t>
            </w:r>
          </w:p>
        </w:tc>
      </w:tr>
      <w:tr w14:paraId="08594C9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2500" w:type="pct"/>
            <w:vAlign w:val="center"/>
          </w:tcPr>
          <w:p w14:paraId="0651ED83">
            <w:pPr>
              <w:spacing w:line="240" w:lineRule="exact"/>
              <w:jc w:val="center"/>
              <w:rPr>
                <w:rFonts w:ascii="Times New Roman" w:hAnsi="Times New Roman" w:cs="Times New Roman"/>
                <w:sz w:val="21"/>
                <w:szCs w:val="20"/>
              </w:rPr>
            </w:pPr>
            <w:r>
              <w:rPr>
                <w:rFonts w:ascii="Times New Roman" w:hAnsi="Times New Roman" w:cs="Times New Roman"/>
                <w:sz w:val="21"/>
                <w:szCs w:val="20"/>
              </w:rPr>
              <w:t>Kyy</w:t>
            </w:r>
          </w:p>
        </w:tc>
        <w:tc>
          <w:tcPr>
            <w:tcW w:w="2500" w:type="pct"/>
            <w:vAlign w:val="center"/>
          </w:tcPr>
          <w:p w14:paraId="10117244">
            <w:pPr>
              <w:spacing w:line="240" w:lineRule="exact"/>
              <w:jc w:val="center"/>
              <w:rPr>
                <w:rFonts w:ascii="Times New Roman" w:hAnsi="Times New Roman" w:cs="Times New Roman"/>
                <w:sz w:val="21"/>
                <w:szCs w:val="20"/>
              </w:rPr>
            </w:pPr>
            <w:r>
              <w:rPr>
                <w:rFonts w:ascii="Times New Roman" w:hAnsi="Times New Roman" w:cs="Times New Roman"/>
                <w:sz w:val="21"/>
                <w:szCs w:val="20"/>
              </w:rPr>
              <w:t>0.83</w:t>
            </w:r>
          </w:p>
        </w:tc>
      </w:tr>
      <w:tr w14:paraId="17A71E3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2500" w:type="pct"/>
            <w:vAlign w:val="center"/>
          </w:tcPr>
          <w:p w14:paraId="64DCAF19">
            <w:pPr>
              <w:spacing w:line="240" w:lineRule="exact"/>
              <w:jc w:val="center"/>
              <w:rPr>
                <w:rFonts w:ascii="Times New Roman" w:hAnsi="Times New Roman" w:cs="Times New Roman"/>
                <w:sz w:val="21"/>
                <w:szCs w:val="20"/>
              </w:rPr>
            </w:pPr>
            <w:r>
              <w:rPr>
                <w:rFonts w:ascii="Times New Roman" w:hAnsi="Times New Roman" w:cs="Times New Roman"/>
                <w:sz w:val="21"/>
                <w:szCs w:val="20"/>
              </w:rPr>
              <w:t>Kzz</w:t>
            </w:r>
          </w:p>
        </w:tc>
        <w:tc>
          <w:tcPr>
            <w:tcW w:w="2500" w:type="pct"/>
            <w:vAlign w:val="center"/>
          </w:tcPr>
          <w:p w14:paraId="0136354B">
            <w:pPr>
              <w:spacing w:line="240" w:lineRule="exact"/>
              <w:jc w:val="center"/>
              <w:rPr>
                <w:rFonts w:ascii="Times New Roman" w:hAnsi="Times New Roman" w:cs="Times New Roman"/>
                <w:sz w:val="21"/>
                <w:szCs w:val="20"/>
              </w:rPr>
            </w:pPr>
            <w:r>
              <w:rPr>
                <w:rFonts w:ascii="Times New Roman" w:hAnsi="Times New Roman" w:cs="Times New Roman"/>
                <w:sz w:val="21"/>
                <w:szCs w:val="20"/>
              </w:rPr>
              <w:t>0.083</w:t>
            </w:r>
          </w:p>
        </w:tc>
      </w:tr>
      <w:tr w14:paraId="3AFC83A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2500" w:type="pct"/>
            <w:vAlign w:val="center"/>
          </w:tcPr>
          <w:p w14:paraId="013FF982">
            <w:pPr>
              <w:spacing w:line="240" w:lineRule="exact"/>
              <w:jc w:val="center"/>
              <w:rPr>
                <w:rFonts w:ascii="Times New Roman" w:hAnsi="Times New Roman" w:cs="Times New Roman"/>
                <w:sz w:val="21"/>
                <w:szCs w:val="20"/>
              </w:rPr>
            </w:pPr>
            <w:r>
              <w:rPr>
                <w:rFonts w:ascii="Times New Roman" w:hAnsi="Times New Roman" w:cs="Times New Roman"/>
                <w:sz w:val="21"/>
                <w:szCs w:val="20"/>
              </w:rPr>
              <w:t>降雨入渗系数</w:t>
            </w:r>
          </w:p>
        </w:tc>
        <w:tc>
          <w:tcPr>
            <w:tcW w:w="2500" w:type="pct"/>
            <w:vAlign w:val="center"/>
          </w:tcPr>
          <w:p w14:paraId="0E53AC0F">
            <w:pPr>
              <w:spacing w:line="240" w:lineRule="exact"/>
              <w:jc w:val="center"/>
              <w:rPr>
                <w:rFonts w:ascii="Times New Roman" w:hAnsi="Times New Roman" w:cs="Times New Roman"/>
                <w:sz w:val="21"/>
                <w:szCs w:val="20"/>
              </w:rPr>
            </w:pPr>
            <w:r>
              <w:rPr>
                <w:rFonts w:ascii="Times New Roman" w:hAnsi="Times New Roman" w:cs="Times New Roman"/>
                <w:sz w:val="21"/>
                <w:szCs w:val="20"/>
              </w:rPr>
              <w:t>0.15</w:t>
            </w:r>
          </w:p>
        </w:tc>
      </w:tr>
      <w:tr w14:paraId="2C40AC8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2500" w:type="pct"/>
            <w:vAlign w:val="center"/>
          </w:tcPr>
          <w:p w14:paraId="04532384">
            <w:pPr>
              <w:spacing w:line="240" w:lineRule="exact"/>
              <w:jc w:val="center"/>
              <w:rPr>
                <w:rFonts w:ascii="Times New Roman" w:hAnsi="Times New Roman" w:cs="Times New Roman"/>
                <w:sz w:val="21"/>
                <w:szCs w:val="20"/>
              </w:rPr>
            </w:pPr>
            <w:r>
              <w:rPr>
                <w:rFonts w:ascii="Times New Roman" w:hAnsi="Times New Roman" w:cs="Times New Roman"/>
                <w:sz w:val="21"/>
                <w:szCs w:val="20"/>
              </w:rPr>
              <w:t>纵向弥散度</w:t>
            </w:r>
          </w:p>
        </w:tc>
        <w:tc>
          <w:tcPr>
            <w:tcW w:w="2500" w:type="pct"/>
            <w:vAlign w:val="center"/>
          </w:tcPr>
          <w:p w14:paraId="048638E0">
            <w:pPr>
              <w:spacing w:line="240" w:lineRule="exact"/>
              <w:jc w:val="center"/>
              <w:rPr>
                <w:rFonts w:ascii="Times New Roman" w:hAnsi="Times New Roman" w:cs="Times New Roman"/>
                <w:sz w:val="21"/>
                <w:szCs w:val="20"/>
              </w:rPr>
            </w:pPr>
            <w:r>
              <w:rPr>
                <w:rFonts w:ascii="Times New Roman" w:hAnsi="Times New Roman" w:cs="Times New Roman"/>
                <w:sz w:val="21"/>
                <w:szCs w:val="20"/>
              </w:rPr>
              <w:t>5</w:t>
            </w:r>
          </w:p>
        </w:tc>
      </w:tr>
      <w:tr w14:paraId="5EF6163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2500" w:type="pct"/>
            <w:vAlign w:val="center"/>
          </w:tcPr>
          <w:p w14:paraId="4826EDD6">
            <w:pPr>
              <w:spacing w:line="240" w:lineRule="exact"/>
              <w:jc w:val="center"/>
              <w:rPr>
                <w:rFonts w:ascii="Times New Roman" w:hAnsi="Times New Roman" w:cs="Times New Roman"/>
                <w:sz w:val="21"/>
                <w:szCs w:val="20"/>
              </w:rPr>
            </w:pPr>
            <w:r>
              <w:rPr>
                <w:rFonts w:ascii="Times New Roman" w:hAnsi="Times New Roman" w:cs="Times New Roman"/>
                <w:sz w:val="21"/>
                <w:szCs w:val="20"/>
              </w:rPr>
              <w:t>横向弥散度</w:t>
            </w:r>
          </w:p>
        </w:tc>
        <w:tc>
          <w:tcPr>
            <w:tcW w:w="2500" w:type="pct"/>
            <w:vAlign w:val="center"/>
          </w:tcPr>
          <w:p w14:paraId="187F1930">
            <w:pPr>
              <w:spacing w:line="240" w:lineRule="exact"/>
              <w:jc w:val="center"/>
              <w:rPr>
                <w:rFonts w:ascii="Times New Roman" w:hAnsi="Times New Roman" w:cs="Times New Roman"/>
                <w:sz w:val="21"/>
                <w:szCs w:val="20"/>
              </w:rPr>
            </w:pPr>
            <w:r>
              <w:rPr>
                <w:rFonts w:ascii="Times New Roman" w:hAnsi="Times New Roman" w:cs="Times New Roman"/>
                <w:sz w:val="21"/>
                <w:szCs w:val="20"/>
              </w:rPr>
              <w:t>0.5</w:t>
            </w:r>
          </w:p>
        </w:tc>
      </w:tr>
      <w:tr w14:paraId="2EC659D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2500" w:type="pct"/>
            <w:vAlign w:val="center"/>
          </w:tcPr>
          <w:p w14:paraId="21BFE6CC">
            <w:pPr>
              <w:spacing w:line="240" w:lineRule="exact"/>
              <w:jc w:val="center"/>
              <w:rPr>
                <w:rFonts w:ascii="Times New Roman" w:hAnsi="Times New Roman" w:cs="Times New Roman"/>
                <w:sz w:val="21"/>
                <w:szCs w:val="20"/>
              </w:rPr>
            </w:pPr>
            <w:r>
              <w:rPr>
                <w:rFonts w:ascii="Times New Roman" w:hAnsi="Times New Roman" w:cs="Times New Roman"/>
                <w:sz w:val="21"/>
                <w:szCs w:val="20"/>
              </w:rPr>
              <w:t>有效孔隙度</w:t>
            </w:r>
          </w:p>
        </w:tc>
        <w:tc>
          <w:tcPr>
            <w:tcW w:w="2500" w:type="pct"/>
            <w:vAlign w:val="center"/>
          </w:tcPr>
          <w:p w14:paraId="5A05E245">
            <w:pPr>
              <w:spacing w:line="240" w:lineRule="exact"/>
              <w:jc w:val="center"/>
              <w:rPr>
                <w:rFonts w:ascii="Times New Roman" w:hAnsi="Times New Roman" w:cs="Times New Roman"/>
                <w:sz w:val="21"/>
                <w:szCs w:val="20"/>
              </w:rPr>
            </w:pPr>
            <w:r>
              <w:rPr>
                <w:rFonts w:ascii="Times New Roman" w:hAnsi="Times New Roman" w:cs="Times New Roman"/>
                <w:sz w:val="21"/>
                <w:szCs w:val="20"/>
              </w:rPr>
              <w:t>0.3</w:t>
            </w:r>
          </w:p>
        </w:tc>
      </w:tr>
    </w:tbl>
    <w:p w14:paraId="0DE8EB36">
      <w:pPr>
        <w:widowControl w:val="0"/>
        <w:spacing w:line="360" w:lineRule="auto"/>
        <w:ind w:firstLine="482"/>
        <w:jc w:val="both"/>
        <w:outlineLvl w:val="3"/>
        <w:rPr>
          <w:rFonts w:ascii="Times New Roman" w:hAnsi="Times New Roman" w:eastAsia="新宋体" w:cs="Times New Roman"/>
          <w:color w:val="auto"/>
          <w:szCs w:val="24"/>
          <w:lang w:eastAsia="zh-CN"/>
        </w:rPr>
      </w:pPr>
      <w:r>
        <w:rPr>
          <w:rFonts w:ascii="Times New Roman" w:hAnsi="Times New Roman" w:eastAsia="新宋体" w:cs="Times New Roman"/>
          <w:b/>
          <w:bCs/>
          <w:color w:val="auto"/>
          <w:szCs w:val="24"/>
          <w:lang w:eastAsia="zh-CN"/>
        </w:rPr>
        <w:t>6.5.3.</w:t>
      </w:r>
      <w:r>
        <w:rPr>
          <w:rFonts w:hint="eastAsia" w:ascii="Times New Roman" w:hAnsi="Times New Roman" w:eastAsia="新宋体" w:cs="Times New Roman"/>
          <w:b/>
          <w:bCs/>
          <w:color w:val="auto"/>
          <w:szCs w:val="24"/>
          <w:lang w:eastAsia="zh-CN"/>
        </w:rPr>
        <w:t>7 模拟结果及影响分析</w:t>
      </w:r>
    </w:p>
    <w:p w14:paraId="3B943CE7">
      <w:pPr>
        <w:widowControl w:val="0"/>
        <w:spacing w:line="360" w:lineRule="auto"/>
        <w:ind w:firstLine="474" w:firstLineChars="200"/>
        <w:jc w:val="both"/>
        <w:rPr>
          <w:rFonts w:ascii="Times New Roman" w:hAnsi="Times New Roman" w:cs="Times New Roman"/>
          <w:b/>
          <w:bCs/>
          <w:snapToGrid/>
          <w:color w:val="auto"/>
          <w:spacing w:val="-2"/>
          <w:szCs w:val="20"/>
          <w:lang w:eastAsia="zh-CN"/>
        </w:rPr>
      </w:pPr>
      <w:r>
        <w:rPr>
          <w:rFonts w:hint="eastAsia" w:ascii="Times New Roman" w:hAnsi="Times New Roman" w:cs="Times New Roman"/>
          <w:b/>
          <w:bCs/>
          <w:snapToGrid/>
          <w:color w:val="auto"/>
          <w:spacing w:val="-2"/>
          <w:szCs w:val="20"/>
          <w:lang w:eastAsia="zh-CN"/>
        </w:rPr>
        <w:t>（1）</w:t>
      </w:r>
      <w:r>
        <w:rPr>
          <w:rFonts w:ascii="Times New Roman" w:hAnsi="Times New Roman" w:cs="Times New Roman"/>
          <w:b/>
          <w:bCs/>
          <w:snapToGrid/>
          <w:color w:val="auto"/>
          <w:spacing w:val="-2"/>
          <w:szCs w:val="20"/>
          <w:lang w:eastAsia="zh-CN"/>
        </w:rPr>
        <w:t>无水氟化氢储罐泄漏：</w:t>
      </w:r>
    </w:p>
    <w:p w14:paraId="7F2F2445">
      <w:pPr>
        <w:widowControl w:val="0"/>
        <w:spacing w:line="360" w:lineRule="auto"/>
        <w:ind w:firstLine="472" w:firstLineChars="200"/>
        <w:jc w:val="both"/>
        <w:rPr>
          <w:rFonts w:ascii="Times New Roman" w:hAnsi="Times New Roman" w:cs="Times New Roman"/>
          <w:snapToGrid/>
          <w:color w:val="auto"/>
          <w:spacing w:val="-2"/>
          <w:szCs w:val="20"/>
          <w:lang w:eastAsia="zh-CN"/>
        </w:rPr>
      </w:pPr>
      <w:r>
        <w:rPr>
          <w:rFonts w:hint="eastAsia" w:ascii="Times New Roman" w:hAnsi="Times New Roman" w:cs="Times New Roman"/>
          <w:snapToGrid/>
          <w:color w:val="auto"/>
          <w:spacing w:val="-2"/>
          <w:szCs w:val="20"/>
          <w:lang w:eastAsia="zh-CN"/>
        </w:rPr>
        <w:t>无水氟化氢</w:t>
      </w:r>
      <w:r>
        <w:rPr>
          <w:rFonts w:ascii="Times New Roman" w:hAnsi="Times New Roman" w:cs="Times New Roman"/>
          <w:snapToGrid/>
          <w:color w:val="auto"/>
          <w:spacing w:val="-2"/>
          <w:szCs w:val="20"/>
          <w:lang w:eastAsia="zh-CN"/>
        </w:rPr>
        <w:t>储罐泄漏后，</w:t>
      </w:r>
      <w:r>
        <w:rPr>
          <w:rFonts w:hint="eastAsia" w:ascii="Times New Roman" w:hAnsi="Times New Roman" w:cs="Times New Roman"/>
          <w:snapToGrid/>
          <w:color w:val="auto"/>
          <w:spacing w:val="-2"/>
          <w:szCs w:val="20"/>
          <w:lang w:eastAsia="zh-CN"/>
        </w:rPr>
        <w:t>氟化物</w:t>
      </w:r>
      <w:r>
        <w:rPr>
          <w:rFonts w:ascii="Times New Roman" w:hAnsi="Times New Roman" w:cs="Times New Roman"/>
          <w:snapToGrid/>
          <w:color w:val="auto"/>
          <w:spacing w:val="-2"/>
          <w:szCs w:val="20"/>
          <w:lang w:eastAsia="zh-CN"/>
        </w:rPr>
        <w:t>通过裂口进入包气带入渗，考虑</w:t>
      </w:r>
      <w:r>
        <w:rPr>
          <w:rFonts w:hint="eastAsia" w:ascii="Times New Roman" w:hAnsi="Times New Roman" w:cs="Times New Roman"/>
          <w:snapToGrid/>
          <w:color w:val="auto"/>
          <w:spacing w:val="-2"/>
          <w:szCs w:val="20"/>
          <w:lang w:eastAsia="zh-CN"/>
        </w:rPr>
        <w:t>氟化物</w:t>
      </w:r>
      <w:r>
        <w:rPr>
          <w:rFonts w:ascii="Times New Roman" w:hAnsi="Times New Roman" w:cs="Times New Roman"/>
          <w:snapToGrid/>
          <w:color w:val="auto"/>
          <w:spacing w:val="-2"/>
          <w:szCs w:val="20"/>
          <w:lang w:eastAsia="zh-CN"/>
        </w:rPr>
        <w:t>短时间内进入含水层中。根据上述预测模式，选择泄漏下渗100d、1000d、</w:t>
      </w:r>
      <w:r>
        <w:rPr>
          <w:rFonts w:hint="eastAsia" w:ascii="Times New Roman" w:hAnsi="Times New Roman" w:cs="Times New Roman"/>
          <w:snapToGrid/>
          <w:color w:val="auto"/>
          <w:spacing w:val="-2"/>
          <w:szCs w:val="20"/>
          <w:lang w:eastAsia="zh-CN"/>
        </w:rPr>
        <w:t>1</w:t>
      </w:r>
      <w:r>
        <w:rPr>
          <w:rFonts w:ascii="Times New Roman" w:hAnsi="Times New Roman" w:cs="Times New Roman"/>
          <w:snapToGrid/>
          <w:color w:val="auto"/>
          <w:spacing w:val="-2"/>
          <w:szCs w:val="20"/>
          <w:lang w:eastAsia="zh-CN"/>
        </w:rPr>
        <w:t>0年后，预测含水层中污染物</w:t>
      </w:r>
      <w:r>
        <w:rPr>
          <w:rFonts w:hint="eastAsia" w:ascii="Times New Roman" w:hAnsi="Times New Roman" w:cs="Times New Roman"/>
          <w:snapToGrid/>
          <w:color w:val="auto"/>
          <w:spacing w:val="-2"/>
          <w:szCs w:val="20"/>
          <w:lang w:eastAsia="zh-CN"/>
        </w:rPr>
        <w:t>氟化物</w:t>
      </w:r>
      <w:r>
        <w:rPr>
          <w:rFonts w:ascii="Times New Roman" w:hAnsi="Times New Roman" w:cs="Times New Roman"/>
          <w:snapToGrid/>
          <w:color w:val="auto"/>
          <w:spacing w:val="-2"/>
          <w:szCs w:val="20"/>
          <w:lang w:eastAsia="zh-CN"/>
        </w:rPr>
        <w:t>的扩散程度。</w:t>
      </w:r>
    </w:p>
    <w:p w14:paraId="4E8F70F6">
      <w:pPr>
        <w:widowControl w:val="0"/>
        <w:spacing w:line="360" w:lineRule="auto"/>
        <w:ind w:firstLine="472" w:firstLineChars="200"/>
        <w:jc w:val="both"/>
        <w:rPr>
          <w:rFonts w:ascii="Times New Roman" w:hAnsi="Times New Roman" w:cs="Times New Roman"/>
          <w:snapToGrid/>
          <w:color w:val="auto"/>
          <w:spacing w:val="-2"/>
          <w:szCs w:val="20"/>
          <w:lang w:eastAsia="zh-CN"/>
        </w:rPr>
      </w:pPr>
      <w:r>
        <w:rPr>
          <w:rFonts w:hint="eastAsia" w:ascii="Times New Roman" w:hAnsi="Times New Roman" w:cs="Times New Roman"/>
          <w:snapToGrid/>
          <w:color w:val="auto"/>
          <w:spacing w:val="-2"/>
          <w:szCs w:val="20"/>
          <w:lang w:eastAsia="zh-CN"/>
        </w:rPr>
        <w:t>无水氟化氢</w:t>
      </w:r>
      <w:r>
        <w:rPr>
          <w:rFonts w:ascii="Times New Roman" w:hAnsi="Times New Roman" w:cs="Times New Roman"/>
          <w:snapToGrid/>
          <w:color w:val="auto"/>
          <w:spacing w:val="-2"/>
          <w:szCs w:val="20"/>
          <w:lang w:eastAsia="zh-CN"/>
        </w:rPr>
        <w:t>储罐泄漏后，</w:t>
      </w:r>
      <w:r>
        <w:rPr>
          <w:rFonts w:hint="eastAsia" w:ascii="Times New Roman" w:hAnsi="Times New Roman" w:cs="Times New Roman"/>
          <w:snapToGrid/>
          <w:color w:val="auto"/>
          <w:spacing w:val="-2"/>
          <w:szCs w:val="20"/>
          <w:lang w:eastAsia="zh-CN"/>
        </w:rPr>
        <w:t>氟化物</w:t>
      </w:r>
      <w:r>
        <w:rPr>
          <w:rFonts w:ascii="Times New Roman" w:hAnsi="Times New Roman" w:cs="Times New Roman"/>
          <w:snapToGrid/>
          <w:color w:val="auto"/>
          <w:spacing w:val="-2"/>
          <w:szCs w:val="20"/>
          <w:lang w:eastAsia="zh-CN"/>
        </w:rPr>
        <w:t>迁移扩散100d、1000d、</w:t>
      </w:r>
      <w:r>
        <w:rPr>
          <w:rFonts w:hint="eastAsia" w:ascii="Times New Roman" w:hAnsi="Times New Roman" w:cs="Times New Roman"/>
          <w:snapToGrid/>
          <w:color w:val="auto"/>
          <w:spacing w:val="-2"/>
          <w:szCs w:val="20"/>
          <w:lang w:eastAsia="zh-CN"/>
        </w:rPr>
        <w:t>1</w:t>
      </w:r>
      <w:r>
        <w:rPr>
          <w:rFonts w:ascii="Times New Roman" w:hAnsi="Times New Roman" w:cs="Times New Roman"/>
          <w:snapToGrid/>
          <w:color w:val="auto"/>
          <w:spacing w:val="-2"/>
          <w:szCs w:val="20"/>
          <w:lang w:eastAsia="zh-CN"/>
        </w:rPr>
        <w:t>0年后，评价范围内地下含水层中</w:t>
      </w:r>
      <w:r>
        <w:rPr>
          <w:rFonts w:hint="eastAsia" w:ascii="Times New Roman" w:hAnsi="Times New Roman" w:cs="Times New Roman"/>
          <w:snapToGrid/>
          <w:color w:val="auto"/>
          <w:spacing w:val="-2"/>
          <w:szCs w:val="20"/>
          <w:lang w:eastAsia="zh-CN"/>
        </w:rPr>
        <w:t>氟化物</w:t>
      </w:r>
      <w:r>
        <w:rPr>
          <w:rFonts w:ascii="Times New Roman" w:hAnsi="Times New Roman" w:cs="Times New Roman"/>
          <w:snapToGrid/>
          <w:color w:val="auto"/>
          <w:spacing w:val="-2"/>
          <w:szCs w:val="20"/>
          <w:lang w:eastAsia="zh-CN"/>
        </w:rPr>
        <w:t>浓度影响预测结果见下表。</w:t>
      </w:r>
    </w:p>
    <w:p w14:paraId="6FED7DFB">
      <w:pPr>
        <w:spacing w:line="360" w:lineRule="auto"/>
        <w:jc w:val="center"/>
        <w:rPr>
          <w:rFonts w:ascii="Times New Roman" w:hAnsi="Times New Roman" w:cs="Times New Roman"/>
          <w:b/>
          <w:bCs/>
          <w:szCs w:val="24"/>
          <w:lang w:eastAsia="zh-CN"/>
        </w:rPr>
      </w:pPr>
      <w:r>
        <w:rPr>
          <w:rFonts w:ascii="Times New Roman" w:hAnsi="Times New Roman" w:cs="Times New Roman"/>
          <w:b/>
          <w:szCs w:val="24"/>
          <w:lang w:eastAsia="zh-CN"/>
        </w:rPr>
        <w:t>表</w:t>
      </w:r>
      <w:r>
        <w:rPr>
          <w:rFonts w:hint="eastAsia" w:ascii="Times New Roman" w:hAnsi="Times New Roman" w:cs="Times New Roman"/>
          <w:b/>
          <w:szCs w:val="24"/>
          <w:lang w:eastAsia="zh-CN"/>
        </w:rPr>
        <w:t>6.5-2</w:t>
      </w:r>
      <w:r>
        <w:rPr>
          <w:rFonts w:ascii="Times New Roman" w:hAnsi="Times New Roman" w:cs="Times New Roman"/>
          <w:b/>
          <w:szCs w:val="24"/>
          <w:lang w:eastAsia="zh-CN"/>
        </w:rPr>
        <w:t xml:space="preserve">  地下含水层中</w:t>
      </w:r>
      <w:r>
        <w:rPr>
          <w:rFonts w:hint="eastAsia" w:ascii="Times New Roman" w:hAnsi="Times New Roman" w:cs="Times New Roman"/>
          <w:b/>
          <w:bCs/>
          <w:szCs w:val="24"/>
          <w:lang w:eastAsia="zh-CN"/>
        </w:rPr>
        <w:t>氟化物</w:t>
      </w:r>
      <w:r>
        <w:rPr>
          <w:rFonts w:ascii="Times New Roman" w:hAnsi="Times New Roman" w:cs="Times New Roman"/>
          <w:b/>
          <w:szCs w:val="24"/>
          <w:lang w:eastAsia="zh-CN"/>
        </w:rPr>
        <w:t>浓度影响预测结果统计表</w:t>
      </w:r>
    </w:p>
    <w:tbl>
      <w:tblPr>
        <w:tblStyle w:val="36"/>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603"/>
        <w:gridCol w:w="1998"/>
        <w:gridCol w:w="2199"/>
        <w:gridCol w:w="1998"/>
        <w:gridCol w:w="1948"/>
      </w:tblGrid>
      <w:tr w14:paraId="6A5CDF3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jc w:val="center"/>
        </w:trPr>
        <w:tc>
          <w:tcPr>
            <w:tcW w:w="822" w:type="pct"/>
            <w:vAlign w:val="center"/>
          </w:tcPr>
          <w:p w14:paraId="48A2C4DF">
            <w:pPr>
              <w:widowControl w:val="0"/>
              <w:jc w:val="center"/>
              <w:textAlignment w:val="center"/>
              <w:rPr>
                <w:rFonts w:ascii="Times New Roman" w:hAnsi="Times New Roman" w:cs="Times New Roman"/>
                <w:b/>
                <w:bCs/>
                <w:sz w:val="21"/>
              </w:rPr>
            </w:pPr>
            <w:r>
              <w:rPr>
                <w:rFonts w:ascii="Times New Roman" w:hAnsi="Times New Roman" w:cs="Times New Roman"/>
                <w:b/>
                <w:bCs/>
                <w:color w:val="auto"/>
                <w:sz w:val="21"/>
                <w:lang w:eastAsia="zh-CN"/>
              </w:rPr>
              <w:t>污染物</w:t>
            </w:r>
          </w:p>
        </w:tc>
        <w:tc>
          <w:tcPr>
            <w:tcW w:w="1025" w:type="pct"/>
            <w:vAlign w:val="center"/>
          </w:tcPr>
          <w:p w14:paraId="491DEE9D">
            <w:pPr>
              <w:widowControl w:val="0"/>
              <w:jc w:val="center"/>
              <w:textAlignment w:val="center"/>
              <w:rPr>
                <w:rFonts w:ascii="Times New Roman" w:hAnsi="Times New Roman" w:cs="Times New Roman"/>
                <w:b/>
                <w:bCs/>
                <w:sz w:val="21"/>
              </w:rPr>
            </w:pPr>
            <w:r>
              <w:rPr>
                <w:rFonts w:ascii="Times New Roman" w:hAnsi="Times New Roman" w:cs="Times New Roman"/>
                <w:b/>
                <w:bCs/>
                <w:color w:val="auto"/>
                <w:sz w:val="21"/>
                <w:lang w:eastAsia="zh-CN"/>
              </w:rPr>
              <w:t>迁移时间（d）</w:t>
            </w:r>
          </w:p>
        </w:tc>
        <w:tc>
          <w:tcPr>
            <w:tcW w:w="1128" w:type="pct"/>
            <w:vAlign w:val="center"/>
          </w:tcPr>
          <w:p w14:paraId="0B195E28">
            <w:pPr>
              <w:widowControl w:val="0"/>
              <w:jc w:val="center"/>
              <w:textAlignment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最大预测浓度（mg/L）</w:t>
            </w:r>
          </w:p>
        </w:tc>
        <w:tc>
          <w:tcPr>
            <w:tcW w:w="1025" w:type="pct"/>
            <w:vAlign w:val="center"/>
          </w:tcPr>
          <w:p w14:paraId="1C57D946">
            <w:pPr>
              <w:widowControl w:val="0"/>
              <w:jc w:val="center"/>
              <w:textAlignment w:val="center"/>
              <w:rPr>
                <w:rFonts w:ascii="Times New Roman" w:hAnsi="Times New Roman" w:cs="Times New Roman"/>
                <w:b/>
                <w:bCs/>
                <w:sz w:val="21"/>
              </w:rPr>
            </w:pPr>
            <w:r>
              <w:rPr>
                <w:rFonts w:ascii="Times New Roman" w:hAnsi="Times New Roman" w:cs="Times New Roman"/>
                <w:b/>
                <w:bCs/>
                <w:color w:val="auto"/>
                <w:sz w:val="21"/>
                <w:lang w:eastAsia="zh-CN"/>
              </w:rPr>
              <w:t>预测超标距离（m）</w:t>
            </w:r>
          </w:p>
        </w:tc>
        <w:tc>
          <w:tcPr>
            <w:tcW w:w="999" w:type="pct"/>
            <w:vAlign w:val="center"/>
          </w:tcPr>
          <w:p w14:paraId="71371CE8">
            <w:pPr>
              <w:widowControl w:val="0"/>
              <w:jc w:val="center"/>
              <w:textAlignment w:val="center"/>
              <w:rPr>
                <w:rFonts w:ascii="Times New Roman" w:hAnsi="Times New Roman" w:cs="Times New Roman"/>
                <w:b/>
                <w:bCs/>
                <w:sz w:val="21"/>
              </w:rPr>
            </w:pPr>
            <w:r>
              <w:rPr>
                <w:rFonts w:ascii="Times New Roman" w:hAnsi="Times New Roman" w:cs="Times New Roman"/>
                <w:b/>
                <w:bCs/>
                <w:color w:val="auto"/>
                <w:sz w:val="21"/>
                <w:lang w:eastAsia="zh-CN"/>
              </w:rPr>
              <w:t>影响距离（m）</w:t>
            </w:r>
          </w:p>
        </w:tc>
      </w:tr>
      <w:tr w14:paraId="0678E3B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822" w:type="pct"/>
            <w:vMerge w:val="restart"/>
            <w:vAlign w:val="center"/>
          </w:tcPr>
          <w:p w14:paraId="07ED748B">
            <w:pPr>
              <w:widowControl w:val="0"/>
              <w:jc w:val="center"/>
              <w:textAlignment w:val="center"/>
              <w:rPr>
                <w:rFonts w:ascii="Times New Roman" w:hAnsi="Times New Roman" w:cs="Times New Roman"/>
                <w:sz w:val="21"/>
              </w:rPr>
            </w:pPr>
            <w:r>
              <w:rPr>
                <w:rFonts w:ascii="Times New Roman" w:hAnsi="Times New Roman" w:cs="Times New Roman"/>
                <w:color w:val="auto"/>
                <w:sz w:val="21"/>
                <w:lang w:eastAsia="zh-CN"/>
              </w:rPr>
              <w:t>氟化物</w:t>
            </w:r>
          </w:p>
        </w:tc>
        <w:tc>
          <w:tcPr>
            <w:tcW w:w="1025" w:type="pct"/>
            <w:vAlign w:val="center"/>
          </w:tcPr>
          <w:p w14:paraId="03C92948">
            <w:pPr>
              <w:widowControl w:val="0"/>
              <w:jc w:val="center"/>
              <w:textAlignment w:val="center"/>
              <w:rPr>
                <w:rFonts w:ascii="Times New Roman" w:hAnsi="Times New Roman" w:cs="Times New Roman"/>
                <w:sz w:val="21"/>
              </w:rPr>
            </w:pPr>
          </w:p>
        </w:tc>
        <w:tc>
          <w:tcPr>
            <w:tcW w:w="1128" w:type="pct"/>
            <w:vAlign w:val="center"/>
          </w:tcPr>
          <w:p w14:paraId="4AEAD285">
            <w:pPr>
              <w:widowControl w:val="0"/>
              <w:jc w:val="center"/>
              <w:textAlignment w:val="center"/>
              <w:rPr>
                <w:rFonts w:ascii="Times New Roman" w:hAnsi="Times New Roman" w:cs="Times New Roman"/>
                <w:color w:val="auto"/>
                <w:sz w:val="21"/>
                <w:lang w:eastAsia="zh-CN"/>
              </w:rPr>
            </w:pPr>
          </w:p>
        </w:tc>
        <w:tc>
          <w:tcPr>
            <w:tcW w:w="1025" w:type="pct"/>
            <w:vAlign w:val="center"/>
          </w:tcPr>
          <w:p w14:paraId="57415944">
            <w:pPr>
              <w:widowControl w:val="0"/>
              <w:jc w:val="center"/>
              <w:textAlignment w:val="center"/>
              <w:rPr>
                <w:rFonts w:ascii="Times New Roman" w:hAnsi="Times New Roman" w:cs="Times New Roman"/>
                <w:sz w:val="21"/>
              </w:rPr>
            </w:pPr>
          </w:p>
        </w:tc>
        <w:tc>
          <w:tcPr>
            <w:tcW w:w="999" w:type="pct"/>
            <w:vAlign w:val="center"/>
          </w:tcPr>
          <w:p w14:paraId="010A62B1">
            <w:pPr>
              <w:widowControl w:val="0"/>
              <w:jc w:val="center"/>
              <w:textAlignment w:val="center"/>
              <w:rPr>
                <w:rFonts w:ascii="Times New Roman" w:hAnsi="Times New Roman" w:cs="Times New Roman"/>
                <w:kern w:val="2"/>
                <w:sz w:val="21"/>
              </w:rPr>
            </w:pPr>
          </w:p>
        </w:tc>
      </w:tr>
      <w:tr w14:paraId="4E6CF61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822" w:type="pct"/>
            <w:vMerge w:val="continue"/>
            <w:vAlign w:val="center"/>
          </w:tcPr>
          <w:p w14:paraId="66C58F6B">
            <w:pPr>
              <w:widowControl w:val="0"/>
              <w:jc w:val="center"/>
              <w:textAlignment w:val="center"/>
              <w:rPr>
                <w:rFonts w:ascii="Times New Roman" w:hAnsi="Times New Roman" w:cs="Times New Roman"/>
                <w:sz w:val="21"/>
              </w:rPr>
            </w:pPr>
          </w:p>
        </w:tc>
        <w:tc>
          <w:tcPr>
            <w:tcW w:w="1025" w:type="pct"/>
            <w:vAlign w:val="center"/>
          </w:tcPr>
          <w:p w14:paraId="7D399FDA">
            <w:pPr>
              <w:widowControl w:val="0"/>
              <w:jc w:val="center"/>
              <w:textAlignment w:val="center"/>
              <w:rPr>
                <w:rFonts w:ascii="Times New Roman" w:hAnsi="Times New Roman" w:cs="Times New Roman"/>
                <w:sz w:val="21"/>
              </w:rPr>
            </w:pPr>
          </w:p>
        </w:tc>
        <w:tc>
          <w:tcPr>
            <w:tcW w:w="1128" w:type="pct"/>
            <w:vAlign w:val="center"/>
          </w:tcPr>
          <w:p w14:paraId="2FBB69B9">
            <w:pPr>
              <w:widowControl w:val="0"/>
              <w:jc w:val="center"/>
              <w:textAlignment w:val="center"/>
              <w:rPr>
                <w:rFonts w:ascii="Times New Roman" w:hAnsi="Times New Roman" w:cs="Times New Roman"/>
                <w:color w:val="auto"/>
                <w:sz w:val="21"/>
                <w:lang w:eastAsia="zh-CN"/>
              </w:rPr>
            </w:pPr>
          </w:p>
        </w:tc>
        <w:tc>
          <w:tcPr>
            <w:tcW w:w="1025" w:type="pct"/>
            <w:vAlign w:val="center"/>
          </w:tcPr>
          <w:p w14:paraId="26B67452">
            <w:pPr>
              <w:widowControl w:val="0"/>
              <w:jc w:val="center"/>
              <w:textAlignment w:val="center"/>
              <w:rPr>
                <w:rFonts w:ascii="Times New Roman" w:hAnsi="Times New Roman" w:cs="Times New Roman"/>
                <w:sz w:val="21"/>
              </w:rPr>
            </w:pPr>
          </w:p>
        </w:tc>
        <w:tc>
          <w:tcPr>
            <w:tcW w:w="999" w:type="pct"/>
            <w:vAlign w:val="center"/>
          </w:tcPr>
          <w:p w14:paraId="409926A9">
            <w:pPr>
              <w:widowControl w:val="0"/>
              <w:jc w:val="center"/>
              <w:textAlignment w:val="center"/>
              <w:rPr>
                <w:rFonts w:ascii="Times New Roman" w:hAnsi="Times New Roman" w:cs="Times New Roman"/>
                <w:kern w:val="2"/>
                <w:sz w:val="21"/>
              </w:rPr>
            </w:pPr>
          </w:p>
        </w:tc>
      </w:tr>
      <w:tr w14:paraId="0A2C91E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822" w:type="pct"/>
            <w:vMerge w:val="continue"/>
            <w:vAlign w:val="center"/>
          </w:tcPr>
          <w:p w14:paraId="4528A764">
            <w:pPr>
              <w:widowControl w:val="0"/>
              <w:jc w:val="center"/>
              <w:textAlignment w:val="center"/>
              <w:rPr>
                <w:rFonts w:ascii="Times New Roman" w:hAnsi="Times New Roman" w:cs="Times New Roman"/>
                <w:sz w:val="21"/>
              </w:rPr>
            </w:pPr>
          </w:p>
        </w:tc>
        <w:tc>
          <w:tcPr>
            <w:tcW w:w="1025" w:type="pct"/>
            <w:vAlign w:val="center"/>
          </w:tcPr>
          <w:p w14:paraId="017765C9">
            <w:pPr>
              <w:widowControl w:val="0"/>
              <w:jc w:val="center"/>
              <w:textAlignment w:val="center"/>
              <w:rPr>
                <w:rFonts w:ascii="Times New Roman" w:hAnsi="Times New Roman" w:cs="Times New Roman"/>
                <w:sz w:val="21"/>
              </w:rPr>
            </w:pPr>
          </w:p>
        </w:tc>
        <w:tc>
          <w:tcPr>
            <w:tcW w:w="1128" w:type="pct"/>
            <w:vAlign w:val="center"/>
          </w:tcPr>
          <w:p w14:paraId="2B963E0D">
            <w:pPr>
              <w:widowControl w:val="0"/>
              <w:jc w:val="center"/>
              <w:textAlignment w:val="center"/>
              <w:rPr>
                <w:rFonts w:ascii="Times New Roman" w:hAnsi="Times New Roman" w:cs="Times New Roman"/>
                <w:color w:val="auto"/>
                <w:sz w:val="21"/>
                <w:lang w:eastAsia="zh-CN"/>
              </w:rPr>
            </w:pPr>
          </w:p>
        </w:tc>
        <w:tc>
          <w:tcPr>
            <w:tcW w:w="1025" w:type="pct"/>
            <w:vAlign w:val="center"/>
          </w:tcPr>
          <w:p w14:paraId="5C888238">
            <w:pPr>
              <w:widowControl w:val="0"/>
              <w:jc w:val="center"/>
              <w:textAlignment w:val="center"/>
              <w:rPr>
                <w:rFonts w:ascii="Times New Roman" w:hAnsi="Times New Roman" w:cs="Times New Roman"/>
                <w:sz w:val="21"/>
              </w:rPr>
            </w:pPr>
          </w:p>
        </w:tc>
        <w:tc>
          <w:tcPr>
            <w:tcW w:w="999" w:type="pct"/>
            <w:vAlign w:val="center"/>
          </w:tcPr>
          <w:p w14:paraId="7BF89301">
            <w:pPr>
              <w:widowControl w:val="0"/>
              <w:jc w:val="center"/>
              <w:textAlignment w:val="center"/>
              <w:rPr>
                <w:rFonts w:ascii="Times New Roman" w:hAnsi="Times New Roman" w:cs="Times New Roman"/>
                <w:kern w:val="2"/>
                <w:sz w:val="21"/>
              </w:rPr>
            </w:pPr>
          </w:p>
        </w:tc>
      </w:tr>
    </w:tbl>
    <w:p w14:paraId="00B55C4E">
      <w:pPr>
        <w:jc w:val="center"/>
        <w:rPr>
          <w:rFonts w:ascii="Times New Roman" w:hAnsi="Times New Roman" w:cs="Times New Roman"/>
          <w:szCs w:val="24"/>
          <w:lang w:eastAsia="zh-CN"/>
        </w:rPr>
      </w:pPr>
    </w:p>
    <w:p w14:paraId="2BC14D1C">
      <w:pPr>
        <w:widowControl w:val="0"/>
        <w:spacing w:line="360" w:lineRule="auto"/>
        <w:jc w:val="center"/>
        <w:rPr>
          <w:rFonts w:ascii="Times New Roman" w:hAnsi="Times New Roman" w:cs="Times New Roman"/>
          <w:snapToGrid/>
          <w:color w:val="auto"/>
          <w:spacing w:val="-2"/>
          <w:szCs w:val="20"/>
          <w:lang w:eastAsia="zh-CN"/>
        </w:rPr>
      </w:pPr>
      <w:r>
        <w:rPr>
          <w:rFonts w:ascii="Times New Roman" w:hAnsi="Times New Roman" w:cs="Times New Roman"/>
          <w:b/>
          <w:snapToGrid/>
          <w:color w:val="auto"/>
          <w:spacing w:val="-2"/>
          <w:szCs w:val="20"/>
          <w:lang w:eastAsia="zh-CN"/>
        </w:rPr>
        <w:t>图</w:t>
      </w:r>
      <w:r>
        <w:rPr>
          <w:rFonts w:hint="eastAsia" w:ascii="Times New Roman" w:hAnsi="Times New Roman" w:cs="Times New Roman"/>
          <w:b/>
          <w:snapToGrid/>
          <w:color w:val="auto"/>
          <w:spacing w:val="-2"/>
          <w:szCs w:val="20"/>
          <w:lang w:eastAsia="zh-CN"/>
        </w:rPr>
        <w:t>6.5-3</w:t>
      </w:r>
      <w:r>
        <w:rPr>
          <w:rFonts w:ascii="Times New Roman" w:hAnsi="Times New Roman" w:cs="Times New Roman"/>
          <w:b/>
          <w:snapToGrid/>
          <w:color w:val="auto"/>
          <w:spacing w:val="-2"/>
          <w:szCs w:val="20"/>
          <w:lang w:eastAsia="zh-CN"/>
        </w:rPr>
        <w:t xml:space="preserve">  </w:t>
      </w:r>
      <w:r>
        <w:rPr>
          <w:rFonts w:hint="eastAsia" w:ascii="Times New Roman" w:hAnsi="Times New Roman" w:cs="Times New Roman"/>
          <w:b/>
          <w:bCs/>
          <w:snapToGrid/>
          <w:color w:val="auto"/>
          <w:spacing w:val="-2"/>
          <w:szCs w:val="20"/>
          <w:lang w:eastAsia="zh-CN"/>
        </w:rPr>
        <w:t>氟化物在地下水中的运移情况</w:t>
      </w:r>
    </w:p>
    <w:p w14:paraId="75FC4E64">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根据预测结果可知，</w:t>
      </w:r>
      <w:r>
        <w:rPr>
          <w:rFonts w:hint="eastAsia" w:ascii="Times New Roman" w:hAnsi="Times New Roman" w:cs="Times New Roman"/>
          <w:snapToGrid/>
          <w:color w:val="auto"/>
          <w:spacing w:val="-2"/>
          <w:szCs w:val="20"/>
          <w:lang w:eastAsia="zh-CN"/>
        </w:rPr>
        <w:t>无水氟化氢</w:t>
      </w:r>
      <w:r>
        <w:rPr>
          <w:rFonts w:ascii="Times New Roman" w:hAnsi="Times New Roman" w:cs="Times New Roman"/>
          <w:snapToGrid/>
          <w:color w:val="auto"/>
          <w:spacing w:val="-2"/>
          <w:szCs w:val="20"/>
          <w:lang w:eastAsia="zh-CN"/>
        </w:rPr>
        <w:t>储罐</w:t>
      </w:r>
      <w:r>
        <w:rPr>
          <w:rFonts w:ascii="Times New Roman" w:hAnsi="Times New Roman" w:cs="Times New Roman"/>
          <w:color w:val="auto"/>
          <w:szCs w:val="24"/>
          <w:lang w:eastAsia="zh-CN"/>
        </w:rPr>
        <w:t>泄漏后，污染物迁移100d后，</w:t>
      </w:r>
      <w:r>
        <w:rPr>
          <w:rFonts w:hint="eastAsia" w:ascii="Times New Roman" w:hAnsi="Times New Roman" w:cs="Times New Roman"/>
          <w:color w:val="auto"/>
          <w:szCs w:val="24"/>
          <w:lang w:eastAsia="zh-CN"/>
        </w:rPr>
        <w:t>氟化物</w:t>
      </w:r>
      <w:r>
        <w:rPr>
          <w:rFonts w:ascii="Times New Roman" w:hAnsi="Times New Roman" w:cs="Times New Roman"/>
          <w:color w:val="auto"/>
          <w:szCs w:val="24"/>
          <w:lang w:eastAsia="zh-CN"/>
        </w:rPr>
        <w:t>预测的最大值为</w:t>
      </w:r>
      <w:r>
        <w:rPr>
          <w:rFonts w:hint="eastAsia" w:ascii="Times New Roman" w:hAnsi="Times New Roman" w:cs="Times New Roman"/>
          <w:color w:val="auto"/>
          <w:szCs w:val="24"/>
          <w:lang w:eastAsia="zh-CN"/>
        </w:rPr>
        <w:t>33.2</w:t>
      </w:r>
      <w:r>
        <w:rPr>
          <w:rFonts w:ascii="Times New Roman" w:hAnsi="Times New Roman" w:cs="Times New Roman"/>
          <w:color w:val="auto"/>
          <w:szCs w:val="24"/>
          <w:lang w:eastAsia="zh-CN"/>
        </w:rPr>
        <w:t>mg/L，</w:t>
      </w:r>
      <w:r>
        <w:rPr>
          <w:rFonts w:hint="eastAsia" w:ascii="Times New Roman" w:hAnsi="Times New Roman" w:cs="Times New Roman"/>
          <w:color w:val="auto"/>
          <w:szCs w:val="24"/>
          <w:lang w:eastAsia="zh-CN"/>
        </w:rPr>
        <w:t>超标距离为101.4m，</w:t>
      </w:r>
      <w:r>
        <w:rPr>
          <w:rFonts w:ascii="Times New Roman" w:hAnsi="Times New Roman" w:cs="Times New Roman"/>
          <w:color w:val="auto"/>
          <w:szCs w:val="24"/>
          <w:lang w:eastAsia="zh-CN"/>
        </w:rPr>
        <w:t>其沿地下水流方向上距泄漏源的最远影响距离为</w:t>
      </w:r>
      <w:r>
        <w:rPr>
          <w:rFonts w:hint="eastAsia" w:ascii="Times New Roman" w:hAnsi="Times New Roman" w:cs="Times New Roman"/>
          <w:color w:val="auto"/>
          <w:szCs w:val="24"/>
          <w:lang w:eastAsia="zh-CN"/>
        </w:rPr>
        <w:t>117.4</w:t>
      </w:r>
      <w:r>
        <w:rPr>
          <w:rFonts w:ascii="Times New Roman" w:hAnsi="Times New Roman" w:cs="Times New Roman"/>
          <w:color w:val="auto"/>
          <w:szCs w:val="24"/>
          <w:lang w:eastAsia="zh-CN"/>
        </w:rPr>
        <w:t>m，超出厂区东南厂界，因此</w:t>
      </w:r>
      <w:r>
        <w:rPr>
          <w:rFonts w:hint="eastAsia" w:ascii="Times New Roman" w:hAnsi="Times New Roman" w:cs="Times New Roman"/>
          <w:snapToGrid/>
          <w:color w:val="auto"/>
          <w:spacing w:val="-2"/>
          <w:szCs w:val="20"/>
          <w:lang w:eastAsia="zh-CN"/>
        </w:rPr>
        <w:t>无水氟化氢</w:t>
      </w:r>
      <w:r>
        <w:rPr>
          <w:rFonts w:ascii="Times New Roman" w:hAnsi="Times New Roman" w:cs="Times New Roman"/>
          <w:snapToGrid/>
          <w:color w:val="auto"/>
          <w:spacing w:val="-2"/>
          <w:szCs w:val="20"/>
          <w:lang w:eastAsia="zh-CN"/>
        </w:rPr>
        <w:t>储罐</w:t>
      </w:r>
      <w:r>
        <w:rPr>
          <w:rFonts w:ascii="Times New Roman" w:hAnsi="Times New Roman" w:cs="Times New Roman"/>
          <w:color w:val="auto"/>
          <w:szCs w:val="24"/>
          <w:lang w:eastAsia="zh-CN"/>
        </w:rPr>
        <w:t>连续泄漏100d，地下含水层中氟化物浓度超标现象会扩散出场界外。</w:t>
      </w:r>
    </w:p>
    <w:p w14:paraId="727997C3">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污染迁移</w:t>
      </w:r>
      <w:r>
        <w:rPr>
          <w:rFonts w:hint="eastAsia" w:ascii="Times New Roman" w:hAnsi="Times New Roman" w:cs="Times New Roman"/>
          <w:color w:val="auto"/>
          <w:szCs w:val="24"/>
          <w:lang w:eastAsia="zh-CN"/>
        </w:rPr>
        <w:t>1000</w:t>
      </w:r>
      <w:r>
        <w:rPr>
          <w:rFonts w:ascii="Times New Roman" w:hAnsi="Times New Roman" w:cs="Times New Roman"/>
          <w:color w:val="auto"/>
          <w:szCs w:val="24"/>
          <w:lang w:eastAsia="zh-CN"/>
        </w:rPr>
        <w:t>d后，氟化物预测的最大值为</w:t>
      </w:r>
      <w:r>
        <w:rPr>
          <w:rFonts w:hint="eastAsia" w:ascii="Times New Roman" w:hAnsi="Times New Roman" w:cs="Times New Roman"/>
          <w:color w:val="auto"/>
          <w:szCs w:val="24"/>
          <w:lang w:eastAsia="zh-CN"/>
        </w:rPr>
        <w:t>3.3</w:t>
      </w:r>
      <w:r>
        <w:rPr>
          <w:rFonts w:ascii="Times New Roman" w:hAnsi="Times New Roman" w:cs="Times New Roman"/>
          <w:color w:val="auto"/>
          <w:szCs w:val="24"/>
          <w:lang w:eastAsia="zh-CN"/>
        </w:rPr>
        <w:t>mg/L，超标距离为</w:t>
      </w:r>
      <w:r>
        <w:rPr>
          <w:rFonts w:hint="eastAsia" w:ascii="Times New Roman" w:hAnsi="Times New Roman" w:cs="Times New Roman"/>
          <w:color w:val="auto"/>
          <w:szCs w:val="24"/>
          <w:lang w:eastAsia="zh-CN"/>
        </w:rPr>
        <w:t>266.7</w:t>
      </w:r>
      <w:r>
        <w:rPr>
          <w:rFonts w:ascii="Times New Roman" w:hAnsi="Times New Roman" w:cs="Times New Roman"/>
          <w:color w:val="auto"/>
          <w:szCs w:val="24"/>
          <w:lang w:eastAsia="zh-CN"/>
        </w:rPr>
        <w:t>m</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其沿地下水流方向上距泄漏源的最远影响距离为</w:t>
      </w:r>
      <w:r>
        <w:rPr>
          <w:rFonts w:hint="eastAsia" w:ascii="Times New Roman" w:hAnsi="Times New Roman" w:cs="Times New Roman"/>
          <w:color w:val="auto"/>
          <w:szCs w:val="24"/>
          <w:lang w:eastAsia="zh-CN"/>
        </w:rPr>
        <w:t>333.4</w:t>
      </w:r>
      <w:r>
        <w:rPr>
          <w:rFonts w:ascii="Times New Roman" w:hAnsi="Times New Roman" w:cs="Times New Roman"/>
          <w:color w:val="auto"/>
          <w:szCs w:val="24"/>
          <w:lang w:eastAsia="zh-CN"/>
        </w:rPr>
        <w:t>m，超出厂区东南厂界，因此</w:t>
      </w:r>
      <w:r>
        <w:rPr>
          <w:rFonts w:hint="eastAsia" w:ascii="Times New Roman" w:hAnsi="Times New Roman" w:cs="Times New Roman"/>
          <w:snapToGrid/>
          <w:color w:val="auto"/>
          <w:spacing w:val="-2"/>
          <w:szCs w:val="20"/>
          <w:lang w:eastAsia="zh-CN"/>
        </w:rPr>
        <w:t>无水氟化氢</w:t>
      </w:r>
      <w:r>
        <w:rPr>
          <w:rFonts w:ascii="Times New Roman" w:hAnsi="Times New Roman" w:cs="Times New Roman"/>
          <w:snapToGrid/>
          <w:color w:val="auto"/>
          <w:spacing w:val="-2"/>
          <w:szCs w:val="20"/>
          <w:lang w:eastAsia="zh-CN"/>
        </w:rPr>
        <w:t>储罐</w:t>
      </w:r>
      <w:r>
        <w:rPr>
          <w:rFonts w:ascii="Times New Roman" w:hAnsi="Times New Roman" w:cs="Times New Roman"/>
          <w:color w:val="auto"/>
          <w:szCs w:val="24"/>
          <w:lang w:eastAsia="zh-CN"/>
        </w:rPr>
        <w:t>连续泄漏100</w:t>
      </w:r>
      <w:r>
        <w:rPr>
          <w:rFonts w:hint="eastAsia" w:ascii="Times New Roman" w:hAnsi="Times New Roman" w:cs="Times New Roman"/>
          <w:color w:val="auto"/>
          <w:szCs w:val="24"/>
          <w:lang w:eastAsia="zh-CN"/>
        </w:rPr>
        <w:t>0</w:t>
      </w:r>
      <w:r>
        <w:rPr>
          <w:rFonts w:ascii="Times New Roman" w:hAnsi="Times New Roman" w:cs="Times New Roman"/>
          <w:color w:val="auto"/>
          <w:szCs w:val="24"/>
          <w:lang w:eastAsia="zh-CN"/>
        </w:rPr>
        <w:t>d，地下含水层中氟化物浓度超标现象会扩散出场界外。</w:t>
      </w:r>
    </w:p>
    <w:p w14:paraId="4ACC0B96">
      <w:pPr>
        <w:spacing w:line="360" w:lineRule="auto"/>
        <w:ind w:firstLine="480" w:firstLineChars="200"/>
        <w:jc w:val="both"/>
        <w:rPr>
          <w:rFonts w:ascii="Times New Roman" w:hAnsi="Times New Roman"/>
          <w:szCs w:val="24"/>
          <w:lang w:eastAsia="zh-CN"/>
        </w:rPr>
      </w:pPr>
      <w:r>
        <w:rPr>
          <w:rFonts w:ascii="Times New Roman" w:hAnsi="Times New Roman" w:cs="Times New Roman"/>
          <w:color w:val="auto"/>
          <w:szCs w:val="24"/>
          <w:lang w:eastAsia="zh-CN"/>
        </w:rPr>
        <w:t>污染物迁移</w:t>
      </w:r>
      <w:r>
        <w:rPr>
          <w:rFonts w:hint="eastAsia" w:ascii="Times New Roman" w:hAnsi="Times New Roman" w:cs="Times New Roman"/>
          <w:color w:val="auto"/>
          <w:szCs w:val="24"/>
          <w:lang w:eastAsia="zh-CN"/>
        </w:rPr>
        <w:t>10a（3650</w:t>
      </w:r>
      <w:r>
        <w:rPr>
          <w:rFonts w:ascii="Times New Roman" w:hAnsi="Times New Roman" w:cs="Times New Roman"/>
          <w:color w:val="auto"/>
          <w:szCs w:val="24"/>
          <w:lang w:eastAsia="zh-CN"/>
        </w:rPr>
        <w:t>d</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后，氟化物预测的最大值为</w:t>
      </w:r>
      <w:r>
        <w:rPr>
          <w:rFonts w:hint="eastAsia" w:ascii="Times New Roman" w:hAnsi="Times New Roman" w:cs="Times New Roman"/>
          <w:color w:val="auto"/>
          <w:szCs w:val="24"/>
          <w:lang w:eastAsia="zh-CN"/>
        </w:rPr>
        <w:t>0.9</w:t>
      </w:r>
      <w:r>
        <w:rPr>
          <w:rFonts w:ascii="Times New Roman" w:hAnsi="Times New Roman" w:cs="Times New Roman"/>
          <w:color w:val="auto"/>
          <w:szCs w:val="24"/>
          <w:lang w:eastAsia="zh-CN"/>
        </w:rPr>
        <w:t>mg/L，超标距离</w:t>
      </w:r>
      <w:r>
        <w:rPr>
          <w:rFonts w:hint="eastAsia" w:ascii="Times New Roman" w:hAnsi="Times New Roman" w:cs="Times New Roman"/>
          <w:color w:val="auto"/>
          <w:szCs w:val="24"/>
          <w:lang w:eastAsia="zh-CN"/>
        </w:rPr>
        <w:t>459.7</w:t>
      </w:r>
      <w:r>
        <w:rPr>
          <w:rFonts w:ascii="Times New Roman" w:hAnsi="Times New Roman" w:cs="Times New Roman"/>
          <w:color w:val="auto"/>
          <w:szCs w:val="24"/>
          <w:lang w:eastAsia="zh-CN"/>
        </w:rPr>
        <w:t>m</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其沿地下水流方向上距泄漏源的最远影响距离为</w:t>
      </w:r>
      <w:r>
        <w:rPr>
          <w:rFonts w:hint="eastAsia" w:ascii="Times New Roman" w:hAnsi="Times New Roman" w:cs="Times New Roman"/>
          <w:color w:val="auto"/>
          <w:szCs w:val="24"/>
          <w:lang w:eastAsia="zh-CN"/>
        </w:rPr>
        <w:t>628.1</w:t>
      </w:r>
      <w:r>
        <w:rPr>
          <w:rFonts w:ascii="Times New Roman" w:hAnsi="Times New Roman" w:cs="Times New Roman"/>
          <w:color w:val="auto"/>
          <w:szCs w:val="24"/>
          <w:lang w:eastAsia="zh-CN"/>
        </w:rPr>
        <w:t>m，超出厂区东南厂界，因此</w:t>
      </w:r>
      <w:r>
        <w:rPr>
          <w:rFonts w:hint="eastAsia" w:ascii="Times New Roman" w:hAnsi="Times New Roman" w:cs="Times New Roman"/>
          <w:snapToGrid/>
          <w:color w:val="auto"/>
          <w:spacing w:val="-2"/>
          <w:szCs w:val="20"/>
          <w:lang w:eastAsia="zh-CN"/>
        </w:rPr>
        <w:t>无水氟化氢</w:t>
      </w:r>
      <w:r>
        <w:rPr>
          <w:rFonts w:ascii="Times New Roman" w:hAnsi="Times New Roman" w:cs="Times New Roman"/>
          <w:snapToGrid/>
          <w:color w:val="auto"/>
          <w:spacing w:val="-2"/>
          <w:szCs w:val="20"/>
          <w:lang w:eastAsia="zh-CN"/>
        </w:rPr>
        <w:t>储罐</w:t>
      </w:r>
      <w:r>
        <w:rPr>
          <w:rFonts w:ascii="Times New Roman" w:hAnsi="Times New Roman" w:cs="Times New Roman"/>
          <w:color w:val="auto"/>
          <w:szCs w:val="24"/>
          <w:lang w:eastAsia="zh-CN"/>
        </w:rPr>
        <w:t>连续泄漏100</w:t>
      </w:r>
      <w:r>
        <w:rPr>
          <w:rFonts w:hint="eastAsia" w:ascii="Times New Roman" w:hAnsi="Times New Roman" w:cs="Times New Roman"/>
          <w:color w:val="auto"/>
          <w:szCs w:val="24"/>
          <w:lang w:eastAsia="zh-CN"/>
        </w:rPr>
        <w:t>0</w:t>
      </w:r>
      <w:r>
        <w:rPr>
          <w:rFonts w:ascii="Times New Roman" w:hAnsi="Times New Roman" w:cs="Times New Roman"/>
          <w:color w:val="auto"/>
          <w:szCs w:val="24"/>
          <w:lang w:eastAsia="zh-CN"/>
        </w:rPr>
        <w:t>d，地下含水层中氟化物浓度超标现象会扩散出场界外。</w:t>
      </w:r>
    </w:p>
    <w:p w14:paraId="319DDAF3">
      <w:pPr>
        <w:widowControl w:val="0"/>
        <w:spacing w:line="360" w:lineRule="auto"/>
        <w:ind w:firstLine="474" w:firstLineChars="200"/>
        <w:jc w:val="both"/>
        <w:rPr>
          <w:rFonts w:ascii="Times New Roman" w:hAnsi="Times New Roman" w:cs="Times New Roman"/>
          <w:b/>
          <w:bCs/>
          <w:snapToGrid/>
          <w:color w:val="auto"/>
          <w:spacing w:val="-2"/>
          <w:szCs w:val="20"/>
          <w:lang w:eastAsia="zh-CN"/>
        </w:rPr>
      </w:pPr>
      <w:r>
        <w:rPr>
          <w:rFonts w:hint="eastAsia" w:ascii="Times New Roman" w:hAnsi="Times New Roman" w:cs="Times New Roman"/>
          <w:b/>
          <w:bCs/>
          <w:snapToGrid/>
          <w:color w:val="auto"/>
          <w:spacing w:val="-2"/>
          <w:szCs w:val="20"/>
          <w:lang w:eastAsia="zh-CN"/>
        </w:rPr>
        <w:t>（2）</w:t>
      </w:r>
      <w:r>
        <w:rPr>
          <w:rFonts w:ascii="Times New Roman" w:hAnsi="Times New Roman" w:cs="Times New Roman"/>
          <w:b/>
          <w:bCs/>
          <w:snapToGrid/>
          <w:color w:val="auto"/>
          <w:spacing w:val="-2"/>
          <w:szCs w:val="20"/>
          <w:lang w:eastAsia="zh-CN"/>
        </w:rPr>
        <w:t>二级水喷淋塔吸收的氟化氢水溶液暂存罐泄漏：</w:t>
      </w:r>
    </w:p>
    <w:p w14:paraId="35BE4240">
      <w:pPr>
        <w:widowControl w:val="0"/>
        <w:spacing w:line="360" w:lineRule="auto"/>
        <w:ind w:firstLine="472" w:firstLineChars="200"/>
        <w:jc w:val="both"/>
        <w:rPr>
          <w:rFonts w:ascii="Times New Roman" w:hAnsi="Times New Roman" w:cs="Times New Roman"/>
          <w:snapToGrid/>
          <w:color w:val="auto"/>
          <w:spacing w:val="-2"/>
          <w:szCs w:val="20"/>
          <w:lang w:eastAsia="zh-CN"/>
        </w:rPr>
      </w:pPr>
      <w:r>
        <w:rPr>
          <w:rFonts w:hint="eastAsia" w:ascii="Times New Roman" w:hAnsi="Times New Roman" w:cs="Times New Roman"/>
          <w:snapToGrid/>
          <w:color w:val="000000" w:themeColor="text1"/>
          <w:spacing w:val="-2"/>
          <w:szCs w:val="20"/>
          <w:lang w:eastAsia="zh-CN"/>
          <w14:textFill>
            <w14:solidFill>
              <w14:schemeClr w14:val="tx1"/>
            </w14:solidFill>
          </w14:textFill>
        </w:rPr>
        <w:t>二级水喷淋塔吸收的氟化氢水溶液暂存罐</w:t>
      </w:r>
      <w:r>
        <w:rPr>
          <w:rFonts w:hint="eastAsia" w:ascii="Times New Roman" w:hAnsi="Times New Roman" w:cs="Times New Roman"/>
          <w:snapToGrid/>
          <w:color w:val="auto"/>
          <w:spacing w:val="-2"/>
          <w:szCs w:val="20"/>
          <w:lang w:eastAsia="zh-CN"/>
        </w:rPr>
        <w:t>泄漏</w:t>
      </w:r>
      <w:r>
        <w:rPr>
          <w:rFonts w:ascii="Times New Roman" w:hAnsi="Times New Roman" w:cs="Times New Roman"/>
          <w:snapToGrid/>
          <w:color w:val="auto"/>
          <w:spacing w:val="-2"/>
          <w:szCs w:val="20"/>
          <w:lang w:eastAsia="zh-CN"/>
        </w:rPr>
        <w:t>后，</w:t>
      </w:r>
      <w:r>
        <w:rPr>
          <w:rFonts w:hint="eastAsia" w:ascii="Times New Roman" w:hAnsi="Times New Roman" w:cs="Times New Roman"/>
          <w:snapToGrid/>
          <w:color w:val="auto"/>
          <w:spacing w:val="-2"/>
          <w:szCs w:val="20"/>
          <w:lang w:eastAsia="zh-CN"/>
        </w:rPr>
        <w:t>氟化物</w:t>
      </w:r>
      <w:r>
        <w:rPr>
          <w:rFonts w:ascii="Times New Roman" w:hAnsi="Times New Roman" w:cs="Times New Roman"/>
          <w:snapToGrid/>
          <w:color w:val="auto"/>
          <w:spacing w:val="-2"/>
          <w:szCs w:val="20"/>
          <w:lang w:eastAsia="zh-CN"/>
        </w:rPr>
        <w:t>连续进入包气带入渗，考虑</w:t>
      </w:r>
      <w:r>
        <w:rPr>
          <w:rFonts w:hint="eastAsia" w:ascii="Times New Roman" w:hAnsi="Times New Roman" w:cs="Times New Roman"/>
          <w:snapToGrid/>
          <w:color w:val="auto"/>
          <w:spacing w:val="-2"/>
          <w:szCs w:val="20"/>
          <w:lang w:eastAsia="zh-CN"/>
        </w:rPr>
        <w:t>氟化物</w:t>
      </w:r>
      <w:r>
        <w:rPr>
          <w:rFonts w:ascii="Times New Roman" w:hAnsi="Times New Roman" w:cs="Times New Roman"/>
          <w:snapToGrid/>
          <w:color w:val="auto"/>
          <w:spacing w:val="-2"/>
          <w:szCs w:val="20"/>
          <w:lang w:eastAsia="zh-CN"/>
        </w:rPr>
        <w:t>连续内进入含水层中。根据上述预测模式，选择泄漏下渗100d、1000d、</w:t>
      </w:r>
      <w:r>
        <w:rPr>
          <w:rFonts w:hint="eastAsia" w:ascii="Times New Roman" w:hAnsi="Times New Roman" w:cs="Times New Roman"/>
          <w:snapToGrid/>
          <w:color w:val="auto"/>
          <w:spacing w:val="-2"/>
          <w:szCs w:val="20"/>
          <w:lang w:eastAsia="zh-CN"/>
        </w:rPr>
        <w:t>1</w:t>
      </w:r>
      <w:r>
        <w:rPr>
          <w:rFonts w:ascii="Times New Roman" w:hAnsi="Times New Roman" w:cs="Times New Roman"/>
          <w:snapToGrid/>
          <w:color w:val="auto"/>
          <w:spacing w:val="-2"/>
          <w:szCs w:val="20"/>
          <w:lang w:eastAsia="zh-CN"/>
        </w:rPr>
        <w:t>0年后，预测含水层中污染物</w:t>
      </w:r>
      <w:r>
        <w:rPr>
          <w:rFonts w:hint="eastAsia" w:ascii="Times New Roman" w:hAnsi="Times New Roman" w:cs="Times New Roman"/>
          <w:snapToGrid/>
          <w:color w:val="auto"/>
          <w:spacing w:val="-2"/>
          <w:szCs w:val="20"/>
          <w:lang w:eastAsia="zh-CN"/>
        </w:rPr>
        <w:t>氟化物</w:t>
      </w:r>
      <w:r>
        <w:rPr>
          <w:rFonts w:ascii="Times New Roman" w:hAnsi="Times New Roman" w:cs="Times New Roman"/>
          <w:snapToGrid/>
          <w:color w:val="auto"/>
          <w:spacing w:val="-2"/>
          <w:szCs w:val="20"/>
          <w:lang w:eastAsia="zh-CN"/>
        </w:rPr>
        <w:t>的扩散程度。</w:t>
      </w:r>
    </w:p>
    <w:p w14:paraId="6C81C1A7">
      <w:pPr>
        <w:widowControl w:val="0"/>
        <w:spacing w:line="360" w:lineRule="auto"/>
        <w:ind w:firstLine="472" w:firstLineChars="200"/>
        <w:jc w:val="both"/>
        <w:rPr>
          <w:rFonts w:ascii="Times New Roman" w:hAnsi="Times New Roman" w:cs="Times New Roman"/>
          <w:snapToGrid/>
          <w:color w:val="auto"/>
          <w:spacing w:val="-2"/>
          <w:szCs w:val="20"/>
          <w:lang w:eastAsia="zh-CN"/>
        </w:rPr>
      </w:pPr>
      <w:r>
        <w:rPr>
          <w:rFonts w:hint="eastAsia" w:ascii="Times New Roman" w:hAnsi="Times New Roman" w:cs="Times New Roman"/>
          <w:snapToGrid/>
          <w:color w:val="000000" w:themeColor="text1"/>
          <w:spacing w:val="-2"/>
          <w:szCs w:val="20"/>
          <w:lang w:eastAsia="zh-CN"/>
          <w14:textFill>
            <w14:solidFill>
              <w14:schemeClr w14:val="tx1"/>
            </w14:solidFill>
          </w14:textFill>
        </w:rPr>
        <w:t>二级水喷淋塔吸收的氟化氢水溶液暂存罐</w:t>
      </w:r>
      <w:r>
        <w:rPr>
          <w:rFonts w:hint="eastAsia" w:ascii="Times New Roman" w:hAnsi="Times New Roman" w:cs="Times New Roman"/>
          <w:snapToGrid/>
          <w:color w:val="auto"/>
          <w:spacing w:val="-2"/>
          <w:szCs w:val="20"/>
          <w:lang w:eastAsia="zh-CN"/>
        </w:rPr>
        <w:t>泄漏</w:t>
      </w:r>
      <w:r>
        <w:rPr>
          <w:rFonts w:ascii="Times New Roman" w:hAnsi="Times New Roman" w:cs="Times New Roman"/>
          <w:snapToGrid/>
          <w:color w:val="auto"/>
          <w:spacing w:val="-2"/>
          <w:szCs w:val="20"/>
          <w:lang w:eastAsia="zh-CN"/>
        </w:rPr>
        <w:t>后，</w:t>
      </w:r>
      <w:r>
        <w:rPr>
          <w:rFonts w:hint="eastAsia" w:ascii="Times New Roman" w:hAnsi="Times New Roman" w:cs="Times New Roman"/>
          <w:snapToGrid/>
          <w:color w:val="auto"/>
          <w:spacing w:val="-2"/>
          <w:szCs w:val="20"/>
          <w:lang w:eastAsia="zh-CN"/>
        </w:rPr>
        <w:t>氟化物</w:t>
      </w:r>
      <w:r>
        <w:rPr>
          <w:rFonts w:ascii="Times New Roman" w:hAnsi="Times New Roman" w:cs="Times New Roman"/>
          <w:snapToGrid/>
          <w:color w:val="auto"/>
          <w:spacing w:val="-2"/>
          <w:szCs w:val="20"/>
          <w:lang w:eastAsia="zh-CN"/>
        </w:rPr>
        <w:t>迁移扩散100d、1000d、</w:t>
      </w:r>
      <w:r>
        <w:rPr>
          <w:rFonts w:hint="eastAsia" w:ascii="Times New Roman" w:hAnsi="Times New Roman" w:cs="Times New Roman"/>
          <w:snapToGrid/>
          <w:color w:val="auto"/>
          <w:spacing w:val="-2"/>
          <w:szCs w:val="20"/>
          <w:lang w:eastAsia="zh-CN"/>
        </w:rPr>
        <w:t>1</w:t>
      </w:r>
      <w:r>
        <w:rPr>
          <w:rFonts w:ascii="Times New Roman" w:hAnsi="Times New Roman" w:cs="Times New Roman"/>
          <w:snapToGrid/>
          <w:color w:val="auto"/>
          <w:spacing w:val="-2"/>
          <w:szCs w:val="20"/>
          <w:lang w:eastAsia="zh-CN"/>
        </w:rPr>
        <w:t>0年后，评价范围内地下含水层中</w:t>
      </w:r>
      <w:r>
        <w:rPr>
          <w:rFonts w:hint="eastAsia" w:ascii="Times New Roman" w:hAnsi="Times New Roman" w:cs="Times New Roman"/>
          <w:snapToGrid/>
          <w:color w:val="auto"/>
          <w:spacing w:val="-2"/>
          <w:szCs w:val="20"/>
          <w:lang w:eastAsia="zh-CN"/>
        </w:rPr>
        <w:t>氟化物</w:t>
      </w:r>
      <w:r>
        <w:rPr>
          <w:rFonts w:ascii="Times New Roman" w:hAnsi="Times New Roman" w:cs="Times New Roman"/>
          <w:snapToGrid/>
          <w:color w:val="auto"/>
          <w:spacing w:val="-2"/>
          <w:szCs w:val="20"/>
          <w:lang w:eastAsia="zh-CN"/>
        </w:rPr>
        <w:t>浓度影响预测结果见下表。</w:t>
      </w:r>
    </w:p>
    <w:p w14:paraId="4CD8F2FA">
      <w:pPr>
        <w:spacing w:line="360" w:lineRule="auto"/>
        <w:jc w:val="center"/>
        <w:rPr>
          <w:rFonts w:ascii="Times New Roman" w:hAnsi="Times New Roman" w:cs="Times New Roman"/>
          <w:b/>
          <w:color w:val="auto"/>
          <w:lang w:eastAsia="zh-CN"/>
        </w:rPr>
      </w:pPr>
      <w:r>
        <w:rPr>
          <w:rFonts w:ascii="Times New Roman" w:hAnsi="Times New Roman" w:cs="Times New Roman"/>
          <w:b/>
          <w:color w:val="auto"/>
          <w:lang w:eastAsia="zh-CN"/>
        </w:rPr>
        <w:t>表</w:t>
      </w:r>
      <w:r>
        <w:rPr>
          <w:rFonts w:hint="eastAsia" w:ascii="Times New Roman" w:hAnsi="Times New Roman" w:cs="Times New Roman"/>
          <w:b/>
          <w:color w:val="auto"/>
          <w:lang w:eastAsia="zh-CN"/>
        </w:rPr>
        <w:t>6.5-3</w:t>
      </w:r>
      <w:r>
        <w:rPr>
          <w:rFonts w:ascii="Times New Roman" w:hAnsi="Times New Roman" w:cs="Times New Roman"/>
          <w:b/>
          <w:color w:val="auto"/>
          <w:lang w:eastAsia="zh-CN"/>
        </w:rPr>
        <w:t xml:space="preserve"> 地下含水层中</w:t>
      </w:r>
      <w:r>
        <w:rPr>
          <w:rFonts w:hint="eastAsia" w:ascii="Times New Roman" w:hAnsi="Times New Roman" w:cs="Times New Roman"/>
          <w:b/>
          <w:color w:val="auto"/>
          <w:lang w:eastAsia="zh-CN"/>
        </w:rPr>
        <w:t>氟化物</w:t>
      </w:r>
      <w:r>
        <w:rPr>
          <w:rFonts w:ascii="Times New Roman" w:hAnsi="Times New Roman" w:cs="Times New Roman"/>
          <w:b/>
          <w:color w:val="auto"/>
          <w:lang w:eastAsia="zh-CN"/>
        </w:rPr>
        <w:t>浓度影响预测结果统计表</w:t>
      </w:r>
    </w:p>
    <w:tbl>
      <w:tblPr>
        <w:tblStyle w:val="36"/>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603"/>
        <w:gridCol w:w="1998"/>
        <w:gridCol w:w="2199"/>
        <w:gridCol w:w="1998"/>
        <w:gridCol w:w="1948"/>
      </w:tblGrid>
      <w:tr w14:paraId="63CFFE7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822" w:type="pct"/>
            <w:vAlign w:val="center"/>
          </w:tcPr>
          <w:p w14:paraId="608ACE57">
            <w:pPr>
              <w:widowControl w:val="0"/>
              <w:jc w:val="center"/>
              <w:textAlignment w:val="center"/>
              <w:rPr>
                <w:rFonts w:ascii="Times New Roman" w:hAnsi="Times New Roman" w:cs="Times New Roman"/>
                <w:b/>
                <w:bCs/>
                <w:sz w:val="21"/>
              </w:rPr>
            </w:pPr>
            <w:r>
              <w:rPr>
                <w:rFonts w:ascii="Times New Roman" w:hAnsi="Times New Roman" w:cs="Times New Roman"/>
                <w:b/>
                <w:bCs/>
                <w:color w:val="auto"/>
                <w:sz w:val="21"/>
                <w:lang w:eastAsia="zh-CN"/>
              </w:rPr>
              <w:t>污染物</w:t>
            </w:r>
          </w:p>
        </w:tc>
        <w:tc>
          <w:tcPr>
            <w:tcW w:w="1025" w:type="pct"/>
            <w:vAlign w:val="center"/>
          </w:tcPr>
          <w:p w14:paraId="481AD59E">
            <w:pPr>
              <w:widowControl w:val="0"/>
              <w:jc w:val="center"/>
              <w:textAlignment w:val="center"/>
              <w:rPr>
                <w:rFonts w:ascii="Times New Roman" w:hAnsi="Times New Roman" w:cs="Times New Roman"/>
                <w:b/>
                <w:bCs/>
                <w:sz w:val="21"/>
              </w:rPr>
            </w:pPr>
            <w:r>
              <w:rPr>
                <w:rFonts w:ascii="Times New Roman" w:hAnsi="Times New Roman" w:cs="Times New Roman"/>
                <w:b/>
                <w:bCs/>
                <w:color w:val="auto"/>
                <w:sz w:val="21"/>
                <w:lang w:eastAsia="zh-CN"/>
              </w:rPr>
              <w:t>迁移时间（d）</w:t>
            </w:r>
          </w:p>
        </w:tc>
        <w:tc>
          <w:tcPr>
            <w:tcW w:w="1128" w:type="pct"/>
            <w:vAlign w:val="center"/>
          </w:tcPr>
          <w:p w14:paraId="4881EB76">
            <w:pPr>
              <w:widowControl w:val="0"/>
              <w:jc w:val="center"/>
              <w:textAlignment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最大预测浓度（mg/L）</w:t>
            </w:r>
          </w:p>
        </w:tc>
        <w:tc>
          <w:tcPr>
            <w:tcW w:w="1025" w:type="pct"/>
            <w:vAlign w:val="center"/>
          </w:tcPr>
          <w:p w14:paraId="123EE583">
            <w:pPr>
              <w:widowControl w:val="0"/>
              <w:jc w:val="center"/>
              <w:textAlignment w:val="center"/>
              <w:rPr>
                <w:rFonts w:ascii="Times New Roman" w:hAnsi="Times New Roman" w:cs="Times New Roman"/>
                <w:b/>
                <w:bCs/>
                <w:sz w:val="21"/>
              </w:rPr>
            </w:pPr>
            <w:r>
              <w:rPr>
                <w:rFonts w:ascii="Times New Roman" w:hAnsi="Times New Roman" w:cs="Times New Roman"/>
                <w:b/>
                <w:bCs/>
                <w:color w:val="auto"/>
                <w:sz w:val="21"/>
                <w:lang w:eastAsia="zh-CN"/>
              </w:rPr>
              <w:t>预测超标距离（m）</w:t>
            </w:r>
          </w:p>
        </w:tc>
        <w:tc>
          <w:tcPr>
            <w:tcW w:w="999" w:type="pct"/>
            <w:vAlign w:val="center"/>
          </w:tcPr>
          <w:p w14:paraId="11F7A05E">
            <w:pPr>
              <w:widowControl w:val="0"/>
              <w:jc w:val="center"/>
              <w:textAlignment w:val="center"/>
              <w:rPr>
                <w:rFonts w:ascii="Times New Roman" w:hAnsi="Times New Roman" w:cs="Times New Roman"/>
                <w:b/>
                <w:bCs/>
                <w:sz w:val="21"/>
              </w:rPr>
            </w:pPr>
            <w:r>
              <w:rPr>
                <w:rFonts w:ascii="Times New Roman" w:hAnsi="Times New Roman" w:cs="Times New Roman"/>
                <w:b/>
                <w:bCs/>
                <w:color w:val="auto"/>
                <w:sz w:val="21"/>
                <w:lang w:eastAsia="zh-CN"/>
              </w:rPr>
              <w:t>影响距离（m）</w:t>
            </w:r>
          </w:p>
        </w:tc>
      </w:tr>
      <w:tr w14:paraId="2E701DB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822" w:type="pct"/>
            <w:vMerge w:val="restart"/>
            <w:vAlign w:val="center"/>
          </w:tcPr>
          <w:p w14:paraId="3D618CD8">
            <w:pPr>
              <w:widowControl w:val="0"/>
              <w:jc w:val="center"/>
              <w:textAlignment w:val="center"/>
              <w:rPr>
                <w:rFonts w:ascii="Times New Roman" w:hAnsi="Times New Roman" w:cs="Times New Roman"/>
                <w:sz w:val="21"/>
              </w:rPr>
            </w:pPr>
            <w:r>
              <w:rPr>
                <w:rFonts w:ascii="Times New Roman" w:hAnsi="Times New Roman" w:cs="Times New Roman"/>
                <w:color w:val="auto"/>
                <w:sz w:val="21"/>
                <w:lang w:eastAsia="zh-CN"/>
              </w:rPr>
              <w:t>氟化物</w:t>
            </w:r>
          </w:p>
        </w:tc>
        <w:tc>
          <w:tcPr>
            <w:tcW w:w="1025" w:type="pct"/>
            <w:vAlign w:val="center"/>
          </w:tcPr>
          <w:p w14:paraId="6265191A">
            <w:pPr>
              <w:widowControl w:val="0"/>
              <w:jc w:val="center"/>
              <w:textAlignment w:val="center"/>
              <w:rPr>
                <w:rFonts w:ascii="Times New Roman" w:hAnsi="Times New Roman" w:cs="Times New Roman"/>
                <w:sz w:val="21"/>
              </w:rPr>
            </w:pPr>
          </w:p>
        </w:tc>
        <w:tc>
          <w:tcPr>
            <w:tcW w:w="1128" w:type="pct"/>
            <w:vAlign w:val="center"/>
          </w:tcPr>
          <w:p w14:paraId="5B80E418">
            <w:pPr>
              <w:widowControl w:val="0"/>
              <w:jc w:val="center"/>
              <w:textAlignment w:val="center"/>
              <w:rPr>
                <w:rFonts w:ascii="Times New Roman" w:hAnsi="Times New Roman" w:cs="Times New Roman"/>
                <w:color w:val="auto"/>
                <w:sz w:val="21"/>
                <w:lang w:eastAsia="zh-CN"/>
              </w:rPr>
            </w:pPr>
          </w:p>
        </w:tc>
        <w:tc>
          <w:tcPr>
            <w:tcW w:w="1025" w:type="pct"/>
            <w:vAlign w:val="center"/>
          </w:tcPr>
          <w:p w14:paraId="619B83CF">
            <w:pPr>
              <w:widowControl w:val="0"/>
              <w:jc w:val="center"/>
              <w:textAlignment w:val="center"/>
              <w:rPr>
                <w:rFonts w:ascii="Times New Roman" w:hAnsi="Times New Roman" w:cs="Times New Roman"/>
                <w:sz w:val="21"/>
              </w:rPr>
            </w:pPr>
          </w:p>
        </w:tc>
        <w:tc>
          <w:tcPr>
            <w:tcW w:w="999" w:type="pct"/>
            <w:vAlign w:val="center"/>
          </w:tcPr>
          <w:p w14:paraId="261C803B">
            <w:pPr>
              <w:widowControl w:val="0"/>
              <w:jc w:val="center"/>
              <w:textAlignment w:val="center"/>
              <w:rPr>
                <w:rFonts w:ascii="Times New Roman" w:hAnsi="Times New Roman" w:cs="Times New Roman"/>
                <w:kern w:val="2"/>
                <w:sz w:val="21"/>
              </w:rPr>
            </w:pPr>
          </w:p>
        </w:tc>
      </w:tr>
      <w:tr w14:paraId="1765289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822" w:type="pct"/>
            <w:vMerge w:val="continue"/>
            <w:vAlign w:val="center"/>
          </w:tcPr>
          <w:p w14:paraId="1E30DDDC">
            <w:pPr>
              <w:widowControl w:val="0"/>
              <w:jc w:val="center"/>
              <w:textAlignment w:val="center"/>
              <w:rPr>
                <w:rFonts w:ascii="Times New Roman" w:hAnsi="Times New Roman" w:cs="Times New Roman"/>
                <w:sz w:val="21"/>
              </w:rPr>
            </w:pPr>
          </w:p>
        </w:tc>
        <w:tc>
          <w:tcPr>
            <w:tcW w:w="1025" w:type="pct"/>
            <w:vAlign w:val="center"/>
          </w:tcPr>
          <w:p w14:paraId="53BBF55F">
            <w:pPr>
              <w:widowControl w:val="0"/>
              <w:jc w:val="center"/>
              <w:textAlignment w:val="center"/>
              <w:rPr>
                <w:rFonts w:ascii="Times New Roman" w:hAnsi="Times New Roman" w:cs="Times New Roman"/>
                <w:sz w:val="21"/>
              </w:rPr>
            </w:pPr>
          </w:p>
        </w:tc>
        <w:tc>
          <w:tcPr>
            <w:tcW w:w="1128" w:type="pct"/>
            <w:vAlign w:val="center"/>
          </w:tcPr>
          <w:p w14:paraId="6CC11D0B">
            <w:pPr>
              <w:widowControl w:val="0"/>
              <w:jc w:val="center"/>
              <w:textAlignment w:val="center"/>
              <w:rPr>
                <w:rFonts w:ascii="Times New Roman" w:hAnsi="Times New Roman" w:cs="Times New Roman"/>
                <w:color w:val="auto"/>
                <w:sz w:val="21"/>
                <w:lang w:eastAsia="zh-CN"/>
              </w:rPr>
            </w:pPr>
          </w:p>
        </w:tc>
        <w:tc>
          <w:tcPr>
            <w:tcW w:w="1025" w:type="pct"/>
            <w:vAlign w:val="center"/>
          </w:tcPr>
          <w:p w14:paraId="420C8F82">
            <w:pPr>
              <w:widowControl w:val="0"/>
              <w:jc w:val="center"/>
              <w:textAlignment w:val="center"/>
              <w:rPr>
                <w:rFonts w:ascii="Times New Roman" w:hAnsi="Times New Roman" w:cs="Times New Roman"/>
                <w:sz w:val="21"/>
              </w:rPr>
            </w:pPr>
          </w:p>
        </w:tc>
        <w:tc>
          <w:tcPr>
            <w:tcW w:w="999" w:type="pct"/>
            <w:vAlign w:val="center"/>
          </w:tcPr>
          <w:p w14:paraId="76EA58FF">
            <w:pPr>
              <w:widowControl w:val="0"/>
              <w:jc w:val="center"/>
              <w:textAlignment w:val="center"/>
              <w:rPr>
                <w:rFonts w:ascii="Times New Roman" w:hAnsi="Times New Roman" w:cs="Times New Roman"/>
                <w:kern w:val="2"/>
                <w:sz w:val="21"/>
              </w:rPr>
            </w:pPr>
          </w:p>
        </w:tc>
      </w:tr>
      <w:tr w14:paraId="6FD3207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822" w:type="pct"/>
            <w:vMerge w:val="continue"/>
            <w:vAlign w:val="center"/>
          </w:tcPr>
          <w:p w14:paraId="1ED42A84">
            <w:pPr>
              <w:widowControl w:val="0"/>
              <w:jc w:val="center"/>
              <w:textAlignment w:val="center"/>
              <w:rPr>
                <w:rFonts w:ascii="Times New Roman" w:hAnsi="Times New Roman" w:cs="Times New Roman"/>
                <w:sz w:val="21"/>
              </w:rPr>
            </w:pPr>
          </w:p>
        </w:tc>
        <w:tc>
          <w:tcPr>
            <w:tcW w:w="1025" w:type="pct"/>
            <w:vAlign w:val="center"/>
          </w:tcPr>
          <w:p w14:paraId="4C6FB9C2">
            <w:pPr>
              <w:widowControl w:val="0"/>
              <w:jc w:val="center"/>
              <w:textAlignment w:val="center"/>
              <w:rPr>
                <w:rFonts w:ascii="Times New Roman" w:hAnsi="Times New Roman" w:cs="Times New Roman"/>
                <w:sz w:val="21"/>
              </w:rPr>
            </w:pPr>
          </w:p>
        </w:tc>
        <w:tc>
          <w:tcPr>
            <w:tcW w:w="1128" w:type="pct"/>
            <w:vAlign w:val="center"/>
          </w:tcPr>
          <w:p w14:paraId="75361CF8">
            <w:pPr>
              <w:widowControl w:val="0"/>
              <w:jc w:val="center"/>
              <w:textAlignment w:val="center"/>
              <w:rPr>
                <w:rFonts w:ascii="Times New Roman" w:hAnsi="Times New Roman" w:cs="Times New Roman"/>
                <w:color w:val="auto"/>
                <w:sz w:val="21"/>
                <w:lang w:eastAsia="zh-CN"/>
              </w:rPr>
            </w:pPr>
          </w:p>
        </w:tc>
        <w:tc>
          <w:tcPr>
            <w:tcW w:w="1025" w:type="pct"/>
            <w:vAlign w:val="center"/>
          </w:tcPr>
          <w:p w14:paraId="6CBBFE6B">
            <w:pPr>
              <w:widowControl w:val="0"/>
              <w:jc w:val="center"/>
              <w:textAlignment w:val="center"/>
              <w:rPr>
                <w:rFonts w:ascii="Times New Roman" w:hAnsi="Times New Roman" w:cs="Times New Roman"/>
                <w:sz w:val="21"/>
              </w:rPr>
            </w:pPr>
          </w:p>
        </w:tc>
        <w:tc>
          <w:tcPr>
            <w:tcW w:w="999" w:type="pct"/>
            <w:vAlign w:val="center"/>
          </w:tcPr>
          <w:p w14:paraId="031C4D6E">
            <w:pPr>
              <w:widowControl w:val="0"/>
              <w:jc w:val="center"/>
              <w:textAlignment w:val="center"/>
              <w:rPr>
                <w:rFonts w:ascii="Times New Roman" w:hAnsi="Times New Roman" w:cs="Times New Roman"/>
                <w:kern w:val="2"/>
                <w:sz w:val="21"/>
              </w:rPr>
            </w:pPr>
          </w:p>
        </w:tc>
      </w:tr>
    </w:tbl>
    <w:p w14:paraId="67B1512B">
      <w:pPr>
        <w:widowControl w:val="0"/>
        <w:spacing w:line="360" w:lineRule="auto"/>
        <w:jc w:val="center"/>
        <w:rPr>
          <w:rFonts w:ascii="Times New Roman" w:hAnsi="Times New Roman" w:cs="Times New Roman"/>
          <w:color w:val="auto"/>
          <w:lang w:eastAsia="zh-CN"/>
        </w:rPr>
      </w:pPr>
    </w:p>
    <w:p w14:paraId="10D53235">
      <w:pPr>
        <w:widowControl w:val="0"/>
        <w:spacing w:line="360" w:lineRule="auto"/>
        <w:jc w:val="center"/>
        <w:rPr>
          <w:rFonts w:ascii="Times New Roman" w:hAnsi="Times New Roman" w:cs="Times New Roman"/>
          <w:color w:val="auto"/>
          <w:lang w:eastAsia="zh-CN"/>
        </w:rPr>
      </w:pPr>
    </w:p>
    <w:p w14:paraId="4BC2AFB1">
      <w:pPr>
        <w:widowControl w:val="0"/>
        <w:spacing w:line="360" w:lineRule="auto"/>
        <w:jc w:val="center"/>
        <w:rPr>
          <w:rFonts w:ascii="Times New Roman" w:hAnsi="Times New Roman" w:cs="Times New Roman"/>
          <w:snapToGrid/>
          <w:color w:val="auto"/>
          <w:spacing w:val="-2"/>
          <w:szCs w:val="20"/>
          <w:lang w:eastAsia="zh-CN"/>
        </w:rPr>
      </w:pPr>
      <w:r>
        <w:rPr>
          <w:rFonts w:ascii="Times New Roman" w:hAnsi="Times New Roman" w:cs="Times New Roman"/>
          <w:b/>
          <w:snapToGrid/>
          <w:color w:val="auto"/>
          <w:spacing w:val="-2"/>
          <w:szCs w:val="20"/>
          <w:lang w:eastAsia="zh-CN"/>
        </w:rPr>
        <w:t>图</w:t>
      </w:r>
      <w:r>
        <w:rPr>
          <w:rFonts w:hint="eastAsia" w:ascii="Times New Roman" w:hAnsi="Times New Roman" w:cs="Times New Roman"/>
          <w:b/>
          <w:snapToGrid/>
          <w:color w:val="auto"/>
          <w:spacing w:val="-2"/>
          <w:szCs w:val="20"/>
          <w:lang w:eastAsia="zh-CN"/>
        </w:rPr>
        <w:t>6.5-4</w:t>
      </w:r>
      <w:r>
        <w:rPr>
          <w:rFonts w:ascii="Times New Roman" w:hAnsi="Times New Roman" w:cs="Times New Roman"/>
          <w:b/>
          <w:snapToGrid/>
          <w:color w:val="auto"/>
          <w:spacing w:val="-2"/>
          <w:szCs w:val="20"/>
          <w:lang w:eastAsia="zh-CN"/>
        </w:rPr>
        <w:t xml:space="preserve">  </w:t>
      </w:r>
      <w:r>
        <w:rPr>
          <w:rFonts w:hint="eastAsia" w:ascii="Times New Roman" w:hAnsi="Times New Roman" w:cs="Times New Roman"/>
          <w:b/>
          <w:bCs/>
          <w:snapToGrid/>
          <w:color w:val="auto"/>
          <w:spacing w:val="-2"/>
          <w:szCs w:val="20"/>
          <w:lang w:eastAsia="zh-CN"/>
        </w:rPr>
        <w:t>氟化物在地下水中的运移情况</w:t>
      </w:r>
    </w:p>
    <w:p w14:paraId="6369AB01">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根据预测结果可知，</w:t>
      </w:r>
      <w:r>
        <w:rPr>
          <w:rFonts w:hint="eastAsia" w:ascii="Times New Roman" w:hAnsi="Times New Roman" w:cs="Times New Roman"/>
          <w:snapToGrid/>
          <w:color w:val="000000" w:themeColor="text1"/>
          <w:spacing w:val="-2"/>
          <w:szCs w:val="20"/>
          <w:lang w:eastAsia="zh-CN"/>
          <w14:textFill>
            <w14:solidFill>
              <w14:schemeClr w14:val="tx1"/>
            </w14:solidFill>
          </w14:textFill>
        </w:rPr>
        <w:t>二级水喷淋塔吸收的氟化氢水溶液暂存罐</w:t>
      </w:r>
      <w:r>
        <w:rPr>
          <w:rFonts w:ascii="Times New Roman" w:hAnsi="Times New Roman" w:cs="Times New Roman"/>
          <w:color w:val="auto"/>
          <w:szCs w:val="24"/>
          <w:lang w:eastAsia="zh-CN"/>
        </w:rPr>
        <w:t>泄漏后，污染物迁移100d后，</w:t>
      </w:r>
      <w:r>
        <w:rPr>
          <w:rFonts w:hint="eastAsia" w:ascii="Times New Roman" w:hAnsi="Times New Roman" w:cs="Times New Roman"/>
          <w:color w:val="auto"/>
          <w:szCs w:val="24"/>
          <w:lang w:eastAsia="zh-CN"/>
        </w:rPr>
        <w:t>氟化物</w:t>
      </w:r>
      <w:r>
        <w:rPr>
          <w:rFonts w:ascii="Times New Roman" w:hAnsi="Times New Roman" w:cs="Times New Roman"/>
          <w:color w:val="auto"/>
          <w:szCs w:val="24"/>
          <w:lang w:eastAsia="zh-CN"/>
        </w:rPr>
        <w:t>预测的最大值为</w:t>
      </w:r>
      <w:r>
        <w:rPr>
          <w:rFonts w:hint="eastAsia" w:ascii="Times New Roman" w:hAnsi="Times New Roman" w:cs="Times New Roman"/>
          <w:color w:val="auto"/>
          <w:szCs w:val="24"/>
          <w:lang w:eastAsia="zh-CN"/>
        </w:rPr>
        <w:t>0.17</w:t>
      </w:r>
      <w:r>
        <w:rPr>
          <w:rFonts w:ascii="Times New Roman" w:hAnsi="Times New Roman" w:cs="Times New Roman"/>
          <w:color w:val="auto"/>
          <w:szCs w:val="24"/>
          <w:lang w:eastAsia="zh-CN"/>
        </w:rPr>
        <w:t>mg/L，</w:t>
      </w:r>
      <w:r>
        <w:rPr>
          <w:rFonts w:hint="eastAsia" w:ascii="Times New Roman" w:hAnsi="Times New Roman" w:cs="Times New Roman"/>
          <w:color w:val="auto"/>
          <w:szCs w:val="24"/>
          <w:lang w:eastAsia="zh-CN"/>
        </w:rPr>
        <w:t>超标距离为0m，</w:t>
      </w:r>
      <w:r>
        <w:rPr>
          <w:rFonts w:ascii="Times New Roman" w:hAnsi="Times New Roman" w:cs="Times New Roman"/>
          <w:color w:val="auto"/>
          <w:szCs w:val="24"/>
          <w:lang w:eastAsia="zh-CN"/>
        </w:rPr>
        <w:t>其沿地下水流方向上距泄漏源的最远影响距离为</w:t>
      </w:r>
      <w:r>
        <w:rPr>
          <w:rFonts w:hint="eastAsia" w:ascii="Times New Roman" w:hAnsi="Times New Roman" w:cs="Times New Roman"/>
          <w:color w:val="auto"/>
          <w:szCs w:val="24"/>
          <w:lang w:eastAsia="zh-CN"/>
        </w:rPr>
        <w:t>51.1</w:t>
      </w:r>
      <w:r>
        <w:rPr>
          <w:rFonts w:ascii="Times New Roman" w:hAnsi="Times New Roman" w:cs="Times New Roman"/>
          <w:color w:val="auto"/>
          <w:szCs w:val="24"/>
          <w:lang w:eastAsia="zh-CN"/>
        </w:rPr>
        <w:t>m，</w:t>
      </w:r>
      <w:r>
        <w:rPr>
          <w:rFonts w:hint="eastAsia" w:ascii="Times New Roman" w:hAnsi="Times New Roman" w:cs="Times New Roman"/>
          <w:color w:val="auto"/>
          <w:szCs w:val="24"/>
          <w:lang w:eastAsia="zh-CN"/>
        </w:rPr>
        <w:t>未</w:t>
      </w:r>
      <w:r>
        <w:rPr>
          <w:rFonts w:ascii="Times New Roman" w:hAnsi="Times New Roman" w:cs="Times New Roman"/>
          <w:color w:val="auto"/>
          <w:szCs w:val="24"/>
          <w:lang w:eastAsia="zh-CN"/>
        </w:rPr>
        <w:t>超出厂区东南厂界，因此</w:t>
      </w:r>
      <w:r>
        <w:rPr>
          <w:rFonts w:hint="eastAsia" w:ascii="Times New Roman" w:hAnsi="Times New Roman" w:cs="Times New Roman"/>
          <w:snapToGrid/>
          <w:color w:val="auto"/>
          <w:spacing w:val="-2"/>
          <w:szCs w:val="20"/>
          <w:lang w:eastAsia="zh-CN"/>
        </w:rPr>
        <w:t>无水氟化氢</w:t>
      </w:r>
      <w:r>
        <w:rPr>
          <w:rFonts w:ascii="Times New Roman" w:hAnsi="Times New Roman" w:cs="Times New Roman"/>
          <w:snapToGrid/>
          <w:color w:val="auto"/>
          <w:spacing w:val="-2"/>
          <w:szCs w:val="20"/>
          <w:lang w:eastAsia="zh-CN"/>
        </w:rPr>
        <w:t>储罐</w:t>
      </w:r>
      <w:r>
        <w:rPr>
          <w:rFonts w:ascii="Times New Roman" w:hAnsi="Times New Roman" w:cs="Times New Roman"/>
          <w:color w:val="auto"/>
          <w:szCs w:val="24"/>
          <w:lang w:eastAsia="zh-CN"/>
        </w:rPr>
        <w:t>连续泄漏100d，地下含水层中氟化物浓度</w:t>
      </w:r>
      <w:r>
        <w:rPr>
          <w:rFonts w:hint="eastAsia" w:ascii="Times New Roman" w:hAnsi="Times New Roman" w:cs="Times New Roman"/>
          <w:color w:val="auto"/>
          <w:szCs w:val="24"/>
          <w:lang w:eastAsia="zh-CN"/>
        </w:rPr>
        <w:t>超标现象不</w:t>
      </w:r>
      <w:r>
        <w:rPr>
          <w:rFonts w:ascii="Times New Roman" w:hAnsi="Times New Roman" w:cs="Times New Roman"/>
          <w:color w:val="auto"/>
          <w:szCs w:val="24"/>
          <w:lang w:eastAsia="zh-CN"/>
        </w:rPr>
        <w:t>会扩散出场界外。</w:t>
      </w:r>
    </w:p>
    <w:p w14:paraId="67D22CC3">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污染迁移</w:t>
      </w:r>
      <w:r>
        <w:rPr>
          <w:rFonts w:hint="eastAsia" w:ascii="Times New Roman" w:hAnsi="Times New Roman" w:cs="Times New Roman"/>
          <w:color w:val="auto"/>
          <w:szCs w:val="24"/>
          <w:lang w:eastAsia="zh-CN"/>
        </w:rPr>
        <w:t>1000</w:t>
      </w:r>
      <w:r>
        <w:rPr>
          <w:rFonts w:ascii="Times New Roman" w:hAnsi="Times New Roman" w:cs="Times New Roman"/>
          <w:color w:val="auto"/>
          <w:szCs w:val="24"/>
          <w:lang w:eastAsia="zh-CN"/>
        </w:rPr>
        <w:t>d后，氟化物预测的最大值为</w:t>
      </w:r>
      <w:r>
        <w:rPr>
          <w:rFonts w:hint="eastAsia" w:ascii="Times New Roman" w:hAnsi="Times New Roman" w:cs="Times New Roman"/>
          <w:color w:val="auto"/>
          <w:szCs w:val="24"/>
          <w:lang w:eastAsia="zh-CN"/>
        </w:rPr>
        <w:t>0.02</w:t>
      </w:r>
      <w:r>
        <w:rPr>
          <w:rFonts w:ascii="Times New Roman" w:hAnsi="Times New Roman" w:cs="Times New Roman"/>
          <w:color w:val="auto"/>
          <w:szCs w:val="24"/>
          <w:lang w:eastAsia="zh-CN"/>
        </w:rPr>
        <w:t>mg/L，超标距离为</w:t>
      </w:r>
      <w:r>
        <w:rPr>
          <w:rFonts w:hint="eastAsia" w:ascii="Times New Roman" w:hAnsi="Times New Roman" w:cs="Times New Roman"/>
          <w:color w:val="auto"/>
          <w:szCs w:val="24"/>
          <w:lang w:eastAsia="zh-CN"/>
        </w:rPr>
        <w:t>0</w:t>
      </w:r>
      <w:r>
        <w:rPr>
          <w:rFonts w:ascii="Times New Roman" w:hAnsi="Times New Roman" w:cs="Times New Roman"/>
          <w:color w:val="auto"/>
          <w:szCs w:val="24"/>
          <w:lang w:eastAsia="zh-CN"/>
        </w:rPr>
        <w:t>m</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其沿地下水流方向上距泄漏源的最远影响距离为</w:t>
      </w:r>
      <w:r>
        <w:rPr>
          <w:rFonts w:hint="eastAsia" w:ascii="Times New Roman" w:hAnsi="Times New Roman" w:cs="Times New Roman"/>
          <w:color w:val="auto"/>
          <w:szCs w:val="24"/>
          <w:lang w:eastAsia="zh-CN"/>
        </w:rPr>
        <w:t>0</w:t>
      </w:r>
      <w:r>
        <w:rPr>
          <w:rFonts w:ascii="Times New Roman" w:hAnsi="Times New Roman" w:cs="Times New Roman"/>
          <w:color w:val="auto"/>
          <w:szCs w:val="24"/>
          <w:lang w:eastAsia="zh-CN"/>
        </w:rPr>
        <w:t>m，</w:t>
      </w:r>
      <w:r>
        <w:rPr>
          <w:rFonts w:hint="eastAsia" w:ascii="Times New Roman" w:hAnsi="Times New Roman" w:cs="Times New Roman"/>
          <w:color w:val="auto"/>
          <w:szCs w:val="24"/>
          <w:lang w:eastAsia="zh-CN"/>
        </w:rPr>
        <w:t>未</w:t>
      </w:r>
      <w:r>
        <w:rPr>
          <w:rFonts w:ascii="Times New Roman" w:hAnsi="Times New Roman" w:cs="Times New Roman"/>
          <w:color w:val="auto"/>
          <w:szCs w:val="24"/>
          <w:lang w:eastAsia="zh-CN"/>
        </w:rPr>
        <w:t>超出厂区东南厂界，因此</w:t>
      </w:r>
      <w:r>
        <w:rPr>
          <w:rFonts w:hint="eastAsia" w:ascii="Times New Roman" w:hAnsi="Times New Roman" w:cs="Times New Roman"/>
          <w:snapToGrid/>
          <w:color w:val="auto"/>
          <w:spacing w:val="-2"/>
          <w:szCs w:val="20"/>
          <w:lang w:eastAsia="zh-CN"/>
        </w:rPr>
        <w:t>无水氟化氢</w:t>
      </w:r>
      <w:r>
        <w:rPr>
          <w:rFonts w:ascii="Times New Roman" w:hAnsi="Times New Roman" w:cs="Times New Roman"/>
          <w:snapToGrid/>
          <w:color w:val="auto"/>
          <w:spacing w:val="-2"/>
          <w:szCs w:val="20"/>
          <w:lang w:eastAsia="zh-CN"/>
        </w:rPr>
        <w:t>储罐</w:t>
      </w:r>
      <w:r>
        <w:rPr>
          <w:rFonts w:ascii="Times New Roman" w:hAnsi="Times New Roman" w:cs="Times New Roman"/>
          <w:color w:val="auto"/>
          <w:szCs w:val="24"/>
          <w:lang w:eastAsia="zh-CN"/>
        </w:rPr>
        <w:t>连续泄漏100</w:t>
      </w:r>
      <w:r>
        <w:rPr>
          <w:rFonts w:hint="eastAsia" w:ascii="Times New Roman" w:hAnsi="Times New Roman" w:cs="Times New Roman"/>
          <w:color w:val="auto"/>
          <w:szCs w:val="24"/>
          <w:lang w:eastAsia="zh-CN"/>
        </w:rPr>
        <w:t>0</w:t>
      </w:r>
      <w:r>
        <w:rPr>
          <w:rFonts w:ascii="Times New Roman" w:hAnsi="Times New Roman" w:cs="Times New Roman"/>
          <w:color w:val="auto"/>
          <w:szCs w:val="24"/>
          <w:lang w:eastAsia="zh-CN"/>
        </w:rPr>
        <w:t>d，地下含水层中氟化物浓度</w:t>
      </w:r>
      <w:r>
        <w:rPr>
          <w:rFonts w:hint="eastAsia" w:ascii="Times New Roman" w:hAnsi="Times New Roman" w:cs="Times New Roman"/>
          <w:color w:val="auto"/>
          <w:szCs w:val="24"/>
          <w:lang w:eastAsia="zh-CN"/>
        </w:rPr>
        <w:t>超标现象不</w:t>
      </w:r>
      <w:r>
        <w:rPr>
          <w:rFonts w:ascii="Times New Roman" w:hAnsi="Times New Roman" w:cs="Times New Roman"/>
          <w:color w:val="auto"/>
          <w:szCs w:val="24"/>
          <w:lang w:eastAsia="zh-CN"/>
        </w:rPr>
        <w:t>会扩散出场界外。</w:t>
      </w:r>
    </w:p>
    <w:p w14:paraId="050C2829">
      <w:pPr>
        <w:spacing w:line="360" w:lineRule="auto"/>
        <w:ind w:firstLine="480" w:firstLineChars="200"/>
        <w:jc w:val="both"/>
        <w:rPr>
          <w:rFonts w:ascii="Times New Roman" w:hAnsi="Times New Roman"/>
          <w:szCs w:val="24"/>
          <w:lang w:eastAsia="zh-CN"/>
        </w:rPr>
      </w:pPr>
      <w:r>
        <w:rPr>
          <w:rFonts w:ascii="Times New Roman" w:hAnsi="Times New Roman" w:cs="Times New Roman"/>
          <w:color w:val="auto"/>
          <w:szCs w:val="24"/>
          <w:lang w:eastAsia="zh-CN"/>
        </w:rPr>
        <w:t>污染物迁移</w:t>
      </w:r>
      <w:r>
        <w:rPr>
          <w:rFonts w:hint="eastAsia" w:ascii="Times New Roman" w:hAnsi="Times New Roman" w:cs="Times New Roman"/>
          <w:color w:val="auto"/>
          <w:szCs w:val="24"/>
          <w:lang w:eastAsia="zh-CN"/>
        </w:rPr>
        <w:t>10a（3650</w:t>
      </w:r>
      <w:r>
        <w:rPr>
          <w:rFonts w:ascii="Times New Roman" w:hAnsi="Times New Roman" w:cs="Times New Roman"/>
          <w:color w:val="auto"/>
          <w:szCs w:val="24"/>
          <w:lang w:eastAsia="zh-CN"/>
        </w:rPr>
        <w:t>d</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后，氟化物预测的最大值为</w:t>
      </w:r>
      <w:r>
        <w:rPr>
          <w:rFonts w:hint="eastAsia" w:ascii="Times New Roman" w:hAnsi="Times New Roman" w:cs="Times New Roman"/>
          <w:color w:val="auto"/>
          <w:szCs w:val="24"/>
          <w:lang w:eastAsia="zh-CN"/>
        </w:rPr>
        <w:t>0.005</w:t>
      </w:r>
      <w:r>
        <w:rPr>
          <w:rFonts w:ascii="Times New Roman" w:hAnsi="Times New Roman" w:cs="Times New Roman"/>
          <w:color w:val="auto"/>
          <w:szCs w:val="24"/>
          <w:lang w:eastAsia="zh-CN"/>
        </w:rPr>
        <w:t>mg/L，超标距离</w:t>
      </w:r>
      <w:r>
        <w:rPr>
          <w:rFonts w:hint="eastAsia" w:ascii="Times New Roman" w:hAnsi="Times New Roman" w:cs="Times New Roman"/>
          <w:color w:val="auto"/>
          <w:szCs w:val="24"/>
          <w:lang w:eastAsia="zh-CN"/>
        </w:rPr>
        <w:t>0</w:t>
      </w:r>
      <w:r>
        <w:rPr>
          <w:rFonts w:ascii="Times New Roman" w:hAnsi="Times New Roman" w:cs="Times New Roman"/>
          <w:color w:val="auto"/>
          <w:szCs w:val="24"/>
          <w:lang w:eastAsia="zh-CN"/>
        </w:rPr>
        <w:t>m</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其沿地下水流方向上距泄漏源的最远影响距离为</w:t>
      </w:r>
      <w:r>
        <w:rPr>
          <w:rFonts w:hint="eastAsia" w:ascii="Times New Roman" w:hAnsi="Times New Roman" w:cs="Times New Roman"/>
          <w:color w:val="auto"/>
          <w:szCs w:val="24"/>
          <w:lang w:eastAsia="zh-CN"/>
        </w:rPr>
        <w:t>0</w:t>
      </w:r>
      <w:r>
        <w:rPr>
          <w:rFonts w:ascii="Times New Roman" w:hAnsi="Times New Roman" w:cs="Times New Roman"/>
          <w:color w:val="auto"/>
          <w:szCs w:val="24"/>
          <w:lang w:eastAsia="zh-CN"/>
        </w:rPr>
        <w:t>m，</w:t>
      </w:r>
      <w:r>
        <w:rPr>
          <w:rFonts w:hint="eastAsia" w:ascii="Times New Roman" w:hAnsi="Times New Roman" w:cs="Times New Roman"/>
          <w:color w:val="auto"/>
          <w:szCs w:val="24"/>
          <w:lang w:eastAsia="zh-CN"/>
        </w:rPr>
        <w:t>未</w:t>
      </w:r>
      <w:r>
        <w:rPr>
          <w:rFonts w:ascii="Times New Roman" w:hAnsi="Times New Roman" w:cs="Times New Roman"/>
          <w:color w:val="auto"/>
          <w:szCs w:val="24"/>
          <w:lang w:eastAsia="zh-CN"/>
        </w:rPr>
        <w:t>超出厂区东南厂界，因此</w:t>
      </w:r>
      <w:r>
        <w:rPr>
          <w:rFonts w:hint="eastAsia" w:ascii="Times New Roman" w:hAnsi="Times New Roman" w:cs="Times New Roman"/>
          <w:snapToGrid/>
          <w:color w:val="auto"/>
          <w:spacing w:val="-2"/>
          <w:szCs w:val="20"/>
          <w:lang w:eastAsia="zh-CN"/>
        </w:rPr>
        <w:t>无水氟化氢</w:t>
      </w:r>
      <w:r>
        <w:rPr>
          <w:rFonts w:ascii="Times New Roman" w:hAnsi="Times New Roman" w:cs="Times New Roman"/>
          <w:snapToGrid/>
          <w:color w:val="auto"/>
          <w:spacing w:val="-2"/>
          <w:szCs w:val="20"/>
          <w:lang w:eastAsia="zh-CN"/>
        </w:rPr>
        <w:t>储罐</w:t>
      </w:r>
      <w:r>
        <w:rPr>
          <w:rFonts w:ascii="Times New Roman" w:hAnsi="Times New Roman" w:cs="Times New Roman"/>
          <w:color w:val="auto"/>
          <w:szCs w:val="24"/>
          <w:lang w:eastAsia="zh-CN"/>
        </w:rPr>
        <w:t>连续泄漏100</w:t>
      </w:r>
      <w:r>
        <w:rPr>
          <w:rFonts w:hint="eastAsia" w:ascii="Times New Roman" w:hAnsi="Times New Roman" w:cs="Times New Roman"/>
          <w:color w:val="auto"/>
          <w:szCs w:val="24"/>
          <w:lang w:eastAsia="zh-CN"/>
        </w:rPr>
        <w:t>0</w:t>
      </w:r>
      <w:r>
        <w:rPr>
          <w:rFonts w:ascii="Times New Roman" w:hAnsi="Times New Roman" w:cs="Times New Roman"/>
          <w:color w:val="auto"/>
          <w:szCs w:val="24"/>
          <w:lang w:eastAsia="zh-CN"/>
        </w:rPr>
        <w:t>d，地下含水层中氟化物浓度</w:t>
      </w:r>
      <w:r>
        <w:rPr>
          <w:rFonts w:hint="eastAsia" w:ascii="Times New Roman" w:hAnsi="Times New Roman" w:cs="Times New Roman"/>
          <w:color w:val="auto"/>
          <w:szCs w:val="24"/>
          <w:lang w:eastAsia="zh-CN"/>
        </w:rPr>
        <w:t>超标现象不</w:t>
      </w:r>
      <w:r>
        <w:rPr>
          <w:rFonts w:ascii="Times New Roman" w:hAnsi="Times New Roman" w:cs="Times New Roman"/>
          <w:color w:val="auto"/>
          <w:szCs w:val="24"/>
          <w:lang w:eastAsia="zh-CN"/>
        </w:rPr>
        <w:t>会扩散出场界外。</w:t>
      </w:r>
    </w:p>
    <w:p w14:paraId="3BE8CF4C">
      <w:pPr>
        <w:widowControl w:val="0"/>
        <w:spacing w:line="360" w:lineRule="auto"/>
        <w:ind w:firstLine="482"/>
        <w:jc w:val="both"/>
        <w:outlineLvl w:val="3"/>
        <w:rPr>
          <w:rFonts w:ascii="Times New Roman" w:hAnsi="Times New Roman" w:eastAsia="新宋体" w:cs="Times New Roman"/>
          <w:color w:val="auto"/>
          <w:szCs w:val="24"/>
          <w:lang w:eastAsia="zh-CN"/>
        </w:rPr>
      </w:pPr>
      <w:r>
        <w:rPr>
          <w:rFonts w:ascii="Times New Roman" w:hAnsi="Times New Roman" w:eastAsia="新宋体" w:cs="Times New Roman"/>
          <w:b/>
          <w:bCs/>
          <w:color w:val="auto"/>
          <w:szCs w:val="24"/>
          <w:lang w:eastAsia="zh-CN"/>
        </w:rPr>
        <w:t>6.5.3.</w:t>
      </w:r>
      <w:r>
        <w:rPr>
          <w:rFonts w:hint="eastAsia" w:ascii="Times New Roman" w:hAnsi="Times New Roman" w:eastAsia="新宋体" w:cs="Times New Roman"/>
          <w:b/>
          <w:bCs/>
          <w:color w:val="auto"/>
          <w:szCs w:val="24"/>
          <w:lang w:eastAsia="zh-CN"/>
        </w:rPr>
        <w:t>8 小结</w:t>
      </w:r>
    </w:p>
    <w:p w14:paraId="6D6568BA">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本区含水层水力坡度较小、渗透系数较小，污染物影响范围较小，污染物随地下水向</w:t>
      </w:r>
      <w:r>
        <w:rPr>
          <w:rFonts w:hint="eastAsia" w:ascii="Times New Roman" w:hAnsi="Times New Roman" w:cs="Times New Roman"/>
          <w:color w:val="auto"/>
          <w:lang w:eastAsia="zh-CN"/>
        </w:rPr>
        <w:t>淮河</w:t>
      </w:r>
      <w:r>
        <w:rPr>
          <w:rFonts w:ascii="Times New Roman" w:hAnsi="Times New Roman" w:cs="Times New Roman"/>
          <w:color w:val="auto"/>
          <w:lang w:eastAsia="zh-CN"/>
        </w:rPr>
        <w:t>方向排泄，影响范围不会扩散越过</w:t>
      </w:r>
      <w:r>
        <w:rPr>
          <w:rFonts w:hint="eastAsia" w:ascii="Times New Roman" w:hAnsi="Times New Roman" w:cs="Times New Roman"/>
          <w:color w:val="auto"/>
          <w:lang w:eastAsia="zh-CN"/>
        </w:rPr>
        <w:t>淮河</w:t>
      </w:r>
      <w:r>
        <w:rPr>
          <w:rFonts w:ascii="Times New Roman" w:hAnsi="Times New Roman" w:cs="Times New Roman"/>
          <w:color w:val="auto"/>
          <w:lang w:eastAsia="zh-CN"/>
        </w:rPr>
        <w:t>。项目建设过程中防渗按照相应要求建设，正常状况下，厂区的地表与地下的水力联系基本被切断，污染物对地下水的影响较小。</w:t>
      </w:r>
    </w:p>
    <w:p w14:paraId="666FAAC5">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非正常状况下，无水氟化氢储罐泄漏100d</w:t>
      </w:r>
      <w:r>
        <w:rPr>
          <w:rFonts w:hint="eastAsia" w:ascii="Times New Roman" w:hAnsi="Times New Roman" w:cs="Times New Roman"/>
          <w:color w:val="auto"/>
          <w:lang w:eastAsia="zh-CN"/>
        </w:rPr>
        <w:t>、</w:t>
      </w:r>
      <w:r>
        <w:rPr>
          <w:rFonts w:ascii="Times New Roman" w:hAnsi="Times New Roman" w:cs="Times New Roman"/>
          <w:color w:val="auto"/>
          <w:lang w:eastAsia="zh-CN"/>
        </w:rPr>
        <w:t>1000d</w:t>
      </w:r>
      <w:r>
        <w:rPr>
          <w:rFonts w:hint="eastAsia" w:ascii="Times New Roman" w:hAnsi="Times New Roman" w:cs="Times New Roman"/>
          <w:color w:val="auto"/>
          <w:lang w:eastAsia="zh-CN"/>
        </w:rPr>
        <w:t>和3650d</w:t>
      </w:r>
      <w:r>
        <w:rPr>
          <w:rFonts w:ascii="Times New Roman" w:hAnsi="Times New Roman" w:cs="Times New Roman"/>
          <w:color w:val="auto"/>
          <w:lang w:eastAsia="zh-CN"/>
        </w:rPr>
        <w:t>后，评价范围内地下含水层中</w:t>
      </w:r>
      <w:r>
        <w:rPr>
          <w:rFonts w:hint="eastAsia" w:ascii="Times New Roman" w:hAnsi="Times New Roman" w:cs="Times New Roman"/>
          <w:color w:val="auto"/>
          <w:lang w:eastAsia="zh-CN"/>
        </w:rPr>
        <w:t>氟化物</w:t>
      </w:r>
      <w:r>
        <w:rPr>
          <w:rFonts w:ascii="Times New Roman" w:hAnsi="Times New Roman" w:cs="Times New Roman"/>
          <w:color w:val="auto"/>
          <w:lang w:eastAsia="zh-CN"/>
        </w:rPr>
        <w:t>浓度超标现象越出厂界，但厂区下游1000m内无居民点，污染晕扩散在10年后远未达保护目标处。</w:t>
      </w:r>
      <w:r>
        <w:rPr>
          <w:rFonts w:hint="eastAsia" w:ascii="Times New Roman" w:hAnsi="Times New Roman" w:cs="Times New Roman"/>
          <w:snapToGrid/>
          <w:color w:val="000000" w:themeColor="text1"/>
          <w:spacing w:val="-2"/>
          <w:szCs w:val="20"/>
          <w:lang w:eastAsia="zh-CN"/>
          <w14:textFill>
            <w14:solidFill>
              <w14:schemeClr w14:val="tx1"/>
            </w14:solidFill>
          </w14:textFill>
        </w:rPr>
        <w:t>二级水喷淋塔吸收的氟化氢水溶液暂存罐</w:t>
      </w:r>
      <w:r>
        <w:rPr>
          <w:rFonts w:hint="eastAsia" w:ascii="Times New Roman" w:hAnsi="Times New Roman" w:cs="Times New Roman"/>
          <w:color w:val="auto"/>
          <w:lang w:eastAsia="zh-CN"/>
        </w:rPr>
        <w:t>泄漏</w:t>
      </w:r>
      <w:r>
        <w:rPr>
          <w:rFonts w:ascii="Times New Roman" w:hAnsi="Times New Roman" w:cs="Times New Roman"/>
          <w:color w:val="auto"/>
          <w:lang w:eastAsia="zh-CN"/>
        </w:rPr>
        <w:t>100d</w:t>
      </w:r>
      <w:r>
        <w:rPr>
          <w:rFonts w:hint="eastAsia" w:ascii="Times New Roman" w:hAnsi="Times New Roman" w:cs="Times New Roman"/>
          <w:color w:val="auto"/>
          <w:lang w:eastAsia="zh-CN"/>
        </w:rPr>
        <w:t>、</w:t>
      </w:r>
      <w:r>
        <w:rPr>
          <w:rFonts w:ascii="Times New Roman" w:hAnsi="Times New Roman" w:cs="Times New Roman"/>
          <w:color w:val="auto"/>
          <w:lang w:eastAsia="zh-CN"/>
        </w:rPr>
        <w:t>1000d</w:t>
      </w:r>
      <w:r>
        <w:rPr>
          <w:rFonts w:hint="eastAsia" w:ascii="Times New Roman" w:hAnsi="Times New Roman" w:cs="Times New Roman"/>
          <w:color w:val="auto"/>
          <w:lang w:eastAsia="zh-CN"/>
        </w:rPr>
        <w:t>和3650d</w:t>
      </w:r>
      <w:r>
        <w:rPr>
          <w:rFonts w:ascii="Times New Roman" w:hAnsi="Times New Roman" w:cs="Times New Roman"/>
          <w:color w:val="auto"/>
          <w:lang w:eastAsia="zh-CN"/>
        </w:rPr>
        <w:t>后，评价范围内地下含水层中</w:t>
      </w:r>
      <w:r>
        <w:rPr>
          <w:rFonts w:hint="eastAsia" w:ascii="Times New Roman" w:hAnsi="Times New Roman" w:cs="Times New Roman"/>
          <w:color w:val="auto"/>
          <w:lang w:eastAsia="zh-CN"/>
        </w:rPr>
        <w:t>氟化物</w:t>
      </w:r>
      <w:r>
        <w:rPr>
          <w:rFonts w:ascii="Times New Roman" w:hAnsi="Times New Roman" w:cs="Times New Roman"/>
          <w:color w:val="auto"/>
          <w:lang w:eastAsia="zh-CN"/>
        </w:rPr>
        <w:t>浓度超标现象</w:t>
      </w:r>
      <w:r>
        <w:rPr>
          <w:rFonts w:hint="eastAsia" w:ascii="Times New Roman" w:hAnsi="Times New Roman" w:cs="Times New Roman"/>
          <w:color w:val="auto"/>
          <w:lang w:eastAsia="zh-CN"/>
        </w:rPr>
        <w:t>未</w:t>
      </w:r>
      <w:r>
        <w:rPr>
          <w:rFonts w:ascii="Times New Roman" w:hAnsi="Times New Roman" w:cs="Times New Roman"/>
          <w:color w:val="auto"/>
          <w:lang w:eastAsia="zh-CN"/>
        </w:rPr>
        <w:t>越出厂界。</w:t>
      </w:r>
    </w:p>
    <w:p w14:paraId="64F72380">
      <w:pPr>
        <w:widowControl w:val="0"/>
        <w:spacing w:line="360" w:lineRule="auto"/>
        <w:ind w:firstLine="480" w:firstLineChars="200"/>
        <w:jc w:val="both"/>
        <w:rPr>
          <w:rFonts w:ascii="Times New Roman" w:hAnsi="Times New Roman" w:cs="Times New Roman"/>
          <w:color w:val="auto"/>
          <w:szCs w:val="20"/>
          <w:lang w:eastAsia="zh-CN"/>
        </w:rPr>
      </w:pPr>
      <w:r>
        <w:rPr>
          <w:rFonts w:ascii="Times New Roman" w:hAnsi="Times New Roman" w:cs="Times New Roman"/>
          <w:color w:val="auto"/>
          <w:lang w:eastAsia="zh-CN"/>
        </w:rPr>
        <w:t>因此，企业严格执行地下水环境保护措施中提出的相关要求，定期对</w:t>
      </w:r>
      <w:r>
        <w:rPr>
          <w:rFonts w:hint="eastAsia" w:ascii="Times New Roman" w:hAnsi="Times New Roman" w:cs="Times New Roman"/>
          <w:color w:val="auto"/>
          <w:lang w:eastAsia="zh-CN"/>
        </w:rPr>
        <w:t>罐区</w:t>
      </w:r>
      <w:r>
        <w:rPr>
          <w:rFonts w:ascii="Times New Roman" w:hAnsi="Times New Roman" w:cs="Times New Roman"/>
          <w:color w:val="auto"/>
          <w:lang w:eastAsia="zh-CN"/>
        </w:rPr>
        <w:t>进行检修，对防渗层定期修复，避免物料泄漏下渗的前提下，本项目对地下水环境的影响是可以接受</w:t>
      </w:r>
      <w:bookmarkStart w:id="1659" w:name="_Hlk176355690"/>
      <w:r>
        <w:rPr>
          <w:rFonts w:ascii="Times New Roman" w:hAnsi="Times New Roman" w:cs="Times New Roman"/>
          <w:color w:val="auto"/>
          <w:szCs w:val="20"/>
          <w:lang w:eastAsia="zh-CN"/>
        </w:rPr>
        <w:t>。</w:t>
      </w:r>
    </w:p>
    <w:p w14:paraId="615D0678">
      <w:pPr>
        <w:rPr>
          <w:rFonts w:ascii="Times New Roman" w:hAnsi="Times New Roman" w:cs="Times New Roman"/>
          <w:color w:val="auto"/>
          <w:szCs w:val="20"/>
          <w:lang w:eastAsia="zh-CN"/>
        </w:rPr>
      </w:pPr>
      <w:r>
        <w:rPr>
          <w:rFonts w:ascii="Times New Roman" w:hAnsi="Times New Roman" w:cs="Times New Roman"/>
          <w:color w:val="auto"/>
          <w:szCs w:val="20"/>
          <w:lang w:eastAsia="zh-CN"/>
        </w:rPr>
        <w:br w:type="page"/>
      </w:r>
    </w:p>
    <w:bookmarkEnd w:id="1659"/>
    <w:p w14:paraId="7EEEA312">
      <w:pPr>
        <w:spacing w:line="360" w:lineRule="auto"/>
        <w:ind w:firstLine="562"/>
        <w:jc w:val="both"/>
        <w:outlineLvl w:val="1"/>
        <w:rPr>
          <w:rFonts w:ascii="Times New Roman" w:hAnsi="Times New Roman" w:cs="Times New Roman"/>
          <w:color w:val="auto"/>
          <w:sz w:val="28"/>
          <w:szCs w:val="28"/>
          <w:lang w:eastAsia="zh-CN"/>
        </w:rPr>
      </w:pPr>
      <w:bookmarkStart w:id="1660" w:name="_Toc237508345"/>
      <w:r>
        <w:rPr>
          <w:rFonts w:ascii="Times New Roman" w:hAnsi="Times New Roman" w:cs="Times New Roman"/>
          <w:b/>
          <w:bCs/>
          <w:color w:val="auto"/>
          <w:sz w:val="28"/>
          <w:szCs w:val="28"/>
          <w:lang w:eastAsia="zh-CN"/>
        </w:rPr>
        <w:t>6.</w:t>
      </w:r>
      <w:r>
        <w:rPr>
          <w:rFonts w:hint="eastAsia" w:ascii="Times New Roman" w:hAnsi="Times New Roman" w:cs="Times New Roman"/>
          <w:b/>
          <w:bCs/>
          <w:color w:val="auto"/>
          <w:sz w:val="28"/>
          <w:szCs w:val="28"/>
          <w:lang w:eastAsia="zh-CN"/>
        </w:rPr>
        <w:t>6</w:t>
      </w:r>
      <w:r>
        <w:rPr>
          <w:rFonts w:ascii="Times New Roman" w:hAnsi="Times New Roman" w:cs="Times New Roman"/>
          <w:b/>
          <w:bCs/>
          <w:color w:val="auto"/>
          <w:sz w:val="28"/>
          <w:szCs w:val="28"/>
          <w:lang w:eastAsia="zh-CN"/>
        </w:rPr>
        <w:t xml:space="preserve"> 运营期</w:t>
      </w:r>
      <w:r>
        <w:rPr>
          <w:rFonts w:hint="eastAsia" w:ascii="Times New Roman" w:hAnsi="Times New Roman" w:cs="Times New Roman"/>
          <w:b/>
          <w:bCs/>
          <w:color w:val="auto"/>
          <w:sz w:val="28"/>
          <w:szCs w:val="28"/>
          <w:lang w:eastAsia="zh-CN"/>
        </w:rPr>
        <w:t>固体废物</w:t>
      </w:r>
      <w:r>
        <w:rPr>
          <w:rFonts w:ascii="Times New Roman" w:hAnsi="Times New Roman" w:cs="Times New Roman"/>
          <w:b/>
          <w:bCs/>
          <w:color w:val="auto"/>
          <w:sz w:val="28"/>
          <w:szCs w:val="28"/>
          <w:lang w:eastAsia="zh-CN"/>
        </w:rPr>
        <w:t>环境影响分析</w:t>
      </w:r>
      <w:bookmarkEnd w:id="1660"/>
    </w:p>
    <w:p w14:paraId="5721DACE">
      <w:pPr>
        <w:widowControl w:val="0"/>
        <w:spacing w:line="360" w:lineRule="auto"/>
        <w:ind w:firstLine="480" w:firstLineChars="200"/>
        <w:rPr>
          <w:rFonts w:ascii="Times New Roman" w:hAnsi="Times New Roman" w:cs="Times New Roman"/>
          <w:bCs/>
          <w:color w:val="auto"/>
          <w:szCs w:val="24"/>
          <w:lang w:eastAsia="zh-CN"/>
        </w:rPr>
      </w:pPr>
      <w:r>
        <w:rPr>
          <w:rFonts w:ascii="Times New Roman" w:hAnsi="Times New Roman" w:cs="Times New Roman"/>
          <w:color w:val="auto"/>
          <w:szCs w:val="24"/>
          <w:lang w:eastAsia="zh-CN"/>
        </w:rPr>
        <w:t>本项目营运期产生固体废物主要有危险废物、一般固废和生活垃圾。危险废物主要为</w:t>
      </w:r>
      <w:r>
        <w:rPr>
          <w:rFonts w:hint="eastAsia" w:ascii="Times New Roman" w:hAnsi="Times New Roman" w:cs="Times New Roman"/>
          <w:color w:val="auto"/>
          <w:szCs w:val="24"/>
          <w:lang w:eastAsia="zh-CN"/>
        </w:rPr>
        <w:t>实验室废液</w:t>
      </w:r>
      <w:r>
        <w:rPr>
          <w:rFonts w:ascii="Times New Roman" w:hAnsi="Times New Roman" w:cs="Times New Roman"/>
          <w:color w:val="auto"/>
          <w:szCs w:val="24"/>
          <w:lang w:eastAsia="zh-CN"/>
        </w:rPr>
        <w:t>、</w:t>
      </w:r>
      <w:r>
        <w:rPr>
          <w:rFonts w:hint="eastAsia" w:ascii="Times New Roman" w:hAnsi="Times New Roman" w:cs="Times New Roman"/>
          <w:color w:val="auto"/>
          <w:szCs w:val="24"/>
          <w:lang w:eastAsia="zh-CN"/>
        </w:rPr>
        <w:t>废机油、</w:t>
      </w:r>
      <w:r>
        <w:rPr>
          <w:rFonts w:hint="eastAsia" w:ascii="Times New Roman" w:hAnsi="Times New Roman" w:cs="Times New Roman"/>
          <w:color w:val="auto"/>
          <w:szCs w:val="24"/>
          <w:lang w:val="en-US" w:eastAsia="zh-CN"/>
        </w:rPr>
        <w:t>废漆桶、</w:t>
      </w:r>
      <w:r>
        <w:rPr>
          <w:rFonts w:hint="eastAsia" w:ascii="Times New Roman" w:hAnsi="Times New Roman" w:cs="Times New Roman"/>
          <w:color w:val="auto"/>
          <w:szCs w:val="24"/>
          <w:lang w:eastAsia="zh-CN"/>
        </w:rPr>
        <w:t>废油桶</w:t>
      </w:r>
      <w:r>
        <w:rPr>
          <w:rFonts w:ascii="Times New Roman" w:hAnsi="Times New Roman" w:cs="Times New Roman"/>
          <w:color w:val="auto"/>
          <w:szCs w:val="24"/>
          <w:lang w:eastAsia="zh-CN"/>
        </w:rPr>
        <w:t>等；一般固废主要为</w:t>
      </w:r>
      <w:r>
        <w:rPr>
          <w:rFonts w:hint="eastAsia" w:ascii="Times New Roman" w:hAnsi="Times New Roman" w:cs="Times New Roman"/>
          <w:color w:val="auto"/>
          <w:szCs w:val="24"/>
          <w:lang w:eastAsia="zh-CN"/>
        </w:rPr>
        <w:t>污泥</w:t>
      </w:r>
      <w:r>
        <w:rPr>
          <w:rFonts w:ascii="Times New Roman" w:hAnsi="Times New Roman" w:cs="Times New Roman"/>
          <w:bCs/>
          <w:color w:val="auto"/>
          <w:szCs w:val="24"/>
          <w:lang w:eastAsia="zh-CN"/>
        </w:rPr>
        <w:t>。</w:t>
      </w:r>
    </w:p>
    <w:p w14:paraId="48D3FD8F">
      <w:pPr>
        <w:spacing w:line="360" w:lineRule="auto"/>
        <w:ind w:firstLine="482"/>
        <w:outlineLvl w:val="2"/>
        <w:rPr>
          <w:rFonts w:ascii="Times New Roman" w:hAnsi="Times New Roman" w:cs="Times New Roman"/>
          <w:b/>
          <w:bCs/>
          <w:color w:val="auto"/>
          <w:szCs w:val="24"/>
          <w:lang w:eastAsia="zh-CN"/>
        </w:rPr>
      </w:pPr>
      <w:bookmarkStart w:id="1661" w:name="_Toc172555697"/>
      <w:bookmarkStart w:id="1662" w:name="_Toc176513062"/>
      <w:bookmarkStart w:id="1663" w:name="_Toc1281"/>
      <w:bookmarkStart w:id="1664" w:name="_Toc173740331"/>
      <w:bookmarkStart w:id="1665" w:name="_Toc221900893"/>
      <w:bookmarkStart w:id="1666" w:name="_Toc237508346"/>
      <w:bookmarkStart w:id="1667" w:name="_Toc225784112"/>
      <w:bookmarkStart w:id="1668" w:name="_Toc236641881"/>
      <w:bookmarkStart w:id="1669" w:name="_Toc175164326"/>
      <w:bookmarkStart w:id="1670" w:name="_Toc231828633"/>
      <w:bookmarkStart w:id="1671" w:name="_Toc133333695"/>
      <w:bookmarkStart w:id="1672" w:name="_Toc178602402"/>
      <w:bookmarkStart w:id="1673" w:name="_Toc133176476"/>
      <w:bookmarkStart w:id="1674" w:name="_Toc204515255"/>
      <w:bookmarkStart w:id="1675" w:name="_Toc236641364"/>
      <w:bookmarkStart w:id="1676" w:name="_Toc223425111"/>
      <w:bookmarkStart w:id="1677" w:name="_Toc173743435"/>
      <w:bookmarkStart w:id="1678" w:name="_Toc204448520"/>
      <w:bookmarkStart w:id="1679" w:name="_Toc224674751"/>
      <w:bookmarkStart w:id="1680" w:name="_Toc218784336"/>
      <w:bookmarkStart w:id="1681" w:name="_Toc203927054"/>
      <w:r>
        <w:rPr>
          <w:rFonts w:ascii="Times New Roman" w:hAnsi="Times New Roman" w:cs="Times New Roman"/>
          <w:b/>
          <w:bCs/>
          <w:color w:val="auto"/>
          <w:szCs w:val="24"/>
          <w:lang w:eastAsia="zh-CN"/>
        </w:rPr>
        <w:t>6.6.1 处置措施</w:t>
      </w:r>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p>
    <w:p w14:paraId="07B31FEF">
      <w:pPr>
        <w:spacing w:line="360" w:lineRule="auto"/>
        <w:ind w:firstLine="480" w:firstLineChars="200"/>
        <w:jc w:val="both"/>
        <w:rPr>
          <w:rFonts w:ascii="Times New Roman" w:hAnsi="Times New Roman" w:cs="Times New Roman"/>
          <w:color w:val="auto"/>
          <w:szCs w:val="24"/>
          <w:lang w:eastAsia="zh-CN"/>
        </w:rPr>
      </w:pPr>
      <w:bookmarkStart w:id="1682" w:name="_Toc23112"/>
      <w:r>
        <w:rPr>
          <w:rFonts w:ascii="Times New Roman" w:hAnsi="Times New Roman" w:cs="Times New Roman"/>
          <w:color w:val="auto"/>
          <w:szCs w:val="24"/>
          <w:lang w:eastAsia="zh-CN"/>
        </w:rPr>
        <w:t>（1）一般工业固体废物</w:t>
      </w:r>
      <w:bookmarkEnd w:id="1682"/>
    </w:p>
    <w:p w14:paraId="7DDCC426">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本项目产生的</w:t>
      </w:r>
      <w:r>
        <w:rPr>
          <w:rFonts w:hint="eastAsia" w:ascii="Times New Roman" w:hAnsi="Times New Roman" w:cs="Times New Roman"/>
          <w:color w:val="auto"/>
          <w:szCs w:val="24"/>
          <w:lang w:eastAsia="zh-CN"/>
        </w:rPr>
        <w:t>一般固废</w:t>
      </w:r>
      <w:r>
        <w:rPr>
          <w:rFonts w:hint="eastAsia" w:ascii="Times New Roman" w:hAnsi="Times New Roman" w:cs="Times New Roman"/>
          <w:color w:val="auto"/>
          <w:lang w:eastAsia="zh-CN"/>
        </w:rPr>
        <w:t>污泥委托</w:t>
      </w:r>
      <w:r>
        <w:rPr>
          <w:rFonts w:ascii="Times New Roman" w:hAnsi="Times New Roman" w:cs="Times New Roman"/>
          <w:color w:val="auto"/>
          <w:lang w:eastAsia="zh-CN"/>
        </w:rPr>
        <w:t>巢湖市爱华环保科技有限公司利用</w:t>
      </w:r>
      <w:r>
        <w:rPr>
          <w:rFonts w:hint="eastAsia" w:ascii="Times New Roman" w:hAnsi="Times New Roman" w:cs="Times New Roman"/>
          <w:color w:val="auto"/>
          <w:lang w:eastAsia="zh-CN"/>
        </w:rPr>
        <w:t>处理</w:t>
      </w:r>
      <w:r>
        <w:rPr>
          <w:rFonts w:ascii="Times New Roman" w:hAnsi="Times New Roman" w:cs="Times New Roman"/>
          <w:color w:val="auto"/>
          <w:szCs w:val="24"/>
          <w:lang w:eastAsia="zh-CN"/>
        </w:rPr>
        <w:t>。</w:t>
      </w:r>
    </w:p>
    <w:p w14:paraId="195DEC14">
      <w:pPr>
        <w:spacing w:line="360" w:lineRule="auto"/>
        <w:ind w:firstLine="480" w:firstLineChars="200"/>
        <w:jc w:val="both"/>
        <w:rPr>
          <w:rFonts w:ascii="Times New Roman" w:hAnsi="Times New Roman" w:cs="Times New Roman"/>
          <w:color w:val="auto"/>
          <w:szCs w:val="24"/>
          <w:lang w:eastAsia="zh-CN"/>
        </w:rPr>
      </w:pPr>
      <w:bookmarkStart w:id="1683" w:name="_Toc14896"/>
      <w:r>
        <w:rPr>
          <w:rFonts w:hint="eastAsia" w:ascii="Times New Roman" w:hAnsi="Times New Roman" w:cs="Times New Roman"/>
          <w:color w:val="auto"/>
          <w:szCs w:val="24"/>
          <w:lang w:eastAsia="zh-CN"/>
        </w:rPr>
        <w:t>（2）</w:t>
      </w:r>
      <w:r>
        <w:rPr>
          <w:rFonts w:ascii="Times New Roman" w:hAnsi="Times New Roman" w:cs="Times New Roman"/>
          <w:color w:val="auto"/>
          <w:szCs w:val="24"/>
          <w:lang w:eastAsia="zh-CN"/>
        </w:rPr>
        <w:t>危险废物</w:t>
      </w:r>
      <w:bookmarkEnd w:id="1683"/>
    </w:p>
    <w:p w14:paraId="433681EC">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本项目产生的危险废物主要有生产线产生的</w:t>
      </w:r>
      <w:r>
        <w:rPr>
          <w:rFonts w:hint="eastAsia" w:ascii="Times New Roman" w:hAnsi="Times New Roman" w:cs="Times New Roman"/>
          <w:color w:val="auto"/>
          <w:szCs w:val="24"/>
          <w:lang w:eastAsia="zh-CN"/>
        </w:rPr>
        <w:t>实验室废液</w:t>
      </w:r>
      <w:r>
        <w:rPr>
          <w:rFonts w:ascii="Times New Roman" w:hAnsi="Times New Roman" w:cs="Times New Roman"/>
          <w:color w:val="auto"/>
          <w:szCs w:val="24"/>
          <w:lang w:eastAsia="zh-CN"/>
        </w:rPr>
        <w:t>、</w:t>
      </w:r>
      <w:r>
        <w:rPr>
          <w:rFonts w:hint="eastAsia" w:ascii="Times New Roman" w:hAnsi="Times New Roman" w:cs="Times New Roman"/>
          <w:color w:val="auto"/>
          <w:szCs w:val="24"/>
          <w:lang w:eastAsia="zh-CN"/>
        </w:rPr>
        <w:t>废机油</w:t>
      </w:r>
      <w:r>
        <w:rPr>
          <w:rFonts w:ascii="Times New Roman" w:hAnsi="Times New Roman" w:cs="Times New Roman"/>
          <w:color w:val="auto"/>
          <w:szCs w:val="24"/>
          <w:lang w:eastAsia="zh-CN"/>
        </w:rPr>
        <w:t>，暂存于项目危险废物暂存库中，定期交由有资质单位进行处置。</w:t>
      </w:r>
    </w:p>
    <w:p w14:paraId="4AED35D2">
      <w:pPr>
        <w:spacing w:line="360" w:lineRule="auto"/>
        <w:ind w:firstLine="482"/>
        <w:outlineLvl w:val="2"/>
        <w:rPr>
          <w:rFonts w:ascii="Times New Roman" w:hAnsi="Times New Roman" w:cs="Times New Roman"/>
          <w:b/>
          <w:bCs/>
          <w:color w:val="auto"/>
          <w:szCs w:val="24"/>
          <w:lang w:eastAsia="zh-CN"/>
        </w:rPr>
      </w:pPr>
      <w:bookmarkStart w:id="1684" w:name="_Toc237508347"/>
      <w:bookmarkStart w:id="1685" w:name="_Toc231828634"/>
      <w:bookmarkStart w:id="1686" w:name="_Toc236641365"/>
      <w:bookmarkStart w:id="1687" w:name="_Toc224674752"/>
      <w:bookmarkStart w:id="1688" w:name="_Toc221900894"/>
      <w:bookmarkStart w:id="1689" w:name="_Toc223425112"/>
      <w:bookmarkStart w:id="1690" w:name="_Toc225784113"/>
      <w:bookmarkStart w:id="1691" w:name="_Toc236641882"/>
      <w:r>
        <w:rPr>
          <w:rFonts w:ascii="Times New Roman" w:hAnsi="Times New Roman" w:cs="Times New Roman"/>
          <w:b/>
          <w:bCs/>
          <w:color w:val="auto"/>
          <w:szCs w:val="24"/>
          <w:lang w:eastAsia="zh-CN"/>
        </w:rPr>
        <w:t>6.6.</w:t>
      </w:r>
      <w:r>
        <w:rPr>
          <w:rFonts w:hint="eastAsia" w:ascii="Times New Roman" w:hAnsi="Times New Roman" w:cs="Times New Roman"/>
          <w:b/>
          <w:bCs/>
          <w:color w:val="auto"/>
          <w:szCs w:val="24"/>
          <w:lang w:eastAsia="zh-CN"/>
        </w:rPr>
        <w:t>2</w:t>
      </w:r>
      <w:r>
        <w:rPr>
          <w:rFonts w:ascii="Times New Roman" w:hAnsi="Times New Roman" w:cs="Times New Roman"/>
          <w:b/>
          <w:bCs/>
          <w:color w:val="auto"/>
          <w:szCs w:val="24"/>
          <w:lang w:eastAsia="zh-CN"/>
        </w:rPr>
        <w:t xml:space="preserve"> </w:t>
      </w:r>
      <w:r>
        <w:rPr>
          <w:rFonts w:hint="eastAsia" w:ascii="Times New Roman" w:hAnsi="Times New Roman" w:cs="Times New Roman"/>
          <w:b/>
          <w:bCs/>
          <w:color w:val="auto"/>
          <w:szCs w:val="24"/>
          <w:lang w:eastAsia="zh-CN"/>
        </w:rPr>
        <w:t>影响分析</w:t>
      </w:r>
      <w:bookmarkEnd w:id="1684"/>
      <w:bookmarkEnd w:id="1685"/>
      <w:bookmarkEnd w:id="1686"/>
      <w:bookmarkEnd w:id="1687"/>
      <w:bookmarkEnd w:id="1688"/>
      <w:bookmarkEnd w:id="1689"/>
      <w:bookmarkEnd w:id="1690"/>
      <w:bookmarkEnd w:id="1691"/>
    </w:p>
    <w:p w14:paraId="4E6E9CDF">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2017 年 9 月，环境保护部印发了《建设项目危险废物环境影响评价指南》，对产生危险废物的建设项目环境影响评价工作规定了相应的原则、内容和技术要求。根据上述分析，项目产生的危险废物中，种类主要包括 HW</w:t>
      </w:r>
      <w:r>
        <w:rPr>
          <w:rFonts w:hint="eastAsia" w:ascii="Times New Roman" w:hAnsi="Times New Roman" w:cs="Times New Roman"/>
          <w:color w:val="auto"/>
          <w:szCs w:val="24"/>
          <w:lang w:eastAsia="zh-CN"/>
        </w:rPr>
        <w:t>08</w:t>
      </w:r>
      <w:r>
        <w:rPr>
          <w:rFonts w:ascii="Times New Roman" w:hAnsi="Times New Roman" w:cs="Times New Roman"/>
          <w:color w:val="auto"/>
          <w:szCs w:val="24"/>
          <w:lang w:eastAsia="zh-CN"/>
        </w:rPr>
        <w:t>、HW49</w:t>
      </w:r>
      <w:r>
        <w:rPr>
          <w:rFonts w:hint="eastAsia" w:ascii="Times New Roman" w:hAnsi="Times New Roman" w:cs="Times New Roman"/>
          <w:color w:val="auto"/>
          <w:szCs w:val="24"/>
          <w:lang w:eastAsia="zh-CN"/>
        </w:rPr>
        <w:t>等</w:t>
      </w:r>
      <w:r>
        <w:rPr>
          <w:rFonts w:ascii="Times New Roman" w:hAnsi="Times New Roman" w:cs="Times New Roman"/>
          <w:color w:val="auto"/>
          <w:szCs w:val="24"/>
          <w:lang w:eastAsia="zh-CN"/>
        </w:rPr>
        <w:t>；形态为液态。</w:t>
      </w:r>
      <w:bookmarkStart w:id="1692" w:name="_Toc7369"/>
    </w:p>
    <w:p w14:paraId="27AC0939">
      <w:pPr>
        <w:pStyle w:val="84"/>
        <w:numPr>
          <w:ilvl w:val="0"/>
          <w:numId w:val="9"/>
        </w:numPr>
        <w:spacing w:line="360" w:lineRule="auto"/>
        <w:ind w:firstLineChars="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危险废物贮存场所环境影响分析</w:t>
      </w:r>
      <w:bookmarkEnd w:id="1692"/>
    </w:p>
    <w:p w14:paraId="0DEA8848">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000000" w:themeColor="text1"/>
          <w:szCs w:val="24"/>
          <w:lang w:eastAsia="zh-CN"/>
          <w14:textFill>
            <w14:solidFill>
              <w14:schemeClr w14:val="tx1"/>
            </w14:solidFill>
          </w14:textFill>
        </w:rPr>
        <w:t>项目</w:t>
      </w:r>
      <w:r>
        <w:rPr>
          <w:rFonts w:hint="eastAsia" w:ascii="Times New Roman" w:hAnsi="Times New Roman" w:cs="Times New Roman"/>
          <w:color w:val="000000" w:themeColor="text1"/>
          <w:szCs w:val="24"/>
          <w:lang w:eastAsia="zh-CN"/>
          <w14:textFill>
            <w14:solidFill>
              <w14:schemeClr w14:val="tx1"/>
            </w14:solidFill>
          </w14:textFill>
        </w:rPr>
        <w:t>依托</w:t>
      </w:r>
      <w:r>
        <w:rPr>
          <w:rFonts w:ascii="Times New Roman" w:hAnsi="Times New Roman" w:cs="Times New Roman"/>
          <w:color w:val="000000" w:themeColor="text1"/>
          <w:szCs w:val="24"/>
          <w:lang w:eastAsia="zh-CN"/>
          <w14:textFill>
            <w14:solidFill>
              <w14:schemeClr w14:val="tx1"/>
            </w14:solidFill>
          </w14:textFill>
        </w:rPr>
        <w:t>面积</w:t>
      </w:r>
      <w:r>
        <w:rPr>
          <w:rFonts w:hint="eastAsia" w:ascii="Times New Roman" w:hAnsi="Times New Roman" w:cs="Times New Roman"/>
          <w:color w:val="000000" w:themeColor="text1"/>
          <w:szCs w:val="24"/>
          <w:lang w:eastAsia="zh-CN"/>
          <w14:textFill>
            <w14:solidFill>
              <w14:schemeClr w14:val="tx1"/>
            </w14:solidFill>
          </w14:textFill>
        </w:rPr>
        <w:t>约120</w:t>
      </w:r>
      <w:r>
        <w:rPr>
          <w:rFonts w:ascii="Times New Roman" w:hAnsi="Times New Roman" w:cs="Times New Roman"/>
          <w:color w:val="000000" w:themeColor="text1"/>
          <w:szCs w:val="24"/>
          <w:lang w:eastAsia="zh-CN"/>
          <w14:textFill>
            <w14:solidFill>
              <w14:schemeClr w14:val="tx1"/>
            </w14:solidFill>
          </w14:textFill>
        </w:rPr>
        <w:t>m</w:t>
      </w:r>
      <w:r>
        <w:rPr>
          <w:rFonts w:ascii="Times New Roman" w:hAnsi="Times New Roman" w:cs="Times New Roman"/>
          <w:color w:val="000000" w:themeColor="text1"/>
          <w:szCs w:val="24"/>
          <w:vertAlign w:val="superscript"/>
          <w:lang w:eastAsia="zh-CN"/>
          <w14:textFill>
            <w14:solidFill>
              <w14:schemeClr w14:val="tx1"/>
            </w14:solidFill>
          </w14:textFill>
        </w:rPr>
        <w:t>2</w:t>
      </w:r>
      <w:r>
        <w:rPr>
          <w:rFonts w:ascii="Times New Roman" w:hAnsi="Times New Roman" w:cs="Times New Roman"/>
          <w:color w:val="000000" w:themeColor="text1"/>
          <w:szCs w:val="24"/>
          <w:lang w:eastAsia="zh-CN"/>
          <w14:textFill>
            <w14:solidFill>
              <w14:schemeClr w14:val="tx1"/>
            </w14:solidFill>
          </w14:textFill>
        </w:rPr>
        <w:t>危险废物贮存库用于存放</w:t>
      </w:r>
      <w:r>
        <w:rPr>
          <w:rFonts w:hint="eastAsia" w:ascii="Times New Roman" w:hAnsi="Times New Roman" w:cs="Times New Roman"/>
          <w:color w:val="000000" w:themeColor="text1"/>
          <w:szCs w:val="24"/>
          <w:lang w:eastAsia="zh-CN"/>
          <w14:textFill>
            <w14:solidFill>
              <w14:schemeClr w14:val="tx1"/>
            </w14:solidFill>
          </w14:textFill>
        </w:rPr>
        <w:t>现有工程以及</w:t>
      </w:r>
      <w:r>
        <w:rPr>
          <w:rFonts w:ascii="Times New Roman" w:hAnsi="Times New Roman" w:cs="Times New Roman"/>
          <w:color w:val="000000" w:themeColor="text1"/>
          <w:szCs w:val="24"/>
          <w:lang w:eastAsia="zh-CN"/>
          <w14:textFill>
            <w14:solidFill>
              <w14:schemeClr w14:val="tx1"/>
            </w14:solidFill>
          </w14:textFill>
        </w:rPr>
        <w:t>拟建项目生产过程中产生的各类危废。对于</w:t>
      </w:r>
      <w:r>
        <w:rPr>
          <w:rFonts w:hint="eastAsia" w:ascii="Times New Roman" w:hAnsi="Times New Roman" w:cs="Times New Roman"/>
          <w:color w:val="000000" w:themeColor="text1"/>
          <w:szCs w:val="24"/>
          <w:lang w:eastAsia="zh-CN"/>
          <w14:textFill>
            <w14:solidFill>
              <w14:schemeClr w14:val="tx1"/>
            </w14:solidFill>
          </w14:textFill>
        </w:rPr>
        <w:t>实</w:t>
      </w:r>
      <w:r>
        <w:rPr>
          <w:rFonts w:hint="eastAsia" w:ascii="Times New Roman" w:hAnsi="Times New Roman" w:cs="Times New Roman"/>
          <w:color w:val="auto"/>
          <w:szCs w:val="24"/>
          <w:lang w:eastAsia="zh-CN"/>
        </w:rPr>
        <w:t>验室废液</w:t>
      </w:r>
      <w:r>
        <w:rPr>
          <w:rFonts w:ascii="Times New Roman" w:hAnsi="Times New Roman" w:cs="Times New Roman"/>
          <w:color w:val="auto"/>
          <w:szCs w:val="24"/>
          <w:lang w:eastAsia="zh-CN"/>
        </w:rPr>
        <w:t>、</w:t>
      </w:r>
      <w:r>
        <w:rPr>
          <w:rFonts w:hint="eastAsia" w:ascii="Times New Roman" w:hAnsi="Times New Roman" w:cs="Times New Roman"/>
          <w:color w:val="auto"/>
          <w:szCs w:val="24"/>
          <w:lang w:eastAsia="zh-CN"/>
        </w:rPr>
        <w:t>废机油</w:t>
      </w:r>
      <w:r>
        <w:rPr>
          <w:rFonts w:ascii="Times New Roman" w:hAnsi="Times New Roman" w:cs="Times New Roman"/>
          <w:color w:val="auto"/>
          <w:szCs w:val="24"/>
          <w:lang w:eastAsia="zh-CN"/>
        </w:rPr>
        <w:t>等危废，采用专业容器包装。</w:t>
      </w:r>
    </w:p>
    <w:p w14:paraId="797AEAF3">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厂区危险废物贮存库应严格落实“四防”（防风、防雨、防晒、防渗漏）控制措施，并按重点防渗的要求，地下铺设 HDPE 防渗膜，地面防腐并建有导流沟及渗滤液收集池，并配套危险废物堆放方式、警示标识等方面内容。各类危废在厂内暂存后，将交由有资质单位处理。项目危险废物暂存库按照《危险废物贮存污染控制标准》（GB 18597-2023）相关规定设置，规范设置危废暂存场所，可以保证危险废物暂存过程对周边环境不产生影响。</w:t>
      </w:r>
    </w:p>
    <w:p w14:paraId="7B946057">
      <w:pPr>
        <w:widowControl w:val="0"/>
        <w:spacing w:line="360" w:lineRule="auto"/>
        <w:ind w:left="480"/>
        <w:jc w:val="both"/>
        <w:rPr>
          <w:rFonts w:ascii="Times New Roman" w:hAnsi="Times New Roman" w:cs="Times New Roman"/>
          <w:color w:val="auto"/>
          <w:szCs w:val="24"/>
          <w:lang w:eastAsia="zh-CN"/>
        </w:rPr>
      </w:pPr>
      <w:bookmarkStart w:id="1693" w:name="_Toc16289"/>
      <w:r>
        <w:rPr>
          <w:rFonts w:hint="eastAsia" w:ascii="Times New Roman" w:hAnsi="Times New Roman" w:cs="Times New Roman"/>
          <w:color w:val="auto"/>
          <w:szCs w:val="24"/>
          <w:lang w:eastAsia="zh-CN"/>
        </w:rPr>
        <w:t>（2）</w:t>
      </w:r>
      <w:r>
        <w:rPr>
          <w:rFonts w:ascii="Times New Roman" w:hAnsi="Times New Roman" w:cs="Times New Roman"/>
          <w:color w:val="auto"/>
          <w:szCs w:val="24"/>
          <w:lang w:eastAsia="zh-CN"/>
        </w:rPr>
        <w:t>危险废物运输及转移过程环境影响分析</w:t>
      </w:r>
      <w:bookmarkEnd w:id="1693"/>
    </w:p>
    <w:p w14:paraId="0640D163">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危险废物外运时严格按照国家环境保护总局令第5号文件《危险废物转移联单管理办法》的相关规定 报批危险废物转移计划，转移危险废物时按照规定填报危险废物转移联单，并向危险废物移出地和接受地的县级以上地方人民政府环境保护行政主管部门报告。</w:t>
      </w:r>
    </w:p>
    <w:p w14:paraId="7FAD661A">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按照《危险货物道路安全管理办法》的相关规定，托运人在托运危险货物时，应当向承运人提交电子或者纸质形式的危险货物托运清单。危险货物托运清单应当载明危险货物的托运人、承运人、收货人、装货人、始发地、目的地、危险货物的类别、项别、品名、编号、包装及规格、数量、应急联系电话等信息，以及危险货物危险特性、运输注意事项、急救措施、效防措施、泄漏应急处置、次生环境污染处置措施等信息。运输危险废物的人员接受专业培训经考核合格后从事运输危险废物的工作；运输危险废物的资质单位应当制定在发生意外事故时采取的应急措施和防范措施方可运输；运输时，发生突发性事故必须立即采取措施消除或者减轻对环境的污染危害，及时通报给附近的单位和居民，并向事故发生地县级以上人民政府环境保护行政主管部门和有关部门报告，接受调查处理。运输过程中做到密闭，沿途不抛洒，应有明显的标志，并有防雨、防晒等设施。运输路线按照主管部门制定路线进行运输，同时应配备全球卫星定位和事故报警装置。</w:t>
      </w:r>
    </w:p>
    <w:p w14:paraId="3A32FAEB">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综上所述，项目运输过程做好相关工作对外环境的影响是可以控制的。危险废物厂内转移应采取专业容器，防洒落遗漏，并由专人负责厂内转移。</w:t>
      </w:r>
    </w:p>
    <w:p w14:paraId="50D0CC6E">
      <w:pPr>
        <w:spacing w:line="360" w:lineRule="auto"/>
        <w:ind w:left="480"/>
        <w:jc w:val="both"/>
        <w:rPr>
          <w:rFonts w:ascii="Times New Roman" w:hAnsi="Times New Roman" w:cs="Times New Roman"/>
          <w:color w:val="auto"/>
          <w:szCs w:val="24"/>
          <w:lang w:eastAsia="zh-CN"/>
        </w:rPr>
      </w:pPr>
      <w:bookmarkStart w:id="1694" w:name="_Toc14214"/>
      <w:r>
        <w:rPr>
          <w:rFonts w:hint="eastAsia" w:ascii="Times New Roman" w:hAnsi="Times New Roman" w:cs="Times New Roman"/>
          <w:color w:val="auto"/>
          <w:szCs w:val="24"/>
          <w:lang w:eastAsia="zh-CN"/>
        </w:rPr>
        <w:t>（3）</w:t>
      </w:r>
      <w:r>
        <w:rPr>
          <w:rFonts w:ascii="Times New Roman" w:hAnsi="Times New Roman" w:cs="Times New Roman"/>
          <w:color w:val="auto"/>
          <w:szCs w:val="24"/>
          <w:lang w:eastAsia="zh-CN"/>
        </w:rPr>
        <w:t>委托利用或者处置的环境影响分析</w:t>
      </w:r>
      <w:bookmarkEnd w:id="1694"/>
    </w:p>
    <w:p w14:paraId="753F879A">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根据安徽省生态环境厅公布的《安徽省危险废物经营许可证汇总统计表》，本次评价分析项目产生的危险废物省内其余有资质单位有能力接纳并利用、处置的部分单位如下：</w:t>
      </w:r>
    </w:p>
    <w:p w14:paraId="21421183">
      <w:pPr>
        <w:spacing w:line="360" w:lineRule="auto"/>
        <w:jc w:val="center"/>
        <w:rPr>
          <w:rFonts w:ascii="Times New Roman" w:hAnsi="Times New Roman" w:cs="Times New Roman"/>
          <w:color w:val="auto"/>
          <w:szCs w:val="24"/>
          <w:lang w:eastAsia="zh-CN"/>
        </w:rPr>
      </w:pPr>
      <w:r>
        <w:rPr>
          <w:rFonts w:ascii="Times New Roman" w:hAnsi="Times New Roman" w:cs="Times New Roman"/>
          <w:b/>
          <w:bCs/>
          <w:color w:val="auto"/>
          <w:szCs w:val="24"/>
          <w:lang w:eastAsia="zh-CN"/>
        </w:rPr>
        <w:t>表6.6-1 安徽省内部分危险废物资质单位概述</w:t>
      </w:r>
    </w:p>
    <w:tbl>
      <w:tblPr>
        <w:tblStyle w:val="35"/>
        <w:tblW w:w="9855"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276"/>
        <w:gridCol w:w="992"/>
        <w:gridCol w:w="2551"/>
        <w:gridCol w:w="993"/>
        <w:gridCol w:w="1030"/>
        <w:gridCol w:w="954"/>
        <w:gridCol w:w="1100"/>
      </w:tblGrid>
      <w:tr w14:paraId="4D2114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959" w:type="dxa"/>
            <w:vAlign w:val="center"/>
          </w:tcPr>
          <w:p w14:paraId="62F86309">
            <w:pPr>
              <w:widowControl w:val="0"/>
              <w:adjustRightInd w:val="0"/>
              <w:snapToGrid w:val="0"/>
              <w:jc w:val="center"/>
              <w:rPr>
                <w:rFonts w:ascii="Times New Roman" w:hAnsi="Times New Roman" w:cs="Times New Roman"/>
                <w:b/>
                <w:bCs/>
                <w:color w:val="auto"/>
                <w:sz w:val="21"/>
              </w:rPr>
            </w:pPr>
            <w:r>
              <w:rPr>
                <w:rFonts w:hint="eastAsia" w:ascii="Times New Roman" w:hAnsi="Times New Roman" w:cs="Times New Roman"/>
                <w:b/>
                <w:bCs/>
                <w:color w:val="auto"/>
                <w:sz w:val="21"/>
                <w:lang w:eastAsia="zh-CN"/>
              </w:rPr>
              <w:t>企业名称</w:t>
            </w:r>
          </w:p>
        </w:tc>
        <w:tc>
          <w:tcPr>
            <w:tcW w:w="1276" w:type="dxa"/>
            <w:vAlign w:val="center"/>
          </w:tcPr>
          <w:p w14:paraId="6DFC436F">
            <w:pPr>
              <w:widowControl w:val="0"/>
              <w:adjustRightInd w:val="0"/>
              <w:snapToGrid w:val="0"/>
              <w:jc w:val="center"/>
              <w:rPr>
                <w:rFonts w:ascii="Times New Roman" w:hAnsi="Times New Roman" w:cs="Times New Roman"/>
                <w:b/>
                <w:bCs/>
                <w:color w:val="auto"/>
                <w:sz w:val="21"/>
              </w:rPr>
            </w:pPr>
            <w:r>
              <w:rPr>
                <w:rFonts w:hint="eastAsia" w:ascii="Times New Roman" w:hAnsi="Times New Roman" w:cs="Times New Roman"/>
                <w:b/>
                <w:bCs/>
                <w:color w:val="auto"/>
                <w:sz w:val="21"/>
                <w:lang w:eastAsia="zh-CN"/>
              </w:rPr>
              <w:t>经营设施地址</w:t>
            </w:r>
          </w:p>
        </w:tc>
        <w:tc>
          <w:tcPr>
            <w:tcW w:w="992" w:type="dxa"/>
            <w:vAlign w:val="center"/>
          </w:tcPr>
          <w:p w14:paraId="01B3DA23">
            <w:pPr>
              <w:widowControl w:val="0"/>
              <w:adjustRightInd w:val="0"/>
              <w:snapToGrid w:val="0"/>
              <w:jc w:val="center"/>
              <w:rPr>
                <w:rFonts w:ascii="Times New Roman" w:hAnsi="Times New Roman" w:cs="Times New Roman"/>
                <w:b/>
                <w:bCs/>
                <w:color w:val="auto"/>
                <w:sz w:val="21"/>
              </w:rPr>
            </w:pPr>
            <w:r>
              <w:rPr>
                <w:rFonts w:hint="eastAsia" w:ascii="Times New Roman" w:hAnsi="Times New Roman" w:cs="Times New Roman"/>
                <w:b/>
                <w:bCs/>
                <w:color w:val="auto"/>
                <w:sz w:val="21"/>
                <w:lang w:eastAsia="zh-CN"/>
              </w:rPr>
              <w:t>经营规模</w:t>
            </w:r>
            <w:r>
              <w:rPr>
                <w:rFonts w:ascii="Times New Roman" w:hAnsi="Times New Roman" w:cs="Times New Roman"/>
                <w:b/>
                <w:bCs/>
                <w:color w:val="auto"/>
                <w:sz w:val="21"/>
                <w:lang w:eastAsia="zh-CN"/>
              </w:rPr>
              <w:t>t/a</w:t>
            </w:r>
          </w:p>
        </w:tc>
        <w:tc>
          <w:tcPr>
            <w:tcW w:w="2551" w:type="dxa"/>
            <w:vAlign w:val="center"/>
          </w:tcPr>
          <w:p w14:paraId="6BC417E6">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危废资质类别</w:t>
            </w:r>
          </w:p>
        </w:tc>
        <w:tc>
          <w:tcPr>
            <w:tcW w:w="993" w:type="dxa"/>
            <w:vAlign w:val="center"/>
          </w:tcPr>
          <w:p w14:paraId="5CD5D2AF">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证书编号</w:t>
            </w:r>
          </w:p>
        </w:tc>
        <w:tc>
          <w:tcPr>
            <w:tcW w:w="1030" w:type="dxa"/>
            <w:vAlign w:val="center"/>
          </w:tcPr>
          <w:p w14:paraId="1200655C">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发证时间</w:t>
            </w:r>
          </w:p>
        </w:tc>
        <w:tc>
          <w:tcPr>
            <w:tcW w:w="954" w:type="dxa"/>
            <w:vAlign w:val="center"/>
          </w:tcPr>
          <w:p w14:paraId="343D2F79">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有效日期</w:t>
            </w:r>
          </w:p>
        </w:tc>
        <w:tc>
          <w:tcPr>
            <w:tcW w:w="1100" w:type="dxa"/>
            <w:vAlign w:val="center"/>
          </w:tcPr>
          <w:p w14:paraId="2A52FF83">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对应项目危险废物类别</w:t>
            </w:r>
          </w:p>
        </w:tc>
      </w:tr>
      <w:tr w14:paraId="5D2D86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27F08E1D">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合肥和嘉环境科技有限公司</w:t>
            </w:r>
          </w:p>
        </w:tc>
        <w:tc>
          <w:tcPr>
            <w:tcW w:w="1276" w:type="dxa"/>
            <w:vAlign w:val="center"/>
          </w:tcPr>
          <w:p w14:paraId="5288BEC8">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合肥市</w:t>
            </w:r>
            <w:r>
              <w:rPr>
                <w:rFonts w:hint="eastAsia" w:ascii="Times New Roman" w:hAnsi="Times New Roman" w:cs="Times New Roman"/>
                <w:color w:val="auto"/>
                <w:sz w:val="21"/>
                <w:lang w:eastAsia="zh-CN"/>
              </w:rPr>
              <w:t>肥东县循环经济示范园</w:t>
            </w:r>
          </w:p>
        </w:tc>
        <w:tc>
          <w:tcPr>
            <w:tcW w:w="992" w:type="dxa"/>
            <w:vAlign w:val="center"/>
          </w:tcPr>
          <w:p w14:paraId="630BED19">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550</w:t>
            </w:r>
            <w:r>
              <w:rPr>
                <w:rFonts w:ascii="Times New Roman" w:hAnsi="Times New Roman" w:cs="Times New Roman"/>
                <w:color w:val="auto"/>
                <w:sz w:val="21"/>
                <w:lang w:eastAsia="zh-CN"/>
              </w:rPr>
              <w:t>00</w:t>
            </w:r>
          </w:p>
        </w:tc>
        <w:tc>
          <w:tcPr>
            <w:tcW w:w="2551" w:type="dxa"/>
            <w:vAlign w:val="center"/>
          </w:tcPr>
          <w:p w14:paraId="5B93CE3E">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HW02、HW03、HW04、HW05、HW06、HW08、HW09、HW11、HW12、HW13、HW14、HW17、HW</w:t>
            </w:r>
            <w:r>
              <w:rPr>
                <w:rFonts w:hint="eastAsia" w:ascii="Times New Roman" w:hAnsi="Times New Roman" w:cs="Times New Roman"/>
                <w:color w:val="auto"/>
                <w:sz w:val="21"/>
                <w:lang w:eastAsia="zh-CN"/>
              </w:rPr>
              <w:t>21</w:t>
            </w:r>
            <w:r>
              <w:rPr>
                <w:rFonts w:ascii="Times New Roman" w:hAnsi="Times New Roman" w:cs="Times New Roman"/>
                <w:color w:val="auto"/>
                <w:sz w:val="21"/>
                <w:lang w:eastAsia="zh-CN"/>
              </w:rPr>
              <w:t>、HW22、HW23、HW3</w:t>
            </w:r>
            <w:r>
              <w:rPr>
                <w:rFonts w:hint="eastAsia" w:ascii="Times New Roman" w:hAnsi="Times New Roman" w:cs="Times New Roman"/>
                <w:color w:val="auto"/>
                <w:sz w:val="21"/>
                <w:lang w:eastAsia="zh-CN"/>
              </w:rPr>
              <w:t>2</w:t>
            </w:r>
            <w:r>
              <w:rPr>
                <w:rFonts w:ascii="Times New Roman" w:hAnsi="Times New Roman" w:cs="Times New Roman"/>
                <w:color w:val="auto"/>
                <w:sz w:val="21"/>
                <w:lang w:eastAsia="zh-CN"/>
              </w:rPr>
              <w:t>、HW34、HW35、HW3</w:t>
            </w:r>
            <w:r>
              <w:rPr>
                <w:rFonts w:hint="eastAsia" w:ascii="Times New Roman" w:hAnsi="Times New Roman" w:cs="Times New Roman"/>
                <w:color w:val="auto"/>
                <w:sz w:val="21"/>
                <w:lang w:eastAsia="zh-CN"/>
              </w:rPr>
              <w:t>7</w:t>
            </w:r>
            <w:r>
              <w:rPr>
                <w:rFonts w:ascii="Times New Roman" w:hAnsi="Times New Roman" w:cs="Times New Roman"/>
                <w:color w:val="auto"/>
                <w:sz w:val="21"/>
                <w:lang w:eastAsia="zh-CN"/>
              </w:rPr>
              <w:t>、HW3</w:t>
            </w:r>
            <w:r>
              <w:rPr>
                <w:rFonts w:hint="eastAsia" w:ascii="Times New Roman" w:hAnsi="Times New Roman" w:cs="Times New Roman"/>
                <w:color w:val="auto"/>
                <w:sz w:val="21"/>
                <w:lang w:eastAsia="zh-CN"/>
              </w:rPr>
              <w:t>8</w:t>
            </w:r>
            <w:r>
              <w:rPr>
                <w:rFonts w:ascii="Times New Roman" w:hAnsi="Times New Roman" w:cs="Times New Roman"/>
                <w:color w:val="auto"/>
                <w:sz w:val="21"/>
                <w:lang w:eastAsia="zh-CN"/>
              </w:rPr>
              <w:t>、HW3</w:t>
            </w:r>
            <w:r>
              <w:rPr>
                <w:rFonts w:hint="eastAsia" w:ascii="Times New Roman" w:hAnsi="Times New Roman" w:cs="Times New Roman"/>
                <w:color w:val="auto"/>
                <w:sz w:val="21"/>
                <w:lang w:eastAsia="zh-CN"/>
              </w:rPr>
              <w:t>9</w:t>
            </w:r>
            <w:r>
              <w:rPr>
                <w:rFonts w:ascii="Times New Roman" w:hAnsi="Times New Roman" w:cs="Times New Roman"/>
                <w:color w:val="auto"/>
                <w:sz w:val="21"/>
                <w:lang w:eastAsia="zh-CN"/>
              </w:rPr>
              <w:t>、HW</w:t>
            </w:r>
            <w:r>
              <w:rPr>
                <w:rFonts w:hint="eastAsia" w:ascii="Times New Roman" w:hAnsi="Times New Roman" w:cs="Times New Roman"/>
                <w:color w:val="auto"/>
                <w:sz w:val="21"/>
                <w:lang w:eastAsia="zh-CN"/>
              </w:rPr>
              <w:t>40</w:t>
            </w:r>
            <w:r>
              <w:rPr>
                <w:rFonts w:ascii="Times New Roman" w:hAnsi="Times New Roman" w:cs="Times New Roman"/>
                <w:color w:val="auto"/>
                <w:sz w:val="21"/>
                <w:lang w:eastAsia="zh-CN"/>
              </w:rPr>
              <w:t>、HW45、HW4</w:t>
            </w:r>
            <w:r>
              <w:rPr>
                <w:rFonts w:hint="eastAsia" w:ascii="Times New Roman" w:hAnsi="Times New Roman" w:cs="Times New Roman"/>
                <w:color w:val="auto"/>
                <w:sz w:val="21"/>
                <w:lang w:eastAsia="zh-CN"/>
              </w:rPr>
              <w:t>8</w:t>
            </w:r>
            <w:r>
              <w:rPr>
                <w:rFonts w:ascii="Times New Roman" w:hAnsi="Times New Roman" w:cs="Times New Roman"/>
                <w:color w:val="auto"/>
                <w:sz w:val="21"/>
                <w:lang w:eastAsia="zh-CN"/>
              </w:rPr>
              <w:t>、HW</w:t>
            </w:r>
            <w:r>
              <w:rPr>
                <w:rFonts w:hint="eastAsia" w:ascii="Times New Roman" w:hAnsi="Times New Roman" w:cs="Times New Roman"/>
                <w:color w:val="auto"/>
                <w:sz w:val="21"/>
                <w:lang w:eastAsia="zh-CN"/>
              </w:rPr>
              <w:t>49</w:t>
            </w:r>
          </w:p>
        </w:tc>
        <w:tc>
          <w:tcPr>
            <w:tcW w:w="993" w:type="dxa"/>
            <w:vAlign w:val="center"/>
          </w:tcPr>
          <w:p w14:paraId="505C0B85">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34012</w:t>
            </w:r>
            <w:r>
              <w:rPr>
                <w:rFonts w:hint="eastAsia" w:ascii="Times New Roman" w:hAnsi="Times New Roman" w:cs="Times New Roman"/>
                <w:color w:val="auto"/>
                <w:sz w:val="21"/>
                <w:lang w:eastAsia="zh-CN"/>
              </w:rPr>
              <w:t>2007</w:t>
            </w:r>
          </w:p>
        </w:tc>
        <w:tc>
          <w:tcPr>
            <w:tcW w:w="1030" w:type="dxa"/>
            <w:vAlign w:val="center"/>
          </w:tcPr>
          <w:p w14:paraId="7632D5D7">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202</w:t>
            </w:r>
            <w:r>
              <w:rPr>
                <w:rFonts w:hint="eastAsia" w:ascii="Times New Roman" w:hAnsi="Times New Roman" w:cs="Times New Roman"/>
                <w:color w:val="auto"/>
                <w:sz w:val="21"/>
                <w:lang w:eastAsia="zh-CN"/>
              </w:rPr>
              <w:t>5</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12</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30</w:t>
            </w:r>
          </w:p>
        </w:tc>
        <w:tc>
          <w:tcPr>
            <w:tcW w:w="954" w:type="dxa"/>
            <w:vAlign w:val="center"/>
          </w:tcPr>
          <w:p w14:paraId="174281DC">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20</w:t>
            </w:r>
            <w:r>
              <w:rPr>
                <w:rFonts w:hint="eastAsia" w:ascii="Times New Roman" w:hAnsi="Times New Roman" w:cs="Times New Roman"/>
                <w:color w:val="auto"/>
                <w:sz w:val="21"/>
                <w:lang w:eastAsia="zh-CN"/>
              </w:rPr>
              <w:t>30</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12</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29</w:t>
            </w:r>
          </w:p>
        </w:tc>
        <w:tc>
          <w:tcPr>
            <w:tcW w:w="1100" w:type="dxa"/>
            <w:vAlign w:val="center"/>
          </w:tcPr>
          <w:p w14:paraId="6D7C85FF">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HW</w:t>
            </w:r>
            <w:r>
              <w:rPr>
                <w:rFonts w:hint="eastAsia" w:ascii="Times New Roman" w:hAnsi="Times New Roman" w:cs="Times New Roman"/>
                <w:color w:val="auto"/>
                <w:sz w:val="21"/>
                <w:lang w:eastAsia="zh-CN"/>
              </w:rPr>
              <w:t>08</w:t>
            </w:r>
            <w:r>
              <w:rPr>
                <w:rFonts w:ascii="Times New Roman" w:hAnsi="Times New Roman" w:cs="Times New Roman"/>
                <w:color w:val="auto"/>
                <w:sz w:val="21"/>
                <w:lang w:eastAsia="zh-CN"/>
              </w:rPr>
              <w:t>、HW49</w:t>
            </w:r>
          </w:p>
        </w:tc>
      </w:tr>
      <w:tr w14:paraId="6427D9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07868EB0">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安徽创美环保科技有限公司</w:t>
            </w:r>
          </w:p>
        </w:tc>
        <w:tc>
          <w:tcPr>
            <w:tcW w:w="1276" w:type="dxa"/>
            <w:vAlign w:val="center"/>
          </w:tcPr>
          <w:p w14:paraId="501C9D20">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合肥市</w:t>
            </w:r>
            <w:r>
              <w:rPr>
                <w:rFonts w:hint="eastAsia" w:ascii="Times New Roman" w:hAnsi="Times New Roman" w:cs="Times New Roman"/>
                <w:color w:val="auto"/>
                <w:sz w:val="21"/>
                <w:lang w:eastAsia="zh-CN"/>
              </w:rPr>
              <w:t>肥西经济开发区</w:t>
            </w:r>
          </w:p>
        </w:tc>
        <w:tc>
          <w:tcPr>
            <w:tcW w:w="992" w:type="dxa"/>
            <w:vAlign w:val="center"/>
          </w:tcPr>
          <w:p w14:paraId="74C4AE63">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10000</w:t>
            </w:r>
          </w:p>
        </w:tc>
        <w:tc>
          <w:tcPr>
            <w:tcW w:w="2551" w:type="dxa"/>
            <w:vAlign w:val="center"/>
          </w:tcPr>
          <w:p w14:paraId="3862FD08">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HW02、HW03、HW04、HW05、HW06、HW08、HW09、HW11、HW12、HW13、HW14、HW1</w:t>
            </w:r>
            <w:r>
              <w:rPr>
                <w:rFonts w:hint="eastAsia" w:ascii="Times New Roman" w:hAnsi="Times New Roman" w:cs="Times New Roman"/>
                <w:color w:val="auto"/>
                <w:sz w:val="21"/>
                <w:lang w:eastAsia="zh-CN"/>
              </w:rPr>
              <w:t>6</w:t>
            </w:r>
            <w:r>
              <w:rPr>
                <w:rFonts w:ascii="Times New Roman" w:hAnsi="Times New Roman" w:cs="Times New Roman"/>
                <w:color w:val="auto"/>
                <w:sz w:val="21"/>
                <w:lang w:eastAsia="zh-CN"/>
              </w:rPr>
              <w:t>、HW17、HW22、HW23、HW</w:t>
            </w:r>
            <w:r>
              <w:rPr>
                <w:rFonts w:hint="eastAsia" w:ascii="Times New Roman" w:hAnsi="Times New Roman" w:cs="Times New Roman"/>
                <w:color w:val="auto"/>
                <w:sz w:val="21"/>
                <w:lang w:eastAsia="zh-CN"/>
              </w:rPr>
              <w:t>25</w:t>
            </w:r>
            <w:r>
              <w:rPr>
                <w:rFonts w:ascii="Times New Roman" w:hAnsi="Times New Roman" w:cs="Times New Roman"/>
                <w:color w:val="auto"/>
                <w:sz w:val="21"/>
                <w:lang w:eastAsia="zh-CN"/>
              </w:rPr>
              <w:t>、HW</w:t>
            </w:r>
            <w:r>
              <w:rPr>
                <w:rFonts w:hint="eastAsia" w:ascii="Times New Roman" w:hAnsi="Times New Roman" w:cs="Times New Roman"/>
                <w:color w:val="auto"/>
                <w:sz w:val="21"/>
                <w:lang w:eastAsia="zh-CN"/>
              </w:rPr>
              <w:t>29</w:t>
            </w:r>
            <w:r>
              <w:rPr>
                <w:rFonts w:ascii="Times New Roman" w:hAnsi="Times New Roman" w:cs="Times New Roman"/>
                <w:color w:val="auto"/>
                <w:sz w:val="21"/>
                <w:lang w:eastAsia="zh-CN"/>
              </w:rPr>
              <w:t>、HW3</w:t>
            </w:r>
            <w:r>
              <w:rPr>
                <w:rFonts w:hint="eastAsia" w:ascii="Times New Roman" w:hAnsi="Times New Roman" w:cs="Times New Roman"/>
                <w:color w:val="auto"/>
                <w:sz w:val="21"/>
                <w:lang w:eastAsia="zh-CN"/>
              </w:rPr>
              <w:t>1</w:t>
            </w:r>
            <w:r>
              <w:rPr>
                <w:rFonts w:ascii="Times New Roman" w:hAnsi="Times New Roman" w:cs="Times New Roman"/>
                <w:color w:val="auto"/>
                <w:sz w:val="21"/>
                <w:lang w:eastAsia="zh-CN"/>
              </w:rPr>
              <w:t>、HW3</w:t>
            </w:r>
            <w:r>
              <w:rPr>
                <w:rFonts w:hint="eastAsia" w:ascii="Times New Roman" w:hAnsi="Times New Roman" w:cs="Times New Roman"/>
                <w:color w:val="auto"/>
                <w:sz w:val="21"/>
                <w:lang w:eastAsia="zh-CN"/>
              </w:rPr>
              <w:t>4</w:t>
            </w:r>
            <w:r>
              <w:rPr>
                <w:rFonts w:ascii="Times New Roman" w:hAnsi="Times New Roman" w:cs="Times New Roman"/>
                <w:color w:val="auto"/>
                <w:sz w:val="21"/>
                <w:lang w:eastAsia="zh-CN"/>
              </w:rPr>
              <w:t>、HW3</w:t>
            </w:r>
            <w:r>
              <w:rPr>
                <w:rFonts w:hint="eastAsia" w:ascii="Times New Roman" w:hAnsi="Times New Roman" w:cs="Times New Roman"/>
                <w:color w:val="auto"/>
                <w:sz w:val="21"/>
                <w:lang w:eastAsia="zh-CN"/>
              </w:rPr>
              <w:t>5</w:t>
            </w:r>
            <w:r>
              <w:rPr>
                <w:rFonts w:ascii="Times New Roman" w:hAnsi="Times New Roman" w:cs="Times New Roman"/>
                <w:color w:val="auto"/>
                <w:sz w:val="21"/>
                <w:lang w:eastAsia="zh-CN"/>
              </w:rPr>
              <w:t>、HW3</w:t>
            </w:r>
            <w:r>
              <w:rPr>
                <w:rFonts w:hint="eastAsia" w:ascii="Times New Roman" w:hAnsi="Times New Roman" w:cs="Times New Roman"/>
                <w:color w:val="auto"/>
                <w:sz w:val="21"/>
                <w:lang w:eastAsia="zh-CN"/>
              </w:rPr>
              <w:t>6</w:t>
            </w:r>
            <w:r>
              <w:rPr>
                <w:rFonts w:ascii="Times New Roman" w:hAnsi="Times New Roman" w:cs="Times New Roman"/>
                <w:color w:val="auto"/>
                <w:sz w:val="21"/>
                <w:lang w:eastAsia="zh-CN"/>
              </w:rPr>
              <w:t>、HW</w:t>
            </w:r>
            <w:r>
              <w:rPr>
                <w:rFonts w:hint="eastAsia" w:ascii="Times New Roman" w:hAnsi="Times New Roman" w:cs="Times New Roman"/>
                <w:color w:val="auto"/>
                <w:sz w:val="21"/>
                <w:lang w:eastAsia="zh-CN"/>
              </w:rPr>
              <w:t>45</w:t>
            </w:r>
            <w:r>
              <w:rPr>
                <w:rFonts w:ascii="Times New Roman" w:hAnsi="Times New Roman" w:cs="Times New Roman"/>
                <w:color w:val="auto"/>
                <w:sz w:val="21"/>
                <w:lang w:eastAsia="zh-CN"/>
              </w:rPr>
              <w:t>、HW4</w:t>
            </w:r>
            <w:r>
              <w:rPr>
                <w:rFonts w:hint="eastAsia" w:ascii="Times New Roman" w:hAnsi="Times New Roman" w:cs="Times New Roman"/>
                <w:color w:val="auto"/>
                <w:sz w:val="21"/>
                <w:lang w:eastAsia="zh-CN"/>
              </w:rPr>
              <w:t>9</w:t>
            </w:r>
            <w:r>
              <w:rPr>
                <w:rFonts w:ascii="Times New Roman" w:hAnsi="Times New Roman" w:cs="Times New Roman"/>
                <w:color w:val="auto"/>
                <w:sz w:val="21"/>
                <w:lang w:eastAsia="zh-CN"/>
              </w:rPr>
              <w:t>、HW</w:t>
            </w:r>
            <w:r>
              <w:rPr>
                <w:rFonts w:hint="eastAsia" w:ascii="Times New Roman" w:hAnsi="Times New Roman" w:cs="Times New Roman"/>
                <w:color w:val="auto"/>
                <w:sz w:val="21"/>
                <w:lang w:eastAsia="zh-CN"/>
              </w:rPr>
              <w:t>50</w:t>
            </w:r>
          </w:p>
        </w:tc>
        <w:tc>
          <w:tcPr>
            <w:tcW w:w="993" w:type="dxa"/>
            <w:vAlign w:val="center"/>
          </w:tcPr>
          <w:p w14:paraId="4891F97E">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340123003</w:t>
            </w:r>
          </w:p>
        </w:tc>
        <w:tc>
          <w:tcPr>
            <w:tcW w:w="1030" w:type="dxa"/>
            <w:vAlign w:val="center"/>
          </w:tcPr>
          <w:p w14:paraId="231D2B98">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202</w:t>
            </w:r>
            <w:r>
              <w:rPr>
                <w:rFonts w:hint="eastAsia" w:ascii="Times New Roman" w:hAnsi="Times New Roman" w:cs="Times New Roman"/>
                <w:color w:val="auto"/>
                <w:sz w:val="21"/>
                <w:lang w:eastAsia="zh-CN"/>
              </w:rPr>
              <w:t>3</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8</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7</w:t>
            </w:r>
          </w:p>
        </w:tc>
        <w:tc>
          <w:tcPr>
            <w:tcW w:w="954" w:type="dxa"/>
            <w:vAlign w:val="center"/>
          </w:tcPr>
          <w:p w14:paraId="311E3160">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20</w:t>
            </w:r>
            <w:r>
              <w:rPr>
                <w:rFonts w:hint="eastAsia" w:ascii="Times New Roman" w:hAnsi="Times New Roman" w:cs="Times New Roman"/>
                <w:color w:val="auto"/>
                <w:sz w:val="21"/>
                <w:lang w:eastAsia="zh-CN"/>
              </w:rPr>
              <w:t>26</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8</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6</w:t>
            </w:r>
          </w:p>
        </w:tc>
        <w:tc>
          <w:tcPr>
            <w:tcW w:w="1100" w:type="dxa"/>
            <w:vAlign w:val="center"/>
          </w:tcPr>
          <w:p w14:paraId="6E58EA77">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HW</w:t>
            </w:r>
            <w:r>
              <w:rPr>
                <w:rFonts w:hint="eastAsia" w:ascii="Times New Roman" w:hAnsi="Times New Roman" w:cs="Times New Roman"/>
                <w:color w:val="auto"/>
                <w:sz w:val="21"/>
                <w:lang w:eastAsia="zh-CN"/>
              </w:rPr>
              <w:t>08</w:t>
            </w:r>
            <w:r>
              <w:rPr>
                <w:rFonts w:ascii="Times New Roman" w:hAnsi="Times New Roman" w:cs="Times New Roman"/>
                <w:color w:val="auto"/>
                <w:sz w:val="21"/>
                <w:lang w:eastAsia="zh-CN"/>
              </w:rPr>
              <w:t>、HW49</w:t>
            </w:r>
          </w:p>
        </w:tc>
      </w:tr>
      <w:tr w14:paraId="5D4B94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369BB69C">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蚌埠吉盛生态环境科技服务有限公司</w:t>
            </w:r>
          </w:p>
        </w:tc>
        <w:tc>
          <w:tcPr>
            <w:tcW w:w="1276" w:type="dxa"/>
            <w:vAlign w:val="center"/>
          </w:tcPr>
          <w:p w14:paraId="0EB94ED9">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蚌埠市淮上区</w:t>
            </w:r>
          </w:p>
        </w:tc>
        <w:tc>
          <w:tcPr>
            <w:tcW w:w="992" w:type="dxa"/>
            <w:vAlign w:val="center"/>
          </w:tcPr>
          <w:p w14:paraId="76129BF1">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w:t>
            </w:r>
            <w:r>
              <w:rPr>
                <w:rFonts w:hint="eastAsia" w:ascii="Times New Roman" w:hAnsi="Times New Roman" w:cs="Times New Roman"/>
                <w:color w:val="auto"/>
                <w:sz w:val="21"/>
                <w:lang w:eastAsia="zh-CN"/>
              </w:rPr>
              <w:t>700</w:t>
            </w:r>
            <w:r>
              <w:rPr>
                <w:rFonts w:ascii="Times New Roman" w:hAnsi="Times New Roman" w:cs="Times New Roman"/>
                <w:color w:val="auto"/>
                <w:sz w:val="21"/>
                <w:lang w:eastAsia="zh-CN"/>
              </w:rPr>
              <w:t>0</w:t>
            </w:r>
          </w:p>
        </w:tc>
        <w:tc>
          <w:tcPr>
            <w:tcW w:w="2551" w:type="dxa"/>
            <w:vAlign w:val="center"/>
          </w:tcPr>
          <w:p w14:paraId="5B76E400">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HW02、HW03、HW04、HW06、HW08、HW09、HW12、HW13、HW16、HW17、HW21、HW2</w:t>
            </w:r>
            <w:r>
              <w:rPr>
                <w:rFonts w:hint="eastAsia" w:ascii="Times New Roman" w:hAnsi="Times New Roman" w:cs="Times New Roman"/>
                <w:color w:val="auto"/>
                <w:sz w:val="21"/>
                <w:lang w:eastAsia="zh-CN"/>
              </w:rPr>
              <w:t>9</w:t>
            </w:r>
            <w:r>
              <w:rPr>
                <w:rFonts w:ascii="Times New Roman" w:hAnsi="Times New Roman" w:cs="Times New Roman"/>
                <w:color w:val="auto"/>
                <w:sz w:val="21"/>
                <w:lang w:eastAsia="zh-CN"/>
              </w:rPr>
              <w:t>、HW</w:t>
            </w:r>
            <w:r>
              <w:rPr>
                <w:rFonts w:hint="eastAsia" w:ascii="Times New Roman" w:hAnsi="Times New Roman" w:cs="Times New Roman"/>
                <w:color w:val="auto"/>
                <w:sz w:val="21"/>
                <w:lang w:eastAsia="zh-CN"/>
              </w:rPr>
              <w:t>31</w:t>
            </w:r>
            <w:r>
              <w:rPr>
                <w:rFonts w:ascii="Times New Roman" w:hAnsi="Times New Roman" w:cs="Times New Roman"/>
                <w:color w:val="auto"/>
                <w:sz w:val="21"/>
                <w:lang w:eastAsia="zh-CN"/>
              </w:rPr>
              <w:t>、HW</w:t>
            </w:r>
            <w:r>
              <w:rPr>
                <w:rFonts w:hint="eastAsia" w:ascii="Times New Roman" w:hAnsi="Times New Roman" w:cs="Times New Roman"/>
                <w:color w:val="auto"/>
                <w:sz w:val="21"/>
                <w:lang w:eastAsia="zh-CN"/>
              </w:rPr>
              <w:t>3</w:t>
            </w:r>
            <w:r>
              <w:rPr>
                <w:rFonts w:ascii="Times New Roman" w:hAnsi="Times New Roman" w:cs="Times New Roman"/>
                <w:color w:val="auto"/>
                <w:sz w:val="21"/>
                <w:lang w:eastAsia="zh-CN"/>
              </w:rPr>
              <w:t>4、HW</w:t>
            </w:r>
            <w:r>
              <w:rPr>
                <w:rFonts w:hint="eastAsia" w:ascii="Times New Roman" w:hAnsi="Times New Roman" w:cs="Times New Roman"/>
                <w:color w:val="auto"/>
                <w:sz w:val="21"/>
                <w:lang w:eastAsia="zh-CN"/>
              </w:rPr>
              <w:t>35</w:t>
            </w:r>
            <w:r>
              <w:rPr>
                <w:rFonts w:ascii="Times New Roman" w:hAnsi="Times New Roman" w:cs="Times New Roman"/>
                <w:color w:val="auto"/>
                <w:sz w:val="21"/>
                <w:lang w:eastAsia="zh-CN"/>
              </w:rPr>
              <w:t>、HW</w:t>
            </w:r>
            <w:r>
              <w:rPr>
                <w:rFonts w:hint="eastAsia" w:ascii="Times New Roman" w:hAnsi="Times New Roman" w:cs="Times New Roman"/>
                <w:color w:val="auto"/>
                <w:sz w:val="21"/>
                <w:lang w:eastAsia="zh-CN"/>
              </w:rPr>
              <w:t>36</w:t>
            </w:r>
            <w:r>
              <w:rPr>
                <w:rFonts w:ascii="Times New Roman" w:hAnsi="Times New Roman" w:cs="Times New Roman"/>
                <w:color w:val="auto"/>
                <w:sz w:val="21"/>
                <w:lang w:eastAsia="zh-CN"/>
              </w:rPr>
              <w:t>、HW</w:t>
            </w:r>
            <w:r>
              <w:rPr>
                <w:rFonts w:hint="eastAsia" w:ascii="Times New Roman" w:hAnsi="Times New Roman" w:cs="Times New Roman"/>
                <w:color w:val="auto"/>
                <w:sz w:val="21"/>
                <w:lang w:eastAsia="zh-CN"/>
              </w:rPr>
              <w:t>49</w:t>
            </w:r>
            <w:r>
              <w:rPr>
                <w:rFonts w:ascii="Times New Roman" w:hAnsi="Times New Roman" w:cs="Times New Roman"/>
                <w:color w:val="auto"/>
                <w:sz w:val="21"/>
                <w:lang w:eastAsia="zh-CN"/>
              </w:rPr>
              <w:t>、HW50</w:t>
            </w:r>
          </w:p>
        </w:tc>
        <w:tc>
          <w:tcPr>
            <w:tcW w:w="993" w:type="dxa"/>
            <w:vAlign w:val="center"/>
          </w:tcPr>
          <w:p w14:paraId="7B15C00B">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340</w:t>
            </w:r>
            <w:r>
              <w:rPr>
                <w:rFonts w:hint="eastAsia" w:ascii="Times New Roman" w:hAnsi="Times New Roman" w:cs="Times New Roman"/>
                <w:color w:val="auto"/>
                <w:sz w:val="21"/>
                <w:lang w:eastAsia="zh-CN"/>
              </w:rPr>
              <w:t>311006</w:t>
            </w:r>
          </w:p>
        </w:tc>
        <w:tc>
          <w:tcPr>
            <w:tcW w:w="1030" w:type="dxa"/>
            <w:vAlign w:val="center"/>
          </w:tcPr>
          <w:p w14:paraId="0C75635B">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202</w:t>
            </w:r>
            <w:r>
              <w:rPr>
                <w:rFonts w:hint="eastAsia" w:ascii="Times New Roman" w:hAnsi="Times New Roman" w:cs="Times New Roman"/>
                <w:color w:val="auto"/>
                <w:sz w:val="21"/>
                <w:lang w:eastAsia="zh-CN"/>
              </w:rPr>
              <w:t>5</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7</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21</w:t>
            </w:r>
          </w:p>
        </w:tc>
        <w:tc>
          <w:tcPr>
            <w:tcW w:w="954" w:type="dxa"/>
            <w:vAlign w:val="center"/>
          </w:tcPr>
          <w:p w14:paraId="0E714931">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202</w:t>
            </w:r>
            <w:r>
              <w:rPr>
                <w:rFonts w:hint="eastAsia" w:ascii="Times New Roman" w:hAnsi="Times New Roman" w:cs="Times New Roman"/>
                <w:color w:val="auto"/>
                <w:sz w:val="21"/>
                <w:lang w:eastAsia="zh-CN"/>
              </w:rPr>
              <w:t>8</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7</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20</w:t>
            </w:r>
          </w:p>
        </w:tc>
        <w:tc>
          <w:tcPr>
            <w:tcW w:w="1100" w:type="dxa"/>
            <w:vAlign w:val="center"/>
          </w:tcPr>
          <w:p w14:paraId="2B1199F2">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HW</w:t>
            </w:r>
            <w:r>
              <w:rPr>
                <w:rFonts w:hint="eastAsia" w:ascii="Times New Roman" w:hAnsi="Times New Roman" w:cs="Times New Roman"/>
                <w:color w:val="auto"/>
                <w:sz w:val="21"/>
                <w:lang w:eastAsia="zh-CN"/>
              </w:rPr>
              <w:t>08</w:t>
            </w:r>
            <w:r>
              <w:rPr>
                <w:rFonts w:ascii="Times New Roman" w:hAnsi="Times New Roman" w:cs="Times New Roman"/>
                <w:color w:val="auto"/>
                <w:sz w:val="21"/>
                <w:lang w:eastAsia="zh-CN"/>
              </w:rPr>
              <w:t>、HW49</w:t>
            </w:r>
          </w:p>
        </w:tc>
      </w:tr>
      <w:tr w14:paraId="4562A5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54B9BCB0">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合肥莘辉环保科技有限公司</w:t>
            </w:r>
          </w:p>
        </w:tc>
        <w:tc>
          <w:tcPr>
            <w:tcW w:w="1276" w:type="dxa"/>
            <w:vAlign w:val="center"/>
          </w:tcPr>
          <w:p w14:paraId="74889D14">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合肥市新站区</w:t>
            </w:r>
          </w:p>
        </w:tc>
        <w:tc>
          <w:tcPr>
            <w:tcW w:w="992" w:type="dxa"/>
            <w:vAlign w:val="center"/>
          </w:tcPr>
          <w:p w14:paraId="37FEECBF">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10000</w:t>
            </w:r>
          </w:p>
        </w:tc>
        <w:tc>
          <w:tcPr>
            <w:tcW w:w="2551" w:type="dxa"/>
            <w:vAlign w:val="center"/>
          </w:tcPr>
          <w:p w14:paraId="49CD2531">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HW02、HW03、HW04、HW05、HW06、HW08、HW09、HW11、HW12、HW13、HW16、HW17、HW21、HW22、HW23、HW29、HW31、HW32、HW34、HW35、HW36、HW45、HW46、HW49、HW50</w:t>
            </w:r>
          </w:p>
        </w:tc>
        <w:tc>
          <w:tcPr>
            <w:tcW w:w="993" w:type="dxa"/>
            <w:vAlign w:val="center"/>
          </w:tcPr>
          <w:p w14:paraId="5E189F6B">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340107006</w:t>
            </w:r>
          </w:p>
        </w:tc>
        <w:tc>
          <w:tcPr>
            <w:tcW w:w="1030" w:type="dxa"/>
            <w:vAlign w:val="center"/>
          </w:tcPr>
          <w:p w14:paraId="71A8A4CF">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2024/6/28</w:t>
            </w:r>
          </w:p>
        </w:tc>
        <w:tc>
          <w:tcPr>
            <w:tcW w:w="954" w:type="dxa"/>
            <w:vAlign w:val="center"/>
          </w:tcPr>
          <w:p w14:paraId="6DC78A57">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2027/6/27</w:t>
            </w:r>
          </w:p>
        </w:tc>
        <w:tc>
          <w:tcPr>
            <w:tcW w:w="1100" w:type="dxa"/>
            <w:vAlign w:val="center"/>
          </w:tcPr>
          <w:p w14:paraId="1B13103D">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HW06、HW11、HW49、HW</w:t>
            </w:r>
            <w:r>
              <w:rPr>
                <w:rFonts w:hint="eastAsia" w:ascii="Times New Roman" w:hAnsi="Times New Roman" w:cs="Times New Roman"/>
                <w:color w:val="auto"/>
                <w:sz w:val="21"/>
                <w:lang w:eastAsia="zh-CN"/>
              </w:rPr>
              <w:t>45</w:t>
            </w:r>
          </w:p>
        </w:tc>
      </w:tr>
    </w:tbl>
    <w:p w14:paraId="4A0B6F07">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综上所述，本评价认为，在落实上述危险废物管理要求后，拟建项目产生的危险废物从收集、转运、运输、处理处置环节均可以得到有效的控制，能够确保妥善处置，不会对区域环境造成较大不利影响。</w:t>
      </w:r>
    </w:p>
    <w:p w14:paraId="799D875E">
      <w:pPr>
        <w:spacing w:line="360" w:lineRule="auto"/>
        <w:ind w:firstLine="562"/>
        <w:jc w:val="both"/>
        <w:outlineLvl w:val="1"/>
        <w:rPr>
          <w:rFonts w:ascii="Times New Roman" w:hAnsi="Times New Roman" w:cs="Times New Roman"/>
          <w:b/>
          <w:bCs/>
          <w:color w:val="auto"/>
          <w:sz w:val="28"/>
          <w:szCs w:val="28"/>
          <w:lang w:eastAsia="zh-CN"/>
        </w:rPr>
      </w:pPr>
      <w:bookmarkStart w:id="1695" w:name="_Toc237508348"/>
      <w:r>
        <w:rPr>
          <w:rFonts w:hint="eastAsia" w:ascii="Times New Roman" w:hAnsi="Times New Roman" w:cs="Times New Roman"/>
          <w:b/>
          <w:bCs/>
          <w:color w:val="auto"/>
          <w:sz w:val="28"/>
          <w:szCs w:val="28"/>
          <w:lang w:eastAsia="zh-CN"/>
        </w:rPr>
        <w:t>6</w:t>
      </w:r>
      <w:r>
        <w:rPr>
          <w:rFonts w:ascii="Times New Roman" w:hAnsi="Times New Roman" w:cs="Times New Roman"/>
          <w:b/>
          <w:bCs/>
          <w:color w:val="auto"/>
          <w:sz w:val="28"/>
          <w:szCs w:val="28"/>
          <w:lang w:eastAsia="zh-CN"/>
        </w:rPr>
        <w:t>.</w:t>
      </w:r>
      <w:r>
        <w:rPr>
          <w:rFonts w:hint="eastAsia" w:ascii="Times New Roman" w:hAnsi="Times New Roman" w:cs="Times New Roman"/>
          <w:b/>
          <w:bCs/>
          <w:color w:val="auto"/>
          <w:sz w:val="28"/>
          <w:szCs w:val="28"/>
          <w:lang w:eastAsia="zh-CN"/>
        </w:rPr>
        <w:t>7</w:t>
      </w:r>
      <w:r>
        <w:rPr>
          <w:rFonts w:ascii="Times New Roman" w:hAnsi="Times New Roman" w:cs="Times New Roman"/>
          <w:b/>
          <w:bCs/>
          <w:color w:val="auto"/>
          <w:sz w:val="28"/>
          <w:szCs w:val="28"/>
          <w:lang w:eastAsia="zh-CN"/>
        </w:rPr>
        <w:t xml:space="preserve"> </w:t>
      </w:r>
      <w:r>
        <w:rPr>
          <w:rFonts w:hint="eastAsia" w:ascii="Times New Roman" w:hAnsi="Times New Roman" w:cs="Times New Roman"/>
          <w:b/>
          <w:bCs/>
          <w:color w:val="auto"/>
          <w:sz w:val="28"/>
          <w:szCs w:val="28"/>
          <w:lang w:eastAsia="zh-CN"/>
        </w:rPr>
        <w:t>运营期土壤环境影响分析</w:t>
      </w:r>
      <w:bookmarkEnd w:id="1695"/>
    </w:p>
    <w:p w14:paraId="64A6715B">
      <w:pPr>
        <w:widowControl w:val="0"/>
        <w:spacing w:line="360" w:lineRule="auto"/>
        <w:ind w:firstLine="482"/>
        <w:jc w:val="both"/>
        <w:outlineLvl w:val="2"/>
        <w:rPr>
          <w:rFonts w:ascii="Times New Roman" w:hAnsi="Times New Roman" w:eastAsia="新宋体" w:cs="Times New Roman"/>
          <w:b/>
          <w:bCs/>
          <w:color w:val="auto"/>
          <w:szCs w:val="24"/>
          <w:lang w:eastAsia="zh-CN"/>
        </w:rPr>
      </w:pPr>
      <w:bookmarkStart w:id="1696" w:name="_Toc203927057"/>
      <w:bookmarkStart w:id="1697" w:name="_Toc224674754"/>
      <w:bookmarkStart w:id="1698" w:name="_Toc225784115"/>
      <w:bookmarkStart w:id="1699" w:name="_Toc204515258"/>
      <w:bookmarkStart w:id="1700" w:name="_Toc176513064"/>
      <w:bookmarkStart w:id="1701" w:name="_Toc175164329"/>
      <w:bookmarkStart w:id="1702" w:name="_Toc236641367"/>
      <w:bookmarkStart w:id="1703" w:name="_Toc221900896"/>
      <w:bookmarkStart w:id="1704" w:name="_Toc204448523"/>
      <w:bookmarkStart w:id="1705" w:name="_Toc178602405"/>
      <w:bookmarkStart w:id="1706" w:name="_Toc237508349"/>
      <w:bookmarkStart w:id="1707" w:name="_Toc172555700"/>
      <w:bookmarkStart w:id="1708" w:name="_Toc223425114"/>
      <w:bookmarkStart w:id="1709" w:name="_Toc173740334"/>
      <w:bookmarkStart w:id="1710" w:name="_Toc231828636"/>
      <w:bookmarkStart w:id="1711" w:name="_Toc236641884"/>
      <w:bookmarkStart w:id="1712" w:name="_Toc173743438"/>
      <w:bookmarkStart w:id="1713" w:name="_Toc218784339"/>
      <w:r>
        <w:rPr>
          <w:rFonts w:ascii="Times New Roman" w:hAnsi="Times New Roman" w:eastAsia="新宋体" w:cs="Times New Roman"/>
          <w:b/>
          <w:bCs/>
          <w:color w:val="auto"/>
          <w:szCs w:val="24"/>
          <w:lang w:eastAsia="zh-CN"/>
        </w:rPr>
        <w:t>6.7.1 土壤评价等级</w:t>
      </w:r>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r>
        <w:rPr>
          <w:rFonts w:ascii="Times New Roman" w:hAnsi="Times New Roman" w:eastAsia="新宋体" w:cs="Times New Roman"/>
          <w:b/>
          <w:bCs/>
          <w:color w:val="auto"/>
          <w:szCs w:val="24"/>
          <w:lang w:eastAsia="zh-CN"/>
        </w:rPr>
        <w:t xml:space="preserve"> </w:t>
      </w:r>
    </w:p>
    <w:p w14:paraId="6057ACAA">
      <w:pPr>
        <w:widowControl w:val="0"/>
        <w:spacing w:line="360" w:lineRule="auto"/>
        <w:ind w:firstLine="480" w:firstLineChars="200"/>
        <w:jc w:val="both"/>
        <w:rPr>
          <w:rFonts w:ascii="Times New Roman" w:hAnsi="Times New Roman" w:eastAsia="新宋体" w:cs="Times New Roman"/>
          <w:color w:val="auto"/>
          <w:szCs w:val="24"/>
          <w:lang w:eastAsia="zh-CN"/>
        </w:rPr>
      </w:pPr>
      <w:bookmarkStart w:id="1714" w:name="_Toc20444"/>
      <w:r>
        <w:rPr>
          <w:rFonts w:ascii="Times New Roman" w:hAnsi="Times New Roman" w:eastAsia="新宋体" w:cs="Times New Roman"/>
          <w:color w:val="auto"/>
          <w:szCs w:val="24"/>
          <w:lang w:eastAsia="zh-CN"/>
        </w:rPr>
        <w:t>（1）影响类型</w:t>
      </w:r>
      <w:bookmarkEnd w:id="1714"/>
    </w:p>
    <w:p w14:paraId="1E87D239">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根据（HJ964-2018），拟建项目属于土壤污染影响型建设项目。</w:t>
      </w:r>
    </w:p>
    <w:p w14:paraId="5B988DBA">
      <w:pPr>
        <w:widowControl w:val="0"/>
        <w:spacing w:line="360" w:lineRule="auto"/>
        <w:ind w:left="480"/>
        <w:jc w:val="both"/>
        <w:rPr>
          <w:rFonts w:ascii="Times New Roman" w:hAnsi="Times New Roman" w:eastAsia="新宋体" w:cs="Times New Roman"/>
          <w:color w:val="auto"/>
          <w:szCs w:val="24"/>
          <w:lang w:eastAsia="zh-CN"/>
        </w:rPr>
      </w:pPr>
      <w:bookmarkStart w:id="1715" w:name="_Toc28234"/>
      <w:r>
        <w:rPr>
          <w:rFonts w:hint="eastAsia" w:ascii="Times New Roman" w:hAnsi="Times New Roman" w:eastAsia="新宋体" w:cs="Times New Roman"/>
          <w:color w:val="auto"/>
          <w:szCs w:val="24"/>
          <w:lang w:eastAsia="zh-CN"/>
        </w:rPr>
        <w:t>（2）</w:t>
      </w:r>
      <w:r>
        <w:rPr>
          <w:rFonts w:ascii="Times New Roman" w:hAnsi="Times New Roman" w:eastAsia="新宋体" w:cs="Times New Roman"/>
          <w:color w:val="auto"/>
          <w:szCs w:val="24"/>
          <w:lang w:eastAsia="zh-CN"/>
        </w:rPr>
        <w:t>项目类别</w:t>
      </w:r>
      <w:bookmarkEnd w:id="1715"/>
    </w:p>
    <w:p w14:paraId="0681FB2E">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根据《国民经济行业分类》（GB/T 4754-2017）及分类注释，项目产品为</w:t>
      </w:r>
      <w:r>
        <w:rPr>
          <w:rFonts w:hint="eastAsia" w:ascii="Times New Roman" w:hAnsi="Times New Roman" w:cs="Times New Roman"/>
          <w:color w:val="auto"/>
          <w:lang w:eastAsia="zh-CN"/>
        </w:rPr>
        <w:t>化学纯氢氟酸以及刻蚀液</w:t>
      </w:r>
      <w:r>
        <w:rPr>
          <w:rFonts w:ascii="Times New Roman" w:hAnsi="Times New Roman" w:cs="Times New Roman"/>
          <w:color w:val="auto"/>
          <w:lang w:eastAsia="zh-CN"/>
        </w:rPr>
        <w:t>，属于</w:t>
      </w:r>
      <w:r>
        <w:rPr>
          <w:rFonts w:hint="eastAsia" w:ascii="Times New Roman" w:hAnsi="Times New Roman" w:cs="Times New Roman"/>
          <w:color w:val="auto"/>
          <w:lang w:eastAsia="zh-CN"/>
        </w:rPr>
        <w:t>C2669其他专用化学产品制造、C3985电子专用材料制造</w:t>
      </w:r>
      <w:r>
        <w:rPr>
          <w:rFonts w:ascii="Times New Roman" w:hAnsi="Times New Roman" w:cs="Times New Roman"/>
          <w:color w:val="auto"/>
          <w:lang w:eastAsia="zh-CN"/>
        </w:rPr>
        <w:t>，根据《环境影响评价技术导则 土壤环境（试行）》（HJ 964-2019）附录 A ，拟建项目项目类别为Ⅰ类。</w:t>
      </w:r>
    </w:p>
    <w:p w14:paraId="438DC8AF">
      <w:pPr>
        <w:widowControl w:val="0"/>
        <w:spacing w:line="360" w:lineRule="auto"/>
        <w:ind w:left="480"/>
        <w:jc w:val="both"/>
        <w:rPr>
          <w:rFonts w:ascii="Times New Roman" w:hAnsi="Times New Roman" w:eastAsia="新宋体" w:cs="Times New Roman"/>
          <w:color w:val="auto"/>
          <w:szCs w:val="24"/>
          <w:lang w:eastAsia="zh-CN"/>
        </w:rPr>
      </w:pPr>
      <w:bookmarkStart w:id="1716" w:name="_Toc26222"/>
      <w:r>
        <w:rPr>
          <w:rFonts w:hint="eastAsia" w:ascii="Times New Roman" w:hAnsi="Times New Roman" w:eastAsia="新宋体" w:cs="Times New Roman"/>
          <w:color w:val="auto"/>
          <w:szCs w:val="24"/>
          <w:lang w:eastAsia="zh-CN"/>
        </w:rPr>
        <w:t>（3）</w:t>
      </w:r>
      <w:r>
        <w:rPr>
          <w:rFonts w:ascii="Times New Roman" w:hAnsi="Times New Roman" w:eastAsia="新宋体" w:cs="Times New Roman"/>
          <w:color w:val="auto"/>
          <w:szCs w:val="24"/>
          <w:lang w:eastAsia="zh-CN"/>
        </w:rPr>
        <w:t>占地规模</w:t>
      </w:r>
      <w:bookmarkEnd w:id="1716"/>
    </w:p>
    <w:p w14:paraId="3158CB86">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根据（HJ964</w:t>
      </w:r>
      <w:r>
        <w:rPr>
          <w:rFonts w:hint="eastAsia" w:ascii="Times New Roman" w:hAnsi="Times New Roman" w:eastAsia="新宋体" w:cs="Times New Roman"/>
          <w:color w:val="auto"/>
          <w:szCs w:val="24"/>
          <w:lang w:eastAsia="zh-CN"/>
        </w:rPr>
        <w:t>-</w:t>
      </w:r>
      <w:r>
        <w:rPr>
          <w:rFonts w:ascii="Times New Roman" w:hAnsi="Times New Roman" w:eastAsia="新宋体" w:cs="Times New Roman"/>
          <w:color w:val="auto"/>
          <w:szCs w:val="24"/>
          <w:lang w:eastAsia="zh-CN"/>
        </w:rPr>
        <w:t>2018），将建设项目占地规模分为大型（≥50hm</w:t>
      </w:r>
      <w:r>
        <w:rPr>
          <w:rFonts w:ascii="Times New Roman" w:hAnsi="Times New Roman" w:eastAsia="新宋体" w:cs="Times New Roman"/>
          <w:color w:val="auto"/>
          <w:szCs w:val="24"/>
          <w:vertAlign w:val="superscript"/>
          <w:lang w:eastAsia="zh-CN"/>
        </w:rPr>
        <w:t>2</w:t>
      </w:r>
      <w:r>
        <w:rPr>
          <w:rFonts w:ascii="Times New Roman" w:hAnsi="Times New Roman" w:eastAsia="新宋体" w:cs="Times New Roman"/>
          <w:color w:val="auto"/>
          <w:szCs w:val="24"/>
          <w:lang w:eastAsia="zh-CN"/>
        </w:rPr>
        <w:t>）、中型（5</w:t>
      </w:r>
      <w:r>
        <w:rPr>
          <w:rFonts w:hint="eastAsia" w:ascii="Times New Roman" w:hAnsi="Times New Roman" w:eastAsia="新宋体" w:cs="Times New Roman"/>
          <w:color w:val="auto"/>
          <w:szCs w:val="24"/>
          <w:lang w:eastAsia="zh-CN"/>
        </w:rPr>
        <w:t>～</w:t>
      </w:r>
      <w:r>
        <w:rPr>
          <w:rFonts w:ascii="Times New Roman" w:hAnsi="Times New Roman" w:eastAsia="新宋体" w:cs="Times New Roman"/>
          <w:color w:val="auto"/>
          <w:szCs w:val="24"/>
          <w:lang w:eastAsia="zh-CN"/>
        </w:rPr>
        <w:t>50hm</w:t>
      </w:r>
      <w:r>
        <w:rPr>
          <w:rFonts w:ascii="Times New Roman" w:hAnsi="Times New Roman" w:eastAsia="新宋体" w:cs="Times New Roman"/>
          <w:color w:val="auto"/>
          <w:szCs w:val="24"/>
          <w:vertAlign w:val="superscript"/>
          <w:lang w:eastAsia="zh-CN"/>
        </w:rPr>
        <w:t>2</w:t>
      </w:r>
      <w:r>
        <w:rPr>
          <w:rFonts w:ascii="Times New Roman" w:hAnsi="Times New Roman" w:eastAsia="新宋体" w:cs="Times New Roman"/>
          <w:color w:val="auto"/>
          <w:szCs w:val="24"/>
          <w:lang w:eastAsia="zh-CN"/>
        </w:rPr>
        <w:t>）、 小型（≤5hm</w:t>
      </w:r>
      <w:r>
        <w:rPr>
          <w:rFonts w:ascii="Times New Roman" w:hAnsi="Times New Roman" w:eastAsia="新宋体" w:cs="Times New Roman"/>
          <w:color w:val="auto"/>
          <w:szCs w:val="24"/>
          <w:vertAlign w:val="superscript"/>
          <w:lang w:eastAsia="zh-CN"/>
        </w:rPr>
        <w:t>2</w:t>
      </w:r>
      <w:r>
        <w:rPr>
          <w:rFonts w:ascii="Times New Roman" w:hAnsi="Times New Roman" w:eastAsia="新宋体" w:cs="Times New Roman"/>
          <w:color w:val="auto"/>
          <w:szCs w:val="24"/>
          <w:lang w:eastAsia="zh-CN"/>
        </w:rPr>
        <w:t>），建设项目占地主要为永久占地。</w:t>
      </w:r>
    </w:p>
    <w:p w14:paraId="3684A760">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eastAsia="新宋体" w:cs="Times New Roman"/>
          <w:color w:val="auto"/>
          <w:szCs w:val="24"/>
          <w:lang w:eastAsia="zh-CN"/>
        </w:rPr>
        <w:t>项目厂区总占地面积为</w:t>
      </w:r>
      <w:r>
        <w:rPr>
          <w:rFonts w:hint="eastAsia" w:ascii="Times New Roman" w:hAnsi="Times New Roman" w:cs="Times New Roman"/>
          <w:color w:val="auto"/>
          <w:szCs w:val="24"/>
          <w:lang w:eastAsia="zh-CN"/>
        </w:rPr>
        <w:t>36566.12</w:t>
      </w:r>
      <w:r>
        <w:rPr>
          <w:rFonts w:ascii="Times New Roman" w:hAnsi="Times New Roman" w:cs="Times New Roman"/>
          <w:color w:val="auto"/>
          <w:szCs w:val="24"/>
          <w:lang w:eastAsia="zh-CN"/>
        </w:rPr>
        <w:t>m</w:t>
      </w:r>
      <w:r>
        <w:rPr>
          <w:rFonts w:ascii="Times New Roman" w:hAnsi="Times New Roman" w:cs="Times New Roman"/>
          <w:color w:val="auto"/>
          <w:szCs w:val="24"/>
          <w:vertAlign w:val="superscript"/>
          <w:lang w:eastAsia="zh-CN"/>
        </w:rPr>
        <w:t>2</w:t>
      </w:r>
      <w:r>
        <w:rPr>
          <w:rFonts w:ascii="Times New Roman" w:hAnsi="Times New Roman" w:cs="Times New Roman"/>
          <w:color w:val="auto"/>
          <w:szCs w:val="24"/>
          <w:lang w:eastAsia="zh-CN"/>
        </w:rPr>
        <w:t>，</w:t>
      </w:r>
      <w:r>
        <w:rPr>
          <w:rFonts w:hint="eastAsia" w:ascii="Times New Roman" w:hAnsi="Times New Roman" w:cs="Times New Roman"/>
          <w:color w:val="auto"/>
          <w:lang w:eastAsia="zh-CN"/>
        </w:rPr>
        <w:t>3.6566</w:t>
      </w:r>
      <w:r>
        <w:rPr>
          <w:rFonts w:ascii="Times New Roman" w:hAnsi="Times New Roman" w:cs="Times New Roman"/>
          <w:color w:val="auto"/>
          <w:lang w:eastAsia="zh-CN"/>
        </w:rPr>
        <w:t>hm</w:t>
      </w:r>
      <w:r>
        <w:rPr>
          <w:rFonts w:ascii="Times New Roman" w:hAnsi="Times New Roman" w:cs="Times New Roman"/>
          <w:color w:val="auto"/>
          <w:vertAlign w:val="superscript"/>
          <w:lang w:eastAsia="zh-CN"/>
        </w:rPr>
        <w:t>2</w:t>
      </w:r>
      <w:r>
        <w:rPr>
          <w:rFonts w:ascii="Times New Roman" w:hAnsi="Times New Roman" w:cs="Times New Roman"/>
          <w:color w:val="auto"/>
          <w:lang w:eastAsia="zh-CN"/>
        </w:rPr>
        <w:t>，</w:t>
      </w:r>
      <w:r>
        <w:rPr>
          <w:rFonts w:ascii="Times New Roman" w:hAnsi="Times New Roman" w:eastAsia="新宋体" w:cs="Times New Roman"/>
          <w:color w:val="auto"/>
          <w:szCs w:val="24"/>
          <w:lang w:eastAsia="zh-CN"/>
        </w:rPr>
        <w:t>可据此判断属于小型建设项目。</w:t>
      </w:r>
    </w:p>
    <w:p w14:paraId="1A15E398">
      <w:pPr>
        <w:widowControl w:val="0"/>
        <w:spacing w:line="360" w:lineRule="auto"/>
        <w:ind w:firstLine="480" w:firstLineChars="200"/>
        <w:jc w:val="both"/>
        <w:rPr>
          <w:rFonts w:ascii="Times New Roman" w:hAnsi="Times New Roman" w:eastAsia="新宋体" w:cs="Times New Roman"/>
          <w:color w:val="auto"/>
          <w:szCs w:val="24"/>
          <w:lang w:eastAsia="zh-CN"/>
        </w:rPr>
      </w:pPr>
      <w:bookmarkStart w:id="1717" w:name="_Toc15974"/>
      <w:r>
        <w:rPr>
          <w:rFonts w:ascii="Times New Roman" w:hAnsi="Times New Roman" w:eastAsia="新宋体" w:cs="Times New Roman"/>
          <w:color w:val="auto"/>
          <w:szCs w:val="24"/>
          <w:lang w:eastAsia="zh-CN"/>
        </w:rPr>
        <w:t>（4）敏感程度</w:t>
      </w:r>
      <w:bookmarkEnd w:id="1717"/>
    </w:p>
    <w:p w14:paraId="54C91044">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根据（HJ964</w:t>
      </w:r>
      <w:r>
        <w:rPr>
          <w:rFonts w:hint="eastAsia" w:ascii="Times New Roman" w:hAnsi="Times New Roman" w:eastAsia="新宋体" w:cs="Times New Roman"/>
          <w:color w:val="auto"/>
          <w:szCs w:val="24"/>
          <w:lang w:eastAsia="zh-CN"/>
        </w:rPr>
        <w:t>-</w:t>
      </w:r>
      <w:r>
        <w:rPr>
          <w:rFonts w:ascii="Times New Roman" w:hAnsi="Times New Roman" w:eastAsia="新宋体" w:cs="Times New Roman"/>
          <w:color w:val="auto"/>
          <w:szCs w:val="24"/>
          <w:lang w:eastAsia="zh-CN"/>
        </w:rPr>
        <w:t>2018），拟建项目属于土壤污染影响型建设项目，项目所在地周边的土壤敏感程度分为敏感、较敏感、不敏感，判别依据见表6.7-1。</w:t>
      </w:r>
    </w:p>
    <w:p w14:paraId="4081D692">
      <w:pPr>
        <w:widowControl w:val="0"/>
        <w:spacing w:line="360" w:lineRule="auto"/>
        <w:jc w:val="center"/>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表6.7-1 污染影响型敏感程度分级表</w:t>
      </w:r>
    </w:p>
    <w:tbl>
      <w:tblPr>
        <w:tblStyle w:val="3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8494"/>
      </w:tblGrid>
      <w:tr w14:paraId="01377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34" w:type="dxa"/>
            <w:tcBorders>
              <w:top w:val="single" w:color="auto" w:sz="12" w:space="0"/>
              <w:left w:val="nil"/>
            </w:tcBorders>
            <w:vAlign w:val="center"/>
          </w:tcPr>
          <w:p w14:paraId="50117F06">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敏感程度</w:t>
            </w:r>
          </w:p>
        </w:tc>
        <w:tc>
          <w:tcPr>
            <w:tcW w:w="8499" w:type="dxa"/>
            <w:tcBorders>
              <w:top w:val="single" w:color="auto" w:sz="12" w:space="0"/>
              <w:right w:val="nil"/>
            </w:tcBorders>
            <w:vAlign w:val="center"/>
          </w:tcPr>
          <w:p w14:paraId="4A42D6CE">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判别依据</w:t>
            </w:r>
          </w:p>
        </w:tc>
      </w:tr>
      <w:tr w14:paraId="4CFD9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34" w:type="dxa"/>
            <w:tcBorders>
              <w:left w:val="nil"/>
            </w:tcBorders>
            <w:shd w:val="clear" w:color="auto" w:fill="BEBEBE" w:themeFill="background1" w:themeFillShade="BF"/>
            <w:vAlign w:val="center"/>
          </w:tcPr>
          <w:p w14:paraId="48D9109F">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敏感</w:t>
            </w:r>
          </w:p>
        </w:tc>
        <w:tc>
          <w:tcPr>
            <w:tcW w:w="8499" w:type="dxa"/>
            <w:tcBorders>
              <w:right w:val="nil"/>
            </w:tcBorders>
            <w:shd w:val="clear" w:color="auto" w:fill="BEBEBE" w:themeFill="background1" w:themeFillShade="BF"/>
            <w:vAlign w:val="center"/>
          </w:tcPr>
          <w:p w14:paraId="4A5F81A6">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建设项目周边存在耕地、园地、牧草地、饮用水水源地或居民区、学校、医院、疗养院、养老院等土壤环境敏感目标的</w:t>
            </w:r>
          </w:p>
        </w:tc>
      </w:tr>
      <w:tr w14:paraId="129C2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34" w:type="dxa"/>
            <w:tcBorders>
              <w:left w:val="nil"/>
            </w:tcBorders>
            <w:vAlign w:val="center"/>
          </w:tcPr>
          <w:p w14:paraId="3700FF19">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较敏感</w:t>
            </w:r>
          </w:p>
        </w:tc>
        <w:tc>
          <w:tcPr>
            <w:tcW w:w="8499" w:type="dxa"/>
            <w:tcBorders>
              <w:right w:val="nil"/>
            </w:tcBorders>
            <w:vAlign w:val="center"/>
          </w:tcPr>
          <w:p w14:paraId="3C4733D4">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建设项目周边存在其他土壤环境敏感目标的</w:t>
            </w:r>
          </w:p>
        </w:tc>
      </w:tr>
      <w:tr w14:paraId="473D5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34" w:type="dxa"/>
            <w:tcBorders>
              <w:left w:val="nil"/>
              <w:bottom w:val="single" w:color="auto" w:sz="12" w:space="0"/>
            </w:tcBorders>
            <w:vAlign w:val="center"/>
          </w:tcPr>
          <w:p w14:paraId="0C5F28FC">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不敏感</w:t>
            </w:r>
          </w:p>
        </w:tc>
        <w:tc>
          <w:tcPr>
            <w:tcW w:w="8499" w:type="dxa"/>
            <w:tcBorders>
              <w:bottom w:val="single" w:color="auto" w:sz="12" w:space="0"/>
              <w:right w:val="nil"/>
            </w:tcBorders>
            <w:vAlign w:val="center"/>
          </w:tcPr>
          <w:p w14:paraId="39B3F150">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其他情况</w:t>
            </w:r>
          </w:p>
        </w:tc>
      </w:tr>
    </w:tbl>
    <w:p w14:paraId="16938499">
      <w:pPr>
        <w:widowControl w:val="0"/>
        <w:spacing w:line="360" w:lineRule="auto"/>
        <w:ind w:firstLine="480" w:firstLineChars="200"/>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根据现场实际调查，</w:t>
      </w:r>
      <w:r>
        <w:rPr>
          <w:rFonts w:hint="eastAsia" w:ascii="Times New Roman" w:hAnsi="Times New Roman" w:eastAsia="新宋体" w:cs="Times New Roman"/>
          <w:color w:val="auto"/>
          <w:szCs w:val="24"/>
          <w:lang w:eastAsia="zh-CN"/>
        </w:rPr>
        <w:t>本项目厂界外北侧430m处存在土壤环境保护目标耕地，厂界外东北侧760m处存在土壤环境保护目标居民区大柏村，</w:t>
      </w:r>
      <w:r>
        <w:rPr>
          <w:rFonts w:ascii="Times New Roman" w:hAnsi="Times New Roman" w:eastAsia="新宋体" w:cs="Times New Roman"/>
          <w:color w:val="auto"/>
          <w:szCs w:val="24"/>
          <w:lang w:eastAsia="zh-CN"/>
        </w:rPr>
        <w:t>因此判定拟建项目周边土壤环境敏感程度为敏感。</w:t>
      </w:r>
    </w:p>
    <w:p w14:paraId="3452919D">
      <w:pPr>
        <w:widowControl w:val="0"/>
        <w:spacing w:line="360" w:lineRule="auto"/>
        <w:ind w:firstLine="480" w:firstLineChars="200"/>
        <w:rPr>
          <w:rFonts w:ascii="Times New Roman" w:hAnsi="Times New Roman" w:eastAsia="新宋体" w:cs="Times New Roman"/>
          <w:color w:val="auto"/>
          <w:szCs w:val="24"/>
          <w:lang w:eastAsia="zh-CN"/>
        </w:rPr>
      </w:pPr>
      <w:bookmarkStart w:id="1718" w:name="_Toc1349"/>
      <w:r>
        <w:rPr>
          <w:rFonts w:ascii="Times New Roman" w:hAnsi="Times New Roman" w:eastAsia="新宋体" w:cs="Times New Roman"/>
          <w:color w:val="auto"/>
          <w:szCs w:val="24"/>
          <w:lang w:eastAsia="zh-CN"/>
        </w:rPr>
        <w:t>（5）评价等级判别</w:t>
      </w:r>
      <w:bookmarkEnd w:id="1718"/>
    </w:p>
    <w:p w14:paraId="5EA8F812">
      <w:pPr>
        <w:widowControl w:val="0"/>
        <w:spacing w:line="360" w:lineRule="auto"/>
        <w:ind w:firstLine="480" w:firstLineChars="200"/>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对照（HJ964</w:t>
      </w:r>
      <w:r>
        <w:rPr>
          <w:rFonts w:hint="eastAsia" w:ascii="Times New Roman" w:hAnsi="Times New Roman" w:eastAsia="新宋体" w:cs="Times New Roman"/>
          <w:color w:val="auto"/>
          <w:szCs w:val="24"/>
          <w:lang w:eastAsia="zh-CN"/>
        </w:rPr>
        <w:t>-</w:t>
      </w:r>
      <w:r>
        <w:rPr>
          <w:rFonts w:ascii="Times New Roman" w:hAnsi="Times New Roman" w:eastAsia="新宋体" w:cs="Times New Roman"/>
          <w:color w:val="auto"/>
          <w:szCs w:val="24"/>
          <w:lang w:eastAsia="zh-CN"/>
        </w:rPr>
        <w:t>2018）表4，拟建项目土壤环境影响评价等级判定依据见下表。</w:t>
      </w:r>
    </w:p>
    <w:p w14:paraId="1341A1AF">
      <w:pPr>
        <w:widowControl w:val="0"/>
        <w:spacing w:line="360" w:lineRule="auto"/>
        <w:jc w:val="center"/>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表6.7-2 污染影响型评价工作等级划分表</w:t>
      </w:r>
    </w:p>
    <w:tbl>
      <w:tblPr>
        <w:tblStyle w:val="35"/>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410"/>
        <w:gridCol w:w="799"/>
        <w:gridCol w:w="830"/>
        <w:gridCol w:w="937"/>
        <w:gridCol w:w="857"/>
        <w:gridCol w:w="731"/>
        <w:gridCol w:w="787"/>
        <w:gridCol w:w="777"/>
        <w:gridCol w:w="797"/>
        <w:gridCol w:w="817"/>
      </w:tblGrid>
      <w:tr w14:paraId="5B5847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37" w:type="pct"/>
            <w:vMerge w:val="restart"/>
            <w:vAlign w:val="center"/>
          </w:tcPr>
          <w:p w14:paraId="57E47391">
            <w:pPr>
              <w:adjustRightInd w:val="0"/>
              <w:snapToGrid w:val="0"/>
              <w:jc w:val="right"/>
              <w:rPr>
                <w:rFonts w:ascii="Times New Roman" w:hAnsi="Times New Roman" w:cs="Times New Roman"/>
                <w:b/>
                <w:bCs/>
                <w:color w:val="auto"/>
                <w:sz w:val="21"/>
                <w:lang w:eastAsia="zh-CN"/>
              </w:rPr>
            </w:pPr>
            <w:r>
              <w:rPr>
                <w:rFonts w:ascii="Times New Roman" w:hAnsi="Times New Roman" w:cs="Times New Roman"/>
                <w:b/>
                <w:bCs/>
                <w:color w:val="auto"/>
                <w:sz w:val="21"/>
              </w:rPr>
              <mc:AlternateContent>
                <mc:Choice Requires="wpg">
                  <w:drawing>
                    <wp:anchor distT="0" distB="0" distL="114300" distR="114300" simplePos="0" relativeHeight="251661312" behindDoc="0" locked="0" layoutInCell="1" allowOverlap="1">
                      <wp:simplePos x="0" y="0"/>
                      <wp:positionH relativeFrom="column">
                        <wp:posOffset>-59690</wp:posOffset>
                      </wp:positionH>
                      <wp:positionV relativeFrom="paragraph">
                        <wp:posOffset>-5080</wp:posOffset>
                      </wp:positionV>
                      <wp:extent cx="1501140" cy="504825"/>
                      <wp:effectExtent l="0" t="0" r="22860" b="28575"/>
                      <wp:wrapNone/>
                      <wp:docPr id="268" name="组合 42"/>
                      <wp:cNvGraphicFramePr/>
                      <a:graphic xmlns:a="http://schemas.openxmlformats.org/drawingml/2006/main">
                        <a:graphicData uri="http://schemas.microsoft.com/office/word/2010/wordprocessingGroup">
                          <wpg:wgp>
                            <wpg:cNvGrpSpPr/>
                            <wpg:grpSpPr>
                              <a:xfrm>
                                <a:off x="0" y="0"/>
                                <a:ext cx="1501140" cy="504825"/>
                                <a:chOff x="2359" y="103686"/>
                                <a:chExt cx="2086" cy="940"/>
                              </a:xfrm>
                              <a:effectLst/>
                            </wpg:grpSpPr>
                            <wps:wsp>
                              <wps:cNvPr id="269" name="直线 1082"/>
                              <wps:cNvCnPr/>
                              <wps:spPr>
                                <a:xfrm flipH="1" flipV="1">
                                  <a:off x="3245" y="103686"/>
                                  <a:ext cx="1200" cy="941"/>
                                </a:xfrm>
                                <a:prstGeom prst="line">
                                  <a:avLst/>
                                </a:prstGeom>
                                <a:ln w="9525" cap="flat" cmpd="sng">
                                  <a:solidFill>
                                    <a:srgbClr val="000000"/>
                                  </a:solidFill>
                                  <a:prstDash val="solid"/>
                                  <a:headEnd type="none" w="med" len="med"/>
                                  <a:tailEnd type="none" w="med" len="med"/>
                                </a:ln>
                                <a:effectLst/>
                              </wps:spPr>
                              <wps:bodyPr/>
                            </wps:wsp>
                            <wps:wsp>
                              <wps:cNvPr id="270" name="直线 1083"/>
                              <wps:cNvCnPr/>
                              <wps:spPr>
                                <a:xfrm flipH="1" flipV="1">
                                  <a:off x="2359" y="104190"/>
                                  <a:ext cx="2059" cy="437"/>
                                </a:xfrm>
                                <a:prstGeom prst="line">
                                  <a:avLst/>
                                </a:prstGeom>
                                <a:ln w="9525" cap="flat" cmpd="sng">
                                  <a:solidFill>
                                    <a:srgbClr val="000000"/>
                                  </a:solidFill>
                                  <a:prstDash val="solid"/>
                                  <a:headEnd type="none" w="med" len="med"/>
                                  <a:tailEnd type="none" w="med" len="med"/>
                                </a:ln>
                                <a:effectLst/>
                              </wps:spPr>
                              <wps:bodyPr/>
                            </wps:wsp>
                          </wpg:wgp>
                        </a:graphicData>
                      </a:graphic>
                    </wp:anchor>
                  </w:drawing>
                </mc:Choice>
                <mc:Fallback>
                  <w:pict>
                    <v:group id="组合 42" o:spid="_x0000_s1026" o:spt="203" style="position:absolute;left:0pt;margin-left:-4.7pt;margin-top:-0.4pt;height:39.75pt;width:118.2pt;z-index:251661312;mso-width-relative:page;mso-height-relative:page;" coordorigin="2359,103686" coordsize="2086,940" o:gfxdata="UEsDBAoAAAAAAIdO4kAAAAAAAAAAAAAAAAAEAAAAZHJzL1BLAwQUAAAACACHTuJAHDEn3NgAAAAH&#10;AQAADwAAAGRycy9kb3ducmV2LnhtbE2PT0vDQBDF74LfYRnBW7tJ/JMasylS1FMp2AribZpMk9Ds&#10;bMhuk/bbO570NDze483v5cuz7dRIg28dG4jnESji0lUt1wY+d2+zBSgfkCvsHJOBC3lYFtdXOWaV&#10;m/iDxm2olZSwz9BAE0Kfae3Lhiz6ueuJxTu4wWIQOdS6GnCSctvpJIoetcWW5UODPa0aKo/bkzXw&#10;PuH0che/juvjYXX53j1svtYxGXN7E0fPoAKdw18YfvEFHQph2rsTV151BmZP95KUKwPETpJUpu0N&#10;pIsUdJHr//zFD1BLAwQUAAAACACHTuJA63O9/6oCAABeBwAADgAAAGRycy9lMm9Eb2MueG1s7ZVL&#10;b9QwEMfvSHwHy3eaxz7YjZrtoduWA4JKBe6u4ySW/JLtbnbvHDhy52twggOfBvVrMHaSbdkKqSoS&#10;J/aQdfwYz/zmP5Pjk60UaMOs41qVODtKMWKK6oqrpsTv352/WGDkPFEVEVqxEu+Ywyer58+OO1Ow&#10;XLdaVMwiMKJc0ZkSt96bIkkcbZkk7kgbpmCx1lYSD6+2SSpLOrAuRZKn6TzptK2M1ZQ5B7PrfhEP&#10;Fu1jDOq65pStNb2RTPneqmWCeAjJtdw4vIre1jWj/m1dO+aRKDFE6uMTLoHxdXgmq2NSNJaYltPB&#10;BfIYFw5ikoQruHRvak08QTeWPzAlObXa6dofUS2TPpBIBKLI0gM2F1bfmBhLU3SN2UOHRB1Qf7JZ&#10;+mZzaRGvSpzPIfGKSEj57fePPz9/QtM84OlMU8CuC2uuzKUdJpr+LUS8ra0M/xAL2kawuz1YtvWI&#10;wmQ2S7NsCswprM3S6SKf9eRpC+kJx/LJbIkRrGbpZL6Yj6tng4E8hbl4eglmwInk7mIW0/za+TAd&#10;vN071xmQqLvj5v6O21VLDIvpcIHInhs4PnD78vX22w+UpYuBXNx3qgZsrnBAcGSGasHNKwgYx9GH&#10;MLrHcZJPZw+A7HlCIY04sgMcxjp/wbREYVBiwVXwmRRkMyAixbglTAuFuhIvZ5ARRAnUcw11BENp&#10;QBNONfGs04JX51yIcMLZ5vpUWLQhoabib3Dht23hkjVxbb8vLvVZbRmpzlSF/M6A1hQ0GRxckKzC&#10;SDDoSWEEuSSFJ1w8ZieIQahw4EAKI/Cgg2td7WIeQCJRFUHZ/0IeLyFTh/KYhPjC9SCjp8njXr1M&#10;s+XQx0Z55GkoplBr08nLITdjmY65/y8PwN/X4x/kEXsJtN3YbIZPROjr999jx7n7LK5+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BwxJ9zYAAAABwEAAA8AAAAAAAAAAQAgAAAAIgAAAGRycy9kb3du&#10;cmV2LnhtbFBLAQIUABQAAAAIAIdO4kDrc73/qgIAAF4HAAAOAAAAAAAAAAEAIAAAACcBAABkcnMv&#10;ZTJvRG9jLnhtbFBLBQYAAAAABgAGAFkBAABDBgAAAAA=&#10;">
                      <o:lock v:ext="edit" aspectratio="f"/>
                      <v:line id="直线 1082" o:spid="_x0000_s1026" o:spt="20" style="position:absolute;left:3245;top:103686;flip:x y;height:941;width:1200;" filled="f" stroked="t" coordsize="21600,21600" o:gfxdata="UEsDBAoAAAAAAIdO4kAAAAAAAAAAAAAAAAAEAAAAZHJzL1BLAwQUAAAACACHTuJAez58CroAAADc&#10;AAAADwAAAGRycy9kb3ducmV2LnhtbEWPS4vCMBSF94L/IdwBd5rUhXY6RheC4NYH4vLS3GnKJDed&#10;Jlr990YYmOXhPD7OavPwTtypj21gDcVMgSCug2m50XA+7aYliJiQDbrApOFJETbr8WiFlQkDH+h+&#10;TI3IIxwr1GBT6iopY23JY5yFjjh736H3mLLsG2l6HPK4d3Ku1EJ6bDkTLHa0tVT/HG9egytV+XvZ&#10;LofrwWTK7uIsLwutJx+F+gKR6JH+w3/tvdEwX3zC+0w+AnL9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7PnwK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直线 1083" o:spid="_x0000_s1026" o:spt="20" style="position:absolute;left:2359;top:104190;flip:x y;height:437;width:2059;" filled="f" stroked="t" coordsize="21600,21600" o:gfxdata="UEsDBAoAAAAAAIdO4kAAAAAAAAAAAAAAAAAEAAAAZHJzL1BLAwQUAAAACACHTuJAb91DSrgAAADc&#10;AAAADwAAAGRycy9kb3ducmV2LnhtbEVPPW/CMBDdK/EfrKvUrdhhaKKAYUBC6gqtUMdTfMQR9jmN&#10;DaH/vjdU6vj0vje7RwzqTlMeEluolgYUcZfcwL2Fz4/DawMqF2SHITFZ+KEMu+3iaYOtSzMf6X4q&#10;vZIQzi1a8KWMrda58xQxL9NILNwlTRGLwKnXbsJZwmPQK2PedMSBpcHjSHtP3fV0ixZCY5rv876e&#10;v45OWg7n4LmurH15rswaVKFH+Rf/ud+dhVUt8+WMHAG9/QV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91DSrgAAADcAAAA&#10;DwAAAAAAAAABACAAAAAiAAAAZHJzL2Rvd25yZXYueG1sUEsBAhQAFAAAAAgAh07iQDMvBZ47AAAA&#10;OQAAABAAAAAAAAAAAQAgAAAABwEAAGRycy9zaGFwZXhtbC54bWxQSwUGAAAAAAYABgBbAQAAsQMA&#10;AAAA&#10;">
                        <v:fill on="f" focussize="0,0"/>
                        <v:stroke color="#000000" joinstyle="round"/>
                        <v:imagedata o:title=""/>
                        <o:lock v:ext="edit" aspectratio="f"/>
                      </v:line>
                    </v:group>
                  </w:pict>
                </mc:Fallback>
              </mc:AlternateContent>
            </w:r>
            <w:r>
              <w:rPr>
                <w:rFonts w:ascii="Times New Roman" w:hAnsi="Times New Roman" w:cs="Times New Roman"/>
                <w:b/>
                <w:bCs/>
                <w:color w:val="auto"/>
                <w:sz w:val="21"/>
                <w:lang w:eastAsia="zh-CN"/>
              </w:rPr>
              <w:t>占地规模</w:t>
            </w:r>
          </w:p>
          <w:p w14:paraId="723255F8">
            <w:pPr>
              <w:adjustRightInd w:val="0"/>
              <w:snapToGrid w:val="0"/>
              <w:jc w:val="both"/>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评价工作等级</w:t>
            </w:r>
          </w:p>
          <w:p w14:paraId="1018F233">
            <w:pPr>
              <w:adjustRightInd w:val="0"/>
              <w:snapToGrid w:val="0"/>
              <w:jc w:val="both"/>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敏感程度</w:t>
            </w:r>
          </w:p>
        </w:tc>
        <w:tc>
          <w:tcPr>
            <w:tcW w:w="1317" w:type="pct"/>
            <w:gridSpan w:val="3"/>
            <w:vAlign w:val="center"/>
          </w:tcPr>
          <w:p w14:paraId="28103F9B">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I类</w:t>
            </w:r>
          </w:p>
        </w:tc>
        <w:tc>
          <w:tcPr>
            <w:tcW w:w="1219" w:type="pct"/>
            <w:gridSpan w:val="3"/>
            <w:vAlign w:val="center"/>
          </w:tcPr>
          <w:p w14:paraId="1264F62D">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II类</w:t>
            </w:r>
          </w:p>
        </w:tc>
        <w:tc>
          <w:tcPr>
            <w:tcW w:w="1225" w:type="pct"/>
            <w:gridSpan w:val="3"/>
            <w:vAlign w:val="center"/>
          </w:tcPr>
          <w:p w14:paraId="4644E028">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III类</w:t>
            </w:r>
          </w:p>
        </w:tc>
      </w:tr>
      <w:tr w14:paraId="4CFD99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37" w:type="pct"/>
            <w:vMerge w:val="continue"/>
            <w:vAlign w:val="center"/>
          </w:tcPr>
          <w:p w14:paraId="64ADACB4">
            <w:pPr>
              <w:adjustRightInd w:val="0"/>
              <w:snapToGrid w:val="0"/>
              <w:jc w:val="center"/>
              <w:rPr>
                <w:rFonts w:ascii="Times New Roman" w:hAnsi="Times New Roman" w:cs="Times New Roman"/>
                <w:b/>
                <w:bCs/>
                <w:color w:val="auto"/>
                <w:sz w:val="21"/>
              </w:rPr>
            </w:pPr>
          </w:p>
        </w:tc>
        <w:tc>
          <w:tcPr>
            <w:tcW w:w="410" w:type="pct"/>
            <w:vAlign w:val="center"/>
          </w:tcPr>
          <w:p w14:paraId="75C76EE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大</w:t>
            </w:r>
          </w:p>
        </w:tc>
        <w:tc>
          <w:tcPr>
            <w:tcW w:w="426" w:type="pct"/>
            <w:vAlign w:val="center"/>
          </w:tcPr>
          <w:p w14:paraId="7EF74566">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中</w:t>
            </w:r>
          </w:p>
        </w:tc>
        <w:tc>
          <w:tcPr>
            <w:tcW w:w="480" w:type="pct"/>
            <w:vAlign w:val="center"/>
          </w:tcPr>
          <w:p w14:paraId="6F2E490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小</w:t>
            </w:r>
          </w:p>
        </w:tc>
        <w:tc>
          <w:tcPr>
            <w:tcW w:w="440" w:type="pct"/>
            <w:vAlign w:val="center"/>
          </w:tcPr>
          <w:p w14:paraId="5DB44578">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大</w:t>
            </w:r>
          </w:p>
        </w:tc>
        <w:tc>
          <w:tcPr>
            <w:tcW w:w="375" w:type="pct"/>
            <w:vAlign w:val="center"/>
          </w:tcPr>
          <w:p w14:paraId="67D9E1C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中</w:t>
            </w:r>
          </w:p>
        </w:tc>
        <w:tc>
          <w:tcPr>
            <w:tcW w:w="403" w:type="pct"/>
            <w:vAlign w:val="center"/>
          </w:tcPr>
          <w:p w14:paraId="2CB7CA0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小</w:t>
            </w:r>
          </w:p>
        </w:tc>
        <w:tc>
          <w:tcPr>
            <w:tcW w:w="399" w:type="pct"/>
            <w:vAlign w:val="center"/>
          </w:tcPr>
          <w:p w14:paraId="21CDC7C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大</w:t>
            </w:r>
          </w:p>
        </w:tc>
        <w:tc>
          <w:tcPr>
            <w:tcW w:w="409" w:type="pct"/>
            <w:vAlign w:val="center"/>
          </w:tcPr>
          <w:p w14:paraId="6E77073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中</w:t>
            </w:r>
          </w:p>
        </w:tc>
        <w:tc>
          <w:tcPr>
            <w:tcW w:w="417" w:type="pct"/>
            <w:vAlign w:val="center"/>
          </w:tcPr>
          <w:p w14:paraId="675BEF7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小</w:t>
            </w:r>
          </w:p>
        </w:tc>
      </w:tr>
      <w:tr w14:paraId="0CC588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37" w:type="pct"/>
            <w:vAlign w:val="center"/>
          </w:tcPr>
          <w:p w14:paraId="37FC0F61">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敏感</w:t>
            </w:r>
          </w:p>
        </w:tc>
        <w:tc>
          <w:tcPr>
            <w:tcW w:w="410" w:type="pct"/>
            <w:vAlign w:val="center"/>
          </w:tcPr>
          <w:p w14:paraId="5BE6DE2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一级</w:t>
            </w:r>
          </w:p>
        </w:tc>
        <w:tc>
          <w:tcPr>
            <w:tcW w:w="426" w:type="pct"/>
            <w:vAlign w:val="center"/>
          </w:tcPr>
          <w:p w14:paraId="42E600F8">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一级</w:t>
            </w:r>
          </w:p>
        </w:tc>
        <w:tc>
          <w:tcPr>
            <w:tcW w:w="480" w:type="pct"/>
            <w:shd w:val="clear" w:color="auto" w:fill="BEBEBE" w:themeFill="background1" w:themeFillShade="BF"/>
            <w:vAlign w:val="center"/>
          </w:tcPr>
          <w:p w14:paraId="0CC012C6">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一级</w:t>
            </w:r>
          </w:p>
        </w:tc>
        <w:tc>
          <w:tcPr>
            <w:tcW w:w="440" w:type="pct"/>
            <w:vAlign w:val="center"/>
          </w:tcPr>
          <w:p w14:paraId="3F9CDFE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二级</w:t>
            </w:r>
          </w:p>
        </w:tc>
        <w:tc>
          <w:tcPr>
            <w:tcW w:w="375" w:type="pct"/>
            <w:vAlign w:val="center"/>
          </w:tcPr>
          <w:p w14:paraId="0045FCE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二级</w:t>
            </w:r>
          </w:p>
        </w:tc>
        <w:tc>
          <w:tcPr>
            <w:tcW w:w="403" w:type="pct"/>
            <w:vAlign w:val="center"/>
          </w:tcPr>
          <w:p w14:paraId="18030F6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二级</w:t>
            </w:r>
          </w:p>
        </w:tc>
        <w:tc>
          <w:tcPr>
            <w:tcW w:w="399" w:type="pct"/>
            <w:vAlign w:val="center"/>
          </w:tcPr>
          <w:p w14:paraId="487340E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三级</w:t>
            </w:r>
          </w:p>
        </w:tc>
        <w:tc>
          <w:tcPr>
            <w:tcW w:w="409" w:type="pct"/>
            <w:vAlign w:val="center"/>
          </w:tcPr>
          <w:p w14:paraId="088CEB1D">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三级</w:t>
            </w:r>
          </w:p>
        </w:tc>
        <w:tc>
          <w:tcPr>
            <w:tcW w:w="417" w:type="pct"/>
            <w:vAlign w:val="center"/>
          </w:tcPr>
          <w:p w14:paraId="2124686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三级</w:t>
            </w:r>
          </w:p>
        </w:tc>
      </w:tr>
      <w:tr w14:paraId="58116F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37" w:type="pct"/>
            <w:vAlign w:val="center"/>
          </w:tcPr>
          <w:p w14:paraId="110A4F0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较敏感</w:t>
            </w:r>
          </w:p>
        </w:tc>
        <w:tc>
          <w:tcPr>
            <w:tcW w:w="410" w:type="pct"/>
            <w:vAlign w:val="center"/>
          </w:tcPr>
          <w:p w14:paraId="5387B39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一级</w:t>
            </w:r>
          </w:p>
        </w:tc>
        <w:tc>
          <w:tcPr>
            <w:tcW w:w="426" w:type="pct"/>
            <w:vAlign w:val="center"/>
          </w:tcPr>
          <w:p w14:paraId="18006F3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一级</w:t>
            </w:r>
          </w:p>
        </w:tc>
        <w:tc>
          <w:tcPr>
            <w:tcW w:w="480" w:type="pct"/>
            <w:vAlign w:val="center"/>
          </w:tcPr>
          <w:p w14:paraId="63B8150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二级</w:t>
            </w:r>
          </w:p>
        </w:tc>
        <w:tc>
          <w:tcPr>
            <w:tcW w:w="440" w:type="pct"/>
            <w:vAlign w:val="center"/>
          </w:tcPr>
          <w:p w14:paraId="280CA62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二级</w:t>
            </w:r>
          </w:p>
        </w:tc>
        <w:tc>
          <w:tcPr>
            <w:tcW w:w="375" w:type="pct"/>
            <w:vAlign w:val="center"/>
          </w:tcPr>
          <w:p w14:paraId="084E3D5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二级</w:t>
            </w:r>
          </w:p>
        </w:tc>
        <w:tc>
          <w:tcPr>
            <w:tcW w:w="403" w:type="pct"/>
            <w:vAlign w:val="center"/>
          </w:tcPr>
          <w:p w14:paraId="3C942E6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三级</w:t>
            </w:r>
          </w:p>
        </w:tc>
        <w:tc>
          <w:tcPr>
            <w:tcW w:w="399" w:type="pct"/>
            <w:vAlign w:val="center"/>
          </w:tcPr>
          <w:p w14:paraId="1BC46881">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三级</w:t>
            </w:r>
          </w:p>
        </w:tc>
        <w:tc>
          <w:tcPr>
            <w:tcW w:w="409" w:type="pct"/>
            <w:vAlign w:val="center"/>
          </w:tcPr>
          <w:p w14:paraId="58E9DCD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三级</w:t>
            </w:r>
          </w:p>
        </w:tc>
        <w:tc>
          <w:tcPr>
            <w:tcW w:w="417" w:type="pct"/>
            <w:vAlign w:val="center"/>
          </w:tcPr>
          <w:p w14:paraId="1ECA75A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w:t>
            </w:r>
          </w:p>
        </w:tc>
      </w:tr>
      <w:tr w14:paraId="049F60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37" w:type="pct"/>
            <w:vAlign w:val="center"/>
          </w:tcPr>
          <w:p w14:paraId="2FFF972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不敏感</w:t>
            </w:r>
          </w:p>
        </w:tc>
        <w:tc>
          <w:tcPr>
            <w:tcW w:w="410" w:type="pct"/>
            <w:vAlign w:val="center"/>
          </w:tcPr>
          <w:p w14:paraId="7B56E558">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一级</w:t>
            </w:r>
          </w:p>
        </w:tc>
        <w:tc>
          <w:tcPr>
            <w:tcW w:w="426" w:type="pct"/>
            <w:vAlign w:val="center"/>
          </w:tcPr>
          <w:p w14:paraId="4FA95EE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二级</w:t>
            </w:r>
          </w:p>
        </w:tc>
        <w:tc>
          <w:tcPr>
            <w:tcW w:w="480" w:type="pct"/>
            <w:vAlign w:val="center"/>
          </w:tcPr>
          <w:p w14:paraId="2FAB6A9D">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二级</w:t>
            </w:r>
          </w:p>
        </w:tc>
        <w:tc>
          <w:tcPr>
            <w:tcW w:w="440" w:type="pct"/>
            <w:vAlign w:val="center"/>
          </w:tcPr>
          <w:p w14:paraId="5E25CB9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二级</w:t>
            </w:r>
          </w:p>
        </w:tc>
        <w:tc>
          <w:tcPr>
            <w:tcW w:w="375" w:type="pct"/>
            <w:vAlign w:val="center"/>
          </w:tcPr>
          <w:p w14:paraId="6AFF854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三级</w:t>
            </w:r>
          </w:p>
        </w:tc>
        <w:tc>
          <w:tcPr>
            <w:tcW w:w="403" w:type="pct"/>
            <w:vAlign w:val="center"/>
          </w:tcPr>
          <w:p w14:paraId="67A86AC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三级</w:t>
            </w:r>
          </w:p>
        </w:tc>
        <w:tc>
          <w:tcPr>
            <w:tcW w:w="399" w:type="pct"/>
            <w:vAlign w:val="center"/>
          </w:tcPr>
          <w:p w14:paraId="43143B11">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三级</w:t>
            </w:r>
          </w:p>
        </w:tc>
        <w:tc>
          <w:tcPr>
            <w:tcW w:w="409" w:type="pct"/>
            <w:vAlign w:val="center"/>
          </w:tcPr>
          <w:p w14:paraId="7A2AC38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w:t>
            </w:r>
          </w:p>
        </w:tc>
        <w:tc>
          <w:tcPr>
            <w:tcW w:w="417" w:type="pct"/>
            <w:vAlign w:val="center"/>
          </w:tcPr>
          <w:p w14:paraId="559D0A4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w:t>
            </w:r>
          </w:p>
        </w:tc>
      </w:tr>
      <w:tr w14:paraId="016337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10"/>
            <w:vAlign w:val="center"/>
          </w:tcPr>
          <w:p w14:paraId="7148654D">
            <w:pPr>
              <w:adjustRightInd w:val="0"/>
              <w:snapToGrid w:val="0"/>
              <w:jc w:val="both"/>
              <w:rPr>
                <w:rFonts w:ascii="Times New Roman" w:hAnsi="Times New Roman" w:cs="Times New Roman"/>
                <w:color w:val="auto"/>
                <w:sz w:val="21"/>
                <w:lang w:eastAsia="zh-CN"/>
              </w:rPr>
            </w:pPr>
            <w:r>
              <w:rPr>
                <w:rFonts w:ascii="Times New Roman" w:hAnsi="Times New Roman" w:cs="Times New Roman"/>
                <w:color w:val="auto"/>
                <w:sz w:val="21"/>
                <w:lang w:eastAsia="zh-CN"/>
              </w:rPr>
              <w:t>注：“-”表示可不开展土壤环境影响评价工作。</w:t>
            </w:r>
          </w:p>
        </w:tc>
      </w:tr>
    </w:tbl>
    <w:p w14:paraId="566384C9">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根据前述分析，项目属于 I 类小型项目，区域土壤敏感程度为敏感，评价等级为</w:t>
      </w:r>
      <w:r>
        <w:rPr>
          <w:rFonts w:hint="eastAsia" w:ascii="Times New Roman" w:hAnsi="Times New Roman" w:eastAsia="新宋体" w:cs="Times New Roman"/>
          <w:color w:val="auto"/>
          <w:szCs w:val="24"/>
          <w:lang w:eastAsia="zh-CN"/>
        </w:rPr>
        <w:t>一</w:t>
      </w:r>
      <w:r>
        <w:rPr>
          <w:rFonts w:ascii="Times New Roman" w:hAnsi="Times New Roman" w:eastAsia="新宋体" w:cs="Times New Roman"/>
          <w:color w:val="auto"/>
          <w:szCs w:val="24"/>
          <w:lang w:eastAsia="zh-CN"/>
        </w:rPr>
        <w:t>级。</w:t>
      </w:r>
    </w:p>
    <w:p w14:paraId="42E9E8E3">
      <w:pPr>
        <w:widowControl w:val="0"/>
        <w:spacing w:line="360" w:lineRule="auto"/>
        <w:ind w:firstLine="482"/>
        <w:outlineLvl w:val="2"/>
        <w:rPr>
          <w:rFonts w:ascii="Times New Roman" w:hAnsi="Times New Roman" w:eastAsia="新宋体" w:cs="Times New Roman"/>
          <w:b/>
          <w:bCs/>
          <w:color w:val="auto"/>
          <w:szCs w:val="24"/>
          <w:lang w:eastAsia="zh-CN"/>
        </w:rPr>
      </w:pPr>
      <w:bookmarkStart w:id="1719" w:name="_Toc204515259"/>
      <w:bookmarkStart w:id="1720" w:name="_Toc225784116"/>
      <w:bookmarkStart w:id="1721" w:name="_Toc218784340"/>
      <w:bookmarkStart w:id="1722" w:name="_Toc224674755"/>
      <w:bookmarkStart w:id="1723" w:name="_Toc236641368"/>
      <w:bookmarkStart w:id="1724" w:name="_Toc231828637"/>
      <w:bookmarkStart w:id="1725" w:name="_Toc237508350"/>
      <w:bookmarkStart w:id="1726" w:name="_Toc204448524"/>
      <w:bookmarkStart w:id="1727" w:name="_Toc236641885"/>
      <w:bookmarkStart w:id="1728" w:name="_Toc223425115"/>
      <w:bookmarkStart w:id="1729" w:name="_Toc221900897"/>
      <w:r>
        <w:rPr>
          <w:rFonts w:ascii="Times New Roman" w:hAnsi="Times New Roman" w:eastAsia="新宋体" w:cs="Times New Roman"/>
          <w:b/>
          <w:bCs/>
          <w:color w:val="auto"/>
          <w:szCs w:val="24"/>
          <w:lang w:eastAsia="zh-CN"/>
        </w:rPr>
        <w:t xml:space="preserve">6.7.2 </w:t>
      </w:r>
      <w:r>
        <w:rPr>
          <w:rFonts w:hint="eastAsia" w:ascii="Times New Roman" w:hAnsi="Times New Roman" w:eastAsia="新宋体" w:cs="Times New Roman"/>
          <w:b/>
          <w:bCs/>
          <w:color w:val="auto"/>
          <w:szCs w:val="24"/>
          <w:lang w:eastAsia="zh-CN"/>
        </w:rPr>
        <w:t>土壤环境影响评价</w:t>
      </w:r>
      <w:bookmarkEnd w:id="1719"/>
      <w:bookmarkEnd w:id="1720"/>
      <w:bookmarkEnd w:id="1721"/>
      <w:bookmarkEnd w:id="1722"/>
      <w:bookmarkEnd w:id="1723"/>
      <w:bookmarkEnd w:id="1724"/>
      <w:bookmarkEnd w:id="1725"/>
      <w:bookmarkEnd w:id="1726"/>
      <w:bookmarkEnd w:id="1727"/>
      <w:bookmarkEnd w:id="1728"/>
      <w:bookmarkEnd w:id="1729"/>
    </w:p>
    <w:p w14:paraId="229837EA">
      <w:pPr>
        <w:widowControl w:val="0"/>
        <w:spacing w:line="360" w:lineRule="auto"/>
        <w:ind w:firstLine="480" w:firstLineChars="200"/>
        <w:jc w:val="both"/>
        <w:rPr>
          <w:rFonts w:ascii="Times New Roman" w:hAnsi="Times New Roman" w:eastAsia="新宋体" w:cs="Times New Roman"/>
          <w:bCs/>
          <w:color w:val="auto"/>
          <w:szCs w:val="24"/>
          <w:lang w:eastAsia="zh-CN"/>
        </w:rPr>
      </w:pPr>
      <w:r>
        <w:rPr>
          <w:rFonts w:ascii="Times New Roman" w:hAnsi="Times New Roman" w:eastAsia="新宋体" w:cs="Times New Roman"/>
          <w:bCs/>
          <w:color w:val="auto"/>
          <w:szCs w:val="24"/>
          <w:lang w:eastAsia="zh-CN"/>
        </w:rPr>
        <w:t>土壤环境污染影响是指因人为因素导致某种物质进入土壤环境，引起土壤物理、化学、生物等方面特性的改变，导致土壤质量恶化的过程或状态。根据《环境影响评价技术导则 土壤环境（试行）》（HJ 964</w:t>
      </w:r>
      <w:r>
        <w:rPr>
          <w:rFonts w:hint="eastAsia" w:ascii="Times New Roman" w:hAnsi="Times New Roman" w:eastAsia="新宋体" w:cs="Times New Roman"/>
          <w:bCs/>
          <w:color w:val="auto"/>
          <w:szCs w:val="24"/>
          <w:lang w:eastAsia="zh-CN"/>
        </w:rPr>
        <w:t>-</w:t>
      </w:r>
      <w:r>
        <w:rPr>
          <w:rFonts w:ascii="Times New Roman" w:hAnsi="Times New Roman" w:eastAsia="新宋体" w:cs="Times New Roman"/>
          <w:bCs/>
          <w:color w:val="auto"/>
          <w:szCs w:val="24"/>
          <w:lang w:eastAsia="zh-CN"/>
        </w:rPr>
        <w:t>2018），结合本项目土壤环境影响评价因子识别结果，运营期土壤影响属于污染影响型。污染影响途径主要包括大气沉降影响、地面漫流影响和垂直入渗影响，下面针对污染影响途径进行污染预测与评价。</w:t>
      </w:r>
    </w:p>
    <w:p w14:paraId="44A5D19E">
      <w:pPr>
        <w:widowControl w:val="0"/>
        <w:spacing w:line="360" w:lineRule="auto"/>
        <w:ind w:firstLine="482"/>
        <w:jc w:val="both"/>
        <w:outlineLvl w:val="3"/>
        <w:rPr>
          <w:rFonts w:ascii="Times New Roman" w:hAnsi="Times New Roman" w:eastAsia="新宋体" w:cs="Times New Roman"/>
          <w:color w:val="auto"/>
          <w:szCs w:val="24"/>
          <w:lang w:eastAsia="zh-CN"/>
        </w:rPr>
      </w:pPr>
      <w:r>
        <w:rPr>
          <w:rFonts w:ascii="Times New Roman" w:hAnsi="Times New Roman" w:eastAsia="新宋体" w:cs="Times New Roman"/>
          <w:b/>
          <w:bCs/>
          <w:color w:val="auto"/>
          <w:szCs w:val="24"/>
          <w:lang w:eastAsia="zh-CN"/>
        </w:rPr>
        <w:t>6.</w:t>
      </w:r>
      <w:r>
        <w:rPr>
          <w:rFonts w:hint="eastAsia" w:ascii="Times New Roman" w:hAnsi="Times New Roman" w:eastAsia="新宋体" w:cs="Times New Roman"/>
          <w:b/>
          <w:bCs/>
          <w:color w:val="auto"/>
          <w:szCs w:val="24"/>
          <w:lang w:eastAsia="zh-CN"/>
        </w:rPr>
        <w:t>7</w:t>
      </w:r>
      <w:r>
        <w:rPr>
          <w:rFonts w:ascii="Times New Roman" w:hAnsi="Times New Roman" w:eastAsia="新宋体" w:cs="Times New Roman"/>
          <w:b/>
          <w:bCs/>
          <w:color w:val="auto"/>
          <w:szCs w:val="24"/>
          <w:lang w:eastAsia="zh-CN"/>
        </w:rPr>
        <w:t>.</w:t>
      </w:r>
      <w:r>
        <w:rPr>
          <w:rFonts w:hint="eastAsia" w:ascii="Times New Roman" w:hAnsi="Times New Roman" w:eastAsia="新宋体" w:cs="Times New Roman"/>
          <w:b/>
          <w:bCs/>
          <w:color w:val="auto"/>
          <w:szCs w:val="24"/>
          <w:lang w:eastAsia="zh-CN"/>
        </w:rPr>
        <w:t>2</w:t>
      </w:r>
      <w:r>
        <w:rPr>
          <w:rFonts w:ascii="Times New Roman" w:hAnsi="Times New Roman" w:eastAsia="新宋体" w:cs="Times New Roman"/>
          <w:b/>
          <w:bCs/>
          <w:color w:val="auto"/>
          <w:szCs w:val="24"/>
          <w:lang w:eastAsia="zh-CN"/>
        </w:rPr>
        <w:t>.1</w:t>
      </w:r>
      <w:r>
        <w:rPr>
          <w:rFonts w:hint="eastAsia" w:ascii="Times New Roman" w:hAnsi="Times New Roman" w:eastAsia="新宋体" w:cs="Times New Roman"/>
          <w:b/>
          <w:bCs/>
          <w:color w:val="auto"/>
          <w:szCs w:val="24"/>
          <w:lang w:eastAsia="zh-CN"/>
        </w:rPr>
        <w:t xml:space="preserve"> 预测范围</w:t>
      </w:r>
    </w:p>
    <w:p w14:paraId="28676A6C">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拟建项目土壤环境影响评价等级为</w:t>
      </w:r>
      <w:r>
        <w:rPr>
          <w:rFonts w:hint="eastAsia" w:ascii="Times New Roman" w:hAnsi="Times New Roman" w:eastAsia="新宋体" w:cs="Times New Roman"/>
          <w:color w:val="auto"/>
          <w:szCs w:val="24"/>
          <w:lang w:eastAsia="zh-CN"/>
        </w:rPr>
        <w:t>一</w:t>
      </w:r>
      <w:r>
        <w:rPr>
          <w:rFonts w:ascii="Times New Roman" w:hAnsi="Times New Roman" w:eastAsia="新宋体" w:cs="Times New Roman"/>
          <w:color w:val="auto"/>
          <w:szCs w:val="24"/>
          <w:lang w:eastAsia="zh-CN"/>
        </w:rPr>
        <w:t xml:space="preserve">级，按（HJ964-2018）表5现状调查为占地范围外 </w:t>
      </w:r>
      <w:r>
        <w:rPr>
          <w:rFonts w:hint="eastAsia" w:ascii="Times New Roman" w:hAnsi="Times New Roman" w:eastAsia="新宋体" w:cs="Times New Roman"/>
          <w:color w:val="auto"/>
          <w:szCs w:val="24"/>
          <w:lang w:eastAsia="zh-CN"/>
        </w:rPr>
        <w:t>1000</w:t>
      </w:r>
      <w:r>
        <w:rPr>
          <w:rFonts w:ascii="Times New Roman" w:hAnsi="Times New Roman" w:eastAsia="新宋体" w:cs="Times New Roman"/>
          <w:color w:val="auto"/>
          <w:szCs w:val="24"/>
          <w:lang w:eastAsia="zh-CN"/>
        </w:rPr>
        <w:t>m，故确定本次土壤环境影响评价范围为项目占地范围以及占地范围外</w:t>
      </w:r>
      <w:r>
        <w:rPr>
          <w:rFonts w:hint="eastAsia" w:ascii="Times New Roman" w:hAnsi="Times New Roman" w:eastAsia="新宋体" w:cs="Times New Roman"/>
          <w:color w:val="auto"/>
          <w:szCs w:val="24"/>
          <w:lang w:eastAsia="zh-CN"/>
        </w:rPr>
        <w:t>1000</w:t>
      </w:r>
      <w:r>
        <w:rPr>
          <w:rFonts w:ascii="Times New Roman" w:hAnsi="Times New Roman" w:eastAsia="新宋体" w:cs="Times New Roman"/>
          <w:color w:val="auto"/>
          <w:szCs w:val="24"/>
          <w:lang w:eastAsia="zh-CN"/>
        </w:rPr>
        <w:t>m范围。</w:t>
      </w:r>
    </w:p>
    <w:p w14:paraId="226A8AC7">
      <w:pPr>
        <w:pStyle w:val="42"/>
        <w:jc w:val="center"/>
      </w:pPr>
      <w:r>
        <w:rPr>
          <w:rFonts w:hint="eastAsia"/>
        </w:rPr>
        <mc:AlternateContent>
          <mc:Choice Requires="wps">
            <w:drawing>
              <wp:anchor distT="0" distB="0" distL="114300" distR="114300" simplePos="0" relativeHeight="251916288" behindDoc="0" locked="0" layoutInCell="1" allowOverlap="1">
                <wp:simplePos x="0" y="0"/>
                <wp:positionH relativeFrom="column">
                  <wp:posOffset>2686050</wp:posOffset>
                </wp:positionH>
                <wp:positionV relativeFrom="paragraph">
                  <wp:posOffset>2174240</wp:posOffset>
                </wp:positionV>
                <wp:extent cx="258445" cy="520065"/>
                <wp:effectExtent l="19050" t="19050" r="27940" b="32385"/>
                <wp:wrapNone/>
                <wp:docPr id="834789741" name="任意多边形: 形状 605"/>
                <wp:cNvGraphicFramePr/>
                <a:graphic xmlns:a="http://schemas.openxmlformats.org/drawingml/2006/main">
                  <a:graphicData uri="http://schemas.microsoft.com/office/word/2010/wordprocessingShape">
                    <wps:wsp>
                      <wps:cNvSpPr/>
                      <wps:spPr>
                        <a:xfrm>
                          <a:off x="0" y="0"/>
                          <a:ext cx="258344" cy="520086"/>
                        </a:xfrm>
                        <a:custGeom>
                          <a:avLst/>
                          <a:gdLst>
                            <a:gd name="csX0" fmla="*/ 6799 w 258344"/>
                            <a:gd name="csY0" fmla="*/ 10198 h 520086"/>
                            <a:gd name="csX1" fmla="*/ 0 w 258344"/>
                            <a:gd name="csY1" fmla="*/ 475896 h 520086"/>
                            <a:gd name="csX2" fmla="*/ 40792 w 258344"/>
                            <a:gd name="csY2" fmla="*/ 520086 h 520086"/>
                            <a:gd name="csX3" fmla="*/ 258344 w 258344"/>
                            <a:gd name="csY3" fmla="*/ 506489 h 520086"/>
                            <a:gd name="csX4" fmla="*/ 258344 w 258344"/>
                            <a:gd name="csY4" fmla="*/ 0 h 520086"/>
                            <a:gd name="csX5" fmla="*/ 6799 w 258344"/>
                            <a:gd name="csY5" fmla="*/ 10198 h 520086"/>
                          </a:gdLst>
                          <a:ahLst/>
                          <a:cxnLst>
                            <a:cxn ang="0">
                              <a:pos x="csX0" y="csY0"/>
                            </a:cxn>
                            <a:cxn ang="0">
                              <a:pos x="csX1" y="csY1"/>
                            </a:cxn>
                            <a:cxn ang="0">
                              <a:pos x="csX2" y="csY2"/>
                            </a:cxn>
                            <a:cxn ang="0">
                              <a:pos x="csX3" y="csY3"/>
                            </a:cxn>
                            <a:cxn ang="0">
                              <a:pos x="csX4" y="csY4"/>
                            </a:cxn>
                            <a:cxn ang="0">
                              <a:pos x="csX5" y="csY5"/>
                            </a:cxn>
                          </a:cxnLst>
                          <a:rect l="l" t="t" r="r" b="b"/>
                          <a:pathLst>
                            <a:path w="258344" h="520086">
                              <a:moveTo>
                                <a:pt x="6799" y="10198"/>
                              </a:moveTo>
                              <a:cubicBezTo>
                                <a:pt x="4533" y="165431"/>
                                <a:pt x="2266" y="320663"/>
                                <a:pt x="0" y="475896"/>
                              </a:cubicBezTo>
                              <a:lnTo>
                                <a:pt x="40792" y="520086"/>
                              </a:lnTo>
                              <a:lnTo>
                                <a:pt x="258344" y="506489"/>
                              </a:lnTo>
                              <a:lnTo>
                                <a:pt x="258344" y="0"/>
                              </a:lnTo>
                              <a:lnTo>
                                <a:pt x="6799" y="10198"/>
                              </a:lnTo>
                              <a:close/>
                            </a:path>
                          </a:pathLst>
                        </a:cu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任意多边形: 形状 605" o:spid="_x0000_s1026" o:spt="100" style="position:absolute;left:0pt;margin-left:211.5pt;margin-top:171.2pt;height:40.95pt;width:20.35pt;z-index:251916288;v-text-anchor:middle;mso-width-relative:page;mso-height-relative:page;" filled="f" stroked="t" coordsize="258344,520086" o:gfxdata="UEsDBAoAAAAAAIdO4kAAAAAAAAAAAAAAAAAEAAAAZHJzL1BLAwQUAAAACACHTuJATLy2zdkAAAAL&#10;AQAADwAAAGRycy9kb3ducmV2LnhtbE2PwWrDMBBE74X8g9hAL6WRYwu3uJZDEkjJrTQtOSvS1ja1&#10;VkaSk/Tvq5za4zDDzJt6dbUDO6MPvSMJy0UGDEk701Mr4fNj9/gMLERFRg2OUMIPBlg1s7taVcZd&#10;6B3Ph9iyVEKhUhK6GMeK86A7tCos3IiUvC/nrYpJ+pYbry6p3A48z7KSW9VTWujUiNsO9fdhshL2&#10;r/rt4eh3m+O4Lrf9XhsxtVHK+/kyewEW8Rr/wnDDT+jQJKaTm8gENkgQeZG+RAmFyAWwlBBl8QTs&#10;dLNEAbyp+f8PzS9QSwMEFAAAAAgAh07iQFKupZ/zAwAA7gkAAA4AAABkcnMvZTJvRG9jLnhtbK1W&#10;zY7kNBC+I/EOVo5ITNLpJP2j6VkNMzsIacSONIuAo9txOpGcONjun9kzJy7c97jiGZDQCp6GBR6D&#10;z3bSndlZevtAH2K7XfWV66tylc+f7WpBNlzpSjaLYHQWBYQ3TOZVs1oE37y8+XwaEG1ok1MhG74I&#10;HrgOnl18+sn5tp3zWJZS5FwRgDR6vm0XQWlMOw9DzUpeU30mW95gs5CqpgZLtQpzRbdAr0UYR1EW&#10;bqXKWyUZ1xr/XvvNoENUpwDKoqgYv5ZsXfPGeFTFBTVwSZdVq4MLd9qi4My8KArNDRGLAJ4a94UR&#10;zJf2G16c0/lK0basWHcEesoR3vOpplUDo3uoa2ooWavqCVRdMSW1LMwZk3XoHXGMwItR9B439yVt&#10;ufMFVOt2T7r+/2DZ15s7Rap8EUzHyWQ6mySjgDS0RuD/fPv2rx9/fvfL63/++O3d72/mBJ+/f/qV&#10;ZFFqadu2eg7t+/ZOdSuNqeVgV6jajvCO7BzVD3uq+c4Qhj/jFPaSgDBspUiLaWYxw4MyW2vzJZcO&#10;iG5utfGRyjFzPOfdKZn+DrEsaoGwfRaSbDKbkS3p4Dudvej3Q9FRNJpNSUkO5hG+ASyI2MNGRzCH&#10;cskknc6yI6DxADSJJrP4CPBQ1h/yCPB4AOy9P4I8FE6jLJnOjiAjSnsePoo8FI6OgKYD0I/EbCj6&#10;NGZImVWfFLTs84Ttmi5RMCPUlrbI3c9WapuTPmuQe0wjJ3zmQdJm1n8qIM5eYXSiAuLnFeITFRAW&#10;rzA+UQFse4XkRAVw6RXcFQZ3zmk/doQp1ExbLYWrliYgqJbKVculNULnLTWW535KtofbXO4vs92t&#10;5Ya/lE7OWNJtnJ19F8XuxAchtl5W7Av+aqiSpGNPyihLk7EjHgdwaHGcZQ5tHEdZ5hjrt3DL4aW/&#10;iz0xj8BF88iIvYdO5VAKQEkv1I+d2a5wwYC/OZ2BXqofn0j3adYL9KMX/CA3vQgTUnOfpJZ8Vyf3&#10;UbDBG9TKRt5UQrhAicbGZjSLUhDCKHp1gR6Jad2i3utmFRAqVngEMKPc5dBSVLlVtzHTarW8Eops&#10;KJLh+fMIv87VR2Kt0uaa6tLLuS0rhuhXBu8EUdVoLVa51xa4ZaFtHr5d2NlS5g/oQkr69qxbdlMB&#10;9pZqc0cVCjvOjxeLeYFPISScQma5WUBKqV596H8rjzaJ3YBs0d/h8A9rqnhAxFcNGuhslCSANW6R&#10;pJMYCzXcWQ53mnV9JcEDagBO56ZW3oh+WihZf4uHzaW1ii3aMNj21HaLK+PfHXgaMX556cTwCEAg&#10;b5v7lllwy1sjL9dGFpVteI4nz063wDPAhb97sth3xnDtpA7PtIt/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UGAABbQ29udGVudF9UeXBlc10u&#10;eG1sUEsBAhQACgAAAAAAh07iQAAAAAAAAAAAAAAAAAYAAAAAAAAAAAAQAAAARwUAAF9yZWxzL1BL&#10;AQIUABQAAAAIAIdO4kCKFGY80QAAAJQBAAALAAAAAAAAAAEAIAAAAGsFAABfcmVscy8ucmVsc1BL&#10;AQIUAAoAAAAAAIdO4kAAAAAAAAAAAAAAAAAEAAAAAAAAAAAAEAAAAAAAAABkcnMvUEsBAhQAFAAA&#10;AAgAh07iQEy8ts3ZAAAACwEAAA8AAAAAAAAAAQAgAAAAIgAAAGRycy9kb3ducmV2LnhtbFBLAQIU&#10;ABQAAAAIAIdO4kBSrqWf8wMAAO4JAAAOAAAAAAAAAAEAIAAAACgBAABkcnMvZTJvRG9jLnhtbFBL&#10;BQYAAAAABgAGAFkBAACNBwAAAAA=&#10;" path="m6799,10198c4533,165431,2266,320663,0,475896l40792,520086,258344,506489,258344,0,6799,10198xe">
                <v:path o:connectlocs="6799,10198;0,475896;40792,520086;258344,506489;258344,0;6799,10198" o:connectangles="0,0,0,0,0,0"/>
                <v:fill on="f" focussize="0,0"/>
                <v:stroke weight="1.5pt" color="#EE0000 [3204]" miterlimit="8" joinstyle="miter"/>
                <v:imagedata o:title=""/>
                <o:lock v:ext="edit" aspectratio="f"/>
              </v:shape>
            </w:pict>
          </mc:Fallback>
        </mc:AlternateContent>
      </w:r>
      <w:r>
        <w:rPr>
          <w:rFonts w:hint="eastAsia"/>
        </w:rPr>
        <mc:AlternateContent>
          <mc:Choice Requires="wps">
            <w:drawing>
              <wp:anchor distT="0" distB="0" distL="114300" distR="114300" simplePos="0" relativeHeight="251786240" behindDoc="0" locked="0" layoutInCell="1" allowOverlap="1">
                <wp:simplePos x="0" y="0"/>
                <wp:positionH relativeFrom="column">
                  <wp:posOffset>3224530</wp:posOffset>
                </wp:positionH>
                <wp:positionV relativeFrom="paragraph">
                  <wp:posOffset>2138045</wp:posOffset>
                </wp:positionV>
                <wp:extent cx="928370" cy="292735"/>
                <wp:effectExtent l="0" t="0" r="0" b="0"/>
                <wp:wrapNone/>
                <wp:docPr id="813683950" name="文本框 39"/>
                <wp:cNvGraphicFramePr/>
                <a:graphic xmlns:a="http://schemas.openxmlformats.org/drawingml/2006/main">
                  <a:graphicData uri="http://schemas.microsoft.com/office/word/2010/wordprocessingShape">
                    <wps:wsp>
                      <wps:cNvSpPr txBox="1"/>
                      <wps:spPr>
                        <a:xfrm>
                          <a:off x="0" y="0"/>
                          <a:ext cx="928370" cy="292735"/>
                        </a:xfrm>
                        <a:prstGeom prst="rect">
                          <a:avLst/>
                        </a:prstGeom>
                        <a:noFill/>
                        <a:ln w="6350">
                          <a:noFill/>
                        </a:ln>
                        <a:effectLst/>
                      </wps:spPr>
                      <wps:txbx>
                        <w:txbxContent>
                          <w:p w14:paraId="275B53AC">
                            <w:pPr>
                              <w:ind w:firstLine="480"/>
                              <w:rPr>
                                <w:rFonts w:ascii="Times New Roman" w:hAnsi="Times New Roman" w:cs="Times New Roman"/>
                                <w:color w:val="FFFF00"/>
                                <w:lang w:eastAsia="zh-CN"/>
                              </w:rPr>
                            </w:pPr>
                            <w:r>
                              <w:rPr>
                                <w:rFonts w:hint="eastAsia" w:ascii="Times New Roman" w:hAnsi="Times New Roman" w:cs="Times New Roman"/>
                                <w:color w:val="FFFF00"/>
                                <w:lang w:eastAsia="zh-CN"/>
                              </w:rPr>
                              <w:t>10</w:t>
                            </w:r>
                            <w:r>
                              <w:rPr>
                                <w:rFonts w:ascii="Times New Roman" w:hAnsi="Times New Roman" w:cs="Times New Roman"/>
                                <w:color w:val="FFFF00"/>
                                <w:lang w:eastAsia="zh-CN"/>
                              </w:rPr>
                              <w:t>00</w:t>
                            </w:r>
                            <w:r>
                              <w:rPr>
                                <w:rFonts w:hint="eastAsia" w:ascii="Times New Roman" w:hAnsi="Times New Roman" w:cs="Times New Roman"/>
                                <w:color w:val="FFFF00"/>
                                <w:lang w:eastAsia="zh-CN"/>
                              </w:rPr>
                              <w:t>m</w:t>
                            </w:r>
                            <w:r>
                              <w:rPr>
                                <w:rFonts w:ascii="Times New Roman" w:hAnsi="Times New Roman" w:cs="Times New Roman"/>
                                <w:color w:val="FFFF00"/>
                                <w:lang w:eastAsia="zh-CN"/>
                              </w:rPr>
                              <w:t>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39" o:spid="_x0000_s1026" o:spt="202" type="#_x0000_t202" style="position:absolute;left:0pt;margin-left:253.9pt;margin-top:168.35pt;height:23.05pt;width:73.1pt;z-index:251786240;mso-width-relative:page;mso-height-relative:page;" filled="f" stroked="f" coordsize="21600,21600" o:gfxdata="UEsDBAoAAAAAAIdO4kAAAAAAAAAAAAAAAAAEAAAAZHJzL1BLAwQUAAAACACHTuJAKn6gztsAAAAL&#10;AQAADwAAAGRycy9kb3ducmV2LnhtbE2PzU7DMBCE70i8g7VI3KjdlKRRiFOhSBUSgkNLL9yc2E0i&#10;7HWI3d+nZznBcXZGs9+Uq7Oz7GimMHiUMJ8JYAZbrwfsJOw+1g85sBAVamU9GgkXE2BV3d6UqtD+&#10;hBtz3MaOUQmGQknoYxwLzkPbG6fCzI8Gydv7yalIcuq4ntSJyp3liRAZd2pA+tCr0dS9ab+2Byfh&#10;tV6/q02TuPxq65e3/fP4vftMpby/m4snYNGc418YfvEJHSpiavwBdWBWQiqWhB4lLBbZEhglsvSR&#10;1jV0yZMceFXy/xuqH1BLAwQUAAAACACHTuJAvzmOwEgCAAB8BAAADgAAAGRycy9lMm9Eb2MueG1s&#10;rVTNbhMxEL4j8Q6W73Tz058k6qYKVEVIFa1UEGfH6+2uZHuM7XS3PAC8AScu3HmuPgefvUlbCoce&#10;uDhjz+w3830zk+OT3mh2o3xoyZZ8vDfiTFlJVWuvS/7xw9mrGWchClsJTVaV/FYFfrJ8+eK4cws1&#10;oYZ0pTwDiA2LzpW8idEtiiLIRhkR9sgpC2dN3oiIq78uKi86oBtdTEajw6IjXzlPUoWA19PBybeI&#10;/jmAVNetVKckN0bZOKB6pUUEpdC0LvBlrraulYwXdR1UZLrkYBrziSSw1+kslsdice2Fa1q5LUE8&#10;p4QnnIxoLZLeQ52KKNjGt39BmVZ6ClTHPUmmGIhkRcBiPHqizVUjnMpcIHVw96KH/wcr399cetZW&#10;JZ+Np4ez6fwAylhh0Pi779/ufvy6+/mVTedJp86FBcKvHD6I/WvqMT2794DHRL+vvUm/IMbgB9bt&#10;vcqqj0zicT6ZTY/gkXBN5pOj6UFCKR4+dj7Et4oMS0bJPZqYtRU35yEOobuQlMvSWat1bqS2rCv5&#10;4RQk/vAAXNv0ovJIbGESoaHwZMV+3W9Zrqm6BUlPw7gEJ89alHIuQrwUHvOB6rFB8QJHrQkpaWtx&#10;1pD/8q/3FI+2wctZh3krefi8EV5xpt9ZNHQ+3t8HbMyX/YOjCS7+sWf92GM35g1hpMfYVSezmeKj&#10;3pm1J/MJi7ZKWeESViJ3yePOfBOHLcCiSrVa5SCMpBPx3F45maAHCVebSHWbdU8yDdqgX+mCocyd&#10;2y5QmvrH9xz18Kex/A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qfqDO2wAAAAsBAAAPAAAAAAAA&#10;AAEAIAAAACIAAABkcnMvZG93bnJldi54bWxQSwECFAAUAAAACACHTuJAvzmOwEgCAAB8BAAADgAA&#10;AAAAAAABACAAAAAqAQAAZHJzL2Uyb0RvYy54bWxQSwUGAAAAAAYABgBZAQAA5AUAAAAA&#10;">
                <v:fill on="f" focussize="0,0"/>
                <v:stroke on="f" weight="0.5pt"/>
                <v:imagedata o:title=""/>
                <o:lock v:ext="edit" aspectratio="f"/>
                <v:textbox>
                  <w:txbxContent>
                    <w:p w14:paraId="275B53AC">
                      <w:pPr>
                        <w:ind w:firstLine="480"/>
                        <w:rPr>
                          <w:rFonts w:ascii="Times New Roman" w:hAnsi="Times New Roman" w:cs="Times New Roman"/>
                          <w:color w:val="FFFF00"/>
                          <w:lang w:eastAsia="zh-CN"/>
                        </w:rPr>
                      </w:pPr>
                      <w:r>
                        <w:rPr>
                          <w:rFonts w:hint="eastAsia" w:ascii="Times New Roman" w:hAnsi="Times New Roman" w:cs="Times New Roman"/>
                          <w:color w:val="FFFF00"/>
                          <w:lang w:eastAsia="zh-CN"/>
                        </w:rPr>
                        <w:t>10</w:t>
                      </w:r>
                      <w:r>
                        <w:rPr>
                          <w:rFonts w:ascii="Times New Roman" w:hAnsi="Times New Roman" w:cs="Times New Roman"/>
                          <w:color w:val="FFFF00"/>
                          <w:lang w:eastAsia="zh-CN"/>
                        </w:rPr>
                        <w:t>00</w:t>
                      </w:r>
                      <w:r>
                        <w:rPr>
                          <w:rFonts w:hint="eastAsia" w:ascii="Times New Roman" w:hAnsi="Times New Roman" w:cs="Times New Roman"/>
                          <w:color w:val="FFFF00"/>
                          <w:lang w:eastAsia="zh-CN"/>
                        </w:rPr>
                        <w:t>m</w:t>
                      </w:r>
                      <w:r>
                        <w:rPr>
                          <w:rFonts w:ascii="Times New Roman" w:hAnsi="Times New Roman" w:cs="Times New Roman"/>
                          <w:color w:val="FFFF00"/>
                          <w:lang w:eastAsia="zh-CN"/>
                        </w:rPr>
                        <w:t>m</w:t>
                      </w:r>
                    </w:p>
                  </w:txbxContent>
                </v:textbox>
              </v:shape>
            </w:pict>
          </mc:Fallback>
        </mc:AlternateContent>
      </w:r>
      <w:r>
        <w:rPr>
          <w:rFonts w:hint="eastAsia"/>
        </w:rPr>
        <mc:AlternateContent>
          <mc:Choice Requires="wps">
            <w:drawing>
              <wp:anchor distT="0" distB="0" distL="114300" distR="114300" simplePos="0" relativeHeight="251787264" behindDoc="0" locked="0" layoutInCell="1" allowOverlap="1">
                <wp:simplePos x="0" y="0"/>
                <wp:positionH relativeFrom="column">
                  <wp:posOffset>2939415</wp:posOffset>
                </wp:positionH>
                <wp:positionV relativeFrom="paragraph">
                  <wp:posOffset>2425065</wp:posOffset>
                </wp:positionV>
                <wp:extent cx="1825625" cy="0"/>
                <wp:effectExtent l="38100" t="76200" r="22860" b="95250"/>
                <wp:wrapNone/>
                <wp:docPr id="1110051866" name="直接箭头连接符 194"/>
                <wp:cNvGraphicFramePr/>
                <a:graphic xmlns:a="http://schemas.openxmlformats.org/drawingml/2006/main">
                  <a:graphicData uri="http://schemas.microsoft.com/office/word/2010/wordprocessingShape">
                    <wps:wsp>
                      <wps:cNvCnPr>
                        <a:cxnSpLocks noChangeShapeType="1"/>
                      </wps:cNvCnPr>
                      <wps:spPr bwMode="auto">
                        <a:xfrm flipV="1">
                          <a:off x="0" y="0"/>
                          <a:ext cx="1825404" cy="0"/>
                        </a:xfrm>
                        <a:prstGeom prst="straightConnector1">
                          <a:avLst/>
                        </a:prstGeom>
                        <a:noFill/>
                        <a:ln w="19050" algn="ctr">
                          <a:solidFill>
                            <a:srgbClr val="FFFF00"/>
                          </a:solidFill>
                          <a:miter lim="800000"/>
                          <a:headEnd type="triangle" w="med" len="med"/>
                          <a:tailEnd type="triangle" w="med" len="med"/>
                        </a:ln>
                      </wps:spPr>
                      <wps:bodyPr/>
                    </wps:wsp>
                  </a:graphicData>
                </a:graphic>
              </wp:anchor>
            </w:drawing>
          </mc:Choice>
          <mc:Fallback>
            <w:pict>
              <v:shape id="直接箭头连接符 194" o:spid="_x0000_s1026" o:spt="32" type="#_x0000_t32" style="position:absolute;left:0pt;flip:y;margin-left:231.45pt;margin-top:190.95pt;height:0pt;width:143.75pt;z-index:251787264;mso-width-relative:page;mso-height-relative:page;" filled="f" stroked="t" coordsize="21600,21600" o:gfxdata="UEsDBAoAAAAAAIdO4kAAAAAAAAAAAAAAAAAEAAAAZHJzL1BLAwQUAAAACACHTuJASepWUtoAAAAL&#10;AQAADwAAAGRycy9kb3ducmV2LnhtbE2Py07DMBBF90j8gzVI7KidUkoJcbqg6oKiLggPiZ0bD0na&#10;eBzFThv+nkFCgt08ju6cyZaja8UR+9B40pBMFAik0tuGKg2vL+urBYgQDVnTekINXxhgmZ+fZSa1&#10;/kTPeCxiJTiEQmo01DF2qZShrNGZMPEdEu8+fe9M5LavpO3NicNdK6dKzaUzDfGF2nT4UGN5KAan&#10;YVOMh/ewGVS1fdy/2fXTfvURV1pfXiTqHkTEMf7B8KPP6pCz084PZINoNczm0ztGNVwvEi6YuL1R&#10;MxC734nMM/n/h/wbUEsDBBQAAAAIAIdO4kCJAnZQNAIAAEgEAAAOAAAAZHJzL2Uyb0RvYy54bWyt&#10;VMuO0zAU3SPxD5b3NMmorTpR01m0lM0AlWZg79pOYuGXbLdpf4IfQGIFrIDV7PkaGD6Da6fTYYZN&#10;F2Rh+XXOvffc40wvdkqiLXdeGF3hYpBjxDU1TOimwm+ul88mGPlANCPSaF7hPff4Yvb0ybSzJT8z&#10;rZGMOwQk2pedrXAbgi2zzNOWK+IHxnINh7VxigRYuiZjjnTArmR2lufjrDOOWWco9x52F/0hPjC6&#10;UwhNXQvKF4ZuFNehZ3VckgAl+VZYj2cp27rmNLyua88DkhWGSkMaIQjM13HMZlNSNo7YVtBDCuSU&#10;FB7VpIjQEPRItSCBoI0T/1ApQZ3xpg4DalTWF5IUgSqK/JE2Vy2xPNUCUnt7FN3/P1r6artySDBw&#10;QlHk+aiYjMcYaaKg87cfbn69/3z7/dvPTze/f3yM869fUHE+jKp11pcAnuuVi3XTnb6yl4a+80ib&#10;eUt0w1P213sLTEVEZA8gceEtxF53Lw2DO2QTTJJwVzuFains2wiM5CAT2qWe7Y8947uAKGwWk7PR&#10;MB9iRO/OMlJGigi0zocX3CgUJxX2wRHRtGFutAZnGNfTk+2lDzHBe0AEa7MUUiaDSI06CHWej8A3&#10;RDbwcGhwKTdvpGDxYoR416zn0qEtAbst4cuTw4D4wTUlAjwhKVSFJ3n8ehu2nLDnmqGQNAtOgIqS&#10;4xhacYaR5BA3zlJOgQh56m1IQOpDB6LoffvWhu1X7q4zYLAkweExRAf/vU7o+x/A7A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J6lZS2gAAAAsBAAAPAAAAAAAAAAEAIAAAACIAAABkcnMvZG93bnJl&#10;di54bWxQSwECFAAUAAAACACHTuJAiQJ2UDQCAABIBAAADgAAAAAAAAABACAAAAApAQAAZHJzL2Uy&#10;b0RvYy54bWxQSwUGAAAAAAYABgBZAQAAzwUAAAAA&#10;">
                <v:fill on="f" focussize="0,0"/>
                <v:stroke weight="1.5pt" color="#FFFF00" miterlimit="8" joinstyle="miter" startarrow="block" endarrow="block"/>
                <v:imagedata o:title=""/>
                <o:lock v:ext="edit" aspectratio="f"/>
              </v:shape>
            </w:pict>
          </mc:Fallback>
        </mc:AlternateContent>
      </w:r>
      <w:r>
        <w:drawing>
          <wp:anchor distT="0" distB="0" distL="114300" distR="114300" simplePos="0" relativeHeight="251785216" behindDoc="0" locked="0" layoutInCell="1" allowOverlap="1">
            <wp:simplePos x="0" y="0"/>
            <wp:positionH relativeFrom="column">
              <wp:posOffset>5209540</wp:posOffset>
            </wp:positionH>
            <wp:positionV relativeFrom="paragraph">
              <wp:posOffset>57150</wp:posOffset>
            </wp:positionV>
            <wp:extent cx="875030" cy="661670"/>
            <wp:effectExtent l="0" t="0" r="0" b="0"/>
            <wp:wrapNone/>
            <wp:docPr id="5565" name="图片 3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5" name="图片 394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875030" cy="661670"/>
                    </a:xfrm>
                    <a:prstGeom prst="rect">
                      <a:avLst/>
                    </a:prstGeom>
                    <a:noFill/>
                    <a:ln>
                      <a:noFill/>
                    </a:ln>
                  </pic:spPr>
                </pic:pic>
              </a:graphicData>
            </a:graphic>
          </wp:anchor>
        </w:drawing>
      </w:r>
      <w:r>
        <w:t xml:space="preserve"> </w:t>
      </w:r>
      <w:r>
        <w:drawing>
          <wp:inline distT="0" distB="0" distL="0" distR="0">
            <wp:extent cx="5968365" cy="5247640"/>
            <wp:effectExtent l="0" t="0" r="0" b="0"/>
            <wp:docPr id="14406880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688033" name="图片 1"/>
                    <pic:cNvPicPr>
                      <a:picLocks noChangeAspect="1"/>
                    </pic:cNvPicPr>
                  </pic:nvPicPr>
                  <pic:blipFill>
                    <a:blip r:embed="rId97"/>
                    <a:stretch>
                      <a:fillRect/>
                    </a:stretch>
                  </pic:blipFill>
                  <pic:spPr>
                    <a:xfrm>
                      <a:off x="0" y="0"/>
                      <a:ext cx="5989872" cy="5266490"/>
                    </a:xfrm>
                    <a:prstGeom prst="rect">
                      <a:avLst/>
                    </a:prstGeom>
                  </pic:spPr>
                </pic:pic>
              </a:graphicData>
            </a:graphic>
          </wp:inline>
        </w:drawing>
      </w:r>
    </w:p>
    <w:p w14:paraId="0EDFEC25">
      <w:pPr>
        <w:pStyle w:val="42"/>
        <w:jc w:val="center"/>
        <w:rPr>
          <w:b/>
          <w:bCs/>
          <w:color w:val="auto"/>
        </w:rPr>
      </w:pPr>
      <w:r>
        <w:rPr>
          <w:b/>
          <w:bCs/>
          <w:color w:val="auto"/>
        </w:rPr>
        <w:t>图6.</w:t>
      </w:r>
      <w:r>
        <w:rPr>
          <w:rFonts w:hint="eastAsia"/>
          <w:b/>
          <w:bCs/>
          <w:color w:val="auto"/>
        </w:rPr>
        <w:t>7</w:t>
      </w:r>
      <w:r>
        <w:rPr>
          <w:b/>
          <w:bCs/>
          <w:color w:val="auto"/>
        </w:rPr>
        <w:t>-</w:t>
      </w:r>
      <w:r>
        <w:rPr>
          <w:rFonts w:hint="eastAsia"/>
          <w:b/>
          <w:bCs/>
          <w:color w:val="auto"/>
        </w:rPr>
        <w:t>1</w:t>
      </w:r>
      <w:r>
        <w:rPr>
          <w:b/>
          <w:bCs/>
          <w:color w:val="auto"/>
        </w:rPr>
        <w:t xml:space="preserve"> </w:t>
      </w:r>
      <w:r>
        <w:rPr>
          <w:rFonts w:hint="eastAsia"/>
          <w:b/>
          <w:bCs/>
          <w:color w:val="auto"/>
        </w:rPr>
        <w:t>土壤预测</w:t>
      </w:r>
      <w:r>
        <w:rPr>
          <w:b/>
          <w:bCs/>
          <w:color w:val="auto"/>
        </w:rPr>
        <w:t>范围图</w:t>
      </w:r>
    </w:p>
    <w:p w14:paraId="0261FDBF">
      <w:pPr>
        <w:pStyle w:val="84"/>
        <w:widowControl w:val="0"/>
        <w:numPr>
          <w:ilvl w:val="3"/>
          <w:numId w:val="10"/>
        </w:numPr>
        <w:spacing w:line="360" w:lineRule="auto"/>
        <w:ind w:firstLineChars="0"/>
        <w:jc w:val="both"/>
        <w:outlineLvl w:val="3"/>
        <w:rPr>
          <w:rFonts w:ascii="Times New Roman" w:hAnsi="Times New Roman" w:eastAsia="新宋体" w:cs="Times New Roman"/>
          <w:color w:val="auto"/>
          <w:szCs w:val="24"/>
          <w:lang w:eastAsia="zh-CN"/>
        </w:rPr>
      </w:pPr>
      <w:r>
        <w:rPr>
          <w:rFonts w:hint="eastAsia" w:ascii="Times New Roman" w:hAnsi="Times New Roman" w:eastAsia="新宋体" w:cs="Times New Roman"/>
          <w:b/>
          <w:bCs/>
          <w:color w:val="auto"/>
          <w:szCs w:val="24"/>
          <w:lang w:eastAsia="zh-CN"/>
        </w:rPr>
        <w:t>沉降对土壤的环境影响分析</w:t>
      </w:r>
    </w:p>
    <w:p w14:paraId="783247B3">
      <w:pPr>
        <w:widowControl w:val="0"/>
        <w:spacing w:line="360" w:lineRule="auto"/>
        <w:ind w:firstLine="480" w:firstLineChars="200"/>
        <w:jc w:val="both"/>
        <w:rPr>
          <w:rFonts w:ascii="Times New Roman" w:hAnsi="Times New Roman" w:eastAsia="新宋体" w:cs="Times New Roman"/>
          <w:bCs/>
          <w:color w:val="auto"/>
          <w:szCs w:val="24"/>
          <w:lang w:eastAsia="zh-CN"/>
        </w:rPr>
      </w:pPr>
      <w:r>
        <w:rPr>
          <w:rFonts w:ascii="Times New Roman" w:hAnsi="Times New Roman" w:eastAsia="新宋体" w:cs="Times New Roman"/>
          <w:bCs/>
          <w:color w:val="auto"/>
          <w:szCs w:val="24"/>
          <w:lang w:eastAsia="zh-CN"/>
        </w:rPr>
        <w:t>拟建工程产生的废气主要为</w:t>
      </w:r>
      <w:r>
        <w:rPr>
          <w:rFonts w:hint="eastAsia" w:ascii="Times New Roman" w:hAnsi="Times New Roman" w:eastAsia="新宋体" w:cs="Times New Roman"/>
          <w:bCs/>
          <w:color w:val="auto"/>
          <w:szCs w:val="24"/>
          <w:lang w:eastAsia="zh-CN"/>
        </w:rPr>
        <w:t>氟化物、氯化氢</w:t>
      </w:r>
      <w:r>
        <w:rPr>
          <w:rFonts w:ascii="Times New Roman" w:hAnsi="Times New Roman" w:eastAsia="新宋体" w:cs="Times New Roman"/>
          <w:bCs/>
          <w:color w:val="auto"/>
          <w:szCs w:val="24"/>
          <w:lang w:eastAsia="zh-CN"/>
        </w:rPr>
        <w:t>废气，经废气处理装置进行处理后，通过排气筒排放，因此，本项目仅考虑废气沉降对土壤环境的影响。</w:t>
      </w:r>
    </w:p>
    <w:p w14:paraId="1EBAE7BB">
      <w:pPr>
        <w:widowControl w:val="0"/>
        <w:spacing w:line="360" w:lineRule="auto"/>
        <w:ind w:firstLine="480" w:firstLineChars="200"/>
        <w:jc w:val="both"/>
        <w:rPr>
          <w:rFonts w:ascii="Times New Roman" w:hAnsi="Times New Roman" w:eastAsia="新宋体" w:cs="Times New Roman"/>
          <w:bCs/>
          <w:color w:val="auto"/>
          <w:szCs w:val="24"/>
          <w:lang w:eastAsia="zh-CN"/>
        </w:rPr>
      </w:pPr>
      <w:r>
        <w:rPr>
          <w:rFonts w:hint="eastAsia" w:ascii="Times New Roman" w:hAnsi="Times New Roman" w:eastAsia="新宋体" w:cs="Times New Roman"/>
          <w:bCs/>
          <w:color w:val="auto"/>
          <w:szCs w:val="24"/>
          <w:lang w:eastAsia="zh-CN"/>
        </w:rPr>
        <w:t>（1）</w:t>
      </w:r>
      <w:r>
        <w:rPr>
          <w:rFonts w:ascii="Times New Roman" w:hAnsi="Times New Roman" w:eastAsia="新宋体" w:cs="Times New Roman"/>
          <w:bCs/>
          <w:color w:val="auto"/>
          <w:szCs w:val="24"/>
          <w:lang w:eastAsia="zh-CN"/>
        </w:rPr>
        <w:t>预测模式</w:t>
      </w:r>
    </w:p>
    <w:p w14:paraId="0358C695">
      <w:pPr>
        <w:widowControl w:val="0"/>
        <w:spacing w:line="360" w:lineRule="auto"/>
        <w:ind w:firstLine="480" w:firstLineChars="200"/>
        <w:jc w:val="both"/>
        <w:rPr>
          <w:rFonts w:ascii="Times New Roman" w:hAnsi="Times New Roman" w:eastAsia="新宋体" w:cs="Times New Roman"/>
          <w:bCs/>
          <w:color w:val="auto"/>
          <w:szCs w:val="24"/>
          <w:lang w:eastAsia="zh-CN"/>
        </w:rPr>
      </w:pPr>
      <w:r>
        <w:rPr>
          <w:rFonts w:ascii="Times New Roman" w:hAnsi="Times New Roman" w:eastAsia="新宋体" w:cs="Times New Roman"/>
          <w:bCs/>
          <w:color w:val="auto"/>
          <w:szCs w:val="24"/>
          <w:lang w:eastAsia="zh-CN"/>
        </w:rPr>
        <w:t>土壤污染预测采用《环境影响评价技术导则 土壤环境（试行）》（HJ964-2018）附录E中的方法一，该方法适用于某种物质可概化为以面源形式进入土壤环境的影响预测，包括大气沉降、地面漫流以及盐、酸、碱类等物质进入土壤环境引起的土壤盐化、酸化、碱化等。</w:t>
      </w:r>
    </w:p>
    <w:p w14:paraId="7FC6E6D7">
      <w:pPr>
        <w:pStyle w:val="84"/>
        <w:widowControl w:val="0"/>
        <w:numPr>
          <w:ilvl w:val="0"/>
          <w:numId w:val="11"/>
        </w:numPr>
        <w:spacing w:line="360" w:lineRule="auto"/>
        <w:ind w:firstLineChars="0"/>
        <w:jc w:val="both"/>
        <w:rPr>
          <w:rFonts w:ascii="Times New Roman" w:hAnsi="Times New Roman" w:eastAsia="新宋体" w:cs="Times New Roman"/>
          <w:bCs/>
          <w:color w:val="auto"/>
          <w:szCs w:val="24"/>
          <w:lang w:eastAsia="zh-CN"/>
        </w:rPr>
      </w:pPr>
      <w:r>
        <w:rPr>
          <w:rFonts w:ascii="Times New Roman" w:hAnsi="Times New Roman" w:eastAsia="新宋体" w:cs="Times New Roman"/>
          <w:bCs/>
          <w:color w:val="auto"/>
          <w:szCs w:val="24"/>
          <w:lang w:eastAsia="zh-CN"/>
        </w:rPr>
        <w:t>单位质量土壤中某种物质的增量可用下式计算：</w:t>
      </w:r>
    </w:p>
    <w:p w14:paraId="0C92C676">
      <w:pPr>
        <w:widowControl w:val="0"/>
        <w:spacing w:line="360" w:lineRule="auto"/>
        <w:jc w:val="center"/>
        <w:rPr>
          <w:rFonts w:ascii="Times New Roman" w:hAnsi="Times New Roman" w:eastAsia="新宋体" w:cs="Times New Roman"/>
          <w:bCs/>
          <w:color w:val="auto"/>
          <w:szCs w:val="24"/>
          <w:lang w:eastAsia="zh-CN"/>
        </w:rPr>
      </w:pPr>
      <w:r>
        <w:rPr>
          <w:rFonts w:ascii="Times New Roman" w:hAnsi="Times New Roman" w:eastAsia="新宋体" w:cs="Times New Roman"/>
          <w:color w:val="auto"/>
          <w:szCs w:val="24"/>
          <w:lang w:eastAsia="zh-CN"/>
        </w:rPr>
        <w:drawing>
          <wp:inline distT="0" distB="0" distL="0" distR="0">
            <wp:extent cx="3000375" cy="257175"/>
            <wp:effectExtent l="0" t="0" r="0" b="0"/>
            <wp:docPr id="140"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5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a:xfrm>
                      <a:off x="0" y="0"/>
                      <a:ext cx="3000375" cy="257175"/>
                    </a:xfrm>
                    <a:prstGeom prst="rect">
                      <a:avLst/>
                    </a:prstGeom>
                    <a:noFill/>
                    <a:ln>
                      <a:noFill/>
                    </a:ln>
                  </pic:spPr>
                </pic:pic>
              </a:graphicData>
            </a:graphic>
          </wp:inline>
        </w:drawing>
      </w:r>
    </w:p>
    <w:p w14:paraId="75D4562F">
      <w:pPr>
        <w:widowControl w:val="0"/>
        <w:spacing w:line="360" w:lineRule="auto"/>
        <w:ind w:firstLine="480" w:firstLineChars="200"/>
        <w:jc w:val="both"/>
        <w:rPr>
          <w:rFonts w:ascii="Times New Roman" w:hAnsi="Times New Roman" w:eastAsia="新宋体" w:cs="Times New Roman"/>
          <w:bCs/>
          <w:color w:val="auto"/>
          <w:szCs w:val="24"/>
          <w:lang w:eastAsia="zh-CN"/>
        </w:rPr>
      </w:pPr>
      <w:r>
        <w:rPr>
          <w:rFonts w:ascii="Times New Roman" w:hAnsi="Times New Roman" w:eastAsia="新宋体" w:cs="Times New Roman"/>
          <w:bCs/>
          <w:color w:val="auto"/>
          <w:szCs w:val="24"/>
          <w:lang w:eastAsia="zh-CN"/>
        </w:rPr>
        <w:t>式中：</w:t>
      </w:r>
      <w:r>
        <w:rPr>
          <w:rFonts w:ascii="Cambria Math" w:hAnsi="Cambria Math" w:eastAsia="新宋体" w:cs="Cambria Math"/>
          <w:bCs/>
          <w:color w:val="auto"/>
          <w:szCs w:val="24"/>
          <w:lang w:eastAsia="zh-CN"/>
        </w:rPr>
        <w:t>△</w:t>
      </w:r>
      <w:r>
        <w:rPr>
          <w:rFonts w:ascii="Times New Roman" w:hAnsi="Times New Roman" w:eastAsia="新宋体" w:cs="Times New Roman"/>
          <w:bCs/>
          <w:color w:val="auto"/>
          <w:szCs w:val="24"/>
          <w:lang w:eastAsia="zh-CN"/>
        </w:rPr>
        <w:t>S—单位质量表层土壤中某种物质的增量，g/kg；</w:t>
      </w:r>
    </w:p>
    <w:p w14:paraId="6DFB478D">
      <w:pPr>
        <w:widowControl w:val="0"/>
        <w:spacing w:line="360" w:lineRule="auto"/>
        <w:ind w:firstLine="480" w:firstLineChars="200"/>
        <w:jc w:val="both"/>
        <w:rPr>
          <w:rFonts w:ascii="Times New Roman" w:hAnsi="Times New Roman" w:eastAsia="新宋体" w:cs="Times New Roman"/>
          <w:bCs/>
          <w:color w:val="auto"/>
          <w:szCs w:val="24"/>
          <w:lang w:eastAsia="zh-CN"/>
        </w:rPr>
      </w:pPr>
      <w:r>
        <w:rPr>
          <w:rFonts w:ascii="Times New Roman" w:hAnsi="Times New Roman" w:eastAsia="新宋体" w:cs="Times New Roman"/>
          <w:bCs/>
          <w:color w:val="auto"/>
          <w:szCs w:val="24"/>
          <w:lang w:eastAsia="zh-CN"/>
        </w:rPr>
        <w:t xml:space="preserve">      Is—预测评价范围内单位年份表层土壤中某种物质的输入量，g；</w:t>
      </w:r>
    </w:p>
    <w:p w14:paraId="5BF4DD70">
      <w:pPr>
        <w:widowControl w:val="0"/>
        <w:spacing w:line="360" w:lineRule="auto"/>
        <w:ind w:firstLine="480" w:firstLineChars="200"/>
        <w:jc w:val="both"/>
        <w:rPr>
          <w:rFonts w:ascii="Times New Roman" w:hAnsi="Times New Roman" w:eastAsia="新宋体" w:cs="Times New Roman"/>
          <w:bCs/>
          <w:color w:val="auto"/>
          <w:szCs w:val="24"/>
          <w:lang w:eastAsia="zh-CN"/>
        </w:rPr>
      </w:pPr>
      <w:r>
        <w:rPr>
          <w:rFonts w:ascii="Times New Roman" w:hAnsi="Times New Roman" w:eastAsia="新宋体" w:cs="Times New Roman"/>
          <w:bCs/>
          <w:color w:val="auto"/>
          <w:szCs w:val="24"/>
          <w:lang w:eastAsia="zh-CN"/>
        </w:rPr>
        <w:t xml:space="preserve">      Ls—预测评价范围内单位年份表层土壤中某种物质经淋溶排出的量，g；</w:t>
      </w:r>
    </w:p>
    <w:p w14:paraId="5BDFFD35">
      <w:pPr>
        <w:widowControl w:val="0"/>
        <w:spacing w:line="360" w:lineRule="auto"/>
        <w:ind w:firstLine="480" w:firstLineChars="200"/>
        <w:jc w:val="both"/>
        <w:rPr>
          <w:rFonts w:ascii="Times New Roman" w:hAnsi="Times New Roman" w:eastAsia="新宋体" w:cs="Times New Roman"/>
          <w:bCs/>
          <w:color w:val="auto"/>
          <w:szCs w:val="24"/>
          <w:lang w:eastAsia="zh-CN"/>
        </w:rPr>
      </w:pPr>
      <w:r>
        <w:rPr>
          <w:rFonts w:ascii="Times New Roman" w:hAnsi="Times New Roman" w:eastAsia="新宋体" w:cs="Times New Roman"/>
          <w:bCs/>
          <w:color w:val="auto"/>
          <w:szCs w:val="24"/>
          <w:lang w:eastAsia="zh-CN"/>
        </w:rPr>
        <w:t xml:space="preserve">      Rs—预测评价范围内单位年份表层土壤中某种物质经径流排出的量，g；</w:t>
      </w:r>
    </w:p>
    <w:p w14:paraId="3B01CD32">
      <w:pPr>
        <w:widowControl w:val="0"/>
        <w:spacing w:line="360" w:lineRule="auto"/>
        <w:ind w:firstLine="480" w:firstLineChars="200"/>
        <w:jc w:val="both"/>
        <w:rPr>
          <w:rFonts w:ascii="Times New Roman" w:hAnsi="Times New Roman" w:eastAsia="新宋体" w:cs="Times New Roman"/>
          <w:bCs/>
          <w:color w:val="auto"/>
          <w:szCs w:val="24"/>
          <w:lang w:eastAsia="zh-CN"/>
        </w:rPr>
      </w:pPr>
      <w:r>
        <w:rPr>
          <w:rFonts w:ascii="Times New Roman" w:hAnsi="Times New Roman" w:eastAsia="新宋体" w:cs="Times New Roman"/>
          <w:bCs/>
          <w:color w:val="auto"/>
          <w:szCs w:val="24"/>
          <w:lang w:eastAsia="zh-CN"/>
        </w:rPr>
        <w:t xml:space="preserve">      ρb—表层土壤容重，kg/m</w:t>
      </w:r>
      <w:r>
        <w:rPr>
          <w:rFonts w:ascii="Times New Roman" w:hAnsi="Times New Roman" w:eastAsia="新宋体" w:cs="Times New Roman"/>
          <w:bCs/>
          <w:color w:val="auto"/>
          <w:szCs w:val="24"/>
          <w:vertAlign w:val="superscript"/>
          <w:lang w:eastAsia="zh-CN"/>
        </w:rPr>
        <w:t>3</w:t>
      </w:r>
      <w:r>
        <w:rPr>
          <w:rFonts w:ascii="Times New Roman" w:hAnsi="Times New Roman" w:eastAsia="新宋体" w:cs="Times New Roman"/>
          <w:bCs/>
          <w:color w:val="auto"/>
          <w:szCs w:val="24"/>
          <w:lang w:eastAsia="zh-CN"/>
        </w:rPr>
        <w:t>，取1</w:t>
      </w:r>
      <w:r>
        <w:rPr>
          <w:rFonts w:hint="eastAsia" w:ascii="Times New Roman" w:hAnsi="Times New Roman" w:eastAsia="新宋体" w:cs="Times New Roman"/>
          <w:bCs/>
          <w:color w:val="auto"/>
          <w:szCs w:val="24"/>
          <w:lang w:eastAsia="zh-CN"/>
        </w:rPr>
        <w:t>20</w:t>
      </w:r>
      <w:r>
        <w:rPr>
          <w:rFonts w:ascii="Times New Roman" w:hAnsi="Times New Roman" w:eastAsia="新宋体" w:cs="Times New Roman"/>
          <w:bCs/>
          <w:color w:val="auto"/>
          <w:szCs w:val="24"/>
          <w:lang w:eastAsia="zh-CN"/>
        </w:rPr>
        <w:t>0kg/m</w:t>
      </w:r>
      <w:r>
        <w:rPr>
          <w:rFonts w:ascii="Times New Roman" w:hAnsi="Times New Roman" w:eastAsia="新宋体" w:cs="Times New Roman"/>
          <w:bCs/>
          <w:color w:val="auto"/>
          <w:szCs w:val="24"/>
          <w:vertAlign w:val="superscript"/>
          <w:lang w:eastAsia="zh-CN"/>
        </w:rPr>
        <w:t>3</w:t>
      </w:r>
      <w:r>
        <w:rPr>
          <w:rFonts w:ascii="Times New Roman" w:hAnsi="Times New Roman" w:eastAsia="新宋体" w:cs="Times New Roman"/>
          <w:bCs/>
          <w:color w:val="auto"/>
          <w:szCs w:val="24"/>
          <w:lang w:eastAsia="zh-CN"/>
        </w:rPr>
        <w:t>；</w:t>
      </w:r>
    </w:p>
    <w:p w14:paraId="4F29C311">
      <w:pPr>
        <w:widowControl w:val="0"/>
        <w:spacing w:line="360" w:lineRule="auto"/>
        <w:ind w:firstLine="1200" w:firstLineChars="500"/>
        <w:jc w:val="both"/>
        <w:rPr>
          <w:rFonts w:ascii="Times New Roman" w:hAnsi="Times New Roman" w:eastAsia="新宋体" w:cs="Times New Roman"/>
          <w:bCs/>
          <w:color w:val="auto"/>
          <w:szCs w:val="24"/>
          <w:lang w:eastAsia="zh-CN"/>
        </w:rPr>
      </w:pPr>
      <w:r>
        <w:rPr>
          <w:rFonts w:ascii="Times New Roman" w:hAnsi="Times New Roman" w:eastAsia="新宋体" w:cs="Times New Roman"/>
          <w:bCs/>
          <w:color w:val="auto"/>
          <w:szCs w:val="24"/>
          <w:lang w:eastAsia="zh-CN"/>
        </w:rPr>
        <w:t>A—预测评价范围，m</w:t>
      </w:r>
      <w:r>
        <w:rPr>
          <w:rFonts w:ascii="Times New Roman" w:hAnsi="Times New Roman" w:eastAsia="新宋体" w:cs="Times New Roman"/>
          <w:bCs/>
          <w:color w:val="auto"/>
          <w:szCs w:val="24"/>
          <w:vertAlign w:val="superscript"/>
          <w:lang w:eastAsia="zh-CN"/>
        </w:rPr>
        <w:t>2</w:t>
      </w:r>
      <w:r>
        <w:rPr>
          <w:rFonts w:ascii="Times New Roman" w:hAnsi="Times New Roman" w:eastAsia="新宋体" w:cs="Times New Roman"/>
          <w:bCs/>
          <w:color w:val="auto"/>
          <w:szCs w:val="24"/>
          <w:lang w:eastAsia="zh-CN"/>
        </w:rPr>
        <w:t>；</w:t>
      </w:r>
    </w:p>
    <w:p w14:paraId="102D3D18">
      <w:pPr>
        <w:widowControl w:val="0"/>
        <w:spacing w:line="360" w:lineRule="auto"/>
        <w:ind w:firstLine="1200" w:firstLineChars="500"/>
        <w:jc w:val="both"/>
        <w:rPr>
          <w:rFonts w:ascii="Times New Roman" w:hAnsi="Times New Roman" w:eastAsia="新宋体" w:cs="Times New Roman"/>
          <w:bCs/>
          <w:color w:val="auto"/>
          <w:szCs w:val="24"/>
          <w:lang w:eastAsia="zh-CN"/>
        </w:rPr>
      </w:pPr>
      <w:r>
        <w:rPr>
          <w:rFonts w:ascii="Times New Roman" w:hAnsi="Times New Roman" w:eastAsia="新宋体" w:cs="Times New Roman"/>
          <w:bCs/>
          <w:color w:val="auto"/>
          <w:szCs w:val="24"/>
          <w:lang w:eastAsia="zh-CN"/>
        </w:rPr>
        <w:t>D—表层土壤深度，一般取0.2m，可根据实际情况适当调整；</w:t>
      </w:r>
    </w:p>
    <w:p w14:paraId="328D73FF">
      <w:pPr>
        <w:widowControl w:val="0"/>
        <w:spacing w:line="360" w:lineRule="auto"/>
        <w:ind w:firstLine="1200" w:firstLineChars="500"/>
        <w:jc w:val="both"/>
        <w:rPr>
          <w:rFonts w:ascii="Times New Roman" w:hAnsi="Times New Roman" w:eastAsia="新宋体" w:cs="Times New Roman"/>
          <w:bCs/>
          <w:color w:val="auto"/>
          <w:szCs w:val="24"/>
          <w:lang w:eastAsia="zh-CN"/>
        </w:rPr>
      </w:pPr>
      <w:r>
        <w:rPr>
          <w:rFonts w:ascii="Times New Roman" w:hAnsi="Times New Roman" w:eastAsia="新宋体" w:cs="Times New Roman"/>
          <w:bCs/>
          <w:color w:val="auto"/>
          <w:szCs w:val="24"/>
          <w:lang w:eastAsia="zh-CN"/>
        </w:rPr>
        <w:t>n—持续年份，a。</w:t>
      </w:r>
    </w:p>
    <w:p w14:paraId="77A7D2E7">
      <w:pPr>
        <w:widowControl w:val="0"/>
        <w:spacing w:line="360" w:lineRule="auto"/>
        <w:ind w:firstLine="1200" w:firstLineChars="500"/>
        <w:jc w:val="both"/>
        <w:rPr>
          <w:rFonts w:ascii="Times New Roman" w:hAnsi="Times New Roman" w:eastAsia="新宋体" w:cs="Times New Roman"/>
          <w:color w:val="auto"/>
          <w:szCs w:val="24"/>
          <w:lang w:eastAsia="zh-CN"/>
        </w:rPr>
      </w:pPr>
      <w:r>
        <w:rPr>
          <w:rFonts w:ascii="Times New Roman" w:hAnsi="Times New Roman" w:eastAsia="新宋体" w:cs="Times New Roman"/>
          <w:bCs/>
          <w:color w:val="auto"/>
          <w:szCs w:val="24"/>
          <w:lang w:eastAsia="zh-CN"/>
        </w:rPr>
        <w:t>b）单位质量土壤中某种物质的预测值可根据其增量叠加现状值进行计算，如式（E2）：</w:t>
      </w:r>
    </w:p>
    <w:p w14:paraId="7C52DCE1">
      <w:pPr>
        <w:widowControl w:val="0"/>
        <w:spacing w:line="360" w:lineRule="auto"/>
        <w:jc w:val="center"/>
        <w:rPr>
          <w:rFonts w:ascii="Times New Roman" w:hAnsi="Times New Roman" w:eastAsia="新宋体" w:cs="Times New Roman"/>
          <w:bCs/>
          <w:color w:val="auto"/>
          <w:szCs w:val="24"/>
          <w:lang w:eastAsia="zh-CN"/>
        </w:rPr>
      </w:pPr>
      <w:r>
        <w:rPr>
          <w:rFonts w:ascii="Times New Roman" w:hAnsi="Times New Roman" w:eastAsia="新宋体" w:cs="Times New Roman"/>
          <w:bCs/>
          <w:color w:val="auto"/>
          <w:szCs w:val="24"/>
          <w:lang w:eastAsia="zh-CN"/>
        </w:rPr>
        <w:t>S=Sb+</w:t>
      </w:r>
      <w:r>
        <w:rPr>
          <w:rFonts w:ascii="Cambria Math" w:hAnsi="Cambria Math" w:eastAsia="新宋体" w:cs="Cambria Math"/>
          <w:bCs/>
          <w:color w:val="auto"/>
          <w:szCs w:val="24"/>
          <w:lang w:eastAsia="zh-CN"/>
        </w:rPr>
        <w:t>△</w:t>
      </w:r>
      <w:r>
        <w:rPr>
          <w:rFonts w:ascii="Times New Roman" w:hAnsi="Times New Roman" w:eastAsia="新宋体" w:cs="Times New Roman"/>
          <w:bCs/>
          <w:color w:val="auto"/>
          <w:szCs w:val="24"/>
          <w:lang w:eastAsia="zh-CN"/>
        </w:rPr>
        <w:t>S                      （E.2）</w:t>
      </w:r>
    </w:p>
    <w:p w14:paraId="11F09269">
      <w:pPr>
        <w:widowControl w:val="0"/>
        <w:spacing w:line="360" w:lineRule="auto"/>
        <w:ind w:firstLine="960" w:firstLineChars="400"/>
        <w:rPr>
          <w:rFonts w:ascii="Times New Roman" w:hAnsi="Times New Roman" w:eastAsia="新宋体" w:cs="Times New Roman"/>
          <w:bCs/>
          <w:color w:val="auto"/>
          <w:szCs w:val="24"/>
          <w:lang w:eastAsia="zh-CN"/>
        </w:rPr>
      </w:pPr>
      <w:r>
        <w:rPr>
          <w:rFonts w:ascii="Times New Roman" w:hAnsi="Times New Roman" w:eastAsia="新宋体" w:cs="Times New Roman"/>
          <w:bCs/>
          <w:color w:val="auto"/>
          <w:szCs w:val="24"/>
          <w:lang w:eastAsia="zh-CN"/>
        </w:rPr>
        <w:t>式中：Sb—单位质量土壤中某种物质的现状值，g/kg；</w:t>
      </w:r>
    </w:p>
    <w:p w14:paraId="552D848F">
      <w:pPr>
        <w:widowControl w:val="0"/>
        <w:spacing w:line="360" w:lineRule="auto"/>
        <w:ind w:firstLine="480" w:firstLineChars="200"/>
        <w:rPr>
          <w:rFonts w:ascii="Times New Roman" w:hAnsi="Times New Roman" w:eastAsia="新宋体" w:cs="Times New Roman"/>
          <w:bCs/>
          <w:color w:val="auto"/>
          <w:szCs w:val="24"/>
          <w:lang w:eastAsia="zh-CN"/>
        </w:rPr>
      </w:pPr>
      <w:r>
        <w:rPr>
          <w:rFonts w:ascii="Times New Roman" w:hAnsi="Times New Roman" w:eastAsia="新宋体" w:cs="Times New Roman"/>
          <w:bCs/>
          <w:color w:val="auto"/>
          <w:szCs w:val="24"/>
          <w:lang w:eastAsia="zh-CN"/>
        </w:rPr>
        <w:t xml:space="preserve">     </w:t>
      </w:r>
      <w:r>
        <w:rPr>
          <w:rFonts w:hint="eastAsia" w:ascii="Times New Roman" w:hAnsi="Times New Roman" w:eastAsia="新宋体" w:cs="Times New Roman"/>
          <w:bCs/>
          <w:color w:val="auto"/>
          <w:szCs w:val="24"/>
          <w:lang w:eastAsia="zh-CN"/>
        </w:rPr>
        <w:t xml:space="preserve">    </w:t>
      </w:r>
      <w:r>
        <w:rPr>
          <w:rFonts w:ascii="Times New Roman" w:hAnsi="Times New Roman" w:eastAsia="新宋体" w:cs="Times New Roman"/>
          <w:bCs/>
          <w:color w:val="auto"/>
          <w:szCs w:val="24"/>
          <w:lang w:eastAsia="zh-CN"/>
        </w:rPr>
        <w:t xml:space="preserve"> S—单位质量土壤中某种物质的预测值，g/kg。</w:t>
      </w:r>
    </w:p>
    <w:p w14:paraId="4E43478D">
      <w:pPr>
        <w:widowControl w:val="0"/>
        <w:spacing w:line="360" w:lineRule="auto"/>
        <w:ind w:firstLine="960" w:firstLineChars="400"/>
        <w:jc w:val="both"/>
        <w:rPr>
          <w:rFonts w:ascii="Times New Roman" w:hAnsi="Times New Roman" w:eastAsia="新宋体" w:cs="Times New Roman"/>
          <w:bCs/>
          <w:color w:val="auto"/>
          <w:szCs w:val="24"/>
          <w:lang w:eastAsia="zh-CN"/>
        </w:rPr>
      </w:pPr>
      <w:r>
        <w:rPr>
          <w:rFonts w:ascii="Times New Roman" w:hAnsi="Times New Roman" w:eastAsia="新宋体" w:cs="Times New Roman"/>
          <w:bCs/>
          <w:color w:val="auto"/>
          <w:szCs w:val="24"/>
          <w:lang w:eastAsia="zh-CN"/>
        </w:rPr>
        <w:t>参数选取如下：</w:t>
      </w:r>
    </w:p>
    <w:p w14:paraId="061CD1C1">
      <w:pPr>
        <w:widowControl w:val="0"/>
        <w:spacing w:line="360" w:lineRule="auto"/>
        <w:ind w:firstLine="960" w:firstLineChars="400"/>
        <w:jc w:val="both"/>
        <w:rPr>
          <w:rFonts w:ascii="Times New Roman" w:hAnsi="Times New Roman" w:eastAsia="新宋体" w:cs="Times New Roman"/>
          <w:bCs/>
          <w:color w:val="auto"/>
          <w:szCs w:val="24"/>
          <w:lang w:eastAsia="zh-CN"/>
        </w:rPr>
      </w:pPr>
      <w:r>
        <w:rPr>
          <w:rFonts w:ascii="Times New Roman" w:hAnsi="Times New Roman" w:eastAsia="新宋体" w:cs="Times New Roman"/>
          <w:bCs/>
          <w:color w:val="auto"/>
          <w:szCs w:val="24"/>
          <w:lang w:eastAsia="zh-CN"/>
        </w:rPr>
        <w:t>Is：根据工程分析，</w:t>
      </w:r>
      <w:r>
        <w:rPr>
          <w:rFonts w:hint="eastAsia" w:ascii="Times New Roman" w:hAnsi="Times New Roman" w:eastAsia="新宋体" w:cs="Times New Roman"/>
          <w:bCs/>
          <w:color w:val="auto"/>
          <w:szCs w:val="24"/>
          <w:lang w:eastAsia="zh-CN"/>
        </w:rPr>
        <w:t>本项目氟化物</w:t>
      </w:r>
      <w:r>
        <w:rPr>
          <w:rFonts w:ascii="Times New Roman" w:hAnsi="Times New Roman" w:eastAsia="新宋体" w:cs="Times New Roman"/>
          <w:bCs/>
          <w:color w:val="auto"/>
          <w:szCs w:val="24"/>
          <w:lang w:eastAsia="zh-CN"/>
        </w:rPr>
        <w:t>排放源强为</w:t>
      </w:r>
      <w:r>
        <w:rPr>
          <w:rFonts w:hint="eastAsia" w:ascii="Times New Roman" w:hAnsi="Times New Roman" w:eastAsia="新宋体" w:cs="Times New Roman"/>
          <w:bCs/>
          <w:color w:val="auto"/>
          <w:szCs w:val="24"/>
          <w:lang w:eastAsia="zh-CN"/>
        </w:rPr>
        <w:t>0.052</w:t>
      </w:r>
      <w:r>
        <w:rPr>
          <w:rFonts w:ascii="Times New Roman" w:hAnsi="Times New Roman" w:eastAsia="新宋体" w:cs="Times New Roman"/>
          <w:bCs/>
          <w:color w:val="auto"/>
          <w:szCs w:val="24"/>
          <w:lang w:eastAsia="zh-CN"/>
        </w:rPr>
        <w:t>t/a，本次考虑污染物全部进入土壤环境中；</w:t>
      </w:r>
    </w:p>
    <w:p w14:paraId="1AA79150">
      <w:pPr>
        <w:widowControl w:val="0"/>
        <w:spacing w:line="360" w:lineRule="auto"/>
        <w:ind w:firstLine="960" w:firstLineChars="400"/>
        <w:jc w:val="both"/>
        <w:rPr>
          <w:rFonts w:ascii="Times New Roman" w:hAnsi="Times New Roman" w:eastAsia="新宋体" w:cs="Times New Roman"/>
          <w:bCs/>
          <w:color w:val="auto"/>
          <w:szCs w:val="24"/>
          <w:lang w:eastAsia="zh-CN"/>
        </w:rPr>
      </w:pPr>
      <w:r>
        <w:rPr>
          <w:rFonts w:ascii="Times New Roman" w:hAnsi="Times New Roman" w:eastAsia="新宋体" w:cs="Times New Roman"/>
          <w:bCs/>
          <w:color w:val="auto"/>
          <w:szCs w:val="24"/>
          <w:lang w:eastAsia="zh-CN"/>
        </w:rPr>
        <w:t>Ls、Rs：根据导则P17“涉及大气沉降影响的，可不考虑输出量”，本次评价不考虑输出量；</w:t>
      </w:r>
    </w:p>
    <w:p w14:paraId="297E6662">
      <w:pPr>
        <w:widowControl w:val="0"/>
        <w:spacing w:line="360" w:lineRule="auto"/>
        <w:ind w:firstLine="960" w:firstLineChars="400"/>
        <w:jc w:val="both"/>
        <w:rPr>
          <w:rFonts w:ascii="Times New Roman" w:hAnsi="Times New Roman" w:eastAsia="新宋体" w:cs="Times New Roman"/>
          <w:bCs/>
          <w:color w:val="auto"/>
          <w:szCs w:val="24"/>
          <w:lang w:eastAsia="zh-CN"/>
        </w:rPr>
      </w:pPr>
      <w:r>
        <w:rPr>
          <w:rFonts w:ascii="Times New Roman" w:hAnsi="Times New Roman" w:eastAsia="新宋体" w:cs="Times New Roman"/>
          <w:bCs/>
          <w:color w:val="auto"/>
          <w:szCs w:val="24"/>
          <w:lang w:eastAsia="zh-CN"/>
        </w:rPr>
        <w:t>A：</w:t>
      </w:r>
      <w:r>
        <w:rPr>
          <w:rFonts w:hint="eastAsia" w:ascii="Times New Roman" w:hAnsi="Times New Roman" w:eastAsia="新宋体" w:cs="Times New Roman"/>
          <w:bCs/>
          <w:color w:val="auto"/>
          <w:szCs w:val="24"/>
          <w:lang w:eastAsia="zh-CN"/>
        </w:rPr>
        <w:t>一</w:t>
      </w:r>
      <w:r>
        <w:rPr>
          <w:rFonts w:ascii="Times New Roman" w:hAnsi="Times New Roman" w:eastAsia="新宋体" w:cs="Times New Roman"/>
          <w:bCs/>
          <w:color w:val="auto"/>
          <w:szCs w:val="24"/>
          <w:lang w:eastAsia="zh-CN"/>
        </w:rPr>
        <w:t>级评价考虑占地范围外</w:t>
      </w:r>
      <w:r>
        <w:rPr>
          <w:rFonts w:hint="eastAsia" w:ascii="Times New Roman" w:hAnsi="Times New Roman" w:eastAsia="新宋体" w:cs="Times New Roman"/>
          <w:bCs/>
          <w:color w:val="auto"/>
          <w:szCs w:val="24"/>
          <w:lang w:eastAsia="zh-CN"/>
        </w:rPr>
        <w:t>10</w:t>
      </w:r>
      <w:r>
        <w:rPr>
          <w:rFonts w:ascii="Times New Roman" w:hAnsi="Times New Roman" w:eastAsia="新宋体" w:cs="Times New Roman"/>
          <w:bCs/>
          <w:color w:val="auto"/>
          <w:szCs w:val="24"/>
          <w:lang w:eastAsia="zh-CN"/>
        </w:rPr>
        <w:t>00m范围内，本次预测范围约为</w:t>
      </w:r>
      <w:r>
        <w:rPr>
          <w:rFonts w:hint="eastAsia" w:ascii="Times New Roman" w:hAnsi="Times New Roman" w:eastAsia="新宋体" w:cs="Times New Roman"/>
          <w:bCs/>
          <w:color w:val="auto"/>
          <w:szCs w:val="24"/>
          <w:lang w:eastAsia="zh-CN"/>
        </w:rPr>
        <w:t>4848773</w:t>
      </w:r>
      <w:r>
        <w:rPr>
          <w:rFonts w:ascii="Times New Roman" w:hAnsi="Times New Roman" w:eastAsia="新宋体" w:cs="Times New Roman"/>
          <w:bCs/>
          <w:color w:val="auto"/>
          <w:szCs w:val="24"/>
          <w:lang w:eastAsia="zh-CN"/>
        </w:rPr>
        <w:t>m</w:t>
      </w:r>
      <w:r>
        <w:rPr>
          <w:rFonts w:ascii="Times New Roman" w:hAnsi="Times New Roman" w:eastAsia="新宋体" w:cs="Times New Roman"/>
          <w:bCs/>
          <w:color w:val="auto"/>
          <w:szCs w:val="24"/>
          <w:vertAlign w:val="superscript"/>
          <w:lang w:eastAsia="zh-CN"/>
        </w:rPr>
        <w:t>2</w:t>
      </w:r>
      <w:r>
        <w:rPr>
          <w:rFonts w:ascii="Times New Roman" w:hAnsi="Times New Roman" w:eastAsia="新宋体" w:cs="Times New Roman"/>
          <w:bCs/>
          <w:color w:val="auto"/>
          <w:szCs w:val="24"/>
          <w:lang w:eastAsia="zh-CN"/>
        </w:rPr>
        <w:t>；</w:t>
      </w:r>
    </w:p>
    <w:p w14:paraId="712A798B">
      <w:pPr>
        <w:widowControl w:val="0"/>
        <w:spacing w:line="360" w:lineRule="auto"/>
        <w:ind w:firstLine="960" w:firstLineChars="400"/>
        <w:jc w:val="both"/>
        <w:rPr>
          <w:rFonts w:ascii="Times New Roman" w:hAnsi="Times New Roman" w:eastAsia="新宋体" w:cs="Times New Roman"/>
          <w:bCs/>
          <w:color w:val="auto"/>
          <w:szCs w:val="24"/>
          <w:lang w:eastAsia="zh-CN"/>
        </w:rPr>
      </w:pPr>
      <w:r>
        <w:rPr>
          <w:rFonts w:ascii="Times New Roman" w:hAnsi="Times New Roman" w:eastAsia="新宋体" w:cs="Times New Roman"/>
          <w:bCs/>
          <w:color w:val="auto"/>
          <w:szCs w:val="24"/>
          <w:lang w:eastAsia="zh-CN"/>
        </w:rPr>
        <w:t>D：取0.2m；</w:t>
      </w:r>
    </w:p>
    <w:p w14:paraId="0585AF54">
      <w:pPr>
        <w:widowControl w:val="0"/>
        <w:spacing w:line="360" w:lineRule="auto"/>
        <w:ind w:firstLine="960" w:firstLineChars="400"/>
        <w:rPr>
          <w:rFonts w:ascii="Times New Roman" w:hAnsi="Times New Roman" w:eastAsia="新宋体" w:cs="Times New Roman"/>
          <w:bCs/>
          <w:color w:val="auto"/>
          <w:szCs w:val="24"/>
          <w:lang w:eastAsia="zh-CN"/>
        </w:rPr>
      </w:pPr>
      <w:r>
        <w:rPr>
          <w:rFonts w:ascii="Times New Roman" w:hAnsi="Times New Roman" w:eastAsia="新宋体" w:cs="Times New Roman"/>
          <w:bCs/>
          <w:color w:val="auto"/>
          <w:szCs w:val="24"/>
          <w:lang w:eastAsia="zh-CN"/>
        </w:rPr>
        <w:t>n：选取1、5、10，a；</w:t>
      </w:r>
    </w:p>
    <w:p w14:paraId="74A3D74B">
      <w:pPr>
        <w:widowControl w:val="0"/>
        <w:spacing w:line="360" w:lineRule="auto"/>
        <w:ind w:left="480"/>
        <w:jc w:val="both"/>
        <w:rPr>
          <w:rFonts w:ascii="Times New Roman" w:hAnsi="Times New Roman" w:eastAsia="新宋体" w:cs="Times New Roman"/>
          <w:bCs/>
          <w:color w:val="auto"/>
          <w:szCs w:val="24"/>
          <w:lang w:eastAsia="zh-CN"/>
        </w:rPr>
      </w:pPr>
      <w:r>
        <w:rPr>
          <w:rFonts w:hint="eastAsia" w:ascii="Times New Roman" w:hAnsi="Times New Roman" w:eastAsia="新宋体" w:cs="Times New Roman"/>
          <w:bCs/>
          <w:color w:val="auto"/>
          <w:szCs w:val="24"/>
          <w:lang w:eastAsia="zh-CN"/>
        </w:rPr>
        <w:t>（2）</w:t>
      </w:r>
      <w:r>
        <w:rPr>
          <w:rFonts w:ascii="Times New Roman" w:hAnsi="Times New Roman" w:eastAsia="新宋体" w:cs="Times New Roman"/>
          <w:bCs/>
          <w:color w:val="auto"/>
          <w:szCs w:val="24"/>
          <w:lang w:eastAsia="zh-CN"/>
        </w:rPr>
        <w:t>预测结果与分析</w:t>
      </w:r>
    </w:p>
    <w:p w14:paraId="4C8757C6">
      <w:pPr>
        <w:widowControl w:val="0"/>
        <w:spacing w:line="360" w:lineRule="auto"/>
        <w:ind w:firstLine="480" w:firstLineChars="200"/>
        <w:jc w:val="both"/>
        <w:rPr>
          <w:rFonts w:ascii="Times New Roman" w:hAnsi="Times New Roman" w:eastAsia="新宋体" w:cs="Times New Roman"/>
          <w:bCs/>
          <w:color w:val="auto"/>
          <w:szCs w:val="24"/>
          <w:lang w:eastAsia="zh-CN"/>
        </w:rPr>
      </w:pPr>
      <w:r>
        <w:rPr>
          <w:rFonts w:ascii="Times New Roman" w:hAnsi="Times New Roman" w:eastAsia="新宋体" w:cs="Times New Roman"/>
          <w:bCs/>
          <w:color w:val="auto"/>
          <w:szCs w:val="24"/>
          <w:lang w:eastAsia="zh-CN"/>
        </w:rPr>
        <w:t>通过上述方法计算得出本项目投产1年、5年、</w:t>
      </w:r>
      <w:r>
        <w:rPr>
          <w:rFonts w:hint="eastAsia" w:ascii="Times New Roman" w:hAnsi="Times New Roman" w:eastAsia="新宋体" w:cs="Times New Roman"/>
          <w:bCs/>
          <w:color w:val="auto"/>
          <w:szCs w:val="24"/>
          <w:lang w:eastAsia="zh-CN"/>
        </w:rPr>
        <w:t>1</w:t>
      </w:r>
      <w:r>
        <w:rPr>
          <w:rFonts w:ascii="Times New Roman" w:hAnsi="Times New Roman" w:eastAsia="新宋体" w:cs="Times New Roman"/>
          <w:bCs/>
          <w:color w:val="auto"/>
          <w:szCs w:val="24"/>
          <w:lang w:eastAsia="zh-CN"/>
        </w:rPr>
        <w:t>0年后预测范围内土壤中污染物的贡献值，预测结果见下表。</w:t>
      </w:r>
    </w:p>
    <w:p w14:paraId="7F3F26C2">
      <w:pPr>
        <w:spacing w:line="360" w:lineRule="auto"/>
        <w:jc w:val="center"/>
        <w:rPr>
          <w:rFonts w:ascii="Times New Roman" w:hAnsi="Times New Roman" w:cs="Times New Roman"/>
          <w:b/>
          <w:bCs/>
          <w:lang w:eastAsia="zh-CN"/>
        </w:rPr>
      </w:pPr>
      <w:r>
        <w:rPr>
          <w:rFonts w:ascii="Times New Roman" w:hAnsi="Times New Roman" w:cs="Times New Roman"/>
          <w:b/>
          <w:bCs/>
          <w:lang w:eastAsia="zh-CN"/>
        </w:rPr>
        <w:t>表</w:t>
      </w:r>
      <w:r>
        <w:rPr>
          <w:rFonts w:hint="eastAsia" w:ascii="Times New Roman" w:hAnsi="Times New Roman" w:cs="Times New Roman"/>
          <w:b/>
          <w:bCs/>
          <w:lang w:eastAsia="zh-CN"/>
        </w:rPr>
        <w:t>6.7-3</w:t>
      </w:r>
      <w:r>
        <w:rPr>
          <w:rFonts w:ascii="Times New Roman" w:hAnsi="Times New Roman" w:cs="Times New Roman"/>
          <w:b/>
          <w:bCs/>
          <w:lang w:eastAsia="zh-CN"/>
        </w:rPr>
        <w:t xml:space="preserve">  预测范围内土壤有机废气预测结果（mg/kg）</w:t>
      </w:r>
    </w:p>
    <w:tbl>
      <w:tblPr>
        <w:tblStyle w:val="35"/>
        <w:tblW w:w="5009"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0" w:type="dxa"/>
          <w:bottom w:w="0" w:type="dxa"/>
          <w:right w:w="0" w:type="dxa"/>
        </w:tblCellMar>
      </w:tblPr>
      <w:tblGrid>
        <w:gridCol w:w="1718"/>
        <w:gridCol w:w="1720"/>
        <w:gridCol w:w="2109"/>
        <w:gridCol w:w="2109"/>
        <w:gridCol w:w="2108"/>
      </w:tblGrid>
      <w:tr w14:paraId="7851804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761" w:type="pct"/>
            <w:gridSpan w:val="2"/>
            <w:vAlign w:val="center"/>
          </w:tcPr>
          <w:p w14:paraId="34BEECE5">
            <w:pPr>
              <w:spacing w:line="240" w:lineRule="exact"/>
              <w:jc w:val="center"/>
              <w:rPr>
                <w:rFonts w:ascii="Times New Roman" w:hAnsi="Times New Roman" w:cs="Times New Roman"/>
                <w:b/>
                <w:color w:val="auto"/>
                <w:sz w:val="21"/>
              </w:rPr>
            </w:pPr>
            <w:r>
              <w:rPr>
                <w:rFonts w:ascii="Times New Roman" w:hAnsi="Times New Roman" w:cs="Times New Roman"/>
                <w:b/>
                <w:color w:val="auto"/>
                <w:sz w:val="21"/>
              </w:rPr>
              <w:t>项目</w:t>
            </w:r>
          </w:p>
        </w:tc>
        <w:tc>
          <w:tcPr>
            <w:tcW w:w="1080" w:type="pct"/>
            <w:vAlign w:val="center"/>
          </w:tcPr>
          <w:p w14:paraId="1B92CFF4">
            <w:pPr>
              <w:spacing w:line="240" w:lineRule="exact"/>
              <w:jc w:val="center"/>
              <w:rPr>
                <w:rFonts w:ascii="Times New Roman" w:hAnsi="Times New Roman" w:cs="Times New Roman"/>
                <w:b/>
                <w:color w:val="auto"/>
                <w:sz w:val="21"/>
              </w:rPr>
            </w:pPr>
            <w:r>
              <w:rPr>
                <w:rFonts w:ascii="Times New Roman" w:hAnsi="Times New Roman" w:cs="Times New Roman"/>
                <w:b/>
                <w:color w:val="auto"/>
                <w:sz w:val="21"/>
              </w:rPr>
              <w:t>1年</w:t>
            </w:r>
          </w:p>
        </w:tc>
        <w:tc>
          <w:tcPr>
            <w:tcW w:w="1080" w:type="pct"/>
            <w:vAlign w:val="center"/>
          </w:tcPr>
          <w:p w14:paraId="6A409768">
            <w:pPr>
              <w:spacing w:line="240" w:lineRule="exact"/>
              <w:jc w:val="center"/>
              <w:rPr>
                <w:rFonts w:ascii="Times New Roman" w:hAnsi="Times New Roman" w:cs="Times New Roman"/>
                <w:b/>
                <w:color w:val="auto"/>
                <w:sz w:val="21"/>
              </w:rPr>
            </w:pPr>
            <w:r>
              <w:rPr>
                <w:rFonts w:ascii="Times New Roman" w:hAnsi="Times New Roman" w:cs="Times New Roman"/>
                <w:b/>
                <w:color w:val="auto"/>
                <w:sz w:val="21"/>
              </w:rPr>
              <w:t>5年</w:t>
            </w:r>
          </w:p>
        </w:tc>
        <w:tc>
          <w:tcPr>
            <w:tcW w:w="1079" w:type="pct"/>
            <w:vAlign w:val="center"/>
          </w:tcPr>
          <w:p w14:paraId="4AFD73D5">
            <w:pPr>
              <w:spacing w:line="240" w:lineRule="exact"/>
              <w:jc w:val="center"/>
              <w:rPr>
                <w:rFonts w:ascii="Times New Roman" w:hAnsi="Times New Roman" w:cs="Times New Roman"/>
                <w:b/>
                <w:color w:val="auto"/>
                <w:sz w:val="21"/>
              </w:rPr>
            </w:pPr>
            <w:r>
              <w:rPr>
                <w:rFonts w:ascii="Times New Roman" w:hAnsi="Times New Roman" w:cs="Times New Roman"/>
                <w:b/>
                <w:color w:val="auto"/>
                <w:sz w:val="21"/>
                <w:lang w:eastAsia="zh-CN"/>
              </w:rPr>
              <w:t>1</w:t>
            </w:r>
            <w:r>
              <w:rPr>
                <w:rFonts w:ascii="Times New Roman" w:hAnsi="Times New Roman" w:cs="Times New Roman"/>
                <w:b/>
                <w:color w:val="auto"/>
                <w:sz w:val="21"/>
              </w:rPr>
              <w:t>0年</w:t>
            </w:r>
          </w:p>
        </w:tc>
      </w:tr>
      <w:tr w14:paraId="3B8CB88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80" w:type="pct"/>
            <w:vMerge w:val="restart"/>
            <w:vAlign w:val="center"/>
          </w:tcPr>
          <w:p w14:paraId="69B40694">
            <w:pPr>
              <w:spacing w:line="240" w:lineRule="exact"/>
              <w:jc w:val="center"/>
              <w:rPr>
                <w:rFonts w:ascii="Times New Roman" w:hAnsi="Times New Roman" w:cs="Times New Roman"/>
                <w:bCs/>
                <w:color w:val="auto"/>
                <w:sz w:val="21"/>
              </w:rPr>
            </w:pPr>
            <w:r>
              <w:rPr>
                <w:rFonts w:hint="eastAsia" w:ascii="Times New Roman" w:hAnsi="Times New Roman" w:cs="Times New Roman"/>
                <w:bCs/>
                <w:color w:val="auto"/>
                <w:sz w:val="21"/>
                <w:lang w:eastAsia="zh-CN"/>
              </w:rPr>
              <w:t>氟化物</w:t>
            </w:r>
          </w:p>
        </w:tc>
        <w:tc>
          <w:tcPr>
            <w:tcW w:w="881" w:type="pct"/>
            <w:vAlign w:val="center"/>
          </w:tcPr>
          <w:p w14:paraId="3A6D384D">
            <w:pPr>
              <w:spacing w:line="240" w:lineRule="exact"/>
              <w:jc w:val="center"/>
              <w:rPr>
                <w:rFonts w:ascii="Times New Roman" w:hAnsi="Times New Roman" w:cs="Times New Roman"/>
                <w:bCs/>
                <w:color w:val="auto"/>
                <w:sz w:val="21"/>
              </w:rPr>
            </w:pPr>
            <w:r>
              <w:rPr>
                <w:rFonts w:ascii="Times New Roman" w:hAnsi="Times New Roman" w:cs="Times New Roman"/>
                <w:bCs/>
                <w:color w:val="auto"/>
                <w:sz w:val="21"/>
              </w:rPr>
              <w:t>贡献值</w:t>
            </w:r>
          </w:p>
        </w:tc>
        <w:tc>
          <w:tcPr>
            <w:tcW w:w="1080" w:type="pct"/>
            <w:vAlign w:val="center"/>
          </w:tcPr>
          <w:p w14:paraId="0B15C854">
            <w:pPr>
              <w:spacing w:line="240" w:lineRule="exact"/>
              <w:jc w:val="center"/>
              <w:rPr>
                <w:rFonts w:ascii="Times New Roman" w:hAnsi="Times New Roman" w:cs="Times New Roman"/>
                <w:bCs/>
                <w:color w:val="auto"/>
                <w:sz w:val="21"/>
                <w:lang w:eastAsia="zh-CN"/>
              </w:rPr>
            </w:pPr>
            <w:r>
              <w:rPr>
                <w:rFonts w:hint="eastAsia" w:ascii="Times New Roman" w:hAnsi="Times New Roman" w:cs="Times New Roman"/>
                <w:bCs/>
                <w:color w:val="auto"/>
                <w:sz w:val="21"/>
                <w:lang w:eastAsia="zh-CN"/>
              </w:rPr>
              <w:t>0.045</w:t>
            </w:r>
          </w:p>
        </w:tc>
        <w:tc>
          <w:tcPr>
            <w:tcW w:w="1080" w:type="pct"/>
            <w:vAlign w:val="center"/>
          </w:tcPr>
          <w:p w14:paraId="5DB2F6A3">
            <w:pPr>
              <w:spacing w:line="240" w:lineRule="exact"/>
              <w:jc w:val="center"/>
              <w:rPr>
                <w:rFonts w:ascii="Times New Roman" w:hAnsi="Times New Roman" w:cs="Times New Roman"/>
                <w:bCs/>
                <w:color w:val="auto"/>
                <w:sz w:val="21"/>
                <w:lang w:eastAsia="zh-CN"/>
              </w:rPr>
            </w:pPr>
            <w:r>
              <w:rPr>
                <w:rFonts w:hint="eastAsia" w:ascii="Times New Roman" w:hAnsi="Times New Roman" w:cs="Times New Roman"/>
                <w:bCs/>
                <w:color w:val="auto"/>
                <w:sz w:val="21"/>
                <w:lang w:eastAsia="zh-CN"/>
              </w:rPr>
              <w:t>0.223</w:t>
            </w:r>
          </w:p>
        </w:tc>
        <w:tc>
          <w:tcPr>
            <w:tcW w:w="1079" w:type="pct"/>
            <w:vAlign w:val="center"/>
          </w:tcPr>
          <w:p w14:paraId="35ACA6EE">
            <w:pPr>
              <w:spacing w:line="240" w:lineRule="exact"/>
              <w:jc w:val="center"/>
              <w:rPr>
                <w:rFonts w:ascii="Times New Roman" w:hAnsi="Times New Roman" w:cs="Times New Roman"/>
                <w:bCs/>
                <w:color w:val="auto"/>
                <w:sz w:val="21"/>
                <w:lang w:eastAsia="zh-CN"/>
              </w:rPr>
            </w:pPr>
            <w:r>
              <w:rPr>
                <w:rFonts w:hint="eastAsia" w:ascii="Times New Roman" w:hAnsi="Times New Roman" w:cs="Times New Roman"/>
                <w:bCs/>
                <w:color w:val="auto"/>
                <w:sz w:val="21"/>
                <w:lang w:eastAsia="zh-CN"/>
              </w:rPr>
              <w:t>0.447</w:t>
            </w:r>
          </w:p>
        </w:tc>
      </w:tr>
      <w:tr w14:paraId="2190ECA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80" w:type="pct"/>
            <w:vMerge w:val="continue"/>
            <w:vAlign w:val="center"/>
          </w:tcPr>
          <w:p w14:paraId="208FD223">
            <w:pPr>
              <w:spacing w:line="240" w:lineRule="exact"/>
              <w:jc w:val="center"/>
              <w:rPr>
                <w:rFonts w:ascii="Times New Roman" w:hAnsi="Times New Roman" w:cs="Times New Roman"/>
                <w:bCs/>
                <w:color w:val="auto"/>
                <w:sz w:val="21"/>
              </w:rPr>
            </w:pPr>
          </w:p>
        </w:tc>
        <w:tc>
          <w:tcPr>
            <w:tcW w:w="881" w:type="pct"/>
            <w:vAlign w:val="center"/>
          </w:tcPr>
          <w:p w14:paraId="487D39F1">
            <w:pPr>
              <w:spacing w:line="240" w:lineRule="exact"/>
              <w:jc w:val="center"/>
              <w:rPr>
                <w:rFonts w:ascii="Times New Roman" w:hAnsi="Times New Roman" w:cs="Times New Roman"/>
                <w:bCs/>
                <w:color w:val="auto"/>
                <w:sz w:val="21"/>
              </w:rPr>
            </w:pPr>
            <w:r>
              <w:rPr>
                <w:rFonts w:ascii="Times New Roman" w:hAnsi="Times New Roman" w:cs="Times New Roman"/>
                <w:bCs/>
                <w:color w:val="auto"/>
                <w:sz w:val="21"/>
              </w:rPr>
              <w:t>背景值</w:t>
            </w:r>
          </w:p>
        </w:tc>
        <w:tc>
          <w:tcPr>
            <w:tcW w:w="1080" w:type="pct"/>
            <w:vAlign w:val="center"/>
          </w:tcPr>
          <w:p w14:paraId="0724B95B">
            <w:pPr>
              <w:spacing w:line="240" w:lineRule="exact"/>
              <w:jc w:val="center"/>
              <w:rPr>
                <w:rFonts w:ascii="Times New Roman" w:hAnsi="Times New Roman" w:cs="Times New Roman"/>
                <w:bCs/>
                <w:color w:val="auto"/>
                <w:sz w:val="21"/>
              </w:rPr>
            </w:pPr>
            <w:r>
              <w:rPr>
                <w:rFonts w:ascii="Times New Roman" w:hAnsi="Times New Roman" w:cs="Times New Roman"/>
                <w:bCs/>
                <w:color w:val="auto"/>
                <w:sz w:val="21"/>
              </w:rPr>
              <w:t>0</w:t>
            </w:r>
          </w:p>
        </w:tc>
        <w:tc>
          <w:tcPr>
            <w:tcW w:w="1080" w:type="pct"/>
            <w:vAlign w:val="center"/>
          </w:tcPr>
          <w:p w14:paraId="26E793A1">
            <w:pPr>
              <w:spacing w:line="240" w:lineRule="exact"/>
              <w:jc w:val="center"/>
              <w:rPr>
                <w:rFonts w:ascii="Times New Roman" w:hAnsi="Times New Roman" w:cs="Times New Roman"/>
                <w:bCs/>
                <w:color w:val="auto"/>
                <w:sz w:val="21"/>
              </w:rPr>
            </w:pPr>
            <w:r>
              <w:rPr>
                <w:rFonts w:ascii="Times New Roman" w:hAnsi="Times New Roman" w:cs="Times New Roman"/>
                <w:bCs/>
                <w:color w:val="auto"/>
                <w:sz w:val="21"/>
              </w:rPr>
              <w:t>0</w:t>
            </w:r>
          </w:p>
        </w:tc>
        <w:tc>
          <w:tcPr>
            <w:tcW w:w="1079" w:type="pct"/>
            <w:vAlign w:val="center"/>
          </w:tcPr>
          <w:p w14:paraId="1D174A7A">
            <w:pPr>
              <w:spacing w:line="240" w:lineRule="exact"/>
              <w:jc w:val="center"/>
              <w:rPr>
                <w:rFonts w:ascii="Times New Roman" w:hAnsi="Times New Roman" w:cs="Times New Roman"/>
                <w:bCs/>
                <w:color w:val="auto"/>
                <w:sz w:val="21"/>
              </w:rPr>
            </w:pPr>
            <w:r>
              <w:rPr>
                <w:rFonts w:ascii="Times New Roman" w:hAnsi="Times New Roman" w:cs="Times New Roman"/>
                <w:bCs/>
                <w:color w:val="auto"/>
                <w:sz w:val="21"/>
              </w:rPr>
              <w:t>0</w:t>
            </w:r>
          </w:p>
        </w:tc>
      </w:tr>
      <w:tr w14:paraId="24370FC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80" w:type="pct"/>
            <w:vMerge w:val="continue"/>
            <w:vAlign w:val="center"/>
          </w:tcPr>
          <w:p w14:paraId="4FD2D32D">
            <w:pPr>
              <w:spacing w:line="240" w:lineRule="exact"/>
              <w:jc w:val="center"/>
              <w:rPr>
                <w:rFonts w:ascii="Times New Roman" w:hAnsi="Times New Roman" w:cs="Times New Roman"/>
                <w:bCs/>
                <w:color w:val="auto"/>
                <w:sz w:val="21"/>
              </w:rPr>
            </w:pPr>
          </w:p>
        </w:tc>
        <w:tc>
          <w:tcPr>
            <w:tcW w:w="881" w:type="pct"/>
            <w:vAlign w:val="center"/>
          </w:tcPr>
          <w:p w14:paraId="65FC3465">
            <w:pPr>
              <w:spacing w:line="240" w:lineRule="exact"/>
              <w:jc w:val="center"/>
              <w:rPr>
                <w:rFonts w:ascii="Times New Roman" w:hAnsi="Times New Roman" w:cs="Times New Roman"/>
                <w:bCs/>
                <w:color w:val="auto"/>
                <w:sz w:val="21"/>
              </w:rPr>
            </w:pPr>
            <w:r>
              <w:rPr>
                <w:rFonts w:ascii="Times New Roman" w:hAnsi="Times New Roman" w:cs="Times New Roman"/>
                <w:bCs/>
                <w:color w:val="auto"/>
                <w:sz w:val="21"/>
              </w:rPr>
              <w:t>预测值</w:t>
            </w:r>
          </w:p>
        </w:tc>
        <w:tc>
          <w:tcPr>
            <w:tcW w:w="1080" w:type="pct"/>
            <w:vAlign w:val="center"/>
          </w:tcPr>
          <w:p w14:paraId="1772F8BC">
            <w:pPr>
              <w:spacing w:line="240" w:lineRule="exact"/>
              <w:jc w:val="center"/>
              <w:rPr>
                <w:rFonts w:ascii="Times New Roman" w:hAnsi="Times New Roman" w:cs="Times New Roman"/>
                <w:bCs/>
                <w:color w:val="auto"/>
                <w:sz w:val="21"/>
              </w:rPr>
            </w:pPr>
            <w:r>
              <w:rPr>
                <w:rFonts w:hint="eastAsia" w:ascii="Times New Roman" w:hAnsi="Times New Roman" w:cs="Times New Roman"/>
                <w:bCs/>
                <w:color w:val="auto"/>
                <w:sz w:val="21"/>
                <w:lang w:eastAsia="zh-CN"/>
              </w:rPr>
              <w:t>0.045</w:t>
            </w:r>
          </w:p>
        </w:tc>
        <w:tc>
          <w:tcPr>
            <w:tcW w:w="1080" w:type="pct"/>
            <w:vAlign w:val="center"/>
          </w:tcPr>
          <w:p w14:paraId="30BD094F">
            <w:pPr>
              <w:spacing w:line="240" w:lineRule="exact"/>
              <w:jc w:val="center"/>
              <w:rPr>
                <w:rFonts w:ascii="Times New Roman" w:hAnsi="Times New Roman" w:cs="Times New Roman"/>
                <w:bCs/>
                <w:color w:val="auto"/>
                <w:sz w:val="21"/>
              </w:rPr>
            </w:pPr>
            <w:r>
              <w:rPr>
                <w:rFonts w:hint="eastAsia" w:ascii="Times New Roman" w:hAnsi="Times New Roman" w:cs="Times New Roman"/>
                <w:bCs/>
                <w:color w:val="auto"/>
                <w:sz w:val="21"/>
                <w:lang w:eastAsia="zh-CN"/>
              </w:rPr>
              <w:t>0.223</w:t>
            </w:r>
          </w:p>
        </w:tc>
        <w:tc>
          <w:tcPr>
            <w:tcW w:w="1079" w:type="pct"/>
            <w:vAlign w:val="center"/>
          </w:tcPr>
          <w:p w14:paraId="5F1ADA56">
            <w:pPr>
              <w:spacing w:line="240" w:lineRule="exact"/>
              <w:jc w:val="center"/>
              <w:rPr>
                <w:rFonts w:ascii="Times New Roman" w:hAnsi="Times New Roman" w:cs="Times New Roman"/>
                <w:bCs/>
                <w:color w:val="auto"/>
                <w:sz w:val="21"/>
              </w:rPr>
            </w:pPr>
            <w:r>
              <w:rPr>
                <w:rFonts w:hint="eastAsia" w:ascii="Times New Roman" w:hAnsi="Times New Roman" w:cs="Times New Roman"/>
                <w:bCs/>
                <w:color w:val="auto"/>
                <w:sz w:val="21"/>
                <w:lang w:eastAsia="zh-CN"/>
              </w:rPr>
              <w:t>0.447</w:t>
            </w:r>
          </w:p>
        </w:tc>
      </w:tr>
      <w:tr w14:paraId="5A446EB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80" w:type="pct"/>
            <w:vMerge w:val="continue"/>
            <w:vAlign w:val="center"/>
          </w:tcPr>
          <w:p w14:paraId="6F6411E9">
            <w:pPr>
              <w:spacing w:line="240" w:lineRule="exact"/>
              <w:jc w:val="center"/>
              <w:rPr>
                <w:rFonts w:ascii="Times New Roman" w:hAnsi="Times New Roman" w:cs="Times New Roman"/>
                <w:bCs/>
                <w:color w:val="auto"/>
                <w:sz w:val="21"/>
              </w:rPr>
            </w:pPr>
          </w:p>
        </w:tc>
        <w:tc>
          <w:tcPr>
            <w:tcW w:w="881" w:type="pct"/>
            <w:vAlign w:val="center"/>
          </w:tcPr>
          <w:p w14:paraId="6D101DB0">
            <w:pPr>
              <w:spacing w:line="240" w:lineRule="exact"/>
              <w:jc w:val="center"/>
              <w:rPr>
                <w:rFonts w:ascii="Times New Roman" w:hAnsi="Times New Roman" w:cs="Times New Roman"/>
                <w:bCs/>
                <w:color w:val="auto"/>
                <w:sz w:val="21"/>
              </w:rPr>
            </w:pPr>
            <w:r>
              <w:rPr>
                <w:rFonts w:ascii="Times New Roman" w:hAnsi="Times New Roman" w:cs="Times New Roman"/>
                <w:bCs/>
                <w:color w:val="auto"/>
                <w:sz w:val="21"/>
              </w:rPr>
              <w:t>标准</w:t>
            </w:r>
          </w:p>
        </w:tc>
        <w:tc>
          <w:tcPr>
            <w:tcW w:w="1080" w:type="pct"/>
            <w:vAlign w:val="center"/>
          </w:tcPr>
          <w:p w14:paraId="1E4FE77E">
            <w:pPr>
              <w:spacing w:line="240" w:lineRule="exact"/>
              <w:jc w:val="center"/>
              <w:rPr>
                <w:rFonts w:ascii="Times New Roman" w:hAnsi="Times New Roman" w:cs="Times New Roman"/>
                <w:bCs/>
                <w:color w:val="auto"/>
                <w:sz w:val="21"/>
              </w:rPr>
            </w:pPr>
            <w:r>
              <w:rPr>
                <w:rFonts w:hint="eastAsia" w:ascii="Times New Roman" w:hAnsi="Times New Roman" w:cs="Times New Roman"/>
                <w:bCs/>
                <w:color w:val="auto"/>
                <w:sz w:val="21"/>
                <w:lang w:eastAsia="zh-CN"/>
              </w:rPr>
              <w:t>/</w:t>
            </w:r>
          </w:p>
        </w:tc>
        <w:tc>
          <w:tcPr>
            <w:tcW w:w="1080" w:type="pct"/>
            <w:vAlign w:val="center"/>
          </w:tcPr>
          <w:p w14:paraId="7A709EAB">
            <w:pPr>
              <w:spacing w:line="240" w:lineRule="exact"/>
              <w:jc w:val="center"/>
              <w:rPr>
                <w:rFonts w:ascii="Times New Roman" w:hAnsi="Times New Roman" w:cs="Times New Roman"/>
                <w:bCs/>
                <w:color w:val="auto"/>
                <w:sz w:val="21"/>
              </w:rPr>
            </w:pPr>
            <w:r>
              <w:rPr>
                <w:rFonts w:hint="eastAsia" w:ascii="Times New Roman" w:hAnsi="Times New Roman" w:cs="Times New Roman"/>
                <w:bCs/>
                <w:color w:val="auto"/>
                <w:sz w:val="21"/>
                <w:lang w:eastAsia="zh-CN"/>
              </w:rPr>
              <w:t>/</w:t>
            </w:r>
          </w:p>
        </w:tc>
        <w:tc>
          <w:tcPr>
            <w:tcW w:w="1079" w:type="pct"/>
            <w:vAlign w:val="center"/>
          </w:tcPr>
          <w:p w14:paraId="4D83F46A">
            <w:pPr>
              <w:spacing w:line="240" w:lineRule="exact"/>
              <w:jc w:val="center"/>
              <w:rPr>
                <w:rFonts w:ascii="Times New Roman" w:hAnsi="Times New Roman" w:cs="Times New Roman"/>
                <w:bCs/>
                <w:color w:val="auto"/>
                <w:sz w:val="21"/>
              </w:rPr>
            </w:pPr>
            <w:r>
              <w:rPr>
                <w:rFonts w:hint="eastAsia" w:ascii="Times New Roman" w:hAnsi="Times New Roman" w:cs="Times New Roman"/>
                <w:bCs/>
                <w:color w:val="auto"/>
                <w:sz w:val="21"/>
                <w:lang w:eastAsia="zh-CN"/>
              </w:rPr>
              <w:t>/</w:t>
            </w:r>
          </w:p>
        </w:tc>
      </w:tr>
    </w:tbl>
    <w:p w14:paraId="0E58EF2D">
      <w:pPr>
        <w:widowControl w:val="0"/>
        <w:spacing w:line="360" w:lineRule="auto"/>
        <w:ind w:firstLine="480" w:firstLineChars="200"/>
        <w:jc w:val="both"/>
        <w:rPr>
          <w:rFonts w:ascii="Times New Roman" w:hAnsi="Times New Roman" w:cs="Times New Roman"/>
          <w:bCs/>
          <w:lang w:eastAsia="zh-CN"/>
        </w:rPr>
      </w:pPr>
      <w:r>
        <w:rPr>
          <w:rFonts w:ascii="Times New Roman" w:hAnsi="Times New Roman" w:cs="Times New Roman"/>
          <w:bCs/>
          <w:lang w:eastAsia="zh-CN"/>
        </w:rPr>
        <w:t>由上表预测结果可以看出，在项目投产1年、5年、10年后，</w:t>
      </w:r>
      <w:r>
        <w:rPr>
          <w:rFonts w:hint="eastAsia" w:ascii="Times New Roman" w:hAnsi="Times New Roman" w:cs="Times New Roman"/>
          <w:bCs/>
          <w:lang w:eastAsia="zh-CN"/>
        </w:rPr>
        <w:t>项目排放的氟化物</w:t>
      </w:r>
      <w:r>
        <w:rPr>
          <w:rFonts w:ascii="Times New Roman" w:hAnsi="Times New Roman" w:cs="Times New Roman"/>
          <w:bCs/>
          <w:lang w:eastAsia="zh-CN"/>
        </w:rPr>
        <w:t>对土壤环境的影响较小</w:t>
      </w:r>
      <w:r>
        <w:rPr>
          <w:rFonts w:hint="eastAsia" w:ascii="Times New Roman" w:hAnsi="Times New Roman" w:cs="Times New Roman"/>
          <w:bCs/>
          <w:lang w:eastAsia="zh-CN"/>
        </w:rPr>
        <w:t>。</w:t>
      </w:r>
    </w:p>
    <w:p w14:paraId="58DB247D">
      <w:pPr>
        <w:widowControl w:val="0"/>
        <w:spacing w:line="360" w:lineRule="auto"/>
        <w:ind w:firstLine="482"/>
        <w:jc w:val="both"/>
        <w:outlineLvl w:val="3"/>
        <w:rPr>
          <w:rFonts w:ascii="Times New Roman" w:hAnsi="Times New Roman" w:eastAsia="新宋体" w:cs="Times New Roman"/>
          <w:color w:val="auto"/>
          <w:szCs w:val="24"/>
          <w:lang w:eastAsia="zh-CN"/>
        </w:rPr>
      </w:pPr>
      <w:r>
        <w:rPr>
          <w:rFonts w:ascii="Times New Roman" w:hAnsi="Times New Roman" w:eastAsia="新宋体" w:cs="Times New Roman"/>
          <w:b/>
          <w:bCs/>
          <w:color w:val="auto"/>
          <w:szCs w:val="24"/>
          <w:lang w:eastAsia="zh-CN"/>
        </w:rPr>
        <w:t>6.</w:t>
      </w:r>
      <w:r>
        <w:rPr>
          <w:rFonts w:hint="eastAsia" w:ascii="Times New Roman" w:hAnsi="Times New Roman" w:eastAsia="新宋体" w:cs="Times New Roman"/>
          <w:b/>
          <w:bCs/>
          <w:color w:val="auto"/>
          <w:szCs w:val="24"/>
          <w:lang w:eastAsia="zh-CN"/>
        </w:rPr>
        <w:t>7</w:t>
      </w:r>
      <w:r>
        <w:rPr>
          <w:rFonts w:ascii="Times New Roman" w:hAnsi="Times New Roman" w:eastAsia="新宋体" w:cs="Times New Roman"/>
          <w:b/>
          <w:bCs/>
          <w:color w:val="auto"/>
          <w:szCs w:val="24"/>
          <w:lang w:eastAsia="zh-CN"/>
        </w:rPr>
        <w:t>.</w:t>
      </w:r>
      <w:r>
        <w:rPr>
          <w:rFonts w:hint="eastAsia" w:ascii="Times New Roman" w:hAnsi="Times New Roman" w:eastAsia="新宋体" w:cs="Times New Roman"/>
          <w:b/>
          <w:bCs/>
          <w:color w:val="auto"/>
          <w:szCs w:val="24"/>
          <w:lang w:eastAsia="zh-CN"/>
        </w:rPr>
        <w:t>2</w:t>
      </w:r>
      <w:r>
        <w:rPr>
          <w:rFonts w:ascii="Times New Roman" w:hAnsi="Times New Roman" w:eastAsia="新宋体" w:cs="Times New Roman"/>
          <w:b/>
          <w:bCs/>
          <w:color w:val="auto"/>
          <w:szCs w:val="24"/>
          <w:lang w:eastAsia="zh-CN"/>
        </w:rPr>
        <w:t>.</w:t>
      </w:r>
      <w:r>
        <w:rPr>
          <w:rFonts w:hint="eastAsia" w:ascii="Times New Roman" w:hAnsi="Times New Roman" w:eastAsia="新宋体" w:cs="Times New Roman"/>
          <w:b/>
          <w:bCs/>
          <w:color w:val="auto"/>
          <w:szCs w:val="24"/>
          <w:lang w:eastAsia="zh-CN"/>
        </w:rPr>
        <w:t>3 地面漫流对土壤的影响分析</w:t>
      </w:r>
    </w:p>
    <w:p w14:paraId="135FCC46">
      <w:pPr>
        <w:widowControl w:val="0"/>
        <w:spacing w:line="360" w:lineRule="auto"/>
        <w:ind w:firstLine="480" w:firstLineChars="200"/>
        <w:jc w:val="both"/>
        <w:rPr>
          <w:rFonts w:ascii="Times New Roman" w:hAnsi="Times New Roman" w:eastAsia="新宋体" w:cs="Times New Roman"/>
          <w:bCs/>
          <w:color w:val="auto"/>
          <w:szCs w:val="24"/>
          <w:lang w:eastAsia="zh-CN"/>
        </w:rPr>
      </w:pPr>
      <w:r>
        <w:rPr>
          <w:rFonts w:ascii="Times New Roman" w:hAnsi="Times New Roman" w:eastAsia="新宋体" w:cs="Times New Roman"/>
          <w:bCs/>
          <w:color w:val="auto"/>
          <w:szCs w:val="24"/>
          <w:lang w:eastAsia="zh-CN"/>
        </w:rPr>
        <w:t>根据《环境影响评价技术导则 土壤环境》（HJ 964</w:t>
      </w:r>
      <w:r>
        <w:rPr>
          <w:rFonts w:hint="eastAsia" w:ascii="Times New Roman" w:hAnsi="Times New Roman" w:eastAsia="新宋体" w:cs="Times New Roman"/>
          <w:bCs/>
          <w:color w:val="auto"/>
          <w:szCs w:val="24"/>
          <w:lang w:eastAsia="zh-CN"/>
        </w:rPr>
        <w:t>-</w:t>
      </w:r>
      <w:r>
        <w:rPr>
          <w:rFonts w:ascii="Times New Roman" w:hAnsi="Times New Roman" w:eastAsia="新宋体" w:cs="Times New Roman"/>
          <w:bCs/>
          <w:color w:val="auto"/>
          <w:szCs w:val="24"/>
          <w:lang w:eastAsia="zh-CN"/>
        </w:rPr>
        <w:t>2018），以地面漫流方式进入土壤的污染物，主要考虑建设项目产生的污染物水平扩散，随着地势、地表径流进行下泄或雨水冲刷发生扩散，造成污染范围水平扩大，引起土壤污染。</w:t>
      </w:r>
    </w:p>
    <w:p w14:paraId="5D2C4D34">
      <w:pPr>
        <w:widowControl w:val="0"/>
        <w:spacing w:line="360" w:lineRule="auto"/>
        <w:ind w:firstLine="480" w:firstLineChars="200"/>
        <w:jc w:val="both"/>
        <w:rPr>
          <w:rFonts w:ascii="Times New Roman" w:hAnsi="Times New Roman" w:eastAsia="新宋体" w:cs="Times New Roman"/>
          <w:bCs/>
          <w:color w:val="auto"/>
          <w:szCs w:val="24"/>
          <w:lang w:eastAsia="zh-CN"/>
        </w:rPr>
      </w:pPr>
      <w:r>
        <w:rPr>
          <w:rFonts w:ascii="Times New Roman" w:hAnsi="Times New Roman" w:eastAsia="新宋体" w:cs="Times New Roman"/>
          <w:bCs/>
          <w:color w:val="auto"/>
          <w:szCs w:val="24"/>
          <w:lang w:eastAsia="zh-CN"/>
        </w:rPr>
        <w:t>企业雨水总排口设置切断阀进行防控，通常情况下雨水阀门处于关闭状态，事故状态下废水经导流沟、</w:t>
      </w:r>
      <w:r>
        <w:rPr>
          <w:rFonts w:hint="eastAsia" w:ascii="Times New Roman" w:hAnsi="Times New Roman" w:eastAsia="新宋体" w:cs="Times New Roman"/>
          <w:bCs/>
          <w:color w:val="auto"/>
          <w:szCs w:val="24"/>
          <w:lang w:eastAsia="zh-CN"/>
        </w:rPr>
        <w:t>672.3</w:t>
      </w:r>
      <w:r>
        <w:rPr>
          <w:rFonts w:ascii="Times New Roman" w:hAnsi="Times New Roman" w:eastAsia="新宋体" w:cs="Times New Roman"/>
          <w:bCs/>
          <w:color w:val="auto"/>
          <w:szCs w:val="24"/>
          <w:lang w:eastAsia="zh-CN"/>
        </w:rPr>
        <w:t>m</w:t>
      </w:r>
      <w:r>
        <w:rPr>
          <w:rFonts w:ascii="Times New Roman" w:hAnsi="Times New Roman" w:eastAsia="新宋体" w:cs="Times New Roman"/>
          <w:bCs/>
          <w:color w:val="auto"/>
          <w:szCs w:val="24"/>
          <w:vertAlign w:val="superscript"/>
          <w:lang w:eastAsia="zh-CN"/>
        </w:rPr>
        <w:t>3</w:t>
      </w:r>
      <w:r>
        <w:rPr>
          <w:rFonts w:ascii="Times New Roman" w:hAnsi="Times New Roman" w:eastAsia="新宋体" w:cs="Times New Roman"/>
          <w:bCs/>
          <w:color w:val="auto"/>
          <w:szCs w:val="24"/>
          <w:lang w:eastAsia="zh-CN"/>
        </w:rPr>
        <w:t>事故应急池</w:t>
      </w:r>
      <w:r>
        <w:rPr>
          <w:rFonts w:hint="eastAsia" w:ascii="Times New Roman" w:hAnsi="Times New Roman" w:eastAsia="新宋体" w:cs="Times New Roman"/>
          <w:bCs/>
          <w:color w:val="auto"/>
          <w:szCs w:val="24"/>
          <w:lang w:eastAsia="zh-CN"/>
        </w:rPr>
        <w:t>、</w:t>
      </w:r>
      <w:r>
        <w:rPr>
          <w:rFonts w:ascii="Times New Roman" w:hAnsi="Times New Roman" w:eastAsia="新宋体" w:cs="Times New Roman"/>
          <w:bCs/>
          <w:color w:val="auto"/>
          <w:szCs w:val="24"/>
          <w:lang w:eastAsia="zh-CN"/>
        </w:rPr>
        <w:t>切换阀进行</w:t>
      </w:r>
      <w:r>
        <w:rPr>
          <w:rFonts w:hint="eastAsia" w:ascii="Times New Roman" w:hAnsi="Times New Roman" w:eastAsia="新宋体" w:cs="Times New Roman"/>
          <w:bCs/>
          <w:color w:val="auto"/>
          <w:szCs w:val="24"/>
          <w:lang w:eastAsia="zh-CN"/>
        </w:rPr>
        <w:t>一级</w:t>
      </w:r>
      <w:r>
        <w:rPr>
          <w:rFonts w:ascii="Times New Roman" w:hAnsi="Times New Roman" w:eastAsia="新宋体" w:cs="Times New Roman"/>
          <w:bCs/>
          <w:color w:val="auto"/>
          <w:szCs w:val="24"/>
          <w:lang w:eastAsia="zh-CN"/>
        </w:rPr>
        <w:t>防控</w:t>
      </w:r>
      <w:r>
        <w:rPr>
          <w:rFonts w:hint="eastAsia" w:ascii="Times New Roman" w:hAnsi="Times New Roman" w:eastAsia="新宋体" w:cs="Times New Roman"/>
          <w:bCs/>
          <w:color w:val="auto"/>
          <w:szCs w:val="24"/>
          <w:lang w:eastAsia="zh-CN"/>
        </w:rPr>
        <w:t>，</w:t>
      </w:r>
      <w:r>
        <w:rPr>
          <w:rFonts w:ascii="Times New Roman" w:hAnsi="Times New Roman" w:eastAsia="新宋体" w:cs="Times New Roman"/>
          <w:bCs/>
          <w:color w:val="auto"/>
          <w:szCs w:val="24"/>
          <w:lang w:eastAsia="zh-CN"/>
        </w:rPr>
        <w:t>通过</w:t>
      </w:r>
      <w:r>
        <w:rPr>
          <w:rFonts w:hint="eastAsia" w:ascii="Times New Roman" w:hAnsi="Times New Roman" w:eastAsia="新宋体" w:cs="Times New Roman"/>
          <w:bCs/>
          <w:color w:val="auto"/>
          <w:szCs w:val="24"/>
          <w:lang w:eastAsia="zh-CN"/>
        </w:rPr>
        <w:t>园区2000</w:t>
      </w:r>
      <w:r>
        <w:rPr>
          <w:rFonts w:ascii="Times New Roman" w:hAnsi="Times New Roman" w:eastAsia="新宋体" w:cs="Times New Roman"/>
          <w:bCs/>
          <w:color w:val="auto"/>
          <w:szCs w:val="24"/>
          <w:lang w:eastAsia="zh-CN"/>
        </w:rPr>
        <w:t>0m</w:t>
      </w:r>
      <w:r>
        <w:rPr>
          <w:rFonts w:ascii="Times New Roman" w:hAnsi="Times New Roman" w:eastAsia="新宋体" w:cs="Times New Roman"/>
          <w:bCs/>
          <w:color w:val="auto"/>
          <w:szCs w:val="24"/>
          <w:vertAlign w:val="superscript"/>
          <w:lang w:eastAsia="zh-CN"/>
        </w:rPr>
        <w:t>3</w:t>
      </w:r>
      <w:r>
        <w:rPr>
          <w:rFonts w:ascii="Times New Roman" w:hAnsi="Times New Roman" w:eastAsia="新宋体" w:cs="Times New Roman"/>
          <w:bCs/>
          <w:color w:val="auto"/>
          <w:szCs w:val="24"/>
          <w:lang w:eastAsia="zh-CN"/>
        </w:rPr>
        <w:t>事故应急池进行二级防控</w:t>
      </w:r>
      <w:r>
        <w:rPr>
          <w:rFonts w:hint="eastAsia" w:ascii="Times New Roman" w:hAnsi="Times New Roman" w:eastAsia="新宋体" w:cs="Times New Roman"/>
          <w:bCs/>
          <w:color w:val="auto"/>
          <w:szCs w:val="24"/>
          <w:lang w:eastAsia="zh-CN"/>
        </w:rPr>
        <w:t>，</w:t>
      </w:r>
      <w:r>
        <w:rPr>
          <w:rFonts w:ascii="Times New Roman" w:hAnsi="Times New Roman" w:eastAsia="新宋体" w:cs="Times New Roman"/>
          <w:bCs/>
          <w:color w:val="auto"/>
          <w:szCs w:val="24"/>
          <w:lang w:eastAsia="zh-CN"/>
        </w:rPr>
        <w:t>厂区</w:t>
      </w:r>
      <w:r>
        <w:rPr>
          <w:rFonts w:hint="eastAsia" w:ascii="Times New Roman" w:hAnsi="Times New Roman" w:eastAsia="新宋体" w:cs="Times New Roman"/>
          <w:bCs/>
          <w:color w:val="auto"/>
          <w:szCs w:val="24"/>
          <w:lang w:eastAsia="zh-CN"/>
        </w:rPr>
        <w:t>园区拦截闸、拦截坝</w:t>
      </w:r>
      <w:r>
        <w:rPr>
          <w:rFonts w:ascii="Times New Roman" w:hAnsi="Times New Roman" w:eastAsia="新宋体" w:cs="Times New Roman"/>
          <w:bCs/>
          <w:color w:val="auto"/>
          <w:szCs w:val="24"/>
          <w:lang w:eastAsia="zh-CN"/>
        </w:rPr>
        <w:t>进行三级防控。</w:t>
      </w:r>
    </w:p>
    <w:p w14:paraId="079AB171">
      <w:pPr>
        <w:widowControl w:val="0"/>
        <w:spacing w:line="360" w:lineRule="auto"/>
        <w:ind w:firstLine="480" w:firstLineChars="200"/>
        <w:jc w:val="both"/>
        <w:rPr>
          <w:rFonts w:ascii="Times New Roman" w:hAnsi="Times New Roman" w:eastAsia="新宋体" w:cs="Times New Roman"/>
          <w:bCs/>
          <w:color w:val="auto"/>
          <w:szCs w:val="24"/>
          <w:lang w:eastAsia="zh-CN"/>
        </w:rPr>
      </w:pPr>
      <w:r>
        <w:rPr>
          <w:rFonts w:ascii="Times New Roman" w:hAnsi="Times New Roman" w:eastAsia="新宋体" w:cs="Times New Roman"/>
          <w:bCs/>
          <w:color w:val="auto"/>
          <w:szCs w:val="24"/>
          <w:lang w:eastAsia="zh-CN"/>
        </w:rPr>
        <w:t>因此，企业在做好分区防渗和三级防控情况下，本项目污染物不会随雨水冲刷以地面漫流形式对土壤环境造成污染</w:t>
      </w:r>
      <w:r>
        <w:rPr>
          <w:rFonts w:hint="eastAsia" w:ascii="Times New Roman" w:hAnsi="Times New Roman" w:eastAsia="新宋体" w:cs="Times New Roman"/>
          <w:bCs/>
          <w:color w:val="auto"/>
          <w:szCs w:val="24"/>
          <w:lang w:eastAsia="zh-CN"/>
        </w:rPr>
        <w:t>。</w:t>
      </w:r>
    </w:p>
    <w:p w14:paraId="42049115">
      <w:pPr>
        <w:widowControl w:val="0"/>
        <w:spacing w:line="360" w:lineRule="auto"/>
        <w:ind w:firstLine="482"/>
        <w:jc w:val="both"/>
        <w:outlineLvl w:val="3"/>
        <w:rPr>
          <w:rFonts w:ascii="Times New Roman" w:hAnsi="Times New Roman" w:eastAsia="新宋体" w:cs="Times New Roman"/>
          <w:color w:val="auto"/>
          <w:szCs w:val="24"/>
          <w:lang w:eastAsia="zh-CN"/>
        </w:rPr>
      </w:pPr>
      <w:r>
        <w:rPr>
          <w:rFonts w:ascii="Times New Roman" w:hAnsi="Times New Roman" w:eastAsia="新宋体" w:cs="Times New Roman"/>
          <w:b/>
          <w:bCs/>
          <w:color w:val="auto"/>
          <w:szCs w:val="24"/>
          <w:lang w:eastAsia="zh-CN"/>
        </w:rPr>
        <w:t>6.</w:t>
      </w:r>
      <w:r>
        <w:rPr>
          <w:rFonts w:hint="eastAsia" w:ascii="Times New Roman" w:hAnsi="Times New Roman" w:eastAsia="新宋体" w:cs="Times New Roman"/>
          <w:b/>
          <w:bCs/>
          <w:color w:val="auto"/>
          <w:szCs w:val="24"/>
          <w:lang w:eastAsia="zh-CN"/>
        </w:rPr>
        <w:t>7</w:t>
      </w:r>
      <w:r>
        <w:rPr>
          <w:rFonts w:ascii="Times New Roman" w:hAnsi="Times New Roman" w:eastAsia="新宋体" w:cs="Times New Roman"/>
          <w:b/>
          <w:bCs/>
          <w:color w:val="auto"/>
          <w:szCs w:val="24"/>
          <w:lang w:eastAsia="zh-CN"/>
        </w:rPr>
        <w:t>.</w:t>
      </w:r>
      <w:r>
        <w:rPr>
          <w:rFonts w:hint="eastAsia" w:ascii="Times New Roman" w:hAnsi="Times New Roman" w:eastAsia="新宋体" w:cs="Times New Roman"/>
          <w:b/>
          <w:bCs/>
          <w:color w:val="auto"/>
          <w:szCs w:val="24"/>
          <w:lang w:eastAsia="zh-CN"/>
        </w:rPr>
        <w:t>2</w:t>
      </w:r>
      <w:r>
        <w:rPr>
          <w:rFonts w:ascii="Times New Roman" w:hAnsi="Times New Roman" w:eastAsia="新宋体" w:cs="Times New Roman"/>
          <w:b/>
          <w:bCs/>
          <w:color w:val="auto"/>
          <w:szCs w:val="24"/>
          <w:lang w:eastAsia="zh-CN"/>
        </w:rPr>
        <w:t>.</w:t>
      </w:r>
      <w:r>
        <w:rPr>
          <w:rFonts w:hint="eastAsia" w:ascii="Times New Roman" w:hAnsi="Times New Roman" w:eastAsia="新宋体" w:cs="Times New Roman"/>
          <w:b/>
          <w:bCs/>
          <w:color w:val="auto"/>
          <w:szCs w:val="24"/>
          <w:lang w:eastAsia="zh-CN"/>
        </w:rPr>
        <w:t>4 垂直入渗对土壤的影响分析</w:t>
      </w:r>
    </w:p>
    <w:p w14:paraId="0CD52A10">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本项目废水经污水管道收集后接管污水处理厂处理</w:t>
      </w:r>
      <w:r>
        <w:rPr>
          <w:rFonts w:hint="eastAsia" w:ascii="Times New Roman" w:hAnsi="Times New Roman" w:eastAsia="新宋体" w:cs="Times New Roman"/>
          <w:color w:val="auto"/>
          <w:szCs w:val="24"/>
          <w:lang w:eastAsia="zh-CN"/>
        </w:rPr>
        <w:t>，</w:t>
      </w:r>
      <w:r>
        <w:rPr>
          <w:rFonts w:ascii="Times New Roman" w:hAnsi="Times New Roman" w:eastAsia="新宋体" w:cs="Times New Roman"/>
          <w:color w:val="auto"/>
          <w:szCs w:val="24"/>
          <w:lang w:eastAsia="zh-CN"/>
        </w:rPr>
        <w:t>厂区污水管沟进行了重点防渗，防渗性能不应低于6.0m厚渗透系数为1.0x10</w:t>
      </w:r>
      <w:r>
        <w:rPr>
          <w:rFonts w:ascii="Times New Roman" w:hAnsi="Times New Roman" w:eastAsia="新宋体" w:cs="Times New Roman"/>
          <w:color w:val="auto"/>
          <w:szCs w:val="24"/>
          <w:vertAlign w:val="superscript"/>
          <w:lang w:eastAsia="zh-CN"/>
        </w:rPr>
        <w:t>-7</w:t>
      </w:r>
      <w:r>
        <w:rPr>
          <w:rFonts w:ascii="Times New Roman" w:hAnsi="Times New Roman" w:eastAsia="新宋体" w:cs="Times New Roman"/>
          <w:color w:val="auto"/>
          <w:szCs w:val="24"/>
          <w:lang w:eastAsia="zh-CN"/>
        </w:rPr>
        <w:t>cm/s的粘土层，可有效防止污水泄露对土壤产生影响。</w:t>
      </w:r>
    </w:p>
    <w:p w14:paraId="5B4BC1F9">
      <w:pPr>
        <w:widowControl w:val="0"/>
        <w:spacing w:line="360" w:lineRule="auto"/>
        <w:ind w:firstLine="482"/>
        <w:jc w:val="both"/>
        <w:outlineLvl w:val="3"/>
        <w:rPr>
          <w:rFonts w:ascii="Times New Roman" w:hAnsi="Times New Roman" w:eastAsia="新宋体" w:cs="Times New Roman"/>
          <w:color w:val="auto"/>
          <w:szCs w:val="24"/>
          <w:lang w:eastAsia="zh-CN"/>
        </w:rPr>
      </w:pPr>
      <w:r>
        <w:rPr>
          <w:rFonts w:ascii="Times New Roman" w:hAnsi="Times New Roman" w:eastAsia="新宋体" w:cs="Times New Roman"/>
          <w:b/>
          <w:bCs/>
          <w:color w:val="auto"/>
          <w:szCs w:val="24"/>
          <w:lang w:eastAsia="zh-CN"/>
        </w:rPr>
        <w:t>6.</w:t>
      </w:r>
      <w:r>
        <w:rPr>
          <w:rFonts w:hint="eastAsia" w:ascii="Times New Roman" w:hAnsi="Times New Roman" w:eastAsia="新宋体" w:cs="Times New Roman"/>
          <w:b/>
          <w:bCs/>
          <w:color w:val="auto"/>
          <w:szCs w:val="24"/>
          <w:lang w:eastAsia="zh-CN"/>
        </w:rPr>
        <w:t>7</w:t>
      </w:r>
      <w:r>
        <w:rPr>
          <w:rFonts w:ascii="Times New Roman" w:hAnsi="Times New Roman" w:eastAsia="新宋体" w:cs="Times New Roman"/>
          <w:b/>
          <w:bCs/>
          <w:color w:val="auto"/>
          <w:szCs w:val="24"/>
          <w:lang w:eastAsia="zh-CN"/>
        </w:rPr>
        <w:t>.</w:t>
      </w:r>
      <w:r>
        <w:rPr>
          <w:rFonts w:hint="eastAsia" w:ascii="Times New Roman" w:hAnsi="Times New Roman" w:eastAsia="新宋体" w:cs="Times New Roman"/>
          <w:b/>
          <w:bCs/>
          <w:color w:val="auto"/>
          <w:szCs w:val="24"/>
          <w:lang w:eastAsia="zh-CN"/>
        </w:rPr>
        <w:t>2</w:t>
      </w:r>
      <w:r>
        <w:rPr>
          <w:rFonts w:ascii="Times New Roman" w:hAnsi="Times New Roman" w:eastAsia="新宋体" w:cs="Times New Roman"/>
          <w:b/>
          <w:bCs/>
          <w:color w:val="auto"/>
          <w:szCs w:val="24"/>
          <w:lang w:eastAsia="zh-CN"/>
        </w:rPr>
        <w:t>.</w:t>
      </w:r>
      <w:r>
        <w:rPr>
          <w:rFonts w:hint="eastAsia" w:ascii="Times New Roman" w:hAnsi="Times New Roman" w:eastAsia="新宋体" w:cs="Times New Roman"/>
          <w:b/>
          <w:bCs/>
          <w:color w:val="auto"/>
          <w:szCs w:val="24"/>
          <w:lang w:eastAsia="zh-CN"/>
        </w:rPr>
        <w:t>5 小结</w:t>
      </w:r>
    </w:p>
    <w:p w14:paraId="2D7F59E8">
      <w:pPr>
        <w:autoSpaceDE w:val="0"/>
        <w:autoSpaceDN w:val="0"/>
        <w:adjustRightInd w:val="0"/>
        <w:snapToGrid w:val="0"/>
        <w:spacing w:line="360" w:lineRule="auto"/>
        <w:ind w:firstLine="480" w:firstLineChars="200"/>
        <w:jc w:val="both"/>
        <w:rPr>
          <w:bCs/>
          <w:szCs w:val="28"/>
          <w:lang w:eastAsia="zh-CN"/>
        </w:rPr>
      </w:pPr>
      <w:r>
        <w:rPr>
          <w:bCs/>
          <w:szCs w:val="28"/>
          <w:lang w:eastAsia="zh-CN"/>
        </w:rPr>
        <w:t>由污染途径及对应措施分析可知，拟建工程对可能产生土壤影响的各项途径均进行有效预防，在确保各项防渗措施得以落实，并加强维护和厂区环境管理的前提下，可有效控制厂区内污染物下渗现象，避免污染土壤，因此拟建工程不会对区域土壤环境产生明显影响。</w:t>
      </w:r>
    </w:p>
    <w:p w14:paraId="3A5C5F11">
      <w:pPr>
        <w:adjustRightInd w:val="0"/>
        <w:snapToGrid w:val="0"/>
        <w:spacing w:line="360" w:lineRule="auto"/>
        <w:jc w:val="center"/>
        <w:rPr>
          <w:rFonts w:ascii="Times New Roman" w:hAnsi="Times New Roman" w:cs="Times New Roman"/>
          <w:b/>
          <w:lang w:eastAsia="zh-CN"/>
        </w:rPr>
      </w:pPr>
      <w:r>
        <w:rPr>
          <w:rFonts w:ascii="Times New Roman" w:hAnsi="Times New Roman" w:cs="Times New Roman"/>
          <w:b/>
          <w:lang w:eastAsia="zh-CN"/>
        </w:rPr>
        <w:t>表6.</w:t>
      </w:r>
      <w:r>
        <w:rPr>
          <w:rFonts w:hint="eastAsia" w:ascii="Times New Roman" w:hAnsi="Times New Roman" w:cs="Times New Roman"/>
          <w:b/>
          <w:lang w:eastAsia="zh-CN"/>
        </w:rPr>
        <w:t>7</w:t>
      </w:r>
      <w:r>
        <w:rPr>
          <w:rFonts w:ascii="Times New Roman" w:hAnsi="Times New Roman" w:cs="Times New Roman"/>
          <w:b/>
          <w:lang w:eastAsia="zh-CN"/>
        </w:rPr>
        <w:t>-</w:t>
      </w:r>
      <w:r>
        <w:rPr>
          <w:rFonts w:hint="eastAsia" w:ascii="Times New Roman" w:hAnsi="Times New Roman" w:cs="Times New Roman"/>
          <w:b/>
          <w:lang w:eastAsia="zh-CN"/>
        </w:rPr>
        <w:t>4</w:t>
      </w:r>
      <w:r>
        <w:rPr>
          <w:rFonts w:ascii="Times New Roman" w:hAnsi="Times New Roman" w:cs="Times New Roman"/>
          <w:b/>
          <w:lang w:eastAsia="zh-CN"/>
        </w:rPr>
        <w:t xml:space="preserve">  土壤环境影响评价自查表</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4"/>
        <w:gridCol w:w="1832"/>
        <w:gridCol w:w="1455"/>
        <w:gridCol w:w="1172"/>
        <w:gridCol w:w="275"/>
        <w:gridCol w:w="1527"/>
        <w:gridCol w:w="183"/>
        <w:gridCol w:w="1766"/>
        <w:gridCol w:w="952"/>
      </w:tblGrid>
      <w:tr w14:paraId="7D97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pct"/>
            <w:gridSpan w:val="2"/>
            <w:vAlign w:val="center"/>
          </w:tcPr>
          <w:p w14:paraId="04B7F575">
            <w:pPr>
              <w:spacing w:line="320" w:lineRule="exact"/>
              <w:jc w:val="center"/>
              <w:rPr>
                <w:rFonts w:ascii="Times New Roman" w:hAnsi="Times New Roman" w:cs="Times New Roman"/>
                <w:b/>
                <w:bCs/>
                <w:sz w:val="21"/>
              </w:rPr>
            </w:pPr>
            <w:r>
              <w:rPr>
                <w:rFonts w:ascii="Times New Roman" w:hAnsi="Times New Roman" w:cs="Times New Roman"/>
                <w:b/>
                <w:bCs/>
                <w:sz w:val="21"/>
              </w:rPr>
              <w:t>工作内容</w:t>
            </w:r>
          </w:p>
        </w:tc>
        <w:tc>
          <w:tcPr>
            <w:tcW w:w="3275" w:type="pct"/>
            <w:gridSpan w:val="6"/>
            <w:vAlign w:val="center"/>
          </w:tcPr>
          <w:p w14:paraId="20503AA9">
            <w:pPr>
              <w:spacing w:line="320" w:lineRule="exact"/>
              <w:jc w:val="center"/>
              <w:rPr>
                <w:rFonts w:ascii="Times New Roman" w:hAnsi="Times New Roman" w:cs="Times New Roman"/>
                <w:b/>
                <w:bCs/>
                <w:sz w:val="21"/>
              </w:rPr>
            </w:pPr>
            <w:r>
              <w:rPr>
                <w:rFonts w:ascii="Times New Roman" w:hAnsi="Times New Roman" w:cs="Times New Roman"/>
                <w:b/>
                <w:bCs/>
                <w:sz w:val="21"/>
              </w:rPr>
              <w:t>完成情况</w:t>
            </w:r>
          </w:p>
        </w:tc>
        <w:tc>
          <w:tcPr>
            <w:tcW w:w="489" w:type="pct"/>
            <w:vAlign w:val="center"/>
          </w:tcPr>
          <w:p w14:paraId="40E71EDD">
            <w:pPr>
              <w:spacing w:line="320" w:lineRule="exact"/>
              <w:jc w:val="center"/>
              <w:rPr>
                <w:rFonts w:ascii="Times New Roman" w:hAnsi="Times New Roman" w:cs="Times New Roman"/>
                <w:b/>
                <w:bCs/>
                <w:sz w:val="21"/>
              </w:rPr>
            </w:pPr>
            <w:r>
              <w:rPr>
                <w:rFonts w:ascii="Times New Roman" w:hAnsi="Times New Roman" w:cs="Times New Roman"/>
                <w:b/>
                <w:bCs/>
                <w:sz w:val="21"/>
              </w:rPr>
              <w:t>备注</w:t>
            </w:r>
          </w:p>
        </w:tc>
      </w:tr>
      <w:tr w14:paraId="603D0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 w:type="pct"/>
            <w:vMerge w:val="restart"/>
            <w:vAlign w:val="center"/>
          </w:tcPr>
          <w:p w14:paraId="4805CE37">
            <w:pPr>
              <w:spacing w:line="320" w:lineRule="exact"/>
              <w:jc w:val="center"/>
              <w:rPr>
                <w:rFonts w:ascii="Times New Roman" w:hAnsi="Times New Roman" w:cs="Times New Roman"/>
                <w:sz w:val="21"/>
              </w:rPr>
            </w:pPr>
            <w:r>
              <w:rPr>
                <w:rFonts w:ascii="Times New Roman" w:hAnsi="Times New Roman" w:cs="Times New Roman"/>
                <w:sz w:val="21"/>
              </w:rPr>
              <w:t>影响识别</w:t>
            </w:r>
          </w:p>
        </w:tc>
        <w:tc>
          <w:tcPr>
            <w:tcW w:w="941" w:type="pct"/>
            <w:vAlign w:val="center"/>
          </w:tcPr>
          <w:p w14:paraId="21C50041">
            <w:pPr>
              <w:spacing w:line="320" w:lineRule="exact"/>
              <w:jc w:val="center"/>
              <w:rPr>
                <w:rFonts w:ascii="Times New Roman" w:hAnsi="Times New Roman" w:cs="Times New Roman"/>
                <w:sz w:val="21"/>
              </w:rPr>
            </w:pPr>
            <w:r>
              <w:rPr>
                <w:rFonts w:ascii="Times New Roman" w:hAnsi="Times New Roman" w:cs="Times New Roman"/>
                <w:sz w:val="21"/>
              </w:rPr>
              <w:t>影响类型</w:t>
            </w:r>
          </w:p>
        </w:tc>
        <w:tc>
          <w:tcPr>
            <w:tcW w:w="3275" w:type="pct"/>
            <w:gridSpan w:val="6"/>
            <w:vAlign w:val="center"/>
          </w:tcPr>
          <w:p w14:paraId="1DA78326">
            <w:pPr>
              <w:spacing w:line="320" w:lineRule="exact"/>
              <w:jc w:val="center"/>
              <w:rPr>
                <w:rFonts w:ascii="Times New Roman" w:hAnsi="Times New Roman" w:cs="Times New Roman"/>
                <w:sz w:val="21"/>
                <w:lang w:eastAsia="zh-CN"/>
              </w:rPr>
            </w:pPr>
            <w:r>
              <w:rPr>
                <w:rFonts w:ascii="Times New Roman" w:hAnsi="Times New Roman" w:cs="Times New Roman"/>
                <w:sz w:val="21"/>
                <w:lang w:eastAsia="zh-CN"/>
              </w:rPr>
              <w:t>污染影响型√；生态影响型口；两种类型兼有口</w:t>
            </w:r>
          </w:p>
        </w:tc>
        <w:tc>
          <w:tcPr>
            <w:tcW w:w="489" w:type="pct"/>
            <w:vAlign w:val="center"/>
          </w:tcPr>
          <w:p w14:paraId="3E5F11DC">
            <w:pPr>
              <w:spacing w:line="320" w:lineRule="exact"/>
              <w:jc w:val="center"/>
              <w:rPr>
                <w:rFonts w:ascii="Times New Roman" w:hAnsi="Times New Roman" w:cs="Times New Roman"/>
                <w:sz w:val="21"/>
                <w:lang w:eastAsia="zh-CN"/>
              </w:rPr>
            </w:pPr>
          </w:p>
        </w:tc>
      </w:tr>
      <w:tr w14:paraId="58D45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 w:type="pct"/>
            <w:vMerge w:val="continue"/>
            <w:vAlign w:val="center"/>
          </w:tcPr>
          <w:p w14:paraId="1F98E9EB">
            <w:pPr>
              <w:spacing w:line="320" w:lineRule="exact"/>
              <w:jc w:val="center"/>
              <w:rPr>
                <w:rFonts w:ascii="Times New Roman" w:hAnsi="Times New Roman" w:cs="Times New Roman"/>
                <w:sz w:val="21"/>
                <w:lang w:eastAsia="zh-CN"/>
              </w:rPr>
            </w:pPr>
          </w:p>
        </w:tc>
        <w:tc>
          <w:tcPr>
            <w:tcW w:w="941" w:type="pct"/>
            <w:vAlign w:val="center"/>
          </w:tcPr>
          <w:p w14:paraId="4852A367">
            <w:pPr>
              <w:spacing w:line="320" w:lineRule="exact"/>
              <w:jc w:val="center"/>
              <w:rPr>
                <w:rFonts w:ascii="Times New Roman" w:hAnsi="Times New Roman" w:cs="Times New Roman"/>
                <w:sz w:val="21"/>
              </w:rPr>
            </w:pPr>
            <w:r>
              <w:rPr>
                <w:rFonts w:ascii="Times New Roman" w:hAnsi="Times New Roman" w:cs="Times New Roman"/>
                <w:sz w:val="21"/>
              </w:rPr>
              <w:t>土地利用类型</w:t>
            </w:r>
          </w:p>
        </w:tc>
        <w:tc>
          <w:tcPr>
            <w:tcW w:w="3275" w:type="pct"/>
            <w:gridSpan w:val="6"/>
            <w:vAlign w:val="center"/>
          </w:tcPr>
          <w:p w14:paraId="255387C0">
            <w:pPr>
              <w:spacing w:line="320" w:lineRule="exact"/>
              <w:jc w:val="center"/>
              <w:rPr>
                <w:rFonts w:ascii="Times New Roman" w:hAnsi="Times New Roman" w:cs="Times New Roman"/>
                <w:sz w:val="21"/>
                <w:lang w:eastAsia="zh-CN"/>
              </w:rPr>
            </w:pPr>
            <w:r>
              <w:rPr>
                <w:rFonts w:ascii="Times New Roman" w:hAnsi="Times New Roman" w:cs="Times New Roman"/>
                <w:sz w:val="21"/>
                <w:lang w:eastAsia="zh-CN"/>
              </w:rPr>
              <w:t>建设用地√；农用地√；未利用地口</w:t>
            </w:r>
          </w:p>
        </w:tc>
        <w:tc>
          <w:tcPr>
            <w:tcW w:w="489" w:type="pct"/>
            <w:vAlign w:val="center"/>
          </w:tcPr>
          <w:p w14:paraId="108BA8B8">
            <w:pPr>
              <w:spacing w:line="320" w:lineRule="exact"/>
              <w:jc w:val="center"/>
              <w:rPr>
                <w:rFonts w:ascii="Times New Roman" w:hAnsi="Times New Roman" w:cs="Times New Roman"/>
                <w:sz w:val="21"/>
                <w:lang w:eastAsia="zh-CN"/>
              </w:rPr>
            </w:pPr>
          </w:p>
        </w:tc>
      </w:tr>
      <w:tr w14:paraId="337D9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 w:type="pct"/>
            <w:vMerge w:val="continue"/>
            <w:vAlign w:val="center"/>
          </w:tcPr>
          <w:p w14:paraId="6537A12A">
            <w:pPr>
              <w:spacing w:line="320" w:lineRule="exact"/>
              <w:jc w:val="center"/>
              <w:rPr>
                <w:rFonts w:ascii="Times New Roman" w:hAnsi="Times New Roman" w:cs="Times New Roman"/>
                <w:sz w:val="21"/>
                <w:lang w:eastAsia="zh-CN"/>
              </w:rPr>
            </w:pPr>
          </w:p>
        </w:tc>
        <w:tc>
          <w:tcPr>
            <w:tcW w:w="941" w:type="pct"/>
            <w:vAlign w:val="center"/>
          </w:tcPr>
          <w:p w14:paraId="222EB37B">
            <w:pPr>
              <w:spacing w:line="320" w:lineRule="exact"/>
              <w:jc w:val="center"/>
              <w:rPr>
                <w:rFonts w:ascii="Times New Roman" w:hAnsi="Times New Roman" w:cs="Times New Roman"/>
                <w:sz w:val="21"/>
              </w:rPr>
            </w:pPr>
            <w:r>
              <w:rPr>
                <w:rFonts w:ascii="Times New Roman" w:hAnsi="Times New Roman" w:cs="Times New Roman"/>
                <w:sz w:val="21"/>
              </w:rPr>
              <w:t>占地规模</w:t>
            </w:r>
          </w:p>
        </w:tc>
        <w:tc>
          <w:tcPr>
            <w:tcW w:w="3275" w:type="pct"/>
            <w:gridSpan w:val="6"/>
            <w:vAlign w:val="center"/>
          </w:tcPr>
          <w:p w14:paraId="74A84CBF">
            <w:pPr>
              <w:spacing w:line="320" w:lineRule="exact"/>
              <w:jc w:val="center"/>
              <w:rPr>
                <w:rFonts w:ascii="Times New Roman" w:hAnsi="Times New Roman" w:cs="Times New Roman"/>
                <w:sz w:val="21"/>
              </w:rPr>
            </w:pPr>
            <w:r>
              <w:rPr>
                <w:rFonts w:ascii="Times New Roman" w:hAnsi="Times New Roman" w:cs="Times New Roman"/>
                <w:sz w:val="21"/>
              </w:rPr>
              <w:t>（</w:t>
            </w:r>
            <w:r>
              <w:rPr>
                <w:rFonts w:hint="eastAsia" w:ascii="Times New Roman" w:hAnsi="Times New Roman" w:cs="Times New Roman"/>
                <w:sz w:val="21"/>
                <w:lang w:eastAsia="zh-CN"/>
              </w:rPr>
              <w:t>3.6566</w:t>
            </w:r>
            <w:r>
              <w:rPr>
                <w:rFonts w:ascii="Times New Roman" w:hAnsi="Times New Roman" w:cs="Times New Roman"/>
                <w:sz w:val="21"/>
              </w:rPr>
              <w:t>）hm</w:t>
            </w:r>
            <w:r>
              <w:rPr>
                <w:rFonts w:ascii="Times New Roman" w:hAnsi="Times New Roman" w:cs="Times New Roman"/>
                <w:sz w:val="21"/>
                <w:vertAlign w:val="superscript"/>
              </w:rPr>
              <w:t>2</w:t>
            </w:r>
          </w:p>
        </w:tc>
        <w:tc>
          <w:tcPr>
            <w:tcW w:w="489" w:type="pct"/>
            <w:vAlign w:val="center"/>
          </w:tcPr>
          <w:p w14:paraId="77953E22">
            <w:pPr>
              <w:spacing w:line="320" w:lineRule="exact"/>
              <w:jc w:val="center"/>
              <w:rPr>
                <w:rFonts w:ascii="Times New Roman" w:hAnsi="Times New Roman" w:cs="Times New Roman"/>
                <w:sz w:val="21"/>
              </w:rPr>
            </w:pPr>
          </w:p>
        </w:tc>
      </w:tr>
      <w:tr w14:paraId="6CA1A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 w:type="pct"/>
            <w:vMerge w:val="continue"/>
            <w:vAlign w:val="center"/>
          </w:tcPr>
          <w:p w14:paraId="7504C1A8">
            <w:pPr>
              <w:spacing w:line="320" w:lineRule="exact"/>
              <w:jc w:val="center"/>
              <w:rPr>
                <w:rFonts w:ascii="Times New Roman" w:hAnsi="Times New Roman" w:cs="Times New Roman"/>
                <w:sz w:val="21"/>
              </w:rPr>
            </w:pPr>
          </w:p>
        </w:tc>
        <w:tc>
          <w:tcPr>
            <w:tcW w:w="941" w:type="pct"/>
            <w:vAlign w:val="center"/>
          </w:tcPr>
          <w:p w14:paraId="52864E34">
            <w:pPr>
              <w:spacing w:line="320" w:lineRule="exact"/>
              <w:jc w:val="center"/>
              <w:rPr>
                <w:rFonts w:ascii="Times New Roman" w:hAnsi="Times New Roman" w:cs="Times New Roman"/>
                <w:sz w:val="21"/>
              </w:rPr>
            </w:pPr>
            <w:r>
              <w:rPr>
                <w:rFonts w:ascii="Times New Roman" w:hAnsi="Times New Roman" w:cs="Times New Roman"/>
                <w:sz w:val="21"/>
              </w:rPr>
              <w:t>敏感目标信息</w:t>
            </w:r>
          </w:p>
        </w:tc>
        <w:tc>
          <w:tcPr>
            <w:tcW w:w="3275" w:type="pct"/>
            <w:gridSpan w:val="6"/>
            <w:vAlign w:val="center"/>
          </w:tcPr>
          <w:p w14:paraId="05730A9E">
            <w:pPr>
              <w:spacing w:line="320" w:lineRule="exact"/>
              <w:jc w:val="center"/>
              <w:rPr>
                <w:rFonts w:ascii="Times New Roman" w:hAnsi="Times New Roman" w:cs="Times New Roman"/>
                <w:sz w:val="21"/>
                <w:lang w:eastAsia="zh-CN"/>
              </w:rPr>
            </w:pPr>
            <w:r>
              <w:rPr>
                <w:rFonts w:ascii="Times New Roman" w:hAnsi="Times New Roman" w:cs="Times New Roman"/>
                <w:sz w:val="21"/>
                <w:lang w:eastAsia="zh-CN"/>
              </w:rPr>
              <w:t>敏感目标（</w:t>
            </w:r>
            <w:r>
              <w:rPr>
                <w:rFonts w:hint="eastAsia" w:ascii="Times New Roman" w:hAnsi="Times New Roman" w:cs="Times New Roman"/>
                <w:sz w:val="21"/>
                <w:lang w:eastAsia="zh-CN"/>
              </w:rPr>
              <w:t>耕地</w:t>
            </w:r>
            <w:r>
              <w:rPr>
                <w:rFonts w:ascii="Times New Roman" w:hAnsi="Times New Roman" w:cs="Times New Roman"/>
                <w:sz w:val="21"/>
                <w:lang w:eastAsia="zh-CN"/>
              </w:rPr>
              <w:t>）、方位（</w:t>
            </w:r>
            <w:r>
              <w:rPr>
                <w:rFonts w:hint="eastAsia" w:ascii="Times New Roman" w:hAnsi="Times New Roman" w:cs="Times New Roman"/>
                <w:sz w:val="21"/>
                <w:lang w:eastAsia="zh-CN"/>
              </w:rPr>
              <w:t>N</w:t>
            </w:r>
            <w:r>
              <w:rPr>
                <w:rFonts w:ascii="Times New Roman" w:hAnsi="Times New Roman" w:cs="Times New Roman"/>
                <w:sz w:val="21"/>
                <w:lang w:eastAsia="zh-CN"/>
              </w:rPr>
              <w:t>）、距离（</w:t>
            </w:r>
            <w:r>
              <w:rPr>
                <w:rFonts w:hint="eastAsia" w:ascii="Times New Roman" w:hAnsi="Times New Roman" w:cs="Times New Roman"/>
                <w:sz w:val="21"/>
                <w:lang w:eastAsia="zh-CN"/>
              </w:rPr>
              <w:t>430m</w:t>
            </w:r>
            <w:r>
              <w:rPr>
                <w:rFonts w:ascii="Times New Roman" w:hAnsi="Times New Roman" w:cs="Times New Roman"/>
                <w:sz w:val="21"/>
                <w:lang w:eastAsia="zh-CN"/>
              </w:rPr>
              <w:t>）</w:t>
            </w:r>
          </w:p>
          <w:p w14:paraId="296B0E31">
            <w:pPr>
              <w:spacing w:line="320" w:lineRule="exact"/>
              <w:jc w:val="center"/>
              <w:rPr>
                <w:rFonts w:ascii="Times New Roman" w:hAnsi="Times New Roman" w:cs="Times New Roman"/>
                <w:sz w:val="21"/>
                <w:lang w:eastAsia="zh-CN"/>
              </w:rPr>
            </w:pPr>
            <w:r>
              <w:rPr>
                <w:rFonts w:ascii="Times New Roman" w:hAnsi="Times New Roman" w:cs="Times New Roman"/>
                <w:sz w:val="21"/>
                <w:lang w:eastAsia="zh-CN"/>
              </w:rPr>
              <w:t>敏感目标（</w:t>
            </w:r>
            <w:r>
              <w:rPr>
                <w:rFonts w:hint="eastAsia" w:ascii="Times New Roman" w:hAnsi="Times New Roman" w:cs="Times New Roman"/>
                <w:sz w:val="21"/>
                <w:lang w:eastAsia="zh-CN"/>
              </w:rPr>
              <w:t>居民区</w:t>
            </w:r>
            <w:r>
              <w:rPr>
                <w:rFonts w:ascii="Times New Roman" w:hAnsi="Times New Roman" w:cs="Times New Roman"/>
                <w:sz w:val="21"/>
                <w:lang w:eastAsia="zh-CN"/>
              </w:rPr>
              <w:t>）、方位（</w:t>
            </w:r>
            <w:r>
              <w:rPr>
                <w:rFonts w:hint="eastAsia" w:ascii="Times New Roman" w:hAnsi="Times New Roman" w:cs="Times New Roman"/>
                <w:sz w:val="21"/>
                <w:lang w:eastAsia="zh-CN"/>
              </w:rPr>
              <w:t>NE</w:t>
            </w:r>
            <w:r>
              <w:rPr>
                <w:rFonts w:ascii="Times New Roman" w:hAnsi="Times New Roman" w:cs="Times New Roman"/>
                <w:sz w:val="21"/>
                <w:lang w:eastAsia="zh-CN"/>
              </w:rPr>
              <w:t>）、距离（</w:t>
            </w:r>
            <w:r>
              <w:rPr>
                <w:rFonts w:hint="eastAsia" w:ascii="Times New Roman" w:hAnsi="Times New Roman" w:cs="Times New Roman"/>
                <w:sz w:val="21"/>
                <w:lang w:eastAsia="zh-CN"/>
              </w:rPr>
              <w:t>760m</w:t>
            </w:r>
            <w:r>
              <w:rPr>
                <w:rFonts w:ascii="Times New Roman" w:hAnsi="Times New Roman" w:cs="Times New Roman"/>
                <w:sz w:val="21"/>
                <w:lang w:eastAsia="zh-CN"/>
              </w:rPr>
              <w:t>）</w:t>
            </w:r>
          </w:p>
        </w:tc>
        <w:tc>
          <w:tcPr>
            <w:tcW w:w="489" w:type="pct"/>
            <w:vAlign w:val="center"/>
          </w:tcPr>
          <w:p w14:paraId="0B0C2986">
            <w:pPr>
              <w:spacing w:line="320" w:lineRule="exact"/>
              <w:jc w:val="center"/>
              <w:rPr>
                <w:rFonts w:ascii="Times New Roman" w:hAnsi="Times New Roman" w:cs="Times New Roman"/>
                <w:sz w:val="21"/>
                <w:lang w:eastAsia="zh-CN"/>
              </w:rPr>
            </w:pPr>
          </w:p>
        </w:tc>
      </w:tr>
      <w:tr w14:paraId="5F25D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 w:type="pct"/>
            <w:vMerge w:val="continue"/>
            <w:vAlign w:val="center"/>
          </w:tcPr>
          <w:p w14:paraId="10269899">
            <w:pPr>
              <w:spacing w:line="320" w:lineRule="exact"/>
              <w:jc w:val="center"/>
              <w:rPr>
                <w:rFonts w:ascii="Times New Roman" w:hAnsi="Times New Roman" w:cs="Times New Roman"/>
                <w:sz w:val="21"/>
                <w:lang w:eastAsia="zh-CN"/>
              </w:rPr>
            </w:pPr>
          </w:p>
        </w:tc>
        <w:tc>
          <w:tcPr>
            <w:tcW w:w="941" w:type="pct"/>
            <w:vAlign w:val="center"/>
          </w:tcPr>
          <w:p w14:paraId="33B8D05E">
            <w:pPr>
              <w:spacing w:line="320" w:lineRule="exact"/>
              <w:jc w:val="center"/>
              <w:rPr>
                <w:rFonts w:ascii="Times New Roman" w:hAnsi="Times New Roman" w:cs="Times New Roman"/>
                <w:sz w:val="21"/>
              </w:rPr>
            </w:pPr>
            <w:r>
              <w:rPr>
                <w:rFonts w:ascii="Times New Roman" w:hAnsi="Times New Roman" w:cs="Times New Roman"/>
                <w:sz w:val="21"/>
              </w:rPr>
              <w:t>影响途径</w:t>
            </w:r>
          </w:p>
        </w:tc>
        <w:tc>
          <w:tcPr>
            <w:tcW w:w="3275" w:type="pct"/>
            <w:gridSpan w:val="6"/>
            <w:vAlign w:val="center"/>
          </w:tcPr>
          <w:p w14:paraId="541E751F">
            <w:pPr>
              <w:spacing w:line="320" w:lineRule="exact"/>
              <w:jc w:val="center"/>
              <w:rPr>
                <w:rFonts w:ascii="Times New Roman" w:hAnsi="Times New Roman" w:cs="Times New Roman"/>
                <w:sz w:val="21"/>
                <w:lang w:eastAsia="zh-CN"/>
              </w:rPr>
            </w:pPr>
            <w:r>
              <w:rPr>
                <w:rFonts w:ascii="Times New Roman" w:hAnsi="Times New Roman" w:cs="Times New Roman"/>
                <w:sz w:val="21"/>
                <w:lang w:eastAsia="zh-CN"/>
              </w:rPr>
              <w:t>大气沉降√；地面漫流口；垂直入渗√；地下水位口；其他</w:t>
            </w:r>
          </w:p>
        </w:tc>
        <w:tc>
          <w:tcPr>
            <w:tcW w:w="489" w:type="pct"/>
            <w:vAlign w:val="center"/>
          </w:tcPr>
          <w:p w14:paraId="2F801156">
            <w:pPr>
              <w:spacing w:line="320" w:lineRule="exact"/>
              <w:jc w:val="center"/>
              <w:rPr>
                <w:rFonts w:ascii="Times New Roman" w:hAnsi="Times New Roman" w:cs="Times New Roman"/>
                <w:sz w:val="21"/>
                <w:lang w:eastAsia="zh-CN"/>
              </w:rPr>
            </w:pPr>
          </w:p>
        </w:tc>
      </w:tr>
      <w:tr w14:paraId="298EC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 w:type="pct"/>
            <w:vMerge w:val="continue"/>
            <w:vAlign w:val="center"/>
          </w:tcPr>
          <w:p w14:paraId="4A10F624">
            <w:pPr>
              <w:spacing w:line="320" w:lineRule="exact"/>
              <w:jc w:val="center"/>
              <w:rPr>
                <w:rFonts w:ascii="Times New Roman" w:hAnsi="Times New Roman" w:cs="Times New Roman"/>
                <w:sz w:val="21"/>
                <w:lang w:eastAsia="zh-CN"/>
              </w:rPr>
            </w:pPr>
          </w:p>
        </w:tc>
        <w:tc>
          <w:tcPr>
            <w:tcW w:w="941" w:type="pct"/>
            <w:vAlign w:val="center"/>
          </w:tcPr>
          <w:p w14:paraId="07BF9ABF">
            <w:pPr>
              <w:spacing w:line="320" w:lineRule="exact"/>
              <w:jc w:val="center"/>
              <w:rPr>
                <w:rFonts w:ascii="Times New Roman" w:hAnsi="Times New Roman" w:cs="Times New Roman"/>
                <w:sz w:val="21"/>
              </w:rPr>
            </w:pPr>
            <w:r>
              <w:rPr>
                <w:rFonts w:ascii="Times New Roman" w:hAnsi="Times New Roman" w:cs="Times New Roman"/>
                <w:sz w:val="21"/>
              </w:rPr>
              <w:t>全部污染物</w:t>
            </w:r>
          </w:p>
        </w:tc>
        <w:tc>
          <w:tcPr>
            <w:tcW w:w="3275" w:type="pct"/>
            <w:gridSpan w:val="6"/>
            <w:vAlign w:val="center"/>
          </w:tcPr>
          <w:p w14:paraId="5CA058CB">
            <w:pPr>
              <w:spacing w:line="320" w:lineRule="exact"/>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氟化物</w:t>
            </w:r>
          </w:p>
        </w:tc>
        <w:tc>
          <w:tcPr>
            <w:tcW w:w="489" w:type="pct"/>
            <w:vAlign w:val="center"/>
          </w:tcPr>
          <w:p w14:paraId="0E7B418F">
            <w:pPr>
              <w:spacing w:line="320" w:lineRule="exact"/>
              <w:jc w:val="center"/>
              <w:rPr>
                <w:rFonts w:ascii="Times New Roman" w:hAnsi="Times New Roman" w:cs="Times New Roman"/>
                <w:sz w:val="21"/>
              </w:rPr>
            </w:pPr>
          </w:p>
        </w:tc>
      </w:tr>
      <w:tr w14:paraId="3A1FB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 w:type="pct"/>
            <w:vMerge w:val="continue"/>
            <w:vAlign w:val="center"/>
          </w:tcPr>
          <w:p w14:paraId="668D91DA">
            <w:pPr>
              <w:spacing w:line="320" w:lineRule="exact"/>
              <w:jc w:val="center"/>
              <w:rPr>
                <w:rFonts w:ascii="Times New Roman" w:hAnsi="Times New Roman" w:cs="Times New Roman"/>
                <w:sz w:val="21"/>
              </w:rPr>
            </w:pPr>
          </w:p>
        </w:tc>
        <w:tc>
          <w:tcPr>
            <w:tcW w:w="941" w:type="pct"/>
            <w:vAlign w:val="center"/>
          </w:tcPr>
          <w:p w14:paraId="60213A46">
            <w:pPr>
              <w:spacing w:line="320" w:lineRule="exact"/>
              <w:jc w:val="center"/>
              <w:rPr>
                <w:rFonts w:ascii="Times New Roman" w:hAnsi="Times New Roman" w:cs="Times New Roman"/>
                <w:sz w:val="21"/>
              </w:rPr>
            </w:pPr>
            <w:r>
              <w:rPr>
                <w:rFonts w:ascii="Times New Roman" w:hAnsi="Times New Roman" w:cs="Times New Roman"/>
                <w:sz w:val="21"/>
              </w:rPr>
              <w:t>特征因子</w:t>
            </w:r>
          </w:p>
        </w:tc>
        <w:tc>
          <w:tcPr>
            <w:tcW w:w="3275" w:type="pct"/>
            <w:gridSpan w:val="6"/>
            <w:vAlign w:val="center"/>
          </w:tcPr>
          <w:p w14:paraId="75C586B6">
            <w:pPr>
              <w:spacing w:line="320" w:lineRule="exact"/>
              <w:jc w:val="center"/>
              <w:rPr>
                <w:rFonts w:ascii="Times New Roman" w:hAnsi="Times New Roman" w:cs="Times New Roman"/>
                <w:color w:val="auto"/>
                <w:sz w:val="21"/>
              </w:rPr>
            </w:pPr>
            <w:r>
              <w:rPr>
                <w:rFonts w:hint="eastAsia" w:ascii="Times New Roman" w:hAnsi="Times New Roman" w:cs="Times New Roman"/>
                <w:color w:val="auto"/>
                <w:sz w:val="21"/>
                <w:lang w:eastAsia="zh-CN"/>
              </w:rPr>
              <w:t>氟化物</w:t>
            </w:r>
          </w:p>
        </w:tc>
        <w:tc>
          <w:tcPr>
            <w:tcW w:w="489" w:type="pct"/>
            <w:vAlign w:val="center"/>
          </w:tcPr>
          <w:p w14:paraId="35CDFAEA">
            <w:pPr>
              <w:spacing w:line="320" w:lineRule="exact"/>
              <w:jc w:val="center"/>
              <w:rPr>
                <w:rFonts w:ascii="Times New Roman" w:hAnsi="Times New Roman" w:cs="Times New Roman"/>
                <w:sz w:val="21"/>
              </w:rPr>
            </w:pPr>
          </w:p>
        </w:tc>
      </w:tr>
      <w:tr w14:paraId="0FDB3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 w:type="pct"/>
            <w:vMerge w:val="continue"/>
            <w:vAlign w:val="center"/>
          </w:tcPr>
          <w:p w14:paraId="6D4F3181">
            <w:pPr>
              <w:spacing w:line="320" w:lineRule="exact"/>
              <w:jc w:val="center"/>
              <w:rPr>
                <w:rFonts w:ascii="Times New Roman" w:hAnsi="Times New Roman" w:cs="Times New Roman"/>
                <w:sz w:val="21"/>
              </w:rPr>
            </w:pPr>
          </w:p>
        </w:tc>
        <w:tc>
          <w:tcPr>
            <w:tcW w:w="941" w:type="pct"/>
            <w:vAlign w:val="center"/>
          </w:tcPr>
          <w:p w14:paraId="122B0CF0">
            <w:pPr>
              <w:spacing w:line="320" w:lineRule="exact"/>
              <w:jc w:val="center"/>
              <w:rPr>
                <w:rFonts w:ascii="Times New Roman" w:hAnsi="Times New Roman" w:cs="Times New Roman"/>
                <w:sz w:val="21"/>
                <w:lang w:eastAsia="zh-CN"/>
              </w:rPr>
            </w:pPr>
            <w:r>
              <w:rPr>
                <w:rFonts w:ascii="Times New Roman" w:hAnsi="Times New Roman" w:cs="Times New Roman"/>
                <w:sz w:val="21"/>
                <w:lang w:eastAsia="zh-CN"/>
              </w:rPr>
              <w:t>所属土壤环境影响评价项目类别</w:t>
            </w:r>
          </w:p>
        </w:tc>
        <w:tc>
          <w:tcPr>
            <w:tcW w:w="3275" w:type="pct"/>
            <w:gridSpan w:val="6"/>
            <w:vAlign w:val="center"/>
          </w:tcPr>
          <w:p w14:paraId="189C1C65">
            <w:pPr>
              <w:spacing w:line="320" w:lineRule="exact"/>
              <w:jc w:val="center"/>
              <w:rPr>
                <w:rFonts w:ascii="Times New Roman" w:hAnsi="Times New Roman" w:cs="Times New Roman"/>
                <w:sz w:val="21"/>
                <w:lang w:eastAsia="zh-CN"/>
              </w:rPr>
            </w:pPr>
            <w:r>
              <w:rPr>
                <w:rFonts w:ascii="Times New Roman" w:hAnsi="Times New Roman" w:cs="Times New Roman"/>
                <w:sz w:val="21"/>
                <w:lang w:eastAsia="zh-CN"/>
              </w:rPr>
              <w:t>Ⅰ类√；Ⅱ类口；Ⅲ类口；Ⅳ类口</w:t>
            </w:r>
          </w:p>
        </w:tc>
        <w:tc>
          <w:tcPr>
            <w:tcW w:w="489" w:type="pct"/>
            <w:vAlign w:val="center"/>
          </w:tcPr>
          <w:p w14:paraId="37FA13ED">
            <w:pPr>
              <w:spacing w:line="320" w:lineRule="exact"/>
              <w:jc w:val="center"/>
              <w:rPr>
                <w:rFonts w:ascii="Times New Roman" w:hAnsi="Times New Roman" w:cs="Times New Roman"/>
                <w:sz w:val="21"/>
                <w:lang w:eastAsia="zh-CN"/>
              </w:rPr>
            </w:pPr>
          </w:p>
        </w:tc>
      </w:tr>
      <w:tr w14:paraId="1B8D1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 w:type="pct"/>
            <w:vMerge w:val="continue"/>
            <w:vAlign w:val="center"/>
          </w:tcPr>
          <w:p w14:paraId="68FF07B8">
            <w:pPr>
              <w:spacing w:line="320" w:lineRule="exact"/>
              <w:jc w:val="center"/>
              <w:rPr>
                <w:rFonts w:ascii="Times New Roman" w:hAnsi="Times New Roman" w:cs="Times New Roman"/>
                <w:sz w:val="21"/>
                <w:lang w:eastAsia="zh-CN"/>
              </w:rPr>
            </w:pPr>
          </w:p>
        </w:tc>
        <w:tc>
          <w:tcPr>
            <w:tcW w:w="941" w:type="pct"/>
            <w:vAlign w:val="center"/>
          </w:tcPr>
          <w:p w14:paraId="1AD81E80">
            <w:pPr>
              <w:spacing w:line="320" w:lineRule="exact"/>
              <w:jc w:val="center"/>
              <w:rPr>
                <w:rFonts w:ascii="Times New Roman" w:hAnsi="Times New Roman" w:cs="Times New Roman"/>
                <w:sz w:val="21"/>
              </w:rPr>
            </w:pPr>
            <w:r>
              <w:rPr>
                <w:rFonts w:ascii="Times New Roman" w:hAnsi="Times New Roman" w:cs="Times New Roman"/>
                <w:sz w:val="21"/>
              </w:rPr>
              <w:t>敏感程度</w:t>
            </w:r>
          </w:p>
        </w:tc>
        <w:tc>
          <w:tcPr>
            <w:tcW w:w="3275" w:type="pct"/>
            <w:gridSpan w:val="6"/>
            <w:vAlign w:val="center"/>
          </w:tcPr>
          <w:p w14:paraId="7016C341">
            <w:pPr>
              <w:spacing w:line="320" w:lineRule="exact"/>
              <w:jc w:val="center"/>
              <w:rPr>
                <w:rFonts w:ascii="Times New Roman" w:hAnsi="Times New Roman" w:cs="Times New Roman"/>
                <w:sz w:val="21"/>
                <w:lang w:eastAsia="zh-CN"/>
              </w:rPr>
            </w:pPr>
            <w:r>
              <w:rPr>
                <w:rFonts w:ascii="Times New Roman" w:hAnsi="Times New Roman" w:cs="Times New Roman"/>
                <w:sz w:val="21"/>
                <w:lang w:eastAsia="zh-CN"/>
              </w:rPr>
              <w:t>敏感√；较敏感口；不敏感口</w:t>
            </w:r>
          </w:p>
        </w:tc>
        <w:tc>
          <w:tcPr>
            <w:tcW w:w="489" w:type="pct"/>
            <w:vAlign w:val="center"/>
          </w:tcPr>
          <w:p w14:paraId="344D7BA4">
            <w:pPr>
              <w:spacing w:line="320" w:lineRule="exact"/>
              <w:jc w:val="center"/>
              <w:rPr>
                <w:rFonts w:ascii="Times New Roman" w:hAnsi="Times New Roman" w:cs="Times New Roman"/>
                <w:sz w:val="21"/>
                <w:lang w:eastAsia="zh-CN"/>
              </w:rPr>
            </w:pPr>
          </w:p>
        </w:tc>
      </w:tr>
      <w:tr w14:paraId="79EF3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pct"/>
            <w:gridSpan w:val="2"/>
            <w:vAlign w:val="center"/>
          </w:tcPr>
          <w:p w14:paraId="0E239695">
            <w:pPr>
              <w:spacing w:line="320" w:lineRule="exact"/>
              <w:jc w:val="center"/>
              <w:rPr>
                <w:rFonts w:ascii="Times New Roman" w:hAnsi="Times New Roman" w:cs="Times New Roman"/>
                <w:sz w:val="21"/>
              </w:rPr>
            </w:pPr>
            <w:r>
              <w:rPr>
                <w:rFonts w:ascii="Times New Roman" w:hAnsi="Times New Roman" w:cs="Times New Roman"/>
                <w:sz w:val="21"/>
              </w:rPr>
              <w:t>评价工作等级</w:t>
            </w:r>
          </w:p>
        </w:tc>
        <w:tc>
          <w:tcPr>
            <w:tcW w:w="3275" w:type="pct"/>
            <w:gridSpan w:val="6"/>
            <w:vAlign w:val="center"/>
          </w:tcPr>
          <w:p w14:paraId="06549172">
            <w:pPr>
              <w:spacing w:line="320" w:lineRule="exact"/>
              <w:jc w:val="center"/>
              <w:rPr>
                <w:rFonts w:ascii="Times New Roman" w:hAnsi="Times New Roman" w:cs="Times New Roman"/>
                <w:sz w:val="21"/>
                <w:lang w:eastAsia="zh-CN"/>
              </w:rPr>
            </w:pPr>
            <w:r>
              <w:rPr>
                <w:rFonts w:ascii="Times New Roman" w:hAnsi="Times New Roman" w:cs="Times New Roman"/>
                <w:sz w:val="21"/>
                <w:lang w:eastAsia="zh-CN"/>
              </w:rPr>
              <w:t>一级√；二级口；三级口</w:t>
            </w:r>
          </w:p>
        </w:tc>
        <w:tc>
          <w:tcPr>
            <w:tcW w:w="489" w:type="pct"/>
            <w:vAlign w:val="center"/>
          </w:tcPr>
          <w:p w14:paraId="755C888B">
            <w:pPr>
              <w:spacing w:line="320" w:lineRule="exact"/>
              <w:jc w:val="center"/>
              <w:rPr>
                <w:rFonts w:ascii="Times New Roman" w:hAnsi="Times New Roman" w:cs="Times New Roman"/>
                <w:sz w:val="21"/>
                <w:lang w:eastAsia="zh-CN"/>
              </w:rPr>
            </w:pPr>
          </w:p>
        </w:tc>
      </w:tr>
      <w:tr w14:paraId="72399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 w:type="pct"/>
            <w:vMerge w:val="restart"/>
            <w:vAlign w:val="center"/>
          </w:tcPr>
          <w:p w14:paraId="6A0F6FBD">
            <w:pPr>
              <w:spacing w:line="320" w:lineRule="exact"/>
              <w:jc w:val="center"/>
              <w:rPr>
                <w:rFonts w:ascii="Times New Roman" w:hAnsi="Times New Roman" w:cs="Times New Roman"/>
                <w:sz w:val="21"/>
              </w:rPr>
            </w:pPr>
            <w:r>
              <w:rPr>
                <w:rFonts w:ascii="Times New Roman" w:hAnsi="Times New Roman" w:cs="Times New Roman"/>
                <w:sz w:val="21"/>
              </w:rPr>
              <w:t>现状调查内容</w:t>
            </w:r>
          </w:p>
        </w:tc>
        <w:tc>
          <w:tcPr>
            <w:tcW w:w="941" w:type="pct"/>
            <w:vAlign w:val="center"/>
          </w:tcPr>
          <w:p w14:paraId="6D3E8B7C">
            <w:pPr>
              <w:spacing w:line="320" w:lineRule="exact"/>
              <w:jc w:val="center"/>
              <w:rPr>
                <w:rFonts w:ascii="Times New Roman" w:hAnsi="Times New Roman" w:cs="Times New Roman"/>
                <w:sz w:val="21"/>
              </w:rPr>
            </w:pPr>
            <w:r>
              <w:rPr>
                <w:rFonts w:ascii="Times New Roman" w:hAnsi="Times New Roman" w:cs="Times New Roman"/>
                <w:sz w:val="21"/>
              </w:rPr>
              <w:t>资料收集</w:t>
            </w:r>
          </w:p>
        </w:tc>
        <w:tc>
          <w:tcPr>
            <w:tcW w:w="3275" w:type="pct"/>
            <w:gridSpan w:val="6"/>
            <w:vAlign w:val="center"/>
          </w:tcPr>
          <w:p w14:paraId="137A0E7C">
            <w:pPr>
              <w:spacing w:line="320" w:lineRule="exact"/>
              <w:jc w:val="center"/>
              <w:rPr>
                <w:rFonts w:ascii="Times New Roman" w:hAnsi="Times New Roman" w:cs="Times New Roman"/>
                <w:sz w:val="21"/>
              </w:rPr>
            </w:pPr>
            <w:r>
              <w:rPr>
                <w:rFonts w:ascii="Times New Roman" w:hAnsi="Times New Roman" w:cs="Times New Roman"/>
                <w:sz w:val="21"/>
              </w:rPr>
              <w:t>a）口；  b) √;  c) √;  d) √</w:t>
            </w:r>
          </w:p>
        </w:tc>
        <w:tc>
          <w:tcPr>
            <w:tcW w:w="489" w:type="pct"/>
            <w:vAlign w:val="center"/>
          </w:tcPr>
          <w:p w14:paraId="4C8A5708">
            <w:pPr>
              <w:spacing w:line="320" w:lineRule="exact"/>
              <w:jc w:val="center"/>
              <w:rPr>
                <w:rFonts w:ascii="Times New Roman" w:hAnsi="Times New Roman" w:cs="Times New Roman"/>
                <w:sz w:val="21"/>
              </w:rPr>
            </w:pPr>
          </w:p>
        </w:tc>
      </w:tr>
      <w:tr w14:paraId="64F26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 w:type="pct"/>
            <w:vMerge w:val="continue"/>
            <w:vAlign w:val="center"/>
          </w:tcPr>
          <w:p w14:paraId="26BA5505">
            <w:pPr>
              <w:spacing w:line="320" w:lineRule="exact"/>
              <w:jc w:val="center"/>
              <w:rPr>
                <w:rFonts w:ascii="Times New Roman" w:hAnsi="Times New Roman" w:cs="Times New Roman"/>
                <w:sz w:val="21"/>
              </w:rPr>
            </w:pPr>
          </w:p>
        </w:tc>
        <w:tc>
          <w:tcPr>
            <w:tcW w:w="941" w:type="pct"/>
            <w:vAlign w:val="center"/>
          </w:tcPr>
          <w:p w14:paraId="555C7004">
            <w:pPr>
              <w:spacing w:line="320" w:lineRule="exact"/>
              <w:jc w:val="center"/>
              <w:rPr>
                <w:rFonts w:ascii="Times New Roman" w:hAnsi="Times New Roman" w:cs="Times New Roman"/>
                <w:sz w:val="21"/>
              </w:rPr>
            </w:pPr>
            <w:r>
              <w:rPr>
                <w:rFonts w:ascii="Times New Roman" w:hAnsi="Times New Roman" w:cs="Times New Roman"/>
                <w:sz w:val="21"/>
              </w:rPr>
              <w:t>理化特性</w:t>
            </w:r>
          </w:p>
        </w:tc>
        <w:tc>
          <w:tcPr>
            <w:tcW w:w="3275" w:type="pct"/>
            <w:gridSpan w:val="6"/>
            <w:vAlign w:val="center"/>
          </w:tcPr>
          <w:p w14:paraId="56422311">
            <w:pPr>
              <w:spacing w:line="320" w:lineRule="exact"/>
              <w:jc w:val="center"/>
              <w:rPr>
                <w:rFonts w:ascii="Times New Roman" w:hAnsi="Times New Roman" w:cs="Times New Roman"/>
                <w:sz w:val="21"/>
                <w:lang w:eastAsia="zh-CN"/>
              </w:rPr>
            </w:pPr>
            <w:r>
              <w:rPr>
                <w:rFonts w:ascii="Times New Roman" w:hAnsi="Times New Roman" w:cs="Times New Roman"/>
                <w:sz w:val="21"/>
                <w:lang w:eastAsia="zh-CN"/>
              </w:rPr>
              <w:t>颜色、结构、质地、</w:t>
            </w:r>
            <w:r>
              <w:rPr>
                <w:rFonts w:hint="eastAsia" w:ascii="Times New Roman" w:hAnsi="Times New Roman" w:cs="Times New Roman"/>
                <w:sz w:val="21"/>
                <w:lang w:eastAsia="zh-CN"/>
              </w:rPr>
              <w:t>砂砾含量、</w:t>
            </w:r>
            <w:r>
              <w:rPr>
                <w:rFonts w:ascii="Times New Roman" w:hAnsi="Times New Roman" w:cs="Times New Roman"/>
                <w:sz w:val="21"/>
                <w:lang w:eastAsia="zh-CN"/>
              </w:rPr>
              <w:t>其他异物、pH值、阳离子交换量、氧化还原电位、</w:t>
            </w:r>
            <w:r>
              <w:rPr>
                <w:rFonts w:hint="eastAsia" w:ascii="Times New Roman" w:hAnsi="Times New Roman" w:cs="Times New Roman"/>
                <w:sz w:val="21"/>
                <w:lang w:eastAsia="zh-CN"/>
              </w:rPr>
              <w:t>饱和导水率</w:t>
            </w:r>
            <w:r>
              <w:rPr>
                <w:rFonts w:ascii="Times New Roman" w:hAnsi="Times New Roman" w:cs="Times New Roman"/>
                <w:sz w:val="21"/>
                <w:lang w:eastAsia="zh-CN"/>
              </w:rPr>
              <w:t>、土壤容重、孔隙度</w:t>
            </w:r>
          </w:p>
        </w:tc>
        <w:tc>
          <w:tcPr>
            <w:tcW w:w="489" w:type="pct"/>
            <w:vAlign w:val="center"/>
          </w:tcPr>
          <w:p w14:paraId="4248264E">
            <w:pPr>
              <w:spacing w:line="320" w:lineRule="exact"/>
              <w:jc w:val="center"/>
              <w:rPr>
                <w:rFonts w:ascii="Times New Roman" w:hAnsi="Times New Roman" w:cs="Times New Roman"/>
                <w:sz w:val="21"/>
              </w:rPr>
            </w:pPr>
            <w:r>
              <w:rPr>
                <w:rFonts w:ascii="Times New Roman" w:hAnsi="Times New Roman" w:cs="Times New Roman"/>
                <w:sz w:val="21"/>
              </w:rPr>
              <w:t>同附录C</w:t>
            </w:r>
          </w:p>
        </w:tc>
      </w:tr>
      <w:tr w14:paraId="1610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 w:type="pct"/>
            <w:vMerge w:val="continue"/>
            <w:vAlign w:val="center"/>
          </w:tcPr>
          <w:p w14:paraId="41F69375">
            <w:pPr>
              <w:spacing w:line="320" w:lineRule="exact"/>
              <w:jc w:val="center"/>
              <w:rPr>
                <w:rFonts w:ascii="Times New Roman" w:hAnsi="Times New Roman" w:cs="Times New Roman"/>
                <w:sz w:val="21"/>
              </w:rPr>
            </w:pPr>
          </w:p>
        </w:tc>
        <w:tc>
          <w:tcPr>
            <w:tcW w:w="941" w:type="pct"/>
            <w:vMerge w:val="restart"/>
            <w:vAlign w:val="center"/>
          </w:tcPr>
          <w:p w14:paraId="2B83C5D3">
            <w:pPr>
              <w:spacing w:line="320" w:lineRule="exact"/>
              <w:jc w:val="center"/>
              <w:rPr>
                <w:rFonts w:ascii="Times New Roman" w:hAnsi="Times New Roman" w:cs="Times New Roman"/>
                <w:sz w:val="21"/>
              </w:rPr>
            </w:pPr>
            <w:r>
              <w:rPr>
                <w:rFonts w:ascii="Times New Roman" w:hAnsi="Times New Roman" w:cs="Times New Roman"/>
                <w:sz w:val="21"/>
              </w:rPr>
              <w:t>现状监测点位</w:t>
            </w:r>
          </w:p>
        </w:tc>
        <w:tc>
          <w:tcPr>
            <w:tcW w:w="747" w:type="pct"/>
            <w:vAlign w:val="center"/>
          </w:tcPr>
          <w:p w14:paraId="7948ECB7">
            <w:pPr>
              <w:spacing w:line="320" w:lineRule="exact"/>
              <w:jc w:val="center"/>
              <w:rPr>
                <w:rFonts w:ascii="Times New Roman" w:hAnsi="Times New Roman" w:cs="Times New Roman"/>
                <w:sz w:val="21"/>
              </w:rPr>
            </w:pPr>
          </w:p>
        </w:tc>
        <w:tc>
          <w:tcPr>
            <w:tcW w:w="743" w:type="pct"/>
            <w:gridSpan w:val="2"/>
            <w:vAlign w:val="center"/>
          </w:tcPr>
          <w:p w14:paraId="7DAE2A1A">
            <w:pPr>
              <w:spacing w:line="320" w:lineRule="exact"/>
              <w:jc w:val="center"/>
              <w:rPr>
                <w:rFonts w:ascii="Times New Roman" w:hAnsi="Times New Roman" w:cs="Times New Roman"/>
                <w:sz w:val="21"/>
              </w:rPr>
            </w:pPr>
            <w:r>
              <w:rPr>
                <w:rFonts w:ascii="Times New Roman" w:hAnsi="Times New Roman" w:cs="Times New Roman"/>
                <w:sz w:val="21"/>
              </w:rPr>
              <w:t>占地范围内</w:t>
            </w:r>
          </w:p>
        </w:tc>
        <w:tc>
          <w:tcPr>
            <w:tcW w:w="784" w:type="pct"/>
            <w:vAlign w:val="center"/>
          </w:tcPr>
          <w:p w14:paraId="1D9230F1">
            <w:pPr>
              <w:spacing w:line="320" w:lineRule="exact"/>
              <w:jc w:val="center"/>
              <w:rPr>
                <w:rFonts w:ascii="Times New Roman" w:hAnsi="Times New Roman" w:cs="Times New Roman"/>
                <w:sz w:val="21"/>
              </w:rPr>
            </w:pPr>
            <w:r>
              <w:rPr>
                <w:rFonts w:ascii="Times New Roman" w:hAnsi="Times New Roman" w:cs="Times New Roman"/>
                <w:sz w:val="21"/>
              </w:rPr>
              <w:t>占地范围外</w:t>
            </w:r>
          </w:p>
        </w:tc>
        <w:tc>
          <w:tcPr>
            <w:tcW w:w="1001" w:type="pct"/>
            <w:gridSpan w:val="2"/>
            <w:vAlign w:val="center"/>
          </w:tcPr>
          <w:p w14:paraId="0C6C4D05">
            <w:pPr>
              <w:spacing w:line="320" w:lineRule="exact"/>
              <w:jc w:val="center"/>
              <w:rPr>
                <w:rFonts w:ascii="Times New Roman" w:hAnsi="Times New Roman" w:cs="Times New Roman"/>
                <w:sz w:val="21"/>
              </w:rPr>
            </w:pPr>
            <w:r>
              <w:rPr>
                <w:rFonts w:ascii="Times New Roman" w:hAnsi="Times New Roman" w:cs="Times New Roman"/>
                <w:sz w:val="21"/>
              </w:rPr>
              <w:t>深度</w:t>
            </w:r>
          </w:p>
        </w:tc>
        <w:tc>
          <w:tcPr>
            <w:tcW w:w="489" w:type="pct"/>
            <w:vMerge w:val="restart"/>
            <w:vAlign w:val="center"/>
          </w:tcPr>
          <w:p w14:paraId="31D36686">
            <w:pPr>
              <w:spacing w:line="320" w:lineRule="exact"/>
              <w:jc w:val="center"/>
              <w:rPr>
                <w:rFonts w:ascii="Times New Roman" w:hAnsi="Times New Roman" w:cs="Times New Roman"/>
                <w:sz w:val="21"/>
              </w:rPr>
            </w:pPr>
            <w:r>
              <w:rPr>
                <w:rFonts w:ascii="Times New Roman" w:hAnsi="Times New Roman" w:cs="Times New Roman"/>
                <w:sz w:val="21"/>
              </w:rPr>
              <w:t>点位布置图</w:t>
            </w:r>
          </w:p>
        </w:tc>
      </w:tr>
      <w:tr w14:paraId="54033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 w:type="pct"/>
            <w:vMerge w:val="continue"/>
            <w:vAlign w:val="center"/>
          </w:tcPr>
          <w:p w14:paraId="238F192E">
            <w:pPr>
              <w:spacing w:line="320" w:lineRule="exact"/>
              <w:jc w:val="center"/>
              <w:rPr>
                <w:rFonts w:ascii="Times New Roman" w:hAnsi="Times New Roman" w:cs="Times New Roman"/>
                <w:sz w:val="21"/>
              </w:rPr>
            </w:pPr>
          </w:p>
        </w:tc>
        <w:tc>
          <w:tcPr>
            <w:tcW w:w="941" w:type="pct"/>
            <w:vMerge w:val="continue"/>
            <w:vAlign w:val="center"/>
          </w:tcPr>
          <w:p w14:paraId="43C5D174">
            <w:pPr>
              <w:spacing w:line="320" w:lineRule="exact"/>
              <w:jc w:val="center"/>
              <w:rPr>
                <w:rFonts w:ascii="Times New Roman" w:hAnsi="Times New Roman" w:cs="Times New Roman"/>
                <w:sz w:val="21"/>
              </w:rPr>
            </w:pPr>
          </w:p>
        </w:tc>
        <w:tc>
          <w:tcPr>
            <w:tcW w:w="747" w:type="pct"/>
            <w:vAlign w:val="center"/>
          </w:tcPr>
          <w:p w14:paraId="17011D85">
            <w:pPr>
              <w:spacing w:line="320" w:lineRule="exact"/>
              <w:jc w:val="center"/>
              <w:rPr>
                <w:rFonts w:ascii="Times New Roman" w:hAnsi="Times New Roman" w:cs="Times New Roman"/>
                <w:sz w:val="21"/>
              </w:rPr>
            </w:pPr>
            <w:r>
              <w:rPr>
                <w:rFonts w:ascii="Times New Roman" w:hAnsi="Times New Roman" w:cs="Times New Roman"/>
                <w:sz w:val="21"/>
              </w:rPr>
              <w:t>表层样点数</w:t>
            </w:r>
          </w:p>
        </w:tc>
        <w:tc>
          <w:tcPr>
            <w:tcW w:w="743" w:type="pct"/>
            <w:gridSpan w:val="2"/>
            <w:vAlign w:val="center"/>
          </w:tcPr>
          <w:p w14:paraId="20D62AA5">
            <w:pPr>
              <w:spacing w:line="320" w:lineRule="exact"/>
              <w:jc w:val="center"/>
              <w:rPr>
                <w:rFonts w:ascii="Times New Roman" w:hAnsi="Times New Roman" w:cs="Times New Roman"/>
                <w:sz w:val="21"/>
                <w:lang w:eastAsia="zh-CN"/>
              </w:rPr>
            </w:pPr>
            <w:r>
              <w:rPr>
                <w:rFonts w:hint="eastAsia" w:ascii="Times New Roman" w:hAnsi="Times New Roman" w:cs="Times New Roman"/>
                <w:sz w:val="21"/>
                <w:lang w:eastAsia="zh-CN"/>
              </w:rPr>
              <w:t>2</w:t>
            </w:r>
          </w:p>
        </w:tc>
        <w:tc>
          <w:tcPr>
            <w:tcW w:w="784" w:type="pct"/>
            <w:vAlign w:val="center"/>
          </w:tcPr>
          <w:p w14:paraId="532EBFAD">
            <w:pPr>
              <w:spacing w:line="320" w:lineRule="exact"/>
              <w:jc w:val="center"/>
              <w:rPr>
                <w:rFonts w:ascii="Times New Roman" w:hAnsi="Times New Roman" w:cs="Times New Roman"/>
                <w:sz w:val="21"/>
                <w:lang w:eastAsia="zh-CN"/>
              </w:rPr>
            </w:pPr>
            <w:r>
              <w:rPr>
                <w:rFonts w:hint="eastAsia" w:ascii="Times New Roman" w:hAnsi="Times New Roman" w:cs="Times New Roman"/>
                <w:sz w:val="21"/>
                <w:lang w:eastAsia="zh-CN"/>
              </w:rPr>
              <w:t>4</w:t>
            </w:r>
          </w:p>
        </w:tc>
        <w:tc>
          <w:tcPr>
            <w:tcW w:w="1001" w:type="pct"/>
            <w:gridSpan w:val="2"/>
            <w:vAlign w:val="center"/>
          </w:tcPr>
          <w:p w14:paraId="437C317B">
            <w:pPr>
              <w:spacing w:line="320" w:lineRule="exact"/>
              <w:jc w:val="center"/>
              <w:rPr>
                <w:rFonts w:ascii="Times New Roman" w:hAnsi="Times New Roman" w:cs="Times New Roman"/>
                <w:sz w:val="21"/>
              </w:rPr>
            </w:pPr>
            <w:r>
              <w:rPr>
                <w:rFonts w:ascii="Times New Roman" w:hAnsi="Times New Roman" w:cs="Times New Roman"/>
                <w:sz w:val="21"/>
              </w:rPr>
              <w:t>0.2m</w:t>
            </w:r>
          </w:p>
        </w:tc>
        <w:tc>
          <w:tcPr>
            <w:tcW w:w="489" w:type="pct"/>
            <w:vMerge w:val="continue"/>
            <w:vAlign w:val="center"/>
          </w:tcPr>
          <w:p w14:paraId="0E83092A">
            <w:pPr>
              <w:spacing w:line="320" w:lineRule="exact"/>
              <w:jc w:val="center"/>
              <w:rPr>
                <w:rFonts w:ascii="Times New Roman" w:hAnsi="Times New Roman" w:cs="Times New Roman"/>
                <w:sz w:val="21"/>
              </w:rPr>
            </w:pPr>
          </w:p>
        </w:tc>
      </w:tr>
      <w:tr w14:paraId="740C9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 w:type="pct"/>
            <w:vMerge w:val="continue"/>
            <w:vAlign w:val="center"/>
          </w:tcPr>
          <w:p w14:paraId="1B3C2121">
            <w:pPr>
              <w:spacing w:line="320" w:lineRule="exact"/>
              <w:jc w:val="center"/>
              <w:rPr>
                <w:rFonts w:ascii="Times New Roman" w:hAnsi="Times New Roman" w:cs="Times New Roman"/>
                <w:sz w:val="21"/>
              </w:rPr>
            </w:pPr>
          </w:p>
        </w:tc>
        <w:tc>
          <w:tcPr>
            <w:tcW w:w="941" w:type="pct"/>
            <w:vMerge w:val="continue"/>
            <w:vAlign w:val="center"/>
          </w:tcPr>
          <w:p w14:paraId="6CCFA5C2">
            <w:pPr>
              <w:spacing w:line="320" w:lineRule="exact"/>
              <w:jc w:val="center"/>
              <w:rPr>
                <w:rFonts w:ascii="Times New Roman" w:hAnsi="Times New Roman" w:cs="Times New Roman"/>
                <w:sz w:val="21"/>
              </w:rPr>
            </w:pPr>
          </w:p>
        </w:tc>
        <w:tc>
          <w:tcPr>
            <w:tcW w:w="747" w:type="pct"/>
            <w:vAlign w:val="center"/>
          </w:tcPr>
          <w:p w14:paraId="7516FB36">
            <w:pPr>
              <w:spacing w:line="320" w:lineRule="exact"/>
              <w:jc w:val="center"/>
              <w:rPr>
                <w:rFonts w:ascii="Times New Roman" w:hAnsi="Times New Roman" w:cs="Times New Roman"/>
                <w:sz w:val="21"/>
              </w:rPr>
            </w:pPr>
            <w:r>
              <w:rPr>
                <w:rFonts w:ascii="Times New Roman" w:hAnsi="Times New Roman" w:cs="Times New Roman"/>
                <w:sz w:val="21"/>
              </w:rPr>
              <w:t>柱状样点数</w:t>
            </w:r>
          </w:p>
        </w:tc>
        <w:tc>
          <w:tcPr>
            <w:tcW w:w="743" w:type="pct"/>
            <w:gridSpan w:val="2"/>
            <w:vAlign w:val="center"/>
          </w:tcPr>
          <w:p w14:paraId="0DB02AA6">
            <w:pPr>
              <w:spacing w:line="320" w:lineRule="exact"/>
              <w:jc w:val="center"/>
              <w:rPr>
                <w:rFonts w:ascii="Times New Roman" w:hAnsi="Times New Roman" w:cs="Times New Roman"/>
                <w:sz w:val="21"/>
                <w:lang w:eastAsia="zh-CN"/>
              </w:rPr>
            </w:pPr>
            <w:r>
              <w:rPr>
                <w:rFonts w:hint="eastAsia" w:ascii="Times New Roman" w:hAnsi="Times New Roman" w:cs="Times New Roman"/>
                <w:sz w:val="21"/>
                <w:lang w:eastAsia="zh-CN"/>
              </w:rPr>
              <w:t>5</w:t>
            </w:r>
          </w:p>
        </w:tc>
        <w:tc>
          <w:tcPr>
            <w:tcW w:w="784" w:type="pct"/>
            <w:vAlign w:val="center"/>
          </w:tcPr>
          <w:p w14:paraId="3A60E8AA">
            <w:pPr>
              <w:spacing w:line="320" w:lineRule="exact"/>
              <w:jc w:val="center"/>
              <w:rPr>
                <w:rFonts w:ascii="Times New Roman" w:hAnsi="Times New Roman" w:cs="Times New Roman"/>
                <w:sz w:val="21"/>
              </w:rPr>
            </w:pPr>
            <w:r>
              <w:rPr>
                <w:rFonts w:ascii="Times New Roman" w:hAnsi="Times New Roman" w:cs="Times New Roman"/>
                <w:sz w:val="21"/>
              </w:rPr>
              <w:t>0</w:t>
            </w:r>
          </w:p>
        </w:tc>
        <w:tc>
          <w:tcPr>
            <w:tcW w:w="1001" w:type="pct"/>
            <w:gridSpan w:val="2"/>
            <w:vAlign w:val="center"/>
          </w:tcPr>
          <w:p w14:paraId="32CA8ABD">
            <w:pPr>
              <w:spacing w:line="320" w:lineRule="exact"/>
              <w:jc w:val="center"/>
              <w:rPr>
                <w:rFonts w:ascii="Times New Roman" w:hAnsi="Times New Roman" w:cs="Times New Roman"/>
                <w:sz w:val="21"/>
              </w:rPr>
            </w:pPr>
            <w:r>
              <w:rPr>
                <w:rFonts w:ascii="Times New Roman" w:hAnsi="Times New Roman" w:cs="Times New Roman"/>
                <w:sz w:val="21"/>
              </w:rPr>
              <w:t>0.</w:t>
            </w:r>
            <w:r>
              <w:rPr>
                <w:rFonts w:hint="eastAsia" w:ascii="Times New Roman" w:hAnsi="Times New Roman" w:cs="Times New Roman"/>
                <w:sz w:val="21"/>
                <w:lang w:eastAsia="zh-CN"/>
              </w:rPr>
              <w:t>5</w:t>
            </w:r>
            <w:r>
              <w:rPr>
                <w:rFonts w:ascii="Times New Roman" w:hAnsi="Times New Roman" w:cs="Times New Roman"/>
                <w:sz w:val="21"/>
              </w:rPr>
              <w:t xml:space="preserve">m </w:t>
            </w:r>
            <w:r>
              <w:rPr>
                <w:rFonts w:hint="eastAsia" w:ascii="Times New Roman" w:hAnsi="Times New Roman" w:cs="Times New Roman"/>
                <w:sz w:val="21"/>
                <w:lang w:eastAsia="zh-CN"/>
              </w:rPr>
              <w:t>、1</w:t>
            </w:r>
            <w:r>
              <w:rPr>
                <w:rFonts w:ascii="Times New Roman" w:hAnsi="Times New Roman" w:cs="Times New Roman"/>
                <w:sz w:val="21"/>
              </w:rPr>
              <w:t xml:space="preserve">m </w:t>
            </w:r>
            <w:r>
              <w:rPr>
                <w:rFonts w:hint="eastAsia" w:ascii="Times New Roman" w:hAnsi="Times New Roman" w:cs="Times New Roman"/>
                <w:sz w:val="21"/>
                <w:lang w:eastAsia="zh-CN"/>
              </w:rPr>
              <w:t>、</w:t>
            </w:r>
            <w:r>
              <w:rPr>
                <w:rFonts w:ascii="Times New Roman" w:hAnsi="Times New Roman" w:cs="Times New Roman"/>
                <w:sz w:val="21"/>
              </w:rPr>
              <w:t>3m</w:t>
            </w:r>
          </w:p>
        </w:tc>
        <w:tc>
          <w:tcPr>
            <w:tcW w:w="489" w:type="pct"/>
            <w:vMerge w:val="continue"/>
            <w:vAlign w:val="center"/>
          </w:tcPr>
          <w:p w14:paraId="1F394B5B">
            <w:pPr>
              <w:spacing w:line="320" w:lineRule="exact"/>
              <w:jc w:val="center"/>
              <w:rPr>
                <w:rFonts w:ascii="Times New Roman" w:hAnsi="Times New Roman" w:cs="Times New Roman"/>
                <w:sz w:val="21"/>
              </w:rPr>
            </w:pPr>
          </w:p>
        </w:tc>
      </w:tr>
      <w:tr w14:paraId="62987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 w:type="pct"/>
            <w:vMerge w:val="continue"/>
            <w:vAlign w:val="center"/>
          </w:tcPr>
          <w:p w14:paraId="22BA4FF8">
            <w:pPr>
              <w:spacing w:line="320" w:lineRule="exact"/>
              <w:jc w:val="center"/>
              <w:rPr>
                <w:rFonts w:ascii="Times New Roman" w:hAnsi="Times New Roman" w:cs="Times New Roman"/>
                <w:sz w:val="21"/>
              </w:rPr>
            </w:pPr>
          </w:p>
        </w:tc>
        <w:tc>
          <w:tcPr>
            <w:tcW w:w="941" w:type="pct"/>
            <w:vAlign w:val="center"/>
          </w:tcPr>
          <w:p w14:paraId="609A9BA8">
            <w:pPr>
              <w:spacing w:line="320" w:lineRule="exact"/>
              <w:jc w:val="center"/>
              <w:rPr>
                <w:rFonts w:ascii="Times New Roman" w:hAnsi="Times New Roman" w:cs="Times New Roman"/>
                <w:sz w:val="21"/>
              </w:rPr>
            </w:pPr>
            <w:r>
              <w:rPr>
                <w:rFonts w:ascii="Times New Roman" w:hAnsi="Times New Roman" w:cs="Times New Roman"/>
                <w:sz w:val="21"/>
              </w:rPr>
              <w:t>现状监测因子</w:t>
            </w:r>
          </w:p>
        </w:tc>
        <w:tc>
          <w:tcPr>
            <w:tcW w:w="3275" w:type="pct"/>
            <w:gridSpan w:val="6"/>
            <w:vAlign w:val="center"/>
          </w:tcPr>
          <w:p w14:paraId="26526F93">
            <w:pPr>
              <w:spacing w:line="320" w:lineRule="exact"/>
              <w:jc w:val="center"/>
              <w:rPr>
                <w:rFonts w:ascii="Times New Roman" w:hAnsi="Times New Roman" w:cs="Times New Roman"/>
                <w:sz w:val="21"/>
                <w:lang w:eastAsia="zh-CN"/>
              </w:rPr>
            </w:pPr>
            <w:r>
              <w:rPr>
                <w:rFonts w:hint="eastAsia" w:ascii="Times New Roman" w:hAnsi="Times New Roman" w:cs="Times New Roman"/>
                <w:sz w:val="21"/>
                <w:lang w:eastAsia="zh-CN"/>
              </w:rPr>
              <w:t>《土壤环境质量 建设用地土壤污染风险管控标准（试行）》（</w:t>
            </w:r>
            <w:r>
              <w:rPr>
                <w:rFonts w:ascii="Times New Roman" w:hAnsi="Times New Roman" w:cs="Times New Roman"/>
                <w:sz w:val="21"/>
                <w:lang w:eastAsia="zh-CN"/>
              </w:rPr>
              <w:t>GB36600-2018</w:t>
            </w:r>
            <w:r>
              <w:rPr>
                <w:rFonts w:hint="eastAsia" w:ascii="Times New Roman" w:hAnsi="Times New Roman" w:cs="Times New Roman"/>
                <w:sz w:val="21"/>
                <w:lang w:eastAsia="zh-CN"/>
              </w:rPr>
              <w:t>）</w:t>
            </w:r>
            <w:r>
              <w:rPr>
                <w:rFonts w:ascii="Times New Roman" w:hAnsi="Times New Roman" w:cs="Times New Roman"/>
                <w:sz w:val="21"/>
                <w:lang w:eastAsia="zh-CN"/>
              </w:rPr>
              <w:t>表1中因子</w:t>
            </w:r>
            <w:r>
              <w:rPr>
                <w:rFonts w:hint="eastAsia" w:ascii="Times New Roman" w:hAnsi="Times New Roman" w:cs="Times New Roman"/>
                <w:sz w:val="21"/>
                <w:lang w:eastAsia="zh-CN"/>
              </w:rPr>
              <w:t>、《土壤环境质量 农用地土壤污染风险管控标准（试行）》（</w:t>
            </w:r>
            <w:r>
              <w:rPr>
                <w:rFonts w:ascii="Times New Roman" w:hAnsi="Times New Roman" w:cs="Times New Roman"/>
                <w:sz w:val="21"/>
                <w:lang w:eastAsia="zh-CN"/>
              </w:rPr>
              <w:t>GB</w:t>
            </w:r>
            <w:r>
              <w:rPr>
                <w:rFonts w:hint="eastAsia" w:ascii="Times New Roman" w:hAnsi="Times New Roman" w:cs="Times New Roman"/>
                <w:sz w:val="21"/>
                <w:lang w:eastAsia="zh-CN"/>
              </w:rPr>
              <w:t>15618</w:t>
            </w:r>
            <w:r>
              <w:rPr>
                <w:rFonts w:ascii="Times New Roman" w:hAnsi="Times New Roman" w:cs="Times New Roman"/>
                <w:sz w:val="21"/>
                <w:lang w:eastAsia="zh-CN"/>
              </w:rPr>
              <w:t>-2018</w:t>
            </w:r>
            <w:r>
              <w:rPr>
                <w:rFonts w:hint="eastAsia" w:ascii="Times New Roman" w:hAnsi="Times New Roman" w:cs="Times New Roman"/>
                <w:sz w:val="21"/>
                <w:lang w:eastAsia="zh-CN"/>
              </w:rPr>
              <w:t>）</w:t>
            </w:r>
            <w:r>
              <w:rPr>
                <w:rFonts w:ascii="Times New Roman" w:hAnsi="Times New Roman" w:cs="Times New Roman"/>
                <w:sz w:val="21"/>
                <w:lang w:eastAsia="zh-CN"/>
              </w:rPr>
              <w:t>表1中因子</w:t>
            </w:r>
          </w:p>
        </w:tc>
        <w:tc>
          <w:tcPr>
            <w:tcW w:w="489" w:type="pct"/>
            <w:vAlign w:val="center"/>
          </w:tcPr>
          <w:p w14:paraId="438F1153">
            <w:pPr>
              <w:spacing w:line="320" w:lineRule="exact"/>
              <w:jc w:val="center"/>
              <w:rPr>
                <w:rFonts w:ascii="Times New Roman" w:hAnsi="Times New Roman" w:cs="Times New Roman"/>
                <w:sz w:val="21"/>
                <w:lang w:eastAsia="zh-CN"/>
              </w:rPr>
            </w:pPr>
          </w:p>
        </w:tc>
      </w:tr>
      <w:tr w14:paraId="1FB49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 w:type="pct"/>
            <w:vMerge w:val="restart"/>
            <w:vAlign w:val="center"/>
          </w:tcPr>
          <w:p w14:paraId="0EEB9682">
            <w:pPr>
              <w:spacing w:line="320" w:lineRule="exact"/>
              <w:jc w:val="center"/>
              <w:rPr>
                <w:rFonts w:ascii="Times New Roman" w:hAnsi="Times New Roman" w:cs="Times New Roman"/>
                <w:sz w:val="21"/>
              </w:rPr>
            </w:pPr>
            <w:r>
              <w:rPr>
                <w:rFonts w:ascii="Times New Roman" w:hAnsi="Times New Roman" w:cs="Times New Roman"/>
                <w:sz w:val="21"/>
              </w:rPr>
              <w:t>现状评价</w:t>
            </w:r>
          </w:p>
        </w:tc>
        <w:tc>
          <w:tcPr>
            <w:tcW w:w="941" w:type="pct"/>
            <w:vAlign w:val="center"/>
          </w:tcPr>
          <w:p w14:paraId="7EF9B252">
            <w:pPr>
              <w:spacing w:line="320" w:lineRule="exact"/>
              <w:jc w:val="center"/>
              <w:rPr>
                <w:rFonts w:ascii="Times New Roman" w:hAnsi="Times New Roman" w:cs="Times New Roman"/>
                <w:sz w:val="21"/>
              </w:rPr>
            </w:pPr>
            <w:r>
              <w:rPr>
                <w:rFonts w:ascii="Times New Roman" w:hAnsi="Times New Roman" w:cs="Times New Roman"/>
                <w:sz w:val="21"/>
              </w:rPr>
              <w:t>评价因子</w:t>
            </w:r>
          </w:p>
        </w:tc>
        <w:tc>
          <w:tcPr>
            <w:tcW w:w="3275" w:type="pct"/>
            <w:gridSpan w:val="6"/>
            <w:vAlign w:val="center"/>
          </w:tcPr>
          <w:p w14:paraId="4C3ADD5D">
            <w:pPr>
              <w:spacing w:line="320" w:lineRule="exact"/>
              <w:jc w:val="center"/>
              <w:rPr>
                <w:rFonts w:ascii="Times New Roman" w:hAnsi="Times New Roman" w:cs="Times New Roman"/>
                <w:sz w:val="21"/>
                <w:lang w:eastAsia="zh-CN"/>
              </w:rPr>
            </w:pPr>
            <w:r>
              <w:rPr>
                <w:rFonts w:hint="eastAsia" w:ascii="Times New Roman" w:hAnsi="Times New Roman" w:cs="Times New Roman"/>
                <w:sz w:val="21"/>
                <w:lang w:eastAsia="zh-CN"/>
              </w:rPr>
              <w:t>《土壤环境质量 建设用地土壤污染风险管控标准（试行）》（</w:t>
            </w:r>
            <w:r>
              <w:rPr>
                <w:rFonts w:ascii="Times New Roman" w:hAnsi="Times New Roman" w:cs="Times New Roman"/>
                <w:sz w:val="21"/>
                <w:lang w:eastAsia="zh-CN"/>
              </w:rPr>
              <w:t>GB36600-2018</w:t>
            </w:r>
            <w:r>
              <w:rPr>
                <w:rFonts w:hint="eastAsia" w:ascii="Times New Roman" w:hAnsi="Times New Roman" w:cs="Times New Roman"/>
                <w:sz w:val="21"/>
                <w:lang w:eastAsia="zh-CN"/>
              </w:rPr>
              <w:t>）</w:t>
            </w:r>
            <w:r>
              <w:rPr>
                <w:rFonts w:ascii="Times New Roman" w:hAnsi="Times New Roman" w:cs="Times New Roman"/>
                <w:sz w:val="21"/>
                <w:lang w:eastAsia="zh-CN"/>
              </w:rPr>
              <w:t>表1中因子</w:t>
            </w:r>
            <w:r>
              <w:rPr>
                <w:rFonts w:hint="eastAsia" w:ascii="Times New Roman" w:hAnsi="Times New Roman" w:cs="Times New Roman"/>
                <w:sz w:val="21"/>
                <w:lang w:eastAsia="zh-CN"/>
              </w:rPr>
              <w:t>、《土壤环境质量 农用地土壤污染风险管控标准（试行）》（</w:t>
            </w:r>
            <w:r>
              <w:rPr>
                <w:rFonts w:ascii="Times New Roman" w:hAnsi="Times New Roman" w:cs="Times New Roman"/>
                <w:sz w:val="21"/>
                <w:lang w:eastAsia="zh-CN"/>
              </w:rPr>
              <w:t>GB</w:t>
            </w:r>
            <w:r>
              <w:rPr>
                <w:rFonts w:hint="eastAsia" w:ascii="Times New Roman" w:hAnsi="Times New Roman" w:cs="Times New Roman"/>
                <w:sz w:val="21"/>
                <w:lang w:eastAsia="zh-CN"/>
              </w:rPr>
              <w:t>15618</w:t>
            </w:r>
            <w:r>
              <w:rPr>
                <w:rFonts w:ascii="Times New Roman" w:hAnsi="Times New Roman" w:cs="Times New Roman"/>
                <w:sz w:val="21"/>
                <w:lang w:eastAsia="zh-CN"/>
              </w:rPr>
              <w:t>-2018</w:t>
            </w:r>
            <w:r>
              <w:rPr>
                <w:rFonts w:hint="eastAsia" w:ascii="Times New Roman" w:hAnsi="Times New Roman" w:cs="Times New Roman"/>
                <w:sz w:val="21"/>
                <w:lang w:eastAsia="zh-CN"/>
              </w:rPr>
              <w:t>）</w:t>
            </w:r>
            <w:r>
              <w:rPr>
                <w:rFonts w:ascii="Times New Roman" w:hAnsi="Times New Roman" w:cs="Times New Roman"/>
                <w:sz w:val="21"/>
                <w:lang w:eastAsia="zh-CN"/>
              </w:rPr>
              <w:t>表1中因子</w:t>
            </w:r>
          </w:p>
        </w:tc>
        <w:tc>
          <w:tcPr>
            <w:tcW w:w="489" w:type="pct"/>
            <w:vAlign w:val="center"/>
          </w:tcPr>
          <w:p w14:paraId="094B1015">
            <w:pPr>
              <w:spacing w:line="320" w:lineRule="exact"/>
              <w:jc w:val="center"/>
              <w:rPr>
                <w:rFonts w:ascii="Times New Roman" w:hAnsi="Times New Roman" w:cs="Times New Roman"/>
                <w:sz w:val="21"/>
                <w:lang w:eastAsia="zh-CN"/>
              </w:rPr>
            </w:pPr>
          </w:p>
        </w:tc>
      </w:tr>
      <w:tr w14:paraId="44352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 w:type="pct"/>
            <w:vMerge w:val="continue"/>
            <w:vAlign w:val="center"/>
          </w:tcPr>
          <w:p w14:paraId="6E8C3C37">
            <w:pPr>
              <w:spacing w:line="320" w:lineRule="exact"/>
              <w:jc w:val="center"/>
              <w:rPr>
                <w:rFonts w:ascii="Times New Roman" w:hAnsi="Times New Roman" w:cs="Times New Roman"/>
                <w:sz w:val="21"/>
                <w:lang w:eastAsia="zh-CN"/>
              </w:rPr>
            </w:pPr>
          </w:p>
        </w:tc>
        <w:tc>
          <w:tcPr>
            <w:tcW w:w="941" w:type="pct"/>
            <w:vAlign w:val="center"/>
          </w:tcPr>
          <w:p w14:paraId="14EEF1D6">
            <w:pPr>
              <w:spacing w:line="320" w:lineRule="exact"/>
              <w:jc w:val="center"/>
              <w:rPr>
                <w:rFonts w:ascii="Times New Roman" w:hAnsi="Times New Roman" w:cs="Times New Roman"/>
                <w:sz w:val="21"/>
              </w:rPr>
            </w:pPr>
            <w:r>
              <w:rPr>
                <w:rFonts w:ascii="Times New Roman" w:hAnsi="Times New Roman" w:cs="Times New Roman"/>
                <w:sz w:val="21"/>
              </w:rPr>
              <w:t>评价标准</w:t>
            </w:r>
          </w:p>
        </w:tc>
        <w:tc>
          <w:tcPr>
            <w:tcW w:w="3275" w:type="pct"/>
            <w:gridSpan w:val="6"/>
            <w:vAlign w:val="center"/>
          </w:tcPr>
          <w:p w14:paraId="2DC048EE">
            <w:pPr>
              <w:spacing w:line="320" w:lineRule="exact"/>
              <w:jc w:val="center"/>
              <w:rPr>
                <w:rFonts w:ascii="Times New Roman" w:hAnsi="Times New Roman" w:cs="Times New Roman"/>
                <w:sz w:val="21"/>
              </w:rPr>
            </w:pPr>
            <w:r>
              <w:rPr>
                <w:rFonts w:ascii="Times New Roman" w:hAnsi="Times New Roman" w:cs="Times New Roman"/>
                <w:sz w:val="21"/>
              </w:rPr>
              <w:t>GB15618√；GB36600√；表D.1口；表D.2口；其他（ ）</w:t>
            </w:r>
          </w:p>
        </w:tc>
        <w:tc>
          <w:tcPr>
            <w:tcW w:w="489" w:type="pct"/>
            <w:vAlign w:val="center"/>
          </w:tcPr>
          <w:p w14:paraId="44BA900D">
            <w:pPr>
              <w:spacing w:line="320" w:lineRule="exact"/>
              <w:jc w:val="center"/>
              <w:rPr>
                <w:rFonts w:ascii="Times New Roman" w:hAnsi="Times New Roman" w:cs="Times New Roman"/>
                <w:sz w:val="21"/>
              </w:rPr>
            </w:pPr>
          </w:p>
        </w:tc>
      </w:tr>
      <w:tr w14:paraId="2C7E7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 w:type="pct"/>
            <w:vMerge w:val="continue"/>
            <w:vAlign w:val="center"/>
          </w:tcPr>
          <w:p w14:paraId="465BBD8D">
            <w:pPr>
              <w:spacing w:line="320" w:lineRule="exact"/>
              <w:jc w:val="center"/>
              <w:rPr>
                <w:rFonts w:ascii="Times New Roman" w:hAnsi="Times New Roman" w:cs="Times New Roman"/>
                <w:sz w:val="21"/>
              </w:rPr>
            </w:pPr>
          </w:p>
        </w:tc>
        <w:tc>
          <w:tcPr>
            <w:tcW w:w="941" w:type="pct"/>
            <w:vAlign w:val="center"/>
          </w:tcPr>
          <w:p w14:paraId="4883A4A9">
            <w:pPr>
              <w:spacing w:line="320" w:lineRule="exact"/>
              <w:jc w:val="center"/>
              <w:rPr>
                <w:rFonts w:ascii="Times New Roman" w:hAnsi="Times New Roman" w:cs="Times New Roman"/>
                <w:sz w:val="21"/>
              </w:rPr>
            </w:pPr>
            <w:r>
              <w:rPr>
                <w:rFonts w:ascii="Times New Roman" w:hAnsi="Times New Roman" w:cs="Times New Roman"/>
                <w:sz w:val="21"/>
              </w:rPr>
              <w:t>现状评价结论</w:t>
            </w:r>
          </w:p>
        </w:tc>
        <w:tc>
          <w:tcPr>
            <w:tcW w:w="3275" w:type="pct"/>
            <w:gridSpan w:val="6"/>
            <w:vAlign w:val="center"/>
          </w:tcPr>
          <w:p w14:paraId="7D50CA72">
            <w:pPr>
              <w:spacing w:line="320" w:lineRule="exact"/>
              <w:jc w:val="center"/>
              <w:rPr>
                <w:rFonts w:ascii="Times New Roman" w:hAnsi="Times New Roman" w:cs="Times New Roman"/>
                <w:sz w:val="21"/>
                <w:lang w:eastAsia="zh-CN"/>
              </w:rPr>
            </w:pPr>
            <w:r>
              <w:rPr>
                <w:rFonts w:ascii="Times New Roman" w:hAnsi="Times New Roman" w:cs="Times New Roman"/>
                <w:sz w:val="21"/>
                <w:lang w:eastAsia="zh-CN"/>
              </w:rPr>
              <w:t>建设用地土壤环境质量满足《土壤环境质量标准</w:t>
            </w:r>
            <w:r>
              <w:rPr>
                <w:rFonts w:hint="eastAsia" w:ascii="Times New Roman" w:hAnsi="Times New Roman" w:cs="Times New Roman"/>
                <w:sz w:val="21"/>
                <w:lang w:eastAsia="zh-CN"/>
              </w:rPr>
              <w:t xml:space="preserve"> </w:t>
            </w:r>
            <w:r>
              <w:rPr>
                <w:rFonts w:ascii="Times New Roman" w:hAnsi="Times New Roman" w:cs="Times New Roman"/>
                <w:sz w:val="21"/>
                <w:lang w:eastAsia="zh-CN"/>
              </w:rPr>
              <w:t>建设用地土壤污染风险管控标准（试行）》（GB36600-2018）用地筛选值</w:t>
            </w:r>
            <w:r>
              <w:rPr>
                <w:rFonts w:hint="eastAsia" w:ascii="Times New Roman" w:hAnsi="Times New Roman" w:cs="Times New Roman"/>
                <w:sz w:val="21"/>
                <w:lang w:eastAsia="zh-CN"/>
              </w:rPr>
              <w:t>；农用地土壤环境满足《土壤环境质量 农用地土壤污染风险管控标准（试行）》（GB15618-2018）中筛选值标准</w:t>
            </w:r>
          </w:p>
        </w:tc>
        <w:tc>
          <w:tcPr>
            <w:tcW w:w="489" w:type="pct"/>
            <w:vAlign w:val="center"/>
          </w:tcPr>
          <w:p w14:paraId="1F737C90">
            <w:pPr>
              <w:spacing w:line="320" w:lineRule="exact"/>
              <w:jc w:val="center"/>
              <w:rPr>
                <w:rFonts w:ascii="Times New Roman" w:hAnsi="Times New Roman" w:cs="Times New Roman"/>
                <w:sz w:val="21"/>
                <w:lang w:eastAsia="zh-CN"/>
              </w:rPr>
            </w:pPr>
          </w:p>
        </w:tc>
      </w:tr>
      <w:tr w14:paraId="2025A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 w:type="pct"/>
            <w:vMerge w:val="restart"/>
            <w:vAlign w:val="center"/>
          </w:tcPr>
          <w:p w14:paraId="09D94A96">
            <w:pPr>
              <w:spacing w:line="320" w:lineRule="exact"/>
              <w:jc w:val="center"/>
              <w:rPr>
                <w:rFonts w:ascii="Times New Roman" w:hAnsi="Times New Roman" w:cs="Times New Roman"/>
                <w:sz w:val="21"/>
              </w:rPr>
            </w:pPr>
            <w:r>
              <w:rPr>
                <w:rFonts w:ascii="Times New Roman" w:hAnsi="Times New Roman" w:cs="Times New Roman"/>
                <w:sz w:val="21"/>
              </w:rPr>
              <w:t>影响预测</w:t>
            </w:r>
          </w:p>
        </w:tc>
        <w:tc>
          <w:tcPr>
            <w:tcW w:w="941" w:type="pct"/>
            <w:vAlign w:val="center"/>
          </w:tcPr>
          <w:p w14:paraId="700F18F5">
            <w:pPr>
              <w:spacing w:line="320" w:lineRule="exact"/>
              <w:jc w:val="center"/>
              <w:rPr>
                <w:rFonts w:ascii="Times New Roman" w:hAnsi="Times New Roman" w:cs="Times New Roman"/>
                <w:sz w:val="21"/>
              </w:rPr>
            </w:pPr>
            <w:r>
              <w:rPr>
                <w:rFonts w:ascii="Times New Roman" w:hAnsi="Times New Roman" w:cs="Times New Roman"/>
                <w:sz w:val="21"/>
              </w:rPr>
              <w:t>预测因子</w:t>
            </w:r>
          </w:p>
        </w:tc>
        <w:tc>
          <w:tcPr>
            <w:tcW w:w="3275" w:type="pct"/>
            <w:gridSpan w:val="6"/>
            <w:vAlign w:val="center"/>
          </w:tcPr>
          <w:p w14:paraId="0E3D5F40">
            <w:pPr>
              <w:spacing w:line="320" w:lineRule="exact"/>
              <w:jc w:val="center"/>
              <w:rPr>
                <w:rFonts w:ascii="Times New Roman" w:hAnsi="Times New Roman" w:cs="Times New Roman"/>
                <w:sz w:val="21"/>
              </w:rPr>
            </w:pPr>
            <w:r>
              <w:rPr>
                <w:rFonts w:hint="eastAsia" w:ascii="Times New Roman" w:hAnsi="Times New Roman" w:cs="Times New Roman"/>
                <w:color w:val="auto"/>
                <w:sz w:val="21"/>
                <w:lang w:eastAsia="zh-CN"/>
              </w:rPr>
              <w:t>氟化物</w:t>
            </w:r>
          </w:p>
        </w:tc>
        <w:tc>
          <w:tcPr>
            <w:tcW w:w="489" w:type="pct"/>
            <w:vAlign w:val="center"/>
          </w:tcPr>
          <w:p w14:paraId="637BD19F">
            <w:pPr>
              <w:spacing w:line="320" w:lineRule="exact"/>
              <w:jc w:val="center"/>
              <w:rPr>
                <w:rFonts w:ascii="Times New Roman" w:hAnsi="Times New Roman" w:cs="Times New Roman"/>
                <w:sz w:val="21"/>
              </w:rPr>
            </w:pPr>
          </w:p>
        </w:tc>
      </w:tr>
      <w:tr w14:paraId="13ED2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 w:type="pct"/>
            <w:vMerge w:val="continue"/>
            <w:vAlign w:val="center"/>
          </w:tcPr>
          <w:p w14:paraId="5EFEE83A">
            <w:pPr>
              <w:spacing w:line="320" w:lineRule="exact"/>
              <w:jc w:val="center"/>
              <w:rPr>
                <w:rFonts w:ascii="Times New Roman" w:hAnsi="Times New Roman" w:cs="Times New Roman"/>
                <w:sz w:val="21"/>
              </w:rPr>
            </w:pPr>
          </w:p>
        </w:tc>
        <w:tc>
          <w:tcPr>
            <w:tcW w:w="941" w:type="pct"/>
            <w:vAlign w:val="center"/>
          </w:tcPr>
          <w:p w14:paraId="741FDAC6">
            <w:pPr>
              <w:spacing w:line="320" w:lineRule="exact"/>
              <w:jc w:val="center"/>
              <w:rPr>
                <w:rFonts w:ascii="Times New Roman" w:hAnsi="Times New Roman" w:cs="Times New Roman"/>
                <w:sz w:val="21"/>
              </w:rPr>
            </w:pPr>
            <w:r>
              <w:rPr>
                <w:rFonts w:ascii="Times New Roman" w:hAnsi="Times New Roman" w:cs="Times New Roman"/>
                <w:sz w:val="21"/>
              </w:rPr>
              <w:t>预测方法</w:t>
            </w:r>
          </w:p>
        </w:tc>
        <w:tc>
          <w:tcPr>
            <w:tcW w:w="3275" w:type="pct"/>
            <w:gridSpan w:val="6"/>
            <w:vAlign w:val="center"/>
          </w:tcPr>
          <w:p w14:paraId="0518D8BE">
            <w:pPr>
              <w:spacing w:line="320" w:lineRule="exact"/>
              <w:jc w:val="center"/>
              <w:rPr>
                <w:rFonts w:ascii="Times New Roman" w:hAnsi="Times New Roman" w:cs="Times New Roman"/>
                <w:sz w:val="21"/>
                <w:lang w:eastAsia="zh-CN"/>
              </w:rPr>
            </w:pPr>
            <w:r>
              <w:rPr>
                <w:rFonts w:ascii="Times New Roman" w:hAnsi="Times New Roman" w:cs="Times New Roman"/>
                <w:sz w:val="21"/>
                <w:lang w:eastAsia="zh-CN"/>
              </w:rPr>
              <w:t>附录E√；附录F口；其他（ ）</w:t>
            </w:r>
          </w:p>
        </w:tc>
        <w:tc>
          <w:tcPr>
            <w:tcW w:w="489" w:type="pct"/>
            <w:vAlign w:val="center"/>
          </w:tcPr>
          <w:p w14:paraId="253F9969">
            <w:pPr>
              <w:spacing w:line="320" w:lineRule="exact"/>
              <w:jc w:val="center"/>
              <w:rPr>
                <w:rFonts w:ascii="Times New Roman" w:hAnsi="Times New Roman" w:cs="Times New Roman"/>
                <w:sz w:val="21"/>
                <w:lang w:eastAsia="zh-CN"/>
              </w:rPr>
            </w:pPr>
          </w:p>
        </w:tc>
      </w:tr>
      <w:tr w14:paraId="55229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 w:type="pct"/>
            <w:vMerge w:val="continue"/>
            <w:vAlign w:val="center"/>
          </w:tcPr>
          <w:p w14:paraId="0C09FD8F">
            <w:pPr>
              <w:spacing w:line="320" w:lineRule="exact"/>
              <w:jc w:val="center"/>
              <w:rPr>
                <w:rFonts w:ascii="Times New Roman" w:hAnsi="Times New Roman" w:cs="Times New Roman"/>
                <w:sz w:val="21"/>
                <w:lang w:eastAsia="zh-CN"/>
              </w:rPr>
            </w:pPr>
          </w:p>
        </w:tc>
        <w:tc>
          <w:tcPr>
            <w:tcW w:w="941" w:type="pct"/>
            <w:vAlign w:val="center"/>
          </w:tcPr>
          <w:p w14:paraId="76511416">
            <w:pPr>
              <w:spacing w:line="320" w:lineRule="exact"/>
              <w:jc w:val="center"/>
              <w:rPr>
                <w:rFonts w:ascii="Times New Roman" w:hAnsi="Times New Roman" w:cs="Times New Roman"/>
                <w:sz w:val="21"/>
              </w:rPr>
            </w:pPr>
            <w:r>
              <w:rPr>
                <w:rFonts w:ascii="Times New Roman" w:hAnsi="Times New Roman" w:cs="Times New Roman"/>
                <w:sz w:val="21"/>
              </w:rPr>
              <w:t>预测分析内容</w:t>
            </w:r>
          </w:p>
        </w:tc>
        <w:tc>
          <w:tcPr>
            <w:tcW w:w="3275" w:type="pct"/>
            <w:gridSpan w:val="6"/>
            <w:vAlign w:val="center"/>
          </w:tcPr>
          <w:p w14:paraId="1F7C9897">
            <w:pPr>
              <w:spacing w:line="320" w:lineRule="exact"/>
              <w:jc w:val="center"/>
              <w:rPr>
                <w:rFonts w:ascii="Times New Roman" w:hAnsi="Times New Roman" w:cs="Times New Roman"/>
                <w:sz w:val="21"/>
                <w:lang w:eastAsia="zh-CN"/>
              </w:rPr>
            </w:pPr>
            <w:r>
              <w:rPr>
                <w:rFonts w:ascii="Times New Roman" w:hAnsi="Times New Roman" w:cs="Times New Roman"/>
                <w:sz w:val="21"/>
                <w:lang w:eastAsia="zh-CN"/>
              </w:rPr>
              <w:t>影响范围（</w:t>
            </w:r>
            <w:r>
              <w:rPr>
                <w:rFonts w:hint="eastAsia" w:ascii="Times New Roman" w:hAnsi="Times New Roman" w:cs="Times New Roman"/>
                <w:sz w:val="21"/>
                <w:lang w:eastAsia="zh-CN"/>
              </w:rPr>
              <w:t>10</w:t>
            </w:r>
            <w:r>
              <w:rPr>
                <w:rFonts w:ascii="Times New Roman" w:hAnsi="Times New Roman" w:cs="Times New Roman"/>
                <w:sz w:val="21"/>
                <w:lang w:eastAsia="zh-CN"/>
              </w:rPr>
              <w:t>00m）</w:t>
            </w:r>
          </w:p>
          <w:p w14:paraId="09F6916E">
            <w:pPr>
              <w:spacing w:line="320" w:lineRule="exact"/>
              <w:jc w:val="center"/>
              <w:rPr>
                <w:rFonts w:ascii="Times New Roman" w:hAnsi="Times New Roman" w:cs="Times New Roman"/>
                <w:sz w:val="21"/>
                <w:lang w:eastAsia="zh-CN"/>
              </w:rPr>
            </w:pPr>
            <w:r>
              <w:rPr>
                <w:rFonts w:ascii="Times New Roman" w:hAnsi="Times New Roman" w:cs="Times New Roman"/>
                <w:sz w:val="21"/>
                <w:lang w:eastAsia="zh-CN"/>
              </w:rPr>
              <w:t>影响程度（小）</w:t>
            </w:r>
          </w:p>
        </w:tc>
        <w:tc>
          <w:tcPr>
            <w:tcW w:w="489" w:type="pct"/>
            <w:vAlign w:val="center"/>
          </w:tcPr>
          <w:p w14:paraId="5335E1C1">
            <w:pPr>
              <w:spacing w:line="320" w:lineRule="exact"/>
              <w:jc w:val="center"/>
              <w:rPr>
                <w:rFonts w:ascii="Times New Roman" w:hAnsi="Times New Roman" w:cs="Times New Roman"/>
                <w:sz w:val="21"/>
                <w:lang w:eastAsia="zh-CN"/>
              </w:rPr>
            </w:pPr>
          </w:p>
        </w:tc>
      </w:tr>
      <w:tr w14:paraId="45BAC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 w:type="pct"/>
            <w:vMerge w:val="continue"/>
            <w:vAlign w:val="center"/>
          </w:tcPr>
          <w:p w14:paraId="2BF4AF0D">
            <w:pPr>
              <w:spacing w:line="320" w:lineRule="exact"/>
              <w:jc w:val="center"/>
              <w:rPr>
                <w:rFonts w:ascii="Times New Roman" w:hAnsi="Times New Roman" w:cs="Times New Roman"/>
                <w:sz w:val="21"/>
                <w:lang w:eastAsia="zh-CN"/>
              </w:rPr>
            </w:pPr>
          </w:p>
        </w:tc>
        <w:tc>
          <w:tcPr>
            <w:tcW w:w="941" w:type="pct"/>
            <w:vAlign w:val="center"/>
          </w:tcPr>
          <w:p w14:paraId="64EC482F">
            <w:pPr>
              <w:spacing w:line="320" w:lineRule="exact"/>
              <w:jc w:val="center"/>
              <w:rPr>
                <w:rFonts w:ascii="Times New Roman" w:hAnsi="Times New Roman" w:cs="Times New Roman"/>
                <w:sz w:val="21"/>
              </w:rPr>
            </w:pPr>
            <w:r>
              <w:rPr>
                <w:rFonts w:ascii="Times New Roman" w:hAnsi="Times New Roman" w:cs="Times New Roman"/>
                <w:sz w:val="21"/>
              </w:rPr>
              <w:t>预测结论</w:t>
            </w:r>
          </w:p>
        </w:tc>
        <w:tc>
          <w:tcPr>
            <w:tcW w:w="3275" w:type="pct"/>
            <w:gridSpan w:val="6"/>
            <w:vAlign w:val="center"/>
          </w:tcPr>
          <w:p w14:paraId="579A1155">
            <w:pPr>
              <w:spacing w:line="320" w:lineRule="exact"/>
              <w:jc w:val="center"/>
              <w:rPr>
                <w:rFonts w:ascii="Times New Roman" w:hAnsi="Times New Roman" w:cs="Times New Roman"/>
                <w:sz w:val="21"/>
                <w:lang w:eastAsia="zh-CN"/>
              </w:rPr>
            </w:pPr>
            <w:r>
              <w:rPr>
                <w:rFonts w:ascii="Times New Roman" w:hAnsi="Times New Roman" w:cs="Times New Roman"/>
                <w:sz w:val="21"/>
                <w:lang w:eastAsia="zh-CN"/>
              </w:rPr>
              <w:t>达标结论：a) √；b) 口;  c) 口;</w:t>
            </w:r>
          </w:p>
          <w:p w14:paraId="4C97D70D">
            <w:pPr>
              <w:spacing w:line="320" w:lineRule="exact"/>
              <w:jc w:val="center"/>
              <w:rPr>
                <w:rFonts w:ascii="Times New Roman" w:hAnsi="Times New Roman" w:cs="Times New Roman"/>
                <w:sz w:val="21"/>
                <w:lang w:eastAsia="zh-CN"/>
              </w:rPr>
            </w:pPr>
            <w:r>
              <w:rPr>
                <w:rFonts w:ascii="Times New Roman" w:hAnsi="Times New Roman" w:cs="Times New Roman"/>
                <w:sz w:val="21"/>
                <w:lang w:eastAsia="zh-CN"/>
              </w:rPr>
              <w:t xml:space="preserve">不达标结论：a）口；  b) 口; </w:t>
            </w:r>
          </w:p>
        </w:tc>
        <w:tc>
          <w:tcPr>
            <w:tcW w:w="489" w:type="pct"/>
            <w:vAlign w:val="center"/>
          </w:tcPr>
          <w:p w14:paraId="7821DA25">
            <w:pPr>
              <w:spacing w:line="320" w:lineRule="exact"/>
              <w:jc w:val="center"/>
              <w:rPr>
                <w:rFonts w:ascii="Times New Roman" w:hAnsi="Times New Roman" w:cs="Times New Roman"/>
                <w:sz w:val="21"/>
                <w:lang w:eastAsia="zh-CN"/>
              </w:rPr>
            </w:pPr>
          </w:p>
        </w:tc>
      </w:tr>
      <w:tr w14:paraId="78390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 w:type="pct"/>
            <w:vMerge w:val="restart"/>
            <w:vAlign w:val="center"/>
          </w:tcPr>
          <w:p w14:paraId="299CA296">
            <w:pPr>
              <w:spacing w:line="320" w:lineRule="exact"/>
              <w:jc w:val="center"/>
              <w:rPr>
                <w:rFonts w:ascii="Times New Roman" w:hAnsi="Times New Roman" w:cs="Times New Roman"/>
                <w:sz w:val="21"/>
              </w:rPr>
            </w:pPr>
            <w:r>
              <w:rPr>
                <w:rFonts w:ascii="Times New Roman" w:hAnsi="Times New Roman" w:cs="Times New Roman"/>
                <w:sz w:val="21"/>
              </w:rPr>
              <w:t>防治措施</w:t>
            </w:r>
          </w:p>
        </w:tc>
        <w:tc>
          <w:tcPr>
            <w:tcW w:w="941" w:type="pct"/>
            <w:vAlign w:val="center"/>
          </w:tcPr>
          <w:p w14:paraId="79160CFC">
            <w:pPr>
              <w:spacing w:line="320" w:lineRule="exact"/>
              <w:jc w:val="center"/>
              <w:rPr>
                <w:rFonts w:ascii="Times New Roman" w:hAnsi="Times New Roman" w:cs="Times New Roman"/>
                <w:sz w:val="21"/>
              </w:rPr>
            </w:pPr>
            <w:r>
              <w:rPr>
                <w:rFonts w:ascii="Times New Roman" w:hAnsi="Times New Roman" w:cs="Times New Roman"/>
                <w:sz w:val="21"/>
              </w:rPr>
              <w:t>防控措施</w:t>
            </w:r>
          </w:p>
        </w:tc>
        <w:tc>
          <w:tcPr>
            <w:tcW w:w="3275" w:type="pct"/>
            <w:gridSpan w:val="6"/>
            <w:vAlign w:val="center"/>
          </w:tcPr>
          <w:p w14:paraId="5DFD1E19">
            <w:pPr>
              <w:spacing w:line="320" w:lineRule="exact"/>
              <w:jc w:val="center"/>
              <w:rPr>
                <w:rFonts w:ascii="Times New Roman" w:hAnsi="Times New Roman" w:cs="Times New Roman"/>
                <w:sz w:val="21"/>
                <w:lang w:eastAsia="zh-CN"/>
              </w:rPr>
            </w:pPr>
            <w:r>
              <w:rPr>
                <w:rFonts w:ascii="Times New Roman" w:hAnsi="Times New Roman" w:cs="Times New Roman"/>
                <w:sz w:val="21"/>
                <w:lang w:eastAsia="zh-CN"/>
              </w:rPr>
              <w:t>土壤环境质量现状保障口；源头控制√；过程防控√；其他（/）</w:t>
            </w:r>
          </w:p>
        </w:tc>
        <w:tc>
          <w:tcPr>
            <w:tcW w:w="489" w:type="pct"/>
            <w:vAlign w:val="center"/>
          </w:tcPr>
          <w:p w14:paraId="52789D57">
            <w:pPr>
              <w:spacing w:line="320" w:lineRule="exact"/>
              <w:jc w:val="center"/>
              <w:rPr>
                <w:rFonts w:ascii="Times New Roman" w:hAnsi="Times New Roman" w:cs="Times New Roman"/>
                <w:sz w:val="21"/>
                <w:lang w:eastAsia="zh-CN"/>
              </w:rPr>
            </w:pPr>
          </w:p>
        </w:tc>
      </w:tr>
      <w:tr w14:paraId="1D490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 w:type="pct"/>
            <w:vMerge w:val="continue"/>
            <w:vAlign w:val="center"/>
          </w:tcPr>
          <w:p w14:paraId="3DE45FC8">
            <w:pPr>
              <w:spacing w:line="320" w:lineRule="exact"/>
              <w:jc w:val="center"/>
              <w:rPr>
                <w:rFonts w:ascii="Times New Roman" w:hAnsi="Times New Roman" w:cs="Times New Roman"/>
                <w:sz w:val="21"/>
                <w:lang w:eastAsia="zh-CN"/>
              </w:rPr>
            </w:pPr>
          </w:p>
        </w:tc>
        <w:tc>
          <w:tcPr>
            <w:tcW w:w="941" w:type="pct"/>
            <w:vMerge w:val="restart"/>
            <w:vAlign w:val="center"/>
          </w:tcPr>
          <w:p w14:paraId="7D3B489B">
            <w:pPr>
              <w:spacing w:line="320" w:lineRule="exact"/>
              <w:jc w:val="center"/>
              <w:rPr>
                <w:rFonts w:ascii="Times New Roman" w:hAnsi="Times New Roman" w:cs="Times New Roman"/>
                <w:sz w:val="21"/>
              </w:rPr>
            </w:pPr>
            <w:r>
              <w:rPr>
                <w:rFonts w:ascii="Times New Roman" w:hAnsi="Times New Roman" w:cs="Times New Roman"/>
                <w:sz w:val="21"/>
              </w:rPr>
              <w:t>跟踪监测</w:t>
            </w:r>
          </w:p>
        </w:tc>
        <w:tc>
          <w:tcPr>
            <w:tcW w:w="1349" w:type="pct"/>
            <w:gridSpan w:val="2"/>
            <w:vAlign w:val="center"/>
          </w:tcPr>
          <w:p w14:paraId="665D510D">
            <w:pPr>
              <w:spacing w:line="320" w:lineRule="exact"/>
              <w:jc w:val="center"/>
              <w:rPr>
                <w:rFonts w:ascii="Times New Roman" w:hAnsi="Times New Roman" w:cs="Times New Roman"/>
                <w:sz w:val="21"/>
              </w:rPr>
            </w:pPr>
            <w:r>
              <w:rPr>
                <w:rFonts w:ascii="Times New Roman" w:hAnsi="Times New Roman" w:cs="Times New Roman"/>
                <w:sz w:val="21"/>
              </w:rPr>
              <w:t>监测点数</w:t>
            </w:r>
          </w:p>
        </w:tc>
        <w:tc>
          <w:tcPr>
            <w:tcW w:w="1019" w:type="pct"/>
            <w:gridSpan w:val="3"/>
            <w:vAlign w:val="center"/>
          </w:tcPr>
          <w:p w14:paraId="24FB4B8C">
            <w:pPr>
              <w:spacing w:line="320" w:lineRule="exact"/>
              <w:jc w:val="center"/>
              <w:rPr>
                <w:rFonts w:ascii="Times New Roman" w:hAnsi="Times New Roman" w:cs="Times New Roman"/>
                <w:sz w:val="21"/>
              </w:rPr>
            </w:pPr>
            <w:r>
              <w:rPr>
                <w:rFonts w:ascii="Times New Roman" w:hAnsi="Times New Roman" w:cs="Times New Roman"/>
                <w:sz w:val="21"/>
              </w:rPr>
              <w:t>监测指标</w:t>
            </w:r>
          </w:p>
        </w:tc>
        <w:tc>
          <w:tcPr>
            <w:tcW w:w="907" w:type="pct"/>
            <w:vAlign w:val="center"/>
          </w:tcPr>
          <w:p w14:paraId="578DFBF2">
            <w:pPr>
              <w:spacing w:line="320" w:lineRule="exact"/>
              <w:jc w:val="center"/>
              <w:rPr>
                <w:rFonts w:ascii="Times New Roman" w:hAnsi="Times New Roman" w:cs="Times New Roman"/>
                <w:sz w:val="21"/>
              </w:rPr>
            </w:pPr>
            <w:r>
              <w:rPr>
                <w:rFonts w:ascii="Times New Roman" w:hAnsi="Times New Roman" w:cs="Times New Roman"/>
                <w:sz w:val="21"/>
              </w:rPr>
              <w:t>监测频次</w:t>
            </w:r>
          </w:p>
        </w:tc>
        <w:tc>
          <w:tcPr>
            <w:tcW w:w="489" w:type="pct"/>
            <w:vAlign w:val="center"/>
          </w:tcPr>
          <w:p w14:paraId="7D0754B1">
            <w:pPr>
              <w:spacing w:line="320" w:lineRule="exact"/>
              <w:jc w:val="center"/>
              <w:rPr>
                <w:rFonts w:ascii="Times New Roman" w:hAnsi="Times New Roman" w:cs="Times New Roman"/>
                <w:sz w:val="21"/>
              </w:rPr>
            </w:pPr>
          </w:p>
        </w:tc>
      </w:tr>
      <w:tr w14:paraId="5CF50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 w:type="pct"/>
            <w:vMerge w:val="continue"/>
            <w:vAlign w:val="center"/>
          </w:tcPr>
          <w:p w14:paraId="166125D2">
            <w:pPr>
              <w:spacing w:line="320" w:lineRule="exact"/>
              <w:jc w:val="center"/>
              <w:rPr>
                <w:rFonts w:ascii="Times New Roman" w:hAnsi="Times New Roman" w:cs="Times New Roman"/>
                <w:sz w:val="21"/>
              </w:rPr>
            </w:pPr>
          </w:p>
        </w:tc>
        <w:tc>
          <w:tcPr>
            <w:tcW w:w="941" w:type="pct"/>
            <w:vMerge w:val="continue"/>
            <w:vAlign w:val="center"/>
          </w:tcPr>
          <w:p w14:paraId="27F4B8DD">
            <w:pPr>
              <w:spacing w:line="320" w:lineRule="exact"/>
              <w:jc w:val="center"/>
              <w:rPr>
                <w:rFonts w:ascii="Times New Roman" w:hAnsi="Times New Roman" w:cs="Times New Roman"/>
                <w:sz w:val="21"/>
              </w:rPr>
            </w:pPr>
          </w:p>
        </w:tc>
        <w:tc>
          <w:tcPr>
            <w:tcW w:w="1349" w:type="pct"/>
            <w:gridSpan w:val="2"/>
            <w:vAlign w:val="center"/>
          </w:tcPr>
          <w:p w14:paraId="7264CC60">
            <w:pPr>
              <w:spacing w:line="320" w:lineRule="exact"/>
              <w:jc w:val="center"/>
              <w:rPr>
                <w:rFonts w:ascii="Times New Roman" w:hAnsi="Times New Roman" w:cs="Times New Roman"/>
                <w:sz w:val="21"/>
              </w:rPr>
            </w:pPr>
            <w:r>
              <w:rPr>
                <w:rFonts w:ascii="Times New Roman" w:hAnsi="Times New Roman" w:cs="Times New Roman"/>
                <w:bCs/>
                <w:sz w:val="21"/>
              </w:rPr>
              <w:t>柱状样</w:t>
            </w:r>
            <w:r>
              <w:rPr>
                <w:rFonts w:ascii="Times New Roman" w:hAnsi="Times New Roman" w:cs="Times New Roman"/>
                <w:sz w:val="21"/>
              </w:rPr>
              <w:t>、</w:t>
            </w:r>
            <w:r>
              <w:rPr>
                <w:rFonts w:ascii="Times New Roman" w:hAnsi="Times New Roman" w:cs="Times New Roman"/>
                <w:bCs/>
                <w:sz w:val="21"/>
              </w:rPr>
              <w:t>表层样</w:t>
            </w:r>
          </w:p>
        </w:tc>
        <w:tc>
          <w:tcPr>
            <w:tcW w:w="1019" w:type="pct"/>
            <w:gridSpan w:val="3"/>
            <w:vAlign w:val="center"/>
          </w:tcPr>
          <w:p w14:paraId="200173C4">
            <w:pPr>
              <w:spacing w:line="320" w:lineRule="exact"/>
              <w:jc w:val="center"/>
              <w:rPr>
                <w:rFonts w:ascii="Times New Roman" w:hAnsi="Times New Roman" w:cs="Times New Roman"/>
                <w:sz w:val="21"/>
                <w:lang w:eastAsia="zh-CN"/>
              </w:rPr>
            </w:pPr>
            <w:r>
              <w:rPr>
                <w:rFonts w:hint="eastAsia" w:ascii="Times New Roman" w:hAnsi="Times New Roman" w:cs="Times New Roman"/>
                <w:sz w:val="21"/>
                <w:lang w:eastAsia="zh-CN"/>
              </w:rPr>
              <w:t>《土壤环境质量 建设用地土壤污染风险管控标准（试行）》（</w:t>
            </w:r>
            <w:r>
              <w:rPr>
                <w:rFonts w:ascii="Times New Roman" w:hAnsi="Times New Roman" w:cs="Times New Roman"/>
                <w:sz w:val="21"/>
                <w:lang w:eastAsia="zh-CN"/>
              </w:rPr>
              <w:t>GB36600-2018</w:t>
            </w:r>
            <w:r>
              <w:rPr>
                <w:rFonts w:hint="eastAsia" w:ascii="Times New Roman" w:hAnsi="Times New Roman" w:cs="Times New Roman"/>
                <w:sz w:val="21"/>
                <w:lang w:eastAsia="zh-CN"/>
              </w:rPr>
              <w:t>）</w:t>
            </w:r>
            <w:r>
              <w:rPr>
                <w:rFonts w:ascii="Times New Roman" w:hAnsi="Times New Roman" w:cs="Times New Roman"/>
                <w:sz w:val="21"/>
                <w:lang w:eastAsia="zh-CN"/>
              </w:rPr>
              <w:t>基本因子45项</w:t>
            </w:r>
          </w:p>
        </w:tc>
        <w:tc>
          <w:tcPr>
            <w:tcW w:w="907" w:type="pct"/>
            <w:vAlign w:val="center"/>
          </w:tcPr>
          <w:p w14:paraId="72C2E777">
            <w:pPr>
              <w:spacing w:line="320" w:lineRule="exact"/>
              <w:jc w:val="center"/>
              <w:rPr>
                <w:rFonts w:ascii="Times New Roman" w:hAnsi="Times New Roman" w:cs="Times New Roman"/>
                <w:sz w:val="21"/>
                <w:lang w:eastAsia="zh-CN"/>
              </w:rPr>
            </w:pPr>
            <w:r>
              <w:rPr>
                <w:rFonts w:ascii="Times New Roman" w:hAnsi="Times New Roman" w:cs="Times New Roman"/>
                <w:sz w:val="21"/>
                <w:lang w:eastAsia="zh-CN"/>
              </w:rPr>
              <w:t>柱状样每3年一次，表层样每1年一次</w:t>
            </w:r>
          </w:p>
        </w:tc>
        <w:tc>
          <w:tcPr>
            <w:tcW w:w="489" w:type="pct"/>
            <w:vAlign w:val="center"/>
          </w:tcPr>
          <w:p w14:paraId="3A36A216">
            <w:pPr>
              <w:spacing w:line="320" w:lineRule="exact"/>
              <w:jc w:val="center"/>
              <w:rPr>
                <w:rFonts w:ascii="Times New Roman" w:hAnsi="Times New Roman" w:cs="Times New Roman"/>
                <w:sz w:val="21"/>
                <w:lang w:eastAsia="zh-CN"/>
              </w:rPr>
            </w:pPr>
          </w:p>
        </w:tc>
      </w:tr>
      <w:tr w14:paraId="1E298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 w:type="pct"/>
            <w:vMerge w:val="continue"/>
            <w:vAlign w:val="center"/>
          </w:tcPr>
          <w:p w14:paraId="3F54D10D">
            <w:pPr>
              <w:spacing w:line="320" w:lineRule="exact"/>
              <w:jc w:val="center"/>
              <w:rPr>
                <w:rFonts w:ascii="Times New Roman" w:hAnsi="Times New Roman" w:cs="Times New Roman"/>
                <w:sz w:val="21"/>
                <w:lang w:eastAsia="zh-CN"/>
              </w:rPr>
            </w:pPr>
          </w:p>
        </w:tc>
        <w:tc>
          <w:tcPr>
            <w:tcW w:w="941" w:type="pct"/>
            <w:vAlign w:val="center"/>
          </w:tcPr>
          <w:p w14:paraId="33E4A76E">
            <w:pPr>
              <w:spacing w:line="320" w:lineRule="exact"/>
              <w:jc w:val="center"/>
              <w:rPr>
                <w:rFonts w:ascii="Times New Roman" w:hAnsi="Times New Roman" w:cs="Times New Roman"/>
                <w:sz w:val="21"/>
              </w:rPr>
            </w:pPr>
            <w:r>
              <w:rPr>
                <w:rFonts w:ascii="Times New Roman" w:hAnsi="Times New Roman" w:cs="Times New Roman"/>
                <w:sz w:val="21"/>
              </w:rPr>
              <w:t>信息公开指标</w:t>
            </w:r>
          </w:p>
        </w:tc>
        <w:tc>
          <w:tcPr>
            <w:tcW w:w="3275" w:type="pct"/>
            <w:gridSpan w:val="6"/>
            <w:vAlign w:val="center"/>
          </w:tcPr>
          <w:p w14:paraId="65F7FA47">
            <w:pPr>
              <w:spacing w:line="320" w:lineRule="exact"/>
              <w:jc w:val="center"/>
              <w:rPr>
                <w:rFonts w:ascii="Times New Roman" w:hAnsi="Times New Roman" w:cs="Times New Roman"/>
                <w:sz w:val="21"/>
              </w:rPr>
            </w:pPr>
            <w:r>
              <w:rPr>
                <w:rFonts w:ascii="Times New Roman" w:hAnsi="Times New Roman" w:cs="Times New Roman"/>
                <w:sz w:val="21"/>
              </w:rPr>
              <w:t>/</w:t>
            </w:r>
          </w:p>
        </w:tc>
        <w:tc>
          <w:tcPr>
            <w:tcW w:w="489" w:type="pct"/>
            <w:vAlign w:val="center"/>
          </w:tcPr>
          <w:p w14:paraId="75497565">
            <w:pPr>
              <w:spacing w:line="320" w:lineRule="exact"/>
              <w:jc w:val="center"/>
              <w:rPr>
                <w:rFonts w:ascii="Times New Roman" w:hAnsi="Times New Roman" w:cs="Times New Roman"/>
                <w:sz w:val="21"/>
              </w:rPr>
            </w:pPr>
          </w:p>
        </w:tc>
      </w:tr>
      <w:tr w14:paraId="05F56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 w:type="pct"/>
            <w:vAlign w:val="center"/>
          </w:tcPr>
          <w:p w14:paraId="3AAD261D">
            <w:pPr>
              <w:spacing w:line="320" w:lineRule="exact"/>
              <w:jc w:val="center"/>
              <w:rPr>
                <w:rFonts w:ascii="Times New Roman" w:hAnsi="Times New Roman" w:cs="Times New Roman"/>
                <w:sz w:val="21"/>
              </w:rPr>
            </w:pPr>
          </w:p>
        </w:tc>
        <w:tc>
          <w:tcPr>
            <w:tcW w:w="941" w:type="pct"/>
            <w:vAlign w:val="center"/>
          </w:tcPr>
          <w:p w14:paraId="1F9BFFB4">
            <w:pPr>
              <w:spacing w:line="320" w:lineRule="exact"/>
              <w:jc w:val="center"/>
              <w:rPr>
                <w:rFonts w:ascii="Times New Roman" w:hAnsi="Times New Roman" w:cs="Times New Roman"/>
                <w:sz w:val="21"/>
              </w:rPr>
            </w:pPr>
            <w:r>
              <w:rPr>
                <w:rFonts w:ascii="Times New Roman" w:hAnsi="Times New Roman" w:cs="Times New Roman"/>
                <w:sz w:val="21"/>
              </w:rPr>
              <w:t>评价结论</w:t>
            </w:r>
          </w:p>
        </w:tc>
        <w:tc>
          <w:tcPr>
            <w:tcW w:w="3275" w:type="pct"/>
            <w:gridSpan w:val="6"/>
            <w:vAlign w:val="center"/>
          </w:tcPr>
          <w:p w14:paraId="3EAD55B6">
            <w:pPr>
              <w:spacing w:line="320" w:lineRule="exact"/>
              <w:jc w:val="center"/>
              <w:rPr>
                <w:rFonts w:ascii="Times New Roman" w:hAnsi="Times New Roman" w:cs="Times New Roman"/>
                <w:sz w:val="21"/>
                <w:lang w:eastAsia="zh-CN"/>
              </w:rPr>
            </w:pPr>
            <w:r>
              <w:rPr>
                <w:rFonts w:ascii="Times New Roman" w:hAnsi="Times New Roman" w:cs="Times New Roman"/>
                <w:sz w:val="21"/>
                <w:lang w:eastAsia="zh-CN"/>
              </w:rPr>
              <w:t>土壤环境影响环境可以接受</w:t>
            </w:r>
          </w:p>
        </w:tc>
        <w:tc>
          <w:tcPr>
            <w:tcW w:w="489" w:type="pct"/>
            <w:vAlign w:val="center"/>
          </w:tcPr>
          <w:p w14:paraId="1ABDFF3C">
            <w:pPr>
              <w:spacing w:line="320" w:lineRule="exact"/>
              <w:jc w:val="center"/>
              <w:rPr>
                <w:rFonts w:ascii="Times New Roman" w:hAnsi="Times New Roman" w:cs="Times New Roman"/>
                <w:sz w:val="21"/>
                <w:lang w:eastAsia="zh-CN"/>
              </w:rPr>
            </w:pPr>
          </w:p>
        </w:tc>
      </w:tr>
    </w:tbl>
    <w:p w14:paraId="7106E3E0">
      <w:pPr>
        <w:spacing w:line="360" w:lineRule="auto"/>
        <w:ind w:firstLine="562"/>
        <w:outlineLvl w:val="1"/>
        <w:rPr>
          <w:rFonts w:ascii="Times New Roman" w:hAnsi="Times New Roman" w:cs="Times New Roman"/>
          <w:b/>
          <w:bCs/>
          <w:color w:val="auto"/>
          <w:sz w:val="28"/>
          <w:szCs w:val="28"/>
          <w:lang w:eastAsia="zh-CN"/>
        </w:rPr>
      </w:pPr>
      <w:bookmarkStart w:id="1730" w:name="_Toc237508351"/>
      <w:r>
        <w:rPr>
          <w:rFonts w:ascii="Times New Roman" w:hAnsi="Times New Roman" w:cs="Times New Roman"/>
          <w:b/>
          <w:bCs/>
          <w:color w:val="auto"/>
          <w:sz w:val="28"/>
          <w:szCs w:val="28"/>
          <w:lang w:eastAsia="zh-CN"/>
        </w:rPr>
        <w:t>6.</w:t>
      </w:r>
      <w:r>
        <w:rPr>
          <w:rFonts w:hint="eastAsia" w:ascii="Times New Roman" w:hAnsi="Times New Roman" w:cs="Times New Roman"/>
          <w:b/>
          <w:bCs/>
          <w:color w:val="auto"/>
          <w:sz w:val="28"/>
          <w:szCs w:val="28"/>
          <w:lang w:eastAsia="zh-CN"/>
        </w:rPr>
        <w:t>8</w:t>
      </w:r>
      <w:r>
        <w:rPr>
          <w:rFonts w:ascii="Times New Roman" w:hAnsi="Times New Roman" w:cs="Times New Roman"/>
          <w:b/>
          <w:bCs/>
          <w:color w:val="auto"/>
          <w:sz w:val="28"/>
          <w:szCs w:val="28"/>
          <w:lang w:eastAsia="zh-CN"/>
        </w:rPr>
        <w:t xml:space="preserve"> 运营期</w:t>
      </w:r>
      <w:r>
        <w:rPr>
          <w:rFonts w:hint="eastAsia" w:ascii="Times New Roman" w:hAnsi="Times New Roman" w:cs="Times New Roman"/>
          <w:b/>
          <w:bCs/>
          <w:color w:val="auto"/>
          <w:sz w:val="28"/>
          <w:szCs w:val="28"/>
          <w:lang w:eastAsia="zh-CN"/>
        </w:rPr>
        <w:t>生态</w:t>
      </w:r>
      <w:r>
        <w:rPr>
          <w:rFonts w:ascii="Times New Roman" w:hAnsi="Times New Roman" w:cs="Times New Roman"/>
          <w:b/>
          <w:bCs/>
          <w:color w:val="auto"/>
          <w:sz w:val="28"/>
          <w:szCs w:val="28"/>
          <w:lang w:eastAsia="zh-CN"/>
        </w:rPr>
        <w:t>环境影响分析</w:t>
      </w:r>
      <w:bookmarkEnd w:id="1730"/>
    </w:p>
    <w:p w14:paraId="04374039">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拟建项目位于蚌埠精细化工高新技术产业基地，该园区规划环评已获批准，且本项目符合园区主导产业，建设符合规划环评要求，占地不涉及生态敏感区，生态影响简单分析。本项目建成后不会对周边生态环境造成较大不利影响。</w:t>
      </w:r>
    </w:p>
    <w:p w14:paraId="56A78F44">
      <w:pPr>
        <w:widowControl w:val="0"/>
        <w:spacing w:line="360" w:lineRule="auto"/>
        <w:ind w:firstLine="480"/>
        <w:rPr>
          <w:rFonts w:ascii="Times New Roman" w:hAnsi="Times New Roman" w:eastAsia="新宋体" w:cs="Times New Roman"/>
          <w:color w:val="auto"/>
          <w:szCs w:val="24"/>
          <w:lang w:eastAsia="zh-CN"/>
        </w:rPr>
        <w:sectPr>
          <w:pgSz w:w="11906" w:h="16838"/>
          <w:pgMar w:top="1440" w:right="1080" w:bottom="1440" w:left="1080" w:header="851" w:footer="992" w:gutter="0"/>
          <w:cols w:space="720" w:num="1"/>
          <w:docGrid w:type="lines" w:linePitch="312" w:charSpace="0"/>
        </w:sectPr>
      </w:pPr>
    </w:p>
    <w:p w14:paraId="19527EA6">
      <w:pPr>
        <w:spacing w:line="360" w:lineRule="auto"/>
        <w:ind w:left="480"/>
        <w:jc w:val="center"/>
        <w:outlineLvl w:val="0"/>
        <w:rPr>
          <w:rFonts w:ascii="Times New Roman" w:hAnsi="Times New Roman" w:cs="Times New Roman"/>
          <w:b/>
          <w:bCs/>
          <w:color w:val="auto"/>
          <w:sz w:val="32"/>
          <w:szCs w:val="24"/>
          <w:lang w:eastAsia="zh-CN"/>
        </w:rPr>
      </w:pPr>
      <w:bookmarkStart w:id="1731" w:name="_Toc237508352"/>
      <w:r>
        <w:rPr>
          <w:rFonts w:hint="eastAsia" w:ascii="Times New Roman" w:hAnsi="Times New Roman" w:cs="Times New Roman"/>
          <w:b/>
          <w:bCs/>
          <w:color w:val="auto"/>
          <w:sz w:val="32"/>
          <w:szCs w:val="24"/>
          <w:lang w:eastAsia="zh-CN"/>
        </w:rPr>
        <w:t>7 环境风险评价</w:t>
      </w:r>
      <w:bookmarkEnd w:id="1731"/>
    </w:p>
    <w:p w14:paraId="5B3EF539">
      <w:pPr>
        <w:spacing w:line="360" w:lineRule="auto"/>
        <w:ind w:firstLine="480"/>
        <w:rPr>
          <w:rFonts w:ascii="Times New Roman" w:hAnsi="Times New Roman" w:cs="Times New Roman"/>
          <w:color w:val="auto"/>
          <w:lang w:eastAsia="zh-CN"/>
        </w:rPr>
      </w:pPr>
    </w:p>
    <w:p w14:paraId="06BBD8D4">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按照《建设项目环境风险评价技术导则》（HJ 169-2018）的要求，环境风险评价应以突发性事故导致的危险物质环境急性损害防控为目标，对建设项目的环境风险进行分析、预测和评估，提出环境风险预防、控制、减缓措施，明确环境风险监控及应急要求，为建设项目环境风险防控提供科学依据。</w:t>
      </w:r>
    </w:p>
    <w:p w14:paraId="6F79EC11">
      <w:pPr>
        <w:spacing w:line="360" w:lineRule="auto"/>
        <w:ind w:firstLine="562"/>
        <w:outlineLvl w:val="1"/>
        <w:rPr>
          <w:rFonts w:ascii="Times New Roman" w:hAnsi="Times New Roman" w:cs="Times New Roman"/>
          <w:b/>
          <w:bCs/>
          <w:color w:val="auto"/>
          <w:sz w:val="28"/>
          <w:szCs w:val="22"/>
          <w:lang w:eastAsia="zh-CN"/>
        </w:rPr>
      </w:pPr>
      <w:bookmarkStart w:id="1732" w:name="_Toc237508353"/>
      <w:r>
        <w:rPr>
          <w:rFonts w:ascii="Times New Roman" w:hAnsi="Times New Roman" w:cs="Times New Roman"/>
          <w:b/>
          <w:bCs/>
          <w:color w:val="auto"/>
          <w:sz w:val="28"/>
          <w:szCs w:val="22"/>
          <w:lang w:eastAsia="zh-CN"/>
        </w:rPr>
        <w:t>7.1 评价工作程序</w:t>
      </w:r>
      <w:bookmarkEnd w:id="1732"/>
    </w:p>
    <w:p w14:paraId="33624B14">
      <w:pPr>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评价工作程序见图7.1-1。</w:t>
      </w:r>
    </w:p>
    <w:p w14:paraId="5CE6FE54">
      <w:pPr>
        <w:spacing w:line="360" w:lineRule="auto"/>
        <w:jc w:val="center"/>
        <w:rPr>
          <w:rFonts w:ascii="Times New Roman" w:hAnsi="Times New Roman" w:cs="Times New Roman"/>
          <w:color w:val="auto"/>
          <w:lang w:eastAsia="zh-CN"/>
        </w:rPr>
      </w:pPr>
      <w:r>
        <w:rPr>
          <w:rFonts w:ascii="Times New Roman" w:hAnsi="Times New Roman" w:cs="Times New Roman"/>
          <w:color w:val="auto"/>
        </w:rPr>
        <w:drawing>
          <wp:inline distT="0" distB="0" distL="0" distR="0">
            <wp:extent cx="5534025" cy="5791200"/>
            <wp:effectExtent l="0" t="0" r="0" b="0"/>
            <wp:docPr id="160"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64"/>
                    <pic:cNvPicPr>
                      <a:picLocks noChangeAspect="1" noChangeArrowheads="1"/>
                    </pic:cNvPicPr>
                  </pic:nvPicPr>
                  <pic:blipFill>
                    <a:blip r:embed="rId99">
                      <a:extLst>
                        <a:ext uri="{28A0092B-C50C-407E-A947-70E740481C1C}">
                          <a14:useLocalDpi xmlns:a14="http://schemas.microsoft.com/office/drawing/2010/main" val="0"/>
                        </a:ext>
                      </a:extLst>
                    </a:blip>
                    <a:srcRect r="4358" b="5966"/>
                    <a:stretch>
                      <a:fillRect/>
                    </a:stretch>
                  </pic:blipFill>
                  <pic:spPr>
                    <a:xfrm>
                      <a:off x="0" y="0"/>
                      <a:ext cx="5534025" cy="5791200"/>
                    </a:xfrm>
                    <a:prstGeom prst="rect">
                      <a:avLst/>
                    </a:prstGeom>
                    <a:noFill/>
                    <a:ln>
                      <a:noFill/>
                    </a:ln>
                  </pic:spPr>
                </pic:pic>
              </a:graphicData>
            </a:graphic>
          </wp:inline>
        </w:drawing>
      </w:r>
    </w:p>
    <w:p w14:paraId="24B7C1F8">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图7.1-1 评价工作程序</w:t>
      </w:r>
    </w:p>
    <w:p w14:paraId="38991EB0">
      <w:pPr>
        <w:widowControl w:val="0"/>
        <w:spacing w:line="360" w:lineRule="auto"/>
        <w:ind w:firstLine="480"/>
        <w:rPr>
          <w:rFonts w:ascii="Times New Roman" w:hAnsi="Times New Roman" w:eastAsia="新宋体" w:cs="Times New Roman"/>
          <w:color w:val="auto"/>
          <w:szCs w:val="24"/>
          <w:lang w:eastAsia="zh-CN"/>
        </w:rPr>
        <w:sectPr>
          <w:pgSz w:w="11906" w:h="16838"/>
          <w:pgMar w:top="1440" w:right="1080" w:bottom="1440" w:left="1080" w:header="851" w:footer="992" w:gutter="0"/>
          <w:cols w:space="720" w:num="1"/>
          <w:docGrid w:type="lines" w:linePitch="312" w:charSpace="0"/>
        </w:sectPr>
      </w:pPr>
    </w:p>
    <w:p w14:paraId="653B0660">
      <w:pPr>
        <w:spacing w:line="360" w:lineRule="auto"/>
        <w:ind w:firstLine="562"/>
        <w:outlineLvl w:val="1"/>
        <w:rPr>
          <w:rFonts w:ascii="Times New Roman" w:hAnsi="Times New Roman" w:cs="Times New Roman"/>
          <w:b/>
          <w:bCs/>
          <w:color w:val="auto"/>
          <w:sz w:val="28"/>
          <w:szCs w:val="22"/>
          <w:lang w:eastAsia="zh-CN"/>
        </w:rPr>
      </w:pPr>
      <w:bookmarkStart w:id="1733" w:name="_Toc237508354"/>
      <w:r>
        <w:rPr>
          <w:rFonts w:ascii="Times New Roman" w:hAnsi="Times New Roman" w:cs="Times New Roman"/>
          <w:b/>
          <w:bCs/>
          <w:color w:val="auto"/>
          <w:sz w:val="28"/>
          <w:szCs w:val="22"/>
          <w:lang w:eastAsia="zh-CN"/>
        </w:rPr>
        <w:t xml:space="preserve">7.2 </w:t>
      </w:r>
      <w:r>
        <w:rPr>
          <w:rFonts w:hint="eastAsia" w:ascii="Times New Roman" w:hAnsi="Times New Roman" w:cs="Times New Roman"/>
          <w:b/>
          <w:bCs/>
          <w:color w:val="auto"/>
          <w:sz w:val="28"/>
          <w:szCs w:val="22"/>
          <w:lang w:eastAsia="zh-CN"/>
        </w:rPr>
        <w:t>现有环境风险及防范措施回顾</w:t>
      </w:r>
      <w:bookmarkEnd w:id="1733"/>
    </w:p>
    <w:p w14:paraId="247072CF">
      <w:pPr>
        <w:spacing w:line="360" w:lineRule="auto"/>
        <w:ind w:firstLine="482"/>
        <w:outlineLvl w:val="2"/>
        <w:rPr>
          <w:rFonts w:ascii="Times New Roman" w:hAnsi="Times New Roman" w:cs="Times New Roman"/>
          <w:b/>
          <w:bCs/>
          <w:color w:val="auto"/>
          <w:lang w:eastAsia="zh-CN"/>
        </w:rPr>
      </w:pPr>
      <w:bookmarkStart w:id="1734" w:name="_Toc204515264"/>
      <w:bookmarkStart w:id="1735" w:name="_Toc178602416"/>
      <w:bookmarkStart w:id="1736" w:name="_Toc173743449"/>
      <w:bookmarkStart w:id="1737" w:name="_Toc203927068"/>
      <w:bookmarkStart w:id="1738" w:name="_Toc176513075"/>
      <w:bookmarkStart w:id="1739" w:name="_Toc217662735"/>
      <w:bookmarkStart w:id="1740" w:name="_Toc172555711"/>
      <w:bookmarkStart w:id="1741" w:name="_Toc175164340"/>
      <w:bookmarkStart w:id="1742" w:name="_Toc173740345"/>
      <w:bookmarkStart w:id="1743" w:name="_Toc204448529"/>
      <w:bookmarkStart w:id="1744" w:name="_Toc223425120"/>
      <w:bookmarkStart w:id="1745" w:name="_Toc231828642"/>
      <w:bookmarkStart w:id="1746" w:name="_Toc224674760"/>
      <w:bookmarkStart w:id="1747" w:name="_Toc218784345"/>
      <w:bookmarkStart w:id="1748" w:name="_Toc225784121"/>
      <w:bookmarkStart w:id="1749" w:name="_Toc221900902"/>
      <w:bookmarkStart w:id="1750" w:name="_Toc237508355"/>
      <w:bookmarkStart w:id="1751" w:name="_Toc236641890"/>
      <w:r>
        <w:rPr>
          <w:rFonts w:ascii="Times New Roman" w:hAnsi="Times New Roman" w:cs="Times New Roman"/>
          <w:b/>
          <w:bCs/>
          <w:color w:val="auto"/>
          <w:lang w:eastAsia="zh-CN"/>
        </w:rPr>
        <w:t xml:space="preserve">7.2.1 </w:t>
      </w:r>
      <w:bookmarkEnd w:id="1734"/>
      <w:bookmarkEnd w:id="1735"/>
      <w:bookmarkEnd w:id="1736"/>
      <w:bookmarkEnd w:id="1737"/>
      <w:bookmarkEnd w:id="1738"/>
      <w:bookmarkEnd w:id="1739"/>
      <w:bookmarkEnd w:id="1740"/>
      <w:bookmarkEnd w:id="1741"/>
      <w:bookmarkEnd w:id="1742"/>
      <w:bookmarkEnd w:id="1743"/>
      <w:r>
        <w:rPr>
          <w:rFonts w:hint="eastAsia" w:ascii="Times New Roman" w:hAnsi="Times New Roman" w:cs="Times New Roman"/>
          <w:b/>
          <w:bCs/>
          <w:color w:val="auto"/>
          <w:lang w:eastAsia="zh-CN"/>
        </w:rPr>
        <w:t>现有环境风险源调查</w:t>
      </w:r>
      <w:bookmarkEnd w:id="1744"/>
      <w:bookmarkEnd w:id="1745"/>
      <w:bookmarkEnd w:id="1746"/>
      <w:bookmarkEnd w:id="1747"/>
      <w:bookmarkEnd w:id="1748"/>
      <w:bookmarkEnd w:id="1749"/>
      <w:bookmarkEnd w:id="1750"/>
      <w:bookmarkEnd w:id="1751"/>
    </w:p>
    <w:p w14:paraId="1F3ADACA">
      <w:pPr>
        <w:spacing w:line="360" w:lineRule="auto"/>
        <w:ind w:firstLine="480" w:firstLineChars="200"/>
        <w:jc w:val="both"/>
        <w:rPr>
          <w:rFonts w:ascii="Times New Roman"/>
          <w:color w:val="auto"/>
          <w:szCs w:val="24"/>
          <w:lang w:eastAsia="zh-CN"/>
        </w:rPr>
      </w:pPr>
      <w:bookmarkStart w:id="1752" w:name="_Toc6339"/>
      <w:r>
        <w:rPr>
          <w:rFonts w:hint="eastAsia" w:ascii="Times New Roman"/>
          <w:color w:val="auto"/>
          <w:szCs w:val="24"/>
          <w:lang w:eastAsia="zh-CN"/>
        </w:rPr>
        <w:t>1、危险物质数量及分布情况</w:t>
      </w:r>
    </w:p>
    <w:p w14:paraId="2FE82983">
      <w:pPr>
        <w:spacing w:line="360" w:lineRule="auto"/>
        <w:ind w:firstLine="480" w:firstLineChars="200"/>
        <w:jc w:val="both"/>
        <w:rPr>
          <w:rFonts w:ascii="Times New Roman"/>
          <w:color w:val="auto"/>
          <w:szCs w:val="24"/>
          <w:lang w:eastAsia="zh-CN"/>
        </w:rPr>
      </w:pPr>
      <w:r>
        <w:rPr>
          <w:rFonts w:hint="eastAsia" w:ascii="Times New Roman"/>
          <w:color w:val="auto"/>
          <w:szCs w:val="24"/>
          <w:lang w:eastAsia="zh-CN"/>
        </w:rPr>
        <w:t>根据《危险化学品目录》（2022调整版）、《建设项目环境风险评价技术导则》（HJ 169-2018）附录B中重点关注的危险物质及临界量，现有工程涉及的危险物质主要为</w:t>
      </w:r>
      <w:r>
        <w:rPr>
          <w:rFonts w:ascii="Times New Roman"/>
          <w:color w:val="auto"/>
          <w:szCs w:val="24"/>
          <w:lang w:eastAsia="zh-CN"/>
        </w:rPr>
        <w:t>无水氟化氢、电子级氢氟酸</w:t>
      </w:r>
      <w:r>
        <w:rPr>
          <w:rFonts w:hint="eastAsia" w:ascii="Times New Roman"/>
          <w:color w:val="auto"/>
          <w:szCs w:val="24"/>
          <w:lang w:eastAsia="zh-CN"/>
        </w:rPr>
        <w:t>中的氟化氢，</w:t>
      </w:r>
      <w:r>
        <w:rPr>
          <w:rFonts w:ascii="Times New Roman"/>
          <w:color w:val="auto"/>
          <w:szCs w:val="24"/>
          <w:lang w:eastAsia="zh-CN"/>
        </w:rPr>
        <w:t>31%盐酸</w:t>
      </w:r>
      <w:r>
        <w:rPr>
          <w:rFonts w:hint="eastAsia" w:ascii="Times New Roman"/>
          <w:color w:val="auto"/>
          <w:szCs w:val="24"/>
          <w:lang w:eastAsia="zh-CN"/>
        </w:rPr>
        <w:t>中的氯化氢，</w:t>
      </w:r>
      <w:r>
        <w:rPr>
          <w:rFonts w:ascii="Times New Roman"/>
          <w:color w:val="auto"/>
          <w:szCs w:val="24"/>
          <w:lang w:eastAsia="zh-CN"/>
        </w:rPr>
        <w:t>15%氟化氢</w:t>
      </w:r>
      <w:r>
        <w:rPr>
          <w:rFonts w:hint="eastAsia" w:ascii="Times New Roman"/>
          <w:color w:val="auto"/>
          <w:szCs w:val="24"/>
          <w:lang w:eastAsia="zh-CN"/>
        </w:rPr>
        <w:t>水</w:t>
      </w:r>
      <w:r>
        <w:rPr>
          <w:rFonts w:ascii="Times New Roman"/>
          <w:color w:val="auto"/>
          <w:szCs w:val="24"/>
          <w:lang w:eastAsia="zh-CN"/>
        </w:rPr>
        <w:t>溶液、化学纯氢氟酸及刻蚀液</w:t>
      </w:r>
      <w:r>
        <w:rPr>
          <w:rFonts w:hint="eastAsia" w:ascii="Times New Roman"/>
          <w:color w:val="auto"/>
          <w:szCs w:val="24"/>
          <w:lang w:eastAsia="zh-CN"/>
        </w:rPr>
        <w:t>中的氟化氢、氯化氢。</w:t>
      </w:r>
    </w:p>
    <w:p w14:paraId="788D596C">
      <w:pPr>
        <w:spacing w:line="360" w:lineRule="auto"/>
        <w:jc w:val="center"/>
        <w:rPr>
          <w:rFonts w:ascii="Times New Roman"/>
          <w:b/>
          <w:bCs/>
          <w:color w:val="auto"/>
          <w:szCs w:val="24"/>
          <w:lang w:eastAsia="zh-CN"/>
        </w:rPr>
      </w:pPr>
      <w:r>
        <w:rPr>
          <w:rFonts w:hint="eastAsia" w:ascii="Times New Roman"/>
          <w:b/>
          <w:bCs/>
          <w:color w:val="auto"/>
          <w:szCs w:val="24"/>
          <w:lang w:eastAsia="zh-CN"/>
        </w:rPr>
        <w:t>表7.2-1 现有工程危险物质一览表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Layout w:type="autofit"/>
        <w:tblCellMar>
          <w:top w:w="0" w:type="dxa"/>
          <w:left w:w="0" w:type="dxa"/>
          <w:bottom w:w="0" w:type="dxa"/>
          <w:right w:w="0" w:type="dxa"/>
        </w:tblCellMar>
      </w:tblPr>
      <w:tblGrid>
        <w:gridCol w:w="852"/>
        <w:gridCol w:w="1984"/>
        <w:gridCol w:w="850"/>
        <w:gridCol w:w="1134"/>
        <w:gridCol w:w="1702"/>
        <w:gridCol w:w="1454"/>
        <w:gridCol w:w="1770"/>
      </w:tblGrid>
      <w:tr w14:paraId="176C0B65">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0" w:type="dxa"/>
            <w:bottom w:w="0" w:type="dxa"/>
            <w:right w:w="0" w:type="dxa"/>
          </w:tblCellMar>
        </w:tblPrEx>
        <w:trPr>
          <w:trHeight w:val="283" w:hRule="atLeast"/>
          <w:jc w:val="center"/>
        </w:trPr>
        <w:tc>
          <w:tcPr>
            <w:tcW w:w="437" w:type="pct"/>
            <w:vMerge w:val="restart"/>
            <w:tcBorders>
              <w:tl2br w:val="nil"/>
              <w:tr2bl w:val="nil"/>
            </w:tcBorders>
            <w:vAlign w:val="center"/>
          </w:tcPr>
          <w:p w14:paraId="61AC69B9">
            <w:pPr>
              <w:pStyle w:val="140"/>
              <w:adjustRightInd w:val="0"/>
              <w:snapToGrid w:val="0"/>
              <w:spacing w:line="240" w:lineRule="auto"/>
              <w:ind w:left="0" w:leftChars="0" w:firstLine="0" w:firstLineChars="0"/>
              <w:rPr>
                <w:rFonts w:ascii="Times New Roman" w:hAnsi="Times New Roman" w:cs="Times New Roman"/>
                <w:b/>
                <w:bCs/>
                <w:color w:val="auto"/>
                <w:sz w:val="21"/>
                <w:szCs w:val="21"/>
              </w:rPr>
            </w:pPr>
            <w:r>
              <w:rPr>
                <w:rFonts w:ascii="Times New Roman" w:hAnsi="Times New Roman" w:cs="Times New Roman"/>
                <w:b/>
                <w:bCs/>
                <w:color w:val="auto"/>
                <w:sz w:val="21"/>
                <w:szCs w:val="21"/>
              </w:rPr>
              <w:t>类别</w:t>
            </w:r>
          </w:p>
        </w:tc>
        <w:tc>
          <w:tcPr>
            <w:tcW w:w="1018" w:type="pct"/>
            <w:vMerge w:val="restart"/>
            <w:tcBorders>
              <w:tl2br w:val="nil"/>
              <w:tr2bl w:val="nil"/>
            </w:tcBorders>
            <w:vAlign w:val="center"/>
          </w:tcPr>
          <w:p w14:paraId="2E60CC94">
            <w:pPr>
              <w:pStyle w:val="140"/>
              <w:adjustRightInd w:val="0"/>
              <w:snapToGrid w:val="0"/>
              <w:spacing w:line="240" w:lineRule="auto"/>
              <w:ind w:left="0" w:leftChars="0" w:firstLine="0" w:firstLineChars="0"/>
              <w:rPr>
                <w:rFonts w:ascii="Times New Roman" w:hAnsi="Times New Roman" w:cs="Times New Roman"/>
                <w:b/>
                <w:bCs/>
                <w:color w:val="auto"/>
                <w:sz w:val="21"/>
                <w:szCs w:val="21"/>
              </w:rPr>
            </w:pPr>
            <w:r>
              <w:rPr>
                <w:rFonts w:ascii="Times New Roman" w:hAnsi="Times New Roman" w:cs="Times New Roman"/>
                <w:b/>
                <w:bCs/>
                <w:color w:val="auto"/>
                <w:sz w:val="21"/>
                <w:szCs w:val="21"/>
              </w:rPr>
              <w:t>名称</w:t>
            </w:r>
          </w:p>
        </w:tc>
        <w:tc>
          <w:tcPr>
            <w:tcW w:w="436" w:type="pct"/>
            <w:vMerge w:val="restart"/>
            <w:tcBorders>
              <w:tl2br w:val="nil"/>
              <w:tr2bl w:val="nil"/>
            </w:tcBorders>
            <w:vAlign w:val="center"/>
          </w:tcPr>
          <w:p w14:paraId="52951298">
            <w:pPr>
              <w:pStyle w:val="140"/>
              <w:adjustRightInd w:val="0"/>
              <w:snapToGrid w:val="0"/>
              <w:spacing w:line="240" w:lineRule="auto"/>
              <w:ind w:left="0" w:leftChars="0" w:firstLine="0" w:firstLineChars="0"/>
              <w:rPr>
                <w:rFonts w:ascii="Times New Roman" w:hAnsi="Times New Roman" w:cs="Times New Roman"/>
                <w:b/>
                <w:bCs/>
                <w:color w:val="auto"/>
                <w:sz w:val="21"/>
                <w:szCs w:val="21"/>
              </w:rPr>
            </w:pPr>
            <w:r>
              <w:rPr>
                <w:rFonts w:ascii="Times New Roman" w:hAnsi="Times New Roman" w:cs="Times New Roman"/>
                <w:b/>
                <w:bCs/>
                <w:color w:val="auto"/>
                <w:sz w:val="21"/>
                <w:szCs w:val="21"/>
              </w:rPr>
              <w:t>状态</w:t>
            </w:r>
          </w:p>
        </w:tc>
        <w:tc>
          <w:tcPr>
            <w:tcW w:w="2201" w:type="pct"/>
            <w:gridSpan w:val="3"/>
            <w:tcBorders>
              <w:tl2br w:val="nil"/>
              <w:tr2bl w:val="nil"/>
            </w:tcBorders>
            <w:vAlign w:val="center"/>
          </w:tcPr>
          <w:p w14:paraId="2D1C3911">
            <w:pPr>
              <w:pStyle w:val="140"/>
              <w:adjustRightInd w:val="0"/>
              <w:snapToGrid w:val="0"/>
              <w:spacing w:line="240" w:lineRule="auto"/>
              <w:ind w:left="0" w:leftChars="0" w:firstLine="0" w:firstLineChars="0"/>
              <w:rPr>
                <w:rFonts w:hint="eastAsia" w:ascii="Times New Roman"/>
                <w:b/>
                <w:bCs/>
                <w:color w:val="auto"/>
                <w:sz w:val="21"/>
                <w:lang w:val="zh-CN"/>
              </w:rPr>
            </w:pPr>
            <w:r>
              <w:rPr>
                <w:rFonts w:ascii="Times New Roman"/>
                <w:b/>
                <w:bCs/>
                <w:color w:val="auto"/>
                <w:sz w:val="21"/>
                <w:lang w:val="zh-CN"/>
              </w:rPr>
              <w:t>最大贮存量</w:t>
            </w:r>
            <w:r>
              <w:rPr>
                <w:rFonts w:hint="eastAsia" w:ascii="Times New Roman"/>
                <w:b/>
                <w:bCs/>
                <w:color w:val="auto"/>
                <w:sz w:val="21"/>
                <w:lang w:val="zh-CN" w:eastAsia="zh-CN"/>
              </w:rPr>
              <w:t>（t）</w:t>
            </w:r>
          </w:p>
        </w:tc>
        <w:tc>
          <w:tcPr>
            <w:tcW w:w="908" w:type="pct"/>
            <w:vMerge w:val="restart"/>
            <w:tcBorders>
              <w:tl2br w:val="nil"/>
              <w:tr2bl w:val="nil"/>
            </w:tcBorders>
            <w:vAlign w:val="center"/>
          </w:tcPr>
          <w:p w14:paraId="3BF74057">
            <w:pPr>
              <w:pStyle w:val="140"/>
              <w:adjustRightInd w:val="0"/>
              <w:snapToGrid w:val="0"/>
              <w:spacing w:line="240" w:lineRule="auto"/>
              <w:ind w:left="0" w:leftChars="0" w:firstLine="0" w:firstLineChars="0"/>
              <w:rPr>
                <w:rFonts w:ascii="Times New Roman" w:hAnsi="Times New Roman" w:cs="Times New Roman"/>
                <w:b/>
                <w:bCs/>
                <w:color w:val="auto"/>
                <w:sz w:val="21"/>
                <w:szCs w:val="21"/>
                <w:lang w:eastAsia="zh-CN"/>
              </w:rPr>
            </w:pPr>
            <w:r>
              <w:rPr>
                <w:rFonts w:ascii="Times New Roman"/>
                <w:b/>
                <w:bCs/>
                <w:color w:val="auto"/>
                <w:sz w:val="21"/>
                <w:lang w:val="zh-CN"/>
              </w:rPr>
              <w:t>贮存位置</w:t>
            </w:r>
          </w:p>
        </w:tc>
      </w:tr>
      <w:tr w14:paraId="4F8E17A1">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0" w:type="dxa"/>
            <w:bottom w:w="0" w:type="dxa"/>
            <w:right w:w="0" w:type="dxa"/>
          </w:tblCellMar>
        </w:tblPrEx>
        <w:trPr>
          <w:trHeight w:val="283" w:hRule="atLeast"/>
          <w:jc w:val="center"/>
        </w:trPr>
        <w:tc>
          <w:tcPr>
            <w:tcW w:w="437" w:type="pct"/>
            <w:vMerge w:val="continue"/>
            <w:tcBorders>
              <w:tl2br w:val="nil"/>
              <w:tr2bl w:val="nil"/>
            </w:tcBorders>
            <w:vAlign w:val="center"/>
          </w:tcPr>
          <w:p w14:paraId="686AA5AA">
            <w:pPr>
              <w:pStyle w:val="140"/>
              <w:adjustRightInd w:val="0"/>
              <w:snapToGrid w:val="0"/>
              <w:spacing w:line="240" w:lineRule="auto"/>
              <w:ind w:left="0" w:leftChars="0" w:firstLine="0" w:firstLineChars="0"/>
              <w:rPr>
                <w:rFonts w:ascii="Times New Roman" w:hAnsi="Times New Roman" w:cs="Times New Roman"/>
                <w:b/>
                <w:bCs/>
                <w:color w:val="auto"/>
                <w:sz w:val="21"/>
                <w:szCs w:val="21"/>
              </w:rPr>
            </w:pPr>
          </w:p>
        </w:tc>
        <w:tc>
          <w:tcPr>
            <w:tcW w:w="1018" w:type="pct"/>
            <w:vMerge w:val="continue"/>
            <w:tcBorders>
              <w:tl2br w:val="nil"/>
              <w:tr2bl w:val="nil"/>
            </w:tcBorders>
            <w:vAlign w:val="center"/>
          </w:tcPr>
          <w:p w14:paraId="5E6261D1">
            <w:pPr>
              <w:pStyle w:val="140"/>
              <w:adjustRightInd w:val="0"/>
              <w:snapToGrid w:val="0"/>
              <w:spacing w:line="240" w:lineRule="auto"/>
              <w:ind w:left="0" w:leftChars="0" w:firstLine="0" w:firstLineChars="0"/>
              <w:rPr>
                <w:rFonts w:ascii="Times New Roman" w:hAnsi="Times New Roman" w:cs="Times New Roman"/>
                <w:b/>
                <w:bCs/>
                <w:color w:val="auto"/>
                <w:sz w:val="21"/>
                <w:szCs w:val="21"/>
              </w:rPr>
            </w:pPr>
          </w:p>
        </w:tc>
        <w:tc>
          <w:tcPr>
            <w:tcW w:w="436" w:type="pct"/>
            <w:vMerge w:val="continue"/>
            <w:tcBorders>
              <w:tl2br w:val="nil"/>
              <w:tr2bl w:val="nil"/>
            </w:tcBorders>
            <w:vAlign w:val="center"/>
          </w:tcPr>
          <w:p w14:paraId="7F4F80D0">
            <w:pPr>
              <w:pStyle w:val="140"/>
              <w:adjustRightInd w:val="0"/>
              <w:snapToGrid w:val="0"/>
              <w:spacing w:line="240" w:lineRule="auto"/>
              <w:ind w:left="0" w:leftChars="0" w:firstLine="0" w:firstLineChars="0"/>
              <w:rPr>
                <w:rFonts w:ascii="Times New Roman" w:hAnsi="Times New Roman" w:cs="Times New Roman"/>
                <w:b/>
                <w:bCs/>
                <w:color w:val="auto"/>
                <w:sz w:val="21"/>
                <w:szCs w:val="21"/>
              </w:rPr>
            </w:pPr>
          </w:p>
        </w:tc>
        <w:tc>
          <w:tcPr>
            <w:tcW w:w="582" w:type="pct"/>
            <w:tcBorders>
              <w:tl2br w:val="nil"/>
              <w:tr2bl w:val="nil"/>
            </w:tcBorders>
            <w:vAlign w:val="center"/>
          </w:tcPr>
          <w:p w14:paraId="280DAF5D">
            <w:pPr>
              <w:pStyle w:val="140"/>
              <w:adjustRightInd w:val="0"/>
              <w:snapToGrid w:val="0"/>
              <w:spacing w:line="240" w:lineRule="auto"/>
              <w:ind w:left="0" w:leftChars="0" w:firstLine="0" w:firstLineChars="0"/>
              <w:rPr>
                <w:rFonts w:hint="eastAsia" w:ascii="Times New Roman"/>
                <w:b/>
                <w:bCs/>
                <w:color w:val="auto"/>
                <w:sz w:val="21"/>
                <w:lang w:val="zh-CN"/>
              </w:rPr>
            </w:pPr>
            <w:r>
              <w:rPr>
                <w:rFonts w:hint="eastAsia" w:ascii="Times New Roman"/>
                <w:b/>
                <w:bCs/>
                <w:color w:val="auto"/>
                <w:sz w:val="21"/>
                <w:lang w:val="zh-CN" w:eastAsia="zh-CN"/>
              </w:rPr>
              <w:t>物料量</w:t>
            </w:r>
          </w:p>
        </w:tc>
        <w:tc>
          <w:tcPr>
            <w:tcW w:w="873" w:type="pct"/>
            <w:tcBorders>
              <w:tl2br w:val="nil"/>
              <w:tr2bl w:val="nil"/>
            </w:tcBorders>
            <w:vAlign w:val="center"/>
          </w:tcPr>
          <w:p w14:paraId="300D49BE">
            <w:pPr>
              <w:pStyle w:val="140"/>
              <w:adjustRightInd w:val="0"/>
              <w:snapToGrid w:val="0"/>
              <w:spacing w:line="240" w:lineRule="auto"/>
              <w:ind w:left="0" w:leftChars="0" w:firstLine="0" w:firstLineChars="0"/>
              <w:rPr>
                <w:rFonts w:hint="eastAsia" w:ascii="Times New Roman"/>
                <w:b/>
                <w:bCs/>
                <w:color w:val="auto"/>
                <w:sz w:val="21"/>
                <w:lang w:val="zh-CN"/>
              </w:rPr>
            </w:pPr>
            <w:r>
              <w:rPr>
                <w:rFonts w:hint="eastAsia" w:ascii="Times New Roman"/>
                <w:b/>
                <w:bCs/>
                <w:color w:val="auto"/>
                <w:sz w:val="21"/>
                <w:lang w:val="zh-CN" w:eastAsia="zh-CN"/>
              </w:rPr>
              <w:t>其中氟化氢量</w:t>
            </w:r>
          </w:p>
        </w:tc>
        <w:tc>
          <w:tcPr>
            <w:tcW w:w="746" w:type="pct"/>
            <w:tcBorders>
              <w:tl2br w:val="nil"/>
              <w:tr2bl w:val="nil"/>
            </w:tcBorders>
            <w:vAlign w:val="center"/>
          </w:tcPr>
          <w:p w14:paraId="08D2D864">
            <w:pPr>
              <w:pStyle w:val="140"/>
              <w:adjustRightInd w:val="0"/>
              <w:snapToGrid w:val="0"/>
              <w:spacing w:line="240" w:lineRule="auto"/>
              <w:ind w:left="0" w:leftChars="0" w:firstLine="0" w:firstLineChars="0"/>
              <w:rPr>
                <w:rFonts w:hint="eastAsia" w:ascii="Times New Roman"/>
                <w:b/>
                <w:bCs/>
                <w:color w:val="auto"/>
                <w:sz w:val="21"/>
                <w:lang w:val="zh-CN"/>
              </w:rPr>
            </w:pPr>
            <w:r>
              <w:rPr>
                <w:rFonts w:hint="eastAsia" w:ascii="Times New Roman"/>
                <w:b/>
                <w:bCs/>
                <w:color w:val="auto"/>
                <w:sz w:val="21"/>
                <w:lang w:val="zh-CN" w:eastAsia="zh-CN"/>
              </w:rPr>
              <w:t>其中氯化氢量</w:t>
            </w:r>
          </w:p>
        </w:tc>
        <w:tc>
          <w:tcPr>
            <w:tcW w:w="908" w:type="pct"/>
            <w:vMerge w:val="continue"/>
            <w:tcBorders>
              <w:tl2br w:val="nil"/>
              <w:tr2bl w:val="nil"/>
            </w:tcBorders>
            <w:vAlign w:val="center"/>
          </w:tcPr>
          <w:p w14:paraId="1BC42A0E">
            <w:pPr>
              <w:pStyle w:val="140"/>
              <w:adjustRightInd w:val="0"/>
              <w:snapToGrid w:val="0"/>
              <w:spacing w:line="240" w:lineRule="auto"/>
              <w:ind w:left="0" w:leftChars="0" w:firstLine="0" w:firstLineChars="0"/>
              <w:rPr>
                <w:rFonts w:hint="eastAsia" w:ascii="Times New Roman"/>
                <w:b/>
                <w:bCs/>
                <w:color w:val="auto"/>
                <w:sz w:val="21"/>
                <w:lang w:val="zh-CN"/>
              </w:rPr>
            </w:pPr>
          </w:p>
        </w:tc>
      </w:tr>
      <w:tr w14:paraId="4E4925C8">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0" w:type="dxa"/>
            <w:bottom w:w="0" w:type="dxa"/>
            <w:right w:w="0" w:type="dxa"/>
          </w:tblCellMar>
        </w:tblPrEx>
        <w:trPr>
          <w:trHeight w:val="283" w:hRule="atLeast"/>
          <w:jc w:val="center"/>
        </w:trPr>
        <w:tc>
          <w:tcPr>
            <w:tcW w:w="437" w:type="pct"/>
            <w:vMerge w:val="restart"/>
            <w:tcBorders>
              <w:tl2br w:val="nil"/>
              <w:tr2bl w:val="nil"/>
            </w:tcBorders>
            <w:vAlign w:val="center"/>
          </w:tcPr>
          <w:p w14:paraId="0463BFA6">
            <w:pPr>
              <w:pStyle w:val="140"/>
              <w:adjustRightInd w:val="0"/>
              <w:snapToGrid w:val="0"/>
              <w:ind w:left="0" w:leftChars="0" w:firstLine="0" w:firstLineChars="0"/>
              <w:rPr>
                <w:rFonts w:ascii="Times New Roman" w:hAnsi="Times New Roman" w:cs="Times New Roman"/>
                <w:color w:val="auto"/>
                <w:sz w:val="21"/>
                <w:szCs w:val="21"/>
              </w:rPr>
            </w:pPr>
            <w:r>
              <w:rPr>
                <w:rFonts w:ascii="Times New Roman" w:hAnsi="Times New Roman" w:cs="Times New Roman"/>
                <w:color w:val="auto"/>
                <w:sz w:val="21"/>
                <w:szCs w:val="21"/>
              </w:rPr>
              <w:t>原料</w:t>
            </w:r>
          </w:p>
        </w:tc>
        <w:tc>
          <w:tcPr>
            <w:tcW w:w="1018" w:type="pct"/>
            <w:tcBorders>
              <w:tl2br w:val="nil"/>
              <w:tr2bl w:val="nil"/>
            </w:tcBorders>
            <w:vAlign w:val="center"/>
          </w:tcPr>
          <w:p w14:paraId="01BBF164">
            <w:pPr>
              <w:adjustRightInd w:val="0"/>
              <w:snapToGrid w:val="0"/>
              <w:jc w:val="center"/>
              <w:rPr>
                <w:rFonts w:ascii="Times New Roman"/>
                <w:color w:val="auto"/>
                <w:sz w:val="21"/>
                <w:lang w:eastAsia="zh-CN"/>
              </w:rPr>
            </w:pPr>
            <w:r>
              <w:rPr>
                <w:rFonts w:hint="eastAsia" w:ascii="Times New Roman"/>
                <w:color w:val="auto"/>
                <w:sz w:val="21"/>
                <w:lang w:eastAsia="zh-CN"/>
              </w:rPr>
              <w:t>无水氟化氢</w:t>
            </w:r>
          </w:p>
        </w:tc>
        <w:tc>
          <w:tcPr>
            <w:tcW w:w="436" w:type="pct"/>
            <w:tcBorders>
              <w:tl2br w:val="nil"/>
              <w:tr2bl w:val="nil"/>
            </w:tcBorders>
            <w:vAlign w:val="center"/>
          </w:tcPr>
          <w:p w14:paraId="222831A4">
            <w:pPr>
              <w:adjustRightInd w:val="0"/>
              <w:snapToGrid w:val="0"/>
              <w:jc w:val="center"/>
              <w:rPr>
                <w:rFonts w:ascii="Times New Roman"/>
                <w:color w:val="auto"/>
                <w:sz w:val="21"/>
                <w:lang w:eastAsia="zh-CN"/>
              </w:rPr>
            </w:pPr>
            <w:r>
              <w:rPr>
                <w:rFonts w:hint="eastAsia" w:ascii="Times New Roman"/>
                <w:color w:val="auto"/>
                <w:sz w:val="21"/>
                <w:lang w:eastAsia="zh-CN"/>
              </w:rPr>
              <w:t>液态</w:t>
            </w:r>
          </w:p>
        </w:tc>
        <w:tc>
          <w:tcPr>
            <w:tcW w:w="582" w:type="pct"/>
            <w:tcBorders>
              <w:tl2br w:val="nil"/>
              <w:tr2bl w:val="nil"/>
            </w:tcBorders>
            <w:vAlign w:val="center"/>
          </w:tcPr>
          <w:p w14:paraId="7B052FC7">
            <w:pPr>
              <w:adjustRightInd w:val="0"/>
              <w:snapToGrid w:val="0"/>
              <w:jc w:val="center"/>
              <w:rPr>
                <w:rFonts w:ascii="Times New Roman"/>
                <w:color w:val="auto"/>
                <w:sz w:val="21"/>
                <w:lang w:eastAsia="zh-CN"/>
              </w:rPr>
            </w:pPr>
            <w:r>
              <w:rPr>
                <w:rFonts w:hint="eastAsia" w:ascii="Times New Roman"/>
                <w:color w:val="auto"/>
                <w:sz w:val="21"/>
                <w:lang w:eastAsia="zh-CN"/>
              </w:rPr>
              <w:t>260</w:t>
            </w:r>
          </w:p>
        </w:tc>
        <w:tc>
          <w:tcPr>
            <w:tcW w:w="873" w:type="pct"/>
            <w:tcBorders>
              <w:tl2br w:val="nil"/>
              <w:tr2bl w:val="nil"/>
            </w:tcBorders>
            <w:vAlign w:val="center"/>
          </w:tcPr>
          <w:p w14:paraId="14A8C7BE">
            <w:pPr>
              <w:adjustRightInd w:val="0"/>
              <w:snapToGrid w:val="0"/>
              <w:jc w:val="center"/>
              <w:rPr>
                <w:rFonts w:ascii="Times New Roman"/>
                <w:color w:val="auto"/>
                <w:sz w:val="21"/>
                <w:lang w:eastAsia="zh-CN"/>
              </w:rPr>
            </w:pPr>
            <w:r>
              <w:rPr>
                <w:rFonts w:hint="eastAsia" w:ascii="Times New Roman"/>
                <w:color w:val="auto"/>
                <w:sz w:val="21"/>
                <w:lang w:eastAsia="zh-CN"/>
              </w:rPr>
              <w:t>260</w:t>
            </w:r>
          </w:p>
        </w:tc>
        <w:tc>
          <w:tcPr>
            <w:tcW w:w="746" w:type="pct"/>
            <w:tcBorders>
              <w:tl2br w:val="nil"/>
              <w:tr2bl w:val="nil"/>
            </w:tcBorders>
            <w:vAlign w:val="center"/>
          </w:tcPr>
          <w:p w14:paraId="7FB12983">
            <w:pPr>
              <w:adjustRightInd w:val="0"/>
              <w:snapToGrid w:val="0"/>
              <w:jc w:val="center"/>
              <w:rPr>
                <w:rFonts w:ascii="Times New Roman"/>
                <w:color w:val="auto"/>
                <w:sz w:val="21"/>
                <w:lang w:eastAsia="zh-CN"/>
              </w:rPr>
            </w:pPr>
            <w:r>
              <w:rPr>
                <w:rFonts w:hint="eastAsia" w:ascii="Times New Roman"/>
                <w:color w:val="auto"/>
                <w:sz w:val="21"/>
                <w:lang w:eastAsia="zh-CN"/>
              </w:rPr>
              <w:t>/</w:t>
            </w:r>
          </w:p>
        </w:tc>
        <w:tc>
          <w:tcPr>
            <w:tcW w:w="908" w:type="pct"/>
            <w:tcBorders>
              <w:tl2br w:val="nil"/>
              <w:tr2bl w:val="nil"/>
            </w:tcBorders>
            <w:vAlign w:val="center"/>
          </w:tcPr>
          <w:p w14:paraId="1106D5EA">
            <w:pPr>
              <w:adjustRightInd w:val="0"/>
              <w:snapToGrid w:val="0"/>
              <w:jc w:val="center"/>
              <w:rPr>
                <w:rFonts w:ascii="Times New Roman"/>
                <w:color w:val="auto"/>
                <w:sz w:val="21"/>
                <w:lang w:eastAsia="zh-CN"/>
              </w:rPr>
            </w:pPr>
            <w:r>
              <w:rPr>
                <w:rFonts w:hint="eastAsia" w:ascii="Times New Roman"/>
                <w:color w:val="auto"/>
                <w:sz w:val="21"/>
                <w:lang w:eastAsia="zh-CN"/>
              </w:rPr>
              <w:t>无水氟化氢库房</w:t>
            </w:r>
          </w:p>
        </w:tc>
      </w:tr>
      <w:tr w14:paraId="752B71F8">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0" w:type="dxa"/>
            <w:bottom w:w="0" w:type="dxa"/>
            <w:right w:w="0" w:type="dxa"/>
          </w:tblCellMar>
        </w:tblPrEx>
        <w:trPr>
          <w:trHeight w:val="283" w:hRule="atLeast"/>
          <w:jc w:val="center"/>
        </w:trPr>
        <w:tc>
          <w:tcPr>
            <w:tcW w:w="437" w:type="pct"/>
            <w:vMerge w:val="continue"/>
            <w:tcBorders>
              <w:tl2br w:val="nil"/>
              <w:tr2bl w:val="nil"/>
            </w:tcBorders>
            <w:vAlign w:val="center"/>
          </w:tcPr>
          <w:p w14:paraId="673B5733">
            <w:pPr>
              <w:pStyle w:val="140"/>
              <w:adjustRightInd w:val="0"/>
              <w:snapToGrid w:val="0"/>
              <w:ind w:left="0" w:leftChars="0" w:firstLine="0" w:firstLineChars="0"/>
              <w:rPr>
                <w:rFonts w:ascii="Times New Roman" w:hAnsi="Times New Roman" w:cs="Times New Roman"/>
                <w:color w:val="auto"/>
                <w:sz w:val="21"/>
                <w:szCs w:val="21"/>
                <w:lang w:eastAsia="zh-CN"/>
              </w:rPr>
            </w:pPr>
          </w:p>
        </w:tc>
        <w:tc>
          <w:tcPr>
            <w:tcW w:w="1018" w:type="pct"/>
            <w:tcBorders>
              <w:tl2br w:val="nil"/>
              <w:tr2bl w:val="nil"/>
            </w:tcBorders>
            <w:vAlign w:val="center"/>
          </w:tcPr>
          <w:p w14:paraId="6A8D2ECB">
            <w:pPr>
              <w:adjustRightInd w:val="0"/>
              <w:snapToGrid w:val="0"/>
              <w:jc w:val="center"/>
              <w:rPr>
                <w:rFonts w:ascii="Times New Roman"/>
                <w:color w:val="auto"/>
                <w:sz w:val="21"/>
                <w:lang w:eastAsia="zh-CN"/>
              </w:rPr>
            </w:pPr>
            <w:r>
              <w:rPr>
                <w:rFonts w:ascii="Times New Roman"/>
                <w:color w:val="auto"/>
                <w:sz w:val="21"/>
                <w:lang w:eastAsia="zh-CN"/>
              </w:rPr>
              <w:t>15%氟化氢水溶液</w:t>
            </w:r>
          </w:p>
        </w:tc>
        <w:tc>
          <w:tcPr>
            <w:tcW w:w="436" w:type="pct"/>
            <w:tcBorders>
              <w:tl2br w:val="nil"/>
              <w:tr2bl w:val="nil"/>
            </w:tcBorders>
            <w:vAlign w:val="center"/>
          </w:tcPr>
          <w:p w14:paraId="454917D5">
            <w:pPr>
              <w:adjustRightInd w:val="0"/>
              <w:snapToGrid w:val="0"/>
              <w:jc w:val="center"/>
              <w:rPr>
                <w:rFonts w:ascii="Times New Roman"/>
                <w:color w:val="auto"/>
                <w:sz w:val="21"/>
                <w:lang w:eastAsia="zh-CN"/>
              </w:rPr>
            </w:pPr>
            <w:r>
              <w:rPr>
                <w:rFonts w:hint="eastAsia" w:ascii="Times New Roman"/>
                <w:color w:val="auto"/>
                <w:sz w:val="21"/>
                <w:lang w:eastAsia="zh-CN"/>
              </w:rPr>
              <w:t>液态</w:t>
            </w:r>
          </w:p>
        </w:tc>
        <w:tc>
          <w:tcPr>
            <w:tcW w:w="582" w:type="pct"/>
            <w:tcBorders>
              <w:tl2br w:val="nil"/>
              <w:tr2bl w:val="nil"/>
            </w:tcBorders>
            <w:vAlign w:val="center"/>
          </w:tcPr>
          <w:p w14:paraId="20242A69">
            <w:pPr>
              <w:adjustRightInd w:val="0"/>
              <w:snapToGrid w:val="0"/>
              <w:jc w:val="center"/>
              <w:rPr>
                <w:rFonts w:ascii="Times New Roman"/>
                <w:color w:val="auto"/>
                <w:sz w:val="21"/>
                <w:lang w:eastAsia="zh-CN"/>
              </w:rPr>
            </w:pPr>
            <w:r>
              <w:rPr>
                <w:rFonts w:hint="eastAsia" w:ascii="Times New Roman"/>
                <w:color w:val="auto"/>
                <w:sz w:val="21"/>
                <w:lang w:eastAsia="zh-CN"/>
              </w:rPr>
              <w:t>1874</w:t>
            </w:r>
          </w:p>
        </w:tc>
        <w:tc>
          <w:tcPr>
            <w:tcW w:w="873" w:type="pct"/>
            <w:tcBorders>
              <w:tl2br w:val="nil"/>
              <w:tr2bl w:val="nil"/>
            </w:tcBorders>
            <w:vAlign w:val="center"/>
          </w:tcPr>
          <w:p w14:paraId="62A1B472">
            <w:pPr>
              <w:adjustRightInd w:val="0"/>
              <w:snapToGrid w:val="0"/>
              <w:jc w:val="center"/>
              <w:rPr>
                <w:rFonts w:ascii="Times New Roman" w:hAnsi="Times New Roman" w:cs="Times New Roman"/>
                <w:bCs/>
                <w:color w:val="auto"/>
                <w:sz w:val="21"/>
                <w:lang w:eastAsia="zh-CN"/>
              </w:rPr>
            </w:pPr>
            <w:r>
              <w:rPr>
                <w:rFonts w:hint="eastAsia" w:ascii="Times New Roman" w:hAnsi="Times New Roman" w:cs="Times New Roman"/>
                <w:bCs/>
                <w:color w:val="auto"/>
                <w:sz w:val="21"/>
                <w:lang w:eastAsia="zh-CN"/>
              </w:rPr>
              <w:t>286.722</w:t>
            </w:r>
          </w:p>
        </w:tc>
        <w:tc>
          <w:tcPr>
            <w:tcW w:w="746" w:type="pct"/>
            <w:tcBorders>
              <w:tl2br w:val="nil"/>
              <w:tr2bl w:val="nil"/>
            </w:tcBorders>
            <w:vAlign w:val="center"/>
          </w:tcPr>
          <w:p w14:paraId="70F99AB2">
            <w:pPr>
              <w:adjustRightInd w:val="0"/>
              <w:snapToGrid w:val="0"/>
              <w:jc w:val="center"/>
              <w:rPr>
                <w:rFonts w:ascii="Times New Roman" w:hAnsi="Times New Roman" w:cs="Times New Roman"/>
                <w:bCs/>
                <w:color w:val="auto"/>
                <w:sz w:val="21"/>
                <w:lang w:eastAsia="zh-CN"/>
              </w:rPr>
            </w:pPr>
            <w:r>
              <w:rPr>
                <w:rFonts w:hint="eastAsia" w:ascii="Times New Roman" w:hAnsi="Times New Roman" w:cs="Times New Roman"/>
                <w:bCs/>
                <w:color w:val="auto"/>
                <w:sz w:val="21"/>
                <w:lang w:eastAsia="zh-CN"/>
              </w:rPr>
              <w:t>14.992</w:t>
            </w:r>
          </w:p>
        </w:tc>
        <w:tc>
          <w:tcPr>
            <w:tcW w:w="908" w:type="pct"/>
            <w:tcBorders>
              <w:tl2br w:val="nil"/>
              <w:tr2bl w:val="nil"/>
            </w:tcBorders>
            <w:vAlign w:val="center"/>
          </w:tcPr>
          <w:p w14:paraId="267BC46E">
            <w:pPr>
              <w:adjustRightInd w:val="0"/>
              <w:snapToGrid w:val="0"/>
              <w:jc w:val="center"/>
              <w:rPr>
                <w:rFonts w:ascii="Times New Roman"/>
                <w:color w:val="auto"/>
                <w:sz w:val="21"/>
                <w:lang w:eastAsia="zh-CN"/>
              </w:rPr>
            </w:pPr>
            <w:r>
              <w:rPr>
                <w:rFonts w:hint="eastAsia" w:ascii="Times New Roman" w:hAnsi="Times New Roman" w:cs="Times New Roman"/>
                <w:bCs/>
                <w:color w:val="auto"/>
                <w:sz w:val="21"/>
                <w:lang w:eastAsia="zh-CN"/>
              </w:rPr>
              <w:t>原料及产品罐区</w:t>
            </w:r>
          </w:p>
        </w:tc>
      </w:tr>
      <w:tr w14:paraId="5524E951">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0" w:type="dxa"/>
            <w:bottom w:w="0" w:type="dxa"/>
            <w:right w:w="0" w:type="dxa"/>
          </w:tblCellMar>
        </w:tblPrEx>
        <w:trPr>
          <w:trHeight w:val="283" w:hRule="atLeast"/>
          <w:jc w:val="center"/>
        </w:trPr>
        <w:tc>
          <w:tcPr>
            <w:tcW w:w="437" w:type="pct"/>
            <w:vMerge w:val="continue"/>
            <w:tcBorders>
              <w:tl2br w:val="nil"/>
              <w:tr2bl w:val="nil"/>
            </w:tcBorders>
            <w:vAlign w:val="center"/>
          </w:tcPr>
          <w:p w14:paraId="53F4FD10">
            <w:pPr>
              <w:pStyle w:val="140"/>
              <w:adjustRightInd w:val="0"/>
              <w:snapToGrid w:val="0"/>
              <w:ind w:left="0" w:leftChars="0" w:firstLine="0" w:firstLineChars="0"/>
              <w:rPr>
                <w:rFonts w:ascii="Times New Roman" w:hAnsi="Times New Roman" w:cs="Times New Roman"/>
                <w:color w:val="auto"/>
                <w:sz w:val="21"/>
                <w:szCs w:val="21"/>
                <w:lang w:eastAsia="zh-CN"/>
              </w:rPr>
            </w:pPr>
          </w:p>
        </w:tc>
        <w:tc>
          <w:tcPr>
            <w:tcW w:w="1018" w:type="pct"/>
            <w:tcBorders>
              <w:tl2br w:val="nil"/>
              <w:tr2bl w:val="nil"/>
            </w:tcBorders>
            <w:vAlign w:val="center"/>
          </w:tcPr>
          <w:p w14:paraId="789D2B92">
            <w:pPr>
              <w:adjustRightInd w:val="0"/>
              <w:snapToGrid w:val="0"/>
              <w:jc w:val="center"/>
              <w:rPr>
                <w:rFonts w:ascii="Times New Roman"/>
                <w:color w:val="auto"/>
                <w:sz w:val="21"/>
                <w:lang w:eastAsia="zh-CN"/>
              </w:rPr>
            </w:pPr>
            <w:r>
              <w:rPr>
                <w:rFonts w:ascii="Times New Roman"/>
                <w:color w:val="auto"/>
                <w:sz w:val="21"/>
                <w:lang w:eastAsia="zh-CN"/>
              </w:rPr>
              <w:t>31%盐酸储罐</w:t>
            </w:r>
          </w:p>
        </w:tc>
        <w:tc>
          <w:tcPr>
            <w:tcW w:w="436" w:type="pct"/>
            <w:tcBorders>
              <w:tl2br w:val="nil"/>
              <w:tr2bl w:val="nil"/>
            </w:tcBorders>
            <w:vAlign w:val="center"/>
          </w:tcPr>
          <w:p w14:paraId="409D7B4C">
            <w:pPr>
              <w:adjustRightInd w:val="0"/>
              <w:snapToGrid w:val="0"/>
              <w:jc w:val="center"/>
              <w:rPr>
                <w:rFonts w:ascii="Times New Roman"/>
                <w:color w:val="auto"/>
                <w:sz w:val="21"/>
                <w:lang w:eastAsia="zh-CN"/>
              </w:rPr>
            </w:pPr>
            <w:r>
              <w:rPr>
                <w:rFonts w:hint="eastAsia" w:ascii="Times New Roman"/>
                <w:color w:val="auto"/>
                <w:sz w:val="21"/>
                <w:lang w:eastAsia="zh-CN"/>
              </w:rPr>
              <w:t>液态</w:t>
            </w:r>
          </w:p>
        </w:tc>
        <w:tc>
          <w:tcPr>
            <w:tcW w:w="582" w:type="pct"/>
            <w:tcBorders>
              <w:tl2br w:val="nil"/>
              <w:tr2bl w:val="nil"/>
            </w:tcBorders>
            <w:vAlign w:val="center"/>
          </w:tcPr>
          <w:p w14:paraId="748FE4CE">
            <w:pPr>
              <w:adjustRightInd w:val="0"/>
              <w:snapToGrid w:val="0"/>
              <w:jc w:val="center"/>
              <w:rPr>
                <w:rFonts w:ascii="Times New Roman"/>
                <w:color w:val="auto"/>
                <w:sz w:val="21"/>
                <w:lang w:eastAsia="zh-CN"/>
              </w:rPr>
            </w:pPr>
            <w:r>
              <w:rPr>
                <w:rFonts w:hint="eastAsia" w:ascii="Times New Roman"/>
                <w:color w:val="auto"/>
                <w:sz w:val="21"/>
                <w:lang w:eastAsia="zh-CN"/>
              </w:rPr>
              <w:t>740</w:t>
            </w:r>
          </w:p>
        </w:tc>
        <w:tc>
          <w:tcPr>
            <w:tcW w:w="873" w:type="pct"/>
            <w:tcBorders>
              <w:tl2br w:val="nil"/>
              <w:tr2bl w:val="nil"/>
            </w:tcBorders>
            <w:vAlign w:val="center"/>
          </w:tcPr>
          <w:p w14:paraId="079ADBA6">
            <w:pPr>
              <w:adjustRightInd w:val="0"/>
              <w:snapToGrid w:val="0"/>
              <w:jc w:val="center"/>
              <w:rPr>
                <w:rFonts w:ascii="Times New Roman" w:hAnsi="Times New Roman" w:cs="Times New Roman"/>
                <w:bCs/>
                <w:color w:val="auto"/>
                <w:sz w:val="21"/>
                <w:lang w:eastAsia="zh-CN"/>
              </w:rPr>
            </w:pPr>
            <w:r>
              <w:rPr>
                <w:rFonts w:hint="eastAsia" w:ascii="Times New Roman" w:hAnsi="Times New Roman" w:cs="Times New Roman"/>
                <w:bCs/>
                <w:color w:val="auto"/>
                <w:sz w:val="21"/>
                <w:lang w:eastAsia="zh-CN"/>
              </w:rPr>
              <w:t>/</w:t>
            </w:r>
          </w:p>
        </w:tc>
        <w:tc>
          <w:tcPr>
            <w:tcW w:w="746" w:type="pct"/>
            <w:tcBorders>
              <w:tl2br w:val="nil"/>
              <w:tr2bl w:val="nil"/>
            </w:tcBorders>
            <w:vAlign w:val="center"/>
          </w:tcPr>
          <w:p w14:paraId="3C55A1C6">
            <w:pPr>
              <w:adjustRightInd w:val="0"/>
              <w:snapToGrid w:val="0"/>
              <w:jc w:val="center"/>
              <w:rPr>
                <w:rFonts w:ascii="Times New Roman" w:hAnsi="Times New Roman" w:cs="Times New Roman"/>
                <w:bCs/>
                <w:color w:val="auto"/>
                <w:sz w:val="21"/>
                <w:lang w:eastAsia="zh-CN"/>
              </w:rPr>
            </w:pPr>
            <w:r>
              <w:rPr>
                <w:rFonts w:hint="eastAsia" w:ascii="Times New Roman" w:hAnsi="Times New Roman" w:cs="Times New Roman"/>
                <w:bCs/>
                <w:color w:val="auto"/>
                <w:sz w:val="21"/>
                <w:lang w:eastAsia="zh-CN"/>
              </w:rPr>
              <w:t>229.4</w:t>
            </w:r>
          </w:p>
        </w:tc>
        <w:tc>
          <w:tcPr>
            <w:tcW w:w="908" w:type="pct"/>
            <w:tcBorders>
              <w:tl2br w:val="nil"/>
              <w:tr2bl w:val="nil"/>
            </w:tcBorders>
            <w:vAlign w:val="center"/>
          </w:tcPr>
          <w:p w14:paraId="4F4996A4">
            <w:pPr>
              <w:adjustRightInd w:val="0"/>
              <w:snapToGrid w:val="0"/>
              <w:jc w:val="center"/>
              <w:rPr>
                <w:rFonts w:ascii="Times New Roman"/>
                <w:color w:val="auto"/>
                <w:sz w:val="21"/>
                <w:lang w:eastAsia="zh-CN"/>
              </w:rPr>
            </w:pPr>
            <w:r>
              <w:rPr>
                <w:rFonts w:hint="eastAsia" w:ascii="Times New Roman" w:hAnsi="Times New Roman" w:cs="Times New Roman"/>
                <w:bCs/>
                <w:color w:val="auto"/>
                <w:sz w:val="21"/>
                <w:lang w:eastAsia="zh-CN"/>
              </w:rPr>
              <w:t>原料及产品罐区</w:t>
            </w:r>
          </w:p>
        </w:tc>
      </w:tr>
      <w:tr w14:paraId="3ADCCB0F">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0" w:type="dxa"/>
            <w:bottom w:w="0" w:type="dxa"/>
            <w:right w:w="0" w:type="dxa"/>
          </w:tblCellMar>
        </w:tblPrEx>
        <w:trPr>
          <w:trHeight w:val="283" w:hRule="atLeast"/>
          <w:jc w:val="center"/>
        </w:trPr>
        <w:tc>
          <w:tcPr>
            <w:tcW w:w="437" w:type="pct"/>
            <w:vMerge w:val="restart"/>
            <w:tcBorders>
              <w:tl2br w:val="nil"/>
              <w:tr2bl w:val="nil"/>
            </w:tcBorders>
            <w:vAlign w:val="center"/>
          </w:tcPr>
          <w:p w14:paraId="2E287E88">
            <w:pPr>
              <w:pStyle w:val="140"/>
              <w:adjustRightInd w:val="0"/>
              <w:snapToGrid w:val="0"/>
              <w:ind w:left="0" w:leftChars="0" w:firstLine="0" w:firstLineChars="0"/>
              <w:rPr>
                <w:rFonts w:ascii="Times New Roman" w:hAnsi="Times New Roman" w:cs="Times New Roman"/>
                <w:color w:val="auto"/>
                <w:sz w:val="21"/>
                <w:szCs w:val="21"/>
                <w:lang w:eastAsia="zh-CN"/>
              </w:rPr>
            </w:pPr>
            <w:r>
              <w:rPr>
                <w:rFonts w:hint="eastAsia" w:ascii="Times New Roman" w:hAnsi="Times New Roman" w:cs="Times New Roman"/>
                <w:color w:val="auto"/>
                <w:sz w:val="21"/>
                <w:szCs w:val="21"/>
                <w:lang w:eastAsia="zh-CN"/>
              </w:rPr>
              <w:t>产品</w:t>
            </w:r>
          </w:p>
        </w:tc>
        <w:tc>
          <w:tcPr>
            <w:tcW w:w="1018" w:type="pct"/>
            <w:tcBorders>
              <w:tl2br w:val="nil"/>
              <w:tr2bl w:val="nil"/>
            </w:tcBorders>
            <w:vAlign w:val="center"/>
          </w:tcPr>
          <w:p w14:paraId="628AE2F9">
            <w:pPr>
              <w:adjustRightInd w:val="0"/>
              <w:snapToGrid w:val="0"/>
              <w:jc w:val="center"/>
              <w:rPr>
                <w:rFonts w:ascii="Times New Roman"/>
                <w:color w:val="auto"/>
                <w:sz w:val="21"/>
                <w:lang w:eastAsia="zh-CN"/>
              </w:rPr>
            </w:pPr>
            <w:r>
              <w:rPr>
                <w:rFonts w:hint="eastAsia" w:ascii="Times New Roman"/>
                <w:color w:val="auto"/>
                <w:sz w:val="21"/>
                <w:lang w:eastAsia="zh-CN"/>
              </w:rPr>
              <w:t>电子级氢氟酸</w:t>
            </w:r>
          </w:p>
        </w:tc>
        <w:tc>
          <w:tcPr>
            <w:tcW w:w="436" w:type="pct"/>
            <w:tcBorders>
              <w:tl2br w:val="nil"/>
              <w:tr2bl w:val="nil"/>
            </w:tcBorders>
            <w:vAlign w:val="center"/>
          </w:tcPr>
          <w:p w14:paraId="053253CF">
            <w:pPr>
              <w:adjustRightInd w:val="0"/>
              <w:snapToGrid w:val="0"/>
              <w:jc w:val="center"/>
              <w:rPr>
                <w:rFonts w:ascii="Times New Roman"/>
                <w:color w:val="auto"/>
                <w:sz w:val="21"/>
                <w:lang w:eastAsia="zh-CN"/>
              </w:rPr>
            </w:pPr>
            <w:r>
              <w:rPr>
                <w:rFonts w:hint="eastAsia" w:ascii="Times New Roman"/>
                <w:color w:val="auto"/>
                <w:sz w:val="21"/>
                <w:lang w:eastAsia="zh-CN"/>
              </w:rPr>
              <w:t>液态</w:t>
            </w:r>
          </w:p>
        </w:tc>
        <w:tc>
          <w:tcPr>
            <w:tcW w:w="582" w:type="pct"/>
            <w:tcBorders>
              <w:tl2br w:val="nil"/>
              <w:tr2bl w:val="nil"/>
            </w:tcBorders>
            <w:vAlign w:val="center"/>
          </w:tcPr>
          <w:p w14:paraId="76C5EE82">
            <w:pPr>
              <w:adjustRightInd w:val="0"/>
              <w:snapToGrid w:val="0"/>
              <w:jc w:val="center"/>
              <w:rPr>
                <w:rFonts w:ascii="Times New Roman"/>
                <w:color w:val="auto"/>
                <w:sz w:val="21"/>
                <w:lang w:eastAsia="zh-CN"/>
              </w:rPr>
            </w:pPr>
            <w:r>
              <w:rPr>
                <w:rFonts w:hint="eastAsia" w:ascii="Times New Roman"/>
                <w:color w:val="auto"/>
                <w:sz w:val="21"/>
                <w:lang w:eastAsia="zh-CN"/>
              </w:rPr>
              <w:t>275</w:t>
            </w:r>
          </w:p>
        </w:tc>
        <w:tc>
          <w:tcPr>
            <w:tcW w:w="873" w:type="pct"/>
            <w:tcBorders>
              <w:tl2br w:val="nil"/>
              <w:tr2bl w:val="nil"/>
            </w:tcBorders>
            <w:vAlign w:val="center"/>
          </w:tcPr>
          <w:p w14:paraId="3C192DA4">
            <w:pPr>
              <w:adjustRightInd w:val="0"/>
              <w:snapToGrid w:val="0"/>
              <w:jc w:val="center"/>
              <w:rPr>
                <w:rFonts w:ascii="Times New Roman" w:hAnsi="Times New Roman" w:cs="Times New Roman"/>
                <w:bCs/>
                <w:color w:val="auto"/>
                <w:sz w:val="21"/>
                <w:lang w:eastAsia="zh-CN"/>
              </w:rPr>
            </w:pPr>
            <w:r>
              <w:rPr>
                <w:rFonts w:hint="eastAsia" w:ascii="Times New Roman" w:hAnsi="Times New Roman" w:cs="Times New Roman"/>
                <w:bCs/>
                <w:color w:val="auto"/>
                <w:sz w:val="21"/>
                <w:lang w:eastAsia="zh-CN"/>
              </w:rPr>
              <w:t>134.75</w:t>
            </w:r>
          </w:p>
        </w:tc>
        <w:tc>
          <w:tcPr>
            <w:tcW w:w="746" w:type="pct"/>
            <w:tcBorders>
              <w:tl2br w:val="nil"/>
              <w:tr2bl w:val="nil"/>
            </w:tcBorders>
            <w:vAlign w:val="center"/>
          </w:tcPr>
          <w:p w14:paraId="7E0BC167">
            <w:pPr>
              <w:adjustRightInd w:val="0"/>
              <w:snapToGrid w:val="0"/>
              <w:jc w:val="center"/>
              <w:rPr>
                <w:rFonts w:ascii="Times New Roman" w:hAnsi="Times New Roman" w:cs="Times New Roman"/>
                <w:bCs/>
                <w:color w:val="auto"/>
                <w:sz w:val="21"/>
                <w:lang w:eastAsia="zh-CN"/>
              </w:rPr>
            </w:pPr>
            <w:r>
              <w:rPr>
                <w:rFonts w:hint="eastAsia" w:ascii="Times New Roman" w:hAnsi="Times New Roman" w:cs="Times New Roman"/>
                <w:bCs/>
                <w:color w:val="auto"/>
                <w:sz w:val="21"/>
                <w:lang w:eastAsia="zh-CN"/>
              </w:rPr>
              <w:t>/</w:t>
            </w:r>
          </w:p>
        </w:tc>
        <w:tc>
          <w:tcPr>
            <w:tcW w:w="908" w:type="pct"/>
            <w:vMerge w:val="restart"/>
            <w:tcBorders>
              <w:tl2br w:val="nil"/>
              <w:tr2bl w:val="nil"/>
            </w:tcBorders>
            <w:vAlign w:val="center"/>
          </w:tcPr>
          <w:p w14:paraId="225BE7EA">
            <w:pPr>
              <w:adjustRightInd w:val="0"/>
              <w:snapToGrid w:val="0"/>
              <w:jc w:val="center"/>
              <w:rPr>
                <w:rFonts w:ascii="Times New Roman"/>
                <w:color w:val="auto"/>
                <w:sz w:val="21"/>
                <w:lang w:eastAsia="zh-CN"/>
              </w:rPr>
            </w:pPr>
            <w:r>
              <w:rPr>
                <w:rFonts w:hint="eastAsia" w:ascii="Times New Roman" w:hAnsi="Times New Roman" w:cs="Times New Roman"/>
                <w:bCs/>
                <w:color w:val="auto"/>
                <w:sz w:val="21"/>
                <w:lang w:eastAsia="zh-CN"/>
              </w:rPr>
              <w:t>原料及产品罐区、丁类仓库</w:t>
            </w:r>
          </w:p>
        </w:tc>
      </w:tr>
      <w:tr w14:paraId="6251DD9B">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0" w:type="dxa"/>
            <w:bottom w:w="0" w:type="dxa"/>
            <w:right w:w="0" w:type="dxa"/>
          </w:tblCellMar>
        </w:tblPrEx>
        <w:trPr>
          <w:trHeight w:val="283" w:hRule="atLeast"/>
          <w:jc w:val="center"/>
        </w:trPr>
        <w:tc>
          <w:tcPr>
            <w:tcW w:w="437" w:type="pct"/>
            <w:vMerge w:val="continue"/>
            <w:tcBorders>
              <w:tl2br w:val="nil"/>
              <w:tr2bl w:val="nil"/>
            </w:tcBorders>
            <w:vAlign w:val="center"/>
          </w:tcPr>
          <w:p w14:paraId="75D4AFF4">
            <w:pPr>
              <w:pStyle w:val="140"/>
              <w:adjustRightInd w:val="0"/>
              <w:snapToGrid w:val="0"/>
              <w:ind w:left="0" w:leftChars="0" w:firstLine="0" w:firstLineChars="0"/>
              <w:rPr>
                <w:rFonts w:ascii="Times New Roman" w:hAnsi="Times New Roman" w:cs="Times New Roman"/>
                <w:color w:val="auto"/>
                <w:sz w:val="21"/>
                <w:szCs w:val="21"/>
                <w:lang w:eastAsia="zh-CN"/>
              </w:rPr>
            </w:pPr>
          </w:p>
        </w:tc>
        <w:tc>
          <w:tcPr>
            <w:tcW w:w="1018" w:type="pct"/>
            <w:tcBorders>
              <w:tl2br w:val="nil"/>
              <w:tr2bl w:val="nil"/>
            </w:tcBorders>
            <w:vAlign w:val="center"/>
          </w:tcPr>
          <w:p w14:paraId="7B6F1A2D">
            <w:pPr>
              <w:adjustRightInd w:val="0"/>
              <w:snapToGrid w:val="0"/>
              <w:jc w:val="center"/>
              <w:rPr>
                <w:rFonts w:ascii="Times New Roman"/>
                <w:color w:val="auto"/>
                <w:sz w:val="21"/>
                <w:lang w:eastAsia="zh-CN"/>
              </w:rPr>
            </w:pPr>
            <w:r>
              <w:rPr>
                <w:rFonts w:hint="eastAsia" w:ascii="Times New Roman"/>
                <w:color w:val="auto"/>
                <w:sz w:val="21"/>
                <w:lang w:eastAsia="zh-CN"/>
              </w:rPr>
              <w:t>化学纯氢氟酸</w:t>
            </w:r>
          </w:p>
        </w:tc>
        <w:tc>
          <w:tcPr>
            <w:tcW w:w="436" w:type="pct"/>
            <w:tcBorders>
              <w:tl2br w:val="nil"/>
              <w:tr2bl w:val="nil"/>
            </w:tcBorders>
            <w:vAlign w:val="center"/>
          </w:tcPr>
          <w:p w14:paraId="704C17F9">
            <w:pPr>
              <w:adjustRightInd w:val="0"/>
              <w:snapToGrid w:val="0"/>
              <w:jc w:val="center"/>
              <w:rPr>
                <w:rFonts w:ascii="Times New Roman"/>
                <w:color w:val="auto"/>
                <w:sz w:val="21"/>
                <w:lang w:eastAsia="zh-CN"/>
              </w:rPr>
            </w:pPr>
            <w:r>
              <w:rPr>
                <w:rFonts w:hint="eastAsia" w:ascii="Times New Roman"/>
                <w:color w:val="auto"/>
                <w:sz w:val="21"/>
                <w:lang w:eastAsia="zh-CN"/>
              </w:rPr>
              <w:t>液态</w:t>
            </w:r>
          </w:p>
        </w:tc>
        <w:tc>
          <w:tcPr>
            <w:tcW w:w="582" w:type="pct"/>
            <w:tcBorders>
              <w:tl2br w:val="nil"/>
              <w:tr2bl w:val="nil"/>
            </w:tcBorders>
            <w:vAlign w:val="center"/>
          </w:tcPr>
          <w:p w14:paraId="32408D64">
            <w:pPr>
              <w:adjustRightInd w:val="0"/>
              <w:snapToGrid w:val="0"/>
              <w:jc w:val="center"/>
              <w:rPr>
                <w:rFonts w:ascii="Times New Roman"/>
                <w:color w:val="auto"/>
                <w:sz w:val="21"/>
                <w:lang w:eastAsia="zh-CN"/>
              </w:rPr>
            </w:pPr>
            <w:r>
              <w:rPr>
                <w:rFonts w:hint="eastAsia" w:ascii="Times New Roman"/>
                <w:color w:val="auto"/>
                <w:sz w:val="21"/>
                <w:lang w:eastAsia="zh-CN"/>
              </w:rPr>
              <w:t>714</w:t>
            </w:r>
          </w:p>
        </w:tc>
        <w:tc>
          <w:tcPr>
            <w:tcW w:w="873" w:type="pct"/>
            <w:tcBorders>
              <w:tl2br w:val="nil"/>
              <w:tr2bl w:val="nil"/>
            </w:tcBorders>
            <w:vAlign w:val="center"/>
          </w:tcPr>
          <w:p w14:paraId="5D489AE8">
            <w:pPr>
              <w:adjustRightInd w:val="0"/>
              <w:snapToGrid w:val="0"/>
              <w:jc w:val="center"/>
              <w:rPr>
                <w:rFonts w:ascii="Times New Roman" w:hAnsi="Times New Roman" w:cs="Times New Roman"/>
                <w:bCs/>
                <w:color w:val="auto"/>
                <w:sz w:val="21"/>
                <w:lang w:eastAsia="zh-CN"/>
              </w:rPr>
            </w:pPr>
            <w:r>
              <w:rPr>
                <w:rFonts w:hint="eastAsia" w:ascii="Times New Roman" w:hAnsi="Times New Roman" w:cs="Times New Roman"/>
                <w:bCs/>
                <w:color w:val="auto"/>
                <w:sz w:val="21"/>
                <w:lang w:eastAsia="zh-CN"/>
              </w:rPr>
              <w:t>393.4</w:t>
            </w:r>
          </w:p>
        </w:tc>
        <w:tc>
          <w:tcPr>
            <w:tcW w:w="746" w:type="pct"/>
            <w:tcBorders>
              <w:tl2br w:val="nil"/>
              <w:tr2bl w:val="nil"/>
            </w:tcBorders>
            <w:vAlign w:val="center"/>
          </w:tcPr>
          <w:p w14:paraId="4D4F081A">
            <w:pPr>
              <w:adjustRightInd w:val="0"/>
              <w:snapToGrid w:val="0"/>
              <w:jc w:val="center"/>
              <w:rPr>
                <w:rFonts w:ascii="Times New Roman" w:hAnsi="Times New Roman" w:cs="Times New Roman"/>
                <w:bCs/>
                <w:color w:val="auto"/>
                <w:sz w:val="21"/>
                <w:lang w:eastAsia="zh-CN"/>
              </w:rPr>
            </w:pPr>
            <w:r>
              <w:rPr>
                <w:rFonts w:hint="eastAsia" w:ascii="Times New Roman" w:hAnsi="Times New Roman" w:cs="Times New Roman"/>
                <w:bCs/>
                <w:color w:val="auto"/>
                <w:sz w:val="21"/>
                <w:lang w:eastAsia="zh-CN"/>
              </w:rPr>
              <w:t>3.1</w:t>
            </w:r>
          </w:p>
        </w:tc>
        <w:tc>
          <w:tcPr>
            <w:tcW w:w="908" w:type="pct"/>
            <w:vMerge w:val="continue"/>
            <w:tcBorders>
              <w:tl2br w:val="nil"/>
              <w:tr2bl w:val="nil"/>
            </w:tcBorders>
            <w:vAlign w:val="center"/>
          </w:tcPr>
          <w:p w14:paraId="717CF863">
            <w:pPr>
              <w:adjustRightInd w:val="0"/>
              <w:snapToGrid w:val="0"/>
              <w:jc w:val="center"/>
              <w:rPr>
                <w:rFonts w:ascii="Times New Roman"/>
                <w:color w:val="auto"/>
                <w:sz w:val="21"/>
                <w:lang w:eastAsia="zh-CN"/>
              </w:rPr>
            </w:pPr>
          </w:p>
        </w:tc>
      </w:tr>
      <w:tr w14:paraId="40D6DF63">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0" w:type="dxa"/>
            <w:bottom w:w="0" w:type="dxa"/>
            <w:right w:w="0" w:type="dxa"/>
          </w:tblCellMar>
        </w:tblPrEx>
        <w:trPr>
          <w:trHeight w:val="283" w:hRule="atLeast"/>
          <w:jc w:val="center"/>
        </w:trPr>
        <w:tc>
          <w:tcPr>
            <w:tcW w:w="437" w:type="pct"/>
            <w:vMerge w:val="continue"/>
            <w:tcBorders>
              <w:tl2br w:val="nil"/>
              <w:tr2bl w:val="nil"/>
            </w:tcBorders>
            <w:vAlign w:val="center"/>
          </w:tcPr>
          <w:p w14:paraId="4D842445">
            <w:pPr>
              <w:pStyle w:val="140"/>
              <w:adjustRightInd w:val="0"/>
              <w:snapToGrid w:val="0"/>
              <w:ind w:left="0" w:leftChars="0" w:firstLine="0" w:firstLineChars="0"/>
              <w:rPr>
                <w:rFonts w:ascii="Times New Roman" w:hAnsi="Times New Roman" w:cs="Times New Roman"/>
                <w:color w:val="auto"/>
                <w:sz w:val="21"/>
                <w:szCs w:val="21"/>
                <w:lang w:eastAsia="zh-CN"/>
              </w:rPr>
            </w:pPr>
          </w:p>
        </w:tc>
        <w:tc>
          <w:tcPr>
            <w:tcW w:w="1018" w:type="pct"/>
            <w:tcBorders>
              <w:tl2br w:val="nil"/>
              <w:tr2bl w:val="nil"/>
            </w:tcBorders>
            <w:vAlign w:val="center"/>
          </w:tcPr>
          <w:p w14:paraId="61703997">
            <w:pPr>
              <w:adjustRightInd w:val="0"/>
              <w:snapToGrid w:val="0"/>
              <w:jc w:val="center"/>
              <w:rPr>
                <w:rFonts w:ascii="Times New Roman"/>
                <w:color w:val="auto"/>
                <w:sz w:val="21"/>
                <w:lang w:eastAsia="zh-CN"/>
              </w:rPr>
            </w:pPr>
            <w:r>
              <w:rPr>
                <w:rFonts w:hint="eastAsia" w:ascii="Times New Roman"/>
                <w:color w:val="auto"/>
                <w:sz w:val="21"/>
                <w:lang w:eastAsia="zh-CN"/>
              </w:rPr>
              <w:t>刻蚀液</w:t>
            </w:r>
          </w:p>
        </w:tc>
        <w:tc>
          <w:tcPr>
            <w:tcW w:w="436" w:type="pct"/>
            <w:tcBorders>
              <w:tl2br w:val="nil"/>
              <w:tr2bl w:val="nil"/>
            </w:tcBorders>
            <w:vAlign w:val="center"/>
          </w:tcPr>
          <w:p w14:paraId="295E3D7C">
            <w:pPr>
              <w:adjustRightInd w:val="0"/>
              <w:snapToGrid w:val="0"/>
              <w:jc w:val="center"/>
              <w:rPr>
                <w:rFonts w:ascii="Times New Roman"/>
                <w:color w:val="auto"/>
                <w:sz w:val="21"/>
                <w:lang w:eastAsia="zh-CN"/>
              </w:rPr>
            </w:pPr>
            <w:r>
              <w:rPr>
                <w:rFonts w:hint="eastAsia" w:ascii="Times New Roman"/>
                <w:color w:val="auto"/>
                <w:sz w:val="21"/>
                <w:lang w:eastAsia="zh-CN"/>
              </w:rPr>
              <w:t>液态</w:t>
            </w:r>
          </w:p>
        </w:tc>
        <w:tc>
          <w:tcPr>
            <w:tcW w:w="582" w:type="pct"/>
            <w:tcBorders>
              <w:tl2br w:val="nil"/>
              <w:tr2bl w:val="nil"/>
            </w:tcBorders>
            <w:vAlign w:val="center"/>
          </w:tcPr>
          <w:p w14:paraId="1F69798B">
            <w:pPr>
              <w:adjustRightInd w:val="0"/>
              <w:snapToGrid w:val="0"/>
              <w:jc w:val="center"/>
              <w:rPr>
                <w:rFonts w:ascii="Times New Roman"/>
                <w:color w:val="auto"/>
                <w:sz w:val="21"/>
                <w:lang w:eastAsia="zh-CN"/>
              </w:rPr>
            </w:pPr>
            <w:r>
              <w:rPr>
                <w:rFonts w:hint="eastAsia" w:ascii="Times New Roman"/>
                <w:color w:val="auto"/>
                <w:sz w:val="21"/>
                <w:lang w:eastAsia="zh-CN"/>
              </w:rPr>
              <w:t>1400</w:t>
            </w:r>
          </w:p>
        </w:tc>
        <w:tc>
          <w:tcPr>
            <w:tcW w:w="873" w:type="pct"/>
            <w:tcBorders>
              <w:tl2br w:val="nil"/>
              <w:tr2bl w:val="nil"/>
            </w:tcBorders>
            <w:vAlign w:val="center"/>
          </w:tcPr>
          <w:p w14:paraId="4BE936E6">
            <w:pPr>
              <w:adjustRightInd w:val="0"/>
              <w:snapToGrid w:val="0"/>
              <w:jc w:val="center"/>
              <w:rPr>
                <w:rFonts w:ascii="Times New Roman" w:hAnsi="Times New Roman" w:cs="Times New Roman"/>
                <w:bCs/>
                <w:color w:val="auto"/>
                <w:sz w:val="21"/>
                <w:lang w:eastAsia="zh-CN"/>
              </w:rPr>
            </w:pPr>
            <w:r>
              <w:rPr>
                <w:rFonts w:hint="eastAsia" w:ascii="Times New Roman" w:hAnsi="Times New Roman" w:cs="Times New Roman"/>
                <w:bCs/>
                <w:color w:val="auto"/>
                <w:sz w:val="21"/>
                <w:lang w:eastAsia="zh-CN"/>
              </w:rPr>
              <w:t>530.8</w:t>
            </w:r>
          </w:p>
        </w:tc>
        <w:tc>
          <w:tcPr>
            <w:tcW w:w="746" w:type="pct"/>
            <w:tcBorders>
              <w:tl2br w:val="nil"/>
              <w:tr2bl w:val="nil"/>
            </w:tcBorders>
            <w:vAlign w:val="center"/>
          </w:tcPr>
          <w:p w14:paraId="711A8613">
            <w:pPr>
              <w:adjustRightInd w:val="0"/>
              <w:snapToGrid w:val="0"/>
              <w:jc w:val="center"/>
              <w:rPr>
                <w:rFonts w:ascii="Times New Roman" w:hAnsi="Times New Roman" w:cs="Times New Roman"/>
                <w:bCs/>
                <w:color w:val="auto"/>
                <w:sz w:val="21"/>
                <w:lang w:eastAsia="zh-CN"/>
              </w:rPr>
            </w:pPr>
            <w:r>
              <w:rPr>
                <w:rFonts w:hint="eastAsia" w:ascii="Times New Roman" w:hAnsi="Times New Roman" w:cs="Times New Roman"/>
                <w:bCs/>
                <w:color w:val="auto"/>
                <w:sz w:val="21"/>
                <w:lang w:eastAsia="zh-CN"/>
              </w:rPr>
              <w:t>73.4</w:t>
            </w:r>
          </w:p>
        </w:tc>
        <w:tc>
          <w:tcPr>
            <w:tcW w:w="908" w:type="pct"/>
            <w:vMerge w:val="continue"/>
            <w:tcBorders>
              <w:tl2br w:val="nil"/>
              <w:tr2bl w:val="nil"/>
            </w:tcBorders>
            <w:vAlign w:val="center"/>
          </w:tcPr>
          <w:p w14:paraId="2C688584">
            <w:pPr>
              <w:adjustRightInd w:val="0"/>
              <w:snapToGrid w:val="0"/>
              <w:jc w:val="center"/>
              <w:rPr>
                <w:rFonts w:ascii="Times New Roman"/>
                <w:color w:val="auto"/>
                <w:sz w:val="21"/>
                <w:lang w:eastAsia="zh-CN"/>
              </w:rPr>
            </w:pPr>
          </w:p>
        </w:tc>
      </w:tr>
    </w:tbl>
    <w:p w14:paraId="1C6CEACE">
      <w:pPr>
        <w:spacing w:line="360" w:lineRule="auto"/>
        <w:ind w:firstLine="480" w:firstLineChars="200"/>
        <w:jc w:val="both"/>
        <w:rPr>
          <w:rFonts w:ascii="Times New Roman"/>
          <w:color w:val="auto"/>
          <w:szCs w:val="24"/>
          <w:lang w:eastAsia="zh-CN"/>
        </w:rPr>
      </w:pPr>
      <w:r>
        <w:rPr>
          <w:rFonts w:hint="eastAsia" w:ascii="Times New Roman"/>
          <w:color w:val="auto"/>
          <w:szCs w:val="24"/>
          <w:lang w:eastAsia="zh-CN"/>
        </w:rPr>
        <w:t>2、物质危险性识别</w:t>
      </w:r>
    </w:p>
    <w:p w14:paraId="19789E81">
      <w:pPr>
        <w:spacing w:line="360" w:lineRule="auto"/>
        <w:ind w:firstLine="480" w:firstLineChars="200"/>
        <w:jc w:val="both"/>
        <w:rPr>
          <w:rFonts w:ascii="Times New Roman"/>
          <w:color w:val="auto"/>
          <w:szCs w:val="24"/>
          <w:lang w:eastAsia="zh-CN"/>
        </w:rPr>
      </w:pPr>
      <w:r>
        <w:rPr>
          <w:rFonts w:hint="eastAsia" w:ascii="Times New Roman"/>
          <w:color w:val="auto"/>
          <w:szCs w:val="24"/>
          <w:lang w:eastAsia="zh-CN"/>
        </w:rPr>
        <w:t>现有工程涉及的危险物质主要为</w:t>
      </w:r>
      <w:r>
        <w:rPr>
          <w:rFonts w:ascii="Times New Roman"/>
          <w:color w:val="auto"/>
          <w:szCs w:val="24"/>
          <w:lang w:eastAsia="zh-CN"/>
        </w:rPr>
        <w:t>无水氟化氢、电子级氢氟酸</w:t>
      </w:r>
      <w:r>
        <w:rPr>
          <w:rFonts w:hint="eastAsia" w:ascii="Times New Roman"/>
          <w:color w:val="auto"/>
          <w:szCs w:val="24"/>
          <w:lang w:eastAsia="zh-CN"/>
        </w:rPr>
        <w:t>中的氟化氢，</w:t>
      </w:r>
      <w:r>
        <w:rPr>
          <w:rFonts w:ascii="Times New Roman"/>
          <w:color w:val="auto"/>
          <w:szCs w:val="24"/>
          <w:lang w:eastAsia="zh-CN"/>
        </w:rPr>
        <w:t>31%盐酸</w:t>
      </w:r>
      <w:r>
        <w:rPr>
          <w:rFonts w:hint="eastAsia" w:ascii="Times New Roman"/>
          <w:color w:val="auto"/>
          <w:szCs w:val="24"/>
          <w:lang w:eastAsia="zh-CN"/>
        </w:rPr>
        <w:t>中的氯化氢，</w:t>
      </w:r>
      <w:r>
        <w:rPr>
          <w:rFonts w:ascii="Times New Roman"/>
          <w:color w:val="auto"/>
          <w:szCs w:val="24"/>
          <w:lang w:eastAsia="zh-CN"/>
        </w:rPr>
        <w:t>15%氟化氢</w:t>
      </w:r>
      <w:r>
        <w:rPr>
          <w:rFonts w:hint="eastAsia" w:ascii="Times New Roman"/>
          <w:color w:val="auto"/>
          <w:szCs w:val="24"/>
          <w:lang w:eastAsia="zh-CN"/>
        </w:rPr>
        <w:t>水</w:t>
      </w:r>
      <w:r>
        <w:rPr>
          <w:rFonts w:ascii="Times New Roman"/>
          <w:color w:val="auto"/>
          <w:szCs w:val="24"/>
          <w:lang w:eastAsia="zh-CN"/>
        </w:rPr>
        <w:t>溶液、化学纯氢氟酸及刻蚀液</w:t>
      </w:r>
      <w:r>
        <w:rPr>
          <w:rFonts w:hint="eastAsia" w:ascii="Times New Roman"/>
          <w:color w:val="auto"/>
          <w:szCs w:val="24"/>
          <w:lang w:eastAsia="zh-CN"/>
        </w:rPr>
        <w:t>中的氟化氢、氯化氢，氟化氢、氯化氢危险性如下：</w:t>
      </w:r>
    </w:p>
    <w:p w14:paraId="43658125">
      <w:pPr>
        <w:spacing w:line="360" w:lineRule="auto"/>
        <w:jc w:val="center"/>
        <w:rPr>
          <w:rFonts w:ascii="Times New Roman"/>
          <w:b/>
          <w:bCs/>
          <w:color w:val="auto"/>
          <w:szCs w:val="24"/>
          <w:lang w:eastAsia="zh-CN"/>
        </w:rPr>
      </w:pPr>
      <w:r>
        <w:rPr>
          <w:rFonts w:hint="eastAsia" w:ascii="Times New Roman"/>
          <w:b/>
          <w:bCs/>
          <w:color w:val="auto"/>
          <w:szCs w:val="24"/>
          <w:lang w:eastAsia="zh-CN"/>
        </w:rPr>
        <w:t>表7.2-2 现有工程物质危险性一览表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Layout w:type="autofit"/>
        <w:tblCellMar>
          <w:top w:w="0" w:type="dxa"/>
          <w:left w:w="108" w:type="dxa"/>
          <w:bottom w:w="0" w:type="dxa"/>
          <w:right w:w="108" w:type="dxa"/>
        </w:tblCellMar>
      </w:tblPr>
      <w:tblGrid>
        <w:gridCol w:w="1134"/>
        <w:gridCol w:w="1158"/>
        <w:gridCol w:w="764"/>
        <w:gridCol w:w="766"/>
        <w:gridCol w:w="748"/>
        <w:gridCol w:w="743"/>
        <w:gridCol w:w="745"/>
        <w:gridCol w:w="743"/>
        <w:gridCol w:w="711"/>
        <w:gridCol w:w="2234"/>
      </w:tblGrid>
      <w:tr w14:paraId="2CAA66B6">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340" w:hRule="atLeast"/>
          <w:jc w:val="center"/>
        </w:trPr>
        <w:tc>
          <w:tcPr>
            <w:tcW w:w="582" w:type="pct"/>
            <w:vMerge w:val="restart"/>
            <w:tcBorders>
              <w:tl2br w:val="nil"/>
              <w:tr2bl w:val="nil"/>
            </w:tcBorders>
            <w:vAlign w:val="center"/>
          </w:tcPr>
          <w:p w14:paraId="47E13CBD">
            <w:pPr>
              <w:jc w:val="center"/>
              <w:rPr>
                <w:rFonts w:ascii="Times New Roman" w:hAnsi="Times New Roman" w:cs="Times New Roman"/>
                <w:b/>
                <w:bCs/>
                <w:color w:val="auto"/>
                <w:sz w:val="21"/>
              </w:rPr>
            </w:pPr>
            <w:r>
              <w:rPr>
                <w:rFonts w:ascii="Times New Roman" w:hAnsi="Times New Roman" w:cs="Times New Roman"/>
                <w:b/>
                <w:bCs/>
                <w:color w:val="auto"/>
                <w:sz w:val="21"/>
              </w:rPr>
              <w:t>物质名称</w:t>
            </w:r>
          </w:p>
        </w:tc>
        <w:tc>
          <w:tcPr>
            <w:tcW w:w="594" w:type="pct"/>
            <w:vMerge w:val="restart"/>
            <w:tcBorders>
              <w:tl2br w:val="nil"/>
              <w:tr2bl w:val="nil"/>
            </w:tcBorders>
            <w:vAlign w:val="center"/>
          </w:tcPr>
          <w:p w14:paraId="26E3FE32">
            <w:pPr>
              <w:jc w:val="center"/>
              <w:rPr>
                <w:rFonts w:ascii="Times New Roman" w:hAnsi="Times New Roman" w:cs="Times New Roman"/>
                <w:b/>
                <w:bCs/>
                <w:color w:val="auto"/>
                <w:sz w:val="21"/>
              </w:rPr>
            </w:pPr>
            <w:r>
              <w:rPr>
                <w:rFonts w:ascii="Times New Roman" w:hAnsi="Times New Roman" w:cs="Times New Roman"/>
                <w:b/>
                <w:bCs/>
                <w:color w:val="auto"/>
                <w:sz w:val="21"/>
              </w:rPr>
              <w:t>CAS号</w:t>
            </w:r>
          </w:p>
        </w:tc>
        <w:tc>
          <w:tcPr>
            <w:tcW w:w="392" w:type="pct"/>
            <w:vMerge w:val="restart"/>
            <w:tcBorders>
              <w:tl2br w:val="nil"/>
              <w:tr2bl w:val="nil"/>
            </w:tcBorders>
            <w:vAlign w:val="center"/>
          </w:tcPr>
          <w:p w14:paraId="139B8E59">
            <w:pPr>
              <w:jc w:val="center"/>
              <w:rPr>
                <w:rFonts w:ascii="Times New Roman" w:hAnsi="Times New Roman" w:cs="Times New Roman"/>
                <w:b/>
                <w:bCs/>
                <w:color w:val="auto"/>
                <w:sz w:val="21"/>
              </w:rPr>
            </w:pPr>
            <w:r>
              <w:rPr>
                <w:rFonts w:ascii="Times New Roman" w:hAnsi="Times New Roman" w:cs="Times New Roman"/>
                <w:b/>
                <w:bCs/>
                <w:color w:val="auto"/>
                <w:sz w:val="21"/>
              </w:rPr>
              <w:t>形态</w:t>
            </w:r>
          </w:p>
        </w:tc>
        <w:tc>
          <w:tcPr>
            <w:tcW w:w="393" w:type="pct"/>
            <w:vMerge w:val="restart"/>
            <w:tcBorders>
              <w:tl2br w:val="nil"/>
              <w:tr2bl w:val="nil"/>
            </w:tcBorders>
            <w:vAlign w:val="center"/>
          </w:tcPr>
          <w:p w14:paraId="51B09910">
            <w:pPr>
              <w:jc w:val="center"/>
              <w:rPr>
                <w:rFonts w:ascii="Times New Roman" w:hAnsi="Times New Roman" w:cs="Times New Roman"/>
                <w:b/>
                <w:bCs/>
                <w:color w:val="auto"/>
                <w:sz w:val="21"/>
              </w:rPr>
            </w:pPr>
            <w:r>
              <w:rPr>
                <w:rFonts w:ascii="Times New Roman" w:hAnsi="Times New Roman" w:cs="Times New Roman"/>
                <w:b/>
                <w:bCs/>
                <w:color w:val="auto"/>
                <w:sz w:val="21"/>
              </w:rPr>
              <w:t>闪点</w:t>
            </w:r>
          </w:p>
          <w:p w14:paraId="7EECE582">
            <w:pPr>
              <w:jc w:val="center"/>
              <w:rPr>
                <w:rFonts w:ascii="Times New Roman" w:hAnsi="Times New Roman" w:cs="Times New Roman"/>
                <w:b/>
                <w:bCs/>
                <w:color w:val="auto"/>
                <w:sz w:val="21"/>
              </w:rPr>
            </w:pPr>
            <w:r>
              <w:rPr>
                <w:rFonts w:ascii="Times New Roman" w:hAnsi="Times New Roman" w:cs="Times New Roman"/>
                <w:b/>
                <w:bCs/>
                <w:color w:val="auto"/>
                <w:sz w:val="21"/>
              </w:rPr>
              <w:t>℃</w:t>
            </w:r>
          </w:p>
        </w:tc>
        <w:tc>
          <w:tcPr>
            <w:tcW w:w="384" w:type="pct"/>
            <w:vMerge w:val="restart"/>
            <w:tcBorders>
              <w:tl2br w:val="nil"/>
              <w:tr2bl w:val="nil"/>
            </w:tcBorders>
            <w:vAlign w:val="center"/>
          </w:tcPr>
          <w:p w14:paraId="612D9F3D">
            <w:pPr>
              <w:jc w:val="center"/>
              <w:rPr>
                <w:rFonts w:ascii="Times New Roman" w:hAnsi="Times New Roman" w:cs="Times New Roman"/>
                <w:b/>
                <w:bCs/>
                <w:color w:val="auto"/>
                <w:sz w:val="21"/>
              </w:rPr>
            </w:pPr>
            <w:r>
              <w:rPr>
                <w:rFonts w:ascii="Times New Roman" w:hAnsi="Times New Roman" w:cs="Times New Roman"/>
                <w:b/>
                <w:bCs/>
                <w:color w:val="auto"/>
                <w:sz w:val="21"/>
              </w:rPr>
              <w:t>沸点</w:t>
            </w:r>
          </w:p>
          <w:p w14:paraId="2E42E078">
            <w:pPr>
              <w:jc w:val="center"/>
              <w:rPr>
                <w:rFonts w:ascii="Times New Roman" w:hAnsi="Times New Roman" w:cs="Times New Roman"/>
                <w:b/>
                <w:bCs/>
                <w:color w:val="auto"/>
                <w:sz w:val="21"/>
              </w:rPr>
            </w:pPr>
            <w:r>
              <w:rPr>
                <w:rFonts w:ascii="Times New Roman" w:hAnsi="Times New Roman" w:cs="Times New Roman"/>
                <w:b/>
                <w:bCs/>
                <w:color w:val="auto"/>
                <w:sz w:val="21"/>
              </w:rPr>
              <w:t>℃</w:t>
            </w:r>
          </w:p>
        </w:tc>
        <w:tc>
          <w:tcPr>
            <w:tcW w:w="763" w:type="pct"/>
            <w:gridSpan w:val="2"/>
            <w:tcBorders>
              <w:tl2br w:val="nil"/>
              <w:tr2bl w:val="nil"/>
            </w:tcBorders>
            <w:vAlign w:val="center"/>
          </w:tcPr>
          <w:p w14:paraId="56AA385B">
            <w:pPr>
              <w:jc w:val="center"/>
              <w:rPr>
                <w:rFonts w:ascii="Times New Roman" w:hAnsi="Times New Roman" w:cs="Times New Roman"/>
                <w:b/>
                <w:bCs/>
                <w:color w:val="auto"/>
                <w:sz w:val="21"/>
              </w:rPr>
            </w:pPr>
            <w:r>
              <w:rPr>
                <w:rFonts w:ascii="Times New Roman" w:hAnsi="Times New Roman" w:cs="Times New Roman"/>
                <w:b/>
                <w:bCs/>
                <w:color w:val="auto"/>
                <w:sz w:val="21"/>
              </w:rPr>
              <w:t>爆炸极限（V/V%）</w:t>
            </w:r>
          </w:p>
        </w:tc>
        <w:tc>
          <w:tcPr>
            <w:tcW w:w="746" w:type="pct"/>
            <w:gridSpan w:val="2"/>
            <w:tcBorders>
              <w:tl2br w:val="nil"/>
              <w:tr2bl w:val="nil"/>
            </w:tcBorders>
            <w:vAlign w:val="center"/>
          </w:tcPr>
          <w:p w14:paraId="5B40CFF3">
            <w:pPr>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毒性终点浓度（mg/m</w:t>
            </w:r>
            <w:r>
              <w:rPr>
                <w:rFonts w:ascii="Times New Roman" w:hAnsi="Times New Roman" w:cs="Times New Roman"/>
                <w:b/>
                <w:bCs/>
                <w:color w:val="auto"/>
                <w:sz w:val="21"/>
                <w:vertAlign w:val="superscript"/>
                <w:lang w:eastAsia="zh-CN"/>
              </w:rPr>
              <w:t>3</w:t>
            </w:r>
            <w:r>
              <w:rPr>
                <w:rFonts w:ascii="Times New Roman" w:hAnsi="Times New Roman" w:cs="Times New Roman"/>
                <w:b/>
                <w:bCs/>
                <w:color w:val="auto"/>
                <w:sz w:val="21"/>
                <w:lang w:eastAsia="zh-CN"/>
              </w:rPr>
              <w:t>）</w:t>
            </w:r>
          </w:p>
        </w:tc>
        <w:tc>
          <w:tcPr>
            <w:tcW w:w="1146" w:type="pct"/>
            <w:vMerge w:val="restart"/>
            <w:tcBorders>
              <w:tl2br w:val="nil"/>
              <w:tr2bl w:val="nil"/>
            </w:tcBorders>
            <w:vAlign w:val="center"/>
          </w:tcPr>
          <w:p w14:paraId="405C36AD">
            <w:pPr>
              <w:jc w:val="center"/>
              <w:rPr>
                <w:rFonts w:ascii="Times New Roman" w:hAnsi="Times New Roman" w:cs="Times New Roman"/>
                <w:b/>
                <w:bCs/>
                <w:color w:val="auto"/>
                <w:sz w:val="21"/>
              </w:rPr>
            </w:pPr>
            <w:r>
              <w:rPr>
                <w:rFonts w:ascii="Times New Roman" w:hAnsi="Times New Roman" w:cs="Times New Roman"/>
                <w:b/>
                <w:bCs/>
                <w:color w:val="auto"/>
                <w:sz w:val="21"/>
              </w:rPr>
              <w:t>危险性类别</w:t>
            </w:r>
          </w:p>
        </w:tc>
      </w:tr>
      <w:tr w14:paraId="07796AF3">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340" w:hRule="atLeast"/>
          <w:jc w:val="center"/>
        </w:trPr>
        <w:tc>
          <w:tcPr>
            <w:tcW w:w="582" w:type="pct"/>
            <w:vMerge w:val="continue"/>
            <w:tcBorders>
              <w:tl2br w:val="nil"/>
              <w:tr2bl w:val="nil"/>
            </w:tcBorders>
            <w:vAlign w:val="center"/>
          </w:tcPr>
          <w:p w14:paraId="64B0B61B">
            <w:pPr>
              <w:jc w:val="center"/>
              <w:rPr>
                <w:rFonts w:ascii="Times New Roman" w:hAnsi="Times New Roman" w:cs="Times New Roman"/>
                <w:color w:val="auto"/>
                <w:sz w:val="21"/>
              </w:rPr>
            </w:pPr>
          </w:p>
        </w:tc>
        <w:tc>
          <w:tcPr>
            <w:tcW w:w="594" w:type="pct"/>
            <w:vMerge w:val="continue"/>
            <w:tcBorders>
              <w:tl2br w:val="nil"/>
              <w:tr2bl w:val="nil"/>
            </w:tcBorders>
            <w:vAlign w:val="center"/>
          </w:tcPr>
          <w:p w14:paraId="6A472883">
            <w:pPr>
              <w:jc w:val="center"/>
              <w:rPr>
                <w:rFonts w:ascii="Times New Roman" w:hAnsi="Times New Roman" w:cs="Times New Roman"/>
                <w:color w:val="auto"/>
                <w:sz w:val="21"/>
              </w:rPr>
            </w:pPr>
          </w:p>
        </w:tc>
        <w:tc>
          <w:tcPr>
            <w:tcW w:w="392" w:type="pct"/>
            <w:vMerge w:val="continue"/>
            <w:tcBorders>
              <w:tl2br w:val="nil"/>
              <w:tr2bl w:val="nil"/>
            </w:tcBorders>
            <w:vAlign w:val="center"/>
          </w:tcPr>
          <w:p w14:paraId="46EA0959">
            <w:pPr>
              <w:jc w:val="center"/>
              <w:rPr>
                <w:rFonts w:ascii="Times New Roman" w:hAnsi="Times New Roman" w:cs="Times New Roman"/>
                <w:color w:val="auto"/>
                <w:sz w:val="21"/>
              </w:rPr>
            </w:pPr>
          </w:p>
        </w:tc>
        <w:tc>
          <w:tcPr>
            <w:tcW w:w="393" w:type="pct"/>
            <w:vMerge w:val="continue"/>
            <w:tcBorders>
              <w:tl2br w:val="nil"/>
              <w:tr2bl w:val="nil"/>
            </w:tcBorders>
            <w:vAlign w:val="center"/>
          </w:tcPr>
          <w:p w14:paraId="1B757A6B">
            <w:pPr>
              <w:jc w:val="center"/>
              <w:rPr>
                <w:rFonts w:ascii="Times New Roman" w:hAnsi="Times New Roman" w:cs="Times New Roman"/>
                <w:b/>
                <w:bCs/>
                <w:color w:val="auto"/>
                <w:sz w:val="21"/>
              </w:rPr>
            </w:pPr>
          </w:p>
        </w:tc>
        <w:tc>
          <w:tcPr>
            <w:tcW w:w="384" w:type="pct"/>
            <w:vMerge w:val="continue"/>
            <w:tcBorders>
              <w:tl2br w:val="nil"/>
              <w:tr2bl w:val="nil"/>
            </w:tcBorders>
            <w:vAlign w:val="center"/>
          </w:tcPr>
          <w:p w14:paraId="04E6219B">
            <w:pPr>
              <w:jc w:val="center"/>
              <w:rPr>
                <w:rFonts w:ascii="Times New Roman" w:hAnsi="Times New Roman" w:cs="Times New Roman"/>
                <w:b/>
                <w:bCs/>
                <w:color w:val="auto"/>
                <w:sz w:val="21"/>
              </w:rPr>
            </w:pPr>
          </w:p>
        </w:tc>
        <w:tc>
          <w:tcPr>
            <w:tcW w:w="381" w:type="pct"/>
            <w:tcBorders>
              <w:tl2br w:val="nil"/>
              <w:tr2bl w:val="nil"/>
            </w:tcBorders>
            <w:vAlign w:val="center"/>
          </w:tcPr>
          <w:p w14:paraId="0BA3FCC5">
            <w:pPr>
              <w:jc w:val="center"/>
              <w:rPr>
                <w:rFonts w:ascii="Times New Roman" w:hAnsi="Times New Roman" w:cs="Times New Roman"/>
                <w:b/>
                <w:bCs/>
                <w:color w:val="auto"/>
                <w:sz w:val="21"/>
              </w:rPr>
            </w:pPr>
            <w:r>
              <w:rPr>
                <w:rFonts w:ascii="Times New Roman" w:hAnsi="Times New Roman" w:cs="Times New Roman"/>
                <w:b/>
                <w:bCs/>
                <w:color w:val="auto"/>
                <w:sz w:val="21"/>
              </w:rPr>
              <w:t>下限</w:t>
            </w:r>
          </w:p>
        </w:tc>
        <w:tc>
          <w:tcPr>
            <w:tcW w:w="382" w:type="pct"/>
            <w:tcBorders>
              <w:tl2br w:val="nil"/>
              <w:tr2bl w:val="nil"/>
            </w:tcBorders>
            <w:vAlign w:val="center"/>
          </w:tcPr>
          <w:p w14:paraId="2D24D3A8">
            <w:pPr>
              <w:jc w:val="center"/>
              <w:rPr>
                <w:rFonts w:ascii="Times New Roman" w:hAnsi="Times New Roman" w:cs="Times New Roman"/>
                <w:b/>
                <w:bCs/>
                <w:color w:val="auto"/>
                <w:sz w:val="21"/>
              </w:rPr>
            </w:pPr>
            <w:r>
              <w:rPr>
                <w:rFonts w:ascii="Times New Roman" w:hAnsi="Times New Roman" w:cs="Times New Roman"/>
                <w:b/>
                <w:bCs/>
                <w:color w:val="auto"/>
                <w:sz w:val="21"/>
              </w:rPr>
              <w:t>上限</w:t>
            </w:r>
          </w:p>
        </w:tc>
        <w:tc>
          <w:tcPr>
            <w:tcW w:w="381" w:type="pct"/>
            <w:tcBorders>
              <w:tl2br w:val="nil"/>
              <w:tr2bl w:val="nil"/>
            </w:tcBorders>
            <w:vAlign w:val="center"/>
          </w:tcPr>
          <w:p w14:paraId="78D88F72">
            <w:pPr>
              <w:jc w:val="center"/>
              <w:rPr>
                <w:rFonts w:ascii="Times New Roman" w:hAnsi="Times New Roman" w:cs="Times New Roman"/>
                <w:b/>
                <w:bCs/>
                <w:color w:val="auto"/>
                <w:sz w:val="21"/>
              </w:rPr>
            </w:pPr>
            <w:r>
              <w:rPr>
                <w:rFonts w:ascii="Times New Roman" w:hAnsi="Times New Roman" w:cs="Times New Roman"/>
                <w:b/>
                <w:bCs/>
                <w:color w:val="auto"/>
                <w:sz w:val="21"/>
              </w:rPr>
              <w:t>1级</w:t>
            </w:r>
          </w:p>
        </w:tc>
        <w:tc>
          <w:tcPr>
            <w:tcW w:w="365" w:type="pct"/>
            <w:tcBorders>
              <w:tl2br w:val="nil"/>
              <w:tr2bl w:val="nil"/>
            </w:tcBorders>
            <w:vAlign w:val="center"/>
          </w:tcPr>
          <w:p w14:paraId="27040A31">
            <w:pPr>
              <w:jc w:val="center"/>
              <w:rPr>
                <w:rFonts w:ascii="Times New Roman" w:hAnsi="Times New Roman" w:cs="Times New Roman"/>
                <w:b/>
                <w:bCs/>
                <w:color w:val="auto"/>
                <w:sz w:val="21"/>
              </w:rPr>
            </w:pPr>
            <w:r>
              <w:rPr>
                <w:rFonts w:ascii="Times New Roman" w:hAnsi="Times New Roman" w:cs="Times New Roman"/>
                <w:b/>
                <w:bCs/>
                <w:color w:val="auto"/>
                <w:sz w:val="21"/>
              </w:rPr>
              <w:t>2级</w:t>
            </w:r>
          </w:p>
        </w:tc>
        <w:tc>
          <w:tcPr>
            <w:tcW w:w="1146" w:type="pct"/>
            <w:vMerge w:val="continue"/>
            <w:tcBorders>
              <w:tl2br w:val="nil"/>
              <w:tr2bl w:val="nil"/>
            </w:tcBorders>
            <w:vAlign w:val="center"/>
          </w:tcPr>
          <w:p w14:paraId="0204A6A3">
            <w:pPr>
              <w:jc w:val="center"/>
              <w:rPr>
                <w:rFonts w:ascii="Times New Roman" w:hAnsi="Times New Roman" w:cs="Times New Roman"/>
                <w:color w:val="auto"/>
                <w:sz w:val="21"/>
              </w:rPr>
            </w:pPr>
          </w:p>
        </w:tc>
      </w:tr>
      <w:tr w14:paraId="170F0C05">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340" w:hRule="atLeast"/>
          <w:jc w:val="center"/>
        </w:trPr>
        <w:tc>
          <w:tcPr>
            <w:tcW w:w="582" w:type="pct"/>
            <w:tcBorders>
              <w:tl2br w:val="nil"/>
              <w:tr2bl w:val="nil"/>
            </w:tcBorders>
            <w:vAlign w:val="center"/>
          </w:tcPr>
          <w:p w14:paraId="5C338B4E">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氟化氢（无水）</w:t>
            </w:r>
          </w:p>
        </w:tc>
        <w:tc>
          <w:tcPr>
            <w:tcW w:w="594" w:type="pct"/>
            <w:tcBorders>
              <w:tl2br w:val="nil"/>
              <w:tr2bl w:val="nil"/>
            </w:tcBorders>
            <w:vAlign w:val="center"/>
          </w:tcPr>
          <w:p w14:paraId="40741F34">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7664-39-3</w:t>
            </w:r>
          </w:p>
        </w:tc>
        <w:tc>
          <w:tcPr>
            <w:tcW w:w="392" w:type="pct"/>
            <w:tcBorders>
              <w:tl2br w:val="nil"/>
              <w:tr2bl w:val="nil"/>
            </w:tcBorders>
            <w:vAlign w:val="center"/>
          </w:tcPr>
          <w:p w14:paraId="41DDEEFF">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液态</w:t>
            </w:r>
          </w:p>
        </w:tc>
        <w:tc>
          <w:tcPr>
            <w:tcW w:w="393" w:type="pct"/>
            <w:tcBorders>
              <w:tl2br w:val="nil"/>
              <w:tr2bl w:val="nil"/>
            </w:tcBorders>
            <w:vAlign w:val="center"/>
          </w:tcPr>
          <w:p w14:paraId="7A26960F">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c>
          <w:tcPr>
            <w:tcW w:w="384" w:type="pct"/>
            <w:tcBorders>
              <w:tl2br w:val="nil"/>
              <w:tr2bl w:val="nil"/>
            </w:tcBorders>
            <w:vAlign w:val="center"/>
          </w:tcPr>
          <w:p w14:paraId="3557AD18">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19.52</w:t>
            </w:r>
          </w:p>
        </w:tc>
        <w:tc>
          <w:tcPr>
            <w:tcW w:w="381" w:type="pct"/>
            <w:tcBorders>
              <w:tl2br w:val="nil"/>
              <w:tr2bl w:val="nil"/>
            </w:tcBorders>
            <w:vAlign w:val="center"/>
          </w:tcPr>
          <w:p w14:paraId="7F983E11">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c>
          <w:tcPr>
            <w:tcW w:w="382" w:type="pct"/>
            <w:tcBorders>
              <w:tl2br w:val="nil"/>
              <w:tr2bl w:val="nil"/>
            </w:tcBorders>
            <w:vAlign w:val="center"/>
          </w:tcPr>
          <w:p w14:paraId="0E9215E7">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c>
          <w:tcPr>
            <w:tcW w:w="381" w:type="pct"/>
            <w:tcBorders>
              <w:tl2br w:val="nil"/>
              <w:tr2bl w:val="nil"/>
            </w:tcBorders>
            <w:vAlign w:val="center"/>
          </w:tcPr>
          <w:p w14:paraId="155EFEFC">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36</w:t>
            </w:r>
          </w:p>
        </w:tc>
        <w:tc>
          <w:tcPr>
            <w:tcW w:w="365" w:type="pct"/>
            <w:tcBorders>
              <w:tl2br w:val="nil"/>
              <w:tr2bl w:val="nil"/>
            </w:tcBorders>
            <w:vAlign w:val="center"/>
          </w:tcPr>
          <w:p w14:paraId="7868C8A2">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20</w:t>
            </w:r>
          </w:p>
        </w:tc>
        <w:tc>
          <w:tcPr>
            <w:tcW w:w="1146" w:type="pct"/>
            <w:tcBorders>
              <w:tl2br w:val="nil"/>
              <w:tr2bl w:val="nil"/>
            </w:tcBorders>
            <w:vAlign w:val="center"/>
          </w:tcPr>
          <w:p w14:paraId="1DBA81B7">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第8类腐蚀性物质</w:t>
            </w:r>
            <w:r>
              <w:rPr>
                <w:rFonts w:hint="eastAsia" w:ascii="Times New Roman" w:hAnsi="Times New Roman" w:cs="Times New Roman"/>
                <w:color w:val="auto"/>
                <w:sz w:val="21"/>
                <w:lang w:eastAsia="zh-CN"/>
              </w:rPr>
              <w:t>、第6.1类毒性物质</w:t>
            </w:r>
          </w:p>
        </w:tc>
      </w:tr>
      <w:tr w14:paraId="047EB2A4">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340" w:hRule="atLeast"/>
          <w:jc w:val="center"/>
        </w:trPr>
        <w:tc>
          <w:tcPr>
            <w:tcW w:w="582" w:type="pct"/>
            <w:tcBorders>
              <w:tl2br w:val="nil"/>
              <w:tr2bl w:val="nil"/>
            </w:tcBorders>
            <w:vAlign w:val="center"/>
          </w:tcPr>
          <w:p w14:paraId="1A6E2E43">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氯化氢</w:t>
            </w:r>
          </w:p>
        </w:tc>
        <w:tc>
          <w:tcPr>
            <w:tcW w:w="594" w:type="pct"/>
            <w:tcBorders>
              <w:tl2br w:val="nil"/>
              <w:tr2bl w:val="nil"/>
            </w:tcBorders>
            <w:vAlign w:val="center"/>
          </w:tcPr>
          <w:p w14:paraId="0FF18D25">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7647-01-0</w:t>
            </w:r>
          </w:p>
        </w:tc>
        <w:tc>
          <w:tcPr>
            <w:tcW w:w="392" w:type="pct"/>
            <w:tcBorders>
              <w:tl2br w:val="nil"/>
              <w:tr2bl w:val="nil"/>
            </w:tcBorders>
            <w:vAlign w:val="center"/>
          </w:tcPr>
          <w:p w14:paraId="40C07EE3">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气态</w:t>
            </w:r>
          </w:p>
        </w:tc>
        <w:tc>
          <w:tcPr>
            <w:tcW w:w="393" w:type="pct"/>
            <w:tcBorders>
              <w:tl2br w:val="nil"/>
              <w:tr2bl w:val="nil"/>
            </w:tcBorders>
            <w:vAlign w:val="center"/>
          </w:tcPr>
          <w:p w14:paraId="33D09804">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384" w:type="pct"/>
            <w:tcBorders>
              <w:tl2br w:val="nil"/>
              <w:tr2bl w:val="nil"/>
            </w:tcBorders>
            <w:vAlign w:val="center"/>
          </w:tcPr>
          <w:p w14:paraId="6464AB37">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-85.1</w:t>
            </w:r>
          </w:p>
        </w:tc>
        <w:tc>
          <w:tcPr>
            <w:tcW w:w="381" w:type="pct"/>
            <w:tcBorders>
              <w:tl2br w:val="nil"/>
              <w:tr2bl w:val="nil"/>
            </w:tcBorders>
            <w:vAlign w:val="center"/>
          </w:tcPr>
          <w:p w14:paraId="05094E0D">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382" w:type="pct"/>
            <w:tcBorders>
              <w:tl2br w:val="nil"/>
              <w:tr2bl w:val="nil"/>
            </w:tcBorders>
            <w:vAlign w:val="center"/>
          </w:tcPr>
          <w:p w14:paraId="5103FFDF">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381" w:type="pct"/>
            <w:tcBorders>
              <w:tl2br w:val="nil"/>
              <w:tr2bl w:val="nil"/>
            </w:tcBorders>
            <w:vAlign w:val="center"/>
          </w:tcPr>
          <w:p w14:paraId="217BDBDD">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150</w:t>
            </w:r>
          </w:p>
        </w:tc>
        <w:tc>
          <w:tcPr>
            <w:tcW w:w="365" w:type="pct"/>
            <w:tcBorders>
              <w:tl2br w:val="nil"/>
              <w:tr2bl w:val="nil"/>
            </w:tcBorders>
            <w:vAlign w:val="center"/>
          </w:tcPr>
          <w:p w14:paraId="27AE7C90">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33</w:t>
            </w:r>
          </w:p>
        </w:tc>
        <w:tc>
          <w:tcPr>
            <w:tcW w:w="1146" w:type="pct"/>
            <w:tcBorders>
              <w:tl2br w:val="nil"/>
              <w:tr2bl w:val="nil"/>
            </w:tcBorders>
            <w:vAlign w:val="center"/>
          </w:tcPr>
          <w:p w14:paraId="0BB6F26B">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第8类腐蚀性物质</w:t>
            </w:r>
            <w:r>
              <w:rPr>
                <w:rFonts w:hint="eastAsia" w:ascii="Times New Roman" w:hAnsi="Times New Roman" w:cs="Times New Roman"/>
                <w:color w:val="auto"/>
                <w:sz w:val="21"/>
                <w:lang w:eastAsia="zh-CN"/>
              </w:rPr>
              <w:t>、第6.1类毒性物质</w:t>
            </w:r>
          </w:p>
        </w:tc>
      </w:tr>
    </w:tbl>
    <w:p w14:paraId="0B97E0CC">
      <w:pPr>
        <w:spacing w:line="360" w:lineRule="auto"/>
        <w:ind w:left="480"/>
        <w:jc w:val="both"/>
        <w:rPr>
          <w:rFonts w:ascii="Times New Roman" w:hAnsi="Times New Roman" w:cs="Times New Roman"/>
          <w:color w:val="auto"/>
          <w:lang w:eastAsia="zh-CN"/>
        </w:rPr>
      </w:pPr>
      <w:r>
        <w:rPr>
          <w:rFonts w:hint="eastAsia" w:ascii="Times New Roman" w:hAnsi="Times New Roman" w:cs="Times New Roman"/>
          <w:color w:val="auto"/>
          <w:lang w:eastAsia="zh-CN"/>
        </w:rPr>
        <w:t>3、现有项目生产系统危险性识别</w:t>
      </w:r>
    </w:p>
    <w:p w14:paraId="5C97B3D2">
      <w:pPr>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现有项目生产系统危性识别结果见下表。</w:t>
      </w:r>
    </w:p>
    <w:p w14:paraId="42DA6498">
      <w:pPr>
        <w:spacing w:line="360" w:lineRule="auto"/>
        <w:jc w:val="center"/>
        <w:rPr>
          <w:rFonts w:ascii="Times New Roman" w:hAnsi="Times New Roman" w:cs="Times New Roman"/>
          <w:b/>
          <w:bCs/>
          <w:color w:val="auto"/>
          <w:lang w:eastAsia="zh-CN"/>
        </w:rPr>
      </w:pPr>
      <w:r>
        <w:rPr>
          <w:rFonts w:hint="eastAsia" w:ascii="Times New Roman" w:hAnsi="Times New Roman" w:cs="Times New Roman"/>
          <w:b/>
          <w:bCs/>
          <w:color w:val="auto"/>
          <w:lang w:eastAsia="zh-CN"/>
        </w:rPr>
        <w:t>表7.2-3 现有工程生产系统危险性识别结果一览表</w:t>
      </w:r>
    </w:p>
    <w:tbl>
      <w:tblPr>
        <w:tblStyle w:val="35"/>
        <w:tblW w:w="5028" w:type="pct"/>
        <w:jc w:val="center"/>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Layout w:type="autofit"/>
        <w:tblCellMar>
          <w:top w:w="0" w:type="dxa"/>
          <w:left w:w="0" w:type="dxa"/>
          <w:bottom w:w="0" w:type="dxa"/>
          <w:right w:w="0" w:type="dxa"/>
        </w:tblCellMar>
      </w:tblPr>
      <w:tblGrid>
        <w:gridCol w:w="1137"/>
        <w:gridCol w:w="1756"/>
        <w:gridCol w:w="2921"/>
        <w:gridCol w:w="1782"/>
        <w:gridCol w:w="2205"/>
      </w:tblGrid>
      <w:tr w14:paraId="451C641A">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0" w:type="dxa"/>
            <w:bottom w:w="0" w:type="dxa"/>
            <w:right w:w="0" w:type="dxa"/>
          </w:tblCellMar>
        </w:tblPrEx>
        <w:trPr>
          <w:trHeight w:val="340" w:hRule="atLeast"/>
          <w:jc w:val="center"/>
        </w:trPr>
        <w:tc>
          <w:tcPr>
            <w:tcW w:w="580" w:type="pct"/>
            <w:tcBorders>
              <w:tl2br w:val="nil"/>
              <w:tr2bl w:val="nil"/>
            </w:tcBorders>
            <w:vAlign w:val="center"/>
          </w:tcPr>
          <w:p w14:paraId="4F51E4DF">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危险单元</w:t>
            </w:r>
          </w:p>
        </w:tc>
        <w:tc>
          <w:tcPr>
            <w:tcW w:w="896" w:type="pct"/>
            <w:tcBorders>
              <w:tl2br w:val="nil"/>
              <w:tr2bl w:val="nil"/>
            </w:tcBorders>
            <w:vAlign w:val="center"/>
          </w:tcPr>
          <w:p w14:paraId="13C62E0F">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风险源</w:t>
            </w:r>
          </w:p>
        </w:tc>
        <w:tc>
          <w:tcPr>
            <w:tcW w:w="1490" w:type="pct"/>
            <w:tcBorders>
              <w:tl2br w:val="nil"/>
              <w:tr2bl w:val="nil"/>
            </w:tcBorders>
            <w:vAlign w:val="center"/>
          </w:tcPr>
          <w:p w14:paraId="34E1B045">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主要危险物质</w:t>
            </w:r>
          </w:p>
        </w:tc>
        <w:tc>
          <w:tcPr>
            <w:tcW w:w="909" w:type="pct"/>
            <w:tcBorders>
              <w:tl2br w:val="nil"/>
              <w:tr2bl w:val="nil"/>
            </w:tcBorders>
            <w:vAlign w:val="center"/>
          </w:tcPr>
          <w:p w14:paraId="51341118">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危险性</w:t>
            </w:r>
          </w:p>
        </w:tc>
        <w:tc>
          <w:tcPr>
            <w:tcW w:w="1126" w:type="pct"/>
            <w:tcBorders>
              <w:tl2br w:val="nil"/>
              <w:tr2bl w:val="nil"/>
            </w:tcBorders>
            <w:vAlign w:val="center"/>
          </w:tcPr>
          <w:p w14:paraId="5580B13D">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存在条件和转化为事故的触发因素</w:t>
            </w:r>
          </w:p>
        </w:tc>
      </w:tr>
      <w:tr w14:paraId="6FB38ECD">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0" w:type="dxa"/>
            <w:bottom w:w="0" w:type="dxa"/>
            <w:right w:w="0" w:type="dxa"/>
          </w:tblCellMar>
        </w:tblPrEx>
        <w:trPr>
          <w:trHeight w:val="340" w:hRule="atLeast"/>
          <w:jc w:val="center"/>
        </w:trPr>
        <w:tc>
          <w:tcPr>
            <w:tcW w:w="580" w:type="pct"/>
            <w:vMerge w:val="restart"/>
            <w:tcBorders>
              <w:tl2br w:val="nil"/>
              <w:tr2bl w:val="nil"/>
            </w:tcBorders>
            <w:vAlign w:val="center"/>
          </w:tcPr>
          <w:p w14:paraId="6D390558">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综合车间</w:t>
            </w:r>
          </w:p>
        </w:tc>
        <w:tc>
          <w:tcPr>
            <w:tcW w:w="896" w:type="pct"/>
            <w:tcBorders>
              <w:tl2br w:val="nil"/>
              <w:tr2bl w:val="nil"/>
            </w:tcBorders>
            <w:vAlign w:val="center"/>
          </w:tcPr>
          <w:p w14:paraId="3F8F013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电子级氢氟酸生产装置</w:t>
            </w:r>
          </w:p>
        </w:tc>
        <w:tc>
          <w:tcPr>
            <w:tcW w:w="1490" w:type="pct"/>
            <w:tcBorders>
              <w:tl2br w:val="nil"/>
              <w:tr2bl w:val="nil"/>
            </w:tcBorders>
            <w:vAlign w:val="center"/>
          </w:tcPr>
          <w:p w14:paraId="6C2FA686">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无水氟化氢</w:t>
            </w:r>
          </w:p>
        </w:tc>
        <w:tc>
          <w:tcPr>
            <w:tcW w:w="909" w:type="pct"/>
            <w:tcBorders>
              <w:tl2br w:val="nil"/>
              <w:tr2bl w:val="nil"/>
            </w:tcBorders>
            <w:vAlign w:val="center"/>
          </w:tcPr>
          <w:p w14:paraId="7B145E4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毒性、腐蚀性</w:t>
            </w:r>
          </w:p>
        </w:tc>
        <w:tc>
          <w:tcPr>
            <w:tcW w:w="1126" w:type="pct"/>
            <w:tcBorders>
              <w:tl2br w:val="nil"/>
              <w:tr2bl w:val="nil"/>
            </w:tcBorders>
            <w:vAlign w:val="center"/>
          </w:tcPr>
          <w:p w14:paraId="5772F1D0">
            <w:pPr>
              <w:adjustRightInd w:val="0"/>
              <w:snapToGrid w:val="0"/>
              <w:jc w:val="center"/>
              <w:rPr>
                <w:rFonts w:ascii="Times New Roman" w:hAnsi="Times New Roman" w:cs="Times New Roman"/>
                <w:bCs/>
                <w:color w:val="auto"/>
                <w:sz w:val="21"/>
                <w:lang w:eastAsia="zh-CN"/>
              </w:rPr>
            </w:pPr>
            <w:r>
              <w:rPr>
                <w:rFonts w:ascii="Times New Roman" w:hAnsi="Times New Roman" w:cs="Times New Roman"/>
                <w:bCs/>
                <w:color w:val="auto"/>
                <w:sz w:val="21"/>
                <w:lang w:eastAsia="zh-CN"/>
              </w:rPr>
              <w:t>泄漏、腐蚀、中毒、人员伤害</w:t>
            </w:r>
          </w:p>
        </w:tc>
      </w:tr>
      <w:tr w14:paraId="073094BF">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0" w:type="dxa"/>
            <w:bottom w:w="0" w:type="dxa"/>
            <w:right w:w="0" w:type="dxa"/>
          </w:tblCellMar>
        </w:tblPrEx>
        <w:trPr>
          <w:trHeight w:val="340" w:hRule="atLeast"/>
          <w:jc w:val="center"/>
        </w:trPr>
        <w:tc>
          <w:tcPr>
            <w:tcW w:w="580" w:type="pct"/>
            <w:vMerge w:val="continue"/>
            <w:tcBorders>
              <w:tl2br w:val="nil"/>
              <w:tr2bl w:val="nil"/>
            </w:tcBorders>
            <w:vAlign w:val="center"/>
          </w:tcPr>
          <w:p w14:paraId="05A7406F">
            <w:pPr>
              <w:adjustRightInd w:val="0"/>
              <w:snapToGrid w:val="0"/>
              <w:jc w:val="center"/>
              <w:rPr>
                <w:rFonts w:ascii="Times New Roman" w:hAnsi="Times New Roman" w:cs="Times New Roman"/>
                <w:color w:val="auto"/>
                <w:sz w:val="21"/>
                <w:lang w:eastAsia="zh-CN"/>
              </w:rPr>
            </w:pPr>
          </w:p>
        </w:tc>
        <w:tc>
          <w:tcPr>
            <w:tcW w:w="896" w:type="pct"/>
            <w:tcBorders>
              <w:tl2br w:val="nil"/>
              <w:tr2bl w:val="nil"/>
            </w:tcBorders>
            <w:vAlign w:val="center"/>
          </w:tcPr>
          <w:p w14:paraId="7C5F962C">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化学纯氢氟酸及刻蚀液生产装置</w:t>
            </w:r>
          </w:p>
        </w:tc>
        <w:tc>
          <w:tcPr>
            <w:tcW w:w="1490" w:type="pct"/>
            <w:tcBorders>
              <w:tl2br w:val="nil"/>
              <w:tr2bl w:val="nil"/>
            </w:tcBorders>
            <w:vAlign w:val="center"/>
          </w:tcPr>
          <w:p w14:paraId="7A110A7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无水氟化氢</w:t>
            </w:r>
            <w:r>
              <w:rPr>
                <w:rFonts w:hint="eastAsia" w:ascii="Times New Roman" w:hAnsi="Times New Roman" w:cs="Times New Roman"/>
                <w:color w:val="auto"/>
                <w:sz w:val="21"/>
                <w:lang w:eastAsia="zh-CN"/>
              </w:rPr>
              <w:t>、</w:t>
            </w:r>
            <w:r>
              <w:rPr>
                <w:rFonts w:ascii="Times New Roman" w:hAnsi="Times New Roman" w:cs="Times New Roman"/>
                <w:color w:val="auto"/>
                <w:sz w:val="21"/>
                <w:lang w:eastAsia="zh-CN"/>
              </w:rPr>
              <w:t>15%氟化氢水溶液</w:t>
            </w:r>
            <w:r>
              <w:rPr>
                <w:rFonts w:hint="eastAsia" w:ascii="Times New Roman" w:hAnsi="Times New Roman" w:cs="Times New Roman"/>
                <w:color w:val="auto"/>
                <w:sz w:val="21"/>
                <w:lang w:eastAsia="zh-CN"/>
              </w:rPr>
              <w:t>、</w:t>
            </w:r>
            <w:r>
              <w:rPr>
                <w:rFonts w:ascii="Times New Roman" w:hAnsi="Times New Roman" w:cs="Times New Roman"/>
                <w:color w:val="auto"/>
                <w:sz w:val="21"/>
                <w:lang w:eastAsia="zh-CN"/>
              </w:rPr>
              <w:t>31%盐酸</w:t>
            </w:r>
          </w:p>
        </w:tc>
        <w:tc>
          <w:tcPr>
            <w:tcW w:w="909" w:type="pct"/>
            <w:tcBorders>
              <w:tl2br w:val="nil"/>
              <w:tr2bl w:val="nil"/>
            </w:tcBorders>
            <w:vAlign w:val="center"/>
          </w:tcPr>
          <w:p w14:paraId="7ACC955B">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毒性、腐蚀性</w:t>
            </w:r>
          </w:p>
        </w:tc>
        <w:tc>
          <w:tcPr>
            <w:tcW w:w="1126" w:type="pct"/>
            <w:tcBorders>
              <w:tl2br w:val="nil"/>
              <w:tr2bl w:val="nil"/>
            </w:tcBorders>
            <w:vAlign w:val="center"/>
          </w:tcPr>
          <w:p w14:paraId="158AC191">
            <w:pPr>
              <w:adjustRightInd w:val="0"/>
              <w:snapToGrid w:val="0"/>
              <w:jc w:val="center"/>
              <w:rPr>
                <w:rFonts w:ascii="Times New Roman" w:hAnsi="Times New Roman" w:cs="Times New Roman"/>
                <w:bCs/>
                <w:color w:val="auto"/>
                <w:sz w:val="21"/>
                <w:lang w:eastAsia="zh-CN"/>
              </w:rPr>
            </w:pPr>
            <w:r>
              <w:rPr>
                <w:rFonts w:ascii="Times New Roman" w:hAnsi="Times New Roman" w:cs="Times New Roman"/>
                <w:bCs/>
                <w:color w:val="auto"/>
                <w:sz w:val="21"/>
                <w:lang w:eastAsia="zh-CN"/>
              </w:rPr>
              <w:t>泄漏、腐蚀、中毒、人员伤害</w:t>
            </w:r>
          </w:p>
        </w:tc>
      </w:tr>
      <w:tr w14:paraId="1830ABA2">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0" w:type="dxa"/>
            <w:bottom w:w="0" w:type="dxa"/>
            <w:right w:w="0" w:type="dxa"/>
          </w:tblCellMar>
        </w:tblPrEx>
        <w:trPr>
          <w:trHeight w:val="340" w:hRule="atLeast"/>
          <w:jc w:val="center"/>
        </w:trPr>
        <w:tc>
          <w:tcPr>
            <w:tcW w:w="580" w:type="pct"/>
            <w:vMerge w:val="restart"/>
            <w:tcBorders>
              <w:tl2br w:val="nil"/>
              <w:tr2bl w:val="nil"/>
            </w:tcBorders>
            <w:vAlign w:val="center"/>
          </w:tcPr>
          <w:p w14:paraId="567A514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储运工程</w:t>
            </w:r>
          </w:p>
        </w:tc>
        <w:tc>
          <w:tcPr>
            <w:tcW w:w="896" w:type="pct"/>
            <w:tcBorders>
              <w:tl2br w:val="nil"/>
              <w:tr2bl w:val="nil"/>
            </w:tcBorders>
            <w:vAlign w:val="center"/>
          </w:tcPr>
          <w:p w14:paraId="2D8DB02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无水氟化氢库房</w:t>
            </w:r>
          </w:p>
        </w:tc>
        <w:tc>
          <w:tcPr>
            <w:tcW w:w="1490" w:type="pct"/>
            <w:tcBorders>
              <w:tl2br w:val="nil"/>
              <w:tr2bl w:val="nil"/>
            </w:tcBorders>
            <w:vAlign w:val="center"/>
          </w:tcPr>
          <w:p w14:paraId="2FAB459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无水氟化氢</w:t>
            </w:r>
          </w:p>
        </w:tc>
        <w:tc>
          <w:tcPr>
            <w:tcW w:w="909" w:type="pct"/>
            <w:tcBorders>
              <w:tl2br w:val="nil"/>
              <w:tr2bl w:val="nil"/>
            </w:tcBorders>
            <w:vAlign w:val="center"/>
          </w:tcPr>
          <w:p w14:paraId="589AB7DB">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毒性、腐蚀性</w:t>
            </w:r>
          </w:p>
        </w:tc>
        <w:tc>
          <w:tcPr>
            <w:tcW w:w="1126" w:type="pct"/>
            <w:tcBorders>
              <w:tl2br w:val="nil"/>
              <w:tr2bl w:val="nil"/>
            </w:tcBorders>
            <w:vAlign w:val="center"/>
          </w:tcPr>
          <w:p w14:paraId="428C3742">
            <w:pPr>
              <w:adjustRightInd w:val="0"/>
              <w:snapToGrid w:val="0"/>
              <w:jc w:val="center"/>
              <w:rPr>
                <w:rFonts w:ascii="Times New Roman" w:hAnsi="Times New Roman" w:cs="Times New Roman"/>
                <w:color w:val="auto"/>
                <w:sz w:val="21"/>
                <w:lang w:eastAsia="zh-CN"/>
              </w:rPr>
            </w:pPr>
            <w:r>
              <w:rPr>
                <w:rFonts w:ascii="Times New Roman" w:hAnsi="Times New Roman" w:cs="Times New Roman"/>
                <w:bCs/>
                <w:color w:val="auto"/>
                <w:sz w:val="21"/>
                <w:lang w:eastAsia="zh-CN"/>
              </w:rPr>
              <w:t>泄漏、腐蚀、中毒、人员伤害</w:t>
            </w:r>
          </w:p>
        </w:tc>
      </w:tr>
      <w:tr w14:paraId="7EBB1E3A">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0" w:type="dxa"/>
            <w:bottom w:w="0" w:type="dxa"/>
            <w:right w:w="0" w:type="dxa"/>
          </w:tblCellMar>
        </w:tblPrEx>
        <w:trPr>
          <w:trHeight w:val="340" w:hRule="atLeast"/>
          <w:jc w:val="center"/>
        </w:trPr>
        <w:tc>
          <w:tcPr>
            <w:tcW w:w="580" w:type="pct"/>
            <w:vMerge w:val="continue"/>
            <w:tcBorders>
              <w:tl2br w:val="nil"/>
              <w:tr2bl w:val="nil"/>
            </w:tcBorders>
            <w:vAlign w:val="center"/>
          </w:tcPr>
          <w:p w14:paraId="0F0C6459">
            <w:pPr>
              <w:adjustRightInd w:val="0"/>
              <w:snapToGrid w:val="0"/>
              <w:jc w:val="center"/>
              <w:rPr>
                <w:rFonts w:ascii="Times New Roman" w:hAnsi="Times New Roman" w:cs="Times New Roman"/>
                <w:color w:val="auto"/>
                <w:sz w:val="21"/>
                <w:lang w:eastAsia="zh-CN"/>
              </w:rPr>
            </w:pPr>
          </w:p>
        </w:tc>
        <w:tc>
          <w:tcPr>
            <w:tcW w:w="896" w:type="pct"/>
            <w:tcBorders>
              <w:tl2br w:val="nil"/>
              <w:tr2bl w:val="nil"/>
            </w:tcBorders>
            <w:vAlign w:val="center"/>
          </w:tcPr>
          <w:p w14:paraId="69726CF1">
            <w:pPr>
              <w:adjustRightInd w:val="0"/>
              <w:snapToGrid w:val="0"/>
              <w:jc w:val="center"/>
              <w:rPr>
                <w:rFonts w:ascii="Times New Roman"/>
                <w:color w:val="auto"/>
                <w:sz w:val="21"/>
                <w:lang w:eastAsia="zh-CN"/>
              </w:rPr>
            </w:pPr>
            <w:r>
              <w:rPr>
                <w:rFonts w:ascii="Times New Roman"/>
                <w:color w:val="auto"/>
                <w:sz w:val="21"/>
                <w:lang w:eastAsia="zh-CN"/>
              </w:rPr>
              <w:t>原料及产品罐区</w:t>
            </w:r>
          </w:p>
        </w:tc>
        <w:tc>
          <w:tcPr>
            <w:tcW w:w="1490" w:type="pct"/>
            <w:tcBorders>
              <w:tl2br w:val="nil"/>
              <w:tr2bl w:val="nil"/>
            </w:tcBorders>
            <w:vAlign w:val="center"/>
          </w:tcPr>
          <w:p w14:paraId="65CA45B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15%氟化氢水溶液</w:t>
            </w:r>
            <w:r>
              <w:rPr>
                <w:rFonts w:hint="eastAsia" w:ascii="Times New Roman" w:hAnsi="Times New Roman" w:cs="Times New Roman"/>
                <w:color w:val="auto"/>
                <w:sz w:val="21"/>
                <w:lang w:eastAsia="zh-CN"/>
              </w:rPr>
              <w:t>、</w:t>
            </w:r>
            <w:r>
              <w:rPr>
                <w:rFonts w:ascii="Times New Roman" w:hAnsi="Times New Roman" w:cs="Times New Roman"/>
                <w:color w:val="auto"/>
                <w:sz w:val="21"/>
                <w:lang w:eastAsia="zh-CN"/>
              </w:rPr>
              <w:t>31%盐酸</w:t>
            </w:r>
            <w:r>
              <w:rPr>
                <w:rFonts w:hint="eastAsia" w:ascii="Times New Roman" w:hAnsi="Times New Roman" w:cs="Times New Roman"/>
                <w:color w:val="auto"/>
                <w:sz w:val="21"/>
                <w:lang w:eastAsia="zh-CN"/>
              </w:rPr>
              <w:t>、</w:t>
            </w:r>
            <w:r>
              <w:rPr>
                <w:rFonts w:ascii="Times New Roman" w:hAnsi="Times New Roman" w:cs="Times New Roman"/>
                <w:color w:val="auto"/>
                <w:sz w:val="21"/>
                <w:lang w:eastAsia="zh-CN"/>
              </w:rPr>
              <w:t>电子级氢氟酸</w:t>
            </w:r>
            <w:r>
              <w:rPr>
                <w:rFonts w:hint="eastAsia" w:ascii="Times New Roman" w:hAnsi="Times New Roman" w:cs="Times New Roman"/>
                <w:color w:val="auto"/>
                <w:sz w:val="21"/>
                <w:lang w:eastAsia="zh-CN"/>
              </w:rPr>
              <w:t>、</w:t>
            </w:r>
            <w:r>
              <w:rPr>
                <w:rFonts w:ascii="Times New Roman" w:hAnsi="Times New Roman" w:cs="Times New Roman"/>
                <w:color w:val="auto"/>
                <w:sz w:val="21"/>
                <w:lang w:eastAsia="zh-CN"/>
              </w:rPr>
              <w:t>化学纯氢氟酸</w:t>
            </w:r>
            <w:r>
              <w:rPr>
                <w:rFonts w:hint="eastAsia" w:ascii="Times New Roman" w:hAnsi="Times New Roman" w:cs="Times New Roman"/>
                <w:color w:val="auto"/>
                <w:sz w:val="21"/>
                <w:lang w:eastAsia="zh-CN"/>
              </w:rPr>
              <w:t>、</w:t>
            </w:r>
            <w:r>
              <w:rPr>
                <w:rFonts w:ascii="Times New Roman" w:hAnsi="Times New Roman" w:cs="Times New Roman"/>
                <w:color w:val="auto"/>
                <w:sz w:val="21"/>
                <w:lang w:eastAsia="zh-CN"/>
              </w:rPr>
              <w:t>刻蚀液</w:t>
            </w:r>
          </w:p>
        </w:tc>
        <w:tc>
          <w:tcPr>
            <w:tcW w:w="909" w:type="pct"/>
            <w:tcBorders>
              <w:tl2br w:val="nil"/>
              <w:tr2bl w:val="nil"/>
            </w:tcBorders>
            <w:vAlign w:val="center"/>
          </w:tcPr>
          <w:p w14:paraId="1BE29551">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毒性、腐蚀性</w:t>
            </w:r>
          </w:p>
        </w:tc>
        <w:tc>
          <w:tcPr>
            <w:tcW w:w="1126" w:type="pct"/>
            <w:tcBorders>
              <w:tl2br w:val="nil"/>
              <w:tr2bl w:val="nil"/>
            </w:tcBorders>
            <w:vAlign w:val="center"/>
          </w:tcPr>
          <w:p w14:paraId="5E87119A">
            <w:pPr>
              <w:adjustRightInd w:val="0"/>
              <w:snapToGrid w:val="0"/>
              <w:jc w:val="center"/>
              <w:rPr>
                <w:rFonts w:ascii="Times New Roman" w:hAnsi="Times New Roman" w:cs="Times New Roman"/>
                <w:bCs/>
                <w:color w:val="auto"/>
                <w:sz w:val="21"/>
                <w:lang w:eastAsia="zh-CN"/>
              </w:rPr>
            </w:pPr>
            <w:r>
              <w:rPr>
                <w:rFonts w:ascii="Times New Roman" w:hAnsi="Times New Roman" w:cs="Times New Roman"/>
                <w:bCs/>
                <w:color w:val="auto"/>
                <w:sz w:val="21"/>
                <w:lang w:eastAsia="zh-CN"/>
              </w:rPr>
              <w:t>泄漏、腐蚀、中毒、人员伤害</w:t>
            </w:r>
          </w:p>
        </w:tc>
      </w:tr>
      <w:tr w14:paraId="23EE88BD">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0" w:type="dxa"/>
            <w:bottom w:w="0" w:type="dxa"/>
            <w:right w:w="0" w:type="dxa"/>
          </w:tblCellMar>
        </w:tblPrEx>
        <w:trPr>
          <w:trHeight w:val="340" w:hRule="atLeast"/>
          <w:jc w:val="center"/>
        </w:trPr>
        <w:tc>
          <w:tcPr>
            <w:tcW w:w="580" w:type="pct"/>
            <w:vMerge w:val="continue"/>
            <w:tcBorders>
              <w:tl2br w:val="nil"/>
              <w:tr2bl w:val="nil"/>
            </w:tcBorders>
            <w:vAlign w:val="center"/>
          </w:tcPr>
          <w:p w14:paraId="777EB8C1">
            <w:pPr>
              <w:adjustRightInd w:val="0"/>
              <w:snapToGrid w:val="0"/>
              <w:jc w:val="center"/>
              <w:rPr>
                <w:rFonts w:ascii="Times New Roman" w:hAnsi="Times New Roman" w:cs="Times New Roman"/>
                <w:color w:val="auto"/>
                <w:sz w:val="21"/>
                <w:lang w:eastAsia="zh-CN"/>
              </w:rPr>
            </w:pPr>
          </w:p>
        </w:tc>
        <w:tc>
          <w:tcPr>
            <w:tcW w:w="896" w:type="pct"/>
            <w:tcBorders>
              <w:tl2br w:val="nil"/>
              <w:tr2bl w:val="nil"/>
            </w:tcBorders>
            <w:vAlign w:val="center"/>
          </w:tcPr>
          <w:p w14:paraId="5382CE35">
            <w:pPr>
              <w:adjustRightInd w:val="0"/>
              <w:snapToGrid w:val="0"/>
              <w:jc w:val="center"/>
              <w:rPr>
                <w:rFonts w:ascii="Times New Roman"/>
                <w:color w:val="auto"/>
                <w:sz w:val="21"/>
                <w:lang w:eastAsia="zh-CN"/>
              </w:rPr>
            </w:pPr>
            <w:r>
              <w:rPr>
                <w:rFonts w:hint="eastAsia" w:ascii="Times New Roman"/>
                <w:color w:val="auto"/>
                <w:sz w:val="21"/>
                <w:lang w:eastAsia="zh-CN"/>
              </w:rPr>
              <w:t>丁类仓库</w:t>
            </w:r>
          </w:p>
        </w:tc>
        <w:tc>
          <w:tcPr>
            <w:tcW w:w="1490" w:type="pct"/>
            <w:tcBorders>
              <w:tl2br w:val="nil"/>
              <w:tr2bl w:val="nil"/>
            </w:tcBorders>
            <w:vAlign w:val="center"/>
          </w:tcPr>
          <w:p w14:paraId="5C2D981A">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电子级氢氟酸</w:t>
            </w:r>
            <w:r>
              <w:rPr>
                <w:rFonts w:hint="eastAsia" w:ascii="Times New Roman" w:hAnsi="Times New Roman" w:cs="Times New Roman"/>
                <w:color w:val="auto"/>
                <w:sz w:val="21"/>
                <w:lang w:eastAsia="zh-CN"/>
              </w:rPr>
              <w:t>、</w:t>
            </w:r>
            <w:r>
              <w:rPr>
                <w:rFonts w:ascii="Times New Roman" w:hAnsi="Times New Roman" w:cs="Times New Roman"/>
                <w:color w:val="auto"/>
                <w:sz w:val="21"/>
                <w:lang w:eastAsia="zh-CN"/>
              </w:rPr>
              <w:t>化学纯氢氟酸</w:t>
            </w:r>
            <w:r>
              <w:rPr>
                <w:rFonts w:hint="eastAsia" w:ascii="Times New Roman" w:hAnsi="Times New Roman" w:cs="Times New Roman"/>
                <w:color w:val="auto"/>
                <w:sz w:val="21"/>
                <w:lang w:eastAsia="zh-CN"/>
              </w:rPr>
              <w:t>、</w:t>
            </w:r>
            <w:r>
              <w:rPr>
                <w:rFonts w:ascii="Times New Roman" w:hAnsi="Times New Roman" w:cs="Times New Roman"/>
                <w:color w:val="auto"/>
                <w:sz w:val="21"/>
                <w:lang w:eastAsia="zh-CN"/>
              </w:rPr>
              <w:t>刻蚀液</w:t>
            </w:r>
          </w:p>
        </w:tc>
        <w:tc>
          <w:tcPr>
            <w:tcW w:w="909" w:type="pct"/>
            <w:tcBorders>
              <w:tl2br w:val="nil"/>
              <w:tr2bl w:val="nil"/>
            </w:tcBorders>
            <w:vAlign w:val="center"/>
          </w:tcPr>
          <w:p w14:paraId="5C30F6E9">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毒性、腐蚀性</w:t>
            </w:r>
          </w:p>
        </w:tc>
        <w:tc>
          <w:tcPr>
            <w:tcW w:w="1126" w:type="pct"/>
            <w:tcBorders>
              <w:tl2br w:val="nil"/>
              <w:tr2bl w:val="nil"/>
            </w:tcBorders>
            <w:vAlign w:val="center"/>
          </w:tcPr>
          <w:p w14:paraId="5D7D1DD6">
            <w:pPr>
              <w:adjustRightInd w:val="0"/>
              <w:snapToGrid w:val="0"/>
              <w:jc w:val="center"/>
              <w:rPr>
                <w:rFonts w:ascii="Times New Roman" w:hAnsi="Times New Roman" w:cs="Times New Roman"/>
                <w:bCs/>
                <w:color w:val="auto"/>
                <w:sz w:val="21"/>
                <w:lang w:eastAsia="zh-CN"/>
              </w:rPr>
            </w:pPr>
            <w:r>
              <w:rPr>
                <w:rFonts w:ascii="Times New Roman" w:hAnsi="Times New Roman" w:cs="Times New Roman"/>
                <w:bCs/>
                <w:color w:val="auto"/>
                <w:sz w:val="21"/>
                <w:lang w:eastAsia="zh-CN"/>
              </w:rPr>
              <w:t>泄漏、腐蚀、中毒、人员伤害</w:t>
            </w:r>
          </w:p>
        </w:tc>
      </w:tr>
    </w:tbl>
    <w:p w14:paraId="4B30115B">
      <w:pPr>
        <w:spacing w:line="360" w:lineRule="auto"/>
        <w:ind w:firstLine="482"/>
        <w:outlineLvl w:val="2"/>
        <w:rPr>
          <w:rFonts w:ascii="Times New Roman" w:hAnsi="Times New Roman" w:cs="Times New Roman"/>
          <w:b/>
          <w:bCs/>
          <w:color w:val="auto"/>
          <w:lang w:eastAsia="zh-CN"/>
        </w:rPr>
      </w:pPr>
      <w:bookmarkStart w:id="1753" w:name="_Toc237508356"/>
      <w:bookmarkStart w:id="1754" w:name="_Toc225784122"/>
      <w:bookmarkStart w:id="1755" w:name="_Toc231828643"/>
      <w:bookmarkStart w:id="1756" w:name="_Toc236641891"/>
      <w:r>
        <w:rPr>
          <w:rFonts w:ascii="Times New Roman" w:hAnsi="Times New Roman" w:cs="Times New Roman"/>
          <w:b/>
          <w:bCs/>
          <w:color w:val="auto"/>
          <w:lang w:eastAsia="zh-CN"/>
        </w:rPr>
        <w:t>7.2.</w:t>
      </w:r>
      <w:r>
        <w:rPr>
          <w:rFonts w:hint="eastAsia" w:ascii="Times New Roman" w:hAnsi="Times New Roman" w:cs="Times New Roman"/>
          <w:b/>
          <w:bCs/>
          <w:color w:val="auto"/>
          <w:lang w:eastAsia="zh-CN"/>
        </w:rPr>
        <w:t>2</w:t>
      </w:r>
      <w:r>
        <w:rPr>
          <w:rFonts w:ascii="Times New Roman" w:hAnsi="Times New Roman" w:cs="Times New Roman"/>
          <w:b/>
          <w:bCs/>
          <w:color w:val="auto"/>
          <w:lang w:eastAsia="zh-CN"/>
        </w:rPr>
        <w:t xml:space="preserve"> </w:t>
      </w:r>
      <w:r>
        <w:rPr>
          <w:rFonts w:hint="eastAsia" w:ascii="Times New Roman" w:hAnsi="Times New Roman" w:cs="Times New Roman"/>
          <w:b/>
          <w:bCs/>
          <w:color w:val="auto"/>
          <w:lang w:eastAsia="zh-CN"/>
        </w:rPr>
        <w:t>现有工程风险防范措施有效性分析</w:t>
      </w:r>
      <w:bookmarkEnd w:id="1753"/>
      <w:bookmarkEnd w:id="1754"/>
      <w:bookmarkEnd w:id="1755"/>
      <w:bookmarkEnd w:id="1756"/>
    </w:p>
    <w:p w14:paraId="7997A84C">
      <w:pPr>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（1）现有环境风险防范措施</w:t>
      </w:r>
    </w:p>
    <w:p w14:paraId="4A206811">
      <w:pPr>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现有环境风险防范措施如下：</w:t>
      </w:r>
    </w:p>
    <w:p w14:paraId="584522C6">
      <w:pPr>
        <w:spacing w:line="360" w:lineRule="auto"/>
        <w:jc w:val="center"/>
        <w:rPr>
          <w:rFonts w:ascii="Times New Roman" w:hAnsi="Times New Roman" w:cs="Times New Roman"/>
          <w:b/>
          <w:bCs/>
          <w:color w:val="auto"/>
          <w:lang w:eastAsia="zh-CN"/>
        </w:rPr>
      </w:pPr>
      <w:r>
        <w:rPr>
          <w:rFonts w:hint="eastAsia" w:ascii="Times New Roman" w:hAnsi="Times New Roman" w:cs="Times New Roman"/>
          <w:b/>
          <w:bCs/>
          <w:color w:val="auto"/>
          <w:lang w:eastAsia="zh-CN"/>
        </w:rPr>
        <w:t>表7.2-4 现有工程环境风险防范措施一览表</w:t>
      </w:r>
    </w:p>
    <w:tbl>
      <w:tblPr>
        <w:tblStyle w:val="35"/>
        <w:tblW w:w="4998" w:type="pct"/>
        <w:tblInd w:w="0" w:type="dxa"/>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Layout w:type="autofit"/>
        <w:tblCellMar>
          <w:top w:w="0" w:type="dxa"/>
          <w:left w:w="108" w:type="dxa"/>
          <w:bottom w:w="0" w:type="dxa"/>
          <w:right w:w="108" w:type="dxa"/>
        </w:tblCellMar>
      </w:tblPr>
      <w:tblGrid>
        <w:gridCol w:w="1134"/>
        <w:gridCol w:w="7655"/>
        <w:gridCol w:w="953"/>
      </w:tblGrid>
      <w:tr w14:paraId="46972A7D">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283" w:hRule="atLeast"/>
        </w:trPr>
        <w:tc>
          <w:tcPr>
            <w:tcW w:w="582" w:type="pct"/>
            <w:tcBorders>
              <w:tl2br w:val="nil"/>
              <w:tr2bl w:val="nil"/>
            </w:tcBorders>
            <w:vAlign w:val="center"/>
          </w:tcPr>
          <w:p w14:paraId="6F53F485">
            <w:pPr>
              <w:pStyle w:val="141"/>
              <w:rPr>
                <w:rFonts w:ascii="Times New Roman" w:hAnsi="Times New Roman"/>
                <w:b/>
                <w:color w:val="auto"/>
              </w:rPr>
            </w:pPr>
            <w:r>
              <w:rPr>
                <w:rFonts w:ascii="Times New Roman" w:hAnsi="Times New Roman"/>
                <w:b/>
                <w:color w:val="auto"/>
              </w:rPr>
              <w:t>类别</w:t>
            </w:r>
          </w:p>
        </w:tc>
        <w:tc>
          <w:tcPr>
            <w:tcW w:w="3929" w:type="pct"/>
            <w:tcBorders>
              <w:tl2br w:val="nil"/>
              <w:tr2bl w:val="nil"/>
            </w:tcBorders>
            <w:vAlign w:val="center"/>
          </w:tcPr>
          <w:p w14:paraId="02D8966B">
            <w:pPr>
              <w:pStyle w:val="141"/>
              <w:rPr>
                <w:rFonts w:ascii="Times New Roman" w:hAnsi="Times New Roman"/>
                <w:b/>
                <w:color w:val="auto"/>
                <w:lang w:eastAsia="zh-CN"/>
              </w:rPr>
            </w:pPr>
            <w:r>
              <w:rPr>
                <w:rFonts w:ascii="Times New Roman" w:hAnsi="Times New Roman"/>
                <w:b/>
                <w:color w:val="auto"/>
                <w:lang w:eastAsia="zh-CN"/>
              </w:rPr>
              <w:t>企业现有防范与应急措施</w:t>
            </w:r>
          </w:p>
        </w:tc>
        <w:tc>
          <w:tcPr>
            <w:tcW w:w="489" w:type="pct"/>
            <w:tcBorders>
              <w:tl2br w:val="nil"/>
              <w:tr2bl w:val="nil"/>
            </w:tcBorders>
            <w:vAlign w:val="center"/>
          </w:tcPr>
          <w:p w14:paraId="4A0F4357">
            <w:pPr>
              <w:pStyle w:val="141"/>
              <w:rPr>
                <w:rFonts w:ascii="Times New Roman" w:hAnsi="Times New Roman"/>
                <w:b/>
                <w:color w:val="auto"/>
              </w:rPr>
            </w:pPr>
            <w:r>
              <w:rPr>
                <w:rFonts w:ascii="Times New Roman" w:hAnsi="Times New Roman"/>
                <w:b/>
                <w:color w:val="auto"/>
              </w:rPr>
              <w:t>有效性分析</w:t>
            </w:r>
          </w:p>
        </w:tc>
      </w:tr>
      <w:tr w14:paraId="55EA47C5">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283" w:hRule="atLeast"/>
        </w:trPr>
        <w:tc>
          <w:tcPr>
            <w:tcW w:w="582" w:type="pct"/>
            <w:vMerge w:val="restart"/>
            <w:tcBorders>
              <w:tl2br w:val="nil"/>
              <w:tr2bl w:val="nil"/>
            </w:tcBorders>
            <w:vAlign w:val="center"/>
          </w:tcPr>
          <w:p w14:paraId="3045CBA3">
            <w:pPr>
              <w:pStyle w:val="141"/>
              <w:rPr>
                <w:rFonts w:ascii="Times New Roman" w:hAnsi="Times New Roman"/>
                <w:color w:val="auto"/>
              </w:rPr>
            </w:pPr>
            <w:r>
              <w:rPr>
                <w:rFonts w:ascii="Times New Roman" w:hAnsi="Times New Roman"/>
                <w:color w:val="auto"/>
              </w:rPr>
              <w:t>截流措施</w:t>
            </w:r>
          </w:p>
        </w:tc>
        <w:tc>
          <w:tcPr>
            <w:tcW w:w="3929" w:type="pct"/>
            <w:tcBorders>
              <w:tl2br w:val="nil"/>
              <w:tr2bl w:val="nil"/>
            </w:tcBorders>
            <w:vAlign w:val="center"/>
          </w:tcPr>
          <w:p w14:paraId="00A1F7F9">
            <w:pPr>
              <w:pStyle w:val="141"/>
              <w:jc w:val="both"/>
              <w:rPr>
                <w:rFonts w:ascii="Times New Roman" w:hAnsi="Times New Roman"/>
                <w:b/>
                <w:color w:val="auto"/>
                <w:lang w:eastAsia="zh-CN"/>
              </w:rPr>
            </w:pPr>
            <w:r>
              <w:rPr>
                <w:rFonts w:hint="eastAsia" w:ascii="Times New Roman" w:hAnsi="Times New Roman"/>
                <w:b/>
                <w:color w:val="auto"/>
                <w:lang w:eastAsia="zh-CN"/>
              </w:rPr>
              <w:t>综合车间</w:t>
            </w:r>
            <w:r>
              <w:rPr>
                <w:rFonts w:ascii="Times New Roman" w:hAnsi="Times New Roman"/>
                <w:b/>
                <w:color w:val="auto"/>
                <w:lang w:eastAsia="zh-CN"/>
              </w:rPr>
              <w:t>：</w:t>
            </w:r>
          </w:p>
          <w:p w14:paraId="60B2B112">
            <w:pPr>
              <w:pStyle w:val="141"/>
              <w:ind w:firstLine="420" w:firstLineChars="200"/>
              <w:jc w:val="both"/>
              <w:rPr>
                <w:rFonts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综合车间地面采用</w:t>
            </w:r>
            <w:r>
              <w:rPr>
                <w:rFonts w:ascii="Times New Roman" w:hAnsi="Times New Roman"/>
                <w:color w:val="auto"/>
                <w:lang w:eastAsia="zh-CN"/>
              </w:rPr>
              <w:t>混凝土地面，</w:t>
            </w:r>
            <w:r>
              <w:rPr>
                <w:rFonts w:hint="eastAsia" w:ascii="Times New Roman" w:hAnsi="Times New Roman"/>
                <w:color w:val="auto"/>
                <w:lang w:eastAsia="zh-CN"/>
              </w:rPr>
              <w:t>并</w:t>
            </w:r>
            <w:r>
              <w:rPr>
                <w:rFonts w:ascii="Times New Roman" w:hAnsi="Times New Roman"/>
                <w:color w:val="auto"/>
                <w:lang w:eastAsia="zh-CN"/>
              </w:rPr>
              <w:t>采取防腐防渗措施</w:t>
            </w:r>
            <w:r>
              <w:rPr>
                <w:rFonts w:hint="eastAsia" w:ascii="Times New Roman" w:hAnsi="Times New Roman"/>
                <w:color w:val="auto"/>
                <w:lang w:eastAsia="zh-CN"/>
              </w:rPr>
              <w:t>；车间设置围堰，</w:t>
            </w:r>
            <w:r>
              <w:rPr>
                <w:rFonts w:ascii="Times New Roman" w:hAnsi="Times New Roman"/>
                <w:color w:val="auto"/>
                <w:lang w:eastAsia="zh-CN"/>
              </w:rPr>
              <w:t>并配备</w:t>
            </w:r>
            <w:r>
              <w:rPr>
                <w:rFonts w:hAnsi="宋体" w:cs="Times New Roman"/>
                <w:color w:val="auto"/>
                <w:lang w:eastAsia="zh-CN"/>
              </w:rPr>
              <w:t>有毒有害气体</w:t>
            </w:r>
            <w:r>
              <w:rPr>
                <w:rFonts w:hint="eastAsia" w:hAnsi="宋体" w:cs="Times New Roman"/>
                <w:color w:val="auto"/>
                <w:lang w:eastAsia="zh-CN"/>
              </w:rPr>
              <w:t>探测器、气体泄漏</w:t>
            </w:r>
            <w:r>
              <w:rPr>
                <w:rFonts w:hAnsi="宋体" w:cs="Times New Roman"/>
                <w:color w:val="auto"/>
                <w:lang w:eastAsia="zh-CN"/>
              </w:rPr>
              <w:t>报警</w:t>
            </w:r>
            <w:r>
              <w:rPr>
                <w:rFonts w:hint="eastAsia" w:hAnsi="宋体" w:cs="Times New Roman"/>
                <w:color w:val="auto"/>
                <w:lang w:eastAsia="zh-CN"/>
              </w:rPr>
              <w:t>系统（连通终端中控室）</w:t>
            </w:r>
            <w:r>
              <w:rPr>
                <w:rFonts w:hAnsi="宋体" w:cs="Times New Roman"/>
                <w:color w:val="auto"/>
                <w:lang w:eastAsia="zh-CN"/>
              </w:rPr>
              <w:t>、紧急抽风系统及应急喷淋设施</w:t>
            </w:r>
            <w:r>
              <w:rPr>
                <w:rFonts w:hint="eastAsia" w:ascii="Times New Roman" w:hAnsi="Times New Roman"/>
                <w:color w:val="auto"/>
                <w:lang w:eastAsia="zh-CN"/>
              </w:rPr>
              <w:t>；</w:t>
            </w:r>
          </w:p>
          <w:p w14:paraId="423FE06C">
            <w:pPr>
              <w:pStyle w:val="141"/>
              <w:jc w:val="both"/>
              <w:rPr>
                <w:rFonts w:ascii="Times New Roman" w:hAnsi="Times New Roman"/>
                <w:b/>
                <w:color w:val="auto"/>
                <w:lang w:eastAsia="zh-CN"/>
              </w:rPr>
            </w:pPr>
            <w:r>
              <w:rPr>
                <w:rFonts w:hint="eastAsia" w:ascii="Times New Roman" w:hAnsi="Times New Roman"/>
                <w:b/>
                <w:color w:val="auto"/>
                <w:lang w:eastAsia="zh-CN"/>
              </w:rPr>
              <w:t>原料及产品罐区</w:t>
            </w:r>
            <w:r>
              <w:rPr>
                <w:rFonts w:ascii="Times New Roman" w:hAnsi="Times New Roman"/>
                <w:b/>
                <w:color w:val="auto"/>
                <w:lang w:eastAsia="zh-CN"/>
              </w:rPr>
              <w:t>：</w:t>
            </w:r>
          </w:p>
          <w:p w14:paraId="27916F38">
            <w:pPr>
              <w:pStyle w:val="141"/>
              <w:ind w:firstLine="420" w:firstLineChars="200"/>
              <w:jc w:val="both"/>
              <w:rPr>
                <w:rFonts w:ascii="Times New Roman" w:hAnsi="Times New Roman"/>
                <w:color w:val="auto"/>
                <w:lang w:eastAsia="zh-CN"/>
              </w:rPr>
            </w:pPr>
            <w:r>
              <w:rPr>
                <w:rFonts w:hint="eastAsia" w:ascii="Times New Roman" w:hAnsi="Times New Roman" w:cs="Times New Roman"/>
                <w:color w:val="000000" w:themeColor="text1"/>
                <w:lang w:eastAsia="zh-CN"/>
                <w14:textFill>
                  <w14:solidFill>
                    <w14:schemeClr w14:val="tx1"/>
                  </w14:solidFill>
                </w14:textFill>
              </w:rPr>
              <w:t>罐区地面采用</w:t>
            </w:r>
            <w:r>
              <w:rPr>
                <w:rFonts w:ascii="Times New Roman" w:hAnsi="Times New Roman"/>
                <w:color w:val="auto"/>
                <w:lang w:eastAsia="zh-CN"/>
              </w:rPr>
              <w:t>混凝土地面，</w:t>
            </w:r>
            <w:r>
              <w:rPr>
                <w:rFonts w:hint="eastAsia" w:ascii="Times New Roman" w:hAnsi="Times New Roman"/>
                <w:color w:val="auto"/>
                <w:lang w:eastAsia="zh-CN"/>
              </w:rPr>
              <w:t>并</w:t>
            </w:r>
            <w:r>
              <w:rPr>
                <w:rFonts w:ascii="Times New Roman" w:hAnsi="Times New Roman"/>
                <w:color w:val="auto"/>
                <w:lang w:eastAsia="zh-CN"/>
              </w:rPr>
              <w:t>采取防腐防渗措施</w:t>
            </w:r>
            <w:r>
              <w:rPr>
                <w:rFonts w:hint="eastAsia" w:ascii="Times New Roman" w:hAnsi="Times New Roman"/>
                <w:color w:val="auto"/>
                <w:lang w:eastAsia="zh-CN"/>
              </w:rPr>
              <w:t>；罐区设置1.5m高围堰，</w:t>
            </w:r>
            <w:r>
              <w:rPr>
                <w:rFonts w:hAnsi="宋体" w:cs="Times New Roman"/>
                <w:color w:val="auto"/>
                <w:lang w:eastAsia="zh-CN"/>
              </w:rPr>
              <w:t>并配备有毒有害气体</w:t>
            </w:r>
            <w:r>
              <w:rPr>
                <w:rFonts w:hint="eastAsia" w:hAnsi="宋体" w:cs="Times New Roman"/>
                <w:color w:val="auto"/>
                <w:lang w:eastAsia="zh-CN"/>
              </w:rPr>
              <w:t>探测器、气体泄漏</w:t>
            </w:r>
            <w:r>
              <w:rPr>
                <w:rFonts w:hAnsi="宋体" w:cs="Times New Roman"/>
                <w:color w:val="auto"/>
                <w:lang w:eastAsia="zh-CN"/>
              </w:rPr>
              <w:t>报警</w:t>
            </w:r>
            <w:r>
              <w:rPr>
                <w:rFonts w:hint="eastAsia" w:hAnsi="宋体" w:cs="Times New Roman"/>
                <w:color w:val="auto"/>
                <w:lang w:eastAsia="zh-CN"/>
              </w:rPr>
              <w:t>系统（连通终端中控室）及</w:t>
            </w:r>
            <w:r>
              <w:rPr>
                <w:rFonts w:hAnsi="宋体" w:cs="Times New Roman"/>
                <w:color w:val="auto"/>
                <w:lang w:eastAsia="zh-CN"/>
              </w:rPr>
              <w:t>应急喷淋设施</w:t>
            </w:r>
            <w:r>
              <w:rPr>
                <w:rFonts w:ascii="Times New Roman" w:hAnsi="Times New Roman"/>
                <w:color w:val="auto"/>
                <w:lang w:eastAsia="zh-CN"/>
              </w:rPr>
              <w:t>。</w:t>
            </w:r>
          </w:p>
          <w:p w14:paraId="116484F9">
            <w:pPr>
              <w:pStyle w:val="141"/>
              <w:jc w:val="both"/>
              <w:rPr>
                <w:rFonts w:ascii="Times New Roman" w:hAnsi="Times New Roman"/>
                <w:b/>
                <w:color w:val="auto"/>
                <w:lang w:eastAsia="zh-CN"/>
              </w:rPr>
            </w:pPr>
            <w:r>
              <w:rPr>
                <w:rFonts w:hint="eastAsia" w:ascii="Times New Roman" w:hAnsi="Times New Roman"/>
                <w:b/>
                <w:color w:val="auto"/>
                <w:lang w:eastAsia="zh-CN"/>
              </w:rPr>
              <w:t>无水氟化氢库房及丁类仓库</w:t>
            </w:r>
            <w:r>
              <w:rPr>
                <w:rFonts w:ascii="Times New Roman" w:hAnsi="Times New Roman"/>
                <w:b/>
                <w:color w:val="auto"/>
                <w:lang w:eastAsia="zh-CN"/>
              </w:rPr>
              <w:t>：</w:t>
            </w:r>
          </w:p>
          <w:p w14:paraId="584DFED3">
            <w:pPr>
              <w:pStyle w:val="141"/>
              <w:ind w:firstLine="420" w:firstLineChars="200"/>
              <w:jc w:val="both"/>
              <w:rPr>
                <w:rFonts w:ascii="Times New Roman" w:hAnsi="Times New Roman"/>
                <w:b/>
                <w:color w:val="auto"/>
                <w:lang w:eastAsia="zh-CN"/>
              </w:rPr>
            </w:pPr>
            <w:r>
              <w:rPr>
                <w:rFonts w:ascii="Times New Roman" w:hAnsi="Times New Roman"/>
                <w:color w:val="auto"/>
                <w:lang w:eastAsia="zh-CN"/>
              </w:rPr>
              <w:t>地面均已做防腐防渗处理，四周建有</w:t>
            </w:r>
            <w:r>
              <w:rPr>
                <w:rFonts w:hint="eastAsia" w:ascii="Times New Roman" w:hAnsi="Times New Roman" w:cs="Times New Roman"/>
                <w:color w:val="000000" w:themeColor="text1"/>
                <w:lang w:eastAsia="zh-CN"/>
                <w14:textFill>
                  <w14:solidFill>
                    <w14:schemeClr w14:val="tx1"/>
                  </w14:solidFill>
                </w14:textFill>
              </w:rPr>
              <w:t>导流</w:t>
            </w:r>
            <w:r>
              <w:rPr>
                <w:rFonts w:ascii="Times New Roman" w:hAnsi="Times New Roman" w:cs="Times New Roman"/>
                <w:color w:val="000000" w:themeColor="text1"/>
                <w:lang w:eastAsia="zh-CN"/>
                <w14:textFill>
                  <w14:solidFill>
                    <w14:schemeClr w14:val="tx1"/>
                  </w14:solidFill>
                </w14:textFill>
              </w:rPr>
              <w:t>集液池</w:t>
            </w:r>
            <w:r>
              <w:rPr>
                <w:rFonts w:hint="eastAsia" w:cs="Times New Roman"/>
                <w:color w:val="auto"/>
                <w:lang w:eastAsia="zh-CN"/>
              </w:rPr>
              <w:t>及应急抽水泵</w:t>
            </w:r>
            <w:r>
              <w:rPr>
                <w:rFonts w:hAnsi="宋体" w:cs="Times New Roman"/>
                <w:color w:val="auto"/>
                <w:lang w:eastAsia="zh-CN"/>
              </w:rPr>
              <w:t>，并配备有毒有害气体</w:t>
            </w:r>
            <w:r>
              <w:rPr>
                <w:rFonts w:hint="eastAsia" w:hAnsi="宋体" w:cs="Times New Roman"/>
                <w:color w:val="auto"/>
                <w:lang w:eastAsia="zh-CN"/>
              </w:rPr>
              <w:t>探测器、气体泄漏</w:t>
            </w:r>
            <w:r>
              <w:rPr>
                <w:rFonts w:hAnsi="宋体" w:cs="Times New Roman"/>
                <w:color w:val="auto"/>
                <w:lang w:eastAsia="zh-CN"/>
              </w:rPr>
              <w:t>报警</w:t>
            </w:r>
            <w:r>
              <w:rPr>
                <w:rFonts w:hint="eastAsia" w:hAnsi="宋体" w:cs="Times New Roman"/>
                <w:color w:val="auto"/>
                <w:lang w:eastAsia="zh-CN"/>
              </w:rPr>
              <w:t>系统（连通终端中控室）</w:t>
            </w:r>
            <w:r>
              <w:rPr>
                <w:rFonts w:hAnsi="宋体" w:cs="Times New Roman"/>
                <w:color w:val="auto"/>
                <w:lang w:eastAsia="zh-CN"/>
              </w:rPr>
              <w:t>、紧急抽风系统及应急喷淋设施</w:t>
            </w:r>
            <w:r>
              <w:rPr>
                <w:rFonts w:ascii="Times New Roman" w:hAnsi="Times New Roman"/>
                <w:color w:val="auto"/>
                <w:lang w:eastAsia="zh-CN"/>
              </w:rPr>
              <w:t>。</w:t>
            </w:r>
          </w:p>
          <w:p w14:paraId="4335D199">
            <w:pPr>
              <w:pStyle w:val="141"/>
              <w:jc w:val="both"/>
              <w:rPr>
                <w:rFonts w:ascii="Times New Roman" w:hAnsi="Times New Roman"/>
                <w:b/>
                <w:color w:val="auto"/>
                <w:lang w:eastAsia="zh-CN"/>
              </w:rPr>
            </w:pPr>
            <w:r>
              <w:rPr>
                <w:rFonts w:ascii="Times New Roman" w:hAnsi="Times New Roman"/>
                <w:b/>
                <w:color w:val="auto"/>
                <w:lang w:eastAsia="zh-CN"/>
              </w:rPr>
              <w:t>危废库：</w:t>
            </w:r>
          </w:p>
          <w:p w14:paraId="02B6B879">
            <w:pPr>
              <w:pStyle w:val="141"/>
              <w:ind w:firstLine="420" w:firstLineChars="200"/>
              <w:jc w:val="both"/>
              <w:rPr>
                <w:rFonts w:ascii="Times New Roman" w:hAnsi="Times New Roman"/>
                <w:color w:val="auto"/>
                <w:lang w:eastAsia="zh-CN"/>
              </w:rPr>
            </w:pPr>
            <w:r>
              <w:rPr>
                <w:rFonts w:hint="eastAsia" w:ascii="Times New Roman" w:hAnsi="Times New Roman"/>
                <w:bCs/>
                <w:color w:val="auto"/>
                <w:lang w:eastAsia="zh-CN"/>
              </w:rPr>
              <w:t>在危废库</w:t>
            </w:r>
            <w:r>
              <w:rPr>
                <w:rFonts w:ascii="Times New Roman" w:hAnsi="Times New Roman"/>
                <w:color w:val="auto"/>
                <w:lang w:eastAsia="zh-CN"/>
              </w:rPr>
              <w:t>地面已做防腐防渗处理，同时四周建有导流截污沟。</w:t>
            </w:r>
          </w:p>
        </w:tc>
        <w:tc>
          <w:tcPr>
            <w:tcW w:w="489" w:type="pct"/>
            <w:vMerge w:val="restart"/>
            <w:tcBorders>
              <w:tl2br w:val="nil"/>
              <w:tr2bl w:val="nil"/>
            </w:tcBorders>
            <w:vAlign w:val="center"/>
          </w:tcPr>
          <w:p w14:paraId="36CF9DEC">
            <w:pPr>
              <w:jc w:val="center"/>
              <w:rPr>
                <w:rFonts w:ascii="Times New Roman"/>
                <w:b/>
                <w:color w:val="auto"/>
                <w:sz w:val="21"/>
              </w:rPr>
            </w:pPr>
            <w:r>
              <w:rPr>
                <w:rFonts w:ascii="Times New Roman"/>
                <w:color w:val="auto"/>
                <w:spacing w:val="-6"/>
                <w:sz w:val="21"/>
              </w:rPr>
              <w:t>符合</w:t>
            </w:r>
            <w:r>
              <w:rPr>
                <w:rFonts w:ascii="Times New Roman"/>
                <w:color w:val="auto"/>
                <w:spacing w:val="-5"/>
                <w:sz w:val="21"/>
              </w:rPr>
              <w:t>相关要求</w:t>
            </w:r>
          </w:p>
        </w:tc>
      </w:tr>
      <w:tr w14:paraId="19431D63">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283" w:hRule="atLeast"/>
        </w:trPr>
        <w:tc>
          <w:tcPr>
            <w:tcW w:w="582" w:type="pct"/>
            <w:vMerge w:val="continue"/>
            <w:tcBorders>
              <w:tl2br w:val="nil"/>
              <w:tr2bl w:val="nil"/>
            </w:tcBorders>
            <w:vAlign w:val="center"/>
          </w:tcPr>
          <w:p w14:paraId="17D023AA">
            <w:pPr>
              <w:jc w:val="center"/>
              <w:rPr>
                <w:rFonts w:ascii="Times New Roman"/>
                <w:color w:val="auto"/>
                <w:sz w:val="21"/>
              </w:rPr>
            </w:pPr>
          </w:p>
        </w:tc>
        <w:tc>
          <w:tcPr>
            <w:tcW w:w="3929" w:type="pct"/>
            <w:tcBorders>
              <w:tl2br w:val="nil"/>
              <w:tr2bl w:val="nil"/>
            </w:tcBorders>
            <w:vAlign w:val="center"/>
          </w:tcPr>
          <w:p w14:paraId="26F4F518">
            <w:pPr>
              <w:jc w:val="both"/>
              <w:rPr>
                <w:rFonts w:ascii="Times New Roman"/>
                <w:bCs/>
                <w:color w:val="auto"/>
                <w:sz w:val="21"/>
                <w:lang w:eastAsia="zh-CN"/>
              </w:rPr>
            </w:pPr>
            <w:r>
              <w:rPr>
                <w:rFonts w:hint="eastAsia" w:ascii="Times New Roman"/>
                <w:bCs/>
                <w:color w:val="auto"/>
                <w:sz w:val="21"/>
                <w:lang w:eastAsia="zh-CN"/>
              </w:rPr>
              <w:t>公司</w:t>
            </w:r>
            <w:r>
              <w:rPr>
                <w:rFonts w:ascii="Times New Roman"/>
                <w:bCs/>
                <w:color w:val="auto"/>
                <w:sz w:val="21"/>
                <w:lang w:eastAsia="zh-CN"/>
              </w:rPr>
              <w:t>设置对厂内截污阀门</w:t>
            </w:r>
            <w:r>
              <w:rPr>
                <w:rFonts w:hint="eastAsia" w:ascii="Times New Roman"/>
                <w:bCs/>
                <w:color w:val="auto"/>
                <w:sz w:val="21"/>
                <w:lang w:eastAsia="zh-CN"/>
              </w:rPr>
              <w:t>自动</w:t>
            </w:r>
            <w:r>
              <w:rPr>
                <w:rFonts w:ascii="Times New Roman"/>
                <w:bCs/>
                <w:color w:val="auto"/>
                <w:sz w:val="21"/>
                <w:lang w:eastAsia="zh-CN"/>
              </w:rPr>
              <w:t>切换</w:t>
            </w:r>
            <w:r>
              <w:rPr>
                <w:rFonts w:hint="eastAsia" w:ascii="Times New Roman"/>
                <w:bCs/>
                <w:color w:val="auto"/>
                <w:sz w:val="21"/>
                <w:lang w:eastAsia="zh-CN"/>
              </w:rPr>
              <w:t>装置</w:t>
            </w:r>
            <w:r>
              <w:rPr>
                <w:rFonts w:ascii="Times New Roman"/>
                <w:bCs/>
                <w:color w:val="auto"/>
                <w:sz w:val="21"/>
                <w:lang w:eastAsia="zh-CN"/>
              </w:rPr>
              <w:t>，日常管理及维护良好，保证初期雨水、泄漏</w:t>
            </w:r>
            <w:r>
              <w:rPr>
                <w:rFonts w:hint="eastAsia" w:ascii="Times New Roman"/>
                <w:bCs/>
                <w:color w:val="auto"/>
                <w:sz w:val="21"/>
                <w:lang w:eastAsia="zh-CN"/>
              </w:rPr>
              <w:t>物质</w:t>
            </w:r>
            <w:r>
              <w:rPr>
                <w:rFonts w:ascii="Times New Roman"/>
                <w:bCs/>
                <w:color w:val="auto"/>
                <w:sz w:val="21"/>
                <w:lang w:eastAsia="zh-CN"/>
              </w:rPr>
              <w:t>和受污染的事故废水排入污水系统。</w:t>
            </w:r>
          </w:p>
        </w:tc>
        <w:tc>
          <w:tcPr>
            <w:tcW w:w="489" w:type="pct"/>
            <w:vMerge w:val="continue"/>
            <w:tcBorders>
              <w:tl2br w:val="nil"/>
              <w:tr2bl w:val="nil"/>
            </w:tcBorders>
            <w:vAlign w:val="center"/>
          </w:tcPr>
          <w:p w14:paraId="1E6B665F">
            <w:pPr>
              <w:jc w:val="center"/>
              <w:rPr>
                <w:rFonts w:ascii="Times New Roman"/>
                <w:bCs/>
                <w:color w:val="auto"/>
                <w:sz w:val="21"/>
                <w:lang w:eastAsia="zh-CN"/>
              </w:rPr>
            </w:pPr>
          </w:p>
        </w:tc>
      </w:tr>
      <w:tr w14:paraId="0396F4DD">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283" w:hRule="atLeast"/>
        </w:trPr>
        <w:tc>
          <w:tcPr>
            <w:tcW w:w="582" w:type="pct"/>
            <w:tcBorders>
              <w:tl2br w:val="nil"/>
              <w:tr2bl w:val="nil"/>
            </w:tcBorders>
            <w:vAlign w:val="center"/>
          </w:tcPr>
          <w:p w14:paraId="3ECB0E65">
            <w:pPr>
              <w:jc w:val="center"/>
              <w:rPr>
                <w:rFonts w:ascii="Times New Roman"/>
                <w:color w:val="auto"/>
                <w:sz w:val="21"/>
              </w:rPr>
            </w:pPr>
            <w:r>
              <w:rPr>
                <w:rFonts w:ascii="Times New Roman"/>
                <w:color w:val="auto"/>
                <w:sz w:val="21"/>
              </w:rPr>
              <w:t>事故排水收集措施</w:t>
            </w:r>
          </w:p>
        </w:tc>
        <w:tc>
          <w:tcPr>
            <w:tcW w:w="3929" w:type="pct"/>
            <w:tcBorders>
              <w:tl2br w:val="nil"/>
              <w:tr2bl w:val="nil"/>
            </w:tcBorders>
            <w:vAlign w:val="center"/>
          </w:tcPr>
          <w:p w14:paraId="0EF411B6">
            <w:pPr>
              <w:pStyle w:val="141"/>
              <w:jc w:val="both"/>
              <w:rPr>
                <w:rFonts w:ascii="Times New Roman" w:hAnsi="Times New Roman"/>
                <w:color w:val="auto"/>
                <w:lang w:eastAsia="zh-CN"/>
              </w:rPr>
            </w:pPr>
            <w:r>
              <w:rPr>
                <w:rFonts w:ascii="Times New Roman" w:hAnsi="Times New Roman"/>
                <w:color w:val="auto"/>
                <w:lang w:eastAsia="zh-CN"/>
              </w:rPr>
              <w:t>现有</w:t>
            </w:r>
            <w:r>
              <w:rPr>
                <w:rFonts w:hint="eastAsia" w:ascii="Times New Roman" w:hAnsi="Times New Roman"/>
                <w:color w:val="auto"/>
                <w:lang w:eastAsia="zh-CN"/>
              </w:rPr>
              <w:t>1</w:t>
            </w:r>
            <w:r>
              <w:rPr>
                <w:rFonts w:ascii="Times New Roman" w:hAnsi="Times New Roman"/>
                <w:color w:val="auto"/>
                <w:lang w:eastAsia="zh-CN"/>
              </w:rPr>
              <w:t>座事故池</w:t>
            </w:r>
            <w:r>
              <w:rPr>
                <w:rFonts w:hint="eastAsia" w:ascii="Times New Roman" w:hAnsi="Times New Roman"/>
                <w:color w:val="auto"/>
                <w:lang w:eastAsia="zh-CN"/>
              </w:rPr>
              <w:t>（容积为672.3m</w:t>
            </w:r>
            <w:r>
              <w:rPr>
                <w:rFonts w:hint="eastAsia" w:ascii="Times New Roman" w:hAnsi="Times New Roman"/>
                <w:color w:val="auto"/>
                <w:vertAlign w:val="superscript"/>
                <w:lang w:eastAsia="zh-CN"/>
              </w:rPr>
              <w:t>3</w:t>
            </w:r>
            <w:r>
              <w:rPr>
                <w:rFonts w:hint="eastAsia" w:ascii="Times New Roman" w:hAnsi="Times New Roman"/>
                <w:color w:val="auto"/>
                <w:lang w:eastAsia="zh-CN"/>
              </w:rPr>
              <w:t>），</w:t>
            </w:r>
            <w:r>
              <w:rPr>
                <w:rFonts w:ascii="Times New Roman" w:hAnsi="Times New Roman"/>
                <w:color w:val="auto"/>
                <w:lang w:eastAsia="zh-CN"/>
              </w:rPr>
              <w:t>满足全厂事故废水收集暂存需求；事故废水送至厂区污水站处理。</w:t>
            </w:r>
          </w:p>
        </w:tc>
        <w:tc>
          <w:tcPr>
            <w:tcW w:w="489" w:type="pct"/>
            <w:tcBorders>
              <w:tl2br w:val="nil"/>
              <w:tr2bl w:val="nil"/>
            </w:tcBorders>
            <w:vAlign w:val="center"/>
          </w:tcPr>
          <w:p w14:paraId="44581E80">
            <w:pPr>
              <w:pStyle w:val="141"/>
              <w:rPr>
                <w:rFonts w:ascii="Times New Roman" w:hAnsi="Times New Roman"/>
                <w:color w:val="auto"/>
              </w:rPr>
            </w:pPr>
            <w:r>
              <w:rPr>
                <w:rFonts w:ascii="Times New Roman" w:hAnsi="Times New Roman"/>
                <w:color w:val="auto"/>
                <w:spacing w:val="-6"/>
              </w:rPr>
              <w:t>符合</w:t>
            </w:r>
            <w:r>
              <w:rPr>
                <w:rFonts w:ascii="Times New Roman" w:hAnsi="Times New Roman"/>
                <w:color w:val="auto"/>
                <w:spacing w:val="-5"/>
              </w:rPr>
              <w:t>相关要求</w:t>
            </w:r>
          </w:p>
        </w:tc>
      </w:tr>
      <w:tr w14:paraId="277B15D4">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283" w:hRule="atLeast"/>
        </w:trPr>
        <w:tc>
          <w:tcPr>
            <w:tcW w:w="582" w:type="pct"/>
            <w:tcBorders>
              <w:tl2br w:val="nil"/>
              <w:tr2bl w:val="nil"/>
            </w:tcBorders>
            <w:vAlign w:val="center"/>
          </w:tcPr>
          <w:p w14:paraId="513C6606">
            <w:pPr>
              <w:jc w:val="center"/>
              <w:rPr>
                <w:rFonts w:ascii="Times New Roman"/>
                <w:color w:val="auto"/>
                <w:sz w:val="21"/>
              </w:rPr>
            </w:pPr>
            <w:r>
              <w:rPr>
                <w:rFonts w:ascii="Times New Roman"/>
                <w:color w:val="auto"/>
                <w:sz w:val="21"/>
              </w:rPr>
              <w:t>雨排水系统防控措施</w:t>
            </w:r>
          </w:p>
        </w:tc>
        <w:tc>
          <w:tcPr>
            <w:tcW w:w="3929" w:type="pct"/>
            <w:tcBorders>
              <w:tl2br w:val="nil"/>
              <w:tr2bl w:val="nil"/>
            </w:tcBorders>
            <w:vAlign w:val="center"/>
          </w:tcPr>
          <w:p w14:paraId="1522E6AC">
            <w:pPr>
              <w:jc w:val="both"/>
              <w:rPr>
                <w:rFonts w:ascii="Times New Roman"/>
                <w:color w:val="auto"/>
                <w:sz w:val="21"/>
                <w:lang w:eastAsia="zh-CN"/>
              </w:rPr>
            </w:pPr>
            <w:r>
              <w:rPr>
                <w:rFonts w:ascii="Times New Roman"/>
                <w:color w:val="auto"/>
                <w:sz w:val="21"/>
                <w:lang w:eastAsia="zh-CN"/>
              </w:rPr>
              <w:t>厂区实行雨污分流，</w:t>
            </w:r>
            <w:r>
              <w:rPr>
                <w:rFonts w:hint="eastAsia" w:ascii="Times New Roman"/>
                <w:color w:val="auto"/>
                <w:sz w:val="21"/>
                <w:lang w:eastAsia="zh-CN"/>
              </w:rPr>
              <w:t>现有</w:t>
            </w:r>
            <w:r>
              <w:rPr>
                <w:rFonts w:ascii="Times New Roman"/>
                <w:color w:val="auto"/>
                <w:sz w:val="21"/>
                <w:lang w:eastAsia="zh-CN"/>
              </w:rPr>
              <w:t>1座</w:t>
            </w:r>
            <w:r>
              <w:rPr>
                <w:rFonts w:hint="eastAsia" w:ascii="Times New Roman"/>
                <w:color w:val="auto"/>
                <w:sz w:val="21"/>
                <w:lang w:eastAsia="zh-CN"/>
              </w:rPr>
              <w:t>426.9</w:t>
            </w:r>
            <w:r>
              <w:rPr>
                <w:rFonts w:ascii="Times New Roman"/>
                <w:color w:val="auto"/>
                <w:sz w:val="21"/>
                <w:lang w:eastAsia="zh-CN"/>
              </w:rPr>
              <w:t>m</w:t>
            </w:r>
            <w:r>
              <w:rPr>
                <w:rFonts w:ascii="Times New Roman"/>
                <w:color w:val="auto"/>
                <w:sz w:val="21"/>
                <w:vertAlign w:val="superscript"/>
                <w:lang w:eastAsia="zh-CN"/>
              </w:rPr>
              <w:t>3</w:t>
            </w:r>
            <w:r>
              <w:rPr>
                <w:rFonts w:hint="eastAsia" w:ascii="Times New Roman" w:hAnsi="Times New Roman"/>
                <w:color w:val="auto"/>
                <w:sz w:val="21"/>
                <w:lang w:eastAsia="zh-CN"/>
              </w:rPr>
              <w:t>初期雨水池</w:t>
            </w:r>
            <w:r>
              <w:rPr>
                <w:rFonts w:ascii="Times New Roman"/>
                <w:color w:val="auto"/>
                <w:sz w:val="21"/>
                <w:lang w:eastAsia="zh-CN"/>
              </w:rPr>
              <w:t>，初期雨水</w:t>
            </w:r>
            <w:r>
              <w:rPr>
                <w:rFonts w:hint="eastAsia" w:ascii="Times New Roman"/>
                <w:color w:val="auto"/>
                <w:sz w:val="21"/>
                <w:lang w:eastAsia="zh-CN"/>
              </w:rPr>
              <w:t>经厂区污水处理站处理，满足接管要求后进入沫河口污水处理厂处理。</w:t>
            </w:r>
            <w:r>
              <w:rPr>
                <w:rFonts w:ascii="Times New Roman"/>
                <w:color w:val="auto"/>
                <w:sz w:val="21"/>
                <w:lang w:eastAsia="zh-CN"/>
              </w:rPr>
              <w:t>雨水总排口设置监控摄像头及切换阀门，且有专人负责监管。</w:t>
            </w:r>
          </w:p>
        </w:tc>
        <w:tc>
          <w:tcPr>
            <w:tcW w:w="489" w:type="pct"/>
            <w:tcBorders>
              <w:tl2br w:val="nil"/>
              <w:tr2bl w:val="nil"/>
            </w:tcBorders>
            <w:vAlign w:val="center"/>
          </w:tcPr>
          <w:p w14:paraId="76F81CF0">
            <w:pPr>
              <w:jc w:val="center"/>
              <w:rPr>
                <w:rFonts w:ascii="Times New Roman"/>
                <w:color w:val="auto"/>
                <w:sz w:val="21"/>
              </w:rPr>
            </w:pPr>
            <w:r>
              <w:rPr>
                <w:rFonts w:ascii="Times New Roman"/>
                <w:color w:val="auto"/>
                <w:spacing w:val="-6"/>
                <w:sz w:val="21"/>
              </w:rPr>
              <w:t>符合</w:t>
            </w:r>
            <w:r>
              <w:rPr>
                <w:rFonts w:ascii="Times New Roman"/>
                <w:color w:val="auto"/>
                <w:spacing w:val="-5"/>
                <w:sz w:val="21"/>
              </w:rPr>
              <w:t>相关要求</w:t>
            </w:r>
          </w:p>
        </w:tc>
      </w:tr>
      <w:tr w14:paraId="27458942">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283" w:hRule="atLeast"/>
        </w:trPr>
        <w:tc>
          <w:tcPr>
            <w:tcW w:w="582" w:type="pct"/>
            <w:tcBorders>
              <w:tl2br w:val="nil"/>
              <w:tr2bl w:val="nil"/>
            </w:tcBorders>
            <w:vAlign w:val="center"/>
          </w:tcPr>
          <w:p w14:paraId="38013C8F">
            <w:pPr>
              <w:jc w:val="center"/>
              <w:rPr>
                <w:rFonts w:ascii="Times New Roman"/>
                <w:color w:val="auto"/>
                <w:sz w:val="21"/>
              </w:rPr>
            </w:pPr>
            <w:r>
              <w:rPr>
                <w:rFonts w:ascii="Times New Roman"/>
                <w:color w:val="auto"/>
                <w:sz w:val="21"/>
              </w:rPr>
              <w:t>废水处理系统</w:t>
            </w:r>
          </w:p>
        </w:tc>
        <w:tc>
          <w:tcPr>
            <w:tcW w:w="3929" w:type="pct"/>
            <w:tcBorders>
              <w:tl2br w:val="nil"/>
              <w:tr2bl w:val="nil"/>
            </w:tcBorders>
            <w:vAlign w:val="center"/>
          </w:tcPr>
          <w:p w14:paraId="227D0BEC">
            <w:pPr>
              <w:ind w:firstLine="420" w:firstLineChars="200"/>
              <w:jc w:val="both"/>
              <w:rPr>
                <w:rFonts w:ascii="Times New Roman"/>
                <w:color w:val="auto"/>
                <w:sz w:val="21"/>
                <w:lang w:eastAsia="zh-CN"/>
              </w:rPr>
            </w:pPr>
            <w:r>
              <w:rPr>
                <w:rFonts w:hint="eastAsia" w:ascii="Times New Roman"/>
                <w:color w:val="auto"/>
                <w:sz w:val="21"/>
                <w:lang w:eastAsia="zh-CN"/>
              </w:rPr>
              <w:t>现有污水处理站处理能力40m</w:t>
            </w:r>
            <w:r>
              <w:rPr>
                <w:rFonts w:hint="eastAsia" w:ascii="Times New Roman"/>
                <w:color w:val="auto"/>
                <w:sz w:val="21"/>
                <w:vertAlign w:val="superscript"/>
                <w:lang w:eastAsia="zh-CN"/>
              </w:rPr>
              <w:t>3</w:t>
            </w:r>
            <w:r>
              <w:rPr>
                <w:rFonts w:hint="eastAsia" w:ascii="Times New Roman"/>
                <w:color w:val="auto"/>
                <w:sz w:val="21"/>
                <w:lang w:eastAsia="zh-CN"/>
              </w:rPr>
              <w:t>/d，废水处理工艺：“</w:t>
            </w:r>
            <w:r>
              <w:rPr>
                <w:rFonts w:ascii="Times New Roman" w:hAnsi="Times New Roman" w:cs="Times New Roman"/>
                <w:color w:val="000000" w:themeColor="text1"/>
                <w:sz w:val="21"/>
                <w:lang w:eastAsia="zh-CN"/>
                <w14:textFill>
                  <w14:solidFill>
                    <w14:schemeClr w14:val="tx1"/>
                  </w14:solidFill>
                </w14:textFill>
              </w:rPr>
              <w:t>四级除氟反应+四级除氟沉淀</w:t>
            </w:r>
            <w:r>
              <w:rPr>
                <w:rFonts w:hint="eastAsia" w:ascii="Times New Roman"/>
                <w:color w:val="auto"/>
                <w:sz w:val="21"/>
                <w:lang w:eastAsia="zh-CN"/>
              </w:rPr>
              <w:t>”。</w:t>
            </w:r>
          </w:p>
          <w:p w14:paraId="323F2BA3">
            <w:pPr>
              <w:ind w:firstLine="420" w:firstLineChars="200"/>
              <w:jc w:val="both"/>
              <w:rPr>
                <w:rFonts w:ascii="Times New Roman"/>
                <w:color w:val="auto"/>
                <w:sz w:val="21"/>
                <w:lang w:eastAsia="zh-CN"/>
              </w:rPr>
            </w:pPr>
            <w:r>
              <w:rPr>
                <w:rFonts w:ascii="Times New Roman"/>
                <w:color w:val="auto"/>
                <w:sz w:val="21"/>
                <w:lang w:eastAsia="zh-CN"/>
              </w:rPr>
              <w:t>厂区污水总排口设置出水监控，</w:t>
            </w:r>
            <w:r>
              <w:rPr>
                <w:rFonts w:hint="eastAsia" w:ascii="Times New Roman"/>
                <w:color w:val="auto"/>
                <w:sz w:val="21"/>
                <w:lang w:eastAsia="zh-CN"/>
              </w:rPr>
              <w:t>可确保</w:t>
            </w:r>
            <w:r>
              <w:rPr>
                <w:rFonts w:ascii="Times New Roman"/>
                <w:color w:val="auto"/>
                <w:sz w:val="21"/>
                <w:lang w:eastAsia="zh-CN"/>
              </w:rPr>
              <w:t>废水达标排放，且排口建有应急关闭阀门，设置专人负责启闭。</w:t>
            </w:r>
          </w:p>
        </w:tc>
        <w:tc>
          <w:tcPr>
            <w:tcW w:w="489" w:type="pct"/>
            <w:tcBorders>
              <w:tl2br w:val="nil"/>
              <w:tr2bl w:val="nil"/>
            </w:tcBorders>
            <w:vAlign w:val="center"/>
          </w:tcPr>
          <w:p w14:paraId="3C79C9F5">
            <w:pPr>
              <w:jc w:val="center"/>
              <w:rPr>
                <w:rFonts w:ascii="Times New Roman"/>
                <w:color w:val="auto"/>
                <w:sz w:val="21"/>
              </w:rPr>
            </w:pPr>
            <w:r>
              <w:rPr>
                <w:rFonts w:ascii="Times New Roman"/>
                <w:color w:val="auto"/>
                <w:spacing w:val="-6"/>
                <w:sz w:val="21"/>
              </w:rPr>
              <w:t>符合</w:t>
            </w:r>
            <w:r>
              <w:rPr>
                <w:rFonts w:ascii="Times New Roman"/>
                <w:color w:val="auto"/>
                <w:spacing w:val="-5"/>
                <w:sz w:val="21"/>
              </w:rPr>
              <w:t>相关要求</w:t>
            </w:r>
          </w:p>
        </w:tc>
      </w:tr>
      <w:tr w14:paraId="3CE0360D">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283" w:hRule="atLeast"/>
        </w:trPr>
        <w:tc>
          <w:tcPr>
            <w:tcW w:w="582" w:type="pct"/>
            <w:tcBorders>
              <w:tl2br w:val="nil"/>
              <w:tr2bl w:val="nil"/>
            </w:tcBorders>
            <w:vAlign w:val="center"/>
          </w:tcPr>
          <w:p w14:paraId="31AF66DE">
            <w:pPr>
              <w:jc w:val="center"/>
              <w:rPr>
                <w:rFonts w:ascii="Times New Roman"/>
                <w:color w:val="auto"/>
                <w:sz w:val="21"/>
                <w:lang w:eastAsia="zh-CN"/>
              </w:rPr>
            </w:pPr>
            <w:r>
              <w:rPr>
                <w:rFonts w:ascii="Times New Roman"/>
                <w:color w:val="auto"/>
                <w:sz w:val="21"/>
                <w:lang w:eastAsia="zh-CN"/>
              </w:rPr>
              <w:t>环评及批复的其他风险防控措施落实情况</w:t>
            </w:r>
          </w:p>
        </w:tc>
        <w:tc>
          <w:tcPr>
            <w:tcW w:w="3929" w:type="pct"/>
            <w:tcBorders>
              <w:tl2br w:val="nil"/>
              <w:tr2bl w:val="nil"/>
            </w:tcBorders>
            <w:vAlign w:val="center"/>
          </w:tcPr>
          <w:p w14:paraId="310A2DD6">
            <w:pPr>
              <w:rPr>
                <w:rFonts w:ascii="Times New Roman"/>
                <w:color w:val="auto"/>
                <w:sz w:val="21"/>
                <w:lang w:eastAsia="zh-CN"/>
              </w:rPr>
            </w:pPr>
            <w:r>
              <w:rPr>
                <w:rFonts w:ascii="Times New Roman"/>
                <w:color w:val="auto"/>
                <w:sz w:val="21"/>
                <w:lang w:eastAsia="zh-CN"/>
              </w:rPr>
              <w:t>按照环评及批复文件的要求落实了相应的风险防控措施，并通过了竣工验收</w:t>
            </w:r>
          </w:p>
        </w:tc>
        <w:tc>
          <w:tcPr>
            <w:tcW w:w="489" w:type="pct"/>
            <w:tcBorders>
              <w:tl2br w:val="nil"/>
              <w:tr2bl w:val="nil"/>
            </w:tcBorders>
            <w:vAlign w:val="center"/>
          </w:tcPr>
          <w:p w14:paraId="6E8D46C0">
            <w:pPr>
              <w:jc w:val="center"/>
              <w:rPr>
                <w:rFonts w:ascii="Times New Roman"/>
                <w:color w:val="auto"/>
                <w:sz w:val="21"/>
              </w:rPr>
            </w:pPr>
            <w:r>
              <w:rPr>
                <w:rFonts w:ascii="Times New Roman"/>
                <w:color w:val="auto"/>
                <w:spacing w:val="-6"/>
                <w:sz w:val="21"/>
              </w:rPr>
              <w:t>符合</w:t>
            </w:r>
            <w:r>
              <w:rPr>
                <w:rFonts w:ascii="Times New Roman"/>
                <w:color w:val="auto"/>
                <w:spacing w:val="-5"/>
                <w:sz w:val="21"/>
              </w:rPr>
              <w:t>相关要求</w:t>
            </w:r>
          </w:p>
        </w:tc>
      </w:tr>
    </w:tbl>
    <w:p w14:paraId="008665C5">
      <w:pPr>
        <w:spacing w:line="360" w:lineRule="auto"/>
        <w:ind w:firstLine="480" w:firstLineChars="200"/>
        <w:rPr>
          <w:rFonts w:ascii="Times New Roman"/>
          <w:b/>
          <w:bCs/>
          <w:color w:val="auto"/>
          <w:szCs w:val="24"/>
          <w:lang w:eastAsia="zh-CN"/>
        </w:rPr>
      </w:pPr>
      <w:r>
        <w:rPr>
          <w:rFonts w:hint="eastAsia" w:ascii="Times New Roman" w:hAnsi="Times New Roman" w:cs="Times New Roman"/>
          <w:color w:val="auto"/>
          <w:lang w:eastAsia="zh-CN"/>
        </w:rPr>
        <w:t>已对现有工程环境风险防范措施进行梳理分析，现有工程环境风险防范措施有效，能够满足现有厂区风险控制要求。</w:t>
      </w:r>
    </w:p>
    <w:p w14:paraId="43C01B4F">
      <w:pPr>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（2）水环境风险防范措施</w:t>
      </w:r>
    </w:p>
    <w:p w14:paraId="3BE47426">
      <w:pPr>
        <w:widowControl w:val="0"/>
        <w:wordWrap w:val="0"/>
        <w:topLinePunct/>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现有工程厂区级防控体系主要由：“生产单元→事故池→污水处理站”组成。</w:t>
      </w:r>
    </w:p>
    <w:p w14:paraId="6E8CB2D8">
      <w:pPr>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生产单元事故废水截流主要通过装置区四周分布的废水导流沟。初期雨水截留主要通过雨水边沟。</w:t>
      </w:r>
    </w:p>
    <w:p w14:paraId="26B5EA7A">
      <w:pPr>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生产单元、储运单元等收集到的事故废水最终收集至事故应急池，厂内初期雨水收集至初期雨水池。</w:t>
      </w:r>
    </w:p>
    <w:p w14:paraId="5AA3A5FB">
      <w:pPr>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根据现场调查，现有厂区已建1座672.3m</w:t>
      </w:r>
      <w:r>
        <w:rPr>
          <w:rFonts w:hint="eastAsia" w:ascii="Times New Roman" w:hAnsi="Times New Roman" w:cs="Times New Roman"/>
          <w:color w:val="auto"/>
          <w:vertAlign w:val="superscript"/>
          <w:lang w:eastAsia="zh-CN"/>
        </w:rPr>
        <w:t>3</w:t>
      </w:r>
      <w:r>
        <w:rPr>
          <w:rFonts w:hint="eastAsia" w:ascii="Times New Roman" w:hAnsi="Times New Roman" w:cs="Times New Roman"/>
          <w:color w:val="auto"/>
          <w:lang w:eastAsia="zh-CN"/>
        </w:rPr>
        <w:t>事故水池、1座426.9m</w:t>
      </w:r>
      <w:r>
        <w:rPr>
          <w:rFonts w:hint="eastAsia" w:ascii="Times New Roman" w:hAnsi="Times New Roman" w:cs="Times New Roman"/>
          <w:color w:val="auto"/>
          <w:vertAlign w:val="superscript"/>
          <w:lang w:eastAsia="zh-CN"/>
        </w:rPr>
        <w:t>3</w:t>
      </w:r>
      <w:r>
        <w:rPr>
          <w:rFonts w:hint="eastAsia" w:ascii="Times New Roman" w:hAnsi="Times New Roman" w:cs="Times New Roman"/>
          <w:color w:val="auto"/>
          <w:lang w:eastAsia="zh-CN"/>
        </w:rPr>
        <w:t>初期雨水池，收集厂内初期雨水和事故废水，事故状态下关闭厂区雨水和污水管网出口阀门，将事故状态下污染物控制在厂内。待事故应急解除后，针对收集到的事故废水（含初期雨水），分批送入厂内污水处理系统处理达标后进入沫河口污水处理厂处理。</w:t>
      </w:r>
    </w:p>
    <w:p w14:paraId="14BB8D6B">
      <w:pPr>
        <w:spacing w:line="360" w:lineRule="auto"/>
        <w:ind w:firstLine="4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厂区内初期雨水与事故池均设有与外界水体隔绝的控制阀门，发生火灾事故时，将事故废水收集后，分批输送至厂区污水处理站处理，处理达标后进入</w:t>
      </w:r>
      <w:r>
        <w:rPr>
          <w:rFonts w:hint="eastAsia" w:ascii="Times New Roman"/>
          <w:color w:val="auto"/>
          <w:szCs w:val="24"/>
          <w:lang w:eastAsia="zh-CN"/>
        </w:rPr>
        <w:t>沫河口污水处理厂处理</w:t>
      </w:r>
      <w:r>
        <w:rPr>
          <w:rFonts w:hint="eastAsia" w:ascii="Times New Roman" w:hAnsi="Times New Roman" w:cs="Times New Roman"/>
          <w:color w:val="auto"/>
          <w:szCs w:val="24"/>
          <w:lang w:eastAsia="zh-CN"/>
        </w:rPr>
        <w:t>，避免携带危险物质的废水进入外环境。</w:t>
      </w:r>
    </w:p>
    <w:p w14:paraId="13FA8403">
      <w:pPr>
        <w:spacing w:line="360" w:lineRule="auto"/>
        <w:jc w:val="center"/>
        <w:rPr>
          <w:rFonts w:ascii="Times New Roman" w:hAnsi="Times New Roman" w:cs="Times New Roman"/>
          <w:color w:val="auto"/>
          <w:lang w:eastAsia="zh-CN"/>
        </w:rPr>
      </w:pPr>
      <w:r>
        <w:rPr>
          <w:rFonts w:hint="eastAsia" w:ascii="Times New Roman" w:hAnsi="Times New Roman" w:cs="Times New Roman"/>
          <w:color w:val="100AE7"/>
          <w:lang w:eastAsia="zh-CN"/>
        </w:rPr>
        <w:object>
          <v:shape id="_x0000_i1029" o:spt="75" type="#_x0000_t75" style="height:134.5pt;width:434.7pt;" o:ole="t" filled="f" coordsize="21600,21600">
            <v:path/>
            <v:fill on="f" focussize="0,0"/>
            <v:stroke/>
            <v:imagedata r:id="rId101" o:title=""/>
            <o:lock v:ext="edit" aspectratio="t"/>
            <w10:wrap type="none"/>
            <w10:anchorlock/>
          </v:shape>
          <o:OLEObject Type="Embed" ProgID="RFFlow4" ShapeID="_x0000_i1029" DrawAspect="Content" ObjectID="_1468075729" r:id="rId100">
            <o:LockedField>false</o:LockedField>
          </o:OLEObject>
        </w:object>
      </w:r>
    </w:p>
    <w:p w14:paraId="7BF44A90">
      <w:pPr>
        <w:spacing w:line="360" w:lineRule="auto"/>
        <w:jc w:val="center"/>
        <w:rPr>
          <w:rFonts w:ascii="Times New Roman"/>
          <w:b/>
          <w:bCs/>
          <w:color w:val="auto"/>
          <w:szCs w:val="24"/>
          <w:lang w:eastAsia="zh-CN"/>
        </w:rPr>
      </w:pPr>
      <w:r>
        <w:rPr>
          <w:rFonts w:hint="eastAsia" w:ascii="Times New Roman"/>
          <w:b/>
          <w:bCs/>
          <w:color w:val="auto"/>
          <w:szCs w:val="24"/>
          <w:lang w:eastAsia="zh-CN"/>
        </w:rPr>
        <w:t>图7.2-1 厂区级现有工程事故状态下防控示意图</w:t>
      </w:r>
    </w:p>
    <w:p w14:paraId="4660D62C">
      <w:pPr>
        <w:widowControl w:val="0"/>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（3）应急监测措施</w:t>
      </w:r>
    </w:p>
    <w:p w14:paraId="5542A73A">
      <w:pPr>
        <w:widowControl w:val="0"/>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szCs w:val="24"/>
          <w:lang w:eastAsia="zh-CN"/>
        </w:rPr>
        <w:t>安徽氟瑞星化工有限公司</w:t>
      </w:r>
      <w:r>
        <w:rPr>
          <w:rFonts w:hint="eastAsia" w:ascii="Times New Roman" w:hAnsi="Times New Roman" w:cs="Times New Roman"/>
          <w:color w:val="auto"/>
          <w:lang w:eastAsia="zh-CN"/>
        </w:rPr>
        <w:t>已</w:t>
      </w:r>
      <w:r>
        <w:rPr>
          <w:rFonts w:ascii="Times New Roman" w:hAnsi="Times New Roman" w:cs="Times New Roman"/>
          <w:color w:val="auto"/>
          <w:lang w:eastAsia="zh-CN"/>
        </w:rPr>
        <w:t>委托</w:t>
      </w:r>
      <w:r>
        <w:rPr>
          <w:rFonts w:hint="eastAsia" w:ascii="Times New Roman" w:hAnsi="Times New Roman" w:cs="Times New Roman"/>
          <w:color w:val="auto"/>
          <w:lang w:eastAsia="zh-CN"/>
        </w:rPr>
        <w:t>就近的</w:t>
      </w:r>
      <w:r>
        <w:rPr>
          <w:rFonts w:ascii="Times New Roman" w:hAnsi="Times New Roman" w:cs="Times New Roman"/>
          <w:color w:val="auto"/>
          <w:lang w:eastAsia="zh-CN"/>
        </w:rPr>
        <w:t>第三方</w:t>
      </w:r>
      <w:r>
        <w:rPr>
          <w:rFonts w:hint="eastAsia" w:ascii="Times New Roman" w:hAnsi="Times New Roman" w:cs="Times New Roman"/>
          <w:color w:val="auto"/>
          <w:lang w:eastAsia="zh-CN"/>
        </w:rPr>
        <w:t>检测</w:t>
      </w:r>
      <w:r>
        <w:rPr>
          <w:rFonts w:ascii="Times New Roman" w:hAnsi="Times New Roman" w:cs="Times New Roman"/>
          <w:color w:val="auto"/>
          <w:lang w:eastAsia="zh-CN"/>
        </w:rPr>
        <w:t>单位作为本企业应急监测单位</w:t>
      </w:r>
      <w:r>
        <w:rPr>
          <w:rFonts w:hint="eastAsia" w:ascii="Times New Roman" w:hAnsi="Times New Roman" w:cs="Times New Roman"/>
          <w:color w:val="auto"/>
          <w:lang w:eastAsia="zh-CN"/>
        </w:rPr>
        <w:t>，</w:t>
      </w:r>
      <w:r>
        <w:rPr>
          <w:rFonts w:ascii="Times New Roman" w:hAnsi="Times New Roman" w:cs="Times New Roman"/>
          <w:color w:val="auto"/>
          <w:lang w:eastAsia="zh-CN"/>
        </w:rPr>
        <w:t>一旦发生较大事故，根据应急预案中的要求，协调第三方</w:t>
      </w:r>
      <w:r>
        <w:rPr>
          <w:rFonts w:hint="eastAsia" w:ascii="Times New Roman" w:hAnsi="Times New Roman" w:cs="Times New Roman"/>
          <w:color w:val="auto"/>
          <w:lang w:eastAsia="zh-CN"/>
        </w:rPr>
        <w:t>检测</w:t>
      </w:r>
      <w:r>
        <w:rPr>
          <w:rFonts w:ascii="Times New Roman" w:hAnsi="Times New Roman" w:cs="Times New Roman"/>
          <w:color w:val="auto"/>
          <w:lang w:eastAsia="zh-CN"/>
        </w:rPr>
        <w:t>单位，作为</w:t>
      </w:r>
      <w:r>
        <w:rPr>
          <w:rFonts w:hint="eastAsia" w:ascii="Times New Roman" w:hAnsi="Times New Roman" w:cs="Times New Roman"/>
          <w:color w:val="auto"/>
          <w:szCs w:val="24"/>
          <w:lang w:eastAsia="zh-CN"/>
        </w:rPr>
        <w:t>安徽氟瑞星化工有限公司</w:t>
      </w:r>
      <w:r>
        <w:rPr>
          <w:rFonts w:ascii="Times New Roman" w:hAnsi="Times New Roman" w:cs="Times New Roman"/>
          <w:color w:val="auto"/>
          <w:lang w:eastAsia="zh-CN"/>
        </w:rPr>
        <w:t>应急监测的补充，为</w:t>
      </w:r>
      <w:r>
        <w:rPr>
          <w:rFonts w:hint="eastAsia" w:ascii="Times New Roman" w:hAnsi="Times New Roman" w:cs="Times New Roman"/>
          <w:color w:val="auto"/>
          <w:szCs w:val="24"/>
          <w:lang w:eastAsia="zh-CN"/>
        </w:rPr>
        <w:t>安徽氟瑞星化工有限公司</w:t>
      </w:r>
      <w:r>
        <w:rPr>
          <w:rFonts w:ascii="Times New Roman" w:hAnsi="Times New Roman" w:cs="Times New Roman"/>
          <w:color w:val="auto"/>
          <w:lang w:eastAsia="zh-CN"/>
        </w:rPr>
        <w:t>厂区事故处置提供依据。</w:t>
      </w:r>
      <w:r>
        <w:rPr>
          <w:rFonts w:hint="eastAsia" w:ascii="Times New Roman" w:hAnsi="Times New Roman" w:cs="Times New Roman"/>
          <w:color w:val="auto"/>
          <w:szCs w:val="24"/>
          <w:lang w:eastAsia="zh-CN"/>
        </w:rPr>
        <w:t>安徽氟瑞星化工有限公司</w:t>
      </w:r>
      <w:r>
        <w:rPr>
          <w:rFonts w:ascii="Times New Roman" w:hAnsi="Times New Roman" w:cs="Times New Roman"/>
          <w:color w:val="auto"/>
          <w:lang w:eastAsia="zh-CN"/>
        </w:rPr>
        <w:t>建立有较为完善的应急监测体系，并联系有应急监测单位</w:t>
      </w:r>
      <w:r>
        <w:rPr>
          <w:rFonts w:hint="eastAsia" w:ascii="Times New Roman" w:hAnsi="Times New Roman" w:cs="Times New Roman"/>
          <w:color w:val="auto"/>
          <w:lang w:eastAsia="zh-CN"/>
        </w:rPr>
        <w:t>，</w:t>
      </w:r>
      <w:r>
        <w:rPr>
          <w:rFonts w:hint="eastAsia" w:ascii="Times New Roman" w:hAnsi="Times New Roman" w:cs="Times New Roman"/>
          <w:color w:val="auto"/>
          <w:szCs w:val="24"/>
          <w:lang w:eastAsia="zh-CN"/>
        </w:rPr>
        <w:t>安徽氟瑞星化工有限公司</w:t>
      </w:r>
      <w:r>
        <w:rPr>
          <w:rFonts w:ascii="Times New Roman" w:hAnsi="Times New Roman" w:cs="Times New Roman"/>
          <w:color w:val="auto"/>
          <w:lang w:eastAsia="zh-CN"/>
        </w:rPr>
        <w:t>现有应急监测措施是有效的。</w:t>
      </w:r>
    </w:p>
    <w:p w14:paraId="04E079C1">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对现状大气环境污染控制措施和水环境污染控制措施进行梳理分析，</w:t>
      </w:r>
      <w:r>
        <w:rPr>
          <w:rFonts w:hint="eastAsia" w:ascii="Times New Roman" w:hAnsi="Times New Roman" w:cs="Times New Roman"/>
          <w:color w:val="auto"/>
          <w:szCs w:val="24"/>
          <w:lang w:eastAsia="zh-CN"/>
        </w:rPr>
        <w:t>安徽氟瑞星化工有限公司</w:t>
      </w:r>
      <w:r>
        <w:rPr>
          <w:rFonts w:ascii="Times New Roman" w:hAnsi="Times New Roman" w:cs="Times New Roman"/>
          <w:color w:val="auto"/>
          <w:lang w:eastAsia="zh-CN"/>
        </w:rPr>
        <w:t>现有工程风险防范措施有效，能够满足现有厂区风险控制要求。</w:t>
      </w:r>
      <w:r>
        <w:rPr>
          <w:rFonts w:hint="eastAsia" w:ascii="Times New Roman" w:hAnsi="Times New Roman" w:cs="Times New Roman"/>
          <w:color w:val="auto"/>
          <w:szCs w:val="24"/>
          <w:lang w:eastAsia="zh-CN"/>
        </w:rPr>
        <w:t>安徽氟瑞星化工有限公司</w:t>
      </w:r>
      <w:r>
        <w:rPr>
          <w:rFonts w:ascii="Times New Roman" w:hAnsi="Times New Roman" w:cs="Times New Roman"/>
          <w:color w:val="auto"/>
          <w:lang w:eastAsia="zh-CN"/>
        </w:rPr>
        <w:t>建立有较为完善的应急监测体系</w:t>
      </w:r>
      <w:r>
        <w:rPr>
          <w:rFonts w:hint="eastAsia" w:ascii="Times New Roman" w:hAnsi="Times New Roman" w:cs="Times New Roman"/>
          <w:color w:val="auto"/>
          <w:lang w:eastAsia="zh-CN"/>
        </w:rPr>
        <w:t>，</w:t>
      </w:r>
      <w:r>
        <w:rPr>
          <w:rFonts w:ascii="Times New Roman" w:hAnsi="Times New Roman" w:cs="Times New Roman"/>
          <w:color w:val="auto"/>
          <w:lang w:eastAsia="zh-CN"/>
        </w:rPr>
        <w:t>并联系有应急监测单位</w:t>
      </w:r>
      <w:r>
        <w:rPr>
          <w:rFonts w:hint="eastAsia" w:ascii="Times New Roman" w:hAnsi="Times New Roman" w:cs="Times New Roman"/>
          <w:color w:val="auto"/>
          <w:lang w:eastAsia="zh-CN"/>
        </w:rPr>
        <w:t>，</w:t>
      </w:r>
      <w:r>
        <w:rPr>
          <w:rFonts w:hint="eastAsia" w:ascii="Times New Roman" w:hAnsi="Times New Roman" w:cs="Times New Roman"/>
          <w:color w:val="auto"/>
          <w:szCs w:val="24"/>
          <w:lang w:eastAsia="zh-CN"/>
        </w:rPr>
        <w:t>故</w:t>
      </w:r>
      <w:r>
        <w:rPr>
          <w:rFonts w:ascii="Times New Roman" w:hAnsi="Times New Roman" w:cs="Times New Roman"/>
          <w:color w:val="auto"/>
          <w:lang w:eastAsia="zh-CN"/>
        </w:rPr>
        <w:t>现有应急监测措施是有效的</w:t>
      </w:r>
      <w:r>
        <w:rPr>
          <w:rFonts w:hint="eastAsia" w:ascii="Times New Roman" w:hAnsi="Times New Roman" w:cs="Times New Roman"/>
          <w:color w:val="auto"/>
          <w:lang w:eastAsia="zh-CN"/>
        </w:rPr>
        <w:t>。</w:t>
      </w:r>
    </w:p>
    <w:p w14:paraId="4D391752">
      <w:pPr>
        <w:spacing w:line="360" w:lineRule="auto"/>
        <w:ind w:firstLine="562"/>
        <w:outlineLvl w:val="1"/>
        <w:rPr>
          <w:rFonts w:ascii="Times New Roman" w:hAnsi="Times New Roman" w:cs="Times New Roman"/>
          <w:b/>
          <w:bCs/>
          <w:color w:val="auto"/>
          <w:sz w:val="28"/>
          <w:szCs w:val="22"/>
          <w:lang w:eastAsia="zh-CN"/>
        </w:rPr>
      </w:pPr>
      <w:bookmarkStart w:id="1757" w:name="_Toc237508357"/>
      <w:r>
        <w:rPr>
          <w:rFonts w:ascii="Times New Roman" w:hAnsi="Times New Roman" w:cs="Times New Roman"/>
          <w:b/>
          <w:bCs/>
          <w:color w:val="auto"/>
          <w:sz w:val="28"/>
          <w:szCs w:val="22"/>
          <w:lang w:eastAsia="zh-CN"/>
        </w:rPr>
        <w:t>7.</w:t>
      </w:r>
      <w:r>
        <w:rPr>
          <w:rFonts w:hint="eastAsia" w:ascii="Times New Roman" w:hAnsi="Times New Roman" w:cs="Times New Roman"/>
          <w:b/>
          <w:bCs/>
          <w:color w:val="auto"/>
          <w:sz w:val="28"/>
          <w:szCs w:val="22"/>
          <w:lang w:eastAsia="zh-CN"/>
        </w:rPr>
        <w:t>3</w:t>
      </w:r>
      <w:r>
        <w:rPr>
          <w:rFonts w:ascii="Times New Roman" w:hAnsi="Times New Roman" w:cs="Times New Roman"/>
          <w:b/>
          <w:bCs/>
          <w:color w:val="auto"/>
          <w:sz w:val="28"/>
          <w:szCs w:val="22"/>
          <w:lang w:eastAsia="zh-CN"/>
        </w:rPr>
        <w:t xml:space="preserve"> 建设项目风险源调查</w:t>
      </w:r>
      <w:bookmarkEnd w:id="1757"/>
    </w:p>
    <w:p w14:paraId="22407ACF">
      <w:pPr>
        <w:spacing w:line="360" w:lineRule="auto"/>
        <w:ind w:firstLine="482"/>
        <w:outlineLvl w:val="2"/>
        <w:rPr>
          <w:rFonts w:ascii="Times New Roman" w:hAnsi="Times New Roman" w:cs="Times New Roman"/>
          <w:b/>
          <w:bCs/>
          <w:color w:val="auto"/>
          <w:lang w:eastAsia="zh-CN"/>
        </w:rPr>
      </w:pPr>
      <w:bookmarkStart w:id="1758" w:name="_Toc225784124"/>
      <w:bookmarkStart w:id="1759" w:name="_Toc223425122"/>
      <w:bookmarkStart w:id="1760" w:name="_Toc236641893"/>
      <w:bookmarkStart w:id="1761" w:name="_Toc231828645"/>
      <w:bookmarkStart w:id="1762" w:name="_Toc221900904"/>
      <w:bookmarkStart w:id="1763" w:name="_Toc224674762"/>
      <w:bookmarkStart w:id="1764" w:name="_Toc218784347"/>
      <w:bookmarkStart w:id="1765" w:name="_Toc237508358"/>
      <w:r>
        <w:rPr>
          <w:rFonts w:ascii="Times New Roman" w:hAnsi="Times New Roman" w:cs="Times New Roman"/>
          <w:b/>
          <w:bCs/>
          <w:color w:val="auto"/>
          <w:lang w:eastAsia="zh-CN"/>
        </w:rPr>
        <w:t>7.</w:t>
      </w:r>
      <w:r>
        <w:rPr>
          <w:rFonts w:hint="eastAsia" w:ascii="Times New Roman" w:hAnsi="Times New Roman" w:cs="Times New Roman"/>
          <w:b/>
          <w:bCs/>
          <w:color w:val="auto"/>
          <w:lang w:eastAsia="zh-CN"/>
        </w:rPr>
        <w:t>3</w:t>
      </w:r>
      <w:r>
        <w:rPr>
          <w:rFonts w:ascii="Times New Roman" w:hAnsi="Times New Roman" w:cs="Times New Roman"/>
          <w:b/>
          <w:bCs/>
          <w:color w:val="auto"/>
          <w:lang w:eastAsia="zh-CN"/>
        </w:rPr>
        <w:t>.1 风险源调查</w:t>
      </w:r>
      <w:bookmarkEnd w:id="1758"/>
      <w:bookmarkEnd w:id="1759"/>
      <w:bookmarkEnd w:id="1760"/>
      <w:bookmarkEnd w:id="1761"/>
      <w:bookmarkEnd w:id="1762"/>
      <w:bookmarkEnd w:id="1763"/>
      <w:bookmarkEnd w:id="1764"/>
      <w:bookmarkEnd w:id="1765"/>
    </w:p>
    <w:p w14:paraId="08F13230">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1、危险物质数量分布情况</w:t>
      </w:r>
      <w:bookmarkEnd w:id="1752"/>
    </w:p>
    <w:p w14:paraId="281F1DC0">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本项目主产品为</w:t>
      </w:r>
      <w:r>
        <w:rPr>
          <w:rFonts w:hint="eastAsia" w:ascii="Times New Roman" w:hAnsi="Times New Roman" w:cs="Times New Roman"/>
          <w:color w:val="auto"/>
          <w:szCs w:val="24"/>
          <w:lang w:eastAsia="zh-CN"/>
        </w:rPr>
        <w:t>化学纯氢氟酸、刻蚀液</w:t>
      </w:r>
      <w:r>
        <w:rPr>
          <w:rFonts w:hint="eastAsia" w:ascii="Times New Roman" w:hAnsi="Times New Roman" w:cs="Times New Roman"/>
          <w:color w:val="auto"/>
          <w:lang w:eastAsia="zh-CN"/>
        </w:rPr>
        <w:t>；</w:t>
      </w:r>
    </w:p>
    <w:p w14:paraId="4CC51F13">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本项目使用的原辅料主要为</w:t>
      </w:r>
      <w:r>
        <w:rPr>
          <w:rFonts w:hint="eastAsia" w:ascii="Times New Roman" w:hAnsi="Times New Roman" w:cs="Times New Roman"/>
          <w:color w:val="auto"/>
          <w:lang w:eastAsia="zh-CN"/>
        </w:rPr>
        <w:t>自产</w:t>
      </w:r>
      <w:r>
        <w:rPr>
          <w:rFonts w:hint="eastAsia" w:ascii="Times New Roman" w:hAnsi="Times New Roman" w:cs="Times New Roman"/>
          <w:color w:val="auto"/>
          <w:szCs w:val="24"/>
          <w:lang w:eastAsia="zh-CN"/>
        </w:rPr>
        <w:t>化学纯氢氟酸、</w:t>
      </w:r>
      <w:r>
        <w:rPr>
          <w:rFonts w:hint="eastAsia" w:ascii="Times New Roman" w:hAnsi="Times New Roman" w:cs="Times New Roman"/>
          <w:color w:val="auto"/>
          <w:lang w:eastAsia="zh-CN"/>
        </w:rPr>
        <w:t>无水氟化氢、15%氟化氢水溶液、31%盐酸；</w:t>
      </w:r>
      <w:r>
        <w:rPr>
          <w:rFonts w:ascii="Times New Roman" w:hAnsi="Times New Roman" w:cs="Times New Roman"/>
          <w:color w:val="auto"/>
          <w:lang w:eastAsia="zh-CN"/>
        </w:rPr>
        <w:t xml:space="preserve">  </w:t>
      </w:r>
    </w:p>
    <w:p w14:paraId="4145EAF4">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本项目废水主要为</w:t>
      </w:r>
      <w:r>
        <w:rPr>
          <w:rFonts w:hint="eastAsia" w:ascii="Times New Roman" w:hAnsi="Times New Roman" w:cs="Times New Roman"/>
          <w:color w:val="auto"/>
          <w:lang w:eastAsia="zh-CN"/>
        </w:rPr>
        <w:t>地面清洁废水、碱喷淋塔置换废水、循环冷却置换废水、生活污水、初期雨水，</w:t>
      </w:r>
      <w:r>
        <w:rPr>
          <w:rFonts w:ascii="Times New Roman" w:hAnsi="Times New Roman" w:cs="Times New Roman"/>
          <w:color w:val="auto"/>
          <w:lang w:eastAsia="zh-CN"/>
        </w:rPr>
        <w:t>废水</w:t>
      </w:r>
      <w:r>
        <w:rPr>
          <w:rFonts w:hint="eastAsia" w:ascii="Times New Roman" w:hAnsi="Times New Roman" w:cs="Times New Roman"/>
          <w:color w:val="auto"/>
          <w:lang w:eastAsia="zh-CN"/>
        </w:rPr>
        <w:t>中</w:t>
      </w:r>
      <w:r>
        <w:rPr>
          <w:rFonts w:ascii="Times New Roman" w:hAnsi="Times New Roman" w:cs="Times New Roman"/>
          <w:color w:val="auto"/>
          <w:lang w:eastAsia="zh-CN"/>
        </w:rPr>
        <w:t>COD浓度</w:t>
      </w:r>
      <w:r>
        <w:rPr>
          <w:rFonts w:hint="eastAsia" w:ascii="Times New Roman" w:hAnsi="Times New Roman" w:cs="Times New Roman"/>
          <w:color w:val="auto"/>
          <w:lang w:eastAsia="zh-CN"/>
        </w:rPr>
        <w:t>均小于</w:t>
      </w:r>
      <w:r>
        <w:rPr>
          <w:rFonts w:ascii="Times New Roman" w:hAnsi="Times New Roman" w:cs="Times New Roman"/>
          <w:color w:val="auto"/>
          <w:lang w:eastAsia="zh-CN"/>
        </w:rPr>
        <w:t>10000mg/L</w:t>
      </w:r>
      <w:r>
        <w:rPr>
          <w:rFonts w:hint="eastAsia" w:ascii="Times New Roman" w:hAnsi="Times New Roman" w:cs="Times New Roman"/>
          <w:color w:val="auto"/>
          <w:lang w:eastAsia="zh-CN"/>
        </w:rPr>
        <w:t>，氨氮</w:t>
      </w:r>
      <w:r>
        <w:rPr>
          <w:rFonts w:ascii="Times New Roman" w:hAnsi="Times New Roman" w:cs="Times New Roman"/>
          <w:color w:val="auto"/>
          <w:lang w:eastAsia="zh-CN"/>
        </w:rPr>
        <w:t>浓度</w:t>
      </w:r>
      <w:r>
        <w:rPr>
          <w:rFonts w:hint="eastAsia" w:ascii="Times New Roman" w:hAnsi="Times New Roman" w:cs="Times New Roman"/>
          <w:color w:val="auto"/>
          <w:lang w:eastAsia="zh-CN"/>
        </w:rPr>
        <w:t>均小于2</w:t>
      </w:r>
      <w:r>
        <w:rPr>
          <w:rFonts w:ascii="Times New Roman" w:hAnsi="Times New Roman" w:cs="Times New Roman"/>
          <w:color w:val="auto"/>
          <w:lang w:eastAsia="zh-CN"/>
        </w:rPr>
        <w:t>000mg/L</w:t>
      </w:r>
      <w:r>
        <w:rPr>
          <w:rFonts w:hint="eastAsia" w:ascii="Times New Roman" w:hAnsi="Times New Roman" w:cs="Times New Roman"/>
          <w:color w:val="auto"/>
          <w:lang w:eastAsia="zh-CN"/>
        </w:rPr>
        <w:t>；</w:t>
      </w:r>
    </w:p>
    <w:p w14:paraId="32535E52">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本项目危险废物主要为</w:t>
      </w:r>
      <w:r>
        <w:rPr>
          <w:rFonts w:hint="eastAsia" w:ascii="Times New Roman" w:hAnsi="Times New Roman" w:cs="Times New Roman"/>
          <w:color w:val="auto"/>
          <w:szCs w:val="24"/>
          <w:lang w:eastAsia="zh-CN"/>
        </w:rPr>
        <w:t>实验室废液、废机油、</w:t>
      </w:r>
      <w:r>
        <w:rPr>
          <w:rFonts w:hint="eastAsia" w:ascii="Times New Roman" w:hAnsi="Times New Roman" w:cs="Times New Roman"/>
          <w:color w:val="auto"/>
          <w:szCs w:val="24"/>
          <w:lang w:val="en-US" w:eastAsia="zh-CN"/>
        </w:rPr>
        <w:t>废漆桶、</w:t>
      </w:r>
      <w:r>
        <w:rPr>
          <w:rFonts w:hint="eastAsia" w:ascii="Times New Roman" w:hAnsi="Times New Roman" w:cs="Times New Roman"/>
          <w:color w:val="auto"/>
          <w:szCs w:val="24"/>
          <w:lang w:eastAsia="zh-CN"/>
        </w:rPr>
        <w:t>废油桶</w:t>
      </w:r>
      <w:r>
        <w:rPr>
          <w:rFonts w:hint="eastAsia" w:ascii="Times New Roman" w:hAnsi="Times New Roman" w:cs="Times New Roman"/>
          <w:color w:val="auto"/>
          <w:lang w:eastAsia="zh-CN"/>
        </w:rPr>
        <w:t>。</w:t>
      </w:r>
    </w:p>
    <w:p w14:paraId="5AC8E607">
      <w:pPr>
        <w:spacing w:line="360" w:lineRule="auto"/>
        <w:jc w:val="center"/>
        <w:rPr>
          <w:rFonts w:ascii="Times New Roman" w:hAnsi="Times New Roman" w:cs="Times New Roman"/>
          <w:b/>
          <w:bCs/>
          <w:color w:val="auto"/>
          <w:lang w:eastAsia="zh-CN"/>
        </w:rPr>
        <w:sectPr>
          <w:pgSz w:w="11906" w:h="16838"/>
          <w:pgMar w:top="1440" w:right="1080" w:bottom="1440" w:left="1080" w:header="851" w:footer="992" w:gutter="0"/>
          <w:cols w:space="720" w:num="1"/>
          <w:docGrid w:type="lines" w:linePitch="312" w:charSpace="0"/>
        </w:sectPr>
      </w:pPr>
    </w:p>
    <w:p w14:paraId="5FB1B310">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表7.</w:t>
      </w:r>
      <w:r>
        <w:rPr>
          <w:rFonts w:hint="eastAsia" w:ascii="Times New Roman" w:hAnsi="Times New Roman" w:cs="Times New Roman"/>
          <w:b/>
          <w:bCs/>
          <w:color w:val="auto"/>
          <w:lang w:eastAsia="zh-CN"/>
        </w:rPr>
        <w:t>3</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1</w:t>
      </w:r>
      <w:r>
        <w:rPr>
          <w:rFonts w:ascii="Times New Roman" w:hAnsi="Times New Roman" w:cs="Times New Roman"/>
          <w:b/>
          <w:bCs/>
          <w:color w:val="auto"/>
          <w:lang w:eastAsia="zh-CN"/>
        </w:rPr>
        <w:t xml:space="preserve"> 本项目危险物质数量及分布情况一览表</w:t>
      </w:r>
    </w:p>
    <w:tbl>
      <w:tblPr>
        <w:tblStyle w:val="35"/>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72"/>
        <w:gridCol w:w="1172"/>
        <w:gridCol w:w="835"/>
        <w:gridCol w:w="1834"/>
        <w:gridCol w:w="1502"/>
        <w:gridCol w:w="3637"/>
        <w:gridCol w:w="2605"/>
        <w:gridCol w:w="1201"/>
      </w:tblGrid>
      <w:tr w14:paraId="4A908A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40" w:type="pct"/>
            <w:gridSpan w:val="2"/>
            <w:vMerge w:val="restart"/>
            <w:vAlign w:val="center"/>
          </w:tcPr>
          <w:p w14:paraId="0E49E822">
            <w:pPr>
              <w:snapToGrid w:val="0"/>
              <w:spacing w:before="60" w:after="60"/>
              <w:jc w:val="center"/>
              <w:rPr>
                <w:rFonts w:ascii="Times New Roman" w:hAnsi="Times New Roman" w:cs="Times New Roman"/>
                <w:b/>
                <w:bCs/>
                <w:color w:val="auto"/>
                <w:spacing w:val="-2"/>
                <w:sz w:val="21"/>
              </w:rPr>
            </w:pPr>
            <w:bookmarkStart w:id="1766" w:name="_Toc15418"/>
            <w:r>
              <w:rPr>
                <w:rFonts w:ascii="Times New Roman" w:hAnsi="Times New Roman" w:cs="Times New Roman"/>
                <w:b/>
                <w:bCs/>
                <w:color w:val="auto"/>
                <w:spacing w:val="-2"/>
                <w:sz w:val="21"/>
              </w:rPr>
              <w:t>名称</w:t>
            </w:r>
          </w:p>
        </w:tc>
        <w:tc>
          <w:tcPr>
            <w:tcW w:w="299" w:type="pct"/>
            <w:vMerge w:val="restart"/>
            <w:vAlign w:val="center"/>
          </w:tcPr>
          <w:p w14:paraId="445B1507">
            <w:pPr>
              <w:snapToGrid w:val="0"/>
              <w:spacing w:before="60" w:after="60"/>
              <w:jc w:val="center"/>
              <w:rPr>
                <w:rFonts w:ascii="Times New Roman" w:hAnsi="Times New Roman" w:cs="Times New Roman"/>
                <w:b/>
                <w:bCs/>
                <w:color w:val="auto"/>
                <w:spacing w:val="-2"/>
                <w:sz w:val="21"/>
              </w:rPr>
            </w:pPr>
            <w:r>
              <w:rPr>
                <w:rFonts w:ascii="Times New Roman" w:hAnsi="Times New Roman" w:cs="Times New Roman"/>
                <w:b/>
                <w:bCs/>
                <w:color w:val="auto"/>
                <w:spacing w:val="-2"/>
                <w:sz w:val="21"/>
              </w:rPr>
              <w:t>形态</w:t>
            </w:r>
          </w:p>
        </w:tc>
        <w:tc>
          <w:tcPr>
            <w:tcW w:w="657" w:type="pct"/>
            <w:vMerge w:val="restart"/>
            <w:vAlign w:val="center"/>
          </w:tcPr>
          <w:p w14:paraId="75427B9E">
            <w:pPr>
              <w:snapToGrid w:val="0"/>
              <w:spacing w:before="60" w:after="60"/>
              <w:jc w:val="center"/>
              <w:rPr>
                <w:rFonts w:ascii="Times New Roman" w:hAnsi="Times New Roman" w:cs="Times New Roman"/>
                <w:b/>
                <w:bCs/>
                <w:color w:val="auto"/>
                <w:spacing w:val="-2"/>
                <w:sz w:val="21"/>
                <w:lang w:eastAsia="zh-CN"/>
              </w:rPr>
            </w:pPr>
            <w:r>
              <w:rPr>
                <w:rFonts w:ascii="Times New Roman" w:hAnsi="Times New Roman" w:cs="Times New Roman"/>
                <w:b/>
                <w:bCs/>
                <w:color w:val="auto"/>
                <w:spacing w:val="-2"/>
                <w:sz w:val="21"/>
                <w:lang w:eastAsia="zh-CN"/>
              </w:rPr>
              <w:t>是否在《危险化学品目录（2022调整版）》中</w:t>
            </w:r>
          </w:p>
        </w:tc>
        <w:tc>
          <w:tcPr>
            <w:tcW w:w="2774" w:type="pct"/>
            <w:gridSpan w:val="3"/>
            <w:vAlign w:val="center"/>
          </w:tcPr>
          <w:p w14:paraId="423A208D">
            <w:pPr>
              <w:snapToGrid w:val="0"/>
              <w:spacing w:before="60" w:after="60"/>
              <w:jc w:val="center"/>
              <w:rPr>
                <w:rFonts w:ascii="Times New Roman" w:hAnsi="Times New Roman" w:cs="Times New Roman"/>
                <w:b/>
                <w:bCs/>
                <w:color w:val="auto"/>
                <w:spacing w:val="-2"/>
                <w:sz w:val="21"/>
                <w:lang w:eastAsia="zh-CN"/>
              </w:rPr>
            </w:pPr>
            <w:r>
              <w:rPr>
                <w:rFonts w:ascii="Times New Roman" w:hAnsi="Times New Roman" w:cs="Times New Roman"/>
                <w:b/>
                <w:bCs/>
                <w:color w:val="auto"/>
                <w:spacing w:val="-2"/>
                <w:sz w:val="21"/>
                <w:lang w:eastAsia="zh-CN"/>
              </w:rPr>
              <w:t>《建设项目环境风险评价技术导则》（HJ169-2018）</w:t>
            </w:r>
          </w:p>
        </w:tc>
        <w:tc>
          <w:tcPr>
            <w:tcW w:w="430" w:type="pct"/>
            <w:vMerge w:val="restart"/>
            <w:vAlign w:val="center"/>
          </w:tcPr>
          <w:p w14:paraId="4AFF98AA">
            <w:pPr>
              <w:snapToGrid w:val="0"/>
              <w:spacing w:before="60" w:after="60"/>
              <w:jc w:val="center"/>
              <w:rPr>
                <w:rFonts w:ascii="Times New Roman" w:hAnsi="Times New Roman" w:cs="Times New Roman"/>
                <w:b/>
                <w:bCs/>
                <w:color w:val="auto"/>
                <w:spacing w:val="-2"/>
                <w:sz w:val="21"/>
                <w:lang w:eastAsia="zh-CN"/>
              </w:rPr>
            </w:pPr>
            <w:r>
              <w:rPr>
                <w:rFonts w:ascii="Times New Roman" w:hAnsi="Times New Roman" w:cs="Times New Roman"/>
                <w:b/>
                <w:bCs/>
                <w:color w:val="auto"/>
                <w:spacing w:val="-2"/>
                <w:sz w:val="21"/>
                <w:lang w:eastAsia="zh-CN"/>
              </w:rPr>
              <w:t>是否属于危险物质</w:t>
            </w:r>
          </w:p>
        </w:tc>
      </w:tr>
      <w:tr w14:paraId="5ABEF4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40" w:type="pct"/>
            <w:gridSpan w:val="2"/>
            <w:vMerge w:val="continue"/>
            <w:vAlign w:val="center"/>
          </w:tcPr>
          <w:p w14:paraId="2622DFF0">
            <w:pPr>
              <w:snapToGrid w:val="0"/>
              <w:spacing w:before="60" w:after="60"/>
              <w:jc w:val="center"/>
              <w:rPr>
                <w:rFonts w:ascii="Times New Roman" w:hAnsi="Times New Roman" w:cs="Times New Roman"/>
                <w:b/>
                <w:bCs/>
                <w:color w:val="auto"/>
                <w:spacing w:val="-2"/>
                <w:sz w:val="21"/>
              </w:rPr>
            </w:pPr>
          </w:p>
        </w:tc>
        <w:tc>
          <w:tcPr>
            <w:tcW w:w="299" w:type="pct"/>
            <w:vMerge w:val="continue"/>
            <w:vAlign w:val="center"/>
          </w:tcPr>
          <w:p w14:paraId="22F5BC6D">
            <w:pPr>
              <w:snapToGrid w:val="0"/>
              <w:spacing w:before="60" w:after="60"/>
              <w:jc w:val="center"/>
              <w:rPr>
                <w:rFonts w:ascii="Times New Roman" w:hAnsi="Times New Roman" w:cs="Times New Roman"/>
                <w:b/>
                <w:bCs/>
                <w:color w:val="auto"/>
                <w:spacing w:val="-2"/>
                <w:sz w:val="21"/>
              </w:rPr>
            </w:pPr>
          </w:p>
        </w:tc>
        <w:tc>
          <w:tcPr>
            <w:tcW w:w="657" w:type="pct"/>
            <w:vMerge w:val="continue"/>
            <w:vAlign w:val="center"/>
          </w:tcPr>
          <w:p w14:paraId="484A6AF4">
            <w:pPr>
              <w:snapToGrid w:val="0"/>
              <w:spacing w:before="60" w:after="60"/>
              <w:jc w:val="center"/>
              <w:rPr>
                <w:rFonts w:ascii="Times New Roman" w:hAnsi="Times New Roman" w:cs="Times New Roman"/>
                <w:b/>
                <w:bCs/>
                <w:color w:val="auto"/>
                <w:spacing w:val="-2"/>
                <w:sz w:val="21"/>
              </w:rPr>
            </w:pPr>
          </w:p>
        </w:tc>
        <w:tc>
          <w:tcPr>
            <w:tcW w:w="538" w:type="pct"/>
            <w:vAlign w:val="center"/>
          </w:tcPr>
          <w:p w14:paraId="197E27DE">
            <w:pPr>
              <w:snapToGrid w:val="0"/>
              <w:spacing w:before="60" w:after="60"/>
              <w:jc w:val="center"/>
              <w:rPr>
                <w:rFonts w:ascii="Times New Roman" w:hAnsi="Times New Roman" w:cs="Times New Roman"/>
                <w:b/>
                <w:bCs/>
                <w:color w:val="auto"/>
                <w:spacing w:val="-2"/>
                <w:sz w:val="21"/>
              </w:rPr>
            </w:pPr>
            <w:r>
              <w:rPr>
                <w:rFonts w:ascii="Times New Roman" w:hAnsi="Times New Roman" w:cs="Times New Roman"/>
                <w:b/>
                <w:bCs/>
                <w:color w:val="auto"/>
                <w:spacing w:val="-2"/>
                <w:sz w:val="21"/>
              </w:rPr>
              <w:t>是否在附录B</w:t>
            </w:r>
            <w:r>
              <w:rPr>
                <w:rFonts w:ascii="Times New Roman" w:hAnsi="Times New Roman" w:cs="Times New Roman"/>
                <w:b/>
                <w:bCs/>
                <w:color w:val="auto"/>
                <w:spacing w:val="-2"/>
                <w:sz w:val="21"/>
                <w:lang w:eastAsia="zh-CN"/>
              </w:rPr>
              <w:t>.1</w:t>
            </w:r>
            <w:r>
              <w:rPr>
                <w:rFonts w:ascii="Times New Roman" w:hAnsi="Times New Roman" w:cs="Times New Roman"/>
                <w:b/>
                <w:bCs/>
                <w:color w:val="auto"/>
                <w:spacing w:val="-2"/>
                <w:sz w:val="21"/>
              </w:rPr>
              <w:t>中</w:t>
            </w:r>
          </w:p>
        </w:tc>
        <w:tc>
          <w:tcPr>
            <w:tcW w:w="1303" w:type="pct"/>
            <w:vAlign w:val="center"/>
          </w:tcPr>
          <w:p w14:paraId="17CC382F">
            <w:pPr>
              <w:snapToGrid w:val="0"/>
              <w:spacing w:before="60" w:after="60"/>
              <w:jc w:val="center"/>
              <w:rPr>
                <w:rFonts w:ascii="Times New Roman" w:hAnsi="Times New Roman" w:cs="Times New Roman"/>
                <w:b/>
                <w:bCs/>
                <w:color w:val="auto"/>
                <w:spacing w:val="-2"/>
                <w:sz w:val="21"/>
                <w:lang w:eastAsia="zh-CN"/>
              </w:rPr>
            </w:pPr>
            <w:r>
              <w:rPr>
                <w:rFonts w:ascii="Times New Roman" w:hAnsi="Times New Roman" w:cs="Times New Roman"/>
                <w:b/>
                <w:bCs/>
                <w:color w:val="auto"/>
                <w:spacing w:val="-2"/>
                <w:sz w:val="21"/>
                <w:lang w:eastAsia="zh-CN"/>
              </w:rPr>
              <w:t>是否为B.2健康危险急性毒性物质（类别1、类别2、类别3）</w:t>
            </w:r>
          </w:p>
        </w:tc>
        <w:tc>
          <w:tcPr>
            <w:tcW w:w="933" w:type="pct"/>
            <w:vAlign w:val="center"/>
          </w:tcPr>
          <w:p w14:paraId="10940FF6">
            <w:pPr>
              <w:snapToGrid w:val="0"/>
              <w:spacing w:before="60" w:after="60"/>
              <w:jc w:val="center"/>
              <w:rPr>
                <w:rFonts w:ascii="Times New Roman" w:hAnsi="Times New Roman" w:cs="Times New Roman"/>
                <w:b/>
                <w:bCs/>
                <w:color w:val="auto"/>
                <w:spacing w:val="-2"/>
                <w:sz w:val="21"/>
                <w:lang w:eastAsia="zh-CN"/>
              </w:rPr>
            </w:pPr>
            <w:r>
              <w:rPr>
                <w:rFonts w:ascii="Times New Roman" w:hAnsi="Times New Roman" w:cs="Times New Roman"/>
                <w:b/>
                <w:bCs/>
                <w:color w:val="auto"/>
                <w:spacing w:val="-2"/>
                <w:sz w:val="21"/>
                <w:lang w:eastAsia="zh-CN"/>
              </w:rPr>
              <w:t>是否为附录B.2危害水环境物质（急性毒性类别1）</w:t>
            </w:r>
          </w:p>
        </w:tc>
        <w:tc>
          <w:tcPr>
            <w:tcW w:w="430" w:type="pct"/>
            <w:vMerge w:val="continue"/>
            <w:vAlign w:val="center"/>
          </w:tcPr>
          <w:p w14:paraId="1B34FC47">
            <w:pPr>
              <w:snapToGrid w:val="0"/>
              <w:spacing w:before="60" w:after="60"/>
              <w:jc w:val="center"/>
              <w:rPr>
                <w:rFonts w:ascii="Times New Roman" w:hAnsi="Times New Roman" w:cs="Times New Roman"/>
                <w:b/>
                <w:bCs/>
                <w:color w:val="auto"/>
                <w:spacing w:val="-2"/>
                <w:sz w:val="21"/>
                <w:lang w:eastAsia="zh-CN"/>
              </w:rPr>
            </w:pPr>
          </w:p>
        </w:tc>
      </w:tr>
      <w:tr w14:paraId="69DF20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0" w:type="pct"/>
            <w:vAlign w:val="center"/>
          </w:tcPr>
          <w:p w14:paraId="62B1450E">
            <w:pPr>
              <w:snapToGrid w:val="0"/>
              <w:spacing w:before="60" w:after="6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化学纯氢氟酸</w:t>
            </w:r>
          </w:p>
        </w:tc>
        <w:tc>
          <w:tcPr>
            <w:tcW w:w="420" w:type="pct"/>
            <w:vAlign w:val="center"/>
          </w:tcPr>
          <w:p w14:paraId="0E85825B">
            <w:pPr>
              <w:snapToGrid w:val="0"/>
              <w:spacing w:before="60" w:after="6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氟化氢</w:t>
            </w:r>
          </w:p>
        </w:tc>
        <w:tc>
          <w:tcPr>
            <w:tcW w:w="299" w:type="pct"/>
            <w:vAlign w:val="center"/>
          </w:tcPr>
          <w:p w14:paraId="32E69EC6">
            <w:pPr>
              <w:snapToGrid w:val="0"/>
              <w:spacing w:before="60" w:after="60"/>
              <w:jc w:val="center"/>
              <w:rPr>
                <w:rFonts w:ascii="Times New Roman" w:hAnsi="Times New Roman" w:cs="Times New Roman"/>
                <w:color w:val="auto"/>
                <w:spacing w:val="-2"/>
                <w:sz w:val="21"/>
                <w:lang w:eastAsia="zh-CN"/>
              </w:rPr>
            </w:pPr>
            <w:r>
              <w:rPr>
                <w:rFonts w:ascii="Times New Roman" w:hAnsi="Times New Roman" w:cs="Times New Roman"/>
                <w:color w:val="auto"/>
                <w:spacing w:val="-2"/>
                <w:sz w:val="21"/>
                <w:lang w:eastAsia="zh-CN"/>
              </w:rPr>
              <w:t>液态</w:t>
            </w:r>
          </w:p>
        </w:tc>
        <w:tc>
          <w:tcPr>
            <w:tcW w:w="657" w:type="pct"/>
            <w:vAlign w:val="center"/>
          </w:tcPr>
          <w:p w14:paraId="5465D0DE">
            <w:pPr>
              <w:snapToGrid w:val="0"/>
              <w:spacing w:before="60" w:after="60"/>
              <w:jc w:val="center"/>
              <w:rPr>
                <w:rFonts w:ascii="Times New Roman" w:hAnsi="Times New Roman" w:cs="Times New Roman"/>
                <w:color w:val="auto"/>
                <w:spacing w:val="-2"/>
                <w:sz w:val="21"/>
                <w:highlight w:val="yellow"/>
                <w:lang w:eastAsia="zh-CN"/>
              </w:rPr>
            </w:pPr>
            <w:r>
              <w:rPr>
                <w:rFonts w:hint="eastAsia" w:ascii="Times New Roman" w:hAnsi="Times New Roman" w:cs="Times New Roman"/>
                <w:color w:val="auto"/>
                <w:spacing w:val="-2"/>
                <w:sz w:val="21"/>
                <w:lang w:eastAsia="zh-CN"/>
              </w:rPr>
              <w:t>是</w:t>
            </w:r>
          </w:p>
        </w:tc>
        <w:tc>
          <w:tcPr>
            <w:tcW w:w="538" w:type="pct"/>
            <w:vAlign w:val="center"/>
          </w:tcPr>
          <w:p w14:paraId="75279CCC">
            <w:pPr>
              <w:snapToGrid w:val="0"/>
              <w:spacing w:before="60" w:after="6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是</w:t>
            </w:r>
          </w:p>
        </w:tc>
        <w:tc>
          <w:tcPr>
            <w:tcW w:w="1303" w:type="pct"/>
            <w:vAlign w:val="center"/>
          </w:tcPr>
          <w:p w14:paraId="10F80823">
            <w:pPr>
              <w:snapToGrid w:val="0"/>
              <w:spacing w:before="60" w:after="6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否，</w:t>
            </w:r>
            <w:r>
              <w:rPr>
                <w:rFonts w:ascii="Times New Roman" w:hAnsi="Times New Roman" w:cs="Times New Roman"/>
                <w:color w:val="auto"/>
                <w:sz w:val="21"/>
                <w:shd w:val="clear" w:color="auto" w:fill="FFFFFF"/>
                <w:lang w:eastAsia="zh-CN"/>
              </w:rPr>
              <w:t>LC</w:t>
            </w:r>
            <w:r>
              <w:rPr>
                <w:rFonts w:ascii="Times New Roman" w:hAnsi="Times New Roman" w:cs="Times New Roman"/>
                <w:color w:val="auto"/>
                <w:sz w:val="21"/>
                <w:shd w:val="clear" w:color="auto" w:fill="FFFFFF"/>
                <w:vertAlign w:val="subscript"/>
                <w:lang w:eastAsia="zh-CN"/>
              </w:rPr>
              <w:t>50</w:t>
            </w:r>
            <w:r>
              <w:rPr>
                <w:rFonts w:ascii="Times New Roman" w:hAnsi="Times New Roman" w:cs="Times New Roman"/>
                <w:color w:val="auto"/>
                <w:sz w:val="21"/>
                <w:shd w:val="clear" w:color="auto" w:fill="FFFFFF"/>
                <w:lang w:eastAsia="zh-CN"/>
              </w:rPr>
              <w:t>：</w:t>
            </w:r>
            <w:r>
              <w:rPr>
                <w:rFonts w:hint="eastAsia" w:ascii="Times New Roman" w:hAnsi="Times New Roman" w:cs="Times New Roman"/>
                <w:color w:val="auto"/>
                <w:sz w:val="21"/>
                <w:shd w:val="clear" w:color="auto" w:fill="FFFFFF"/>
                <w:lang w:eastAsia="zh-CN"/>
              </w:rPr>
              <w:t>1276</w:t>
            </w:r>
            <w:r>
              <w:rPr>
                <w:rFonts w:ascii="Times New Roman" w:hAnsi="Times New Roman" w:cs="Times New Roman"/>
                <w:color w:val="auto"/>
                <w:sz w:val="21"/>
                <w:shd w:val="clear" w:color="auto" w:fill="FFFFFF"/>
                <w:lang w:eastAsia="zh-CN"/>
              </w:rPr>
              <w:t>mg/m</w:t>
            </w:r>
            <w:r>
              <w:rPr>
                <w:rFonts w:ascii="Times New Roman" w:hAnsi="Times New Roman" w:cs="Times New Roman"/>
                <w:color w:val="auto"/>
                <w:sz w:val="21"/>
                <w:shd w:val="clear" w:color="auto" w:fill="FFFFFF"/>
                <w:vertAlign w:val="superscript"/>
                <w:lang w:eastAsia="zh-CN"/>
              </w:rPr>
              <w:t>3</w:t>
            </w:r>
            <w:r>
              <w:rPr>
                <w:rFonts w:ascii="Times New Roman" w:hAnsi="Times New Roman" w:cs="Times New Roman"/>
                <w:color w:val="auto"/>
                <w:sz w:val="21"/>
                <w:shd w:val="clear" w:color="auto" w:fill="FFFFFF"/>
                <w:lang w:eastAsia="zh-CN"/>
              </w:rPr>
              <w:t>（大鼠吸入</w:t>
            </w:r>
            <w:r>
              <w:rPr>
                <w:rFonts w:hint="eastAsia" w:ascii="Times New Roman" w:hAnsi="Times New Roman" w:cs="Times New Roman"/>
                <w:color w:val="auto"/>
                <w:sz w:val="21"/>
                <w:shd w:val="clear" w:color="auto" w:fill="FFFFFF"/>
                <w:lang w:eastAsia="zh-CN"/>
              </w:rPr>
              <w:t>，1h</w:t>
            </w:r>
            <w:r>
              <w:rPr>
                <w:rFonts w:ascii="Times New Roman" w:hAnsi="Times New Roman" w:cs="Times New Roman"/>
                <w:color w:val="auto"/>
                <w:sz w:val="21"/>
                <w:shd w:val="clear" w:color="auto" w:fill="FFFFFF"/>
                <w:lang w:eastAsia="zh-CN"/>
              </w:rPr>
              <w:t>）</w:t>
            </w:r>
          </w:p>
        </w:tc>
        <w:tc>
          <w:tcPr>
            <w:tcW w:w="933" w:type="pct"/>
            <w:vAlign w:val="center"/>
          </w:tcPr>
          <w:p w14:paraId="165CF2D8">
            <w:pPr>
              <w:snapToGrid w:val="0"/>
              <w:spacing w:before="60" w:after="6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w:t>
            </w:r>
          </w:p>
        </w:tc>
        <w:tc>
          <w:tcPr>
            <w:tcW w:w="430" w:type="pct"/>
            <w:vAlign w:val="center"/>
          </w:tcPr>
          <w:p w14:paraId="06DD10EE">
            <w:pPr>
              <w:snapToGrid w:val="0"/>
              <w:spacing w:before="60" w:after="60"/>
              <w:jc w:val="center"/>
              <w:rPr>
                <w:rFonts w:ascii="Times New Roman" w:hAnsi="Times New Roman" w:cs="Times New Roman"/>
                <w:color w:val="auto"/>
                <w:spacing w:val="-2"/>
                <w:sz w:val="21"/>
                <w:lang w:eastAsia="zh-CN"/>
              </w:rPr>
            </w:pPr>
            <w:r>
              <w:rPr>
                <w:rFonts w:ascii="Times New Roman" w:hAnsi="Times New Roman" w:cs="Times New Roman"/>
                <w:color w:val="auto"/>
                <w:spacing w:val="-2"/>
                <w:sz w:val="21"/>
                <w:lang w:eastAsia="zh-CN"/>
              </w:rPr>
              <w:t>属于</w:t>
            </w:r>
          </w:p>
        </w:tc>
      </w:tr>
      <w:tr w14:paraId="3328B1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0" w:type="pct"/>
            <w:vMerge w:val="restart"/>
            <w:vAlign w:val="center"/>
          </w:tcPr>
          <w:p w14:paraId="5559AB4A">
            <w:pPr>
              <w:snapToGrid w:val="0"/>
              <w:spacing w:before="60" w:after="6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刻蚀液</w:t>
            </w:r>
          </w:p>
        </w:tc>
        <w:tc>
          <w:tcPr>
            <w:tcW w:w="420" w:type="pct"/>
            <w:vAlign w:val="center"/>
          </w:tcPr>
          <w:p w14:paraId="6C0D1B1C">
            <w:pPr>
              <w:snapToGrid w:val="0"/>
              <w:spacing w:before="60" w:after="6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氟化氢</w:t>
            </w:r>
          </w:p>
        </w:tc>
        <w:tc>
          <w:tcPr>
            <w:tcW w:w="299" w:type="pct"/>
            <w:vAlign w:val="center"/>
          </w:tcPr>
          <w:p w14:paraId="4DD5EA39">
            <w:pPr>
              <w:snapToGrid w:val="0"/>
              <w:spacing w:before="60" w:after="60"/>
              <w:jc w:val="center"/>
              <w:rPr>
                <w:rFonts w:ascii="Times New Roman" w:hAnsi="Times New Roman" w:cs="Times New Roman"/>
                <w:color w:val="auto"/>
                <w:spacing w:val="-2"/>
                <w:sz w:val="21"/>
                <w:lang w:eastAsia="zh-CN"/>
              </w:rPr>
            </w:pPr>
            <w:r>
              <w:rPr>
                <w:rFonts w:ascii="Times New Roman" w:hAnsi="Times New Roman" w:cs="Times New Roman"/>
                <w:color w:val="auto"/>
                <w:spacing w:val="-2"/>
                <w:sz w:val="21"/>
                <w:lang w:eastAsia="zh-CN"/>
              </w:rPr>
              <w:t>液态</w:t>
            </w:r>
          </w:p>
        </w:tc>
        <w:tc>
          <w:tcPr>
            <w:tcW w:w="657" w:type="pct"/>
            <w:vAlign w:val="center"/>
          </w:tcPr>
          <w:p w14:paraId="228759A9">
            <w:pPr>
              <w:snapToGrid w:val="0"/>
              <w:spacing w:before="60" w:after="6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是</w:t>
            </w:r>
          </w:p>
        </w:tc>
        <w:tc>
          <w:tcPr>
            <w:tcW w:w="538" w:type="pct"/>
            <w:vAlign w:val="center"/>
          </w:tcPr>
          <w:p w14:paraId="0FFE479B">
            <w:pPr>
              <w:snapToGrid w:val="0"/>
              <w:spacing w:before="60" w:after="6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是</w:t>
            </w:r>
          </w:p>
        </w:tc>
        <w:tc>
          <w:tcPr>
            <w:tcW w:w="1303" w:type="pct"/>
            <w:vAlign w:val="center"/>
          </w:tcPr>
          <w:p w14:paraId="290DB976">
            <w:pPr>
              <w:snapToGrid w:val="0"/>
              <w:spacing w:before="60" w:after="6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否，</w:t>
            </w:r>
            <w:r>
              <w:rPr>
                <w:rFonts w:ascii="Times New Roman" w:hAnsi="Times New Roman" w:cs="Times New Roman"/>
                <w:color w:val="auto"/>
                <w:sz w:val="21"/>
                <w:shd w:val="clear" w:color="auto" w:fill="FFFFFF"/>
                <w:lang w:eastAsia="zh-CN"/>
              </w:rPr>
              <w:t>LC</w:t>
            </w:r>
            <w:r>
              <w:rPr>
                <w:rFonts w:ascii="Times New Roman" w:hAnsi="Times New Roman" w:cs="Times New Roman"/>
                <w:color w:val="auto"/>
                <w:sz w:val="21"/>
                <w:shd w:val="clear" w:color="auto" w:fill="FFFFFF"/>
                <w:vertAlign w:val="subscript"/>
                <w:lang w:eastAsia="zh-CN"/>
              </w:rPr>
              <w:t>50</w:t>
            </w:r>
            <w:r>
              <w:rPr>
                <w:rFonts w:ascii="Times New Roman" w:hAnsi="Times New Roman" w:cs="Times New Roman"/>
                <w:color w:val="auto"/>
                <w:sz w:val="21"/>
                <w:shd w:val="clear" w:color="auto" w:fill="FFFFFF"/>
                <w:lang w:eastAsia="zh-CN"/>
              </w:rPr>
              <w:t>：</w:t>
            </w:r>
            <w:r>
              <w:rPr>
                <w:rFonts w:hint="eastAsia" w:ascii="Times New Roman" w:hAnsi="Times New Roman" w:cs="Times New Roman"/>
                <w:color w:val="auto"/>
                <w:sz w:val="21"/>
                <w:shd w:val="clear" w:color="auto" w:fill="FFFFFF"/>
                <w:lang w:eastAsia="zh-CN"/>
              </w:rPr>
              <w:t>1276</w:t>
            </w:r>
            <w:r>
              <w:rPr>
                <w:rFonts w:ascii="Times New Roman" w:hAnsi="Times New Roman" w:cs="Times New Roman"/>
                <w:color w:val="auto"/>
                <w:sz w:val="21"/>
                <w:shd w:val="clear" w:color="auto" w:fill="FFFFFF"/>
                <w:lang w:eastAsia="zh-CN"/>
              </w:rPr>
              <w:t>mg/m</w:t>
            </w:r>
            <w:r>
              <w:rPr>
                <w:rFonts w:ascii="Times New Roman" w:hAnsi="Times New Roman" w:cs="Times New Roman"/>
                <w:color w:val="auto"/>
                <w:sz w:val="21"/>
                <w:shd w:val="clear" w:color="auto" w:fill="FFFFFF"/>
                <w:vertAlign w:val="superscript"/>
                <w:lang w:eastAsia="zh-CN"/>
              </w:rPr>
              <w:t>3</w:t>
            </w:r>
            <w:r>
              <w:rPr>
                <w:rFonts w:ascii="Times New Roman" w:hAnsi="Times New Roman" w:cs="Times New Roman"/>
                <w:color w:val="auto"/>
                <w:sz w:val="21"/>
                <w:shd w:val="clear" w:color="auto" w:fill="FFFFFF"/>
                <w:lang w:eastAsia="zh-CN"/>
              </w:rPr>
              <w:t>（大鼠吸入</w:t>
            </w:r>
            <w:r>
              <w:rPr>
                <w:rFonts w:hint="eastAsia" w:ascii="Times New Roman" w:hAnsi="Times New Roman" w:cs="Times New Roman"/>
                <w:color w:val="auto"/>
                <w:sz w:val="21"/>
                <w:shd w:val="clear" w:color="auto" w:fill="FFFFFF"/>
                <w:lang w:eastAsia="zh-CN"/>
              </w:rPr>
              <w:t>，1h</w:t>
            </w:r>
            <w:r>
              <w:rPr>
                <w:rFonts w:ascii="Times New Roman" w:hAnsi="Times New Roman" w:cs="Times New Roman"/>
                <w:color w:val="auto"/>
                <w:sz w:val="21"/>
                <w:shd w:val="clear" w:color="auto" w:fill="FFFFFF"/>
                <w:lang w:eastAsia="zh-CN"/>
              </w:rPr>
              <w:t>）</w:t>
            </w:r>
          </w:p>
        </w:tc>
        <w:tc>
          <w:tcPr>
            <w:tcW w:w="933" w:type="pct"/>
            <w:vAlign w:val="center"/>
          </w:tcPr>
          <w:p w14:paraId="0E90A788">
            <w:pPr>
              <w:snapToGrid w:val="0"/>
              <w:spacing w:before="60" w:after="6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w:t>
            </w:r>
          </w:p>
        </w:tc>
        <w:tc>
          <w:tcPr>
            <w:tcW w:w="430" w:type="pct"/>
            <w:vAlign w:val="center"/>
          </w:tcPr>
          <w:p w14:paraId="5E77C0B4">
            <w:pPr>
              <w:snapToGrid w:val="0"/>
              <w:spacing w:before="60" w:after="60"/>
              <w:jc w:val="center"/>
              <w:rPr>
                <w:rFonts w:ascii="Times New Roman" w:hAnsi="Times New Roman" w:cs="Times New Roman"/>
                <w:color w:val="auto"/>
                <w:spacing w:val="-2"/>
                <w:sz w:val="21"/>
                <w:lang w:eastAsia="zh-CN"/>
              </w:rPr>
            </w:pPr>
            <w:r>
              <w:rPr>
                <w:rFonts w:ascii="Times New Roman" w:hAnsi="Times New Roman" w:cs="Times New Roman"/>
                <w:color w:val="auto"/>
                <w:spacing w:val="-2"/>
                <w:sz w:val="21"/>
                <w:lang w:eastAsia="zh-CN"/>
              </w:rPr>
              <w:t>属于</w:t>
            </w:r>
          </w:p>
        </w:tc>
      </w:tr>
      <w:tr w14:paraId="59B516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0" w:type="pct"/>
            <w:vMerge w:val="continue"/>
            <w:vAlign w:val="center"/>
          </w:tcPr>
          <w:p w14:paraId="08322BF4">
            <w:pPr>
              <w:snapToGrid w:val="0"/>
              <w:spacing w:before="60" w:after="60"/>
              <w:jc w:val="center"/>
              <w:rPr>
                <w:rFonts w:ascii="Times New Roman" w:hAnsi="Times New Roman" w:cs="Times New Roman"/>
                <w:color w:val="auto"/>
                <w:spacing w:val="-2"/>
                <w:sz w:val="21"/>
                <w:lang w:eastAsia="zh-CN"/>
              </w:rPr>
            </w:pPr>
          </w:p>
        </w:tc>
        <w:tc>
          <w:tcPr>
            <w:tcW w:w="420" w:type="pct"/>
            <w:vAlign w:val="center"/>
          </w:tcPr>
          <w:p w14:paraId="07CCE0CC">
            <w:pPr>
              <w:snapToGrid w:val="0"/>
              <w:spacing w:before="60" w:after="60"/>
              <w:jc w:val="center"/>
              <w:rPr>
                <w:rFonts w:ascii="Times New Roman" w:hAnsi="Times New Roman" w:cs="Times New Roman"/>
                <w:color w:val="000000" w:themeColor="text1"/>
                <w:spacing w:val="-2"/>
                <w:sz w:val="21"/>
                <w:lang w:eastAsia="zh-CN"/>
                <w14:textFill>
                  <w14:solidFill>
                    <w14:schemeClr w14:val="tx1"/>
                  </w14:solidFill>
                </w14:textFill>
              </w:rPr>
            </w:pPr>
            <w:r>
              <w:rPr>
                <w:rFonts w:hint="eastAsia" w:ascii="Times New Roman" w:hAnsi="Times New Roman" w:cs="Times New Roman"/>
                <w:color w:val="000000" w:themeColor="text1"/>
                <w:spacing w:val="-2"/>
                <w:sz w:val="21"/>
                <w:lang w:eastAsia="zh-CN"/>
                <w14:textFill>
                  <w14:solidFill>
                    <w14:schemeClr w14:val="tx1"/>
                  </w14:solidFill>
                </w14:textFill>
              </w:rPr>
              <w:t>氯化氢</w:t>
            </w:r>
          </w:p>
        </w:tc>
        <w:tc>
          <w:tcPr>
            <w:tcW w:w="299" w:type="pct"/>
            <w:vAlign w:val="center"/>
          </w:tcPr>
          <w:p w14:paraId="59D8AB94">
            <w:pPr>
              <w:snapToGrid w:val="0"/>
              <w:spacing w:before="60" w:after="60"/>
              <w:jc w:val="center"/>
              <w:rPr>
                <w:rFonts w:ascii="Times New Roman" w:hAnsi="Times New Roman" w:cs="Times New Roman"/>
                <w:color w:val="000000" w:themeColor="text1"/>
                <w:spacing w:val="-2"/>
                <w:sz w:val="21"/>
                <w:lang w:eastAsia="zh-CN"/>
                <w14:textFill>
                  <w14:solidFill>
                    <w14:schemeClr w14:val="tx1"/>
                  </w14:solidFill>
                </w14:textFill>
              </w:rPr>
            </w:pPr>
            <w:r>
              <w:rPr>
                <w:rFonts w:hint="eastAsia" w:ascii="Times New Roman" w:hAnsi="Times New Roman" w:cs="Times New Roman"/>
                <w:color w:val="auto"/>
                <w:spacing w:val="-2"/>
                <w:sz w:val="21"/>
                <w:lang w:eastAsia="zh-CN"/>
              </w:rPr>
              <w:t>气态</w:t>
            </w:r>
          </w:p>
        </w:tc>
        <w:tc>
          <w:tcPr>
            <w:tcW w:w="657" w:type="pct"/>
            <w:vAlign w:val="center"/>
          </w:tcPr>
          <w:p w14:paraId="683B32D1">
            <w:pPr>
              <w:snapToGrid w:val="0"/>
              <w:spacing w:before="60" w:after="60"/>
              <w:jc w:val="center"/>
              <w:rPr>
                <w:rFonts w:ascii="Times New Roman" w:hAnsi="Times New Roman" w:cs="Times New Roman"/>
                <w:color w:val="000000" w:themeColor="text1"/>
                <w:spacing w:val="-2"/>
                <w:sz w:val="21"/>
                <w:lang w:eastAsia="zh-CN"/>
                <w14:textFill>
                  <w14:solidFill>
                    <w14:schemeClr w14:val="tx1"/>
                  </w14:solidFill>
                </w14:textFill>
              </w:rPr>
            </w:pPr>
            <w:r>
              <w:rPr>
                <w:rFonts w:ascii="Times New Roman" w:hAnsi="Times New Roman" w:cs="Times New Roman"/>
                <w:color w:val="000000" w:themeColor="text1"/>
                <w:spacing w:val="-2"/>
                <w:sz w:val="21"/>
                <w:lang w:eastAsia="zh-CN"/>
                <w14:textFill>
                  <w14:solidFill>
                    <w14:schemeClr w14:val="tx1"/>
                  </w14:solidFill>
                </w14:textFill>
              </w:rPr>
              <w:t>是</w:t>
            </w:r>
          </w:p>
        </w:tc>
        <w:tc>
          <w:tcPr>
            <w:tcW w:w="538" w:type="pct"/>
            <w:vAlign w:val="center"/>
          </w:tcPr>
          <w:p w14:paraId="6340B7C0">
            <w:pPr>
              <w:snapToGrid w:val="0"/>
              <w:spacing w:before="60" w:after="60"/>
              <w:jc w:val="center"/>
              <w:rPr>
                <w:rFonts w:ascii="Times New Roman" w:hAnsi="Times New Roman" w:cs="Times New Roman"/>
                <w:color w:val="000000" w:themeColor="text1"/>
                <w:spacing w:val="-2"/>
                <w:sz w:val="21"/>
                <w:lang w:eastAsia="zh-CN"/>
                <w14:textFill>
                  <w14:solidFill>
                    <w14:schemeClr w14:val="tx1"/>
                  </w14:solidFill>
                </w14:textFill>
              </w:rPr>
            </w:pPr>
            <w:r>
              <w:rPr>
                <w:rFonts w:ascii="Times New Roman" w:hAnsi="Times New Roman" w:cs="Times New Roman"/>
                <w:color w:val="000000" w:themeColor="text1"/>
                <w:spacing w:val="-2"/>
                <w:sz w:val="21"/>
                <w:lang w:eastAsia="zh-CN"/>
                <w14:textFill>
                  <w14:solidFill>
                    <w14:schemeClr w14:val="tx1"/>
                  </w14:solidFill>
                </w14:textFill>
              </w:rPr>
              <w:t>是</w:t>
            </w:r>
          </w:p>
        </w:tc>
        <w:tc>
          <w:tcPr>
            <w:tcW w:w="1303" w:type="pct"/>
            <w:vAlign w:val="center"/>
          </w:tcPr>
          <w:p w14:paraId="44D625AE">
            <w:pPr>
              <w:snapToGrid w:val="0"/>
              <w:spacing w:before="60" w:after="60"/>
              <w:jc w:val="center"/>
              <w:rPr>
                <w:rFonts w:ascii="Times New Roman" w:hAnsi="Times New Roman" w:cs="Times New Roman"/>
                <w:color w:val="000000" w:themeColor="text1"/>
                <w:spacing w:val="-2"/>
                <w:sz w:val="21"/>
                <w:lang w:eastAsia="zh-CN"/>
                <w14:textFill>
                  <w14:solidFill>
                    <w14:schemeClr w14:val="tx1"/>
                  </w14:solidFill>
                </w14:textFill>
              </w:rPr>
            </w:pPr>
            <w:r>
              <w:rPr>
                <w:rFonts w:hint="eastAsia" w:ascii="Times New Roman" w:hAnsi="Times New Roman" w:cs="Times New Roman"/>
                <w:color w:val="000000" w:themeColor="text1"/>
                <w:spacing w:val="-2"/>
                <w:sz w:val="21"/>
                <w:lang w:eastAsia="zh-CN"/>
                <w14:textFill>
                  <w14:solidFill>
                    <w14:schemeClr w14:val="tx1"/>
                  </w14:solidFill>
                </w14:textFill>
              </w:rPr>
              <w:t>否，</w:t>
            </w:r>
            <w:r>
              <w:rPr>
                <w:rFonts w:ascii="Times New Roman" w:hAnsi="Times New Roman" w:cs="Times New Roman"/>
                <w:color w:val="000000" w:themeColor="text1"/>
                <w:sz w:val="21"/>
                <w:shd w:val="clear" w:color="auto" w:fill="FFFFFF"/>
                <w:lang w:eastAsia="zh-CN"/>
                <w14:textFill>
                  <w14:solidFill>
                    <w14:schemeClr w14:val="tx1"/>
                  </w14:solidFill>
                </w14:textFill>
              </w:rPr>
              <w:t>LC</w:t>
            </w:r>
            <w:r>
              <w:rPr>
                <w:rFonts w:ascii="Times New Roman" w:hAnsi="Times New Roman" w:cs="Times New Roman"/>
                <w:color w:val="000000" w:themeColor="text1"/>
                <w:sz w:val="21"/>
                <w:shd w:val="clear" w:color="auto" w:fill="FFFFFF"/>
                <w:vertAlign w:val="subscript"/>
                <w:lang w:eastAsia="zh-CN"/>
                <w14:textFill>
                  <w14:solidFill>
                    <w14:schemeClr w14:val="tx1"/>
                  </w14:solidFill>
                </w14:textFill>
              </w:rPr>
              <w:t>50</w:t>
            </w:r>
            <w:r>
              <w:rPr>
                <w:rFonts w:ascii="Times New Roman" w:hAnsi="Times New Roman" w:cs="Times New Roman"/>
                <w:color w:val="000000" w:themeColor="text1"/>
                <w:sz w:val="21"/>
                <w:shd w:val="clear" w:color="auto" w:fill="FFFFFF"/>
                <w:lang w:eastAsia="zh-CN"/>
                <w14:textFill>
                  <w14:solidFill>
                    <w14:schemeClr w14:val="tx1"/>
                  </w14:solidFill>
                </w14:textFill>
              </w:rPr>
              <w:t>：</w:t>
            </w:r>
            <w:r>
              <w:rPr>
                <w:rFonts w:hint="eastAsia" w:ascii="Times New Roman" w:hAnsi="Times New Roman" w:cs="Times New Roman"/>
                <w:color w:val="000000" w:themeColor="text1"/>
                <w:sz w:val="21"/>
                <w:shd w:val="clear" w:color="auto" w:fill="FFFFFF"/>
                <w:lang w:eastAsia="zh-CN"/>
                <w14:textFill>
                  <w14:solidFill>
                    <w14:schemeClr w14:val="tx1"/>
                  </w14:solidFill>
                </w14:textFill>
              </w:rPr>
              <w:t>3124ppm</w:t>
            </w:r>
            <w:r>
              <w:rPr>
                <w:rFonts w:ascii="Times New Roman" w:hAnsi="Times New Roman" w:cs="Times New Roman"/>
                <w:color w:val="000000" w:themeColor="text1"/>
                <w:sz w:val="21"/>
                <w:shd w:val="clear" w:color="auto" w:fill="FFFFFF"/>
                <w:lang w:eastAsia="zh-CN"/>
                <w14:textFill>
                  <w14:solidFill>
                    <w14:schemeClr w14:val="tx1"/>
                  </w14:solidFill>
                </w14:textFill>
              </w:rPr>
              <w:t>（</w:t>
            </w:r>
            <w:r>
              <w:rPr>
                <w:rFonts w:hint="eastAsia" w:ascii="Times New Roman" w:hAnsi="Times New Roman" w:cs="Times New Roman"/>
                <w:color w:val="000000" w:themeColor="text1"/>
                <w:sz w:val="21"/>
                <w:shd w:val="clear" w:color="auto" w:fill="FFFFFF"/>
                <w:lang w:eastAsia="zh-CN"/>
                <w14:textFill>
                  <w14:solidFill>
                    <w14:schemeClr w14:val="tx1"/>
                  </w14:solidFill>
                </w14:textFill>
              </w:rPr>
              <w:t>大</w:t>
            </w:r>
            <w:r>
              <w:rPr>
                <w:rFonts w:ascii="Times New Roman" w:hAnsi="Times New Roman" w:cs="Times New Roman"/>
                <w:color w:val="000000" w:themeColor="text1"/>
                <w:sz w:val="21"/>
                <w:shd w:val="clear" w:color="auto" w:fill="FFFFFF"/>
                <w:lang w:eastAsia="zh-CN"/>
                <w14:textFill>
                  <w14:solidFill>
                    <w14:schemeClr w14:val="tx1"/>
                  </w14:solidFill>
                </w14:textFill>
              </w:rPr>
              <w:t>鼠吸入</w:t>
            </w:r>
            <w:r>
              <w:rPr>
                <w:rFonts w:hint="eastAsia" w:ascii="Times New Roman" w:hAnsi="Times New Roman" w:cs="Times New Roman"/>
                <w:color w:val="000000" w:themeColor="text1"/>
                <w:sz w:val="21"/>
                <w:shd w:val="clear" w:color="auto" w:fill="FFFFFF"/>
                <w:lang w:eastAsia="zh-CN"/>
                <w14:textFill>
                  <w14:solidFill>
                    <w14:schemeClr w14:val="tx1"/>
                  </w14:solidFill>
                </w14:textFill>
              </w:rPr>
              <w:t>，1h</w:t>
            </w:r>
            <w:r>
              <w:rPr>
                <w:rFonts w:ascii="Times New Roman" w:hAnsi="Times New Roman" w:cs="Times New Roman"/>
                <w:color w:val="000000" w:themeColor="text1"/>
                <w:sz w:val="21"/>
                <w:shd w:val="clear" w:color="auto" w:fill="FFFFFF"/>
                <w:lang w:eastAsia="zh-CN"/>
                <w14:textFill>
                  <w14:solidFill>
                    <w14:schemeClr w14:val="tx1"/>
                  </w14:solidFill>
                </w14:textFill>
              </w:rPr>
              <w:t>）</w:t>
            </w:r>
          </w:p>
        </w:tc>
        <w:tc>
          <w:tcPr>
            <w:tcW w:w="933" w:type="pct"/>
            <w:vAlign w:val="center"/>
          </w:tcPr>
          <w:p w14:paraId="66705163">
            <w:pPr>
              <w:snapToGrid w:val="0"/>
              <w:spacing w:before="60" w:after="60"/>
              <w:jc w:val="center"/>
              <w:rPr>
                <w:rFonts w:ascii="Times New Roman" w:hAnsi="Times New Roman" w:cs="Times New Roman"/>
                <w:color w:val="000000" w:themeColor="text1"/>
                <w:spacing w:val="-2"/>
                <w:sz w:val="21"/>
                <w:lang w:eastAsia="zh-CN"/>
                <w14:textFill>
                  <w14:solidFill>
                    <w14:schemeClr w14:val="tx1"/>
                  </w14:solidFill>
                </w14:textFill>
              </w:rPr>
            </w:pPr>
            <w:r>
              <w:rPr>
                <w:rFonts w:hint="eastAsia" w:ascii="Times New Roman" w:hAnsi="Times New Roman" w:cs="Times New Roman"/>
                <w:color w:val="000000" w:themeColor="text1"/>
                <w:spacing w:val="-2"/>
                <w:sz w:val="21"/>
                <w:lang w:eastAsia="zh-CN"/>
                <w14:textFill>
                  <w14:solidFill>
                    <w14:schemeClr w14:val="tx1"/>
                  </w14:solidFill>
                </w14:textFill>
              </w:rPr>
              <w:t>/</w:t>
            </w:r>
          </w:p>
        </w:tc>
        <w:tc>
          <w:tcPr>
            <w:tcW w:w="430" w:type="pct"/>
            <w:vAlign w:val="center"/>
          </w:tcPr>
          <w:p w14:paraId="7DEF203F">
            <w:pPr>
              <w:snapToGrid w:val="0"/>
              <w:spacing w:before="60" w:after="60"/>
              <w:jc w:val="center"/>
              <w:rPr>
                <w:rFonts w:ascii="Times New Roman" w:hAnsi="Times New Roman" w:cs="Times New Roman"/>
                <w:color w:val="000000" w:themeColor="text1"/>
                <w:spacing w:val="-2"/>
                <w:sz w:val="21"/>
                <w:lang w:eastAsia="zh-CN"/>
                <w14:textFill>
                  <w14:solidFill>
                    <w14:schemeClr w14:val="tx1"/>
                  </w14:solidFill>
                </w14:textFill>
              </w:rPr>
            </w:pPr>
            <w:r>
              <w:rPr>
                <w:rFonts w:ascii="Times New Roman" w:hAnsi="Times New Roman" w:cs="Times New Roman"/>
                <w:color w:val="000000" w:themeColor="text1"/>
                <w:spacing w:val="-2"/>
                <w:sz w:val="21"/>
                <w:lang w:eastAsia="zh-CN"/>
                <w14:textFill>
                  <w14:solidFill>
                    <w14:schemeClr w14:val="tx1"/>
                  </w14:solidFill>
                </w14:textFill>
              </w:rPr>
              <w:t>属于</w:t>
            </w:r>
          </w:p>
        </w:tc>
      </w:tr>
      <w:tr w14:paraId="7270BD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40" w:type="pct"/>
            <w:gridSpan w:val="2"/>
            <w:vAlign w:val="center"/>
          </w:tcPr>
          <w:p w14:paraId="70DEE2BD">
            <w:pPr>
              <w:snapToGrid w:val="0"/>
              <w:spacing w:before="60" w:after="60"/>
              <w:jc w:val="center"/>
              <w:rPr>
                <w:rFonts w:ascii="Times New Roman" w:hAnsi="Times New Roman" w:cs="Times New Roman"/>
                <w:color w:val="auto"/>
                <w:spacing w:val="-2"/>
                <w:sz w:val="21"/>
                <w:lang w:eastAsia="zh-CN"/>
              </w:rPr>
            </w:pPr>
            <w:r>
              <w:rPr>
                <w:rFonts w:hint="eastAsia" w:ascii="Times New Roman" w:hAnsi="Times New Roman" w:cs="Times New Roman"/>
                <w:color w:val="auto"/>
                <w:sz w:val="21"/>
                <w:lang w:eastAsia="zh-CN"/>
              </w:rPr>
              <w:t>无水氟化氢</w:t>
            </w:r>
          </w:p>
        </w:tc>
        <w:tc>
          <w:tcPr>
            <w:tcW w:w="299" w:type="pct"/>
            <w:vAlign w:val="center"/>
          </w:tcPr>
          <w:p w14:paraId="31AD570F">
            <w:pPr>
              <w:snapToGrid w:val="0"/>
              <w:spacing w:before="60" w:after="60"/>
              <w:jc w:val="center"/>
              <w:rPr>
                <w:rFonts w:ascii="Times New Roman" w:hAnsi="Times New Roman" w:cs="Times New Roman"/>
                <w:color w:val="auto"/>
                <w:spacing w:val="-2"/>
                <w:sz w:val="21"/>
                <w:lang w:eastAsia="zh-CN"/>
              </w:rPr>
            </w:pPr>
            <w:r>
              <w:rPr>
                <w:rFonts w:ascii="Times New Roman" w:hAnsi="Times New Roman" w:cs="Times New Roman"/>
                <w:color w:val="auto"/>
                <w:spacing w:val="-2"/>
                <w:sz w:val="21"/>
                <w:lang w:eastAsia="zh-CN"/>
              </w:rPr>
              <w:t>液态</w:t>
            </w:r>
          </w:p>
        </w:tc>
        <w:tc>
          <w:tcPr>
            <w:tcW w:w="657" w:type="pct"/>
            <w:vAlign w:val="center"/>
          </w:tcPr>
          <w:p w14:paraId="61F1B197">
            <w:pPr>
              <w:snapToGrid w:val="0"/>
              <w:spacing w:before="60" w:after="6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是</w:t>
            </w:r>
          </w:p>
        </w:tc>
        <w:tc>
          <w:tcPr>
            <w:tcW w:w="538" w:type="pct"/>
            <w:vAlign w:val="center"/>
          </w:tcPr>
          <w:p w14:paraId="2204D8EA">
            <w:pPr>
              <w:snapToGrid w:val="0"/>
              <w:spacing w:before="60" w:after="6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是</w:t>
            </w:r>
          </w:p>
        </w:tc>
        <w:tc>
          <w:tcPr>
            <w:tcW w:w="1303" w:type="pct"/>
            <w:vAlign w:val="center"/>
          </w:tcPr>
          <w:p w14:paraId="2F0249BF">
            <w:pPr>
              <w:snapToGrid w:val="0"/>
              <w:spacing w:before="60" w:after="6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否，</w:t>
            </w:r>
            <w:r>
              <w:rPr>
                <w:rFonts w:ascii="Times New Roman" w:hAnsi="Times New Roman" w:cs="Times New Roman"/>
                <w:color w:val="auto"/>
                <w:sz w:val="21"/>
                <w:shd w:val="clear" w:color="auto" w:fill="FFFFFF"/>
                <w:lang w:eastAsia="zh-CN"/>
              </w:rPr>
              <w:t>LC</w:t>
            </w:r>
            <w:r>
              <w:rPr>
                <w:rFonts w:ascii="Times New Roman" w:hAnsi="Times New Roman" w:cs="Times New Roman"/>
                <w:color w:val="auto"/>
                <w:sz w:val="21"/>
                <w:shd w:val="clear" w:color="auto" w:fill="FFFFFF"/>
                <w:vertAlign w:val="subscript"/>
                <w:lang w:eastAsia="zh-CN"/>
              </w:rPr>
              <w:t>50</w:t>
            </w:r>
            <w:r>
              <w:rPr>
                <w:rFonts w:ascii="Times New Roman" w:hAnsi="Times New Roman" w:cs="Times New Roman"/>
                <w:color w:val="auto"/>
                <w:sz w:val="21"/>
                <w:shd w:val="clear" w:color="auto" w:fill="FFFFFF"/>
                <w:lang w:eastAsia="zh-CN"/>
              </w:rPr>
              <w:t>：</w:t>
            </w:r>
            <w:r>
              <w:rPr>
                <w:rFonts w:hint="eastAsia" w:ascii="Times New Roman" w:hAnsi="Times New Roman" w:cs="Times New Roman"/>
                <w:color w:val="auto"/>
                <w:sz w:val="21"/>
                <w:shd w:val="clear" w:color="auto" w:fill="FFFFFF"/>
                <w:lang w:eastAsia="zh-CN"/>
              </w:rPr>
              <w:t>1276</w:t>
            </w:r>
            <w:r>
              <w:rPr>
                <w:rFonts w:ascii="Times New Roman" w:hAnsi="Times New Roman" w:cs="Times New Roman"/>
                <w:color w:val="auto"/>
                <w:sz w:val="21"/>
                <w:shd w:val="clear" w:color="auto" w:fill="FFFFFF"/>
                <w:lang w:eastAsia="zh-CN"/>
              </w:rPr>
              <w:t>mg/m</w:t>
            </w:r>
            <w:r>
              <w:rPr>
                <w:rFonts w:ascii="Times New Roman" w:hAnsi="Times New Roman" w:cs="Times New Roman"/>
                <w:color w:val="auto"/>
                <w:sz w:val="21"/>
                <w:shd w:val="clear" w:color="auto" w:fill="FFFFFF"/>
                <w:vertAlign w:val="superscript"/>
                <w:lang w:eastAsia="zh-CN"/>
              </w:rPr>
              <w:t>3</w:t>
            </w:r>
            <w:r>
              <w:rPr>
                <w:rFonts w:ascii="Times New Roman" w:hAnsi="Times New Roman" w:cs="Times New Roman"/>
                <w:color w:val="auto"/>
                <w:sz w:val="21"/>
                <w:shd w:val="clear" w:color="auto" w:fill="FFFFFF"/>
                <w:lang w:eastAsia="zh-CN"/>
              </w:rPr>
              <w:t>（大鼠吸入</w:t>
            </w:r>
            <w:r>
              <w:rPr>
                <w:rFonts w:hint="eastAsia" w:ascii="Times New Roman" w:hAnsi="Times New Roman" w:cs="Times New Roman"/>
                <w:color w:val="auto"/>
                <w:sz w:val="21"/>
                <w:shd w:val="clear" w:color="auto" w:fill="FFFFFF"/>
                <w:lang w:eastAsia="zh-CN"/>
              </w:rPr>
              <w:t>，1h</w:t>
            </w:r>
            <w:r>
              <w:rPr>
                <w:rFonts w:ascii="Times New Roman" w:hAnsi="Times New Roman" w:cs="Times New Roman"/>
                <w:color w:val="auto"/>
                <w:sz w:val="21"/>
                <w:shd w:val="clear" w:color="auto" w:fill="FFFFFF"/>
                <w:lang w:eastAsia="zh-CN"/>
              </w:rPr>
              <w:t>）</w:t>
            </w:r>
          </w:p>
        </w:tc>
        <w:tc>
          <w:tcPr>
            <w:tcW w:w="933" w:type="pct"/>
            <w:vAlign w:val="center"/>
          </w:tcPr>
          <w:p w14:paraId="05D3FBD5">
            <w:pPr>
              <w:snapToGrid w:val="0"/>
              <w:spacing w:before="60" w:after="6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w:t>
            </w:r>
          </w:p>
        </w:tc>
        <w:tc>
          <w:tcPr>
            <w:tcW w:w="430" w:type="pct"/>
            <w:vAlign w:val="center"/>
          </w:tcPr>
          <w:p w14:paraId="3070CCE2">
            <w:pPr>
              <w:snapToGrid w:val="0"/>
              <w:spacing w:before="60" w:after="60"/>
              <w:jc w:val="center"/>
              <w:rPr>
                <w:rFonts w:ascii="Times New Roman" w:hAnsi="Times New Roman" w:cs="Times New Roman"/>
                <w:color w:val="auto"/>
                <w:spacing w:val="-2"/>
                <w:sz w:val="21"/>
                <w:lang w:eastAsia="zh-CN"/>
              </w:rPr>
            </w:pPr>
            <w:r>
              <w:rPr>
                <w:rFonts w:ascii="Times New Roman" w:hAnsi="Times New Roman" w:cs="Times New Roman"/>
                <w:color w:val="auto"/>
                <w:spacing w:val="-2"/>
                <w:sz w:val="21"/>
                <w:lang w:eastAsia="zh-CN"/>
              </w:rPr>
              <w:t>属于</w:t>
            </w:r>
          </w:p>
        </w:tc>
      </w:tr>
      <w:tr w14:paraId="2A71AE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0" w:type="pct"/>
            <w:vAlign w:val="center"/>
          </w:tcPr>
          <w:p w14:paraId="0529D842">
            <w:pPr>
              <w:snapToGrid w:val="0"/>
              <w:spacing w:before="60" w:after="6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15%氟化氢水溶液</w:t>
            </w:r>
          </w:p>
        </w:tc>
        <w:tc>
          <w:tcPr>
            <w:tcW w:w="420" w:type="pct"/>
            <w:vAlign w:val="center"/>
          </w:tcPr>
          <w:p w14:paraId="60E1563D">
            <w:pPr>
              <w:snapToGrid w:val="0"/>
              <w:spacing w:before="60" w:after="60"/>
              <w:jc w:val="center"/>
              <w:rPr>
                <w:rFonts w:ascii="Times New Roman" w:hAnsi="Times New Roman" w:cs="Times New Roman"/>
                <w:color w:val="auto"/>
                <w:sz w:val="21"/>
                <w:lang w:eastAsia="zh-CN"/>
              </w:rPr>
            </w:pPr>
            <w:r>
              <w:rPr>
                <w:rFonts w:hint="eastAsia" w:ascii="Times New Roman" w:hAnsi="Times New Roman" w:cs="Times New Roman"/>
                <w:color w:val="auto"/>
                <w:spacing w:val="-2"/>
                <w:sz w:val="21"/>
                <w:lang w:eastAsia="zh-CN"/>
              </w:rPr>
              <w:t>氟化氢</w:t>
            </w:r>
          </w:p>
        </w:tc>
        <w:tc>
          <w:tcPr>
            <w:tcW w:w="299" w:type="pct"/>
            <w:vAlign w:val="center"/>
          </w:tcPr>
          <w:p w14:paraId="3FB640F2">
            <w:pPr>
              <w:snapToGrid w:val="0"/>
              <w:spacing w:before="60" w:after="60"/>
              <w:jc w:val="center"/>
              <w:rPr>
                <w:rFonts w:ascii="Times New Roman" w:hAnsi="Times New Roman" w:cs="Times New Roman"/>
                <w:color w:val="auto"/>
                <w:spacing w:val="-2"/>
                <w:sz w:val="21"/>
                <w:lang w:eastAsia="zh-CN"/>
              </w:rPr>
            </w:pPr>
            <w:r>
              <w:rPr>
                <w:rFonts w:ascii="Times New Roman" w:hAnsi="Times New Roman" w:cs="Times New Roman"/>
                <w:color w:val="auto"/>
                <w:spacing w:val="-2"/>
                <w:sz w:val="21"/>
                <w:lang w:eastAsia="zh-CN"/>
              </w:rPr>
              <w:t>液态</w:t>
            </w:r>
          </w:p>
        </w:tc>
        <w:tc>
          <w:tcPr>
            <w:tcW w:w="657" w:type="pct"/>
            <w:vAlign w:val="center"/>
          </w:tcPr>
          <w:p w14:paraId="4DE65523">
            <w:pPr>
              <w:snapToGrid w:val="0"/>
              <w:spacing w:before="60" w:after="6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是</w:t>
            </w:r>
          </w:p>
        </w:tc>
        <w:tc>
          <w:tcPr>
            <w:tcW w:w="538" w:type="pct"/>
            <w:vAlign w:val="center"/>
          </w:tcPr>
          <w:p w14:paraId="414914FC">
            <w:pPr>
              <w:snapToGrid w:val="0"/>
              <w:spacing w:before="60" w:after="6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是</w:t>
            </w:r>
          </w:p>
        </w:tc>
        <w:tc>
          <w:tcPr>
            <w:tcW w:w="1303" w:type="pct"/>
            <w:vAlign w:val="center"/>
          </w:tcPr>
          <w:p w14:paraId="2BB6D10E">
            <w:pPr>
              <w:snapToGrid w:val="0"/>
              <w:spacing w:before="60" w:after="6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否，</w:t>
            </w:r>
            <w:r>
              <w:rPr>
                <w:rFonts w:ascii="Times New Roman" w:hAnsi="Times New Roman" w:cs="Times New Roman"/>
                <w:color w:val="auto"/>
                <w:sz w:val="21"/>
                <w:shd w:val="clear" w:color="auto" w:fill="FFFFFF"/>
                <w:lang w:eastAsia="zh-CN"/>
              </w:rPr>
              <w:t>LC</w:t>
            </w:r>
            <w:r>
              <w:rPr>
                <w:rFonts w:ascii="Times New Roman" w:hAnsi="Times New Roman" w:cs="Times New Roman"/>
                <w:color w:val="auto"/>
                <w:sz w:val="21"/>
                <w:shd w:val="clear" w:color="auto" w:fill="FFFFFF"/>
                <w:vertAlign w:val="subscript"/>
                <w:lang w:eastAsia="zh-CN"/>
              </w:rPr>
              <w:t>50</w:t>
            </w:r>
            <w:r>
              <w:rPr>
                <w:rFonts w:ascii="Times New Roman" w:hAnsi="Times New Roman" w:cs="Times New Roman"/>
                <w:color w:val="auto"/>
                <w:sz w:val="21"/>
                <w:shd w:val="clear" w:color="auto" w:fill="FFFFFF"/>
                <w:lang w:eastAsia="zh-CN"/>
              </w:rPr>
              <w:t>：</w:t>
            </w:r>
            <w:r>
              <w:rPr>
                <w:rFonts w:hint="eastAsia" w:ascii="Times New Roman" w:hAnsi="Times New Roman" w:cs="Times New Roman"/>
                <w:color w:val="auto"/>
                <w:sz w:val="21"/>
                <w:shd w:val="clear" w:color="auto" w:fill="FFFFFF"/>
                <w:lang w:eastAsia="zh-CN"/>
              </w:rPr>
              <w:t>1276</w:t>
            </w:r>
            <w:r>
              <w:rPr>
                <w:rFonts w:ascii="Times New Roman" w:hAnsi="Times New Roman" w:cs="Times New Roman"/>
                <w:color w:val="auto"/>
                <w:sz w:val="21"/>
                <w:shd w:val="clear" w:color="auto" w:fill="FFFFFF"/>
                <w:lang w:eastAsia="zh-CN"/>
              </w:rPr>
              <w:t>mg/m</w:t>
            </w:r>
            <w:r>
              <w:rPr>
                <w:rFonts w:ascii="Times New Roman" w:hAnsi="Times New Roman" w:cs="Times New Roman"/>
                <w:color w:val="auto"/>
                <w:sz w:val="21"/>
                <w:shd w:val="clear" w:color="auto" w:fill="FFFFFF"/>
                <w:vertAlign w:val="superscript"/>
                <w:lang w:eastAsia="zh-CN"/>
              </w:rPr>
              <w:t>3</w:t>
            </w:r>
            <w:r>
              <w:rPr>
                <w:rFonts w:ascii="Times New Roman" w:hAnsi="Times New Roman" w:cs="Times New Roman"/>
                <w:color w:val="auto"/>
                <w:sz w:val="21"/>
                <w:shd w:val="clear" w:color="auto" w:fill="FFFFFF"/>
                <w:lang w:eastAsia="zh-CN"/>
              </w:rPr>
              <w:t>（大鼠吸入</w:t>
            </w:r>
            <w:r>
              <w:rPr>
                <w:rFonts w:hint="eastAsia" w:ascii="Times New Roman" w:hAnsi="Times New Roman" w:cs="Times New Roman"/>
                <w:color w:val="auto"/>
                <w:sz w:val="21"/>
                <w:shd w:val="clear" w:color="auto" w:fill="FFFFFF"/>
                <w:lang w:eastAsia="zh-CN"/>
              </w:rPr>
              <w:t>，1h</w:t>
            </w:r>
            <w:r>
              <w:rPr>
                <w:rFonts w:ascii="Times New Roman" w:hAnsi="Times New Roman" w:cs="Times New Roman"/>
                <w:color w:val="auto"/>
                <w:sz w:val="21"/>
                <w:shd w:val="clear" w:color="auto" w:fill="FFFFFF"/>
                <w:lang w:eastAsia="zh-CN"/>
              </w:rPr>
              <w:t>）</w:t>
            </w:r>
          </w:p>
        </w:tc>
        <w:tc>
          <w:tcPr>
            <w:tcW w:w="933" w:type="pct"/>
            <w:vAlign w:val="center"/>
          </w:tcPr>
          <w:p w14:paraId="1F7EC0D5">
            <w:pPr>
              <w:snapToGrid w:val="0"/>
              <w:spacing w:before="60" w:after="6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w:t>
            </w:r>
          </w:p>
        </w:tc>
        <w:tc>
          <w:tcPr>
            <w:tcW w:w="430" w:type="pct"/>
            <w:vAlign w:val="center"/>
          </w:tcPr>
          <w:p w14:paraId="5CB86E70">
            <w:pPr>
              <w:snapToGrid w:val="0"/>
              <w:spacing w:before="60" w:after="60"/>
              <w:jc w:val="center"/>
              <w:rPr>
                <w:rFonts w:ascii="Times New Roman" w:hAnsi="Times New Roman" w:cs="Times New Roman"/>
                <w:color w:val="auto"/>
                <w:spacing w:val="-2"/>
                <w:sz w:val="21"/>
                <w:lang w:eastAsia="zh-CN"/>
              </w:rPr>
            </w:pPr>
            <w:r>
              <w:rPr>
                <w:rFonts w:ascii="Times New Roman" w:hAnsi="Times New Roman" w:cs="Times New Roman"/>
                <w:color w:val="auto"/>
                <w:spacing w:val="-2"/>
                <w:sz w:val="21"/>
                <w:lang w:eastAsia="zh-CN"/>
              </w:rPr>
              <w:t>属于</w:t>
            </w:r>
          </w:p>
        </w:tc>
      </w:tr>
      <w:tr w14:paraId="4C8479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0" w:type="pct"/>
            <w:vAlign w:val="center"/>
          </w:tcPr>
          <w:p w14:paraId="24A14743">
            <w:pPr>
              <w:snapToGrid w:val="0"/>
              <w:spacing w:before="60" w:after="60"/>
              <w:jc w:val="center"/>
              <w:rPr>
                <w:rFonts w:ascii="Times New Roman" w:hAnsi="Times New Roman" w:cs="Times New Roman"/>
                <w:color w:val="000000" w:themeColor="text1"/>
                <w:spacing w:val="-2"/>
                <w:sz w:val="21"/>
                <w:lang w:eastAsia="zh-CN"/>
                <w14:textFill>
                  <w14:solidFill>
                    <w14:schemeClr w14:val="tx1"/>
                  </w14:solidFill>
                </w14:textFill>
              </w:rPr>
            </w:pPr>
            <w:r>
              <w:rPr>
                <w:rFonts w:hint="eastAsia" w:ascii="Times New Roman" w:hAnsi="Times New Roman" w:cs="Times New Roman"/>
                <w:color w:val="000000" w:themeColor="text1"/>
                <w:spacing w:val="-2"/>
                <w:sz w:val="21"/>
                <w:lang w:eastAsia="zh-CN"/>
                <w14:textFill>
                  <w14:solidFill>
                    <w14:schemeClr w14:val="tx1"/>
                  </w14:solidFill>
                </w14:textFill>
              </w:rPr>
              <w:t>31%盐酸</w:t>
            </w:r>
          </w:p>
        </w:tc>
        <w:tc>
          <w:tcPr>
            <w:tcW w:w="420" w:type="pct"/>
            <w:vAlign w:val="center"/>
          </w:tcPr>
          <w:p w14:paraId="61DB0351">
            <w:pPr>
              <w:snapToGrid w:val="0"/>
              <w:spacing w:before="60" w:after="60"/>
              <w:jc w:val="center"/>
              <w:rPr>
                <w:rFonts w:ascii="Times New Roman" w:hAnsi="Times New Roman" w:cs="Times New Roman"/>
                <w:color w:val="000000" w:themeColor="text1"/>
                <w:spacing w:val="-2"/>
                <w:sz w:val="21"/>
                <w:lang w:eastAsia="zh-CN"/>
                <w14:textFill>
                  <w14:solidFill>
                    <w14:schemeClr w14:val="tx1"/>
                  </w14:solidFill>
                </w14:textFill>
              </w:rPr>
            </w:pPr>
            <w:r>
              <w:rPr>
                <w:rFonts w:hint="eastAsia" w:ascii="Times New Roman" w:hAnsi="Times New Roman" w:cs="Times New Roman"/>
                <w:color w:val="000000" w:themeColor="text1"/>
                <w:spacing w:val="-2"/>
                <w:sz w:val="21"/>
                <w:lang w:eastAsia="zh-CN"/>
                <w14:textFill>
                  <w14:solidFill>
                    <w14:schemeClr w14:val="tx1"/>
                  </w14:solidFill>
                </w14:textFill>
              </w:rPr>
              <w:t>氯化氢</w:t>
            </w:r>
          </w:p>
        </w:tc>
        <w:tc>
          <w:tcPr>
            <w:tcW w:w="299" w:type="pct"/>
            <w:vAlign w:val="center"/>
          </w:tcPr>
          <w:p w14:paraId="2A1B27F9">
            <w:pPr>
              <w:snapToGrid w:val="0"/>
              <w:spacing w:before="60" w:after="60"/>
              <w:jc w:val="center"/>
              <w:rPr>
                <w:rFonts w:ascii="Times New Roman" w:hAnsi="Times New Roman" w:cs="Times New Roman"/>
                <w:color w:val="000000" w:themeColor="text1"/>
                <w:spacing w:val="-2"/>
                <w:sz w:val="21"/>
                <w:lang w:eastAsia="zh-CN"/>
                <w14:textFill>
                  <w14:solidFill>
                    <w14:schemeClr w14:val="tx1"/>
                  </w14:solidFill>
                </w14:textFill>
              </w:rPr>
            </w:pPr>
            <w:r>
              <w:rPr>
                <w:rFonts w:hint="eastAsia" w:ascii="Times New Roman" w:hAnsi="Times New Roman" w:cs="Times New Roman"/>
                <w:color w:val="auto"/>
                <w:spacing w:val="-2"/>
                <w:sz w:val="21"/>
                <w:lang w:eastAsia="zh-CN"/>
              </w:rPr>
              <w:t>气态</w:t>
            </w:r>
          </w:p>
        </w:tc>
        <w:tc>
          <w:tcPr>
            <w:tcW w:w="657" w:type="pct"/>
            <w:vAlign w:val="center"/>
          </w:tcPr>
          <w:p w14:paraId="6ED9445C">
            <w:pPr>
              <w:snapToGrid w:val="0"/>
              <w:spacing w:before="60" w:after="60"/>
              <w:jc w:val="center"/>
              <w:rPr>
                <w:rFonts w:ascii="Times New Roman" w:hAnsi="Times New Roman" w:cs="Times New Roman"/>
                <w:color w:val="000000" w:themeColor="text1"/>
                <w:spacing w:val="-2"/>
                <w:sz w:val="21"/>
                <w:lang w:eastAsia="zh-CN"/>
                <w14:textFill>
                  <w14:solidFill>
                    <w14:schemeClr w14:val="tx1"/>
                  </w14:solidFill>
                </w14:textFill>
              </w:rPr>
            </w:pPr>
            <w:r>
              <w:rPr>
                <w:rFonts w:ascii="Times New Roman" w:hAnsi="Times New Roman" w:cs="Times New Roman"/>
                <w:color w:val="000000" w:themeColor="text1"/>
                <w:spacing w:val="-2"/>
                <w:sz w:val="21"/>
                <w:lang w:eastAsia="zh-CN"/>
                <w14:textFill>
                  <w14:solidFill>
                    <w14:schemeClr w14:val="tx1"/>
                  </w14:solidFill>
                </w14:textFill>
              </w:rPr>
              <w:t>是</w:t>
            </w:r>
          </w:p>
        </w:tc>
        <w:tc>
          <w:tcPr>
            <w:tcW w:w="538" w:type="pct"/>
            <w:vAlign w:val="center"/>
          </w:tcPr>
          <w:p w14:paraId="17FC2642">
            <w:pPr>
              <w:snapToGrid w:val="0"/>
              <w:spacing w:before="60" w:after="60"/>
              <w:jc w:val="center"/>
              <w:rPr>
                <w:rFonts w:ascii="Times New Roman" w:hAnsi="Times New Roman" w:cs="Times New Roman"/>
                <w:color w:val="000000" w:themeColor="text1"/>
                <w:spacing w:val="-2"/>
                <w:sz w:val="21"/>
                <w:lang w:eastAsia="zh-CN"/>
                <w14:textFill>
                  <w14:solidFill>
                    <w14:schemeClr w14:val="tx1"/>
                  </w14:solidFill>
                </w14:textFill>
              </w:rPr>
            </w:pPr>
            <w:r>
              <w:rPr>
                <w:rFonts w:ascii="Times New Roman" w:hAnsi="Times New Roman" w:cs="Times New Roman"/>
                <w:color w:val="000000" w:themeColor="text1"/>
                <w:spacing w:val="-2"/>
                <w:sz w:val="21"/>
                <w:lang w:eastAsia="zh-CN"/>
                <w14:textFill>
                  <w14:solidFill>
                    <w14:schemeClr w14:val="tx1"/>
                  </w14:solidFill>
                </w14:textFill>
              </w:rPr>
              <w:t>是</w:t>
            </w:r>
          </w:p>
        </w:tc>
        <w:tc>
          <w:tcPr>
            <w:tcW w:w="1303" w:type="pct"/>
            <w:vAlign w:val="center"/>
          </w:tcPr>
          <w:p w14:paraId="3F547842">
            <w:pPr>
              <w:snapToGrid w:val="0"/>
              <w:spacing w:before="60" w:after="60"/>
              <w:jc w:val="center"/>
              <w:rPr>
                <w:rFonts w:ascii="Times New Roman" w:hAnsi="Times New Roman" w:cs="Times New Roman"/>
                <w:color w:val="000000" w:themeColor="text1"/>
                <w:spacing w:val="-2"/>
                <w:sz w:val="21"/>
                <w:lang w:eastAsia="zh-CN"/>
                <w14:textFill>
                  <w14:solidFill>
                    <w14:schemeClr w14:val="tx1"/>
                  </w14:solidFill>
                </w14:textFill>
              </w:rPr>
            </w:pPr>
            <w:r>
              <w:rPr>
                <w:rFonts w:hint="eastAsia" w:ascii="Times New Roman" w:hAnsi="Times New Roman" w:cs="Times New Roman"/>
                <w:color w:val="000000" w:themeColor="text1"/>
                <w:spacing w:val="-2"/>
                <w:sz w:val="21"/>
                <w:lang w:eastAsia="zh-CN"/>
                <w14:textFill>
                  <w14:solidFill>
                    <w14:schemeClr w14:val="tx1"/>
                  </w14:solidFill>
                </w14:textFill>
              </w:rPr>
              <w:t>否，</w:t>
            </w:r>
            <w:r>
              <w:rPr>
                <w:rFonts w:ascii="Times New Roman" w:hAnsi="Times New Roman" w:cs="Times New Roman"/>
                <w:color w:val="000000" w:themeColor="text1"/>
                <w:sz w:val="21"/>
                <w:shd w:val="clear" w:color="auto" w:fill="FFFFFF"/>
                <w:lang w:eastAsia="zh-CN"/>
                <w14:textFill>
                  <w14:solidFill>
                    <w14:schemeClr w14:val="tx1"/>
                  </w14:solidFill>
                </w14:textFill>
              </w:rPr>
              <w:t>LC</w:t>
            </w:r>
            <w:r>
              <w:rPr>
                <w:rFonts w:ascii="Times New Roman" w:hAnsi="Times New Roman" w:cs="Times New Roman"/>
                <w:color w:val="000000" w:themeColor="text1"/>
                <w:sz w:val="21"/>
                <w:shd w:val="clear" w:color="auto" w:fill="FFFFFF"/>
                <w:vertAlign w:val="subscript"/>
                <w:lang w:eastAsia="zh-CN"/>
                <w14:textFill>
                  <w14:solidFill>
                    <w14:schemeClr w14:val="tx1"/>
                  </w14:solidFill>
                </w14:textFill>
              </w:rPr>
              <w:t>50</w:t>
            </w:r>
            <w:r>
              <w:rPr>
                <w:rFonts w:ascii="Times New Roman" w:hAnsi="Times New Roman" w:cs="Times New Roman"/>
                <w:color w:val="000000" w:themeColor="text1"/>
                <w:sz w:val="21"/>
                <w:shd w:val="clear" w:color="auto" w:fill="FFFFFF"/>
                <w:lang w:eastAsia="zh-CN"/>
                <w14:textFill>
                  <w14:solidFill>
                    <w14:schemeClr w14:val="tx1"/>
                  </w14:solidFill>
                </w14:textFill>
              </w:rPr>
              <w:t>：</w:t>
            </w:r>
            <w:r>
              <w:rPr>
                <w:rFonts w:hint="eastAsia" w:ascii="Times New Roman" w:hAnsi="Times New Roman" w:cs="Times New Roman"/>
                <w:color w:val="000000" w:themeColor="text1"/>
                <w:sz w:val="21"/>
                <w:shd w:val="clear" w:color="auto" w:fill="FFFFFF"/>
                <w:lang w:eastAsia="zh-CN"/>
                <w14:textFill>
                  <w14:solidFill>
                    <w14:schemeClr w14:val="tx1"/>
                  </w14:solidFill>
                </w14:textFill>
              </w:rPr>
              <w:t>3124ppm</w:t>
            </w:r>
            <w:r>
              <w:rPr>
                <w:rFonts w:ascii="Times New Roman" w:hAnsi="Times New Roman" w:cs="Times New Roman"/>
                <w:color w:val="000000" w:themeColor="text1"/>
                <w:sz w:val="21"/>
                <w:shd w:val="clear" w:color="auto" w:fill="FFFFFF"/>
                <w:lang w:eastAsia="zh-CN"/>
                <w14:textFill>
                  <w14:solidFill>
                    <w14:schemeClr w14:val="tx1"/>
                  </w14:solidFill>
                </w14:textFill>
              </w:rPr>
              <w:t>（</w:t>
            </w:r>
            <w:r>
              <w:rPr>
                <w:rFonts w:hint="eastAsia" w:ascii="Times New Roman" w:hAnsi="Times New Roman" w:cs="Times New Roman"/>
                <w:color w:val="000000" w:themeColor="text1"/>
                <w:sz w:val="21"/>
                <w:shd w:val="clear" w:color="auto" w:fill="FFFFFF"/>
                <w:lang w:eastAsia="zh-CN"/>
                <w14:textFill>
                  <w14:solidFill>
                    <w14:schemeClr w14:val="tx1"/>
                  </w14:solidFill>
                </w14:textFill>
              </w:rPr>
              <w:t>大</w:t>
            </w:r>
            <w:r>
              <w:rPr>
                <w:rFonts w:ascii="Times New Roman" w:hAnsi="Times New Roman" w:cs="Times New Roman"/>
                <w:color w:val="000000" w:themeColor="text1"/>
                <w:sz w:val="21"/>
                <w:shd w:val="clear" w:color="auto" w:fill="FFFFFF"/>
                <w:lang w:eastAsia="zh-CN"/>
                <w14:textFill>
                  <w14:solidFill>
                    <w14:schemeClr w14:val="tx1"/>
                  </w14:solidFill>
                </w14:textFill>
              </w:rPr>
              <w:t>鼠吸入</w:t>
            </w:r>
            <w:r>
              <w:rPr>
                <w:rFonts w:hint="eastAsia" w:ascii="Times New Roman" w:hAnsi="Times New Roman" w:cs="Times New Roman"/>
                <w:color w:val="000000" w:themeColor="text1"/>
                <w:sz w:val="21"/>
                <w:shd w:val="clear" w:color="auto" w:fill="FFFFFF"/>
                <w:lang w:eastAsia="zh-CN"/>
                <w14:textFill>
                  <w14:solidFill>
                    <w14:schemeClr w14:val="tx1"/>
                  </w14:solidFill>
                </w14:textFill>
              </w:rPr>
              <w:t>，1h</w:t>
            </w:r>
            <w:r>
              <w:rPr>
                <w:rFonts w:ascii="Times New Roman" w:hAnsi="Times New Roman" w:cs="Times New Roman"/>
                <w:color w:val="000000" w:themeColor="text1"/>
                <w:sz w:val="21"/>
                <w:shd w:val="clear" w:color="auto" w:fill="FFFFFF"/>
                <w:lang w:eastAsia="zh-CN"/>
                <w14:textFill>
                  <w14:solidFill>
                    <w14:schemeClr w14:val="tx1"/>
                  </w14:solidFill>
                </w14:textFill>
              </w:rPr>
              <w:t>）</w:t>
            </w:r>
          </w:p>
        </w:tc>
        <w:tc>
          <w:tcPr>
            <w:tcW w:w="933" w:type="pct"/>
            <w:vAlign w:val="center"/>
          </w:tcPr>
          <w:p w14:paraId="2696645B">
            <w:pPr>
              <w:snapToGrid w:val="0"/>
              <w:spacing w:before="60" w:after="60"/>
              <w:jc w:val="center"/>
              <w:rPr>
                <w:rFonts w:ascii="Times New Roman" w:hAnsi="Times New Roman" w:cs="Times New Roman"/>
                <w:color w:val="000000" w:themeColor="text1"/>
                <w:spacing w:val="-2"/>
                <w:sz w:val="21"/>
                <w:lang w:eastAsia="zh-CN"/>
                <w14:textFill>
                  <w14:solidFill>
                    <w14:schemeClr w14:val="tx1"/>
                  </w14:solidFill>
                </w14:textFill>
              </w:rPr>
            </w:pPr>
            <w:r>
              <w:rPr>
                <w:rFonts w:hint="eastAsia" w:ascii="Times New Roman" w:hAnsi="Times New Roman" w:cs="Times New Roman"/>
                <w:color w:val="000000" w:themeColor="text1"/>
                <w:spacing w:val="-2"/>
                <w:sz w:val="21"/>
                <w:lang w:eastAsia="zh-CN"/>
                <w14:textFill>
                  <w14:solidFill>
                    <w14:schemeClr w14:val="tx1"/>
                  </w14:solidFill>
                </w14:textFill>
              </w:rPr>
              <w:t>/</w:t>
            </w:r>
          </w:p>
        </w:tc>
        <w:tc>
          <w:tcPr>
            <w:tcW w:w="430" w:type="pct"/>
            <w:vAlign w:val="center"/>
          </w:tcPr>
          <w:p w14:paraId="7294AB81">
            <w:pPr>
              <w:snapToGrid w:val="0"/>
              <w:spacing w:before="60" w:after="60"/>
              <w:jc w:val="center"/>
              <w:rPr>
                <w:rFonts w:ascii="Times New Roman" w:hAnsi="Times New Roman" w:cs="Times New Roman"/>
                <w:color w:val="000000" w:themeColor="text1"/>
                <w:spacing w:val="-2"/>
                <w:sz w:val="21"/>
                <w:lang w:eastAsia="zh-CN"/>
                <w14:textFill>
                  <w14:solidFill>
                    <w14:schemeClr w14:val="tx1"/>
                  </w14:solidFill>
                </w14:textFill>
              </w:rPr>
            </w:pPr>
            <w:r>
              <w:rPr>
                <w:rFonts w:ascii="Times New Roman" w:hAnsi="Times New Roman" w:cs="Times New Roman"/>
                <w:color w:val="000000" w:themeColor="text1"/>
                <w:spacing w:val="-2"/>
                <w:sz w:val="21"/>
                <w:lang w:eastAsia="zh-CN"/>
                <w14:textFill>
                  <w14:solidFill>
                    <w14:schemeClr w14:val="tx1"/>
                  </w14:solidFill>
                </w14:textFill>
              </w:rPr>
              <w:t>属于</w:t>
            </w:r>
          </w:p>
        </w:tc>
      </w:tr>
    </w:tbl>
    <w:p w14:paraId="682D8BD5">
      <w:pPr>
        <w:widowControl w:val="0"/>
        <w:adjustRightInd w:val="0"/>
        <w:snapToGrid w:val="0"/>
        <w:ind w:firstLine="388" w:firstLineChars="200"/>
        <w:rPr>
          <w:rFonts w:ascii="Times New Roman" w:hAnsi="Times New Roman" w:cs="Times New Roman"/>
          <w:bCs/>
          <w:color w:val="auto"/>
          <w:spacing w:val="-8"/>
          <w:sz w:val="21"/>
          <w:lang w:eastAsia="zh-CN"/>
        </w:rPr>
        <w:sectPr>
          <w:pgSz w:w="16838" w:h="11906" w:orient="landscape"/>
          <w:pgMar w:top="1080" w:right="1440" w:bottom="1080" w:left="1440" w:header="851" w:footer="992" w:gutter="0"/>
          <w:cols w:space="720" w:num="1"/>
          <w:docGrid w:type="lines" w:linePitch="326" w:charSpace="0"/>
        </w:sectPr>
      </w:pPr>
    </w:p>
    <w:p w14:paraId="1D69A8F3">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根据《危险化学品名录》</w:t>
      </w:r>
      <w:r>
        <w:rPr>
          <w:rFonts w:hint="eastAsia" w:ascii="Times New Roman" w:hAnsi="Times New Roman" w:cs="Times New Roman"/>
          <w:color w:val="auto"/>
          <w:lang w:eastAsia="zh-CN"/>
        </w:rPr>
        <w:t>（2022年版）</w:t>
      </w:r>
      <w:r>
        <w:rPr>
          <w:rFonts w:ascii="Times New Roman" w:hAnsi="Times New Roman" w:cs="Times New Roman"/>
          <w:color w:val="auto"/>
          <w:lang w:eastAsia="zh-CN"/>
        </w:rPr>
        <w:t>、《建设项目环境风险评价技术导则》（HJ 169-2018）附录B中表B.1突发环境事件风险物质及临界量和表B.2其他危险物质临界量推荐值可知</w:t>
      </w:r>
      <w:r>
        <w:rPr>
          <w:rFonts w:hint="eastAsia" w:ascii="Times New Roman" w:hAnsi="Times New Roman" w:cs="Times New Roman"/>
          <w:color w:val="auto"/>
          <w:lang w:eastAsia="zh-CN"/>
        </w:rPr>
        <w:t>，</w:t>
      </w:r>
      <w:r>
        <w:rPr>
          <w:rFonts w:ascii="Times New Roman" w:hAnsi="Times New Roman" w:cs="Times New Roman"/>
          <w:color w:val="auto"/>
          <w:lang w:eastAsia="zh-CN"/>
        </w:rPr>
        <w:t>本项目涉及的危险物质</w:t>
      </w:r>
      <w:r>
        <w:rPr>
          <w:rFonts w:hint="eastAsia" w:ascii="Times New Roman" w:hAnsi="Times New Roman" w:cs="Times New Roman"/>
          <w:color w:val="auto"/>
          <w:lang w:eastAsia="zh-CN"/>
        </w:rPr>
        <w:t>如下：</w:t>
      </w:r>
    </w:p>
    <w:p w14:paraId="79833F27">
      <w:pPr>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产品：</w:t>
      </w:r>
      <w:r>
        <w:rPr>
          <w:rFonts w:hint="eastAsia" w:ascii="Times New Roman" w:hAnsi="Times New Roman" w:cs="Times New Roman"/>
          <w:color w:val="auto"/>
          <w:szCs w:val="24"/>
          <w:lang w:eastAsia="zh-CN"/>
        </w:rPr>
        <w:t>化学纯氢氟酸、刻蚀液</w:t>
      </w:r>
      <w:r>
        <w:rPr>
          <w:rFonts w:hint="eastAsia" w:ascii="Times New Roman" w:hAnsi="Times New Roman" w:cs="Times New Roman"/>
          <w:color w:val="auto"/>
          <w:lang w:eastAsia="zh-CN"/>
        </w:rPr>
        <w:t>；原辅材料：31%盐酸、无水氟化氢、15%氟化氢水溶液等，</w:t>
      </w:r>
      <w:r>
        <w:rPr>
          <w:rFonts w:ascii="Times New Roman" w:hAnsi="Times New Roman" w:cs="Times New Roman"/>
          <w:color w:val="auto"/>
          <w:lang w:eastAsia="zh-CN"/>
        </w:rPr>
        <w:t>具体见下表：</w:t>
      </w:r>
    </w:p>
    <w:p w14:paraId="4FFF8CC2">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表7.</w:t>
      </w:r>
      <w:r>
        <w:rPr>
          <w:rFonts w:hint="eastAsia" w:ascii="Times New Roman" w:hAnsi="Times New Roman" w:cs="Times New Roman"/>
          <w:b/>
          <w:bCs/>
          <w:color w:val="auto"/>
          <w:lang w:eastAsia="zh-CN"/>
        </w:rPr>
        <w:t>3</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 xml:space="preserve">2 </w:t>
      </w:r>
      <w:r>
        <w:rPr>
          <w:rFonts w:ascii="Times New Roman" w:hAnsi="Times New Roman" w:cs="Times New Roman"/>
          <w:b/>
          <w:bCs/>
          <w:color w:val="auto"/>
          <w:lang w:eastAsia="zh-CN"/>
        </w:rPr>
        <w:t>危险物质数量及分布情况一览表</w:t>
      </w:r>
    </w:p>
    <w:tbl>
      <w:tblPr>
        <w:tblStyle w:val="35"/>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1134"/>
        <w:gridCol w:w="1559"/>
        <w:gridCol w:w="1401"/>
        <w:gridCol w:w="1851"/>
        <w:gridCol w:w="1812"/>
      </w:tblGrid>
      <w:tr w14:paraId="4D99BA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7" w:hRule="atLeast"/>
        </w:trPr>
        <w:tc>
          <w:tcPr>
            <w:tcW w:w="1019" w:type="pct"/>
            <w:vMerge w:val="restart"/>
            <w:vAlign w:val="center"/>
          </w:tcPr>
          <w:p w14:paraId="19C7DDE6">
            <w:pPr>
              <w:widowControl w:val="0"/>
              <w:adjustRightInd w:val="0"/>
              <w:snapToGrid w:val="0"/>
              <w:jc w:val="center"/>
              <w:rPr>
                <w:rFonts w:ascii="Times New Roman" w:hAnsi="Times New Roman" w:cs="Times New Roman"/>
                <w:b/>
                <w:bCs/>
                <w:color w:val="auto"/>
                <w:spacing w:val="-2"/>
                <w:sz w:val="21"/>
                <w:lang w:eastAsia="zh-CN"/>
              </w:rPr>
            </w:pPr>
            <w:r>
              <w:rPr>
                <w:rFonts w:ascii="Times New Roman" w:hAnsi="Times New Roman" w:cs="Times New Roman"/>
                <w:b/>
                <w:bCs/>
                <w:color w:val="auto"/>
                <w:spacing w:val="-2"/>
                <w:sz w:val="21"/>
                <w:lang w:eastAsia="zh-CN"/>
              </w:rPr>
              <w:t>名称</w:t>
            </w:r>
          </w:p>
        </w:tc>
        <w:tc>
          <w:tcPr>
            <w:tcW w:w="582" w:type="pct"/>
            <w:vMerge w:val="restart"/>
            <w:vAlign w:val="center"/>
          </w:tcPr>
          <w:p w14:paraId="239877DB">
            <w:pPr>
              <w:widowControl w:val="0"/>
              <w:adjustRightInd w:val="0"/>
              <w:snapToGrid w:val="0"/>
              <w:jc w:val="center"/>
              <w:rPr>
                <w:rFonts w:ascii="Times New Roman" w:hAnsi="Times New Roman" w:cs="Times New Roman"/>
                <w:b/>
                <w:bCs/>
                <w:color w:val="auto"/>
                <w:spacing w:val="-2"/>
                <w:sz w:val="21"/>
                <w:lang w:eastAsia="zh-CN"/>
              </w:rPr>
            </w:pPr>
            <w:r>
              <w:rPr>
                <w:rFonts w:ascii="Times New Roman" w:hAnsi="Times New Roman" w:cs="Times New Roman"/>
                <w:b/>
                <w:bCs/>
                <w:color w:val="auto"/>
                <w:spacing w:val="-2"/>
                <w:sz w:val="21"/>
                <w:lang w:eastAsia="zh-CN"/>
              </w:rPr>
              <w:t>形态</w:t>
            </w:r>
          </w:p>
        </w:tc>
        <w:tc>
          <w:tcPr>
            <w:tcW w:w="1519" w:type="pct"/>
            <w:gridSpan w:val="2"/>
            <w:vAlign w:val="center"/>
          </w:tcPr>
          <w:p w14:paraId="2B3AC1FC">
            <w:pPr>
              <w:widowControl w:val="0"/>
              <w:adjustRightInd w:val="0"/>
              <w:snapToGrid w:val="0"/>
              <w:jc w:val="center"/>
              <w:rPr>
                <w:rFonts w:ascii="Times New Roman" w:hAnsi="Times New Roman" w:cs="Times New Roman"/>
                <w:b/>
                <w:bCs/>
                <w:color w:val="auto"/>
                <w:spacing w:val="-2"/>
                <w:sz w:val="21"/>
                <w:lang w:eastAsia="zh-CN"/>
              </w:rPr>
            </w:pPr>
            <w:r>
              <w:rPr>
                <w:rFonts w:ascii="Times New Roman" w:hAnsi="Times New Roman" w:cs="Times New Roman"/>
                <w:b/>
                <w:bCs/>
                <w:color w:val="auto"/>
                <w:spacing w:val="-2"/>
                <w:sz w:val="21"/>
                <w:lang w:eastAsia="zh-CN"/>
              </w:rPr>
              <w:t>生产车间在线量（t）</w:t>
            </w:r>
          </w:p>
        </w:tc>
        <w:tc>
          <w:tcPr>
            <w:tcW w:w="1880" w:type="pct"/>
            <w:gridSpan w:val="2"/>
            <w:vAlign w:val="center"/>
          </w:tcPr>
          <w:p w14:paraId="0830A795">
            <w:pPr>
              <w:widowControl w:val="0"/>
              <w:adjustRightInd w:val="0"/>
              <w:snapToGrid w:val="0"/>
              <w:jc w:val="center"/>
              <w:textAlignment w:val="baseline"/>
              <w:rPr>
                <w:rFonts w:ascii="Times New Roman" w:hAnsi="Times New Roman" w:cs="Times New Roman"/>
                <w:b/>
                <w:color w:val="auto"/>
                <w:kern w:val="2"/>
                <w:sz w:val="21"/>
                <w:lang w:val="zh-CN" w:eastAsia="zh-CN"/>
              </w:rPr>
            </w:pPr>
            <w:r>
              <w:rPr>
                <w:rFonts w:ascii="Times New Roman" w:hAnsi="Times New Roman" w:cs="Times New Roman"/>
                <w:b/>
                <w:color w:val="auto"/>
                <w:kern w:val="2"/>
                <w:sz w:val="21"/>
                <w:lang w:val="zh-CN" w:eastAsia="zh-CN"/>
              </w:rPr>
              <w:t>贮存场所储存量</w:t>
            </w:r>
            <w:r>
              <w:rPr>
                <w:rFonts w:ascii="Times New Roman" w:hAnsi="Times New Roman" w:cs="Times New Roman"/>
                <w:b/>
                <w:bCs/>
                <w:color w:val="auto"/>
                <w:kern w:val="2"/>
                <w:sz w:val="21"/>
                <w:lang w:val="zh-CN" w:eastAsia="zh-CN"/>
              </w:rPr>
              <w:t>（</w:t>
            </w:r>
            <w:r>
              <w:rPr>
                <w:rFonts w:ascii="Times New Roman" w:hAnsi="Times New Roman" w:cs="Times New Roman"/>
                <w:b/>
                <w:bCs/>
                <w:color w:val="auto"/>
                <w:kern w:val="2"/>
                <w:sz w:val="21"/>
                <w:lang w:eastAsia="zh-CN"/>
              </w:rPr>
              <w:t>t</w:t>
            </w:r>
            <w:r>
              <w:rPr>
                <w:rFonts w:ascii="Times New Roman" w:hAnsi="Times New Roman" w:cs="Times New Roman"/>
                <w:b/>
                <w:bCs/>
                <w:color w:val="auto"/>
                <w:kern w:val="2"/>
                <w:sz w:val="21"/>
                <w:lang w:val="zh-CN" w:eastAsia="zh-CN"/>
              </w:rPr>
              <w:t>）</w:t>
            </w:r>
          </w:p>
        </w:tc>
      </w:tr>
      <w:tr w14:paraId="184935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9" w:type="pct"/>
            <w:vMerge w:val="continue"/>
            <w:vAlign w:val="center"/>
          </w:tcPr>
          <w:p w14:paraId="1D85290D">
            <w:pPr>
              <w:widowControl w:val="0"/>
              <w:adjustRightInd w:val="0"/>
              <w:snapToGrid w:val="0"/>
              <w:jc w:val="center"/>
              <w:rPr>
                <w:rFonts w:ascii="Times New Roman" w:hAnsi="Times New Roman" w:cs="Times New Roman"/>
                <w:b/>
                <w:bCs/>
                <w:color w:val="auto"/>
                <w:spacing w:val="-2"/>
                <w:sz w:val="21"/>
                <w:lang w:eastAsia="zh-CN"/>
              </w:rPr>
            </w:pPr>
          </w:p>
        </w:tc>
        <w:tc>
          <w:tcPr>
            <w:tcW w:w="582" w:type="pct"/>
            <w:vMerge w:val="continue"/>
            <w:vAlign w:val="center"/>
          </w:tcPr>
          <w:p w14:paraId="188494A4">
            <w:pPr>
              <w:widowControl w:val="0"/>
              <w:adjustRightInd w:val="0"/>
              <w:snapToGrid w:val="0"/>
              <w:jc w:val="center"/>
              <w:rPr>
                <w:rFonts w:ascii="Times New Roman" w:hAnsi="Times New Roman" w:cs="Times New Roman"/>
                <w:b/>
                <w:bCs/>
                <w:color w:val="auto"/>
                <w:spacing w:val="-2"/>
                <w:sz w:val="21"/>
                <w:lang w:eastAsia="zh-CN"/>
              </w:rPr>
            </w:pPr>
          </w:p>
        </w:tc>
        <w:tc>
          <w:tcPr>
            <w:tcW w:w="800" w:type="pct"/>
            <w:vAlign w:val="center"/>
          </w:tcPr>
          <w:p w14:paraId="314724E8">
            <w:pPr>
              <w:widowControl w:val="0"/>
              <w:adjustRightInd w:val="0"/>
              <w:snapToGrid w:val="0"/>
              <w:jc w:val="center"/>
              <w:rPr>
                <w:rFonts w:ascii="Times New Roman" w:hAnsi="Times New Roman" w:cs="Times New Roman"/>
                <w:b/>
                <w:bCs/>
                <w:color w:val="auto"/>
                <w:spacing w:val="-2"/>
                <w:sz w:val="21"/>
                <w:lang w:eastAsia="zh-CN"/>
              </w:rPr>
            </w:pPr>
            <w:r>
              <w:rPr>
                <w:rFonts w:ascii="Times New Roman" w:hAnsi="Times New Roman" w:cs="Times New Roman"/>
                <w:b/>
                <w:bCs/>
                <w:color w:val="auto"/>
                <w:spacing w:val="-2"/>
                <w:sz w:val="21"/>
                <w:lang w:eastAsia="zh-CN"/>
              </w:rPr>
              <w:t>最大在线量</w:t>
            </w:r>
          </w:p>
        </w:tc>
        <w:tc>
          <w:tcPr>
            <w:tcW w:w="719" w:type="pct"/>
            <w:vAlign w:val="center"/>
          </w:tcPr>
          <w:p w14:paraId="115F9D25">
            <w:pPr>
              <w:widowControl w:val="0"/>
              <w:adjustRightInd w:val="0"/>
              <w:snapToGrid w:val="0"/>
              <w:jc w:val="center"/>
              <w:rPr>
                <w:rFonts w:ascii="Times New Roman" w:hAnsi="Times New Roman" w:cs="Times New Roman"/>
                <w:b/>
                <w:bCs/>
                <w:color w:val="auto"/>
                <w:spacing w:val="-2"/>
                <w:sz w:val="21"/>
                <w:lang w:eastAsia="zh-CN"/>
              </w:rPr>
            </w:pPr>
            <w:r>
              <w:rPr>
                <w:rFonts w:ascii="Times New Roman" w:hAnsi="Times New Roman" w:cs="Times New Roman"/>
                <w:b/>
                <w:bCs/>
                <w:color w:val="auto"/>
                <w:spacing w:val="-2"/>
                <w:sz w:val="21"/>
                <w:lang w:val="zh-CN"/>
              </w:rPr>
              <w:t>存在位置</w:t>
            </w:r>
          </w:p>
        </w:tc>
        <w:tc>
          <w:tcPr>
            <w:tcW w:w="950" w:type="pct"/>
            <w:vAlign w:val="center"/>
          </w:tcPr>
          <w:p w14:paraId="1C1C4526">
            <w:pPr>
              <w:widowControl w:val="0"/>
              <w:adjustRightInd w:val="0"/>
              <w:snapToGrid w:val="0"/>
              <w:jc w:val="center"/>
              <w:textAlignment w:val="baseline"/>
              <w:rPr>
                <w:rFonts w:ascii="Times New Roman" w:hAnsi="Times New Roman" w:cs="Times New Roman"/>
                <w:b/>
                <w:bCs/>
                <w:color w:val="auto"/>
                <w:kern w:val="2"/>
                <w:sz w:val="21"/>
                <w:lang w:eastAsia="zh-CN"/>
              </w:rPr>
            </w:pPr>
            <w:r>
              <w:rPr>
                <w:rFonts w:ascii="Times New Roman" w:hAnsi="Times New Roman" w:cs="Times New Roman"/>
                <w:b/>
                <w:bCs/>
                <w:color w:val="auto"/>
                <w:kern w:val="2"/>
                <w:sz w:val="21"/>
                <w:lang w:val="zh-CN" w:eastAsia="zh-CN"/>
              </w:rPr>
              <w:t>最大贮存量</w:t>
            </w:r>
          </w:p>
        </w:tc>
        <w:tc>
          <w:tcPr>
            <w:tcW w:w="930" w:type="pct"/>
            <w:vAlign w:val="center"/>
          </w:tcPr>
          <w:p w14:paraId="039578D5">
            <w:pPr>
              <w:widowControl w:val="0"/>
              <w:adjustRightInd w:val="0"/>
              <w:snapToGrid w:val="0"/>
              <w:jc w:val="center"/>
              <w:textAlignment w:val="baseline"/>
              <w:rPr>
                <w:rFonts w:ascii="Times New Roman" w:hAnsi="Times New Roman" w:cs="Times New Roman"/>
                <w:b/>
                <w:bCs/>
                <w:color w:val="auto"/>
                <w:kern w:val="2"/>
                <w:sz w:val="21"/>
                <w:lang w:val="zh-CN" w:eastAsia="zh-CN"/>
              </w:rPr>
            </w:pPr>
            <w:r>
              <w:rPr>
                <w:rFonts w:ascii="Times New Roman" w:hAnsi="Times New Roman" w:cs="Times New Roman"/>
                <w:b/>
                <w:bCs/>
                <w:color w:val="auto"/>
                <w:kern w:val="2"/>
                <w:sz w:val="21"/>
                <w:lang w:val="zh-CN" w:eastAsia="zh-CN"/>
              </w:rPr>
              <w:t>贮存位置</w:t>
            </w:r>
          </w:p>
        </w:tc>
      </w:tr>
      <w:tr w14:paraId="6181BD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9" w:type="pct"/>
            <w:vAlign w:val="center"/>
          </w:tcPr>
          <w:p w14:paraId="4B93A3B0">
            <w:pPr>
              <w:widowControl w:val="0"/>
              <w:adjustRightInd w:val="0"/>
              <w:snapToGrid w:val="0"/>
              <w:jc w:val="center"/>
              <w:rPr>
                <w:rFonts w:ascii="Times New Roman" w:hAnsi="Times New Roman" w:cs="Times New Roman"/>
                <w:color w:val="auto"/>
                <w:spacing w:val="-2"/>
                <w:sz w:val="21"/>
                <w:lang w:eastAsia="zh-CN"/>
              </w:rPr>
            </w:pPr>
            <w:r>
              <w:rPr>
                <w:rFonts w:hint="eastAsia" w:ascii="Times New Roman"/>
                <w:color w:val="auto"/>
                <w:sz w:val="21"/>
                <w:lang w:eastAsia="zh-CN"/>
              </w:rPr>
              <w:t>无水氟化氢</w:t>
            </w:r>
          </w:p>
        </w:tc>
        <w:tc>
          <w:tcPr>
            <w:tcW w:w="582" w:type="pct"/>
            <w:vAlign w:val="center"/>
          </w:tcPr>
          <w:p w14:paraId="79FB71E6">
            <w:pPr>
              <w:widowControl w:val="0"/>
              <w:adjustRightInd w:val="0"/>
              <w:snapToGrid w:val="0"/>
              <w:jc w:val="center"/>
              <w:rPr>
                <w:rFonts w:ascii="Times New Roman" w:hAnsi="Times New Roman" w:cs="Times New Roman"/>
                <w:color w:val="auto"/>
                <w:spacing w:val="-2"/>
                <w:sz w:val="21"/>
                <w:lang w:eastAsia="zh-CN"/>
              </w:rPr>
            </w:pPr>
            <w:r>
              <w:rPr>
                <w:rFonts w:ascii="Times New Roman" w:hAnsi="Times New Roman" w:cs="Times New Roman"/>
                <w:color w:val="auto"/>
                <w:spacing w:val="-2"/>
                <w:sz w:val="21"/>
                <w:lang w:eastAsia="zh-CN"/>
              </w:rPr>
              <w:t>液态</w:t>
            </w:r>
          </w:p>
        </w:tc>
        <w:tc>
          <w:tcPr>
            <w:tcW w:w="800" w:type="pct"/>
            <w:vAlign w:val="center"/>
          </w:tcPr>
          <w:p w14:paraId="3E4D7206">
            <w:pPr>
              <w:widowControl w:val="0"/>
              <w:adjustRightInd w:val="0"/>
              <w:snapToGrid w:val="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114.3</w:t>
            </w:r>
          </w:p>
        </w:tc>
        <w:tc>
          <w:tcPr>
            <w:tcW w:w="719" w:type="pct"/>
            <w:vAlign w:val="center"/>
          </w:tcPr>
          <w:p w14:paraId="3C1C388E">
            <w:pPr>
              <w:widowControl w:val="0"/>
              <w:adjustRightInd w:val="0"/>
              <w:snapToGrid w:val="0"/>
              <w:jc w:val="center"/>
              <w:rPr>
                <w:rFonts w:ascii="Times New Roman" w:hAnsi="Times New Roman" w:cs="Times New Roman"/>
                <w:color w:val="auto"/>
                <w:spacing w:val="-2"/>
                <w:sz w:val="21"/>
                <w:lang w:eastAsia="zh-CN"/>
              </w:rPr>
            </w:pPr>
            <w:r>
              <w:rPr>
                <w:rFonts w:ascii="Times New Roman" w:hAnsi="Times New Roman" w:cs="Times New Roman"/>
                <w:color w:val="auto"/>
                <w:spacing w:val="-2"/>
                <w:sz w:val="21"/>
                <w:lang w:eastAsia="zh-CN"/>
              </w:rPr>
              <w:t>生产装置</w:t>
            </w:r>
          </w:p>
        </w:tc>
        <w:tc>
          <w:tcPr>
            <w:tcW w:w="950" w:type="pct"/>
            <w:vAlign w:val="center"/>
          </w:tcPr>
          <w:p w14:paraId="21B27A67">
            <w:pPr>
              <w:widowControl w:val="0"/>
              <w:adjustRightInd w:val="0"/>
              <w:snapToGrid w:val="0"/>
              <w:jc w:val="center"/>
              <w:textAlignment w:val="baseline"/>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260</w:t>
            </w:r>
          </w:p>
        </w:tc>
        <w:tc>
          <w:tcPr>
            <w:tcW w:w="930" w:type="pct"/>
            <w:vAlign w:val="center"/>
          </w:tcPr>
          <w:p w14:paraId="570E7A96">
            <w:pPr>
              <w:widowControl w:val="0"/>
              <w:adjustRightInd w:val="0"/>
              <w:snapToGrid w:val="0"/>
              <w:jc w:val="center"/>
              <w:textAlignment w:val="baseline"/>
              <w:rPr>
                <w:rFonts w:ascii="Times New Roman" w:hAnsi="Times New Roman" w:cs="Times New Roman"/>
                <w:color w:val="auto"/>
                <w:kern w:val="2"/>
                <w:sz w:val="21"/>
                <w:lang w:eastAsia="zh-CN"/>
              </w:rPr>
            </w:pPr>
            <w:r>
              <w:rPr>
                <w:rFonts w:ascii="Times New Roman" w:hAnsi="Times New Roman" w:cs="Times New Roman"/>
                <w:color w:val="auto"/>
                <w:sz w:val="21"/>
                <w:lang w:eastAsia="zh-CN"/>
              </w:rPr>
              <w:t>无水氟化氢库房</w:t>
            </w:r>
          </w:p>
        </w:tc>
      </w:tr>
      <w:tr w14:paraId="7E6731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9" w:type="pct"/>
            <w:vAlign w:val="center"/>
          </w:tcPr>
          <w:p w14:paraId="493DD55D">
            <w:pPr>
              <w:widowControl w:val="0"/>
              <w:adjustRightInd w:val="0"/>
              <w:snapToGrid w:val="0"/>
              <w:jc w:val="center"/>
              <w:rPr>
                <w:rFonts w:ascii="Times New Roman" w:hAnsi="Times New Roman" w:cs="Times New Roman"/>
                <w:color w:val="auto"/>
                <w:spacing w:val="-2"/>
                <w:sz w:val="21"/>
                <w:lang w:eastAsia="zh-CN"/>
              </w:rPr>
            </w:pPr>
            <w:r>
              <w:rPr>
                <w:rFonts w:ascii="Times New Roman"/>
                <w:color w:val="auto"/>
                <w:sz w:val="21"/>
                <w:lang w:eastAsia="zh-CN"/>
              </w:rPr>
              <w:t>15%氟化氢水溶液</w:t>
            </w:r>
          </w:p>
        </w:tc>
        <w:tc>
          <w:tcPr>
            <w:tcW w:w="582" w:type="pct"/>
            <w:vAlign w:val="center"/>
          </w:tcPr>
          <w:p w14:paraId="642F3B7B">
            <w:pPr>
              <w:widowControl w:val="0"/>
              <w:adjustRightInd w:val="0"/>
              <w:snapToGrid w:val="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液态</w:t>
            </w:r>
          </w:p>
        </w:tc>
        <w:tc>
          <w:tcPr>
            <w:tcW w:w="800" w:type="pct"/>
            <w:vAlign w:val="center"/>
          </w:tcPr>
          <w:p w14:paraId="0309D0B4">
            <w:pPr>
              <w:widowControl w:val="0"/>
              <w:adjustRightInd w:val="0"/>
              <w:snapToGrid w:val="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144</w:t>
            </w:r>
          </w:p>
        </w:tc>
        <w:tc>
          <w:tcPr>
            <w:tcW w:w="719" w:type="pct"/>
            <w:vAlign w:val="center"/>
          </w:tcPr>
          <w:p w14:paraId="2A9835E6">
            <w:pPr>
              <w:widowControl w:val="0"/>
              <w:adjustRightInd w:val="0"/>
              <w:snapToGrid w:val="0"/>
              <w:jc w:val="center"/>
              <w:rPr>
                <w:rFonts w:ascii="Times New Roman" w:hAnsi="Times New Roman" w:cs="Times New Roman"/>
                <w:color w:val="auto"/>
                <w:spacing w:val="-2"/>
                <w:sz w:val="21"/>
                <w:lang w:eastAsia="zh-CN"/>
              </w:rPr>
            </w:pPr>
            <w:r>
              <w:rPr>
                <w:rFonts w:ascii="Times New Roman" w:hAnsi="Times New Roman" w:cs="Times New Roman"/>
                <w:color w:val="auto"/>
                <w:spacing w:val="-2"/>
                <w:sz w:val="21"/>
                <w:lang w:eastAsia="zh-CN"/>
              </w:rPr>
              <w:t>生产装置</w:t>
            </w:r>
          </w:p>
        </w:tc>
        <w:tc>
          <w:tcPr>
            <w:tcW w:w="950" w:type="pct"/>
            <w:vAlign w:val="center"/>
          </w:tcPr>
          <w:p w14:paraId="2C588E5A">
            <w:pPr>
              <w:widowControl w:val="0"/>
              <w:adjustRightInd w:val="0"/>
              <w:snapToGrid w:val="0"/>
              <w:jc w:val="center"/>
              <w:textAlignment w:val="baseline"/>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3200</w:t>
            </w:r>
          </w:p>
        </w:tc>
        <w:tc>
          <w:tcPr>
            <w:tcW w:w="930" w:type="pct"/>
            <w:vAlign w:val="center"/>
          </w:tcPr>
          <w:p w14:paraId="5C59DC59">
            <w:pPr>
              <w:widowControl w:val="0"/>
              <w:adjustRightInd w:val="0"/>
              <w:snapToGrid w:val="0"/>
              <w:jc w:val="center"/>
              <w:textAlignment w:val="baseline"/>
              <w:rPr>
                <w:rFonts w:ascii="Times New Roman" w:hAnsi="Times New Roman" w:cs="Times New Roman"/>
                <w:color w:val="auto"/>
                <w:kern w:val="2"/>
                <w:sz w:val="21"/>
                <w:lang w:eastAsia="zh-CN"/>
              </w:rPr>
            </w:pPr>
            <w:r>
              <w:rPr>
                <w:rFonts w:ascii="Times New Roman" w:hAnsi="Times New Roman" w:cs="Times New Roman"/>
                <w:color w:val="auto"/>
                <w:sz w:val="21"/>
                <w:lang w:eastAsia="zh-CN"/>
              </w:rPr>
              <w:t>原料及产品罐区</w:t>
            </w:r>
          </w:p>
        </w:tc>
      </w:tr>
      <w:tr w14:paraId="6ED17D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9" w:type="pct"/>
            <w:vAlign w:val="center"/>
          </w:tcPr>
          <w:p w14:paraId="57DE110E">
            <w:pPr>
              <w:widowControl w:val="0"/>
              <w:adjustRightInd w:val="0"/>
              <w:snapToGrid w:val="0"/>
              <w:jc w:val="center"/>
              <w:rPr>
                <w:rFonts w:ascii="Times New Roman" w:hAnsi="Times New Roman" w:cs="Times New Roman"/>
                <w:color w:val="auto"/>
                <w:spacing w:val="-2"/>
                <w:sz w:val="21"/>
                <w:lang w:eastAsia="zh-CN"/>
              </w:rPr>
            </w:pPr>
            <w:r>
              <w:rPr>
                <w:rFonts w:ascii="Times New Roman"/>
                <w:color w:val="auto"/>
                <w:sz w:val="21"/>
                <w:lang w:eastAsia="zh-CN"/>
              </w:rPr>
              <w:t>31%盐酸储罐</w:t>
            </w:r>
          </w:p>
        </w:tc>
        <w:tc>
          <w:tcPr>
            <w:tcW w:w="582" w:type="pct"/>
            <w:vAlign w:val="center"/>
          </w:tcPr>
          <w:p w14:paraId="7D41368D">
            <w:pPr>
              <w:widowControl w:val="0"/>
              <w:adjustRightInd w:val="0"/>
              <w:snapToGrid w:val="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液态</w:t>
            </w:r>
          </w:p>
        </w:tc>
        <w:tc>
          <w:tcPr>
            <w:tcW w:w="800" w:type="pct"/>
            <w:vAlign w:val="center"/>
          </w:tcPr>
          <w:p w14:paraId="49D6B1B6">
            <w:pPr>
              <w:widowControl w:val="0"/>
              <w:adjustRightInd w:val="0"/>
              <w:snapToGrid w:val="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26.2</w:t>
            </w:r>
          </w:p>
        </w:tc>
        <w:tc>
          <w:tcPr>
            <w:tcW w:w="719" w:type="pct"/>
            <w:vAlign w:val="center"/>
          </w:tcPr>
          <w:p w14:paraId="4C6C81F0">
            <w:pPr>
              <w:widowControl w:val="0"/>
              <w:adjustRightInd w:val="0"/>
              <w:snapToGrid w:val="0"/>
              <w:jc w:val="center"/>
              <w:rPr>
                <w:rFonts w:ascii="Times New Roman" w:hAnsi="Times New Roman" w:cs="Times New Roman"/>
                <w:color w:val="auto"/>
                <w:spacing w:val="-2"/>
                <w:sz w:val="21"/>
                <w:lang w:eastAsia="zh-CN"/>
              </w:rPr>
            </w:pPr>
            <w:r>
              <w:rPr>
                <w:rFonts w:ascii="Times New Roman" w:hAnsi="Times New Roman" w:cs="Times New Roman"/>
                <w:color w:val="auto"/>
                <w:spacing w:val="-2"/>
                <w:sz w:val="21"/>
                <w:lang w:eastAsia="zh-CN"/>
              </w:rPr>
              <w:t>生产装置</w:t>
            </w:r>
          </w:p>
        </w:tc>
        <w:tc>
          <w:tcPr>
            <w:tcW w:w="950" w:type="pct"/>
            <w:vAlign w:val="center"/>
          </w:tcPr>
          <w:p w14:paraId="79C1A076">
            <w:pPr>
              <w:widowControl w:val="0"/>
              <w:adjustRightInd w:val="0"/>
              <w:snapToGrid w:val="0"/>
              <w:jc w:val="center"/>
              <w:textAlignment w:val="baseline"/>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375</w:t>
            </w:r>
          </w:p>
        </w:tc>
        <w:tc>
          <w:tcPr>
            <w:tcW w:w="930" w:type="pct"/>
            <w:vAlign w:val="center"/>
          </w:tcPr>
          <w:p w14:paraId="1435CBA0">
            <w:pPr>
              <w:widowControl w:val="0"/>
              <w:adjustRightInd w:val="0"/>
              <w:snapToGrid w:val="0"/>
              <w:jc w:val="center"/>
              <w:textAlignment w:val="baseline"/>
              <w:rPr>
                <w:rFonts w:ascii="Times New Roman" w:hAnsi="Times New Roman" w:cs="Times New Roman"/>
                <w:color w:val="auto"/>
                <w:kern w:val="2"/>
                <w:sz w:val="21"/>
                <w:lang w:eastAsia="zh-CN"/>
              </w:rPr>
            </w:pPr>
            <w:r>
              <w:rPr>
                <w:rFonts w:hint="eastAsia" w:ascii="Times New Roman" w:hAnsi="Times New Roman" w:cs="Times New Roman"/>
                <w:color w:val="auto"/>
                <w:sz w:val="21"/>
                <w:lang w:eastAsia="zh-CN"/>
              </w:rPr>
              <w:t>戊类罐区二</w:t>
            </w:r>
          </w:p>
        </w:tc>
      </w:tr>
      <w:tr w14:paraId="26DD48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9" w:type="pct"/>
            <w:vAlign w:val="center"/>
          </w:tcPr>
          <w:p w14:paraId="75BE44E7">
            <w:pPr>
              <w:widowControl w:val="0"/>
              <w:adjustRightInd w:val="0"/>
              <w:snapToGrid w:val="0"/>
              <w:jc w:val="center"/>
              <w:rPr>
                <w:rFonts w:ascii="Times New Roman" w:hAnsi="Times New Roman" w:cs="Times New Roman"/>
                <w:color w:val="auto"/>
                <w:spacing w:val="-2"/>
                <w:sz w:val="21"/>
                <w:lang w:eastAsia="zh-CN"/>
              </w:rPr>
            </w:pPr>
            <w:r>
              <w:rPr>
                <w:rFonts w:hint="eastAsia" w:ascii="Times New Roman"/>
                <w:color w:val="auto"/>
                <w:sz w:val="21"/>
                <w:lang w:eastAsia="zh-CN"/>
              </w:rPr>
              <w:t>电子级氢氟酸</w:t>
            </w:r>
          </w:p>
        </w:tc>
        <w:tc>
          <w:tcPr>
            <w:tcW w:w="582" w:type="pct"/>
            <w:vAlign w:val="center"/>
          </w:tcPr>
          <w:p w14:paraId="1F665784">
            <w:pPr>
              <w:widowControl w:val="0"/>
              <w:adjustRightInd w:val="0"/>
              <w:snapToGrid w:val="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液态</w:t>
            </w:r>
          </w:p>
        </w:tc>
        <w:tc>
          <w:tcPr>
            <w:tcW w:w="800" w:type="pct"/>
            <w:vAlign w:val="center"/>
          </w:tcPr>
          <w:p w14:paraId="343837B3">
            <w:pPr>
              <w:widowControl w:val="0"/>
              <w:adjustRightInd w:val="0"/>
              <w:snapToGrid w:val="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37</w:t>
            </w:r>
          </w:p>
        </w:tc>
        <w:tc>
          <w:tcPr>
            <w:tcW w:w="719" w:type="pct"/>
            <w:vAlign w:val="center"/>
          </w:tcPr>
          <w:p w14:paraId="6BBD9236">
            <w:pPr>
              <w:widowControl w:val="0"/>
              <w:adjustRightInd w:val="0"/>
              <w:snapToGrid w:val="0"/>
              <w:jc w:val="center"/>
              <w:rPr>
                <w:rFonts w:ascii="Times New Roman" w:hAnsi="Times New Roman" w:cs="Times New Roman"/>
                <w:color w:val="auto"/>
                <w:spacing w:val="-2"/>
                <w:sz w:val="21"/>
                <w:lang w:eastAsia="zh-CN"/>
              </w:rPr>
            </w:pPr>
            <w:r>
              <w:rPr>
                <w:rFonts w:ascii="Times New Roman" w:hAnsi="Times New Roman" w:cs="Times New Roman"/>
                <w:color w:val="auto"/>
                <w:spacing w:val="-2"/>
                <w:sz w:val="21"/>
                <w:lang w:eastAsia="zh-CN"/>
              </w:rPr>
              <w:t>生产装置</w:t>
            </w:r>
          </w:p>
        </w:tc>
        <w:tc>
          <w:tcPr>
            <w:tcW w:w="950" w:type="pct"/>
            <w:vAlign w:val="center"/>
          </w:tcPr>
          <w:p w14:paraId="629F06B2">
            <w:pPr>
              <w:widowControl w:val="0"/>
              <w:adjustRightInd w:val="0"/>
              <w:snapToGrid w:val="0"/>
              <w:jc w:val="center"/>
              <w:textAlignment w:val="baseline"/>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290</w:t>
            </w:r>
          </w:p>
        </w:tc>
        <w:tc>
          <w:tcPr>
            <w:tcW w:w="930" w:type="pct"/>
            <w:vAlign w:val="center"/>
          </w:tcPr>
          <w:p w14:paraId="09D0B5DB">
            <w:pPr>
              <w:widowControl w:val="0"/>
              <w:adjustRightInd w:val="0"/>
              <w:snapToGrid w:val="0"/>
              <w:jc w:val="center"/>
              <w:textAlignment w:val="baseline"/>
              <w:rPr>
                <w:rFonts w:ascii="Times New Roman" w:hAnsi="Times New Roman" w:cs="Times New Roman"/>
                <w:color w:val="auto"/>
                <w:kern w:val="2"/>
                <w:sz w:val="21"/>
                <w:lang w:eastAsia="zh-CN"/>
              </w:rPr>
            </w:pPr>
            <w:r>
              <w:rPr>
                <w:rFonts w:hint="eastAsia" w:ascii="Times New Roman" w:hAnsi="Times New Roman" w:cs="Times New Roman"/>
                <w:color w:val="auto"/>
                <w:sz w:val="21"/>
                <w:lang w:eastAsia="zh-CN"/>
              </w:rPr>
              <w:t>原料及产品罐区、丁类</w:t>
            </w:r>
            <w:r>
              <w:rPr>
                <w:rFonts w:ascii="Times New Roman" w:hAnsi="Times New Roman" w:cs="Times New Roman"/>
                <w:color w:val="auto"/>
                <w:sz w:val="21"/>
                <w:lang w:eastAsia="zh-CN"/>
              </w:rPr>
              <w:t>仓库</w:t>
            </w:r>
          </w:p>
        </w:tc>
      </w:tr>
      <w:tr w14:paraId="48FA4A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9" w:type="pct"/>
            <w:vAlign w:val="center"/>
          </w:tcPr>
          <w:p w14:paraId="1227F532">
            <w:pPr>
              <w:widowControl w:val="0"/>
              <w:adjustRightInd w:val="0"/>
              <w:snapToGrid w:val="0"/>
              <w:jc w:val="center"/>
              <w:rPr>
                <w:rFonts w:ascii="Times New Roman" w:hAnsi="Times New Roman" w:cs="Times New Roman"/>
                <w:color w:val="auto"/>
                <w:spacing w:val="-2"/>
                <w:sz w:val="21"/>
                <w:lang w:eastAsia="zh-CN"/>
              </w:rPr>
            </w:pPr>
            <w:r>
              <w:rPr>
                <w:rFonts w:hint="eastAsia" w:ascii="Times New Roman"/>
                <w:color w:val="auto"/>
                <w:sz w:val="21"/>
                <w:lang w:eastAsia="zh-CN"/>
              </w:rPr>
              <w:t>化学纯氢氟酸</w:t>
            </w:r>
          </w:p>
        </w:tc>
        <w:tc>
          <w:tcPr>
            <w:tcW w:w="582" w:type="pct"/>
            <w:vAlign w:val="center"/>
          </w:tcPr>
          <w:p w14:paraId="21F62DC6">
            <w:pPr>
              <w:widowControl w:val="0"/>
              <w:adjustRightInd w:val="0"/>
              <w:snapToGrid w:val="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液态</w:t>
            </w:r>
          </w:p>
        </w:tc>
        <w:tc>
          <w:tcPr>
            <w:tcW w:w="800" w:type="pct"/>
            <w:vAlign w:val="center"/>
          </w:tcPr>
          <w:p w14:paraId="7C46B7A7">
            <w:pPr>
              <w:widowControl w:val="0"/>
              <w:adjustRightInd w:val="0"/>
              <w:snapToGrid w:val="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243.4</w:t>
            </w:r>
          </w:p>
        </w:tc>
        <w:tc>
          <w:tcPr>
            <w:tcW w:w="719" w:type="pct"/>
            <w:vAlign w:val="center"/>
          </w:tcPr>
          <w:p w14:paraId="400080BF">
            <w:pPr>
              <w:widowControl w:val="0"/>
              <w:adjustRightInd w:val="0"/>
              <w:snapToGrid w:val="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生产装置</w:t>
            </w:r>
          </w:p>
        </w:tc>
        <w:tc>
          <w:tcPr>
            <w:tcW w:w="950" w:type="pct"/>
            <w:vAlign w:val="center"/>
          </w:tcPr>
          <w:p w14:paraId="6E57FB9F">
            <w:pPr>
              <w:widowControl w:val="0"/>
              <w:adjustRightInd w:val="0"/>
              <w:snapToGrid w:val="0"/>
              <w:jc w:val="center"/>
              <w:textAlignment w:val="baseline"/>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3240</w:t>
            </w:r>
          </w:p>
        </w:tc>
        <w:tc>
          <w:tcPr>
            <w:tcW w:w="930" w:type="pct"/>
            <w:vAlign w:val="center"/>
          </w:tcPr>
          <w:p w14:paraId="405CF39B">
            <w:pPr>
              <w:widowControl w:val="0"/>
              <w:adjustRightInd w:val="0"/>
              <w:snapToGrid w:val="0"/>
              <w:jc w:val="center"/>
              <w:textAlignment w:val="baseline"/>
              <w:rPr>
                <w:rFonts w:ascii="Times New Roman" w:hAnsi="Times New Roman" w:cs="Times New Roman"/>
                <w:color w:val="auto"/>
                <w:kern w:val="2"/>
                <w:sz w:val="21"/>
                <w:lang w:eastAsia="zh-CN"/>
              </w:rPr>
            </w:pPr>
            <w:r>
              <w:rPr>
                <w:rFonts w:hint="eastAsia" w:ascii="Times New Roman" w:hAnsi="Times New Roman" w:cs="Times New Roman"/>
                <w:color w:val="auto"/>
                <w:sz w:val="21"/>
                <w:lang w:eastAsia="zh-CN"/>
              </w:rPr>
              <w:t>原料及产品罐区、戊类罐区二、丁类</w:t>
            </w:r>
            <w:r>
              <w:rPr>
                <w:rFonts w:ascii="Times New Roman" w:hAnsi="Times New Roman" w:cs="Times New Roman"/>
                <w:color w:val="auto"/>
                <w:sz w:val="21"/>
                <w:lang w:eastAsia="zh-CN"/>
              </w:rPr>
              <w:t>仓库</w:t>
            </w:r>
          </w:p>
        </w:tc>
      </w:tr>
      <w:tr w14:paraId="215E39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9" w:type="pct"/>
            <w:vAlign w:val="center"/>
          </w:tcPr>
          <w:p w14:paraId="51CC806C">
            <w:pPr>
              <w:widowControl w:val="0"/>
              <w:adjustRightInd w:val="0"/>
              <w:snapToGrid w:val="0"/>
              <w:jc w:val="center"/>
              <w:rPr>
                <w:rFonts w:ascii="Times New Roman" w:hAnsi="Times New Roman" w:cs="Times New Roman"/>
                <w:color w:val="auto"/>
                <w:spacing w:val="-2"/>
                <w:sz w:val="21"/>
                <w:lang w:eastAsia="zh-CN"/>
              </w:rPr>
            </w:pPr>
            <w:r>
              <w:rPr>
                <w:rFonts w:hint="eastAsia" w:ascii="Times New Roman"/>
                <w:color w:val="auto"/>
                <w:sz w:val="21"/>
                <w:lang w:eastAsia="zh-CN"/>
              </w:rPr>
              <w:t>刻蚀液</w:t>
            </w:r>
          </w:p>
        </w:tc>
        <w:tc>
          <w:tcPr>
            <w:tcW w:w="582" w:type="pct"/>
            <w:vAlign w:val="center"/>
          </w:tcPr>
          <w:p w14:paraId="2D679643">
            <w:pPr>
              <w:widowControl w:val="0"/>
              <w:adjustRightInd w:val="0"/>
              <w:snapToGrid w:val="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液态</w:t>
            </w:r>
          </w:p>
        </w:tc>
        <w:tc>
          <w:tcPr>
            <w:tcW w:w="800" w:type="pct"/>
            <w:vAlign w:val="center"/>
          </w:tcPr>
          <w:p w14:paraId="79FC58CF">
            <w:pPr>
              <w:widowControl w:val="0"/>
              <w:adjustRightInd w:val="0"/>
              <w:snapToGrid w:val="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166.7</w:t>
            </w:r>
          </w:p>
        </w:tc>
        <w:tc>
          <w:tcPr>
            <w:tcW w:w="719" w:type="pct"/>
            <w:vAlign w:val="center"/>
          </w:tcPr>
          <w:p w14:paraId="60E8008C">
            <w:pPr>
              <w:widowControl w:val="0"/>
              <w:adjustRightInd w:val="0"/>
              <w:snapToGrid w:val="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生产装置</w:t>
            </w:r>
          </w:p>
        </w:tc>
        <w:tc>
          <w:tcPr>
            <w:tcW w:w="950" w:type="pct"/>
            <w:vAlign w:val="center"/>
          </w:tcPr>
          <w:p w14:paraId="3F69E4BC">
            <w:pPr>
              <w:widowControl w:val="0"/>
              <w:adjustRightInd w:val="0"/>
              <w:snapToGrid w:val="0"/>
              <w:jc w:val="center"/>
              <w:textAlignment w:val="baseline"/>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5330</w:t>
            </w:r>
          </w:p>
        </w:tc>
        <w:tc>
          <w:tcPr>
            <w:tcW w:w="930" w:type="pct"/>
            <w:vAlign w:val="center"/>
          </w:tcPr>
          <w:p w14:paraId="5C78CD06">
            <w:pPr>
              <w:widowControl w:val="0"/>
              <w:adjustRightInd w:val="0"/>
              <w:snapToGrid w:val="0"/>
              <w:jc w:val="center"/>
              <w:textAlignment w:val="baseline"/>
              <w:rPr>
                <w:rFonts w:ascii="Times New Roman" w:hAnsi="Times New Roman" w:cs="Times New Roman"/>
                <w:color w:val="auto"/>
                <w:kern w:val="2"/>
                <w:sz w:val="21"/>
                <w:lang w:eastAsia="zh-CN"/>
              </w:rPr>
            </w:pPr>
            <w:r>
              <w:rPr>
                <w:rFonts w:hint="eastAsia" w:ascii="Times New Roman" w:hAnsi="Times New Roman" w:cs="Times New Roman"/>
                <w:color w:val="auto"/>
                <w:sz w:val="21"/>
                <w:lang w:eastAsia="zh-CN"/>
              </w:rPr>
              <w:t>戊类罐区二</w:t>
            </w:r>
          </w:p>
        </w:tc>
      </w:tr>
    </w:tbl>
    <w:p w14:paraId="10096B56">
      <w:pPr>
        <w:widowControl w:val="0"/>
        <w:ind w:firstLine="388" w:firstLineChars="200"/>
        <w:jc w:val="both"/>
        <w:rPr>
          <w:rFonts w:hint="eastAsia" w:ascii="宋体" w:hAnsi="宋体" w:cs="Times New Roman"/>
          <w:color w:val="auto"/>
          <w:sz w:val="21"/>
          <w:szCs w:val="18"/>
          <w:lang w:eastAsia="zh-CN"/>
        </w:rPr>
      </w:pPr>
      <w:r>
        <w:rPr>
          <w:rFonts w:hint="eastAsia" w:ascii="宋体" w:hAnsi="宋体" w:cs="Times New Roman"/>
          <w:bCs/>
          <w:color w:val="auto"/>
          <w:spacing w:val="-8"/>
          <w:sz w:val="21"/>
          <w:lang w:eastAsia="zh-CN"/>
        </w:rPr>
        <w:t>注：</w:t>
      </w:r>
      <w:r>
        <w:rPr>
          <w:rFonts w:ascii="宋体" w:hAnsi="宋体" w:cs="Times New Roman"/>
          <w:bCs/>
          <w:color w:val="auto"/>
          <w:spacing w:val="-8"/>
          <w:sz w:val="21"/>
          <w:lang w:eastAsia="zh-CN"/>
        </w:rPr>
        <w:fldChar w:fldCharType="begin"/>
      </w:r>
      <w:r>
        <w:rPr>
          <w:rFonts w:ascii="宋体" w:hAnsi="宋体" w:cs="Times New Roman"/>
          <w:bCs/>
          <w:color w:val="auto"/>
          <w:spacing w:val="-8"/>
          <w:sz w:val="21"/>
          <w:lang w:eastAsia="zh-CN"/>
        </w:rPr>
        <w:instrText xml:space="preserve"> </w:instrText>
      </w:r>
      <w:r>
        <w:rPr>
          <w:rFonts w:hint="eastAsia" w:ascii="宋体" w:hAnsi="宋体" w:cs="Times New Roman"/>
          <w:bCs/>
          <w:color w:val="auto"/>
          <w:spacing w:val="-8"/>
          <w:sz w:val="21"/>
          <w:lang w:eastAsia="zh-CN"/>
        </w:rPr>
        <w:instrText xml:space="preserve">= 1 \* GB3</w:instrText>
      </w:r>
      <w:r>
        <w:rPr>
          <w:rFonts w:ascii="宋体" w:hAnsi="宋体" w:cs="Times New Roman"/>
          <w:bCs/>
          <w:color w:val="auto"/>
          <w:spacing w:val="-8"/>
          <w:sz w:val="21"/>
          <w:lang w:eastAsia="zh-CN"/>
        </w:rPr>
        <w:instrText xml:space="preserve"> </w:instrText>
      </w:r>
      <w:r>
        <w:rPr>
          <w:rFonts w:ascii="宋体" w:hAnsi="宋体" w:cs="Times New Roman"/>
          <w:bCs/>
          <w:color w:val="auto"/>
          <w:spacing w:val="-8"/>
          <w:sz w:val="21"/>
          <w:lang w:eastAsia="zh-CN"/>
        </w:rPr>
        <w:fldChar w:fldCharType="separate"/>
      </w:r>
      <w:r>
        <w:rPr>
          <w:rFonts w:hint="eastAsia" w:ascii="宋体" w:hAnsi="宋体" w:cs="Times New Roman"/>
          <w:bCs/>
          <w:color w:val="auto"/>
          <w:spacing w:val="-8"/>
          <w:sz w:val="21"/>
          <w:lang w:eastAsia="zh-CN"/>
        </w:rPr>
        <w:t>①</w:t>
      </w:r>
      <w:r>
        <w:rPr>
          <w:rFonts w:ascii="宋体" w:hAnsi="宋体" w:cs="Times New Roman"/>
          <w:bCs/>
          <w:color w:val="auto"/>
          <w:spacing w:val="-8"/>
          <w:sz w:val="21"/>
          <w:lang w:eastAsia="zh-CN"/>
        </w:rPr>
        <w:fldChar w:fldCharType="end"/>
      </w:r>
      <w:r>
        <w:rPr>
          <w:rFonts w:hint="eastAsia" w:ascii="宋体" w:hAnsi="宋体" w:cs="Times New Roman"/>
          <w:bCs/>
          <w:color w:val="auto"/>
          <w:spacing w:val="-8"/>
          <w:sz w:val="21"/>
          <w:lang w:eastAsia="zh-CN"/>
        </w:rPr>
        <w:t>现有工程危险物质电子级氢氟酸与本项目危险物质处于同一的风险单元（原料及产品罐区），故本项目风险评价考虑现有工程危险物质。</w:t>
      </w:r>
    </w:p>
    <w:p w14:paraId="6DF2B856">
      <w:pPr>
        <w:widowControl w:val="0"/>
        <w:ind w:firstLine="420" w:firstLineChars="200"/>
        <w:jc w:val="both"/>
        <w:rPr>
          <w:rFonts w:hint="eastAsia" w:ascii="宋体" w:hAnsi="宋体" w:cs="Times New Roman"/>
          <w:bCs/>
          <w:color w:val="auto"/>
          <w:sz w:val="21"/>
          <w:szCs w:val="18"/>
          <w:lang w:eastAsia="zh-CN"/>
        </w:rPr>
      </w:pPr>
      <w:r>
        <w:rPr>
          <w:rFonts w:ascii="宋体" w:hAnsi="宋体" w:cs="Times New Roman"/>
          <w:color w:val="auto"/>
          <w:sz w:val="21"/>
          <w:szCs w:val="18"/>
          <w:lang w:eastAsia="zh-CN"/>
        </w:rPr>
        <w:fldChar w:fldCharType="begin"/>
      </w:r>
      <w:r>
        <w:rPr>
          <w:rFonts w:ascii="宋体" w:hAnsi="宋体" w:cs="Times New Roman"/>
          <w:color w:val="auto"/>
          <w:sz w:val="21"/>
          <w:szCs w:val="18"/>
          <w:lang w:eastAsia="zh-CN"/>
        </w:rPr>
        <w:instrText xml:space="preserve"> </w:instrText>
      </w:r>
      <w:r>
        <w:rPr>
          <w:rFonts w:hint="eastAsia" w:ascii="宋体" w:hAnsi="宋体" w:cs="Times New Roman"/>
          <w:color w:val="auto"/>
          <w:sz w:val="21"/>
          <w:szCs w:val="18"/>
          <w:lang w:eastAsia="zh-CN"/>
        </w:rPr>
        <w:instrText xml:space="preserve">= 2 \* GB3</w:instrText>
      </w:r>
      <w:r>
        <w:rPr>
          <w:rFonts w:ascii="宋体" w:hAnsi="宋体" w:cs="Times New Roman"/>
          <w:color w:val="auto"/>
          <w:sz w:val="21"/>
          <w:szCs w:val="18"/>
          <w:lang w:eastAsia="zh-CN"/>
        </w:rPr>
        <w:instrText xml:space="preserve"> </w:instrText>
      </w:r>
      <w:r>
        <w:rPr>
          <w:rFonts w:ascii="宋体" w:hAnsi="宋体" w:cs="Times New Roman"/>
          <w:color w:val="auto"/>
          <w:sz w:val="21"/>
          <w:szCs w:val="18"/>
          <w:lang w:eastAsia="zh-CN"/>
        </w:rPr>
        <w:fldChar w:fldCharType="separate"/>
      </w:r>
      <w:r>
        <w:rPr>
          <w:rFonts w:hint="eastAsia" w:ascii="宋体" w:hAnsi="宋体" w:cs="Times New Roman"/>
          <w:color w:val="auto"/>
          <w:sz w:val="21"/>
          <w:szCs w:val="18"/>
          <w:lang w:eastAsia="zh-CN"/>
        </w:rPr>
        <w:t>②</w:t>
      </w:r>
      <w:r>
        <w:rPr>
          <w:rFonts w:ascii="宋体" w:hAnsi="宋体" w:cs="Times New Roman"/>
          <w:color w:val="auto"/>
          <w:sz w:val="21"/>
          <w:szCs w:val="18"/>
          <w:lang w:eastAsia="zh-CN"/>
        </w:rPr>
        <w:fldChar w:fldCharType="end"/>
      </w:r>
      <w:r>
        <w:rPr>
          <w:rFonts w:ascii="宋体" w:hAnsi="宋体" w:cs="Times New Roman"/>
          <w:bCs/>
          <w:color w:val="auto"/>
          <w:sz w:val="21"/>
          <w:szCs w:val="18"/>
          <w:lang w:eastAsia="zh-CN"/>
        </w:rPr>
        <w:t>生产车间在线量按照一批次生产所需原料量</w:t>
      </w:r>
      <w:r>
        <w:rPr>
          <w:rFonts w:hint="eastAsia" w:ascii="宋体" w:hAnsi="宋体" w:cs="Times New Roman"/>
          <w:bCs/>
          <w:color w:val="auto"/>
          <w:sz w:val="21"/>
          <w:szCs w:val="18"/>
          <w:lang w:eastAsia="zh-CN"/>
        </w:rPr>
        <w:t>、一批次产品量</w:t>
      </w:r>
      <w:r>
        <w:rPr>
          <w:rFonts w:ascii="宋体" w:hAnsi="宋体" w:cs="Times New Roman"/>
          <w:bCs/>
          <w:color w:val="auto"/>
          <w:sz w:val="21"/>
          <w:szCs w:val="18"/>
          <w:lang w:eastAsia="zh-CN"/>
        </w:rPr>
        <w:t>核算</w:t>
      </w:r>
      <w:r>
        <w:rPr>
          <w:rFonts w:hint="eastAsia" w:ascii="宋体" w:hAnsi="宋体" w:cs="Times New Roman"/>
          <w:bCs/>
          <w:color w:val="auto"/>
          <w:sz w:val="21"/>
          <w:szCs w:val="18"/>
          <w:lang w:eastAsia="zh-CN"/>
        </w:rPr>
        <w:t>。</w:t>
      </w:r>
    </w:p>
    <w:p w14:paraId="5A9F1C75">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hint="eastAsia" w:ascii="Times New Roman" w:hAnsi="Times New Roman" w:cs="Times New Roman"/>
          <w:color w:val="auto"/>
          <w:lang w:eastAsia="zh-CN"/>
        </w:rPr>
        <w:t>2、</w:t>
      </w:r>
      <w:r>
        <w:rPr>
          <w:rFonts w:ascii="Times New Roman" w:hAnsi="Times New Roman" w:cs="Times New Roman"/>
          <w:color w:val="auto"/>
          <w:lang w:eastAsia="zh-CN"/>
        </w:rPr>
        <w:t>生产工艺特点</w:t>
      </w:r>
      <w:bookmarkEnd w:id="1766"/>
    </w:p>
    <w:p w14:paraId="25138E0C">
      <w:pPr>
        <w:widowControl w:val="0"/>
        <w:spacing w:line="360" w:lineRule="auto"/>
        <w:ind w:firstLine="480" w:firstLineChars="200"/>
        <w:jc w:val="both"/>
        <w:rPr>
          <w:rFonts w:ascii="Times New Roman" w:hAnsi="Times New Roman" w:eastAsia="新宋体" w:cs="Times New Roman"/>
          <w:szCs w:val="24"/>
          <w:lang w:eastAsia="zh-CN"/>
        </w:rPr>
      </w:pPr>
      <w:r>
        <w:rPr>
          <w:rFonts w:ascii="Times New Roman" w:hAnsi="Times New Roman" w:eastAsia="新宋体" w:cs="Times New Roman"/>
          <w:szCs w:val="24"/>
          <w:lang w:eastAsia="zh-CN"/>
        </w:rPr>
        <w:t>本项目产品为</w:t>
      </w:r>
      <w:r>
        <w:rPr>
          <w:rFonts w:hint="eastAsia" w:ascii="Times New Roman" w:hAnsi="Times New Roman" w:cs="Times New Roman"/>
          <w:color w:val="auto"/>
          <w:lang w:eastAsia="zh-CN"/>
        </w:rPr>
        <w:t>化学纯氢氟酸、刻蚀液</w:t>
      </w:r>
      <w:r>
        <w:rPr>
          <w:rFonts w:hint="eastAsia" w:ascii="Times New Roman" w:hAnsi="Times New Roman" w:eastAsia="新宋体" w:cs="Times New Roman"/>
          <w:szCs w:val="24"/>
          <w:lang w:eastAsia="zh-CN"/>
        </w:rPr>
        <w:t>。</w:t>
      </w:r>
    </w:p>
    <w:p w14:paraId="7A3D1828">
      <w:pPr>
        <w:pStyle w:val="84"/>
        <w:widowControl w:val="0"/>
        <w:spacing w:line="360" w:lineRule="auto"/>
        <w:ind w:firstLine="480"/>
        <w:jc w:val="both"/>
        <w:rPr>
          <w:rFonts w:ascii="Times New Roman" w:hAnsi="Times New Roman" w:eastAsia="新宋体" w:cs="Times New Roman"/>
          <w:szCs w:val="24"/>
          <w:lang w:eastAsia="zh-CN"/>
        </w:rPr>
      </w:pPr>
      <w:r>
        <w:rPr>
          <w:rFonts w:ascii="Times New Roman" w:hAnsi="Times New Roman" w:cs="Times New Roman"/>
          <w:color w:val="auto"/>
          <w:lang w:eastAsia="zh-CN"/>
        </w:rPr>
        <w:fldChar w:fldCharType="begin"/>
      </w:r>
      <w:r>
        <w:rPr>
          <w:rFonts w:ascii="Times New Roman" w:hAnsi="Times New Roman" w:cs="Times New Roman"/>
          <w:color w:val="auto"/>
          <w:lang w:eastAsia="zh-CN"/>
        </w:rPr>
        <w:instrText xml:space="preserve"> </w:instrText>
      </w:r>
      <w:r>
        <w:rPr>
          <w:rFonts w:hint="eastAsia" w:ascii="Times New Roman" w:hAnsi="Times New Roman" w:cs="Times New Roman"/>
          <w:color w:val="auto"/>
          <w:lang w:eastAsia="zh-CN"/>
        </w:rPr>
        <w:instrText xml:space="preserve">= 1 \* GB3</w:instrText>
      </w:r>
      <w:r>
        <w:rPr>
          <w:rFonts w:ascii="Times New Roman" w:hAnsi="Times New Roman" w:cs="Times New Roman"/>
          <w:color w:val="auto"/>
          <w:lang w:eastAsia="zh-CN"/>
        </w:rPr>
        <w:instrText xml:space="preserve"> </w:instrText>
      </w:r>
      <w:r>
        <w:rPr>
          <w:rFonts w:ascii="Times New Roman" w:hAnsi="Times New Roman" w:cs="Times New Roman"/>
          <w:color w:val="auto"/>
          <w:lang w:eastAsia="zh-CN"/>
        </w:rPr>
        <w:fldChar w:fldCharType="separate"/>
      </w:r>
      <w:r>
        <w:rPr>
          <w:rFonts w:hint="eastAsia" w:ascii="Times New Roman" w:hAnsi="Times New Roman" w:cs="Times New Roman"/>
          <w:color w:val="auto"/>
          <w:lang w:eastAsia="zh-CN"/>
        </w:rPr>
        <w:t>①</w:t>
      </w:r>
      <w:r>
        <w:rPr>
          <w:rFonts w:ascii="Times New Roman" w:hAnsi="Times New Roman" w:cs="Times New Roman"/>
          <w:color w:val="auto"/>
          <w:lang w:eastAsia="zh-CN"/>
        </w:rPr>
        <w:fldChar w:fldCharType="end"/>
      </w:r>
      <w:r>
        <w:rPr>
          <w:rFonts w:hint="eastAsia" w:ascii="Times New Roman" w:hAnsi="Times New Roman" w:cs="Times New Roman"/>
          <w:color w:val="auto"/>
          <w:lang w:eastAsia="zh-CN"/>
        </w:rPr>
        <w:t>化学纯氢氟酸</w:t>
      </w:r>
      <w:r>
        <w:rPr>
          <w:rFonts w:hint="eastAsia" w:ascii="Times New Roman" w:hAnsi="Times New Roman" w:eastAsia="新宋体" w:cs="Times New Roman"/>
          <w:szCs w:val="24"/>
          <w:lang w:eastAsia="zh-CN"/>
        </w:rPr>
        <w:t>以</w:t>
      </w:r>
      <w:r>
        <w:rPr>
          <w:rFonts w:ascii="Times New Roman" w:hAnsi="Times New Roman" w:cs="Times New Roman"/>
          <w:color w:val="auto"/>
          <w:lang w:eastAsia="zh-CN"/>
        </w:rPr>
        <w:t>15%</w:t>
      </w:r>
      <w:r>
        <w:rPr>
          <w:rFonts w:hint="eastAsia" w:ascii="Times New Roman" w:hAnsi="Times New Roman" w:cs="Times New Roman"/>
          <w:color w:val="auto"/>
          <w:lang w:eastAsia="zh-CN"/>
        </w:rPr>
        <w:t>氟化氢水</w:t>
      </w:r>
      <w:r>
        <w:rPr>
          <w:rFonts w:ascii="Times New Roman" w:hAnsi="Times New Roman" w:cs="Times New Roman"/>
          <w:color w:val="auto"/>
          <w:lang w:eastAsia="zh-CN"/>
        </w:rPr>
        <w:t>溶液</w:t>
      </w:r>
      <w:r>
        <w:rPr>
          <w:rFonts w:hint="eastAsia" w:ascii="Times New Roman" w:hAnsi="Times New Roman" w:cs="Times New Roman"/>
          <w:color w:val="auto"/>
          <w:lang w:eastAsia="zh-CN"/>
        </w:rPr>
        <w:t>、</w:t>
      </w:r>
      <w:r>
        <w:rPr>
          <w:rFonts w:ascii="Times New Roman" w:hAnsi="Times New Roman" w:cs="Times New Roman"/>
          <w:color w:val="auto"/>
          <w:lang w:eastAsia="zh-CN"/>
        </w:rPr>
        <w:t>无水氟化氢</w:t>
      </w:r>
      <w:r>
        <w:rPr>
          <w:rFonts w:hint="eastAsia" w:ascii="Times New Roman" w:hAnsi="Times New Roman" w:eastAsia="新宋体" w:cs="Times New Roman"/>
          <w:szCs w:val="24"/>
          <w:lang w:eastAsia="zh-CN"/>
        </w:rPr>
        <w:t>为原料，</w:t>
      </w:r>
      <w:r>
        <w:rPr>
          <w:rFonts w:ascii="Times New Roman" w:hAnsi="Times New Roman" w:eastAsia="新宋体" w:cs="Times New Roman"/>
          <w:szCs w:val="24"/>
          <w:lang w:eastAsia="zh-CN"/>
        </w:rPr>
        <w:t>采用15%氟化氢水溶液循环吸收无水氟化氢，循环吸收至氟化氢浓度为55%制得化学纯氢氟酸</w:t>
      </w:r>
      <w:r>
        <w:rPr>
          <w:rFonts w:hint="eastAsia" w:ascii="Times New Roman" w:hAnsi="Times New Roman" w:eastAsia="新宋体" w:cs="Times New Roman"/>
          <w:szCs w:val="24"/>
          <w:lang w:eastAsia="zh-CN"/>
        </w:rPr>
        <w:t>；</w:t>
      </w:r>
    </w:p>
    <w:p w14:paraId="14D4A068">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hint="eastAsia" w:ascii="Times New Roman" w:hAnsi="Times New Roman" w:eastAsia="新宋体" w:cs="Times New Roman"/>
          <w:color w:val="auto"/>
          <w:szCs w:val="24"/>
          <w:lang w:eastAsia="zh-CN"/>
        </w:rPr>
        <w:t>生产过程中物料在常温常压下进行混配，不涉及化学反应，</w:t>
      </w:r>
      <w:r>
        <w:rPr>
          <w:rFonts w:hint="eastAsia" w:ascii="Times New Roman" w:hAnsi="Times New Roman" w:cs="Times New Roman"/>
          <w:color w:val="auto"/>
          <w:lang w:eastAsia="zh-CN"/>
        </w:rPr>
        <w:t>不涉及</w:t>
      </w:r>
      <w:r>
        <w:rPr>
          <w:rFonts w:ascii="Times New Roman" w:hAnsi="Times New Roman" w:cs="Times New Roman"/>
          <w:color w:val="auto"/>
          <w:lang w:eastAsia="zh-CN"/>
        </w:rPr>
        <w:t>危险</w:t>
      </w:r>
      <w:r>
        <w:rPr>
          <w:rFonts w:hint="eastAsia" w:ascii="Times New Roman" w:hAnsi="Times New Roman" w:cs="Times New Roman"/>
          <w:color w:val="auto"/>
          <w:lang w:eastAsia="zh-CN"/>
        </w:rPr>
        <w:t>工艺</w:t>
      </w:r>
      <w:r>
        <w:rPr>
          <w:rFonts w:hint="eastAsia" w:ascii="Times New Roman" w:hAnsi="Times New Roman" w:eastAsia="新宋体" w:cs="Times New Roman"/>
          <w:color w:val="auto"/>
          <w:szCs w:val="24"/>
          <w:lang w:eastAsia="zh-CN"/>
        </w:rPr>
        <w:t>。</w:t>
      </w:r>
    </w:p>
    <w:p w14:paraId="3C1A8295">
      <w:pPr>
        <w:widowControl w:val="0"/>
        <w:spacing w:line="360" w:lineRule="auto"/>
        <w:ind w:firstLine="480" w:firstLineChars="200"/>
        <w:jc w:val="both"/>
        <w:rPr>
          <w:rFonts w:ascii="Times New Roman" w:hAnsi="Times New Roman" w:eastAsia="新宋体" w:cs="Times New Roman"/>
          <w:szCs w:val="24"/>
          <w:lang w:eastAsia="zh-CN"/>
        </w:rPr>
      </w:pPr>
      <w:r>
        <w:rPr>
          <w:rFonts w:hint="eastAsia" w:ascii="Times New Roman" w:hAnsi="Times New Roman" w:eastAsia="新宋体" w:cs="Times New Roman"/>
          <w:szCs w:val="24"/>
          <w:lang w:eastAsia="zh-CN"/>
        </w:rPr>
        <w:t>②</w:t>
      </w:r>
      <w:r>
        <w:rPr>
          <w:rFonts w:hint="eastAsia" w:ascii="Times New Roman" w:hAnsi="Times New Roman" w:cs="Times New Roman"/>
          <w:color w:val="auto"/>
          <w:lang w:eastAsia="zh-CN"/>
        </w:rPr>
        <w:t>刻蚀液</w:t>
      </w:r>
      <w:r>
        <w:rPr>
          <w:rFonts w:hint="eastAsia" w:ascii="Times New Roman" w:hAnsi="Times New Roman" w:eastAsia="新宋体" w:cs="Times New Roman"/>
          <w:szCs w:val="24"/>
          <w:lang w:eastAsia="zh-CN"/>
        </w:rPr>
        <w:t>以</w:t>
      </w:r>
      <w:r>
        <w:rPr>
          <w:rFonts w:ascii="Times New Roman" w:hAnsi="Times New Roman" w:cs="Times New Roman"/>
          <w:color w:val="auto"/>
          <w:lang w:eastAsia="zh-CN"/>
        </w:rPr>
        <w:t>15%氟化氢水溶液、自产的化学纯氢氟酸、31%盐酸以及二级水喷淋塔吸收的氟化氢水溶液</w:t>
      </w:r>
      <w:r>
        <w:rPr>
          <w:rFonts w:hint="eastAsia" w:ascii="Times New Roman" w:hAnsi="Times New Roman" w:eastAsia="新宋体" w:cs="Times New Roman"/>
          <w:szCs w:val="24"/>
          <w:lang w:eastAsia="zh-CN"/>
        </w:rPr>
        <w:t>为原料，在</w:t>
      </w:r>
      <w:r>
        <w:rPr>
          <w:rFonts w:hint="eastAsia" w:ascii="Times New Roman" w:hAnsi="Times New Roman" w:eastAsia="新宋体" w:cs="Times New Roman"/>
          <w:color w:val="auto"/>
          <w:szCs w:val="24"/>
          <w:lang w:eastAsia="zh-CN"/>
        </w:rPr>
        <w:t>常温常压下进行混配生产刻蚀液</w:t>
      </w:r>
      <w:r>
        <w:rPr>
          <w:rFonts w:hint="eastAsia" w:ascii="Times New Roman" w:hAnsi="Times New Roman" w:eastAsia="新宋体" w:cs="Times New Roman"/>
          <w:szCs w:val="24"/>
          <w:lang w:eastAsia="zh-CN"/>
        </w:rPr>
        <w:t>；</w:t>
      </w:r>
    </w:p>
    <w:p w14:paraId="60106EEF">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hint="eastAsia" w:ascii="Times New Roman" w:hAnsi="Times New Roman" w:eastAsia="新宋体" w:cs="Times New Roman"/>
          <w:color w:val="auto"/>
          <w:szCs w:val="24"/>
          <w:lang w:eastAsia="zh-CN"/>
        </w:rPr>
        <w:t>生产过程中物料不涉及化学反应，</w:t>
      </w:r>
      <w:r>
        <w:rPr>
          <w:rFonts w:hint="eastAsia" w:ascii="Times New Roman" w:hAnsi="Times New Roman" w:cs="Times New Roman"/>
          <w:color w:val="auto"/>
          <w:lang w:eastAsia="zh-CN"/>
        </w:rPr>
        <w:t>不涉及</w:t>
      </w:r>
      <w:r>
        <w:rPr>
          <w:rFonts w:ascii="Times New Roman" w:hAnsi="Times New Roman" w:cs="Times New Roman"/>
          <w:color w:val="auto"/>
          <w:lang w:eastAsia="zh-CN"/>
        </w:rPr>
        <w:t>危险</w:t>
      </w:r>
      <w:r>
        <w:rPr>
          <w:rFonts w:hint="eastAsia" w:ascii="Times New Roman" w:hAnsi="Times New Roman" w:cs="Times New Roman"/>
          <w:color w:val="auto"/>
          <w:lang w:eastAsia="zh-CN"/>
        </w:rPr>
        <w:t>工艺</w:t>
      </w:r>
      <w:r>
        <w:rPr>
          <w:rFonts w:hint="eastAsia" w:ascii="Times New Roman" w:hAnsi="Times New Roman" w:eastAsia="新宋体" w:cs="Times New Roman"/>
          <w:color w:val="auto"/>
          <w:szCs w:val="24"/>
          <w:lang w:eastAsia="zh-CN"/>
        </w:rPr>
        <w:t>。</w:t>
      </w:r>
    </w:p>
    <w:p w14:paraId="1AB9584C">
      <w:pPr>
        <w:widowControl w:val="0"/>
        <w:spacing w:line="360" w:lineRule="auto"/>
        <w:ind w:firstLine="480" w:firstLineChars="200"/>
        <w:jc w:val="both"/>
        <w:rPr>
          <w:rFonts w:ascii="Times New Roman" w:hAnsi="Times New Roman" w:eastAsia="新宋体" w:cs="Times New Roman"/>
          <w:szCs w:val="24"/>
          <w:lang w:eastAsia="zh-CN"/>
        </w:rPr>
      </w:pPr>
      <w:r>
        <w:rPr>
          <w:rFonts w:ascii="Times New Roman" w:hAnsi="Times New Roman" w:eastAsia="新宋体" w:cs="Times New Roman"/>
          <w:szCs w:val="24"/>
          <w:lang w:eastAsia="zh-CN"/>
        </w:rPr>
        <w:t>对照</w:t>
      </w:r>
      <w:r>
        <w:rPr>
          <w:rFonts w:ascii="Times New Roman" w:hAnsi="Times New Roman" w:cs="Times New Roman"/>
          <w:lang w:eastAsia="zh-CN"/>
        </w:rPr>
        <w:t>《第二批重点监管危险化工工艺目录和调整首批重点监管危险化工工艺中部分典型工艺的通知》（安监总管三[2013]3号）可知，</w:t>
      </w:r>
      <w:r>
        <w:rPr>
          <w:rFonts w:ascii="Times New Roman" w:hAnsi="Times New Roman" w:eastAsia="新宋体" w:cs="Times New Roman"/>
          <w:szCs w:val="24"/>
          <w:lang w:eastAsia="zh-CN"/>
        </w:rPr>
        <w:t>本项目生产工艺过程不涉及危险工艺。</w:t>
      </w:r>
    </w:p>
    <w:p w14:paraId="53ABF8BE">
      <w:pPr>
        <w:widowControl w:val="0"/>
        <w:spacing w:line="360" w:lineRule="auto"/>
        <w:ind w:firstLine="482"/>
        <w:outlineLvl w:val="2"/>
        <w:rPr>
          <w:rFonts w:ascii="Times New Roman" w:hAnsi="Times New Roman" w:cs="Times New Roman"/>
          <w:b/>
          <w:bCs/>
          <w:color w:val="auto"/>
          <w:lang w:eastAsia="zh-CN"/>
        </w:rPr>
      </w:pPr>
      <w:bookmarkStart w:id="1767" w:name="_Toc237508359"/>
      <w:bookmarkStart w:id="1768" w:name="_Toc221900905"/>
      <w:bookmarkStart w:id="1769" w:name="_Toc224674763"/>
      <w:bookmarkStart w:id="1770" w:name="_Toc223425123"/>
      <w:bookmarkStart w:id="1771" w:name="_Toc178602417"/>
      <w:bookmarkStart w:id="1772" w:name="_Toc204515265"/>
      <w:bookmarkStart w:id="1773" w:name="_Toc176513076"/>
      <w:bookmarkStart w:id="1774" w:name="_Toc218784348"/>
      <w:bookmarkStart w:id="1775" w:name="_Toc217662736"/>
      <w:bookmarkStart w:id="1776" w:name="_Toc203927069"/>
      <w:bookmarkStart w:id="1777" w:name="_Toc173740346"/>
      <w:bookmarkStart w:id="1778" w:name="_Toc225784125"/>
      <w:bookmarkStart w:id="1779" w:name="_Toc31016"/>
      <w:bookmarkStart w:id="1780" w:name="_Toc172555712"/>
      <w:bookmarkStart w:id="1781" w:name="_Toc204448530"/>
      <w:bookmarkStart w:id="1782" w:name="_Toc231828646"/>
      <w:bookmarkStart w:id="1783" w:name="_Toc173743450"/>
      <w:bookmarkStart w:id="1784" w:name="_Toc236641894"/>
      <w:bookmarkStart w:id="1785" w:name="_Toc175164341"/>
      <w:r>
        <w:rPr>
          <w:rFonts w:ascii="Times New Roman" w:hAnsi="Times New Roman" w:cs="Times New Roman"/>
          <w:b/>
          <w:bCs/>
          <w:color w:val="auto"/>
          <w:lang w:eastAsia="zh-CN"/>
        </w:rPr>
        <w:t>7.</w:t>
      </w:r>
      <w:r>
        <w:rPr>
          <w:rFonts w:hint="eastAsia" w:ascii="Times New Roman" w:hAnsi="Times New Roman" w:cs="Times New Roman"/>
          <w:b/>
          <w:bCs/>
          <w:color w:val="auto"/>
          <w:lang w:eastAsia="zh-CN"/>
        </w:rPr>
        <w:t>3</w:t>
      </w:r>
      <w:r>
        <w:rPr>
          <w:rFonts w:ascii="Times New Roman" w:hAnsi="Times New Roman" w:cs="Times New Roman"/>
          <w:b/>
          <w:bCs/>
          <w:color w:val="auto"/>
          <w:lang w:eastAsia="zh-CN"/>
        </w:rPr>
        <w:t>.2 环境敏感目标调查</w:t>
      </w:r>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p>
    <w:p w14:paraId="07728371">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根据对企业周边5km环境敏感目标的调查可知，居住区、医疗卫生、文化教育、科研、行政办公等机构人口总数大于1万人，</w:t>
      </w:r>
      <w:r>
        <w:rPr>
          <w:rFonts w:ascii="Times New Roman" w:hAnsi="Times New Roman" w:cs="Times New Roman"/>
          <w:color w:val="000000" w:themeColor="text1"/>
          <w:szCs w:val="24"/>
          <w:lang w:eastAsia="zh-CN"/>
          <w14:textFill>
            <w14:solidFill>
              <w14:schemeClr w14:val="tx1"/>
            </w14:solidFill>
          </w14:textFill>
        </w:rPr>
        <w:t>周边500m范围内无居住区，</w:t>
      </w:r>
      <w:r>
        <w:rPr>
          <w:rFonts w:ascii="Times New Roman" w:hAnsi="Times New Roman" w:cs="Times New Roman"/>
          <w:color w:val="auto"/>
          <w:szCs w:val="24"/>
          <w:lang w:eastAsia="zh-CN"/>
        </w:rPr>
        <w:t>存在</w:t>
      </w:r>
      <w:r>
        <w:rPr>
          <w:rFonts w:hint="eastAsia" w:ascii="Times New Roman" w:hAnsi="Times New Roman" w:cs="Times New Roman"/>
          <w:color w:val="auto"/>
          <w:szCs w:val="24"/>
          <w:lang w:eastAsia="zh-CN"/>
        </w:rPr>
        <w:t>6</w:t>
      </w:r>
      <w:r>
        <w:rPr>
          <w:rFonts w:ascii="Times New Roman" w:hAnsi="Times New Roman" w:cs="Times New Roman"/>
          <w:color w:val="auto"/>
          <w:szCs w:val="24"/>
          <w:lang w:eastAsia="zh-CN"/>
        </w:rPr>
        <w:t>家工业企业（</w:t>
      </w:r>
      <w:r>
        <w:rPr>
          <w:rFonts w:hint="eastAsia" w:ascii="Times New Roman" w:hAnsi="Times New Roman" w:cs="Times New Roman"/>
          <w:color w:val="auto"/>
          <w:szCs w:val="24"/>
          <w:lang w:eastAsia="zh-CN"/>
        </w:rPr>
        <w:t>安徽新洋丰农业科技有限公司</w:t>
      </w:r>
      <w:r>
        <w:rPr>
          <w:rFonts w:ascii="Times New Roman" w:hAnsi="Times New Roman" w:cs="Times New Roman"/>
          <w:color w:val="auto"/>
          <w:szCs w:val="24"/>
          <w:lang w:eastAsia="zh-CN"/>
        </w:rPr>
        <w:t>、</w:t>
      </w:r>
      <w:r>
        <w:rPr>
          <w:rFonts w:hint="eastAsia" w:ascii="Times New Roman" w:hAnsi="Times New Roman" w:cs="Times New Roman"/>
          <w:color w:val="auto"/>
          <w:szCs w:val="24"/>
          <w:lang w:eastAsia="zh-CN"/>
        </w:rPr>
        <w:t>安徽中草新材料有限公司、安徽辉隆瑞美福生物工程有限公司、</w:t>
      </w:r>
      <w:r>
        <w:rPr>
          <w:rFonts w:ascii="Times New Roman" w:hAnsi="Times New Roman" w:cs="Times New Roman"/>
          <w:color w:val="auto"/>
          <w:szCs w:val="24"/>
          <w:lang w:eastAsia="zh-CN"/>
        </w:rPr>
        <w:t>安徽汇氟新材料科技有限公司</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安徽启禾生物工程有限公司</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中粮生物科技股份有限公司），</w:t>
      </w:r>
      <w:r>
        <w:rPr>
          <w:rFonts w:hint="eastAsia" w:ascii="Times New Roman" w:hAnsi="Times New Roman" w:cs="Times New Roman"/>
          <w:color w:val="auto"/>
          <w:szCs w:val="24"/>
          <w:lang w:eastAsia="zh-CN"/>
        </w:rPr>
        <w:t>6</w:t>
      </w:r>
      <w:r>
        <w:rPr>
          <w:rFonts w:ascii="Times New Roman" w:hAnsi="Times New Roman" w:cs="Times New Roman"/>
          <w:color w:val="auto"/>
          <w:szCs w:val="24"/>
          <w:lang w:eastAsia="zh-CN"/>
        </w:rPr>
        <w:t>家企业员工总数合</w:t>
      </w:r>
      <w:r>
        <w:rPr>
          <w:rFonts w:ascii="Times New Roman" w:hAnsi="Times New Roman" w:cs="Times New Roman"/>
          <w:color w:val="000000" w:themeColor="text1"/>
          <w:szCs w:val="24"/>
          <w:lang w:eastAsia="zh-CN"/>
          <w14:textFill>
            <w14:solidFill>
              <w14:schemeClr w14:val="tx1"/>
            </w14:solidFill>
          </w14:textFill>
        </w:rPr>
        <w:t>计约</w:t>
      </w:r>
      <w:r>
        <w:rPr>
          <w:rFonts w:hint="eastAsia" w:ascii="Times New Roman" w:hAnsi="Times New Roman" w:cs="Times New Roman"/>
          <w:color w:val="000000" w:themeColor="text1"/>
          <w:szCs w:val="24"/>
          <w:lang w:eastAsia="zh-CN"/>
          <w14:textFill>
            <w14:solidFill>
              <w14:schemeClr w14:val="tx1"/>
            </w14:solidFill>
          </w14:textFill>
        </w:rPr>
        <w:t>850</w:t>
      </w:r>
      <w:r>
        <w:rPr>
          <w:rFonts w:ascii="Times New Roman" w:hAnsi="Times New Roman" w:cs="Times New Roman"/>
          <w:color w:val="000000" w:themeColor="text1"/>
          <w:szCs w:val="24"/>
          <w:lang w:eastAsia="zh-CN"/>
          <w14:textFill>
            <w14:solidFill>
              <w14:schemeClr w14:val="tx1"/>
            </w14:solidFill>
          </w14:textFill>
        </w:rPr>
        <w:t>人，</w:t>
      </w:r>
      <w:r>
        <w:rPr>
          <w:rFonts w:ascii="Times New Roman" w:hAnsi="Times New Roman" w:cs="Times New Roman"/>
          <w:color w:val="auto"/>
          <w:szCs w:val="24"/>
          <w:lang w:eastAsia="zh-CN"/>
        </w:rPr>
        <w:t>人口总数大于500人。</w:t>
      </w:r>
    </w:p>
    <w:p w14:paraId="4F29478A">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表7.</w:t>
      </w:r>
      <w:r>
        <w:rPr>
          <w:rFonts w:hint="eastAsia" w:ascii="Times New Roman" w:hAnsi="Times New Roman" w:cs="Times New Roman"/>
          <w:b/>
          <w:bCs/>
          <w:color w:val="auto"/>
          <w:lang w:eastAsia="zh-CN"/>
        </w:rPr>
        <w:t>3</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3</w:t>
      </w:r>
      <w:r>
        <w:rPr>
          <w:rFonts w:ascii="Times New Roman" w:hAnsi="Times New Roman" w:cs="Times New Roman"/>
          <w:b/>
          <w:bCs/>
          <w:color w:val="auto"/>
          <w:lang w:eastAsia="zh-CN"/>
        </w:rPr>
        <w:t xml:space="preserve"> 建设项目环境敏感特征表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899"/>
        <w:gridCol w:w="694"/>
        <w:gridCol w:w="131"/>
        <w:gridCol w:w="2380"/>
        <w:gridCol w:w="441"/>
        <w:gridCol w:w="1109"/>
        <w:gridCol w:w="867"/>
        <w:gridCol w:w="97"/>
        <w:gridCol w:w="140"/>
        <w:gridCol w:w="988"/>
        <w:gridCol w:w="47"/>
        <w:gridCol w:w="1953"/>
      </w:tblGrid>
      <w:tr w14:paraId="3DF0692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Align w:val="center"/>
          </w:tcPr>
          <w:p w14:paraId="7DAA4987">
            <w:pPr>
              <w:pStyle w:val="62"/>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类别</w:t>
            </w:r>
          </w:p>
        </w:tc>
        <w:tc>
          <w:tcPr>
            <w:tcW w:w="4539" w:type="pct"/>
            <w:gridSpan w:val="11"/>
            <w:vAlign w:val="center"/>
          </w:tcPr>
          <w:p w14:paraId="08D3BC6D">
            <w:pPr>
              <w:pStyle w:val="62"/>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环境敏感特征</w:t>
            </w:r>
          </w:p>
        </w:tc>
      </w:tr>
      <w:tr w14:paraId="4805DF1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restart"/>
            <w:vAlign w:val="center"/>
          </w:tcPr>
          <w:p w14:paraId="4AFEE8EA">
            <w:pPr>
              <w:pStyle w:val="62"/>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环境</w:t>
            </w:r>
          </w:p>
          <w:p w14:paraId="303A3A7E">
            <w:pPr>
              <w:pStyle w:val="62"/>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空气</w:t>
            </w:r>
          </w:p>
        </w:tc>
        <w:tc>
          <w:tcPr>
            <w:tcW w:w="4539" w:type="pct"/>
            <w:gridSpan w:val="11"/>
            <w:vAlign w:val="center"/>
          </w:tcPr>
          <w:p w14:paraId="44E2B350">
            <w:pPr>
              <w:pStyle w:val="62"/>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厂址周边500m范围内</w:t>
            </w:r>
          </w:p>
        </w:tc>
      </w:tr>
      <w:tr w14:paraId="5113977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244CB686">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2E02F07F">
            <w:pPr>
              <w:pStyle w:val="62"/>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序号</w:t>
            </w:r>
          </w:p>
        </w:tc>
        <w:tc>
          <w:tcPr>
            <w:tcW w:w="1514" w:type="pct"/>
            <w:gridSpan w:val="3"/>
            <w:vAlign w:val="center"/>
          </w:tcPr>
          <w:p w14:paraId="41D10C5B">
            <w:pPr>
              <w:pStyle w:val="62"/>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敏感目标名称</w:t>
            </w:r>
          </w:p>
        </w:tc>
        <w:tc>
          <w:tcPr>
            <w:tcW w:w="569" w:type="pct"/>
            <w:vAlign w:val="center"/>
          </w:tcPr>
          <w:p w14:paraId="0BD3DF32">
            <w:pPr>
              <w:pStyle w:val="62"/>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相对方位</w:t>
            </w:r>
          </w:p>
        </w:tc>
        <w:tc>
          <w:tcPr>
            <w:tcW w:w="495" w:type="pct"/>
            <w:gridSpan w:val="2"/>
            <w:vAlign w:val="center"/>
          </w:tcPr>
          <w:p w14:paraId="5A26365D">
            <w:pPr>
              <w:pStyle w:val="62"/>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距离/m</w:t>
            </w:r>
          </w:p>
        </w:tc>
        <w:tc>
          <w:tcPr>
            <w:tcW w:w="602" w:type="pct"/>
            <w:gridSpan w:val="3"/>
            <w:vAlign w:val="center"/>
          </w:tcPr>
          <w:p w14:paraId="07006647">
            <w:pPr>
              <w:pStyle w:val="62"/>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属性</w:t>
            </w:r>
          </w:p>
        </w:tc>
        <w:tc>
          <w:tcPr>
            <w:tcW w:w="1003" w:type="pct"/>
            <w:vAlign w:val="center"/>
          </w:tcPr>
          <w:p w14:paraId="35607920">
            <w:pPr>
              <w:pStyle w:val="62"/>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人口数/人</w:t>
            </w:r>
          </w:p>
        </w:tc>
      </w:tr>
      <w:tr w14:paraId="0BF4AC4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77A69E13">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4E0B23AE">
            <w:pPr>
              <w:pStyle w:val="62"/>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1</w:t>
            </w:r>
          </w:p>
        </w:tc>
        <w:tc>
          <w:tcPr>
            <w:tcW w:w="1514" w:type="pct"/>
            <w:gridSpan w:val="3"/>
            <w:vAlign w:val="center"/>
          </w:tcPr>
          <w:p w14:paraId="1C64AFE4">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安徽新洋丰农业科技有限公司</w:t>
            </w:r>
          </w:p>
        </w:tc>
        <w:tc>
          <w:tcPr>
            <w:tcW w:w="569" w:type="pct"/>
            <w:vAlign w:val="center"/>
          </w:tcPr>
          <w:p w14:paraId="5DBC83F6">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NW</w:t>
            </w:r>
          </w:p>
        </w:tc>
        <w:tc>
          <w:tcPr>
            <w:tcW w:w="495" w:type="pct"/>
            <w:gridSpan w:val="2"/>
            <w:vAlign w:val="center"/>
          </w:tcPr>
          <w:p w14:paraId="241F4ECF">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49</w:t>
            </w:r>
          </w:p>
        </w:tc>
        <w:tc>
          <w:tcPr>
            <w:tcW w:w="602" w:type="pct"/>
            <w:gridSpan w:val="3"/>
            <w:vMerge w:val="restart"/>
            <w:vAlign w:val="center"/>
          </w:tcPr>
          <w:p w14:paraId="601F17E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企业</w:t>
            </w:r>
          </w:p>
        </w:tc>
        <w:tc>
          <w:tcPr>
            <w:tcW w:w="1003" w:type="pct"/>
            <w:vMerge w:val="restart"/>
            <w:vAlign w:val="center"/>
          </w:tcPr>
          <w:p w14:paraId="23E4649D">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lang w:eastAsia="zh-CN"/>
                <w14:textFill>
                  <w14:solidFill>
                    <w14:schemeClr w14:val="tx1"/>
                  </w14:solidFill>
                </w14:textFill>
              </w:rPr>
              <w:t>约</w:t>
            </w:r>
            <w:r>
              <w:rPr>
                <w:rFonts w:hint="eastAsia" w:ascii="Times New Roman" w:hAnsi="Times New Roman" w:cs="Times New Roman"/>
                <w:color w:val="000000" w:themeColor="text1"/>
                <w:sz w:val="21"/>
                <w:lang w:eastAsia="zh-CN"/>
                <w14:textFill>
                  <w14:solidFill>
                    <w14:schemeClr w14:val="tx1"/>
                  </w14:solidFill>
                </w14:textFill>
              </w:rPr>
              <w:t>85</w:t>
            </w:r>
            <w:r>
              <w:rPr>
                <w:rFonts w:ascii="Times New Roman" w:hAnsi="Times New Roman" w:cs="Times New Roman"/>
                <w:color w:val="000000" w:themeColor="text1"/>
                <w:sz w:val="21"/>
                <w:lang w:eastAsia="zh-CN"/>
                <w14:textFill>
                  <w14:solidFill>
                    <w14:schemeClr w14:val="tx1"/>
                  </w14:solidFill>
                </w14:textFill>
              </w:rPr>
              <w:t>0人</w:t>
            </w:r>
          </w:p>
        </w:tc>
      </w:tr>
      <w:tr w14:paraId="7BB80A4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448135EB">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2BFE5F53">
            <w:pPr>
              <w:pStyle w:val="62"/>
              <w:adjustRightInd w:val="0"/>
              <w:snapToGrid w:val="0"/>
              <w:spacing w:before="0" w:after="0"/>
              <w:jc w:val="center"/>
              <w:rPr>
                <w:rFonts w:ascii="Times New Roman" w:hAnsi="Times New Roman" w:eastAsia="宋体"/>
                <w:bCs/>
                <w:color w:val="auto"/>
                <w:sz w:val="21"/>
                <w:szCs w:val="21"/>
              </w:rPr>
            </w:pPr>
            <w:r>
              <w:rPr>
                <w:rFonts w:ascii="Times New Roman" w:hAnsi="Times New Roman" w:eastAsia="宋体"/>
                <w:bCs/>
                <w:color w:val="auto"/>
                <w:sz w:val="21"/>
                <w:szCs w:val="21"/>
              </w:rPr>
              <w:t>2</w:t>
            </w:r>
          </w:p>
        </w:tc>
        <w:tc>
          <w:tcPr>
            <w:tcW w:w="1514" w:type="pct"/>
            <w:gridSpan w:val="3"/>
            <w:vAlign w:val="center"/>
          </w:tcPr>
          <w:p w14:paraId="589BBCA8">
            <w:pPr>
              <w:adjustRightInd w:val="0"/>
              <w:snapToGrid w:val="0"/>
              <w:jc w:val="center"/>
              <w:rPr>
                <w:rFonts w:ascii="Times New Roman" w:hAnsi="Times New Roman" w:cs="Times New Roman"/>
                <w:bCs/>
                <w:color w:val="auto"/>
                <w:sz w:val="21"/>
                <w:lang w:eastAsia="zh-CN"/>
              </w:rPr>
            </w:pPr>
            <w:r>
              <w:rPr>
                <w:rFonts w:ascii="Times New Roman" w:hAnsi="Times New Roman" w:cs="Times New Roman"/>
                <w:bCs/>
                <w:color w:val="auto"/>
                <w:sz w:val="21"/>
                <w:lang w:eastAsia="zh-CN"/>
              </w:rPr>
              <w:t>安徽中草新材料有限公司</w:t>
            </w:r>
          </w:p>
        </w:tc>
        <w:tc>
          <w:tcPr>
            <w:tcW w:w="569" w:type="pct"/>
            <w:vAlign w:val="center"/>
          </w:tcPr>
          <w:p w14:paraId="69A15A23">
            <w:pPr>
              <w:adjustRightInd w:val="0"/>
              <w:snapToGrid w:val="0"/>
              <w:jc w:val="center"/>
              <w:rPr>
                <w:rFonts w:ascii="Times New Roman" w:hAnsi="Times New Roman" w:cs="Times New Roman"/>
                <w:bCs/>
                <w:color w:val="auto"/>
                <w:sz w:val="21"/>
                <w:lang w:eastAsia="zh-CN"/>
              </w:rPr>
            </w:pPr>
            <w:r>
              <w:rPr>
                <w:rFonts w:hint="eastAsia" w:ascii="Times New Roman" w:hAnsi="Times New Roman" w:cs="Times New Roman"/>
                <w:color w:val="auto"/>
                <w:sz w:val="21"/>
                <w:lang w:eastAsia="zh-CN"/>
              </w:rPr>
              <w:t>NE</w:t>
            </w:r>
          </w:p>
        </w:tc>
        <w:tc>
          <w:tcPr>
            <w:tcW w:w="495" w:type="pct"/>
            <w:gridSpan w:val="2"/>
            <w:vAlign w:val="center"/>
          </w:tcPr>
          <w:p w14:paraId="6E0BDA23">
            <w:pPr>
              <w:pStyle w:val="62"/>
              <w:adjustRightInd w:val="0"/>
              <w:snapToGrid w:val="0"/>
              <w:spacing w:before="0" w:after="0"/>
              <w:jc w:val="center"/>
              <w:rPr>
                <w:rFonts w:ascii="Times New Roman" w:hAnsi="Times New Roman" w:eastAsia="宋体"/>
                <w:bCs/>
                <w:color w:val="auto"/>
                <w:sz w:val="21"/>
                <w:szCs w:val="21"/>
                <w:lang w:eastAsia="zh-CN"/>
              </w:rPr>
            </w:pPr>
            <w:r>
              <w:rPr>
                <w:rFonts w:hint="eastAsia" w:ascii="Times New Roman" w:hAnsi="Times New Roman" w:eastAsia="宋体"/>
                <w:color w:val="auto"/>
                <w:kern w:val="0"/>
                <w:sz w:val="21"/>
                <w:szCs w:val="21"/>
                <w:lang w:eastAsia="zh-CN"/>
              </w:rPr>
              <w:t>135</w:t>
            </w:r>
          </w:p>
        </w:tc>
        <w:tc>
          <w:tcPr>
            <w:tcW w:w="602" w:type="pct"/>
            <w:gridSpan w:val="3"/>
            <w:vMerge w:val="continue"/>
            <w:vAlign w:val="center"/>
          </w:tcPr>
          <w:p w14:paraId="57BC605B">
            <w:pPr>
              <w:adjustRightInd w:val="0"/>
              <w:snapToGrid w:val="0"/>
              <w:jc w:val="center"/>
              <w:rPr>
                <w:rFonts w:ascii="Times New Roman" w:hAnsi="Times New Roman" w:cs="Times New Roman"/>
                <w:bCs/>
                <w:color w:val="auto"/>
                <w:sz w:val="21"/>
              </w:rPr>
            </w:pPr>
          </w:p>
        </w:tc>
        <w:tc>
          <w:tcPr>
            <w:tcW w:w="1003" w:type="pct"/>
            <w:vMerge w:val="continue"/>
            <w:vAlign w:val="center"/>
          </w:tcPr>
          <w:p w14:paraId="70C975C5">
            <w:pPr>
              <w:pStyle w:val="62"/>
              <w:adjustRightInd w:val="0"/>
              <w:snapToGrid w:val="0"/>
              <w:spacing w:before="0" w:after="0"/>
              <w:jc w:val="center"/>
              <w:rPr>
                <w:rFonts w:ascii="Times New Roman" w:hAnsi="Times New Roman" w:eastAsia="宋体"/>
                <w:bCs/>
                <w:color w:val="auto"/>
                <w:sz w:val="21"/>
                <w:szCs w:val="21"/>
                <w:lang w:eastAsia="zh-CN"/>
              </w:rPr>
            </w:pPr>
          </w:p>
        </w:tc>
      </w:tr>
      <w:tr w14:paraId="4F7E378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5E6F9F4F">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7B3F7F39">
            <w:pPr>
              <w:pStyle w:val="62"/>
              <w:adjustRightInd w:val="0"/>
              <w:snapToGrid w:val="0"/>
              <w:spacing w:before="0" w:after="0"/>
              <w:jc w:val="center"/>
              <w:rPr>
                <w:rFonts w:ascii="Times New Roman" w:hAnsi="Times New Roman" w:eastAsia="宋体"/>
                <w:bCs/>
                <w:color w:val="auto"/>
                <w:sz w:val="21"/>
                <w:szCs w:val="21"/>
              </w:rPr>
            </w:pPr>
            <w:r>
              <w:rPr>
                <w:rFonts w:ascii="Times New Roman" w:hAnsi="Times New Roman" w:eastAsia="宋体"/>
                <w:bCs/>
                <w:color w:val="auto"/>
                <w:sz w:val="21"/>
                <w:szCs w:val="21"/>
                <w:lang w:eastAsia="zh-CN"/>
              </w:rPr>
              <w:t>3</w:t>
            </w:r>
          </w:p>
        </w:tc>
        <w:tc>
          <w:tcPr>
            <w:tcW w:w="1514" w:type="pct"/>
            <w:gridSpan w:val="3"/>
            <w:vAlign w:val="center"/>
          </w:tcPr>
          <w:p w14:paraId="4E00B2A1">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安徽辉隆瑞美福生物工程有限公司</w:t>
            </w:r>
          </w:p>
        </w:tc>
        <w:tc>
          <w:tcPr>
            <w:tcW w:w="569" w:type="pct"/>
            <w:vAlign w:val="center"/>
          </w:tcPr>
          <w:p w14:paraId="0BD1AD52">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w:t>
            </w:r>
          </w:p>
        </w:tc>
        <w:tc>
          <w:tcPr>
            <w:tcW w:w="495" w:type="pct"/>
            <w:gridSpan w:val="2"/>
            <w:vAlign w:val="center"/>
          </w:tcPr>
          <w:p w14:paraId="05F2ECAC">
            <w:pPr>
              <w:pStyle w:val="62"/>
              <w:adjustRightInd w:val="0"/>
              <w:snapToGrid w:val="0"/>
              <w:spacing w:before="0" w:after="0"/>
              <w:jc w:val="center"/>
              <w:rPr>
                <w:rFonts w:ascii="Times New Roman" w:hAnsi="Times New Roman" w:eastAsia="宋体"/>
                <w:color w:val="auto"/>
                <w:kern w:val="0"/>
                <w:sz w:val="21"/>
                <w:szCs w:val="21"/>
                <w:lang w:eastAsia="zh-CN"/>
              </w:rPr>
            </w:pPr>
            <w:r>
              <w:rPr>
                <w:rFonts w:hint="eastAsia" w:ascii="Times New Roman" w:hAnsi="Times New Roman" w:eastAsia="宋体"/>
                <w:color w:val="auto"/>
                <w:kern w:val="0"/>
                <w:sz w:val="21"/>
                <w:szCs w:val="21"/>
                <w:lang w:eastAsia="zh-CN"/>
              </w:rPr>
              <w:t>28</w:t>
            </w:r>
          </w:p>
        </w:tc>
        <w:tc>
          <w:tcPr>
            <w:tcW w:w="602" w:type="pct"/>
            <w:gridSpan w:val="3"/>
            <w:vMerge w:val="continue"/>
            <w:vAlign w:val="center"/>
          </w:tcPr>
          <w:p w14:paraId="536E39B5">
            <w:pPr>
              <w:adjustRightInd w:val="0"/>
              <w:snapToGrid w:val="0"/>
              <w:jc w:val="center"/>
              <w:rPr>
                <w:rFonts w:ascii="Times New Roman" w:hAnsi="Times New Roman" w:cs="Times New Roman"/>
                <w:bCs/>
                <w:color w:val="auto"/>
                <w:sz w:val="21"/>
                <w:lang w:eastAsia="zh-CN"/>
              </w:rPr>
            </w:pPr>
          </w:p>
        </w:tc>
        <w:tc>
          <w:tcPr>
            <w:tcW w:w="1003" w:type="pct"/>
            <w:vMerge w:val="continue"/>
            <w:vAlign w:val="center"/>
          </w:tcPr>
          <w:p w14:paraId="46A8A993">
            <w:pPr>
              <w:pStyle w:val="62"/>
              <w:adjustRightInd w:val="0"/>
              <w:snapToGrid w:val="0"/>
              <w:spacing w:before="0" w:after="0"/>
              <w:jc w:val="center"/>
              <w:rPr>
                <w:rFonts w:ascii="Times New Roman" w:hAnsi="Times New Roman" w:eastAsia="宋体"/>
                <w:bCs/>
                <w:color w:val="auto"/>
                <w:sz w:val="21"/>
                <w:szCs w:val="21"/>
                <w:lang w:eastAsia="zh-CN"/>
              </w:rPr>
            </w:pPr>
          </w:p>
        </w:tc>
      </w:tr>
      <w:tr w14:paraId="1AB424D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3826238B">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2A2E66FC">
            <w:pPr>
              <w:pStyle w:val="62"/>
              <w:adjustRightInd w:val="0"/>
              <w:snapToGrid w:val="0"/>
              <w:spacing w:before="0" w:after="0"/>
              <w:jc w:val="center"/>
              <w:rPr>
                <w:rFonts w:ascii="Times New Roman" w:hAnsi="Times New Roman" w:eastAsia="宋体"/>
                <w:bCs/>
                <w:color w:val="auto"/>
                <w:sz w:val="21"/>
                <w:szCs w:val="21"/>
                <w:lang w:eastAsia="zh-CN"/>
              </w:rPr>
            </w:pPr>
            <w:r>
              <w:rPr>
                <w:rFonts w:ascii="Times New Roman" w:hAnsi="Times New Roman" w:eastAsia="宋体"/>
                <w:bCs/>
                <w:color w:val="auto"/>
                <w:sz w:val="21"/>
                <w:szCs w:val="21"/>
                <w:lang w:eastAsia="zh-CN"/>
              </w:rPr>
              <w:t>4</w:t>
            </w:r>
          </w:p>
        </w:tc>
        <w:tc>
          <w:tcPr>
            <w:tcW w:w="1514" w:type="pct"/>
            <w:gridSpan w:val="3"/>
            <w:vAlign w:val="center"/>
          </w:tcPr>
          <w:p w14:paraId="5131A311">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安徽汇氟新材料科技有限公司</w:t>
            </w:r>
          </w:p>
        </w:tc>
        <w:tc>
          <w:tcPr>
            <w:tcW w:w="569" w:type="pct"/>
            <w:vAlign w:val="center"/>
          </w:tcPr>
          <w:p w14:paraId="7849B4FD">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E</w:t>
            </w:r>
          </w:p>
        </w:tc>
        <w:tc>
          <w:tcPr>
            <w:tcW w:w="495" w:type="pct"/>
            <w:gridSpan w:val="2"/>
            <w:vAlign w:val="center"/>
          </w:tcPr>
          <w:p w14:paraId="3EB14ABE">
            <w:pPr>
              <w:pStyle w:val="62"/>
              <w:adjustRightInd w:val="0"/>
              <w:snapToGrid w:val="0"/>
              <w:spacing w:before="0" w:after="0"/>
              <w:jc w:val="center"/>
              <w:rPr>
                <w:rFonts w:ascii="Times New Roman" w:hAnsi="Times New Roman" w:eastAsia="宋体"/>
                <w:color w:val="auto"/>
                <w:kern w:val="0"/>
                <w:sz w:val="21"/>
                <w:szCs w:val="21"/>
                <w:lang w:eastAsia="zh-CN"/>
              </w:rPr>
            </w:pPr>
            <w:r>
              <w:rPr>
                <w:rFonts w:hint="eastAsia" w:ascii="Times New Roman" w:hAnsi="Times New Roman" w:eastAsia="宋体"/>
                <w:color w:val="auto"/>
                <w:kern w:val="0"/>
                <w:sz w:val="21"/>
                <w:szCs w:val="21"/>
                <w:lang w:eastAsia="zh-CN"/>
              </w:rPr>
              <w:t>1</w:t>
            </w:r>
          </w:p>
        </w:tc>
        <w:tc>
          <w:tcPr>
            <w:tcW w:w="602" w:type="pct"/>
            <w:gridSpan w:val="3"/>
            <w:vMerge w:val="continue"/>
            <w:vAlign w:val="center"/>
          </w:tcPr>
          <w:p w14:paraId="328D262D">
            <w:pPr>
              <w:adjustRightInd w:val="0"/>
              <w:snapToGrid w:val="0"/>
              <w:jc w:val="center"/>
              <w:rPr>
                <w:rFonts w:ascii="Times New Roman" w:hAnsi="Times New Roman" w:cs="Times New Roman"/>
                <w:bCs/>
                <w:color w:val="auto"/>
                <w:sz w:val="21"/>
                <w:lang w:eastAsia="zh-CN"/>
              </w:rPr>
            </w:pPr>
          </w:p>
        </w:tc>
        <w:tc>
          <w:tcPr>
            <w:tcW w:w="1003" w:type="pct"/>
            <w:vMerge w:val="continue"/>
            <w:vAlign w:val="center"/>
          </w:tcPr>
          <w:p w14:paraId="6BFE6D4D">
            <w:pPr>
              <w:pStyle w:val="62"/>
              <w:adjustRightInd w:val="0"/>
              <w:snapToGrid w:val="0"/>
              <w:spacing w:before="0" w:after="0"/>
              <w:jc w:val="center"/>
              <w:rPr>
                <w:rFonts w:ascii="Times New Roman" w:hAnsi="Times New Roman" w:eastAsia="宋体"/>
                <w:bCs/>
                <w:color w:val="auto"/>
                <w:sz w:val="21"/>
                <w:szCs w:val="21"/>
                <w:lang w:eastAsia="zh-CN"/>
              </w:rPr>
            </w:pPr>
          </w:p>
        </w:tc>
      </w:tr>
      <w:tr w14:paraId="47B3483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0BF58441">
            <w:pPr>
              <w:pStyle w:val="62"/>
              <w:adjustRightInd w:val="0"/>
              <w:snapToGrid w:val="0"/>
              <w:spacing w:before="0" w:after="0"/>
              <w:jc w:val="center"/>
              <w:rPr>
                <w:rFonts w:ascii="Times New Roman" w:hAnsi="Times New Roman" w:eastAsia="宋体"/>
                <w:color w:val="auto"/>
                <w:sz w:val="21"/>
                <w:szCs w:val="21"/>
                <w:lang w:eastAsia="zh-CN"/>
              </w:rPr>
            </w:pPr>
          </w:p>
        </w:tc>
        <w:tc>
          <w:tcPr>
            <w:tcW w:w="356" w:type="pct"/>
            <w:vAlign w:val="center"/>
          </w:tcPr>
          <w:p w14:paraId="64DF5DAB">
            <w:pPr>
              <w:pStyle w:val="62"/>
              <w:adjustRightInd w:val="0"/>
              <w:snapToGrid w:val="0"/>
              <w:spacing w:before="0" w:after="0"/>
              <w:jc w:val="center"/>
              <w:rPr>
                <w:rFonts w:ascii="Times New Roman" w:hAnsi="Times New Roman" w:eastAsia="宋体"/>
                <w:bCs/>
                <w:color w:val="auto"/>
                <w:sz w:val="21"/>
                <w:szCs w:val="21"/>
                <w:lang w:eastAsia="zh-CN"/>
              </w:rPr>
            </w:pPr>
            <w:r>
              <w:rPr>
                <w:rFonts w:ascii="Times New Roman" w:hAnsi="Times New Roman" w:eastAsia="宋体"/>
                <w:bCs/>
                <w:color w:val="auto"/>
                <w:sz w:val="21"/>
                <w:szCs w:val="21"/>
                <w:lang w:eastAsia="zh-CN"/>
              </w:rPr>
              <w:t>5</w:t>
            </w:r>
          </w:p>
        </w:tc>
        <w:tc>
          <w:tcPr>
            <w:tcW w:w="1514" w:type="pct"/>
            <w:gridSpan w:val="3"/>
            <w:vAlign w:val="center"/>
          </w:tcPr>
          <w:p w14:paraId="681961D4">
            <w:pPr>
              <w:adjustRightInd w:val="0"/>
              <w:snapToGrid w:val="0"/>
              <w:jc w:val="center"/>
              <w:rPr>
                <w:rFonts w:ascii="Times New Roman" w:hAnsi="Times New Roman" w:cs="Times New Roman"/>
                <w:bCs/>
                <w:color w:val="auto"/>
                <w:sz w:val="21"/>
                <w:lang w:eastAsia="zh-CN"/>
              </w:rPr>
            </w:pPr>
            <w:r>
              <w:rPr>
                <w:rFonts w:ascii="Times New Roman" w:hAnsi="Times New Roman" w:cs="Times New Roman"/>
                <w:bCs/>
                <w:color w:val="auto"/>
                <w:sz w:val="21"/>
                <w:lang w:eastAsia="zh-CN"/>
              </w:rPr>
              <w:t>安徽启禾生物工程有限公司</w:t>
            </w:r>
          </w:p>
        </w:tc>
        <w:tc>
          <w:tcPr>
            <w:tcW w:w="569" w:type="pct"/>
            <w:vAlign w:val="center"/>
          </w:tcPr>
          <w:p w14:paraId="30CAF3C2">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E</w:t>
            </w:r>
          </w:p>
        </w:tc>
        <w:tc>
          <w:tcPr>
            <w:tcW w:w="495" w:type="pct"/>
            <w:gridSpan w:val="2"/>
            <w:vAlign w:val="center"/>
          </w:tcPr>
          <w:p w14:paraId="74F628F9">
            <w:pPr>
              <w:pStyle w:val="62"/>
              <w:adjustRightInd w:val="0"/>
              <w:snapToGrid w:val="0"/>
              <w:spacing w:before="0" w:after="0"/>
              <w:jc w:val="center"/>
              <w:rPr>
                <w:rFonts w:ascii="Times New Roman" w:hAnsi="Times New Roman" w:eastAsia="宋体"/>
                <w:color w:val="auto"/>
                <w:sz w:val="21"/>
                <w:szCs w:val="21"/>
                <w:lang w:eastAsia="zh-CN"/>
              </w:rPr>
            </w:pPr>
            <w:r>
              <w:rPr>
                <w:rFonts w:hint="eastAsia" w:ascii="Times New Roman" w:hAnsi="Times New Roman" w:eastAsia="宋体"/>
                <w:color w:val="auto"/>
                <w:kern w:val="0"/>
                <w:sz w:val="21"/>
                <w:szCs w:val="21"/>
                <w:lang w:eastAsia="zh-CN"/>
              </w:rPr>
              <w:t>216</w:t>
            </w:r>
          </w:p>
        </w:tc>
        <w:tc>
          <w:tcPr>
            <w:tcW w:w="602" w:type="pct"/>
            <w:gridSpan w:val="3"/>
            <w:vMerge w:val="continue"/>
            <w:vAlign w:val="center"/>
          </w:tcPr>
          <w:p w14:paraId="228ECDF2">
            <w:pPr>
              <w:adjustRightInd w:val="0"/>
              <w:snapToGrid w:val="0"/>
              <w:jc w:val="center"/>
              <w:rPr>
                <w:rFonts w:ascii="Times New Roman" w:hAnsi="Times New Roman" w:cs="Times New Roman"/>
                <w:color w:val="auto"/>
                <w:sz w:val="21"/>
              </w:rPr>
            </w:pPr>
          </w:p>
        </w:tc>
        <w:tc>
          <w:tcPr>
            <w:tcW w:w="1003" w:type="pct"/>
            <w:vMerge w:val="continue"/>
            <w:vAlign w:val="center"/>
          </w:tcPr>
          <w:p w14:paraId="5B7F8F8F">
            <w:pPr>
              <w:pStyle w:val="62"/>
              <w:adjustRightInd w:val="0"/>
              <w:snapToGrid w:val="0"/>
              <w:spacing w:before="0" w:after="0"/>
              <w:jc w:val="center"/>
              <w:rPr>
                <w:rFonts w:ascii="Times New Roman" w:hAnsi="Times New Roman" w:eastAsia="宋体"/>
                <w:color w:val="auto"/>
                <w:sz w:val="21"/>
                <w:szCs w:val="21"/>
                <w:lang w:eastAsia="zh-CN"/>
              </w:rPr>
            </w:pPr>
          </w:p>
        </w:tc>
      </w:tr>
      <w:tr w14:paraId="35247BA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43E5B1E8">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5DE6E1E7">
            <w:pPr>
              <w:pStyle w:val="62"/>
              <w:adjustRightInd w:val="0"/>
              <w:snapToGrid w:val="0"/>
              <w:spacing w:before="0" w:after="0"/>
              <w:jc w:val="center"/>
              <w:rPr>
                <w:rFonts w:ascii="Times New Roman" w:hAnsi="Times New Roman" w:eastAsia="宋体"/>
                <w:bCs/>
                <w:color w:val="auto"/>
                <w:sz w:val="21"/>
                <w:szCs w:val="21"/>
                <w:lang w:eastAsia="zh-CN"/>
              </w:rPr>
            </w:pPr>
            <w:r>
              <w:rPr>
                <w:rFonts w:ascii="Times New Roman" w:hAnsi="Times New Roman" w:eastAsia="宋体"/>
                <w:bCs/>
                <w:color w:val="auto"/>
                <w:sz w:val="21"/>
                <w:szCs w:val="21"/>
                <w:lang w:eastAsia="zh-CN"/>
              </w:rPr>
              <w:t>6</w:t>
            </w:r>
          </w:p>
        </w:tc>
        <w:tc>
          <w:tcPr>
            <w:tcW w:w="1514" w:type="pct"/>
            <w:gridSpan w:val="3"/>
            <w:vAlign w:val="center"/>
          </w:tcPr>
          <w:p w14:paraId="7D7545D6">
            <w:pPr>
              <w:adjustRightInd w:val="0"/>
              <w:snapToGrid w:val="0"/>
              <w:jc w:val="center"/>
              <w:rPr>
                <w:rFonts w:ascii="Times New Roman" w:hAnsi="Times New Roman" w:cs="Times New Roman"/>
                <w:bCs/>
                <w:color w:val="auto"/>
                <w:sz w:val="21"/>
                <w:lang w:eastAsia="zh-CN"/>
              </w:rPr>
            </w:pPr>
            <w:r>
              <w:rPr>
                <w:rFonts w:ascii="Times New Roman" w:hAnsi="Times New Roman" w:cs="Times New Roman"/>
                <w:bCs/>
                <w:color w:val="auto"/>
                <w:sz w:val="21"/>
                <w:lang w:eastAsia="zh-CN"/>
              </w:rPr>
              <w:t>中粮生物科技股份有限公司</w:t>
            </w:r>
          </w:p>
        </w:tc>
        <w:tc>
          <w:tcPr>
            <w:tcW w:w="569" w:type="pct"/>
            <w:vAlign w:val="center"/>
          </w:tcPr>
          <w:p w14:paraId="17052AAA">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S</w:t>
            </w:r>
          </w:p>
        </w:tc>
        <w:tc>
          <w:tcPr>
            <w:tcW w:w="495" w:type="pct"/>
            <w:gridSpan w:val="2"/>
            <w:vAlign w:val="center"/>
          </w:tcPr>
          <w:p w14:paraId="3C42826A">
            <w:pPr>
              <w:pStyle w:val="62"/>
              <w:adjustRightInd w:val="0"/>
              <w:snapToGrid w:val="0"/>
              <w:spacing w:before="0" w:after="0"/>
              <w:jc w:val="center"/>
              <w:rPr>
                <w:rFonts w:ascii="Times New Roman" w:hAnsi="Times New Roman" w:eastAsia="宋体"/>
                <w:color w:val="auto"/>
                <w:sz w:val="21"/>
                <w:szCs w:val="21"/>
                <w:lang w:eastAsia="zh-CN"/>
              </w:rPr>
            </w:pPr>
            <w:r>
              <w:rPr>
                <w:rFonts w:hint="eastAsia" w:ascii="Times New Roman" w:hAnsi="Times New Roman" w:eastAsia="宋体"/>
                <w:color w:val="auto"/>
                <w:kern w:val="0"/>
                <w:sz w:val="21"/>
                <w:szCs w:val="21"/>
                <w:lang w:eastAsia="zh-CN"/>
              </w:rPr>
              <w:t>36</w:t>
            </w:r>
          </w:p>
        </w:tc>
        <w:tc>
          <w:tcPr>
            <w:tcW w:w="602" w:type="pct"/>
            <w:gridSpan w:val="3"/>
            <w:vMerge w:val="continue"/>
            <w:vAlign w:val="center"/>
          </w:tcPr>
          <w:p w14:paraId="5E92015C">
            <w:pPr>
              <w:adjustRightInd w:val="0"/>
              <w:snapToGrid w:val="0"/>
              <w:jc w:val="center"/>
              <w:rPr>
                <w:rFonts w:ascii="Times New Roman" w:hAnsi="Times New Roman" w:cs="Times New Roman"/>
                <w:color w:val="auto"/>
                <w:sz w:val="21"/>
              </w:rPr>
            </w:pPr>
          </w:p>
        </w:tc>
        <w:tc>
          <w:tcPr>
            <w:tcW w:w="1003" w:type="pct"/>
            <w:vMerge w:val="continue"/>
            <w:vAlign w:val="center"/>
          </w:tcPr>
          <w:p w14:paraId="224B12FF">
            <w:pPr>
              <w:pStyle w:val="62"/>
              <w:adjustRightInd w:val="0"/>
              <w:snapToGrid w:val="0"/>
              <w:spacing w:before="0" w:after="0"/>
              <w:jc w:val="center"/>
              <w:rPr>
                <w:rFonts w:ascii="Times New Roman" w:hAnsi="Times New Roman" w:eastAsia="宋体"/>
                <w:color w:val="auto"/>
                <w:sz w:val="21"/>
                <w:szCs w:val="21"/>
                <w:lang w:eastAsia="zh-CN"/>
              </w:rPr>
            </w:pPr>
          </w:p>
        </w:tc>
      </w:tr>
      <w:tr w14:paraId="7E79ED9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2B528B6F">
            <w:pPr>
              <w:pStyle w:val="62"/>
              <w:adjustRightInd w:val="0"/>
              <w:snapToGrid w:val="0"/>
              <w:spacing w:before="0" w:after="0"/>
              <w:jc w:val="center"/>
              <w:rPr>
                <w:rFonts w:ascii="Times New Roman" w:hAnsi="Times New Roman" w:eastAsia="宋体"/>
                <w:color w:val="auto"/>
                <w:sz w:val="21"/>
                <w:szCs w:val="21"/>
                <w:lang w:eastAsia="zh-CN"/>
              </w:rPr>
            </w:pPr>
          </w:p>
        </w:tc>
        <w:tc>
          <w:tcPr>
            <w:tcW w:w="4539" w:type="pct"/>
            <w:gridSpan w:val="11"/>
            <w:vAlign w:val="center"/>
          </w:tcPr>
          <w:p w14:paraId="18BBFA31">
            <w:pPr>
              <w:pStyle w:val="62"/>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厂址周边5km范围内</w:t>
            </w:r>
          </w:p>
        </w:tc>
      </w:tr>
      <w:tr w14:paraId="21E1510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269D6246">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7ECFE0C8">
            <w:pPr>
              <w:pStyle w:val="62"/>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序号</w:t>
            </w:r>
          </w:p>
        </w:tc>
        <w:tc>
          <w:tcPr>
            <w:tcW w:w="1514" w:type="pct"/>
            <w:gridSpan w:val="3"/>
            <w:vAlign w:val="center"/>
          </w:tcPr>
          <w:p w14:paraId="07EF5232">
            <w:pPr>
              <w:pStyle w:val="62"/>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敏感目标名称</w:t>
            </w:r>
          </w:p>
        </w:tc>
        <w:tc>
          <w:tcPr>
            <w:tcW w:w="569" w:type="pct"/>
            <w:vAlign w:val="center"/>
          </w:tcPr>
          <w:p w14:paraId="0330ED42">
            <w:pPr>
              <w:pStyle w:val="62"/>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相对方位</w:t>
            </w:r>
          </w:p>
        </w:tc>
        <w:tc>
          <w:tcPr>
            <w:tcW w:w="495" w:type="pct"/>
            <w:gridSpan w:val="2"/>
            <w:vAlign w:val="center"/>
          </w:tcPr>
          <w:p w14:paraId="070AAD16">
            <w:pPr>
              <w:pStyle w:val="62"/>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距离/m</w:t>
            </w:r>
          </w:p>
        </w:tc>
        <w:tc>
          <w:tcPr>
            <w:tcW w:w="602" w:type="pct"/>
            <w:gridSpan w:val="3"/>
            <w:vAlign w:val="center"/>
          </w:tcPr>
          <w:p w14:paraId="3F9EC9A3">
            <w:pPr>
              <w:pStyle w:val="62"/>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属性</w:t>
            </w:r>
          </w:p>
        </w:tc>
        <w:tc>
          <w:tcPr>
            <w:tcW w:w="1003" w:type="pct"/>
            <w:vAlign w:val="center"/>
          </w:tcPr>
          <w:p w14:paraId="49AA35DE">
            <w:pPr>
              <w:pStyle w:val="62"/>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人口数/人</w:t>
            </w:r>
          </w:p>
        </w:tc>
      </w:tr>
      <w:tr w14:paraId="5CC50B0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5BEE490A">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5F74FA1E">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rPr>
              <w:t>1</w:t>
            </w:r>
          </w:p>
        </w:tc>
        <w:tc>
          <w:tcPr>
            <w:tcW w:w="1514" w:type="pct"/>
            <w:gridSpan w:val="3"/>
            <w:vAlign w:val="center"/>
          </w:tcPr>
          <w:p w14:paraId="25AC49E9">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大柏村</w:t>
            </w:r>
          </w:p>
        </w:tc>
        <w:tc>
          <w:tcPr>
            <w:tcW w:w="569" w:type="pct"/>
            <w:vAlign w:val="center"/>
          </w:tcPr>
          <w:p w14:paraId="5D9C3088">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NE</w:t>
            </w:r>
          </w:p>
        </w:tc>
        <w:tc>
          <w:tcPr>
            <w:tcW w:w="495" w:type="pct"/>
            <w:gridSpan w:val="2"/>
            <w:vAlign w:val="center"/>
          </w:tcPr>
          <w:p w14:paraId="4BFEB6C9">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7</w:t>
            </w:r>
            <w:r>
              <w:rPr>
                <w:rFonts w:hint="eastAsia" w:ascii="Times New Roman" w:hAnsi="Times New Roman" w:cs="Times New Roman"/>
                <w:color w:val="000000" w:themeColor="text1"/>
                <w:sz w:val="21"/>
                <w:lang w:eastAsia="zh-CN"/>
                <w14:textFill>
                  <w14:solidFill>
                    <w14:schemeClr w14:val="tx1"/>
                  </w14:solidFill>
                </w14:textFill>
              </w:rPr>
              <w:t>60</w:t>
            </w:r>
          </w:p>
        </w:tc>
        <w:tc>
          <w:tcPr>
            <w:tcW w:w="602" w:type="pct"/>
            <w:gridSpan w:val="3"/>
            <w:vAlign w:val="center"/>
          </w:tcPr>
          <w:p w14:paraId="05B70DA5">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eastAsia="宋体"/>
                <w:color w:val="auto"/>
                <w:sz w:val="21"/>
                <w:szCs w:val="21"/>
                <w:lang w:eastAsia="zh-CN"/>
              </w:rPr>
              <w:t>居民区</w:t>
            </w:r>
          </w:p>
        </w:tc>
        <w:tc>
          <w:tcPr>
            <w:tcW w:w="1003" w:type="pct"/>
            <w:vAlign w:val="center"/>
          </w:tcPr>
          <w:p w14:paraId="5A933780">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455</w:t>
            </w:r>
          </w:p>
        </w:tc>
      </w:tr>
      <w:tr w14:paraId="0062BB5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0E4604F6">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2F3901EC">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color w:val="auto"/>
                <w:sz w:val="21"/>
                <w:szCs w:val="21"/>
              </w:rPr>
              <w:t>2</w:t>
            </w:r>
          </w:p>
        </w:tc>
        <w:tc>
          <w:tcPr>
            <w:tcW w:w="1514" w:type="pct"/>
            <w:gridSpan w:val="3"/>
            <w:vAlign w:val="center"/>
          </w:tcPr>
          <w:p w14:paraId="390B892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草杨</w:t>
            </w:r>
            <w:r>
              <w:rPr>
                <w:rFonts w:hint="eastAsia" w:ascii="Times New Roman" w:hAnsi="Times New Roman" w:cs="Times New Roman"/>
                <w:color w:val="000000" w:themeColor="text1"/>
                <w:sz w:val="21"/>
                <w:lang w:eastAsia="zh-CN"/>
                <w14:textFill>
                  <w14:solidFill>
                    <w14:schemeClr w14:val="tx1"/>
                  </w14:solidFill>
                </w14:textFill>
              </w:rPr>
              <w:t>家</w:t>
            </w:r>
          </w:p>
        </w:tc>
        <w:tc>
          <w:tcPr>
            <w:tcW w:w="569" w:type="pct"/>
            <w:vAlign w:val="center"/>
          </w:tcPr>
          <w:p w14:paraId="0A9AB0BC">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E</w:t>
            </w:r>
          </w:p>
        </w:tc>
        <w:tc>
          <w:tcPr>
            <w:tcW w:w="495" w:type="pct"/>
            <w:gridSpan w:val="2"/>
            <w:vAlign w:val="center"/>
          </w:tcPr>
          <w:p w14:paraId="6B7ADBE9">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105</w:t>
            </w:r>
            <w:r>
              <w:rPr>
                <w:rFonts w:hint="eastAsia" w:ascii="Times New Roman" w:hAnsi="Times New Roman" w:cs="Times New Roman"/>
                <w:color w:val="000000" w:themeColor="text1"/>
                <w:sz w:val="21"/>
                <w:lang w:eastAsia="zh-CN"/>
                <w14:textFill>
                  <w14:solidFill>
                    <w14:schemeClr w14:val="tx1"/>
                  </w14:solidFill>
                </w14:textFill>
              </w:rPr>
              <w:t>0</w:t>
            </w:r>
          </w:p>
        </w:tc>
        <w:tc>
          <w:tcPr>
            <w:tcW w:w="602" w:type="pct"/>
            <w:gridSpan w:val="3"/>
            <w:vAlign w:val="center"/>
          </w:tcPr>
          <w:p w14:paraId="63535BA6">
            <w:pPr>
              <w:adjustRightInd w:val="0"/>
              <w:snapToGrid w:val="0"/>
              <w:jc w:val="center"/>
              <w:rPr>
                <w:rFonts w:ascii="Times New Roman" w:hAnsi="Times New Roman" w:cs="Times New Roman"/>
                <w:color w:val="auto"/>
                <w:sz w:val="21"/>
              </w:rPr>
            </w:pPr>
            <w:r>
              <w:rPr>
                <w:rFonts w:ascii="Times New Roman" w:hAnsi="Times New Roman"/>
                <w:color w:val="auto"/>
                <w:sz w:val="21"/>
                <w:lang w:eastAsia="zh-CN"/>
              </w:rPr>
              <w:t>居民区</w:t>
            </w:r>
          </w:p>
        </w:tc>
        <w:tc>
          <w:tcPr>
            <w:tcW w:w="1003" w:type="pct"/>
            <w:vAlign w:val="center"/>
          </w:tcPr>
          <w:p w14:paraId="0FEFDFA0">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150</w:t>
            </w:r>
          </w:p>
        </w:tc>
      </w:tr>
      <w:tr w14:paraId="653E506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66B8E31F">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5DEE0E27">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color w:val="auto"/>
                <w:sz w:val="21"/>
                <w:szCs w:val="21"/>
              </w:rPr>
              <w:t>3</w:t>
            </w:r>
          </w:p>
        </w:tc>
        <w:tc>
          <w:tcPr>
            <w:tcW w:w="1514" w:type="pct"/>
            <w:gridSpan w:val="3"/>
            <w:vAlign w:val="center"/>
          </w:tcPr>
          <w:p w14:paraId="10A1D9FE">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大柏小学</w:t>
            </w:r>
          </w:p>
        </w:tc>
        <w:tc>
          <w:tcPr>
            <w:tcW w:w="569" w:type="pct"/>
            <w:vAlign w:val="center"/>
          </w:tcPr>
          <w:p w14:paraId="2C34A75D">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NE</w:t>
            </w:r>
          </w:p>
        </w:tc>
        <w:tc>
          <w:tcPr>
            <w:tcW w:w="495" w:type="pct"/>
            <w:gridSpan w:val="2"/>
            <w:vAlign w:val="center"/>
          </w:tcPr>
          <w:p w14:paraId="7B055633">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12</w:t>
            </w:r>
            <w:r>
              <w:rPr>
                <w:rFonts w:hint="eastAsia" w:ascii="Times New Roman" w:hAnsi="Times New Roman" w:cs="Times New Roman"/>
                <w:color w:val="000000" w:themeColor="text1"/>
                <w:sz w:val="21"/>
                <w:lang w:eastAsia="zh-CN"/>
                <w14:textFill>
                  <w14:solidFill>
                    <w14:schemeClr w14:val="tx1"/>
                  </w14:solidFill>
                </w14:textFill>
              </w:rPr>
              <w:t>80</w:t>
            </w:r>
          </w:p>
        </w:tc>
        <w:tc>
          <w:tcPr>
            <w:tcW w:w="602" w:type="pct"/>
            <w:gridSpan w:val="3"/>
            <w:vAlign w:val="center"/>
          </w:tcPr>
          <w:p w14:paraId="16C8E44E">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学校</w:t>
            </w:r>
          </w:p>
        </w:tc>
        <w:tc>
          <w:tcPr>
            <w:tcW w:w="1003" w:type="pct"/>
            <w:vAlign w:val="center"/>
          </w:tcPr>
          <w:p w14:paraId="33EB4EE4">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300</w:t>
            </w:r>
          </w:p>
        </w:tc>
      </w:tr>
      <w:tr w14:paraId="1826A2E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229F5583">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55A0511D">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rPr>
              <w:t>4</w:t>
            </w:r>
          </w:p>
        </w:tc>
        <w:tc>
          <w:tcPr>
            <w:tcW w:w="1514" w:type="pct"/>
            <w:gridSpan w:val="3"/>
            <w:vAlign w:val="center"/>
          </w:tcPr>
          <w:p w14:paraId="0254AD2A">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夏家湖</w:t>
            </w:r>
          </w:p>
        </w:tc>
        <w:tc>
          <w:tcPr>
            <w:tcW w:w="569" w:type="pct"/>
            <w:vAlign w:val="center"/>
          </w:tcPr>
          <w:p w14:paraId="0583DFC1">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SE</w:t>
            </w:r>
          </w:p>
        </w:tc>
        <w:tc>
          <w:tcPr>
            <w:tcW w:w="495" w:type="pct"/>
            <w:gridSpan w:val="2"/>
            <w:vAlign w:val="center"/>
          </w:tcPr>
          <w:p w14:paraId="2F2BAB22">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13</w:t>
            </w:r>
            <w:r>
              <w:rPr>
                <w:rFonts w:hint="eastAsia" w:ascii="Times New Roman" w:hAnsi="Times New Roman" w:cs="Times New Roman"/>
                <w:color w:val="000000" w:themeColor="text1"/>
                <w:sz w:val="21"/>
                <w:lang w:eastAsia="zh-CN"/>
                <w14:textFill>
                  <w14:solidFill>
                    <w14:schemeClr w14:val="tx1"/>
                  </w14:solidFill>
                </w14:textFill>
              </w:rPr>
              <w:t>90</w:t>
            </w:r>
          </w:p>
        </w:tc>
        <w:tc>
          <w:tcPr>
            <w:tcW w:w="602" w:type="pct"/>
            <w:gridSpan w:val="3"/>
            <w:vAlign w:val="center"/>
          </w:tcPr>
          <w:p w14:paraId="395114C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居民区</w:t>
            </w:r>
          </w:p>
        </w:tc>
        <w:tc>
          <w:tcPr>
            <w:tcW w:w="1003" w:type="pct"/>
            <w:vAlign w:val="center"/>
          </w:tcPr>
          <w:p w14:paraId="7696F44A">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300</w:t>
            </w:r>
          </w:p>
        </w:tc>
      </w:tr>
      <w:tr w14:paraId="43B10CA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1D439670">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44EF1477">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rPr>
              <w:t>5</w:t>
            </w:r>
          </w:p>
        </w:tc>
        <w:tc>
          <w:tcPr>
            <w:tcW w:w="1514" w:type="pct"/>
            <w:gridSpan w:val="3"/>
            <w:vAlign w:val="center"/>
          </w:tcPr>
          <w:p w14:paraId="22F0E18A">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高王家</w:t>
            </w:r>
          </w:p>
        </w:tc>
        <w:tc>
          <w:tcPr>
            <w:tcW w:w="569" w:type="pct"/>
            <w:vAlign w:val="center"/>
          </w:tcPr>
          <w:p w14:paraId="0E09297A">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NW</w:t>
            </w:r>
          </w:p>
        </w:tc>
        <w:tc>
          <w:tcPr>
            <w:tcW w:w="495" w:type="pct"/>
            <w:gridSpan w:val="2"/>
            <w:vAlign w:val="center"/>
          </w:tcPr>
          <w:p w14:paraId="1088E598">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17</w:t>
            </w:r>
            <w:r>
              <w:rPr>
                <w:rFonts w:hint="eastAsia" w:ascii="Times New Roman" w:hAnsi="Times New Roman" w:cs="Times New Roman"/>
                <w:color w:val="000000" w:themeColor="text1"/>
                <w:sz w:val="21"/>
                <w:lang w:eastAsia="zh-CN"/>
                <w14:textFill>
                  <w14:solidFill>
                    <w14:schemeClr w14:val="tx1"/>
                  </w14:solidFill>
                </w14:textFill>
              </w:rPr>
              <w:t>90</w:t>
            </w:r>
          </w:p>
        </w:tc>
        <w:tc>
          <w:tcPr>
            <w:tcW w:w="602" w:type="pct"/>
            <w:gridSpan w:val="3"/>
            <w:vAlign w:val="center"/>
          </w:tcPr>
          <w:p w14:paraId="6EDCBB8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居民区</w:t>
            </w:r>
          </w:p>
        </w:tc>
        <w:tc>
          <w:tcPr>
            <w:tcW w:w="1003" w:type="pct"/>
            <w:vAlign w:val="center"/>
          </w:tcPr>
          <w:p w14:paraId="2512220D">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380</w:t>
            </w:r>
          </w:p>
        </w:tc>
      </w:tr>
      <w:tr w14:paraId="2BE531D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7A3EA0BA">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4FA905C4">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rPr>
              <w:t>6</w:t>
            </w:r>
          </w:p>
        </w:tc>
        <w:tc>
          <w:tcPr>
            <w:tcW w:w="1514" w:type="pct"/>
            <w:gridSpan w:val="3"/>
            <w:vAlign w:val="center"/>
          </w:tcPr>
          <w:p w14:paraId="224F165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杜家湖</w:t>
            </w:r>
          </w:p>
        </w:tc>
        <w:tc>
          <w:tcPr>
            <w:tcW w:w="569" w:type="pct"/>
            <w:vAlign w:val="center"/>
          </w:tcPr>
          <w:p w14:paraId="4F188475">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NE</w:t>
            </w:r>
          </w:p>
        </w:tc>
        <w:tc>
          <w:tcPr>
            <w:tcW w:w="495" w:type="pct"/>
            <w:gridSpan w:val="2"/>
            <w:vAlign w:val="center"/>
          </w:tcPr>
          <w:p w14:paraId="7A9E6493">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285</w:t>
            </w:r>
            <w:r>
              <w:rPr>
                <w:rFonts w:hint="eastAsia" w:ascii="Times New Roman" w:hAnsi="Times New Roman" w:cs="Times New Roman"/>
                <w:color w:val="000000" w:themeColor="text1"/>
                <w:sz w:val="21"/>
                <w:lang w:eastAsia="zh-CN"/>
                <w14:textFill>
                  <w14:solidFill>
                    <w14:schemeClr w14:val="tx1"/>
                  </w14:solidFill>
                </w14:textFill>
              </w:rPr>
              <w:t>0</w:t>
            </w:r>
          </w:p>
        </w:tc>
        <w:tc>
          <w:tcPr>
            <w:tcW w:w="602" w:type="pct"/>
            <w:gridSpan w:val="3"/>
            <w:vAlign w:val="center"/>
          </w:tcPr>
          <w:p w14:paraId="2985671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居民区</w:t>
            </w:r>
          </w:p>
        </w:tc>
        <w:tc>
          <w:tcPr>
            <w:tcW w:w="1003" w:type="pct"/>
            <w:vAlign w:val="center"/>
          </w:tcPr>
          <w:p w14:paraId="7DCFE731">
            <w:pPr>
              <w:pStyle w:val="64"/>
              <w:adjustRightInd w:val="0"/>
              <w:snapToGrid w:val="0"/>
              <w:jc w:val="center"/>
              <w:rPr>
                <w:szCs w:val="21"/>
              </w:rPr>
            </w:pPr>
            <w:r>
              <w:rPr>
                <w:color w:val="000000" w:themeColor="text1"/>
                <w14:textFill>
                  <w14:solidFill>
                    <w14:schemeClr w14:val="tx1"/>
                  </w14:solidFill>
                </w14:textFill>
              </w:rPr>
              <w:t>295</w:t>
            </w:r>
            <w:r>
              <w:rPr>
                <w:szCs w:val="21"/>
              </w:rPr>
              <w:t xml:space="preserve"> </w:t>
            </w:r>
          </w:p>
        </w:tc>
      </w:tr>
      <w:tr w14:paraId="390EB1C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12B60CCE">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6D15EC70">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rPr>
              <w:t>7</w:t>
            </w:r>
          </w:p>
        </w:tc>
        <w:tc>
          <w:tcPr>
            <w:tcW w:w="1514" w:type="pct"/>
            <w:gridSpan w:val="3"/>
            <w:vAlign w:val="center"/>
          </w:tcPr>
          <w:p w14:paraId="7D1C67F7">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三铺中学</w:t>
            </w:r>
          </w:p>
        </w:tc>
        <w:tc>
          <w:tcPr>
            <w:tcW w:w="569" w:type="pct"/>
            <w:vAlign w:val="center"/>
          </w:tcPr>
          <w:p w14:paraId="45CD627F">
            <w:pPr>
              <w:adjustRightInd w:val="0"/>
              <w:snapToGrid w:val="0"/>
              <w:jc w:val="center"/>
              <w:rPr>
                <w:rFonts w:ascii="Times New Roman" w:hAnsi="Times New Roman" w:cs="Times New Roman"/>
                <w:color w:val="auto"/>
                <w:sz w:val="21"/>
              </w:rPr>
            </w:pPr>
            <w:r>
              <w:rPr>
                <w:rFonts w:hint="eastAsia" w:ascii="Times New Roman" w:hAnsi="Times New Roman" w:cs="Times New Roman"/>
                <w:color w:val="000000" w:themeColor="text1"/>
                <w:sz w:val="21"/>
                <w:lang w:eastAsia="zh-CN"/>
                <w14:textFill>
                  <w14:solidFill>
                    <w14:schemeClr w14:val="tx1"/>
                  </w14:solidFill>
                </w14:textFill>
              </w:rPr>
              <w:t>N</w:t>
            </w:r>
            <w:r>
              <w:rPr>
                <w:rFonts w:ascii="Times New Roman" w:hAnsi="Times New Roman" w:cs="Times New Roman"/>
                <w:color w:val="000000" w:themeColor="text1"/>
                <w:sz w:val="21"/>
                <w14:textFill>
                  <w14:solidFill>
                    <w14:schemeClr w14:val="tx1"/>
                  </w14:solidFill>
                </w14:textFill>
              </w:rPr>
              <w:t>W</w:t>
            </w:r>
          </w:p>
        </w:tc>
        <w:tc>
          <w:tcPr>
            <w:tcW w:w="495" w:type="pct"/>
            <w:gridSpan w:val="2"/>
            <w:vAlign w:val="center"/>
          </w:tcPr>
          <w:p w14:paraId="73486E09">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19</w:t>
            </w:r>
            <w:r>
              <w:rPr>
                <w:rFonts w:hint="eastAsia" w:ascii="Times New Roman" w:hAnsi="Times New Roman" w:cs="Times New Roman"/>
                <w:color w:val="000000" w:themeColor="text1"/>
                <w:sz w:val="21"/>
                <w:lang w:eastAsia="zh-CN"/>
                <w14:textFill>
                  <w14:solidFill>
                    <w14:schemeClr w14:val="tx1"/>
                  </w14:solidFill>
                </w14:textFill>
              </w:rPr>
              <w:t>60</w:t>
            </w:r>
          </w:p>
        </w:tc>
        <w:tc>
          <w:tcPr>
            <w:tcW w:w="602" w:type="pct"/>
            <w:gridSpan w:val="3"/>
            <w:vAlign w:val="center"/>
          </w:tcPr>
          <w:p w14:paraId="3CB24F8C">
            <w:pPr>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学校</w:t>
            </w:r>
          </w:p>
        </w:tc>
        <w:tc>
          <w:tcPr>
            <w:tcW w:w="1003" w:type="pct"/>
            <w:vAlign w:val="center"/>
          </w:tcPr>
          <w:p w14:paraId="1FA28680">
            <w:pPr>
              <w:pStyle w:val="64"/>
              <w:adjustRightInd w:val="0"/>
              <w:snapToGrid w:val="0"/>
              <w:jc w:val="center"/>
              <w:rPr>
                <w:szCs w:val="21"/>
              </w:rPr>
            </w:pPr>
            <w:r>
              <w:rPr>
                <w:color w:val="000000" w:themeColor="text1"/>
                <w14:textFill>
                  <w14:solidFill>
                    <w14:schemeClr w14:val="tx1"/>
                  </w14:solidFill>
                </w14:textFill>
              </w:rPr>
              <w:t>2000</w:t>
            </w:r>
          </w:p>
        </w:tc>
      </w:tr>
      <w:tr w14:paraId="5FE1EED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03C6A12C">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7621B6D9">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rPr>
              <w:t>8</w:t>
            </w:r>
          </w:p>
        </w:tc>
        <w:tc>
          <w:tcPr>
            <w:tcW w:w="1514" w:type="pct"/>
            <w:gridSpan w:val="3"/>
            <w:vAlign w:val="center"/>
          </w:tcPr>
          <w:p w14:paraId="0670A6E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三铺村</w:t>
            </w:r>
          </w:p>
        </w:tc>
        <w:tc>
          <w:tcPr>
            <w:tcW w:w="569" w:type="pct"/>
            <w:vAlign w:val="center"/>
          </w:tcPr>
          <w:p w14:paraId="2AC0DB4B">
            <w:pPr>
              <w:adjustRightInd w:val="0"/>
              <w:snapToGrid w:val="0"/>
              <w:jc w:val="center"/>
              <w:rPr>
                <w:rFonts w:ascii="Times New Roman" w:hAnsi="Times New Roman" w:cs="Times New Roman"/>
                <w:color w:val="auto"/>
                <w:sz w:val="21"/>
              </w:rPr>
            </w:pPr>
            <w:r>
              <w:rPr>
                <w:rFonts w:hint="eastAsia" w:ascii="Times New Roman" w:hAnsi="Times New Roman" w:cs="Times New Roman"/>
                <w:color w:val="000000" w:themeColor="text1"/>
                <w:sz w:val="21"/>
                <w:lang w:eastAsia="zh-CN"/>
                <w14:textFill>
                  <w14:solidFill>
                    <w14:schemeClr w14:val="tx1"/>
                  </w14:solidFill>
                </w14:textFill>
              </w:rPr>
              <w:t>N</w:t>
            </w:r>
            <w:r>
              <w:rPr>
                <w:rFonts w:ascii="Times New Roman" w:hAnsi="Times New Roman" w:cs="Times New Roman"/>
                <w:color w:val="000000" w:themeColor="text1"/>
                <w:sz w:val="21"/>
                <w14:textFill>
                  <w14:solidFill>
                    <w14:schemeClr w14:val="tx1"/>
                  </w14:solidFill>
                </w14:textFill>
              </w:rPr>
              <w:t>W</w:t>
            </w:r>
          </w:p>
        </w:tc>
        <w:tc>
          <w:tcPr>
            <w:tcW w:w="495" w:type="pct"/>
            <w:gridSpan w:val="2"/>
            <w:vAlign w:val="center"/>
          </w:tcPr>
          <w:p w14:paraId="43A99620">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2680</w:t>
            </w:r>
          </w:p>
        </w:tc>
        <w:tc>
          <w:tcPr>
            <w:tcW w:w="602" w:type="pct"/>
            <w:gridSpan w:val="3"/>
            <w:vAlign w:val="center"/>
          </w:tcPr>
          <w:p w14:paraId="5BF12736">
            <w:pPr>
              <w:adjustRightInd w:val="0"/>
              <w:snapToGrid w:val="0"/>
              <w:jc w:val="center"/>
              <w:rPr>
                <w:rFonts w:ascii="Times New Roman" w:hAnsi="Times New Roman" w:cs="Times New Roman"/>
                <w:color w:val="auto"/>
                <w:sz w:val="21"/>
                <w:lang w:eastAsia="zh-CN"/>
              </w:rPr>
            </w:pPr>
            <w:r>
              <w:rPr>
                <w:rFonts w:ascii="Times New Roman" w:hAnsi="Times New Roman"/>
                <w:color w:val="auto"/>
                <w:sz w:val="21"/>
                <w:lang w:eastAsia="zh-CN"/>
              </w:rPr>
              <w:t>居民区</w:t>
            </w:r>
          </w:p>
        </w:tc>
        <w:tc>
          <w:tcPr>
            <w:tcW w:w="1003" w:type="pct"/>
            <w:vAlign w:val="center"/>
          </w:tcPr>
          <w:p w14:paraId="4D7A176F">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000000" w:themeColor="text1"/>
                <w:sz w:val="21"/>
                <w:lang w:eastAsia="zh-CN"/>
                <w14:textFill>
                  <w14:solidFill>
                    <w14:schemeClr w14:val="tx1"/>
                  </w14:solidFill>
                </w14:textFill>
              </w:rPr>
              <w:t>1000</w:t>
            </w:r>
          </w:p>
        </w:tc>
      </w:tr>
      <w:tr w14:paraId="074A70D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79948F0F">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5341344D">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9</w:t>
            </w:r>
          </w:p>
        </w:tc>
        <w:tc>
          <w:tcPr>
            <w:tcW w:w="1514" w:type="pct"/>
            <w:gridSpan w:val="3"/>
            <w:vAlign w:val="center"/>
          </w:tcPr>
          <w:p w14:paraId="07803F93">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三铺小学</w:t>
            </w:r>
          </w:p>
        </w:tc>
        <w:tc>
          <w:tcPr>
            <w:tcW w:w="569" w:type="pct"/>
            <w:vAlign w:val="center"/>
          </w:tcPr>
          <w:p w14:paraId="5E139675">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W</w:t>
            </w:r>
          </w:p>
        </w:tc>
        <w:tc>
          <w:tcPr>
            <w:tcW w:w="495" w:type="pct"/>
            <w:gridSpan w:val="2"/>
            <w:vAlign w:val="center"/>
          </w:tcPr>
          <w:p w14:paraId="307FFF37">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25</w:t>
            </w:r>
            <w:r>
              <w:rPr>
                <w:rFonts w:hint="eastAsia" w:ascii="Times New Roman" w:hAnsi="Times New Roman" w:cs="Times New Roman"/>
                <w:color w:val="000000" w:themeColor="text1"/>
                <w:sz w:val="21"/>
                <w:lang w:eastAsia="zh-CN"/>
                <w14:textFill>
                  <w14:solidFill>
                    <w14:schemeClr w14:val="tx1"/>
                  </w14:solidFill>
                </w14:textFill>
              </w:rPr>
              <w:t>50</w:t>
            </w:r>
          </w:p>
        </w:tc>
        <w:tc>
          <w:tcPr>
            <w:tcW w:w="602" w:type="pct"/>
            <w:gridSpan w:val="3"/>
            <w:vAlign w:val="center"/>
          </w:tcPr>
          <w:p w14:paraId="396EAC5C">
            <w:pPr>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学校</w:t>
            </w:r>
          </w:p>
        </w:tc>
        <w:tc>
          <w:tcPr>
            <w:tcW w:w="1003" w:type="pct"/>
            <w:vAlign w:val="center"/>
          </w:tcPr>
          <w:p w14:paraId="65D714EB">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000000" w:themeColor="text1"/>
                <w:sz w:val="21"/>
                <w:lang w:eastAsia="zh-CN"/>
                <w14:textFill>
                  <w14:solidFill>
                    <w14:schemeClr w14:val="tx1"/>
                  </w14:solidFill>
                </w14:textFill>
              </w:rPr>
              <w:t>5</w:t>
            </w:r>
            <w:r>
              <w:rPr>
                <w:rFonts w:ascii="Times New Roman" w:hAnsi="Times New Roman" w:cs="Times New Roman"/>
                <w:color w:val="000000" w:themeColor="text1"/>
                <w:sz w:val="21"/>
                <w14:textFill>
                  <w14:solidFill>
                    <w14:schemeClr w14:val="tx1"/>
                  </w14:solidFill>
                </w14:textFill>
              </w:rPr>
              <w:t>00</w:t>
            </w:r>
          </w:p>
        </w:tc>
      </w:tr>
      <w:tr w14:paraId="035D26D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4DD87A91">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04E2F3EE">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10</w:t>
            </w:r>
          </w:p>
        </w:tc>
        <w:tc>
          <w:tcPr>
            <w:tcW w:w="1514" w:type="pct"/>
            <w:gridSpan w:val="3"/>
            <w:vAlign w:val="center"/>
          </w:tcPr>
          <w:p w14:paraId="11B4B07B">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尚家湖</w:t>
            </w:r>
          </w:p>
        </w:tc>
        <w:tc>
          <w:tcPr>
            <w:tcW w:w="569" w:type="pct"/>
            <w:vAlign w:val="center"/>
          </w:tcPr>
          <w:p w14:paraId="5BE308F1">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NE</w:t>
            </w:r>
          </w:p>
        </w:tc>
        <w:tc>
          <w:tcPr>
            <w:tcW w:w="495" w:type="pct"/>
            <w:gridSpan w:val="2"/>
            <w:vAlign w:val="center"/>
          </w:tcPr>
          <w:p w14:paraId="2FDAF07A">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26</w:t>
            </w:r>
            <w:r>
              <w:rPr>
                <w:rFonts w:hint="eastAsia" w:ascii="Times New Roman" w:hAnsi="Times New Roman" w:cs="Times New Roman"/>
                <w:color w:val="000000" w:themeColor="text1"/>
                <w:sz w:val="21"/>
                <w:lang w:eastAsia="zh-CN"/>
                <w14:textFill>
                  <w14:solidFill>
                    <w14:schemeClr w14:val="tx1"/>
                  </w14:solidFill>
                </w14:textFill>
              </w:rPr>
              <w:t>10</w:t>
            </w:r>
          </w:p>
        </w:tc>
        <w:tc>
          <w:tcPr>
            <w:tcW w:w="602" w:type="pct"/>
            <w:gridSpan w:val="3"/>
            <w:vAlign w:val="center"/>
          </w:tcPr>
          <w:p w14:paraId="7D48338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居民区</w:t>
            </w:r>
          </w:p>
        </w:tc>
        <w:tc>
          <w:tcPr>
            <w:tcW w:w="1003" w:type="pct"/>
            <w:vAlign w:val="center"/>
          </w:tcPr>
          <w:p w14:paraId="55ED1576">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000000" w:themeColor="text1"/>
                <w:sz w:val="21"/>
                <w:lang w:eastAsia="zh-CN"/>
                <w14:textFill>
                  <w14:solidFill>
                    <w14:schemeClr w14:val="tx1"/>
                  </w14:solidFill>
                </w14:textFill>
              </w:rPr>
              <w:t>330</w:t>
            </w:r>
          </w:p>
        </w:tc>
      </w:tr>
      <w:tr w14:paraId="73F87AC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27A89B58">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0A5C352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11</w:t>
            </w:r>
          </w:p>
        </w:tc>
        <w:tc>
          <w:tcPr>
            <w:tcW w:w="1514" w:type="pct"/>
            <w:gridSpan w:val="3"/>
            <w:vAlign w:val="center"/>
          </w:tcPr>
          <w:p w14:paraId="0E6F8C6F">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汪刑村</w:t>
            </w:r>
          </w:p>
        </w:tc>
        <w:tc>
          <w:tcPr>
            <w:tcW w:w="569" w:type="pct"/>
            <w:vAlign w:val="center"/>
          </w:tcPr>
          <w:p w14:paraId="686B3672">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NW</w:t>
            </w:r>
          </w:p>
        </w:tc>
        <w:tc>
          <w:tcPr>
            <w:tcW w:w="495" w:type="pct"/>
            <w:gridSpan w:val="2"/>
            <w:vAlign w:val="center"/>
          </w:tcPr>
          <w:p w14:paraId="74148F20">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30</w:t>
            </w:r>
            <w:r>
              <w:rPr>
                <w:rFonts w:hint="eastAsia" w:ascii="Times New Roman" w:hAnsi="Times New Roman" w:cs="Times New Roman"/>
                <w:color w:val="000000" w:themeColor="text1"/>
                <w:sz w:val="21"/>
                <w:lang w:eastAsia="zh-CN"/>
                <w14:textFill>
                  <w14:solidFill>
                    <w14:schemeClr w14:val="tx1"/>
                  </w14:solidFill>
                </w14:textFill>
              </w:rPr>
              <w:t>70</w:t>
            </w:r>
          </w:p>
        </w:tc>
        <w:tc>
          <w:tcPr>
            <w:tcW w:w="602" w:type="pct"/>
            <w:gridSpan w:val="3"/>
            <w:vAlign w:val="center"/>
          </w:tcPr>
          <w:p w14:paraId="53C3A50D">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居民区</w:t>
            </w:r>
          </w:p>
        </w:tc>
        <w:tc>
          <w:tcPr>
            <w:tcW w:w="1003" w:type="pct"/>
            <w:vAlign w:val="center"/>
          </w:tcPr>
          <w:p w14:paraId="139FC941">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000000" w:themeColor="text1"/>
                <w:sz w:val="21"/>
                <w:lang w:eastAsia="zh-CN"/>
                <w14:textFill>
                  <w14:solidFill>
                    <w14:schemeClr w14:val="tx1"/>
                  </w14:solidFill>
                </w14:textFill>
              </w:rPr>
              <w:t>270</w:t>
            </w:r>
          </w:p>
        </w:tc>
      </w:tr>
      <w:tr w14:paraId="552D0E8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1E8C39E2">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04954F20">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12</w:t>
            </w:r>
          </w:p>
        </w:tc>
        <w:tc>
          <w:tcPr>
            <w:tcW w:w="1514" w:type="pct"/>
            <w:gridSpan w:val="3"/>
            <w:vAlign w:val="center"/>
          </w:tcPr>
          <w:p w14:paraId="6F091EB1">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邓郭</w:t>
            </w:r>
          </w:p>
        </w:tc>
        <w:tc>
          <w:tcPr>
            <w:tcW w:w="569" w:type="pct"/>
            <w:vAlign w:val="center"/>
          </w:tcPr>
          <w:p w14:paraId="4BEB629D">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NW</w:t>
            </w:r>
          </w:p>
        </w:tc>
        <w:tc>
          <w:tcPr>
            <w:tcW w:w="495" w:type="pct"/>
            <w:gridSpan w:val="2"/>
            <w:vAlign w:val="center"/>
          </w:tcPr>
          <w:p w14:paraId="2032F3AF">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371</w:t>
            </w:r>
            <w:r>
              <w:rPr>
                <w:rFonts w:hint="eastAsia" w:ascii="Times New Roman" w:hAnsi="Times New Roman" w:cs="Times New Roman"/>
                <w:color w:val="000000" w:themeColor="text1"/>
                <w:sz w:val="21"/>
                <w:lang w:eastAsia="zh-CN"/>
                <w14:textFill>
                  <w14:solidFill>
                    <w14:schemeClr w14:val="tx1"/>
                  </w14:solidFill>
                </w14:textFill>
              </w:rPr>
              <w:t>0</w:t>
            </w:r>
          </w:p>
        </w:tc>
        <w:tc>
          <w:tcPr>
            <w:tcW w:w="602" w:type="pct"/>
            <w:gridSpan w:val="3"/>
            <w:vAlign w:val="center"/>
          </w:tcPr>
          <w:p w14:paraId="5DBB4176">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居民区</w:t>
            </w:r>
          </w:p>
        </w:tc>
        <w:tc>
          <w:tcPr>
            <w:tcW w:w="1003" w:type="pct"/>
            <w:vAlign w:val="center"/>
          </w:tcPr>
          <w:p w14:paraId="73CB313E">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000000" w:themeColor="text1"/>
                <w:sz w:val="21"/>
                <w:lang w:eastAsia="zh-CN"/>
                <w14:textFill>
                  <w14:solidFill>
                    <w14:schemeClr w14:val="tx1"/>
                  </w14:solidFill>
                </w14:textFill>
              </w:rPr>
              <w:t>180</w:t>
            </w:r>
          </w:p>
        </w:tc>
      </w:tr>
      <w:tr w14:paraId="1C73374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3C927C26">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5AB19F5C">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13</w:t>
            </w:r>
          </w:p>
        </w:tc>
        <w:tc>
          <w:tcPr>
            <w:tcW w:w="1514" w:type="pct"/>
            <w:gridSpan w:val="3"/>
            <w:vAlign w:val="center"/>
          </w:tcPr>
          <w:p w14:paraId="6B3B794A">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湖圩</w:t>
            </w:r>
          </w:p>
        </w:tc>
        <w:tc>
          <w:tcPr>
            <w:tcW w:w="569" w:type="pct"/>
            <w:vAlign w:val="center"/>
          </w:tcPr>
          <w:p w14:paraId="63A90929">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SE</w:t>
            </w:r>
          </w:p>
        </w:tc>
        <w:tc>
          <w:tcPr>
            <w:tcW w:w="495" w:type="pct"/>
            <w:gridSpan w:val="2"/>
            <w:vAlign w:val="center"/>
          </w:tcPr>
          <w:p w14:paraId="66D15EB5">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365</w:t>
            </w:r>
            <w:r>
              <w:rPr>
                <w:rFonts w:hint="eastAsia" w:ascii="Times New Roman" w:hAnsi="Times New Roman" w:cs="Times New Roman"/>
                <w:color w:val="000000" w:themeColor="text1"/>
                <w:sz w:val="21"/>
                <w:lang w:eastAsia="zh-CN"/>
                <w14:textFill>
                  <w14:solidFill>
                    <w14:schemeClr w14:val="tx1"/>
                  </w14:solidFill>
                </w14:textFill>
              </w:rPr>
              <w:t>0</w:t>
            </w:r>
          </w:p>
        </w:tc>
        <w:tc>
          <w:tcPr>
            <w:tcW w:w="602" w:type="pct"/>
            <w:gridSpan w:val="3"/>
            <w:vAlign w:val="center"/>
          </w:tcPr>
          <w:p w14:paraId="092B266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居民区</w:t>
            </w:r>
          </w:p>
        </w:tc>
        <w:tc>
          <w:tcPr>
            <w:tcW w:w="1003" w:type="pct"/>
            <w:vAlign w:val="center"/>
          </w:tcPr>
          <w:p w14:paraId="576D701F">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000000" w:themeColor="text1"/>
                <w:sz w:val="21"/>
                <w:lang w:eastAsia="zh-CN"/>
                <w14:textFill>
                  <w14:solidFill>
                    <w14:schemeClr w14:val="tx1"/>
                  </w14:solidFill>
                </w14:textFill>
              </w:rPr>
              <w:t>390</w:t>
            </w:r>
          </w:p>
        </w:tc>
      </w:tr>
      <w:tr w14:paraId="67D12BB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0B1C1C06">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506BD05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14</w:t>
            </w:r>
          </w:p>
        </w:tc>
        <w:tc>
          <w:tcPr>
            <w:tcW w:w="1514" w:type="pct"/>
            <w:gridSpan w:val="3"/>
            <w:vAlign w:val="center"/>
          </w:tcPr>
          <w:p w14:paraId="53259D3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前刘后刘</w:t>
            </w:r>
          </w:p>
        </w:tc>
        <w:tc>
          <w:tcPr>
            <w:tcW w:w="569" w:type="pct"/>
            <w:vAlign w:val="center"/>
          </w:tcPr>
          <w:p w14:paraId="650CEC25">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NW</w:t>
            </w:r>
          </w:p>
        </w:tc>
        <w:tc>
          <w:tcPr>
            <w:tcW w:w="495" w:type="pct"/>
            <w:gridSpan w:val="2"/>
            <w:vAlign w:val="center"/>
          </w:tcPr>
          <w:p w14:paraId="3BCC24E1">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39</w:t>
            </w:r>
            <w:r>
              <w:rPr>
                <w:rFonts w:hint="eastAsia" w:ascii="Times New Roman" w:hAnsi="Times New Roman" w:cs="Times New Roman"/>
                <w:color w:val="000000" w:themeColor="text1"/>
                <w:sz w:val="21"/>
                <w:lang w:eastAsia="zh-CN"/>
                <w14:textFill>
                  <w14:solidFill>
                    <w14:schemeClr w14:val="tx1"/>
                  </w14:solidFill>
                </w14:textFill>
              </w:rPr>
              <w:t>50</w:t>
            </w:r>
          </w:p>
        </w:tc>
        <w:tc>
          <w:tcPr>
            <w:tcW w:w="602" w:type="pct"/>
            <w:gridSpan w:val="3"/>
            <w:vAlign w:val="center"/>
          </w:tcPr>
          <w:p w14:paraId="21AF929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居民区</w:t>
            </w:r>
          </w:p>
        </w:tc>
        <w:tc>
          <w:tcPr>
            <w:tcW w:w="1003" w:type="pct"/>
            <w:vAlign w:val="center"/>
          </w:tcPr>
          <w:p w14:paraId="6798B128">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234</w:t>
            </w:r>
          </w:p>
        </w:tc>
      </w:tr>
      <w:tr w14:paraId="344123E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5E87D430">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1BE4302C">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15</w:t>
            </w:r>
          </w:p>
        </w:tc>
        <w:tc>
          <w:tcPr>
            <w:tcW w:w="1514" w:type="pct"/>
            <w:gridSpan w:val="3"/>
            <w:vAlign w:val="center"/>
          </w:tcPr>
          <w:p w14:paraId="1C18CFB1">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后沈家</w:t>
            </w:r>
          </w:p>
        </w:tc>
        <w:tc>
          <w:tcPr>
            <w:tcW w:w="569" w:type="pct"/>
            <w:vAlign w:val="center"/>
          </w:tcPr>
          <w:p w14:paraId="7EE48C9E">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SW</w:t>
            </w:r>
          </w:p>
        </w:tc>
        <w:tc>
          <w:tcPr>
            <w:tcW w:w="495" w:type="pct"/>
            <w:gridSpan w:val="2"/>
            <w:vAlign w:val="center"/>
          </w:tcPr>
          <w:p w14:paraId="20F38901">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41</w:t>
            </w:r>
            <w:r>
              <w:rPr>
                <w:rFonts w:hint="eastAsia" w:ascii="Times New Roman" w:hAnsi="Times New Roman" w:cs="Times New Roman"/>
                <w:color w:val="000000" w:themeColor="text1"/>
                <w:sz w:val="21"/>
                <w:lang w:eastAsia="zh-CN"/>
                <w14:textFill>
                  <w14:solidFill>
                    <w14:schemeClr w14:val="tx1"/>
                  </w14:solidFill>
                </w14:textFill>
              </w:rPr>
              <w:t>60</w:t>
            </w:r>
          </w:p>
        </w:tc>
        <w:tc>
          <w:tcPr>
            <w:tcW w:w="602" w:type="pct"/>
            <w:gridSpan w:val="3"/>
            <w:vAlign w:val="center"/>
          </w:tcPr>
          <w:p w14:paraId="39DBABB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居民区</w:t>
            </w:r>
          </w:p>
        </w:tc>
        <w:tc>
          <w:tcPr>
            <w:tcW w:w="1003" w:type="pct"/>
            <w:vAlign w:val="center"/>
          </w:tcPr>
          <w:p w14:paraId="3B57D989">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36</w:t>
            </w:r>
          </w:p>
        </w:tc>
      </w:tr>
      <w:tr w14:paraId="66A5531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420A30AD">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1BFA30B2">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16</w:t>
            </w:r>
          </w:p>
        </w:tc>
        <w:tc>
          <w:tcPr>
            <w:tcW w:w="1514" w:type="pct"/>
            <w:gridSpan w:val="3"/>
            <w:vAlign w:val="center"/>
          </w:tcPr>
          <w:p w14:paraId="682AD9F4">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郭台子</w:t>
            </w:r>
          </w:p>
        </w:tc>
        <w:tc>
          <w:tcPr>
            <w:tcW w:w="569" w:type="pct"/>
            <w:vAlign w:val="center"/>
          </w:tcPr>
          <w:p w14:paraId="4EF855CF">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SE</w:t>
            </w:r>
          </w:p>
        </w:tc>
        <w:tc>
          <w:tcPr>
            <w:tcW w:w="495" w:type="pct"/>
            <w:gridSpan w:val="2"/>
            <w:vAlign w:val="center"/>
          </w:tcPr>
          <w:p w14:paraId="2800BCD1">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344</w:t>
            </w:r>
            <w:r>
              <w:rPr>
                <w:rFonts w:hint="eastAsia" w:ascii="Times New Roman" w:hAnsi="Times New Roman" w:cs="Times New Roman"/>
                <w:color w:val="000000" w:themeColor="text1"/>
                <w:sz w:val="21"/>
                <w:lang w:eastAsia="zh-CN"/>
                <w14:textFill>
                  <w14:solidFill>
                    <w14:schemeClr w14:val="tx1"/>
                  </w14:solidFill>
                </w14:textFill>
              </w:rPr>
              <w:t>0</w:t>
            </w:r>
          </w:p>
        </w:tc>
        <w:tc>
          <w:tcPr>
            <w:tcW w:w="602" w:type="pct"/>
            <w:gridSpan w:val="3"/>
            <w:vAlign w:val="center"/>
          </w:tcPr>
          <w:p w14:paraId="3F5876D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居民区</w:t>
            </w:r>
          </w:p>
        </w:tc>
        <w:tc>
          <w:tcPr>
            <w:tcW w:w="1003" w:type="pct"/>
            <w:vAlign w:val="center"/>
          </w:tcPr>
          <w:p w14:paraId="3FD4ED6D">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250</w:t>
            </w:r>
          </w:p>
        </w:tc>
      </w:tr>
      <w:tr w14:paraId="7BF98D0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6F70EFFE">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5AB3D949">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17</w:t>
            </w:r>
          </w:p>
        </w:tc>
        <w:tc>
          <w:tcPr>
            <w:tcW w:w="1514" w:type="pct"/>
            <w:gridSpan w:val="3"/>
            <w:vAlign w:val="center"/>
          </w:tcPr>
          <w:p w14:paraId="40A3A2A8">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小史家</w:t>
            </w:r>
          </w:p>
        </w:tc>
        <w:tc>
          <w:tcPr>
            <w:tcW w:w="569" w:type="pct"/>
            <w:vAlign w:val="center"/>
          </w:tcPr>
          <w:p w14:paraId="60A3D867">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E</w:t>
            </w:r>
          </w:p>
        </w:tc>
        <w:tc>
          <w:tcPr>
            <w:tcW w:w="495" w:type="pct"/>
            <w:gridSpan w:val="2"/>
            <w:vAlign w:val="center"/>
          </w:tcPr>
          <w:p w14:paraId="08B1CB4D">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3360</w:t>
            </w:r>
          </w:p>
        </w:tc>
        <w:tc>
          <w:tcPr>
            <w:tcW w:w="602" w:type="pct"/>
            <w:gridSpan w:val="3"/>
            <w:vAlign w:val="center"/>
          </w:tcPr>
          <w:p w14:paraId="27D1015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居民区</w:t>
            </w:r>
          </w:p>
        </w:tc>
        <w:tc>
          <w:tcPr>
            <w:tcW w:w="1003" w:type="pct"/>
            <w:vAlign w:val="center"/>
          </w:tcPr>
          <w:p w14:paraId="182C710C">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130</w:t>
            </w:r>
          </w:p>
        </w:tc>
      </w:tr>
      <w:tr w14:paraId="1962589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2FA55F07">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763B5CA4">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18</w:t>
            </w:r>
          </w:p>
        </w:tc>
        <w:tc>
          <w:tcPr>
            <w:tcW w:w="1514" w:type="pct"/>
            <w:gridSpan w:val="3"/>
            <w:vAlign w:val="center"/>
          </w:tcPr>
          <w:p w14:paraId="5E5DFC42">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费府寺</w:t>
            </w:r>
          </w:p>
        </w:tc>
        <w:tc>
          <w:tcPr>
            <w:tcW w:w="569" w:type="pct"/>
            <w:vAlign w:val="center"/>
          </w:tcPr>
          <w:p w14:paraId="56A35368">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NE</w:t>
            </w:r>
          </w:p>
        </w:tc>
        <w:tc>
          <w:tcPr>
            <w:tcW w:w="495" w:type="pct"/>
            <w:gridSpan w:val="2"/>
            <w:vAlign w:val="center"/>
          </w:tcPr>
          <w:p w14:paraId="52C3980B">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39</w:t>
            </w:r>
            <w:r>
              <w:rPr>
                <w:rFonts w:hint="eastAsia" w:ascii="Times New Roman" w:hAnsi="Times New Roman" w:cs="Times New Roman"/>
                <w:color w:val="000000" w:themeColor="text1"/>
                <w:sz w:val="21"/>
                <w:lang w:eastAsia="zh-CN"/>
                <w14:textFill>
                  <w14:solidFill>
                    <w14:schemeClr w14:val="tx1"/>
                  </w14:solidFill>
                </w14:textFill>
              </w:rPr>
              <w:t>20</w:t>
            </w:r>
          </w:p>
        </w:tc>
        <w:tc>
          <w:tcPr>
            <w:tcW w:w="602" w:type="pct"/>
            <w:gridSpan w:val="3"/>
            <w:vAlign w:val="center"/>
          </w:tcPr>
          <w:p w14:paraId="34ACC0F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居民区</w:t>
            </w:r>
          </w:p>
        </w:tc>
        <w:tc>
          <w:tcPr>
            <w:tcW w:w="1003" w:type="pct"/>
            <w:vAlign w:val="center"/>
          </w:tcPr>
          <w:p w14:paraId="62740EA2">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180</w:t>
            </w:r>
          </w:p>
        </w:tc>
      </w:tr>
      <w:tr w14:paraId="01E9814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6CEC3B84">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3DB4216D">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19</w:t>
            </w:r>
          </w:p>
        </w:tc>
        <w:tc>
          <w:tcPr>
            <w:tcW w:w="1514" w:type="pct"/>
            <w:gridSpan w:val="3"/>
            <w:vAlign w:val="center"/>
          </w:tcPr>
          <w:p w14:paraId="427330C8">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大老徐家</w:t>
            </w:r>
          </w:p>
        </w:tc>
        <w:tc>
          <w:tcPr>
            <w:tcW w:w="569" w:type="pct"/>
            <w:vAlign w:val="center"/>
          </w:tcPr>
          <w:p w14:paraId="58234EDB">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SE</w:t>
            </w:r>
          </w:p>
        </w:tc>
        <w:tc>
          <w:tcPr>
            <w:tcW w:w="495" w:type="pct"/>
            <w:gridSpan w:val="2"/>
            <w:vAlign w:val="center"/>
          </w:tcPr>
          <w:p w14:paraId="5D951E78">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41</w:t>
            </w:r>
            <w:r>
              <w:rPr>
                <w:rFonts w:hint="eastAsia" w:ascii="Times New Roman" w:hAnsi="Times New Roman" w:cs="Times New Roman"/>
                <w:color w:val="000000" w:themeColor="text1"/>
                <w:sz w:val="21"/>
                <w:lang w:eastAsia="zh-CN"/>
                <w14:textFill>
                  <w14:solidFill>
                    <w14:schemeClr w14:val="tx1"/>
                  </w14:solidFill>
                </w14:textFill>
              </w:rPr>
              <w:t>90</w:t>
            </w:r>
          </w:p>
        </w:tc>
        <w:tc>
          <w:tcPr>
            <w:tcW w:w="602" w:type="pct"/>
            <w:gridSpan w:val="3"/>
            <w:vAlign w:val="center"/>
          </w:tcPr>
          <w:p w14:paraId="3CBEC58C">
            <w:pPr>
              <w:adjustRightInd w:val="0"/>
              <w:snapToGrid w:val="0"/>
              <w:jc w:val="center"/>
              <w:rPr>
                <w:rFonts w:ascii="Times New Roman" w:hAnsi="Times New Roman" w:cs="Times New Roman"/>
                <w:color w:val="auto"/>
                <w:sz w:val="21"/>
                <w:lang w:eastAsia="zh-CN"/>
              </w:rPr>
            </w:pPr>
            <w:r>
              <w:rPr>
                <w:rFonts w:ascii="Times New Roman" w:hAnsi="Times New Roman"/>
                <w:color w:val="auto"/>
                <w:sz w:val="21"/>
                <w:lang w:eastAsia="zh-CN"/>
              </w:rPr>
              <w:t>居民区</w:t>
            </w:r>
          </w:p>
        </w:tc>
        <w:tc>
          <w:tcPr>
            <w:tcW w:w="1003" w:type="pct"/>
            <w:vAlign w:val="center"/>
          </w:tcPr>
          <w:p w14:paraId="7DAD7189">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396</w:t>
            </w:r>
          </w:p>
        </w:tc>
      </w:tr>
      <w:tr w14:paraId="38B536A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7610E823">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01A69024">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20</w:t>
            </w:r>
          </w:p>
        </w:tc>
        <w:tc>
          <w:tcPr>
            <w:tcW w:w="1514" w:type="pct"/>
            <w:gridSpan w:val="3"/>
            <w:vAlign w:val="center"/>
          </w:tcPr>
          <w:p w14:paraId="6DF45E36">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二铺</w:t>
            </w:r>
          </w:p>
        </w:tc>
        <w:tc>
          <w:tcPr>
            <w:tcW w:w="569" w:type="pct"/>
            <w:vAlign w:val="center"/>
          </w:tcPr>
          <w:p w14:paraId="52CF331B">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S</w:t>
            </w:r>
            <w:r>
              <w:rPr>
                <w:rFonts w:hint="eastAsia" w:ascii="Times New Roman" w:hAnsi="Times New Roman" w:cs="Times New Roman"/>
                <w:color w:val="000000" w:themeColor="text1"/>
                <w:sz w:val="21"/>
                <w:lang w:eastAsia="zh-CN"/>
                <w14:textFill>
                  <w14:solidFill>
                    <w14:schemeClr w14:val="tx1"/>
                  </w14:solidFill>
                </w14:textFill>
              </w:rPr>
              <w:t>E</w:t>
            </w:r>
          </w:p>
        </w:tc>
        <w:tc>
          <w:tcPr>
            <w:tcW w:w="495" w:type="pct"/>
            <w:gridSpan w:val="2"/>
            <w:vAlign w:val="center"/>
          </w:tcPr>
          <w:p w14:paraId="71E870FE">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35</w:t>
            </w:r>
            <w:r>
              <w:rPr>
                <w:rFonts w:hint="eastAsia" w:ascii="Times New Roman" w:hAnsi="Times New Roman" w:cs="Times New Roman"/>
                <w:color w:val="000000" w:themeColor="text1"/>
                <w:sz w:val="21"/>
                <w:lang w:eastAsia="zh-CN"/>
                <w14:textFill>
                  <w14:solidFill>
                    <w14:schemeClr w14:val="tx1"/>
                  </w14:solidFill>
                </w14:textFill>
              </w:rPr>
              <w:t>30</w:t>
            </w:r>
          </w:p>
        </w:tc>
        <w:tc>
          <w:tcPr>
            <w:tcW w:w="602" w:type="pct"/>
            <w:gridSpan w:val="3"/>
            <w:vAlign w:val="center"/>
          </w:tcPr>
          <w:p w14:paraId="7D43A67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居民区</w:t>
            </w:r>
          </w:p>
        </w:tc>
        <w:tc>
          <w:tcPr>
            <w:tcW w:w="1003" w:type="pct"/>
            <w:vAlign w:val="center"/>
          </w:tcPr>
          <w:p w14:paraId="275666D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260</w:t>
            </w:r>
          </w:p>
        </w:tc>
      </w:tr>
      <w:tr w14:paraId="01544B8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1AFF777F">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55980526">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21</w:t>
            </w:r>
          </w:p>
        </w:tc>
        <w:tc>
          <w:tcPr>
            <w:tcW w:w="1514" w:type="pct"/>
            <w:gridSpan w:val="3"/>
            <w:vAlign w:val="center"/>
          </w:tcPr>
          <w:p w14:paraId="440A5D9E">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石家</w:t>
            </w:r>
          </w:p>
        </w:tc>
        <w:tc>
          <w:tcPr>
            <w:tcW w:w="569" w:type="pct"/>
            <w:vAlign w:val="center"/>
          </w:tcPr>
          <w:p w14:paraId="5CB655EE">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SW</w:t>
            </w:r>
          </w:p>
        </w:tc>
        <w:tc>
          <w:tcPr>
            <w:tcW w:w="495" w:type="pct"/>
            <w:gridSpan w:val="2"/>
            <w:vAlign w:val="center"/>
          </w:tcPr>
          <w:p w14:paraId="5A0B7C01">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447</w:t>
            </w:r>
            <w:r>
              <w:rPr>
                <w:rFonts w:hint="eastAsia" w:ascii="Times New Roman" w:hAnsi="Times New Roman" w:cs="Times New Roman"/>
                <w:color w:val="000000" w:themeColor="text1"/>
                <w:sz w:val="21"/>
                <w:lang w:eastAsia="zh-CN"/>
                <w14:textFill>
                  <w14:solidFill>
                    <w14:schemeClr w14:val="tx1"/>
                  </w14:solidFill>
                </w14:textFill>
              </w:rPr>
              <w:t>0</w:t>
            </w:r>
          </w:p>
        </w:tc>
        <w:tc>
          <w:tcPr>
            <w:tcW w:w="602" w:type="pct"/>
            <w:gridSpan w:val="3"/>
            <w:vAlign w:val="center"/>
          </w:tcPr>
          <w:p w14:paraId="05A10576">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居民区</w:t>
            </w:r>
          </w:p>
        </w:tc>
        <w:tc>
          <w:tcPr>
            <w:tcW w:w="1003" w:type="pct"/>
            <w:vAlign w:val="center"/>
          </w:tcPr>
          <w:p w14:paraId="0D5B443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130</w:t>
            </w:r>
          </w:p>
        </w:tc>
      </w:tr>
      <w:tr w14:paraId="5810A3D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19E2E65F">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30AC79F2">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color w:val="auto"/>
                <w:sz w:val="21"/>
                <w:szCs w:val="21"/>
                <w:lang w:eastAsia="zh-CN"/>
              </w:rPr>
              <w:t>22</w:t>
            </w:r>
          </w:p>
        </w:tc>
        <w:tc>
          <w:tcPr>
            <w:tcW w:w="1514" w:type="pct"/>
            <w:gridSpan w:val="3"/>
            <w:vAlign w:val="center"/>
          </w:tcPr>
          <w:p w14:paraId="63CEF711">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邓庙</w:t>
            </w:r>
          </w:p>
        </w:tc>
        <w:tc>
          <w:tcPr>
            <w:tcW w:w="569" w:type="pct"/>
            <w:vAlign w:val="center"/>
          </w:tcPr>
          <w:p w14:paraId="15E92793">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NW</w:t>
            </w:r>
          </w:p>
        </w:tc>
        <w:tc>
          <w:tcPr>
            <w:tcW w:w="495" w:type="pct"/>
            <w:gridSpan w:val="2"/>
            <w:vAlign w:val="center"/>
          </w:tcPr>
          <w:p w14:paraId="2C9FECD9">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40</w:t>
            </w:r>
            <w:r>
              <w:rPr>
                <w:rFonts w:hint="eastAsia" w:ascii="Times New Roman" w:hAnsi="Times New Roman" w:cs="Times New Roman"/>
                <w:color w:val="000000" w:themeColor="text1"/>
                <w:sz w:val="21"/>
                <w:lang w:eastAsia="zh-CN"/>
                <w14:textFill>
                  <w14:solidFill>
                    <w14:schemeClr w14:val="tx1"/>
                  </w14:solidFill>
                </w14:textFill>
              </w:rPr>
              <w:t>1</w:t>
            </w:r>
            <w:r>
              <w:rPr>
                <w:rFonts w:ascii="Times New Roman" w:hAnsi="Times New Roman" w:cs="Times New Roman"/>
                <w:color w:val="000000" w:themeColor="text1"/>
                <w:sz w:val="21"/>
                <w14:textFill>
                  <w14:solidFill>
                    <w14:schemeClr w14:val="tx1"/>
                  </w14:solidFill>
                </w14:textFill>
              </w:rPr>
              <w:t>0</w:t>
            </w:r>
          </w:p>
        </w:tc>
        <w:tc>
          <w:tcPr>
            <w:tcW w:w="602" w:type="pct"/>
            <w:gridSpan w:val="3"/>
            <w:vAlign w:val="center"/>
          </w:tcPr>
          <w:p w14:paraId="0E4E0E6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居民区</w:t>
            </w:r>
          </w:p>
        </w:tc>
        <w:tc>
          <w:tcPr>
            <w:tcW w:w="1003" w:type="pct"/>
            <w:vAlign w:val="center"/>
          </w:tcPr>
          <w:p w14:paraId="638A9F5D">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180</w:t>
            </w:r>
          </w:p>
        </w:tc>
      </w:tr>
      <w:tr w14:paraId="0B3B5A4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116ABFB6">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4749509B">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color w:val="auto"/>
                <w:sz w:val="21"/>
                <w:szCs w:val="21"/>
                <w:lang w:eastAsia="zh-CN"/>
              </w:rPr>
              <w:t>23</w:t>
            </w:r>
          </w:p>
        </w:tc>
        <w:tc>
          <w:tcPr>
            <w:tcW w:w="1514" w:type="pct"/>
            <w:gridSpan w:val="3"/>
            <w:vAlign w:val="center"/>
          </w:tcPr>
          <w:p w14:paraId="62A6199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任桥</w:t>
            </w:r>
          </w:p>
        </w:tc>
        <w:tc>
          <w:tcPr>
            <w:tcW w:w="569" w:type="pct"/>
            <w:vAlign w:val="center"/>
          </w:tcPr>
          <w:p w14:paraId="193049B7">
            <w:pPr>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NW</w:t>
            </w:r>
          </w:p>
        </w:tc>
        <w:tc>
          <w:tcPr>
            <w:tcW w:w="495" w:type="pct"/>
            <w:gridSpan w:val="2"/>
            <w:vAlign w:val="center"/>
          </w:tcPr>
          <w:p w14:paraId="6C88AA20">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45</w:t>
            </w:r>
            <w:r>
              <w:rPr>
                <w:rFonts w:hint="eastAsia" w:ascii="Times New Roman" w:hAnsi="Times New Roman" w:cs="Times New Roman"/>
                <w:color w:val="000000" w:themeColor="text1"/>
                <w:sz w:val="21"/>
                <w:lang w:eastAsia="zh-CN"/>
                <w14:textFill>
                  <w14:solidFill>
                    <w14:schemeClr w14:val="tx1"/>
                  </w14:solidFill>
                </w14:textFill>
              </w:rPr>
              <w:t>10</w:t>
            </w:r>
          </w:p>
        </w:tc>
        <w:tc>
          <w:tcPr>
            <w:tcW w:w="602" w:type="pct"/>
            <w:gridSpan w:val="3"/>
            <w:vAlign w:val="center"/>
          </w:tcPr>
          <w:p w14:paraId="51F373C0">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居民区</w:t>
            </w:r>
          </w:p>
        </w:tc>
        <w:tc>
          <w:tcPr>
            <w:tcW w:w="1003" w:type="pct"/>
            <w:vAlign w:val="center"/>
          </w:tcPr>
          <w:p w14:paraId="03AC7CC6">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135</w:t>
            </w:r>
          </w:p>
        </w:tc>
      </w:tr>
      <w:tr w14:paraId="4BB0218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7F020411">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0B62F092">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color w:val="auto"/>
                <w:sz w:val="21"/>
                <w:szCs w:val="21"/>
                <w:lang w:eastAsia="zh-CN"/>
              </w:rPr>
              <w:t>24</w:t>
            </w:r>
          </w:p>
        </w:tc>
        <w:tc>
          <w:tcPr>
            <w:tcW w:w="1514" w:type="pct"/>
            <w:gridSpan w:val="3"/>
            <w:vAlign w:val="center"/>
          </w:tcPr>
          <w:p w14:paraId="6DB3D632">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李圩子</w:t>
            </w:r>
          </w:p>
        </w:tc>
        <w:tc>
          <w:tcPr>
            <w:tcW w:w="569" w:type="pct"/>
            <w:vAlign w:val="center"/>
          </w:tcPr>
          <w:p w14:paraId="272D2F1B">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NW</w:t>
            </w:r>
          </w:p>
        </w:tc>
        <w:tc>
          <w:tcPr>
            <w:tcW w:w="495" w:type="pct"/>
            <w:gridSpan w:val="2"/>
            <w:vAlign w:val="center"/>
          </w:tcPr>
          <w:p w14:paraId="0B74EADD">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45</w:t>
            </w:r>
            <w:r>
              <w:rPr>
                <w:rFonts w:hint="eastAsia" w:ascii="Times New Roman" w:hAnsi="Times New Roman" w:cs="Times New Roman"/>
                <w:color w:val="000000" w:themeColor="text1"/>
                <w:sz w:val="21"/>
                <w:lang w:eastAsia="zh-CN"/>
                <w14:textFill>
                  <w14:solidFill>
                    <w14:schemeClr w14:val="tx1"/>
                  </w14:solidFill>
                </w14:textFill>
              </w:rPr>
              <w:t>50</w:t>
            </w:r>
          </w:p>
        </w:tc>
        <w:tc>
          <w:tcPr>
            <w:tcW w:w="602" w:type="pct"/>
            <w:gridSpan w:val="3"/>
          </w:tcPr>
          <w:p w14:paraId="1F62E1C6">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居民区</w:t>
            </w:r>
          </w:p>
        </w:tc>
        <w:tc>
          <w:tcPr>
            <w:tcW w:w="1003" w:type="pct"/>
            <w:vAlign w:val="center"/>
          </w:tcPr>
          <w:p w14:paraId="2F7C3954">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165</w:t>
            </w:r>
          </w:p>
        </w:tc>
      </w:tr>
      <w:tr w14:paraId="55191A5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3F034C54">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7C93F7E5">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color w:val="auto"/>
                <w:sz w:val="21"/>
                <w:szCs w:val="21"/>
                <w:lang w:eastAsia="zh-CN"/>
              </w:rPr>
              <w:t>25</w:t>
            </w:r>
          </w:p>
        </w:tc>
        <w:tc>
          <w:tcPr>
            <w:tcW w:w="1514" w:type="pct"/>
            <w:gridSpan w:val="3"/>
            <w:vAlign w:val="center"/>
          </w:tcPr>
          <w:p w14:paraId="539A1409">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曹吴村</w:t>
            </w:r>
          </w:p>
        </w:tc>
        <w:tc>
          <w:tcPr>
            <w:tcW w:w="569" w:type="pct"/>
            <w:vAlign w:val="center"/>
          </w:tcPr>
          <w:p w14:paraId="58FF833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NW</w:t>
            </w:r>
          </w:p>
        </w:tc>
        <w:tc>
          <w:tcPr>
            <w:tcW w:w="495" w:type="pct"/>
            <w:gridSpan w:val="2"/>
            <w:vAlign w:val="center"/>
          </w:tcPr>
          <w:p w14:paraId="5D5AE9E4">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47</w:t>
            </w:r>
            <w:r>
              <w:rPr>
                <w:rFonts w:hint="eastAsia" w:ascii="Times New Roman" w:hAnsi="Times New Roman" w:cs="Times New Roman"/>
                <w:color w:val="000000" w:themeColor="text1"/>
                <w:sz w:val="21"/>
                <w:lang w:eastAsia="zh-CN"/>
                <w14:textFill>
                  <w14:solidFill>
                    <w14:schemeClr w14:val="tx1"/>
                  </w14:solidFill>
                </w14:textFill>
              </w:rPr>
              <w:t>50</w:t>
            </w:r>
          </w:p>
        </w:tc>
        <w:tc>
          <w:tcPr>
            <w:tcW w:w="602" w:type="pct"/>
            <w:gridSpan w:val="3"/>
          </w:tcPr>
          <w:p w14:paraId="03CBC026">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居民区</w:t>
            </w:r>
          </w:p>
        </w:tc>
        <w:tc>
          <w:tcPr>
            <w:tcW w:w="1003" w:type="pct"/>
            <w:vAlign w:val="center"/>
          </w:tcPr>
          <w:p w14:paraId="3A972FF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130</w:t>
            </w:r>
          </w:p>
        </w:tc>
      </w:tr>
      <w:tr w14:paraId="59D0F23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3F1420C5">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023A0302">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color w:val="auto"/>
                <w:sz w:val="21"/>
                <w:szCs w:val="21"/>
                <w:lang w:eastAsia="zh-CN"/>
              </w:rPr>
              <w:t>26</w:t>
            </w:r>
          </w:p>
        </w:tc>
        <w:tc>
          <w:tcPr>
            <w:tcW w:w="1514" w:type="pct"/>
            <w:gridSpan w:val="3"/>
            <w:vAlign w:val="center"/>
          </w:tcPr>
          <w:p w14:paraId="06920440">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小石家</w:t>
            </w:r>
          </w:p>
        </w:tc>
        <w:tc>
          <w:tcPr>
            <w:tcW w:w="569" w:type="pct"/>
            <w:vAlign w:val="center"/>
          </w:tcPr>
          <w:p w14:paraId="2AB9B849">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W</w:t>
            </w:r>
          </w:p>
        </w:tc>
        <w:tc>
          <w:tcPr>
            <w:tcW w:w="495" w:type="pct"/>
            <w:gridSpan w:val="2"/>
            <w:vAlign w:val="center"/>
          </w:tcPr>
          <w:p w14:paraId="31DF995C">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45</w:t>
            </w:r>
            <w:r>
              <w:rPr>
                <w:rFonts w:hint="eastAsia" w:ascii="Times New Roman" w:hAnsi="Times New Roman" w:cs="Times New Roman"/>
                <w:color w:val="000000" w:themeColor="text1"/>
                <w:sz w:val="21"/>
                <w:lang w:eastAsia="zh-CN"/>
                <w14:textFill>
                  <w14:solidFill>
                    <w14:schemeClr w14:val="tx1"/>
                  </w14:solidFill>
                </w14:textFill>
              </w:rPr>
              <w:t>40</w:t>
            </w:r>
          </w:p>
        </w:tc>
        <w:tc>
          <w:tcPr>
            <w:tcW w:w="602" w:type="pct"/>
            <w:gridSpan w:val="3"/>
          </w:tcPr>
          <w:p w14:paraId="6A0B28A3">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居民区</w:t>
            </w:r>
          </w:p>
        </w:tc>
        <w:tc>
          <w:tcPr>
            <w:tcW w:w="1003" w:type="pct"/>
            <w:vAlign w:val="center"/>
          </w:tcPr>
          <w:p w14:paraId="4922DEFA">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145</w:t>
            </w:r>
          </w:p>
        </w:tc>
      </w:tr>
      <w:tr w14:paraId="585EFEE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3FE9EAB2">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0BDD9505">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color w:val="auto"/>
                <w:sz w:val="21"/>
                <w:szCs w:val="21"/>
                <w:lang w:eastAsia="zh-CN"/>
              </w:rPr>
              <w:t>27</w:t>
            </w:r>
          </w:p>
        </w:tc>
        <w:tc>
          <w:tcPr>
            <w:tcW w:w="1514" w:type="pct"/>
            <w:gridSpan w:val="3"/>
            <w:vAlign w:val="center"/>
          </w:tcPr>
          <w:p w14:paraId="4EAA98F0">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小周家</w:t>
            </w:r>
          </w:p>
        </w:tc>
        <w:tc>
          <w:tcPr>
            <w:tcW w:w="569" w:type="pct"/>
            <w:vAlign w:val="center"/>
          </w:tcPr>
          <w:p w14:paraId="01BA0AE7">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NW</w:t>
            </w:r>
          </w:p>
        </w:tc>
        <w:tc>
          <w:tcPr>
            <w:tcW w:w="495" w:type="pct"/>
            <w:gridSpan w:val="2"/>
            <w:vAlign w:val="center"/>
          </w:tcPr>
          <w:p w14:paraId="5940FFFB">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4820</w:t>
            </w:r>
          </w:p>
        </w:tc>
        <w:tc>
          <w:tcPr>
            <w:tcW w:w="602" w:type="pct"/>
            <w:gridSpan w:val="3"/>
          </w:tcPr>
          <w:p w14:paraId="2DA925A4">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居民区</w:t>
            </w:r>
          </w:p>
        </w:tc>
        <w:tc>
          <w:tcPr>
            <w:tcW w:w="1003" w:type="pct"/>
            <w:vAlign w:val="center"/>
          </w:tcPr>
          <w:p w14:paraId="4D15CCC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39</w:t>
            </w:r>
          </w:p>
        </w:tc>
      </w:tr>
      <w:tr w14:paraId="14EFC33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4F66F994">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3C818C0A">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color w:val="auto"/>
                <w:sz w:val="21"/>
                <w:szCs w:val="21"/>
                <w:lang w:eastAsia="zh-CN"/>
              </w:rPr>
              <w:t>28</w:t>
            </w:r>
          </w:p>
        </w:tc>
        <w:tc>
          <w:tcPr>
            <w:tcW w:w="1514" w:type="pct"/>
            <w:gridSpan w:val="3"/>
            <w:vAlign w:val="center"/>
          </w:tcPr>
          <w:p w14:paraId="50E63D57">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横岭村</w:t>
            </w:r>
          </w:p>
        </w:tc>
        <w:tc>
          <w:tcPr>
            <w:tcW w:w="569" w:type="pct"/>
            <w:vAlign w:val="center"/>
          </w:tcPr>
          <w:p w14:paraId="2BCC070D">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N</w:t>
            </w:r>
            <w:r>
              <w:rPr>
                <w:rFonts w:hint="eastAsia" w:ascii="Times New Roman" w:hAnsi="Times New Roman" w:cs="Times New Roman"/>
                <w:color w:val="000000" w:themeColor="text1"/>
                <w:sz w:val="21"/>
                <w:lang w:eastAsia="zh-CN"/>
                <w14:textFill>
                  <w14:solidFill>
                    <w14:schemeClr w14:val="tx1"/>
                  </w14:solidFill>
                </w14:textFill>
              </w:rPr>
              <w:t>E</w:t>
            </w:r>
          </w:p>
        </w:tc>
        <w:tc>
          <w:tcPr>
            <w:tcW w:w="495" w:type="pct"/>
            <w:gridSpan w:val="2"/>
            <w:vAlign w:val="center"/>
          </w:tcPr>
          <w:p w14:paraId="4D374C66">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4850</w:t>
            </w:r>
          </w:p>
        </w:tc>
        <w:tc>
          <w:tcPr>
            <w:tcW w:w="602" w:type="pct"/>
            <w:gridSpan w:val="3"/>
          </w:tcPr>
          <w:p w14:paraId="5D7AB441">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居民区</w:t>
            </w:r>
          </w:p>
        </w:tc>
        <w:tc>
          <w:tcPr>
            <w:tcW w:w="1003" w:type="pct"/>
            <w:vAlign w:val="center"/>
          </w:tcPr>
          <w:p w14:paraId="4761FB3A">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60</w:t>
            </w:r>
          </w:p>
        </w:tc>
      </w:tr>
      <w:tr w14:paraId="60386AA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4D206148">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6E40D441">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color w:val="auto"/>
                <w:sz w:val="21"/>
                <w:szCs w:val="21"/>
              </w:rPr>
              <w:t>2</w:t>
            </w:r>
            <w:r>
              <w:rPr>
                <w:rFonts w:ascii="Times New Roman" w:hAnsi="Times New Roman"/>
                <w:color w:val="auto"/>
                <w:sz w:val="21"/>
                <w:szCs w:val="21"/>
                <w:lang w:eastAsia="zh-CN"/>
              </w:rPr>
              <w:t>9</w:t>
            </w:r>
          </w:p>
        </w:tc>
        <w:tc>
          <w:tcPr>
            <w:tcW w:w="1514" w:type="pct"/>
            <w:gridSpan w:val="3"/>
            <w:vAlign w:val="center"/>
          </w:tcPr>
          <w:p w14:paraId="481BBE4B">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李洼</w:t>
            </w:r>
          </w:p>
        </w:tc>
        <w:tc>
          <w:tcPr>
            <w:tcW w:w="569" w:type="pct"/>
            <w:vAlign w:val="center"/>
          </w:tcPr>
          <w:p w14:paraId="6B6026AC">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w:t>
            </w:r>
          </w:p>
        </w:tc>
        <w:tc>
          <w:tcPr>
            <w:tcW w:w="495" w:type="pct"/>
            <w:gridSpan w:val="2"/>
            <w:vAlign w:val="center"/>
          </w:tcPr>
          <w:p w14:paraId="62B8961C">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4360</w:t>
            </w:r>
          </w:p>
        </w:tc>
        <w:tc>
          <w:tcPr>
            <w:tcW w:w="602" w:type="pct"/>
            <w:gridSpan w:val="3"/>
          </w:tcPr>
          <w:p w14:paraId="5E63934D">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居民区</w:t>
            </w:r>
          </w:p>
        </w:tc>
        <w:tc>
          <w:tcPr>
            <w:tcW w:w="1003" w:type="pct"/>
            <w:vAlign w:val="center"/>
          </w:tcPr>
          <w:p w14:paraId="2D16D6BA">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w:t>
            </w:r>
            <w:r>
              <w:rPr>
                <w:rFonts w:hint="eastAsia" w:ascii="Times New Roman" w:hAnsi="Times New Roman" w:cs="Times New Roman"/>
                <w:color w:val="auto"/>
                <w:sz w:val="21"/>
                <w:lang w:eastAsia="zh-CN"/>
              </w:rPr>
              <w:t>3</w:t>
            </w:r>
            <w:r>
              <w:rPr>
                <w:rFonts w:ascii="Times New Roman" w:hAnsi="Times New Roman" w:cs="Times New Roman"/>
                <w:color w:val="auto"/>
                <w:sz w:val="21"/>
                <w:lang w:eastAsia="zh-CN"/>
              </w:rPr>
              <w:t>0</w:t>
            </w:r>
          </w:p>
        </w:tc>
      </w:tr>
      <w:tr w14:paraId="63B8B03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6F611ECD">
            <w:pPr>
              <w:pStyle w:val="62"/>
              <w:adjustRightInd w:val="0"/>
              <w:snapToGrid w:val="0"/>
              <w:spacing w:before="0" w:after="0"/>
              <w:jc w:val="center"/>
              <w:rPr>
                <w:rFonts w:ascii="Times New Roman" w:hAnsi="Times New Roman" w:eastAsia="宋体"/>
                <w:color w:val="auto"/>
                <w:sz w:val="21"/>
                <w:szCs w:val="21"/>
              </w:rPr>
            </w:pPr>
          </w:p>
        </w:tc>
        <w:tc>
          <w:tcPr>
            <w:tcW w:w="356" w:type="pct"/>
            <w:vAlign w:val="center"/>
          </w:tcPr>
          <w:p w14:paraId="7BE781E6">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color w:val="auto"/>
                <w:sz w:val="21"/>
                <w:szCs w:val="21"/>
                <w:lang w:eastAsia="zh-CN"/>
              </w:rPr>
              <w:t>30</w:t>
            </w:r>
          </w:p>
        </w:tc>
        <w:tc>
          <w:tcPr>
            <w:tcW w:w="1514" w:type="pct"/>
            <w:gridSpan w:val="3"/>
            <w:vAlign w:val="center"/>
          </w:tcPr>
          <w:p w14:paraId="7B6F5641">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丽豪佳园</w:t>
            </w:r>
          </w:p>
        </w:tc>
        <w:tc>
          <w:tcPr>
            <w:tcW w:w="569" w:type="pct"/>
            <w:vAlign w:val="center"/>
          </w:tcPr>
          <w:p w14:paraId="794CE5A2">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S</w:t>
            </w:r>
            <w:r>
              <w:rPr>
                <w:rFonts w:hint="eastAsia" w:ascii="Times New Roman" w:hAnsi="Times New Roman" w:cs="Times New Roman"/>
                <w:color w:val="auto"/>
                <w:sz w:val="21"/>
                <w:lang w:eastAsia="zh-CN"/>
              </w:rPr>
              <w:t>W</w:t>
            </w:r>
          </w:p>
        </w:tc>
        <w:tc>
          <w:tcPr>
            <w:tcW w:w="495" w:type="pct"/>
            <w:gridSpan w:val="2"/>
            <w:vAlign w:val="center"/>
          </w:tcPr>
          <w:p w14:paraId="161278F5">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4730</w:t>
            </w:r>
          </w:p>
        </w:tc>
        <w:tc>
          <w:tcPr>
            <w:tcW w:w="602" w:type="pct"/>
            <w:gridSpan w:val="3"/>
          </w:tcPr>
          <w:p w14:paraId="5DB70148">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居民区</w:t>
            </w:r>
          </w:p>
        </w:tc>
        <w:tc>
          <w:tcPr>
            <w:tcW w:w="1003" w:type="pct"/>
            <w:vAlign w:val="center"/>
          </w:tcPr>
          <w:p w14:paraId="50B8FC6D">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15</w:t>
            </w:r>
            <w:r>
              <w:rPr>
                <w:rFonts w:ascii="Times New Roman" w:hAnsi="Times New Roman" w:cs="Times New Roman"/>
                <w:color w:val="auto"/>
                <w:sz w:val="21"/>
              </w:rPr>
              <w:t>00</w:t>
            </w:r>
          </w:p>
        </w:tc>
      </w:tr>
      <w:tr w14:paraId="384D7E8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750E9005">
            <w:pPr>
              <w:pStyle w:val="62"/>
              <w:adjustRightInd w:val="0"/>
              <w:snapToGrid w:val="0"/>
              <w:spacing w:before="0" w:after="0"/>
              <w:jc w:val="center"/>
              <w:rPr>
                <w:rFonts w:ascii="Times New Roman" w:hAnsi="Times New Roman" w:eastAsia="宋体"/>
                <w:color w:val="auto"/>
                <w:sz w:val="21"/>
                <w:szCs w:val="21"/>
              </w:rPr>
            </w:pPr>
          </w:p>
        </w:tc>
        <w:tc>
          <w:tcPr>
            <w:tcW w:w="3536" w:type="pct"/>
            <w:gridSpan w:val="10"/>
            <w:vAlign w:val="center"/>
          </w:tcPr>
          <w:p w14:paraId="4AB7FC3D">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eastAsia="宋体"/>
                <w:color w:val="auto"/>
                <w:sz w:val="21"/>
                <w:szCs w:val="21"/>
                <w:lang w:eastAsia="zh-CN"/>
              </w:rPr>
              <w:t>厂址周边500m范围内人口数小计</w:t>
            </w:r>
          </w:p>
        </w:tc>
        <w:tc>
          <w:tcPr>
            <w:tcW w:w="1003" w:type="pct"/>
            <w:vAlign w:val="center"/>
          </w:tcPr>
          <w:p w14:paraId="0F5483B5">
            <w:pPr>
              <w:pStyle w:val="62"/>
              <w:adjustRightInd w:val="0"/>
              <w:snapToGrid w:val="0"/>
              <w:spacing w:before="0" w:after="0"/>
              <w:jc w:val="center"/>
              <w:rPr>
                <w:rFonts w:ascii="Times New Roman" w:hAnsi="Times New Roman" w:eastAsia="宋体"/>
                <w:color w:val="EE0000"/>
                <w:sz w:val="21"/>
                <w:szCs w:val="21"/>
              </w:rPr>
            </w:pPr>
            <w:r>
              <w:rPr>
                <w:rFonts w:hint="eastAsia" w:ascii="Times New Roman" w:hAnsi="Times New Roman" w:eastAsia="宋体"/>
                <w:color w:val="auto"/>
                <w:sz w:val="21"/>
                <w:szCs w:val="21"/>
                <w:lang w:eastAsia="zh-CN"/>
              </w:rPr>
              <w:t>850</w:t>
            </w:r>
            <w:r>
              <w:rPr>
                <w:rFonts w:ascii="Times New Roman" w:hAnsi="Times New Roman" w:eastAsia="宋体"/>
                <w:color w:val="auto"/>
                <w:sz w:val="21"/>
                <w:szCs w:val="21"/>
              </w:rPr>
              <w:t>人</w:t>
            </w:r>
          </w:p>
        </w:tc>
      </w:tr>
      <w:tr w14:paraId="2E69C2D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0FFC2810">
            <w:pPr>
              <w:pStyle w:val="62"/>
              <w:adjustRightInd w:val="0"/>
              <w:snapToGrid w:val="0"/>
              <w:spacing w:before="0" w:after="0"/>
              <w:jc w:val="center"/>
              <w:rPr>
                <w:rFonts w:ascii="Times New Roman" w:hAnsi="Times New Roman" w:eastAsia="宋体"/>
                <w:color w:val="auto"/>
                <w:sz w:val="21"/>
                <w:szCs w:val="21"/>
              </w:rPr>
            </w:pPr>
          </w:p>
        </w:tc>
        <w:tc>
          <w:tcPr>
            <w:tcW w:w="3536" w:type="pct"/>
            <w:gridSpan w:val="10"/>
            <w:vAlign w:val="center"/>
          </w:tcPr>
          <w:p w14:paraId="57999C91">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eastAsia="宋体"/>
                <w:color w:val="auto"/>
                <w:sz w:val="21"/>
                <w:szCs w:val="21"/>
                <w:lang w:eastAsia="zh-CN"/>
              </w:rPr>
              <w:t>厂址周边5km范围内人口数小计</w:t>
            </w:r>
          </w:p>
        </w:tc>
        <w:tc>
          <w:tcPr>
            <w:tcW w:w="1003" w:type="pct"/>
            <w:vAlign w:val="center"/>
          </w:tcPr>
          <w:p w14:paraId="3B184DB4">
            <w:pPr>
              <w:pStyle w:val="62"/>
              <w:adjustRightInd w:val="0"/>
              <w:snapToGrid w:val="0"/>
              <w:spacing w:before="0" w:after="0"/>
              <w:jc w:val="center"/>
              <w:rPr>
                <w:rFonts w:ascii="Times New Roman" w:hAnsi="Times New Roman" w:eastAsia="宋体"/>
                <w:color w:val="EE0000"/>
                <w:sz w:val="21"/>
                <w:szCs w:val="21"/>
                <w:lang w:eastAsia="zh-CN"/>
              </w:rPr>
            </w:pPr>
            <w:r>
              <w:rPr>
                <w:rFonts w:hint="eastAsia" w:ascii="Times New Roman" w:hAnsi="Times New Roman" w:eastAsia="宋体"/>
                <w:color w:val="auto"/>
                <w:sz w:val="21"/>
                <w:szCs w:val="21"/>
                <w:lang w:eastAsia="zh-CN"/>
              </w:rPr>
              <w:t>10140人</w:t>
            </w:r>
          </w:p>
        </w:tc>
      </w:tr>
      <w:tr w14:paraId="06369EB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2A657546">
            <w:pPr>
              <w:pStyle w:val="62"/>
              <w:adjustRightInd w:val="0"/>
              <w:snapToGrid w:val="0"/>
              <w:spacing w:before="0" w:after="0"/>
              <w:jc w:val="center"/>
              <w:rPr>
                <w:rFonts w:ascii="Times New Roman" w:hAnsi="Times New Roman" w:eastAsia="宋体"/>
                <w:color w:val="auto"/>
                <w:sz w:val="21"/>
                <w:szCs w:val="21"/>
              </w:rPr>
            </w:pPr>
          </w:p>
        </w:tc>
        <w:tc>
          <w:tcPr>
            <w:tcW w:w="3536" w:type="pct"/>
            <w:gridSpan w:val="10"/>
            <w:vAlign w:val="center"/>
          </w:tcPr>
          <w:p w14:paraId="1150C1DE">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eastAsia="宋体"/>
                <w:color w:val="auto"/>
                <w:sz w:val="21"/>
                <w:szCs w:val="21"/>
                <w:lang w:eastAsia="zh-CN"/>
              </w:rPr>
              <w:t>大气环境敏感程度E值</w:t>
            </w:r>
          </w:p>
        </w:tc>
        <w:tc>
          <w:tcPr>
            <w:tcW w:w="1003" w:type="pct"/>
            <w:vAlign w:val="center"/>
          </w:tcPr>
          <w:p w14:paraId="622A2768">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eastAsia="宋体"/>
                <w:color w:val="auto"/>
                <w:sz w:val="21"/>
                <w:szCs w:val="21"/>
              </w:rPr>
              <w:t>E</w:t>
            </w:r>
            <w:r>
              <w:rPr>
                <w:rFonts w:ascii="Times New Roman" w:hAnsi="Times New Roman" w:eastAsia="宋体"/>
                <w:color w:val="auto"/>
                <w:sz w:val="21"/>
                <w:szCs w:val="21"/>
                <w:lang w:eastAsia="zh-CN"/>
              </w:rPr>
              <w:t>2</w:t>
            </w:r>
          </w:p>
        </w:tc>
      </w:tr>
      <w:tr w14:paraId="1ED99A4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restart"/>
            <w:vAlign w:val="center"/>
          </w:tcPr>
          <w:p w14:paraId="7874B051">
            <w:pPr>
              <w:pStyle w:val="62"/>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地表水</w:t>
            </w:r>
          </w:p>
        </w:tc>
        <w:tc>
          <w:tcPr>
            <w:tcW w:w="423" w:type="pct"/>
            <w:gridSpan w:val="2"/>
            <w:vAlign w:val="center"/>
          </w:tcPr>
          <w:p w14:paraId="2F9D16B4">
            <w:pPr>
              <w:pStyle w:val="62"/>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序号</w:t>
            </w:r>
          </w:p>
        </w:tc>
        <w:tc>
          <w:tcPr>
            <w:tcW w:w="1221" w:type="pct"/>
            <w:vAlign w:val="center"/>
          </w:tcPr>
          <w:p w14:paraId="387CB3DC">
            <w:pPr>
              <w:pStyle w:val="62"/>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受纳水体名称</w:t>
            </w:r>
          </w:p>
        </w:tc>
        <w:tc>
          <w:tcPr>
            <w:tcW w:w="1362" w:type="pct"/>
            <w:gridSpan w:val="5"/>
            <w:vAlign w:val="center"/>
          </w:tcPr>
          <w:p w14:paraId="230CC8CE">
            <w:pPr>
              <w:pStyle w:val="62"/>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排放点水域环境功能</w:t>
            </w:r>
          </w:p>
        </w:tc>
        <w:tc>
          <w:tcPr>
            <w:tcW w:w="1533" w:type="pct"/>
            <w:gridSpan w:val="3"/>
            <w:vAlign w:val="center"/>
          </w:tcPr>
          <w:p w14:paraId="3C803E0F">
            <w:pPr>
              <w:pStyle w:val="62"/>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24h内流经范围/km</w:t>
            </w:r>
          </w:p>
        </w:tc>
      </w:tr>
      <w:tr w14:paraId="03836C2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1D001439">
            <w:pPr>
              <w:pStyle w:val="62"/>
              <w:adjustRightInd w:val="0"/>
              <w:snapToGrid w:val="0"/>
              <w:spacing w:before="0" w:after="0"/>
              <w:jc w:val="center"/>
              <w:rPr>
                <w:rFonts w:ascii="Times New Roman" w:hAnsi="Times New Roman" w:eastAsia="宋体"/>
                <w:b/>
                <w:color w:val="auto"/>
                <w:sz w:val="21"/>
                <w:szCs w:val="21"/>
              </w:rPr>
            </w:pPr>
          </w:p>
        </w:tc>
        <w:tc>
          <w:tcPr>
            <w:tcW w:w="423" w:type="pct"/>
            <w:gridSpan w:val="2"/>
            <w:vAlign w:val="center"/>
          </w:tcPr>
          <w:p w14:paraId="2714894E">
            <w:pPr>
              <w:pStyle w:val="62"/>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1</w:t>
            </w:r>
          </w:p>
        </w:tc>
        <w:tc>
          <w:tcPr>
            <w:tcW w:w="1221" w:type="pct"/>
            <w:vAlign w:val="center"/>
          </w:tcPr>
          <w:p w14:paraId="59E42A75">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eastAsia="宋体"/>
                <w:color w:val="auto"/>
                <w:sz w:val="21"/>
                <w:szCs w:val="18"/>
              </w:rPr>
              <w:t>淮河</w:t>
            </w:r>
          </w:p>
        </w:tc>
        <w:tc>
          <w:tcPr>
            <w:tcW w:w="1362" w:type="pct"/>
            <w:gridSpan w:val="5"/>
            <w:vAlign w:val="center"/>
          </w:tcPr>
          <w:p w14:paraId="213DC264">
            <w:pPr>
              <w:pStyle w:val="62"/>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18"/>
              </w:rPr>
              <w:t>III</w:t>
            </w:r>
            <w:r>
              <w:rPr>
                <w:rFonts w:ascii="Times New Roman" w:hAnsi="Times New Roman" w:eastAsia="宋体"/>
                <w:color w:val="auto"/>
                <w:sz w:val="21"/>
                <w:szCs w:val="21"/>
              </w:rPr>
              <w:t>类水体</w:t>
            </w:r>
          </w:p>
        </w:tc>
        <w:tc>
          <w:tcPr>
            <w:tcW w:w="1533" w:type="pct"/>
            <w:gridSpan w:val="3"/>
            <w:vAlign w:val="center"/>
          </w:tcPr>
          <w:p w14:paraId="595741C8">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eastAsia="宋体"/>
                <w:color w:val="auto"/>
                <w:sz w:val="21"/>
                <w:szCs w:val="21"/>
                <w:lang w:eastAsia="zh-CN"/>
              </w:rPr>
              <w:t>不跨省</w:t>
            </w:r>
          </w:p>
        </w:tc>
      </w:tr>
      <w:tr w14:paraId="4C9554B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63D7D2A0">
            <w:pPr>
              <w:pStyle w:val="62"/>
              <w:adjustRightInd w:val="0"/>
              <w:snapToGrid w:val="0"/>
              <w:spacing w:before="0" w:after="0"/>
              <w:jc w:val="center"/>
              <w:rPr>
                <w:rFonts w:ascii="Times New Roman" w:hAnsi="Times New Roman" w:eastAsia="宋体"/>
                <w:b/>
                <w:color w:val="auto"/>
                <w:sz w:val="21"/>
                <w:szCs w:val="21"/>
              </w:rPr>
            </w:pPr>
          </w:p>
        </w:tc>
        <w:tc>
          <w:tcPr>
            <w:tcW w:w="423" w:type="pct"/>
            <w:gridSpan w:val="2"/>
            <w:vAlign w:val="center"/>
          </w:tcPr>
          <w:p w14:paraId="69B83D82">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eastAsia="宋体"/>
                <w:color w:val="auto"/>
                <w:sz w:val="21"/>
                <w:szCs w:val="21"/>
                <w:lang w:eastAsia="zh-CN"/>
              </w:rPr>
              <w:t>2</w:t>
            </w:r>
          </w:p>
        </w:tc>
        <w:tc>
          <w:tcPr>
            <w:tcW w:w="1221" w:type="pct"/>
            <w:vAlign w:val="center"/>
          </w:tcPr>
          <w:p w14:paraId="5C1C87F4">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eastAsia="宋体"/>
                <w:color w:val="auto"/>
                <w:sz w:val="21"/>
                <w:szCs w:val="18"/>
              </w:rPr>
              <w:t>三铺大沟</w:t>
            </w:r>
          </w:p>
        </w:tc>
        <w:tc>
          <w:tcPr>
            <w:tcW w:w="1362" w:type="pct"/>
            <w:gridSpan w:val="5"/>
            <w:vAlign w:val="center"/>
          </w:tcPr>
          <w:p w14:paraId="4D9892C7">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eastAsia="宋体"/>
                <w:color w:val="auto"/>
                <w:sz w:val="21"/>
                <w:szCs w:val="18"/>
              </w:rPr>
              <w:t>IV</w:t>
            </w:r>
            <w:r>
              <w:rPr>
                <w:rFonts w:ascii="Times New Roman" w:hAnsi="Times New Roman" w:eastAsia="宋体"/>
                <w:color w:val="auto"/>
                <w:sz w:val="21"/>
                <w:szCs w:val="21"/>
              </w:rPr>
              <w:t>类水体</w:t>
            </w:r>
          </w:p>
        </w:tc>
        <w:tc>
          <w:tcPr>
            <w:tcW w:w="1533" w:type="pct"/>
            <w:gridSpan w:val="3"/>
            <w:vAlign w:val="center"/>
          </w:tcPr>
          <w:p w14:paraId="7143AEC9">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eastAsia="宋体"/>
                <w:color w:val="auto"/>
                <w:sz w:val="21"/>
                <w:szCs w:val="21"/>
                <w:lang w:eastAsia="zh-CN"/>
              </w:rPr>
              <w:t>不跨省</w:t>
            </w:r>
          </w:p>
        </w:tc>
      </w:tr>
      <w:tr w14:paraId="50B269B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17DF1E49">
            <w:pPr>
              <w:pStyle w:val="62"/>
              <w:adjustRightInd w:val="0"/>
              <w:snapToGrid w:val="0"/>
              <w:spacing w:before="0" w:after="0"/>
              <w:jc w:val="center"/>
              <w:rPr>
                <w:rFonts w:ascii="Times New Roman" w:hAnsi="Times New Roman" w:eastAsia="宋体"/>
                <w:b/>
                <w:color w:val="auto"/>
                <w:sz w:val="21"/>
                <w:szCs w:val="21"/>
              </w:rPr>
            </w:pPr>
          </w:p>
        </w:tc>
        <w:tc>
          <w:tcPr>
            <w:tcW w:w="423" w:type="pct"/>
            <w:gridSpan w:val="2"/>
            <w:vAlign w:val="center"/>
          </w:tcPr>
          <w:p w14:paraId="6599A664">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eastAsia="宋体"/>
                <w:color w:val="auto"/>
                <w:sz w:val="21"/>
                <w:szCs w:val="21"/>
                <w:lang w:eastAsia="zh-CN"/>
              </w:rPr>
              <w:t>3</w:t>
            </w:r>
          </w:p>
        </w:tc>
        <w:tc>
          <w:tcPr>
            <w:tcW w:w="1221" w:type="pct"/>
            <w:vAlign w:val="center"/>
          </w:tcPr>
          <w:p w14:paraId="52913C4B">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eastAsia="宋体"/>
                <w:color w:val="auto"/>
                <w:sz w:val="21"/>
                <w:szCs w:val="21"/>
                <w:lang w:eastAsia="zh-CN"/>
              </w:rPr>
              <w:t>沫冲引河</w:t>
            </w:r>
          </w:p>
        </w:tc>
        <w:tc>
          <w:tcPr>
            <w:tcW w:w="1362" w:type="pct"/>
            <w:gridSpan w:val="5"/>
            <w:vAlign w:val="center"/>
          </w:tcPr>
          <w:p w14:paraId="28C2EDA7">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eastAsia="宋体"/>
                <w:color w:val="auto"/>
                <w:sz w:val="21"/>
                <w:szCs w:val="21"/>
                <w:lang w:eastAsia="zh-CN"/>
              </w:rPr>
              <w:t>IV</w:t>
            </w:r>
            <w:r>
              <w:rPr>
                <w:rFonts w:ascii="Times New Roman" w:hAnsi="Times New Roman" w:eastAsia="宋体"/>
                <w:color w:val="auto"/>
                <w:sz w:val="21"/>
                <w:szCs w:val="21"/>
              </w:rPr>
              <w:t>类水体</w:t>
            </w:r>
          </w:p>
        </w:tc>
        <w:tc>
          <w:tcPr>
            <w:tcW w:w="1533" w:type="pct"/>
            <w:gridSpan w:val="3"/>
            <w:vAlign w:val="center"/>
          </w:tcPr>
          <w:p w14:paraId="5923E26E">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eastAsia="宋体"/>
                <w:color w:val="auto"/>
                <w:sz w:val="21"/>
                <w:szCs w:val="21"/>
                <w:lang w:eastAsia="zh-CN"/>
              </w:rPr>
              <w:t>不跨省</w:t>
            </w:r>
          </w:p>
        </w:tc>
      </w:tr>
      <w:tr w14:paraId="764D20A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678F079E">
            <w:pPr>
              <w:pStyle w:val="62"/>
              <w:adjustRightInd w:val="0"/>
              <w:snapToGrid w:val="0"/>
              <w:spacing w:before="0" w:after="0"/>
              <w:jc w:val="center"/>
              <w:rPr>
                <w:rFonts w:ascii="Times New Roman" w:hAnsi="Times New Roman" w:eastAsia="宋体"/>
                <w:b/>
                <w:color w:val="auto"/>
                <w:sz w:val="21"/>
                <w:szCs w:val="21"/>
              </w:rPr>
            </w:pPr>
          </w:p>
        </w:tc>
        <w:tc>
          <w:tcPr>
            <w:tcW w:w="423" w:type="pct"/>
            <w:gridSpan w:val="2"/>
            <w:vAlign w:val="center"/>
          </w:tcPr>
          <w:p w14:paraId="75242CAF">
            <w:pPr>
              <w:pStyle w:val="62"/>
              <w:adjustRightInd w:val="0"/>
              <w:snapToGrid w:val="0"/>
              <w:spacing w:before="0" w:after="0"/>
              <w:jc w:val="center"/>
              <w:rPr>
                <w:rFonts w:ascii="Times New Roman" w:hAnsi="Times New Roman" w:eastAsia="宋体"/>
                <w:color w:val="auto"/>
                <w:sz w:val="21"/>
                <w:szCs w:val="21"/>
                <w:lang w:eastAsia="zh-CN"/>
              </w:rPr>
            </w:pPr>
            <w:r>
              <w:rPr>
                <w:rFonts w:hint="eastAsia" w:ascii="Times New Roman" w:hAnsi="Times New Roman" w:eastAsia="宋体"/>
                <w:color w:val="auto"/>
                <w:sz w:val="21"/>
                <w:szCs w:val="21"/>
                <w:lang w:eastAsia="zh-CN"/>
              </w:rPr>
              <w:t>4</w:t>
            </w:r>
          </w:p>
        </w:tc>
        <w:tc>
          <w:tcPr>
            <w:tcW w:w="1221" w:type="pct"/>
            <w:vAlign w:val="center"/>
          </w:tcPr>
          <w:p w14:paraId="07D3322F">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eastAsia="宋体"/>
                <w:sz w:val="21"/>
                <w:szCs w:val="20"/>
                <w:lang w:eastAsia="zh-CN"/>
              </w:rPr>
              <w:t>凤阳县经开区二水厂水源地（淮河）</w:t>
            </w:r>
          </w:p>
        </w:tc>
        <w:tc>
          <w:tcPr>
            <w:tcW w:w="1362" w:type="pct"/>
            <w:gridSpan w:val="5"/>
            <w:vAlign w:val="center"/>
          </w:tcPr>
          <w:p w14:paraId="4C38EB3F">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eastAsia="宋体"/>
                <w:color w:val="auto"/>
                <w:sz w:val="21"/>
                <w:szCs w:val="18"/>
              </w:rPr>
              <w:t>III</w:t>
            </w:r>
            <w:r>
              <w:rPr>
                <w:rFonts w:ascii="Times New Roman" w:hAnsi="Times New Roman" w:eastAsia="宋体"/>
                <w:color w:val="auto"/>
                <w:sz w:val="21"/>
                <w:szCs w:val="21"/>
              </w:rPr>
              <w:t>类水体</w:t>
            </w:r>
          </w:p>
        </w:tc>
        <w:tc>
          <w:tcPr>
            <w:tcW w:w="1533" w:type="pct"/>
            <w:gridSpan w:val="3"/>
            <w:vAlign w:val="center"/>
          </w:tcPr>
          <w:p w14:paraId="3EA5B63D">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eastAsia="宋体"/>
                <w:color w:val="auto"/>
                <w:sz w:val="21"/>
                <w:szCs w:val="21"/>
                <w:lang w:eastAsia="zh-CN"/>
              </w:rPr>
              <w:t>不跨省</w:t>
            </w:r>
          </w:p>
        </w:tc>
      </w:tr>
      <w:tr w14:paraId="5680539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07EA35A8">
            <w:pPr>
              <w:pStyle w:val="62"/>
              <w:adjustRightInd w:val="0"/>
              <w:snapToGrid w:val="0"/>
              <w:spacing w:before="0" w:after="0"/>
              <w:jc w:val="center"/>
              <w:rPr>
                <w:rFonts w:ascii="Times New Roman" w:hAnsi="Times New Roman" w:eastAsia="宋体"/>
                <w:b/>
                <w:color w:val="auto"/>
                <w:sz w:val="21"/>
                <w:szCs w:val="21"/>
                <w:lang w:eastAsia="zh-CN"/>
              </w:rPr>
            </w:pPr>
          </w:p>
        </w:tc>
        <w:tc>
          <w:tcPr>
            <w:tcW w:w="3513" w:type="pct"/>
            <w:gridSpan w:val="9"/>
            <w:vAlign w:val="center"/>
          </w:tcPr>
          <w:p w14:paraId="3F192E18">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eastAsia="宋体"/>
                <w:color w:val="auto"/>
                <w:sz w:val="21"/>
                <w:szCs w:val="21"/>
                <w:lang w:eastAsia="zh-CN"/>
              </w:rPr>
              <w:t>地表水环境敏感程度E值</w:t>
            </w:r>
          </w:p>
        </w:tc>
        <w:tc>
          <w:tcPr>
            <w:tcW w:w="1026" w:type="pct"/>
            <w:gridSpan w:val="2"/>
            <w:vAlign w:val="center"/>
          </w:tcPr>
          <w:p w14:paraId="440A342C">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eastAsia="宋体"/>
                <w:color w:val="auto"/>
                <w:sz w:val="21"/>
                <w:szCs w:val="21"/>
              </w:rPr>
              <w:t>E</w:t>
            </w:r>
            <w:r>
              <w:rPr>
                <w:rFonts w:ascii="Times New Roman" w:hAnsi="Times New Roman" w:eastAsia="宋体"/>
                <w:color w:val="auto"/>
                <w:sz w:val="21"/>
                <w:szCs w:val="21"/>
                <w:lang w:eastAsia="zh-CN"/>
              </w:rPr>
              <w:t>1</w:t>
            </w:r>
          </w:p>
        </w:tc>
      </w:tr>
      <w:tr w14:paraId="25A2D83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restart"/>
            <w:vAlign w:val="center"/>
          </w:tcPr>
          <w:p w14:paraId="14131535">
            <w:pPr>
              <w:pStyle w:val="62"/>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地下水</w:t>
            </w:r>
          </w:p>
        </w:tc>
        <w:tc>
          <w:tcPr>
            <w:tcW w:w="423" w:type="pct"/>
            <w:gridSpan w:val="2"/>
            <w:vAlign w:val="center"/>
          </w:tcPr>
          <w:p w14:paraId="3B214DD3">
            <w:pPr>
              <w:pStyle w:val="62"/>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序号</w:t>
            </w:r>
          </w:p>
        </w:tc>
        <w:tc>
          <w:tcPr>
            <w:tcW w:w="1447" w:type="pct"/>
            <w:gridSpan w:val="2"/>
            <w:vAlign w:val="center"/>
          </w:tcPr>
          <w:p w14:paraId="07B35AA4">
            <w:pPr>
              <w:pStyle w:val="62"/>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环境敏感区名称</w:t>
            </w:r>
          </w:p>
        </w:tc>
        <w:tc>
          <w:tcPr>
            <w:tcW w:w="569" w:type="pct"/>
            <w:vAlign w:val="center"/>
          </w:tcPr>
          <w:p w14:paraId="06A907E5">
            <w:pPr>
              <w:pStyle w:val="62"/>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环境敏感特征</w:t>
            </w:r>
          </w:p>
        </w:tc>
        <w:tc>
          <w:tcPr>
            <w:tcW w:w="445" w:type="pct"/>
            <w:vAlign w:val="center"/>
          </w:tcPr>
          <w:p w14:paraId="1DA08627">
            <w:pPr>
              <w:pStyle w:val="62"/>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水质目标</w:t>
            </w:r>
          </w:p>
        </w:tc>
        <w:tc>
          <w:tcPr>
            <w:tcW w:w="628" w:type="pct"/>
            <w:gridSpan w:val="3"/>
            <w:vAlign w:val="center"/>
          </w:tcPr>
          <w:p w14:paraId="32475538">
            <w:pPr>
              <w:pStyle w:val="62"/>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包气带防污性能</w:t>
            </w:r>
          </w:p>
        </w:tc>
        <w:tc>
          <w:tcPr>
            <w:tcW w:w="1026" w:type="pct"/>
            <w:gridSpan w:val="2"/>
            <w:vAlign w:val="center"/>
          </w:tcPr>
          <w:p w14:paraId="759D1105">
            <w:pPr>
              <w:pStyle w:val="62"/>
              <w:adjustRightInd w:val="0"/>
              <w:snapToGrid w:val="0"/>
              <w:spacing w:before="0" w:after="0"/>
              <w:jc w:val="center"/>
              <w:rPr>
                <w:rFonts w:ascii="Times New Roman" w:hAnsi="Times New Roman" w:eastAsia="宋体"/>
                <w:b/>
                <w:color w:val="auto"/>
                <w:sz w:val="21"/>
                <w:szCs w:val="21"/>
              </w:rPr>
            </w:pPr>
            <w:r>
              <w:rPr>
                <w:rFonts w:ascii="Times New Roman" w:hAnsi="Times New Roman" w:eastAsia="宋体"/>
                <w:b/>
                <w:color w:val="auto"/>
                <w:sz w:val="21"/>
                <w:szCs w:val="21"/>
              </w:rPr>
              <w:t>与下游厂界距离/m</w:t>
            </w:r>
          </w:p>
        </w:tc>
      </w:tr>
      <w:tr w14:paraId="69692DC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734C8E83">
            <w:pPr>
              <w:pStyle w:val="62"/>
              <w:adjustRightInd w:val="0"/>
              <w:snapToGrid w:val="0"/>
              <w:spacing w:before="0" w:after="0"/>
              <w:jc w:val="center"/>
              <w:rPr>
                <w:rFonts w:ascii="Times New Roman" w:hAnsi="Times New Roman" w:eastAsia="宋体"/>
                <w:color w:val="auto"/>
                <w:sz w:val="21"/>
                <w:szCs w:val="21"/>
              </w:rPr>
            </w:pPr>
          </w:p>
        </w:tc>
        <w:tc>
          <w:tcPr>
            <w:tcW w:w="423" w:type="pct"/>
            <w:gridSpan w:val="2"/>
            <w:vAlign w:val="center"/>
          </w:tcPr>
          <w:p w14:paraId="5B043911">
            <w:pPr>
              <w:pStyle w:val="62"/>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1</w:t>
            </w:r>
          </w:p>
        </w:tc>
        <w:tc>
          <w:tcPr>
            <w:tcW w:w="1447" w:type="pct"/>
            <w:gridSpan w:val="2"/>
            <w:vAlign w:val="center"/>
          </w:tcPr>
          <w:p w14:paraId="4C0E1638">
            <w:pPr>
              <w:pStyle w:val="62"/>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无</w:t>
            </w:r>
          </w:p>
        </w:tc>
        <w:tc>
          <w:tcPr>
            <w:tcW w:w="569" w:type="pct"/>
            <w:vAlign w:val="center"/>
          </w:tcPr>
          <w:p w14:paraId="53774267">
            <w:pPr>
              <w:pStyle w:val="62"/>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w:t>
            </w:r>
          </w:p>
        </w:tc>
        <w:tc>
          <w:tcPr>
            <w:tcW w:w="445" w:type="pct"/>
            <w:vAlign w:val="center"/>
          </w:tcPr>
          <w:p w14:paraId="213B3E04">
            <w:pPr>
              <w:pStyle w:val="62"/>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Ⅲ类</w:t>
            </w:r>
          </w:p>
        </w:tc>
        <w:tc>
          <w:tcPr>
            <w:tcW w:w="628" w:type="pct"/>
            <w:gridSpan w:val="3"/>
            <w:vAlign w:val="center"/>
          </w:tcPr>
          <w:p w14:paraId="78C6D5B3">
            <w:pPr>
              <w:pStyle w:val="62"/>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D2</w:t>
            </w:r>
          </w:p>
        </w:tc>
        <w:tc>
          <w:tcPr>
            <w:tcW w:w="1026" w:type="pct"/>
            <w:gridSpan w:val="2"/>
            <w:vAlign w:val="center"/>
          </w:tcPr>
          <w:p w14:paraId="7F012158">
            <w:pPr>
              <w:pStyle w:val="62"/>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w:t>
            </w:r>
          </w:p>
        </w:tc>
      </w:tr>
      <w:tr w14:paraId="143205C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61" w:type="pct"/>
            <w:vMerge w:val="continue"/>
            <w:vAlign w:val="center"/>
          </w:tcPr>
          <w:p w14:paraId="030DC1B3">
            <w:pPr>
              <w:pStyle w:val="62"/>
              <w:adjustRightInd w:val="0"/>
              <w:snapToGrid w:val="0"/>
              <w:spacing w:before="0" w:after="0"/>
              <w:jc w:val="center"/>
              <w:rPr>
                <w:rFonts w:ascii="Times New Roman" w:hAnsi="Times New Roman" w:eastAsia="宋体"/>
                <w:color w:val="auto"/>
                <w:sz w:val="21"/>
                <w:szCs w:val="21"/>
              </w:rPr>
            </w:pPr>
          </w:p>
        </w:tc>
        <w:tc>
          <w:tcPr>
            <w:tcW w:w="3513" w:type="pct"/>
            <w:gridSpan w:val="9"/>
            <w:vAlign w:val="center"/>
          </w:tcPr>
          <w:p w14:paraId="41CCAF6B">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eastAsia="宋体"/>
                <w:color w:val="auto"/>
                <w:sz w:val="21"/>
                <w:szCs w:val="21"/>
                <w:lang w:eastAsia="zh-CN"/>
              </w:rPr>
              <w:t>地下水环境敏感程度E值</w:t>
            </w:r>
          </w:p>
        </w:tc>
        <w:tc>
          <w:tcPr>
            <w:tcW w:w="1026" w:type="pct"/>
            <w:gridSpan w:val="2"/>
            <w:vAlign w:val="center"/>
          </w:tcPr>
          <w:p w14:paraId="647268F9">
            <w:pPr>
              <w:pStyle w:val="62"/>
              <w:adjustRightInd w:val="0"/>
              <w:snapToGrid w:val="0"/>
              <w:spacing w:before="0" w:after="0"/>
              <w:jc w:val="center"/>
              <w:rPr>
                <w:rFonts w:ascii="Times New Roman" w:hAnsi="Times New Roman" w:eastAsia="宋体"/>
                <w:color w:val="auto"/>
                <w:sz w:val="21"/>
                <w:szCs w:val="21"/>
                <w:lang w:eastAsia="zh-CN"/>
              </w:rPr>
            </w:pPr>
            <w:r>
              <w:rPr>
                <w:rFonts w:ascii="Times New Roman" w:hAnsi="Times New Roman" w:eastAsia="宋体"/>
                <w:color w:val="auto"/>
                <w:sz w:val="21"/>
                <w:szCs w:val="21"/>
              </w:rPr>
              <w:t>E</w:t>
            </w:r>
            <w:r>
              <w:rPr>
                <w:rFonts w:ascii="Times New Roman" w:hAnsi="Times New Roman" w:eastAsia="宋体"/>
                <w:color w:val="auto"/>
                <w:sz w:val="21"/>
                <w:szCs w:val="21"/>
                <w:lang w:eastAsia="zh-CN"/>
              </w:rPr>
              <w:t>3</w:t>
            </w:r>
          </w:p>
        </w:tc>
      </w:tr>
    </w:tbl>
    <w:p w14:paraId="5E147DA8">
      <w:pPr>
        <w:adjustRightInd w:val="0"/>
        <w:snapToGrid w:val="0"/>
        <w:spacing w:line="360" w:lineRule="auto"/>
        <w:rPr>
          <w:rFonts w:ascii="Times New Roman" w:hAnsi="Times New Roman" w:cs="Times New Roman"/>
          <w:color w:val="auto"/>
        </w:rPr>
      </w:pPr>
      <w:r>
        <w:rPr>
          <w:snapToGrid/>
          <w:color w:val="auto"/>
          <w:lang w:eastAsia="zh-CN"/>
        </w:rPr>
        <mc:AlternateContent>
          <mc:Choice Requires="wps">
            <w:drawing>
              <wp:anchor distT="0" distB="0" distL="114300" distR="114300" simplePos="0" relativeHeight="251923456" behindDoc="0" locked="0" layoutInCell="1" allowOverlap="1">
                <wp:simplePos x="0" y="0"/>
                <wp:positionH relativeFrom="column">
                  <wp:posOffset>131445</wp:posOffset>
                </wp:positionH>
                <wp:positionV relativeFrom="paragraph">
                  <wp:posOffset>2148840</wp:posOffset>
                </wp:positionV>
                <wp:extent cx="2353945" cy="1255395"/>
                <wp:effectExtent l="0" t="0" r="8255" b="1905"/>
                <wp:wrapNone/>
                <wp:docPr id="1918484271" name="矩形 606"/>
                <wp:cNvGraphicFramePr/>
                <a:graphic xmlns:a="http://schemas.openxmlformats.org/drawingml/2006/main">
                  <a:graphicData uri="http://schemas.microsoft.com/office/word/2010/wordprocessingShape">
                    <wps:wsp>
                      <wps:cNvSpPr/>
                      <wps:spPr>
                        <a:xfrm>
                          <a:off x="0" y="0"/>
                          <a:ext cx="2354239" cy="1255594"/>
                        </a:xfrm>
                        <a:prstGeom prst="rect">
                          <a:avLst/>
                        </a:prstGeom>
                        <a:solidFill>
                          <a:srgbClr val="FFFF00">
                            <a:alpha val="4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606" o:spid="_x0000_s1026" o:spt="1" style="position:absolute;left:0pt;margin-left:10.35pt;margin-top:169.2pt;height:98.85pt;width:185.35pt;z-index:251923456;v-text-anchor:middle;mso-width-relative:page;mso-height-relative:page;" fillcolor="#FFFF00" filled="t" stroked="f" coordsize="21600,21600" o:gfxdata="UEsDBAoAAAAAAIdO4kAAAAAAAAAAAAAAAAAEAAAAZHJzL1BLAwQUAAAACACHTuJANdraU9sAAAAK&#10;AQAADwAAAGRycy9kb3ducmV2LnhtbE2PwU7DMAyG70i8Q2Qkbixpy8YoTSdUaULcthVp2y1tQlut&#10;cUqTbeXtMSe42fKn39+frSbbs4sZfedQQjQTwAzWTnfYSPgo1w9LYD4o1Kp3aCR8Gw+r/PYmU6l2&#10;V9yayy40jELQp0pCG8KQcu7r1ljlZ24wSLdPN1oVaB0brkd1pXDb81iIBbeqQ/rQqsEUralPu7OV&#10;sK7f/OawmeJifirLqnjdfx3f91Le30XiBVgwU/iD4Vef1CEnp8qdUXvWS4jFE5ESkmT5CIyA5Dmi&#10;oZIwTxYR8Dzj/yvkP1BLAwQUAAAACACHTuJAEAeRk4QCAAD4BAAADgAAAGRycy9lMm9Eb2MueG1s&#10;rVTNbtswDL4P2DsIuq92XKdNjDpF0CDDgGIt0A07M7IcC9DfJCVO9zIDdttD7HGGvcYo2U27boce&#10;loNDivTHj59IX1welCR77rwwuqaTk5wSrplphN7W9OOH9ZsZJT6AbkAazWt6zz29XLx+ddHbihem&#10;M7LhjiCI9lVva9qFYKss86zjCvyJsVxjsDVOQUDXbbPGQY/oSmZFnp9lvXGNdYZx7/F0NQTpiOhe&#10;AmjaVjC+MmynuA4DquMSArbkO2E9XSS2bctZuGlbzwORNcVOQ3piEbQ38ZktLqDaOrCdYCMFeAmF&#10;Zz0pEBqLHqFWEIDsnPgLSgnmjDdtOGFGZUMjSRHsYpI/0+auA8tTLyi1t0fR/f+DZe/3t46IBidh&#10;PpmVs7I4n1CiQeHN//r6/eePb+QsP4sy9dZXmH1nb93oeTRjz4fWqfiP3ZBDkvb+KC0/BMLwsDid&#10;lsXpnBKGsUkxnU7nZUTNHl+3zoe33CgSjZo6vLskKeyvfRhSH1JiNW+kaNZCyuS47eZKOrIHvOc1&#10;/vJ8eFfaDobTMsffWNIP6an8HzhSkz7yO8dUwgDHu8WxQlNZlMjrLSUgt7g3LLhUQJtIAdlBFcmt&#10;wHdDuQQby0GlRMCNkULVdBZJPLCQGglEWQcho7UxzT3ehzPDoHrL1gJhr8GHW3A4mUgLdzfc4KOV&#10;Brma0aKkM+7Lv85jPg4MRinpcdKxj887cJwS+U7jKM0nZRlXIznl9LxAxz2NbJ5G9E5dGRQZpwTZ&#10;JTPmB/lgts6oT7jiy1gVQ6AZ1h4UG52rMGwgfiQYXy5TGq6DhXCt7yyL4FE3bZa7YFqRLv9RnVE0&#10;XIh0f+Pyxo176qesxw/W4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12tpT2wAAAAoBAAAPAAAA&#10;AAAAAAEAIAAAACIAAABkcnMvZG93bnJldi54bWxQSwECFAAUAAAACACHTuJAEAeRk4QCAAD4BAAA&#10;DgAAAAAAAAABACAAAAAqAQAAZHJzL2Uyb0RvYy54bWxQSwUGAAAAAAYABgBZAQAAIAYAAAAA&#10;">
                <v:fill on="t" opacity="26214f" focussize="0,0"/>
                <v:stroke on="f" weight="1pt" miterlimit="8" joinstyle="miter"/>
                <v:imagedata o:title=""/>
                <o:lock v:ext="edit" aspectratio="f"/>
              </v:rect>
            </w:pict>
          </mc:Fallback>
        </mc:AlternateContent>
      </w:r>
      <w:r>
        <w:rPr>
          <w:rFonts w:hint="eastAsia"/>
        </w:rPr>
        <mc:AlternateContent>
          <mc:Choice Requires="wps">
            <w:drawing>
              <wp:anchor distT="0" distB="0" distL="114300" distR="114300" simplePos="0" relativeHeight="251922432" behindDoc="0" locked="0" layoutInCell="1" allowOverlap="1">
                <wp:simplePos x="0" y="0"/>
                <wp:positionH relativeFrom="column">
                  <wp:posOffset>3204845</wp:posOffset>
                </wp:positionH>
                <wp:positionV relativeFrom="paragraph">
                  <wp:posOffset>2291080</wp:posOffset>
                </wp:positionV>
                <wp:extent cx="375285" cy="1187450"/>
                <wp:effectExtent l="0" t="0" r="0" b="0"/>
                <wp:wrapNone/>
                <wp:docPr id="1204078681" name="文本框 39"/>
                <wp:cNvGraphicFramePr/>
                <a:graphic xmlns:a="http://schemas.openxmlformats.org/drawingml/2006/main">
                  <a:graphicData uri="http://schemas.microsoft.com/office/word/2010/wordprocessingShape">
                    <wps:wsp>
                      <wps:cNvSpPr txBox="1"/>
                      <wps:spPr>
                        <a:xfrm>
                          <a:off x="0" y="0"/>
                          <a:ext cx="375313" cy="1187355"/>
                        </a:xfrm>
                        <a:prstGeom prst="rect">
                          <a:avLst/>
                        </a:prstGeom>
                        <a:noFill/>
                        <a:ln w="6350">
                          <a:noFill/>
                        </a:ln>
                        <a:effectLst/>
                      </wps:spPr>
                      <wps:txbx>
                        <w:txbxContent>
                          <w:p w14:paraId="5DDC36A0">
                            <w:pPr>
                              <w:rPr>
                                <w:rFonts w:ascii="Times New Roman" w:hAnsi="Times New Roman" w:cs="Times New Roman"/>
                                <w:b/>
                                <w:bCs/>
                                <w:color w:val="EE0000"/>
                                <w:lang w:eastAsia="zh-CN"/>
                              </w:rPr>
                            </w:pPr>
                            <w:r>
                              <w:rPr>
                                <w:rFonts w:hint="eastAsia" w:ascii="Times New Roman" w:hAnsi="Times New Roman" w:cs="Times New Roman"/>
                                <w:b/>
                                <w:bCs/>
                                <w:color w:val="EE0000"/>
                                <w:lang w:eastAsia="zh-CN"/>
                              </w:rPr>
                              <w:t>汇</w:t>
                            </w:r>
                          </w:p>
                          <w:p w14:paraId="6BF16E93">
                            <w:pPr>
                              <w:rPr>
                                <w:rFonts w:ascii="Times New Roman" w:hAnsi="Times New Roman" w:cs="Times New Roman"/>
                                <w:b/>
                                <w:bCs/>
                                <w:color w:val="EE0000"/>
                                <w:lang w:eastAsia="zh-CN"/>
                              </w:rPr>
                            </w:pPr>
                            <w:r>
                              <w:rPr>
                                <w:rFonts w:hint="eastAsia" w:ascii="Times New Roman" w:hAnsi="Times New Roman" w:cs="Times New Roman"/>
                                <w:b/>
                                <w:bCs/>
                                <w:color w:val="EE0000"/>
                                <w:lang w:eastAsia="zh-CN"/>
                              </w:rPr>
                              <w:t>氟</w:t>
                            </w:r>
                          </w:p>
                          <w:p w14:paraId="367FA52A">
                            <w:pPr>
                              <w:rPr>
                                <w:rFonts w:ascii="Times New Roman" w:hAnsi="Times New Roman" w:cs="Times New Roman"/>
                                <w:b/>
                                <w:bCs/>
                                <w:color w:val="EE0000"/>
                                <w:lang w:eastAsia="zh-CN"/>
                              </w:rPr>
                            </w:pPr>
                            <w:r>
                              <w:rPr>
                                <w:rFonts w:hint="eastAsia" w:ascii="Times New Roman" w:hAnsi="Times New Roman" w:cs="Times New Roman"/>
                                <w:b/>
                                <w:bCs/>
                                <w:color w:val="EE0000"/>
                                <w:lang w:eastAsia="zh-CN"/>
                              </w:rPr>
                              <w:t>新</w:t>
                            </w:r>
                          </w:p>
                          <w:p w14:paraId="45980902">
                            <w:pPr>
                              <w:rPr>
                                <w:rFonts w:ascii="Times New Roman" w:hAnsi="Times New Roman" w:cs="Times New Roman"/>
                                <w:color w:val="FFFF00"/>
                                <w:lang w:eastAsia="zh-CN"/>
                              </w:rPr>
                            </w:pPr>
                            <w:r>
                              <w:rPr>
                                <w:rFonts w:hint="eastAsia" w:ascii="Times New Roman" w:hAnsi="Times New Roman" w:cs="Times New Roman"/>
                                <w:b/>
                                <w:bCs/>
                                <w:color w:val="EE0000"/>
                                <w:lang w:eastAsia="zh-CN"/>
                              </w:rPr>
                              <w:t>材料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39" o:spid="_x0000_s1026" o:spt="202" type="#_x0000_t202" style="position:absolute;left:0pt;margin-left:252.35pt;margin-top:180.4pt;height:93.5pt;width:29.55pt;z-index:251922432;mso-width-relative:page;mso-height-relative:page;" filled="f" stroked="f" coordsize="21600,21600" o:gfxdata="UEsDBAoAAAAAAIdO4kAAAAAAAAAAAAAAAAAEAAAAZHJzL1BLAwQUAAAACACHTuJAaOogg9sAAAAL&#10;AQAADwAAAGRycy9kb3ducmV2LnhtbE2PS0/DMBCE70j8B2srcaN2H0mjEKdCkSokBIeWXrhtYjeJ&#10;6keI3Qf8epZTuc1oP83OFOurNeysx9B7J2E2FcC0a7zqXSth/7F5zICFiE6h8U5L+NYB1uX9XYG5&#10;8he31eddbBmFuJCjhC7GIec8NJ22GKZ+0I5uBz9ajGTHlqsRLxRuDZ8LkXKLvaMPHQ666nRz3J2s&#10;hNdq847bem6zH1O9vB2eh6/9ZyLlw2QmnoBFfY03GP7qU3UoqVPtT04FZiQkYrkiVMIiFbSBiCRd&#10;kKhJLFcZ8LLg/zeUv1BLAwQUAAAACACHTuJAc27dHEoCAAB+BAAADgAAAGRycy9lMm9Eb2MueG1s&#10;rVTNbtQwEL4j8Q6W7zTJ/nfVbLW0KkKqaKWCOHsdu4lke4ztbbI8ALwBJy7cea59DsZOdlsVDj1w&#10;ccae8TfzfTPO2XmnFXkQzjdgSlqc5JQIw6FqzH1JP328erOgxAdmKqbAiJLuhKfnq9evzlq7FCOo&#10;QVXCEQQxftnaktYh2GWWeV4LzfwJWGHQKcFpFnDr7rPKsRbRtcpGeT7LWnCVdcCF93h62TvpgOhe&#10;AghSNlxcAt9qYUKP6oRiASn5urGerlK1UgoebqT0IhBVUmQa0opJ0N7ENVudseW9Y7Zu+FACe0kJ&#10;zzhp1hhMeoS6ZIGRrWv+gtINd+BBhhMOOuuJJEWQRZE/0+auZlYkLii1t0fR/f+D5R8ebh1pKpyE&#10;UT7J54vZoqDEMI2d3//4vv/5e//rGxmfRqFa65cYf2fxRujeQoeXDuceDyP/Tjodv8iMoB9l3h1l&#10;Fl0gHA/H8+m4GFPC0VUUi/l4Oo0w2eNt63x4J0CTaJTUYRuTuuzh2oc+9BASkxm4apRKrVSGtCWd&#10;jad5unD0ILgyMVakoRhgIqO+8miFbtMNNDdQ7ZClg35gvOVXDZZyzXy4ZQ4nBInhGwo3uEgFmBIG&#10;i5Ia3Nd/ncd4bBx6KWlx4krqv2yZE5So9wZbelpMJnFE02YynY9w4556Nk89ZqsvAIcau4XVJTPG&#10;B3UwpQP9GZ/aOmZFFzMcc5c0HMyL0L8DfKpcrNcpCIfSsnBt7iyP0L24620A2STdo0y9NtivuMGx&#10;TJ0bnlCc+6f7FPX421j9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GjqIIPbAAAACwEAAA8AAAAA&#10;AAAAAQAgAAAAIgAAAGRycy9kb3ducmV2LnhtbFBLAQIUABQAAAAIAIdO4kBzbt0cSgIAAH4EAAAO&#10;AAAAAAAAAAEAIAAAACoBAABkcnMvZTJvRG9jLnhtbFBLBQYAAAAABgAGAFkBAADmBQAAAAA=&#10;">
                <v:fill on="f" focussize="0,0"/>
                <v:stroke on="f" weight="0.5pt"/>
                <v:imagedata o:title=""/>
                <o:lock v:ext="edit" aspectratio="f"/>
                <v:textbox>
                  <w:txbxContent>
                    <w:p w14:paraId="5DDC36A0">
                      <w:pPr>
                        <w:rPr>
                          <w:rFonts w:ascii="Times New Roman" w:hAnsi="Times New Roman" w:cs="Times New Roman"/>
                          <w:b/>
                          <w:bCs/>
                          <w:color w:val="EE0000"/>
                          <w:lang w:eastAsia="zh-CN"/>
                        </w:rPr>
                      </w:pPr>
                      <w:r>
                        <w:rPr>
                          <w:rFonts w:hint="eastAsia" w:ascii="Times New Roman" w:hAnsi="Times New Roman" w:cs="Times New Roman"/>
                          <w:b/>
                          <w:bCs/>
                          <w:color w:val="EE0000"/>
                          <w:lang w:eastAsia="zh-CN"/>
                        </w:rPr>
                        <w:t>汇</w:t>
                      </w:r>
                    </w:p>
                    <w:p w14:paraId="6BF16E93">
                      <w:pPr>
                        <w:rPr>
                          <w:rFonts w:ascii="Times New Roman" w:hAnsi="Times New Roman" w:cs="Times New Roman"/>
                          <w:b/>
                          <w:bCs/>
                          <w:color w:val="EE0000"/>
                          <w:lang w:eastAsia="zh-CN"/>
                        </w:rPr>
                      </w:pPr>
                      <w:r>
                        <w:rPr>
                          <w:rFonts w:hint="eastAsia" w:ascii="Times New Roman" w:hAnsi="Times New Roman" w:cs="Times New Roman"/>
                          <w:b/>
                          <w:bCs/>
                          <w:color w:val="EE0000"/>
                          <w:lang w:eastAsia="zh-CN"/>
                        </w:rPr>
                        <w:t>氟</w:t>
                      </w:r>
                    </w:p>
                    <w:p w14:paraId="367FA52A">
                      <w:pPr>
                        <w:rPr>
                          <w:rFonts w:ascii="Times New Roman" w:hAnsi="Times New Roman" w:cs="Times New Roman"/>
                          <w:b/>
                          <w:bCs/>
                          <w:color w:val="EE0000"/>
                          <w:lang w:eastAsia="zh-CN"/>
                        </w:rPr>
                      </w:pPr>
                      <w:r>
                        <w:rPr>
                          <w:rFonts w:hint="eastAsia" w:ascii="Times New Roman" w:hAnsi="Times New Roman" w:cs="Times New Roman"/>
                          <w:b/>
                          <w:bCs/>
                          <w:color w:val="EE0000"/>
                          <w:lang w:eastAsia="zh-CN"/>
                        </w:rPr>
                        <w:t>新</w:t>
                      </w:r>
                    </w:p>
                    <w:p w14:paraId="45980902">
                      <w:pPr>
                        <w:rPr>
                          <w:rFonts w:ascii="Times New Roman" w:hAnsi="Times New Roman" w:cs="Times New Roman"/>
                          <w:color w:val="FFFF00"/>
                          <w:lang w:eastAsia="zh-CN"/>
                        </w:rPr>
                      </w:pPr>
                      <w:r>
                        <w:rPr>
                          <w:rFonts w:hint="eastAsia" w:ascii="Times New Roman" w:hAnsi="Times New Roman" w:cs="Times New Roman"/>
                          <w:b/>
                          <w:bCs/>
                          <w:color w:val="EE0000"/>
                          <w:lang w:eastAsia="zh-CN"/>
                        </w:rPr>
                        <w:t>材料</w:t>
                      </w:r>
                    </w:p>
                  </w:txbxContent>
                </v:textbox>
              </v:shape>
            </w:pict>
          </mc:Fallback>
        </mc:AlternateContent>
      </w:r>
      <w:r>
        <w:rPr>
          <w:snapToGrid/>
          <w:color w:val="auto"/>
          <w:lang w:eastAsia="zh-CN"/>
        </w:rPr>
        <mc:AlternateContent>
          <mc:Choice Requires="wps">
            <w:drawing>
              <wp:anchor distT="0" distB="0" distL="114300" distR="114300" simplePos="0" relativeHeight="251921408" behindDoc="0" locked="0" layoutInCell="1" allowOverlap="1">
                <wp:simplePos x="0" y="0"/>
                <wp:positionH relativeFrom="column">
                  <wp:posOffset>3210560</wp:posOffset>
                </wp:positionH>
                <wp:positionV relativeFrom="paragraph">
                  <wp:posOffset>2276475</wp:posOffset>
                </wp:positionV>
                <wp:extent cx="340995" cy="1146175"/>
                <wp:effectExtent l="0" t="0" r="1905" b="0"/>
                <wp:wrapNone/>
                <wp:docPr id="3040794" name="矩形 606"/>
                <wp:cNvGraphicFramePr/>
                <a:graphic xmlns:a="http://schemas.openxmlformats.org/drawingml/2006/main">
                  <a:graphicData uri="http://schemas.microsoft.com/office/word/2010/wordprocessingShape">
                    <wps:wsp>
                      <wps:cNvSpPr/>
                      <wps:spPr>
                        <a:xfrm>
                          <a:off x="0" y="0"/>
                          <a:ext cx="340995" cy="1146175"/>
                        </a:xfrm>
                        <a:prstGeom prst="rect">
                          <a:avLst/>
                        </a:prstGeom>
                        <a:solidFill>
                          <a:srgbClr val="FFFF00">
                            <a:alpha val="4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606" o:spid="_x0000_s1026" o:spt="1" style="position:absolute;left:0pt;margin-left:252.8pt;margin-top:179.25pt;height:90.25pt;width:26.85pt;z-index:251921408;v-text-anchor:middle;mso-width-relative:page;mso-height-relative:page;" fillcolor="#FFFF00" filled="t" stroked="f" coordsize="21600,21600" o:gfxdata="UEsDBAoAAAAAAIdO4kAAAAAAAAAAAAAAAAAEAAAAZHJzL1BLAwQUAAAACACHTuJAh3yGCNsAAAAL&#10;AQAADwAAAGRycy9kb3ducmV2LnhtbE2PwU7DMAyG70i8Q2QkbizZqkxbaTqhShPiNlakwS1tQlut&#10;cUqTbeXt8U7jZsuffn9/tplcz852DJ1HBfOZAGax9qbDRsFHuX1aAQtRo9G9R6vg1wbY5Pd3mU6N&#10;v+C7Pe9jwygEQ6oVtDEOKeehbq3TYeYHi3T79qPTkdax4WbUFwp3PV8IseROd0gfWj3YorX1cX9y&#10;Crb1a9h97qZFIY9lWRUvh5+vt4NSjw9z8Qws2ineYLjqkzrk5FT5E5rAegVSyCWhChK5ksCIkHKd&#10;AKtoSNYCeJ7x/x3yP1BLAwQUAAAACACHTuJAlPGsQYICAAD0BAAADgAAAGRycy9lMm9Eb2MueG1s&#10;rVTNbtswDL4P2DsIuq+2UzdpjDpF0CDDgGIt0A07M7IcC9DfJCVO9zIDdttD7HGGvcYo2U27boce&#10;5oNNivRH8iOpi8uDkmTPnRdG17Q4ySnhmplG6G1NP35YvzmnxAfQDUijeU3vuaeXi9evLnpb8Ynp&#10;jGy4IwiifdXbmnYh2CrLPOu4An9iLNdobI1TEFB126xx0CO6ktkkz6dZb1xjnWHcezxdDUY6IrqX&#10;AJq2FYyvDNsprsOA6riEgCX5TlhPFynbtuUs3LSt54HImmKlIb0xCMqb+M4WF1BtHdhOsDEFeEkK&#10;z2pSIDQGPUKtIADZOfEXlBLMGW/acMKMyoZCEiNYRZE/4+auA8tTLUi1t0fS/f+DZe/3t46Ipqan&#10;eZnP5iUlGhS2/dfX7z9/fCPTfBo56q2v0PXO3rpR8yjGgg+tU/GLpZBD4vX+yCs/BMLw8LTM5/Mz&#10;ShiaiqKcFrOzCJo9/m2dD2+5USQKNXXYt0Qn7K99GFwfXGIwb6Ro1kLKpLjt5ko6sgfs8RqfPB/+&#10;lbaD4bTM8RlD+sE9hf8DR2rSY36TGboSBjjaLY4UisoiPV5vKQG5xZ1hwaUA2sQUMDuoYnIr8N0Q&#10;LsHGcFApEXBbpFA1PY9JPGQhNSYQWR14jNLGNPfYC2eGIfWWrQXCXoMPt+BwKjEt3Ntwg69WGszV&#10;jBIlnXFf/nUe/XFY0EpJj1OOdXzegeOUyHcax2helGVci6SUZ7MJKu6pZfPUonfqyiDJBd4QliUx&#10;+gf5ILbOqE+43ssYFU2gGcYeGBuVqzBsH14QjC+XyQ1XwUK41neWRfDImzbLXTCtSM1/ZGckDZch&#10;9W9c3LhtT/Xk9XhZLX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h3yGCNsAAAALAQAADwAAAAAA&#10;AAABACAAAAAiAAAAZHJzL2Rvd25yZXYueG1sUEsBAhQAFAAAAAgAh07iQJTxrEGCAgAA9AQAAA4A&#10;AAAAAAAAAQAgAAAAKgEAAGRycy9lMm9Eb2MueG1sUEsFBgAAAAAGAAYAWQEAAB4GAAAAAA==&#10;">
                <v:fill on="t" opacity="26214f" focussize="0,0"/>
                <v:stroke on="f" weight="1pt" miterlimit="8" joinstyle="miter"/>
                <v:imagedata o:title=""/>
                <o:lock v:ext="edit" aspectratio="f"/>
              </v:rect>
            </w:pict>
          </mc:Fallback>
        </mc:AlternateContent>
      </w:r>
      <w:r>
        <w:rPr>
          <w:snapToGrid/>
          <w:color w:val="auto"/>
          <w:lang w:eastAsia="zh-CN"/>
        </w:rPr>
        <mc:AlternateContent>
          <mc:Choice Requires="wps">
            <w:drawing>
              <wp:anchor distT="0" distB="0" distL="114300" distR="114300" simplePos="0" relativeHeight="251917312" behindDoc="0" locked="0" layoutInCell="1" allowOverlap="1">
                <wp:simplePos x="0" y="0"/>
                <wp:positionH relativeFrom="column">
                  <wp:posOffset>4117975</wp:posOffset>
                </wp:positionH>
                <wp:positionV relativeFrom="paragraph">
                  <wp:posOffset>2181225</wp:posOffset>
                </wp:positionV>
                <wp:extent cx="990600" cy="1314450"/>
                <wp:effectExtent l="0" t="0" r="0" b="0"/>
                <wp:wrapNone/>
                <wp:docPr id="148201193" name="矩形 606"/>
                <wp:cNvGraphicFramePr/>
                <a:graphic xmlns:a="http://schemas.openxmlformats.org/drawingml/2006/main">
                  <a:graphicData uri="http://schemas.microsoft.com/office/word/2010/wordprocessingShape">
                    <wps:wsp>
                      <wps:cNvSpPr/>
                      <wps:spPr>
                        <a:xfrm>
                          <a:off x="0" y="0"/>
                          <a:ext cx="990600" cy="1314450"/>
                        </a:xfrm>
                        <a:prstGeom prst="rect">
                          <a:avLst/>
                        </a:prstGeom>
                        <a:solidFill>
                          <a:srgbClr val="FFFF00">
                            <a:alpha val="4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606" o:spid="_x0000_s1026" o:spt="1" style="position:absolute;left:0pt;margin-left:324.25pt;margin-top:171.75pt;height:103.5pt;width:78pt;z-index:251917312;v-text-anchor:middle;mso-width-relative:page;mso-height-relative:page;" fillcolor="#FFFF00" filled="t" stroked="f" coordsize="21600,21600" o:gfxdata="UEsDBAoAAAAAAIdO4kAAAAAAAAAAAAAAAAAEAAAAZHJzL1BLAwQUAAAACACHTuJA0OXiStsAAAAL&#10;AQAADwAAAGRycy9kb3ducmV2LnhtbE2PwU7DMAyG70i8Q2QkbizZ1kxVqTuhShPiNlakwS1tQlut&#10;SUqTbeXtMSe4/ZY//f6cb2c7sIuZQu8dwnIhgBnXeN27FuGt2j2kwEJUTqvBO4PwbQJsi9ubXGXa&#10;X92ruRxiy6jEhUwhdDGOGeeh6YxVYeFH42j36SerIo1Ty/WkrlRuB74SYsOt6h1d6NRoys40p8PZ&#10;Iuya57B/38+rUp6qqi6fjl8fL0fE+7uleAQWzRz/YPjVJ3UoyKn2Z6cDGxA2SSoJRVgnawpEpCKh&#10;UCNIKSTwIuf/fyh+AFBLAwQUAAAACACHTuJAAekESYACAAD2BAAADgAAAGRycy9lMm9Eb2MueG1s&#10;rVTNbhMxEL4j8Q6W73Q3aZo2UTdV1CgIqYJKBXF2vN6sJf9hO9mUl0HixkPwOIjX4LN320aFQw/s&#10;wZnxTGa++WbGl1cHrche+CCtqejopKREGG5rabYV/fRx/eaCkhCZqZmyRlT0XgR6tXj96rJzczG2&#10;rVW18ARBTJh3rqJtjG5eFIG3QrNwYp0wMDbWaxah+m1Re9YhulbFuCynRWd97bzlIgTcrnojHSL6&#10;lwS0TSO5WFm+08LEPqoXikWUFFrpAl1ktE0jePzQNEFEoiqKSmM+kQTyJp3F4pLNt565VvIBAnsJ&#10;hGc1aSYNkj6GWrHIyM7Lv0Jpyb0Ntokn3OqiLyQzgipG5TNu7lrmRK4FVAf3SHr4f2H5+/2tJ7LG&#10;JEwuAGE0O6XEMI3G//7249fP72RaThNLnQtzON+5Wz9oAWIq+dB4nX5RDDlkZu8fmRWHSDguZ7Ny&#10;WoJzDtPodDSZnGXqi6d/Ox/iW2E1SUJFPTqXCWX7mxCREa4PLilZsErWa6lUVvx2c6082TN0eY0P&#10;qdI9U65l/e2kxJfqQJzQu/fycRxlSAd84/MMlWG4GwwVUGsHgoLZUsLUFlvDo88JjE0QELUHt2Kh&#10;7dNleP1waRmxL0rqil4kEA8olAGAxGrPY5I2tr5HN7ztxzQ4vpZg44aFeMs85hIMYnPjBxyNssBq&#10;B4mS1vqv/7pP/hgXWCnpMOeo48uOeUGJemcwSDM0Iy1GViZn52Mo/tiyObaYnb62IHmEN8LxLCb/&#10;qB7Exlv9GQu+TFlhYoYjd8/YoFzHfv/wRHCxXGY3LINj8cbcOZ6CJ0KNXe6ibWRu/hM7A2lYh9y/&#10;YXXTvh3r2evpuVr8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NDl4krbAAAACwEAAA8AAAAAAAAA&#10;AQAgAAAAIgAAAGRycy9kb3ducmV2LnhtbFBLAQIUABQAAAAIAIdO4kAB6QRJgAIAAPYEAAAOAAAA&#10;AAAAAAEAIAAAACoBAABkcnMvZTJvRG9jLnhtbFBLBQYAAAAABgAGAFkBAAAcBgAAAAA=&#10;">
                <v:fill on="t" opacity="26214f" focussize="0,0"/>
                <v:stroke on="f" weight="1pt" miterlimit="8" joinstyle="miter"/>
                <v:imagedata o:title=""/>
                <o:lock v:ext="edit" aspectratio="f"/>
              </v:rect>
            </w:pict>
          </mc:Fallback>
        </mc:AlternateContent>
      </w:r>
      <w:r>
        <w:rPr>
          <w:snapToGrid/>
          <w:color w:val="auto"/>
          <w:lang w:eastAsia="zh-CN"/>
        </w:rPr>
        <mc:AlternateContent>
          <mc:Choice Requires="wps">
            <w:drawing>
              <wp:anchor distT="0" distB="0" distL="114300" distR="114300" simplePos="0" relativeHeight="251919360" behindDoc="0" locked="0" layoutInCell="1" allowOverlap="1">
                <wp:simplePos x="0" y="0"/>
                <wp:positionH relativeFrom="column">
                  <wp:posOffset>3810635</wp:posOffset>
                </wp:positionH>
                <wp:positionV relativeFrom="paragraph">
                  <wp:posOffset>688975</wp:posOffset>
                </wp:positionV>
                <wp:extent cx="1316990" cy="1460500"/>
                <wp:effectExtent l="0" t="0" r="0" b="6985"/>
                <wp:wrapNone/>
                <wp:docPr id="1142687906" name="矩形 606"/>
                <wp:cNvGraphicFramePr/>
                <a:graphic xmlns:a="http://schemas.openxmlformats.org/drawingml/2006/main">
                  <a:graphicData uri="http://schemas.microsoft.com/office/word/2010/wordprocessingShape">
                    <wps:wsp>
                      <wps:cNvSpPr/>
                      <wps:spPr>
                        <a:xfrm>
                          <a:off x="0" y="0"/>
                          <a:ext cx="1317009" cy="1460311"/>
                        </a:xfrm>
                        <a:prstGeom prst="rect">
                          <a:avLst/>
                        </a:prstGeom>
                        <a:solidFill>
                          <a:srgbClr val="FFFF00">
                            <a:alpha val="4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606" o:spid="_x0000_s1026" o:spt="1" style="position:absolute;left:0pt;margin-left:300.05pt;margin-top:54.25pt;height:115pt;width:103.7pt;z-index:251919360;v-text-anchor:middle;mso-width-relative:page;mso-height-relative:page;" fillcolor="#FFFF00" filled="t" stroked="f" coordsize="21600,21600" o:gfxdata="UEsDBAoAAAAAAIdO4kAAAAAAAAAAAAAAAAAEAAAAZHJzL1BLAwQUAAAACACHTuJARHtjR9oAAAAL&#10;AQAADwAAAGRycy9kb3ducmV2LnhtbE2PQU/DMAyF70j8h8hI3FjSTRtV13RClSbEbaxIg1vaem21&#10;xilNtpV/jzmxm+339Py9dDPZXlxw9J0jDdFMgUCqXN1Ro+Gj2D7FIHwwVJveEWr4QQ+b7P4uNUnt&#10;rvSOl31oBIeQT4yGNoQhkdJXLVrjZ25AYu3oRmsCr2Mj69FcOdz2cq7USlrTEX9ozYB5i9Vpf7Ya&#10;ttWr333upnm+PBVFmb8cvr/eDlo/PkRqDSLgFP7N8IfP6JAxU+nOVHvRa1gpFbGVBRUvQbAjVs88&#10;lBoWC77ILJW3HbJfUEsDBBQAAAAIAIdO4kD6+8fLhAIAAPgEAAAOAAAAZHJzL2Uyb0RvYy54bWyt&#10;VEtu2zAQ3RfoHQjuG0mO6yRG5MCI4aJA0AZIi65pirII8FeStpxepkB3PUSPU/QafaSUT9MusqgX&#10;8gxn9ObN44zOLw5akb3wQVpT0+qopEQYbhtptjX9+GH96pSSEJlpmLJG1PRWBHqxePnivHdzMbGd&#10;VY3wBCAmzHtX0y5GNy+KwDuhWTiyThgEW+s1i3D9tmg864GuVTEpy1nRW984b7kIAaerIUhHRP8c&#10;QNu2kouV5TstTBxQvVAsoqXQSRfoIrNtW8Hj+7YNIhJVU3Qa8xNFYG/Ss1ics/nWM9dJPlJgz6Hw&#10;pCfNpEHRe6gVi4zsvPwLSkvubbBtPOJWF0MjWRF0UZVPtLnpmBO5F0gd3L3o4f/B8nf7a09kg0mo&#10;ppPZ6clZOaPEMI2b//X1+88f38gMJ5Cpd2GO7Bt37UcvwEw9H1qv0z+6IYcs7e29tOIQCcdhdVyd&#10;lOUZJRyxajorj6sqoRYPrzsf4hthNUlGTT3uLkvK9lchDql3KalasEo2a6lUdvx2c6k82TPc8xq/&#10;shzeVa5jw+m0xG8sGYb0XP4PHGVID34TcAVVhvFuMVYwtYNEwWwpYWqLveHR5wLGJgpgx+aJ3IqF&#10;biiXYVM5NtcyYmOU1DU9TSTuWCgDAknWQchkbWxzi/vwdhjU4PhaAvaKhXjNPCYTtLC78T0erbLg&#10;akeLks76L/86T/kYGEQp6THp6OPzjnlBiXprMEpn1XSaViM709cnEzj+cWTzOGJ2+tJC5ApfCcez&#10;mfKjujNbb/UnrPgyVUWIGY7ag2KjcxmHDcRHgovlMqdhHRyLV+bG8QSedDN2uYu2lfnyH9QZRcNC&#10;5Psblzdt3GM/Zz18sBa/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ER7Y0faAAAACwEAAA8AAAAA&#10;AAAAAQAgAAAAIgAAAGRycy9kb3ducmV2LnhtbFBLAQIUABQAAAAIAIdO4kD6+8fLhAIAAPgEAAAO&#10;AAAAAAAAAAEAIAAAACkBAABkcnMvZTJvRG9jLnhtbFBLBQYAAAAABgAGAFkBAAAfBgAAAAA=&#10;">
                <v:fill on="t" opacity="26214f" focussize="0,0"/>
                <v:stroke on="f" weight="1pt" miterlimit="8" joinstyle="miter"/>
                <v:imagedata o:title=""/>
                <o:lock v:ext="edit" aspectratio="f"/>
              </v:rect>
            </w:pict>
          </mc:Fallback>
        </mc:AlternateContent>
      </w:r>
      <w:r>
        <w:rPr>
          <w:snapToGrid/>
          <w:color w:val="auto"/>
          <w:lang w:eastAsia="zh-CN"/>
        </w:rPr>
        <mc:AlternateContent>
          <mc:Choice Requires="wps">
            <w:drawing>
              <wp:anchor distT="0" distB="0" distL="114300" distR="114300" simplePos="0" relativeHeight="251927552" behindDoc="0" locked="0" layoutInCell="1" allowOverlap="1">
                <wp:simplePos x="0" y="0"/>
                <wp:positionH relativeFrom="column">
                  <wp:posOffset>5715</wp:posOffset>
                </wp:positionH>
                <wp:positionV relativeFrom="paragraph">
                  <wp:posOffset>3559810</wp:posOffset>
                </wp:positionV>
                <wp:extent cx="5063490" cy="2545080"/>
                <wp:effectExtent l="0" t="0" r="4445" b="7620"/>
                <wp:wrapNone/>
                <wp:docPr id="1174623591" name="矩形 606"/>
                <wp:cNvGraphicFramePr/>
                <a:graphic xmlns:a="http://schemas.openxmlformats.org/drawingml/2006/main">
                  <a:graphicData uri="http://schemas.microsoft.com/office/word/2010/wordprocessingShape">
                    <wps:wsp>
                      <wps:cNvSpPr/>
                      <wps:spPr>
                        <a:xfrm>
                          <a:off x="0" y="0"/>
                          <a:ext cx="5063320" cy="2545308"/>
                        </a:xfrm>
                        <a:prstGeom prst="rect">
                          <a:avLst/>
                        </a:prstGeom>
                        <a:solidFill>
                          <a:srgbClr val="FFFF00">
                            <a:alpha val="4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606" o:spid="_x0000_s1026" o:spt="1" style="position:absolute;left:0pt;margin-left:0.45pt;margin-top:280.3pt;height:200.4pt;width:398.7pt;z-index:251927552;v-text-anchor:middle;mso-width-relative:page;mso-height-relative:page;" fillcolor="#FFFF00" filled="t" stroked="f" coordsize="21600,21600" o:gfxdata="UEsDBAoAAAAAAIdO4kAAAAAAAAAAAAAAAAAEAAAAZHJzL1BLAwQUAAAACACHTuJAUXYrD9kAAAAI&#10;AQAADwAAAGRycy9kb3ducmV2LnhtbE2PwU7DMBBE70j8g7VI3KidQkMb4lQoUoW4tQ1S4eYkSxI1&#10;XofYbcPfs5zgODujmbfperK9OOPoO0caopkCgVS5uqNGw1uxuVuC8MFQbXpHqOEbPayz66vUJLW7&#10;0A7P+9AILiGfGA1tCEMipa9atMbP3IDE3qcbrQksx0bWo7lwue3lXKlYWtMRL7RmwLzF6rg/WQ2b&#10;6sVv37fTPF8ci6LMnw9fH68HrW9vIvUEIuAU/sLwi8/okDFT6U5Ue9FrWHFOwyJWMQi2H1fLexAl&#10;3+PoAWSWyv8PZD9QSwMEFAAAAAgAh07iQCFyXPSDAgAA+AQAAA4AAABkcnMvZTJvRG9jLnhtbK1U&#10;S27bMBDdF+gdCO4byd84QuzAiOGiQNAESIuuaYqyCPBXkv6klynQXQ/R4xS9Rh8p5dO0iyyqBTXD&#10;Gb2ZeTOj84ujVmQvfJDWzOngpKREGG5rabZz+vHD+s2MkhCZqZmyRszpnQj0YvH61fnBVWJoW6tq&#10;4QlATKgObk7bGF1VFIG3QrNwYp0wMDbWaxah+m1Re3YAulbFsCynxcH62nnLRQi4XXVG2iP6lwDa&#10;ppFcrCzfaWFih+qFYhElhVa6QBc526YRPF43TRCRqDlFpTGfCAJ5k85icc6qrWeulbxPgb0khWc1&#10;aSYNgj5ArVhkZOflX1Bacm+DbeIJt7roCsmMoIpB+Yyb25Y5kWsB1cE9kB7+Hyx/v7/xRNaYhMHp&#10;eDocTc4GlBim0flfX7///PGNTMtpoungQgXvW3fjey1ATDUfG6/TG9WQY6b27oFacYyE43JSTkej&#10;IVjnsA0n48monCXU4vFz50N8K6wmSZhTj95lStn+KsTO9d4lRQtWyXotlcqK324ulSd7hj6v8ZRl&#10;961yLetuxyWePmTo3HP4P3CUIQdQMTyFK+EM491grCBqB4qC2VLC1BZ7w6PPAYxNKSA7VqXkViy0&#10;XbgMm8KxSsuIjVFSz+ksJXGfhTJIINHaEZmkja3v0A9vu0ENjq8lYK9YiDfMYzKRFnY3XuNolEWu&#10;tpcoaa3/8q/75I+BgZWSAyYddXzeMS8oUe8MRulsMB4DNmZlPDlNXfJPLZunFrPTlxYkY0qQXRaT&#10;f1T3YuOt/oQVX6aoMDHDEbtjrFcuY7eB+ElwsVxmN6yDY/HK3DqewBNvxi530TYyN/+RnZ40LETu&#10;X7+8aeOe6tnr8Ye1+A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BRdisP2QAAAAgBAAAPAAAAAAAA&#10;AAEAIAAAACIAAABkcnMvZG93bnJldi54bWxQSwECFAAUAAAACACHTuJAIXJc9IMCAAD4BAAADgAA&#10;AAAAAAABACAAAAAoAQAAZHJzL2Uyb0RvYy54bWxQSwUGAAAAAAYABgBZAQAAHQYAAAAA&#10;">
                <v:fill on="t" opacity="26214f" focussize="0,0"/>
                <v:stroke on="f" weight="1pt" miterlimit="8" joinstyle="miter"/>
                <v:imagedata o:title=""/>
                <o:lock v:ext="edit" aspectratio="f"/>
              </v:rect>
            </w:pict>
          </mc:Fallback>
        </mc:AlternateContent>
      </w:r>
      <w:r>
        <w:rPr>
          <w:color w:val="auto"/>
          <w:lang w:eastAsia="zh-CN"/>
        </w:rPr>
        <w:drawing>
          <wp:anchor distT="0" distB="0" distL="114300" distR="114300" simplePos="0" relativeHeight="251774976" behindDoc="0" locked="0" layoutInCell="1" allowOverlap="1">
            <wp:simplePos x="0" y="0"/>
            <wp:positionH relativeFrom="margin">
              <wp:posOffset>5059680</wp:posOffset>
            </wp:positionH>
            <wp:positionV relativeFrom="paragraph">
              <wp:posOffset>234315</wp:posOffset>
            </wp:positionV>
            <wp:extent cx="1062990" cy="803910"/>
            <wp:effectExtent l="0" t="0" r="3810" b="0"/>
            <wp:wrapNone/>
            <wp:docPr id="5404"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4" name="图片 12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1062990" cy="803910"/>
                    </a:xfrm>
                    <a:prstGeom prst="rect">
                      <a:avLst/>
                    </a:prstGeom>
                    <a:noFill/>
                    <a:ln>
                      <a:noFill/>
                    </a:ln>
                    <a:effectLst/>
                  </pic:spPr>
                </pic:pic>
              </a:graphicData>
            </a:graphic>
          </wp:anchor>
        </w:drawing>
      </w:r>
      <w:r>
        <w:rPr>
          <w:rFonts w:hint="eastAsia"/>
        </w:rPr>
        <mc:AlternateContent>
          <mc:Choice Requires="wps">
            <w:drawing>
              <wp:anchor distT="0" distB="0" distL="114300" distR="114300" simplePos="0" relativeHeight="251920384" behindDoc="0" locked="0" layoutInCell="1" allowOverlap="1">
                <wp:simplePos x="0" y="0"/>
                <wp:positionH relativeFrom="column">
                  <wp:posOffset>3820160</wp:posOffset>
                </wp:positionH>
                <wp:positionV relativeFrom="paragraph">
                  <wp:posOffset>1280160</wp:posOffset>
                </wp:positionV>
                <wp:extent cx="1075055" cy="292735"/>
                <wp:effectExtent l="0" t="0" r="0" b="0"/>
                <wp:wrapNone/>
                <wp:docPr id="881098276" name="文本框 39"/>
                <wp:cNvGraphicFramePr/>
                <a:graphic xmlns:a="http://schemas.openxmlformats.org/drawingml/2006/main">
                  <a:graphicData uri="http://schemas.microsoft.com/office/word/2010/wordprocessingShape">
                    <wps:wsp>
                      <wps:cNvSpPr txBox="1"/>
                      <wps:spPr>
                        <a:xfrm>
                          <a:off x="0" y="0"/>
                          <a:ext cx="1075335" cy="292735"/>
                        </a:xfrm>
                        <a:prstGeom prst="rect">
                          <a:avLst/>
                        </a:prstGeom>
                        <a:noFill/>
                        <a:ln w="6350">
                          <a:noFill/>
                        </a:ln>
                        <a:effectLst/>
                      </wps:spPr>
                      <wps:txbx>
                        <w:txbxContent>
                          <w:p w14:paraId="2EE690DD">
                            <w:pPr>
                              <w:rPr>
                                <w:rFonts w:ascii="Times New Roman" w:hAnsi="Times New Roman" w:cs="Times New Roman"/>
                                <w:color w:val="FFFF00"/>
                                <w:lang w:eastAsia="zh-CN"/>
                              </w:rPr>
                            </w:pPr>
                            <w:r>
                              <w:rPr>
                                <w:rFonts w:hint="eastAsia" w:ascii="Times New Roman" w:hAnsi="Times New Roman" w:cs="Times New Roman"/>
                                <w:b/>
                                <w:bCs/>
                                <w:color w:val="EE0000"/>
                                <w:lang w:eastAsia="zh-CN"/>
                              </w:rPr>
                              <w:t>中草新材料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39" o:spid="_x0000_s1026" o:spt="202" type="#_x0000_t202" style="position:absolute;left:0pt;margin-left:300.8pt;margin-top:100.8pt;height:23.05pt;width:84.65pt;z-index:251920384;mso-width-relative:page;mso-height-relative:page;" filled="f" stroked="f" coordsize="21600,21600" o:gfxdata="UEsDBAoAAAAAAIdO4kAAAAAAAAAAAAAAAAAEAAAAZHJzL1BLAwQUAAAACACHTuJAxqknNNoAAAAL&#10;AQAADwAAAGRycy9kb3ducmV2LnhtbE2Py07DMBBF90j8gzVI7KidCJI2jVOhSBUSgkVLN+yc2E0i&#10;7HGI3Qd8PUM3sJvH0Z0z5ersLDuaKQweJSQzAcxg6/WAnYTd2/puDixEhVpZj0bClwmwqq6vSlVo&#10;f8KNOW5jxygEQ6Ek9DGOBeeh7Y1TYeZHg7Tb+8mpSO3UcT2pE4U7y1MhMu7UgHShV6Ope9N+bA9O&#10;wnO9flWbJnXzb1s/vewfx8/d+4OUtzeJWAKL5hz/YPjVJ3WoyKnxB9SBWQmZSDJCJaSXgog8Fwtg&#10;DU3u8xx4VfL/P1Q/UEsDBBQAAAAIAIdO4kA7xIDRSgIAAH0EAAAOAAAAZHJzL2Uyb0RvYy54bWyt&#10;VM1uEzEQviPxDpbvdDdJ0/yomyq0KkKKaKWCODteO7uS7TG2093wAPAGnLhw57nyHIy9mzQqHHrg&#10;4h17xt/4+2ZmL69arcijcL4GU9DBWU6JMBzK2mwK+unj7ZspJT4wUzIFRhR0Jzy9Wrx+ddnYuRhC&#10;BaoUjiCI8fPGFrQKwc6zzPNKaObPwAqDTglOs4Bbt8lKxxpE1yob5vlF1oArrQMuvMfTm85Je0T3&#10;EkCQsubiBvhWCxM6VCcUC0jJV7X1dJFeK6Xg4U5KLwJRBUWmIa2YBO11XLPFJZtvHLNVzfsnsJc8&#10;4RknzWqDSY9QNywwsnX1X1C65g48yHDGQWcdkaQIshjkz7R5qJgViQtK7e1RdP//YPmHx3tH6rKg&#10;0+kgn02HkwtKDNNY+P2P7/ufv/e/vpHRLOrUWD/H8AeLF0L7FlrsnsO5x8NIv5VOxy8SI+hHlXdH&#10;lUUbCI+X8sl4NBpTwtE3nA0naCN89nTbOh/eCdAkGgV1WMUkLntc+dCFHkJiMgO3tVKpksqQpqAX&#10;o3GeLhw9CK5MjBWpJ3qYyKh7ebRCu257mmsod8jSQdcv3vLbGp+yYj7cM4cNgsRwhMIdLlIBpoTe&#10;oqQC9/Vf5zEe64ZeShpsuIL6L1vmBCXqvcGKzgbn57FD0+Z8PBnixp161qces9XXgD09wGG1PJkx&#10;PqiDKR3ozzhpy5gVXcxwzF3QcDCvQzcGOKlcLJcpCHvSsrAyD5ZH6E7c5TaArJPuUaZOG6xX3GBX&#10;psr1ExTb/nSfop7+Gos/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xqknNNoAAAALAQAADwAAAAAA&#10;AAABACAAAAAiAAAAZHJzL2Rvd25yZXYueG1sUEsBAhQAFAAAAAgAh07iQDvEgNFKAgAAfQQAAA4A&#10;AAAAAAAAAQAgAAAAKQEAAGRycy9lMm9Eb2MueG1sUEsFBgAAAAAGAAYAWQEAAOUFAAAAAA==&#10;">
                <v:fill on="f" focussize="0,0"/>
                <v:stroke on="f" weight="0.5pt"/>
                <v:imagedata o:title=""/>
                <o:lock v:ext="edit" aspectratio="f"/>
                <v:textbox>
                  <w:txbxContent>
                    <w:p w14:paraId="2EE690DD">
                      <w:pPr>
                        <w:rPr>
                          <w:rFonts w:ascii="Times New Roman" w:hAnsi="Times New Roman" w:cs="Times New Roman"/>
                          <w:color w:val="FFFF00"/>
                          <w:lang w:eastAsia="zh-CN"/>
                        </w:rPr>
                      </w:pPr>
                      <w:r>
                        <w:rPr>
                          <w:rFonts w:hint="eastAsia" w:ascii="Times New Roman" w:hAnsi="Times New Roman" w:cs="Times New Roman"/>
                          <w:b/>
                          <w:bCs/>
                          <w:color w:val="EE0000"/>
                          <w:lang w:eastAsia="zh-CN"/>
                        </w:rPr>
                        <w:t>中草新材料</w:t>
                      </w:r>
                    </w:p>
                  </w:txbxContent>
                </v:textbox>
              </v:shape>
            </w:pict>
          </mc:Fallback>
        </mc:AlternateContent>
      </w:r>
      <w:r>
        <w:rPr>
          <w:rFonts w:hint="eastAsia"/>
        </w:rPr>
        <mc:AlternateContent>
          <mc:Choice Requires="wps">
            <w:drawing>
              <wp:anchor distT="0" distB="0" distL="114300" distR="114300" simplePos="0" relativeHeight="251928576" behindDoc="0" locked="0" layoutInCell="1" allowOverlap="1">
                <wp:simplePos x="0" y="0"/>
                <wp:positionH relativeFrom="column">
                  <wp:posOffset>2192655</wp:posOffset>
                </wp:positionH>
                <wp:positionV relativeFrom="paragraph">
                  <wp:posOffset>4345940</wp:posOffset>
                </wp:positionV>
                <wp:extent cx="838835" cy="292735"/>
                <wp:effectExtent l="0" t="0" r="0" b="0"/>
                <wp:wrapNone/>
                <wp:docPr id="1249615259" name="文本框 39"/>
                <wp:cNvGraphicFramePr/>
                <a:graphic xmlns:a="http://schemas.openxmlformats.org/drawingml/2006/main">
                  <a:graphicData uri="http://schemas.microsoft.com/office/word/2010/wordprocessingShape">
                    <wps:wsp>
                      <wps:cNvSpPr txBox="1"/>
                      <wps:spPr>
                        <a:xfrm>
                          <a:off x="0" y="0"/>
                          <a:ext cx="838929" cy="292735"/>
                        </a:xfrm>
                        <a:prstGeom prst="rect">
                          <a:avLst/>
                        </a:prstGeom>
                        <a:noFill/>
                        <a:ln w="6350">
                          <a:noFill/>
                        </a:ln>
                        <a:effectLst/>
                      </wps:spPr>
                      <wps:txbx>
                        <w:txbxContent>
                          <w:p w14:paraId="7756CE53">
                            <w:pPr>
                              <w:rPr>
                                <w:rFonts w:ascii="Times New Roman" w:hAnsi="Times New Roman" w:cs="Times New Roman"/>
                                <w:color w:val="FFFF00"/>
                                <w:lang w:eastAsia="zh-CN"/>
                              </w:rPr>
                            </w:pPr>
                            <w:r>
                              <w:rPr>
                                <w:rFonts w:hint="eastAsia" w:ascii="Times New Roman" w:hAnsi="Times New Roman" w:cs="Times New Roman"/>
                                <w:b/>
                                <w:bCs/>
                                <w:color w:val="EE0000"/>
                                <w:lang w:eastAsia="zh-CN"/>
                              </w:rPr>
                              <w:t>中粮生物</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39" o:spid="_x0000_s1026" o:spt="202" type="#_x0000_t202" style="position:absolute;left:0pt;margin-left:172.65pt;margin-top:342.2pt;height:23.05pt;width:66.05pt;z-index:251928576;mso-width-relative:page;mso-height-relative:page;" filled="f" stroked="f" coordsize="21600,21600" o:gfxdata="UEsDBAoAAAAAAIdO4kAAAAAAAAAAAAAAAAAEAAAAZHJzL1BLAwQUAAAACACHTuJAVmeuod0AAAAL&#10;AQAADwAAAGRycy9kb3ducmV2LnhtbE2Py07DMBBF90j8gzWV2FG7TdJEIU6FIlVICBYt3bCbxG4S&#10;NR6H2H3A12NWZTejObpzbrG+moGd9eR6SxIWcwFMU2NVT62E/cfmMQPmPJLCwZKW8K0drMv7uwJz&#10;ZS+01eedb1kIIZejhM77MefcNZ026OZ21BRuBzsZ9GGdWq4mvIRwM/ClECtusKfwocNRV51ujruT&#10;kfBabd5xWy9N9jNUL2+H5/Fr/5lI+TBbiCdgXl/9DYY//aAOZXCq7YmUY4OEKE6igEpYZXEMLBBx&#10;moahlpBGIgFeFvx/h/IXUEsDBBQAAAAIAIdO4kCUJyAmSgIAAH0EAAAOAAAAZHJzL2Uyb0RvYy54&#10;bWytVM2O2jAQvlfqO1i+l0D4WUCEFV1EVWnVXYlWPRvHIZFsj2sbEvoA7Rv01EvvfS6eo2MHWLTt&#10;YQ+9OGPP+Bt/38xkdtsoSfbCugp0RnudLiVCc8grvc3op4+rN2NKnGc6ZxK0yOhBOHo7f/1qVpup&#10;SKEEmQtLEES7aW0yWnpvpknieCkUcx0wQqOzAKuYx63dJrllNaIrmaTd7iipwebGAhfO4emyddIT&#10;on0JIBRFxcUS+E4J7VtUKyTzSMmVlXF0Hl9bFIL7h6JwwhOZUWTq44pJ0N6ENZnP2HRrmSkrfnoC&#10;e8kTnnFSrNKY9AK1ZJ6Rna3+glIVt+Cg8B0OKmmJREWQRa/7TJt1yYyIXFBqZy6iu/8Hyz/sHy2p&#10;cuyEdDAZ9YbpcEKJZgorf/zx/fjz9/HXN9KfBKFq46YYvzZ4wzdvocFL53OHh4F/U1gVvsiMoB9l&#10;PlxkFo0nHA/H/fEkxSwcXekkvekPA0rydNlY598JUCQYGbVYxSgu298734aeQ0IuDatKylhJqUmd&#10;0VF/2I0XLh4ElzrEitgTJ5hAqH14sHyzaU4sN5AfkKSFtl+c4asKn3LPnH9kFhsEeeEI+QdcCgmY&#10;Ek4WJSXYr/86D/FYN/RSUmPDZdR92TErKJHvNVZ00hsMQofGzWB4k+LGXns21x69U3eAPd3DYTU8&#10;miHey7NZWFCfcdIWISu6mOaYO6P+bN75dgxwUrlYLGIQ9qRh/l6vDQ/QrbiLnYeiiroHmVptsF5h&#10;g10ZK3eaoND21/sY9fTXmP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Vmeuod0AAAALAQAADwAA&#10;AAAAAAABACAAAAAiAAAAZHJzL2Rvd25yZXYueG1sUEsBAhQAFAAAAAgAh07iQJQnICZKAgAAfQQA&#10;AA4AAAAAAAAAAQAgAAAALAEAAGRycy9lMm9Eb2MueG1sUEsFBgAAAAAGAAYAWQEAAOgFAAAAAA==&#10;">
                <v:fill on="f" focussize="0,0"/>
                <v:stroke on="f" weight="0.5pt"/>
                <v:imagedata o:title=""/>
                <o:lock v:ext="edit" aspectratio="f"/>
                <v:textbox>
                  <w:txbxContent>
                    <w:p w14:paraId="7756CE53">
                      <w:pPr>
                        <w:rPr>
                          <w:rFonts w:ascii="Times New Roman" w:hAnsi="Times New Roman" w:cs="Times New Roman"/>
                          <w:color w:val="FFFF00"/>
                          <w:lang w:eastAsia="zh-CN"/>
                        </w:rPr>
                      </w:pPr>
                      <w:r>
                        <w:rPr>
                          <w:rFonts w:hint="eastAsia" w:ascii="Times New Roman" w:hAnsi="Times New Roman" w:cs="Times New Roman"/>
                          <w:b/>
                          <w:bCs/>
                          <w:color w:val="EE0000"/>
                          <w:lang w:eastAsia="zh-CN"/>
                        </w:rPr>
                        <w:t>中粮生物</w:t>
                      </w:r>
                    </w:p>
                  </w:txbxContent>
                </v:textbox>
              </v:shape>
            </w:pict>
          </mc:Fallback>
        </mc:AlternateContent>
      </w:r>
      <w:r>
        <w:rPr>
          <w:rFonts w:hint="eastAsia"/>
        </w:rPr>
        <mc:AlternateContent>
          <mc:Choice Requires="wps">
            <w:drawing>
              <wp:anchor distT="0" distB="0" distL="114300" distR="114300" simplePos="0" relativeHeight="251926528" behindDoc="0" locked="0" layoutInCell="1" allowOverlap="1">
                <wp:simplePos x="0" y="0"/>
                <wp:positionH relativeFrom="column">
                  <wp:posOffset>699135</wp:posOffset>
                </wp:positionH>
                <wp:positionV relativeFrom="paragraph">
                  <wp:posOffset>1330325</wp:posOffset>
                </wp:positionV>
                <wp:extent cx="1160145" cy="292735"/>
                <wp:effectExtent l="0" t="0" r="0" b="0"/>
                <wp:wrapNone/>
                <wp:docPr id="1318990625" name="文本框 39"/>
                <wp:cNvGraphicFramePr/>
                <a:graphic xmlns:a="http://schemas.openxmlformats.org/drawingml/2006/main">
                  <a:graphicData uri="http://schemas.microsoft.com/office/word/2010/wordprocessingShape">
                    <wps:wsp>
                      <wps:cNvSpPr txBox="1"/>
                      <wps:spPr>
                        <a:xfrm>
                          <a:off x="0" y="0"/>
                          <a:ext cx="1160060" cy="292735"/>
                        </a:xfrm>
                        <a:prstGeom prst="rect">
                          <a:avLst/>
                        </a:prstGeom>
                        <a:noFill/>
                        <a:ln w="6350">
                          <a:noFill/>
                        </a:ln>
                        <a:effectLst/>
                      </wps:spPr>
                      <wps:txbx>
                        <w:txbxContent>
                          <w:p w14:paraId="2CCC08DA">
                            <w:pPr>
                              <w:rPr>
                                <w:rFonts w:ascii="Times New Roman" w:hAnsi="Times New Roman" w:cs="Times New Roman"/>
                                <w:color w:val="FFFF00"/>
                                <w:lang w:eastAsia="zh-CN"/>
                              </w:rPr>
                            </w:pPr>
                            <w:r>
                              <w:rPr>
                                <w:rFonts w:hint="eastAsia" w:ascii="Times New Roman" w:hAnsi="Times New Roman" w:cs="Times New Roman"/>
                                <w:b/>
                                <w:bCs/>
                                <w:color w:val="EE0000"/>
                                <w:lang w:eastAsia="zh-CN"/>
                              </w:rPr>
                              <w:t>新洋丰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39" o:spid="_x0000_s1026" o:spt="202" type="#_x0000_t202" style="position:absolute;left:0pt;margin-left:55.05pt;margin-top:104.75pt;height:23.05pt;width:91.35pt;z-index:251926528;mso-width-relative:page;mso-height-relative:page;" filled="f" stroked="f" coordsize="21600,21600" o:gfxdata="UEsDBAoAAAAAAIdO4kAAAAAAAAAAAAAAAAAEAAAAZHJzL1BLAwQUAAAACACHTuJAcauI8toAAAAL&#10;AQAADwAAAGRycy9kb3ducmV2LnhtbE2Py2rDMBBF94X+g5hAd41kgUPiWg7BEAqlXSTNpruxpdim&#10;eriW8mi/vtNVs5vLHO6jXF+dZWczxSF4BdlcADO+DXrwnYLD+/ZxCSwm9Bpt8EbBt4mwru7vSix0&#10;uPidOe9Tx8jExwIV9CmNBeex7Y3DOA+j8fQ7hslhIjl1XE94IXNnuRRiwR0OnhJ6HE3dm/Zzf3IK&#10;XurtG+4a6ZY/tn5+PW7Gr8NHrtTDLBNPwJK5pn8Y/upTdaioUxNOXkdmSWciI1SBFKscGBFyJWlM&#10;Q0eeL4BXJb/dUP0CUEsDBBQAAAAIAIdO4kBakAfwSQIAAH4EAAAOAAAAZHJzL2Uyb0RvYy54bWyt&#10;VM2O0zAQviPxDpbvNP3fbdV0VbYqQqrYlQri7DpOE8n2GNttUh4A3oATF+48V5+DsZN2q4XDHrik&#10;Y8/4m/m+mensrlaSHIR1JeiU9jpdSoTmkJV6l9JPH1dvbilxnumMSdAipUfh6N389atZZaaiDwXI&#10;TFiCINpNK5PSwnszTRLHC6GY64ARGp05WMU8Hu0uySyrEF3JpN/tjpMKbGYscOEc3i4bJ20R7UsA&#10;Ic9LLpbA90po36BaIZlHSq4ojaPzWG2eC+4f8twJT2RKkamPX0yC9jZ8k/mMTXeWmaLkbQnsJSU8&#10;46RYqTHpBWrJPCN7W/4FpUpuwUHuOxxU0hCJiiCLXveZNpuCGRG5oNTOXER3/w+Wfzg8WlJmOAmD&#10;3u1k0h33R5RoprDzpx/fTz9/n359I4NJEKoyborxG4MvfP0Wanx0vnd4GfjXuVXhF5kR9KPMx4vM&#10;ovaEh0e9Mc4Bujj6+pP+zWAUYJKn18Y6/06AIsFIqcU2RnXZYe18E3oOCck0rEopYyulJlVKx4NR&#10;Nz64eBBc6hAr4lC0MIFRU3mwfL2tW5pbyI7I0kIzMM7wVYmlrJnzj8zihGD1uEP+AT+5BEwJrUVJ&#10;Afbrv+5DPDYOvZRUOHEpdV/2zApK5HuNLZ30hkOE9fEwHN308WCvPdtrj96re8Ch7uG2Gh7NEO/l&#10;2cwtqM+4aouQFV1Mc8ydUn82732zB7iqXCwWMQiH0jC/1hvDA3Qj7mLvIS+j7kGmRhvsVzjgWMbO&#10;tSsU5v76HKOe/jbm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xq4jy2gAAAAsBAAAPAAAAAAAA&#10;AAEAIAAAACIAAABkcnMvZG93bnJldi54bWxQSwECFAAUAAAACACHTuJAWpAH8EkCAAB+BAAADgAA&#10;AAAAAAABACAAAAApAQAAZHJzL2Uyb0RvYy54bWxQSwUGAAAAAAYABgBZAQAA5AUAAAAA&#10;">
                <v:fill on="f" focussize="0,0"/>
                <v:stroke on="f" weight="0.5pt"/>
                <v:imagedata o:title=""/>
                <o:lock v:ext="edit" aspectratio="f"/>
                <v:textbox>
                  <w:txbxContent>
                    <w:p w14:paraId="2CCC08DA">
                      <w:pPr>
                        <w:rPr>
                          <w:rFonts w:ascii="Times New Roman" w:hAnsi="Times New Roman" w:cs="Times New Roman"/>
                          <w:color w:val="FFFF00"/>
                          <w:lang w:eastAsia="zh-CN"/>
                        </w:rPr>
                      </w:pPr>
                      <w:r>
                        <w:rPr>
                          <w:rFonts w:hint="eastAsia" w:ascii="Times New Roman" w:hAnsi="Times New Roman" w:cs="Times New Roman"/>
                          <w:b/>
                          <w:bCs/>
                          <w:color w:val="EE0000"/>
                          <w:lang w:eastAsia="zh-CN"/>
                        </w:rPr>
                        <w:t>新洋丰</w:t>
                      </w:r>
                    </w:p>
                  </w:txbxContent>
                </v:textbox>
              </v:shape>
            </w:pict>
          </mc:Fallback>
        </mc:AlternateContent>
      </w:r>
      <w:r>
        <w:rPr>
          <w:snapToGrid/>
          <w:color w:val="auto"/>
          <w:lang w:eastAsia="zh-CN"/>
        </w:rPr>
        <mc:AlternateContent>
          <mc:Choice Requires="wps">
            <w:drawing>
              <wp:anchor distT="0" distB="0" distL="114300" distR="114300" simplePos="0" relativeHeight="251925504" behindDoc="0" locked="0" layoutInCell="1" allowOverlap="1">
                <wp:simplePos x="0" y="0"/>
                <wp:positionH relativeFrom="column">
                  <wp:posOffset>146685</wp:posOffset>
                </wp:positionH>
                <wp:positionV relativeFrom="paragraph">
                  <wp:posOffset>627380</wp:posOffset>
                </wp:positionV>
                <wp:extent cx="2381250" cy="1521460"/>
                <wp:effectExtent l="0" t="0" r="0" b="3175"/>
                <wp:wrapNone/>
                <wp:docPr id="1160691610" name="矩形 606"/>
                <wp:cNvGraphicFramePr/>
                <a:graphic xmlns:a="http://schemas.openxmlformats.org/drawingml/2006/main">
                  <a:graphicData uri="http://schemas.microsoft.com/office/word/2010/wordprocessingShape">
                    <wps:wsp>
                      <wps:cNvSpPr/>
                      <wps:spPr>
                        <a:xfrm>
                          <a:off x="0" y="0"/>
                          <a:ext cx="2381260" cy="1521289"/>
                        </a:xfrm>
                        <a:prstGeom prst="rect">
                          <a:avLst/>
                        </a:prstGeom>
                        <a:solidFill>
                          <a:srgbClr val="FFFF00">
                            <a:alpha val="4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606" o:spid="_x0000_s1026" o:spt="1" style="position:absolute;left:0pt;margin-left:11.55pt;margin-top:49.4pt;height:119.8pt;width:187.5pt;z-index:251925504;v-text-anchor:middle;mso-width-relative:page;mso-height-relative:page;" fillcolor="#FFFF00" filled="t" stroked="f" coordsize="21600,21600" o:gfxdata="UEsDBAoAAAAAAIdO4kAAAAAAAAAAAAAAAAAEAAAAZHJzL1BLAwQUAAAACACHTuJAxfRb3toAAAAJ&#10;AQAADwAAAGRycy9kb3ducmV2LnhtbE2PT0+DQBDF7yZ+h82YeLPLHzWUsjSGpDHeajGpvS0wAik7&#10;i+y2xW/veKq3mXkvb34vW89mEGecXG9JQbgIQCDVtumpVfBRbh4SEM5ravRgCRX8oIN1fnuT6bSx&#10;F3rH8863gkPIpVpB5/2YSunqDo12CzsisfZlJ6M9r1Mrm0lfONwMMgqCZ2l0T/yh0yMWHdbH3cko&#10;2NSvbvu5naPi6ViWVfGy/z687ZW6vwuDFQiPs7+a4Q+f0SFnpsqeqHFiUBDFITsVLBNuwHq8TPhQ&#10;8RAnjyDzTP5vkP8CUEsDBBQAAAAIAIdO4kDtSKIpggIAAPgEAAAOAAAAZHJzL2Uyb0RvYy54bWyt&#10;VEtu2zAQ3RfoHQjuG33qOI4ROzBiuCgQNAHSomuaoiwC/JWkP+llCnTXQ+Q4Ra/RR0r5NO0ii2oh&#10;zXBGb2bezPDs/KAV2QkfpDUzWh2VlAjDbSPNZkY/fVy9mVASIjMNU9aIGb0VgZ7PX78627upqG1n&#10;VSM8AYgJ072b0S5GNy2KwDuhWTiyThgYW+s1i1D9pmg82wNdq6Iuy3Gxt75x3nIRAk6XvZEOiP4l&#10;gLZtJRdLy7damNijeqFYREmhky7Qec62bQWPV20bRCRqRlFpzG8EgbxO72J+xqYbz1wn+ZACe0kK&#10;z2rSTBoEfYBassjI1su/oLTk3gbbxiNuddEXkhlBFVX5jJubjjmRawHVwT2QHv4fLP+wu/ZENpiE&#10;alyOT6txBWoM0+j8r28/ft59JzhONO1dmML7xl37QQsQU82H1uv0RTXkkKm9faBWHCLhOKzfTqp6&#10;DGgOW3VcV/XkNKEWj787H+I7YTVJwox69C5TynaXIfau9y4pWrBKNiupVFb8Zn2hPNkx9HmFpyz7&#10;f5XrWH86KvEMIUPvnsP/gaMM2SO/+gSuhDOMd4uxgqgdKApmQwlTG+wNjz4HMDalgOzYNCW3ZKHr&#10;w2XYFI5NtYzYGCX1jE5SEvdZKIMEEq09kUla2+YW/fC2H9Tg+EoC9pKFeM08JhNpYXfjFV6tssjV&#10;DhIlnfVf/3We/DEwsFKyx6Sjji9b5gUl6r3BKJ1WoxFgY1ZGxyc1FP/Usn5qMVt9YUFyhVvC8Swm&#10;/6juxdZb/RkrvkhRYWKGI3bP2KBcxH4DcUlwsVhkN6yDY/HS3DiewBNvxi620bYyN/+RnYE0LETu&#10;37C8aeOe6tnr8cKa/w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DF9Fve2gAAAAkBAAAPAAAAAAAA&#10;AAEAIAAAACIAAABkcnMvZG93bnJldi54bWxQSwECFAAUAAAACACHTuJA7UiiKYICAAD4BAAADgAA&#10;AAAAAAABACAAAAApAQAAZHJzL2Uyb0RvYy54bWxQSwUGAAAAAAYABgBZAQAAHQYAAAAA&#10;">
                <v:fill on="t" opacity="26214f" focussize="0,0"/>
                <v:stroke on="f" weight="1pt" miterlimit="8" joinstyle="miter"/>
                <v:imagedata o:title=""/>
                <o:lock v:ext="edit" aspectratio="f"/>
              </v:rect>
            </w:pict>
          </mc:Fallback>
        </mc:AlternateContent>
      </w:r>
      <w:r>
        <w:rPr>
          <w:rFonts w:hint="eastAsia"/>
        </w:rPr>
        <mc:AlternateContent>
          <mc:Choice Requires="wps">
            <w:drawing>
              <wp:anchor distT="0" distB="0" distL="114300" distR="114300" simplePos="0" relativeHeight="251924480" behindDoc="0" locked="0" layoutInCell="1" allowOverlap="1">
                <wp:simplePos x="0" y="0"/>
                <wp:positionH relativeFrom="column">
                  <wp:posOffset>664845</wp:posOffset>
                </wp:positionH>
                <wp:positionV relativeFrom="paragraph">
                  <wp:posOffset>2756535</wp:posOffset>
                </wp:positionV>
                <wp:extent cx="1160145" cy="292735"/>
                <wp:effectExtent l="0" t="0" r="0" b="0"/>
                <wp:wrapNone/>
                <wp:docPr id="93231024" name="文本框 39"/>
                <wp:cNvGraphicFramePr/>
                <a:graphic xmlns:a="http://schemas.openxmlformats.org/drawingml/2006/main">
                  <a:graphicData uri="http://schemas.microsoft.com/office/word/2010/wordprocessingShape">
                    <wps:wsp>
                      <wps:cNvSpPr txBox="1"/>
                      <wps:spPr>
                        <a:xfrm>
                          <a:off x="0" y="0"/>
                          <a:ext cx="1160060" cy="292735"/>
                        </a:xfrm>
                        <a:prstGeom prst="rect">
                          <a:avLst/>
                        </a:prstGeom>
                        <a:noFill/>
                        <a:ln w="6350">
                          <a:noFill/>
                        </a:ln>
                        <a:effectLst/>
                      </wps:spPr>
                      <wps:txbx>
                        <w:txbxContent>
                          <w:p w14:paraId="6BD834B1">
                            <w:pPr>
                              <w:rPr>
                                <w:rFonts w:ascii="Times New Roman" w:hAnsi="Times New Roman" w:cs="Times New Roman"/>
                                <w:color w:val="FFFF00"/>
                                <w:lang w:eastAsia="zh-CN"/>
                              </w:rPr>
                            </w:pPr>
                            <w:r>
                              <w:rPr>
                                <w:rFonts w:hint="eastAsia" w:ascii="Times New Roman" w:hAnsi="Times New Roman" w:cs="Times New Roman"/>
                                <w:b/>
                                <w:bCs/>
                                <w:color w:val="EE0000"/>
                                <w:lang w:eastAsia="zh-CN"/>
                              </w:rPr>
                              <w:t>辉隆瑞美福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39" o:spid="_x0000_s1026" o:spt="202" type="#_x0000_t202" style="position:absolute;left:0pt;margin-left:52.35pt;margin-top:217.05pt;height:23.05pt;width:91.35pt;z-index:251924480;mso-width-relative:page;mso-height-relative:page;" filled="f" stroked="f" coordsize="21600,21600" o:gfxdata="UEsDBAoAAAAAAIdO4kAAAAAAAAAAAAAAAAAEAAAAZHJzL1BLAwQUAAAACACHTuJAd68z+NsAAAAL&#10;AQAADwAAAGRycy9kb3ducmV2LnhtbE2PTU/DMAyG70j8h8hI3FjSUlhVmk6o0oSE4LCxCze3ydqK&#10;xilN9gG/HnOC42s/ev24XJ3dKI52DoMnDclCgbDUejNQp2H3tr7JQYSIZHD0ZDV82QCr6vKixML4&#10;E23scRs7wSUUCtTQxzgVUoa2tw7Dwk+WeLf3s8PIce6kmfHE5W6UqVL30uFAfKHHyda9bT+2B6fh&#10;uV6/4qZJXf491k8v+8fpc/d+p/X1VaIeQER7jn8w/OqzOlTs1PgDmSBGzipbMqohu80SEEyk+TID&#10;0fAkVynIqpT/f6h+AFBLAwQUAAAACACHTuJA8VflB0gCAAB8BAAADgAAAGRycy9lMm9Eb2MueG1s&#10;rVTNjtowEL5X6jtYvpdA+NmCCCu6iKoS6q5Eq56N45BItse1DQl9gPYN9tRL730unqNjB1i07WEP&#10;vYSxZ/zNfN/MML1tlCR7YV0FOqO9TpcSoTnkld5m9POn5Zu3lDjPdM4kaJHRg3D0dvb61bQ2E5FC&#10;CTIXliCIdpPaZLT03kySxPFSKOY6YIRGZwFWMY9Hu01yy2pEVzJJu91RUoPNjQUunMPbReukJ0T7&#10;EkAoioqLBfCdEtq3qFZI5pGSKyvj6CxWWxSC+/uicMITmVFk6uMXk6C9Cd9kNmWTrWWmrPipBPaS&#10;Ep5xUqzSmPQCtWCekZ2t/oJSFbfgoPAdDippiURFkEWv+0ybdcmMiFxQamcuorv/B8s/7h8sqfKM&#10;jvtpv9dNB5RoprDvx8cfx5+/j7++k/44yFQbN8HotcF437yDBofnfO/wMrBvCqvCL/Ii6EeRDxeR&#10;ReMJD496I5wCdHH0peP0pj8MMMnTa2Odfy9AkWBk1GITo7Zsv3K+DT2HhGQalpWUsZFSkzqjo/6w&#10;Gx9cPAgudYgVcSROMIFRW3mwfLNpTjQ3kB+QpYV2XJzhywpLWTHnH5jF+cDqcYP8PX4KCZgSThYl&#10;Jdhv/7oP8dg29FJS47xl1H3dMSsokR80NnTcGwwQ1sfDYHiT4sFeezbXHr1Td4Aj3cNdNTyaId7L&#10;s1lYUF9w0eYhK7qY5pg7o/5s3vl2C3BRuZjPYxCOpGF+pdeGB+hW3PnOQ1FF3YNMrTbYr3DAoYyd&#10;Oy1QmPrrc4x6+tOY/Q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3rzP42wAAAAsBAAAPAAAAAAAA&#10;AAEAIAAAACIAAABkcnMvZG93bnJldi54bWxQSwECFAAUAAAACACHTuJA8VflB0gCAAB8BAAADgAA&#10;AAAAAAABACAAAAAqAQAAZHJzL2Uyb0RvYy54bWxQSwUGAAAAAAYABgBZAQAA5AUAAAAA&#10;">
                <v:fill on="f" focussize="0,0"/>
                <v:stroke on="f" weight="0.5pt"/>
                <v:imagedata o:title=""/>
                <o:lock v:ext="edit" aspectratio="f"/>
                <v:textbox>
                  <w:txbxContent>
                    <w:p w14:paraId="6BD834B1">
                      <w:pPr>
                        <w:rPr>
                          <w:rFonts w:ascii="Times New Roman" w:hAnsi="Times New Roman" w:cs="Times New Roman"/>
                          <w:color w:val="FFFF00"/>
                          <w:lang w:eastAsia="zh-CN"/>
                        </w:rPr>
                      </w:pPr>
                      <w:r>
                        <w:rPr>
                          <w:rFonts w:hint="eastAsia" w:ascii="Times New Roman" w:hAnsi="Times New Roman" w:cs="Times New Roman"/>
                          <w:b/>
                          <w:bCs/>
                          <w:color w:val="EE0000"/>
                          <w:lang w:eastAsia="zh-CN"/>
                        </w:rPr>
                        <w:t>辉隆瑞美福</w:t>
                      </w:r>
                    </w:p>
                  </w:txbxContent>
                </v:textbox>
              </v:shape>
            </w:pict>
          </mc:Fallback>
        </mc:AlternateContent>
      </w:r>
      <w:r>
        <w:rPr>
          <w:rFonts w:hint="eastAsia"/>
        </w:rPr>
        <mc:AlternateContent>
          <mc:Choice Requires="wps">
            <w:drawing>
              <wp:anchor distT="0" distB="0" distL="114300" distR="114300" simplePos="0" relativeHeight="251918336" behindDoc="0" locked="0" layoutInCell="1" allowOverlap="1">
                <wp:simplePos x="0" y="0"/>
                <wp:positionH relativeFrom="column">
                  <wp:posOffset>4247515</wp:posOffset>
                </wp:positionH>
                <wp:positionV relativeFrom="paragraph">
                  <wp:posOffset>2552065</wp:posOffset>
                </wp:positionV>
                <wp:extent cx="838835" cy="292735"/>
                <wp:effectExtent l="0" t="0" r="0" b="0"/>
                <wp:wrapNone/>
                <wp:docPr id="1877857529" name="文本框 39"/>
                <wp:cNvGraphicFramePr/>
                <a:graphic xmlns:a="http://schemas.openxmlformats.org/drawingml/2006/main">
                  <a:graphicData uri="http://schemas.microsoft.com/office/word/2010/wordprocessingShape">
                    <wps:wsp>
                      <wps:cNvSpPr txBox="1"/>
                      <wps:spPr>
                        <a:xfrm>
                          <a:off x="0" y="0"/>
                          <a:ext cx="838929" cy="292735"/>
                        </a:xfrm>
                        <a:prstGeom prst="rect">
                          <a:avLst/>
                        </a:prstGeom>
                        <a:noFill/>
                        <a:ln w="6350">
                          <a:noFill/>
                        </a:ln>
                        <a:effectLst/>
                      </wps:spPr>
                      <wps:txbx>
                        <w:txbxContent>
                          <w:p w14:paraId="52963FE3">
                            <w:pPr>
                              <w:rPr>
                                <w:rFonts w:ascii="Times New Roman" w:hAnsi="Times New Roman" w:cs="Times New Roman"/>
                                <w:color w:val="FFFF00"/>
                                <w:lang w:eastAsia="zh-CN"/>
                              </w:rPr>
                            </w:pPr>
                            <w:r>
                              <w:rPr>
                                <w:rFonts w:hint="eastAsia" w:ascii="Times New Roman" w:hAnsi="Times New Roman" w:cs="Times New Roman"/>
                                <w:b/>
                                <w:bCs/>
                                <w:color w:val="EE0000"/>
                                <w:lang w:eastAsia="zh-CN"/>
                              </w:rPr>
                              <w:t>启禾生物</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39" o:spid="_x0000_s1026" o:spt="202" type="#_x0000_t202" style="position:absolute;left:0pt;margin-left:334.45pt;margin-top:200.95pt;height:23.05pt;width:66.05pt;z-index:251918336;mso-width-relative:page;mso-height-relative:page;" filled="f" stroked="f" coordsize="21600,21600" o:gfxdata="UEsDBAoAAAAAAIdO4kAAAAAAAAAAAAAAAAAEAAAAZHJzL1BLAwQUAAAACACHTuJAbjZ5vdsAAAAL&#10;AQAADwAAAGRycy9kb3ducmV2LnhtbE2PS0/DMBCE70j8B2srcaN2qhKZEKdCkSokBIeWXrhtYjeJ&#10;6keI3Qf8epYTve3ujGa/KVcXZ9nJTHEIXkE2F8CMb4MefKdg97G+l8BiQq/RBm8UfJsIq+r2psRC&#10;h7PfmNM2dYxCfCxQQZ/SWHAe2944jPMwGk/aPkwOE61Tx/WEZwp3li+EyLnDwdOHHkdT96Y9bI9O&#10;wWu9fsdNs3Dyx9Yvb/vn8Wv3+aDU3SwTT8CSuaR/M/zhEzpUxNSEo9eRWQV5Lh/JqmApMhrIIUVG&#10;7Rq6LKUAXpX8ukP1C1BLAwQUAAAACACHTuJAvxSFNUkCAAB9BAAADgAAAGRycy9lMm9Eb2MueG1s&#10;rVTNjtMwEL4j8Q6W7zT93f6o6apsVYS0YlcqiLPrOE0k22Nst0l5AHgDTly481x9DsZO2q0WDnvg&#10;4ow942/8fTOT+W2tJDkI60rQKe11upQIzSEr9S6lnz6u30wocZ7pjEnQIqVH4ejt4vWreWVmog8F&#10;yExYgiDazSqT0sJ7M0sSxwuhmOuAERqdOVjFPG7tLsksqxBdyaTf7d4kFdjMWODCOTxdNU7aItqX&#10;AEKel1ysgO+V0L5BtUIyj5RcURpHF/G1eS64f8hzJzyRKUWmPq6YBO1tWJPFnM12lpmi5O0T2Eue&#10;8IyTYqXGpBeoFfOM7G35F5QquQUHue9wUElDJCqCLHrdZ9psCmZE5IJSO3MR3f0/WP7h8GhJmWEn&#10;TMbjyWg86k8p0Uxh5U8/vp9+/j79+kYG0yBUZdwM4zcGb/j6LdR46Xzu8DDwr3OrwheZEfSjzMeL&#10;zKL2hOPhZDCZhiwcXf1pfzwYBZTk6bKxzr8ToEgwUmqxilFcdrh3vgk9h4RcGtallLGSUpMqpTeD&#10;UTdeuHgQXOoQK2JPtDCBUPPwYPl6W7cst5AdkaSFpl+c4esSn3LPnH9kFhsEeeEI+QdccgmYElqL&#10;kgLs13+dh3isG3opqbDhUuq+7JkVlMj3Gis67Q2HoUPjZjga93Fjrz3ba4/eqzvAnu7hsBoezRDv&#10;5dnMLajPOGnLkBVdTHPMnVJ/Nu98MwY4qVwslzEIe9Iwf683hgfoRtzl3kNeRt2DTI02WK+wwa6M&#10;lWsnKLT99T5GPf01Fn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bjZ5vdsAAAALAQAADwAAAAAA&#10;AAABACAAAAAiAAAAZHJzL2Rvd25yZXYueG1sUEsBAhQAFAAAAAgAh07iQL8UhTVJAgAAfQQAAA4A&#10;AAAAAAAAAQAgAAAAKgEAAGRycy9lMm9Eb2MueG1sUEsFBgAAAAAGAAYAWQEAAOUFAAAAAA==&#10;">
                <v:fill on="f" focussize="0,0"/>
                <v:stroke on="f" weight="0.5pt"/>
                <v:imagedata o:title=""/>
                <o:lock v:ext="edit" aspectratio="f"/>
                <v:textbox>
                  <w:txbxContent>
                    <w:p w14:paraId="52963FE3">
                      <w:pPr>
                        <w:rPr>
                          <w:rFonts w:ascii="Times New Roman" w:hAnsi="Times New Roman" w:cs="Times New Roman"/>
                          <w:color w:val="FFFF00"/>
                          <w:lang w:eastAsia="zh-CN"/>
                        </w:rPr>
                      </w:pPr>
                      <w:r>
                        <w:rPr>
                          <w:rFonts w:hint="eastAsia" w:ascii="Times New Roman" w:hAnsi="Times New Roman" w:cs="Times New Roman"/>
                          <w:b/>
                          <w:bCs/>
                          <w:color w:val="EE0000"/>
                          <w:lang w:eastAsia="zh-CN"/>
                        </w:rPr>
                        <w:t>启禾生物</w:t>
                      </w:r>
                    </w:p>
                  </w:txbxContent>
                </v:textbox>
              </v:shape>
            </w:pict>
          </mc:Fallback>
        </mc:AlternateContent>
      </w:r>
      <w:r>
        <w:rPr>
          <w:snapToGrid/>
        </w:rPr>
        <w:drawing>
          <wp:inline distT="0" distB="0" distL="0" distR="0">
            <wp:extent cx="6188710" cy="6142355"/>
            <wp:effectExtent l="0" t="0" r="2540" b="0"/>
            <wp:docPr id="12916668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666859" name="图片 1"/>
                    <pic:cNvPicPr>
                      <a:picLocks noChangeAspect="1"/>
                    </pic:cNvPicPr>
                  </pic:nvPicPr>
                  <pic:blipFill>
                    <a:blip r:embed="rId102"/>
                    <a:srcRect t="1677"/>
                    <a:stretch>
                      <a:fillRect/>
                    </a:stretch>
                  </pic:blipFill>
                  <pic:spPr>
                    <a:xfrm>
                      <a:off x="0" y="0"/>
                      <a:ext cx="6188710" cy="6142355"/>
                    </a:xfrm>
                    <a:prstGeom prst="rect">
                      <a:avLst/>
                    </a:prstGeom>
                    <a:ln>
                      <a:noFill/>
                    </a:ln>
                  </pic:spPr>
                </pic:pic>
              </a:graphicData>
            </a:graphic>
          </wp:inline>
        </w:drawing>
      </w:r>
    </w:p>
    <w:p w14:paraId="5325721E">
      <w:pPr>
        <w:jc w:val="center"/>
        <w:rPr>
          <w:rFonts w:ascii="Times New Roman" w:hAnsi="Times New Roman" w:cs="Times New Roman"/>
          <w:b/>
          <w:bCs/>
          <w:color w:val="auto"/>
          <w:lang w:eastAsia="zh-CN"/>
        </w:rPr>
      </w:pPr>
      <w:r>
        <w:rPr>
          <w:rFonts w:ascii="Times New Roman" w:hAnsi="Times New Roman" w:cs="Times New Roman"/>
          <w:b/>
          <w:bCs/>
          <w:color w:val="auto"/>
          <w:lang w:eastAsia="zh-CN"/>
        </w:rPr>
        <w:t>图7.</w:t>
      </w:r>
      <w:r>
        <w:rPr>
          <w:rFonts w:hint="eastAsia" w:ascii="Times New Roman" w:hAnsi="Times New Roman" w:cs="Times New Roman"/>
          <w:b/>
          <w:bCs/>
          <w:color w:val="auto"/>
          <w:lang w:eastAsia="zh-CN"/>
        </w:rPr>
        <w:t>3</w:t>
      </w:r>
      <w:r>
        <w:rPr>
          <w:rFonts w:ascii="Times New Roman" w:hAnsi="Times New Roman" w:cs="Times New Roman"/>
          <w:b/>
          <w:bCs/>
          <w:color w:val="auto"/>
          <w:lang w:eastAsia="zh-CN"/>
        </w:rPr>
        <w:t>-1 区域边界500m范围内环境风险受体图</w:t>
      </w:r>
    </w:p>
    <w:p w14:paraId="5E97CBCD">
      <w:pPr>
        <w:pStyle w:val="42"/>
        <w:ind w:firstLine="480"/>
        <w:rPr>
          <w:color w:val="auto"/>
        </w:rPr>
        <w:sectPr>
          <w:pgSz w:w="11906" w:h="16838"/>
          <w:pgMar w:top="1440" w:right="1080" w:bottom="1440" w:left="1080" w:header="851" w:footer="992" w:gutter="0"/>
          <w:cols w:space="720" w:num="1"/>
          <w:docGrid w:type="lines" w:linePitch="312" w:charSpace="0"/>
        </w:sectPr>
      </w:pPr>
    </w:p>
    <w:p w14:paraId="00726EB0">
      <w:pPr>
        <w:adjustRightInd w:val="0"/>
        <w:snapToGrid w:val="0"/>
        <w:spacing w:line="360" w:lineRule="auto"/>
        <w:jc w:val="center"/>
        <w:rPr>
          <w:rFonts w:ascii="Times New Roman" w:hAnsi="Times New Roman" w:cs="Times New Roman"/>
          <w:snapToGrid/>
          <w:lang w:eastAsia="zh-CN"/>
        </w:rPr>
      </w:pPr>
      <w:r>
        <w:rPr>
          <w:rFonts w:ascii="Times New Roman" w:hAnsi="Times New Roman" w:cs="Times New Roman"/>
          <w:snapToGrid/>
          <w:lang w:eastAsia="zh-CN"/>
        </w:rPr>
        <w:drawing>
          <wp:anchor distT="0" distB="0" distL="114300" distR="114300" simplePos="0" relativeHeight="251743232" behindDoc="0" locked="0" layoutInCell="1" allowOverlap="1">
            <wp:simplePos x="0" y="0"/>
            <wp:positionH relativeFrom="column">
              <wp:posOffset>7557770</wp:posOffset>
            </wp:positionH>
            <wp:positionV relativeFrom="paragraph">
              <wp:posOffset>63500</wp:posOffset>
            </wp:positionV>
            <wp:extent cx="1144905" cy="865505"/>
            <wp:effectExtent l="0" t="0" r="0" b="0"/>
            <wp:wrapNone/>
            <wp:docPr id="2324" name="图片 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4" name="图片 189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1144905" cy="865505"/>
                    </a:xfrm>
                    <a:prstGeom prst="rect">
                      <a:avLst/>
                    </a:prstGeom>
                    <a:noFill/>
                    <a:ln>
                      <a:noFill/>
                    </a:ln>
                  </pic:spPr>
                </pic:pic>
              </a:graphicData>
            </a:graphic>
          </wp:anchor>
        </w:drawing>
      </w:r>
      <w:r>
        <w:rPr>
          <w:rFonts w:ascii="Times New Roman" w:hAnsi="Times New Roman" w:cs="Times New Roman"/>
          <w:snapToGrid/>
          <w:lang w:eastAsia="zh-CN"/>
        </w:rPr>
        <w:drawing>
          <wp:inline distT="0" distB="0" distL="0" distR="0">
            <wp:extent cx="8686800" cy="5172075"/>
            <wp:effectExtent l="0" t="0" r="0" b="0"/>
            <wp:docPr id="1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a:xfrm>
                      <a:off x="0" y="0"/>
                      <a:ext cx="8686800" cy="5172075"/>
                    </a:xfrm>
                    <a:prstGeom prst="rect">
                      <a:avLst/>
                    </a:prstGeom>
                    <a:noFill/>
                    <a:ln>
                      <a:noFill/>
                    </a:ln>
                  </pic:spPr>
                </pic:pic>
              </a:graphicData>
            </a:graphic>
          </wp:inline>
        </w:drawing>
      </w:r>
    </w:p>
    <w:p w14:paraId="410D090A">
      <w:pPr>
        <w:adjustRightInd w:val="0"/>
        <w:snapToGrid w:val="0"/>
        <w:spacing w:line="360" w:lineRule="auto"/>
        <w:jc w:val="center"/>
        <w:rPr>
          <w:rFonts w:ascii="Times New Roman" w:hAnsi="Times New Roman" w:cs="Times New Roman"/>
          <w:snapToGrid/>
          <w:lang w:eastAsia="zh-CN"/>
        </w:rPr>
      </w:pPr>
    </w:p>
    <w:p w14:paraId="2C2099D4">
      <w:pPr>
        <w:adjustRightInd w:val="0"/>
        <w:snapToGrid w:val="0"/>
        <w:spacing w:line="360" w:lineRule="auto"/>
        <w:jc w:val="center"/>
        <w:rPr>
          <w:rFonts w:ascii="Times New Roman" w:hAnsi="Times New Roman" w:cs="Times New Roman"/>
          <w:snapToGrid/>
          <w:lang w:eastAsia="zh-CN"/>
        </w:rPr>
      </w:pPr>
      <w:r>
        <w:rPr>
          <w:rFonts w:ascii="Times New Roman" w:hAnsi="Times New Roman" w:cs="Times New Roman"/>
          <w:snapToGrid/>
          <w:lang w:eastAsia="zh-CN"/>
        </w:rPr>
        <mc:AlternateContent>
          <mc:Choice Requires="wps">
            <w:drawing>
              <wp:anchor distT="0" distB="0" distL="114300" distR="114300" simplePos="0" relativeHeight="251744256" behindDoc="0" locked="0" layoutInCell="1" allowOverlap="1">
                <wp:simplePos x="0" y="0"/>
                <wp:positionH relativeFrom="column">
                  <wp:posOffset>59055</wp:posOffset>
                </wp:positionH>
                <wp:positionV relativeFrom="paragraph">
                  <wp:posOffset>51435</wp:posOffset>
                </wp:positionV>
                <wp:extent cx="8876030" cy="369570"/>
                <wp:effectExtent l="0" t="0" r="0" b="0"/>
                <wp:wrapNone/>
                <wp:docPr id="1001346457" name="文本框 26"/>
                <wp:cNvGraphicFramePr/>
                <a:graphic xmlns:a="http://schemas.openxmlformats.org/drawingml/2006/main">
                  <a:graphicData uri="http://schemas.microsoft.com/office/word/2010/wordprocessingShape">
                    <wps:wsp>
                      <wps:cNvSpPr txBox="1"/>
                      <wps:spPr>
                        <a:xfrm>
                          <a:off x="0" y="0"/>
                          <a:ext cx="8876030" cy="369570"/>
                        </a:xfrm>
                        <a:prstGeom prst="rect">
                          <a:avLst/>
                        </a:prstGeom>
                        <a:noFill/>
                        <a:ln w="6350">
                          <a:noFill/>
                        </a:ln>
                      </wps:spPr>
                      <wps:txbx>
                        <w:txbxContent>
                          <w:p w14:paraId="776165DD">
                            <w:pPr>
                              <w:ind w:firstLine="482"/>
                              <w:jc w:val="center"/>
                              <w:rPr>
                                <w:rFonts w:ascii="Times New Roman" w:hAnsi="Times New Roman" w:cs="Times New Roman"/>
                                <w:b/>
                                <w:bCs/>
                                <w:lang w:eastAsia="zh-CN"/>
                              </w:rPr>
                            </w:pPr>
                            <w:r>
                              <w:rPr>
                                <w:rFonts w:ascii="Times New Roman" w:hAnsi="Times New Roman" w:cs="Times New Roman"/>
                                <w:b/>
                                <w:bCs/>
                                <w:lang w:eastAsia="zh-CN"/>
                              </w:rPr>
                              <w:t>图</w:t>
                            </w:r>
                            <w:r>
                              <w:rPr>
                                <w:rFonts w:hint="eastAsia" w:ascii="Times New Roman" w:hAnsi="Times New Roman" w:cs="Times New Roman"/>
                                <w:b/>
                                <w:bCs/>
                                <w:lang w:eastAsia="zh-CN"/>
                              </w:rPr>
                              <w:t>7</w:t>
                            </w:r>
                            <w:r>
                              <w:rPr>
                                <w:rFonts w:ascii="Times New Roman" w:hAnsi="Times New Roman" w:cs="Times New Roman"/>
                                <w:b/>
                                <w:bCs/>
                                <w:lang w:eastAsia="zh-CN"/>
                              </w:rPr>
                              <w:t>.</w:t>
                            </w:r>
                            <w:r>
                              <w:rPr>
                                <w:rFonts w:hint="eastAsia" w:ascii="Times New Roman" w:hAnsi="Times New Roman" w:cs="Times New Roman"/>
                                <w:b/>
                                <w:bCs/>
                                <w:lang w:eastAsia="zh-CN"/>
                              </w:rPr>
                              <w:t>3</w:t>
                            </w:r>
                            <w:r>
                              <w:rPr>
                                <w:rFonts w:ascii="Times New Roman" w:hAnsi="Times New Roman" w:cs="Times New Roman"/>
                                <w:b/>
                                <w:bCs/>
                                <w:lang w:eastAsia="zh-CN"/>
                              </w:rPr>
                              <w:t>-</w:t>
                            </w:r>
                            <w:r>
                              <w:rPr>
                                <w:rFonts w:hint="eastAsia" w:ascii="Times New Roman" w:hAnsi="Times New Roman" w:cs="Times New Roman"/>
                                <w:b/>
                                <w:bCs/>
                                <w:lang w:eastAsia="zh-CN"/>
                              </w:rPr>
                              <w:t>2</w:t>
                            </w:r>
                            <w:r>
                              <w:rPr>
                                <w:rFonts w:ascii="Times New Roman" w:hAnsi="Times New Roman" w:cs="Times New Roman"/>
                                <w:b/>
                                <w:bCs/>
                                <w:lang w:eastAsia="zh-CN"/>
                              </w:rPr>
                              <w:t xml:space="preserve"> </w:t>
                            </w:r>
                            <w:r>
                              <w:rPr>
                                <w:rFonts w:hint="eastAsia" w:ascii="Times New Roman" w:hAnsi="Times New Roman" w:cs="Times New Roman"/>
                                <w:b/>
                                <w:bCs/>
                                <w:lang w:eastAsia="zh-CN"/>
                              </w:rPr>
                              <w:t>园区污水排放口与凤阳县经开区二水厂取水口位置图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6" o:spid="_x0000_s1026" o:spt="202" type="#_x0000_t202" style="position:absolute;left:0pt;margin-left:4.65pt;margin-top:4.05pt;height:29.1pt;width:698.9pt;z-index:251744256;mso-width-relative:page;mso-height-relative:page;" filled="f" stroked="f" coordsize="21600,21600" o:gfxdata="UEsDBAoAAAAAAIdO4kAAAAAAAAAAAAAAAAAEAAAAZHJzL1BLAwQUAAAACACHTuJAKqY4XdgAAAAH&#10;AQAADwAAAGRycy9kb3ducmV2LnhtbE2OzU7DMBCE70i8g7VI3KidFkII2VQoUoWE4NDSC7dN7CYR&#10;8TrE7g88Pe4JbjOa0cxXLE92EAcz+d4xQjJTIAw3TvfcImzfVzcZCB+INQ2ODcK38bAsLy8KyrU7&#10;8tocNqEVcYR9TghdCGMupW86Y8nP3Gg4Zjs3WQrRTq3UEx3juB3kXKlUWuo5PnQ0mqozzedmbxFe&#10;qtUbreu5zX6G6vl19zR+bT/uEK+vEvUIIphT+CvDGT+iQxmZardn7cWA8LCIRYQsAXFOb9V9VDVC&#10;mi5AloX8z1/+AlBLAwQUAAAACACHTuJANmHUPEICAABwBAAADgAAAGRycy9lMm9Eb2MueG1srVRL&#10;btswEN0X6B0I7hvJ3zhG5MBN4KJA0ARwi65piooE8FeSjpQeoL1BV91033P5HH2kbCdIu8iiG2rI&#10;+b43Mzq/6JQk98L5xuiCDk5ySoTmpmz0XUE/fVy9mVHiA9Mlk0aLgj4ITy8Wr1+dt3YuhqY2shSO&#10;IIj289YWtA7BzrPM81oo5k+MFRrKyjjFAq7uLisdaxFdyWyY59OsNa60znDhPV6veiXdR3QvCWiq&#10;quHiyvCtEjr0UZ2QLACSrxvr6SJVW1WCh5uq8iIQWVAgDelEEsibeGaLcza/c8zWDd+XwF5SwjNM&#10;ijUaSY+hrlhgZOuav0KphjvjTRVOuFFZDyQxAhSD/Bk365pZkbCAam+PpPv/F5Z/uL91pCkxCXk+&#10;GI2n48kpJZopdH734/vu5+/dr29kOI1EtdbPYb+28AjdW9PB6fDu8Rjxd5VT8QtkBHrQ/HCkWXSB&#10;cDzOZqfTfAQVh240PZucpj5kj97W+fBOGEWiUFCHNiZ22f21D6gEpgeTmEybVSNlaqXUpC3odDTJ&#10;k8NRAw+p4Rgx9LVGKXSbbg9sY8oH4HKmHxFv+apB8mvmwy1zmAnUi60JNzgqaZDE7CVKauO+/us9&#10;2qNV0FLSYsYK6r9smROUyPcaTTwbjMcIG9IFxA9xcU81m6cavVWXBmM8wH5ansRoH+RBrJxRn7Fc&#10;y5gVKqY5chc0HMTL0E8+lpOL5TIZYQwtC9d6bXkM3dO53AZTNYnpSFPPzZ49DGJqwH5p4qQ/vSer&#10;xx/F4g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qpjhd2AAAAAcBAAAPAAAAAAAAAAEAIAAAACIA&#10;AABkcnMvZG93bnJldi54bWxQSwECFAAUAAAACACHTuJANmHUPEICAABwBAAADgAAAAAAAAABACAA&#10;AAAnAQAAZHJzL2Uyb0RvYy54bWxQSwUGAAAAAAYABgBZAQAA2wUAAAAA&#10;">
                <v:fill on="f" focussize="0,0"/>
                <v:stroke on="f" weight="0.5pt"/>
                <v:imagedata o:title=""/>
                <o:lock v:ext="edit" aspectratio="f"/>
                <v:textbox>
                  <w:txbxContent>
                    <w:p w14:paraId="776165DD">
                      <w:pPr>
                        <w:ind w:firstLine="482"/>
                        <w:jc w:val="center"/>
                        <w:rPr>
                          <w:rFonts w:ascii="Times New Roman" w:hAnsi="Times New Roman" w:cs="Times New Roman"/>
                          <w:b/>
                          <w:bCs/>
                          <w:lang w:eastAsia="zh-CN"/>
                        </w:rPr>
                      </w:pPr>
                      <w:r>
                        <w:rPr>
                          <w:rFonts w:ascii="Times New Roman" w:hAnsi="Times New Roman" w:cs="Times New Roman"/>
                          <w:b/>
                          <w:bCs/>
                          <w:lang w:eastAsia="zh-CN"/>
                        </w:rPr>
                        <w:t>图</w:t>
                      </w:r>
                      <w:r>
                        <w:rPr>
                          <w:rFonts w:hint="eastAsia" w:ascii="Times New Roman" w:hAnsi="Times New Roman" w:cs="Times New Roman"/>
                          <w:b/>
                          <w:bCs/>
                          <w:lang w:eastAsia="zh-CN"/>
                        </w:rPr>
                        <w:t>7</w:t>
                      </w:r>
                      <w:r>
                        <w:rPr>
                          <w:rFonts w:ascii="Times New Roman" w:hAnsi="Times New Roman" w:cs="Times New Roman"/>
                          <w:b/>
                          <w:bCs/>
                          <w:lang w:eastAsia="zh-CN"/>
                        </w:rPr>
                        <w:t>.</w:t>
                      </w:r>
                      <w:r>
                        <w:rPr>
                          <w:rFonts w:hint="eastAsia" w:ascii="Times New Roman" w:hAnsi="Times New Roman" w:cs="Times New Roman"/>
                          <w:b/>
                          <w:bCs/>
                          <w:lang w:eastAsia="zh-CN"/>
                        </w:rPr>
                        <w:t>3</w:t>
                      </w:r>
                      <w:r>
                        <w:rPr>
                          <w:rFonts w:ascii="Times New Roman" w:hAnsi="Times New Roman" w:cs="Times New Roman"/>
                          <w:b/>
                          <w:bCs/>
                          <w:lang w:eastAsia="zh-CN"/>
                        </w:rPr>
                        <w:t>-</w:t>
                      </w:r>
                      <w:r>
                        <w:rPr>
                          <w:rFonts w:hint="eastAsia" w:ascii="Times New Roman" w:hAnsi="Times New Roman" w:cs="Times New Roman"/>
                          <w:b/>
                          <w:bCs/>
                          <w:lang w:eastAsia="zh-CN"/>
                        </w:rPr>
                        <w:t>2</w:t>
                      </w:r>
                      <w:r>
                        <w:rPr>
                          <w:rFonts w:ascii="Times New Roman" w:hAnsi="Times New Roman" w:cs="Times New Roman"/>
                          <w:b/>
                          <w:bCs/>
                          <w:lang w:eastAsia="zh-CN"/>
                        </w:rPr>
                        <w:t xml:space="preserve"> </w:t>
                      </w:r>
                      <w:r>
                        <w:rPr>
                          <w:rFonts w:hint="eastAsia" w:ascii="Times New Roman" w:hAnsi="Times New Roman" w:cs="Times New Roman"/>
                          <w:b/>
                          <w:bCs/>
                          <w:lang w:eastAsia="zh-CN"/>
                        </w:rPr>
                        <w:t>园区污水排放口与凤阳县经开区二水厂取水口位置图</w:t>
                      </w:r>
                    </w:p>
                  </w:txbxContent>
                </v:textbox>
              </v:shape>
            </w:pict>
          </mc:Fallback>
        </mc:AlternateContent>
      </w:r>
    </w:p>
    <w:p w14:paraId="79BA2D1C">
      <w:pPr>
        <w:adjustRightInd w:val="0"/>
        <w:snapToGrid w:val="0"/>
        <w:spacing w:line="360" w:lineRule="auto"/>
        <w:jc w:val="center"/>
        <w:rPr>
          <w:rFonts w:ascii="Times New Roman" w:hAnsi="Times New Roman" w:cs="Times New Roman"/>
          <w:snapToGrid/>
          <w:lang w:eastAsia="zh-CN"/>
        </w:rPr>
      </w:pPr>
    </w:p>
    <w:p w14:paraId="766175DE">
      <w:pPr>
        <w:adjustRightInd w:val="0"/>
        <w:snapToGrid w:val="0"/>
        <w:spacing w:line="360" w:lineRule="auto"/>
        <w:jc w:val="center"/>
        <w:rPr>
          <w:rFonts w:ascii="Times New Roman" w:hAnsi="Times New Roman" w:cs="Times New Roman"/>
          <w:color w:val="auto"/>
          <w:lang w:eastAsia="zh-CN"/>
        </w:rPr>
      </w:pPr>
      <w:r>
        <w:rPr>
          <w:rFonts w:ascii="Times New Roman" w:hAnsi="Times New Roman" w:cs="Times New Roman"/>
          <w:snapToGrid/>
          <w:lang w:eastAsia="zh-CN"/>
        </w:rPr>
        <mc:AlternateContent>
          <mc:Choice Requires="wps">
            <w:drawing>
              <wp:anchor distT="0" distB="0" distL="114300" distR="114300" simplePos="0" relativeHeight="251899904" behindDoc="0" locked="0" layoutInCell="1" allowOverlap="1">
                <wp:simplePos x="0" y="0"/>
                <wp:positionH relativeFrom="column">
                  <wp:posOffset>6352540</wp:posOffset>
                </wp:positionH>
                <wp:positionV relativeFrom="paragraph">
                  <wp:posOffset>1722755</wp:posOffset>
                </wp:positionV>
                <wp:extent cx="161925" cy="316230"/>
                <wp:effectExtent l="0" t="0" r="10160" b="27305"/>
                <wp:wrapNone/>
                <wp:docPr id="1728031402" name="矩形 751"/>
                <wp:cNvGraphicFramePr/>
                <a:graphic xmlns:a="http://schemas.openxmlformats.org/drawingml/2006/main">
                  <a:graphicData uri="http://schemas.microsoft.com/office/word/2010/wordprocessingShape">
                    <wps:wsp>
                      <wps:cNvSpPr/>
                      <wps:spPr>
                        <a:xfrm>
                          <a:off x="0" y="0"/>
                          <a:ext cx="161612" cy="316078"/>
                        </a:xfrm>
                        <a:prstGeom prst="rect">
                          <a:avLst/>
                        </a:prstGeom>
                        <a:solidFill>
                          <a:srgbClr val="EE0000"/>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751" o:spid="_x0000_s1026" o:spt="1" style="position:absolute;left:0pt;margin-left:500.2pt;margin-top:135.65pt;height:24.9pt;width:12.75pt;z-index:251899904;v-text-anchor:middle;mso-width-relative:page;mso-height-relative:page;" fillcolor="#EE0000" filled="t" stroked="t" coordsize="21600,21600" o:gfxdata="UEsDBAoAAAAAAIdO4kAAAAAAAAAAAAAAAAAEAAAAZHJzL1BLAwQUAAAACACHTuJA+gx4vdkAAAAN&#10;AQAADwAAAGRycy9kb3ducmV2LnhtbE2PMU/DMBCFdyT+g3VIbNR2SgsNcTpU6gITBYGyOfGRWNjn&#10;KHba8u9xJxif7tN731Xbs3fsiFO0gRTIhQCG1AVjqVfw/ra/ewQWkyajXSBU8IMRtvX1VaVLE070&#10;isdD6lkuoVhqBUNKY8l57Ab0Oi7CiJRvX2HyOuU49dxM+pTLveOFEGvutaW8MOgRdwN234fZK6Bm&#10;tvS5+2jWzd7ZeSPb53b1otTtjRRPwBKe0x8MF/2sDnV2asNMJjKXsxDiPrMKige5BHZBRLHaAGsV&#10;LAspgdcV//9F/QtQSwMEFAAAAAgAh07iQP1k1tNzAgAA/gQAAA4AAABkcnMvZTJvRG9jLnhtbK1U&#10;S27bMBDdF+gdCO4bSY4Tu0bkwIiTokDQBEiLrmmKsgjwV5L+pJcp0F0P0eMUvUYfKeXbLrKoBFAz&#10;nNGbmccZnpzutSJb4YO0pqbVQUmJMNw20qxr+unjxZspJSEy0zBljajprQj0dP761cnOzcTIdlY1&#10;whOAmDDbuZp2MbpZUQTeCc3CgXXCwNhar1mE6tdF49kO6FoVo7I8LnbWN85bLkLA7rI30gHRvwTQ&#10;tq3kYmn5RgsTe1QvFIsoKXTSBTrP2bat4PGqbYOIRNUUlca8IgjkVVqL+QmbrT1zneRDCuwlKTyr&#10;STNpEPQeaskiIxsv/4LSknsbbBsPuNVFX0hmBFVU5TNubjrmRK4FVAd3T3r4f7D8w/baE9mgEyaj&#10;aXlYjcsRJYZpnPzvbz9+/fxOJkdVomnnwgzeN+7aD1qAmGret16nL6oh+0zt7T21Yh8Jx2Z1jBfI&#10;HKbD6ricTBNm8fCz8yG+E1aTJNTU4+QyoWx7GWLveueSYgWrZHMhlcqKX6/OlCdbhlM+Py/xDOhP&#10;3JQhO2QymsBMOEPvtugZiNqh/mDWlDC1xlDw6HPsJ3+HlwVJSS5Z6PpkMkLKhc20jJgbJXVNpynD&#10;uxSVAQ+J3J7OJK1sc4tT8bZv1+D4hQTsJQvxmnn0J/LHBMcrLK2yKMoOEiWd9V//tZ/80TawUrJD&#10;v6PgLxvmBSXqvUFDva3G4zQgWRkfTUZQ/GPL6rHFbPSZBdkV7grHs5j8o7oTW2/1Zwz6IkWFiRmO&#10;2D21g3IW+znEVcHFYpHdMBSOxUtz43gCT7wZu9hE28rcBA/sDKRhLHIbDSOc5u6xnr0erq35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PoMeL3ZAAAADQEAAA8AAAAAAAAAAQAgAAAAIgAAAGRycy9k&#10;b3ducmV2LnhtbFBLAQIUABQAAAAIAIdO4kD9ZNbTcwIAAP4EAAAOAAAAAAAAAAEAIAAAACgBAABk&#10;cnMvZTJvRG9jLnhtbFBLBQYAAAAABgAGAFkBAAANBgAAAAA=&#10;">
                <v:fill on="t" focussize="0,0"/>
                <v:stroke weight="1pt" color="#EE0000 [3204]" miterlimit="8" joinstyle="miter"/>
                <v:imagedata o:title=""/>
                <o:lock v:ext="edit" aspectratio="f"/>
              </v:rect>
            </w:pict>
          </mc:Fallback>
        </mc:AlternateContent>
      </w:r>
      <w:r>
        <w:rPr>
          <w:rFonts w:ascii="Times New Roman" w:hAnsi="Times New Roman" w:cs="Times New Roman"/>
          <w:snapToGrid/>
          <w:lang w:eastAsia="zh-CN"/>
        </w:rPr>
        <mc:AlternateContent>
          <mc:Choice Requires="wps">
            <w:drawing>
              <wp:anchor distT="0" distB="0" distL="114300" distR="114300" simplePos="0" relativeHeight="251792384" behindDoc="0" locked="0" layoutInCell="1" allowOverlap="1">
                <wp:simplePos x="0" y="0"/>
                <wp:positionH relativeFrom="column">
                  <wp:posOffset>5194300</wp:posOffset>
                </wp:positionH>
                <wp:positionV relativeFrom="paragraph">
                  <wp:posOffset>927100</wp:posOffset>
                </wp:positionV>
                <wp:extent cx="1318260" cy="420370"/>
                <wp:effectExtent l="0" t="0" r="15240" b="436880"/>
                <wp:wrapNone/>
                <wp:docPr id="1852941449" name="自选图形 5613"/>
                <wp:cNvGraphicFramePr/>
                <a:graphic xmlns:a="http://schemas.openxmlformats.org/drawingml/2006/main">
                  <a:graphicData uri="http://schemas.microsoft.com/office/word/2010/wordprocessingShape">
                    <wps:wsp>
                      <wps:cNvSpPr>
                        <a:spLocks noChangeArrowheads="1"/>
                      </wps:cNvSpPr>
                      <wps:spPr bwMode="auto">
                        <a:xfrm>
                          <a:off x="0" y="0"/>
                          <a:ext cx="1318260" cy="420370"/>
                        </a:xfrm>
                        <a:prstGeom prst="wedgeRoundRectCallout">
                          <a:avLst>
                            <a:gd name="adj1" fmla="val 47675"/>
                            <a:gd name="adj2" fmla="val 142230"/>
                            <a:gd name="adj3" fmla="val 16667"/>
                          </a:avLst>
                        </a:prstGeom>
                        <a:solidFill>
                          <a:srgbClr val="FFFFFF"/>
                        </a:solidFill>
                        <a:ln w="9525">
                          <a:solidFill>
                            <a:srgbClr val="FF0000"/>
                          </a:solidFill>
                          <a:miter lim="800000"/>
                        </a:ln>
                      </wps:spPr>
                      <wps:txbx>
                        <w:txbxContent>
                          <w:p w14:paraId="39C3054F">
                            <w:pPr>
                              <w:jc w:val="center"/>
                              <w:rPr>
                                <w:color w:val="FF0000"/>
                              </w:rPr>
                            </w:pPr>
                            <w:r>
                              <w:rPr>
                                <w:rFonts w:hint="eastAsia"/>
                                <w:color w:val="FF0000"/>
                                <w:lang w:eastAsia="zh-CN"/>
                              </w:rPr>
                              <w:t>项目位置</w:t>
                            </w:r>
                          </w:p>
                        </w:txbxContent>
                      </wps:txbx>
                      <wps:bodyPr rot="0" vert="horz" wrap="square" lIns="91440" tIns="45720" rIns="91440" bIns="45720" anchor="t" anchorCtr="0" upright="1">
                        <a:noAutofit/>
                      </wps:bodyPr>
                    </wps:wsp>
                  </a:graphicData>
                </a:graphic>
              </wp:anchor>
            </w:drawing>
          </mc:Choice>
          <mc:Fallback>
            <w:pict>
              <v:shape id="自选图形 5613" o:spid="_x0000_s1026" o:spt="62" type="#_x0000_t62" style="position:absolute;left:0pt;margin-left:409pt;margin-top:73pt;height:33.1pt;width:103.8pt;z-index:251792384;mso-width-relative:page;mso-height-relative:page;" fillcolor="#FFFFFF" filled="t" stroked="t" coordsize="21600,21600" o:gfxdata="UEsDBAoAAAAAAIdO4kAAAAAAAAAAAAAAAAAEAAAAZHJzL1BLAwQUAAAACACHTuJAuOJV5tkAAAAM&#10;AQAADwAAAGRycy9kb3ducmV2LnhtbE2PS0/DMBCE70j8B2uRuCBqx2pDFOL0AOXABYnyujrxkkTE&#10;6yh2H/x7tid629GMZr+p1kc/ij3OcQhkIFsoEEhtcAN1Bt7fnm4LEDFZcnYMhAZ+McK6vryobOnC&#10;gV5xv02d4BKKpTXQpzSVUsa2R2/jIkxI7H2H2dvEcu6km+2By/0otVK59HYg/tDbCR96bH+2O2/g&#10;bsbN183w/IKr5YcvHsPnBhttzPVVpu5BJDym/zCc8BkdamZqwo5cFKOBIit4S2JjmfNxSii9ykE0&#10;BnSmNci6kucj6j9QSwMEFAAAAAgAh07iQFfyGMiIAgAAEwUAAA4AAABkcnMvZTJvRG9jLnhtbK1U&#10;zW7TQBC+I/EOq71Tx47jJFadqkpVhFSgauEBNvbaXtg/dtdxyqk3xDNw48g7wNtUgrdgvHaKUzj0&#10;gA/WjGfmm59vxscnO8HRlhrLlMxweDTBiMpcFUxWGX775vzZAiPriCwIV5Jm+IZafLJ6+uS41SmN&#10;VK14QQ0CEGnTVme4dk6nQWDzmgpij5SmEoylMoI4UE0VFIa0gC54EE0mSdAqU2ijcmotfD3rjXhA&#10;NI8BVGXJcnqm8kZQ6XpUQzlx0JKtmbZ45astS5q712VpqUM8w9Cp829IAvKmewerY5JWhuia5UMJ&#10;5DElPOhJECYh6T3UGXEENYb9BSVYbpRVpTvKlQj6RvxEoItw8mA21zXR1PcCo7b6fuj2/8Hmr7aX&#10;BrECNmExi5ZxGMdLjCQRwPzPT99+3X6++/Lj7vtXNEvCaTetVtsUgq71pen6tfpC5e8tkmpdE1nR&#10;U2NUW1NSQI1h5x8cBHSKhVC0aV+qAnKQxik/uF1pRAcII0E7z8/NPT9051AOH8NpuIgSoC4HWxxN&#10;pnNPYEDSfbQ21j2nSqBOyHBLi4peqUYWV7AJa8K5apxPR7YX1nnCiqFbUrwLMSoFB/63hKN4nsxn&#10;w36MfKKxTxhH0XS/RCOn6YFTkiRzPwqSDmmh4n2lfoiKs+Kcce4VU23W3CCoIcPn/hmC7diNS9Rm&#10;eDmLZr6fA5s9hJjA8y8IwRxcMmciw4vOZ+/E5UBbx1TPuNttdgP5G1XcAIFG9bcEfxIQamU+YtTC&#10;HWXYfmiIoRjxFxKWYAkb1R2eV+LZPALFjC2bsYXIHKAy7DDqxbXrj7XRhlU1ZAp9u1KdwuKUzO03&#10;rK9qqBtuBaSDYxzr3uvPv2z1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LjiVebZAAAADAEAAA8A&#10;AAAAAAAAAQAgAAAAIgAAAGRycy9kb3ducmV2LnhtbFBLAQIUABQAAAAIAIdO4kBX8hjIiAIAABMF&#10;AAAOAAAAAAAAAAEAIAAAACgBAABkcnMvZTJvRG9jLnhtbFBLBQYAAAAABgAGAFkBAAAiBgAAAAA=&#10;" adj="21098,41522,14400">
                <v:fill on="t" focussize="0,0"/>
                <v:stroke color="#FF0000" miterlimit="8" joinstyle="miter"/>
                <v:imagedata o:title=""/>
                <o:lock v:ext="edit" aspectratio="f"/>
                <v:textbox>
                  <w:txbxContent>
                    <w:p w14:paraId="39C3054F">
                      <w:pPr>
                        <w:jc w:val="center"/>
                        <w:rPr>
                          <w:color w:val="FF0000"/>
                        </w:rPr>
                      </w:pPr>
                      <w:r>
                        <w:rPr>
                          <w:rFonts w:hint="eastAsia"/>
                          <w:color w:val="FF0000"/>
                          <w:lang w:eastAsia="zh-CN"/>
                        </w:rPr>
                        <w:t>项目位置</w:t>
                      </w:r>
                    </w:p>
                  </w:txbxContent>
                </v:textbox>
              </v:shape>
            </w:pict>
          </mc:Fallback>
        </mc:AlternateContent>
      </w:r>
      <w:r>
        <w:rPr>
          <w:rFonts w:ascii="Times New Roman" w:hAnsi="Times New Roman" w:cs="Times New Roman"/>
          <w:snapToGrid/>
          <w:lang w:eastAsia="zh-CN"/>
        </w:rPr>
        <mc:AlternateContent>
          <mc:Choice Requires="wps">
            <w:drawing>
              <wp:anchor distT="0" distB="0" distL="114300" distR="114300" simplePos="0" relativeHeight="251793408" behindDoc="0" locked="0" layoutInCell="1" allowOverlap="1">
                <wp:simplePos x="0" y="0"/>
                <wp:positionH relativeFrom="column">
                  <wp:posOffset>1188720</wp:posOffset>
                </wp:positionH>
                <wp:positionV relativeFrom="paragraph">
                  <wp:posOffset>1056005</wp:posOffset>
                </wp:positionV>
                <wp:extent cx="1318260" cy="499745"/>
                <wp:effectExtent l="11430" t="8890" r="70485" b="386715"/>
                <wp:wrapNone/>
                <wp:docPr id="34088716" name="自选图形 2374"/>
                <wp:cNvGraphicFramePr/>
                <a:graphic xmlns:a="http://schemas.openxmlformats.org/drawingml/2006/main">
                  <a:graphicData uri="http://schemas.microsoft.com/office/word/2010/wordprocessingShape">
                    <wps:wsp>
                      <wps:cNvSpPr>
                        <a:spLocks noChangeArrowheads="1"/>
                      </wps:cNvSpPr>
                      <wps:spPr bwMode="auto">
                        <a:xfrm>
                          <a:off x="0" y="0"/>
                          <a:ext cx="1318260" cy="499745"/>
                        </a:xfrm>
                        <a:prstGeom prst="wedgeRoundRectCallout">
                          <a:avLst>
                            <a:gd name="adj1" fmla="val 52940"/>
                            <a:gd name="adj2" fmla="val 123060"/>
                            <a:gd name="adj3" fmla="val 16667"/>
                          </a:avLst>
                        </a:prstGeom>
                        <a:solidFill>
                          <a:srgbClr val="FFFFFF"/>
                        </a:solidFill>
                        <a:ln w="9525">
                          <a:solidFill>
                            <a:srgbClr val="FF0000"/>
                          </a:solidFill>
                          <a:miter lim="800000"/>
                        </a:ln>
                      </wps:spPr>
                      <wps:txbx>
                        <w:txbxContent>
                          <w:p w14:paraId="502D0DDD">
                            <w:pPr>
                              <w:jc w:val="center"/>
                              <w:rPr>
                                <w:color w:val="FF0000"/>
                              </w:rPr>
                            </w:pPr>
                            <w:r>
                              <w:rPr>
                                <w:rFonts w:hint="eastAsia"/>
                                <w:color w:val="FF0000"/>
                                <w:lang w:eastAsia="zh-CN"/>
                              </w:rPr>
                              <w:t>园区雨水排口</w:t>
                            </w:r>
                          </w:p>
                        </w:txbxContent>
                      </wps:txbx>
                      <wps:bodyPr rot="0" vert="horz" wrap="square" lIns="91440" tIns="45720" rIns="91440" bIns="45720" anchor="t" anchorCtr="0" upright="1">
                        <a:noAutofit/>
                      </wps:bodyPr>
                    </wps:wsp>
                  </a:graphicData>
                </a:graphic>
              </wp:anchor>
            </w:drawing>
          </mc:Choice>
          <mc:Fallback>
            <w:pict>
              <v:shape id="自选图形 2374" o:spid="_x0000_s1026" o:spt="62" type="#_x0000_t62" style="position:absolute;left:0pt;margin-left:93.6pt;margin-top:83.15pt;height:39.35pt;width:103.8pt;z-index:251793408;mso-width-relative:page;mso-height-relative:page;" fillcolor="#FFFFFF" filled="t" stroked="t" coordsize="21600,21600" o:gfxdata="UEsDBAoAAAAAAIdO4kAAAAAAAAAAAAAAAAAEAAAAZHJzL1BLAwQUAAAACACHTuJAd7P0/dkAAAAL&#10;AQAADwAAAGRycy9kb3ducmV2LnhtbE2Py07DMBBF90j8gzVIbBC1m5QQQpwuQJXYoaaItWtP4yix&#10;HcXuA76eYQW7uZqj+6jXFzeyE86xD17CciGAodfB9L6T8LHb3JfAYlLeqDF4lPCFEdbN9VWtKhPO&#10;founNnWMTHyslASb0lRxHrVFp+IiTOjpdwizU4nk3HEzqzOZu5FnQhTcqd5TglUTvljUQ3t0Etq3&#10;93wI35/6MGyEuCvDzurhVcrbm6V4Bpbwkv5g+K1P1aGhTvtw9CaykXT5mBFKR1HkwIjIn1Y0Zi8h&#10;Wz0I4E3N/29ofgBQSwMEFAAAAAgAh07iQD+LGR6FAgAAEQUAAA4AAABkcnMvZTJvRG9jLnhtbK1U&#10;S27UQBDdI3GHVu+JP+P5WfFE0URBSAGiBA7QY7fthv7R3R5PWGWHOAM7ltwBbhMJbkG57QmewCIL&#10;vLCqXFWvPq/Kxyc7wdGWGsuUzHB0FGJEZa4KJqsMv31z/myBkXVEFoQrSTN8Qy0+WT19ctzqlMaq&#10;VrygBgGItGmrM1w7p9MgsHlNBbFHSlMJxlIZQRyopgoKQ1pAFzyIw3AWtMoU2qicWgtfz3ojHhDN&#10;YwBVWbKcnqm8EVS6HtVQThy0ZGumLV75asuS5u51WVrqEM8wdOr8G5KAvOneweqYpJUhumb5UAJ5&#10;TAkPehKESUh6D3VGHEGNYX9BCZYbZVXpjnIlgr4RPxHoIgofzOa6Jpr6XmDUVt8P3f4/2PzV9tIg&#10;VmR4koSLxTyaYSSJAN5/fvr26/bz3Zcfd9+/ongyT7pZtdqmEHKtL03XrdUXKn9vkVTrmsiKnhqj&#10;2pqSAiqMOv/gIKBTLISiTftSFZCDNE75se1KIzpAGAjaeXZu7tmhO4dy+BhNokU8A+JysCXL5TyZ&#10;+hQk3UdrY91zqgTqhAy3tKjolWpkcQV7sCacq8b5dGR7YZ2nqxi6JcW7CKNScGB/Sziaxstkvx0j&#10;n3jsE8WTEOrpV2jkNDlwms1m86HOIW1A0n2lfoiKs+Kcce4VU23W3CCoIcPn/hmC7diNS9RmeDmN&#10;p76fA5s9hAjh+ReEYA7umDOR4UXns3ficqCtY6pn3O02u4H8jSpugECj+kuC/wgItTIfMWrhijJs&#10;PzTEUIz4CwlLsIwSGCNyXkmm8xgUM7ZsxhYic4DKsMOoF9euP9VGG1bVkCny7Up1CotTMrffsL6q&#10;oW64FJAOTnGse68/f7LV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Hez9P3ZAAAACwEAAA8AAAAA&#10;AAAAAQAgAAAAIgAAAGRycy9kb3ducmV2LnhtbFBLAQIUABQAAAAIAIdO4kA/ixkehQIAABEFAAAO&#10;AAAAAAAAAAEAIAAAACgBAABkcnMvZTJvRG9jLnhtbFBLBQYAAAAABgAGAFkBAAAfBgAAAAA=&#10;" adj="22235,37381,14400">
                <v:fill on="t" focussize="0,0"/>
                <v:stroke color="#FF0000" miterlimit="8" joinstyle="miter"/>
                <v:imagedata o:title=""/>
                <o:lock v:ext="edit" aspectratio="f"/>
                <v:textbox>
                  <w:txbxContent>
                    <w:p w14:paraId="502D0DDD">
                      <w:pPr>
                        <w:jc w:val="center"/>
                        <w:rPr>
                          <w:color w:val="FF0000"/>
                        </w:rPr>
                      </w:pPr>
                      <w:r>
                        <w:rPr>
                          <w:rFonts w:hint="eastAsia"/>
                          <w:color w:val="FF0000"/>
                          <w:lang w:eastAsia="zh-CN"/>
                        </w:rPr>
                        <w:t>园区雨水排口</w:t>
                      </w:r>
                    </w:p>
                  </w:txbxContent>
                </v:textbox>
              </v:shape>
            </w:pict>
          </mc:Fallback>
        </mc:AlternateContent>
      </w:r>
      <w:r>
        <w:rPr>
          <w:rFonts w:ascii="Times New Roman" w:hAnsi="Times New Roman" w:cs="Times New Roman"/>
          <w:snapToGrid/>
          <w:lang w:eastAsia="zh-CN"/>
        </w:rPr>
        <mc:AlternateContent>
          <mc:Choice Requires="wps">
            <w:drawing>
              <wp:anchor distT="0" distB="0" distL="114300" distR="114300" simplePos="0" relativeHeight="251791360" behindDoc="0" locked="0" layoutInCell="1" allowOverlap="1">
                <wp:simplePos x="0" y="0"/>
                <wp:positionH relativeFrom="column">
                  <wp:posOffset>-221615</wp:posOffset>
                </wp:positionH>
                <wp:positionV relativeFrom="paragraph">
                  <wp:posOffset>5822315</wp:posOffset>
                </wp:positionV>
                <wp:extent cx="8844915" cy="346710"/>
                <wp:effectExtent l="0" t="0" r="0" b="0"/>
                <wp:wrapNone/>
                <wp:docPr id="251" name="文本框 25"/>
                <wp:cNvGraphicFramePr/>
                <a:graphic xmlns:a="http://schemas.openxmlformats.org/drawingml/2006/main">
                  <a:graphicData uri="http://schemas.microsoft.com/office/word/2010/wordprocessingShape">
                    <wps:wsp>
                      <wps:cNvSpPr txBox="1"/>
                      <wps:spPr>
                        <a:xfrm>
                          <a:off x="0" y="0"/>
                          <a:ext cx="8844915" cy="346710"/>
                        </a:xfrm>
                        <a:prstGeom prst="rect">
                          <a:avLst/>
                        </a:prstGeom>
                        <a:noFill/>
                        <a:ln w="6350">
                          <a:noFill/>
                        </a:ln>
                      </wps:spPr>
                      <wps:txbx>
                        <w:txbxContent>
                          <w:p w14:paraId="2E904B38">
                            <w:pPr>
                              <w:ind w:firstLine="482"/>
                              <w:jc w:val="center"/>
                              <w:rPr>
                                <w:rFonts w:ascii="Times New Roman" w:hAnsi="Times New Roman" w:cs="Times New Roman"/>
                                <w:b/>
                                <w:bCs/>
                                <w:lang w:eastAsia="zh-CN"/>
                              </w:rPr>
                            </w:pPr>
                            <w:r>
                              <w:rPr>
                                <w:rFonts w:ascii="Times New Roman" w:hAnsi="Times New Roman" w:cs="Times New Roman"/>
                                <w:b/>
                                <w:bCs/>
                                <w:lang w:eastAsia="zh-CN"/>
                              </w:rPr>
                              <w:t>图</w:t>
                            </w:r>
                            <w:r>
                              <w:rPr>
                                <w:rFonts w:hint="eastAsia" w:ascii="Times New Roman" w:hAnsi="Times New Roman" w:cs="Times New Roman"/>
                                <w:b/>
                                <w:bCs/>
                                <w:lang w:eastAsia="zh-CN"/>
                              </w:rPr>
                              <w:t>7.3</w:t>
                            </w:r>
                            <w:r>
                              <w:rPr>
                                <w:rFonts w:ascii="Times New Roman" w:hAnsi="Times New Roman" w:cs="Times New Roman"/>
                                <w:b/>
                                <w:bCs/>
                                <w:lang w:eastAsia="zh-CN"/>
                              </w:rPr>
                              <w:t>-</w:t>
                            </w:r>
                            <w:r>
                              <w:rPr>
                                <w:rFonts w:hint="eastAsia" w:ascii="Times New Roman" w:hAnsi="Times New Roman" w:cs="Times New Roman"/>
                                <w:b/>
                                <w:bCs/>
                                <w:lang w:eastAsia="zh-CN"/>
                              </w:rPr>
                              <w:t>3</w:t>
                            </w:r>
                            <w:r>
                              <w:rPr>
                                <w:rFonts w:ascii="Times New Roman" w:hAnsi="Times New Roman" w:cs="Times New Roman"/>
                                <w:b/>
                                <w:bCs/>
                                <w:lang w:eastAsia="zh-CN"/>
                              </w:rPr>
                              <w:t xml:space="preserve"> </w:t>
                            </w:r>
                            <w:r>
                              <w:rPr>
                                <w:rFonts w:hint="eastAsia" w:ascii="Times New Roman" w:hAnsi="Times New Roman" w:cs="Times New Roman"/>
                                <w:b/>
                                <w:bCs/>
                                <w:lang w:eastAsia="zh-CN"/>
                              </w:rPr>
                              <w:t>雨水工程规划图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5" o:spid="_x0000_s1026" o:spt="202" type="#_x0000_t202" style="position:absolute;left:0pt;margin-left:-17.45pt;margin-top:458.45pt;height:27.3pt;width:696.45pt;z-index:251791360;mso-width-relative:page;mso-height-relative:page;" filled="f" stroked="f" coordsize="21600,21600" o:gfxdata="UEsDBAoAAAAAAIdO4kAAAAAAAAAAAAAAAAAEAAAAZHJzL1BLAwQUAAAACACHTuJAJuYTvt0AAAAM&#10;AQAADwAAAGRycy9kb3ducmV2LnhtbE2PzU7DMBCE70i8g7VI3FonLSlpiFOhSBUSooeWXrhtYjeJ&#10;iNchdn/g6dme4La7M5r9Jl9dbC9OZvSdIwXxNAJhqHa6o0bB/n09SUH4gKSxd2QUfBsPq+L2JsdM&#10;uzNtzWkXGsEh5DNU0IYwZFL6ujUW/dQNhlg7uNFi4HVspB7xzOG2l7MoWkiLHfGHFgdTtqb+3B2t&#10;gtdyvcFtNbPpT1++vB2eh6/9R6LU/V0cPYEI5hL+zHDFZ3QomKlyR9Je9Aom84clWxUs4wUPV8c8&#10;SblexafHOAFZ5PJ/ieIXUEsDBBQAAAAIAIdO4kBeA0gBQAIAAGkEAAAOAAAAZHJzL2Uyb0RvYy54&#10;bWytVMGO2jAQvVfqP1i+lxAWWBYRVnQRVaVVdyVa9Wwch0SyPa5tSOgHtH/QUy+997v4jo6dwKJt&#10;D3voxRl7xjPz3jxndtsoSfbCugp0RtNenxKhOeSV3mb008fVmwklzjOdMwlaZPQgHL2dv341q81U&#10;DKAEmQtLMIl209pktPTeTJPE8VIo5npghEZnAVYxj1u7TXLLasyuZDLo98dJDTY3FrhwDk+XrZN2&#10;Ge1LEkJRVFwsge+U0L7NaoVkHiG5sjKOzmO3RSG4fygKJzyRGUWkPq5YBO1NWJP5jE23lpmy4l0L&#10;7CUtPMOkWKWx6DnVknlGdrb6K5WquAUHhe9xUEkLJDKCKNL+M27WJTMiYkGqnTmT7v5fWv5h/2hJ&#10;lWd0MEop0UzhyI8/vh9//j7++kYGo8BQbdwUA9cGQ33zFhrUzenc4WEA3hRWhS9CIuhHfg9nfkXj&#10;CcfDyWQ4vElHlHD0XQ3H12kcQPJ021jn3wlQJBgZtTi/SCvb3zuPnWDoKSQU07CqpIwzlJrUGR1f&#10;jfrxwtmDN6TGiwFD22uwfLNpOmAbyA+Iy0KrDWf4qsLi98z5R2ZRDAgFn4t/wKWQgEWgsygpwX79&#10;13mIxxmhl5IaxZVR92XHrKBEvtc4vZt0OAxqjJvh6HqAG3vp2Vx69E7dAeoX54PdRTPEe3kyCwvq&#10;M76qRaiKLqY51s6oP5l3vpU8vkouFosYhPozzN/rteEhdUvnYuehqCLTgaaWm449VGAcQPdagsQv&#10;9zHq6Q8x/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m5hO+3QAAAAwBAAAPAAAAAAAAAAEAIAAA&#10;ACIAAABkcnMvZG93bnJldi54bWxQSwECFAAUAAAACACHTuJAXgNIAUACAABpBAAADgAAAAAAAAAB&#10;ACAAAAAsAQAAZHJzL2Uyb0RvYy54bWxQSwUGAAAAAAYABgBZAQAA3gUAAAAA&#10;">
                <v:fill on="f" focussize="0,0"/>
                <v:stroke on="f" weight="0.5pt"/>
                <v:imagedata o:title=""/>
                <o:lock v:ext="edit" aspectratio="f"/>
                <v:textbox>
                  <w:txbxContent>
                    <w:p w14:paraId="2E904B38">
                      <w:pPr>
                        <w:ind w:firstLine="482"/>
                        <w:jc w:val="center"/>
                        <w:rPr>
                          <w:rFonts w:ascii="Times New Roman" w:hAnsi="Times New Roman" w:cs="Times New Roman"/>
                          <w:b/>
                          <w:bCs/>
                          <w:lang w:eastAsia="zh-CN"/>
                        </w:rPr>
                      </w:pPr>
                      <w:r>
                        <w:rPr>
                          <w:rFonts w:ascii="Times New Roman" w:hAnsi="Times New Roman" w:cs="Times New Roman"/>
                          <w:b/>
                          <w:bCs/>
                          <w:lang w:eastAsia="zh-CN"/>
                        </w:rPr>
                        <w:t>图</w:t>
                      </w:r>
                      <w:r>
                        <w:rPr>
                          <w:rFonts w:hint="eastAsia" w:ascii="Times New Roman" w:hAnsi="Times New Roman" w:cs="Times New Roman"/>
                          <w:b/>
                          <w:bCs/>
                          <w:lang w:eastAsia="zh-CN"/>
                        </w:rPr>
                        <w:t>7.3</w:t>
                      </w:r>
                      <w:r>
                        <w:rPr>
                          <w:rFonts w:ascii="Times New Roman" w:hAnsi="Times New Roman" w:cs="Times New Roman"/>
                          <w:b/>
                          <w:bCs/>
                          <w:lang w:eastAsia="zh-CN"/>
                        </w:rPr>
                        <w:t>-</w:t>
                      </w:r>
                      <w:r>
                        <w:rPr>
                          <w:rFonts w:hint="eastAsia" w:ascii="Times New Roman" w:hAnsi="Times New Roman" w:cs="Times New Roman"/>
                          <w:b/>
                          <w:bCs/>
                          <w:lang w:eastAsia="zh-CN"/>
                        </w:rPr>
                        <w:t>3</w:t>
                      </w:r>
                      <w:r>
                        <w:rPr>
                          <w:rFonts w:ascii="Times New Roman" w:hAnsi="Times New Roman" w:cs="Times New Roman"/>
                          <w:b/>
                          <w:bCs/>
                          <w:lang w:eastAsia="zh-CN"/>
                        </w:rPr>
                        <w:t xml:space="preserve"> </w:t>
                      </w:r>
                      <w:r>
                        <w:rPr>
                          <w:rFonts w:hint="eastAsia" w:ascii="Times New Roman" w:hAnsi="Times New Roman" w:cs="Times New Roman"/>
                          <w:b/>
                          <w:bCs/>
                          <w:lang w:eastAsia="zh-CN"/>
                        </w:rPr>
                        <w:t>雨水工程规划图</w:t>
                      </w:r>
                    </w:p>
                  </w:txbxContent>
                </v:textbox>
              </v:shape>
            </w:pict>
          </mc:Fallback>
        </mc:AlternateContent>
      </w:r>
      <w:r>
        <w:rPr>
          <w:rFonts w:ascii="Times New Roman" w:hAnsi="Times New Roman" w:cs="Times New Roman"/>
        </w:rPr>
        <w:drawing>
          <wp:inline distT="0" distB="0" distL="0" distR="0">
            <wp:extent cx="8086725" cy="5695950"/>
            <wp:effectExtent l="0" t="0" r="0" b="0"/>
            <wp:docPr id="163"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86"/>
                    <pic:cNvPicPr>
                      <a:picLocks noChangeAspect="1" noChangeArrowheads="1"/>
                    </pic:cNvPicPr>
                  </pic:nvPicPr>
                  <pic:blipFill>
                    <a:blip r:embed="rId104" cstate="print">
                      <a:extLst>
                        <a:ext uri="{28A0092B-C50C-407E-A947-70E740481C1C}">
                          <a14:useLocalDpi xmlns:a14="http://schemas.microsoft.com/office/drawing/2010/main" val="0"/>
                        </a:ext>
                      </a:extLst>
                    </a:blip>
                    <a:srcRect t="2328"/>
                    <a:stretch>
                      <a:fillRect/>
                    </a:stretch>
                  </pic:blipFill>
                  <pic:spPr>
                    <a:xfrm>
                      <a:off x="0" y="0"/>
                      <a:ext cx="8086725" cy="5695950"/>
                    </a:xfrm>
                    <a:prstGeom prst="rect">
                      <a:avLst/>
                    </a:prstGeom>
                    <a:noFill/>
                    <a:ln>
                      <a:noFill/>
                    </a:ln>
                  </pic:spPr>
                </pic:pic>
              </a:graphicData>
            </a:graphic>
          </wp:inline>
        </w:drawing>
      </w:r>
      <w:r>
        <w:rPr>
          <w:rFonts w:ascii="Times New Roman" w:hAnsi="Times New Roman" w:cs="Times New Roman"/>
          <w:color w:val="auto"/>
          <w:lang w:eastAsia="zh-CN"/>
        </w:rPr>
        <w:t xml:space="preserve"> </w:t>
      </w:r>
    </w:p>
    <w:p w14:paraId="13F3B8AB">
      <w:pPr>
        <w:adjustRightInd w:val="0"/>
        <w:snapToGrid w:val="0"/>
        <w:spacing w:line="360" w:lineRule="auto"/>
        <w:rPr>
          <w:rFonts w:ascii="Times New Roman" w:hAnsi="Times New Roman" w:cs="Times New Roman"/>
          <w:color w:val="auto"/>
          <w:lang w:eastAsia="zh-CN"/>
        </w:rPr>
      </w:pPr>
    </w:p>
    <w:p w14:paraId="088CEA28">
      <w:pPr>
        <w:adjustRightInd w:val="0"/>
        <w:snapToGrid w:val="0"/>
        <w:spacing w:line="360" w:lineRule="auto"/>
        <w:jc w:val="center"/>
        <w:rPr>
          <w:snapToGrid/>
          <w:lang w:eastAsia="zh-CN"/>
        </w:rPr>
      </w:pPr>
      <w:r>
        <w:rPr>
          <w:snapToGrid/>
          <w:lang w:eastAsia="zh-CN"/>
        </w:rPr>
        <mc:AlternateContent>
          <mc:Choice Requires="wps">
            <w:drawing>
              <wp:anchor distT="0" distB="0" distL="114300" distR="114300" simplePos="0" relativeHeight="251930624" behindDoc="0" locked="0" layoutInCell="1" allowOverlap="1">
                <wp:simplePos x="0" y="0"/>
                <wp:positionH relativeFrom="column">
                  <wp:posOffset>4730750</wp:posOffset>
                </wp:positionH>
                <wp:positionV relativeFrom="paragraph">
                  <wp:posOffset>1659890</wp:posOffset>
                </wp:positionV>
                <wp:extent cx="883920" cy="517525"/>
                <wp:effectExtent l="2540" t="0" r="0" b="0"/>
                <wp:wrapNone/>
                <wp:docPr id="618482123" name="矩形 7274"/>
                <wp:cNvGraphicFramePr/>
                <a:graphic xmlns:a="http://schemas.openxmlformats.org/drawingml/2006/main">
                  <a:graphicData uri="http://schemas.microsoft.com/office/word/2010/wordprocessingShape">
                    <wps:wsp>
                      <wps:cNvSpPr>
                        <a:spLocks noChangeArrowheads="1"/>
                      </wps:cNvSpPr>
                      <wps:spPr bwMode="auto">
                        <a:xfrm>
                          <a:off x="0" y="0"/>
                          <a:ext cx="883920" cy="517525"/>
                        </a:xfrm>
                        <a:prstGeom prst="rect">
                          <a:avLst/>
                        </a:prstGeom>
                        <a:noFill/>
                        <a:ln>
                          <a:noFill/>
                        </a:ln>
                      </wps:spPr>
                      <wps:txbx>
                        <w:txbxContent>
                          <w:p w14:paraId="3E7C581E">
                            <w:pPr>
                              <w:rPr>
                                <w:rFonts w:ascii="Times New Roman" w:hAnsi="Times New Roman" w:cs="Times New Roman"/>
                                <w:b/>
                                <w:bCs/>
                                <w:color w:val="EE0000"/>
                                <w:sz w:val="28"/>
                                <w:szCs w:val="22"/>
                              </w:rPr>
                            </w:pPr>
                            <w:r>
                              <w:rPr>
                                <w:rFonts w:hint="eastAsia" w:ascii="Times New Roman" w:hAnsi="Times New Roman" w:cs="Times New Roman"/>
                                <w:b/>
                                <w:bCs/>
                                <w:color w:val="EE0000"/>
                                <w:sz w:val="28"/>
                                <w:szCs w:val="22"/>
                                <w:lang w:eastAsia="zh-CN"/>
                              </w:rPr>
                              <w:t>50</w:t>
                            </w:r>
                            <w:r>
                              <w:rPr>
                                <w:rFonts w:ascii="Times New Roman" w:hAnsi="Times New Roman" w:cs="Times New Roman"/>
                                <w:b/>
                                <w:bCs/>
                                <w:color w:val="EE0000"/>
                                <w:sz w:val="28"/>
                                <w:szCs w:val="22"/>
                                <w:lang w:eastAsia="zh-CN"/>
                              </w:rPr>
                              <w:t>00m</w:t>
                            </w:r>
                            <w:r>
                              <w:rPr>
                                <w:rFonts w:ascii="Times New Roman" w:hAnsi="Times New Roman" w:cs="Times New Roman"/>
                                <w:b/>
                                <w:bCs/>
                                <w:color w:val="EE0000"/>
                                <w:sz w:val="28"/>
                                <w:szCs w:val="22"/>
                                <w:lang w:eastAsia="zh-CN"/>
                              </w:rPr>
                              <w:drawing>
                                <wp:inline distT="0" distB="0" distL="0" distR="0">
                                  <wp:extent cx="1485900" cy="114300"/>
                                  <wp:effectExtent l="0" t="0" r="0" b="0"/>
                                  <wp:docPr id="149780609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806097" name="图片 1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1485900" cy="114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rect id="矩形 7274" o:spid="_x0000_s1026" o:spt="1" style="position:absolute;left:0pt;margin-left:372.5pt;margin-top:130.7pt;height:40.75pt;width:69.6pt;z-index:251930624;mso-width-relative:page;mso-height-relative:page;" filled="f" stroked="f" coordsize="21600,21600" o:gfxdata="UEsDBAoAAAAAAIdO4kAAAAAAAAAAAAAAAAAEAAAAZHJzL1BLAwQUAAAACACHTuJA6ST9HNwAAAAL&#10;AQAADwAAAGRycy9kb3ducmV2LnhtbE2PQU+DQBSE7yb+h80z8WLaBcSKyKOHJsbGNGmktectPIHI&#10;vqXsFuq/dz3pcTKTmW+y5UV3YqTBtoYRwnkAgrg0Vcs1wn73MktAWKe4Up1hQvgmC8v8+ipTaWUm&#10;fqexcLXwJWxThdA416dS2rIhrezc9MTe+zSDVs7LoZbVoCZfrjsZBcFCatWyX2hUT6uGyq/irBGm&#10;cjsedptXub07rA2f1qdV8fGGeHsTBs8gHF3cXxh+8T065J7paM5cWdEhPMYP/otDiBZhDMInkiSO&#10;QBwR7uPoCWSeyf8f8h9QSwMEFAAAAAgAh07iQD39Q0oWAgAAEgQAAA4AAABkcnMvZTJvRG9jLnht&#10;bK1TQW7bMBC8F+gfCN5rWYodO4LlIIiRokDaBkj7AJqiLKISl13SltzPFOgtj+hzin6jS8pxnfSS&#10;Qy8EyV3OzswuF5d927CdQqfBFDwdjTlTRkKpzabgnz/dvJlz5rwwpWjAqILvleOXy9evFp3NVQY1&#10;NKVCRiDG5Z0teO29zZPEyVq1wo3AKkPBCrAVno64SUoUHaG3TZKNx+dJB1haBKmco9vVEOQHRHwJ&#10;IFSVlmoFctsq4wdUVI3wJMnV2jq+jGyrSkn/saqc8qwpOCn1caUitF+HNVkuRL5BYWstDxTESyg8&#10;09QKbajoEWolvGBb1P9AtVoiOKj8SEKbDEKiI6QiHT/z5r4WVkUtZLWzR9Pd/4OVH3Z3yHRZ8PN0&#10;PplnaXbGmREtNf7394dfP3+wWTabBJs663LKvrd3GIQ6ewvyi2MGrmthNuoKEbpaiZLIpSE/efIg&#10;HBw9ZevuPZSELrYeomN9hW0AJC9YHxuzPzZG9Z5JupzPzy4yapmk0DSdTbNprCDyx8cWnX+roGVh&#10;U3Ckvkdwsbt1PpAR+WNKqGXgRjdN7H1jnlxQYriJ5APfQbfv1/3BgjWUe5KBMIwSfSTa1IDfOOto&#10;jAruvm4FKs6ad4asuEgnkzB38TCZzoIKPI2sTyPCSIIquOds2F77YVa3FvWmpkpplGXgiuyrdJQW&#10;rB1YHXjTqETFh7EOs3h6jll/v/Ly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Okk/RzcAAAACwEA&#10;AA8AAAAAAAAAAQAgAAAAIgAAAGRycy9kb3ducmV2LnhtbFBLAQIUABQAAAAIAIdO4kA9/UNKFgIA&#10;ABIEAAAOAAAAAAAAAAEAIAAAACsBAABkcnMvZTJvRG9jLnhtbFBLBQYAAAAABgAGAFkBAACzBQAA&#10;AAA=&#10;">
                <v:fill on="f" focussize="0,0"/>
                <v:stroke on="f"/>
                <v:imagedata o:title=""/>
                <o:lock v:ext="edit" aspectratio="f"/>
                <v:textbox>
                  <w:txbxContent>
                    <w:p w14:paraId="3E7C581E">
                      <w:pPr>
                        <w:rPr>
                          <w:rFonts w:ascii="Times New Roman" w:hAnsi="Times New Roman" w:cs="Times New Roman"/>
                          <w:b/>
                          <w:bCs/>
                          <w:color w:val="EE0000"/>
                          <w:sz w:val="28"/>
                          <w:szCs w:val="22"/>
                        </w:rPr>
                      </w:pPr>
                      <w:r>
                        <w:rPr>
                          <w:rFonts w:hint="eastAsia" w:ascii="Times New Roman" w:hAnsi="Times New Roman" w:cs="Times New Roman"/>
                          <w:b/>
                          <w:bCs/>
                          <w:color w:val="EE0000"/>
                          <w:sz w:val="28"/>
                          <w:szCs w:val="22"/>
                          <w:lang w:eastAsia="zh-CN"/>
                        </w:rPr>
                        <w:t>50</w:t>
                      </w:r>
                      <w:r>
                        <w:rPr>
                          <w:rFonts w:ascii="Times New Roman" w:hAnsi="Times New Roman" w:cs="Times New Roman"/>
                          <w:b/>
                          <w:bCs/>
                          <w:color w:val="EE0000"/>
                          <w:sz w:val="28"/>
                          <w:szCs w:val="22"/>
                          <w:lang w:eastAsia="zh-CN"/>
                        </w:rPr>
                        <w:t>00m</w:t>
                      </w:r>
                      <w:r>
                        <w:rPr>
                          <w:rFonts w:ascii="Times New Roman" w:hAnsi="Times New Roman" w:cs="Times New Roman"/>
                          <w:b/>
                          <w:bCs/>
                          <w:color w:val="EE0000"/>
                          <w:sz w:val="28"/>
                          <w:szCs w:val="22"/>
                          <w:lang w:eastAsia="zh-CN"/>
                        </w:rPr>
                        <w:drawing>
                          <wp:inline distT="0" distB="0" distL="0" distR="0">
                            <wp:extent cx="1485900" cy="114300"/>
                            <wp:effectExtent l="0" t="0" r="0" b="0"/>
                            <wp:docPr id="149780609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806097" name="图片 1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1485900" cy="114300"/>
                                    </a:xfrm>
                                    <a:prstGeom prst="rect">
                                      <a:avLst/>
                                    </a:prstGeom>
                                    <a:noFill/>
                                    <a:ln>
                                      <a:noFill/>
                                    </a:ln>
                                  </pic:spPr>
                                </pic:pic>
                              </a:graphicData>
                            </a:graphic>
                          </wp:inline>
                        </w:drawing>
                      </w:r>
                    </w:p>
                  </w:txbxContent>
                </v:textbox>
              </v:rect>
            </w:pict>
          </mc:Fallback>
        </mc:AlternateContent>
      </w:r>
      <w:r>
        <w:rPr>
          <w:snapToGrid/>
          <w:lang w:eastAsia="zh-CN"/>
        </w:rPr>
        <mc:AlternateContent>
          <mc:Choice Requires="wps">
            <w:drawing>
              <wp:anchor distT="0" distB="0" distL="114300" distR="114300" simplePos="0" relativeHeight="251929600" behindDoc="0" locked="0" layoutInCell="1" allowOverlap="1">
                <wp:simplePos x="0" y="0"/>
                <wp:positionH relativeFrom="column">
                  <wp:posOffset>4751070</wp:posOffset>
                </wp:positionH>
                <wp:positionV relativeFrom="paragraph">
                  <wp:posOffset>315595</wp:posOffset>
                </wp:positionV>
                <wp:extent cx="45720" cy="2487295"/>
                <wp:effectExtent l="76200" t="38100" r="69215" b="65405"/>
                <wp:wrapNone/>
                <wp:docPr id="836961260" name="自选图形 7273"/>
                <wp:cNvGraphicFramePr/>
                <a:graphic xmlns:a="http://schemas.openxmlformats.org/drawingml/2006/main">
                  <a:graphicData uri="http://schemas.microsoft.com/office/word/2010/wordprocessingShape">
                    <wps:wsp>
                      <wps:cNvCnPr>
                        <a:cxnSpLocks noChangeShapeType="1"/>
                      </wps:cNvCnPr>
                      <wps:spPr bwMode="auto">
                        <a:xfrm flipV="1">
                          <a:off x="0" y="0"/>
                          <a:ext cx="45719" cy="2487378"/>
                        </a:xfrm>
                        <a:prstGeom prst="straightConnector1">
                          <a:avLst/>
                        </a:prstGeom>
                        <a:noFill/>
                        <a:ln w="19050">
                          <a:solidFill>
                            <a:srgbClr val="EE0000"/>
                          </a:solidFill>
                          <a:round/>
                          <a:headEnd type="triangle" w="med" len="med"/>
                          <a:tailEnd type="triangle" w="med" len="med"/>
                        </a:ln>
                      </wps:spPr>
                      <wps:bodyPr/>
                    </wps:wsp>
                  </a:graphicData>
                </a:graphic>
              </wp:anchor>
            </w:drawing>
          </mc:Choice>
          <mc:Fallback>
            <w:pict>
              <v:shape id="自选图形 7273" o:spid="_x0000_s1026" o:spt="32" type="#_x0000_t32" style="position:absolute;left:0pt;flip:y;margin-left:374.1pt;margin-top:24.85pt;height:195.85pt;width:3.6pt;z-index:251929600;mso-width-relative:page;mso-height-relative:page;" filled="f" stroked="t" coordsize="21600,21600" o:gfxdata="UEsDBAoAAAAAAIdO4kAAAAAAAAAAAAAAAAAEAAAAZHJzL1BLAwQUAAAACACHTuJAOXIkNNoAAAAK&#10;AQAADwAAAGRycy9kb3ducmV2LnhtbE2PwU6EMBCG7ya+QzMmXsxuC3YFkbIxJnrwtK6bGG9dWoFI&#10;p0gLi2/veNLjzHz55/vL7eJ6NtsxdB4VJGsBzGLtTYeNgsPr4yoHFqJGo3uPVsG3DbCtzs9KXRh/&#10;whc772PDKARDoRW0MQ4F56FurdNh7QeLdPvwo9ORxrHhZtQnCnc9T4W44U53SB9aPdiH1taf+8kp&#10;cF9Zc71zqbh3T/LteeZX7/kyKXV5kYg7YNEu8Q+GX31Sh4qcjn5CE1ivIJN5SqgCeZsBIyDbbCSw&#10;Iy1kIoFXJf9fofoBUEsDBBQAAAAIAIdO4kAOxp3VJQIAACsEAAAOAAAAZHJzL2Uyb0RvYy54bWyt&#10;U72OEzEQ7pF4B8s92U1yl59VNlckOZoDTrqD3rG9uxZej2U72aSjQzwDHSXvAG9zErwFYyfKcUeT&#10;gi1Wtmfmm+/7PJ5d7VpNttJ5Baak/V5OiTQchDJ1Sd/fX7+aUOIDM4JpMLKke+np1fzli1lnCzmA&#10;BrSQjiCI8UVnS9qEYIss87yRLfM9sNJgsALXsoBbV2fCsQ7RW50N8nyUdeCEdcCl93i6PATpEdGd&#10;AwhVpbhcAt+00oQDqpOaBZTkG2U9nSe2VSV5eFdVXgaiS4pKQ/pjE1yv4z+bz1hRO2YbxY8U2DkU&#10;nmlqmTLY9AS1ZIGRjVP/QLWKO/BQhR6HNjsISY6gin7+zJu7hlmZtKDV3p5M9/8Plr/d3jqiREkn&#10;w9F01B+M0BnDWrz4X5+///705eHrz4cf38h4MB5GszrrC6xZmFsX5fKdubM3wD96YmDRMFPLRPp+&#10;bxGhHyuyJyVx4y22XHdvQGAO2wRIzu0q15JKK/shFkZwdIfs0lXtT1cld4FwPLy4HPenlHCMDC4m&#10;4+F4knqxIsLEYut8eC2hJXFRUh8cU3UTFmAMDgW4Qwu2vfEhknwsiMUGrpXWaTa0IR0SmuaXeSLl&#10;QSsRozHPu3q90I5sGY7XapXjd6TxJM3BxoiE1kgmVkaQkPwJTqFjWtLYopWCEi3xTcZVyg5M6XOz&#10;UYE2R7ejwYerWoPY37ooMBqPM5SkHuc9Dunf+5T1+Mbn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5ciQ02gAAAAoBAAAPAAAAAAAAAAEAIAAAACIAAABkcnMvZG93bnJldi54bWxQSwECFAAUAAAA&#10;CACHTuJADsad1SUCAAArBAAADgAAAAAAAAABACAAAAApAQAAZHJzL2Uyb0RvYy54bWxQSwUGAAAA&#10;AAYABgBZAQAAwAUAAAAA&#10;">
                <v:fill on="f" focussize="0,0"/>
                <v:stroke weight="1.5pt" color="#EE0000" joinstyle="round" startarrow="block" endarrow="block"/>
                <v:imagedata o:title=""/>
                <o:lock v:ext="edit" aspectratio="f"/>
              </v:shape>
            </w:pict>
          </mc:Fallback>
        </mc:AlternateContent>
      </w:r>
      <w:r>
        <w:rPr>
          <w:rFonts w:ascii="Times New Roman" w:hAnsi="Times New Roman" w:cs="Times New Roman"/>
          <w:color w:val="auto"/>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5958205</wp:posOffset>
                </wp:positionV>
                <wp:extent cx="8876030" cy="369570"/>
                <wp:effectExtent l="0" t="0" r="0" b="0"/>
                <wp:wrapNone/>
                <wp:docPr id="153" name="文本框 23"/>
                <wp:cNvGraphicFramePr/>
                <a:graphic xmlns:a="http://schemas.openxmlformats.org/drawingml/2006/main">
                  <a:graphicData uri="http://schemas.microsoft.com/office/word/2010/wordprocessingShape">
                    <wps:wsp>
                      <wps:cNvSpPr txBox="1"/>
                      <wps:spPr>
                        <a:xfrm>
                          <a:off x="0" y="0"/>
                          <a:ext cx="8876030" cy="369570"/>
                        </a:xfrm>
                        <a:prstGeom prst="rect">
                          <a:avLst/>
                        </a:prstGeom>
                        <a:noFill/>
                        <a:ln w="6350">
                          <a:noFill/>
                        </a:ln>
                      </wps:spPr>
                      <wps:txbx>
                        <w:txbxContent>
                          <w:p w14:paraId="21172EE0">
                            <w:pPr>
                              <w:ind w:firstLine="482"/>
                              <w:jc w:val="center"/>
                              <w:rPr>
                                <w:rFonts w:ascii="Times New Roman" w:hAnsi="Times New Roman" w:cs="Times New Roman"/>
                                <w:b/>
                                <w:bCs/>
                                <w:lang w:eastAsia="zh-CN"/>
                              </w:rPr>
                            </w:pPr>
                            <w:r>
                              <w:rPr>
                                <w:rFonts w:ascii="Times New Roman" w:hAnsi="Times New Roman" w:cs="Times New Roman"/>
                                <w:b/>
                                <w:bCs/>
                                <w:lang w:eastAsia="zh-CN"/>
                              </w:rPr>
                              <w:t>图</w:t>
                            </w:r>
                            <w:r>
                              <w:rPr>
                                <w:rFonts w:hint="eastAsia" w:ascii="Times New Roman" w:hAnsi="Times New Roman" w:cs="Times New Roman"/>
                                <w:b/>
                                <w:bCs/>
                                <w:lang w:eastAsia="zh-CN"/>
                              </w:rPr>
                              <w:t>7</w:t>
                            </w:r>
                            <w:r>
                              <w:rPr>
                                <w:rFonts w:ascii="Times New Roman" w:hAnsi="Times New Roman" w:cs="Times New Roman"/>
                                <w:b/>
                                <w:bCs/>
                                <w:lang w:eastAsia="zh-CN"/>
                              </w:rPr>
                              <w:t>.</w:t>
                            </w:r>
                            <w:r>
                              <w:rPr>
                                <w:rFonts w:hint="eastAsia" w:ascii="Times New Roman" w:hAnsi="Times New Roman" w:cs="Times New Roman"/>
                                <w:b/>
                                <w:bCs/>
                                <w:lang w:eastAsia="zh-CN"/>
                              </w:rPr>
                              <w:t>3</w:t>
                            </w:r>
                            <w:r>
                              <w:rPr>
                                <w:rFonts w:ascii="Times New Roman" w:hAnsi="Times New Roman" w:cs="Times New Roman"/>
                                <w:b/>
                                <w:bCs/>
                                <w:lang w:eastAsia="zh-CN"/>
                              </w:rPr>
                              <w:t>-</w:t>
                            </w:r>
                            <w:r>
                              <w:rPr>
                                <w:rFonts w:hint="eastAsia" w:ascii="Times New Roman" w:hAnsi="Times New Roman" w:cs="Times New Roman"/>
                                <w:b/>
                                <w:bCs/>
                                <w:lang w:eastAsia="zh-CN"/>
                              </w:rPr>
                              <w:t xml:space="preserve">4 </w:t>
                            </w:r>
                            <w:r>
                              <w:rPr>
                                <w:rFonts w:ascii="Times New Roman" w:hAnsi="Times New Roman" w:cs="Times New Roman"/>
                                <w:b/>
                                <w:bCs/>
                                <w:lang w:eastAsia="zh-CN"/>
                              </w:rPr>
                              <w:t>区域边界5km范围内环境风险受体图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3" o:spid="_x0000_s1026" o:spt="202" type="#_x0000_t202" style="position:absolute;left:0pt;margin-top:469.15pt;height:29.1pt;width:698.9pt;mso-position-horizontal:left;mso-position-horizontal-relative:margin;z-index:251660288;mso-width-relative:page;mso-height-relative:page;" filled="f" stroked="f" coordsize="21600,21600" o:gfxdata="UEsDBAoAAAAAAIdO4kAAAAAAAAAAAAAAAAAEAAAAZHJzL1BLAwQUAAAACACHTuJALX53FdoAAAAJ&#10;AQAADwAAAGRycy9kb3ducmV2LnhtbE2PTU/DMAyG70j8h8hI3Fi6VRtt13RClSYkBIeNXbi5TdZW&#10;a5zSZB/w6/FO42i/1uvnyVcX24uTGX3nSMF0EoEwVDvdUaNg97l+SkD4gKSxd2QU/BgPq+L+LsdM&#10;uzNtzGkbGsEl5DNU0IYwZFL6ujUW/cQNhjjbu9Fi4HFspB7xzOW2l7MoWkiLHfGHFgdTtqY+bI9W&#10;wVu5/sBNNbPJb1++vu9fhu/d11ypx4dptAQRzCXcjuGKz+hQMFPljqS96BWwSFCQxkkM4hrH6TOr&#10;VLxKF3OQRS7/GxR/UEsDBBQAAAAIAIdO4kBfluUbPgIAAGkEAAAOAAAAZHJzL2Uyb0RvYy54bWyt&#10;VM1uEzEQviPxDpbvZPPfNOqmCq2KkCJaqSDOjtebXcl/2E52wwPAG3Diwp3n6nPw2ZukVeHQAxfv&#10;eGY8M983M3tx2SpJdsL52uicDnp9SoTmpqj1JqefPt68mVHiA9MFk0aLnO6Fp5eL168uGjsXQ1MZ&#10;WQhHEET7eWNzWoVg51nmeSUU8z1jhYaxNE6xgKvbZIVjDaIrmQ37/WnWGFdYZ7jwHtrrzkgPEd1L&#10;ApqyrLm4NnyrhA5dVCckC4Dkq9p6ukjVlqXg4bYsvQhE5hRIQzqRBPI6ntnigs03jtmq5ocS2EtK&#10;eIZJsVoj6SnUNQuMbF39VyhVc2e8KUOPG5V1QBIjQDHoP+PmvmJWJCyg2tsT6f7/heUfdneO1AUm&#10;YTKiRDOFlj/8+P7w8/fDr29kOIoMNdbP4Xhv4Rrat6aF91HvoYzA29Kp+AUkAjv43Z/4FW0gHMrZ&#10;7GzaH8HEYRtNzydnqQHZ42vrfHgnjCJRyKlD/xKtbLfyAZXA9egSk2lzU0uZeig1aXI6HU366cHJ&#10;ghdS42HE0NUapdCu2wOwtSn2wOVMNxve8psayVfMhzvmMAyoF+sSbnGU0iCJOUiUVMZ9/Zc++qNH&#10;sFLSYLhy6r9smROUyPca3TsfjMcIG9JlPDkb4uKeWtZPLXqrrgzmd4DFtDyJ0T/Io1g6oz5jq5Yx&#10;K0xMc+TOaTiKV6EbeWwlF8tlcsL8WRZW+t7yGLqjc7kNpqwT05GmjpsDe5jA1IDDtsQRf3pPXo9/&#10;iM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LX53FdoAAAAJAQAADwAAAAAAAAABACAAAAAiAAAA&#10;ZHJzL2Rvd25yZXYueG1sUEsBAhQAFAAAAAgAh07iQF+W5Rs+AgAAaQQAAA4AAAAAAAAAAQAgAAAA&#10;KQEAAGRycy9lMm9Eb2MueG1sUEsFBgAAAAAGAAYAWQEAANkFAAAAAA==&#10;">
                <v:fill on="f" focussize="0,0"/>
                <v:stroke on="f" weight="0.5pt"/>
                <v:imagedata o:title=""/>
                <o:lock v:ext="edit" aspectratio="f"/>
                <v:textbox>
                  <w:txbxContent>
                    <w:p w14:paraId="21172EE0">
                      <w:pPr>
                        <w:ind w:firstLine="482"/>
                        <w:jc w:val="center"/>
                        <w:rPr>
                          <w:rFonts w:ascii="Times New Roman" w:hAnsi="Times New Roman" w:cs="Times New Roman"/>
                          <w:b/>
                          <w:bCs/>
                          <w:lang w:eastAsia="zh-CN"/>
                        </w:rPr>
                      </w:pPr>
                      <w:r>
                        <w:rPr>
                          <w:rFonts w:ascii="Times New Roman" w:hAnsi="Times New Roman" w:cs="Times New Roman"/>
                          <w:b/>
                          <w:bCs/>
                          <w:lang w:eastAsia="zh-CN"/>
                        </w:rPr>
                        <w:t>图</w:t>
                      </w:r>
                      <w:r>
                        <w:rPr>
                          <w:rFonts w:hint="eastAsia" w:ascii="Times New Roman" w:hAnsi="Times New Roman" w:cs="Times New Roman"/>
                          <w:b/>
                          <w:bCs/>
                          <w:lang w:eastAsia="zh-CN"/>
                        </w:rPr>
                        <w:t>7</w:t>
                      </w:r>
                      <w:r>
                        <w:rPr>
                          <w:rFonts w:ascii="Times New Roman" w:hAnsi="Times New Roman" w:cs="Times New Roman"/>
                          <w:b/>
                          <w:bCs/>
                          <w:lang w:eastAsia="zh-CN"/>
                        </w:rPr>
                        <w:t>.</w:t>
                      </w:r>
                      <w:r>
                        <w:rPr>
                          <w:rFonts w:hint="eastAsia" w:ascii="Times New Roman" w:hAnsi="Times New Roman" w:cs="Times New Roman"/>
                          <w:b/>
                          <w:bCs/>
                          <w:lang w:eastAsia="zh-CN"/>
                        </w:rPr>
                        <w:t>3</w:t>
                      </w:r>
                      <w:r>
                        <w:rPr>
                          <w:rFonts w:ascii="Times New Roman" w:hAnsi="Times New Roman" w:cs="Times New Roman"/>
                          <w:b/>
                          <w:bCs/>
                          <w:lang w:eastAsia="zh-CN"/>
                        </w:rPr>
                        <w:t>-</w:t>
                      </w:r>
                      <w:r>
                        <w:rPr>
                          <w:rFonts w:hint="eastAsia" w:ascii="Times New Roman" w:hAnsi="Times New Roman" w:cs="Times New Roman"/>
                          <w:b/>
                          <w:bCs/>
                          <w:lang w:eastAsia="zh-CN"/>
                        </w:rPr>
                        <w:t xml:space="preserve">4 </w:t>
                      </w:r>
                      <w:r>
                        <w:rPr>
                          <w:rFonts w:ascii="Times New Roman" w:hAnsi="Times New Roman" w:cs="Times New Roman"/>
                          <w:b/>
                          <w:bCs/>
                          <w:lang w:eastAsia="zh-CN"/>
                        </w:rPr>
                        <w:t>区域边界5km范围内环境风险受体图</w:t>
                      </w:r>
                    </w:p>
                  </w:txbxContent>
                </v:textbox>
              </v:shape>
            </w:pict>
          </mc:Fallback>
        </mc:AlternateContent>
      </w:r>
      <w:r>
        <w:rPr>
          <w:rFonts w:ascii="Times New Roman" w:hAnsi="Times New Roman" w:cs="Times New Roman"/>
          <w:color w:val="auto"/>
        </w:rPr>
        <mc:AlternateContent>
          <mc:Choice Requires="wps">
            <w:drawing>
              <wp:anchor distT="0" distB="0" distL="114300" distR="114300" simplePos="0" relativeHeight="251848704" behindDoc="0" locked="0" layoutInCell="1" allowOverlap="1">
                <wp:simplePos x="0" y="0"/>
                <wp:positionH relativeFrom="column">
                  <wp:posOffset>219075</wp:posOffset>
                </wp:positionH>
                <wp:positionV relativeFrom="paragraph">
                  <wp:posOffset>4857750</wp:posOffset>
                </wp:positionV>
                <wp:extent cx="2038350" cy="990600"/>
                <wp:effectExtent l="0" t="0" r="0" b="0"/>
                <wp:wrapNone/>
                <wp:docPr id="1772842572" name="文本框 69"/>
                <wp:cNvGraphicFramePr/>
                <a:graphic xmlns:a="http://schemas.openxmlformats.org/drawingml/2006/main">
                  <a:graphicData uri="http://schemas.microsoft.com/office/word/2010/wordprocessingShape">
                    <wps:wsp>
                      <wps:cNvSpPr txBox="1">
                        <a:spLocks noChangeArrowheads="1"/>
                      </wps:cNvSpPr>
                      <wps:spPr bwMode="auto">
                        <a:xfrm>
                          <a:off x="0" y="0"/>
                          <a:ext cx="2038350" cy="990600"/>
                        </a:xfrm>
                        <a:prstGeom prst="rect">
                          <a:avLst/>
                        </a:prstGeom>
                        <a:solidFill>
                          <a:srgbClr val="FFFFFF"/>
                        </a:solidFill>
                        <a:ln>
                          <a:noFill/>
                        </a:ln>
                        <a:effectLst/>
                      </wps:spPr>
                      <wps:txbx>
                        <w:txbxContent>
                          <w:p w14:paraId="6E733A4F">
                            <w:pPr>
                              <w:ind w:firstLine="482"/>
                              <w:jc w:val="center"/>
                              <w:rPr>
                                <w:b/>
                                <w:bCs/>
                                <w:color w:val="EE0000"/>
                                <w:lang w:eastAsia="zh-CN"/>
                              </w:rPr>
                            </w:pPr>
                            <w:r>
                              <w:rPr>
                                <w:rFonts w:hint="eastAsia"/>
                                <w:b/>
                                <w:bCs/>
                                <w:color w:val="EE0000"/>
                                <w:lang w:eastAsia="zh-CN"/>
                              </w:rPr>
                              <w:t>图例</w:t>
                            </w:r>
                          </w:p>
                          <w:p w14:paraId="5590EBD3">
                            <w:pPr>
                              <w:ind w:firstLine="482"/>
                              <w:jc w:val="center"/>
                              <w:rPr>
                                <w:b/>
                                <w:bCs/>
                                <w:color w:val="EE0000"/>
                                <w:lang w:eastAsia="zh-CN"/>
                              </w:rPr>
                            </w:pPr>
                            <w:r>
                              <w:rPr>
                                <w:rFonts w:hint="eastAsia"/>
                                <w:b/>
                                <w:bCs/>
                                <w:color w:val="EE0000"/>
                                <w:lang w:eastAsia="zh-CN"/>
                              </w:rPr>
                              <w:t xml:space="preserve"> 拟建项目厂址</w:t>
                            </w:r>
                          </w:p>
                          <w:p w14:paraId="33B3D2B2">
                            <w:pPr>
                              <w:ind w:firstLine="482"/>
                              <w:jc w:val="center"/>
                              <w:rPr>
                                <w:b/>
                                <w:bCs/>
                                <w:color w:val="EE0000"/>
                                <w:lang w:eastAsia="zh-CN"/>
                              </w:rPr>
                            </w:pPr>
                            <w:r>
                              <w:rPr>
                                <w:rFonts w:hint="eastAsia"/>
                                <w:b/>
                                <w:bCs/>
                                <w:color w:val="EE0000"/>
                                <w:lang w:eastAsia="zh-CN"/>
                              </w:rPr>
                              <w:t xml:space="preserve">  风险环境保护目标</w:t>
                            </w:r>
                          </w:p>
                          <w:p w14:paraId="5F884BCD">
                            <w:pPr>
                              <w:ind w:firstLine="482"/>
                              <w:jc w:val="center"/>
                              <w:rPr>
                                <w:b/>
                                <w:bCs/>
                                <w:color w:val="EE0000"/>
                                <w:lang w:eastAsia="zh-CN"/>
                              </w:rPr>
                            </w:pPr>
                            <w:r>
                              <w:rPr>
                                <w:rFonts w:hint="eastAsia"/>
                                <w:b/>
                                <w:bCs/>
                                <w:color w:val="EE0000"/>
                                <w:lang w:eastAsia="zh-CN"/>
                              </w:rPr>
                              <w:t>环境风险评价范围</w:t>
                            </w:r>
                          </w:p>
                        </w:txbxContent>
                      </wps:txbx>
                      <wps:bodyPr rot="0" vert="horz" wrap="square" lIns="91440" tIns="45720" rIns="91440" bIns="45720" anchor="t" anchorCtr="0" upright="1">
                        <a:noAutofit/>
                      </wps:bodyPr>
                    </wps:wsp>
                  </a:graphicData>
                </a:graphic>
              </wp:anchor>
            </w:drawing>
          </mc:Choice>
          <mc:Fallback>
            <w:pict>
              <v:shape id="文本框 69" o:spid="_x0000_s1026" o:spt="202" type="#_x0000_t202" style="position:absolute;left:0pt;margin-left:17.25pt;margin-top:382.5pt;height:78pt;width:160.5pt;z-index:251848704;mso-width-relative:page;mso-height-relative:page;" fillcolor="#FFFFFF" filled="t" stroked="f" coordsize="21600,21600" o:gfxdata="UEsDBAoAAAAAAIdO4kAAAAAAAAAAAAAAAAAEAAAAZHJzL1BLAwQUAAAACACHTuJAfnh5btgAAAAK&#10;AQAADwAAAGRycy9kb3ducmV2LnhtbE2Py07DMBBF90j8gzVIbBB10tYJDXEqgQRi28cHOPE0iYjH&#10;Uew27d8zrGA5M0d3zi23VzeIC06h96QhXSQgkBpve2o1HA8fzy8gQjRkzeAJNdwwwLa6vytNYf1M&#10;O7zsYys4hEJhNHQxjoWUoenQmbDwIxLfTn5yJvI4tdJOZuZwN8hlkmTSmZ74Q2dGfO+w+d6fnYbT&#10;1/ykNnP9GY/5bp29mT6v/U3rx4c0eQUR8Rr/YPjVZ3Wo2Kn2Z7JBDBpWa8WkhjxT3ImBlVK8qTVs&#10;lmkCsirl/wrVD1BLAwQUAAAACACHTuJA6hKyVjkCAABWBAAADgAAAGRycy9lMm9Eb2MueG1srVTN&#10;btswDL4P2DsIuq920rRNjDpFl6DDgO4H6PYAsizbwmxRo5TY3QOsb7DTLrvvufIco+S0C7JLD/PB&#10;EEXyI7+PtC+vhq5lW4VOg8n55CTlTBkJpTZ1zj9/unk158x5YUrRglE5v1eOXy1fvrjsbaam0EBb&#10;KmQEYlzW25w33tssSZxsVCfcCVhlyFkBdsKTiXVSougJvWuTaZqeJz1gaRGkco5u16OT7xHxOYBQ&#10;VVqqNchNp4wfUVG1whMl12jr+DJ2W1VK+g9V5ZRnbc6JqY9vKkLnIryT5aXIahS20XLfgnhOC0ec&#10;OqENFX2CWgsv2Ab1P1CdlggOKn8ioUtGIlERYjFJj7S5a4RVkQtJ7eyT6O7/wcr324/IdEmbcHEx&#10;nc+mZxdTzozoaPK7Hw+7n793v76z80UQqrcuo/g7Sxl+eA0DJUXSzt6C/OKYgVUjTK2uEaFvlCip&#10;0UnITA5SRxwXQIr+HZRUSGw8RKChwi6oSLowQqch3T8NSQ2eSbqcpqfz0zNySfItFul5GqeYiOwx&#10;26LzbxR0LBxyjrQEEV1sb50P3YjsMSQUc9Dq8ka3bTSwLlYtsq2ghbmJTyRwFNaaEGwgpI2I442K&#10;K7cvE0gHniNjPxTDXsQCynuijzCuI32MdGgAv3HW0yrm3H3dCFSctW8NSbiYzGZhd6MxowGRgYee&#10;4tAjjCSonHvOxuPKj/u+sajrhiqNQzNwTbJXOioSWh272g+L1i0Ktf80wj4f2jHq7+9g+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eHlu2AAAAAoBAAAPAAAAAAAAAAEAIAAAACIAAABkcnMvZG93&#10;bnJldi54bWxQSwECFAAUAAAACACHTuJA6hKyVjkCAABWBAAADgAAAAAAAAABACAAAAAnAQAAZHJz&#10;L2Uyb0RvYy54bWxQSwUGAAAAAAYABgBZAQAA0gUAAAAA&#10;">
                <v:fill on="t" focussize="0,0"/>
                <v:stroke on="f"/>
                <v:imagedata o:title=""/>
                <o:lock v:ext="edit" aspectratio="f"/>
                <v:textbox>
                  <w:txbxContent>
                    <w:p w14:paraId="6E733A4F">
                      <w:pPr>
                        <w:ind w:firstLine="482"/>
                        <w:jc w:val="center"/>
                        <w:rPr>
                          <w:b/>
                          <w:bCs/>
                          <w:color w:val="EE0000"/>
                          <w:lang w:eastAsia="zh-CN"/>
                        </w:rPr>
                      </w:pPr>
                      <w:r>
                        <w:rPr>
                          <w:rFonts w:hint="eastAsia"/>
                          <w:b/>
                          <w:bCs/>
                          <w:color w:val="EE0000"/>
                          <w:lang w:eastAsia="zh-CN"/>
                        </w:rPr>
                        <w:t>图例</w:t>
                      </w:r>
                    </w:p>
                    <w:p w14:paraId="5590EBD3">
                      <w:pPr>
                        <w:ind w:firstLine="482"/>
                        <w:jc w:val="center"/>
                        <w:rPr>
                          <w:b/>
                          <w:bCs/>
                          <w:color w:val="EE0000"/>
                          <w:lang w:eastAsia="zh-CN"/>
                        </w:rPr>
                      </w:pPr>
                      <w:r>
                        <w:rPr>
                          <w:rFonts w:hint="eastAsia"/>
                          <w:b/>
                          <w:bCs/>
                          <w:color w:val="EE0000"/>
                          <w:lang w:eastAsia="zh-CN"/>
                        </w:rPr>
                        <w:t xml:space="preserve"> 拟建项目厂址</w:t>
                      </w:r>
                    </w:p>
                    <w:p w14:paraId="33B3D2B2">
                      <w:pPr>
                        <w:ind w:firstLine="482"/>
                        <w:jc w:val="center"/>
                        <w:rPr>
                          <w:b/>
                          <w:bCs/>
                          <w:color w:val="EE0000"/>
                          <w:lang w:eastAsia="zh-CN"/>
                        </w:rPr>
                      </w:pPr>
                      <w:r>
                        <w:rPr>
                          <w:rFonts w:hint="eastAsia"/>
                          <w:b/>
                          <w:bCs/>
                          <w:color w:val="EE0000"/>
                          <w:lang w:eastAsia="zh-CN"/>
                        </w:rPr>
                        <w:t xml:space="preserve">  风险环境保护目标</w:t>
                      </w:r>
                    </w:p>
                    <w:p w14:paraId="5F884BCD">
                      <w:pPr>
                        <w:ind w:firstLine="482"/>
                        <w:jc w:val="center"/>
                        <w:rPr>
                          <w:b/>
                          <w:bCs/>
                          <w:color w:val="EE0000"/>
                          <w:lang w:eastAsia="zh-CN"/>
                        </w:rPr>
                      </w:pPr>
                      <w:r>
                        <w:rPr>
                          <w:rFonts w:hint="eastAsia"/>
                          <w:b/>
                          <w:bCs/>
                          <w:color w:val="EE0000"/>
                          <w:lang w:eastAsia="zh-CN"/>
                        </w:rPr>
                        <w:t>环境风险评价范围</w:t>
                      </w:r>
                    </w:p>
                  </w:txbxContent>
                </v:textbox>
              </v:shape>
            </w:pict>
          </mc:Fallback>
        </mc:AlternateContent>
      </w:r>
      <w:r>
        <w:rPr>
          <w:lang w:eastAsia="zh-CN"/>
        </w:rPr>
        <w:drawing>
          <wp:anchor distT="0" distB="0" distL="114300" distR="114300" simplePos="0" relativeHeight="251847680" behindDoc="0" locked="0" layoutInCell="1" allowOverlap="1">
            <wp:simplePos x="0" y="0"/>
            <wp:positionH relativeFrom="column">
              <wp:posOffset>7724775</wp:posOffset>
            </wp:positionH>
            <wp:positionV relativeFrom="paragraph">
              <wp:posOffset>9525</wp:posOffset>
            </wp:positionV>
            <wp:extent cx="1062990" cy="803910"/>
            <wp:effectExtent l="0" t="0" r="0" b="0"/>
            <wp:wrapNone/>
            <wp:docPr id="773312757"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312757" name="图片 12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1062990" cy="803910"/>
                    </a:xfrm>
                    <a:prstGeom prst="rect">
                      <a:avLst/>
                    </a:prstGeom>
                    <a:noFill/>
                    <a:ln>
                      <a:noFill/>
                    </a:ln>
                    <a:effectLst/>
                  </pic:spPr>
                </pic:pic>
              </a:graphicData>
            </a:graphic>
          </wp:anchor>
        </w:drawing>
      </w:r>
      <w:r>
        <w:rPr>
          <w:snapToGrid/>
        </w:rPr>
        <w:drawing>
          <wp:inline distT="0" distB="0" distL="0" distR="0">
            <wp:extent cx="8435975" cy="5956300"/>
            <wp:effectExtent l="0" t="0" r="3175" b="6350"/>
            <wp:docPr id="9313874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387424" name="图片 1"/>
                    <pic:cNvPicPr>
                      <a:picLocks noChangeAspect="1"/>
                    </pic:cNvPicPr>
                  </pic:nvPicPr>
                  <pic:blipFill>
                    <a:blip r:embed="rId105"/>
                    <a:stretch>
                      <a:fillRect/>
                    </a:stretch>
                  </pic:blipFill>
                  <pic:spPr>
                    <a:xfrm>
                      <a:off x="0" y="0"/>
                      <a:ext cx="8442412" cy="5961436"/>
                    </a:xfrm>
                    <a:prstGeom prst="rect">
                      <a:avLst/>
                    </a:prstGeom>
                  </pic:spPr>
                </pic:pic>
              </a:graphicData>
            </a:graphic>
          </wp:inline>
        </w:drawing>
      </w:r>
      <w:r>
        <w:rPr>
          <w:rFonts w:ascii="Times New Roman" w:hAnsi="Times New Roman" w:cs="Times New Roman"/>
          <w:snapToGrid/>
          <w:color w:val="auto"/>
          <w:lang w:eastAsia="zh-CN"/>
        </w:rPr>
        <mc:AlternateContent>
          <mc:Choice Requires="wps">
            <w:drawing>
              <wp:anchor distT="0" distB="0" distL="114300" distR="114300" simplePos="0" relativeHeight="251851776" behindDoc="0" locked="0" layoutInCell="1" allowOverlap="1">
                <wp:simplePos x="0" y="0"/>
                <wp:positionH relativeFrom="column">
                  <wp:posOffset>352425</wp:posOffset>
                </wp:positionH>
                <wp:positionV relativeFrom="paragraph">
                  <wp:posOffset>5553075</wp:posOffset>
                </wp:positionV>
                <wp:extent cx="190500" cy="199390"/>
                <wp:effectExtent l="13335" t="9525" r="15240" b="10160"/>
                <wp:wrapNone/>
                <wp:docPr id="2135565730" name="椭圆 5168"/>
                <wp:cNvGraphicFramePr/>
                <a:graphic xmlns:a="http://schemas.openxmlformats.org/drawingml/2006/main">
                  <a:graphicData uri="http://schemas.microsoft.com/office/word/2010/wordprocessingShape">
                    <wps:wsp>
                      <wps:cNvSpPr>
                        <a:spLocks noChangeArrowheads="1"/>
                      </wps:cNvSpPr>
                      <wps:spPr bwMode="auto">
                        <a:xfrm>
                          <a:off x="0" y="0"/>
                          <a:ext cx="190500" cy="199390"/>
                        </a:xfrm>
                        <a:prstGeom prst="ellipse">
                          <a:avLst/>
                        </a:prstGeom>
                        <a:noFill/>
                        <a:ln w="19050" algn="ctr">
                          <a:solidFill>
                            <a:srgbClr val="EE0000"/>
                          </a:solidFill>
                          <a:round/>
                        </a:ln>
                        <a:effectLst/>
                      </wps:spPr>
                      <wps:bodyPr rot="0" vert="horz" wrap="square" lIns="91440" tIns="45720" rIns="91440" bIns="45720" anchor="t" anchorCtr="0" upright="1">
                        <a:noAutofit/>
                      </wps:bodyPr>
                    </wps:wsp>
                  </a:graphicData>
                </a:graphic>
              </wp:anchor>
            </w:drawing>
          </mc:Choice>
          <mc:Fallback>
            <w:pict>
              <v:shape id="椭圆 5168" o:spid="_x0000_s1026" o:spt="3" type="#_x0000_t3" style="position:absolute;left:0pt;margin-left:27.75pt;margin-top:437.25pt;height:15.7pt;width:15pt;z-index:251851776;mso-width-relative:page;mso-height-relative:page;" filled="f" stroked="t" coordsize="21600,21600" o:gfxdata="UEsDBAoAAAAAAIdO4kAAAAAAAAAAAAAAAAAEAAAAZHJzL1BLAwQUAAAACACHTuJAtS5N5NYAAAAJ&#10;AQAADwAAAGRycy9kb3ducmV2LnhtbE2PTU/DMAyG70j8h8hI3FgyoNCVuhNCjAsHoMA9a0xb1jhd&#10;km3l35Od4OaPR68fl8vJDmJPPvSOEeYzBYK4cabnFuHjfXWRgwhRs9GDY0L4oQDL6vSk1IVxB36j&#10;fR1bkUI4FBqhi3EspAxNR1aHmRuJ0+7Leatjan0rjdeHFG4HeanUjbS653Sh0yM9dNRs6p1FqNur&#10;76ds+/K52aqJV4FeH/3zPeL52VzdgYg0xT8YjvpJHarktHY7NkEMCFmWJRIhv71ORQLy42CNsFDZ&#10;AmRVyv8fVL9QSwMEFAAAAAgAh07iQMUXOSxDAgAAYQQAAA4AAABkcnMvZTJvRG9jLnhtbK1UwW7b&#10;MAy9D9g/CLqvtpOmbYw6RZG2w4BuK9DtAxRZtoXJokYpcboP2FfsuOs+a/uOUXLSZd2lh+VgiCL5&#10;yPdI5fxi2xu2Ueg12IoXRzlnykqotW0r/vHDzaszznwQthYGrKr4g/L8YvHyxfngSjWBDkytkBGI&#10;9eXgKt6F4Mos87JTvfBH4JQlZwPYi0AmtlmNYiD03mSTPD/JBsDaIUjlPd1ejU6+Q8TnAELTaKmu&#10;QK57ZcOIisqIQJR8p53ni9Rt0ygZ3jeNV4GZihPTkL5UhM6r+M0W56JsUbhOy10L4jktPOHUC22p&#10;6CPUlQiCrVH/A9VrieChCUcS+mwkkhQhFkX+RJv7TjiVuJDU3j2K7v8frHy3uUOm64pPiulsdjI7&#10;nZI0VvQ0+V/ff/z89pXNipOzqNPgfEnh9+4OI1PvbkF+8szCshO2VZeIMHRK1NRdEeOzvxKi4SmV&#10;rYa3UBO6WAdIkm0b7CMgicG2aTIPj5NR28AkXRbzfJZTY5JcxXw+nafJZaLcJzv04bWCnsVDxZUx&#10;tAZRO1GKza0PsR9R7qPitYUbbUyav7Fs2NXgTJiW3oUMmJI9GF3HwEQZ29XSINsI2qbr65x+iSiJ&#10;cRiGsLb1WNDYmKfSIu662AsxCrqC+oFEQRg3k94lHTrAL5wNtJUV95/XAhVn5o0lYefF8XFc42Qc&#10;z04nZOChZ3XoEVYSVMUDsUrHZRhXf+1Qtx1VKhJJC5c0jEYnlWJ/Y1e7EdLmJfF2rySu9qGdov78&#10;Myx+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LUuTeTWAAAACQEAAA8AAAAAAAAAAQAgAAAAIgAA&#10;AGRycy9kb3ducmV2LnhtbFBLAQIUABQAAAAIAIdO4kDFFzksQwIAAGEEAAAOAAAAAAAAAAEAIAAA&#10;ACUBAABkcnMvZTJvRG9jLnhtbFBLBQYAAAAABgAGAFkBAADaBQAAAAA=&#10;">
                <v:fill on="f" focussize="0,0"/>
                <v:stroke weight="1.5pt" color="#EE0000" joinstyle="round"/>
                <v:imagedata o:title=""/>
                <o:lock v:ext="edit" aspectratio="f"/>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850752" behindDoc="0" locked="0" layoutInCell="1" allowOverlap="1">
                <wp:simplePos x="0" y="0"/>
                <wp:positionH relativeFrom="column">
                  <wp:posOffset>371475</wp:posOffset>
                </wp:positionH>
                <wp:positionV relativeFrom="paragraph">
                  <wp:posOffset>5381625</wp:posOffset>
                </wp:positionV>
                <wp:extent cx="134620" cy="125095"/>
                <wp:effectExtent l="13970" t="9525" r="13335" b="8255"/>
                <wp:wrapNone/>
                <wp:docPr id="1183655228" name="椭圆 5166"/>
                <wp:cNvGraphicFramePr/>
                <a:graphic xmlns:a="http://schemas.openxmlformats.org/drawingml/2006/main">
                  <a:graphicData uri="http://schemas.microsoft.com/office/word/2010/wordprocessingShape">
                    <wps:wsp>
                      <wps:cNvSpPr>
                        <a:spLocks noChangeArrowheads="1"/>
                      </wps:cNvSpPr>
                      <wps:spPr bwMode="auto">
                        <a:xfrm>
                          <a:off x="0" y="0"/>
                          <a:ext cx="134620" cy="125095"/>
                        </a:xfrm>
                        <a:prstGeom prst="ellipse">
                          <a:avLst/>
                        </a:prstGeom>
                        <a:solidFill>
                          <a:srgbClr val="FFFF00"/>
                        </a:solidFill>
                        <a:ln w="9525" algn="ctr">
                          <a:solidFill>
                            <a:srgbClr val="FFFF00"/>
                          </a:solidFill>
                          <a:round/>
                        </a:ln>
                        <a:effectLst/>
                      </wps:spPr>
                      <wps:bodyPr rot="0" vert="horz" wrap="square" lIns="91440" tIns="45720" rIns="91440" bIns="45720" anchor="t" anchorCtr="0" upright="1">
                        <a:noAutofit/>
                      </wps:bodyPr>
                    </wps:wsp>
                  </a:graphicData>
                </a:graphic>
              </wp:anchor>
            </w:drawing>
          </mc:Choice>
          <mc:Fallback>
            <w:pict>
              <v:shape id="椭圆 5166" o:spid="_x0000_s1026" o:spt="3" type="#_x0000_t3" style="position:absolute;left:0pt;margin-left:29.25pt;margin-top:423.75pt;height:9.85pt;width:10.6pt;z-index:251850752;mso-width-relative:page;mso-height-relative:page;" fillcolor="#FFFF00" filled="t" stroked="t" coordsize="21600,21600" o:gfxdata="UEsDBAoAAAAAAIdO4kAAAAAAAAAAAAAAAAAEAAAAZHJzL1BLAwQUAAAACACHTuJAy81k5dkAAAAJ&#10;AQAADwAAAGRycy9kb3ducmV2LnhtbE2PTU+DQBCG7yb+h82YeLNLaymILD006U0PlJrW2xamgLKz&#10;yG4L/nvHk97m48k7z6TryXTiioNrLSmYzwIQSKWtWqoV7IvtQwzCeU2V7iyhgm90sM5ub1KdVHak&#10;HK87XwsOIZdoBY33fSKlKxs02s1sj8S7sx2M9twOtawGPXK46eQiCFbS6Jb4QqN73DRYfu4uRsH4&#10;9h6+vpz74uvwsd0/Lo/TJi9ype7v5sEzCI+T/4PhV5/VIWOnk71Q5USnIIxDJhXEy4gLBqKnCMSJ&#10;B6toATJL5f8Psh9QSwMEFAAAAAgAh07iQI7KjKBEAgAAiQQAAA4AAABkcnMvZTJvRG9jLnhtbK1U&#10;wW7UMBC9I/EPlu80m3SzdKNmq6pVEVKBSoUP8DpOYuF4zNi72fIBfAVHrnwWfAdjZ1u25dIDOUSe&#10;zPjNmzczOT3bDYZtFXoNtub50YwzZSU02nY1//Tx6tUJZz4I2wgDVtX8Tnl+tnr54nR0lSqgB9Mo&#10;ZARifTW6mvchuCrLvOzVIPwROGXJ2QIOIpCJXdagGAl9MFkxmy2yEbBxCFJ5T18vJyffI+JzAKFt&#10;tVSXIDeDsmFCRWVEoJJ8r53nq8S2bZUMH9rWq8BMzanSkN6UhM7r+M5Wp6LqULheyz0F8RwKT2oa&#10;hLaU9AHqUgTBNqj/gRq0RPDQhiMJQzYVkhShKvLZE21ue+FUqoWk9u5BdP//YOX77Q0y3dAk5CfH&#10;i7IsCuq/FQN1/vePn7++f2NlvlhEnUbnKwq/dTcYK/XuGuRnzyxc9MJ26hwRxl6JhtjlMT57dCEa&#10;nq6y9fgOGkIXmwBJsl2LQwQkMdgudebuoTNqF5ikj/nxfFFQzyS58qKcLcuUQVT3lx368EbBwOKh&#10;5soYGoOonajE9tqHyEdU91GJPxjdXGljkoHd+sIg2wqakyt6Zmk06Io/DDOWjTVflkXJmTAd7Y8M&#10;mJI8CvPPQ0PY2GYiZmxkodLA7tneCzYJv4bmjsRDmCaY9pcOPeBXzkaa3pr7LxuBijPz1lIDlvl8&#10;Hsc9GfPyddQODz3rQ4+wkqBqHqiqdLwI04psHOqup0x5KtLCOTWt1UnNyG9itW81TWgSeb9NcQUO&#10;7RT19w+y+g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LzWTl2QAAAAkBAAAPAAAAAAAAAAEAIAAA&#10;ACIAAABkcnMvZG93bnJldi54bWxQSwECFAAUAAAACACHTuJAjsqMoEQCAACJBAAADgAAAAAAAAAB&#10;ACAAAAAoAQAAZHJzL2Uyb0RvYy54bWxQSwUGAAAAAAYABgBZAQAA3gUAAAAA&#10;">
                <v:fill on="t" focussize="0,0"/>
                <v:stroke color="#FFFF00" joinstyle="round"/>
                <v:imagedata o:title=""/>
                <o:lock v:ext="edit" aspectratio="f"/>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849728" behindDoc="0" locked="0" layoutInCell="1" allowOverlap="1">
                <wp:simplePos x="0" y="0"/>
                <wp:positionH relativeFrom="column">
                  <wp:posOffset>217170</wp:posOffset>
                </wp:positionH>
                <wp:positionV relativeFrom="paragraph">
                  <wp:posOffset>5144135</wp:posOffset>
                </wp:positionV>
                <wp:extent cx="447675" cy="165735"/>
                <wp:effectExtent l="7620" t="10160" r="11430" b="5080"/>
                <wp:wrapNone/>
                <wp:docPr id="800268997" name="矩形 5165"/>
                <wp:cNvGraphicFramePr/>
                <a:graphic xmlns:a="http://schemas.openxmlformats.org/drawingml/2006/main">
                  <a:graphicData uri="http://schemas.microsoft.com/office/word/2010/wordprocessingShape">
                    <wps:wsp>
                      <wps:cNvSpPr>
                        <a:spLocks noChangeArrowheads="1"/>
                      </wps:cNvSpPr>
                      <wps:spPr bwMode="auto">
                        <a:xfrm>
                          <a:off x="0" y="0"/>
                          <a:ext cx="447675" cy="165735"/>
                        </a:xfrm>
                        <a:prstGeom prst="rect">
                          <a:avLst/>
                        </a:prstGeom>
                        <a:noFill/>
                        <a:ln w="9525" algn="ctr">
                          <a:solidFill>
                            <a:srgbClr val="EE0000"/>
                          </a:solidFill>
                          <a:miter lim="800000"/>
                        </a:ln>
                        <a:effectLst/>
                      </wps:spPr>
                      <wps:bodyPr rot="0" vert="horz" wrap="square" lIns="91440" tIns="45720" rIns="91440" bIns="45720" anchor="t" anchorCtr="0" upright="1">
                        <a:noAutofit/>
                      </wps:bodyPr>
                    </wps:wsp>
                  </a:graphicData>
                </a:graphic>
              </wp:anchor>
            </w:drawing>
          </mc:Choice>
          <mc:Fallback>
            <w:pict>
              <v:rect id="矩形 5165" o:spid="_x0000_s1026" o:spt="1" style="position:absolute;left:0pt;margin-left:17.1pt;margin-top:405.05pt;height:13.05pt;width:35.25pt;z-index:251849728;mso-width-relative:page;mso-height-relative:page;" filled="f" stroked="t" coordsize="21600,21600" o:gfxdata="UEsDBAoAAAAAAIdO4kAAAAAAAAAAAAAAAAAEAAAAZHJzL1BLAwQUAAAACACHTuJA8MlP6dkAAAAK&#10;AQAADwAAAGRycy9kb3ducmV2LnhtbE2PTU/DMAyG70j8h8hIXBBL2pUxlaaThoQ4AAc2DhyzxjQV&#10;jVMl2Qf/Hu8ER9uvHj9vszr5URwwpiGQhmKmQCB1wQ7Ua/jYPt0uQaRsyJoxEGr4wQSr9vKiMbUN&#10;R3rHwyb3giGUaqPB5TzVUqbOoTdpFiYkvn2F6E3mMfbSRnNkuB9lqdRCejMQf3BmwkeH3fdm7zXM&#10;P7duXb2555vXu9LntYymeolaX18V6gFExlP+C8NZn9WhZadd2JNNYmRGVXJSw7JQBYhzQFX3IHa8&#10;mS9KkG0j/1dofwFQSwMEFAAAAAgAh07iQNdFvqZFAgAAaQQAAA4AAABkcnMvZTJvRG9jLnhtbK1U&#10;227UMBB9R+IfLL/TZJe9Rputql4QUoFKhQ/wOk5i4XjM2LvZ8jNIvPERfA7iNxg723YpL30gD5En&#10;Hh+fc2Ymq9N9Z9hOoddgSz46yTlTVkKlbVPyTx+vXi0480HYShiwquR3yvPT9csXq94VagwtmEoh&#10;IxDri96VvA3BFVnmZas64U/AKUubNWAnAoXYZBWKntA7k43zfJb1gJVDkMp7+noxbPIDIj4HEOpa&#10;S3UBctspGwZUVEYEkuRb7TxfJ7Z1rWT4UNdeBWZKTkpDetMltN7Ed7ZeiaJB4VotDxTEcyg80dQJ&#10;benSB6gLEQTbov4HqtMSwUMdTiR02SAkOUIqRvkTb25b4VTSQlZ792C6/3+w8v3uBpmuSr7I8/Fs&#10;sVzOObOio8L//vbj18/vbDqaTaNNvfMFZd+6G4xCvbsG+dkzC+etsI06Q4S+VaIicqOYn/11IAae&#10;jrJN/w4qQhfbAMmxfY1dBCQv2D4V5u6hMGofmKSPk8l8Np9yJmmL6MxfJ0aZKO4PO/ThjYKOxUXJ&#10;keqewMXu2odIRhT3KfEuC1famFR7Y1lf8uV0TPDCNDQSMmA668HoKuYludhszg2ynaBGurzM6Uki&#10;yYjjtE4HGg6ju+TnY5KxEUSlhjwwundkcHYD1R25gzB0KM0nLVrAr5z11J0l91+2AhVn5q0lh5ej&#10;ySS2cwom0/mYAjze2RzvCCsJquSBJKbleRhGYOtQNy3dNEqKLZxRVWqdHIv8BlaHWlIHJiMP0xJb&#10;/DhOWY9/iPU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8MlP6dkAAAAKAQAADwAAAAAAAAABACAA&#10;AAAiAAAAZHJzL2Rvd25yZXYueG1sUEsBAhQAFAAAAAgAh07iQNdFvqZFAgAAaQQAAA4AAAAAAAAA&#10;AQAgAAAAKAEAAGRycy9lMm9Eb2MueG1sUEsFBgAAAAAGAAYAWQEAAN8FAAAAAA==&#10;">
                <v:fill on="f" focussize="0,0"/>
                <v:stroke color="#EE0000" miterlimit="8" joinstyle="miter"/>
                <v:imagedata o:title=""/>
                <o:lock v:ext="edit" aspectratio="f"/>
              </v:rect>
            </w:pict>
          </mc:Fallback>
        </mc:AlternateContent>
      </w:r>
    </w:p>
    <w:p w14:paraId="20FFAF10">
      <w:pPr>
        <w:pStyle w:val="42"/>
        <w:sectPr>
          <w:pgSz w:w="16838" w:h="11906" w:orient="landscape"/>
          <w:pgMar w:top="1080" w:right="1440" w:bottom="1080" w:left="1440" w:header="851" w:footer="992" w:gutter="0"/>
          <w:cols w:space="720" w:num="1"/>
          <w:docGrid w:type="lines" w:linePitch="312" w:charSpace="0"/>
        </w:sectPr>
      </w:pPr>
    </w:p>
    <w:p w14:paraId="0BEBCAF0">
      <w:pPr>
        <w:spacing w:line="360" w:lineRule="auto"/>
        <w:ind w:firstLine="562"/>
        <w:outlineLvl w:val="1"/>
        <w:rPr>
          <w:rFonts w:ascii="Times New Roman" w:hAnsi="Times New Roman" w:cs="Times New Roman"/>
          <w:b/>
          <w:bCs/>
          <w:color w:val="auto"/>
          <w:sz w:val="28"/>
          <w:szCs w:val="22"/>
          <w:lang w:eastAsia="zh-CN"/>
        </w:rPr>
      </w:pPr>
      <w:bookmarkStart w:id="1786" w:name="_Toc133333706"/>
      <w:bookmarkStart w:id="1787" w:name="_Toc133176712"/>
      <w:bookmarkStart w:id="1788" w:name="_Toc237508360"/>
      <w:r>
        <w:rPr>
          <w:rFonts w:ascii="Times New Roman" w:hAnsi="Times New Roman" w:cs="Times New Roman"/>
          <w:b/>
          <w:bCs/>
          <w:color w:val="auto"/>
          <w:sz w:val="28"/>
          <w:szCs w:val="22"/>
          <w:lang w:eastAsia="zh-CN"/>
        </w:rPr>
        <w:t>7.</w:t>
      </w:r>
      <w:r>
        <w:rPr>
          <w:rFonts w:hint="eastAsia" w:ascii="Times New Roman" w:hAnsi="Times New Roman" w:cs="Times New Roman"/>
          <w:b/>
          <w:bCs/>
          <w:color w:val="auto"/>
          <w:sz w:val="28"/>
          <w:szCs w:val="22"/>
          <w:lang w:eastAsia="zh-CN"/>
        </w:rPr>
        <w:t>4</w:t>
      </w:r>
      <w:r>
        <w:rPr>
          <w:rFonts w:ascii="Times New Roman" w:hAnsi="Times New Roman" w:cs="Times New Roman"/>
          <w:b/>
          <w:bCs/>
          <w:color w:val="auto"/>
          <w:sz w:val="28"/>
          <w:szCs w:val="22"/>
          <w:lang w:eastAsia="zh-CN"/>
        </w:rPr>
        <w:t xml:space="preserve"> 环境风险潜势初判</w:t>
      </w:r>
      <w:bookmarkEnd w:id="1786"/>
      <w:bookmarkEnd w:id="1787"/>
      <w:bookmarkEnd w:id="1788"/>
    </w:p>
    <w:p w14:paraId="6FD50FA8">
      <w:pPr>
        <w:spacing w:line="360" w:lineRule="auto"/>
        <w:ind w:firstLine="482"/>
        <w:outlineLvl w:val="2"/>
        <w:rPr>
          <w:rFonts w:ascii="Times New Roman" w:hAnsi="Times New Roman" w:cs="Times New Roman"/>
          <w:b/>
          <w:bCs/>
          <w:color w:val="auto"/>
          <w:lang w:eastAsia="zh-CN"/>
        </w:rPr>
      </w:pPr>
      <w:bookmarkStart w:id="1789" w:name="_Toc224674765"/>
      <w:bookmarkStart w:id="1790" w:name="_Toc225784127"/>
      <w:bookmarkStart w:id="1791" w:name="_Toc173740348"/>
      <w:bookmarkStart w:id="1792" w:name="_Toc218784350"/>
      <w:bookmarkStart w:id="1793" w:name="_Toc133176713"/>
      <w:bookmarkStart w:id="1794" w:name="_Toc231828648"/>
      <w:bookmarkStart w:id="1795" w:name="_Toc223425125"/>
      <w:bookmarkStart w:id="1796" w:name="_Toc172555714"/>
      <w:bookmarkStart w:id="1797" w:name="_Toc237508361"/>
      <w:bookmarkStart w:id="1798" w:name="_Toc204448532"/>
      <w:bookmarkStart w:id="1799" w:name="_Toc133333707"/>
      <w:bookmarkStart w:id="1800" w:name="_Toc203927071"/>
      <w:bookmarkStart w:id="1801" w:name="_Toc173743452"/>
      <w:bookmarkStart w:id="1802" w:name="_Toc221900907"/>
      <w:bookmarkStart w:id="1803" w:name="_Toc178602419"/>
      <w:bookmarkStart w:id="1804" w:name="_Toc204515267"/>
      <w:bookmarkStart w:id="1805" w:name="_Toc175164343"/>
      <w:bookmarkStart w:id="1806" w:name="_Toc236641896"/>
      <w:bookmarkStart w:id="1807" w:name="_Toc176513078"/>
      <w:bookmarkStart w:id="1808" w:name="_Toc217662738"/>
      <w:r>
        <w:rPr>
          <w:rFonts w:ascii="Times New Roman" w:hAnsi="Times New Roman" w:cs="Times New Roman"/>
          <w:b/>
          <w:bCs/>
          <w:color w:val="auto"/>
          <w:lang w:eastAsia="zh-CN"/>
        </w:rPr>
        <w:t>7.</w:t>
      </w:r>
      <w:r>
        <w:rPr>
          <w:rFonts w:hint="eastAsia" w:ascii="Times New Roman" w:hAnsi="Times New Roman" w:cs="Times New Roman"/>
          <w:b/>
          <w:bCs/>
          <w:color w:val="auto"/>
          <w:lang w:eastAsia="zh-CN"/>
        </w:rPr>
        <w:t>4</w:t>
      </w:r>
      <w:r>
        <w:rPr>
          <w:rFonts w:ascii="Times New Roman" w:hAnsi="Times New Roman" w:cs="Times New Roman"/>
          <w:b/>
          <w:bCs/>
          <w:color w:val="auto"/>
          <w:lang w:eastAsia="zh-CN"/>
        </w:rPr>
        <w:t>.1 P的分级确定</w:t>
      </w:r>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p>
    <w:p w14:paraId="5BC6A241">
      <w:pPr>
        <w:spacing w:line="360" w:lineRule="auto"/>
        <w:ind w:firstLine="482" w:firstLineChars="200"/>
        <w:rPr>
          <w:rFonts w:ascii="Times New Roman" w:hAnsi="Times New Roman" w:cs="Times New Roman"/>
          <w:b/>
          <w:bCs/>
          <w:color w:val="auto"/>
          <w:lang w:eastAsia="zh-CN"/>
        </w:rPr>
      </w:pPr>
      <w:bookmarkStart w:id="1809" w:name="_Toc24995"/>
      <w:r>
        <w:rPr>
          <w:rFonts w:ascii="Times New Roman" w:hAnsi="Times New Roman" w:cs="Times New Roman"/>
          <w:b/>
          <w:bCs/>
          <w:color w:val="auto"/>
          <w:lang w:eastAsia="zh-CN"/>
        </w:rPr>
        <w:t>1、危险物质数量与临界值比值（Q）</w:t>
      </w:r>
      <w:bookmarkEnd w:id="1809"/>
    </w:p>
    <w:p w14:paraId="6E4B8C20">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根据《建设项目环境风险评价技术导则》（HJ169-2018）附录C，当只涉及一种危险物质时，计算该物质的总量与临界量比值，即为Q；</w:t>
      </w:r>
    </w:p>
    <w:p w14:paraId="634B92C5">
      <w:pPr>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当存在多种危险物质时，则按下式计算物质总量与其临界量比值（Q）；</w:t>
      </w:r>
    </w:p>
    <w:p w14:paraId="654A862D">
      <w:pPr>
        <w:spacing w:line="360" w:lineRule="auto"/>
        <w:ind w:firstLine="480"/>
        <w:jc w:val="center"/>
        <w:rPr>
          <w:rFonts w:ascii="Times New Roman" w:hAnsi="Times New Roman" w:cs="Times New Roman"/>
          <w:color w:val="auto"/>
          <w:lang w:eastAsia="zh-CN"/>
        </w:rPr>
      </w:pPr>
      <w:r>
        <w:rPr>
          <w:rFonts w:ascii="Times New Roman" w:hAnsi="Times New Roman" w:cs="Times New Roman"/>
          <w:color w:val="auto"/>
          <w:lang w:eastAsia="zh-CN"/>
        </w:rPr>
        <w:t>Q=q1/Q1+ q2/Q2 +q3/Q3 +… +qn/Q</w:t>
      </w:r>
    </w:p>
    <w:p w14:paraId="770A5ACA">
      <w:pPr>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 xml:space="preserve">式中：q1、q2、q3、… 、qn――每种危险物质的最大存在总量，t； </w:t>
      </w:r>
    </w:p>
    <w:p w14:paraId="6349ED8B">
      <w:pPr>
        <w:spacing w:line="360" w:lineRule="auto"/>
        <w:ind w:firstLine="480"/>
        <w:rPr>
          <w:rFonts w:ascii="Times New Roman" w:hAnsi="Times New Roman" w:cs="Times New Roman"/>
          <w:color w:val="auto"/>
          <w:lang w:eastAsia="zh-CN"/>
        </w:rPr>
      </w:pPr>
      <w:r>
        <w:rPr>
          <w:rFonts w:ascii="Times New Roman" w:hAnsi="Times New Roman" w:cs="Times New Roman"/>
          <w:color w:val="auto"/>
          <w:lang w:eastAsia="zh-CN"/>
        </w:rPr>
        <w:t xml:space="preserve">          Q1、 Q2 、Q3、… 、Qn――对应危险物质的临界量，t。</w:t>
      </w:r>
    </w:p>
    <w:p w14:paraId="262AD892">
      <w:pPr>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当Q＜1时，该项目环境风险潜势为I；</w:t>
      </w:r>
    </w:p>
    <w:p w14:paraId="54C3222B">
      <w:pPr>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当Q≥1时，将Q值划分为：（1）1≤Q＜10；（2）10≤Q＜100；（3）Q≥100；</w:t>
      </w:r>
    </w:p>
    <w:p w14:paraId="5D02B040">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表7.</w:t>
      </w:r>
      <w:r>
        <w:rPr>
          <w:rFonts w:hint="eastAsia" w:ascii="Times New Roman" w:hAnsi="Times New Roman" w:cs="Times New Roman"/>
          <w:b/>
          <w:bCs/>
          <w:color w:val="auto"/>
          <w:lang w:eastAsia="zh-CN"/>
        </w:rPr>
        <w:t>4</w:t>
      </w:r>
      <w:r>
        <w:rPr>
          <w:rFonts w:ascii="Times New Roman" w:hAnsi="Times New Roman" w:cs="Times New Roman"/>
          <w:b/>
          <w:bCs/>
          <w:color w:val="auto"/>
          <w:lang w:eastAsia="zh-CN"/>
        </w:rPr>
        <w:t>-1 建设项目Q值确定表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701"/>
        <w:gridCol w:w="1552"/>
        <w:gridCol w:w="1552"/>
        <w:gridCol w:w="1834"/>
        <w:gridCol w:w="1694"/>
        <w:gridCol w:w="1409"/>
        <w:gridCol w:w="1004"/>
      </w:tblGrid>
      <w:tr w14:paraId="6C1ACB4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360" w:type="pct"/>
            <w:vAlign w:val="center"/>
          </w:tcPr>
          <w:p w14:paraId="284CEFC3">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序号</w:t>
            </w:r>
          </w:p>
        </w:tc>
        <w:tc>
          <w:tcPr>
            <w:tcW w:w="1592" w:type="pct"/>
            <w:gridSpan w:val="2"/>
            <w:vAlign w:val="center"/>
          </w:tcPr>
          <w:p w14:paraId="2A96D652">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名称</w:t>
            </w:r>
          </w:p>
        </w:tc>
        <w:tc>
          <w:tcPr>
            <w:tcW w:w="941" w:type="pct"/>
            <w:vAlign w:val="center"/>
          </w:tcPr>
          <w:p w14:paraId="77A8D064">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生产装置在线量t</w:t>
            </w:r>
          </w:p>
        </w:tc>
        <w:tc>
          <w:tcPr>
            <w:tcW w:w="869" w:type="pct"/>
            <w:vAlign w:val="center"/>
          </w:tcPr>
          <w:p w14:paraId="224F8CE8">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最大储存量t</w:t>
            </w:r>
          </w:p>
        </w:tc>
        <w:tc>
          <w:tcPr>
            <w:tcW w:w="723" w:type="pct"/>
            <w:vAlign w:val="center"/>
          </w:tcPr>
          <w:p w14:paraId="60DD6E6E">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临界量Qn/t</w:t>
            </w:r>
          </w:p>
        </w:tc>
        <w:tc>
          <w:tcPr>
            <w:tcW w:w="515" w:type="pct"/>
            <w:vAlign w:val="center"/>
          </w:tcPr>
          <w:p w14:paraId="29E25D1C">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Q值</w:t>
            </w:r>
          </w:p>
        </w:tc>
      </w:tr>
      <w:tr w14:paraId="1CDAC03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360" w:type="pct"/>
            <w:vAlign w:val="center"/>
          </w:tcPr>
          <w:p w14:paraId="5AF4F69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w:t>
            </w:r>
          </w:p>
        </w:tc>
        <w:tc>
          <w:tcPr>
            <w:tcW w:w="1592" w:type="pct"/>
            <w:gridSpan w:val="2"/>
            <w:vAlign w:val="center"/>
          </w:tcPr>
          <w:p w14:paraId="02A43D72">
            <w:pPr>
              <w:widowControl w:val="0"/>
              <w:adjustRightInd w:val="0"/>
              <w:snapToGrid w:val="0"/>
              <w:jc w:val="center"/>
              <w:rPr>
                <w:rFonts w:ascii="Times New Roman" w:hAnsi="Times New Roman"/>
                <w:bCs/>
                <w:color w:val="auto"/>
                <w:sz w:val="21"/>
              </w:rPr>
            </w:pPr>
            <w:r>
              <w:rPr>
                <w:rFonts w:hint="eastAsia" w:ascii="Times New Roman"/>
                <w:color w:val="auto"/>
                <w:sz w:val="21"/>
                <w:lang w:eastAsia="zh-CN"/>
              </w:rPr>
              <w:t>无水氟化氢</w:t>
            </w:r>
          </w:p>
        </w:tc>
        <w:tc>
          <w:tcPr>
            <w:tcW w:w="941" w:type="pct"/>
            <w:vAlign w:val="center"/>
          </w:tcPr>
          <w:p w14:paraId="71D6024C">
            <w:pPr>
              <w:widowControl w:val="0"/>
              <w:snapToGrid w:val="0"/>
              <w:spacing w:before="60" w:after="60"/>
              <w:jc w:val="center"/>
              <w:rPr>
                <w:rFonts w:ascii="Times New Roman" w:hAnsi="Times New Roman"/>
                <w:color w:val="auto"/>
                <w:sz w:val="21"/>
                <w:lang w:eastAsia="zh-CN"/>
              </w:rPr>
            </w:pPr>
            <w:r>
              <w:rPr>
                <w:rFonts w:hint="eastAsia" w:ascii="Times New Roman" w:hAnsi="Times New Roman"/>
                <w:color w:val="auto"/>
                <w:sz w:val="21"/>
                <w:lang w:eastAsia="zh-CN"/>
              </w:rPr>
              <w:t>114.3</w:t>
            </w:r>
          </w:p>
        </w:tc>
        <w:tc>
          <w:tcPr>
            <w:tcW w:w="869" w:type="pct"/>
            <w:vAlign w:val="center"/>
          </w:tcPr>
          <w:p w14:paraId="3A230D2E">
            <w:pPr>
              <w:widowControl w:val="0"/>
              <w:adjustRightInd w:val="0"/>
              <w:snapToGrid w:val="0"/>
              <w:spacing w:before="60" w:after="60"/>
              <w:jc w:val="center"/>
              <w:textAlignment w:val="baseline"/>
              <w:rPr>
                <w:rFonts w:ascii="Times New Roman" w:hAnsi="Times New Roman"/>
                <w:color w:val="auto"/>
                <w:sz w:val="21"/>
                <w:lang w:eastAsia="zh-CN"/>
              </w:rPr>
            </w:pPr>
            <w:r>
              <w:rPr>
                <w:rFonts w:hint="eastAsia" w:ascii="Times New Roman" w:hAnsi="Times New Roman"/>
                <w:color w:val="auto"/>
                <w:sz w:val="21"/>
                <w:lang w:eastAsia="zh-CN"/>
              </w:rPr>
              <w:t>260</w:t>
            </w:r>
          </w:p>
        </w:tc>
        <w:tc>
          <w:tcPr>
            <w:tcW w:w="723" w:type="pct"/>
            <w:vAlign w:val="center"/>
          </w:tcPr>
          <w:p w14:paraId="6DBD79F2">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1.0</w:t>
            </w:r>
          </w:p>
        </w:tc>
        <w:tc>
          <w:tcPr>
            <w:tcW w:w="515" w:type="pct"/>
            <w:vAlign w:val="center"/>
          </w:tcPr>
          <w:p w14:paraId="18FC29C2">
            <w:pPr>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374.3</w:t>
            </w:r>
          </w:p>
        </w:tc>
      </w:tr>
      <w:tr w14:paraId="0605559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360" w:type="pct"/>
            <w:vAlign w:val="center"/>
          </w:tcPr>
          <w:p w14:paraId="0F0D7F96">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w:t>
            </w:r>
          </w:p>
        </w:tc>
        <w:tc>
          <w:tcPr>
            <w:tcW w:w="796" w:type="pct"/>
            <w:vAlign w:val="center"/>
          </w:tcPr>
          <w:p w14:paraId="326746F1">
            <w:pPr>
              <w:widowControl w:val="0"/>
              <w:adjustRightInd w:val="0"/>
              <w:snapToGrid w:val="0"/>
              <w:jc w:val="center"/>
              <w:rPr>
                <w:rFonts w:ascii="Times New Roman" w:hAnsi="Times New Roman"/>
                <w:bCs/>
                <w:color w:val="auto"/>
                <w:sz w:val="21"/>
              </w:rPr>
            </w:pPr>
            <w:r>
              <w:rPr>
                <w:rFonts w:ascii="Times New Roman"/>
                <w:color w:val="auto"/>
                <w:sz w:val="21"/>
                <w:lang w:eastAsia="zh-CN"/>
              </w:rPr>
              <w:t>15%氟化氢水溶液</w:t>
            </w:r>
          </w:p>
        </w:tc>
        <w:tc>
          <w:tcPr>
            <w:tcW w:w="796" w:type="pct"/>
            <w:vAlign w:val="center"/>
          </w:tcPr>
          <w:p w14:paraId="13E46367">
            <w:pPr>
              <w:widowControl w:val="0"/>
              <w:adjustRightInd w:val="0"/>
              <w:snapToGrid w:val="0"/>
              <w:jc w:val="center"/>
              <w:rPr>
                <w:rFonts w:ascii="Times New Roman" w:hAnsi="Times New Roman"/>
                <w:bCs/>
                <w:color w:val="auto"/>
                <w:sz w:val="21"/>
                <w:lang w:eastAsia="zh-CN"/>
              </w:rPr>
            </w:pPr>
            <w:r>
              <w:rPr>
                <w:rFonts w:hint="eastAsia" w:ascii="Times New Roman" w:hAnsi="Times New Roman"/>
                <w:bCs/>
                <w:color w:val="auto"/>
                <w:sz w:val="21"/>
                <w:lang w:eastAsia="zh-CN"/>
              </w:rPr>
              <w:t>氟化氢量</w:t>
            </w:r>
          </w:p>
        </w:tc>
        <w:tc>
          <w:tcPr>
            <w:tcW w:w="941" w:type="pct"/>
            <w:vAlign w:val="center"/>
          </w:tcPr>
          <w:p w14:paraId="3BC62BF4">
            <w:pPr>
              <w:widowControl w:val="0"/>
              <w:snapToGrid w:val="0"/>
              <w:spacing w:before="60" w:after="60"/>
              <w:jc w:val="center"/>
              <w:rPr>
                <w:rFonts w:ascii="Times New Roman" w:hAnsi="Times New Roman"/>
                <w:color w:val="auto"/>
                <w:sz w:val="21"/>
                <w:lang w:eastAsia="zh-CN"/>
              </w:rPr>
            </w:pPr>
            <w:r>
              <w:rPr>
                <w:rFonts w:hint="eastAsia" w:ascii="Times New Roman" w:hAnsi="Times New Roman"/>
                <w:color w:val="auto"/>
                <w:sz w:val="21"/>
                <w:lang w:eastAsia="zh-CN"/>
              </w:rPr>
              <w:t>22.032</w:t>
            </w:r>
          </w:p>
        </w:tc>
        <w:tc>
          <w:tcPr>
            <w:tcW w:w="869" w:type="pct"/>
            <w:vAlign w:val="center"/>
          </w:tcPr>
          <w:p w14:paraId="3C90F8B2">
            <w:pPr>
              <w:widowControl w:val="0"/>
              <w:adjustRightInd w:val="0"/>
              <w:snapToGrid w:val="0"/>
              <w:spacing w:before="60" w:after="60"/>
              <w:jc w:val="center"/>
              <w:textAlignment w:val="baseline"/>
              <w:rPr>
                <w:rFonts w:ascii="Times New Roman" w:hAnsi="Times New Roman"/>
                <w:color w:val="auto"/>
                <w:sz w:val="21"/>
                <w:lang w:eastAsia="zh-CN"/>
              </w:rPr>
            </w:pPr>
            <w:r>
              <w:rPr>
                <w:rFonts w:hint="eastAsia" w:ascii="Times New Roman" w:hAnsi="Times New Roman"/>
                <w:color w:val="auto"/>
                <w:sz w:val="21"/>
                <w:lang w:eastAsia="zh-CN"/>
              </w:rPr>
              <w:t>489.6</w:t>
            </w:r>
          </w:p>
        </w:tc>
        <w:tc>
          <w:tcPr>
            <w:tcW w:w="723" w:type="pct"/>
            <w:vAlign w:val="center"/>
          </w:tcPr>
          <w:p w14:paraId="20A1A254">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1.0</w:t>
            </w:r>
          </w:p>
        </w:tc>
        <w:tc>
          <w:tcPr>
            <w:tcW w:w="515" w:type="pct"/>
            <w:vAlign w:val="center"/>
          </w:tcPr>
          <w:p w14:paraId="73DD25F0">
            <w:pPr>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511.63</w:t>
            </w:r>
          </w:p>
        </w:tc>
      </w:tr>
      <w:tr w14:paraId="213A0DE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360" w:type="pct"/>
            <w:vAlign w:val="center"/>
          </w:tcPr>
          <w:p w14:paraId="15B11677">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3</w:t>
            </w:r>
          </w:p>
        </w:tc>
        <w:tc>
          <w:tcPr>
            <w:tcW w:w="796" w:type="pct"/>
            <w:vAlign w:val="center"/>
          </w:tcPr>
          <w:p w14:paraId="1722206A">
            <w:pPr>
              <w:widowControl w:val="0"/>
              <w:adjustRightInd w:val="0"/>
              <w:snapToGrid w:val="0"/>
              <w:jc w:val="center"/>
              <w:rPr>
                <w:rFonts w:ascii="Times New Roman" w:hAnsi="Times New Roman"/>
                <w:color w:val="auto"/>
                <w:sz w:val="21"/>
                <w:lang w:eastAsia="zh-CN"/>
              </w:rPr>
            </w:pPr>
            <w:r>
              <w:rPr>
                <w:rFonts w:ascii="Times New Roman"/>
                <w:color w:val="auto"/>
                <w:sz w:val="21"/>
                <w:lang w:eastAsia="zh-CN"/>
              </w:rPr>
              <w:t>31%盐酸储罐</w:t>
            </w:r>
          </w:p>
        </w:tc>
        <w:tc>
          <w:tcPr>
            <w:tcW w:w="796" w:type="pct"/>
            <w:vAlign w:val="center"/>
          </w:tcPr>
          <w:p w14:paraId="45B784D5">
            <w:pPr>
              <w:widowControl w:val="0"/>
              <w:adjustRightInd w:val="0"/>
              <w:snapToGrid w:val="0"/>
              <w:jc w:val="center"/>
              <w:rPr>
                <w:rFonts w:ascii="Times New Roman" w:hAnsi="Times New Roman"/>
                <w:color w:val="auto"/>
                <w:sz w:val="21"/>
                <w:lang w:eastAsia="zh-CN"/>
              </w:rPr>
            </w:pPr>
            <w:r>
              <w:rPr>
                <w:rFonts w:hint="eastAsia" w:ascii="Times New Roman" w:hAnsi="Times New Roman"/>
                <w:bCs/>
                <w:color w:val="auto"/>
                <w:sz w:val="21"/>
                <w:lang w:eastAsia="zh-CN"/>
              </w:rPr>
              <w:t>折</w:t>
            </w:r>
            <w:r>
              <w:rPr>
                <w:rFonts w:ascii="Times New Roman" w:hAnsi="Times New Roman"/>
                <w:bCs/>
                <w:color w:val="auto"/>
                <w:sz w:val="21"/>
                <w:lang w:eastAsia="zh-CN"/>
              </w:rPr>
              <w:t>37%盐酸</w:t>
            </w:r>
            <w:r>
              <w:rPr>
                <w:rFonts w:hint="eastAsia" w:ascii="Times New Roman" w:hAnsi="Times New Roman"/>
                <w:color w:val="auto"/>
                <w:sz w:val="21"/>
                <w:lang w:eastAsia="zh-CN"/>
              </w:rPr>
              <w:t>量</w:t>
            </w:r>
          </w:p>
        </w:tc>
        <w:tc>
          <w:tcPr>
            <w:tcW w:w="941" w:type="pct"/>
            <w:vAlign w:val="center"/>
          </w:tcPr>
          <w:p w14:paraId="2C6FC2A9">
            <w:pPr>
              <w:widowControl w:val="0"/>
              <w:snapToGrid w:val="0"/>
              <w:spacing w:before="60" w:after="60"/>
              <w:jc w:val="center"/>
              <w:rPr>
                <w:rFonts w:ascii="Times New Roman" w:hAnsi="Times New Roman"/>
                <w:color w:val="auto"/>
                <w:sz w:val="21"/>
                <w:lang w:eastAsia="zh-CN"/>
              </w:rPr>
            </w:pPr>
            <w:r>
              <w:rPr>
                <w:rFonts w:hint="eastAsia" w:ascii="Times New Roman" w:hAnsi="Times New Roman"/>
                <w:color w:val="auto"/>
                <w:sz w:val="21"/>
                <w:lang w:eastAsia="zh-CN"/>
              </w:rPr>
              <w:t>21.95</w:t>
            </w:r>
          </w:p>
        </w:tc>
        <w:tc>
          <w:tcPr>
            <w:tcW w:w="869" w:type="pct"/>
            <w:vAlign w:val="center"/>
          </w:tcPr>
          <w:p w14:paraId="568B9AB8">
            <w:pPr>
              <w:widowControl w:val="0"/>
              <w:adjustRightInd w:val="0"/>
              <w:snapToGrid w:val="0"/>
              <w:spacing w:before="60" w:after="60"/>
              <w:jc w:val="center"/>
              <w:textAlignment w:val="baseline"/>
              <w:rPr>
                <w:rFonts w:ascii="Times New Roman" w:hAnsi="Times New Roman"/>
                <w:color w:val="auto"/>
                <w:sz w:val="21"/>
                <w:lang w:eastAsia="zh-CN"/>
              </w:rPr>
            </w:pPr>
            <w:r>
              <w:rPr>
                <w:rFonts w:hint="eastAsia" w:ascii="Times New Roman" w:hAnsi="Times New Roman"/>
                <w:color w:val="auto"/>
                <w:sz w:val="21"/>
                <w:lang w:eastAsia="zh-CN"/>
              </w:rPr>
              <w:t>314.19</w:t>
            </w:r>
          </w:p>
        </w:tc>
        <w:tc>
          <w:tcPr>
            <w:tcW w:w="723" w:type="pct"/>
            <w:vAlign w:val="center"/>
          </w:tcPr>
          <w:p w14:paraId="44BB7011">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7.5</w:t>
            </w:r>
          </w:p>
        </w:tc>
        <w:tc>
          <w:tcPr>
            <w:tcW w:w="515" w:type="pct"/>
            <w:vAlign w:val="center"/>
          </w:tcPr>
          <w:p w14:paraId="65C7133E">
            <w:pPr>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44.82</w:t>
            </w:r>
          </w:p>
        </w:tc>
      </w:tr>
      <w:tr w14:paraId="7710304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360" w:type="pct"/>
            <w:vAlign w:val="center"/>
          </w:tcPr>
          <w:p w14:paraId="4B347C0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4</w:t>
            </w:r>
          </w:p>
        </w:tc>
        <w:tc>
          <w:tcPr>
            <w:tcW w:w="796" w:type="pct"/>
            <w:vAlign w:val="center"/>
          </w:tcPr>
          <w:p w14:paraId="45CA509A">
            <w:pPr>
              <w:widowControl w:val="0"/>
              <w:adjustRightInd w:val="0"/>
              <w:snapToGrid w:val="0"/>
              <w:jc w:val="center"/>
              <w:rPr>
                <w:rFonts w:ascii="Times New Roman" w:hAnsi="Times New Roman"/>
                <w:color w:val="auto"/>
                <w:sz w:val="21"/>
                <w:lang w:eastAsia="zh-CN"/>
              </w:rPr>
            </w:pPr>
            <w:r>
              <w:rPr>
                <w:rFonts w:hint="eastAsia" w:ascii="Times New Roman"/>
                <w:color w:val="auto"/>
                <w:sz w:val="21"/>
                <w:lang w:eastAsia="zh-CN"/>
              </w:rPr>
              <w:t>电子级氢氟酸</w:t>
            </w:r>
          </w:p>
        </w:tc>
        <w:tc>
          <w:tcPr>
            <w:tcW w:w="796" w:type="pct"/>
            <w:vAlign w:val="center"/>
          </w:tcPr>
          <w:p w14:paraId="3788322D">
            <w:pPr>
              <w:widowControl w:val="0"/>
              <w:adjustRightInd w:val="0"/>
              <w:snapToGrid w:val="0"/>
              <w:jc w:val="center"/>
              <w:rPr>
                <w:rFonts w:ascii="Times New Roman" w:hAnsi="Times New Roman"/>
                <w:color w:val="auto"/>
                <w:sz w:val="21"/>
                <w:lang w:eastAsia="zh-CN"/>
              </w:rPr>
            </w:pPr>
            <w:r>
              <w:rPr>
                <w:rFonts w:hint="eastAsia" w:ascii="Times New Roman" w:hAnsi="Times New Roman"/>
                <w:bCs/>
                <w:color w:val="auto"/>
                <w:sz w:val="21"/>
                <w:lang w:eastAsia="zh-CN"/>
              </w:rPr>
              <w:t>氟化氢量</w:t>
            </w:r>
          </w:p>
        </w:tc>
        <w:tc>
          <w:tcPr>
            <w:tcW w:w="941" w:type="pct"/>
            <w:vAlign w:val="center"/>
          </w:tcPr>
          <w:p w14:paraId="7EF9C34F">
            <w:pPr>
              <w:widowControl w:val="0"/>
              <w:snapToGrid w:val="0"/>
              <w:spacing w:before="60" w:after="60"/>
              <w:jc w:val="center"/>
              <w:rPr>
                <w:rFonts w:ascii="Times New Roman" w:hAnsi="Times New Roman"/>
                <w:color w:val="auto"/>
                <w:sz w:val="21"/>
                <w:lang w:eastAsia="zh-CN"/>
              </w:rPr>
            </w:pPr>
            <w:r>
              <w:rPr>
                <w:rFonts w:hint="eastAsia" w:ascii="Times New Roman" w:hAnsi="Times New Roman"/>
                <w:color w:val="auto"/>
                <w:sz w:val="21"/>
                <w:lang w:eastAsia="zh-CN"/>
              </w:rPr>
              <w:t>18.13</w:t>
            </w:r>
          </w:p>
        </w:tc>
        <w:tc>
          <w:tcPr>
            <w:tcW w:w="869" w:type="pct"/>
            <w:vAlign w:val="center"/>
          </w:tcPr>
          <w:p w14:paraId="4EC69B2B">
            <w:pPr>
              <w:widowControl w:val="0"/>
              <w:adjustRightInd w:val="0"/>
              <w:snapToGrid w:val="0"/>
              <w:spacing w:before="60" w:after="60"/>
              <w:jc w:val="center"/>
              <w:textAlignment w:val="baseline"/>
              <w:rPr>
                <w:rFonts w:ascii="Times New Roman" w:hAnsi="Times New Roman"/>
                <w:color w:val="auto"/>
                <w:sz w:val="21"/>
                <w:lang w:eastAsia="zh-CN"/>
              </w:rPr>
            </w:pPr>
            <w:r>
              <w:rPr>
                <w:rFonts w:hint="eastAsia" w:ascii="Times New Roman" w:hAnsi="Times New Roman"/>
                <w:color w:val="auto"/>
                <w:sz w:val="21"/>
                <w:lang w:eastAsia="zh-CN"/>
              </w:rPr>
              <w:t>142.1</w:t>
            </w:r>
          </w:p>
        </w:tc>
        <w:tc>
          <w:tcPr>
            <w:tcW w:w="723" w:type="pct"/>
            <w:vAlign w:val="center"/>
          </w:tcPr>
          <w:p w14:paraId="343BA8FF">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1.0</w:t>
            </w:r>
          </w:p>
        </w:tc>
        <w:tc>
          <w:tcPr>
            <w:tcW w:w="515" w:type="pct"/>
            <w:vAlign w:val="center"/>
          </w:tcPr>
          <w:p w14:paraId="6FCF1972">
            <w:pPr>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160.23</w:t>
            </w:r>
          </w:p>
        </w:tc>
      </w:tr>
      <w:tr w14:paraId="448CC79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360" w:type="pct"/>
            <w:vAlign w:val="center"/>
          </w:tcPr>
          <w:p w14:paraId="431A3751">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5</w:t>
            </w:r>
          </w:p>
        </w:tc>
        <w:tc>
          <w:tcPr>
            <w:tcW w:w="796" w:type="pct"/>
            <w:vAlign w:val="center"/>
          </w:tcPr>
          <w:p w14:paraId="5A6EEF8A">
            <w:pPr>
              <w:widowControl w:val="0"/>
              <w:adjustRightInd w:val="0"/>
              <w:snapToGrid w:val="0"/>
              <w:jc w:val="center"/>
              <w:rPr>
                <w:rFonts w:ascii="Times New Roman" w:hAnsi="Times New Roman"/>
                <w:color w:val="auto"/>
                <w:sz w:val="21"/>
                <w:lang w:eastAsia="zh-CN"/>
              </w:rPr>
            </w:pPr>
            <w:r>
              <w:rPr>
                <w:rFonts w:hint="eastAsia" w:ascii="Times New Roman"/>
                <w:color w:val="auto"/>
                <w:sz w:val="21"/>
                <w:lang w:eastAsia="zh-CN"/>
              </w:rPr>
              <w:t>化学纯氢氟酸</w:t>
            </w:r>
          </w:p>
        </w:tc>
        <w:tc>
          <w:tcPr>
            <w:tcW w:w="796" w:type="pct"/>
            <w:vAlign w:val="center"/>
          </w:tcPr>
          <w:p w14:paraId="5FC8F890">
            <w:pPr>
              <w:widowControl w:val="0"/>
              <w:adjustRightInd w:val="0"/>
              <w:snapToGrid w:val="0"/>
              <w:jc w:val="center"/>
              <w:rPr>
                <w:rFonts w:ascii="Times New Roman" w:hAnsi="Times New Roman"/>
                <w:color w:val="auto"/>
                <w:sz w:val="21"/>
                <w:lang w:eastAsia="zh-CN"/>
              </w:rPr>
            </w:pPr>
            <w:r>
              <w:rPr>
                <w:rFonts w:hint="eastAsia" w:ascii="Times New Roman" w:hAnsi="Times New Roman"/>
                <w:bCs/>
                <w:color w:val="auto"/>
                <w:sz w:val="21"/>
                <w:lang w:eastAsia="zh-CN"/>
              </w:rPr>
              <w:t>氟化氢量</w:t>
            </w:r>
          </w:p>
        </w:tc>
        <w:tc>
          <w:tcPr>
            <w:tcW w:w="941" w:type="pct"/>
            <w:vAlign w:val="center"/>
          </w:tcPr>
          <w:p w14:paraId="3BF499DC">
            <w:pPr>
              <w:widowControl w:val="0"/>
              <w:snapToGrid w:val="0"/>
              <w:spacing w:before="60" w:after="60"/>
              <w:jc w:val="center"/>
              <w:rPr>
                <w:rFonts w:ascii="Times New Roman" w:hAnsi="Times New Roman"/>
                <w:color w:val="auto"/>
                <w:sz w:val="21"/>
                <w:lang w:eastAsia="zh-CN"/>
              </w:rPr>
            </w:pPr>
            <w:r>
              <w:rPr>
                <w:rFonts w:hint="eastAsia" w:ascii="Times New Roman" w:hAnsi="Times New Roman"/>
                <w:color w:val="auto"/>
                <w:sz w:val="21"/>
                <w:lang w:eastAsia="zh-CN"/>
              </w:rPr>
              <w:t>133.87</w:t>
            </w:r>
          </w:p>
        </w:tc>
        <w:tc>
          <w:tcPr>
            <w:tcW w:w="869" w:type="pct"/>
            <w:vAlign w:val="center"/>
          </w:tcPr>
          <w:p w14:paraId="31BF55D4">
            <w:pPr>
              <w:widowControl w:val="0"/>
              <w:adjustRightInd w:val="0"/>
              <w:snapToGrid w:val="0"/>
              <w:spacing w:before="60" w:after="60"/>
              <w:jc w:val="center"/>
              <w:textAlignment w:val="baseline"/>
              <w:rPr>
                <w:rFonts w:ascii="Times New Roman" w:hAnsi="Times New Roman"/>
                <w:color w:val="auto"/>
                <w:sz w:val="21"/>
                <w:lang w:eastAsia="zh-CN"/>
              </w:rPr>
            </w:pPr>
            <w:r>
              <w:rPr>
                <w:rFonts w:hint="eastAsia" w:ascii="Times New Roman" w:hAnsi="Times New Roman"/>
                <w:color w:val="auto"/>
                <w:sz w:val="21"/>
                <w:lang w:eastAsia="zh-CN"/>
              </w:rPr>
              <w:t>1782</w:t>
            </w:r>
          </w:p>
        </w:tc>
        <w:tc>
          <w:tcPr>
            <w:tcW w:w="723" w:type="pct"/>
            <w:vAlign w:val="center"/>
          </w:tcPr>
          <w:p w14:paraId="144C75BE">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1.0</w:t>
            </w:r>
          </w:p>
        </w:tc>
        <w:tc>
          <w:tcPr>
            <w:tcW w:w="515" w:type="pct"/>
            <w:vAlign w:val="center"/>
          </w:tcPr>
          <w:p w14:paraId="544DB7B0">
            <w:pPr>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1915.87</w:t>
            </w:r>
          </w:p>
        </w:tc>
      </w:tr>
      <w:tr w14:paraId="6C4C807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360" w:type="pct"/>
            <w:vMerge w:val="restart"/>
            <w:vAlign w:val="center"/>
          </w:tcPr>
          <w:p w14:paraId="1AC717D5">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6</w:t>
            </w:r>
          </w:p>
        </w:tc>
        <w:tc>
          <w:tcPr>
            <w:tcW w:w="796" w:type="pct"/>
            <w:vMerge w:val="restart"/>
            <w:vAlign w:val="center"/>
          </w:tcPr>
          <w:p w14:paraId="0F3D569D">
            <w:pPr>
              <w:widowControl w:val="0"/>
              <w:adjustRightInd w:val="0"/>
              <w:snapToGrid w:val="0"/>
              <w:jc w:val="center"/>
              <w:rPr>
                <w:rFonts w:ascii="Times New Roman" w:hAnsi="Times New Roman" w:cs="Times New Roman"/>
                <w:color w:val="auto"/>
                <w:spacing w:val="-2"/>
                <w:sz w:val="21"/>
                <w:lang w:eastAsia="zh-CN"/>
              </w:rPr>
            </w:pPr>
            <w:r>
              <w:rPr>
                <w:rFonts w:hint="eastAsia" w:ascii="Times New Roman"/>
                <w:color w:val="auto"/>
                <w:sz w:val="21"/>
                <w:lang w:eastAsia="zh-CN"/>
              </w:rPr>
              <w:t>刻蚀液</w:t>
            </w:r>
          </w:p>
        </w:tc>
        <w:tc>
          <w:tcPr>
            <w:tcW w:w="796" w:type="pct"/>
            <w:vAlign w:val="center"/>
          </w:tcPr>
          <w:p w14:paraId="62EA16ED">
            <w:pPr>
              <w:widowControl w:val="0"/>
              <w:adjustRightInd w:val="0"/>
              <w:snapToGrid w:val="0"/>
              <w:jc w:val="center"/>
              <w:rPr>
                <w:rFonts w:ascii="Times New Roman" w:hAnsi="Times New Roman" w:cs="Times New Roman"/>
                <w:color w:val="auto"/>
                <w:spacing w:val="-2"/>
                <w:sz w:val="21"/>
                <w:lang w:eastAsia="zh-CN"/>
              </w:rPr>
            </w:pPr>
            <w:r>
              <w:rPr>
                <w:rFonts w:hint="eastAsia" w:ascii="Times New Roman" w:hAnsi="Times New Roman"/>
                <w:bCs/>
                <w:color w:val="auto"/>
                <w:sz w:val="21"/>
                <w:lang w:eastAsia="zh-CN"/>
              </w:rPr>
              <w:t>氟化氢量</w:t>
            </w:r>
          </w:p>
        </w:tc>
        <w:tc>
          <w:tcPr>
            <w:tcW w:w="941" w:type="pct"/>
            <w:vAlign w:val="center"/>
          </w:tcPr>
          <w:p w14:paraId="497E660D">
            <w:pPr>
              <w:widowControl w:val="0"/>
              <w:snapToGrid w:val="0"/>
              <w:spacing w:before="60" w:after="6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66.68</w:t>
            </w:r>
          </w:p>
        </w:tc>
        <w:tc>
          <w:tcPr>
            <w:tcW w:w="869" w:type="pct"/>
            <w:vAlign w:val="center"/>
          </w:tcPr>
          <w:p w14:paraId="111DE667">
            <w:pPr>
              <w:widowControl w:val="0"/>
              <w:adjustRightInd w:val="0"/>
              <w:snapToGrid w:val="0"/>
              <w:spacing w:before="60" w:after="60"/>
              <w:jc w:val="center"/>
              <w:textAlignment w:val="baseline"/>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2132</w:t>
            </w:r>
          </w:p>
        </w:tc>
        <w:tc>
          <w:tcPr>
            <w:tcW w:w="723" w:type="pct"/>
            <w:vAlign w:val="center"/>
          </w:tcPr>
          <w:p w14:paraId="431CC38D">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1.0</w:t>
            </w:r>
          </w:p>
        </w:tc>
        <w:tc>
          <w:tcPr>
            <w:tcW w:w="515" w:type="pct"/>
            <w:vAlign w:val="center"/>
          </w:tcPr>
          <w:p w14:paraId="4186D2A9">
            <w:pPr>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2198.68</w:t>
            </w:r>
          </w:p>
        </w:tc>
      </w:tr>
      <w:tr w14:paraId="55A1C1E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360" w:type="pct"/>
            <w:vMerge w:val="continue"/>
            <w:vAlign w:val="center"/>
          </w:tcPr>
          <w:p w14:paraId="65A5679D">
            <w:pPr>
              <w:adjustRightInd w:val="0"/>
              <w:snapToGrid w:val="0"/>
              <w:jc w:val="center"/>
              <w:rPr>
                <w:rFonts w:ascii="Times New Roman" w:hAnsi="Times New Roman" w:cs="Times New Roman"/>
                <w:color w:val="auto"/>
                <w:sz w:val="21"/>
                <w:lang w:eastAsia="zh-CN"/>
              </w:rPr>
            </w:pPr>
          </w:p>
        </w:tc>
        <w:tc>
          <w:tcPr>
            <w:tcW w:w="796" w:type="pct"/>
            <w:vMerge w:val="continue"/>
            <w:vAlign w:val="center"/>
          </w:tcPr>
          <w:p w14:paraId="57C4A031">
            <w:pPr>
              <w:widowControl w:val="0"/>
              <w:adjustRightInd w:val="0"/>
              <w:snapToGrid w:val="0"/>
              <w:jc w:val="center"/>
              <w:rPr>
                <w:rFonts w:ascii="Times New Roman"/>
                <w:color w:val="auto"/>
                <w:sz w:val="21"/>
                <w:lang w:eastAsia="zh-CN"/>
              </w:rPr>
            </w:pPr>
          </w:p>
        </w:tc>
        <w:tc>
          <w:tcPr>
            <w:tcW w:w="796" w:type="pct"/>
            <w:vAlign w:val="center"/>
          </w:tcPr>
          <w:p w14:paraId="1584D132">
            <w:pPr>
              <w:widowControl w:val="0"/>
              <w:adjustRightInd w:val="0"/>
              <w:snapToGrid w:val="0"/>
              <w:jc w:val="center"/>
              <w:rPr>
                <w:rFonts w:ascii="Times New Roman"/>
                <w:color w:val="auto"/>
                <w:sz w:val="21"/>
                <w:lang w:eastAsia="zh-CN"/>
              </w:rPr>
            </w:pPr>
            <w:r>
              <w:rPr>
                <w:rFonts w:hint="eastAsia" w:ascii="Times New Roman" w:hAnsi="Times New Roman"/>
                <w:bCs/>
                <w:color w:val="auto"/>
                <w:sz w:val="21"/>
                <w:lang w:eastAsia="zh-CN"/>
              </w:rPr>
              <w:t>折</w:t>
            </w:r>
            <w:r>
              <w:rPr>
                <w:rFonts w:ascii="Times New Roman" w:hAnsi="Times New Roman"/>
                <w:bCs/>
                <w:color w:val="auto"/>
                <w:sz w:val="21"/>
                <w:lang w:eastAsia="zh-CN"/>
              </w:rPr>
              <w:t>37%盐酸</w:t>
            </w:r>
            <w:r>
              <w:rPr>
                <w:rFonts w:hint="eastAsia" w:ascii="Times New Roman" w:hAnsi="Times New Roman"/>
                <w:color w:val="auto"/>
                <w:sz w:val="21"/>
                <w:lang w:eastAsia="zh-CN"/>
              </w:rPr>
              <w:t>量</w:t>
            </w:r>
          </w:p>
        </w:tc>
        <w:tc>
          <w:tcPr>
            <w:tcW w:w="941" w:type="pct"/>
            <w:vAlign w:val="center"/>
          </w:tcPr>
          <w:p w14:paraId="235A38DE">
            <w:pPr>
              <w:widowControl w:val="0"/>
              <w:snapToGrid w:val="0"/>
              <w:spacing w:before="60" w:after="60"/>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31.54</w:t>
            </w:r>
          </w:p>
        </w:tc>
        <w:tc>
          <w:tcPr>
            <w:tcW w:w="869" w:type="pct"/>
            <w:vAlign w:val="center"/>
          </w:tcPr>
          <w:p w14:paraId="57445DFC">
            <w:pPr>
              <w:widowControl w:val="0"/>
              <w:adjustRightInd w:val="0"/>
              <w:snapToGrid w:val="0"/>
              <w:spacing w:before="60" w:after="60"/>
              <w:jc w:val="center"/>
              <w:textAlignment w:val="baseline"/>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1008.4</w:t>
            </w:r>
          </w:p>
        </w:tc>
        <w:tc>
          <w:tcPr>
            <w:tcW w:w="723" w:type="pct"/>
            <w:vAlign w:val="center"/>
          </w:tcPr>
          <w:p w14:paraId="74D6755E">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7.5</w:t>
            </w:r>
          </w:p>
        </w:tc>
        <w:tc>
          <w:tcPr>
            <w:tcW w:w="515" w:type="pct"/>
            <w:vAlign w:val="center"/>
          </w:tcPr>
          <w:p w14:paraId="62619BC5">
            <w:pPr>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138.66</w:t>
            </w:r>
          </w:p>
        </w:tc>
      </w:tr>
      <w:tr w14:paraId="29FFDE6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485" w:type="pct"/>
            <w:gridSpan w:val="6"/>
            <w:noWrap/>
            <w:vAlign w:val="center"/>
          </w:tcPr>
          <w:p w14:paraId="67D1878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项目Q值∑</w:t>
            </w:r>
          </w:p>
        </w:tc>
        <w:tc>
          <w:tcPr>
            <w:tcW w:w="515" w:type="pct"/>
            <w:noWrap/>
            <w:vAlign w:val="center"/>
          </w:tcPr>
          <w:p w14:paraId="6C483AAD">
            <w:pPr>
              <w:adjustRightInd w:val="0"/>
              <w:snapToGrid w:val="0"/>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5344.19</w:t>
            </w:r>
          </w:p>
        </w:tc>
      </w:tr>
    </w:tbl>
    <w:p w14:paraId="1ED9AE08">
      <w:pPr>
        <w:widowControl w:val="0"/>
        <w:ind w:firstLine="388" w:firstLineChars="200"/>
        <w:jc w:val="both"/>
        <w:rPr>
          <w:rFonts w:hint="eastAsia" w:ascii="宋体" w:hAnsi="宋体" w:cs="Times New Roman"/>
          <w:color w:val="auto"/>
          <w:sz w:val="21"/>
          <w:szCs w:val="18"/>
          <w:lang w:eastAsia="zh-CN"/>
        </w:rPr>
      </w:pPr>
      <w:r>
        <w:rPr>
          <w:rFonts w:hint="eastAsia" w:ascii="宋体" w:hAnsi="宋体" w:cs="Times New Roman"/>
          <w:bCs/>
          <w:color w:val="auto"/>
          <w:spacing w:val="-8"/>
          <w:sz w:val="21"/>
          <w:lang w:eastAsia="zh-CN"/>
        </w:rPr>
        <w:t>注：</w:t>
      </w:r>
      <w:r>
        <w:rPr>
          <w:rFonts w:ascii="宋体" w:hAnsi="宋体" w:cs="Times New Roman"/>
          <w:bCs/>
          <w:color w:val="auto"/>
          <w:spacing w:val="-8"/>
          <w:sz w:val="21"/>
          <w:lang w:eastAsia="zh-CN"/>
        </w:rPr>
        <w:fldChar w:fldCharType="begin"/>
      </w:r>
      <w:r>
        <w:rPr>
          <w:rFonts w:ascii="宋体" w:hAnsi="宋体" w:cs="Times New Roman"/>
          <w:bCs/>
          <w:color w:val="auto"/>
          <w:spacing w:val="-8"/>
          <w:sz w:val="21"/>
          <w:lang w:eastAsia="zh-CN"/>
        </w:rPr>
        <w:instrText xml:space="preserve"> </w:instrText>
      </w:r>
      <w:r>
        <w:rPr>
          <w:rFonts w:hint="eastAsia" w:ascii="宋体" w:hAnsi="宋体" w:cs="Times New Roman"/>
          <w:bCs/>
          <w:color w:val="auto"/>
          <w:spacing w:val="-8"/>
          <w:sz w:val="21"/>
          <w:lang w:eastAsia="zh-CN"/>
        </w:rPr>
        <w:instrText xml:space="preserve">= 1 \* GB3</w:instrText>
      </w:r>
      <w:r>
        <w:rPr>
          <w:rFonts w:ascii="宋体" w:hAnsi="宋体" w:cs="Times New Roman"/>
          <w:bCs/>
          <w:color w:val="auto"/>
          <w:spacing w:val="-8"/>
          <w:sz w:val="21"/>
          <w:lang w:eastAsia="zh-CN"/>
        </w:rPr>
        <w:instrText xml:space="preserve"> </w:instrText>
      </w:r>
      <w:r>
        <w:rPr>
          <w:rFonts w:ascii="宋体" w:hAnsi="宋体" w:cs="Times New Roman"/>
          <w:bCs/>
          <w:color w:val="auto"/>
          <w:spacing w:val="-8"/>
          <w:sz w:val="21"/>
          <w:lang w:eastAsia="zh-CN"/>
        </w:rPr>
        <w:fldChar w:fldCharType="separate"/>
      </w:r>
      <w:r>
        <w:rPr>
          <w:rFonts w:hint="eastAsia" w:ascii="宋体" w:hAnsi="宋体" w:cs="Times New Roman"/>
          <w:bCs/>
          <w:color w:val="auto"/>
          <w:spacing w:val="-8"/>
          <w:sz w:val="21"/>
          <w:lang w:eastAsia="zh-CN"/>
        </w:rPr>
        <w:t>①</w:t>
      </w:r>
      <w:r>
        <w:rPr>
          <w:rFonts w:ascii="宋体" w:hAnsi="宋体" w:cs="Times New Roman"/>
          <w:bCs/>
          <w:color w:val="auto"/>
          <w:spacing w:val="-8"/>
          <w:sz w:val="21"/>
          <w:lang w:eastAsia="zh-CN"/>
        </w:rPr>
        <w:fldChar w:fldCharType="end"/>
      </w:r>
      <w:r>
        <w:rPr>
          <w:rFonts w:hint="eastAsia" w:ascii="宋体" w:hAnsi="宋体" w:cs="Times New Roman"/>
          <w:bCs/>
          <w:color w:val="auto"/>
          <w:spacing w:val="-8"/>
          <w:sz w:val="21"/>
          <w:lang w:eastAsia="zh-CN"/>
        </w:rPr>
        <w:t>现有工程危险物质电子级氢氟酸与本项目危险物质处于同一的风险单元（原料及产品罐区），故本项目风险评价考虑现有工程危险物质。</w:t>
      </w:r>
    </w:p>
    <w:p w14:paraId="1FF62454">
      <w:pPr>
        <w:widowControl w:val="0"/>
        <w:ind w:firstLine="420" w:firstLineChars="200"/>
        <w:jc w:val="both"/>
        <w:rPr>
          <w:rFonts w:hint="eastAsia" w:ascii="宋体" w:hAnsi="宋体" w:cs="Times New Roman"/>
          <w:bCs/>
          <w:color w:val="auto"/>
          <w:sz w:val="21"/>
          <w:szCs w:val="18"/>
          <w:lang w:eastAsia="zh-CN"/>
        </w:rPr>
      </w:pPr>
      <w:r>
        <w:rPr>
          <w:rFonts w:ascii="宋体" w:hAnsi="宋体" w:cs="Times New Roman"/>
          <w:color w:val="auto"/>
          <w:sz w:val="21"/>
          <w:szCs w:val="18"/>
          <w:lang w:eastAsia="zh-CN"/>
        </w:rPr>
        <w:fldChar w:fldCharType="begin"/>
      </w:r>
      <w:r>
        <w:rPr>
          <w:rFonts w:ascii="宋体" w:hAnsi="宋体" w:cs="Times New Roman"/>
          <w:color w:val="auto"/>
          <w:sz w:val="21"/>
          <w:szCs w:val="18"/>
          <w:lang w:eastAsia="zh-CN"/>
        </w:rPr>
        <w:instrText xml:space="preserve"> </w:instrText>
      </w:r>
      <w:r>
        <w:rPr>
          <w:rFonts w:hint="eastAsia" w:ascii="宋体" w:hAnsi="宋体" w:cs="Times New Roman"/>
          <w:color w:val="auto"/>
          <w:sz w:val="21"/>
          <w:szCs w:val="18"/>
          <w:lang w:eastAsia="zh-CN"/>
        </w:rPr>
        <w:instrText xml:space="preserve">= 2 \* GB3</w:instrText>
      </w:r>
      <w:r>
        <w:rPr>
          <w:rFonts w:ascii="宋体" w:hAnsi="宋体" w:cs="Times New Roman"/>
          <w:color w:val="auto"/>
          <w:sz w:val="21"/>
          <w:szCs w:val="18"/>
          <w:lang w:eastAsia="zh-CN"/>
        </w:rPr>
        <w:instrText xml:space="preserve"> </w:instrText>
      </w:r>
      <w:r>
        <w:rPr>
          <w:rFonts w:ascii="宋体" w:hAnsi="宋体" w:cs="Times New Roman"/>
          <w:color w:val="auto"/>
          <w:sz w:val="21"/>
          <w:szCs w:val="18"/>
          <w:lang w:eastAsia="zh-CN"/>
        </w:rPr>
        <w:fldChar w:fldCharType="separate"/>
      </w:r>
      <w:r>
        <w:rPr>
          <w:rFonts w:hint="eastAsia" w:ascii="宋体" w:hAnsi="宋体" w:cs="Times New Roman"/>
          <w:color w:val="auto"/>
          <w:sz w:val="21"/>
          <w:szCs w:val="18"/>
          <w:lang w:eastAsia="zh-CN"/>
        </w:rPr>
        <w:t>②</w:t>
      </w:r>
      <w:r>
        <w:rPr>
          <w:rFonts w:ascii="宋体" w:hAnsi="宋体" w:cs="Times New Roman"/>
          <w:color w:val="auto"/>
          <w:sz w:val="21"/>
          <w:szCs w:val="18"/>
          <w:lang w:eastAsia="zh-CN"/>
        </w:rPr>
        <w:fldChar w:fldCharType="end"/>
      </w:r>
      <w:r>
        <w:rPr>
          <w:rFonts w:ascii="宋体" w:hAnsi="宋体" w:cs="Times New Roman"/>
          <w:bCs/>
          <w:color w:val="auto"/>
          <w:sz w:val="21"/>
          <w:szCs w:val="18"/>
          <w:lang w:eastAsia="zh-CN"/>
        </w:rPr>
        <w:t>生产车间在线量按照一批次生产所需原料量</w:t>
      </w:r>
      <w:r>
        <w:rPr>
          <w:rFonts w:hint="eastAsia" w:ascii="宋体" w:hAnsi="宋体" w:cs="Times New Roman"/>
          <w:bCs/>
          <w:color w:val="auto"/>
          <w:sz w:val="21"/>
          <w:szCs w:val="18"/>
          <w:lang w:eastAsia="zh-CN"/>
        </w:rPr>
        <w:t>、一批次产品量</w:t>
      </w:r>
      <w:r>
        <w:rPr>
          <w:rFonts w:ascii="宋体" w:hAnsi="宋体" w:cs="Times New Roman"/>
          <w:bCs/>
          <w:color w:val="auto"/>
          <w:sz w:val="21"/>
          <w:szCs w:val="18"/>
          <w:lang w:eastAsia="zh-CN"/>
        </w:rPr>
        <w:t>核算</w:t>
      </w:r>
      <w:r>
        <w:rPr>
          <w:rFonts w:hint="eastAsia" w:ascii="宋体" w:hAnsi="宋体" w:cs="Times New Roman"/>
          <w:bCs/>
          <w:color w:val="auto"/>
          <w:sz w:val="21"/>
          <w:szCs w:val="18"/>
          <w:lang w:eastAsia="zh-CN"/>
        </w:rPr>
        <w:t>。</w:t>
      </w:r>
    </w:p>
    <w:p w14:paraId="40DC5F91">
      <w:pPr>
        <w:widowControl w:val="0"/>
        <w:ind w:firstLine="420" w:firstLineChars="200"/>
        <w:jc w:val="both"/>
        <w:rPr>
          <w:rFonts w:hint="eastAsia" w:ascii="宋体" w:hAnsi="宋体" w:cs="Times New Roman"/>
          <w:color w:val="auto"/>
          <w:sz w:val="21"/>
          <w:szCs w:val="18"/>
          <w:lang w:eastAsia="zh-CN"/>
        </w:rPr>
      </w:pPr>
      <w:r>
        <w:rPr>
          <w:rFonts w:hint="eastAsia" w:ascii="宋体" w:hAnsi="宋体" w:cs="Times New Roman"/>
          <w:bCs/>
          <w:color w:val="auto"/>
          <w:sz w:val="21"/>
          <w:szCs w:val="18"/>
          <w:lang w:eastAsia="zh-CN"/>
        </w:rPr>
        <w:fldChar w:fldCharType="begin"/>
      </w:r>
      <w:r>
        <w:rPr>
          <w:rFonts w:hint="eastAsia" w:ascii="宋体" w:hAnsi="宋体" w:cs="Times New Roman"/>
          <w:bCs/>
          <w:color w:val="auto"/>
          <w:sz w:val="21"/>
          <w:szCs w:val="18"/>
          <w:lang w:eastAsia="zh-CN"/>
        </w:rPr>
        <w:instrText xml:space="preserve"> = 3 \* GB3 </w:instrText>
      </w:r>
      <w:r>
        <w:rPr>
          <w:rFonts w:hint="eastAsia" w:ascii="宋体" w:hAnsi="宋体" w:cs="Times New Roman"/>
          <w:bCs/>
          <w:color w:val="auto"/>
          <w:sz w:val="21"/>
          <w:szCs w:val="18"/>
          <w:lang w:eastAsia="zh-CN"/>
        </w:rPr>
        <w:fldChar w:fldCharType="separate"/>
      </w:r>
      <w:r>
        <w:rPr>
          <w:rFonts w:hint="eastAsia" w:ascii="宋体" w:hAnsi="宋体" w:cs="Times New Roman"/>
          <w:bCs/>
          <w:color w:val="auto"/>
          <w:sz w:val="21"/>
          <w:szCs w:val="18"/>
          <w:lang w:eastAsia="zh-CN"/>
        </w:rPr>
        <w:t>③</w:t>
      </w:r>
      <w:r>
        <w:rPr>
          <w:rFonts w:hint="eastAsia" w:ascii="宋体" w:hAnsi="宋体" w:cs="Times New Roman"/>
          <w:bCs/>
          <w:color w:val="auto"/>
          <w:sz w:val="21"/>
          <w:szCs w:val="18"/>
          <w:lang w:eastAsia="zh-CN"/>
        </w:rPr>
        <w:fldChar w:fldCharType="end"/>
      </w:r>
      <w:r>
        <w:rPr>
          <w:rFonts w:hint="eastAsia" w:ascii="Times New Roman" w:hAnsi="Times New Roman" w:cs="Times New Roman"/>
          <w:bCs/>
          <w:color w:val="auto"/>
          <w:sz w:val="21"/>
          <w:szCs w:val="18"/>
          <w:lang w:eastAsia="zh-CN"/>
        </w:rPr>
        <w:t>项目</w:t>
      </w:r>
      <w:r>
        <w:rPr>
          <w:rFonts w:ascii="Times New Roman" w:hAnsi="Times New Roman" w:cs="Times New Roman"/>
          <w:bCs/>
          <w:color w:val="auto"/>
          <w:sz w:val="21"/>
          <w:szCs w:val="18"/>
          <w:lang w:eastAsia="zh-CN"/>
        </w:rPr>
        <w:t>15%氟化氢溶液、</w:t>
      </w:r>
      <w:r>
        <w:rPr>
          <w:rFonts w:hint="eastAsia" w:ascii="Times New Roman" w:hAnsi="Times New Roman" w:cs="Times New Roman"/>
          <w:bCs/>
          <w:color w:val="auto"/>
          <w:sz w:val="21"/>
          <w:szCs w:val="18"/>
          <w:lang w:eastAsia="zh-CN"/>
        </w:rPr>
        <w:t>31%盐酸、</w:t>
      </w:r>
      <w:r>
        <w:rPr>
          <w:rFonts w:ascii="Times New Roman" w:hAnsi="Times New Roman" w:cs="Times New Roman"/>
          <w:bCs/>
          <w:color w:val="auto"/>
          <w:sz w:val="21"/>
          <w:szCs w:val="18"/>
          <w:lang w:eastAsia="zh-CN"/>
        </w:rPr>
        <w:t>电子级氢氟酸（49%）、化学纯氢氟酸（55%）、刻蚀液（40%）</w:t>
      </w:r>
      <w:r>
        <w:rPr>
          <w:rFonts w:hint="eastAsia" w:ascii="Times New Roman" w:hAnsi="Times New Roman" w:cs="Times New Roman"/>
          <w:bCs/>
          <w:color w:val="auto"/>
          <w:sz w:val="21"/>
          <w:szCs w:val="18"/>
          <w:lang w:eastAsia="zh-CN"/>
        </w:rPr>
        <w:t>分别按照折成37%盐酸、氟化氢</w:t>
      </w:r>
      <w:r>
        <w:rPr>
          <w:rFonts w:ascii="Times New Roman" w:hAnsi="Times New Roman" w:cs="Times New Roman"/>
          <w:bCs/>
          <w:color w:val="auto"/>
          <w:sz w:val="21"/>
          <w:szCs w:val="18"/>
          <w:lang w:eastAsia="zh-CN"/>
        </w:rPr>
        <w:t>计算</w:t>
      </w:r>
      <w:r>
        <w:rPr>
          <w:rFonts w:hint="eastAsia" w:ascii="Times New Roman" w:hAnsi="Times New Roman" w:cs="Times New Roman"/>
          <w:bCs/>
          <w:color w:val="auto"/>
          <w:sz w:val="21"/>
          <w:szCs w:val="18"/>
          <w:lang w:eastAsia="zh-CN"/>
        </w:rPr>
        <w:t>。</w:t>
      </w:r>
    </w:p>
    <w:p w14:paraId="51FF1030">
      <w:pPr>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由上表可以看出，本项目涉及的危险物质数量与临界量的比值Q=</w:t>
      </w:r>
      <w:r>
        <w:rPr>
          <w:rFonts w:hint="eastAsia" w:ascii="Times New Roman" w:hAnsi="Times New Roman" w:cs="Times New Roman"/>
          <w:color w:val="auto"/>
          <w:lang w:eastAsia="zh-CN"/>
        </w:rPr>
        <w:t>5344.19</w:t>
      </w:r>
      <w:r>
        <w:rPr>
          <w:rFonts w:ascii="Times New Roman" w:hAnsi="Times New Roman" w:cs="Times New Roman"/>
          <w:color w:val="auto"/>
          <w:lang w:eastAsia="zh-CN"/>
        </w:rPr>
        <w:t>，Q≥100。</w:t>
      </w:r>
    </w:p>
    <w:p w14:paraId="411CE88A">
      <w:pPr>
        <w:spacing w:line="360" w:lineRule="auto"/>
        <w:ind w:firstLine="482" w:firstLineChars="200"/>
        <w:rPr>
          <w:rFonts w:ascii="Times New Roman" w:hAnsi="Times New Roman" w:cs="Times New Roman"/>
          <w:b/>
          <w:bCs/>
          <w:color w:val="auto"/>
          <w:szCs w:val="24"/>
          <w:lang w:eastAsia="zh-CN"/>
        </w:rPr>
      </w:pPr>
      <w:bookmarkStart w:id="1810" w:name="_Toc8712"/>
      <w:r>
        <w:rPr>
          <w:rFonts w:hint="eastAsia" w:ascii="Times New Roman" w:hAnsi="Times New Roman" w:cs="Times New Roman"/>
          <w:b/>
          <w:bCs/>
          <w:color w:val="auto"/>
          <w:szCs w:val="24"/>
          <w:lang w:eastAsia="zh-CN"/>
        </w:rPr>
        <w:t>2、</w:t>
      </w:r>
      <w:r>
        <w:rPr>
          <w:rFonts w:ascii="Times New Roman" w:hAnsi="Times New Roman" w:cs="Times New Roman"/>
          <w:b/>
          <w:bCs/>
          <w:color w:val="auto"/>
          <w:szCs w:val="24"/>
          <w:lang w:eastAsia="zh-CN"/>
        </w:rPr>
        <w:t>行业及生产工艺（M）</w:t>
      </w:r>
      <w:bookmarkEnd w:id="1810"/>
    </w:p>
    <w:p w14:paraId="0D11CD94">
      <w:pPr>
        <w:spacing w:line="360" w:lineRule="auto"/>
        <w:ind w:firstLine="480" w:firstLineChars="200"/>
        <w:rPr>
          <w:rFonts w:ascii="Times New Roman" w:hAnsi="Times New Roman" w:cs="Times New Roman"/>
          <w:bCs/>
          <w:color w:val="auto"/>
          <w:szCs w:val="24"/>
          <w:lang w:eastAsia="zh-CN"/>
        </w:rPr>
      </w:pPr>
      <w:r>
        <w:rPr>
          <w:rFonts w:ascii="Times New Roman" w:hAnsi="Times New Roman" w:cs="Times New Roman"/>
          <w:color w:val="auto"/>
          <w:szCs w:val="24"/>
          <w:lang w:eastAsia="zh-CN"/>
        </w:rPr>
        <w:t>具有多套工艺单元的项目，对每套生产工艺分别评分并求和。将M划分为（1）M＞20；（2）10＜M≤20；（3）5＜M≤10；（4）M=5，分别以M1、M2、M3和M4表示。</w:t>
      </w:r>
    </w:p>
    <w:p w14:paraId="7F085944">
      <w:pPr>
        <w:spacing w:line="360" w:lineRule="auto"/>
        <w:jc w:val="center"/>
        <w:rPr>
          <w:rFonts w:ascii="Times New Roman" w:hAnsi="Times New Roman" w:eastAsia="新宋体" w:cs="Times New Roman"/>
          <w:color w:val="auto"/>
          <w:szCs w:val="24"/>
          <w:lang w:eastAsia="zh-CN"/>
        </w:rPr>
      </w:pPr>
      <w:r>
        <w:rPr>
          <w:rFonts w:ascii="Times New Roman" w:hAnsi="Times New Roman" w:eastAsia="新宋体" w:cs="Times New Roman"/>
          <w:b/>
          <w:bCs/>
          <w:color w:val="auto"/>
          <w:szCs w:val="24"/>
          <w:lang w:eastAsia="zh-CN"/>
        </w:rPr>
        <w:t>表7.</w:t>
      </w:r>
      <w:r>
        <w:rPr>
          <w:rFonts w:hint="eastAsia" w:ascii="Times New Roman" w:hAnsi="Times New Roman" w:eastAsia="新宋体" w:cs="Times New Roman"/>
          <w:b/>
          <w:bCs/>
          <w:color w:val="auto"/>
          <w:szCs w:val="24"/>
          <w:lang w:eastAsia="zh-CN"/>
        </w:rPr>
        <w:t>4</w:t>
      </w:r>
      <w:r>
        <w:rPr>
          <w:rFonts w:ascii="Times New Roman" w:hAnsi="Times New Roman" w:eastAsia="新宋体" w:cs="Times New Roman"/>
          <w:b/>
          <w:bCs/>
          <w:color w:val="auto"/>
          <w:szCs w:val="24"/>
          <w:lang w:eastAsia="zh-CN"/>
        </w:rPr>
        <w:t>-2 企业生产工艺分值情况表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214"/>
        <w:gridCol w:w="6083"/>
        <w:gridCol w:w="1142"/>
        <w:gridCol w:w="1307"/>
      </w:tblGrid>
      <w:tr w14:paraId="72E25CB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21" w:hRule="atLeast"/>
          <w:jc w:val="center"/>
        </w:trPr>
        <w:tc>
          <w:tcPr>
            <w:tcW w:w="623" w:type="pct"/>
            <w:vAlign w:val="center"/>
          </w:tcPr>
          <w:p w14:paraId="7E556FDF">
            <w:pPr>
              <w:pStyle w:val="62"/>
              <w:adjustRightInd w:val="0"/>
              <w:snapToGrid w:val="0"/>
              <w:spacing w:before="0" w:after="0"/>
              <w:jc w:val="center"/>
              <w:rPr>
                <w:rFonts w:ascii="Times New Roman" w:hAnsi="Times New Roman" w:eastAsia="新宋体"/>
                <w:b/>
                <w:color w:val="auto"/>
                <w:sz w:val="21"/>
                <w:szCs w:val="21"/>
              </w:rPr>
            </w:pPr>
            <w:r>
              <w:rPr>
                <w:rFonts w:ascii="Times New Roman" w:hAnsi="Times New Roman" w:eastAsia="新宋体"/>
                <w:b/>
                <w:color w:val="auto"/>
                <w:sz w:val="21"/>
                <w:szCs w:val="21"/>
              </w:rPr>
              <w:t>行业</w:t>
            </w:r>
          </w:p>
        </w:tc>
        <w:tc>
          <w:tcPr>
            <w:tcW w:w="3121" w:type="pct"/>
            <w:vAlign w:val="center"/>
          </w:tcPr>
          <w:p w14:paraId="2EB1CD0D">
            <w:pPr>
              <w:pStyle w:val="62"/>
              <w:adjustRightInd w:val="0"/>
              <w:snapToGrid w:val="0"/>
              <w:spacing w:before="0" w:after="0"/>
              <w:jc w:val="center"/>
              <w:rPr>
                <w:rFonts w:ascii="Times New Roman" w:hAnsi="Times New Roman" w:eastAsia="新宋体"/>
                <w:b/>
                <w:color w:val="auto"/>
                <w:sz w:val="21"/>
                <w:szCs w:val="21"/>
              </w:rPr>
            </w:pPr>
            <w:r>
              <w:rPr>
                <w:rFonts w:ascii="Times New Roman" w:hAnsi="Times New Roman" w:eastAsia="新宋体"/>
                <w:b/>
                <w:color w:val="auto"/>
                <w:sz w:val="21"/>
                <w:szCs w:val="21"/>
              </w:rPr>
              <w:t>评估依据</w:t>
            </w:r>
          </w:p>
        </w:tc>
        <w:tc>
          <w:tcPr>
            <w:tcW w:w="585" w:type="pct"/>
            <w:vAlign w:val="center"/>
          </w:tcPr>
          <w:p w14:paraId="76143C1E">
            <w:pPr>
              <w:pStyle w:val="62"/>
              <w:adjustRightInd w:val="0"/>
              <w:snapToGrid w:val="0"/>
              <w:spacing w:before="0" w:after="0"/>
              <w:jc w:val="center"/>
              <w:rPr>
                <w:rFonts w:ascii="Times New Roman" w:hAnsi="Times New Roman" w:eastAsia="新宋体"/>
                <w:b/>
                <w:color w:val="auto"/>
                <w:sz w:val="21"/>
                <w:szCs w:val="21"/>
              </w:rPr>
            </w:pPr>
            <w:r>
              <w:rPr>
                <w:rFonts w:ascii="Times New Roman" w:hAnsi="Times New Roman" w:eastAsia="新宋体"/>
                <w:b/>
                <w:color w:val="auto"/>
                <w:sz w:val="21"/>
                <w:szCs w:val="21"/>
              </w:rPr>
              <w:t>分值标准</w:t>
            </w:r>
          </w:p>
        </w:tc>
        <w:tc>
          <w:tcPr>
            <w:tcW w:w="670" w:type="pct"/>
            <w:vAlign w:val="center"/>
          </w:tcPr>
          <w:p w14:paraId="01534749">
            <w:pPr>
              <w:pStyle w:val="62"/>
              <w:adjustRightInd w:val="0"/>
              <w:snapToGrid w:val="0"/>
              <w:spacing w:before="0" w:after="0"/>
              <w:jc w:val="center"/>
              <w:rPr>
                <w:rFonts w:ascii="Times New Roman" w:hAnsi="Times New Roman" w:eastAsia="新宋体"/>
                <w:b/>
                <w:color w:val="auto"/>
                <w:sz w:val="21"/>
                <w:szCs w:val="21"/>
              </w:rPr>
            </w:pPr>
            <w:r>
              <w:rPr>
                <w:rFonts w:ascii="Times New Roman" w:hAnsi="Times New Roman" w:eastAsia="新宋体"/>
                <w:b/>
                <w:color w:val="auto"/>
                <w:sz w:val="21"/>
                <w:szCs w:val="21"/>
              </w:rPr>
              <w:t>本项目</w:t>
            </w:r>
            <w:r>
              <w:rPr>
                <w:rFonts w:ascii="Times New Roman" w:hAnsi="Times New Roman" w:eastAsia="新宋体"/>
                <w:b/>
                <w:color w:val="auto"/>
                <w:sz w:val="21"/>
                <w:szCs w:val="21"/>
                <w:lang w:eastAsia="zh-CN"/>
              </w:rPr>
              <w:t>得分</w:t>
            </w:r>
          </w:p>
        </w:tc>
      </w:tr>
      <w:tr w14:paraId="1B88DF0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23" w:type="pct"/>
            <w:vMerge w:val="restart"/>
            <w:vAlign w:val="center"/>
          </w:tcPr>
          <w:p w14:paraId="710B9DDD">
            <w:pPr>
              <w:pStyle w:val="62"/>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石化、化工、医药、轻工、化纤、有色冶炼等</w:t>
            </w:r>
          </w:p>
        </w:tc>
        <w:tc>
          <w:tcPr>
            <w:tcW w:w="3121" w:type="pct"/>
            <w:vAlign w:val="center"/>
          </w:tcPr>
          <w:p w14:paraId="65B4144E">
            <w:pPr>
              <w:pStyle w:val="62"/>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涉及光气及光气化工艺、电解工艺（氯碱）、氯化工艺、硝化工艺、合成氨工艺、裂解（裂化）工艺、氟化工艺、加氢工艺、重氮化工艺、氧化工艺、过氧化工艺、胺基化工艺、磺化工艺、缩合工艺、烷基化工艺、新型煤化工工艺、电石生产工艺、偶氮化工艺</w:t>
            </w:r>
          </w:p>
        </w:tc>
        <w:tc>
          <w:tcPr>
            <w:tcW w:w="585" w:type="pct"/>
            <w:vAlign w:val="center"/>
          </w:tcPr>
          <w:p w14:paraId="487BD944">
            <w:pPr>
              <w:pStyle w:val="62"/>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10/套</w:t>
            </w:r>
          </w:p>
        </w:tc>
        <w:tc>
          <w:tcPr>
            <w:tcW w:w="670" w:type="pct"/>
            <w:vAlign w:val="center"/>
          </w:tcPr>
          <w:p w14:paraId="524AD2E1">
            <w:pPr>
              <w:pStyle w:val="62"/>
              <w:adjustRightInd w:val="0"/>
              <w:snapToGrid w:val="0"/>
              <w:spacing w:before="0" w:after="0"/>
              <w:jc w:val="center"/>
              <w:rPr>
                <w:rFonts w:ascii="Times New Roman" w:hAnsi="Times New Roman" w:eastAsia="新宋体"/>
                <w:color w:val="auto"/>
                <w:sz w:val="21"/>
                <w:szCs w:val="21"/>
                <w:lang w:eastAsia="zh-CN"/>
              </w:rPr>
            </w:pPr>
            <w:r>
              <w:rPr>
                <w:rFonts w:hint="eastAsia" w:ascii="Times New Roman" w:hAnsi="Times New Roman" w:eastAsia="新宋体"/>
                <w:color w:val="auto"/>
                <w:sz w:val="21"/>
                <w:szCs w:val="21"/>
                <w:lang w:eastAsia="zh-CN"/>
              </w:rPr>
              <w:t>0</w:t>
            </w:r>
          </w:p>
        </w:tc>
      </w:tr>
      <w:tr w14:paraId="1F8E5C9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23" w:type="pct"/>
            <w:vMerge w:val="continue"/>
            <w:vAlign w:val="center"/>
          </w:tcPr>
          <w:p w14:paraId="6CE0C87C">
            <w:pPr>
              <w:pStyle w:val="62"/>
              <w:adjustRightInd w:val="0"/>
              <w:snapToGrid w:val="0"/>
              <w:spacing w:before="0" w:after="0"/>
              <w:jc w:val="center"/>
              <w:rPr>
                <w:rFonts w:ascii="Times New Roman" w:hAnsi="Times New Roman" w:eastAsia="新宋体"/>
                <w:color w:val="auto"/>
                <w:sz w:val="21"/>
                <w:szCs w:val="21"/>
              </w:rPr>
            </w:pPr>
          </w:p>
        </w:tc>
        <w:tc>
          <w:tcPr>
            <w:tcW w:w="3121" w:type="pct"/>
            <w:vAlign w:val="center"/>
          </w:tcPr>
          <w:p w14:paraId="06783F0D">
            <w:pPr>
              <w:pStyle w:val="62"/>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无机酸制酸工艺、焦化工艺</w:t>
            </w:r>
          </w:p>
        </w:tc>
        <w:tc>
          <w:tcPr>
            <w:tcW w:w="585" w:type="pct"/>
            <w:vAlign w:val="center"/>
          </w:tcPr>
          <w:p w14:paraId="4E178EE4">
            <w:pPr>
              <w:pStyle w:val="62"/>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5/套</w:t>
            </w:r>
          </w:p>
        </w:tc>
        <w:tc>
          <w:tcPr>
            <w:tcW w:w="670" w:type="pct"/>
            <w:vAlign w:val="center"/>
          </w:tcPr>
          <w:p w14:paraId="78D1B15E">
            <w:pPr>
              <w:pStyle w:val="62"/>
              <w:adjustRightInd w:val="0"/>
              <w:snapToGrid w:val="0"/>
              <w:spacing w:before="0" w:after="0"/>
              <w:jc w:val="center"/>
              <w:rPr>
                <w:rFonts w:ascii="Times New Roman" w:hAnsi="Times New Roman" w:eastAsia="新宋体"/>
                <w:color w:val="auto"/>
                <w:sz w:val="21"/>
                <w:szCs w:val="21"/>
                <w:lang w:eastAsia="zh-CN"/>
              </w:rPr>
            </w:pPr>
            <w:r>
              <w:rPr>
                <w:rFonts w:hint="eastAsia" w:ascii="Times New Roman" w:hAnsi="Times New Roman" w:eastAsia="新宋体"/>
                <w:color w:val="auto"/>
                <w:sz w:val="21"/>
                <w:szCs w:val="21"/>
                <w:lang w:eastAsia="zh-CN"/>
              </w:rPr>
              <w:t>0</w:t>
            </w:r>
          </w:p>
        </w:tc>
      </w:tr>
      <w:tr w14:paraId="18FD591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23" w:type="pct"/>
            <w:vMerge w:val="continue"/>
            <w:vAlign w:val="center"/>
          </w:tcPr>
          <w:p w14:paraId="33839115">
            <w:pPr>
              <w:pStyle w:val="62"/>
              <w:adjustRightInd w:val="0"/>
              <w:snapToGrid w:val="0"/>
              <w:spacing w:before="0" w:after="0"/>
              <w:jc w:val="center"/>
              <w:rPr>
                <w:rFonts w:ascii="Times New Roman" w:hAnsi="Times New Roman" w:eastAsia="新宋体"/>
                <w:color w:val="auto"/>
                <w:sz w:val="21"/>
                <w:szCs w:val="21"/>
              </w:rPr>
            </w:pPr>
          </w:p>
        </w:tc>
        <w:tc>
          <w:tcPr>
            <w:tcW w:w="3121" w:type="pct"/>
            <w:vAlign w:val="center"/>
          </w:tcPr>
          <w:p w14:paraId="5961A63F">
            <w:pPr>
              <w:pStyle w:val="62"/>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其他高温或高压且涉及危险物质的工艺过程</w:t>
            </w:r>
            <w:r>
              <w:rPr>
                <w:rFonts w:ascii="Times New Roman" w:hAnsi="Times New Roman" w:eastAsia="新宋体"/>
                <w:color w:val="auto"/>
                <w:sz w:val="21"/>
                <w:szCs w:val="21"/>
                <w:vertAlign w:val="superscript"/>
                <w:lang w:eastAsia="zh-CN"/>
              </w:rPr>
              <w:t>a</w:t>
            </w:r>
            <w:r>
              <w:rPr>
                <w:rFonts w:ascii="Times New Roman" w:hAnsi="Times New Roman" w:eastAsia="新宋体"/>
                <w:color w:val="auto"/>
                <w:sz w:val="21"/>
                <w:szCs w:val="21"/>
                <w:lang w:eastAsia="zh-CN"/>
              </w:rPr>
              <w:t>、危险物质贮存罐区</w:t>
            </w:r>
          </w:p>
        </w:tc>
        <w:tc>
          <w:tcPr>
            <w:tcW w:w="585" w:type="pct"/>
            <w:vAlign w:val="center"/>
          </w:tcPr>
          <w:p w14:paraId="1233B401">
            <w:pPr>
              <w:pStyle w:val="62"/>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5/每套（罐区）</w:t>
            </w:r>
          </w:p>
        </w:tc>
        <w:tc>
          <w:tcPr>
            <w:tcW w:w="670" w:type="pct"/>
            <w:vAlign w:val="center"/>
          </w:tcPr>
          <w:p w14:paraId="648D3A2A">
            <w:pPr>
              <w:pStyle w:val="62"/>
              <w:adjustRightInd w:val="0"/>
              <w:snapToGrid w:val="0"/>
              <w:spacing w:before="0" w:after="0"/>
              <w:jc w:val="center"/>
              <w:rPr>
                <w:rFonts w:ascii="Times New Roman" w:hAnsi="Times New Roman" w:eastAsia="新宋体"/>
                <w:color w:val="auto"/>
                <w:sz w:val="21"/>
                <w:szCs w:val="21"/>
                <w:lang w:eastAsia="zh-CN"/>
              </w:rPr>
            </w:pPr>
            <w:r>
              <w:rPr>
                <w:rFonts w:hint="eastAsia" w:ascii="Times New Roman" w:hAnsi="Times New Roman" w:eastAsia="新宋体"/>
                <w:color w:val="auto"/>
                <w:sz w:val="21"/>
                <w:szCs w:val="21"/>
                <w:lang w:eastAsia="zh-CN"/>
              </w:rPr>
              <w:t>15</w:t>
            </w:r>
          </w:p>
        </w:tc>
      </w:tr>
      <w:tr w14:paraId="2596FAA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23" w:type="pct"/>
            <w:vAlign w:val="center"/>
          </w:tcPr>
          <w:p w14:paraId="4A50910A">
            <w:pPr>
              <w:pStyle w:val="62"/>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其他</w:t>
            </w:r>
          </w:p>
        </w:tc>
        <w:tc>
          <w:tcPr>
            <w:tcW w:w="3121" w:type="pct"/>
            <w:vAlign w:val="center"/>
          </w:tcPr>
          <w:p w14:paraId="0FD90EDE">
            <w:pPr>
              <w:pStyle w:val="62"/>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涉及危险物质使用、贮存的项目</w:t>
            </w:r>
          </w:p>
        </w:tc>
        <w:tc>
          <w:tcPr>
            <w:tcW w:w="585" w:type="pct"/>
            <w:vAlign w:val="center"/>
          </w:tcPr>
          <w:p w14:paraId="151C1326">
            <w:pPr>
              <w:pStyle w:val="62"/>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5</w:t>
            </w:r>
          </w:p>
        </w:tc>
        <w:tc>
          <w:tcPr>
            <w:tcW w:w="670" w:type="pct"/>
            <w:vAlign w:val="center"/>
          </w:tcPr>
          <w:p w14:paraId="71174AA1">
            <w:pPr>
              <w:pStyle w:val="62"/>
              <w:adjustRightInd w:val="0"/>
              <w:snapToGrid w:val="0"/>
              <w:spacing w:before="0" w:after="0"/>
              <w:jc w:val="center"/>
              <w:rPr>
                <w:rFonts w:ascii="Times New Roman" w:hAnsi="Times New Roman" w:eastAsia="新宋体"/>
                <w:color w:val="auto"/>
                <w:sz w:val="21"/>
                <w:szCs w:val="21"/>
                <w:lang w:eastAsia="zh-CN"/>
              </w:rPr>
            </w:pPr>
            <w:r>
              <w:rPr>
                <w:rFonts w:hint="eastAsia" w:ascii="Times New Roman" w:hAnsi="Times New Roman" w:eastAsia="新宋体"/>
                <w:color w:val="auto"/>
                <w:sz w:val="21"/>
                <w:szCs w:val="21"/>
                <w:lang w:eastAsia="zh-CN"/>
              </w:rPr>
              <w:t>0</w:t>
            </w:r>
          </w:p>
        </w:tc>
      </w:tr>
      <w:tr w14:paraId="2F380B5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4330" w:type="pct"/>
            <w:gridSpan w:val="3"/>
            <w:vAlign w:val="center"/>
          </w:tcPr>
          <w:p w14:paraId="2C1B7FD0">
            <w:pPr>
              <w:pStyle w:val="62"/>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合计</w:t>
            </w:r>
          </w:p>
        </w:tc>
        <w:tc>
          <w:tcPr>
            <w:tcW w:w="670" w:type="pct"/>
            <w:vAlign w:val="center"/>
          </w:tcPr>
          <w:p w14:paraId="3603148C">
            <w:pPr>
              <w:pStyle w:val="62"/>
              <w:adjustRightInd w:val="0"/>
              <w:snapToGrid w:val="0"/>
              <w:spacing w:before="0" w:after="0"/>
              <w:jc w:val="center"/>
              <w:rPr>
                <w:rFonts w:ascii="Times New Roman" w:hAnsi="Times New Roman" w:eastAsia="新宋体"/>
                <w:color w:val="auto"/>
                <w:sz w:val="21"/>
                <w:szCs w:val="21"/>
                <w:lang w:eastAsia="zh-CN"/>
              </w:rPr>
            </w:pPr>
            <w:r>
              <w:rPr>
                <w:rFonts w:hint="eastAsia" w:ascii="Times New Roman" w:hAnsi="Times New Roman" w:eastAsia="新宋体"/>
                <w:color w:val="auto"/>
                <w:sz w:val="21"/>
                <w:szCs w:val="21"/>
                <w:lang w:eastAsia="zh-CN"/>
              </w:rPr>
              <w:t>45</w:t>
            </w:r>
          </w:p>
        </w:tc>
      </w:tr>
    </w:tbl>
    <w:p w14:paraId="1418B3B9">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本项目为化工生产项目，本项目</w:t>
      </w:r>
      <w:r>
        <w:rPr>
          <w:rFonts w:hint="eastAsia" w:ascii="Times New Roman" w:hAnsi="Times New Roman" w:cs="Times New Roman"/>
          <w:color w:val="auto"/>
          <w:szCs w:val="24"/>
          <w:lang w:eastAsia="zh-CN"/>
        </w:rPr>
        <w:t>涉及的罐区主要为戊类罐区二、原料及产品罐区、无水氟化氢罐区（库房），共3套</w:t>
      </w:r>
      <w:r>
        <w:rPr>
          <w:rFonts w:ascii="Times New Roman" w:hAnsi="Times New Roman" w:cs="Times New Roman"/>
          <w:color w:val="auto"/>
          <w:szCs w:val="24"/>
          <w:lang w:eastAsia="zh-CN"/>
        </w:rPr>
        <w:t>，此部分得分</w:t>
      </w:r>
      <w:r>
        <w:rPr>
          <w:rFonts w:hint="eastAsia" w:ascii="Times New Roman" w:hAnsi="Times New Roman" w:cs="Times New Roman"/>
          <w:color w:val="auto"/>
          <w:szCs w:val="24"/>
          <w:lang w:eastAsia="zh-CN"/>
        </w:rPr>
        <w:t>15</w:t>
      </w:r>
      <w:r>
        <w:rPr>
          <w:rFonts w:ascii="Times New Roman" w:hAnsi="Times New Roman" w:cs="Times New Roman"/>
          <w:color w:val="auto"/>
          <w:szCs w:val="24"/>
          <w:lang w:eastAsia="zh-CN"/>
        </w:rPr>
        <w:t>分。故企业生产工艺分值（M）为</w:t>
      </w:r>
      <w:r>
        <w:rPr>
          <w:rFonts w:hint="eastAsia" w:ascii="Times New Roman" w:hAnsi="Times New Roman" w:cs="Times New Roman"/>
          <w:color w:val="auto"/>
          <w:szCs w:val="24"/>
          <w:lang w:eastAsia="zh-CN"/>
        </w:rPr>
        <w:t>15</w:t>
      </w:r>
      <w:r>
        <w:rPr>
          <w:rFonts w:ascii="Times New Roman" w:hAnsi="Times New Roman" w:cs="Times New Roman"/>
          <w:color w:val="auto"/>
          <w:szCs w:val="24"/>
          <w:lang w:eastAsia="zh-CN"/>
        </w:rPr>
        <w:t>分，为M</w:t>
      </w:r>
      <w:r>
        <w:rPr>
          <w:rFonts w:hint="eastAsia" w:ascii="Times New Roman" w:hAnsi="Times New Roman" w:cs="Times New Roman"/>
          <w:color w:val="auto"/>
          <w:szCs w:val="24"/>
          <w:lang w:eastAsia="zh-CN"/>
        </w:rPr>
        <w:t>2</w:t>
      </w:r>
      <w:r>
        <w:rPr>
          <w:rFonts w:ascii="Times New Roman" w:hAnsi="Times New Roman" w:cs="Times New Roman"/>
          <w:color w:val="auto"/>
          <w:szCs w:val="24"/>
          <w:lang w:eastAsia="zh-CN"/>
        </w:rPr>
        <w:t>。</w:t>
      </w:r>
    </w:p>
    <w:p w14:paraId="12B377E2">
      <w:pPr>
        <w:spacing w:line="360" w:lineRule="auto"/>
        <w:ind w:firstLine="482" w:firstLineChars="200"/>
        <w:rPr>
          <w:rFonts w:ascii="Times New Roman" w:hAnsi="Times New Roman" w:eastAsia="新宋体" w:cs="Times New Roman"/>
          <w:b/>
          <w:color w:val="auto"/>
          <w:szCs w:val="24"/>
          <w:lang w:eastAsia="zh-CN"/>
        </w:rPr>
      </w:pPr>
      <w:bookmarkStart w:id="1811" w:name="_Toc6519"/>
      <w:r>
        <w:rPr>
          <w:rFonts w:hint="eastAsia" w:ascii="Times New Roman" w:hAnsi="Times New Roman" w:eastAsia="新宋体" w:cs="Times New Roman"/>
          <w:b/>
          <w:color w:val="auto"/>
          <w:szCs w:val="24"/>
          <w:lang w:eastAsia="zh-CN"/>
        </w:rPr>
        <w:t>3、</w:t>
      </w:r>
      <w:r>
        <w:rPr>
          <w:rFonts w:ascii="Times New Roman" w:hAnsi="Times New Roman" w:eastAsia="新宋体" w:cs="Times New Roman"/>
          <w:b/>
          <w:color w:val="auto"/>
          <w:szCs w:val="24"/>
          <w:lang w:eastAsia="zh-CN"/>
        </w:rPr>
        <w:t>危险物质及工艺系统危险性（P）分级</w:t>
      </w:r>
      <w:bookmarkEnd w:id="1811"/>
    </w:p>
    <w:p w14:paraId="0A0ACB02">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根据危险物质数量与临界量比值（Q）和行业及生产工艺（M），按照下表确定危险物质及工艺系统危险性等级（P），分别以P1、P2、P3、P4表示。</w:t>
      </w:r>
    </w:p>
    <w:p w14:paraId="5B1ABE27">
      <w:pPr>
        <w:spacing w:line="360" w:lineRule="auto"/>
        <w:jc w:val="center"/>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表7.</w:t>
      </w:r>
      <w:r>
        <w:rPr>
          <w:rFonts w:hint="eastAsia" w:ascii="Times New Roman" w:hAnsi="Times New Roman" w:eastAsia="新宋体" w:cs="Times New Roman"/>
          <w:b/>
          <w:bCs/>
          <w:color w:val="auto"/>
          <w:szCs w:val="24"/>
          <w:lang w:eastAsia="zh-CN"/>
        </w:rPr>
        <w:t>4</w:t>
      </w:r>
      <w:r>
        <w:rPr>
          <w:rFonts w:ascii="Times New Roman" w:hAnsi="Times New Roman" w:eastAsia="新宋体" w:cs="Times New Roman"/>
          <w:b/>
          <w:bCs/>
          <w:color w:val="auto"/>
          <w:szCs w:val="24"/>
          <w:lang w:eastAsia="zh-CN"/>
        </w:rPr>
        <w:t>-3 危险物质及工艺系统危险性等级判断（P）</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3475"/>
        <w:gridCol w:w="1566"/>
        <w:gridCol w:w="1566"/>
        <w:gridCol w:w="1566"/>
        <w:gridCol w:w="1573"/>
      </w:tblGrid>
      <w:tr w14:paraId="7CF6190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783" w:type="pct"/>
            <w:vMerge w:val="restart"/>
            <w:vAlign w:val="center"/>
          </w:tcPr>
          <w:p w14:paraId="0B6AFEBB">
            <w:pPr>
              <w:pStyle w:val="62"/>
              <w:widowControl w:val="0"/>
              <w:adjustRightInd w:val="0"/>
              <w:snapToGrid w:val="0"/>
              <w:spacing w:before="0" w:after="0"/>
              <w:jc w:val="center"/>
              <w:rPr>
                <w:rFonts w:ascii="Times New Roman" w:hAnsi="Times New Roman" w:eastAsia="宋体"/>
                <w:b/>
                <w:color w:val="auto"/>
                <w:sz w:val="21"/>
                <w:szCs w:val="21"/>
                <w:lang w:eastAsia="zh-CN"/>
              </w:rPr>
            </w:pPr>
            <w:r>
              <w:rPr>
                <w:rFonts w:ascii="Times New Roman" w:hAnsi="Times New Roman" w:eastAsia="宋体"/>
                <w:b/>
                <w:color w:val="auto"/>
                <w:sz w:val="21"/>
                <w:szCs w:val="21"/>
                <w:lang w:eastAsia="zh-CN"/>
              </w:rPr>
              <w:t>危险物质数量与临界量比值（Q）</w:t>
            </w:r>
          </w:p>
        </w:tc>
        <w:tc>
          <w:tcPr>
            <w:tcW w:w="3216" w:type="pct"/>
            <w:gridSpan w:val="4"/>
            <w:vAlign w:val="center"/>
          </w:tcPr>
          <w:p w14:paraId="22BB0D33">
            <w:pPr>
              <w:pStyle w:val="62"/>
              <w:widowControl w:val="0"/>
              <w:adjustRightInd w:val="0"/>
              <w:snapToGrid w:val="0"/>
              <w:spacing w:before="0" w:after="0"/>
              <w:jc w:val="center"/>
              <w:rPr>
                <w:rFonts w:ascii="Times New Roman" w:hAnsi="Times New Roman" w:eastAsia="宋体"/>
                <w:b/>
                <w:color w:val="auto"/>
                <w:sz w:val="21"/>
                <w:szCs w:val="21"/>
                <w:lang w:eastAsia="zh-CN"/>
              </w:rPr>
            </w:pPr>
            <w:r>
              <w:rPr>
                <w:rFonts w:ascii="Times New Roman" w:hAnsi="Times New Roman" w:eastAsia="宋体"/>
                <w:b/>
                <w:color w:val="auto"/>
                <w:sz w:val="21"/>
                <w:szCs w:val="21"/>
                <w:lang w:eastAsia="zh-CN"/>
              </w:rPr>
              <w:t>行业及生产工艺（M）</w:t>
            </w:r>
          </w:p>
        </w:tc>
      </w:tr>
      <w:tr w14:paraId="6780891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783" w:type="pct"/>
            <w:vMerge w:val="continue"/>
            <w:vAlign w:val="center"/>
          </w:tcPr>
          <w:p w14:paraId="082AB733">
            <w:pPr>
              <w:pStyle w:val="62"/>
              <w:widowControl w:val="0"/>
              <w:adjustRightInd w:val="0"/>
              <w:snapToGrid w:val="0"/>
              <w:spacing w:before="0" w:after="0"/>
              <w:jc w:val="center"/>
              <w:rPr>
                <w:rFonts w:ascii="Times New Roman" w:hAnsi="Times New Roman" w:eastAsia="宋体"/>
                <w:color w:val="auto"/>
                <w:sz w:val="21"/>
                <w:szCs w:val="21"/>
                <w:lang w:eastAsia="zh-CN"/>
              </w:rPr>
            </w:pPr>
          </w:p>
        </w:tc>
        <w:tc>
          <w:tcPr>
            <w:tcW w:w="803" w:type="pct"/>
            <w:tcBorders>
              <w:bottom w:val="single" w:color="auto" w:sz="6" w:space="0"/>
            </w:tcBorders>
            <w:vAlign w:val="center"/>
          </w:tcPr>
          <w:p w14:paraId="69C2E608">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M1</w:t>
            </w:r>
          </w:p>
        </w:tc>
        <w:tc>
          <w:tcPr>
            <w:tcW w:w="803" w:type="pct"/>
            <w:vAlign w:val="center"/>
          </w:tcPr>
          <w:p w14:paraId="74FFBE2F">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M2</w:t>
            </w:r>
          </w:p>
        </w:tc>
        <w:tc>
          <w:tcPr>
            <w:tcW w:w="803" w:type="pct"/>
            <w:vAlign w:val="center"/>
          </w:tcPr>
          <w:p w14:paraId="123005E4">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M3</w:t>
            </w:r>
          </w:p>
        </w:tc>
        <w:tc>
          <w:tcPr>
            <w:tcW w:w="804" w:type="pct"/>
            <w:vAlign w:val="center"/>
          </w:tcPr>
          <w:p w14:paraId="575EB632">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M4</w:t>
            </w:r>
          </w:p>
        </w:tc>
      </w:tr>
      <w:tr w14:paraId="5B6FC5B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783" w:type="pct"/>
            <w:vAlign w:val="center"/>
          </w:tcPr>
          <w:p w14:paraId="4918D50F">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Q≥100</w:t>
            </w:r>
          </w:p>
        </w:tc>
        <w:tc>
          <w:tcPr>
            <w:tcW w:w="803" w:type="pct"/>
            <w:tcBorders>
              <w:top w:val="single" w:color="auto" w:sz="6" w:space="0"/>
              <w:bottom w:val="single" w:color="auto" w:sz="6" w:space="0"/>
            </w:tcBorders>
            <w:vAlign w:val="center"/>
          </w:tcPr>
          <w:p w14:paraId="58B26AC7">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P1</w:t>
            </w:r>
          </w:p>
        </w:tc>
        <w:tc>
          <w:tcPr>
            <w:tcW w:w="803" w:type="pct"/>
            <w:shd w:val="clear" w:color="auto" w:fill="A5A5A5" w:themeFill="background1" w:themeFillShade="A6"/>
            <w:vAlign w:val="center"/>
          </w:tcPr>
          <w:p w14:paraId="4FB73553">
            <w:pPr>
              <w:pStyle w:val="62"/>
              <w:widowControl w:val="0"/>
              <w:adjustRightInd w:val="0"/>
              <w:snapToGrid w:val="0"/>
              <w:spacing w:before="0" w:after="0"/>
              <w:jc w:val="center"/>
              <w:rPr>
                <w:rFonts w:ascii="Times New Roman" w:hAnsi="Times New Roman" w:eastAsia="宋体"/>
                <w:color w:val="FF0000"/>
                <w:sz w:val="21"/>
                <w:szCs w:val="21"/>
                <w:highlight w:val="darkGray"/>
              </w:rPr>
            </w:pPr>
            <w:r>
              <w:rPr>
                <w:rFonts w:ascii="Times New Roman" w:hAnsi="Times New Roman" w:eastAsia="宋体"/>
                <w:color w:val="auto"/>
                <w:sz w:val="21"/>
                <w:szCs w:val="21"/>
              </w:rPr>
              <w:t>P1</w:t>
            </w:r>
          </w:p>
        </w:tc>
        <w:tc>
          <w:tcPr>
            <w:tcW w:w="803" w:type="pct"/>
            <w:vAlign w:val="center"/>
          </w:tcPr>
          <w:p w14:paraId="4285939C">
            <w:pPr>
              <w:pStyle w:val="62"/>
              <w:widowControl w:val="0"/>
              <w:adjustRightInd w:val="0"/>
              <w:snapToGrid w:val="0"/>
              <w:spacing w:before="0" w:after="0"/>
              <w:jc w:val="center"/>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P2</w:t>
            </w:r>
          </w:p>
        </w:tc>
        <w:tc>
          <w:tcPr>
            <w:tcW w:w="804" w:type="pct"/>
            <w:tcBorders>
              <w:bottom w:val="single" w:color="auto" w:sz="6" w:space="0"/>
            </w:tcBorders>
            <w:vAlign w:val="center"/>
          </w:tcPr>
          <w:p w14:paraId="197C9513">
            <w:pPr>
              <w:pStyle w:val="62"/>
              <w:widowControl w:val="0"/>
              <w:adjustRightInd w:val="0"/>
              <w:snapToGrid w:val="0"/>
              <w:spacing w:before="0" w:after="0"/>
              <w:jc w:val="center"/>
              <w:rPr>
                <w:rFonts w:ascii="Times New Roman" w:hAnsi="Times New Roman" w:eastAsia="宋体"/>
                <w:color w:val="auto"/>
                <w:sz w:val="21"/>
                <w:szCs w:val="21"/>
                <w:highlight w:val="lightGray"/>
              </w:rPr>
            </w:pPr>
            <w:r>
              <w:rPr>
                <w:rFonts w:ascii="Times New Roman" w:hAnsi="Times New Roman" w:eastAsia="宋体"/>
                <w:color w:val="auto"/>
                <w:sz w:val="21"/>
                <w:szCs w:val="21"/>
              </w:rPr>
              <w:t>P3</w:t>
            </w:r>
          </w:p>
        </w:tc>
      </w:tr>
      <w:tr w14:paraId="7756C46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783" w:type="pct"/>
            <w:vAlign w:val="center"/>
          </w:tcPr>
          <w:p w14:paraId="6A0169E1">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10≤Q＜100</w:t>
            </w:r>
          </w:p>
        </w:tc>
        <w:tc>
          <w:tcPr>
            <w:tcW w:w="803" w:type="pct"/>
            <w:tcBorders>
              <w:top w:val="single" w:color="auto" w:sz="6" w:space="0"/>
            </w:tcBorders>
            <w:vAlign w:val="center"/>
          </w:tcPr>
          <w:p w14:paraId="5347B980">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P1</w:t>
            </w:r>
          </w:p>
        </w:tc>
        <w:tc>
          <w:tcPr>
            <w:tcW w:w="803" w:type="pct"/>
            <w:vAlign w:val="center"/>
          </w:tcPr>
          <w:p w14:paraId="01A43866">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P2</w:t>
            </w:r>
          </w:p>
        </w:tc>
        <w:tc>
          <w:tcPr>
            <w:tcW w:w="803" w:type="pct"/>
            <w:vAlign w:val="center"/>
          </w:tcPr>
          <w:p w14:paraId="14144CD1">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P3</w:t>
            </w:r>
          </w:p>
        </w:tc>
        <w:tc>
          <w:tcPr>
            <w:tcW w:w="804" w:type="pct"/>
            <w:tcBorders>
              <w:top w:val="single" w:color="auto" w:sz="6" w:space="0"/>
              <w:bottom w:val="single" w:color="auto" w:sz="6" w:space="0"/>
            </w:tcBorders>
            <w:vAlign w:val="center"/>
          </w:tcPr>
          <w:p w14:paraId="69D3A466">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P4</w:t>
            </w:r>
          </w:p>
        </w:tc>
      </w:tr>
      <w:tr w14:paraId="6CCC4F0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783" w:type="pct"/>
            <w:vAlign w:val="center"/>
          </w:tcPr>
          <w:p w14:paraId="56BA197B">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1≤Q＜10</w:t>
            </w:r>
          </w:p>
        </w:tc>
        <w:tc>
          <w:tcPr>
            <w:tcW w:w="803" w:type="pct"/>
            <w:vAlign w:val="center"/>
          </w:tcPr>
          <w:p w14:paraId="3C707101">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P2</w:t>
            </w:r>
          </w:p>
        </w:tc>
        <w:tc>
          <w:tcPr>
            <w:tcW w:w="803" w:type="pct"/>
            <w:vAlign w:val="center"/>
          </w:tcPr>
          <w:p w14:paraId="40AC0DBA">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P3</w:t>
            </w:r>
          </w:p>
        </w:tc>
        <w:tc>
          <w:tcPr>
            <w:tcW w:w="803" w:type="pct"/>
            <w:vAlign w:val="center"/>
          </w:tcPr>
          <w:p w14:paraId="239774A9">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P4</w:t>
            </w:r>
          </w:p>
        </w:tc>
        <w:tc>
          <w:tcPr>
            <w:tcW w:w="804" w:type="pct"/>
            <w:tcBorders>
              <w:top w:val="single" w:color="auto" w:sz="6" w:space="0"/>
            </w:tcBorders>
            <w:shd w:val="clear" w:color="auto" w:fill="FFFFFF"/>
            <w:vAlign w:val="center"/>
          </w:tcPr>
          <w:p w14:paraId="046333F1">
            <w:pPr>
              <w:pStyle w:val="62"/>
              <w:widowControl w:val="0"/>
              <w:adjustRightInd w:val="0"/>
              <w:snapToGrid w:val="0"/>
              <w:spacing w:before="0" w:after="0"/>
              <w:jc w:val="center"/>
              <w:rPr>
                <w:rFonts w:ascii="Times New Roman" w:hAnsi="Times New Roman" w:eastAsia="宋体"/>
                <w:color w:val="auto"/>
                <w:sz w:val="21"/>
                <w:szCs w:val="21"/>
              </w:rPr>
            </w:pPr>
            <w:r>
              <w:rPr>
                <w:rFonts w:ascii="Times New Roman" w:hAnsi="Times New Roman" w:eastAsia="宋体"/>
                <w:color w:val="auto"/>
                <w:sz w:val="21"/>
                <w:szCs w:val="21"/>
              </w:rPr>
              <w:t>P4</w:t>
            </w:r>
          </w:p>
        </w:tc>
      </w:tr>
    </w:tbl>
    <w:p w14:paraId="100FED47">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根据危险物质数量与临界量比值（Q）和行业及生产工艺（M）分值确定，项目危险物质及工艺系统危险性（P）分级为P</w:t>
      </w:r>
      <w:r>
        <w:rPr>
          <w:rFonts w:hint="eastAsia" w:ascii="Times New Roman" w:hAnsi="Times New Roman" w:cs="Times New Roman"/>
          <w:color w:val="auto"/>
          <w:szCs w:val="24"/>
          <w:lang w:eastAsia="zh-CN"/>
        </w:rPr>
        <w:t>1</w:t>
      </w:r>
      <w:r>
        <w:rPr>
          <w:rFonts w:ascii="Times New Roman" w:hAnsi="Times New Roman" w:cs="Times New Roman"/>
          <w:color w:val="auto"/>
          <w:szCs w:val="24"/>
          <w:lang w:eastAsia="zh-CN"/>
        </w:rPr>
        <w:t>。</w:t>
      </w:r>
    </w:p>
    <w:p w14:paraId="4E0E876C">
      <w:pPr>
        <w:spacing w:line="360" w:lineRule="auto"/>
        <w:ind w:firstLine="482"/>
        <w:outlineLvl w:val="2"/>
        <w:rPr>
          <w:rFonts w:ascii="Times New Roman" w:hAnsi="Times New Roman" w:cs="Times New Roman"/>
          <w:b/>
          <w:bCs/>
          <w:color w:val="auto"/>
          <w:szCs w:val="24"/>
          <w:lang w:eastAsia="zh-CN"/>
        </w:rPr>
      </w:pPr>
      <w:bookmarkStart w:id="1812" w:name="_Toc204448533"/>
      <w:bookmarkStart w:id="1813" w:name="_Toc7682"/>
      <w:bookmarkStart w:id="1814" w:name="_Toc176513079"/>
      <w:bookmarkStart w:id="1815" w:name="_Toc173743453"/>
      <w:bookmarkStart w:id="1816" w:name="_Toc204515268"/>
      <w:bookmarkStart w:id="1817" w:name="_Toc224674766"/>
      <w:bookmarkStart w:id="1818" w:name="_Toc173740349"/>
      <w:bookmarkStart w:id="1819" w:name="_Toc172555715"/>
      <w:bookmarkStart w:id="1820" w:name="_Toc223425126"/>
      <w:bookmarkStart w:id="1821" w:name="_Toc133333708"/>
      <w:bookmarkStart w:id="1822" w:name="_Toc133176714"/>
      <w:bookmarkStart w:id="1823" w:name="_Toc225784128"/>
      <w:bookmarkStart w:id="1824" w:name="_Toc178602420"/>
      <w:bookmarkStart w:id="1825" w:name="_Toc218784351"/>
      <w:bookmarkStart w:id="1826" w:name="_Toc231828649"/>
      <w:bookmarkStart w:id="1827" w:name="_Toc175164344"/>
      <w:bookmarkStart w:id="1828" w:name="_Toc237508362"/>
      <w:bookmarkStart w:id="1829" w:name="_Toc217662739"/>
      <w:bookmarkStart w:id="1830" w:name="_Toc221900908"/>
      <w:bookmarkStart w:id="1831" w:name="_Toc236641897"/>
      <w:bookmarkStart w:id="1832" w:name="_Toc203927072"/>
      <w:r>
        <w:rPr>
          <w:rFonts w:ascii="Times New Roman" w:hAnsi="Times New Roman" w:cs="Times New Roman"/>
          <w:b/>
          <w:bCs/>
          <w:color w:val="auto"/>
          <w:szCs w:val="24"/>
          <w:lang w:eastAsia="zh-CN"/>
        </w:rPr>
        <w:t>7.</w:t>
      </w:r>
      <w:r>
        <w:rPr>
          <w:rFonts w:hint="eastAsia" w:ascii="Times New Roman" w:hAnsi="Times New Roman" w:cs="Times New Roman"/>
          <w:b/>
          <w:bCs/>
          <w:color w:val="auto"/>
          <w:szCs w:val="24"/>
          <w:lang w:eastAsia="zh-CN"/>
        </w:rPr>
        <w:t>4</w:t>
      </w:r>
      <w:r>
        <w:rPr>
          <w:rFonts w:ascii="Times New Roman" w:hAnsi="Times New Roman" w:cs="Times New Roman"/>
          <w:b/>
          <w:bCs/>
          <w:color w:val="auto"/>
          <w:szCs w:val="24"/>
          <w:lang w:eastAsia="zh-CN"/>
        </w:rPr>
        <w:t>.2 E的分级确定</w:t>
      </w:r>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p>
    <w:p w14:paraId="1E6E10C7">
      <w:pPr>
        <w:spacing w:line="360" w:lineRule="auto"/>
        <w:ind w:firstLine="482" w:firstLineChars="200"/>
        <w:jc w:val="both"/>
        <w:rPr>
          <w:rFonts w:ascii="Times New Roman" w:hAnsi="Times New Roman" w:cs="Times New Roman"/>
          <w:b/>
          <w:bCs/>
          <w:color w:val="auto"/>
          <w:szCs w:val="24"/>
          <w:lang w:eastAsia="zh-CN"/>
        </w:rPr>
      </w:pPr>
      <w:bookmarkStart w:id="1833" w:name="_Toc20938"/>
      <w:r>
        <w:rPr>
          <w:rFonts w:ascii="Times New Roman" w:hAnsi="Times New Roman" w:cs="Times New Roman"/>
          <w:b/>
          <w:bCs/>
          <w:color w:val="auto"/>
          <w:szCs w:val="24"/>
          <w:lang w:eastAsia="zh-CN"/>
        </w:rPr>
        <w:t>1、大气环境</w:t>
      </w:r>
      <w:bookmarkEnd w:id="1833"/>
    </w:p>
    <w:p w14:paraId="7F867443">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依据环境敏感目标环境敏感性及人口密度划分环境风险受体的敏感性，共分为三种类型，E1为环境高度敏感区，E2为环境中度敏感区，E3为环境低度敏感区，分级原则见</w:t>
      </w:r>
      <w:r>
        <w:rPr>
          <w:rFonts w:hint="eastAsia" w:ascii="Times New Roman" w:hAnsi="Times New Roman" w:cs="Times New Roman"/>
          <w:color w:val="auto"/>
          <w:szCs w:val="24"/>
          <w:lang w:eastAsia="zh-CN"/>
        </w:rPr>
        <w:t>下表</w:t>
      </w:r>
      <w:r>
        <w:rPr>
          <w:rFonts w:ascii="Times New Roman" w:hAnsi="Times New Roman" w:cs="Times New Roman"/>
          <w:color w:val="auto"/>
          <w:szCs w:val="24"/>
          <w:lang w:eastAsia="zh-CN"/>
        </w:rPr>
        <w:t>。</w:t>
      </w:r>
    </w:p>
    <w:p w14:paraId="6427239A">
      <w:pPr>
        <w:spacing w:line="360" w:lineRule="auto"/>
        <w:jc w:val="center"/>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表7.</w:t>
      </w:r>
      <w:r>
        <w:rPr>
          <w:rFonts w:hint="eastAsia" w:ascii="Times New Roman" w:hAnsi="Times New Roman" w:eastAsia="新宋体" w:cs="Times New Roman"/>
          <w:b/>
          <w:bCs/>
          <w:color w:val="auto"/>
          <w:szCs w:val="24"/>
          <w:lang w:eastAsia="zh-CN"/>
        </w:rPr>
        <w:t>4</w:t>
      </w:r>
      <w:r>
        <w:rPr>
          <w:rFonts w:ascii="Times New Roman" w:hAnsi="Times New Roman" w:eastAsia="新宋体" w:cs="Times New Roman"/>
          <w:b/>
          <w:bCs/>
          <w:color w:val="auto"/>
          <w:szCs w:val="24"/>
          <w:lang w:eastAsia="zh-CN"/>
        </w:rPr>
        <w:t>-4 大气环境敏感程度分级</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257"/>
        <w:gridCol w:w="8489"/>
      </w:tblGrid>
      <w:tr w14:paraId="549F689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5" w:type="pct"/>
            <w:vAlign w:val="center"/>
          </w:tcPr>
          <w:p w14:paraId="4C8DAF20">
            <w:pPr>
              <w:pStyle w:val="62"/>
              <w:adjustRightInd w:val="0"/>
              <w:snapToGrid w:val="0"/>
              <w:spacing w:before="0" w:after="0"/>
              <w:jc w:val="center"/>
              <w:rPr>
                <w:rFonts w:ascii="Times New Roman" w:hAnsi="Times New Roman" w:eastAsia="新宋体"/>
                <w:b/>
                <w:color w:val="auto"/>
                <w:sz w:val="21"/>
                <w:szCs w:val="21"/>
              </w:rPr>
            </w:pPr>
            <w:r>
              <w:rPr>
                <w:rFonts w:ascii="Times New Roman" w:hAnsi="Times New Roman" w:eastAsia="新宋体"/>
                <w:b/>
                <w:color w:val="auto"/>
                <w:sz w:val="21"/>
                <w:szCs w:val="21"/>
              </w:rPr>
              <w:t>类型</w:t>
            </w:r>
          </w:p>
        </w:tc>
        <w:tc>
          <w:tcPr>
            <w:tcW w:w="4355" w:type="pct"/>
            <w:vAlign w:val="center"/>
          </w:tcPr>
          <w:p w14:paraId="728432D7">
            <w:pPr>
              <w:pStyle w:val="62"/>
              <w:adjustRightInd w:val="0"/>
              <w:snapToGrid w:val="0"/>
              <w:spacing w:before="0" w:after="0"/>
              <w:jc w:val="center"/>
              <w:rPr>
                <w:rFonts w:ascii="Times New Roman" w:hAnsi="Times New Roman" w:eastAsia="新宋体"/>
                <w:b/>
                <w:color w:val="auto"/>
                <w:sz w:val="21"/>
                <w:szCs w:val="21"/>
              </w:rPr>
            </w:pPr>
            <w:r>
              <w:rPr>
                <w:rFonts w:ascii="Times New Roman" w:hAnsi="Times New Roman" w:eastAsia="新宋体"/>
                <w:b/>
                <w:color w:val="auto"/>
                <w:sz w:val="21"/>
                <w:szCs w:val="21"/>
              </w:rPr>
              <w:t>环境风险受体情况</w:t>
            </w:r>
          </w:p>
        </w:tc>
      </w:tr>
      <w:tr w14:paraId="40859A1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5" w:type="pct"/>
            <w:vAlign w:val="center"/>
          </w:tcPr>
          <w:p w14:paraId="027CB796">
            <w:pPr>
              <w:pStyle w:val="62"/>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E1</w:t>
            </w:r>
          </w:p>
        </w:tc>
        <w:tc>
          <w:tcPr>
            <w:tcW w:w="4355" w:type="pct"/>
            <w:vAlign w:val="center"/>
          </w:tcPr>
          <w:p w14:paraId="059BAE97">
            <w:pPr>
              <w:pStyle w:val="62"/>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周边5公里范围内居住区、医疗卫生、文化教育、科研、行政办公等机构人口总数大于5万人，或其他需要特别保护区域；或周边500m范围内人口总数大于1000人；</w:t>
            </w:r>
          </w:p>
        </w:tc>
      </w:tr>
      <w:tr w14:paraId="522B3D1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5" w:type="pct"/>
            <w:shd w:val="clear" w:color="auto" w:fill="BFBFBF"/>
            <w:vAlign w:val="center"/>
          </w:tcPr>
          <w:p w14:paraId="60746C62">
            <w:pPr>
              <w:pStyle w:val="62"/>
              <w:adjustRightInd w:val="0"/>
              <w:snapToGrid w:val="0"/>
              <w:spacing w:before="0" w:after="0"/>
              <w:jc w:val="center"/>
              <w:rPr>
                <w:rFonts w:ascii="Times New Roman" w:hAnsi="Times New Roman" w:eastAsia="新宋体"/>
                <w:bCs/>
                <w:color w:val="auto"/>
                <w:sz w:val="21"/>
                <w:szCs w:val="21"/>
              </w:rPr>
            </w:pPr>
            <w:r>
              <w:rPr>
                <w:rFonts w:ascii="Times New Roman" w:hAnsi="Times New Roman" w:eastAsia="新宋体"/>
                <w:bCs/>
                <w:color w:val="auto"/>
                <w:sz w:val="21"/>
                <w:szCs w:val="21"/>
              </w:rPr>
              <w:t>E2</w:t>
            </w:r>
          </w:p>
        </w:tc>
        <w:tc>
          <w:tcPr>
            <w:tcW w:w="4355" w:type="pct"/>
            <w:shd w:val="clear" w:color="auto" w:fill="BFBFBF"/>
            <w:vAlign w:val="center"/>
          </w:tcPr>
          <w:p w14:paraId="6D6EE3EF">
            <w:pPr>
              <w:pStyle w:val="62"/>
              <w:adjustRightInd w:val="0"/>
              <w:snapToGrid w:val="0"/>
              <w:spacing w:before="0" w:after="0"/>
              <w:jc w:val="center"/>
              <w:rPr>
                <w:rFonts w:ascii="Times New Roman" w:hAnsi="Times New Roman" w:eastAsia="新宋体"/>
                <w:bCs/>
                <w:color w:val="auto"/>
                <w:sz w:val="21"/>
                <w:szCs w:val="21"/>
                <w:lang w:eastAsia="zh-CN"/>
              </w:rPr>
            </w:pPr>
            <w:r>
              <w:rPr>
                <w:rFonts w:ascii="Times New Roman" w:hAnsi="Times New Roman" w:eastAsia="新宋体"/>
                <w:bCs/>
                <w:color w:val="auto"/>
                <w:sz w:val="21"/>
                <w:szCs w:val="21"/>
                <w:lang w:eastAsia="zh-CN"/>
              </w:rPr>
              <w:t>周边5公里范围内居住区、医疗卫生、文化教育、科研、行政办公等机构人口总数大于1万人，小于5万人；或周边500m范围内人口总数大于500人，小于1000人；</w:t>
            </w:r>
          </w:p>
        </w:tc>
      </w:tr>
      <w:tr w14:paraId="7FD0C80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5" w:type="pct"/>
            <w:vAlign w:val="center"/>
          </w:tcPr>
          <w:p w14:paraId="5FD3592B">
            <w:pPr>
              <w:pStyle w:val="62"/>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E3</w:t>
            </w:r>
          </w:p>
        </w:tc>
        <w:tc>
          <w:tcPr>
            <w:tcW w:w="4355" w:type="pct"/>
            <w:vAlign w:val="center"/>
          </w:tcPr>
          <w:p w14:paraId="4A10C134">
            <w:pPr>
              <w:pStyle w:val="62"/>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周边5公里范围内居住区、医疗卫生、文化教育、科研、行政办公等机构人口总数小于1万人；或周边500m范围内人口总数小于500人；</w:t>
            </w:r>
          </w:p>
        </w:tc>
      </w:tr>
    </w:tbl>
    <w:p w14:paraId="079669BF">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根据大气环境评价范围内敏感点调查，项目大气环境敏感程度分级为E2类型。</w:t>
      </w:r>
    </w:p>
    <w:p w14:paraId="3E7A32A4">
      <w:pPr>
        <w:spacing w:line="360" w:lineRule="auto"/>
        <w:ind w:firstLine="482" w:firstLineChars="200"/>
        <w:jc w:val="both"/>
        <w:rPr>
          <w:rFonts w:ascii="Times New Roman" w:hAnsi="Times New Roman" w:eastAsia="新宋体" w:cs="Times New Roman"/>
          <w:b/>
          <w:color w:val="auto"/>
          <w:szCs w:val="24"/>
          <w:lang w:eastAsia="zh-CN"/>
        </w:rPr>
      </w:pPr>
      <w:bookmarkStart w:id="1834" w:name="_Toc11367"/>
    </w:p>
    <w:p w14:paraId="181DBCCA">
      <w:pPr>
        <w:spacing w:line="360" w:lineRule="auto"/>
        <w:ind w:firstLine="482" w:firstLineChars="200"/>
        <w:jc w:val="both"/>
        <w:rPr>
          <w:rFonts w:ascii="Times New Roman" w:hAnsi="Times New Roman" w:eastAsia="新宋体" w:cs="Times New Roman"/>
          <w:b/>
          <w:color w:val="auto"/>
          <w:szCs w:val="24"/>
          <w:lang w:eastAsia="zh-CN"/>
        </w:rPr>
      </w:pPr>
    </w:p>
    <w:p w14:paraId="306376AA">
      <w:pPr>
        <w:spacing w:line="360" w:lineRule="auto"/>
        <w:ind w:firstLine="482" w:firstLineChars="200"/>
        <w:jc w:val="both"/>
        <w:rPr>
          <w:rFonts w:ascii="Times New Roman" w:hAnsi="Times New Roman" w:eastAsia="新宋体" w:cs="Times New Roman"/>
          <w:b/>
          <w:color w:val="auto"/>
          <w:szCs w:val="24"/>
          <w:lang w:eastAsia="zh-CN"/>
        </w:rPr>
      </w:pPr>
      <w:r>
        <w:rPr>
          <w:rFonts w:hint="eastAsia" w:ascii="Times New Roman" w:hAnsi="Times New Roman" w:eastAsia="新宋体" w:cs="Times New Roman"/>
          <w:b/>
          <w:color w:val="auto"/>
          <w:szCs w:val="24"/>
          <w:lang w:eastAsia="zh-CN"/>
        </w:rPr>
        <w:t>2、</w:t>
      </w:r>
      <w:r>
        <w:rPr>
          <w:rFonts w:ascii="Times New Roman" w:hAnsi="Times New Roman" w:eastAsia="新宋体" w:cs="Times New Roman"/>
          <w:b/>
          <w:color w:val="auto"/>
          <w:szCs w:val="24"/>
          <w:lang w:eastAsia="zh-CN"/>
        </w:rPr>
        <w:t>地表水环境</w:t>
      </w:r>
      <w:bookmarkEnd w:id="1834"/>
    </w:p>
    <w:p w14:paraId="72CC2D06">
      <w:pPr>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依据事故情况下危险物质泄漏到水体排放点受纳地表水体功能敏感性，与下游环境敏感目标，共分为三种类型，E1为环境高度敏感区，E2为环境中度敏感区，E3为环境低度敏感区，分级原则见表。其中地表水功能敏感性分区和环境敏感目标分级分别见表。</w:t>
      </w:r>
    </w:p>
    <w:p w14:paraId="1DE83425">
      <w:pPr>
        <w:spacing w:line="360" w:lineRule="auto"/>
        <w:jc w:val="center"/>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表7.</w:t>
      </w:r>
      <w:r>
        <w:rPr>
          <w:rFonts w:hint="eastAsia" w:ascii="Times New Roman" w:hAnsi="Times New Roman" w:eastAsia="新宋体" w:cs="Times New Roman"/>
          <w:b/>
          <w:bCs/>
          <w:color w:val="auto"/>
          <w:szCs w:val="24"/>
          <w:lang w:eastAsia="zh-CN"/>
        </w:rPr>
        <w:t>4</w:t>
      </w:r>
      <w:r>
        <w:rPr>
          <w:rFonts w:ascii="Times New Roman" w:hAnsi="Times New Roman" w:eastAsia="新宋体" w:cs="Times New Roman"/>
          <w:b/>
          <w:bCs/>
          <w:color w:val="auto"/>
          <w:szCs w:val="24"/>
          <w:lang w:eastAsia="zh-CN"/>
        </w:rPr>
        <w:t>-5 地表水功能敏感性分区</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316"/>
        <w:gridCol w:w="8430"/>
      </w:tblGrid>
      <w:tr w14:paraId="329073F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jc w:val="center"/>
        </w:trPr>
        <w:tc>
          <w:tcPr>
            <w:tcW w:w="675" w:type="pct"/>
            <w:vAlign w:val="center"/>
          </w:tcPr>
          <w:p w14:paraId="702537BF">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类型</w:t>
            </w:r>
          </w:p>
        </w:tc>
        <w:tc>
          <w:tcPr>
            <w:tcW w:w="4325" w:type="pct"/>
            <w:vAlign w:val="center"/>
          </w:tcPr>
          <w:p w14:paraId="5ED87F17">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环境风险受体情况</w:t>
            </w:r>
          </w:p>
        </w:tc>
      </w:tr>
      <w:tr w14:paraId="7B28848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75" w:type="pct"/>
            <w:tcBorders>
              <w:bottom w:val="single" w:color="auto" w:sz="6" w:space="0"/>
            </w:tcBorders>
            <w:vAlign w:val="center"/>
          </w:tcPr>
          <w:p w14:paraId="6ABE9A8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敏感F1</w:t>
            </w:r>
          </w:p>
        </w:tc>
        <w:tc>
          <w:tcPr>
            <w:tcW w:w="4325" w:type="pct"/>
            <w:tcBorders>
              <w:bottom w:val="single" w:color="auto" w:sz="6" w:space="0"/>
            </w:tcBorders>
            <w:vAlign w:val="center"/>
          </w:tcPr>
          <w:p w14:paraId="2D3C3E23">
            <w:pPr>
              <w:adjustRightInd w:val="0"/>
              <w:snapToGrid w:val="0"/>
              <w:jc w:val="both"/>
              <w:rPr>
                <w:rFonts w:ascii="Times New Roman" w:hAnsi="Times New Roman" w:cs="Times New Roman"/>
                <w:color w:val="auto"/>
                <w:sz w:val="21"/>
                <w:lang w:eastAsia="zh-CN"/>
              </w:rPr>
            </w:pPr>
            <w:r>
              <w:rPr>
                <w:rFonts w:ascii="Times New Roman" w:hAnsi="Times New Roman" w:cs="Times New Roman"/>
                <w:color w:val="auto"/>
                <w:sz w:val="21"/>
                <w:lang w:eastAsia="zh-CN"/>
              </w:rPr>
              <w:t>排放点进入地表水水域功能为Ⅱ类及以上，或海水水质分类第一类；或以发生事故时，危险物质泄漏到排放点算起，排放到受纳水体河流最大流速时，24小时流经范围跨越国界的；</w:t>
            </w:r>
          </w:p>
        </w:tc>
      </w:tr>
      <w:tr w14:paraId="58736DE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75" w:type="pct"/>
            <w:tcBorders>
              <w:top w:val="single" w:color="auto" w:sz="6" w:space="0"/>
              <w:bottom w:val="single" w:color="auto" w:sz="6" w:space="0"/>
            </w:tcBorders>
            <w:shd w:val="clear" w:color="auto" w:fill="BFBFBF"/>
            <w:vAlign w:val="center"/>
          </w:tcPr>
          <w:p w14:paraId="5C720C2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较敏感F2</w:t>
            </w:r>
          </w:p>
        </w:tc>
        <w:tc>
          <w:tcPr>
            <w:tcW w:w="4325" w:type="pct"/>
            <w:tcBorders>
              <w:top w:val="single" w:color="auto" w:sz="6" w:space="0"/>
              <w:bottom w:val="single" w:color="auto" w:sz="6" w:space="0"/>
            </w:tcBorders>
            <w:shd w:val="clear" w:color="auto" w:fill="BFBFBF"/>
            <w:vAlign w:val="center"/>
          </w:tcPr>
          <w:p w14:paraId="1E485862">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排放点进入地表水水域功能为Ⅲ类，或海水水质分类为第二类；或以发生事故时，危险物质泄漏到排放点算起，排放到受纳水体河流最大流速时，24小时流经范围跨越省界的；</w:t>
            </w:r>
          </w:p>
        </w:tc>
      </w:tr>
      <w:tr w14:paraId="6CE445E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75" w:type="pct"/>
            <w:tcBorders>
              <w:top w:val="single" w:color="auto" w:sz="6" w:space="0"/>
            </w:tcBorders>
            <w:vAlign w:val="center"/>
          </w:tcPr>
          <w:p w14:paraId="5F4B5F7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低敏感F3</w:t>
            </w:r>
          </w:p>
        </w:tc>
        <w:tc>
          <w:tcPr>
            <w:tcW w:w="4325" w:type="pct"/>
            <w:tcBorders>
              <w:top w:val="single" w:color="auto" w:sz="6" w:space="0"/>
            </w:tcBorders>
            <w:vAlign w:val="center"/>
          </w:tcPr>
          <w:p w14:paraId="699AA622">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上述地区之外的其他地区</w:t>
            </w:r>
          </w:p>
        </w:tc>
      </w:tr>
    </w:tbl>
    <w:p w14:paraId="0C59DFA6">
      <w:pPr>
        <w:spacing w:line="360" w:lineRule="auto"/>
        <w:ind w:firstLine="472" w:firstLineChars="200"/>
        <w:jc w:val="both"/>
        <w:rPr>
          <w:rFonts w:ascii="Times New Roman" w:hAnsi="Times New Roman" w:cs="Times New Roman"/>
          <w:bCs/>
          <w:color w:val="auto"/>
          <w:szCs w:val="24"/>
          <w:lang w:eastAsia="zh-CN"/>
        </w:rPr>
      </w:pPr>
      <w:r>
        <w:rPr>
          <w:rFonts w:ascii="Times New Roman" w:hAnsi="Times New Roman" w:cs="Times New Roman"/>
          <w:snapToGrid/>
          <w:color w:val="auto"/>
          <w:spacing w:val="-2"/>
          <w:szCs w:val="20"/>
          <w:lang w:eastAsia="zh-CN"/>
        </w:rPr>
        <w:t>本项目废水经处理后由</w:t>
      </w:r>
      <w:r>
        <w:rPr>
          <w:rFonts w:ascii="Times New Roman" w:hAnsi="Times New Roman" w:cs="Times New Roman"/>
          <w:color w:val="auto"/>
          <w:lang w:eastAsia="zh-CN"/>
        </w:rPr>
        <w:t>三铺大沟</w:t>
      </w:r>
      <w:r>
        <w:rPr>
          <w:rFonts w:ascii="Times New Roman" w:hAnsi="Times New Roman" w:cs="Times New Roman"/>
          <w:snapToGrid/>
          <w:color w:val="auto"/>
          <w:spacing w:val="-2"/>
          <w:szCs w:val="20"/>
          <w:lang w:eastAsia="zh-CN"/>
        </w:rPr>
        <w:t>最终排至淮河，淮河水体水质为Ⅲ类，类型为较敏感F2</w:t>
      </w:r>
      <w:r>
        <w:rPr>
          <w:rFonts w:ascii="Times New Roman" w:hAnsi="Times New Roman" w:cs="Times New Roman"/>
          <w:bCs/>
          <w:color w:val="auto"/>
          <w:szCs w:val="24"/>
          <w:lang w:eastAsia="zh-CN"/>
        </w:rPr>
        <w:t>。</w:t>
      </w:r>
    </w:p>
    <w:p w14:paraId="6EE5902F">
      <w:pPr>
        <w:spacing w:line="360" w:lineRule="auto"/>
        <w:jc w:val="center"/>
        <w:rPr>
          <w:rFonts w:ascii="Times New Roman" w:hAnsi="Times New Roman" w:eastAsia="新宋体" w:cs="Times New Roman"/>
          <w:b/>
          <w:bCs/>
          <w:color w:val="auto"/>
          <w:szCs w:val="24"/>
        </w:rPr>
      </w:pPr>
      <w:r>
        <w:rPr>
          <w:rFonts w:ascii="Times New Roman" w:hAnsi="Times New Roman" w:eastAsia="新宋体" w:cs="Times New Roman"/>
          <w:b/>
          <w:bCs/>
          <w:color w:val="auto"/>
          <w:szCs w:val="24"/>
        </w:rPr>
        <w:t>表</w:t>
      </w:r>
      <w:r>
        <w:rPr>
          <w:rFonts w:ascii="Times New Roman" w:hAnsi="Times New Roman" w:eastAsia="新宋体" w:cs="Times New Roman"/>
          <w:b/>
          <w:bCs/>
          <w:color w:val="auto"/>
          <w:szCs w:val="24"/>
          <w:lang w:eastAsia="zh-CN"/>
        </w:rPr>
        <w:t>7</w:t>
      </w:r>
      <w:r>
        <w:rPr>
          <w:rFonts w:ascii="Times New Roman" w:hAnsi="Times New Roman" w:eastAsia="新宋体" w:cs="Times New Roman"/>
          <w:b/>
          <w:bCs/>
          <w:color w:val="auto"/>
          <w:szCs w:val="24"/>
        </w:rPr>
        <w:t>.</w:t>
      </w:r>
      <w:r>
        <w:rPr>
          <w:rFonts w:hint="eastAsia" w:ascii="Times New Roman" w:hAnsi="Times New Roman" w:eastAsia="新宋体" w:cs="Times New Roman"/>
          <w:b/>
          <w:bCs/>
          <w:color w:val="auto"/>
          <w:szCs w:val="24"/>
          <w:lang w:eastAsia="zh-CN"/>
        </w:rPr>
        <w:t>4</w:t>
      </w:r>
      <w:r>
        <w:rPr>
          <w:rFonts w:ascii="Times New Roman" w:hAnsi="Times New Roman" w:eastAsia="新宋体" w:cs="Times New Roman"/>
          <w:b/>
          <w:bCs/>
          <w:color w:val="auto"/>
          <w:szCs w:val="24"/>
          <w:lang w:eastAsia="zh-CN"/>
        </w:rPr>
        <w:t>-6</w:t>
      </w:r>
      <w:r>
        <w:rPr>
          <w:rFonts w:ascii="Times New Roman" w:hAnsi="Times New Roman" w:eastAsia="新宋体" w:cs="Times New Roman"/>
          <w:b/>
          <w:bCs/>
          <w:color w:val="auto"/>
          <w:szCs w:val="24"/>
        </w:rPr>
        <w:t xml:space="preserve"> 环境敏感目标分级</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661"/>
        <w:gridCol w:w="9085"/>
      </w:tblGrid>
      <w:tr w14:paraId="63179B7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39" w:type="pct"/>
            <w:vAlign w:val="center"/>
          </w:tcPr>
          <w:p w14:paraId="77D953B5">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类型</w:t>
            </w:r>
          </w:p>
        </w:tc>
        <w:tc>
          <w:tcPr>
            <w:tcW w:w="4661" w:type="pct"/>
            <w:vAlign w:val="center"/>
          </w:tcPr>
          <w:p w14:paraId="676D31AD">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环境敏感目标</w:t>
            </w:r>
          </w:p>
        </w:tc>
      </w:tr>
      <w:tr w14:paraId="0215332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39" w:type="pct"/>
            <w:shd w:val="clear" w:color="auto" w:fill="BFBFBF"/>
            <w:vAlign w:val="center"/>
          </w:tcPr>
          <w:p w14:paraId="1BB48B2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S1</w:t>
            </w:r>
          </w:p>
        </w:tc>
        <w:tc>
          <w:tcPr>
            <w:tcW w:w="4661" w:type="pct"/>
            <w:shd w:val="clear" w:color="auto" w:fill="BFBFBF"/>
            <w:vAlign w:val="center"/>
          </w:tcPr>
          <w:p w14:paraId="784B76B0">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发生事故时，危险物质泄漏到内陆水体的排放点下游（顺水流向）10km范围内，近岸海域一个潮周期水质点可能达到的最大水平距离的两倍范围内，有如下一类或多类环境风险受体；集中式地表水饮用水水源保护区（包括一级保护区、二级保护区及准保护区）；农村及分散式饮用水水源保护区；自然保护区；重要湿地；珍稀濒危野生动植物天然集中分布区；重要水生生物的自然产卵场及索饵场、越冬场和洄游通道；世界文化和自然遗产地；红树林、珊瑚礁等滨海湿地生态系统；珍稀、濒危海洋生物的天然集中分布区；海洋特别保护区；海上自然保护区；盐场保护区；海水浴场；海洋自然历史遗迹；风景名胜区；或其他特殊重要保护区域。</w:t>
            </w:r>
          </w:p>
        </w:tc>
      </w:tr>
      <w:tr w14:paraId="7BFD9B7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39" w:type="pct"/>
            <w:tcBorders>
              <w:bottom w:val="single" w:color="auto" w:sz="6" w:space="0"/>
            </w:tcBorders>
            <w:vAlign w:val="center"/>
          </w:tcPr>
          <w:p w14:paraId="02572FC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S2</w:t>
            </w:r>
          </w:p>
        </w:tc>
        <w:tc>
          <w:tcPr>
            <w:tcW w:w="4661" w:type="pct"/>
            <w:tcBorders>
              <w:bottom w:val="single" w:color="auto" w:sz="6" w:space="0"/>
            </w:tcBorders>
            <w:vAlign w:val="center"/>
          </w:tcPr>
          <w:p w14:paraId="65D01D36">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发生事故时，危险物质泄漏到内陆水体的排放点下游（顺水方向）10km范围内、近岸海域一个潮周期水质点可能达到的最大水平距离的两倍范围内，有如下一类或多类环境风险受体的；水产养殖区；天然渔场；森林公园；地质公园；海滨风景游览区；具有重要经济价值的海洋生物生存区域。</w:t>
            </w:r>
          </w:p>
        </w:tc>
      </w:tr>
      <w:tr w14:paraId="65D2184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39" w:type="pct"/>
            <w:tcBorders>
              <w:top w:val="single" w:color="auto" w:sz="6" w:space="0"/>
              <w:bottom w:val="single" w:color="auto" w:sz="12" w:space="0"/>
            </w:tcBorders>
            <w:vAlign w:val="center"/>
          </w:tcPr>
          <w:p w14:paraId="4B43252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S3</w:t>
            </w:r>
          </w:p>
        </w:tc>
        <w:tc>
          <w:tcPr>
            <w:tcW w:w="4661" w:type="pct"/>
            <w:tcBorders>
              <w:top w:val="single" w:color="auto" w:sz="6" w:space="0"/>
              <w:bottom w:val="single" w:color="auto" w:sz="12" w:space="0"/>
            </w:tcBorders>
            <w:vAlign w:val="center"/>
          </w:tcPr>
          <w:p w14:paraId="69F48D00">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排放点下游（顺水流向）10km范围、近岸海域一个潮周期水质点可能达到的最大水平距离的两倍范围内无上述类型1和类型2包括的敏感保护目标。</w:t>
            </w:r>
          </w:p>
        </w:tc>
      </w:tr>
    </w:tbl>
    <w:p w14:paraId="47FB6A56">
      <w:pPr>
        <w:spacing w:line="360" w:lineRule="auto"/>
        <w:ind w:firstLine="480" w:firstLineChars="200"/>
        <w:jc w:val="both"/>
        <w:rPr>
          <w:rFonts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根据蚌埠精细化工高新技术产业基地规划（2021～2035）雨水工程规划图以及凤阳县备用水源地划分图可知，发生事故时，</w:t>
      </w:r>
      <w:r>
        <w:rPr>
          <w:rFonts w:ascii="Times New Roman" w:hAnsi="Times New Roman" w:cs="Times New Roman"/>
          <w:bCs/>
          <w:color w:val="auto"/>
          <w:szCs w:val="24"/>
          <w:lang w:eastAsia="zh-CN"/>
        </w:rPr>
        <w:t>危险物质泄漏到内陆水体的排放点</w:t>
      </w:r>
      <w:r>
        <w:rPr>
          <w:rFonts w:hint="eastAsia" w:ascii="Times New Roman" w:hAnsi="Times New Roman" w:cs="Times New Roman"/>
          <w:bCs/>
          <w:color w:val="auto"/>
          <w:szCs w:val="24"/>
          <w:lang w:eastAsia="zh-CN"/>
        </w:rPr>
        <w:t>距下游</w:t>
      </w:r>
      <w:r>
        <w:rPr>
          <w:rFonts w:ascii="Times New Roman" w:hAnsi="Times New Roman" w:cs="Times New Roman"/>
          <w:bCs/>
          <w:color w:val="auto"/>
          <w:szCs w:val="24"/>
          <w:lang w:eastAsia="zh-CN"/>
        </w:rPr>
        <w:t>凤阳县经开区二水厂水源地（</w:t>
      </w:r>
      <w:r>
        <w:rPr>
          <w:rFonts w:hint="eastAsia" w:ascii="Times New Roman" w:hAnsi="Times New Roman" w:cs="Times New Roman"/>
          <w:bCs/>
          <w:color w:val="auto"/>
          <w:szCs w:val="24"/>
          <w:lang w:eastAsia="zh-CN"/>
        </w:rPr>
        <w:t>淮河</w:t>
      </w:r>
      <w:r>
        <w:rPr>
          <w:rFonts w:ascii="Times New Roman" w:hAnsi="Times New Roman" w:cs="Times New Roman"/>
          <w:bCs/>
          <w:color w:val="auto"/>
          <w:szCs w:val="24"/>
          <w:lang w:eastAsia="zh-CN"/>
        </w:rPr>
        <w:t>）</w:t>
      </w:r>
      <w:r>
        <w:rPr>
          <w:rFonts w:hint="eastAsia" w:ascii="Times New Roman" w:hAnsi="Times New Roman" w:cs="Times New Roman"/>
          <w:bCs/>
          <w:color w:val="auto"/>
          <w:szCs w:val="24"/>
          <w:lang w:eastAsia="zh-CN"/>
        </w:rPr>
        <w:t>准保护区约5.6km，</w:t>
      </w:r>
      <w:r>
        <w:rPr>
          <w:rFonts w:ascii="Times New Roman" w:hAnsi="Times New Roman" w:cs="Times New Roman"/>
          <w:bCs/>
          <w:color w:val="auto"/>
          <w:szCs w:val="24"/>
          <w:lang w:eastAsia="zh-CN"/>
        </w:rPr>
        <w:t>排放点下游10km</w:t>
      </w:r>
      <w:r>
        <w:rPr>
          <w:rFonts w:hint="eastAsia" w:ascii="Times New Roman" w:hAnsi="Times New Roman" w:cs="Times New Roman"/>
          <w:bCs/>
          <w:color w:val="auto"/>
          <w:szCs w:val="24"/>
          <w:lang w:eastAsia="zh-CN"/>
        </w:rPr>
        <w:t>含</w:t>
      </w:r>
      <w:r>
        <w:rPr>
          <w:rFonts w:ascii="Times New Roman" w:hAnsi="Times New Roman" w:cs="Times New Roman"/>
          <w:bCs/>
          <w:color w:val="auto"/>
          <w:szCs w:val="24"/>
          <w:lang w:eastAsia="zh-CN"/>
        </w:rPr>
        <w:t>类型1环境保护目标，敏感目标类型为S</w:t>
      </w:r>
      <w:r>
        <w:rPr>
          <w:rFonts w:hint="eastAsia" w:ascii="Times New Roman" w:hAnsi="Times New Roman" w:cs="Times New Roman"/>
          <w:bCs/>
          <w:color w:val="auto"/>
          <w:szCs w:val="24"/>
          <w:lang w:eastAsia="zh-CN"/>
        </w:rPr>
        <w:t>1</w:t>
      </w:r>
      <w:r>
        <w:rPr>
          <w:rFonts w:ascii="Times New Roman" w:hAnsi="Times New Roman" w:cs="Times New Roman"/>
          <w:bCs/>
          <w:color w:val="auto"/>
          <w:szCs w:val="24"/>
          <w:lang w:eastAsia="zh-CN"/>
        </w:rPr>
        <w:t>。</w:t>
      </w:r>
    </w:p>
    <w:p w14:paraId="7DF77099">
      <w:pPr>
        <w:pStyle w:val="42"/>
        <w:spacing w:line="360" w:lineRule="auto"/>
        <w:jc w:val="center"/>
        <w:rPr>
          <w:rFonts w:eastAsia="新宋体"/>
          <w:b/>
          <w:bCs/>
          <w:color w:val="auto"/>
        </w:rPr>
      </w:pPr>
      <w:r>
        <w:rPr>
          <w:rFonts w:eastAsia="新宋体"/>
          <w:b/>
          <w:bCs/>
          <w:color w:val="auto"/>
        </w:rPr>
        <w:t>表7.</w:t>
      </w:r>
      <w:r>
        <w:rPr>
          <w:rFonts w:hint="eastAsia" w:eastAsia="新宋体"/>
          <w:b/>
          <w:bCs/>
          <w:color w:val="auto"/>
        </w:rPr>
        <w:t>4</w:t>
      </w:r>
      <w:r>
        <w:rPr>
          <w:rFonts w:eastAsia="新宋体"/>
          <w:b/>
          <w:bCs/>
          <w:color w:val="auto"/>
        </w:rPr>
        <w:t>-7 地表水环境敏感程度分级</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434"/>
        <w:gridCol w:w="2435"/>
        <w:gridCol w:w="2435"/>
        <w:gridCol w:w="2442"/>
      </w:tblGrid>
      <w:tr w14:paraId="03435A8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249" w:type="pct"/>
            <w:vMerge w:val="restart"/>
            <w:vAlign w:val="center"/>
          </w:tcPr>
          <w:p w14:paraId="18A79B2A">
            <w:pPr>
              <w:jc w:val="center"/>
              <w:rPr>
                <w:rFonts w:ascii="Times New Roman" w:hAnsi="Times New Roman" w:eastAsia="新宋体" w:cs="Times New Roman"/>
                <w:b/>
                <w:bCs/>
                <w:color w:val="auto"/>
                <w:sz w:val="21"/>
              </w:rPr>
            </w:pPr>
            <w:r>
              <w:rPr>
                <w:rFonts w:ascii="Times New Roman" w:hAnsi="Times New Roman" w:eastAsia="新宋体" w:cs="Times New Roman"/>
                <w:b/>
                <w:bCs/>
                <w:color w:val="auto"/>
                <w:sz w:val="21"/>
              </w:rPr>
              <w:t>环境敏感目标</w:t>
            </w:r>
          </w:p>
        </w:tc>
        <w:tc>
          <w:tcPr>
            <w:tcW w:w="3751" w:type="pct"/>
            <w:gridSpan w:val="3"/>
            <w:vAlign w:val="center"/>
          </w:tcPr>
          <w:p w14:paraId="70F85E37">
            <w:pPr>
              <w:jc w:val="center"/>
              <w:rPr>
                <w:rFonts w:ascii="Times New Roman" w:hAnsi="Times New Roman" w:eastAsia="新宋体" w:cs="Times New Roman"/>
                <w:b/>
                <w:bCs/>
                <w:color w:val="auto"/>
                <w:sz w:val="21"/>
              </w:rPr>
            </w:pPr>
            <w:r>
              <w:rPr>
                <w:rFonts w:ascii="Times New Roman" w:hAnsi="Times New Roman" w:eastAsia="新宋体" w:cs="Times New Roman"/>
                <w:b/>
                <w:bCs/>
                <w:color w:val="auto"/>
                <w:sz w:val="21"/>
              </w:rPr>
              <w:t>地表水功能敏感性</w:t>
            </w:r>
          </w:p>
        </w:tc>
      </w:tr>
      <w:tr w14:paraId="376F2CC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249" w:type="pct"/>
            <w:vMerge w:val="continue"/>
            <w:vAlign w:val="center"/>
          </w:tcPr>
          <w:p w14:paraId="49F46194">
            <w:pPr>
              <w:jc w:val="center"/>
              <w:rPr>
                <w:rFonts w:ascii="Times New Roman" w:hAnsi="Times New Roman" w:eastAsia="新宋体" w:cs="Times New Roman"/>
                <w:color w:val="auto"/>
                <w:sz w:val="21"/>
              </w:rPr>
            </w:pPr>
          </w:p>
        </w:tc>
        <w:tc>
          <w:tcPr>
            <w:tcW w:w="1249" w:type="pct"/>
            <w:vAlign w:val="center"/>
          </w:tcPr>
          <w:p w14:paraId="3F504CA0">
            <w:pPr>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F1</w:t>
            </w:r>
          </w:p>
        </w:tc>
        <w:tc>
          <w:tcPr>
            <w:tcW w:w="1249" w:type="pct"/>
            <w:vAlign w:val="center"/>
          </w:tcPr>
          <w:p w14:paraId="06986926">
            <w:pPr>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F2</w:t>
            </w:r>
          </w:p>
        </w:tc>
        <w:tc>
          <w:tcPr>
            <w:tcW w:w="1252" w:type="pct"/>
            <w:vAlign w:val="center"/>
          </w:tcPr>
          <w:p w14:paraId="2006942C">
            <w:pPr>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F3</w:t>
            </w:r>
          </w:p>
        </w:tc>
      </w:tr>
      <w:tr w14:paraId="4AEC1DD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249" w:type="pct"/>
            <w:vAlign w:val="center"/>
          </w:tcPr>
          <w:p w14:paraId="3F14E0F9">
            <w:pPr>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S1</w:t>
            </w:r>
          </w:p>
        </w:tc>
        <w:tc>
          <w:tcPr>
            <w:tcW w:w="1249" w:type="pct"/>
            <w:vAlign w:val="center"/>
          </w:tcPr>
          <w:p w14:paraId="1F0789C6">
            <w:pPr>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E1</w:t>
            </w:r>
          </w:p>
        </w:tc>
        <w:tc>
          <w:tcPr>
            <w:tcW w:w="1249" w:type="pct"/>
            <w:shd w:val="clear" w:color="auto" w:fill="BFBFBF"/>
            <w:vAlign w:val="center"/>
          </w:tcPr>
          <w:p w14:paraId="7F3D382F">
            <w:pPr>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E1</w:t>
            </w:r>
          </w:p>
        </w:tc>
        <w:tc>
          <w:tcPr>
            <w:tcW w:w="1252" w:type="pct"/>
            <w:vAlign w:val="center"/>
          </w:tcPr>
          <w:p w14:paraId="6AA1594F">
            <w:pPr>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E2</w:t>
            </w:r>
          </w:p>
        </w:tc>
      </w:tr>
      <w:tr w14:paraId="7D271B7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249" w:type="pct"/>
            <w:vAlign w:val="center"/>
          </w:tcPr>
          <w:p w14:paraId="5F40A6E7">
            <w:pPr>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S2</w:t>
            </w:r>
          </w:p>
        </w:tc>
        <w:tc>
          <w:tcPr>
            <w:tcW w:w="1249" w:type="pct"/>
            <w:vAlign w:val="center"/>
          </w:tcPr>
          <w:p w14:paraId="4E4FCCCD">
            <w:pPr>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E1</w:t>
            </w:r>
          </w:p>
        </w:tc>
        <w:tc>
          <w:tcPr>
            <w:tcW w:w="1249" w:type="pct"/>
            <w:tcBorders>
              <w:bottom w:val="single" w:color="auto" w:sz="6" w:space="0"/>
            </w:tcBorders>
            <w:vAlign w:val="center"/>
          </w:tcPr>
          <w:p w14:paraId="6670A8FD">
            <w:pPr>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E2</w:t>
            </w:r>
          </w:p>
        </w:tc>
        <w:tc>
          <w:tcPr>
            <w:tcW w:w="1252" w:type="pct"/>
            <w:vAlign w:val="center"/>
          </w:tcPr>
          <w:p w14:paraId="0B0FEDEC">
            <w:pPr>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E3</w:t>
            </w:r>
          </w:p>
        </w:tc>
      </w:tr>
      <w:tr w14:paraId="30EC84A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249" w:type="pct"/>
            <w:vAlign w:val="center"/>
          </w:tcPr>
          <w:p w14:paraId="6054E4C4">
            <w:pPr>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S3</w:t>
            </w:r>
          </w:p>
        </w:tc>
        <w:tc>
          <w:tcPr>
            <w:tcW w:w="1249" w:type="pct"/>
            <w:vAlign w:val="center"/>
          </w:tcPr>
          <w:p w14:paraId="33D912E3">
            <w:pPr>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E1</w:t>
            </w:r>
          </w:p>
        </w:tc>
        <w:tc>
          <w:tcPr>
            <w:tcW w:w="1249" w:type="pct"/>
            <w:tcBorders>
              <w:top w:val="single" w:color="auto" w:sz="6" w:space="0"/>
              <w:bottom w:val="single" w:color="auto" w:sz="12" w:space="0"/>
            </w:tcBorders>
            <w:vAlign w:val="center"/>
          </w:tcPr>
          <w:p w14:paraId="29B66695">
            <w:pPr>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E2</w:t>
            </w:r>
          </w:p>
        </w:tc>
        <w:tc>
          <w:tcPr>
            <w:tcW w:w="1252" w:type="pct"/>
            <w:vAlign w:val="center"/>
          </w:tcPr>
          <w:p w14:paraId="558A2CFB">
            <w:pPr>
              <w:jc w:val="center"/>
              <w:rPr>
                <w:rFonts w:ascii="Times New Roman" w:hAnsi="Times New Roman" w:eastAsia="新宋体" w:cs="Times New Roman"/>
                <w:color w:val="auto"/>
                <w:sz w:val="21"/>
              </w:rPr>
            </w:pPr>
            <w:r>
              <w:rPr>
                <w:rFonts w:ascii="Times New Roman" w:hAnsi="Times New Roman" w:eastAsia="新宋体" w:cs="Times New Roman"/>
                <w:color w:val="auto"/>
                <w:sz w:val="21"/>
              </w:rPr>
              <w:t>E3</w:t>
            </w:r>
          </w:p>
        </w:tc>
      </w:tr>
    </w:tbl>
    <w:p w14:paraId="7CA90075">
      <w:pPr>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由环境敏感目标分级、地表水功能敏感性分区可知，项目地表水环境敏感程度属于（E</w:t>
      </w:r>
      <w:r>
        <w:rPr>
          <w:rFonts w:hint="eastAsia" w:ascii="Times New Roman" w:hAnsi="Times New Roman" w:eastAsia="新宋体" w:cs="Times New Roman"/>
          <w:color w:val="auto"/>
          <w:szCs w:val="24"/>
          <w:lang w:eastAsia="zh-CN"/>
        </w:rPr>
        <w:t>1</w:t>
      </w:r>
      <w:r>
        <w:rPr>
          <w:rFonts w:ascii="Times New Roman" w:hAnsi="Times New Roman" w:eastAsia="新宋体" w:cs="Times New Roman"/>
          <w:color w:val="auto"/>
          <w:szCs w:val="24"/>
          <w:lang w:eastAsia="zh-CN"/>
        </w:rPr>
        <w:t>）。</w:t>
      </w:r>
    </w:p>
    <w:p w14:paraId="01C9FD15">
      <w:pPr>
        <w:widowControl w:val="0"/>
        <w:tabs>
          <w:tab w:val="center" w:pos="4153"/>
          <w:tab w:val="right" w:pos="8306"/>
        </w:tabs>
        <w:spacing w:line="360" w:lineRule="auto"/>
        <w:ind w:firstLine="482" w:firstLineChars="200"/>
        <w:jc w:val="both"/>
        <w:rPr>
          <w:rFonts w:ascii="Times New Roman" w:hAnsi="Times New Roman" w:cs="Times New Roman"/>
          <w:b/>
          <w:bCs/>
          <w:snapToGrid/>
          <w:color w:val="auto"/>
          <w:kern w:val="2"/>
          <w:szCs w:val="18"/>
          <w:lang w:eastAsia="zh-CN"/>
        </w:rPr>
      </w:pPr>
    </w:p>
    <w:p w14:paraId="7A837EE3">
      <w:pPr>
        <w:widowControl w:val="0"/>
        <w:tabs>
          <w:tab w:val="center" w:pos="4153"/>
          <w:tab w:val="right" w:pos="8306"/>
        </w:tabs>
        <w:spacing w:line="360" w:lineRule="auto"/>
        <w:ind w:firstLine="482" w:firstLineChars="200"/>
        <w:jc w:val="both"/>
        <w:rPr>
          <w:rFonts w:ascii="Times New Roman" w:hAnsi="Times New Roman" w:cs="Times New Roman"/>
          <w:b/>
          <w:bCs/>
          <w:snapToGrid/>
          <w:color w:val="auto"/>
          <w:kern w:val="2"/>
          <w:szCs w:val="18"/>
          <w:lang w:eastAsia="zh-CN"/>
        </w:rPr>
      </w:pPr>
      <w:r>
        <w:rPr>
          <w:rFonts w:hint="eastAsia" w:ascii="Times New Roman" w:hAnsi="Times New Roman" w:cs="Times New Roman"/>
          <w:b/>
          <w:bCs/>
          <w:snapToGrid/>
          <w:color w:val="auto"/>
          <w:kern w:val="2"/>
          <w:szCs w:val="18"/>
          <w:lang w:eastAsia="zh-CN"/>
        </w:rPr>
        <w:t>3、</w:t>
      </w:r>
      <w:r>
        <w:rPr>
          <w:rFonts w:ascii="Times New Roman" w:hAnsi="Times New Roman" w:cs="Times New Roman"/>
          <w:b/>
          <w:bCs/>
          <w:snapToGrid/>
          <w:color w:val="auto"/>
          <w:kern w:val="2"/>
          <w:szCs w:val="18"/>
          <w:lang w:eastAsia="zh-CN"/>
        </w:rPr>
        <w:t>地下水环境</w:t>
      </w:r>
    </w:p>
    <w:p w14:paraId="21A7CA5F">
      <w:pPr>
        <w:widowControl w:val="0"/>
        <w:tabs>
          <w:tab w:val="center" w:pos="4153"/>
          <w:tab w:val="right" w:pos="8306"/>
        </w:tabs>
        <w:spacing w:line="360" w:lineRule="auto"/>
        <w:ind w:firstLine="480" w:firstLineChars="200"/>
        <w:jc w:val="both"/>
        <w:rPr>
          <w:rFonts w:ascii="Times New Roman" w:hAnsi="Times New Roman" w:cs="Times New Roman"/>
          <w:snapToGrid/>
          <w:color w:val="auto"/>
          <w:kern w:val="2"/>
          <w:szCs w:val="18"/>
          <w:lang w:eastAsia="zh-CN"/>
        </w:rPr>
      </w:pPr>
      <w:r>
        <w:rPr>
          <w:rFonts w:ascii="Times New Roman" w:hAnsi="Times New Roman" w:cs="Times New Roman"/>
          <w:snapToGrid/>
          <w:color w:val="auto"/>
          <w:kern w:val="2"/>
          <w:szCs w:val="18"/>
          <w:lang w:eastAsia="zh-CN"/>
        </w:rPr>
        <w:t>依据地下水功能敏感性与包气带防污性能，共分为三种类型，E1为环境高度敏感区，E2为环境中度敏感区，E3为环境低度敏感区。其中地下水功能敏感性分区和包气带防污性能分级分别见表7.</w:t>
      </w:r>
      <w:r>
        <w:rPr>
          <w:rFonts w:hint="eastAsia" w:ascii="Times New Roman" w:hAnsi="Times New Roman" w:cs="Times New Roman"/>
          <w:snapToGrid/>
          <w:color w:val="auto"/>
          <w:kern w:val="2"/>
          <w:szCs w:val="18"/>
          <w:lang w:eastAsia="zh-CN"/>
        </w:rPr>
        <w:t>4</w:t>
      </w:r>
      <w:r>
        <w:rPr>
          <w:rFonts w:ascii="Times New Roman" w:hAnsi="Times New Roman" w:cs="Times New Roman"/>
          <w:snapToGrid/>
          <w:color w:val="auto"/>
          <w:kern w:val="2"/>
          <w:szCs w:val="18"/>
          <w:lang w:eastAsia="zh-CN"/>
        </w:rPr>
        <w:t>-8和表7.</w:t>
      </w:r>
      <w:r>
        <w:rPr>
          <w:rFonts w:hint="eastAsia" w:ascii="Times New Roman" w:hAnsi="Times New Roman" w:cs="Times New Roman"/>
          <w:snapToGrid/>
          <w:color w:val="auto"/>
          <w:kern w:val="2"/>
          <w:szCs w:val="18"/>
          <w:lang w:eastAsia="zh-CN"/>
        </w:rPr>
        <w:t>4</w:t>
      </w:r>
      <w:r>
        <w:rPr>
          <w:rFonts w:ascii="Times New Roman" w:hAnsi="Times New Roman" w:cs="Times New Roman"/>
          <w:snapToGrid/>
          <w:color w:val="auto"/>
          <w:kern w:val="2"/>
          <w:szCs w:val="18"/>
          <w:lang w:eastAsia="zh-CN"/>
        </w:rPr>
        <w:t>-9。</w:t>
      </w:r>
    </w:p>
    <w:p w14:paraId="3D0B5463">
      <w:pPr>
        <w:spacing w:line="360" w:lineRule="auto"/>
        <w:jc w:val="center"/>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表7.</w:t>
      </w:r>
      <w:r>
        <w:rPr>
          <w:rFonts w:hint="eastAsia" w:ascii="Times New Roman" w:hAnsi="Times New Roman" w:eastAsia="新宋体" w:cs="Times New Roman"/>
          <w:b/>
          <w:bCs/>
          <w:color w:val="auto"/>
          <w:szCs w:val="24"/>
          <w:lang w:eastAsia="zh-CN"/>
        </w:rPr>
        <w:t>4</w:t>
      </w:r>
      <w:r>
        <w:rPr>
          <w:rFonts w:ascii="Times New Roman" w:hAnsi="Times New Roman" w:eastAsia="新宋体" w:cs="Times New Roman"/>
          <w:b/>
          <w:bCs/>
          <w:color w:val="auto"/>
          <w:szCs w:val="24"/>
          <w:lang w:eastAsia="zh-CN"/>
        </w:rPr>
        <w:t>-8 地下水功能敏感性分区</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694"/>
        <w:gridCol w:w="8052"/>
      </w:tblGrid>
      <w:tr w14:paraId="3884841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869" w:type="pct"/>
            <w:vAlign w:val="center"/>
          </w:tcPr>
          <w:p w14:paraId="76B12471">
            <w:pPr>
              <w:pStyle w:val="62"/>
              <w:adjustRightInd w:val="0"/>
              <w:snapToGrid w:val="0"/>
              <w:spacing w:before="0" w:after="0"/>
              <w:jc w:val="center"/>
              <w:rPr>
                <w:rFonts w:ascii="Times New Roman" w:hAnsi="Times New Roman" w:eastAsia="新宋体"/>
                <w:b/>
                <w:color w:val="auto"/>
                <w:sz w:val="21"/>
                <w:szCs w:val="21"/>
              </w:rPr>
            </w:pPr>
            <w:r>
              <w:rPr>
                <w:rFonts w:ascii="Times New Roman" w:hAnsi="Times New Roman" w:eastAsia="新宋体"/>
                <w:b/>
                <w:color w:val="auto"/>
                <w:sz w:val="21"/>
                <w:szCs w:val="21"/>
              </w:rPr>
              <w:t>敏感性</w:t>
            </w:r>
          </w:p>
        </w:tc>
        <w:tc>
          <w:tcPr>
            <w:tcW w:w="4131" w:type="pct"/>
            <w:vAlign w:val="center"/>
          </w:tcPr>
          <w:p w14:paraId="04CFF206">
            <w:pPr>
              <w:pStyle w:val="62"/>
              <w:adjustRightInd w:val="0"/>
              <w:snapToGrid w:val="0"/>
              <w:spacing w:before="0" w:after="0"/>
              <w:jc w:val="center"/>
              <w:rPr>
                <w:rFonts w:ascii="Times New Roman" w:hAnsi="Times New Roman" w:eastAsia="新宋体"/>
                <w:b/>
                <w:color w:val="auto"/>
                <w:sz w:val="21"/>
                <w:szCs w:val="21"/>
              </w:rPr>
            </w:pPr>
            <w:r>
              <w:rPr>
                <w:rFonts w:ascii="Times New Roman" w:hAnsi="Times New Roman" w:eastAsia="新宋体"/>
                <w:b/>
                <w:color w:val="auto"/>
                <w:sz w:val="21"/>
                <w:szCs w:val="21"/>
              </w:rPr>
              <w:t>地下水环境敏感特征</w:t>
            </w:r>
          </w:p>
        </w:tc>
      </w:tr>
      <w:tr w14:paraId="6EE0EF1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869" w:type="pct"/>
            <w:vAlign w:val="center"/>
          </w:tcPr>
          <w:p w14:paraId="4ECCD4ED">
            <w:pPr>
              <w:pStyle w:val="62"/>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敏感G1</w:t>
            </w:r>
          </w:p>
        </w:tc>
        <w:tc>
          <w:tcPr>
            <w:tcW w:w="4131" w:type="pct"/>
            <w:vAlign w:val="center"/>
          </w:tcPr>
          <w:p w14:paraId="23116F20">
            <w:pPr>
              <w:pStyle w:val="62"/>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集中式饮用水水源（包括已建成的在用、备用、应急水源，在建和规划的饮用水水源）准保护区；除集中式饮用水源以外的国家或地方政府设定的地下环境相关的其他保护区，如热水、矿泉水、温泉等特殊地下水资源保护区</w:t>
            </w:r>
          </w:p>
        </w:tc>
      </w:tr>
      <w:tr w14:paraId="0483C47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869" w:type="pct"/>
            <w:tcBorders>
              <w:bottom w:val="single" w:color="auto" w:sz="6" w:space="0"/>
            </w:tcBorders>
            <w:vAlign w:val="center"/>
          </w:tcPr>
          <w:p w14:paraId="46416F11">
            <w:pPr>
              <w:pStyle w:val="62"/>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较敏感G2</w:t>
            </w:r>
          </w:p>
        </w:tc>
        <w:tc>
          <w:tcPr>
            <w:tcW w:w="4131" w:type="pct"/>
            <w:tcBorders>
              <w:bottom w:val="single" w:color="auto" w:sz="6" w:space="0"/>
            </w:tcBorders>
            <w:vAlign w:val="center"/>
          </w:tcPr>
          <w:p w14:paraId="574EC90C">
            <w:pPr>
              <w:pStyle w:val="62"/>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集中式饮用水源（包括已建成的在用、备用、应急水源，在建和规划的饮用水源）准保护区以外的补给径流区；未划定准保护区的集中式饮用水水源，其保护区以外的补给径流区；分散式饮用水水源地；特殊地下水资源（如热水、矿泉水、温泉等）保护区以外的分布区等其他未列入上述敏感分级的环境敏感区</w:t>
            </w:r>
          </w:p>
        </w:tc>
      </w:tr>
      <w:tr w14:paraId="20FDFFE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869" w:type="pct"/>
            <w:tcBorders>
              <w:top w:val="single" w:color="auto" w:sz="6" w:space="0"/>
              <w:bottom w:val="single" w:color="auto" w:sz="6" w:space="0"/>
            </w:tcBorders>
            <w:shd w:val="clear" w:color="auto" w:fill="BFBFBF"/>
            <w:vAlign w:val="center"/>
          </w:tcPr>
          <w:p w14:paraId="4E14499E">
            <w:pPr>
              <w:pStyle w:val="62"/>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不敏感G3</w:t>
            </w:r>
          </w:p>
        </w:tc>
        <w:tc>
          <w:tcPr>
            <w:tcW w:w="4131" w:type="pct"/>
            <w:tcBorders>
              <w:top w:val="single" w:color="auto" w:sz="6" w:space="0"/>
              <w:bottom w:val="single" w:color="auto" w:sz="6" w:space="0"/>
            </w:tcBorders>
            <w:shd w:val="clear" w:color="auto" w:fill="BFBFBF"/>
            <w:vAlign w:val="center"/>
          </w:tcPr>
          <w:p w14:paraId="7B590411">
            <w:pPr>
              <w:pStyle w:val="62"/>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上述地区之外的其他地区</w:t>
            </w:r>
          </w:p>
        </w:tc>
      </w:tr>
      <w:tr w14:paraId="5B45DA8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000" w:type="pct"/>
            <w:gridSpan w:val="2"/>
            <w:tcBorders>
              <w:top w:val="single" w:color="auto" w:sz="6" w:space="0"/>
            </w:tcBorders>
            <w:vAlign w:val="center"/>
          </w:tcPr>
          <w:p w14:paraId="4B501BC3">
            <w:pPr>
              <w:pStyle w:val="62"/>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“环境敏感区”是指《建设项目环境影响评价分类管理名录》中所界定的涉及地下水的环境敏感区</w:t>
            </w:r>
          </w:p>
        </w:tc>
      </w:tr>
    </w:tbl>
    <w:p w14:paraId="21DE8E2C">
      <w:pPr>
        <w:spacing w:line="360" w:lineRule="auto"/>
        <w:ind w:firstLine="480" w:firstLineChars="200"/>
        <w:jc w:val="both"/>
        <w:rPr>
          <w:rFonts w:ascii="Times New Roman" w:hAnsi="Times New Roman" w:eastAsia="新宋体" w:cs="Times New Roman"/>
          <w:bCs/>
          <w:color w:val="auto"/>
          <w:szCs w:val="24"/>
          <w:lang w:eastAsia="zh-CN"/>
        </w:rPr>
      </w:pPr>
      <w:r>
        <w:rPr>
          <w:rFonts w:ascii="Times New Roman" w:hAnsi="Times New Roman" w:eastAsia="新宋体" w:cs="Times New Roman"/>
          <w:color w:val="auto"/>
          <w:szCs w:val="24"/>
          <w:lang w:eastAsia="zh-CN"/>
        </w:rPr>
        <w:t>本项目所在区域地下水不在上述敏感及较敏感区域范围内，区域范围内无地下水的环境敏感区，因此地下水功能为不敏感（G3）。</w:t>
      </w:r>
    </w:p>
    <w:p w14:paraId="7200E8E0">
      <w:pPr>
        <w:spacing w:line="360" w:lineRule="auto"/>
        <w:jc w:val="center"/>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表7.</w:t>
      </w:r>
      <w:r>
        <w:rPr>
          <w:rFonts w:hint="eastAsia" w:ascii="Times New Roman" w:hAnsi="Times New Roman" w:eastAsia="新宋体" w:cs="Times New Roman"/>
          <w:b/>
          <w:bCs/>
          <w:color w:val="auto"/>
          <w:szCs w:val="24"/>
          <w:lang w:eastAsia="zh-CN"/>
        </w:rPr>
        <w:t>4</w:t>
      </w:r>
      <w:r>
        <w:rPr>
          <w:rFonts w:ascii="Times New Roman" w:hAnsi="Times New Roman" w:eastAsia="新宋体" w:cs="Times New Roman"/>
          <w:b/>
          <w:bCs/>
          <w:color w:val="auto"/>
          <w:szCs w:val="24"/>
          <w:lang w:eastAsia="zh-CN"/>
        </w:rPr>
        <w:t>-9 包气带防污性能分级</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936"/>
        <w:gridCol w:w="7810"/>
      </w:tblGrid>
      <w:tr w14:paraId="631DB6D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993" w:type="pct"/>
            <w:vAlign w:val="center"/>
          </w:tcPr>
          <w:p w14:paraId="27F2D0BD">
            <w:pPr>
              <w:pStyle w:val="62"/>
              <w:adjustRightInd w:val="0"/>
              <w:snapToGrid w:val="0"/>
              <w:spacing w:before="0" w:after="0"/>
              <w:jc w:val="center"/>
              <w:rPr>
                <w:rFonts w:ascii="Times New Roman" w:hAnsi="Times New Roman" w:eastAsia="新宋体"/>
                <w:b/>
                <w:color w:val="auto"/>
                <w:sz w:val="21"/>
                <w:szCs w:val="21"/>
              </w:rPr>
            </w:pPr>
            <w:r>
              <w:rPr>
                <w:rFonts w:ascii="Times New Roman" w:hAnsi="Times New Roman" w:eastAsia="新宋体"/>
                <w:b/>
                <w:color w:val="auto"/>
                <w:sz w:val="21"/>
                <w:szCs w:val="21"/>
              </w:rPr>
              <w:t>分级</w:t>
            </w:r>
          </w:p>
        </w:tc>
        <w:tc>
          <w:tcPr>
            <w:tcW w:w="4007" w:type="pct"/>
            <w:vAlign w:val="center"/>
          </w:tcPr>
          <w:p w14:paraId="293EA3C6">
            <w:pPr>
              <w:pStyle w:val="62"/>
              <w:adjustRightInd w:val="0"/>
              <w:snapToGrid w:val="0"/>
              <w:spacing w:before="0" w:after="0"/>
              <w:jc w:val="center"/>
              <w:rPr>
                <w:rFonts w:ascii="Times New Roman" w:hAnsi="Times New Roman" w:eastAsia="新宋体"/>
                <w:b/>
                <w:color w:val="auto"/>
                <w:sz w:val="21"/>
                <w:szCs w:val="21"/>
                <w:lang w:eastAsia="zh-CN"/>
              </w:rPr>
            </w:pPr>
            <w:r>
              <w:rPr>
                <w:rFonts w:ascii="Times New Roman" w:hAnsi="Times New Roman" w:eastAsia="新宋体"/>
                <w:b/>
                <w:color w:val="auto"/>
                <w:sz w:val="21"/>
                <w:szCs w:val="21"/>
                <w:lang w:eastAsia="zh-CN"/>
              </w:rPr>
              <w:t>包气带岩土的渗透性能</w:t>
            </w:r>
          </w:p>
        </w:tc>
      </w:tr>
      <w:tr w14:paraId="4F0E136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993" w:type="pct"/>
            <w:tcBorders>
              <w:bottom w:val="single" w:color="auto" w:sz="6" w:space="0"/>
            </w:tcBorders>
            <w:vAlign w:val="center"/>
          </w:tcPr>
          <w:p w14:paraId="05FC8D75">
            <w:pPr>
              <w:pStyle w:val="62"/>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D3</w:t>
            </w:r>
          </w:p>
        </w:tc>
        <w:tc>
          <w:tcPr>
            <w:tcW w:w="4007" w:type="pct"/>
            <w:tcBorders>
              <w:bottom w:val="single" w:color="auto" w:sz="6" w:space="0"/>
            </w:tcBorders>
            <w:vAlign w:val="center"/>
          </w:tcPr>
          <w:p w14:paraId="44CB8730">
            <w:pPr>
              <w:pStyle w:val="62"/>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Mb≥1.0m，K≤1.0×10</w:t>
            </w:r>
            <w:r>
              <w:rPr>
                <w:rFonts w:ascii="Times New Roman" w:hAnsi="Times New Roman" w:eastAsia="新宋体"/>
                <w:color w:val="auto"/>
                <w:sz w:val="21"/>
                <w:szCs w:val="21"/>
                <w:vertAlign w:val="superscript"/>
                <w:lang w:eastAsia="zh-CN"/>
              </w:rPr>
              <w:t>-6</w:t>
            </w:r>
            <w:r>
              <w:rPr>
                <w:rFonts w:ascii="Times New Roman" w:hAnsi="Times New Roman" w:eastAsia="新宋体"/>
                <w:color w:val="auto"/>
                <w:sz w:val="21"/>
                <w:szCs w:val="21"/>
                <w:lang w:eastAsia="zh-CN"/>
              </w:rPr>
              <w:t>cm/s，且分布连续、稳定</w:t>
            </w:r>
          </w:p>
        </w:tc>
      </w:tr>
      <w:tr w14:paraId="6E4B17C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993" w:type="pct"/>
            <w:tcBorders>
              <w:top w:val="single" w:color="auto" w:sz="6" w:space="0"/>
              <w:bottom w:val="single" w:color="auto" w:sz="6" w:space="0"/>
            </w:tcBorders>
            <w:shd w:val="clear" w:color="auto" w:fill="BFBFBF"/>
            <w:vAlign w:val="center"/>
          </w:tcPr>
          <w:p w14:paraId="6A0C3860">
            <w:pPr>
              <w:pStyle w:val="62"/>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D2</w:t>
            </w:r>
          </w:p>
        </w:tc>
        <w:tc>
          <w:tcPr>
            <w:tcW w:w="4007" w:type="pct"/>
            <w:tcBorders>
              <w:top w:val="single" w:color="auto" w:sz="6" w:space="0"/>
              <w:bottom w:val="single" w:color="auto" w:sz="6" w:space="0"/>
            </w:tcBorders>
            <w:shd w:val="clear" w:color="auto" w:fill="BFBFBF"/>
            <w:vAlign w:val="center"/>
          </w:tcPr>
          <w:p w14:paraId="71DBBDC6">
            <w:pPr>
              <w:pStyle w:val="62"/>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0.5m≤Mb＜1.0m，K≤1.0×10</w:t>
            </w:r>
            <w:r>
              <w:rPr>
                <w:rFonts w:ascii="Times New Roman" w:hAnsi="Times New Roman" w:eastAsia="新宋体"/>
                <w:color w:val="auto"/>
                <w:sz w:val="21"/>
                <w:szCs w:val="21"/>
                <w:vertAlign w:val="superscript"/>
                <w:lang w:eastAsia="zh-CN"/>
              </w:rPr>
              <w:t>-6</w:t>
            </w:r>
            <w:r>
              <w:rPr>
                <w:rFonts w:ascii="Times New Roman" w:hAnsi="Times New Roman" w:eastAsia="新宋体"/>
                <w:color w:val="auto"/>
                <w:sz w:val="21"/>
                <w:szCs w:val="21"/>
                <w:lang w:eastAsia="zh-CN"/>
              </w:rPr>
              <w:t>cm/s，且分布连续、稳定</w:t>
            </w:r>
          </w:p>
          <w:p w14:paraId="160C3B49">
            <w:pPr>
              <w:pStyle w:val="62"/>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Mb≥1.0m，1.0*10</w:t>
            </w:r>
            <w:r>
              <w:rPr>
                <w:rFonts w:ascii="Times New Roman" w:hAnsi="Times New Roman" w:eastAsia="新宋体"/>
                <w:color w:val="auto"/>
                <w:sz w:val="21"/>
                <w:szCs w:val="21"/>
                <w:vertAlign w:val="superscript"/>
                <w:lang w:eastAsia="zh-CN"/>
              </w:rPr>
              <w:t>-6</w:t>
            </w:r>
            <w:r>
              <w:rPr>
                <w:rFonts w:ascii="Times New Roman" w:hAnsi="Times New Roman" w:eastAsia="新宋体"/>
                <w:color w:val="auto"/>
                <w:sz w:val="21"/>
                <w:szCs w:val="21"/>
                <w:lang w:eastAsia="zh-CN"/>
              </w:rPr>
              <w:t>cm/s＜K≤1.0×1</w:t>
            </w:r>
            <w:r>
              <w:rPr>
                <w:rFonts w:ascii="Times New Roman" w:hAnsi="Times New Roman" w:eastAsia="新宋体"/>
                <w:color w:val="auto"/>
                <w:sz w:val="21"/>
                <w:szCs w:val="21"/>
                <w:vertAlign w:val="superscript"/>
                <w:lang w:eastAsia="zh-CN"/>
              </w:rPr>
              <w:t>-4</w:t>
            </w:r>
            <w:r>
              <w:rPr>
                <w:rFonts w:ascii="Times New Roman" w:hAnsi="Times New Roman" w:eastAsia="新宋体"/>
                <w:color w:val="auto"/>
                <w:sz w:val="21"/>
                <w:szCs w:val="21"/>
                <w:lang w:eastAsia="zh-CN"/>
              </w:rPr>
              <w:t>cm/s，且分布连续、稳定</w:t>
            </w:r>
          </w:p>
        </w:tc>
      </w:tr>
      <w:tr w14:paraId="13C29F4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993" w:type="pct"/>
            <w:tcBorders>
              <w:top w:val="single" w:color="auto" w:sz="6" w:space="0"/>
            </w:tcBorders>
            <w:vAlign w:val="center"/>
          </w:tcPr>
          <w:p w14:paraId="51DC8A08">
            <w:pPr>
              <w:pStyle w:val="62"/>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D1</w:t>
            </w:r>
          </w:p>
        </w:tc>
        <w:tc>
          <w:tcPr>
            <w:tcW w:w="4007" w:type="pct"/>
            <w:tcBorders>
              <w:top w:val="single" w:color="auto" w:sz="6" w:space="0"/>
            </w:tcBorders>
            <w:vAlign w:val="center"/>
          </w:tcPr>
          <w:p w14:paraId="14A8333E">
            <w:pPr>
              <w:pStyle w:val="62"/>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岩土层不满足上述“D2”和“D3”条件</w:t>
            </w:r>
          </w:p>
        </w:tc>
      </w:tr>
      <w:tr w14:paraId="634B297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000" w:type="pct"/>
            <w:gridSpan w:val="2"/>
            <w:vAlign w:val="center"/>
          </w:tcPr>
          <w:p w14:paraId="2C661548">
            <w:pPr>
              <w:pStyle w:val="62"/>
              <w:adjustRightInd w:val="0"/>
              <w:snapToGrid w:val="0"/>
              <w:spacing w:before="0" w:after="0"/>
              <w:jc w:val="center"/>
              <w:rPr>
                <w:rFonts w:ascii="Times New Roman" w:hAnsi="Times New Roman" w:eastAsia="新宋体"/>
                <w:color w:val="auto"/>
                <w:sz w:val="21"/>
                <w:szCs w:val="21"/>
                <w:lang w:eastAsia="zh-CN"/>
              </w:rPr>
            </w:pPr>
            <w:r>
              <w:rPr>
                <w:rFonts w:ascii="Times New Roman" w:hAnsi="Times New Roman" w:eastAsia="新宋体"/>
                <w:color w:val="auto"/>
                <w:sz w:val="21"/>
                <w:szCs w:val="21"/>
                <w:lang w:eastAsia="zh-CN"/>
              </w:rPr>
              <w:t>Mb:岩土层单层厚度。K：渗透系数</w:t>
            </w:r>
          </w:p>
        </w:tc>
      </w:tr>
    </w:tbl>
    <w:p w14:paraId="5583CBC5">
      <w:pPr>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区域包气带的渗透系数包气带渗透系数大于1×10</w:t>
      </w:r>
      <w:r>
        <w:rPr>
          <w:rFonts w:ascii="Times New Roman" w:hAnsi="Times New Roman" w:eastAsia="新宋体" w:cs="Times New Roman"/>
          <w:color w:val="auto"/>
          <w:szCs w:val="24"/>
          <w:vertAlign w:val="superscript"/>
          <w:lang w:eastAsia="zh-CN"/>
        </w:rPr>
        <w:t>-6</w:t>
      </w:r>
      <w:r>
        <w:rPr>
          <w:rFonts w:ascii="Times New Roman" w:hAnsi="Times New Roman" w:eastAsia="新宋体" w:cs="Times New Roman"/>
          <w:color w:val="auto"/>
          <w:szCs w:val="24"/>
          <w:lang w:eastAsia="zh-CN"/>
        </w:rPr>
        <w:t>cm/s、小于1×10</w:t>
      </w:r>
      <w:r>
        <w:rPr>
          <w:rFonts w:ascii="Times New Roman" w:hAnsi="Times New Roman" w:eastAsia="新宋体" w:cs="Times New Roman"/>
          <w:color w:val="auto"/>
          <w:szCs w:val="24"/>
          <w:vertAlign w:val="superscript"/>
          <w:lang w:eastAsia="zh-CN"/>
        </w:rPr>
        <w:t>-4</w:t>
      </w:r>
      <w:r>
        <w:rPr>
          <w:rFonts w:ascii="Times New Roman" w:hAnsi="Times New Roman" w:eastAsia="新宋体" w:cs="Times New Roman"/>
          <w:color w:val="auto"/>
          <w:szCs w:val="24"/>
          <w:lang w:eastAsia="zh-CN"/>
        </w:rPr>
        <w:t>cm/s，岩（土）层单层厚度Mb&gt;1.0m。根据上表判断本项目地下水包气带防污性能分级为D2。</w:t>
      </w:r>
    </w:p>
    <w:p w14:paraId="3C2D2E37">
      <w:pPr>
        <w:spacing w:line="360" w:lineRule="auto"/>
        <w:jc w:val="center"/>
        <w:rPr>
          <w:rFonts w:ascii="Times New Roman" w:hAnsi="Times New Roman" w:eastAsia="新宋体" w:cs="Times New Roman"/>
          <w:b/>
          <w:bCs/>
          <w:color w:val="auto"/>
          <w:szCs w:val="24"/>
          <w:lang w:eastAsia="zh-CN"/>
        </w:rPr>
      </w:pPr>
      <w:r>
        <w:rPr>
          <w:rFonts w:ascii="Times New Roman" w:hAnsi="Times New Roman" w:eastAsia="新宋体" w:cs="Times New Roman"/>
          <w:b/>
          <w:bCs/>
          <w:color w:val="auto"/>
          <w:szCs w:val="24"/>
          <w:lang w:eastAsia="zh-CN"/>
        </w:rPr>
        <w:t>表7.</w:t>
      </w:r>
      <w:r>
        <w:rPr>
          <w:rFonts w:hint="eastAsia" w:ascii="Times New Roman" w:hAnsi="Times New Roman" w:eastAsia="新宋体" w:cs="Times New Roman"/>
          <w:b/>
          <w:bCs/>
          <w:color w:val="auto"/>
          <w:szCs w:val="24"/>
          <w:lang w:eastAsia="zh-CN"/>
        </w:rPr>
        <w:t>4</w:t>
      </w:r>
      <w:r>
        <w:rPr>
          <w:rFonts w:ascii="Times New Roman" w:hAnsi="Times New Roman" w:eastAsia="新宋体" w:cs="Times New Roman"/>
          <w:b/>
          <w:bCs/>
          <w:color w:val="auto"/>
          <w:szCs w:val="24"/>
          <w:lang w:eastAsia="zh-CN"/>
        </w:rPr>
        <w:t>-10 地下水环境敏感程度分级</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434"/>
        <w:gridCol w:w="2435"/>
        <w:gridCol w:w="2435"/>
        <w:gridCol w:w="2442"/>
      </w:tblGrid>
      <w:tr w14:paraId="6A6E2E6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249" w:type="pct"/>
            <w:vMerge w:val="restart"/>
            <w:vAlign w:val="center"/>
          </w:tcPr>
          <w:p w14:paraId="2C52D22B">
            <w:pPr>
              <w:pStyle w:val="62"/>
              <w:adjustRightInd w:val="0"/>
              <w:snapToGrid w:val="0"/>
              <w:spacing w:before="0" w:after="0"/>
              <w:jc w:val="center"/>
              <w:rPr>
                <w:rFonts w:ascii="Times New Roman" w:hAnsi="Times New Roman" w:eastAsia="新宋体"/>
                <w:b/>
                <w:color w:val="auto"/>
                <w:sz w:val="21"/>
                <w:szCs w:val="21"/>
              </w:rPr>
            </w:pPr>
            <w:r>
              <w:rPr>
                <w:rFonts w:ascii="Times New Roman" w:hAnsi="Times New Roman" w:eastAsia="新宋体"/>
                <w:b/>
                <w:color w:val="auto"/>
                <w:sz w:val="21"/>
                <w:szCs w:val="21"/>
              </w:rPr>
              <w:t>包气带防污性能</w:t>
            </w:r>
          </w:p>
        </w:tc>
        <w:tc>
          <w:tcPr>
            <w:tcW w:w="3751" w:type="pct"/>
            <w:gridSpan w:val="3"/>
            <w:vAlign w:val="center"/>
          </w:tcPr>
          <w:p w14:paraId="00557B77">
            <w:pPr>
              <w:pStyle w:val="62"/>
              <w:adjustRightInd w:val="0"/>
              <w:snapToGrid w:val="0"/>
              <w:spacing w:before="0" w:after="0"/>
              <w:jc w:val="center"/>
              <w:rPr>
                <w:rFonts w:ascii="Times New Roman" w:hAnsi="Times New Roman" w:eastAsia="新宋体"/>
                <w:b/>
                <w:color w:val="auto"/>
                <w:sz w:val="21"/>
                <w:szCs w:val="21"/>
              </w:rPr>
            </w:pPr>
            <w:r>
              <w:rPr>
                <w:rFonts w:ascii="Times New Roman" w:hAnsi="Times New Roman" w:eastAsia="新宋体"/>
                <w:b/>
                <w:color w:val="auto"/>
                <w:sz w:val="21"/>
                <w:szCs w:val="21"/>
              </w:rPr>
              <w:t>地下水功能敏感性</w:t>
            </w:r>
          </w:p>
        </w:tc>
      </w:tr>
      <w:tr w14:paraId="1008321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249" w:type="pct"/>
            <w:vMerge w:val="continue"/>
            <w:vAlign w:val="center"/>
          </w:tcPr>
          <w:p w14:paraId="1FF77C77">
            <w:pPr>
              <w:pStyle w:val="62"/>
              <w:adjustRightInd w:val="0"/>
              <w:snapToGrid w:val="0"/>
              <w:spacing w:before="0" w:after="0"/>
              <w:jc w:val="center"/>
              <w:rPr>
                <w:rFonts w:ascii="Times New Roman" w:hAnsi="Times New Roman" w:eastAsia="新宋体"/>
                <w:color w:val="auto"/>
                <w:sz w:val="21"/>
                <w:szCs w:val="21"/>
              </w:rPr>
            </w:pPr>
          </w:p>
        </w:tc>
        <w:tc>
          <w:tcPr>
            <w:tcW w:w="1249" w:type="pct"/>
            <w:vAlign w:val="center"/>
          </w:tcPr>
          <w:p w14:paraId="746EAEEE">
            <w:pPr>
              <w:pStyle w:val="62"/>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G1</w:t>
            </w:r>
          </w:p>
        </w:tc>
        <w:tc>
          <w:tcPr>
            <w:tcW w:w="1249" w:type="pct"/>
            <w:vAlign w:val="center"/>
          </w:tcPr>
          <w:p w14:paraId="5539C829">
            <w:pPr>
              <w:pStyle w:val="62"/>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G2</w:t>
            </w:r>
          </w:p>
        </w:tc>
        <w:tc>
          <w:tcPr>
            <w:tcW w:w="1252" w:type="pct"/>
            <w:vAlign w:val="center"/>
          </w:tcPr>
          <w:p w14:paraId="24C0B5B9">
            <w:pPr>
              <w:pStyle w:val="62"/>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G3</w:t>
            </w:r>
          </w:p>
        </w:tc>
      </w:tr>
      <w:tr w14:paraId="61FE2F7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249" w:type="pct"/>
            <w:vAlign w:val="center"/>
          </w:tcPr>
          <w:p w14:paraId="2576FC9E">
            <w:pPr>
              <w:pStyle w:val="62"/>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D1</w:t>
            </w:r>
          </w:p>
        </w:tc>
        <w:tc>
          <w:tcPr>
            <w:tcW w:w="1249" w:type="pct"/>
            <w:vAlign w:val="center"/>
          </w:tcPr>
          <w:p w14:paraId="60C605D3">
            <w:pPr>
              <w:pStyle w:val="62"/>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E1</w:t>
            </w:r>
          </w:p>
        </w:tc>
        <w:tc>
          <w:tcPr>
            <w:tcW w:w="1249" w:type="pct"/>
            <w:vAlign w:val="center"/>
          </w:tcPr>
          <w:p w14:paraId="27DA53FC">
            <w:pPr>
              <w:pStyle w:val="62"/>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E1</w:t>
            </w:r>
          </w:p>
        </w:tc>
        <w:tc>
          <w:tcPr>
            <w:tcW w:w="1252" w:type="pct"/>
            <w:tcBorders>
              <w:bottom w:val="single" w:color="auto" w:sz="6" w:space="0"/>
            </w:tcBorders>
            <w:vAlign w:val="center"/>
          </w:tcPr>
          <w:p w14:paraId="7DD4A656">
            <w:pPr>
              <w:pStyle w:val="62"/>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E2</w:t>
            </w:r>
          </w:p>
        </w:tc>
      </w:tr>
      <w:tr w14:paraId="7BB97F5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249" w:type="pct"/>
            <w:vAlign w:val="center"/>
          </w:tcPr>
          <w:p w14:paraId="6F70F785">
            <w:pPr>
              <w:pStyle w:val="62"/>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D2</w:t>
            </w:r>
          </w:p>
        </w:tc>
        <w:tc>
          <w:tcPr>
            <w:tcW w:w="1249" w:type="pct"/>
            <w:vAlign w:val="center"/>
          </w:tcPr>
          <w:p w14:paraId="5BD4A818">
            <w:pPr>
              <w:pStyle w:val="62"/>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E1</w:t>
            </w:r>
          </w:p>
        </w:tc>
        <w:tc>
          <w:tcPr>
            <w:tcW w:w="1249" w:type="pct"/>
            <w:vAlign w:val="center"/>
          </w:tcPr>
          <w:p w14:paraId="08418773">
            <w:pPr>
              <w:pStyle w:val="62"/>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E2</w:t>
            </w:r>
          </w:p>
        </w:tc>
        <w:tc>
          <w:tcPr>
            <w:tcW w:w="1252" w:type="pct"/>
            <w:tcBorders>
              <w:top w:val="single" w:color="auto" w:sz="6" w:space="0"/>
              <w:bottom w:val="single" w:color="auto" w:sz="6" w:space="0"/>
            </w:tcBorders>
            <w:shd w:val="clear" w:color="auto" w:fill="BFBFBF"/>
            <w:vAlign w:val="center"/>
          </w:tcPr>
          <w:p w14:paraId="54F5FB60">
            <w:pPr>
              <w:pStyle w:val="62"/>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E3</w:t>
            </w:r>
          </w:p>
        </w:tc>
      </w:tr>
      <w:tr w14:paraId="59298AE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249" w:type="pct"/>
            <w:vAlign w:val="center"/>
          </w:tcPr>
          <w:p w14:paraId="16573B46">
            <w:pPr>
              <w:pStyle w:val="62"/>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D3</w:t>
            </w:r>
          </w:p>
        </w:tc>
        <w:tc>
          <w:tcPr>
            <w:tcW w:w="1249" w:type="pct"/>
            <w:vAlign w:val="center"/>
          </w:tcPr>
          <w:p w14:paraId="2B8999EA">
            <w:pPr>
              <w:pStyle w:val="62"/>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E2</w:t>
            </w:r>
          </w:p>
        </w:tc>
        <w:tc>
          <w:tcPr>
            <w:tcW w:w="1249" w:type="pct"/>
            <w:vAlign w:val="center"/>
          </w:tcPr>
          <w:p w14:paraId="58E2634C">
            <w:pPr>
              <w:pStyle w:val="62"/>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E3</w:t>
            </w:r>
          </w:p>
        </w:tc>
        <w:tc>
          <w:tcPr>
            <w:tcW w:w="1252" w:type="pct"/>
            <w:tcBorders>
              <w:top w:val="single" w:color="auto" w:sz="6" w:space="0"/>
            </w:tcBorders>
            <w:vAlign w:val="center"/>
          </w:tcPr>
          <w:p w14:paraId="00084AC8">
            <w:pPr>
              <w:pStyle w:val="62"/>
              <w:adjustRightInd w:val="0"/>
              <w:snapToGrid w:val="0"/>
              <w:spacing w:before="0" w:after="0"/>
              <w:jc w:val="center"/>
              <w:rPr>
                <w:rFonts w:ascii="Times New Roman" w:hAnsi="Times New Roman" w:eastAsia="新宋体"/>
                <w:color w:val="auto"/>
                <w:sz w:val="21"/>
                <w:szCs w:val="21"/>
              </w:rPr>
            </w:pPr>
            <w:r>
              <w:rPr>
                <w:rFonts w:ascii="Times New Roman" w:hAnsi="Times New Roman" w:eastAsia="新宋体"/>
                <w:color w:val="auto"/>
                <w:sz w:val="21"/>
                <w:szCs w:val="21"/>
              </w:rPr>
              <w:t>E3</w:t>
            </w:r>
          </w:p>
        </w:tc>
      </w:tr>
    </w:tbl>
    <w:p w14:paraId="29C2E596">
      <w:pPr>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由区域地下水功能敏感性分区和包气带防污性能分级，项目地下水环境敏感程度为低环境敏感区（E3）。事故状况下事故废水能够得到有效收集， 且事故水池采取重点防渗措施， 本章节不再单独考虑事故水池破裂造成的地下水污染。</w:t>
      </w:r>
    </w:p>
    <w:p w14:paraId="34EE83E9">
      <w:pPr>
        <w:spacing w:line="360" w:lineRule="auto"/>
        <w:ind w:firstLine="482"/>
        <w:outlineLvl w:val="2"/>
        <w:rPr>
          <w:rFonts w:ascii="Times New Roman" w:hAnsi="Times New Roman" w:eastAsia="新宋体" w:cs="Times New Roman"/>
          <w:b/>
          <w:bCs/>
          <w:color w:val="auto"/>
          <w:lang w:eastAsia="zh-CN"/>
        </w:rPr>
      </w:pPr>
      <w:bookmarkStart w:id="1835" w:name="_Toc133333709"/>
      <w:bookmarkStart w:id="1836" w:name="_Toc203927073"/>
      <w:bookmarkStart w:id="1837" w:name="_Toc217662740"/>
      <w:bookmarkStart w:id="1838" w:name="_Toc231828650"/>
      <w:bookmarkStart w:id="1839" w:name="_Toc178602421"/>
      <w:bookmarkStart w:id="1840" w:name="_Toc225784129"/>
      <w:bookmarkStart w:id="1841" w:name="_Toc19489"/>
      <w:bookmarkStart w:id="1842" w:name="_Toc224674767"/>
      <w:bookmarkStart w:id="1843" w:name="_Toc172555716"/>
      <w:bookmarkStart w:id="1844" w:name="_Toc221900909"/>
      <w:bookmarkStart w:id="1845" w:name="_Toc175164345"/>
      <w:bookmarkStart w:id="1846" w:name="_Toc176513080"/>
      <w:bookmarkStart w:id="1847" w:name="_Toc223425127"/>
      <w:bookmarkStart w:id="1848" w:name="_Toc133176715"/>
      <w:bookmarkStart w:id="1849" w:name="_Toc218784352"/>
      <w:bookmarkStart w:id="1850" w:name="_Toc204448534"/>
      <w:bookmarkStart w:id="1851" w:name="_Toc237508363"/>
      <w:bookmarkStart w:id="1852" w:name="_Toc173740350"/>
      <w:bookmarkStart w:id="1853" w:name="_Toc236641898"/>
      <w:bookmarkStart w:id="1854" w:name="_Toc204515269"/>
      <w:bookmarkStart w:id="1855" w:name="_Toc173743454"/>
      <w:r>
        <w:rPr>
          <w:rFonts w:ascii="Times New Roman" w:hAnsi="Times New Roman" w:eastAsia="新宋体" w:cs="Times New Roman"/>
          <w:b/>
          <w:bCs/>
          <w:color w:val="auto"/>
          <w:lang w:eastAsia="zh-CN"/>
        </w:rPr>
        <w:t>7.</w:t>
      </w:r>
      <w:r>
        <w:rPr>
          <w:rFonts w:hint="eastAsia" w:ascii="Times New Roman" w:hAnsi="Times New Roman" w:eastAsia="新宋体" w:cs="Times New Roman"/>
          <w:b/>
          <w:bCs/>
          <w:color w:val="auto"/>
          <w:lang w:eastAsia="zh-CN"/>
        </w:rPr>
        <w:t>4</w:t>
      </w:r>
      <w:r>
        <w:rPr>
          <w:rFonts w:ascii="Times New Roman" w:hAnsi="Times New Roman" w:eastAsia="新宋体" w:cs="Times New Roman"/>
          <w:b/>
          <w:bCs/>
          <w:color w:val="auto"/>
          <w:lang w:eastAsia="zh-CN"/>
        </w:rPr>
        <w:t>.3 环境风险潜势划分</w:t>
      </w:r>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p>
    <w:p w14:paraId="3D474202">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根据建设项目涉及的物质和工艺系统的危险性及其所在地的环境敏感程度，结合事故情形下环境影响途径，对建设项目潜在环境危害程度进行概化分析，具体见下表。</w:t>
      </w:r>
    </w:p>
    <w:p w14:paraId="71BC21B0">
      <w:pPr>
        <w:spacing w:line="360" w:lineRule="auto"/>
        <w:jc w:val="center"/>
        <w:rPr>
          <w:rFonts w:ascii="Times New Roman" w:hAnsi="Times New Roman" w:eastAsia="新宋体" w:cs="Times New Roman"/>
          <w:b/>
          <w:bCs/>
          <w:color w:val="auto"/>
          <w:lang w:eastAsia="zh-CN"/>
        </w:rPr>
      </w:pPr>
      <w:r>
        <w:rPr>
          <w:rFonts w:ascii="Times New Roman" w:hAnsi="Times New Roman" w:eastAsia="新宋体" w:cs="Times New Roman"/>
          <w:b/>
          <w:bCs/>
          <w:color w:val="auto"/>
          <w:szCs w:val="24"/>
          <w:lang w:eastAsia="zh-CN"/>
        </w:rPr>
        <w:t>表7.</w:t>
      </w:r>
      <w:r>
        <w:rPr>
          <w:rFonts w:hint="eastAsia" w:ascii="Times New Roman" w:hAnsi="Times New Roman" w:eastAsia="新宋体" w:cs="Times New Roman"/>
          <w:b/>
          <w:bCs/>
          <w:color w:val="auto"/>
          <w:szCs w:val="24"/>
          <w:lang w:eastAsia="zh-CN"/>
        </w:rPr>
        <w:t>4</w:t>
      </w:r>
      <w:r>
        <w:rPr>
          <w:rFonts w:ascii="Times New Roman" w:hAnsi="Times New Roman" w:eastAsia="新宋体" w:cs="Times New Roman"/>
          <w:b/>
          <w:bCs/>
          <w:color w:val="auto"/>
          <w:szCs w:val="24"/>
          <w:lang w:eastAsia="zh-CN"/>
        </w:rPr>
        <w:t>-11 建设项目环境风险潜势划分</w:t>
      </w:r>
    </w:p>
    <w:tbl>
      <w:tblPr>
        <w:tblStyle w:val="35"/>
        <w:tblW w:w="4982"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733"/>
        <w:gridCol w:w="2323"/>
        <w:gridCol w:w="1661"/>
        <w:gridCol w:w="1661"/>
        <w:gridCol w:w="1661"/>
        <w:gridCol w:w="1672"/>
      </w:tblGrid>
      <w:tr w14:paraId="7058448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8" w:type="pct"/>
            <w:vMerge w:val="restart"/>
            <w:vAlign w:val="center"/>
          </w:tcPr>
          <w:p w14:paraId="59654A68">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类别</w:t>
            </w:r>
          </w:p>
        </w:tc>
        <w:tc>
          <w:tcPr>
            <w:tcW w:w="1196" w:type="pct"/>
            <w:vMerge w:val="restart"/>
            <w:vAlign w:val="center"/>
          </w:tcPr>
          <w:p w14:paraId="1DE46029">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环境敏感程度（E）</w:t>
            </w:r>
          </w:p>
        </w:tc>
        <w:tc>
          <w:tcPr>
            <w:tcW w:w="3425" w:type="pct"/>
            <w:gridSpan w:val="4"/>
            <w:vAlign w:val="center"/>
          </w:tcPr>
          <w:p w14:paraId="5D49B958">
            <w:pPr>
              <w:widowControl w:val="0"/>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危险物质及工艺系统危险性（P）</w:t>
            </w:r>
          </w:p>
        </w:tc>
      </w:tr>
      <w:tr w14:paraId="3F79D17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8" w:type="pct"/>
            <w:vMerge w:val="continue"/>
            <w:vAlign w:val="center"/>
          </w:tcPr>
          <w:p w14:paraId="0548D30C">
            <w:pPr>
              <w:widowControl w:val="0"/>
              <w:adjustRightInd w:val="0"/>
              <w:snapToGrid w:val="0"/>
              <w:jc w:val="center"/>
              <w:rPr>
                <w:rFonts w:ascii="Times New Roman" w:hAnsi="Times New Roman" w:cs="Times New Roman"/>
                <w:b/>
                <w:bCs/>
                <w:color w:val="auto"/>
                <w:sz w:val="21"/>
                <w:lang w:eastAsia="zh-CN"/>
              </w:rPr>
            </w:pPr>
          </w:p>
        </w:tc>
        <w:tc>
          <w:tcPr>
            <w:tcW w:w="1196" w:type="pct"/>
            <w:vMerge w:val="continue"/>
            <w:vAlign w:val="center"/>
          </w:tcPr>
          <w:p w14:paraId="55D5203E">
            <w:pPr>
              <w:widowControl w:val="0"/>
              <w:adjustRightInd w:val="0"/>
              <w:snapToGrid w:val="0"/>
              <w:jc w:val="center"/>
              <w:rPr>
                <w:rFonts w:ascii="Times New Roman" w:hAnsi="Times New Roman" w:cs="Times New Roman"/>
                <w:b/>
                <w:bCs/>
                <w:color w:val="auto"/>
                <w:sz w:val="21"/>
                <w:lang w:eastAsia="zh-CN"/>
              </w:rPr>
            </w:pPr>
          </w:p>
        </w:tc>
        <w:tc>
          <w:tcPr>
            <w:tcW w:w="855" w:type="pct"/>
            <w:vAlign w:val="center"/>
          </w:tcPr>
          <w:p w14:paraId="6C42BCCB">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极度危害</w:t>
            </w:r>
          </w:p>
          <w:p w14:paraId="5751A285">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（P1）</w:t>
            </w:r>
          </w:p>
        </w:tc>
        <w:tc>
          <w:tcPr>
            <w:tcW w:w="855" w:type="pct"/>
            <w:vAlign w:val="center"/>
          </w:tcPr>
          <w:p w14:paraId="71D49C02">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高度危害</w:t>
            </w:r>
          </w:p>
          <w:p w14:paraId="0471F4D0">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（P2）</w:t>
            </w:r>
          </w:p>
        </w:tc>
        <w:tc>
          <w:tcPr>
            <w:tcW w:w="855" w:type="pct"/>
            <w:vAlign w:val="center"/>
          </w:tcPr>
          <w:p w14:paraId="22C97B3F">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中度危害</w:t>
            </w:r>
          </w:p>
          <w:p w14:paraId="2689F5C2">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（P3）</w:t>
            </w:r>
          </w:p>
        </w:tc>
        <w:tc>
          <w:tcPr>
            <w:tcW w:w="857" w:type="pct"/>
            <w:shd w:val="clear" w:color="auto" w:fill="FFFFFF"/>
            <w:vAlign w:val="center"/>
          </w:tcPr>
          <w:p w14:paraId="15A5CD19">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轻度危害</w:t>
            </w:r>
          </w:p>
          <w:p w14:paraId="14BA05B6">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（P4）</w:t>
            </w:r>
          </w:p>
        </w:tc>
      </w:tr>
      <w:tr w14:paraId="4214D8C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8" w:type="pct"/>
            <w:vMerge w:val="restart"/>
            <w:vAlign w:val="center"/>
          </w:tcPr>
          <w:p w14:paraId="3F666EFE">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大气环境</w:t>
            </w:r>
          </w:p>
        </w:tc>
        <w:tc>
          <w:tcPr>
            <w:tcW w:w="1196" w:type="pct"/>
            <w:vAlign w:val="center"/>
          </w:tcPr>
          <w:p w14:paraId="57BCE428">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环境高度敏感区（E1）</w:t>
            </w:r>
          </w:p>
        </w:tc>
        <w:tc>
          <w:tcPr>
            <w:tcW w:w="855" w:type="pct"/>
            <w:vAlign w:val="center"/>
          </w:tcPr>
          <w:p w14:paraId="0489C33A">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Ⅳ+</w:t>
            </w:r>
          </w:p>
        </w:tc>
        <w:tc>
          <w:tcPr>
            <w:tcW w:w="855" w:type="pct"/>
            <w:vAlign w:val="center"/>
          </w:tcPr>
          <w:p w14:paraId="341342BD">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Ⅳ</w:t>
            </w:r>
          </w:p>
        </w:tc>
        <w:tc>
          <w:tcPr>
            <w:tcW w:w="855" w:type="pct"/>
            <w:vAlign w:val="center"/>
          </w:tcPr>
          <w:p w14:paraId="61F42F1D">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c>
          <w:tcPr>
            <w:tcW w:w="857" w:type="pct"/>
            <w:shd w:val="clear" w:color="auto" w:fill="FFFFFF"/>
            <w:vAlign w:val="center"/>
          </w:tcPr>
          <w:p w14:paraId="6FC05F4C">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r>
      <w:tr w14:paraId="1C6DFBD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8" w:type="pct"/>
            <w:vMerge w:val="continue"/>
            <w:vAlign w:val="center"/>
          </w:tcPr>
          <w:p w14:paraId="34CE036B">
            <w:pPr>
              <w:widowControl w:val="0"/>
              <w:adjustRightInd w:val="0"/>
              <w:snapToGrid w:val="0"/>
              <w:jc w:val="center"/>
              <w:rPr>
                <w:rFonts w:ascii="Times New Roman" w:hAnsi="Times New Roman" w:cs="Times New Roman"/>
                <w:color w:val="auto"/>
                <w:sz w:val="21"/>
              </w:rPr>
            </w:pPr>
          </w:p>
        </w:tc>
        <w:tc>
          <w:tcPr>
            <w:tcW w:w="1196" w:type="pct"/>
            <w:vAlign w:val="center"/>
          </w:tcPr>
          <w:p w14:paraId="5E65FCA1">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环境中度敏感区（E2）</w:t>
            </w:r>
          </w:p>
        </w:tc>
        <w:tc>
          <w:tcPr>
            <w:tcW w:w="855" w:type="pct"/>
            <w:shd w:val="clear" w:color="auto" w:fill="BEBEBE" w:themeFill="background1" w:themeFillShade="BF"/>
            <w:vAlign w:val="center"/>
          </w:tcPr>
          <w:p w14:paraId="0999A7C0">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Ⅳ</w:t>
            </w:r>
          </w:p>
        </w:tc>
        <w:tc>
          <w:tcPr>
            <w:tcW w:w="855" w:type="pct"/>
            <w:vAlign w:val="center"/>
          </w:tcPr>
          <w:p w14:paraId="66C51C82">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c>
          <w:tcPr>
            <w:tcW w:w="855" w:type="pct"/>
            <w:vAlign w:val="center"/>
          </w:tcPr>
          <w:p w14:paraId="32E38410">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c>
          <w:tcPr>
            <w:tcW w:w="857" w:type="pct"/>
            <w:vAlign w:val="center"/>
          </w:tcPr>
          <w:p w14:paraId="5D4E35AC">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Ⅱ</w:t>
            </w:r>
          </w:p>
        </w:tc>
      </w:tr>
      <w:tr w14:paraId="3FBEAE4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8" w:type="pct"/>
            <w:vMerge w:val="continue"/>
            <w:vAlign w:val="center"/>
          </w:tcPr>
          <w:p w14:paraId="4263910B">
            <w:pPr>
              <w:widowControl w:val="0"/>
              <w:adjustRightInd w:val="0"/>
              <w:snapToGrid w:val="0"/>
              <w:jc w:val="center"/>
              <w:rPr>
                <w:rFonts w:ascii="Times New Roman" w:hAnsi="Times New Roman" w:cs="Times New Roman"/>
                <w:color w:val="auto"/>
                <w:sz w:val="21"/>
              </w:rPr>
            </w:pPr>
          </w:p>
        </w:tc>
        <w:tc>
          <w:tcPr>
            <w:tcW w:w="1196" w:type="pct"/>
            <w:vAlign w:val="center"/>
          </w:tcPr>
          <w:p w14:paraId="00C02B57">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环境低度敏感区（E3）</w:t>
            </w:r>
          </w:p>
        </w:tc>
        <w:tc>
          <w:tcPr>
            <w:tcW w:w="855" w:type="pct"/>
            <w:vAlign w:val="center"/>
          </w:tcPr>
          <w:p w14:paraId="674B6200">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c>
          <w:tcPr>
            <w:tcW w:w="855" w:type="pct"/>
            <w:vAlign w:val="center"/>
          </w:tcPr>
          <w:p w14:paraId="51FB7916">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c>
          <w:tcPr>
            <w:tcW w:w="855" w:type="pct"/>
            <w:vAlign w:val="center"/>
          </w:tcPr>
          <w:p w14:paraId="37611330">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Ⅱ</w:t>
            </w:r>
          </w:p>
        </w:tc>
        <w:tc>
          <w:tcPr>
            <w:tcW w:w="857" w:type="pct"/>
            <w:shd w:val="clear" w:color="auto" w:fill="FFFFFF"/>
            <w:vAlign w:val="center"/>
          </w:tcPr>
          <w:p w14:paraId="2229FC3E">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Ⅰ</w:t>
            </w:r>
          </w:p>
        </w:tc>
      </w:tr>
      <w:tr w14:paraId="0F6C8B3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8" w:type="pct"/>
            <w:vMerge w:val="restart"/>
            <w:vAlign w:val="center"/>
          </w:tcPr>
          <w:p w14:paraId="11303515">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地表水</w:t>
            </w:r>
          </w:p>
        </w:tc>
        <w:tc>
          <w:tcPr>
            <w:tcW w:w="1196" w:type="pct"/>
            <w:vAlign w:val="center"/>
          </w:tcPr>
          <w:p w14:paraId="017119F5">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环境高度敏感区（E1）</w:t>
            </w:r>
          </w:p>
        </w:tc>
        <w:tc>
          <w:tcPr>
            <w:tcW w:w="855" w:type="pct"/>
            <w:shd w:val="clear" w:color="auto" w:fill="BEBEBE" w:themeFill="background1" w:themeFillShade="BF"/>
            <w:vAlign w:val="center"/>
          </w:tcPr>
          <w:p w14:paraId="6AFD8FBD">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Ⅳ+</w:t>
            </w:r>
          </w:p>
        </w:tc>
        <w:tc>
          <w:tcPr>
            <w:tcW w:w="855" w:type="pct"/>
            <w:vAlign w:val="center"/>
          </w:tcPr>
          <w:p w14:paraId="1C80274C">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Ⅳ</w:t>
            </w:r>
          </w:p>
        </w:tc>
        <w:tc>
          <w:tcPr>
            <w:tcW w:w="855" w:type="pct"/>
            <w:vAlign w:val="center"/>
          </w:tcPr>
          <w:p w14:paraId="7B704155">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c>
          <w:tcPr>
            <w:tcW w:w="857" w:type="pct"/>
            <w:vAlign w:val="center"/>
          </w:tcPr>
          <w:p w14:paraId="1C8758F6">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r>
      <w:tr w14:paraId="020D6C6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8" w:type="pct"/>
            <w:vMerge w:val="continue"/>
            <w:vAlign w:val="center"/>
          </w:tcPr>
          <w:p w14:paraId="52269400">
            <w:pPr>
              <w:widowControl w:val="0"/>
              <w:adjustRightInd w:val="0"/>
              <w:snapToGrid w:val="0"/>
              <w:jc w:val="center"/>
              <w:rPr>
                <w:rFonts w:ascii="Times New Roman" w:hAnsi="Times New Roman" w:cs="Times New Roman"/>
                <w:color w:val="auto"/>
                <w:sz w:val="21"/>
              </w:rPr>
            </w:pPr>
          </w:p>
        </w:tc>
        <w:tc>
          <w:tcPr>
            <w:tcW w:w="1196" w:type="pct"/>
            <w:vAlign w:val="center"/>
          </w:tcPr>
          <w:p w14:paraId="2D08B2F8">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环境中度敏感区（E2）</w:t>
            </w:r>
          </w:p>
        </w:tc>
        <w:tc>
          <w:tcPr>
            <w:tcW w:w="855" w:type="pct"/>
            <w:vAlign w:val="center"/>
          </w:tcPr>
          <w:p w14:paraId="41C6AE4F">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Ⅳ</w:t>
            </w:r>
          </w:p>
        </w:tc>
        <w:tc>
          <w:tcPr>
            <w:tcW w:w="855" w:type="pct"/>
            <w:vAlign w:val="center"/>
          </w:tcPr>
          <w:p w14:paraId="7E19DAD9">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c>
          <w:tcPr>
            <w:tcW w:w="855" w:type="pct"/>
            <w:vAlign w:val="center"/>
          </w:tcPr>
          <w:p w14:paraId="40EDA1FB">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c>
          <w:tcPr>
            <w:tcW w:w="857" w:type="pct"/>
            <w:vAlign w:val="center"/>
          </w:tcPr>
          <w:p w14:paraId="776BEA6E">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Ⅱ</w:t>
            </w:r>
          </w:p>
        </w:tc>
      </w:tr>
      <w:tr w14:paraId="6988EC6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8" w:type="pct"/>
            <w:vMerge w:val="continue"/>
            <w:vAlign w:val="center"/>
          </w:tcPr>
          <w:p w14:paraId="5804A1BB">
            <w:pPr>
              <w:widowControl w:val="0"/>
              <w:adjustRightInd w:val="0"/>
              <w:snapToGrid w:val="0"/>
              <w:jc w:val="center"/>
              <w:rPr>
                <w:rFonts w:ascii="Times New Roman" w:hAnsi="Times New Roman" w:cs="Times New Roman"/>
                <w:color w:val="auto"/>
                <w:sz w:val="21"/>
              </w:rPr>
            </w:pPr>
          </w:p>
        </w:tc>
        <w:tc>
          <w:tcPr>
            <w:tcW w:w="1196" w:type="pct"/>
            <w:vAlign w:val="center"/>
          </w:tcPr>
          <w:p w14:paraId="44BD5582">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环境低度敏感区（E3）</w:t>
            </w:r>
          </w:p>
        </w:tc>
        <w:tc>
          <w:tcPr>
            <w:tcW w:w="855" w:type="pct"/>
            <w:vAlign w:val="center"/>
          </w:tcPr>
          <w:p w14:paraId="2E862D27">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c>
          <w:tcPr>
            <w:tcW w:w="855" w:type="pct"/>
            <w:vAlign w:val="center"/>
          </w:tcPr>
          <w:p w14:paraId="6C7EEB3C">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c>
          <w:tcPr>
            <w:tcW w:w="855" w:type="pct"/>
            <w:vAlign w:val="center"/>
          </w:tcPr>
          <w:p w14:paraId="5C13543B">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Ⅱ</w:t>
            </w:r>
          </w:p>
        </w:tc>
        <w:tc>
          <w:tcPr>
            <w:tcW w:w="857" w:type="pct"/>
            <w:shd w:val="clear" w:color="auto" w:fill="FFFFFF"/>
            <w:vAlign w:val="center"/>
          </w:tcPr>
          <w:p w14:paraId="6C9349F3">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Ⅰ</w:t>
            </w:r>
          </w:p>
        </w:tc>
      </w:tr>
      <w:tr w14:paraId="253995F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8" w:type="pct"/>
            <w:vMerge w:val="restart"/>
            <w:vAlign w:val="center"/>
          </w:tcPr>
          <w:p w14:paraId="44E238CF">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地下水</w:t>
            </w:r>
          </w:p>
        </w:tc>
        <w:tc>
          <w:tcPr>
            <w:tcW w:w="1196" w:type="pct"/>
            <w:vAlign w:val="center"/>
          </w:tcPr>
          <w:p w14:paraId="35AA2DAC">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环境高度敏感区（E1）</w:t>
            </w:r>
          </w:p>
        </w:tc>
        <w:tc>
          <w:tcPr>
            <w:tcW w:w="855" w:type="pct"/>
            <w:vAlign w:val="center"/>
          </w:tcPr>
          <w:p w14:paraId="5CA6FC78">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Ⅳ+</w:t>
            </w:r>
          </w:p>
        </w:tc>
        <w:tc>
          <w:tcPr>
            <w:tcW w:w="855" w:type="pct"/>
            <w:vAlign w:val="center"/>
          </w:tcPr>
          <w:p w14:paraId="0D307165">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Ⅳ</w:t>
            </w:r>
          </w:p>
        </w:tc>
        <w:tc>
          <w:tcPr>
            <w:tcW w:w="855" w:type="pct"/>
            <w:vAlign w:val="center"/>
          </w:tcPr>
          <w:p w14:paraId="167AF574">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c>
          <w:tcPr>
            <w:tcW w:w="857" w:type="pct"/>
            <w:shd w:val="clear" w:color="auto" w:fill="FFFFFF"/>
            <w:vAlign w:val="center"/>
          </w:tcPr>
          <w:p w14:paraId="06271ABE">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r>
      <w:tr w14:paraId="0298ACA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8" w:type="pct"/>
            <w:vMerge w:val="continue"/>
            <w:vAlign w:val="center"/>
          </w:tcPr>
          <w:p w14:paraId="2D3AB4EB">
            <w:pPr>
              <w:widowControl w:val="0"/>
              <w:adjustRightInd w:val="0"/>
              <w:snapToGrid w:val="0"/>
              <w:jc w:val="center"/>
              <w:rPr>
                <w:rFonts w:ascii="Times New Roman" w:hAnsi="Times New Roman" w:cs="Times New Roman"/>
                <w:color w:val="auto"/>
                <w:sz w:val="21"/>
              </w:rPr>
            </w:pPr>
          </w:p>
        </w:tc>
        <w:tc>
          <w:tcPr>
            <w:tcW w:w="1196" w:type="pct"/>
            <w:vAlign w:val="center"/>
          </w:tcPr>
          <w:p w14:paraId="403B57D7">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环境中度敏感区（E2）</w:t>
            </w:r>
          </w:p>
        </w:tc>
        <w:tc>
          <w:tcPr>
            <w:tcW w:w="855" w:type="pct"/>
            <w:vAlign w:val="center"/>
          </w:tcPr>
          <w:p w14:paraId="3FA59CFC">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Ⅳ</w:t>
            </w:r>
          </w:p>
        </w:tc>
        <w:tc>
          <w:tcPr>
            <w:tcW w:w="855" w:type="pct"/>
            <w:vAlign w:val="center"/>
          </w:tcPr>
          <w:p w14:paraId="4F844D22">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c>
          <w:tcPr>
            <w:tcW w:w="855" w:type="pct"/>
            <w:vAlign w:val="center"/>
          </w:tcPr>
          <w:p w14:paraId="218FE62C">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c>
          <w:tcPr>
            <w:tcW w:w="857" w:type="pct"/>
            <w:shd w:val="clear" w:color="auto" w:fill="FFFFFF"/>
            <w:vAlign w:val="center"/>
          </w:tcPr>
          <w:p w14:paraId="287DF124">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Ⅱ</w:t>
            </w:r>
          </w:p>
        </w:tc>
      </w:tr>
      <w:tr w14:paraId="6C894FC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78" w:type="pct"/>
            <w:vMerge w:val="continue"/>
            <w:vAlign w:val="center"/>
          </w:tcPr>
          <w:p w14:paraId="36251DF9">
            <w:pPr>
              <w:widowControl w:val="0"/>
              <w:adjustRightInd w:val="0"/>
              <w:snapToGrid w:val="0"/>
              <w:jc w:val="center"/>
              <w:rPr>
                <w:rFonts w:ascii="Times New Roman" w:hAnsi="Times New Roman" w:cs="Times New Roman"/>
                <w:color w:val="auto"/>
                <w:sz w:val="21"/>
              </w:rPr>
            </w:pPr>
          </w:p>
        </w:tc>
        <w:tc>
          <w:tcPr>
            <w:tcW w:w="1196" w:type="pct"/>
            <w:vAlign w:val="center"/>
          </w:tcPr>
          <w:p w14:paraId="48FBAAFB">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环境低度敏感区（E3）</w:t>
            </w:r>
          </w:p>
        </w:tc>
        <w:tc>
          <w:tcPr>
            <w:tcW w:w="855" w:type="pct"/>
            <w:shd w:val="clear" w:color="auto" w:fill="BEBEBE" w:themeFill="background1" w:themeFillShade="BF"/>
            <w:vAlign w:val="center"/>
          </w:tcPr>
          <w:p w14:paraId="79DB41A3">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c>
          <w:tcPr>
            <w:tcW w:w="855" w:type="pct"/>
            <w:vAlign w:val="center"/>
          </w:tcPr>
          <w:p w14:paraId="6B71FDFA">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p>
        </w:tc>
        <w:tc>
          <w:tcPr>
            <w:tcW w:w="855" w:type="pct"/>
            <w:vAlign w:val="center"/>
          </w:tcPr>
          <w:p w14:paraId="0F295217">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Ⅱ</w:t>
            </w:r>
          </w:p>
        </w:tc>
        <w:tc>
          <w:tcPr>
            <w:tcW w:w="857" w:type="pct"/>
            <w:vAlign w:val="center"/>
          </w:tcPr>
          <w:p w14:paraId="3F3EEFFB">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Ⅰ</w:t>
            </w:r>
          </w:p>
        </w:tc>
      </w:tr>
      <w:tr w14:paraId="6CEDF33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000" w:type="pct"/>
            <w:gridSpan w:val="6"/>
            <w:vAlign w:val="center"/>
          </w:tcPr>
          <w:p w14:paraId="6AC6EFE4">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注：Ⅳ+为极高环境风险</w:t>
            </w:r>
          </w:p>
        </w:tc>
      </w:tr>
    </w:tbl>
    <w:p w14:paraId="7F995D46">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hint="eastAsia" w:ascii="Times New Roman" w:hAnsi="Times New Roman" w:eastAsia="新宋体" w:cs="Times New Roman"/>
          <w:color w:val="auto"/>
          <w:szCs w:val="24"/>
          <w:lang w:eastAsia="zh-CN"/>
        </w:rPr>
        <w:t>（1）</w:t>
      </w:r>
      <w:r>
        <w:rPr>
          <w:rFonts w:ascii="Times New Roman" w:hAnsi="Times New Roman" w:eastAsia="新宋体" w:cs="Times New Roman"/>
          <w:color w:val="auto"/>
          <w:szCs w:val="24"/>
          <w:lang w:eastAsia="zh-CN"/>
        </w:rPr>
        <w:t>大气环境风险潜势</w:t>
      </w:r>
    </w:p>
    <w:p w14:paraId="399C38D9">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根据大气环境敏感程度、项目危险物质及危险物质及工艺系统危险性，项目大气环境风险潜势为Ⅳ级。</w:t>
      </w:r>
    </w:p>
    <w:p w14:paraId="393D9E65">
      <w:pPr>
        <w:widowControl w:val="0"/>
        <w:spacing w:line="360" w:lineRule="auto"/>
        <w:ind w:left="480"/>
        <w:jc w:val="both"/>
        <w:rPr>
          <w:rFonts w:ascii="Times New Roman" w:hAnsi="Times New Roman" w:eastAsia="新宋体" w:cs="Times New Roman"/>
          <w:color w:val="auto"/>
          <w:szCs w:val="24"/>
          <w:lang w:eastAsia="zh-CN"/>
        </w:rPr>
      </w:pPr>
      <w:r>
        <w:rPr>
          <w:rFonts w:hint="eastAsia" w:ascii="Times New Roman" w:hAnsi="Times New Roman" w:eastAsia="新宋体" w:cs="Times New Roman"/>
          <w:color w:val="auto"/>
          <w:szCs w:val="24"/>
          <w:lang w:eastAsia="zh-CN"/>
        </w:rPr>
        <w:t>（2）</w:t>
      </w:r>
      <w:r>
        <w:rPr>
          <w:rFonts w:ascii="Times New Roman" w:hAnsi="Times New Roman" w:eastAsia="新宋体" w:cs="Times New Roman"/>
          <w:color w:val="auto"/>
          <w:szCs w:val="24"/>
          <w:lang w:eastAsia="zh-CN"/>
        </w:rPr>
        <w:t>地表水环境风险潜势</w:t>
      </w:r>
    </w:p>
    <w:p w14:paraId="0BF26010">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根据地表水环境敏感程度、项目危险物质及危险物质及工艺系统危险性，项目地表水环境风险潜势为Ⅳ+级。</w:t>
      </w:r>
    </w:p>
    <w:p w14:paraId="6C5BF158">
      <w:pPr>
        <w:widowControl w:val="0"/>
        <w:spacing w:line="360" w:lineRule="auto"/>
        <w:ind w:left="480"/>
        <w:jc w:val="both"/>
        <w:rPr>
          <w:rFonts w:ascii="Times New Roman" w:hAnsi="Times New Roman" w:eastAsia="新宋体" w:cs="Times New Roman"/>
          <w:color w:val="auto"/>
          <w:szCs w:val="24"/>
          <w:lang w:eastAsia="zh-CN"/>
        </w:rPr>
      </w:pPr>
      <w:r>
        <w:rPr>
          <w:rFonts w:hint="eastAsia" w:ascii="Times New Roman" w:hAnsi="Times New Roman" w:eastAsia="新宋体" w:cs="Times New Roman"/>
          <w:color w:val="auto"/>
          <w:szCs w:val="24"/>
          <w:lang w:eastAsia="zh-CN"/>
        </w:rPr>
        <w:t>（3）</w:t>
      </w:r>
      <w:r>
        <w:rPr>
          <w:rFonts w:ascii="Times New Roman" w:hAnsi="Times New Roman" w:eastAsia="新宋体" w:cs="Times New Roman"/>
          <w:color w:val="auto"/>
          <w:szCs w:val="24"/>
          <w:lang w:eastAsia="zh-CN"/>
        </w:rPr>
        <w:t>地下水环境风险潜势</w:t>
      </w:r>
    </w:p>
    <w:p w14:paraId="1E46AB44">
      <w:pPr>
        <w:widowControl w:val="0"/>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eastAsia="新宋体" w:cs="Times New Roman"/>
          <w:color w:val="auto"/>
          <w:szCs w:val="24"/>
          <w:lang w:eastAsia="zh-CN"/>
        </w:rPr>
        <w:t>根据地下水环境敏感程度、项目危险物质及危险物质及工艺系统危险性，项目地下水环境风险潜势为Ⅲ级。</w:t>
      </w:r>
    </w:p>
    <w:p w14:paraId="1038AEA2">
      <w:pPr>
        <w:spacing w:line="360" w:lineRule="auto"/>
        <w:ind w:firstLine="562"/>
        <w:outlineLvl w:val="1"/>
        <w:rPr>
          <w:rFonts w:ascii="Times New Roman" w:hAnsi="Times New Roman" w:cs="Times New Roman"/>
          <w:b/>
          <w:bCs/>
          <w:color w:val="auto"/>
          <w:sz w:val="28"/>
          <w:szCs w:val="22"/>
          <w:lang w:eastAsia="zh-CN"/>
        </w:rPr>
      </w:pPr>
      <w:bookmarkStart w:id="1856" w:name="_Toc237508364"/>
      <w:bookmarkStart w:id="1857" w:name="_Toc16828"/>
      <w:r>
        <w:rPr>
          <w:rFonts w:ascii="Times New Roman" w:hAnsi="Times New Roman" w:cs="Times New Roman"/>
          <w:b/>
          <w:bCs/>
          <w:color w:val="auto"/>
          <w:sz w:val="28"/>
          <w:szCs w:val="22"/>
          <w:lang w:eastAsia="zh-CN"/>
        </w:rPr>
        <w:t>7.</w:t>
      </w:r>
      <w:r>
        <w:rPr>
          <w:rFonts w:hint="eastAsia" w:ascii="Times New Roman" w:hAnsi="Times New Roman" w:cs="Times New Roman"/>
          <w:b/>
          <w:bCs/>
          <w:color w:val="auto"/>
          <w:sz w:val="28"/>
          <w:szCs w:val="22"/>
          <w:lang w:eastAsia="zh-CN"/>
        </w:rPr>
        <w:t>5</w:t>
      </w:r>
      <w:r>
        <w:rPr>
          <w:rFonts w:ascii="Times New Roman" w:hAnsi="Times New Roman" w:cs="Times New Roman"/>
          <w:b/>
          <w:bCs/>
          <w:color w:val="auto"/>
          <w:sz w:val="28"/>
          <w:szCs w:val="22"/>
          <w:lang w:eastAsia="zh-CN"/>
        </w:rPr>
        <w:t xml:space="preserve"> </w:t>
      </w:r>
      <w:r>
        <w:rPr>
          <w:rFonts w:hint="eastAsia" w:ascii="Times New Roman" w:hAnsi="Times New Roman" w:cs="Times New Roman"/>
          <w:b/>
          <w:bCs/>
          <w:color w:val="auto"/>
          <w:sz w:val="28"/>
          <w:szCs w:val="22"/>
          <w:lang w:eastAsia="zh-CN"/>
        </w:rPr>
        <w:t>评价等级及评价范围</w:t>
      </w:r>
      <w:bookmarkEnd w:id="1856"/>
    </w:p>
    <w:p w14:paraId="185E6D00">
      <w:pPr>
        <w:widowControl w:val="0"/>
        <w:spacing w:line="360" w:lineRule="auto"/>
        <w:ind w:firstLine="482"/>
        <w:outlineLvl w:val="2"/>
        <w:rPr>
          <w:rFonts w:ascii="Times New Roman" w:hAnsi="Times New Roman" w:cs="Times New Roman"/>
          <w:b/>
          <w:bCs/>
          <w:color w:val="auto"/>
          <w:lang w:eastAsia="zh-CN"/>
        </w:rPr>
      </w:pPr>
      <w:bookmarkStart w:id="1858" w:name="_Toc225784131"/>
      <w:bookmarkStart w:id="1859" w:name="_Toc236641900"/>
      <w:bookmarkStart w:id="1860" w:name="_Toc221900911"/>
      <w:bookmarkStart w:id="1861" w:name="_Toc217662742"/>
      <w:bookmarkStart w:id="1862" w:name="_Toc224674769"/>
      <w:bookmarkStart w:id="1863" w:name="_Toc173743455"/>
      <w:bookmarkStart w:id="1864" w:name="_Toc203927074"/>
      <w:bookmarkStart w:id="1865" w:name="_Toc178602422"/>
      <w:bookmarkStart w:id="1866" w:name="_Toc204515271"/>
      <w:bookmarkStart w:id="1867" w:name="_Toc173740351"/>
      <w:bookmarkStart w:id="1868" w:name="_Toc172555718"/>
      <w:bookmarkStart w:id="1869" w:name="_Toc231828652"/>
      <w:bookmarkStart w:id="1870" w:name="_Toc223425129"/>
      <w:bookmarkStart w:id="1871" w:name="_Toc218784354"/>
      <w:bookmarkStart w:id="1872" w:name="_Toc204448536"/>
      <w:bookmarkStart w:id="1873" w:name="_Toc13921"/>
      <w:bookmarkStart w:id="1874" w:name="_Toc175164346"/>
      <w:bookmarkStart w:id="1875" w:name="_Toc176513081"/>
      <w:bookmarkStart w:id="1876" w:name="_Toc237508365"/>
      <w:r>
        <w:rPr>
          <w:rFonts w:ascii="Times New Roman" w:hAnsi="Times New Roman" w:cs="Times New Roman"/>
          <w:b/>
          <w:bCs/>
          <w:color w:val="auto"/>
          <w:lang w:eastAsia="zh-CN"/>
        </w:rPr>
        <w:t>7.</w:t>
      </w:r>
      <w:r>
        <w:rPr>
          <w:rFonts w:hint="eastAsia" w:ascii="Times New Roman" w:hAnsi="Times New Roman" w:cs="Times New Roman"/>
          <w:b/>
          <w:bCs/>
          <w:color w:val="auto"/>
          <w:lang w:eastAsia="zh-CN"/>
        </w:rPr>
        <w:t>5</w:t>
      </w:r>
      <w:r>
        <w:rPr>
          <w:rFonts w:ascii="Times New Roman" w:hAnsi="Times New Roman" w:cs="Times New Roman"/>
          <w:b/>
          <w:bCs/>
          <w:color w:val="auto"/>
          <w:lang w:eastAsia="zh-CN"/>
        </w:rPr>
        <w:t>.1 评价工作等级</w:t>
      </w:r>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p>
    <w:p w14:paraId="7988626D">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环境风险评价工作等级划分为一级、二级、三级。根据建设项目涉及的物质及工艺系统危险性和所在地的环境敏感性确定环境风险潜势，按照表</w:t>
      </w:r>
      <w:r>
        <w:rPr>
          <w:rFonts w:hint="eastAsia" w:ascii="Times New Roman" w:hAnsi="Times New Roman" w:cs="Times New Roman"/>
          <w:color w:val="auto"/>
          <w:szCs w:val="24"/>
          <w:lang w:eastAsia="zh-CN"/>
        </w:rPr>
        <w:t>7</w:t>
      </w:r>
      <w:r>
        <w:rPr>
          <w:rFonts w:ascii="Times New Roman" w:hAnsi="Times New Roman" w:cs="Times New Roman"/>
          <w:color w:val="auto"/>
          <w:szCs w:val="24"/>
          <w:lang w:eastAsia="zh-CN"/>
        </w:rPr>
        <w:t>.</w:t>
      </w:r>
      <w:r>
        <w:rPr>
          <w:rFonts w:hint="eastAsia" w:ascii="Times New Roman" w:hAnsi="Times New Roman" w:cs="Times New Roman"/>
          <w:color w:val="auto"/>
          <w:szCs w:val="24"/>
          <w:lang w:eastAsia="zh-CN"/>
        </w:rPr>
        <w:t>4</w:t>
      </w:r>
      <w:r>
        <w:rPr>
          <w:rFonts w:ascii="Times New Roman" w:hAnsi="Times New Roman" w:cs="Times New Roman"/>
          <w:color w:val="auto"/>
          <w:szCs w:val="24"/>
          <w:lang w:eastAsia="zh-CN"/>
        </w:rPr>
        <w:t>-1</w:t>
      </w:r>
      <w:r>
        <w:rPr>
          <w:rFonts w:hint="eastAsia" w:ascii="Times New Roman" w:hAnsi="Times New Roman" w:cs="Times New Roman"/>
          <w:color w:val="auto"/>
          <w:szCs w:val="24"/>
          <w:lang w:eastAsia="zh-CN"/>
        </w:rPr>
        <w:t>1</w:t>
      </w:r>
      <w:r>
        <w:rPr>
          <w:rFonts w:ascii="Times New Roman" w:hAnsi="Times New Roman" w:cs="Times New Roman"/>
          <w:color w:val="auto"/>
          <w:szCs w:val="24"/>
          <w:lang w:eastAsia="zh-CN"/>
        </w:rPr>
        <w:t>确定评价工作等级。风险潜势为</w:t>
      </w:r>
      <w:r>
        <w:rPr>
          <w:rFonts w:ascii="Times New Roman" w:hAnsi="Times New Roman" w:eastAsia="微软雅黑" w:cs="Times New Roman"/>
          <w:color w:val="auto"/>
          <w:szCs w:val="24"/>
          <w:lang w:eastAsia="zh-CN"/>
        </w:rPr>
        <w:t>Ⅳ</w:t>
      </w:r>
      <w:r>
        <w:rPr>
          <w:rFonts w:ascii="Times New Roman" w:hAnsi="Times New Roman" w:cs="Times New Roman"/>
          <w:color w:val="auto"/>
          <w:szCs w:val="24"/>
          <w:lang w:eastAsia="zh-CN"/>
        </w:rPr>
        <w:t>及以上，进行一级评价；风险潜势为</w:t>
      </w:r>
      <w:r>
        <w:rPr>
          <w:rFonts w:ascii="Times New Roman" w:hAnsi="Times New Roman" w:eastAsia="微软雅黑" w:cs="Times New Roman"/>
          <w:color w:val="auto"/>
          <w:szCs w:val="24"/>
          <w:lang w:eastAsia="zh-CN"/>
        </w:rPr>
        <w:t>Ⅲ</w:t>
      </w:r>
      <w:r>
        <w:rPr>
          <w:rFonts w:ascii="Times New Roman" w:hAnsi="Times New Roman" w:cs="Times New Roman"/>
          <w:color w:val="auto"/>
          <w:szCs w:val="24"/>
          <w:lang w:eastAsia="zh-CN"/>
        </w:rPr>
        <w:t>，进行二级评价；风险潜势为</w:t>
      </w:r>
      <w:r>
        <w:rPr>
          <w:rFonts w:ascii="Times New Roman" w:hAnsi="Times New Roman" w:eastAsia="微软雅黑" w:cs="Times New Roman"/>
          <w:color w:val="auto"/>
          <w:szCs w:val="24"/>
          <w:lang w:eastAsia="zh-CN"/>
        </w:rPr>
        <w:t>Ⅱ</w:t>
      </w:r>
      <w:r>
        <w:rPr>
          <w:rFonts w:ascii="Times New Roman" w:hAnsi="Times New Roman" w:cs="Times New Roman"/>
          <w:color w:val="auto"/>
          <w:szCs w:val="24"/>
          <w:lang w:eastAsia="zh-CN"/>
        </w:rPr>
        <w:t>，进行三级评价；风险潜势为</w:t>
      </w:r>
      <w:r>
        <w:rPr>
          <w:rFonts w:ascii="Times New Roman" w:hAnsi="Times New Roman" w:eastAsia="微软雅黑" w:cs="Times New Roman"/>
          <w:color w:val="auto"/>
          <w:szCs w:val="24"/>
          <w:lang w:eastAsia="zh-CN"/>
        </w:rPr>
        <w:t>Ⅰ</w:t>
      </w:r>
      <w:r>
        <w:rPr>
          <w:rFonts w:ascii="Times New Roman" w:hAnsi="Times New Roman" w:cs="Times New Roman"/>
          <w:color w:val="auto"/>
          <w:szCs w:val="24"/>
          <w:lang w:eastAsia="zh-CN"/>
        </w:rPr>
        <w:t>，可开展简单分析。</w:t>
      </w:r>
    </w:p>
    <w:p w14:paraId="0034F01B">
      <w:pPr>
        <w:spacing w:line="360" w:lineRule="auto"/>
        <w:jc w:val="center"/>
        <w:rPr>
          <w:rFonts w:ascii="Times New Roman" w:hAnsi="Times New Roman" w:cs="Times New Roman"/>
          <w:b/>
          <w:bCs/>
          <w:color w:val="auto"/>
          <w:szCs w:val="24"/>
        </w:rPr>
      </w:pPr>
      <w:r>
        <w:rPr>
          <w:rFonts w:ascii="Times New Roman" w:hAnsi="Times New Roman" w:cs="Times New Roman"/>
          <w:b/>
          <w:bCs/>
          <w:color w:val="auto"/>
          <w:szCs w:val="24"/>
        </w:rPr>
        <w:t>表</w:t>
      </w:r>
      <w:r>
        <w:rPr>
          <w:rFonts w:ascii="Times New Roman" w:hAnsi="Times New Roman" w:cs="Times New Roman"/>
          <w:b/>
          <w:bCs/>
          <w:color w:val="auto"/>
          <w:szCs w:val="24"/>
          <w:lang w:eastAsia="zh-CN"/>
        </w:rPr>
        <w:t>7.</w:t>
      </w:r>
      <w:r>
        <w:rPr>
          <w:rFonts w:hint="eastAsia" w:ascii="Times New Roman" w:hAnsi="Times New Roman" w:cs="Times New Roman"/>
          <w:b/>
          <w:bCs/>
          <w:color w:val="auto"/>
          <w:szCs w:val="24"/>
          <w:lang w:eastAsia="zh-CN"/>
        </w:rPr>
        <w:t>5</w:t>
      </w:r>
      <w:r>
        <w:rPr>
          <w:rFonts w:ascii="Times New Roman" w:hAnsi="Times New Roman" w:cs="Times New Roman"/>
          <w:b/>
          <w:bCs/>
          <w:color w:val="auto"/>
          <w:szCs w:val="24"/>
          <w:lang w:eastAsia="zh-CN"/>
        </w:rPr>
        <w:t>-1</w:t>
      </w:r>
      <w:r>
        <w:rPr>
          <w:rFonts w:ascii="Times New Roman" w:hAnsi="Times New Roman" w:cs="Times New Roman"/>
          <w:b/>
          <w:bCs/>
          <w:color w:val="auto"/>
          <w:szCs w:val="24"/>
        </w:rPr>
        <w:t xml:space="preserve"> 评价工作等级划分</w:t>
      </w:r>
    </w:p>
    <w:tbl>
      <w:tblPr>
        <w:tblStyle w:val="35"/>
        <w:tblW w:w="4997"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428"/>
        <w:gridCol w:w="1800"/>
        <w:gridCol w:w="1642"/>
        <w:gridCol w:w="1613"/>
        <w:gridCol w:w="1615"/>
        <w:gridCol w:w="1642"/>
      </w:tblGrid>
      <w:tr w14:paraId="3DAC5DE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733" w:type="pct"/>
            <w:vAlign w:val="center"/>
          </w:tcPr>
          <w:p w14:paraId="09EBDCB5">
            <w:pPr>
              <w:pStyle w:val="62"/>
              <w:widowControl w:val="0"/>
              <w:spacing w:before="60" w:after="60"/>
              <w:jc w:val="center"/>
              <w:rPr>
                <w:rFonts w:ascii="Times New Roman" w:hAnsi="Times New Roman" w:eastAsia="宋体"/>
                <w:b/>
                <w:color w:val="auto"/>
                <w:sz w:val="21"/>
                <w:szCs w:val="21"/>
                <w:lang w:eastAsia="zh-CN"/>
              </w:rPr>
            </w:pPr>
            <w:r>
              <w:rPr>
                <w:rFonts w:ascii="Times New Roman" w:hAnsi="Times New Roman" w:eastAsia="宋体"/>
                <w:b/>
                <w:color w:val="auto"/>
                <w:sz w:val="21"/>
                <w:szCs w:val="21"/>
                <w:lang w:eastAsia="zh-CN"/>
              </w:rPr>
              <w:t>类别</w:t>
            </w:r>
          </w:p>
        </w:tc>
        <w:tc>
          <w:tcPr>
            <w:tcW w:w="924" w:type="pct"/>
            <w:vAlign w:val="center"/>
          </w:tcPr>
          <w:p w14:paraId="387EB544">
            <w:pPr>
              <w:pStyle w:val="62"/>
              <w:widowControl w:val="0"/>
              <w:spacing w:before="60" w:after="60"/>
              <w:jc w:val="center"/>
              <w:rPr>
                <w:rFonts w:ascii="Times New Roman" w:hAnsi="Times New Roman" w:eastAsia="宋体"/>
                <w:b/>
                <w:color w:val="auto"/>
                <w:sz w:val="21"/>
                <w:szCs w:val="21"/>
              </w:rPr>
            </w:pPr>
            <w:r>
              <w:rPr>
                <w:rFonts w:ascii="Times New Roman" w:hAnsi="Times New Roman" w:eastAsia="宋体"/>
                <w:b/>
                <w:color w:val="auto"/>
                <w:sz w:val="21"/>
                <w:szCs w:val="21"/>
              </w:rPr>
              <w:t>环境风险潜势</w:t>
            </w:r>
          </w:p>
        </w:tc>
        <w:tc>
          <w:tcPr>
            <w:tcW w:w="843" w:type="pct"/>
            <w:vAlign w:val="center"/>
          </w:tcPr>
          <w:p w14:paraId="6FFCCBAE">
            <w:pPr>
              <w:pStyle w:val="62"/>
              <w:widowControl w:val="0"/>
              <w:spacing w:before="60" w:after="60"/>
              <w:jc w:val="center"/>
              <w:rPr>
                <w:rFonts w:ascii="Times New Roman" w:hAnsi="Times New Roman" w:eastAsia="宋体"/>
                <w:b/>
                <w:color w:val="auto"/>
                <w:sz w:val="21"/>
                <w:szCs w:val="21"/>
              </w:rPr>
            </w:pPr>
            <w:r>
              <w:rPr>
                <w:rFonts w:ascii="Times New Roman" w:hAnsi="Times New Roman" w:eastAsia="宋体"/>
                <w:b/>
                <w:color w:val="auto"/>
                <w:sz w:val="21"/>
                <w:szCs w:val="21"/>
              </w:rPr>
              <w:t>Ⅳ、Ⅳ+</w:t>
            </w:r>
          </w:p>
        </w:tc>
        <w:tc>
          <w:tcPr>
            <w:tcW w:w="828" w:type="pct"/>
            <w:vAlign w:val="center"/>
          </w:tcPr>
          <w:p w14:paraId="501EC8E6">
            <w:pPr>
              <w:pStyle w:val="62"/>
              <w:widowControl w:val="0"/>
              <w:spacing w:before="60" w:after="60"/>
              <w:jc w:val="center"/>
              <w:rPr>
                <w:rFonts w:ascii="Times New Roman" w:hAnsi="Times New Roman" w:eastAsia="宋体"/>
                <w:b/>
                <w:color w:val="auto"/>
                <w:sz w:val="21"/>
                <w:szCs w:val="21"/>
              </w:rPr>
            </w:pPr>
            <w:r>
              <w:rPr>
                <w:rFonts w:ascii="Times New Roman" w:hAnsi="Times New Roman" w:eastAsia="宋体"/>
                <w:b/>
                <w:color w:val="auto"/>
                <w:sz w:val="21"/>
                <w:szCs w:val="21"/>
              </w:rPr>
              <w:t>Ⅲ</w:t>
            </w:r>
          </w:p>
        </w:tc>
        <w:tc>
          <w:tcPr>
            <w:tcW w:w="829" w:type="pct"/>
            <w:vAlign w:val="center"/>
          </w:tcPr>
          <w:p w14:paraId="480DEE9B">
            <w:pPr>
              <w:pStyle w:val="62"/>
              <w:widowControl w:val="0"/>
              <w:spacing w:before="60" w:after="60"/>
              <w:jc w:val="center"/>
              <w:rPr>
                <w:rFonts w:ascii="Times New Roman" w:hAnsi="Times New Roman" w:eastAsia="宋体"/>
                <w:b/>
                <w:color w:val="auto"/>
                <w:sz w:val="21"/>
                <w:szCs w:val="21"/>
              </w:rPr>
            </w:pPr>
            <w:r>
              <w:rPr>
                <w:rFonts w:ascii="Times New Roman" w:hAnsi="Times New Roman" w:eastAsia="宋体"/>
                <w:b/>
                <w:color w:val="auto"/>
                <w:sz w:val="21"/>
                <w:szCs w:val="21"/>
              </w:rPr>
              <w:t>Ⅱ</w:t>
            </w:r>
          </w:p>
        </w:tc>
        <w:tc>
          <w:tcPr>
            <w:tcW w:w="841" w:type="pct"/>
            <w:vAlign w:val="center"/>
          </w:tcPr>
          <w:p w14:paraId="59877BFC">
            <w:pPr>
              <w:pStyle w:val="62"/>
              <w:widowControl w:val="0"/>
              <w:spacing w:before="60" w:after="60"/>
              <w:jc w:val="center"/>
              <w:rPr>
                <w:rFonts w:ascii="Times New Roman" w:hAnsi="Times New Roman" w:eastAsia="宋体"/>
                <w:b/>
                <w:color w:val="auto"/>
                <w:sz w:val="21"/>
                <w:szCs w:val="21"/>
              </w:rPr>
            </w:pPr>
            <w:r>
              <w:rPr>
                <w:rFonts w:ascii="Times New Roman" w:hAnsi="Times New Roman" w:eastAsia="宋体"/>
                <w:b/>
                <w:color w:val="auto"/>
                <w:sz w:val="21"/>
                <w:szCs w:val="21"/>
              </w:rPr>
              <w:t>Ⅰ</w:t>
            </w:r>
          </w:p>
        </w:tc>
      </w:tr>
      <w:tr w14:paraId="3D790E8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733" w:type="pct"/>
            <w:vAlign w:val="center"/>
          </w:tcPr>
          <w:p w14:paraId="189BE561">
            <w:pPr>
              <w:pStyle w:val="62"/>
              <w:widowControl w:val="0"/>
              <w:spacing w:before="60" w:after="60"/>
              <w:jc w:val="center"/>
              <w:rPr>
                <w:rFonts w:ascii="Times New Roman" w:hAnsi="Times New Roman" w:eastAsia="宋体"/>
                <w:color w:val="auto"/>
                <w:sz w:val="21"/>
                <w:szCs w:val="21"/>
                <w:lang w:eastAsia="zh-CN"/>
              </w:rPr>
            </w:pPr>
            <w:r>
              <w:rPr>
                <w:rFonts w:ascii="Times New Roman" w:hAnsi="Times New Roman" w:eastAsia="宋体"/>
                <w:color w:val="auto"/>
                <w:sz w:val="21"/>
                <w:szCs w:val="21"/>
                <w:lang w:eastAsia="zh-CN"/>
              </w:rPr>
              <w:t>环境空气</w:t>
            </w:r>
          </w:p>
        </w:tc>
        <w:tc>
          <w:tcPr>
            <w:tcW w:w="924" w:type="pct"/>
            <w:vAlign w:val="center"/>
          </w:tcPr>
          <w:p w14:paraId="2FBB6805">
            <w:pPr>
              <w:pStyle w:val="62"/>
              <w:widowControl w:val="0"/>
              <w:spacing w:before="60" w:after="60"/>
              <w:jc w:val="center"/>
              <w:rPr>
                <w:rFonts w:ascii="Times New Roman" w:hAnsi="Times New Roman" w:eastAsia="宋体"/>
                <w:color w:val="auto"/>
                <w:sz w:val="21"/>
                <w:szCs w:val="21"/>
              </w:rPr>
            </w:pPr>
            <w:r>
              <w:rPr>
                <w:rFonts w:ascii="Times New Roman" w:hAnsi="Times New Roman" w:eastAsia="宋体"/>
                <w:color w:val="auto"/>
                <w:sz w:val="21"/>
                <w:szCs w:val="21"/>
              </w:rPr>
              <w:t>评价工作等级</w:t>
            </w:r>
          </w:p>
        </w:tc>
        <w:tc>
          <w:tcPr>
            <w:tcW w:w="843" w:type="pct"/>
            <w:shd w:val="clear" w:color="auto" w:fill="BEBEBE" w:themeFill="background1" w:themeFillShade="BF"/>
            <w:vAlign w:val="center"/>
          </w:tcPr>
          <w:p w14:paraId="439260FB">
            <w:pPr>
              <w:pStyle w:val="62"/>
              <w:widowControl w:val="0"/>
              <w:spacing w:before="60" w:after="60"/>
              <w:jc w:val="center"/>
              <w:rPr>
                <w:rFonts w:ascii="Times New Roman" w:hAnsi="Times New Roman" w:eastAsia="宋体"/>
                <w:b/>
                <w:color w:val="auto"/>
                <w:sz w:val="21"/>
                <w:szCs w:val="21"/>
              </w:rPr>
            </w:pPr>
            <w:r>
              <w:rPr>
                <w:rFonts w:ascii="Times New Roman" w:hAnsi="Times New Roman" w:eastAsia="宋体"/>
                <w:b/>
                <w:color w:val="auto"/>
                <w:sz w:val="21"/>
                <w:szCs w:val="21"/>
              </w:rPr>
              <w:t>一</w:t>
            </w:r>
          </w:p>
        </w:tc>
        <w:tc>
          <w:tcPr>
            <w:tcW w:w="828" w:type="pct"/>
            <w:vAlign w:val="center"/>
          </w:tcPr>
          <w:p w14:paraId="619F5CDE">
            <w:pPr>
              <w:pStyle w:val="62"/>
              <w:widowControl w:val="0"/>
              <w:spacing w:before="60" w:after="60"/>
              <w:jc w:val="center"/>
              <w:rPr>
                <w:rFonts w:ascii="Times New Roman" w:hAnsi="Times New Roman" w:eastAsia="宋体"/>
                <w:color w:val="auto"/>
                <w:sz w:val="21"/>
                <w:szCs w:val="21"/>
              </w:rPr>
            </w:pPr>
            <w:r>
              <w:rPr>
                <w:rFonts w:ascii="Times New Roman" w:hAnsi="Times New Roman" w:eastAsia="宋体"/>
                <w:color w:val="auto"/>
                <w:sz w:val="21"/>
                <w:szCs w:val="21"/>
              </w:rPr>
              <w:t>二</w:t>
            </w:r>
          </w:p>
        </w:tc>
        <w:tc>
          <w:tcPr>
            <w:tcW w:w="829" w:type="pct"/>
            <w:vAlign w:val="center"/>
          </w:tcPr>
          <w:p w14:paraId="39BA88C4">
            <w:pPr>
              <w:pStyle w:val="62"/>
              <w:widowControl w:val="0"/>
              <w:spacing w:before="60" w:after="60"/>
              <w:jc w:val="center"/>
              <w:rPr>
                <w:rFonts w:ascii="Times New Roman" w:hAnsi="Times New Roman" w:eastAsia="宋体"/>
                <w:color w:val="auto"/>
                <w:sz w:val="21"/>
                <w:szCs w:val="21"/>
              </w:rPr>
            </w:pPr>
            <w:r>
              <w:rPr>
                <w:rFonts w:ascii="Times New Roman" w:hAnsi="Times New Roman" w:eastAsia="宋体"/>
                <w:color w:val="auto"/>
                <w:sz w:val="21"/>
                <w:szCs w:val="21"/>
              </w:rPr>
              <w:t>三</w:t>
            </w:r>
          </w:p>
        </w:tc>
        <w:tc>
          <w:tcPr>
            <w:tcW w:w="841" w:type="pct"/>
            <w:shd w:val="clear" w:color="auto" w:fill="FFFFFF"/>
            <w:vAlign w:val="center"/>
          </w:tcPr>
          <w:p w14:paraId="441D920E">
            <w:pPr>
              <w:pStyle w:val="62"/>
              <w:widowControl w:val="0"/>
              <w:spacing w:before="60" w:after="60"/>
              <w:jc w:val="center"/>
              <w:rPr>
                <w:rFonts w:ascii="Times New Roman" w:hAnsi="Times New Roman" w:eastAsia="宋体"/>
                <w:color w:val="auto"/>
                <w:sz w:val="21"/>
                <w:szCs w:val="21"/>
                <w:lang w:eastAsia="zh-CN"/>
              </w:rPr>
            </w:pPr>
            <w:r>
              <w:rPr>
                <w:rFonts w:ascii="Times New Roman" w:hAnsi="Times New Roman" w:eastAsia="宋体"/>
                <w:color w:val="auto"/>
                <w:sz w:val="21"/>
                <w:szCs w:val="21"/>
              </w:rPr>
              <w:t>简单分析</w:t>
            </w:r>
            <w:r>
              <w:rPr>
                <w:rFonts w:ascii="Times New Roman" w:hAnsi="Times New Roman" w:eastAsia="宋体"/>
                <w:color w:val="auto"/>
                <w:sz w:val="21"/>
                <w:szCs w:val="21"/>
                <w:vertAlign w:val="superscript"/>
                <w:lang w:eastAsia="zh-CN"/>
              </w:rPr>
              <w:t>a</w:t>
            </w:r>
          </w:p>
        </w:tc>
      </w:tr>
      <w:tr w14:paraId="111A1CF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733" w:type="pct"/>
            <w:vAlign w:val="center"/>
          </w:tcPr>
          <w:p w14:paraId="682F6360">
            <w:pPr>
              <w:pStyle w:val="62"/>
              <w:widowControl w:val="0"/>
              <w:spacing w:before="60" w:after="60"/>
              <w:jc w:val="center"/>
              <w:rPr>
                <w:rFonts w:ascii="Times New Roman" w:hAnsi="Times New Roman" w:eastAsia="宋体"/>
                <w:color w:val="auto"/>
                <w:sz w:val="21"/>
                <w:szCs w:val="21"/>
                <w:lang w:eastAsia="zh-CN"/>
              </w:rPr>
            </w:pPr>
            <w:r>
              <w:rPr>
                <w:rFonts w:ascii="Times New Roman" w:hAnsi="Times New Roman" w:eastAsia="宋体"/>
                <w:color w:val="auto"/>
                <w:sz w:val="21"/>
                <w:szCs w:val="21"/>
                <w:lang w:eastAsia="zh-CN"/>
              </w:rPr>
              <w:t>地表水</w:t>
            </w:r>
          </w:p>
        </w:tc>
        <w:tc>
          <w:tcPr>
            <w:tcW w:w="924" w:type="pct"/>
            <w:vAlign w:val="center"/>
          </w:tcPr>
          <w:p w14:paraId="7D045042">
            <w:pPr>
              <w:pStyle w:val="62"/>
              <w:widowControl w:val="0"/>
              <w:spacing w:before="60" w:after="60"/>
              <w:jc w:val="center"/>
              <w:rPr>
                <w:rFonts w:ascii="Times New Roman" w:hAnsi="Times New Roman" w:eastAsia="宋体"/>
                <w:color w:val="auto"/>
                <w:sz w:val="21"/>
                <w:szCs w:val="21"/>
              </w:rPr>
            </w:pPr>
            <w:r>
              <w:rPr>
                <w:rFonts w:ascii="Times New Roman" w:hAnsi="Times New Roman" w:eastAsia="宋体"/>
                <w:color w:val="auto"/>
                <w:sz w:val="21"/>
                <w:szCs w:val="21"/>
              </w:rPr>
              <w:t>评价工作等级</w:t>
            </w:r>
          </w:p>
        </w:tc>
        <w:tc>
          <w:tcPr>
            <w:tcW w:w="843" w:type="pct"/>
            <w:shd w:val="clear" w:color="auto" w:fill="BEBEBE" w:themeFill="background1" w:themeFillShade="BF"/>
            <w:vAlign w:val="center"/>
          </w:tcPr>
          <w:p w14:paraId="2987F3E1">
            <w:pPr>
              <w:pStyle w:val="62"/>
              <w:widowControl w:val="0"/>
              <w:spacing w:before="60" w:after="60"/>
              <w:jc w:val="center"/>
              <w:rPr>
                <w:rFonts w:ascii="Times New Roman" w:hAnsi="Times New Roman" w:eastAsia="宋体"/>
                <w:b/>
                <w:color w:val="auto"/>
                <w:sz w:val="21"/>
                <w:szCs w:val="21"/>
              </w:rPr>
            </w:pPr>
            <w:r>
              <w:rPr>
                <w:rFonts w:ascii="Times New Roman" w:hAnsi="Times New Roman" w:eastAsia="宋体"/>
                <w:b/>
                <w:color w:val="auto"/>
                <w:sz w:val="21"/>
                <w:szCs w:val="21"/>
              </w:rPr>
              <w:t>一</w:t>
            </w:r>
          </w:p>
        </w:tc>
        <w:tc>
          <w:tcPr>
            <w:tcW w:w="828" w:type="pct"/>
            <w:vAlign w:val="center"/>
          </w:tcPr>
          <w:p w14:paraId="5FA3DAF9">
            <w:pPr>
              <w:pStyle w:val="62"/>
              <w:widowControl w:val="0"/>
              <w:spacing w:before="60" w:after="60"/>
              <w:jc w:val="center"/>
              <w:rPr>
                <w:rFonts w:ascii="Times New Roman" w:hAnsi="Times New Roman" w:eastAsia="宋体"/>
                <w:color w:val="auto"/>
                <w:sz w:val="21"/>
                <w:szCs w:val="21"/>
              </w:rPr>
            </w:pPr>
            <w:r>
              <w:rPr>
                <w:rFonts w:ascii="Times New Roman" w:hAnsi="Times New Roman" w:eastAsia="宋体"/>
                <w:color w:val="auto"/>
                <w:sz w:val="21"/>
                <w:szCs w:val="21"/>
              </w:rPr>
              <w:t>二</w:t>
            </w:r>
          </w:p>
        </w:tc>
        <w:tc>
          <w:tcPr>
            <w:tcW w:w="829" w:type="pct"/>
            <w:vAlign w:val="center"/>
          </w:tcPr>
          <w:p w14:paraId="2C14734D">
            <w:pPr>
              <w:pStyle w:val="62"/>
              <w:widowControl w:val="0"/>
              <w:spacing w:before="60" w:after="60"/>
              <w:jc w:val="center"/>
              <w:rPr>
                <w:rFonts w:ascii="Times New Roman" w:hAnsi="Times New Roman" w:eastAsia="宋体"/>
                <w:color w:val="auto"/>
                <w:sz w:val="21"/>
                <w:szCs w:val="21"/>
              </w:rPr>
            </w:pPr>
            <w:r>
              <w:rPr>
                <w:rFonts w:ascii="Times New Roman" w:hAnsi="Times New Roman" w:eastAsia="宋体"/>
                <w:color w:val="auto"/>
                <w:sz w:val="21"/>
                <w:szCs w:val="21"/>
              </w:rPr>
              <w:t>三</w:t>
            </w:r>
          </w:p>
        </w:tc>
        <w:tc>
          <w:tcPr>
            <w:tcW w:w="841" w:type="pct"/>
            <w:shd w:val="clear" w:color="auto" w:fill="FFFFFF"/>
            <w:vAlign w:val="center"/>
          </w:tcPr>
          <w:p w14:paraId="27981994">
            <w:pPr>
              <w:pStyle w:val="62"/>
              <w:widowControl w:val="0"/>
              <w:spacing w:before="60" w:after="60"/>
              <w:jc w:val="center"/>
              <w:rPr>
                <w:rFonts w:ascii="Times New Roman" w:hAnsi="Times New Roman" w:eastAsia="宋体"/>
                <w:color w:val="auto"/>
                <w:sz w:val="21"/>
                <w:szCs w:val="21"/>
              </w:rPr>
            </w:pPr>
            <w:r>
              <w:rPr>
                <w:rFonts w:ascii="Times New Roman" w:hAnsi="Times New Roman" w:eastAsia="宋体"/>
                <w:color w:val="auto"/>
                <w:sz w:val="21"/>
                <w:szCs w:val="21"/>
              </w:rPr>
              <w:t>简单分析</w:t>
            </w:r>
            <w:r>
              <w:rPr>
                <w:rFonts w:ascii="Times New Roman" w:hAnsi="Times New Roman" w:eastAsia="宋体"/>
                <w:color w:val="auto"/>
                <w:sz w:val="21"/>
                <w:szCs w:val="21"/>
                <w:vertAlign w:val="superscript"/>
              </w:rPr>
              <w:t>a</w:t>
            </w:r>
          </w:p>
        </w:tc>
      </w:tr>
      <w:tr w14:paraId="67B6BBB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733" w:type="pct"/>
            <w:vAlign w:val="center"/>
          </w:tcPr>
          <w:p w14:paraId="31D69756">
            <w:pPr>
              <w:pStyle w:val="62"/>
              <w:widowControl w:val="0"/>
              <w:spacing w:before="60" w:after="60"/>
              <w:jc w:val="center"/>
              <w:rPr>
                <w:rFonts w:ascii="Times New Roman" w:hAnsi="Times New Roman" w:eastAsia="宋体"/>
                <w:color w:val="auto"/>
                <w:sz w:val="21"/>
                <w:szCs w:val="21"/>
                <w:lang w:eastAsia="zh-CN"/>
              </w:rPr>
            </w:pPr>
            <w:r>
              <w:rPr>
                <w:rFonts w:ascii="Times New Roman" w:hAnsi="Times New Roman" w:eastAsia="宋体"/>
                <w:color w:val="auto"/>
                <w:sz w:val="21"/>
                <w:szCs w:val="21"/>
                <w:lang w:eastAsia="zh-CN"/>
              </w:rPr>
              <w:t>地下水</w:t>
            </w:r>
          </w:p>
        </w:tc>
        <w:tc>
          <w:tcPr>
            <w:tcW w:w="924" w:type="pct"/>
            <w:vAlign w:val="center"/>
          </w:tcPr>
          <w:p w14:paraId="10788308">
            <w:pPr>
              <w:pStyle w:val="62"/>
              <w:widowControl w:val="0"/>
              <w:spacing w:before="60" w:after="60"/>
              <w:jc w:val="center"/>
              <w:rPr>
                <w:rFonts w:ascii="Times New Roman" w:hAnsi="Times New Roman" w:eastAsia="宋体"/>
                <w:color w:val="auto"/>
                <w:sz w:val="21"/>
                <w:szCs w:val="21"/>
              </w:rPr>
            </w:pPr>
            <w:r>
              <w:rPr>
                <w:rFonts w:ascii="Times New Roman" w:hAnsi="Times New Roman" w:eastAsia="宋体"/>
                <w:color w:val="auto"/>
                <w:sz w:val="21"/>
                <w:szCs w:val="21"/>
              </w:rPr>
              <w:t>评价工作等级</w:t>
            </w:r>
          </w:p>
        </w:tc>
        <w:tc>
          <w:tcPr>
            <w:tcW w:w="843" w:type="pct"/>
            <w:vAlign w:val="center"/>
          </w:tcPr>
          <w:p w14:paraId="7A4773A3">
            <w:pPr>
              <w:pStyle w:val="62"/>
              <w:widowControl w:val="0"/>
              <w:spacing w:before="60" w:after="60"/>
              <w:jc w:val="center"/>
              <w:rPr>
                <w:rFonts w:ascii="Times New Roman" w:hAnsi="Times New Roman" w:eastAsia="宋体"/>
                <w:b/>
                <w:color w:val="auto"/>
                <w:sz w:val="21"/>
                <w:szCs w:val="21"/>
              </w:rPr>
            </w:pPr>
            <w:r>
              <w:rPr>
                <w:rFonts w:ascii="Times New Roman" w:hAnsi="Times New Roman" w:eastAsia="宋体"/>
                <w:b/>
                <w:color w:val="auto"/>
                <w:sz w:val="21"/>
                <w:szCs w:val="21"/>
              </w:rPr>
              <w:t>一</w:t>
            </w:r>
          </w:p>
        </w:tc>
        <w:tc>
          <w:tcPr>
            <w:tcW w:w="828" w:type="pct"/>
            <w:shd w:val="clear" w:color="auto" w:fill="BEBEBE" w:themeFill="background1" w:themeFillShade="BF"/>
            <w:vAlign w:val="center"/>
          </w:tcPr>
          <w:p w14:paraId="222C3B17">
            <w:pPr>
              <w:pStyle w:val="62"/>
              <w:widowControl w:val="0"/>
              <w:spacing w:before="60" w:after="60"/>
              <w:jc w:val="center"/>
              <w:rPr>
                <w:rFonts w:ascii="Times New Roman" w:hAnsi="Times New Roman" w:eastAsia="宋体"/>
                <w:color w:val="auto"/>
                <w:sz w:val="21"/>
                <w:szCs w:val="21"/>
              </w:rPr>
            </w:pPr>
            <w:r>
              <w:rPr>
                <w:rFonts w:ascii="Times New Roman" w:hAnsi="Times New Roman" w:eastAsia="宋体"/>
                <w:color w:val="auto"/>
                <w:sz w:val="21"/>
                <w:szCs w:val="21"/>
              </w:rPr>
              <w:t>二</w:t>
            </w:r>
          </w:p>
        </w:tc>
        <w:tc>
          <w:tcPr>
            <w:tcW w:w="829" w:type="pct"/>
            <w:vAlign w:val="center"/>
          </w:tcPr>
          <w:p w14:paraId="15E39309">
            <w:pPr>
              <w:pStyle w:val="62"/>
              <w:widowControl w:val="0"/>
              <w:spacing w:before="60" w:after="60"/>
              <w:jc w:val="center"/>
              <w:rPr>
                <w:rFonts w:ascii="Times New Roman" w:hAnsi="Times New Roman" w:eastAsia="宋体"/>
                <w:color w:val="auto"/>
                <w:sz w:val="21"/>
                <w:szCs w:val="21"/>
              </w:rPr>
            </w:pPr>
            <w:r>
              <w:rPr>
                <w:rFonts w:ascii="Times New Roman" w:hAnsi="Times New Roman" w:eastAsia="宋体"/>
                <w:color w:val="auto"/>
                <w:sz w:val="21"/>
                <w:szCs w:val="21"/>
              </w:rPr>
              <w:t>三</w:t>
            </w:r>
          </w:p>
        </w:tc>
        <w:tc>
          <w:tcPr>
            <w:tcW w:w="841" w:type="pct"/>
            <w:vAlign w:val="center"/>
          </w:tcPr>
          <w:p w14:paraId="568C8427">
            <w:pPr>
              <w:pStyle w:val="62"/>
              <w:widowControl w:val="0"/>
              <w:spacing w:before="60" w:after="60"/>
              <w:jc w:val="center"/>
              <w:rPr>
                <w:rFonts w:ascii="Times New Roman" w:hAnsi="Times New Roman" w:eastAsia="宋体"/>
                <w:color w:val="auto"/>
                <w:sz w:val="21"/>
                <w:szCs w:val="21"/>
              </w:rPr>
            </w:pPr>
            <w:r>
              <w:rPr>
                <w:rFonts w:ascii="Times New Roman" w:hAnsi="Times New Roman" w:eastAsia="宋体"/>
                <w:color w:val="auto"/>
                <w:sz w:val="21"/>
                <w:szCs w:val="21"/>
              </w:rPr>
              <w:t>简单分析</w:t>
            </w:r>
            <w:r>
              <w:rPr>
                <w:rFonts w:ascii="Times New Roman" w:hAnsi="Times New Roman" w:eastAsia="宋体"/>
                <w:color w:val="auto"/>
                <w:sz w:val="21"/>
                <w:szCs w:val="21"/>
                <w:vertAlign w:val="superscript"/>
              </w:rPr>
              <w:t>a</w:t>
            </w:r>
          </w:p>
        </w:tc>
      </w:tr>
      <w:tr w14:paraId="6E0E52B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684D06E4">
            <w:pPr>
              <w:pStyle w:val="62"/>
              <w:widowControl w:val="0"/>
              <w:spacing w:before="60" w:after="60"/>
              <w:rPr>
                <w:rFonts w:ascii="Times New Roman" w:hAnsi="Times New Roman" w:eastAsia="宋体"/>
                <w:color w:val="auto"/>
                <w:sz w:val="21"/>
                <w:szCs w:val="21"/>
                <w:lang w:eastAsia="zh-CN"/>
              </w:rPr>
            </w:pPr>
            <w:r>
              <w:rPr>
                <w:rFonts w:ascii="Times New Roman" w:hAnsi="Times New Roman" w:eastAsia="宋体"/>
                <w:color w:val="auto"/>
                <w:sz w:val="21"/>
                <w:szCs w:val="21"/>
                <w:lang w:eastAsia="zh-CN"/>
              </w:rPr>
              <w:t>a ：是相当于详细评价工作内容而言，在描述危险物质、环境影响途径、环境危害后果、风险防范措施等方面给出定性说明。</w:t>
            </w:r>
          </w:p>
        </w:tc>
      </w:tr>
    </w:tbl>
    <w:p w14:paraId="3688E471">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根据项目环境风险潜势划分，项目大气环境环境评价等级为</w:t>
      </w:r>
      <w:r>
        <w:rPr>
          <w:rFonts w:hint="eastAsia" w:ascii="Times New Roman" w:hAnsi="Times New Roman" w:cs="Times New Roman"/>
          <w:color w:val="auto"/>
          <w:szCs w:val="24"/>
          <w:lang w:eastAsia="zh-CN"/>
        </w:rPr>
        <w:t>一</w:t>
      </w:r>
      <w:r>
        <w:rPr>
          <w:rFonts w:ascii="Times New Roman" w:hAnsi="Times New Roman" w:cs="Times New Roman"/>
          <w:color w:val="auto"/>
          <w:szCs w:val="24"/>
          <w:lang w:eastAsia="zh-CN"/>
        </w:rPr>
        <w:t>级，地表水环境环境评价等级为</w:t>
      </w:r>
      <w:r>
        <w:rPr>
          <w:rFonts w:hint="eastAsia" w:ascii="Times New Roman" w:hAnsi="Times New Roman" w:cs="Times New Roman"/>
          <w:color w:val="auto"/>
          <w:szCs w:val="24"/>
          <w:lang w:eastAsia="zh-CN"/>
        </w:rPr>
        <w:t>一</w:t>
      </w:r>
      <w:r>
        <w:rPr>
          <w:rFonts w:ascii="Times New Roman" w:hAnsi="Times New Roman" w:cs="Times New Roman"/>
          <w:color w:val="auto"/>
          <w:szCs w:val="24"/>
          <w:lang w:eastAsia="zh-CN"/>
        </w:rPr>
        <w:t>级，地下水环境风险评价等级为</w:t>
      </w:r>
      <w:r>
        <w:rPr>
          <w:rFonts w:hint="eastAsia" w:ascii="Times New Roman" w:hAnsi="Times New Roman" w:cs="Times New Roman"/>
          <w:color w:val="auto"/>
          <w:szCs w:val="24"/>
          <w:lang w:eastAsia="zh-CN"/>
        </w:rPr>
        <w:t>二</w:t>
      </w:r>
      <w:r>
        <w:rPr>
          <w:rFonts w:ascii="Times New Roman" w:hAnsi="Times New Roman" w:cs="Times New Roman"/>
          <w:color w:val="auto"/>
          <w:szCs w:val="24"/>
          <w:lang w:eastAsia="zh-CN"/>
        </w:rPr>
        <w:t>级，本项目环境风险综合评价等级为</w:t>
      </w:r>
      <w:r>
        <w:rPr>
          <w:rFonts w:hint="eastAsia" w:ascii="Times New Roman" w:hAnsi="Times New Roman" w:cs="Times New Roman"/>
          <w:color w:val="auto"/>
          <w:szCs w:val="24"/>
          <w:lang w:eastAsia="zh-CN"/>
        </w:rPr>
        <w:t>一</w:t>
      </w:r>
      <w:r>
        <w:rPr>
          <w:rFonts w:ascii="Times New Roman" w:hAnsi="Times New Roman" w:cs="Times New Roman"/>
          <w:color w:val="auto"/>
          <w:szCs w:val="24"/>
          <w:lang w:eastAsia="zh-CN"/>
        </w:rPr>
        <w:t>级。</w:t>
      </w:r>
    </w:p>
    <w:p w14:paraId="3CB09D7D">
      <w:pPr>
        <w:spacing w:line="360" w:lineRule="auto"/>
        <w:ind w:firstLine="482"/>
        <w:outlineLvl w:val="2"/>
        <w:rPr>
          <w:rFonts w:ascii="Times New Roman" w:hAnsi="Times New Roman" w:cs="Times New Roman"/>
          <w:bCs/>
          <w:color w:val="auto"/>
          <w:szCs w:val="24"/>
          <w:lang w:eastAsia="zh-CN"/>
        </w:rPr>
      </w:pPr>
      <w:bookmarkStart w:id="1877" w:name="_Toc204515272"/>
      <w:bookmarkStart w:id="1878" w:name="_Toc176513082"/>
      <w:bookmarkStart w:id="1879" w:name="_Toc178602423"/>
      <w:bookmarkStart w:id="1880" w:name="_Toc223425130"/>
      <w:bookmarkStart w:id="1881" w:name="_Toc221900912"/>
      <w:bookmarkStart w:id="1882" w:name="_Toc224674770"/>
      <w:bookmarkStart w:id="1883" w:name="_Toc237508366"/>
      <w:bookmarkStart w:id="1884" w:name="_Toc173740352"/>
      <w:bookmarkStart w:id="1885" w:name="_Toc175164347"/>
      <w:bookmarkStart w:id="1886" w:name="_Toc12293"/>
      <w:bookmarkStart w:id="1887" w:name="_Toc225784132"/>
      <w:bookmarkStart w:id="1888" w:name="_Toc231828653"/>
      <w:bookmarkStart w:id="1889" w:name="_Toc204448537"/>
      <w:bookmarkStart w:id="1890" w:name="_Toc203927075"/>
      <w:bookmarkStart w:id="1891" w:name="_Toc173743456"/>
      <w:bookmarkStart w:id="1892" w:name="_Toc217662743"/>
      <w:bookmarkStart w:id="1893" w:name="_Toc236641901"/>
      <w:bookmarkStart w:id="1894" w:name="_Toc218784355"/>
      <w:bookmarkStart w:id="1895" w:name="_Toc172555719"/>
      <w:r>
        <w:rPr>
          <w:rFonts w:ascii="Times New Roman" w:hAnsi="Times New Roman" w:cs="Times New Roman"/>
          <w:b/>
          <w:color w:val="auto"/>
          <w:szCs w:val="24"/>
          <w:lang w:eastAsia="zh-CN"/>
        </w:rPr>
        <w:t>7.</w:t>
      </w:r>
      <w:r>
        <w:rPr>
          <w:rFonts w:hint="eastAsia" w:ascii="Times New Roman" w:hAnsi="Times New Roman" w:cs="Times New Roman"/>
          <w:b/>
          <w:color w:val="auto"/>
          <w:szCs w:val="24"/>
          <w:lang w:eastAsia="zh-CN"/>
        </w:rPr>
        <w:t>5</w:t>
      </w:r>
      <w:r>
        <w:rPr>
          <w:rFonts w:ascii="Times New Roman" w:hAnsi="Times New Roman" w:cs="Times New Roman"/>
          <w:b/>
          <w:color w:val="auto"/>
          <w:szCs w:val="24"/>
          <w:lang w:eastAsia="zh-CN"/>
        </w:rPr>
        <w:t>.2 评价范围</w:t>
      </w:r>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p>
    <w:p w14:paraId="5E96A777">
      <w:pPr>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根据《建设项目环境风险评价技术导则》（HJ169-2018）的规定，本项目大气环境风险评价范围为距离厂界5k</w:t>
      </w:r>
      <w:r>
        <w:rPr>
          <w:rFonts w:ascii="Times New Roman" w:hAnsi="Times New Roman" w:cs="Times New Roman"/>
          <w:bCs/>
          <w:color w:val="000000" w:themeColor="text1"/>
          <w:szCs w:val="24"/>
          <w:lang w:eastAsia="zh-CN"/>
          <w14:textFill>
            <w14:solidFill>
              <w14:schemeClr w14:val="tx1"/>
            </w14:solidFill>
          </w14:textFill>
        </w:rPr>
        <w:t>m的范围；</w:t>
      </w:r>
      <w:r>
        <w:rPr>
          <w:rFonts w:hint="eastAsia" w:ascii="Times New Roman" w:hAnsi="Times New Roman" w:cs="Times New Roman"/>
          <w:bCs/>
          <w:color w:val="000000" w:themeColor="text1"/>
          <w:lang w:eastAsia="zh-CN"/>
          <w14:textFill>
            <w14:solidFill>
              <w14:schemeClr w14:val="tx1"/>
            </w14:solidFill>
          </w14:textFill>
        </w:rPr>
        <w:t>地表水环境风险评价范围为</w:t>
      </w:r>
      <w:r>
        <w:rPr>
          <w:rFonts w:hint="eastAsia" w:ascii="Times New Roman" w:hAnsi="Times New Roman" w:cs="Times New Roman"/>
          <w:color w:val="000000" w:themeColor="text1"/>
          <w:lang w:eastAsia="zh-CN"/>
          <w14:textFill>
            <w14:solidFill>
              <w14:schemeClr w14:val="tx1"/>
            </w14:solidFill>
          </w14:textFill>
        </w:rPr>
        <w:t>园区雨水排放口</w:t>
      </w:r>
      <w:r>
        <w:rPr>
          <w:rFonts w:ascii="Times New Roman" w:hAnsi="Times New Roman" w:cs="Times New Roman"/>
          <w:color w:val="000000" w:themeColor="text1"/>
          <w:lang w:eastAsia="zh-CN"/>
          <w14:textFill>
            <w14:solidFill>
              <w14:schemeClr w14:val="tx1"/>
            </w14:solidFill>
          </w14:textFill>
        </w:rPr>
        <w:t>上游500m至</w:t>
      </w:r>
      <w:r>
        <w:rPr>
          <w:rFonts w:hint="eastAsia" w:ascii="Times New Roman" w:hAnsi="Times New Roman" w:cs="Times New Roman"/>
          <w:color w:val="000000" w:themeColor="text1"/>
          <w:lang w:eastAsia="zh-CN"/>
          <w14:textFill>
            <w14:solidFill>
              <w14:schemeClr w14:val="tx1"/>
            </w14:solidFill>
          </w14:textFill>
        </w:rPr>
        <w:t>三铺大沟</w:t>
      </w:r>
      <w:r>
        <w:rPr>
          <w:rFonts w:ascii="Times New Roman" w:hAnsi="Times New Roman" w:cs="Times New Roman"/>
          <w:color w:val="000000" w:themeColor="text1"/>
          <w:lang w:eastAsia="zh-CN"/>
          <w14:textFill>
            <w14:solidFill>
              <w14:schemeClr w14:val="tx1"/>
            </w14:solidFill>
          </w14:textFill>
        </w:rPr>
        <w:t>入</w:t>
      </w:r>
      <w:r>
        <w:rPr>
          <w:rFonts w:hint="eastAsia" w:ascii="Times New Roman" w:hAnsi="Times New Roman" w:cs="Times New Roman"/>
          <w:color w:val="000000" w:themeColor="text1"/>
          <w:lang w:eastAsia="zh-CN"/>
          <w14:textFill>
            <w14:solidFill>
              <w14:schemeClr w14:val="tx1"/>
            </w14:solidFill>
          </w14:textFill>
        </w:rPr>
        <w:t>淮河</w:t>
      </w:r>
      <w:r>
        <w:rPr>
          <w:rFonts w:ascii="Times New Roman" w:hAnsi="Times New Roman" w:cs="Times New Roman"/>
          <w:color w:val="000000" w:themeColor="text1"/>
          <w:lang w:eastAsia="zh-CN"/>
          <w14:textFill>
            <w14:solidFill>
              <w14:schemeClr w14:val="tx1"/>
            </w14:solidFill>
          </w14:textFill>
        </w:rPr>
        <w:t>口的共计</w:t>
      </w:r>
      <w:r>
        <w:rPr>
          <w:rFonts w:hint="eastAsia" w:ascii="Times New Roman" w:hAnsi="Times New Roman" w:cs="Times New Roman"/>
          <w:color w:val="000000" w:themeColor="text1"/>
          <w:lang w:eastAsia="zh-CN"/>
          <w14:textFill>
            <w14:solidFill>
              <w14:schemeClr w14:val="tx1"/>
            </w14:solidFill>
          </w14:textFill>
        </w:rPr>
        <w:t>约3.7k</w:t>
      </w:r>
      <w:r>
        <w:rPr>
          <w:rFonts w:ascii="Times New Roman" w:hAnsi="Times New Roman" w:cs="Times New Roman"/>
          <w:color w:val="000000" w:themeColor="text1"/>
          <w:lang w:eastAsia="zh-CN"/>
          <w14:textFill>
            <w14:solidFill>
              <w14:schemeClr w14:val="tx1"/>
            </w14:solidFill>
          </w14:textFill>
        </w:rPr>
        <w:t>m的河段；尾水入</w:t>
      </w:r>
      <w:r>
        <w:rPr>
          <w:rFonts w:hint="eastAsia" w:ascii="Times New Roman" w:hAnsi="Times New Roman" w:cs="Times New Roman"/>
          <w:color w:val="000000" w:themeColor="text1"/>
          <w:lang w:eastAsia="zh-CN"/>
          <w14:textFill>
            <w14:solidFill>
              <w14:schemeClr w14:val="tx1"/>
            </w14:solidFill>
          </w14:textFill>
        </w:rPr>
        <w:t>淮河</w:t>
      </w:r>
      <w:r>
        <w:rPr>
          <w:rFonts w:ascii="Times New Roman" w:hAnsi="Times New Roman" w:cs="Times New Roman"/>
          <w:color w:val="000000" w:themeColor="text1"/>
          <w:lang w:eastAsia="zh-CN"/>
          <w14:textFill>
            <w14:solidFill>
              <w14:schemeClr w14:val="tx1"/>
            </w14:solidFill>
          </w14:textFill>
        </w:rPr>
        <w:t>口上游500m至下游</w:t>
      </w:r>
      <w:r>
        <w:rPr>
          <w:rFonts w:hint="eastAsia" w:ascii="Times New Roman" w:hAnsi="Times New Roman" w:cs="Times New Roman"/>
          <w:color w:val="000000" w:themeColor="text1"/>
          <w:lang w:eastAsia="zh-CN"/>
          <w14:textFill>
            <w14:solidFill>
              <w14:schemeClr w14:val="tx1"/>
            </w14:solidFill>
          </w14:textFill>
        </w:rPr>
        <w:t>8.5</w:t>
      </w:r>
      <w:r>
        <w:rPr>
          <w:rFonts w:ascii="Times New Roman" w:hAnsi="Times New Roman" w:cs="Times New Roman"/>
          <w:color w:val="000000" w:themeColor="text1"/>
          <w:lang w:eastAsia="zh-CN"/>
          <w14:textFill>
            <w14:solidFill>
              <w14:schemeClr w14:val="tx1"/>
            </w14:solidFill>
          </w14:textFill>
        </w:rPr>
        <w:t>km的共计</w:t>
      </w:r>
      <w:r>
        <w:rPr>
          <w:rFonts w:hint="eastAsia" w:ascii="Times New Roman" w:hAnsi="Times New Roman" w:cs="Times New Roman"/>
          <w:color w:val="000000" w:themeColor="text1"/>
          <w:lang w:eastAsia="zh-CN"/>
          <w14:textFill>
            <w14:solidFill>
              <w14:schemeClr w14:val="tx1"/>
            </w14:solidFill>
          </w14:textFill>
        </w:rPr>
        <w:t>9.0</w:t>
      </w:r>
      <w:r>
        <w:rPr>
          <w:rFonts w:ascii="Times New Roman" w:hAnsi="Times New Roman" w:cs="Times New Roman"/>
          <w:color w:val="000000" w:themeColor="text1"/>
          <w:lang w:eastAsia="zh-CN"/>
          <w14:textFill>
            <w14:solidFill>
              <w14:schemeClr w14:val="tx1"/>
            </w14:solidFill>
          </w14:textFill>
        </w:rPr>
        <w:t>km的</w:t>
      </w:r>
      <w:r>
        <w:rPr>
          <w:rFonts w:hint="eastAsia" w:ascii="Times New Roman" w:hAnsi="Times New Roman" w:cs="Times New Roman"/>
          <w:color w:val="000000" w:themeColor="text1"/>
          <w:lang w:eastAsia="zh-CN"/>
          <w14:textFill>
            <w14:solidFill>
              <w14:schemeClr w14:val="tx1"/>
            </w14:solidFill>
          </w14:textFill>
        </w:rPr>
        <w:t>淮河</w:t>
      </w:r>
      <w:r>
        <w:rPr>
          <w:rFonts w:ascii="Times New Roman" w:hAnsi="Times New Roman" w:cs="Times New Roman"/>
          <w:color w:val="000000" w:themeColor="text1"/>
          <w:lang w:eastAsia="zh-CN"/>
          <w14:textFill>
            <w14:solidFill>
              <w14:schemeClr w14:val="tx1"/>
            </w14:solidFill>
          </w14:textFill>
        </w:rPr>
        <w:t>段</w:t>
      </w:r>
      <w:r>
        <w:rPr>
          <w:rFonts w:ascii="Times New Roman" w:hAnsi="Times New Roman" w:cs="Times New Roman"/>
          <w:bCs/>
          <w:color w:val="000000" w:themeColor="text1"/>
          <w:szCs w:val="24"/>
          <w:lang w:eastAsia="zh-CN"/>
          <w14:textFill>
            <w14:solidFill>
              <w14:schemeClr w14:val="tx1"/>
            </w14:solidFill>
          </w14:textFill>
        </w:rPr>
        <w:t>；地下水风险评价范围同地下水环境评价范围。</w:t>
      </w:r>
    </w:p>
    <w:p w14:paraId="54A35F04">
      <w:pPr>
        <w:spacing w:line="360" w:lineRule="auto"/>
        <w:ind w:firstLine="562"/>
        <w:outlineLvl w:val="1"/>
        <w:rPr>
          <w:rFonts w:ascii="Times New Roman" w:hAnsi="Times New Roman" w:cs="Times New Roman"/>
          <w:b/>
          <w:color w:val="auto"/>
          <w:sz w:val="28"/>
          <w:szCs w:val="28"/>
          <w:lang w:eastAsia="zh-CN"/>
        </w:rPr>
      </w:pPr>
      <w:bookmarkStart w:id="1896" w:name="_Toc237508367"/>
      <w:r>
        <w:rPr>
          <w:rFonts w:ascii="Times New Roman" w:hAnsi="Times New Roman" w:cs="Times New Roman"/>
          <w:b/>
          <w:color w:val="auto"/>
          <w:sz w:val="28"/>
          <w:szCs w:val="28"/>
          <w:lang w:eastAsia="zh-CN"/>
        </w:rPr>
        <w:t>7.</w:t>
      </w:r>
      <w:r>
        <w:rPr>
          <w:rFonts w:hint="eastAsia" w:ascii="Times New Roman" w:hAnsi="Times New Roman" w:cs="Times New Roman"/>
          <w:b/>
          <w:color w:val="auto"/>
          <w:sz w:val="28"/>
          <w:szCs w:val="28"/>
          <w:lang w:eastAsia="zh-CN"/>
        </w:rPr>
        <w:t>6</w:t>
      </w:r>
      <w:r>
        <w:rPr>
          <w:rFonts w:ascii="Times New Roman" w:hAnsi="Times New Roman" w:cs="Times New Roman"/>
          <w:b/>
          <w:color w:val="auto"/>
          <w:sz w:val="28"/>
          <w:szCs w:val="28"/>
          <w:lang w:eastAsia="zh-CN"/>
        </w:rPr>
        <w:t xml:space="preserve"> 风险识别</w:t>
      </w:r>
      <w:bookmarkEnd w:id="1896"/>
    </w:p>
    <w:p w14:paraId="1A80EDAE">
      <w:pPr>
        <w:spacing w:line="360" w:lineRule="auto"/>
        <w:ind w:firstLine="482"/>
        <w:outlineLvl w:val="2"/>
        <w:rPr>
          <w:rFonts w:ascii="Times New Roman" w:hAnsi="Times New Roman" w:cs="Times New Roman"/>
          <w:b/>
          <w:color w:val="auto"/>
          <w:szCs w:val="24"/>
          <w:lang w:eastAsia="zh-CN"/>
        </w:rPr>
      </w:pPr>
      <w:bookmarkStart w:id="1897" w:name="_Toc231828655"/>
      <w:bookmarkStart w:id="1898" w:name="_Toc204515274"/>
      <w:bookmarkStart w:id="1899" w:name="_Toc175164349"/>
      <w:bookmarkStart w:id="1900" w:name="_Toc172555721"/>
      <w:bookmarkStart w:id="1901" w:name="_Toc173740354"/>
      <w:bookmarkStart w:id="1902" w:name="_Toc204448539"/>
      <w:bookmarkStart w:id="1903" w:name="_Toc224674772"/>
      <w:bookmarkStart w:id="1904" w:name="_Toc225784134"/>
      <w:bookmarkStart w:id="1905" w:name="_Toc203927077"/>
      <w:bookmarkStart w:id="1906" w:name="_Toc173743458"/>
      <w:bookmarkStart w:id="1907" w:name="_Toc2533"/>
      <w:bookmarkStart w:id="1908" w:name="_Toc236641903"/>
      <w:bookmarkStart w:id="1909" w:name="_Toc223425132"/>
      <w:bookmarkStart w:id="1910" w:name="_Toc221900914"/>
      <w:bookmarkStart w:id="1911" w:name="_Toc237508368"/>
      <w:bookmarkStart w:id="1912" w:name="_Toc217662745"/>
      <w:bookmarkStart w:id="1913" w:name="_Toc176513084"/>
      <w:bookmarkStart w:id="1914" w:name="_Toc218784357"/>
      <w:bookmarkStart w:id="1915" w:name="_Toc178602425"/>
      <w:r>
        <w:rPr>
          <w:rFonts w:ascii="Times New Roman" w:hAnsi="Times New Roman" w:cs="Times New Roman"/>
          <w:b/>
          <w:color w:val="auto"/>
          <w:szCs w:val="24"/>
          <w:lang w:eastAsia="zh-CN"/>
        </w:rPr>
        <w:t>7.</w:t>
      </w:r>
      <w:r>
        <w:rPr>
          <w:rFonts w:hint="eastAsia" w:ascii="Times New Roman" w:hAnsi="Times New Roman" w:cs="Times New Roman"/>
          <w:b/>
          <w:color w:val="auto"/>
          <w:szCs w:val="24"/>
          <w:lang w:eastAsia="zh-CN"/>
        </w:rPr>
        <w:t>6</w:t>
      </w:r>
      <w:r>
        <w:rPr>
          <w:rFonts w:ascii="Times New Roman" w:hAnsi="Times New Roman" w:cs="Times New Roman"/>
          <w:b/>
          <w:color w:val="auto"/>
          <w:szCs w:val="24"/>
          <w:lang w:eastAsia="zh-CN"/>
        </w:rPr>
        <w:t>.1 环境风险识别</w:t>
      </w:r>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p>
    <w:p w14:paraId="5F2ADBCA">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根据（HJ169-2018），风险识别内容主要包括物质危险性识别、生产系统危险性识别和危险物质向环境转移的途径识别。</w:t>
      </w:r>
    </w:p>
    <w:p w14:paraId="0A3EBB57">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（1）物质危险性识别，包括主要原辅材料、产品、污染物、火灾和爆炸伴生/次生物等。</w:t>
      </w:r>
    </w:p>
    <w:p w14:paraId="23A59BC0">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（2）生产系统危险性识别，包括主要生产装置、储运设施、公用工程和辅助生产设施，以及环境保护设施等。</w:t>
      </w:r>
    </w:p>
    <w:p w14:paraId="2354CF7F">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（3）危险物质向环境转移的途径识别，包括分析危险物质特性及可能的环境风险类型，识别危险物质影响环境的途径，分析可能影响的环境敏感目标。</w:t>
      </w:r>
    </w:p>
    <w:p w14:paraId="62683AFB">
      <w:pPr>
        <w:spacing w:line="360" w:lineRule="auto"/>
        <w:ind w:firstLine="482"/>
        <w:outlineLvl w:val="2"/>
        <w:rPr>
          <w:rFonts w:ascii="Times New Roman" w:hAnsi="Times New Roman" w:cs="Times New Roman"/>
          <w:b/>
          <w:color w:val="auto"/>
          <w:szCs w:val="24"/>
          <w:lang w:eastAsia="zh-CN"/>
        </w:rPr>
      </w:pPr>
      <w:bookmarkStart w:id="1916" w:name="_Toc237508369"/>
      <w:r>
        <w:rPr>
          <w:rFonts w:ascii="Times New Roman" w:hAnsi="Times New Roman" w:cs="Times New Roman"/>
          <w:b/>
          <w:color w:val="auto"/>
          <w:szCs w:val="24"/>
          <w:lang w:eastAsia="zh-CN"/>
        </w:rPr>
        <w:t>7.</w:t>
      </w:r>
      <w:r>
        <w:rPr>
          <w:rFonts w:hint="eastAsia" w:ascii="Times New Roman" w:hAnsi="Times New Roman" w:cs="Times New Roman"/>
          <w:b/>
          <w:color w:val="auto"/>
          <w:szCs w:val="24"/>
          <w:lang w:eastAsia="zh-CN"/>
        </w:rPr>
        <w:t>6</w:t>
      </w:r>
      <w:r>
        <w:rPr>
          <w:rFonts w:ascii="Times New Roman" w:hAnsi="Times New Roman" w:cs="Times New Roman"/>
          <w:b/>
          <w:color w:val="auto"/>
          <w:szCs w:val="24"/>
          <w:lang w:eastAsia="zh-CN"/>
        </w:rPr>
        <w:t>.</w:t>
      </w:r>
      <w:r>
        <w:rPr>
          <w:rFonts w:hint="eastAsia" w:ascii="Times New Roman" w:hAnsi="Times New Roman" w:cs="Times New Roman"/>
          <w:b/>
          <w:color w:val="auto"/>
          <w:szCs w:val="24"/>
          <w:lang w:eastAsia="zh-CN"/>
        </w:rPr>
        <w:t>2</w:t>
      </w:r>
      <w:r>
        <w:rPr>
          <w:rFonts w:ascii="Times New Roman" w:hAnsi="Times New Roman" w:cs="Times New Roman"/>
          <w:b/>
          <w:color w:val="auto"/>
          <w:szCs w:val="24"/>
          <w:lang w:eastAsia="zh-CN"/>
        </w:rPr>
        <w:t xml:space="preserve"> </w:t>
      </w:r>
      <w:r>
        <w:rPr>
          <w:rFonts w:hint="eastAsia" w:ascii="Times New Roman" w:hAnsi="Times New Roman" w:cs="Times New Roman"/>
          <w:b/>
          <w:color w:val="auto"/>
          <w:szCs w:val="24"/>
          <w:lang w:eastAsia="zh-CN"/>
        </w:rPr>
        <w:t>同类型事故资料统计</w:t>
      </w:r>
      <w:bookmarkEnd w:id="1916"/>
    </w:p>
    <w:p w14:paraId="05CEDF87">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目前国内外与拟建项目完全一致的同类型风险事故资料有限，不足以提供可靠的事故分析数据，因此，本次评价借鉴与项目生产类型相似、发展较为成熟的石油化工系统有关的事故资料进行归纳统计。</w:t>
      </w:r>
      <w:bookmarkStart w:id="1917" w:name="_Toc7482"/>
    </w:p>
    <w:p w14:paraId="3D79C407">
      <w:pPr>
        <w:widowControl w:val="0"/>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（1）</w:t>
      </w:r>
      <w:r>
        <w:rPr>
          <w:rFonts w:ascii="Times New Roman" w:hAnsi="Times New Roman" w:cs="Times New Roman"/>
          <w:bCs/>
          <w:color w:val="auto"/>
          <w:szCs w:val="24"/>
          <w:lang w:eastAsia="zh-CN"/>
        </w:rPr>
        <w:t>中化近代环保化工（西安）有限公司氟化氢泄漏事故</w:t>
      </w:r>
    </w:p>
    <w:p w14:paraId="0E9AD1F8">
      <w:pPr>
        <w:widowControl w:val="0"/>
        <w:spacing w:line="360" w:lineRule="auto"/>
        <w:ind w:firstLine="480" w:firstLineChars="200"/>
        <w:jc w:val="both"/>
        <w:rPr>
          <w:rFonts w:hint="eastAsia" w:ascii="宋体" w:hAnsi="宋体" w:cs="Cambria Math"/>
          <w:bCs/>
          <w:color w:val="auto"/>
          <w:szCs w:val="24"/>
          <w:lang w:eastAsia="zh-CN"/>
        </w:rPr>
      </w:pPr>
      <w:r>
        <w:rPr>
          <w:rFonts w:ascii="Times New Roman" w:hAnsi="Times New Roman" w:cs="Times New Roman"/>
          <w:bCs/>
          <w:color w:val="auto"/>
          <w:szCs w:val="24"/>
          <w:lang w:eastAsia="zh-CN"/>
        </w:rPr>
        <w:t>2009年8月11日上午10点40分，陕西省西安市高陵县泾河工业园中化近代环保化工（西安）有限公司生产四氟乙烷（一种制冷剂，属氟利昂的替代产品）的反应装置出现故障，造成两百多公斤多种成分的气体“133”泄漏，其中有毒气体氟化氢含量达70公斤，约占混合气体的三分之一，致四十多人不适，三人住院治疗，由于抢救及时，无人员伤亡。事故原因反应预热器管道破裂，一方面可能是设备本身缺陷所致，一方面使用过程中腐蚀所致</w:t>
      </w:r>
      <w:r>
        <w:rPr>
          <w:rFonts w:hint="eastAsia" w:ascii="宋体" w:hAnsi="宋体" w:cs="Cambria Math"/>
          <w:bCs/>
          <w:color w:val="auto"/>
          <w:szCs w:val="24"/>
          <w:lang w:eastAsia="zh-CN"/>
        </w:rPr>
        <w:t>。</w:t>
      </w:r>
    </w:p>
    <w:p w14:paraId="6475D548">
      <w:pPr>
        <w:widowControl w:val="0"/>
        <w:spacing w:line="360" w:lineRule="auto"/>
        <w:ind w:left="480"/>
        <w:jc w:val="both"/>
        <w:rPr>
          <w:rFonts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（2）</w:t>
      </w:r>
      <w:r>
        <w:rPr>
          <w:rFonts w:ascii="Times New Roman" w:hAnsi="Times New Roman" w:cs="Times New Roman"/>
          <w:bCs/>
          <w:color w:val="auto"/>
          <w:szCs w:val="24"/>
          <w:lang w:eastAsia="zh-CN"/>
        </w:rPr>
        <w:t>浙江海蓝化工有限公司发生氢氟酸泄漏事故</w:t>
      </w:r>
    </w:p>
    <w:p w14:paraId="34E3C428">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2011年3月10日下午2点47分，浙江衢州高新园区内，一家名为浙江海蓝化工有限公司发生氢氟酸储罐泄漏。由于该物质有剧毒，园区内几百人被紧急疏散。</w:t>
      </w:r>
    </w:p>
    <w:p w14:paraId="666B452A">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事故原因为储罐阀门损坏导致泄漏，内存的10余吨氢氟酸泄漏挥发出大量氟化氢气体，形成浓雾弥海整个厂区，并向周边蔓延扩散。当地消防支队接警后派出10辆消防车、5 辆指挥车共81名官兵前往现场救援，当地公安、安监、环保部门也赶赴现场支援救援，救援力量一边组织水枪稀释烟雾防止其继续扩散,·边派出攻坚人员找出泄漏点，并于当天下午5点20分成功堵漏。根据调查,接口垫片被冲走是阀门损坏的主因，发生泄漏后，该公司及周边企业、农村均做了人员疏散，没有造成人员死亡。该企业自投产以来，未发生火灾、爆炸等事故</w:t>
      </w:r>
      <w:r>
        <w:rPr>
          <w:rFonts w:hint="eastAsia" w:ascii="Times New Roman" w:hAnsi="Times New Roman" w:cs="Times New Roman"/>
          <w:bCs/>
          <w:color w:val="auto"/>
          <w:szCs w:val="24"/>
          <w:lang w:eastAsia="zh-CN"/>
        </w:rPr>
        <w:t>。</w:t>
      </w:r>
    </w:p>
    <w:p w14:paraId="3C4957BD">
      <w:pPr>
        <w:widowControl w:val="0"/>
        <w:spacing w:line="360" w:lineRule="auto"/>
        <w:ind w:left="480"/>
        <w:jc w:val="both"/>
        <w:rPr>
          <w:rFonts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（3）5.5东马坊氯化氢泄漏事故</w:t>
      </w:r>
    </w:p>
    <w:p w14:paraId="1AE602EA">
      <w:pPr>
        <w:widowControl w:val="0"/>
        <w:spacing w:line="360" w:lineRule="auto"/>
        <w:ind w:firstLine="480" w:firstLineChars="200"/>
        <w:jc w:val="both"/>
        <w:rPr>
          <w:rFonts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2017年5月5日，</w:t>
      </w:r>
      <w:r>
        <w:rPr>
          <w:rFonts w:ascii="Times New Roman" w:hAnsi="Times New Roman" w:cs="Times New Roman"/>
          <w:bCs/>
          <w:color w:val="auto"/>
          <w:szCs w:val="24"/>
          <w:lang w:eastAsia="zh-CN"/>
        </w:rPr>
        <w:t>湖北省应城东马坊境内的东诚有机硅有限公司</w:t>
      </w:r>
      <w:r>
        <w:rPr>
          <w:rFonts w:hint="eastAsia" w:ascii="Times New Roman" w:hAnsi="Times New Roman" w:cs="Times New Roman"/>
          <w:bCs/>
          <w:color w:val="auto"/>
          <w:szCs w:val="24"/>
          <w:lang w:eastAsia="zh-CN"/>
        </w:rPr>
        <w:t>工作人员因操作不当，导致保温釜内氯化氢气体</w:t>
      </w:r>
      <w:r>
        <w:rPr>
          <w:rFonts w:ascii="Times New Roman" w:hAnsi="Times New Roman" w:cs="Times New Roman"/>
          <w:bCs/>
          <w:color w:val="auto"/>
          <w:szCs w:val="24"/>
          <w:lang w:eastAsia="zh-CN"/>
        </w:rPr>
        <w:t>发生泄漏</w:t>
      </w:r>
      <w:r>
        <w:rPr>
          <w:rFonts w:hint="eastAsia" w:ascii="Times New Roman" w:hAnsi="Times New Roman" w:cs="Times New Roman"/>
          <w:bCs/>
          <w:color w:val="auto"/>
          <w:szCs w:val="24"/>
          <w:lang w:eastAsia="zh-CN"/>
        </w:rPr>
        <w:t>，泄漏的氯化氢气体经风扩散后，东马坊学校部分学校感觉不适，立即送往附近东马坊医药就近观察治疗。</w:t>
      </w:r>
    </w:p>
    <w:p w14:paraId="780D5BB3">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同时按化工装置划分事故，根据“世界石油化工企业近30年发生的100起特大型火灾爆炸事故”，按事故原因进行分析，则得出</w:t>
      </w:r>
      <w:r>
        <w:rPr>
          <w:rFonts w:hint="eastAsia" w:ascii="Times New Roman" w:hAnsi="Times New Roman" w:cs="Times New Roman"/>
          <w:bCs/>
          <w:color w:val="auto"/>
          <w:szCs w:val="24"/>
          <w:lang w:eastAsia="zh-CN"/>
        </w:rPr>
        <w:t>下表所</w:t>
      </w:r>
      <w:r>
        <w:rPr>
          <w:rFonts w:ascii="Times New Roman" w:hAnsi="Times New Roman" w:cs="Times New Roman"/>
          <w:bCs/>
          <w:color w:val="auto"/>
          <w:szCs w:val="24"/>
          <w:lang w:eastAsia="zh-CN"/>
        </w:rPr>
        <w:t>列结果</w:t>
      </w:r>
      <w:r>
        <w:rPr>
          <w:rFonts w:hint="eastAsia" w:ascii="Times New Roman" w:hAnsi="Times New Roman" w:cs="Times New Roman"/>
          <w:bCs/>
          <w:color w:val="auto"/>
          <w:szCs w:val="24"/>
          <w:lang w:eastAsia="zh-CN"/>
        </w:rPr>
        <w:t>。</w:t>
      </w:r>
    </w:p>
    <w:bookmarkEnd w:id="1917"/>
    <w:p w14:paraId="01CB432F">
      <w:pPr>
        <w:spacing w:line="360" w:lineRule="auto"/>
        <w:jc w:val="center"/>
        <w:rPr>
          <w:rFonts w:ascii="Times New Roman" w:hAnsi="Times New Roman" w:cs="Times New Roman"/>
          <w:bCs/>
          <w:color w:val="auto"/>
          <w:szCs w:val="24"/>
          <w:lang w:eastAsia="zh-CN"/>
        </w:rPr>
      </w:pPr>
      <w:r>
        <w:rPr>
          <w:rFonts w:ascii="Times New Roman" w:hAnsi="Times New Roman" w:cs="Times New Roman"/>
          <w:b/>
          <w:color w:val="auto"/>
          <w:szCs w:val="24"/>
          <w:lang w:eastAsia="zh-CN"/>
        </w:rPr>
        <w:t>表7.</w:t>
      </w:r>
      <w:r>
        <w:rPr>
          <w:rFonts w:hint="eastAsia" w:ascii="Times New Roman" w:hAnsi="Times New Roman" w:cs="Times New Roman"/>
          <w:b/>
          <w:color w:val="auto"/>
          <w:szCs w:val="24"/>
          <w:lang w:eastAsia="zh-CN"/>
        </w:rPr>
        <w:t>6</w:t>
      </w:r>
      <w:r>
        <w:rPr>
          <w:rFonts w:ascii="Times New Roman" w:hAnsi="Times New Roman" w:cs="Times New Roman"/>
          <w:b/>
          <w:color w:val="auto"/>
          <w:szCs w:val="24"/>
          <w:lang w:eastAsia="zh-CN"/>
        </w:rPr>
        <w:t>-1 国内化工企业事故原因统计一览表</w:t>
      </w:r>
    </w:p>
    <w:tbl>
      <w:tblPr>
        <w:tblStyle w:val="35"/>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59"/>
        <w:gridCol w:w="2717"/>
        <w:gridCol w:w="1684"/>
        <w:gridCol w:w="1996"/>
        <w:gridCol w:w="1990"/>
      </w:tblGrid>
      <w:tr w14:paraId="70E4E3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7" w:type="pct"/>
            <w:vAlign w:val="center"/>
          </w:tcPr>
          <w:p w14:paraId="77880841">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序号</w:t>
            </w:r>
          </w:p>
        </w:tc>
        <w:tc>
          <w:tcPr>
            <w:tcW w:w="1394" w:type="pct"/>
            <w:vAlign w:val="center"/>
          </w:tcPr>
          <w:p w14:paraId="38B19F73">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事故原因</w:t>
            </w:r>
          </w:p>
        </w:tc>
        <w:tc>
          <w:tcPr>
            <w:tcW w:w="864" w:type="pct"/>
            <w:vAlign w:val="center"/>
          </w:tcPr>
          <w:p w14:paraId="113EBFBE">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事故起数</w:t>
            </w:r>
          </w:p>
        </w:tc>
        <w:tc>
          <w:tcPr>
            <w:tcW w:w="1024" w:type="pct"/>
            <w:vAlign w:val="center"/>
          </w:tcPr>
          <w:p w14:paraId="2F4EA202">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事故频率%</w:t>
            </w:r>
          </w:p>
        </w:tc>
        <w:tc>
          <w:tcPr>
            <w:tcW w:w="1021" w:type="pct"/>
            <w:vAlign w:val="center"/>
          </w:tcPr>
          <w:p w14:paraId="76A9F33A">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所占比例顺序</w:t>
            </w:r>
          </w:p>
        </w:tc>
      </w:tr>
      <w:tr w14:paraId="3FD667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7" w:type="pct"/>
            <w:vAlign w:val="center"/>
          </w:tcPr>
          <w:p w14:paraId="17F36B30">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w:t>
            </w:r>
          </w:p>
        </w:tc>
        <w:tc>
          <w:tcPr>
            <w:tcW w:w="1394" w:type="pct"/>
            <w:vAlign w:val="center"/>
          </w:tcPr>
          <w:p w14:paraId="7063C269">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设备缺陷、故障</w:t>
            </w:r>
          </w:p>
        </w:tc>
        <w:tc>
          <w:tcPr>
            <w:tcW w:w="864" w:type="pct"/>
            <w:vAlign w:val="center"/>
          </w:tcPr>
          <w:p w14:paraId="3E263C44">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12</w:t>
            </w:r>
          </w:p>
        </w:tc>
        <w:tc>
          <w:tcPr>
            <w:tcW w:w="1024" w:type="pct"/>
            <w:vAlign w:val="center"/>
          </w:tcPr>
          <w:p w14:paraId="5BE2DBF0">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24.5</w:t>
            </w:r>
          </w:p>
        </w:tc>
        <w:tc>
          <w:tcPr>
            <w:tcW w:w="1021" w:type="pct"/>
            <w:vAlign w:val="center"/>
          </w:tcPr>
          <w:p w14:paraId="291C5ADC">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w:t>
            </w:r>
          </w:p>
        </w:tc>
      </w:tr>
      <w:tr w14:paraId="622F7B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7" w:type="pct"/>
            <w:vAlign w:val="center"/>
          </w:tcPr>
          <w:p w14:paraId="1F3F92EB">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w:t>
            </w:r>
          </w:p>
        </w:tc>
        <w:tc>
          <w:tcPr>
            <w:tcW w:w="1394" w:type="pct"/>
            <w:vAlign w:val="center"/>
          </w:tcPr>
          <w:p w14:paraId="64F3F5BE">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仪表电气故障</w:t>
            </w:r>
          </w:p>
        </w:tc>
        <w:tc>
          <w:tcPr>
            <w:tcW w:w="864" w:type="pct"/>
            <w:vAlign w:val="center"/>
          </w:tcPr>
          <w:p w14:paraId="7E2778F3">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w:t>
            </w:r>
          </w:p>
        </w:tc>
        <w:tc>
          <w:tcPr>
            <w:tcW w:w="1024" w:type="pct"/>
            <w:vAlign w:val="center"/>
          </w:tcPr>
          <w:p w14:paraId="4B57F6F1">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4.1</w:t>
            </w:r>
          </w:p>
        </w:tc>
        <w:tc>
          <w:tcPr>
            <w:tcW w:w="1021" w:type="pct"/>
            <w:vAlign w:val="center"/>
          </w:tcPr>
          <w:p w14:paraId="08A94E5A">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5</w:t>
            </w:r>
          </w:p>
        </w:tc>
      </w:tr>
      <w:tr w14:paraId="776C8B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7" w:type="pct"/>
            <w:vAlign w:val="center"/>
          </w:tcPr>
          <w:p w14:paraId="52948AAB">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3</w:t>
            </w:r>
          </w:p>
        </w:tc>
        <w:tc>
          <w:tcPr>
            <w:tcW w:w="1394" w:type="pct"/>
            <w:vAlign w:val="center"/>
          </w:tcPr>
          <w:p w14:paraId="2798937F">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违章操作、误操作</w:t>
            </w:r>
          </w:p>
        </w:tc>
        <w:tc>
          <w:tcPr>
            <w:tcW w:w="864" w:type="pct"/>
            <w:vAlign w:val="center"/>
          </w:tcPr>
          <w:p w14:paraId="235F2CA8">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23</w:t>
            </w:r>
          </w:p>
        </w:tc>
        <w:tc>
          <w:tcPr>
            <w:tcW w:w="1024" w:type="pct"/>
            <w:vAlign w:val="center"/>
          </w:tcPr>
          <w:p w14:paraId="1540E161">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46.9</w:t>
            </w:r>
          </w:p>
        </w:tc>
        <w:tc>
          <w:tcPr>
            <w:tcW w:w="1021" w:type="pct"/>
            <w:vAlign w:val="center"/>
          </w:tcPr>
          <w:p w14:paraId="7513107D">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w:t>
            </w:r>
          </w:p>
        </w:tc>
      </w:tr>
      <w:tr w14:paraId="3418D8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7" w:type="pct"/>
            <w:vAlign w:val="center"/>
          </w:tcPr>
          <w:p w14:paraId="1A3D7779">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4</w:t>
            </w:r>
          </w:p>
        </w:tc>
        <w:tc>
          <w:tcPr>
            <w:tcW w:w="1394" w:type="pct"/>
            <w:vAlign w:val="center"/>
          </w:tcPr>
          <w:p w14:paraId="431D11A2">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管道破裂泄漏</w:t>
            </w:r>
          </w:p>
        </w:tc>
        <w:tc>
          <w:tcPr>
            <w:tcW w:w="864" w:type="pct"/>
            <w:vAlign w:val="center"/>
          </w:tcPr>
          <w:p w14:paraId="4D3A41ED">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w:t>
            </w:r>
          </w:p>
        </w:tc>
        <w:tc>
          <w:tcPr>
            <w:tcW w:w="1024" w:type="pct"/>
            <w:vAlign w:val="center"/>
          </w:tcPr>
          <w:p w14:paraId="4F000547">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4.1</w:t>
            </w:r>
          </w:p>
        </w:tc>
        <w:tc>
          <w:tcPr>
            <w:tcW w:w="1021" w:type="pct"/>
            <w:vAlign w:val="center"/>
          </w:tcPr>
          <w:p w14:paraId="4ED74903">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5</w:t>
            </w:r>
          </w:p>
        </w:tc>
      </w:tr>
      <w:tr w14:paraId="08460C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7" w:type="pct"/>
            <w:vAlign w:val="center"/>
          </w:tcPr>
          <w:p w14:paraId="382BDE45">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5</w:t>
            </w:r>
          </w:p>
        </w:tc>
        <w:tc>
          <w:tcPr>
            <w:tcW w:w="1394" w:type="pct"/>
            <w:vAlign w:val="center"/>
          </w:tcPr>
          <w:p w14:paraId="05FAD590">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阀门法兰泄漏</w:t>
            </w:r>
          </w:p>
        </w:tc>
        <w:tc>
          <w:tcPr>
            <w:tcW w:w="864" w:type="pct"/>
            <w:vAlign w:val="center"/>
          </w:tcPr>
          <w:p w14:paraId="02DF9649">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3</w:t>
            </w:r>
          </w:p>
        </w:tc>
        <w:tc>
          <w:tcPr>
            <w:tcW w:w="1024" w:type="pct"/>
            <w:vAlign w:val="center"/>
          </w:tcPr>
          <w:p w14:paraId="56951EFF">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6.1</w:t>
            </w:r>
          </w:p>
        </w:tc>
        <w:tc>
          <w:tcPr>
            <w:tcW w:w="1021" w:type="pct"/>
            <w:vAlign w:val="center"/>
          </w:tcPr>
          <w:p w14:paraId="31D30A7C">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4</w:t>
            </w:r>
          </w:p>
        </w:tc>
      </w:tr>
      <w:tr w14:paraId="72FAD1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7" w:type="pct"/>
            <w:vAlign w:val="center"/>
          </w:tcPr>
          <w:p w14:paraId="02590DC5">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6</w:t>
            </w:r>
          </w:p>
        </w:tc>
        <w:tc>
          <w:tcPr>
            <w:tcW w:w="1394" w:type="pct"/>
            <w:vAlign w:val="center"/>
          </w:tcPr>
          <w:p w14:paraId="2D71FE8E">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静电</w:t>
            </w:r>
          </w:p>
        </w:tc>
        <w:tc>
          <w:tcPr>
            <w:tcW w:w="864" w:type="pct"/>
            <w:vAlign w:val="center"/>
          </w:tcPr>
          <w:p w14:paraId="093F6C14">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w:t>
            </w:r>
          </w:p>
        </w:tc>
        <w:tc>
          <w:tcPr>
            <w:tcW w:w="1024" w:type="pct"/>
            <w:vAlign w:val="center"/>
          </w:tcPr>
          <w:p w14:paraId="6121E141">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4.1</w:t>
            </w:r>
          </w:p>
        </w:tc>
        <w:tc>
          <w:tcPr>
            <w:tcW w:w="1021" w:type="pct"/>
            <w:vAlign w:val="center"/>
          </w:tcPr>
          <w:p w14:paraId="6BCB57F9">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5</w:t>
            </w:r>
          </w:p>
        </w:tc>
      </w:tr>
      <w:tr w14:paraId="5595C0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7" w:type="pct"/>
            <w:vAlign w:val="center"/>
          </w:tcPr>
          <w:p w14:paraId="1B4CF0E4">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7</w:t>
            </w:r>
          </w:p>
        </w:tc>
        <w:tc>
          <w:tcPr>
            <w:tcW w:w="1394" w:type="pct"/>
            <w:vAlign w:val="center"/>
          </w:tcPr>
          <w:p w14:paraId="71C21B57">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安全设施不全</w:t>
            </w:r>
          </w:p>
        </w:tc>
        <w:tc>
          <w:tcPr>
            <w:tcW w:w="864" w:type="pct"/>
            <w:vAlign w:val="center"/>
          </w:tcPr>
          <w:p w14:paraId="3E9FC181">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5</w:t>
            </w:r>
          </w:p>
        </w:tc>
        <w:tc>
          <w:tcPr>
            <w:tcW w:w="1024" w:type="pct"/>
            <w:vAlign w:val="center"/>
          </w:tcPr>
          <w:p w14:paraId="11CF5718">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10.2</w:t>
            </w:r>
          </w:p>
        </w:tc>
        <w:tc>
          <w:tcPr>
            <w:tcW w:w="1021" w:type="pct"/>
            <w:vAlign w:val="center"/>
          </w:tcPr>
          <w:p w14:paraId="5A4CF667">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3</w:t>
            </w:r>
          </w:p>
        </w:tc>
      </w:tr>
    </w:tbl>
    <w:p w14:paraId="236AB074">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根据上述事故原因统计分析可知：</w:t>
      </w:r>
    </w:p>
    <w:p w14:paraId="4F00101B">
      <w:pPr>
        <w:widowControl w:val="0"/>
        <w:spacing w:line="360" w:lineRule="auto"/>
        <w:ind w:firstLine="480" w:firstLineChars="200"/>
        <w:jc w:val="both"/>
        <w:rPr>
          <w:rFonts w:ascii="Times New Roman" w:hAnsi="Times New Roman" w:cs="Times New Roman"/>
          <w:color w:val="auto"/>
          <w:lang w:eastAsia="zh-CN"/>
        </w:rPr>
      </w:pPr>
      <w:r>
        <w:rPr>
          <w:rFonts w:ascii="宋体" w:hAnsi="宋体" w:cs="Cambria Math"/>
          <w:color w:val="auto"/>
          <w:lang w:eastAsia="zh-CN"/>
        </w:rPr>
        <w:t>①</w:t>
      </w:r>
      <w:r>
        <w:rPr>
          <w:rFonts w:ascii="Times New Roman" w:hAnsi="Times New Roman" w:cs="Times New Roman"/>
          <w:color w:val="auto"/>
          <w:lang w:eastAsia="zh-CN"/>
        </w:rPr>
        <w:t xml:space="preserve"> 化工厂由于原料、产品等均为易燃易爆物质，工艺复杂、设备庞大，又是在高温和压力下操作，一旦泄漏扩散，易发生事故，所以预防事故发生，保证安全生产极为重要。</w:t>
      </w:r>
    </w:p>
    <w:p w14:paraId="5076BDF7">
      <w:pPr>
        <w:widowControl w:val="0"/>
        <w:spacing w:line="360" w:lineRule="auto"/>
        <w:ind w:firstLine="480" w:firstLineChars="200"/>
        <w:jc w:val="both"/>
        <w:rPr>
          <w:rFonts w:ascii="Times New Roman" w:hAnsi="Times New Roman" w:cs="Times New Roman"/>
          <w:color w:val="auto"/>
          <w:lang w:eastAsia="zh-CN"/>
        </w:rPr>
      </w:pPr>
      <w:r>
        <w:rPr>
          <w:rFonts w:ascii="宋体" w:hAnsi="宋体" w:cs="Cambria Math"/>
          <w:color w:val="auto"/>
          <w:lang w:eastAsia="zh-CN"/>
        </w:rPr>
        <w:t>②</w:t>
      </w:r>
      <w:r>
        <w:rPr>
          <w:rFonts w:ascii="Times New Roman" w:hAnsi="Times New Roman" w:cs="Times New Roman"/>
          <w:color w:val="auto"/>
          <w:lang w:eastAsia="zh-CN"/>
        </w:rPr>
        <w:t xml:space="preserve"> 国外石化厂设备故障引发的事故占23.5%，管道泄漏引发的事故占20.6%，阀门、法兰泄漏引发的事故占14.7%，共58.8%；国内石化厂管道破裂泄漏占4.1%，阀门、法兰泄漏占6.1%，设备故障、缺陷占24.5%，共计34.7%，明显少于国外。</w:t>
      </w:r>
    </w:p>
    <w:p w14:paraId="7662849E">
      <w:pPr>
        <w:widowControl w:val="0"/>
        <w:spacing w:line="360" w:lineRule="auto"/>
        <w:ind w:firstLine="480" w:firstLineChars="200"/>
        <w:jc w:val="both"/>
        <w:rPr>
          <w:rFonts w:ascii="Times New Roman" w:hAnsi="Times New Roman" w:cs="Times New Roman"/>
          <w:color w:val="auto"/>
          <w:lang w:eastAsia="zh-CN"/>
        </w:rPr>
      </w:pPr>
      <w:r>
        <w:rPr>
          <w:rFonts w:ascii="宋体" w:hAnsi="宋体" w:cs="Cambria Math"/>
          <w:color w:val="auto"/>
          <w:lang w:eastAsia="zh-CN"/>
        </w:rPr>
        <w:t>③</w:t>
      </w:r>
      <w:r>
        <w:rPr>
          <w:rFonts w:ascii="Times New Roman" w:hAnsi="Times New Roman" w:cs="Times New Roman"/>
          <w:color w:val="auto"/>
          <w:lang w:eastAsia="zh-CN"/>
        </w:rPr>
        <w:t xml:space="preserve"> 国外事故统计中没有违章操作这一项，误操作占17.6%，国内误操作、违章操作共占46.9%，这么大的比例差别，除操作人员的责任心不强，违章操作确有发生外，国内外在事故统计方法上的差别也不能忽视。</w:t>
      </w:r>
    </w:p>
    <w:p w14:paraId="3C86A413">
      <w:pPr>
        <w:spacing w:line="360" w:lineRule="auto"/>
        <w:ind w:firstLine="480" w:firstLineChars="200"/>
        <w:jc w:val="both"/>
        <w:rPr>
          <w:rFonts w:ascii="Times New Roman" w:hAnsi="Times New Roman" w:cs="Times New Roman"/>
          <w:color w:val="auto"/>
          <w:lang w:eastAsia="zh-CN"/>
        </w:rPr>
      </w:pPr>
      <w:r>
        <w:rPr>
          <w:rFonts w:ascii="宋体" w:hAnsi="宋体" w:cs="Cambria Math"/>
          <w:color w:val="auto"/>
          <w:lang w:eastAsia="zh-CN"/>
        </w:rPr>
        <w:t>④</w:t>
      </w:r>
      <w:r>
        <w:rPr>
          <w:rFonts w:ascii="Times New Roman" w:hAnsi="Times New Roman" w:cs="Times New Roman"/>
          <w:color w:val="auto"/>
          <w:lang w:eastAsia="zh-CN"/>
        </w:rPr>
        <w:t xml:space="preserve"> 国内违章操作、误操作占46.9%。国内石油化工厂发生的许多事故都是由多种因素造成的，用系统安全工程方法去分析，就要从设计源头抓起，从建设的施工质量是否埋下了隐患、工艺是否成熟、工艺操作条件和操作规程制定的是否合理、设备选型和制造有无缺陷、自保联锁和安全设施是否齐全好用，以及人的责任心和操作技能能否胜任等方面综合分析，找出原因，制定或完善整改措施，预防事故再次发生。</w:t>
      </w:r>
    </w:p>
    <w:p w14:paraId="14513E5A">
      <w:pPr>
        <w:spacing w:line="360" w:lineRule="auto"/>
        <w:ind w:firstLine="482"/>
        <w:outlineLvl w:val="2"/>
        <w:rPr>
          <w:rFonts w:ascii="Times New Roman" w:hAnsi="Times New Roman" w:cs="Times New Roman"/>
          <w:b/>
          <w:color w:val="auto"/>
          <w:szCs w:val="24"/>
          <w:lang w:eastAsia="zh-CN"/>
        </w:rPr>
      </w:pPr>
      <w:bookmarkStart w:id="1918" w:name="_Toc178602427"/>
      <w:bookmarkStart w:id="1919" w:name="_Toc204448541"/>
      <w:bookmarkStart w:id="1920" w:name="_Toc237508370"/>
      <w:bookmarkStart w:id="1921" w:name="_Toc224674774"/>
      <w:bookmarkStart w:id="1922" w:name="_Toc218784359"/>
      <w:bookmarkStart w:id="1923" w:name="_Toc231828657"/>
      <w:bookmarkStart w:id="1924" w:name="_Toc236641905"/>
      <w:bookmarkStart w:id="1925" w:name="_Toc175164351"/>
      <w:bookmarkStart w:id="1926" w:name="_Toc223425134"/>
      <w:bookmarkStart w:id="1927" w:name="_Toc221900916"/>
      <w:bookmarkStart w:id="1928" w:name="_Toc173743460"/>
      <w:bookmarkStart w:id="1929" w:name="_Toc173740356"/>
      <w:bookmarkStart w:id="1930" w:name="_Toc203927079"/>
      <w:bookmarkStart w:id="1931" w:name="_Toc176513086"/>
      <w:bookmarkStart w:id="1932" w:name="_Toc225784136"/>
      <w:bookmarkStart w:id="1933" w:name="_Toc217662747"/>
      <w:bookmarkStart w:id="1934" w:name="_Toc172555723"/>
      <w:bookmarkStart w:id="1935" w:name="_Toc204515276"/>
      <w:bookmarkStart w:id="1936" w:name="_Toc4824"/>
      <w:r>
        <w:rPr>
          <w:rFonts w:ascii="Times New Roman" w:hAnsi="Times New Roman" w:cs="Times New Roman"/>
          <w:b/>
          <w:color w:val="auto"/>
          <w:szCs w:val="24"/>
          <w:lang w:eastAsia="zh-CN"/>
        </w:rPr>
        <w:t>7.</w:t>
      </w:r>
      <w:r>
        <w:rPr>
          <w:rFonts w:hint="eastAsia" w:ascii="Times New Roman" w:hAnsi="Times New Roman" w:cs="Times New Roman"/>
          <w:b/>
          <w:color w:val="auto"/>
          <w:szCs w:val="24"/>
          <w:lang w:eastAsia="zh-CN"/>
        </w:rPr>
        <w:t>6</w:t>
      </w:r>
      <w:r>
        <w:rPr>
          <w:rFonts w:ascii="Times New Roman" w:hAnsi="Times New Roman" w:cs="Times New Roman"/>
          <w:b/>
          <w:color w:val="auto"/>
          <w:szCs w:val="24"/>
          <w:lang w:eastAsia="zh-CN"/>
        </w:rPr>
        <w:t>.3 物质危险性识别</w:t>
      </w:r>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p>
    <w:p w14:paraId="7EB5FB76">
      <w:pPr>
        <w:spacing w:line="360" w:lineRule="auto"/>
        <w:ind w:firstLine="480" w:firstLineChars="200"/>
        <w:jc w:val="both"/>
        <w:rPr>
          <w:rFonts w:ascii="Times New Roman" w:hAnsi="Times New Roman" w:cs="Times New Roman"/>
          <w:color w:val="auto"/>
          <w:szCs w:val="24"/>
          <w:lang w:eastAsia="zh-CN"/>
        </w:rPr>
      </w:pPr>
      <w:bookmarkStart w:id="1937" w:name="_Toc2643"/>
      <w:r>
        <w:rPr>
          <w:rFonts w:ascii="Times New Roman" w:hAnsi="Times New Roman" w:cs="Times New Roman"/>
          <w:color w:val="auto"/>
          <w:szCs w:val="24"/>
          <w:lang w:eastAsia="zh-CN"/>
        </w:rPr>
        <w:t>对照《危险化学品目录（2022调整版）》和《建设项目环境影响评价技术导则》（HJ169-2018）附录B</w:t>
      </w:r>
      <w:r>
        <w:rPr>
          <w:rFonts w:hint="eastAsia" w:ascii="Times New Roman" w:hAnsi="Times New Roman" w:cs="Times New Roman"/>
          <w:color w:val="auto"/>
          <w:szCs w:val="24"/>
          <w:lang w:eastAsia="zh-CN"/>
        </w:rPr>
        <w:t>表B.1和B.2</w:t>
      </w:r>
      <w:r>
        <w:rPr>
          <w:rFonts w:ascii="Times New Roman" w:hAnsi="Times New Roman" w:cs="Times New Roman"/>
          <w:color w:val="auto"/>
          <w:szCs w:val="24"/>
          <w:lang w:eastAsia="zh-CN"/>
        </w:rPr>
        <w:t>，结合风险物质调查结果，识别出本项目涉及的风险物质主要为原辅材料</w:t>
      </w:r>
      <w:r>
        <w:rPr>
          <w:rFonts w:hint="eastAsia" w:ascii="Times New Roman" w:hAnsi="Times New Roman" w:cs="Times New Roman"/>
          <w:color w:val="auto"/>
          <w:szCs w:val="24"/>
          <w:lang w:eastAsia="zh-CN"/>
        </w:rPr>
        <w:t>：</w:t>
      </w:r>
      <w:r>
        <w:rPr>
          <w:rFonts w:hint="eastAsia" w:ascii="Times New Roman" w:hAnsi="Times New Roman" w:cs="Times New Roman"/>
          <w:color w:val="auto"/>
          <w:lang w:eastAsia="zh-CN"/>
        </w:rPr>
        <w:t>无水氟化氢、15%氟化氢水溶液、31%盐酸</w:t>
      </w:r>
      <w:r>
        <w:rPr>
          <w:rFonts w:hint="eastAsia" w:ascii="Times New Roman" w:hAnsi="Times New Roman" w:cs="Times New Roman"/>
          <w:color w:val="auto"/>
          <w:szCs w:val="24"/>
          <w:lang w:eastAsia="zh-CN"/>
        </w:rPr>
        <w:t>；产品：化学纯氢氟酸、刻蚀液</w:t>
      </w:r>
      <w:r>
        <w:rPr>
          <w:rFonts w:ascii="Times New Roman" w:hAnsi="Times New Roman" w:cs="Times New Roman"/>
          <w:color w:val="auto"/>
          <w:szCs w:val="24"/>
          <w:lang w:eastAsia="zh-CN"/>
        </w:rPr>
        <w:t>。</w:t>
      </w:r>
    </w:p>
    <w:p w14:paraId="09D30A4E">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上述物质具有毒有害等特性，一旦发生泄漏，可能会对周边大气造成一定影响。</w:t>
      </w:r>
    </w:p>
    <w:p w14:paraId="16CE6A77">
      <w:pPr>
        <w:spacing w:line="360" w:lineRule="auto"/>
        <w:ind w:firstLine="482"/>
        <w:outlineLvl w:val="2"/>
        <w:rPr>
          <w:rFonts w:ascii="Times New Roman" w:hAnsi="Times New Roman" w:cs="Times New Roman"/>
          <w:b/>
          <w:color w:val="auto"/>
          <w:szCs w:val="24"/>
          <w:lang w:eastAsia="zh-CN"/>
        </w:rPr>
      </w:pPr>
      <w:bookmarkStart w:id="1938" w:name="_Toc172555724"/>
      <w:bookmarkStart w:id="1939" w:name="_Toc173740357"/>
      <w:bookmarkStart w:id="1940" w:name="_Toc173743461"/>
      <w:bookmarkStart w:id="1941" w:name="_Toc176513087"/>
      <w:bookmarkStart w:id="1942" w:name="_Toc203927080"/>
      <w:bookmarkStart w:id="1943" w:name="_Toc178602428"/>
      <w:bookmarkStart w:id="1944" w:name="_Toc175164352"/>
      <w:bookmarkStart w:id="1945" w:name="_Toc225784137"/>
      <w:bookmarkStart w:id="1946" w:name="_Toc237508371"/>
      <w:bookmarkStart w:id="1947" w:name="_Toc221900917"/>
      <w:bookmarkStart w:id="1948" w:name="_Toc224674775"/>
      <w:bookmarkStart w:id="1949" w:name="_Toc231828658"/>
      <w:bookmarkStart w:id="1950" w:name="_Toc204448542"/>
      <w:bookmarkStart w:id="1951" w:name="_Toc217662748"/>
      <w:bookmarkStart w:id="1952" w:name="_Toc204515277"/>
      <w:bookmarkStart w:id="1953" w:name="_Toc218784360"/>
      <w:bookmarkStart w:id="1954" w:name="_Toc223425135"/>
      <w:bookmarkStart w:id="1955" w:name="_Toc236641906"/>
      <w:r>
        <w:rPr>
          <w:rFonts w:ascii="Times New Roman" w:hAnsi="Times New Roman" w:cs="Times New Roman"/>
          <w:b/>
          <w:color w:val="auto"/>
          <w:szCs w:val="24"/>
          <w:lang w:eastAsia="zh-CN"/>
        </w:rPr>
        <w:t>7.</w:t>
      </w:r>
      <w:r>
        <w:rPr>
          <w:rFonts w:hint="eastAsia" w:ascii="Times New Roman" w:hAnsi="Times New Roman" w:cs="Times New Roman"/>
          <w:b/>
          <w:color w:val="auto"/>
          <w:szCs w:val="24"/>
          <w:lang w:eastAsia="zh-CN"/>
        </w:rPr>
        <w:t>6</w:t>
      </w:r>
      <w:r>
        <w:rPr>
          <w:rFonts w:ascii="Times New Roman" w:hAnsi="Times New Roman" w:cs="Times New Roman"/>
          <w:b/>
          <w:color w:val="auto"/>
          <w:szCs w:val="24"/>
          <w:lang w:eastAsia="zh-CN"/>
        </w:rPr>
        <w:t>.4</w:t>
      </w:r>
      <w:bookmarkEnd w:id="1938"/>
      <w:bookmarkEnd w:id="1939"/>
      <w:bookmarkEnd w:id="1940"/>
      <w:bookmarkEnd w:id="1941"/>
      <w:bookmarkEnd w:id="1942"/>
      <w:bookmarkEnd w:id="1943"/>
      <w:bookmarkEnd w:id="1944"/>
      <w:r>
        <w:rPr>
          <w:rFonts w:hint="eastAsia" w:ascii="Times New Roman" w:hAnsi="Times New Roman" w:cs="Times New Roman"/>
          <w:b/>
          <w:color w:val="auto"/>
          <w:szCs w:val="24"/>
          <w:lang w:eastAsia="zh-CN"/>
        </w:rPr>
        <w:t xml:space="preserve"> 风险物质分布</w:t>
      </w:r>
      <w:bookmarkEnd w:id="1945"/>
      <w:bookmarkEnd w:id="1946"/>
      <w:bookmarkEnd w:id="1947"/>
      <w:bookmarkEnd w:id="1948"/>
      <w:bookmarkEnd w:id="1949"/>
      <w:bookmarkEnd w:id="1950"/>
      <w:bookmarkEnd w:id="1951"/>
      <w:bookmarkEnd w:id="1952"/>
      <w:bookmarkEnd w:id="1953"/>
      <w:bookmarkEnd w:id="1954"/>
      <w:bookmarkEnd w:id="1955"/>
    </w:p>
    <w:p w14:paraId="07D71816">
      <w:pPr>
        <w:widowControl w:val="0"/>
        <w:spacing w:line="360" w:lineRule="auto"/>
        <w:ind w:firstLine="480" w:firstLineChars="200"/>
        <w:rPr>
          <w:rFonts w:ascii="Times New Roman" w:hAnsi="Times New Roman" w:cs="Times New Roman"/>
          <w:b/>
          <w:color w:val="auto"/>
          <w:lang w:eastAsia="zh-CN"/>
        </w:rPr>
      </w:pPr>
      <w:r>
        <w:rPr>
          <w:rFonts w:ascii="Times New Roman" w:hAnsi="Times New Roman" w:cs="Times New Roman"/>
          <w:color w:val="auto"/>
          <w:lang w:eastAsia="zh-CN"/>
        </w:rPr>
        <w:t>根据设计方案，结合工程分析的结果，本项目生产过程中涉及的风险物质分布情况见下表所示。</w:t>
      </w:r>
    </w:p>
    <w:p w14:paraId="012F1F74">
      <w:pPr>
        <w:spacing w:line="360" w:lineRule="auto"/>
        <w:jc w:val="center"/>
        <w:rPr>
          <w:rFonts w:ascii="Times New Roman" w:hAnsi="Times New Roman" w:cs="Times New Roman"/>
          <w:b/>
          <w:bCs/>
          <w:lang w:eastAsia="zh-CN"/>
        </w:rPr>
      </w:pPr>
      <w:r>
        <w:rPr>
          <w:rFonts w:ascii="Times New Roman" w:hAnsi="Times New Roman" w:cs="Times New Roman"/>
          <w:b/>
          <w:bCs/>
          <w:lang w:eastAsia="zh-CN"/>
        </w:rPr>
        <w:t>表</w:t>
      </w:r>
      <w:r>
        <w:rPr>
          <w:rFonts w:hint="eastAsia" w:ascii="Times New Roman" w:cs="Times New Roman"/>
          <w:b/>
          <w:bCs/>
          <w:lang w:eastAsia="zh-CN"/>
        </w:rPr>
        <w:t>7</w:t>
      </w:r>
      <w:r>
        <w:rPr>
          <w:rFonts w:ascii="Times New Roman" w:hAnsi="Times New Roman" w:cs="Times New Roman"/>
          <w:b/>
          <w:bCs/>
          <w:lang w:eastAsia="zh-CN"/>
        </w:rPr>
        <w:t>.</w:t>
      </w:r>
      <w:r>
        <w:rPr>
          <w:rFonts w:hint="eastAsia" w:ascii="Times New Roman" w:hAnsi="Times New Roman" w:cs="Times New Roman"/>
          <w:b/>
          <w:bCs/>
          <w:lang w:eastAsia="zh-CN"/>
        </w:rPr>
        <w:t>6</w:t>
      </w:r>
      <w:r>
        <w:rPr>
          <w:rFonts w:ascii="Times New Roman" w:hAnsi="Times New Roman" w:cs="Times New Roman"/>
          <w:b/>
          <w:bCs/>
          <w:lang w:eastAsia="zh-CN"/>
        </w:rPr>
        <w:t>-</w:t>
      </w:r>
      <w:r>
        <w:rPr>
          <w:rFonts w:hint="eastAsia" w:ascii="Times New Roman" w:hAnsi="Times New Roman" w:cs="Times New Roman"/>
          <w:b/>
          <w:bCs/>
          <w:lang w:eastAsia="zh-CN"/>
        </w:rPr>
        <w:t>2</w:t>
      </w:r>
      <w:r>
        <w:rPr>
          <w:rFonts w:ascii="Times New Roman" w:hAnsi="Times New Roman" w:cs="Times New Roman"/>
          <w:b/>
          <w:bCs/>
          <w:lang w:eastAsia="zh-CN"/>
        </w:rPr>
        <w:t xml:space="preserve"> 拟建项目风险物质分布情况一览表</w:t>
      </w:r>
    </w:p>
    <w:tbl>
      <w:tblPr>
        <w:tblStyle w:val="35"/>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27"/>
        <w:gridCol w:w="3283"/>
        <w:gridCol w:w="5336"/>
      </w:tblGrid>
      <w:tr w14:paraId="7737A2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14:paraId="0F7C9B3B">
            <w:pPr>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序号</w:t>
            </w:r>
          </w:p>
        </w:tc>
        <w:tc>
          <w:tcPr>
            <w:tcW w:w="3283" w:type="dxa"/>
            <w:vAlign w:val="center"/>
          </w:tcPr>
          <w:p w14:paraId="4F15FE86">
            <w:pPr>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危险</w:t>
            </w:r>
            <w:r>
              <w:rPr>
                <w:rFonts w:ascii="Times New Roman" w:hAnsi="Times New Roman" w:cs="Times New Roman"/>
                <w:b/>
                <w:bCs/>
                <w:color w:val="auto"/>
                <w:sz w:val="21"/>
                <w:lang w:eastAsia="zh-CN"/>
              </w:rPr>
              <w:t>物质分布</w:t>
            </w:r>
          </w:p>
        </w:tc>
        <w:tc>
          <w:tcPr>
            <w:tcW w:w="5336" w:type="dxa"/>
            <w:vAlign w:val="center"/>
          </w:tcPr>
          <w:p w14:paraId="36A3A5DE">
            <w:pPr>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危险</w:t>
            </w:r>
            <w:r>
              <w:rPr>
                <w:rFonts w:ascii="Times New Roman" w:hAnsi="Times New Roman" w:cs="Times New Roman"/>
                <w:b/>
                <w:bCs/>
                <w:color w:val="auto"/>
                <w:sz w:val="21"/>
                <w:lang w:eastAsia="zh-CN"/>
              </w:rPr>
              <w:t>物质</w:t>
            </w:r>
          </w:p>
        </w:tc>
      </w:tr>
      <w:tr w14:paraId="59B087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14:paraId="747C0366">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一</w:t>
            </w:r>
          </w:p>
        </w:tc>
        <w:tc>
          <w:tcPr>
            <w:tcW w:w="8619" w:type="dxa"/>
            <w:gridSpan w:val="2"/>
            <w:vAlign w:val="center"/>
          </w:tcPr>
          <w:p w14:paraId="63D48715">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生产装置</w:t>
            </w:r>
          </w:p>
        </w:tc>
      </w:tr>
      <w:tr w14:paraId="6EF9BB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14:paraId="7E166AAE">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w:t>
            </w:r>
          </w:p>
        </w:tc>
        <w:tc>
          <w:tcPr>
            <w:tcW w:w="3283" w:type="dxa"/>
            <w:vAlign w:val="center"/>
          </w:tcPr>
          <w:p w14:paraId="40322DA3">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化学纯氢氟酸</w:t>
            </w:r>
            <w:r>
              <w:rPr>
                <w:rFonts w:ascii="Times New Roman" w:hAnsi="Times New Roman" w:cs="Times New Roman"/>
                <w:color w:val="auto"/>
                <w:sz w:val="21"/>
                <w:lang w:eastAsia="zh-CN"/>
              </w:rPr>
              <w:t>生产装置</w:t>
            </w:r>
          </w:p>
        </w:tc>
        <w:tc>
          <w:tcPr>
            <w:tcW w:w="5336" w:type="dxa"/>
            <w:vAlign w:val="center"/>
          </w:tcPr>
          <w:p w14:paraId="18ACC398">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15%氟化氢水溶液</w:t>
            </w:r>
            <w:r>
              <w:rPr>
                <w:rFonts w:hint="eastAsia" w:ascii="Times New Roman" w:hAnsi="Times New Roman" w:cs="Times New Roman"/>
                <w:color w:val="auto"/>
                <w:sz w:val="21"/>
                <w:lang w:eastAsia="zh-CN"/>
              </w:rPr>
              <w:t>、无水氟化氢</w:t>
            </w:r>
          </w:p>
        </w:tc>
      </w:tr>
      <w:tr w14:paraId="5B55E0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14:paraId="7D207546">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w:t>
            </w:r>
          </w:p>
        </w:tc>
        <w:tc>
          <w:tcPr>
            <w:tcW w:w="3283" w:type="dxa"/>
            <w:vAlign w:val="center"/>
          </w:tcPr>
          <w:p w14:paraId="5B76D7CF">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刻蚀液</w:t>
            </w:r>
            <w:r>
              <w:rPr>
                <w:rFonts w:ascii="Times New Roman" w:hAnsi="Times New Roman" w:cs="Times New Roman"/>
                <w:color w:val="auto"/>
                <w:sz w:val="21"/>
                <w:lang w:eastAsia="zh-CN"/>
              </w:rPr>
              <w:t>生产装置</w:t>
            </w:r>
          </w:p>
        </w:tc>
        <w:tc>
          <w:tcPr>
            <w:tcW w:w="5336" w:type="dxa"/>
            <w:vAlign w:val="center"/>
          </w:tcPr>
          <w:p w14:paraId="5BCC4457">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化学纯氢氟酸、31%盐酸</w:t>
            </w:r>
          </w:p>
        </w:tc>
      </w:tr>
      <w:tr w14:paraId="19CEB4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14:paraId="72AA9656">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二</w:t>
            </w:r>
          </w:p>
        </w:tc>
        <w:tc>
          <w:tcPr>
            <w:tcW w:w="8619" w:type="dxa"/>
            <w:gridSpan w:val="2"/>
            <w:vAlign w:val="center"/>
          </w:tcPr>
          <w:p w14:paraId="5773576D">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储运设施</w:t>
            </w:r>
          </w:p>
        </w:tc>
      </w:tr>
      <w:tr w14:paraId="76F650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14:paraId="75075BE5">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w:t>
            </w:r>
          </w:p>
        </w:tc>
        <w:tc>
          <w:tcPr>
            <w:tcW w:w="3283" w:type="dxa"/>
            <w:vAlign w:val="center"/>
          </w:tcPr>
          <w:p w14:paraId="1DCEB673">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无水氟化氢库房</w:t>
            </w:r>
          </w:p>
        </w:tc>
        <w:tc>
          <w:tcPr>
            <w:tcW w:w="5336" w:type="dxa"/>
            <w:vAlign w:val="center"/>
          </w:tcPr>
          <w:p w14:paraId="3A145B6F">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氟化氢</w:t>
            </w:r>
          </w:p>
        </w:tc>
      </w:tr>
      <w:tr w14:paraId="5105DD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14:paraId="0B525BC1">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2</w:t>
            </w:r>
          </w:p>
        </w:tc>
        <w:tc>
          <w:tcPr>
            <w:tcW w:w="3283" w:type="dxa"/>
            <w:vAlign w:val="center"/>
          </w:tcPr>
          <w:p w14:paraId="301BD65B">
            <w:pPr>
              <w:jc w:val="center"/>
              <w:rPr>
                <w:rFonts w:ascii="Times New Roman" w:hAnsi="Times New Roman" w:cs="Times New Roman"/>
                <w:color w:val="auto"/>
                <w:sz w:val="21"/>
                <w:lang w:eastAsia="zh-CN"/>
              </w:rPr>
            </w:pPr>
            <w:r>
              <w:rPr>
                <w:rFonts w:ascii="Times New Roman"/>
                <w:color w:val="auto"/>
                <w:sz w:val="21"/>
                <w:lang w:eastAsia="zh-CN"/>
              </w:rPr>
              <w:t>原料及产品罐区</w:t>
            </w:r>
          </w:p>
        </w:tc>
        <w:tc>
          <w:tcPr>
            <w:tcW w:w="5336" w:type="dxa"/>
            <w:vAlign w:val="center"/>
          </w:tcPr>
          <w:p w14:paraId="55814C90">
            <w:pPr>
              <w:jc w:val="center"/>
              <w:rPr>
                <w:rFonts w:ascii="Times New Roman" w:hAnsi="Times New Roman" w:cs="Times New Roman"/>
                <w:color w:val="auto"/>
                <w:sz w:val="21"/>
                <w:lang w:eastAsia="zh-CN"/>
              </w:rPr>
            </w:pPr>
            <w:r>
              <w:rPr>
                <w:rFonts w:hint="eastAsia" w:ascii="Times New Roman" w:hAnsi="Times New Roman" w:cs="Times New Roman"/>
                <w:color w:val="000000" w:themeColor="text1"/>
                <w:kern w:val="2"/>
                <w:sz w:val="21"/>
                <w:lang w:eastAsia="zh-CN"/>
                <w14:textFill>
                  <w14:solidFill>
                    <w14:schemeClr w14:val="tx1"/>
                  </w14:solidFill>
                </w14:textFill>
              </w:rPr>
              <w:t>15%氟化氢水溶液、化学纯氢氟酸</w:t>
            </w:r>
          </w:p>
        </w:tc>
      </w:tr>
      <w:tr w14:paraId="3EB416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14:paraId="51A504CF">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3</w:t>
            </w:r>
          </w:p>
        </w:tc>
        <w:tc>
          <w:tcPr>
            <w:tcW w:w="3283" w:type="dxa"/>
            <w:vAlign w:val="center"/>
          </w:tcPr>
          <w:p w14:paraId="761658FA">
            <w:pPr>
              <w:jc w:val="center"/>
              <w:rPr>
                <w:rFonts w:ascii="Times New Roman" w:hAnsi="Times New Roman" w:cs="Times New Roman"/>
                <w:color w:val="auto"/>
                <w:sz w:val="21"/>
                <w:lang w:eastAsia="zh-CN"/>
              </w:rPr>
            </w:pPr>
            <w:r>
              <w:rPr>
                <w:rFonts w:hint="eastAsia" w:ascii="Times New Roman"/>
                <w:color w:val="auto"/>
                <w:sz w:val="21"/>
                <w:lang w:eastAsia="zh-CN"/>
              </w:rPr>
              <w:t>丁类仓库</w:t>
            </w:r>
          </w:p>
        </w:tc>
        <w:tc>
          <w:tcPr>
            <w:tcW w:w="5336" w:type="dxa"/>
            <w:vAlign w:val="center"/>
          </w:tcPr>
          <w:p w14:paraId="6BC1CCF3">
            <w:pPr>
              <w:jc w:val="center"/>
              <w:rPr>
                <w:rFonts w:ascii="Times New Roman" w:hAnsi="Times New Roman" w:cs="Times New Roman"/>
                <w:color w:val="auto"/>
                <w:sz w:val="21"/>
                <w:lang w:eastAsia="zh-CN"/>
              </w:rPr>
            </w:pPr>
            <w:r>
              <w:rPr>
                <w:rFonts w:hint="eastAsia" w:ascii="Times New Roman" w:hAnsi="Times New Roman" w:cs="Times New Roman"/>
                <w:color w:val="000000" w:themeColor="text1"/>
                <w:kern w:val="2"/>
                <w:sz w:val="21"/>
                <w:lang w:eastAsia="zh-CN"/>
                <w14:textFill>
                  <w14:solidFill>
                    <w14:schemeClr w14:val="tx1"/>
                  </w14:solidFill>
                </w14:textFill>
              </w:rPr>
              <w:t>化学纯氢氟酸</w:t>
            </w:r>
          </w:p>
        </w:tc>
      </w:tr>
      <w:tr w14:paraId="4A5FEE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127" w:type="dxa"/>
            <w:vAlign w:val="center"/>
          </w:tcPr>
          <w:p w14:paraId="296F1EAD">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4</w:t>
            </w:r>
          </w:p>
        </w:tc>
        <w:tc>
          <w:tcPr>
            <w:tcW w:w="3283" w:type="dxa"/>
            <w:vAlign w:val="center"/>
          </w:tcPr>
          <w:p w14:paraId="7228AE8F">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戊类罐区二</w:t>
            </w:r>
          </w:p>
        </w:tc>
        <w:tc>
          <w:tcPr>
            <w:tcW w:w="5336" w:type="dxa"/>
            <w:vAlign w:val="center"/>
          </w:tcPr>
          <w:p w14:paraId="65F9CEF0">
            <w:pPr>
              <w:jc w:val="center"/>
              <w:rPr>
                <w:rFonts w:ascii="Times New Roman" w:hAnsi="Times New Roman" w:cs="Times New Roman"/>
                <w:color w:val="auto"/>
                <w:sz w:val="21"/>
                <w:lang w:eastAsia="zh-CN"/>
              </w:rPr>
            </w:pPr>
            <w:r>
              <w:rPr>
                <w:rFonts w:hint="eastAsia" w:ascii="Times New Roman" w:hAnsi="Times New Roman" w:cs="Times New Roman"/>
                <w:color w:val="000000" w:themeColor="text1"/>
                <w:kern w:val="2"/>
                <w:sz w:val="21"/>
                <w:lang w:eastAsia="zh-CN"/>
                <w14:textFill>
                  <w14:solidFill>
                    <w14:schemeClr w14:val="tx1"/>
                  </w14:solidFill>
                </w14:textFill>
              </w:rPr>
              <w:t>31%盐酸、化学纯氢氟酸、刻蚀液</w:t>
            </w:r>
          </w:p>
        </w:tc>
      </w:tr>
      <w:tr w14:paraId="17D3BF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14:paraId="27DD0CDD">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三</w:t>
            </w:r>
          </w:p>
        </w:tc>
        <w:tc>
          <w:tcPr>
            <w:tcW w:w="8619" w:type="dxa"/>
            <w:gridSpan w:val="2"/>
            <w:vAlign w:val="center"/>
          </w:tcPr>
          <w:p w14:paraId="46F04479">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环境保护措施</w:t>
            </w:r>
          </w:p>
        </w:tc>
      </w:tr>
      <w:tr w14:paraId="61B835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14:paraId="1ED19631">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w:t>
            </w:r>
            <w:r>
              <w:rPr>
                <w:rFonts w:hint="eastAsia" w:ascii="Times New Roman" w:hAnsi="Times New Roman" w:cs="Times New Roman"/>
                <w:color w:val="auto"/>
                <w:sz w:val="21"/>
                <w:lang w:eastAsia="zh-CN"/>
              </w:rPr>
              <w:t>7</w:t>
            </w:r>
          </w:p>
        </w:tc>
        <w:tc>
          <w:tcPr>
            <w:tcW w:w="3283" w:type="dxa"/>
            <w:vAlign w:val="center"/>
          </w:tcPr>
          <w:p w14:paraId="1391A86A">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危废库</w:t>
            </w:r>
          </w:p>
        </w:tc>
        <w:tc>
          <w:tcPr>
            <w:tcW w:w="5336" w:type="dxa"/>
            <w:vAlign w:val="center"/>
          </w:tcPr>
          <w:p w14:paraId="73236354">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实验室废液、废机油、</w:t>
            </w:r>
            <w:r>
              <w:rPr>
                <w:rFonts w:hint="eastAsia" w:ascii="Times New Roman" w:hAnsi="Times New Roman" w:cs="Times New Roman"/>
                <w:color w:val="auto"/>
                <w:sz w:val="21"/>
                <w:lang w:val="en-US" w:eastAsia="zh-CN"/>
              </w:rPr>
              <w:t>废漆桶、</w:t>
            </w:r>
            <w:r>
              <w:rPr>
                <w:rFonts w:hint="eastAsia" w:ascii="Times New Roman" w:hAnsi="Times New Roman" w:cs="Times New Roman"/>
                <w:color w:val="auto"/>
                <w:sz w:val="21"/>
                <w:lang w:eastAsia="zh-CN"/>
              </w:rPr>
              <w:t>废油桶等</w:t>
            </w:r>
          </w:p>
        </w:tc>
      </w:tr>
      <w:tr w14:paraId="2D7F0A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14:paraId="4601359C">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w:t>
            </w:r>
            <w:r>
              <w:rPr>
                <w:rFonts w:hint="eastAsia" w:ascii="Times New Roman" w:hAnsi="Times New Roman" w:cs="Times New Roman"/>
                <w:color w:val="auto"/>
                <w:sz w:val="21"/>
                <w:lang w:eastAsia="zh-CN"/>
              </w:rPr>
              <w:t>8</w:t>
            </w:r>
          </w:p>
        </w:tc>
        <w:tc>
          <w:tcPr>
            <w:tcW w:w="3283" w:type="dxa"/>
            <w:vAlign w:val="center"/>
          </w:tcPr>
          <w:p w14:paraId="3AFC881D">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应急事故池</w:t>
            </w:r>
          </w:p>
        </w:tc>
        <w:tc>
          <w:tcPr>
            <w:tcW w:w="5336" w:type="dxa"/>
            <w:vAlign w:val="center"/>
          </w:tcPr>
          <w:p w14:paraId="375F1330">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事故废水，含有</w:t>
            </w:r>
            <w:r>
              <w:rPr>
                <w:rFonts w:hint="eastAsia" w:ascii="Times New Roman" w:hAnsi="Times New Roman" w:cs="Times New Roman"/>
                <w:color w:val="auto"/>
                <w:sz w:val="21"/>
                <w:lang w:eastAsia="zh-CN"/>
              </w:rPr>
              <w:t>氟化氢、氯化氢</w:t>
            </w:r>
            <w:r>
              <w:rPr>
                <w:rFonts w:ascii="Times New Roman" w:hAnsi="Times New Roman" w:cs="Times New Roman"/>
                <w:color w:val="auto"/>
                <w:sz w:val="21"/>
                <w:lang w:eastAsia="zh-CN"/>
              </w:rPr>
              <w:t>等物质</w:t>
            </w:r>
          </w:p>
        </w:tc>
      </w:tr>
    </w:tbl>
    <w:p w14:paraId="6EBA6F77">
      <w:pPr>
        <w:spacing w:line="360" w:lineRule="auto"/>
        <w:jc w:val="center"/>
        <w:rPr>
          <w:rFonts w:ascii="Times New Roman" w:hAnsi="Times New Roman" w:cs="Times New Roman"/>
          <w:b/>
          <w:bCs/>
          <w:lang w:eastAsia="zh-CN"/>
        </w:rPr>
      </w:pPr>
    </w:p>
    <w:p w14:paraId="386B70C4">
      <w:pPr>
        <w:spacing w:line="360" w:lineRule="auto"/>
        <w:ind w:firstLine="482"/>
        <w:outlineLvl w:val="2"/>
        <w:rPr>
          <w:rFonts w:ascii="Times New Roman" w:hAnsi="Times New Roman" w:cs="Times New Roman"/>
          <w:b/>
          <w:color w:val="auto"/>
          <w:szCs w:val="24"/>
          <w:lang w:eastAsia="zh-CN"/>
        </w:rPr>
      </w:pPr>
      <w:bookmarkStart w:id="1956" w:name="_Toc221900918"/>
      <w:bookmarkStart w:id="1957" w:name="_Toc218784361"/>
      <w:bookmarkStart w:id="1958" w:name="_Toc231828659"/>
      <w:bookmarkStart w:id="1959" w:name="_Toc225784138"/>
      <w:bookmarkStart w:id="1960" w:name="_Toc236641907"/>
      <w:bookmarkStart w:id="1961" w:name="_Toc223425136"/>
      <w:bookmarkStart w:id="1962" w:name="_Toc224674776"/>
      <w:bookmarkStart w:id="1963" w:name="_Toc204448543"/>
      <w:bookmarkStart w:id="1964" w:name="_Toc237508372"/>
      <w:bookmarkStart w:id="1965" w:name="_Toc217662749"/>
      <w:bookmarkStart w:id="1966" w:name="_Toc204515278"/>
      <w:r>
        <w:rPr>
          <w:rFonts w:ascii="Times New Roman" w:hAnsi="Times New Roman" w:cs="Times New Roman"/>
          <w:b/>
          <w:color w:val="auto"/>
          <w:szCs w:val="24"/>
          <w:lang w:eastAsia="zh-CN"/>
        </w:rPr>
        <w:t>7.</w:t>
      </w:r>
      <w:r>
        <w:rPr>
          <w:rFonts w:hint="eastAsia" w:ascii="Times New Roman" w:hAnsi="Times New Roman" w:cs="Times New Roman"/>
          <w:b/>
          <w:color w:val="auto"/>
          <w:szCs w:val="24"/>
          <w:lang w:eastAsia="zh-CN"/>
        </w:rPr>
        <w:t>6</w:t>
      </w:r>
      <w:r>
        <w:rPr>
          <w:rFonts w:ascii="Times New Roman" w:hAnsi="Times New Roman" w:cs="Times New Roman"/>
          <w:b/>
          <w:color w:val="auto"/>
          <w:szCs w:val="24"/>
          <w:lang w:eastAsia="zh-CN"/>
        </w:rPr>
        <w:t>.5</w:t>
      </w:r>
      <w:r>
        <w:rPr>
          <w:rFonts w:hint="eastAsia" w:ascii="Times New Roman" w:hAnsi="Times New Roman" w:cs="Times New Roman"/>
          <w:b/>
          <w:color w:val="auto"/>
          <w:szCs w:val="24"/>
          <w:lang w:eastAsia="zh-CN"/>
        </w:rPr>
        <w:t xml:space="preserve"> 风险物质特性</w:t>
      </w:r>
      <w:bookmarkEnd w:id="1956"/>
      <w:bookmarkEnd w:id="1957"/>
      <w:bookmarkEnd w:id="1958"/>
      <w:bookmarkEnd w:id="1959"/>
      <w:bookmarkEnd w:id="1960"/>
      <w:bookmarkEnd w:id="1961"/>
      <w:bookmarkEnd w:id="1962"/>
      <w:bookmarkEnd w:id="1963"/>
      <w:bookmarkEnd w:id="1964"/>
      <w:bookmarkEnd w:id="1965"/>
      <w:bookmarkEnd w:id="1966"/>
    </w:p>
    <w:p w14:paraId="0CD1CE12">
      <w:pPr>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参考《建设项目环境风险评价技术导则》（HJ169-2018）、《环境风险评价实用技术和方法》</w:t>
      </w:r>
      <w:r>
        <w:rPr>
          <w:rFonts w:hint="eastAsia" w:ascii="Times New Roman" w:hAnsi="Times New Roman" w:cs="Times New Roman"/>
          <w:bCs/>
          <w:color w:val="auto"/>
          <w:szCs w:val="24"/>
          <w:lang w:eastAsia="zh-CN"/>
        </w:rPr>
        <w:t>、</w:t>
      </w:r>
      <w:r>
        <w:rPr>
          <w:rFonts w:ascii="Times New Roman" w:hAnsi="Times New Roman" w:cs="Times New Roman"/>
          <w:bCs/>
          <w:color w:val="auto"/>
          <w:szCs w:val="24"/>
          <w:lang w:eastAsia="zh-CN"/>
        </w:rPr>
        <w:t>《国家安全监管总局办公厅关于印发首批重点监管的危险化学品安全措施和应急处置原则的通知》、《危险化学品安全技术全书》等技术资料，对拟建项目涉及危险物质的特性进行分析。</w:t>
      </w:r>
    </w:p>
    <w:p w14:paraId="67DB4B39">
      <w:pPr>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拟建项目主要</w:t>
      </w:r>
      <w:r>
        <w:rPr>
          <w:rFonts w:hint="eastAsia" w:ascii="Times New Roman" w:hAnsi="Times New Roman" w:cs="Times New Roman"/>
          <w:bCs/>
          <w:color w:val="auto"/>
          <w:szCs w:val="24"/>
          <w:lang w:eastAsia="zh-CN"/>
        </w:rPr>
        <w:t>风险</w:t>
      </w:r>
      <w:r>
        <w:rPr>
          <w:rFonts w:ascii="Times New Roman" w:hAnsi="Times New Roman" w:cs="Times New Roman"/>
          <w:bCs/>
          <w:color w:val="auto"/>
          <w:szCs w:val="24"/>
          <w:lang w:eastAsia="zh-CN"/>
        </w:rPr>
        <w:t>物质理化性质见工程分析章节，毒理学特性参数见</w:t>
      </w:r>
      <w:r>
        <w:rPr>
          <w:rFonts w:hint="eastAsia" w:ascii="Times New Roman" w:hAnsi="Times New Roman" w:cs="Times New Roman"/>
          <w:bCs/>
          <w:color w:val="auto"/>
          <w:szCs w:val="24"/>
          <w:lang w:eastAsia="zh-CN"/>
        </w:rPr>
        <w:t>下表。</w:t>
      </w:r>
    </w:p>
    <w:p w14:paraId="62E1BCDF">
      <w:pPr>
        <w:spacing w:line="360" w:lineRule="auto"/>
        <w:ind w:firstLine="480" w:firstLineChars="200"/>
        <w:rPr>
          <w:rFonts w:ascii="Times New Roman" w:hAnsi="Times New Roman" w:cs="Times New Roman"/>
          <w:bCs/>
          <w:color w:val="auto"/>
          <w:szCs w:val="24"/>
          <w:lang w:eastAsia="zh-CN"/>
        </w:rPr>
        <w:sectPr>
          <w:pgSz w:w="11906" w:h="16838"/>
          <w:pgMar w:top="1440" w:right="1080" w:bottom="1440" w:left="1080" w:header="851" w:footer="992" w:gutter="0"/>
          <w:cols w:space="720" w:num="1"/>
          <w:docGrid w:type="lines" w:linePitch="312" w:charSpace="0"/>
        </w:sectPr>
      </w:pPr>
    </w:p>
    <w:p w14:paraId="091797D3">
      <w:pPr>
        <w:spacing w:line="360" w:lineRule="auto"/>
        <w:jc w:val="center"/>
        <w:rPr>
          <w:rFonts w:ascii="Times New Roman" w:hAnsi="Times New Roman" w:cs="Times New Roman"/>
          <w:b/>
          <w:szCs w:val="24"/>
          <w:lang w:eastAsia="zh-CN"/>
        </w:rPr>
      </w:pPr>
      <w:r>
        <w:rPr>
          <w:rFonts w:ascii="Times New Roman" w:hAnsi="Times New Roman" w:cs="Times New Roman"/>
          <w:b/>
          <w:szCs w:val="24"/>
          <w:lang w:eastAsia="zh-CN"/>
        </w:rPr>
        <w:t>表</w:t>
      </w:r>
      <w:r>
        <w:rPr>
          <w:rFonts w:hint="eastAsia" w:ascii="Times New Roman" w:hAnsi="Times New Roman" w:cs="Times New Roman"/>
          <w:b/>
          <w:szCs w:val="24"/>
          <w:lang w:eastAsia="zh-CN"/>
        </w:rPr>
        <w:t>7</w:t>
      </w:r>
      <w:r>
        <w:rPr>
          <w:rFonts w:ascii="Times New Roman" w:hAnsi="Times New Roman" w:cs="Times New Roman"/>
          <w:b/>
          <w:szCs w:val="24"/>
          <w:lang w:eastAsia="zh-CN"/>
        </w:rPr>
        <w:t>.</w:t>
      </w:r>
      <w:r>
        <w:rPr>
          <w:rFonts w:hint="eastAsia" w:ascii="Times New Roman" w:hAnsi="Times New Roman" w:cs="Times New Roman"/>
          <w:b/>
          <w:szCs w:val="24"/>
          <w:lang w:eastAsia="zh-CN"/>
        </w:rPr>
        <w:t>6</w:t>
      </w:r>
      <w:r>
        <w:rPr>
          <w:rFonts w:ascii="Times New Roman" w:hAnsi="Times New Roman" w:cs="Times New Roman"/>
          <w:b/>
          <w:szCs w:val="24"/>
          <w:lang w:eastAsia="zh-CN"/>
        </w:rPr>
        <w:t>-</w:t>
      </w:r>
      <w:r>
        <w:rPr>
          <w:rFonts w:hint="eastAsia" w:ascii="Times New Roman" w:hAnsi="Times New Roman" w:cs="Times New Roman"/>
          <w:b/>
          <w:szCs w:val="24"/>
          <w:lang w:eastAsia="zh-CN"/>
        </w:rPr>
        <w:t>3</w:t>
      </w:r>
      <w:r>
        <w:rPr>
          <w:rFonts w:ascii="Times New Roman" w:hAnsi="Times New Roman" w:cs="Times New Roman"/>
          <w:b/>
          <w:szCs w:val="24"/>
          <w:lang w:eastAsia="zh-CN"/>
        </w:rPr>
        <w:t xml:space="preserve"> </w:t>
      </w:r>
      <w:r>
        <w:rPr>
          <w:rFonts w:ascii="Times New Roman" w:hAnsi="Times New Roman" w:cs="Times New Roman"/>
          <w:b/>
          <w:bCs/>
          <w:szCs w:val="24"/>
          <w:lang w:eastAsia="zh-CN"/>
        </w:rPr>
        <w:t>风险物质特性一览表</w:t>
      </w:r>
    </w:p>
    <w:tbl>
      <w:tblPr>
        <w:tblStyle w:val="35"/>
        <w:tblW w:w="4996"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37"/>
        <w:gridCol w:w="1263"/>
        <w:gridCol w:w="851"/>
        <w:gridCol w:w="851"/>
        <w:gridCol w:w="993"/>
        <w:gridCol w:w="993"/>
        <w:gridCol w:w="990"/>
        <w:gridCol w:w="2974"/>
        <w:gridCol w:w="851"/>
        <w:gridCol w:w="709"/>
        <w:gridCol w:w="854"/>
        <w:gridCol w:w="1135"/>
        <w:gridCol w:w="1046"/>
      </w:tblGrid>
      <w:tr w14:paraId="4B7D685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6" w:hRule="atLeast"/>
          <w:tblHeader/>
        </w:trPr>
        <w:tc>
          <w:tcPr>
            <w:tcW w:w="157" w:type="pct"/>
            <w:vMerge w:val="restart"/>
            <w:vAlign w:val="center"/>
          </w:tcPr>
          <w:p w14:paraId="0C07242D">
            <w:pPr>
              <w:jc w:val="center"/>
              <w:rPr>
                <w:rFonts w:ascii="Times New Roman" w:hAnsi="Times New Roman" w:cs="Times New Roman"/>
                <w:b/>
                <w:bCs/>
                <w:color w:val="auto"/>
                <w:sz w:val="21"/>
              </w:rPr>
            </w:pPr>
            <w:r>
              <w:rPr>
                <w:rFonts w:ascii="Times New Roman" w:hAnsi="Times New Roman" w:cs="Times New Roman"/>
                <w:b/>
                <w:bCs/>
                <w:color w:val="auto"/>
                <w:sz w:val="21"/>
              </w:rPr>
              <w:t>序号</w:t>
            </w:r>
          </w:p>
        </w:tc>
        <w:tc>
          <w:tcPr>
            <w:tcW w:w="758" w:type="pct"/>
            <w:gridSpan w:val="2"/>
            <w:vMerge w:val="restart"/>
            <w:vAlign w:val="center"/>
          </w:tcPr>
          <w:p w14:paraId="09039497">
            <w:pPr>
              <w:jc w:val="center"/>
              <w:rPr>
                <w:rFonts w:ascii="Times New Roman" w:hAnsi="Times New Roman" w:cs="Times New Roman"/>
                <w:b/>
                <w:bCs/>
                <w:color w:val="auto"/>
                <w:sz w:val="21"/>
              </w:rPr>
            </w:pPr>
            <w:r>
              <w:rPr>
                <w:rFonts w:ascii="Times New Roman" w:hAnsi="Times New Roman" w:cs="Times New Roman"/>
                <w:b/>
                <w:bCs/>
                <w:color w:val="auto"/>
                <w:sz w:val="21"/>
              </w:rPr>
              <w:t>物料名称</w:t>
            </w:r>
          </w:p>
        </w:tc>
        <w:tc>
          <w:tcPr>
            <w:tcW w:w="1372" w:type="pct"/>
            <w:gridSpan w:val="4"/>
            <w:vAlign w:val="center"/>
          </w:tcPr>
          <w:p w14:paraId="696807D8">
            <w:pPr>
              <w:jc w:val="center"/>
              <w:rPr>
                <w:rFonts w:ascii="Times New Roman" w:hAnsi="Times New Roman" w:cs="Times New Roman"/>
                <w:b/>
                <w:bCs/>
                <w:color w:val="auto"/>
                <w:sz w:val="21"/>
              </w:rPr>
            </w:pPr>
            <w:r>
              <w:rPr>
                <w:rFonts w:ascii="Times New Roman" w:hAnsi="Times New Roman" w:cs="Times New Roman"/>
                <w:b/>
                <w:bCs/>
                <w:color w:val="auto"/>
                <w:sz w:val="21"/>
              </w:rPr>
              <w:t>理化性质</w:t>
            </w:r>
          </w:p>
        </w:tc>
        <w:tc>
          <w:tcPr>
            <w:tcW w:w="1066" w:type="pct"/>
            <w:vMerge w:val="restart"/>
            <w:vAlign w:val="center"/>
          </w:tcPr>
          <w:p w14:paraId="5701E300">
            <w:pPr>
              <w:jc w:val="center"/>
              <w:rPr>
                <w:rFonts w:ascii="Times New Roman" w:hAnsi="Times New Roman" w:cs="Times New Roman"/>
                <w:b/>
                <w:bCs/>
                <w:color w:val="auto"/>
                <w:sz w:val="21"/>
              </w:rPr>
            </w:pPr>
            <w:r>
              <w:rPr>
                <w:rFonts w:ascii="Times New Roman" w:hAnsi="Times New Roman" w:cs="Times New Roman"/>
                <w:b/>
                <w:bCs/>
                <w:color w:val="auto"/>
                <w:sz w:val="21"/>
              </w:rPr>
              <w:t>毒性毒理</w:t>
            </w:r>
          </w:p>
        </w:tc>
        <w:tc>
          <w:tcPr>
            <w:tcW w:w="305" w:type="pct"/>
            <w:vMerge w:val="restart"/>
            <w:vAlign w:val="center"/>
          </w:tcPr>
          <w:p w14:paraId="7E6E68AA">
            <w:pPr>
              <w:jc w:val="center"/>
              <w:rPr>
                <w:rFonts w:ascii="Times New Roman" w:hAnsi="Times New Roman" w:cs="Times New Roman"/>
                <w:b/>
                <w:bCs/>
                <w:color w:val="auto"/>
                <w:sz w:val="21"/>
              </w:rPr>
            </w:pPr>
            <w:r>
              <w:rPr>
                <w:rFonts w:ascii="Times New Roman" w:hAnsi="Times New Roman" w:cs="Times New Roman"/>
                <w:b/>
                <w:bCs/>
                <w:color w:val="auto"/>
                <w:sz w:val="21"/>
              </w:rPr>
              <w:t>燃烧性</w:t>
            </w:r>
          </w:p>
        </w:tc>
        <w:tc>
          <w:tcPr>
            <w:tcW w:w="560" w:type="pct"/>
            <w:gridSpan w:val="2"/>
            <w:vAlign w:val="center"/>
          </w:tcPr>
          <w:p w14:paraId="6CB230A6">
            <w:pPr>
              <w:jc w:val="center"/>
              <w:rPr>
                <w:rFonts w:ascii="Times New Roman" w:hAnsi="Times New Roman" w:cs="Times New Roman"/>
                <w:b/>
                <w:bCs/>
                <w:color w:val="auto"/>
                <w:sz w:val="21"/>
              </w:rPr>
            </w:pPr>
            <w:r>
              <w:rPr>
                <w:rFonts w:ascii="Times New Roman" w:hAnsi="Times New Roman" w:cs="Times New Roman"/>
                <w:b/>
                <w:bCs/>
                <w:color w:val="auto"/>
                <w:sz w:val="21"/>
              </w:rPr>
              <w:t>爆炸极限V%</w:t>
            </w:r>
          </w:p>
        </w:tc>
        <w:tc>
          <w:tcPr>
            <w:tcW w:w="782" w:type="pct"/>
            <w:gridSpan w:val="2"/>
            <w:vAlign w:val="center"/>
          </w:tcPr>
          <w:p w14:paraId="0B0149EB">
            <w:pPr>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大气毒性终点浓度值（mg/m</w:t>
            </w:r>
            <w:r>
              <w:rPr>
                <w:rFonts w:ascii="Times New Roman" w:hAnsi="Times New Roman" w:cs="Times New Roman"/>
                <w:b/>
                <w:bCs/>
                <w:color w:val="auto"/>
                <w:sz w:val="21"/>
                <w:vertAlign w:val="superscript"/>
                <w:lang w:eastAsia="zh-CN"/>
              </w:rPr>
              <w:t>3</w:t>
            </w:r>
            <w:r>
              <w:rPr>
                <w:rFonts w:ascii="Times New Roman" w:hAnsi="Times New Roman" w:cs="Times New Roman"/>
                <w:b/>
                <w:bCs/>
                <w:color w:val="auto"/>
                <w:sz w:val="21"/>
                <w:lang w:eastAsia="zh-CN"/>
              </w:rPr>
              <w:t>）</w:t>
            </w:r>
          </w:p>
        </w:tc>
      </w:tr>
      <w:tr w14:paraId="0065661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5" w:hRule="atLeast"/>
          <w:tblHeader/>
        </w:trPr>
        <w:tc>
          <w:tcPr>
            <w:tcW w:w="157" w:type="pct"/>
            <w:vMerge w:val="continue"/>
            <w:vAlign w:val="center"/>
          </w:tcPr>
          <w:p w14:paraId="25193670">
            <w:pPr>
              <w:jc w:val="center"/>
              <w:rPr>
                <w:rFonts w:ascii="Times New Roman" w:hAnsi="Times New Roman" w:cs="Times New Roman"/>
                <w:b/>
                <w:bCs/>
                <w:color w:val="auto"/>
                <w:sz w:val="21"/>
                <w:lang w:eastAsia="zh-CN"/>
              </w:rPr>
            </w:pPr>
          </w:p>
        </w:tc>
        <w:tc>
          <w:tcPr>
            <w:tcW w:w="758" w:type="pct"/>
            <w:gridSpan w:val="2"/>
            <w:vMerge w:val="continue"/>
            <w:vAlign w:val="center"/>
          </w:tcPr>
          <w:p w14:paraId="534A3630">
            <w:pPr>
              <w:jc w:val="center"/>
              <w:rPr>
                <w:rFonts w:ascii="Times New Roman" w:hAnsi="Times New Roman" w:cs="Times New Roman"/>
                <w:b/>
                <w:bCs/>
                <w:color w:val="auto"/>
                <w:sz w:val="21"/>
                <w:lang w:eastAsia="zh-CN"/>
              </w:rPr>
            </w:pPr>
          </w:p>
        </w:tc>
        <w:tc>
          <w:tcPr>
            <w:tcW w:w="305" w:type="pct"/>
            <w:vAlign w:val="center"/>
          </w:tcPr>
          <w:p w14:paraId="610D9E8F">
            <w:pPr>
              <w:jc w:val="center"/>
              <w:rPr>
                <w:rFonts w:ascii="Times New Roman" w:hAnsi="Times New Roman" w:cs="Times New Roman"/>
                <w:b/>
                <w:bCs/>
                <w:color w:val="auto"/>
                <w:sz w:val="21"/>
              </w:rPr>
            </w:pPr>
            <w:r>
              <w:rPr>
                <w:rFonts w:ascii="Times New Roman" w:hAnsi="Times New Roman" w:cs="Times New Roman"/>
                <w:b/>
                <w:bCs/>
                <w:color w:val="auto"/>
                <w:sz w:val="21"/>
              </w:rPr>
              <w:t>形态</w:t>
            </w:r>
          </w:p>
        </w:tc>
        <w:tc>
          <w:tcPr>
            <w:tcW w:w="356" w:type="pct"/>
            <w:vAlign w:val="center"/>
          </w:tcPr>
          <w:p w14:paraId="6288CCF5">
            <w:pPr>
              <w:jc w:val="center"/>
              <w:rPr>
                <w:rFonts w:ascii="Times New Roman" w:hAnsi="Times New Roman" w:cs="Times New Roman"/>
                <w:b/>
                <w:bCs/>
                <w:color w:val="auto"/>
                <w:sz w:val="21"/>
              </w:rPr>
            </w:pPr>
            <w:r>
              <w:rPr>
                <w:rFonts w:ascii="Times New Roman" w:hAnsi="Times New Roman" w:cs="Times New Roman"/>
                <w:b/>
                <w:bCs/>
                <w:color w:val="auto"/>
                <w:sz w:val="21"/>
              </w:rPr>
              <w:t>沸点℃</w:t>
            </w:r>
          </w:p>
        </w:tc>
        <w:tc>
          <w:tcPr>
            <w:tcW w:w="356" w:type="pct"/>
            <w:vAlign w:val="center"/>
          </w:tcPr>
          <w:p w14:paraId="352BBA42">
            <w:pPr>
              <w:jc w:val="center"/>
              <w:rPr>
                <w:rFonts w:ascii="Times New Roman" w:hAnsi="Times New Roman" w:cs="Times New Roman"/>
                <w:b/>
                <w:bCs/>
                <w:color w:val="auto"/>
                <w:sz w:val="21"/>
              </w:rPr>
            </w:pPr>
            <w:r>
              <w:rPr>
                <w:rFonts w:ascii="Times New Roman" w:hAnsi="Times New Roman" w:cs="Times New Roman"/>
                <w:b/>
                <w:bCs/>
                <w:color w:val="auto"/>
                <w:sz w:val="21"/>
              </w:rPr>
              <w:t>熔点℃</w:t>
            </w:r>
          </w:p>
        </w:tc>
        <w:tc>
          <w:tcPr>
            <w:tcW w:w="355" w:type="pct"/>
            <w:vAlign w:val="center"/>
          </w:tcPr>
          <w:p w14:paraId="699534FD">
            <w:pPr>
              <w:jc w:val="center"/>
              <w:rPr>
                <w:rFonts w:ascii="Times New Roman" w:hAnsi="Times New Roman" w:cs="Times New Roman"/>
                <w:color w:val="auto"/>
                <w:sz w:val="21"/>
                <w:lang w:eastAsia="zh-CN"/>
              </w:rPr>
            </w:pPr>
            <w:r>
              <w:rPr>
                <w:rFonts w:ascii="Times New Roman" w:hAnsi="Times New Roman" w:cs="Times New Roman"/>
                <w:b/>
                <w:bCs/>
                <w:color w:val="auto"/>
                <w:sz w:val="21"/>
                <w:lang w:eastAsia="zh-CN"/>
              </w:rPr>
              <w:t>闪点</w:t>
            </w:r>
            <w:r>
              <w:rPr>
                <w:rFonts w:ascii="Times New Roman" w:hAnsi="Times New Roman" w:cs="Times New Roman"/>
                <w:b/>
                <w:bCs/>
                <w:color w:val="auto"/>
                <w:sz w:val="21"/>
              </w:rPr>
              <w:t>℃</w:t>
            </w:r>
          </w:p>
        </w:tc>
        <w:tc>
          <w:tcPr>
            <w:tcW w:w="1066" w:type="pct"/>
            <w:vMerge w:val="continue"/>
            <w:vAlign w:val="center"/>
          </w:tcPr>
          <w:p w14:paraId="1C1EC4E6">
            <w:pPr>
              <w:jc w:val="center"/>
              <w:rPr>
                <w:rFonts w:ascii="Times New Roman" w:hAnsi="Times New Roman" w:cs="Times New Roman"/>
                <w:b/>
                <w:bCs/>
                <w:color w:val="auto"/>
                <w:sz w:val="21"/>
              </w:rPr>
            </w:pPr>
          </w:p>
        </w:tc>
        <w:tc>
          <w:tcPr>
            <w:tcW w:w="305" w:type="pct"/>
            <w:vMerge w:val="continue"/>
            <w:vAlign w:val="center"/>
          </w:tcPr>
          <w:p w14:paraId="6374701D">
            <w:pPr>
              <w:jc w:val="center"/>
              <w:rPr>
                <w:rFonts w:ascii="Times New Roman" w:hAnsi="Times New Roman" w:cs="Times New Roman"/>
                <w:b/>
                <w:bCs/>
                <w:color w:val="auto"/>
                <w:sz w:val="21"/>
              </w:rPr>
            </w:pPr>
          </w:p>
        </w:tc>
        <w:tc>
          <w:tcPr>
            <w:tcW w:w="254" w:type="pct"/>
            <w:vAlign w:val="center"/>
          </w:tcPr>
          <w:p w14:paraId="04FDEA19">
            <w:pPr>
              <w:jc w:val="center"/>
              <w:rPr>
                <w:rFonts w:ascii="Times New Roman" w:hAnsi="Times New Roman" w:cs="Times New Roman"/>
                <w:b/>
                <w:bCs/>
                <w:color w:val="auto"/>
                <w:sz w:val="21"/>
              </w:rPr>
            </w:pPr>
            <w:r>
              <w:rPr>
                <w:rFonts w:ascii="Times New Roman" w:hAnsi="Times New Roman" w:cs="Times New Roman"/>
                <w:b/>
                <w:bCs/>
                <w:color w:val="auto"/>
                <w:sz w:val="21"/>
              </w:rPr>
              <w:t>上限</w:t>
            </w:r>
          </w:p>
        </w:tc>
        <w:tc>
          <w:tcPr>
            <w:tcW w:w="306" w:type="pct"/>
            <w:vAlign w:val="center"/>
          </w:tcPr>
          <w:p w14:paraId="1C0A613B">
            <w:pPr>
              <w:jc w:val="center"/>
              <w:rPr>
                <w:rFonts w:ascii="Times New Roman" w:hAnsi="Times New Roman" w:cs="Times New Roman"/>
                <w:b/>
                <w:bCs/>
                <w:color w:val="auto"/>
                <w:sz w:val="21"/>
              </w:rPr>
            </w:pPr>
            <w:r>
              <w:rPr>
                <w:rFonts w:ascii="Times New Roman" w:hAnsi="Times New Roman" w:cs="Times New Roman"/>
                <w:b/>
                <w:bCs/>
                <w:color w:val="auto"/>
                <w:sz w:val="21"/>
              </w:rPr>
              <w:t>下限</w:t>
            </w:r>
          </w:p>
        </w:tc>
        <w:tc>
          <w:tcPr>
            <w:tcW w:w="407" w:type="pct"/>
            <w:vAlign w:val="center"/>
          </w:tcPr>
          <w:p w14:paraId="5540C4FC">
            <w:pPr>
              <w:jc w:val="center"/>
              <w:rPr>
                <w:rFonts w:ascii="Times New Roman" w:hAnsi="Times New Roman" w:cs="Times New Roman"/>
                <w:b/>
                <w:bCs/>
                <w:color w:val="auto"/>
                <w:sz w:val="21"/>
              </w:rPr>
            </w:pPr>
            <w:r>
              <w:rPr>
                <w:rFonts w:ascii="Times New Roman" w:hAnsi="Times New Roman" w:cs="Times New Roman"/>
                <w:b/>
                <w:bCs/>
                <w:color w:val="auto"/>
                <w:sz w:val="21"/>
              </w:rPr>
              <w:t>1级</w:t>
            </w:r>
          </w:p>
        </w:tc>
        <w:tc>
          <w:tcPr>
            <w:tcW w:w="375" w:type="pct"/>
            <w:vAlign w:val="center"/>
          </w:tcPr>
          <w:p w14:paraId="30D1EC5D">
            <w:pPr>
              <w:jc w:val="center"/>
              <w:rPr>
                <w:rFonts w:ascii="Times New Roman" w:hAnsi="Times New Roman" w:cs="Times New Roman"/>
                <w:b/>
                <w:bCs/>
                <w:color w:val="auto"/>
                <w:sz w:val="21"/>
              </w:rPr>
            </w:pPr>
            <w:r>
              <w:rPr>
                <w:rFonts w:ascii="Times New Roman" w:hAnsi="Times New Roman" w:cs="Times New Roman"/>
                <w:b/>
                <w:bCs/>
                <w:color w:val="auto"/>
                <w:sz w:val="21"/>
              </w:rPr>
              <w:t>2级</w:t>
            </w:r>
          </w:p>
        </w:tc>
      </w:tr>
      <w:tr w14:paraId="02C36EE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57" w:type="pct"/>
            <w:vAlign w:val="center"/>
          </w:tcPr>
          <w:p w14:paraId="4D09F33E">
            <w:pPr>
              <w:jc w:val="center"/>
              <w:rPr>
                <w:rFonts w:ascii="Times New Roman" w:hAnsi="Times New Roman" w:cs="Times New Roman"/>
                <w:color w:val="auto"/>
                <w:sz w:val="21"/>
              </w:rPr>
            </w:pPr>
            <w:r>
              <w:rPr>
                <w:rFonts w:ascii="Times New Roman" w:hAnsi="Times New Roman" w:cs="Times New Roman"/>
                <w:color w:val="auto"/>
                <w:sz w:val="21"/>
              </w:rPr>
              <w:t>1</w:t>
            </w:r>
          </w:p>
        </w:tc>
        <w:tc>
          <w:tcPr>
            <w:tcW w:w="453" w:type="pct"/>
            <w:vAlign w:val="center"/>
          </w:tcPr>
          <w:p w14:paraId="74A7EA38">
            <w:pPr>
              <w:jc w:val="center"/>
              <w:rPr>
                <w:rFonts w:ascii="Times New Roman" w:hAnsi="Times New Roman" w:cs="Times New Roman"/>
                <w:color w:val="auto"/>
                <w:sz w:val="21"/>
                <w:lang w:eastAsia="zh-CN"/>
              </w:rPr>
            </w:pPr>
            <w:r>
              <w:rPr>
                <w:rFonts w:hint="eastAsia" w:ascii="Times New Roman" w:hAnsi="Times New Roman" w:cs="Times New Roman"/>
                <w:color w:val="auto"/>
                <w:spacing w:val="-2"/>
                <w:sz w:val="21"/>
                <w:lang w:eastAsia="zh-CN"/>
              </w:rPr>
              <w:t>化学纯氢氟酸</w:t>
            </w:r>
          </w:p>
        </w:tc>
        <w:tc>
          <w:tcPr>
            <w:tcW w:w="305" w:type="pct"/>
            <w:vAlign w:val="center"/>
          </w:tcPr>
          <w:p w14:paraId="11C57389">
            <w:pPr>
              <w:jc w:val="center"/>
              <w:rPr>
                <w:rFonts w:ascii="Times New Roman" w:hAnsi="Times New Roman" w:cs="Times New Roman"/>
                <w:color w:val="auto"/>
                <w:sz w:val="21"/>
                <w:lang w:eastAsia="zh-CN"/>
              </w:rPr>
            </w:pPr>
            <w:r>
              <w:rPr>
                <w:rFonts w:hint="eastAsia" w:ascii="Times New Roman" w:hAnsi="Times New Roman" w:cs="Times New Roman"/>
                <w:color w:val="auto"/>
                <w:spacing w:val="-2"/>
                <w:sz w:val="21"/>
                <w:lang w:eastAsia="zh-CN"/>
              </w:rPr>
              <w:t>氟化氢</w:t>
            </w:r>
          </w:p>
        </w:tc>
        <w:tc>
          <w:tcPr>
            <w:tcW w:w="305" w:type="pct"/>
            <w:vAlign w:val="center"/>
          </w:tcPr>
          <w:p w14:paraId="5EEE00BF">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液态</w:t>
            </w:r>
          </w:p>
        </w:tc>
        <w:tc>
          <w:tcPr>
            <w:tcW w:w="356" w:type="pct"/>
            <w:vAlign w:val="center"/>
          </w:tcPr>
          <w:p w14:paraId="6B9F7F25">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19.52</w:t>
            </w:r>
          </w:p>
        </w:tc>
        <w:tc>
          <w:tcPr>
            <w:tcW w:w="356" w:type="pct"/>
            <w:vAlign w:val="center"/>
          </w:tcPr>
          <w:p w14:paraId="60DD8D86">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-83.7</w:t>
            </w:r>
          </w:p>
        </w:tc>
        <w:tc>
          <w:tcPr>
            <w:tcW w:w="355" w:type="pct"/>
            <w:vAlign w:val="center"/>
          </w:tcPr>
          <w:p w14:paraId="2E8B3ADA">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c>
          <w:tcPr>
            <w:tcW w:w="1066" w:type="pct"/>
            <w:vAlign w:val="center"/>
          </w:tcPr>
          <w:p w14:paraId="55757D17">
            <w:pPr>
              <w:adjustRightInd w:val="0"/>
              <w:snapToGrid w:val="0"/>
              <w:spacing w:before="40" w:after="40"/>
              <w:jc w:val="center"/>
              <w:rPr>
                <w:rFonts w:ascii="Times New Roman" w:hAnsi="Times New Roman" w:cs="Times New Roman"/>
                <w:color w:val="auto"/>
                <w:sz w:val="21"/>
                <w:shd w:val="clear" w:color="auto" w:fill="FFFFFF"/>
                <w:lang w:eastAsia="zh-CN"/>
              </w:rPr>
            </w:pPr>
            <w:r>
              <w:rPr>
                <w:rFonts w:ascii="Times New Roman" w:hAnsi="Times New Roman" w:cs="Times New Roman"/>
                <w:color w:val="auto"/>
                <w:sz w:val="21"/>
                <w:shd w:val="clear" w:color="auto" w:fill="FFFFFF"/>
                <w:lang w:eastAsia="zh-CN"/>
              </w:rPr>
              <w:t>LC</w:t>
            </w:r>
            <w:r>
              <w:rPr>
                <w:rFonts w:ascii="Times New Roman" w:hAnsi="Times New Roman" w:cs="Times New Roman"/>
                <w:color w:val="auto"/>
                <w:sz w:val="21"/>
                <w:shd w:val="clear" w:color="auto" w:fill="FFFFFF"/>
                <w:vertAlign w:val="subscript"/>
                <w:lang w:eastAsia="zh-CN"/>
              </w:rPr>
              <w:t>50</w:t>
            </w:r>
            <w:r>
              <w:rPr>
                <w:rFonts w:ascii="Times New Roman" w:hAnsi="Times New Roman" w:cs="Times New Roman"/>
                <w:color w:val="auto"/>
                <w:sz w:val="21"/>
                <w:shd w:val="clear" w:color="auto" w:fill="FFFFFF"/>
                <w:lang w:eastAsia="zh-CN"/>
              </w:rPr>
              <w:t>：</w:t>
            </w:r>
            <w:r>
              <w:rPr>
                <w:rFonts w:hint="eastAsia" w:ascii="Times New Roman" w:hAnsi="Times New Roman" w:cs="Times New Roman"/>
                <w:color w:val="auto"/>
                <w:sz w:val="21"/>
                <w:shd w:val="clear" w:color="auto" w:fill="FFFFFF"/>
                <w:lang w:eastAsia="zh-CN"/>
              </w:rPr>
              <w:t>1276</w:t>
            </w:r>
            <w:r>
              <w:rPr>
                <w:rFonts w:ascii="Times New Roman" w:hAnsi="Times New Roman" w:cs="Times New Roman"/>
                <w:color w:val="auto"/>
                <w:sz w:val="21"/>
                <w:shd w:val="clear" w:color="auto" w:fill="FFFFFF"/>
                <w:lang w:eastAsia="zh-CN"/>
              </w:rPr>
              <w:t>mg/m</w:t>
            </w:r>
            <w:r>
              <w:rPr>
                <w:rFonts w:ascii="Times New Roman" w:hAnsi="Times New Roman" w:cs="Times New Roman"/>
                <w:color w:val="auto"/>
                <w:sz w:val="21"/>
                <w:shd w:val="clear" w:color="auto" w:fill="FFFFFF"/>
                <w:vertAlign w:val="superscript"/>
                <w:lang w:eastAsia="zh-CN"/>
              </w:rPr>
              <w:t>3</w:t>
            </w:r>
            <w:r>
              <w:rPr>
                <w:rFonts w:ascii="Times New Roman" w:hAnsi="Times New Roman" w:cs="Times New Roman"/>
                <w:color w:val="auto"/>
                <w:sz w:val="21"/>
                <w:shd w:val="clear" w:color="auto" w:fill="FFFFFF"/>
                <w:lang w:eastAsia="zh-CN"/>
              </w:rPr>
              <w:t>（大鼠吸入</w:t>
            </w:r>
            <w:r>
              <w:rPr>
                <w:rFonts w:hint="eastAsia" w:ascii="Times New Roman" w:hAnsi="Times New Roman" w:cs="Times New Roman"/>
                <w:color w:val="auto"/>
                <w:sz w:val="21"/>
                <w:shd w:val="clear" w:color="auto" w:fill="FFFFFF"/>
                <w:lang w:eastAsia="zh-CN"/>
              </w:rPr>
              <w:t>，1h</w:t>
            </w:r>
            <w:r>
              <w:rPr>
                <w:rFonts w:ascii="Times New Roman" w:hAnsi="Times New Roman" w:cs="Times New Roman"/>
                <w:color w:val="auto"/>
                <w:sz w:val="21"/>
                <w:shd w:val="clear" w:color="auto" w:fill="FFFFFF"/>
                <w:lang w:eastAsia="zh-CN"/>
              </w:rPr>
              <w:t>）</w:t>
            </w:r>
          </w:p>
        </w:tc>
        <w:tc>
          <w:tcPr>
            <w:tcW w:w="305" w:type="pct"/>
            <w:vAlign w:val="center"/>
          </w:tcPr>
          <w:p w14:paraId="174CBD84">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不燃</w:t>
            </w:r>
          </w:p>
        </w:tc>
        <w:tc>
          <w:tcPr>
            <w:tcW w:w="254" w:type="pct"/>
            <w:vAlign w:val="center"/>
          </w:tcPr>
          <w:p w14:paraId="760F227A">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306" w:type="pct"/>
            <w:vAlign w:val="center"/>
          </w:tcPr>
          <w:p w14:paraId="3DAAA4FF">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407" w:type="pct"/>
            <w:vAlign w:val="center"/>
          </w:tcPr>
          <w:p w14:paraId="56889C15">
            <w:pPr>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36</w:t>
            </w:r>
          </w:p>
        </w:tc>
        <w:tc>
          <w:tcPr>
            <w:tcW w:w="375" w:type="pct"/>
            <w:vAlign w:val="center"/>
          </w:tcPr>
          <w:p w14:paraId="51D8BC7A">
            <w:pPr>
              <w:jc w:val="center"/>
              <w:rPr>
                <w:rFonts w:ascii="Times New Roman" w:hAnsi="Times New Roman" w:cs="Times New Roman"/>
                <w:color w:val="auto"/>
                <w:sz w:val="21"/>
                <w:lang w:eastAsia="zh-CN"/>
              </w:rPr>
            </w:pPr>
            <w:r>
              <w:rPr>
                <w:rFonts w:ascii="Times New Roman" w:hAnsi="Times New Roman" w:cs="Times New Roman"/>
                <w:color w:val="000000" w:themeColor="text1"/>
                <w:sz w:val="21"/>
                <w14:textFill>
                  <w14:solidFill>
                    <w14:schemeClr w14:val="tx1"/>
                  </w14:solidFill>
                </w14:textFill>
              </w:rPr>
              <w:t>20</w:t>
            </w:r>
          </w:p>
        </w:tc>
      </w:tr>
      <w:tr w14:paraId="091016B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57" w:type="pct"/>
            <w:vMerge w:val="restart"/>
            <w:vAlign w:val="center"/>
          </w:tcPr>
          <w:p w14:paraId="099B3B1E">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2</w:t>
            </w:r>
          </w:p>
        </w:tc>
        <w:tc>
          <w:tcPr>
            <w:tcW w:w="453" w:type="pct"/>
            <w:vMerge w:val="restart"/>
            <w:vAlign w:val="center"/>
          </w:tcPr>
          <w:p w14:paraId="2337ACEA">
            <w:pPr>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刻蚀液</w:t>
            </w:r>
          </w:p>
        </w:tc>
        <w:tc>
          <w:tcPr>
            <w:tcW w:w="305" w:type="pct"/>
            <w:vAlign w:val="center"/>
          </w:tcPr>
          <w:p w14:paraId="29F15DA2">
            <w:pPr>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氟化氢</w:t>
            </w:r>
          </w:p>
        </w:tc>
        <w:tc>
          <w:tcPr>
            <w:tcW w:w="305" w:type="pct"/>
            <w:vAlign w:val="center"/>
          </w:tcPr>
          <w:p w14:paraId="2BA1D46A">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液态</w:t>
            </w:r>
          </w:p>
        </w:tc>
        <w:tc>
          <w:tcPr>
            <w:tcW w:w="356" w:type="pct"/>
            <w:vAlign w:val="center"/>
          </w:tcPr>
          <w:p w14:paraId="7A5EA1B3">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19.52</w:t>
            </w:r>
          </w:p>
        </w:tc>
        <w:tc>
          <w:tcPr>
            <w:tcW w:w="356" w:type="pct"/>
            <w:vAlign w:val="center"/>
          </w:tcPr>
          <w:p w14:paraId="1B6E3CE7">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-83.7</w:t>
            </w:r>
          </w:p>
        </w:tc>
        <w:tc>
          <w:tcPr>
            <w:tcW w:w="355" w:type="pct"/>
            <w:vAlign w:val="center"/>
          </w:tcPr>
          <w:p w14:paraId="6F231A8B">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c>
          <w:tcPr>
            <w:tcW w:w="1066" w:type="pct"/>
            <w:vAlign w:val="center"/>
          </w:tcPr>
          <w:p w14:paraId="30BE4247">
            <w:pPr>
              <w:adjustRightInd w:val="0"/>
              <w:snapToGrid w:val="0"/>
              <w:spacing w:before="40" w:after="40"/>
              <w:jc w:val="center"/>
              <w:rPr>
                <w:rFonts w:ascii="Times New Roman" w:hAnsi="Times New Roman" w:cs="Times New Roman"/>
                <w:color w:val="auto"/>
                <w:sz w:val="21"/>
                <w:shd w:val="clear" w:color="auto" w:fill="FFFFFF"/>
                <w:lang w:eastAsia="zh-CN"/>
              </w:rPr>
            </w:pPr>
            <w:r>
              <w:rPr>
                <w:rFonts w:ascii="Times New Roman" w:hAnsi="Times New Roman" w:cs="Times New Roman"/>
                <w:color w:val="auto"/>
                <w:sz w:val="21"/>
                <w:shd w:val="clear" w:color="auto" w:fill="FFFFFF"/>
                <w:lang w:eastAsia="zh-CN"/>
              </w:rPr>
              <w:t>LC</w:t>
            </w:r>
            <w:r>
              <w:rPr>
                <w:rFonts w:ascii="Times New Roman" w:hAnsi="Times New Roman" w:cs="Times New Roman"/>
                <w:color w:val="auto"/>
                <w:sz w:val="21"/>
                <w:shd w:val="clear" w:color="auto" w:fill="FFFFFF"/>
                <w:vertAlign w:val="subscript"/>
                <w:lang w:eastAsia="zh-CN"/>
              </w:rPr>
              <w:t>50</w:t>
            </w:r>
            <w:r>
              <w:rPr>
                <w:rFonts w:ascii="Times New Roman" w:hAnsi="Times New Roman" w:cs="Times New Roman"/>
                <w:color w:val="auto"/>
                <w:sz w:val="21"/>
                <w:shd w:val="clear" w:color="auto" w:fill="FFFFFF"/>
                <w:lang w:eastAsia="zh-CN"/>
              </w:rPr>
              <w:t>：</w:t>
            </w:r>
            <w:r>
              <w:rPr>
                <w:rFonts w:hint="eastAsia" w:ascii="Times New Roman" w:hAnsi="Times New Roman" w:cs="Times New Roman"/>
                <w:color w:val="auto"/>
                <w:sz w:val="21"/>
                <w:shd w:val="clear" w:color="auto" w:fill="FFFFFF"/>
                <w:lang w:eastAsia="zh-CN"/>
              </w:rPr>
              <w:t>1276</w:t>
            </w:r>
            <w:r>
              <w:rPr>
                <w:rFonts w:ascii="Times New Roman" w:hAnsi="Times New Roman" w:cs="Times New Roman"/>
                <w:color w:val="auto"/>
                <w:sz w:val="21"/>
                <w:shd w:val="clear" w:color="auto" w:fill="FFFFFF"/>
                <w:lang w:eastAsia="zh-CN"/>
              </w:rPr>
              <w:t>mg/m</w:t>
            </w:r>
            <w:r>
              <w:rPr>
                <w:rFonts w:ascii="Times New Roman" w:hAnsi="Times New Roman" w:cs="Times New Roman"/>
                <w:color w:val="auto"/>
                <w:sz w:val="21"/>
                <w:shd w:val="clear" w:color="auto" w:fill="FFFFFF"/>
                <w:vertAlign w:val="superscript"/>
                <w:lang w:eastAsia="zh-CN"/>
              </w:rPr>
              <w:t>3</w:t>
            </w:r>
            <w:r>
              <w:rPr>
                <w:rFonts w:ascii="Times New Roman" w:hAnsi="Times New Roman" w:cs="Times New Roman"/>
                <w:color w:val="auto"/>
                <w:sz w:val="21"/>
                <w:shd w:val="clear" w:color="auto" w:fill="FFFFFF"/>
                <w:lang w:eastAsia="zh-CN"/>
              </w:rPr>
              <w:t>（大鼠吸入</w:t>
            </w:r>
            <w:r>
              <w:rPr>
                <w:rFonts w:hint="eastAsia" w:ascii="Times New Roman" w:hAnsi="Times New Roman" w:cs="Times New Roman"/>
                <w:color w:val="auto"/>
                <w:sz w:val="21"/>
                <w:shd w:val="clear" w:color="auto" w:fill="FFFFFF"/>
                <w:lang w:eastAsia="zh-CN"/>
              </w:rPr>
              <w:t>，1h</w:t>
            </w:r>
            <w:r>
              <w:rPr>
                <w:rFonts w:ascii="Times New Roman" w:hAnsi="Times New Roman" w:cs="Times New Roman"/>
                <w:color w:val="auto"/>
                <w:sz w:val="21"/>
                <w:shd w:val="clear" w:color="auto" w:fill="FFFFFF"/>
                <w:lang w:eastAsia="zh-CN"/>
              </w:rPr>
              <w:t>）</w:t>
            </w:r>
          </w:p>
        </w:tc>
        <w:tc>
          <w:tcPr>
            <w:tcW w:w="305" w:type="pct"/>
            <w:vAlign w:val="center"/>
          </w:tcPr>
          <w:p w14:paraId="0E017A55">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不燃</w:t>
            </w:r>
          </w:p>
        </w:tc>
        <w:tc>
          <w:tcPr>
            <w:tcW w:w="254" w:type="pct"/>
            <w:vAlign w:val="center"/>
          </w:tcPr>
          <w:p w14:paraId="69BECEDE">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306" w:type="pct"/>
            <w:vAlign w:val="center"/>
          </w:tcPr>
          <w:p w14:paraId="5812F922">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407" w:type="pct"/>
            <w:vAlign w:val="center"/>
          </w:tcPr>
          <w:p w14:paraId="6AEC6910">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36</w:t>
            </w:r>
          </w:p>
        </w:tc>
        <w:tc>
          <w:tcPr>
            <w:tcW w:w="375" w:type="pct"/>
            <w:vAlign w:val="center"/>
          </w:tcPr>
          <w:p w14:paraId="0A87713E">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20</w:t>
            </w:r>
          </w:p>
        </w:tc>
      </w:tr>
      <w:tr w14:paraId="74549EF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57" w:type="pct"/>
            <w:vMerge w:val="continue"/>
            <w:vAlign w:val="center"/>
          </w:tcPr>
          <w:p w14:paraId="3E59AFB4">
            <w:pPr>
              <w:jc w:val="center"/>
              <w:rPr>
                <w:rFonts w:ascii="Times New Roman" w:hAnsi="Times New Roman" w:cs="Times New Roman"/>
                <w:color w:val="auto"/>
                <w:sz w:val="21"/>
              </w:rPr>
            </w:pPr>
          </w:p>
        </w:tc>
        <w:tc>
          <w:tcPr>
            <w:tcW w:w="453" w:type="pct"/>
            <w:vMerge w:val="continue"/>
            <w:vAlign w:val="center"/>
          </w:tcPr>
          <w:p w14:paraId="11B66E53">
            <w:pPr>
              <w:jc w:val="center"/>
              <w:rPr>
                <w:rFonts w:ascii="Times New Roman" w:hAnsi="Times New Roman" w:cs="Times New Roman"/>
                <w:color w:val="auto"/>
                <w:spacing w:val="-2"/>
                <w:sz w:val="21"/>
                <w:lang w:eastAsia="zh-CN"/>
              </w:rPr>
            </w:pPr>
          </w:p>
        </w:tc>
        <w:tc>
          <w:tcPr>
            <w:tcW w:w="305" w:type="pct"/>
            <w:vAlign w:val="center"/>
          </w:tcPr>
          <w:p w14:paraId="1EB32924">
            <w:pPr>
              <w:jc w:val="center"/>
              <w:rPr>
                <w:rFonts w:ascii="Times New Roman" w:hAnsi="Times New Roman" w:cs="Times New Roman"/>
                <w:color w:val="auto"/>
                <w:spacing w:val="-2"/>
                <w:sz w:val="21"/>
                <w:lang w:eastAsia="zh-CN"/>
              </w:rPr>
            </w:pPr>
            <w:r>
              <w:rPr>
                <w:rFonts w:hint="eastAsia" w:ascii="Times New Roman" w:hAnsi="Times New Roman" w:cs="Times New Roman"/>
                <w:color w:val="000000" w:themeColor="text1"/>
                <w:spacing w:val="-2"/>
                <w:sz w:val="21"/>
                <w:lang w:eastAsia="zh-CN"/>
                <w14:textFill>
                  <w14:solidFill>
                    <w14:schemeClr w14:val="tx1"/>
                  </w14:solidFill>
                </w14:textFill>
              </w:rPr>
              <w:t>氯化氢</w:t>
            </w:r>
          </w:p>
        </w:tc>
        <w:tc>
          <w:tcPr>
            <w:tcW w:w="305" w:type="pct"/>
            <w:vAlign w:val="center"/>
          </w:tcPr>
          <w:p w14:paraId="5A3E0C63">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气态</w:t>
            </w:r>
          </w:p>
        </w:tc>
        <w:tc>
          <w:tcPr>
            <w:tcW w:w="356" w:type="pct"/>
            <w:vAlign w:val="center"/>
          </w:tcPr>
          <w:p w14:paraId="196E28A7">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-85.1</w:t>
            </w:r>
          </w:p>
        </w:tc>
        <w:tc>
          <w:tcPr>
            <w:tcW w:w="356" w:type="pct"/>
            <w:vAlign w:val="center"/>
          </w:tcPr>
          <w:p w14:paraId="321A5DB8">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-114.2</w:t>
            </w:r>
          </w:p>
        </w:tc>
        <w:tc>
          <w:tcPr>
            <w:tcW w:w="355" w:type="pct"/>
            <w:vAlign w:val="center"/>
          </w:tcPr>
          <w:p w14:paraId="388A2786">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c>
          <w:tcPr>
            <w:tcW w:w="1066" w:type="pct"/>
            <w:vAlign w:val="center"/>
          </w:tcPr>
          <w:p w14:paraId="271B04B1">
            <w:pPr>
              <w:adjustRightInd w:val="0"/>
              <w:snapToGrid w:val="0"/>
              <w:spacing w:before="40" w:after="40"/>
              <w:jc w:val="center"/>
              <w:rPr>
                <w:rFonts w:ascii="Times New Roman" w:hAnsi="Times New Roman" w:cs="Times New Roman"/>
                <w:color w:val="auto"/>
                <w:sz w:val="21"/>
                <w:shd w:val="clear" w:color="auto" w:fill="FFFFFF"/>
                <w:lang w:eastAsia="zh-CN"/>
              </w:rPr>
            </w:pPr>
            <w:r>
              <w:rPr>
                <w:rFonts w:ascii="Times New Roman" w:hAnsi="Times New Roman" w:cs="Times New Roman"/>
                <w:color w:val="000000" w:themeColor="text1"/>
                <w:sz w:val="21"/>
                <w:shd w:val="clear" w:color="auto" w:fill="FFFFFF"/>
                <w:lang w:eastAsia="zh-CN"/>
                <w14:textFill>
                  <w14:solidFill>
                    <w14:schemeClr w14:val="tx1"/>
                  </w14:solidFill>
                </w14:textFill>
              </w:rPr>
              <w:t>LC</w:t>
            </w:r>
            <w:r>
              <w:rPr>
                <w:rFonts w:ascii="Times New Roman" w:hAnsi="Times New Roman" w:cs="Times New Roman"/>
                <w:color w:val="000000" w:themeColor="text1"/>
                <w:sz w:val="21"/>
                <w:shd w:val="clear" w:color="auto" w:fill="FFFFFF"/>
                <w:vertAlign w:val="subscript"/>
                <w:lang w:eastAsia="zh-CN"/>
                <w14:textFill>
                  <w14:solidFill>
                    <w14:schemeClr w14:val="tx1"/>
                  </w14:solidFill>
                </w14:textFill>
              </w:rPr>
              <w:t>50</w:t>
            </w:r>
            <w:r>
              <w:rPr>
                <w:rFonts w:ascii="Times New Roman" w:hAnsi="Times New Roman" w:cs="Times New Roman"/>
                <w:color w:val="000000" w:themeColor="text1"/>
                <w:sz w:val="21"/>
                <w:shd w:val="clear" w:color="auto" w:fill="FFFFFF"/>
                <w:lang w:eastAsia="zh-CN"/>
                <w14:textFill>
                  <w14:solidFill>
                    <w14:schemeClr w14:val="tx1"/>
                  </w14:solidFill>
                </w14:textFill>
              </w:rPr>
              <w:t>：</w:t>
            </w:r>
            <w:r>
              <w:rPr>
                <w:rFonts w:hint="eastAsia" w:ascii="Times New Roman" w:hAnsi="Times New Roman" w:cs="Times New Roman"/>
                <w:color w:val="000000" w:themeColor="text1"/>
                <w:sz w:val="21"/>
                <w:shd w:val="clear" w:color="auto" w:fill="FFFFFF"/>
                <w:lang w:eastAsia="zh-CN"/>
                <w14:textFill>
                  <w14:solidFill>
                    <w14:schemeClr w14:val="tx1"/>
                  </w14:solidFill>
                </w14:textFill>
              </w:rPr>
              <w:t>3124ppm</w:t>
            </w:r>
            <w:r>
              <w:rPr>
                <w:rFonts w:ascii="Times New Roman" w:hAnsi="Times New Roman" w:cs="Times New Roman"/>
                <w:color w:val="000000" w:themeColor="text1"/>
                <w:sz w:val="21"/>
                <w:shd w:val="clear" w:color="auto" w:fill="FFFFFF"/>
                <w:lang w:eastAsia="zh-CN"/>
                <w14:textFill>
                  <w14:solidFill>
                    <w14:schemeClr w14:val="tx1"/>
                  </w14:solidFill>
                </w14:textFill>
              </w:rPr>
              <w:t>（</w:t>
            </w:r>
            <w:r>
              <w:rPr>
                <w:rFonts w:hint="eastAsia" w:ascii="Times New Roman" w:hAnsi="Times New Roman" w:cs="Times New Roman"/>
                <w:color w:val="000000" w:themeColor="text1"/>
                <w:sz w:val="21"/>
                <w:shd w:val="clear" w:color="auto" w:fill="FFFFFF"/>
                <w:lang w:eastAsia="zh-CN"/>
                <w14:textFill>
                  <w14:solidFill>
                    <w14:schemeClr w14:val="tx1"/>
                  </w14:solidFill>
                </w14:textFill>
              </w:rPr>
              <w:t>大</w:t>
            </w:r>
            <w:r>
              <w:rPr>
                <w:rFonts w:ascii="Times New Roman" w:hAnsi="Times New Roman" w:cs="Times New Roman"/>
                <w:color w:val="000000" w:themeColor="text1"/>
                <w:sz w:val="21"/>
                <w:shd w:val="clear" w:color="auto" w:fill="FFFFFF"/>
                <w:lang w:eastAsia="zh-CN"/>
                <w14:textFill>
                  <w14:solidFill>
                    <w14:schemeClr w14:val="tx1"/>
                  </w14:solidFill>
                </w14:textFill>
              </w:rPr>
              <w:t>鼠吸入</w:t>
            </w:r>
            <w:r>
              <w:rPr>
                <w:rFonts w:hint="eastAsia" w:ascii="Times New Roman" w:hAnsi="Times New Roman" w:cs="Times New Roman"/>
                <w:color w:val="000000" w:themeColor="text1"/>
                <w:sz w:val="21"/>
                <w:shd w:val="clear" w:color="auto" w:fill="FFFFFF"/>
                <w:lang w:eastAsia="zh-CN"/>
                <w14:textFill>
                  <w14:solidFill>
                    <w14:schemeClr w14:val="tx1"/>
                  </w14:solidFill>
                </w14:textFill>
              </w:rPr>
              <w:t>，1h</w:t>
            </w:r>
            <w:r>
              <w:rPr>
                <w:rFonts w:ascii="Times New Roman" w:hAnsi="Times New Roman" w:cs="Times New Roman"/>
                <w:color w:val="000000" w:themeColor="text1"/>
                <w:sz w:val="21"/>
                <w:shd w:val="clear" w:color="auto" w:fill="FFFFFF"/>
                <w:lang w:eastAsia="zh-CN"/>
                <w14:textFill>
                  <w14:solidFill>
                    <w14:schemeClr w14:val="tx1"/>
                  </w14:solidFill>
                </w14:textFill>
              </w:rPr>
              <w:t>）</w:t>
            </w:r>
          </w:p>
        </w:tc>
        <w:tc>
          <w:tcPr>
            <w:tcW w:w="305" w:type="pct"/>
            <w:vAlign w:val="center"/>
          </w:tcPr>
          <w:p w14:paraId="528FB8F1">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不燃</w:t>
            </w:r>
          </w:p>
        </w:tc>
        <w:tc>
          <w:tcPr>
            <w:tcW w:w="254" w:type="pct"/>
            <w:vAlign w:val="center"/>
          </w:tcPr>
          <w:p w14:paraId="6EB6C9B1">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306" w:type="pct"/>
            <w:vAlign w:val="center"/>
          </w:tcPr>
          <w:p w14:paraId="75648AD3">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407" w:type="pct"/>
            <w:vAlign w:val="center"/>
          </w:tcPr>
          <w:p w14:paraId="2D2EC6DA">
            <w:pPr>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150</w:t>
            </w:r>
          </w:p>
        </w:tc>
        <w:tc>
          <w:tcPr>
            <w:tcW w:w="375" w:type="pct"/>
            <w:vAlign w:val="center"/>
          </w:tcPr>
          <w:p w14:paraId="768F58F5">
            <w:pPr>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33</w:t>
            </w:r>
          </w:p>
        </w:tc>
      </w:tr>
      <w:tr w14:paraId="6FA52F4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57" w:type="pct"/>
            <w:vAlign w:val="center"/>
          </w:tcPr>
          <w:p w14:paraId="7D0BEE9B">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3</w:t>
            </w:r>
          </w:p>
        </w:tc>
        <w:tc>
          <w:tcPr>
            <w:tcW w:w="453" w:type="pct"/>
            <w:vAlign w:val="center"/>
          </w:tcPr>
          <w:p w14:paraId="4DCDA904">
            <w:pPr>
              <w:jc w:val="center"/>
              <w:rPr>
                <w:rFonts w:ascii="Times New Roman" w:hAnsi="Times New Roman" w:cs="Times New Roman"/>
                <w:color w:val="auto"/>
                <w:spacing w:val="-2"/>
                <w:sz w:val="21"/>
                <w:lang w:eastAsia="zh-CN"/>
              </w:rPr>
            </w:pPr>
            <w:r>
              <w:rPr>
                <w:rFonts w:hint="eastAsia" w:ascii="Times New Roman" w:hAnsi="Times New Roman" w:cs="Times New Roman"/>
                <w:color w:val="auto"/>
                <w:sz w:val="21"/>
                <w:lang w:eastAsia="zh-CN"/>
              </w:rPr>
              <w:t>无水氟化氢</w:t>
            </w:r>
          </w:p>
        </w:tc>
        <w:tc>
          <w:tcPr>
            <w:tcW w:w="305" w:type="pct"/>
            <w:vAlign w:val="center"/>
          </w:tcPr>
          <w:p w14:paraId="65D9F044">
            <w:pPr>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氟化氢</w:t>
            </w:r>
          </w:p>
        </w:tc>
        <w:tc>
          <w:tcPr>
            <w:tcW w:w="305" w:type="pct"/>
            <w:vAlign w:val="center"/>
          </w:tcPr>
          <w:p w14:paraId="74E35D88">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液态</w:t>
            </w:r>
          </w:p>
        </w:tc>
        <w:tc>
          <w:tcPr>
            <w:tcW w:w="356" w:type="pct"/>
            <w:vAlign w:val="center"/>
          </w:tcPr>
          <w:p w14:paraId="51881BC6">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19.52</w:t>
            </w:r>
          </w:p>
        </w:tc>
        <w:tc>
          <w:tcPr>
            <w:tcW w:w="356" w:type="pct"/>
            <w:vAlign w:val="center"/>
          </w:tcPr>
          <w:p w14:paraId="6D9E4E06">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-83.7</w:t>
            </w:r>
          </w:p>
        </w:tc>
        <w:tc>
          <w:tcPr>
            <w:tcW w:w="355" w:type="pct"/>
            <w:vAlign w:val="center"/>
          </w:tcPr>
          <w:p w14:paraId="6D2426E0">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c>
          <w:tcPr>
            <w:tcW w:w="1066" w:type="pct"/>
            <w:vAlign w:val="center"/>
          </w:tcPr>
          <w:p w14:paraId="1EF45264">
            <w:pPr>
              <w:adjustRightInd w:val="0"/>
              <w:snapToGrid w:val="0"/>
              <w:spacing w:before="40" w:after="40"/>
              <w:jc w:val="center"/>
              <w:rPr>
                <w:rFonts w:ascii="Times New Roman" w:hAnsi="Times New Roman" w:cs="Times New Roman"/>
                <w:color w:val="auto"/>
                <w:sz w:val="21"/>
                <w:shd w:val="clear" w:color="auto" w:fill="FFFFFF"/>
                <w:lang w:eastAsia="zh-CN"/>
              </w:rPr>
            </w:pPr>
            <w:r>
              <w:rPr>
                <w:rFonts w:ascii="Times New Roman" w:hAnsi="Times New Roman" w:cs="Times New Roman"/>
                <w:color w:val="auto"/>
                <w:sz w:val="21"/>
                <w:shd w:val="clear" w:color="auto" w:fill="FFFFFF"/>
                <w:lang w:eastAsia="zh-CN"/>
              </w:rPr>
              <w:t>LC</w:t>
            </w:r>
            <w:r>
              <w:rPr>
                <w:rFonts w:ascii="Times New Roman" w:hAnsi="Times New Roman" w:cs="Times New Roman"/>
                <w:color w:val="auto"/>
                <w:sz w:val="21"/>
                <w:shd w:val="clear" w:color="auto" w:fill="FFFFFF"/>
                <w:vertAlign w:val="subscript"/>
                <w:lang w:eastAsia="zh-CN"/>
              </w:rPr>
              <w:t>50</w:t>
            </w:r>
            <w:r>
              <w:rPr>
                <w:rFonts w:ascii="Times New Roman" w:hAnsi="Times New Roman" w:cs="Times New Roman"/>
                <w:color w:val="auto"/>
                <w:sz w:val="21"/>
                <w:shd w:val="clear" w:color="auto" w:fill="FFFFFF"/>
                <w:lang w:eastAsia="zh-CN"/>
              </w:rPr>
              <w:t>：</w:t>
            </w:r>
            <w:r>
              <w:rPr>
                <w:rFonts w:hint="eastAsia" w:ascii="Times New Roman" w:hAnsi="Times New Roman" w:cs="Times New Roman"/>
                <w:color w:val="auto"/>
                <w:sz w:val="21"/>
                <w:shd w:val="clear" w:color="auto" w:fill="FFFFFF"/>
                <w:lang w:eastAsia="zh-CN"/>
              </w:rPr>
              <w:t>1276</w:t>
            </w:r>
            <w:r>
              <w:rPr>
                <w:rFonts w:ascii="Times New Roman" w:hAnsi="Times New Roman" w:cs="Times New Roman"/>
                <w:color w:val="auto"/>
                <w:sz w:val="21"/>
                <w:shd w:val="clear" w:color="auto" w:fill="FFFFFF"/>
                <w:lang w:eastAsia="zh-CN"/>
              </w:rPr>
              <w:t>mg/m</w:t>
            </w:r>
            <w:r>
              <w:rPr>
                <w:rFonts w:ascii="Times New Roman" w:hAnsi="Times New Roman" w:cs="Times New Roman"/>
                <w:color w:val="auto"/>
                <w:sz w:val="21"/>
                <w:shd w:val="clear" w:color="auto" w:fill="FFFFFF"/>
                <w:vertAlign w:val="superscript"/>
                <w:lang w:eastAsia="zh-CN"/>
              </w:rPr>
              <w:t>3</w:t>
            </w:r>
            <w:r>
              <w:rPr>
                <w:rFonts w:ascii="Times New Roman" w:hAnsi="Times New Roman" w:cs="Times New Roman"/>
                <w:color w:val="auto"/>
                <w:sz w:val="21"/>
                <w:shd w:val="clear" w:color="auto" w:fill="FFFFFF"/>
                <w:lang w:eastAsia="zh-CN"/>
              </w:rPr>
              <w:t>（大鼠吸入</w:t>
            </w:r>
            <w:r>
              <w:rPr>
                <w:rFonts w:hint="eastAsia" w:ascii="Times New Roman" w:hAnsi="Times New Roman" w:cs="Times New Roman"/>
                <w:color w:val="auto"/>
                <w:sz w:val="21"/>
                <w:shd w:val="clear" w:color="auto" w:fill="FFFFFF"/>
                <w:lang w:eastAsia="zh-CN"/>
              </w:rPr>
              <w:t>，1h</w:t>
            </w:r>
            <w:r>
              <w:rPr>
                <w:rFonts w:ascii="Times New Roman" w:hAnsi="Times New Roman" w:cs="Times New Roman"/>
                <w:color w:val="auto"/>
                <w:sz w:val="21"/>
                <w:shd w:val="clear" w:color="auto" w:fill="FFFFFF"/>
                <w:lang w:eastAsia="zh-CN"/>
              </w:rPr>
              <w:t>）</w:t>
            </w:r>
          </w:p>
        </w:tc>
        <w:tc>
          <w:tcPr>
            <w:tcW w:w="305" w:type="pct"/>
            <w:vAlign w:val="center"/>
          </w:tcPr>
          <w:p w14:paraId="1E099947">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不燃</w:t>
            </w:r>
          </w:p>
        </w:tc>
        <w:tc>
          <w:tcPr>
            <w:tcW w:w="254" w:type="pct"/>
            <w:vAlign w:val="center"/>
          </w:tcPr>
          <w:p w14:paraId="7149EF30">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306" w:type="pct"/>
            <w:vAlign w:val="center"/>
          </w:tcPr>
          <w:p w14:paraId="3C69FFB2">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407" w:type="pct"/>
            <w:vAlign w:val="center"/>
          </w:tcPr>
          <w:p w14:paraId="498321DC">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36</w:t>
            </w:r>
          </w:p>
        </w:tc>
        <w:tc>
          <w:tcPr>
            <w:tcW w:w="375" w:type="pct"/>
            <w:vAlign w:val="center"/>
          </w:tcPr>
          <w:p w14:paraId="46B6D8BA">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20</w:t>
            </w:r>
          </w:p>
        </w:tc>
      </w:tr>
      <w:tr w14:paraId="4403533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57" w:type="pct"/>
            <w:vAlign w:val="center"/>
          </w:tcPr>
          <w:p w14:paraId="01FEF11E">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4</w:t>
            </w:r>
          </w:p>
        </w:tc>
        <w:tc>
          <w:tcPr>
            <w:tcW w:w="453" w:type="pct"/>
            <w:vAlign w:val="center"/>
          </w:tcPr>
          <w:p w14:paraId="2C74CAC4">
            <w:pPr>
              <w:jc w:val="center"/>
              <w:rPr>
                <w:rFonts w:ascii="Times New Roman" w:hAnsi="Times New Roman" w:cs="Times New Roman"/>
                <w:color w:val="auto"/>
                <w:spacing w:val="-2"/>
                <w:sz w:val="21"/>
                <w:lang w:eastAsia="zh-CN"/>
              </w:rPr>
            </w:pPr>
            <w:r>
              <w:rPr>
                <w:rFonts w:hint="eastAsia" w:ascii="Times New Roman" w:hAnsi="Times New Roman" w:cs="Times New Roman"/>
                <w:color w:val="auto"/>
                <w:sz w:val="21"/>
                <w:lang w:eastAsia="zh-CN"/>
              </w:rPr>
              <w:t>15%氟化氢水溶液</w:t>
            </w:r>
          </w:p>
        </w:tc>
        <w:tc>
          <w:tcPr>
            <w:tcW w:w="305" w:type="pct"/>
            <w:vAlign w:val="center"/>
          </w:tcPr>
          <w:p w14:paraId="179383E5">
            <w:pPr>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氟化氢</w:t>
            </w:r>
          </w:p>
        </w:tc>
        <w:tc>
          <w:tcPr>
            <w:tcW w:w="305" w:type="pct"/>
            <w:vAlign w:val="center"/>
          </w:tcPr>
          <w:p w14:paraId="1137A5A3">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液态</w:t>
            </w:r>
          </w:p>
        </w:tc>
        <w:tc>
          <w:tcPr>
            <w:tcW w:w="356" w:type="pct"/>
            <w:vAlign w:val="center"/>
          </w:tcPr>
          <w:p w14:paraId="1EDA0F98">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19.52</w:t>
            </w:r>
          </w:p>
        </w:tc>
        <w:tc>
          <w:tcPr>
            <w:tcW w:w="356" w:type="pct"/>
            <w:vAlign w:val="center"/>
          </w:tcPr>
          <w:p w14:paraId="2E950898">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-83.7</w:t>
            </w:r>
          </w:p>
        </w:tc>
        <w:tc>
          <w:tcPr>
            <w:tcW w:w="355" w:type="pct"/>
            <w:vAlign w:val="center"/>
          </w:tcPr>
          <w:p w14:paraId="267788E9">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c>
          <w:tcPr>
            <w:tcW w:w="1066" w:type="pct"/>
            <w:vAlign w:val="center"/>
          </w:tcPr>
          <w:p w14:paraId="52CC1661">
            <w:pPr>
              <w:adjustRightInd w:val="0"/>
              <w:snapToGrid w:val="0"/>
              <w:spacing w:before="40" w:after="40"/>
              <w:jc w:val="center"/>
              <w:rPr>
                <w:rFonts w:ascii="Times New Roman" w:hAnsi="Times New Roman" w:cs="Times New Roman"/>
                <w:color w:val="auto"/>
                <w:sz w:val="21"/>
                <w:shd w:val="clear" w:color="auto" w:fill="FFFFFF"/>
                <w:lang w:eastAsia="zh-CN"/>
              </w:rPr>
            </w:pPr>
            <w:r>
              <w:rPr>
                <w:rFonts w:ascii="Times New Roman" w:hAnsi="Times New Roman" w:cs="Times New Roman"/>
                <w:color w:val="auto"/>
                <w:sz w:val="21"/>
                <w:shd w:val="clear" w:color="auto" w:fill="FFFFFF"/>
                <w:lang w:eastAsia="zh-CN"/>
              </w:rPr>
              <w:t>LC</w:t>
            </w:r>
            <w:r>
              <w:rPr>
                <w:rFonts w:ascii="Times New Roman" w:hAnsi="Times New Roman" w:cs="Times New Roman"/>
                <w:color w:val="auto"/>
                <w:sz w:val="21"/>
                <w:shd w:val="clear" w:color="auto" w:fill="FFFFFF"/>
                <w:vertAlign w:val="subscript"/>
                <w:lang w:eastAsia="zh-CN"/>
              </w:rPr>
              <w:t>50</w:t>
            </w:r>
            <w:r>
              <w:rPr>
                <w:rFonts w:ascii="Times New Roman" w:hAnsi="Times New Roman" w:cs="Times New Roman"/>
                <w:color w:val="auto"/>
                <w:sz w:val="21"/>
                <w:shd w:val="clear" w:color="auto" w:fill="FFFFFF"/>
                <w:lang w:eastAsia="zh-CN"/>
              </w:rPr>
              <w:t>：</w:t>
            </w:r>
            <w:r>
              <w:rPr>
                <w:rFonts w:hint="eastAsia" w:ascii="Times New Roman" w:hAnsi="Times New Roman" w:cs="Times New Roman"/>
                <w:color w:val="auto"/>
                <w:sz w:val="21"/>
                <w:shd w:val="clear" w:color="auto" w:fill="FFFFFF"/>
                <w:lang w:eastAsia="zh-CN"/>
              </w:rPr>
              <w:t>1276</w:t>
            </w:r>
            <w:r>
              <w:rPr>
                <w:rFonts w:ascii="Times New Roman" w:hAnsi="Times New Roman" w:cs="Times New Roman"/>
                <w:color w:val="auto"/>
                <w:sz w:val="21"/>
                <w:shd w:val="clear" w:color="auto" w:fill="FFFFFF"/>
                <w:lang w:eastAsia="zh-CN"/>
              </w:rPr>
              <w:t>mg/m</w:t>
            </w:r>
            <w:r>
              <w:rPr>
                <w:rFonts w:ascii="Times New Roman" w:hAnsi="Times New Roman" w:cs="Times New Roman"/>
                <w:color w:val="auto"/>
                <w:sz w:val="21"/>
                <w:shd w:val="clear" w:color="auto" w:fill="FFFFFF"/>
                <w:vertAlign w:val="superscript"/>
                <w:lang w:eastAsia="zh-CN"/>
              </w:rPr>
              <w:t>3</w:t>
            </w:r>
            <w:r>
              <w:rPr>
                <w:rFonts w:ascii="Times New Roman" w:hAnsi="Times New Roman" w:cs="Times New Roman"/>
                <w:color w:val="auto"/>
                <w:sz w:val="21"/>
                <w:shd w:val="clear" w:color="auto" w:fill="FFFFFF"/>
                <w:lang w:eastAsia="zh-CN"/>
              </w:rPr>
              <w:t>（大鼠吸入</w:t>
            </w:r>
            <w:r>
              <w:rPr>
                <w:rFonts w:hint="eastAsia" w:ascii="Times New Roman" w:hAnsi="Times New Roman" w:cs="Times New Roman"/>
                <w:color w:val="auto"/>
                <w:sz w:val="21"/>
                <w:shd w:val="clear" w:color="auto" w:fill="FFFFFF"/>
                <w:lang w:eastAsia="zh-CN"/>
              </w:rPr>
              <w:t>，1h</w:t>
            </w:r>
            <w:r>
              <w:rPr>
                <w:rFonts w:ascii="Times New Roman" w:hAnsi="Times New Roman" w:cs="Times New Roman"/>
                <w:color w:val="auto"/>
                <w:sz w:val="21"/>
                <w:shd w:val="clear" w:color="auto" w:fill="FFFFFF"/>
                <w:lang w:eastAsia="zh-CN"/>
              </w:rPr>
              <w:t>）</w:t>
            </w:r>
          </w:p>
        </w:tc>
        <w:tc>
          <w:tcPr>
            <w:tcW w:w="305" w:type="pct"/>
            <w:vAlign w:val="center"/>
          </w:tcPr>
          <w:p w14:paraId="7A8368DE">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不燃</w:t>
            </w:r>
          </w:p>
        </w:tc>
        <w:tc>
          <w:tcPr>
            <w:tcW w:w="254" w:type="pct"/>
            <w:vAlign w:val="center"/>
          </w:tcPr>
          <w:p w14:paraId="1E5B007D">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306" w:type="pct"/>
            <w:vAlign w:val="center"/>
          </w:tcPr>
          <w:p w14:paraId="242E8E5C">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407" w:type="pct"/>
            <w:vAlign w:val="center"/>
          </w:tcPr>
          <w:p w14:paraId="291815D2">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36</w:t>
            </w:r>
          </w:p>
        </w:tc>
        <w:tc>
          <w:tcPr>
            <w:tcW w:w="375" w:type="pct"/>
            <w:vAlign w:val="center"/>
          </w:tcPr>
          <w:p w14:paraId="1C09EE2F">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20</w:t>
            </w:r>
          </w:p>
        </w:tc>
      </w:tr>
      <w:tr w14:paraId="5A0129E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57" w:type="pct"/>
            <w:vAlign w:val="center"/>
          </w:tcPr>
          <w:p w14:paraId="47D34604">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w:t>
            </w:r>
          </w:p>
        </w:tc>
        <w:tc>
          <w:tcPr>
            <w:tcW w:w="453" w:type="pct"/>
            <w:vAlign w:val="center"/>
          </w:tcPr>
          <w:p w14:paraId="0F31E292">
            <w:pPr>
              <w:jc w:val="center"/>
              <w:rPr>
                <w:rFonts w:ascii="Times New Roman" w:hAnsi="Times New Roman" w:cs="Times New Roman"/>
                <w:color w:val="auto"/>
                <w:spacing w:val="-2"/>
                <w:sz w:val="21"/>
                <w:lang w:eastAsia="zh-CN"/>
              </w:rPr>
            </w:pPr>
            <w:r>
              <w:rPr>
                <w:rFonts w:hint="eastAsia" w:ascii="Times New Roman" w:hAnsi="Times New Roman" w:cs="Times New Roman"/>
                <w:color w:val="000000" w:themeColor="text1"/>
                <w:spacing w:val="-2"/>
                <w:sz w:val="21"/>
                <w:lang w:eastAsia="zh-CN"/>
                <w14:textFill>
                  <w14:solidFill>
                    <w14:schemeClr w14:val="tx1"/>
                  </w14:solidFill>
                </w14:textFill>
              </w:rPr>
              <w:t>31%盐酸</w:t>
            </w:r>
          </w:p>
        </w:tc>
        <w:tc>
          <w:tcPr>
            <w:tcW w:w="305" w:type="pct"/>
            <w:vAlign w:val="center"/>
          </w:tcPr>
          <w:p w14:paraId="07CDA9B9">
            <w:pPr>
              <w:jc w:val="center"/>
              <w:rPr>
                <w:rFonts w:ascii="Times New Roman" w:hAnsi="Times New Roman" w:cs="Times New Roman"/>
                <w:color w:val="auto"/>
                <w:spacing w:val="-2"/>
                <w:sz w:val="21"/>
                <w:lang w:eastAsia="zh-CN"/>
              </w:rPr>
            </w:pPr>
            <w:r>
              <w:rPr>
                <w:rFonts w:hint="eastAsia" w:ascii="Times New Roman" w:hAnsi="Times New Roman" w:cs="Times New Roman"/>
                <w:color w:val="000000" w:themeColor="text1"/>
                <w:spacing w:val="-2"/>
                <w:sz w:val="21"/>
                <w:lang w:eastAsia="zh-CN"/>
                <w14:textFill>
                  <w14:solidFill>
                    <w14:schemeClr w14:val="tx1"/>
                  </w14:solidFill>
                </w14:textFill>
              </w:rPr>
              <w:t>氯化氢</w:t>
            </w:r>
          </w:p>
        </w:tc>
        <w:tc>
          <w:tcPr>
            <w:tcW w:w="305" w:type="pct"/>
            <w:vAlign w:val="center"/>
          </w:tcPr>
          <w:p w14:paraId="77F4D7E6">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气态</w:t>
            </w:r>
          </w:p>
        </w:tc>
        <w:tc>
          <w:tcPr>
            <w:tcW w:w="356" w:type="pct"/>
            <w:vAlign w:val="center"/>
          </w:tcPr>
          <w:p w14:paraId="070B8D84">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-85.1</w:t>
            </w:r>
          </w:p>
        </w:tc>
        <w:tc>
          <w:tcPr>
            <w:tcW w:w="356" w:type="pct"/>
            <w:vAlign w:val="center"/>
          </w:tcPr>
          <w:p w14:paraId="6140B746">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-114.2</w:t>
            </w:r>
          </w:p>
        </w:tc>
        <w:tc>
          <w:tcPr>
            <w:tcW w:w="355" w:type="pct"/>
            <w:vAlign w:val="center"/>
          </w:tcPr>
          <w:p w14:paraId="0AC3ECB9">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c>
          <w:tcPr>
            <w:tcW w:w="1066" w:type="pct"/>
            <w:vAlign w:val="center"/>
          </w:tcPr>
          <w:p w14:paraId="195D2517">
            <w:pPr>
              <w:adjustRightInd w:val="0"/>
              <w:snapToGrid w:val="0"/>
              <w:spacing w:before="40" w:after="40"/>
              <w:jc w:val="center"/>
              <w:rPr>
                <w:rFonts w:ascii="Times New Roman" w:hAnsi="Times New Roman" w:cs="Times New Roman"/>
                <w:color w:val="auto"/>
                <w:sz w:val="21"/>
                <w:shd w:val="clear" w:color="auto" w:fill="FFFFFF"/>
                <w:lang w:eastAsia="zh-CN"/>
              </w:rPr>
            </w:pPr>
            <w:r>
              <w:rPr>
                <w:rFonts w:ascii="Times New Roman" w:hAnsi="Times New Roman" w:cs="Times New Roman"/>
                <w:color w:val="000000" w:themeColor="text1"/>
                <w:sz w:val="21"/>
                <w:shd w:val="clear" w:color="auto" w:fill="FFFFFF"/>
                <w:lang w:eastAsia="zh-CN"/>
                <w14:textFill>
                  <w14:solidFill>
                    <w14:schemeClr w14:val="tx1"/>
                  </w14:solidFill>
                </w14:textFill>
              </w:rPr>
              <w:t>LC</w:t>
            </w:r>
            <w:r>
              <w:rPr>
                <w:rFonts w:ascii="Times New Roman" w:hAnsi="Times New Roman" w:cs="Times New Roman"/>
                <w:color w:val="000000" w:themeColor="text1"/>
                <w:sz w:val="21"/>
                <w:shd w:val="clear" w:color="auto" w:fill="FFFFFF"/>
                <w:vertAlign w:val="subscript"/>
                <w:lang w:eastAsia="zh-CN"/>
                <w14:textFill>
                  <w14:solidFill>
                    <w14:schemeClr w14:val="tx1"/>
                  </w14:solidFill>
                </w14:textFill>
              </w:rPr>
              <w:t>50</w:t>
            </w:r>
            <w:r>
              <w:rPr>
                <w:rFonts w:ascii="Times New Roman" w:hAnsi="Times New Roman" w:cs="Times New Roman"/>
                <w:color w:val="000000" w:themeColor="text1"/>
                <w:sz w:val="21"/>
                <w:shd w:val="clear" w:color="auto" w:fill="FFFFFF"/>
                <w:lang w:eastAsia="zh-CN"/>
                <w14:textFill>
                  <w14:solidFill>
                    <w14:schemeClr w14:val="tx1"/>
                  </w14:solidFill>
                </w14:textFill>
              </w:rPr>
              <w:t>：</w:t>
            </w:r>
            <w:r>
              <w:rPr>
                <w:rFonts w:hint="eastAsia" w:ascii="Times New Roman" w:hAnsi="Times New Roman" w:cs="Times New Roman"/>
                <w:color w:val="000000" w:themeColor="text1"/>
                <w:sz w:val="21"/>
                <w:shd w:val="clear" w:color="auto" w:fill="FFFFFF"/>
                <w:lang w:eastAsia="zh-CN"/>
                <w14:textFill>
                  <w14:solidFill>
                    <w14:schemeClr w14:val="tx1"/>
                  </w14:solidFill>
                </w14:textFill>
              </w:rPr>
              <w:t>3124ppm</w:t>
            </w:r>
            <w:r>
              <w:rPr>
                <w:rFonts w:ascii="Times New Roman" w:hAnsi="Times New Roman" w:cs="Times New Roman"/>
                <w:color w:val="000000" w:themeColor="text1"/>
                <w:sz w:val="21"/>
                <w:shd w:val="clear" w:color="auto" w:fill="FFFFFF"/>
                <w:lang w:eastAsia="zh-CN"/>
                <w14:textFill>
                  <w14:solidFill>
                    <w14:schemeClr w14:val="tx1"/>
                  </w14:solidFill>
                </w14:textFill>
              </w:rPr>
              <w:t>（</w:t>
            </w:r>
            <w:r>
              <w:rPr>
                <w:rFonts w:hint="eastAsia" w:ascii="Times New Roman" w:hAnsi="Times New Roman" w:cs="Times New Roman"/>
                <w:color w:val="000000" w:themeColor="text1"/>
                <w:sz w:val="21"/>
                <w:shd w:val="clear" w:color="auto" w:fill="FFFFFF"/>
                <w:lang w:eastAsia="zh-CN"/>
                <w14:textFill>
                  <w14:solidFill>
                    <w14:schemeClr w14:val="tx1"/>
                  </w14:solidFill>
                </w14:textFill>
              </w:rPr>
              <w:t>大</w:t>
            </w:r>
            <w:r>
              <w:rPr>
                <w:rFonts w:ascii="Times New Roman" w:hAnsi="Times New Roman" w:cs="Times New Roman"/>
                <w:color w:val="000000" w:themeColor="text1"/>
                <w:sz w:val="21"/>
                <w:shd w:val="clear" w:color="auto" w:fill="FFFFFF"/>
                <w:lang w:eastAsia="zh-CN"/>
                <w14:textFill>
                  <w14:solidFill>
                    <w14:schemeClr w14:val="tx1"/>
                  </w14:solidFill>
                </w14:textFill>
              </w:rPr>
              <w:t>鼠吸入</w:t>
            </w:r>
            <w:r>
              <w:rPr>
                <w:rFonts w:hint="eastAsia" w:ascii="Times New Roman" w:hAnsi="Times New Roman" w:cs="Times New Roman"/>
                <w:color w:val="000000" w:themeColor="text1"/>
                <w:sz w:val="21"/>
                <w:shd w:val="clear" w:color="auto" w:fill="FFFFFF"/>
                <w:lang w:eastAsia="zh-CN"/>
                <w14:textFill>
                  <w14:solidFill>
                    <w14:schemeClr w14:val="tx1"/>
                  </w14:solidFill>
                </w14:textFill>
              </w:rPr>
              <w:t>，1h</w:t>
            </w:r>
            <w:r>
              <w:rPr>
                <w:rFonts w:ascii="Times New Roman" w:hAnsi="Times New Roman" w:cs="Times New Roman"/>
                <w:color w:val="000000" w:themeColor="text1"/>
                <w:sz w:val="21"/>
                <w:shd w:val="clear" w:color="auto" w:fill="FFFFFF"/>
                <w:lang w:eastAsia="zh-CN"/>
                <w14:textFill>
                  <w14:solidFill>
                    <w14:schemeClr w14:val="tx1"/>
                  </w14:solidFill>
                </w14:textFill>
              </w:rPr>
              <w:t>）</w:t>
            </w:r>
          </w:p>
        </w:tc>
        <w:tc>
          <w:tcPr>
            <w:tcW w:w="305" w:type="pct"/>
            <w:vAlign w:val="center"/>
          </w:tcPr>
          <w:p w14:paraId="25649975">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不燃</w:t>
            </w:r>
          </w:p>
        </w:tc>
        <w:tc>
          <w:tcPr>
            <w:tcW w:w="254" w:type="pct"/>
            <w:vAlign w:val="center"/>
          </w:tcPr>
          <w:p w14:paraId="1F5FD687">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306" w:type="pct"/>
            <w:vAlign w:val="center"/>
          </w:tcPr>
          <w:p w14:paraId="3AB5B549">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407" w:type="pct"/>
            <w:vAlign w:val="center"/>
          </w:tcPr>
          <w:p w14:paraId="67F88CDB">
            <w:pPr>
              <w:jc w:val="center"/>
              <w:rPr>
                <w:rFonts w:ascii="Times New Roman" w:hAnsi="Times New Roman" w:cs="Times New Roman"/>
                <w:color w:val="000000" w:themeColor="text1"/>
                <w:sz w:val="21"/>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150</w:t>
            </w:r>
          </w:p>
        </w:tc>
        <w:tc>
          <w:tcPr>
            <w:tcW w:w="375" w:type="pct"/>
            <w:vAlign w:val="center"/>
          </w:tcPr>
          <w:p w14:paraId="45409782">
            <w:pPr>
              <w:jc w:val="center"/>
              <w:rPr>
                <w:rFonts w:ascii="Times New Roman" w:hAnsi="Times New Roman" w:cs="Times New Roman"/>
                <w:color w:val="000000" w:themeColor="text1"/>
                <w:sz w:val="21"/>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33</w:t>
            </w:r>
          </w:p>
        </w:tc>
      </w:tr>
    </w:tbl>
    <w:p w14:paraId="3BFE157F">
      <w:pPr>
        <w:spacing w:line="360" w:lineRule="auto"/>
        <w:ind w:firstLine="422" w:firstLineChars="200"/>
        <w:jc w:val="center"/>
        <w:rPr>
          <w:rFonts w:ascii="Times New Roman" w:hAnsi="Times New Roman" w:cs="Times New Roman"/>
          <w:b/>
          <w:bCs/>
          <w:sz w:val="21"/>
          <w:lang w:eastAsia="zh-CN"/>
        </w:rPr>
      </w:pPr>
    </w:p>
    <w:p w14:paraId="46D4EA66">
      <w:pPr>
        <w:tabs>
          <w:tab w:val="center" w:pos="7190"/>
        </w:tabs>
        <w:rPr>
          <w:rFonts w:ascii="Times New Roman" w:hAnsi="Times New Roman" w:cs="Times New Roman"/>
          <w:szCs w:val="24"/>
          <w:lang w:eastAsia="zh-CN"/>
        </w:rPr>
        <w:sectPr>
          <w:pgSz w:w="16838" w:h="11906" w:orient="landscape"/>
          <w:pgMar w:top="1080" w:right="1440" w:bottom="1080" w:left="1440" w:header="851" w:footer="992" w:gutter="0"/>
          <w:cols w:space="720" w:num="1"/>
          <w:docGrid w:type="lines" w:linePitch="326" w:charSpace="0"/>
        </w:sectPr>
      </w:pPr>
      <w:r>
        <w:rPr>
          <w:rFonts w:ascii="Times New Roman" w:hAnsi="Times New Roman" w:cs="Times New Roman"/>
          <w:szCs w:val="24"/>
          <w:lang w:eastAsia="zh-CN"/>
        </w:rPr>
        <w:tab/>
      </w:r>
    </w:p>
    <w:p w14:paraId="44D787D8">
      <w:pPr>
        <w:spacing w:line="360" w:lineRule="auto"/>
        <w:ind w:firstLine="482"/>
        <w:outlineLvl w:val="2"/>
        <w:rPr>
          <w:rFonts w:ascii="Times New Roman" w:hAnsi="Times New Roman" w:cs="Times New Roman"/>
          <w:b/>
          <w:color w:val="auto"/>
          <w:szCs w:val="24"/>
          <w:lang w:eastAsia="zh-CN"/>
        </w:rPr>
      </w:pPr>
      <w:bookmarkStart w:id="1967" w:name="_Toc231828660"/>
      <w:bookmarkStart w:id="1968" w:name="_Toc236641908"/>
      <w:bookmarkStart w:id="1969" w:name="_Toc237508373"/>
      <w:r>
        <w:rPr>
          <w:rFonts w:hint="eastAsia" w:ascii="Times New Roman" w:hAnsi="Times New Roman" w:cs="Times New Roman"/>
          <w:b/>
          <w:color w:val="auto"/>
          <w:szCs w:val="24"/>
          <w:lang w:eastAsia="zh-CN"/>
        </w:rPr>
        <w:t>7.6.6 生产系统危险性识别</w:t>
      </w:r>
      <w:bookmarkEnd w:id="1967"/>
      <w:bookmarkEnd w:id="1968"/>
      <w:bookmarkEnd w:id="1969"/>
    </w:p>
    <w:p w14:paraId="0D68839F">
      <w:pPr>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项目生产系统风险识别主要包括生产装置、储运工程、公用工程和环保工程。生产装置为</w:t>
      </w:r>
      <w:r>
        <w:rPr>
          <w:rFonts w:hint="eastAsia" w:ascii="Times New Roman" w:hAnsi="Times New Roman" w:cs="Times New Roman"/>
          <w:bCs/>
          <w:color w:val="auto"/>
          <w:szCs w:val="24"/>
          <w:lang w:eastAsia="zh-CN"/>
        </w:rPr>
        <w:t>化学纯氢氟酸</w:t>
      </w:r>
      <w:r>
        <w:rPr>
          <w:rFonts w:ascii="Times New Roman" w:hAnsi="Times New Roman" w:cs="Times New Roman"/>
          <w:bCs/>
          <w:color w:val="auto"/>
          <w:szCs w:val="24"/>
          <w:lang w:eastAsia="zh-CN"/>
        </w:rPr>
        <w:t>生产装置</w:t>
      </w:r>
      <w:r>
        <w:rPr>
          <w:rFonts w:hint="eastAsia" w:ascii="Times New Roman" w:hAnsi="Times New Roman" w:cs="Times New Roman"/>
          <w:bCs/>
          <w:color w:val="auto"/>
          <w:szCs w:val="24"/>
          <w:lang w:eastAsia="zh-CN"/>
        </w:rPr>
        <w:t>以及刻蚀液生产装置</w:t>
      </w:r>
      <w:r>
        <w:rPr>
          <w:rFonts w:ascii="Times New Roman" w:hAnsi="Times New Roman" w:cs="Times New Roman"/>
          <w:bCs/>
          <w:color w:val="auto"/>
          <w:szCs w:val="24"/>
          <w:lang w:eastAsia="zh-CN"/>
        </w:rPr>
        <w:t>；储存工程包括</w:t>
      </w:r>
      <w:r>
        <w:rPr>
          <w:rFonts w:hint="eastAsia" w:ascii="Times New Roman" w:hAnsi="Times New Roman" w:cs="Times New Roman"/>
          <w:bCs/>
          <w:color w:val="auto"/>
          <w:szCs w:val="24"/>
          <w:lang w:eastAsia="zh-CN"/>
        </w:rPr>
        <w:t>无水氟化氢库房、原料及产品罐区、戊类罐区二和丁类仓库</w:t>
      </w:r>
      <w:r>
        <w:rPr>
          <w:rFonts w:ascii="Times New Roman" w:hAnsi="Times New Roman" w:cs="Times New Roman"/>
          <w:bCs/>
          <w:color w:val="auto"/>
          <w:szCs w:val="24"/>
          <w:lang w:eastAsia="zh-CN"/>
        </w:rPr>
        <w:t>等；厂内运输系统包括各类物料运输管线等；公用工程包括供电、供气等；环保工程包括废气处理装置和危险废物贮存库等。</w:t>
      </w:r>
    </w:p>
    <w:p w14:paraId="16D7BC1E">
      <w:pPr>
        <w:spacing w:line="360" w:lineRule="auto"/>
        <w:ind w:firstLine="480" w:firstLineChars="200"/>
        <w:jc w:val="both"/>
        <w:rPr>
          <w:rFonts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1、</w:t>
      </w:r>
      <w:r>
        <w:rPr>
          <w:rFonts w:ascii="Times New Roman" w:hAnsi="Times New Roman" w:cs="Times New Roman"/>
          <w:bCs/>
          <w:color w:val="auto"/>
          <w:szCs w:val="24"/>
          <w:lang w:eastAsia="zh-CN"/>
        </w:rPr>
        <w:t>危险单元划分</w:t>
      </w:r>
    </w:p>
    <w:p w14:paraId="6D5888F0">
      <w:pPr>
        <w:spacing w:line="360" w:lineRule="auto"/>
        <w:ind w:firstLine="480"/>
        <w:jc w:val="both"/>
        <w:rPr>
          <w:rFonts w:ascii="Times New Roman" w:hAnsi="Times New Roman" w:cs="Times New Roman"/>
          <w:color w:val="auto"/>
          <w:lang w:eastAsia="zh-CN"/>
        </w:rPr>
      </w:pPr>
      <w:r>
        <w:rPr>
          <w:rFonts w:ascii="Times New Roman" w:hAnsi="Times New Roman" w:cs="Times New Roman"/>
          <w:color w:val="auto"/>
          <w:lang w:eastAsia="zh-CN"/>
        </w:rPr>
        <w:t>按照工艺流程和平面布置，结合物质危险性识别结果和设计资料，拟建工程危险单元划分及各危险单元危险物质最大存在量见下表</w:t>
      </w:r>
      <w:r>
        <w:rPr>
          <w:rFonts w:hint="eastAsia" w:ascii="Times New Roman" w:hAnsi="Times New Roman" w:cs="Times New Roman"/>
          <w:color w:val="auto"/>
          <w:lang w:eastAsia="zh-CN"/>
        </w:rPr>
        <w:t>7</w:t>
      </w:r>
      <w:r>
        <w:rPr>
          <w:rFonts w:ascii="Times New Roman" w:hAnsi="Times New Roman" w:cs="Times New Roman"/>
          <w:color w:val="auto"/>
          <w:lang w:eastAsia="zh-CN"/>
        </w:rPr>
        <w:t>.</w:t>
      </w:r>
      <w:r>
        <w:rPr>
          <w:rFonts w:hint="eastAsia" w:ascii="Times New Roman" w:hAnsi="Times New Roman" w:cs="Times New Roman"/>
          <w:color w:val="auto"/>
          <w:lang w:eastAsia="zh-CN"/>
        </w:rPr>
        <w:t>6</w:t>
      </w:r>
      <w:r>
        <w:rPr>
          <w:rFonts w:ascii="Times New Roman" w:hAnsi="Times New Roman" w:cs="Times New Roman"/>
          <w:color w:val="auto"/>
          <w:lang w:eastAsia="zh-CN"/>
        </w:rPr>
        <w:t>-</w:t>
      </w:r>
      <w:r>
        <w:rPr>
          <w:rFonts w:hint="eastAsia" w:ascii="Times New Roman" w:hAnsi="Times New Roman" w:cs="Times New Roman"/>
          <w:color w:val="auto"/>
          <w:lang w:eastAsia="zh-CN"/>
        </w:rPr>
        <w:t>4</w:t>
      </w:r>
      <w:r>
        <w:rPr>
          <w:rFonts w:ascii="Times New Roman" w:hAnsi="Times New Roman" w:cs="Times New Roman"/>
          <w:color w:val="auto"/>
          <w:lang w:eastAsia="zh-CN"/>
        </w:rPr>
        <w:t>。危险单元划分示意见下图</w:t>
      </w:r>
      <w:r>
        <w:rPr>
          <w:rFonts w:hint="eastAsia" w:ascii="Times New Roman" w:hAnsi="Times New Roman" w:cs="Times New Roman"/>
          <w:color w:val="auto"/>
          <w:lang w:eastAsia="zh-CN"/>
        </w:rPr>
        <w:t>7</w:t>
      </w:r>
      <w:r>
        <w:rPr>
          <w:rFonts w:ascii="Times New Roman" w:hAnsi="Times New Roman" w:cs="Times New Roman"/>
          <w:color w:val="auto"/>
          <w:lang w:eastAsia="zh-CN"/>
        </w:rPr>
        <w:t>.</w:t>
      </w:r>
      <w:r>
        <w:rPr>
          <w:rFonts w:hint="eastAsia" w:ascii="Times New Roman" w:hAnsi="Times New Roman" w:cs="Times New Roman"/>
          <w:color w:val="auto"/>
          <w:lang w:eastAsia="zh-CN"/>
        </w:rPr>
        <w:t>6</w:t>
      </w:r>
      <w:r>
        <w:rPr>
          <w:rFonts w:ascii="Times New Roman" w:hAnsi="Times New Roman" w:cs="Times New Roman"/>
          <w:color w:val="auto"/>
          <w:lang w:eastAsia="zh-CN"/>
        </w:rPr>
        <w:t>-1所示。</w:t>
      </w:r>
    </w:p>
    <w:p w14:paraId="788A484F">
      <w:pPr>
        <w:spacing w:line="360" w:lineRule="auto"/>
        <w:jc w:val="center"/>
        <w:rPr>
          <w:rFonts w:ascii="Times New Roman" w:hAnsi="Times New Roman" w:cs="Times New Roman"/>
          <w:b/>
          <w:color w:val="auto"/>
          <w:szCs w:val="24"/>
          <w:lang w:eastAsia="zh-CN"/>
        </w:rPr>
      </w:pPr>
      <w:r>
        <w:rPr>
          <w:rFonts w:ascii="Times New Roman" w:hAnsi="Times New Roman" w:cs="Times New Roman"/>
          <w:b/>
          <w:color w:val="auto"/>
          <w:szCs w:val="24"/>
          <w:lang w:eastAsia="zh-CN"/>
        </w:rPr>
        <w:t>表7.</w:t>
      </w:r>
      <w:r>
        <w:rPr>
          <w:rFonts w:hint="eastAsia" w:ascii="Times New Roman" w:hAnsi="Times New Roman" w:cs="Times New Roman"/>
          <w:b/>
          <w:color w:val="auto"/>
          <w:szCs w:val="24"/>
          <w:lang w:eastAsia="zh-CN"/>
        </w:rPr>
        <w:t>6</w:t>
      </w:r>
      <w:r>
        <w:rPr>
          <w:rFonts w:ascii="Times New Roman" w:hAnsi="Times New Roman" w:cs="Times New Roman"/>
          <w:b/>
          <w:color w:val="auto"/>
          <w:szCs w:val="24"/>
          <w:lang w:eastAsia="zh-CN"/>
        </w:rPr>
        <w:t>-</w:t>
      </w:r>
      <w:r>
        <w:rPr>
          <w:rFonts w:hint="eastAsia" w:ascii="Times New Roman" w:hAnsi="Times New Roman" w:cs="Times New Roman"/>
          <w:b/>
          <w:color w:val="auto"/>
          <w:szCs w:val="24"/>
          <w:lang w:eastAsia="zh-CN"/>
        </w:rPr>
        <w:t>4</w:t>
      </w:r>
      <w:r>
        <w:rPr>
          <w:rFonts w:ascii="Times New Roman" w:hAnsi="Times New Roman" w:cs="Times New Roman"/>
          <w:b/>
          <w:color w:val="auto"/>
          <w:szCs w:val="24"/>
          <w:lang w:eastAsia="zh-CN"/>
        </w:rPr>
        <w:t xml:space="preserve"> 危险单元划分及危险物质最大存在量一览表</w:t>
      </w:r>
    </w:p>
    <w:tbl>
      <w:tblPr>
        <w:tblStyle w:val="35"/>
        <w:tblW w:w="4962"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64"/>
        <w:gridCol w:w="654"/>
        <w:gridCol w:w="1134"/>
        <w:gridCol w:w="1277"/>
        <w:gridCol w:w="1416"/>
        <w:gridCol w:w="1704"/>
        <w:gridCol w:w="992"/>
        <w:gridCol w:w="1731"/>
      </w:tblGrid>
      <w:tr w14:paraId="1C78F7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5" w:type="pct"/>
            <w:vAlign w:val="center"/>
          </w:tcPr>
          <w:p w14:paraId="118BC90C">
            <w:pPr>
              <w:jc w:val="center"/>
              <w:rPr>
                <w:rFonts w:ascii="Times New Roman" w:hAnsi="Times New Roman" w:cs="Times New Roman"/>
                <w:b/>
                <w:bCs/>
                <w:color w:val="auto"/>
                <w:sz w:val="21"/>
              </w:rPr>
            </w:pPr>
            <w:r>
              <w:rPr>
                <w:rFonts w:ascii="Times New Roman" w:hAnsi="Times New Roman" w:cs="Times New Roman"/>
                <w:b/>
                <w:bCs/>
                <w:color w:val="auto"/>
                <w:sz w:val="21"/>
              </w:rPr>
              <w:t>序号</w:t>
            </w:r>
          </w:p>
        </w:tc>
        <w:tc>
          <w:tcPr>
            <w:tcW w:w="924" w:type="pct"/>
            <w:gridSpan w:val="2"/>
            <w:vAlign w:val="center"/>
          </w:tcPr>
          <w:p w14:paraId="3AAC85A9">
            <w:pPr>
              <w:jc w:val="center"/>
              <w:rPr>
                <w:rFonts w:ascii="Times New Roman" w:hAnsi="Times New Roman" w:cs="Times New Roman"/>
                <w:b/>
                <w:bCs/>
                <w:color w:val="auto"/>
                <w:sz w:val="21"/>
              </w:rPr>
            </w:pPr>
            <w:r>
              <w:rPr>
                <w:rFonts w:ascii="Times New Roman" w:hAnsi="Times New Roman" w:cs="Times New Roman"/>
                <w:b/>
                <w:bCs/>
                <w:color w:val="auto"/>
                <w:sz w:val="21"/>
              </w:rPr>
              <w:t>危险单元</w:t>
            </w:r>
          </w:p>
        </w:tc>
        <w:tc>
          <w:tcPr>
            <w:tcW w:w="1392" w:type="pct"/>
            <w:gridSpan w:val="2"/>
            <w:vAlign w:val="center"/>
          </w:tcPr>
          <w:p w14:paraId="079075FF">
            <w:pPr>
              <w:jc w:val="center"/>
              <w:rPr>
                <w:rFonts w:ascii="Times New Roman" w:hAnsi="Times New Roman" w:cs="Times New Roman"/>
                <w:b/>
                <w:bCs/>
                <w:color w:val="auto"/>
                <w:sz w:val="21"/>
              </w:rPr>
            </w:pPr>
            <w:r>
              <w:rPr>
                <w:rFonts w:ascii="Times New Roman" w:hAnsi="Times New Roman" w:cs="Times New Roman"/>
                <w:b/>
                <w:bCs/>
                <w:color w:val="auto"/>
                <w:sz w:val="21"/>
              </w:rPr>
              <w:t>危险物质</w:t>
            </w:r>
          </w:p>
        </w:tc>
        <w:tc>
          <w:tcPr>
            <w:tcW w:w="881" w:type="pct"/>
            <w:vAlign w:val="center"/>
          </w:tcPr>
          <w:p w14:paraId="4C0B63B2">
            <w:pPr>
              <w:jc w:val="center"/>
              <w:rPr>
                <w:rFonts w:ascii="Times New Roman" w:hAnsi="Times New Roman" w:cs="Times New Roman"/>
                <w:b/>
                <w:bCs/>
                <w:color w:val="auto"/>
                <w:sz w:val="21"/>
              </w:rPr>
            </w:pPr>
            <w:r>
              <w:rPr>
                <w:rFonts w:ascii="Times New Roman" w:hAnsi="Times New Roman" w:cs="Times New Roman"/>
                <w:b/>
                <w:bCs/>
                <w:color w:val="auto"/>
                <w:sz w:val="21"/>
              </w:rPr>
              <w:t>最大存在总量t</w:t>
            </w:r>
          </w:p>
        </w:tc>
        <w:tc>
          <w:tcPr>
            <w:tcW w:w="513" w:type="pct"/>
            <w:vAlign w:val="center"/>
          </w:tcPr>
          <w:p w14:paraId="6BFC7602">
            <w:pPr>
              <w:jc w:val="center"/>
              <w:rPr>
                <w:rFonts w:ascii="Times New Roman" w:hAnsi="Times New Roman" w:cs="Times New Roman"/>
                <w:b/>
                <w:bCs/>
                <w:color w:val="auto"/>
                <w:sz w:val="21"/>
              </w:rPr>
            </w:pPr>
            <w:r>
              <w:rPr>
                <w:rFonts w:ascii="Times New Roman" w:hAnsi="Times New Roman" w:cs="Times New Roman"/>
                <w:b/>
                <w:bCs/>
                <w:color w:val="auto"/>
                <w:sz w:val="21"/>
                <w:lang w:eastAsia="zh-CN"/>
              </w:rPr>
              <w:t>临界值t</w:t>
            </w:r>
          </w:p>
        </w:tc>
        <w:tc>
          <w:tcPr>
            <w:tcW w:w="895" w:type="pct"/>
            <w:vAlign w:val="center"/>
          </w:tcPr>
          <w:p w14:paraId="4F481C78">
            <w:pPr>
              <w:jc w:val="center"/>
              <w:rPr>
                <w:rFonts w:ascii="Times New Roman" w:hAnsi="Times New Roman" w:cs="Times New Roman"/>
                <w:b/>
                <w:bCs/>
                <w:color w:val="auto"/>
                <w:sz w:val="21"/>
              </w:rPr>
            </w:pPr>
            <w:r>
              <w:rPr>
                <w:rFonts w:ascii="Times New Roman" w:hAnsi="Times New Roman" w:cs="Times New Roman"/>
                <w:b/>
                <w:bCs/>
                <w:color w:val="auto"/>
                <w:sz w:val="21"/>
                <w:lang w:eastAsia="zh-CN"/>
              </w:rPr>
              <w:t>是否</w:t>
            </w:r>
            <w:r>
              <w:rPr>
                <w:rFonts w:hint="eastAsia" w:ascii="Times New Roman" w:hAnsi="Times New Roman" w:cs="Times New Roman"/>
                <w:b/>
                <w:bCs/>
                <w:color w:val="auto"/>
                <w:sz w:val="21"/>
                <w:lang w:eastAsia="zh-CN"/>
              </w:rPr>
              <w:t>超出临界值</w:t>
            </w:r>
          </w:p>
        </w:tc>
      </w:tr>
      <w:tr w14:paraId="257AAE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395" w:type="pct"/>
            <w:vMerge w:val="restart"/>
            <w:vAlign w:val="center"/>
          </w:tcPr>
          <w:p w14:paraId="67B1E295">
            <w:pPr>
              <w:jc w:val="center"/>
              <w:rPr>
                <w:rFonts w:ascii="Times New Roman" w:hAnsi="Times New Roman" w:cs="Times New Roman"/>
                <w:color w:val="auto"/>
                <w:sz w:val="21"/>
              </w:rPr>
            </w:pPr>
            <w:r>
              <w:rPr>
                <w:rFonts w:ascii="Times New Roman" w:hAnsi="Times New Roman" w:cs="Times New Roman"/>
                <w:color w:val="auto"/>
                <w:sz w:val="21"/>
              </w:rPr>
              <w:t>1</w:t>
            </w:r>
          </w:p>
        </w:tc>
        <w:tc>
          <w:tcPr>
            <w:tcW w:w="924" w:type="pct"/>
            <w:gridSpan w:val="2"/>
            <w:vMerge w:val="restart"/>
            <w:vAlign w:val="center"/>
          </w:tcPr>
          <w:p w14:paraId="2E4E5EE6">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化学纯氢氟酸</w:t>
            </w:r>
            <w:r>
              <w:rPr>
                <w:rFonts w:ascii="Times New Roman" w:hAnsi="Times New Roman" w:cs="Times New Roman"/>
                <w:color w:val="auto"/>
                <w:sz w:val="21"/>
                <w:lang w:eastAsia="zh-CN"/>
              </w:rPr>
              <w:t>生产装置</w:t>
            </w:r>
          </w:p>
        </w:tc>
        <w:tc>
          <w:tcPr>
            <w:tcW w:w="1392" w:type="pct"/>
            <w:gridSpan w:val="2"/>
            <w:vAlign w:val="center"/>
          </w:tcPr>
          <w:p w14:paraId="0F9B5F32">
            <w:pPr>
              <w:jc w:val="center"/>
              <w:rPr>
                <w:rFonts w:ascii="Times New Roman" w:hAnsi="Times New Roman" w:cs="Times New Roman"/>
                <w:color w:val="auto"/>
                <w:sz w:val="21"/>
              </w:rPr>
            </w:pPr>
            <w:r>
              <w:rPr>
                <w:rFonts w:hint="eastAsia" w:ascii="Times New Roman" w:hAnsi="Times New Roman" w:cs="Times New Roman"/>
                <w:color w:val="000000" w:themeColor="text1"/>
                <w:sz w:val="21"/>
                <w:lang w:eastAsia="zh-CN"/>
                <w14:textFill>
                  <w14:solidFill>
                    <w14:schemeClr w14:val="tx1"/>
                  </w14:solidFill>
                </w14:textFill>
              </w:rPr>
              <w:t>无水氟化氢</w:t>
            </w:r>
          </w:p>
        </w:tc>
        <w:tc>
          <w:tcPr>
            <w:tcW w:w="881" w:type="pct"/>
            <w:vAlign w:val="center"/>
          </w:tcPr>
          <w:p w14:paraId="569FB922">
            <w:pPr>
              <w:jc w:val="center"/>
              <w:rPr>
                <w:rFonts w:ascii="Times New Roman" w:hAnsi="Times New Roman" w:cs="Times New Roman"/>
                <w:color w:val="auto"/>
                <w:sz w:val="21"/>
              </w:rPr>
            </w:pPr>
            <w:r>
              <w:rPr>
                <w:rFonts w:hint="eastAsia" w:ascii="Times New Roman" w:hAnsi="Times New Roman" w:cs="Times New Roman"/>
                <w:color w:val="auto"/>
                <w:sz w:val="21"/>
                <w:lang w:eastAsia="zh-CN"/>
              </w:rPr>
              <w:t>114.3</w:t>
            </w:r>
          </w:p>
        </w:tc>
        <w:tc>
          <w:tcPr>
            <w:tcW w:w="513" w:type="pct"/>
            <w:vAlign w:val="center"/>
          </w:tcPr>
          <w:p w14:paraId="488E417D">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1.0</w:t>
            </w:r>
          </w:p>
        </w:tc>
        <w:tc>
          <w:tcPr>
            <w:tcW w:w="895" w:type="pct"/>
            <w:vAlign w:val="center"/>
          </w:tcPr>
          <w:p w14:paraId="14734715">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是</w:t>
            </w:r>
          </w:p>
        </w:tc>
      </w:tr>
      <w:tr w14:paraId="374979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395" w:type="pct"/>
            <w:vMerge w:val="continue"/>
            <w:vAlign w:val="center"/>
          </w:tcPr>
          <w:p w14:paraId="6E973EBA">
            <w:pPr>
              <w:jc w:val="center"/>
              <w:rPr>
                <w:rFonts w:ascii="Times New Roman" w:hAnsi="Times New Roman" w:cs="Times New Roman"/>
                <w:color w:val="auto"/>
                <w:sz w:val="21"/>
                <w:lang w:eastAsia="zh-CN"/>
              </w:rPr>
            </w:pPr>
          </w:p>
        </w:tc>
        <w:tc>
          <w:tcPr>
            <w:tcW w:w="924" w:type="pct"/>
            <w:gridSpan w:val="2"/>
            <w:vMerge w:val="continue"/>
            <w:vAlign w:val="center"/>
          </w:tcPr>
          <w:p w14:paraId="3B4E4F38">
            <w:pPr>
              <w:jc w:val="center"/>
              <w:rPr>
                <w:rFonts w:ascii="Times New Roman" w:hAnsi="Times New Roman" w:cs="Times New Roman"/>
                <w:color w:val="auto"/>
                <w:sz w:val="21"/>
                <w:lang w:eastAsia="zh-CN"/>
              </w:rPr>
            </w:pPr>
          </w:p>
        </w:tc>
        <w:tc>
          <w:tcPr>
            <w:tcW w:w="660" w:type="pct"/>
            <w:vAlign w:val="center"/>
          </w:tcPr>
          <w:p w14:paraId="07330670">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15%氟化氢水溶液</w:t>
            </w:r>
          </w:p>
        </w:tc>
        <w:tc>
          <w:tcPr>
            <w:tcW w:w="732" w:type="pct"/>
            <w:vAlign w:val="center"/>
          </w:tcPr>
          <w:p w14:paraId="4641F5AE">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氟化氢</w:t>
            </w:r>
          </w:p>
        </w:tc>
        <w:tc>
          <w:tcPr>
            <w:tcW w:w="881" w:type="pct"/>
            <w:vAlign w:val="center"/>
          </w:tcPr>
          <w:p w14:paraId="6B7AE1FC">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22.032</w:t>
            </w:r>
          </w:p>
        </w:tc>
        <w:tc>
          <w:tcPr>
            <w:tcW w:w="513" w:type="pct"/>
            <w:vAlign w:val="center"/>
          </w:tcPr>
          <w:p w14:paraId="643C6F37">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1.0</w:t>
            </w:r>
          </w:p>
        </w:tc>
        <w:tc>
          <w:tcPr>
            <w:tcW w:w="895" w:type="pct"/>
            <w:vAlign w:val="center"/>
          </w:tcPr>
          <w:p w14:paraId="7D8375C1">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是</w:t>
            </w:r>
          </w:p>
        </w:tc>
      </w:tr>
      <w:tr w14:paraId="3B6203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5" w:type="pct"/>
            <w:vMerge w:val="restart"/>
            <w:vAlign w:val="center"/>
          </w:tcPr>
          <w:p w14:paraId="17566CB6">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2</w:t>
            </w:r>
          </w:p>
        </w:tc>
        <w:tc>
          <w:tcPr>
            <w:tcW w:w="924" w:type="pct"/>
            <w:gridSpan w:val="2"/>
            <w:vMerge w:val="restart"/>
            <w:vAlign w:val="center"/>
          </w:tcPr>
          <w:p w14:paraId="69954EC4">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刻蚀液生产装置</w:t>
            </w:r>
          </w:p>
        </w:tc>
        <w:tc>
          <w:tcPr>
            <w:tcW w:w="660" w:type="pct"/>
            <w:vAlign w:val="center"/>
          </w:tcPr>
          <w:p w14:paraId="7D31ED7D">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31%盐酸</w:t>
            </w:r>
          </w:p>
        </w:tc>
        <w:tc>
          <w:tcPr>
            <w:tcW w:w="732" w:type="pct"/>
            <w:vAlign w:val="center"/>
          </w:tcPr>
          <w:p w14:paraId="1FFBAE70">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折37%盐酸</w:t>
            </w:r>
          </w:p>
        </w:tc>
        <w:tc>
          <w:tcPr>
            <w:tcW w:w="881" w:type="pct"/>
            <w:vAlign w:val="center"/>
          </w:tcPr>
          <w:p w14:paraId="155FD47C">
            <w:pPr>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31.54</w:t>
            </w:r>
          </w:p>
        </w:tc>
        <w:tc>
          <w:tcPr>
            <w:tcW w:w="513" w:type="pct"/>
            <w:vAlign w:val="center"/>
          </w:tcPr>
          <w:p w14:paraId="18674BB3">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7.5</w:t>
            </w:r>
          </w:p>
        </w:tc>
        <w:tc>
          <w:tcPr>
            <w:tcW w:w="895" w:type="pct"/>
            <w:vAlign w:val="center"/>
          </w:tcPr>
          <w:p w14:paraId="4DCFE3C6">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是</w:t>
            </w:r>
          </w:p>
        </w:tc>
      </w:tr>
      <w:tr w14:paraId="5F30F1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5" w:type="pct"/>
            <w:vMerge w:val="continue"/>
            <w:vAlign w:val="center"/>
          </w:tcPr>
          <w:p w14:paraId="557B708B">
            <w:pPr>
              <w:jc w:val="center"/>
              <w:rPr>
                <w:rFonts w:ascii="Times New Roman" w:hAnsi="Times New Roman" w:cs="Times New Roman"/>
                <w:color w:val="auto"/>
                <w:sz w:val="21"/>
                <w:lang w:eastAsia="zh-CN"/>
              </w:rPr>
            </w:pPr>
          </w:p>
        </w:tc>
        <w:tc>
          <w:tcPr>
            <w:tcW w:w="924" w:type="pct"/>
            <w:gridSpan w:val="2"/>
            <w:vMerge w:val="continue"/>
            <w:vAlign w:val="center"/>
          </w:tcPr>
          <w:p w14:paraId="7B996D2B">
            <w:pPr>
              <w:jc w:val="center"/>
              <w:rPr>
                <w:rFonts w:ascii="Times New Roman" w:hAnsi="Times New Roman" w:cs="Times New Roman"/>
                <w:color w:val="auto"/>
                <w:sz w:val="21"/>
                <w:lang w:eastAsia="zh-CN"/>
              </w:rPr>
            </w:pPr>
          </w:p>
        </w:tc>
        <w:tc>
          <w:tcPr>
            <w:tcW w:w="660" w:type="pct"/>
            <w:vAlign w:val="center"/>
          </w:tcPr>
          <w:p w14:paraId="6739E4AF">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自产化学纯氢氟酸</w:t>
            </w:r>
          </w:p>
        </w:tc>
        <w:tc>
          <w:tcPr>
            <w:tcW w:w="732" w:type="pct"/>
            <w:vAlign w:val="center"/>
          </w:tcPr>
          <w:p w14:paraId="47FE014F">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氟化氢</w:t>
            </w:r>
          </w:p>
        </w:tc>
        <w:tc>
          <w:tcPr>
            <w:tcW w:w="881" w:type="pct"/>
            <w:vAlign w:val="center"/>
          </w:tcPr>
          <w:p w14:paraId="768502BF">
            <w:pPr>
              <w:jc w:val="center"/>
              <w:rPr>
                <w:rFonts w:ascii="Times New Roman" w:hAnsi="Times New Roman" w:cs="Times New Roman"/>
                <w:color w:val="auto"/>
                <w:spacing w:val="-2"/>
                <w:sz w:val="21"/>
                <w:lang w:eastAsia="zh-CN"/>
              </w:rPr>
            </w:pPr>
            <w:r>
              <w:rPr>
                <w:rFonts w:hint="eastAsia" w:ascii="Times New Roman" w:hAnsi="Times New Roman" w:cs="Times New Roman"/>
                <w:color w:val="auto"/>
                <w:spacing w:val="-2"/>
                <w:sz w:val="21"/>
                <w:lang w:eastAsia="zh-CN"/>
              </w:rPr>
              <w:t>66.709</w:t>
            </w:r>
          </w:p>
        </w:tc>
        <w:tc>
          <w:tcPr>
            <w:tcW w:w="513" w:type="pct"/>
            <w:vAlign w:val="center"/>
          </w:tcPr>
          <w:p w14:paraId="67C74B6D">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1.0</w:t>
            </w:r>
          </w:p>
        </w:tc>
        <w:tc>
          <w:tcPr>
            <w:tcW w:w="895" w:type="pct"/>
            <w:vAlign w:val="center"/>
          </w:tcPr>
          <w:p w14:paraId="63A5801E">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是</w:t>
            </w:r>
          </w:p>
        </w:tc>
      </w:tr>
      <w:tr w14:paraId="11CA6C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5" w:type="pct"/>
            <w:vMerge w:val="restart"/>
            <w:vAlign w:val="center"/>
          </w:tcPr>
          <w:p w14:paraId="03EB3FD2">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w:t>
            </w:r>
          </w:p>
        </w:tc>
        <w:tc>
          <w:tcPr>
            <w:tcW w:w="338" w:type="pct"/>
            <w:vMerge w:val="restart"/>
            <w:vAlign w:val="center"/>
          </w:tcPr>
          <w:p w14:paraId="72FC10DC">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储运工程</w:t>
            </w:r>
          </w:p>
        </w:tc>
        <w:tc>
          <w:tcPr>
            <w:tcW w:w="586" w:type="pct"/>
            <w:vAlign w:val="center"/>
          </w:tcPr>
          <w:p w14:paraId="4B1FC341">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无水氟化氢库房</w:t>
            </w:r>
          </w:p>
        </w:tc>
        <w:tc>
          <w:tcPr>
            <w:tcW w:w="1392" w:type="pct"/>
            <w:gridSpan w:val="2"/>
            <w:vAlign w:val="center"/>
          </w:tcPr>
          <w:p w14:paraId="1C926DDB">
            <w:pPr>
              <w:jc w:val="center"/>
              <w:rPr>
                <w:rFonts w:ascii="Times New Roman" w:hAnsi="Times New Roman" w:cs="Times New Roman"/>
                <w:color w:val="auto"/>
                <w:sz w:val="21"/>
                <w:lang w:eastAsia="zh-CN"/>
              </w:rPr>
            </w:pPr>
            <w:r>
              <w:rPr>
                <w:rFonts w:hint="eastAsia" w:ascii="Times New Roman" w:hAnsi="Times New Roman" w:cs="Times New Roman"/>
                <w:color w:val="000000" w:themeColor="text1"/>
                <w:sz w:val="21"/>
                <w:lang w:eastAsia="zh-CN"/>
                <w14:textFill>
                  <w14:solidFill>
                    <w14:schemeClr w14:val="tx1"/>
                  </w14:solidFill>
                </w14:textFill>
              </w:rPr>
              <w:t>无水氟化氢</w:t>
            </w:r>
          </w:p>
        </w:tc>
        <w:tc>
          <w:tcPr>
            <w:tcW w:w="881" w:type="pct"/>
            <w:vAlign w:val="center"/>
          </w:tcPr>
          <w:p w14:paraId="388D2AD9">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260</w:t>
            </w:r>
          </w:p>
        </w:tc>
        <w:tc>
          <w:tcPr>
            <w:tcW w:w="513" w:type="pct"/>
            <w:vAlign w:val="center"/>
          </w:tcPr>
          <w:p w14:paraId="1AB19AD4">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1.0</w:t>
            </w:r>
          </w:p>
        </w:tc>
        <w:tc>
          <w:tcPr>
            <w:tcW w:w="895" w:type="pct"/>
            <w:vAlign w:val="center"/>
          </w:tcPr>
          <w:p w14:paraId="2A8D823F">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是</w:t>
            </w:r>
          </w:p>
        </w:tc>
      </w:tr>
      <w:tr w14:paraId="537C56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395" w:type="pct"/>
            <w:vMerge w:val="continue"/>
            <w:vAlign w:val="center"/>
          </w:tcPr>
          <w:p w14:paraId="1DAF4F25">
            <w:pPr>
              <w:jc w:val="center"/>
              <w:rPr>
                <w:rFonts w:ascii="Times New Roman" w:hAnsi="Times New Roman" w:cs="Times New Roman"/>
                <w:color w:val="auto"/>
                <w:sz w:val="21"/>
                <w:lang w:eastAsia="zh-CN"/>
              </w:rPr>
            </w:pPr>
          </w:p>
        </w:tc>
        <w:tc>
          <w:tcPr>
            <w:tcW w:w="338" w:type="pct"/>
            <w:vMerge w:val="continue"/>
            <w:vAlign w:val="center"/>
          </w:tcPr>
          <w:p w14:paraId="697C1056">
            <w:pPr>
              <w:jc w:val="center"/>
              <w:rPr>
                <w:rFonts w:ascii="Times New Roman" w:hAnsi="Times New Roman" w:cs="Times New Roman"/>
                <w:color w:val="auto"/>
                <w:sz w:val="21"/>
                <w:lang w:eastAsia="zh-CN"/>
              </w:rPr>
            </w:pPr>
          </w:p>
        </w:tc>
        <w:tc>
          <w:tcPr>
            <w:tcW w:w="586" w:type="pct"/>
            <w:vMerge w:val="restart"/>
            <w:vAlign w:val="center"/>
          </w:tcPr>
          <w:p w14:paraId="578BA189">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原料及产品罐区</w:t>
            </w:r>
          </w:p>
        </w:tc>
        <w:tc>
          <w:tcPr>
            <w:tcW w:w="660" w:type="pct"/>
            <w:vAlign w:val="center"/>
          </w:tcPr>
          <w:p w14:paraId="4E73416F">
            <w:pPr>
              <w:jc w:val="center"/>
              <w:rPr>
                <w:rFonts w:ascii="Times New Roman" w:hAnsi="Times New Roman" w:cs="Times New Roman"/>
                <w:color w:val="auto"/>
                <w:sz w:val="21"/>
                <w:lang w:eastAsia="zh-CN"/>
              </w:rPr>
            </w:pPr>
            <w:r>
              <w:rPr>
                <w:rFonts w:hint="eastAsia" w:ascii="Times New Roman"/>
                <w:color w:val="auto"/>
                <w:sz w:val="21"/>
                <w:lang w:eastAsia="zh-CN"/>
              </w:rPr>
              <w:t>化学纯氢氟酸</w:t>
            </w:r>
          </w:p>
        </w:tc>
        <w:tc>
          <w:tcPr>
            <w:tcW w:w="732" w:type="pct"/>
            <w:vAlign w:val="center"/>
          </w:tcPr>
          <w:p w14:paraId="22C0ECFF">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氟化氢</w:t>
            </w:r>
          </w:p>
        </w:tc>
        <w:tc>
          <w:tcPr>
            <w:tcW w:w="881" w:type="pct"/>
            <w:vAlign w:val="center"/>
          </w:tcPr>
          <w:p w14:paraId="5E50BF83">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769.9</w:t>
            </w:r>
          </w:p>
        </w:tc>
        <w:tc>
          <w:tcPr>
            <w:tcW w:w="513" w:type="pct"/>
            <w:vAlign w:val="center"/>
          </w:tcPr>
          <w:p w14:paraId="5ACFEC5D">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1.0</w:t>
            </w:r>
          </w:p>
        </w:tc>
        <w:tc>
          <w:tcPr>
            <w:tcW w:w="895" w:type="pct"/>
            <w:vAlign w:val="center"/>
          </w:tcPr>
          <w:p w14:paraId="75AB9B93">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是</w:t>
            </w:r>
          </w:p>
        </w:tc>
      </w:tr>
      <w:tr w14:paraId="77EC76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395" w:type="pct"/>
            <w:vMerge w:val="continue"/>
            <w:vAlign w:val="center"/>
          </w:tcPr>
          <w:p w14:paraId="578A86E6">
            <w:pPr>
              <w:jc w:val="center"/>
              <w:rPr>
                <w:rFonts w:ascii="Times New Roman" w:hAnsi="Times New Roman" w:cs="Times New Roman"/>
                <w:color w:val="auto"/>
                <w:sz w:val="21"/>
                <w:lang w:eastAsia="zh-CN"/>
              </w:rPr>
            </w:pPr>
          </w:p>
        </w:tc>
        <w:tc>
          <w:tcPr>
            <w:tcW w:w="338" w:type="pct"/>
            <w:vMerge w:val="continue"/>
            <w:vAlign w:val="center"/>
          </w:tcPr>
          <w:p w14:paraId="78660982">
            <w:pPr>
              <w:jc w:val="center"/>
              <w:rPr>
                <w:rFonts w:ascii="Times New Roman" w:hAnsi="Times New Roman" w:cs="Times New Roman"/>
                <w:color w:val="auto"/>
                <w:sz w:val="21"/>
                <w:lang w:eastAsia="zh-CN"/>
              </w:rPr>
            </w:pPr>
          </w:p>
        </w:tc>
        <w:tc>
          <w:tcPr>
            <w:tcW w:w="586" w:type="pct"/>
            <w:vMerge w:val="continue"/>
            <w:vAlign w:val="center"/>
          </w:tcPr>
          <w:p w14:paraId="7D87A5E7">
            <w:pPr>
              <w:jc w:val="center"/>
              <w:rPr>
                <w:rFonts w:ascii="Times New Roman" w:hAnsi="Times New Roman" w:cs="Times New Roman"/>
                <w:color w:val="auto"/>
                <w:sz w:val="21"/>
                <w:lang w:eastAsia="zh-CN"/>
              </w:rPr>
            </w:pPr>
          </w:p>
        </w:tc>
        <w:tc>
          <w:tcPr>
            <w:tcW w:w="660" w:type="pct"/>
            <w:vAlign w:val="center"/>
          </w:tcPr>
          <w:p w14:paraId="57F47B7D">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15%氟化氢水溶液</w:t>
            </w:r>
          </w:p>
        </w:tc>
        <w:tc>
          <w:tcPr>
            <w:tcW w:w="732" w:type="pct"/>
            <w:vAlign w:val="center"/>
          </w:tcPr>
          <w:p w14:paraId="59324BE4">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氟化氢</w:t>
            </w:r>
          </w:p>
        </w:tc>
        <w:tc>
          <w:tcPr>
            <w:tcW w:w="881" w:type="pct"/>
            <w:vAlign w:val="center"/>
          </w:tcPr>
          <w:p w14:paraId="79964FBA">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489.6</w:t>
            </w:r>
          </w:p>
        </w:tc>
        <w:tc>
          <w:tcPr>
            <w:tcW w:w="513" w:type="pct"/>
            <w:vAlign w:val="center"/>
          </w:tcPr>
          <w:p w14:paraId="167D93F9">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1.0</w:t>
            </w:r>
          </w:p>
        </w:tc>
        <w:tc>
          <w:tcPr>
            <w:tcW w:w="895" w:type="pct"/>
            <w:vAlign w:val="center"/>
          </w:tcPr>
          <w:p w14:paraId="6AA2859B">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是</w:t>
            </w:r>
          </w:p>
        </w:tc>
      </w:tr>
      <w:tr w14:paraId="65B648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395" w:type="pct"/>
            <w:vMerge w:val="continue"/>
            <w:vAlign w:val="center"/>
          </w:tcPr>
          <w:p w14:paraId="641EC989">
            <w:pPr>
              <w:jc w:val="center"/>
              <w:rPr>
                <w:rFonts w:ascii="Times New Roman" w:hAnsi="Times New Roman" w:cs="Times New Roman"/>
                <w:color w:val="auto"/>
                <w:sz w:val="21"/>
                <w:lang w:eastAsia="zh-CN"/>
              </w:rPr>
            </w:pPr>
          </w:p>
        </w:tc>
        <w:tc>
          <w:tcPr>
            <w:tcW w:w="338" w:type="pct"/>
            <w:vMerge w:val="continue"/>
            <w:vAlign w:val="center"/>
          </w:tcPr>
          <w:p w14:paraId="0C268303">
            <w:pPr>
              <w:jc w:val="center"/>
              <w:rPr>
                <w:rFonts w:ascii="Times New Roman" w:hAnsi="Times New Roman" w:cs="Times New Roman"/>
                <w:color w:val="auto"/>
                <w:sz w:val="21"/>
                <w:lang w:eastAsia="zh-CN"/>
              </w:rPr>
            </w:pPr>
          </w:p>
        </w:tc>
        <w:tc>
          <w:tcPr>
            <w:tcW w:w="586" w:type="pct"/>
            <w:vMerge w:val="restart"/>
            <w:vAlign w:val="center"/>
          </w:tcPr>
          <w:p w14:paraId="3C7CAF54">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戊类罐区二</w:t>
            </w:r>
          </w:p>
        </w:tc>
        <w:tc>
          <w:tcPr>
            <w:tcW w:w="660" w:type="pct"/>
            <w:vAlign w:val="center"/>
          </w:tcPr>
          <w:p w14:paraId="2FDA3AEF">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31%盐酸</w:t>
            </w:r>
          </w:p>
        </w:tc>
        <w:tc>
          <w:tcPr>
            <w:tcW w:w="732" w:type="pct"/>
            <w:vAlign w:val="center"/>
          </w:tcPr>
          <w:p w14:paraId="165F0DEC">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折37%盐酸</w:t>
            </w:r>
          </w:p>
        </w:tc>
        <w:tc>
          <w:tcPr>
            <w:tcW w:w="881" w:type="pct"/>
            <w:vAlign w:val="center"/>
          </w:tcPr>
          <w:p w14:paraId="57A5D97F">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336.14</w:t>
            </w:r>
          </w:p>
        </w:tc>
        <w:tc>
          <w:tcPr>
            <w:tcW w:w="513" w:type="pct"/>
            <w:vAlign w:val="center"/>
          </w:tcPr>
          <w:p w14:paraId="1095B0E9">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7.5</w:t>
            </w:r>
          </w:p>
        </w:tc>
        <w:tc>
          <w:tcPr>
            <w:tcW w:w="895" w:type="pct"/>
            <w:vAlign w:val="center"/>
          </w:tcPr>
          <w:p w14:paraId="59B090F7">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是</w:t>
            </w:r>
          </w:p>
        </w:tc>
      </w:tr>
      <w:tr w14:paraId="39EB7B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395" w:type="pct"/>
            <w:vMerge w:val="continue"/>
            <w:vAlign w:val="center"/>
          </w:tcPr>
          <w:p w14:paraId="1CF5BE10">
            <w:pPr>
              <w:jc w:val="center"/>
              <w:rPr>
                <w:rFonts w:ascii="Times New Roman" w:hAnsi="Times New Roman" w:cs="Times New Roman"/>
                <w:color w:val="auto"/>
                <w:sz w:val="21"/>
                <w:lang w:eastAsia="zh-CN"/>
              </w:rPr>
            </w:pPr>
          </w:p>
        </w:tc>
        <w:tc>
          <w:tcPr>
            <w:tcW w:w="338" w:type="pct"/>
            <w:vMerge w:val="continue"/>
            <w:vAlign w:val="center"/>
          </w:tcPr>
          <w:p w14:paraId="1A8921EA">
            <w:pPr>
              <w:jc w:val="center"/>
              <w:rPr>
                <w:rFonts w:ascii="Times New Roman" w:hAnsi="Times New Roman" w:cs="Times New Roman"/>
                <w:color w:val="auto"/>
                <w:sz w:val="21"/>
                <w:lang w:eastAsia="zh-CN"/>
              </w:rPr>
            </w:pPr>
          </w:p>
        </w:tc>
        <w:tc>
          <w:tcPr>
            <w:tcW w:w="586" w:type="pct"/>
            <w:vMerge w:val="continue"/>
            <w:vAlign w:val="center"/>
          </w:tcPr>
          <w:p w14:paraId="19E6C708">
            <w:pPr>
              <w:jc w:val="center"/>
              <w:rPr>
                <w:rFonts w:ascii="Times New Roman" w:hAnsi="Times New Roman" w:cs="Times New Roman"/>
                <w:color w:val="auto"/>
                <w:sz w:val="21"/>
                <w:lang w:eastAsia="zh-CN"/>
              </w:rPr>
            </w:pPr>
          </w:p>
        </w:tc>
        <w:tc>
          <w:tcPr>
            <w:tcW w:w="660" w:type="pct"/>
            <w:vAlign w:val="center"/>
          </w:tcPr>
          <w:p w14:paraId="7E18CABD">
            <w:pPr>
              <w:jc w:val="center"/>
              <w:rPr>
                <w:rFonts w:ascii="Times New Roman" w:hAnsi="Times New Roman" w:cs="Times New Roman"/>
                <w:color w:val="auto"/>
                <w:sz w:val="21"/>
                <w:lang w:eastAsia="zh-CN"/>
              </w:rPr>
            </w:pPr>
            <w:r>
              <w:rPr>
                <w:rFonts w:hint="eastAsia" w:ascii="Times New Roman"/>
                <w:color w:val="auto"/>
                <w:sz w:val="21"/>
                <w:lang w:eastAsia="zh-CN"/>
              </w:rPr>
              <w:t>化学纯氢氟酸</w:t>
            </w:r>
          </w:p>
        </w:tc>
        <w:tc>
          <w:tcPr>
            <w:tcW w:w="732" w:type="pct"/>
            <w:vAlign w:val="center"/>
          </w:tcPr>
          <w:p w14:paraId="456E3A26">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氟化氢</w:t>
            </w:r>
          </w:p>
        </w:tc>
        <w:tc>
          <w:tcPr>
            <w:tcW w:w="881" w:type="pct"/>
            <w:vAlign w:val="center"/>
          </w:tcPr>
          <w:p w14:paraId="30B99F25">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974.4</w:t>
            </w:r>
          </w:p>
        </w:tc>
        <w:tc>
          <w:tcPr>
            <w:tcW w:w="513" w:type="pct"/>
            <w:vAlign w:val="center"/>
          </w:tcPr>
          <w:p w14:paraId="5C1B1206">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1.0</w:t>
            </w:r>
          </w:p>
        </w:tc>
        <w:tc>
          <w:tcPr>
            <w:tcW w:w="895" w:type="pct"/>
            <w:vAlign w:val="center"/>
          </w:tcPr>
          <w:p w14:paraId="158F6A3E">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是</w:t>
            </w:r>
          </w:p>
        </w:tc>
      </w:tr>
      <w:tr w14:paraId="0B5E81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395" w:type="pct"/>
            <w:vMerge w:val="continue"/>
            <w:vAlign w:val="center"/>
          </w:tcPr>
          <w:p w14:paraId="5A537315">
            <w:pPr>
              <w:jc w:val="center"/>
              <w:rPr>
                <w:rFonts w:ascii="Times New Roman" w:hAnsi="Times New Roman" w:cs="Times New Roman"/>
                <w:color w:val="auto"/>
                <w:sz w:val="21"/>
                <w:lang w:eastAsia="zh-CN"/>
              </w:rPr>
            </w:pPr>
          </w:p>
        </w:tc>
        <w:tc>
          <w:tcPr>
            <w:tcW w:w="338" w:type="pct"/>
            <w:vMerge w:val="continue"/>
            <w:vAlign w:val="center"/>
          </w:tcPr>
          <w:p w14:paraId="4E72DAA0">
            <w:pPr>
              <w:jc w:val="center"/>
              <w:rPr>
                <w:rFonts w:ascii="Times New Roman" w:hAnsi="Times New Roman" w:cs="Times New Roman"/>
                <w:color w:val="auto"/>
                <w:sz w:val="21"/>
                <w:lang w:eastAsia="zh-CN"/>
              </w:rPr>
            </w:pPr>
          </w:p>
        </w:tc>
        <w:tc>
          <w:tcPr>
            <w:tcW w:w="586" w:type="pct"/>
            <w:vMerge w:val="continue"/>
            <w:vAlign w:val="center"/>
          </w:tcPr>
          <w:p w14:paraId="2739F87B">
            <w:pPr>
              <w:jc w:val="center"/>
              <w:rPr>
                <w:rFonts w:ascii="Times New Roman" w:hAnsi="Times New Roman" w:cs="Times New Roman"/>
                <w:color w:val="auto"/>
                <w:sz w:val="21"/>
                <w:lang w:eastAsia="zh-CN"/>
              </w:rPr>
            </w:pPr>
          </w:p>
        </w:tc>
        <w:tc>
          <w:tcPr>
            <w:tcW w:w="660" w:type="pct"/>
            <w:vMerge w:val="restart"/>
            <w:vAlign w:val="center"/>
          </w:tcPr>
          <w:p w14:paraId="75FE3DAE">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刻蚀液</w:t>
            </w:r>
          </w:p>
        </w:tc>
        <w:tc>
          <w:tcPr>
            <w:tcW w:w="732" w:type="pct"/>
            <w:vAlign w:val="center"/>
          </w:tcPr>
          <w:p w14:paraId="3591227D">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氟化氢</w:t>
            </w:r>
          </w:p>
        </w:tc>
        <w:tc>
          <w:tcPr>
            <w:tcW w:w="881" w:type="pct"/>
            <w:vAlign w:val="center"/>
          </w:tcPr>
          <w:p w14:paraId="1BE4ED01">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2132</w:t>
            </w:r>
          </w:p>
        </w:tc>
        <w:tc>
          <w:tcPr>
            <w:tcW w:w="513" w:type="pct"/>
            <w:vAlign w:val="center"/>
          </w:tcPr>
          <w:p w14:paraId="3864FFCD">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1.0</w:t>
            </w:r>
          </w:p>
        </w:tc>
        <w:tc>
          <w:tcPr>
            <w:tcW w:w="895" w:type="pct"/>
            <w:vAlign w:val="center"/>
          </w:tcPr>
          <w:p w14:paraId="15B63D68">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是</w:t>
            </w:r>
          </w:p>
        </w:tc>
      </w:tr>
      <w:tr w14:paraId="59D1BC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395" w:type="pct"/>
            <w:vMerge w:val="continue"/>
            <w:vAlign w:val="center"/>
          </w:tcPr>
          <w:p w14:paraId="19FC38CA">
            <w:pPr>
              <w:jc w:val="center"/>
              <w:rPr>
                <w:rFonts w:ascii="Times New Roman" w:hAnsi="Times New Roman" w:cs="Times New Roman"/>
                <w:color w:val="auto"/>
                <w:sz w:val="21"/>
                <w:lang w:eastAsia="zh-CN"/>
              </w:rPr>
            </w:pPr>
          </w:p>
        </w:tc>
        <w:tc>
          <w:tcPr>
            <w:tcW w:w="338" w:type="pct"/>
            <w:vMerge w:val="continue"/>
            <w:vAlign w:val="center"/>
          </w:tcPr>
          <w:p w14:paraId="7C1B4CE2">
            <w:pPr>
              <w:jc w:val="center"/>
              <w:rPr>
                <w:rFonts w:ascii="Times New Roman" w:hAnsi="Times New Roman" w:cs="Times New Roman"/>
                <w:color w:val="auto"/>
                <w:sz w:val="21"/>
                <w:lang w:eastAsia="zh-CN"/>
              </w:rPr>
            </w:pPr>
          </w:p>
        </w:tc>
        <w:tc>
          <w:tcPr>
            <w:tcW w:w="586" w:type="pct"/>
            <w:vMerge w:val="continue"/>
            <w:vAlign w:val="center"/>
          </w:tcPr>
          <w:p w14:paraId="3E618073">
            <w:pPr>
              <w:jc w:val="center"/>
              <w:rPr>
                <w:rFonts w:ascii="Times New Roman" w:hAnsi="Times New Roman" w:cs="Times New Roman"/>
                <w:color w:val="auto"/>
                <w:sz w:val="21"/>
                <w:lang w:eastAsia="zh-CN"/>
              </w:rPr>
            </w:pPr>
          </w:p>
        </w:tc>
        <w:tc>
          <w:tcPr>
            <w:tcW w:w="660" w:type="pct"/>
            <w:vMerge w:val="continue"/>
            <w:vAlign w:val="center"/>
          </w:tcPr>
          <w:p w14:paraId="262FC03B">
            <w:pPr>
              <w:jc w:val="center"/>
              <w:rPr>
                <w:rFonts w:ascii="Times New Roman" w:hAnsi="Times New Roman" w:cs="Times New Roman"/>
                <w:color w:val="auto"/>
                <w:sz w:val="21"/>
                <w:lang w:eastAsia="zh-CN"/>
              </w:rPr>
            </w:pPr>
          </w:p>
        </w:tc>
        <w:tc>
          <w:tcPr>
            <w:tcW w:w="732" w:type="pct"/>
            <w:vAlign w:val="center"/>
          </w:tcPr>
          <w:p w14:paraId="3D89897A">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折37%盐酸</w:t>
            </w:r>
          </w:p>
        </w:tc>
        <w:tc>
          <w:tcPr>
            <w:tcW w:w="881" w:type="pct"/>
            <w:vAlign w:val="center"/>
          </w:tcPr>
          <w:p w14:paraId="606BF505">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1008.4</w:t>
            </w:r>
          </w:p>
        </w:tc>
        <w:tc>
          <w:tcPr>
            <w:tcW w:w="513" w:type="pct"/>
            <w:vAlign w:val="center"/>
          </w:tcPr>
          <w:p w14:paraId="28A3A9A5">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7.5</w:t>
            </w:r>
          </w:p>
        </w:tc>
        <w:tc>
          <w:tcPr>
            <w:tcW w:w="895" w:type="pct"/>
            <w:vAlign w:val="center"/>
          </w:tcPr>
          <w:p w14:paraId="29AFD6D7">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是</w:t>
            </w:r>
          </w:p>
        </w:tc>
      </w:tr>
      <w:tr w14:paraId="7525FC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395" w:type="pct"/>
            <w:vMerge w:val="continue"/>
            <w:vAlign w:val="center"/>
          </w:tcPr>
          <w:p w14:paraId="718B5BC3">
            <w:pPr>
              <w:jc w:val="center"/>
              <w:rPr>
                <w:rFonts w:ascii="Times New Roman" w:hAnsi="Times New Roman" w:cs="Times New Roman"/>
                <w:color w:val="auto"/>
                <w:sz w:val="21"/>
                <w:lang w:eastAsia="zh-CN"/>
              </w:rPr>
            </w:pPr>
          </w:p>
        </w:tc>
        <w:tc>
          <w:tcPr>
            <w:tcW w:w="338" w:type="pct"/>
            <w:vMerge w:val="continue"/>
            <w:vAlign w:val="center"/>
          </w:tcPr>
          <w:p w14:paraId="0A4C29A0">
            <w:pPr>
              <w:jc w:val="center"/>
              <w:rPr>
                <w:rFonts w:ascii="Times New Roman" w:hAnsi="Times New Roman" w:cs="Times New Roman"/>
                <w:color w:val="auto"/>
                <w:sz w:val="21"/>
                <w:lang w:eastAsia="zh-CN"/>
              </w:rPr>
            </w:pPr>
          </w:p>
        </w:tc>
        <w:tc>
          <w:tcPr>
            <w:tcW w:w="586" w:type="pct"/>
            <w:vAlign w:val="center"/>
          </w:tcPr>
          <w:p w14:paraId="26E59440">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丁类仓库</w:t>
            </w:r>
          </w:p>
        </w:tc>
        <w:tc>
          <w:tcPr>
            <w:tcW w:w="660" w:type="pct"/>
            <w:vAlign w:val="center"/>
          </w:tcPr>
          <w:p w14:paraId="50752CC5">
            <w:pPr>
              <w:jc w:val="center"/>
              <w:rPr>
                <w:rFonts w:ascii="Times New Roman" w:hAnsi="Times New Roman" w:cs="Times New Roman"/>
                <w:color w:val="auto"/>
                <w:sz w:val="21"/>
                <w:lang w:eastAsia="zh-CN"/>
              </w:rPr>
            </w:pPr>
            <w:r>
              <w:rPr>
                <w:rFonts w:hint="eastAsia" w:ascii="Times New Roman"/>
                <w:color w:val="auto"/>
                <w:sz w:val="21"/>
                <w:lang w:eastAsia="zh-CN"/>
              </w:rPr>
              <w:t>化学纯氢氟酸</w:t>
            </w:r>
          </w:p>
        </w:tc>
        <w:tc>
          <w:tcPr>
            <w:tcW w:w="732" w:type="pct"/>
            <w:vAlign w:val="center"/>
          </w:tcPr>
          <w:p w14:paraId="3A437362">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氟化氢</w:t>
            </w:r>
          </w:p>
        </w:tc>
        <w:tc>
          <w:tcPr>
            <w:tcW w:w="881" w:type="pct"/>
            <w:vAlign w:val="center"/>
          </w:tcPr>
          <w:p w14:paraId="48AE4D12">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37.7</w:t>
            </w:r>
          </w:p>
        </w:tc>
        <w:tc>
          <w:tcPr>
            <w:tcW w:w="513" w:type="pct"/>
            <w:vAlign w:val="center"/>
          </w:tcPr>
          <w:p w14:paraId="61CF768A">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1.0</w:t>
            </w:r>
          </w:p>
        </w:tc>
        <w:tc>
          <w:tcPr>
            <w:tcW w:w="895" w:type="pct"/>
            <w:vAlign w:val="center"/>
          </w:tcPr>
          <w:p w14:paraId="6F038584">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是</w:t>
            </w:r>
          </w:p>
        </w:tc>
      </w:tr>
    </w:tbl>
    <w:p w14:paraId="092C6B6C">
      <w:pPr>
        <w:pStyle w:val="42"/>
        <w:jc w:val="center"/>
        <w:rPr>
          <w:b/>
          <w:snapToGrid w:val="0"/>
          <w:color w:val="auto"/>
          <w:kern w:val="0"/>
        </w:rPr>
      </w:pPr>
    </w:p>
    <w:p w14:paraId="6ED58CD0">
      <w:pPr>
        <w:tabs>
          <w:tab w:val="center" w:pos="4873"/>
        </w:tabs>
        <w:rPr>
          <w:lang w:eastAsia="zh-CN"/>
        </w:rPr>
        <w:sectPr>
          <w:pgSz w:w="11906" w:h="16838"/>
          <w:pgMar w:top="1440" w:right="1080" w:bottom="1440" w:left="1080" w:header="851" w:footer="992" w:gutter="0"/>
          <w:cols w:space="720" w:num="1"/>
          <w:docGrid w:type="lines" w:linePitch="312" w:charSpace="0"/>
        </w:sectPr>
      </w:pPr>
      <w:r>
        <w:rPr>
          <w:lang w:eastAsia="zh-CN"/>
        </w:rPr>
        <w:tab/>
      </w:r>
    </w:p>
    <w:bookmarkEnd w:id="1937"/>
    <w:p w14:paraId="1187F2F0">
      <w:pPr>
        <w:spacing w:line="360" w:lineRule="auto"/>
        <w:jc w:val="center"/>
        <w:rPr>
          <w:rFonts w:ascii="Times New Roman" w:hAnsi="Times New Roman" w:cs="Times New Roman"/>
          <w:color w:val="auto"/>
          <w:lang w:eastAsia="zh-CN"/>
        </w:rPr>
      </w:pPr>
      <w:r>
        <w:rPr>
          <w:rFonts w:ascii="Times New Roman" w:hAnsi="Times New Roman" w:cs="Times New Roman"/>
          <w:snapToGrid/>
          <w:color w:val="auto"/>
          <w:lang w:eastAsia="zh-CN"/>
        </w:rPr>
        <mc:AlternateContent>
          <mc:Choice Requires="wps">
            <w:drawing>
              <wp:anchor distT="0" distB="0" distL="114300" distR="114300" simplePos="0" relativeHeight="251980800" behindDoc="0" locked="0" layoutInCell="1" allowOverlap="1">
                <wp:simplePos x="0" y="0"/>
                <wp:positionH relativeFrom="column">
                  <wp:posOffset>4157980</wp:posOffset>
                </wp:positionH>
                <wp:positionV relativeFrom="paragraph">
                  <wp:posOffset>4292600</wp:posOffset>
                </wp:positionV>
                <wp:extent cx="1171575" cy="704850"/>
                <wp:effectExtent l="0" t="0" r="0" b="0"/>
                <wp:wrapNone/>
                <wp:docPr id="1620302736" name="自选图形 2308"/>
                <wp:cNvGraphicFramePr/>
                <a:graphic xmlns:a="http://schemas.openxmlformats.org/drawingml/2006/main">
                  <a:graphicData uri="http://schemas.microsoft.com/office/word/2010/wordprocessingShape">
                    <wps:wsp>
                      <wps:cNvSpPr>
                        <a:spLocks noChangeArrowheads="1"/>
                      </wps:cNvSpPr>
                      <wps:spPr bwMode="auto">
                        <a:xfrm>
                          <a:off x="0" y="0"/>
                          <a:ext cx="1171575" cy="704850"/>
                        </a:xfrm>
                        <a:prstGeom prst="flowChartProcess">
                          <a:avLst/>
                        </a:prstGeom>
                        <a:noFill/>
                        <a:ln>
                          <a:noFill/>
                        </a:ln>
                      </wps:spPr>
                      <wps:txbx>
                        <w:txbxContent>
                          <w:p w14:paraId="46BAAD57">
                            <w:pPr>
                              <w:jc w:val="center"/>
                              <w:rPr>
                                <w:lang w:eastAsia="zh-CN"/>
                              </w:rPr>
                            </w:pPr>
                            <w:r>
                              <w:rPr>
                                <w:rFonts w:hint="eastAsia"/>
                                <w:lang w:eastAsia="zh-CN"/>
                              </w:rPr>
                              <w:t>污水处理站、事故应急池、初期雨水池</w:t>
                            </w:r>
                          </w:p>
                        </w:txbxContent>
                      </wps:txbx>
                      <wps:bodyPr rot="0" vert="horz" wrap="square" lIns="91440" tIns="45720" rIns="91440" bIns="45720" anchor="t" anchorCtr="0" upright="1">
                        <a:noAutofit/>
                      </wps:bodyPr>
                    </wps:wsp>
                  </a:graphicData>
                </a:graphic>
              </wp:anchor>
            </w:drawing>
          </mc:Choice>
          <mc:Fallback>
            <w:pict>
              <v:shape id="自选图形 2308" o:spid="_x0000_s1026" o:spt="109" type="#_x0000_t109" style="position:absolute;left:0pt;margin-left:327.4pt;margin-top:338pt;height:55.5pt;width:92.25pt;z-index:251980800;mso-width-relative:page;mso-height-relative:page;" filled="f" stroked="f" coordsize="21600,21600" o:gfxdata="UEsDBAoAAAAAAIdO4kAAAAAAAAAAAAAAAAAEAAAAZHJzL1BLAwQUAAAACACHTuJAeEAO8dgAAAAL&#10;AQAADwAAAGRycy9kb3ducmV2LnhtbE2PQU+EMBCF7yb+h2ZMvLktgoBI2RgTV6+iF29dOgKRTgnt&#10;srv/3vGktzd5L2++V29PbhIrLmH0pCHZKBBInbcj9Ro+3p9vShAhGrJm8oQazhhg21xe1Kay/khv&#10;uLaxF1xCoTIahhjnSsrQDehM2PgZib0vvzgT+Vx6aRdz5HI3yVulcunMSPxhMDM+Ddh9twenYc0e&#10;z7vP4qXPUvs6qLAbE5O2Wl9fJeoBRMRT/AvDLz6jQ8NMe38gG8SkIb/LGD2yKHIexYkyvU9B7DUU&#10;ZaFANrX8v6H5AVBLAwQUAAAACACHTuJAxnopoSoCAAAmBAAADgAAAGRycy9lMm9Eb2MueG1srVPL&#10;jtMwFN0j8Q+W9zSPvoao6Wg01SCkASoNfIDrOE1E4muu3aZlxQ7xDexY8g/wNyPBX3DtdEpn2MyC&#10;TeTra597zvHJ7HzXNmyr0Nagc54MYs6UllDUep3zd2+vnp1xZp3QhWhAq5zvleXn86dPZp3JVAoV&#10;NIVCRiDaZp3JeeWcyaLIykq1wg7AKE3NErAVjkpcRwWKjtDbJkrjeBJ1gIVBkMpa2l30TX5AxMcA&#10;QlnWUi1AblqlXY+KqhGOJNmqNpbPA9uyVNK9KUurHGtyTkpd+NIQWq/8N5rPRLZGYapaHiiIx1B4&#10;oKkVtaahR6iFcIJtsP4Hqq0lgoXSDSS0US8kOEIqkviBNzeVMCpoIautOZpu/x+sfL1dIqsLSsIk&#10;jYdxOh1OONOipZf/9fn7709fbr/+vP3xjaXD+My71Rmb0aUbs0Sv15prkO8t03BZCb1WF4jQVUoU&#10;xDHx56N7F3xh6Spbda+goBli4yAYtyux9YBkCduF99kf30ftHJO0mSTTZDwdcyapN41HZ+PwgJHI&#10;7m4btO6Fgpb5Rc7LBjrihW7Z5y1MEttr6zwzkd0d94M1XNVNE/LQ6HsbdNDvBCWefG+C2612Bz9W&#10;UOxJE0IfL/q5aFEBfuSso2jl3H7YCFScNS81+fI8GY18FkMxGk9TKvC0szrtCC0JKueOs3556fr8&#10;bgzW64omJUGWhgvysqyDNO9zz+rAm+ITFB+i7vN5WodTf3/v+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4QA7x2AAAAAsBAAAPAAAAAAAAAAEAIAAAACIAAABkcnMvZG93bnJldi54bWxQSwECFAAU&#10;AAAACACHTuJAxnopoSoCAAAmBAAADgAAAAAAAAABACAAAAAnAQAAZHJzL2Uyb0RvYy54bWxQSwUG&#10;AAAAAAYABgBZAQAAwwUAAAAA&#10;">
                <v:fill on="f" focussize="0,0"/>
                <v:stroke on="f"/>
                <v:imagedata o:title=""/>
                <o:lock v:ext="edit" aspectratio="f"/>
                <v:textbox>
                  <w:txbxContent>
                    <w:p w14:paraId="46BAAD57">
                      <w:pPr>
                        <w:jc w:val="center"/>
                        <w:rPr>
                          <w:lang w:eastAsia="zh-CN"/>
                        </w:rPr>
                      </w:pPr>
                      <w:r>
                        <w:rPr>
                          <w:rFonts w:hint="eastAsia"/>
                          <w:lang w:eastAsia="zh-CN"/>
                        </w:rPr>
                        <w:t>污水处理站、事故应急池、初期雨水池</w:t>
                      </w: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979776" behindDoc="0" locked="0" layoutInCell="1" allowOverlap="1">
                <wp:simplePos x="0" y="0"/>
                <wp:positionH relativeFrom="column">
                  <wp:posOffset>4328160</wp:posOffset>
                </wp:positionH>
                <wp:positionV relativeFrom="paragraph">
                  <wp:posOffset>4436110</wp:posOffset>
                </wp:positionV>
                <wp:extent cx="965200" cy="387985"/>
                <wp:effectExtent l="2857" t="0" r="9208" b="9207"/>
                <wp:wrapNone/>
                <wp:docPr id="1677847809" name="矩形 5098"/>
                <wp:cNvGraphicFramePr/>
                <a:graphic xmlns:a="http://schemas.openxmlformats.org/drawingml/2006/main">
                  <a:graphicData uri="http://schemas.microsoft.com/office/word/2010/wordprocessingShape">
                    <wps:wsp>
                      <wps:cNvSpPr>
                        <a:spLocks noChangeArrowheads="1"/>
                      </wps:cNvSpPr>
                      <wps:spPr bwMode="auto">
                        <a:xfrm rot="5400000">
                          <a:off x="0" y="0"/>
                          <a:ext cx="965442" cy="388201"/>
                        </a:xfrm>
                        <a:prstGeom prst="rect">
                          <a:avLst/>
                        </a:prstGeom>
                        <a:solidFill>
                          <a:srgbClr val="92D050"/>
                        </a:solidFill>
                        <a:ln>
                          <a:noFill/>
                        </a:ln>
                        <a:effectLst/>
                      </wps:spPr>
                      <wps:bodyPr rot="0" vert="horz" wrap="square" lIns="91440" tIns="45720" rIns="91440" bIns="45720" anchor="t" anchorCtr="0" upright="1">
                        <a:noAutofit/>
                      </wps:bodyPr>
                    </wps:wsp>
                  </a:graphicData>
                </a:graphic>
              </wp:anchor>
            </w:drawing>
          </mc:Choice>
          <mc:Fallback>
            <w:pict>
              <v:rect id="矩形 5098" o:spid="_x0000_s1026" o:spt="1" style="position:absolute;left:0pt;margin-left:340.8pt;margin-top:349.3pt;height:30.55pt;width:76pt;rotation:5898240f;z-index:251979776;mso-width-relative:page;mso-height-relative:page;" fillcolor="#92D050" filled="t" stroked="f" coordsize="21600,21600" o:gfxdata="UEsDBAoAAAAAAIdO4kAAAAAAAAAAAAAAAAAEAAAAZHJzL1BLAwQUAAAACACHTuJAbfRvSNgAAAAL&#10;AQAADwAAAGRycy9kb3ducmV2LnhtbE2PTUvEMBCG74L/IYzgzU1rsc3WpossLIInXb/wlm3GpthM&#10;SpP98N87nvT2DPPyzjPN6uRHccA5DoE05IsMBFIX7EC9hpfnzZUCEZMha8ZAqOEbI6za87PG1DYc&#10;6QkP29QLLqFYGw0upamWMnYOvYmLMCHx7jPM3iQe517a2Ry53I/yOstK6c1AfMGZCdcOu6/t3mv4&#10;GJyv1v3d22uwcUMP6r14pHutLy/y7BZEwlP6C8OvPqtDy067sCcbxaihVHnJUYalYuCEKgqGnYbq&#10;ZlmBbBv5/4f2B1BLAwQUAAAACACHTuJABX4p8jYCAABNBAAADgAAAGRycy9lMm9Eb2MueG1srVTB&#10;jtMwEL0j8Q+W7zRpSdu0arpatVqEtMBKCx/gOk5jkXjM2G1afgaJ234En4P4DcZO6ZblsgdyiDye&#10;8Zt5zy9ZXB3ahu0VOg2m4MNBypkyEkpttgX/9PHmVc6Z88KUogGjCn5Ujl8tX75YdHauRlBDUypk&#10;BGLcvLMFr7238yRxslatcAOwylCyAmyFpxC3SYmiI/S2SUZpOkk6wNIiSOUc7a77JD8h4nMAoaq0&#10;VGuQu1YZ36OiaoQnSq7W1vFlnLaqlPQfqsopz5qCE1Mf39SE1pvwTpYLMd+isLWWpxHEc0Z4wqkV&#10;2lDTM9RaeMF2qP+BarVEcFD5gYQ26YlERYjFMH2izX0trIpcSGpnz6K7/wcr3+/vkOmSnDCZTvNs&#10;mqczzoxo6eZ/fXv4+eM7G6ezPOjUWTen8nt7h4Gps7cgPztmYFULs1XXiNDVSpQ03TDUJ38dCIGj&#10;o2zTvYOS0MXOQ5TsUGHLEOhqxlkanrhL0rBDvKfj+Z7UwTNJm7PJOMtGnElKvc5zUi72E/MAFWaz&#10;6PwbBS0Li4Ij2SCCiv2t82G0x5JIBRpd3uimiQFuN6sG2V6QZWajdTqOLqEj7rKsMaHYQDjWI/Y7&#10;Kpru1OYP6V68DZRHEiBSJf/RN0iz1YBfOevIgQV3X3YCFWfNW0MizoZZFiwbg2w8HVGAl5nNZUYY&#10;SVAF95z1y5Xvbb6zqLc1dRpGCQxck/CVjjKE+fqpTtdFLovqnL6IYOPLOFY9/gWW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t9G9I2AAAAAsBAAAPAAAAAAAAAAEAIAAAACIAAABkcnMvZG93bnJl&#10;di54bWxQSwECFAAUAAAACACHTuJABX4p8jYCAABNBAAADgAAAAAAAAABACAAAAAnAQAAZHJzL2Uy&#10;b0RvYy54bWxQSwUGAAAAAAYABgBZAQAAzwUAAAAA&#10;">
                <v:fill on="t" focussize="0,0"/>
                <v:stroke on="f"/>
                <v:imagedata o:title=""/>
                <o:lock v:ext="edit" aspectratio="f"/>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978752" behindDoc="0" locked="0" layoutInCell="1" allowOverlap="1">
                <wp:simplePos x="0" y="0"/>
                <wp:positionH relativeFrom="page">
                  <wp:posOffset>2581910</wp:posOffset>
                </wp:positionH>
                <wp:positionV relativeFrom="paragraph">
                  <wp:posOffset>3467100</wp:posOffset>
                </wp:positionV>
                <wp:extent cx="519430" cy="826770"/>
                <wp:effectExtent l="0" t="0" r="0" b="0"/>
                <wp:wrapNone/>
                <wp:docPr id="1893976756" name="自选图形 2308"/>
                <wp:cNvGraphicFramePr/>
                <a:graphic xmlns:a="http://schemas.openxmlformats.org/drawingml/2006/main">
                  <a:graphicData uri="http://schemas.microsoft.com/office/word/2010/wordprocessingShape">
                    <wps:wsp>
                      <wps:cNvSpPr>
                        <a:spLocks noChangeArrowheads="1"/>
                      </wps:cNvSpPr>
                      <wps:spPr bwMode="auto">
                        <a:xfrm>
                          <a:off x="0" y="0"/>
                          <a:ext cx="519379" cy="826617"/>
                        </a:xfrm>
                        <a:prstGeom prst="flowChartProcess">
                          <a:avLst/>
                        </a:prstGeom>
                        <a:noFill/>
                        <a:ln>
                          <a:noFill/>
                        </a:ln>
                      </wps:spPr>
                      <wps:txbx>
                        <w:txbxContent>
                          <w:p w14:paraId="27C2319C">
                            <w:pPr>
                              <w:jc w:val="center"/>
                              <w:rPr>
                                <w:lang w:eastAsia="zh-CN"/>
                              </w:rPr>
                            </w:pPr>
                            <w:r>
                              <w:rPr>
                                <w:rFonts w:hint="eastAsia"/>
                                <w:lang w:eastAsia="zh-CN"/>
                              </w:rPr>
                              <w:t>废气处理设施</w:t>
                            </w:r>
                          </w:p>
                        </w:txbxContent>
                      </wps:txbx>
                      <wps:bodyPr rot="0" vert="horz" wrap="square" lIns="91440" tIns="45720" rIns="91440" bIns="45720" anchor="t" anchorCtr="0" upright="1">
                        <a:noAutofit/>
                      </wps:bodyPr>
                    </wps:wsp>
                  </a:graphicData>
                </a:graphic>
              </wp:anchor>
            </w:drawing>
          </mc:Choice>
          <mc:Fallback>
            <w:pict>
              <v:shape id="自选图形 2308" o:spid="_x0000_s1026" o:spt="109" type="#_x0000_t109" style="position:absolute;left:0pt;margin-left:203.3pt;margin-top:273pt;height:65.1pt;width:40.9pt;mso-position-horizontal-relative:page;z-index:251978752;mso-width-relative:page;mso-height-relative:page;" filled="f" stroked="f" coordsize="21600,21600" o:gfxdata="UEsDBAoAAAAAAIdO4kAAAAAAAAAAAAAAAAAEAAAAZHJzL1BLAwQUAAAACACHTuJAwFCRWtgAAAAL&#10;AQAADwAAAGRycy9kb3ducmV2LnhtbE2PwU7DMBBE70j8g7VI3Kid1rhRyKZCSBSuBC7ctrGJI2I7&#10;it20/XvMCY6rfZp5U+/ObmSLmeMQPEKxEsCM74IefI/w8f58VwKLibymMXiDcDERds31VU2VDif/&#10;ZpY29SyH+FgRgk1pqjiPnTWO4ipMxuffV5gdpXzOPdcznXK4G/laCMUdDT43WJrMkzXdd3t0CIt8&#10;vOw/ty+93OhXK+J+KGjTIt7eFOIBWDLn9AfDr35WhyY7HcLR68hGBCmUyijCvVR5VCZkWUpgBwS1&#10;VWvgTc3/b2h+AFBLAwQUAAAACACHTuJAg/hEbyoCAAAlBAAADgAAAGRycy9lMm9Eb2MueG1srVPL&#10;jtMwFN0j8Q+W9zRN342ajkZTDUIaoNLAB7iO00QkvubabTKs2KH5BnYs+Qf4m5HgL7h2OqUzbGbB&#10;JvL1tc895/hkcdbWFdsrtCXolMe9PmdKS8hKvU35+3eXL2acWSd0JirQKuU3yvKz5fNni8YkagAF&#10;VJlCRiDaJo1JeeGcSaLIykLVwvbAKE3NHLAWjkrcRhmKhtDrKhr0+5OoAcwMglTW0u6qa/IDIj4F&#10;EPK8lGoFclcr7TpUVJVwJMkWpbF8GdjmuZLubZ5b5ViVclLqwpeG0Hrjv9FyIZItClOU8kBBPIXC&#10;I021KDUNPUKthBNsh+U/UHUpESzkriehjjohwRFSEfcfeXNdCKOCFrLamqPp9v/Byjf7NbIyoyTM&#10;5sP5dDIdTzjToqaX//Xl++/Pt3dff979+MYGw/7Mu9UYm9Cla7NGr9eaK5AfLNNwUQi9VeeI0BRK&#10;ZMQx9uejBxd8Yekq2zSvIaMZYucgGNfmWHtAsoS14X1uju+jWsckbY7j+XA650xSazaYTOJpmCCS&#10;+8sGrXupoGZ+kfK8goZooVt3cQuDxP7KOk9MJPfH/VwNl2VVhThU+sEGHfQ7QYjn3nng2k17sGMD&#10;2Q1JQujSRf8WLQrAT5w1lKyU2487gYqz6pUmW+bxaOSjGIrReDqgAk87m9OO0JKgUu4465YXrovv&#10;zmC5LWhSHGRpOCcr8zJI8zZ3rA68KT1B8SHpPp6ndTj19+9e/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AUJFa2AAAAAsBAAAPAAAAAAAAAAEAIAAAACIAAABkcnMvZG93bnJldi54bWxQSwECFAAU&#10;AAAACACHTuJAg/hEbyoCAAAlBAAADgAAAAAAAAABACAAAAAnAQAAZHJzL2Uyb0RvYy54bWxQSwUG&#10;AAAAAAYABgBZAQAAwwUAAAAA&#10;">
                <v:fill on="f" focussize="0,0"/>
                <v:stroke on="f"/>
                <v:imagedata o:title=""/>
                <o:lock v:ext="edit" aspectratio="f"/>
                <v:textbox>
                  <w:txbxContent>
                    <w:p w14:paraId="27C2319C">
                      <w:pPr>
                        <w:jc w:val="center"/>
                        <w:rPr>
                          <w:lang w:eastAsia="zh-CN"/>
                        </w:rPr>
                      </w:pPr>
                      <w:r>
                        <w:rPr>
                          <w:rFonts w:hint="eastAsia"/>
                          <w:lang w:eastAsia="zh-CN"/>
                        </w:rPr>
                        <w:t>废气处理设施</w:t>
                      </w: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977728" behindDoc="0" locked="0" layoutInCell="1" allowOverlap="1">
                <wp:simplePos x="0" y="0"/>
                <wp:positionH relativeFrom="page">
                  <wp:posOffset>4307840</wp:posOffset>
                </wp:positionH>
                <wp:positionV relativeFrom="paragraph">
                  <wp:posOffset>1301115</wp:posOffset>
                </wp:positionV>
                <wp:extent cx="1130300" cy="338455"/>
                <wp:effectExtent l="0" t="0" r="0" b="4445"/>
                <wp:wrapNone/>
                <wp:docPr id="128431506" name="自选图形 2308"/>
                <wp:cNvGraphicFramePr/>
                <a:graphic xmlns:a="http://schemas.openxmlformats.org/drawingml/2006/main">
                  <a:graphicData uri="http://schemas.microsoft.com/office/word/2010/wordprocessingShape">
                    <wps:wsp>
                      <wps:cNvSpPr>
                        <a:spLocks noChangeArrowheads="1"/>
                      </wps:cNvSpPr>
                      <wps:spPr bwMode="auto">
                        <a:xfrm>
                          <a:off x="0" y="0"/>
                          <a:ext cx="1130020" cy="338455"/>
                        </a:xfrm>
                        <a:prstGeom prst="flowChartProcess">
                          <a:avLst/>
                        </a:prstGeom>
                        <a:noFill/>
                        <a:ln>
                          <a:noFill/>
                        </a:ln>
                      </wps:spPr>
                      <wps:txbx>
                        <w:txbxContent>
                          <w:p w14:paraId="10DA2960">
                            <w:pPr>
                              <w:jc w:val="center"/>
                              <w:rPr>
                                <w:lang w:eastAsia="zh-CN"/>
                              </w:rPr>
                            </w:pPr>
                            <w:r>
                              <w:rPr>
                                <w:rFonts w:hint="eastAsia"/>
                                <w:lang w:eastAsia="zh-CN"/>
                              </w:rPr>
                              <w:t>废气处理设施</w:t>
                            </w:r>
                          </w:p>
                        </w:txbxContent>
                      </wps:txbx>
                      <wps:bodyPr rot="0" vert="horz" wrap="square" lIns="91440" tIns="45720" rIns="91440" bIns="45720" anchor="t" anchorCtr="0" upright="1">
                        <a:noAutofit/>
                      </wps:bodyPr>
                    </wps:wsp>
                  </a:graphicData>
                </a:graphic>
              </wp:anchor>
            </w:drawing>
          </mc:Choice>
          <mc:Fallback>
            <w:pict>
              <v:shape id="自选图形 2308" o:spid="_x0000_s1026" o:spt="109" type="#_x0000_t109" style="position:absolute;left:0pt;margin-left:339.2pt;margin-top:102.45pt;height:26.65pt;width:89pt;mso-position-horizontal-relative:page;z-index:251977728;mso-width-relative:page;mso-height-relative:page;" filled="f" stroked="f" coordsize="21600,21600" o:gfxdata="UEsDBAoAAAAAAIdO4kAAAAAAAAAAAAAAAAAEAAAAZHJzL1BLAwQUAAAACACHTuJAshfQIdgAAAAL&#10;AQAADwAAAGRycy9kb3ducmV2LnhtbE2PwU7DMAyG70i8Q2Qkbixp13WlNJ0QEoMrhQs3rwltReNU&#10;TdZtb485wdG/P/3+XO3ObhSLncPgSUOyUiAstd4M1Gn4eH++K0CEiGRw9GQ1XGyAXX19VWFp/Ine&#10;7NLETnAJhRI19DFOpZSh7a3DsPKTJd59+dlh5HHupJnxxOVulKlSuXQ4EF/ocbJPvW2/m6PTsGSP&#10;l/3n9qXL1ua1V2E/JLhutL69SdQDiGjP8Q+GX31Wh5qdDv5IJohRQ74tMkY1pCq7B8FEsck5OXCy&#10;KVKQdSX//1D/AFBLAwQUAAAACACHTuJAho9BbCkCAAAlBAAADgAAAGRycy9lMm9Eb2MueG1srVPL&#10;bhMxFN0j8Q+W92Rm8ihhlElVNSpCKhCp8AGOx5OxmPE1104mZcUO9RvYseQf4G8qwV9w7UlDWjZd&#10;sLFsX/vcc46PZ6e7tmFbhU6DKXg2SDlTRkKpzbrg799dPJty5rwwpWjAqIJfK8dP50+fzDqbqyHU&#10;0JQKGYEYl3e24LX3Nk8SJ2vVCjcAqwwVK8BWeFriOilRdITeNskwTU+SDrC0CFI5R7uLvsj3iPgY&#10;QKgqLdUC5KZVxveoqBrhSZKrtXV8HtlWlZL+bVU55VlTcFLq40hNaL4KYzKfiXyNwtZa7imIx1B4&#10;oKkV2lDTA9RCeME2qP+BarVEcFD5gYQ26YVER0hFlj7w5qoWVkUtZLWzB9Pd/4OVb7ZLZLqkJAyn&#10;41E2SU84M6Klh//15fvvzze3X3/e/vjGhqN0GszqrMvpzpVdYpDr7CXID44ZOK+FWaszROhqJUqi&#10;mIXzyb0LYeHoKlt1r6GkHmLjIfq2q7ANgOQI28XnuT48j9p5Jmkzy0ZpOqSXk1QbjabjySS2EPnd&#10;bYvOv1TQsjApeNVAR7zQL/u4xU5ie+l8YCbyu+OhsYEL3TQxDo25t0EHw05UEsj3Jvjdarf3YwXl&#10;NWlC6NNFf4smNeAnzjpKVsHdx41AxVnzypAvL7LxOEQxLsaT50ERHldWxxVhJEEV3HPWT899H9+N&#10;Rb2uqVMWZRk4Iy8rHaUFn3tWe96Unqh4n/QQz+N1PPX3d8//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IX0CHYAAAACwEAAA8AAAAAAAAAAQAgAAAAIgAAAGRycy9kb3ducmV2LnhtbFBLAQIUABQA&#10;AAAIAIdO4kCGj0FsKQIAACUEAAAOAAAAAAAAAAEAIAAAACcBAABkcnMvZTJvRG9jLnhtbFBLBQYA&#10;AAAABgAGAFkBAADCBQAAAAA=&#10;">
                <v:fill on="f" focussize="0,0"/>
                <v:stroke on="f"/>
                <v:imagedata o:title=""/>
                <o:lock v:ext="edit" aspectratio="f"/>
                <v:textbox>
                  <w:txbxContent>
                    <w:p w14:paraId="10DA2960">
                      <w:pPr>
                        <w:jc w:val="center"/>
                        <w:rPr>
                          <w:lang w:eastAsia="zh-CN"/>
                        </w:rPr>
                      </w:pPr>
                      <w:r>
                        <w:rPr>
                          <w:rFonts w:hint="eastAsia"/>
                          <w:lang w:eastAsia="zh-CN"/>
                        </w:rPr>
                        <w:t>废气处理设施</w:t>
                      </w: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976704" behindDoc="0" locked="0" layoutInCell="1" allowOverlap="1">
                <wp:simplePos x="0" y="0"/>
                <wp:positionH relativeFrom="column">
                  <wp:posOffset>1821180</wp:posOffset>
                </wp:positionH>
                <wp:positionV relativeFrom="paragraph">
                  <wp:posOffset>3700780</wp:posOffset>
                </wp:positionV>
                <wp:extent cx="610235" cy="194310"/>
                <wp:effectExtent l="0" t="1270" r="0" b="0"/>
                <wp:wrapNone/>
                <wp:docPr id="1928545990" name="矩形 5098"/>
                <wp:cNvGraphicFramePr/>
                <a:graphic xmlns:a="http://schemas.openxmlformats.org/drawingml/2006/main">
                  <a:graphicData uri="http://schemas.microsoft.com/office/word/2010/wordprocessingShape">
                    <wps:wsp>
                      <wps:cNvSpPr>
                        <a:spLocks noChangeArrowheads="1"/>
                      </wps:cNvSpPr>
                      <wps:spPr bwMode="auto">
                        <a:xfrm rot="5400000">
                          <a:off x="0" y="0"/>
                          <a:ext cx="610534" cy="194239"/>
                        </a:xfrm>
                        <a:prstGeom prst="rect">
                          <a:avLst/>
                        </a:prstGeom>
                        <a:solidFill>
                          <a:srgbClr val="92D050"/>
                        </a:solidFill>
                        <a:ln>
                          <a:noFill/>
                        </a:ln>
                        <a:effectLst/>
                      </wps:spPr>
                      <wps:bodyPr rot="0" vert="horz" wrap="square" lIns="91440" tIns="45720" rIns="91440" bIns="45720" anchor="t" anchorCtr="0" upright="1">
                        <a:noAutofit/>
                      </wps:bodyPr>
                    </wps:wsp>
                  </a:graphicData>
                </a:graphic>
              </wp:anchor>
            </w:drawing>
          </mc:Choice>
          <mc:Fallback>
            <w:pict>
              <v:rect id="矩形 5098" o:spid="_x0000_s1026" o:spt="1" style="position:absolute;left:0pt;margin-left:143.4pt;margin-top:291.4pt;height:15.3pt;width:48.05pt;rotation:5898240f;z-index:251976704;mso-width-relative:page;mso-height-relative:page;" fillcolor="#92D050" filled="t" stroked="f" coordsize="21600,21600" o:gfxdata="UEsDBAoAAAAAAIdO4kAAAAAAAAAAAAAAAAAEAAAAZHJzL1BLAwQUAAAACACHTuJAtFRLttoAAAAL&#10;AQAADwAAAGRycy9kb3ducmV2LnhtbE2PS0/DMBCE70j8B2uRuFHnAcGEbCpUqULiBOUlbm5s4oh4&#10;HcXug3/PcoLbjnY0802zPPpR7O0ch0AI+SIDYakLZqAe4eV5faFAxKTJ6DGQRfi2EZbt6UmjaxMO&#10;9GT3m9QLDqFYawSX0lRLGTtnvY6LMFni32eYvU4s516aWR843I+yyLJKej0QNzg92ZWz3ddm5xE+&#10;BuevV/3d22swcU0P6r18pHvE87M8uwWR7DH9meEXn9GhZaZt2JGJYkQoVMXoCeFKFXywo1TFDYgt&#10;QpWXlyDbRv7f0P4AUEsDBBQAAAAIAIdO4kCa9ulBNgIAAE0EAAAOAAAAZHJzL2Uyb0RvYy54bWyt&#10;VEFu2zAQvBfoHwjea0mOlEaG5SCwkaJA2gZI+wCaoiyiEpdd0pbdzxToLY/oc4p+o0vKTdz0kkN1&#10;ELjc5ezOcKT55b7v2E6h02Aqnk1SzpSRUGuzqfinj9evLjhzXphadGBUxQ/K8cvFyxfzwc7UFFro&#10;aoWMQIybDbbirfd2liROtqoXbgJWGUo2gL3wFOImqVEMhN53yTRNz5MBsLYIUjlHu6sxyY+I+BxA&#10;aBot1QrktlfGj6ioOuGJkmu1dXwRp20aJf2HpnHKs67ixNTHNzWh9Tq8k8VczDYobKvlcQTxnBGe&#10;cOqFNtT0AWolvGBb1P9A9VoiOGj8REKfjESiIsQiS59oc9cKqyIXktrZB9Hd/4OV73e3yHRNTiin&#10;F0VelCVJY0RPN//r2/3PH99ZkZYXQafBuhmV39lbDEydvQH52TEDy1aYjbpChKFVoqbpslCf/HUg&#10;BI6OsvXwDmpCF1sPUbJ9gz1DoKsp8jQ8cZekYft4T4eHe1J7zyRtnmdpcZZzJimVlfn0rIz9xCxA&#10;hdksOv9GQc/CouJINoigYnfjfBjtsSRSgU7X17rrYoCb9bJDthNkmXK6SovoEjriTss6E4oNhGMj&#10;4rijoumObf6QHsVbQ30gASJVEpm+QZqtBfzK2UAOrLj7shWoOOveGhKxzPI8WDYGefF6SgGeZtan&#10;GWEkQVXcczYul360+dai3rTUKYsSGLgi4RsdZQjzjVMdr4tcFtU5fhHBxqdxrHr8Cyx+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LRUS7baAAAACwEAAA8AAAAAAAAAAQAgAAAAIgAAAGRycy9kb3du&#10;cmV2LnhtbFBLAQIUABQAAAAIAIdO4kCa9ulBNgIAAE0EAAAOAAAAAAAAAAEAIAAAACkBAABkcnMv&#10;ZTJvRG9jLnhtbFBLBQYAAAAABgAGAFkBAADRBQAAAAA=&#10;">
                <v:fill on="t" focussize="0,0"/>
                <v:stroke on="f"/>
                <v:imagedata o:title=""/>
                <o:lock v:ext="edit" aspectratio="f"/>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974656" behindDoc="0" locked="0" layoutInCell="1" allowOverlap="1">
                <wp:simplePos x="0" y="0"/>
                <wp:positionH relativeFrom="page">
                  <wp:posOffset>1830705</wp:posOffset>
                </wp:positionH>
                <wp:positionV relativeFrom="paragraph">
                  <wp:posOffset>2642235</wp:posOffset>
                </wp:positionV>
                <wp:extent cx="925195" cy="338455"/>
                <wp:effectExtent l="0" t="0" r="0" b="4445"/>
                <wp:wrapNone/>
                <wp:docPr id="1435231777" name="自选图形 2308"/>
                <wp:cNvGraphicFramePr/>
                <a:graphic xmlns:a="http://schemas.openxmlformats.org/drawingml/2006/main">
                  <a:graphicData uri="http://schemas.microsoft.com/office/word/2010/wordprocessingShape">
                    <wps:wsp>
                      <wps:cNvSpPr>
                        <a:spLocks noChangeArrowheads="1"/>
                      </wps:cNvSpPr>
                      <wps:spPr bwMode="auto">
                        <a:xfrm>
                          <a:off x="0" y="0"/>
                          <a:ext cx="925195" cy="338455"/>
                        </a:xfrm>
                        <a:prstGeom prst="flowChartProcess">
                          <a:avLst/>
                        </a:prstGeom>
                        <a:noFill/>
                        <a:ln>
                          <a:noFill/>
                        </a:ln>
                      </wps:spPr>
                      <wps:txbx>
                        <w:txbxContent>
                          <w:p w14:paraId="7835053B">
                            <w:pPr>
                              <w:jc w:val="center"/>
                              <w:rPr>
                                <w:lang w:eastAsia="zh-CN"/>
                              </w:rPr>
                            </w:pPr>
                            <w:r>
                              <w:rPr>
                                <w:rFonts w:hint="eastAsia"/>
                                <w:lang w:eastAsia="zh-CN"/>
                              </w:rPr>
                              <w:t>危废库</w:t>
                            </w:r>
                          </w:p>
                        </w:txbxContent>
                      </wps:txbx>
                      <wps:bodyPr rot="0" vert="horz" wrap="square" lIns="91440" tIns="45720" rIns="91440" bIns="45720" anchor="t" anchorCtr="0" upright="1">
                        <a:noAutofit/>
                      </wps:bodyPr>
                    </wps:wsp>
                  </a:graphicData>
                </a:graphic>
              </wp:anchor>
            </w:drawing>
          </mc:Choice>
          <mc:Fallback>
            <w:pict>
              <v:shape id="自选图形 2308" o:spid="_x0000_s1026" o:spt="109" type="#_x0000_t109" style="position:absolute;left:0pt;margin-left:144.15pt;margin-top:208.05pt;height:26.65pt;width:72.85pt;mso-position-horizontal-relative:page;z-index:251974656;mso-width-relative:page;mso-height-relative:page;" filled="f" stroked="f" coordsize="21600,21600" o:gfxdata="UEsDBAoAAAAAAIdO4kAAAAAAAAAAAAAAAAAEAAAAZHJzL1BLAwQUAAAACACHTuJAhLidoNgAAAAL&#10;AQAADwAAAGRycy9kb3ducmV2LnhtbE2PwU7DMAyG70i8Q2QkbizNGpXSNZ0QEoMrHRduWZM1FY1T&#10;NVm3vT3mBDdb/vT7++vtxY9ssXMcAioQqwyYxS6YAXsFn/vXhxJYTBqNHgNaBVcbYdvc3tS6MuGM&#10;H3ZpU88oBGOlFbiUporz2DnrdVyFySLdjmH2OtE699zM+kzhfuTrLCu41wPSB6cn++Js992evIJF&#10;Pl93X49vvczNu8vibhA6b5W6vxPZBliyl/QHw68+qUNDTodwQhPZqGBdljmhCqQoBDAiZC6p3YGG&#10;4kkCb2r+v0PzA1BLAwQUAAAACACHTuJATgiwxCoCAAAlBAAADgAAAGRycy9lMm9Eb2MueG1srVNB&#10;jtMwFN0jcQfLe5ombeg0ajoaTTUIaYBKAwdwHaeJSPzNt9u0rNghzsCOJXeA24wEt+Db6ZTOsJkF&#10;m8jf337/veeX2fmubdhWoa1B5zweDDlTWkJR63XO3729enbGmXVCF6IBrXK+V5afz58+mXUmUwlU&#10;0BQKGYFom3Um55VzJosiKyvVCjsAozQ1S8BWOCpxHRUoOkJvmygZDp9HHWBhEKSylnYXfZMfEPEx&#10;gFCWtVQLkJtWadejomqEI0m2qo3l88C2LJV0b8rSKseanJNSF740hNYr/43mM5GtUZiqlgcK4jEU&#10;HmhqRa1p6BFqIZxgG6z/gWpriWChdAMJbdQLCY6Qinj4wJubShgVtJDV1hxNt/8PVr7eLpHVBSVh&#10;PEqTUTyZTDjToqWX//X5++9PX26//rz98Y0lo+GZd6szNqNLN2aJXq811yDfW6bhshJ6rS4QoauU&#10;KIhj7M9H9y74wtJVtupeQUEzxMZBMG5XYusByRK2C++zP76P2jkmaXOapPE05UxSazQ6G6dpmCCy&#10;u8sGrXuhoGV+kfOygY5ooVv2cQuDxPbaOk9MZHfH/VwNV3XThDg0+t4GHfQ7QYjn3nvgdqvdwY4V&#10;FHuShNCni/4tWlSAHznrKFk5tx82AhVnzUtNtkzj8dhHMRTjdJJQgaed1WlHaElQOXec9ctL18d3&#10;Y7BeVzQpDrI0XJCVZR2keZt7VgfelJ6g+JB0H8/TOpz6+3fP/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EuJ2g2AAAAAsBAAAPAAAAAAAAAAEAIAAAACIAAABkcnMvZG93bnJldi54bWxQSwECFAAU&#10;AAAACACHTuJATgiwxCoCAAAlBAAADgAAAAAAAAABACAAAAAnAQAAZHJzL2Uyb0RvYy54bWxQSwUG&#10;AAAAAAYABgBZAQAAwwUAAAAA&#10;">
                <v:fill on="f" focussize="0,0"/>
                <v:stroke on="f"/>
                <v:imagedata o:title=""/>
                <o:lock v:ext="edit" aspectratio="f"/>
                <v:textbox>
                  <w:txbxContent>
                    <w:p w14:paraId="7835053B">
                      <w:pPr>
                        <w:jc w:val="center"/>
                        <w:rPr>
                          <w:lang w:eastAsia="zh-CN"/>
                        </w:rPr>
                      </w:pPr>
                      <w:r>
                        <w:rPr>
                          <w:rFonts w:hint="eastAsia"/>
                          <w:lang w:eastAsia="zh-CN"/>
                        </w:rPr>
                        <w:t>危废库</w:t>
                      </w: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975680" behindDoc="0" locked="0" layoutInCell="1" allowOverlap="1">
                <wp:simplePos x="0" y="0"/>
                <wp:positionH relativeFrom="column">
                  <wp:posOffset>4116705</wp:posOffset>
                </wp:positionH>
                <wp:positionV relativeFrom="paragraph">
                  <wp:posOffset>1009015</wp:posOffset>
                </wp:positionV>
                <wp:extent cx="191770" cy="904240"/>
                <wp:effectExtent l="6032" t="0" r="4763" b="4762"/>
                <wp:wrapNone/>
                <wp:docPr id="1954548192" name="矩形 5098"/>
                <wp:cNvGraphicFramePr/>
                <a:graphic xmlns:a="http://schemas.openxmlformats.org/drawingml/2006/main">
                  <a:graphicData uri="http://schemas.microsoft.com/office/word/2010/wordprocessingShape">
                    <wps:wsp>
                      <wps:cNvSpPr>
                        <a:spLocks noChangeArrowheads="1"/>
                      </wps:cNvSpPr>
                      <wps:spPr bwMode="auto">
                        <a:xfrm rot="5400000">
                          <a:off x="0" y="0"/>
                          <a:ext cx="192081" cy="903923"/>
                        </a:xfrm>
                        <a:prstGeom prst="rect">
                          <a:avLst/>
                        </a:prstGeom>
                        <a:solidFill>
                          <a:srgbClr val="92D050"/>
                        </a:solidFill>
                        <a:ln>
                          <a:noFill/>
                        </a:ln>
                        <a:effectLst/>
                      </wps:spPr>
                      <wps:bodyPr rot="0" vert="horz" wrap="square" lIns="91440" tIns="45720" rIns="91440" bIns="45720" anchor="t" anchorCtr="0" upright="1">
                        <a:noAutofit/>
                      </wps:bodyPr>
                    </wps:wsp>
                  </a:graphicData>
                </a:graphic>
              </wp:anchor>
            </w:drawing>
          </mc:Choice>
          <mc:Fallback>
            <w:pict>
              <v:rect id="矩形 5098" o:spid="_x0000_s1026" o:spt="1" style="position:absolute;left:0pt;margin-left:324.15pt;margin-top:79.45pt;height:71.2pt;width:15.1pt;rotation:5898240f;z-index:251975680;mso-width-relative:page;mso-height-relative:page;" fillcolor="#92D050" filled="t" stroked="f" coordsize="21600,21600" o:gfxdata="UEsDBAoAAAAAAIdO4kAAAAAAAAAAAAAAAAAEAAAAZHJzL1BLAwQUAAAACACHTuJApx5rodoAAAAL&#10;AQAADwAAAGRycy9kb3ducmV2LnhtbE2Py07DMBBF90j8gzVI7KgdQlMT4lSoUoXEipaX2LnxkETE&#10;4yh2H/w9wwqWo3t075lqefKDOOAU+0AGspkCgdQE11Nr4OV5faVBxGTJ2SEQGvjGCMv6/KyypQtH&#10;2uBhm1rBJRRLa6BLaSyljE2H3sZZGJE4+wyTt4nPqZVuskcu94O8VqqQ3vbEC50dcdVh87XdewMf&#10;fecXq/b+7TW4uKZH/Z4/0YMxlxeZugOR8JT+YPjVZ3Wo2WkX9uSiGAwUNzpnlIO5vgXBRLHQcxA7&#10;A7nKcpB1Jf//UP8AUEsDBBQAAAAIAIdO4kD+8W2gNQIAAE0EAAAOAAAAZHJzL2Uyb0RvYy54bWyt&#10;VMGO0zAQvSPxD5bvNEk3haZqulq1WoS0wEoLH+A6TmKReMzYbbr8DBI3PoLPQfwGY6d0y3LZAzlE&#10;Hs/4zbznlywvD33H9gqdBlPybJJypoyESpum5B8/XL+Yc+a8MJXowKiS3yvHL1fPny0Hu1BTaKGr&#10;FDICMW4x2JK33ttFkjjZql64CVhlKFkD9sJTiE1SoRgIve+SaZq+TAbAyiJI5RztbsYkPyLiUwCh&#10;rrVUG5C7Xhk/oqLqhCdKrtXW8VWctq6V9O/r2inPupITUx/f1ITW2/BOVkuxaFDYVsvjCOIpIzzi&#10;1AttqOkJaiO8YDvU/0D1WiI4qP1EQp+MRKIixCJLH2lz1wqrIheS2tmT6O7/wcp3+1tkuiInFLN8&#10;ls+zYsqZET3d/K+v33/++MZmaTEPOg3WLaj8zt5iYOrsDchPjhlYt8I06goRhlaJiqbLQn3y14EQ&#10;ODrKtsNbqAhd7DxEyQ419gyBrmaWp+GJuyQNO8R7uj/dkzp4JmmTZkznGWeSUkV6UUwvYj+xCFBh&#10;NovOv1bQs7AoOZINIqjY3zgfRnsoiVSg09W17roYYLNdd8j2gixTTDfpLLqEjrjzss6EYgPh2Ig4&#10;7qhoumObP6RH8bZQ3ZMAkSr5j75Bmq0F/MLZQA4sufu8E6g4694YErHI8jxYNgb57NWUAjzPbM8z&#10;wkiCKrnnbFyu/WjznUXdtNQpixIYuCLhax1lCPONUx2vi1wW1Tl+EcHG53GsevgLrH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px5rodoAAAALAQAADwAAAAAAAAABACAAAAAiAAAAZHJzL2Rvd25y&#10;ZXYueG1sUEsBAhQAFAAAAAgAh07iQP7xbaA1AgAATQQAAA4AAAAAAAAAAQAgAAAAKQEAAGRycy9l&#10;Mm9Eb2MueG1sUEsFBgAAAAAGAAYAWQEAANAFAAAAAA==&#10;">
                <v:fill on="t" focussize="0,0"/>
                <v:stroke on="f"/>
                <v:imagedata o:title=""/>
                <o:lock v:ext="edit" aspectratio="f"/>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973632" behindDoc="0" locked="0" layoutInCell="1" allowOverlap="1">
                <wp:simplePos x="0" y="0"/>
                <wp:positionH relativeFrom="column">
                  <wp:posOffset>1464945</wp:posOffset>
                </wp:positionH>
                <wp:positionV relativeFrom="paragraph">
                  <wp:posOffset>2649220</wp:posOffset>
                </wp:positionV>
                <wp:extent cx="365760" cy="352425"/>
                <wp:effectExtent l="6985" t="0" r="3175" b="3175"/>
                <wp:wrapNone/>
                <wp:docPr id="648714230" name="矩形 5098"/>
                <wp:cNvGraphicFramePr/>
                <a:graphic xmlns:a="http://schemas.openxmlformats.org/drawingml/2006/main">
                  <a:graphicData uri="http://schemas.microsoft.com/office/word/2010/wordprocessingShape">
                    <wps:wsp>
                      <wps:cNvSpPr>
                        <a:spLocks noChangeArrowheads="1"/>
                      </wps:cNvSpPr>
                      <wps:spPr bwMode="auto">
                        <a:xfrm rot="5400000">
                          <a:off x="0" y="0"/>
                          <a:ext cx="365794" cy="352145"/>
                        </a:xfrm>
                        <a:prstGeom prst="rect">
                          <a:avLst/>
                        </a:prstGeom>
                        <a:solidFill>
                          <a:srgbClr val="92D050"/>
                        </a:solidFill>
                        <a:ln>
                          <a:noFill/>
                        </a:ln>
                        <a:effectLst/>
                      </wps:spPr>
                      <wps:bodyPr rot="0" vert="horz" wrap="square" lIns="91440" tIns="45720" rIns="91440" bIns="45720" anchor="t" anchorCtr="0" upright="1">
                        <a:noAutofit/>
                      </wps:bodyPr>
                    </wps:wsp>
                  </a:graphicData>
                </a:graphic>
              </wp:anchor>
            </w:drawing>
          </mc:Choice>
          <mc:Fallback>
            <w:pict>
              <v:rect id="矩形 5098" o:spid="_x0000_s1026" o:spt="1" style="position:absolute;left:0pt;margin-left:115.35pt;margin-top:208.6pt;height:27.75pt;width:28.8pt;rotation:5898240f;z-index:251973632;mso-width-relative:page;mso-height-relative:page;" fillcolor="#92D050" filled="t" stroked="f" coordsize="21600,21600" o:gfxdata="UEsDBAoAAAAAAIdO4kAAAAAAAAAAAAAAAAAEAAAAZHJzL1BLAwQUAAAACACHTuJAQZ8W2NkAAAAL&#10;AQAADwAAAGRycy9kb3ducmV2LnhtbE2PTUvEMBCG74L/IYzgzU2aiim16SILi+BJ149lb9kmNsVm&#10;Uprsh//e8aTHmXl453mb5TmM7OjmNETUUCwEMIddtAP2Gt5e1zcVsJQNWjNGdBq+XYJle3nRmNrG&#10;E7644yb3jEIw1UaDz3mqOU+dd8GkRZwc0u0zzsFkGuee29mcKDyMXApxx4MZkD54M7mVd93X5hA0&#10;7AYf1Kp/+HiPNq3xqdqWz/io9fVVIe6BZXfOfzD86pM6tOS0jwe0iY0aZCkUoRpuCyWBESGrqgS2&#10;p42SCnjb8P8d2h9QSwMEFAAAAAgAh07iQLryErE2AgAATAQAAA4AAABkcnMvZTJvRG9jLnhtbK1U&#10;wY7TMBC9I/EPlu80SZt0t1XT1arVIqQFVlr4ANdxGovEY8Zu0/IzSNz4CD4H8RuMnbJblsseyMHy&#10;eMZv5r0ZZ3F16Fq2V+g0mJJno5QzZSRU2mxL/vHDzatLzpwXphItGFXyo3L8avnyxaK3czWGBtpK&#10;ISMQ4+a9LXnjvZ0niZON6oQbgVWGnDVgJzyZuE0qFD2hd20yTtNp0gNWFkEq5+h0PTj5CRGfAwh1&#10;raVag9x1yvgBFVUrPFFyjbaOL2O1da2kf1/XTnnWlpyY+rhSEtpvwposF2K+RWEbLU8liOeU8IRT&#10;J7ShpA9Qa+EF26H+B6rTEsFB7UcSumQgEhUhFln6RJv7RlgVuZDUzj6I7v4frHy3v0Omq5JP88uL&#10;LB9PSBkjOmr8r6/ff/74xop0dhlk6q2bU/S9vcNA1NlbkJ8cM7BqhNmqa0ToGyUqKi4L8clfF4Lh&#10;6Crb9G+hInSx8xAVO9TYMQTqTJGn4YunpAw7xDYdH9qkDp5JOpxMi4tZzpkk16QYZ3kR84l5gAq1&#10;WXT+tYKOhU3JkaYggor9rfOhtMeQSAVaXd3oto0GbjerFtle0MTMxuu0iENCV9x5WGtCsIFwbUAc&#10;TlScuVOaP6QH8TZQHUmASJVEpidItTWAXzjraQBL7j7vBCrO2jeGRJxleR4mNhp5cTEmA889m3OP&#10;MJKgSu45G7YrP0z5zqLeNpQpixIYuCbhax1lCPUNVZ3aRUMW1Tk9iDDF53aMevwJLH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QZ8W2NkAAAALAQAADwAAAAAAAAABACAAAAAiAAAAZHJzL2Rvd25y&#10;ZXYueG1sUEsBAhQAFAAAAAgAh07iQLryErE2AgAATAQAAA4AAAAAAAAAAQAgAAAAKAEAAGRycy9l&#10;Mm9Eb2MueG1sUEsFBgAAAAAGAAYAWQEAANAFAAAAAA==&#10;">
                <v:fill on="t" focussize="0,0"/>
                <v:stroke on="f"/>
                <v:imagedata o:title=""/>
                <o:lock v:ext="edit" aspectratio="f"/>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972608" behindDoc="0" locked="0" layoutInCell="1" allowOverlap="1">
                <wp:simplePos x="0" y="0"/>
                <wp:positionH relativeFrom="column">
                  <wp:posOffset>1259205</wp:posOffset>
                </wp:positionH>
                <wp:positionV relativeFrom="paragraph">
                  <wp:posOffset>3555365</wp:posOffset>
                </wp:positionV>
                <wp:extent cx="1068070" cy="552450"/>
                <wp:effectExtent l="0" t="0" r="0" b="0"/>
                <wp:wrapNone/>
                <wp:docPr id="527882855" name="自选图形 2308"/>
                <wp:cNvGraphicFramePr/>
                <a:graphic xmlns:a="http://schemas.openxmlformats.org/drawingml/2006/main">
                  <a:graphicData uri="http://schemas.microsoft.com/office/word/2010/wordprocessingShape">
                    <wps:wsp>
                      <wps:cNvSpPr>
                        <a:spLocks noChangeArrowheads="1"/>
                      </wps:cNvSpPr>
                      <wps:spPr bwMode="auto">
                        <a:xfrm>
                          <a:off x="0" y="0"/>
                          <a:ext cx="1068070" cy="552450"/>
                        </a:xfrm>
                        <a:prstGeom prst="flowChartProcess">
                          <a:avLst/>
                        </a:prstGeom>
                        <a:noFill/>
                        <a:ln>
                          <a:noFill/>
                        </a:ln>
                      </wps:spPr>
                      <wps:txbx>
                        <w:txbxContent>
                          <w:p w14:paraId="34C20EFF">
                            <w:pPr>
                              <w:jc w:val="center"/>
                              <w:rPr>
                                <w:lang w:eastAsia="zh-CN"/>
                              </w:rPr>
                            </w:pPr>
                            <w:r>
                              <w:rPr>
                                <w:rFonts w:hint="eastAsia"/>
                                <w:lang w:eastAsia="zh-CN"/>
                              </w:rPr>
                              <w:t>刻蚀液混配车间</w:t>
                            </w:r>
                          </w:p>
                        </w:txbxContent>
                      </wps:txbx>
                      <wps:bodyPr rot="0" vert="horz" wrap="square" lIns="91440" tIns="45720" rIns="91440" bIns="45720" anchor="t" anchorCtr="0" upright="1">
                        <a:noAutofit/>
                      </wps:bodyPr>
                    </wps:wsp>
                  </a:graphicData>
                </a:graphic>
              </wp:anchor>
            </w:drawing>
          </mc:Choice>
          <mc:Fallback>
            <w:pict>
              <v:shape id="自选图形 2308" o:spid="_x0000_s1026" o:spt="109" type="#_x0000_t109" style="position:absolute;left:0pt;margin-left:99.15pt;margin-top:279.95pt;height:43.5pt;width:84.1pt;z-index:251972608;mso-width-relative:page;mso-height-relative:page;" filled="f" stroked="f" coordsize="21600,21600" o:gfxdata="UEsDBAoAAAAAAIdO4kAAAAAAAAAAAAAAAAAEAAAAZHJzL1BLAwQUAAAACACHTuJAl1UiQdgAAAAL&#10;AQAADwAAAGRycy9kb3ducmV2LnhtbE2Py07DMBBF90j8gzVI7Kgd8qAJcSqERGFLYNOdG7txRDyO&#10;Yjdt/55hRZdXc3TvmXpzdiNbzBwGjxKSlQBmsPN6wF7C99fbwxpYiAq1Gj0aCRcTYNPc3tSq0v6E&#10;n2ZpY8+oBEOlJNgYp4rz0FnjVFj5ySDdDn52KlKce65ndaJyN/JHIQru1IC0YNVkXq3pftqjk7Bk&#10;L5ft7um9z1L9YUXYDolKWynv7xLxDCyac/yH4U+f1KEhp70/og5spFyuU0Il5HlZAiMiLYoc2F5C&#10;kRUl8Kbm1z80v1BLAwQUAAAACACHTuJAzHdM4ioCAAAlBAAADgAAAGRycy9lMm9Eb2MueG1srVPN&#10;bhMxEL4j8Q6W72R/yLbLKpuqalSEVCBS4QEcrzdrsesxtpPdcOKG+gzcOPIO8DaV4C0Ye9OQlksP&#10;XCyPx/5mvm8+z86GriVbYawEVdJkElMiFIdKqnVJ37+7fJZTYh1TFWtBiZLuhKVn86dPZr0uRAoN&#10;tJUwBEGULXpd0sY5XUSR5Y3omJ2AFgqTNZiOOQzNOqoM6xG9a6M0jk+iHkylDXBhLZ4uxiTdI5rH&#10;AEJdSy4WwDedUG5ENaJlDinZRmpL56Hbuhbcva1rKxxpS4pMXVixCO5Xfo3mM1asDdON5PsW2GNa&#10;eMCpY1Jh0QPUgjlGNkb+A9VJbsBC7SYcumgkEhRBFkn8QJvrhmkRuKDUVh9Et/8Plr/ZLg2RVUmz&#10;9DTP0zzLKFGsw8H/+vL99+eb268/b398I+nzOPdi9doW+OZaL42na/UV8A+WKLhomFqLc2OgbwSr&#10;sMXE34/uPfCBxadk1b+GCmuwjYOg21CbzgOiImQI49kdxiMGRzgeJvFJHp/i5DjmsiydZmF+ESvu&#10;Xmtj3UsBHfGbktYt9NiXccvRbqES215Z5ztjxd11X1jBpWzbYIdW3TvAi/4kMPHNjyK4YTXs9VhB&#10;tUNOBkZ34d/CTQPmEyU9Oquk9uOGGUFJ+0qhLi+S6dRbMQTT7DTFwBxnVscZpjhCldRRMm4v3Gjf&#10;jTZy3WClJNBScI5a1jJQ8zqPXe37RvcExnune3sex+HW3989/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XVSJB2AAAAAsBAAAPAAAAAAAAAAEAIAAAACIAAABkcnMvZG93bnJldi54bWxQSwECFAAU&#10;AAAACACHTuJAzHdM4ioCAAAlBAAADgAAAAAAAAABACAAAAAnAQAAZHJzL2Uyb0RvYy54bWxQSwUG&#10;AAAAAAYABgBZAQAAwwUAAAAA&#10;">
                <v:fill on="f" focussize="0,0"/>
                <v:stroke on="f"/>
                <v:imagedata o:title=""/>
                <o:lock v:ext="edit" aspectratio="f"/>
                <v:textbox>
                  <w:txbxContent>
                    <w:p w14:paraId="34C20EFF">
                      <w:pPr>
                        <w:jc w:val="center"/>
                        <w:rPr>
                          <w:lang w:eastAsia="zh-CN"/>
                        </w:rPr>
                      </w:pPr>
                      <w:r>
                        <w:rPr>
                          <w:rFonts w:hint="eastAsia"/>
                          <w:lang w:eastAsia="zh-CN"/>
                        </w:rPr>
                        <w:t>刻蚀液混配车间</w:t>
                      </w: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971584" behindDoc="0" locked="0" layoutInCell="1" allowOverlap="1">
                <wp:simplePos x="0" y="0"/>
                <wp:positionH relativeFrom="column">
                  <wp:posOffset>1450340</wp:posOffset>
                </wp:positionH>
                <wp:positionV relativeFrom="paragraph">
                  <wp:posOffset>3514090</wp:posOffset>
                </wp:positionV>
                <wp:extent cx="599440" cy="558800"/>
                <wp:effectExtent l="1270" t="0" r="0" b="0"/>
                <wp:wrapNone/>
                <wp:docPr id="652696180" name="矩形 5098"/>
                <wp:cNvGraphicFramePr/>
                <a:graphic xmlns:a="http://schemas.openxmlformats.org/drawingml/2006/main">
                  <a:graphicData uri="http://schemas.microsoft.com/office/word/2010/wordprocessingShape">
                    <wps:wsp>
                      <wps:cNvSpPr>
                        <a:spLocks noChangeArrowheads="1"/>
                      </wps:cNvSpPr>
                      <wps:spPr bwMode="auto">
                        <a:xfrm rot="5400000">
                          <a:off x="0" y="0"/>
                          <a:ext cx="599715" cy="559074"/>
                        </a:xfrm>
                        <a:prstGeom prst="rect">
                          <a:avLst/>
                        </a:prstGeom>
                        <a:solidFill>
                          <a:srgbClr val="7030A0"/>
                        </a:solidFill>
                        <a:ln>
                          <a:noFill/>
                        </a:ln>
                        <a:effectLst/>
                      </wps:spPr>
                      <wps:bodyPr rot="0" vert="horz" wrap="square" lIns="91440" tIns="45720" rIns="91440" bIns="45720" anchor="t" anchorCtr="0" upright="1">
                        <a:noAutofit/>
                      </wps:bodyPr>
                    </wps:wsp>
                  </a:graphicData>
                </a:graphic>
              </wp:anchor>
            </w:drawing>
          </mc:Choice>
          <mc:Fallback>
            <w:pict>
              <v:rect id="矩形 5098" o:spid="_x0000_s1026" o:spt="1" style="position:absolute;left:0pt;margin-left:114.2pt;margin-top:276.7pt;height:44pt;width:47.2pt;rotation:5898240f;z-index:251971584;mso-width-relative:page;mso-height-relative:page;" fillcolor="#7030A0" filled="t" stroked="f" coordsize="21600,21600" o:gfxdata="UEsDBAoAAAAAAIdO4kAAAAAAAAAAAAAAAAAEAAAAZHJzL1BLAwQUAAAACACHTuJA/XKP5dgAAAAL&#10;AQAADwAAAGRycy9kb3ducmV2LnhtbE2Py07DMBBF90j8gzVI7KjzahWFOJVAwAKxIbDo0o2HOG08&#10;jmL3AV/PsKK7eRzdOVOvz24UR5zD4ElBukhAIHXeDNQr+Px4vitBhKjJ6NETKvjGAOvm+qrWlfEn&#10;esdjG3vBIRQqrcDGOFVShs6i02HhJyTeffnZ6cjt3Esz6xOHu1FmSbKSTg/EF6ye8NFit28PTkFi&#10;NyRfn172m7zdPaApS/eze1Pq9iZN7kFEPMd/GP70WR0adtr6A5kgRgVZVhaMKlgucy6YyHkEYqtg&#10;VaQFyKaWlz80v1BLAwQUAAAACACHTuJAlR/NpzUCAABMBAAADgAAAGRycy9lMm9Eb2MueG1srVTN&#10;jtMwEL4j8Q6W7zRJafqnpquq1SKkBVZaeADXcRqLxGPGbtPlZZC47UPwOIjXYOyUblkueyAHy+MZ&#10;fzPfN+Msro5tww4KnQZT8GyQcqaMhFKbXcE/fbx+NeXMeWFK0YBRBb9Xjl8tX75YdHauhlBDUypk&#10;BGLcvLMFr7238yRxslatcAOwypCzAmyFJxN3SYmiI/S2SYZpOk46wNIiSOUcnW56Jz8h4nMAoaq0&#10;VBuQ+1YZ36OiaoQnSq7W1vFlrLaqlPQfqsopz5qCE1MfV0pC+21Yk+VCzHcobK3lqQTxnBKecGqF&#10;NpT0DLURXrA96n+gWi0RHFR+IKFNeiJREWKRpU+0uauFVZELSe3sWXT3/2Dl+8MtMl0WfJwPx7Nx&#10;NiVljGip8b++Pfz88Z3l6WwaZOqsm1P0nb3FQNTZG5CfHTOwroXZqRUidLUSJRWXhfjkrwvBcHSV&#10;bbt3UBK62HuIih0rbBkCdSYfpeGLp6QMO8Y23Z/bpI6eSTrMZ7NJlnMmyZXns3QyivnEPECF2iw6&#10;/0ZBy8Km4EhTEEHF4cb5UNpjSKQCjS6vddNEA3fbdYPsIGhiJunrdBWHhK64y7DGhGAD4VqP2J+o&#10;OHOnNH9I9+JtobwnASJVEpmeINVWA37lrKMBLLj7sheoOGveGhJxlo1GYWKjMconQzLw0rO99Agj&#10;CargnrN+u/b9lO8t6l1NmbIogYEVCV/pKEOor6/q1C4asqjO6UGEKb60Y9TjT2D5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P1yj+XYAAAACwEAAA8AAAAAAAAAAQAgAAAAIgAAAGRycy9kb3ducmV2&#10;LnhtbFBLAQIUABQAAAAIAIdO4kCVH82nNQIAAEwEAAAOAAAAAAAAAAEAIAAAACcBAABkcnMvZTJv&#10;RG9jLnhtbFBLBQYAAAAABgAGAFkBAADOBQAAAAA=&#10;">
                <v:fill on="t" focussize="0,0"/>
                <v:stroke on="f"/>
                <v:imagedata o:title=""/>
                <o:lock v:ext="edit" aspectratio="f"/>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970560" behindDoc="0" locked="0" layoutInCell="1" allowOverlap="1">
                <wp:simplePos x="0" y="0"/>
                <wp:positionH relativeFrom="column">
                  <wp:posOffset>3792855</wp:posOffset>
                </wp:positionH>
                <wp:positionV relativeFrom="paragraph">
                  <wp:posOffset>2224405</wp:posOffset>
                </wp:positionV>
                <wp:extent cx="925195" cy="501650"/>
                <wp:effectExtent l="0" t="0" r="0" b="0"/>
                <wp:wrapNone/>
                <wp:docPr id="2099254975" name="自选图形 2308"/>
                <wp:cNvGraphicFramePr/>
                <a:graphic xmlns:a="http://schemas.openxmlformats.org/drawingml/2006/main">
                  <a:graphicData uri="http://schemas.microsoft.com/office/word/2010/wordprocessingShape">
                    <wps:wsp>
                      <wps:cNvSpPr>
                        <a:spLocks noChangeArrowheads="1"/>
                      </wps:cNvSpPr>
                      <wps:spPr bwMode="auto">
                        <a:xfrm>
                          <a:off x="0" y="0"/>
                          <a:ext cx="925195" cy="501792"/>
                        </a:xfrm>
                        <a:prstGeom prst="flowChartProcess">
                          <a:avLst/>
                        </a:prstGeom>
                        <a:noFill/>
                        <a:ln>
                          <a:noFill/>
                        </a:ln>
                      </wps:spPr>
                      <wps:txbx>
                        <w:txbxContent>
                          <w:p w14:paraId="37C94D3B">
                            <w:pPr>
                              <w:jc w:val="center"/>
                              <w:rPr>
                                <w:lang w:eastAsia="zh-CN"/>
                              </w:rPr>
                            </w:pPr>
                            <w:r>
                              <w:rPr>
                                <w:rFonts w:hint="eastAsia"/>
                                <w:lang w:eastAsia="zh-CN"/>
                              </w:rPr>
                              <w:t>综合车间</w:t>
                            </w:r>
                          </w:p>
                        </w:txbxContent>
                      </wps:txbx>
                      <wps:bodyPr rot="0" vert="horz" wrap="square" lIns="91440" tIns="45720" rIns="91440" bIns="45720" anchor="t" anchorCtr="0" upright="1">
                        <a:noAutofit/>
                      </wps:bodyPr>
                    </wps:wsp>
                  </a:graphicData>
                </a:graphic>
              </wp:anchor>
            </w:drawing>
          </mc:Choice>
          <mc:Fallback>
            <w:pict>
              <v:shape id="自选图形 2308" o:spid="_x0000_s1026" o:spt="109" type="#_x0000_t109" style="position:absolute;left:0pt;margin-left:298.65pt;margin-top:175.15pt;height:39.5pt;width:72.85pt;z-index:251970560;mso-width-relative:page;mso-height-relative:page;" filled="f" stroked="f" coordsize="21600,21600" o:gfxdata="UEsDBAoAAAAAAIdO4kAAAAAAAAAAAAAAAAAEAAAAZHJzL1BLAwQUAAAACACHTuJAdhHw6dgAAAAL&#10;AQAADwAAAGRycy9kb3ducmV2LnhtbE2PwU7DMAyG70i8Q2Qkbizp0tGtNJ0QEoPrChduWZM1FY1T&#10;NVm3vT3mBDdb/vT7+6vtxQ9stlPsAyrIFgKYxTaYHjsFnx+vD2tgMWk0eghoFVxthG19e1Pp0oQz&#10;7u3cpI5RCMZSK3ApjSXnsXXW67gIo0W6HcPkdaJ16riZ9JnC/cCXQjxyr3ukD06P9sXZ9rs5eQVz&#10;/nzdfRVvXS7NuxNx12daNkrd32XiCViyl/QHw68+qUNNTodwQhPZoGC1KSShCuRK0EBEkUtqd1CQ&#10;LzcSeF3x/x3qH1BLAwQUAAAACACHTuJAW2XaPykCAAAlBAAADgAAAGRycy9lMm9Eb2MueG1srVPL&#10;jtMwFN0j8Q+W9zQPWmYSNR2NphqENEClgQ9wHaeJSHzNtdu0rNih+QZ2LPkH+JuR4C+4djqlM2xm&#10;wSby9bXPPef4ZHq27Vq2UWgb0AVPRjFnSksoG70q+Pt3l89OObNO6FK0oFXBd8rys9nTJ9Pe5CqF&#10;GtpSISMQbfPeFLx2zuRRZGWtOmFHYJSmZgXYCUclrqISRU/oXRulcfwi6gFLgyCVtbQ7H5p8j4iP&#10;AYSqaqSag1x3SrsBFVUrHEmydWMsnwW2VaWke1tVVjnWFpyUuvClIbRe+m80m4p8hcLUjdxTEI+h&#10;8EBTJxpNQw9Qc+EEW2PzD1TXSAQLlRtJ6KJBSHCEVCTxA2+ua2FU0EJWW3Mw3f4/WPlms0DWlAVP&#10;4yxLJ+PsZMKZFh29/K8v339/vrn9+vP2xzeWPo9PvVu9sTldujYL9HqtuQL5wTINF7XQK3WOCH2t&#10;REkcE38+unfBF5ausmX/GkqaIdYOgnHbCjsPSJawbXif3eF91NYxSZvEL8mInqTWJE5OsjRMEPnd&#10;ZYPWvVTQMb8oeNVCT7TQLYa4hUFic2WdJybyu+N+robLpm1DHFp9b4MO+p0gxHMfPHDb5XZvxxLK&#10;HUlCGNJF/xYtasBPnPWUrILbj2uBirP2lSZbsmQ89lEMxXhyklKBx53lcUdoSVAFd5wNyws3xHdt&#10;sFnVNCkJsjSck5VVE6R5mwdWe96UnqB4n3Qfz+M6nPr7d8/+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HYR8OnYAAAACwEAAA8AAAAAAAAAAQAgAAAAIgAAAGRycy9kb3ducmV2LnhtbFBLAQIUABQA&#10;AAAIAIdO4kBbZdo/KQIAACUEAAAOAAAAAAAAAAEAIAAAACcBAABkcnMvZTJvRG9jLnhtbFBLBQYA&#10;AAAABgAGAFkBAADCBQAAAAA=&#10;">
                <v:fill on="f" focussize="0,0"/>
                <v:stroke on="f"/>
                <v:imagedata o:title=""/>
                <o:lock v:ext="edit" aspectratio="f"/>
                <v:textbox>
                  <w:txbxContent>
                    <w:p w14:paraId="37C94D3B">
                      <w:pPr>
                        <w:jc w:val="center"/>
                        <w:rPr>
                          <w:lang w:eastAsia="zh-CN"/>
                        </w:rPr>
                      </w:pPr>
                      <w:r>
                        <w:rPr>
                          <w:rFonts w:hint="eastAsia"/>
                          <w:lang w:eastAsia="zh-CN"/>
                        </w:rPr>
                        <w:t>综合车间</w:t>
                      </w: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969536" behindDoc="0" locked="0" layoutInCell="1" allowOverlap="1">
                <wp:simplePos x="0" y="0"/>
                <wp:positionH relativeFrom="column">
                  <wp:posOffset>3273425</wp:posOffset>
                </wp:positionH>
                <wp:positionV relativeFrom="paragraph">
                  <wp:posOffset>2062480</wp:posOffset>
                </wp:positionV>
                <wp:extent cx="1949450" cy="994410"/>
                <wp:effectExtent l="1270" t="0" r="0" b="0"/>
                <wp:wrapNone/>
                <wp:docPr id="88488861" name="矩形 5098"/>
                <wp:cNvGraphicFramePr/>
                <a:graphic xmlns:a="http://schemas.openxmlformats.org/drawingml/2006/main">
                  <a:graphicData uri="http://schemas.microsoft.com/office/word/2010/wordprocessingShape">
                    <wps:wsp>
                      <wps:cNvSpPr>
                        <a:spLocks noChangeArrowheads="1"/>
                      </wps:cNvSpPr>
                      <wps:spPr bwMode="auto">
                        <a:xfrm rot="5400000">
                          <a:off x="0" y="0"/>
                          <a:ext cx="1949590" cy="994519"/>
                        </a:xfrm>
                        <a:prstGeom prst="rect">
                          <a:avLst/>
                        </a:prstGeom>
                        <a:solidFill>
                          <a:srgbClr val="7030A0"/>
                        </a:solidFill>
                        <a:ln>
                          <a:noFill/>
                        </a:ln>
                        <a:effectLst/>
                      </wps:spPr>
                      <wps:bodyPr rot="0" vert="horz" wrap="square" lIns="91440" tIns="45720" rIns="91440" bIns="45720" anchor="t" anchorCtr="0" upright="1">
                        <a:noAutofit/>
                      </wps:bodyPr>
                    </wps:wsp>
                  </a:graphicData>
                </a:graphic>
              </wp:anchor>
            </w:drawing>
          </mc:Choice>
          <mc:Fallback>
            <w:pict>
              <v:rect id="矩形 5098" o:spid="_x0000_s1026" o:spt="1" style="position:absolute;left:0pt;margin-left:257.75pt;margin-top:162.4pt;height:78.3pt;width:153.5pt;rotation:5898240f;z-index:251969536;mso-width-relative:page;mso-height-relative:page;" fillcolor="#7030A0" filled="t" stroked="f" coordsize="21600,21600" o:gfxdata="UEsDBAoAAAAAAIdO4kAAAAAAAAAAAAAAAAAEAAAAZHJzL1BLAwQUAAAACACHTuJAP2OjmNoAAAAL&#10;AQAADwAAAGRycy9kb3ducmV2LnhtbE2PTU/DMAyG70j7D5EncWNpuxZFpekkEHBAXCgcdswa03Zr&#10;nKrJPuDXY05wtP3o9fNWm4sbxQnnMHjSkK4SEEittwN1Gj7en24UiBANWTN6Qg1fGGBTL64qU1p/&#10;pjc8NbETHEKhNBr6GKdSytD26ExY+QmJb59+dibyOHfSzubM4W6UWZLcSmcG4g+9mfChx/bQHJ2G&#10;pN+SfHl8PmzXzf4erVLue/+q9fUyTe5ARLzEPxh+9Vkdanba+SPZIEYNRVoUjGpYZzl3YEJlGW92&#10;GnKV5iDrSv7vUP8AUEsDBBQAAAAIAIdO4kD8LvYsNQIAAEwEAAAOAAAAZHJzL2Uyb0RvYy54bWyt&#10;VMFu1DAQvSPxD5bvbJKSbZOo2apqVYRUoFLhA7yOs7FIPGbs3ezyM0jc+hF8DuI3GDvLdimXHsgh&#10;8tjjN++9meT8Yjv0bKPQaTA1z2YpZ8pIaLRZ1fzTx5tXBWfOC9OIHoyq+U45frF4+eJ8tJU6gQ76&#10;RiEjEOOq0da8895WSeJkpwbhZmCVocMWcBCeQlwlDYqR0Ic+OUnT02QEbCyCVM7R7vV0yPeI+BxA&#10;aFst1TXI9aCMn1BR9cKTJNdp6/gism1bJf2HtnXKs77mpNTHNxWh9TK8k8W5qFYobKflnoJ4DoUn&#10;mgahDRU9QF0LL9ga9T9Qg5YIDlo/kzAkk5DoCKnI0ife3HfCqqiFrHb2YLr7f7Dy/eYOmW5qXhR5&#10;URSnGWdGDNT3X98efv74zuZpWQSXRusqSr63dxh0OnsL8rNjBq46YVbqEhHGTomGuGUhP/nrQggc&#10;XWXL8R00hC7WHqJh2xYHhkCNmedpeOIuGcO2sUu7Q5fU1jNJm1mZl/OSGijprCzzeVbGgqIKWIGc&#10;ReffKBhYWNQcaQoiqtjcOh+4PaZELdDr5kb3fQxwtbzqkW0ETcxZ+jq9jENCV9xxWm9CsoFwbUKc&#10;dlScuX2ZP6on95bQ7MiBqJXY0ydI3DrAr5yNNIA1d1/WAhVn/VtDLpZZnoeJjUE+PzuhAI9Plscn&#10;wkiCqrnnbFpe+WnK1xb1qqNKWbTAwCU53+poQ+A3sdr3i4YsurP/IMIUH8cx6/EnsPg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P2OjmNoAAAALAQAADwAAAAAAAAABACAAAAAiAAAAZHJzL2Rvd25y&#10;ZXYueG1sUEsBAhQAFAAAAAgAh07iQPwu9iw1AgAATAQAAA4AAAAAAAAAAQAgAAAAKQEAAGRycy9l&#10;Mm9Eb2MueG1sUEsFBgAAAAAGAAYAWQEAANAFAAAAAA==&#10;">
                <v:fill on="t" focussize="0,0"/>
                <v:stroke on="f"/>
                <v:imagedata o:title=""/>
                <o:lock v:ext="edit" aspectratio="f"/>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76000" behindDoc="0" locked="0" layoutInCell="1" allowOverlap="1">
                <wp:simplePos x="0" y="0"/>
                <wp:positionH relativeFrom="page">
                  <wp:posOffset>475615</wp:posOffset>
                </wp:positionH>
                <wp:positionV relativeFrom="paragraph">
                  <wp:posOffset>8564245</wp:posOffset>
                </wp:positionV>
                <wp:extent cx="6633845" cy="401320"/>
                <wp:effectExtent l="0" t="0" r="0" b="0"/>
                <wp:wrapNone/>
                <wp:docPr id="1830026036" name="文本框 5107"/>
                <wp:cNvGraphicFramePr/>
                <a:graphic xmlns:a="http://schemas.openxmlformats.org/drawingml/2006/main">
                  <a:graphicData uri="http://schemas.microsoft.com/office/word/2010/wordprocessingShape">
                    <wps:wsp>
                      <wps:cNvSpPr txBox="1">
                        <a:spLocks noChangeArrowheads="1"/>
                      </wps:cNvSpPr>
                      <wps:spPr bwMode="auto">
                        <a:xfrm>
                          <a:off x="0" y="0"/>
                          <a:ext cx="6633845" cy="401320"/>
                        </a:xfrm>
                        <a:prstGeom prst="rect">
                          <a:avLst/>
                        </a:prstGeom>
                        <a:noFill/>
                        <a:ln>
                          <a:noFill/>
                        </a:ln>
                      </wps:spPr>
                      <wps:txbx>
                        <w:txbxContent>
                          <w:p w14:paraId="0DA34146">
                            <w:pPr>
                              <w:spacing w:line="360" w:lineRule="auto"/>
                              <w:jc w:val="center"/>
                              <w:rPr>
                                <w:rFonts w:ascii="Times New Roman" w:hAnsi="Times New Roman" w:cs="Times New Roman"/>
                                <w:b/>
                                <w:color w:val="auto"/>
                                <w:szCs w:val="24"/>
                                <w:lang w:eastAsia="zh-CN"/>
                              </w:rPr>
                            </w:pPr>
                            <w:r>
                              <w:rPr>
                                <w:rFonts w:ascii="Times New Roman" w:hAnsi="Times New Roman" w:cs="Times New Roman"/>
                                <w:b/>
                                <w:color w:val="auto"/>
                                <w:szCs w:val="24"/>
                                <w:lang w:eastAsia="zh-CN"/>
                              </w:rPr>
                              <w:t>图</w:t>
                            </w:r>
                            <w:r>
                              <w:rPr>
                                <w:rFonts w:hint="eastAsia" w:ascii="Times New Roman" w:hAnsi="Times New Roman" w:cs="Times New Roman"/>
                                <w:b/>
                                <w:color w:val="auto"/>
                                <w:szCs w:val="24"/>
                                <w:lang w:eastAsia="zh-CN"/>
                              </w:rPr>
                              <w:t>7</w:t>
                            </w:r>
                            <w:r>
                              <w:rPr>
                                <w:rFonts w:ascii="Times New Roman" w:hAnsi="Times New Roman" w:cs="Times New Roman"/>
                                <w:b/>
                                <w:color w:val="auto"/>
                                <w:szCs w:val="24"/>
                                <w:lang w:eastAsia="zh-CN"/>
                              </w:rPr>
                              <w:t>.</w:t>
                            </w:r>
                            <w:r>
                              <w:rPr>
                                <w:rFonts w:hint="eastAsia" w:ascii="Times New Roman" w:hAnsi="Times New Roman" w:cs="Times New Roman"/>
                                <w:b/>
                                <w:color w:val="auto"/>
                                <w:szCs w:val="24"/>
                                <w:lang w:eastAsia="zh-CN"/>
                              </w:rPr>
                              <w:t>6</w:t>
                            </w:r>
                            <w:r>
                              <w:rPr>
                                <w:rFonts w:ascii="Times New Roman" w:hAnsi="Times New Roman" w:cs="Times New Roman"/>
                                <w:b/>
                                <w:color w:val="auto"/>
                                <w:szCs w:val="24"/>
                                <w:lang w:eastAsia="zh-CN"/>
                              </w:rPr>
                              <w:t>-1 拟建项目</w:t>
                            </w:r>
                            <w:r>
                              <w:rPr>
                                <w:rFonts w:hint="eastAsia" w:ascii="Times New Roman" w:hAnsi="Times New Roman" w:cs="Times New Roman"/>
                                <w:b/>
                                <w:color w:val="auto"/>
                                <w:szCs w:val="24"/>
                                <w:lang w:eastAsia="zh-CN"/>
                              </w:rPr>
                              <w:t>危险</w:t>
                            </w:r>
                            <w:r>
                              <w:rPr>
                                <w:rFonts w:ascii="Times New Roman" w:hAnsi="Times New Roman" w:cs="Times New Roman"/>
                                <w:b/>
                                <w:color w:val="auto"/>
                                <w:szCs w:val="24"/>
                                <w:lang w:eastAsia="zh-CN"/>
                              </w:rPr>
                              <w:t>单元分布图</w:t>
                            </w:r>
                          </w:p>
                          <w:p w14:paraId="4B0BC0B8">
                            <w:pPr>
                              <w:rPr>
                                <w:lang w:eastAsia="zh-CN"/>
                              </w:rPr>
                            </w:pPr>
                          </w:p>
                        </w:txbxContent>
                      </wps:txbx>
                      <wps:bodyPr rot="0" vert="horz" wrap="square" lIns="91440" tIns="45720" rIns="91440" bIns="45720" anchor="t" anchorCtr="0" upright="1">
                        <a:noAutofit/>
                      </wps:bodyPr>
                    </wps:wsp>
                  </a:graphicData>
                </a:graphic>
              </wp:anchor>
            </w:drawing>
          </mc:Choice>
          <mc:Fallback>
            <w:pict>
              <v:shape id="文本框 5107" o:spid="_x0000_s1026" o:spt="202" type="#_x0000_t202" style="position:absolute;left:0pt;margin-left:37.45pt;margin-top:674.35pt;height:31.6pt;width:522.35pt;mso-position-horizontal-relative:page;z-index:251776000;mso-width-relative:page;mso-height-relative:page;" filled="f" stroked="f" coordsize="21600,21600" o:gfxdata="UEsDBAoAAAAAAIdO4kAAAAAAAAAAAAAAAAAEAAAAZHJzL1BLAwQUAAAACACHTuJANUvgTtkAAAAN&#10;AQAADwAAAGRycy9kb3ducmV2LnhtbE2PzU7DMBCE70i8g7VI3KgdCG0T4vQA4krVH5C4ufE2iYjX&#10;Uew24e3Znuhtdmc0+22xmlwnzjiE1pOGZKZAIFXetlRr2O/eH5YgQjRkTecJNfxigFV5e1OY3PqR&#10;NnjexlpwCYXcaGhi7HMpQ9WgM2HmeyT2jn5wJvI41NIOZuRy18lHpebSmZb4QmN6fG2w+tmenIbP&#10;j+P3V6rW9Zt77kc/KUkuk1rf3yXqBUTEKf6H4YLP6FAy08GfyAbRaVikGSd5/5QuFyAuiSTJ5iAO&#10;rFKWIMtCXn9R/gFQSwMEFAAAAAgAh07iQJqeWrYhAgAAIQQAAA4AAABkcnMvZTJvRG9jLnhtbK1T&#10;S27bMBDdF+gdCO5ryd+4guUgjZGiQPoB0h6ApiiLqMRhh7Ql9wDNDbrqpvuey+fokHJcN91k0Y1A&#10;cjhv3nt8Wlx2Tc12Cp0Gk/PhIOVMGQmFNpucf/p482LOmfPCFKIGo3K+V45fLp8/W7Q2UyOooC4U&#10;MgIxLmttzivvbZYkTlaqEW4AVhkqloCN8LTFTVKgaAm9qZNRms6SFrCwCFI5R6ervsiPiPgUQChL&#10;LdUK5LZRxveoqGrhSZKrtHV8GdmWpZL+fVk65Vmdc1Lq45eG0HodvslyIbINCltpeaQgnkLhkaZG&#10;aENDT1Ar4QXbov4HqtESwUHpBxKapBcSHSEVw/SRN3eVsCpqIaudPZnu/h+sfLf7gEwXlIT5OE1H&#10;s3Q848yIhl7+8P3+8OPX4ec3Nh2mF8Gq1rqMOu4s9fjuFXTUFmU7ewvys2MGrithNuoKEdpKiYKo&#10;DkNnctba47gAsm7fQkGjxNZDBOpKbIKP5AwjdHqm/emZVOeZpMPZbDyeT6acSapN0uF4FN8xEdlD&#10;t0XnXytoWFjkHCkGEV3sbp0PbET2cCUMM3Cj6zpGoTZ/HdDFcBLZB8I9dd+tu6Mbayj2pAOhTxb9&#10;V7SoAL9y1lKqcu6+bAUqzuo3hrx4OZxMQgzjZjK9IOYMzyvr84owkqBy7jnrl9e+j+7Wot5UNKl3&#10;38AV+VfqKC0Y3bM68qbkRMXHlIdonu/jrT9/9v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NUvg&#10;TtkAAAANAQAADwAAAAAAAAABACAAAAAiAAAAZHJzL2Rvd25yZXYueG1sUEsBAhQAFAAAAAgAh07i&#10;QJqeWrYhAgAAIQQAAA4AAAAAAAAAAQAgAAAAKAEAAGRycy9lMm9Eb2MueG1sUEsFBgAAAAAGAAYA&#10;WQEAALsFAAAAAA==&#10;">
                <v:fill on="f" focussize="0,0"/>
                <v:stroke on="f"/>
                <v:imagedata o:title=""/>
                <o:lock v:ext="edit" aspectratio="f"/>
                <v:textbox>
                  <w:txbxContent>
                    <w:p w14:paraId="0DA34146">
                      <w:pPr>
                        <w:spacing w:line="360" w:lineRule="auto"/>
                        <w:jc w:val="center"/>
                        <w:rPr>
                          <w:rFonts w:ascii="Times New Roman" w:hAnsi="Times New Roman" w:cs="Times New Roman"/>
                          <w:b/>
                          <w:color w:val="auto"/>
                          <w:szCs w:val="24"/>
                          <w:lang w:eastAsia="zh-CN"/>
                        </w:rPr>
                      </w:pPr>
                      <w:r>
                        <w:rPr>
                          <w:rFonts w:ascii="Times New Roman" w:hAnsi="Times New Roman" w:cs="Times New Roman"/>
                          <w:b/>
                          <w:color w:val="auto"/>
                          <w:szCs w:val="24"/>
                          <w:lang w:eastAsia="zh-CN"/>
                        </w:rPr>
                        <w:t>图</w:t>
                      </w:r>
                      <w:r>
                        <w:rPr>
                          <w:rFonts w:hint="eastAsia" w:ascii="Times New Roman" w:hAnsi="Times New Roman" w:cs="Times New Roman"/>
                          <w:b/>
                          <w:color w:val="auto"/>
                          <w:szCs w:val="24"/>
                          <w:lang w:eastAsia="zh-CN"/>
                        </w:rPr>
                        <w:t>7</w:t>
                      </w:r>
                      <w:r>
                        <w:rPr>
                          <w:rFonts w:ascii="Times New Roman" w:hAnsi="Times New Roman" w:cs="Times New Roman"/>
                          <w:b/>
                          <w:color w:val="auto"/>
                          <w:szCs w:val="24"/>
                          <w:lang w:eastAsia="zh-CN"/>
                        </w:rPr>
                        <w:t>.</w:t>
                      </w:r>
                      <w:r>
                        <w:rPr>
                          <w:rFonts w:hint="eastAsia" w:ascii="Times New Roman" w:hAnsi="Times New Roman" w:cs="Times New Roman"/>
                          <w:b/>
                          <w:color w:val="auto"/>
                          <w:szCs w:val="24"/>
                          <w:lang w:eastAsia="zh-CN"/>
                        </w:rPr>
                        <w:t>6</w:t>
                      </w:r>
                      <w:r>
                        <w:rPr>
                          <w:rFonts w:ascii="Times New Roman" w:hAnsi="Times New Roman" w:cs="Times New Roman"/>
                          <w:b/>
                          <w:color w:val="auto"/>
                          <w:szCs w:val="24"/>
                          <w:lang w:eastAsia="zh-CN"/>
                        </w:rPr>
                        <w:t>-1 拟建项目</w:t>
                      </w:r>
                      <w:r>
                        <w:rPr>
                          <w:rFonts w:hint="eastAsia" w:ascii="Times New Roman" w:hAnsi="Times New Roman" w:cs="Times New Roman"/>
                          <w:b/>
                          <w:color w:val="auto"/>
                          <w:szCs w:val="24"/>
                          <w:lang w:eastAsia="zh-CN"/>
                        </w:rPr>
                        <w:t>危险</w:t>
                      </w:r>
                      <w:r>
                        <w:rPr>
                          <w:rFonts w:ascii="Times New Roman" w:hAnsi="Times New Roman" w:cs="Times New Roman"/>
                          <w:b/>
                          <w:color w:val="auto"/>
                          <w:szCs w:val="24"/>
                          <w:lang w:eastAsia="zh-CN"/>
                        </w:rPr>
                        <w:t>单元分布图</w:t>
                      </w:r>
                    </w:p>
                    <w:p w14:paraId="4B0BC0B8">
                      <w:pPr>
                        <w:rPr>
                          <w:lang w:eastAsia="zh-CN"/>
                        </w:rPr>
                      </w:pP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968512" behindDoc="0" locked="0" layoutInCell="1" allowOverlap="1">
                <wp:simplePos x="0" y="0"/>
                <wp:positionH relativeFrom="margin">
                  <wp:posOffset>1838960</wp:posOffset>
                </wp:positionH>
                <wp:positionV relativeFrom="paragraph">
                  <wp:posOffset>5144770</wp:posOffset>
                </wp:positionV>
                <wp:extent cx="1076325" cy="338455"/>
                <wp:effectExtent l="0" t="0" r="0" b="4445"/>
                <wp:wrapNone/>
                <wp:docPr id="846141256" name="自选图形 2308"/>
                <wp:cNvGraphicFramePr/>
                <a:graphic xmlns:a="http://schemas.openxmlformats.org/drawingml/2006/main">
                  <a:graphicData uri="http://schemas.microsoft.com/office/word/2010/wordprocessingShape">
                    <wps:wsp>
                      <wps:cNvSpPr>
                        <a:spLocks noChangeArrowheads="1"/>
                      </wps:cNvSpPr>
                      <wps:spPr bwMode="auto">
                        <a:xfrm>
                          <a:off x="0" y="0"/>
                          <a:ext cx="1076325" cy="338455"/>
                        </a:xfrm>
                        <a:prstGeom prst="flowChartProcess">
                          <a:avLst/>
                        </a:prstGeom>
                        <a:noFill/>
                        <a:ln>
                          <a:noFill/>
                        </a:ln>
                      </wps:spPr>
                      <wps:txbx>
                        <w:txbxContent>
                          <w:p w14:paraId="4659E786">
                            <w:pPr>
                              <w:jc w:val="center"/>
                              <w:rPr>
                                <w:lang w:eastAsia="zh-CN"/>
                              </w:rPr>
                            </w:pPr>
                            <w:r>
                              <w:rPr>
                                <w:rFonts w:hint="eastAsia"/>
                                <w:lang w:eastAsia="zh-CN"/>
                              </w:rPr>
                              <w:t>戊类罐区二</w:t>
                            </w:r>
                          </w:p>
                        </w:txbxContent>
                      </wps:txbx>
                      <wps:bodyPr rot="0" vert="horz" wrap="square" lIns="91440" tIns="45720" rIns="91440" bIns="45720" anchor="t" anchorCtr="0" upright="1">
                        <a:noAutofit/>
                      </wps:bodyPr>
                    </wps:wsp>
                  </a:graphicData>
                </a:graphic>
              </wp:anchor>
            </w:drawing>
          </mc:Choice>
          <mc:Fallback>
            <w:pict>
              <v:shape id="自选图形 2308" o:spid="_x0000_s1026" o:spt="109" type="#_x0000_t109" style="position:absolute;left:0pt;margin-left:144.8pt;margin-top:405.1pt;height:26.65pt;width:84.75pt;mso-position-horizontal-relative:margin;z-index:251968512;mso-width-relative:page;mso-height-relative:page;" filled="f" stroked="f" coordsize="21600,21600" o:gfxdata="UEsDBAoAAAAAAIdO4kAAAAAAAAAAAAAAAAAEAAAAZHJzL1BLAwQUAAAACACHTuJA7eFujtkAAAAL&#10;AQAADwAAAGRycy9kb3ducmV2LnhtbE2Py07DMBBF90j8gzVI7KidR9M0xKkQEoUtgU13bmziiHgc&#10;xW7a/j3DCpYzc3Tn3Hp3cSNbzBwGjxKSlQBmsPN6wF7C58fLQwksRIVajR6NhKsJsGtub2pVaX/G&#10;d7O0sWcUgqFSEmyMU8V56KxxKqz8ZJBuX352KtI491zP6kzhbuSpEAV3akD6YNVknq3pvtuTk7Dk&#10;T9f9YfPa55l+syLsh0RlrZT3d4l4BBbNJf7B8KtP6tCQ09GfUAc2SkjLbUGohDIRKTAi8vU2AXak&#10;TZGtgTc1/9+h+QFQSwMEFAAAAAgAh07iQG2omzIqAgAAJQQAAA4AAABkcnMvZTJvRG9jLnhtbK1T&#10;y47TMBTdI/EPlvc0j6adEjUdjaYahDRApYEPcB2nsUh8je02KSt2iG9gx5J/gL8ZCf6Ca6dTOsNm&#10;FmwiX1/73HOOT+bnfduQnTBWgipoMoopEYpDKdWmoO/eXj2bUWIdUyVrQImC7oWl54unT+adzkUK&#10;NTSlMARBlM07XdDaOZ1HkeW1aJkdgRYKmxWYljkszSYqDesQvW2iNI6nUQem1Aa4sBZ3l0OTHhDN&#10;YwChqiQXS+DbVig3oBrRMIeSbC21pYvAtqoEd2+qygpHmoKiUhe+OATXa/+NFnOWbwzTteQHCuwx&#10;FB5oaplUOPQItWSOka2R/0C1khuwULkRhzYahARHUEUSP/DmpmZaBC1otdVH0+3/g+WvdytDZFnQ&#10;WTZNsiSdTClRrMWH//X5++9PX26//rz98Y2k43jmzeq0zfHOjV4ZL9fqa+DvLVFwWTO1ERfGQFcL&#10;ViLFxJ+P7l3whcWrZN29ghJnsK2D4FtfmdYDoiOkD8+zPz6P6B3huJnEZ9NxOqGEY288nmWTSRjB&#10;8rvb2lj3QkBL/KKgVQMd8jJuNcQtTGK7a+s8M5bfHfeDFVzJpglxaNS9DTzod4IST34wwfXr/uDH&#10;Gso9ajIwpAv/LVzUYD5S0mGyCmo/bJkRlDQvFfryPMkyH8VQZJOzFAtz2lmfdpjiCFVQR8mwvHRD&#10;fLfayE2Nk5IgS8EFelnJIM37PLA68Mb0BMWHpPt4ntbh1N+/e/E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7eFujtkAAAALAQAADwAAAAAAAAABACAAAAAiAAAAZHJzL2Rvd25yZXYueG1sUEsBAhQA&#10;FAAAAAgAh07iQG2omzIqAgAAJQQAAA4AAAAAAAAAAQAgAAAAKAEAAGRycy9lMm9Eb2MueG1sUEsF&#10;BgAAAAAGAAYAWQEAAMQFAAAAAA==&#10;">
                <v:fill on="f" focussize="0,0"/>
                <v:stroke on="f"/>
                <v:imagedata o:title=""/>
                <o:lock v:ext="edit" aspectratio="f"/>
                <v:textbox>
                  <w:txbxContent>
                    <w:p w14:paraId="4659E786">
                      <w:pPr>
                        <w:jc w:val="center"/>
                        <w:rPr>
                          <w:lang w:eastAsia="zh-CN"/>
                        </w:rPr>
                      </w:pPr>
                      <w:r>
                        <w:rPr>
                          <w:rFonts w:hint="eastAsia"/>
                          <w:lang w:eastAsia="zh-CN"/>
                        </w:rPr>
                        <w:t>戊类罐区二</w:t>
                      </w: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967488" behindDoc="0" locked="0" layoutInCell="1" allowOverlap="1">
                <wp:simplePos x="0" y="0"/>
                <wp:positionH relativeFrom="column">
                  <wp:posOffset>1280795</wp:posOffset>
                </wp:positionH>
                <wp:positionV relativeFrom="paragraph">
                  <wp:posOffset>4627880</wp:posOffset>
                </wp:positionV>
                <wp:extent cx="2058670" cy="1677035"/>
                <wp:effectExtent l="635" t="0" r="0" b="0"/>
                <wp:wrapNone/>
                <wp:docPr id="1598335429" name="矩形 5098"/>
                <wp:cNvGraphicFramePr/>
                <a:graphic xmlns:a="http://schemas.openxmlformats.org/drawingml/2006/main">
                  <a:graphicData uri="http://schemas.microsoft.com/office/word/2010/wordprocessingShape">
                    <wps:wsp>
                      <wps:cNvSpPr>
                        <a:spLocks noChangeArrowheads="1"/>
                      </wps:cNvSpPr>
                      <wps:spPr bwMode="auto">
                        <a:xfrm rot="5400000">
                          <a:off x="0" y="0"/>
                          <a:ext cx="2058772" cy="1676907"/>
                        </a:xfrm>
                        <a:prstGeom prst="rect">
                          <a:avLst/>
                        </a:prstGeom>
                        <a:solidFill>
                          <a:srgbClr val="FF5050"/>
                        </a:solidFill>
                        <a:ln>
                          <a:noFill/>
                        </a:ln>
                        <a:effectLst/>
                      </wps:spPr>
                      <wps:bodyPr rot="0" vert="horz" wrap="square" lIns="91440" tIns="45720" rIns="91440" bIns="45720" anchor="t" anchorCtr="0" upright="1">
                        <a:noAutofit/>
                      </wps:bodyPr>
                    </wps:wsp>
                  </a:graphicData>
                </a:graphic>
              </wp:anchor>
            </w:drawing>
          </mc:Choice>
          <mc:Fallback>
            <w:pict>
              <v:rect id="矩形 5098" o:spid="_x0000_s1026" o:spt="1" style="position:absolute;left:0pt;margin-left:100.85pt;margin-top:364.4pt;height:132.05pt;width:162.1pt;rotation:5898240f;z-index:251967488;mso-width-relative:page;mso-height-relative:page;" fillcolor="#FF5050" filled="t" stroked="f" coordsize="21600,21600" o:gfxdata="UEsDBAoAAAAAAIdO4kAAAAAAAAAAAAAAAAAEAAAAZHJzL1BLAwQUAAAACACHTuJASmDKDNsAAAAL&#10;AQAADwAAAGRycy9kb3ducmV2LnhtbE2PUUvDMBSF3wX/Q7iCby5pYHapTQcKG/oiWmX4eNfEttjc&#10;lCbd5n698UkfL/fjnO+U65Mb2MFOofekIVsIYJYab3pqNby/bW5WwEJEMjh4shq+bYB1dXlRYmH8&#10;kV7toY4tSyEUCtTQxTgWnIemsw7Dwo+W0u/TTw5jOqeWmwmPKdwNXApxyx32lBo6HO1DZ5uvenYa&#10;zvn2XONODfPz5sV83De77eOT1Pr6KhN3wKI9xT8YfvWTOlTJae9nMoENGqTI8oRqyOUqbUjEUi4V&#10;sL0GpaQCXpX8/4bqB1BLAwQUAAAACACHTuJA8MGYTjkCAABPBAAADgAAAGRycy9lMm9Eb2MueG1s&#10;rVTNjtMwEL4j8Q6W7zRpt+lP1HS1alWEtMBKCw/gOk5jkXjM2G26vAwSNx6Cx0G8BmOndMty2QM5&#10;RB7P+Jv5Pn/J4vrYNuyg0GkwBR8OUs6UkVBqsyv4xw+bVzPOnBemFA0YVfAH5fj18uWLRWdzNYIa&#10;mlIhIxDj8s4WvPbe5kniZK1a4QZglaFkBdgKTyHukhJFR+htk4zSdJJ0gKVFkMo52l33SX5CxOcA&#10;QlVpqdYg960yvkdF1QhPlFytrePLOG1VKenfV5VTnjUFJ6Y+vqkJrbfhnSwXIt+hsLWWpxHEc0Z4&#10;wqkV2lDTM9RaeMH2qP+BarVEcFD5gYQ26YlERYjFMH2izX0trIpcSGpnz6K7/wcr3x3ukOmSnJDN&#10;Z1dX2Xg058yIlm7+19fvP398Y1k6nwWdOutyKr+3dxiYOnsL8pNjBla1MDt1gwhdrURJ0w1DffLX&#10;gRA4Osq23VsoCV3sPUTJjhW2DIGuJhun4Ym7JA07xnt6ON+TOnomaXOUZrPpdMSZpNxwMp3M02ns&#10;KPIAFqaz6PxrBS0Li4IjGSHCisOt82G4x5JIBhpdbnTTxAB321WD7CDINJtNlmbRJ3TEXZY1JhQb&#10;CMd6xH5HRdud2vyh3cu3hfKBJIhkyYH0FdJsNeAXzjryYMHd571AxVnzxpCM8+F4HEwbg3E2HVGA&#10;l5ntZUYYSVAF95z1y5Xvjb63qHc1dRpGCQzckPSVjjKE+fqpThdGPovqnL6JYOTLOFY9/geW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KYMoM2wAAAAsBAAAPAAAAAAAAAAEAIAAAACIAAABkcnMv&#10;ZG93bnJldi54bWxQSwECFAAUAAAACACHTuJA8MGYTjkCAABPBAAADgAAAAAAAAABACAAAAAqAQAA&#10;ZHJzL2Uyb0RvYy54bWxQSwUGAAAAAAYABgBZAQAA1QUAAAAA&#10;">
                <v:fill on="t" focussize="0,0"/>
                <v:stroke on="f"/>
                <v:imagedata o:title=""/>
                <o:lock v:ext="edit" aspectratio="f"/>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966464" behindDoc="0" locked="0" layoutInCell="1" allowOverlap="1">
                <wp:simplePos x="0" y="0"/>
                <wp:positionH relativeFrom="page">
                  <wp:posOffset>2801620</wp:posOffset>
                </wp:positionH>
                <wp:positionV relativeFrom="paragraph">
                  <wp:posOffset>2610485</wp:posOffset>
                </wp:positionV>
                <wp:extent cx="925195" cy="338455"/>
                <wp:effectExtent l="0" t="0" r="0" b="4445"/>
                <wp:wrapNone/>
                <wp:docPr id="1011582354" name="自选图形 2308"/>
                <wp:cNvGraphicFramePr/>
                <a:graphic xmlns:a="http://schemas.openxmlformats.org/drawingml/2006/main">
                  <a:graphicData uri="http://schemas.microsoft.com/office/word/2010/wordprocessingShape">
                    <wps:wsp>
                      <wps:cNvSpPr>
                        <a:spLocks noChangeArrowheads="1"/>
                      </wps:cNvSpPr>
                      <wps:spPr bwMode="auto">
                        <a:xfrm>
                          <a:off x="0" y="0"/>
                          <a:ext cx="925195" cy="338455"/>
                        </a:xfrm>
                        <a:prstGeom prst="flowChartProcess">
                          <a:avLst/>
                        </a:prstGeom>
                        <a:noFill/>
                        <a:ln>
                          <a:noFill/>
                        </a:ln>
                      </wps:spPr>
                      <wps:txbx>
                        <w:txbxContent>
                          <w:p w14:paraId="309DE3CA">
                            <w:pPr>
                              <w:jc w:val="center"/>
                              <w:rPr>
                                <w:lang w:eastAsia="zh-CN"/>
                              </w:rPr>
                            </w:pPr>
                            <w:r>
                              <w:rPr>
                                <w:rFonts w:hint="eastAsia"/>
                                <w:lang w:eastAsia="zh-CN"/>
                              </w:rPr>
                              <w:t>丁类仓库</w:t>
                            </w:r>
                          </w:p>
                        </w:txbxContent>
                      </wps:txbx>
                      <wps:bodyPr rot="0" vert="horz" wrap="square" lIns="91440" tIns="45720" rIns="91440" bIns="45720" anchor="t" anchorCtr="0" upright="1">
                        <a:noAutofit/>
                      </wps:bodyPr>
                    </wps:wsp>
                  </a:graphicData>
                </a:graphic>
              </wp:anchor>
            </w:drawing>
          </mc:Choice>
          <mc:Fallback>
            <w:pict>
              <v:shape id="自选图形 2308" o:spid="_x0000_s1026" o:spt="109" type="#_x0000_t109" style="position:absolute;left:0pt;margin-left:220.6pt;margin-top:205.55pt;height:26.65pt;width:72.85pt;mso-position-horizontal-relative:page;z-index:251966464;mso-width-relative:page;mso-height-relative:page;" filled="f" stroked="f" coordsize="21600,21600" o:gfxdata="UEsDBAoAAAAAAIdO4kAAAAAAAAAAAAAAAAAEAAAAZHJzL1BLAwQUAAAACACHTuJAFc0gBtcAAAAL&#10;AQAADwAAAGRycy9kb3ducmV2LnhtbE2PPU/DMBCGdyT+g3VIbNR2a9IS4lQIicJKYOnmxiaOiM9R&#10;7Kbtv+eYYLuPR+89V23PYWCzm1IfUYNcCGAO22h77DR8frzcbYClbNCaIaLTcHEJtvX1VWVKG0/4&#10;7uYmd4xCMJVGg895LDlPrXfBpEUcHdLuK07BZGqnjtvJnCg8DHwpRMGD6ZEueDO6Z+/a7+YYNMzq&#10;6bLbr187tbJvXqRdL82q0fr2RopHYNmd8x8Mv/qkDjU5HeIRbWKDBqXkklAqpJTAiLjfFA/ADjQp&#10;lAJeV/z/D/UPUEsDBBQAAAAIAIdO4kClRKgrKQIAACUEAAAOAAAAZHJzL2Uyb0RvYy54bWytU8uO&#10;0zAU3SPxD5b3NI820EZNR6OpBiENUGngA1zHaSwSX2O7TcqKHZpvYMeSf4C/GQn+gmunUzrDZhZs&#10;Il9f+9xzjk/mZ33bkJ0wVoIqaDKKKRGKQynVpqDv310+m1JiHVMla0CJgu6FpWeLp0/mnc5FCjU0&#10;pTAEQZTNO13Q2jmdR5HltWiZHYEWCpsVmJY5LM0mKg3rEL1tojSOn0cdmFIb4MJa3F0OTXpANI8B&#10;hKqSXCyBb1uh3IBqRMMcSrK11JYuAtuqEty9rSorHGkKikpd+OIQXK/9N1rMWb4xTNeSHyiwx1B4&#10;oKllUuHQI9SSOUa2Rv4D1UpuwELlRhzaaBASHEEVSfzAm+uaaRG0oNVWH023/w+Wv9mtDJElJiFO&#10;kmyajrMJJYq1+PK/vnz//fnm9uvP2x/fSDqOp96tTtscL13rlfF6rb4C/sESBRc1Uxtxbgx0tWAl&#10;ckz8+ejeBV9YvErW3WsocQbbOgjG9ZVpPSBaQvrwPvvj+4jeEY6bszRLZhklHFvj8XSSZWECy+8u&#10;a2PdSwEt8YuCVg10SMu41RC3MIjtrqzzxFh+d9zPVXApmybEoVH3NvCg3wlCPPfBA9ev+4Mdayj3&#10;KMnAkC78t3BRg/lESYfJKqj9uGVGUNK8UmjLLJlMfBRDMclepFiY0876tMMUR6iCOkqG5YUb4rvV&#10;Rm5qnJQEWQrO0cpKBmne5oHVgTemJyg+JN3H87QOp/7+3Y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Fc0gBtcAAAALAQAADwAAAAAAAAABACAAAAAiAAAAZHJzL2Rvd25yZXYueG1sUEsBAhQAFAAA&#10;AAgAh07iQKVEqCspAgAAJQQAAA4AAAAAAAAAAQAgAAAAJgEAAGRycy9lMm9Eb2MueG1sUEsFBgAA&#10;AAAGAAYAWQEAAMEFAAAAAA==&#10;">
                <v:fill on="f" focussize="0,0"/>
                <v:stroke on="f"/>
                <v:imagedata o:title=""/>
                <o:lock v:ext="edit" aspectratio="f"/>
                <v:textbox>
                  <w:txbxContent>
                    <w:p w14:paraId="309DE3CA">
                      <w:pPr>
                        <w:jc w:val="center"/>
                        <w:rPr>
                          <w:lang w:eastAsia="zh-CN"/>
                        </w:rPr>
                      </w:pPr>
                      <w:r>
                        <w:rPr>
                          <w:rFonts w:hint="eastAsia"/>
                          <w:lang w:eastAsia="zh-CN"/>
                        </w:rPr>
                        <w:t>丁类仓库</w:t>
                      </w: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965440" behindDoc="0" locked="0" layoutInCell="1" allowOverlap="1">
                <wp:simplePos x="0" y="0"/>
                <wp:positionH relativeFrom="column">
                  <wp:posOffset>2263775</wp:posOffset>
                </wp:positionH>
                <wp:positionV relativeFrom="paragraph">
                  <wp:posOffset>2185035</wp:posOffset>
                </wp:positionV>
                <wp:extent cx="543560" cy="1172210"/>
                <wp:effectExtent l="0" t="9208" r="0" b="0"/>
                <wp:wrapNone/>
                <wp:docPr id="939063543" name="矩形 5098"/>
                <wp:cNvGraphicFramePr/>
                <a:graphic xmlns:a="http://schemas.openxmlformats.org/drawingml/2006/main">
                  <a:graphicData uri="http://schemas.microsoft.com/office/word/2010/wordprocessingShape">
                    <wps:wsp>
                      <wps:cNvSpPr>
                        <a:spLocks noChangeArrowheads="1"/>
                      </wps:cNvSpPr>
                      <wps:spPr bwMode="auto">
                        <a:xfrm rot="5400000">
                          <a:off x="0" y="0"/>
                          <a:ext cx="543871" cy="1171939"/>
                        </a:xfrm>
                        <a:prstGeom prst="rect">
                          <a:avLst/>
                        </a:prstGeom>
                        <a:solidFill>
                          <a:srgbClr val="FF5050"/>
                        </a:solidFill>
                        <a:ln>
                          <a:noFill/>
                        </a:ln>
                        <a:effectLst/>
                      </wps:spPr>
                      <wps:bodyPr rot="0" vert="horz" wrap="square" lIns="91440" tIns="45720" rIns="91440" bIns="45720" anchor="t" anchorCtr="0" upright="1">
                        <a:noAutofit/>
                      </wps:bodyPr>
                    </wps:wsp>
                  </a:graphicData>
                </a:graphic>
              </wp:anchor>
            </w:drawing>
          </mc:Choice>
          <mc:Fallback>
            <w:pict>
              <v:rect id="矩形 5098" o:spid="_x0000_s1026" o:spt="1" style="position:absolute;left:0pt;margin-left:178.25pt;margin-top:172.05pt;height:92.3pt;width:42.8pt;rotation:5898240f;z-index:251965440;mso-width-relative:page;mso-height-relative:page;" fillcolor="#FF5050" filled="t" stroked="f" coordsize="21600,21600" o:gfxdata="UEsDBAoAAAAAAIdO4kAAAAAAAAAAAAAAAAAEAAAAZHJzL1BLAwQUAAAACACHTuJA9BsibtwAAAAL&#10;AQAADwAAAGRycy9kb3ducmV2LnhtbE2PwU7DMAyG70i8Q2QkbixtabdRmk4CaRNcJiho4ug1oa1o&#10;nKpJt7Gnx5zg9lv+9PtzsTrZXhzM6DtHCuJZBMJQ7XRHjYL3t/XNEoQPSBp7R0bBt/GwKi8vCsy1&#10;O9KrOVShEVxCPkcFbQhDLqWvW2PRz9xgiHefbrQYeBwbqUc8crntZRJFc2mxI77Q4mAeW1N/VZNV&#10;cF5szhXu7vppu37RHw/1bvP0nCh1fRVH9yCCOYU/GH71WR1Kdtq7ibQXvYLbbJ4xyiFNYxBMpGnC&#10;Ya8gS5YLkGUh//9Q/gBQSwMEFAAAAAgAh07iQAXrrQU1AgAATQQAAA4AAABkcnMvZTJvRG9jLnht&#10;bK1UzY7TMBC+I/EOlu80SX9226jpatWqCGmBlRYewHWcxiLxmLHbtLwMEjcegsdBvAZjp3TLctkD&#10;OUQez/ibbz5/yfzm0DZsr9BpMAXPBilnykgotdkW/OOH9aspZ84LU4oGjCr4UTl+s3j5Yt7ZXA2h&#10;hqZUyAjEuLyzBa+9t3mSOFmrVrgBWGUoWQG2wlOI26RE0RF62yTDNL1KOsDSIkjlHO2u+iQ/IeJz&#10;AKGqtFQrkLtWGd+jomqEp5Fcra3ji8i2qpT076vKKc+agtOkPr6pCa034Z0s5iLforC1licK4jkU&#10;nszUCm2o6RlqJbxgO9T/QLVaIjio/EBCm/SDREVoiix9os1DLayKs5DUzp5Fd/8PVr7b3yPTZcFn&#10;o1l6NZqMR5wZ0dLF//r6/eePb2ySzqZBps66nKof7D2GQZ29A/nJMQPLWpitukWErlaiJHJZqE/+&#10;OhACR0fZpnsLJaGLnYeo2KHCliHQzUzGaXjiLinDDvGajudrUgfPJG0Sx+l1xpmkVJZdZ8Q8NhR5&#10;wArkLDr/WkHLwqLgSDaIqGJ/53zg9lgSZ4FGl2vdNDHA7WbZINsLssx6PUkn0SV0xF2WNSYUGwjH&#10;esR+R0XTndr8mbpXbwPlkRSIs5L/6BskbjXgF846cmDB3eedQMVZ88aQirNsPA6WjcF4cj2kAC8z&#10;m8uMMJKgCu4565dL39t8Z1Fva+qURQkM3JLylY4yBH49q9N9kcuiOqcvItj4Mo5Vj3+Bx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0GyJu3AAAAAsBAAAPAAAAAAAAAAEAIAAAACIAAABkcnMvZG93&#10;bnJldi54bWxQSwECFAAUAAAACACHTuJABeutBTUCAABNBAAADgAAAAAAAAABACAAAAArAQAAZHJz&#10;L2Uyb0RvYy54bWxQSwUGAAAAAAYABgBZAQAA0gUAAAAA&#10;">
                <v:fill on="t" focussize="0,0"/>
                <v:stroke on="f"/>
                <v:imagedata o:title=""/>
                <o:lock v:ext="edit" aspectratio="f"/>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964416" behindDoc="0" locked="0" layoutInCell="1" allowOverlap="1">
                <wp:simplePos x="0" y="0"/>
                <wp:positionH relativeFrom="margin">
                  <wp:posOffset>3703955</wp:posOffset>
                </wp:positionH>
                <wp:positionV relativeFrom="paragraph">
                  <wp:posOffset>444500</wp:posOffset>
                </wp:positionV>
                <wp:extent cx="925195" cy="471805"/>
                <wp:effectExtent l="0" t="0" r="0" b="4445"/>
                <wp:wrapNone/>
                <wp:docPr id="1451408921" name="自选图形 2308"/>
                <wp:cNvGraphicFramePr/>
                <a:graphic xmlns:a="http://schemas.openxmlformats.org/drawingml/2006/main">
                  <a:graphicData uri="http://schemas.microsoft.com/office/word/2010/wordprocessingShape">
                    <wps:wsp>
                      <wps:cNvSpPr>
                        <a:spLocks noChangeArrowheads="1"/>
                      </wps:cNvSpPr>
                      <wps:spPr bwMode="auto">
                        <a:xfrm>
                          <a:off x="0" y="0"/>
                          <a:ext cx="925195" cy="471805"/>
                        </a:xfrm>
                        <a:prstGeom prst="flowChartProcess">
                          <a:avLst/>
                        </a:prstGeom>
                        <a:noFill/>
                        <a:ln>
                          <a:noFill/>
                        </a:ln>
                      </wps:spPr>
                      <wps:txbx>
                        <w:txbxContent>
                          <w:p w14:paraId="35B5998B">
                            <w:pPr>
                              <w:jc w:val="center"/>
                              <w:rPr>
                                <w:lang w:eastAsia="zh-CN"/>
                              </w:rPr>
                            </w:pPr>
                            <w:r>
                              <w:rPr>
                                <w:rFonts w:hint="eastAsia"/>
                                <w:lang w:eastAsia="zh-CN"/>
                              </w:rPr>
                              <w:t>无水氟化氢库房</w:t>
                            </w:r>
                          </w:p>
                        </w:txbxContent>
                      </wps:txbx>
                      <wps:bodyPr rot="0" vert="horz" wrap="square" lIns="91440" tIns="45720" rIns="91440" bIns="45720" anchor="t" anchorCtr="0" upright="1">
                        <a:noAutofit/>
                      </wps:bodyPr>
                    </wps:wsp>
                  </a:graphicData>
                </a:graphic>
              </wp:anchor>
            </w:drawing>
          </mc:Choice>
          <mc:Fallback>
            <w:pict>
              <v:shape id="自选图形 2308" o:spid="_x0000_s1026" o:spt="109" type="#_x0000_t109" style="position:absolute;left:0pt;margin-left:291.65pt;margin-top:35pt;height:37.15pt;width:72.85pt;mso-position-horizontal-relative:margin;z-index:251964416;mso-width-relative:page;mso-height-relative:page;" filled="f" stroked="f" coordsize="21600,21600" o:gfxdata="UEsDBAoAAAAAAIdO4kAAAAAAAAAAAAAAAAAEAAAAZHJzL1BLAwQUAAAACACHTuJASlJ2zdYAAAAK&#10;AQAADwAAAGRycy9kb3ducmV2LnhtbE2PwU7DMAyG70i8Q2QkbizpWugoTSeExOBK4cIta0xT0ThV&#10;k3Xb22NOcLPlT7+/v96e/CgWnOMQSEO2UiCQumAH6jV8vD/fbEDEZMiaMRBqOGOEbXN5UZvKhiO9&#10;4dKmXnAIxcpocClNlZSxc+hNXIUJiW9fYfYm8Tr30s7myOF+lGul7qQ3A/EHZyZ8cth9twevYSke&#10;z7vP8qUvcvvqVNwNmclbra+vMvUAIuEp/cHwq8/q0LDTPhzIRjFquN3kOaMaSsWdGCjX9zzsmSyK&#10;HGRTy/8Vmh9QSwMEFAAAAAgAh07iQOyKcjMqAgAAJQQAAA4AAABkcnMvZTJvRG9jLnhtbK1Ty47T&#10;MBTdI/EPlvc0D1KmjZqORlMNQhqg0sAHuI7TRCS+5tptOqzYofkGdiz5B/ibkeAvuHY6pTNsZsEm&#10;8vW1zz3n+GR2uutatlVoG9AFT0YxZ0pLKBu9Lvj7dxfPJpxZJ3QpWtCq4NfK8tP50yez3uQqhRra&#10;UiEjEG3z3hS8ds7kUWRlrTphR2CUpmYF2AlHJa6jEkVP6F0bpXH8IuoBS4MglbW0uxiafI+IjwGE&#10;qmqkWoDcdEq7ARVVKxxJsnVjLJ8HtlWlpHtbVVY51haclLrwpSG0XvlvNJ+JfI3C1I3cUxCPofBA&#10;UycaTUMPUAvhBNtg8w9U10gEC5UbSeiiQUhwhFQk8QNvrmphVNBCVltzMN3+P1j5ZrtE1pSUhGyc&#10;ZPFkmiacadHRy//68v3355vbrz9vf3xj6fN44t3qjc3p0pVZotdrzSXID5ZpOK+FXqszROhrJUri&#10;mPjz0b0LvrB0la3611DSDLFxEIzbVdh5QLKE7cL7XB/eR+0ck7Q5TcfJdMyZpFZ2kkzicZgg8rvL&#10;Bq17qaBjflHwqoWeaKFbDnELg8T20jpPTOR3x/1cDRdN24Y4tPreBh30O0GI5z544Har3d6OFZTX&#10;JAlhSBf9W7SoAT9x1lOyCm4/bgQqztpXmmyZJlnmoxiKbHySUoHHndVxR2hJUAV3nA3LczfEd2Ow&#10;Wdc0KQmyNJyRlVUTpHmbB1Z73pSeoHifdB/P4zqc+vt3z/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lJ2zdYAAAAKAQAADwAAAAAAAAABACAAAAAiAAAAZHJzL2Rvd25yZXYueG1sUEsBAhQAFAAA&#10;AAgAh07iQOyKcjMqAgAAJQQAAA4AAAAAAAAAAQAgAAAAJQEAAGRycy9lMm9Eb2MueG1sUEsFBgAA&#10;AAAGAAYAWQEAAMEFAAAAAA==&#10;">
                <v:fill on="f" focussize="0,0"/>
                <v:stroke on="f"/>
                <v:imagedata o:title=""/>
                <o:lock v:ext="edit" aspectratio="f"/>
                <v:textbox>
                  <w:txbxContent>
                    <w:p w14:paraId="35B5998B">
                      <w:pPr>
                        <w:jc w:val="center"/>
                        <w:rPr>
                          <w:lang w:eastAsia="zh-CN"/>
                        </w:rPr>
                      </w:pPr>
                      <w:r>
                        <w:rPr>
                          <w:rFonts w:hint="eastAsia"/>
                          <w:lang w:eastAsia="zh-CN"/>
                        </w:rPr>
                        <w:t>无水氟化氢库房</w:t>
                      </w: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963392" behindDoc="0" locked="0" layoutInCell="1" allowOverlap="1">
                <wp:simplePos x="0" y="0"/>
                <wp:positionH relativeFrom="column">
                  <wp:posOffset>3799205</wp:posOffset>
                </wp:positionH>
                <wp:positionV relativeFrom="paragraph">
                  <wp:posOffset>226695</wp:posOffset>
                </wp:positionV>
                <wp:extent cx="789305" cy="1049020"/>
                <wp:effectExtent l="3493" t="0" r="0" b="0"/>
                <wp:wrapNone/>
                <wp:docPr id="26471036" name="矩形 5098"/>
                <wp:cNvGraphicFramePr/>
                <a:graphic xmlns:a="http://schemas.openxmlformats.org/drawingml/2006/main">
                  <a:graphicData uri="http://schemas.microsoft.com/office/word/2010/wordprocessingShape">
                    <wps:wsp>
                      <wps:cNvSpPr>
                        <a:spLocks noChangeArrowheads="1"/>
                      </wps:cNvSpPr>
                      <wps:spPr bwMode="auto">
                        <a:xfrm rot="5400000">
                          <a:off x="0" y="0"/>
                          <a:ext cx="789531" cy="1049108"/>
                        </a:xfrm>
                        <a:prstGeom prst="rect">
                          <a:avLst/>
                        </a:prstGeom>
                        <a:solidFill>
                          <a:srgbClr val="FF5050"/>
                        </a:solidFill>
                        <a:ln>
                          <a:noFill/>
                        </a:ln>
                        <a:effectLst/>
                      </wps:spPr>
                      <wps:bodyPr rot="0" vert="horz" wrap="square" lIns="91440" tIns="45720" rIns="91440" bIns="45720" anchor="t" anchorCtr="0" upright="1">
                        <a:noAutofit/>
                      </wps:bodyPr>
                    </wps:wsp>
                  </a:graphicData>
                </a:graphic>
              </wp:anchor>
            </w:drawing>
          </mc:Choice>
          <mc:Fallback>
            <w:pict>
              <v:rect id="矩形 5098" o:spid="_x0000_s1026" o:spt="1" style="position:absolute;left:0pt;margin-left:299.15pt;margin-top:17.85pt;height:82.6pt;width:62.15pt;rotation:5898240f;z-index:251963392;mso-width-relative:page;mso-height-relative:page;" fillcolor="#FF5050" filled="t" stroked="f" coordsize="21600,21600" o:gfxdata="UEsDBAoAAAAAAIdO4kAAAAAAAAAAAAAAAAAEAAAAZHJzL1BLAwQUAAAACACHTuJAaK4b19sAAAAK&#10;AQAADwAAAGRycy9kb3ducmV2LnhtbE2PQU/CQBCF7yb+h82YeJMtJVBaOiXRBKIXg9UQjkN3bRu7&#10;u013C8ivdzzpcfK+vPdNvr6YTpz04FtnEaaTCIS2lVOtrRE+3jcPSxA+kFXUOasRvrWHdXF7k1Om&#10;3Nm+6VMZasEl1meE0ITQZ1L6qtGG/MT12nL26QZDgc+hlmqgM5ebTsZRtJCGWssLDfX6qdHVVzka&#10;hGuyvZa0T7vxdbNTh8dqv31+iRHv76bRCkTQl/AHw68+q0PBTkc3WuVFhzBPlzNGEWbzBAQDSRwv&#10;QBwReDcFWeTy/wvFD1BLAwQUAAAACACHTuJAY5elzTYCAABMBAAADgAAAGRycy9lMm9Eb2MueG1s&#10;rVTBjtMwEL0j8Q+W7zRJt+22UdPVqlUR0gIrLXyA6ziNReIxY7dp+RkkbnwEn4P4DcZO6Zblsgdy&#10;iDye8fObNy+Z3xzahu0VOg2m4Nkg5UwZCaU224J//LB+NeXMeWFK0YBRBT8qx28WL1/MO5urIdTQ&#10;lAoZgRiXd7bgtfc2TxIna9UKNwCrDCUrwFZ4CnGblCg6Qm+bZJimk6QDLC2CVM7R7qpP8hMiPgcQ&#10;qkpLtQK5a5XxPSqqRnhqydXaOr6IbKtKSf++qpzyrCk4derjmy6h9Sa8k8Vc5FsUttbyREE8h8KT&#10;nlqhDV16hloJL9gO9T9QrZYIDio/kNAmfSNREeoiS59o81ALq2IvJLWzZ9Hd/4OV7/b3yHRZ8OFk&#10;dJ2lVxPOjGhp7r++fv/54xsbp7NpUKmzLqfiB3uPoU9n70B+cszAshZmq24RoauVKIlbFuqTvw6E&#10;wNFRtuneQknoYuchCnaosGUINJjxKA1P3CVh2CFO6Xiekjp4JmnzejobX2WcSUpl6WiWpZFgIvKA&#10;FchZdP61gpaFRcGRXBBRxf7O+cDtsST2Ao0u17ppYoDbzbJBthfkmPV6nI6jSeiIuyxrTCg2EI71&#10;iP2Oip47XfOn6169DZRHUiD2SvajT5C41YBfOOvIgAV3n3cCFWfNG0MqzrLRKDg2BqPx9ZACvMxs&#10;LjPCSIIquOesXy597/KdRb2t6aYsSmDglpSvdJQh8OtZneZFJovqnD6I4OLLOFY9/gQW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orhvX2wAAAAoBAAAPAAAAAAAAAAEAIAAAACIAAABkcnMvZG93&#10;bnJldi54bWxQSwECFAAUAAAACACHTuJAY5elzTYCAABMBAAADgAAAAAAAAABACAAAAAqAQAAZHJz&#10;L2Uyb0RvYy54bWxQSwUGAAAAAAYABgBZAQAA0gUAAAAA&#10;">
                <v:fill on="t" focussize="0,0"/>
                <v:stroke on="f"/>
                <v:imagedata o:title=""/>
                <o:lock v:ext="edit" aspectratio="f"/>
              </v:rect>
            </w:pict>
          </mc:Fallback>
        </mc:AlternateContent>
      </w:r>
      <w:r>
        <w:rPr>
          <w:rFonts w:ascii="Times New Roman" w:hAnsi="Times New Roman" w:cs="Times New Roman"/>
          <w:snapToGrid/>
          <w:color w:val="auto"/>
          <w:lang w:eastAsia="zh-CN"/>
        </w:rPr>
        <w:drawing>
          <wp:anchor distT="0" distB="0" distL="114300" distR="114300" simplePos="0" relativeHeight="251778048" behindDoc="0" locked="0" layoutInCell="1" allowOverlap="1">
            <wp:simplePos x="0" y="0"/>
            <wp:positionH relativeFrom="column">
              <wp:posOffset>-365125</wp:posOffset>
            </wp:positionH>
            <wp:positionV relativeFrom="paragraph">
              <wp:posOffset>6866255</wp:posOffset>
            </wp:positionV>
            <wp:extent cx="972185" cy="737235"/>
            <wp:effectExtent l="0" t="0" r="0" b="0"/>
            <wp:wrapNone/>
            <wp:docPr id="5473" name="图片 510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3" name="图片 5106" descr="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a:xfrm>
                      <a:off x="0" y="0"/>
                      <a:ext cx="972185" cy="737235"/>
                    </a:xfrm>
                    <a:prstGeom prst="rect">
                      <a:avLst/>
                    </a:prstGeom>
                    <a:noFill/>
                    <a:ln>
                      <a:noFill/>
                    </a:ln>
                  </pic:spPr>
                </pic:pic>
              </a:graphicData>
            </a:graphic>
          </wp:anchor>
        </w:drawing>
      </w:r>
      <w:r>
        <w:rPr>
          <w:rFonts w:ascii="Times New Roman" w:hAnsi="Times New Roman" w:cs="Times New Roman"/>
          <w:snapToGrid/>
          <w:color w:val="auto"/>
          <w:lang w:eastAsia="zh-CN"/>
        </w:rPr>
        <mc:AlternateContent>
          <mc:Choice Requires="wps">
            <w:drawing>
              <wp:anchor distT="0" distB="0" distL="114300" distR="114300" simplePos="0" relativeHeight="251962368" behindDoc="0" locked="0" layoutInCell="1" allowOverlap="1">
                <wp:simplePos x="0" y="0"/>
                <wp:positionH relativeFrom="column">
                  <wp:posOffset>1497330</wp:posOffset>
                </wp:positionH>
                <wp:positionV relativeFrom="paragraph">
                  <wp:posOffset>1077595</wp:posOffset>
                </wp:positionV>
                <wp:extent cx="1468120" cy="338455"/>
                <wp:effectExtent l="0" t="0" r="0" b="4445"/>
                <wp:wrapNone/>
                <wp:docPr id="1923508333" name="自选图形 2308"/>
                <wp:cNvGraphicFramePr/>
                <a:graphic xmlns:a="http://schemas.openxmlformats.org/drawingml/2006/main">
                  <a:graphicData uri="http://schemas.microsoft.com/office/word/2010/wordprocessingShape">
                    <wps:wsp>
                      <wps:cNvSpPr>
                        <a:spLocks noChangeArrowheads="1"/>
                      </wps:cNvSpPr>
                      <wps:spPr bwMode="auto">
                        <a:xfrm>
                          <a:off x="0" y="0"/>
                          <a:ext cx="1468120" cy="338455"/>
                        </a:xfrm>
                        <a:prstGeom prst="flowChartProcess">
                          <a:avLst/>
                        </a:prstGeom>
                        <a:noFill/>
                        <a:ln>
                          <a:noFill/>
                        </a:ln>
                      </wps:spPr>
                      <wps:txbx>
                        <w:txbxContent>
                          <w:p w14:paraId="382FF255">
                            <w:pPr>
                              <w:jc w:val="center"/>
                              <w:rPr>
                                <w:lang w:eastAsia="zh-CN"/>
                              </w:rPr>
                            </w:pPr>
                            <w:r>
                              <w:rPr>
                                <w:rFonts w:hint="eastAsia"/>
                                <w:lang w:eastAsia="zh-CN"/>
                              </w:rPr>
                              <w:t>原料及产品罐区</w:t>
                            </w:r>
                          </w:p>
                        </w:txbxContent>
                      </wps:txbx>
                      <wps:bodyPr rot="0" vert="horz" wrap="square" lIns="91440" tIns="45720" rIns="91440" bIns="45720" anchor="t" anchorCtr="0" upright="1">
                        <a:noAutofit/>
                      </wps:bodyPr>
                    </wps:wsp>
                  </a:graphicData>
                </a:graphic>
              </wp:anchor>
            </w:drawing>
          </mc:Choice>
          <mc:Fallback>
            <w:pict>
              <v:shape id="自选图形 2308" o:spid="_x0000_s1026" o:spt="109" type="#_x0000_t109" style="position:absolute;left:0pt;margin-left:117.9pt;margin-top:84.85pt;height:26.65pt;width:115.6pt;z-index:251962368;mso-width-relative:page;mso-height-relative:page;" filled="f" stroked="f" coordsize="21600,21600" o:gfxdata="UEsDBAoAAAAAAIdO4kAAAAAAAAAAAAAAAAAEAAAAZHJzL1BLAwQUAAAACACHTuJAq43tHNcAAAAL&#10;AQAADwAAAGRycy9kb3ducmV2LnhtbE2Py07DMBBF90j8gzVI7KidBwmEOBVCorAlsGE3jU0SEY+j&#10;2E3bv2dYwXJ0ru6cW29PbhKrXcLoSUOyUSAsdd6M1Gv4eH++uQMRIpLByZPVcLYBts3lRY2V8Ud6&#10;s2sbe8ElFCrUMMQ4V1KGbrAOw8bPlph9+cVh5HPppVnwyOVukqlShXQ4En8YcLZPg+2+24PTsOaP&#10;591n+dLnmXkdVNiNCWat1tdXiXoAEe0p/oXhV5/VoWGnvT+QCWLSkGa3rB4ZFPclCE7kRcnr9ozS&#10;TIFsavl/Q/MDUEsDBBQAAAAIAIdO4kCKoXaNKgIAACYEAAAOAAAAZHJzL2Uyb0RvYy54bWytU0GO&#10;0zAU3SNxB8t7mqRph07UdDSaahDSACMNHMB1nCYi8TffbpOyYoc4AzuW3AFuMxLcgm+nUzrDZhZs&#10;LNvffv+95+f5Wd82bKvQ1qBznoxizpSWUNR6nfN3by+fzTizTuhCNKBVznfK8rPF0yfzzmRqDBU0&#10;hUJGINpmncl55ZzJosjKSrXCjsAoTcUSsBWOlriOChQdobdNNI7jk6gDLAyCVNbS7nIo8j0iPgYQ&#10;yrKWagly0yrtBlRUjXAkyVa1sXwR2Jalku5NWVrlWJNzUurCSE1ovvJjtJiLbI3CVLXcUxCPofBA&#10;UytqTU0PUEvhBNtg/Q9UW0sEC6UbSWijQUhwhFQk8QNvbiphVNBCVltzMN3+P1j5enuNrC4oCafj&#10;dBrP0jTlTIuWXv7X5++/P325/frz9sc3Nk7jmXerMzajSzfmGr1ea65AvrdMw0Ul9FqdI0JXKVEQ&#10;x8Sfj+5d8AtLV9mqewUF9RAbB8G4vsTWA5IlrA/vszu8j+odk7SZTE5myZieTlItTWeT6TS0ENnd&#10;bYPWvVDQMj/JedlAR7zQXQ95C53E9so6z0xkd8d9Yw2XddOEPDT63gYd9DtBiSc/mOD6Vb/3YwXF&#10;jjQhDPGiz0WTCvAjZx1FK+f2w0ag4qx5qcmX02Qy8VkMi8n0uVeEx5XVcUVoSVA5d5wN0ws35Hdj&#10;sF5X1CkJsjSck5dlHaR5nwdWe94Un6B4H3Wfz+N1OPX3ey/+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KuN7RzXAAAACwEAAA8AAAAAAAAAAQAgAAAAIgAAAGRycy9kb3ducmV2LnhtbFBLAQIUABQA&#10;AAAIAIdO4kCKoXaNKgIAACYEAAAOAAAAAAAAAAEAIAAAACYBAABkcnMvZTJvRG9jLnhtbFBLBQYA&#10;AAAABgAGAFkBAADCBQAAAAA=&#10;">
                <v:fill on="f" focussize="0,0"/>
                <v:stroke on="f"/>
                <v:imagedata o:title=""/>
                <o:lock v:ext="edit" aspectratio="f"/>
                <v:textbox>
                  <w:txbxContent>
                    <w:p w14:paraId="382FF255">
                      <w:pPr>
                        <w:jc w:val="center"/>
                        <w:rPr>
                          <w:lang w:eastAsia="zh-CN"/>
                        </w:rPr>
                      </w:pPr>
                      <w:r>
                        <w:rPr>
                          <w:rFonts w:hint="eastAsia"/>
                          <w:lang w:eastAsia="zh-CN"/>
                        </w:rPr>
                        <w:t>原料及产品罐区</w:t>
                      </w: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77024" behindDoc="0" locked="0" layoutInCell="1" allowOverlap="1">
                <wp:simplePos x="0" y="0"/>
                <wp:positionH relativeFrom="column">
                  <wp:posOffset>1542415</wp:posOffset>
                </wp:positionH>
                <wp:positionV relativeFrom="paragraph">
                  <wp:posOffset>577215</wp:posOffset>
                </wp:positionV>
                <wp:extent cx="1572260" cy="1449070"/>
                <wp:effectExtent l="4128" t="0" r="0" b="0"/>
                <wp:wrapNone/>
                <wp:docPr id="2144167543" name="矩形 5098"/>
                <wp:cNvGraphicFramePr/>
                <a:graphic xmlns:a="http://schemas.openxmlformats.org/drawingml/2006/main">
                  <a:graphicData uri="http://schemas.microsoft.com/office/word/2010/wordprocessingShape">
                    <wps:wsp>
                      <wps:cNvSpPr>
                        <a:spLocks noChangeArrowheads="1"/>
                      </wps:cNvSpPr>
                      <wps:spPr bwMode="auto">
                        <a:xfrm rot="5400000">
                          <a:off x="0" y="0"/>
                          <a:ext cx="1572179" cy="1449369"/>
                        </a:xfrm>
                        <a:prstGeom prst="rect">
                          <a:avLst/>
                        </a:prstGeom>
                        <a:solidFill>
                          <a:srgbClr val="FF5050"/>
                        </a:solidFill>
                        <a:ln>
                          <a:noFill/>
                        </a:ln>
                        <a:effectLst/>
                      </wps:spPr>
                      <wps:bodyPr rot="0" vert="horz" wrap="square" lIns="91440" tIns="45720" rIns="91440" bIns="45720" anchor="t" anchorCtr="0" upright="1">
                        <a:noAutofit/>
                      </wps:bodyPr>
                    </wps:wsp>
                  </a:graphicData>
                </a:graphic>
              </wp:anchor>
            </w:drawing>
          </mc:Choice>
          <mc:Fallback>
            <w:pict>
              <v:rect id="矩形 5098" o:spid="_x0000_s1026" o:spt="1" style="position:absolute;left:0pt;margin-left:121.45pt;margin-top:45.45pt;height:114.1pt;width:123.8pt;rotation:5898240f;z-index:251777024;mso-width-relative:page;mso-height-relative:page;" fillcolor="#FF5050" filled="t" stroked="f" coordsize="21600,21600" o:gfxdata="UEsDBAoAAAAAAIdO4kAAAAAAAAAAAAAAAAAEAAAAZHJzL1BLAwQUAAAACACHTuJAwIwaUtsAAAAK&#10;AQAADwAAAGRycy9kb3ducmV2LnhtbE2Py07DMBBF90j8gzVI7KidUB4OmVQCqRVsEKRVxXIamyTC&#10;jyh22tKvx6xgNRrN0Z1zy8XRGrbXY+i9Q8hmAph2jVe9axE26+XVPbAQySky3mmEbx1gUZ2flVQo&#10;f3Dvel/HlqUQFwpC6GIcCs5D02lLYeYH7dLt04+WYlrHlquRDincGp4Lccst9S596GjQT51uvurJ&#10;IpzuVqeattJMr8s39fHYbFfPLzni5UUmHoBFfYx/MPzqJ3WoktPOT04FZhDyeS4TiiBFmgmYS3ED&#10;bIdwnckMeFXy/xWqH1BLAwQUAAAACACHTuJAdHnczjYCAABPBAAADgAAAGRycy9lMm9Eb2MueG1s&#10;rVTNjtMwEL4j8Q6W7zRJtz/bqOlq1aoIaYGVFh7AdZzGIvGYsdu0vAwSNx6Cx0G8BmOndMty2QM5&#10;RB7P+Jv5Pn/J/ObQNmyv0GkwBc8GKWfKSCi12Rb844f1q2vOnBemFA0YVfCjcvxm8fLFvLO5GkIN&#10;TamQEYhxeWcLXntv8yRxslatcAOwylCyAmyFpxC3SYmiI/S2SYZpOkk6wNIiSOUc7a76JD8h4nMA&#10;oaq0VCuQu1YZ36OiaoQnSq7W1vFFnLaqlPTvq8opz5qCE1Mf39SE1pvwThZzkW9R2FrL0wjiOSM8&#10;4dQKbajpGWolvGA71P9AtVoiOKj8QEKb9ESiIsQiS59o81ALqyIXktrZs+ju/8HKd/t7ZLos+DAb&#10;jbLJdDy64syIlm7+19fvP398Y+N0dh106qzLqfzB3mNg6uwdyE+OGVjWwmzVLSJ0tRIlTZeF+uSv&#10;AyFwdJRturdQErrYeYiSHSpsGQJdzXiUhifukjTsEO/peL4ndfBM0mY2ng6z6YwzSTkae3Y1mcWO&#10;Ig9gYTqLzr9W0LKwKDiSESKs2N85H4Z7LIlkoNHlWjdNDHC7WTbI9oJMs16P03H0CR1xl2WNCcUG&#10;wrEesd9R0XanNn9o9/JtoDySBJEsOZC+QpqtBvzCWUceLLj7vBOoOGveGJJxRtyCaWMwItIU4GVm&#10;c5kRRhJUwT1n/XLpe6PvLOptTZ2yKIGBW5K+0lGGMF8/1enCyGdRndM3EYx8Gceqx//A4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AjBpS2wAAAAoBAAAPAAAAAAAAAAEAIAAAACIAAABkcnMvZG93&#10;bnJldi54bWxQSwECFAAUAAAACACHTuJAdHnczjYCAABPBAAADgAAAAAAAAABACAAAAAqAQAAZHJz&#10;L2Uyb0RvYy54bWxQSwUGAAAAAAYABgBZAQAA0gUAAAAA&#10;">
                <v:fill on="t" focussize="0,0"/>
                <v:stroke on="f"/>
                <v:imagedata o:title=""/>
                <o:lock v:ext="edit" aspectratio="f"/>
              </v:rect>
            </w:pict>
          </mc:Fallback>
        </mc:AlternateContent>
      </w:r>
      <w:r>
        <w:drawing>
          <wp:inline distT="0" distB="0" distL="0" distR="0">
            <wp:extent cx="4425315" cy="8546465"/>
            <wp:effectExtent l="0" t="0" r="0" b="6985"/>
            <wp:docPr id="892231178" name="图片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231178" name="图片 621"/>
                    <pic:cNvPicPr>
                      <a:picLocks noChangeAspect="1" noChangeArrowheads="1"/>
                    </pic:cNvPicPr>
                  </pic:nvPicPr>
                  <pic:blipFill>
                    <a:blip r:embed="rId107" cstate="print">
                      <a:extLst>
                        <a:ext uri="{28A0092B-C50C-407E-A947-70E740481C1C}">
                          <a14:useLocalDpi xmlns:a14="http://schemas.microsoft.com/office/drawing/2010/main" val="0"/>
                        </a:ext>
                      </a:extLst>
                    </a:blip>
                    <a:srcRect l="17869" t="4784" r="17293" b="6657"/>
                    <a:stretch>
                      <a:fillRect/>
                    </a:stretch>
                  </pic:blipFill>
                  <pic:spPr>
                    <a:xfrm>
                      <a:off x="0" y="0"/>
                      <a:ext cx="4433787" cy="8562328"/>
                    </a:xfrm>
                    <a:prstGeom prst="rect">
                      <a:avLst/>
                    </a:prstGeom>
                    <a:noFill/>
                    <a:ln>
                      <a:noFill/>
                    </a:ln>
                  </pic:spPr>
                </pic:pic>
              </a:graphicData>
            </a:graphic>
          </wp:inline>
        </w:drawing>
      </w:r>
    </w:p>
    <w:p w14:paraId="277F9FE8">
      <w:pPr>
        <w:widowControl w:val="0"/>
        <w:spacing w:line="360" w:lineRule="auto"/>
        <w:ind w:firstLine="480" w:firstLineChars="200"/>
        <w:rPr>
          <w:rFonts w:ascii="Times New Roman" w:hAnsi="Times New Roman" w:cs="Times New Roman"/>
          <w:color w:val="auto"/>
          <w:lang w:eastAsia="zh-CN"/>
        </w:rPr>
        <w:sectPr>
          <w:pgSz w:w="11906" w:h="16838"/>
          <w:pgMar w:top="1440" w:right="1080" w:bottom="1440" w:left="1080" w:header="851" w:footer="992" w:gutter="0"/>
          <w:cols w:space="720" w:num="1"/>
          <w:docGrid w:type="lines" w:linePitch="326" w:charSpace="0"/>
        </w:sectPr>
      </w:pPr>
      <w:bookmarkStart w:id="1970" w:name="_Toc24526"/>
      <w:bookmarkStart w:id="1971" w:name="_Toc22241"/>
      <w:r>
        <w:rPr>
          <w:rFonts w:ascii="Times New Roman" w:hAnsi="Times New Roman" w:cs="Times New Roman"/>
          <w:snapToGrid/>
          <w:color w:val="auto"/>
          <w:lang w:eastAsia="zh-CN"/>
        </w:rPr>
        <mc:AlternateContent>
          <mc:Choice Requires="wps">
            <w:drawing>
              <wp:anchor distT="0" distB="0" distL="114300" distR="114300" simplePos="0" relativeHeight="251867136" behindDoc="0" locked="0" layoutInCell="1" allowOverlap="1">
                <wp:simplePos x="0" y="0"/>
                <wp:positionH relativeFrom="column">
                  <wp:posOffset>4666615</wp:posOffset>
                </wp:positionH>
                <wp:positionV relativeFrom="paragraph">
                  <wp:posOffset>2887345</wp:posOffset>
                </wp:positionV>
                <wp:extent cx="205740" cy="173990"/>
                <wp:effectExtent l="57150" t="76200" r="42545" b="74295"/>
                <wp:wrapNone/>
                <wp:docPr id="834982553" name="矩形 1445"/>
                <wp:cNvGraphicFramePr/>
                <a:graphic xmlns:a="http://schemas.openxmlformats.org/drawingml/2006/main">
                  <a:graphicData uri="http://schemas.microsoft.com/office/word/2010/wordprocessingShape">
                    <wps:wsp>
                      <wps:cNvSpPr/>
                      <wps:spPr>
                        <a:xfrm rot="2192085">
                          <a:off x="0" y="0"/>
                          <a:ext cx="205669" cy="173892"/>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445" o:spid="_x0000_s1026" o:spt="1" style="position:absolute;left:0pt;margin-left:367.45pt;margin-top:227.35pt;height:13.7pt;width:16.2pt;rotation:2394341f;z-index:251867136;v-text-anchor:middle;mso-width-relative:page;mso-height-relative:page;" fillcolor="#FFFFFF [3212]" filled="t" stroked="t" coordsize="21600,21600" o:gfxdata="UEsDBAoAAAAAAIdO4kAAAAAAAAAAAAAAAAAEAAAAZHJzL1BLAwQUAAAACACHTuJA7BBnxtwAAAAL&#10;AQAADwAAAGRycy9kb3ducmV2LnhtbE2PwU7DMAyG70i8Q2Qkbizp1i1babrDJDgggcpg0o5Za9qO&#10;xqmSbB1vT3aCo+1Pv78/X19Mz87ofGdJQTIRwJAqW3fUKPj8eHpYAvNBU617S6jgBz2si9ubXGe1&#10;Hekdz9vQsBhCPtMK2hCGjHNftWi0n9gBKd6+rDM6xNE1vHZ6jOGm51MhFtzojuKHVg+4abH63p6M&#10;gnJ/dLvypRSv4zPtNv5N4nHulLq/S8QjsICX8AfDVT+qQxGdDvZEtWe9AjlLVxFVkM5TCSwSciFn&#10;wA5xs5wmwIuc/+9Q/AJQSwMEFAAAAAgAh07iQM7tgIp8AgAADAUAAA4AAABkcnMvZTJvRG9jLnht&#10;bK1US27bMBDdF+gdCO4byYqd2EbswIjhokDQBEiLrmmKsgjwV5L+pJcp0F0PkeMUvUYfKeXbLrKo&#10;FsQMZ/Rm5s0Mz84PWpGd8EFaM6ODo5ISYbitpdnM6OdPq3djSkJkpmbKGjGjtyLQ8/nbN2d7NxWV&#10;ba2qhScAMWG6dzPaxuimRRF4KzQLR9YJA2NjvWYRqt8UtWd7oGtVVGV5Uuytr523XISA22VnpD2i&#10;fw2gbRrJxdLyrRYmdqheKBZRUmilC3Ses20aweNV0wQRiZpRVBrziSCQ1+ks5mdsuvHMtZL3KbDX&#10;pPCiJs2kQdAHqCWLjGy9/AtKS+5tsE084lYXXSGZEVQxKF9wc9MyJ3ItoDq4B9LD/4PlH3fXnsh6&#10;RsfHw8m4Go2OKTFMo/G/v//8dfeDDIbDUaJp78IU3jfu2vdagJhqPjReE2/BbTWYVOV4lJlAbeSQ&#10;ib59IFocIuG4rMrRycmEEg7T4PR4PKlShKKDSpDOh/heWE2SMKMefcygbHcZYud675Lcg1WyXkml&#10;suI36wvlyY6h56v89ejP3JQhe0SvTkvMAmeY5AYTBFE7sBHMhhKmNlgRHn2O/ezv8LogKcklC22X&#10;TEZIubCplhFbpKQG8WX6+hSVAQ+J6o7cJK1tfYseZYKRanB8JQF7yUK8Zh7Tikvsc7zC0SiLomwv&#10;UdJa/+1f98kfQwQrJXtMPwr+umVeUKI+GIzXBF0HbMzKcHRaQfFPLeunFrPVFxZkD3J2WUz+Ud2L&#10;jbf6C9Z+kaLCxAxH7I7aXrmI3Vbi4eBischuWBHH4qW5cTyBJ96MXWyjbWQegkd2etKwJHmM+oVO&#10;W/hUz16Pj9j8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OwQZ8bcAAAACwEAAA8AAAAAAAAAAQAg&#10;AAAAIgAAAGRycy9kb3ducmV2LnhtbFBLAQIUABQAAAAIAIdO4kDO7YCKfAIAAAwFAAAOAAAAAAAA&#10;AAEAIAAAACsBAABkcnMvZTJvRG9jLnhtbFBLBQYAAAAABgAGAFkBAAAZBgAAAAA=&#10;">
                <v:fill on="t" focussize="0,0"/>
                <v:stroke weight="1pt" color="#FFFFFF [3212]" miterlimit="8" joinstyle="miter"/>
                <v:imagedata o:title=""/>
                <o:lock v:ext="edit" aspectratio="f"/>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866112" behindDoc="0" locked="0" layoutInCell="1" allowOverlap="1">
                <wp:simplePos x="0" y="0"/>
                <wp:positionH relativeFrom="column">
                  <wp:posOffset>4298950</wp:posOffset>
                </wp:positionH>
                <wp:positionV relativeFrom="paragraph">
                  <wp:posOffset>2165985</wp:posOffset>
                </wp:positionV>
                <wp:extent cx="140970" cy="280035"/>
                <wp:effectExtent l="95250" t="38100" r="11430" b="44450"/>
                <wp:wrapNone/>
                <wp:docPr id="991080479" name="矩形 1445"/>
                <wp:cNvGraphicFramePr/>
                <a:graphic xmlns:a="http://schemas.openxmlformats.org/drawingml/2006/main">
                  <a:graphicData uri="http://schemas.microsoft.com/office/word/2010/wordprocessingShape">
                    <wps:wsp>
                      <wps:cNvSpPr/>
                      <wps:spPr>
                        <a:xfrm rot="2192085">
                          <a:off x="0" y="0"/>
                          <a:ext cx="140970" cy="27994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445" o:spid="_x0000_s1026" o:spt="1" style="position:absolute;left:0pt;margin-left:338.5pt;margin-top:170.55pt;height:22.05pt;width:11.1pt;rotation:2394341f;z-index:251866112;v-text-anchor:middle;mso-width-relative:page;mso-height-relative:page;" fillcolor="#FFFFFF [3212]" filled="t" stroked="t" coordsize="21600,21600" o:gfxdata="UEsDBAoAAAAAAIdO4kAAAAAAAAAAAAAAAAAEAAAAZHJzL1BLAwQUAAAACACHTuJAivUqf9wAAAAL&#10;AQAADwAAAGRycy9kb3ducmV2LnhtbE2PwU7DMBBE70j8g7VI3KidQJM2jdNDJTgggUKhEkc33iYp&#10;8Tqy3ab8PeYEx9kZzb4p1xczsDM631uSkMwEMKTG6p5aCR/vj3cLYD4o0mqwhBK+0cO6ur4qVaHt&#10;RG943oaWxRLyhZLQhTAWnPumQ6P8zI5I0TtYZ1SI0rVcOzXFcjPwVIiMG9VT/NCpETcdNl/bk5FQ&#10;fx7drn6uxcv0RLuNf83xOHdS3t4kYgUs4CX8heEXP6JDFZn29kTas0FCludxS5Bw/5AkwGIiWy5T&#10;YPt4WcxT4FXJ/2+ofgBQSwMEFAAAAAgAh07iQNSYlJB7AgAADAUAAA4AAABkcnMvZTJvRG9jLnht&#10;bK1UzW7bMAy+D9g7CLqv/kHaxEGdImiQYUCxFsiGnRVZjgXob5QSp3uZAbvtIfY4xV5jlOz+boce&#10;5oNAivRH8iOp84ujVuQgwEtralqc5JQIw20jza6mnz+t380o8YGZhilrRE1vhacXi7dvzns3F6Xt&#10;rGoEEAQxft67mnYhuHmWed4JzfyJdcKgsbWgWUAVdlkDrEd0rbIyz8+y3kLjwHLhPd6uBiMdEeE1&#10;gLZtJRcry/damDCgglAsYEm+k87TRcq2bQUP123rRSCqplhpSCcGQXkbz2xxzuY7YK6TfEyBvSaF&#10;FzVpJg0GfYBascDIHuRfUFpysN624YRbnQ2FJEawiiJ/wc2mY06kWpBq7x5I9/8Pln883ACRTU2r&#10;qshn+WRaUWKYxsb//v7z7tcPUkwmp5Gm3vk5em/cDYyaRzHWfGxBE7DIbVlUZT47TUxgbeSYiL59&#10;IFocA+F4WUzyaoot4Ggqp1U1OYsRsgEqQjrw4b2wmkShpoB9TKDscOXD4HrvEt29VbJZS6WSArvt&#10;pQJyYNjzdfpG9GduypAeMymneUyE4SS3OEEoaodseLOjhKkdrggPkGI/+9u/LkhMcsV8NySTEGIu&#10;bK5lwC1SUtd0lsdvTFEZ5CFSPZAbpa1tbrFHiWBM1Tu+lgh7xXy4YYDTipe4z+Eaj1ZZLMqOEiWd&#10;hW//uo/+OERopaTH6ceCv+4ZCErUB4PjVWHXETYkZXI6LVGBp5btU4vZ60uLZBcpuyRG/6DuxRas&#10;/oJrv4xR0cQMx9gDtaNyGYatxIeDi+UyueGKOBauzMbxCB55M3a5D7aVaQge2RlJwyVJYzQudNzC&#10;p3ryenzEF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ivUqf9wAAAALAQAADwAAAAAAAAABACAA&#10;AAAiAAAAZHJzL2Rvd25yZXYueG1sUEsBAhQAFAAAAAgAh07iQNSYlJB7AgAADAUAAA4AAAAAAAAA&#10;AQAgAAAAKwEAAGRycy9lMm9Eb2MueG1sUEsFBgAAAAAGAAYAWQEAABgGAAAAAA==&#10;">
                <v:fill on="t" focussize="0,0"/>
                <v:stroke weight="1pt" color="#FFFFFF [3212]" miterlimit="8" joinstyle="miter"/>
                <v:imagedata o:title=""/>
                <o:lock v:ext="edit" aspectratio="f"/>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857920" behindDoc="0" locked="0" layoutInCell="1" allowOverlap="1">
                <wp:simplePos x="0" y="0"/>
                <wp:positionH relativeFrom="column">
                  <wp:posOffset>4762500</wp:posOffset>
                </wp:positionH>
                <wp:positionV relativeFrom="paragraph">
                  <wp:posOffset>1586230</wp:posOffset>
                </wp:positionV>
                <wp:extent cx="140970" cy="280035"/>
                <wp:effectExtent l="95250" t="38100" r="11430" b="44450"/>
                <wp:wrapNone/>
                <wp:docPr id="336730339" name="矩形 1445"/>
                <wp:cNvGraphicFramePr/>
                <a:graphic xmlns:a="http://schemas.openxmlformats.org/drawingml/2006/main">
                  <a:graphicData uri="http://schemas.microsoft.com/office/word/2010/wordprocessingShape">
                    <wps:wsp>
                      <wps:cNvSpPr/>
                      <wps:spPr>
                        <a:xfrm rot="2192085">
                          <a:off x="0" y="0"/>
                          <a:ext cx="140970" cy="27994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445" o:spid="_x0000_s1026" o:spt="1" style="position:absolute;left:0pt;margin-left:375pt;margin-top:124.9pt;height:22.05pt;width:11.1pt;rotation:2394341f;z-index:251857920;v-text-anchor:middle;mso-width-relative:page;mso-height-relative:page;" fillcolor="#FFFFFF [3212]" filled="t" stroked="t" coordsize="21600,21600" o:gfxdata="UEsDBAoAAAAAAIdO4kAAAAAAAAAAAAAAAAAEAAAAZHJzL1BLAwQUAAAACACHTuJAYhRdGNoAAAAL&#10;AQAADwAAAGRycy9kb3ducmV2LnhtbE2PwU7DMAyG70i8Q2QkbixZYZR2TXeYBAckUBlM2jFrTdvR&#10;OFWSrePtMSc42v71+/uK1dkO4oQ+9I40zGcKBFLtmp5aDR/vjzcPIEI01JjBEWr4xgCr8vKiMHnj&#10;JnrD0ya2gkso5EZDF+OYSxnqDq0JMzci8e3TeWsij76VjTcTl9tBJkrdS2t64g+dGXHdYf21OVoN&#10;1e7gt9VzpV6mJ9quw2uKh4XX+vpqrpYgIp7jXxh+8RkdSmbauyM1QQwa0oVil6ghucvYgRNpmiQg&#10;9rzJbjOQZSH/O5Q/UEsDBBQAAAAIAIdO4kA+uCApfAIAAAwFAAAOAAAAZHJzL2Uyb0RvYy54bWyt&#10;VM1u2zAMvg/YOwi6r3actGmCOkXQIMOAYi3QDTsrshQL0N8oJU73MgN220P0cYa9xijZ/d0OPcwH&#10;gRTpj+RHUmfnB6PJXkBQztZ0dFRSIix3jbLbmn7+tH53SkmIzDZMOytqeisCPV+8fXPW+bmoXOt0&#10;I4AgiA3zzte0jdHPiyLwVhgWjpwXFo3SgWERVdgWDbAO0Y0uqrI8KToHjQfHRQh4u+qNdECE1wA6&#10;KRUXK8d3RtjYo4LQLGJJoVU+0EXOVkrB45WUQUSia4qVxnxiEJQ36SwWZ2y+BeZbxYcU2GtSeFGT&#10;Ycpi0AeoFYuM7ED9BWUUBxecjEfcmaIvJDOCVYzKF9zctMyLXAtSHfwD6eH/wfKP+2sgqqnpeHwy&#10;HZfj8YwSyww2/vf3n7/ufpDRZHKcaOp8mKP3jb+GQQsoppoPEgwBh9xWo1lVnh5nJrA2cshE3z4Q&#10;LQ6RcLwcTcrZFFvA0VRNZ7PJSYpQ9FAJ0kOI74UzJAk1BexjBmX7yxB713uX5B6cVs1aaZ0V2G4u&#10;NJA9w56v8zegP3PTlnSYSTUtUyIMJ1niBKFoPLIR7JYSpre4IjxCjv3s7/C6ICnJFQttn0xGSLmw&#10;uVERt0grU9PTMn1DitoiD4nqntwkbVxziz3KBGOqwfO1QthLFuI1A5xWvMR9jld4SO2wKDdIlLQO&#10;vv3rPvnjEKGVkg6nHwv+umMgKNEfLI7XDLuOsDErk+NphQo8tWyeWuzOXDgke5Szy2Lyj/pelODM&#10;F1z7ZYqKJmY5xu6pHZSL2G8lPhxcLJfZDVfEs3hpbzxP4Ik365a76KTKQ/DIzkAaLkkeo2Gh0xY+&#10;1bPX4yO2+A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iFF0Y2gAAAAsBAAAPAAAAAAAAAAEAIAAA&#10;ACIAAABkcnMvZG93bnJldi54bWxQSwECFAAUAAAACACHTuJAPrggKXwCAAAMBQAADgAAAAAAAAAB&#10;ACAAAAApAQAAZHJzL2Uyb0RvYy54bWxQSwUGAAAAAAYABgBZAQAAFwYAAAAA&#10;">
                <v:fill on="t" focussize="0,0"/>
                <v:stroke weight="1pt" color="#FFFFFF [3212]" miterlimit="8" joinstyle="miter"/>
                <v:imagedata o:title=""/>
                <o:lock v:ext="edit" aspectratio="f"/>
              </v:rect>
            </w:pict>
          </mc:Fallback>
        </mc:AlternateContent>
      </w:r>
    </w:p>
    <w:p w14:paraId="66263C07">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二、生产装置危险因素识别</w:t>
      </w:r>
      <w:bookmarkEnd w:id="1970"/>
    </w:p>
    <w:p w14:paraId="3377FA37">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关于公布首批重点监管的危险化工工艺目录的通知》（安监总管三〔2009〕116号）、《关于公布第二批重点监管危险化工工艺目录和调整首批重点监管危险化工工艺中部分典型工艺的通知》（安监总管三［2013］3 号），</w:t>
      </w:r>
      <w:r>
        <w:rPr>
          <w:rFonts w:hint="eastAsia" w:ascii="Times New Roman" w:hAnsi="Times New Roman" w:cs="Times New Roman"/>
          <w:color w:val="auto"/>
          <w:lang w:eastAsia="zh-CN"/>
        </w:rPr>
        <w:t>项目</w:t>
      </w:r>
      <w:r>
        <w:rPr>
          <w:rFonts w:ascii="Times New Roman" w:hAnsi="Times New Roman" w:cs="Times New Roman"/>
          <w:color w:val="auto"/>
          <w:lang w:eastAsia="zh-CN"/>
        </w:rPr>
        <w:t>生产过程中</w:t>
      </w:r>
      <w:r>
        <w:rPr>
          <w:rFonts w:hint="eastAsia" w:ascii="Times New Roman" w:hAnsi="Times New Roman" w:cs="Times New Roman"/>
          <w:color w:val="auto"/>
          <w:lang w:eastAsia="zh-CN"/>
        </w:rPr>
        <w:t>不</w:t>
      </w:r>
      <w:r>
        <w:rPr>
          <w:rFonts w:ascii="Times New Roman" w:hAnsi="Times New Roman" w:cs="Times New Roman"/>
          <w:color w:val="auto"/>
          <w:lang w:eastAsia="zh-CN"/>
        </w:rPr>
        <w:t>涉及</w:t>
      </w:r>
      <w:r>
        <w:rPr>
          <w:rFonts w:hint="eastAsia" w:ascii="Times New Roman" w:hAnsi="Times New Roman" w:cs="Times New Roman"/>
          <w:color w:val="auto"/>
          <w:lang w:eastAsia="zh-CN"/>
        </w:rPr>
        <w:t>危险工艺</w:t>
      </w:r>
      <w:r>
        <w:rPr>
          <w:rFonts w:ascii="Times New Roman" w:hAnsi="Times New Roman" w:cs="Times New Roman"/>
          <w:color w:val="auto"/>
          <w:lang w:eastAsia="zh-CN"/>
        </w:rPr>
        <w:t>。</w:t>
      </w:r>
    </w:p>
    <w:p w14:paraId="1CC6CE40">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本项目涉及的危险物质为</w:t>
      </w:r>
      <w:r>
        <w:rPr>
          <w:rFonts w:hint="eastAsia" w:ascii="Times New Roman" w:hAnsi="Times New Roman" w:cs="Times New Roman"/>
          <w:color w:val="auto"/>
          <w:lang w:eastAsia="zh-CN"/>
        </w:rPr>
        <w:t>无水氟化氢、15%氟化氢水溶液、31%盐酸、</w:t>
      </w:r>
      <w:r>
        <w:rPr>
          <w:rFonts w:hint="eastAsia" w:ascii="Times New Roman" w:hAnsi="Times New Roman" w:cs="Times New Roman"/>
          <w:color w:val="auto"/>
          <w:szCs w:val="24"/>
          <w:lang w:eastAsia="zh-CN"/>
        </w:rPr>
        <w:t>化学纯氢氟酸</w:t>
      </w:r>
      <w:r>
        <w:rPr>
          <w:rFonts w:hint="eastAsia" w:ascii="Times New Roman" w:hAnsi="Times New Roman" w:cs="Times New Roman"/>
          <w:color w:val="auto"/>
          <w:lang w:eastAsia="zh-CN"/>
        </w:rPr>
        <w:t>（产品）</w:t>
      </w:r>
      <w:r>
        <w:rPr>
          <w:rFonts w:hint="eastAsia" w:ascii="Times New Roman" w:hAnsi="Times New Roman" w:cs="Times New Roman"/>
          <w:color w:val="auto"/>
          <w:szCs w:val="24"/>
          <w:lang w:eastAsia="zh-CN"/>
        </w:rPr>
        <w:t>、刻蚀液</w:t>
      </w:r>
      <w:r>
        <w:rPr>
          <w:rFonts w:hint="eastAsia" w:ascii="Times New Roman" w:hAnsi="Times New Roman" w:cs="Times New Roman"/>
          <w:color w:val="auto"/>
          <w:lang w:eastAsia="zh-CN"/>
        </w:rPr>
        <w:t>（产品）</w:t>
      </w:r>
      <w:r>
        <w:rPr>
          <w:rFonts w:ascii="Times New Roman" w:hAnsi="Times New Roman" w:cs="Times New Roman"/>
          <w:color w:val="auto"/>
          <w:lang w:eastAsia="zh-CN"/>
        </w:rPr>
        <w:t>等，一旦车间设备维护不善、设备管道材质选用不良、安装存在质量问题等，</w:t>
      </w:r>
      <w:r>
        <w:rPr>
          <w:rFonts w:hint="eastAsia" w:ascii="Times New Roman" w:hAnsi="Times New Roman" w:cs="Times New Roman"/>
          <w:color w:val="auto"/>
          <w:lang w:eastAsia="zh-CN"/>
        </w:rPr>
        <w:t>无水氟化氢、15%氟化氢水溶液、31%盐酸、</w:t>
      </w:r>
      <w:r>
        <w:rPr>
          <w:rFonts w:hint="eastAsia" w:ascii="Times New Roman" w:hAnsi="Times New Roman" w:cs="Times New Roman"/>
          <w:color w:val="auto"/>
          <w:szCs w:val="24"/>
          <w:lang w:eastAsia="zh-CN"/>
        </w:rPr>
        <w:t>化学纯氢氟酸</w:t>
      </w:r>
      <w:r>
        <w:rPr>
          <w:rFonts w:hint="eastAsia" w:ascii="Times New Roman" w:hAnsi="Times New Roman" w:cs="Times New Roman"/>
          <w:color w:val="auto"/>
          <w:lang w:eastAsia="zh-CN"/>
        </w:rPr>
        <w:t>（产品）</w:t>
      </w:r>
      <w:r>
        <w:rPr>
          <w:rFonts w:hint="eastAsia" w:ascii="Times New Roman" w:hAnsi="Times New Roman" w:cs="Times New Roman"/>
          <w:color w:val="auto"/>
          <w:szCs w:val="24"/>
          <w:lang w:eastAsia="zh-CN"/>
        </w:rPr>
        <w:t>、刻蚀液</w:t>
      </w:r>
      <w:r>
        <w:rPr>
          <w:rFonts w:hint="eastAsia" w:ascii="Times New Roman" w:hAnsi="Times New Roman" w:cs="Times New Roman"/>
          <w:color w:val="auto"/>
          <w:lang w:eastAsia="zh-CN"/>
        </w:rPr>
        <w:t>（产品）</w:t>
      </w:r>
      <w:r>
        <w:rPr>
          <w:rFonts w:ascii="Times New Roman" w:hAnsi="Times New Roman" w:cs="Times New Roman"/>
          <w:color w:val="auto"/>
          <w:lang w:eastAsia="zh-CN"/>
        </w:rPr>
        <w:t>等危险物质在输送和反应过程中可能发生泄漏，</w:t>
      </w:r>
      <w:r>
        <w:rPr>
          <w:rFonts w:hint="eastAsia" w:ascii="Times New Roman" w:hAnsi="Times New Roman" w:cs="Times New Roman"/>
          <w:color w:val="auto"/>
          <w:lang w:eastAsia="zh-CN"/>
        </w:rPr>
        <w:t>造成中毒，以及环境空气、地表水、地下水、土壤环境污染危害</w:t>
      </w:r>
      <w:r>
        <w:rPr>
          <w:rFonts w:ascii="Times New Roman" w:hAnsi="Times New Roman" w:cs="Times New Roman"/>
          <w:color w:val="auto"/>
          <w:lang w:eastAsia="zh-CN"/>
        </w:rPr>
        <w:t>。</w:t>
      </w:r>
    </w:p>
    <w:p w14:paraId="11E31E8E">
      <w:pPr>
        <w:widowControl w:val="0"/>
        <w:spacing w:line="360" w:lineRule="auto"/>
        <w:ind w:firstLine="480" w:firstLineChars="200"/>
        <w:jc w:val="both"/>
        <w:rPr>
          <w:rFonts w:ascii="Times New Roman" w:hAnsi="Times New Roman" w:cs="Times New Roman"/>
          <w:color w:val="auto"/>
          <w:lang w:eastAsia="zh-CN"/>
        </w:rPr>
      </w:pPr>
      <w:bookmarkStart w:id="1972" w:name="_Toc22636"/>
      <w:r>
        <w:rPr>
          <w:rFonts w:ascii="Times New Roman" w:hAnsi="Times New Roman" w:cs="Times New Roman"/>
          <w:color w:val="auto"/>
          <w:lang w:eastAsia="zh-CN"/>
        </w:rPr>
        <w:t>三、储存系统危险因素识别</w:t>
      </w:r>
      <w:bookmarkEnd w:id="1972"/>
    </w:p>
    <w:p w14:paraId="5133E43B">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本项目</w:t>
      </w:r>
      <w:r>
        <w:rPr>
          <w:rFonts w:hint="eastAsia" w:ascii="Times New Roman" w:hAnsi="Times New Roman" w:cs="Times New Roman"/>
          <w:color w:val="auto"/>
          <w:lang w:eastAsia="zh-CN"/>
        </w:rPr>
        <w:t>共3座储罐区，分别为无水氟化氢库房（依托现有）、原料及产品仓库（依托现有）、戊类罐区二（新建），无水氟化氢库房用于储存无水氟化氢，原料及产品仓库用于储存原料15%氟化氢水溶液、产品化学纯氢氟酸，戊类罐区二用于储存31%盐酸、产品刻蚀液、产品化学纯氢氟酸</w:t>
      </w:r>
      <w:r>
        <w:rPr>
          <w:rFonts w:ascii="Times New Roman" w:hAnsi="Times New Roman" w:cs="Times New Roman"/>
          <w:color w:val="auto"/>
          <w:lang w:eastAsia="zh-CN"/>
        </w:rPr>
        <w:t>等</w:t>
      </w:r>
      <w:r>
        <w:rPr>
          <w:rFonts w:hint="eastAsia" w:ascii="Times New Roman" w:hAnsi="Times New Roman" w:cs="Times New Roman"/>
          <w:color w:val="auto"/>
          <w:lang w:eastAsia="zh-CN"/>
        </w:rPr>
        <w:t>危险物质。本项目设置1座丁类仓库，用于储存桶装产品化学纯氢氟酸，以上物质等</w:t>
      </w:r>
      <w:r>
        <w:rPr>
          <w:rFonts w:ascii="Times New Roman" w:hAnsi="Times New Roman" w:cs="Times New Roman"/>
          <w:color w:val="auto"/>
          <w:lang w:eastAsia="zh-CN"/>
        </w:rPr>
        <w:t>属于（HJ169-2018）附录B中</w:t>
      </w:r>
      <w:r>
        <w:rPr>
          <w:rFonts w:hint="eastAsia" w:ascii="Times New Roman" w:hAnsi="Times New Roman" w:cs="Times New Roman"/>
          <w:color w:val="auto"/>
          <w:lang w:eastAsia="zh-CN"/>
        </w:rPr>
        <w:t>风险</w:t>
      </w:r>
      <w:r>
        <w:rPr>
          <w:rFonts w:ascii="Times New Roman" w:hAnsi="Times New Roman" w:cs="Times New Roman"/>
          <w:color w:val="auto"/>
          <w:lang w:eastAsia="zh-CN"/>
        </w:rPr>
        <w:t>物质，可能引发泄漏、中毒事故。在物料装卸过程中，如管理、操作不当，就可能会发生破裂，造成物料大量泄漏，引发中毒</w:t>
      </w:r>
      <w:r>
        <w:rPr>
          <w:rFonts w:hint="eastAsia" w:ascii="Times New Roman" w:hAnsi="Times New Roman" w:cs="Times New Roman"/>
          <w:color w:val="auto"/>
          <w:lang w:eastAsia="zh-CN"/>
        </w:rPr>
        <w:t>，以及通过雨水管网进入地表水体，造成水体污染。</w:t>
      </w:r>
    </w:p>
    <w:p w14:paraId="4EC78712">
      <w:pPr>
        <w:pStyle w:val="84"/>
        <w:widowControl w:val="0"/>
        <w:numPr>
          <w:ilvl w:val="0"/>
          <w:numId w:val="12"/>
        </w:numPr>
        <w:spacing w:line="360" w:lineRule="auto"/>
        <w:ind w:firstLineChars="0"/>
        <w:jc w:val="both"/>
        <w:rPr>
          <w:rFonts w:ascii="Times New Roman" w:hAnsi="Times New Roman" w:cs="Times New Roman"/>
          <w:color w:val="auto"/>
          <w:lang w:eastAsia="zh-CN"/>
        </w:rPr>
      </w:pPr>
      <w:r>
        <w:rPr>
          <w:rFonts w:ascii="Times New Roman" w:hAnsi="Times New Roman" w:cs="Times New Roman"/>
          <w:color w:val="auto"/>
          <w:lang w:eastAsia="zh-CN"/>
        </w:rPr>
        <w:t>管线运输系统危险因素识别</w:t>
      </w:r>
      <w:bookmarkEnd w:id="1971"/>
    </w:p>
    <w:p w14:paraId="22B1890F">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本项目原料、中间品、产品等将采用管道运输、叉车运输和公路运输相结合的方式，在厂内运输和外部输送过程中，会存在潜在的环境风险污染因素。</w:t>
      </w:r>
    </w:p>
    <w:p w14:paraId="21B4CC36">
      <w:pPr>
        <w:widowControl w:val="0"/>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（1）</w:t>
      </w:r>
      <w:r>
        <w:rPr>
          <w:rFonts w:ascii="Times New Roman" w:hAnsi="Times New Roman" w:cs="Times New Roman"/>
          <w:color w:val="auto"/>
          <w:lang w:eastAsia="zh-CN"/>
        </w:rPr>
        <w:t>厂内运输</w:t>
      </w:r>
    </w:p>
    <w:p w14:paraId="300B0AD6">
      <w:pPr>
        <w:pStyle w:val="21"/>
        <w:snapToGrid/>
        <w:spacing w:line="360" w:lineRule="auto"/>
        <w:ind w:firstLine="480" w:firstLineChars="200"/>
        <w:jc w:val="both"/>
        <w:rPr>
          <w:rFonts w:ascii="Times New Roman" w:hAnsi="Times New Roman" w:cs="Times New Roman"/>
          <w:sz w:val="24"/>
          <w:lang w:eastAsia="zh-CN"/>
        </w:rPr>
      </w:pPr>
      <w:r>
        <w:rPr>
          <w:rFonts w:ascii="Times New Roman" w:hAnsi="Times New Roman" w:cs="Times New Roman"/>
          <w:sz w:val="24"/>
          <w:lang w:eastAsia="zh-CN"/>
        </w:rPr>
        <w:t>项目生产过程中</w:t>
      </w:r>
      <w:r>
        <w:rPr>
          <w:rFonts w:hint="eastAsia" w:ascii="Times New Roman" w:hAnsi="Times New Roman" w:cs="Times New Roman"/>
          <w:sz w:val="24"/>
          <w:lang w:eastAsia="zh-CN"/>
        </w:rPr>
        <w:t>储</w:t>
      </w:r>
      <w:r>
        <w:rPr>
          <w:rFonts w:ascii="Times New Roman" w:hAnsi="Times New Roman" w:cs="Times New Roman"/>
          <w:sz w:val="24"/>
          <w:lang w:eastAsia="zh-CN"/>
        </w:rPr>
        <w:t>罐区各种原辅材料均采用管道运输；罐区运输管道破裂以及阀门破损，均会导致有毒有害物质泄漏，由于储罐物料储存量较大，可能对区域环境质量造成一定威胁。</w:t>
      </w:r>
    </w:p>
    <w:p w14:paraId="32AB77B4">
      <w:pPr>
        <w:pStyle w:val="21"/>
        <w:snapToGrid/>
        <w:spacing w:line="360" w:lineRule="auto"/>
        <w:ind w:firstLine="480" w:firstLineChars="200"/>
        <w:jc w:val="both"/>
        <w:rPr>
          <w:rFonts w:ascii="Times New Roman" w:hAnsi="Times New Roman" w:cs="Times New Roman"/>
          <w:sz w:val="24"/>
          <w:lang w:eastAsia="zh-CN"/>
        </w:rPr>
      </w:pPr>
      <w:r>
        <w:rPr>
          <w:rFonts w:hint="eastAsia" w:ascii="Times New Roman" w:hAnsi="Times New Roman" w:cs="Times New Roman"/>
          <w:sz w:val="24"/>
          <w:lang w:eastAsia="zh-CN"/>
        </w:rPr>
        <w:t>仓库</w:t>
      </w:r>
      <w:r>
        <w:rPr>
          <w:rFonts w:ascii="Times New Roman" w:hAnsi="Times New Roman" w:cs="Times New Roman"/>
          <w:sz w:val="24"/>
          <w:lang w:eastAsia="zh-CN"/>
        </w:rPr>
        <w:t>原料</w:t>
      </w:r>
      <w:r>
        <w:rPr>
          <w:rFonts w:hint="eastAsia" w:ascii="Times New Roman" w:hAnsi="Times New Roman" w:cs="Times New Roman"/>
          <w:sz w:val="24"/>
          <w:lang w:eastAsia="zh-CN"/>
        </w:rPr>
        <w:t>及产品</w:t>
      </w:r>
      <w:r>
        <w:rPr>
          <w:rFonts w:ascii="Times New Roman" w:hAnsi="Times New Roman" w:cs="Times New Roman"/>
          <w:sz w:val="24"/>
          <w:lang w:eastAsia="zh-CN"/>
        </w:rPr>
        <w:t>主要采用叉车运输。叉车运输过程翻车或物料包装桶倾翻，同样会导致有毒有害物质泄漏，但桶装规格一般较小，物料储存量较小，对区域环境质量危害有限。</w:t>
      </w:r>
    </w:p>
    <w:p w14:paraId="771C0490">
      <w:pPr>
        <w:widowControl w:val="0"/>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（2）</w:t>
      </w:r>
      <w:r>
        <w:rPr>
          <w:rFonts w:ascii="Times New Roman" w:hAnsi="Times New Roman" w:cs="Times New Roman"/>
          <w:color w:val="auto"/>
          <w:lang w:eastAsia="zh-CN"/>
        </w:rPr>
        <w:t>厂外运输</w:t>
      </w:r>
    </w:p>
    <w:p w14:paraId="08E7EFCB">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本项目厂外运输计划采用公路运输方式。危险物质物料在外运过程均有可能发生翻车、撞车、坠落、碰撞及摩擦等险情，易引起危险品的燃烧或爆炸，造成一定的环境风险。</w:t>
      </w:r>
    </w:p>
    <w:p w14:paraId="79896F1B">
      <w:pPr>
        <w:widowControl w:val="0"/>
        <w:spacing w:line="360" w:lineRule="auto"/>
        <w:ind w:firstLine="480" w:firstLineChars="200"/>
        <w:jc w:val="both"/>
        <w:rPr>
          <w:rFonts w:ascii="Times New Roman" w:hAnsi="Times New Roman" w:cs="Times New Roman"/>
          <w:color w:val="auto"/>
          <w:lang w:eastAsia="zh-CN"/>
        </w:rPr>
      </w:pPr>
      <w:bookmarkStart w:id="1973" w:name="_Toc27206"/>
    </w:p>
    <w:p w14:paraId="44E6EC61">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五、环保工程危险因素识别</w:t>
      </w:r>
      <w:bookmarkEnd w:id="1973"/>
    </w:p>
    <w:p w14:paraId="6A071077">
      <w:pPr>
        <w:tabs>
          <w:tab w:val="center" w:pos="4153"/>
          <w:tab w:val="right" w:pos="8306"/>
        </w:tabs>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（1）项目</w:t>
      </w:r>
      <w:r>
        <w:rPr>
          <w:rFonts w:hint="eastAsia" w:ascii="Times New Roman" w:hAnsi="Times New Roman" w:cs="Times New Roman"/>
          <w:color w:val="auto"/>
          <w:lang w:eastAsia="zh-CN"/>
        </w:rPr>
        <w:t>依托现有</w:t>
      </w:r>
      <w:r>
        <w:rPr>
          <w:rFonts w:ascii="Times New Roman" w:hAnsi="Times New Roman" w:cs="Times New Roman"/>
          <w:color w:val="auto"/>
          <w:lang w:eastAsia="zh-CN"/>
        </w:rPr>
        <w:t>1座处理规模为</w:t>
      </w:r>
      <w:r>
        <w:rPr>
          <w:rFonts w:hint="eastAsia" w:ascii="Times New Roman" w:hAnsi="Times New Roman" w:cs="Times New Roman"/>
          <w:color w:val="auto"/>
          <w:lang w:eastAsia="zh-CN"/>
        </w:rPr>
        <w:t>40</w:t>
      </w:r>
      <w:r>
        <w:rPr>
          <w:rFonts w:ascii="Times New Roman" w:hAnsi="Times New Roman" w:cs="Times New Roman"/>
          <w:color w:val="auto"/>
          <w:lang w:eastAsia="zh-CN"/>
        </w:rPr>
        <w:t>m</w:t>
      </w:r>
      <w:r>
        <w:rPr>
          <w:rFonts w:ascii="Times New Roman" w:hAnsi="Times New Roman" w:cs="Times New Roman"/>
          <w:color w:val="auto"/>
          <w:vertAlign w:val="superscript"/>
          <w:lang w:eastAsia="zh-CN"/>
        </w:rPr>
        <w:t>3</w:t>
      </w:r>
      <w:r>
        <w:rPr>
          <w:rFonts w:ascii="Times New Roman" w:hAnsi="Times New Roman" w:cs="Times New Roman"/>
          <w:color w:val="auto"/>
          <w:lang w:eastAsia="zh-CN"/>
        </w:rPr>
        <w:t>/d的污水处理站，根据项目规划，项目废水主要为</w:t>
      </w:r>
      <w:r>
        <w:rPr>
          <w:rFonts w:hint="eastAsia" w:ascii="Times New Roman" w:hAnsi="Times New Roman" w:cs="Times New Roman"/>
          <w:color w:val="auto"/>
          <w:lang w:eastAsia="zh-CN"/>
        </w:rPr>
        <w:t>碱</w:t>
      </w:r>
      <w:r>
        <w:rPr>
          <w:rFonts w:ascii="Times New Roman" w:hAnsi="Times New Roman" w:cs="Times New Roman"/>
          <w:color w:val="auto"/>
          <w:lang w:eastAsia="zh-CN"/>
        </w:rPr>
        <w:t>喷淋塔置换废水、地面清洁废水、循环冷却置换废水、生活污水以及初期雨水等，废水中主要污染物为</w:t>
      </w:r>
      <w:r>
        <w:rPr>
          <w:rFonts w:hint="eastAsia" w:ascii="Times New Roman" w:hAnsi="Times New Roman" w:cs="Times New Roman"/>
          <w:color w:val="auto"/>
          <w:lang w:eastAsia="zh-CN"/>
        </w:rPr>
        <w:t>氟化物</w:t>
      </w:r>
      <w:r>
        <w:rPr>
          <w:rFonts w:ascii="Times New Roman" w:hAnsi="Times New Roman" w:cs="Times New Roman"/>
          <w:color w:val="auto"/>
          <w:lang w:eastAsia="zh-CN"/>
        </w:rPr>
        <w:t>等。一旦污水处理站或输送管道破裂，可能造成废水泄漏引起地下水环境风险。</w:t>
      </w:r>
    </w:p>
    <w:p w14:paraId="26109CD9">
      <w:pPr>
        <w:widowControl w:val="0"/>
        <w:topLinePunct/>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（2）</w:t>
      </w:r>
      <w:r>
        <w:rPr>
          <w:rFonts w:ascii="Times New Roman" w:hAnsi="Times New Roman" w:eastAsia="新宋体" w:cs="Times New Roman"/>
          <w:color w:val="auto"/>
          <w:szCs w:val="24"/>
          <w:lang w:eastAsia="zh-CN"/>
        </w:rPr>
        <w:t>本项目</w:t>
      </w:r>
      <w:r>
        <w:rPr>
          <w:rFonts w:hint="eastAsia" w:ascii="Times New Roman" w:hAnsi="Times New Roman" w:eastAsia="新宋体" w:cs="Times New Roman"/>
          <w:color w:val="auto"/>
          <w:szCs w:val="24"/>
          <w:lang w:eastAsia="zh-CN"/>
        </w:rPr>
        <w:t>化学纯氢氟酸</w:t>
      </w:r>
      <w:r>
        <w:rPr>
          <w:rFonts w:ascii="Times New Roman" w:hAnsi="Times New Roman" w:eastAsia="新宋体" w:cs="Times New Roman"/>
          <w:color w:val="auto"/>
          <w:szCs w:val="24"/>
          <w:lang w:eastAsia="zh-CN"/>
        </w:rPr>
        <w:t>生产</w:t>
      </w:r>
      <w:r>
        <w:rPr>
          <w:rFonts w:hint="eastAsia" w:ascii="Times New Roman" w:hAnsi="Times New Roman" w:eastAsia="新宋体" w:cs="Times New Roman"/>
          <w:color w:val="auto"/>
          <w:szCs w:val="24"/>
          <w:lang w:eastAsia="zh-CN"/>
        </w:rPr>
        <w:t>工艺废气、无水氟化氢储罐、原料及产品罐区1</w:t>
      </w:r>
      <w:r>
        <w:rPr>
          <w:rFonts w:hint="eastAsia" w:ascii="Times New Roman" w:hAnsi="Times New Roman" w:eastAsia="新宋体" w:cs="Times New Roman"/>
          <w:bCs/>
          <w:color w:val="auto"/>
          <w:szCs w:val="24"/>
          <w:lang w:eastAsia="zh-CN"/>
        </w:rPr>
        <w:t>5%氟化氢水溶液储罐、化学纯氢氟酸储罐呼吸气</w:t>
      </w:r>
      <w:r>
        <w:rPr>
          <w:rFonts w:hint="eastAsia" w:ascii="Times New Roman" w:hAnsi="Times New Roman" w:eastAsia="新宋体" w:cs="Times New Roman"/>
          <w:color w:val="auto"/>
          <w:szCs w:val="24"/>
          <w:lang w:eastAsia="zh-CN"/>
        </w:rPr>
        <w:t>经管道收集</w:t>
      </w:r>
      <w:r>
        <w:rPr>
          <w:rFonts w:ascii="Times New Roman" w:hAnsi="Times New Roman" w:eastAsia="新宋体" w:cs="Times New Roman"/>
          <w:color w:val="auto"/>
          <w:szCs w:val="24"/>
          <w:lang w:eastAsia="zh-CN"/>
        </w:rPr>
        <w:t>，</w:t>
      </w:r>
      <w:r>
        <w:rPr>
          <w:rFonts w:hint="eastAsia" w:ascii="Times New Roman" w:hAnsi="Times New Roman" w:eastAsia="新宋体" w:cs="Times New Roman"/>
          <w:color w:val="auto"/>
          <w:szCs w:val="24"/>
          <w:lang w:eastAsia="zh-CN"/>
        </w:rPr>
        <w:t>灌装废气经密闭负压收集，</w:t>
      </w:r>
      <w:r>
        <w:rPr>
          <w:rFonts w:hint="eastAsia" w:ascii="Times New Roman" w:hAnsi="Times New Roman" w:eastAsia="新宋体" w:cs="Times New Roman"/>
          <w:bCs/>
          <w:color w:val="auto"/>
          <w:szCs w:val="24"/>
          <w:lang w:eastAsia="zh-CN"/>
        </w:rPr>
        <w:t>依托现有二级水喷淋塔（TA001）预处理；</w:t>
      </w:r>
      <w:r>
        <w:rPr>
          <w:rFonts w:hint="eastAsia" w:ascii="Times New Roman" w:hAnsi="Times New Roman" w:eastAsia="新宋体" w:cs="Times New Roman"/>
          <w:color w:val="auto"/>
          <w:szCs w:val="24"/>
          <w:lang w:eastAsia="zh-CN"/>
        </w:rPr>
        <w:t>刻蚀液</w:t>
      </w:r>
      <w:r>
        <w:rPr>
          <w:rFonts w:ascii="Times New Roman" w:hAnsi="Times New Roman" w:eastAsia="新宋体" w:cs="Times New Roman"/>
          <w:color w:val="auto"/>
          <w:szCs w:val="24"/>
          <w:lang w:eastAsia="zh-CN"/>
        </w:rPr>
        <w:t>生产</w:t>
      </w:r>
      <w:r>
        <w:rPr>
          <w:rFonts w:hint="eastAsia" w:ascii="Times New Roman" w:hAnsi="Times New Roman" w:eastAsia="新宋体" w:cs="Times New Roman"/>
          <w:color w:val="auto"/>
          <w:szCs w:val="24"/>
          <w:lang w:eastAsia="zh-CN"/>
        </w:rPr>
        <w:t>工艺废气、戊类罐区二</w:t>
      </w:r>
      <w:r>
        <w:rPr>
          <w:rFonts w:hint="eastAsia" w:ascii="Times New Roman" w:hAnsi="Times New Roman" w:eastAsia="新宋体" w:cs="Times New Roman"/>
          <w:bCs/>
          <w:color w:val="auto"/>
          <w:szCs w:val="24"/>
          <w:lang w:eastAsia="zh-CN"/>
        </w:rPr>
        <w:t>31%盐酸储罐、</w:t>
      </w:r>
      <w:r>
        <w:rPr>
          <w:rFonts w:ascii="Times New Roman" w:hAnsi="Times New Roman" w:eastAsia="新宋体" w:cs="Times New Roman"/>
          <w:bCs/>
          <w:color w:val="auto"/>
          <w:szCs w:val="24"/>
          <w:lang w:eastAsia="zh-CN"/>
        </w:rPr>
        <w:t>化学纯氢氟酸储罐</w:t>
      </w:r>
      <w:r>
        <w:rPr>
          <w:rFonts w:hint="eastAsia" w:ascii="Times New Roman" w:hAnsi="Times New Roman" w:eastAsia="新宋体" w:cs="Times New Roman"/>
          <w:bCs/>
          <w:color w:val="auto"/>
          <w:szCs w:val="24"/>
          <w:lang w:eastAsia="zh-CN"/>
        </w:rPr>
        <w:t>、刻蚀液储罐呼吸气</w:t>
      </w:r>
      <w:r>
        <w:rPr>
          <w:rFonts w:hint="eastAsia" w:ascii="Times New Roman" w:hAnsi="Times New Roman" w:eastAsia="新宋体" w:cs="Times New Roman"/>
          <w:color w:val="auto"/>
          <w:szCs w:val="24"/>
          <w:lang w:eastAsia="zh-CN"/>
        </w:rPr>
        <w:t>经管道收集，</w:t>
      </w:r>
      <w:r>
        <w:rPr>
          <w:rFonts w:hint="eastAsia" w:ascii="Times New Roman" w:hAnsi="Times New Roman" w:eastAsia="新宋体" w:cs="Times New Roman"/>
          <w:bCs/>
          <w:color w:val="auto"/>
          <w:szCs w:val="24"/>
          <w:lang w:eastAsia="zh-CN"/>
        </w:rPr>
        <w:t>经本次新增二级水喷淋塔（TA003）装置预</w:t>
      </w:r>
      <w:r>
        <w:rPr>
          <w:rFonts w:ascii="Times New Roman" w:hAnsi="Times New Roman" w:eastAsia="新宋体" w:cs="Times New Roman"/>
          <w:bCs/>
          <w:color w:val="auto"/>
          <w:szCs w:val="24"/>
          <w:lang w:eastAsia="zh-CN"/>
        </w:rPr>
        <w:t>处理</w:t>
      </w:r>
      <w:r>
        <w:rPr>
          <w:rFonts w:hint="eastAsia" w:ascii="Times New Roman" w:hAnsi="Times New Roman" w:eastAsia="新宋体" w:cs="Times New Roman"/>
          <w:bCs/>
          <w:color w:val="auto"/>
          <w:szCs w:val="24"/>
          <w:lang w:eastAsia="zh-CN"/>
        </w:rPr>
        <w:t>；预处理后废气经现有三级碱喷淋塔（TA002）+新增一级碱喷淋塔（TA004）装置</w:t>
      </w:r>
      <w:r>
        <w:rPr>
          <w:rFonts w:ascii="Times New Roman" w:hAnsi="Times New Roman" w:eastAsia="新宋体" w:cs="Times New Roman"/>
          <w:bCs/>
          <w:color w:val="auto"/>
          <w:szCs w:val="24"/>
          <w:lang w:eastAsia="zh-CN"/>
        </w:rPr>
        <w:t>处理，处理后</w:t>
      </w:r>
      <w:r>
        <w:rPr>
          <w:rFonts w:hint="eastAsia" w:ascii="Times New Roman" w:hAnsi="Times New Roman" w:eastAsia="新宋体" w:cs="Times New Roman"/>
          <w:bCs/>
          <w:color w:val="auto"/>
          <w:szCs w:val="24"/>
          <w:lang w:eastAsia="zh-CN"/>
        </w:rPr>
        <w:t>经</w:t>
      </w:r>
      <w:r>
        <w:rPr>
          <w:rFonts w:ascii="Times New Roman" w:hAnsi="Times New Roman" w:eastAsia="新宋体" w:cs="Times New Roman"/>
          <w:bCs/>
          <w:color w:val="auto"/>
          <w:szCs w:val="24"/>
          <w:lang w:eastAsia="zh-CN"/>
        </w:rPr>
        <w:t>现有</w:t>
      </w:r>
      <w:r>
        <w:rPr>
          <w:rFonts w:hint="eastAsia" w:ascii="Times New Roman" w:hAnsi="Times New Roman" w:eastAsia="新宋体" w:cs="Times New Roman"/>
          <w:bCs/>
          <w:color w:val="auto"/>
          <w:szCs w:val="24"/>
          <w:lang w:eastAsia="zh-CN"/>
        </w:rPr>
        <w:t>25</w:t>
      </w:r>
      <w:r>
        <w:rPr>
          <w:rFonts w:ascii="Times New Roman" w:hAnsi="Times New Roman" w:eastAsia="新宋体" w:cs="Times New Roman"/>
          <w:bCs/>
          <w:color w:val="auto"/>
          <w:szCs w:val="24"/>
          <w:lang w:eastAsia="zh-CN"/>
        </w:rPr>
        <w:t>m高DA001排气筒排放</w:t>
      </w:r>
      <w:r>
        <w:rPr>
          <w:rFonts w:hint="eastAsia" w:ascii="Times New Roman" w:hAnsi="Times New Roman" w:eastAsia="新宋体" w:cs="Times New Roman"/>
          <w:color w:val="auto"/>
          <w:szCs w:val="24"/>
          <w:lang w:eastAsia="zh-CN"/>
        </w:rPr>
        <w:t>。废气处理装置非正常运行，可能造成大气环境污染风险。</w:t>
      </w:r>
    </w:p>
    <w:p w14:paraId="4E7C53A3">
      <w:pPr>
        <w:spacing w:line="360" w:lineRule="auto"/>
        <w:ind w:firstLine="480" w:firstLineChars="200"/>
        <w:jc w:val="both"/>
        <w:rPr>
          <w:rFonts w:ascii="Times New Roman" w:hAnsi="Times New Roman" w:cs="Times New Roman"/>
          <w:bCs/>
          <w:color w:val="auto"/>
          <w:szCs w:val="24"/>
          <w:lang w:eastAsia="zh-CN"/>
        </w:rPr>
      </w:pPr>
      <w:bookmarkStart w:id="1974" w:name="_Toc27832"/>
      <w:r>
        <w:rPr>
          <w:rFonts w:ascii="Times New Roman" w:hAnsi="Times New Roman" w:cs="Times New Roman"/>
          <w:bCs/>
          <w:color w:val="auto"/>
          <w:szCs w:val="24"/>
          <w:lang w:eastAsia="zh-CN"/>
        </w:rPr>
        <w:t>六、重点风险源筛选</w:t>
      </w:r>
      <w:bookmarkEnd w:id="1974"/>
    </w:p>
    <w:p w14:paraId="12A173FA">
      <w:pPr>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本项目重点风险源筛选结果包括：</w:t>
      </w:r>
      <w:r>
        <w:rPr>
          <w:rFonts w:hint="eastAsia" w:ascii="Times New Roman" w:hAnsi="Times New Roman" w:cs="Times New Roman"/>
          <w:bCs/>
          <w:color w:val="auto"/>
          <w:szCs w:val="24"/>
          <w:lang w:eastAsia="zh-CN"/>
        </w:rPr>
        <w:t>综合车间、刻蚀液混配车间、无水氟化氢库房、原料及产品罐区、戊类罐区二、丁类仓库</w:t>
      </w:r>
      <w:r>
        <w:rPr>
          <w:rFonts w:ascii="Times New Roman" w:hAnsi="Times New Roman" w:cs="Times New Roman"/>
          <w:bCs/>
          <w:color w:val="auto"/>
          <w:szCs w:val="24"/>
          <w:lang w:eastAsia="zh-CN"/>
        </w:rPr>
        <w:t>。</w:t>
      </w:r>
    </w:p>
    <w:p w14:paraId="56EAF68A">
      <w:pPr>
        <w:spacing w:line="360" w:lineRule="auto"/>
        <w:ind w:firstLine="200"/>
        <w:jc w:val="both"/>
        <w:outlineLvl w:val="2"/>
        <w:rPr>
          <w:rFonts w:ascii="Times New Roman" w:hAnsi="Times New Roman" w:cs="Times New Roman"/>
          <w:b/>
          <w:color w:val="auto"/>
          <w:szCs w:val="24"/>
          <w:lang w:eastAsia="zh-CN"/>
        </w:rPr>
      </w:pPr>
      <w:bookmarkStart w:id="1975" w:name="_Toc224674778"/>
      <w:bookmarkStart w:id="1976" w:name="_Toc173740358"/>
      <w:bookmarkStart w:id="1977" w:name="_Toc176513088"/>
      <w:bookmarkStart w:id="1978" w:name="_Toc218784363"/>
      <w:bookmarkStart w:id="1979" w:name="_Toc217662751"/>
      <w:bookmarkStart w:id="1980" w:name="_Toc175164353"/>
      <w:bookmarkStart w:id="1981" w:name="_Toc225784140"/>
      <w:bookmarkStart w:id="1982" w:name="_Toc173743462"/>
      <w:bookmarkStart w:id="1983" w:name="_Toc237508374"/>
      <w:bookmarkStart w:id="1984" w:name="_Toc223425138"/>
      <w:bookmarkStart w:id="1985" w:name="_Toc204448545"/>
      <w:bookmarkStart w:id="1986" w:name="_Toc172555725"/>
      <w:bookmarkStart w:id="1987" w:name="_Toc13492"/>
      <w:bookmarkStart w:id="1988" w:name="_Toc231828661"/>
      <w:bookmarkStart w:id="1989" w:name="_Toc203927081"/>
      <w:bookmarkStart w:id="1990" w:name="_Toc178602429"/>
      <w:bookmarkStart w:id="1991" w:name="_Toc236641909"/>
      <w:bookmarkStart w:id="1992" w:name="_Toc221900920"/>
      <w:bookmarkStart w:id="1993" w:name="_Toc204515280"/>
      <w:r>
        <w:rPr>
          <w:rFonts w:ascii="Times New Roman" w:hAnsi="Times New Roman" w:cs="Times New Roman"/>
          <w:b/>
          <w:color w:val="auto"/>
          <w:szCs w:val="24"/>
          <w:lang w:eastAsia="zh-CN"/>
        </w:rPr>
        <w:t>7.</w:t>
      </w:r>
      <w:r>
        <w:rPr>
          <w:rFonts w:hint="eastAsia" w:ascii="Times New Roman" w:hAnsi="Times New Roman" w:cs="Times New Roman"/>
          <w:b/>
          <w:color w:val="auto"/>
          <w:szCs w:val="24"/>
          <w:lang w:eastAsia="zh-CN"/>
        </w:rPr>
        <w:t>6</w:t>
      </w:r>
      <w:r>
        <w:rPr>
          <w:rFonts w:ascii="Times New Roman" w:hAnsi="Times New Roman" w:cs="Times New Roman"/>
          <w:b/>
          <w:color w:val="auto"/>
          <w:szCs w:val="24"/>
          <w:lang w:eastAsia="zh-CN"/>
        </w:rPr>
        <w:t>.</w:t>
      </w:r>
      <w:r>
        <w:rPr>
          <w:rFonts w:hint="eastAsia" w:ascii="Times New Roman" w:hAnsi="Times New Roman" w:cs="Times New Roman"/>
          <w:b/>
          <w:color w:val="auto"/>
          <w:szCs w:val="24"/>
          <w:lang w:eastAsia="zh-CN"/>
        </w:rPr>
        <w:t>7</w:t>
      </w:r>
      <w:r>
        <w:rPr>
          <w:rFonts w:ascii="Times New Roman" w:hAnsi="Times New Roman" w:cs="Times New Roman"/>
          <w:b/>
          <w:color w:val="auto"/>
          <w:szCs w:val="24"/>
          <w:lang w:eastAsia="zh-CN"/>
        </w:rPr>
        <w:t xml:space="preserve"> 环境风险类型及危害分析</w:t>
      </w:r>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p>
    <w:p w14:paraId="0F00F93B">
      <w:pPr>
        <w:spacing w:line="360" w:lineRule="auto"/>
        <w:ind w:firstLine="482" w:firstLineChars="200"/>
        <w:jc w:val="both"/>
        <w:rPr>
          <w:rFonts w:ascii="Times New Roman" w:hAnsi="Times New Roman" w:cs="Times New Roman"/>
          <w:b/>
          <w:color w:val="auto"/>
          <w:szCs w:val="24"/>
          <w:lang w:eastAsia="zh-CN"/>
        </w:rPr>
      </w:pPr>
      <w:bookmarkStart w:id="1994" w:name="_Toc7994"/>
      <w:r>
        <w:rPr>
          <w:rFonts w:hint="eastAsia" w:ascii="Times New Roman" w:hAnsi="Times New Roman" w:cs="Times New Roman"/>
          <w:b/>
          <w:color w:val="auto"/>
          <w:szCs w:val="24"/>
          <w:lang w:eastAsia="zh-CN"/>
        </w:rPr>
        <w:t>一、环境风险类型</w:t>
      </w:r>
    </w:p>
    <w:p w14:paraId="336611E5">
      <w:pPr>
        <w:spacing w:line="360" w:lineRule="auto"/>
        <w:ind w:firstLine="480" w:firstLineChars="200"/>
        <w:jc w:val="both"/>
        <w:rPr>
          <w:rFonts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环境风险类型包括危险物质的泄漏引发的伴生/次生污染物排放等。</w:t>
      </w:r>
    </w:p>
    <w:p w14:paraId="6DC94047">
      <w:pPr>
        <w:spacing w:line="360" w:lineRule="auto"/>
        <w:ind w:firstLine="480" w:firstLineChars="200"/>
        <w:jc w:val="both"/>
        <w:rPr>
          <w:rFonts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1、物质泄漏</w:t>
      </w:r>
    </w:p>
    <w:p w14:paraId="5CB3C593">
      <w:pPr>
        <w:spacing w:line="360" w:lineRule="auto"/>
        <w:ind w:firstLine="480" w:firstLineChars="200"/>
        <w:jc w:val="both"/>
        <w:rPr>
          <w:rFonts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该类事故通常的起因是设备（包括管线、阀门或其它设施）出现故障或操作失误、仪表失灵等，使有毒物料泄漏，弥散在空气中，此时的直接危险是有毒有害物质的扩散对周围环境的污染；</w:t>
      </w:r>
    </w:p>
    <w:p w14:paraId="3AFFD1C6">
      <w:pPr>
        <w:spacing w:line="360" w:lineRule="auto"/>
        <w:ind w:firstLine="480" w:firstLineChars="200"/>
        <w:jc w:val="both"/>
        <w:rPr>
          <w:rFonts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事故发生后，通常采取切断泄漏源，隔离泄漏场所的措施，通过适当方式合理通风，加速有害物质的扩散，降低泄漏点的浓度，避免引起中毒。</w:t>
      </w:r>
    </w:p>
    <w:p w14:paraId="19BB6861">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拟建项目有毒有害物质扩散途径主要有以下几个方面：</w:t>
      </w:r>
    </w:p>
    <w:p w14:paraId="45A00264">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（1）大气扩散：有毒有害物质泄漏后直接进入大气环境或挥发进入大气环境，或者易燃易爆物质泄漏发生火灾爆炸事故时伴生污染物进行大气环境，通过大气扩散对项目周围环境造成危害。</w:t>
      </w:r>
    </w:p>
    <w:p w14:paraId="2688962A">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（2）地表水环境扩散：本项目碱喷淋装置置换废水、</w:t>
      </w:r>
      <w:r>
        <w:rPr>
          <w:rFonts w:hint="eastAsia" w:ascii="Times New Roman" w:hAnsi="Times New Roman" w:cs="Times New Roman"/>
          <w:bCs/>
          <w:color w:val="auto"/>
          <w:szCs w:val="24"/>
          <w:lang w:eastAsia="zh-CN"/>
        </w:rPr>
        <w:t>地面情急废水</w:t>
      </w:r>
      <w:r>
        <w:rPr>
          <w:rFonts w:ascii="Times New Roman" w:hAnsi="Times New Roman" w:cs="Times New Roman"/>
          <w:bCs/>
          <w:color w:val="auto"/>
          <w:szCs w:val="24"/>
          <w:lang w:eastAsia="zh-CN"/>
        </w:rPr>
        <w:t>等进入公司污水处理站处理，公司设置一座6</w:t>
      </w:r>
      <w:r>
        <w:rPr>
          <w:rFonts w:hint="eastAsia" w:ascii="Times New Roman" w:hAnsi="Times New Roman" w:cs="Times New Roman"/>
          <w:bCs/>
          <w:color w:val="auto"/>
          <w:szCs w:val="24"/>
          <w:lang w:eastAsia="zh-CN"/>
        </w:rPr>
        <w:t>72.3</w:t>
      </w:r>
      <w:r>
        <w:rPr>
          <w:rFonts w:ascii="Times New Roman" w:hAnsi="Times New Roman" w:cs="Times New Roman"/>
          <w:bCs/>
          <w:color w:val="auto"/>
          <w:szCs w:val="24"/>
          <w:lang w:eastAsia="zh-CN"/>
        </w:rPr>
        <w:t>m</w:t>
      </w:r>
      <w:r>
        <w:rPr>
          <w:rFonts w:ascii="Times New Roman" w:hAnsi="Times New Roman" w:cs="Times New Roman"/>
          <w:bCs/>
          <w:color w:val="auto"/>
          <w:szCs w:val="24"/>
          <w:vertAlign w:val="superscript"/>
          <w:lang w:eastAsia="zh-CN"/>
        </w:rPr>
        <w:t>3</w:t>
      </w:r>
      <w:r>
        <w:rPr>
          <w:rFonts w:ascii="Times New Roman" w:hAnsi="Times New Roman" w:cs="Times New Roman"/>
          <w:bCs/>
          <w:color w:val="auto"/>
          <w:szCs w:val="24"/>
          <w:lang w:eastAsia="zh-CN"/>
        </w:rPr>
        <w:t>事故水池，事故废水采取“单元、厂区、园区”三级防控。并在废水总排口及雨水总排口设置切断设施，可确保一般情况下事故废水不外排，事故废水基本上不会进入外界地表水体。</w:t>
      </w:r>
    </w:p>
    <w:p w14:paraId="366694A3">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（3）土壤、地下水环境扩散：储罐、废水收集池或输送管道等破裂，造成废水泄漏可能进入土壤及地下水环境，对土壤及地下水环境造成风险事故。消防废水通过未经防渗的地面进入土壤和地下水环境</w:t>
      </w:r>
      <w:r>
        <w:rPr>
          <w:rFonts w:hint="eastAsia" w:ascii="Times New Roman" w:hAnsi="Times New Roman" w:cs="Times New Roman"/>
          <w:bCs/>
          <w:color w:val="auto"/>
          <w:szCs w:val="24"/>
          <w:lang w:eastAsia="zh-CN"/>
        </w:rPr>
        <w:t>。</w:t>
      </w:r>
    </w:p>
    <w:p w14:paraId="1783CB46">
      <w:pPr>
        <w:spacing w:line="360" w:lineRule="auto"/>
        <w:ind w:firstLine="482" w:firstLineChars="200"/>
        <w:jc w:val="both"/>
        <w:rPr>
          <w:rFonts w:ascii="Times New Roman" w:hAnsi="Times New Roman" w:cs="Times New Roman"/>
          <w:b/>
          <w:bCs/>
          <w:color w:val="auto"/>
          <w:szCs w:val="24"/>
          <w:lang w:eastAsia="zh-CN"/>
        </w:rPr>
      </w:pPr>
      <w:r>
        <w:rPr>
          <w:rFonts w:hint="eastAsia" w:ascii="Times New Roman" w:hAnsi="Times New Roman" w:cs="Times New Roman"/>
          <w:b/>
          <w:bCs/>
          <w:color w:val="auto"/>
          <w:szCs w:val="24"/>
          <w:lang w:eastAsia="zh-CN"/>
        </w:rPr>
        <w:t>二、</w:t>
      </w:r>
      <w:r>
        <w:rPr>
          <w:rFonts w:ascii="Times New Roman" w:hAnsi="Times New Roman" w:cs="Times New Roman"/>
          <w:b/>
          <w:bCs/>
          <w:color w:val="auto"/>
          <w:szCs w:val="24"/>
          <w:lang w:eastAsia="zh-CN"/>
        </w:rPr>
        <w:t>环境风险事故影响途径和影响方式</w:t>
      </w:r>
    </w:p>
    <w:p w14:paraId="361A076F">
      <w:pPr>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拟建项目涉及到危险物质主要是</w:t>
      </w:r>
      <w:r>
        <w:rPr>
          <w:rFonts w:hint="eastAsia" w:ascii="Times New Roman" w:hAnsi="Times New Roman" w:cs="Times New Roman"/>
          <w:color w:val="auto"/>
          <w:lang w:eastAsia="zh-CN"/>
        </w:rPr>
        <w:t>无水氟化氢、15%氟化氢水溶液、31%盐酸、</w:t>
      </w:r>
      <w:r>
        <w:rPr>
          <w:rFonts w:hint="eastAsia" w:ascii="Times New Roman" w:hAnsi="Times New Roman" w:cs="Times New Roman"/>
          <w:color w:val="auto"/>
          <w:szCs w:val="24"/>
          <w:lang w:eastAsia="zh-CN"/>
        </w:rPr>
        <w:t>化学纯氢氟酸、刻蚀液</w:t>
      </w:r>
      <w:r>
        <w:rPr>
          <w:rFonts w:ascii="Times New Roman" w:hAnsi="Times New Roman" w:cs="Times New Roman"/>
          <w:bCs/>
          <w:color w:val="auto"/>
          <w:szCs w:val="24"/>
          <w:lang w:eastAsia="zh-CN"/>
        </w:rPr>
        <w:t>等，一旦泄漏，危险物质在大气输送扩散作用下将对环境空气及人群健康造成危害，并对区域大气环境造成不利影响。</w:t>
      </w:r>
    </w:p>
    <w:p w14:paraId="1F9C0059">
      <w:pPr>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此外，拟建项目各废水经管道输送至污水处理站，如果发生泄漏以及在事故应急处置过程中产生的事故消防废水，如未加截流、收集而随意排放，在没有防渗措施的情况下将对土壤、地下水造成污染；如排水管网设置不当，使消防废水进入雨水管网，可能漫流至外界水体造成污染。</w:t>
      </w:r>
    </w:p>
    <w:p w14:paraId="3EC613B3">
      <w:pPr>
        <w:spacing w:line="360" w:lineRule="auto"/>
        <w:jc w:val="center"/>
        <w:rPr>
          <w:rFonts w:ascii="Times New Roman" w:cs="Times New Roman"/>
          <w:b/>
          <w:bCs/>
          <w:lang w:eastAsia="zh-CN"/>
        </w:rPr>
      </w:pPr>
      <w:r>
        <w:rPr>
          <w:rFonts w:hint="eastAsia" w:ascii="Times New Roman" w:cs="Times New Roman"/>
          <w:b/>
          <w:bCs/>
          <w:lang w:eastAsia="zh-CN"/>
        </w:rPr>
        <w:t>表7.6-5 事故污染物转移途径及影响方式</w:t>
      </w:r>
    </w:p>
    <w:tbl>
      <w:tblPr>
        <w:tblStyle w:val="35"/>
        <w:tblW w:w="5009"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0" w:type="dxa"/>
          <w:bottom w:w="0" w:type="dxa"/>
          <w:right w:w="0" w:type="dxa"/>
        </w:tblCellMar>
      </w:tblPr>
      <w:tblGrid>
        <w:gridCol w:w="1390"/>
        <w:gridCol w:w="1390"/>
        <w:gridCol w:w="1395"/>
        <w:gridCol w:w="1395"/>
        <w:gridCol w:w="1395"/>
        <w:gridCol w:w="992"/>
        <w:gridCol w:w="1807"/>
      </w:tblGrid>
      <w:tr w14:paraId="386041D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712" w:type="pct"/>
            <w:vMerge w:val="restart"/>
            <w:vAlign w:val="center"/>
          </w:tcPr>
          <w:p w14:paraId="4FEE8ACD">
            <w:pPr>
              <w:pStyle w:val="64"/>
              <w:spacing w:line="360" w:lineRule="exact"/>
              <w:jc w:val="center"/>
              <w:rPr>
                <w:b/>
                <w:bCs/>
                <w:color w:val="000000"/>
                <w:szCs w:val="21"/>
              </w:rPr>
            </w:pPr>
            <w:r>
              <w:rPr>
                <w:rFonts w:hint="eastAsia"/>
                <w:b/>
                <w:bCs/>
                <w:color w:val="000000"/>
                <w:spacing w:val="-3"/>
                <w:szCs w:val="21"/>
              </w:rPr>
              <w:t>事故类别</w:t>
            </w:r>
          </w:p>
        </w:tc>
        <w:tc>
          <w:tcPr>
            <w:tcW w:w="712" w:type="pct"/>
            <w:vMerge w:val="restart"/>
            <w:vAlign w:val="center"/>
          </w:tcPr>
          <w:p w14:paraId="0D4FACF9">
            <w:pPr>
              <w:pStyle w:val="64"/>
              <w:spacing w:line="360" w:lineRule="exact"/>
              <w:jc w:val="center"/>
              <w:rPr>
                <w:b/>
                <w:bCs/>
                <w:color w:val="000000"/>
                <w:szCs w:val="21"/>
              </w:rPr>
            </w:pPr>
            <w:r>
              <w:rPr>
                <w:rFonts w:hint="eastAsia"/>
                <w:b/>
                <w:bCs/>
                <w:color w:val="000000"/>
                <w:spacing w:val="-3"/>
                <w:szCs w:val="21"/>
              </w:rPr>
              <w:t>事故位置</w:t>
            </w:r>
          </w:p>
        </w:tc>
        <w:tc>
          <w:tcPr>
            <w:tcW w:w="714" w:type="pct"/>
            <w:vMerge w:val="restart"/>
            <w:vAlign w:val="center"/>
          </w:tcPr>
          <w:p w14:paraId="44AB7F69">
            <w:pPr>
              <w:pStyle w:val="64"/>
              <w:spacing w:line="360" w:lineRule="exact"/>
              <w:jc w:val="center"/>
              <w:rPr>
                <w:b/>
                <w:bCs/>
                <w:color w:val="000000"/>
                <w:szCs w:val="21"/>
              </w:rPr>
            </w:pPr>
            <w:r>
              <w:rPr>
                <w:rFonts w:hint="eastAsia"/>
                <w:b/>
                <w:bCs/>
                <w:color w:val="000000"/>
                <w:spacing w:val="-2"/>
                <w:szCs w:val="21"/>
              </w:rPr>
              <w:t>事故危害类型</w:t>
            </w:r>
          </w:p>
        </w:tc>
        <w:tc>
          <w:tcPr>
            <w:tcW w:w="1936" w:type="pct"/>
            <w:gridSpan w:val="3"/>
            <w:vAlign w:val="center"/>
          </w:tcPr>
          <w:p w14:paraId="0243A668">
            <w:pPr>
              <w:pStyle w:val="64"/>
              <w:spacing w:line="360" w:lineRule="exact"/>
              <w:jc w:val="center"/>
              <w:rPr>
                <w:b/>
                <w:bCs/>
                <w:color w:val="000000"/>
                <w:szCs w:val="21"/>
              </w:rPr>
            </w:pPr>
            <w:r>
              <w:rPr>
                <w:rFonts w:hint="eastAsia"/>
                <w:b/>
                <w:bCs/>
                <w:color w:val="000000"/>
                <w:spacing w:val="-2"/>
                <w:szCs w:val="21"/>
              </w:rPr>
              <w:t>污染物转移途径</w:t>
            </w:r>
          </w:p>
        </w:tc>
        <w:tc>
          <w:tcPr>
            <w:tcW w:w="925" w:type="pct"/>
            <w:vMerge w:val="restart"/>
            <w:vAlign w:val="center"/>
          </w:tcPr>
          <w:p w14:paraId="78538D4A">
            <w:pPr>
              <w:pStyle w:val="64"/>
              <w:spacing w:line="360" w:lineRule="exact"/>
              <w:jc w:val="center"/>
              <w:rPr>
                <w:b/>
                <w:bCs/>
                <w:color w:val="000000"/>
                <w:szCs w:val="21"/>
              </w:rPr>
            </w:pPr>
            <w:r>
              <w:rPr>
                <w:rFonts w:hint="eastAsia"/>
                <w:b/>
                <w:bCs/>
                <w:color w:val="000000"/>
                <w:spacing w:val="-3"/>
                <w:szCs w:val="21"/>
              </w:rPr>
              <w:t>影响方式</w:t>
            </w:r>
          </w:p>
        </w:tc>
      </w:tr>
      <w:tr w14:paraId="16AF841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712" w:type="pct"/>
            <w:vMerge w:val="continue"/>
            <w:vAlign w:val="center"/>
          </w:tcPr>
          <w:p w14:paraId="5FCB1D3D">
            <w:pPr>
              <w:widowControl w:val="0"/>
              <w:spacing w:line="360" w:lineRule="exact"/>
              <w:jc w:val="center"/>
              <w:rPr>
                <w:rFonts w:ascii="Times New Roman" w:hAnsi="Times New Roman"/>
                <w:sz w:val="21"/>
              </w:rPr>
            </w:pPr>
          </w:p>
        </w:tc>
        <w:tc>
          <w:tcPr>
            <w:tcW w:w="712" w:type="pct"/>
            <w:vMerge w:val="continue"/>
            <w:vAlign w:val="center"/>
          </w:tcPr>
          <w:p w14:paraId="0E2D8D39">
            <w:pPr>
              <w:widowControl w:val="0"/>
              <w:spacing w:line="360" w:lineRule="exact"/>
              <w:jc w:val="center"/>
              <w:rPr>
                <w:rFonts w:ascii="Times New Roman" w:hAnsi="Times New Roman"/>
                <w:sz w:val="21"/>
              </w:rPr>
            </w:pPr>
          </w:p>
        </w:tc>
        <w:tc>
          <w:tcPr>
            <w:tcW w:w="714" w:type="pct"/>
            <w:vMerge w:val="continue"/>
            <w:vAlign w:val="center"/>
          </w:tcPr>
          <w:p w14:paraId="048F71F1">
            <w:pPr>
              <w:widowControl w:val="0"/>
              <w:spacing w:line="360" w:lineRule="exact"/>
              <w:jc w:val="center"/>
              <w:rPr>
                <w:rFonts w:ascii="Times New Roman" w:hAnsi="Times New Roman"/>
                <w:sz w:val="21"/>
              </w:rPr>
            </w:pPr>
          </w:p>
        </w:tc>
        <w:tc>
          <w:tcPr>
            <w:tcW w:w="714" w:type="pct"/>
            <w:vAlign w:val="center"/>
          </w:tcPr>
          <w:p w14:paraId="0E12E0CD">
            <w:pPr>
              <w:pStyle w:val="64"/>
              <w:spacing w:line="360" w:lineRule="exact"/>
              <w:jc w:val="center"/>
              <w:rPr>
                <w:b/>
                <w:bCs/>
                <w:color w:val="000000"/>
                <w:szCs w:val="21"/>
              </w:rPr>
            </w:pPr>
            <w:r>
              <w:rPr>
                <w:rFonts w:hint="eastAsia"/>
                <w:b/>
                <w:bCs/>
                <w:color w:val="000000"/>
                <w:spacing w:val="-5"/>
                <w:szCs w:val="21"/>
              </w:rPr>
              <w:t>大气</w:t>
            </w:r>
          </w:p>
        </w:tc>
        <w:tc>
          <w:tcPr>
            <w:tcW w:w="714" w:type="pct"/>
            <w:vAlign w:val="center"/>
          </w:tcPr>
          <w:p w14:paraId="0546DF6F">
            <w:pPr>
              <w:pStyle w:val="64"/>
              <w:spacing w:line="360" w:lineRule="exact"/>
              <w:jc w:val="center"/>
              <w:rPr>
                <w:b/>
                <w:bCs/>
                <w:color w:val="000000"/>
                <w:szCs w:val="21"/>
              </w:rPr>
            </w:pPr>
            <w:r>
              <w:rPr>
                <w:rFonts w:hint="eastAsia"/>
                <w:b/>
                <w:bCs/>
                <w:color w:val="000000"/>
                <w:spacing w:val="-4"/>
                <w:szCs w:val="21"/>
              </w:rPr>
              <w:t>地表水</w:t>
            </w:r>
          </w:p>
        </w:tc>
        <w:tc>
          <w:tcPr>
            <w:tcW w:w="507" w:type="pct"/>
            <w:vAlign w:val="center"/>
          </w:tcPr>
          <w:p w14:paraId="0AF65954">
            <w:pPr>
              <w:pStyle w:val="64"/>
              <w:spacing w:line="360" w:lineRule="exact"/>
              <w:jc w:val="center"/>
              <w:rPr>
                <w:b/>
                <w:bCs/>
                <w:color w:val="000000"/>
                <w:szCs w:val="21"/>
              </w:rPr>
            </w:pPr>
            <w:r>
              <w:rPr>
                <w:rFonts w:hint="eastAsia"/>
                <w:b/>
                <w:bCs/>
                <w:color w:val="000000"/>
                <w:spacing w:val="-4"/>
                <w:szCs w:val="21"/>
              </w:rPr>
              <w:t>地下水</w:t>
            </w:r>
          </w:p>
        </w:tc>
        <w:tc>
          <w:tcPr>
            <w:tcW w:w="925" w:type="pct"/>
            <w:vMerge w:val="continue"/>
            <w:vAlign w:val="center"/>
          </w:tcPr>
          <w:p w14:paraId="27CDA13E">
            <w:pPr>
              <w:widowControl w:val="0"/>
              <w:spacing w:line="360" w:lineRule="exact"/>
              <w:jc w:val="center"/>
              <w:rPr>
                <w:rFonts w:ascii="Times New Roman" w:hAnsi="Times New Roman"/>
                <w:sz w:val="21"/>
              </w:rPr>
            </w:pPr>
          </w:p>
        </w:tc>
      </w:tr>
      <w:tr w14:paraId="0917BCF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712" w:type="pct"/>
            <w:vMerge w:val="restart"/>
            <w:vAlign w:val="center"/>
          </w:tcPr>
          <w:p w14:paraId="666A5105">
            <w:pPr>
              <w:widowControl w:val="0"/>
              <w:jc w:val="center"/>
              <w:rPr>
                <w:rFonts w:ascii="Times New Roman" w:hAnsi="Times New Roman" w:cs="Times New Roman"/>
                <w:kern w:val="2"/>
                <w:sz w:val="21"/>
              </w:rPr>
            </w:pPr>
            <w:r>
              <w:rPr>
                <w:rFonts w:hint="eastAsia" w:ascii="Times New Roman" w:hAnsi="Times New Roman" w:cs="Times New Roman"/>
                <w:kern w:val="2"/>
                <w:sz w:val="21"/>
              </w:rPr>
              <w:t>有毒有害物质泄漏</w:t>
            </w:r>
          </w:p>
        </w:tc>
        <w:tc>
          <w:tcPr>
            <w:tcW w:w="712" w:type="pct"/>
            <w:vMerge w:val="restart"/>
            <w:vAlign w:val="center"/>
          </w:tcPr>
          <w:p w14:paraId="17B32CA6">
            <w:pPr>
              <w:widowControl w:val="0"/>
              <w:jc w:val="center"/>
              <w:rPr>
                <w:rFonts w:ascii="Times New Roman" w:hAnsi="Times New Roman" w:cs="Times New Roman"/>
                <w:kern w:val="2"/>
                <w:sz w:val="21"/>
              </w:rPr>
            </w:pPr>
            <w:r>
              <w:rPr>
                <w:rFonts w:hint="eastAsia" w:ascii="Times New Roman" w:hAnsi="Times New Roman" w:cs="Times New Roman"/>
                <w:kern w:val="2"/>
                <w:sz w:val="21"/>
              </w:rPr>
              <w:t>生产</w:t>
            </w:r>
            <w:r>
              <w:rPr>
                <w:rFonts w:hint="eastAsia" w:ascii="Times New Roman" w:hAnsi="Times New Roman" w:cs="Times New Roman"/>
                <w:kern w:val="2"/>
                <w:sz w:val="21"/>
                <w:lang w:eastAsia="zh-CN"/>
              </w:rPr>
              <w:t>装置</w:t>
            </w:r>
            <w:r>
              <w:rPr>
                <w:rFonts w:hint="eastAsia" w:ascii="Times New Roman" w:hAnsi="Times New Roman" w:cs="Times New Roman"/>
                <w:kern w:val="2"/>
                <w:sz w:val="21"/>
              </w:rPr>
              <w:t>区储存</w:t>
            </w:r>
          </w:p>
        </w:tc>
        <w:tc>
          <w:tcPr>
            <w:tcW w:w="714" w:type="pct"/>
            <w:vMerge w:val="restart"/>
            <w:vAlign w:val="center"/>
          </w:tcPr>
          <w:p w14:paraId="4FC48B22">
            <w:pPr>
              <w:widowControl w:val="0"/>
              <w:jc w:val="center"/>
              <w:rPr>
                <w:rFonts w:ascii="Times New Roman" w:hAnsi="Times New Roman" w:cs="Times New Roman"/>
                <w:kern w:val="2"/>
                <w:sz w:val="21"/>
              </w:rPr>
            </w:pPr>
            <w:r>
              <w:rPr>
                <w:rFonts w:hint="eastAsia" w:ascii="Times New Roman" w:hAnsi="Times New Roman" w:cs="Times New Roman"/>
                <w:kern w:val="2"/>
                <w:sz w:val="21"/>
              </w:rPr>
              <w:t>气态毒物</w:t>
            </w:r>
          </w:p>
        </w:tc>
        <w:tc>
          <w:tcPr>
            <w:tcW w:w="714" w:type="pct"/>
            <w:vMerge w:val="restart"/>
            <w:vAlign w:val="center"/>
          </w:tcPr>
          <w:p w14:paraId="421A8559">
            <w:pPr>
              <w:widowControl w:val="0"/>
              <w:jc w:val="center"/>
              <w:rPr>
                <w:rFonts w:ascii="Times New Roman" w:hAnsi="Times New Roman" w:cs="Times New Roman"/>
                <w:kern w:val="2"/>
                <w:sz w:val="21"/>
              </w:rPr>
            </w:pPr>
            <w:r>
              <w:rPr>
                <w:rFonts w:hint="eastAsia" w:ascii="Times New Roman" w:hAnsi="Times New Roman" w:cs="Times New Roman"/>
                <w:kern w:val="2"/>
                <w:sz w:val="21"/>
              </w:rPr>
              <w:t>扩散</w:t>
            </w:r>
          </w:p>
        </w:tc>
        <w:tc>
          <w:tcPr>
            <w:tcW w:w="714" w:type="pct"/>
            <w:vMerge w:val="restart"/>
            <w:vAlign w:val="center"/>
          </w:tcPr>
          <w:p w14:paraId="0E7A73B0">
            <w:pPr>
              <w:widowControl w:val="0"/>
              <w:jc w:val="center"/>
              <w:rPr>
                <w:rFonts w:ascii="Times New Roman" w:hAnsi="Times New Roman" w:cs="Times New Roman"/>
                <w:kern w:val="2"/>
                <w:sz w:val="21"/>
                <w:lang w:eastAsia="zh-CN"/>
              </w:rPr>
            </w:pPr>
            <w:r>
              <w:rPr>
                <w:rFonts w:hint="eastAsia" w:ascii="Times New Roman" w:hAnsi="Times New Roman" w:cs="Times New Roman"/>
                <w:kern w:val="2"/>
                <w:sz w:val="21"/>
                <w:lang w:eastAsia="zh-CN"/>
              </w:rPr>
              <w:t>/</w:t>
            </w:r>
          </w:p>
        </w:tc>
        <w:tc>
          <w:tcPr>
            <w:tcW w:w="507" w:type="pct"/>
            <w:vMerge w:val="restart"/>
            <w:vAlign w:val="center"/>
          </w:tcPr>
          <w:p w14:paraId="0AB4DDF0">
            <w:pPr>
              <w:widowControl w:val="0"/>
              <w:jc w:val="center"/>
              <w:rPr>
                <w:rFonts w:ascii="Times New Roman" w:hAnsi="Times New Roman" w:cs="Times New Roman"/>
                <w:kern w:val="2"/>
                <w:sz w:val="21"/>
                <w:lang w:eastAsia="zh-CN"/>
              </w:rPr>
            </w:pPr>
            <w:r>
              <w:rPr>
                <w:rFonts w:hint="eastAsia" w:ascii="Times New Roman" w:hAnsi="Times New Roman" w:cs="Times New Roman"/>
                <w:kern w:val="2"/>
                <w:sz w:val="21"/>
                <w:lang w:eastAsia="zh-CN"/>
              </w:rPr>
              <w:t>/</w:t>
            </w:r>
          </w:p>
        </w:tc>
        <w:tc>
          <w:tcPr>
            <w:tcW w:w="925" w:type="pct"/>
            <w:vAlign w:val="center"/>
          </w:tcPr>
          <w:p w14:paraId="57B3001A">
            <w:pPr>
              <w:widowControl w:val="0"/>
              <w:jc w:val="center"/>
              <w:rPr>
                <w:rFonts w:ascii="Times New Roman" w:hAnsi="Times New Roman" w:cs="Times New Roman"/>
                <w:kern w:val="2"/>
                <w:sz w:val="21"/>
                <w:lang w:eastAsia="zh-CN"/>
              </w:rPr>
            </w:pPr>
            <w:r>
              <w:rPr>
                <w:rFonts w:hint="eastAsia" w:ascii="Times New Roman" w:hAnsi="Times New Roman" w:cs="Times New Roman"/>
                <w:kern w:val="2"/>
                <w:sz w:val="21"/>
              </w:rPr>
              <w:t>人员伤亡</w:t>
            </w:r>
          </w:p>
        </w:tc>
      </w:tr>
      <w:tr w14:paraId="244D5B6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712" w:type="pct"/>
            <w:vMerge w:val="continue"/>
            <w:vAlign w:val="center"/>
          </w:tcPr>
          <w:p w14:paraId="6EB90933">
            <w:pPr>
              <w:widowControl w:val="0"/>
              <w:jc w:val="center"/>
              <w:rPr>
                <w:rFonts w:ascii="Times New Roman" w:hAnsi="Times New Roman" w:cs="Times New Roman"/>
                <w:kern w:val="2"/>
                <w:sz w:val="21"/>
              </w:rPr>
            </w:pPr>
          </w:p>
        </w:tc>
        <w:tc>
          <w:tcPr>
            <w:tcW w:w="712" w:type="pct"/>
            <w:vMerge w:val="continue"/>
            <w:vAlign w:val="center"/>
          </w:tcPr>
          <w:p w14:paraId="4BA2CF94">
            <w:pPr>
              <w:widowControl w:val="0"/>
              <w:jc w:val="center"/>
              <w:rPr>
                <w:rFonts w:ascii="Times New Roman" w:hAnsi="Times New Roman" w:cs="Times New Roman"/>
                <w:kern w:val="2"/>
                <w:sz w:val="21"/>
              </w:rPr>
            </w:pPr>
          </w:p>
        </w:tc>
        <w:tc>
          <w:tcPr>
            <w:tcW w:w="714" w:type="pct"/>
            <w:vMerge w:val="continue"/>
            <w:vAlign w:val="center"/>
          </w:tcPr>
          <w:p w14:paraId="400249E4">
            <w:pPr>
              <w:widowControl w:val="0"/>
              <w:jc w:val="center"/>
              <w:rPr>
                <w:rFonts w:ascii="Times New Roman" w:hAnsi="Times New Roman" w:cs="Times New Roman"/>
                <w:kern w:val="2"/>
                <w:sz w:val="21"/>
              </w:rPr>
            </w:pPr>
          </w:p>
        </w:tc>
        <w:tc>
          <w:tcPr>
            <w:tcW w:w="714" w:type="pct"/>
            <w:vMerge w:val="continue"/>
            <w:vAlign w:val="center"/>
          </w:tcPr>
          <w:p w14:paraId="32D98399">
            <w:pPr>
              <w:widowControl w:val="0"/>
              <w:jc w:val="center"/>
              <w:rPr>
                <w:rFonts w:ascii="Times New Roman" w:hAnsi="Times New Roman" w:cs="Times New Roman"/>
                <w:kern w:val="2"/>
                <w:sz w:val="21"/>
              </w:rPr>
            </w:pPr>
          </w:p>
        </w:tc>
        <w:tc>
          <w:tcPr>
            <w:tcW w:w="714" w:type="pct"/>
            <w:vMerge w:val="continue"/>
            <w:vAlign w:val="center"/>
          </w:tcPr>
          <w:p w14:paraId="5D9A6144">
            <w:pPr>
              <w:widowControl w:val="0"/>
              <w:jc w:val="center"/>
              <w:rPr>
                <w:rFonts w:ascii="Times New Roman" w:hAnsi="Times New Roman" w:cs="Times New Roman"/>
                <w:kern w:val="2"/>
                <w:sz w:val="21"/>
              </w:rPr>
            </w:pPr>
          </w:p>
        </w:tc>
        <w:tc>
          <w:tcPr>
            <w:tcW w:w="507" w:type="pct"/>
            <w:vMerge w:val="continue"/>
            <w:vAlign w:val="center"/>
          </w:tcPr>
          <w:p w14:paraId="069261FF">
            <w:pPr>
              <w:widowControl w:val="0"/>
              <w:jc w:val="center"/>
              <w:rPr>
                <w:rFonts w:ascii="Times New Roman" w:hAnsi="Times New Roman" w:cs="Times New Roman"/>
                <w:kern w:val="2"/>
                <w:sz w:val="21"/>
              </w:rPr>
            </w:pPr>
          </w:p>
        </w:tc>
        <w:tc>
          <w:tcPr>
            <w:tcW w:w="925" w:type="pct"/>
            <w:vAlign w:val="center"/>
          </w:tcPr>
          <w:p w14:paraId="38C62384">
            <w:pPr>
              <w:widowControl w:val="0"/>
              <w:jc w:val="center"/>
              <w:rPr>
                <w:rFonts w:ascii="Times New Roman" w:hAnsi="Times New Roman" w:cs="Times New Roman"/>
                <w:kern w:val="2"/>
                <w:sz w:val="21"/>
              </w:rPr>
            </w:pPr>
            <w:r>
              <w:rPr>
                <w:rFonts w:hint="eastAsia" w:ascii="Times New Roman" w:hAnsi="Times New Roman" w:cs="Times New Roman"/>
                <w:kern w:val="2"/>
                <w:sz w:val="21"/>
              </w:rPr>
              <w:t>大气环境污染</w:t>
            </w:r>
          </w:p>
        </w:tc>
      </w:tr>
      <w:tr w14:paraId="4DE14F0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26" w:hRule="atLeast"/>
          <w:jc w:val="center"/>
        </w:trPr>
        <w:tc>
          <w:tcPr>
            <w:tcW w:w="712" w:type="pct"/>
            <w:vMerge w:val="continue"/>
            <w:vAlign w:val="center"/>
          </w:tcPr>
          <w:p w14:paraId="46B8D0E4">
            <w:pPr>
              <w:widowControl w:val="0"/>
              <w:jc w:val="center"/>
              <w:rPr>
                <w:rFonts w:ascii="Times New Roman" w:hAnsi="Times New Roman" w:cs="Times New Roman"/>
                <w:kern w:val="2"/>
                <w:sz w:val="21"/>
              </w:rPr>
            </w:pPr>
          </w:p>
        </w:tc>
        <w:tc>
          <w:tcPr>
            <w:tcW w:w="712" w:type="pct"/>
            <w:vMerge w:val="continue"/>
            <w:vAlign w:val="center"/>
          </w:tcPr>
          <w:p w14:paraId="3B329D6F">
            <w:pPr>
              <w:widowControl w:val="0"/>
              <w:jc w:val="center"/>
              <w:rPr>
                <w:rFonts w:ascii="Times New Roman" w:hAnsi="Times New Roman" w:cs="Times New Roman"/>
                <w:kern w:val="2"/>
                <w:sz w:val="21"/>
              </w:rPr>
            </w:pPr>
          </w:p>
        </w:tc>
        <w:tc>
          <w:tcPr>
            <w:tcW w:w="714" w:type="pct"/>
            <w:vMerge w:val="restart"/>
            <w:vAlign w:val="center"/>
          </w:tcPr>
          <w:p w14:paraId="1FCE86AA">
            <w:pPr>
              <w:widowControl w:val="0"/>
              <w:jc w:val="center"/>
              <w:rPr>
                <w:rFonts w:ascii="Times New Roman" w:hAnsi="Times New Roman" w:cs="Times New Roman"/>
                <w:kern w:val="2"/>
                <w:sz w:val="21"/>
              </w:rPr>
            </w:pPr>
            <w:r>
              <w:rPr>
                <w:rFonts w:hint="eastAsia" w:ascii="Times New Roman" w:hAnsi="Times New Roman" w:cs="Times New Roman"/>
                <w:kern w:val="2"/>
                <w:sz w:val="21"/>
              </w:rPr>
              <w:t>液态毒物</w:t>
            </w:r>
          </w:p>
        </w:tc>
        <w:tc>
          <w:tcPr>
            <w:tcW w:w="714" w:type="pct"/>
            <w:vMerge w:val="restart"/>
            <w:vAlign w:val="center"/>
          </w:tcPr>
          <w:p w14:paraId="5110EB58">
            <w:pPr>
              <w:widowControl w:val="0"/>
              <w:jc w:val="center"/>
              <w:rPr>
                <w:rFonts w:ascii="Times New Roman" w:hAnsi="Times New Roman" w:cs="Times New Roman"/>
                <w:kern w:val="2"/>
                <w:sz w:val="21"/>
              </w:rPr>
            </w:pPr>
            <w:r>
              <w:rPr>
                <w:rFonts w:hint="eastAsia" w:ascii="Times New Roman" w:hAnsi="Times New Roman" w:cs="Times New Roman"/>
                <w:kern w:val="2"/>
                <w:sz w:val="21"/>
              </w:rPr>
              <w:t>扩散</w:t>
            </w:r>
          </w:p>
        </w:tc>
        <w:tc>
          <w:tcPr>
            <w:tcW w:w="714" w:type="pct"/>
            <w:vMerge w:val="restart"/>
            <w:vAlign w:val="center"/>
          </w:tcPr>
          <w:p w14:paraId="112162AB">
            <w:pPr>
              <w:widowControl w:val="0"/>
              <w:jc w:val="center"/>
              <w:rPr>
                <w:rFonts w:ascii="Times New Roman" w:hAnsi="Times New Roman" w:cs="Times New Roman"/>
                <w:kern w:val="2"/>
                <w:sz w:val="21"/>
                <w:lang w:eastAsia="zh-CN"/>
              </w:rPr>
            </w:pPr>
            <w:r>
              <w:rPr>
                <w:rFonts w:hint="eastAsia" w:ascii="Times New Roman" w:hAnsi="Times New Roman" w:cs="Times New Roman"/>
                <w:kern w:val="2"/>
                <w:sz w:val="21"/>
                <w:lang w:eastAsia="zh-CN"/>
              </w:rPr>
              <w:t>生产废水、雨水、消防水</w:t>
            </w:r>
          </w:p>
        </w:tc>
        <w:tc>
          <w:tcPr>
            <w:tcW w:w="507" w:type="pct"/>
            <w:vMerge w:val="restart"/>
            <w:vAlign w:val="center"/>
          </w:tcPr>
          <w:p w14:paraId="48D2E97A">
            <w:pPr>
              <w:widowControl w:val="0"/>
              <w:jc w:val="center"/>
              <w:rPr>
                <w:rFonts w:ascii="Times New Roman" w:hAnsi="Times New Roman" w:cs="Times New Roman"/>
                <w:kern w:val="2"/>
                <w:sz w:val="21"/>
              </w:rPr>
            </w:pPr>
            <w:r>
              <w:rPr>
                <w:rFonts w:hint="eastAsia" w:ascii="Times New Roman" w:hAnsi="Times New Roman" w:cs="Times New Roman"/>
                <w:kern w:val="2"/>
                <w:sz w:val="21"/>
              </w:rPr>
              <w:t>水渗透、吸收</w:t>
            </w:r>
          </w:p>
        </w:tc>
        <w:tc>
          <w:tcPr>
            <w:tcW w:w="925" w:type="pct"/>
            <w:vAlign w:val="center"/>
          </w:tcPr>
          <w:p w14:paraId="5E53BF5E">
            <w:pPr>
              <w:widowControl w:val="0"/>
              <w:jc w:val="center"/>
              <w:rPr>
                <w:rFonts w:ascii="Times New Roman" w:hAnsi="Times New Roman" w:cs="Times New Roman"/>
                <w:kern w:val="2"/>
                <w:sz w:val="21"/>
                <w:lang w:eastAsia="zh-CN"/>
              </w:rPr>
            </w:pPr>
            <w:r>
              <w:rPr>
                <w:rFonts w:hint="eastAsia" w:ascii="Times New Roman" w:hAnsi="Times New Roman" w:cs="Times New Roman"/>
                <w:kern w:val="2"/>
                <w:sz w:val="21"/>
              </w:rPr>
              <w:t>地表水环境污染</w:t>
            </w:r>
          </w:p>
        </w:tc>
      </w:tr>
      <w:tr w14:paraId="7F177AA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08" w:hRule="atLeast"/>
          <w:jc w:val="center"/>
        </w:trPr>
        <w:tc>
          <w:tcPr>
            <w:tcW w:w="712" w:type="pct"/>
            <w:vMerge w:val="continue"/>
            <w:vAlign w:val="center"/>
          </w:tcPr>
          <w:p w14:paraId="57A12C6F">
            <w:pPr>
              <w:widowControl w:val="0"/>
              <w:jc w:val="center"/>
              <w:rPr>
                <w:rFonts w:ascii="Times New Roman" w:hAnsi="Times New Roman" w:cs="Times New Roman"/>
                <w:kern w:val="2"/>
                <w:sz w:val="21"/>
              </w:rPr>
            </w:pPr>
          </w:p>
        </w:tc>
        <w:tc>
          <w:tcPr>
            <w:tcW w:w="712" w:type="pct"/>
            <w:vMerge w:val="continue"/>
            <w:vAlign w:val="center"/>
          </w:tcPr>
          <w:p w14:paraId="5D329250">
            <w:pPr>
              <w:widowControl w:val="0"/>
              <w:jc w:val="center"/>
              <w:rPr>
                <w:rFonts w:ascii="Times New Roman" w:hAnsi="Times New Roman" w:cs="Times New Roman"/>
                <w:kern w:val="2"/>
                <w:sz w:val="21"/>
              </w:rPr>
            </w:pPr>
          </w:p>
        </w:tc>
        <w:tc>
          <w:tcPr>
            <w:tcW w:w="714" w:type="pct"/>
            <w:vMerge w:val="continue"/>
            <w:vAlign w:val="center"/>
          </w:tcPr>
          <w:p w14:paraId="7823E7CB">
            <w:pPr>
              <w:widowControl w:val="0"/>
              <w:jc w:val="center"/>
              <w:rPr>
                <w:rFonts w:ascii="Times New Roman" w:hAnsi="Times New Roman" w:cs="Times New Roman"/>
                <w:kern w:val="2"/>
                <w:sz w:val="21"/>
              </w:rPr>
            </w:pPr>
          </w:p>
        </w:tc>
        <w:tc>
          <w:tcPr>
            <w:tcW w:w="714" w:type="pct"/>
            <w:vMerge w:val="continue"/>
            <w:vAlign w:val="center"/>
          </w:tcPr>
          <w:p w14:paraId="148043B2">
            <w:pPr>
              <w:widowControl w:val="0"/>
              <w:jc w:val="center"/>
              <w:rPr>
                <w:rFonts w:ascii="Times New Roman" w:hAnsi="Times New Roman" w:cs="Times New Roman"/>
                <w:kern w:val="2"/>
                <w:sz w:val="21"/>
              </w:rPr>
            </w:pPr>
          </w:p>
        </w:tc>
        <w:tc>
          <w:tcPr>
            <w:tcW w:w="714" w:type="pct"/>
            <w:vMerge w:val="continue"/>
            <w:vAlign w:val="center"/>
          </w:tcPr>
          <w:p w14:paraId="17B1BB57">
            <w:pPr>
              <w:widowControl w:val="0"/>
              <w:jc w:val="center"/>
              <w:rPr>
                <w:rFonts w:ascii="Times New Roman" w:hAnsi="Times New Roman" w:cs="Times New Roman"/>
                <w:kern w:val="2"/>
                <w:sz w:val="21"/>
              </w:rPr>
            </w:pPr>
          </w:p>
        </w:tc>
        <w:tc>
          <w:tcPr>
            <w:tcW w:w="507" w:type="pct"/>
            <w:vMerge w:val="continue"/>
            <w:vAlign w:val="center"/>
          </w:tcPr>
          <w:p w14:paraId="186CAA83">
            <w:pPr>
              <w:widowControl w:val="0"/>
              <w:jc w:val="center"/>
              <w:rPr>
                <w:rFonts w:ascii="Times New Roman" w:hAnsi="Times New Roman" w:cs="Times New Roman"/>
                <w:kern w:val="2"/>
                <w:sz w:val="21"/>
              </w:rPr>
            </w:pPr>
          </w:p>
        </w:tc>
        <w:tc>
          <w:tcPr>
            <w:tcW w:w="925" w:type="pct"/>
            <w:vAlign w:val="center"/>
          </w:tcPr>
          <w:p w14:paraId="1BD61605">
            <w:pPr>
              <w:widowControl w:val="0"/>
              <w:jc w:val="center"/>
              <w:rPr>
                <w:rFonts w:ascii="Times New Roman" w:hAnsi="Times New Roman" w:cs="Times New Roman"/>
                <w:kern w:val="2"/>
                <w:sz w:val="21"/>
                <w:lang w:eastAsia="zh-CN"/>
              </w:rPr>
            </w:pPr>
            <w:r>
              <w:rPr>
                <w:rFonts w:hint="eastAsia" w:ascii="Times New Roman" w:hAnsi="Times New Roman" w:cs="Times New Roman"/>
                <w:kern w:val="2"/>
                <w:sz w:val="21"/>
              </w:rPr>
              <w:t>地下水环境污染</w:t>
            </w:r>
          </w:p>
        </w:tc>
      </w:tr>
      <w:bookmarkEnd w:id="1994"/>
    </w:tbl>
    <w:p w14:paraId="76039963">
      <w:pPr>
        <w:spacing w:line="360" w:lineRule="auto"/>
        <w:ind w:firstLine="482"/>
        <w:outlineLvl w:val="2"/>
        <w:rPr>
          <w:rFonts w:ascii="Times New Roman" w:hAnsi="Times New Roman" w:cs="Times New Roman"/>
          <w:b/>
          <w:color w:val="auto"/>
          <w:szCs w:val="24"/>
          <w:lang w:eastAsia="zh-CN"/>
        </w:rPr>
      </w:pPr>
      <w:bookmarkStart w:id="1995" w:name="_Toc225784141"/>
      <w:bookmarkStart w:id="1996" w:name="_Toc236641910"/>
      <w:bookmarkStart w:id="1997" w:name="_Toc237508375"/>
      <w:bookmarkStart w:id="1998" w:name="_Toc231828662"/>
      <w:r>
        <w:rPr>
          <w:rFonts w:ascii="Times New Roman" w:hAnsi="Times New Roman" w:cs="Times New Roman"/>
          <w:b/>
          <w:color w:val="auto"/>
          <w:szCs w:val="24"/>
          <w:lang w:eastAsia="zh-CN"/>
        </w:rPr>
        <w:t>7.</w:t>
      </w:r>
      <w:r>
        <w:rPr>
          <w:rFonts w:hint="eastAsia" w:ascii="Times New Roman" w:hAnsi="Times New Roman" w:cs="Times New Roman"/>
          <w:b/>
          <w:color w:val="auto"/>
          <w:szCs w:val="24"/>
          <w:lang w:eastAsia="zh-CN"/>
        </w:rPr>
        <w:t>6</w:t>
      </w:r>
      <w:r>
        <w:rPr>
          <w:rFonts w:ascii="Times New Roman" w:hAnsi="Times New Roman" w:cs="Times New Roman"/>
          <w:b/>
          <w:color w:val="auto"/>
          <w:szCs w:val="24"/>
          <w:lang w:eastAsia="zh-CN"/>
        </w:rPr>
        <w:t>.</w:t>
      </w:r>
      <w:r>
        <w:rPr>
          <w:rFonts w:hint="eastAsia" w:ascii="Times New Roman" w:hAnsi="Times New Roman" w:cs="Times New Roman"/>
          <w:b/>
          <w:color w:val="auto"/>
          <w:szCs w:val="24"/>
          <w:lang w:eastAsia="zh-CN"/>
        </w:rPr>
        <w:t>8</w:t>
      </w:r>
      <w:r>
        <w:rPr>
          <w:rFonts w:ascii="Times New Roman" w:hAnsi="Times New Roman" w:cs="Times New Roman"/>
          <w:b/>
          <w:color w:val="auto"/>
          <w:szCs w:val="24"/>
          <w:lang w:eastAsia="zh-CN"/>
        </w:rPr>
        <w:t xml:space="preserve"> 环境风险</w:t>
      </w:r>
      <w:r>
        <w:rPr>
          <w:rFonts w:hint="eastAsia" w:ascii="Times New Roman" w:hAnsi="Times New Roman" w:cs="Times New Roman"/>
          <w:b/>
          <w:color w:val="auto"/>
          <w:szCs w:val="24"/>
          <w:lang w:eastAsia="zh-CN"/>
        </w:rPr>
        <w:t>识别结果</w:t>
      </w:r>
      <w:bookmarkEnd w:id="1995"/>
      <w:bookmarkEnd w:id="1996"/>
      <w:bookmarkEnd w:id="1997"/>
      <w:bookmarkEnd w:id="1998"/>
    </w:p>
    <w:p w14:paraId="641B1608">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根据《建设项目环境风险评价技术导则》（HJ169-2018），环境风险识别结果应包括危险单元、风险源、主要危险物质、环境风险类型、环境影响途径、可能受影响环境敏感目标。</w:t>
      </w:r>
    </w:p>
    <w:p w14:paraId="7E292CC2">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综上所述，通过物质危险性识别、生产系统危险性识别和环境风险类型识别，汇总拟建项目环境风险识别结果见下表所示。</w:t>
      </w:r>
    </w:p>
    <w:p w14:paraId="0CA71859">
      <w:pPr>
        <w:spacing w:line="360" w:lineRule="auto"/>
        <w:jc w:val="center"/>
        <w:rPr>
          <w:rFonts w:ascii="Times New Roman" w:hAnsi="Times New Roman" w:cs="Times New Roman"/>
          <w:b/>
          <w:color w:val="auto"/>
          <w:szCs w:val="24"/>
          <w:lang w:eastAsia="zh-CN"/>
        </w:rPr>
      </w:pPr>
      <w:r>
        <w:rPr>
          <w:rFonts w:ascii="Times New Roman" w:hAnsi="Times New Roman" w:cs="Times New Roman"/>
          <w:b/>
          <w:color w:val="auto"/>
          <w:szCs w:val="24"/>
          <w:lang w:eastAsia="zh-CN"/>
        </w:rPr>
        <w:t>表7.</w:t>
      </w:r>
      <w:r>
        <w:rPr>
          <w:rFonts w:hint="eastAsia" w:ascii="Times New Roman" w:hAnsi="Times New Roman" w:cs="Times New Roman"/>
          <w:b/>
          <w:color w:val="auto"/>
          <w:szCs w:val="24"/>
          <w:lang w:eastAsia="zh-CN"/>
        </w:rPr>
        <w:t>6</w:t>
      </w:r>
      <w:r>
        <w:rPr>
          <w:rFonts w:ascii="Times New Roman" w:hAnsi="Times New Roman" w:cs="Times New Roman"/>
          <w:b/>
          <w:color w:val="auto"/>
          <w:szCs w:val="24"/>
          <w:lang w:eastAsia="zh-CN"/>
        </w:rPr>
        <w:t>-</w:t>
      </w:r>
      <w:r>
        <w:rPr>
          <w:rFonts w:hint="eastAsia" w:ascii="Times New Roman" w:hAnsi="Times New Roman" w:cs="Times New Roman"/>
          <w:b/>
          <w:color w:val="auto"/>
          <w:szCs w:val="24"/>
          <w:lang w:eastAsia="zh-CN"/>
        </w:rPr>
        <w:t>6</w:t>
      </w:r>
      <w:r>
        <w:rPr>
          <w:rFonts w:ascii="Times New Roman" w:hAnsi="Times New Roman" w:cs="Times New Roman"/>
          <w:b/>
          <w:color w:val="auto"/>
          <w:szCs w:val="24"/>
          <w:lang w:eastAsia="zh-CN"/>
        </w:rPr>
        <w:t xml:space="preserve"> 建设项目环境风险识别表</w:t>
      </w:r>
    </w:p>
    <w:tbl>
      <w:tblPr>
        <w:tblStyle w:val="35"/>
        <w:tblW w:w="4996"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808"/>
        <w:gridCol w:w="1373"/>
        <w:gridCol w:w="1527"/>
        <w:gridCol w:w="2694"/>
        <w:gridCol w:w="1638"/>
        <w:gridCol w:w="1698"/>
      </w:tblGrid>
      <w:tr w14:paraId="7BBFA91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blHeader/>
        </w:trPr>
        <w:tc>
          <w:tcPr>
            <w:tcW w:w="415" w:type="pct"/>
            <w:vAlign w:val="center"/>
          </w:tcPr>
          <w:p w14:paraId="1DB13086">
            <w:pPr>
              <w:jc w:val="center"/>
              <w:rPr>
                <w:rFonts w:ascii="Times New Roman" w:hAnsi="Times New Roman" w:cs="Times New Roman"/>
                <w:b/>
                <w:bCs/>
                <w:color w:val="auto"/>
                <w:sz w:val="21"/>
              </w:rPr>
            </w:pPr>
            <w:r>
              <w:rPr>
                <w:rFonts w:ascii="Times New Roman" w:hAnsi="Times New Roman" w:cs="Times New Roman"/>
                <w:b/>
                <w:bCs/>
                <w:color w:val="auto"/>
                <w:sz w:val="21"/>
              </w:rPr>
              <w:t>序号</w:t>
            </w:r>
          </w:p>
        </w:tc>
        <w:tc>
          <w:tcPr>
            <w:tcW w:w="705" w:type="pct"/>
            <w:vAlign w:val="center"/>
          </w:tcPr>
          <w:p w14:paraId="319F3DB4">
            <w:pPr>
              <w:jc w:val="center"/>
              <w:rPr>
                <w:rFonts w:ascii="Times New Roman" w:hAnsi="Times New Roman" w:cs="Times New Roman"/>
                <w:b/>
                <w:bCs/>
                <w:color w:val="auto"/>
                <w:sz w:val="21"/>
              </w:rPr>
            </w:pPr>
            <w:r>
              <w:rPr>
                <w:rFonts w:ascii="Times New Roman" w:hAnsi="Times New Roman" w:cs="Times New Roman"/>
                <w:b/>
                <w:bCs/>
                <w:color w:val="auto"/>
                <w:sz w:val="21"/>
              </w:rPr>
              <w:t>危险单元</w:t>
            </w:r>
          </w:p>
        </w:tc>
        <w:tc>
          <w:tcPr>
            <w:tcW w:w="784" w:type="pct"/>
            <w:vAlign w:val="center"/>
          </w:tcPr>
          <w:p w14:paraId="450EDEA2">
            <w:pPr>
              <w:jc w:val="center"/>
              <w:rPr>
                <w:rFonts w:ascii="Times New Roman" w:hAnsi="Times New Roman" w:cs="Times New Roman"/>
                <w:b/>
                <w:bCs/>
                <w:color w:val="auto"/>
                <w:sz w:val="21"/>
              </w:rPr>
            </w:pPr>
            <w:r>
              <w:rPr>
                <w:rFonts w:ascii="Times New Roman" w:hAnsi="Times New Roman" w:cs="Times New Roman"/>
                <w:b/>
                <w:bCs/>
                <w:color w:val="auto"/>
                <w:sz w:val="21"/>
              </w:rPr>
              <w:t>风险源</w:t>
            </w:r>
          </w:p>
        </w:tc>
        <w:tc>
          <w:tcPr>
            <w:tcW w:w="1383" w:type="pct"/>
            <w:vAlign w:val="center"/>
          </w:tcPr>
          <w:p w14:paraId="667FC830">
            <w:pPr>
              <w:jc w:val="center"/>
              <w:rPr>
                <w:rFonts w:ascii="Times New Roman" w:hAnsi="Times New Roman" w:cs="Times New Roman"/>
                <w:b/>
                <w:bCs/>
                <w:color w:val="auto"/>
                <w:sz w:val="21"/>
              </w:rPr>
            </w:pPr>
            <w:r>
              <w:rPr>
                <w:rFonts w:ascii="Times New Roman" w:hAnsi="Times New Roman" w:cs="Times New Roman"/>
                <w:b/>
                <w:bCs/>
                <w:color w:val="auto"/>
                <w:sz w:val="21"/>
              </w:rPr>
              <w:t>主要危险物质</w:t>
            </w:r>
          </w:p>
        </w:tc>
        <w:tc>
          <w:tcPr>
            <w:tcW w:w="841" w:type="pct"/>
            <w:vAlign w:val="center"/>
          </w:tcPr>
          <w:p w14:paraId="4F2FC363">
            <w:pPr>
              <w:jc w:val="center"/>
              <w:rPr>
                <w:rFonts w:ascii="Times New Roman" w:hAnsi="Times New Roman" w:cs="Times New Roman"/>
                <w:b/>
                <w:bCs/>
                <w:color w:val="auto"/>
                <w:sz w:val="21"/>
              </w:rPr>
            </w:pPr>
            <w:r>
              <w:rPr>
                <w:rFonts w:ascii="Times New Roman" w:hAnsi="Times New Roman" w:cs="Times New Roman"/>
                <w:b/>
                <w:bCs/>
                <w:color w:val="auto"/>
                <w:sz w:val="21"/>
              </w:rPr>
              <w:t>环境风险类型</w:t>
            </w:r>
          </w:p>
        </w:tc>
        <w:tc>
          <w:tcPr>
            <w:tcW w:w="871" w:type="pct"/>
            <w:vAlign w:val="center"/>
          </w:tcPr>
          <w:p w14:paraId="766780A8">
            <w:pPr>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可能受影响环境敏感目标</w:t>
            </w:r>
          </w:p>
        </w:tc>
      </w:tr>
      <w:tr w14:paraId="7DAB31B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415" w:type="pct"/>
            <w:vAlign w:val="center"/>
          </w:tcPr>
          <w:p w14:paraId="02C78F96">
            <w:pPr>
              <w:jc w:val="center"/>
              <w:rPr>
                <w:rFonts w:ascii="Times New Roman" w:hAnsi="Times New Roman" w:cs="Times New Roman"/>
                <w:color w:val="auto"/>
                <w:sz w:val="21"/>
              </w:rPr>
            </w:pPr>
            <w:r>
              <w:rPr>
                <w:rFonts w:ascii="Times New Roman" w:hAnsi="Times New Roman" w:cs="Times New Roman"/>
                <w:color w:val="auto"/>
                <w:sz w:val="21"/>
              </w:rPr>
              <w:t>1</w:t>
            </w:r>
          </w:p>
        </w:tc>
        <w:tc>
          <w:tcPr>
            <w:tcW w:w="705" w:type="pct"/>
            <w:vAlign w:val="center"/>
          </w:tcPr>
          <w:p w14:paraId="3CDC1D12">
            <w:pPr>
              <w:jc w:val="center"/>
              <w:rPr>
                <w:rFonts w:ascii="Times New Roman" w:hAnsi="Times New Roman" w:cs="Times New Roman"/>
                <w:color w:val="auto"/>
                <w:sz w:val="21"/>
                <w:lang w:eastAsia="zh-CN"/>
              </w:rPr>
            </w:pPr>
            <w:r>
              <w:rPr>
                <w:rFonts w:ascii="Times New Roman" w:hAnsi="Times New Roman" w:cs="Times New Roman"/>
                <w:color w:val="auto"/>
                <w:sz w:val="21"/>
              </w:rPr>
              <w:t>生产</w:t>
            </w:r>
            <w:r>
              <w:rPr>
                <w:rFonts w:hint="eastAsia" w:ascii="Times New Roman" w:cs="Times New Roman"/>
                <w:color w:val="auto"/>
                <w:sz w:val="21"/>
                <w:lang w:eastAsia="zh-CN"/>
              </w:rPr>
              <w:t>装置</w:t>
            </w:r>
          </w:p>
        </w:tc>
        <w:tc>
          <w:tcPr>
            <w:tcW w:w="784" w:type="pct"/>
            <w:vAlign w:val="center"/>
          </w:tcPr>
          <w:p w14:paraId="6354227E">
            <w:pPr>
              <w:jc w:val="center"/>
              <w:rPr>
                <w:rFonts w:ascii="Times New Roman" w:hAnsi="Times New Roman" w:cs="Times New Roman"/>
                <w:color w:val="auto"/>
                <w:sz w:val="21"/>
              </w:rPr>
            </w:pPr>
            <w:r>
              <w:rPr>
                <w:rFonts w:ascii="Times New Roman" w:hAnsi="Times New Roman" w:cs="Times New Roman"/>
                <w:color w:val="auto"/>
                <w:sz w:val="21"/>
              </w:rPr>
              <w:t>车间生产装置</w:t>
            </w:r>
          </w:p>
        </w:tc>
        <w:tc>
          <w:tcPr>
            <w:tcW w:w="1383" w:type="pct"/>
            <w:vAlign w:val="center"/>
          </w:tcPr>
          <w:p w14:paraId="2DBC1C48">
            <w:pPr>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15%氟化氢水溶液</w:t>
            </w:r>
            <w:r>
              <w:rPr>
                <w:rFonts w:hint="eastAsia" w:ascii="Times New Roman" w:hAnsi="Times New Roman" w:cs="Times New Roman"/>
                <w:color w:val="auto"/>
                <w:sz w:val="21"/>
                <w:lang w:eastAsia="zh-CN"/>
              </w:rPr>
              <w:t>、无水氟化氢、化学纯氢氟酸、31%盐酸</w:t>
            </w:r>
          </w:p>
        </w:tc>
        <w:tc>
          <w:tcPr>
            <w:tcW w:w="841" w:type="pct"/>
            <w:vAlign w:val="center"/>
          </w:tcPr>
          <w:p w14:paraId="2495CE33">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泄漏引发的伴生/次生污染</w:t>
            </w:r>
          </w:p>
        </w:tc>
        <w:tc>
          <w:tcPr>
            <w:tcW w:w="871" w:type="pct"/>
            <w:vAlign w:val="center"/>
          </w:tcPr>
          <w:p w14:paraId="22143E6A">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下风向居民区、厂区内土壤、地下水</w:t>
            </w:r>
          </w:p>
        </w:tc>
      </w:tr>
      <w:tr w14:paraId="585E20C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415" w:type="pct"/>
            <w:vAlign w:val="center"/>
          </w:tcPr>
          <w:p w14:paraId="2B9EFEB7">
            <w:pPr>
              <w:jc w:val="center"/>
              <w:rPr>
                <w:rFonts w:ascii="Times New Roman" w:hAnsi="Times New Roman" w:cs="Times New Roman"/>
                <w:color w:val="auto"/>
                <w:sz w:val="21"/>
                <w:lang w:eastAsia="zh-CN"/>
              </w:rPr>
            </w:pPr>
            <w:r>
              <w:rPr>
                <w:rFonts w:hint="eastAsia" w:ascii="Times New Roman" w:cs="Times New Roman"/>
                <w:color w:val="auto"/>
                <w:sz w:val="21"/>
                <w:lang w:eastAsia="zh-CN"/>
              </w:rPr>
              <w:t>3</w:t>
            </w:r>
          </w:p>
        </w:tc>
        <w:tc>
          <w:tcPr>
            <w:tcW w:w="705" w:type="pct"/>
            <w:vAlign w:val="center"/>
          </w:tcPr>
          <w:p w14:paraId="0D9E8607">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储</w:t>
            </w:r>
            <w:r>
              <w:rPr>
                <w:rFonts w:ascii="Times New Roman" w:hAnsi="Times New Roman" w:cs="Times New Roman"/>
                <w:color w:val="auto"/>
                <w:sz w:val="21"/>
              </w:rPr>
              <w:t>罐区</w:t>
            </w:r>
          </w:p>
        </w:tc>
        <w:tc>
          <w:tcPr>
            <w:tcW w:w="784" w:type="pct"/>
            <w:vAlign w:val="center"/>
          </w:tcPr>
          <w:p w14:paraId="15888254">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罐体破裂、阀门损坏、连接管脱落等</w:t>
            </w:r>
          </w:p>
        </w:tc>
        <w:tc>
          <w:tcPr>
            <w:tcW w:w="1383" w:type="pct"/>
            <w:vAlign w:val="center"/>
          </w:tcPr>
          <w:p w14:paraId="30FC8471">
            <w:pPr>
              <w:jc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rPr>
              <w:t>氟化氢、</w:t>
            </w:r>
            <w:r>
              <w:rPr>
                <w:rFonts w:hint="eastAsia" w:ascii="Times New Roman" w:hAnsi="Times New Roman" w:cs="Times New Roman"/>
                <w:color w:val="000000" w:themeColor="text1"/>
                <w:kern w:val="2"/>
                <w:sz w:val="21"/>
                <w:lang w:eastAsia="zh-CN"/>
                <w14:textFill>
                  <w14:solidFill>
                    <w14:schemeClr w14:val="tx1"/>
                  </w14:solidFill>
                </w14:textFill>
              </w:rPr>
              <w:t>15%氟化氢水溶液、化学纯氢氟酸、31%盐酸、化学纯氢氟酸、刻蚀液</w:t>
            </w:r>
          </w:p>
        </w:tc>
        <w:tc>
          <w:tcPr>
            <w:tcW w:w="841" w:type="pct"/>
            <w:vAlign w:val="center"/>
          </w:tcPr>
          <w:p w14:paraId="6271B82B">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泄漏引发的伴生/次生污染</w:t>
            </w:r>
          </w:p>
        </w:tc>
        <w:tc>
          <w:tcPr>
            <w:tcW w:w="871" w:type="pct"/>
            <w:vAlign w:val="center"/>
          </w:tcPr>
          <w:p w14:paraId="3FB330A6">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下风向居民区、厂区内土壤、地下水</w:t>
            </w:r>
          </w:p>
        </w:tc>
      </w:tr>
      <w:tr w14:paraId="35938D1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415" w:type="pct"/>
            <w:vAlign w:val="center"/>
          </w:tcPr>
          <w:p w14:paraId="6E6B2CE8">
            <w:pPr>
              <w:jc w:val="center"/>
              <w:rPr>
                <w:rFonts w:ascii="Times New Roman" w:cs="Times New Roman"/>
                <w:color w:val="auto"/>
                <w:sz w:val="21"/>
                <w:lang w:eastAsia="zh-CN"/>
              </w:rPr>
            </w:pPr>
            <w:r>
              <w:rPr>
                <w:rFonts w:hint="eastAsia" w:ascii="Times New Roman" w:cs="Times New Roman"/>
                <w:color w:val="auto"/>
                <w:sz w:val="21"/>
                <w:lang w:eastAsia="zh-CN"/>
              </w:rPr>
              <w:t>4</w:t>
            </w:r>
          </w:p>
        </w:tc>
        <w:tc>
          <w:tcPr>
            <w:tcW w:w="705" w:type="pct"/>
            <w:vAlign w:val="center"/>
          </w:tcPr>
          <w:p w14:paraId="20A6AC08">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丁类仓库</w:t>
            </w:r>
          </w:p>
        </w:tc>
        <w:tc>
          <w:tcPr>
            <w:tcW w:w="784" w:type="pct"/>
            <w:vAlign w:val="center"/>
          </w:tcPr>
          <w:p w14:paraId="35226A2D">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桶</w:t>
            </w:r>
            <w:r>
              <w:rPr>
                <w:rFonts w:ascii="Times New Roman" w:hAnsi="Times New Roman" w:cs="Times New Roman"/>
                <w:color w:val="auto"/>
                <w:sz w:val="21"/>
                <w:lang w:eastAsia="zh-CN"/>
              </w:rPr>
              <w:t>体破裂</w:t>
            </w:r>
          </w:p>
        </w:tc>
        <w:tc>
          <w:tcPr>
            <w:tcW w:w="1383" w:type="pct"/>
            <w:vAlign w:val="center"/>
          </w:tcPr>
          <w:p w14:paraId="04500DD4">
            <w:pPr>
              <w:jc w:val="center"/>
              <w:rPr>
                <w:rFonts w:ascii="Times New Roman" w:hAnsi="Times New Roman" w:cs="Times New Roman"/>
                <w:color w:val="auto"/>
                <w:sz w:val="21"/>
                <w:lang w:eastAsia="zh-CN"/>
              </w:rPr>
            </w:pPr>
            <w:r>
              <w:rPr>
                <w:rFonts w:hint="eastAsia" w:ascii="Times New Roman" w:hAnsi="Times New Roman" w:cs="Times New Roman"/>
                <w:color w:val="000000" w:themeColor="text1"/>
                <w:kern w:val="2"/>
                <w:sz w:val="21"/>
                <w:lang w:eastAsia="zh-CN"/>
                <w14:textFill>
                  <w14:solidFill>
                    <w14:schemeClr w14:val="tx1"/>
                  </w14:solidFill>
                </w14:textFill>
              </w:rPr>
              <w:t>化学纯氢氟酸</w:t>
            </w:r>
          </w:p>
        </w:tc>
        <w:tc>
          <w:tcPr>
            <w:tcW w:w="841" w:type="pct"/>
            <w:vAlign w:val="center"/>
          </w:tcPr>
          <w:p w14:paraId="0E2F2A74">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泄漏、火灾引发的伴生/次生污染</w:t>
            </w:r>
          </w:p>
        </w:tc>
        <w:tc>
          <w:tcPr>
            <w:tcW w:w="871" w:type="pct"/>
            <w:vAlign w:val="center"/>
          </w:tcPr>
          <w:p w14:paraId="427C4C9A">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下风向居民区、厂区内土壤、地下水</w:t>
            </w:r>
          </w:p>
        </w:tc>
      </w:tr>
      <w:tr w14:paraId="5E1071D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415" w:type="pct"/>
            <w:vAlign w:val="center"/>
          </w:tcPr>
          <w:p w14:paraId="2E1C4F48">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w:t>
            </w:r>
          </w:p>
        </w:tc>
        <w:tc>
          <w:tcPr>
            <w:tcW w:w="705" w:type="pct"/>
            <w:vAlign w:val="center"/>
          </w:tcPr>
          <w:p w14:paraId="0F1A4098">
            <w:pPr>
              <w:jc w:val="center"/>
              <w:rPr>
                <w:rFonts w:ascii="Times New Roman" w:hAnsi="Times New Roman" w:cs="Times New Roman"/>
                <w:color w:val="auto"/>
                <w:sz w:val="21"/>
              </w:rPr>
            </w:pPr>
            <w:r>
              <w:rPr>
                <w:rFonts w:ascii="Times New Roman" w:hAnsi="Times New Roman" w:cs="Times New Roman"/>
                <w:color w:val="auto"/>
                <w:sz w:val="21"/>
              </w:rPr>
              <w:t>危废暂存库</w:t>
            </w:r>
          </w:p>
        </w:tc>
        <w:tc>
          <w:tcPr>
            <w:tcW w:w="784" w:type="pct"/>
            <w:vAlign w:val="center"/>
          </w:tcPr>
          <w:p w14:paraId="7D2CCCF9">
            <w:pPr>
              <w:jc w:val="center"/>
              <w:rPr>
                <w:rFonts w:ascii="Times New Roman" w:hAnsi="Times New Roman" w:cs="Times New Roman"/>
                <w:color w:val="auto"/>
                <w:sz w:val="21"/>
              </w:rPr>
            </w:pPr>
            <w:r>
              <w:rPr>
                <w:rFonts w:ascii="Times New Roman" w:hAnsi="Times New Roman" w:cs="Times New Roman"/>
                <w:color w:val="auto"/>
                <w:sz w:val="21"/>
              </w:rPr>
              <w:t>桶破裂</w:t>
            </w:r>
          </w:p>
        </w:tc>
        <w:tc>
          <w:tcPr>
            <w:tcW w:w="1383" w:type="pct"/>
            <w:vAlign w:val="center"/>
          </w:tcPr>
          <w:p w14:paraId="3AC070C8">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实验室废液、废机油、</w:t>
            </w:r>
            <w:r>
              <w:rPr>
                <w:rFonts w:hint="eastAsia" w:ascii="Times New Roman" w:hAnsi="Times New Roman" w:cs="Times New Roman"/>
                <w:color w:val="auto"/>
                <w:sz w:val="21"/>
                <w:lang w:val="en-US" w:eastAsia="zh-CN"/>
              </w:rPr>
              <w:t>废漆桶、</w:t>
            </w:r>
            <w:r>
              <w:rPr>
                <w:rFonts w:hint="eastAsia" w:ascii="Times New Roman" w:hAnsi="Times New Roman" w:cs="Times New Roman"/>
                <w:color w:val="auto"/>
                <w:sz w:val="21"/>
                <w:lang w:eastAsia="zh-CN"/>
              </w:rPr>
              <w:t>废油桶等</w:t>
            </w:r>
          </w:p>
        </w:tc>
        <w:tc>
          <w:tcPr>
            <w:tcW w:w="841" w:type="pct"/>
            <w:vAlign w:val="center"/>
          </w:tcPr>
          <w:p w14:paraId="03B37A1B">
            <w:pPr>
              <w:jc w:val="center"/>
              <w:rPr>
                <w:rFonts w:ascii="Times New Roman" w:hAnsi="Times New Roman" w:cs="Times New Roman"/>
                <w:color w:val="auto"/>
                <w:sz w:val="21"/>
              </w:rPr>
            </w:pPr>
            <w:r>
              <w:rPr>
                <w:rFonts w:ascii="Times New Roman" w:hAnsi="Times New Roman" w:cs="Times New Roman"/>
                <w:color w:val="auto"/>
                <w:sz w:val="21"/>
              </w:rPr>
              <w:t>泄漏</w:t>
            </w:r>
          </w:p>
        </w:tc>
        <w:tc>
          <w:tcPr>
            <w:tcW w:w="871" w:type="pct"/>
            <w:vAlign w:val="center"/>
          </w:tcPr>
          <w:p w14:paraId="1760224C">
            <w:pPr>
              <w:jc w:val="center"/>
              <w:rPr>
                <w:rFonts w:ascii="Times New Roman" w:hAnsi="Times New Roman" w:cs="Times New Roman"/>
                <w:color w:val="auto"/>
                <w:sz w:val="21"/>
              </w:rPr>
            </w:pPr>
            <w:r>
              <w:rPr>
                <w:rFonts w:ascii="Times New Roman" w:hAnsi="Times New Roman" w:cs="Times New Roman"/>
                <w:color w:val="auto"/>
                <w:sz w:val="21"/>
              </w:rPr>
              <w:t>厂区内土壤、地下水</w:t>
            </w:r>
          </w:p>
        </w:tc>
      </w:tr>
      <w:tr w14:paraId="2A649FD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415" w:type="pct"/>
            <w:vAlign w:val="center"/>
          </w:tcPr>
          <w:p w14:paraId="37EBE95F">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6</w:t>
            </w:r>
          </w:p>
        </w:tc>
        <w:tc>
          <w:tcPr>
            <w:tcW w:w="705" w:type="pct"/>
            <w:vAlign w:val="center"/>
          </w:tcPr>
          <w:p w14:paraId="7064B80D">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车间废水收集罐及管道</w:t>
            </w:r>
          </w:p>
        </w:tc>
        <w:tc>
          <w:tcPr>
            <w:tcW w:w="784" w:type="pct"/>
            <w:vAlign w:val="center"/>
          </w:tcPr>
          <w:p w14:paraId="62F5C30E">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罐体破裂、管道破裂、阀门损坏等</w:t>
            </w:r>
          </w:p>
        </w:tc>
        <w:tc>
          <w:tcPr>
            <w:tcW w:w="1383" w:type="pct"/>
            <w:vAlign w:val="center"/>
          </w:tcPr>
          <w:p w14:paraId="0948E581">
            <w:pPr>
              <w:jc w:val="center"/>
              <w:rPr>
                <w:rFonts w:ascii="Times New Roman" w:hAnsi="Times New Roman" w:cs="Times New Roman"/>
                <w:color w:val="auto"/>
                <w:sz w:val="21"/>
              </w:rPr>
            </w:pPr>
            <w:r>
              <w:rPr>
                <w:rFonts w:ascii="Times New Roman" w:hAnsi="Times New Roman" w:cs="Times New Roman"/>
                <w:color w:val="auto"/>
                <w:sz w:val="21"/>
              </w:rPr>
              <w:t>废水</w:t>
            </w:r>
          </w:p>
        </w:tc>
        <w:tc>
          <w:tcPr>
            <w:tcW w:w="841" w:type="pct"/>
            <w:vAlign w:val="center"/>
          </w:tcPr>
          <w:p w14:paraId="4C992B2D">
            <w:pPr>
              <w:jc w:val="center"/>
              <w:rPr>
                <w:rFonts w:ascii="Times New Roman" w:hAnsi="Times New Roman" w:cs="Times New Roman"/>
                <w:color w:val="auto"/>
                <w:sz w:val="21"/>
              </w:rPr>
            </w:pPr>
            <w:r>
              <w:rPr>
                <w:rFonts w:ascii="Times New Roman" w:hAnsi="Times New Roman" w:cs="Times New Roman"/>
                <w:color w:val="auto"/>
                <w:sz w:val="21"/>
              </w:rPr>
              <w:t>泄漏</w:t>
            </w:r>
          </w:p>
        </w:tc>
        <w:tc>
          <w:tcPr>
            <w:tcW w:w="871" w:type="pct"/>
            <w:vAlign w:val="center"/>
          </w:tcPr>
          <w:p w14:paraId="2B1A48B9">
            <w:pPr>
              <w:jc w:val="center"/>
              <w:rPr>
                <w:rFonts w:ascii="Times New Roman" w:hAnsi="Times New Roman" w:cs="Times New Roman"/>
                <w:color w:val="auto"/>
                <w:sz w:val="21"/>
              </w:rPr>
            </w:pPr>
            <w:r>
              <w:rPr>
                <w:rFonts w:ascii="Times New Roman" w:hAnsi="Times New Roman" w:cs="Times New Roman"/>
                <w:color w:val="auto"/>
                <w:sz w:val="21"/>
              </w:rPr>
              <w:t>土壤和地下水环境</w:t>
            </w:r>
          </w:p>
        </w:tc>
      </w:tr>
    </w:tbl>
    <w:p w14:paraId="58F0AA5C">
      <w:pPr>
        <w:spacing w:line="360" w:lineRule="auto"/>
        <w:ind w:firstLine="562"/>
        <w:outlineLvl w:val="1"/>
        <w:rPr>
          <w:rFonts w:ascii="Times New Roman" w:hAnsi="Times New Roman" w:cs="Times New Roman"/>
          <w:b/>
          <w:bCs/>
          <w:color w:val="auto"/>
          <w:sz w:val="28"/>
          <w:szCs w:val="22"/>
          <w:lang w:eastAsia="zh-CN"/>
        </w:rPr>
      </w:pPr>
      <w:bookmarkStart w:id="1999" w:name="_Toc237508376"/>
      <w:r>
        <w:rPr>
          <w:rFonts w:ascii="Times New Roman" w:hAnsi="Times New Roman" w:cs="Times New Roman"/>
          <w:b/>
          <w:bCs/>
          <w:color w:val="auto"/>
          <w:sz w:val="28"/>
          <w:szCs w:val="22"/>
          <w:lang w:eastAsia="zh-CN"/>
        </w:rPr>
        <w:t>7.</w:t>
      </w:r>
      <w:r>
        <w:rPr>
          <w:rFonts w:hint="eastAsia" w:ascii="Times New Roman" w:hAnsi="Times New Roman" w:cs="Times New Roman"/>
          <w:b/>
          <w:bCs/>
          <w:color w:val="auto"/>
          <w:sz w:val="28"/>
          <w:szCs w:val="22"/>
          <w:lang w:eastAsia="zh-CN"/>
        </w:rPr>
        <w:t>7</w:t>
      </w:r>
      <w:r>
        <w:rPr>
          <w:rFonts w:ascii="Times New Roman" w:hAnsi="Times New Roman" w:cs="Times New Roman"/>
          <w:b/>
          <w:bCs/>
          <w:color w:val="auto"/>
          <w:sz w:val="28"/>
          <w:szCs w:val="22"/>
          <w:lang w:eastAsia="zh-CN"/>
        </w:rPr>
        <w:t xml:space="preserve"> </w:t>
      </w:r>
      <w:r>
        <w:rPr>
          <w:rFonts w:hint="eastAsia" w:ascii="Times New Roman" w:hAnsi="Times New Roman" w:cs="Times New Roman"/>
          <w:b/>
          <w:bCs/>
          <w:color w:val="auto"/>
          <w:sz w:val="28"/>
          <w:szCs w:val="22"/>
          <w:lang w:eastAsia="zh-CN"/>
        </w:rPr>
        <w:t>风险事故情形分析</w:t>
      </w:r>
      <w:bookmarkEnd w:id="1999"/>
    </w:p>
    <w:p w14:paraId="0D33D3D0">
      <w:pPr>
        <w:spacing w:line="360" w:lineRule="auto"/>
        <w:ind w:firstLine="482"/>
        <w:outlineLvl w:val="2"/>
        <w:rPr>
          <w:rFonts w:ascii="Times New Roman" w:hAnsi="Times New Roman" w:cs="Times New Roman"/>
          <w:b/>
          <w:color w:val="auto"/>
          <w:szCs w:val="24"/>
          <w:lang w:eastAsia="zh-CN"/>
        </w:rPr>
      </w:pPr>
      <w:bookmarkStart w:id="2000" w:name="_Toc231828664"/>
      <w:bookmarkStart w:id="2001" w:name="_Toc172555728"/>
      <w:bookmarkStart w:id="2002" w:name="_Toc223425141"/>
      <w:bookmarkStart w:id="2003" w:name="_Toc218784366"/>
      <w:bookmarkStart w:id="2004" w:name="_Toc32121"/>
      <w:bookmarkStart w:id="2005" w:name="_Toc173743464"/>
      <w:bookmarkStart w:id="2006" w:name="_Toc236641912"/>
      <w:bookmarkStart w:id="2007" w:name="_Toc173740360"/>
      <w:bookmarkStart w:id="2008" w:name="_Toc224674781"/>
      <w:bookmarkStart w:id="2009" w:name="_Toc204515283"/>
      <w:bookmarkStart w:id="2010" w:name="_Toc217662754"/>
      <w:bookmarkStart w:id="2011" w:name="_Toc178602432"/>
      <w:bookmarkStart w:id="2012" w:name="_Toc221900923"/>
      <w:bookmarkStart w:id="2013" w:name="_Toc176513091"/>
      <w:bookmarkStart w:id="2014" w:name="_Toc204448548"/>
      <w:bookmarkStart w:id="2015" w:name="_Toc203927084"/>
      <w:bookmarkStart w:id="2016" w:name="_Toc175164355"/>
      <w:bookmarkStart w:id="2017" w:name="_Toc237508377"/>
      <w:bookmarkStart w:id="2018" w:name="_Toc225784143"/>
      <w:r>
        <w:rPr>
          <w:rFonts w:ascii="Times New Roman" w:hAnsi="Times New Roman" w:cs="Times New Roman"/>
          <w:b/>
          <w:color w:val="auto"/>
          <w:szCs w:val="24"/>
          <w:lang w:eastAsia="zh-CN"/>
        </w:rPr>
        <w:t>7.</w:t>
      </w:r>
      <w:r>
        <w:rPr>
          <w:rFonts w:hint="eastAsia" w:ascii="Times New Roman" w:hAnsi="Times New Roman" w:cs="Times New Roman"/>
          <w:b/>
          <w:color w:val="auto"/>
          <w:szCs w:val="24"/>
          <w:lang w:eastAsia="zh-CN"/>
        </w:rPr>
        <w:t>7</w:t>
      </w:r>
      <w:r>
        <w:rPr>
          <w:rFonts w:ascii="Times New Roman" w:hAnsi="Times New Roman" w:cs="Times New Roman"/>
          <w:b/>
          <w:color w:val="auto"/>
          <w:szCs w:val="24"/>
          <w:lang w:eastAsia="zh-CN"/>
        </w:rPr>
        <w:t>.1 风险事故情形设定原则</w:t>
      </w:r>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p>
    <w:p w14:paraId="18518DC2">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根据《建设项目环境风险评价技术导则》（HJ169-2018），本项目环境风险事故设定的原则如下：</w:t>
      </w:r>
    </w:p>
    <w:p w14:paraId="0BB811FD">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1）同一种危险物质可能涉及泄漏，以及火灾、爆炸等引发的伴生/次生污染物排放等多种环境风险类型，其风险事故情形设定应全面考虑。同一物质对不同环境要素均产生的影响的，风险事故情形分别进行设定。</w:t>
      </w:r>
    </w:p>
    <w:p w14:paraId="2F96C777">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（2）对于火灾、爆炸事故，将事故中未完全燃烧的危险物质在高温下迅速挥发至大气，以及燃烧过程中产生的伴生/次生污染物对环境的影响作为风险事故情形设定的内容。</w:t>
      </w:r>
    </w:p>
    <w:p w14:paraId="466EEEAE">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（3）设定的风险事故情形发生可的能性应处于合理的区间，并与经济技术发展水平相适应。根据导则，将发生概率小于10</w:t>
      </w:r>
      <w:r>
        <w:rPr>
          <w:rFonts w:ascii="Times New Roman" w:hAnsi="Times New Roman" w:cs="Times New Roman"/>
          <w:color w:val="auto"/>
          <w:vertAlign w:val="superscript"/>
          <w:lang w:eastAsia="zh-CN"/>
        </w:rPr>
        <w:t>-6</w:t>
      </w:r>
      <w:r>
        <w:rPr>
          <w:rFonts w:ascii="Times New Roman" w:hAnsi="Times New Roman" w:cs="Times New Roman"/>
          <w:color w:val="auto"/>
          <w:lang w:eastAsia="zh-CN"/>
        </w:rPr>
        <w:t>/年的事件认定为极小概率事件，作为代表性事故情形中最大可信事故设定的参考值。</w:t>
      </w:r>
    </w:p>
    <w:p w14:paraId="28C769DF">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（4）由于事故触发因素具有不确定性，因此本项目事故情形的设定并不能包含全部可能的环境风险，事故情形的设定建立在环境风险识别基础上，通过对代表性事故情形的分析力求为风险管理提供科学依据。</w:t>
      </w:r>
    </w:p>
    <w:p w14:paraId="05354FA1">
      <w:pPr>
        <w:widowControl w:val="0"/>
        <w:spacing w:line="360" w:lineRule="auto"/>
        <w:ind w:firstLine="480" w:firstLineChars="200"/>
        <w:jc w:val="both"/>
        <w:rPr>
          <w:rFonts w:hint="eastAsia" w:ascii="Times New Roman" w:hAnsi="Times New Roman" w:cs="Times New Roman"/>
          <w:color w:val="auto"/>
          <w:lang w:eastAsia="zh-CN"/>
        </w:rPr>
      </w:pPr>
      <w:r>
        <w:rPr>
          <w:rFonts w:ascii="Times New Roman" w:hAnsi="Times New Roman" w:cs="Times New Roman"/>
          <w:color w:val="auto"/>
          <w:lang w:eastAsia="zh-CN"/>
        </w:rPr>
        <w:t>（5）环境风险评价主要针对项目发生突发性污染事故通过污染物迁移所造成区域外环境影响进行评价，大气风险评价范围包括厂界外污染影响区域，地下水风险评价范围包括厂界内地下水及厂界外地下水环境敏感点；安全评价着眼于设备安全性事故后暴露范围内的人员与财产损失，通常设备燃爆安全性事故的范围限于厂界内。因此，本次评价为项目发生突发性污染事故后影响环境的区域，不包括单纯因火灾和爆炸引起的厂界内外人员伤亡事故</w:t>
      </w:r>
      <w:r>
        <w:rPr>
          <w:rFonts w:hint="eastAsia" w:ascii="Times New Roman" w:hAnsi="Times New Roman" w:cs="Times New Roman"/>
          <w:color w:val="auto"/>
          <w:lang w:eastAsia="zh-CN"/>
        </w:rPr>
        <w:t>。</w:t>
      </w:r>
    </w:p>
    <w:p w14:paraId="035063B0">
      <w:pPr>
        <w:widowControl w:val="0"/>
        <w:spacing w:line="360" w:lineRule="auto"/>
        <w:ind w:firstLine="480" w:firstLineChars="200"/>
        <w:jc w:val="both"/>
        <w:rPr>
          <w:rFonts w:hint="eastAsia" w:ascii="Times New Roman" w:hAnsi="Times New Roman" w:cs="Times New Roman"/>
          <w:color w:val="auto"/>
          <w:lang w:eastAsia="zh-CN"/>
        </w:rPr>
      </w:pPr>
    </w:p>
    <w:p w14:paraId="693C8F21">
      <w:pPr>
        <w:spacing w:line="360" w:lineRule="auto"/>
        <w:ind w:firstLine="482"/>
        <w:outlineLvl w:val="2"/>
        <w:rPr>
          <w:rFonts w:ascii="Times New Roman" w:hAnsi="Times New Roman" w:cs="Times New Roman"/>
          <w:b/>
          <w:color w:val="auto"/>
          <w:szCs w:val="24"/>
          <w:lang w:eastAsia="zh-CN"/>
        </w:rPr>
      </w:pPr>
      <w:bookmarkStart w:id="2019" w:name="_Toc221900924"/>
      <w:bookmarkStart w:id="2020" w:name="_Toc236641913"/>
      <w:bookmarkStart w:id="2021" w:name="_Toc237508378"/>
      <w:bookmarkStart w:id="2022" w:name="_Toc176513092"/>
      <w:bookmarkStart w:id="2023" w:name="_Toc204515284"/>
      <w:bookmarkStart w:id="2024" w:name="_Toc204448549"/>
      <w:bookmarkStart w:id="2025" w:name="_Toc223425142"/>
      <w:bookmarkStart w:id="2026" w:name="_Toc173743465"/>
      <w:bookmarkStart w:id="2027" w:name="_Toc203927085"/>
      <w:bookmarkStart w:id="2028" w:name="_Toc224674782"/>
      <w:bookmarkStart w:id="2029" w:name="_Toc218784367"/>
      <w:bookmarkStart w:id="2030" w:name="_Toc225784144"/>
      <w:bookmarkStart w:id="2031" w:name="_Toc27557"/>
      <w:bookmarkStart w:id="2032" w:name="_Toc217662755"/>
      <w:bookmarkStart w:id="2033" w:name="_Toc172555729"/>
      <w:bookmarkStart w:id="2034" w:name="_Toc173740361"/>
      <w:bookmarkStart w:id="2035" w:name="_Toc231828665"/>
      <w:bookmarkStart w:id="2036" w:name="_Toc178602433"/>
      <w:bookmarkStart w:id="2037" w:name="_Toc175164356"/>
      <w:r>
        <w:rPr>
          <w:rFonts w:ascii="Times New Roman" w:hAnsi="Times New Roman" w:cs="Times New Roman"/>
          <w:b/>
          <w:color w:val="auto"/>
          <w:szCs w:val="24"/>
          <w:lang w:eastAsia="zh-CN"/>
        </w:rPr>
        <w:t>7.</w:t>
      </w:r>
      <w:r>
        <w:rPr>
          <w:rFonts w:hint="eastAsia" w:ascii="Times New Roman" w:hAnsi="Times New Roman" w:cs="Times New Roman"/>
          <w:b/>
          <w:color w:val="auto"/>
          <w:szCs w:val="24"/>
          <w:lang w:eastAsia="zh-CN"/>
        </w:rPr>
        <w:t>7</w:t>
      </w:r>
      <w:r>
        <w:rPr>
          <w:rFonts w:ascii="Times New Roman" w:hAnsi="Times New Roman" w:cs="Times New Roman"/>
          <w:b/>
          <w:color w:val="auto"/>
          <w:szCs w:val="24"/>
          <w:lang w:eastAsia="zh-CN"/>
        </w:rPr>
        <w:t>.2 风险事故情形设定</w:t>
      </w:r>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p>
    <w:p w14:paraId="534BD54E">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最大可信事故设定一方面是指对环境的危害最严重；另一方面事故设定应科学、客观，具有可信性，一般不包括极端情况。根据《建设项目环境风险评价技术导则》（HJ169-2018）附录E中资料，各种事故概率推荐值</w:t>
      </w:r>
      <w:r>
        <w:rPr>
          <w:rFonts w:hint="eastAsia" w:ascii="Times New Roman" w:hAnsi="Times New Roman" w:cs="Times New Roman"/>
          <w:color w:val="auto"/>
          <w:lang w:eastAsia="zh-CN"/>
        </w:rPr>
        <w:t>下表</w:t>
      </w:r>
      <w:r>
        <w:rPr>
          <w:rFonts w:ascii="Times New Roman" w:hAnsi="Times New Roman" w:cs="Times New Roman"/>
          <w:color w:val="auto"/>
          <w:lang w:eastAsia="zh-CN"/>
        </w:rPr>
        <w:t>。</w:t>
      </w:r>
    </w:p>
    <w:p w14:paraId="1F42F5E4">
      <w:pPr>
        <w:spacing w:line="360" w:lineRule="auto"/>
        <w:jc w:val="center"/>
        <w:rPr>
          <w:rFonts w:ascii="Times New Roman" w:hAnsi="Times New Roman" w:cs="Times New Roman"/>
          <w:b/>
          <w:bCs/>
          <w:szCs w:val="24"/>
          <w:lang w:eastAsia="zh-CN"/>
        </w:rPr>
      </w:pPr>
      <w:bookmarkStart w:id="2038" w:name="_Toc5456"/>
      <w:r>
        <w:rPr>
          <w:rFonts w:ascii="Times New Roman" w:hAnsi="Times New Roman" w:cs="Times New Roman"/>
          <w:b/>
          <w:bCs/>
          <w:szCs w:val="24"/>
          <w:lang w:eastAsia="zh-CN"/>
        </w:rPr>
        <w:t>表7.</w:t>
      </w:r>
      <w:r>
        <w:rPr>
          <w:rFonts w:hint="eastAsia" w:ascii="Times New Roman" w:hAnsi="Times New Roman" w:cs="Times New Roman"/>
          <w:b/>
          <w:bCs/>
          <w:szCs w:val="24"/>
          <w:lang w:eastAsia="zh-CN"/>
        </w:rPr>
        <w:t>7</w:t>
      </w:r>
      <w:r>
        <w:rPr>
          <w:rFonts w:ascii="Times New Roman" w:hAnsi="Times New Roman" w:cs="Times New Roman"/>
          <w:b/>
          <w:bCs/>
          <w:szCs w:val="24"/>
          <w:lang w:eastAsia="zh-CN"/>
        </w:rPr>
        <w:t>-1 事故类型概率推荐值分析</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713"/>
        <w:gridCol w:w="3456"/>
        <w:gridCol w:w="3296"/>
        <w:gridCol w:w="2281"/>
      </w:tblGrid>
      <w:tr w14:paraId="29BA194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0" w:hRule="atLeast"/>
          <w:jc w:val="center"/>
        </w:trPr>
        <w:tc>
          <w:tcPr>
            <w:tcW w:w="366" w:type="pct"/>
            <w:vAlign w:val="center"/>
          </w:tcPr>
          <w:p w14:paraId="66DFFC86">
            <w:pPr>
              <w:jc w:val="center"/>
              <w:rPr>
                <w:rFonts w:ascii="Times New Roman" w:hAnsi="Times New Roman" w:cs="Times New Roman"/>
                <w:b/>
                <w:bCs/>
                <w:sz w:val="21"/>
              </w:rPr>
            </w:pPr>
            <w:r>
              <w:rPr>
                <w:rFonts w:ascii="Times New Roman" w:hAnsi="Times New Roman" w:cs="Times New Roman"/>
                <w:b/>
                <w:bCs/>
                <w:sz w:val="21"/>
              </w:rPr>
              <w:t>序号</w:t>
            </w:r>
          </w:p>
        </w:tc>
        <w:tc>
          <w:tcPr>
            <w:tcW w:w="1773" w:type="pct"/>
            <w:vAlign w:val="center"/>
          </w:tcPr>
          <w:p w14:paraId="39E79292">
            <w:pPr>
              <w:jc w:val="center"/>
              <w:rPr>
                <w:rFonts w:ascii="Times New Roman" w:hAnsi="Times New Roman" w:cs="Times New Roman"/>
                <w:b/>
                <w:bCs/>
                <w:sz w:val="21"/>
              </w:rPr>
            </w:pPr>
            <w:r>
              <w:rPr>
                <w:rFonts w:ascii="Times New Roman" w:hAnsi="Times New Roman" w:cs="Times New Roman"/>
                <w:b/>
                <w:bCs/>
                <w:sz w:val="21"/>
              </w:rPr>
              <w:t>部件类型</w:t>
            </w:r>
          </w:p>
        </w:tc>
        <w:tc>
          <w:tcPr>
            <w:tcW w:w="1691" w:type="pct"/>
            <w:vAlign w:val="center"/>
          </w:tcPr>
          <w:p w14:paraId="03EEC87B">
            <w:pPr>
              <w:jc w:val="center"/>
              <w:rPr>
                <w:rFonts w:ascii="Times New Roman" w:hAnsi="Times New Roman" w:cs="Times New Roman"/>
                <w:b/>
                <w:bCs/>
                <w:sz w:val="21"/>
              </w:rPr>
            </w:pPr>
            <w:r>
              <w:rPr>
                <w:rFonts w:ascii="Times New Roman" w:hAnsi="Times New Roman" w:cs="Times New Roman"/>
                <w:b/>
                <w:bCs/>
                <w:sz w:val="21"/>
              </w:rPr>
              <w:t>泄漏模式</w:t>
            </w:r>
          </w:p>
        </w:tc>
        <w:tc>
          <w:tcPr>
            <w:tcW w:w="1168" w:type="pct"/>
            <w:vAlign w:val="center"/>
          </w:tcPr>
          <w:p w14:paraId="7A8DB733">
            <w:pPr>
              <w:jc w:val="center"/>
              <w:rPr>
                <w:rFonts w:ascii="Times New Roman" w:hAnsi="Times New Roman" w:cs="Times New Roman"/>
                <w:b/>
                <w:bCs/>
                <w:sz w:val="21"/>
              </w:rPr>
            </w:pPr>
            <w:r>
              <w:rPr>
                <w:rFonts w:ascii="Times New Roman" w:hAnsi="Times New Roman" w:cs="Times New Roman"/>
                <w:b/>
                <w:bCs/>
                <w:sz w:val="21"/>
              </w:rPr>
              <w:t>泄漏概率</w:t>
            </w:r>
          </w:p>
        </w:tc>
      </w:tr>
      <w:tr w14:paraId="69A60FE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0" w:hRule="atLeast"/>
          <w:jc w:val="center"/>
        </w:trPr>
        <w:tc>
          <w:tcPr>
            <w:tcW w:w="366" w:type="pct"/>
            <w:vAlign w:val="center"/>
          </w:tcPr>
          <w:p w14:paraId="6368E5CD">
            <w:pPr>
              <w:jc w:val="center"/>
              <w:rPr>
                <w:rFonts w:ascii="Times New Roman" w:hAnsi="Times New Roman" w:cs="Times New Roman"/>
                <w:sz w:val="21"/>
              </w:rPr>
            </w:pPr>
            <w:r>
              <w:rPr>
                <w:rFonts w:ascii="Times New Roman" w:hAnsi="Times New Roman" w:cs="Times New Roman"/>
                <w:sz w:val="21"/>
              </w:rPr>
              <w:t>1</w:t>
            </w:r>
          </w:p>
        </w:tc>
        <w:tc>
          <w:tcPr>
            <w:tcW w:w="1773" w:type="pct"/>
            <w:vAlign w:val="center"/>
          </w:tcPr>
          <w:p w14:paraId="4A44D2F9">
            <w:pPr>
              <w:jc w:val="center"/>
              <w:rPr>
                <w:rFonts w:ascii="Times New Roman" w:hAnsi="Times New Roman" w:cs="Times New Roman"/>
                <w:sz w:val="21"/>
                <w:lang w:eastAsia="zh-CN"/>
              </w:rPr>
            </w:pPr>
            <w:r>
              <w:rPr>
                <w:rFonts w:ascii="Times New Roman" w:hAnsi="Times New Roman" w:cs="Times New Roman"/>
                <w:sz w:val="21"/>
                <w:lang w:eastAsia="zh-CN"/>
              </w:rPr>
              <w:t>反应器/工艺储罐/气体储罐/塔器</w:t>
            </w:r>
          </w:p>
        </w:tc>
        <w:tc>
          <w:tcPr>
            <w:tcW w:w="1691" w:type="pct"/>
            <w:vAlign w:val="center"/>
          </w:tcPr>
          <w:p w14:paraId="4D5E6AB4">
            <w:pPr>
              <w:jc w:val="center"/>
              <w:rPr>
                <w:rFonts w:ascii="Times New Roman" w:hAnsi="Times New Roman" w:cs="Times New Roman"/>
                <w:sz w:val="21"/>
                <w:lang w:eastAsia="zh-CN"/>
              </w:rPr>
            </w:pPr>
            <w:r>
              <w:rPr>
                <w:rFonts w:ascii="Times New Roman" w:hAnsi="Times New Roman" w:cs="Times New Roman"/>
                <w:sz w:val="21"/>
                <w:lang w:eastAsia="zh-CN"/>
              </w:rPr>
              <w:t>泄漏孔径为10mm孔径</w:t>
            </w:r>
          </w:p>
          <w:p w14:paraId="3A3069D6">
            <w:pPr>
              <w:jc w:val="center"/>
              <w:rPr>
                <w:rFonts w:ascii="Times New Roman" w:hAnsi="Times New Roman" w:cs="Times New Roman"/>
                <w:sz w:val="21"/>
                <w:lang w:eastAsia="zh-CN"/>
              </w:rPr>
            </w:pPr>
            <w:r>
              <w:rPr>
                <w:rFonts w:ascii="Times New Roman" w:hAnsi="Times New Roman" w:cs="Times New Roman"/>
                <w:sz w:val="21"/>
                <w:lang w:eastAsia="zh-CN"/>
              </w:rPr>
              <w:t>10min内储罐泄漏完</w:t>
            </w:r>
          </w:p>
          <w:p w14:paraId="6E59068A">
            <w:pPr>
              <w:jc w:val="center"/>
              <w:rPr>
                <w:rFonts w:ascii="Times New Roman" w:hAnsi="Times New Roman" w:cs="Times New Roman"/>
                <w:sz w:val="21"/>
              </w:rPr>
            </w:pPr>
            <w:r>
              <w:rPr>
                <w:rFonts w:ascii="Times New Roman" w:hAnsi="Times New Roman" w:cs="Times New Roman"/>
                <w:sz w:val="21"/>
              </w:rPr>
              <w:t>储罐全破裂</w:t>
            </w:r>
          </w:p>
        </w:tc>
        <w:tc>
          <w:tcPr>
            <w:tcW w:w="1168" w:type="pct"/>
            <w:vAlign w:val="center"/>
          </w:tcPr>
          <w:p w14:paraId="685CC721">
            <w:pPr>
              <w:jc w:val="center"/>
              <w:rPr>
                <w:rFonts w:ascii="Times New Roman" w:hAnsi="Times New Roman" w:cs="Times New Roman"/>
                <w:sz w:val="21"/>
              </w:rPr>
            </w:pPr>
            <w:r>
              <w:rPr>
                <w:rFonts w:ascii="Times New Roman" w:hAnsi="Times New Roman" w:cs="Times New Roman"/>
                <w:sz w:val="21"/>
              </w:rPr>
              <w:t>1.00×10</w:t>
            </w:r>
            <w:r>
              <w:rPr>
                <w:rFonts w:ascii="Times New Roman" w:hAnsi="Times New Roman" w:cs="Times New Roman"/>
                <w:sz w:val="21"/>
                <w:vertAlign w:val="superscript"/>
              </w:rPr>
              <w:t>-4</w:t>
            </w:r>
            <w:r>
              <w:rPr>
                <w:rFonts w:ascii="Times New Roman" w:hAnsi="Times New Roman" w:cs="Times New Roman"/>
                <w:sz w:val="21"/>
              </w:rPr>
              <w:t>/年</w:t>
            </w:r>
          </w:p>
          <w:p w14:paraId="4A502583">
            <w:pPr>
              <w:jc w:val="center"/>
              <w:rPr>
                <w:rFonts w:ascii="Times New Roman" w:hAnsi="Times New Roman" w:cs="Times New Roman"/>
                <w:sz w:val="21"/>
              </w:rPr>
            </w:pPr>
            <w:r>
              <w:rPr>
                <w:rFonts w:ascii="Times New Roman" w:hAnsi="Times New Roman" w:cs="Times New Roman"/>
                <w:sz w:val="21"/>
              </w:rPr>
              <w:t>5.00×10</w:t>
            </w:r>
            <w:r>
              <w:rPr>
                <w:rFonts w:ascii="Times New Roman" w:hAnsi="Times New Roman" w:cs="Times New Roman"/>
                <w:sz w:val="21"/>
                <w:vertAlign w:val="superscript"/>
              </w:rPr>
              <w:t>-6</w:t>
            </w:r>
            <w:r>
              <w:rPr>
                <w:rFonts w:ascii="Times New Roman" w:hAnsi="Times New Roman" w:cs="Times New Roman"/>
                <w:sz w:val="21"/>
              </w:rPr>
              <w:t>/年</w:t>
            </w:r>
          </w:p>
          <w:p w14:paraId="7FBBFB56">
            <w:pPr>
              <w:jc w:val="center"/>
              <w:rPr>
                <w:rFonts w:ascii="Times New Roman" w:hAnsi="Times New Roman" w:cs="Times New Roman"/>
                <w:sz w:val="21"/>
              </w:rPr>
            </w:pPr>
            <w:r>
              <w:rPr>
                <w:rFonts w:ascii="Times New Roman" w:hAnsi="Times New Roman" w:cs="Times New Roman"/>
                <w:sz w:val="21"/>
              </w:rPr>
              <w:t>5.00×10</w:t>
            </w:r>
            <w:r>
              <w:rPr>
                <w:rFonts w:ascii="Times New Roman" w:hAnsi="Times New Roman" w:cs="Times New Roman"/>
                <w:sz w:val="21"/>
                <w:vertAlign w:val="superscript"/>
              </w:rPr>
              <w:t>-6</w:t>
            </w:r>
            <w:r>
              <w:rPr>
                <w:rFonts w:ascii="Times New Roman" w:hAnsi="Times New Roman" w:cs="Times New Roman"/>
                <w:sz w:val="21"/>
              </w:rPr>
              <w:t>/年</w:t>
            </w:r>
          </w:p>
        </w:tc>
      </w:tr>
      <w:tr w14:paraId="36BAC3F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0" w:hRule="atLeast"/>
          <w:jc w:val="center"/>
        </w:trPr>
        <w:tc>
          <w:tcPr>
            <w:tcW w:w="366" w:type="pct"/>
            <w:vAlign w:val="center"/>
          </w:tcPr>
          <w:p w14:paraId="22BCB58F">
            <w:pPr>
              <w:jc w:val="center"/>
              <w:rPr>
                <w:rFonts w:ascii="Times New Roman" w:hAnsi="Times New Roman" w:cs="Times New Roman"/>
                <w:sz w:val="21"/>
              </w:rPr>
            </w:pPr>
            <w:r>
              <w:rPr>
                <w:rFonts w:ascii="Times New Roman" w:hAnsi="Times New Roman" w:cs="Times New Roman"/>
                <w:sz w:val="21"/>
              </w:rPr>
              <w:t>2</w:t>
            </w:r>
          </w:p>
        </w:tc>
        <w:tc>
          <w:tcPr>
            <w:tcW w:w="1773" w:type="pct"/>
            <w:vAlign w:val="center"/>
          </w:tcPr>
          <w:p w14:paraId="3C8E01F8">
            <w:pPr>
              <w:jc w:val="center"/>
              <w:rPr>
                <w:rFonts w:ascii="Times New Roman" w:hAnsi="Times New Roman" w:cs="Times New Roman"/>
                <w:sz w:val="21"/>
              </w:rPr>
            </w:pPr>
            <w:r>
              <w:rPr>
                <w:rFonts w:ascii="Times New Roman" w:hAnsi="Times New Roman" w:cs="Times New Roman"/>
                <w:sz w:val="21"/>
              </w:rPr>
              <w:t>常压单包容储罐</w:t>
            </w:r>
          </w:p>
        </w:tc>
        <w:tc>
          <w:tcPr>
            <w:tcW w:w="1691" w:type="pct"/>
            <w:vAlign w:val="center"/>
          </w:tcPr>
          <w:p w14:paraId="2EEE6AD3">
            <w:pPr>
              <w:jc w:val="center"/>
              <w:rPr>
                <w:rFonts w:ascii="Times New Roman" w:hAnsi="Times New Roman" w:cs="Times New Roman"/>
                <w:sz w:val="21"/>
                <w:lang w:eastAsia="zh-CN"/>
              </w:rPr>
            </w:pPr>
            <w:r>
              <w:rPr>
                <w:rFonts w:ascii="Times New Roman" w:hAnsi="Times New Roman" w:cs="Times New Roman"/>
                <w:sz w:val="21"/>
                <w:lang w:eastAsia="zh-CN"/>
              </w:rPr>
              <w:t>泄漏孔径为10mm孔径</w:t>
            </w:r>
          </w:p>
          <w:p w14:paraId="0B84F16E">
            <w:pPr>
              <w:jc w:val="center"/>
              <w:rPr>
                <w:rFonts w:ascii="Times New Roman" w:hAnsi="Times New Roman" w:cs="Times New Roman"/>
                <w:sz w:val="21"/>
                <w:lang w:eastAsia="zh-CN"/>
              </w:rPr>
            </w:pPr>
            <w:r>
              <w:rPr>
                <w:rFonts w:ascii="Times New Roman" w:hAnsi="Times New Roman" w:cs="Times New Roman"/>
                <w:sz w:val="21"/>
                <w:lang w:eastAsia="zh-CN"/>
              </w:rPr>
              <w:t>10min内储罐泄漏完</w:t>
            </w:r>
          </w:p>
          <w:p w14:paraId="062EB519">
            <w:pPr>
              <w:jc w:val="center"/>
              <w:rPr>
                <w:rFonts w:ascii="Times New Roman" w:hAnsi="Times New Roman" w:cs="Times New Roman"/>
                <w:sz w:val="21"/>
              </w:rPr>
            </w:pPr>
            <w:r>
              <w:rPr>
                <w:rFonts w:ascii="Times New Roman" w:hAnsi="Times New Roman" w:cs="Times New Roman"/>
                <w:sz w:val="21"/>
              </w:rPr>
              <w:t>储罐全破裂</w:t>
            </w:r>
          </w:p>
        </w:tc>
        <w:tc>
          <w:tcPr>
            <w:tcW w:w="1168" w:type="pct"/>
            <w:vAlign w:val="center"/>
          </w:tcPr>
          <w:p w14:paraId="48E63308">
            <w:pPr>
              <w:jc w:val="center"/>
              <w:rPr>
                <w:rFonts w:ascii="Times New Roman" w:hAnsi="Times New Roman" w:cs="Times New Roman"/>
                <w:sz w:val="21"/>
              </w:rPr>
            </w:pPr>
            <w:r>
              <w:rPr>
                <w:rFonts w:ascii="Times New Roman" w:hAnsi="Times New Roman" w:cs="Times New Roman"/>
                <w:sz w:val="21"/>
              </w:rPr>
              <w:t>1.00×10</w:t>
            </w:r>
            <w:r>
              <w:rPr>
                <w:rFonts w:ascii="Times New Roman" w:hAnsi="Times New Roman" w:cs="Times New Roman"/>
                <w:sz w:val="21"/>
                <w:vertAlign w:val="superscript"/>
              </w:rPr>
              <w:t>-4</w:t>
            </w:r>
            <w:r>
              <w:rPr>
                <w:rFonts w:ascii="Times New Roman" w:hAnsi="Times New Roman" w:cs="Times New Roman"/>
                <w:sz w:val="21"/>
              </w:rPr>
              <w:t>/a</w:t>
            </w:r>
          </w:p>
          <w:p w14:paraId="4240A787">
            <w:pPr>
              <w:jc w:val="center"/>
              <w:rPr>
                <w:rFonts w:ascii="Times New Roman" w:hAnsi="Times New Roman" w:cs="Times New Roman"/>
                <w:sz w:val="21"/>
              </w:rPr>
            </w:pPr>
            <w:r>
              <w:rPr>
                <w:rFonts w:ascii="Times New Roman" w:hAnsi="Times New Roman" w:cs="Times New Roman"/>
                <w:sz w:val="21"/>
              </w:rPr>
              <w:t>5.00×10</w:t>
            </w:r>
            <w:r>
              <w:rPr>
                <w:rFonts w:ascii="Times New Roman" w:hAnsi="Times New Roman" w:cs="Times New Roman"/>
                <w:sz w:val="21"/>
                <w:vertAlign w:val="superscript"/>
              </w:rPr>
              <w:t>-6</w:t>
            </w:r>
            <w:r>
              <w:rPr>
                <w:rFonts w:ascii="Times New Roman" w:hAnsi="Times New Roman" w:cs="Times New Roman"/>
                <w:sz w:val="21"/>
              </w:rPr>
              <w:t>/a</w:t>
            </w:r>
          </w:p>
          <w:p w14:paraId="4567B5EB">
            <w:pPr>
              <w:jc w:val="center"/>
              <w:rPr>
                <w:rFonts w:ascii="Times New Roman" w:hAnsi="Times New Roman" w:cs="Times New Roman"/>
                <w:sz w:val="21"/>
              </w:rPr>
            </w:pPr>
            <w:r>
              <w:rPr>
                <w:rFonts w:ascii="Times New Roman" w:hAnsi="Times New Roman" w:cs="Times New Roman"/>
                <w:sz w:val="21"/>
              </w:rPr>
              <w:t>5.00×10</w:t>
            </w:r>
            <w:r>
              <w:rPr>
                <w:rFonts w:ascii="Times New Roman" w:hAnsi="Times New Roman" w:cs="Times New Roman"/>
                <w:sz w:val="21"/>
                <w:vertAlign w:val="superscript"/>
              </w:rPr>
              <w:t>-6</w:t>
            </w:r>
            <w:r>
              <w:rPr>
                <w:rFonts w:ascii="Times New Roman" w:hAnsi="Times New Roman" w:cs="Times New Roman"/>
                <w:sz w:val="21"/>
              </w:rPr>
              <w:t>/a</w:t>
            </w:r>
          </w:p>
        </w:tc>
      </w:tr>
      <w:tr w14:paraId="6DD746B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0" w:hRule="atLeast"/>
          <w:jc w:val="center"/>
        </w:trPr>
        <w:tc>
          <w:tcPr>
            <w:tcW w:w="366" w:type="pct"/>
            <w:vAlign w:val="center"/>
          </w:tcPr>
          <w:p w14:paraId="35FD0BDD">
            <w:pPr>
              <w:jc w:val="center"/>
              <w:rPr>
                <w:rFonts w:ascii="Times New Roman" w:hAnsi="Times New Roman" w:cs="Times New Roman"/>
                <w:sz w:val="21"/>
              </w:rPr>
            </w:pPr>
            <w:r>
              <w:rPr>
                <w:rFonts w:ascii="Times New Roman" w:hAnsi="Times New Roman" w:cs="Times New Roman"/>
                <w:sz w:val="21"/>
              </w:rPr>
              <w:t>3</w:t>
            </w:r>
          </w:p>
        </w:tc>
        <w:tc>
          <w:tcPr>
            <w:tcW w:w="1773" w:type="pct"/>
            <w:vAlign w:val="center"/>
          </w:tcPr>
          <w:p w14:paraId="47BCE00C">
            <w:pPr>
              <w:jc w:val="center"/>
              <w:rPr>
                <w:rFonts w:ascii="Times New Roman" w:hAnsi="Times New Roman" w:cs="Times New Roman"/>
                <w:sz w:val="21"/>
              </w:rPr>
            </w:pPr>
            <w:r>
              <w:rPr>
                <w:rFonts w:ascii="Times New Roman" w:hAnsi="Times New Roman" w:cs="Times New Roman"/>
                <w:sz w:val="21"/>
              </w:rPr>
              <w:t>常压双包储罐</w:t>
            </w:r>
          </w:p>
        </w:tc>
        <w:tc>
          <w:tcPr>
            <w:tcW w:w="1691" w:type="pct"/>
            <w:vAlign w:val="center"/>
          </w:tcPr>
          <w:p w14:paraId="33EC0021">
            <w:pPr>
              <w:jc w:val="center"/>
              <w:rPr>
                <w:rFonts w:ascii="Times New Roman" w:hAnsi="Times New Roman" w:cs="Times New Roman"/>
                <w:sz w:val="21"/>
                <w:lang w:eastAsia="zh-CN"/>
              </w:rPr>
            </w:pPr>
            <w:r>
              <w:rPr>
                <w:rFonts w:ascii="Times New Roman" w:hAnsi="Times New Roman" w:cs="Times New Roman"/>
                <w:sz w:val="21"/>
                <w:lang w:eastAsia="zh-CN"/>
              </w:rPr>
              <w:t>泄漏孔径为10mm孔径</w:t>
            </w:r>
          </w:p>
          <w:p w14:paraId="7FCDCEAC">
            <w:pPr>
              <w:jc w:val="center"/>
              <w:rPr>
                <w:rFonts w:ascii="Times New Roman" w:hAnsi="Times New Roman" w:cs="Times New Roman"/>
                <w:sz w:val="21"/>
                <w:lang w:eastAsia="zh-CN"/>
              </w:rPr>
            </w:pPr>
            <w:r>
              <w:rPr>
                <w:rFonts w:ascii="Times New Roman" w:hAnsi="Times New Roman" w:cs="Times New Roman"/>
                <w:sz w:val="21"/>
                <w:lang w:eastAsia="zh-CN"/>
              </w:rPr>
              <w:t>10min内储罐泄漏完</w:t>
            </w:r>
          </w:p>
          <w:p w14:paraId="157E90C7">
            <w:pPr>
              <w:jc w:val="center"/>
              <w:rPr>
                <w:rFonts w:ascii="Times New Roman" w:hAnsi="Times New Roman" w:cs="Times New Roman"/>
                <w:sz w:val="21"/>
              </w:rPr>
            </w:pPr>
            <w:r>
              <w:rPr>
                <w:rFonts w:ascii="Times New Roman" w:hAnsi="Times New Roman" w:cs="Times New Roman"/>
                <w:sz w:val="21"/>
              </w:rPr>
              <w:t>储罐全破裂</w:t>
            </w:r>
          </w:p>
        </w:tc>
        <w:tc>
          <w:tcPr>
            <w:tcW w:w="1168" w:type="pct"/>
            <w:vAlign w:val="center"/>
          </w:tcPr>
          <w:p w14:paraId="3384D22C">
            <w:pPr>
              <w:jc w:val="center"/>
              <w:rPr>
                <w:rFonts w:ascii="Times New Roman" w:hAnsi="Times New Roman" w:cs="Times New Roman"/>
                <w:sz w:val="21"/>
              </w:rPr>
            </w:pPr>
            <w:r>
              <w:rPr>
                <w:rFonts w:ascii="Times New Roman" w:hAnsi="Times New Roman" w:cs="Times New Roman"/>
                <w:sz w:val="21"/>
              </w:rPr>
              <w:t>1.00×10</w:t>
            </w:r>
            <w:r>
              <w:rPr>
                <w:rFonts w:ascii="Times New Roman" w:hAnsi="Times New Roman" w:cs="Times New Roman"/>
                <w:sz w:val="21"/>
                <w:vertAlign w:val="superscript"/>
              </w:rPr>
              <w:t>-4</w:t>
            </w:r>
            <w:r>
              <w:rPr>
                <w:rFonts w:ascii="Times New Roman" w:hAnsi="Times New Roman" w:cs="Times New Roman"/>
                <w:sz w:val="21"/>
              </w:rPr>
              <w:t>/a</w:t>
            </w:r>
          </w:p>
          <w:p w14:paraId="097FBE73">
            <w:pPr>
              <w:jc w:val="center"/>
              <w:rPr>
                <w:rFonts w:ascii="Times New Roman" w:hAnsi="Times New Roman" w:cs="Times New Roman"/>
                <w:sz w:val="21"/>
              </w:rPr>
            </w:pPr>
            <w:r>
              <w:rPr>
                <w:rFonts w:ascii="Times New Roman" w:hAnsi="Times New Roman" w:cs="Times New Roman"/>
                <w:sz w:val="21"/>
              </w:rPr>
              <w:t>1.25×10</w:t>
            </w:r>
            <w:r>
              <w:rPr>
                <w:rFonts w:ascii="Times New Roman" w:hAnsi="Times New Roman" w:cs="Times New Roman"/>
                <w:sz w:val="21"/>
                <w:vertAlign w:val="superscript"/>
              </w:rPr>
              <w:t>-8</w:t>
            </w:r>
            <w:r>
              <w:rPr>
                <w:rFonts w:ascii="Times New Roman" w:hAnsi="Times New Roman" w:cs="Times New Roman"/>
                <w:sz w:val="21"/>
              </w:rPr>
              <w:t>/a</w:t>
            </w:r>
          </w:p>
          <w:p w14:paraId="04B9FACD">
            <w:pPr>
              <w:jc w:val="center"/>
              <w:rPr>
                <w:rFonts w:ascii="Times New Roman" w:hAnsi="Times New Roman" w:cs="Times New Roman"/>
                <w:sz w:val="21"/>
              </w:rPr>
            </w:pPr>
            <w:r>
              <w:rPr>
                <w:rFonts w:ascii="Times New Roman" w:hAnsi="Times New Roman" w:cs="Times New Roman"/>
                <w:sz w:val="21"/>
              </w:rPr>
              <w:t>1.25×10</w:t>
            </w:r>
            <w:r>
              <w:rPr>
                <w:rFonts w:ascii="Times New Roman" w:hAnsi="Times New Roman" w:cs="Times New Roman"/>
                <w:sz w:val="21"/>
                <w:vertAlign w:val="superscript"/>
              </w:rPr>
              <w:t>-8</w:t>
            </w:r>
            <w:r>
              <w:rPr>
                <w:rFonts w:ascii="Times New Roman" w:hAnsi="Times New Roman" w:cs="Times New Roman"/>
                <w:sz w:val="21"/>
              </w:rPr>
              <w:t>/a</w:t>
            </w:r>
          </w:p>
        </w:tc>
      </w:tr>
      <w:tr w14:paraId="7598111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0" w:hRule="atLeast"/>
          <w:jc w:val="center"/>
        </w:trPr>
        <w:tc>
          <w:tcPr>
            <w:tcW w:w="366" w:type="pct"/>
            <w:vAlign w:val="center"/>
          </w:tcPr>
          <w:p w14:paraId="76C0B5D1">
            <w:pPr>
              <w:jc w:val="center"/>
              <w:rPr>
                <w:rFonts w:ascii="Times New Roman" w:hAnsi="Times New Roman" w:cs="Times New Roman"/>
                <w:sz w:val="21"/>
              </w:rPr>
            </w:pPr>
            <w:r>
              <w:rPr>
                <w:rFonts w:ascii="Times New Roman" w:hAnsi="Times New Roman" w:cs="Times New Roman"/>
                <w:sz w:val="21"/>
              </w:rPr>
              <w:t>4</w:t>
            </w:r>
          </w:p>
        </w:tc>
        <w:tc>
          <w:tcPr>
            <w:tcW w:w="1773" w:type="pct"/>
            <w:vAlign w:val="center"/>
          </w:tcPr>
          <w:p w14:paraId="5A0BFCF3">
            <w:pPr>
              <w:jc w:val="center"/>
              <w:rPr>
                <w:rFonts w:ascii="Times New Roman" w:hAnsi="Times New Roman" w:cs="Times New Roman"/>
                <w:sz w:val="21"/>
              </w:rPr>
            </w:pPr>
            <w:r>
              <w:rPr>
                <w:rFonts w:ascii="Times New Roman" w:hAnsi="Times New Roman" w:cs="Times New Roman"/>
                <w:sz w:val="21"/>
              </w:rPr>
              <w:t>常压全包容储罐</w:t>
            </w:r>
          </w:p>
        </w:tc>
        <w:tc>
          <w:tcPr>
            <w:tcW w:w="1691" w:type="pct"/>
            <w:vAlign w:val="center"/>
          </w:tcPr>
          <w:p w14:paraId="18F3D105">
            <w:pPr>
              <w:jc w:val="center"/>
              <w:rPr>
                <w:rFonts w:ascii="Times New Roman" w:hAnsi="Times New Roman" w:cs="Times New Roman"/>
                <w:sz w:val="21"/>
              </w:rPr>
            </w:pPr>
            <w:r>
              <w:rPr>
                <w:rFonts w:ascii="Times New Roman" w:hAnsi="Times New Roman" w:cs="Times New Roman"/>
                <w:sz w:val="21"/>
              </w:rPr>
              <w:t>储罐全破裂</w:t>
            </w:r>
          </w:p>
        </w:tc>
        <w:tc>
          <w:tcPr>
            <w:tcW w:w="1168" w:type="pct"/>
            <w:vAlign w:val="center"/>
          </w:tcPr>
          <w:p w14:paraId="5CA65F04">
            <w:pPr>
              <w:jc w:val="center"/>
              <w:rPr>
                <w:rFonts w:ascii="Times New Roman" w:hAnsi="Times New Roman" w:cs="Times New Roman"/>
                <w:sz w:val="21"/>
              </w:rPr>
            </w:pPr>
            <w:r>
              <w:rPr>
                <w:rFonts w:ascii="Times New Roman" w:hAnsi="Times New Roman" w:cs="Times New Roman"/>
                <w:sz w:val="21"/>
              </w:rPr>
              <w:t>1.00×10</w:t>
            </w:r>
            <w:r>
              <w:rPr>
                <w:rFonts w:ascii="Times New Roman" w:hAnsi="Times New Roman" w:cs="Times New Roman"/>
                <w:sz w:val="21"/>
                <w:vertAlign w:val="superscript"/>
              </w:rPr>
              <w:t>-8</w:t>
            </w:r>
            <w:r>
              <w:rPr>
                <w:rFonts w:ascii="Times New Roman" w:hAnsi="Times New Roman" w:cs="Times New Roman"/>
                <w:sz w:val="21"/>
              </w:rPr>
              <w:t>/a</w:t>
            </w:r>
          </w:p>
        </w:tc>
      </w:tr>
      <w:tr w14:paraId="731ACE6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366" w:type="pct"/>
            <w:vAlign w:val="center"/>
          </w:tcPr>
          <w:p w14:paraId="65D57E9E">
            <w:pPr>
              <w:jc w:val="center"/>
              <w:rPr>
                <w:rFonts w:ascii="Times New Roman" w:hAnsi="Times New Roman" w:cs="Times New Roman"/>
                <w:sz w:val="21"/>
              </w:rPr>
            </w:pPr>
            <w:r>
              <w:rPr>
                <w:rFonts w:ascii="Times New Roman" w:hAnsi="Times New Roman" w:cs="Times New Roman"/>
                <w:sz w:val="21"/>
              </w:rPr>
              <w:t>5</w:t>
            </w:r>
          </w:p>
        </w:tc>
        <w:tc>
          <w:tcPr>
            <w:tcW w:w="1773" w:type="pct"/>
            <w:vAlign w:val="center"/>
          </w:tcPr>
          <w:p w14:paraId="4A67619E">
            <w:pPr>
              <w:jc w:val="center"/>
              <w:rPr>
                <w:rFonts w:ascii="Times New Roman" w:hAnsi="Times New Roman" w:cs="Times New Roman"/>
                <w:sz w:val="21"/>
              </w:rPr>
            </w:pPr>
            <w:r>
              <w:rPr>
                <w:rFonts w:ascii="Times New Roman" w:hAnsi="Times New Roman" w:cs="Times New Roman"/>
                <w:sz w:val="21"/>
              </w:rPr>
              <w:t>内径≤75mm的管道</w:t>
            </w:r>
          </w:p>
        </w:tc>
        <w:tc>
          <w:tcPr>
            <w:tcW w:w="1691" w:type="pct"/>
            <w:vAlign w:val="center"/>
          </w:tcPr>
          <w:p w14:paraId="7B18CBA7">
            <w:pPr>
              <w:jc w:val="center"/>
              <w:rPr>
                <w:rFonts w:ascii="Times New Roman" w:hAnsi="Times New Roman" w:cs="Times New Roman"/>
                <w:sz w:val="21"/>
                <w:lang w:eastAsia="zh-CN"/>
              </w:rPr>
            </w:pPr>
            <w:r>
              <w:rPr>
                <w:rFonts w:ascii="Times New Roman" w:hAnsi="Times New Roman" w:cs="Times New Roman"/>
                <w:sz w:val="21"/>
                <w:lang w:eastAsia="zh-CN"/>
              </w:rPr>
              <w:t>泄漏孔径为10%孔径</w:t>
            </w:r>
          </w:p>
          <w:p w14:paraId="0149BD08">
            <w:pPr>
              <w:jc w:val="center"/>
              <w:rPr>
                <w:rFonts w:ascii="Times New Roman" w:hAnsi="Times New Roman" w:cs="Times New Roman"/>
                <w:sz w:val="21"/>
                <w:lang w:eastAsia="zh-CN"/>
              </w:rPr>
            </w:pPr>
            <w:r>
              <w:rPr>
                <w:rFonts w:ascii="Times New Roman" w:hAnsi="Times New Roman" w:cs="Times New Roman"/>
                <w:sz w:val="21"/>
                <w:lang w:eastAsia="zh-CN"/>
              </w:rPr>
              <w:t>全管径泄漏</w:t>
            </w:r>
          </w:p>
        </w:tc>
        <w:tc>
          <w:tcPr>
            <w:tcW w:w="1168" w:type="pct"/>
            <w:vAlign w:val="center"/>
          </w:tcPr>
          <w:p w14:paraId="04E59D06">
            <w:pPr>
              <w:jc w:val="center"/>
              <w:rPr>
                <w:rFonts w:ascii="Times New Roman" w:hAnsi="Times New Roman" w:cs="Times New Roman"/>
                <w:sz w:val="21"/>
              </w:rPr>
            </w:pPr>
            <w:r>
              <w:rPr>
                <w:rFonts w:ascii="Times New Roman" w:hAnsi="Times New Roman" w:cs="Times New Roman"/>
                <w:sz w:val="21"/>
              </w:rPr>
              <w:t>5.0×10</w:t>
            </w:r>
            <w:r>
              <w:rPr>
                <w:rFonts w:ascii="Times New Roman" w:hAnsi="Times New Roman" w:cs="Times New Roman"/>
                <w:sz w:val="21"/>
                <w:vertAlign w:val="superscript"/>
              </w:rPr>
              <w:t>-6</w:t>
            </w:r>
            <w:r>
              <w:rPr>
                <w:rFonts w:ascii="Times New Roman" w:hAnsi="Times New Roman" w:cs="Times New Roman"/>
                <w:sz w:val="21"/>
              </w:rPr>
              <w:t>/（m·a）</w:t>
            </w:r>
          </w:p>
          <w:p w14:paraId="77C59CBC">
            <w:pPr>
              <w:jc w:val="center"/>
              <w:rPr>
                <w:rFonts w:ascii="Times New Roman" w:hAnsi="Times New Roman" w:cs="Times New Roman"/>
                <w:sz w:val="21"/>
              </w:rPr>
            </w:pPr>
            <w:r>
              <w:rPr>
                <w:rFonts w:ascii="Times New Roman" w:hAnsi="Times New Roman" w:cs="Times New Roman"/>
                <w:sz w:val="21"/>
              </w:rPr>
              <w:t>1.0×10</w:t>
            </w:r>
            <w:r>
              <w:rPr>
                <w:rFonts w:ascii="Times New Roman" w:hAnsi="Times New Roman" w:cs="Times New Roman"/>
                <w:sz w:val="21"/>
                <w:vertAlign w:val="superscript"/>
              </w:rPr>
              <w:t>-6</w:t>
            </w:r>
            <w:r>
              <w:rPr>
                <w:rFonts w:ascii="Times New Roman" w:hAnsi="Times New Roman" w:cs="Times New Roman"/>
                <w:sz w:val="21"/>
              </w:rPr>
              <w:t>/（m·a）</w:t>
            </w:r>
          </w:p>
        </w:tc>
      </w:tr>
      <w:tr w14:paraId="71779A0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0" w:hRule="atLeast"/>
          <w:jc w:val="center"/>
        </w:trPr>
        <w:tc>
          <w:tcPr>
            <w:tcW w:w="366" w:type="pct"/>
            <w:vAlign w:val="center"/>
          </w:tcPr>
          <w:p w14:paraId="666DABAC">
            <w:pPr>
              <w:jc w:val="center"/>
              <w:rPr>
                <w:rFonts w:ascii="Times New Roman" w:hAnsi="Times New Roman" w:cs="Times New Roman"/>
                <w:sz w:val="21"/>
              </w:rPr>
            </w:pPr>
            <w:r>
              <w:rPr>
                <w:rFonts w:ascii="Times New Roman" w:hAnsi="Times New Roman" w:cs="Times New Roman"/>
                <w:sz w:val="21"/>
              </w:rPr>
              <w:t>6</w:t>
            </w:r>
          </w:p>
        </w:tc>
        <w:tc>
          <w:tcPr>
            <w:tcW w:w="1773" w:type="pct"/>
            <w:vAlign w:val="center"/>
          </w:tcPr>
          <w:p w14:paraId="185FC65F">
            <w:pPr>
              <w:jc w:val="center"/>
              <w:rPr>
                <w:rFonts w:ascii="Times New Roman" w:hAnsi="Times New Roman" w:cs="Times New Roman"/>
                <w:sz w:val="21"/>
                <w:lang w:eastAsia="zh-CN"/>
              </w:rPr>
            </w:pPr>
            <w:r>
              <w:rPr>
                <w:rFonts w:ascii="Times New Roman" w:hAnsi="Times New Roman" w:cs="Times New Roman"/>
                <w:sz w:val="21"/>
                <w:lang w:eastAsia="zh-CN"/>
              </w:rPr>
              <w:t>75mm&lt;内径≤150mm的管道</w:t>
            </w:r>
          </w:p>
        </w:tc>
        <w:tc>
          <w:tcPr>
            <w:tcW w:w="1691" w:type="pct"/>
            <w:vAlign w:val="center"/>
          </w:tcPr>
          <w:p w14:paraId="2D49D8AB">
            <w:pPr>
              <w:jc w:val="center"/>
              <w:rPr>
                <w:rFonts w:ascii="Times New Roman" w:hAnsi="Times New Roman" w:cs="Times New Roman"/>
                <w:sz w:val="21"/>
                <w:lang w:eastAsia="zh-CN"/>
              </w:rPr>
            </w:pPr>
            <w:r>
              <w:rPr>
                <w:rFonts w:ascii="Times New Roman" w:hAnsi="Times New Roman" w:cs="Times New Roman"/>
                <w:sz w:val="21"/>
                <w:lang w:eastAsia="zh-CN"/>
              </w:rPr>
              <w:t>泄漏孔径为10%孔径</w:t>
            </w:r>
          </w:p>
          <w:p w14:paraId="0509EDC5">
            <w:pPr>
              <w:jc w:val="center"/>
              <w:rPr>
                <w:rFonts w:ascii="Times New Roman" w:hAnsi="Times New Roman" w:cs="Times New Roman"/>
                <w:sz w:val="21"/>
                <w:lang w:eastAsia="zh-CN"/>
              </w:rPr>
            </w:pPr>
            <w:r>
              <w:rPr>
                <w:rFonts w:ascii="Times New Roman" w:hAnsi="Times New Roman" w:cs="Times New Roman"/>
                <w:sz w:val="21"/>
                <w:lang w:eastAsia="zh-CN"/>
              </w:rPr>
              <w:t>全管径泄漏</w:t>
            </w:r>
          </w:p>
        </w:tc>
        <w:tc>
          <w:tcPr>
            <w:tcW w:w="1168" w:type="pct"/>
            <w:vAlign w:val="center"/>
          </w:tcPr>
          <w:p w14:paraId="68F34347">
            <w:pPr>
              <w:jc w:val="center"/>
              <w:rPr>
                <w:rFonts w:ascii="Times New Roman" w:hAnsi="Times New Roman" w:cs="Times New Roman"/>
                <w:sz w:val="21"/>
              </w:rPr>
            </w:pPr>
            <w:r>
              <w:rPr>
                <w:rFonts w:ascii="Times New Roman" w:hAnsi="Times New Roman" w:cs="Times New Roman"/>
                <w:sz w:val="21"/>
              </w:rPr>
              <w:t>2.40×10</w:t>
            </w:r>
            <w:r>
              <w:rPr>
                <w:rFonts w:ascii="Times New Roman" w:hAnsi="Times New Roman" w:cs="Times New Roman"/>
                <w:sz w:val="21"/>
                <w:vertAlign w:val="superscript"/>
              </w:rPr>
              <w:t>-6</w:t>
            </w:r>
            <w:r>
              <w:rPr>
                <w:rFonts w:ascii="Times New Roman" w:hAnsi="Times New Roman" w:cs="Times New Roman"/>
                <w:sz w:val="21"/>
              </w:rPr>
              <w:t>/（m·a）</w:t>
            </w:r>
          </w:p>
          <w:p w14:paraId="5768FB25">
            <w:pPr>
              <w:jc w:val="center"/>
              <w:rPr>
                <w:rFonts w:ascii="Times New Roman" w:hAnsi="Times New Roman" w:cs="Times New Roman"/>
                <w:sz w:val="21"/>
              </w:rPr>
            </w:pPr>
            <w:r>
              <w:rPr>
                <w:rFonts w:ascii="Times New Roman" w:hAnsi="Times New Roman" w:cs="Times New Roman"/>
                <w:sz w:val="21"/>
              </w:rPr>
              <w:t>1.00×10</w:t>
            </w:r>
            <w:r>
              <w:rPr>
                <w:rFonts w:ascii="Times New Roman" w:hAnsi="Times New Roman" w:cs="Times New Roman"/>
                <w:sz w:val="21"/>
                <w:vertAlign w:val="superscript"/>
              </w:rPr>
              <w:t>-7</w:t>
            </w:r>
            <w:r>
              <w:rPr>
                <w:rFonts w:ascii="Times New Roman" w:hAnsi="Times New Roman" w:cs="Times New Roman"/>
                <w:sz w:val="21"/>
              </w:rPr>
              <w:t>/（m·a）</w:t>
            </w:r>
          </w:p>
        </w:tc>
      </w:tr>
      <w:tr w14:paraId="179ED54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0" w:hRule="atLeast"/>
          <w:jc w:val="center"/>
        </w:trPr>
        <w:tc>
          <w:tcPr>
            <w:tcW w:w="366" w:type="pct"/>
            <w:vAlign w:val="center"/>
          </w:tcPr>
          <w:p w14:paraId="145DB5DF">
            <w:pPr>
              <w:jc w:val="center"/>
              <w:rPr>
                <w:rFonts w:ascii="Times New Roman" w:hAnsi="Times New Roman" w:cs="Times New Roman"/>
                <w:sz w:val="21"/>
              </w:rPr>
            </w:pPr>
            <w:r>
              <w:rPr>
                <w:rFonts w:ascii="Times New Roman" w:hAnsi="Times New Roman" w:cs="Times New Roman"/>
                <w:sz w:val="21"/>
              </w:rPr>
              <w:t>7</w:t>
            </w:r>
          </w:p>
        </w:tc>
        <w:tc>
          <w:tcPr>
            <w:tcW w:w="1773" w:type="pct"/>
            <w:vAlign w:val="center"/>
          </w:tcPr>
          <w:p w14:paraId="6A16FB0F">
            <w:pPr>
              <w:jc w:val="center"/>
              <w:rPr>
                <w:rFonts w:ascii="Times New Roman" w:hAnsi="Times New Roman" w:cs="Times New Roman"/>
                <w:sz w:val="21"/>
              </w:rPr>
            </w:pPr>
            <w:r>
              <w:rPr>
                <w:rFonts w:ascii="Times New Roman" w:hAnsi="Times New Roman" w:cs="Times New Roman"/>
                <w:sz w:val="21"/>
              </w:rPr>
              <w:t>内径&gt;150mm的管道</w:t>
            </w:r>
          </w:p>
        </w:tc>
        <w:tc>
          <w:tcPr>
            <w:tcW w:w="1691" w:type="pct"/>
            <w:vAlign w:val="center"/>
          </w:tcPr>
          <w:p w14:paraId="0EAA607E">
            <w:pPr>
              <w:jc w:val="center"/>
              <w:rPr>
                <w:rFonts w:ascii="Times New Roman" w:hAnsi="Times New Roman" w:cs="Times New Roman"/>
                <w:sz w:val="21"/>
                <w:lang w:eastAsia="zh-CN"/>
              </w:rPr>
            </w:pPr>
            <w:r>
              <w:rPr>
                <w:rFonts w:ascii="Times New Roman" w:hAnsi="Times New Roman" w:cs="Times New Roman"/>
                <w:sz w:val="21"/>
                <w:lang w:eastAsia="zh-CN"/>
              </w:rPr>
              <w:t>泄漏孔径为10%孔径</w:t>
            </w:r>
          </w:p>
          <w:p w14:paraId="394486C8">
            <w:pPr>
              <w:jc w:val="center"/>
              <w:rPr>
                <w:rFonts w:ascii="Times New Roman" w:hAnsi="Times New Roman" w:cs="Times New Roman"/>
                <w:sz w:val="21"/>
                <w:lang w:eastAsia="zh-CN"/>
              </w:rPr>
            </w:pPr>
            <w:r>
              <w:rPr>
                <w:rFonts w:ascii="Times New Roman" w:hAnsi="Times New Roman" w:cs="Times New Roman"/>
                <w:sz w:val="21"/>
                <w:lang w:eastAsia="zh-CN"/>
              </w:rPr>
              <w:t>全管径泄漏</w:t>
            </w:r>
          </w:p>
        </w:tc>
        <w:tc>
          <w:tcPr>
            <w:tcW w:w="1168" w:type="pct"/>
            <w:vAlign w:val="center"/>
          </w:tcPr>
          <w:p w14:paraId="14F38BAA">
            <w:pPr>
              <w:jc w:val="center"/>
              <w:rPr>
                <w:rFonts w:ascii="Times New Roman" w:hAnsi="Times New Roman" w:cs="Times New Roman"/>
                <w:sz w:val="21"/>
              </w:rPr>
            </w:pPr>
            <w:r>
              <w:rPr>
                <w:rFonts w:ascii="Times New Roman" w:hAnsi="Times New Roman" w:cs="Times New Roman"/>
                <w:sz w:val="21"/>
              </w:rPr>
              <w:t>2.40×10</w:t>
            </w:r>
            <w:r>
              <w:rPr>
                <w:rFonts w:ascii="Times New Roman" w:hAnsi="Times New Roman" w:cs="Times New Roman"/>
                <w:sz w:val="21"/>
                <w:vertAlign w:val="superscript"/>
              </w:rPr>
              <w:t>-6</w:t>
            </w:r>
            <w:r>
              <w:rPr>
                <w:rFonts w:ascii="Times New Roman" w:hAnsi="Times New Roman" w:cs="Times New Roman"/>
                <w:sz w:val="21"/>
              </w:rPr>
              <w:t>/（m·a）*</w:t>
            </w:r>
          </w:p>
          <w:p w14:paraId="5E41A68A">
            <w:pPr>
              <w:jc w:val="center"/>
              <w:rPr>
                <w:rFonts w:ascii="Times New Roman" w:hAnsi="Times New Roman" w:cs="Times New Roman"/>
                <w:sz w:val="21"/>
              </w:rPr>
            </w:pPr>
            <w:r>
              <w:rPr>
                <w:rFonts w:ascii="Times New Roman" w:hAnsi="Times New Roman" w:cs="Times New Roman"/>
                <w:sz w:val="21"/>
              </w:rPr>
              <w:t>1.00×10</w:t>
            </w:r>
            <w:r>
              <w:rPr>
                <w:rFonts w:ascii="Times New Roman" w:hAnsi="Times New Roman" w:cs="Times New Roman"/>
                <w:sz w:val="21"/>
                <w:vertAlign w:val="superscript"/>
              </w:rPr>
              <w:t>-7</w:t>
            </w:r>
            <w:r>
              <w:rPr>
                <w:rFonts w:ascii="Times New Roman" w:hAnsi="Times New Roman" w:cs="Times New Roman"/>
                <w:sz w:val="21"/>
              </w:rPr>
              <w:t>/（m·a）</w:t>
            </w:r>
          </w:p>
        </w:tc>
      </w:tr>
      <w:tr w14:paraId="07F27D8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45" w:hRule="atLeast"/>
          <w:jc w:val="center"/>
        </w:trPr>
        <w:tc>
          <w:tcPr>
            <w:tcW w:w="366" w:type="pct"/>
            <w:vAlign w:val="center"/>
          </w:tcPr>
          <w:p w14:paraId="4369A44B">
            <w:pPr>
              <w:jc w:val="center"/>
              <w:rPr>
                <w:rFonts w:ascii="Times New Roman" w:hAnsi="Times New Roman" w:cs="Times New Roman"/>
                <w:sz w:val="21"/>
              </w:rPr>
            </w:pPr>
            <w:r>
              <w:rPr>
                <w:rFonts w:ascii="Times New Roman" w:hAnsi="Times New Roman" w:cs="Times New Roman"/>
                <w:sz w:val="21"/>
              </w:rPr>
              <w:t>8</w:t>
            </w:r>
          </w:p>
        </w:tc>
        <w:tc>
          <w:tcPr>
            <w:tcW w:w="1773" w:type="pct"/>
            <w:vAlign w:val="center"/>
          </w:tcPr>
          <w:p w14:paraId="46D0A95D">
            <w:pPr>
              <w:jc w:val="center"/>
              <w:rPr>
                <w:rFonts w:ascii="Times New Roman" w:hAnsi="Times New Roman" w:cs="Times New Roman"/>
                <w:sz w:val="21"/>
              </w:rPr>
            </w:pPr>
            <w:r>
              <w:rPr>
                <w:rFonts w:ascii="Times New Roman" w:hAnsi="Times New Roman" w:cs="Times New Roman"/>
                <w:sz w:val="21"/>
              </w:rPr>
              <w:t>泵体和压缩机</w:t>
            </w:r>
          </w:p>
        </w:tc>
        <w:tc>
          <w:tcPr>
            <w:tcW w:w="1691" w:type="pct"/>
            <w:vAlign w:val="center"/>
          </w:tcPr>
          <w:p w14:paraId="4DFE1FA3">
            <w:pPr>
              <w:jc w:val="center"/>
              <w:rPr>
                <w:rFonts w:ascii="Times New Roman" w:hAnsi="Times New Roman" w:cs="Times New Roman"/>
                <w:sz w:val="21"/>
                <w:lang w:eastAsia="zh-CN"/>
              </w:rPr>
            </w:pPr>
            <w:r>
              <w:rPr>
                <w:rFonts w:ascii="Times New Roman" w:hAnsi="Times New Roman" w:cs="Times New Roman"/>
                <w:sz w:val="21"/>
                <w:lang w:eastAsia="zh-CN"/>
              </w:rPr>
              <w:t>泵体和压缩机最大连接管泄漏孔径为10%孔径（最大50mm）</w:t>
            </w:r>
          </w:p>
          <w:p w14:paraId="29109BAA">
            <w:pPr>
              <w:jc w:val="center"/>
              <w:rPr>
                <w:rFonts w:ascii="Times New Roman" w:hAnsi="Times New Roman" w:cs="Times New Roman"/>
                <w:sz w:val="21"/>
                <w:lang w:eastAsia="zh-CN"/>
              </w:rPr>
            </w:pPr>
            <w:r>
              <w:rPr>
                <w:rFonts w:ascii="Times New Roman" w:hAnsi="Times New Roman" w:cs="Times New Roman"/>
                <w:sz w:val="21"/>
                <w:lang w:eastAsia="zh-CN"/>
              </w:rPr>
              <w:t>泵体和压缩机最大连接管全管径泄漏</w:t>
            </w:r>
          </w:p>
        </w:tc>
        <w:tc>
          <w:tcPr>
            <w:tcW w:w="1168" w:type="pct"/>
            <w:vAlign w:val="center"/>
          </w:tcPr>
          <w:p w14:paraId="7D308E5D">
            <w:pPr>
              <w:jc w:val="center"/>
              <w:rPr>
                <w:rFonts w:ascii="Times New Roman" w:hAnsi="Times New Roman" w:cs="Times New Roman"/>
                <w:sz w:val="21"/>
              </w:rPr>
            </w:pPr>
            <w:r>
              <w:rPr>
                <w:rFonts w:ascii="Times New Roman" w:hAnsi="Times New Roman" w:cs="Times New Roman"/>
                <w:sz w:val="21"/>
              </w:rPr>
              <w:t>5.00×10</w:t>
            </w:r>
            <w:r>
              <w:rPr>
                <w:rFonts w:ascii="Times New Roman" w:hAnsi="Times New Roman" w:cs="Times New Roman"/>
                <w:sz w:val="21"/>
                <w:vertAlign w:val="superscript"/>
              </w:rPr>
              <w:t>-4</w:t>
            </w:r>
            <w:r>
              <w:rPr>
                <w:rFonts w:ascii="Times New Roman" w:hAnsi="Times New Roman" w:cs="Times New Roman"/>
                <w:sz w:val="21"/>
              </w:rPr>
              <w:t>/a</w:t>
            </w:r>
          </w:p>
          <w:p w14:paraId="4AD27C2C">
            <w:pPr>
              <w:jc w:val="center"/>
              <w:rPr>
                <w:rFonts w:ascii="Times New Roman" w:hAnsi="Times New Roman" w:cs="Times New Roman"/>
                <w:sz w:val="21"/>
              </w:rPr>
            </w:pPr>
            <w:r>
              <w:rPr>
                <w:rFonts w:ascii="Times New Roman" w:hAnsi="Times New Roman" w:cs="Times New Roman"/>
                <w:sz w:val="21"/>
              </w:rPr>
              <w:t>1.00×10</w:t>
            </w:r>
            <w:r>
              <w:rPr>
                <w:rFonts w:ascii="Times New Roman" w:hAnsi="Times New Roman" w:cs="Times New Roman"/>
                <w:sz w:val="21"/>
                <w:vertAlign w:val="superscript"/>
              </w:rPr>
              <w:t>-4</w:t>
            </w:r>
            <w:r>
              <w:rPr>
                <w:rFonts w:ascii="Times New Roman" w:hAnsi="Times New Roman" w:cs="Times New Roman"/>
                <w:sz w:val="21"/>
              </w:rPr>
              <w:t>/a</w:t>
            </w:r>
          </w:p>
        </w:tc>
      </w:tr>
      <w:tr w14:paraId="648DA04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43" w:hRule="atLeast"/>
          <w:jc w:val="center"/>
        </w:trPr>
        <w:tc>
          <w:tcPr>
            <w:tcW w:w="366" w:type="pct"/>
            <w:vAlign w:val="center"/>
          </w:tcPr>
          <w:p w14:paraId="7CC659D7">
            <w:pPr>
              <w:jc w:val="center"/>
              <w:rPr>
                <w:rFonts w:ascii="Times New Roman" w:hAnsi="Times New Roman" w:cs="Times New Roman"/>
                <w:sz w:val="21"/>
              </w:rPr>
            </w:pPr>
            <w:r>
              <w:rPr>
                <w:rFonts w:ascii="Times New Roman" w:hAnsi="Times New Roman" w:cs="Times New Roman"/>
                <w:sz w:val="21"/>
              </w:rPr>
              <w:t>9</w:t>
            </w:r>
          </w:p>
        </w:tc>
        <w:tc>
          <w:tcPr>
            <w:tcW w:w="1773" w:type="pct"/>
            <w:vAlign w:val="center"/>
          </w:tcPr>
          <w:p w14:paraId="607176FA">
            <w:pPr>
              <w:jc w:val="center"/>
              <w:rPr>
                <w:rFonts w:ascii="Times New Roman" w:hAnsi="Times New Roman" w:cs="Times New Roman"/>
                <w:sz w:val="21"/>
              </w:rPr>
            </w:pPr>
            <w:r>
              <w:rPr>
                <w:rFonts w:ascii="Times New Roman" w:hAnsi="Times New Roman" w:cs="Times New Roman"/>
                <w:sz w:val="21"/>
              </w:rPr>
              <w:t>装卸臂</w:t>
            </w:r>
          </w:p>
        </w:tc>
        <w:tc>
          <w:tcPr>
            <w:tcW w:w="1691" w:type="pct"/>
            <w:vAlign w:val="center"/>
          </w:tcPr>
          <w:p w14:paraId="7BEE47FB">
            <w:pPr>
              <w:jc w:val="center"/>
              <w:rPr>
                <w:rFonts w:ascii="Times New Roman" w:hAnsi="Times New Roman" w:cs="Times New Roman"/>
                <w:sz w:val="21"/>
                <w:lang w:eastAsia="zh-CN"/>
              </w:rPr>
            </w:pPr>
            <w:r>
              <w:rPr>
                <w:rFonts w:ascii="Times New Roman" w:hAnsi="Times New Roman" w:cs="Times New Roman"/>
                <w:sz w:val="21"/>
                <w:lang w:eastAsia="zh-CN"/>
              </w:rPr>
              <w:t>装卸臂连接管泄漏孔径为10%孔径（最大50mm）</w:t>
            </w:r>
          </w:p>
          <w:p w14:paraId="7F4C6F5A">
            <w:pPr>
              <w:jc w:val="center"/>
              <w:rPr>
                <w:rFonts w:ascii="Times New Roman" w:hAnsi="Times New Roman" w:cs="Times New Roman"/>
                <w:sz w:val="21"/>
              </w:rPr>
            </w:pPr>
            <w:r>
              <w:rPr>
                <w:rFonts w:ascii="Times New Roman" w:hAnsi="Times New Roman" w:cs="Times New Roman"/>
                <w:sz w:val="21"/>
              </w:rPr>
              <w:t>装卸臂全管径泄漏</w:t>
            </w:r>
          </w:p>
        </w:tc>
        <w:tc>
          <w:tcPr>
            <w:tcW w:w="1168" w:type="pct"/>
            <w:vAlign w:val="center"/>
          </w:tcPr>
          <w:p w14:paraId="3258C39C">
            <w:pPr>
              <w:jc w:val="center"/>
              <w:rPr>
                <w:rFonts w:ascii="Times New Roman" w:hAnsi="Times New Roman" w:cs="Times New Roman"/>
                <w:sz w:val="21"/>
              </w:rPr>
            </w:pPr>
            <w:r>
              <w:rPr>
                <w:rFonts w:ascii="Times New Roman" w:hAnsi="Times New Roman" w:cs="Times New Roman"/>
                <w:sz w:val="21"/>
              </w:rPr>
              <w:t>3.00×10</w:t>
            </w:r>
            <w:r>
              <w:rPr>
                <w:rFonts w:ascii="Times New Roman" w:hAnsi="Times New Roman" w:cs="Times New Roman"/>
                <w:sz w:val="21"/>
                <w:vertAlign w:val="superscript"/>
              </w:rPr>
              <w:t>-7</w:t>
            </w:r>
            <w:r>
              <w:rPr>
                <w:rFonts w:ascii="Times New Roman" w:hAnsi="Times New Roman" w:cs="Times New Roman"/>
                <w:sz w:val="21"/>
              </w:rPr>
              <w:t>/h</w:t>
            </w:r>
          </w:p>
          <w:p w14:paraId="12551184">
            <w:pPr>
              <w:jc w:val="center"/>
              <w:rPr>
                <w:rFonts w:ascii="Times New Roman" w:hAnsi="Times New Roman" w:cs="Times New Roman"/>
                <w:sz w:val="21"/>
              </w:rPr>
            </w:pPr>
            <w:r>
              <w:rPr>
                <w:rFonts w:ascii="Times New Roman" w:hAnsi="Times New Roman" w:cs="Times New Roman"/>
                <w:sz w:val="21"/>
              </w:rPr>
              <w:t>3.00×10</w:t>
            </w:r>
            <w:r>
              <w:rPr>
                <w:rFonts w:ascii="Times New Roman" w:hAnsi="Times New Roman" w:cs="Times New Roman"/>
                <w:sz w:val="21"/>
                <w:vertAlign w:val="superscript"/>
              </w:rPr>
              <w:t>-8</w:t>
            </w:r>
            <w:r>
              <w:rPr>
                <w:rFonts w:ascii="Times New Roman" w:hAnsi="Times New Roman" w:cs="Times New Roman"/>
                <w:sz w:val="21"/>
              </w:rPr>
              <w:t>/h</w:t>
            </w:r>
          </w:p>
        </w:tc>
      </w:tr>
      <w:tr w14:paraId="2FDF2FA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0" w:hRule="atLeast"/>
          <w:jc w:val="center"/>
        </w:trPr>
        <w:tc>
          <w:tcPr>
            <w:tcW w:w="366" w:type="pct"/>
            <w:vAlign w:val="center"/>
          </w:tcPr>
          <w:p w14:paraId="284A03BB">
            <w:pPr>
              <w:jc w:val="center"/>
              <w:rPr>
                <w:rFonts w:ascii="Times New Roman" w:hAnsi="Times New Roman" w:cs="Times New Roman"/>
                <w:sz w:val="21"/>
              </w:rPr>
            </w:pPr>
            <w:r>
              <w:rPr>
                <w:rFonts w:ascii="Times New Roman" w:hAnsi="Times New Roman" w:cs="Times New Roman"/>
                <w:sz w:val="21"/>
              </w:rPr>
              <w:t>10</w:t>
            </w:r>
          </w:p>
        </w:tc>
        <w:tc>
          <w:tcPr>
            <w:tcW w:w="1773" w:type="pct"/>
            <w:vAlign w:val="center"/>
          </w:tcPr>
          <w:p w14:paraId="3A7DEB29">
            <w:pPr>
              <w:jc w:val="center"/>
              <w:rPr>
                <w:rFonts w:ascii="Times New Roman" w:hAnsi="Times New Roman" w:cs="Times New Roman"/>
                <w:sz w:val="21"/>
              </w:rPr>
            </w:pPr>
            <w:r>
              <w:rPr>
                <w:rFonts w:ascii="Times New Roman" w:hAnsi="Times New Roman" w:cs="Times New Roman"/>
                <w:sz w:val="21"/>
              </w:rPr>
              <w:t>装卸软管</w:t>
            </w:r>
          </w:p>
        </w:tc>
        <w:tc>
          <w:tcPr>
            <w:tcW w:w="1691" w:type="pct"/>
            <w:vAlign w:val="center"/>
          </w:tcPr>
          <w:p w14:paraId="0BB34FA7">
            <w:pPr>
              <w:jc w:val="center"/>
              <w:rPr>
                <w:rFonts w:ascii="Times New Roman" w:hAnsi="Times New Roman" w:cs="Times New Roman"/>
                <w:sz w:val="21"/>
                <w:lang w:eastAsia="zh-CN"/>
              </w:rPr>
            </w:pPr>
            <w:r>
              <w:rPr>
                <w:rFonts w:ascii="Times New Roman" w:hAnsi="Times New Roman" w:cs="Times New Roman"/>
                <w:sz w:val="21"/>
                <w:lang w:eastAsia="zh-CN"/>
              </w:rPr>
              <w:t>装卸软管连接管泄漏孔径为10%孔径（最大50mm）</w:t>
            </w:r>
          </w:p>
          <w:p w14:paraId="79035F47">
            <w:pPr>
              <w:jc w:val="center"/>
              <w:rPr>
                <w:rFonts w:ascii="Times New Roman" w:hAnsi="Times New Roman" w:cs="Times New Roman"/>
                <w:sz w:val="21"/>
              </w:rPr>
            </w:pPr>
            <w:r>
              <w:rPr>
                <w:rFonts w:ascii="Times New Roman" w:hAnsi="Times New Roman" w:cs="Times New Roman"/>
                <w:sz w:val="21"/>
              </w:rPr>
              <w:t>装卸软管全管径泄漏</w:t>
            </w:r>
          </w:p>
        </w:tc>
        <w:tc>
          <w:tcPr>
            <w:tcW w:w="1168" w:type="pct"/>
            <w:vAlign w:val="center"/>
          </w:tcPr>
          <w:p w14:paraId="116B2E0B">
            <w:pPr>
              <w:jc w:val="center"/>
              <w:rPr>
                <w:rFonts w:ascii="Times New Roman" w:hAnsi="Times New Roman" w:cs="Times New Roman"/>
                <w:sz w:val="21"/>
              </w:rPr>
            </w:pPr>
            <w:r>
              <w:rPr>
                <w:rFonts w:ascii="Times New Roman" w:hAnsi="Times New Roman" w:cs="Times New Roman"/>
                <w:sz w:val="21"/>
              </w:rPr>
              <w:t>4.00×10</w:t>
            </w:r>
            <w:r>
              <w:rPr>
                <w:rFonts w:ascii="Times New Roman" w:hAnsi="Times New Roman" w:cs="Times New Roman"/>
                <w:sz w:val="21"/>
                <w:vertAlign w:val="superscript"/>
              </w:rPr>
              <w:t>-5</w:t>
            </w:r>
            <w:r>
              <w:rPr>
                <w:rFonts w:ascii="Times New Roman" w:hAnsi="Times New Roman" w:cs="Times New Roman"/>
                <w:sz w:val="21"/>
              </w:rPr>
              <w:t>/h</w:t>
            </w:r>
          </w:p>
          <w:p w14:paraId="57D20A3A">
            <w:pPr>
              <w:jc w:val="center"/>
              <w:rPr>
                <w:rFonts w:ascii="Times New Roman" w:hAnsi="Times New Roman" w:cs="Times New Roman"/>
                <w:sz w:val="21"/>
              </w:rPr>
            </w:pPr>
            <w:r>
              <w:rPr>
                <w:rFonts w:ascii="Times New Roman" w:hAnsi="Times New Roman" w:cs="Times New Roman"/>
                <w:sz w:val="21"/>
              </w:rPr>
              <w:t>4.00×10</w:t>
            </w:r>
            <w:r>
              <w:rPr>
                <w:rFonts w:ascii="Times New Roman" w:hAnsi="Times New Roman" w:cs="Times New Roman"/>
                <w:sz w:val="21"/>
                <w:vertAlign w:val="superscript"/>
              </w:rPr>
              <w:t>-6</w:t>
            </w:r>
            <w:r>
              <w:rPr>
                <w:rFonts w:ascii="Times New Roman" w:hAnsi="Times New Roman" w:cs="Times New Roman"/>
                <w:sz w:val="21"/>
              </w:rPr>
              <w:t>/h</w:t>
            </w:r>
          </w:p>
        </w:tc>
      </w:tr>
      <w:tr w14:paraId="0AB1BBA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0" w:hRule="atLeast"/>
          <w:jc w:val="center"/>
        </w:trPr>
        <w:tc>
          <w:tcPr>
            <w:tcW w:w="5000" w:type="pct"/>
            <w:gridSpan w:val="4"/>
            <w:vAlign w:val="center"/>
          </w:tcPr>
          <w:p w14:paraId="20351389">
            <w:pPr>
              <w:jc w:val="center"/>
              <w:rPr>
                <w:rFonts w:ascii="Times New Roman" w:hAnsi="Times New Roman" w:cs="Times New Roman"/>
                <w:sz w:val="21"/>
                <w:lang w:eastAsia="zh-CN"/>
              </w:rPr>
            </w:pPr>
            <w:r>
              <w:rPr>
                <w:rFonts w:ascii="Times New Roman" w:hAnsi="Times New Roman" w:cs="Times New Roman"/>
                <w:sz w:val="21"/>
                <w:lang w:eastAsia="zh-CN"/>
              </w:rPr>
              <w:t>注：以上数据来源荷兰TNO紫皮书；</w:t>
            </w:r>
          </w:p>
          <w:p w14:paraId="2F3B22C5">
            <w:pPr>
              <w:jc w:val="center"/>
              <w:rPr>
                <w:rFonts w:ascii="Times New Roman" w:hAnsi="Times New Roman" w:cs="Times New Roman"/>
                <w:sz w:val="21"/>
                <w:lang w:eastAsia="zh-CN"/>
              </w:rPr>
            </w:pPr>
            <w:r>
              <w:rPr>
                <w:rFonts w:ascii="Times New Roman" w:hAnsi="Times New Roman" w:cs="Times New Roman"/>
                <w:sz w:val="21"/>
                <w:lang w:eastAsia="zh-CN"/>
              </w:rPr>
              <w:t>*来源于国际油气协会发布的；</w:t>
            </w:r>
          </w:p>
        </w:tc>
      </w:tr>
    </w:tbl>
    <w:p w14:paraId="5F78D892">
      <w:pPr>
        <w:spacing w:line="360" w:lineRule="auto"/>
        <w:ind w:left="482"/>
        <w:rPr>
          <w:rFonts w:ascii="Times New Roman" w:hAnsi="Times New Roman" w:cs="Times New Roman"/>
          <w:b/>
          <w:color w:val="auto"/>
          <w:szCs w:val="24"/>
          <w:lang w:eastAsia="zh-CN"/>
        </w:rPr>
      </w:pPr>
      <w:r>
        <w:rPr>
          <w:rFonts w:hint="eastAsia" w:ascii="Times New Roman" w:hAnsi="Times New Roman" w:cs="Times New Roman"/>
          <w:b/>
          <w:color w:val="auto"/>
          <w:szCs w:val="24"/>
          <w:lang w:eastAsia="zh-CN"/>
        </w:rPr>
        <w:t>1、</w:t>
      </w:r>
      <w:r>
        <w:rPr>
          <w:rFonts w:ascii="Times New Roman" w:hAnsi="Times New Roman" w:cs="Times New Roman"/>
          <w:b/>
          <w:color w:val="auto"/>
          <w:szCs w:val="24"/>
          <w:lang w:eastAsia="zh-CN"/>
        </w:rPr>
        <w:t>大气风险事故情形设定</w:t>
      </w:r>
      <w:bookmarkEnd w:id="2038"/>
    </w:p>
    <w:p w14:paraId="3A195040">
      <w:pPr>
        <w:widowControl w:val="0"/>
        <w:spacing w:line="360" w:lineRule="auto"/>
        <w:ind w:firstLine="472" w:firstLineChars="200"/>
        <w:jc w:val="both"/>
        <w:rPr>
          <w:rFonts w:ascii="Times New Roman" w:hAnsi="Times New Roman" w:cs="Times New Roman"/>
          <w:snapToGrid/>
          <w:color w:val="auto"/>
          <w:spacing w:val="-2"/>
          <w:szCs w:val="24"/>
          <w:lang w:eastAsia="zh-CN"/>
        </w:rPr>
      </w:pPr>
      <w:r>
        <w:rPr>
          <w:rFonts w:ascii="Times New Roman" w:hAnsi="Times New Roman" w:cs="Times New Roman"/>
          <w:snapToGrid/>
          <w:color w:val="auto"/>
          <w:spacing w:val="-2"/>
          <w:szCs w:val="24"/>
          <w:lang w:eastAsia="zh-CN"/>
        </w:rPr>
        <w:t xml:space="preserve">最大可信事故设定一方面是指对环境的危害最严重；另一方面事故设定应科学、客观，具有可信性，一般不包括极端情况。本次评价以《建设项目环境风险评价技术导则》 </w:t>
      </w:r>
      <w:r>
        <w:rPr>
          <w:rFonts w:hint="eastAsia" w:ascii="Times New Roman" w:hAnsi="Times New Roman" w:cs="Times New Roman"/>
          <w:snapToGrid/>
          <w:color w:val="auto"/>
          <w:spacing w:val="-2"/>
          <w:szCs w:val="24"/>
          <w:lang w:eastAsia="zh-CN"/>
        </w:rPr>
        <w:t>（</w:t>
      </w:r>
      <w:r>
        <w:rPr>
          <w:rFonts w:ascii="Times New Roman" w:hAnsi="Times New Roman" w:cs="Times New Roman"/>
          <w:snapToGrid/>
          <w:color w:val="auto"/>
          <w:spacing w:val="-2"/>
          <w:szCs w:val="24"/>
          <w:lang w:eastAsia="zh-CN"/>
        </w:rPr>
        <w:t>HJ169-2018</w:t>
      </w:r>
      <w:r>
        <w:rPr>
          <w:rFonts w:hint="eastAsia" w:ascii="Times New Roman" w:hAnsi="Times New Roman" w:cs="Times New Roman"/>
          <w:snapToGrid/>
          <w:color w:val="auto"/>
          <w:spacing w:val="-2"/>
          <w:szCs w:val="24"/>
          <w:lang w:eastAsia="zh-CN"/>
        </w:rPr>
        <w:t>）</w:t>
      </w:r>
      <w:r>
        <w:rPr>
          <w:rFonts w:ascii="Times New Roman" w:hAnsi="Times New Roman" w:cs="Times New Roman"/>
          <w:snapToGrid/>
          <w:color w:val="auto"/>
          <w:spacing w:val="-2"/>
          <w:szCs w:val="24"/>
          <w:lang w:eastAsia="zh-CN"/>
        </w:rPr>
        <w:t>中提出的极小事件概率10</w:t>
      </w:r>
      <w:r>
        <w:rPr>
          <w:rFonts w:ascii="Times New Roman" w:hAnsi="Times New Roman" w:cs="Times New Roman"/>
          <w:snapToGrid/>
          <w:color w:val="auto"/>
          <w:spacing w:val="-2"/>
          <w:szCs w:val="24"/>
          <w:vertAlign w:val="superscript"/>
          <w:lang w:eastAsia="zh-CN"/>
        </w:rPr>
        <w:t xml:space="preserve"> -6</w:t>
      </w:r>
      <w:r>
        <w:rPr>
          <w:rFonts w:ascii="Times New Roman" w:hAnsi="Times New Roman" w:cs="Times New Roman"/>
          <w:snapToGrid/>
          <w:color w:val="auto"/>
          <w:spacing w:val="-2"/>
          <w:szCs w:val="24"/>
          <w:lang w:eastAsia="zh-CN"/>
        </w:rPr>
        <w:t xml:space="preserve"> /a 作为判定参考值。</w:t>
      </w:r>
    </w:p>
    <w:p w14:paraId="782880B6">
      <w:pPr>
        <w:widowControl w:val="0"/>
        <w:spacing w:line="360" w:lineRule="auto"/>
        <w:ind w:firstLine="472" w:firstLineChars="200"/>
        <w:jc w:val="both"/>
        <w:rPr>
          <w:rFonts w:ascii="Times New Roman" w:hAnsi="Times New Roman" w:cs="Times New Roman"/>
          <w:snapToGrid/>
          <w:color w:val="auto"/>
          <w:spacing w:val="-2"/>
          <w:szCs w:val="24"/>
          <w:lang w:eastAsia="zh-CN"/>
        </w:rPr>
      </w:pPr>
      <w:r>
        <w:rPr>
          <w:rFonts w:ascii="Times New Roman" w:hAnsi="Times New Roman" w:cs="Times New Roman"/>
          <w:snapToGrid/>
          <w:color w:val="auto"/>
          <w:spacing w:val="-2"/>
          <w:szCs w:val="24"/>
          <w:lang w:eastAsia="zh-CN"/>
        </w:rPr>
        <w:t>从拟建项目危险物质的种类及工艺过程分析来看，上述风险事故类型往往具有关联性。生产过程中气态可燃物质的泄漏往往是发生燃烧爆炸的前提</w:t>
      </w:r>
      <w:r>
        <w:rPr>
          <w:rFonts w:hint="eastAsia" w:ascii="Times New Roman" w:hAnsi="Times New Roman" w:cs="Times New Roman"/>
          <w:snapToGrid/>
          <w:color w:val="auto"/>
          <w:spacing w:val="-2"/>
          <w:szCs w:val="24"/>
          <w:lang w:eastAsia="zh-CN"/>
        </w:rPr>
        <w:t>，</w:t>
      </w:r>
      <w:r>
        <w:rPr>
          <w:rFonts w:ascii="Times New Roman" w:hAnsi="Times New Roman" w:cs="Times New Roman"/>
          <w:snapToGrid/>
          <w:color w:val="auto"/>
          <w:spacing w:val="-2"/>
          <w:szCs w:val="24"/>
          <w:lang w:eastAsia="zh-CN"/>
        </w:rPr>
        <w:t>反之燃烧与爆炸又可能成为泄漏发生的原因。基于上述分析和对环境造成风险影响的历史事故类型，结合项目危险物质的种类及其生产区、储存区的分布情况</w:t>
      </w:r>
      <w:r>
        <w:rPr>
          <w:rFonts w:hint="eastAsia" w:ascii="Times New Roman" w:hAnsi="Times New Roman" w:cs="Times New Roman"/>
          <w:snapToGrid/>
          <w:color w:val="auto"/>
          <w:spacing w:val="-2"/>
          <w:szCs w:val="24"/>
          <w:lang w:eastAsia="zh-CN"/>
        </w:rPr>
        <w:t>，</w:t>
      </w:r>
      <w:r>
        <w:rPr>
          <w:rFonts w:ascii="Times New Roman" w:hAnsi="Times New Roman" w:cs="Times New Roman"/>
          <w:snapToGrid/>
          <w:color w:val="auto"/>
          <w:spacing w:val="-2"/>
          <w:szCs w:val="24"/>
          <w:lang w:eastAsia="zh-CN"/>
        </w:rPr>
        <w:t>本次评价设定关注的风险事故选定</w:t>
      </w:r>
      <w:r>
        <w:rPr>
          <w:rFonts w:hint="eastAsia" w:ascii="Times New Roman" w:hAnsi="Times New Roman" w:cs="Times New Roman"/>
          <w:snapToGrid/>
          <w:color w:val="auto"/>
          <w:spacing w:val="-2"/>
          <w:szCs w:val="24"/>
          <w:lang w:eastAsia="zh-CN"/>
        </w:rPr>
        <w:t>如下：</w:t>
      </w:r>
    </w:p>
    <w:p w14:paraId="54B4A025">
      <w:pPr>
        <w:widowControl w:val="0"/>
        <w:spacing w:line="360" w:lineRule="auto"/>
        <w:ind w:firstLine="480" w:firstLineChars="200"/>
        <w:jc w:val="both"/>
        <w:rPr>
          <w:rFonts w:ascii="Times New Roman" w:hAnsi="Times New Roman" w:cs="Times New Roman"/>
          <w:snapToGrid/>
          <w:color w:val="auto"/>
          <w:spacing w:val="-2"/>
          <w:szCs w:val="24"/>
          <w:lang w:eastAsia="zh-CN"/>
        </w:rPr>
      </w:pPr>
      <w:r>
        <w:rPr>
          <w:rFonts w:ascii="Times New Roman" w:hAnsi="Times New Roman" w:cs="Times New Roman"/>
          <w:color w:val="auto"/>
          <w:lang w:eastAsia="zh-CN"/>
        </w:rPr>
        <w:fldChar w:fldCharType="begin"/>
      </w:r>
      <w:r>
        <w:rPr>
          <w:rFonts w:ascii="Times New Roman" w:hAnsi="Times New Roman" w:cs="Times New Roman"/>
          <w:color w:val="auto"/>
          <w:lang w:eastAsia="zh-CN"/>
        </w:rPr>
        <w:instrText xml:space="preserve"> </w:instrText>
      </w:r>
      <w:r>
        <w:rPr>
          <w:rFonts w:hint="eastAsia" w:ascii="Times New Roman" w:hAnsi="Times New Roman" w:cs="Times New Roman"/>
          <w:color w:val="auto"/>
          <w:lang w:eastAsia="zh-CN"/>
        </w:rPr>
        <w:instrText xml:space="preserve">= 1 \* GB3</w:instrText>
      </w:r>
      <w:r>
        <w:rPr>
          <w:rFonts w:ascii="Times New Roman" w:hAnsi="Times New Roman" w:cs="Times New Roman"/>
          <w:color w:val="auto"/>
          <w:lang w:eastAsia="zh-CN"/>
        </w:rPr>
        <w:instrText xml:space="preserve"> </w:instrText>
      </w:r>
      <w:r>
        <w:rPr>
          <w:rFonts w:ascii="Times New Roman" w:hAnsi="Times New Roman" w:cs="Times New Roman"/>
          <w:color w:val="auto"/>
          <w:lang w:eastAsia="zh-CN"/>
        </w:rPr>
        <w:fldChar w:fldCharType="separate"/>
      </w:r>
      <w:r>
        <w:rPr>
          <w:rFonts w:hint="eastAsia" w:ascii="Times New Roman" w:hAnsi="Times New Roman" w:cs="Times New Roman"/>
          <w:color w:val="auto"/>
          <w:lang w:eastAsia="zh-CN"/>
        </w:rPr>
        <w:t>①</w:t>
      </w:r>
      <w:r>
        <w:rPr>
          <w:rFonts w:ascii="Times New Roman" w:hAnsi="Times New Roman" w:cs="Times New Roman"/>
          <w:color w:val="auto"/>
          <w:lang w:eastAsia="zh-CN"/>
        </w:rPr>
        <w:fldChar w:fldCharType="end"/>
      </w:r>
      <w:r>
        <w:rPr>
          <w:rFonts w:hint="eastAsia" w:ascii="Times New Roman" w:hAnsi="Times New Roman" w:cs="Times New Roman"/>
          <w:color w:val="auto"/>
          <w:lang w:eastAsia="zh-CN"/>
        </w:rPr>
        <w:t>现有工程已考虑无水氟化氢储罐以及原料及产品仓库化学纯氢氟酸储罐泄漏</w:t>
      </w:r>
      <w:r>
        <w:rPr>
          <w:rFonts w:hint="eastAsia" w:ascii="Times New Roman" w:hAnsi="Times New Roman" w:cs="Times New Roman"/>
          <w:snapToGrid/>
          <w:color w:val="auto"/>
          <w:spacing w:val="-2"/>
          <w:szCs w:val="24"/>
          <w:lang w:eastAsia="zh-CN"/>
        </w:rPr>
        <w:t>；</w:t>
      </w:r>
      <w:r>
        <w:rPr>
          <w:rFonts w:hint="eastAsia" w:ascii="Times New Roman" w:hAnsi="Times New Roman" w:cs="Times New Roman"/>
          <w:color w:val="auto"/>
          <w:lang w:eastAsia="zh-CN"/>
        </w:rPr>
        <w:t>无水氟化氢储罐或原料及产品仓库化学纯氢氟酸储罐泄漏</w:t>
      </w:r>
      <w:r>
        <w:rPr>
          <w:rFonts w:hint="eastAsia" w:ascii="Times New Roman" w:hAnsi="Times New Roman" w:cs="Times New Roman"/>
          <w:snapToGrid/>
          <w:color w:val="auto"/>
          <w:spacing w:val="-2"/>
          <w:szCs w:val="24"/>
          <w:lang w:eastAsia="zh-CN"/>
        </w:rPr>
        <w:t>与管道连接处破裂，泄漏至围堰形成液池，氢氟酸挥发至大气环境造成环境风险事故；且风险情形未变化，故本次环评不再对上述情形进行预测。</w:t>
      </w:r>
    </w:p>
    <w:p w14:paraId="14200398">
      <w:pPr>
        <w:widowControl w:val="0"/>
        <w:spacing w:line="360" w:lineRule="auto"/>
        <w:ind w:firstLine="472" w:firstLineChars="200"/>
        <w:jc w:val="both"/>
        <w:rPr>
          <w:rFonts w:ascii="Times New Roman" w:hAnsi="Times New Roman" w:cs="Times New Roman"/>
          <w:snapToGrid/>
          <w:color w:val="auto"/>
          <w:spacing w:val="-2"/>
          <w:szCs w:val="24"/>
          <w:lang w:eastAsia="zh-CN"/>
        </w:rPr>
      </w:pPr>
      <w:r>
        <w:rPr>
          <w:rFonts w:hint="eastAsia" w:ascii="Times New Roman" w:hAnsi="Times New Roman" w:cs="Times New Roman"/>
          <w:snapToGrid/>
          <w:color w:val="auto"/>
          <w:spacing w:val="-2"/>
          <w:szCs w:val="24"/>
          <w:lang w:eastAsia="zh-CN"/>
        </w:rPr>
        <w:t>②</w:t>
      </w:r>
      <w:r>
        <w:rPr>
          <w:rFonts w:hint="eastAsia" w:ascii="Times New Roman" w:hAnsi="Times New Roman" w:cs="Times New Roman"/>
          <w:color w:val="auto"/>
          <w:lang w:eastAsia="zh-CN"/>
        </w:rPr>
        <w:t>戊类罐区二化学纯氢氟酸储罐泄漏</w:t>
      </w:r>
      <w:r>
        <w:rPr>
          <w:rFonts w:hint="eastAsia" w:ascii="Times New Roman" w:hAnsi="Times New Roman" w:cs="Times New Roman"/>
          <w:snapToGrid/>
          <w:color w:val="auto"/>
          <w:spacing w:val="-2"/>
          <w:szCs w:val="24"/>
          <w:lang w:eastAsia="zh-CN"/>
        </w:rPr>
        <w:t>；</w:t>
      </w:r>
      <w:r>
        <w:rPr>
          <w:rFonts w:hint="eastAsia" w:ascii="Times New Roman" w:hAnsi="Times New Roman" w:cs="Times New Roman"/>
          <w:color w:val="auto"/>
          <w:lang w:eastAsia="zh-CN"/>
        </w:rPr>
        <w:t>化学纯氢氟酸储罐泄漏</w:t>
      </w:r>
      <w:r>
        <w:rPr>
          <w:rFonts w:hint="eastAsia" w:ascii="Times New Roman" w:hAnsi="Times New Roman" w:cs="Times New Roman"/>
          <w:snapToGrid/>
          <w:color w:val="auto"/>
          <w:spacing w:val="-2"/>
          <w:szCs w:val="24"/>
          <w:lang w:eastAsia="zh-CN"/>
        </w:rPr>
        <w:t>与管道连接处破裂，泄漏至围堰形成液池，化学纯氢氟酸挥发至大气环境造成环境风险事故。</w:t>
      </w:r>
    </w:p>
    <w:p w14:paraId="2B369478">
      <w:pPr>
        <w:widowControl w:val="0"/>
        <w:spacing w:line="360" w:lineRule="auto"/>
        <w:ind w:firstLine="472" w:firstLineChars="200"/>
        <w:jc w:val="both"/>
        <w:rPr>
          <w:rFonts w:ascii="Times New Roman" w:hAnsi="Times New Roman" w:cs="Times New Roman"/>
          <w:snapToGrid/>
          <w:color w:val="auto"/>
          <w:spacing w:val="-2"/>
          <w:szCs w:val="24"/>
          <w:lang w:eastAsia="zh-CN"/>
        </w:rPr>
      </w:pPr>
      <w:r>
        <w:rPr>
          <w:rFonts w:ascii="Times New Roman" w:hAnsi="Times New Roman" w:cs="Times New Roman"/>
          <w:snapToGrid/>
          <w:color w:val="auto"/>
          <w:spacing w:val="-2"/>
          <w:szCs w:val="24"/>
          <w:lang w:eastAsia="zh-CN"/>
        </w:rPr>
        <w:fldChar w:fldCharType="begin"/>
      </w:r>
      <w:r>
        <w:rPr>
          <w:rFonts w:ascii="Times New Roman" w:hAnsi="Times New Roman" w:cs="Times New Roman"/>
          <w:snapToGrid/>
          <w:color w:val="auto"/>
          <w:spacing w:val="-2"/>
          <w:szCs w:val="24"/>
          <w:lang w:eastAsia="zh-CN"/>
        </w:rPr>
        <w:instrText xml:space="preserve"> </w:instrText>
      </w:r>
      <w:r>
        <w:rPr>
          <w:rFonts w:hint="eastAsia" w:ascii="Times New Roman" w:hAnsi="Times New Roman" w:cs="Times New Roman"/>
          <w:snapToGrid/>
          <w:color w:val="auto"/>
          <w:spacing w:val="-2"/>
          <w:szCs w:val="24"/>
          <w:lang w:eastAsia="zh-CN"/>
        </w:rPr>
        <w:instrText xml:space="preserve">= 3 \* GB3</w:instrText>
      </w:r>
      <w:r>
        <w:rPr>
          <w:rFonts w:ascii="Times New Roman" w:hAnsi="Times New Roman" w:cs="Times New Roman"/>
          <w:snapToGrid/>
          <w:color w:val="auto"/>
          <w:spacing w:val="-2"/>
          <w:szCs w:val="24"/>
          <w:lang w:eastAsia="zh-CN"/>
        </w:rPr>
        <w:instrText xml:space="preserve"> </w:instrText>
      </w:r>
      <w:r>
        <w:rPr>
          <w:rFonts w:ascii="Times New Roman" w:hAnsi="Times New Roman" w:cs="Times New Roman"/>
          <w:snapToGrid/>
          <w:color w:val="auto"/>
          <w:spacing w:val="-2"/>
          <w:szCs w:val="24"/>
          <w:lang w:eastAsia="zh-CN"/>
        </w:rPr>
        <w:fldChar w:fldCharType="separate"/>
      </w:r>
      <w:r>
        <w:rPr>
          <w:rFonts w:hint="eastAsia" w:ascii="Times New Roman" w:hAnsi="Times New Roman" w:cs="Times New Roman"/>
          <w:snapToGrid/>
          <w:color w:val="auto"/>
          <w:spacing w:val="-2"/>
          <w:szCs w:val="24"/>
          <w:lang w:eastAsia="zh-CN"/>
        </w:rPr>
        <w:t>③</w:t>
      </w:r>
      <w:r>
        <w:rPr>
          <w:rFonts w:ascii="Times New Roman" w:hAnsi="Times New Roman" w:cs="Times New Roman"/>
          <w:snapToGrid/>
          <w:color w:val="auto"/>
          <w:spacing w:val="-2"/>
          <w:szCs w:val="24"/>
          <w:lang w:eastAsia="zh-CN"/>
        </w:rPr>
        <w:fldChar w:fldCharType="end"/>
      </w:r>
      <w:r>
        <w:rPr>
          <w:rFonts w:hint="eastAsia" w:ascii="Times New Roman" w:hAnsi="Times New Roman" w:cs="Times New Roman"/>
          <w:snapToGrid/>
          <w:color w:val="auto"/>
          <w:spacing w:val="-2"/>
          <w:szCs w:val="24"/>
          <w:lang w:eastAsia="zh-CN"/>
        </w:rPr>
        <w:t>31%盐酸储罐泄漏；31%盐酸储罐与管道连接处破裂，泄漏至围堰形成液池，31%盐酸储罐挥发至大气环境造成环境风险事故。</w:t>
      </w:r>
    </w:p>
    <w:p w14:paraId="07975CF9">
      <w:pPr>
        <w:widowControl w:val="0"/>
        <w:spacing w:line="360" w:lineRule="auto"/>
        <w:ind w:firstLine="472" w:firstLineChars="200"/>
        <w:jc w:val="both"/>
        <w:rPr>
          <w:rFonts w:ascii="Times New Roman" w:hAnsi="Times New Roman" w:cs="Times New Roman"/>
          <w:snapToGrid/>
          <w:color w:val="auto"/>
          <w:spacing w:val="-2"/>
          <w:szCs w:val="24"/>
          <w:lang w:eastAsia="zh-CN"/>
        </w:rPr>
      </w:pPr>
      <w:r>
        <w:rPr>
          <w:rFonts w:ascii="Times New Roman" w:hAnsi="Times New Roman" w:cs="Times New Roman"/>
          <w:snapToGrid/>
          <w:color w:val="auto"/>
          <w:spacing w:val="-2"/>
          <w:szCs w:val="24"/>
          <w:lang w:eastAsia="zh-CN"/>
        </w:rPr>
        <w:t>对照《建设项目环境风险评价技术导则》（HJ169-2018）附录H大气毒性终点浓度值选取，项目主要危险物质</w:t>
      </w:r>
      <w:r>
        <w:rPr>
          <w:rFonts w:hint="eastAsia" w:ascii="Times New Roman" w:hAnsi="Times New Roman" w:cs="Times New Roman"/>
          <w:snapToGrid/>
          <w:color w:val="auto"/>
          <w:spacing w:val="-2"/>
          <w:szCs w:val="24"/>
          <w:lang w:eastAsia="zh-CN"/>
        </w:rPr>
        <w:t>的</w:t>
      </w:r>
      <w:r>
        <w:rPr>
          <w:rFonts w:ascii="Times New Roman" w:hAnsi="Times New Roman" w:cs="Times New Roman"/>
          <w:snapToGrid/>
          <w:color w:val="auto"/>
          <w:spacing w:val="-2"/>
          <w:szCs w:val="24"/>
          <w:lang w:eastAsia="zh-CN"/>
        </w:rPr>
        <w:t>大气毒性终点浓度见下表</w:t>
      </w:r>
      <w:r>
        <w:rPr>
          <w:rFonts w:hint="eastAsia" w:ascii="Times New Roman" w:hAnsi="Times New Roman" w:cs="Times New Roman"/>
          <w:snapToGrid/>
          <w:color w:val="auto"/>
          <w:spacing w:val="-2"/>
          <w:szCs w:val="24"/>
          <w:lang w:eastAsia="zh-CN"/>
        </w:rPr>
        <w:t>。</w:t>
      </w:r>
    </w:p>
    <w:p w14:paraId="54D66A16">
      <w:pPr>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表7.6-</w:t>
      </w:r>
      <w:r>
        <w:rPr>
          <w:rFonts w:hint="eastAsia" w:ascii="Times New Roman" w:hAnsi="Times New Roman" w:cs="Times New Roman"/>
          <w:b/>
          <w:bCs/>
          <w:color w:val="auto"/>
          <w:szCs w:val="24"/>
          <w:lang w:eastAsia="zh-CN"/>
        </w:rPr>
        <w:t>2</w:t>
      </w:r>
      <w:r>
        <w:rPr>
          <w:rFonts w:ascii="Times New Roman" w:hAnsi="Times New Roman" w:cs="Times New Roman"/>
          <w:b/>
          <w:bCs/>
          <w:color w:val="auto"/>
          <w:szCs w:val="24"/>
          <w:lang w:eastAsia="zh-CN"/>
        </w:rPr>
        <w:t xml:space="preserve"> 项目主要危险物质的大气毒性终点浓度</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2" w:space="0"/>
          <w:insideV w:val="single" w:color="auto" w:sz="6" w:space="0"/>
        </w:tblBorders>
        <w:tblLayout w:type="autofit"/>
        <w:tblCellMar>
          <w:top w:w="0" w:type="dxa"/>
          <w:left w:w="108" w:type="dxa"/>
          <w:bottom w:w="0" w:type="dxa"/>
          <w:right w:w="108" w:type="dxa"/>
        </w:tblCellMar>
      </w:tblPr>
      <w:tblGrid>
        <w:gridCol w:w="684"/>
        <w:gridCol w:w="2800"/>
        <w:gridCol w:w="1757"/>
        <w:gridCol w:w="2074"/>
        <w:gridCol w:w="2431"/>
      </w:tblGrid>
      <w:tr w14:paraId="2C545090">
        <w:tblPrEx>
          <w:tblBorders>
            <w:top w:val="single" w:color="auto" w:sz="12" w:space="0"/>
            <w:left w:val="none" w:color="auto" w:sz="0" w:space="0"/>
            <w:bottom w:val="single" w:color="auto" w:sz="12" w:space="0"/>
            <w:right w:val="none" w:color="auto" w:sz="0" w:space="0"/>
            <w:insideH w:val="single" w:color="auto" w:sz="2" w:space="0"/>
            <w:insideV w:val="single" w:color="auto" w:sz="6" w:space="0"/>
          </w:tblBorders>
          <w:tblCellMar>
            <w:top w:w="0" w:type="dxa"/>
            <w:left w:w="108" w:type="dxa"/>
            <w:bottom w:w="0" w:type="dxa"/>
            <w:right w:w="108" w:type="dxa"/>
          </w:tblCellMar>
        </w:tblPrEx>
        <w:trPr>
          <w:trHeight w:val="340" w:hRule="atLeast"/>
          <w:jc w:val="center"/>
        </w:trPr>
        <w:tc>
          <w:tcPr>
            <w:tcW w:w="351" w:type="pct"/>
            <w:vMerge w:val="restart"/>
            <w:vAlign w:val="center"/>
          </w:tcPr>
          <w:p w14:paraId="0F8F86C0">
            <w:pPr>
              <w:jc w:val="center"/>
              <w:rPr>
                <w:rFonts w:ascii="Times New Roman" w:hAnsi="Times New Roman" w:cs="Times New Roman"/>
                <w:b/>
                <w:color w:val="auto"/>
                <w:sz w:val="21"/>
              </w:rPr>
            </w:pPr>
            <w:r>
              <w:rPr>
                <w:rFonts w:ascii="Times New Roman" w:hAnsi="Times New Roman" w:cs="Times New Roman"/>
                <w:b/>
                <w:color w:val="auto"/>
                <w:sz w:val="21"/>
              </w:rPr>
              <w:t>序号</w:t>
            </w:r>
          </w:p>
        </w:tc>
        <w:tc>
          <w:tcPr>
            <w:tcW w:w="1436" w:type="pct"/>
            <w:vMerge w:val="restart"/>
            <w:vAlign w:val="center"/>
          </w:tcPr>
          <w:p w14:paraId="10312D73">
            <w:pPr>
              <w:jc w:val="center"/>
              <w:rPr>
                <w:rFonts w:ascii="Times New Roman" w:hAnsi="Times New Roman" w:cs="Times New Roman"/>
                <w:b/>
                <w:color w:val="auto"/>
                <w:sz w:val="21"/>
                <w:lang w:eastAsia="zh-CN"/>
              </w:rPr>
            </w:pPr>
            <w:r>
              <w:rPr>
                <w:rFonts w:hint="eastAsia" w:ascii="Times New Roman" w:cs="Times New Roman"/>
                <w:b/>
                <w:color w:val="auto"/>
                <w:sz w:val="21"/>
                <w:lang w:eastAsia="zh-CN"/>
              </w:rPr>
              <w:t>事故情形</w:t>
            </w:r>
          </w:p>
        </w:tc>
        <w:tc>
          <w:tcPr>
            <w:tcW w:w="901" w:type="pct"/>
            <w:vMerge w:val="restart"/>
            <w:vAlign w:val="center"/>
          </w:tcPr>
          <w:p w14:paraId="49A94302">
            <w:pPr>
              <w:jc w:val="center"/>
              <w:rPr>
                <w:rFonts w:ascii="Times New Roman" w:hAnsi="Times New Roman" w:cs="Times New Roman"/>
                <w:b/>
                <w:color w:val="auto"/>
                <w:sz w:val="21"/>
                <w:lang w:eastAsia="zh-CN"/>
              </w:rPr>
            </w:pPr>
            <w:r>
              <w:rPr>
                <w:rFonts w:ascii="Times New Roman" w:hAnsi="Times New Roman" w:cs="Times New Roman"/>
                <w:b/>
                <w:color w:val="auto"/>
                <w:sz w:val="21"/>
              </w:rPr>
              <w:t>物质名称</w:t>
            </w:r>
          </w:p>
        </w:tc>
        <w:tc>
          <w:tcPr>
            <w:tcW w:w="2311" w:type="pct"/>
            <w:gridSpan w:val="2"/>
            <w:vAlign w:val="center"/>
          </w:tcPr>
          <w:p w14:paraId="7D7C8056">
            <w:pPr>
              <w:jc w:val="center"/>
              <w:rPr>
                <w:rFonts w:ascii="Times New Roman" w:hAnsi="Times New Roman" w:cs="Times New Roman"/>
                <w:b/>
                <w:color w:val="auto"/>
                <w:sz w:val="21"/>
                <w:lang w:eastAsia="zh-CN"/>
              </w:rPr>
            </w:pPr>
            <w:r>
              <w:rPr>
                <w:rFonts w:ascii="Times New Roman" w:hAnsi="Times New Roman" w:cs="Times New Roman"/>
                <w:b/>
                <w:color w:val="auto"/>
                <w:sz w:val="21"/>
                <w:lang w:eastAsia="zh-CN"/>
              </w:rPr>
              <w:t>大气毒性终点浓度mg/m</w:t>
            </w:r>
            <w:r>
              <w:rPr>
                <w:rFonts w:ascii="Times New Roman" w:hAnsi="Times New Roman" w:cs="Times New Roman"/>
                <w:b/>
                <w:color w:val="auto"/>
                <w:sz w:val="21"/>
                <w:vertAlign w:val="superscript"/>
                <w:lang w:eastAsia="zh-CN"/>
              </w:rPr>
              <w:t>3</w:t>
            </w:r>
          </w:p>
        </w:tc>
      </w:tr>
      <w:tr w14:paraId="33107A5D">
        <w:tblPrEx>
          <w:tblBorders>
            <w:top w:val="single" w:color="auto" w:sz="12" w:space="0"/>
            <w:left w:val="none" w:color="auto" w:sz="0" w:space="0"/>
            <w:bottom w:val="single" w:color="auto" w:sz="12" w:space="0"/>
            <w:right w:val="none" w:color="auto" w:sz="0" w:space="0"/>
            <w:insideH w:val="single" w:color="auto" w:sz="2" w:space="0"/>
            <w:insideV w:val="single" w:color="auto" w:sz="6" w:space="0"/>
          </w:tblBorders>
          <w:tblCellMar>
            <w:top w:w="0" w:type="dxa"/>
            <w:left w:w="108" w:type="dxa"/>
            <w:bottom w:w="0" w:type="dxa"/>
            <w:right w:w="108" w:type="dxa"/>
          </w:tblCellMar>
        </w:tblPrEx>
        <w:trPr>
          <w:trHeight w:val="340" w:hRule="atLeast"/>
          <w:jc w:val="center"/>
        </w:trPr>
        <w:tc>
          <w:tcPr>
            <w:tcW w:w="351" w:type="pct"/>
            <w:vMerge w:val="continue"/>
            <w:vAlign w:val="center"/>
          </w:tcPr>
          <w:p w14:paraId="39A37EC0">
            <w:pPr>
              <w:rPr>
                <w:rFonts w:ascii="Times New Roman" w:hAnsi="Times New Roman" w:cs="Times New Roman"/>
                <w:color w:val="auto"/>
                <w:sz w:val="21"/>
                <w:lang w:eastAsia="zh-CN"/>
              </w:rPr>
            </w:pPr>
          </w:p>
        </w:tc>
        <w:tc>
          <w:tcPr>
            <w:tcW w:w="1436" w:type="pct"/>
            <w:vMerge w:val="continue"/>
            <w:vAlign w:val="center"/>
          </w:tcPr>
          <w:p w14:paraId="50426ECE">
            <w:pPr>
              <w:rPr>
                <w:rFonts w:ascii="Times New Roman" w:hAnsi="Times New Roman" w:cs="Times New Roman"/>
                <w:color w:val="auto"/>
                <w:sz w:val="21"/>
                <w:lang w:eastAsia="zh-CN"/>
              </w:rPr>
            </w:pPr>
          </w:p>
        </w:tc>
        <w:tc>
          <w:tcPr>
            <w:tcW w:w="901" w:type="pct"/>
            <w:vMerge w:val="continue"/>
            <w:vAlign w:val="center"/>
          </w:tcPr>
          <w:p w14:paraId="1FA1B39F">
            <w:pPr>
              <w:rPr>
                <w:rFonts w:ascii="Times New Roman" w:hAnsi="Times New Roman" w:cs="Times New Roman"/>
                <w:color w:val="auto"/>
                <w:sz w:val="21"/>
                <w:lang w:eastAsia="zh-CN"/>
              </w:rPr>
            </w:pPr>
          </w:p>
        </w:tc>
        <w:tc>
          <w:tcPr>
            <w:tcW w:w="1064" w:type="pct"/>
            <w:vAlign w:val="center"/>
          </w:tcPr>
          <w:p w14:paraId="1974ABFD">
            <w:pPr>
              <w:jc w:val="center"/>
              <w:rPr>
                <w:rFonts w:ascii="Times New Roman" w:hAnsi="Times New Roman" w:cs="Times New Roman"/>
                <w:color w:val="auto"/>
                <w:sz w:val="21"/>
              </w:rPr>
            </w:pPr>
            <w:r>
              <w:rPr>
                <w:rFonts w:ascii="Times New Roman" w:hAnsi="Times New Roman" w:cs="Times New Roman"/>
                <w:color w:val="auto"/>
                <w:sz w:val="21"/>
              </w:rPr>
              <w:t>毒性终点浓度-1</w:t>
            </w:r>
          </w:p>
        </w:tc>
        <w:tc>
          <w:tcPr>
            <w:tcW w:w="1247" w:type="pct"/>
            <w:vAlign w:val="center"/>
          </w:tcPr>
          <w:p w14:paraId="2BF6B87E">
            <w:pPr>
              <w:jc w:val="center"/>
              <w:rPr>
                <w:rFonts w:ascii="Times New Roman" w:hAnsi="Times New Roman" w:cs="Times New Roman"/>
                <w:color w:val="auto"/>
                <w:sz w:val="21"/>
              </w:rPr>
            </w:pPr>
            <w:r>
              <w:rPr>
                <w:rFonts w:ascii="Times New Roman" w:hAnsi="Times New Roman" w:cs="Times New Roman"/>
                <w:color w:val="auto"/>
                <w:sz w:val="21"/>
              </w:rPr>
              <w:t>毒性终点浓度-2</w:t>
            </w:r>
          </w:p>
        </w:tc>
      </w:tr>
      <w:tr w14:paraId="66A6CE44">
        <w:tblPrEx>
          <w:tblBorders>
            <w:top w:val="single" w:color="auto" w:sz="12" w:space="0"/>
            <w:left w:val="none" w:color="auto" w:sz="0" w:space="0"/>
            <w:bottom w:val="single" w:color="auto" w:sz="12" w:space="0"/>
            <w:right w:val="none" w:color="auto" w:sz="0" w:space="0"/>
            <w:insideH w:val="single" w:color="auto" w:sz="2" w:space="0"/>
            <w:insideV w:val="single" w:color="auto" w:sz="6" w:space="0"/>
          </w:tblBorders>
          <w:tblCellMar>
            <w:top w:w="0" w:type="dxa"/>
            <w:left w:w="108" w:type="dxa"/>
            <w:bottom w:w="0" w:type="dxa"/>
            <w:right w:w="108" w:type="dxa"/>
          </w:tblCellMar>
        </w:tblPrEx>
        <w:trPr>
          <w:trHeight w:val="340" w:hRule="atLeast"/>
          <w:jc w:val="center"/>
        </w:trPr>
        <w:tc>
          <w:tcPr>
            <w:tcW w:w="351" w:type="pct"/>
            <w:vAlign w:val="center"/>
          </w:tcPr>
          <w:p w14:paraId="1A330B4B">
            <w:pPr>
              <w:jc w:val="center"/>
              <w:rPr>
                <w:rFonts w:ascii="Times New Roman" w:cs="Times New Roman"/>
                <w:color w:val="auto"/>
                <w:sz w:val="21"/>
                <w:lang w:eastAsia="zh-CN"/>
              </w:rPr>
            </w:pPr>
            <w:r>
              <w:rPr>
                <w:rFonts w:hint="eastAsia" w:ascii="Times New Roman" w:cs="Times New Roman"/>
                <w:color w:val="auto"/>
                <w:sz w:val="21"/>
                <w:lang w:eastAsia="zh-CN"/>
              </w:rPr>
              <w:t>1</w:t>
            </w:r>
          </w:p>
        </w:tc>
        <w:tc>
          <w:tcPr>
            <w:tcW w:w="1436" w:type="pct"/>
            <w:vAlign w:val="center"/>
          </w:tcPr>
          <w:p w14:paraId="3344F6FE">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戊类罐区二化学纯氢氟酸储罐泄漏引起的有毒有害气体扩散</w:t>
            </w:r>
            <w:r>
              <w:rPr>
                <w:rFonts w:hint="eastAsia" w:ascii="Times New Roman" w:hAnsi="Times New Roman" w:cs="Times New Roman"/>
                <w:color w:val="auto"/>
                <w:sz w:val="21"/>
                <w:lang w:eastAsia="zh-CN"/>
              </w:rPr>
              <w:t>至大气环境</w:t>
            </w:r>
          </w:p>
        </w:tc>
        <w:tc>
          <w:tcPr>
            <w:tcW w:w="901" w:type="pct"/>
            <w:vAlign w:val="center"/>
          </w:tcPr>
          <w:p w14:paraId="77C43155">
            <w:pPr>
              <w:jc w:val="center"/>
              <w:rPr>
                <w:rFonts w:ascii="Times New Roman" w:cs="Times New Roman"/>
                <w:color w:val="auto"/>
                <w:sz w:val="21"/>
                <w:lang w:eastAsia="zh-CN"/>
              </w:rPr>
            </w:pPr>
            <w:r>
              <w:rPr>
                <w:rFonts w:hint="eastAsia" w:ascii="Times New Roman" w:cs="Times New Roman"/>
                <w:color w:val="auto"/>
                <w:sz w:val="21"/>
                <w:lang w:eastAsia="zh-CN"/>
              </w:rPr>
              <w:t>氟化氢</w:t>
            </w:r>
          </w:p>
        </w:tc>
        <w:tc>
          <w:tcPr>
            <w:tcW w:w="1064" w:type="pct"/>
            <w:vAlign w:val="center"/>
          </w:tcPr>
          <w:p w14:paraId="3CA57986">
            <w:pPr>
              <w:jc w:val="center"/>
              <w:rPr>
                <w:rFonts w:ascii="Times New Roman" w:cs="Times New Roman"/>
                <w:color w:val="auto"/>
                <w:sz w:val="21"/>
                <w:lang w:eastAsia="zh-CN"/>
              </w:rPr>
            </w:pPr>
            <w:r>
              <w:rPr>
                <w:rFonts w:hint="eastAsia" w:ascii="Times New Roman" w:cs="Times New Roman"/>
                <w:color w:val="auto"/>
                <w:sz w:val="21"/>
                <w:lang w:eastAsia="zh-CN"/>
              </w:rPr>
              <w:t>36</w:t>
            </w:r>
          </w:p>
        </w:tc>
        <w:tc>
          <w:tcPr>
            <w:tcW w:w="1247" w:type="pct"/>
            <w:vAlign w:val="center"/>
          </w:tcPr>
          <w:p w14:paraId="3333D608">
            <w:pPr>
              <w:jc w:val="center"/>
              <w:rPr>
                <w:rFonts w:ascii="Times New Roman" w:cs="Times New Roman"/>
                <w:color w:val="auto"/>
                <w:sz w:val="21"/>
                <w:lang w:eastAsia="zh-CN"/>
              </w:rPr>
            </w:pPr>
            <w:r>
              <w:rPr>
                <w:rFonts w:hint="eastAsia" w:ascii="Times New Roman" w:cs="Times New Roman"/>
                <w:color w:val="auto"/>
                <w:sz w:val="21"/>
                <w:lang w:eastAsia="zh-CN"/>
              </w:rPr>
              <w:t>20</w:t>
            </w:r>
          </w:p>
        </w:tc>
      </w:tr>
      <w:tr w14:paraId="16D2C0EE">
        <w:tblPrEx>
          <w:tblBorders>
            <w:top w:val="single" w:color="auto" w:sz="12" w:space="0"/>
            <w:left w:val="none" w:color="auto" w:sz="0" w:space="0"/>
            <w:bottom w:val="single" w:color="auto" w:sz="12" w:space="0"/>
            <w:right w:val="none" w:color="auto" w:sz="0" w:space="0"/>
            <w:insideH w:val="single" w:color="auto" w:sz="2" w:space="0"/>
            <w:insideV w:val="single" w:color="auto" w:sz="6" w:space="0"/>
          </w:tblBorders>
          <w:tblCellMar>
            <w:top w:w="0" w:type="dxa"/>
            <w:left w:w="108" w:type="dxa"/>
            <w:bottom w:w="0" w:type="dxa"/>
            <w:right w:w="108" w:type="dxa"/>
          </w:tblCellMar>
        </w:tblPrEx>
        <w:trPr>
          <w:trHeight w:val="340" w:hRule="atLeast"/>
          <w:jc w:val="center"/>
        </w:trPr>
        <w:tc>
          <w:tcPr>
            <w:tcW w:w="351" w:type="pct"/>
            <w:vAlign w:val="center"/>
          </w:tcPr>
          <w:p w14:paraId="7B118369">
            <w:pPr>
              <w:jc w:val="center"/>
              <w:rPr>
                <w:rFonts w:ascii="Times New Roman" w:cs="Times New Roman"/>
                <w:color w:val="auto"/>
                <w:sz w:val="21"/>
                <w:lang w:eastAsia="zh-CN"/>
              </w:rPr>
            </w:pPr>
            <w:r>
              <w:rPr>
                <w:rFonts w:hint="eastAsia" w:ascii="Times New Roman" w:cs="Times New Roman"/>
                <w:color w:val="auto"/>
                <w:sz w:val="21"/>
                <w:lang w:eastAsia="zh-CN"/>
              </w:rPr>
              <w:t>2</w:t>
            </w:r>
          </w:p>
        </w:tc>
        <w:tc>
          <w:tcPr>
            <w:tcW w:w="1436" w:type="pct"/>
            <w:vAlign w:val="center"/>
          </w:tcPr>
          <w:p w14:paraId="69EB4BB4">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31%盐酸</w:t>
            </w:r>
            <w:r>
              <w:rPr>
                <w:rFonts w:ascii="Times New Roman" w:hAnsi="Times New Roman" w:cs="Times New Roman"/>
                <w:color w:val="auto"/>
                <w:sz w:val="21"/>
                <w:lang w:eastAsia="zh-CN"/>
              </w:rPr>
              <w:t>储罐泄漏引起的有毒有害气体扩散</w:t>
            </w:r>
            <w:r>
              <w:rPr>
                <w:rFonts w:hint="eastAsia" w:ascii="Times New Roman" w:hAnsi="Times New Roman" w:cs="Times New Roman"/>
                <w:color w:val="auto"/>
                <w:sz w:val="21"/>
                <w:lang w:eastAsia="zh-CN"/>
              </w:rPr>
              <w:t>至大气环境</w:t>
            </w:r>
          </w:p>
        </w:tc>
        <w:tc>
          <w:tcPr>
            <w:tcW w:w="901" w:type="pct"/>
            <w:vAlign w:val="center"/>
          </w:tcPr>
          <w:p w14:paraId="02C41C46">
            <w:pPr>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氯化氢</w:t>
            </w:r>
          </w:p>
        </w:tc>
        <w:tc>
          <w:tcPr>
            <w:tcW w:w="1064" w:type="pct"/>
            <w:vAlign w:val="center"/>
          </w:tcPr>
          <w:p w14:paraId="387D61C7">
            <w:pPr>
              <w:jc w:val="center"/>
              <w:rPr>
                <w:rFonts w:ascii="Times New Roman" w:cs="Times New Roman"/>
                <w:color w:val="auto"/>
                <w:sz w:val="21"/>
                <w:lang w:eastAsia="zh-CN"/>
              </w:rPr>
            </w:pPr>
            <w:r>
              <w:rPr>
                <w:rFonts w:hint="eastAsia" w:ascii="Times New Roman" w:cs="Times New Roman"/>
                <w:color w:val="auto"/>
                <w:sz w:val="21"/>
                <w:lang w:eastAsia="zh-CN"/>
              </w:rPr>
              <w:t>150</w:t>
            </w:r>
          </w:p>
        </w:tc>
        <w:tc>
          <w:tcPr>
            <w:tcW w:w="1247" w:type="pct"/>
            <w:vAlign w:val="center"/>
          </w:tcPr>
          <w:p w14:paraId="3D1CD98D">
            <w:pPr>
              <w:jc w:val="center"/>
              <w:rPr>
                <w:rFonts w:ascii="Times New Roman" w:cs="Times New Roman"/>
                <w:color w:val="auto"/>
                <w:sz w:val="21"/>
                <w:lang w:eastAsia="zh-CN"/>
              </w:rPr>
            </w:pPr>
            <w:r>
              <w:rPr>
                <w:rFonts w:hint="eastAsia" w:ascii="Times New Roman" w:cs="Times New Roman"/>
                <w:color w:val="auto"/>
                <w:sz w:val="21"/>
                <w:lang w:eastAsia="zh-CN"/>
              </w:rPr>
              <w:t>33</w:t>
            </w:r>
          </w:p>
        </w:tc>
      </w:tr>
    </w:tbl>
    <w:p w14:paraId="19DC5341">
      <w:pPr>
        <w:spacing w:line="360" w:lineRule="auto"/>
        <w:ind w:firstLine="482" w:firstLineChars="200"/>
        <w:rPr>
          <w:rFonts w:ascii="Times New Roman" w:hAnsi="Times New Roman" w:cs="Times New Roman"/>
          <w:b/>
          <w:color w:val="auto"/>
          <w:szCs w:val="24"/>
          <w:lang w:eastAsia="zh-CN"/>
        </w:rPr>
      </w:pPr>
      <w:r>
        <w:rPr>
          <w:rFonts w:hint="eastAsia" w:ascii="Times New Roman" w:hAnsi="Times New Roman" w:cs="Times New Roman"/>
          <w:b/>
          <w:color w:val="auto"/>
          <w:szCs w:val="24"/>
          <w:lang w:eastAsia="zh-CN"/>
        </w:rPr>
        <w:t>2</w:t>
      </w:r>
      <w:r>
        <w:rPr>
          <w:rFonts w:ascii="Times New Roman" w:hAnsi="Times New Roman" w:cs="Times New Roman"/>
          <w:b/>
          <w:color w:val="auto"/>
          <w:szCs w:val="24"/>
          <w:lang w:eastAsia="zh-CN"/>
        </w:rPr>
        <w:t>、地表水风险事故情形设定</w:t>
      </w:r>
    </w:p>
    <w:p w14:paraId="34729F6F">
      <w:pPr>
        <w:spacing w:line="360" w:lineRule="auto"/>
        <w:ind w:firstLine="480" w:firstLineChars="200"/>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（1）正常工况下</w:t>
      </w:r>
    </w:p>
    <w:p w14:paraId="2C5B2F5B">
      <w:pPr>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根据项目规划，本项目采取雨污分流，清污分流，项目废水主要为</w:t>
      </w:r>
      <w:r>
        <w:rPr>
          <w:rFonts w:hint="eastAsia" w:ascii="Times New Roman" w:hAnsi="Times New Roman" w:cs="Times New Roman"/>
          <w:bCs/>
          <w:color w:val="auto"/>
          <w:szCs w:val="24"/>
          <w:lang w:eastAsia="zh-CN"/>
        </w:rPr>
        <w:t>碱</w:t>
      </w:r>
      <w:r>
        <w:rPr>
          <w:rFonts w:ascii="Times New Roman" w:hAnsi="Times New Roman" w:cs="Times New Roman"/>
          <w:bCs/>
          <w:color w:val="auto"/>
          <w:szCs w:val="24"/>
          <w:lang w:eastAsia="zh-CN"/>
        </w:rPr>
        <w:t>喷淋塔置换废水、地面清洁废水、循环冷却置换废水、生活污水等</w:t>
      </w:r>
      <w:r>
        <w:rPr>
          <w:rFonts w:hint="eastAsia" w:ascii="Times New Roman" w:hAnsi="Times New Roman" w:cs="Times New Roman"/>
          <w:bCs/>
          <w:color w:val="auto"/>
          <w:szCs w:val="24"/>
          <w:lang w:eastAsia="zh-CN"/>
        </w:rPr>
        <w:t>。</w:t>
      </w:r>
      <w:r>
        <w:rPr>
          <w:rFonts w:hint="eastAsia" w:ascii="Times New Roman" w:hAnsi="Times New Roman" w:eastAsia="新宋体" w:cs="Times New Roman"/>
          <w:color w:val="auto"/>
          <w:szCs w:val="24"/>
          <w:lang w:eastAsia="zh-CN"/>
        </w:rPr>
        <w:t>碱</w:t>
      </w:r>
      <w:r>
        <w:rPr>
          <w:rFonts w:ascii="Times New Roman" w:hAnsi="Times New Roman" w:eastAsia="新宋体" w:cs="Times New Roman"/>
          <w:color w:val="auto"/>
          <w:szCs w:val="24"/>
          <w:lang w:eastAsia="zh-CN"/>
        </w:rPr>
        <w:t>喷淋塔置换废水、</w:t>
      </w:r>
      <w:r>
        <w:rPr>
          <w:rFonts w:ascii="Times New Roman" w:hAnsi="Times New Roman" w:cs="Times New Roman"/>
          <w:color w:val="auto"/>
          <w:lang w:eastAsia="zh-CN"/>
        </w:rPr>
        <w:t>地面清洁废水</w:t>
      </w:r>
      <w:r>
        <w:rPr>
          <w:rFonts w:hint="eastAsia" w:ascii="Times New Roman" w:hAnsi="Times New Roman" w:cs="Times New Roman"/>
          <w:color w:val="auto"/>
          <w:lang w:eastAsia="zh-CN"/>
        </w:rPr>
        <w:t>依托现有厂区</w:t>
      </w:r>
      <w:r>
        <w:rPr>
          <w:rFonts w:ascii="Times New Roman" w:hAnsi="Times New Roman" w:cs="Times New Roman"/>
          <w:color w:val="auto"/>
          <w:lang w:eastAsia="zh-CN"/>
        </w:rPr>
        <w:t>污水处理站</w:t>
      </w:r>
      <w:r>
        <w:rPr>
          <w:rFonts w:hint="eastAsia" w:ascii="Times New Roman" w:hAnsi="Times New Roman" w:cs="Times New Roman"/>
          <w:color w:val="auto"/>
          <w:lang w:eastAsia="zh-CN"/>
        </w:rPr>
        <w:t>“</w:t>
      </w:r>
      <w:r>
        <w:rPr>
          <w:rFonts w:ascii="Times New Roman" w:hAnsi="Times New Roman" w:cs="Times New Roman"/>
          <w:color w:val="auto"/>
          <w:lang w:eastAsia="zh-CN"/>
        </w:rPr>
        <w:t>四级除氟反应+四级除氟沉淀</w:t>
      </w:r>
      <w:r>
        <w:rPr>
          <w:rFonts w:hint="eastAsia" w:ascii="Times New Roman" w:hAnsi="Times New Roman" w:cs="Times New Roman"/>
          <w:color w:val="auto"/>
          <w:lang w:eastAsia="zh-CN"/>
        </w:rPr>
        <w:t>”</w:t>
      </w:r>
      <w:r>
        <w:rPr>
          <w:rFonts w:ascii="Times New Roman" w:hAnsi="Times New Roman" w:cs="Times New Roman"/>
          <w:color w:val="auto"/>
          <w:lang w:eastAsia="zh-CN"/>
        </w:rPr>
        <w:t>处理后，</w:t>
      </w:r>
      <w:r>
        <w:rPr>
          <w:rFonts w:hint="eastAsia" w:ascii="Times New Roman" w:hAnsi="Times New Roman" w:cs="Times New Roman"/>
          <w:color w:val="auto"/>
          <w:lang w:eastAsia="zh-CN"/>
        </w:rPr>
        <w:t>与</w:t>
      </w:r>
      <w:r>
        <w:rPr>
          <w:rFonts w:ascii="Times New Roman" w:hAnsi="Times New Roman" w:eastAsia="新宋体" w:cs="Times New Roman"/>
          <w:color w:val="auto"/>
          <w:szCs w:val="24"/>
          <w:lang w:eastAsia="zh-CN"/>
        </w:rPr>
        <w:t>循环冷却置换废水</w:t>
      </w:r>
      <w:r>
        <w:rPr>
          <w:rFonts w:hint="eastAsia" w:ascii="Times New Roman" w:hAnsi="Times New Roman" w:eastAsia="新宋体" w:cs="Times New Roman"/>
          <w:color w:val="auto"/>
          <w:szCs w:val="24"/>
          <w:lang w:eastAsia="zh-CN"/>
        </w:rPr>
        <w:t>、生活污水一同</w:t>
      </w:r>
      <w:r>
        <w:rPr>
          <w:rFonts w:ascii="Times New Roman" w:hAnsi="Times New Roman" w:cs="Times New Roman"/>
          <w:color w:val="auto"/>
          <w:lang w:eastAsia="zh-CN"/>
        </w:rPr>
        <w:t>排入园区污水管网，进入沫河口污水处理厂处理</w:t>
      </w:r>
      <w:r>
        <w:rPr>
          <w:rFonts w:hint="eastAsia" w:ascii="Times New Roman" w:hAnsi="Times New Roman" w:cs="Times New Roman"/>
          <w:color w:val="auto"/>
          <w:lang w:eastAsia="zh-CN"/>
        </w:rPr>
        <w:t>，</w:t>
      </w:r>
      <w:r>
        <w:rPr>
          <w:rFonts w:ascii="Times New Roman" w:hAnsi="Times New Roman" w:cs="Times New Roman"/>
          <w:color w:val="auto"/>
          <w:lang w:eastAsia="zh-CN"/>
        </w:rPr>
        <w:t>沫河口污水处理厂尾水达到《城镇污水处理厂污染物排放标准》（GB18918-2002）中一级 A 标准后，排入</w:t>
      </w:r>
      <w:r>
        <w:rPr>
          <w:rFonts w:ascii="Times New Roman" w:hAnsi="Times New Roman" w:cs="Times New Roman"/>
          <w:color w:val="auto"/>
          <w:szCs w:val="24"/>
          <w:lang w:eastAsia="zh-CN"/>
        </w:rPr>
        <w:t>三铺大沟</w:t>
      </w:r>
      <w:r>
        <w:rPr>
          <w:rFonts w:ascii="Times New Roman" w:hAnsi="Times New Roman" w:cs="Times New Roman"/>
          <w:color w:val="auto"/>
          <w:lang w:eastAsia="zh-CN"/>
        </w:rPr>
        <w:t>，最终汇入淮河</w:t>
      </w:r>
      <w:r>
        <w:rPr>
          <w:rFonts w:ascii="Times New Roman" w:hAnsi="Times New Roman" w:cs="Times New Roman"/>
          <w:bCs/>
          <w:color w:val="auto"/>
          <w:szCs w:val="24"/>
          <w:lang w:eastAsia="zh-CN"/>
        </w:rPr>
        <w:t>。</w:t>
      </w:r>
    </w:p>
    <w:p w14:paraId="41347B38">
      <w:pPr>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本项目污水量不大，总量贡献值小，不会降低项目所在区域现有水环境功能。</w:t>
      </w:r>
    </w:p>
    <w:p w14:paraId="1567DFEC">
      <w:pPr>
        <w:widowControl w:val="0"/>
        <w:spacing w:line="360" w:lineRule="auto"/>
        <w:ind w:left="482"/>
        <w:jc w:val="both"/>
        <w:rPr>
          <w:rFonts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（2）</w:t>
      </w:r>
      <w:r>
        <w:rPr>
          <w:rFonts w:ascii="Times New Roman" w:hAnsi="Times New Roman" w:cs="Times New Roman"/>
          <w:bCs/>
          <w:color w:val="auto"/>
          <w:szCs w:val="24"/>
          <w:lang w:eastAsia="zh-CN"/>
        </w:rPr>
        <w:t>事故状态下</w:t>
      </w:r>
    </w:p>
    <w:p w14:paraId="32E9D115">
      <w:pPr>
        <w:widowControl w:val="0"/>
        <w:spacing w:line="360" w:lineRule="auto"/>
        <w:ind w:firstLine="472" w:firstLineChars="200"/>
        <w:jc w:val="both"/>
        <w:rPr>
          <w:rFonts w:ascii="Times New Roman" w:hAnsi="Times New Roman" w:cs="Times New Roman"/>
          <w:snapToGrid/>
          <w:color w:val="auto"/>
          <w:spacing w:val="-2"/>
          <w:szCs w:val="24"/>
          <w:lang w:eastAsia="zh-CN"/>
        </w:rPr>
      </w:pPr>
      <w:r>
        <w:rPr>
          <w:rFonts w:hint="eastAsia" w:ascii="Times New Roman" w:hAnsi="Times New Roman" w:cs="Times New Roman"/>
          <w:snapToGrid/>
          <w:color w:val="auto"/>
          <w:spacing w:val="-2"/>
          <w:szCs w:val="24"/>
          <w:lang w:eastAsia="zh-CN"/>
        </w:rPr>
        <w:t>综合车间发生火灾，</w:t>
      </w:r>
      <w:r>
        <w:rPr>
          <w:rFonts w:ascii="Times New Roman" w:hAnsi="Times New Roman" w:cs="Times New Roman"/>
          <w:snapToGrid/>
          <w:color w:val="auto"/>
          <w:spacing w:val="-2"/>
          <w:szCs w:val="24"/>
          <w:lang w:eastAsia="zh-CN"/>
        </w:rPr>
        <w:t>会产生大量的消防废水，</w:t>
      </w:r>
      <w:r>
        <w:rPr>
          <w:rFonts w:hint="eastAsia" w:ascii="Times New Roman" w:hAnsi="Times New Roman" w:cs="Times New Roman"/>
          <w:snapToGrid/>
          <w:color w:val="auto"/>
          <w:spacing w:val="-2"/>
          <w:szCs w:val="24"/>
          <w:lang w:eastAsia="zh-CN"/>
        </w:rPr>
        <w:t>同时综合车间调配器内物料发生泄漏，氟化氢随混入消防废水中，</w:t>
      </w:r>
      <w:r>
        <w:rPr>
          <w:rFonts w:ascii="Times New Roman" w:hAnsi="Times New Roman" w:cs="Times New Roman"/>
          <w:bCs/>
          <w:snapToGrid/>
          <w:color w:val="auto"/>
          <w:spacing w:val="-2"/>
          <w:szCs w:val="24"/>
          <w:lang w:eastAsia="zh-CN"/>
        </w:rPr>
        <w:t>雨水排放截止阀切换不及时，导致消防废水通过雨水管网流入地表水体。本次评价考虑最不利情况下，淮河枯水期时，消防废水对淮河水质影响</w:t>
      </w:r>
      <w:r>
        <w:rPr>
          <w:rFonts w:hint="eastAsia" w:ascii="Times New Roman" w:hAnsi="Times New Roman" w:cs="Times New Roman"/>
          <w:bCs/>
          <w:snapToGrid/>
          <w:color w:val="auto"/>
          <w:spacing w:val="-2"/>
          <w:szCs w:val="24"/>
          <w:lang w:eastAsia="zh-CN"/>
        </w:rPr>
        <w:t>。</w:t>
      </w:r>
    </w:p>
    <w:p w14:paraId="2BE21708">
      <w:pPr>
        <w:spacing w:line="360" w:lineRule="auto"/>
        <w:ind w:left="482"/>
        <w:rPr>
          <w:rFonts w:ascii="Times New Roman" w:hAnsi="Times New Roman" w:cs="Times New Roman"/>
          <w:b/>
          <w:color w:val="auto"/>
          <w:szCs w:val="24"/>
          <w:lang w:eastAsia="zh-CN"/>
        </w:rPr>
      </w:pPr>
      <w:r>
        <w:rPr>
          <w:rFonts w:hint="eastAsia" w:ascii="Times New Roman" w:hAnsi="Times New Roman" w:cs="Times New Roman"/>
          <w:b/>
          <w:color w:val="auto"/>
          <w:szCs w:val="24"/>
          <w:lang w:eastAsia="zh-CN"/>
        </w:rPr>
        <w:t>3、</w:t>
      </w:r>
      <w:r>
        <w:rPr>
          <w:rFonts w:ascii="Times New Roman" w:hAnsi="Times New Roman" w:cs="Times New Roman"/>
          <w:b/>
          <w:color w:val="auto"/>
          <w:szCs w:val="24"/>
          <w:lang w:eastAsia="zh-CN"/>
        </w:rPr>
        <w:t>地下水风险事故情形分析</w:t>
      </w:r>
    </w:p>
    <w:p w14:paraId="1B9A5970">
      <w:pPr>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本项目对</w:t>
      </w:r>
      <w:r>
        <w:rPr>
          <w:rFonts w:hint="eastAsia" w:ascii="Times New Roman" w:hAnsi="Times New Roman" w:cs="Times New Roman"/>
          <w:bCs/>
          <w:color w:val="auto"/>
          <w:szCs w:val="24"/>
          <w:lang w:eastAsia="zh-CN"/>
        </w:rPr>
        <w:t>无水氟化氢库房、原料及产品罐区、戊类罐区二及</w:t>
      </w:r>
      <w:r>
        <w:rPr>
          <w:rFonts w:ascii="Times New Roman" w:hAnsi="Times New Roman" w:cs="Times New Roman"/>
          <w:bCs/>
          <w:color w:val="auto"/>
          <w:szCs w:val="24"/>
          <w:lang w:eastAsia="zh-CN"/>
        </w:rPr>
        <w:t>污水处理站等单元采取分区防渗措施，严防污染物泄漏事故发生地下水污染事件。本项目考虑</w:t>
      </w:r>
      <w:r>
        <w:rPr>
          <w:rFonts w:hint="eastAsia" w:ascii="Times New Roman" w:hAnsi="Times New Roman" w:cs="Times New Roman"/>
          <w:bCs/>
          <w:color w:val="auto"/>
          <w:szCs w:val="24"/>
          <w:lang w:eastAsia="zh-CN"/>
        </w:rPr>
        <w:t>无水氟化氢储罐、</w:t>
      </w:r>
      <w:r>
        <w:rPr>
          <w:rFonts w:hint="eastAsia" w:ascii="Times New Roman" w:hAnsi="Times New Roman" w:cs="Times New Roman"/>
          <w:snapToGrid/>
          <w:color w:val="000000" w:themeColor="text1"/>
          <w:spacing w:val="-2"/>
          <w:szCs w:val="20"/>
          <w:lang w:eastAsia="zh-CN"/>
          <w14:textFill>
            <w14:solidFill>
              <w14:schemeClr w14:val="tx1"/>
            </w14:solidFill>
          </w14:textFill>
        </w:rPr>
        <w:t>二级水喷淋塔吸收的氟化氢水溶液暂存罐</w:t>
      </w:r>
      <w:r>
        <w:rPr>
          <w:rFonts w:ascii="Times New Roman" w:hAnsi="Times New Roman" w:cs="Times New Roman"/>
          <w:bCs/>
          <w:color w:val="auto"/>
          <w:szCs w:val="24"/>
          <w:lang w:eastAsia="zh-CN"/>
        </w:rPr>
        <w:t>破裂导致泄漏，渗入地下水环境，在非正常工况条件下污染物发生泄漏会对周边含水层水质造成一定的影响，其影响范围有限，预测情景及影响见</w:t>
      </w:r>
      <w:r>
        <w:rPr>
          <w:rFonts w:hint="eastAsia" w:ascii="Times New Roman" w:hAnsi="Times New Roman" w:cs="Times New Roman"/>
          <w:bCs/>
          <w:color w:val="auto"/>
          <w:szCs w:val="24"/>
          <w:lang w:eastAsia="zh-CN"/>
        </w:rPr>
        <w:t>“地下水影响分析章节”</w:t>
      </w:r>
      <w:r>
        <w:rPr>
          <w:rFonts w:ascii="Times New Roman" w:hAnsi="Times New Roman" w:cs="Times New Roman"/>
          <w:bCs/>
          <w:color w:val="auto"/>
          <w:szCs w:val="24"/>
          <w:lang w:eastAsia="zh-CN"/>
        </w:rPr>
        <w:t>。因此，生产过程中应严格做好地下水防渗措施，严防污染物泄漏事故发生地下水污染事件。</w:t>
      </w:r>
    </w:p>
    <w:p w14:paraId="0B65D4C3">
      <w:pPr>
        <w:widowControl w:val="0"/>
        <w:spacing w:line="360" w:lineRule="auto"/>
        <w:ind w:firstLine="482"/>
        <w:outlineLvl w:val="2"/>
        <w:rPr>
          <w:rFonts w:ascii="Times New Roman" w:hAnsi="Times New Roman" w:cs="Times New Roman"/>
          <w:b/>
          <w:color w:val="auto"/>
          <w:szCs w:val="24"/>
          <w:lang w:eastAsia="zh-CN"/>
        </w:rPr>
      </w:pPr>
      <w:bookmarkStart w:id="2039" w:name="_Toc172555730"/>
      <w:bookmarkStart w:id="2040" w:name="_Toc204515285"/>
      <w:bookmarkStart w:id="2041" w:name="_Toc223425143"/>
      <w:bookmarkStart w:id="2042" w:name="_Toc178602434"/>
      <w:bookmarkStart w:id="2043" w:name="_Toc176513093"/>
      <w:bookmarkStart w:id="2044" w:name="_Toc5958"/>
      <w:bookmarkStart w:id="2045" w:name="_Toc173743466"/>
      <w:bookmarkStart w:id="2046" w:name="_Toc237508379"/>
      <w:bookmarkStart w:id="2047" w:name="_Toc236641914"/>
      <w:bookmarkStart w:id="2048" w:name="_Toc221900925"/>
      <w:bookmarkStart w:id="2049" w:name="_Toc218784368"/>
      <w:bookmarkStart w:id="2050" w:name="_Toc175164357"/>
      <w:bookmarkStart w:id="2051" w:name="_Toc217662756"/>
      <w:bookmarkStart w:id="2052" w:name="_Toc225784145"/>
      <w:bookmarkStart w:id="2053" w:name="_Toc231828666"/>
      <w:bookmarkStart w:id="2054" w:name="_Toc204448550"/>
      <w:bookmarkStart w:id="2055" w:name="_Toc203927086"/>
      <w:bookmarkStart w:id="2056" w:name="_Toc173740362"/>
      <w:bookmarkStart w:id="2057" w:name="_Toc224674783"/>
      <w:r>
        <w:rPr>
          <w:rFonts w:ascii="Times New Roman" w:hAnsi="Times New Roman" w:cs="Times New Roman"/>
          <w:b/>
          <w:color w:val="auto"/>
          <w:szCs w:val="24"/>
          <w:lang w:eastAsia="zh-CN"/>
        </w:rPr>
        <w:t>7.</w:t>
      </w:r>
      <w:r>
        <w:rPr>
          <w:rFonts w:hint="eastAsia" w:ascii="Times New Roman" w:hAnsi="Times New Roman" w:cs="Times New Roman"/>
          <w:b/>
          <w:color w:val="auto"/>
          <w:szCs w:val="24"/>
          <w:lang w:eastAsia="zh-CN"/>
        </w:rPr>
        <w:t>7</w:t>
      </w:r>
      <w:r>
        <w:rPr>
          <w:rFonts w:ascii="Times New Roman" w:hAnsi="Times New Roman" w:cs="Times New Roman"/>
          <w:b/>
          <w:color w:val="auto"/>
          <w:szCs w:val="24"/>
          <w:lang w:eastAsia="zh-CN"/>
        </w:rPr>
        <w:t>.3 源项分析</w:t>
      </w:r>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p>
    <w:p w14:paraId="7B6A0F55">
      <w:pPr>
        <w:pStyle w:val="84"/>
        <w:numPr>
          <w:ilvl w:val="3"/>
          <w:numId w:val="13"/>
        </w:numPr>
        <w:spacing w:line="360" w:lineRule="auto"/>
        <w:ind w:firstLineChars="0"/>
        <w:jc w:val="both"/>
        <w:outlineLvl w:val="3"/>
        <w:rPr>
          <w:rFonts w:ascii="Times New Roman" w:hAnsi="Times New Roman" w:cs="Times New Roman"/>
          <w:b/>
          <w:bCs/>
          <w:color w:val="auto"/>
          <w:szCs w:val="24"/>
          <w:lang w:eastAsia="zh-CN"/>
        </w:rPr>
      </w:pPr>
      <w:bookmarkStart w:id="2058" w:name="_Toc484"/>
      <w:r>
        <w:rPr>
          <w:rFonts w:hint="eastAsia" w:ascii="Times New Roman" w:hAnsi="Times New Roman" w:cs="Times New Roman"/>
          <w:b/>
          <w:bCs/>
          <w:color w:val="auto"/>
          <w:szCs w:val="24"/>
          <w:lang w:eastAsia="zh-CN"/>
        </w:rPr>
        <w:t>泄漏计算公式</w:t>
      </w:r>
    </w:p>
    <w:p w14:paraId="0D68D4BB">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根据《建设项目环境风险评价技术导则》（HJ169-2018）中相关要求，项目事故源强计算公式分述如下：</w:t>
      </w:r>
    </w:p>
    <w:p w14:paraId="16802B28">
      <w:pPr>
        <w:spacing w:line="360" w:lineRule="auto"/>
        <w:ind w:firstLine="480" w:firstLineChars="200"/>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（1）</w:t>
      </w:r>
      <w:r>
        <w:rPr>
          <w:rFonts w:ascii="Times New Roman" w:hAnsi="Times New Roman" w:cs="Times New Roman"/>
          <w:color w:val="auto"/>
          <w:szCs w:val="24"/>
          <w:lang w:eastAsia="zh-CN"/>
        </w:rPr>
        <w:t>液体泄漏公式</w:t>
      </w:r>
    </w:p>
    <w:p w14:paraId="4E0459B3">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液体泄漏速率QL采用伯努利方程（限制条件为液体在喷口不应有急骤蒸发）</w:t>
      </w:r>
    </w:p>
    <w:p w14:paraId="17F21367">
      <w:pPr>
        <w:spacing w:line="360" w:lineRule="auto"/>
        <w:jc w:val="center"/>
        <w:rPr>
          <w:rFonts w:ascii="Times New Roman" w:hAnsi="Times New Roman" w:cs="Times New Roman"/>
          <w:color w:val="0000FF"/>
          <w:szCs w:val="24"/>
          <w:lang w:eastAsia="zh-CN"/>
        </w:rPr>
      </w:pPr>
      <w:r>
        <w:rPr>
          <w:rFonts w:ascii="Times New Roman" w:hAnsi="Times New Roman" w:cs="Times New Roman"/>
          <w:color w:val="0000FF"/>
          <w:szCs w:val="24"/>
          <w:lang w:eastAsia="zh-CN"/>
        </w:rPr>
        <w:object>
          <v:shape id="_x0000_i1030" o:spt="75" type="#_x0000_t75" style="height:48.9pt;width:186.8pt;" o:ole="t" filled="f" coordsize="21600,21600">
            <v:path/>
            <v:fill on="f" focussize="0,0"/>
            <v:stroke/>
            <v:imagedata r:id="rId109" o:title=""/>
            <o:lock v:ext="edit" aspectratio="t"/>
            <w10:wrap type="none"/>
            <w10:anchorlock/>
          </v:shape>
          <o:OLEObject Type="Embed" ProgID="Equation.3" ShapeID="_x0000_i1030" DrawAspect="Content" ObjectID="_1468075730" r:id="rId108">
            <o:LockedField>false</o:LockedField>
          </o:OLEObject>
        </w:object>
      </w:r>
    </w:p>
    <w:p w14:paraId="3CDF150F">
      <w:pPr>
        <w:spacing w:line="360" w:lineRule="auto"/>
        <w:ind w:firstLine="480" w:firstLineChars="200"/>
        <w:rPr>
          <w:rFonts w:ascii="Times New Roman" w:hAnsi="Times New Roman" w:cs="Times New Roman"/>
          <w:szCs w:val="24"/>
          <w:lang w:eastAsia="zh-CN"/>
        </w:rPr>
      </w:pPr>
      <w:r>
        <w:rPr>
          <w:rFonts w:ascii="Times New Roman" w:hAnsi="Times New Roman" w:cs="Times New Roman"/>
          <w:szCs w:val="24"/>
          <w:lang w:eastAsia="zh-CN"/>
        </w:rPr>
        <w:t>式中，QL</w:t>
      </w:r>
      <w:r>
        <w:rPr>
          <w:rFonts w:hint="eastAsia" w:ascii="Times New Roman" w:hAnsi="Times New Roman" w:cs="Times New Roman"/>
          <w:szCs w:val="24"/>
          <w:lang w:eastAsia="zh-CN"/>
        </w:rPr>
        <w:t>——</w:t>
      </w:r>
      <w:r>
        <w:rPr>
          <w:rFonts w:ascii="Times New Roman" w:hAnsi="Times New Roman" w:cs="Times New Roman"/>
          <w:szCs w:val="24"/>
          <w:lang w:eastAsia="zh-CN"/>
        </w:rPr>
        <w:t>液体泄漏速率，kg/s；</w:t>
      </w:r>
    </w:p>
    <w:p w14:paraId="5537B498">
      <w:pPr>
        <w:spacing w:line="360" w:lineRule="auto"/>
        <w:ind w:firstLine="1200" w:firstLineChars="500"/>
        <w:rPr>
          <w:rFonts w:ascii="Times New Roman" w:hAnsi="Times New Roman" w:cs="Times New Roman"/>
          <w:szCs w:val="24"/>
          <w:lang w:eastAsia="zh-CN"/>
        </w:rPr>
      </w:pPr>
      <w:r>
        <w:rPr>
          <w:rFonts w:ascii="Times New Roman" w:hAnsi="Times New Roman" w:cs="Times New Roman"/>
          <w:szCs w:val="24"/>
          <w:lang w:eastAsia="zh-CN"/>
        </w:rPr>
        <w:t>Ar</w:t>
      </w:r>
      <w:r>
        <w:rPr>
          <w:rFonts w:hint="eastAsia" w:ascii="Times New Roman" w:hAnsi="Times New Roman" w:cs="Times New Roman"/>
          <w:szCs w:val="24"/>
          <w:lang w:eastAsia="zh-CN"/>
        </w:rPr>
        <w:t>——</w:t>
      </w:r>
      <w:r>
        <w:rPr>
          <w:rFonts w:ascii="Times New Roman" w:hAnsi="Times New Roman" w:cs="Times New Roman"/>
          <w:szCs w:val="24"/>
          <w:lang w:eastAsia="zh-CN"/>
        </w:rPr>
        <w:t>裂口面积，m</w:t>
      </w:r>
      <w:r>
        <w:rPr>
          <w:rFonts w:ascii="Times New Roman" w:hAnsi="Times New Roman" w:cs="Times New Roman"/>
          <w:szCs w:val="24"/>
          <w:vertAlign w:val="superscript"/>
          <w:lang w:eastAsia="zh-CN"/>
        </w:rPr>
        <w:t>2</w:t>
      </w:r>
      <w:r>
        <w:rPr>
          <w:rFonts w:ascii="Times New Roman" w:hAnsi="Times New Roman" w:cs="Times New Roman"/>
          <w:szCs w:val="24"/>
          <w:lang w:eastAsia="zh-CN"/>
        </w:rPr>
        <w:t>；</w:t>
      </w:r>
    </w:p>
    <w:p w14:paraId="55180462">
      <w:pPr>
        <w:spacing w:line="360" w:lineRule="auto"/>
        <w:ind w:firstLine="1200" w:firstLineChars="500"/>
        <w:rPr>
          <w:rFonts w:ascii="Times New Roman" w:hAnsi="Times New Roman" w:cs="Times New Roman"/>
          <w:szCs w:val="24"/>
          <w:lang w:eastAsia="zh-CN"/>
        </w:rPr>
      </w:pPr>
      <w:r>
        <w:rPr>
          <w:rFonts w:ascii="Times New Roman" w:hAnsi="Times New Roman" w:cs="Times New Roman"/>
          <w:szCs w:val="24"/>
          <w:lang w:eastAsia="zh-CN"/>
        </w:rPr>
        <w:t>Cd</w:t>
      </w:r>
      <w:r>
        <w:rPr>
          <w:rFonts w:hint="eastAsia" w:ascii="Times New Roman" w:hAnsi="Times New Roman" w:cs="Times New Roman"/>
          <w:szCs w:val="24"/>
          <w:lang w:eastAsia="zh-CN"/>
        </w:rPr>
        <w:t>——</w:t>
      </w:r>
      <w:r>
        <w:rPr>
          <w:rFonts w:ascii="Times New Roman" w:hAnsi="Times New Roman" w:cs="Times New Roman"/>
          <w:szCs w:val="24"/>
          <w:lang w:eastAsia="zh-CN"/>
        </w:rPr>
        <w:t>液体泄漏系数，按表</w:t>
      </w:r>
      <w:r>
        <w:rPr>
          <w:rFonts w:hint="eastAsia" w:ascii="Times New Roman" w:hAnsi="Times New Roman" w:cs="Times New Roman"/>
          <w:szCs w:val="24"/>
          <w:lang w:eastAsia="zh-CN"/>
        </w:rPr>
        <w:t>7</w:t>
      </w:r>
      <w:r>
        <w:rPr>
          <w:rFonts w:ascii="Times New Roman" w:hAnsi="Times New Roman" w:cs="Times New Roman"/>
          <w:szCs w:val="24"/>
          <w:lang w:eastAsia="zh-CN"/>
        </w:rPr>
        <w:t>.</w:t>
      </w:r>
      <w:r>
        <w:rPr>
          <w:rFonts w:hint="eastAsia" w:ascii="Times New Roman" w:hAnsi="Times New Roman" w:cs="Times New Roman"/>
          <w:szCs w:val="24"/>
          <w:lang w:eastAsia="zh-CN"/>
        </w:rPr>
        <w:t>7</w:t>
      </w:r>
      <w:r>
        <w:rPr>
          <w:rFonts w:ascii="Times New Roman" w:hAnsi="Times New Roman" w:cs="Times New Roman"/>
          <w:szCs w:val="24"/>
          <w:lang w:eastAsia="zh-CN"/>
        </w:rPr>
        <w:t>-</w:t>
      </w:r>
      <w:r>
        <w:rPr>
          <w:rFonts w:hint="eastAsia" w:ascii="Times New Roman" w:hAnsi="Times New Roman" w:cs="Times New Roman"/>
          <w:szCs w:val="24"/>
          <w:lang w:eastAsia="zh-CN"/>
        </w:rPr>
        <w:t>3</w:t>
      </w:r>
      <w:r>
        <w:rPr>
          <w:rFonts w:ascii="Times New Roman" w:hAnsi="Times New Roman" w:cs="Times New Roman"/>
          <w:szCs w:val="24"/>
          <w:lang w:eastAsia="zh-CN"/>
        </w:rPr>
        <w:t>选取；类比同类型报告，储罐破裂Re一般远大于100，考虑裂口形状为圆形，Cd取值0.65。</w:t>
      </w:r>
    </w:p>
    <w:p w14:paraId="156D034A">
      <w:pPr>
        <w:spacing w:line="360" w:lineRule="auto"/>
        <w:ind w:firstLine="1200" w:firstLineChars="500"/>
        <w:rPr>
          <w:rFonts w:ascii="Times New Roman" w:hAnsi="Times New Roman" w:cs="Times New Roman"/>
          <w:szCs w:val="24"/>
          <w:lang w:eastAsia="zh-CN"/>
        </w:rPr>
      </w:pPr>
      <w:r>
        <w:rPr>
          <w:rFonts w:ascii="Times New Roman" w:hAnsi="Times New Roman" w:cs="Times New Roman"/>
          <w:szCs w:val="24"/>
          <w:lang w:eastAsia="zh-CN"/>
        </w:rPr>
        <w:t>P</w:t>
      </w:r>
      <w:r>
        <w:rPr>
          <w:rFonts w:ascii="Times New Roman" w:hAnsi="Times New Roman" w:cs="Times New Roman"/>
          <w:szCs w:val="24"/>
          <w:vertAlign w:val="subscript"/>
          <w:lang w:eastAsia="zh-CN"/>
        </w:rPr>
        <w:t>1</w:t>
      </w:r>
      <w:r>
        <w:rPr>
          <w:rFonts w:hint="eastAsia" w:ascii="Times New Roman" w:hAnsi="Times New Roman" w:cs="Times New Roman"/>
          <w:szCs w:val="24"/>
          <w:lang w:eastAsia="zh-CN"/>
        </w:rPr>
        <w:t>——</w:t>
      </w:r>
      <w:r>
        <w:rPr>
          <w:rFonts w:ascii="Times New Roman" w:hAnsi="Times New Roman" w:cs="Times New Roman"/>
          <w:szCs w:val="24"/>
          <w:lang w:eastAsia="zh-CN"/>
        </w:rPr>
        <w:t>容器内介质压力，Pa；</w:t>
      </w:r>
    </w:p>
    <w:p w14:paraId="1223DFA3">
      <w:pPr>
        <w:spacing w:line="360" w:lineRule="auto"/>
        <w:ind w:firstLine="1200" w:firstLineChars="500"/>
        <w:rPr>
          <w:rFonts w:ascii="Times New Roman" w:hAnsi="Times New Roman" w:cs="Times New Roman"/>
          <w:szCs w:val="24"/>
          <w:lang w:eastAsia="zh-CN"/>
        </w:rPr>
      </w:pPr>
      <w:r>
        <w:rPr>
          <w:rFonts w:ascii="Times New Roman" w:hAnsi="Times New Roman" w:cs="Times New Roman"/>
          <w:szCs w:val="24"/>
          <w:lang w:eastAsia="zh-CN"/>
        </w:rPr>
        <w:t>Pa</w:t>
      </w:r>
      <w:r>
        <w:rPr>
          <w:rFonts w:hint="eastAsia" w:ascii="Times New Roman" w:hAnsi="Times New Roman" w:cs="Times New Roman"/>
          <w:szCs w:val="24"/>
          <w:lang w:eastAsia="zh-CN"/>
        </w:rPr>
        <w:t>——</w:t>
      </w:r>
      <w:r>
        <w:rPr>
          <w:rFonts w:ascii="Times New Roman" w:hAnsi="Times New Roman" w:cs="Times New Roman"/>
          <w:szCs w:val="24"/>
          <w:lang w:eastAsia="zh-CN"/>
        </w:rPr>
        <w:t xml:space="preserve">环境压力，Pa； </w:t>
      </w:r>
    </w:p>
    <w:p w14:paraId="05473B12">
      <w:pPr>
        <w:spacing w:line="360" w:lineRule="auto"/>
        <w:ind w:firstLine="1200" w:firstLineChars="500"/>
        <w:rPr>
          <w:rFonts w:ascii="Times New Roman" w:hAnsi="Times New Roman" w:cs="Times New Roman"/>
          <w:szCs w:val="24"/>
          <w:lang w:eastAsia="zh-CN"/>
        </w:rPr>
      </w:pPr>
      <w:r>
        <w:rPr>
          <w:rFonts w:ascii="Times New Roman" w:hAnsi="Times New Roman" w:cs="Times New Roman"/>
          <w:szCs w:val="24"/>
          <w:lang w:eastAsia="zh-CN"/>
        </w:rPr>
        <w:t>ρ</w:t>
      </w:r>
      <w:r>
        <w:rPr>
          <w:rFonts w:hint="eastAsia" w:ascii="Times New Roman" w:hAnsi="Times New Roman" w:cs="Times New Roman"/>
          <w:szCs w:val="24"/>
          <w:lang w:eastAsia="zh-CN"/>
        </w:rPr>
        <w:t>——</w:t>
      </w:r>
      <w:r>
        <w:rPr>
          <w:rFonts w:ascii="Times New Roman" w:hAnsi="Times New Roman" w:cs="Times New Roman"/>
          <w:szCs w:val="24"/>
          <w:lang w:eastAsia="zh-CN"/>
        </w:rPr>
        <w:t>泄漏液体密度，kg/m</w:t>
      </w:r>
      <w:r>
        <w:rPr>
          <w:rFonts w:ascii="Times New Roman" w:hAnsi="Times New Roman" w:cs="Times New Roman"/>
          <w:szCs w:val="24"/>
          <w:vertAlign w:val="superscript"/>
          <w:lang w:eastAsia="zh-CN"/>
        </w:rPr>
        <w:t>3</w:t>
      </w:r>
      <w:r>
        <w:rPr>
          <w:rFonts w:ascii="Times New Roman" w:hAnsi="Times New Roman" w:cs="Times New Roman"/>
          <w:szCs w:val="24"/>
          <w:lang w:eastAsia="zh-CN"/>
        </w:rPr>
        <w:t xml:space="preserve">； </w:t>
      </w:r>
    </w:p>
    <w:p w14:paraId="18B1E6A0">
      <w:pPr>
        <w:spacing w:line="360" w:lineRule="auto"/>
        <w:ind w:firstLine="1200" w:firstLineChars="500"/>
        <w:rPr>
          <w:rFonts w:ascii="Times New Roman" w:hAnsi="Times New Roman" w:cs="Times New Roman"/>
          <w:szCs w:val="24"/>
          <w:lang w:eastAsia="zh-CN"/>
        </w:rPr>
      </w:pPr>
      <w:r>
        <w:rPr>
          <w:rFonts w:ascii="Times New Roman" w:hAnsi="Times New Roman" w:cs="Times New Roman"/>
          <w:szCs w:val="24"/>
          <w:lang w:eastAsia="zh-CN"/>
        </w:rPr>
        <w:t>h</w:t>
      </w:r>
      <w:r>
        <w:rPr>
          <w:rFonts w:hint="eastAsia" w:ascii="Times New Roman" w:hAnsi="Times New Roman" w:cs="Times New Roman"/>
          <w:szCs w:val="24"/>
          <w:lang w:eastAsia="zh-CN"/>
        </w:rPr>
        <w:t>——</w:t>
      </w:r>
      <w:r>
        <w:rPr>
          <w:rFonts w:ascii="Times New Roman" w:hAnsi="Times New Roman" w:cs="Times New Roman"/>
          <w:szCs w:val="24"/>
          <w:lang w:eastAsia="zh-CN"/>
        </w:rPr>
        <w:t>裂口之上液体高度，m。</w:t>
      </w:r>
    </w:p>
    <w:p w14:paraId="7BE94DBB">
      <w:pPr>
        <w:spacing w:line="360" w:lineRule="auto"/>
        <w:jc w:val="center"/>
        <w:rPr>
          <w:rFonts w:ascii="Times New Roman" w:hAnsi="Times New Roman" w:cs="Times New Roman"/>
          <w:b/>
          <w:bCs/>
          <w:szCs w:val="24"/>
          <w:lang w:eastAsia="zh-CN"/>
        </w:rPr>
      </w:pPr>
      <w:r>
        <w:rPr>
          <w:rFonts w:ascii="Times New Roman" w:hAnsi="Times New Roman" w:cs="Times New Roman"/>
          <w:b/>
          <w:bCs/>
          <w:szCs w:val="24"/>
          <w:lang w:eastAsia="zh-CN"/>
        </w:rPr>
        <w:t>表</w:t>
      </w:r>
      <w:r>
        <w:rPr>
          <w:rFonts w:hint="eastAsia" w:ascii="Times New Roman" w:cs="Times New Roman"/>
          <w:b/>
          <w:bCs/>
          <w:szCs w:val="24"/>
          <w:lang w:eastAsia="zh-CN"/>
        </w:rPr>
        <w:t>7.7-3</w:t>
      </w:r>
      <w:r>
        <w:rPr>
          <w:rFonts w:ascii="Times New Roman" w:hAnsi="Times New Roman" w:cs="Times New Roman"/>
          <w:b/>
          <w:bCs/>
          <w:szCs w:val="24"/>
          <w:lang w:eastAsia="zh-CN"/>
        </w:rPr>
        <w:t xml:space="preserve"> 液体泄漏系数Cd取值表</w:t>
      </w:r>
    </w:p>
    <w:tbl>
      <w:tblPr>
        <w:tblStyle w:val="35"/>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61"/>
        <w:gridCol w:w="2828"/>
        <w:gridCol w:w="2828"/>
        <w:gridCol w:w="2829"/>
      </w:tblGrid>
      <w:tr w14:paraId="6E5D86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7" w:type="pct"/>
            <w:vMerge w:val="restart"/>
            <w:vAlign w:val="center"/>
          </w:tcPr>
          <w:p w14:paraId="4057F552">
            <w:pPr>
              <w:widowControl w:val="0"/>
              <w:snapToGrid w:val="0"/>
              <w:jc w:val="center"/>
              <w:rPr>
                <w:rFonts w:ascii="Times New Roman" w:hAnsi="Times New Roman" w:cs="Times New Roman"/>
                <w:b/>
                <w:bCs/>
                <w:sz w:val="21"/>
              </w:rPr>
            </w:pPr>
            <w:r>
              <w:rPr>
                <w:rFonts w:ascii="Times New Roman" w:hAnsi="Times New Roman" w:cs="Times New Roman"/>
                <w:b/>
                <w:bCs/>
                <w:sz w:val="21"/>
              </w:rPr>
              <w:t>雷诺数Re</w:t>
            </w:r>
          </w:p>
        </w:tc>
        <w:tc>
          <w:tcPr>
            <w:tcW w:w="4353" w:type="pct"/>
            <w:gridSpan w:val="3"/>
            <w:vAlign w:val="center"/>
          </w:tcPr>
          <w:p w14:paraId="096B2455">
            <w:pPr>
              <w:widowControl w:val="0"/>
              <w:snapToGrid w:val="0"/>
              <w:jc w:val="center"/>
              <w:rPr>
                <w:rFonts w:ascii="Times New Roman" w:hAnsi="Times New Roman" w:cs="Times New Roman"/>
                <w:b/>
                <w:bCs/>
                <w:sz w:val="21"/>
              </w:rPr>
            </w:pPr>
            <w:r>
              <w:rPr>
                <w:rFonts w:ascii="Times New Roman" w:hAnsi="Times New Roman" w:cs="Times New Roman"/>
                <w:b/>
                <w:bCs/>
                <w:sz w:val="21"/>
              </w:rPr>
              <w:t>裂口形状</w:t>
            </w:r>
          </w:p>
        </w:tc>
      </w:tr>
      <w:tr w14:paraId="0FAABB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7" w:type="pct"/>
            <w:vMerge w:val="continue"/>
            <w:vAlign w:val="center"/>
          </w:tcPr>
          <w:p w14:paraId="150484B9">
            <w:pPr>
              <w:widowControl w:val="0"/>
              <w:snapToGrid w:val="0"/>
              <w:jc w:val="center"/>
              <w:rPr>
                <w:rFonts w:ascii="Times New Roman" w:hAnsi="Times New Roman" w:cs="Times New Roman"/>
                <w:b/>
                <w:bCs/>
                <w:sz w:val="21"/>
              </w:rPr>
            </w:pPr>
          </w:p>
        </w:tc>
        <w:tc>
          <w:tcPr>
            <w:tcW w:w="1451" w:type="pct"/>
            <w:vAlign w:val="center"/>
          </w:tcPr>
          <w:p w14:paraId="69647A02">
            <w:pPr>
              <w:widowControl w:val="0"/>
              <w:snapToGrid w:val="0"/>
              <w:jc w:val="center"/>
              <w:rPr>
                <w:rFonts w:ascii="Times New Roman" w:hAnsi="Times New Roman" w:cs="Times New Roman"/>
                <w:b/>
                <w:bCs/>
                <w:sz w:val="21"/>
              </w:rPr>
            </w:pPr>
            <w:r>
              <w:rPr>
                <w:rFonts w:ascii="Times New Roman" w:hAnsi="Times New Roman" w:cs="Times New Roman"/>
                <w:b/>
                <w:bCs/>
                <w:sz w:val="21"/>
              </w:rPr>
              <w:t>圆形（多边形）</w:t>
            </w:r>
          </w:p>
        </w:tc>
        <w:tc>
          <w:tcPr>
            <w:tcW w:w="1451" w:type="pct"/>
            <w:vAlign w:val="center"/>
          </w:tcPr>
          <w:p w14:paraId="4EA97F89">
            <w:pPr>
              <w:widowControl w:val="0"/>
              <w:snapToGrid w:val="0"/>
              <w:jc w:val="center"/>
              <w:rPr>
                <w:rFonts w:ascii="Times New Roman" w:hAnsi="Times New Roman" w:cs="Times New Roman"/>
                <w:b/>
                <w:bCs/>
                <w:sz w:val="21"/>
              </w:rPr>
            </w:pPr>
            <w:r>
              <w:rPr>
                <w:rFonts w:ascii="Times New Roman" w:hAnsi="Times New Roman" w:cs="Times New Roman"/>
                <w:b/>
                <w:bCs/>
                <w:sz w:val="21"/>
              </w:rPr>
              <w:t>三角形</w:t>
            </w:r>
          </w:p>
        </w:tc>
        <w:tc>
          <w:tcPr>
            <w:tcW w:w="1451" w:type="pct"/>
            <w:vAlign w:val="center"/>
          </w:tcPr>
          <w:p w14:paraId="578E7852">
            <w:pPr>
              <w:widowControl w:val="0"/>
              <w:snapToGrid w:val="0"/>
              <w:jc w:val="center"/>
              <w:rPr>
                <w:rFonts w:ascii="Times New Roman" w:hAnsi="Times New Roman" w:cs="Times New Roman"/>
                <w:b/>
                <w:bCs/>
                <w:sz w:val="21"/>
              </w:rPr>
            </w:pPr>
            <w:r>
              <w:rPr>
                <w:rFonts w:ascii="Times New Roman" w:hAnsi="Times New Roman" w:cs="Times New Roman"/>
                <w:b/>
                <w:bCs/>
                <w:sz w:val="21"/>
              </w:rPr>
              <w:t>长方形</w:t>
            </w:r>
          </w:p>
        </w:tc>
      </w:tr>
      <w:tr w14:paraId="603DA2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7" w:type="pct"/>
            <w:vAlign w:val="center"/>
          </w:tcPr>
          <w:p w14:paraId="23EA014B">
            <w:pPr>
              <w:widowControl w:val="0"/>
              <w:snapToGrid w:val="0"/>
              <w:jc w:val="center"/>
              <w:rPr>
                <w:rFonts w:ascii="Times New Roman" w:hAnsi="Times New Roman" w:cs="Times New Roman"/>
                <w:sz w:val="21"/>
              </w:rPr>
            </w:pPr>
            <w:r>
              <w:rPr>
                <w:rFonts w:ascii="Times New Roman" w:hAnsi="Times New Roman" w:cs="Times New Roman"/>
                <w:sz w:val="21"/>
              </w:rPr>
              <w:t>＞100</w:t>
            </w:r>
          </w:p>
        </w:tc>
        <w:tc>
          <w:tcPr>
            <w:tcW w:w="1451" w:type="pct"/>
            <w:vAlign w:val="center"/>
          </w:tcPr>
          <w:p w14:paraId="63405164">
            <w:pPr>
              <w:widowControl w:val="0"/>
              <w:snapToGrid w:val="0"/>
              <w:jc w:val="center"/>
              <w:rPr>
                <w:rFonts w:ascii="Times New Roman" w:hAnsi="Times New Roman" w:cs="Times New Roman"/>
                <w:sz w:val="21"/>
              </w:rPr>
            </w:pPr>
            <w:r>
              <w:rPr>
                <w:rFonts w:ascii="Times New Roman" w:hAnsi="Times New Roman" w:cs="Times New Roman"/>
                <w:sz w:val="21"/>
              </w:rPr>
              <w:t>0.65</w:t>
            </w:r>
          </w:p>
        </w:tc>
        <w:tc>
          <w:tcPr>
            <w:tcW w:w="1451" w:type="pct"/>
            <w:vAlign w:val="center"/>
          </w:tcPr>
          <w:p w14:paraId="357F5D8B">
            <w:pPr>
              <w:widowControl w:val="0"/>
              <w:snapToGrid w:val="0"/>
              <w:jc w:val="center"/>
              <w:rPr>
                <w:rFonts w:ascii="Times New Roman" w:hAnsi="Times New Roman" w:cs="Times New Roman"/>
                <w:sz w:val="21"/>
              </w:rPr>
            </w:pPr>
            <w:r>
              <w:rPr>
                <w:rFonts w:ascii="Times New Roman" w:hAnsi="Times New Roman" w:cs="Times New Roman"/>
                <w:sz w:val="21"/>
              </w:rPr>
              <w:t>0.60</w:t>
            </w:r>
          </w:p>
        </w:tc>
        <w:tc>
          <w:tcPr>
            <w:tcW w:w="1451" w:type="pct"/>
            <w:vAlign w:val="center"/>
          </w:tcPr>
          <w:p w14:paraId="72346CC4">
            <w:pPr>
              <w:widowControl w:val="0"/>
              <w:snapToGrid w:val="0"/>
              <w:jc w:val="center"/>
              <w:rPr>
                <w:rFonts w:ascii="Times New Roman" w:hAnsi="Times New Roman" w:cs="Times New Roman"/>
                <w:sz w:val="21"/>
              </w:rPr>
            </w:pPr>
            <w:r>
              <w:rPr>
                <w:rFonts w:ascii="Times New Roman" w:hAnsi="Times New Roman" w:cs="Times New Roman"/>
                <w:sz w:val="21"/>
              </w:rPr>
              <w:t>0.55</w:t>
            </w:r>
          </w:p>
        </w:tc>
      </w:tr>
      <w:tr w14:paraId="37C991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7" w:type="pct"/>
            <w:vAlign w:val="center"/>
          </w:tcPr>
          <w:p w14:paraId="37826AE4">
            <w:pPr>
              <w:widowControl w:val="0"/>
              <w:snapToGrid w:val="0"/>
              <w:jc w:val="center"/>
              <w:rPr>
                <w:rFonts w:ascii="Times New Roman" w:hAnsi="Times New Roman" w:cs="Times New Roman"/>
                <w:sz w:val="21"/>
              </w:rPr>
            </w:pPr>
            <w:r>
              <w:rPr>
                <w:rFonts w:ascii="Times New Roman" w:hAnsi="Times New Roman" w:cs="Times New Roman"/>
                <w:sz w:val="21"/>
              </w:rPr>
              <w:t>≤100</w:t>
            </w:r>
          </w:p>
        </w:tc>
        <w:tc>
          <w:tcPr>
            <w:tcW w:w="1451" w:type="pct"/>
            <w:vAlign w:val="center"/>
          </w:tcPr>
          <w:p w14:paraId="214B7390">
            <w:pPr>
              <w:widowControl w:val="0"/>
              <w:snapToGrid w:val="0"/>
              <w:jc w:val="center"/>
              <w:rPr>
                <w:rFonts w:ascii="Times New Roman" w:hAnsi="Times New Roman" w:cs="Times New Roman"/>
                <w:sz w:val="21"/>
              </w:rPr>
            </w:pPr>
            <w:r>
              <w:rPr>
                <w:rFonts w:ascii="Times New Roman" w:hAnsi="Times New Roman" w:cs="Times New Roman"/>
                <w:sz w:val="21"/>
              </w:rPr>
              <w:t>0.50</w:t>
            </w:r>
          </w:p>
        </w:tc>
        <w:tc>
          <w:tcPr>
            <w:tcW w:w="1451" w:type="pct"/>
            <w:vAlign w:val="center"/>
          </w:tcPr>
          <w:p w14:paraId="669D20C5">
            <w:pPr>
              <w:widowControl w:val="0"/>
              <w:snapToGrid w:val="0"/>
              <w:jc w:val="center"/>
              <w:rPr>
                <w:rFonts w:ascii="Times New Roman" w:hAnsi="Times New Roman" w:cs="Times New Roman"/>
                <w:sz w:val="21"/>
              </w:rPr>
            </w:pPr>
            <w:r>
              <w:rPr>
                <w:rFonts w:ascii="Times New Roman" w:hAnsi="Times New Roman" w:cs="Times New Roman"/>
                <w:sz w:val="21"/>
              </w:rPr>
              <w:t>0.45</w:t>
            </w:r>
          </w:p>
        </w:tc>
        <w:tc>
          <w:tcPr>
            <w:tcW w:w="1451" w:type="pct"/>
            <w:vAlign w:val="center"/>
          </w:tcPr>
          <w:p w14:paraId="34FF0E04">
            <w:pPr>
              <w:widowControl w:val="0"/>
              <w:snapToGrid w:val="0"/>
              <w:jc w:val="center"/>
              <w:rPr>
                <w:rFonts w:ascii="Times New Roman" w:hAnsi="Times New Roman" w:cs="Times New Roman"/>
                <w:sz w:val="21"/>
              </w:rPr>
            </w:pPr>
            <w:r>
              <w:rPr>
                <w:rFonts w:ascii="Times New Roman" w:hAnsi="Times New Roman" w:cs="Times New Roman"/>
                <w:sz w:val="21"/>
              </w:rPr>
              <w:t>0.40</w:t>
            </w:r>
          </w:p>
        </w:tc>
      </w:tr>
    </w:tbl>
    <w:p w14:paraId="4F42A13B">
      <w:pPr>
        <w:widowControl w:val="0"/>
        <w:spacing w:line="360" w:lineRule="auto"/>
        <w:ind w:left="480"/>
        <w:rPr>
          <w:rFonts w:hint="eastAsia" w:ascii="Times New Roman" w:hAnsi="Times New Roman" w:cs="Times New Roman"/>
          <w:szCs w:val="24"/>
          <w:lang w:eastAsia="zh-CN"/>
        </w:rPr>
      </w:pPr>
    </w:p>
    <w:p w14:paraId="4AD58636">
      <w:pPr>
        <w:widowControl w:val="0"/>
        <w:spacing w:line="360" w:lineRule="auto"/>
        <w:ind w:left="480"/>
        <w:rPr>
          <w:rFonts w:ascii="Times New Roman" w:hAnsi="Times New Roman" w:cs="Times New Roman"/>
          <w:szCs w:val="24"/>
          <w:lang w:eastAsia="zh-CN"/>
        </w:rPr>
      </w:pPr>
      <w:r>
        <w:rPr>
          <w:rFonts w:hint="eastAsia" w:ascii="Times New Roman" w:hAnsi="Times New Roman" w:cs="Times New Roman"/>
          <w:szCs w:val="24"/>
          <w:lang w:eastAsia="zh-CN"/>
        </w:rPr>
        <w:t>（2）</w:t>
      </w:r>
      <w:r>
        <w:rPr>
          <w:rFonts w:ascii="Times New Roman" w:hAnsi="Times New Roman" w:cs="Times New Roman"/>
          <w:szCs w:val="24"/>
          <w:lang w:eastAsia="zh-CN"/>
        </w:rPr>
        <w:t>泄漏液体蒸发量计算</w:t>
      </w:r>
    </w:p>
    <w:p w14:paraId="7C8A902B">
      <w:pPr>
        <w:widowControl w:val="0"/>
        <w:spacing w:line="360" w:lineRule="auto"/>
        <w:ind w:firstLine="480" w:firstLineChars="200"/>
        <w:jc w:val="both"/>
        <w:rPr>
          <w:rFonts w:ascii="Times New Roman" w:hAnsi="Times New Roman" w:cs="Times New Roman"/>
          <w:szCs w:val="24"/>
          <w:lang w:eastAsia="zh-CN"/>
        </w:rPr>
      </w:pPr>
      <w:r>
        <w:rPr>
          <w:rFonts w:ascii="Times New Roman" w:hAnsi="Times New Roman" w:cs="Times New Roman"/>
          <w:szCs w:val="24"/>
          <w:lang w:eastAsia="zh-CN"/>
        </w:rPr>
        <w:t>通常泄漏后液体的挥发按其机理可有闪蒸蒸发、热量蒸发和质量蒸发三种，其挥发总量为这三种蒸发之和。</w:t>
      </w:r>
    </w:p>
    <w:p w14:paraId="6AC9B78E">
      <w:pPr>
        <w:widowControl w:val="0"/>
        <w:spacing w:line="360" w:lineRule="auto"/>
        <w:ind w:firstLine="480" w:firstLineChars="200"/>
        <w:rPr>
          <w:rFonts w:ascii="Times New Roman" w:hAnsi="Times New Roman" w:cs="Times New Roman"/>
          <w:szCs w:val="24"/>
          <w:lang w:eastAsia="zh-CN"/>
        </w:rPr>
      </w:pPr>
      <w:r>
        <w:rPr>
          <w:rFonts w:ascii="宋体" w:hAnsi="宋体" w:cs="Times New Roman"/>
          <w:szCs w:val="24"/>
          <w:lang w:eastAsia="zh-CN"/>
        </w:rPr>
        <w:t>①</w:t>
      </w:r>
      <w:r>
        <w:rPr>
          <w:rFonts w:hint="eastAsia" w:ascii="宋体" w:hAnsi="宋体" w:cs="Times New Roman"/>
          <w:szCs w:val="24"/>
          <w:lang w:eastAsia="zh-CN"/>
        </w:rPr>
        <w:t xml:space="preserve"> </w:t>
      </w:r>
      <w:r>
        <w:rPr>
          <w:rFonts w:ascii="Times New Roman" w:hAnsi="Times New Roman" w:cs="Times New Roman"/>
          <w:szCs w:val="24"/>
          <w:lang w:eastAsia="zh-CN"/>
        </w:rPr>
        <w:t>闪蒸蒸发估算</w:t>
      </w:r>
    </w:p>
    <w:p w14:paraId="5793BF31">
      <w:pPr>
        <w:widowControl w:val="0"/>
        <w:spacing w:line="360" w:lineRule="auto"/>
        <w:ind w:firstLine="480" w:firstLineChars="200"/>
        <w:rPr>
          <w:rFonts w:ascii="Times New Roman" w:hAnsi="Times New Roman" w:cs="Times New Roman"/>
          <w:szCs w:val="24"/>
          <w:lang w:eastAsia="zh-CN"/>
        </w:rPr>
      </w:pPr>
      <w:r>
        <w:rPr>
          <w:rFonts w:ascii="Times New Roman" w:hAnsi="Times New Roman" w:cs="Times New Roman"/>
          <w:szCs w:val="24"/>
          <w:lang w:eastAsia="zh-CN"/>
        </w:rPr>
        <w:t>当液体的沸点低于储存温度，液体流过裂口时会发生闪蒸。其闪蒸系数用下式计算：</w:t>
      </w:r>
    </w:p>
    <w:p w14:paraId="5A1A9756">
      <w:pPr>
        <w:spacing w:line="360" w:lineRule="auto"/>
        <w:ind w:firstLine="480" w:firstLineChars="200"/>
        <w:jc w:val="center"/>
        <w:rPr>
          <w:rFonts w:ascii="Times New Roman" w:hAnsi="Times New Roman" w:cs="Times New Roman"/>
          <w:szCs w:val="24"/>
          <w:lang w:eastAsia="zh-CN"/>
        </w:rPr>
      </w:pPr>
      <w:r>
        <w:rPr>
          <w:rFonts w:ascii="Times New Roman" w:hAnsi="Times New Roman" w:cs="Times New Roman"/>
          <w:szCs w:val="24"/>
          <w:lang w:eastAsia="zh-CN"/>
        </w:rPr>
        <w:object>
          <v:shape id="_x0000_i1031" o:spt="75" type="#_x0000_t75" style="height:30.55pt;width:82.2pt;" o:ole="t" filled="f" coordsize="21600,21600">
            <v:path/>
            <v:fill on="f" focussize="0,0"/>
            <v:stroke/>
            <v:imagedata r:id="rId111" o:title=""/>
            <o:lock v:ext="edit" aspectratio="t"/>
            <w10:wrap type="none"/>
            <w10:anchorlock/>
          </v:shape>
          <o:OLEObject Type="Embed" ProgID="Equation.3" ShapeID="_x0000_i1031" DrawAspect="Content" ObjectID="_1468075731" r:id="rId110">
            <o:LockedField>false</o:LockedField>
          </o:OLEObject>
        </w:object>
      </w:r>
    </w:p>
    <w:p w14:paraId="492CA498">
      <w:pPr>
        <w:spacing w:line="360" w:lineRule="auto"/>
        <w:ind w:firstLine="480" w:firstLineChars="200"/>
        <w:rPr>
          <w:rFonts w:ascii="Times New Roman" w:hAnsi="Times New Roman" w:cs="Times New Roman"/>
          <w:szCs w:val="24"/>
          <w:lang w:eastAsia="zh-CN"/>
        </w:rPr>
      </w:pPr>
      <w:r>
        <w:rPr>
          <w:rFonts w:ascii="Times New Roman" w:hAnsi="Times New Roman" w:cs="Times New Roman"/>
          <w:szCs w:val="24"/>
          <w:lang w:eastAsia="zh-CN"/>
        </w:rPr>
        <w:t>过热液体闪蒸蒸发速率按下式计算：</w:t>
      </w:r>
    </w:p>
    <w:p w14:paraId="50B339B4">
      <w:pPr>
        <w:spacing w:line="360" w:lineRule="auto"/>
        <w:jc w:val="center"/>
        <w:rPr>
          <w:rFonts w:ascii="Times New Roman" w:hAnsi="Times New Roman" w:cs="Times New Roman"/>
          <w:szCs w:val="24"/>
          <w:lang w:eastAsia="zh-CN"/>
        </w:rPr>
      </w:pPr>
      <w:r>
        <w:rPr>
          <w:rFonts w:ascii="Times New Roman" w:hAnsi="Times New Roman" w:cs="Times New Roman"/>
          <w:szCs w:val="24"/>
          <w:lang w:eastAsia="zh-CN"/>
        </w:rPr>
        <w:t>Q1=QL×Q</w:t>
      </w:r>
    </w:p>
    <w:p w14:paraId="06B98A1B">
      <w:pPr>
        <w:spacing w:line="360" w:lineRule="auto"/>
        <w:ind w:firstLine="480" w:firstLineChars="200"/>
        <w:rPr>
          <w:rFonts w:ascii="Times New Roman" w:hAnsi="Times New Roman" w:cs="Times New Roman"/>
          <w:szCs w:val="24"/>
          <w:lang w:eastAsia="zh-CN"/>
        </w:rPr>
      </w:pPr>
      <w:r>
        <w:rPr>
          <w:rFonts w:ascii="Times New Roman" w:hAnsi="Times New Roman" w:cs="Times New Roman"/>
          <w:szCs w:val="24"/>
          <w:lang w:eastAsia="zh-CN"/>
        </w:rPr>
        <w:t>式中：F</w:t>
      </w:r>
      <w:r>
        <w:rPr>
          <w:rFonts w:hint="eastAsia" w:ascii="Times New Roman" w:hAnsi="Times New Roman" w:cs="Times New Roman"/>
          <w:szCs w:val="24"/>
          <w:lang w:eastAsia="zh-CN"/>
        </w:rPr>
        <w:t>——</w:t>
      </w:r>
      <w:r>
        <w:rPr>
          <w:rFonts w:ascii="Times New Roman" w:hAnsi="Times New Roman" w:cs="Times New Roman"/>
          <w:szCs w:val="24"/>
          <w:lang w:eastAsia="zh-CN"/>
        </w:rPr>
        <w:t>泄漏液体的闪蒸比例；</w:t>
      </w:r>
    </w:p>
    <w:p w14:paraId="16F3EDE0">
      <w:pPr>
        <w:spacing w:line="360" w:lineRule="auto"/>
        <w:ind w:firstLine="1200" w:firstLineChars="500"/>
        <w:rPr>
          <w:rFonts w:ascii="Times New Roman" w:hAnsi="Times New Roman" w:cs="Times New Roman"/>
          <w:szCs w:val="24"/>
          <w:lang w:eastAsia="zh-CN"/>
        </w:rPr>
      </w:pPr>
      <w:r>
        <w:rPr>
          <w:rFonts w:ascii="Times New Roman" w:hAnsi="Times New Roman" w:cs="Times New Roman"/>
          <w:szCs w:val="24"/>
          <w:lang w:eastAsia="zh-CN"/>
        </w:rPr>
        <w:t>Cp</w:t>
      </w:r>
      <w:r>
        <w:rPr>
          <w:rFonts w:hint="eastAsia" w:ascii="Times New Roman" w:hAnsi="Times New Roman" w:cs="Times New Roman"/>
          <w:szCs w:val="24"/>
          <w:lang w:eastAsia="zh-CN"/>
        </w:rPr>
        <w:t>——</w:t>
      </w:r>
      <w:r>
        <w:rPr>
          <w:rFonts w:ascii="Times New Roman" w:hAnsi="Times New Roman" w:cs="Times New Roman"/>
          <w:szCs w:val="24"/>
          <w:lang w:eastAsia="zh-CN"/>
        </w:rPr>
        <w:t>泄漏液体的定压比热容，J/(kg•K)；</w:t>
      </w:r>
    </w:p>
    <w:p w14:paraId="26F96977">
      <w:pPr>
        <w:spacing w:line="360" w:lineRule="auto"/>
        <w:ind w:firstLine="1200" w:firstLineChars="500"/>
        <w:rPr>
          <w:rFonts w:ascii="Times New Roman" w:hAnsi="Times New Roman" w:cs="Times New Roman"/>
          <w:szCs w:val="24"/>
          <w:lang w:eastAsia="zh-CN"/>
        </w:rPr>
      </w:pPr>
      <w:r>
        <w:rPr>
          <w:rFonts w:ascii="Times New Roman" w:hAnsi="Times New Roman" w:cs="Times New Roman"/>
          <w:szCs w:val="24"/>
          <w:lang w:eastAsia="zh-CN"/>
        </w:rPr>
        <w:t>TL</w:t>
      </w:r>
      <w:r>
        <w:rPr>
          <w:rFonts w:hint="eastAsia" w:ascii="Times New Roman" w:hAnsi="Times New Roman" w:cs="Times New Roman"/>
          <w:szCs w:val="24"/>
          <w:lang w:eastAsia="zh-CN"/>
        </w:rPr>
        <w:t>——</w:t>
      </w:r>
      <w:r>
        <w:rPr>
          <w:rFonts w:ascii="Times New Roman" w:hAnsi="Times New Roman" w:cs="Times New Roman"/>
          <w:szCs w:val="24"/>
          <w:lang w:eastAsia="zh-CN"/>
        </w:rPr>
        <w:t>储存温度，K；</w:t>
      </w:r>
    </w:p>
    <w:p w14:paraId="494FD1D2">
      <w:pPr>
        <w:spacing w:line="360" w:lineRule="auto"/>
        <w:ind w:firstLine="1200" w:firstLineChars="500"/>
        <w:rPr>
          <w:rFonts w:ascii="Times New Roman" w:hAnsi="Times New Roman" w:cs="Times New Roman"/>
          <w:szCs w:val="24"/>
          <w:lang w:eastAsia="zh-CN"/>
        </w:rPr>
      </w:pPr>
      <w:r>
        <w:rPr>
          <w:rFonts w:ascii="Times New Roman" w:hAnsi="Times New Roman" w:cs="Times New Roman"/>
          <w:szCs w:val="24"/>
          <w:lang w:eastAsia="zh-CN"/>
        </w:rPr>
        <w:t>Tb</w:t>
      </w:r>
      <w:r>
        <w:rPr>
          <w:rFonts w:hint="eastAsia" w:ascii="Times New Roman" w:hAnsi="Times New Roman" w:cs="Times New Roman"/>
          <w:szCs w:val="24"/>
          <w:lang w:eastAsia="zh-CN"/>
        </w:rPr>
        <w:t>——</w:t>
      </w:r>
      <w:r>
        <w:rPr>
          <w:rFonts w:ascii="Times New Roman" w:hAnsi="Times New Roman" w:cs="Times New Roman"/>
          <w:szCs w:val="24"/>
          <w:lang w:eastAsia="zh-CN"/>
        </w:rPr>
        <w:t>泄漏液体的沸点，K；</w:t>
      </w:r>
    </w:p>
    <w:p w14:paraId="16314C18">
      <w:pPr>
        <w:spacing w:line="360" w:lineRule="auto"/>
        <w:ind w:firstLine="1200" w:firstLineChars="500"/>
        <w:rPr>
          <w:rFonts w:ascii="Times New Roman" w:hAnsi="Times New Roman" w:cs="Times New Roman"/>
          <w:szCs w:val="24"/>
          <w:lang w:eastAsia="zh-CN"/>
        </w:rPr>
      </w:pPr>
      <w:r>
        <w:rPr>
          <w:rFonts w:ascii="Times New Roman" w:hAnsi="Times New Roman" w:cs="Times New Roman"/>
          <w:szCs w:val="24"/>
          <w:lang w:eastAsia="zh-CN"/>
        </w:rPr>
        <w:t>H</w:t>
      </w:r>
      <w:r>
        <w:rPr>
          <w:rFonts w:hint="eastAsia" w:ascii="Times New Roman" w:hAnsi="Times New Roman" w:cs="Times New Roman"/>
          <w:szCs w:val="24"/>
          <w:lang w:eastAsia="zh-CN"/>
        </w:rPr>
        <w:t>——</w:t>
      </w:r>
      <w:r>
        <w:rPr>
          <w:rFonts w:ascii="Times New Roman" w:hAnsi="Times New Roman" w:cs="Times New Roman"/>
          <w:szCs w:val="24"/>
          <w:lang w:eastAsia="zh-CN"/>
        </w:rPr>
        <w:t>泄漏液体的蒸发热，J/kg；</w:t>
      </w:r>
    </w:p>
    <w:p w14:paraId="7C40F049">
      <w:pPr>
        <w:spacing w:line="360" w:lineRule="auto"/>
        <w:ind w:firstLine="1200" w:firstLineChars="500"/>
        <w:rPr>
          <w:rFonts w:ascii="Times New Roman" w:hAnsi="Times New Roman" w:cs="Times New Roman"/>
          <w:szCs w:val="24"/>
          <w:lang w:eastAsia="zh-CN"/>
        </w:rPr>
      </w:pPr>
      <w:r>
        <w:rPr>
          <w:rFonts w:ascii="Times New Roman" w:hAnsi="Times New Roman" w:cs="Times New Roman"/>
          <w:szCs w:val="24"/>
          <w:lang w:eastAsia="zh-CN"/>
        </w:rPr>
        <w:t>Q1</w:t>
      </w:r>
      <w:r>
        <w:rPr>
          <w:rFonts w:hint="eastAsia" w:ascii="Times New Roman" w:hAnsi="Times New Roman" w:cs="Times New Roman"/>
          <w:szCs w:val="24"/>
          <w:lang w:eastAsia="zh-CN"/>
        </w:rPr>
        <w:t>——</w:t>
      </w:r>
      <w:r>
        <w:rPr>
          <w:rFonts w:ascii="Times New Roman" w:hAnsi="Times New Roman" w:cs="Times New Roman"/>
          <w:szCs w:val="24"/>
          <w:lang w:eastAsia="zh-CN"/>
        </w:rPr>
        <w:t>过热液体闪蒸蒸发速率，kg/s；</w:t>
      </w:r>
    </w:p>
    <w:p w14:paraId="624F09DE">
      <w:pPr>
        <w:spacing w:line="360" w:lineRule="auto"/>
        <w:ind w:firstLine="1200" w:firstLineChars="500"/>
        <w:rPr>
          <w:rFonts w:ascii="Times New Roman" w:hAnsi="Times New Roman" w:cs="Times New Roman"/>
          <w:szCs w:val="24"/>
          <w:lang w:eastAsia="zh-CN"/>
        </w:rPr>
      </w:pPr>
      <w:r>
        <w:rPr>
          <w:rFonts w:ascii="Times New Roman" w:hAnsi="Times New Roman" w:cs="Times New Roman"/>
          <w:szCs w:val="24"/>
          <w:lang w:eastAsia="zh-CN"/>
        </w:rPr>
        <w:t>QL</w:t>
      </w:r>
      <w:r>
        <w:rPr>
          <w:rFonts w:hint="eastAsia" w:ascii="Times New Roman" w:hAnsi="Times New Roman" w:cs="Times New Roman"/>
          <w:szCs w:val="24"/>
          <w:lang w:eastAsia="zh-CN"/>
        </w:rPr>
        <w:t>——</w:t>
      </w:r>
      <w:r>
        <w:rPr>
          <w:rFonts w:ascii="Times New Roman" w:hAnsi="Times New Roman" w:cs="Times New Roman"/>
          <w:szCs w:val="24"/>
          <w:lang w:eastAsia="zh-CN"/>
        </w:rPr>
        <w:t>物质泄漏速率，kg/s。</w:t>
      </w:r>
    </w:p>
    <w:p w14:paraId="0D3A727A">
      <w:pPr>
        <w:widowControl w:val="0"/>
        <w:spacing w:line="360" w:lineRule="auto"/>
        <w:ind w:firstLine="480" w:firstLineChars="200"/>
        <w:rPr>
          <w:rFonts w:ascii="Times New Roman" w:hAnsi="Times New Roman" w:cs="Times New Roman"/>
          <w:szCs w:val="24"/>
          <w:lang w:eastAsia="zh-CN"/>
        </w:rPr>
      </w:pPr>
      <w:r>
        <w:rPr>
          <w:rFonts w:ascii="宋体" w:hAnsi="宋体" w:cs="Times New Roman"/>
          <w:szCs w:val="24"/>
          <w:lang w:eastAsia="zh-CN"/>
        </w:rPr>
        <w:t>②</w:t>
      </w:r>
      <w:r>
        <w:rPr>
          <w:rFonts w:hint="eastAsia" w:ascii="宋体" w:hAnsi="宋体" w:cs="Times New Roman"/>
          <w:szCs w:val="24"/>
          <w:lang w:eastAsia="zh-CN"/>
        </w:rPr>
        <w:t xml:space="preserve"> </w:t>
      </w:r>
      <w:r>
        <w:rPr>
          <w:rFonts w:ascii="Times New Roman" w:hAnsi="Times New Roman" w:cs="Times New Roman"/>
          <w:szCs w:val="24"/>
          <w:lang w:eastAsia="zh-CN"/>
        </w:rPr>
        <w:t>热量蒸发估算</w:t>
      </w:r>
    </w:p>
    <w:p w14:paraId="16466A38">
      <w:pPr>
        <w:widowControl w:val="0"/>
        <w:spacing w:line="360" w:lineRule="auto"/>
        <w:ind w:firstLine="480" w:firstLineChars="200"/>
        <w:jc w:val="both"/>
        <w:rPr>
          <w:rFonts w:ascii="Times New Roman" w:hAnsi="Times New Roman" w:cs="Times New Roman"/>
          <w:szCs w:val="24"/>
          <w:lang w:eastAsia="zh-CN"/>
        </w:rPr>
      </w:pPr>
      <w:r>
        <w:rPr>
          <w:rFonts w:ascii="Times New Roman" w:hAnsi="Times New Roman" w:cs="Times New Roman"/>
          <w:szCs w:val="24"/>
          <w:lang w:eastAsia="zh-CN"/>
        </w:rPr>
        <w:t>当液体闪蒸不完全，有一部分液体在地面形成液池，并吸收地面热量而气化，其蒸发速度按下式计算，并应考虑对流传热系数。</w:t>
      </w:r>
    </w:p>
    <w:p w14:paraId="2665AD27">
      <w:pPr>
        <w:spacing w:line="360" w:lineRule="auto"/>
        <w:ind w:firstLine="480" w:firstLineChars="200"/>
        <w:jc w:val="center"/>
        <w:rPr>
          <w:rFonts w:ascii="Times New Roman" w:hAnsi="Times New Roman" w:cs="Times New Roman"/>
          <w:szCs w:val="24"/>
          <w:lang w:eastAsia="zh-CN"/>
        </w:rPr>
      </w:pPr>
      <w:r>
        <w:rPr>
          <w:rFonts w:ascii="Times New Roman" w:hAnsi="Times New Roman" w:cs="Times New Roman"/>
          <w:szCs w:val="24"/>
          <w:lang w:eastAsia="zh-CN"/>
        </w:rPr>
        <w:object>
          <v:shape id="_x0000_i1032" o:spt="75" type="#_x0000_t75" style="height:42.8pt;width:121.6pt;" o:ole="t" filled="f" coordsize="21600,21600">
            <v:path/>
            <v:fill on="f" focussize="0,0"/>
            <v:stroke/>
            <v:imagedata r:id="rId113" o:title=""/>
            <o:lock v:ext="edit" aspectratio="t"/>
            <w10:wrap type="none"/>
            <w10:anchorlock/>
          </v:shape>
          <o:OLEObject Type="Embed" ProgID="Equation.3" ShapeID="_x0000_i1032" DrawAspect="Content" ObjectID="_1468075732" r:id="rId112">
            <o:LockedField>false</o:LockedField>
          </o:OLEObject>
        </w:object>
      </w:r>
    </w:p>
    <w:p w14:paraId="25B07D99">
      <w:pPr>
        <w:spacing w:line="360" w:lineRule="auto"/>
        <w:ind w:firstLine="480" w:firstLineChars="200"/>
        <w:rPr>
          <w:rFonts w:ascii="Times New Roman" w:hAnsi="Times New Roman" w:cs="Times New Roman"/>
          <w:szCs w:val="24"/>
          <w:lang w:eastAsia="zh-CN"/>
        </w:rPr>
      </w:pPr>
      <w:r>
        <w:rPr>
          <w:rFonts w:ascii="Times New Roman" w:hAnsi="Times New Roman" w:cs="Times New Roman"/>
          <w:szCs w:val="24"/>
          <w:lang w:eastAsia="zh-CN"/>
        </w:rPr>
        <w:t>式中：Q2</w:t>
      </w:r>
      <w:r>
        <w:rPr>
          <w:rFonts w:hint="eastAsia" w:ascii="Times New Roman" w:hAnsi="Times New Roman" w:cs="Times New Roman"/>
          <w:szCs w:val="24"/>
          <w:lang w:eastAsia="zh-CN"/>
        </w:rPr>
        <w:t>——</w:t>
      </w:r>
      <w:r>
        <w:rPr>
          <w:rFonts w:ascii="Times New Roman" w:hAnsi="Times New Roman" w:cs="Times New Roman"/>
          <w:szCs w:val="24"/>
          <w:lang w:eastAsia="zh-CN"/>
        </w:rPr>
        <w:t>热量蒸发速度，kg/s；</w:t>
      </w:r>
    </w:p>
    <w:p w14:paraId="7ECF148B">
      <w:pPr>
        <w:spacing w:line="360" w:lineRule="auto"/>
        <w:ind w:firstLine="480" w:firstLineChars="200"/>
        <w:rPr>
          <w:rFonts w:ascii="Times New Roman" w:hAnsi="Times New Roman" w:cs="Times New Roman"/>
          <w:szCs w:val="24"/>
          <w:lang w:eastAsia="zh-CN"/>
        </w:rPr>
      </w:pPr>
      <w:r>
        <w:rPr>
          <w:rFonts w:ascii="Times New Roman" w:hAnsi="Times New Roman" w:cs="Times New Roman"/>
          <w:szCs w:val="24"/>
          <w:lang w:eastAsia="zh-CN"/>
        </w:rPr>
        <w:t xml:space="preserve">      T0</w:t>
      </w:r>
      <w:r>
        <w:rPr>
          <w:rFonts w:hint="eastAsia" w:ascii="Times New Roman" w:hAnsi="Times New Roman" w:cs="Times New Roman"/>
          <w:szCs w:val="24"/>
          <w:lang w:eastAsia="zh-CN"/>
        </w:rPr>
        <w:t>——</w:t>
      </w:r>
      <w:r>
        <w:rPr>
          <w:rFonts w:ascii="Times New Roman" w:hAnsi="Times New Roman" w:cs="Times New Roman"/>
          <w:szCs w:val="24"/>
          <w:lang w:eastAsia="zh-CN"/>
        </w:rPr>
        <w:t>环境温度，K；</w:t>
      </w:r>
    </w:p>
    <w:p w14:paraId="69542103">
      <w:pPr>
        <w:spacing w:line="360" w:lineRule="auto"/>
        <w:ind w:firstLine="480" w:firstLineChars="200"/>
        <w:rPr>
          <w:rFonts w:ascii="Times New Roman" w:hAnsi="Times New Roman" w:cs="Times New Roman"/>
          <w:szCs w:val="24"/>
          <w:lang w:eastAsia="zh-CN"/>
        </w:rPr>
      </w:pPr>
      <w:r>
        <w:rPr>
          <w:rFonts w:ascii="Times New Roman" w:hAnsi="Times New Roman" w:cs="Times New Roman"/>
          <w:szCs w:val="24"/>
          <w:lang w:eastAsia="zh-CN"/>
        </w:rPr>
        <w:t xml:space="preserve">      Tb</w:t>
      </w:r>
      <w:r>
        <w:rPr>
          <w:rFonts w:hint="eastAsia" w:ascii="Times New Roman" w:hAnsi="Times New Roman" w:cs="Times New Roman"/>
          <w:szCs w:val="24"/>
          <w:lang w:eastAsia="zh-CN"/>
        </w:rPr>
        <w:t>——</w:t>
      </w:r>
      <w:r>
        <w:rPr>
          <w:rFonts w:ascii="Times New Roman" w:hAnsi="Times New Roman" w:cs="Times New Roman"/>
          <w:szCs w:val="24"/>
          <w:lang w:eastAsia="zh-CN"/>
        </w:rPr>
        <w:t>泄漏液体沸点温度，K；</w:t>
      </w:r>
    </w:p>
    <w:p w14:paraId="5B836E7E">
      <w:pPr>
        <w:spacing w:line="360" w:lineRule="auto"/>
        <w:ind w:firstLine="480" w:firstLineChars="200"/>
        <w:rPr>
          <w:rFonts w:ascii="Times New Roman" w:hAnsi="Times New Roman" w:cs="Times New Roman"/>
          <w:szCs w:val="24"/>
          <w:lang w:eastAsia="zh-CN"/>
        </w:rPr>
      </w:pPr>
      <w:r>
        <w:rPr>
          <w:rFonts w:ascii="Times New Roman" w:hAnsi="Times New Roman" w:cs="Times New Roman"/>
          <w:szCs w:val="24"/>
          <w:lang w:eastAsia="zh-CN"/>
        </w:rPr>
        <w:t xml:space="preserve">      S</w:t>
      </w:r>
      <w:r>
        <w:rPr>
          <w:rFonts w:hint="eastAsia" w:ascii="Times New Roman" w:hAnsi="Times New Roman" w:cs="Times New Roman"/>
          <w:szCs w:val="24"/>
          <w:lang w:eastAsia="zh-CN"/>
        </w:rPr>
        <w:t>——</w:t>
      </w:r>
      <w:r>
        <w:rPr>
          <w:rFonts w:ascii="Times New Roman" w:hAnsi="Times New Roman" w:cs="Times New Roman"/>
          <w:szCs w:val="24"/>
          <w:lang w:eastAsia="zh-CN"/>
        </w:rPr>
        <w:t>液池面积，m</w:t>
      </w:r>
      <w:r>
        <w:rPr>
          <w:rFonts w:ascii="Times New Roman" w:hAnsi="Times New Roman" w:cs="Times New Roman"/>
          <w:szCs w:val="24"/>
          <w:vertAlign w:val="superscript"/>
          <w:lang w:eastAsia="zh-CN"/>
        </w:rPr>
        <w:t>2</w:t>
      </w:r>
      <w:r>
        <w:rPr>
          <w:rFonts w:ascii="Times New Roman" w:hAnsi="Times New Roman" w:cs="Times New Roman"/>
          <w:szCs w:val="24"/>
          <w:lang w:eastAsia="zh-CN"/>
        </w:rPr>
        <w:t>；</w:t>
      </w:r>
    </w:p>
    <w:p w14:paraId="5C32C205">
      <w:pPr>
        <w:spacing w:line="360" w:lineRule="auto"/>
        <w:ind w:firstLine="480" w:firstLineChars="200"/>
        <w:rPr>
          <w:rFonts w:ascii="Times New Roman" w:hAnsi="Times New Roman" w:cs="Times New Roman"/>
          <w:szCs w:val="24"/>
          <w:lang w:eastAsia="zh-CN"/>
        </w:rPr>
      </w:pPr>
      <w:r>
        <w:rPr>
          <w:rFonts w:ascii="Times New Roman" w:hAnsi="Times New Roman" w:cs="Times New Roman"/>
          <w:szCs w:val="24"/>
          <w:lang w:eastAsia="zh-CN"/>
        </w:rPr>
        <w:t xml:space="preserve">      H</w:t>
      </w:r>
      <w:r>
        <w:rPr>
          <w:rFonts w:hint="eastAsia" w:ascii="Times New Roman" w:hAnsi="Times New Roman" w:cs="Times New Roman"/>
          <w:szCs w:val="24"/>
          <w:lang w:eastAsia="zh-CN"/>
        </w:rPr>
        <w:t>——</w:t>
      </w:r>
      <w:r>
        <w:rPr>
          <w:rFonts w:ascii="Times New Roman" w:hAnsi="Times New Roman" w:cs="Times New Roman"/>
          <w:szCs w:val="24"/>
          <w:lang w:eastAsia="zh-CN"/>
        </w:rPr>
        <w:t>液体气化热，J/kg；</w:t>
      </w:r>
    </w:p>
    <w:p w14:paraId="224A2963">
      <w:pPr>
        <w:spacing w:line="360" w:lineRule="auto"/>
        <w:ind w:firstLine="480" w:firstLineChars="200"/>
        <w:rPr>
          <w:rFonts w:ascii="Times New Roman" w:hAnsi="Times New Roman" w:cs="Times New Roman"/>
          <w:szCs w:val="24"/>
          <w:lang w:eastAsia="zh-CN"/>
        </w:rPr>
      </w:pPr>
      <w:r>
        <w:rPr>
          <w:rFonts w:ascii="Times New Roman" w:hAnsi="Times New Roman" w:cs="Times New Roman"/>
          <w:szCs w:val="24"/>
          <w:lang w:eastAsia="zh-CN"/>
        </w:rPr>
        <w:t xml:space="preserve">      λ</w:t>
      </w:r>
      <w:r>
        <w:rPr>
          <w:rFonts w:hint="eastAsia" w:ascii="Times New Roman" w:hAnsi="Times New Roman" w:cs="Times New Roman"/>
          <w:szCs w:val="24"/>
          <w:lang w:eastAsia="zh-CN"/>
        </w:rPr>
        <w:t>——</w:t>
      </w:r>
      <w:r>
        <w:rPr>
          <w:rFonts w:ascii="Times New Roman" w:hAnsi="Times New Roman" w:cs="Times New Roman"/>
          <w:szCs w:val="24"/>
          <w:lang w:eastAsia="zh-CN"/>
        </w:rPr>
        <w:t>表面热导系数（取值见表</w:t>
      </w:r>
      <w:r>
        <w:rPr>
          <w:rFonts w:hint="eastAsia" w:ascii="Times New Roman" w:cs="Times New Roman"/>
          <w:szCs w:val="24"/>
          <w:lang w:eastAsia="zh-CN"/>
        </w:rPr>
        <w:t>7.6-4</w:t>
      </w:r>
      <w:r>
        <w:rPr>
          <w:rFonts w:ascii="Times New Roman" w:hAnsi="Times New Roman" w:cs="Times New Roman"/>
          <w:szCs w:val="24"/>
          <w:lang w:eastAsia="zh-CN"/>
        </w:rPr>
        <w:t>），W/（m•k）；</w:t>
      </w:r>
    </w:p>
    <w:p w14:paraId="12228034">
      <w:pPr>
        <w:spacing w:line="360" w:lineRule="auto"/>
        <w:ind w:firstLine="480" w:firstLineChars="200"/>
        <w:rPr>
          <w:rFonts w:ascii="Times New Roman" w:hAnsi="Times New Roman" w:cs="Times New Roman"/>
          <w:szCs w:val="24"/>
          <w:lang w:eastAsia="zh-CN"/>
        </w:rPr>
      </w:pPr>
      <w:r>
        <w:rPr>
          <w:rFonts w:ascii="Times New Roman" w:hAnsi="Times New Roman" w:cs="Times New Roman"/>
          <w:szCs w:val="24"/>
          <w:lang w:eastAsia="zh-CN"/>
        </w:rPr>
        <w:t xml:space="preserve">      α</w:t>
      </w:r>
      <w:r>
        <w:rPr>
          <w:rFonts w:hint="eastAsia" w:ascii="Times New Roman" w:hAnsi="Times New Roman" w:cs="Times New Roman"/>
          <w:szCs w:val="24"/>
          <w:lang w:eastAsia="zh-CN"/>
        </w:rPr>
        <w:t>——</w:t>
      </w:r>
      <w:r>
        <w:rPr>
          <w:rFonts w:ascii="Times New Roman" w:hAnsi="Times New Roman" w:cs="Times New Roman"/>
          <w:szCs w:val="24"/>
          <w:lang w:eastAsia="zh-CN"/>
        </w:rPr>
        <w:t>表面热扩散系数（取值见表</w:t>
      </w:r>
      <w:r>
        <w:rPr>
          <w:rFonts w:hint="eastAsia" w:ascii="Times New Roman" w:cs="Times New Roman"/>
          <w:szCs w:val="24"/>
          <w:lang w:eastAsia="zh-CN"/>
        </w:rPr>
        <w:t>7.6-4</w:t>
      </w:r>
      <w:r>
        <w:rPr>
          <w:rFonts w:ascii="Times New Roman" w:hAnsi="Times New Roman" w:cs="Times New Roman"/>
          <w:szCs w:val="24"/>
          <w:lang w:eastAsia="zh-CN"/>
        </w:rPr>
        <w:t>），m</w:t>
      </w:r>
      <w:r>
        <w:rPr>
          <w:rFonts w:ascii="Times New Roman" w:hAnsi="Times New Roman" w:cs="Times New Roman"/>
          <w:szCs w:val="24"/>
          <w:vertAlign w:val="superscript"/>
          <w:lang w:eastAsia="zh-CN"/>
        </w:rPr>
        <w:t>2</w:t>
      </w:r>
      <w:r>
        <w:rPr>
          <w:rFonts w:ascii="Times New Roman" w:hAnsi="Times New Roman" w:cs="Times New Roman"/>
          <w:szCs w:val="24"/>
          <w:lang w:eastAsia="zh-CN"/>
        </w:rPr>
        <w:t>/s；</w:t>
      </w:r>
    </w:p>
    <w:p w14:paraId="509CF812">
      <w:pPr>
        <w:spacing w:line="360" w:lineRule="auto"/>
        <w:ind w:firstLine="480" w:firstLineChars="200"/>
        <w:rPr>
          <w:rFonts w:ascii="Times New Roman" w:hAnsi="Times New Roman" w:cs="Times New Roman"/>
          <w:szCs w:val="24"/>
          <w:lang w:eastAsia="zh-CN"/>
        </w:rPr>
      </w:pPr>
      <w:r>
        <w:rPr>
          <w:rFonts w:ascii="Times New Roman" w:hAnsi="Times New Roman" w:cs="Times New Roman"/>
          <w:szCs w:val="24"/>
          <w:lang w:eastAsia="zh-CN"/>
        </w:rPr>
        <w:t xml:space="preserve">      t</w:t>
      </w:r>
      <w:r>
        <w:rPr>
          <w:rFonts w:hint="eastAsia" w:ascii="Times New Roman" w:hAnsi="Times New Roman" w:cs="Times New Roman"/>
          <w:szCs w:val="24"/>
          <w:lang w:eastAsia="zh-CN"/>
        </w:rPr>
        <w:t>——</w:t>
      </w:r>
      <w:r>
        <w:rPr>
          <w:rFonts w:ascii="Times New Roman" w:hAnsi="Times New Roman" w:cs="Times New Roman"/>
          <w:szCs w:val="24"/>
          <w:lang w:eastAsia="zh-CN"/>
        </w:rPr>
        <w:t>蒸发时间，s。</w:t>
      </w:r>
    </w:p>
    <w:p w14:paraId="30E5B8AF">
      <w:pPr>
        <w:spacing w:line="360" w:lineRule="auto"/>
        <w:ind w:firstLine="480" w:firstLineChars="200"/>
        <w:rPr>
          <w:rFonts w:ascii="Times New Roman" w:hAnsi="Times New Roman" w:cs="Times New Roman"/>
          <w:szCs w:val="24"/>
          <w:lang w:eastAsia="zh-CN"/>
        </w:rPr>
      </w:pPr>
      <w:r>
        <w:rPr>
          <w:rFonts w:ascii="Times New Roman" w:hAnsi="Times New Roman" w:cs="Times New Roman"/>
          <w:szCs w:val="24"/>
          <w:lang w:eastAsia="zh-CN"/>
        </w:rPr>
        <w:t>不同地面热扩散系数</w:t>
      </w:r>
      <w:r>
        <w:rPr>
          <w:rFonts w:hint="eastAsia" w:ascii="Times New Roman" w:hAnsi="Times New Roman" w:cs="Times New Roman"/>
          <w:szCs w:val="24"/>
          <w:lang w:eastAsia="zh-CN"/>
        </w:rPr>
        <w:t>下表</w:t>
      </w:r>
      <w:r>
        <w:rPr>
          <w:rFonts w:ascii="Times New Roman" w:hAnsi="Times New Roman" w:cs="Times New Roman"/>
          <w:szCs w:val="24"/>
          <w:lang w:eastAsia="zh-CN"/>
        </w:rPr>
        <w:t>所示。</w:t>
      </w:r>
    </w:p>
    <w:p w14:paraId="77EAEBDC">
      <w:pPr>
        <w:spacing w:line="360" w:lineRule="auto"/>
        <w:jc w:val="center"/>
        <w:rPr>
          <w:rFonts w:ascii="Times New Roman" w:hAnsi="Times New Roman" w:cs="Times New Roman"/>
          <w:b/>
          <w:bCs/>
          <w:szCs w:val="24"/>
          <w:lang w:eastAsia="zh-CN"/>
        </w:rPr>
      </w:pPr>
      <w:r>
        <w:rPr>
          <w:rFonts w:ascii="Times New Roman" w:hAnsi="Times New Roman" w:cs="Times New Roman"/>
          <w:b/>
          <w:bCs/>
          <w:szCs w:val="24"/>
          <w:lang w:eastAsia="zh-CN"/>
        </w:rPr>
        <w:t>表7.</w:t>
      </w:r>
      <w:r>
        <w:rPr>
          <w:rFonts w:hint="eastAsia" w:ascii="Times New Roman" w:hAnsi="Times New Roman" w:cs="Times New Roman"/>
          <w:b/>
          <w:bCs/>
          <w:szCs w:val="24"/>
          <w:lang w:eastAsia="zh-CN"/>
        </w:rPr>
        <w:t>7</w:t>
      </w:r>
      <w:r>
        <w:rPr>
          <w:rFonts w:ascii="Times New Roman" w:hAnsi="Times New Roman" w:cs="Times New Roman"/>
          <w:b/>
          <w:bCs/>
          <w:szCs w:val="24"/>
          <w:lang w:eastAsia="zh-CN"/>
        </w:rPr>
        <w:t>-4 不同地面热扩散系数一览表</w:t>
      </w:r>
    </w:p>
    <w:tbl>
      <w:tblPr>
        <w:tblStyle w:val="35"/>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762"/>
        <w:gridCol w:w="3325"/>
        <w:gridCol w:w="3659"/>
      </w:tblGrid>
      <w:tr w14:paraId="45DB32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17" w:type="pct"/>
            <w:vAlign w:val="center"/>
          </w:tcPr>
          <w:p w14:paraId="0A675268">
            <w:pPr>
              <w:jc w:val="center"/>
              <w:rPr>
                <w:rFonts w:ascii="Times New Roman" w:hAnsi="Times New Roman" w:cs="Times New Roman"/>
                <w:b/>
                <w:bCs/>
                <w:sz w:val="21"/>
                <w:lang w:eastAsia="zh-CN"/>
              </w:rPr>
            </w:pPr>
            <w:r>
              <w:rPr>
                <w:rFonts w:ascii="Times New Roman" w:hAnsi="Times New Roman" w:cs="Times New Roman"/>
                <w:b/>
                <w:bCs/>
                <w:sz w:val="21"/>
                <w:lang w:eastAsia="zh-CN"/>
              </w:rPr>
              <w:t>地面情况</w:t>
            </w:r>
          </w:p>
        </w:tc>
        <w:tc>
          <w:tcPr>
            <w:tcW w:w="1706" w:type="pct"/>
            <w:vAlign w:val="center"/>
          </w:tcPr>
          <w:p w14:paraId="38D12072">
            <w:pPr>
              <w:jc w:val="center"/>
              <w:rPr>
                <w:rFonts w:ascii="Times New Roman" w:hAnsi="Times New Roman" w:cs="Times New Roman"/>
                <w:b/>
                <w:bCs/>
                <w:sz w:val="21"/>
                <w:lang w:eastAsia="zh-CN"/>
              </w:rPr>
            </w:pPr>
            <w:r>
              <w:rPr>
                <w:rFonts w:ascii="Times New Roman" w:hAnsi="Times New Roman" w:cs="Times New Roman"/>
                <w:b/>
                <w:bCs/>
                <w:sz w:val="21"/>
                <w:lang w:eastAsia="zh-CN"/>
              </w:rPr>
              <w:t>λ（W/m·k）</w:t>
            </w:r>
          </w:p>
        </w:tc>
        <w:tc>
          <w:tcPr>
            <w:tcW w:w="1877" w:type="pct"/>
            <w:vAlign w:val="center"/>
          </w:tcPr>
          <w:p w14:paraId="49D685E3">
            <w:pPr>
              <w:jc w:val="center"/>
              <w:rPr>
                <w:rFonts w:ascii="Times New Roman" w:hAnsi="Times New Roman" w:cs="Times New Roman"/>
                <w:b/>
                <w:bCs/>
                <w:sz w:val="21"/>
                <w:lang w:eastAsia="zh-CN"/>
              </w:rPr>
            </w:pPr>
            <w:r>
              <w:rPr>
                <w:rFonts w:ascii="Times New Roman" w:hAnsi="Times New Roman" w:cs="Times New Roman"/>
                <w:b/>
                <w:bCs/>
                <w:sz w:val="21"/>
                <w:lang w:eastAsia="zh-CN"/>
              </w:rPr>
              <w:t>α（m</w:t>
            </w:r>
            <w:r>
              <w:rPr>
                <w:rFonts w:ascii="Times New Roman" w:hAnsi="Times New Roman" w:cs="Times New Roman"/>
                <w:b/>
                <w:bCs/>
                <w:sz w:val="21"/>
                <w:vertAlign w:val="superscript"/>
                <w:lang w:eastAsia="zh-CN"/>
              </w:rPr>
              <w:t>2</w:t>
            </w:r>
            <w:r>
              <w:rPr>
                <w:rFonts w:ascii="Times New Roman" w:hAnsi="Times New Roman" w:cs="Times New Roman"/>
                <w:b/>
                <w:bCs/>
                <w:sz w:val="21"/>
                <w:lang w:eastAsia="zh-CN"/>
              </w:rPr>
              <w:t>/s）</w:t>
            </w:r>
          </w:p>
        </w:tc>
      </w:tr>
      <w:tr w14:paraId="4F71A4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17" w:type="pct"/>
            <w:vAlign w:val="center"/>
          </w:tcPr>
          <w:p w14:paraId="052B4F94">
            <w:pPr>
              <w:jc w:val="center"/>
              <w:rPr>
                <w:rFonts w:ascii="Times New Roman" w:hAnsi="Times New Roman" w:cs="Times New Roman"/>
                <w:sz w:val="21"/>
                <w:lang w:eastAsia="zh-CN"/>
              </w:rPr>
            </w:pPr>
            <w:r>
              <w:rPr>
                <w:rFonts w:ascii="Times New Roman" w:hAnsi="Times New Roman" w:cs="Times New Roman"/>
                <w:sz w:val="21"/>
                <w:lang w:eastAsia="zh-CN"/>
              </w:rPr>
              <w:t>水泥</w:t>
            </w:r>
          </w:p>
        </w:tc>
        <w:tc>
          <w:tcPr>
            <w:tcW w:w="1706" w:type="pct"/>
            <w:vAlign w:val="center"/>
          </w:tcPr>
          <w:p w14:paraId="6998A686">
            <w:pPr>
              <w:jc w:val="center"/>
              <w:rPr>
                <w:rFonts w:ascii="Times New Roman" w:hAnsi="Times New Roman" w:cs="Times New Roman"/>
                <w:sz w:val="21"/>
                <w:lang w:eastAsia="zh-CN"/>
              </w:rPr>
            </w:pPr>
            <w:r>
              <w:rPr>
                <w:rFonts w:ascii="Times New Roman" w:hAnsi="Times New Roman" w:cs="Times New Roman"/>
                <w:sz w:val="21"/>
                <w:lang w:eastAsia="zh-CN"/>
              </w:rPr>
              <w:t>1.1</w:t>
            </w:r>
          </w:p>
        </w:tc>
        <w:tc>
          <w:tcPr>
            <w:tcW w:w="1877" w:type="pct"/>
            <w:vAlign w:val="center"/>
          </w:tcPr>
          <w:p w14:paraId="203940A4">
            <w:pPr>
              <w:jc w:val="center"/>
              <w:rPr>
                <w:rFonts w:ascii="Times New Roman" w:hAnsi="Times New Roman" w:cs="Times New Roman"/>
                <w:sz w:val="21"/>
                <w:lang w:eastAsia="zh-CN"/>
              </w:rPr>
            </w:pPr>
            <w:r>
              <w:rPr>
                <w:rFonts w:ascii="Times New Roman" w:hAnsi="Times New Roman" w:cs="Times New Roman"/>
                <w:sz w:val="21"/>
                <w:lang w:eastAsia="zh-CN"/>
              </w:rPr>
              <w:t>1.29×10</w:t>
            </w:r>
            <w:r>
              <w:rPr>
                <w:rFonts w:ascii="Times New Roman" w:hAnsi="Times New Roman" w:cs="Times New Roman"/>
                <w:sz w:val="21"/>
                <w:vertAlign w:val="superscript"/>
                <w:lang w:eastAsia="zh-CN"/>
              </w:rPr>
              <w:t>-7</w:t>
            </w:r>
          </w:p>
        </w:tc>
      </w:tr>
      <w:tr w14:paraId="302907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17" w:type="pct"/>
            <w:vAlign w:val="center"/>
          </w:tcPr>
          <w:p w14:paraId="55CF0249">
            <w:pPr>
              <w:jc w:val="center"/>
              <w:rPr>
                <w:rFonts w:ascii="Times New Roman" w:hAnsi="Times New Roman" w:cs="Times New Roman"/>
                <w:sz w:val="21"/>
                <w:lang w:eastAsia="zh-CN"/>
              </w:rPr>
            </w:pPr>
            <w:r>
              <w:rPr>
                <w:rFonts w:ascii="Times New Roman" w:hAnsi="Times New Roman" w:cs="Times New Roman"/>
                <w:sz w:val="21"/>
                <w:lang w:eastAsia="zh-CN"/>
              </w:rPr>
              <w:t>土地（含水8%）</w:t>
            </w:r>
          </w:p>
        </w:tc>
        <w:tc>
          <w:tcPr>
            <w:tcW w:w="1706" w:type="pct"/>
            <w:vAlign w:val="center"/>
          </w:tcPr>
          <w:p w14:paraId="01978D5B">
            <w:pPr>
              <w:jc w:val="center"/>
              <w:rPr>
                <w:rFonts w:ascii="Times New Roman" w:hAnsi="Times New Roman" w:cs="Times New Roman"/>
                <w:sz w:val="21"/>
                <w:lang w:eastAsia="zh-CN"/>
              </w:rPr>
            </w:pPr>
            <w:r>
              <w:rPr>
                <w:rFonts w:ascii="Times New Roman" w:hAnsi="Times New Roman" w:cs="Times New Roman"/>
                <w:sz w:val="21"/>
                <w:lang w:eastAsia="zh-CN"/>
              </w:rPr>
              <w:t>0.9</w:t>
            </w:r>
          </w:p>
        </w:tc>
        <w:tc>
          <w:tcPr>
            <w:tcW w:w="1877" w:type="pct"/>
            <w:vAlign w:val="center"/>
          </w:tcPr>
          <w:p w14:paraId="2E167F93">
            <w:pPr>
              <w:jc w:val="center"/>
              <w:rPr>
                <w:rFonts w:ascii="Times New Roman" w:hAnsi="Times New Roman" w:cs="Times New Roman"/>
                <w:sz w:val="21"/>
                <w:lang w:eastAsia="zh-CN"/>
              </w:rPr>
            </w:pPr>
            <w:r>
              <w:rPr>
                <w:rFonts w:ascii="Times New Roman" w:hAnsi="Times New Roman" w:cs="Times New Roman"/>
                <w:sz w:val="21"/>
                <w:lang w:eastAsia="zh-CN"/>
              </w:rPr>
              <w:t>4.3×10</w:t>
            </w:r>
            <w:r>
              <w:rPr>
                <w:rFonts w:ascii="Times New Roman" w:hAnsi="Times New Roman" w:cs="Times New Roman"/>
                <w:sz w:val="21"/>
                <w:vertAlign w:val="superscript"/>
                <w:lang w:eastAsia="zh-CN"/>
              </w:rPr>
              <w:t>-7</w:t>
            </w:r>
          </w:p>
        </w:tc>
      </w:tr>
      <w:tr w14:paraId="6EF1DE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17" w:type="pct"/>
            <w:vAlign w:val="center"/>
          </w:tcPr>
          <w:p w14:paraId="3124553B">
            <w:pPr>
              <w:jc w:val="center"/>
              <w:rPr>
                <w:rFonts w:ascii="Times New Roman" w:hAnsi="Times New Roman" w:cs="Times New Roman"/>
                <w:sz w:val="21"/>
                <w:lang w:eastAsia="zh-CN"/>
              </w:rPr>
            </w:pPr>
            <w:r>
              <w:rPr>
                <w:rFonts w:ascii="Times New Roman" w:hAnsi="Times New Roman" w:cs="Times New Roman"/>
                <w:sz w:val="21"/>
                <w:lang w:eastAsia="zh-CN"/>
              </w:rPr>
              <w:t>干阔土地</w:t>
            </w:r>
          </w:p>
        </w:tc>
        <w:tc>
          <w:tcPr>
            <w:tcW w:w="1706" w:type="pct"/>
            <w:vAlign w:val="center"/>
          </w:tcPr>
          <w:p w14:paraId="59E6923C">
            <w:pPr>
              <w:jc w:val="center"/>
              <w:rPr>
                <w:rFonts w:ascii="Times New Roman" w:hAnsi="Times New Roman" w:cs="Times New Roman"/>
                <w:sz w:val="21"/>
                <w:lang w:eastAsia="zh-CN"/>
              </w:rPr>
            </w:pPr>
            <w:r>
              <w:rPr>
                <w:rFonts w:ascii="Times New Roman" w:hAnsi="Times New Roman" w:cs="Times New Roman"/>
                <w:sz w:val="21"/>
                <w:lang w:eastAsia="zh-CN"/>
              </w:rPr>
              <w:t>0.3</w:t>
            </w:r>
          </w:p>
        </w:tc>
        <w:tc>
          <w:tcPr>
            <w:tcW w:w="1877" w:type="pct"/>
            <w:vAlign w:val="center"/>
          </w:tcPr>
          <w:p w14:paraId="7D84E92A">
            <w:pPr>
              <w:jc w:val="center"/>
              <w:rPr>
                <w:rFonts w:ascii="Times New Roman" w:hAnsi="Times New Roman" w:cs="Times New Roman"/>
                <w:sz w:val="21"/>
                <w:lang w:eastAsia="zh-CN"/>
              </w:rPr>
            </w:pPr>
            <w:r>
              <w:rPr>
                <w:rFonts w:ascii="Times New Roman" w:hAnsi="Times New Roman" w:cs="Times New Roman"/>
                <w:sz w:val="21"/>
                <w:lang w:eastAsia="zh-CN"/>
              </w:rPr>
              <w:t>2.3×10</w:t>
            </w:r>
            <w:r>
              <w:rPr>
                <w:rFonts w:ascii="Times New Roman" w:hAnsi="Times New Roman" w:cs="Times New Roman"/>
                <w:sz w:val="21"/>
                <w:vertAlign w:val="superscript"/>
                <w:lang w:eastAsia="zh-CN"/>
              </w:rPr>
              <w:t>-7</w:t>
            </w:r>
          </w:p>
        </w:tc>
      </w:tr>
      <w:tr w14:paraId="3DF9CF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17" w:type="pct"/>
            <w:vAlign w:val="center"/>
          </w:tcPr>
          <w:p w14:paraId="4FFF2EEE">
            <w:pPr>
              <w:jc w:val="center"/>
              <w:rPr>
                <w:rFonts w:ascii="Times New Roman" w:hAnsi="Times New Roman" w:cs="Times New Roman"/>
                <w:sz w:val="21"/>
                <w:lang w:eastAsia="zh-CN"/>
              </w:rPr>
            </w:pPr>
            <w:r>
              <w:rPr>
                <w:rFonts w:ascii="Times New Roman" w:hAnsi="Times New Roman" w:cs="Times New Roman"/>
                <w:sz w:val="21"/>
                <w:lang w:eastAsia="zh-CN"/>
              </w:rPr>
              <w:t>湿地</w:t>
            </w:r>
          </w:p>
        </w:tc>
        <w:tc>
          <w:tcPr>
            <w:tcW w:w="1706" w:type="pct"/>
            <w:vAlign w:val="center"/>
          </w:tcPr>
          <w:p w14:paraId="0BB8434B">
            <w:pPr>
              <w:jc w:val="center"/>
              <w:rPr>
                <w:rFonts w:ascii="Times New Roman" w:hAnsi="Times New Roman" w:cs="Times New Roman"/>
                <w:sz w:val="21"/>
                <w:lang w:eastAsia="zh-CN"/>
              </w:rPr>
            </w:pPr>
            <w:r>
              <w:rPr>
                <w:rFonts w:ascii="Times New Roman" w:hAnsi="Times New Roman" w:cs="Times New Roman"/>
                <w:sz w:val="21"/>
                <w:lang w:eastAsia="zh-CN"/>
              </w:rPr>
              <w:t>0.6</w:t>
            </w:r>
          </w:p>
        </w:tc>
        <w:tc>
          <w:tcPr>
            <w:tcW w:w="1877" w:type="pct"/>
            <w:vAlign w:val="center"/>
          </w:tcPr>
          <w:p w14:paraId="36FA5E20">
            <w:pPr>
              <w:jc w:val="center"/>
              <w:rPr>
                <w:rFonts w:ascii="Times New Roman" w:hAnsi="Times New Roman" w:cs="Times New Roman"/>
                <w:sz w:val="21"/>
                <w:lang w:eastAsia="zh-CN"/>
              </w:rPr>
            </w:pPr>
            <w:r>
              <w:rPr>
                <w:rFonts w:ascii="Times New Roman" w:hAnsi="Times New Roman" w:cs="Times New Roman"/>
                <w:sz w:val="21"/>
                <w:lang w:eastAsia="zh-CN"/>
              </w:rPr>
              <w:t>3.3×10</w:t>
            </w:r>
            <w:r>
              <w:rPr>
                <w:rFonts w:ascii="Times New Roman" w:hAnsi="Times New Roman" w:cs="Times New Roman"/>
                <w:sz w:val="21"/>
                <w:vertAlign w:val="superscript"/>
                <w:lang w:eastAsia="zh-CN"/>
              </w:rPr>
              <w:t>-7</w:t>
            </w:r>
          </w:p>
        </w:tc>
      </w:tr>
      <w:tr w14:paraId="57EA5C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17" w:type="pct"/>
            <w:vAlign w:val="center"/>
          </w:tcPr>
          <w:p w14:paraId="338F1F70">
            <w:pPr>
              <w:jc w:val="center"/>
              <w:rPr>
                <w:rFonts w:ascii="Times New Roman" w:hAnsi="Times New Roman" w:cs="Times New Roman"/>
                <w:sz w:val="21"/>
                <w:lang w:eastAsia="zh-CN"/>
              </w:rPr>
            </w:pPr>
            <w:r>
              <w:rPr>
                <w:rFonts w:ascii="Times New Roman" w:hAnsi="Times New Roman" w:cs="Times New Roman"/>
                <w:sz w:val="21"/>
                <w:lang w:eastAsia="zh-CN"/>
              </w:rPr>
              <w:t>砂砾地</w:t>
            </w:r>
          </w:p>
        </w:tc>
        <w:tc>
          <w:tcPr>
            <w:tcW w:w="1706" w:type="pct"/>
            <w:vAlign w:val="center"/>
          </w:tcPr>
          <w:p w14:paraId="14B5D6D8">
            <w:pPr>
              <w:jc w:val="center"/>
              <w:rPr>
                <w:rFonts w:ascii="Times New Roman" w:hAnsi="Times New Roman" w:cs="Times New Roman"/>
                <w:sz w:val="21"/>
                <w:lang w:eastAsia="zh-CN"/>
              </w:rPr>
            </w:pPr>
            <w:r>
              <w:rPr>
                <w:rFonts w:ascii="Times New Roman" w:hAnsi="Times New Roman" w:cs="Times New Roman"/>
                <w:sz w:val="21"/>
                <w:lang w:eastAsia="zh-CN"/>
              </w:rPr>
              <w:t>2.5</w:t>
            </w:r>
          </w:p>
        </w:tc>
        <w:tc>
          <w:tcPr>
            <w:tcW w:w="1877" w:type="pct"/>
            <w:vAlign w:val="center"/>
          </w:tcPr>
          <w:p w14:paraId="1EFFD711">
            <w:pPr>
              <w:jc w:val="center"/>
              <w:rPr>
                <w:rFonts w:ascii="Times New Roman" w:hAnsi="Times New Roman" w:cs="Times New Roman"/>
                <w:sz w:val="21"/>
                <w:lang w:eastAsia="zh-CN"/>
              </w:rPr>
            </w:pPr>
            <w:r>
              <w:rPr>
                <w:rFonts w:ascii="Times New Roman" w:hAnsi="Times New Roman" w:cs="Times New Roman"/>
                <w:sz w:val="21"/>
                <w:lang w:eastAsia="zh-CN"/>
              </w:rPr>
              <w:t>11.0×10</w:t>
            </w:r>
            <w:r>
              <w:rPr>
                <w:rFonts w:ascii="Times New Roman" w:hAnsi="Times New Roman" w:cs="Times New Roman"/>
                <w:sz w:val="21"/>
                <w:vertAlign w:val="superscript"/>
                <w:lang w:eastAsia="zh-CN"/>
              </w:rPr>
              <w:t>-7</w:t>
            </w:r>
          </w:p>
        </w:tc>
      </w:tr>
    </w:tbl>
    <w:p w14:paraId="54E3C77E">
      <w:pPr>
        <w:spacing w:line="360" w:lineRule="auto"/>
        <w:ind w:firstLine="480" w:firstLineChars="200"/>
        <w:rPr>
          <w:rFonts w:ascii="Times New Roman" w:hAnsi="Times New Roman" w:cs="Times New Roman"/>
          <w:szCs w:val="24"/>
          <w:lang w:eastAsia="zh-CN"/>
        </w:rPr>
      </w:pPr>
      <w:r>
        <w:rPr>
          <w:rFonts w:ascii="宋体" w:hAnsi="宋体" w:cs="Times New Roman"/>
          <w:szCs w:val="24"/>
          <w:lang w:eastAsia="zh-CN"/>
        </w:rPr>
        <w:t>③</w:t>
      </w:r>
      <w:r>
        <w:rPr>
          <w:rFonts w:hint="eastAsia" w:ascii="宋体" w:hAnsi="宋体" w:cs="Times New Roman"/>
          <w:szCs w:val="24"/>
          <w:lang w:eastAsia="zh-CN"/>
        </w:rPr>
        <w:t xml:space="preserve"> </w:t>
      </w:r>
      <w:r>
        <w:rPr>
          <w:rFonts w:ascii="Times New Roman" w:hAnsi="Times New Roman" w:cs="Times New Roman"/>
          <w:szCs w:val="24"/>
          <w:lang w:eastAsia="zh-CN"/>
        </w:rPr>
        <w:t>质量蒸发估算</w:t>
      </w:r>
    </w:p>
    <w:p w14:paraId="41691E97">
      <w:pPr>
        <w:spacing w:line="360" w:lineRule="auto"/>
        <w:ind w:firstLine="480" w:firstLineChars="200"/>
        <w:jc w:val="both"/>
        <w:rPr>
          <w:rFonts w:ascii="Times New Roman" w:hAnsi="Times New Roman" w:cs="Times New Roman"/>
          <w:szCs w:val="24"/>
          <w:lang w:eastAsia="zh-CN"/>
        </w:rPr>
      </w:pPr>
      <w:r>
        <w:rPr>
          <w:rFonts w:ascii="Times New Roman" w:hAnsi="Times New Roman" w:cs="Times New Roman"/>
          <w:szCs w:val="24"/>
          <w:lang w:eastAsia="zh-CN"/>
        </w:rPr>
        <w:t>当热量蒸发结束后，转由液池表面气流运动使液体蒸发，称之为质量蒸发。其蒸发速率按下式计算。</w:t>
      </w:r>
    </w:p>
    <w:p w14:paraId="78C75D52">
      <w:pPr>
        <w:spacing w:line="360" w:lineRule="auto"/>
        <w:jc w:val="center"/>
        <w:rPr>
          <w:rFonts w:ascii="Times New Roman" w:hAnsi="Times New Roman" w:cs="Times New Roman"/>
          <w:szCs w:val="24"/>
          <w:lang w:eastAsia="zh-CN"/>
        </w:rPr>
      </w:pPr>
      <w:r>
        <w:rPr>
          <w:snapToGrid/>
        </w:rPr>
        <w:drawing>
          <wp:inline distT="0" distB="0" distL="0" distR="0">
            <wp:extent cx="1955800" cy="619760"/>
            <wp:effectExtent l="0" t="0" r="6350" b="8890"/>
            <wp:docPr id="1924545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54535" name="图片 1"/>
                    <pic:cNvPicPr>
                      <a:picLocks noChangeAspect="1"/>
                    </pic:cNvPicPr>
                  </pic:nvPicPr>
                  <pic:blipFill>
                    <a:blip r:embed="rId114"/>
                    <a:stretch>
                      <a:fillRect/>
                    </a:stretch>
                  </pic:blipFill>
                  <pic:spPr>
                    <a:xfrm>
                      <a:off x="0" y="0"/>
                      <a:ext cx="2017192" cy="639143"/>
                    </a:xfrm>
                    <a:prstGeom prst="rect">
                      <a:avLst/>
                    </a:prstGeom>
                  </pic:spPr>
                </pic:pic>
              </a:graphicData>
            </a:graphic>
          </wp:inline>
        </w:drawing>
      </w:r>
    </w:p>
    <w:p w14:paraId="13540429">
      <w:pPr>
        <w:spacing w:line="360" w:lineRule="auto"/>
        <w:ind w:firstLine="480" w:firstLineChars="200"/>
        <w:rPr>
          <w:rFonts w:ascii="Times New Roman" w:hAnsi="Times New Roman" w:cs="Times New Roman"/>
          <w:szCs w:val="24"/>
          <w:lang w:eastAsia="zh-CN"/>
        </w:rPr>
      </w:pPr>
      <w:r>
        <w:rPr>
          <w:rFonts w:ascii="Times New Roman" w:hAnsi="Times New Roman" w:cs="Times New Roman"/>
          <w:szCs w:val="24"/>
          <w:lang w:eastAsia="zh-CN"/>
        </w:rPr>
        <w:t>式中：Q</w:t>
      </w:r>
      <w:r>
        <w:rPr>
          <w:rFonts w:hint="eastAsia" w:ascii="Times New Roman" w:hAnsi="Times New Roman" w:cs="Times New Roman"/>
          <w:szCs w:val="24"/>
          <w:lang w:eastAsia="zh-CN"/>
        </w:rPr>
        <w:t>——</w:t>
      </w:r>
      <w:r>
        <w:rPr>
          <w:rFonts w:ascii="Times New Roman" w:hAnsi="Times New Roman" w:cs="Times New Roman"/>
          <w:szCs w:val="24"/>
          <w:lang w:eastAsia="zh-CN"/>
        </w:rPr>
        <w:t>质量蒸发速率，kg/s；</w:t>
      </w:r>
    </w:p>
    <w:p w14:paraId="193045A1">
      <w:pPr>
        <w:spacing w:line="360" w:lineRule="auto"/>
        <w:ind w:firstLine="1200" w:firstLineChars="500"/>
        <w:rPr>
          <w:rFonts w:ascii="Times New Roman" w:hAnsi="Times New Roman" w:cs="Times New Roman"/>
          <w:szCs w:val="24"/>
          <w:lang w:eastAsia="zh-CN"/>
        </w:rPr>
      </w:pPr>
      <w:r>
        <w:rPr>
          <w:rFonts w:ascii="Times New Roman" w:hAnsi="Times New Roman" w:cs="Times New Roman"/>
          <w:szCs w:val="24"/>
          <w:lang w:eastAsia="zh-CN"/>
        </w:rPr>
        <w:t>P</w:t>
      </w:r>
      <w:r>
        <w:rPr>
          <w:rFonts w:hint="eastAsia" w:ascii="Times New Roman" w:hAnsi="Times New Roman" w:cs="Times New Roman"/>
          <w:szCs w:val="24"/>
          <w:lang w:eastAsia="zh-CN"/>
        </w:rPr>
        <w:t>——</w:t>
      </w:r>
      <w:r>
        <w:rPr>
          <w:rFonts w:ascii="Times New Roman" w:hAnsi="Times New Roman" w:cs="Times New Roman"/>
          <w:szCs w:val="24"/>
          <w:lang w:eastAsia="zh-CN"/>
        </w:rPr>
        <w:t>液体表面蒸气压，Pa；</w:t>
      </w:r>
    </w:p>
    <w:p w14:paraId="6BEBF5D2">
      <w:pPr>
        <w:spacing w:line="360" w:lineRule="auto"/>
        <w:ind w:firstLine="1200" w:firstLineChars="500"/>
        <w:rPr>
          <w:rFonts w:ascii="Times New Roman" w:hAnsi="Times New Roman" w:cs="Times New Roman"/>
          <w:szCs w:val="24"/>
          <w:lang w:eastAsia="zh-CN"/>
        </w:rPr>
      </w:pPr>
      <w:r>
        <w:rPr>
          <w:rFonts w:ascii="Times New Roman" w:hAnsi="Times New Roman" w:cs="Times New Roman"/>
          <w:szCs w:val="24"/>
          <w:lang w:eastAsia="zh-CN"/>
        </w:rPr>
        <w:t>M</w:t>
      </w:r>
      <w:r>
        <w:rPr>
          <w:rFonts w:hint="eastAsia" w:ascii="Times New Roman" w:hAnsi="Times New Roman" w:cs="Times New Roman"/>
          <w:szCs w:val="24"/>
          <w:lang w:eastAsia="zh-CN"/>
        </w:rPr>
        <w:t>——</w:t>
      </w:r>
      <w:r>
        <w:rPr>
          <w:rFonts w:ascii="Times New Roman" w:hAnsi="Times New Roman" w:cs="Times New Roman"/>
          <w:szCs w:val="24"/>
          <w:lang w:eastAsia="zh-CN"/>
        </w:rPr>
        <w:t>物质的摩尔质量，kg/mol；</w:t>
      </w:r>
    </w:p>
    <w:p w14:paraId="56426C4E">
      <w:pPr>
        <w:spacing w:line="360" w:lineRule="auto"/>
        <w:ind w:firstLine="1200" w:firstLineChars="500"/>
        <w:rPr>
          <w:rFonts w:ascii="Times New Roman" w:hAnsi="Times New Roman" w:cs="Times New Roman"/>
          <w:szCs w:val="24"/>
          <w:lang w:eastAsia="zh-CN"/>
        </w:rPr>
      </w:pPr>
      <w:r>
        <w:rPr>
          <w:rFonts w:ascii="Times New Roman" w:hAnsi="Times New Roman" w:cs="Times New Roman"/>
          <w:szCs w:val="24"/>
          <w:lang w:eastAsia="zh-CN"/>
        </w:rPr>
        <w:t>R</w:t>
      </w:r>
      <w:r>
        <w:rPr>
          <w:rFonts w:hint="eastAsia" w:ascii="Times New Roman" w:hAnsi="Times New Roman" w:cs="Times New Roman"/>
          <w:szCs w:val="24"/>
          <w:lang w:eastAsia="zh-CN"/>
        </w:rPr>
        <w:t>——</w:t>
      </w:r>
      <w:r>
        <w:rPr>
          <w:rFonts w:ascii="Times New Roman" w:hAnsi="Times New Roman" w:cs="Times New Roman"/>
          <w:szCs w:val="24"/>
          <w:lang w:eastAsia="zh-CN"/>
        </w:rPr>
        <w:t>气体常数，J/(mol数，)；</w:t>
      </w:r>
    </w:p>
    <w:p w14:paraId="4D41BF48">
      <w:pPr>
        <w:spacing w:line="360" w:lineRule="auto"/>
        <w:ind w:firstLine="1200" w:firstLineChars="500"/>
        <w:rPr>
          <w:rFonts w:ascii="Times New Roman" w:hAnsi="Times New Roman" w:cs="Times New Roman"/>
          <w:szCs w:val="24"/>
          <w:lang w:eastAsia="zh-CN"/>
        </w:rPr>
      </w:pPr>
      <w:r>
        <w:rPr>
          <w:rFonts w:ascii="Times New Roman" w:hAnsi="Times New Roman" w:cs="Times New Roman"/>
          <w:szCs w:val="24"/>
          <w:lang w:eastAsia="zh-CN"/>
        </w:rPr>
        <w:t xml:space="preserve">T </w:t>
      </w:r>
      <w:r>
        <w:rPr>
          <w:rFonts w:hint="eastAsia" w:ascii="Times New Roman" w:hAnsi="Times New Roman" w:cs="Times New Roman"/>
          <w:szCs w:val="24"/>
          <w:lang w:eastAsia="zh-CN"/>
        </w:rPr>
        <w:t>——</w:t>
      </w:r>
      <w:r>
        <w:rPr>
          <w:rFonts w:ascii="Times New Roman" w:hAnsi="Times New Roman" w:cs="Times New Roman"/>
          <w:szCs w:val="24"/>
          <w:lang w:eastAsia="zh-CN"/>
        </w:rPr>
        <w:t>环境温度，K；</w:t>
      </w:r>
    </w:p>
    <w:p w14:paraId="6E5409EA">
      <w:pPr>
        <w:spacing w:line="360" w:lineRule="auto"/>
        <w:ind w:firstLine="1200" w:firstLineChars="500"/>
        <w:rPr>
          <w:rFonts w:ascii="Times New Roman" w:hAnsi="Times New Roman" w:cs="Times New Roman"/>
          <w:szCs w:val="24"/>
          <w:lang w:eastAsia="zh-CN"/>
        </w:rPr>
      </w:pPr>
      <w:r>
        <w:rPr>
          <w:rFonts w:ascii="Times New Roman" w:hAnsi="Times New Roman" w:cs="Times New Roman"/>
          <w:szCs w:val="24"/>
          <w:lang w:eastAsia="zh-CN"/>
        </w:rPr>
        <w:t>μ</w:t>
      </w:r>
      <w:r>
        <w:rPr>
          <w:rFonts w:hint="eastAsia" w:ascii="Times New Roman" w:hAnsi="Times New Roman" w:cs="Times New Roman"/>
          <w:szCs w:val="24"/>
          <w:lang w:eastAsia="zh-CN"/>
        </w:rPr>
        <w:t>——</w:t>
      </w:r>
      <w:r>
        <w:rPr>
          <w:rFonts w:ascii="Times New Roman" w:hAnsi="Times New Roman" w:cs="Times New Roman"/>
          <w:szCs w:val="24"/>
          <w:lang w:eastAsia="zh-CN"/>
        </w:rPr>
        <w:t>风速，m/s；</w:t>
      </w:r>
    </w:p>
    <w:p w14:paraId="290D5144">
      <w:pPr>
        <w:spacing w:line="360" w:lineRule="auto"/>
        <w:ind w:firstLine="1200" w:firstLineChars="500"/>
        <w:rPr>
          <w:rFonts w:ascii="Times New Roman" w:hAnsi="Times New Roman" w:cs="Times New Roman"/>
          <w:szCs w:val="24"/>
          <w:lang w:eastAsia="zh-CN"/>
        </w:rPr>
      </w:pPr>
      <w:r>
        <w:rPr>
          <w:rFonts w:ascii="Times New Roman" w:hAnsi="Times New Roman" w:cs="Times New Roman"/>
          <w:szCs w:val="24"/>
          <w:lang w:eastAsia="zh-CN"/>
        </w:rPr>
        <w:t>r s液池半径，m，以围堰最大等效半径为液池半径；</w:t>
      </w:r>
    </w:p>
    <w:p w14:paraId="7EF36FE5">
      <w:pPr>
        <w:spacing w:line="360" w:lineRule="auto"/>
        <w:ind w:firstLine="1200" w:firstLineChars="500"/>
        <w:rPr>
          <w:rFonts w:ascii="Times New Roman" w:hAnsi="Times New Roman" w:cs="Times New Roman"/>
          <w:szCs w:val="24"/>
          <w:lang w:eastAsia="zh-CN"/>
        </w:rPr>
      </w:pPr>
      <w:r>
        <w:rPr>
          <w:rFonts w:ascii="Times New Roman" w:hAnsi="Times New Roman" w:cs="Times New Roman"/>
          <w:szCs w:val="24"/>
          <w:lang w:eastAsia="zh-CN"/>
        </w:rPr>
        <w:t>a，n</w:t>
      </w:r>
      <w:r>
        <w:rPr>
          <w:rFonts w:hint="eastAsia" w:ascii="Times New Roman" w:hAnsi="Times New Roman" w:cs="Times New Roman"/>
          <w:szCs w:val="24"/>
          <w:lang w:eastAsia="zh-CN"/>
        </w:rPr>
        <w:t>——</w:t>
      </w:r>
      <w:r>
        <w:rPr>
          <w:rFonts w:ascii="Times New Roman" w:hAnsi="Times New Roman" w:cs="Times New Roman"/>
          <w:szCs w:val="24"/>
          <w:lang w:eastAsia="zh-CN"/>
        </w:rPr>
        <w:t>大气稳定系数，取值见表</w:t>
      </w:r>
      <w:r>
        <w:rPr>
          <w:rFonts w:hint="eastAsia" w:ascii="Times New Roman" w:cs="Times New Roman"/>
          <w:szCs w:val="24"/>
          <w:lang w:eastAsia="zh-CN"/>
        </w:rPr>
        <w:t>7.7-5</w:t>
      </w:r>
      <w:r>
        <w:rPr>
          <w:rFonts w:ascii="Times New Roman" w:hAnsi="Times New Roman" w:cs="Times New Roman"/>
          <w:szCs w:val="24"/>
          <w:lang w:eastAsia="zh-CN"/>
        </w:rPr>
        <w:t>。</w:t>
      </w:r>
    </w:p>
    <w:p w14:paraId="1B0BB709">
      <w:pPr>
        <w:spacing w:line="360" w:lineRule="auto"/>
        <w:jc w:val="center"/>
        <w:rPr>
          <w:rFonts w:ascii="Times New Roman" w:hAnsi="Times New Roman" w:cs="Times New Roman"/>
          <w:b/>
          <w:bCs/>
          <w:szCs w:val="24"/>
          <w:lang w:eastAsia="zh-CN"/>
        </w:rPr>
      </w:pPr>
      <w:r>
        <w:rPr>
          <w:rFonts w:ascii="Times New Roman" w:hAnsi="Times New Roman" w:cs="Times New Roman"/>
          <w:szCs w:val="24"/>
          <w:lang w:eastAsia="zh-CN"/>
        </w:rPr>
        <w:tab/>
      </w:r>
      <w:r>
        <w:rPr>
          <w:rFonts w:ascii="Times New Roman" w:hAnsi="Times New Roman" w:cs="Times New Roman"/>
          <w:b/>
          <w:bCs/>
          <w:szCs w:val="24"/>
          <w:lang w:eastAsia="zh-CN"/>
        </w:rPr>
        <w:t>表7.</w:t>
      </w:r>
      <w:r>
        <w:rPr>
          <w:rFonts w:hint="eastAsia" w:ascii="Times New Roman" w:hAnsi="Times New Roman" w:cs="Times New Roman"/>
          <w:b/>
          <w:bCs/>
          <w:szCs w:val="24"/>
          <w:lang w:eastAsia="zh-CN"/>
        </w:rPr>
        <w:t>7</w:t>
      </w:r>
      <w:r>
        <w:rPr>
          <w:rFonts w:ascii="Times New Roman" w:hAnsi="Times New Roman" w:cs="Times New Roman"/>
          <w:b/>
          <w:bCs/>
          <w:szCs w:val="24"/>
          <w:lang w:eastAsia="zh-CN"/>
        </w:rPr>
        <w:t>-5 液池蒸发模式参数</w:t>
      </w:r>
    </w:p>
    <w:tbl>
      <w:tblPr>
        <w:tblStyle w:val="35"/>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031"/>
        <w:gridCol w:w="2859"/>
        <w:gridCol w:w="2856"/>
      </w:tblGrid>
      <w:tr w14:paraId="1BF81B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68" w:type="pct"/>
            <w:vAlign w:val="center"/>
          </w:tcPr>
          <w:p w14:paraId="2B79A5A5">
            <w:pPr>
              <w:jc w:val="center"/>
              <w:rPr>
                <w:rFonts w:ascii="Times New Roman" w:hAnsi="Times New Roman" w:cs="Times New Roman"/>
                <w:b/>
                <w:bCs/>
                <w:sz w:val="21"/>
                <w:lang w:eastAsia="zh-CN"/>
              </w:rPr>
            </w:pPr>
            <w:r>
              <w:rPr>
                <w:rFonts w:ascii="Times New Roman" w:hAnsi="Times New Roman" w:cs="Times New Roman"/>
                <w:b/>
                <w:bCs/>
                <w:sz w:val="21"/>
                <w:lang w:eastAsia="zh-CN"/>
              </w:rPr>
              <w:t>大气稳定状况</w:t>
            </w:r>
          </w:p>
        </w:tc>
        <w:tc>
          <w:tcPr>
            <w:tcW w:w="1467" w:type="pct"/>
            <w:vAlign w:val="center"/>
          </w:tcPr>
          <w:p w14:paraId="74D46874">
            <w:pPr>
              <w:jc w:val="center"/>
              <w:rPr>
                <w:rFonts w:ascii="Times New Roman" w:hAnsi="Times New Roman" w:cs="Times New Roman"/>
                <w:b/>
                <w:bCs/>
                <w:sz w:val="21"/>
                <w:lang w:eastAsia="zh-CN"/>
              </w:rPr>
            </w:pPr>
            <w:r>
              <w:rPr>
                <w:rFonts w:ascii="Times New Roman" w:hAnsi="Times New Roman" w:cs="Times New Roman"/>
                <w:b/>
                <w:bCs/>
                <w:sz w:val="21"/>
                <w:lang w:eastAsia="zh-CN"/>
              </w:rPr>
              <w:t>n</w:t>
            </w:r>
          </w:p>
        </w:tc>
        <w:tc>
          <w:tcPr>
            <w:tcW w:w="1465" w:type="pct"/>
            <w:vAlign w:val="center"/>
          </w:tcPr>
          <w:p w14:paraId="13B82F37">
            <w:pPr>
              <w:jc w:val="center"/>
              <w:rPr>
                <w:rFonts w:ascii="Times New Roman" w:hAnsi="Times New Roman" w:cs="Times New Roman"/>
                <w:b/>
                <w:bCs/>
                <w:sz w:val="21"/>
                <w:lang w:eastAsia="zh-CN"/>
              </w:rPr>
            </w:pPr>
            <w:r>
              <w:rPr>
                <w:rFonts w:ascii="Times New Roman" w:hAnsi="Times New Roman" w:cs="Times New Roman"/>
                <w:b/>
                <w:bCs/>
                <w:sz w:val="21"/>
                <w:lang w:eastAsia="zh-CN"/>
              </w:rPr>
              <w:t>a</w:t>
            </w:r>
          </w:p>
        </w:tc>
      </w:tr>
      <w:tr w14:paraId="5FBAC5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68" w:type="pct"/>
            <w:vAlign w:val="center"/>
          </w:tcPr>
          <w:p w14:paraId="1839A6DD">
            <w:pPr>
              <w:jc w:val="center"/>
              <w:rPr>
                <w:rFonts w:ascii="Times New Roman" w:hAnsi="Times New Roman" w:cs="Times New Roman"/>
                <w:sz w:val="21"/>
                <w:lang w:eastAsia="zh-CN"/>
              </w:rPr>
            </w:pPr>
            <w:r>
              <w:rPr>
                <w:rFonts w:ascii="Times New Roman" w:hAnsi="Times New Roman" w:cs="Times New Roman"/>
                <w:sz w:val="21"/>
                <w:lang w:eastAsia="zh-CN"/>
              </w:rPr>
              <w:t>不稳定（A，B）</w:t>
            </w:r>
          </w:p>
        </w:tc>
        <w:tc>
          <w:tcPr>
            <w:tcW w:w="1467" w:type="pct"/>
            <w:vAlign w:val="center"/>
          </w:tcPr>
          <w:p w14:paraId="76C32C7F">
            <w:pPr>
              <w:jc w:val="center"/>
              <w:rPr>
                <w:rFonts w:ascii="Times New Roman" w:hAnsi="Times New Roman" w:cs="Times New Roman"/>
                <w:sz w:val="21"/>
                <w:lang w:eastAsia="zh-CN"/>
              </w:rPr>
            </w:pPr>
            <w:r>
              <w:rPr>
                <w:rFonts w:ascii="Times New Roman" w:hAnsi="Times New Roman" w:cs="Times New Roman"/>
                <w:sz w:val="21"/>
                <w:lang w:eastAsia="zh-CN"/>
              </w:rPr>
              <w:t>0.2</w:t>
            </w:r>
          </w:p>
        </w:tc>
        <w:tc>
          <w:tcPr>
            <w:tcW w:w="1465" w:type="pct"/>
            <w:vAlign w:val="center"/>
          </w:tcPr>
          <w:p w14:paraId="388EF787">
            <w:pPr>
              <w:jc w:val="center"/>
              <w:rPr>
                <w:rFonts w:ascii="Times New Roman" w:hAnsi="Times New Roman" w:cs="Times New Roman"/>
                <w:sz w:val="21"/>
                <w:lang w:eastAsia="zh-CN"/>
              </w:rPr>
            </w:pPr>
            <w:r>
              <w:rPr>
                <w:rFonts w:ascii="Times New Roman" w:hAnsi="Times New Roman" w:cs="Times New Roman"/>
                <w:sz w:val="21"/>
                <w:lang w:eastAsia="zh-CN"/>
              </w:rPr>
              <w:t>3.846×10</w:t>
            </w:r>
            <w:r>
              <w:rPr>
                <w:rFonts w:ascii="Times New Roman" w:hAnsi="Times New Roman" w:cs="Times New Roman"/>
                <w:sz w:val="21"/>
                <w:vertAlign w:val="superscript"/>
                <w:lang w:eastAsia="zh-CN"/>
              </w:rPr>
              <w:t>-3</w:t>
            </w:r>
          </w:p>
        </w:tc>
      </w:tr>
      <w:tr w14:paraId="6EC62C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68" w:type="pct"/>
            <w:vAlign w:val="center"/>
          </w:tcPr>
          <w:p w14:paraId="1B3374E2">
            <w:pPr>
              <w:jc w:val="center"/>
              <w:rPr>
                <w:rFonts w:ascii="Times New Roman" w:hAnsi="Times New Roman" w:cs="Times New Roman"/>
                <w:sz w:val="21"/>
                <w:lang w:eastAsia="zh-CN"/>
              </w:rPr>
            </w:pPr>
            <w:r>
              <w:rPr>
                <w:rFonts w:ascii="Times New Roman" w:hAnsi="Times New Roman" w:cs="Times New Roman"/>
                <w:sz w:val="21"/>
                <w:lang w:eastAsia="zh-CN"/>
              </w:rPr>
              <w:t>自然稳定（D）</w:t>
            </w:r>
          </w:p>
        </w:tc>
        <w:tc>
          <w:tcPr>
            <w:tcW w:w="1467" w:type="pct"/>
            <w:vAlign w:val="center"/>
          </w:tcPr>
          <w:p w14:paraId="2017B6A1">
            <w:pPr>
              <w:jc w:val="center"/>
              <w:rPr>
                <w:rFonts w:ascii="Times New Roman" w:hAnsi="Times New Roman" w:cs="Times New Roman"/>
                <w:sz w:val="21"/>
                <w:lang w:eastAsia="zh-CN"/>
              </w:rPr>
            </w:pPr>
            <w:r>
              <w:rPr>
                <w:rFonts w:ascii="Times New Roman" w:hAnsi="Times New Roman" w:cs="Times New Roman"/>
                <w:sz w:val="21"/>
                <w:lang w:eastAsia="zh-CN"/>
              </w:rPr>
              <w:t>0.25</w:t>
            </w:r>
          </w:p>
        </w:tc>
        <w:tc>
          <w:tcPr>
            <w:tcW w:w="1465" w:type="pct"/>
            <w:vAlign w:val="center"/>
          </w:tcPr>
          <w:p w14:paraId="48C5FEA0">
            <w:pPr>
              <w:jc w:val="center"/>
              <w:rPr>
                <w:rFonts w:ascii="Times New Roman" w:hAnsi="Times New Roman" w:cs="Times New Roman"/>
                <w:sz w:val="21"/>
                <w:lang w:eastAsia="zh-CN"/>
              </w:rPr>
            </w:pPr>
            <w:r>
              <w:rPr>
                <w:rFonts w:ascii="Times New Roman" w:hAnsi="Times New Roman" w:cs="Times New Roman"/>
                <w:sz w:val="21"/>
                <w:lang w:eastAsia="zh-CN"/>
              </w:rPr>
              <w:t>4.685×10</w:t>
            </w:r>
            <w:r>
              <w:rPr>
                <w:rFonts w:ascii="Times New Roman" w:hAnsi="Times New Roman" w:cs="Times New Roman"/>
                <w:sz w:val="21"/>
                <w:vertAlign w:val="superscript"/>
                <w:lang w:eastAsia="zh-CN"/>
              </w:rPr>
              <w:t>-3</w:t>
            </w:r>
          </w:p>
        </w:tc>
      </w:tr>
      <w:tr w14:paraId="6F3F59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68" w:type="pct"/>
            <w:vAlign w:val="center"/>
          </w:tcPr>
          <w:p w14:paraId="43A7CA54">
            <w:pPr>
              <w:jc w:val="center"/>
              <w:rPr>
                <w:rFonts w:ascii="Times New Roman" w:hAnsi="Times New Roman" w:cs="Times New Roman"/>
                <w:sz w:val="21"/>
                <w:lang w:eastAsia="zh-CN"/>
              </w:rPr>
            </w:pPr>
            <w:r>
              <w:rPr>
                <w:rFonts w:ascii="Times New Roman" w:hAnsi="Times New Roman" w:cs="Times New Roman"/>
                <w:sz w:val="21"/>
                <w:lang w:eastAsia="zh-CN"/>
              </w:rPr>
              <w:t>稳定（E，F）</w:t>
            </w:r>
          </w:p>
        </w:tc>
        <w:tc>
          <w:tcPr>
            <w:tcW w:w="1467" w:type="pct"/>
            <w:vAlign w:val="center"/>
          </w:tcPr>
          <w:p w14:paraId="1709DFD8">
            <w:pPr>
              <w:jc w:val="center"/>
              <w:rPr>
                <w:rFonts w:ascii="Times New Roman" w:hAnsi="Times New Roman" w:cs="Times New Roman"/>
                <w:sz w:val="21"/>
                <w:lang w:eastAsia="zh-CN"/>
              </w:rPr>
            </w:pPr>
            <w:r>
              <w:rPr>
                <w:rFonts w:ascii="Times New Roman" w:hAnsi="Times New Roman" w:cs="Times New Roman"/>
                <w:sz w:val="21"/>
                <w:lang w:eastAsia="zh-CN"/>
              </w:rPr>
              <w:t>0.3</w:t>
            </w:r>
          </w:p>
        </w:tc>
        <w:tc>
          <w:tcPr>
            <w:tcW w:w="1465" w:type="pct"/>
            <w:vAlign w:val="center"/>
          </w:tcPr>
          <w:p w14:paraId="70DD2773">
            <w:pPr>
              <w:jc w:val="center"/>
              <w:rPr>
                <w:rFonts w:ascii="Times New Roman" w:hAnsi="Times New Roman" w:cs="Times New Roman"/>
                <w:sz w:val="21"/>
                <w:lang w:eastAsia="zh-CN"/>
              </w:rPr>
            </w:pPr>
            <w:r>
              <w:rPr>
                <w:rFonts w:ascii="Times New Roman" w:hAnsi="Times New Roman" w:cs="Times New Roman"/>
                <w:sz w:val="21"/>
                <w:lang w:eastAsia="zh-CN"/>
              </w:rPr>
              <w:t>5.285×10</w:t>
            </w:r>
            <w:r>
              <w:rPr>
                <w:rFonts w:ascii="Times New Roman" w:hAnsi="Times New Roman" w:cs="Times New Roman"/>
                <w:sz w:val="21"/>
                <w:vertAlign w:val="superscript"/>
                <w:lang w:eastAsia="zh-CN"/>
              </w:rPr>
              <w:t>-3</w:t>
            </w:r>
          </w:p>
        </w:tc>
      </w:tr>
    </w:tbl>
    <w:p w14:paraId="69966ACB">
      <w:pPr>
        <w:spacing w:line="360" w:lineRule="auto"/>
        <w:ind w:firstLine="480" w:firstLineChars="200"/>
        <w:rPr>
          <w:rFonts w:ascii="Times New Roman" w:hAnsi="Times New Roman" w:cs="Times New Roman"/>
          <w:szCs w:val="24"/>
          <w:lang w:eastAsia="zh-CN"/>
        </w:rPr>
      </w:pPr>
      <w:r>
        <w:rPr>
          <w:rFonts w:ascii="宋体" w:hAnsi="宋体" w:cs="Times New Roman"/>
          <w:szCs w:val="24"/>
          <w:lang w:eastAsia="zh-CN"/>
        </w:rPr>
        <w:t>④</w:t>
      </w:r>
      <w:r>
        <w:rPr>
          <w:rFonts w:ascii="Times New Roman" w:hAnsi="Times New Roman" w:cs="Times New Roman"/>
          <w:szCs w:val="24"/>
          <w:lang w:eastAsia="zh-CN"/>
        </w:rPr>
        <w:t xml:space="preserve"> 液体蒸发总量计算</w:t>
      </w:r>
    </w:p>
    <w:p w14:paraId="4A8BEEEC">
      <w:pPr>
        <w:spacing w:line="360" w:lineRule="auto"/>
        <w:ind w:firstLine="480" w:firstLineChars="200"/>
        <w:rPr>
          <w:rFonts w:ascii="Times New Roman" w:hAnsi="Times New Roman" w:cs="Times New Roman"/>
          <w:szCs w:val="24"/>
          <w:lang w:eastAsia="zh-CN"/>
        </w:rPr>
      </w:pPr>
      <w:r>
        <w:rPr>
          <w:rFonts w:ascii="Times New Roman" w:hAnsi="Times New Roman" w:cs="Times New Roman"/>
          <w:szCs w:val="24"/>
          <w:lang w:eastAsia="zh-CN"/>
        </w:rPr>
        <w:t>液体蒸发总量按下式计算。</w:t>
      </w:r>
    </w:p>
    <w:p w14:paraId="7559B344">
      <w:pPr>
        <w:spacing w:line="360" w:lineRule="auto"/>
        <w:jc w:val="center"/>
        <w:rPr>
          <w:rFonts w:ascii="Times New Roman" w:hAnsi="Times New Roman" w:cs="Times New Roman"/>
          <w:szCs w:val="24"/>
          <w:lang w:eastAsia="zh-CN"/>
        </w:rPr>
      </w:pPr>
      <w:r>
        <w:rPr>
          <w:rFonts w:ascii="Times New Roman" w:hAnsi="Times New Roman" w:cs="Times New Roman"/>
          <w:szCs w:val="24"/>
          <w:lang w:eastAsia="zh-CN"/>
        </w:rPr>
        <w:t>Wp=Q1t1+Q2t2+Q3t3</w:t>
      </w:r>
    </w:p>
    <w:p w14:paraId="0D3F2840">
      <w:pPr>
        <w:spacing w:line="360" w:lineRule="auto"/>
        <w:ind w:firstLine="480" w:firstLineChars="200"/>
        <w:rPr>
          <w:rFonts w:ascii="Times New Roman" w:hAnsi="Times New Roman" w:cs="Times New Roman"/>
          <w:szCs w:val="24"/>
          <w:lang w:eastAsia="zh-CN"/>
        </w:rPr>
      </w:pPr>
      <w:r>
        <w:rPr>
          <w:rFonts w:ascii="Times New Roman" w:hAnsi="Times New Roman" w:cs="Times New Roman"/>
          <w:szCs w:val="24"/>
          <w:lang w:eastAsia="zh-CN"/>
        </w:rPr>
        <w:t>式中：Wp</w:t>
      </w:r>
      <w:r>
        <w:rPr>
          <w:rFonts w:hint="eastAsia" w:ascii="Times New Roman" w:hAnsi="Times New Roman" w:cs="Times New Roman"/>
          <w:szCs w:val="24"/>
          <w:lang w:eastAsia="zh-CN"/>
        </w:rPr>
        <w:t>——</w:t>
      </w:r>
      <w:r>
        <w:rPr>
          <w:rFonts w:ascii="Times New Roman" w:hAnsi="Times New Roman" w:cs="Times New Roman"/>
          <w:szCs w:val="24"/>
          <w:lang w:eastAsia="zh-CN"/>
        </w:rPr>
        <w:t>液体蒸发总量，kg；</w:t>
      </w:r>
    </w:p>
    <w:p w14:paraId="4AF7CC22">
      <w:pPr>
        <w:spacing w:line="360" w:lineRule="auto"/>
        <w:ind w:firstLine="1200" w:firstLineChars="500"/>
        <w:rPr>
          <w:rFonts w:ascii="Times New Roman" w:hAnsi="Times New Roman" w:cs="Times New Roman"/>
          <w:szCs w:val="24"/>
          <w:lang w:eastAsia="zh-CN"/>
        </w:rPr>
      </w:pPr>
      <w:r>
        <w:rPr>
          <w:rFonts w:ascii="Times New Roman" w:hAnsi="Times New Roman" w:cs="Times New Roman"/>
          <w:szCs w:val="24"/>
          <w:lang w:eastAsia="zh-CN"/>
        </w:rPr>
        <w:t>Q1</w:t>
      </w:r>
      <w:r>
        <w:rPr>
          <w:rFonts w:hint="eastAsia" w:ascii="Times New Roman" w:hAnsi="Times New Roman" w:cs="Times New Roman"/>
          <w:szCs w:val="24"/>
          <w:lang w:eastAsia="zh-CN"/>
        </w:rPr>
        <w:t>——</w:t>
      </w:r>
      <w:r>
        <w:rPr>
          <w:rFonts w:ascii="Times New Roman" w:hAnsi="Times New Roman" w:cs="Times New Roman"/>
          <w:szCs w:val="24"/>
          <w:lang w:eastAsia="zh-CN"/>
        </w:rPr>
        <w:t>闪蒸液体蒸发速率，kg/s；</w:t>
      </w:r>
    </w:p>
    <w:p w14:paraId="1F5F06A0">
      <w:pPr>
        <w:spacing w:line="360" w:lineRule="auto"/>
        <w:ind w:firstLine="1200" w:firstLineChars="500"/>
        <w:rPr>
          <w:rFonts w:ascii="Times New Roman" w:hAnsi="Times New Roman" w:cs="Times New Roman"/>
          <w:szCs w:val="24"/>
          <w:lang w:eastAsia="zh-CN"/>
        </w:rPr>
      </w:pPr>
      <w:r>
        <w:rPr>
          <w:rFonts w:ascii="Times New Roman" w:hAnsi="Times New Roman" w:cs="Times New Roman"/>
          <w:szCs w:val="24"/>
          <w:lang w:eastAsia="zh-CN"/>
        </w:rPr>
        <w:t>Q2</w:t>
      </w:r>
      <w:r>
        <w:rPr>
          <w:rFonts w:hint="eastAsia" w:ascii="Times New Roman" w:hAnsi="Times New Roman" w:cs="Times New Roman"/>
          <w:szCs w:val="24"/>
          <w:lang w:eastAsia="zh-CN"/>
        </w:rPr>
        <w:t>——</w:t>
      </w:r>
      <w:r>
        <w:rPr>
          <w:rFonts w:ascii="Times New Roman" w:hAnsi="Times New Roman" w:cs="Times New Roman"/>
          <w:szCs w:val="24"/>
          <w:lang w:eastAsia="zh-CN"/>
        </w:rPr>
        <w:t>热量蒸发速率，kg/s；</w:t>
      </w:r>
    </w:p>
    <w:p w14:paraId="1B8DEC89">
      <w:pPr>
        <w:spacing w:line="360" w:lineRule="auto"/>
        <w:ind w:firstLine="1200" w:firstLineChars="500"/>
        <w:rPr>
          <w:rFonts w:ascii="Times New Roman" w:hAnsi="Times New Roman" w:cs="Times New Roman"/>
          <w:szCs w:val="24"/>
          <w:lang w:eastAsia="zh-CN"/>
        </w:rPr>
      </w:pPr>
      <w:r>
        <w:rPr>
          <w:rFonts w:ascii="Times New Roman" w:hAnsi="Times New Roman" w:cs="Times New Roman"/>
          <w:szCs w:val="24"/>
          <w:lang w:eastAsia="zh-CN"/>
        </w:rPr>
        <w:t>Q3</w:t>
      </w:r>
      <w:r>
        <w:rPr>
          <w:rFonts w:hint="eastAsia" w:ascii="Times New Roman" w:hAnsi="Times New Roman" w:cs="Times New Roman"/>
          <w:szCs w:val="24"/>
          <w:lang w:eastAsia="zh-CN"/>
        </w:rPr>
        <w:t>——</w:t>
      </w:r>
      <w:r>
        <w:rPr>
          <w:rFonts w:ascii="Times New Roman" w:hAnsi="Times New Roman" w:cs="Times New Roman"/>
          <w:szCs w:val="24"/>
          <w:lang w:eastAsia="zh-CN"/>
        </w:rPr>
        <w:t>质量蒸发速率，kg/s；</w:t>
      </w:r>
    </w:p>
    <w:p w14:paraId="2EB81764">
      <w:pPr>
        <w:spacing w:line="360" w:lineRule="auto"/>
        <w:ind w:firstLine="1200" w:firstLineChars="500"/>
        <w:rPr>
          <w:rFonts w:ascii="Times New Roman" w:hAnsi="Times New Roman" w:cs="Times New Roman"/>
          <w:szCs w:val="24"/>
          <w:lang w:eastAsia="zh-CN"/>
        </w:rPr>
      </w:pPr>
      <w:r>
        <w:rPr>
          <w:rFonts w:ascii="Times New Roman" w:hAnsi="Times New Roman" w:cs="Times New Roman"/>
          <w:szCs w:val="24"/>
          <w:lang w:eastAsia="zh-CN"/>
        </w:rPr>
        <w:t>t1</w:t>
      </w:r>
      <w:r>
        <w:rPr>
          <w:rFonts w:hint="eastAsia" w:ascii="Times New Roman" w:hAnsi="Times New Roman" w:cs="Times New Roman"/>
          <w:szCs w:val="24"/>
          <w:lang w:eastAsia="zh-CN"/>
        </w:rPr>
        <w:t>——</w:t>
      </w:r>
      <w:r>
        <w:rPr>
          <w:rFonts w:ascii="Times New Roman" w:hAnsi="Times New Roman" w:cs="Times New Roman"/>
          <w:szCs w:val="24"/>
          <w:lang w:eastAsia="zh-CN"/>
        </w:rPr>
        <w:t>闪蒸蒸发时间，s；</w:t>
      </w:r>
    </w:p>
    <w:p w14:paraId="67662613">
      <w:pPr>
        <w:spacing w:line="360" w:lineRule="auto"/>
        <w:ind w:firstLine="1200" w:firstLineChars="500"/>
        <w:rPr>
          <w:rFonts w:ascii="Times New Roman" w:hAnsi="Times New Roman" w:cs="Times New Roman"/>
          <w:szCs w:val="24"/>
          <w:lang w:eastAsia="zh-CN"/>
        </w:rPr>
      </w:pPr>
      <w:r>
        <w:rPr>
          <w:rFonts w:ascii="Times New Roman" w:hAnsi="Times New Roman" w:cs="Times New Roman"/>
          <w:szCs w:val="24"/>
          <w:lang w:eastAsia="zh-CN"/>
        </w:rPr>
        <w:t>t2</w:t>
      </w:r>
      <w:r>
        <w:rPr>
          <w:rFonts w:hint="eastAsia" w:ascii="Times New Roman" w:hAnsi="Times New Roman" w:cs="Times New Roman"/>
          <w:szCs w:val="24"/>
          <w:lang w:eastAsia="zh-CN"/>
        </w:rPr>
        <w:t>——</w:t>
      </w:r>
      <w:r>
        <w:rPr>
          <w:rFonts w:ascii="Times New Roman" w:hAnsi="Times New Roman" w:cs="Times New Roman"/>
          <w:szCs w:val="24"/>
          <w:lang w:eastAsia="zh-CN"/>
        </w:rPr>
        <w:t>热量蒸发时间，s；</w:t>
      </w:r>
    </w:p>
    <w:p w14:paraId="54CFA36F">
      <w:pPr>
        <w:spacing w:line="360" w:lineRule="auto"/>
        <w:ind w:firstLine="1200" w:firstLineChars="500"/>
        <w:rPr>
          <w:rFonts w:ascii="Times New Roman" w:hAnsi="Times New Roman" w:cs="Times New Roman"/>
          <w:szCs w:val="24"/>
          <w:lang w:eastAsia="zh-CN"/>
        </w:rPr>
      </w:pPr>
      <w:r>
        <w:rPr>
          <w:rFonts w:ascii="Times New Roman" w:hAnsi="Times New Roman" w:cs="Times New Roman"/>
          <w:szCs w:val="24"/>
          <w:lang w:eastAsia="zh-CN"/>
        </w:rPr>
        <w:t>t3</w:t>
      </w:r>
      <w:r>
        <w:rPr>
          <w:rFonts w:hint="eastAsia" w:ascii="Times New Roman" w:hAnsi="Times New Roman" w:cs="Times New Roman"/>
          <w:szCs w:val="24"/>
          <w:lang w:eastAsia="zh-CN"/>
        </w:rPr>
        <w:t>——</w:t>
      </w:r>
      <w:r>
        <w:rPr>
          <w:rFonts w:ascii="Times New Roman" w:hAnsi="Times New Roman" w:cs="Times New Roman"/>
          <w:szCs w:val="24"/>
          <w:lang w:eastAsia="zh-CN"/>
        </w:rPr>
        <w:t>从液体泄漏到全部清理完毕的时间，s；</w:t>
      </w:r>
    </w:p>
    <w:p w14:paraId="3CBDAED1">
      <w:pPr>
        <w:spacing w:line="360" w:lineRule="auto"/>
        <w:ind w:left="480"/>
        <w:rPr>
          <w:rFonts w:ascii="Times New Roman" w:hAnsi="Times New Roman" w:cs="Times New Roman"/>
          <w:szCs w:val="24"/>
          <w:lang w:eastAsia="zh-CN"/>
        </w:rPr>
      </w:pPr>
      <w:r>
        <w:rPr>
          <w:rFonts w:hint="eastAsia" w:ascii="Times New Roman" w:hAnsi="Times New Roman" w:cs="Times New Roman"/>
          <w:szCs w:val="24"/>
          <w:lang w:eastAsia="zh-CN"/>
        </w:rPr>
        <w:t>（3）</w:t>
      </w:r>
      <w:r>
        <w:rPr>
          <w:rFonts w:ascii="Times New Roman" w:hAnsi="Times New Roman" w:cs="Times New Roman"/>
          <w:szCs w:val="24"/>
          <w:lang w:eastAsia="zh-CN"/>
        </w:rPr>
        <w:t>火灾伴生/次生污染物一氧化碳产生量估算</w:t>
      </w:r>
    </w:p>
    <w:p w14:paraId="53E86B6E">
      <w:pPr>
        <w:spacing w:line="360" w:lineRule="auto"/>
        <w:ind w:firstLine="480" w:firstLineChars="200"/>
        <w:rPr>
          <w:rFonts w:ascii="Times New Roman" w:hAnsi="Times New Roman" w:cs="Times New Roman"/>
          <w:szCs w:val="24"/>
          <w:lang w:eastAsia="zh-CN"/>
        </w:rPr>
      </w:pPr>
      <w:r>
        <w:rPr>
          <w:rFonts w:ascii="Times New Roman" w:hAnsi="Times New Roman" w:cs="Times New Roman"/>
          <w:szCs w:val="24"/>
          <w:lang w:eastAsia="zh-CN"/>
        </w:rPr>
        <w:t>火灾伴生/次生一氧化碳产生量按下式计算。</w:t>
      </w:r>
    </w:p>
    <w:p w14:paraId="166E3D32">
      <w:pPr>
        <w:spacing w:line="360" w:lineRule="auto"/>
        <w:jc w:val="center"/>
        <w:rPr>
          <w:rFonts w:ascii="Times New Roman" w:hAnsi="Times New Roman" w:cs="Times New Roman"/>
          <w:szCs w:val="24"/>
          <w:lang w:eastAsia="zh-CN"/>
        </w:rPr>
      </w:pPr>
      <w:bookmarkStart w:id="2059" w:name="_Toc15320"/>
      <w:r>
        <w:rPr>
          <w:rFonts w:ascii="Times New Roman" w:hAnsi="Times New Roman" w:cs="Times New Roman"/>
          <w:szCs w:val="24"/>
          <w:lang w:eastAsia="zh-CN"/>
        </w:rPr>
        <w:t>G</w:t>
      </w:r>
      <w:r>
        <w:rPr>
          <w:rFonts w:ascii="Times New Roman" w:hAnsi="Times New Roman" w:cs="Times New Roman"/>
          <w:szCs w:val="24"/>
          <w:vertAlign w:val="subscript"/>
          <w:lang w:eastAsia="zh-CN"/>
        </w:rPr>
        <w:t>一氧化碳</w:t>
      </w:r>
      <w:r>
        <w:rPr>
          <w:rFonts w:ascii="Times New Roman" w:hAnsi="Times New Roman" w:cs="Times New Roman"/>
          <w:szCs w:val="24"/>
          <w:lang w:eastAsia="zh-CN"/>
        </w:rPr>
        <w:t>=2330qCQ</w:t>
      </w:r>
      <w:bookmarkEnd w:id="2059"/>
    </w:p>
    <w:p w14:paraId="1E2E5FAA">
      <w:pPr>
        <w:spacing w:line="360" w:lineRule="auto"/>
        <w:ind w:firstLine="480" w:firstLineChars="200"/>
        <w:rPr>
          <w:rFonts w:ascii="Times New Roman" w:hAnsi="Times New Roman" w:cs="Times New Roman"/>
          <w:szCs w:val="24"/>
          <w:lang w:eastAsia="zh-CN"/>
        </w:rPr>
      </w:pPr>
      <w:r>
        <w:rPr>
          <w:rFonts w:ascii="Times New Roman" w:hAnsi="Times New Roman" w:cs="Times New Roman"/>
          <w:szCs w:val="24"/>
          <w:lang w:eastAsia="zh-CN"/>
        </w:rPr>
        <w:t>式中：G</w:t>
      </w:r>
      <w:r>
        <w:rPr>
          <w:rFonts w:ascii="Times New Roman" w:hAnsi="Times New Roman" w:cs="Times New Roman"/>
          <w:szCs w:val="24"/>
          <w:vertAlign w:val="subscript"/>
          <w:lang w:eastAsia="zh-CN"/>
        </w:rPr>
        <w:t>一氧化碳</w:t>
      </w:r>
      <w:r>
        <w:rPr>
          <w:rFonts w:hint="eastAsia" w:ascii="Times New Roman" w:hAnsi="Times New Roman" w:cs="Times New Roman"/>
          <w:szCs w:val="24"/>
          <w:lang w:eastAsia="zh-CN"/>
        </w:rPr>
        <w:t>——</w:t>
      </w:r>
      <w:r>
        <w:rPr>
          <w:rFonts w:ascii="Times New Roman" w:hAnsi="Times New Roman" w:cs="Times New Roman"/>
          <w:szCs w:val="24"/>
          <w:lang w:eastAsia="zh-CN"/>
        </w:rPr>
        <w:t>一氧化碳的产生量，kg/s；</w:t>
      </w:r>
    </w:p>
    <w:p w14:paraId="7418AE95">
      <w:pPr>
        <w:spacing w:line="360" w:lineRule="auto"/>
        <w:ind w:firstLine="1200" w:firstLineChars="500"/>
        <w:rPr>
          <w:rFonts w:ascii="Times New Roman" w:hAnsi="Times New Roman" w:cs="Times New Roman"/>
          <w:szCs w:val="24"/>
          <w:lang w:eastAsia="zh-CN"/>
        </w:rPr>
      </w:pPr>
      <w:r>
        <w:rPr>
          <w:rFonts w:ascii="Times New Roman" w:hAnsi="Times New Roman" w:cs="Times New Roman"/>
          <w:szCs w:val="24"/>
          <w:lang w:eastAsia="zh-CN"/>
        </w:rPr>
        <w:t>C</w:t>
      </w:r>
      <w:r>
        <w:rPr>
          <w:rFonts w:hint="eastAsia" w:ascii="Times New Roman" w:hAnsi="Times New Roman" w:cs="Times New Roman"/>
          <w:szCs w:val="24"/>
          <w:lang w:eastAsia="zh-CN"/>
        </w:rPr>
        <w:t>——</w:t>
      </w:r>
      <w:r>
        <w:rPr>
          <w:rFonts w:ascii="Times New Roman" w:hAnsi="Times New Roman" w:cs="Times New Roman"/>
          <w:szCs w:val="24"/>
          <w:lang w:eastAsia="zh-CN"/>
        </w:rPr>
        <w:t>物质中碳的含量；</w:t>
      </w:r>
    </w:p>
    <w:p w14:paraId="71EE8250">
      <w:pPr>
        <w:spacing w:line="360" w:lineRule="auto"/>
        <w:ind w:firstLine="1200" w:firstLineChars="500"/>
        <w:rPr>
          <w:rFonts w:ascii="Times New Roman" w:hAnsi="Times New Roman" w:cs="Times New Roman"/>
          <w:szCs w:val="24"/>
          <w:lang w:eastAsia="zh-CN"/>
        </w:rPr>
      </w:pPr>
      <w:r>
        <w:rPr>
          <w:rFonts w:ascii="Times New Roman" w:hAnsi="Times New Roman" w:cs="Times New Roman"/>
          <w:szCs w:val="24"/>
          <w:lang w:eastAsia="zh-CN"/>
        </w:rPr>
        <w:t>q</w:t>
      </w:r>
      <w:r>
        <w:rPr>
          <w:rFonts w:hint="eastAsia" w:ascii="Times New Roman" w:hAnsi="Times New Roman" w:cs="Times New Roman"/>
          <w:szCs w:val="24"/>
          <w:lang w:eastAsia="zh-CN"/>
        </w:rPr>
        <w:t>——</w:t>
      </w:r>
      <w:r>
        <w:rPr>
          <w:rFonts w:ascii="Times New Roman" w:hAnsi="Times New Roman" w:cs="Times New Roman"/>
          <w:szCs w:val="24"/>
          <w:lang w:eastAsia="zh-CN"/>
        </w:rPr>
        <w:t>化学不完全燃烧值，取1.5%~6.0%；</w:t>
      </w:r>
    </w:p>
    <w:p w14:paraId="660A1E63">
      <w:pPr>
        <w:spacing w:line="360" w:lineRule="auto"/>
        <w:ind w:firstLine="1200" w:firstLineChars="500"/>
        <w:rPr>
          <w:rFonts w:ascii="Times New Roman" w:hAnsi="Times New Roman" w:cs="Times New Roman"/>
          <w:szCs w:val="24"/>
          <w:lang w:eastAsia="zh-CN"/>
        </w:rPr>
      </w:pPr>
      <w:r>
        <w:rPr>
          <w:rFonts w:ascii="Times New Roman" w:hAnsi="Times New Roman" w:cs="Times New Roman"/>
          <w:szCs w:val="24"/>
          <w:lang w:eastAsia="zh-CN"/>
        </w:rPr>
        <w:t>Q</w:t>
      </w:r>
      <w:r>
        <w:rPr>
          <w:rFonts w:hint="eastAsia" w:ascii="Times New Roman" w:hAnsi="Times New Roman" w:cs="Times New Roman"/>
          <w:szCs w:val="24"/>
          <w:lang w:eastAsia="zh-CN"/>
        </w:rPr>
        <w:t>——</w:t>
      </w:r>
      <w:r>
        <w:rPr>
          <w:rFonts w:ascii="Times New Roman" w:hAnsi="Times New Roman" w:cs="Times New Roman"/>
          <w:szCs w:val="24"/>
          <w:lang w:eastAsia="zh-CN"/>
        </w:rPr>
        <w:t>参与燃烧的物质值，t/s。</w:t>
      </w:r>
    </w:p>
    <w:p w14:paraId="4497FD71">
      <w:pPr>
        <w:spacing w:line="360" w:lineRule="auto"/>
        <w:ind w:firstLine="482"/>
        <w:jc w:val="both"/>
        <w:outlineLvl w:val="3"/>
        <w:rPr>
          <w:rFonts w:ascii="Times New Roman" w:hAnsi="Times New Roman" w:cs="Times New Roman"/>
          <w:b/>
          <w:bCs/>
          <w:color w:val="auto"/>
          <w:szCs w:val="24"/>
          <w:lang w:eastAsia="zh-CN"/>
        </w:rPr>
      </w:pPr>
      <w:r>
        <w:rPr>
          <w:rFonts w:hint="eastAsia" w:ascii="Times New Roman" w:hAnsi="Times New Roman" w:cs="Times New Roman"/>
          <w:b/>
          <w:bCs/>
          <w:color w:val="auto"/>
          <w:szCs w:val="24"/>
          <w:lang w:eastAsia="zh-CN"/>
        </w:rPr>
        <w:t>7</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7</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3</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2</w:t>
      </w:r>
      <w:r>
        <w:rPr>
          <w:rFonts w:ascii="Times New Roman" w:hAnsi="Times New Roman" w:cs="Times New Roman"/>
          <w:b/>
          <w:bCs/>
          <w:color w:val="auto"/>
          <w:szCs w:val="24"/>
          <w:lang w:eastAsia="zh-CN"/>
        </w:rPr>
        <w:t xml:space="preserve"> </w:t>
      </w:r>
      <w:r>
        <w:rPr>
          <w:rFonts w:hint="eastAsia" w:ascii="Times New Roman" w:hAnsi="Times New Roman" w:cs="Times New Roman"/>
          <w:b/>
          <w:bCs/>
          <w:color w:val="auto"/>
          <w:szCs w:val="24"/>
          <w:lang w:eastAsia="zh-CN"/>
        </w:rPr>
        <w:t>大气环境风险事故源强</w:t>
      </w:r>
    </w:p>
    <w:p w14:paraId="35895A45">
      <w:pPr>
        <w:widowControl w:val="0"/>
        <w:spacing w:line="360" w:lineRule="auto"/>
        <w:ind w:left="48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（1）</w:t>
      </w:r>
      <w:r>
        <w:rPr>
          <w:rFonts w:hint="eastAsia" w:ascii="Times New Roman" w:hAnsi="Times New Roman" w:cs="Times New Roman"/>
          <w:color w:val="auto"/>
          <w:szCs w:val="24"/>
          <w:lang w:val="en-US" w:eastAsia="zh-CN"/>
        </w:rPr>
        <w:t>现有工程</w:t>
      </w:r>
      <w:r>
        <w:rPr>
          <w:rFonts w:hint="eastAsia" w:ascii="Times New Roman" w:hAnsi="Times New Roman" w:cs="Times New Roman"/>
          <w:color w:val="auto"/>
          <w:szCs w:val="24"/>
          <w:lang w:eastAsia="zh-CN"/>
        </w:rPr>
        <w:t>无水氟化氢</w:t>
      </w:r>
      <w:r>
        <w:rPr>
          <w:rFonts w:ascii="Times New Roman" w:hAnsi="Times New Roman" w:cs="Times New Roman"/>
          <w:color w:val="auto"/>
          <w:szCs w:val="24"/>
          <w:lang w:eastAsia="zh-CN"/>
        </w:rPr>
        <w:t>储罐</w:t>
      </w:r>
      <w:r>
        <w:rPr>
          <w:rFonts w:hint="eastAsia" w:ascii="Times New Roman" w:hAnsi="Times New Roman" w:cs="Times New Roman"/>
          <w:color w:val="auto"/>
          <w:szCs w:val="24"/>
          <w:lang w:eastAsia="zh-CN"/>
        </w:rPr>
        <w:t>、原料及产品罐区化学纯氢氟酸储罐泄漏</w:t>
      </w:r>
    </w:p>
    <w:p w14:paraId="4CF91E08">
      <w:pPr>
        <w:widowControl w:val="0"/>
        <w:spacing w:line="360" w:lineRule="auto"/>
        <w:ind w:firstLine="480" w:firstLineChars="200"/>
        <w:jc w:val="both"/>
        <w:rPr>
          <w:rFonts w:ascii="Times New Roman" w:hAnsi="Times New Roman" w:cs="Times New Roman"/>
          <w:lang w:eastAsia="zh-CN"/>
        </w:rPr>
      </w:pPr>
      <w:r>
        <w:rPr>
          <w:rFonts w:hint="eastAsia" w:ascii="Times New Roman" w:hAnsi="Times New Roman" w:cs="Times New Roman"/>
          <w:lang w:eastAsia="zh-CN"/>
        </w:rPr>
        <w:t>根据</w:t>
      </w:r>
      <w:r>
        <w:rPr>
          <w:rFonts w:ascii="Times New Roman" w:hAnsi="Times New Roman" w:cs="Times New Roman"/>
          <w:lang w:eastAsia="zh-CN"/>
        </w:rPr>
        <w:t>《安徽氟瑞星化工有限公司年产4万吨电子级氢氟酸、4万吨化学纯氢氟酸及4.5万吨刻蚀液项目（一期工程）环境影响报告书》</w:t>
      </w:r>
      <w:r>
        <w:rPr>
          <w:rFonts w:hint="eastAsia" w:ascii="Times New Roman" w:hAnsi="Times New Roman" w:cs="Times New Roman"/>
          <w:lang w:eastAsia="zh-CN"/>
        </w:rPr>
        <w:t>，现有工程大气环境风险事故预测情况为</w:t>
      </w:r>
      <w:r>
        <w:rPr>
          <w:rFonts w:hint="eastAsia" w:ascii="Times New Roman" w:hAnsi="Times New Roman" w:cs="Times New Roman"/>
          <w:color w:val="auto"/>
          <w:szCs w:val="24"/>
          <w:lang w:eastAsia="zh-CN"/>
        </w:rPr>
        <w:t>无水氟化氢</w:t>
      </w:r>
      <w:r>
        <w:rPr>
          <w:rFonts w:ascii="Times New Roman" w:hAnsi="Times New Roman" w:cs="Times New Roman"/>
          <w:color w:val="auto"/>
          <w:szCs w:val="24"/>
          <w:lang w:eastAsia="zh-CN"/>
        </w:rPr>
        <w:t>储罐</w:t>
      </w:r>
      <w:r>
        <w:rPr>
          <w:rFonts w:hint="eastAsia" w:ascii="Times New Roman" w:hAnsi="Times New Roman" w:cs="Times New Roman"/>
          <w:color w:val="auto"/>
          <w:szCs w:val="24"/>
          <w:lang w:eastAsia="zh-CN"/>
        </w:rPr>
        <w:t>、原料及产品罐区化学纯氢氟酸储罐泄漏，氟化氢</w:t>
      </w:r>
      <w:r>
        <w:rPr>
          <w:rFonts w:ascii="Times New Roman" w:hAnsi="Times New Roman" w:cs="Times New Roman"/>
          <w:color w:val="auto"/>
          <w:szCs w:val="24"/>
          <w:lang w:eastAsia="zh-CN"/>
        </w:rPr>
        <w:t>挥发至大气环境造成环境风险事故</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故本次环评不再对</w:t>
      </w:r>
      <w:r>
        <w:rPr>
          <w:rFonts w:hint="eastAsia" w:ascii="Times New Roman" w:hAnsi="Times New Roman" w:cs="Times New Roman"/>
          <w:color w:val="auto"/>
          <w:szCs w:val="24"/>
          <w:lang w:eastAsia="zh-CN"/>
        </w:rPr>
        <w:t>上述</w:t>
      </w:r>
      <w:r>
        <w:rPr>
          <w:rFonts w:ascii="Times New Roman" w:hAnsi="Times New Roman" w:cs="Times New Roman"/>
          <w:color w:val="auto"/>
          <w:szCs w:val="24"/>
          <w:lang w:eastAsia="zh-CN"/>
        </w:rPr>
        <w:t>情形进行预测</w:t>
      </w:r>
      <w:r>
        <w:rPr>
          <w:rFonts w:hint="eastAsia" w:ascii="Times New Roman" w:hAnsi="Times New Roman" w:cs="Times New Roman"/>
          <w:color w:val="auto"/>
          <w:szCs w:val="24"/>
          <w:lang w:eastAsia="zh-CN"/>
        </w:rPr>
        <w:t>。</w:t>
      </w:r>
    </w:p>
    <w:p w14:paraId="0B14B170">
      <w:pPr>
        <w:widowControl w:val="0"/>
        <w:spacing w:line="360" w:lineRule="auto"/>
        <w:ind w:firstLine="480" w:firstLineChars="200"/>
        <w:jc w:val="both"/>
        <w:rPr>
          <w:rFonts w:ascii="Times New Roman" w:hAnsi="Times New Roman" w:cs="Times New Roman"/>
          <w:lang w:eastAsia="zh-CN"/>
        </w:rPr>
      </w:pPr>
      <w:r>
        <w:rPr>
          <w:rFonts w:hint="eastAsia" w:ascii="Times New Roman" w:hAnsi="Times New Roman" w:cs="Times New Roman"/>
          <w:lang w:eastAsia="zh-CN"/>
        </w:rPr>
        <w:t>（2）戊类罐区二化学纯氢氟酸储罐泄漏</w:t>
      </w:r>
    </w:p>
    <w:p w14:paraId="4F6E5133">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项目</w:t>
      </w:r>
      <w:r>
        <w:rPr>
          <w:rFonts w:hint="eastAsia" w:ascii="Times New Roman" w:hAnsi="Times New Roman" w:cs="Times New Roman"/>
          <w:lang w:eastAsia="zh-CN"/>
        </w:rPr>
        <w:t>戊类罐区二化学纯氢氟酸（55%氟化氢）储罐容积</w:t>
      </w:r>
      <w:r>
        <w:rPr>
          <w:rFonts w:hint="eastAsia" w:ascii="Times New Roman" w:hAnsi="Times New Roman" w:cs="Times New Roman"/>
          <w:color w:val="auto"/>
          <w:szCs w:val="24"/>
          <w:lang w:eastAsia="zh-CN"/>
        </w:rPr>
        <w:t>为190m</w:t>
      </w:r>
      <w:r>
        <w:rPr>
          <w:rFonts w:hint="eastAsia" w:ascii="Times New Roman" w:hAnsi="Times New Roman" w:cs="Times New Roman"/>
          <w:color w:val="auto"/>
          <w:szCs w:val="24"/>
          <w:vertAlign w:val="superscript"/>
          <w:lang w:eastAsia="zh-CN"/>
        </w:rPr>
        <w:t>3</w:t>
      </w:r>
      <w:r>
        <w:rPr>
          <w:rFonts w:hint="eastAsia" w:ascii="Times New Roman" w:hAnsi="Times New Roman" w:cs="Times New Roman"/>
          <w:color w:val="auto"/>
          <w:szCs w:val="24"/>
          <w:lang w:eastAsia="zh-CN"/>
        </w:rPr>
        <w:t>，单罐最大储存量为180.88t，储存压力为常压，储存温度为常温，尺寸为Ф4600mm×12000mm。本项目</w:t>
      </w:r>
      <w:r>
        <w:rPr>
          <w:rFonts w:hint="eastAsia" w:ascii="Times New Roman" w:hAnsi="Times New Roman" w:cs="Times New Roman"/>
          <w:lang w:eastAsia="zh-CN"/>
        </w:rPr>
        <w:t>化学纯氢氟酸储罐</w:t>
      </w:r>
      <w:r>
        <w:rPr>
          <w:rFonts w:hint="eastAsia" w:ascii="Times New Roman" w:hAnsi="Times New Roman" w:cs="Times New Roman"/>
          <w:color w:val="auto"/>
          <w:szCs w:val="24"/>
          <w:lang w:eastAsia="zh-CN"/>
        </w:rPr>
        <w:t>已设置紧急隔离系统，本次按照泄漏时间按10min计，输送管道管径为DN40，裂口面积约0.0013m</w:t>
      </w:r>
      <w:r>
        <w:rPr>
          <w:rFonts w:hint="eastAsia" w:ascii="Times New Roman" w:hAnsi="Times New Roman" w:cs="Times New Roman"/>
          <w:color w:val="auto"/>
          <w:szCs w:val="24"/>
          <w:vertAlign w:val="superscript"/>
          <w:lang w:eastAsia="zh-CN"/>
        </w:rPr>
        <w:t>2</w:t>
      </w:r>
      <w:r>
        <w:rPr>
          <w:rFonts w:hint="eastAsia" w:ascii="Times New Roman" w:hAnsi="Times New Roman" w:cs="Times New Roman"/>
          <w:color w:val="auto"/>
          <w:szCs w:val="24"/>
          <w:lang w:eastAsia="zh-CN"/>
        </w:rPr>
        <w:t>，按全管径泄漏考虑，根据</w:t>
      </w:r>
      <w:r>
        <w:rPr>
          <w:rFonts w:ascii="Times New Roman" w:hAnsi="Times New Roman" w:cs="Times New Roman"/>
          <w:color w:val="auto"/>
          <w:szCs w:val="24"/>
          <w:lang w:eastAsia="zh-CN"/>
        </w:rPr>
        <w:t>液体泄漏公式</w:t>
      </w:r>
      <w:r>
        <w:rPr>
          <w:rFonts w:hint="eastAsia" w:ascii="Times New Roman" w:hAnsi="Times New Roman" w:cs="Times New Roman"/>
          <w:color w:val="auto"/>
          <w:szCs w:val="24"/>
          <w:lang w:eastAsia="zh-CN"/>
        </w:rPr>
        <w:t>计算，氟化氢泄漏速率为13.99kg/s。</w:t>
      </w:r>
    </w:p>
    <w:p w14:paraId="017AF981">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lang w:eastAsia="zh-CN"/>
        </w:rPr>
        <w:t>化学纯氢氟酸常温下为液态，且常压储存，化学纯氢氟酸不是过热液体，因此不会出现闪蒸现象，当液体闪蒸不完全，有一部分液体在地面形成液池，并吸收地面热量而气化称为热量蒸发，化学纯氢氟酸的沸点大于环境温度，故化学纯氢氟酸泄漏后亦不会发生热量蒸发，故本次仅考虑化学纯氢氟酸</w:t>
      </w:r>
      <w:r>
        <w:rPr>
          <w:rFonts w:hint="eastAsia" w:ascii="Times New Roman" w:hAnsi="Times New Roman" w:cs="Times New Roman"/>
          <w:color w:val="auto"/>
          <w:lang w:eastAsia="zh-CN"/>
        </w:rPr>
        <w:t>的质量蒸发。</w:t>
      </w:r>
      <w:r>
        <w:rPr>
          <w:rFonts w:hint="eastAsia" w:ascii="Times New Roman" w:hAnsi="Times New Roman" w:cs="Times New Roman"/>
          <w:lang w:eastAsia="zh-CN"/>
        </w:rPr>
        <w:t>化学纯氢氟酸</w:t>
      </w:r>
      <w:r>
        <w:rPr>
          <w:rFonts w:hint="eastAsia" w:ascii="Times New Roman" w:hAnsi="Times New Roman" w:cs="Times New Roman"/>
          <w:color w:val="auto"/>
          <w:lang w:eastAsia="zh-CN"/>
        </w:rPr>
        <w:t>泄漏后形成的液池面积为围堰区的面积（储罐内</w:t>
      </w:r>
      <w:r>
        <w:rPr>
          <w:rFonts w:ascii="Times New Roman" w:hAnsi="Times New Roman" w:cs="Times New Roman"/>
          <w:color w:val="auto"/>
          <w:lang w:eastAsia="zh-CN"/>
        </w:rPr>
        <w:t>各</w:t>
      </w:r>
      <w:r>
        <w:rPr>
          <w:rFonts w:hint="eastAsia" w:ascii="Times New Roman" w:hAnsi="Times New Roman" w:cs="Times New Roman"/>
          <w:color w:val="auto"/>
          <w:lang w:eastAsia="zh-CN"/>
        </w:rPr>
        <w:t>区域</w:t>
      </w:r>
      <w:r>
        <w:rPr>
          <w:rFonts w:ascii="Times New Roman" w:hAnsi="Times New Roman" w:cs="Times New Roman"/>
          <w:color w:val="auto"/>
          <w:lang w:eastAsia="zh-CN"/>
        </w:rPr>
        <w:t>之间设置0.5m高隔堤</w:t>
      </w:r>
      <w:r>
        <w:rPr>
          <w:rFonts w:hint="eastAsia" w:ascii="Times New Roman" w:hAnsi="Times New Roman" w:cs="Times New Roman"/>
          <w:color w:val="auto"/>
          <w:lang w:eastAsia="zh-CN"/>
        </w:rPr>
        <w:t>，10个化学纯氢氟酸</w:t>
      </w:r>
      <w:r>
        <w:rPr>
          <w:rFonts w:ascii="Times New Roman" w:hAnsi="Times New Roman" w:cs="Times New Roman"/>
          <w:bCs/>
          <w:color w:val="auto"/>
          <w:lang w:eastAsia="zh-CN"/>
        </w:rPr>
        <w:t>储罐区域尺寸为</w:t>
      </w:r>
      <w:r>
        <w:rPr>
          <w:rFonts w:hint="eastAsia" w:ascii="Times New Roman" w:hAnsi="Times New Roman" w:cs="Times New Roman"/>
          <w:bCs/>
          <w:color w:val="auto"/>
          <w:lang w:eastAsia="zh-CN"/>
        </w:rPr>
        <w:t>37.7</w:t>
      </w:r>
      <w:r>
        <w:rPr>
          <w:rFonts w:ascii="Times New Roman" w:hAnsi="Times New Roman" w:cs="Times New Roman"/>
          <w:bCs/>
          <w:color w:val="auto"/>
          <w:lang w:eastAsia="zh-CN"/>
        </w:rPr>
        <w:t>m×</w:t>
      </w:r>
      <w:r>
        <w:rPr>
          <w:rFonts w:hint="eastAsia" w:ascii="Times New Roman" w:hAnsi="Times New Roman" w:cs="Times New Roman"/>
          <w:bCs/>
          <w:color w:val="auto"/>
          <w:lang w:eastAsia="zh-CN"/>
        </w:rPr>
        <w:t>18.1</w:t>
      </w:r>
      <w:r>
        <w:rPr>
          <w:rFonts w:ascii="Times New Roman" w:hAnsi="Times New Roman" w:cs="Times New Roman"/>
          <w:bCs/>
          <w:color w:val="auto"/>
          <w:lang w:eastAsia="zh-CN"/>
        </w:rPr>
        <w:t>m</w:t>
      </w:r>
      <w:r>
        <w:rPr>
          <w:rFonts w:hint="eastAsia" w:ascii="Times New Roman" w:hAnsi="Times New Roman" w:cs="Times New Roman"/>
          <w:b/>
          <w:color w:val="auto"/>
          <w:lang w:eastAsia="zh-CN"/>
        </w:rPr>
        <w:t>，</w:t>
      </w:r>
      <w:r>
        <w:rPr>
          <w:rFonts w:hint="eastAsia" w:ascii="Times New Roman" w:hAnsi="Times New Roman" w:cs="Times New Roman"/>
          <w:color w:val="auto"/>
          <w:lang w:eastAsia="zh-CN"/>
        </w:rPr>
        <w:t>扣除储罐底部面积，液池面积以516.3m</w:t>
      </w:r>
      <w:r>
        <w:rPr>
          <w:rFonts w:hint="eastAsia" w:ascii="Times New Roman" w:hAnsi="Times New Roman" w:cs="Times New Roman"/>
          <w:color w:val="auto"/>
          <w:vertAlign w:val="superscript"/>
          <w:lang w:eastAsia="zh-CN"/>
        </w:rPr>
        <w:t>2</w:t>
      </w:r>
      <w:r>
        <w:rPr>
          <w:rFonts w:hint="eastAsia" w:ascii="Times New Roman" w:hAnsi="Times New Roman" w:cs="Times New Roman"/>
          <w:color w:val="auto"/>
          <w:lang w:eastAsia="zh-CN"/>
        </w:rPr>
        <w:t>计算，等效液池半径为12.82m），</w:t>
      </w:r>
      <w:r>
        <w:rPr>
          <w:rFonts w:hint="eastAsia" w:ascii="Times New Roman" w:hAnsi="Times New Roman" w:cs="Times New Roman"/>
          <w:lang w:eastAsia="zh-CN"/>
        </w:rPr>
        <w:t>化学纯氢氟酸</w:t>
      </w:r>
      <w:r>
        <w:rPr>
          <w:rFonts w:hint="eastAsia" w:ascii="Times New Roman" w:hAnsi="Times New Roman" w:cs="Times New Roman"/>
          <w:color w:val="auto"/>
          <w:lang w:eastAsia="zh-CN"/>
        </w:rPr>
        <w:t>泄漏蒸发时间设定为30mim，根据质量蒸发公式计算，大气稳定度F情况下</w:t>
      </w:r>
      <w:r>
        <w:rPr>
          <w:rFonts w:hint="eastAsia" w:ascii="Times New Roman" w:hAnsi="Times New Roman" w:cs="Times New Roman"/>
          <w:lang w:eastAsia="zh-CN"/>
        </w:rPr>
        <w:t>化学纯氢氟酸</w:t>
      </w:r>
      <w:r>
        <w:rPr>
          <w:rFonts w:hint="eastAsia" w:ascii="Times New Roman" w:hAnsi="Times New Roman" w:cs="Times New Roman"/>
          <w:color w:val="auto"/>
          <w:lang w:eastAsia="zh-CN"/>
        </w:rPr>
        <w:t>的质量蒸发速率为0.</w:t>
      </w:r>
      <w:r>
        <w:rPr>
          <w:rFonts w:hint="eastAsia" w:ascii="Times New Roman" w:hAnsi="Times New Roman" w:cs="Times New Roman"/>
          <w:color w:val="auto"/>
          <w:lang w:val="en-US" w:eastAsia="zh-CN"/>
        </w:rPr>
        <w:t>0</w:t>
      </w:r>
      <w:r>
        <w:rPr>
          <w:rFonts w:hint="eastAsia" w:ascii="Times New Roman" w:hAnsi="Times New Roman" w:cs="Times New Roman"/>
          <w:color w:val="auto"/>
          <w:lang w:eastAsia="zh-CN"/>
        </w:rPr>
        <w:t>36kg/s</w:t>
      </w:r>
      <w:r>
        <w:rPr>
          <w:rFonts w:ascii="Times New Roman" w:hAnsi="Times New Roman" w:cs="Times New Roman"/>
          <w:color w:val="auto"/>
          <w:szCs w:val="24"/>
          <w:lang w:eastAsia="zh-CN"/>
        </w:rPr>
        <w:t>。</w:t>
      </w:r>
    </w:p>
    <w:p w14:paraId="65C27758">
      <w:pPr>
        <w:spacing w:line="360" w:lineRule="auto"/>
        <w:jc w:val="center"/>
        <w:rPr>
          <w:rFonts w:ascii="Times New Roman" w:hAnsi="Times New Roman" w:cs="Times New Roman"/>
          <w:color w:val="auto"/>
          <w:szCs w:val="24"/>
          <w:lang w:eastAsia="zh-CN"/>
        </w:rPr>
      </w:pPr>
      <w:r>
        <w:rPr>
          <w:rFonts w:hint="eastAsia" w:ascii="Times New Roman" w:hAnsi="Times New Roman" w:cs="Times New Roman"/>
          <w:b/>
          <w:bCs/>
          <w:color w:val="auto"/>
          <w:szCs w:val="24"/>
          <w:lang w:eastAsia="zh-CN"/>
        </w:rPr>
        <w:t>表7.7-6  化学纯氢氟酸储罐泄漏质量蒸发计算参数</w:t>
      </w:r>
    </w:p>
    <w:tbl>
      <w:tblPr>
        <w:tblStyle w:val="35"/>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30"/>
        <w:gridCol w:w="3248"/>
        <w:gridCol w:w="5068"/>
      </w:tblGrid>
      <w:tr w14:paraId="48C25F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30" w:type="dxa"/>
            <w:vAlign w:val="center"/>
          </w:tcPr>
          <w:p w14:paraId="70694E9F">
            <w:pPr>
              <w:widowControl w:val="0"/>
              <w:ind w:firstLine="211"/>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符号</w:t>
            </w:r>
          </w:p>
        </w:tc>
        <w:tc>
          <w:tcPr>
            <w:tcW w:w="3248" w:type="dxa"/>
            <w:vAlign w:val="center"/>
          </w:tcPr>
          <w:p w14:paraId="12FA2566">
            <w:pPr>
              <w:widowControl w:val="0"/>
              <w:ind w:firstLine="211"/>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含义</w:t>
            </w:r>
          </w:p>
        </w:tc>
        <w:tc>
          <w:tcPr>
            <w:tcW w:w="5068" w:type="dxa"/>
            <w:vAlign w:val="center"/>
          </w:tcPr>
          <w:p w14:paraId="21796271">
            <w:pPr>
              <w:widowControl w:val="0"/>
              <w:ind w:firstLine="211"/>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化学纯氢氟酸</w:t>
            </w:r>
            <w:r>
              <w:rPr>
                <w:rFonts w:hint="eastAsia" w:ascii="Times New Roman" w:hAnsi="Times New Roman" w:cs="Times New Roman"/>
                <w:b/>
                <w:bCs/>
                <w:color w:val="auto"/>
                <w:sz w:val="21"/>
                <w:lang w:eastAsia="zh-CN"/>
              </w:rPr>
              <w:t>储罐泄漏相关参数选取值</w:t>
            </w:r>
          </w:p>
        </w:tc>
      </w:tr>
      <w:tr w14:paraId="26878D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30" w:type="dxa"/>
            <w:vAlign w:val="center"/>
          </w:tcPr>
          <w:p w14:paraId="63CBBCD6">
            <w:pPr>
              <w:widowControl w:val="0"/>
              <w:ind w:firstLine="21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M</w:t>
            </w:r>
          </w:p>
        </w:tc>
        <w:tc>
          <w:tcPr>
            <w:tcW w:w="3248" w:type="dxa"/>
            <w:vAlign w:val="center"/>
          </w:tcPr>
          <w:p w14:paraId="1A184140">
            <w:pPr>
              <w:widowControl w:val="0"/>
              <w:ind w:firstLine="21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物质的摩尔质量（kg/mol）</w:t>
            </w:r>
          </w:p>
        </w:tc>
        <w:tc>
          <w:tcPr>
            <w:tcW w:w="5068" w:type="dxa"/>
            <w:vAlign w:val="center"/>
          </w:tcPr>
          <w:p w14:paraId="2F8BF01E">
            <w:pPr>
              <w:widowControl w:val="0"/>
              <w:ind w:firstLine="210"/>
              <w:jc w:val="center"/>
              <w:rPr>
                <w:rFonts w:ascii="Times New Roman" w:hAnsi="Times New Roman" w:cs="Times New Roman"/>
                <w:color w:val="auto"/>
                <w:sz w:val="21"/>
                <w:lang w:eastAsia="zh-CN"/>
              </w:rPr>
            </w:pPr>
          </w:p>
        </w:tc>
      </w:tr>
      <w:tr w14:paraId="073759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30" w:type="dxa"/>
            <w:vAlign w:val="center"/>
          </w:tcPr>
          <w:p w14:paraId="395623AB">
            <w:pPr>
              <w:widowControl w:val="0"/>
              <w:ind w:firstLine="21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r</w:t>
            </w:r>
          </w:p>
        </w:tc>
        <w:tc>
          <w:tcPr>
            <w:tcW w:w="3248" w:type="dxa"/>
            <w:vAlign w:val="center"/>
          </w:tcPr>
          <w:p w14:paraId="38A328F2">
            <w:pPr>
              <w:widowControl w:val="0"/>
              <w:ind w:firstLine="21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液池半径（m）</w:t>
            </w:r>
          </w:p>
        </w:tc>
        <w:tc>
          <w:tcPr>
            <w:tcW w:w="5068" w:type="dxa"/>
            <w:vAlign w:val="center"/>
          </w:tcPr>
          <w:p w14:paraId="66668CE0">
            <w:pPr>
              <w:widowControl w:val="0"/>
              <w:ind w:firstLine="210"/>
              <w:jc w:val="center"/>
              <w:rPr>
                <w:rFonts w:ascii="Times New Roman" w:hAnsi="Times New Roman" w:cs="Times New Roman"/>
                <w:color w:val="auto"/>
                <w:sz w:val="21"/>
                <w:lang w:eastAsia="zh-CN"/>
              </w:rPr>
            </w:pPr>
          </w:p>
        </w:tc>
      </w:tr>
      <w:tr w14:paraId="51AC5F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30" w:type="dxa"/>
            <w:vAlign w:val="center"/>
          </w:tcPr>
          <w:p w14:paraId="7179DAB5">
            <w:pPr>
              <w:widowControl w:val="0"/>
              <w:ind w:firstLine="21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R</w:t>
            </w:r>
          </w:p>
        </w:tc>
        <w:tc>
          <w:tcPr>
            <w:tcW w:w="3248" w:type="dxa"/>
            <w:vAlign w:val="center"/>
          </w:tcPr>
          <w:p w14:paraId="6AC83D0D">
            <w:pPr>
              <w:widowControl w:val="0"/>
              <w:ind w:firstLine="21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气体常数（J/mol·K）</w:t>
            </w:r>
          </w:p>
        </w:tc>
        <w:tc>
          <w:tcPr>
            <w:tcW w:w="5068" w:type="dxa"/>
            <w:vAlign w:val="center"/>
          </w:tcPr>
          <w:p w14:paraId="1EDAF9C3">
            <w:pPr>
              <w:widowControl w:val="0"/>
              <w:ind w:firstLine="210"/>
              <w:jc w:val="center"/>
              <w:rPr>
                <w:rFonts w:ascii="Times New Roman" w:hAnsi="Times New Roman" w:cs="Times New Roman"/>
                <w:color w:val="auto"/>
                <w:sz w:val="21"/>
                <w:lang w:eastAsia="zh-CN"/>
              </w:rPr>
            </w:pPr>
          </w:p>
        </w:tc>
      </w:tr>
      <w:tr w14:paraId="0F4685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1430" w:type="dxa"/>
            <w:vAlign w:val="center"/>
          </w:tcPr>
          <w:p w14:paraId="5CE4B4AF">
            <w:pPr>
              <w:widowControl w:val="0"/>
              <w:ind w:firstLine="21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T</w:t>
            </w:r>
            <w:r>
              <w:rPr>
                <w:rFonts w:hint="eastAsia" w:ascii="Times New Roman" w:hAnsi="Times New Roman" w:cs="Times New Roman"/>
                <w:color w:val="auto"/>
                <w:sz w:val="21"/>
                <w:vertAlign w:val="subscript"/>
                <w:lang w:eastAsia="zh-CN"/>
              </w:rPr>
              <w:t>0</w:t>
            </w:r>
          </w:p>
        </w:tc>
        <w:tc>
          <w:tcPr>
            <w:tcW w:w="3248" w:type="dxa"/>
            <w:vAlign w:val="center"/>
          </w:tcPr>
          <w:p w14:paraId="4CF47CA8">
            <w:pPr>
              <w:widowControl w:val="0"/>
              <w:ind w:firstLine="21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环境温度（K）</w:t>
            </w:r>
          </w:p>
        </w:tc>
        <w:tc>
          <w:tcPr>
            <w:tcW w:w="5068" w:type="dxa"/>
            <w:vAlign w:val="center"/>
          </w:tcPr>
          <w:p w14:paraId="5A5F2620">
            <w:pPr>
              <w:widowControl w:val="0"/>
              <w:ind w:firstLine="210"/>
              <w:jc w:val="center"/>
              <w:rPr>
                <w:rFonts w:ascii="Times New Roman" w:hAnsi="Times New Roman" w:cs="Times New Roman"/>
                <w:color w:val="auto"/>
                <w:sz w:val="21"/>
                <w:lang w:eastAsia="zh-CN"/>
              </w:rPr>
            </w:pPr>
          </w:p>
        </w:tc>
      </w:tr>
      <w:tr w14:paraId="7A775C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30" w:type="dxa"/>
            <w:vAlign w:val="center"/>
          </w:tcPr>
          <w:p w14:paraId="1F7A4EDE">
            <w:pPr>
              <w:widowControl w:val="0"/>
              <w:ind w:firstLine="21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P</w:t>
            </w:r>
          </w:p>
        </w:tc>
        <w:tc>
          <w:tcPr>
            <w:tcW w:w="3248" w:type="dxa"/>
            <w:vAlign w:val="center"/>
          </w:tcPr>
          <w:p w14:paraId="32305611">
            <w:pPr>
              <w:widowControl w:val="0"/>
              <w:ind w:firstLine="21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液体表面蒸气压（Pa）</w:t>
            </w:r>
          </w:p>
        </w:tc>
        <w:tc>
          <w:tcPr>
            <w:tcW w:w="5068" w:type="dxa"/>
            <w:vAlign w:val="center"/>
          </w:tcPr>
          <w:p w14:paraId="0362A598">
            <w:pPr>
              <w:widowControl w:val="0"/>
              <w:ind w:firstLine="210"/>
              <w:jc w:val="center"/>
              <w:rPr>
                <w:rFonts w:hint="default" w:ascii="Times New Roman" w:hAnsi="Times New Roman" w:cs="Times New Roman"/>
                <w:color w:val="auto"/>
                <w:sz w:val="21"/>
                <w:lang w:val="en-US" w:eastAsia="zh-CN"/>
              </w:rPr>
            </w:pPr>
          </w:p>
        </w:tc>
      </w:tr>
    </w:tbl>
    <w:p w14:paraId="75BEB00F">
      <w:pPr>
        <w:widowControl w:val="0"/>
        <w:spacing w:line="360" w:lineRule="auto"/>
        <w:ind w:firstLine="480" w:firstLineChars="200"/>
        <w:jc w:val="both"/>
        <w:rPr>
          <w:rFonts w:ascii="Times New Roman" w:hAnsi="Times New Roman" w:cs="Times New Roman"/>
          <w:lang w:eastAsia="zh-CN"/>
        </w:rPr>
      </w:pPr>
      <w:r>
        <w:rPr>
          <w:rFonts w:hint="eastAsia" w:ascii="Times New Roman" w:hAnsi="Times New Roman" w:cs="Times New Roman"/>
          <w:lang w:eastAsia="zh-CN"/>
        </w:rPr>
        <w:t>（3）31%盐酸</w:t>
      </w:r>
      <w:r>
        <w:rPr>
          <w:rFonts w:ascii="Times New Roman" w:hAnsi="Times New Roman" w:cs="Times New Roman"/>
          <w:lang w:eastAsia="zh-CN"/>
        </w:rPr>
        <w:t>储罐</w:t>
      </w:r>
      <w:r>
        <w:rPr>
          <w:rFonts w:hint="eastAsia" w:ascii="Times New Roman" w:hAnsi="Times New Roman" w:cs="Times New Roman"/>
          <w:lang w:eastAsia="zh-CN"/>
        </w:rPr>
        <w:t>泄漏</w:t>
      </w:r>
    </w:p>
    <w:p w14:paraId="2F7528FC">
      <w:pPr>
        <w:widowControl w:val="0"/>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项目31%盐酸储罐为190m</w:t>
      </w:r>
      <w:r>
        <w:rPr>
          <w:rFonts w:hint="eastAsia" w:ascii="Times New Roman" w:hAnsi="Times New Roman" w:cs="Times New Roman"/>
          <w:color w:val="auto"/>
          <w:vertAlign w:val="superscript"/>
          <w:lang w:eastAsia="zh-CN"/>
        </w:rPr>
        <w:t>3</w:t>
      </w:r>
      <w:r>
        <w:rPr>
          <w:rFonts w:hint="eastAsia" w:ascii="Times New Roman" w:hAnsi="Times New Roman" w:cs="Times New Roman"/>
          <w:color w:val="auto"/>
          <w:lang w:eastAsia="zh-CN"/>
        </w:rPr>
        <w:t>，单罐最大储存量为187.34t，储存压力为常压，储存温度常温，Ф</w:t>
      </w:r>
      <w:r>
        <w:rPr>
          <w:rFonts w:hint="eastAsia" w:ascii="Times New Roman" w:hAnsi="Times New Roman" w:cs="Times New Roman"/>
          <w:color w:val="auto"/>
          <w:szCs w:val="24"/>
          <w:lang w:eastAsia="zh-CN"/>
        </w:rPr>
        <w:t>4600mm×12000mm</w:t>
      </w:r>
      <w:r>
        <w:rPr>
          <w:rFonts w:hint="eastAsia" w:ascii="Times New Roman" w:hAnsi="Times New Roman" w:cs="Times New Roman"/>
          <w:color w:val="auto"/>
          <w:lang w:eastAsia="zh-CN"/>
        </w:rPr>
        <w:t>。本项目31%盐酸储储罐</w:t>
      </w:r>
      <w:r>
        <w:rPr>
          <w:rFonts w:hint="eastAsia" w:ascii="Times New Roman" w:hAnsi="Times New Roman" w:cs="Times New Roman"/>
          <w:color w:val="auto"/>
          <w:szCs w:val="24"/>
          <w:lang w:eastAsia="zh-CN"/>
        </w:rPr>
        <w:t>已设置紧急隔离系统，本次按照泄漏时间按10min计，输送管道管径为DN40，裂口面积约0.0013m</w:t>
      </w:r>
      <w:r>
        <w:rPr>
          <w:rFonts w:hint="eastAsia" w:ascii="Times New Roman" w:hAnsi="Times New Roman" w:cs="Times New Roman"/>
          <w:color w:val="auto"/>
          <w:szCs w:val="24"/>
          <w:vertAlign w:val="superscript"/>
          <w:lang w:eastAsia="zh-CN"/>
        </w:rPr>
        <w:t>2</w:t>
      </w:r>
      <w:r>
        <w:rPr>
          <w:rFonts w:hint="eastAsia" w:ascii="Times New Roman" w:hAnsi="Times New Roman" w:cs="Times New Roman"/>
          <w:color w:val="auto"/>
          <w:szCs w:val="24"/>
          <w:lang w:eastAsia="zh-CN"/>
        </w:rPr>
        <w:t>，按全管径泄漏考虑，根据</w:t>
      </w:r>
      <w:r>
        <w:rPr>
          <w:rFonts w:ascii="Times New Roman" w:hAnsi="Times New Roman" w:cs="Times New Roman"/>
          <w:color w:val="auto"/>
          <w:szCs w:val="24"/>
          <w:lang w:eastAsia="zh-CN"/>
        </w:rPr>
        <w:t>液体泄漏公式</w:t>
      </w:r>
      <w:r>
        <w:rPr>
          <w:rFonts w:hint="eastAsia" w:ascii="Times New Roman" w:hAnsi="Times New Roman" w:cs="Times New Roman"/>
          <w:color w:val="auto"/>
          <w:szCs w:val="24"/>
          <w:lang w:eastAsia="zh-CN"/>
        </w:rPr>
        <w:t>计算，氯化氢泄漏速率为15.05kg/s</w:t>
      </w:r>
      <w:r>
        <w:rPr>
          <w:rFonts w:hint="eastAsia" w:ascii="Times New Roman" w:hAnsi="Times New Roman" w:cs="Times New Roman"/>
          <w:color w:val="auto"/>
          <w:lang w:eastAsia="zh-CN"/>
        </w:rPr>
        <w:t>。</w:t>
      </w:r>
    </w:p>
    <w:p w14:paraId="3CB21700">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lang w:eastAsia="zh-CN"/>
        </w:rPr>
        <w:t>31%盐酸常温下为液态，且常压储存，31%盐酸不是过热液体，因此不会出现闪蒸现象，当液体闪蒸不完全，有一部分液体在地面形成液池，并吸收地面热量而气化称为热量蒸发，31%盐酸的沸点大于环境温度，故31%盐酸泄漏后亦不会发生热量蒸发，故本次仅考虑31%盐酸</w:t>
      </w:r>
      <w:r>
        <w:rPr>
          <w:rFonts w:hint="eastAsia" w:ascii="Times New Roman" w:hAnsi="Times New Roman" w:cs="Times New Roman"/>
          <w:color w:val="auto"/>
          <w:lang w:eastAsia="zh-CN"/>
        </w:rPr>
        <w:t>的质量蒸发。31%盐酸泄漏后形成的液池面积为围堰区的面积（储罐内</w:t>
      </w:r>
      <w:r>
        <w:rPr>
          <w:rFonts w:ascii="Times New Roman" w:hAnsi="Times New Roman" w:cs="Times New Roman"/>
          <w:color w:val="auto"/>
          <w:lang w:eastAsia="zh-CN"/>
        </w:rPr>
        <w:t>各</w:t>
      </w:r>
      <w:r>
        <w:rPr>
          <w:rFonts w:hint="eastAsia" w:ascii="Times New Roman" w:hAnsi="Times New Roman" w:cs="Times New Roman"/>
          <w:color w:val="auto"/>
          <w:lang w:eastAsia="zh-CN"/>
        </w:rPr>
        <w:t>区域</w:t>
      </w:r>
      <w:r>
        <w:rPr>
          <w:rFonts w:ascii="Times New Roman" w:hAnsi="Times New Roman" w:cs="Times New Roman"/>
          <w:color w:val="auto"/>
          <w:lang w:eastAsia="zh-CN"/>
        </w:rPr>
        <w:t>之间设置0.5m高隔堤</w:t>
      </w:r>
      <w:r>
        <w:rPr>
          <w:rFonts w:hint="eastAsia" w:ascii="Times New Roman" w:hAnsi="Times New Roman" w:cs="Times New Roman"/>
          <w:color w:val="auto"/>
          <w:lang w:eastAsia="zh-CN"/>
        </w:rPr>
        <w:t>，2个31%盐酸</w:t>
      </w:r>
      <w:r>
        <w:rPr>
          <w:rFonts w:ascii="Times New Roman" w:hAnsi="Times New Roman" w:cs="Times New Roman"/>
          <w:bCs/>
          <w:color w:val="auto"/>
          <w:lang w:eastAsia="zh-CN"/>
        </w:rPr>
        <w:t>储罐区域尺寸为</w:t>
      </w:r>
      <w:r>
        <w:rPr>
          <w:rFonts w:hint="eastAsia" w:ascii="Times New Roman" w:hAnsi="Times New Roman" w:cs="Times New Roman"/>
          <w:bCs/>
          <w:color w:val="auto"/>
          <w:lang w:eastAsia="zh-CN"/>
        </w:rPr>
        <w:t>11.9</w:t>
      </w:r>
      <w:r>
        <w:rPr>
          <w:rFonts w:ascii="Times New Roman" w:hAnsi="Times New Roman" w:cs="Times New Roman"/>
          <w:bCs/>
          <w:color w:val="auto"/>
          <w:lang w:eastAsia="zh-CN"/>
        </w:rPr>
        <w:t>m×</w:t>
      </w:r>
      <w:r>
        <w:rPr>
          <w:rFonts w:hint="eastAsia" w:ascii="Times New Roman" w:hAnsi="Times New Roman" w:cs="Times New Roman"/>
          <w:bCs/>
          <w:color w:val="auto"/>
          <w:lang w:eastAsia="zh-CN"/>
        </w:rPr>
        <w:t>18.1</w:t>
      </w:r>
      <w:r>
        <w:rPr>
          <w:rFonts w:ascii="Times New Roman" w:hAnsi="Times New Roman" w:cs="Times New Roman"/>
          <w:bCs/>
          <w:color w:val="auto"/>
          <w:lang w:eastAsia="zh-CN"/>
        </w:rPr>
        <w:t>m</w:t>
      </w:r>
      <w:r>
        <w:rPr>
          <w:rFonts w:hint="eastAsia" w:ascii="Times New Roman" w:hAnsi="Times New Roman" w:cs="Times New Roman"/>
          <w:b/>
          <w:color w:val="auto"/>
          <w:lang w:eastAsia="zh-CN"/>
        </w:rPr>
        <w:t>，</w:t>
      </w:r>
      <w:r>
        <w:rPr>
          <w:rFonts w:hint="eastAsia" w:ascii="Times New Roman" w:hAnsi="Times New Roman" w:cs="Times New Roman"/>
          <w:color w:val="auto"/>
          <w:lang w:eastAsia="zh-CN"/>
        </w:rPr>
        <w:t>扣除储罐底部面积，液池面积以182.2m</w:t>
      </w:r>
      <w:r>
        <w:rPr>
          <w:rFonts w:hint="eastAsia" w:ascii="Times New Roman" w:hAnsi="Times New Roman" w:cs="Times New Roman"/>
          <w:color w:val="auto"/>
          <w:vertAlign w:val="superscript"/>
          <w:lang w:eastAsia="zh-CN"/>
        </w:rPr>
        <w:t>2</w:t>
      </w:r>
      <w:r>
        <w:rPr>
          <w:rFonts w:hint="eastAsia" w:ascii="Times New Roman" w:hAnsi="Times New Roman" w:cs="Times New Roman"/>
          <w:color w:val="auto"/>
          <w:lang w:eastAsia="zh-CN"/>
        </w:rPr>
        <w:t>计算，等效液池半径为7.62m），31%盐酸泄漏蒸发时间设定为30mim，根据质量蒸发公式计算，大气稳定度F情况下31%盐酸的质量蒸发速率为0.144kg/s</w:t>
      </w:r>
      <w:r>
        <w:rPr>
          <w:rFonts w:ascii="Times New Roman" w:hAnsi="Times New Roman" w:cs="Times New Roman"/>
          <w:color w:val="auto"/>
          <w:szCs w:val="24"/>
          <w:lang w:eastAsia="zh-CN"/>
        </w:rPr>
        <w:t>。</w:t>
      </w:r>
    </w:p>
    <w:p w14:paraId="17293178">
      <w:pPr>
        <w:spacing w:line="360" w:lineRule="auto"/>
        <w:jc w:val="center"/>
        <w:rPr>
          <w:rFonts w:ascii="Times New Roman" w:hAnsi="Times New Roman" w:cs="Times New Roman"/>
          <w:color w:val="auto"/>
          <w:szCs w:val="24"/>
          <w:lang w:eastAsia="zh-CN"/>
        </w:rPr>
      </w:pPr>
      <w:r>
        <w:rPr>
          <w:rFonts w:hint="eastAsia" w:ascii="Times New Roman" w:hAnsi="Times New Roman" w:cs="Times New Roman"/>
          <w:b/>
          <w:bCs/>
          <w:color w:val="auto"/>
          <w:szCs w:val="24"/>
          <w:lang w:eastAsia="zh-CN"/>
        </w:rPr>
        <w:t>表7.7-7  31%盐酸储罐泄漏质量蒸发计算参数</w:t>
      </w:r>
    </w:p>
    <w:tbl>
      <w:tblPr>
        <w:tblStyle w:val="35"/>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30"/>
        <w:gridCol w:w="4688"/>
        <w:gridCol w:w="3628"/>
      </w:tblGrid>
      <w:tr w14:paraId="215517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56" w:type="dxa"/>
            <w:vAlign w:val="center"/>
          </w:tcPr>
          <w:p w14:paraId="225B9399">
            <w:pPr>
              <w:widowControl w:val="0"/>
              <w:ind w:firstLine="211"/>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符号</w:t>
            </w:r>
          </w:p>
        </w:tc>
        <w:tc>
          <w:tcPr>
            <w:tcW w:w="4790" w:type="dxa"/>
            <w:vAlign w:val="center"/>
          </w:tcPr>
          <w:p w14:paraId="2E3A279B">
            <w:pPr>
              <w:widowControl w:val="0"/>
              <w:ind w:firstLine="211"/>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含义</w:t>
            </w:r>
          </w:p>
        </w:tc>
        <w:tc>
          <w:tcPr>
            <w:tcW w:w="3716" w:type="dxa"/>
            <w:vAlign w:val="center"/>
          </w:tcPr>
          <w:p w14:paraId="080E22AE">
            <w:pPr>
              <w:widowControl w:val="0"/>
              <w:ind w:firstLine="211"/>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31%盐酸储罐泄漏相关参数选取值</w:t>
            </w:r>
          </w:p>
        </w:tc>
      </w:tr>
      <w:tr w14:paraId="62F502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56" w:type="dxa"/>
            <w:vAlign w:val="center"/>
          </w:tcPr>
          <w:p w14:paraId="58780142">
            <w:pPr>
              <w:widowControl w:val="0"/>
              <w:ind w:firstLine="21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M</w:t>
            </w:r>
          </w:p>
        </w:tc>
        <w:tc>
          <w:tcPr>
            <w:tcW w:w="4790" w:type="dxa"/>
            <w:vAlign w:val="center"/>
          </w:tcPr>
          <w:p w14:paraId="0ED51A4B">
            <w:pPr>
              <w:widowControl w:val="0"/>
              <w:ind w:firstLine="21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物质的摩尔质量（kg/mol）</w:t>
            </w:r>
          </w:p>
        </w:tc>
        <w:tc>
          <w:tcPr>
            <w:tcW w:w="3716" w:type="dxa"/>
            <w:vAlign w:val="center"/>
          </w:tcPr>
          <w:p w14:paraId="205E7681">
            <w:pPr>
              <w:widowControl w:val="0"/>
              <w:ind w:firstLine="210"/>
              <w:jc w:val="center"/>
              <w:rPr>
                <w:rFonts w:ascii="Times New Roman" w:hAnsi="Times New Roman" w:cs="Times New Roman"/>
                <w:color w:val="auto"/>
                <w:sz w:val="21"/>
                <w:lang w:eastAsia="zh-CN"/>
              </w:rPr>
            </w:pPr>
          </w:p>
        </w:tc>
      </w:tr>
      <w:tr w14:paraId="617035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56" w:type="dxa"/>
            <w:vAlign w:val="center"/>
          </w:tcPr>
          <w:p w14:paraId="6C76D843">
            <w:pPr>
              <w:widowControl w:val="0"/>
              <w:ind w:firstLine="21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r</w:t>
            </w:r>
          </w:p>
        </w:tc>
        <w:tc>
          <w:tcPr>
            <w:tcW w:w="4790" w:type="dxa"/>
            <w:vAlign w:val="center"/>
          </w:tcPr>
          <w:p w14:paraId="265366BF">
            <w:pPr>
              <w:widowControl w:val="0"/>
              <w:ind w:firstLine="21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液池半径（m）</w:t>
            </w:r>
          </w:p>
        </w:tc>
        <w:tc>
          <w:tcPr>
            <w:tcW w:w="3716" w:type="dxa"/>
            <w:vAlign w:val="center"/>
          </w:tcPr>
          <w:p w14:paraId="68997025">
            <w:pPr>
              <w:widowControl w:val="0"/>
              <w:ind w:firstLine="210"/>
              <w:jc w:val="center"/>
              <w:rPr>
                <w:rFonts w:ascii="Times New Roman" w:hAnsi="Times New Roman" w:cs="Times New Roman"/>
                <w:color w:val="auto"/>
                <w:sz w:val="21"/>
                <w:lang w:eastAsia="zh-CN"/>
              </w:rPr>
            </w:pPr>
          </w:p>
        </w:tc>
      </w:tr>
      <w:tr w14:paraId="7B303E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56" w:type="dxa"/>
            <w:vAlign w:val="center"/>
          </w:tcPr>
          <w:p w14:paraId="28C42517">
            <w:pPr>
              <w:widowControl w:val="0"/>
              <w:ind w:firstLine="21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R</w:t>
            </w:r>
          </w:p>
        </w:tc>
        <w:tc>
          <w:tcPr>
            <w:tcW w:w="4790" w:type="dxa"/>
            <w:vAlign w:val="center"/>
          </w:tcPr>
          <w:p w14:paraId="07CFB149">
            <w:pPr>
              <w:widowControl w:val="0"/>
              <w:ind w:firstLine="21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气体常数（J/mol·K）</w:t>
            </w:r>
          </w:p>
        </w:tc>
        <w:tc>
          <w:tcPr>
            <w:tcW w:w="3716" w:type="dxa"/>
            <w:vAlign w:val="center"/>
          </w:tcPr>
          <w:p w14:paraId="45D0ED66">
            <w:pPr>
              <w:widowControl w:val="0"/>
              <w:ind w:firstLine="210"/>
              <w:jc w:val="center"/>
              <w:rPr>
                <w:rFonts w:ascii="Times New Roman" w:hAnsi="Times New Roman" w:cs="Times New Roman"/>
                <w:color w:val="auto"/>
                <w:sz w:val="21"/>
                <w:lang w:eastAsia="zh-CN"/>
              </w:rPr>
            </w:pPr>
          </w:p>
        </w:tc>
      </w:tr>
      <w:tr w14:paraId="583233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1456" w:type="dxa"/>
            <w:vAlign w:val="center"/>
          </w:tcPr>
          <w:p w14:paraId="04DB2D57">
            <w:pPr>
              <w:widowControl w:val="0"/>
              <w:ind w:firstLine="21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T</w:t>
            </w:r>
            <w:r>
              <w:rPr>
                <w:rFonts w:hint="eastAsia" w:ascii="Times New Roman" w:hAnsi="Times New Roman" w:cs="Times New Roman"/>
                <w:color w:val="auto"/>
                <w:sz w:val="21"/>
                <w:vertAlign w:val="subscript"/>
                <w:lang w:eastAsia="zh-CN"/>
              </w:rPr>
              <w:t>0</w:t>
            </w:r>
          </w:p>
        </w:tc>
        <w:tc>
          <w:tcPr>
            <w:tcW w:w="4790" w:type="dxa"/>
            <w:vAlign w:val="center"/>
          </w:tcPr>
          <w:p w14:paraId="67671EEC">
            <w:pPr>
              <w:widowControl w:val="0"/>
              <w:ind w:firstLine="21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环境温度（K）</w:t>
            </w:r>
          </w:p>
        </w:tc>
        <w:tc>
          <w:tcPr>
            <w:tcW w:w="3716" w:type="dxa"/>
            <w:vAlign w:val="center"/>
          </w:tcPr>
          <w:p w14:paraId="7A1A2609">
            <w:pPr>
              <w:widowControl w:val="0"/>
              <w:ind w:firstLine="210"/>
              <w:jc w:val="center"/>
              <w:rPr>
                <w:rFonts w:ascii="Times New Roman" w:hAnsi="Times New Roman" w:cs="Times New Roman"/>
                <w:color w:val="auto"/>
                <w:sz w:val="21"/>
                <w:lang w:eastAsia="zh-CN"/>
              </w:rPr>
            </w:pPr>
          </w:p>
        </w:tc>
      </w:tr>
      <w:tr w14:paraId="7A9B22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56" w:type="dxa"/>
            <w:vAlign w:val="center"/>
          </w:tcPr>
          <w:p w14:paraId="18ED0A04">
            <w:pPr>
              <w:widowControl w:val="0"/>
              <w:ind w:firstLine="21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P</w:t>
            </w:r>
          </w:p>
        </w:tc>
        <w:tc>
          <w:tcPr>
            <w:tcW w:w="4790" w:type="dxa"/>
            <w:vAlign w:val="center"/>
          </w:tcPr>
          <w:p w14:paraId="58A5EE41">
            <w:pPr>
              <w:widowControl w:val="0"/>
              <w:ind w:firstLine="21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液体表面蒸气压（Pa）</w:t>
            </w:r>
          </w:p>
        </w:tc>
        <w:tc>
          <w:tcPr>
            <w:tcW w:w="3716" w:type="dxa"/>
            <w:vAlign w:val="center"/>
          </w:tcPr>
          <w:p w14:paraId="70B2134B">
            <w:pPr>
              <w:widowControl w:val="0"/>
              <w:ind w:firstLine="210"/>
              <w:jc w:val="center"/>
              <w:rPr>
                <w:rFonts w:ascii="Times New Roman" w:hAnsi="Times New Roman" w:cs="Times New Roman"/>
                <w:color w:val="auto"/>
                <w:sz w:val="21"/>
                <w:lang w:eastAsia="zh-CN"/>
              </w:rPr>
            </w:pPr>
          </w:p>
        </w:tc>
      </w:tr>
    </w:tbl>
    <w:p w14:paraId="7F8F33B2">
      <w:pPr>
        <w:spacing w:line="360" w:lineRule="auto"/>
        <w:ind w:firstLine="482"/>
        <w:jc w:val="both"/>
        <w:outlineLvl w:val="3"/>
        <w:rPr>
          <w:rFonts w:ascii="Times New Roman" w:hAnsi="Times New Roman" w:cs="Times New Roman"/>
          <w:b/>
          <w:bCs/>
          <w:color w:val="auto"/>
          <w:szCs w:val="24"/>
          <w:lang w:eastAsia="zh-CN"/>
        </w:rPr>
      </w:pPr>
      <w:r>
        <w:rPr>
          <w:rFonts w:hint="eastAsia" w:ascii="Times New Roman" w:hAnsi="Times New Roman" w:cs="Times New Roman"/>
          <w:b/>
          <w:bCs/>
          <w:color w:val="auto"/>
          <w:szCs w:val="24"/>
          <w:lang w:eastAsia="zh-CN"/>
        </w:rPr>
        <w:t>7</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7</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3</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3</w:t>
      </w:r>
      <w:r>
        <w:rPr>
          <w:rFonts w:ascii="Times New Roman" w:hAnsi="Times New Roman" w:cs="Times New Roman"/>
          <w:b/>
          <w:bCs/>
          <w:color w:val="auto"/>
          <w:szCs w:val="24"/>
          <w:lang w:eastAsia="zh-CN"/>
        </w:rPr>
        <w:t xml:space="preserve"> </w:t>
      </w:r>
      <w:r>
        <w:rPr>
          <w:rFonts w:hint="eastAsia" w:ascii="Times New Roman" w:hAnsi="Times New Roman" w:cs="Times New Roman"/>
          <w:b/>
          <w:bCs/>
          <w:color w:val="auto"/>
          <w:szCs w:val="24"/>
          <w:lang w:eastAsia="zh-CN"/>
        </w:rPr>
        <w:t>地表水环境风险事故源强</w:t>
      </w:r>
    </w:p>
    <w:p w14:paraId="5E172A05">
      <w:pPr>
        <w:spacing w:line="360" w:lineRule="auto"/>
        <w:ind w:firstLine="480" w:firstLineChars="200"/>
        <w:jc w:val="both"/>
        <w:rPr>
          <w:rFonts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（1）氟化物源强</w:t>
      </w:r>
    </w:p>
    <w:bookmarkEnd w:id="2058"/>
    <w:p w14:paraId="32381DAF">
      <w:pPr>
        <w:widowControl w:val="0"/>
        <w:spacing w:line="360" w:lineRule="auto"/>
        <w:ind w:firstLine="482"/>
        <w:jc w:val="both"/>
        <w:outlineLvl w:val="2"/>
        <w:rPr>
          <w:rFonts w:ascii="Times New Roman" w:hAnsi="Times New Roman" w:eastAsia="新宋体" w:cs="Times New Roman"/>
          <w:b/>
          <w:bCs/>
          <w:color w:val="auto"/>
          <w:lang w:eastAsia="zh-CN"/>
        </w:rPr>
      </w:pPr>
      <w:bookmarkStart w:id="2060" w:name="_Toc178602436"/>
      <w:bookmarkStart w:id="2061" w:name="_Toc175164359"/>
      <w:bookmarkStart w:id="2062" w:name="_Toc218784370"/>
      <w:bookmarkStart w:id="2063" w:name="_Toc176513095"/>
      <w:bookmarkStart w:id="2064" w:name="_Toc204515287"/>
      <w:bookmarkStart w:id="2065" w:name="_Toc217662758"/>
      <w:bookmarkStart w:id="2066" w:name="_Toc173743468"/>
      <w:bookmarkStart w:id="2067" w:name="_Toc32150"/>
      <w:bookmarkStart w:id="2068" w:name="_Toc203927088"/>
      <w:bookmarkStart w:id="2069" w:name="_Toc204448552"/>
      <w:bookmarkStart w:id="2070" w:name="_Toc172555732"/>
      <w:bookmarkStart w:id="2071" w:name="_Toc173740364"/>
      <w:bookmarkStart w:id="2072" w:name="_Toc237508381"/>
      <w:bookmarkStart w:id="2073" w:name="_Toc231828668"/>
      <w:bookmarkStart w:id="2074" w:name="_Toc223425145"/>
      <w:bookmarkStart w:id="2075" w:name="_Toc224674785"/>
      <w:bookmarkStart w:id="2076" w:name="_Toc225784147"/>
      <w:bookmarkStart w:id="2077" w:name="_Toc221900927"/>
      <w:bookmarkStart w:id="2078" w:name="_Toc236641916"/>
      <w:r>
        <w:rPr>
          <w:rFonts w:ascii="Times New Roman" w:hAnsi="Times New Roman" w:eastAsia="新宋体" w:cs="Times New Roman"/>
          <w:b/>
          <w:bCs/>
          <w:color w:val="auto"/>
          <w:lang w:eastAsia="zh-CN"/>
        </w:rPr>
        <w:t>7.</w:t>
      </w:r>
      <w:r>
        <w:rPr>
          <w:rFonts w:hint="eastAsia" w:ascii="Times New Roman" w:hAnsi="Times New Roman" w:eastAsia="新宋体" w:cs="Times New Roman"/>
          <w:b/>
          <w:bCs/>
          <w:color w:val="auto"/>
          <w:lang w:eastAsia="zh-CN"/>
        </w:rPr>
        <w:t>8</w:t>
      </w:r>
      <w:r>
        <w:rPr>
          <w:rFonts w:ascii="Times New Roman" w:hAnsi="Times New Roman" w:eastAsia="新宋体" w:cs="Times New Roman"/>
          <w:b/>
          <w:bCs/>
          <w:color w:val="auto"/>
          <w:lang w:eastAsia="zh-CN"/>
        </w:rPr>
        <w:t>.1</w:t>
      </w:r>
      <w:bookmarkEnd w:id="2060"/>
      <w:bookmarkEnd w:id="2061"/>
      <w:bookmarkEnd w:id="2062"/>
      <w:bookmarkEnd w:id="2063"/>
      <w:bookmarkEnd w:id="2064"/>
      <w:bookmarkEnd w:id="2065"/>
      <w:bookmarkEnd w:id="2066"/>
      <w:bookmarkEnd w:id="2067"/>
      <w:bookmarkEnd w:id="2068"/>
      <w:bookmarkEnd w:id="2069"/>
      <w:bookmarkEnd w:id="2070"/>
      <w:bookmarkEnd w:id="2071"/>
      <w:r>
        <w:rPr>
          <w:rFonts w:hint="eastAsia" w:ascii="Times New Roman" w:hAnsi="Times New Roman" w:eastAsia="新宋体" w:cs="Times New Roman"/>
          <w:b/>
          <w:bCs/>
          <w:color w:val="auto"/>
          <w:lang w:eastAsia="zh-CN"/>
        </w:rPr>
        <w:t xml:space="preserve"> </w:t>
      </w:r>
      <w:r>
        <w:rPr>
          <w:rFonts w:hint="eastAsia" w:ascii="Times New Roman" w:hAnsi="Times New Roman" w:cs="Times New Roman"/>
          <w:b/>
          <w:bCs/>
          <w:color w:val="auto"/>
          <w:szCs w:val="24"/>
          <w:lang w:eastAsia="zh-CN"/>
        </w:rPr>
        <w:t>大气环境风险预测分析</w:t>
      </w:r>
      <w:bookmarkEnd w:id="2072"/>
      <w:bookmarkEnd w:id="2073"/>
      <w:bookmarkEnd w:id="2074"/>
      <w:bookmarkEnd w:id="2075"/>
      <w:bookmarkEnd w:id="2076"/>
      <w:bookmarkEnd w:id="2077"/>
      <w:bookmarkEnd w:id="2078"/>
    </w:p>
    <w:p w14:paraId="41A7638E">
      <w:pPr>
        <w:spacing w:line="360" w:lineRule="auto"/>
        <w:ind w:firstLine="482"/>
        <w:jc w:val="both"/>
        <w:outlineLvl w:val="3"/>
        <w:rPr>
          <w:rFonts w:ascii="Times New Roman" w:hAnsi="Times New Roman" w:cs="Times New Roman"/>
          <w:b/>
          <w:bCs/>
          <w:color w:val="auto"/>
          <w:szCs w:val="24"/>
          <w:lang w:eastAsia="zh-CN"/>
        </w:rPr>
      </w:pPr>
      <w:bookmarkStart w:id="2079" w:name="_Toc6071"/>
      <w:r>
        <w:rPr>
          <w:rFonts w:hint="eastAsia" w:ascii="Times New Roman" w:hAnsi="Times New Roman" w:cs="Times New Roman"/>
          <w:b/>
          <w:bCs/>
          <w:color w:val="auto"/>
          <w:szCs w:val="24"/>
          <w:lang w:eastAsia="zh-CN"/>
        </w:rPr>
        <w:t>7</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8</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1</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 xml:space="preserve">1 </w:t>
      </w:r>
      <w:r>
        <w:rPr>
          <w:rFonts w:ascii="Times New Roman" w:hAnsi="Times New Roman" w:cs="Times New Roman"/>
          <w:b/>
          <w:bCs/>
          <w:snapToGrid/>
          <w:color w:val="auto"/>
          <w:spacing w:val="-2"/>
          <w:szCs w:val="24"/>
          <w:lang w:eastAsia="zh-CN"/>
        </w:rPr>
        <w:t>预测参数选取及模型筛选</w:t>
      </w:r>
    </w:p>
    <w:p w14:paraId="2DD78290">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（1）预测气象参数</w:t>
      </w:r>
    </w:p>
    <w:p w14:paraId="3FB8ACCC">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建设项目环境风险评价技术导则》（HJ/T169-2018），本评价选取最不利气象条件和最常见气象条件进行后果预测。最不利气象条件选取F稳定度，1.5m/s风速，温度25℃，相对湿度50%。最常见气象条件为D稳定度、风速2.4</w:t>
      </w:r>
      <w:r>
        <w:rPr>
          <w:rFonts w:hint="eastAsia" w:ascii="Times New Roman" w:hAnsi="Times New Roman" w:cs="Times New Roman"/>
          <w:color w:val="auto"/>
          <w:lang w:eastAsia="zh-CN"/>
        </w:rPr>
        <w:t>5</w:t>
      </w:r>
      <w:r>
        <w:rPr>
          <w:rFonts w:ascii="Times New Roman" w:hAnsi="Times New Roman" w:cs="Times New Roman"/>
          <w:color w:val="auto"/>
          <w:lang w:eastAsia="zh-CN"/>
        </w:rPr>
        <w:t>m/s、温度</w:t>
      </w:r>
      <w:r>
        <w:rPr>
          <w:rFonts w:hint="eastAsia" w:ascii="Times New Roman" w:hAnsi="Times New Roman" w:cs="Times New Roman"/>
          <w:color w:val="auto"/>
          <w:lang w:eastAsia="zh-CN"/>
        </w:rPr>
        <w:t>15.37</w:t>
      </w:r>
      <w:r>
        <w:rPr>
          <w:rFonts w:ascii="Times New Roman" w:hAnsi="Times New Roman" w:cs="Times New Roman"/>
          <w:color w:val="auto"/>
          <w:lang w:eastAsia="zh-CN"/>
        </w:rPr>
        <w:t>℃、相对湿度72.2%。</w:t>
      </w:r>
    </w:p>
    <w:p w14:paraId="2AC9E9D3">
      <w:pPr>
        <w:widowControl w:val="0"/>
        <w:spacing w:line="360" w:lineRule="auto"/>
        <w:ind w:left="480"/>
        <w:rPr>
          <w:rFonts w:ascii="Times New Roman" w:hAnsi="Times New Roman" w:cs="Times New Roman"/>
          <w:color w:val="auto"/>
          <w:lang w:eastAsia="zh-CN"/>
        </w:rPr>
      </w:pPr>
      <w:r>
        <w:rPr>
          <w:rFonts w:hint="eastAsia" w:ascii="Times New Roman" w:hAnsi="Times New Roman" w:cs="Times New Roman"/>
          <w:color w:val="auto"/>
          <w:lang w:eastAsia="zh-CN"/>
        </w:rPr>
        <w:t>（2）</w:t>
      </w:r>
      <w:r>
        <w:rPr>
          <w:rFonts w:ascii="Times New Roman" w:hAnsi="Times New Roman" w:cs="Times New Roman"/>
          <w:color w:val="auto"/>
          <w:lang w:eastAsia="zh-CN"/>
        </w:rPr>
        <w:t>预测模型筛选</w:t>
      </w:r>
    </w:p>
    <w:p w14:paraId="1F1C03B8">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HJ169-2018）要求，大气风险预测计算时应区分重质气体与轻质气体排放选择合适的大气风险预测模型。重质气体和轻质气体的判断依据可采用附录G中G.2推荐的理查德森数进行判定。根据不同的排放性质，理查德森数的计算公式不同，依据排放类型，理查德森数的计算分连续排放、瞬时排放两种形式。Ri的计算公式具体为：</w:t>
      </w:r>
    </w:p>
    <w:bookmarkEnd w:id="2079"/>
    <w:p w14:paraId="10C768F0">
      <w:pPr>
        <w:widowControl w:val="0"/>
        <w:spacing w:line="360" w:lineRule="auto"/>
        <w:ind w:firstLine="480" w:firstLineChars="200"/>
        <w:rPr>
          <w:rFonts w:ascii="Times New Roman" w:hAnsi="Times New Roman" w:cs="Times New Roman"/>
          <w:color w:val="auto"/>
        </w:rPr>
      </w:pPr>
      <w:r>
        <w:rPr>
          <w:rFonts w:ascii="Times New Roman" w:hAnsi="Times New Roman" w:cs="Times New Roman"/>
          <w:color w:val="auto"/>
        </w:rPr>
        <w:t>连续排放：</w:t>
      </w:r>
    </w:p>
    <w:p w14:paraId="4D11706A">
      <w:pPr>
        <w:widowControl w:val="0"/>
        <w:spacing w:line="360" w:lineRule="auto"/>
        <w:ind w:firstLine="480"/>
        <w:jc w:val="center"/>
        <w:rPr>
          <w:rFonts w:ascii="Times New Roman" w:hAnsi="Times New Roman" w:cs="Times New Roman"/>
          <w:color w:val="auto"/>
        </w:rPr>
      </w:pPr>
      <w:r>
        <w:rPr>
          <w:rFonts w:ascii="Times New Roman" w:hAnsi="Times New Roman" w:cs="Times New Roman"/>
          <w:color w:val="auto"/>
        </w:rPr>
        <w:drawing>
          <wp:inline distT="0" distB="0" distL="0" distR="0">
            <wp:extent cx="2400300" cy="819150"/>
            <wp:effectExtent l="0" t="0" r="0" b="0"/>
            <wp:docPr id="17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8"/>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a:xfrm>
                      <a:off x="0" y="0"/>
                      <a:ext cx="2400300" cy="819150"/>
                    </a:xfrm>
                    <a:prstGeom prst="rect">
                      <a:avLst/>
                    </a:prstGeom>
                    <a:noFill/>
                    <a:ln>
                      <a:noFill/>
                    </a:ln>
                  </pic:spPr>
                </pic:pic>
              </a:graphicData>
            </a:graphic>
          </wp:inline>
        </w:drawing>
      </w:r>
    </w:p>
    <w:p w14:paraId="31127950">
      <w:pPr>
        <w:widowControl w:val="0"/>
        <w:spacing w:line="360" w:lineRule="auto"/>
        <w:ind w:firstLine="480" w:firstLineChars="200"/>
        <w:rPr>
          <w:rFonts w:ascii="Times New Roman" w:hAnsi="Times New Roman" w:cs="Times New Roman"/>
          <w:color w:val="auto"/>
        </w:rPr>
      </w:pPr>
      <w:r>
        <w:rPr>
          <w:rFonts w:ascii="Times New Roman" w:hAnsi="Times New Roman" w:cs="Times New Roman"/>
          <w:color w:val="auto"/>
        </w:rPr>
        <w:t>瞬时排放：</w:t>
      </w:r>
    </w:p>
    <w:p w14:paraId="2CC4ADA2">
      <w:pPr>
        <w:widowControl w:val="0"/>
        <w:spacing w:line="360" w:lineRule="auto"/>
        <w:ind w:firstLine="480"/>
        <w:jc w:val="center"/>
        <w:rPr>
          <w:rFonts w:ascii="Times New Roman" w:hAnsi="Times New Roman" w:cs="Times New Roman"/>
          <w:color w:val="auto"/>
        </w:rPr>
      </w:pPr>
      <w:r>
        <w:rPr>
          <w:rFonts w:ascii="Times New Roman" w:hAnsi="Times New Roman" w:cs="Times New Roman"/>
          <w:color w:val="auto"/>
        </w:rPr>
        <w:drawing>
          <wp:inline distT="0" distB="0" distL="0" distR="0">
            <wp:extent cx="2647950" cy="752475"/>
            <wp:effectExtent l="0" t="0" r="0" b="0"/>
            <wp:docPr id="17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a:xfrm>
                      <a:off x="0" y="0"/>
                      <a:ext cx="2647950" cy="752475"/>
                    </a:xfrm>
                    <a:prstGeom prst="rect">
                      <a:avLst/>
                    </a:prstGeom>
                    <a:noFill/>
                    <a:ln>
                      <a:noFill/>
                    </a:ln>
                  </pic:spPr>
                </pic:pic>
              </a:graphicData>
            </a:graphic>
          </wp:inline>
        </w:drawing>
      </w:r>
    </w:p>
    <w:p w14:paraId="1045E2D7">
      <w:pPr>
        <w:widowControl w:val="0"/>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式中：</w:t>
      </w:r>
      <w:r>
        <w:rPr>
          <w:rFonts w:ascii="Times New Roman" w:hAnsi="Times New Roman" w:cs="Times New Roman"/>
          <w:color w:val="auto"/>
        </w:rPr>
        <w:t>ρ</w:t>
      </w:r>
      <w:r>
        <w:rPr>
          <w:rFonts w:ascii="Times New Roman" w:hAnsi="Times New Roman" w:cs="Times New Roman"/>
          <w:color w:val="auto"/>
          <w:vertAlign w:val="subscript"/>
          <w:lang w:eastAsia="zh-CN"/>
        </w:rPr>
        <w:t>rel</w:t>
      </w:r>
      <w:r>
        <w:rPr>
          <w:rFonts w:ascii="Times New Roman" w:hAnsi="Times New Roman" w:cs="Times New Roman"/>
          <w:color w:val="auto"/>
          <w:lang w:eastAsia="zh-CN"/>
        </w:rPr>
        <w:t>—排放物质进入大气的初始密度，kg/m</w:t>
      </w:r>
      <w:r>
        <w:rPr>
          <w:rFonts w:ascii="Times New Roman" w:hAnsi="Times New Roman" w:cs="Times New Roman"/>
          <w:color w:val="auto"/>
          <w:vertAlign w:val="superscript"/>
          <w:lang w:eastAsia="zh-CN"/>
        </w:rPr>
        <w:t>3</w:t>
      </w:r>
      <w:r>
        <w:rPr>
          <w:rFonts w:ascii="Times New Roman" w:hAnsi="Times New Roman" w:cs="Times New Roman"/>
          <w:color w:val="auto"/>
          <w:lang w:eastAsia="zh-CN"/>
        </w:rPr>
        <w:t>；</w:t>
      </w:r>
    </w:p>
    <w:p w14:paraId="641C146A">
      <w:pPr>
        <w:widowControl w:val="0"/>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 xml:space="preserve">      </w:t>
      </w:r>
      <w:r>
        <w:rPr>
          <w:rFonts w:ascii="Times New Roman" w:hAnsi="Times New Roman" w:cs="Times New Roman"/>
          <w:color w:val="auto"/>
        </w:rPr>
        <w:t>ρ</w:t>
      </w:r>
      <w:r>
        <w:rPr>
          <w:rFonts w:ascii="Times New Roman" w:hAnsi="Times New Roman" w:cs="Times New Roman"/>
          <w:color w:val="auto"/>
          <w:vertAlign w:val="subscript"/>
          <w:lang w:eastAsia="zh-CN"/>
        </w:rPr>
        <w:t>a</w:t>
      </w:r>
      <w:r>
        <w:rPr>
          <w:rFonts w:ascii="Times New Roman" w:hAnsi="Times New Roman" w:cs="Times New Roman"/>
          <w:color w:val="auto"/>
          <w:lang w:eastAsia="zh-CN"/>
        </w:rPr>
        <w:t>—环境空气密度，kg/m</w:t>
      </w:r>
      <w:r>
        <w:rPr>
          <w:rFonts w:ascii="Times New Roman" w:hAnsi="Times New Roman" w:cs="Times New Roman"/>
          <w:color w:val="auto"/>
          <w:vertAlign w:val="superscript"/>
          <w:lang w:eastAsia="zh-CN"/>
        </w:rPr>
        <w:t>3</w:t>
      </w:r>
      <w:r>
        <w:rPr>
          <w:rFonts w:ascii="Times New Roman" w:hAnsi="Times New Roman" w:cs="Times New Roman"/>
          <w:color w:val="auto"/>
          <w:lang w:eastAsia="zh-CN"/>
        </w:rPr>
        <w:t>；</w:t>
      </w:r>
    </w:p>
    <w:p w14:paraId="24481D32">
      <w:pPr>
        <w:widowControl w:val="0"/>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 xml:space="preserve">      Q—连续排放烟羽的排放速率，kg/s；</w:t>
      </w:r>
    </w:p>
    <w:p w14:paraId="7D94D636">
      <w:pPr>
        <w:widowControl w:val="0"/>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 xml:space="preserve">      Q</w:t>
      </w:r>
      <w:r>
        <w:rPr>
          <w:rFonts w:ascii="Times New Roman" w:hAnsi="Times New Roman" w:cs="Times New Roman"/>
          <w:color w:val="auto"/>
          <w:vertAlign w:val="subscript"/>
          <w:lang w:eastAsia="zh-CN"/>
        </w:rPr>
        <w:t>t</w:t>
      </w:r>
      <w:r>
        <w:rPr>
          <w:rFonts w:ascii="Times New Roman" w:hAnsi="Times New Roman" w:cs="Times New Roman"/>
          <w:color w:val="auto"/>
          <w:lang w:eastAsia="zh-CN"/>
        </w:rPr>
        <w:t>—瞬时排放的物质质量，kg；</w:t>
      </w:r>
    </w:p>
    <w:p w14:paraId="51EAC7A8">
      <w:pPr>
        <w:widowControl w:val="0"/>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 xml:space="preserve">      D</w:t>
      </w:r>
      <w:r>
        <w:rPr>
          <w:rFonts w:ascii="Times New Roman" w:hAnsi="Times New Roman" w:cs="Times New Roman"/>
          <w:color w:val="auto"/>
          <w:vertAlign w:val="subscript"/>
          <w:lang w:eastAsia="zh-CN"/>
        </w:rPr>
        <w:t>rel</w:t>
      </w:r>
      <w:r>
        <w:rPr>
          <w:rFonts w:ascii="Times New Roman" w:hAnsi="Times New Roman" w:cs="Times New Roman"/>
          <w:color w:val="auto"/>
          <w:lang w:eastAsia="zh-CN"/>
        </w:rPr>
        <w:t>—初始的烟团宽度，即源直径，m；</w:t>
      </w:r>
    </w:p>
    <w:p w14:paraId="36FA638E">
      <w:pPr>
        <w:widowControl w:val="0"/>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 xml:space="preserve">      U</w:t>
      </w:r>
      <w:r>
        <w:rPr>
          <w:rFonts w:ascii="Times New Roman" w:hAnsi="Times New Roman" w:cs="Times New Roman"/>
          <w:color w:val="auto"/>
          <w:vertAlign w:val="subscript"/>
          <w:lang w:eastAsia="zh-CN"/>
        </w:rPr>
        <w:t>r</w:t>
      </w:r>
      <w:r>
        <w:rPr>
          <w:rFonts w:ascii="Times New Roman" w:hAnsi="Times New Roman" w:cs="Times New Roman"/>
          <w:color w:val="auto"/>
          <w:lang w:eastAsia="zh-CN"/>
        </w:rPr>
        <w:t>—10m高处风速，m/s。</w:t>
      </w:r>
    </w:p>
    <w:p w14:paraId="3ECA0B2A">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判断连续排放还是瞬时排放，可以通过对比排放时间T</w:t>
      </w:r>
      <w:r>
        <w:rPr>
          <w:rFonts w:ascii="Times New Roman" w:hAnsi="Times New Roman" w:cs="Times New Roman"/>
          <w:color w:val="auto"/>
          <w:vertAlign w:val="subscript"/>
          <w:lang w:eastAsia="zh-CN"/>
        </w:rPr>
        <w:t>d</w:t>
      </w:r>
      <w:r>
        <w:rPr>
          <w:rFonts w:ascii="Times New Roman" w:hAnsi="Times New Roman" w:cs="Times New Roman"/>
          <w:color w:val="auto"/>
          <w:lang w:eastAsia="zh-CN"/>
        </w:rPr>
        <w:t>和污染物到达最近的受体点（网格点或敏感点）的时间T确定。</w:t>
      </w:r>
    </w:p>
    <w:p w14:paraId="681B1628">
      <w:pPr>
        <w:widowControl w:val="0"/>
        <w:spacing w:line="360" w:lineRule="auto"/>
        <w:ind w:firstLine="480"/>
        <w:jc w:val="center"/>
        <w:rPr>
          <w:rFonts w:ascii="Times New Roman" w:hAnsi="Times New Roman" w:cs="Times New Roman"/>
          <w:color w:val="auto"/>
          <w:vertAlign w:val="subscript"/>
          <w:lang w:eastAsia="zh-CN"/>
        </w:rPr>
      </w:pPr>
      <w:r>
        <w:rPr>
          <w:rFonts w:ascii="Times New Roman" w:hAnsi="Times New Roman" w:cs="Times New Roman"/>
          <w:color w:val="auto"/>
          <w:lang w:eastAsia="zh-CN"/>
        </w:rPr>
        <w:t>T=2X/U</w:t>
      </w:r>
      <w:r>
        <w:rPr>
          <w:rFonts w:ascii="Times New Roman" w:hAnsi="Times New Roman" w:cs="Times New Roman"/>
          <w:color w:val="auto"/>
          <w:vertAlign w:val="subscript"/>
          <w:lang w:eastAsia="zh-CN"/>
        </w:rPr>
        <w:t>r</w:t>
      </w:r>
    </w:p>
    <w:p w14:paraId="722DFCCE">
      <w:pPr>
        <w:widowControl w:val="0"/>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式中：X—事故发生地与计算点的距离，m；</w:t>
      </w:r>
    </w:p>
    <w:p w14:paraId="694869D6">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 xml:space="preserve">      U</w:t>
      </w:r>
      <w:r>
        <w:rPr>
          <w:rFonts w:ascii="Times New Roman" w:hAnsi="Times New Roman" w:cs="Times New Roman"/>
          <w:color w:val="auto"/>
          <w:vertAlign w:val="subscript"/>
          <w:lang w:eastAsia="zh-CN"/>
        </w:rPr>
        <w:t>r</w:t>
      </w:r>
      <w:r>
        <w:rPr>
          <w:rFonts w:ascii="Times New Roman" w:hAnsi="Times New Roman" w:cs="Times New Roman"/>
          <w:color w:val="auto"/>
          <w:lang w:eastAsia="zh-CN"/>
        </w:rPr>
        <w:t>—10m高处风速，m/s。假设风速和风向在T时间段内保持不变。U</w:t>
      </w:r>
      <w:r>
        <w:rPr>
          <w:rFonts w:ascii="Times New Roman" w:hAnsi="Times New Roman" w:cs="Times New Roman"/>
          <w:color w:val="auto"/>
          <w:vertAlign w:val="subscript"/>
          <w:lang w:eastAsia="zh-CN"/>
        </w:rPr>
        <w:t>r</w:t>
      </w:r>
      <w:r>
        <w:rPr>
          <w:rFonts w:ascii="Times New Roman" w:hAnsi="Times New Roman" w:cs="Times New Roman"/>
          <w:color w:val="auto"/>
          <w:lang w:eastAsia="zh-CN"/>
        </w:rPr>
        <w:t>取1.5m/s。</w:t>
      </w:r>
    </w:p>
    <w:p w14:paraId="1A113274">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当Td＞T时，可被认为是连续排放的；当Td≤T时，可被认为是瞬时排放。</w:t>
      </w:r>
    </w:p>
    <w:p w14:paraId="20C93B59">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判断标准为：对于连续排放，Ri≥1/6为重质气体，Ri＜1/6为轻质气体；对于瞬时排放，Ri＞0.04为重质气体，Ri≤0.04为轻质气体。</w:t>
      </w:r>
    </w:p>
    <w:p w14:paraId="62F68971">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color w:val="auto"/>
          <w:lang w:eastAsia="zh-CN"/>
        </w:rPr>
        <w:t>本项目风险事故类型各污染物预测模型选取结果如下：</w:t>
      </w:r>
    </w:p>
    <w:p w14:paraId="2703922A">
      <w:pPr>
        <w:widowControl w:val="0"/>
        <w:spacing w:line="360" w:lineRule="auto"/>
        <w:ind w:firstLine="480" w:firstLineChars="200"/>
        <w:rPr>
          <w:rFonts w:ascii="Times New Roman" w:hAnsi="Times New Roman" w:cs="Times New Roman"/>
          <w:color w:val="auto"/>
          <w:lang w:eastAsia="zh-CN"/>
        </w:rPr>
      </w:pPr>
      <w:r>
        <w:rPr>
          <w:rFonts w:ascii="宋体" w:hAnsi="宋体" w:cs="Times New Roman"/>
          <w:color w:val="auto"/>
        </w:rPr>
        <w:fldChar w:fldCharType="begin"/>
      </w:r>
      <w:r>
        <w:rPr>
          <w:rFonts w:ascii="宋体" w:hAnsi="宋体" w:cs="Times New Roman"/>
          <w:color w:val="auto"/>
          <w:lang w:eastAsia="zh-CN"/>
        </w:rPr>
        <w:instrText xml:space="preserve"> = 1 \* GB3 </w:instrText>
      </w:r>
      <w:r>
        <w:rPr>
          <w:rFonts w:ascii="宋体" w:hAnsi="宋体" w:cs="Times New Roman"/>
          <w:color w:val="auto"/>
        </w:rPr>
        <w:fldChar w:fldCharType="separate"/>
      </w:r>
      <w:r>
        <w:rPr>
          <w:rFonts w:ascii="宋体" w:hAnsi="宋体" w:cs="Cambria Math"/>
          <w:color w:val="auto"/>
          <w:lang w:eastAsia="zh-CN"/>
        </w:rPr>
        <w:t>①</w:t>
      </w:r>
      <w:r>
        <w:rPr>
          <w:rFonts w:ascii="宋体" w:hAnsi="宋体" w:cs="Times New Roman"/>
          <w:color w:val="auto"/>
        </w:rPr>
        <w:fldChar w:fldCharType="end"/>
      </w:r>
      <w:r>
        <w:rPr>
          <w:rFonts w:ascii="Times New Roman" w:hAnsi="Times New Roman" w:cs="Times New Roman"/>
          <w:color w:val="auto"/>
          <w:lang w:eastAsia="zh-CN"/>
        </w:rPr>
        <w:t xml:space="preserve"> 连续排放和瞬时排放判定 </w:t>
      </w:r>
    </w:p>
    <w:p w14:paraId="1151FFDD">
      <w:pPr>
        <w:spacing w:line="360" w:lineRule="auto"/>
        <w:ind w:firstLine="480" w:firstLineChars="200"/>
        <w:jc w:val="both"/>
        <w:rPr>
          <w:rFonts w:ascii="Times New Roman" w:hAnsi="Times New Roman" w:cs="Times New Roman"/>
          <w:b/>
          <w:bCs/>
          <w:color w:val="000000" w:themeColor="text1"/>
          <w:szCs w:val="24"/>
          <w:lang w:eastAsia="zh-CN"/>
          <w14:textFill>
            <w14:solidFill>
              <w14:schemeClr w14:val="tx1"/>
            </w14:solidFill>
          </w14:textFill>
        </w:rPr>
      </w:pPr>
      <w:r>
        <w:rPr>
          <w:rFonts w:ascii="Times New Roman" w:hAnsi="Times New Roman" w:cs="Times New Roman"/>
          <w:color w:val="000000" w:themeColor="text1"/>
          <w:szCs w:val="24"/>
          <w:lang w:eastAsia="zh-CN"/>
          <w14:textFill>
            <w14:solidFill>
              <w14:schemeClr w14:val="tx1"/>
            </w14:solidFill>
          </w14:textFill>
        </w:rPr>
        <w:t>判定事故源连续排放还是瞬时排放，可以根据排放时间T</w:t>
      </w:r>
      <w:r>
        <w:rPr>
          <w:rFonts w:ascii="Times New Roman" w:hAnsi="Times New Roman" w:cs="Times New Roman"/>
          <w:color w:val="000000" w:themeColor="text1"/>
          <w:szCs w:val="24"/>
          <w:vertAlign w:val="subscript"/>
          <w:lang w:eastAsia="zh-CN"/>
          <w14:textFill>
            <w14:solidFill>
              <w14:schemeClr w14:val="tx1"/>
            </w14:solidFill>
          </w14:textFill>
        </w:rPr>
        <w:t>d</w:t>
      </w:r>
      <w:r>
        <w:rPr>
          <w:rFonts w:ascii="Times New Roman" w:hAnsi="Times New Roman" w:cs="Times New Roman"/>
          <w:color w:val="000000" w:themeColor="text1"/>
          <w:szCs w:val="24"/>
          <w:lang w:eastAsia="zh-CN"/>
          <w14:textFill>
            <w14:solidFill>
              <w14:schemeClr w14:val="tx1"/>
            </w14:solidFill>
          </w14:textFill>
        </w:rPr>
        <w:t>和污染物到达最近的受体点（网格点或敏感点）的时间T确定。</w:t>
      </w:r>
    </w:p>
    <w:p w14:paraId="11D16E05">
      <w:pPr>
        <w:spacing w:line="360" w:lineRule="auto"/>
        <w:jc w:val="center"/>
        <w:rPr>
          <w:rFonts w:ascii="Times New Roman" w:hAnsi="Times New Roman" w:cs="Times New Roman"/>
          <w:color w:val="000000" w:themeColor="text1"/>
          <w:szCs w:val="24"/>
          <w:lang w:eastAsia="zh-CN"/>
          <w14:textFill>
            <w14:solidFill>
              <w14:schemeClr w14:val="tx1"/>
            </w14:solidFill>
          </w14:textFill>
        </w:rPr>
      </w:pPr>
      <w:r>
        <w:rPr>
          <w:rFonts w:ascii="Times New Roman" w:hAnsi="Times New Roman" w:cs="Times New Roman"/>
          <w:color w:val="000000" w:themeColor="text1"/>
          <w:szCs w:val="24"/>
          <w:lang w:eastAsia="zh-CN"/>
          <w14:textFill>
            <w14:solidFill>
              <w14:schemeClr w14:val="tx1"/>
            </w14:solidFill>
          </w14:textFill>
        </w:rPr>
        <w:t>T=2X/Ur</w:t>
      </w:r>
    </w:p>
    <w:p w14:paraId="2A767A27">
      <w:pPr>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ascii="Times New Roman" w:hAnsi="Times New Roman" w:cs="Times New Roman"/>
          <w:color w:val="000000" w:themeColor="text1"/>
          <w:szCs w:val="24"/>
          <w:lang w:eastAsia="zh-CN"/>
          <w14:textFill>
            <w14:solidFill>
              <w14:schemeClr w14:val="tx1"/>
            </w14:solidFill>
          </w14:textFill>
        </w:rPr>
        <w:t>式中：X——事故发生地与计算点的距离，m；</w:t>
      </w:r>
    </w:p>
    <w:p w14:paraId="1E38F6D2">
      <w:pPr>
        <w:spacing w:line="360" w:lineRule="auto"/>
        <w:ind w:firstLine="1200" w:firstLineChars="500"/>
        <w:jc w:val="both"/>
        <w:rPr>
          <w:rFonts w:ascii="Times New Roman" w:hAnsi="Times New Roman" w:cs="Times New Roman"/>
          <w:color w:val="000000" w:themeColor="text1"/>
          <w:szCs w:val="24"/>
          <w:lang w:eastAsia="zh-CN"/>
          <w14:textFill>
            <w14:solidFill>
              <w14:schemeClr w14:val="tx1"/>
            </w14:solidFill>
          </w14:textFill>
        </w:rPr>
      </w:pPr>
      <w:r>
        <w:rPr>
          <w:rFonts w:ascii="Times New Roman" w:hAnsi="Times New Roman" w:cs="Times New Roman"/>
          <w:color w:val="000000" w:themeColor="text1"/>
          <w:szCs w:val="24"/>
          <w:lang w:eastAsia="zh-CN"/>
          <w14:textFill>
            <w14:solidFill>
              <w14:schemeClr w14:val="tx1"/>
            </w14:solidFill>
          </w14:textFill>
        </w:rPr>
        <w:t>Ur——10m高处风速，</w:t>
      </w:r>
      <w:r>
        <w:rPr>
          <w:rFonts w:hint="eastAsia" w:ascii="Times New Roman" w:hAnsi="Times New Roman" w:cs="Times New Roman"/>
          <w:color w:val="000000" w:themeColor="text1"/>
          <w:szCs w:val="24"/>
          <w:lang w:eastAsia="zh-CN"/>
          <w14:textFill>
            <w14:solidFill>
              <w14:schemeClr w14:val="tx1"/>
            </w14:solidFill>
          </w14:textFill>
        </w:rPr>
        <w:t>1.5</w:t>
      </w:r>
      <w:r>
        <w:rPr>
          <w:rFonts w:ascii="Times New Roman" w:hAnsi="Times New Roman" w:cs="Times New Roman"/>
          <w:color w:val="000000" w:themeColor="text1"/>
          <w:szCs w:val="24"/>
          <w:lang w:eastAsia="zh-CN"/>
          <w14:textFill>
            <w14:solidFill>
              <w14:schemeClr w14:val="tx1"/>
            </w14:solidFill>
          </w14:textFill>
        </w:rPr>
        <w:t>m/s。假设风速和风向在T时间段内保持不变。</w:t>
      </w:r>
    </w:p>
    <w:p w14:paraId="07819587">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000000" w:themeColor="text1"/>
          <w:szCs w:val="24"/>
          <w:lang w:eastAsia="zh-CN"/>
          <w14:textFill>
            <w14:solidFill>
              <w14:schemeClr w14:val="tx1"/>
            </w14:solidFill>
          </w14:textFill>
        </w:rPr>
        <w:t>当T</w:t>
      </w:r>
      <w:r>
        <w:rPr>
          <w:rFonts w:ascii="Times New Roman" w:hAnsi="Times New Roman" w:cs="Times New Roman"/>
          <w:color w:val="000000" w:themeColor="text1"/>
          <w:szCs w:val="24"/>
          <w:vertAlign w:val="subscript"/>
          <w:lang w:eastAsia="zh-CN"/>
          <w14:textFill>
            <w14:solidFill>
              <w14:schemeClr w14:val="tx1"/>
            </w14:solidFill>
          </w14:textFill>
        </w:rPr>
        <w:t>d</w:t>
      </w:r>
      <w:r>
        <w:rPr>
          <w:rFonts w:ascii="Times New Roman" w:hAnsi="Times New Roman" w:cs="Times New Roman"/>
          <w:color w:val="000000" w:themeColor="text1"/>
          <w:szCs w:val="24"/>
          <w:lang w:eastAsia="zh-CN"/>
          <w14:textFill>
            <w14:solidFill>
              <w14:schemeClr w14:val="tx1"/>
            </w14:solidFill>
          </w14:textFill>
        </w:rPr>
        <w:t>＞T时，可被认为是连续排放的；当T</w:t>
      </w:r>
      <w:r>
        <w:rPr>
          <w:rFonts w:ascii="Times New Roman" w:hAnsi="Times New Roman" w:cs="Times New Roman"/>
          <w:color w:val="000000" w:themeColor="text1"/>
          <w:szCs w:val="24"/>
          <w:vertAlign w:val="subscript"/>
          <w:lang w:eastAsia="zh-CN"/>
          <w14:textFill>
            <w14:solidFill>
              <w14:schemeClr w14:val="tx1"/>
            </w14:solidFill>
          </w14:textFill>
        </w:rPr>
        <w:t>d</w:t>
      </w:r>
      <w:r>
        <w:rPr>
          <w:rFonts w:ascii="Times New Roman" w:hAnsi="Times New Roman" w:cs="Times New Roman"/>
          <w:color w:val="000000" w:themeColor="text1"/>
          <w:szCs w:val="24"/>
          <w:lang w:eastAsia="zh-CN"/>
          <w14:textFill>
            <w14:solidFill>
              <w14:schemeClr w14:val="tx1"/>
            </w14:solidFill>
          </w14:textFill>
        </w:rPr>
        <w:t>≤T时，可被认为是瞬时排放</w:t>
      </w:r>
    </w:p>
    <w:p w14:paraId="02A4F519">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拟建项目500m范围一般计算点设置分辨率为50m×50m，最近敏感点</w:t>
      </w:r>
      <w:r>
        <w:rPr>
          <w:rFonts w:hint="eastAsia" w:ascii="Times New Roman" w:hAnsi="Times New Roman" w:cs="Times New Roman"/>
          <w:color w:val="auto"/>
          <w:lang w:eastAsia="zh-CN"/>
        </w:rPr>
        <w:t>网格点</w:t>
      </w:r>
      <w:r>
        <w:rPr>
          <w:rFonts w:ascii="Times New Roman" w:hAnsi="Times New Roman" w:cs="Times New Roman"/>
          <w:color w:val="auto"/>
          <w:lang w:eastAsia="zh-CN"/>
        </w:rPr>
        <w:t>，计算可得</w:t>
      </w:r>
      <w:r>
        <w:rPr>
          <w:rFonts w:ascii="Times New Roman" w:hAnsi="Times New Roman" w:cs="Times New Roman"/>
          <w:color w:val="000000" w:themeColor="text1"/>
          <w:lang w:eastAsia="zh-CN"/>
          <w14:textFill>
            <w14:solidFill>
              <w14:schemeClr w14:val="tx1"/>
            </w14:solidFill>
          </w14:textFill>
        </w:rPr>
        <w:t>到达最近敏感点时间T为</w:t>
      </w:r>
      <w:r>
        <w:rPr>
          <w:rFonts w:hint="eastAsia" w:ascii="Times New Roman" w:hAnsi="Times New Roman" w:cs="Times New Roman"/>
          <w:color w:val="000000" w:themeColor="text1"/>
          <w:lang w:eastAsia="zh-CN"/>
          <w14:textFill>
            <w14:solidFill>
              <w14:schemeClr w14:val="tx1"/>
            </w14:solidFill>
          </w14:textFill>
        </w:rPr>
        <w:t>1013.3</w:t>
      </w:r>
      <w:r>
        <w:rPr>
          <w:rFonts w:ascii="Times New Roman" w:hAnsi="Times New Roman" w:cs="Times New Roman"/>
          <w:color w:val="000000" w:themeColor="text1"/>
          <w:lang w:eastAsia="zh-CN"/>
          <w14:textFill>
            <w14:solidFill>
              <w14:schemeClr w14:val="tx1"/>
            </w14:solidFill>
          </w14:textFill>
        </w:rPr>
        <w:t>s，由于</w:t>
      </w:r>
      <w:r>
        <w:rPr>
          <w:rFonts w:ascii="Times New Roman" w:hAnsi="Times New Roman" w:cs="Times New Roman"/>
          <w:color w:val="auto"/>
          <w:lang w:eastAsia="zh-CN"/>
        </w:rPr>
        <w:t>本项目设定的事故情景泄漏排放时</w:t>
      </w:r>
      <w:r>
        <w:rPr>
          <w:rFonts w:ascii="Times New Roman" w:hAnsi="Times New Roman" w:cs="Times New Roman"/>
          <w:color w:val="000000" w:themeColor="text1"/>
          <w:lang w:eastAsia="zh-CN"/>
          <w14:textFill>
            <w14:solidFill>
              <w14:schemeClr w14:val="tx1"/>
            </w14:solidFill>
          </w14:textFill>
        </w:rPr>
        <w:t>间T</w:t>
      </w:r>
      <w:r>
        <w:rPr>
          <w:rFonts w:ascii="Times New Roman" w:hAnsi="Times New Roman" w:cs="Times New Roman"/>
          <w:color w:val="000000" w:themeColor="text1"/>
          <w:vertAlign w:val="subscript"/>
          <w:lang w:eastAsia="zh-CN"/>
          <w14:textFill>
            <w14:solidFill>
              <w14:schemeClr w14:val="tx1"/>
            </w14:solidFill>
          </w14:textFill>
        </w:rPr>
        <w:t>d</w:t>
      </w:r>
      <w:r>
        <w:rPr>
          <w:rFonts w:ascii="Times New Roman" w:hAnsi="Times New Roman" w:cs="Times New Roman"/>
          <w:color w:val="000000" w:themeColor="text1"/>
          <w:lang w:eastAsia="zh-CN"/>
          <w14:textFill>
            <w14:solidFill>
              <w14:schemeClr w14:val="tx1"/>
            </w14:solidFill>
          </w14:textFill>
        </w:rPr>
        <w:t>为</w:t>
      </w:r>
      <w:r>
        <w:rPr>
          <w:rFonts w:hint="eastAsia" w:ascii="Times New Roman" w:hAnsi="Times New Roman" w:cs="Times New Roman"/>
          <w:color w:val="000000" w:themeColor="text1"/>
          <w:lang w:eastAsia="zh-CN"/>
          <w14:textFill>
            <w14:solidFill>
              <w14:schemeClr w14:val="tx1"/>
            </w14:solidFill>
          </w14:textFill>
        </w:rPr>
        <w:t>30</w:t>
      </w:r>
      <w:r>
        <w:rPr>
          <w:rFonts w:ascii="Times New Roman" w:hAnsi="Times New Roman" w:cs="Times New Roman"/>
          <w:color w:val="000000" w:themeColor="text1"/>
          <w:lang w:eastAsia="zh-CN"/>
          <w14:textFill>
            <w14:solidFill>
              <w14:schemeClr w14:val="tx1"/>
            </w14:solidFill>
          </w14:textFill>
        </w:rPr>
        <w:t>min，</w:t>
      </w:r>
      <w:r>
        <w:rPr>
          <w:rFonts w:ascii="Times New Roman" w:hAnsi="Times New Roman" w:cs="Times New Roman"/>
          <w:color w:val="000000" w:themeColor="text1"/>
          <w:szCs w:val="24"/>
          <w:lang w:eastAsia="zh-CN"/>
          <w14:textFill>
            <w14:solidFill>
              <w14:schemeClr w14:val="tx1"/>
            </w14:solidFill>
          </w14:textFill>
        </w:rPr>
        <w:t>T</w:t>
      </w:r>
      <w:r>
        <w:rPr>
          <w:rFonts w:ascii="Times New Roman" w:hAnsi="Times New Roman" w:cs="Times New Roman"/>
          <w:color w:val="000000" w:themeColor="text1"/>
          <w:szCs w:val="24"/>
          <w:vertAlign w:val="subscript"/>
          <w:lang w:eastAsia="zh-CN"/>
          <w14:textFill>
            <w14:solidFill>
              <w14:schemeClr w14:val="tx1"/>
            </w14:solidFill>
          </w14:textFill>
        </w:rPr>
        <w:t>d</w:t>
      </w:r>
      <w:r>
        <w:rPr>
          <w:rFonts w:hint="eastAsia" w:ascii="Times New Roman" w:hAnsi="Times New Roman" w:cs="Times New Roman"/>
          <w:color w:val="auto"/>
          <w:lang w:eastAsia="zh-CN"/>
        </w:rPr>
        <w:t>大于</w:t>
      </w:r>
      <w:r>
        <w:rPr>
          <w:rFonts w:ascii="Times New Roman" w:hAnsi="Times New Roman" w:cs="Times New Roman"/>
          <w:color w:val="auto"/>
          <w:lang w:eastAsia="zh-CN"/>
        </w:rPr>
        <w:t>T，因此可判定本项目风险事故</w:t>
      </w:r>
      <w:r>
        <w:rPr>
          <w:rFonts w:ascii="Times New Roman" w:hAnsi="Times New Roman" w:cs="Times New Roman"/>
          <w:color w:val="000000" w:themeColor="text1"/>
          <w:lang w:eastAsia="zh-CN"/>
          <w14:textFill>
            <w14:solidFill>
              <w14:schemeClr w14:val="tx1"/>
            </w14:solidFill>
          </w14:textFill>
        </w:rPr>
        <w:t>类型均为</w:t>
      </w:r>
      <w:r>
        <w:rPr>
          <w:rFonts w:hint="eastAsia" w:ascii="Times New Roman" w:hAnsi="Times New Roman" w:cs="Times New Roman"/>
          <w:color w:val="000000" w:themeColor="text1"/>
          <w:lang w:eastAsia="zh-CN"/>
          <w14:textFill>
            <w14:solidFill>
              <w14:schemeClr w14:val="tx1"/>
            </w14:solidFill>
          </w14:textFill>
        </w:rPr>
        <w:t>连续</w:t>
      </w:r>
      <w:r>
        <w:rPr>
          <w:rFonts w:ascii="Times New Roman" w:hAnsi="Times New Roman" w:cs="Times New Roman"/>
          <w:color w:val="000000" w:themeColor="text1"/>
          <w:lang w:eastAsia="zh-CN"/>
          <w14:textFill>
            <w14:solidFill>
              <w14:schemeClr w14:val="tx1"/>
            </w14:solidFill>
          </w14:textFill>
        </w:rPr>
        <w:t>排放。</w:t>
      </w:r>
    </w:p>
    <w:p w14:paraId="7629DCA7">
      <w:pPr>
        <w:widowControl w:val="0"/>
        <w:spacing w:line="360" w:lineRule="auto"/>
        <w:ind w:firstLine="480" w:firstLineChars="200"/>
        <w:rPr>
          <w:rFonts w:ascii="Times New Roman" w:hAnsi="Times New Roman" w:cs="Times New Roman"/>
          <w:bCs/>
          <w:color w:val="auto"/>
          <w:szCs w:val="24"/>
          <w:lang w:eastAsia="zh-CN"/>
        </w:rPr>
      </w:pPr>
      <w:r>
        <w:rPr>
          <w:rFonts w:ascii="宋体" w:hAnsi="宋体" w:cs="Cambria Math"/>
          <w:bCs/>
          <w:color w:val="auto"/>
          <w:szCs w:val="24"/>
          <w:lang w:eastAsia="zh-CN"/>
        </w:rPr>
        <w:t>②</w:t>
      </w:r>
      <w:r>
        <w:rPr>
          <w:rFonts w:ascii="Times New Roman" w:hAnsi="Times New Roman" w:cs="Times New Roman"/>
          <w:bCs/>
          <w:color w:val="auto"/>
          <w:szCs w:val="24"/>
          <w:lang w:eastAsia="zh-CN"/>
        </w:rPr>
        <w:t xml:space="preserve"> 理查德森数Ri计算及重质气体、轻质气体判定 </w:t>
      </w:r>
    </w:p>
    <w:p w14:paraId="1EDDE1C6">
      <w:pPr>
        <w:spacing w:line="360" w:lineRule="auto"/>
        <w:ind w:firstLine="480" w:firstLineChars="200"/>
        <w:jc w:val="both"/>
        <w:rPr>
          <w:rFonts w:ascii="Times New Roman" w:hAnsi="Times New Roman" w:cs="Times New Roman"/>
          <w:bCs/>
          <w:color w:val="000000" w:themeColor="text1"/>
          <w:szCs w:val="24"/>
          <w:lang w:eastAsia="zh-CN"/>
          <w14:textFill>
            <w14:solidFill>
              <w14:schemeClr w14:val="tx1"/>
            </w14:solidFill>
          </w14:textFill>
        </w:rPr>
      </w:pPr>
      <w:r>
        <w:rPr>
          <w:rFonts w:ascii="Times New Roman" w:hAnsi="Times New Roman" w:cs="Times New Roman"/>
          <w:bCs/>
          <w:color w:val="auto"/>
          <w:szCs w:val="24"/>
          <w:lang w:eastAsia="zh-CN"/>
        </w:rPr>
        <w:t>A、</w:t>
      </w:r>
      <w:r>
        <w:rPr>
          <w:rFonts w:hint="eastAsia" w:ascii="Times New Roman" w:hAnsi="Times New Roman" w:cs="Times New Roman"/>
          <w:bCs/>
          <w:color w:val="auto"/>
          <w:szCs w:val="24"/>
          <w:lang w:eastAsia="zh-CN"/>
        </w:rPr>
        <w:t>化学纯氢氟酸</w:t>
      </w:r>
      <w:r>
        <w:rPr>
          <w:rFonts w:ascii="Times New Roman" w:hAnsi="Times New Roman" w:cs="Times New Roman"/>
          <w:bCs/>
          <w:color w:val="auto"/>
          <w:szCs w:val="24"/>
          <w:lang w:eastAsia="zh-CN"/>
        </w:rPr>
        <w:t>储罐泄漏</w:t>
      </w:r>
      <w:r>
        <w:rPr>
          <w:rFonts w:hint="eastAsia" w:ascii="Times New Roman" w:hAnsi="Times New Roman" w:cs="Times New Roman"/>
          <w:bCs/>
          <w:color w:val="auto"/>
          <w:szCs w:val="24"/>
          <w:lang w:eastAsia="zh-CN"/>
        </w:rPr>
        <w:t>事</w:t>
      </w:r>
      <w:r>
        <w:rPr>
          <w:rFonts w:hint="eastAsia" w:ascii="Times New Roman" w:hAnsi="Times New Roman" w:cs="Times New Roman"/>
          <w:bCs/>
          <w:color w:val="000000" w:themeColor="text1"/>
          <w:szCs w:val="24"/>
          <w:lang w:eastAsia="zh-CN"/>
          <w14:textFill>
            <w14:solidFill>
              <w14:schemeClr w14:val="tx1"/>
            </w14:solidFill>
          </w14:textFill>
        </w:rPr>
        <w:t>故排放：Ri</w:t>
      </w:r>
      <w:r>
        <w:rPr>
          <w:rFonts w:hint="eastAsia" w:ascii="Times New Roman" w:hAnsi="Times New Roman" w:cs="Times New Roman"/>
          <w:color w:val="000000" w:themeColor="text1"/>
          <w:lang w:eastAsia="zh-CN"/>
          <w14:textFill>
            <w14:solidFill>
              <w14:schemeClr w14:val="tx1"/>
            </w14:solidFill>
          </w14:textFill>
        </w:rPr>
        <w:t>=-0.07≤</w:t>
      </w:r>
      <w:r>
        <w:rPr>
          <w:rFonts w:ascii="Times New Roman" w:hAnsi="Times New Roman" w:cs="Times New Roman"/>
          <w:color w:val="auto"/>
          <w:lang w:eastAsia="zh-CN"/>
        </w:rPr>
        <w:t>1/6</w:t>
      </w:r>
      <w:r>
        <w:rPr>
          <w:rFonts w:ascii="Times New Roman" w:hAnsi="Times New Roman" w:cs="Times New Roman"/>
          <w:color w:val="000000" w:themeColor="text1"/>
          <w:lang w:eastAsia="zh-CN"/>
          <w14:textFill>
            <w14:solidFill>
              <w14:schemeClr w14:val="tx1"/>
            </w14:solidFill>
          </w14:textFill>
        </w:rPr>
        <w:t>为</w:t>
      </w:r>
      <w:r>
        <w:rPr>
          <w:rFonts w:hint="eastAsia" w:ascii="Times New Roman" w:hAnsi="Times New Roman" w:cs="Times New Roman"/>
          <w:color w:val="000000" w:themeColor="text1"/>
          <w:lang w:eastAsia="zh-CN"/>
          <w14:textFill>
            <w14:solidFill>
              <w14:schemeClr w14:val="tx1"/>
            </w14:solidFill>
          </w14:textFill>
        </w:rPr>
        <w:t>轻质</w:t>
      </w:r>
      <w:r>
        <w:rPr>
          <w:rFonts w:ascii="Times New Roman" w:hAnsi="Times New Roman" w:cs="Times New Roman"/>
          <w:color w:val="000000" w:themeColor="text1"/>
          <w:lang w:eastAsia="zh-CN"/>
          <w14:textFill>
            <w14:solidFill>
              <w14:schemeClr w14:val="tx1"/>
            </w14:solidFill>
          </w14:textFill>
        </w:rPr>
        <w:t>气体</w:t>
      </w:r>
      <w:r>
        <w:rPr>
          <w:rFonts w:hint="eastAsia" w:ascii="Times New Roman" w:hAnsi="Times New Roman" w:cs="Times New Roman"/>
          <w:color w:val="000000" w:themeColor="text1"/>
          <w:lang w:eastAsia="zh-CN"/>
          <w14:textFill>
            <w14:solidFill>
              <w14:schemeClr w14:val="tx1"/>
            </w14:solidFill>
          </w14:textFill>
        </w:rPr>
        <w:t>；</w:t>
      </w:r>
      <w:r>
        <w:rPr>
          <w:rFonts w:ascii="Times New Roman" w:hAnsi="Times New Roman" w:cs="Times New Roman"/>
          <w:bCs/>
          <w:color w:val="000000" w:themeColor="text1"/>
          <w:szCs w:val="24"/>
          <w:lang w:eastAsia="zh-CN"/>
          <w14:textFill>
            <w14:solidFill>
              <w14:schemeClr w14:val="tx1"/>
            </w14:solidFill>
          </w14:textFill>
        </w:rPr>
        <w:t>因此</w:t>
      </w:r>
      <w:r>
        <w:rPr>
          <w:rFonts w:ascii="Times New Roman" w:hAnsi="Times New Roman" w:cs="Times New Roman"/>
          <w:bCs/>
          <w:color w:val="auto"/>
          <w:szCs w:val="24"/>
          <w:lang w:eastAsia="zh-CN"/>
        </w:rPr>
        <w:t>，最不利气象条件下</w:t>
      </w:r>
      <w:r>
        <w:rPr>
          <w:rFonts w:hint="eastAsia" w:ascii="Times New Roman" w:hAnsi="Times New Roman" w:cs="Times New Roman"/>
          <w:bCs/>
          <w:color w:val="auto"/>
          <w:szCs w:val="24"/>
          <w:lang w:eastAsia="zh-CN"/>
        </w:rPr>
        <w:t>化学纯氢氟酸</w:t>
      </w:r>
      <w:r>
        <w:rPr>
          <w:rFonts w:ascii="Times New Roman" w:hAnsi="Times New Roman" w:cs="Times New Roman"/>
          <w:bCs/>
          <w:color w:val="auto"/>
          <w:szCs w:val="24"/>
          <w:lang w:eastAsia="zh-CN"/>
        </w:rPr>
        <w:t>储</w:t>
      </w:r>
      <w:r>
        <w:rPr>
          <w:rFonts w:ascii="Times New Roman" w:hAnsi="Times New Roman" w:cs="Times New Roman"/>
          <w:bCs/>
          <w:color w:val="000000" w:themeColor="text1"/>
          <w:szCs w:val="24"/>
          <w:lang w:eastAsia="zh-CN"/>
          <w14:textFill>
            <w14:solidFill>
              <w14:schemeClr w14:val="tx1"/>
            </w14:solidFill>
          </w14:textFill>
        </w:rPr>
        <w:t>罐</w:t>
      </w:r>
      <w:r>
        <w:rPr>
          <w:rFonts w:hint="eastAsia" w:ascii="Times New Roman" w:hAnsi="Times New Roman" w:cs="Times New Roman"/>
          <w:bCs/>
          <w:color w:val="000000" w:themeColor="text1"/>
          <w:szCs w:val="24"/>
          <w:lang w:eastAsia="zh-CN"/>
          <w14:textFill>
            <w14:solidFill>
              <w14:schemeClr w14:val="tx1"/>
            </w14:solidFill>
          </w14:textFill>
        </w:rPr>
        <w:t>泄漏事故排放</w:t>
      </w:r>
      <w:r>
        <w:rPr>
          <w:rFonts w:ascii="Times New Roman" w:hAnsi="Times New Roman" w:cs="Times New Roman"/>
          <w:bCs/>
          <w:color w:val="000000" w:themeColor="text1"/>
          <w:szCs w:val="24"/>
          <w:lang w:eastAsia="zh-CN"/>
          <w14:textFill>
            <w14:solidFill>
              <w14:schemeClr w14:val="tx1"/>
            </w14:solidFill>
          </w14:textFill>
        </w:rPr>
        <w:t>判定为</w:t>
      </w:r>
      <w:r>
        <w:rPr>
          <w:rFonts w:hint="eastAsia" w:ascii="Times New Roman" w:hAnsi="Times New Roman" w:cs="Times New Roman"/>
          <w:color w:val="000000" w:themeColor="text1"/>
          <w:lang w:eastAsia="zh-CN"/>
          <w14:textFill>
            <w14:solidFill>
              <w14:schemeClr w14:val="tx1"/>
            </w14:solidFill>
          </w14:textFill>
        </w:rPr>
        <w:t>轻质</w:t>
      </w:r>
      <w:r>
        <w:rPr>
          <w:rFonts w:ascii="Times New Roman" w:hAnsi="Times New Roman" w:cs="Times New Roman"/>
          <w:color w:val="000000" w:themeColor="text1"/>
          <w:lang w:eastAsia="zh-CN"/>
          <w14:textFill>
            <w14:solidFill>
              <w14:schemeClr w14:val="tx1"/>
            </w14:solidFill>
          </w14:textFill>
        </w:rPr>
        <w:t>气体</w:t>
      </w:r>
      <w:r>
        <w:rPr>
          <w:rFonts w:ascii="Times New Roman" w:hAnsi="Times New Roman" w:cs="Times New Roman"/>
          <w:bCs/>
          <w:color w:val="000000" w:themeColor="text1"/>
          <w:szCs w:val="24"/>
          <w:lang w:eastAsia="zh-CN"/>
          <w14:textFill>
            <w14:solidFill>
              <w14:schemeClr w14:val="tx1"/>
            </w14:solidFill>
          </w14:textFill>
        </w:rPr>
        <w:t>。</w:t>
      </w:r>
    </w:p>
    <w:p w14:paraId="6397BDAD">
      <w:pPr>
        <w:widowControl w:val="0"/>
        <w:spacing w:line="360" w:lineRule="auto"/>
        <w:ind w:firstLine="480" w:firstLineChars="200"/>
        <w:jc w:val="both"/>
        <w:rPr>
          <w:rFonts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B</w:t>
      </w:r>
      <w:r>
        <w:rPr>
          <w:rFonts w:ascii="Times New Roman" w:hAnsi="Times New Roman" w:cs="Times New Roman"/>
          <w:color w:val="000000" w:themeColor="text1"/>
          <w:lang w:eastAsia="zh-CN"/>
          <w14:textFill>
            <w14:solidFill>
              <w14:schemeClr w14:val="tx1"/>
            </w14:solidFill>
          </w14:textFill>
        </w:rPr>
        <w:t>、31%盐酸储罐泄漏事故排放</w:t>
      </w:r>
      <w:r>
        <w:rPr>
          <w:rFonts w:ascii="Times New Roman" w:hAnsi="Times New Roman" w:cs="Times New Roman"/>
          <w:bCs/>
          <w:color w:val="000000" w:themeColor="text1"/>
          <w:lang w:eastAsia="zh-CN"/>
          <w14:textFill>
            <w14:solidFill>
              <w14:schemeClr w14:val="tx1"/>
            </w14:solidFill>
          </w14:textFill>
        </w:rPr>
        <w:t>：Ri</w:t>
      </w:r>
      <w:r>
        <w:rPr>
          <w:rFonts w:hint="eastAsia" w:ascii="Times New Roman" w:hAnsi="Times New Roman" w:cs="Times New Roman"/>
          <w:color w:val="000000" w:themeColor="text1"/>
          <w:lang w:eastAsia="zh-CN"/>
          <w14:textFill>
            <w14:solidFill>
              <w14:schemeClr w14:val="tx1"/>
            </w14:solidFill>
          </w14:textFill>
        </w:rPr>
        <w:t>=0.007≤</w:t>
      </w:r>
      <w:r>
        <w:rPr>
          <w:rFonts w:ascii="Times New Roman" w:hAnsi="Times New Roman" w:cs="Times New Roman"/>
          <w:color w:val="auto"/>
          <w:lang w:eastAsia="zh-CN"/>
        </w:rPr>
        <w:t>1/6</w:t>
      </w:r>
      <w:r>
        <w:rPr>
          <w:rFonts w:ascii="Times New Roman" w:hAnsi="Times New Roman" w:cs="Times New Roman"/>
          <w:color w:val="000000" w:themeColor="text1"/>
          <w:lang w:eastAsia="zh-CN"/>
          <w14:textFill>
            <w14:solidFill>
              <w14:schemeClr w14:val="tx1"/>
            </w14:solidFill>
          </w14:textFill>
        </w:rPr>
        <w:t>为</w:t>
      </w:r>
      <w:r>
        <w:rPr>
          <w:rFonts w:hint="eastAsia" w:ascii="Times New Roman" w:hAnsi="Times New Roman" w:cs="Times New Roman"/>
          <w:color w:val="000000" w:themeColor="text1"/>
          <w:lang w:eastAsia="zh-CN"/>
          <w14:textFill>
            <w14:solidFill>
              <w14:schemeClr w14:val="tx1"/>
            </w14:solidFill>
          </w14:textFill>
        </w:rPr>
        <w:t>轻质</w:t>
      </w:r>
      <w:r>
        <w:rPr>
          <w:rFonts w:ascii="Times New Roman" w:hAnsi="Times New Roman" w:cs="Times New Roman"/>
          <w:color w:val="000000" w:themeColor="text1"/>
          <w:lang w:eastAsia="zh-CN"/>
          <w14:textFill>
            <w14:solidFill>
              <w14:schemeClr w14:val="tx1"/>
            </w14:solidFill>
          </w14:textFill>
        </w:rPr>
        <w:t>气体</w:t>
      </w:r>
      <w:r>
        <w:rPr>
          <w:rFonts w:hint="eastAsia" w:ascii="Times New Roman" w:hAnsi="Times New Roman" w:cs="Times New Roman"/>
          <w:color w:val="000000" w:themeColor="text1"/>
          <w:lang w:eastAsia="zh-CN"/>
          <w14:textFill>
            <w14:solidFill>
              <w14:schemeClr w14:val="tx1"/>
            </w14:solidFill>
          </w14:textFill>
        </w:rPr>
        <w:t>；</w:t>
      </w:r>
      <w:r>
        <w:rPr>
          <w:rFonts w:ascii="Times New Roman" w:hAnsi="Times New Roman" w:cs="Times New Roman"/>
          <w:bCs/>
          <w:color w:val="000000" w:themeColor="text1"/>
          <w:lang w:eastAsia="zh-CN"/>
          <w14:textFill>
            <w14:solidFill>
              <w14:schemeClr w14:val="tx1"/>
            </w14:solidFill>
          </w14:textFill>
        </w:rPr>
        <w:t>因此，最不利气象条件下</w:t>
      </w:r>
      <w:r>
        <w:rPr>
          <w:rFonts w:ascii="Times New Roman" w:hAnsi="Times New Roman" w:cs="Times New Roman"/>
          <w:color w:val="000000" w:themeColor="text1"/>
          <w:lang w:eastAsia="zh-CN"/>
          <w14:textFill>
            <w14:solidFill>
              <w14:schemeClr w14:val="tx1"/>
            </w14:solidFill>
          </w14:textFill>
        </w:rPr>
        <w:t>31%盐酸储罐泄漏事故</w:t>
      </w:r>
      <w:r>
        <w:rPr>
          <w:rFonts w:ascii="Times New Roman" w:hAnsi="Times New Roman" w:cs="Times New Roman"/>
          <w:bCs/>
          <w:color w:val="000000" w:themeColor="text1"/>
          <w:lang w:eastAsia="zh-CN"/>
          <w14:textFill>
            <w14:solidFill>
              <w14:schemeClr w14:val="tx1"/>
            </w14:solidFill>
          </w14:textFill>
        </w:rPr>
        <w:t>排放可判定为</w:t>
      </w:r>
      <w:r>
        <w:rPr>
          <w:rFonts w:hint="eastAsia" w:ascii="Times New Roman" w:hAnsi="Times New Roman" w:cs="Times New Roman"/>
          <w:color w:val="000000" w:themeColor="text1"/>
          <w:lang w:eastAsia="zh-CN"/>
          <w14:textFill>
            <w14:solidFill>
              <w14:schemeClr w14:val="tx1"/>
            </w14:solidFill>
          </w14:textFill>
        </w:rPr>
        <w:t>轻质</w:t>
      </w:r>
      <w:r>
        <w:rPr>
          <w:rFonts w:ascii="Times New Roman" w:hAnsi="Times New Roman" w:cs="Times New Roman"/>
          <w:bCs/>
          <w:color w:val="000000" w:themeColor="text1"/>
          <w:lang w:eastAsia="zh-CN"/>
          <w14:textFill>
            <w14:solidFill>
              <w14:schemeClr w14:val="tx1"/>
            </w14:solidFill>
          </w14:textFill>
        </w:rPr>
        <w:t>气体。</w:t>
      </w:r>
    </w:p>
    <w:p w14:paraId="1BCE5635">
      <w:pPr>
        <w:widowControl w:val="0"/>
        <w:spacing w:line="360" w:lineRule="auto"/>
        <w:ind w:firstLine="480" w:firstLineChars="200"/>
        <w:rPr>
          <w:rFonts w:ascii="Times New Roman" w:hAnsi="Times New Roman" w:cs="Times New Roman"/>
          <w:color w:val="auto"/>
          <w:lang w:eastAsia="zh-CN"/>
        </w:rPr>
      </w:pPr>
      <w:r>
        <w:rPr>
          <w:rFonts w:ascii="宋体" w:hAnsi="宋体" w:cs="Cambria Math"/>
          <w:color w:val="auto"/>
          <w:lang w:eastAsia="zh-CN"/>
        </w:rPr>
        <w:t>③</w:t>
      </w:r>
      <w:r>
        <w:rPr>
          <w:rFonts w:ascii="Times New Roman" w:hAnsi="Times New Roman" w:cs="Times New Roman"/>
          <w:color w:val="auto"/>
          <w:lang w:eastAsia="zh-CN"/>
        </w:rPr>
        <w:t xml:space="preserve"> 预测模型选取</w:t>
      </w:r>
    </w:p>
    <w:p w14:paraId="55CDFDED">
      <w:pPr>
        <w:widowControl w:val="0"/>
        <w:spacing w:line="360" w:lineRule="auto"/>
        <w:ind w:firstLine="472" w:firstLineChars="200"/>
        <w:jc w:val="both"/>
        <w:rPr>
          <w:rFonts w:ascii="Times New Roman" w:hAnsi="Times New Roman" w:cs="Times New Roman"/>
          <w:snapToGrid/>
          <w:color w:val="auto"/>
          <w:spacing w:val="-2"/>
          <w:szCs w:val="24"/>
          <w:lang w:eastAsia="zh-CN"/>
        </w:rPr>
      </w:pPr>
      <w:r>
        <w:rPr>
          <w:rFonts w:ascii="Times New Roman" w:hAnsi="Times New Roman" w:cs="Times New Roman"/>
          <w:snapToGrid/>
          <w:color w:val="auto"/>
          <w:spacing w:val="-2"/>
          <w:szCs w:val="24"/>
          <w:lang w:eastAsia="zh-CN"/>
        </w:rPr>
        <w:t>A、AFTOX模型适用于平坦地形下中性气体或轻质气体排放以及液池蒸发气体的模拟。可模拟连续排放或瞬时排放，液体或气体，地面源或高架源，点源或面源的指定位置浓度、下风向最大浓度及其位置等。</w:t>
      </w:r>
    </w:p>
    <w:p w14:paraId="5A9362A9">
      <w:pPr>
        <w:widowControl w:val="0"/>
        <w:spacing w:line="360" w:lineRule="auto"/>
        <w:ind w:firstLine="472" w:firstLineChars="200"/>
        <w:jc w:val="both"/>
        <w:rPr>
          <w:rFonts w:ascii="Times New Roman" w:hAnsi="Times New Roman" w:cs="Times New Roman"/>
          <w:snapToGrid/>
          <w:color w:val="auto"/>
          <w:spacing w:val="-2"/>
          <w:szCs w:val="24"/>
          <w:lang w:eastAsia="zh-CN"/>
        </w:rPr>
      </w:pPr>
      <w:r>
        <w:rPr>
          <w:rFonts w:ascii="Times New Roman" w:hAnsi="Times New Roman" w:cs="Times New Roman"/>
          <w:snapToGrid/>
          <w:color w:val="auto"/>
          <w:spacing w:val="-2"/>
          <w:szCs w:val="24"/>
          <w:lang w:eastAsia="zh-CN"/>
        </w:rPr>
        <w:t>B、SLAB模型适用于平坦地形下重质气体排放的扩散模式。可模拟的排放类型包括地面水平挥发池、抬升水平喷射、烟囱或抬升垂直喷射以及瞬时体源。可在一次运行中模拟多组气象条件，但模型不适用于实时气象数据输入。</w:t>
      </w:r>
    </w:p>
    <w:p w14:paraId="633CC702">
      <w:pPr>
        <w:widowControl w:val="0"/>
        <w:spacing w:line="360" w:lineRule="auto"/>
        <w:ind w:firstLine="472" w:firstLineChars="200"/>
        <w:jc w:val="both"/>
        <w:rPr>
          <w:rFonts w:ascii="Times New Roman" w:hAnsi="Times New Roman" w:cs="Times New Roman"/>
          <w:snapToGrid/>
          <w:color w:val="auto"/>
          <w:spacing w:val="-2"/>
          <w:szCs w:val="24"/>
          <w:lang w:eastAsia="zh-CN"/>
        </w:rPr>
      </w:pPr>
      <w:r>
        <w:rPr>
          <w:rFonts w:ascii="Times New Roman" w:hAnsi="Times New Roman" w:cs="Times New Roman"/>
          <w:snapToGrid/>
          <w:color w:val="auto"/>
          <w:spacing w:val="-2"/>
          <w:szCs w:val="24"/>
          <w:lang w:eastAsia="zh-CN"/>
        </w:rPr>
        <w:t>本项目位于蚌埠精细化工高新技术产业基地，拟建项目大气环境风险预测模型选取依据见下表所示。</w:t>
      </w:r>
    </w:p>
    <w:p w14:paraId="2DAB7ADC">
      <w:pPr>
        <w:spacing w:line="360" w:lineRule="auto"/>
        <w:jc w:val="center"/>
        <w:rPr>
          <w:rFonts w:ascii="Times New Roman" w:hAnsi="Times New Roman" w:eastAsia="新宋体" w:cs="Times New Roman"/>
          <w:b/>
          <w:bCs/>
          <w:color w:val="auto"/>
          <w:lang w:eastAsia="zh-CN"/>
        </w:rPr>
      </w:pPr>
      <w:r>
        <w:rPr>
          <w:rFonts w:ascii="Times New Roman" w:hAnsi="Times New Roman" w:eastAsia="新宋体" w:cs="Times New Roman"/>
          <w:b/>
          <w:bCs/>
          <w:color w:val="auto"/>
          <w:lang w:eastAsia="zh-CN"/>
        </w:rPr>
        <w:t>表7.</w:t>
      </w:r>
      <w:r>
        <w:rPr>
          <w:rFonts w:hint="eastAsia" w:ascii="Times New Roman" w:hAnsi="Times New Roman" w:eastAsia="新宋体" w:cs="Times New Roman"/>
          <w:b/>
          <w:bCs/>
          <w:color w:val="auto"/>
          <w:lang w:eastAsia="zh-CN"/>
        </w:rPr>
        <w:t>8</w:t>
      </w:r>
      <w:r>
        <w:rPr>
          <w:rFonts w:ascii="Times New Roman" w:hAnsi="Times New Roman" w:eastAsia="新宋体" w:cs="Times New Roman"/>
          <w:b/>
          <w:bCs/>
          <w:color w:val="auto"/>
          <w:lang w:eastAsia="zh-CN"/>
        </w:rPr>
        <w:t>-1 拟建项目风险事故预测模型选取一览表</w:t>
      </w:r>
    </w:p>
    <w:tbl>
      <w:tblPr>
        <w:tblStyle w:val="35"/>
        <w:tblW w:w="4994"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835"/>
        <w:gridCol w:w="1133"/>
        <w:gridCol w:w="1277"/>
        <w:gridCol w:w="1246"/>
        <w:gridCol w:w="1626"/>
        <w:gridCol w:w="1617"/>
      </w:tblGrid>
      <w:tr w14:paraId="3BE711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56" w:type="pct"/>
            <w:vAlign w:val="center"/>
          </w:tcPr>
          <w:p w14:paraId="5AFFCED2">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事故情形</w:t>
            </w:r>
          </w:p>
        </w:tc>
        <w:tc>
          <w:tcPr>
            <w:tcW w:w="582" w:type="pct"/>
            <w:vAlign w:val="center"/>
          </w:tcPr>
          <w:p w14:paraId="22AE2655">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危险物质</w:t>
            </w:r>
          </w:p>
        </w:tc>
        <w:tc>
          <w:tcPr>
            <w:tcW w:w="656" w:type="pct"/>
            <w:vAlign w:val="center"/>
          </w:tcPr>
          <w:p w14:paraId="0E014EC4">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排放类型</w:t>
            </w:r>
          </w:p>
        </w:tc>
        <w:tc>
          <w:tcPr>
            <w:tcW w:w="640" w:type="pct"/>
            <w:vAlign w:val="center"/>
          </w:tcPr>
          <w:p w14:paraId="63377E68">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气象条件</w:t>
            </w:r>
          </w:p>
        </w:tc>
        <w:tc>
          <w:tcPr>
            <w:tcW w:w="835" w:type="pct"/>
            <w:vAlign w:val="center"/>
          </w:tcPr>
          <w:p w14:paraId="62F94760">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重质/轻质气体</w:t>
            </w:r>
          </w:p>
        </w:tc>
        <w:tc>
          <w:tcPr>
            <w:tcW w:w="830" w:type="pct"/>
            <w:vAlign w:val="center"/>
          </w:tcPr>
          <w:p w14:paraId="103427C9">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lang w:eastAsia="zh-CN"/>
              </w:rPr>
              <w:t>预测模型</w:t>
            </w:r>
          </w:p>
        </w:tc>
      </w:tr>
      <w:tr w14:paraId="183537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56" w:type="pct"/>
            <w:vAlign w:val="center"/>
          </w:tcPr>
          <w:p w14:paraId="2AA2BFC3">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化学纯氢氟酸</w:t>
            </w:r>
            <w:r>
              <w:rPr>
                <w:rFonts w:ascii="Times New Roman" w:hAnsi="Times New Roman" w:cs="Times New Roman"/>
                <w:color w:val="auto"/>
                <w:sz w:val="21"/>
                <w:lang w:eastAsia="zh-CN"/>
              </w:rPr>
              <w:t>储罐泄漏</w:t>
            </w:r>
          </w:p>
        </w:tc>
        <w:tc>
          <w:tcPr>
            <w:tcW w:w="582" w:type="pct"/>
            <w:vAlign w:val="center"/>
          </w:tcPr>
          <w:p w14:paraId="40A370F5">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氟化氢</w:t>
            </w:r>
          </w:p>
        </w:tc>
        <w:tc>
          <w:tcPr>
            <w:tcW w:w="656" w:type="pct"/>
            <w:vAlign w:val="center"/>
          </w:tcPr>
          <w:p w14:paraId="59314E07">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连续</w:t>
            </w:r>
            <w:r>
              <w:rPr>
                <w:rFonts w:ascii="Times New Roman" w:hAnsi="Times New Roman" w:cs="Times New Roman"/>
                <w:color w:val="auto"/>
                <w:sz w:val="21"/>
                <w:lang w:eastAsia="zh-CN"/>
              </w:rPr>
              <w:t>排放</w:t>
            </w:r>
          </w:p>
        </w:tc>
        <w:tc>
          <w:tcPr>
            <w:tcW w:w="640" w:type="pct"/>
            <w:vAlign w:val="center"/>
          </w:tcPr>
          <w:p w14:paraId="538B5961">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最不利</w:t>
            </w:r>
          </w:p>
        </w:tc>
        <w:tc>
          <w:tcPr>
            <w:tcW w:w="835" w:type="pct"/>
            <w:vAlign w:val="center"/>
          </w:tcPr>
          <w:p w14:paraId="23F0BB3A">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轻质气体</w:t>
            </w:r>
          </w:p>
        </w:tc>
        <w:tc>
          <w:tcPr>
            <w:tcW w:w="830" w:type="pct"/>
            <w:vAlign w:val="center"/>
          </w:tcPr>
          <w:p w14:paraId="654B6381">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AFTOX模型</w:t>
            </w:r>
          </w:p>
        </w:tc>
      </w:tr>
      <w:tr w14:paraId="1FF8E5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56" w:type="pct"/>
            <w:vAlign w:val="center"/>
          </w:tcPr>
          <w:p w14:paraId="16656570">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31%盐酸</w:t>
            </w:r>
            <w:r>
              <w:rPr>
                <w:rFonts w:ascii="Times New Roman" w:hAnsi="Times New Roman" w:cs="Times New Roman"/>
                <w:color w:val="auto"/>
                <w:sz w:val="21"/>
                <w:lang w:eastAsia="zh-CN"/>
              </w:rPr>
              <w:t>储罐泄漏事故排放</w:t>
            </w:r>
          </w:p>
        </w:tc>
        <w:tc>
          <w:tcPr>
            <w:tcW w:w="582" w:type="pct"/>
            <w:vAlign w:val="center"/>
          </w:tcPr>
          <w:p w14:paraId="4AF12A17">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氯化氢</w:t>
            </w:r>
          </w:p>
        </w:tc>
        <w:tc>
          <w:tcPr>
            <w:tcW w:w="656" w:type="pct"/>
            <w:vAlign w:val="center"/>
          </w:tcPr>
          <w:p w14:paraId="20E89B3C">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连续</w:t>
            </w:r>
            <w:r>
              <w:rPr>
                <w:rFonts w:ascii="Times New Roman" w:hAnsi="Times New Roman" w:cs="Times New Roman"/>
                <w:color w:val="auto"/>
                <w:sz w:val="21"/>
                <w:lang w:eastAsia="zh-CN"/>
              </w:rPr>
              <w:t>排放</w:t>
            </w:r>
          </w:p>
        </w:tc>
        <w:tc>
          <w:tcPr>
            <w:tcW w:w="640" w:type="pct"/>
            <w:vAlign w:val="center"/>
          </w:tcPr>
          <w:p w14:paraId="16980F56">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最不利</w:t>
            </w:r>
          </w:p>
        </w:tc>
        <w:tc>
          <w:tcPr>
            <w:tcW w:w="835" w:type="pct"/>
            <w:vAlign w:val="center"/>
          </w:tcPr>
          <w:p w14:paraId="6291151B">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轻质气体</w:t>
            </w:r>
          </w:p>
        </w:tc>
        <w:tc>
          <w:tcPr>
            <w:tcW w:w="830" w:type="pct"/>
            <w:vAlign w:val="center"/>
          </w:tcPr>
          <w:p w14:paraId="72E395DB">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AFTOX模型</w:t>
            </w:r>
          </w:p>
        </w:tc>
      </w:tr>
    </w:tbl>
    <w:p w14:paraId="1F67A924">
      <w:pPr>
        <w:spacing w:line="360" w:lineRule="auto"/>
        <w:ind w:firstLine="482"/>
        <w:jc w:val="both"/>
        <w:outlineLvl w:val="3"/>
        <w:rPr>
          <w:rFonts w:ascii="Times New Roman" w:hAnsi="Times New Roman" w:cs="Times New Roman"/>
          <w:b/>
          <w:bCs/>
          <w:color w:val="auto"/>
          <w:szCs w:val="24"/>
          <w:lang w:eastAsia="zh-CN"/>
        </w:rPr>
      </w:pPr>
      <w:bookmarkStart w:id="2080" w:name="_Toc259"/>
      <w:r>
        <w:rPr>
          <w:rFonts w:hint="eastAsia" w:ascii="Times New Roman" w:hAnsi="Times New Roman" w:cs="Times New Roman"/>
          <w:b/>
          <w:bCs/>
          <w:color w:val="auto"/>
          <w:szCs w:val="24"/>
          <w:lang w:eastAsia="zh-CN"/>
        </w:rPr>
        <w:t>7</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8</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1</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 xml:space="preserve">2 </w:t>
      </w:r>
      <w:r>
        <w:rPr>
          <w:rFonts w:ascii="Times New Roman" w:hAnsi="Times New Roman" w:cs="Times New Roman"/>
          <w:b/>
          <w:bCs/>
          <w:snapToGrid/>
          <w:color w:val="auto"/>
          <w:spacing w:val="-2"/>
          <w:szCs w:val="24"/>
          <w:lang w:eastAsia="zh-CN"/>
        </w:rPr>
        <w:t>预测</w:t>
      </w:r>
      <w:r>
        <w:rPr>
          <w:rFonts w:hint="eastAsia" w:ascii="Times New Roman" w:hAnsi="Times New Roman" w:cs="Times New Roman"/>
          <w:b/>
          <w:bCs/>
          <w:snapToGrid/>
          <w:color w:val="auto"/>
          <w:spacing w:val="-2"/>
          <w:szCs w:val="24"/>
          <w:lang w:eastAsia="zh-CN"/>
        </w:rPr>
        <w:t>范围</w:t>
      </w:r>
    </w:p>
    <w:p w14:paraId="106AB095">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根据《建设项目环境风险评价技术导则》（HJ 169-2018），预测范围应为预测物质浓度达到评价标准时的最大影响范围，由预测模型计算获取。结合大气风险评价等级及评价范围，确定本次大气环境风险评价预测范围为拟建项目周边5000m。</w:t>
      </w:r>
    </w:p>
    <w:p w14:paraId="6804EDF0">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本次评价各项风险事故情景下大气风险预测模型主要参数选取见下表所示。</w:t>
      </w:r>
    </w:p>
    <w:p w14:paraId="2028F7AA">
      <w:pPr>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表7.</w:t>
      </w:r>
      <w:r>
        <w:rPr>
          <w:rFonts w:hint="eastAsia" w:ascii="Times New Roman" w:hAnsi="Times New Roman" w:cs="Times New Roman"/>
          <w:b/>
          <w:bCs/>
          <w:color w:val="auto"/>
          <w:szCs w:val="24"/>
          <w:lang w:eastAsia="zh-CN"/>
        </w:rPr>
        <w:t>8</w:t>
      </w:r>
      <w:r>
        <w:rPr>
          <w:rFonts w:ascii="Times New Roman" w:hAnsi="Times New Roman" w:cs="Times New Roman"/>
          <w:b/>
          <w:bCs/>
          <w:color w:val="auto"/>
          <w:szCs w:val="24"/>
          <w:lang w:eastAsia="zh-CN"/>
        </w:rPr>
        <w:t>-2 大气预测模型主要参数表</w:t>
      </w:r>
    </w:p>
    <w:tbl>
      <w:tblPr>
        <w:tblStyle w:val="35"/>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Layout w:type="autofit"/>
        <w:tblCellMar>
          <w:top w:w="0" w:type="dxa"/>
          <w:left w:w="108" w:type="dxa"/>
          <w:bottom w:w="0" w:type="dxa"/>
          <w:right w:w="108" w:type="dxa"/>
        </w:tblCellMar>
      </w:tblPr>
      <w:tblGrid>
        <w:gridCol w:w="1900"/>
        <w:gridCol w:w="1952"/>
        <w:gridCol w:w="2946"/>
        <w:gridCol w:w="2948"/>
      </w:tblGrid>
      <w:tr w14:paraId="37321C32">
        <w:tblPrEx>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CellMar>
            <w:top w:w="0" w:type="dxa"/>
            <w:left w:w="108" w:type="dxa"/>
            <w:bottom w:w="0" w:type="dxa"/>
            <w:right w:w="108" w:type="dxa"/>
          </w:tblCellMar>
        </w:tblPrEx>
        <w:tc>
          <w:tcPr>
            <w:tcW w:w="975" w:type="pct"/>
            <w:vAlign w:val="center"/>
          </w:tcPr>
          <w:p w14:paraId="0BEE77B3">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参数类型</w:t>
            </w:r>
          </w:p>
        </w:tc>
        <w:tc>
          <w:tcPr>
            <w:tcW w:w="1001" w:type="pct"/>
            <w:vAlign w:val="center"/>
          </w:tcPr>
          <w:p w14:paraId="5672CC71">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选项</w:t>
            </w:r>
          </w:p>
        </w:tc>
        <w:tc>
          <w:tcPr>
            <w:tcW w:w="3023" w:type="pct"/>
            <w:gridSpan w:val="2"/>
            <w:vAlign w:val="center"/>
          </w:tcPr>
          <w:p w14:paraId="0D19F0A8">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参数</w:t>
            </w:r>
          </w:p>
        </w:tc>
      </w:tr>
      <w:tr w14:paraId="601B5464">
        <w:tblPrEx>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CellMar>
            <w:top w:w="0" w:type="dxa"/>
            <w:left w:w="108" w:type="dxa"/>
            <w:bottom w:w="0" w:type="dxa"/>
            <w:right w:w="108" w:type="dxa"/>
          </w:tblCellMar>
        </w:tblPrEx>
        <w:tc>
          <w:tcPr>
            <w:tcW w:w="975" w:type="pct"/>
            <w:vMerge w:val="restart"/>
            <w:vAlign w:val="center"/>
          </w:tcPr>
          <w:p w14:paraId="187088BA">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化学纯氢氟酸</w:t>
            </w:r>
            <w:r>
              <w:rPr>
                <w:rFonts w:ascii="Times New Roman" w:hAnsi="Times New Roman" w:cs="Times New Roman"/>
                <w:color w:val="auto"/>
                <w:sz w:val="21"/>
                <w:lang w:eastAsia="zh-CN"/>
              </w:rPr>
              <w:t>储罐泄漏</w:t>
            </w:r>
          </w:p>
        </w:tc>
        <w:tc>
          <w:tcPr>
            <w:tcW w:w="1001" w:type="pct"/>
            <w:vAlign w:val="center"/>
          </w:tcPr>
          <w:p w14:paraId="303A03E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事故源经度/(°)</w:t>
            </w:r>
          </w:p>
        </w:tc>
        <w:tc>
          <w:tcPr>
            <w:tcW w:w="3023" w:type="pct"/>
            <w:gridSpan w:val="2"/>
            <w:vAlign w:val="center"/>
          </w:tcPr>
          <w:p w14:paraId="3CB3FDC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117°36′9.101″</w:t>
            </w:r>
          </w:p>
        </w:tc>
      </w:tr>
      <w:tr w14:paraId="3642DEA5">
        <w:tblPrEx>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CellMar>
            <w:top w:w="0" w:type="dxa"/>
            <w:left w:w="108" w:type="dxa"/>
            <w:bottom w:w="0" w:type="dxa"/>
            <w:right w:w="108" w:type="dxa"/>
          </w:tblCellMar>
        </w:tblPrEx>
        <w:tc>
          <w:tcPr>
            <w:tcW w:w="975" w:type="pct"/>
            <w:vMerge w:val="continue"/>
            <w:vAlign w:val="center"/>
          </w:tcPr>
          <w:p w14:paraId="13817AC4">
            <w:pPr>
              <w:adjustRightInd w:val="0"/>
              <w:snapToGrid w:val="0"/>
              <w:jc w:val="center"/>
              <w:rPr>
                <w:rFonts w:ascii="Times New Roman" w:hAnsi="Times New Roman" w:cs="Times New Roman"/>
                <w:color w:val="auto"/>
                <w:sz w:val="21"/>
              </w:rPr>
            </w:pPr>
          </w:p>
        </w:tc>
        <w:tc>
          <w:tcPr>
            <w:tcW w:w="1001" w:type="pct"/>
            <w:vAlign w:val="center"/>
          </w:tcPr>
          <w:p w14:paraId="694F5D0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事故源纬度/(°)</w:t>
            </w:r>
          </w:p>
        </w:tc>
        <w:tc>
          <w:tcPr>
            <w:tcW w:w="3023" w:type="pct"/>
            <w:gridSpan w:val="2"/>
            <w:vAlign w:val="center"/>
          </w:tcPr>
          <w:p w14:paraId="24B10613">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33°0′8.241″</w:t>
            </w:r>
          </w:p>
        </w:tc>
      </w:tr>
      <w:tr w14:paraId="6282AD7B">
        <w:tblPrEx>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CellMar>
            <w:top w:w="0" w:type="dxa"/>
            <w:left w:w="108" w:type="dxa"/>
            <w:bottom w:w="0" w:type="dxa"/>
            <w:right w:w="108" w:type="dxa"/>
          </w:tblCellMar>
        </w:tblPrEx>
        <w:tc>
          <w:tcPr>
            <w:tcW w:w="975" w:type="pct"/>
            <w:vMerge w:val="continue"/>
            <w:vAlign w:val="center"/>
          </w:tcPr>
          <w:p w14:paraId="3E642E51">
            <w:pPr>
              <w:adjustRightInd w:val="0"/>
              <w:snapToGrid w:val="0"/>
              <w:jc w:val="center"/>
              <w:rPr>
                <w:rFonts w:ascii="Times New Roman" w:hAnsi="Times New Roman" w:cs="Times New Roman"/>
                <w:color w:val="auto"/>
                <w:sz w:val="21"/>
              </w:rPr>
            </w:pPr>
          </w:p>
        </w:tc>
        <w:tc>
          <w:tcPr>
            <w:tcW w:w="1001" w:type="pct"/>
            <w:vAlign w:val="center"/>
          </w:tcPr>
          <w:p w14:paraId="2451B31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事故源类型</w:t>
            </w:r>
          </w:p>
        </w:tc>
        <w:tc>
          <w:tcPr>
            <w:tcW w:w="3023" w:type="pct"/>
            <w:gridSpan w:val="2"/>
            <w:vAlign w:val="center"/>
          </w:tcPr>
          <w:p w14:paraId="6D5149A2">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化学纯氢氟酸</w:t>
            </w:r>
            <w:r>
              <w:rPr>
                <w:rFonts w:ascii="Times New Roman" w:hAnsi="Times New Roman" w:cs="Times New Roman"/>
                <w:color w:val="auto"/>
                <w:sz w:val="21"/>
                <w:lang w:eastAsia="zh-CN"/>
              </w:rPr>
              <w:t>储罐泄漏</w:t>
            </w:r>
          </w:p>
        </w:tc>
      </w:tr>
      <w:tr w14:paraId="0E51BF2A">
        <w:tblPrEx>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CellMar>
            <w:top w:w="0" w:type="dxa"/>
            <w:left w:w="108" w:type="dxa"/>
            <w:bottom w:w="0" w:type="dxa"/>
            <w:right w:w="108" w:type="dxa"/>
          </w:tblCellMar>
        </w:tblPrEx>
        <w:tc>
          <w:tcPr>
            <w:tcW w:w="975" w:type="pct"/>
            <w:vMerge w:val="restart"/>
            <w:vAlign w:val="center"/>
          </w:tcPr>
          <w:p w14:paraId="240ECA40">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31%盐酸</w:t>
            </w:r>
            <w:r>
              <w:rPr>
                <w:rFonts w:ascii="Times New Roman" w:hAnsi="Times New Roman" w:cs="Times New Roman"/>
                <w:color w:val="auto"/>
                <w:sz w:val="21"/>
                <w:lang w:eastAsia="zh-CN"/>
              </w:rPr>
              <w:t>储罐泄漏事故排放</w:t>
            </w:r>
          </w:p>
        </w:tc>
        <w:tc>
          <w:tcPr>
            <w:tcW w:w="1001" w:type="pct"/>
            <w:vAlign w:val="center"/>
          </w:tcPr>
          <w:p w14:paraId="6671C53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事故源经度/(°)</w:t>
            </w:r>
          </w:p>
        </w:tc>
        <w:tc>
          <w:tcPr>
            <w:tcW w:w="3023" w:type="pct"/>
            <w:gridSpan w:val="2"/>
            <w:vAlign w:val="center"/>
          </w:tcPr>
          <w:p w14:paraId="35A822F4">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117°36′</w:t>
            </w:r>
            <w:r>
              <w:rPr>
                <w:rFonts w:hint="eastAsia" w:ascii="Times New Roman" w:hAnsi="Times New Roman" w:cs="Times New Roman"/>
                <w:color w:val="auto"/>
                <w:sz w:val="21"/>
                <w:lang w:eastAsia="zh-CN"/>
              </w:rPr>
              <w:t>7.98</w:t>
            </w:r>
            <w:r>
              <w:rPr>
                <w:rFonts w:ascii="Times New Roman" w:hAnsi="Times New Roman" w:cs="Times New Roman"/>
                <w:color w:val="auto"/>
                <w:sz w:val="21"/>
                <w:lang w:eastAsia="zh-CN"/>
              </w:rPr>
              <w:t>1″</w:t>
            </w:r>
          </w:p>
        </w:tc>
      </w:tr>
      <w:tr w14:paraId="356D38A9">
        <w:tblPrEx>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CellMar>
            <w:top w:w="0" w:type="dxa"/>
            <w:left w:w="108" w:type="dxa"/>
            <w:bottom w:w="0" w:type="dxa"/>
            <w:right w:w="108" w:type="dxa"/>
          </w:tblCellMar>
        </w:tblPrEx>
        <w:tc>
          <w:tcPr>
            <w:tcW w:w="975" w:type="pct"/>
            <w:vMerge w:val="continue"/>
            <w:vAlign w:val="center"/>
          </w:tcPr>
          <w:p w14:paraId="711F5D89">
            <w:pPr>
              <w:adjustRightInd w:val="0"/>
              <w:snapToGrid w:val="0"/>
              <w:jc w:val="center"/>
              <w:rPr>
                <w:rFonts w:ascii="Times New Roman" w:hAnsi="Times New Roman" w:cs="Times New Roman"/>
                <w:color w:val="auto"/>
                <w:sz w:val="21"/>
              </w:rPr>
            </w:pPr>
          </w:p>
        </w:tc>
        <w:tc>
          <w:tcPr>
            <w:tcW w:w="1001" w:type="pct"/>
            <w:vAlign w:val="center"/>
          </w:tcPr>
          <w:p w14:paraId="5B544236">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事故源纬度/(°)</w:t>
            </w:r>
          </w:p>
        </w:tc>
        <w:tc>
          <w:tcPr>
            <w:tcW w:w="3023" w:type="pct"/>
            <w:gridSpan w:val="2"/>
            <w:vAlign w:val="center"/>
          </w:tcPr>
          <w:p w14:paraId="4A7CEBC1">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33°0′</w:t>
            </w:r>
            <w:r>
              <w:rPr>
                <w:rFonts w:hint="eastAsia" w:ascii="Times New Roman" w:hAnsi="Times New Roman" w:cs="Times New Roman"/>
                <w:color w:val="auto"/>
                <w:sz w:val="21"/>
                <w:lang w:eastAsia="zh-CN"/>
              </w:rPr>
              <w:t>8.25</w:t>
            </w:r>
            <w:r>
              <w:rPr>
                <w:rFonts w:ascii="Times New Roman" w:hAnsi="Times New Roman" w:cs="Times New Roman"/>
                <w:color w:val="auto"/>
                <w:sz w:val="21"/>
                <w:lang w:eastAsia="zh-CN"/>
              </w:rPr>
              <w:t>1″</w:t>
            </w:r>
          </w:p>
        </w:tc>
      </w:tr>
      <w:tr w14:paraId="700AE805">
        <w:tblPrEx>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CellMar>
            <w:top w:w="0" w:type="dxa"/>
            <w:left w:w="108" w:type="dxa"/>
            <w:bottom w:w="0" w:type="dxa"/>
            <w:right w:w="108" w:type="dxa"/>
          </w:tblCellMar>
        </w:tblPrEx>
        <w:tc>
          <w:tcPr>
            <w:tcW w:w="975" w:type="pct"/>
            <w:vMerge w:val="continue"/>
            <w:vAlign w:val="center"/>
          </w:tcPr>
          <w:p w14:paraId="3A23744D">
            <w:pPr>
              <w:adjustRightInd w:val="0"/>
              <w:snapToGrid w:val="0"/>
              <w:jc w:val="center"/>
              <w:rPr>
                <w:rFonts w:ascii="Times New Roman" w:hAnsi="Times New Roman" w:cs="Times New Roman"/>
                <w:color w:val="auto"/>
                <w:sz w:val="21"/>
              </w:rPr>
            </w:pPr>
          </w:p>
        </w:tc>
        <w:tc>
          <w:tcPr>
            <w:tcW w:w="1001" w:type="pct"/>
            <w:vAlign w:val="center"/>
          </w:tcPr>
          <w:p w14:paraId="7D317DB1">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事故源类型</w:t>
            </w:r>
          </w:p>
        </w:tc>
        <w:tc>
          <w:tcPr>
            <w:tcW w:w="3023" w:type="pct"/>
            <w:gridSpan w:val="2"/>
            <w:vAlign w:val="center"/>
          </w:tcPr>
          <w:p w14:paraId="6EAFF9B1">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31%盐酸</w:t>
            </w:r>
            <w:r>
              <w:rPr>
                <w:rFonts w:ascii="Times New Roman" w:hAnsi="Times New Roman" w:cs="Times New Roman"/>
                <w:color w:val="auto"/>
                <w:sz w:val="21"/>
                <w:lang w:eastAsia="zh-CN"/>
              </w:rPr>
              <w:t>储罐泄漏事故排放</w:t>
            </w:r>
          </w:p>
        </w:tc>
      </w:tr>
      <w:tr w14:paraId="2358F522">
        <w:tblPrEx>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CellMar>
            <w:top w:w="0" w:type="dxa"/>
            <w:left w:w="108" w:type="dxa"/>
            <w:bottom w:w="0" w:type="dxa"/>
            <w:right w:w="108" w:type="dxa"/>
          </w:tblCellMar>
        </w:tblPrEx>
        <w:tc>
          <w:tcPr>
            <w:tcW w:w="975" w:type="pct"/>
            <w:vMerge w:val="restart"/>
            <w:vAlign w:val="center"/>
          </w:tcPr>
          <w:p w14:paraId="1132D6E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气象参数</w:t>
            </w:r>
          </w:p>
        </w:tc>
        <w:tc>
          <w:tcPr>
            <w:tcW w:w="1001" w:type="pct"/>
            <w:vAlign w:val="center"/>
          </w:tcPr>
          <w:p w14:paraId="666BB0B6">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气象条件类型</w:t>
            </w:r>
          </w:p>
        </w:tc>
        <w:tc>
          <w:tcPr>
            <w:tcW w:w="1511" w:type="pct"/>
            <w:vAlign w:val="center"/>
          </w:tcPr>
          <w:p w14:paraId="4C6730ED">
            <w:pPr>
              <w:spacing w:line="276" w:lineRule="auto"/>
              <w:jc w:val="center"/>
              <w:rPr>
                <w:rFonts w:ascii="Times New Roman" w:hAnsi="Times New Roman" w:cs="Times New Roman"/>
                <w:color w:val="auto"/>
                <w:sz w:val="21"/>
              </w:rPr>
            </w:pPr>
            <w:r>
              <w:rPr>
                <w:rFonts w:ascii="Times New Roman" w:hAnsi="Times New Roman" w:cs="Times New Roman"/>
                <w:color w:val="auto"/>
                <w:sz w:val="21"/>
              </w:rPr>
              <w:t>最不利气象条件</w:t>
            </w:r>
          </w:p>
        </w:tc>
        <w:tc>
          <w:tcPr>
            <w:tcW w:w="1512" w:type="pct"/>
            <w:vAlign w:val="center"/>
          </w:tcPr>
          <w:p w14:paraId="2DCCC2C6">
            <w:pPr>
              <w:spacing w:line="276" w:lineRule="auto"/>
              <w:jc w:val="center"/>
              <w:rPr>
                <w:rFonts w:ascii="Times New Roman" w:hAnsi="Times New Roman" w:cs="Times New Roman"/>
                <w:color w:val="auto"/>
                <w:sz w:val="21"/>
              </w:rPr>
            </w:pPr>
            <w:r>
              <w:rPr>
                <w:rFonts w:ascii="Times New Roman" w:hAnsi="Times New Roman" w:cs="Times New Roman"/>
                <w:color w:val="auto"/>
                <w:sz w:val="21"/>
              </w:rPr>
              <w:t>最常见气象条件</w:t>
            </w:r>
          </w:p>
        </w:tc>
      </w:tr>
      <w:tr w14:paraId="26C24DAC">
        <w:tblPrEx>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CellMar>
            <w:top w:w="0" w:type="dxa"/>
            <w:left w:w="108" w:type="dxa"/>
            <w:bottom w:w="0" w:type="dxa"/>
            <w:right w:w="108" w:type="dxa"/>
          </w:tblCellMar>
        </w:tblPrEx>
        <w:tc>
          <w:tcPr>
            <w:tcW w:w="975" w:type="pct"/>
            <w:vMerge w:val="continue"/>
            <w:vAlign w:val="center"/>
          </w:tcPr>
          <w:p w14:paraId="26C0CC9B">
            <w:pPr>
              <w:adjustRightInd w:val="0"/>
              <w:snapToGrid w:val="0"/>
              <w:jc w:val="center"/>
              <w:rPr>
                <w:rFonts w:ascii="Times New Roman" w:hAnsi="Times New Roman" w:cs="Times New Roman"/>
                <w:color w:val="auto"/>
                <w:sz w:val="21"/>
              </w:rPr>
            </w:pPr>
          </w:p>
        </w:tc>
        <w:tc>
          <w:tcPr>
            <w:tcW w:w="1001" w:type="pct"/>
            <w:vAlign w:val="center"/>
          </w:tcPr>
          <w:p w14:paraId="4D76131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风速/(m/s)</w:t>
            </w:r>
          </w:p>
        </w:tc>
        <w:tc>
          <w:tcPr>
            <w:tcW w:w="1511" w:type="pct"/>
            <w:vAlign w:val="center"/>
          </w:tcPr>
          <w:p w14:paraId="45C6A5A8">
            <w:pPr>
              <w:spacing w:line="276" w:lineRule="auto"/>
              <w:jc w:val="center"/>
              <w:rPr>
                <w:rFonts w:ascii="Times New Roman" w:hAnsi="Times New Roman" w:cs="Times New Roman"/>
                <w:color w:val="auto"/>
                <w:sz w:val="21"/>
              </w:rPr>
            </w:pPr>
            <w:r>
              <w:rPr>
                <w:rFonts w:ascii="Times New Roman" w:hAnsi="Times New Roman" w:cs="Times New Roman"/>
                <w:color w:val="auto"/>
                <w:sz w:val="21"/>
              </w:rPr>
              <w:t>1.5</w:t>
            </w:r>
          </w:p>
        </w:tc>
        <w:tc>
          <w:tcPr>
            <w:tcW w:w="1512" w:type="pct"/>
            <w:vAlign w:val="center"/>
          </w:tcPr>
          <w:p w14:paraId="70CDEB21">
            <w:pPr>
              <w:spacing w:line="276" w:lineRule="auto"/>
              <w:jc w:val="center"/>
              <w:rPr>
                <w:rFonts w:ascii="Times New Roman" w:hAnsi="Times New Roman" w:cs="Times New Roman"/>
                <w:color w:val="auto"/>
                <w:sz w:val="21"/>
              </w:rPr>
            </w:pPr>
            <w:r>
              <w:rPr>
                <w:rFonts w:ascii="Times New Roman" w:hAnsi="Times New Roman" w:cs="Times New Roman"/>
                <w:color w:val="auto"/>
                <w:sz w:val="21"/>
              </w:rPr>
              <w:t>2.4</w:t>
            </w:r>
            <w:r>
              <w:rPr>
                <w:rFonts w:hint="eastAsia" w:ascii="Times New Roman" w:hAnsi="Times New Roman" w:cs="Times New Roman"/>
                <w:color w:val="auto"/>
                <w:sz w:val="21"/>
                <w:lang w:eastAsia="zh-CN"/>
              </w:rPr>
              <w:t>5</w:t>
            </w:r>
          </w:p>
        </w:tc>
      </w:tr>
      <w:tr w14:paraId="4868D2C4">
        <w:tblPrEx>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CellMar>
            <w:top w:w="0" w:type="dxa"/>
            <w:left w:w="108" w:type="dxa"/>
            <w:bottom w:w="0" w:type="dxa"/>
            <w:right w:w="108" w:type="dxa"/>
          </w:tblCellMar>
        </w:tblPrEx>
        <w:tc>
          <w:tcPr>
            <w:tcW w:w="975" w:type="pct"/>
            <w:vMerge w:val="continue"/>
            <w:vAlign w:val="center"/>
          </w:tcPr>
          <w:p w14:paraId="072A7C8E">
            <w:pPr>
              <w:adjustRightInd w:val="0"/>
              <w:snapToGrid w:val="0"/>
              <w:jc w:val="center"/>
              <w:rPr>
                <w:rFonts w:ascii="Times New Roman" w:hAnsi="Times New Roman" w:cs="Times New Roman"/>
                <w:color w:val="auto"/>
                <w:sz w:val="21"/>
              </w:rPr>
            </w:pPr>
          </w:p>
        </w:tc>
        <w:tc>
          <w:tcPr>
            <w:tcW w:w="1001" w:type="pct"/>
            <w:vAlign w:val="center"/>
          </w:tcPr>
          <w:p w14:paraId="03F9087D">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环境温度(℃)</w:t>
            </w:r>
          </w:p>
        </w:tc>
        <w:tc>
          <w:tcPr>
            <w:tcW w:w="1511" w:type="pct"/>
            <w:vAlign w:val="center"/>
          </w:tcPr>
          <w:p w14:paraId="03C76008">
            <w:pPr>
              <w:spacing w:line="276" w:lineRule="auto"/>
              <w:jc w:val="center"/>
              <w:rPr>
                <w:rFonts w:ascii="Times New Roman" w:hAnsi="Times New Roman" w:cs="Times New Roman"/>
                <w:color w:val="auto"/>
                <w:sz w:val="21"/>
              </w:rPr>
            </w:pPr>
            <w:r>
              <w:rPr>
                <w:rFonts w:ascii="Times New Roman" w:hAnsi="Times New Roman" w:cs="Times New Roman"/>
                <w:color w:val="auto"/>
                <w:sz w:val="21"/>
              </w:rPr>
              <w:t>25</w:t>
            </w:r>
          </w:p>
        </w:tc>
        <w:tc>
          <w:tcPr>
            <w:tcW w:w="1512" w:type="pct"/>
            <w:vAlign w:val="center"/>
          </w:tcPr>
          <w:p w14:paraId="12BBC45D">
            <w:pPr>
              <w:spacing w:line="276" w:lineRule="auto"/>
              <w:jc w:val="center"/>
              <w:rPr>
                <w:rFonts w:ascii="Times New Roman" w:hAnsi="Times New Roman" w:cs="Times New Roman"/>
                <w:color w:val="auto"/>
                <w:sz w:val="21"/>
              </w:rPr>
            </w:pPr>
            <w:r>
              <w:rPr>
                <w:rFonts w:ascii="Times New Roman" w:hAnsi="Times New Roman" w:cs="Times New Roman"/>
                <w:color w:val="auto"/>
                <w:sz w:val="21"/>
              </w:rPr>
              <w:t>1</w:t>
            </w:r>
            <w:r>
              <w:rPr>
                <w:rFonts w:hint="eastAsia" w:ascii="Times New Roman" w:hAnsi="Times New Roman" w:cs="Times New Roman"/>
                <w:color w:val="auto"/>
                <w:sz w:val="21"/>
                <w:lang w:eastAsia="zh-CN"/>
              </w:rPr>
              <w:t>5.37</w:t>
            </w:r>
          </w:p>
        </w:tc>
      </w:tr>
      <w:tr w14:paraId="2D592D8A">
        <w:tblPrEx>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CellMar>
            <w:top w:w="0" w:type="dxa"/>
            <w:left w:w="108" w:type="dxa"/>
            <w:bottom w:w="0" w:type="dxa"/>
            <w:right w:w="108" w:type="dxa"/>
          </w:tblCellMar>
        </w:tblPrEx>
        <w:tc>
          <w:tcPr>
            <w:tcW w:w="975" w:type="pct"/>
            <w:vMerge w:val="continue"/>
            <w:vAlign w:val="center"/>
          </w:tcPr>
          <w:p w14:paraId="786A7EC5">
            <w:pPr>
              <w:adjustRightInd w:val="0"/>
              <w:snapToGrid w:val="0"/>
              <w:jc w:val="center"/>
              <w:rPr>
                <w:rFonts w:ascii="Times New Roman" w:hAnsi="Times New Roman" w:cs="Times New Roman"/>
                <w:color w:val="auto"/>
                <w:sz w:val="21"/>
              </w:rPr>
            </w:pPr>
          </w:p>
        </w:tc>
        <w:tc>
          <w:tcPr>
            <w:tcW w:w="1001" w:type="pct"/>
            <w:vAlign w:val="center"/>
          </w:tcPr>
          <w:p w14:paraId="288E360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相对湿度/%</w:t>
            </w:r>
          </w:p>
        </w:tc>
        <w:tc>
          <w:tcPr>
            <w:tcW w:w="1511" w:type="pct"/>
            <w:vAlign w:val="center"/>
          </w:tcPr>
          <w:p w14:paraId="72BBFBD1">
            <w:pPr>
              <w:spacing w:line="276" w:lineRule="auto"/>
              <w:jc w:val="center"/>
              <w:rPr>
                <w:rFonts w:ascii="Times New Roman" w:hAnsi="Times New Roman" w:cs="Times New Roman"/>
                <w:color w:val="auto"/>
                <w:sz w:val="21"/>
              </w:rPr>
            </w:pPr>
            <w:r>
              <w:rPr>
                <w:rFonts w:ascii="Times New Roman" w:hAnsi="Times New Roman" w:cs="Times New Roman"/>
                <w:color w:val="auto"/>
                <w:sz w:val="21"/>
              </w:rPr>
              <w:t>50</w:t>
            </w:r>
          </w:p>
        </w:tc>
        <w:tc>
          <w:tcPr>
            <w:tcW w:w="1512" w:type="pct"/>
            <w:vAlign w:val="center"/>
          </w:tcPr>
          <w:p w14:paraId="30B86721">
            <w:pPr>
              <w:spacing w:line="276" w:lineRule="auto"/>
              <w:jc w:val="center"/>
              <w:rPr>
                <w:rFonts w:ascii="Times New Roman" w:hAnsi="Times New Roman" w:cs="Times New Roman"/>
                <w:color w:val="auto"/>
                <w:sz w:val="21"/>
              </w:rPr>
            </w:pPr>
            <w:r>
              <w:rPr>
                <w:rFonts w:ascii="Times New Roman" w:hAnsi="Times New Roman" w:cs="Times New Roman"/>
                <w:color w:val="auto"/>
                <w:sz w:val="21"/>
              </w:rPr>
              <w:t>72.2</w:t>
            </w:r>
          </w:p>
        </w:tc>
      </w:tr>
      <w:tr w14:paraId="63C6FEF2">
        <w:tblPrEx>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CellMar>
            <w:top w:w="0" w:type="dxa"/>
            <w:left w:w="108" w:type="dxa"/>
            <w:bottom w:w="0" w:type="dxa"/>
            <w:right w:w="108" w:type="dxa"/>
          </w:tblCellMar>
        </w:tblPrEx>
        <w:tc>
          <w:tcPr>
            <w:tcW w:w="975" w:type="pct"/>
            <w:vMerge w:val="continue"/>
            <w:vAlign w:val="center"/>
          </w:tcPr>
          <w:p w14:paraId="5134C4B9">
            <w:pPr>
              <w:adjustRightInd w:val="0"/>
              <w:snapToGrid w:val="0"/>
              <w:jc w:val="center"/>
              <w:rPr>
                <w:rFonts w:ascii="Times New Roman" w:hAnsi="Times New Roman" w:cs="Times New Roman"/>
                <w:color w:val="auto"/>
                <w:sz w:val="21"/>
              </w:rPr>
            </w:pPr>
          </w:p>
        </w:tc>
        <w:tc>
          <w:tcPr>
            <w:tcW w:w="1001" w:type="pct"/>
            <w:vAlign w:val="center"/>
          </w:tcPr>
          <w:p w14:paraId="706BD2E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稳定度</w:t>
            </w:r>
          </w:p>
        </w:tc>
        <w:tc>
          <w:tcPr>
            <w:tcW w:w="1511" w:type="pct"/>
            <w:vAlign w:val="center"/>
          </w:tcPr>
          <w:p w14:paraId="73861498">
            <w:pPr>
              <w:spacing w:line="276" w:lineRule="auto"/>
              <w:jc w:val="center"/>
              <w:rPr>
                <w:rFonts w:ascii="Times New Roman" w:hAnsi="Times New Roman" w:cs="Times New Roman"/>
                <w:color w:val="auto"/>
                <w:sz w:val="21"/>
              </w:rPr>
            </w:pPr>
            <w:r>
              <w:rPr>
                <w:rFonts w:ascii="Times New Roman" w:hAnsi="Times New Roman" w:cs="Times New Roman"/>
                <w:color w:val="auto"/>
                <w:sz w:val="21"/>
              </w:rPr>
              <w:t>F</w:t>
            </w:r>
          </w:p>
        </w:tc>
        <w:tc>
          <w:tcPr>
            <w:tcW w:w="1512" w:type="pct"/>
            <w:vAlign w:val="center"/>
          </w:tcPr>
          <w:p w14:paraId="79D10C04">
            <w:pPr>
              <w:spacing w:line="276" w:lineRule="auto"/>
              <w:jc w:val="center"/>
              <w:rPr>
                <w:rFonts w:ascii="Times New Roman" w:hAnsi="Times New Roman" w:cs="Times New Roman"/>
                <w:color w:val="auto"/>
                <w:sz w:val="21"/>
              </w:rPr>
            </w:pPr>
            <w:r>
              <w:rPr>
                <w:rFonts w:ascii="Times New Roman" w:hAnsi="Times New Roman" w:cs="Times New Roman"/>
                <w:color w:val="auto"/>
                <w:sz w:val="21"/>
              </w:rPr>
              <w:t>D</w:t>
            </w:r>
          </w:p>
        </w:tc>
      </w:tr>
      <w:tr w14:paraId="24CE16D0">
        <w:tblPrEx>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CellMar>
            <w:top w:w="0" w:type="dxa"/>
            <w:left w:w="108" w:type="dxa"/>
            <w:bottom w:w="0" w:type="dxa"/>
            <w:right w:w="108" w:type="dxa"/>
          </w:tblCellMar>
        </w:tblPrEx>
        <w:tc>
          <w:tcPr>
            <w:tcW w:w="975" w:type="pct"/>
            <w:vMerge w:val="restart"/>
            <w:vAlign w:val="center"/>
          </w:tcPr>
          <w:p w14:paraId="642F6FBD">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其他参数</w:t>
            </w:r>
          </w:p>
        </w:tc>
        <w:tc>
          <w:tcPr>
            <w:tcW w:w="1001" w:type="pct"/>
            <w:vAlign w:val="center"/>
          </w:tcPr>
          <w:p w14:paraId="0ADEA01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地表粗糙度/m</w:t>
            </w:r>
          </w:p>
        </w:tc>
        <w:tc>
          <w:tcPr>
            <w:tcW w:w="3023" w:type="pct"/>
            <w:gridSpan w:val="2"/>
            <w:vAlign w:val="center"/>
          </w:tcPr>
          <w:p w14:paraId="19B08AE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0.01</w:t>
            </w:r>
          </w:p>
        </w:tc>
      </w:tr>
      <w:tr w14:paraId="64E7FF02">
        <w:tblPrEx>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CellMar>
            <w:top w:w="0" w:type="dxa"/>
            <w:left w:w="108" w:type="dxa"/>
            <w:bottom w:w="0" w:type="dxa"/>
            <w:right w:w="108" w:type="dxa"/>
          </w:tblCellMar>
        </w:tblPrEx>
        <w:tc>
          <w:tcPr>
            <w:tcW w:w="975" w:type="pct"/>
            <w:vMerge w:val="continue"/>
            <w:vAlign w:val="center"/>
          </w:tcPr>
          <w:p w14:paraId="114E014F">
            <w:pPr>
              <w:adjustRightInd w:val="0"/>
              <w:snapToGrid w:val="0"/>
              <w:jc w:val="center"/>
              <w:rPr>
                <w:rFonts w:ascii="Times New Roman" w:hAnsi="Times New Roman" w:cs="Times New Roman"/>
                <w:color w:val="auto"/>
                <w:sz w:val="21"/>
              </w:rPr>
            </w:pPr>
          </w:p>
        </w:tc>
        <w:tc>
          <w:tcPr>
            <w:tcW w:w="1001" w:type="pct"/>
            <w:vAlign w:val="center"/>
          </w:tcPr>
          <w:p w14:paraId="7894DBB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事故考虑地形</w:t>
            </w:r>
          </w:p>
        </w:tc>
        <w:tc>
          <w:tcPr>
            <w:tcW w:w="3023" w:type="pct"/>
            <w:gridSpan w:val="2"/>
            <w:vAlign w:val="center"/>
          </w:tcPr>
          <w:p w14:paraId="01BDAEC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不考虑</w:t>
            </w:r>
          </w:p>
        </w:tc>
      </w:tr>
      <w:tr w14:paraId="1A3E27D0">
        <w:tblPrEx>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CellMar>
            <w:top w:w="0" w:type="dxa"/>
            <w:left w:w="108" w:type="dxa"/>
            <w:bottom w:w="0" w:type="dxa"/>
            <w:right w:w="108" w:type="dxa"/>
          </w:tblCellMar>
        </w:tblPrEx>
        <w:tc>
          <w:tcPr>
            <w:tcW w:w="975" w:type="pct"/>
            <w:vMerge w:val="continue"/>
            <w:vAlign w:val="center"/>
          </w:tcPr>
          <w:p w14:paraId="332ED854">
            <w:pPr>
              <w:adjustRightInd w:val="0"/>
              <w:snapToGrid w:val="0"/>
              <w:jc w:val="center"/>
              <w:rPr>
                <w:rFonts w:ascii="Times New Roman" w:hAnsi="Times New Roman" w:cs="Times New Roman"/>
                <w:color w:val="auto"/>
                <w:sz w:val="21"/>
              </w:rPr>
            </w:pPr>
          </w:p>
        </w:tc>
        <w:tc>
          <w:tcPr>
            <w:tcW w:w="1001" w:type="pct"/>
            <w:vAlign w:val="center"/>
          </w:tcPr>
          <w:p w14:paraId="272DEEE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地形数据精度/m</w:t>
            </w:r>
          </w:p>
        </w:tc>
        <w:tc>
          <w:tcPr>
            <w:tcW w:w="3023" w:type="pct"/>
            <w:gridSpan w:val="2"/>
            <w:vAlign w:val="center"/>
          </w:tcPr>
          <w:p w14:paraId="2831D17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w:t>
            </w:r>
          </w:p>
        </w:tc>
      </w:tr>
    </w:tbl>
    <w:p w14:paraId="3BC4FFCE">
      <w:pPr>
        <w:spacing w:line="360" w:lineRule="auto"/>
        <w:ind w:firstLine="482"/>
        <w:jc w:val="both"/>
        <w:outlineLvl w:val="3"/>
        <w:rPr>
          <w:rFonts w:ascii="Times New Roman" w:hAnsi="Times New Roman" w:cs="Times New Roman"/>
          <w:b/>
          <w:bCs/>
          <w:color w:val="auto"/>
          <w:szCs w:val="24"/>
          <w:lang w:eastAsia="zh-CN"/>
        </w:rPr>
      </w:pPr>
      <w:r>
        <w:rPr>
          <w:rFonts w:hint="eastAsia" w:ascii="Times New Roman" w:hAnsi="Times New Roman" w:cs="Times New Roman"/>
          <w:b/>
          <w:bCs/>
          <w:color w:val="auto"/>
          <w:szCs w:val="24"/>
          <w:lang w:eastAsia="zh-CN"/>
        </w:rPr>
        <w:t>7</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8</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1</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 xml:space="preserve">3 </w:t>
      </w:r>
      <w:r>
        <w:rPr>
          <w:rFonts w:ascii="Times New Roman" w:hAnsi="Times New Roman" w:cs="Times New Roman"/>
          <w:b/>
          <w:bCs/>
          <w:snapToGrid/>
          <w:color w:val="auto"/>
          <w:spacing w:val="-2"/>
          <w:szCs w:val="24"/>
          <w:lang w:eastAsia="zh-CN"/>
        </w:rPr>
        <w:t>预测</w:t>
      </w:r>
      <w:r>
        <w:rPr>
          <w:rFonts w:hint="eastAsia" w:ascii="Times New Roman" w:hAnsi="Times New Roman" w:cs="Times New Roman"/>
          <w:b/>
          <w:bCs/>
          <w:snapToGrid/>
          <w:color w:val="auto"/>
          <w:spacing w:val="-2"/>
          <w:szCs w:val="24"/>
          <w:lang w:eastAsia="zh-CN"/>
        </w:rPr>
        <w:t>结果</w:t>
      </w:r>
    </w:p>
    <w:p w14:paraId="1E2F2488">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1、给出下风向不同距离处有毒有害物质的最大浓度，以及预测浓度达到不同大气毒性终点浓度的最大影响范围。</w:t>
      </w:r>
    </w:p>
    <w:p w14:paraId="11992F7B">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2、预测结果</w:t>
      </w:r>
    </w:p>
    <w:p w14:paraId="62AB0D6A">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（1）</w:t>
      </w:r>
      <w:r>
        <w:rPr>
          <w:rFonts w:hint="eastAsia" w:ascii="Times New Roman" w:hAnsi="Times New Roman" w:cs="Times New Roman"/>
          <w:color w:val="auto"/>
          <w:szCs w:val="24"/>
          <w:lang w:eastAsia="zh-CN"/>
        </w:rPr>
        <w:t>无水氟化氢</w:t>
      </w:r>
      <w:r>
        <w:rPr>
          <w:rFonts w:ascii="Times New Roman" w:hAnsi="Times New Roman" w:cs="Times New Roman"/>
          <w:color w:val="auto"/>
          <w:szCs w:val="24"/>
          <w:lang w:eastAsia="zh-CN"/>
        </w:rPr>
        <w:t>储罐</w:t>
      </w:r>
      <w:r>
        <w:rPr>
          <w:rFonts w:hint="eastAsia" w:ascii="Times New Roman" w:hAnsi="Times New Roman" w:cs="Times New Roman"/>
          <w:color w:val="auto"/>
          <w:szCs w:val="24"/>
          <w:lang w:eastAsia="zh-CN"/>
        </w:rPr>
        <w:t>、原料及产品罐区化学纯氢氟酸储罐泄漏</w:t>
      </w:r>
      <w:r>
        <w:rPr>
          <w:rFonts w:hint="eastAsia" w:ascii="Times New Roman" w:hAnsi="Times New Roman" w:cs="Times New Roman"/>
          <w:color w:val="auto"/>
          <w:lang w:eastAsia="zh-CN"/>
        </w:rPr>
        <w:t>事故</w:t>
      </w:r>
    </w:p>
    <w:p w14:paraId="10BF8FB8">
      <w:pPr>
        <w:widowControl w:val="0"/>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lang w:eastAsia="zh-CN"/>
        </w:rPr>
        <w:t>根据</w:t>
      </w:r>
      <w:r>
        <w:rPr>
          <w:rFonts w:ascii="Times New Roman" w:hAnsi="Times New Roman" w:cs="Times New Roman"/>
          <w:lang w:eastAsia="zh-CN"/>
        </w:rPr>
        <w:t>《安徽氟瑞星化工有限公司年产4万吨电子级氢氟酸、4万吨化学纯氢氟酸及4.5万吨刻蚀液项目（一期工程）环境影响报告书》</w:t>
      </w:r>
      <w:r>
        <w:rPr>
          <w:rFonts w:hint="eastAsia" w:ascii="Times New Roman" w:hAnsi="Times New Roman" w:cs="Times New Roman"/>
          <w:lang w:eastAsia="zh-CN"/>
        </w:rPr>
        <w:t>，现有工程大气环境风险事故预测情况为</w:t>
      </w:r>
      <w:r>
        <w:rPr>
          <w:rFonts w:hint="eastAsia" w:ascii="Times New Roman" w:hAnsi="Times New Roman" w:cs="Times New Roman"/>
          <w:color w:val="auto"/>
          <w:szCs w:val="24"/>
          <w:lang w:eastAsia="zh-CN"/>
        </w:rPr>
        <w:t>无水氟化氢</w:t>
      </w:r>
      <w:r>
        <w:rPr>
          <w:rFonts w:ascii="Times New Roman" w:hAnsi="Times New Roman" w:cs="Times New Roman"/>
          <w:color w:val="auto"/>
          <w:szCs w:val="24"/>
          <w:lang w:eastAsia="zh-CN"/>
        </w:rPr>
        <w:t>储罐</w:t>
      </w:r>
      <w:r>
        <w:rPr>
          <w:rFonts w:hint="eastAsia" w:ascii="Times New Roman" w:hAnsi="Times New Roman" w:cs="Times New Roman"/>
          <w:color w:val="auto"/>
          <w:szCs w:val="24"/>
          <w:lang w:eastAsia="zh-CN"/>
        </w:rPr>
        <w:t>、原料及产品罐区化学纯氢氟酸储罐泄漏。根据预测结果，</w:t>
      </w:r>
      <w:r>
        <w:rPr>
          <w:rFonts w:ascii="Times New Roman" w:hAnsi="Times New Roman" w:cs="Times New Roman"/>
          <w:color w:val="auto"/>
          <w:szCs w:val="24"/>
          <w:lang w:eastAsia="zh-CN"/>
        </w:rPr>
        <w:t>大气毒性终点浓度-1最大影响范围为660米，大气毒性终点浓度-2的最大影响范围950米，</w:t>
      </w:r>
      <w:r>
        <w:rPr>
          <w:rFonts w:hint="eastAsia" w:ascii="Times New Roman" w:hAnsi="Times New Roman" w:cs="Times New Roman"/>
          <w:color w:val="auto"/>
          <w:szCs w:val="24"/>
          <w:lang w:eastAsia="zh-CN"/>
        </w:rPr>
        <w:t>均</w:t>
      </w:r>
      <w:r>
        <w:rPr>
          <w:rFonts w:ascii="Times New Roman" w:hAnsi="Times New Roman" w:cs="Times New Roman"/>
          <w:color w:val="auto"/>
          <w:szCs w:val="24"/>
          <w:lang w:eastAsia="zh-CN"/>
        </w:rPr>
        <w:t>为无水氟化氢原储罐泄漏事故</w:t>
      </w:r>
      <w:r>
        <w:rPr>
          <w:rFonts w:hint="eastAsia" w:ascii="Times New Roman" w:hAnsi="Times New Roman" w:cs="Times New Roman"/>
          <w:color w:val="auto"/>
          <w:szCs w:val="24"/>
          <w:lang w:eastAsia="zh-CN"/>
        </w:rPr>
        <w:t>。</w:t>
      </w:r>
    </w:p>
    <w:p w14:paraId="3CBF2C65">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w:t>
      </w:r>
      <w:r>
        <w:rPr>
          <w:rFonts w:hint="eastAsia" w:ascii="Times New Roman" w:hAnsi="Times New Roman" w:cs="Times New Roman"/>
          <w:color w:val="auto"/>
          <w:lang w:eastAsia="zh-CN"/>
        </w:rPr>
        <w:t>2</w:t>
      </w:r>
      <w:r>
        <w:rPr>
          <w:rFonts w:ascii="Times New Roman" w:hAnsi="Times New Roman" w:cs="Times New Roman"/>
          <w:color w:val="auto"/>
          <w:lang w:eastAsia="zh-CN"/>
        </w:rPr>
        <w:t>）化学纯氢氟酸储罐泄漏</w:t>
      </w:r>
      <w:r>
        <w:rPr>
          <w:rFonts w:hint="eastAsia" w:ascii="Times New Roman" w:hAnsi="Times New Roman" w:cs="Times New Roman"/>
          <w:color w:val="auto"/>
          <w:lang w:eastAsia="zh-CN"/>
        </w:rPr>
        <w:t>事故</w:t>
      </w:r>
    </w:p>
    <w:p w14:paraId="0D16E6B3">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根据上述预测模式以及事故源强，在最不利气象条件下，化学纯氢氟酸储罐泄漏</w:t>
      </w:r>
      <w:r>
        <w:rPr>
          <w:rFonts w:hint="eastAsia" w:ascii="Times New Roman" w:hAnsi="Times New Roman" w:cs="Times New Roman"/>
          <w:color w:val="auto"/>
          <w:lang w:eastAsia="zh-CN"/>
        </w:rPr>
        <w:t>事故</w:t>
      </w:r>
      <w:r>
        <w:rPr>
          <w:rFonts w:ascii="Times New Roman" w:hAnsi="Times New Roman" w:cs="Times New Roman"/>
          <w:color w:val="auto"/>
          <w:lang w:eastAsia="zh-CN"/>
        </w:rPr>
        <w:t>排放时下风向不同距离最大浓度分布见表</w:t>
      </w:r>
      <w:r>
        <w:rPr>
          <w:rFonts w:hint="eastAsia" w:ascii="Times New Roman" w:hAnsi="Times New Roman" w:cs="Times New Roman"/>
          <w:color w:val="auto"/>
          <w:lang w:eastAsia="zh-CN"/>
        </w:rPr>
        <w:t>7</w:t>
      </w:r>
      <w:r>
        <w:rPr>
          <w:rFonts w:ascii="Times New Roman" w:hAnsi="Times New Roman" w:cs="Times New Roman"/>
          <w:color w:val="auto"/>
          <w:lang w:eastAsia="zh-CN"/>
        </w:rPr>
        <w:t>.</w:t>
      </w:r>
      <w:r>
        <w:rPr>
          <w:rFonts w:hint="eastAsia" w:ascii="Times New Roman" w:hAnsi="Times New Roman" w:cs="Times New Roman"/>
          <w:color w:val="auto"/>
          <w:lang w:eastAsia="zh-CN"/>
        </w:rPr>
        <w:t>8</w:t>
      </w:r>
      <w:r>
        <w:rPr>
          <w:rFonts w:ascii="Times New Roman" w:hAnsi="Times New Roman" w:cs="Times New Roman"/>
          <w:color w:val="auto"/>
          <w:lang w:eastAsia="zh-CN"/>
        </w:rPr>
        <w:t>-3，化学纯氢氟酸储罐泄漏事故排放预测浓度达到不同毒性终点浓度的最大影响范围分布见表</w:t>
      </w:r>
      <w:r>
        <w:rPr>
          <w:rFonts w:hint="eastAsia" w:ascii="Times New Roman" w:hAnsi="Times New Roman" w:cs="Times New Roman"/>
          <w:color w:val="auto"/>
          <w:lang w:eastAsia="zh-CN"/>
        </w:rPr>
        <w:t>7</w:t>
      </w:r>
      <w:r>
        <w:rPr>
          <w:rFonts w:ascii="Times New Roman" w:hAnsi="Times New Roman" w:cs="Times New Roman"/>
          <w:color w:val="auto"/>
          <w:lang w:eastAsia="zh-CN"/>
        </w:rPr>
        <w:t>.</w:t>
      </w:r>
      <w:r>
        <w:rPr>
          <w:rFonts w:hint="eastAsia" w:ascii="Times New Roman" w:hAnsi="Times New Roman" w:cs="Times New Roman"/>
          <w:color w:val="auto"/>
          <w:lang w:eastAsia="zh-CN"/>
        </w:rPr>
        <w:t>8</w:t>
      </w:r>
      <w:r>
        <w:rPr>
          <w:rFonts w:ascii="Times New Roman" w:hAnsi="Times New Roman" w:cs="Times New Roman"/>
          <w:color w:val="auto"/>
          <w:lang w:eastAsia="zh-CN"/>
        </w:rPr>
        <w:t>-4。</w:t>
      </w:r>
    </w:p>
    <w:p w14:paraId="225BA5AE">
      <w:pPr>
        <w:spacing w:line="360" w:lineRule="auto"/>
        <w:jc w:val="center"/>
        <w:rPr>
          <w:rFonts w:ascii="Times New Roman" w:hAnsi="Times New Roman" w:cs="Times New Roman"/>
          <w:b/>
          <w:bCs/>
          <w:szCs w:val="24"/>
          <w:lang w:eastAsia="zh-CN"/>
        </w:rPr>
      </w:pPr>
      <w:r>
        <w:rPr>
          <w:rFonts w:ascii="Times New Roman" w:hAnsi="Times New Roman" w:cs="Times New Roman"/>
          <w:b/>
          <w:bCs/>
          <w:szCs w:val="24"/>
          <w:lang w:eastAsia="zh-CN"/>
        </w:rPr>
        <w:t>表</w:t>
      </w:r>
      <w:r>
        <w:rPr>
          <w:rFonts w:hint="eastAsia" w:ascii="Times New Roman" w:hAnsi="Times New Roman" w:cs="Times New Roman"/>
          <w:b/>
          <w:bCs/>
          <w:szCs w:val="24"/>
          <w:lang w:eastAsia="zh-CN"/>
        </w:rPr>
        <w:t>7</w:t>
      </w:r>
      <w:r>
        <w:rPr>
          <w:rFonts w:ascii="Times New Roman" w:hAnsi="Times New Roman" w:cs="Times New Roman"/>
          <w:b/>
          <w:bCs/>
          <w:szCs w:val="24"/>
          <w:lang w:eastAsia="zh-CN"/>
        </w:rPr>
        <w:t>.</w:t>
      </w:r>
      <w:r>
        <w:rPr>
          <w:rFonts w:hint="eastAsia" w:ascii="Times New Roman" w:hAnsi="Times New Roman" w:cs="Times New Roman"/>
          <w:b/>
          <w:bCs/>
          <w:szCs w:val="24"/>
          <w:lang w:eastAsia="zh-CN"/>
        </w:rPr>
        <w:t>8</w:t>
      </w:r>
      <w:r>
        <w:rPr>
          <w:rFonts w:ascii="Times New Roman" w:hAnsi="Times New Roman" w:cs="Times New Roman"/>
          <w:b/>
          <w:bCs/>
          <w:szCs w:val="24"/>
          <w:lang w:eastAsia="zh-CN"/>
        </w:rPr>
        <w:t>-3化学纯氢氟酸储罐泄漏事故排放下风向最大预测浓度一览表</w:t>
      </w:r>
    </w:p>
    <w:tbl>
      <w:tblPr>
        <w:tblStyle w:val="35"/>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15"/>
        <w:gridCol w:w="2181"/>
        <w:gridCol w:w="2187"/>
        <w:gridCol w:w="2181"/>
        <w:gridCol w:w="2174"/>
      </w:tblGrid>
      <w:tr w14:paraId="3C602D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Merge w:val="restart"/>
            <w:vAlign w:val="center"/>
          </w:tcPr>
          <w:p w14:paraId="1EA20B30">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距离（m）</w:t>
            </w:r>
          </w:p>
        </w:tc>
        <w:tc>
          <w:tcPr>
            <w:tcW w:w="2243" w:type="pct"/>
            <w:gridSpan w:val="2"/>
            <w:vAlign w:val="center"/>
          </w:tcPr>
          <w:p w14:paraId="4993E7E2">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最不利气象条件</w:t>
            </w:r>
          </w:p>
        </w:tc>
        <w:tc>
          <w:tcPr>
            <w:tcW w:w="2236" w:type="pct"/>
            <w:gridSpan w:val="2"/>
            <w:vAlign w:val="center"/>
          </w:tcPr>
          <w:p w14:paraId="4A33B2D3">
            <w:pPr>
              <w:widowControl w:val="0"/>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最</w:t>
            </w:r>
            <w:r>
              <w:rPr>
                <w:rFonts w:hint="eastAsia" w:ascii="Times New Roman" w:hAnsi="Times New Roman" w:cs="Times New Roman"/>
                <w:b/>
                <w:bCs/>
                <w:color w:val="000000" w:themeColor="text1"/>
                <w:sz w:val="21"/>
                <w:lang w:eastAsia="zh-CN"/>
                <w14:textFill>
                  <w14:solidFill>
                    <w14:schemeClr w14:val="tx1"/>
                  </w14:solidFill>
                </w14:textFill>
              </w:rPr>
              <w:t>常见</w:t>
            </w:r>
            <w:r>
              <w:rPr>
                <w:rFonts w:ascii="Times New Roman" w:hAnsi="Times New Roman" w:cs="Times New Roman"/>
                <w:b/>
                <w:bCs/>
                <w:color w:val="000000" w:themeColor="text1"/>
                <w:sz w:val="21"/>
                <w:lang w:eastAsia="zh-CN"/>
                <w14:textFill>
                  <w14:solidFill>
                    <w14:schemeClr w14:val="tx1"/>
                  </w14:solidFill>
                </w14:textFill>
              </w:rPr>
              <w:t>气象条件</w:t>
            </w:r>
          </w:p>
        </w:tc>
      </w:tr>
      <w:tr w14:paraId="083687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Merge w:val="continue"/>
            <w:vAlign w:val="center"/>
          </w:tcPr>
          <w:p w14:paraId="50CA19EB">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p>
        </w:tc>
        <w:tc>
          <w:tcPr>
            <w:tcW w:w="1120" w:type="pct"/>
            <w:vAlign w:val="center"/>
          </w:tcPr>
          <w:p w14:paraId="74511D4A">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浓度出现时间</w:t>
            </w:r>
          </w:p>
        </w:tc>
        <w:tc>
          <w:tcPr>
            <w:tcW w:w="1123" w:type="pct"/>
            <w:vAlign w:val="center"/>
          </w:tcPr>
          <w:p w14:paraId="66DDA6AD">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高峰浓度</w:t>
            </w:r>
          </w:p>
        </w:tc>
        <w:tc>
          <w:tcPr>
            <w:tcW w:w="1120" w:type="pct"/>
            <w:vAlign w:val="center"/>
          </w:tcPr>
          <w:p w14:paraId="6050325B">
            <w:pPr>
              <w:widowControl w:val="0"/>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浓度出现时间</w:t>
            </w:r>
          </w:p>
        </w:tc>
        <w:tc>
          <w:tcPr>
            <w:tcW w:w="1116" w:type="pct"/>
            <w:vAlign w:val="center"/>
          </w:tcPr>
          <w:p w14:paraId="7FA8C265">
            <w:pPr>
              <w:widowControl w:val="0"/>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高峰浓度</w:t>
            </w:r>
          </w:p>
        </w:tc>
      </w:tr>
      <w:tr w14:paraId="0B2618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Merge w:val="continue"/>
            <w:vAlign w:val="center"/>
          </w:tcPr>
          <w:p w14:paraId="2F033369">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p>
        </w:tc>
        <w:tc>
          <w:tcPr>
            <w:tcW w:w="1120" w:type="pct"/>
            <w:vAlign w:val="center"/>
          </w:tcPr>
          <w:p w14:paraId="28D80861">
            <w:pPr>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（min）</w:t>
            </w:r>
          </w:p>
        </w:tc>
        <w:tc>
          <w:tcPr>
            <w:tcW w:w="1123" w:type="pct"/>
            <w:vAlign w:val="center"/>
          </w:tcPr>
          <w:p w14:paraId="02C644CA">
            <w:pPr>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（mg/m</w:t>
            </w:r>
            <w:r>
              <w:rPr>
                <w:rFonts w:ascii="Times New Roman" w:hAnsi="Times New Roman" w:cs="Times New Roman"/>
                <w:b/>
                <w:bCs/>
                <w:color w:val="000000" w:themeColor="text1"/>
                <w:sz w:val="21"/>
                <w:vertAlign w:val="superscript"/>
                <w:lang w:eastAsia="zh-CN"/>
                <w14:textFill>
                  <w14:solidFill>
                    <w14:schemeClr w14:val="tx1"/>
                  </w14:solidFill>
                </w14:textFill>
              </w:rPr>
              <w:t>3</w:t>
            </w:r>
            <w:r>
              <w:rPr>
                <w:rFonts w:ascii="Times New Roman" w:hAnsi="Times New Roman" w:cs="Times New Roman"/>
                <w:b/>
                <w:bCs/>
                <w:color w:val="000000" w:themeColor="text1"/>
                <w:sz w:val="21"/>
                <w:lang w:eastAsia="zh-CN"/>
                <w14:textFill>
                  <w14:solidFill>
                    <w14:schemeClr w14:val="tx1"/>
                  </w14:solidFill>
                </w14:textFill>
              </w:rPr>
              <w:t>）</w:t>
            </w:r>
          </w:p>
        </w:tc>
        <w:tc>
          <w:tcPr>
            <w:tcW w:w="1120" w:type="pct"/>
            <w:vAlign w:val="center"/>
          </w:tcPr>
          <w:p w14:paraId="0B499ACE">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（min）</w:t>
            </w:r>
          </w:p>
        </w:tc>
        <w:tc>
          <w:tcPr>
            <w:tcW w:w="1116" w:type="pct"/>
            <w:vAlign w:val="center"/>
          </w:tcPr>
          <w:p w14:paraId="21C484C4">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（mg/m</w:t>
            </w:r>
            <w:r>
              <w:rPr>
                <w:rFonts w:ascii="Times New Roman" w:hAnsi="Times New Roman" w:cs="Times New Roman"/>
                <w:b/>
                <w:bCs/>
                <w:color w:val="000000" w:themeColor="text1"/>
                <w:sz w:val="21"/>
                <w:vertAlign w:val="superscript"/>
                <w:lang w:eastAsia="zh-CN"/>
                <w14:textFill>
                  <w14:solidFill>
                    <w14:schemeClr w14:val="tx1"/>
                  </w14:solidFill>
                </w14:textFill>
              </w:rPr>
              <w:t>3</w:t>
            </w:r>
            <w:r>
              <w:rPr>
                <w:rFonts w:ascii="Times New Roman" w:hAnsi="Times New Roman" w:cs="Times New Roman"/>
                <w:b/>
                <w:bCs/>
                <w:color w:val="000000" w:themeColor="text1"/>
                <w:sz w:val="21"/>
                <w:lang w:eastAsia="zh-CN"/>
                <w14:textFill>
                  <w14:solidFill>
                    <w14:schemeClr w14:val="tx1"/>
                  </w14:solidFill>
                </w14:textFill>
              </w:rPr>
              <w:t>）</w:t>
            </w:r>
          </w:p>
        </w:tc>
      </w:tr>
      <w:tr w14:paraId="30283D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1" w:type="pct"/>
            <w:vAlign w:val="center"/>
          </w:tcPr>
          <w:p w14:paraId="4F98175A">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10</w:t>
            </w:r>
          </w:p>
        </w:tc>
        <w:tc>
          <w:tcPr>
            <w:tcW w:w="1120" w:type="pct"/>
            <w:vAlign w:val="center"/>
          </w:tcPr>
          <w:p w14:paraId="18C4BD90">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4EA901A6">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44B109F5">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56D7CEE0">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r>
      <w:tr w14:paraId="53F08E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Align w:val="center"/>
          </w:tcPr>
          <w:p w14:paraId="12BF73A4">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100</w:t>
            </w:r>
          </w:p>
        </w:tc>
        <w:tc>
          <w:tcPr>
            <w:tcW w:w="1120" w:type="pct"/>
            <w:vAlign w:val="center"/>
          </w:tcPr>
          <w:p w14:paraId="55C405F6">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5C258EB9">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27E13FAD">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07549BFB">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r>
      <w:tr w14:paraId="740DAB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Align w:val="center"/>
          </w:tcPr>
          <w:p w14:paraId="4E8F0612">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200</w:t>
            </w:r>
          </w:p>
        </w:tc>
        <w:tc>
          <w:tcPr>
            <w:tcW w:w="1120" w:type="pct"/>
            <w:vAlign w:val="center"/>
          </w:tcPr>
          <w:p w14:paraId="5FE8B6EE">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7DBEB2DB">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17E07911">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19913E3F">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r>
      <w:tr w14:paraId="631055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Align w:val="center"/>
          </w:tcPr>
          <w:p w14:paraId="4B842100">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300</w:t>
            </w:r>
          </w:p>
        </w:tc>
        <w:tc>
          <w:tcPr>
            <w:tcW w:w="1120" w:type="pct"/>
            <w:vAlign w:val="center"/>
          </w:tcPr>
          <w:p w14:paraId="26F2D4E5">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4CDE0B24">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7D5E3586">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22384088">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r>
      <w:tr w14:paraId="13C5F4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1" w:type="pct"/>
            <w:vAlign w:val="center"/>
          </w:tcPr>
          <w:p w14:paraId="04B7B23A">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400</w:t>
            </w:r>
          </w:p>
        </w:tc>
        <w:tc>
          <w:tcPr>
            <w:tcW w:w="1120" w:type="pct"/>
            <w:vAlign w:val="center"/>
          </w:tcPr>
          <w:p w14:paraId="163D0303">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3DA93673">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0" w:type="pct"/>
            <w:vAlign w:val="center"/>
          </w:tcPr>
          <w:p w14:paraId="1F9AA1A3">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0A37A51D">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r>
      <w:tr w14:paraId="12B99B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Align w:val="center"/>
          </w:tcPr>
          <w:p w14:paraId="2C34FD06">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500</w:t>
            </w:r>
          </w:p>
        </w:tc>
        <w:tc>
          <w:tcPr>
            <w:tcW w:w="1120" w:type="pct"/>
            <w:vAlign w:val="center"/>
          </w:tcPr>
          <w:p w14:paraId="07DB9C23">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0F018CBC">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4980CD9B">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6D5C8DD2">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r>
      <w:tr w14:paraId="0114EB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Align w:val="center"/>
          </w:tcPr>
          <w:p w14:paraId="758826CC">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600</w:t>
            </w:r>
          </w:p>
        </w:tc>
        <w:tc>
          <w:tcPr>
            <w:tcW w:w="1120" w:type="pct"/>
            <w:vAlign w:val="center"/>
          </w:tcPr>
          <w:p w14:paraId="03455F0B">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175BD116">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3870F34A">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60323480">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r>
      <w:tr w14:paraId="1086F6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Align w:val="center"/>
          </w:tcPr>
          <w:p w14:paraId="1A9918D5">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700</w:t>
            </w:r>
          </w:p>
        </w:tc>
        <w:tc>
          <w:tcPr>
            <w:tcW w:w="1120" w:type="pct"/>
            <w:vAlign w:val="center"/>
          </w:tcPr>
          <w:p w14:paraId="7E5A617E">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6C5B1A5E">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7E0F667B">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2FDB70E6">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r>
      <w:tr w14:paraId="604425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Align w:val="center"/>
          </w:tcPr>
          <w:p w14:paraId="24BAE379">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800</w:t>
            </w:r>
          </w:p>
        </w:tc>
        <w:tc>
          <w:tcPr>
            <w:tcW w:w="1120" w:type="pct"/>
            <w:vAlign w:val="center"/>
          </w:tcPr>
          <w:p w14:paraId="30B54D7C">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366A4E30">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27464D7F">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4F17D49B">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r>
      <w:tr w14:paraId="4E43DF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Align w:val="center"/>
          </w:tcPr>
          <w:p w14:paraId="315EE475">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900</w:t>
            </w:r>
          </w:p>
        </w:tc>
        <w:tc>
          <w:tcPr>
            <w:tcW w:w="1120" w:type="pct"/>
            <w:vAlign w:val="center"/>
          </w:tcPr>
          <w:p w14:paraId="206F3140">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64C1286F">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61390F67">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6510BD87">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r>
      <w:tr w14:paraId="7D7278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Align w:val="center"/>
          </w:tcPr>
          <w:p w14:paraId="1CE01ED6">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1000</w:t>
            </w:r>
          </w:p>
        </w:tc>
        <w:tc>
          <w:tcPr>
            <w:tcW w:w="1120" w:type="pct"/>
            <w:vAlign w:val="center"/>
          </w:tcPr>
          <w:p w14:paraId="5D0BCC56">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28AADBDB">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3DC12784">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3615CD51">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r>
      <w:tr w14:paraId="3095E3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Align w:val="center"/>
          </w:tcPr>
          <w:p w14:paraId="7E8289C5">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1500</w:t>
            </w:r>
          </w:p>
        </w:tc>
        <w:tc>
          <w:tcPr>
            <w:tcW w:w="1120" w:type="pct"/>
            <w:vAlign w:val="center"/>
          </w:tcPr>
          <w:p w14:paraId="70EC484B">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339E5DA8">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5D7BCBF9">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714CF668">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r>
      <w:tr w14:paraId="7F213E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Align w:val="center"/>
          </w:tcPr>
          <w:p w14:paraId="54269A8D">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2000</w:t>
            </w:r>
          </w:p>
        </w:tc>
        <w:tc>
          <w:tcPr>
            <w:tcW w:w="1120" w:type="pct"/>
            <w:vAlign w:val="center"/>
          </w:tcPr>
          <w:p w14:paraId="6803EA06">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7935E5C2">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23BC2DCD">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0535E1BA">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r>
      <w:tr w14:paraId="2B2568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Align w:val="center"/>
          </w:tcPr>
          <w:p w14:paraId="4F27692C">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2500</w:t>
            </w:r>
          </w:p>
        </w:tc>
        <w:tc>
          <w:tcPr>
            <w:tcW w:w="1120" w:type="pct"/>
            <w:vAlign w:val="center"/>
          </w:tcPr>
          <w:p w14:paraId="35FAAE47">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6CFCA5D8">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33733752">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661E1556">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r>
      <w:tr w14:paraId="151D6D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521" w:type="pct"/>
            <w:vAlign w:val="center"/>
          </w:tcPr>
          <w:p w14:paraId="67C84030">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3000</w:t>
            </w:r>
          </w:p>
        </w:tc>
        <w:tc>
          <w:tcPr>
            <w:tcW w:w="1120" w:type="pct"/>
            <w:vAlign w:val="center"/>
          </w:tcPr>
          <w:p w14:paraId="085350E6">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7F534AC3">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3968186C">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697DAB31">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r>
      <w:tr w14:paraId="308ABE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Align w:val="center"/>
          </w:tcPr>
          <w:p w14:paraId="5445171A">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3500</w:t>
            </w:r>
          </w:p>
        </w:tc>
        <w:tc>
          <w:tcPr>
            <w:tcW w:w="1120" w:type="pct"/>
            <w:vAlign w:val="center"/>
          </w:tcPr>
          <w:p w14:paraId="79942A3E">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442578A5">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6C922FF9">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3F476216">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r>
      <w:tr w14:paraId="5F5C18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Align w:val="center"/>
          </w:tcPr>
          <w:p w14:paraId="17365C9A">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4000</w:t>
            </w:r>
          </w:p>
        </w:tc>
        <w:tc>
          <w:tcPr>
            <w:tcW w:w="1120" w:type="pct"/>
            <w:vAlign w:val="center"/>
          </w:tcPr>
          <w:p w14:paraId="1B8B434F">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48A1EC7D">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06FA597F">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4D4807B2">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r>
      <w:tr w14:paraId="090043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Align w:val="center"/>
          </w:tcPr>
          <w:p w14:paraId="7FE271C1">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4500</w:t>
            </w:r>
          </w:p>
        </w:tc>
        <w:tc>
          <w:tcPr>
            <w:tcW w:w="1120" w:type="pct"/>
            <w:vAlign w:val="center"/>
          </w:tcPr>
          <w:p w14:paraId="2D32FAF7">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17D2A755">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076A13F1">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0B8BB08A">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r>
      <w:tr w14:paraId="664D37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Align w:val="center"/>
          </w:tcPr>
          <w:p w14:paraId="5F7E4040">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5000</w:t>
            </w:r>
          </w:p>
        </w:tc>
        <w:tc>
          <w:tcPr>
            <w:tcW w:w="1120" w:type="pct"/>
            <w:vAlign w:val="center"/>
          </w:tcPr>
          <w:p w14:paraId="0973AEB2">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3601952B">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75C4566E">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0834A291">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r>
    </w:tbl>
    <w:p w14:paraId="73B177CD">
      <w:pPr>
        <w:spacing w:line="360" w:lineRule="auto"/>
        <w:jc w:val="center"/>
        <w:rPr>
          <w:rFonts w:ascii="Times New Roman" w:hAnsi="Times New Roman" w:cs="Times New Roman"/>
          <w:b/>
          <w:bCs/>
          <w:szCs w:val="24"/>
          <w:lang w:eastAsia="zh-CN"/>
        </w:rPr>
      </w:pPr>
      <w:r>
        <w:rPr>
          <w:rFonts w:ascii="Times New Roman" w:hAnsi="Times New Roman" w:cs="Times New Roman"/>
          <w:b/>
          <w:bCs/>
          <w:szCs w:val="24"/>
          <w:lang w:eastAsia="zh-CN"/>
        </w:rPr>
        <w:t>表</w:t>
      </w:r>
      <w:r>
        <w:rPr>
          <w:rFonts w:hint="eastAsia" w:ascii="Times New Roman" w:hAnsi="Times New Roman" w:cs="Times New Roman"/>
          <w:b/>
          <w:bCs/>
          <w:szCs w:val="24"/>
          <w:lang w:eastAsia="zh-CN"/>
        </w:rPr>
        <w:t>7</w:t>
      </w:r>
      <w:r>
        <w:rPr>
          <w:rFonts w:ascii="Times New Roman" w:hAnsi="Times New Roman" w:cs="Times New Roman"/>
          <w:b/>
          <w:bCs/>
          <w:szCs w:val="24"/>
          <w:lang w:eastAsia="zh-CN"/>
        </w:rPr>
        <w:t>.</w:t>
      </w:r>
      <w:r>
        <w:rPr>
          <w:rFonts w:hint="eastAsia" w:ascii="Times New Roman" w:hAnsi="Times New Roman" w:cs="Times New Roman"/>
          <w:b/>
          <w:bCs/>
          <w:szCs w:val="24"/>
          <w:lang w:eastAsia="zh-CN"/>
        </w:rPr>
        <w:t>8</w:t>
      </w:r>
      <w:r>
        <w:rPr>
          <w:rFonts w:ascii="Times New Roman" w:hAnsi="Times New Roman" w:cs="Times New Roman"/>
          <w:b/>
          <w:bCs/>
          <w:szCs w:val="24"/>
          <w:lang w:eastAsia="zh-CN"/>
        </w:rPr>
        <w:t>-4 化学纯氢氟酸储罐泄漏事故最大影响范围一览表</w:t>
      </w:r>
    </w:p>
    <w:tbl>
      <w:tblPr>
        <w:tblStyle w:val="35"/>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431"/>
        <w:gridCol w:w="2437"/>
        <w:gridCol w:w="2435"/>
        <w:gridCol w:w="2437"/>
      </w:tblGrid>
      <w:tr w14:paraId="5BCEC0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8" w:type="pct"/>
            <w:vMerge w:val="restart"/>
            <w:vAlign w:val="center"/>
          </w:tcPr>
          <w:p w14:paraId="7A4DF04D">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气象条件</w:t>
            </w:r>
          </w:p>
        </w:tc>
        <w:tc>
          <w:tcPr>
            <w:tcW w:w="1251" w:type="pct"/>
            <w:vMerge w:val="restart"/>
            <w:vAlign w:val="center"/>
          </w:tcPr>
          <w:p w14:paraId="1B08AB7E">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评价标准</w:t>
            </w:r>
          </w:p>
        </w:tc>
        <w:tc>
          <w:tcPr>
            <w:tcW w:w="2501" w:type="pct"/>
            <w:gridSpan w:val="2"/>
            <w:vAlign w:val="center"/>
          </w:tcPr>
          <w:p w14:paraId="36A7BB71">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最大影响范围</w:t>
            </w:r>
          </w:p>
        </w:tc>
      </w:tr>
      <w:tr w14:paraId="11AFB1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8" w:type="pct"/>
            <w:vMerge w:val="continue"/>
            <w:vAlign w:val="center"/>
          </w:tcPr>
          <w:p w14:paraId="25BC08A1">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p>
        </w:tc>
        <w:tc>
          <w:tcPr>
            <w:tcW w:w="1251" w:type="pct"/>
            <w:vMerge w:val="continue"/>
            <w:vAlign w:val="center"/>
          </w:tcPr>
          <w:p w14:paraId="39A3D451">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p>
        </w:tc>
        <w:tc>
          <w:tcPr>
            <w:tcW w:w="1250" w:type="pct"/>
            <w:vAlign w:val="center"/>
          </w:tcPr>
          <w:p w14:paraId="5D14FA5F">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最大距离（m）</w:t>
            </w:r>
          </w:p>
        </w:tc>
        <w:tc>
          <w:tcPr>
            <w:tcW w:w="1251" w:type="pct"/>
            <w:vAlign w:val="center"/>
          </w:tcPr>
          <w:p w14:paraId="08D5EB47">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最大半宽（m）</w:t>
            </w:r>
          </w:p>
        </w:tc>
      </w:tr>
      <w:tr w14:paraId="046B1F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48" w:type="pct"/>
            <w:vMerge w:val="restart"/>
            <w:vAlign w:val="center"/>
          </w:tcPr>
          <w:p w14:paraId="1C328F47">
            <w:pPr>
              <w:widowControl w:val="0"/>
              <w:adjustRightInd w:val="0"/>
              <w:snapToGrid w:val="0"/>
              <w:jc w:val="center"/>
              <w:rPr>
                <w:rFonts w:ascii="Times New Roman" w:hAnsi="Times New Roman" w:cs="Times New Roman"/>
                <w:color w:val="000000" w:themeColor="text1"/>
                <w:szCs w:val="24"/>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最不利气象条件</w:t>
            </w:r>
          </w:p>
        </w:tc>
        <w:tc>
          <w:tcPr>
            <w:tcW w:w="1251" w:type="pct"/>
            <w:vAlign w:val="center"/>
          </w:tcPr>
          <w:p w14:paraId="5AAF4D44">
            <w:pPr>
              <w:widowControl w:val="0"/>
              <w:adjustRightInd w:val="0"/>
              <w:snapToGrid w:val="0"/>
              <w:jc w:val="center"/>
              <w:rPr>
                <w:rFonts w:ascii="Times New Roman" w:hAnsi="Times New Roman" w:cs="Times New Roman"/>
                <w:color w:val="000000" w:themeColor="text1"/>
                <w:szCs w:val="24"/>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1级毒性终点浓度</w:t>
            </w:r>
          </w:p>
        </w:tc>
        <w:tc>
          <w:tcPr>
            <w:tcW w:w="1250" w:type="pct"/>
            <w:vAlign w:val="center"/>
          </w:tcPr>
          <w:p w14:paraId="12340591">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251" w:type="pct"/>
            <w:vAlign w:val="center"/>
          </w:tcPr>
          <w:p w14:paraId="70C659AC">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r>
      <w:tr w14:paraId="587399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8" w:type="pct"/>
            <w:vMerge w:val="continue"/>
            <w:vAlign w:val="center"/>
          </w:tcPr>
          <w:p w14:paraId="1C935ACB">
            <w:pPr>
              <w:widowControl w:val="0"/>
              <w:adjustRightInd w:val="0"/>
              <w:snapToGrid w:val="0"/>
              <w:jc w:val="center"/>
              <w:rPr>
                <w:rFonts w:ascii="Times New Roman" w:hAnsi="Times New Roman" w:cs="Times New Roman"/>
                <w:color w:val="000000" w:themeColor="text1"/>
                <w:szCs w:val="24"/>
                <w14:textFill>
                  <w14:solidFill>
                    <w14:schemeClr w14:val="tx1"/>
                  </w14:solidFill>
                </w14:textFill>
              </w:rPr>
            </w:pPr>
          </w:p>
        </w:tc>
        <w:tc>
          <w:tcPr>
            <w:tcW w:w="1251" w:type="pct"/>
            <w:vAlign w:val="center"/>
          </w:tcPr>
          <w:p w14:paraId="5C0ED724">
            <w:pPr>
              <w:widowControl w:val="0"/>
              <w:adjustRightInd w:val="0"/>
              <w:snapToGrid w:val="0"/>
              <w:jc w:val="center"/>
              <w:rPr>
                <w:rFonts w:ascii="Times New Roman" w:hAnsi="Times New Roman" w:cs="Times New Roman"/>
                <w:color w:val="000000" w:themeColor="text1"/>
                <w:szCs w:val="24"/>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2级毒性终点浓度</w:t>
            </w:r>
          </w:p>
        </w:tc>
        <w:tc>
          <w:tcPr>
            <w:tcW w:w="1250" w:type="pct"/>
            <w:vAlign w:val="center"/>
          </w:tcPr>
          <w:p w14:paraId="40605F2A">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251" w:type="pct"/>
            <w:vAlign w:val="center"/>
          </w:tcPr>
          <w:p w14:paraId="4C2F94FD">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r>
      <w:tr w14:paraId="7C605B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8" w:type="pct"/>
            <w:vMerge w:val="restart"/>
            <w:vAlign w:val="center"/>
          </w:tcPr>
          <w:p w14:paraId="65DD8362">
            <w:pPr>
              <w:widowControl w:val="0"/>
              <w:adjustRightInd w:val="0"/>
              <w:snapToGrid w:val="0"/>
              <w:jc w:val="center"/>
              <w:rPr>
                <w:rFonts w:ascii="Times New Roman" w:hAnsi="Times New Roman" w:cs="Times New Roman"/>
                <w:color w:val="000000" w:themeColor="text1"/>
                <w:szCs w:val="24"/>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最</w:t>
            </w:r>
            <w:r>
              <w:rPr>
                <w:rFonts w:hint="eastAsia" w:ascii="Times New Roman" w:hAnsi="Times New Roman" w:cs="Times New Roman"/>
                <w:color w:val="000000" w:themeColor="text1"/>
                <w:sz w:val="21"/>
                <w:lang w:eastAsia="zh-CN"/>
                <w14:textFill>
                  <w14:solidFill>
                    <w14:schemeClr w14:val="tx1"/>
                  </w14:solidFill>
                </w14:textFill>
              </w:rPr>
              <w:t>常见</w:t>
            </w:r>
            <w:r>
              <w:rPr>
                <w:rFonts w:ascii="Times New Roman" w:hAnsi="Times New Roman" w:cs="Times New Roman"/>
                <w:color w:val="000000" w:themeColor="text1"/>
                <w:sz w:val="21"/>
                <w:lang w:eastAsia="zh-CN"/>
                <w14:textFill>
                  <w14:solidFill>
                    <w14:schemeClr w14:val="tx1"/>
                  </w14:solidFill>
                </w14:textFill>
              </w:rPr>
              <w:t>气象条件</w:t>
            </w:r>
          </w:p>
        </w:tc>
        <w:tc>
          <w:tcPr>
            <w:tcW w:w="1251" w:type="pct"/>
            <w:vAlign w:val="center"/>
          </w:tcPr>
          <w:p w14:paraId="7E062861">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1级毒性终点浓度</w:t>
            </w:r>
          </w:p>
        </w:tc>
        <w:tc>
          <w:tcPr>
            <w:tcW w:w="1250" w:type="pct"/>
            <w:vAlign w:val="center"/>
          </w:tcPr>
          <w:p w14:paraId="4D481303">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251" w:type="pct"/>
            <w:vAlign w:val="center"/>
          </w:tcPr>
          <w:p w14:paraId="610E4B01">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r>
      <w:tr w14:paraId="6B50FA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8" w:type="pct"/>
            <w:vMerge w:val="continue"/>
            <w:vAlign w:val="center"/>
          </w:tcPr>
          <w:p w14:paraId="179B6F11">
            <w:pPr>
              <w:widowControl w:val="0"/>
              <w:adjustRightInd w:val="0"/>
              <w:snapToGrid w:val="0"/>
              <w:jc w:val="center"/>
              <w:rPr>
                <w:rFonts w:ascii="Times New Roman" w:hAnsi="Times New Roman" w:cs="Times New Roman"/>
                <w:color w:val="000000" w:themeColor="text1"/>
                <w:szCs w:val="24"/>
                <w14:textFill>
                  <w14:solidFill>
                    <w14:schemeClr w14:val="tx1"/>
                  </w14:solidFill>
                </w14:textFill>
              </w:rPr>
            </w:pPr>
          </w:p>
        </w:tc>
        <w:tc>
          <w:tcPr>
            <w:tcW w:w="1251" w:type="pct"/>
            <w:vAlign w:val="center"/>
          </w:tcPr>
          <w:p w14:paraId="4100ADC7">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2级毒性终点浓度</w:t>
            </w:r>
          </w:p>
        </w:tc>
        <w:tc>
          <w:tcPr>
            <w:tcW w:w="1250" w:type="pct"/>
            <w:vAlign w:val="center"/>
          </w:tcPr>
          <w:p w14:paraId="52177386">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251" w:type="pct"/>
            <w:vAlign w:val="center"/>
          </w:tcPr>
          <w:p w14:paraId="68B7B96A">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r>
    </w:tbl>
    <w:p w14:paraId="63C0F057">
      <w:pPr>
        <w:widowControl w:val="0"/>
        <w:spacing w:line="360" w:lineRule="auto"/>
        <w:jc w:val="center"/>
        <w:rPr>
          <w:rFonts w:ascii="Times New Roman" w:hAnsi="Times New Roman" w:cs="Times New Roman"/>
          <w:szCs w:val="24"/>
          <w:lang w:eastAsia="zh-CN"/>
        </w:rPr>
      </w:pPr>
      <w:r>
        <w:rPr>
          <w:snapToGrid/>
          <w:lang w:eastAsia="zh-CN"/>
        </w:rPr>
        <w:drawing>
          <wp:anchor distT="0" distB="0" distL="114300" distR="114300" simplePos="0" relativeHeight="251995136" behindDoc="0" locked="0" layoutInCell="1" allowOverlap="1">
            <wp:simplePos x="0" y="0"/>
            <wp:positionH relativeFrom="column">
              <wp:posOffset>5250815</wp:posOffset>
            </wp:positionH>
            <wp:positionV relativeFrom="paragraph">
              <wp:posOffset>41275</wp:posOffset>
            </wp:positionV>
            <wp:extent cx="875030" cy="661670"/>
            <wp:effectExtent l="0" t="0" r="0" b="0"/>
            <wp:wrapNone/>
            <wp:docPr id="1338974459" name="图片 5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974459" name="图片 511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875030" cy="661670"/>
                    </a:xfrm>
                    <a:prstGeom prst="rect">
                      <a:avLst/>
                    </a:prstGeom>
                    <a:noFill/>
                    <a:ln>
                      <a:noFill/>
                    </a:ln>
                  </pic:spPr>
                </pic:pic>
              </a:graphicData>
            </a:graphic>
          </wp:anchor>
        </w:drawing>
      </w:r>
    </w:p>
    <w:p w14:paraId="5F3E34B6">
      <w:pPr>
        <w:widowControl w:val="0"/>
        <w:spacing w:line="360" w:lineRule="auto"/>
        <w:jc w:val="center"/>
        <w:rPr>
          <w:rFonts w:ascii="Times New Roman" w:hAnsi="Times New Roman" w:cs="Times New Roman"/>
          <w:szCs w:val="24"/>
          <w:lang w:eastAsia="zh-CN"/>
        </w:rPr>
      </w:pPr>
      <w:r>
        <w:rPr>
          <w:rFonts w:ascii="Times New Roman" w:hAnsi="Times New Roman" w:cs="Times New Roman"/>
          <w:b/>
          <w:bCs/>
          <w:lang w:eastAsia="zh-CN"/>
        </w:rPr>
        <w:t>图</w:t>
      </w:r>
      <w:r>
        <w:rPr>
          <w:rFonts w:hint="eastAsia" w:ascii="Times New Roman" w:hAnsi="Times New Roman" w:cs="Times New Roman"/>
          <w:b/>
          <w:bCs/>
          <w:lang w:eastAsia="zh-CN"/>
        </w:rPr>
        <w:t>7</w:t>
      </w:r>
      <w:r>
        <w:rPr>
          <w:rFonts w:ascii="Times New Roman" w:hAnsi="Times New Roman" w:cs="Times New Roman"/>
          <w:b/>
          <w:bCs/>
          <w:lang w:eastAsia="zh-CN"/>
        </w:rPr>
        <w:t>.</w:t>
      </w:r>
      <w:r>
        <w:rPr>
          <w:rFonts w:hint="eastAsia" w:ascii="Times New Roman" w:hAnsi="Times New Roman" w:cs="Times New Roman"/>
          <w:b/>
          <w:bCs/>
          <w:lang w:eastAsia="zh-CN"/>
        </w:rPr>
        <w:t>8</w:t>
      </w:r>
      <w:r>
        <w:rPr>
          <w:rFonts w:ascii="Times New Roman" w:hAnsi="Times New Roman" w:cs="Times New Roman"/>
          <w:b/>
          <w:bCs/>
          <w:lang w:eastAsia="zh-CN"/>
        </w:rPr>
        <w:t>-</w:t>
      </w:r>
      <w:r>
        <w:rPr>
          <w:rFonts w:hint="eastAsia" w:ascii="Times New Roman" w:hAnsi="Times New Roman" w:cs="Times New Roman"/>
          <w:b/>
          <w:bCs/>
          <w:lang w:eastAsia="zh-CN"/>
        </w:rPr>
        <w:t>1</w:t>
      </w:r>
      <w:r>
        <w:rPr>
          <w:rFonts w:ascii="Times New Roman" w:hAnsi="Times New Roman" w:cs="Times New Roman"/>
          <w:b/>
          <w:bCs/>
          <w:lang w:eastAsia="zh-CN"/>
        </w:rPr>
        <w:t xml:space="preserve"> 最不利气象条件下</w:t>
      </w:r>
      <w:r>
        <w:rPr>
          <w:rFonts w:hint="eastAsia" w:ascii="Times New Roman" w:hAnsi="Times New Roman" w:cs="Times New Roman"/>
          <w:b/>
          <w:bCs/>
          <w:color w:val="auto"/>
          <w:szCs w:val="24"/>
          <w:lang w:eastAsia="zh-CN"/>
        </w:rPr>
        <w:t>化学纯氢氟酸储罐</w:t>
      </w:r>
      <w:r>
        <w:rPr>
          <w:rFonts w:ascii="Times New Roman" w:hAnsi="Times New Roman" w:cs="Times New Roman"/>
          <w:b/>
          <w:bCs/>
          <w:lang w:eastAsia="zh-CN"/>
        </w:rPr>
        <w:t>泄漏事故危害区域图</w:t>
      </w:r>
    </w:p>
    <w:p w14:paraId="789C1734">
      <w:pPr>
        <w:widowControl w:val="0"/>
        <w:spacing w:line="360" w:lineRule="auto"/>
        <w:jc w:val="center"/>
        <w:rPr>
          <w:rFonts w:ascii="Times New Roman" w:hAnsi="Times New Roman" w:cs="Times New Roman"/>
          <w:b/>
          <w:bCs/>
          <w:lang w:eastAsia="zh-CN"/>
        </w:rPr>
      </w:pPr>
      <w:r>
        <w:rPr>
          <w:snapToGrid/>
          <w:lang w:eastAsia="zh-CN"/>
        </w:rPr>
        <w:drawing>
          <wp:anchor distT="0" distB="0" distL="114300" distR="114300" simplePos="0" relativeHeight="251996160" behindDoc="0" locked="0" layoutInCell="1" allowOverlap="1">
            <wp:simplePos x="0" y="0"/>
            <wp:positionH relativeFrom="column">
              <wp:posOffset>5287010</wp:posOffset>
            </wp:positionH>
            <wp:positionV relativeFrom="paragraph">
              <wp:posOffset>34925</wp:posOffset>
            </wp:positionV>
            <wp:extent cx="875030" cy="661670"/>
            <wp:effectExtent l="0" t="0" r="0" b="0"/>
            <wp:wrapNone/>
            <wp:docPr id="1911891489" name="图片 5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891489" name="图片 511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875030" cy="661670"/>
                    </a:xfrm>
                    <a:prstGeom prst="rect">
                      <a:avLst/>
                    </a:prstGeom>
                    <a:noFill/>
                    <a:ln>
                      <a:noFill/>
                    </a:ln>
                  </pic:spPr>
                </pic:pic>
              </a:graphicData>
            </a:graphic>
          </wp:anchor>
        </w:drawing>
      </w:r>
    </w:p>
    <w:p w14:paraId="7079029B">
      <w:pPr>
        <w:widowControl w:val="0"/>
        <w:spacing w:line="360" w:lineRule="auto"/>
        <w:jc w:val="center"/>
        <w:rPr>
          <w:rFonts w:ascii="Times New Roman" w:hAnsi="Times New Roman" w:cs="Times New Roman"/>
          <w:szCs w:val="24"/>
          <w:lang w:eastAsia="zh-CN"/>
        </w:rPr>
      </w:pPr>
      <w:r>
        <w:rPr>
          <w:rFonts w:ascii="Times New Roman" w:hAnsi="Times New Roman" w:cs="Times New Roman"/>
          <w:b/>
          <w:bCs/>
          <w:lang w:eastAsia="zh-CN"/>
        </w:rPr>
        <w:t>图</w:t>
      </w:r>
      <w:r>
        <w:rPr>
          <w:rFonts w:hint="eastAsia" w:ascii="Times New Roman" w:hAnsi="Times New Roman" w:cs="Times New Roman"/>
          <w:b/>
          <w:bCs/>
          <w:lang w:eastAsia="zh-CN"/>
        </w:rPr>
        <w:t>7</w:t>
      </w:r>
      <w:r>
        <w:rPr>
          <w:rFonts w:ascii="Times New Roman" w:hAnsi="Times New Roman" w:cs="Times New Roman"/>
          <w:b/>
          <w:bCs/>
          <w:lang w:eastAsia="zh-CN"/>
        </w:rPr>
        <w:t>.</w:t>
      </w:r>
      <w:r>
        <w:rPr>
          <w:rFonts w:hint="eastAsia" w:ascii="Times New Roman" w:hAnsi="Times New Roman" w:cs="Times New Roman"/>
          <w:b/>
          <w:bCs/>
          <w:lang w:eastAsia="zh-CN"/>
        </w:rPr>
        <w:t>8</w:t>
      </w:r>
      <w:r>
        <w:rPr>
          <w:rFonts w:ascii="Times New Roman" w:hAnsi="Times New Roman" w:cs="Times New Roman"/>
          <w:b/>
          <w:bCs/>
          <w:lang w:eastAsia="zh-CN"/>
        </w:rPr>
        <w:t>-</w:t>
      </w:r>
      <w:r>
        <w:rPr>
          <w:rFonts w:hint="eastAsia" w:ascii="Times New Roman" w:hAnsi="Times New Roman" w:cs="Times New Roman"/>
          <w:b/>
          <w:bCs/>
          <w:lang w:eastAsia="zh-CN"/>
        </w:rPr>
        <w:t>2</w:t>
      </w:r>
      <w:r>
        <w:rPr>
          <w:rFonts w:ascii="Times New Roman" w:hAnsi="Times New Roman" w:cs="Times New Roman"/>
          <w:b/>
          <w:bCs/>
          <w:lang w:eastAsia="zh-CN"/>
        </w:rPr>
        <w:t xml:space="preserve"> 最</w:t>
      </w:r>
      <w:r>
        <w:rPr>
          <w:rFonts w:hint="eastAsia" w:ascii="Times New Roman" w:hAnsi="Times New Roman" w:cs="Times New Roman"/>
          <w:b/>
          <w:bCs/>
          <w:lang w:eastAsia="zh-CN"/>
        </w:rPr>
        <w:t>常见</w:t>
      </w:r>
      <w:r>
        <w:rPr>
          <w:rFonts w:ascii="Times New Roman" w:hAnsi="Times New Roman" w:cs="Times New Roman"/>
          <w:b/>
          <w:bCs/>
          <w:lang w:eastAsia="zh-CN"/>
        </w:rPr>
        <w:t>气象条件下</w:t>
      </w:r>
      <w:r>
        <w:rPr>
          <w:rFonts w:hint="eastAsia" w:ascii="Times New Roman" w:hAnsi="Times New Roman" w:cs="Times New Roman"/>
          <w:b/>
          <w:bCs/>
          <w:color w:val="auto"/>
          <w:szCs w:val="24"/>
          <w:lang w:eastAsia="zh-CN"/>
        </w:rPr>
        <w:t>化学纯氢氟酸储罐</w:t>
      </w:r>
      <w:r>
        <w:rPr>
          <w:rFonts w:ascii="Times New Roman" w:hAnsi="Times New Roman" w:cs="Times New Roman"/>
          <w:b/>
          <w:bCs/>
          <w:lang w:eastAsia="zh-CN"/>
        </w:rPr>
        <w:t>泄漏事故危害区域图</w:t>
      </w:r>
    </w:p>
    <w:p w14:paraId="0252EC50">
      <w:pPr>
        <w:widowControl w:val="0"/>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sectPr>
          <w:pgSz w:w="11906" w:h="16838"/>
          <w:pgMar w:top="1440" w:right="1080" w:bottom="1440" w:left="1080" w:header="851" w:footer="992" w:gutter="0"/>
          <w:cols w:space="720" w:num="1"/>
          <w:docGrid w:type="lines" w:linePitch="312" w:charSpace="0"/>
        </w:sectPr>
      </w:pPr>
    </w:p>
    <w:p w14:paraId="77E9339A">
      <w:pPr>
        <w:widowControl w:val="0"/>
        <w:spacing w:line="360" w:lineRule="auto"/>
        <w:jc w:val="center"/>
        <w:rPr>
          <w:rFonts w:ascii="Times New Roman" w:hAnsi="Times New Roman" w:cs="Times New Roman"/>
          <w:b/>
          <w:bCs/>
          <w:lang w:eastAsia="zh-CN"/>
        </w:rPr>
      </w:pPr>
      <w:r>
        <w:rPr>
          <w:rFonts w:ascii="Times New Roman" w:hAnsi="Times New Roman" w:cs="Times New Roman"/>
          <w:b/>
          <w:bCs/>
          <w:lang w:eastAsia="zh-CN"/>
        </w:rPr>
        <w:t>表</w:t>
      </w:r>
      <w:r>
        <w:rPr>
          <w:rFonts w:hint="eastAsia" w:ascii="Times New Roman" w:hAnsi="Times New Roman" w:cs="Times New Roman"/>
          <w:b/>
          <w:bCs/>
          <w:lang w:eastAsia="zh-CN"/>
        </w:rPr>
        <w:t>7</w:t>
      </w:r>
      <w:r>
        <w:rPr>
          <w:rFonts w:ascii="Times New Roman" w:hAnsi="Times New Roman" w:cs="Times New Roman"/>
          <w:b/>
          <w:bCs/>
          <w:lang w:eastAsia="zh-CN"/>
        </w:rPr>
        <w:t>.</w:t>
      </w:r>
      <w:r>
        <w:rPr>
          <w:rFonts w:hint="eastAsia" w:ascii="Times New Roman" w:hAnsi="Times New Roman" w:cs="Times New Roman"/>
          <w:b/>
          <w:bCs/>
          <w:lang w:eastAsia="zh-CN"/>
        </w:rPr>
        <w:t>8</w:t>
      </w:r>
      <w:r>
        <w:rPr>
          <w:rFonts w:ascii="Times New Roman" w:hAnsi="Times New Roman" w:cs="Times New Roman"/>
          <w:b/>
          <w:bCs/>
          <w:lang w:eastAsia="zh-CN"/>
        </w:rPr>
        <w:t>-</w:t>
      </w:r>
      <w:r>
        <w:rPr>
          <w:rFonts w:hint="eastAsia" w:ascii="Times New Roman" w:hAnsi="Times New Roman" w:cs="Times New Roman"/>
          <w:b/>
          <w:bCs/>
          <w:lang w:eastAsia="zh-CN"/>
        </w:rPr>
        <w:t>5</w:t>
      </w:r>
      <w:r>
        <w:rPr>
          <w:rFonts w:ascii="Times New Roman" w:hAnsi="Times New Roman" w:cs="Times New Roman"/>
          <w:b/>
          <w:bCs/>
          <w:lang w:eastAsia="zh-CN"/>
        </w:rPr>
        <w:t xml:space="preserve"> </w:t>
      </w:r>
      <w:r>
        <w:rPr>
          <w:rFonts w:hint="eastAsia" w:ascii="Times New Roman" w:hAnsi="Times New Roman" w:cs="Times New Roman"/>
          <w:b/>
          <w:bCs/>
          <w:lang w:eastAsia="zh-CN"/>
        </w:rPr>
        <w:t xml:space="preserve"> </w:t>
      </w:r>
      <w:r>
        <w:rPr>
          <w:rFonts w:ascii="Times New Roman" w:hAnsi="Times New Roman" w:cs="Times New Roman"/>
          <w:b/>
          <w:bCs/>
          <w:szCs w:val="24"/>
          <w:lang w:eastAsia="zh-CN"/>
        </w:rPr>
        <w:t>化学纯氢氟酸储罐</w:t>
      </w:r>
      <w:r>
        <w:rPr>
          <w:rFonts w:ascii="Times New Roman" w:hAnsi="Times New Roman" w:cs="Times New Roman"/>
          <w:b/>
          <w:bCs/>
          <w:lang w:eastAsia="zh-CN"/>
        </w:rPr>
        <w:t>泄漏</w:t>
      </w:r>
      <w:r>
        <w:rPr>
          <w:rFonts w:hint="eastAsia" w:ascii="Times New Roman" w:hAnsi="Times New Roman" w:cs="Times New Roman"/>
          <w:b/>
          <w:bCs/>
          <w:lang w:eastAsia="zh-CN"/>
        </w:rPr>
        <w:t>事故</w:t>
      </w:r>
      <w:r>
        <w:rPr>
          <w:rFonts w:ascii="Times New Roman" w:hAnsi="Times New Roman" w:cs="Times New Roman"/>
          <w:b/>
          <w:bCs/>
          <w:lang w:eastAsia="zh-CN"/>
        </w:rPr>
        <w:t>各关心点浓度随时间变化情况一览表（数据单位：ug/m</w:t>
      </w:r>
      <w:r>
        <w:rPr>
          <w:rFonts w:ascii="Times New Roman" w:hAnsi="Times New Roman" w:cs="Times New Roman"/>
          <w:b/>
          <w:bCs/>
          <w:vertAlign w:val="superscript"/>
          <w:lang w:eastAsia="zh-CN"/>
        </w:rPr>
        <w:t>3</w:t>
      </w:r>
      <w:r>
        <w:rPr>
          <w:rFonts w:ascii="Times New Roman" w:hAnsi="Times New Roman" w:cs="Times New Roman"/>
          <w:b/>
          <w:bCs/>
          <w:lang w:eastAsia="zh-CN"/>
        </w:rPr>
        <w:t>）</w:t>
      </w:r>
    </w:p>
    <w:tbl>
      <w:tblPr>
        <w:tblStyle w:val="35"/>
        <w:tblW w:w="5001"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1447"/>
        <w:gridCol w:w="1428"/>
        <w:gridCol w:w="774"/>
        <w:gridCol w:w="774"/>
        <w:gridCol w:w="774"/>
        <w:gridCol w:w="774"/>
        <w:gridCol w:w="774"/>
        <w:gridCol w:w="774"/>
        <w:gridCol w:w="774"/>
        <w:gridCol w:w="774"/>
        <w:gridCol w:w="773"/>
        <w:gridCol w:w="773"/>
        <w:gridCol w:w="773"/>
        <w:gridCol w:w="771"/>
        <w:gridCol w:w="773"/>
      </w:tblGrid>
      <w:tr w14:paraId="40D5A7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69" w:type="pct"/>
            <w:noWrap/>
            <w:vAlign w:val="center"/>
          </w:tcPr>
          <w:p w14:paraId="486DA2A4">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气象条件</w:t>
            </w:r>
          </w:p>
        </w:tc>
        <w:tc>
          <w:tcPr>
            <w:tcW w:w="518" w:type="pct"/>
            <w:noWrap/>
            <w:vAlign w:val="center"/>
          </w:tcPr>
          <w:p w14:paraId="3105459F">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名称</w:t>
            </w:r>
          </w:p>
        </w:tc>
        <w:tc>
          <w:tcPr>
            <w:tcW w:w="511" w:type="pct"/>
            <w:noWrap/>
            <w:vAlign w:val="center"/>
          </w:tcPr>
          <w:p w14:paraId="324CA8A6">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最大浓度|时间(min)</w:t>
            </w:r>
          </w:p>
        </w:tc>
        <w:tc>
          <w:tcPr>
            <w:tcW w:w="277" w:type="pct"/>
            <w:noWrap/>
            <w:vAlign w:val="center"/>
          </w:tcPr>
          <w:p w14:paraId="41EEB183">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5min</w:t>
            </w:r>
          </w:p>
        </w:tc>
        <w:tc>
          <w:tcPr>
            <w:tcW w:w="277" w:type="pct"/>
            <w:noWrap/>
            <w:vAlign w:val="center"/>
          </w:tcPr>
          <w:p w14:paraId="7D1CB3D2">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15</w:t>
            </w:r>
          </w:p>
          <w:p w14:paraId="512B7932">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min</w:t>
            </w:r>
          </w:p>
        </w:tc>
        <w:tc>
          <w:tcPr>
            <w:tcW w:w="277" w:type="pct"/>
            <w:noWrap/>
            <w:vAlign w:val="center"/>
          </w:tcPr>
          <w:p w14:paraId="0BD56163">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25</w:t>
            </w:r>
          </w:p>
          <w:p w14:paraId="1405CDDD">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min</w:t>
            </w:r>
          </w:p>
        </w:tc>
        <w:tc>
          <w:tcPr>
            <w:tcW w:w="277" w:type="pct"/>
            <w:noWrap/>
            <w:vAlign w:val="center"/>
          </w:tcPr>
          <w:p w14:paraId="3DB741EB">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35</w:t>
            </w:r>
          </w:p>
          <w:p w14:paraId="3A68BBC6">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min</w:t>
            </w:r>
          </w:p>
        </w:tc>
        <w:tc>
          <w:tcPr>
            <w:tcW w:w="277" w:type="pct"/>
            <w:noWrap/>
            <w:vAlign w:val="center"/>
          </w:tcPr>
          <w:p w14:paraId="5EF867E1">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45</w:t>
            </w:r>
          </w:p>
          <w:p w14:paraId="7AB6117B">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min</w:t>
            </w:r>
          </w:p>
        </w:tc>
        <w:tc>
          <w:tcPr>
            <w:tcW w:w="277" w:type="pct"/>
            <w:noWrap/>
            <w:vAlign w:val="center"/>
          </w:tcPr>
          <w:p w14:paraId="35C9875B">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55</w:t>
            </w:r>
          </w:p>
          <w:p w14:paraId="0F5A88A6">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min</w:t>
            </w:r>
          </w:p>
        </w:tc>
        <w:tc>
          <w:tcPr>
            <w:tcW w:w="277" w:type="pct"/>
            <w:noWrap/>
            <w:vAlign w:val="center"/>
          </w:tcPr>
          <w:p w14:paraId="1F3912F0">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65</w:t>
            </w:r>
          </w:p>
          <w:p w14:paraId="6B98315D">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min</w:t>
            </w:r>
          </w:p>
        </w:tc>
        <w:tc>
          <w:tcPr>
            <w:tcW w:w="277" w:type="pct"/>
            <w:noWrap/>
            <w:vAlign w:val="center"/>
          </w:tcPr>
          <w:p w14:paraId="48AAB51F">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75</w:t>
            </w:r>
          </w:p>
          <w:p w14:paraId="57F3354F">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min</w:t>
            </w:r>
          </w:p>
        </w:tc>
        <w:tc>
          <w:tcPr>
            <w:tcW w:w="277" w:type="pct"/>
            <w:noWrap/>
            <w:vAlign w:val="center"/>
          </w:tcPr>
          <w:p w14:paraId="285109BE">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85</w:t>
            </w:r>
          </w:p>
          <w:p w14:paraId="47EF8308">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min</w:t>
            </w:r>
          </w:p>
        </w:tc>
        <w:tc>
          <w:tcPr>
            <w:tcW w:w="277" w:type="pct"/>
            <w:noWrap/>
            <w:vAlign w:val="center"/>
          </w:tcPr>
          <w:p w14:paraId="4A82AEE9">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95</w:t>
            </w:r>
          </w:p>
          <w:p w14:paraId="127CF4CB">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min</w:t>
            </w:r>
          </w:p>
        </w:tc>
        <w:tc>
          <w:tcPr>
            <w:tcW w:w="277" w:type="pct"/>
            <w:noWrap/>
            <w:vAlign w:val="center"/>
          </w:tcPr>
          <w:p w14:paraId="5EC7C28C">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105</w:t>
            </w:r>
          </w:p>
          <w:p w14:paraId="307F548B">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min</w:t>
            </w:r>
          </w:p>
        </w:tc>
        <w:tc>
          <w:tcPr>
            <w:tcW w:w="276" w:type="pct"/>
            <w:noWrap/>
            <w:vAlign w:val="center"/>
          </w:tcPr>
          <w:p w14:paraId="1FDB309D">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115</w:t>
            </w:r>
          </w:p>
          <w:p w14:paraId="36E4C1E4">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min</w:t>
            </w:r>
          </w:p>
        </w:tc>
        <w:tc>
          <w:tcPr>
            <w:tcW w:w="277" w:type="pct"/>
            <w:noWrap/>
            <w:vAlign w:val="center"/>
          </w:tcPr>
          <w:p w14:paraId="00EF0CEB">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120</w:t>
            </w:r>
          </w:p>
          <w:p w14:paraId="6DCF329D">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min</w:t>
            </w:r>
          </w:p>
        </w:tc>
      </w:tr>
      <w:tr w14:paraId="1CDCDA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69" w:type="pct"/>
            <w:vMerge w:val="restart"/>
            <w:noWrap/>
            <w:vAlign w:val="center"/>
          </w:tcPr>
          <w:p w14:paraId="5F84BF50">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最不利气象条件</w:t>
            </w:r>
          </w:p>
        </w:tc>
        <w:tc>
          <w:tcPr>
            <w:tcW w:w="518" w:type="pct"/>
            <w:noWrap/>
            <w:vAlign w:val="center"/>
          </w:tcPr>
          <w:p w14:paraId="02AC3B2E">
            <w:pPr>
              <w:jc w:val="center"/>
              <w:textAlignment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大柏村</w:t>
            </w:r>
          </w:p>
        </w:tc>
        <w:tc>
          <w:tcPr>
            <w:tcW w:w="511" w:type="pct"/>
            <w:noWrap/>
            <w:vAlign w:val="center"/>
          </w:tcPr>
          <w:p w14:paraId="24670265">
            <w:pPr>
              <w:jc w:val="center"/>
              <w:textAlignment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bidi="ar"/>
                <w14:textFill>
                  <w14:solidFill>
                    <w14:schemeClr w14:val="tx1"/>
                  </w14:solidFill>
                </w14:textFill>
              </w:rPr>
              <w:t>0.00E+00|5</w:t>
            </w:r>
          </w:p>
        </w:tc>
        <w:tc>
          <w:tcPr>
            <w:tcW w:w="277" w:type="pct"/>
            <w:noWrap/>
            <w:vAlign w:val="center"/>
          </w:tcPr>
          <w:p w14:paraId="1ED39664">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363D3F90">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66BC4ADB">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6090A1B4">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279850AE">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195BF855">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7852958A">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133FC5F9">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109A983C">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15CEE0CF">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3C9322B7">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noWrap/>
            <w:vAlign w:val="center"/>
          </w:tcPr>
          <w:p w14:paraId="73A7A530">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0179130F">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r>
      <w:tr w14:paraId="377E78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69" w:type="pct"/>
            <w:vMerge w:val="continue"/>
            <w:noWrap/>
            <w:vAlign w:val="center"/>
          </w:tcPr>
          <w:p w14:paraId="6A12C60C">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18" w:type="pct"/>
            <w:noWrap/>
            <w:vAlign w:val="center"/>
          </w:tcPr>
          <w:p w14:paraId="6D44B131">
            <w:pPr>
              <w:jc w:val="center"/>
              <w:textAlignment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草杨村</w:t>
            </w:r>
          </w:p>
        </w:tc>
        <w:tc>
          <w:tcPr>
            <w:tcW w:w="511" w:type="pct"/>
            <w:noWrap/>
            <w:vAlign w:val="center"/>
          </w:tcPr>
          <w:p w14:paraId="7F4EA826">
            <w:pPr>
              <w:jc w:val="center"/>
              <w:textAlignment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bidi="ar"/>
                <w14:textFill>
                  <w14:solidFill>
                    <w14:schemeClr w14:val="tx1"/>
                  </w14:solidFill>
                </w14:textFill>
              </w:rPr>
              <w:t>0.00E+00|5</w:t>
            </w:r>
          </w:p>
        </w:tc>
        <w:tc>
          <w:tcPr>
            <w:tcW w:w="277" w:type="pct"/>
            <w:noWrap/>
            <w:vAlign w:val="center"/>
          </w:tcPr>
          <w:p w14:paraId="0795A3AF">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12B51704">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4840AEE6">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74827B1A">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4CB99492">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06859642">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4DE2270F">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7801566B">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665D3D41">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2203E685">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0AAF321E">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noWrap/>
            <w:vAlign w:val="center"/>
          </w:tcPr>
          <w:p w14:paraId="7E226C68">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09A5C4E0">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r>
      <w:tr w14:paraId="682427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69" w:type="pct"/>
            <w:vMerge w:val="continue"/>
            <w:noWrap/>
            <w:vAlign w:val="center"/>
          </w:tcPr>
          <w:p w14:paraId="08D665F9">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18" w:type="pct"/>
            <w:noWrap/>
            <w:vAlign w:val="center"/>
          </w:tcPr>
          <w:p w14:paraId="2412A546">
            <w:pPr>
              <w:jc w:val="center"/>
              <w:textAlignment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大柏小学</w:t>
            </w:r>
          </w:p>
        </w:tc>
        <w:tc>
          <w:tcPr>
            <w:tcW w:w="511" w:type="pct"/>
            <w:noWrap/>
            <w:vAlign w:val="center"/>
          </w:tcPr>
          <w:p w14:paraId="7A5B4186">
            <w:pPr>
              <w:jc w:val="center"/>
              <w:textAlignment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bidi="ar"/>
                <w14:textFill>
                  <w14:solidFill>
                    <w14:schemeClr w14:val="tx1"/>
                  </w14:solidFill>
                </w14:textFill>
              </w:rPr>
              <w:t>0.00E+00|5</w:t>
            </w:r>
          </w:p>
        </w:tc>
        <w:tc>
          <w:tcPr>
            <w:tcW w:w="277" w:type="pct"/>
            <w:noWrap/>
            <w:vAlign w:val="center"/>
          </w:tcPr>
          <w:p w14:paraId="19ED9C61">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4B9501E4">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2E765AB3">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0D825AD3">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5CE3034D">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0C029916">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5AB79AFC">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50C1A603">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300AB395">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25982396">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5899FDC5">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noWrap/>
            <w:vAlign w:val="center"/>
          </w:tcPr>
          <w:p w14:paraId="26A944F6">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46C75567">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r>
      <w:tr w14:paraId="6D5F7B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69" w:type="pct"/>
            <w:vMerge w:val="continue"/>
            <w:noWrap/>
            <w:vAlign w:val="center"/>
          </w:tcPr>
          <w:p w14:paraId="3700FBC6">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18" w:type="pct"/>
            <w:noWrap/>
            <w:vAlign w:val="center"/>
          </w:tcPr>
          <w:p w14:paraId="3BC79B85">
            <w:pPr>
              <w:jc w:val="center"/>
              <w:textAlignment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夏家湖</w:t>
            </w:r>
          </w:p>
        </w:tc>
        <w:tc>
          <w:tcPr>
            <w:tcW w:w="511" w:type="pct"/>
            <w:noWrap/>
            <w:vAlign w:val="center"/>
          </w:tcPr>
          <w:p w14:paraId="73A61248">
            <w:pPr>
              <w:jc w:val="center"/>
              <w:textAlignment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bidi="ar"/>
                <w14:textFill>
                  <w14:solidFill>
                    <w14:schemeClr w14:val="tx1"/>
                  </w14:solidFill>
                </w14:textFill>
              </w:rPr>
              <w:t>0.00E+00|5</w:t>
            </w:r>
          </w:p>
        </w:tc>
        <w:tc>
          <w:tcPr>
            <w:tcW w:w="277" w:type="pct"/>
            <w:noWrap/>
            <w:vAlign w:val="center"/>
          </w:tcPr>
          <w:p w14:paraId="4518539C">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514C6076">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7A1D7212">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56AE0942">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6DA61864">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1802B85B">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3B6730A2">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00C18BD3">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1C1DD062">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3ECFF1F4">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4A820561">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noWrap/>
            <w:vAlign w:val="center"/>
          </w:tcPr>
          <w:p w14:paraId="79153366">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3D61D61A">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r>
      <w:tr w14:paraId="60A364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369" w:type="pct"/>
            <w:vMerge w:val="continue"/>
            <w:noWrap/>
            <w:vAlign w:val="center"/>
          </w:tcPr>
          <w:p w14:paraId="6F62B4CA">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18" w:type="pct"/>
            <w:noWrap/>
            <w:vAlign w:val="center"/>
          </w:tcPr>
          <w:p w14:paraId="38BEA670">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高王家</w:t>
            </w:r>
          </w:p>
        </w:tc>
        <w:tc>
          <w:tcPr>
            <w:tcW w:w="511" w:type="pct"/>
            <w:noWrap/>
          </w:tcPr>
          <w:p w14:paraId="0503F6AD">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lang w:eastAsia="zh-CN" w:bidi="ar"/>
                <w14:textFill>
                  <w14:solidFill>
                    <w14:schemeClr w14:val="tx1"/>
                  </w14:solidFill>
                </w14:textFill>
              </w:rPr>
              <w:t>0.00E+00|5</w:t>
            </w:r>
          </w:p>
        </w:tc>
        <w:tc>
          <w:tcPr>
            <w:tcW w:w="277" w:type="pct"/>
            <w:noWrap/>
            <w:vAlign w:val="center"/>
          </w:tcPr>
          <w:p w14:paraId="041AF21D">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18C6FCE8">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24E116DE">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6A36FA2B">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A283450">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36BC218">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6801F52C">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2E278CC0">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3E4F6D94">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082B99B7">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0BB4B7E2">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6" w:type="pct"/>
            <w:noWrap/>
            <w:vAlign w:val="center"/>
          </w:tcPr>
          <w:p w14:paraId="2EFF07A2">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08D4A3FA">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r>
      <w:tr w14:paraId="6ABA28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369" w:type="pct"/>
            <w:vMerge w:val="continue"/>
            <w:noWrap/>
            <w:vAlign w:val="center"/>
          </w:tcPr>
          <w:p w14:paraId="3B1FE7B0">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18" w:type="pct"/>
            <w:noWrap/>
            <w:vAlign w:val="center"/>
          </w:tcPr>
          <w:p w14:paraId="52081830">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三铺中学</w:t>
            </w:r>
          </w:p>
        </w:tc>
        <w:tc>
          <w:tcPr>
            <w:tcW w:w="511" w:type="pct"/>
            <w:noWrap/>
          </w:tcPr>
          <w:p w14:paraId="1B94CDB2">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lang w:eastAsia="zh-CN" w:bidi="ar"/>
                <w14:textFill>
                  <w14:solidFill>
                    <w14:schemeClr w14:val="tx1"/>
                  </w14:solidFill>
                </w14:textFill>
              </w:rPr>
              <w:t>0.00E+00|5</w:t>
            </w:r>
          </w:p>
        </w:tc>
        <w:tc>
          <w:tcPr>
            <w:tcW w:w="277" w:type="pct"/>
            <w:noWrap/>
            <w:vAlign w:val="center"/>
          </w:tcPr>
          <w:p w14:paraId="36A3DA7D">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4701C96C">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2A99102C">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4D0E3CF4">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364535BB">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182B1FA7">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4969FF8B">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027D41FB">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1A58DC6E">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E0D1BD0">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37F0DFB7">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6" w:type="pct"/>
            <w:noWrap/>
            <w:vAlign w:val="center"/>
          </w:tcPr>
          <w:p w14:paraId="2EC35190">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161CD23D">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r>
      <w:tr w14:paraId="79413E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369" w:type="pct"/>
            <w:vMerge w:val="continue"/>
            <w:noWrap/>
            <w:vAlign w:val="center"/>
          </w:tcPr>
          <w:p w14:paraId="1587F476">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18" w:type="pct"/>
            <w:noWrap/>
            <w:vAlign w:val="center"/>
          </w:tcPr>
          <w:p w14:paraId="1BBA13D5">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杜家湖</w:t>
            </w:r>
          </w:p>
        </w:tc>
        <w:tc>
          <w:tcPr>
            <w:tcW w:w="511" w:type="pct"/>
            <w:noWrap/>
          </w:tcPr>
          <w:p w14:paraId="4C97985D">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lang w:eastAsia="zh-CN" w:bidi="ar"/>
                <w14:textFill>
                  <w14:solidFill>
                    <w14:schemeClr w14:val="tx1"/>
                  </w14:solidFill>
                </w14:textFill>
              </w:rPr>
              <w:t>0.00E+00|5</w:t>
            </w:r>
          </w:p>
        </w:tc>
        <w:tc>
          <w:tcPr>
            <w:tcW w:w="277" w:type="pct"/>
            <w:noWrap/>
            <w:vAlign w:val="center"/>
          </w:tcPr>
          <w:p w14:paraId="6EBCF449">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61F47FD1">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7BD852F5">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34F37FA2">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7C7442CA">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13333087">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2DD9694F">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08A9D35E">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761E848D">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0BD01966">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496B216A">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6" w:type="pct"/>
            <w:noWrap/>
            <w:vAlign w:val="center"/>
          </w:tcPr>
          <w:p w14:paraId="2DEDC4AA">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159E697B">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r>
      <w:tr w14:paraId="41DF71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369" w:type="pct"/>
            <w:vMerge w:val="restart"/>
            <w:noWrap/>
            <w:vAlign w:val="center"/>
          </w:tcPr>
          <w:p w14:paraId="64B19D2B">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最</w:t>
            </w:r>
            <w:r>
              <w:rPr>
                <w:rFonts w:hint="eastAsia" w:ascii="Times New Roman" w:hAnsi="Times New Roman" w:cs="Times New Roman"/>
                <w:color w:val="000000" w:themeColor="text1"/>
                <w:sz w:val="21"/>
                <w:lang w:eastAsia="zh-CN"/>
                <w14:textFill>
                  <w14:solidFill>
                    <w14:schemeClr w14:val="tx1"/>
                  </w14:solidFill>
                </w14:textFill>
              </w:rPr>
              <w:t>常见</w:t>
            </w:r>
            <w:r>
              <w:rPr>
                <w:rFonts w:ascii="Times New Roman" w:hAnsi="Times New Roman" w:cs="Times New Roman"/>
                <w:color w:val="000000" w:themeColor="text1"/>
                <w:sz w:val="21"/>
                <w:lang w:eastAsia="zh-CN"/>
                <w14:textFill>
                  <w14:solidFill>
                    <w14:schemeClr w14:val="tx1"/>
                  </w14:solidFill>
                </w14:textFill>
              </w:rPr>
              <w:t>气象条件</w:t>
            </w:r>
          </w:p>
        </w:tc>
        <w:tc>
          <w:tcPr>
            <w:tcW w:w="518" w:type="pct"/>
            <w:noWrap/>
            <w:vAlign w:val="center"/>
          </w:tcPr>
          <w:p w14:paraId="0CE76B18">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大柏村</w:t>
            </w:r>
          </w:p>
        </w:tc>
        <w:tc>
          <w:tcPr>
            <w:tcW w:w="511" w:type="pct"/>
            <w:noWrap/>
            <w:vAlign w:val="center"/>
          </w:tcPr>
          <w:p w14:paraId="25041D7C">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lang w:eastAsia="zh-CN" w:bidi="ar"/>
                <w14:textFill>
                  <w14:solidFill>
                    <w14:schemeClr w14:val="tx1"/>
                  </w14:solidFill>
                </w14:textFill>
              </w:rPr>
              <w:t>0.00E+00|5</w:t>
            </w:r>
          </w:p>
        </w:tc>
        <w:tc>
          <w:tcPr>
            <w:tcW w:w="277" w:type="pct"/>
            <w:noWrap/>
            <w:vAlign w:val="center"/>
          </w:tcPr>
          <w:p w14:paraId="29EBE681">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9F6AF24">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67A9CE78">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7862BBFD">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7ED2D669">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797883EF">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1F6A6987">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05F23B4">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6CE98B0D">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68869AF">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4A4B3112">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6" w:type="pct"/>
            <w:noWrap/>
            <w:vAlign w:val="center"/>
          </w:tcPr>
          <w:p w14:paraId="41A658DB">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25AB90D1">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r>
      <w:tr w14:paraId="7609E3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369" w:type="pct"/>
            <w:vMerge w:val="continue"/>
            <w:noWrap/>
            <w:vAlign w:val="center"/>
          </w:tcPr>
          <w:p w14:paraId="341D9114">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18" w:type="pct"/>
            <w:noWrap/>
            <w:vAlign w:val="center"/>
          </w:tcPr>
          <w:p w14:paraId="6D536A4E">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草杨村</w:t>
            </w:r>
          </w:p>
        </w:tc>
        <w:tc>
          <w:tcPr>
            <w:tcW w:w="511" w:type="pct"/>
            <w:noWrap/>
            <w:vAlign w:val="center"/>
          </w:tcPr>
          <w:p w14:paraId="34221B76">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lang w:eastAsia="zh-CN" w:bidi="ar"/>
                <w14:textFill>
                  <w14:solidFill>
                    <w14:schemeClr w14:val="tx1"/>
                  </w14:solidFill>
                </w14:textFill>
              </w:rPr>
              <w:t>0.00E+00|5</w:t>
            </w:r>
          </w:p>
        </w:tc>
        <w:tc>
          <w:tcPr>
            <w:tcW w:w="277" w:type="pct"/>
            <w:noWrap/>
            <w:vAlign w:val="center"/>
          </w:tcPr>
          <w:p w14:paraId="1B8451B7">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3E3F96C6">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2887F3BC">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029E49EB">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0D866EF3">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795B2B0E">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398FB392">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8E8A8B3">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709CD1DC">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4B2BE845">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6E7A88F0">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6" w:type="pct"/>
            <w:noWrap/>
            <w:vAlign w:val="center"/>
          </w:tcPr>
          <w:p w14:paraId="6DE45246">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6B3547A1">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r>
      <w:tr w14:paraId="6D0C86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369" w:type="pct"/>
            <w:vMerge w:val="continue"/>
            <w:noWrap/>
            <w:vAlign w:val="center"/>
          </w:tcPr>
          <w:p w14:paraId="746D4503">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18" w:type="pct"/>
            <w:noWrap/>
            <w:vAlign w:val="center"/>
          </w:tcPr>
          <w:p w14:paraId="1EFD7B9A">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大柏小学</w:t>
            </w:r>
          </w:p>
        </w:tc>
        <w:tc>
          <w:tcPr>
            <w:tcW w:w="511" w:type="pct"/>
            <w:noWrap/>
            <w:vAlign w:val="center"/>
          </w:tcPr>
          <w:p w14:paraId="7D7B91FE">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lang w:eastAsia="zh-CN" w:bidi="ar"/>
                <w14:textFill>
                  <w14:solidFill>
                    <w14:schemeClr w14:val="tx1"/>
                  </w14:solidFill>
                </w14:textFill>
              </w:rPr>
              <w:t>0.00E+00|5</w:t>
            </w:r>
          </w:p>
        </w:tc>
        <w:tc>
          <w:tcPr>
            <w:tcW w:w="277" w:type="pct"/>
            <w:noWrap/>
            <w:vAlign w:val="center"/>
          </w:tcPr>
          <w:p w14:paraId="089CAF51">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7DFE7B95">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26D7F612">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4607DC97">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36A674B5">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2AD81427">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3E89F230">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4D1CE2FE">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683D1605">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0A829F4D">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0260C83">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6" w:type="pct"/>
            <w:noWrap/>
            <w:vAlign w:val="center"/>
          </w:tcPr>
          <w:p w14:paraId="5EBAD8A0">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41156690">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r>
      <w:tr w14:paraId="1D8848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369" w:type="pct"/>
            <w:vMerge w:val="continue"/>
            <w:noWrap/>
            <w:vAlign w:val="center"/>
          </w:tcPr>
          <w:p w14:paraId="149063FF">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18" w:type="pct"/>
            <w:noWrap/>
            <w:vAlign w:val="center"/>
          </w:tcPr>
          <w:p w14:paraId="0258E769">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夏家湖</w:t>
            </w:r>
          </w:p>
        </w:tc>
        <w:tc>
          <w:tcPr>
            <w:tcW w:w="511" w:type="pct"/>
            <w:noWrap/>
            <w:vAlign w:val="center"/>
          </w:tcPr>
          <w:p w14:paraId="27B25C58">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lang w:eastAsia="zh-CN" w:bidi="ar"/>
                <w14:textFill>
                  <w14:solidFill>
                    <w14:schemeClr w14:val="tx1"/>
                  </w14:solidFill>
                </w14:textFill>
              </w:rPr>
              <w:t>0.00E+00|5</w:t>
            </w:r>
          </w:p>
        </w:tc>
        <w:tc>
          <w:tcPr>
            <w:tcW w:w="277" w:type="pct"/>
            <w:noWrap/>
            <w:vAlign w:val="center"/>
          </w:tcPr>
          <w:p w14:paraId="008D7477">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4DB9B134">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67CFE5AA">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2DAAA4E4">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06849B85">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284EE4E1">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75AF61FA">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644EB6A5">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3AC1B77A">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34A88D80">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41493A99">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6" w:type="pct"/>
            <w:noWrap/>
            <w:vAlign w:val="center"/>
          </w:tcPr>
          <w:p w14:paraId="3159C3EB">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BBDDB05">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r>
      <w:tr w14:paraId="00EBAF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369" w:type="pct"/>
            <w:vMerge w:val="continue"/>
            <w:noWrap/>
            <w:vAlign w:val="center"/>
          </w:tcPr>
          <w:p w14:paraId="1040F085">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18" w:type="pct"/>
            <w:noWrap/>
            <w:vAlign w:val="center"/>
          </w:tcPr>
          <w:p w14:paraId="2657D0F8">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高王家</w:t>
            </w:r>
          </w:p>
        </w:tc>
        <w:tc>
          <w:tcPr>
            <w:tcW w:w="511" w:type="pct"/>
            <w:noWrap/>
            <w:vAlign w:val="center"/>
          </w:tcPr>
          <w:p w14:paraId="11F88BD8">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lang w:eastAsia="zh-CN" w:bidi="ar"/>
                <w14:textFill>
                  <w14:solidFill>
                    <w14:schemeClr w14:val="tx1"/>
                  </w14:solidFill>
                </w14:textFill>
              </w:rPr>
              <w:t>0.00E+00|5</w:t>
            </w:r>
          </w:p>
        </w:tc>
        <w:tc>
          <w:tcPr>
            <w:tcW w:w="277" w:type="pct"/>
            <w:noWrap/>
            <w:vAlign w:val="center"/>
          </w:tcPr>
          <w:p w14:paraId="07199778">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7BD47A55">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2166015F">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614F61F7">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3D6E335F">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47B599E7">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1CDE1D52">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10178392">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711F3507">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5424833">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6AD8B3B4">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6" w:type="pct"/>
            <w:noWrap/>
            <w:vAlign w:val="center"/>
          </w:tcPr>
          <w:p w14:paraId="1672DECE">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4FDA3337">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r>
      <w:tr w14:paraId="2BDE49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369" w:type="pct"/>
            <w:vMerge w:val="continue"/>
            <w:noWrap/>
            <w:vAlign w:val="center"/>
          </w:tcPr>
          <w:p w14:paraId="6CB9B31E">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18" w:type="pct"/>
            <w:noWrap/>
            <w:vAlign w:val="center"/>
          </w:tcPr>
          <w:p w14:paraId="2B198761">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三铺中学</w:t>
            </w:r>
          </w:p>
        </w:tc>
        <w:tc>
          <w:tcPr>
            <w:tcW w:w="511" w:type="pct"/>
            <w:noWrap/>
            <w:vAlign w:val="center"/>
          </w:tcPr>
          <w:p w14:paraId="0D6B4E76">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lang w:eastAsia="zh-CN" w:bidi="ar"/>
                <w14:textFill>
                  <w14:solidFill>
                    <w14:schemeClr w14:val="tx1"/>
                  </w14:solidFill>
                </w14:textFill>
              </w:rPr>
              <w:t>0.00E+00|5</w:t>
            </w:r>
          </w:p>
        </w:tc>
        <w:tc>
          <w:tcPr>
            <w:tcW w:w="277" w:type="pct"/>
            <w:noWrap/>
            <w:vAlign w:val="center"/>
          </w:tcPr>
          <w:p w14:paraId="68ADBD83">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6C4C30B7">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41F5CC6C">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0DB03377">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3BB302BF">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D7D1ACC">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2379F3E8">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188EBF0F">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374469A2">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69534C1">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3515C634">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6" w:type="pct"/>
            <w:noWrap/>
            <w:vAlign w:val="center"/>
          </w:tcPr>
          <w:p w14:paraId="1F61768F">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790E123B">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r>
      <w:tr w14:paraId="45092D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369" w:type="pct"/>
            <w:vMerge w:val="continue"/>
            <w:noWrap/>
            <w:vAlign w:val="center"/>
          </w:tcPr>
          <w:p w14:paraId="09C26517">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18" w:type="pct"/>
            <w:noWrap/>
            <w:vAlign w:val="center"/>
          </w:tcPr>
          <w:p w14:paraId="01ACE380">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杜家湖</w:t>
            </w:r>
          </w:p>
        </w:tc>
        <w:tc>
          <w:tcPr>
            <w:tcW w:w="511" w:type="pct"/>
            <w:noWrap/>
            <w:vAlign w:val="center"/>
          </w:tcPr>
          <w:p w14:paraId="60A04531">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lang w:eastAsia="zh-CN" w:bidi="ar"/>
                <w14:textFill>
                  <w14:solidFill>
                    <w14:schemeClr w14:val="tx1"/>
                  </w14:solidFill>
                </w14:textFill>
              </w:rPr>
              <w:t>0.00E+00|5</w:t>
            </w:r>
          </w:p>
        </w:tc>
        <w:tc>
          <w:tcPr>
            <w:tcW w:w="277" w:type="pct"/>
            <w:noWrap/>
            <w:vAlign w:val="center"/>
          </w:tcPr>
          <w:p w14:paraId="7F8B62A2">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2153DF08">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29A00B40">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7BDC6BD1">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2211B66">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B24F63D">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3407685D">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1B3B8856">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5EA08D5">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0E61B90F">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6053A95">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6" w:type="pct"/>
            <w:noWrap/>
            <w:vAlign w:val="center"/>
          </w:tcPr>
          <w:p w14:paraId="21A54092">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BAADDBB">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r>
    </w:tbl>
    <w:p w14:paraId="20268F44">
      <w:pPr>
        <w:widowControl w:val="0"/>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p>
    <w:p w14:paraId="3EE1CFAF">
      <w:pPr>
        <w:widowControl w:val="0"/>
        <w:spacing w:line="360" w:lineRule="auto"/>
        <w:ind w:firstLine="480" w:firstLineChars="200"/>
        <w:jc w:val="both"/>
        <w:rPr>
          <w:rFonts w:ascii="Times New Roman" w:hAnsi="Times New Roman" w:cs="Times New Roman"/>
          <w:color w:val="auto"/>
          <w:lang w:eastAsia="zh-CN"/>
        </w:rPr>
        <w:sectPr>
          <w:pgSz w:w="16838" w:h="11906" w:orient="landscape"/>
          <w:pgMar w:top="1080" w:right="1440" w:bottom="1080" w:left="1440" w:header="851" w:footer="992" w:gutter="0"/>
          <w:cols w:space="720" w:num="1"/>
          <w:docGrid w:type="lines" w:linePitch="326" w:charSpace="0"/>
        </w:sectPr>
      </w:pPr>
    </w:p>
    <w:p w14:paraId="61B07E9F">
      <w:pPr>
        <w:widowControl w:val="0"/>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ascii="Times New Roman" w:hAnsi="Times New Roman" w:cs="Times New Roman"/>
          <w:color w:val="000000" w:themeColor="text1"/>
          <w:szCs w:val="24"/>
          <w:lang w:eastAsia="zh-CN"/>
          <w14:textFill>
            <w14:solidFill>
              <w14:schemeClr w14:val="tx1"/>
            </w14:solidFill>
          </w14:textFill>
        </w:rPr>
        <w:t>预测结果表明，化学纯氢氟酸储罐泄漏事故以后，短时间内在泄漏点附近形成较高浓度富集区。随时间的推移，污染物逐渐向下风向扩散，同时污染物浓度随距离的增加而迅速下降。</w:t>
      </w:r>
    </w:p>
    <w:p w14:paraId="4AF68835">
      <w:pPr>
        <w:widowControl w:val="0"/>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ascii="宋体" w:hAnsi="宋体" w:cs="Cambria Math"/>
          <w:color w:val="000000" w:themeColor="text1"/>
          <w:szCs w:val="24"/>
          <w:lang w:eastAsia="zh-CN"/>
          <w14:textFill>
            <w14:solidFill>
              <w14:schemeClr w14:val="tx1"/>
            </w14:solidFill>
          </w14:textFill>
        </w:rPr>
        <w:t>①</w:t>
      </w:r>
      <w:r>
        <w:rPr>
          <w:rFonts w:ascii="Times New Roman" w:hAnsi="Times New Roman" w:cs="Times New Roman"/>
          <w:color w:val="000000" w:themeColor="text1"/>
          <w:szCs w:val="24"/>
          <w:lang w:eastAsia="zh-CN"/>
          <w14:textFill>
            <w14:solidFill>
              <w14:schemeClr w14:val="tx1"/>
            </w14:solidFill>
          </w14:textFill>
        </w:rPr>
        <w:t>下风向最大预测浓度：最不利气象条件下，区域内下风向</w:t>
      </w:r>
      <w:r>
        <w:rPr>
          <w:rFonts w:hint="eastAsia" w:ascii="Times New Roman" w:hAnsi="Times New Roman" w:cs="Times New Roman"/>
          <w:color w:val="000000" w:themeColor="text1"/>
          <w:szCs w:val="24"/>
          <w:lang w:eastAsia="zh-CN"/>
          <w14:textFill>
            <w14:solidFill>
              <w14:schemeClr w14:val="tx1"/>
            </w14:solidFill>
          </w14:textFill>
        </w:rPr>
        <w:t>氟化氢</w:t>
      </w:r>
      <w:r>
        <w:rPr>
          <w:rFonts w:ascii="Times New Roman" w:hAnsi="Times New Roman" w:cs="Times New Roman"/>
          <w:color w:val="000000" w:themeColor="text1"/>
          <w:szCs w:val="24"/>
          <w:lang w:eastAsia="zh-CN"/>
          <w14:textFill>
            <w14:solidFill>
              <w14:schemeClr w14:val="tx1"/>
            </w14:solidFill>
          </w14:textFill>
        </w:rPr>
        <w:t>最大预测浓度为</w:t>
      </w:r>
      <w:r>
        <w:rPr>
          <w:rFonts w:hint="eastAsia" w:ascii="Times New Roman" w:hAnsi="Times New Roman" w:cs="Times New Roman"/>
          <w:color w:val="000000" w:themeColor="text1"/>
          <w:szCs w:val="24"/>
          <w:lang w:eastAsia="zh-CN"/>
          <w14:textFill>
            <w14:solidFill>
              <w14:schemeClr w14:val="tx1"/>
            </w14:solidFill>
          </w14:textFill>
        </w:rPr>
        <w:t>696.88</w:t>
      </w:r>
      <w:r>
        <w:rPr>
          <w:rFonts w:ascii="Times New Roman" w:hAnsi="Times New Roman" w:cs="Times New Roman"/>
          <w:color w:val="000000" w:themeColor="text1"/>
          <w:szCs w:val="24"/>
          <w:lang w:eastAsia="zh-CN"/>
          <w14:textFill>
            <w14:solidFill>
              <w14:schemeClr w14:val="tx1"/>
            </w14:solidFill>
          </w14:textFill>
        </w:rPr>
        <w:t>mg/m</w:t>
      </w:r>
      <w:r>
        <w:rPr>
          <w:rFonts w:ascii="Times New Roman" w:hAnsi="Times New Roman" w:cs="Times New Roman"/>
          <w:color w:val="000000" w:themeColor="text1"/>
          <w:szCs w:val="24"/>
          <w:vertAlign w:val="superscript"/>
          <w:lang w:eastAsia="zh-CN"/>
          <w14:textFill>
            <w14:solidFill>
              <w14:schemeClr w14:val="tx1"/>
            </w14:solidFill>
          </w14:textFill>
        </w:rPr>
        <w:t>3</w:t>
      </w:r>
      <w:r>
        <w:rPr>
          <w:rFonts w:ascii="Times New Roman" w:hAnsi="Times New Roman" w:cs="Times New Roman"/>
          <w:color w:val="000000" w:themeColor="text1"/>
          <w:szCs w:val="24"/>
          <w:lang w:eastAsia="zh-CN"/>
          <w14:textFill>
            <w14:solidFill>
              <w14:schemeClr w14:val="tx1"/>
            </w14:solidFill>
          </w14:textFill>
        </w:rPr>
        <w:t>，距离泄漏点液池1</w:t>
      </w:r>
      <w:r>
        <w:rPr>
          <w:rFonts w:hint="eastAsia" w:ascii="Times New Roman" w:hAnsi="Times New Roman" w:cs="Times New Roman"/>
          <w:color w:val="000000" w:themeColor="text1"/>
          <w:szCs w:val="24"/>
          <w:lang w:eastAsia="zh-CN"/>
          <w14:textFill>
            <w14:solidFill>
              <w14:schemeClr w14:val="tx1"/>
            </w14:solidFill>
          </w14:textFill>
        </w:rPr>
        <w:t>0</w:t>
      </w:r>
      <w:r>
        <w:rPr>
          <w:rFonts w:ascii="Times New Roman" w:hAnsi="Times New Roman" w:cs="Times New Roman"/>
          <w:color w:val="000000" w:themeColor="text1"/>
          <w:szCs w:val="24"/>
          <w:lang w:eastAsia="zh-CN"/>
          <w14:textFill>
            <w14:solidFill>
              <w14:schemeClr w14:val="tx1"/>
            </w14:solidFill>
          </w14:textFill>
        </w:rPr>
        <w:t>m，出现时间为泄漏事故发生后</w:t>
      </w:r>
      <w:r>
        <w:rPr>
          <w:rFonts w:hint="eastAsia" w:ascii="Times New Roman" w:hAnsi="Times New Roman" w:cs="Times New Roman"/>
          <w:color w:val="000000" w:themeColor="text1"/>
          <w:szCs w:val="24"/>
          <w:lang w:eastAsia="zh-CN"/>
          <w14:textFill>
            <w14:solidFill>
              <w14:schemeClr w14:val="tx1"/>
            </w14:solidFill>
          </w14:textFill>
        </w:rPr>
        <w:t>0.1</w:t>
      </w:r>
      <w:r>
        <w:rPr>
          <w:rFonts w:ascii="Times New Roman" w:hAnsi="Times New Roman" w:cs="Times New Roman"/>
          <w:color w:val="000000" w:themeColor="text1"/>
          <w:szCs w:val="24"/>
          <w:lang w:eastAsia="zh-CN"/>
          <w14:textFill>
            <w14:solidFill>
              <w14:schemeClr w14:val="tx1"/>
            </w14:solidFill>
          </w14:textFill>
        </w:rPr>
        <w:t>min；最常见气象条件下，区域内下风向</w:t>
      </w:r>
      <w:r>
        <w:rPr>
          <w:rFonts w:hint="eastAsia" w:ascii="Times New Roman" w:hAnsi="Times New Roman" w:cs="Times New Roman"/>
          <w:color w:val="000000" w:themeColor="text1"/>
          <w:szCs w:val="24"/>
          <w:lang w:eastAsia="zh-CN"/>
          <w14:textFill>
            <w14:solidFill>
              <w14:schemeClr w14:val="tx1"/>
            </w14:solidFill>
          </w14:textFill>
        </w:rPr>
        <w:t>氟化氢</w:t>
      </w:r>
      <w:r>
        <w:rPr>
          <w:rFonts w:ascii="Times New Roman" w:hAnsi="Times New Roman" w:cs="Times New Roman"/>
          <w:color w:val="000000" w:themeColor="text1"/>
          <w:szCs w:val="24"/>
          <w:lang w:eastAsia="zh-CN"/>
          <w14:textFill>
            <w14:solidFill>
              <w14:schemeClr w14:val="tx1"/>
            </w14:solidFill>
          </w14:textFill>
        </w:rPr>
        <w:t>最大预测浓度为</w:t>
      </w:r>
      <w:r>
        <w:rPr>
          <w:rFonts w:hint="eastAsia" w:ascii="Times New Roman" w:hAnsi="Times New Roman" w:cs="Times New Roman"/>
          <w:color w:val="000000" w:themeColor="text1"/>
          <w:szCs w:val="24"/>
          <w:lang w:eastAsia="zh-CN"/>
          <w14:textFill>
            <w14:solidFill>
              <w14:schemeClr w14:val="tx1"/>
            </w14:solidFill>
          </w14:textFill>
        </w:rPr>
        <w:t>167.72</w:t>
      </w:r>
      <w:r>
        <w:rPr>
          <w:rFonts w:ascii="Times New Roman" w:hAnsi="Times New Roman" w:cs="Times New Roman"/>
          <w:color w:val="000000" w:themeColor="text1"/>
          <w:szCs w:val="24"/>
          <w:lang w:eastAsia="zh-CN"/>
          <w14:textFill>
            <w14:solidFill>
              <w14:schemeClr w14:val="tx1"/>
            </w14:solidFill>
          </w14:textFill>
        </w:rPr>
        <w:t>mg/m</w:t>
      </w:r>
      <w:r>
        <w:rPr>
          <w:rFonts w:ascii="Times New Roman" w:hAnsi="Times New Roman" w:cs="Times New Roman"/>
          <w:color w:val="000000" w:themeColor="text1"/>
          <w:szCs w:val="24"/>
          <w:vertAlign w:val="superscript"/>
          <w:lang w:eastAsia="zh-CN"/>
          <w14:textFill>
            <w14:solidFill>
              <w14:schemeClr w14:val="tx1"/>
            </w14:solidFill>
          </w14:textFill>
        </w:rPr>
        <w:t>3</w:t>
      </w:r>
      <w:r>
        <w:rPr>
          <w:rFonts w:ascii="Times New Roman" w:hAnsi="Times New Roman" w:cs="Times New Roman"/>
          <w:color w:val="000000" w:themeColor="text1"/>
          <w:szCs w:val="24"/>
          <w:lang w:eastAsia="zh-CN"/>
          <w14:textFill>
            <w14:solidFill>
              <w14:schemeClr w14:val="tx1"/>
            </w14:solidFill>
          </w14:textFill>
        </w:rPr>
        <w:t>，距离泄漏点液池</w:t>
      </w:r>
      <w:r>
        <w:rPr>
          <w:rFonts w:hint="eastAsia" w:ascii="Times New Roman" w:hAnsi="Times New Roman" w:cs="Times New Roman"/>
          <w:color w:val="000000" w:themeColor="text1"/>
          <w:szCs w:val="24"/>
          <w:lang w:eastAsia="zh-CN"/>
          <w14:textFill>
            <w14:solidFill>
              <w14:schemeClr w14:val="tx1"/>
            </w14:solidFill>
          </w14:textFill>
        </w:rPr>
        <w:t>1</w:t>
      </w:r>
      <w:r>
        <w:rPr>
          <w:rFonts w:ascii="Times New Roman" w:hAnsi="Times New Roman" w:cs="Times New Roman"/>
          <w:color w:val="000000" w:themeColor="text1"/>
          <w:szCs w:val="24"/>
          <w:lang w:eastAsia="zh-CN"/>
          <w14:textFill>
            <w14:solidFill>
              <w14:schemeClr w14:val="tx1"/>
            </w14:solidFill>
          </w14:textFill>
        </w:rPr>
        <w:t>0m，出现时间为泄漏事故发生后0</w:t>
      </w:r>
      <w:r>
        <w:rPr>
          <w:rFonts w:hint="eastAsia" w:ascii="Times New Roman" w:hAnsi="Times New Roman" w:cs="Times New Roman"/>
          <w:color w:val="000000" w:themeColor="text1"/>
          <w:szCs w:val="24"/>
          <w:lang w:eastAsia="zh-CN"/>
          <w14:textFill>
            <w14:solidFill>
              <w14:schemeClr w14:val="tx1"/>
            </w14:solidFill>
          </w14:textFill>
        </w:rPr>
        <w:t>.1</w:t>
      </w:r>
      <w:r>
        <w:rPr>
          <w:rFonts w:ascii="Times New Roman" w:hAnsi="Times New Roman" w:cs="Times New Roman"/>
          <w:color w:val="000000" w:themeColor="text1"/>
          <w:szCs w:val="24"/>
          <w:lang w:eastAsia="zh-CN"/>
          <w14:textFill>
            <w14:solidFill>
              <w14:schemeClr w14:val="tx1"/>
            </w14:solidFill>
          </w14:textFill>
        </w:rPr>
        <w:t>min。</w:t>
      </w:r>
    </w:p>
    <w:p w14:paraId="6ED4290D">
      <w:pPr>
        <w:widowControl w:val="0"/>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ascii="宋体" w:hAnsi="宋体" w:cs="Cambria Math"/>
          <w:color w:val="000000" w:themeColor="text1"/>
          <w:szCs w:val="24"/>
          <w:lang w:eastAsia="zh-CN"/>
          <w14:textFill>
            <w14:solidFill>
              <w14:schemeClr w14:val="tx1"/>
            </w14:solidFill>
          </w14:textFill>
        </w:rPr>
        <w:t>②</w:t>
      </w:r>
      <w:r>
        <w:rPr>
          <w:rFonts w:ascii="Times New Roman" w:hAnsi="Times New Roman" w:cs="Times New Roman"/>
          <w:color w:val="000000" w:themeColor="text1"/>
          <w:szCs w:val="24"/>
          <w:lang w:eastAsia="zh-CN"/>
          <w14:textFill>
            <w14:solidFill>
              <w14:schemeClr w14:val="tx1"/>
            </w14:solidFill>
          </w14:textFill>
        </w:rPr>
        <w:t>最大影响范围：最不利气象条件下</w:t>
      </w:r>
      <w:r>
        <w:rPr>
          <w:rFonts w:hint="eastAsia" w:ascii="Times New Roman" w:hAnsi="Times New Roman" w:cs="Times New Roman"/>
          <w:color w:val="000000" w:themeColor="text1"/>
          <w:szCs w:val="24"/>
          <w:lang w:eastAsia="zh-CN"/>
          <w14:textFill>
            <w14:solidFill>
              <w14:schemeClr w14:val="tx1"/>
            </w14:solidFill>
          </w14:textFill>
        </w:rPr>
        <w:t>氟化氢</w:t>
      </w:r>
      <w:r>
        <w:rPr>
          <w:rFonts w:ascii="Times New Roman" w:hAnsi="Times New Roman" w:cs="Times New Roman"/>
          <w:color w:val="000000" w:themeColor="text1"/>
          <w:szCs w:val="24"/>
          <w:lang w:eastAsia="zh-CN"/>
          <w14:textFill>
            <w14:solidFill>
              <w14:schemeClr w14:val="tx1"/>
            </w14:solidFill>
          </w14:textFill>
        </w:rPr>
        <w:t>达到</w:t>
      </w:r>
      <w:r>
        <w:rPr>
          <w:rFonts w:hint="eastAsia" w:ascii="Times New Roman" w:hAnsi="Times New Roman" w:cs="Times New Roman"/>
          <w:color w:val="000000" w:themeColor="text1"/>
          <w:szCs w:val="24"/>
          <w:lang w:eastAsia="zh-CN"/>
          <w14:textFill>
            <w14:solidFill>
              <w14:schemeClr w14:val="tx1"/>
            </w14:solidFill>
          </w14:textFill>
        </w:rPr>
        <w:t>1</w:t>
      </w:r>
      <w:r>
        <w:rPr>
          <w:rFonts w:ascii="Times New Roman" w:hAnsi="Times New Roman" w:cs="Times New Roman"/>
          <w:color w:val="000000" w:themeColor="text1"/>
          <w:szCs w:val="24"/>
          <w:lang w:eastAsia="zh-CN"/>
          <w14:textFill>
            <w14:solidFill>
              <w14:schemeClr w14:val="tx1"/>
            </w14:solidFill>
          </w14:textFill>
        </w:rPr>
        <w:t>级大气毒性终点浓度标准最大距离</w:t>
      </w:r>
      <w:r>
        <w:rPr>
          <w:rFonts w:hint="eastAsia" w:ascii="Times New Roman" w:hAnsi="Times New Roman" w:cs="Times New Roman"/>
          <w:color w:val="000000" w:themeColor="text1"/>
          <w:szCs w:val="24"/>
          <w:lang w:eastAsia="zh-CN"/>
          <w14:textFill>
            <w14:solidFill>
              <w14:schemeClr w14:val="tx1"/>
            </w14:solidFill>
          </w14:textFill>
        </w:rPr>
        <w:t>4500</w:t>
      </w:r>
      <w:r>
        <w:rPr>
          <w:rFonts w:ascii="Times New Roman" w:hAnsi="Times New Roman" w:cs="Times New Roman"/>
          <w:color w:val="000000" w:themeColor="text1"/>
          <w:szCs w:val="24"/>
          <w:lang w:eastAsia="zh-CN"/>
          <w14:textFill>
            <w14:solidFill>
              <w14:schemeClr w14:val="tx1"/>
            </w14:solidFill>
          </w14:textFill>
        </w:rPr>
        <w:t>m，最大半宽</w:t>
      </w:r>
      <w:r>
        <w:rPr>
          <w:rFonts w:hint="eastAsia" w:ascii="Times New Roman" w:hAnsi="Times New Roman" w:cs="Times New Roman"/>
          <w:color w:val="000000" w:themeColor="text1"/>
          <w:szCs w:val="24"/>
          <w:lang w:eastAsia="zh-CN"/>
          <w14:textFill>
            <w14:solidFill>
              <w14:schemeClr w14:val="tx1"/>
            </w14:solidFill>
          </w14:textFill>
        </w:rPr>
        <w:t>25</w:t>
      </w:r>
      <w:r>
        <w:rPr>
          <w:rFonts w:ascii="Times New Roman" w:hAnsi="Times New Roman" w:cs="Times New Roman"/>
          <w:color w:val="000000" w:themeColor="text1"/>
          <w:szCs w:val="24"/>
          <w:lang w:eastAsia="zh-CN"/>
          <w14:textFill>
            <w14:solidFill>
              <w14:schemeClr w14:val="tx1"/>
            </w14:solidFill>
          </w14:textFill>
        </w:rPr>
        <w:t>m，达到2级大气毒性终点浓度标准最大距离</w:t>
      </w:r>
      <w:r>
        <w:rPr>
          <w:rFonts w:hint="eastAsia" w:ascii="Times New Roman" w:hAnsi="Times New Roman" w:cs="Times New Roman"/>
          <w:color w:val="000000" w:themeColor="text1"/>
          <w:szCs w:val="24"/>
          <w:lang w:eastAsia="zh-CN"/>
          <w14:textFill>
            <w14:solidFill>
              <w14:schemeClr w14:val="tx1"/>
            </w14:solidFill>
          </w14:textFill>
        </w:rPr>
        <w:t>640</w:t>
      </w:r>
      <w:r>
        <w:rPr>
          <w:rFonts w:ascii="Times New Roman" w:hAnsi="Times New Roman" w:cs="Times New Roman"/>
          <w:color w:val="000000" w:themeColor="text1"/>
          <w:szCs w:val="24"/>
          <w:lang w:eastAsia="zh-CN"/>
          <w14:textFill>
            <w14:solidFill>
              <w14:schemeClr w14:val="tx1"/>
            </w14:solidFill>
          </w14:textFill>
        </w:rPr>
        <w:t>m，最大半宽</w:t>
      </w:r>
      <w:r>
        <w:rPr>
          <w:rFonts w:hint="eastAsia" w:ascii="Times New Roman" w:hAnsi="Times New Roman" w:cs="Times New Roman"/>
          <w:color w:val="000000" w:themeColor="text1"/>
          <w:szCs w:val="24"/>
          <w:lang w:eastAsia="zh-CN"/>
          <w14:textFill>
            <w14:solidFill>
              <w14:schemeClr w14:val="tx1"/>
            </w14:solidFill>
          </w14:textFill>
        </w:rPr>
        <w:t>35</w:t>
      </w:r>
      <w:r>
        <w:rPr>
          <w:rFonts w:ascii="Times New Roman" w:hAnsi="Times New Roman" w:cs="Times New Roman"/>
          <w:color w:val="000000" w:themeColor="text1"/>
          <w:szCs w:val="24"/>
          <w:lang w:eastAsia="zh-CN"/>
          <w14:textFill>
            <w14:solidFill>
              <w14:schemeClr w14:val="tx1"/>
            </w14:solidFill>
          </w14:textFill>
        </w:rPr>
        <w:t>m；最常见气象条件下</w:t>
      </w:r>
      <w:r>
        <w:rPr>
          <w:rFonts w:hint="eastAsia" w:ascii="Times New Roman" w:hAnsi="Times New Roman" w:cs="Times New Roman"/>
          <w:color w:val="000000" w:themeColor="text1"/>
          <w:szCs w:val="24"/>
          <w:lang w:eastAsia="zh-CN"/>
          <w14:textFill>
            <w14:solidFill>
              <w14:schemeClr w14:val="tx1"/>
            </w14:solidFill>
          </w14:textFill>
        </w:rPr>
        <w:t>氟化氢</w:t>
      </w:r>
      <w:r>
        <w:rPr>
          <w:rFonts w:ascii="Times New Roman" w:hAnsi="Times New Roman" w:cs="Times New Roman"/>
          <w:color w:val="000000" w:themeColor="text1"/>
          <w:szCs w:val="24"/>
          <w:lang w:eastAsia="zh-CN"/>
          <w14:textFill>
            <w14:solidFill>
              <w14:schemeClr w14:val="tx1"/>
            </w14:solidFill>
          </w14:textFill>
        </w:rPr>
        <w:t>达到</w:t>
      </w:r>
      <w:r>
        <w:rPr>
          <w:rFonts w:hint="eastAsia" w:ascii="Times New Roman" w:hAnsi="Times New Roman" w:cs="Times New Roman"/>
          <w:color w:val="000000" w:themeColor="text1"/>
          <w:szCs w:val="24"/>
          <w:lang w:eastAsia="zh-CN"/>
          <w14:textFill>
            <w14:solidFill>
              <w14:schemeClr w14:val="tx1"/>
            </w14:solidFill>
          </w14:textFill>
        </w:rPr>
        <w:t>1</w:t>
      </w:r>
      <w:r>
        <w:rPr>
          <w:rFonts w:ascii="Times New Roman" w:hAnsi="Times New Roman" w:cs="Times New Roman"/>
          <w:color w:val="000000" w:themeColor="text1"/>
          <w:szCs w:val="24"/>
          <w:lang w:eastAsia="zh-CN"/>
          <w14:textFill>
            <w14:solidFill>
              <w14:schemeClr w14:val="tx1"/>
            </w14:solidFill>
          </w14:textFill>
        </w:rPr>
        <w:t>级大气毒性终点浓度标准最大距离</w:t>
      </w:r>
      <w:r>
        <w:rPr>
          <w:rFonts w:hint="eastAsia" w:ascii="Times New Roman" w:hAnsi="Times New Roman" w:cs="Times New Roman"/>
          <w:color w:val="000000" w:themeColor="text1"/>
          <w:szCs w:val="24"/>
          <w:lang w:eastAsia="zh-CN"/>
          <w14:textFill>
            <w14:solidFill>
              <w14:schemeClr w14:val="tx1"/>
            </w14:solidFill>
          </w14:textFill>
        </w:rPr>
        <w:t>210</w:t>
      </w:r>
      <w:r>
        <w:rPr>
          <w:rFonts w:ascii="Times New Roman" w:hAnsi="Times New Roman" w:cs="Times New Roman"/>
          <w:color w:val="000000" w:themeColor="text1"/>
          <w:szCs w:val="24"/>
          <w:lang w:eastAsia="zh-CN"/>
          <w14:textFill>
            <w14:solidFill>
              <w14:schemeClr w14:val="tx1"/>
            </w14:solidFill>
          </w14:textFill>
        </w:rPr>
        <w:t>m，最大半宽</w:t>
      </w:r>
      <w:r>
        <w:rPr>
          <w:rFonts w:hint="eastAsia" w:ascii="Times New Roman" w:hAnsi="Times New Roman" w:cs="Times New Roman"/>
          <w:color w:val="000000" w:themeColor="text1"/>
          <w:szCs w:val="24"/>
          <w:lang w:eastAsia="zh-CN"/>
          <w14:textFill>
            <w14:solidFill>
              <w14:schemeClr w14:val="tx1"/>
            </w14:solidFill>
          </w14:textFill>
        </w:rPr>
        <w:t>26</w:t>
      </w:r>
      <w:r>
        <w:rPr>
          <w:rFonts w:ascii="Times New Roman" w:hAnsi="Times New Roman" w:cs="Times New Roman"/>
          <w:color w:val="000000" w:themeColor="text1"/>
          <w:szCs w:val="24"/>
          <w:lang w:eastAsia="zh-CN"/>
          <w14:textFill>
            <w14:solidFill>
              <w14:schemeClr w14:val="tx1"/>
            </w14:solidFill>
          </w14:textFill>
        </w:rPr>
        <w:t>m，达到2级大气毒性终点浓度标准最大距离</w:t>
      </w:r>
      <w:r>
        <w:rPr>
          <w:rFonts w:hint="eastAsia" w:ascii="Times New Roman" w:hAnsi="Times New Roman" w:cs="Times New Roman"/>
          <w:color w:val="000000" w:themeColor="text1"/>
          <w:szCs w:val="24"/>
          <w:lang w:eastAsia="zh-CN"/>
          <w14:textFill>
            <w14:solidFill>
              <w14:schemeClr w14:val="tx1"/>
            </w14:solidFill>
          </w14:textFill>
        </w:rPr>
        <w:t>300</w:t>
      </w:r>
      <w:r>
        <w:rPr>
          <w:rFonts w:ascii="Times New Roman" w:hAnsi="Times New Roman" w:cs="Times New Roman"/>
          <w:color w:val="000000" w:themeColor="text1"/>
          <w:szCs w:val="24"/>
          <w:lang w:eastAsia="zh-CN"/>
          <w14:textFill>
            <w14:solidFill>
              <w14:schemeClr w14:val="tx1"/>
            </w14:solidFill>
          </w14:textFill>
        </w:rPr>
        <w:t>m，最大半宽</w:t>
      </w:r>
      <w:r>
        <w:rPr>
          <w:rFonts w:hint="eastAsia" w:ascii="Times New Roman" w:hAnsi="Times New Roman" w:cs="Times New Roman"/>
          <w:color w:val="000000" w:themeColor="text1"/>
          <w:szCs w:val="24"/>
          <w:lang w:eastAsia="zh-CN"/>
          <w14:textFill>
            <w14:solidFill>
              <w14:schemeClr w14:val="tx1"/>
            </w14:solidFill>
          </w14:textFill>
        </w:rPr>
        <w:t>36</w:t>
      </w:r>
      <w:r>
        <w:rPr>
          <w:rFonts w:ascii="Times New Roman" w:hAnsi="Times New Roman" w:cs="Times New Roman"/>
          <w:color w:val="000000" w:themeColor="text1"/>
          <w:szCs w:val="24"/>
          <w:lang w:eastAsia="zh-CN"/>
          <w14:textFill>
            <w14:solidFill>
              <w14:schemeClr w14:val="tx1"/>
            </w14:solidFill>
          </w14:textFill>
        </w:rPr>
        <w:t>m。</w:t>
      </w:r>
    </w:p>
    <w:p w14:paraId="5C37C2B8">
      <w:pPr>
        <w:widowControl w:val="0"/>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ascii="Times New Roman" w:hAnsi="Times New Roman" w:cs="Times New Roman"/>
          <w:color w:val="000000" w:themeColor="text1"/>
          <w:szCs w:val="24"/>
          <w:lang w:eastAsia="zh-CN"/>
          <w14:textFill>
            <w14:solidFill>
              <w14:schemeClr w14:val="tx1"/>
            </w14:solidFill>
          </w14:textFill>
        </w:rPr>
        <w:t>最不利气象条件下，</w:t>
      </w:r>
      <w:r>
        <w:rPr>
          <w:rFonts w:hint="eastAsia" w:ascii="Times New Roman" w:hAnsi="Times New Roman" w:cs="Times New Roman"/>
          <w:color w:val="000000" w:themeColor="text1"/>
          <w:szCs w:val="24"/>
          <w:lang w:eastAsia="zh-CN"/>
          <w14:textFill>
            <w14:solidFill>
              <w14:schemeClr w14:val="tx1"/>
            </w14:solidFill>
          </w14:textFill>
        </w:rPr>
        <w:t>氟化氢</w:t>
      </w:r>
      <w:r>
        <w:rPr>
          <w:rFonts w:ascii="Times New Roman" w:hAnsi="Times New Roman" w:cs="Times New Roman"/>
          <w:color w:val="000000" w:themeColor="text1"/>
          <w:szCs w:val="24"/>
          <w:lang w:eastAsia="zh-CN"/>
          <w14:textFill>
            <w14:solidFill>
              <w14:schemeClr w14:val="tx1"/>
            </w14:solidFill>
          </w14:textFill>
        </w:rPr>
        <w:t xml:space="preserve"> 1 级大气毒性终点浓度影响范围内无环境敏感点分布；2级大气毒性终点浓度影响范围内无敏感点，拟建项目距离最近敏感点为</w:t>
      </w:r>
      <w:r>
        <w:rPr>
          <w:rFonts w:hint="eastAsia" w:ascii="Times New Roman" w:hAnsi="Times New Roman" w:cs="Times New Roman"/>
          <w:color w:val="000000" w:themeColor="text1"/>
          <w:szCs w:val="24"/>
          <w:lang w:eastAsia="zh-CN"/>
          <w14:textFill>
            <w14:solidFill>
              <w14:schemeClr w14:val="tx1"/>
            </w14:solidFill>
          </w14:textFill>
        </w:rPr>
        <w:t>760</w:t>
      </w:r>
      <w:r>
        <w:rPr>
          <w:rFonts w:ascii="Times New Roman" w:hAnsi="Times New Roman" w:cs="Times New Roman"/>
          <w:color w:val="000000" w:themeColor="text1"/>
          <w:szCs w:val="24"/>
          <w:lang w:eastAsia="zh-CN"/>
          <w14:textFill>
            <w14:solidFill>
              <w14:schemeClr w14:val="tx1"/>
            </w14:solidFill>
          </w14:textFill>
        </w:rPr>
        <w:t>m</w:t>
      </w:r>
      <w:r>
        <w:rPr>
          <w:rFonts w:hint="eastAsia" w:ascii="Times New Roman" w:hAnsi="Times New Roman" w:cs="Times New Roman"/>
          <w:color w:val="000000" w:themeColor="text1"/>
          <w:szCs w:val="24"/>
          <w:lang w:eastAsia="zh-CN"/>
          <w14:textFill>
            <w14:solidFill>
              <w14:schemeClr w14:val="tx1"/>
            </w14:solidFill>
          </w14:textFill>
        </w:rPr>
        <w:t>大柏村</w:t>
      </w:r>
      <w:r>
        <w:rPr>
          <w:rFonts w:ascii="Times New Roman" w:hAnsi="Times New Roman" w:cs="Times New Roman"/>
          <w:color w:val="000000" w:themeColor="text1"/>
          <w:szCs w:val="24"/>
          <w:lang w:eastAsia="zh-CN"/>
          <w14:textFill>
            <w14:solidFill>
              <w14:schemeClr w14:val="tx1"/>
            </w14:solidFill>
          </w14:textFill>
        </w:rPr>
        <w:t>。一旦发生事故建设单位应根据事故当天下风向确定最大影响范围，应及时通知影响范围内人群或上报政府请求协助撤离，确保1h时内能够将2级毒性终点浓度影响范围内的敏感点全部撤离、疏散，进一步安置。</w:t>
      </w:r>
    </w:p>
    <w:p w14:paraId="4B12FFE6">
      <w:pPr>
        <w:widowControl w:val="0"/>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ascii="Times New Roman" w:hAnsi="Times New Roman" w:cs="Times New Roman"/>
          <w:color w:val="000000" w:themeColor="text1"/>
          <w:szCs w:val="24"/>
          <w:lang w:eastAsia="zh-CN"/>
          <w14:textFill>
            <w14:solidFill>
              <w14:schemeClr w14:val="tx1"/>
            </w14:solidFill>
          </w14:textFill>
        </w:rPr>
        <w:t>最</w:t>
      </w:r>
      <w:r>
        <w:rPr>
          <w:rFonts w:hint="eastAsia" w:ascii="Times New Roman" w:hAnsi="Times New Roman" w:cs="Times New Roman"/>
          <w:color w:val="000000" w:themeColor="text1"/>
          <w:szCs w:val="24"/>
          <w:lang w:eastAsia="zh-CN"/>
          <w14:textFill>
            <w14:solidFill>
              <w14:schemeClr w14:val="tx1"/>
            </w14:solidFill>
          </w14:textFill>
        </w:rPr>
        <w:t>不利</w:t>
      </w:r>
      <w:r>
        <w:rPr>
          <w:rFonts w:ascii="Times New Roman" w:hAnsi="Times New Roman" w:cs="Times New Roman"/>
          <w:color w:val="000000" w:themeColor="text1"/>
          <w:szCs w:val="24"/>
          <w:lang w:eastAsia="zh-CN"/>
          <w14:textFill>
            <w14:solidFill>
              <w14:schemeClr w14:val="tx1"/>
            </w14:solidFill>
          </w14:textFill>
        </w:rPr>
        <w:t>气象条件下，</w:t>
      </w:r>
      <w:r>
        <w:rPr>
          <w:rFonts w:hint="eastAsia" w:ascii="Times New Roman" w:hAnsi="Times New Roman" w:cs="Times New Roman"/>
          <w:color w:val="000000" w:themeColor="text1"/>
          <w:szCs w:val="24"/>
          <w:lang w:eastAsia="zh-CN"/>
          <w14:textFill>
            <w14:solidFill>
              <w14:schemeClr w14:val="tx1"/>
            </w14:solidFill>
          </w14:textFill>
        </w:rPr>
        <w:t>氯化氢</w:t>
      </w:r>
      <w:r>
        <w:rPr>
          <w:rFonts w:ascii="Times New Roman" w:hAnsi="Times New Roman" w:cs="Times New Roman"/>
          <w:color w:val="000000" w:themeColor="text1"/>
          <w:szCs w:val="24"/>
          <w:lang w:eastAsia="zh-CN"/>
          <w14:textFill>
            <w14:solidFill>
              <w14:schemeClr w14:val="tx1"/>
            </w14:solidFill>
          </w14:textFill>
        </w:rPr>
        <w:t>对关心点均未超过阈值限值</w:t>
      </w:r>
      <w:r>
        <w:rPr>
          <w:rFonts w:hint="eastAsia" w:ascii="Times New Roman" w:hAnsi="Times New Roman" w:cs="Times New Roman"/>
          <w:color w:val="000000" w:themeColor="text1"/>
          <w:szCs w:val="24"/>
          <w:lang w:eastAsia="zh-CN"/>
          <w14:textFill>
            <w14:solidFill>
              <w14:schemeClr w14:val="tx1"/>
            </w14:solidFill>
          </w14:textFill>
        </w:rPr>
        <w:t>；</w:t>
      </w:r>
    </w:p>
    <w:p w14:paraId="3C9F1B29">
      <w:pPr>
        <w:widowControl w:val="0"/>
        <w:spacing w:line="360" w:lineRule="auto"/>
        <w:ind w:firstLine="480" w:firstLineChars="200"/>
        <w:jc w:val="both"/>
        <w:rPr>
          <w:rFonts w:ascii="Times New Roman" w:hAnsi="Times New Roman" w:cs="Times New Roman"/>
          <w:color w:val="000000" w:themeColor="text1"/>
          <w:lang w:eastAsia="zh-CN"/>
          <w14:textFill>
            <w14:solidFill>
              <w14:schemeClr w14:val="tx1"/>
            </w14:solidFill>
          </w14:textFill>
        </w:rPr>
      </w:pPr>
      <w:r>
        <w:rPr>
          <w:rFonts w:ascii="Times New Roman" w:hAnsi="Times New Roman" w:cs="Times New Roman"/>
          <w:color w:val="000000" w:themeColor="text1"/>
          <w:szCs w:val="24"/>
          <w:lang w:eastAsia="zh-CN"/>
          <w14:textFill>
            <w14:solidFill>
              <w14:schemeClr w14:val="tx1"/>
            </w14:solidFill>
          </w14:textFill>
        </w:rPr>
        <w:t>最</w:t>
      </w:r>
      <w:r>
        <w:rPr>
          <w:rFonts w:hint="eastAsia" w:ascii="Times New Roman" w:hAnsi="Times New Roman" w:cs="Times New Roman"/>
          <w:color w:val="000000" w:themeColor="text1"/>
          <w:szCs w:val="24"/>
          <w:lang w:eastAsia="zh-CN"/>
          <w14:textFill>
            <w14:solidFill>
              <w14:schemeClr w14:val="tx1"/>
            </w14:solidFill>
          </w14:textFill>
        </w:rPr>
        <w:t>常见</w:t>
      </w:r>
      <w:r>
        <w:rPr>
          <w:rFonts w:ascii="Times New Roman" w:hAnsi="Times New Roman" w:cs="Times New Roman"/>
          <w:color w:val="000000" w:themeColor="text1"/>
          <w:szCs w:val="24"/>
          <w:lang w:eastAsia="zh-CN"/>
          <w14:textFill>
            <w14:solidFill>
              <w14:schemeClr w14:val="tx1"/>
            </w14:solidFill>
          </w14:textFill>
        </w:rPr>
        <w:t>气象条件下，</w:t>
      </w:r>
      <w:r>
        <w:rPr>
          <w:rFonts w:hint="eastAsia" w:ascii="Times New Roman" w:hAnsi="Times New Roman" w:cs="Times New Roman"/>
          <w:color w:val="000000" w:themeColor="text1"/>
          <w:szCs w:val="24"/>
          <w:lang w:eastAsia="zh-CN"/>
          <w14:textFill>
            <w14:solidFill>
              <w14:schemeClr w14:val="tx1"/>
            </w14:solidFill>
          </w14:textFill>
        </w:rPr>
        <w:t>氯化氢</w:t>
      </w:r>
      <w:r>
        <w:rPr>
          <w:rFonts w:ascii="Times New Roman" w:hAnsi="Times New Roman" w:cs="Times New Roman"/>
          <w:color w:val="000000" w:themeColor="text1"/>
          <w:szCs w:val="24"/>
          <w:lang w:eastAsia="zh-CN"/>
          <w14:textFill>
            <w14:solidFill>
              <w14:schemeClr w14:val="tx1"/>
            </w14:solidFill>
          </w14:textFill>
        </w:rPr>
        <w:t>对关心点均未超过阈值限值</w:t>
      </w:r>
      <w:r>
        <w:rPr>
          <w:rFonts w:hint="eastAsia" w:ascii="Times New Roman" w:hAnsi="Times New Roman" w:cs="Times New Roman"/>
          <w:color w:val="000000" w:themeColor="text1"/>
          <w:szCs w:val="24"/>
          <w:lang w:eastAsia="zh-CN"/>
          <w14:textFill>
            <w14:solidFill>
              <w14:schemeClr w14:val="tx1"/>
            </w14:solidFill>
          </w14:textFill>
        </w:rPr>
        <w:t>。</w:t>
      </w:r>
    </w:p>
    <w:p w14:paraId="5B62341C">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w:t>
      </w:r>
      <w:r>
        <w:rPr>
          <w:rFonts w:hint="eastAsia" w:ascii="Times New Roman" w:hAnsi="Times New Roman" w:cs="Times New Roman"/>
          <w:color w:val="auto"/>
          <w:lang w:eastAsia="zh-CN"/>
        </w:rPr>
        <w:t>3</w:t>
      </w:r>
      <w:r>
        <w:rPr>
          <w:rFonts w:ascii="Times New Roman" w:hAnsi="Times New Roman" w:cs="Times New Roman"/>
          <w:color w:val="auto"/>
          <w:lang w:eastAsia="zh-CN"/>
        </w:rPr>
        <w:t>）</w:t>
      </w:r>
      <w:r>
        <w:rPr>
          <w:rFonts w:hint="eastAsia" w:ascii="Times New Roman" w:hAnsi="Times New Roman" w:cs="Times New Roman"/>
          <w:color w:val="auto"/>
          <w:lang w:eastAsia="zh-CN"/>
        </w:rPr>
        <w:t>31%盐酸</w:t>
      </w:r>
      <w:r>
        <w:rPr>
          <w:rFonts w:ascii="Times New Roman" w:hAnsi="Times New Roman" w:cs="Times New Roman"/>
          <w:color w:val="auto"/>
          <w:lang w:eastAsia="zh-CN"/>
        </w:rPr>
        <w:t>储罐泄漏</w:t>
      </w:r>
      <w:r>
        <w:rPr>
          <w:rFonts w:hint="eastAsia" w:ascii="Times New Roman" w:hAnsi="Times New Roman" w:cs="Times New Roman"/>
          <w:color w:val="auto"/>
          <w:lang w:eastAsia="zh-CN"/>
        </w:rPr>
        <w:t>事故</w:t>
      </w:r>
    </w:p>
    <w:p w14:paraId="394163C4">
      <w:pPr>
        <w:widowControl w:val="0"/>
        <w:spacing w:line="360" w:lineRule="auto"/>
        <w:ind w:firstLine="480" w:firstLineChars="200"/>
        <w:jc w:val="both"/>
        <w:rPr>
          <w:rFonts w:ascii="Times New Roman" w:hAnsi="Times New Roman" w:cs="Times New Roman"/>
          <w:lang w:eastAsia="zh-CN"/>
        </w:rPr>
      </w:pPr>
      <w:r>
        <w:rPr>
          <w:rFonts w:ascii="Times New Roman" w:hAnsi="Times New Roman" w:cs="Times New Roman"/>
          <w:lang w:eastAsia="zh-CN"/>
        </w:rPr>
        <w:t>根据上述预测模式以及事故源强，在最不利气象条件下，</w:t>
      </w:r>
      <w:r>
        <w:rPr>
          <w:rFonts w:hint="eastAsia" w:ascii="Times New Roman" w:hAnsi="Times New Roman" w:cs="Times New Roman"/>
          <w:lang w:eastAsia="zh-CN"/>
        </w:rPr>
        <w:t>31%盐酸</w:t>
      </w:r>
      <w:r>
        <w:rPr>
          <w:rFonts w:ascii="Times New Roman" w:hAnsi="Times New Roman" w:cs="Times New Roman"/>
          <w:lang w:eastAsia="zh-CN"/>
        </w:rPr>
        <w:t>储罐泄漏</w:t>
      </w:r>
      <w:r>
        <w:rPr>
          <w:rFonts w:hint="eastAsia" w:ascii="Times New Roman" w:hAnsi="Times New Roman" w:cs="Times New Roman"/>
          <w:lang w:eastAsia="zh-CN"/>
        </w:rPr>
        <w:t>事故</w:t>
      </w:r>
      <w:r>
        <w:rPr>
          <w:rFonts w:ascii="Times New Roman" w:hAnsi="Times New Roman" w:cs="Times New Roman"/>
          <w:lang w:eastAsia="zh-CN"/>
        </w:rPr>
        <w:t>排放时下风向不同距离最大浓度分布见表</w:t>
      </w:r>
      <w:r>
        <w:rPr>
          <w:rFonts w:hint="eastAsia" w:ascii="Times New Roman" w:hAnsi="Times New Roman" w:cs="Times New Roman"/>
          <w:lang w:eastAsia="zh-CN"/>
        </w:rPr>
        <w:t>7</w:t>
      </w:r>
      <w:r>
        <w:rPr>
          <w:rFonts w:ascii="Times New Roman" w:hAnsi="Times New Roman" w:cs="Times New Roman"/>
          <w:lang w:eastAsia="zh-CN"/>
        </w:rPr>
        <w:t>.</w:t>
      </w:r>
      <w:r>
        <w:rPr>
          <w:rFonts w:hint="eastAsia" w:ascii="Times New Roman" w:hAnsi="Times New Roman" w:cs="Times New Roman"/>
          <w:lang w:eastAsia="zh-CN"/>
        </w:rPr>
        <w:t>8</w:t>
      </w:r>
      <w:r>
        <w:rPr>
          <w:rFonts w:ascii="Times New Roman" w:hAnsi="Times New Roman" w:cs="Times New Roman"/>
          <w:lang w:eastAsia="zh-CN"/>
        </w:rPr>
        <w:t>-</w:t>
      </w:r>
      <w:r>
        <w:rPr>
          <w:rFonts w:hint="eastAsia" w:ascii="Times New Roman" w:hAnsi="Times New Roman" w:cs="Times New Roman"/>
          <w:lang w:eastAsia="zh-CN"/>
        </w:rPr>
        <w:t>6</w:t>
      </w:r>
      <w:r>
        <w:rPr>
          <w:rFonts w:ascii="Times New Roman" w:hAnsi="Times New Roman" w:cs="Times New Roman"/>
          <w:lang w:eastAsia="zh-CN"/>
        </w:rPr>
        <w:t>，</w:t>
      </w:r>
      <w:r>
        <w:rPr>
          <w:rFonts w:hint="eastAsia" w:ascii="Times New Roman" w:hAnsi="Times New Roman" w:cs="Times New Roman"/>
          <w:lang w:eastAsia="zh-CN"/>
        </w:rPr>
        <w:t>31%盐酸</w:t>
      </w:r>
      <w:r>
        <w:rPr>
          <w:rFonts w:ascii="Times New Roman" w:hAnsi="Times New Roman" w:cs="Times New Roman"/>
          <w:lang w:eastAsia="zh-CN"/>
        </w:rPr>
        <w:t>储罐泄漏</w:t>
      </w:r>
      <w:r>
        <w:rPr>
          <w:rFonts w:hint="eastAsia" w:ascii="Times New Roman" w:hAnsi="Times New Roman" w:cs="Times New Roman"/>
          <w:lang w:eastAsia="zh-CN"/>
        </w:rPr>
        <w:t>事故</w:t>
      </w:r>
      <w:r>
        <w:rPr>
          <w:rFonts w:ascii="Times New Roman" w:hAnsi="Times New Roman" w:cs="Times New Roman"/>
          <w:lang w:eastAsia="zh-CN"/>
        </w:rPr>
        <w:t>排放预测浓度达到不同毒性终点浓度的最大影响范围分布见表</w:t>
      </w:r>
      <w:r>
        <w:rPr>
          <w:rFonts w:hint="eastAsia" w:ascii="Times New Roman" w:hAnsi="Times New Roman" w:cs="Times New Roman"/>
          <w:lang w:eastAsia="zh-CN"/>
        </w:rPr>
        <w:t>7</w:t>
      </w:r>
      <w:r>
        <w:rPr>
          <w:rFonts w:ascii="Times New Roman" w:hAnsi="Times New Roman" w:cs="Times New Roman"/>
          <w:lang w:eastAsia="zh-CN"/>
        </w:rPr>
        <w:t>.</w:t>
      </w:r>
      <w:r>
        <w:rPr>
          <w:rFonts w:hint="eastAsia" w:ascii="Times New Roman" w:hAnsi="Times New Roman" w:cs="Times New Roman"/>
          <w:lang w:eastAsia="zh-CN"/>
        </w:rPr>
        <w:t>8</w:t>
      </w:r>
      <w:r>
        <w:rPr>
          <w:rFonts w:ascii="Times New Roman" w:hAnsi="Times New Roman" w:cs="Times New Roman"/>
          <w:lang w:eastAsia="zh-CN"/>
        </w:rPr>
        <w:t>-</w:t>
      </w:r>
      <w:r>
        <w:rPr>
          <w:rFonts w:hint="eastAsia" w:ascii="Times New Roman" w:hAnsi="Times New Roman" w:cs="Times New Roman"/>
          <w:lang w:eastAsia="zh-CN"/>
        </w:rPr>
        <w:t>7</w:t>
      </w:r>
      <w:r>
        <w:rPr>
          <w:rFonts w:ascii="Times New Roman" w:hAnsi="Times New Roman" w:cs="Times New Roman"/>
          <w:lang w:eastAsia="zh-CN"/>
        </w:rPr>
        <w:t>。</w:t>
      </w:r>
    </w:p>
    <w:p w14:paraId="10746CAA">
      <w:pPr>
        <w:spacing w:line="360" w:lineRule="auto"/>
        <w:jc w:val="center"/>
        <w:rPr>
          <w:rFonts w:ascii="Times New Roman" w:hAnsi="Times New Roman" w:cs="Times New Roman"/>
          <w:b/>
          <w:bCs/>
          <w:szCs w:val="24"/>
          <w:lang w:eastAsia="zh-CN"/>
        </w:rPr>
      </w:pPr>
      <w:r>
        <w:rPr>
          <w:rFonts w:ascii="Times New Roman" w:hAnsi="Times New Roman" w:cs="Times New Roman"/>
          <w:b/>
          <w:bCs/>
          <w:szCs w:val="24"/>
          <w:lang w:eastAsia="zh-CN"/>
        </w:rPr>
        <w:t>表</w:t>
      </w:r>
      <w:r>
        <w:rPr>
          <w:rFonts w:hint="eastAsia" w:ascii="Times New Roman" w:hAnsi="Times New Roman" w:cs="Times New Roman"/>
          <w:b/>
          <w:bCs/>
          <w:szCs w:val="24"/>
          <w:lang w:eastAsia="zh-CN"/>
        </w:rPr>
        <w:t>7</w:t>
      </w:r>
      <w:r>
        <w:rPr>
          <w:rFonts w:ascii="Times New Roman" w:hAnsi="Times New Roman" w:cs="Times New Roman"/>
          <w:b/>
          <w:bCs/>
          <w:szCs w:val="24"/>
          <w:lang w:eastAsia="zh-CN"/>
        </w:rPr>
        <w:t>.</w:t>
      </w:r>
      <w:r>
        <w:rPr>
          <w:rFonts w:hint="eastAsia" w:ascii="Times New Roman" w:hAnsi="Times New Roman" w:cs="Times New Roman"/>
          <w:b/>
          <w:bCs/>
          <w:szCs w:val="24"/>
          <w:lang w:eastAsia="zh-CN"/>
        </w:rPr>
        <w:t>8</w:t>
      </w:r>
      <w:r>
        <w:rPr>
          <w:rFonts w:ascii="Times New Roman" w:hAnsi="Times New Roman" w:cs="Times New Roman"/>
          <w:b/>
          <w:bCs/>
          <w:szCs w:val="24"/>
          <w:lang w:eastAsia="zh-CN"/>
        </w:rPr>
        <w:t>-</w:t>
      </w:r>
      <w:r>
        <w:rPr>
          <w:rFonts w:hint="eastAsia" w:ascii="Times New Roman" w:hAnsi="Times New Roman" w:cs="Times New Roman"/>
          <w:b/>
          <w:bCs/>
          <w:szCs w:val="24"/>
          <w:lang w:eastAsia="zh-CN"/>
        </w:rPr>
        <w:t>6 31%盐酸</w:t>
      </w:r>
      <w:r>
        <w:rPr>
          <w:rFonts w:ascii="Times New Roman" w:hAnsi="Times New Roman" w:cs="Times New Roman"/>
          <w:b/>
          <w:bCs/>
          <w:szCs w:val="24"/>
          <w:lang w:eastAsia="zh-CN"/>
        </w:rPr>
        <w:t>储罐泄漏事故排放下风向最大预测浓度一览表</w:t>
      </w:r>
    </w:p>
    <w:tbl>
      <w:tblPr>
        <w:tblStyle w:val="35"/>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15"/>
        <w:gridCol w:w="2181"/>
        <w:gridCol w:w="2187"/>
        <w:gridCol w:w="2181"/>
        <w:gridCol w:w="2174"/>
      </w:tblGrid>
      <w:tr w14:paraId="6B90EC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Merge w:val="restart"/>
            <w:vAlign w:val="center"/>
          </w:tcPr>
          <w:p w14:paraId="46D1105B">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距离（m）</w:t>
            </w:r>
          </w:p>
        </w:tc>
        <w:tc>
          <w:tcPr>
            <w:tcW w:w="2243" w:type="pct"/>
            <w:gridSpan w:val="2"/>
            <w:vAlign w:val="center"/>
          </w:tcPr>
          <w:p w14:paraId="5D6D440E">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最不利气象条件</w:t>
            </w:r>
          </w:p>
        </w:tc>
        <w:tc>
          <w:tcPr>
            <w:tcW w:w="2236" w:type="pct"/>
            <w:gridSpan w:val="2"/>
            <w:vAlign w:val="center"/>
          </w:tcPr>
          <w:p w14:paraId="43D8B47D">
            <w:pPr>
              <w:widowControl w:val="0"/>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最</w:t>
            </w:r>
            <w:r>
              <w:rPr>
                <w:rFonts w:hint="eastAsia" w:ascii="Times New Roman" w:hAnsi="Times New Roman" w:cs="Times New Roman"/>
                <w:b/>
                <w:bCs/>
                <w:color w:val="000000" w:themeColor="text1"/>
                <w:sz w:val="21"/>
                <w:lang w:eastAsia="zh-CN"/>
                <w14:textFill>
                  <w14:solidFill>
                    <w14:schemeClr w14:val="tx1"/>
                  </w14:solidFill>
                </w14:textFill>
              </w:rPr>
              <w:t>常见</w:t>
            </w:r>
            <w:r>
              <w:rPr>
                <w:rFonts w:ascii="Times New Roman" w:hAnsi="Times New Roman" w:cs="Times New Roman"/>
                <w:b/>
                <w:bCs/>
                <w:color w:val="000000" w:themeColor="text1"/>
                <w:sz w:val="21"/>
                <w:lang w:eastAsia="zh-CN"/>
                <w14:textFill>
                  <w14:solidFill>
                    <w14:schemeClr w14:val="tx1"/>
                  </w14:solidFill>
                </w14:textFill>
              </w:rPr>
              <w:t>气象条件</w:t>
            </w:r>
          </w:p>
        </w:tc>
      </w:tr>
      <w:tr w14:paraId="2D9FA7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Merge w:val="continue"/>
            <w:vAlign w:val="center"/>
          </w:tcPr>
          <w:p w14:paraId="31C8742B">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p>
        </w:tc>
        <w:tc>
          <w:tcPr>
            <w:tcW w:w="1120" w:type="pct"/>
            <w:vAlign w:val="center"/>
          </w:tcPr>
          <w:p w14:paraId="721D5B14">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浓度出现时间</w:t>
            </w:r>
          </w:p>
        </w:tc>
        <w:tc>
          <w:tcPr>
            <w:tcW w:w="1123" w:type="pct"/>
            <w:vAlign w:val="center"/>
          </w:tcPr>
          <w:p w14:paraId="6B3BF6B7">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高峰浓度</w:t>
            </w:r>
          </w:p>
        </w:tc>
        <w:tc>
          <w:tcPr>
            <w:tcW w:w="1120" w:type="pct"/>
            <w:vAlign w:val="center"/>
          </w:tcPr>
          <w:p w14:paraId="7674AC69">
            <w:pPr>
              <w:widowControl w:val="0"/>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浓度出现时间</w:t>
            </w:r>
          </w:p>
        </w:tc>
        <w:tc>
          <w:tcPr>
            <w:tcW w:w="1116" w:type="pct"/>
            <w:vAlign w:val="center"/>
          </w:tcPr>
          <w:p w14:paraId="75072191">
            <w:pPr>
              <w:widowControl w:val="0"/>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高峰浓度</w:t>
            </w:r>
          </w:p>
        </w:tc>
      </w:tr>
      <w:tr w14:paraId="3C48EE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Merge w:val="continue"/>
            <w:vAlign w:val="center"/>
          </w:tcPr>
          <w:p w14:paraId="60E5A0EF">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p>
        </w:tc>
        <w:tc>
          <w:tcPr>
            <w:tcW w:w="1120" w:type="pct"/>
            <w:vAlign w:val="center"/>
          </w:tcPr>
          <w:p w14:paraId="645BE975">
            <w:pPr>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（min）</w:t>
            </w:r>
          </w:p>
        </w:tc>
        <w:tc>
          <w:tcPr>
            <w:tcW w:w="1123" w:type="pct"/>
            <w:vAlign w:val="center"/>
          </w:tcPr>
          <w:p w14:paraId="35181847">
            <w:pPr>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（mg/m</w:t>
            </w:r>
            <w:r>
              <w:rPr>
                <w:rFonts w:ascii="Times New Roman" w:hAnsi="Times New Roman" w:cs="Times New Roman"/>
                <w:b/>
                <w:bCs/>
                <w:color w:val="000000" w:themeColor="text1"/>
                <w:sz w:val="21"/>
                <w:vertAlign w:val="superscript"/>
                <w:lang w:eastAsia="zh-CN"/>
                <w14:textFill>
                  <w14:solidFill>
                    <w14:schemeClr w14:val="tx1"/>
                  </w14:solidFill>
                </w14:textFill>
              </w:rPr>
              <w:t>3</w:t>
            </w:r>
            <w:r>
              <w:rPr>
                <w:rFonts w:ascii="Times New Roman" w:hAnsi="Times New Roman" w:cs="Times New Roman"/>
                <w:b/>
                <w:bCs/>
                <w:color w:val="000000" w:themeColor="text1"/>
                <w:sz w:val="21"/>
                <w:lang w:eastAsia="zh-CN"/>
                <w14:textFill>
                  <w14:solidFill>
                    <w14:schemeClr w14:val="tx1"/>
                  </w14:solidFill>
                </w14:textFill>
              </w:rPr>
              <w:t>）</w:t>
            </w:r>
          </w:p>
        </w:tc>
        <w:tc>
          <w:tcPr>
            <w:tcW w:w="1120" w:type="pct"/>
            <w:vAlign w:val="center"/>
          </w:tcPr>
          <w:p w14:paraId="78682F69">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（min）</w:t>
            </w:r>
          </w:p>
        </w:tc>
        <w:tc>
          <w:tcPr>
            <w:tcW w:w="1116" w:type="pct"/>
            <w:vAlign w:val="center"/>
          </w:tcPr>
          <w:p w14:paraId="4FEFC442">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（mg/m</w:t>
            </w:r>
            <w:r>
              <w:rPr>
                <w:rFonts w:ascii="Times New Roman" w:hAnsi="Times New Roman" w:cs="Times New Roman"/>
                <w:b/>
                <w:bCs/>
                <w:color w:val="000000" w:themeColor="text1"/>
                <w:sz w:val="21"/>
                <w:vertAlign w:val="superscript"/>
                <w:lang w:eastAsia="zh-CN"/>
                <w14:textFill>
                  <w14:solidFill>
                    <w14:schemeClr w14:val="tx1"/>
                  </w14:solidFill>
                </w14:textFill>
              </w:rPr>
              <w:t>3</w:t>
            </w:r>
            <w:r>
              <w:rPr>
                <w:rFonts w:ascii="Times New Roman" w:hAnsi="Times New Roman" w:cs="Times New Roman"/>
                <w:b/>
                <w:bCs/>
                <w:color w:val="000000" w:themeColor="text1"/>
                <w:sz w:val="21"/>
                <w:lang w:eastAsia="zh-CN"/>
                <w14:textFill>
                  <w14:solidFill>
                    <w14:schemeClr w14:val="tx1"/>
                  </w14:solidFill>
                </w14:textFill>
              </w:rPr>
              <w:t>）</w:t>
            </w:r>
          </w:p>
        </w:tc>
      </w:tr>
      <w:tr w14:paraId="6D204E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1" w:type="pct"/>
            <w:vAlign w:val="center"/>
          </w:tcPr>
          <w:p w14:paraId="54E7B6CE">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10</w:t>
            </w:r>
          </w:p>
        </w:tc>
        <w:tc>
          <w:tcPr>
            <w:tcW w:w="1120" w:type="pct"/>
            <w:vAlign w:val="center"/>
          </w:tcPr>
          <w:p w14:paraId="585CDC38">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7D7932F2">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2DA46F9E">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185AC410">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r>
      <w:tr w14:paraId="02BDCD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Align w:val="center"/>
          </w:tcPr>
          <w:p w14:paraId="0B618023">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100</w:t>
            </w:r>
          </w:p>
        </w:tc>
        <w:tc>
          <w:tcPr>
            <w:tcW w:w="1120" w:type="pct"/>
            <w:vAlign w:val="center"/>
          </w:tcPr>
          <w:p w14:paraId="367D6AD9">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0478E027">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2C3BD910">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0F030AB0">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r>
      <w:tr w14:paraId="106FBF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Align w:val="center"/>
          </w:tcPr>
          <w:p w14:paraId="46830B89">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200</w:t>
            </w:r>
          </w:p>
        </w:tc>
        <w:tc>
          <w:tcPr>
            <w:tcW w:w="1120" w:type="pct"/>
            <w:vAlign w:val="center"/>
          </w:tcPr>
          <w:p w14:paraId="2C5E6FE6">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3DF78EF7">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5D346D59">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3F53E472">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r>
      <w:tr w14:paraId="432E22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Align w:val="center"/>
          </w:tcPr>
          <w:p w14:paraId="2A158CA0">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300</w:t>
            </w:r>
          </w:p>
        </w:tc>
        <w:tc>
          <w:tcPr>
            <w:tcW w:w="1120" w:type="pct"/>
            <w:vAlign w:val="center"/>
          </w:tcPr>
          <w:p w14:paraId="17C09345">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51DE79EF">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5EF8A4AF">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03D2A5C5">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r>
      <w:tr w14:paraId="6788CE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1" w:type="pct"/>
            <w:vAlign w:val="center"/>
          </w:tcPr>
          <w:p w14:paraId="5BDC2781">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400</w:t>
            </w:r>
          </w:p>
        </w:tc>
        <w:tc>
          <w:tcPr>
            <w:tcW w:w="1120" w:type="pct"/>
            <w:vAlign w:val="center"/>
          </w:tcPr>
          <w:p w14:paraId="27E46C36">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01182020">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0" w:type="pct"/>
            <w:vAlign w:val="center"/>
          </w:tcPr>
          <w:p w14:paraId="15950A33">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11B4FE34">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r>
      <w:tr w14:paraId="0C1E75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Align w:val="center"/>
          </w:tcPr>
          <w:p w14:paraId="065EFAB0">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500</w:t>
            </w:r>
          </w:p>
        </w:tc>
        <w:tc>
          <w:tcPr>
            <w:tcW w:w="1120" w:type="pct"/>
            <w:vAlign w:val="center"/>
          </w:tcPr>
          <w:p w14:paraId="04C3EF3C">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6BBD743C">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5E211EC7">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37A6913C">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r>
      <w:tr w14:paraId="3E3CF7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Align w:val="center"/>
          </w:tcPr>
          <w:p w14:paraId="07916CE3">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600</w:t>
            </w:r>
          </w:p>
        </w:tc>
        <w:tc>
          <w:tcPr>
            <w:tcW w:w="1120" w:type="pct"/>
            <w:vAlign w:val="center"/>
          </w:tcPr>
          <w:p w14:paraId="710AE3D4">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49D33207">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463313AE">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3086CB96">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r>
      <w:tr w14:paraId="6A0441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Align w:val="center"/>
          </w:tcPr>
          <w:p w14:paraId="43DCE670">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700</w:t>
            </w:r>
          </w:p>
        </w:tc>
        <w:tc>
          <w:tcPr>
            <w:tcW w:w="1120" w:type="pct"/>
            <w:vAlign w:val="center"/>
          </w:tcPr>
          <w:p w14:paraId="0C8120F2">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50D9979D">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469A489D">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27E07C10">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r>
      <w:tr w14:paraId="162005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Align w:val="center"/>
          </w:tcPr>
          <w:p w14:paraId="4044A972">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800</w:t>
            </w:r>
          </w:p>
        </w:tc>
        <w:tc>
          <w:tcPr>
            <w:tcW w:w="1120" w:type="pct"/>
            <w:vAlign w:val="center"/>
          </w:tcPr>
          <w:p w14:paraId="2525554E">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2446517A">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38B07B61">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657A0BB5">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r>
      <w:tr w14:paraId="06E03E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Align w:val="center"/>
          </w:tcPr>
          <w:p w14:paraId="659059DE">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900</w:t>
            </w:r>
          </w:p>
        </w:tc>
        <w:tc>
          <w:tcPr>
            <w:tcW w:w="1120" w:type="pct"/>
            <w:vAlign w:val="center"/>
          </w:tcPr>
          <w:p w14:paraId="6DD494C1">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0F5B9AAA">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48492A9F">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39F4FED0">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r>
      <w:tr w14:paraId="2D695A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Align w:val="center"/>
          </w:tcPr>
          <w:p w14:paraId="63C55697">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1000</w:t>
            </w:r>
          </w:p>
        </w:tc>
        <w:tc>
          <w:tcPr>
            <w:tcW w:w="1120" w:type="pct"/>
            <w:vAlign w:val="center"/>
          </w:tcPr>
          <w:p w14:paraId="2497D2C6">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6F7DA954">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42D5EC95">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23E1EDB7">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r>
      <w:tr w14:paraId="5FBBAC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Align w:val="center"/>
          </w:tcPr>
          <w:p w14:paraId="3DBA0720">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1500</w:t>
            </w:r>
          </w:p>
        </w:tc>
        <w:tc>
          <w:tcPr>
            <w:tcW w:w="1120" w:type="pct"/>
            <w:vAlign w:val="center"/>
          </w:tcPr>
          <w:p w14:paraId="24B03796">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17512A9F">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1FDCC0EC">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72E1E92F">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r>
      <w:tr w14:paraId="1B6AAE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Align w:val="center"/>
          </w:tcPr>
          <w:p w14:paraId="3DE50B6F">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2000</w:t>
            </w:r>
          </w:p>
        </w:tc>
        <w:tc>
          <w:tcPr>
            <w:tcW w:w="1120" w:type="pct"/>
            <w:vAlign w:val="center"/>
          </w:tcPr>
          <w:p w14:paraId="16F48249">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3D36DFA5">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7D2E8E76">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7E1C36AE">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r>
      <w:tr w14:paraId="4E4BB7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Align w:val="center"/>
          </w:tcPr>
          <w:p w14:paraId="66A686F1">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2500</w:t>
            </w:r>
          </w:p>
        </w:tc>
        <w:tc>
          <w:tcPr>
            <w:tcW w:w="1120" w:type="pct"/>
            <w:vAlign w:val="center"/>
          </w:tcPr>
          <w:p w14:paraId="1D93C7C9">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496423A4">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21B81835">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2E8563A0">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r>
      <w:tr w14:paraId="1CA0A2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521" w:type="pct"/>
            <w:vAlign w:val="center"/>
          </w:tcPr>
          <w:p w14:paraId="49D378A4">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3000</w:t>
            </w:r>
          </w:p>
        </w:tc>
        <w:tc>
          <w:tcPr>
            <w:tcW w:w="1120" w:type="pct"/>
            <w:vAlign w:val="center"/>
          </w:tcPr>
          <w:p w14:paraId="50C7F5E8">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2231A651">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65C62D84">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7ECD14B7">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r>
      <w:tr w14:paraId="5DD51C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Align w:val="center"/>
          </w:tcPr>
          <w:p w14:paraId="598D736E">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3500</w:t>
            </w:r>
          </w:p>
        </w:tc>
        <w:tc>
          <w:tcPr>
            <w:tcW w:w="1120" w:type="pct"/>
            <w:vAlign w:val="center"/>
          </w:tcPr>
          <w:p w14:paraId="22921FB9">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5AD7D119">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247DA492">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031F2B84">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r>
      <w:tr w14:paraId="4C5767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Align w:val="center"/>
          </w:tcPr>
          <w:p w14:paraId="53B15C24">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4000</w:t>
            </w:r>
          </w:p>
        </w:tc>
        <w:tc>
          <w:tcPr>
            <w:tcW w:w="1120" w:type="pct"/>
            <w:vAlign w:val="center"/>
          </w:tcPr>
          <w:p w14:paraId="5628C54A">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75259D84">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3F18D7E6">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371F71A4">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r>
      <w:tr w14:paraId="6606EF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Align w:val="center"/>
          </w:tcPr>
          <w:p w14:paraId="50232D85">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4500</w:t>
            </w:r>
          </w:p>
        </w:tc>
        <w:tc>
          <w:tcPr>
            <w:tcW w:w="1120" w:type="pct"/>
            <w:vAlign w:val="center"/>
          </w:tcPr>
          <w:p w14:paraId="70962FC4">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4CB353FC">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16A9C60A">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0A1F18CC">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r>
      <w:tr w14:paraId="47E98E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1" w:type="pct"/>
            <w:vAlign w:val="center"/>
          </w:tcPr>
          <w:p w14:paraId="33134DFF">
            <w:pPr>
              <w:widowControl w:val="0"/>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5000</w:t>
            </w:r>
          </w:p>
        </w:tc>
        <w:tc>
          <w:tcPr>
            <w:tcW w:w="1120" w:type="pct"/>
            <w:vAlign w:val="center"/>
          </w:tcPr>
          <w:p w14:paraId="06A3FAA5">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23" w:type="pct"/>
            <w:vAlign w:val="center"/>
          </w:tcPr>
          <w:p w14:paraId="5BD33899">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c>
          <w:tcPr>
            <w:tcW w:w="1120" w:type="pct"/>
            <w:vAlign w:val="center"/>
          </w:tcPr>
          <w:p w14:paraId="512F2950">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1116" w:type="pct"/>
            <w:vAlign w:val="center"/>
          </w:tcPr>
          <w:p w14:paraId="1950B2D6">
            <w:pPr>
              <w:jc w:val="center"/>
              <w:textAlignment w:val="center"/>
              <w:rPr>
                <w:rFonts w:ascii="Times New Roman" w:hAnsi="Times New Roman" w:cs="Times New Roman"/>
                <w:color w:val="000000" w:themeColor="text1"/>
                <w:sz w:val="21"/>
                <w:lang w:val="zh-CN" w:eastAsia="zh-CN" w:bidi="ar"/>
                <w14:textFill>
                  <w14:solidFill>
                    <w14:schemeClr w14:val="tx1"/>
                  </w14:solidFill>
                </w14:textFill>
              </w:rPr>
            </w:pPr>
          </w:p>
        </w:tc>
      </w:tr>
    </w:tbl>
    <w:p w14:paraId="114D3CC7">
      <w:pPr>
        <w:spacing w:line="360" w:lineRule="auto"/>
        <w:jc w:val="center"/>
        <w:rPr>
          <w:rFonts w:ascii="Times New Roman" w:hAnsi="Times New Roman" w:cs="Times New Roman"/>
          <w:b/>
          <w:bCs/>
          <w:szCs w:val="24"/>
          <w:lang w:eastAsia="zh-CN"/>
        </w:rPr>
      </w:pPr>
      <w:r>
        <w:rPr>
          <w:rFonts w:ascii="Times New Roman" w:hAnsi="Times New Roman" w:cs="Times New Roman"/>
          <w:b/>
          <w:bCs/>
          <w:szCs w:val="24"/>
          <w:lang w:eastAsia="zh-CN"/>
        </w:rPr>
        <w:t>表</w:t>
      </w:r>
      <w:r>
        <w:rPr>
          <w:rFonts w:hint="eastAsia" w:ascii="Times New Roman" w:hAnsi="Times New Roman" w:cs="Times New Roman"/>
          <w:b/>
          <w:bCs/>
          <w:szCs w:val="24"/>
          <w:lang w:eastAsia="zh-CN"/>
        </w:rPr>
        <w:t>7</w:t>
      </w:r>
      <w:r>
        <w:rPr>
          <w:rFonts w:ascii="Times New Roman" w:hAnsi="Times New Roman" w:cs="Times New Roman"/>
          <w:b/>
          <w:bCs/>
          <w:szCs w:val="24"/>
          <w:lang w:eastAsia="zh-CN"/>
        </w:rPr>
        <w:t>.</w:t>
      </w:r>
      <w:r>
        <w:rPr>
          <w:rFonts w:hint="eastAsia" w:ascii="Times New Roman" w:hAnsi="Times New Roman" w:cs="Times New Roman"/>
          <w:b/>
          <w:bCs/>
          <w:szCs w:val="24"/>
          <w:lang w:eastAsia="zh-CN"/>
        </w:rPr>
        <w:t>8</w:t>
      </w:r>
      <w:r>
        <w:rPr>
          <w:rFonts w:ascii="Times New Roman" w:hAnsi="Times New Roman" w:cs="Times New Roman"/>
          <w:b/>
          <w:bCs/>
          <w:szCs w:val="24"/>
          <w:lang w:eastAsia="zh-CN"/>
        </w:rPr>
        <w:t>-</w:t>
      </w:r>
      <w:r>
        <w:rPr>
          <w:rFonts w:hint="eastAsia" w:ascii="Times New Roman" w:hAnsi="Times New Roman" w:cs="Times New Roman"/>
          <w:b/>
          <w:bCs/>
          <w:szCs w:val="24"/>
          <w:lang w:eastAsia="zh-CN"/>
        </w:rPr>
        <w:t>7</w:t>
      </w:r>
      <w:r>
        <w:rPr>
          <w:rFonts w:ascii="Times New Roman" w:hAnsi="Times New Roman" w:cs="Times New Roman"/>
          <w:b/>
          <w:bCs/>
          <w:szCs w:val="24"/>
          <w:lang w:eastAsia="zh-CN"/>
        </w:rPr>
        <w:t xml:space="preserve"> </w:t>
      </w:r>
      <w:r>
        <w:rPr>
          <w:rFonts w:hint="eastAsia" w:ascii="Times New Roman" w:hAnsi="Times New Roman" w:cs="Times New Roman"/>
          <w:b/>
          <w:bCs/>
          <w:szCs w:val="24"/>
          <w:lang w:eastAsia="zh-CN"/>
        </w:rPr>
        <w:t xml:space="preserve">  31%盐酸</w:t>
      </w:r>
      <w:r>
        <w:rPr>
          <w:rFonts w:ascii="Times New Roman" w:hAnsi="Times New Roman" w:cs="Times New Roman"/>
          <w:b/>
          <w:bCs/>
          <w:szCs w:val="24"/>
          <w:lang w:eastAsia="zh-CN"/>
        </w:rPr>
        <w:t>储罐泄漏事故最大影响范围一览表</w:t>
      </w:r>
    </w:p>
    <w:tbl>
      <w:tblPr>
        <w:tblStyle w:val="35"/>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431"/>
        <w:gridCol w:w="2437"/>
        <w:gridCol w:w="2435"/>
        <w:gridCol w:w="2437"/>
      </w:tblGrid>
      <w:tr w14:paraId="334ADB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8" w:type="pct"/>
            <w:vMerge w:val="restart"/>
            <w:vAlign w:val="center"/>
          </w:tcPr>
          <w:p w14:paraId="5B215151">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气象条件</w:t>
            </w:r>
          </w:p>
        </w:tc>
        <w:tc>
          <w:tcPr>
            <w:tcW w:w="1251" w:type="pct"/>
            <w:vMerge w:val="restart"/>
            <w:vAlign w:val="center"/>
          </w:tcPr>
          <w:p w14:paraId="28398504">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评价标准</w:t>
            </w:r>
          </w:p>
        </w:tc>
        <w:tc>
          <w:tcPr>
            <w:tcW w:w="2501" w:type="pct"/>
            <w:gridSpan w:val="2"/>
            <w:vAlign w:val="center"/>
          </w:tcPr>
          <w:p w14:paraId="41B0B635">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最大影响范围</w:t>
            </w:r>
          </w:p>
        </w:tc>
      </w:tr>
      <w:tr w14:paraId="114D06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8" w:type="pct"/>
            <w:vMerge w:val="continue"/>
            <w:vAlign w:val="center"/>
          </w:tcPr>
          <w:p w14:paraId="59C94751">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p>
        </w:tc>
        <w:tc>
          <w:tcPr>
            <w:tcW w:w="1251" w:type="pct"/>
            <w:vMerge w:val="continue"/>
            <w:vAlign w:val="center"/>
          </w:tcPr>
          <w:p w14:paraId="19C1C2F3">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p>
        </w:tc>
        <w:tc>
          <w:tcPr>
            <w:tcW w:w="1250" w:type="pct"/>
            <w:vAlign w:val="center"/>
          </w:tcPr>
          <w:p w14:paraId="3960938F">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最大距离（m）</w:t>
            </w:r>
          </w:p>
        </w:tc>
        <w:tc>
          <w:tcPr>
            <w:tcW w:w="1251" w:type="pct"/>
            <w:vAlign w:val="center"/>
          </w:tcPr>
          <w:p w14:paraId="4909A007">
            <w:pPr>
              <w:widowControl w:val="0"/>
              <w:adjustRightInd w:val="0"/>
              <w:snapToGrid w:val="0"/>
              <w:jc w:val="center"/>
              <w:rPr>
                <w:rFonts w:ascii="Times New Roman" w:hAnsi="Times New Roman" w:cs="Times New Roman"/>
                <w:b/>
                <w:bCs/>
                <w:color w:val="000000" w:themeColor="text1"/>
                <w:sz w:val="21"/>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最大半宽（m）</w:t>
            </w:r>
          </w:p>
        </w:tc>
      </w:tr>
      <w:tr w14:paraId="3BC35B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8" w:type="pct"/>
            <w:vMerge w:val="restart"/>
            <w:vAlign w:val="center"/>
          </w:tcPr>
          <w:p w14:paraId="53006F04">
            <w:pPr>
              <w:widowControl w:val="0"/>
              <w:adjustRightInd w:val="0"/>
              <w:snapToGrid w:val="0"/>
              <w:jc w:val="center"/>
              <w:rPr>
                <w:rFonts w:ascii="Times New Roman" w:hAnsi="Times New Roman" w:cs="Times New Roman"/>
                <w:color w:val="000000" w:themeColor="text1"/>
                <w:szCs w:val="24"/>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最不利气象条件</w:t>
            </w:r>
          </w:p>
        </w:tc>
        <w:tc>
          <w:tcPr>
            <w:tcW w:w="1251" w:type="pct"/>
            <w:vAlign w:val="center"/>
          </w:tcPr>
          <w:p w14:paraId="52AFBD9A">
            <w:pPr>
              <w:widowControl w:val="0"/>
              <w:adjustRightInd w:val="0"/>
              <w:snapToGrid w:val="0"/>
              <w:jc w:val="center"/>
              <w:rPr>
                <w:rFonts w:ascii="Times New Roman" w:hAnsi="Times New Roman" w:cs="Times New Roman"/>
                <w:color w:val="000000" w:themeColor="text1"/>
                <w:szCs w:val="24"/>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1级毒性终点浓度</w:t>
            </w:r>
          </w:p>
        </w:tc>
        <w:tc>
          <w:tcPr>
            <w:tcW w:w="1250" w:type="pct"/>
            <w:vAlign w:val="center"/>
          </w:tcPr>
          <w:p w14:paraId="3B098BEC">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251" w:type="pct"/>
            <w:vAlign w:val="center"/>
          </w:tcPr>
          <w:p w14:paraId="7849A171">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r>
      <w:tr w14:paraId="38E0A1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48" w:type="pct"/>
            <w:vMerge w:val="continue"/>
            <w:vAlign w:val="center"/>
          </w:tcPr>
          <w:p w14:paraId="509BC820">
            <w:pPr>
              <w:widowControl w:val="0"/>
              <w:adjustRightInd w:val="0"/>
              <w:snapToGrid w:val="0"/>
              <w:jc w:val="center"/>
              <w:rPr>
                <w:rFonts w:ascii="Times New Roman" w:hAnsi="Times New Roman" w:cs="Times New Roman"/>
                <w:color w:val="000000" w:themeColor="text1"/>
                <w:szCs w:val="24"/>
                <w14:textFill>
                  <w14:solidFill>
                    <w14:schemeClr w14:val="tx1"/>
                  </w14:solidFill>
                </w14:textFill>
              </w:rPr>
            </w:pPr>
          </w:p>
        </w:tc>
        <w:tc>
          <w:tcPr>
            <w:tcW w:w="1251" w:type="pct"/>
            <w:vAlign w:val="center"/>
          </w:tcPr>
          <w:p w14:paraId="03594B4C">
            <w:pPr>
              <w:widowControl w:val="0"/>
              <w:adjustRightInd w:val="0"/>
              <w:snapToGrid w:val="0"/>
              <w:jc w:val="center"/>
              <w:rPr>
                <w:rFonts w:ascii="Times New Roman" w:hAnsi="Times New Roman" w:cs="Times New Roman"/>
                <w:color w:val="000000" w:themeColor="text1"/>
                <w:szCs w:val="24"/>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2级毒性终点浓度</w:t>
            </w:r>
          </w:p>
        </w:tc>
        <w:tc>
          <w:tcPr>
            <w:tcW w:w="1250" w:type="pct"/>
            <w:vAlign w:val="center"/>
          </w:tcPr>
          <w:p w14:paraId="13AA43A8">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251" w:type="pct"/>
            <w:vAlign w:val="center"/>
          </w:tcPr>
          <w:p w14:paraId="05F23B7B">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r>
      <w:tr w14:paraId="7769DC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8" w:type="pct"/>
            <w:vMerge w:val="restart"/>
            <w:vAlign w:val="center"/>
          </w:tcPr>
          <w:p w14:paraId="1C8F0827">
            <w:pPr>
              <w:widowControl w:val="0"/>
              <w:adjustRightInd w:val="0"/>
              <w:snapToGrid w:val="0"/>
              <w:jc w:val="center"/>
              <w:rPr>
                <w:rFonts w:ascii="Times New Roman" w:hAnsi="Times New Roman" w:cs="Times New Roman"/>
                <w:color w:val="000000" w:themeColor="text1"/>
                <w:szCs w:val="24"/>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最</w:t>
            </w:r>
            <w:r>
              <w:rPr>
                <w:rFonts w:hint="eastAsia" w:ascii="Times New Roman" w:hAnsi="Times New Roman" w:cs="Times New Roman"/>
                <w:color w:val="000000" w:themeColor="text1"/>
                <w:sz w:val="21"/>
                <w:lang w:eastAsia="zh-CN"/>
                <w14:textFill>
                  <w14:solidFill>
                    <w14:schemeClr w14:val="tx1"/>
                  </w14:solidFill>
                </w14:textFill>
              </w:rPr>
              <w:t>常见</w:t>
            </w:r>
            <w:r>
              <w:rPr>
                <w:rFonts w:ascii="Times New Roman" w:hAnsi="Times New Roman" w:cs="Times New Roman"/>
                <w:color w:val="000000" w:themeColor="text1"/>
                <w:sz w:val="21"/>
                <w:lang w:eastAsia="zh-CN"/>
                <w14:textFill>
                  <w14:solidFill>
                    <w14:schemeClr w14:val="tx1"/>
                  </w14:solidFill>
                </w14:textFill>
              </w:rPr>
              <w:t>气象条件</w:t>
            </w:r>
          </w:p>
        </w:tc>
        <w:tc>
          <w:tcPr>
            <w:tcW w:w="1251" w:type="pct"/>
            <w:vAlign w:val="center"/>
          </w:tcPr>
          <w:p w14:paraId="36387BE3">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1级毒性终点浓度</w:t>
            </w:r>
          </w:p>
        </w:tc>
        <w:tc>
          <w:tcPr>
            <w:tcW w:w="1250" w:type="pct"/>
            <w:vAlign w:val="center"/>
          </w:tcPr>
          <w:p w14:paraId="2FF58464">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251" w:type="pct"/>
            <w:vAlign w:val="center"/>
          </w:tcPr>
          <w:p w14:paraId="78E4AA65">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r>
      <w:tr w14:paraId="60F473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8" w:type="pct"/>
            <w:vMerge w:val="continue"/>
            <w:vAlign w:val="center"/>
          </w:tcPr>
          <w:p w14:paraId="332EA625">
            <w:pPr>
              <w:widowControl w:val="0"/>
              <w:adjustRightInd w:val="0"/>
              <w:snapToGrid w:val="0"/>
              <w:jc w:val="center"/>
              <w:rPr>
                <w:rFonts w:ascii="Times New Roman" w:hAnsi="Times New Roman" w:cs="Times New Roman"/>
                <w:color w:val="000000" w:themeColor="text1"/>
                <w:szCs w:val="24"/>
                <w14:textFill>
                  <w14:solidFill>
                    <w14:schemeClr w14:val="tx1"/>
                  </w14:solidFill>
                </w14:textFill>
              </w:rPr>
            </w:pPr>
          </w:p>
        </w:tc>
        <w:tc>
          <w:tcPr>
            <w:tcW w:w="1251" w:type="pct"/>
            <w:vAlign w:val="center"/>
          </w:tcPr>
          <w:p w14:paraId="1FA8B049">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2级毒性终点浓度</w:t>
            </w:r>
          </w:p>
        </w:tc>
        <w:tc>
          <w:tcPr>
            <w:tcW w:w="1250" w:type="pct"/>
            <w:vAlign w:val="center"/>
          </w:tcPr>
          <w:p w14:paraId="257FA801">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251" w:type="pct"/>
            <w:vAlign w:val="center"/>
          </w:tcPr>
          <w:p w14:paraId="2D5CECC8">
            <w:pPr>
              <w:widowControl w:val="0"/>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r>
    </w:tbl>
    <w:p w14:paraId="1D0EFDB9">
      <w:pPr>
        <w:widowControl w:val="0"/>
        <w:spacing w:line="360" w:lineRule="auto"/>
        <w:jc w:val="center"/>
        <w:rPr>
          <w:rFonts w:ascii="Times New Roman" w:hAnsi="Times New Roman" w:cs="Times New Roman"/>
          <w:color w:val="auto"/>
          <w:szCs w:val="24"/>
          <w:lang w:eastAsia="zh-CN"/>
        </w:rPr>
      </w:pPr>
      <w:r>
        <w:rPr>
          <w:snapToGrid/>
          <w:lang w:eastAsia="zh-CN"/>
        </w:rPr>
        <w:drawing>
          <wp:anchor distT="0" distB="0" distL="114300" distR="114300" simplePos="0" relativeHeight="251779072" behindDoc="0" locked="0" layoutInCell="1" allowOverlap="1">
            <wp:simplePos x="0" y="0"/>
            <wp:positionH relativeFrom="column">
              <wp:posOffset>5226685</wp:posOffset>
            </wp:positionH>
            <wp:positionV relativeFrom="paragraph">
              <wp:posOffset>95885</wp:posOffset>
            </wp:positionV>
            <wp:extent cx="875030" cy="661670"/>
            <wp:effectExtent l="0" t="0" r="0" b="0"/>
            <wp:wrapNone/>
            <wp:docPr id="5484"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4" name="图片 15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875030" cy="661670"/>
                    </a:xfrm>
                    <a:prstGeom prst="rect">
                      <a:avLst/>
                    </a:prstGeom>
                    <a:noFill/>
                    <a:ln>
                      <a:noFill/>
                    </a:ln>
                  </pic:spPr>
                </pic:pic>
              </a:graphicData>
            </a:graphic>
          </wp:anchor>
        </w:drawing>
      </w:r>
    </w:p>
    <w:p w14:paraId="63285A67">
      <w:pPr>
        <w:widowControl w:val="0"/>
        <w:spacing w:line="360" w:lineRule="auto"/>
        <w:jc w:val="center"/>
        <w:rPr>
          <w:rFonts w:ascii="Times New Roman" w:hAnsi="Times New Roman" w:cs="Times New Roman"/>
          <w:szCs w:val="24"/>
          <w:lang w:eastAsia="zh-CN"/>
        </w:rPr>
      </w:pPr>
      <w:r>
        <w:rPr>
          <w:rFonts w:ascii="Times New Roman" w:hAnsi="Times New Roman" w:cs="Times New Roman"/>
          <w:b/>
          <w:bCs/>
          <w:lang w:eastAsia="zh-CN"/>
        </w:rPr>
        <w:t>图</w:t>
      </w:r>
      <w:r>
        <w:rPr>
          <w:rFonts w:hint="eastAsia" w:ascii="Times New Roman" w:hAnsi="Times New Roman" w:cs="Times New Roman"/>
          <w:b/>
          <w:bCs/>
          <w:lang w:eastAsia="zh-CN"/>
        </w:rPr>
        <w:t>7</w:t>
      </w:r>
      <w:r>
        <w:rPr>
          <w:rFonts w:ascii="Times New Roman" w:hAnsi="Times New Roman" w:cs="Times New Roman"/>
          <w:b/>
          <w:bCs/>
          <w:lang w:eastAsia="zh-CN"/>
        </w:rPr>
        <w:t>.</w:t>
      </w:r>
      <w:r>
        <w:rPr>
          <w:rFonts w:hint="eastAsia" w:ascii="Times New Roman" w:hAnsi="Times New Roman" w:cs="Times New Roman"/>
          <w:b/>
          <w:bCs/>
          <w:lang w:eastAsia="zh-CN"/>
        </w:rPr>
        <w:t>8</w:t>
      </w:r>
      <w:r>
        <w:rPr>
          <w:rFonts w:ascii="Times New Roman" w:hAnsi="Times New Roman" w:cs="Times New Roman"/>
          <w:b/>
          <w:bCs/>
          <w:lang w:eastAsia="zh-CN"/>
        </w:rPr>
        <w:t>-</w:t>
      </w:r>
      <w:r>
        <w:rPr>
          <w:rFonts w:hint="eastAsia" w:ascii="Times New Roman" w:hAnsi="Times New Roman" w:cs="Times New Roman"/>
          <w:b/>
          <w:bCs/>
          <w:lang w:eastAsia="zh-CN"/>
        </w:rPr>
        <w:t>3</w:t>
      </w:r>
      <w:r>
        <w:rPr>
          <w:rFonts w:ascii="Times New Roman" w:hAnsi="Times New Roman" w:cs="Times New Roman"/>
          <w:b/>
          <w:bCs/>
          <w:lang w:eastAsia="zh-CN"/>
        </w:rPr>
        <w:t xml:space="preserve"> 最不利气象条件下</w:t>
      </w:r>
      <w:r>
        <w:rPr>
          <w:rFonts w:hint="eastAsia" w:ascii="Times New Roman" w:hAnsi="Times New Roman" w:cs="Times New Roman"/>
          <w:b/>
          <w:bCs/>
          <w:lang w:eastAsia="zh-CN"/>
        </w:rPr>
        <w:t>31%盐酸</w:t>
      </w:r>
      <w:r>
        <w:rPr>
          <w:rFonts w:ascii="Times New Roman" w:hAnsi="Times New Roman" w:cs="Times New Roman"/>
          <w:b/>
          <w:bCs/>
          <w:lang w:eastAsia="zh-CN"/>
        </w:rPr>
        <w:t>储罐泄漏事故危害区域图</w:t>
      </w:r>
    </w:p>
    <w:p w14:paraId="1E21041A">
      <w:pPr>
        <w:widowControl w:val="0"/>
        <w:spacing w:line="360" w:lineRule="auto"/>
        <w:jc w:val="center"/>
        <w:rPr>
          <w:rFonts w:ascii="Times New Roman" w:hAnsi="Times New Roman" w:cs="Times New Roman"/>
          <w:color w:val="auto"/>
          <w:szCs w:val="24"/>
          <w:lang w:eastAsia="zh-CN"/>
        </w:rPr>
      </w:pPr>
      <w:r>
        <w:rPr>
          <w:snapToGrid/>
          <w:lang w:eastAsia="zh-CN"/>
        </w:rPr>
        <w:drawing>
          <wp:anchor distT="0" distB="0" distL="114300" distR="114300" simplePos="0" relativeHeight="251780096" behindDoc="0" locked="0" layoutInCell="1" allowOverlap="1">
            <wp:simplePos x="0" y="0"/>
            <wp:positionH relativeFrom="column">
              <wp:posOffset>5190490</wp:posOffset>
            </wp:positionH>
            <wp:positionV relativeFrom="paragraph">
              <wp:posOffset>107950</wp:posOffset>
            </wp:positionV>
            <wp:extent cx="875030" cy="661670"/>
            <wp:effectExtent l="0" t="0" r="0" b="0"/>
            <wp:wrapNone/>
            <wp:docPr id="5485" name="图片 5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5" name="图片 511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875030" cy="661670"/>
                    </a:xfrm>
                    <a:prstGeom prst="rect">
                      <a:avLst/>
                    </a:prstGeom>
                    <a:noFill/>
                    <a:ln>
                      <a:noFill/>
                    </a:ln>
                  </pic:spPr>
                </pic:pic>
              </a:graphicData>
            </a:graphic>
          </wp:anchor>
        </w:drawing>
      </w:r>
    </w:p>
    <w:p w14:paraId="73A71563">
      <w:pPr>
        <w:widowControl w:val="0"/>
        <w:spacing w:line="360" w:lineRule="auto"/>
        <w:jc w:val="center"/>
        <w:rPr>
          <w:rFonts w:ascii="Times New Roman" w:hAnsi="Times New Roman" w:cs="Times New Roman"/>
          <w:szCs w:val="24"/>
          <w:lang w:eastAsia="zh-CN"/>
        </w:rPr>
      </w:pPr>
      <w:r>
        <w:rPr>
          <w:rFonts w:ascii="Times New Roman" w:hAnsi="Times New Roman" w:cs="Times New Roman"/>
          <w:b/>
          <w:bCs/>
          <w:lang w:eastAsia="zh-CN"/>
        </w:rPr>
        <w:t>图</w:t>
      </w:r>
      <w:r>
        <w:rPr>
          <w:rFonts w:hint="eastAsia" w:ascii="Times New Roman" w:hAnsi="Times New Roman" w:cs="Times New Roman"/>
          <w:b/>
          <w:bCs/>
          <w:lang w:eastAsia="zh-CN"/>
        </w:rPr>
        <w:t>7</w:t>
      </w:r>
      <w:r>
        <w:rPr>
          <w:rFonts w:ascii="Times New Roman" w:hAnsi="Times New Roman" w:cs="Times New Roman"/>
          <w:b/>
          <w:bCs/>
          <w:lang w:eastAsia="zh-CN"/>
        </w:rPr>
        <w:t>.</w:t>
      </w:r>
      <w:r>
        <w:rPr>
          <w:rFonts w:hint="eastAsia" w:ascii="Times New Roman" w:hAnsi="Times New Roman" w:cs="Times New Roman"/>
          <w:b/>
          <w:bCs/>
          <w:lang w:eastAsia="zh-CN"/>
        </w:rPr>
        <w:t>8</w:t>
      </w:r>
      <w:r>
        <w:rPr>
          <w:rFonts w:ascii="Times New Roman" w:hAnsi="Times New Roman" w:cs="Times New Roman"/>
          <w:b/>
          <w:bCs/>
          <w:lang w:eastAsia="zh-CN"/>
        </w:rPr>
        <w:t>-</w:t>
      </w:r>
      <w:r>
        <w:rPr>
          <w:rFonts w:hint="eastAsia" w:ascii="Times New Roman" w:hAnsi="Times New Roman" w:cs="Times New Roman"/>
          <w:b/>
          <w:bCs/>
          <w:lang w:eastAsia="zh-CN"/>
        </w:rPr>
        <w:t>2</w:t>
      </w:r>
      <w:r>
        <w:rPr>
          <w:rFonts w:ascii="Times New Roman" w:hAnsi="Times New Roman" w:cs="Times New Roman"/>
          <w:b/>
          <w:bCs/>
          <w:lang w:eastAsia="zh-CN"/>
        </w:rPr>
        <w:t xml:space="preserve"> 最</w:t>
      </w:r>
      <w:r>
        <w:rPr>
          <w:rFonts w:hint="eastAsia" w:ascii="Times New Roman" w:hAnsi="Times New Roman" w:cs="Times New Roman"/>
          <w:b/>
          <w:bCs/>
          <w:lang w:eastAsia="zh-CN"/>
        </w:rPr>
        <w:t>常见</w:t>
      </w:r>
      <w:r>
        <w:rPr>
          <w:rFonts w:ascii="Times New Roman" w:hAnsi="Times New Roman" w:cs="Times New Roman"/>
          <w:b/>
          <w:bCs/>
          <w:lang w:eastAsia="zh-CN"/>
        </w:rPr>
        <w:t>气象条件下</w:t>
      </w:r>
      <w:r>
        <w:rPr>
          <w:rFonts w:hint="eastAsia" w:ascii="Times New Roman" w:hAnsi="Times New Roman" w:cs="Times New Roman"/>
          <w:b/>
          <w:bCs/>
          <w:lang w:eastAsia="zh-CN"/>
        </w:rPr>
        <w:t>31%盐酸</w:t>
      </w:r>
      <w:r>
        <w:rPr>
          <w:rFonts w:ascii="Times New Roman" w:hAnsi="Times New Roman" w:cs="Times New Roman"/>
          <w:b/>
          <w:bCs/>
          <w:lang w:eastAsia="zh-CN"/>
        </w:rPr>
        <w:t>储罐泄漏事故危害区域图</w:t>
      </w:r>
    </w:p>
    <w:p w14:paraId="6BEC5CCA">
      <w:pPr>
        <w:widowControl w:val="0"/>
        <w:spacing w:line="360" w:lineRule="auto"/>
        <w:ind w:firstLine="480" w:firstLineChars="200"/>
        <w:jc w:val="both"/>
        <w:rPr>
          <w:rFonts w:ascii="Times New Roman" w:hAnsi="Times New Roman" w:cs="Times New Roman"/>
          <w:color w:val="auto"/>
          <w:szCs w:val="24"/>
          <w:lang w:eastAsia="zh-CN"/>
        </w:rPr>
        <w:sectPr>
          <w:pgSz w:w="11906" w:h="16838"/>
          <w:pgMar w:top="1440" w:right="1080" w:bottom="1440" w:left="1080" w:header="851" w:footer="992" w:gutter="0"/>
          <w:cols w:space="720" w:num="1"/>
          <w:docGrid w:type="lines" w:linePitch="312" w:charSpace="0"/>
        </w:sectPr>
      </w:pPr>
    </w:p>
    <w:p w14:paraId="65B0ABE3">
      <w:pPr>
        <w:widowControl w:val="0"/>
        <w:spacing w:line="360" w:lineRule="auto"/>
        <w:jc w:val="center"/>
        <w:rPr>
          <w:rFonts w:ascii="Times New Roman" w:hAnsi="Times New Roman" w:cs="Times New Roman"/>
          <w:b/>
          <w:bCs/>
          <w:lang w:eastAsia="zh-CN"/>
        </w:rPr>
      </w:pPr>
      <w:r>
        <w:rPr>
          <w:rFonts w:ascii="Times New Roman" w:hAnsi="Times New Roman" w:cs="Times New Roman"/>
          <w:b/>
          <w:bCs/>
          <w:lang w:eastAsia="zh-CN"/>
        </w:rPr>
        <w:t>表</w:t>
      </w:r>
      <w:r>
        <w:rPr>
          <w:rFonts w:hint="eastAsia" w:ascii="Times New Roman" w:hAnsi="Times New Roman" w:cs="Times New Roman"/>
          <w:b/>
          <w:bCs/>
          <w:lang w:eastAsia="zh-CN"/>
        </w:rPr>
        <w:t>7</w:t>
      </w:r>
      <w:r>
        <w:rPr>
          <w:rFonts w:ascii="Times New Roman" w:hAnsi="Times New Roman" w:cs="Times New Roman"/>
          <w:b/>
          <w:bCs/>
          <w:lang w:eastAsia="zh-CN"/>
        </w:rPr>
        <w:t>.</w:t>
      </w:r>
      <w:r>
        <w:rPr>
          <w:rFonts w:hint="eastAsia" w:ascii="Times New Roman" w:hAnsi="Times New Roman" w:cs="Times New Roman"/>
          <w:b/>
          <w:bCs/>
          <w:lang w:eastAsia="zh-CN"/>
        </w:rPr>
        <w:t>8</w:t>
      </w:r>
      <w:r>
        <w:rPr>
          <w:rFonts w:ascii="Times New Roman" w:hAnsi="Times New Roman" w:cs="Times New Roman"/>
          <w:b/>
          <w:bCs/>
          <w:lang w:eastAsia="zh-CN"/>
        </w:rPr>
        <w:t>-</w:t>
      </w:r>
      <w:r>
        <w:rPr>
          <w:rFonts w:hint="eastAsia" w:ascii="Times New Roman" w:hAnsi="Times New Roman" w:cs="Times New Roman"/>
          <w:b/>
          <w:bCs/>
          <w:lang w:eastAsia="zh-CN"/>
        </w:rPr>
        <w:t xml:space="preserve">8 </w:t>
      </w:r>
      <w:r>
        <w:rPr>
          <w:rFonts w:ascii="Times New Roman" w:hAnsi="Times New Roman" w:cs="Times New Roman"/>
          <w:b/>
          <w:bCs/>
          <w:lang w:eastAsia="zh-CN"/>
        </w:rPr>
        <w:t xml:space="preserve"> </w:t>
      </w:r>
      <w:r>
        <w:rPr>
          <w:rFonts w:hint="eastAsia" w:ascii="Times New Roman" w:hAnsi="Times New Roman" w:cs="Times New Roman"/>
          <w:b/>
          <w:bCs/>
          <w:lang w:eastAsia="zh-CN"/>
        </w:rPr>
        <w:t>31%盐酸</w:t>
      </w:r>
      <w:r>
        <w:rPr>
          <w:rFonts w:ascii="Times New Roman" w:hAnsi="Times New Roman" w:cs="Times New Roman"/>
          <w:b/>
          <w:bCs/>
          <w:lang w:eastAsia="zh-CN"/>
        </w:rPr>
        <w:t>储罐泄漏</w:t>
      </w:r>
      <w:r>
        <w:rPr>
          <w:rFonts w:hint="eastAsia" w:ascii="Times New Roman" w:hAnsi="Times New Roman" w:cs="Times New Roman"/>
          <w:b/>
          <w:bCs/>
          <w:lang w:eastAsia="zh-CN"/>
        </w:rPr>
        <w:t>事故</w:t>
      </w:r>
      <w:r>
        <w:rPr>
          <w:rFonts w:ascii="Times New Roman" w:hAnsi="Times New Roman" w:cs="Times New Roman"/>
          <w:b/>
          <w:bCs/>
          <w:lang w:eastAsia="zh-CN"/>
        </w:rPr>
        <w:t>各关心点浓度随时间变化情况一览表（数据单位：ug/m</w:t>
      </w:r>
      <w:r>
        <w:rPr>
          <w:rFonts w:ascii="Times New Roman" w:hAnsi="Times New Roman" w:cs="Times New Roman"/>
          <w:b/>
          <w:bCs/>
          <w:vertAlign w:val="superscript"/>
          <w:lang w:eastAsia="zh-CN"/>
        </w:rPr>
        <w:t>3</w:t>
      </w:r>
      <w:r>
        <w:rPr>
          <w:rFonts w:ascii="Times New Roman" w:hAnsi="Times New Roman" w:cs="Times New Roman"/>
          <w:b/>
          <w:bCs/>
          <w:lang w:eastAsia="zh-CN"/>
        </w:rPr>
        <w:t>）</w:t>
      </w:r>
    </w:p>
    <w:tbl>
      <w:tblPr>
        <w:tblStyle w:val="35"/>
        <w:tblW w:w="5001"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1447"/>
        <w:gridCol w:w="1428"/>
        <w:gridCol w:w="774"/>
        <w:gridCol w:w="774"/>
        <w:gridCol w:w="774"/>
        <w:gridCol w:w="774"/>
        <w:gridCol w:w="774"/>
        <w:gridCol w:w="774"/>
        <w:gridCol w:w="774"/>
        <w:gridCol w:w="774"/>
        <w:gridCol w:w="773"/>
        <w:gridCol w:w="773"/>
        <w:gridCol w:w="773"/>
        <w:gridCol w:w="771"/>
        <w:gridCol w:w="773"/>
      </w:tblGrid>
      <w:tr w14:paraId="516D66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69" w:type="pct"/>
            <w:noWrap/>
            <w:vAlign w:val="center"/>
          </w:tcPr>
          <w:p w14:paraId="29D85BE9">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气象条件</w:t>
            </w:r>
          </w:p>
        </w:tc>
        <w:tc>
          <w:tcPr>
            <w:tcW w:w="518" w:type="pct"/>
            <w:noWrap/>
            <w:vAlign w:val="center"/>
          </w:tcPr>
          <w:p w14:paraId="6C4ACE16">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名称</w:t>
            </w:r>
          </w:p>
        </w:tc>
        <w:tc>
          <w:tcPr>
            <w:tcW w:w="511" w:type="pct"/>
            <w:noWrap/>
            <w:vAlign w:val="center"/>
          </w:tcPr>
          <w:p w14:paraId="0CD11709">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最大浓度|时间(min)</w:t>
            </w:r>
          </w:p>
        </w:tc>
        <w:tc>
          <w:tcPr>
            <w:tcW w:w="277" w:type="pct"/>
            <w:noWrap/>
            <w:vAlign w:val="center"/>
          </w:tcPr>
          <w:p w14:paraId="4C6D5D41">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5min</w:t>
            </w:r>
          </w:p>
        </w:tc>
        <w:tc>
          <w:tcPr>
            <w:tcW w:w="277" w:type="pct"/>
            <w:noWrap/>
            <w:vAlign w:val="center"/>
          </w:tcPr>
          <w:p w14:paraId="1A9F6E2B">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15</w:t>
            </w:r>
          </w:p>
          <w:p w14:paraId="71521C25">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min</w:t>
            </w:r>
          </w:p>
        </w:tc>
        <w:tc>
          <w:tcPr>
            <w:tcW w:w="277" w:type="pct"/>
            <w:noWrap/>
            <w:vAlign w:val="center"/>
          </w:tcPr>
          <w:p w14:paraId="760E9DF1">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25</w:t>
            </w:r>
          </w:p>
          <w:p w14:paraId="29CE12F9">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min</w:t>
            </w:r>
          </w:p>
        </w:tc>
        <w:tc>
          <w:tcPr>
            <w:tcW w:w="277" w:type="pct"/>
            <w:noWrap/>
            <w:vAlign w:val="center"/>
          </w:tcPr>
          <w:p w14:paraId="61BAAE00">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35</w:t>
            </w:r>
          </w:p>
          <w:p w14:paraId="51B22425">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min</w:t>
            </w:r>
          </w:p>
        </w:tc>
        <w:tc>
          <w:tcPr>
            <w:tcW w:w="277" w:type="pct"/>
            <w:noWrap/>
            <w:vAlign w:val="center"/>
          </w:tcPr>
          <w:p w14:paraId="3A2179BB">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45</w:t>
            </w:r>
          </w:p>
          <w:p w14:paraId="3147D00E">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min</w:t>
            </w:r>
          </w:p>
        </w:tc>
        <w:tc>
          <w:tcPr>
            <w:tcW w:w="277" w:type="pct"/>
            <w:noWrap/>
            <w:vAlign w:val="center"/>
          </w:tcPr>
          <w:p w14:paraId="2B0569C0">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55</w:t>
            </w:r>
          </w:p>
          <w:p w14:paraId="09B6BB3A">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min</w:t>
            </w:r>
          </w:p>
        </w:tc>
        <w:tc>
          <w:tcPr>
            <w:tcW w:w="277" w:type="pct"/>
            <w:noWrap/>
            <w:vAlign w:val="center"/>
          </w:tcPr>
          <w:p w14:paraId="423956B1">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65</w:t>
            </w:r>
          </w:p>
          <w:p w14:paraId="2CBFAE1A">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min</w:t>
            </w:r>
          </w:p>
        </w:tc>
        <w:tc>
          <w:tcPr>
            <w:tcW w:w="277" w:type="pct"/>
            <w:noWrap/>
            <w:vAlign w:val="center"/>
          </w:tcPr>
          <w:p w14:paraId="5086E134">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75</w:t>
            </w:r>
          </w:p>
          <w:p w14:paraId="617A65D9">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min</w:t>
            </w:r>
          </w:p>
        </w:tc>
        <w:tc>
          <w:tcPr>
            <w:tcW w:w="277" w:type="pct"/>
            <w:noWrap/>
            <w:vAlign w:val="center"/>
          </w:tcPr>
          <w:p w14:paraId="2FA22D7E">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85</w:t>
            </w:r>
          </w:p>
          <w:p w14:paraId="7BB817AE">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min</w:t>
            </w:r>
          </w:p>
        </w:tc>
        <w:tc>
          <w:tcPr>
            <w:tcW w:w="277" w:type="pct"/>
            <w:noWrap/>
            <w:vAlign w:val="center"/>
          </w:tcPr>
          <w:p w14:paraId="60717767">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95</w:t>
            </w:r>
          </w:p>
          <w:p w14:paraId="7BFE9ABB">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min</w:t>
            </w:r>
          </w:p>
        </w:tc>
        <w:tc>
          <w:tcPr>
            <w:tcW w:w="277" w:type="pct"/>
            <w:noWrap/>
            <w:vAlign w:val="center"/>
          </w:tcPr>
          <w:p w14:paraId="718302D9">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105</w:t>
            </w:r>
          </w:p>
          <w:p w14:paraId="4A11360B">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min</w:t>
            </w:r>
          </w:p>
        </w:tc>
        <w:tc>
          <w:tcPr>
            <w:tcW w:w="276" w:type="pct"/>
            <w:noWrap/>
            <w:vAlign w:val="center"/>
          </w:tcPr>
          <w:p w14:paraId="11531D8A">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115</w:t>
            </w:r>
          </w:p>
          <w:p w14:paraId="3CA0ECEF">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min</w:t>
            </w:r>
          </w:p>
        </w:tc>
        <w:tc>
          <w:tcPr>
            <w:tcW w:w="277" w:type="pct"/>
            <w:noWrap/>
            <w:vAlign w:val="center"/>
          </w:tcPr>
          <w:p w14:paraId="04AE5057">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120</w:t>
            </w:r>
          </w:p>
          <w:p w14:paraId="2E4CBFF8">
            <w:pPr>
              <w:adjustRightInd w:val="0"/>
              <w:snapToGrid w:val="0"/>
              <w:jc w:val="center"/>
              <w:rPr>
                <w:rFonts w:ascii="Times New Roman" w:hAnsi="Times New Roman" w:cs="Times New Roman"/>
                <w:b/>
                <w:bCs/>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min</w:t>
            </w:r>
          </w:p>
        </w:tc>
      </w:tr>
      <w:tr w14:paraId="78832D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69" w:type="pct"/>
            <w:vMerge w:val="restart"/>
            <w:noWrap/>
            <w:vAlign w:val="center"/>
          </w:tcPr>
          <w:p w14:paraId="6D12B07E">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最不利气象条件</w:t>
            </w:r>
          </w:p>
        </w:tc>
        <w:tc>
          <w:tcPr>
            <w:tcW w:w="518" w:type="pct"/>
            <w:noWrap/>
            <w:vAlign w:val="center"/>
          </w:tcPr>
          <w:p w14:paraId="0109D188">
            <w:pPr>
              <w:jc w:val="center"/>
              <w:textAlignment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大柏村</w:t>
            </w:r>
          </w:p>
        </w:tc>
        <w:tc>
          <w:tcPr>
            <w:tcW w:w="511" w:type="pct"/>
            <w:noWrap/>
            <w:vAlign w:val="center"/>
          </w:tcPr>
          <w:p w14:paraId="70B7F657">
            <w:pPr>
              <w:jc w:val="center"/>
              <w:textAlignment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bidi="ar"/>
                <w14:textFill>
                  <w14:solidFill>
                    <w14:schemeClr w14:val="tx1"/>
                  </w14:solidFill>
                </w14:textFill>
              </w:rPr>
              <w:t>0.00E+00|5</w:t>
            </w:r>
          </w:p>
        </w:tc>
        <w:tc>
          <w:tcPr>
            <w:tcW w:w="277" w:type="pct"/>
            <w:noWrap/>
            <w:vAlign w:val="center"/>
          </w:tcPr>
          <w:p w14:paraId="5C7260B0">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2AF439B3">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765641DE">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6629EA8A">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7117AAF0">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3405AE3A">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58F9B66B">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7ED80E6B">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41AE201F">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50132BD7">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0A85A423">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noWrap/>
            <w:vAlign w:val="center"/>
          </w:tcPr>
          <w:p w14:paraId="43F67BB3">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61F46994">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r>
      <w:tr w14:paraId="0E1BAD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69" w:type="pct"/>
            <w:vMerge w:val="continue"/>
            <w:noWrap/>
            <w:vAlign w:val="center"/>
          </w:tcPr>
          <w:p w14:paraId="5B7B462B">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18" w:type="pct"/>
            <w:noWrap/>
            <w:vAlign w:val="center"/>
          </w:tcPr>
          <w:p w14:paraId="233FCC0B">
            <w:pPr>
              <w:jc w:val="center"/>
              <w:textAlignment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草杨村</w:t>
            </w:r>
          </w:p>
        </w:tc>
        <w:tc>
          <w:tcPr>
            <w:tcW w:w="511" w:type="pct"/>
            <w:noWrap/>
            <w:vAlign w:val="center"/>
          </w:tcPr>
          <w:p w14:paraId="61839577">
            <w:pPr>
              <w:jc w:val="center"/>
              <w:textAlignment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bidi="ar"/>
                <w14:textFill>
                  <w14:solidFill>
                    <w14:schemeClr w14:val="tx1"/>
                  </w14:solidFill>
                </w14:textFill>
              </w:rPr>
              <w:t>0.00E+00|5</w:t>
            </w:r>
          </w:p>
        </w:tc>
        <w:tc>
          <w:tcPr>
            <w:tcW w:w="277" w:type="pct"/>
            <w:noWrap/>
            <w:vAlign w:val="center"/>
          </w:tcPr>
          <w:p w14:paraId="1009DD69">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657FBD30">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7089D58B">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72D2200B">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02242B3A">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409B12D5">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182E4927">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42B92A7E">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54A00EFF">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1B6C23B5">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1EA28CC8">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noWrap/>
            <w:vAlign w:val="center"/>
          </w:tcPr>
          <w:p w14:paraId="5CFF86B5">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51DFB47B">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r>
      <w:tr w14:paraId="485215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69" w:type="pct"/>
            <w:vMerge w:val="continue"/>
            <w:noWrap/>
            <w:vAlign w:val="center"/>
          </w:tcPr>
          <w:p w14:paraId="56E18069">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18" w:type="pct"/>
            <w:noWrap/>
            <w:vAlign w:val="center"/>
          </w:tcPr>
          <w:p w14:paraId="24082472">
            <w:pPr>
              <w:jc w:val="center"/>
              <w:textAlignment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大柏小学</w:t>
            </w:r>
          </w:p>
        </w:tc>
        <w:tc>
          <w:tcPr>
            <w:tcW w:w="511" w:type="pct"/>
            <w:noWrap/>
            <w:vAlign w:val="center"/>
          </w:tcPr>
          <w:p w14:paraId="676AFD42">
            <w:pPr>
              <w:jc w:val="center"/>
              <w:textAlignment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bidi="ar"/>
                <w14:textFill>
                  <w14:solidFill>
                    <w14:schemeClr w14:val="tx1"/>
                  </w14:solidFill>
                </w14:textFill>
              </w:rPr>
              <w:t>0.00E+00|5</w:t>
            </w:r>
          </w:p>
        </w:tc>
        <w:tc>
          <w:tcPr>
            <w:tcW w:w="277" w:type="pct"/>
            <w:noWrap/>
            <w:vAlign w:val="center"/>
          </w:tcPr>
          <w:p w14:paraId="0E82B0A2">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46BF00A8">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288903A6">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2B5DD03F">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490ACBAA">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3E341D3D">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705276E3">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26A7D87B">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10289D76">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012D62E1">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45370F41">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noWrap/>
            <w:vAlign w:val="center"/>
          </w:tcPr>
          <w:p w14:paraId="6C510F52">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7CC5B8DE">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r>
      <w:tr w14:paraId="31B1EE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69" w:type="pct"/>
            <w:vMerge w:val="continue"/>
            <w:noWrap/>
            <w:vAlign w:val="center"/>
          </w:tcPr>
          <w:p w14:paraId="0FFEB665">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18" w:type="pct"/>
            <w:noWrap/>
            <w:vAlign w:val="center"/>
          </w:tcPr>
          <w:p w14:paraId="39A80148">
            <w:pPr>
              <w:jc w:val="center"/>
              <w:textAlignment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夏家湖</w:t>
            </w:r>
          </w:p>
        </w:tc>
        <w:tc>
          <w:tcPr>
            <w:tcW w:w="511" w:type="pct"/>
            <w:noWrap/>
            <w:vAlign w:val="center"/>
          </w:tcPr>
          <w:p w14:paraId="7D45F0A8">
            <w:pPr>
              <w:jc w:val="center"/>
              <w:textAlignment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bidi="ar"/>
                <w14:textFill>
                  <w14:solidFill>
                    <w14:schemeClr w14:val="tx1"/>
                  </w14:solidFill>
                </w14:textFill>
              </w:rPr>
              <w:t>0.00E+00|5</w:t>
            </w:r>
          </w:p>
        </w:tc>
        <w:tc>
          <w:tcPr>
            <w:tcW w:w="277" w:type="pct"/>
            <w:noWrap/>
            <w:vAlign w:val="center"/>
          </w:tcPr>
          <w:p w14:paraId="7F2E6480">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31D26BED">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70832C73">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734D314F">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73699583">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3499BF7F">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09543D30">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7FBC09F0">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6BD64288">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15C34F79">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00CC9660">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6" w:type="pct"/>
            <w:noWrap/>
            <w:vAlign w:val="center"/>
          </w:tcPr>
          <w:p w14:paraId="43B183F1">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c>
          <w:tcPr>
            <w:tcW w:w="277" w:type="pct"/>
            <w:noWrap/>
            <w:vAlign w:val="center"/>
          </w:tcPr>
          <w:p w14:paraId="0C1F8EB2">
            <w:pPr>
              <w:jc w:val="center"/>
              <w:textAlignment w:val="center"/>
              <w:rPr>
                <w:rFonts w:ascii="Times New Roman" w:hAnsi="Times New Roman" w:cs="Times New Roman"/>
                <w:color w:val="000000" w:themeColor="text1"/>
                <w:sz w:val="21"/>
                <w:lang w:eastAsia="zh-CN"/>
                <w14:textFill>
                  <w14:solidFill>
                    <w14:schemeClr w14:val="tx1"/>
                  </w14:solidFill>
                </w14:textFill>
              </w:rPr>
            </w:pPr>
          </w:p>
        </w:tc>
      </w:tr>
      <w:tr w14:paraId="61577A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369" w:type="pct"/>
            <w:vMerge w:val="continue"/>
            <w:noWrap/>
            <w:vAlign w:val="center"/>
          </w:tcPr>
          <w:p w14:paraId="1228A12B">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18" w:type="pct"/>
            <w:noWrap/>
            <w:vAlign w:val="center"/>
          </w:tcPr>
          <w:p w14:paraId="3BBBADA3">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高王家</w:t>
            </w:r>
          </w:p>
        </w:tc>
        <w:tc>
          <w:tcPr>
            <w:tcW w:w="511" w:type="pct"/>
            <w:noWrap/>
          </w:tcPr>
          <w:p w14:paraId="2A0116D7">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lang w:eastAsia="zh-CN" w:bidi="ar"/>
                <w14:textFill>
                  <w14:solidFill>
                    <w14:schemeClr w14:val="tx1"/>
                  </w14:solidFill>
                </w14:textFill>
              </w:rPr>
              <w:t>0.00E+00|5</w:t>
            </w:r>
          </w:p>
        </w:tc>
        <w:tc>
          <w:tcPr>
            <w:tcW w:w="277" w:type="pct"/>
            <w:noWrap/>
            <w:vAlign w:val="center"/>
          </w:tcPr>
          <w:p w14:paraId="06D5FAAB">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9FE2D50">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071D42F0">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089DA1BF">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2252C47A">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C48369D">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9640B03">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6E075418">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2A320D0A">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D2AF6E6">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44EAD38">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6" w:type="pct"/>
            <w:noWrap/>
            <w:vAlign w:val="center"/>
          </w:tcPr>
          <w:p w14:paraId="69582B1D">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767AD558">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r>
      <w:tr w14:paraId="1582D9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369" w:type="pct"/>
            <w:vMerge w:val="continue"/>
            <w:noWrap/>
            <w:vAlign w:val="center"/>
          </w:tcPr>
          <w:p w14:paraId="740ABD87">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18" w:type="pct"/>
            <w:noWrap/>
            <w:vAlign w:val="center"/>
          </w:tcPr>
          <w:p w14:paraId="5B15CD17">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三铺中学</w:t>
            </w:r>
          </w:p>
        </w:tc>
        <w:tc>
          <w:tcPr>
            <w:tcW w:w="511" w:type="pct"/>
            <w:noWrap/>
          </w:tcPr>
          <w:p w14:paraId="6E69DEAB">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lang w:eastAsia="zh-CN" w:bidi="ar"/>
                <w14:textFill>
                  <w14:solidFill>
                    <w14:schemeClr w14:val="tx1"/>
                  </w14:solidFill>
                </w14:textFill>
              </w:rPr>
              <w:t>0.00E+00|5</w:t>
            </w:r>
          </w:p>
        </w:tc>
        <w:tc>
          <w:tcPr>
            <w:tcW w:w="277" w:type="pct"/>
            <w:noWrap/>
            <w:vAlign w:val="center"/>
          </w:tcPr>
          <w:p w14:paraId="6E9034DD">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2D48EE1C">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61E36A55">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6C7327A0">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18C422C8">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37771DA9">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6FB9AF6A">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418B593D">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19EB4A03">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72830830">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27DE14FF">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6" w:type="pct"/>
            <w:noWrap/>
            <w:vAlign w:val="center"/>
          </w:tcPr>
          <w:p w14:paraId="0DD84259">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3C75FD4A">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r>
      <w:tr w14:paraId="45DAF7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369" w:type="pct"/>
            <w:vMerge w:val="continue"/>
            <w:noWrap/>
            <w:vAlign w:val="center"/>
          </w:tcPr>
          <w:p w14:paraId="57D060EA">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18" w:type="pct"/>
            <w:noWrap/>
            <w:vAlign w:val="center"/>
          </w:tcPr>
          <w:p w14:paraId="7022C500">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杜家湖</w:t>
            </w:r>
          </w:p>
        </w:tc>
        <w:tc>
          <w:tcPr>
            <w:tcW w:w="511" w:type="pct"/>
            <w:noWrap/>
          </w:tcPr>
          <w:p w14:paraId="00EC8298">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lang w:eastAsia="zh-CN" w:bidi="ar"/>
                <w14:textFill>
                  <w14:solidFill>
                    <w14:schemeClr w14:val="tx1"/>
                  </w14:solidFill>
                </w14:textFill>
              </w:rPr>
              <w:t>0.00E+00|5</w:t>
            </w:r>
          </w:p>
        </w:tc>
        <w:tc>
          <w:tcPr>
            <w:tcW w:w="277" w:type="pct"/>
            <w:noWrap/>
            <w:vAlign w:val="center"/>
          </w:tcPr>
          <w:p w14:paraId="0C5AC2C9">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10EF4A07">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46F7A594">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2597F559">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1AC1991">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25DBF65">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718458DC">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7D51E196">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49482676">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6FF85727">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25346EA7">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6" w:type="pct"/>
            <w:noWrap/>
            <w:vAlign w:val="center"/>
          </w:tcPr>
          <w:p w14:paraId="6785BD54">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10BD365B">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r>
      <w:tr w14:paraId="4BD7EF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369" w:type="pct"/>
            <w:vMerge w:val="restart"/>
            <w:noWrap/>
            <w:vAlign w:val="center"/>
          </w:tcPr>
          <w:p w14:paraId="7C5CB802">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最</w:t>
            </w:r>
            <w:r>
              <w:rPr>
                <w:rFonts w:hint="eastAsia" w:ascii="Times New Roman" w:hAnsi="Times New Roman" w:cs="Times New Roman"/>
                <w:color w:val="000000" w:themeColor="text1"/>
                <w:sz w:val="21"/>
                <w:lang w:eastAsia="zh-CN"/>
                <w14:textFill>
                  <w14:solidFill>
                    <w14:schemeClr w14:val="tx1"/>
                  </w14:solidFill>
                </w14:textFill>
              </w:rPr>
              <w:t>常见</w:t>
            </w:r>
            <w:r>
              <w:rPr>
                <w:rFonts w:ascii="Times New Roman" w:hAnsi="Times New Roman" w:cs="Times New Roman"/>
                <w:color w:val="000000" w:themeColor="text1"/>
                <w:sz w:val="21"/>
                <w:lang w:eastAsia="zh-CN"/>
                <w14:textFill>
                  <w14:solidFill>
                    <w14:schemeClr w14:val="tx1"/>
                  </w14:solidFill>
                </w14:textFill>
              </w:rPr>
              <w:t>气象条件</w:t>
            </w:r>
          </w:p>
        </w:tc>
        <w:tc>
          <w:tcPr>
            <w:tcW w:w="518" w:type="pct"/>
            <w:noWrap/>
            <w:vAlign w:val="center"/>
          </w:tcPr>
          <w:p w14:paraId="0C0C10DA">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大柏村</w:t>
            </w:r>
          </w:p>
        </w:tc>
        <w:tc>
          <w:tcPr>
            <w:tcW w:w="511" w:type="pct"/>
            <w:noWrap/>
            <w:vAlign w:val="center"/>
          </w:tcPr>
          <w:p w14:paraId="45EF32DE">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lang w:eastAsia="zh-CN" w:bidi="ar"/>
                <w14:textFill>
                  <w14:solidFill>
                    <w14:schemeClr w14:val="tx1"/>
                  </w14:solidFill>
                </w14:textFill>
              </w:rPr>
              <w:t>0.00E+00|5</w:t>
            </w:r>
          </w:p>
        </w:tc>
        <w:tc>
          <w:tcPr>
            <w:tcW w:w="277" w:type="pct"/>
            <w:noWrap/>
            <w:vAlign w:val="center"/>
          </w:tcPr>
          <w:p w14:paraId="047F46EB">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21D057CD">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0C51050">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330FB9C9">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7D571CFF">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12005FB2">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3363E949">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1AF96326">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6C5D632C">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5B27BEE">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3B49377F">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6" w:type="pct"/>
            <w:noWrap/>
            <w:vAlign w:val="center"/>
          </w:tcPr>
          <w:p w14:paraId="02E2DB68">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407D735">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r>
      <w:tr w14:paraId="4AD382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369" w:type="pct"/>
            <w:vMerge w:val="continue"/>
            <w:noWrap/>
            <w:vAlign w:val="center"/>
          </w:tcPr>
          <w:p w14:paraId="360A5F3B">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18" w:type="pct"/>
            <w:noWrap/>
            <w:vAlign w:val="center"/>
          </w:tcPr>
          <w:p w14:paraId="46F41A59">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草杨村</w:t>
            </w:r>
          </w:p>
        </w:tc>
        <w:tc>
          <w:tcPr>
            <w:tcW w:w="511" w:type="pct"/>
            <w:noWrap/>
            <w:vAlign w:val="center"/>
          </w:tcPr>
          <w:p w14:paraId="1DA39FDA">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lang w:eastAsia="zh-CN" w:bidi="ar"/>
                <w14:textFill>
                  <w14:solidFill>
                    <w14:schemeClr w14:val="tx1"/>
                  </w14:solidFill>
                </w14:textFill>
              </w:rPr>
              <w:t>0.00E+00|5</w:t>
            </w:r>
          </w:p>
        </w:tc>
        <w:tc>
          <w:tcPr>
            <w:tcW w:w="277" w:type="pct"/>
            <w:noWrap/>
            <w:vAlign w:val="center"/>
          </w:tcPr>
          <w:p w14:paraId="293827AB">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6A568ACF">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1518102D">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731542E">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1A774DA4">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6DEA59C0">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2821E66">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64D50E70">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C97C14B">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44DF3595">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42177F14">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6" w:type="pct"/>
            <w:noWrap/>
            <w:vAlign w:val="center"/>
          </w:tcPr>
          <w:p w14:paraId="1A72F5F7">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4752B416">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r>
      <w:tr w14:paraId="20177E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369" w:type="pct"/>
            <w:vMerge w:val="continue"/>
            <w:noWrap/>
            <w:vAlign w:val="center"/>
          </w:tcPr>
          <w:p w14:paraId="2F308F81">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18" w:type="pct"/>
            <w:noWrap/>
            <w:vAlign w:val="center"/>
          </w:tcPr>
          <w:p w14:paraId="74FE017B">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大柏小学</w:t>
            </w:r>
          </w:p>
        </w:tc>
        <w:tc>
          <w:tcPr>
            <w:tcW w:w="511" w:type="pct"/>
            <w:noWrap/>
            <w:vAlign w:val="center"/>
          </w:tcPr>
          <w:p w14:paraId="4F8BBFAC">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lang w:eastAsia="zh-CN" w:bidi="ar"/>
                <w14:textFill>
                  <w14:solidFill>
                    <w14:schemeClr w14:val="tx1"/>
                  </w14:solidFill>
                </w14:textFill>
              </w:rPr>
              <w:t>0.00E+00|5</w:t>
            </w:r>
          </w:p>
        </w:tc>
        <w:tc>
          <w:tcPr>
            <w:tcW w:w="277" w:type="pct"/>
            <w:noWrap/>
            <w:vAlign w:val="center"/>
          </w:tcPr>
          <w:p w14:paraId="3F450A38">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6A5CCED">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31B37DFC">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4DF4F6E0">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49AFD068">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78DB083C">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05D7D991">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44C23537">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698058E4">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7BDF21D4">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3A21BDA6">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6" w:type="pct"/>
            <w:noWrap/>
            <w:vAlign w:val="center"/>
          </w:tcPr>
          <w:p w14:paraId="3B75580E">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1FBFE741">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r>
      <w:tr w14:paraId="33FFBB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369" w:type="pct"/>
            <w:vMerge w:val="continue"/>
            <w:noWrap/>
            <w:vAlign w:val="center"/>
          </w:tcPr>
          <w:p w14:paraId="404DB550">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18" w:type="pct"/>
            <w:noWrap/>
            <w:vAlign w:val="center"/>
          </w:tcPr>
          <w:p w14:paraId="0031A04C">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夏家湖</w:t>
            </w:r>
          </w:p>
        </w:tc>
        <w:tc>
          <w:tcPr>
            <w:tcW w:w="511" w:type="pct"/>
            <w:noWrap/>
            <w:vAlign w:val="center"/>
          </w:tcPr>
          <w:p w14:paraId="0ADF3C1C">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lang w:eastAsia="zh-CN" w:bidi="ar"/>
                <w14:textFill>
                  <w14:solidFill>
                    <w14:schemeClr w14:val="tx1"/>
                  </w14:solidFill>
                </w14:textFill>
              </w:rPr>
              <w:t>0.00E+00|5</w:t>
            </w:r>
          </w:p>
        </w:tc>
        <w:tc>
          <w:tcPr>
            <w:tcW w:w="277" w:type="pct"/>
            <w:noWrap/>
            <w:vAlign w:val="center"/>
          </w:tcPr>
          <w:p w14:paraId="3111B000">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0E99D034">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3DD507D0">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30997923">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0AC90949">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D75F9A1">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11F6739A">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36BD93D1">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21DC8D99">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2530E3CD">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F9FF24F">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6" w:type="pct"/>
            <w:noWrap/>
            <w:vAlign w:val="center"/>
          </w:tcPr>
          <w:p w14:paraId="161F9B71">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59AF040">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r>
      <w:tr w14:paraId="6BA56D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369" w:type="pct"/>
            <w:vMerge w:val="continue"/>
            <w:noWrap/>
            <w:vAlign w:val="center"/>
          </w:tcPr>
          <w:p w14:paraId="74D8D2BA">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18" w:type="pct"/>
            <w:noWrap/>
            <w:vAlign w:val="center"/>
          </w:tcPr>
          <w:p w14:paraId="3D1917CA">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高王家</w:t>
            </w:r>
          </w:p>
        </w:tc>
        <w:tc>
          <w:tcPr>
            <w:tcW w:w="511" w:type="pct"/>
            <w:noWrap/>
            <w:vAlign w:val="center"/>
          </w:tcPr>
          <w:p w14:paraId="06B281B8">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lang w:eastAsia="zh-CN" w:bidi="ar"/>
                <w14:textFill>
                  <w14:solidFill>
                    <w14:schemeClr w14:val="tx1"/>
                  </w14:solidFill>
                </w14:textFill>
              </w:rPr>
              <w:t>0.00E+00|5</w:t>
            </w:r>
          </w:p>
        </w:tc>
        <w:tc>
          <w:tcPr>
            <w:tcW w:w="277" w:type="pct"/>
            <w:noWrap/>
            <w:vAlign w:val="center"/>
          </w:tcPr>
          <w:p w14:paraId="09272173">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3D3AF5B2">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19F07AFE">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39AB2722">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76091A6A">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6475742">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09EB5778">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24875DED">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782B23F0">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2A0E9C09">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0D84C3D7">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6" w:type="pct"/>
            <w:noWrap/>
            <w:vAlign w:val="center"/>
          </w:tcPr>
          <w:p w14:paraId="3959B5EB">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41A4D5A8">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r>
      <w:tr w14:paraId="344818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369" w:type="pct"/>
            <w:vMerge w:val="continue"/>
            <w:noWrap/>
            <w:vAlign w:val="center"/>
          </w:tcPr>
          <w:p w14:paraId="44607E3E">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18" w:type="pct"/>
            <w:noWrap/>
            <w:vAlign w:val="center"/>
          </w:tcPr>
          <w:p w14:paraId="44D7F00F">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三铺中学</w:t>
            </w:r>
          </w:p>
        </w:tc>
        <w:tc>
          <w:tcPr>
            <w:tcW w:w="511" w:type="pct"/>
            <w:noWrap/>
            <w:vAlign w:val="center"/>
          </w:tcPr>
          <w:p w14:paraId="2B2139A1">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lang w:eastAsia="zh-CN" w:bidi="ar"/>
                <w14:textFill>
                  <w14:solidFill>
                    <w14:schemeClr w14:val="tx1"/>
                  </w14:solidFill>
                </w14:textFill>
              </w:rPr>
              <w:t>0.00E+00|5</w:t>
            </w:r>
          </w:p>
        </w:tc>
        <w:tc>
          <w:tcPr>
            <w:tcW w:w="277" w:type="pct"/>
            <w:noWrap/>
            <w:vAlign w:val="center"/>
          </w:tcPr>
          <w:p w14:paraId="34ACA896">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ECC46D3">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DC5FFAA">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0FEE15FF">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3BCE8711">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7D207030">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607CD98C">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30B2B04B">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221FE51">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7D2657CB">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4302F5F1">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6" w:type="pct"/>
            <w:noWrap/>
            <w:vAlign w:val="center"/>
          </w:tcPr>
          <w:p w14:paraId="63A1E74E">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533837C">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r>
      <w:tr w14:paraId="3F72E7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369" w:type="pct"/>
            <w:vMerge w:val="continue"/>
            <w:noWrap/>
            <w:vAlign w:val="center"/>
          </w:tcPr>
          <w:p w14:paraId="4CD9C752">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18" w:type="pct"/>
            <w:noWrap/>
            <w:vAlign w:val="center"/>
          </w:tcPr>
          <w:p w14:paraId="59C08435">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杜家湖</w:t>
            </w:r>
          </w:p>
        </w:tc>
        <w:tc>
          <w:tcPr>
            <w:tcW w:w="511" w:type="pct"/>
            <w:noWrap/>
            <w:vAlign w:val="center"/>
          </w:tcPr>
          <w:p w14:paraId="499CC2EA">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r>
              <w:rPr>
                <w:rFonts w:ascii="Times New Roman" w:hAnsi="Times New Roman" w:cs="Times New Roman"/>
                <w:color w:val="000000" w:themeColor="text1"/>
                <w:sz w:val="21"/>
                <w:lang w:eastAsia="zh-CN" w:bidi="ar"/>
                <w14:textFill>
                  <w14:solidFill>
                    <w14:schemeClr w14:val="tx1"/>
                  </w14:solidFill>
                </w14:textFill>
              </w:rPr>
              <w:t>0.00E+00|5</w:t>
            </w:r>
          </w:p>
        </w:tc>
        <w:tc>
          <w:tcPr>
            <w:tcW w:w="277" w:type="pct"/>
            <w:noWrap/>
            <w:vAlign w:val="center"/>
          </w:tcPr>
          <w:p w14:paraId="1DEE66CC">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5DEA6724">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0483B16A">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4B39E11C">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067DD275">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23FF7978">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1AE3B575">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2CB4FA35">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35EF9FA4">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44CC2EFE">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6833ACFF">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6" w:type="pct"/>
            <w:noWrap/>
            <w:vAlign w:val="center"/>
          </w:tcPr>
          <w:p w14:paraId="2180B3F7">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c>
          <w:tcPr>
            <w:tcW w:w="277" w:type="pct"/>
            <w:noWrap/>
            <w:vAlign w:val="center"/>
          </w:tcPr>
          <w:p w14:paraId="6184D1D6">
            <w:pPr>
              <w:jc w:val="center"/>
              <w:textAlignment w:val="center"/>
              <w:rPr>
                <w:rFonts w:ascii="Times New Roman" w:hAnsi="Times New Roman" w:cs="Times New Roman"/>
                <w:color w:val="000000" w:themeColor="text1"/>
                <w:sz w:val="21"/>
                <w:lang w:eastAsia="zh-CN" w:bidi="ar"/>
                <w14:textFill>
                  <w14:solidFill>
                    <w14:schemeClr w14:val="tx1"/>
                  </w14:solidFill>
                </w14:textFill>
              </w:rPr>
            </w:pPr>
          </w:p>
        </w:tc>
      </w:tr>
    </w:tbl>
    <w:p w14:paraId="1A939FF0">
      <w:pPr>
        <w:widowControl w:val="0"/>
        <w:tabs>
          <w:tab w:val="left" w:pos="6525"/>
        </w:tabs>
        <w:spacing w:line="360" w:lineRule="auto"/>
        <w:jc w:val="center"/>
        <w:rPr>
          <w:rFonts w:ascii="Times New Roman" w:hAnsi="Times New Roman" w:cs="Times New Roman"/>
          <w:b/>
          <w:bCs/>
          <w:lang w:eastAsia="zh-CN"/>
        </w:rPr>
      </w:pPr>
    </w:p>
    <w:p w14:paraId="219EAC49">
      <w:pPr>
        <w:tabs>
          <w:tab w:val="left" w:pos="6525"/>
        </w:tabs>
        <w:rPr>
          <w:rFonts w:ascii="Times New Roman" w:hAnsi="Times New Roman" w:cs="Times New Roman"/>
          <w:szCs w:val="24"/>
          <w:lang w:eastAsia="zh-CN"/>
        </w:rPr>
        <w:sectPr>
          <w:pgSz w:w="16838" w:h="11906" w:orient="landscape"/>
          <w:pgMar w:top="1080" w:right="1440" w:bottom="1080" w:left="1440" w:header="851" w:footer="992" w:gutter="0"/>
          <w:cols w:space="720" w:num="1"/>
          <w:docGrid w:type="lines" w:linePitch="326" w:charSpace="0"/>
        </w:sectPr>
      </w:pPr>
      <w:r>
        <w:rPr>
          <w:rFonts w:ascii="Times New Roman" w:hAnsi="Times New Roman" w:cs="Times New Roman"/>
          <w:szCs w:val="24"/>
          <w:lang w:eastAsia="zh-CN"/>
        </w:rPr>
        <w:tab/>
      </w:r>
    </w:p>
    <w:p w14:paraId="1FD788A1">
      <w:pPr>
        <w:widowControl w:val="0"/>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ascii="Times New Roman" w:hAnsi="Times New Roman" w:cs="Times New Roman"/>
          <w:color w:val="000000" w:themeColor="text1"/>
          <w:szCs w:val="24"/>
          <w:lang w:eastAsia="zh-CN"/>
          <w14:textFill>
            <w14:solidFill>
              <w14:schemeClr w14:val="tx1"/>
            </w14:solidFill>
          </w14:textFill>
        </w:rPr>
        <w:t>预测结果表明，</w:t>
      </w:r>
      <w:r>
        <w:rPr>
          <w:rFonts w:hint="eastAsia" w:ascii="Times New Roman" w:hAnsi="Times New Roman" w:cs="Times New Roman"/>
          <w:color w:val="000000" w:themeColor="text1"/>
          <w:szCs w:val="24"/>
          <w:lang w:eastAsia="zh-CN"/>
          <w14:textFill>
            <w14:solidFill>
              <w14:schemeClr w14:val="tx1"/>
            </w14:solidFill>
          </w14:textFill>
        </w:rPr>
        <w:t>31%盐酸</w:t>
      </w:r>
      <w:r>
        <w:rPr>
          <w:rFonts w:ascii="Times New Roman" w:hAnsi="Times New Roman" w:cs="Times New Roman"/>
          <w:color w:val="000000" w:themeColor="text1"/>
          <w:szCs w:val="24"/>
          <w:lang w:eastAsia="zh-CN"/>
          <w14:textFill>
            <w14:solidFill>
              <w14:schemeClr w14:val="tx1"/>
            </w14:solidFill>
          </w14:textFill>
        </w:rPr>
        <w:t>储罐泄漏事故以后，短时间内在泄漏点附近形成较高浓度富集区。随时间的推移，污染物逐渐向下风向扩散，同时污染物浓度随距离的增加而迅速下降。</w:t>
      </w:r>
    </w:p>
    <w:p w14:paraId="2AA150CC">
      <w:pPr>
        <w:widowControl w:val="0"/>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ascii="宋体" w:hAnsi="宋体" w:cs="Cambria Math"/>
          <w:color w:val="000000" w:themeColor="text1"/>
          <w:szCs w:val="24"/>
          <w:lang w:eastAsia="zh-CN"/>
          <w14:textFill>
            <w14:solidFill>
              <w14:schemeClr w14:val="tx1"/>
            </w14:solidFill>
          </w14:textFill>
        </w:rPr>
        <w:t>①</w:t>
      </w:r>
      <w:r>
        <w:rPr>
          <w:rFonts w:ascii="Times New Roman" w:hAnsi="Times New Roman" w:cs="Times New Roman"/>
          <w:color w:val="000000" w:themeColor="text1"/>
          <w:szCs w:val="24"/>
          <w:lang w:eastAsia="zh-CN"/>
          <w14:textFill>
            <w14:solidFill>
              <w14:schemeClr w14:val="tx1"/>
            </w14:solidFill>
          </w14:textFill>
        </w:rPr>
        <w:t>下风向最大预测浓度：最不利气象条件下，区域内下风向</w:t>
      </w:r>
      <w:r>
        <w:rPr>
          <w:rFonts w:hint="eastAsia" w:ascii="Times New Roman" w:hAnsi="Times New Roman" w:cs="Times New Roman"/>
          <w:color w:val="000000" w:themeColor="text1"/>
          <w:szCs w:val="24"/>
          <w:lang w:eastAsia="zh-CN"/>
          <w14:textFill>
            <w14:solidFill>
              <w14:schemeClr w14:val="tx1"/>
            </w14:solidFill>
          </w14:textFill>
        </w:rPr>
        <w:t>氯化氢</w:t>
      </w:r>
      <w:r>
        <w:rPr>
          <w:rFonts w:ascii="Times New Roman" w:hAnsi="Times New Roman" w:cs="Times New Roman"/>
          <w:color w:val="000000" w:themeColor="text1"/>
          <w:szCs w:val="24"/>
          <w:lang w:eastAsia="zh-CN"/>
          <w14:textFill>
            <w14:solidFill>
              <w14:schemeClr w14:val="tx1"/>
            </w14:solidFill>
          </w14:textFill>
        </w:rPr>
        <w:t>最大预测浓度为</w:t>
      </w:r>
      <w:r>
        <w:rPr>
          <w:rFonts w:hint="eastAsia" w:ascii="Times New Roman" w:hAnsi="Times New Roman" w:cs="Times New Roman"/>
          <w:color w:val="000000" w:themeColor="text1"/>
          <w:szCs w:val="24"/>
          <w:lang w:eastAsia="zh-CN"/>
          <w14:textFill>
            <w14:solidFill>
              <w14:schemeClr w14:val="tx1"/>
            </w14:solidFill>
          </w14:textFill>
        </w:rPr>
        <w:t>848.38</w:t>
      </w:r>
      <w:r>
        <w:rPr>
          <w:rFonts w:ascii="Times New Roman" w:hAnsi="Times New Roman" w:cs="Times New Roman"/>
          <w:color w:val="000000" w:themeColor="text1"/>
          <w:szCs w:val="24"/>
          <w:lang w:eastAsia="zh-CN"/>
          <w14:textFill>
            <w14:solidFill>
              <w14:schemeClr w14:val="tx1"/>
            </w14:solidFill>
          </w14:textFill>
        </w:rPr>
        <w:t>mg/m</w:t>
      </w:r>
      <w:r>
        <w:rPr>
          <w:rFonts w:ascii="Times New Roman" w:hAnsi="Times New Roman" w:cs="Times New Roman"/>
          <w:color w:val="000000" w:themeColor="text1"/>
          <w:szCs w:val="24"/>
          <w:vertAlign w:val="superscript"/>
          <w:lang w:eastAsia="zh-CN"/>
          <w14:textFill>
            <w14:solidFill>
              <w14:schemeClr w14:val="tx1"/>
            </w14:solidFill>
          </w14:textFill>
        </w:rPr>
        <w:t>3</w:t>
      </w:r>
      <w:r>
        <w:rPr>
          <w:rFonts w:ascii="Times New Roman" w:hAnsi="Times New Roman" w:cs="Times New Roman"/>
          <w:color w:val="000000" w:themeColor="text1"/>
          <w:szCs w:val="24"/>
          <w:lang w:eastAsia="zh-CN"/>
          <w14:textFill>
            <w14:solidFill>
              <w14:schemeClr w14:val="tx1"/>
            </w14:solidFill>
          </w14:textFill>
        </w:rPr>
        <w:t>，距离泄漏点液池1</w:t>
      </w:r>
      <w:r>
        <w:rPr>
          <w:rFonts w:hint="eastAsia" w:ascii="Times New Roman" w:hAnsi="Times New Roman" w:cs="Times New Roman"/>
          <w:color w:val="000000" w:themeColor="text1"/>
          <w:szCs w:val="24"/>
          <w:lang w:eastAsia="zh-CN"/>
          <w14:textFill>
            <w14:solidFill>
              <w14:schemeClr w14:val="tx1"/>
            </w14:solidFill>
          </w14:textFill>
        </w:rPr>
        <w:t>0</w:t>
      </w:r>
      <w:r>
        <w:rPr>
          <w:rFonts w:ascii="Times New Roman" w:hAnsi="Times New Roman" w:cs="Times New Roman"/>
          <w:color w:val="000000" w:themeColor="text1"/>
          <w:szCs w:val="24"/>
          <w:lang w:eastAsia="zh-CN"/>
          <w14:textFill>
            <w14:solidFill>
              <w14:schemeClr w14:val="tx1"/>
            </w14:solidFill>
          </w14:textFill>
        </w:rPr>
        <w:t>m，出现时间为泄漏事故发生后</w:t>
      </w:r>
      <w:r>
        <w:rPr>
          <w:rFonts w:hint="eastAsia" w:ascii="Times New Roman" w:hAnsi="Times New Roman" w:cs="Times New Roman"/>
          <w:color w:val="000000" w:themeColor="text1"/>
          <w:szCs w:val="24"/>
          <w:lang w:eastAsia="zh-CN"/>
          <w14:textFill>
            <w14:solidFill>
              <w14:schemeClr w14:val="tx1"/>
            </w14:solidFill>
          </w14:textFill>
        </w:rPr>
        <w:t>0.1</w:t>
      </w:r>
      <w:r>
        <w:rPr>
          <w:rFonts w:ascii="Times New Roman" w:hAnsi="Times New Roman" w:cs="Times New Roman"/>
          <w:color w:val="000000" w:themeColor="text1"/>
          <w:szCs w:val="24"/>
          <w:lang w:eastAsia="zh-CN"/>
          <w14:textFill>
            <w14:solidFill>
              <w14:schemeClr w14:val="tx1"/>
            </w14:solidFill>
          </w14:textFill>
        </w:rPr>
        <w:t>min；最常见气象条件下，区域内下风向</w:t>
      </w:r>
      <w:r>
        <w:rPr>
          <w:rFonts w:hint="eastAsia" w:ascii="Times New Roman" w:hAnsi="Times New Roman" w:cs="Times New Roman"/>
          <w:color w:val="000000" w:themeColor="text1"/>
          <w:szCs w:val="24"/>
          <w:lang w:eastAsia="zh-CN"/>
          <w14:textFill>
            <w14:solidFill>
              <w14:schemeClr w14:val="tx1"/>
            </w14:solidFill>
          </w14:textFill>
        </w:rPr>
        <w:t>氯化氢</w:t>
      </w:r>
      <w:r>
        <w:rPr>
          <w:rFonts w:ascii="Times New Roman" w:hAnsi="Times New Roman" w:cs="Times New Roman"/>
          <w:color w:val="000000" w:themeColor="text1"/>
          <w:szCs w:val="24"/>
          <w:lang w:eastAsia="zh-CN"/>
          <w14:textFill>
            <w14:solidFill>
              <w14:schemeClr w14:val="tx1"/>
            </w14:solidFill>
          </w14:textFill>
        </w:rPr>
        <w:t>最大预测浓度为</w:t>
      </w:r>
      <w:r>
        <w:rPr>
          <w:rFonts w:hint="eastAsia" w:ascii="Times New Roman" w:hAnsi="Times New Roman" w:cs="Times New Roman"/>
          <w:color w:val="000000" w:themeColor="text1"/>
          <w:szCs w:val="24"/>
          <w:lang w:eastAsia="zh-CN"/>
          <w14:textFill>
            <w14:solidFill>
              <w14:schemeClr w14:val="tx1"/>
            </w14:solidFill>
          </w14:textFill>
        </w:rPr>
        <w:t>141.39</w:t>
      </w:r>
      <w:r>
        <w:rPr>
          <w:rFonts w:ascii="Times New Roman" w:hAnsi="Times New Roman" w:cs="Times New Roman"/>
          <w:color w:val="000000" w:themeColor="text1"/>
          <w:szCs w:val="24"/>
          <w:lang w:eastAsia="zh-CN"/>
          <w14:textFill>
            <w14:solidFill>
              <w14:schemeClr w14:val="tx1"/>
            </w14:solidFill>
          </w14:textFill>
        </w:rPr>
        <w:t>mg/m</w:t>
      </w:r>
      <w:r>
        <w:rPr>
          <w:rFonts w:ascii="Times New Roman" w:hAnsi="Times New Roman" w:cs="Times New Roman"/>
          <w:color w:val="000000" w:themeColor="text1"/>
          <w:szCs w:val="24"/>
          <w:vertAlign w:val="superscript"/>
          <w:lang w:eastAsia="zh-CN"/>
          <w14:textFill>
            <w14:solidFill>
              <w14:schemeClr w14:val="tx1"/>
            </w14:solidFill>
          </w14:textFill>
        </w:rPr>
        <w:t>3</w:t>
      </w:r>
      <w:r>
        <w:rPr>
          <w:rFonts w:ascii="Times New Roman" w:hAnsi="Times New Roman" w:cs="Times New Roman"/>
          <w:color w:val="000000" w:themeColor="text1"/>
          <w:szCs w:val="24"/>
          <w:lang w:eastAsia="zh-CN"/>
          <w14:textFill>
            <w14:solidFill>
              <w14:schemeClr w14:val="tx1"/>
            </w14:solidFill>
          </w14:textFill>
        </w:rPr>
        <w:t>，距离泄漏点液池10m，出现时间为泄漏事故发生后0</w:t>
      </w:r>
      <w:r>
        <w:rPr>
          <w:rFonts w:hint="eastAsia" w:ascii="Times New Roman" w:hAnsi="Times New Roman" w:cs="Times New Roman"/>
          <w:color w:val="000000" w:themeColor="text1"/>
          <w:szCs w:val="24"/>
          <w:lang w:eastAsia="zh-CN"/>
          <w14:textFill>
            <w14:solidFill>
              <w14:schemeClr w14:val="tx1"/>
            </w14:solidFill>
          </w14:textFill>
        </w:rPr>
        <w:t>.1</w:t>
      </w:r>
      <w:r>
        <w:rPr>
          <w:rFonts w:ascii="Times New Roman" w:hAnsi="Times New Roman" w:cs="Times New Roman"/>
          <w:color w:val="000000" w:themeColor="text1"/>
          <w:szCs w:val="24"/>
          <w:lang w:eastAsia="zh-CN"/>
          <w14:textFill>
            <w14:solidFill>
              <w14:schemeClr w14:val="tx1"/>
            </w14:solidFill>
          </w14:textFill>
        </w:rPr>
        <w:t>min。</w:t>
      </w:r>
    </w:p>
    <w:p w14:paraId="09A56BF4">
      <w:pPr>
        <w:widowControl w:val="0"/>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ascii="宋体" w:hAnsi="宋体" w:cs="Cambria Math"/>
          <w:color w:val="000000" w:themeColor="text1"/>
          <w:szCs w:val="24"/>
          <w:lang w:eastAsia="zh-CN"/>
          <w14:textFill>
            <w14:solidFill>
              <w14:schemeClr w14:val="tx1"/>
            </w14:solidFill>
          </w14:textFill>
        </w:rPr>
        <w:t>②</w:t>
      </w:r>
      <w:r>
        <w:rPr>
          <w:rFonts w:ascii="Times New Roman" w:hAnsi="Times New Roman" w:cs="Times New Roman"/>
          <w:color w:val="000000" w:themeColor="text1"/>
          <w:szCs w:val="24"/>
          <w:lang w:eastAsia="zh-CN"/>
          <w14:textFill>
            <w14:solidFill>
              <w14:schemeClr w14:val="tx1"/>
            </w14:solidFill>
          </w14:textFill>
        </w:rPr>
        <w:t>最大影响范围：最不利气象条件下</w:t>
      </w:r>
      <w:r>
        <w:rPr>
          <w:rFonts w:hint="eastAsia" w:ascii="Times New Roman" w:hAnsi="Times New Roman" w:cs="Times New Roman"/>
          <w:color w:val="000000" w:themeColor="text1"/>
          <w:szCs w:val="24"/>
          <w:lang w:eastAsia="zh-CN"/>
          <w14:textFill>
            <w14:solidFill>
              <w14:schemeClr w14:val="tx1"/>
            </w14:solidFill>
          </w14:textFill>
        </w:rPr>
        <w:t>氯化氢</w:t>
      </w:r>
      <w:r>
        <w:rPr>
          <w:rFonts w:ascii="Times New Roman" w:hAnsi="Times New Roman" w:cs="Times New Roman"/>
          <w:color w:val="000000" w:themeColor="text1"/>
          <w:szCs w:val="24"/>
          <w:lang w:eastAsia="zh-CN"/>
          <w14:textFill>
            <w14:solidFill>
              <w14:schemeClr w14:val="tx1"/>
            </w14:solidFill>
          </w14:textFill>
        </w:rPr>
        <w:t>达到</w:t>
      </w:r>
      <w:r>
        <w:rPr>
          <w:rFonts w:hint="eastAsia" w:ascii="Times New Roman" w:hAnsi="Times New Roman" w:cs="Times New Roman"/>
          <w:color w:val="000000" w:themeColor="text1"/>
          <w:szCs w:val="24"/>
          <w:lang w:eastAsia="zh-CN"/>
          <w14:textFill>
            <w14:solidFill>
              <w14:schemeClr w14:val="tx1"/>
            </w14:solidFill>
          </w14:textFill>
        </w:rPr>
        <w:t>1</w:t>
      </w:r>
      <w:r>
        <w:rPr>
          <w:rFonts w:ascii="Times New Roman" w:hAnsi="Times New Roman" w:cs="Times New Roman"/>
          <w:color w:val="000000" w:themeColor="text1"/>
          <w:szCs w:val="24"/>
          <w:lang w:eastAsia="zh-CN"/>
          <w14:textFill>
            <w14:solidFill>
              <w14:schemeClr w14:val="tx1"/>
            </w14:solidFill>
          </w14:textFill>
        </w:rPr>
        <w:t>级大气毒性终点浓度标准最大距离</w:t>
      </w:r>
      <w:r>
        <w:rPr>
          <w:rFonts w:hint="eastAsia" w:ascii="Times New Roman" w:hAnsi="Times New Roman" w:cs="Times New Roman"/>
          <w:color w:val="000000" w:themeColor="text1"/>
          <w:szCs w:val="24"/>
          <w:lang w:eastAsia="zh-CN"/>
          <w14:textFill>
            <w14:solidFill>
              <w14:schemeClr w14:val="tx1"/>
            </w14:solidFill>
          </w14:textFill>
        </w:rPr>
        <w:t>220</w:t>
      </w:r>
      <w:r>
        <w:rPr>
          <w:rFonts w:ascii="Times New Roman" w:hAnsi="Times New Roman" w:cs="Times New Roman"/>
          <w:color w:val="000000" w:themeColor="text1"/>
          <w:szCs w:val="24"/>
          <w:lang w:eastAsia="zh-CN"/>
          <w14:textFill>
            <w14:solidFill>
              <w14:schemeClr w14:val="tx1"/>
            </w14:solidFill>
          </w14:textFill>
        </w:rPr>
        <w:t>m，最大半宽</w:t>
      </w:r>
      <w:r>
        <w:rPr>
          <w:rFonts w:hint="eastAsia" w:ascii="Times New Roman" w:hAnsi="Times New Roman" w:cs="Times New Roman"/>
          <w:color w:val="000000" w:themeColor="text1"/>
          <w:szCs w:val="24"/>
          <w:lang w:eastAsia="zh-CN"/>
          <w14:textFill>
            <w14:solidFill>
              <w14:schemeClr w14:val="tx1"/>
            </w14:solidFill>
          </w14:textFill>
        </w:rPr>
        <w:t>9</w:t>
      </w:r>
      <w:r>
        <w:rPr>
          <w:rFonts w:ascii="Times New Roman" w:hAnsi="Times New Roman" w:cs="Times New Roman"/>
          <w:color w:val="000000" w:themeColor="text1"/>
          <w:szCs w:val="24"/>
          <w:lang w:eastAsia="zh-CN"/>
          <w14:textFill>
            <w14:solidFill>
              <w14:schemeClr w14:val="tx1"/>
            </w14:solidFill>
          </w14:textFill>
        </w:rPr>
        <w:t>m，达到2级大气毒性终点浓度标准最大距离</w:t>
      </w:r>
      <w:r>
        <w:rPr>
          <w:rFonts w:hint="eastAsia" w:ascii="Times New Roman" w:hAnsi="Times New Roman" w:cs="Times New Roman"/>
          <w:color w:val="000000" w:themeColor="text1"/>
          <w:szCs w:val="24"/>
          <w:lang w:eastAsia="zh-CN"/>
          <w14:textFill>
            <w14:solidFill>
              <w14:schemeClr w14:val="tx1"/>
            </w14:solidFill>
          </w14:textFill>
        </w:rPr>
        <w:t>560</w:t>
      </w:r>
      <w:r>
        <w:rPr>
          <w:rFonts w:ascii="Times New Roman" w:hAnsi="Times New Roman" w:cs="Times New Roman"/>
          <w:color w:val="000000" w:themeColor="text1"/>
          <w:szCs w:val="24"/>
          <w:lang w:eastAsia="zh-CN"/>
          <w14:textFill>
            <w14:solidFill>
              <w14:schemeClr w14:val="tx1"/>
            </w14:solidFill>
          </w14:textFill>
        </w:rPr>
        <w:t>m，最大半宽</w:t>
      </w:r>
      <w:r>
        <w:rPr>
          <w:rFonts w:hint="eastAsia" w:ascii="Times New Roman" w:hAnsi="Times New Roman" w:cs="Times New Roman"/>
          <w:color w:val="000000" w:themeColor="text1"/>
          <w:szCs w:val="24"/>
          <w:lang w:eastAsia="zh-CN"/>
          <w14:textFill>
            <w14:solidFill>
              <w14:schemeClr w14:val="tx1"/>
            </w14:solidFill>
          </w14:textFill>
        </w:rPr>
        <w:t>22</w:t>
      </w:r>
      <w:r>
        <w:rPr>
          <w:rFonts w:ascii="Times New Roman" w:hAnsi="Times New Roman" w:cs="Times New Roman"/>
          <w:color w:val="000000" w:themeColor="text1"/>
          <w:szCs w:val="24"/>
          <w:lang w:eastAsia="zh-CN"/>
          <w14:textFill>
            <w14:solidFill>
              <w14:schemeClr w14:val="tx1"/>
            </w14:solidFill>
          </w14:textFill>
        </w:rPr>
        <w:t>m；最常见气象条件下</w:t>
      </w:r>
      <w:r>
        <w:rPr>
          <w:rFonts w:hint="eastAsia" w:ascii="Times New Roman" w:hAnsi="Times New Roman" w:cs="Times New Roman"/>
          <w:color w:val="000000" w:themeColor="text1"/>
          <w:szCs w:val="24"/>
          <w:lang w:eastAsia="zh-CN"/>
          <w14:textFill>
            <w14:solidFill>
              <w14:schemeClr w14:val="tx1"/>
            </w14:solidFill>
          </w14:textFill>
        </w:rPr>
        <w:t>氯化氢</w:t>
      </w:r>
      <w:r>
        <w:rPr>
          <w:rFonts w:ascii="Times New Roman" w:hAnsi="Times New Roman" w:cs="Times New Roman"/>
          <w:color w:val="000000" w:themeColor="text1"/>
          <w:szCs w:val="24"/>
          <w:lang w:eastAsia="zh-CN"/>
          <w14:textFill>
            <w14:solidFill>
              <w14:schemeClr w14:val="tx1"/>
            </w14:solidFill>
          </w14:textFill>
        </w:rPr>
        <w:t>达到</w:t>
      </w:r>
      <w:r>
        <w:rPr>
          <w:rFonts w:hint="eastAsia" w:ascii="Times New Roman" w:hAnsi="Times New Roman" w:cs="Times New Roman"/>
          <w:color w:val="000000" w:themeColor="text1"/>
          <w:szCs w:val="24"/>
          <w:lang w:eastAsia="zh-CN"/>
          <w14:textFill>
            <w14:solidFill>
              <w14:schemeClr w14:val="tx1"/>
            </w14:solidFill>
          </w14:textFill>
        </w:rPr>
        <w:t>1</w:t>
      </w:r>
      <w:r>
        <w:rPr>
          <w:rFonts w:ascii="Times New Roman" w:hAnsi="Times New Roman" w:cs="Times New Roman"/>
          <w:color w:val="000000" w:themeColor="text1"/>
          <w:szCs w:val="24"/>
          <w:lang w:eastAsia="zh-CN"/>
          <w14:textFill>
            <w14:solidFill>
              <w14:schemeClr w14:val="tx1"/>
            </w14:solidFill>
          </w14:textFill>
        </w:rPr>
        <w:t>级大气毒性终点浓度标准最大距离</w:t>
      </w:r>
      <w:r>
        <w:rPr>
          <w:rFonts w:hint="eastAsia" w:ascii="Times New Roman" w:hAnsi="Times New Roman" w:cs="Times New Roman"/>
          <w:color w:val="000000" w:themeColor="text1"/>
          <w:szCs w:val="24"/>
          <w:lang w:eastAsia="zh-CN"/>
          <w14:textFill>
            <w14:solidFill>
              <w14:schemeClr w14:val="tx1"/>
            </w14:solidFill>
          </w14:textFill>
        </w:rPr>
        <w:t>130</w:t>
      </w:r>
      <w:r>
        <w:rPr>
          <w:rFonts w:ascii="Times New Roman" w:hAnsi="Times New Roman" w:cs="Times New Roman"/>
          <w:color w:val="000000" w:themeColor="text1"/>
          <w:szCs w:val="24"/>
          <w:lang w:eastAsia="zh-CN"/>
          <w14:textFill>
            <w14:solidFill>
              <w14:schemeClr w14:val="tx1"/>
            </w14:solidFill>
          </w14:textFill>
        </w:rPr>
        <w:t>m，最大半宽</w:t>
      </w:r>
      <w:r>
        <w:rPr>
          <w:rFonts w:hint="eastAsia" w:ascii="Times New Roman" w:hAnsi="Times New Roman" w:cs="Times New Roman"/>
          <w:color w:val="000000" w:themeColor="text1"/>
          <w:szCs w:val="24"/>
          <w:lang w:eastAsia="zh-CN"/>
          <w14:textFill>
            <w14:solidFill>
              <w14:schemeClr w14:val="tx1"/>
            </w14:solidFill>
          </w14:textFill>
        </w:rPr>
        <w:t>12</w:t>
      </w:r>
      <w:r>
        <w:rPr>
          <w:rFonts w:ascii="Times New Roman" w:hAnsi="Times New Roman" w:cs="Times New Roman"/>
          <w:color w:val="000000" w:themeColor="text1"/>
          <w:szCs w:val="24"/>
          <w:lang w:eastAsia="zh-CN"/>
          <w14:textFill>
            <w14:solidFill>
              <w14:schemeClr w14:val="tx1"/>
            </w14:solidFill>
          </w14:textFill>
        </w:rPr>
        <w:t>m，达到2级大气毒性终点浓度标准最大距离</w:t>
      </w:r>
      <w:r>
        <w:rPr>
          <w:rFonts w:hint="eastAsia" w:ascii="Times New Roman" w:hAnsi="Times New Roman" w:cs="Times New Roman"/>
          <w:color w:val="000000" w:themeColor="text1"/>
          <w:szCs w:val="24"/>
          <w:lang w:eastAsia="zh-CN"/>
          <w14:textFill>
            <w14:solidFill>
              <w14:schemeClr w14:val="tx1"/>
            </w14:solidFill>
          </w14:textFill>
        </w:rPr>
        <w:t>320</w:t>
      </w:r>
      <w:r>
        <w:rPr>
          <w:rFonts w:ascii="Times New Roman" w:hAnsi="Times New Roman" w:cs="Times New Roman"/>
          <w:color w:val="000000" w:themeColor="text1"/>
          <w:szCs w:val="24"/>
          <w:lang w:eastAsia="zh-CN"/>
          <w14:textFill>
            <w14:solidFill>
              <w14:schemeClr w14:val="tx1"/>
            </w14:solidFill>
          </w14:textFill>
        </w:rPr>
        <w:t>m，最大半宽</w:t>
      </w:r>
      <w:r>
        <w:rPr>
          <w:rFonts w:hint="eastAsia" w:ascii="Times New Roman" w:hAnsi="Times New Roman" w:cs="Times New Roman"/>
          <w:color w:val="000000" w:themeColor="text1"/>
          <w:szCs w:val="24"/>
          <w:lang w:eastAsia="zh-CN"/>
          <w14:textFill>
            <w14:solidFill>
              <w14:schemeClr w14:val="tx1"/>
            </w14:solidFill>
          </w14:textFill>
        </w:rPr>
        <w:t>27</w:t>
      </w:r>
      <w:r>
        <w:rPr>
          <w:rFonts w:ascii="Times New Roman" w:hAnsi="Times New Roman" w:cs="Times New Roman"/>
          <w:color w:val="000000" w:themeColor="text1"/>
          <w:szCs w:val="24"/>
          <w:lang w:eastAsia="zh-CN"/>
          <w14:textFill>
            <w14:solidFill>
              <w14:schemeClr w14:val="tx1"/>
            </w14:solidFill>
          </w14:textFill>
        </w:rPr>
        <w:t>m。</w:t>
      </w:r>
    </w:p>
    <w:p w14:paraId="63CF9B15">
      <w:pPr>
        <w:widowControl w:val="0"/>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ascii="Times New Roman" w:hAnsi="Times New Roman" w:cs="Times New Roman"/>
          <w:color w:val="000000" w:themeColor="text1"/>
          <w:szCs w:val="24"/>
          <w:lang w:eastAsia="zh-CN"/>
          <w14:textFill>
            <w14:solidFill>
              <w14:schemeClr w14:val="tx1"/>
            </w14:solidFill>
          </w14:textFill>
        </w:rPr>
        <w:t>最不利气象条件下，</w:t>
      </w:r>
      <w:r>
        <w:rPr>
          <w:rFonts w:hint="eastAsia" w:ascii="Times New Roman" w:hAnsi="Times New Roman" w:cs="Times New Roman"/>
          <w:color w:val="000000" w:themeColor="text1"/>
          <w:szCs w:val="24"/>
          <w:lang w:eastAsia="zh-CN"/>
          <w14:textFill>
            <w14:solidFill>
              <w14:schemeClr w14:val="tx1"/>
            </w14:solidFill>
          </w14:textFill>
        </w:rPr>
        <w:t>氯化氢</w:t>
      </w:r>
      <w:r>
        <w:rPr>
          <w:rFonts w:ascii="Times New Roman" w:hAnsi="Times New Roman" w:cs="Times New Roman"/>
          <w:color w:val="000000" w:themeColor="text1"/>
          <w:szCs w:val="24"/>
          <w:lang w:eastAsia="zh-CN"/>
          <w14:textFill>
            <w14:solidFill>
              <w14:schemeClr w14:val="tx1"/>
            </w14:solidFill>
          </w14:textFill>
        </w:rPr>
        <w:t xml:space="preserve"> 1 级大气毒性终点浓度影响范围内无环境敏感点分布；2级大气毒性终点浓度影响范围内无敏感点，拟建项目距离最近敏感点为</w:t>
      </w:r>
      <w:r>
        <w:rPr>
          <w:rFonts w:hint="eastAsia" w:ascii="Times New Roman" w:hAnsi="Times New Roman" w:cs="Times New Roman"/>
          <w:color w:val="000000" w:themeColor="text1"/>
          <w:szCs w:val="24"/>
          <w:lang w:eastAsia="zh-CN"/>
          <w14:textFill>
            <w14:solidFill>
              <w14:schemeClr w14:val="tx1"/>
            </w14:solidFill>
          </w14:textFill>
        </w:rPr>
        <w:t>760</w:t>
      </w:r>
      <w:r>
        <w:rPr>
          <w:rFonts w:ascii="Times New Roman" w:hAnsi="Times New Roman" w:cs="Times New Roman"/>
          <w:color w:val="000000" w:themeColor="text1"/>
          <w:szCs w:val="24"/>
          <w:lang w:eastAsia="zh-CN"/>
          <w14:textFill>
            <w14:solidFill>
              <w14:schemeClr w14:val="tx1"/>
            </w14:solidFill>
          </w14:textFill>
        </w:rPr>
        <w:t>m</w:t>
      </w:r>
      <w:r>
        <w:rPr>
          <w:rFonts w:hint="eastAsia" w:ascii="Times New Roman" w:hAnsi="Times New Roman" w:cs="Times New Roman"/>
          <w:color w:val="000000" w:themeColor="text1"/>
          <w:szCs w:val="24"/>
          <w:lang w:eastAsia="zh-CN"/>
          <w14:textFill>
            <w14:solidFill>
              <w14:schemeClr w14:val="tx1"/>
            </w14:solidFill>
          </w14:textFill>
        </w:rPr>
        <w:t>大柏村</w:t>
      </w:r>
      <w:r>
        <w:rPr>
          <w:rFonts w:ascii="Times New Roman" w:hAnsi="Times New Roman" w:cs="Times New Roman"/>
          <w:color w:val="000000" w:themeColor="text1"/>
          <w:szCs w:val="24"/>
          <w:lang w:eastAsia="zh-CN"/>
          <w14:textFill>
            <w14:solidFill>
              <w14:schemeClr w14:val="tx1"/>
            </w14:solidFill>
          </w14:textFill>
        </w:rPr>
        <w:t>。一旦发生事故建设单位应根据事故当天下风向确定最大影响范围，应及时通知影响范围内人群或上报政府请求协助撤离，确保1h时内能够将2级毒性终点浓度影响范围内的敏感点全部撤离、疏散，进一步安置。</w:t>
      </w:r>
    </w:p>
    <w:p w14:paraId="183B0324">
      <w:pPr>
        <w:widowControl w:val="0"/>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ascii="Times New Roman" w:hAnsi="Times New Roman" w:cs="Times New Roman"/>
          <w:color w:val="000000" w:themeColor="text1"/>
          <w:szCs w:val="24"/>
          <w:lang w:eastAsia="zh-CN"/>
          <w14:textFill>
            <w14:solidFill>
              <w14:schemeClr w14:val="tx1"/>
            </w14:solidFill>
          </w14:textFill>
        </w:rPr>
        <w:t>最</w:t>
      </w:r>
      <w:r>
        <w:rPr>
          <w:rFonts w:hint="eastAsia" w:ascii="Times New Roman" w:hAnsi="Times New Roman" w:cs="Times New Roman"/>
          <w:color w:val="000000" w:themeColor="text1"/>
          <w:szCs w:val="24"/>
          <w:lang w:eastAsia="zh-CN"/>
          <w14:textFill>
            <w14:solidFill>
              <w14:schemeClr w14:val="tx1"/>
            </w14:solidFill>
          </w14:textFill>
        </w:rPr>
        <w:t>不利</w:t>
      </w:r>
      <w:r>
        <w:rPr>
          <w:rFonts w:ascii="Times New Roman" w:hAnsi="Times New Roman" w:cs="Times New Roman"/>
          <w:color w:val="000000" w:themeColor="text1"/>
          <w:szCs w:val="24"/>
          <w:lang w:eastAsia="zh-CN"/>
          <w14:textFill>
            <w14:solidFill>
              <w14:schemeClr w14:val="tx1"/>
            </w14:solidFill>
          </w14:textFill>
        </w:rPr>
        <w:t>气象条件下，</w:t>
      </w:r>
      <w:r>
        <w:rPr>
          <w:rFonts w:hint="eastAsia" w:ascii="Times New Roman" w:hAnsi="Times New Roman" w:cs="Times New Roman"/>
          <w:color w:val="000000" w:themeColor="text1"/>
          <w:szCs w:val="24"/>
          <w:lang w:eastAsia="zh-CN"/>
          <w14:textFill>
            <w14:solidFill>
              <w14:schemeClr w14:val="tx1"/>
            </w14:solidFill>
          </w14:textFill>
        </w:rPr>
        <w:t>氯化氢</w:t>
      </w:r>
      <w:r>
        <w:rPr>
          <w:rFonts w:ascii="Times New Roman" w:hAnsi="Times New Roman" w:cs="Times New Roman"/>
          <w:color w:val="000000" w:themeColor="text1"/>
          <w:szCs w:val="24"/>
          <w:lang w:eastAsia="zh-CN"/>
          <w14:textFill>
            <w14:solidFill>
              <w14:schemeClr w14:val="tx1"/>
            </w14:solidFill>
          </w14:textFill>
        </w:rPr>
        <w:t>对关心点均未超过阈值限值</w:t>
      </w:r>
      <w:r>
        <w:rPr>
          <w:rFonts w:hint="eastAsia" w:ascii="Times New Roman" w:hAnsi="Times New Roman" w:cs="Times New Roman"/>
          <w:color w:val="000000" w:themeColor="text1"/>
          <w:szCs w:val="24"/>
          <w:lang w:eastAsia="zh-CN"/>
          <w14:textFill>
            <w14:solidFill>
              <w14:schemeClr w14:val="tx1"/>
            </w14:solidFill>
          </w14:textFill>
        </w:rPr>
        <w:t>；</w:t>
      </w:r>
    </w:p>
    <w:p w14:paraId="5FA89453">
      <w:pPr>
        <w:widowControl w:val="0"/>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ascii="Times New Roman" w:hAnsi="Times New Roman" w:cs="Times New Roman"/>
          <w:color w:val="000000" w:themeColor="text1"/>
          <w:szCs w:val="24"/>
          <w:lang w:eastAsia="zh-CN"/>
          <w14:textFill>
            <w14:solidFill>
              <w14:schemeClr w14:val="tx1"/>
            </w14:solidFill>
          </w14:textFill>
        </w:rPr>
        <w:t>最</w:t>
      </w:r>
      <w:r>
        <w:rPr>
          <w:rFonts w:hint="eastAsia" w:ascii="Times New Roman" w:hAnsi="Times New Roman" w:cs="Times New Roman"/>
          <w:color w:val="000000" w:themeColor="text1"/>
          <w:szCs w:val="24"/>
          <w:lang w:eastAsia="zh-CN"/>
          <w14:textFill>
            <w14:solidFill>
              <w14:schemeClr w14:val="tx1"/>
            </w14:solidFill>
          </w14:textFill>
        </w:rPr>
        <w:t>常见</w:t>
      </w:r>
      <w:r>
        <w:rPr>
          <w:rFonts w:ascii="Times New Roman" w:hAnsi="Times New Roman" w:cs="Times New Roman"/>
          <w:color w:val="000000" w:themeColor="text1"/>
          <w:szCs w:val="24"/>
          <w:lang w:eastAsia="zh-CN"/>
          <w14:textFill>
            <w14:solidFill>
              <w14:schemeClr w14:val="tx1"/>
            </w14:solidFill>
          </w14:textFill>
        </w:rPr>
        <w:t>气象条件下，</w:t>
      </w:r>
      <w:r>
        <w:rPr>
          <w:rFonts w:hint="eastAsia" w:ascii="Times New Roman" w:hAnsi="Times New Roman" w:cs="Times New Roman"/>
          <w:color w:val="000000" w:themeColor="text1"/>
          <w:szCs w:val="24"/>
          <w:lang w:eastAsia="zh-CN"/>
          <w14:textFill>
            <w14:solidFill>
              <w14:schemeClr w14:val="tx1"/>
            </w14:solidFill>
          </w14:textFill>
        </w:rPr>
        <w:t>氯化氢</w:t>
      </w:r>
      <w:r>
        <w:rPr>
          <w:rFonts w:ascii="Times New Roman" w:hAnsi="Times New Roman" w:cs="Times New Roman"/>
          <w:color w:val="000000" w:themeColor="text1"/>
          <w:szCs w:val="24"/>
          <w:lang w:eastAsia="zh-CN"/>
          <w14:textFill>
            <w14:solidFill>
              <w14:schemeClr w14:val="tx1"/>
            </w14:solidFill>
          </w14:textFill>
        </w:rPr>
        <w:t>对关心点均未超过阈值限值</w:t>
      </w:r>
      <w:r>
        <w:rPr>
          <w:rFonts w:hint="eastAsia" w:ascii="Times New Roman" w:hAnsi="Times New Roman" w:cs="Times New Roman"/>
          <w:color w:val="000000" w:themeColor="text1"/>
          <w:szCs w:val="24"/>
          <w:lang w:eastAsia="zh-CN"/>
          <w14:textFill>
            <w14:solidFill>
              <w14:schemeClr w14:val="tx1"/>
            </w14:solidFill>
          </w14:textFill>
        </w:rPr>
        <w:t>。</w:t>
      </w:r>
    </w:p>
    <w:p w14:paraId="1661D778">
      <w:pPr>
        <w:widowControl w:val="0"/>
        <w:spacing w:line="360" w:lineRule="auto"/>
        <w:ind w:firstLine="482"/>
        <w:jc w:val="both"/>
        <w:outlineLvl w:val="2"/>
        <w:rPr>
          <w:rFonts w:ascii="Times New Roman" w:hAnsi="Times New Roman" w:eastAsia="新宋体" w:cs="Times New Roman"/>
          <w:b/>
          <w:bCs/>
          <w:color w:val="auto"/>
          <w:lang w:eastAsia="zh-CN"/>
        </w:rPr>
      </w:pPr>
      <w:bookmarkStart w:id="2081" w:name="_Toc203927089"/>
      <w:bookmarkStart w:id="2082" w:name="_Toc204515288"/>
      <w:bookmarkStart w:id="2083" w:name="_Toc223425146"/>
      <w:bookmarkStart w:id="2084" w:name="_Toc231828669"/>
      <w:bookmarkStart w:id="2085" w:name="_Toc178602437"/>
      <w:bookmarkStart w:id="2086" w:name="_Toc173740365"/>
      <w:bookmarkStart w:id="2087" w:name="_Toc176513096"/>
      <w:bookmarkStart w:id="2088" w:name="_Toc225784148"/>
      <w:bookmarkStart w:id="2089" w:name="_Toc175164360"/>
      <w:bookmarkStart w:id="2090" w:name="_Toc236641917"/>
      <w:bookmarkStart w:id="2091" w:name="_Toc218784371"/>
      <w:bookmarkStart w:id="2092" w:name="_Toc224674786"/>
      <w:bookmarkStart w:id="2093" w:name="_Toc217662759"/>
      <w:bookmarkStart w:id="2094" w:name="_Toc173743469"/>
      <w:bookmarkStart w:id="2095" w:name="_Toc204448553"/>
      <w:bookmarkStart w:id="2096" w:name="_Toc237508382"/>
      <w:bookmarkStart w:id="2097" w:name="_Toc221900928"/>
      <w:r>
        <w:rPr>
          <w:rFonts w:ascii="Times New Roman" w:hAnsi="Times New Roman" w:eastAsia="新宋体" w:cs="Times New Roman"/>
          <w:b/>
          <w:bCs/>
          <w:color w:val="auto"/>
          <w:lang w:eastAsia="zh-CN"/>
        </w:rPr>
        <w:t>7.</w:t>
      </w:r>
      <w:r>
        <w:rPr>
          <w:rFonts w:hint="eastAsia" w:ascii="Times New Roman" w:hAnsi="Times New Roman" w:eastAsia="新宋体" w:cs="Times New Roman"/>
          <w:b/>
          <w:bCs/>
          <w:color w:val="auto"/>
          <w:lang w:eastAsia="zh-CN"/>
        </w:rPr>
        <w:t>8</w:t>
      </w:r>
      <w:r>
        <w:rPr>
          <w:rFonts w:ascii="Times New Roman" w:hAnsi="Times New Roman" w:eastAsia="新宋体" w:cs="Times New Roman"/>
          <w:b/>
          <w:bCs/>
          <w:color w:val="auto"/>
          <w:lang w:eastAsia="zh-CN"/>
        </w:rPr>
        <w:t xml:space="preserve">.2 </w:t>
      </w:r>
      <w:r>
        <w:rPr>
          <w:rFonts w:hint="eastAsia" w:ascii="Times New Roman" w:hAnsi="Times New Roman" w:eastAsia="新宋体" w:cs="Times New Roman"/>
          <w:b/>
          <w:bCs/>
          <w:color w:val="auto"/>
          <w:lang w:eastAsia="zh-CN"/>
        </w:rPr>
        <w:t>地表水环境风险预测分析</w:t>
      </w:r>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p>
    <w:p w14:paraId="5D639576">
      <w:pPr>
        <w:spacing w:line="360" w:lineRule="auto"/>
        <w:ind w:firstLine="482"/>
        <w:jc w:val="both"/>
        <w:outlineLvl w:val="3"/>
        <w:rPr>
          <w:rFonts w:ascii="Times New Roman" w:hAnsi="Times New Roman" w:cs="Times New Roman"/>
          <w:b/>
          <w:bCs/>
          <w:color w:val="auto"/>
          <w:szCs w:val="24"/>
          <w:lang w:eastAsia="zh-CN"/>
        </w:rPr>
      </w:pPr>
      <w:r>
        <w:rPr>
          <w:rFonts w:hint="eastAsia" w:ascii="Times New Roman" w:hAnsi="Times New Roman" w:cs="Times New Roman"/>
          <w:b/>
          <w:bCs/>
          <w:color w:val="auto"/>
          <w:szCs w:val="24"/>
          <w:lang w:eastAsia="zh-CN"/>
        </w:rPr>
        <w:t>7</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8</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2</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 xml:space="preserve">1 </w:t>
      </w:r>
      <w:r>
        <w:rPr>
          <w:rFonts w:hint="eastAsia" w:ascii="Times New Roman" w:hAnsi="Times New Roman" w:cs="Times New Roman"/>
          <w:b/>
          <w:bCs/>
          <w:snapToGrid/>
          <w:color w:val="auto"/>
          <w:spacing w:val="-2"/>
          <w:szCs w:val="24"/>
          <w:lang w:eastAsia="zh-CN"/>
        </w:rPr>
        <w:t>预测因子</w:t>
      </w:r>
    </w:p>
    <w:p w14:paraId="00ABD5EA">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根据《环境影响评价技术导则地表水环境》（HJ2.3-2018），确定本项目预测因子为</w:t>
      </w:r>
      <w:r>
        <w:rPr>
          <w:rFonts w:hint="eastAsia" w:ascii="Times New Roman" w:hAnsi="Times New Roman" w:cs="Times New Roman"/>
          <w:color w:val="auto"/>
          <w:lang w:eastAsia="zh-CN"/>
        </w:rPr>
        <w:t>氟化物、氯化物</w:t>
      </w:r>
      <w:r>
        <w:rPr>
          <w:rFonts w:ascii="Times New Roman" w:hAnsi="Times New Roman" w:cs="Times New Roman"/>
          <w:color w:val="auto"/>
          <w:lang w:eastAsia="zh-CN"/>
        </w:rPr>
        <w:t>。</w:t>
      </w:r>
    </w:p>
    <w:p w14:paraId="0658151C">
      <w:pPr>
        <w:spacing w:line="360" w:lineRule="auto"/>
        <w:ind w:firstLine="482"/>
        <w:jc w:val="both"/>
        <w:outlineLvl w:val="3"/>
        <w:rPr>
          <w:rFonts w:ascii="Times New Roman" w:hAnsi="Times New Roman" w:cs="Times New Roman"/>
          <w:b/>
          <w:bCs/>
          <w:color w:val="auto"/>
          <w:szCs w:val="24"/>
          <w:lang w:eastAsia="zh-CN"/>
        </w:rPr>
      </w:pPr>
      <w:r>
        <w:rPr>
          <w:rFonts w:hint="eastAsia" w:ascii="Times New Roman" w:hAnsi="Times New Roman" w:cs="Times New Roman"/>
          <w:b/>
          <w:bCs/>
          <w:color w:val="auto"/>
          <w:szCs w:val="24"/>
          <w:lang w:eastAsia="zh-CN"/>
        </w:rPr>
        <w:t>7</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8</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2</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 xml:space="preserve">2 </w:t>
      </w:r>
      <w:r>
        <w:rPr>
          <w:rFonts w:hint="eastAsia" w:ascii="Times New Roman" w:hAnsi="Times New Roman" w:cs="Times New Roman"/>
          <w:b/>
          <w:bCs/>
          <w:snapToGrid/>
          <w:color w:val="auto"/>
          <w:spacing w:val="-2"/>
          <w:szCs w:val="24"/>
          <w:lang w:eastAsia="zh-CN"/>
        </w:rPr>
        <w:t>预测范围</w:t>
      </w:r>
    </w:p>
    <w:p w14:paraId="7DC43589">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根据蚌埠精细化工高新技术产业基地规划（2021～2035）中雨水规划图，本项目雨水经雨水管网通过园区雨水</w:t>
      </w:r>
      <w:r>
        <w:rPr>
          <w:rFonts w:ascii="Times New Roman" w:hAnsi="Times New Roman" w:cs="Times New Roman"/>
          <w:color w:val="auto"/>
          <w:szCs w:val="24"/>
          <w:lang w:eastAsia="zh-CN"/>
        </w:rPr>
        <w:t>排放口</w:t>
      </w:r>
      <w:r>
        <w:rPr>
          <w:rFonts w:hint="eastAsia" w:ascii="Times New Roman" w:hAnsi="Times New Roman" w:cs="Times New Roman"/>
          <w:color w:val="auto"/>
          <w:szCs w:val="24"/>
          <w:lang w:eastAsia="zh-CN"/>
        </w:rPr>
        <w:t>排入三铺大沟</w:t>
      </w:r>
      <w:r>
        <w:rPr>
          <w:rFonts w:ascii="Times New Roman" w:hAnsi="Times New Roman" w:cs="Times New Roman"/>
          <w:color w:val="auto"/>
          <w:szCs w:val="24"/>
          <w:lang w:eastAsia="zh-CN"/>
        </w:rPr>
        <w:t>，随</w:t>
      </w:r>
      <w:r>
        <w:rPr>
          <w:rFonts w:hint="eastAsia" w:ascii="Times New Roman" w:hAnsi="Times New Roman" w:cs="Times New Roman"/>
          <w:color w:val="auto"/>
          <w:szCs w:val="24"/>
          <w:lang w:eastAsia="zh-CN"/>
        </w:rPr>
        <w:t>三铺大沟</w:t>
      </w:r>
      <w:r>
        <w:rPr>
          <w:rFonts w:ascii="Times New Roman" w:hAnsi="Times New Roman" w:cs="Times New Roman"/>
          <w:color w:val="auto"/>
          <w:szCs w:val="24"/>
          <w:lang w:eastAsia="zh-CN"/>
        </w:rPr>
        <w:t>向</w:t>
      </w:r>
      <w:r>
        <w:rPr>
          <w:rFonts w:hint="eastAsia" w:ascii="Times New Roman" w:hAnsi="Times New Roman" w:cs="Times New Roman"/>
          <w:color w:val="auto"/>
          <w:szCs w:val="24"/>
          <w:lang w:eastAsia="zh-CN"/>
        </w:rPr>
        <w:t>南</w:t>
      </w:r>
      <w:r>
        <w:rPr>
          <w:rFonts w:ascii="Times New Roman" w:hAnsi="Times New Roman" w:cs="Times New Roman"/>
          <w:color w:val="auto"/>
          <w:szCs w:val="24"/>
          <w:lang w:eastAsia="zh-CN"/>
        </w:rPr>
        <w:t>进入</w:t>
      </w:r>
      <w:r>
        <w:rPr>
          <w:rFonts w:hint="eastAsia" w:ascii="Times New Roman" w:hAnsi="Times New Roman" w:cs="Times New Roman"/>
          <w:color w:val="auto"/>
          <w:szCs w:val="24"/>
          <w:lang w:eastAsia="zh-CN"/>
        </w:rPr>
        <w:t>淮河</w:t>
      </w:r>
      <w:r>
        <w:rPr>
          <w:rFonts w:ascii="Times New Roman" w:hAnsi="Times New Roman" w:cs="Times New Roman"/>
          <w:color w:val="auto"/>
          <w:szCs w:val="24"/>
          <w:lang w:eastAsia="zh-CN"/>
        </w:rPr>
        <w:t>。</w:t>
      </w:r>
      <w:r>
        <w:rPr>
          <w:color w:val="auto"/>
          <w:szCs w:val="24"/>
          <w:lang w:eastAsia="zh-CN"/>
        </w:rPr>
        <w:t>综合考虑本河段的水文特征、河势特征及可能产生的对下游的最大影响区域，</w:t>
      </w:r>
      <w:r>
        <w:rPr>
          <w:rFonts w:hint="eastAsia" w:ascii="Times New Roman" w:hAnsi="Times New Roman" w:cs="Times New Roman"/>
          <w:bCs/>
          <w:color w:val="auto"/>
          <w:lang w:eastAsia="zh-CN"/>
        </w:rPr>
        <w:t>地表水环境风险评价范围为</w:t>
      </w:r>
      <w:r>
        <w:rPr>
          <w:rFonts w:hint="eastAsia" w:ascii="Times New Roman" w:hAnsi="Times New Roman" w:cs="Times New Roman"/>
          <w:color w:val="auto"/>
          <w:lang w:eastAsia="zh-CN"/>
        </w:rPr>
        <w:t>园区雨水排放口</w:t>
      </w:r>
      <w:r>
        <w:rPr>
          <w:rFonts w:ascii="Times New Roman" w:hAnsi="Times New Roman" w:cs="Times New Roman"/>
          <w:color w:val="auto"/>
          <w:lang w:eastAsia="zh-CN"/>
        </w:rPr>
        <w:t>上游500m至</w:t>
      </w:r>
      <w:r>
        <w:rPr>
          <w:rFonts w:hint="eastAsia" w:ascii="Times New Roman" w:hAnsi="Times New Roman" w:cs="Times New Roman"/>
          <w:color w:val="auto"/>
          <w:lang w:eastAsia="zh-CN"/>
        </w:rPr>
        <w:t>三铺大沟</w:t>
      </w:r>
      <w:r>
        <w:rPr>
          <w:rFonts w:ascii="Times New Roman" w:hAnsi="Times New Roman" w:cs="Times New Roman"/>
          <w:color w:val="auto"/>
          <w:lang w:eastAsia="zh-CN"/>
        </w:rPr>
        <w:t>入</w:t>
      </w:r>
      <w:r>
        <w:rPr>
          <w:rFonts w:hint="eastAsia" w:ascii="Times New Roman" w:hAnsi="Times New Roman" w:cs="Times New Roman"/>
          <w:color w:val="auto"/>
          <w:lang w:eastAsia="zh-CN"/>
        </w:rPr>
        <w:t>淮河</w:t>
      </w:r>
      <w:r>
        <w:rPr>
          <w:rFonts w:ascii="Times New Roman" w:hAnsi="Times New Roman" w:cs="Times New Roman"/>
          <w:color w:val="auto"/>
          <w:lang w:eastAsia="zh-CN"/>
        </w:rPr>
        <w:t>口的共计</w:t>
      </w:r>
      <w:r>
        <w:rPr>
          <w:rFonts w:hint="eastAsia" w:ascii="Times New Roman" w:hAnsi="Times New Roman" w:cs="Times New Roman"/>
          <w:color w:val="auto"/>
          <w:lang w:eastAsia="zh-CN"/>
        </w:rPr>
        <w:t>约3.7k</w:t>
      </w:r>
      <w:r>
        <w:rPr>
          <w:rFonts w:ascii="Times New Roman" w:hAnsi="Times New Roman" w:cs="Times New Roman"/>
          <w:color w:val="auto"/>
          <w:lang w:eastAsia="zh-CN"/>
        </w:rPr>
        <w:t>m的河段；尾水入</w:t>
      </w:r>
      <w:r>
        <w:rPr>
          <w:rFonts w:hint="eastAsia" w:ascii="Times New Roman" w:hAnsi="Times New Roman" w:cs="Times New Roman"/>
          <w:color w:val="auto"/>
          <w:lang w:eastAsia="zh-CN"/>
        </w:rPr>
        <w:t>淮河</w:t>
      </w:r>
      <w:r>
        <w:rPr>
          <w:rFonts w:ascii="Times New Roman" w:hAnsi="Times New Roman" w:cs="Times New Roman"/>
          <w:color w:val="auto"/>
          <w:lang w:eastAsia="zh-CN"/>
        </w:rPr>
        <w:t>口上游500m至下游</w:t>
      </w:r>
      <w:r>
        <w:rPr>
          <w:rFonts w:hint="eastAsia" w:ascii="Times New Roman" w:hAnsi="Times New Roman" w:cs="Times New Roman"/>
          <w:color w:val="auto"/>
          <w:lang w:eastAsia="zh-CN"/>
        </w:rPr>
        <w:t>8.5</w:t>
      </w:r>
      <w:r>
        <w:rPr>
          <w:rFonts w:ascii="Times New Roman" w:hAnsi="Times New Roman" w:cs="Times New Roman"/>
          <w:color w:val="auto"/>
          <w:lang w:eastAsia="zh-CN"/>
        </w:rPr>
        <w:t>km的共计</w:t>
      </w:r>
      <w:r>
        <w:rPr>
          <w:rFonts w:hint="eastAsia" w:ascii="Times New Roman" w:hAnsi="Times New Roman" w:cs="Times New Roman"/>
          <w:color w:val="auto"/>
          <w:lang w:eastAsia="zh-CN"/>
        </w:rPr>
        <w:t>9.0</w:t>
      </w:r>
      <w:r>
        <w:rPr>
          <w:rFonts w:ascii="Times New Roman" w:hAnsi="Times New Roman" w:cs="Times New Roman"/>
          <w:color w:val="auto"/>
          <w:lang w:eastAsia="zh-CN"/>
        </w:rPr>
        <w:t>km的</w:t>
      </w:r>
      <w:r>
        <w:rPr>
          <w:rFonts w:hint="eastAsia" w:ascii="Times New Roman" w:hAnsi="Times New Roman" w:cs="Times New Roman"/>
          <w:color w:val="auto"/>
          <w:lang w:eastAsia="zh-CN"/>
        </w:rPr>
        <w:t>淮河</w:t>
      </w:r>
      <w:r>
        <w:rPr>
          <w:rFonts w:ascii="Times New Roman" w:hAnsi="Times New Roman" w:cs="Times New Roman"/>
          <w:color w:val="auto"/>
          <w:lang w:eastAsia="zh-CN"/>
        </w:rPr>
        <w:t>段</w:t>
      </w:r>
      <w:r>
        <w:rPr>
          <w:rFonts w:ascii="Times New Roman" w:hAnsi="Times New Roman" w:cs="Times New Roman"/>
          <w:color w:val="auto"/>
          <w:szCs w:val="24"/>
          <w:lang w:eastAsia="zh-CN"/>
        </w:rPr>
        <w:t>。</w:t>
      </w:r>
    </w:p>
    <w:p w14:paraId="69081ABC">
      <w:pPr>
        <w:spacing w:line="360" w:lineRule="auto"/>
        <w:jc w:val="center"/>
        <w:rPr>
          <w:rFonts w:ascii="Times New Roman" w:hAnsi="Times New Roman" w:cs="Times New Roman"/>
          <w:color w:val="EE0000"/>
          <w:szCs w:val="24"/>
          <w:lang w:eastAsia="zh-CN"/>
        </w:rPr>
      </w:pPr>
      <w:r>
        <w:rPr>
          <w:snapToGrid/>
        </w:rPr>
        <mc:AlternateContent>
          <mc:Choice Requires="wps">
            <w:drawing>
              <wp:anchor distT="0" distB="0" distL="114300" distR="114300" simplePos="0" relativeHeight="251960320" behindDoc="0" locked="0" layoutInCell="1" allowOverlap="1">
                <wp:simplePos x="0" y="0"/>
                <wp:positionH relativeFrom="column">
                  <wp:posOffset>4827270</wp:posOffset>
                </wp:positionH>
                <wp:positionV relativeFrom="paragraph">
                  <wp:posOffset>6761480</wp:posOffset>
                </wp:positionV>
                <wp:extent cx="466090" cy="410210"/>
                <wp:effectExtent l="19050" t="19050" r="48895" b="46990"/>
                <wp:wrapNone/>
                <wp:docPr id="1421936995" name="直接箭头连接符 616"/>
                <wp:cNvGraphicFramePr/>
                <a:graphic xmlns:a="http://schemas.openxmlformats.org/drawingml/2006/main">
                  <a:graphicData uri="http://schemas.microsoft.com/office/word/2010/wordprocessingShape">
                    <wps:wsp>
                      <wps:cNvCnPr/>
                      <wps:spPr>
                        <a:xfrm>
                          <a:off x="0" y="0"/>
                          <a:ext cx="465980" cy="410321"/>
                        </a:xfrm>
                        <a:prstGeom prst="straightConnector1">
                          <a:avLst/>
                        </a:prstGeom>
                        <a:ln w="28575">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616" o:spid="_x0000_s1026" o:spt="32" type="#_x0000_t32" style="position:absolute;left:0pt;margin-left:380.1pt;margin-top:532.4pt;height:32.3pt;width:36.7pt;z-index:251960320;mso-width-relative:page;mso-height-relative:page;" filled="f" stroked="t" coordsize="21600,21600" o:gfxdata="UEsDBAoAAAAAAIdO4kAAAAAAAAAAAAAAAAAEAAAAZHJzL1BLAwQUAAAACACHTuJAPvGdbtoAAAAN&#10;AQAADwAAAGRycy9kb3ducmV2LnhtbE2PwU7DMBBE70j8g7VIXCpqO61CCXEqgURPXChcenNjN46w&#10;1yF20/bvWU70uDNPszP1+hw8m+yY+ogK5FwAs9hG02On4Ovz7WEFLGWNRvuIVsHFJlg3tze1rkw8&#10;4YedtrljFIKp0gpczkPFeWqdDTrN42CRvEMcg850jh03oz5RePC8EKLkQfdIH5we7Kuz7ff2GBQc&#10;3G73Ii+bn3ctw2bmZ2mcXKvU/Z0Uz8CyPed/GP7qU3VoqNM+HtEk5hU8lqIglAxRLmkEIavFogS2&#10;J0kWT0vgTc2vVzS/UEsDBBQAAAAIAIdO4kAJEOY9GAIAAPEDAAAOAAAAZHJzL2Uyb0RvYy54bWyt&#10;U0uOEzEQ3SNxB8t70t2ZJCStdGaREDYIIgEHcNzubkv+qezJ5xJcAIkVsGJYzZ7TwHAMyu6QgWEz&#10;C3rhLpddr/yen+eXB63IToCX1lS0GOSUCMNtLU1b0bdv1k+mlPjATM2UNaKiR+Hp5eLxo/nelWJo&#10;O6tqAQRBjC/3rqJdCK7MMs87oZkfWCcMLjYWNAs4hTarge0RXatsmOeTbG+hdmC58B6zq36RnhDh&#10;IYC2aSQXK8uvtDChRwWhWEBKvpPO00U6bdMIHl41jReBqIoi05BGbILxNo7ZYs7KFpjrJD8dgT3k&#10;CPc4aSYNNj1DrVhg5ArkP1BacrDeNmHArc56IkkRZFHk97R53TEnEheU2ruz6P7/wfKXuw0QWaMT&#10;RsNidjGZzcaUGKbx5m/f3/x49+n26/X3jzc/v32I8ZfPZFJMomp750ssXpoNnGbebSBKcGhAxz+S&#10;I4ek9PGstDgEwjE5moxnU7wDjkujIr8YFhEzuyt24MNzYTWJQUV9ACbbLiytMXinFoqkNtu98KEv&#10;/F0QOxu7lkphnpXKkH1Fh9PxU6TFGfq1QZ9gqB1y9qalhKkWHwIPkCC9VbKO5bHaQ7tdKiA7hvZZ&#10;45cnx+A5/9oWe6+Y7/p9aak3lpYB34qSuqLTPH59OjCpnpmahKNDmQNIZlolTgoog0JEdXs9Y7S1&#10;9THJnPLohCTVybXRan/OU/XdS138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D7xnW7aAAAADQEA&#10;AA8AAAAAAAAAAQAgAAAAIgAAAGRycy9kb3ducmV2LnhtbFBLAQIUABQAAAAIAIdO4kAJEOY9GAIA&#10;APEDAAAOAAAAAAAAAAEAIAAAACkBAABkcnMvZTJvRG9jLnhtbFBLBQYAAAAABgAGAFkBAACzBQAA&#10;AAA=&#10;">
                <v:fill on="f" focussize="0,0"/>
                <v:stroke weight="2.25pt" color="#FFFF00 [3204]" miterlimit="8" joinstyle="miter" endarrow="block"/>
                <v:imagedata o:title=""/>
                <o:lock v:ext="edit" aspectratio="f"/>
              </v:shape>
            </w:pict>
          </mc:Fallback>
        </mc:AlternateContent>
      </w:r>
      <w:r>
        <w:rPr>
          <w:snapToGrid/>
        </w:rPr>
        <mc:AlternateContent>
          <mc:Choice Requires="wps">
            <w:drawing>
              <wp:anchor distT="0" distB="0" distL="114300" distR="114300" simplePos="0" relativeHeight="251959296" behindDoc="0" locked="0" layoutInCell="1" allowOverlap="1">
                <wp:simplePos x="0" y="0"/>
                <wp:positionH relativeFrom="column">
                  <wp:posOffset>4287520</wp:posOffset>
                </wp:positionH>
                <wp:positionV relativeFrom="paragraph">
                  <wp:posOffset>6214110</wp:posOffset>
                </wp:positionV>
                <wp:extent cx="518795" cy="505460"/>
                <wp:effectExtent l="19050" t="19050" r="71755" b="46990"/>
                <wp:wrapNone/>
                <wp:docPr id="1566302043" name="直接箭头连接符 616"/>
                <wp:cNvGraphicFramePr/>
                <a:graphic xmlns:a="http://schemas.openxmlformats.org/drawingml/2006/main">
                  <a:graphicData uri="http://schemas.microsoft.com/office/word/2010/wordprocessingShape">
                    <wps:wsp>
                      <wps:cNvCnPr/>
                      <wps:spPr>
                        <a:xfrm>
                          <a:off x="0" y="0"/>
                          <a:ext cx="518988" cy="505736"/>
                        </a:xfrm>
                        <a:prstGeom prst="straightConnector1">
                          <a:avLst/>
                        </a:prstGeom>
                        <a:ln w="28575">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616" o:spid="_x0000_s1026" o:spt="32" type="#_x0000_t32" style="position:absolute;left:0pt;margin-left:337.6pt;margin-top:489.3pt;height:39.8pt;width:40.85pt;z-index:251959296;mso-width-relative:page;mso-height-relative:page;" filled="f" stroked="t" coordsize="21600,21600" o:gfxdata="UEsDBAoAAAAAAIdO4kAAAAAAAAAAAAAAAAAEAAAAZHJzL1BLAwQUAAAACACHTuJAP1L6B9sAAAAM&#10;AQAADwAAAGRycy9kb3ducmV2LnhtbE2PPU/DMBRFdyT+g/WQWCpqJ1I+msapBBKdWGhZurmxG0e1&#10;n4Ptpu2/x0wwPt2je89rNzdryKx8GB1yyJYMiMLeyREHDl/795caSIgCpTAOFYe7CrDpHh9a0Uh3&#10;xU817+JAUgmGRnDQMU4NpaHXyoqwdJPClJ2ctyKm0w9UenFN5dbQnLGSWjFiWtBiUm9a9efdxXI4&#10;6cPhNbtvvz9EZrcLswh+1j3nz08ZWwOJ6hb/YPjVT+rQJaeju6AMxHAoqyJPKIdVVZdAElEV5QrI&#10;MaGsqHOgXUv/P9H9AFBLAwQUAAAACACHTuJAaMx4nBcCAADxAwAADgAAAGRycy9lMm9Eb2MueG1s&#10;rVPNjtMwEL4j8Q6W7zRpS7olarqHlnJBUAl4ANdxEkv+09jbtC/BCyBxAk7Aae88DSyPwdgpXVgu&#10;e8AHezzj+cbz+fPi8qAV2Qvw0pqKjkc5JcJwW0vTVvTN682jOSU+MFMzZY2o6FF4erl8+GDRu1JM&#10;bGdVLYAgiPFl7yraheDKLPO8E5r5kXXCYLCxoFnALbRZDaxHdK2ySZ7Pst5C7cBy4T1610OQnhDh&#10;PoC2aSQXa8uvtDBhQAWhWMCWfCedp8t026YRPLxsGi8CURXFTkOasQjauzhnywUrW2Cuk/x0BXaf&#10;K9zpSTNpsOgZas0CI1cg/4HSkoP1tgkjbnU2NJIYwS7G+R1uXnXMidQLUu3dmXT//2D5i/0WiKxR&#10;CcVsNs0n+eMpJYZpfPmbd9c/3n68+frl+4frn9/eR/vzJzIbzyJrvfMlJq/MFk4777YQKTg0oOOK&#10;zZFDYvp4ZlocAuHoLMbzJ3MUGsdQkRcX04SZ3SY78OGZsJpEo6I+AJNtF1bWGHxTC+PENts/9wHL&#10;Y+LvhFjZ2I1UKj2tMqSv6GReXBRYjaFeG9QJmtphz960lDDV4kfgARKkt0rWMT0CeWh3KwVkz1A+&#10;Gxx5UgyW++tYrL1mvhvOpdAgLC0D/hUldUXneRyDOzCpnpqahKNDmgNIZlolYgyRlcElsjvwGa2d&#10;rY+J5uRHJaSDJ9VGqf25T9m3P3X5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D9S+gfbAAAADAEA&#10;AA8AAAAAAAAAAQAgAAAAIgAAAGRycy9kb3ducmV2LnhtbFBLAQIUABQAAAAIAIdO4kBozHicFwIA&#10;APEDAAAOAAAAAAAAAAEAIAAAACoBAABkcnMvZTJvRG9jLnhtbFBLBQYAAAAABgAGAFkBAACzBQAA&#10;AAA=&#10;">
                <v:fill on="f" focussize="0,0"/>
                <v:stroke weight="2.25pt" color="#FFFF00 [3204]" miterlimit="8" joinstyle="miter" endarrow="block"/>
                <v:imagedata o:title=""/>
                <o:lock v:ext="edit" aspectratio="f"/>
              </v:shape>
            </w:pict>
          </mc:Fallback>
        </mc:AlternateContent>
      </w:r>
      <w:r>
        <w:rPr>
          <w:snapToGrid/>
        </w:rPr>
        <mc:AlternateContent>
          <mc:Choice Requires="wps">
            <w:drawing>
              <wp:anchor distT="0" distB="0" distL="114300" distR="114300" simplePos="0" relativeHeight="251958272" behindDoc="0" locked="0" layoutInCell="1" allowOverlap="1">
                <wp:simplePos x="0" y="0"/>
                <wp:positionH relativeFrom="column">
                  <wp:posOffset>3749675</wp:posOffset>
                </wp:positionH>
                <wp:positionV relativeFrom="paragraph">
                  <wp:posOffset>5648325</wp:posOffset>
                </wp:positionV>
                <wp:extent cx="518795" cy="505460"/>
                <wp:effectExtent l="19050" t="19050" r="71755" b="46990"/>
                <wp:wrapNone/>
                <wp:docPr id="221904552" name="直接箭头连接符 616"/>
                <wp:cNvGraphicFramePr/>
                <a:graphic xmlns:a="http://schemas.openxmlformats.org/drawingml/2006/main">
                  <a:graphicData uri="http://schemas.microsoft.com/office/word/2010/wordprocessingShape">
                    <wps:wsp>
                      <wps:cNvCnPr/>
                      <wps:spPr>
                        <a:xfrm>
                          <a:off x="0" y="0"/>
                          <a:ext cx="518988" cy="505736"/>
                        </a:xfrm>
                        <a:prstGeom prst="straightConnector1">
                          <a:avLst/>
                        </a:prstGeom>
                        <a:ln w="28575">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616" o:spid="_x0000_s1026" o:spt="32" type="#_x0000_t32" style="position:absolute;left:0pt;margin-left:295.25pt;margin-top:444.75pt;height:39.8pt;width:40.85pt;z-index:251958272;mso-width-relative:page;mso-height-relative:page;" filled="f" stroked="t" coordsize="21600,21600" o:gfxdata="UEsDBAoAAAAAAIdO4kAAAAAAAAAAAAAAAAAEAAAAZHJzL1BLAwQUAAAACACHTuJAOjJfB9oAAAAL&#10;AQAADwAAAGRycy9kb3ducmV2LnhtbE2PPU/DMBCGdyT+g3VILBW1HakhSeNUAolOLBSWbm7sxlH9&#10;EWw3bf89xwTbne7Re8/bbq7OklnHNAYvgC8ZEO37oEY/CPj6fHuqgKQsvZI2eC3gphNsuvu7VjYq&#10;XPyHnnd5IBjiUyMFmJynhtLUG+1kWoZJe7wdQ3Qy4xoHqqK8YLiztGCspE6OHj8YOelXo/vT7uwE&#10;HM1+/8Jv2+93yd12YRcpzqYX4vGBszWQrK/5D4ZffVSHDp0O4exVIlbAqmYrRAVUVY0DEuVzUQA5&#10;CKjLmgPtWvq/Q/cDUEsDBBQAAAAIAIdO4kAqFTRpFwIAAPADAAAOAAAAZHJzL2Uyb0RvYy54bWyt&#10;U02O0zAU3iNxB8t7mqSQTqdqOouWskFQCeYAruMklvwnP0/TXoILILECVsBq9pyGGY7Bs1M6MGxm&#10;QRbOs5/f9/x9/jy/2GtFdsKDtKaixSinRBhua2nail6+XT+ZUgKBmZopa0RFDwLoxeLxo3nvZmJs&#10;O6tq4QmCGJj1rqJdCG6WZcA7oRmMrBMGk431mgWc+jarPesRXatsnOeTrLe+dt5yAYCrqyFJj4j+&#10;IYC2aSQXK8uvtDBhQPVCsYCUoJMO6CKdtmkED6+bBkQgqqLINKQRm2C8jWO2mLNZ65nrJD8egT3k&#10;CPc4aSYNNj1BrVhg5MrLf6C05N6CbcKIW50NRJIiyKLI72nzpmNOJC4oNbiT6PD/YPmr3cYTWVd0&#10;PC7O82dlOabEMI0Xf/v++ubdp9tvX398vP75/UOMv3wmk2ISResdzLB2aTb+OAO38VGBfeN1/CM3&#10;sk9CH05Ci30gHBfLYno+RZ9xTJV5efY0YWZ3xc5DeCGsJjGoKATPZNuFpTUGr9T6IonNdi8hYHss&#10;/F0QOxu7lkqlm1WG9EhtWp6V2I2hXRu0CYbaIWUwLSVMtfgOePAJEqySdSyPQODb7VJ5smPonjV+&#10;eTIMtvtrW+y9YtAN+1Jq8JWWAZ+Kkrqi0zx+w3JgUj03NQkHhzIHL5lplYg5RFYGf1HdQc8YbW19&#10;SDKndTRC2ng0bXTan/NUffdQF7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OjJfB9oAAAALAQAA&#10;DwAAAAAAAAABACAAAAAiAAAAZHJzL2Rvd25yZXYueG1sUEsBAhQAFAAAAAgAh07iQCoVNGkXAgAA&#10;8AMAAA4AAAAAAAAAAQAgAAAAKQEAAGRycy9lMm9Eb2MueG1sUEsFBgAAAAAGAAYAWQEAALIFAAAA&#10;AA==&#10;">
                <v:fill on="f" focussize="0,0"/>
                <v:stroke weight="2.25pt" color="#FFFF00 [3204]" miterlimit="8" joinstyle="miter" endarrow="block"/>
                <v:imagedata o:title=""/>
                <o:lock v:ext="edit" aspectratio="f"/>
              </v:shape>
            </w:pict>
          </mc:Fallback>
        </mc:AlternateContent>
      </w:r>
      <w:r>
        <w:rPr>
          <w:snapToGrid/>
        </w:rPr>
        <mc:AlternateContent>
          <mc:Choice Requires="wps">
            <w:drawing>
              <wp:anchor distT="0" distB="0" distL="114300" distR="114300" simplePos="0" relativeHeight="251957248" behindDoc="0" locked="0" layoutInCell="1" allowOverlap="1">
                <wp:simplePos x="0" y="0"/>
                <wp:positionH relativeFrom="column">
                  <wp:posOffset>3094355</wp:posOffset>
                </wp:positionH>
                <wp:positionV relativeFrom="paragraph">
                  <wp:posOffset>4957445</wp:posOffset>
                </wp:positionV>
                <wp:extent cx="518795" cy="505460"/>
                <wp:effectExtent l="19050" t="19050" r="71755" b="46990"/>
                <wp:wrapNone/>
                <wp:docPr id="175695426" name="直接箭头连接符 616"/>
                <wp:cNvGraphicFramePr/>
                <a:graphic xmlns:a="http://schemas.openxmlformats.org/drawingml/2006/main">
                  <a:graphicData uri="http://schemas.microsoft.com/office/word/2010/wordprocessingShape">
                    <wps:wsp>
                      <wps:cNvCnPr/>
                      <wps:spPr>
                        <a:xfrm>
                          <a:off x="0" y="0"/>
                          <a:ext cx="518988" cy="505736"/>
                        </a:xfrm>
                        <a:prstGeom prst="straightConnector1">
                          <a:avLst/>
                        </a:prstGeom>
                        <a:ln w="28575">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616" o:spid="_x0000_s1026" o:spt="32" type="#_x0000_t32" style="position:absolute;left:0pt;margin-left:243.65pt;margin-top:390.35pt;height:39.8pt;width:40.85pt;z-index:251957248;mso-width-relative:page;mso-height-relative:page;" filled="f" stroked="t" coordsize="21600,21600" o:gfxdata="UEsDBAoAAAAAAIdO4kAAAAAAAAAAAAAAAAAEAAAAZHJzL1BLAwQUAAAACACHTuJATcSNd9oAAAAL&#10;AQAADwAAAGRycy9kb3ducmV2LnhtbE2PMU/DMBCFdyT+g3VILBW1QyFJ0ziVQKITSwtLNze+xhH2&#10;OcRu2v57zATj6T699716fXGWTTiG3pOEbC6AIbVe99RJ+Px4eyiBhahIK+sJJVwxwLq5valVpf2Z&#10;tjjtYsdSCIVKSTAxDhXnoTXoVJj7ASn9jn50KqZz7Lge1TmFO8sfhci5Uz2lBqMGfDXYfu1OTsLR&#10;7Pcv2XXz/a4yt5nZWRgn00p5f5eJFbCIl/gHw69+UocmOR38iXRgVsJTWSwSKqEoRQEsEc/5Mq07&#10;SChzsQDe1Pz/huYHUEsDBBQAAAAIAIdO4kAH0tgtFgIAAPADAAAOAAAAZHJzL2Uyb0RvYy54bWyt&#10;U82O0zAQviPxDpbvNGkhbTdquoeWckFQCXgA13ESS/7T2Nu0L8ELIHECTsBp7zwNLI/B2CldWC57&#10;wAd7POP5xvP58+LyoBXZC/DSmoqORzklwnBbS9NW9M3rzaM5JT4wUzNljajoUXh6uXz4YNG7Ukxs&#10;Z1UtgCCI8WXvKtqF4Mos87wTmvmRdcJgsLGgWcAttFkNrEd0rbJJnk+z3kLtwHLhPXrXQ5CeEOE+&#10;gLZpJBdry6+0MGFABaFYwJZ8J52ny3TbphE8vGwaLwJRFcVOQ5qxCNq7OGfLBStbYK6T/HQFdp8r&#10;3OlJM2mw6BlqzQIjVyD/gdKSg/W2CSNudTY0khjBLsb5HW5edcyJ1AtS7d2ZdP//YPmL/RaIrFEJ&#10;s2J6UTyZTCkxTOPD37y7/vH2483XL98/XP/89j7anz+R6XgaSeudLzF3ZbZw2nm3hcjAoQEdV+yN&#10;HBLRxzPR4hAIR2cxnl/MUWccQ0VezB4nzOw22YEPz4TVJBoV9QGYbLuwssbgk1oYJ7LZ/rkPWB4T&#10;fyfEysZupFLpZZUhfUUn82JWYDWGcm1QJmhqhy1701LCVIv/gAdIkN4qWcf0COSh3a0UkD1D9Wxw&#10;5EkwWO6vY7H2mvluOJdCg660DPhVlNQVnedxDO7ApHpqahKODmkOIJlplYgxRFYGl8juwGe0drY+&#10;JpqTH4WQDp5EG5X25z5l337U5S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NxI132gAAAAsBAAAP&#10;AAAAAAAAAAEAIAAAACIAAABkcnMvZG93bnJldi54bWxQSwECFAAUAAAACACHTuJAB9LYLRYCAADw&#10;AwAADgAAAAAAAAABACAAAAApAQAAZHJzL2Uyb0RvYy54bWxQSwUGAAAAAAYABgBZAQAAsQUAAAAA&#10;">
                <v:fill on="f" focussize="0,0"/>
                <v:stroke weight="2.25pt" color="#FFFF00 [3204]" miterlimit="8" joinstyle="miter" endarrow="block"/>
                <v:imagedata o:title=""/>
                <o:lock v:ext="edit" aspectratio="f"/>
              </v:shape>
            </w:pict>
          </mc:Fallback>
        </mc:AlternateContent>
      </w:r>
      <w:r>
        <w:rPr>
          <w:snapToGrid/>
        </w:rPr>
        <mc:AlternateContent>
          <mc:Choice Requires="wps">
            <w:drawing>
              <wp:anchor distT="0" distB="0" distL="114300" distR="114300" simplePos="0" relativeHeight="251956224" behindDoc="0" locked="0" layoutInCell="1" allowOverlap="1">
                <wp:simplePos x="0" y="0"/>
                <wp:positionH relativeFrom="column">
                  <wp:posOffset>2498090</wp:posOffset>
                </wp:positionH>
                <wp:positionV relativeFrom="paragraph">
                  <wp:posOffset>4289425</wp:posOffset>
                </wp:positionV>
                <wp:extent cx="518795" cy="505460"/>
                <wp:effectExtent l="19050" t="19050" r="71755" b="46990"/>
                <wp:wrapNone/>
                <wp:docPr id="740709341" name="直接箭头连接符 616"/>
                <wp:cNvGraphicFramePr/>
                <a:graphic xmlns:a="http://schemas.openxmlformats.org/drawingml/2006/main">
                  <a:graphicData uri="http://schemas.microsoft.com/office/word/2010/wordprocessingShape">
                    <wps:wsp>
                      <wps:cNvCnPr/>
                      <wps:spPr>
                        <a:xfrm>
                          <a:off x="0" y="0"/>
                          <a:ext cx="518988" cy="505736"/>
                        </a:xfrm>
                        <a:prstGeom prst="straightConnector1">
                          <a:avLst/>
                        </a:prstGeom>
                        <a:ln w="28575">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616" o:spid="_x0000_s1026" o:spt="32" type="#_x0000_t32" style="position:absolute;left:0pt;margin-left:196.7pt;margin-top:337.75pt;height:39.8pt;width:40.85pt;z-index:251956224;mso-width-relative:page;mso-height-relative:page;" filled="f" stroked="t" coordsize="21600,21600" o:gfxdata="UEsDBAoAAAAAAIdO4kAAAAAAAAAAAAAAAAAEAAAAZHJzL1BLAwQUAAAACACHTuJA+cIMMNoAAAAL&#10;AQAADwAAAGRycy9kb3ducmV2LnhtbE2PsU7DMBCGdyTewToklqp1TJu2hDiVQKITC4Wlmxu7cYR9&#10;Drabtm/PMcF4d5/++/56c/GOjSamPqAEMSuAGWyD7rGT8PnxOl0DS1mhVi6gkXA1CTbN7U2tKh3O&#10;+G7GXe4YhWCqlASb81BxnlprvEqzMBik2zFErzKNseM6qjOFe8cfimLJveqRPlg1mBdr2q/dyUs4&#10;2v3+WVy3329K+O3ETVIcbSvl/Z0onoBlc8l/MPzqkzo05HQIJ9SJOQnzx/mCUAnLVVkCI2KxKgWw&#10;gwRaCOBNzf93aH4AUEsDBBQAAAAIAIdO4kBdEGtnGAIAAPADAAAOAAAAZHJzL2Uyb0RvYy54bWyt&#10;U81uEzEQviPxDpbvZHfT5qdRNj0khAuCSNAHcLzeXUv+09jNJi/BCyBxAk7AqXeehpbHYOwNKZRL&#10;D/hgj2c833g+f55f7rUiOwFeWlPSYpBTIgy3lTRNSa/erp9NKfGBmYopa0RJD8LTy8XTJ/POzcTQ&#10;tlZVAgiCGD/rXEnbENwsyzxvhWZ+YJ0wGKwtaBZwC01WAesQXatsmOfjrLNQObBceI/eVR+kR0R4&#10;DKCta8nFyvJrLUzoUUEoFrAl30rn6SLdtq4FD6/r2otAVEmx05BmLIL2Ns7ZYs5mDTDXSn68AnvM&#10;FR70pJk0WPQEtWKBkWuQ/0BpycF6W4cBtzrrG0mMYBdF/oCbNy1zIvWCVHt3It3/P1j+arcBIquS&#10;Ts7zSX5xdl5QYpjGh797f3P77tPdt68/Pt78/P4h2l8+k3ExjqR1zs8wd2k2cNx5t4HIwL4GHVfs&#10;jewT0YcT0WIfCEfnqJheTFFnHEOjfDQ5S5jZfbIDH14Iq0k0SuoDMNm0YWmNwSe1UCSy2e6lD1ge&#10;E38nxMrGrqVS6WWVIV1Jh9PRZITVGMq1RpmgqR227E1DCVMN/gMeIEF6q2QV0yOQh2a7VEB2DNWz&#10;xpEnwWC5v47F2ivm2/5cCvW60jLgV1FSl3Sax9G7A5PqualIODikOYBkplEixhBZGVwiuz2f0dra&#10;6pBoTn4UQjp4FG1U2p/7lH3/URe/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PnCDDDaAAAACwEA&#10;AA8AAAAAAAAAAQAgAAAAIgAAAGRycy9kb3ducmV2LnhtbFBLAQIUABQAAAAIAIdO4kBdEGtnGAIA&#10;APADAAAOAAAAAAAAAAEAIAAAACkBAABkcnMvZTJvRG9jLnhtbFBLBQYAAAAABgAGAFkBAACzBQAA&#10;AAA=&#10;">
                <v:fill on="f" focussize="0,0"/>
                <v:stroke weight="2.25pt" color="#FFFF00 [3204]" miterlimit="8" joinstyle="miter" endarrow="block"/>
                <v:imagedata o:title=""/>
                <o:lock v:ext="edit" aspectratio="f"/>
              </v:shape>
            </w:pict>
          </mc:Fallback>
        </mc:AlternateContent>
      </w:r>
      <w:r>
        <w:rPr>
          <w:snapToGrid/>
        </w:rPr>
        <mc:AlternateContent>
          <mc:Choice Requires="wps">
            <w:drawing>
              <wp:anchor distT="0" distB="0" distL="114300" distR="114300" simplePos="0" relativeHeight="251955200" behindDoc="0" locked="0" layoutInCell="1" allowOverlap="1">
                <wp:simplePos x="0" y="0"/>
                <wp:positionH relativeFrom="column">
                  <wp:posOffset>1863725</wp:posOffset>
                </wp:positionH>
                <wp:positionV relativeFrom="paragraph">
                  <wp:posOffset>3637280</wp:posOffset>
                </wp:positionV>
                <wp:extent cx="518795" cy="505460"/>
                <wp:effectExtent l="19050" t="19050" r="71755" b="46990"/>
                <wp:wrapNone/>
                <wp:docPr id="1687575748" name="直接箭头连接符 616"/>
                <wp:cNvGraphicFramePr/>
                <a:graphic xmlns:a="http://schemas.openxmlformats.org/drawingml/2006/main">
                  <a:graphicData uri="http://schemas.microsoft.com/office/word/2010/wordprocessingShape">
                    <wps:wsp>
                      <wps:cNvCnPr/>
                      <wps:spPr>
                        <a:xfrm>
                          <a:off x="0" y="0"/>
                          <a:ext cx="518988" cy="505736"/>
                        </a:xfrm>
                        <a:prstGeom prst="straightConnector1">
                          <a:avLst/>
                        </a:prstGeom>
                        <a:ln w="28575">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616" o:spid="_x0000_s1026" o:spt="32" type="#_x0000_t32" style="position:absolute;left:0pt;margin-left:146.75pt;margin-top:286.4pt;height:39.8pt;width:40.85pt;z-index:251955200;mso-width-relative:page;mso-height-relative:page;" filled="f" stroked="t" coordsize="21600,21600" o:gfxdata="UEsDBAoAAAAAAIdO4kAAAAAAAAAAAAAAAAAEAAAAZHJzL1BLAwQUAAAACACHTuJA+gXzLNoAAAAL&#10;AQAADwAAAGRycy9kb3ducmV2LnhtbE2PMU/DMBCFdyT+g3VILBV14pIWQpxKINGJhcLS7Rq7cYR9&#10;Drabtv8eM8F4uk/vfa9Zn51lkw5x8CShnBfANHVeDdRL+Px4vXsAFhOSQutJS7joCOv2+qrBWvkT&#10;vetpm3qWQyjWKMGkNNacx85oh3HuR035d/DBYcpn6LkKeMrhznJRFEvucKDcYHDUL0Z3X9ujk3Aw&#10;u91zedl8v2HpNjM7i2EynZS3N2XxBCzpc/qD4Vc/q0Obnfb+SCoyK0E8LqqMSqhWIm/IxGJVCWB7&#10;CctK3ANvG/5/Q/sDUEsDBBQAAAAIAIdO4kD+4qxTFQIAAPEDAAAOAAAAZHJzL2Uyb0RvYy54bWyt&#10;U0uOEzEQ3SNxB8t70p2BZEKUziwSwgZBJOAAjtvdbck/VXnyuQQXQGIFrBhWs+c0MByDsjtkYNjM&#10;gm6pu+xyvfJ7fp5d7K1hWwWovav4cFByppz0tXZtxd++WT2acIZRuFoY71TFDwr5xfzhg9kuTNWZ&#10;77ypFTACcTjdhYp3MYZpUaDslBU48EE5SjYerIg0hLaoQewI3ZrirCzHxc5DHcBLhUizyz7Jj4hw&#10;H0DfNFqqpZeXVrnYo4IyIhIl7HRAPs+7bRol46umQRWZqTgxjflLTSjepG8xn4lpCyJ0Wh63IO6z&#10;hTucrNCOmp6gliIKdgn6HyirJXj0TRxIb4ueSFaEWAzLO9q87kRQmQtJjeEkOv4/WPlyuwama3LC&#10;eHI+ovcJnb8Tlk7+5v31j3efbr5eff94/fPbhxR/+czGw3FSbRdwSsULt4bjCMMakgT7Bmz6Ezm2&#10;z0ofTkqrfWSSJkfDydMJNZKUGpWj88cZs7gtDoDxufKWpaDiGEHotosL7xydqYdhVltsX2Ck9lT4&#10;uyB1dn6ljclHaxzbVfxsQsyomyC/NuQTCm0gzuhazoRp6SLICBkSvdF1Kk9ACO1mYYBtBdlnRU+Z&#10;HUPt/lqWei8Fdv26nOqNZXWku2K0rfikTE8/HYU2z1zN4iGQzBG0cK1RKUfIxtEvqdvrmaKNrw9Z&#10;5jxPTsgLj65NVvtznKtvb+r8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PoF8yzaAAAACwEAAA8A&#10;AAAAAAAAAQAgAAAAIgAAAGRycy9kb3ducmV2LnhtbFBLAQIUABQAAAAIAIdO4kD+4qxTFQIAAPED&#10;AAAOAAAAAAAAAAEAIAAAACkBAABkcnMvZTJvRG9jLnhtbFBLBQYAAAAABgAGAFkBAACwBQAAAAA=&#10;">
                <v:fill on="f" focussize="0,0"/>
                <v:stroke weight="2.25pt" color="#FFFF00 [3204]" miterlimit="8" joinstyle="miter" endarrow="block"/>
                <v:imagedata o:title=""/>
                <o:lock v:ext="edit" aspectratio="f"/>
              </v:shape>
            </w:pict>
          </mc:Fallback>
        </mc:AlternateContent>
      </w:r>
      <w:r>
        <w:rPr>
          <w:snapToGrid/>
        </w:rPr>
        <mc:AlternateContent>
          <mc:Choice Requires="wps">
            <w:drawing>
              <wp:anchor distT="0" distB="0" distL="114300" distR="114300" simplePos="0" relativeHeight="251954176" behindDoc="0" locked="0" layoutInCell="1" allowOverlap="1">
                <wp:simplePos x="0" y="0"/>
                <wp:positionH relativeFrom="column">
                  <wp:posOffset>1225550</wp:posOffset>
                </wp:positionH>
                <wp:positionV relativeFrom="paragraph">
                  <wp:posOffset>2992120</wp:posOffset>
                </wp:positionV>
                <wp:extent cx="518795" cy="505460"/>
                <wp:effectExtent l="19050" t="19050" r="71755" b="46990"/>
                <wp:wrapNone/>
                <wp:docPr id="1665891902" name="直接箭头连接符 616"/>
                <wp:cNvGraphicFramePr/>
                <a:graphic xmlns:a="http://schemas.openxmlformats.org/drawingml/2006/main">
                  <a:graphicData uri="http://schemas.microsoft.com/office/word/2010/wordprocessingShape">
                    <wps:wsp>
                      <wps:cNvCnPr/>
                      <wps:spPr>
                        <a:xfrm>
                          <a:off x="0" y="0"/>
                          <a:ext cx="518988" cy="505736"/>
                        </a:xfrm>
                        <a:prstGeom prst="straightConnector1">
                          <a:avLst/>
                        </a:prstGeom>
                        <a:ln w="28575">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616" o:spid="_x0000_s1026" o:spt="32" type="#_x0000_t32" style="position:absolute;left:0pt;margin-left:96.5pt;margin-top:235.6pt;height:39.8pt;width:40.85pt;z-index:251954176;mso-width-relative:page;mso-height-relative:page;" filled="f" stroked="t" coordsize="21600,21600" o:gfxdata="UEsDBAoAAAAAAIdO4kAAAAAAAAAAAAAAAAAEAAAAZHJzL1BLAwQUAAAACACHTuJABmWSoNkAAAAL&#10;AQAADwAAAGRycy9kb3ducmV2LnhtbE2PMU/DMBSEdyT+g/WQWCpqJ7SkhDiVQKITC4Wlmxu7cYT9&#10;HGw3bf89jwnG053uvmvWZ+/YZGIaAkoo5gKYwS7oAXsJnx+vdytgKSvUygU0Ei4mwbq9vmpUrcMJ&#10;3820zT2jEky1kmBzHmvOU2eNV2keRoPkHUL0KpOMPddRnajcO14K8cC9GpAWrBrNizXd1/boJRzs&#10;bvdcXDbfb6rwm5mbpTjZTsrbm0I8AcvmnP/C8ItP6NAS0z4cUSfmSD/e05csYVEVJTBKlNWiAraX&#10;sFyKFfC24f8/tD9QSwMEFAAAAAgAh07iQP36cREXAgAA8QMAAA4AAABkcnMvZTJvRG9jLnhtbK1T&#10;zY7TMBC+I/EOlu80SVG6bdV0Dy3lgqAS8ACu4ySW/CePt2lfghdA4gScYE9752lgeQzGTunCctkD&#10;PtjjGc83ns+fF5cHrcheeJDWVLQY5ZQIw20tTVvRt282T6aUQGCmZsoaUdGjAHq5fPxo0bu5GNvO&#10;qlp4giAG5r2raBeCm2cZ8E5oBiPrhMFgY71mAbe+zWrPekTXKhvn+STrra+dt1wAoHc9BOkJ0T8E&#10;0DaN5GJt+ZUWJgyoXigWsCXopAO6TLdtGsHDq6YBEYiqKHYa0oxF0N7FOVsu2Lz1zHWSn67AHnKF&#10;ez1pJg0WPUOtWWDkyst/oLTk3oJtwohbnQ2NJEawiyK/x83rjjmRekGqwZ1Jh/8Hy1/ut57IGpUw&#10;mZTTWTHLx5QYpvHlb9/f/Hj36fb66/ePNz+/fYj2l89kUkwia72DOSavzNafduC2PlJwaLyOKzZH&#10;Donp45lpcQiEo7MsprMpCo1jqMzLi6cJM7tLdh7Cc2E1iUZFIXgm2y6srDH4ptYXiW22fwEBy2Pi&#10;74RY2diNVCo9rTKkr+h4Wl6UWI2hXhvUCZraYc9gWkqYavEj8OATJFgl65gegcC3u5XyZM9QPhsc&#10;eVIMlvvrWKy9ZtAN51JoEJaWAf+Kkrqi0zyOwR2YVM9MTcLRIc3BS2ZaJWIMkZXBJbI78Bmtna2P&#10;iebkRyWkgyfVRqn9uU/Zdz91+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GZZKg2QAAAAsBAAAP&#10;AAAAAAAAAAEAIAAAACIAAABkcnMvZG93bnJldi54bWxQSwECFAAUAAAACACHTuJA/fpxERcCAADx&#10;AwAADgAAAAAAAAABACAAAAAoAQAAZHJzL2Uyb0RvYy54bWxQSwUGAAAAAAYABgBZAQAAsQUAAAAA&#10;">
                <v:fill on="f" focussize="0,0"/>
                <v:stroke weight="2.25pt" color="#FFFF00 [3204]" miterlimit="8" joinstyle="miter" endarrow="block"/>
                <v:imagedata o:title=""/>
                <o:lock v:ext="edit" aspectratio="f"/>
              </v:shape>
            </w:pict>
          </mc:Fallback>
        </mc:AlternateContent>
      </w:r>
      <w:r>
        <w:rPr>
          <w:snapToGrid/>
        </w:rPr>
        <mc:AlternateContent>
          <mc:Choice Requires="wps">
            <w:drawing>
              <wp:anchor distT="0" distB="0" distL="114300" distR="114300" simplePos="0" relativeHeight="251953152" behindDoc="0" locked="0" layoutInCell="1" allowOverlap="1">
                <wp:simplePos x="0" y="0"/>
                <wp:positionH relativeFrom="column">
                  <wp:posOffset>1533525</wp:posOffset>
                </wp:positionH>
                <wp:positionV relativeFrom="paragraph">
                  <wp:posOffset>2830195</wp:posOffset>
                </wp:positionV>
                <wp:extent cx="157480" cy="389255"/>
                <wp:effectExtent l="57150" t="19050" r="33020" b="48895"/>
                <wp:wrapNone/>
                <wp:docPr id="943926570" name="直接箭头连接符 616"/>
                <wp:cNvGraphicFramePr/>
                <a:graphic xmlns:a="http://schemas.openxmlformats.org/drawingml/2006/main">
                  <a:graphicData uri="http://schemas.microsoft.com/office/word/2010/wordprocessingShape">
                    <wps:wsp>
                      <wps:cNvCnPr/>
                      <wps:spPr>
                        <a:xfrm flipH="1">
                          <a:off x="0" y="0"/>
                          <a:ext cx="157535" cy="389311"/>
                        </a:xfrm>
                        <a:prstGeom prst="straightConnector1">
                          <a:avLst/>
                        </a:prstGeom>
                        <a:ln w="28575">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616" o:spid="_x0000_s1026" o:spt="32" type="#_x0000_t32" style="position:absolute;left:0pt;flip:x;margin-left:120.75pt;margin-top:222.85pt;height:30.65pt;width:12.4pt;z-index:251953152;mso-width-relative:page;mso-height-relative:page;" filled="f" stroked="t" coordsize="21600,21600" o:gfxdata="UEsDBAoAAAAAAIdO4kAAAAAAAAAAAAAAAAAEAAAAZHJzL1BLAwQUAAAACACHTuJAFtvNBdwAAAAL&#10;AQAADwAAAGRycy9kb3ducmV2LnhtbE2PXUvEMBBF3wX/QxjBNzdpt+26tdNFBBFBVqwi+JZtZ9ti&#10;MylNuh//3vikj8M93Hum2JzMIA40ud4yQrRQIIhr2/TcIny8P97cgnBec6MHy4RwJgeb8vKi0Hlj&#10;j/xGh8q3IpSwyzVC5/2YS+nqjox2CzsSh2xvJ6N9OKdWNpM+hnIzyFipTBrdc1jo9EgPHdXf1WwQ&#10;1P3rOdt+7lX7/JK69bx+ktXXEvH6KlJ3IDyd/B8Mv/pBHcrgtLMzN04MCHESpQFFSJJ0BSIQcZYt&#10;QewQUrVSIMtC/v+h/AFQSwMEFAAAAAgAh07iQJgvPhkeAgAA+gMAAA4AAABkcnMvZTJvRG9jLnht&#10;bK1TS44TMRDdI3EHy3vS3QnJJK10ZpEQWCCIBBzAcbu7LfknlyefS3ABJFbAamA1e04DwzEou0OA&#10;YTMLvLDKVa5XVc/P88uDVmQnPEhrKloMckqE4baWpq3om9frR1NKIDBTM2WNqOhRAL1cPHww37tS&#10;DG1nVS08QRAD5d5VtAvBlVkGvBOawcA6YTDYWK9ZwKNvs9qzPaJrlQ3zfJLtra+dt1wAoHfVB+kJ&#10;0d8H0DaN5GJl+ZUWJvSoXigWcCTopAO6SN02jeDhZdOACERVFCcNacciaG/jni3mrGw9c53kpxbY&#10;fVq4M5Nm0mDRM9SKBUauvPwHSkvuLdgmDLjVWT9IYgSnKPI73LzqmBNpFqQa3Jl0+H+w/MVu44ms&#10;Kzp7PJoNJ+MLZMYwjQ9/++7m+9uPt18+f/tw8+Pr+2hffyKTYhJJ2zsoMXdpNv50ArfxkYFD4zVp&#10;lHTPUF2JE5ySHBLlxzPl4hAIR2cxvhiPxpRwDI2ms1FRRPSsh4lwzkN4Kqwm0agoBM9k24WlNQYf&#10;1/q+BNs9h9An/kqIycaupVLoZ6UyZF/R4RTrYTWGwm1QMGhqh8ODaSlhqsUfwYNPXYNVso7pMRt8&#10;u10qT3YMdbTGlSfpYJ9/XYu1Vwy6/l4K9QrTMuCnUVJXdJrH1bsDk+qJqUk4OiQ8eMlMq8SJAWWQ&#10;iMhzz2y0trY+JsKTHyWRqDrJN2ruz3PK/v1lFz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FtvN&#10;BdwAAAALAQAADwAAAAAAAAABACAAAAAiAAAAZHJzL2Rvd25yZXYueG1sUEsBAhQAFAAAAAgAh07i&#10;QJgvPhkeAgAA+gMAAA4AAAAAAAAAAQAgAAAAKwEAAGRycy9lMm9Eb2MueG1sUEsFBgAAAAAGAAYA&#10;WQEAALsFAAAAAA==&#10;">
                <v:fill on="f" focussize="0,0"/>
                <v:stroke weight="2.25pt" color="#FFFF00 [3204]" miterlimit="8" joinstyle="miter" endarrow="block"/>
                <v:imagedata o:title=""/>
                <o:lock v:ext="edit" aspectratio="f"/>
              </v:shape>
            </w:pict>
          </mc:Fallback>
        </mc:AlternateContent>
      </w:r>
      <w:r>
        <w:rPr>
          <w:snapToGrid/>
        </w:rPr>
        <mc:AlternateContent>
          <mc:Choice Requires="wps">
            <w:drawing>
              <wp:anchor distT="0" distB="0" distL="114300" distR="114300" simplePos="0" relativeHeight="251952128" behindDoc="0" locked="0" layoutInCell="1" allowOverlap="1">
                <wp:simplePos x="0" y="0"/>
                <wp:positionH relativeFrom="column">
                  <wp:posOffset>1723390</wp:posOffset>
                </wp:positionH>
                <wp:positionV relativeFrom="paragraph">
                  <wp:posOffset>2579370</wp:posOffset>
                </wp:positionV>
                <wp:extent cx="149225" cy="211455"/>
                <wp:effectExtent l="38100" t="19050" r="22860" b="55245"/>
                <wp:wrapNone/>
                <wp:docPr id="2125591757" name="直接箭头连接符 616"/>
                <wp:cNvGraphicFramePr/>
                <a:graphic xmlns:a="http://schemas.openxmlformats.org/drawingml/2006/main">
                  <a:graphicData uri="http://schemas.microsoft.com/office/word/2010/wordprocessingShape">
                    <wps:wsp>
                      <wps:cNvCnPr/>
                      <wps:spPr>
                        <a:xfrm flipH="1">
                          <a:off x="0" y="0"/>
                          <a:ext cx="148922" cy="211538"/>
                        </a:xfrm>
                        <a:prstGeom prst="straightConnector1">
                          <a:avLst/>
                        </a:prstGeom>
                        <a:ln w="28575">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616" o:spid="_x0000_s1026" o:spt="32" type="#_x0000_t32" style="position:absolute;left:0pt;flip:x;margin-left:135.7pt;margin-top:203.1pt;height:16.65pt;width:11.75pt;z-index:251952128;mso-width-relative:page;mso-height-relative:page;" filled="f" stroked="t" coordsize="21600,21600" o:gfxdata="UEsDBAoAAAAAAIdO4kAAAAAAAAAAAAAAAAAEAAAAZHJzL1BLAwQUAAAACACHTuJAnisTcNsAAAAL&#10;AQAADwAAAGRycy9kb3ducmV2LnhtbE2PTUvEMBCG74L/IYzgzU3a7dZNbbqIICKIYl0Eb9lmti02&#10;SWnS/fj3jic9zszDO89bbk52YAecQu+dgmQhgKFrvOldq2D78XizBhaidkYP3qGCMwbYVJcXpS6M&#10;P7p3PNSxZRTiQqEVdDGOBeeh6dDqsPAjOrrt/WR1pHFquZn0kcLtwFMhcm517+hDp0d86LD5rmer&#10;QNy/nfPXz71on19WQc7yiddfS6WurxJxByziKf7B8KtP6lCR087PzgQ2KEhvk4xQBZnIU2BEpDKT&#10;wHa0WcoV8Krk/ztUP1BLAwQUAAAACACHTuJA2OD9Jh4CAAD7AwAADgAAAGRycy9lMm9Eb2MueG1s&#10;rVNLjhMxEN0jcQfLe9If6CTTSmcWCYEFgkjAARy33W3JP9medHIJLoDEClgBq9lzGhiOQdkdAgyb&#10;WeCFVa5yvap6fl5cHpREe+a8MLrBxSTHiGlqWqG7Br9+tXkwx8gHolsijWYNPjKPL5f37y0GW7PS&#10;9Ea2zCEA0b4ebIP7EGydZZ72TBE/MZZpCHLjFAlwdF3WOjIAupJZmefTbDCutc5Q5j1412MQnxDd&#10;XQAN54KytaFXiukwojomSYCRfC+sx8vULeeMhhecexaQbDBMGtIORcDexT1bLkjdOWJ7QU8tkLu0&#10;cGsmRYSGomeoNQkEXTnxD5QS1BlveJhQo7JxkMQITFHkt7h52RPL0ixAtbdn0v3/g6XP91uHRNvg&#10;siir6qKYVTOMNFHw8jdvr7+/+XDz5fO399c/vr6L9qePaFpMI2uD9TUkr/TWnU7ebl2k4MCdQlwK&#10;+xTklUiBMdEhcX48c84OAVFwFo/mF2WJEYVQWRTVw3lEz0aYCGedD0+YUSgaDfbBEdH1YWW0htc1&#10;bixB9s98GBN/JcRkbTZCSvCTWmo0QIl5NaugGgHlclAMmMrC9F53GBHZwZegwaWuvZGijekx27tu&#10;t5IO7QkIaQMrT9qBPv+6Fmuvie/Heyk0SkyJAL9GCtXgeR7X6A5EyMe6ReFogfDgBNGdZCcGpAYi&#10;Is8js9HamfaYCE9+0ESi6qTfKLo/zyn7959d/gR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eKxNw&#10;2wAAAAsBAAAPAAAAAAAAAAEAIAAAACIAAABkcnMvZG93bnJldi54bWxQSwECFAAUAAAACACHTuJA&#10;2OD9Jh4CAAD7AwAADgAAAAAAAAABACAAAAAqAQAAZHJzL2Uyb0RvYy54bWxQSwUGAAAAAAYABgBZ&#10;AQAAugUAAAAA&#10;">
                <v:fill on="f" focussize="0,0"/>
                <v:stroke weight="2.25pt" color="#FFFF00 [3204]" miterlimit="8" joinstyle="miter" endarrow="block"/>
                <v:imagedata o:title=""/>
                <o:lock v:ext="edit" aspectratio="f"/>
              </v:shape>
            </w:pict>
          </mc:Fallback>
        </mc:AlternateContent>
      </w:r>
      <w:r>
        <w:rPr>
          <w:snapToGrid/>
        </w:rPr>
        <mc:AlternateContent>
          <mc:Choice Requires="wps">
            <w:drawing>
              <wp:anchor distT="0" distB="0" distL="114300" distR="114300" simplePos="0" relativeHeight="251951104" behindDoc="0" locked="0" layoutInCell="1" allowOverlap="1">
                <wp:simplePos x="0" y="0"/>
                <wp:positionH relativeFrom="column">
                  <wp:posOffset>1882140</wp:posOffset>
                </wp:positionH>
                <wp:positionV relativeFrom="paragraph">
                  <wp:posOffset>2141855</wp:posOffset>
                </wp:positionV>
                <wp:extent cx="180975" cy="386715"/>
                <wp:effectExtent l="38100" t="19050" r="29210" b="52070"/>
                <wp:wrapNone/>
                <wp:docPr id="148582502" name="直接箭头连接符 616"/>
                <wp:cNvGraphicFramePr/>
                <a:graphic xmlns:a="http://schemas.openxmlformats.org/drawingml/2006/main">
                  <a:graphicData uri="http://schemas.microsoft.com/office/word/2010/wordprocessingShape">
                    <wps:wsp>
                      <wps:cNvCnPr/>
                      <wps:spPr>
                        <a:xfrm flipH="1">
                          <a:off x="0" y="0"/>
                          <a:ext cx="180727" cy="386467"/>
                        </a:xfrm>
                        <a:prstGeom prst="straightConnector1">
                          <a:avLst/>
                        </a:prstGeom>
                        <a:ln w="28575">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616" o:spid="_x0000_s1026" o:spt="32" type="#_x0000_t32" style="position:absolute;left:0pt;flip:x;margin-left:148.2pt;margin-top:168.65pt;height:30.45pt;width:14.25pt;z-index:251951104;mso-width-relative:page;mso-height-relative:page;" filled="f" stroked="t" coordsize="21600,21600" o:gfxdata="UEsDBAoAAAAAAIdO4kAAAAAAAAAAAAAAAAAEAAAAZHJzL1BLAwQUAAAACACHTuJAUkcP09sAAAAL&#10;AQAADwAAAGRycy9kb3ducmV2LnhtbE2PTUvEMBCG74L/IYzgzU22WeumNl1EEBFEsYrgLdvMtsUm&#10;KU26H//e8aS3GebhnectN0c3sD1OsQ9ew3IhgKFvgu19q+Hj/eFqDSwm460ZgkcNJ4ywqc7PSlPY&#10;cPBvuK9TyyjEx8Jo6FIaC85j06EzcRFG9HTbhcmZROvUcjuZA4W7gWdC5NyZ3tOHzox432HzXc9O&#10;g7h7PeUvnzvRPj1fRzWrR15/Sa0vL5biFljCY/qD4Vef1KEip22YvY1s0JCpfEWoBilvJDAiZLZS&#10;wLY0qHUGvCr5/w7VD1BLAwQUAAAACACHTuJA8lKMch0CAAD6AwAADgAAAGRycy9lMm9Eb2MueG1s&#10;rVPNjtMwEL4j8Q6W7zRp2bZR1HQPLYUDgkrAA7iOk1jynzzepn0JXgCJE3BiOe2dp4HlMRg7pcBy&#10;2QM+WOMZzzcznz8vLg9akb3wIK2p6HiUUyIMt7U0bUXfvN48KiiBwEzNlDWiokcB9HL58MGid6WY&#10;2M6qWniCIAbK3lW0C8GVWQa8E5rByDphMNhYr1nAo2+z2rMe0bXKJnk+y3rra+ctFwDoXQ9BekL0&#10;9wG0TSO5WFt+pYUJA6oXigUcCTrpgC5Tt00jeHjZNCACURXFSUPasQjau7hnywUrW89cJ/mpBXaf&#10;Fu7MpJk0WPQMtWaBkSsv/4HSknsLtgkjbnU2DJIYwSnG+R1uXnXMiTQLUg3uTDr8P1j+Yr/1RNao&#10;hItiWkym+YQSwzQ+/O27m+9vP95+uf724ebH1/fR/vyJzMazSFrvoMTcldn60wnc1kcGDo3XpFHS&#10;PUPMxAlOSQ6J8uOZcnEIhKNzXOTzyZwSjqHHxexiNo/o2QAT4ZyH8FRYTaJRUQieybYLK2sMPq71&#10;Qwm2fw5hSPyVEJON3Uil0M9KZUhf0UkxnU+xGkPhNigYNLXD4cG0lDDV4o/gwaeuwSpZx/SYDb7d&#10;rZQne4Y62uDKk3Swz7+uxdprBt1wL4UGhWkZ8NMoqSta5HEN7sCkemJqEo4OCQ9eMtMqcWJAGSQi&#10;8jwwG62drY+J8ORHSSSqTvKNmvvznLJ/f9nl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FJHD9Pb&#10;AAAACwEAAA8AAAAAAAAAAQAgAAAAIgAAAGRycy9kb3ducmV2LnhtbFBLAQIUABQAAAAIAIdO4kDy&#10;UoxyHQIAAPoDAAAOAAAAAAAAAAEAIAAAACoBAABkcnMvZTJvRG9jLnhtbFBLBQYAAAAABgAGAFkB&#10;AAC5BQAAAAA=&#10;">
                <v:fill on="f" focussize="0,0"/>
                <v:stroke weight="2.25pt" color="#FFFF00 [3204]" miterlimit="8" joinstyle="miter" endarrow="block"/>
                <v:imagedata o:title=""/>
                <o:lock v:ext="edit" aspectratio="f"/>
              </v:shape>
            </w:pict>
          </mc:Fallback>
        </mc:AlternateContent>
      </w:r>
      <w:r>
        <w:rPr>
          <w:snapToGrid/>
        </w:rPr>
        <mc:AlternateContent>
          <mc:Choice Requires="wps">
            <w:drawing>
              <wp:anchor distT="0" distB="0" distL="114300" distR="114300" simplePos="0" relativeHeight="251950080" behindDoc="0" locked="0" layoutInCell="1" allowOverlap="1">
                <wp:simplePos x="0" y="0"/>
                <wp:positionH relativeFrom="column">
                  <wp:posOffset>2080895</wp:posOffset>
                </wp:positionH>
                <wp:positionV relativeFrom="paragraph">
                  <wp:posOffset>1783715</wp:posOffset>
                </wp:positionV>
                <wp:extent cx="244475" cy="274955"/>
                <wp:effectExtent l="38100" t="19050" r="22860" b="48895"/>
                <wp:wrapNone/>
                <wp:docPr id="482241589" name="直接箭头连接符 616"/>
                <wp:cNvGraphicFramePr/>
                <a:graphic xmlns:a="http://schemas.openxmlformats.org/drawingml/2006/main">
                  <a:graphicData uri="http://schemas.microsoft.com/office/word/2010/wordprocessingShape">
                    <wps:wsp>
                      <wps:cNvCnPr/>
                      <wps:spPr>
                        <a:xfrm flipH="1">
                          <a:off x="0" y="0"/>
                          <a:ext cx="244337" cy="275148"/>
                        </a:xfrm>
                        <a:prstGeom prst="straightConnector1">
                          <a:avLst/>
                        </a:prstGeom>
                        <a:ln w="28575">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616" o:spid="_x0000_s1026" o:spt="32" type="#_x0000_t32" style="position:absolute;left:0pt;flip:x;margin-left:163.85pt;margin-top:140.45pt;height:21.65pt;width:19.25pt;z-index:251950080;mso-width-relative:page;mso-height-relative:page;" filled="f" stroked="t" coordsize="21600,21600" o:gfxdata="UEsDBAoAAAAAAIdO4kAAAAAAAAAAAAAAAAAEAAAAZHJzL1BLAwQUAAAACACHTuJAl1wUBdsAAAAL&#10;AQAADwAAAGRycy9kb3ducmV2LnhtbE2PXUvDMBSG7wX/QziCdy5Zqt1amw4RRASZWMfAu6w5a4vN&#10;SWnSffx7syu9PLwP7/ucYnWyPTvg6DtHCuYzAQypdqajRsHm6+VuCcwHTUb3jlDBGT2syuurQufG&#10;HekTD1VoWCwhn2sFbQhDzrmvW7Taz9yAFLO9G60O8RwbbkZ9jOW251KIlFvdUVxo9YDPLdY/1WQV&#10;iKePc7re7kXz9v7gsyl75dV3otTtzVw8Agt4Cn8wXPSjOpTRaecmMp71ChK5WERUgVyKDFgkkjSV&#10;wHaX6F4CLwv+/4fyF1BLAwQUAAAACACHTuJAjxwfwR4CAAD6AwAADgAAAGRycy9lMm9Eb2MueG1s&#10;rVNLjhMxEN0jcQfLe9KdnnyaVjqzSAgsEEQCDuC47W5L/sn2pJNLcAEkVsBqYDV7TgPDMSi7Q4Bh&#10;Mwu8sMpVrldVz8+Ly4OSaM+cF0bXeDzKMWKamkbotsZvXm8elRj5QHRDpNGsxkfm8eXy4YNFbytW&#10;mM7IhjkEINpXva1xF4KtsszTjiniR8YyDUFunCIBjq7NGkd6QFcyK/J8lvXGNdYZyrwH73oI4hOi&#10;uw+g4VxQtjb0SjEdBlTHJAkwku+E9XiZuuWc0fCSc88CkjWGSUPaoQjYu7hnywWpWkdsJ+ipBXKf&#10;Fu7MpIjQUPQMtSaBoCsn/oFSgjrjDQ8jalQ2DJIYgSnG+R1uXnXEsjQLUO3tmXT//2Dpi/3WIdHU&#10;eFIWxWQ8LR9jpImCh799d/P97cfbL5+/fbj58fV9tK8/odl4Fknrra8gd6W37nTydusiAwfuFOJS&#10;2GegrsQJTIkOifLjmXJ2CIiCs5hMLi7mGFEIFfPpeFJG9GyAiXDW+fCUGYWiUWMfHBFtF1ZGa3hc&#10;44YSZP/chyHxV0JM1mYjpAQ/qaRGPZQop/MpVCMgXA6CAVNZGN7rFiMiW/gRNLjUtTdSNDE9ZnvX&#10;7lbSoT0BHW1g5Uk60Odf12LtNfHdcC+FBoUpEeDTSKFqXOZxDe5AhHyiGxSOFggPThDdSnZiQGog&#10;IvI8MButnWmOifDkB0kkqk7yjZr785yyf3/Z5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XXBQF&#10;2wAAAAsBAAAPAAAAAAAAAAEAIAAAACIAAABkcnMvZG93bnJldi54bWxQSwECFAAUAAAACACHTuJA&#10;jxwfwR4CAAD6AwAADgAAAAAAAAABACAAAAAqAQAAZHJzL2Uyb0RvYy54bWxQSwUGAAAAAAYABgBZ&#10;AQAAugUAAAAA&#10;">
                <v:fill on="f" focussize="0,0"/>
                <v:stroke weight="2.25pt" color="#FFFF00 [3204]" miterlimit="8" joinstyle="miter" endarrow="block"/>
                <v:imagedata o:title=""/>
                <o:lock v:ext="edit" aspectratio="f"/>
              </v:shape>
            </w:pict>
          </mc:Fallback>
        </mc:AlternateContent>
      </w:r>
      <w:r>
        <w:rPr>
          <w:snapToGrid/>
        </w:rPr>
        <mc:AlternateContent>
          <mc:Choice Requires="wps">
            <w:drawing>
              <wp:anchor distT="0" distB="0" distL="114300" distR="114300" simplePos="0" relativeHeight="251949056" behindDoc="0" locked="0" layoutInCell="1" allowOverlap="1">
                <wp:simplePos x="0" y="0"/>
                <wp:positionH relativeFrom="column">
                  <wp:posOffset>2383155</wp:posOffset>
                </wp:positionH>
                <wp:positionV relativeFrom="paragraph">
                  <wp:posOffset>1584960</wp:posOffset>
                </wp:positionV>
                <wp:extent cx="260350" cy="179705"/>
                <wp:effectExtent l="38100" t="19050" r="26035" b="48895"/>
                <wp:wrapNone/>
                <wp:docPr id="374981031" name="直接箭头连接符 616"/>
                <wp:cNvGraphicFramePr/>
                <a:graphic xmlns:a="http://schemas.openxmlformats.org/drawingml/2006/main">
                  <a:graphicData uri="http://schemas.microsoft.com/office/word/2010/wordprocessingShape">
                    <wps:wsp>
                      <wps:cNvCnPr/>
                      <wps:spPr>
                        <a:xfrm flipH="1">
                          <a:off x="0" y="0"/>
                          <a:ext cx="260240" cy="179733"/>
                        </a:xfrm>
                        <a:prstGeom prst="straightConnector1">
                          <a:avLst/>
                        </a:prstGeom>
                        <a:ln w="28575">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616" o:spid="_x0000_s1026" o:spt="32" type="#_x0000_t32" style="position:absolute;left:0pt;flip:x;margin-left:187.65pt;margin-top:124.8pt;height:14.15pt;width:20.5pt;z-index:251949056;mso-width-relative:page;mso-height-relative:page;" filled="f" stroked="t" coordsize="21600,21600" o:gfxdata="UEsDBAoAAAAAAIdO4kAAAAAAAAAAAAAAAAAEAAAAZHJzL1BLAwQUAAAACACHTuJAVjpBEdsAAAAL&#10;AQAADwAAAGRycy9kb3ducmV2LnhtbE2PTUvEMBCG74L/IYzgzU263W1tbbqIICLIilUEb9l2ti02&#10;k9Kk+/HvHU96nHce3nmm2JzsIA44+d6RhmihQCDVrump1fDx/nhzC8IHQ40ZHKGGM3rYlJcXhckb&#10;d6Q3PFShFVxCPjcauhDGXEpfd2iNX7gRiXd7N1kTeJxa2UzmyOV2kEulEmlNT3yhMyM+dFh/V7PV&#10;oO5fz8n2c6/a55e1z+bsSVZfsdbXV5G6AxHwFP5g+NVndSjZaedmarwYNMTpOmZUw3KVJSCYWEUJ&#10;JztO0jQDWRby/w/lD1BLAwQUAAAACACHTuJAK7Wuix4CAAD6AwAADgAAAGRycy9lMm9Eb2MueG1s&#10;rVPNjtMwEL4j8Q6W72ySdrftRk330FI4IKgEPIDrOIkl/2nsbdqX4AWQOAEn4LR3ngaWx2DslALL&#10;ZQ/4YI1nPN/MfP48v9prRXYCvLSmosVZTokw3NbStBV9/Wr9aEaJD8zUTFkjKnoQnl4tHj6Y964U&#10;I9tZVQsgCGJ82buKdiG4Mss874Rm/sw6YTDYWNAs4BHarAbWI7pW2SjPJ1lvoXZgufAevashSI+I&#10;cB9A2zSSi5Xl11qYMKCCUCzgSL6TztNF6rZpBA8vmsaLQFRFcdKQdiyC9jbu2WLOyhaY6yQ/tsDu&#10;08KdmTSTBoueoFYsMHIN8h8oLTlYb5twxq3OhkESIzhFkd/h5mXHnEizINXenUj3/w+WP99tgMi6&#10;ouPp+eWsyMcFJYZpfPjbtzff33y4/fL52/ubH1/fRfvTRzIpJpG03vkSc5dmA8eTdxuIDOwb0KRR&#10;0j1FdSVOcEqyT5QfTpSLfSAcnaNJPjrHx+AYKqaX0/E4omcDTIRz4MMTYTWJRkV9ACbbLiytMfi4&#10;FoYSbPfMhyHxV0JMNnYtlUI/K5UhPZabXUwvsBpD4TYoGDS1w+G9aSlhqsUfwQOkrr1Vso7pMdtD&#10;u10qIDuGOlrjypN0sM+/rsXaK+a74V4KDQrTMuCnUVJXdJbHNbgDk+qxqUk4OCQ8gGSmVeLIgDJI&#10;ROR5YDZaW1sfEuHJj5JIVB3lGzX35zll//6yi5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WOkER&#10;2wAAAAsBAAAPAAAAAAAAAAEAIAAAACIAAABkcnMvZG93bnJldi54bWxQSwECFAAUAAAACACHTuJA&#10;K7Wuix4CAAD6AwAADgAAAAAAAAABACAAAAAqAQAAZHJzL2Uyb0RvYy54bWxQSwUGAAAAAAYABgBZ&#10;AQAAugUAAAAA&#10;">
                <v:fill on="f" focussize="0,0"/>
                <v:stroke weight="2.25pt" color="#FFFF00 [3204]" miterlimit="8" joinstyle="miter" endarrow="block"/>
                <v:imagedata o:title=""/>
                <o:lock v:ext="edit" aspectratio="f"/>
              </v:shape>
            </w:pict>
          </mc:Fallback>
        </mc:AlternateContent>
      </w:r>
      <w:r>
        <w:rPr>
          <w:snapToGrid/>
        </w:rPr>
        <mc:AlternateContent>
          <mc:Choice Requires="wps">
            <w:drawing>
              <wp:anchor distT="0" distB="0" distL="114300" distR="114300" simplePos="0" relativeHeight="251948032" behindDoc="0" locked="0" layoutInCell="1" allowOverlap="1">
                <wp:simplePos x="0" y="0"/>
                <wp:positionH relativeFrom="column">
                  <wp:posOffset>2653030</wp:posOffset>
                </wp:positionH>
                <wp:positionV relativeFrom="paragraph">
                  <wp:posOffset>1307465</wp:posOffset>
                </wp:positionV>
                <wp:extent cx="286385" cy="286385"/>
                <wp:effectExtent l="38100" t="19050" r="19050" b="38100"/>
                <wp:wrapNone/>
                <wp:docPr id="1882546389" name="直接箭头连接符 616"/>
                <wp:cNvGraphicFramePr/>
                <a:graphic xmlns:a="http://schemas.openxmlformats.org/drawingml/2006/main">
                  <a:graphicData uri="http://schemas.microsoft.com/office/word/2010/wordprocessingShape">
                    <wps:wsp>
                      <wps:cNvCnPr/>
                      <wps:spPr>
                        <a:xfrm flipH="1">
                          <a:off x="0" y="0"/>
                          <a:ext cx="286247" cy="286247"/>
                        </a:xfrm>
                        <a:prstGeom prst="straightConnector1">
                          <a:avLst/>
                        </a:prstGeom>
                        <a:ln w="28575">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616" o:spid="_x0000_s1026" o:spt="32" type="#_x0000_t32" style="position:absolute;left:0pt;flip:x;margin-left:208.9pt;margin-top:102.95pt;height:22.55pt;width:22.55pt;z-index:251948032;mso-width-relative:page;mso-height-relative:page;" filled="f" stroked="t" coordsize="21600,21600" o:gfxdata="UEsDBAoAAAAAAIdO4kAAAAAAAAAAAAAAAAAEAAAAZHJzL1BLAwQUAAAACACHTuJA18i1K9sAAAAL&#10;AQAADwAAAGRycy9kb3ducmV2LnhtbE2PT0vEMBDF74LfIYzgzU1at9XWposIIoKs2F0Eb9l2ti02&#10;k9Kk++fbO570NvPm8d5vitXJDuKAk+8daYgWCgRS7ZqeWg3bzfPNPQgfDDVmcIQazuhhVV5eFCZv&#10;3JE+8FCFVnAI+dxo6EIYcyl93aE1fuFGJL7t3WRN4HVqZTOZI4fbQcZKpdKanrihMyM+dVh/V7PV&#10;oB7fz+n6c6/a17fEZ3P2IquvW62vryL1ACLgKfyZ4Ref0aFkpp2bqfFi0LCM7hg9aIhVkoFgxzKN&#10;edixkkQKZFnI/z+UP1BLAwQUAAAACACHTuJAUjeKaRsCAAD7AwAADgAAAGRycy9lMm9Eb2MueG1s&#10;rVPNjtMwEL4j8Q6W7zRp2XZD1HQPLYUDgkosD+A6TmLJf/J4m/YleAEkTsAJOO2dp2GXx2DslALL&#10;ZQ/k4IxnPN/MfP48v9hrRXbCg7SmouNRTokw3NbStBV9c7l+VFACgZmaKWtERQ8C6MXi4YN570ox&#10;sZ1VtfAEQQyUvatoF4Irswx4JzSDkXXCYLCxXrOAW99mtWc9omuVTfJ8lvXW185bLgDQuxqC9Ijo&#10;7wNom0ZysbL8SgsTBlQvFAs4EnTSAV2kbptG8PCqaUAEoiqKk4a0YhG0t3HNFnNWtp65TvJjC+w+&#10;LdyZSTNpsOgJasUCI1de/gOlJfcWbBNG3OpsGCQxglOM8zvcvO6YE2kWpBrciXT4f7D85W7jiaxR&#10;CUUxmZ7NHhdPKDFM483fvru+efvx9uuX7x+uf3x7H+3Pn8hsPIus9Q5KTF6ajT/uwG18pGDfeE0a&#10;Jd1zBE2k4Jhknzg/nDgX+0A4OifFbHJ2TgnH0NFGvGyAiXDOQ3gmrCbRqCgEz2TbhaU1Bm/X+qEE&#10;272AMCT+SojJxq6lUuhnpTKkjyWm51OsxlC5DSoGTe1wejAtJUy1+CR48KlrsErWMT1mg2+3S+XJ&#10;jqGQ1vjlSTvY51/HYu0Vg244l0KDxLQM+GqU1BUt8vgN7sCkempqEg4OCQ9eMtMqEWOIrAz+Is8D&#10;s9Ha2vqQCE9+1EQ6eNRvFN2f+5T9+80ufg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XyLUr2wAA&#10;AAsBAAAPAAAAAAAAAAEAIAAAACIAAABkcnMvZG93bnJldi54bWxQSwECFAAUAAAACACHTuJAUjeK&#10;aRsCAAD7AwAADgAAAAAAAAABACAAAAAqAQAAZHJzL2Uyb0RvYy54bWxQSwUGAAAAAAYABgBZAQAA&#10;twUAAAAA&#10;">
                <v:fill on="f" focussize="0,0"/>
                <v:stroke weight="2.25pt" color="#FFFF00 [3204]" miterlimit="8" joinstyle="miter" endarrow="block"/>
                <v:imagedata o:title=""/>
                <o:lock v:ext="edit" aspectratio="f"/>
              </v:shape>
            </w:pict>
          </mc:Fallback>
        </mc:AlternateContent>
      </w:r>
      <w:r>
        <w:rPr>
          <w:snapToGrid/>
        </w:rPr>
        <mc:AlternateContent>
          <mc:Choice Requires="wps">
            <w:drawing>
              <wp:anchor distT="0" distB="0" distL="114300" distR="114300" simplePos="0" relativeHeight="251947008" behindDoc="0" locked="0" layoutInCell="1" allowOverlap="1">
                <wp:simplePos x="0" y="0"/>
                <wp:positionH relativeFrom="column">
                  <wp:posOffset>2987040</wp:posOffset>
                </wp:positionH>
                <wp:positionV relativeFrom="paragraph">
                  <wp:posOffset>985520</wp:posOffset>
                </wp:positionV>
                <wp:extent cx="286385" cy="286385"/>
                <wp:effectExtent l="38100" t="19050" r="19050" b="38100"/>
                <wp:wrapNone/>
                <wp:docPr id="1768454061" name="直接箭头连接符 616"/>
                <wp:cNvGraphicFramePr/>
                <a:graphic xmlns:a="http://schemas.openxmlformats.org/drawingml/2006/main">
                  <a:graphicData uri="http://schemas.microsoft.com/office/word/2010/wordprocessingShape">
                    <wps:wsp>
                      <wps:cNvCnPr/>
                      <wps:spPr>
                        <a:xfrm flipH="1">
                          <a:off x="0" y="0"/>
                          <a:ext cx="286247" cy="286247"/>
                        </a:xfrm>
                        <a:prstGeom prst="straightConnector1">
                          <a:avLst/>
                        </a:prstGeom>
                        <a:ln w="28575">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616" o:spid="_x0000_s1026" o:spt="32" type="#_x0000_t32" style="position:absolute;left:0pt;flip:x;margin-left:235.2pt;margin-top:77.6pt;height:22.55pt;width:22.55pt;z-index:251947008;mso-width-relative:page;mso-height-relative:page;" filled="f" stroked="t" coordsize="21600,21600" o:gfxdata="UEsDBAoAAAAAAIdO4kAAAAAAAAAAAAAAAAAEAAAAZHJzL1BLAwQUAAAACACHTuJAqkOYBdoAAAAL&#10;AQAADwAAAGRycy9kb3ducmV2LnhtbE2P20rDQBCG7wXfYRnBO7vbQ2obsymlICKIYiyCd9vsNAlm&#10;Z0N208Pbd3qldzP8H/8hW51cKw7Yh8aThvFIgUAqvW2o0rD9en5YgAjRkDWtJ9RwxgCr/PYmM6n1&#10;R/rEQxErwSYUUqOhjrFLpQxljc6Eke+QWNv73pnIb19J25sjm7tWTpSaS2ca4oTadLipsfwtBqdB&#10;rT/O8/fvvape35KwHJYvsviZan1/N1ZPICKe4h8M1/pcHXLutPMD2SBaDbNHNWOUhSSZgGAi4QvE&#10;TgMHT0Hmmfy/Ib8AUEsDBBQAAAAIAIdO4kCVI0unGQIAAPsDAAAOAAAAZHJzL2Uyb0RvYy54bWyt&#10;U02u0zAQ3iNxB8t7mrRq0ypq+hYthQWCSsABXMdJLPlPHr+mvQQXQGIFrIDV23MaeByDsVMKPDZv&#10;QRbOeMbzzcznz8uro1bkIDxIayo6HuWUCMNtLU1b0devto8WlEBgpmbKGlHRkwB6tXr4YNm7Ukxs&#10;Z1UtPEEQA2XvKtqF4MosA94JzWBknTAYbKzXLODWt1ntWY/oWmWTPC+y3vraecsFAHo3Q5CeEf19&#10;AG3TSC42ll9rYcKA6oViAUeCTjqgq9Rt0wgeXjQNiEBURXHSkFYsgvY+rtlqycrWM9dJfm6B3aeF&#10;OzNpJg0WvUBtWGDk2st/oLTk3oJtwohbnQ2DJEZwinF+h5uXHXMizYJUg7uQDv8Plj8/7DyRNSph&#10;Xiyms2lejCkxTOPN3769+f7mw+2Xz9/e3/z4+i7anz6SYlxE1noHJSavzc6fd+B2PlJwbLwmjZLu&#10;KYImUnBMckycny6ci2MgHJ2TRTGZzinhGDrbiJcNMBHOeQhPhNUkGhWF4Jlsu7C2xuDtWj+UYIdn&#10;EIbEXwkx2ditVAr9rFSG9LHEbD7DagyV26Bi0NQOpwfTUsJUi0+CB5+6BqtkHdNjNvh2v1aeHBgK&#10;aYtfnrSDff51LNbeMOiGcyk0SEzLgK9GSV3RRR6/wR2YVI9NTcLJIeHBS2ZaJWIMkZXBX+R5YDZa&#10;e1ufEuHJj5pIB8/6jaL7c5+yf7/Z1U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qQ5gF2gAAAAsB&#10;AAAPAAAAAAAAAAEAIAAAACIAAABkcnMvZG93bnJldi54bWxQSwECFAAUAAAACACHTuJAlSNLpxkC&#10;AAD7AwAADgAAAAAAAAABACAAAAApAQAAZHJzL2Uyb0RvYy54bWxQSwUGAAAAAAYABgBZAQAAtAUA&#10;AAAA&#10;">
                <v:fill on="f" focussize="0,0"/>
                <v:stroke weight="2.25pt" color="#FFFF00 [3204]" miterlimit="8" joinstyle="miter" endarrow="block"/>
                <v:imagedata o:title=""/>
                <o:lock v:ext="edit" aspectratio="f"/>
              </v:shape>
            </w:pict>
          </mc:Fallback>
        </mc:AlternateContent>
      </w:r>
      <w:r>
        <mc:AlternateContent>
          <mc:Choice Requires="wps">
            <w:drawing>
              <wp:anchor distT="0" distB="0" distL="114300" distR="114300" simplePos="0" relativeHeight="251868160" behindDoc="0" locked="0" layoutInCell="1" allowOverlap="1">
                <wp:simplePos x="0" y="0"/>
                <wp:positionH relativeFrom="column">
                  <wp:posOffset>652780</wp:posOffset>
                </wp:positionH>
                <wp:positionV relativeFrom="paragraph">
                  <wp:posOffset>3009900</wp:posOffset>
                </wp:positionV>
                <wp:extent cx="1014730" cy="315595"/>
                <wp:effectExtent l="0" t="0" r="0" b="0"/>
                <wp:wrapNone/>
                <wp:docPr id="465257666" name="自选图形 5637"/>
                <wp:cNvGraphicFramePr/>
                <a:graphic xmlns:a="http://schemas.openxmlformats.org/drawingml/2006/main">
                  <a:graphicData uri="http://schemas.microsoft.com/office/word/2010/wordprocessingShape">
                    <wps:wsp>
                      <wps:cNvSpPr>
                        <a:spLocks noChangeArrowheads="1"/>
                      </wps:cNvSpPr>
                      <wps:spPr bwMode="auto">
                        <a:xfrm>
                          <a:off x="0" y="0"/>
                          <a:ext cx="1014730" cy="315595"/>
                        </a:xfrm>
                        <a:prstGeom prst="wedgeRoundRectCallout">
                          <a:avLst>
                            <a:gd name="adj1" fmla="val 65004"/>
                            <a:gd name="adj2" fmla="val 106129"/>
                            <a:gd name="adj3" fmla="val 16667"/>
                          </a:avLst>
                        </a:prstGeom>
                        <a:noFill/>
                        <a:ln w="9525">
                          <a:noFill/>
                          <a:miter lim="800000"/>
                        </a:ln>
                      </wps:spPr>
                      <wps:txbx>
                        <w:txbxContent>
                          <w:p w14:paraId="5E130F62">
                            <w:pPr>
                              <w:jc w:val="center"/>
                              <w:rPr>
                                <w:b/>
                                <w:bCs/>
                                <w:color w:val="FF0000"/>
                              </w:rPr>
                            </w:pPr>
                            <w:r>
                              <w:rPr>
                                <w:rFonts w:hint="eastAsia"/>
                                <w:b/>
                                <w:bCs/>
                                <w:color w:val="FF0000"/>
                                <w:lang w:eastAsia="zh-CN"/>
                              </w:rPr>
                              <w:t>淮河</w:t>
                            </w:r>
                          </w:p>
                        </w:txbxContent>
                      </wps:txbx>
                      <wps:bodyPr rot="0" vert="horz" wrap="square" lIns="91440" tIns="45720" rIns="91440" bIns="45720" anchor="t" anchorCtr="0" upright="1">
                        <a:noAutofit/>
                      </wps:bodyPr>
                    </wps:wsp>
                  </a:graphicData>
                </a:graphic>
              </wp:anchor>
            </w:drawing>
          </mc:Choice>
          <mc:Fallback>
            <w:pict>
              <v:shape id="自选图形 5637" o:spid="_x0000_s1026" o:spt="62" type="#_x0000_t62" style="position:absolute;left:0pt;margin-left:51.4pt;margin-top:237pt;height:24.85pt;width:79.9pt;z-index:251868160;mso-width-relative:page;mso-height-relative:page;" filled="f" stroked="f" coordsize="21600,21600" o:gfxdata="UEsDBAoAAAAAAIdO4kAAAAAAAAAAAAAAAAAEAAAAZHJzL1BLAwQUAAAACACHTuJAimd949kAAAAL&#10;AQAADwAAAGRycy9kb3ducmV2LnhtbE2PS0/DMBCE70j8B2uRuFG7pk1RiFMhJA5FqlAf4ryNTRLV&#10;Xkex++Dfs5zgOJrRzDfV8hq8OLsx9ZEMTCcKhKMm2p5aA/vd28MTiJSRLPpIzsC3S7Csb28qLG28&#10;0Madt7kVXEKpRANdzkMpZWo6FzBN4uCIva84Bswsx1baES9cHrzUShUyYE+80OHgXjvXHLenYOBj&#10;tfv061bjer/pXrw9Dnr1Pjfm/m6qnkFkd81/YfjFZ3SomekQT2ST8KyVZvRsYLaY8SlO6EIXIA4G&#10;5vpxAbKu5P8P9Q9QSwMEFAAAAAgAh07iQAeHsGhsAgAAwAQAAA4AAABkcnMvZTJvRG9jLnhtbK1U&#10;zW7UMBC+I/EOlu80ye4m242arapWRUgFqhYewGs7G4P/sJ3NllNviGfgxpF3gLepBG/BxEnLtr30&#10;QA7RODP+Zub7ZnJwuFUSbbjzwugKZ3spRlxTw4ReV/j9u9MX+xj5QDQj0mhe4Svu8eHy+bODzpZ8&#10;YhojGXcIQLQvO1vhJgRbJomnDVfE7xnLNThr4xQJcHTrhDnSAbqSySRNi6QzjllnKPcevp4MTjwi&#10;uqcAmroWlJ8Y2iquw4DquCQBWvKNsB4vY7V1zWl4W9eeByQrDJ2G+IYkYK/6d7I8IOXaEdsIOpZA&#10;nlLCg54UERqS3kGdkEBQ68QjKCWoM97UYY8alQyNREagiyx9wM1lQyyPvQDV3t6R7v8fLH2zOXdI&#10;sArPinySz4uiwEgTBcL//vLjz/XXm2+/bn5+R3kxnfdkddaXcOfSnru+XW/PDP3okTbHDdFrfuSc&#10;6RpOGJSY9fHJvQv9wcNVtOpeGwY5SBtM5G1bO9UDAiNoG+W5upOHbwOi8DFLs9l8CspR8E2zPF/k&#10;MQUpb29b58NLbhTqjQp3nK35hWk1u4BBOCZSmjbEdGRz5kPUi43dEvYhw6hWEuTfEImKPE1n43js&#10;xEx2Y7K0yCaLx0HTe0FAaaQuIeWYFqzbSvsatDkVUsZJlBp1FV6AErHMHY8SAdZOClXh/bR/xtal&#10;HknueR30CdvVdpRqZdgV0O3MMPiw9mA0xn3GqIOhr7D/1BLHMZKvNEi2yGazfkviYZbPJ3Bwu57V&#10;rodoClAVDhgN5nEYNqu1TqwbyJSNXRyBzLUIt/MwVDXWDYMN1r3N2T3HqH8/nu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imd949kAAAALAQAADwAAAAAAAAABACAAAAAiAAAAZHJzL2Rvd25yZXYu&#10;eG1sUEsBAhQAFAAAAAgAh07iQAeHsGhsAgAAwAQAAA4AAAAAAAAAAQAgAAAAKAEAAGRycy9lMm9E&#10;b2MueG1sUEsFBgAAAAAGAAYAWQEAAAYGAAAAAA==&#10;" adj="24841,33724,14400">
                <v:fill on="f" focussize="0,0"/>
                <v:stroke on="f" miterlimit="8" joinstyle="miter"/>
                <v:imagedata o:title=""/>
                <o:lock v:ext="edit" aspectratio="f"/>
                <v:textbox>
                  <w:txbxContent>
                    <w:p w14:paraId="5E130F62">
                      <w:pPr>
                        <w:jc w:val="center"/>
                        <w:rPr>
                          <w:b/>
                          <w:bCs/>
                          <w:color w:val="FF0000"/>
                        </w:rPr>
                      </w:pPr>
                      <w:r>
                        <w:rPr>
                          <w:rFonts w:hint="eastAsia"/>
                          <w:b/>
                          <w:bCs/>
                          <w:color w:val="FF0000"/>
                          <w:lang w:eastAsia="zh-CN"/>
                        </w:rPr>
                        <w:t>淮河</w:t>
                      </w:r>
                    </w:p>
                  </w:txbxContent>
                </v:textbox>
              </v:shape>
            </w:pict>
          </mc:Fallback>
        </mc:AlternateContent>
      </w:r>
      <w:r>
        <mc:AlternateContent>
          <mc:Choice Requires="wps">
            <w:drawing>
              <wp:anchor distT="0" distB="0" distL="114300" distR="114300" simplePos="0" relativeHeight="251878400" behindDoc="0" locked="0" layoutInCell="1" allowOverlap="1">
                <wp:simplePos x="0" y="0"/>
                <wp:positionH relativeFrom="column">
                  <wp:posOffset>1995170</wp:posOffset>
                </wp:positionH>
                <wp:positionV relativeFrom="paragraph">
                  <wp:posOffset>2581275</wp:posOffset>
                </wp:positionV>
                <wp:extent cx="1014730" cy="315595"/>
                <wp:effectExtent l="0" t="0" r="0" b="0"/>
                <wp:wrapNone/>
                <wp:docPr id="1016115101" name="自选图形 5637"/>
                <wp:cNvGraphicFramePr/>
                <a:graphic xmlns:a="http://schemas.openxmlformats.org/drawingml/2006/main">
                  <a:graphicData uri="http://schemas.microsoft.com/office/word/2010/wordprocessingShape">
                    <wps:wsp>
                      <wps:cNvSpPr>
                        <a:spLocks noChangeArrowheads="1"/>
                      </wps:cNvSpPr>
                      <wps:spPr bwMode="auto">
                        <a:xfrm>
                          <a:off x="0" y="0"/>
                          <a:ext cx="1014730" cy="315595"/>
                        </a:xfrm>
                        <a:prstGeom prst="wedgeRoundRectCallout">
                          <a:avLst>
                            <a:gd name="adj1" fmla="val 65004"/>
                            <a:gd name="adj2" fmla="val 106129"/>
                            <a:gd name="adj3" fmla="val 16667"/>
                          </a:avLst>
                        </a:prstGeom>
                        <a:noFill/>
                        <a:ln w="9525">
                          <a:noFill/>
                          <a:miter lim="800000"/>
                        </a:ln>
                      </wps:spPr>
                      <wps:txbx>
                        <w:txbxContent>
                          <w:p w14:paraId="7D839C3E">
                            <w:pPr>
                              <w:jc w:val="center"/>
                              <w:rPr>
                                <w:b/>
                                <w:bCs/>
                                <w:color w:val="FF0000"/>
                              </w:rPr>
                            </w:pPr>
                            <w:r>
                              <w:rPr>
                                <w:rFonts w:hint="eastAsia"/>
                                <w:b/>
                                <w:bCs/>
                                <w:color w:val="FF0000"/>
                                <w:lang w:eastAsia="zh-CN"/>
                              </w:rPr>
                              <w:t>9.0km</w:t>
                            </w:r>
                          </w:p>
                        </w:txbxContent>
                      </wps:txbx>
                      <wps:bodyPr rot="0" vert="horz" wrap="square" lIns="91440" tIns="45720" rIns="91440" bIns="45720" anchor="t" anchorCtr="0" upright="1">
                        <a:noAutofit/>
                      </wps:bodyPr>
                    </wps:wsp>
                  </a:graphicData>
                </a:graphic>
              </wp:anchor>
            </w:drawing>
          </mc:Choice>
          <mc:Fallback>
            <w:pict>
              <v:shape id="自选图形 5637" o:spid="_x0000_s1026" o:spt="62" type="#_x0000_t62" style="position:absolute;left:0pt;margin-left:157.1pt;margin-top:203.25pt;height:24.85pt;width:79.9pt;z-index:251878400;mso-width-relative:page;mso-height-relative:page;" filled="f" stroked="f" coordsize="21600,21600" o:gfxdata="UEsDBAoAAAAAAIdO4kAAAAAAAAAAAAAAAAAEAAAAZHJzL1BLAwQUAAAACACHTuJALXF4+doAAAAL&#10;AQAADwAAAGRycy9kb3ducmV2LnhtbE2Py2rDMBBF94X+g5hCd41s1XaDYzmUQhcphJIHXU8s1TLR&#10;w1jKo3/f6arZzTCHO+c2y6uz7KynOAQvIZ9lwLTvghp8L2G/e3+aA4sJvUIbvJbwoyMs2/u7BmsV&#10;Ln6jz9vUMwrxsUYJJqWx5jx2RjuMszBqT7fvMDlMtE49VxNeKNxZLrKs4g4HTx8MjvrN6O64PTkJ&#10;n6vdl133Atf7jXm16jiK1Ucp5eNDni2AJX1N/zD86ZM6tOR0CCevIrMSnvNCECqhyKoSGBHFS0Ht&#10;DjSUlQDeNvy2Q/sLUEsDBBQAAAAIAIdO4kD5y1RsbAIAAMEEAAAOAAAAZHJzL2Uyb0RvYy54bWyt&#10;VM1u1DAQviPxDpbvNMnuJu1Gm62qVkVIBaoWHsBrOxuD/7CdzZZTb4hn4MaRd4C3qQRvwcRJy7a9&#10;9MAesuPMeGa+75vJ4nCrJNpw54XRFc72Uoy4poYJva7w+3enLw4w8oFoRqTRvMJX3OPD5fNni86W&#10;fGIaIxl3CJJoX3a2wk0ItkwSTxuuiN8zlmtw1sYpEuDo1glzpIPsSiaTNC2SzjhmnaHce3h7Mjjx&#10;mNE9JaGpa0H5iaGt4joMWR2XJAAk3wjr8TJ2W9echrd17XlAssKANMQnFAF71T+T5YKUa0dsI+jY&#10;AnlKCw8wKSI0FL1LdUICQa0Tj1IpQZ3xpg571KhkABIZARRZ+oCby4ZYHrEA1d7eke7/X1r6ZnPu&#10;kGAwCWlWZFkOfxhpokD5319+/Ln+evPt183P7ygvpvs9W531JVy6tOeux+vtmaEfPdLmuCF6zY+c&#10;M13DCYMesz4+uXehP3i4ilbda8OgBmmDicRta6f6hEAJ2kZ9ru704duAKLyE3mb7U5COgm+a5fk8&#10;jyVIeXvbOh9ecqNQb1S442zNL0yr2QVMwjGR0rQhliObMx+iYGxES9gHQF4rCfpviERFnqazcT52&#10;Yia7MVlaZJP546DpvaCiKCJ1CSnHsmDddtr3oM2pkDKOotSoq/A8n+SxzR2PEgH2TgpV4YO0/43Q&#10;pR5J7nkd9Anb1XaUamXYFdDtzDD5sPdgNMZ9xqiDqa+w/9QSxzGSrzRINs9ms35N4mGW70/g4HY9&#10;q10P0RRSVThgNJjHYVit1jqxbqBSNqI4AplrEW7nYehq7BsmG6x7q7N7jlH/vjzLv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C1xePnaAAAACwEAAA8AAAAAAAAAAQAgAAAAIgAAAGRycy9kb3ducmV2&#10;LnhtbFBLAQIUABQAAAAIAIdO4kD5y1RsbAIAAMEEAAAOAAAAAAAAAAEAIAAAACkBAABkcnMvZTJv&#10;RG9jLnhtbFBLBQYAAAAABgAGAFkBAAAHBgAAAAA=&#10;" adj="24841,33724,14400">
                <v:fill on="f" focussize="0,0"/>
                <v:stroke on="f" miterlimit="8" joinstyle="miter"/>
                <v:imagedata o:title=""/>
                <o:lock v:ext="edit" aspectratio="f"/>
                <v:textbox>
                  <w:txbxContent>
                    <w:p w14:paraId="7D839C3E">
                      <w:pPr>
                        <w:jc w:val="center"/>
                        <w:rPr>
                          <w:b/>
                          <w:bCs/>
                          <w:color w:val="FF0000"/>
                        </w:rPr>
                      </w:pPr>
                      <w:r>
                        <w:rPr>
                          <w:rFonts w:hint="eastAsia"/>
                          <w:b/>
                          <w:bCs/>
                          <w:color w:val="FF0000"/>
                          <w:lang w:eastAsia="zh-CN"/>
                        </w:rPr>
                        <w:t>9.0km</w:t>
                      </w:r>
                    </w:p>
                  </w:txbxContent>
                </v:textbox>
              </v:shape>
            </w:pict>
          </mc:Fallback>
        </mc:AlternateContent>
      </w:r>
      <w:r>
        <w:rPr>
          <w:snapToGrid/>
        </w:rPr>
        <w:drawing>
          <wp:inline distT="0" distB="0" distL="0" distR="0">
            <wp:extent cx="6188710" cy="7731760"/>
            <wp:effectExtent l="0" t="0" r="2540" b="2540"/>
            <wp:docPr id="9946999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699907" name="图片 1"/>
                    <pic:cNvPicPr>
                      <a:picLocks noChangeAspect="1"/>
                    </pic:cNvPicPr>
                  </pic:nvPicPr>
                  <pic:blipFill>
                    <a:blip r:embed="rId117"/>
                    <a:stretch>
                      <a:fillRect/>
                    </a:stretch>
                  </pic:blipFill>
                  <pic:spPr>
                    <a:xfrm>
                      <a:off x="0" y="0"/>
                      <a:ext cx="6188710" cy="7731760"/>
                    </a:xfrm>
                    <a:prstGeom prst="rect">
                      <a:avLst/>
                    </a:prstGeom>
                  </pic:spPr>
                </pic:pic>
              </a:graphicData>
            </a:graphic>
          </wp:inline>
        </w:drawing>
      </w:r>
    </w:p>
    <w:p w14:paraId="0C635449">
      <w:pPr>
        <w:spacing w:line="360" w:lineRule="auto"/>
        <w:jc w:val="center"/>
        <w:rPr>
          <w:rFonts w:ascii="Times New Roman" w:hAnsi="Times New Roman" w:cs="Times New Roman"/>
          <w:color w:val="EE0000"/>
          <w:szCs w:val="24"/>
          <w:lang w:eastAsia="zh-CN"/>
        </w:rPr>
      </w:pPr>
      <w:r>
        <w:rPr>
          <w:rFonts w:ascii="Times New Roman" w:hAnsi="Times New Roman" w:cs="Times New Roman"/>
          <w:b/>
          <w:bCs/>
          <w:color w:val="auto"/>
          <w:lang w:eastAsia="zh-CN"/>
        </w:rPr>
        <w:t>图</w:t>
      </w:r>
      <w:r>
        <w:rPr>
          <w:rFonts w:hint="eastAsia" w:ascii="Times New Roman" w:hAnsi="Times New Roman" w:cs="Times New Roman"/>
          <w:b/>
          <w:bCs/>
          <w:color w:val="auto"/>
          <w:lang w:eastAsia="zh-CN"/>
        </w:rPr>
        <w:t>7</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8</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11</w:t>
      </w:r>
      <w:r>
        <w:rPr>
          <w:rFonts w:ascii="Times New Roman" w:hAnsi="Times New Roman" w:cs="Times New Roman"/>
          <w:b/>
          <w:bCs/>
          <w:color w:val="auto"/>
          <w:lang w:eastAsia="zh-CN"/>
        </w:rPr>
        <w:t xml:space="preserve"> </w:t>
      </w:r>
      <w:r>
        <w:rPr>
          <w:rFonts w:hint="eastAsia" w:ascii="Times New Roman" w:hAnsi="Times New Roman" w:cs="Times New Roman"/>
          <w:b/>
          <w:bCs/>
          <w:color w:val="auto"/>
          <w:lang w:eastAsia="zh-CN"/>
        </w:rPr>
        <w:t>地表水环境风险预测范围</w:t>
      </w:r>
      <w:r>
        <w:rPr>
          <w:rFonts w:ascii="Times New Roman" w:hAnsi="Times New Roman" w:cs="Times New Roman"/>
          <w:b/>
          <w:bCs/>
          <w:color w:val="auto"/>
          <w:lang w:eastAsia="zh-CN"/>
        </w:rPr>
        <w:t>图</w:t>
      </w:r>
    </w:p>
    <w:p w14:paraId="17B7BA6B">
      <w:pPr>
        <w:spacing w:line="360" w:lineRule="auto"/>
        <w:rPr>
          <w:rFonts w:ascii="Times New Roman" w:hAnsi="Times New Roman" w:cs="Times New Roman"/>
          <w:color w:val="EE0000"/>
          <w:szCs w:val="24"/>
          <w:lang w:eastAsia="zh-CN"/>
        </w:rPr>
      </w:pPr>
    </w:p>
    <w:p w14:paraId="617BE396">
      <w:pPr>
        <w:spacing w:line="360" w:lineRule="auto"/>
        <w:jc w:val="center"/>
        <w:rPr>
          <w:rFonts w:ascii="Times New Roman" w:hAnsi="Times New Roman" w:cs="Times New Roman"/>
          <w:color w:val="EE0000"/>
          <w:szCs w:val="24"/>
          <w:lang w:eastAsia="zh-CN"/>
        </w:rPr>
      </w:pPr>
    </w:p>
    <w:p w14:paraId="2BD69E2C">
      <w:pPr>
        <w:spacing w:line="360" w:lineRule="auto"/>
        <w:ind w:firstLine="482"/>
        <w:jc w:val="both"/>
        <w:outlineLvl w:val="3"/>
        <w:rPr>
          <w:rFonts w:ascii="Times New Roman" w:hAnsi="Times New Roman" w:cs="Times New Roman"/>
          <w:b/>
          <w:bCs/>
          <w:color w:val="auto"/>
          <w:szCs w:val="24"/>
          <w:lang w:eastAsia="zh-CN"/>
        </w:rPr>
      </w:pPr>
      <w:r>
        <w:rPr>
          <w:rFonts w:hint="eastAsia" w:ascii="Times New Roman" w:hAnsi="Times New Roman" w:cs="Times New Roman"/>
          <w:b/>
          <w:bCs/>
          <w:color w:val="auto"/>
          <w:szCs w:val="24"/>
          <w:lang w:eastAsia="zh-CN"/>
        </w:rPr>
        <w:t>7</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8</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2</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 xml:space="preserve">3 </w:t>
      </w:r>
      <w:r>
        <w:rPr>
          <w:rFonts w:hint="eastAsia" w:ascii="Times New Roman" w:hAnsi="Times New Roman" w:cs="Times New Roman"/>
          <w:b/>
          <w:bCs/>
          <w:snapToGrid/>
          <w:color w:val="auto"/>
          <w:spacing w:val="-2"/>
          <w:szCs w:val="24"/>
          <w:lang w:eastAsia="zh-CN"/>
        </w:rPr>
        <w:t>预测参数</w:t>
      </w:r>
    </w:p>
    <w:p w14:paraId="4E62BD61">
      <w:pPr>
        <w:widowControl w:val="0"/>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（1）降解系数</w:t>
      </w:r>
    </w:p>
    <w:p w14:paraId="72044293">
      <w:pPr>
        <w:widowControl w:val="0"/>
        <w:spacing w:line="360" w:lineRule="auto"/>
        <w:ind w:firstLine="480" w:firstLineChars="200"/>
        <w:jc w:val="both"/>
        <w:rPr>
          <w:rFonts w:ascii="Times New Roman" w:hAnsi="Times New Roman" w:cs="Times New Roman"/>
          <w:color w:val="EE0000"/>
          <w:lang w:eastAsia="zh-CN"/>
        </w:rPr>
      </w:pPr>
      <w:r>
        <w:rPr>
          <w:rFonts w:ascii="Times New Roman" w:hAnsi="Times New Roman" w:cs="Times New Roman"/>
          <w:color w:val="auto"/>
          <w:lang w:eastAsia="zh-CN"/>
        </w:rPr>
        <w:t>污染物综合降解系数K值是反映污染物沿程变化的综合系数，它是计算水体纳污能力的一项重要参数，对于不同的污染物、不同的环境条件，其值是不同的。降解系数因河流流速、水质状况等有所差异。降解系数K通过水团追踪实验、实测资料反推、类比法、分析借用等方法确定</w:t>
      </w:r>
      <w:r>
        <w:rPr>
          <w:rFonts w:hint="eastAsia" w:ascii="Times New Roman" w:hAnsi="Times New Roman" w:cs="Times New Roman"/>
          <w:color w:val="auto"/>
          <w:lang w:eastAsia="zh-CN"/>
        </w:rPr>
        <w:t>，本次环评按照淮河对氟化物</w:t>
      </w:r>
      <w:r>
        <w:rPr>
          <w:rFonts w:ascii="Times New Roman" w:hAnsi="Times New Roman" w:cs="Times New Roman"/>
          <w:color w:val="auto"/>
          <w:lang w:eastAsia="zh-CN"/>
        </w:rPr>
        <w:t>降解系数</w:t>
      </w:r>
      <w:r>
        <w:rPr>
          <w:rFonts w:hint="eastAsia" w:ascii="Times New Roman" w:hAnsi="Times New Roman" w:cs="Times New Roman"/>
          <w:color w:val="auto"/>
          <w:lang w:eastAsia="zh-CN"/>
        </w:rPr>
        <w:t>为0考虑</w:t>
      </w:r>
      <w:r>
        <w:rPr>
          <w:rFonts w:ascii="Times New Roman" w:hAnsi="Times New Roman" w:cs="Times New Roman"/>
          <w:color w:val="auto"/>
          <w:lang w:eastAsia="zh-CN"/>
        </w:rPr>
        <w:t>。</w:t>
      </w:r>
    </w:p>
    <w:p w14:paraId="56C4C0E7">
      <w:pPr>
        <w:widowControl w:val="0"/>
        <w:spacing w:line="360" w:lineRule="auto"/>
        <w:ind w:left="480"/>
        <w:jc w:val="both"/>
        <w:rPr>
          <w:rFonts w:ascii="Times New Roman" w:hAnsi="Times New Roman" w:cs="Times New Roman"/>
          <w:color w:val="auto"/>
          <w:lang w:eastAsia="zh-CN"/>
        </w:rPr>
      </w:pPr>
      <w:r>
        <w:rPr>
          <w:rFonts w:hint="eastAsia" w:ascii="Times New Roman" w:hAnsi="Times New Roman" w:cs="Times New Roman"/>
          <w:color w:val="auto"/>
          <w:lang w:eastAsia="zh-CN"/>
        </w:rPr>
        <w:t>（2）水文参数</w:t>
      </w:r>
    </w:p>
    <w:p w14:paraId="6D437695">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通常情况下，天然</w:t>
      </w:r>
      <w:r>
        <w:rPr>
          <w:rFonts w:hint="eastAsia" w:ascii="Times New Roman" w:hAnsi="Times New Roman" w:cs="Times New Roman"/>
          <w:color w:val="auto"/>
          <w:lang w:eastAsia="zh-CN"/>
        </w:rPr>
        <w:t>河流</w:t>
      </w:r>
      <w:r>
        <w:rPr>
          <w:rFonts w:ascii="Times New Roman" w:hAnsi="Times New Roman" w:cs="Times New Roman"/>
          <w:color w:val="auto"/>
          <w:lang w:eastAsia="zh-CN"/>
        </w:rPr>
        <w:t>枯水季节</w:t>
      </w:r>
      <w:r>
        <w:rPr>
          <w:rFonts w:hint="eastAsia" w:ascii="Times New Roman" w:hAnsi="Times New Roman" w:cs="Times New Roman"/>
          <w:color w:val="auto"/>
          <w:lang w:eastAsia="zh-CN"/>
        </w:rPr>
        <w:t>是</w:t>
      </w:r>
      <w:r>
        <w:rPr>
          <w:rFonts w:ascii="Times New Roman" w:hAnsi="Times New Roman" w:cs="Times New Roman"/>
          <w:color w:val="auto"/>
          <w:lang w:eastAsia="zh-CN"/>
        </w:rPr>
        <w:t>对水质最不利时期，河流水质问题一般出现在枯水期。根据《水域纳污能力计算规程》（CB/T25173-2020），应采用90%保证率最枯月平均流量，或接近10年最枯月平均流量作为设计流量。本次预测采用90%保证率最枯月平均流量，此流量为保证水质的边界条件，河流流量需大于90%保证率最枯月平均流量，否则容易造成河流水质污染。</w:t>
      </w:r>
      <w:r>
        <w:rPr>
          <w:rFonts w:hint="eastAsia" w:ascii="Times New Roman" w:hAnsi="Times New Roman" w:cs="Times New Roman"/>
          <w:color w:val="auto"/>
          <w:lang w:eastAsia="zh-CN"/>
        </w:rPr>
        <w:t>结合</w:t>
      </w:r>
      <w:r>
        <w:rPr>
          <w:rFonts w:ascii="Times New Roman" w:hAnsi="Times New Roman" w:cs="Times New Roman"/>
          <w:color w:val="auto"/>
          <w:lang w:eastAsia="zh-CN"/>
        </w:rPr>
        <w:t>《全国地表水水环境容量核定技术复核要点》</w:t>
      </w:r>
      <w:r>
        <w:rPr>
          <w:rFonts w:hint="eastAsia" w:ascii="Times New Roman" w:hAnsi="Times New Roman" w:cs="Times New Roman"/>
          <w:color w:val="auto"/>
          <w:lang w:eastAsia="zh-CN"/>
        </w:rPr>
        <w:t>以及</w:t>
      </w:r>
      <w:r>
        <w:rPr>
          <w:rFonts w:ascii="Times New Roman" w:hAnsi="Times New Roman" w:eastAsia="新宋体" w:cs="Times New Roman"/>
          <w:color w:val="auto"/>
          <w:szCs w:val="24"/>
          <w:lang w:eastAsia="zh-CN"/>
        </w:rPr>
        <w:t>《蚌埠精细化工高新技术产业基地规划（2021～2035）环境影响报告书》</w:t>
      </w:r>
      <w:r>
        <w:rPr>
          <w:rFonts w:hint="eastAsia" w:ascii="Times New Roman" w:hAnsi="Times New Roman" w:cs="Times New Roman"/>
          <w:color w:val="auto"/>
          <w:lang w:eastAsia="zh-CN"/>
        </w:rPr>
        <w:t>，淮河水文参数数据如下表</w:t>
      </w:r>
      <w:r>
        <w:rPr>
          <w:rFonts w:ascii="Times New Roman" w:hAnsi="Times New Roman" w:cs="Times New Roman"/>
          <w:color w:val="auto"/>
          <w:lang w:eastAsia="zh-CN"/>
        </w:rPr>
        <w:t>。</w:t>
      </w:r>
    </w:p>
    <w:p w14:paraId="3CAF5B6D">
      <w:pPr>
        <w:spacing w:line="360" w:lineRule="auto"/>
        <w:jc w:val="center"/>
        <w:rPr>
          <w:b/>
          <w:lang w:eastAsia="zh-CN"/>
        </w:rPr>
      </w:pPr>
      <w:r>
        <w:rPr>
          <w:rFonts w:ascii="Times New Roman" w:hAnsi="Times New Roman" w:cs="Times New Roman"/>
          <w:b/>
          <w:color w:val="auto"/>
          <w:szCs w:val="24"/>
          <w:lang w:eastAsia="zh-CN"/>
        </w:rPr>
        <w:t>表</w:t>
      </w:r>
      <w:r>
        <w:rPr>
          <w:rFonts w:hint="eastAsia" w:ascii="Times New Roman" w:hAnsi="Times New Roman" w:cs="Times New Roman"/>
          <w:b/>
          <w:bCs/>
          <w:color w:val="auto"/>
          <w:lang w:eastAsia="zh-CN"/>
        </w:rPr>
        <w:t>7.8-20</w:t>
      </w:r>
      <w:r>
        <w:rPr>
          <w:rFonts w:ascii="Times New Roman" w:hAnsi="Times New Roman" w:cs="Times New Roman"/>
          <w:b/>
          <w:color w:val="auto"/>
          <w:szCs w:val="24"/>
          <w:lang w:eastAsia="zh-CN"/>
        </w:rPr>
        <w:t xml:space="preserve">  </w:t>
      </w:r>
      <w:r>
        <w:rPr>
          <w:rFonts w:hint="eastAsia" w:hAnsi="Times New Roman" w:cs="Times New Roman"/>
          <w:b/>
          <w:bCs/>
          <w:color w:val="auto"/>
          <w:lang w:eastAsia="zh-CN"/>
        </w:rPr>
        <w:t>淮河</w:t>
      </w:r>
      <w:r>
        <w:rPr>
          <w:rFonts w:ascii="Times New Roman" w:hAnsi="Times New Roman" w:cs="Times New Roman"/>
          <w:b/>
          <w:color w:val="auto"/>
          <w:szCs w:val="24"/>
          <w:lang w:eastAsia="zh-CN"/>
        </w:rPr>
        <w:t>水文参数一览表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4417"/>
        <w:gridCol w:w="5329"/>
      </w:tblGrid>
      <w:tr w14:paraId="70369A2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7" w:hRule="atLeast"/>
          <w:jc w:val="center"/>
        </w:trPr>
        <w:tc>
          <w:tcPr>
            <w:tcW w:w="2266" w:type="pct"/>
            <w:vAlign w:val="center"/>
          </w:tcPr>
          <w:p w14:paraId="2E532FD4">
            <w:pPr>
              <w:jc w:val="center"/>
              <w:rPr>
                <w:rFonts w:ascii="Times New Roman" w:hAnsi="Times New Roman" w:cs="Times New Roman"/>
                <w:b/>
                <w:sz w:val="21"/>
              </w:rPr>
            </w:pPr>
            <w:r>
              <w:rPr>
                <w:rFonts w:ascii="Times New Roman" w:hAnsi="Times New Roman" w:cs="Times New Roman"/>
                <w:b/>
                <w:color w:val="auto"/>
                <w:sz w:val="21"/>
              </w:rPr>
              <w:t>水文期</w:t>
            </w:r>
          </w:p>
        </w:tc>
        <w:tc>
          <w:tcPr>
            <w:tcW w:w="2734" w:type="pct"/>
            <w:vAlign w:val="center"/>
          </w:tcPr>
          <w:p w14:paraId="485E9994">
            <w:pPr>
              <w:jc w:val="center"/>
              <w:rPr>
                <w:rFonts w:ascii="Times New Roman" w:hAnsi="Times New Roman" w:cs="Times New Roman"/>
                <w:b/>
                <w:sz w:val="21"/>
              </w:rPr>
            </w:pPr>
            <w:r>
              <w:rPr>
                <w:rFonts w:ascii="Times New Roman" w:hAnsi="Times New Roman" w:cs="Times New Roman"/>
                <w:color w:val="auto"/>
                <w:sz w:val="21"/>
              </w:rPr>
              <w:t>枯水期</w:t>
            </w:r>
            <w:r>
              <w:rPr>
                <w:rFonts w:hint="eastAsia" w:ascii="Times New Roman" w:hAnsi="Times New Roman" w:cs="Times New Roman"/>
                <w:color w:val="auto"/>
                <w:sz w:val="21"/>
                <w:lang w:eastAsia="zh-CN"/>
              </w:rPr>
              <w:t>（90%保证率）</w:t>
            </w:r>
          </w:p>
        </w:tc>
      </w:tr>
      <w:tr w14:paraId="1C84EBE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3" w:hRule="atLeast"/>
          <w:jc w:val="center"/>
        </w:trPr>
        <w:tc>
          <w:tcPr>
            <w:tcW w:w="2266" w:type="pct"/>
            <w:vAlign w:val="center"/>
          </w:tcPr>
          <w:p w14:paraId="79C3DC3F">
            <w:pPr>
              <w:jc w:val="center"/>
              <w:rPr>
                <w:rFonts w:ascii="Times New Roman" w:hAnsi="Times New Roman" w:cs="Times New Roman"/>
                <w:color w:val="auto"/>
                <w:sz w:val="21"/>
                <w:lang w:eastAsia="zh-CN"/>
              </w:rPr>
            </w:pPr>
            <w:r>
              <w:rPr>
                <w:rFonts w:ascii="Times New Roman" w:hAnsi="Times New Roman" w:cs="Times New Roman"/>
                <w:b/>
                <w:color w:val="auto"/>
                <w:sz w:val="21"/>
                <w:lang w:eastAsia="zh-CN"/>
              </w:rPr>
              <w:t>平均</w:t>
            </w:r>
            <w:r>
              <w:rPr>
                <w:rFonts w:ascii="Times New Roman" w:hAnsi="Times New Roman" w:cs="Times New Roman"/>
                <w:b/>
                <w:color w:val="auto"/>
                <w:sz w:val="21"/>
              </w:rPr>
              <w:t>流量</w:t>
            </w:r>
          </w:p>
        </w:tc>
        <w:tc>
          <w:tcPr>
            <w:tcW w:w="2734" w:type="pct"/>
            <w:vAlign w:val="center"/>
          </w:tcPr>
          <w:p w14:paraId="69E54B41">
            <w:pPr>
              <w:jc w:val="center"/>
              <w:rPr>
                <w:rFonts w:ascii="Times New Roman" w:hAnsi="Times New Roman" w:cs="Times New Roman"/>
                <w:color w:val="auto"/>
                <w:sz w:val="21"/>
                <w:lang w:eastAsia="zh-CN"/>
              </w:rPr>
            </w:pPr>
          </w:p>
        </w:tc>
      </w:tr>
      <w:tr w14:paraId="0D2DA5D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3" w:hRule="atLeast"/>
          <w:jc w:val="center"/>
        </w:trPr>
        <w:tc>
          <w:tcPr>
            <w:tcW w:w="2266" w:type="pct"/>
            <w:vAlign w:val="center"/>
          </w:tcPr>
          <w:p w14:paraId="325A0CD4">
            <w:pPr>
              <w:jc w:val="center"/>
              <w:rPr>
                <w:rFonts w:ascii="Times New Roman" w:hAnsi="Times New Roman" w:cs="Times New Roman"/>
                <w:color w:val="auto"/>
                <w:sz w:val="21"/>
              </w:rPr>
            </w:pPr>
            <w:r>
              <w:rPr>
                <w:rFonts w:ascii="Times New Roman" w:hAnsi="Times New Roman" w:cs="Times New Roman"/>
                <w:b/>
                <w:color w:val="auto"/>
                <w:sz w:val="21"/>
              </w:rPr>
              <w:t>平均河宽</w:t>
            </w:r>
            <w:r>
              <w:rPr>
                <w:rFonts w:hint="eastAsia" w:ascii="Times New Roman" w:hAnsi="Times New Roman" w:cs="Times New Roman"/>
                <w:b/>
                <w:color w:val="auto"/>
                <w:sz w:val="21"/>
                <w:lang w:eastAsia="zh-CN"/>
              </w:rPr>
              <w:t>B</w:t>
            </w:r>
          </w:p>
        </w:tc>
        <w:tc>
          <w:tcPr>
            <w:tcW w:w="2734" w:type="pct"/>
            <w:vAlign w:val="center"/>
          </w:tcPr>
          <w:p w14:paraId="43AADEAF">
            <w:pPr>
              <w:jc w:val="center"/>
              <w:rPr>
                <w:rFonts w:ascii="Times New Roman" w:hAnsi="Times New Roman" w:cs="Times New Roman"/>
                <w:color w:val="auto"/>
                <w:sz w:val="21"/>
                <w:lang w:eastAsia="zh-CN"/>
              </w:rPr>
            </w:pPr>
          </w:p>
        </w:tc>
      </w:tr>
      <w:tr w14:paraId="3E7CE5C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3" w:hRule="atLeast"/>
          <w:jc w:val="center"/>
        </w:trPr>
        <w:tc>
          <w:tcPr>
            <w:tcW w:w="2266" w:type="pct"/>
            <w:vAlign w:val="center"/>
          </w:tcPr>
          <w:p w14:paraId="2B40AAEF">
            <w:pPr>
              <w:jc w:val="center"/>
              <w:rPr>
                <w:rFonts w:ascii="Times New Roman" w:hAnsi="Times New Roman" w:cs="Times New Roman"/>
                <w:color w:val="auto"/>
                <w:sz w:val="21"/>
              </w:rPr>
            </w:pPr>
            <w:r>
              <w:rPr>
                <w:rFonts w:ascii="Times New Roman" w:hAnsi="Times New Roman" w:cs="Times New Roman"/>
                <w:b/>
                <w:color w:val="auto"/>
                <w:sz w:val="21"/>
                <w:lang w:eastAsia="zh-CN"/>
              </w:rPr>
              <w:t>平均</w:t>
            </w:r>
            <w:r>
              <w:rPr>
                <w:rFonts w:ascii="Times New Roman" w:hAnsi="Times New Roman" w:cs="Times New Roman"/>
                <w:b/>
                <w:color w:val="auto"/>
                <w:sz w:val="21"/>
              </w:rPr>
              <w:t>水深</w:t>
            </w:r>
            <w:r>
              <w:rPr>
                <w:rFonts w:hint="eastAsia" w:ascii="Times New Roman" w:hAnsi="Times New Roman" w:cs="Times New Roman"/>
                <w:b/>
                <w:color w:val="auto"/>
                <w:sz w:val="21"/>
                <w:lang w:eastAsia="zh-CN"/>
              </w:rPr>
              <w:t>H</w:t>
            </w:r>
          </w:p>
        </w:tc>
        <w:tc>
          <w:tcPr>
            <w:tcW w:w="2734" w:type="pct"/>
            <w:vAlign w:val="center"/>
          </w:tcPr>
          <w:p w14:paraId="6AEA6DA3">
            <w:pPr>
              <w:jc w:val="center"/>
              <w:rPr>
                <w:rFonts w:ascii="Times New Roman" w:hAnsi="Times New Roman" w:cs="Times New Roman"/>
                <w:color w:val="auto"/>
                <w:sz w:val="21"/>
                <w:lang w:eastAsia="zh-CN"/>
              </w:rPr>
            </w:pPr>
          </w:p>
        </w:tc>
      </w:tr>
      <w:tr w14:paraId="5A20C52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3" w:hRule="atLeast"/>
          <w:jc w:val="center"/>
        </w:trPr>
        <w:tc>
          <w:tcPr>
            <w:tcW w:w="2266" w:type="pct"/>
            <w:vAlign w:val="center"/>
          </w:tcPr>
          <w:p w14:paraId="5886C101">
            <w:pPr>
              <w:jc w:val="center"/>
              <w:rPr>
                <w:rFonts w:ascii="Times New Roman" w:hAnsi="Times New Roman" w:cs="Times New Roman"/>
                <w:color w:val="auto"/>
                <w:sz w:val="21"/>
              </w:rPr>
            </w:pPr>
            <w:r>
              <w:rPr>
                <w:rFonts w:ascii="Times New Roman" w:hAnsi="Times New Roman" w:cs="Times New Roman"/>
                <w:b/>
                <w:color w:val="auto"/>
                <w:sz w:val="21"/>
                <w:lang w:eastAsia="zh-CN"/>
              </w:rPr>
              <w:t>平均</w:t>
            </w:r>
            <w:r>
              <w:rPr>
                <w:rFonts w:ascii="Times New Roman" w:hAnsi="Times New Roman" w:cs="Times New Roman"/>
                <w:b/>
                <w:color w:val="auto"/>
                <w:sz w:val="21"/>
              </w:rPr>
              <w:t>流速</w:t>
            </w:r>
            <w:r>
              <w:rPr>
                <w:rFonts w:hint="eastAsia" w:ascii="Times New Roman" w:hAnsi="Times New Roman" w:cs="Times New Roman"/>
                <w:b/>
                <w:color w:val="auto"/>
                <w:sz w:val="21"/>
                <w:lang w:eastAsia="zh-CN"/>
              </w:rPr>
              <w:t>u</w:t>
            </w:r>
          </w:p>
        </w:tc>
        <w:tc>
          <w:tcPr>
            <w:tcW w:w="2734" w:type="pct"/>
            <w:vAlign w:val="center"/>
          </w:tcPr>
          <w:p w14:paraId="44A71D6D">
            <w:pPr>
              <w:jc w:val="center"/>
              <w:rPr>
                <w:rFonts w:ascii="Times New Roman" w:hAnsi="Times New Roman" w:cs="Times New Roman"/>
                <w:color w:val="auto"/>
                <w:sz w:val="21"/>
                <w:lang w:eastAsia="zh-CN"/>
              </w:rPr>
            </w:pPr>
          </w:p>
        </w:tc>
      </w:tr>
      <w:tr w14:paraId="1DE5984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3" w:hRule="atLeast"/>
          <w:jc w:val="center"/>
        </w:trPr>
        <w:tc>
          <w:tcPr>
            <w:tcW w:w="2266" w:type="pct"/>
            <w:vAlign w:val="center"/>
          </w:tcPr>
          <w:p w14:paraId="36391C60">
            <w:pPr>
              <w:jc w:val="center"/>
              <w:rPr>
                <w:rFonts w:ascii="Times New Roman" w:hAnsi="Times New Roman" w:cs="Times New Roman"/>
                <w:color w:val="auto"/>
                <w:sz w:val="21"/>
              </w:rPr>
            </w:pPr>
            <w:r>
              <w:rPr>
                <w:rFonts w:hint="eastAsia" w:ascii="Times New Roman" w:hAnsi="Times New Roman" w:cs="Times New Roman"/>
                <w:b/>
                <w:color w:val="auto"/>
                <w:sz w:val="21"/>
                <w:lang w:eastAsia="zh-CN"/>
              </w:rPr>
              <w:t>水力坡降I</w:t>
            </w:r>
            <w:r>
              <w:rPr>
                <w:rFonts w:ascii="Times New Roman" w:hAnsi="Times New Roman" w:cs="Times New Roman"/>
                <w:color w:val="auto"/>
                <w:sz w:val="21"/>
              </w:rPr>
              <w:t xml:space="preserve"> </w:t>
            </w:r>
          </w:p>
        </w:tc>
        <w:tc>
          <w:tcPr>
            <w:tcW w:w="2734" w:type="pct"/>
            <w:vAlign w:val="center"/>
          </w:tcPr>
          <w:p w14:paraId="48025E39">
            <w:pPr>
              <w:jc w:val="center"/>
              <w:rPr>
                <w:rFonts w:ascii="Times New Roman" w:hAnsi="Times New Roman" w:cs="Times New Roman"/>
                <w:color w:val="EE0000"/>
                <w:sz w:val="21"/>
                <w:lang w:eastAsia="zh-CN"/>
              </w:rPr>
            </w:pPr>
          </w:p>
        </w:tc>
      </w:tr>
    </w:tbl>
    <w:p w14:paraId="62E8856C">
      <w:pPr>
        <w:pStyle w:val="84"/>
        <w:numPr>
          <w:ilvl w:val="3"/>
          <w:numId w:val="14"/>
        </w:numPr>
        <w:spacing w:line="360" w:lineRule="auto"/>
        <w:ind w:firstLineChars="0"/>
        <w:jc w:val="both"/>
        <w:outlineLvl w:val="3"/>
        <w:rPr>
          <w:rFonts w:ascii="Times New Roman" w:hAnsi="Times New Roman" w:cs="Times New Roman"/>
          <w:b/>
          <w:bCs/>
          <w:color w:val="auto"/>
          <w:szCs w:val="24"/>
          <w:lang w:eastAsia="zh-CN"/>
        </w:rPr>
      </w:pPr>
      <w:r>
        <w:rPr>
          <w:rFonts w:hint="eastAsia" w:ascii="Times New Roman" w:hAnsi="Times New Roman" w:cs="Times New Roman"/>
          <w:b/>
          <w:bCs/>
          <w:snapToGrid/>
          <w:color w:val="auto"/>
          <w:spacing w:val="-2"/>
          <w:szCs w:val="24"/>
          <w:lang w:eastAsia="zh-CN"/>
        </w:rPr>
        <w:t>预测模型</w:t>
      </w:r>
    </w:p>
    <w:p w14:paraId="3A990F09">
      <w:pPr>
        <w:widowControl w:val="0"/>
        <w:spacing w:line="360" w:lineRule="auto"/>
        <w:ind w:firstLine="480" w:firstLineChars="200"/>
        <w:jc w:val="both"/>
        <w:rPr>
          <w:rFonts w:ascii="Times New Roman" w:hAnsi="Times New Roman" w:cs="Times New Roman"/>
          <w:szCs w:val="24"/>
          <w:lang w:eastAsia="zh-CN"/>
        </w:rPr>
      </w:pPr>
      <w:r>
        <w:rPr>
          <w:rFonts w:hint="eastAsia" w:ascii="Times New Roman" w:hAnsi="Times New Roman" w:cs="Times New Roman"/>
          <w:szCs w:val="24"/>
          <w:lang w:eastAsia="zh-CN"/>
        </w:rPr>
        <w:t>根据淮河水域特征</w:t>
      </w:r>
      <w:r>
        <w:rPr>
          <w:rFonts w:ascii="Times New Roman" w:hAnsi="Times New Roman" w:cs="Times New Roman"/>
          <w:szCs w:val="24"/>
          <w:lang w:eastAsia="zh-CN"/>
        </w:rPr>
        <w:t>，本项目对</w:t>
      </w:r>
      <w:r>
        <w:rPr>
          <w:rFonts w:hint="eastAsia" w:ascii="Times New Roman" w:hAnsi="Times New Roman" w:cs="Times New Roman"/>
          <w:szCs w:val="24"/>
          <w:lang w:eastAsia="zh-CN"/>
        </w:rPr>
        <w:t>淮河</w:t>
      </w:r>
      <w:r>
        <w:rPr>
          <w:rFonts w:ascii="Times New Roman" w:hAnsi="Times New Roman" w:cs="Times New Roman"/>
          <w:szCs w:val="24"/>
          <w:lang w:eastAsia="zh-CN"/>
        </w:rPr>
        <w:t>段均选用平面二维连续稳定排放模型进行水质混合过程预测</w:t>
      </w:r>
      <w:r>
        <w:rPr>
          <w:rFonts w:hint="eastAsia" w:ascii="Times New Roman" w:hAnsi="Times New Roman" w:cs="Times New Roman"/>
          <w:szCs w:val="24"/>
          <w:lang w:eastAsia="zh-CN"/>
        </w:rPr>
        <w:t>，不考虑岸边反射影响的宽浅型平直恒定均匀河流，岸边点源稳定排放</w:t>
      </w:r>
      <w:r>
        <w:rPr>
          <w:rFonts w:ascii="Times New Roman" w:hAnsi="Times New Roman" w:cs="Times New Roman"/>
          <w:szCs w:val="24"/>
          <w:lang w:eastAsia="zh-CN"/>
        </w:rPr>
        <w:t>。</w:t>
      </w:r>
    </w:p>
    <w:p w14:paraId="0D537234">
      <w:pPr>
        <w:widowControl w:val="0"/>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szCs w:val="24"/>
          <w:lang w:eastAsia="zh-CN"/>
        </w:rPr>
        <w:t>（1）</w:t>
      </w:r>
      <w:r>
        <w:rPr>
          <w:rFonts w:hint="eastAsia" w:ascii="Times New Roman" w:hAnsi="Times New Roman" w:cs="Times New Roman"/>
          <w:color w:val="auto"/>
          <w:lang w:eastAsia="zh-CN"/>
        </w:rPr>
        <w:t>混合过程段长度估算公式</w:t>
      </w:r>
    </w:p>
    <w:p w14:paraId="52BE3926">
      <w:pPr>
        <w:widowControl w:val="0"/>
        <w:spacing w:line="360" w:lineRule="auto"/>
        <w:jc w:val="center"/>
        <w:rPr>
          <w:rFonts w:ascii="Times New Roman" w:hAnsi="Times New Roman" w:cs="Times New Roman"/>
          <w:color w:val="EE0000"/>
          <w:lang w:eastAsia="zh-CN"/>
        </w:rPr>
      </w:pPr>
      <w:r>
        <w:rPr>
          <w:snapToGrid/>
        </w:rPr>
        <w:drawing>
          <wp:inline distT="0" distB="0" distL="0" distR="0">
            <wp:extent cx="4083685" cy="805815"/>
            <wp:effectExtent l="0" t="0" r="0" b="0"/>
            <wp:docPr id="15599321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932184" name="图片 1"/>
                    <pic:cNvPicPr>
                      <a:picLocks noChangeAspect="1"/>
                    </pic:cNvPicPr>
                  </pic:nvPicPr>
                  <pic:blipFill>
                    <a:blip r:embed="rId118"/>
                    <a:stretch>
                      <a:fillRect/>
                    </a:stretch>
                  </pic:blipFill>
                  <pic:spPr>
                    <a:xfrm>
                      <a:off x="0" y="0"/>
                      <a:ext cx="4112637" cy="811894"/>
                    </a:xfrm>
                    <a:prstGeom prst="rect">
                      <a:avLst/>
                    </a:prstGeom>
                  </pic:spPr>
                </pic:pic>
              </a:graphicData>
            </a:graphic>
          </wp:inline>
        </w:drawing>
      </w:r>
    </w:p>
    <w:p w14:paraId="25152DE3">
      <w:pPr>
        <w:spacing w:line="360" w:lineRule="auto"/>
        <w:ind w:firstLine="480" w:firstLineChars="200"/>
        <w:rPr>
          <w:rFonts w:ascii="Times New Roman" w:hAnsi="Times New Roman" w:cs="Times New Roman"/>
          <w:kern w:val="2"/>
          <w:szCs w:val="24"/>
          <w:lang w:eastAsia="zh-CN"/>
        </w:rPr>
      </w:pPr>
      <w:r>
        <w:rPr>
          <w:rFonts w:ascii="Times New Roman" w:hAnsi="Times New Roman" w:cs="Times New Roman"/>
          <w:kern w:val="2"/>
          <w:szCs w:val="24"/>
          <w:lang w:eastAsia="zh-CN"/>
        </w:rPr>
        <w:t>式中：L</w:t>
      </w:r>
      <w:r>
        <w:rPr>
          <w:rFonts w:ascii="Times New Roman" w:hAnsi="Times New Roman" w:cs="Times New Roman"/>
          <w:kern w:val="2"/>
          <w:szCs w:val="24"/>
          <w:vertAlign w:val="subscript"/>
          <w:lang w:eastAsia="zh-CN"/>
        </w:rPr>
        <w:t>m</w:t>
      </w:r>
      <w:r>
        <w:rPr>
          <w:rFonts w:hint="eastAsia" w:ascii="Times New Roman" w:hAnsi="Times New Roman" w:cs="Times New Roman"/>
          <w:kern w:val="2"/>
          <w:szCs w:val="24"/>
          <w:lang w:eastAsia="zh-CN"/>
        </w:rPr>
        <w:t>——</w:t>
      </w:r>
      <w:r>
        <w:rPr>
          <w:rFonts w:ascii="Times New Roman" w:hAnsi="Times New Roman" w:cs="Times New Roman"/>
          <w:kern w:val="2"/>
          <w:szCs w:val="24"/>
          <w:lang w:eastAsia="zh-CN"/>
        </w:rPr>
        <w:t>混合段长度，m；</w:t>
      </w:r>
    </w:p>
    <w:p w14:paraId="7C3FACC7">
      <w:pPr>
        <w:spacing w:line="360" w:lineRule="auto"/>
        <w:ind w:firstLine="1200" w:firstLineChars="500"/>
        <w:rPr>
          <w:rFonts w:ascii="Times New Roman" w:hAnsi="Times New Roman" w:cs="Times New Roman"/>
          <w:kern w:val="2"/>
          <w:szCs w:val="24"/>
          <w:lang w:eastAsia="zh-CN"/>
        </w:rPr>
      </w:pPr>
      <w:r>
        <w:rPr>
          <w:rFonts w:ascii="Times New Roman" w:hAnsi="Times New Roman" w:cs="Times New Roman"/>
          <w:kern w:val="2"/>
          <w:szCs w:val="24"/>
          <w:lang w:eastAsia="zh-CN"/>
        </w:rPr>
        <w:t>B</w:t>
      </w:r>
      <w:r>
        <w:rPr>
          <w:rFonts w:hint="eastAsia" w:ascii="Times New Roman" w:hAnsi="Times New Roman" w:cs="Times New Roman"/>
          <w:kern w:val="2"/>
          <w:szCs w:val="24"/>
          <w:lang w:eastAsia="zh-CN"/>
        </w:rPr>
        <w:t>——</w:t>
      </w:r>
      <w:r>
        <w:rPr>
          <w:rFonts w:ascii="Times New Roman" w:hAnsi="Times New Roman" w:cs="Times New Roman"/>
          <w:kern w:val="2"/>
          <w:szCs w:val="24"/>
          <w:lang w:eastAsia="zh-CN"/>
        </w:rPr>
        <w:t>水面宽度，m；</w:t>
      </w:r>
    </w:p>
    <w:p w14:paraId="31D44CFF">
      <w:pPr>
        <w:spacing w:line="360" w:lineRule="auto"/>
        <w:ind w:firstLine="1200" w:firstLineChars="500"/>
        <w:rPr>
          <w:rFonts w:ascii="Times New Roman" w:hAnsi="Times New Roman" w:cs="Times New Roman"/>
          <w:kern w:val="2"/>
          <w:szCs w:val="24"/>
          <w:lang w:eastAsia="zh-CN"/>
        </w:rPr>
      </w:pPr>
      <w:r>
        <w:rPr>
          <w:rFonts w:hint="eastAsia" w:ascii="Times New Roman" w:hAnsi="Times New Roman" w:cs="Times New Roman"/>
          <w:kern w:val="2"/>
          <w:szCs w:val="24"/>
          <w:lang w:eastAsia="zh-CN"/>
        </w:rPr>
        <w:t>a——</w:t>
      </w:r>
      <w:r>
        <w:rPr>
          <w:rFonts w:ascii="Times New Roman" w:hAnsi="Times New Roman" w:cs="Times New Roman"/>
          <w:kern w:val="2"/>
          <w:szCs w:val="24"/>
          <w:lang w:eastAsia="zh-CN"/>
        </w:rPr>
        <w:t>排放口到岸边的距离，m；</w:t>
      </w:r>
    </w:p>
    <w:p w14:paraId="67837028">
      <w:pPr>
        <w:spacing w:line="360" w:lineRule="auto"/>
        <w:ind w:firstLine="1200" w:firstLineChars="500"/>
        <w:rPr>
          <w:rFonts w:ascii="Times New Roman" w:hAnsi="Times New Roman" w:cs="Times New Roman"/>
          <w:kern w:val="2"/>
          <w:szCs w:val="24"/>
          <w:lang w:eastAsia="zh-CN"/>
        </w:rPr>
      </w:pPr>
      <w:r>
        <w:rPr>
          <w:rFonts w:ascii="Times New Roman" w:hAnsi="Times New Roman" w:cs="Times New Roman"/>
          <w:kern w:val="2"/>
          <w:szCs w:val="24"/>
          <w:lang w:eastAsia="zh-CN"/>
        </w:rPr>
        <w:t>u</w:t>
      </w:r>
      <w:r>
        <w:rPr>
          <w:rFonts w:hint="eastAsia" w:ascii="Times New Roman" w:hAnsi="Times New Roman" w:cs="Times New Roman"/>
          <w:kern w:val="2"/>
          <w:szCs w:val="24"/>
          <w:lang w:eastAsia="zh-CN"/>
        </w:rPr>
        <w:t>——</w:t>
      </w:r>
      <w:r>
        <w:rPr>
          <w:rFonts w:ascii="Times New Roman" w:hAnsi="Times New Roman" w:cs="Times New Roman"/>
          <w:kern w:val="2"/>
          <w:szCs w:val="24"/>
          <w:lang w:eastAsia="zh-CN"/>
        </w:rPr>
        <w:t>断面流速，m/s</w:t>
      </w:r>
      <w:r>
        <w:rPr>
          <w:rFonts w:hint="eastAsia" w:ascii="Times New Roman" w:hAnsi="Times New Roman" w:cs="Times New Roman"/>
          <w:kern w:val="2"/>
          <w:szCs w:val="24"/>
          <w:lang w:eastAsia="zh-CN"/>
        </w:rPr>
        <w:t>；</w:t>
      </w:r>
    </w:p>
    <w:p w14:paraId="389AB279">
      <w:pPr>
        <w:spacing w:line="360" w:lineRule="auto"/>
        <w:ind w:firstLine="1200" w:firstLineChars="500"/>
        <w:rPr>
          <w:rFonts w:ascii="Times New Roman" w:hAnsi="Times New Roman" w:cs="Times New Roman"/>
          <w:kern w:val="2"/>
          <w:szCs w:val="24"/>
          <w:lang w:eastAsia="zh-CN"/>
        </w:rPr>
      </w:pPr>
      <w:r>
        <w:rPr>
          <w:rFonts w:hint="eastAsia" w:ascii="Times New Roman" w:hAnsi="Times New Roman" w:cs="Times New Roman"/>
          <w:kern w:val="2"/>
          <w:szCs w:val="24"/>
          <w:lang w:eastAsia="zh-CN"/>
        </w:rPr>
        <w:t>Ey——污染物横向扩散系数，m</w:t>
      </w:r>
      <w:r>
        <w:rPr>
          <w:rFonts w:hint="eastAsia" w:ascii="Times New Roman" w:hAnsi="Times New Roman" w:cs="Times New Roman"/>
          <w:kern w:val="2"/>
          <w:szCs w:val="24"/>
          <w:vertAlign w:val="superscript"/>
          <w:lang w:eastAsia="zh-CN"/>
        </w:rPr>
        <w:t>2</w:t>
      </w:r>
      <w:r>
        <w:rPr>
          <w:rFonts w:hint="eastAsia" w:ascii="Times New Roman" w:hAnsi="Times New Roman" w:cs="Times New Roman"/>
          <w:kern w:val="2"/>
          <w:szCs w:val="24"/>
          <w:lang w:eastAsia="zh-CN"/>
        </w:rPr>
        <w:t>/s</w:t>
      </w:r>
      <w:r>
        <w:rPr>
          <w:rFonts w:ascii="Times New Roman" w:hAnsi="Times New Roman" w:cs="Times New Roman"/>
          <w:kern w:val="2"/>
          <w:szCs w:val="24"/>
          <w:lang w:eastAsia="zh-CN"/>
        </w:rPr>
        <w:t>。</w:t>
      </w:r>
    </w:p>
    <w:p w14:paraId="23831DAB">
      <w:pPr>
        <w:widowControl w:val="0"/>
        <w:spacing w:line="360" w:lineRule="auto"/>
        <w:jc w:val="center"/>
        <w:rPr>
          <w:rFonts w:ascii="Times New Roman" w:hAnsi="Times New Roman" w:cs="Times New Roman"/>
          <w:color w:val="auto"/>
          <w:vertAlign w:val="superscript"/>
          <w:lang w:eastAsia="zh-CN"/>
        </w:rPr>
      </w:pPr>
      <w:r>
        <w:rPr>
          <w:rFonts w:ascii="Times New Roman" w:hAnsi="Times New Roman" w:cs="Times New Roman"/>
          <w:color w:val="auto"/>
          <w:lang w:eastAsia="zh-CN"/>
        </w:rPr>
        <w:t>其中，</w:t>
      </w:r>
      <m:oMath>
        <m:sSub>
          <m:sSubPr>
            <m:ctrlPr>
              <w:rPr>
                <w:rFonts w:ascii="Cambria Math" w:hAnsi="Cambria Math" w:eastAsia="Cambria Math" w:cs="Times New Roman"/>
                <w:i/>
                <w:color w:val="auto"/>
                <w:lang w:eastAsia="zh-CN"/>
              </w:rPr>
            </m:ctrlPr>
          </m:sSubPr>
          <m:e>
            <m:r>
              <m:rPr/>
              <w:rPr>
                <w:rFonts w:ascii="Cambria Math" w:hAnsi="Cambria Math" w:cs="Times New Roman" w:eastAsiaTheme="minorEastAsia"/>
                <w:color w:val="auto"/>
                <w:lang w:eastAsia="zh-CN"/>
              </w:rPr>
              <m:t>E</m:t>
            </m:r>
            <m:ctrlPr>
              <w:rPr>
                <w:rFonts w:ascii="Cambria Math" w:hAnsi="Cambria Math" w:eastAsia="Cambria Math" w:cs="Times New Roman"/>
                <w:i/>
                <w:color w:val="auto"/>
                <w:lang w:eastAsia="zh-CN"/>
              </w:rPr>
            </m:ctrlPr>
          </m:e>
          <m:sub>
            <m:r>
              <m:rPr/>
              <w:rPr>
                <w:rFonts w:ascii="Cambria Math" w:hAnsi="Cambria Math" w:cs="Times New Roman" w:eastAsiaTheme="minorEastAsia"/>
                <w:color w:val="auto"/>
                <w:lang w:eastAsia="zh-CN"/>
              </w:rPr>
              <m:t>y</m:t>
            </m:r>
            <m:ctrlPr>
              <w:rPr>
                <w:rFonts w:ascii="Cambria Math" w:hAnsi="Cambria Math" w:eastAsia="Cambria Math" w:cs="Times New Roman"/>
                <w:i/>
                <w:color w:val="auto"/>
                <w:lang w:eastAsia="zh-CN"/>
              </w:rPr>
            </m:ctrlPr>
          </m:sub>
        </m:sSub>
        <m:r>
          <m:rPr>
            <m:sty m:val="p"/>
          </m:rPr>
          <w:rPr>
            <w:rFonts w:ascii="Cambria Math" w:hAnsi="Cambria Math" w:eastAsia="Cambria Math" w:cs="Times New Roman"/>
            <w:color w:val="auto"/>
            <w:lang w:eastAsia="zh-CN"/>
          </w:rPr>
          <m:t>=</m:t>
        </m:r>
        <m:d>
          <m:dPr>
            <m:ctrlPr>
              <w:rPr>
                <w:rFonts w:ascii="Cambria Math" w:hAnsi="Cambria Math" w:eastAsia="Cambria Math" w:cs="Times New Roman"/>
                <w:color w:val="auto"/>
                <w:lang w:eastAsia="zh-CN"/>
              </w:rPr>
            </m:ctrlPr>
          </m:dPr>
          <m:e>
            <m:r>
              <m:rPr/>
              <w:rPr>
                <w:rFonts w:ascii="Cambria Math" w:hAnsi="Cambria Math" w:eastAsia="Cambria Math" w:cs="Times New Roman"/>
                <w:color w:val="auto"/>
                <w:lang w:eastAsia="zh-CN"/>
              </w:rPr>
              <m:t>0</m:t>
            </m:r>
            <m:r>
              <m:rPr/>
              <w:rPr>
                <w:rFonts w:ascii="Cambria Math" w:hAnsi="Cambria Math" w:cs="Times New Roman" w:eastAsiaTheme="minorEastAsia"/>
                <w:color w:val="auto"/>
                <w:lang w:eastAsia="zh-CN"/>
              </w:rPr>
              <m:t>.058H+0.0065B</m:t>
            </m:r>
            <m:ctrlPr>
              <w:rPr>
                <w:rFonts w:ascii="Cambria Math" w:hAnsi="Cambria Math" w:eastAsia="Cambria Math" w:cs="Times New Roman"/>
                <w:color w:val="auto"/>
                <w:lang w:eastAsia="zh-CN"/>
              </w:rPr>
            </m:ctrlPr>
          </m:e>
        </m:d>
        <m:r>
          <m:rPr/>
          <w:rPr>
            <w:rFonts w:ascii="Cambria Math" w:hAnsi="Cambria Math" w:eastAsia="Cambria Math" w:cs="Times New Roman"/>
            <w:color w:val="auto"/>
            <w:lang w:eastAsia="zh-CN"/>
          </w:rPr>
          <m:t>×</m:t>
        </m:r>
        <m:sSup>
          <m:sSupPr>
            <m:ctrlPr>
              <w:rPr>
                <w:rFonts w:ascii="Cambria Math" w:hAnsi="Cambria Math" w:eastAsia="Cambria Math" w:cs="Times New Roman"/>
                <w:color w:val="auto"/>
                <w:lang w:eastAsia="zh-CN"/>
              </w:rPr>
            </m:ctrlPr>
          </m:sSupPr>
          <m:e>
            <m:d>
              <m:dPr>
                <m:ctrlPr>
                  <w:rPr>
                    <w:rFonts w:ascii="Cambria Math" w:hAnsi="Cambria Math" w:eastAsia="Cambria Math" w:cs="Times New Roman"/>
                    <w:color w:val="auto"/>
                    <w:lang w:eastAsia="zh-CN"/>
                  </w:rPr>
                </m:ctrlPr>
              </m:dPr>
              <m:e>
                <m:r>
                  <m:rPr/>
                  <w:rPr>
                    <w:rFonts w:ascii="Cambria Math" w:hAnsi="Cambria Math" w:cs="Times New Roman" w:eastAsiaTheme="minorEastAsia"/>
                    <w:color w:val="auto"/>
                    <w:lang w:eastAsia="zh-CN"/>
                  </w:rPr>
                  <m:t>gHI</m:t>
                </m:r>
                <m:ctrlPr>
                  <w:rPr>
                    <w:rFonts w:ascii="Cambria Math" w:hAnsi="Cambria Math" w:eastAsia="Cambria Math" w:cs="Times New Roman"/>
                    <w:color w:val="auto"/>
                    <w:lang w:eastAsia="zh-CN"/>
                  </w:rPr>
                </m:ctrlPr>
              </m:e>
            </m:d>
            <m:ctrlPr>
              <w:rPr>
                <w:rFonts w:ascii="Cambria Math" w:hAnsi="Cambria Math" w:eastAsia="Cambria Math" w:cs="Times New Roman"/>
                <w:color w:val="auto"/>
                <w:lang w:eastAsia="zh-CN"/>
              </w:rPr>
            </m:ctrlPr>
          </m:e>
          <m:sup>
            <m:r>
              <m:rPr/>
              <w:rPr>
                <w:rFonts w:ascii="Cambria Math" w:hAnsi="Cambria Math" w:eastAsia="Cambria Math" w:cs="Times New Roman"/>
                <w:color w:val="auto"/>
                <w:lang w:eastAsia="zh-CN"/>
              </w:rPr>
              <m:t>1</m:t>
            </m:r>
            <m:r>
              <m:rPr/>
              <w:rPr>
                <w:rFonts w:ascii="Cambria Math" w:hAnsi="Cambria Math" w:cs="Times New Roman" w:eastAsiaTheme="minorEastAsia"/>
                <w:color w:val="auto"/>
                <w:lang w:eastAsia="zh-CN"/>
              </w:rPr>
              <m:t>/2</m:t>
            </m:r>
            <m:ctrlPr>
              <w:rPr>
                <w:rFonts w:ascii="Cambria Math" w:hAnsi="Cambria Math" w:eastAsia="Cambria Math" w:cs="Times New Roman"/>
                <w:color w:val="auto"/>
                <w:lang w:eastAsia="zh-CN"/>
              </w:rPr>
            </m:ctrlPr>
          </m:sup>
        </m:sSup>
      </m:oMath>
    </w:p>
    <w:p w14:paraId="7BB0D4BF">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kern w:val="2"/>
          <w:szCs w:val="24"/>
          <w:lang w:eastAsia="zh-CN"/>
        </w:rPr>
        <w:t>根据计算，污染物横向扩散系数Ey=（0.058×6.64+0.0065×242.8）×（9.8×6.64×0.000029）</w:t>
      </w:r>
      <w:r>
        <w:rPr>
          <w:rFonts w:hint="eastAsia" w:ascii="Times New Roman" w:hAnsi="Times New Roman" w:cs="Times New Roman"/>
          <w:kern w:val="2"/>
          <w:szCs w:val="24"/>
          <w:vertAlign w:val="superscript"/>
          <w:lang w:eastAsia="zh-CN"/>
        </w:rPr>
        <w:t>1/2</w:t>
      </w:r>
      <w:r>
        <w:rPr>
          <w:rFonts w:hint="eastAsia" w:ascii="Times New Roman" w:hAnsi="Times New Roman" w:cs="Times New Roman"/>
          <w:kern w:val="2"/>
          <w:szCs w:val="24"/>
          <w:lang w:eastAsia="zh-CN"/>
        </w:rPr>
        <w:t>=</w:t>
      </w:r>
      <w:r>
        <w:rPr>
          <w:rFonts w:hint="eastAsia" w:ascii="Times New Roman" w:hAnsi="Times New Roman" w:cs="Times New Roman"/>
          <w:color w:val="auto"/>
          <w:szCs w:val="24"/>
          <w:lang w:eastAsia="zh-CN"/>
        </w:rPr>
        <w:t>0.085m</w:t>
      </w:r>
      <w:r>
        <w:rPr>
          <w:rFonts w:hint="eastAsia" w:ascii="Times New Roman" w:hAnsi="Times New Roman" w:cs="Times New Roman"/>
          <w:color w:val="auto"/>
          <w:szCs w:val="24"/>
          <w:vertAlign w:val="superscript"/>
          <w:lang w:eastAsia="zh-CN"/>
        </w:rPr>
        <w:t>2</w:t>
      </w:r>
      <w:r>
        <w:rPr>
          <w:rFonts w:hint="eastAsia" w:ascii="Times New Roman" w:hAnsi="Times New Roman" w:cs="Times New Roman"/>
          <w:color w:val="auto"/>
          <w:szCs w:val="24"/>
          <w:lang w:eastAsia="zh-CN"/>
        </w:rPr>
        <w:t>/s，</w:t>
      </w:r>
      <w:r>
        <w:rPr>
          <w:rFonts w:ascii="Times New Roman" w:hAnsi="Times New Roman" w:cs="Times New Roman"/>
          <w:kern w:val="2"/>
          <w:szCs w:val="24"/>
          <w:lang w:eastAsia="zh-CN"/>
        </w:rPr>
        <w:t>混合段长度L</w:t>
      </w:r>
      <w:r>
        <w:rPr>
          <w:rFonts w:ascii="Times New Roman" w:hAnsi="Times New Roman" w:cs="Times New Roman"/>
          <w:kern w:val="2"/>
          <w:szCs w:val="24"/>
          <w:vertAlign w:val="subscript"/>
          <w:lang w:eastAsia="zh-CN"/>
        </w:rPr>
        <w:t>m</w:t>
      </w:r>
      <w:r>
        <w:rPr>
          <w:rFonts w:hint="eastAsia" w:ascii="Times New Roman" w:hAnsi="Times New Roman" w:cs="Times New Roman"/>
          <w:kern w:val="2"/>
          <w:szCs w:val="24"/>
          <w:lang w:eastAsia="zh-CN"/>
        </w:rPr>
        <w:t>=18351m。</w:t>
      </w:r>
    </w:p>
    <w:p w14:paraId="57A449B0">
      <w:pPr>
        <w:widowControl w:val="0"/>
        <w:spacing w:line="360" w:lineRule="auto"/>
        <w:ind w:left="480"/>
        <w:jc w:val="both"/>
        <w:rPr>
          <w:rFonts w:ascii="Times New Roman" w:hAnsi="Times New Roman" w:cs="Times New Roman"/>
          <w:color w:val="auto"/>
          <w:lang w:eastAsia="zh-CN"/>
        </w:rPr>
      </w:pPr>
      <w:r>
        <w:rPr>
          <w:rFonts w:hint="eastAsia" w:ascii="Times New Roman" w:hAnsi="Times New Roman" w:cs="Times New Roman"/>
          <w:color w:val="auto"/>
          <w:lang w:eastAsia="zh-CN"/>
        </w:rPr>
        <w:t>（2）平面二维数学模型</w:t>
      </w:r>
    </w:p>
    <w:p w14:paraId="20362132">
      <w:pPr>
        <w:widowControl w:val="0"/>
        <w:spacing w:line="360" w:lineRule="auto"/>
        <w:jc w:val="center"/>
        <w:rPr>
          <w:rFonts w:ascii="Times New Roman" w:hAnsi="Times New Roman" w:cs="Times New Roman"/>
          <w:color w:val="EE0000"/>
          <w:lang w:eastAsia="zh-CN"/>
        </w:rPr>
      </w:pPr>
      <w:r>
        <w:rPr>
          <w:snapToGrid/>
        </w:rPr>
        <w:drawing>
          <wp:inline distT="0" distB="0" distL="0" distR="0">
            <wp:extent cx="4564380" cy="868680"/>
            <wp:effectExtent l="0" t="0" r="7620" b="7620"/>
            <wp:docPr id="20285020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502057" name="图片 1"/>
                    <pic:cNvPicPr>
                      <a:picLocks noChangeAspect="1"/>
                    </pic:cNvPicPr>
                  </pic:nvPicPr>
                  <pic:blipFill>
                    <a:blip r:embed="rId119"/>
                    <a:stretch>
                      <a:fillRect/>
                    </a:stretch>
                  </pic:blipFill>
                  <pic:spPr>
                    <a:xfrm>
                      <a:off x="0" y="0"/>
                      <a:ext cx="4607294" cy="876927"/>
                    </a:xfrm>
                    <a:prstGeom prst="rect">
                      <a:avLst/>
                    </a:prstGeom>
                  </pic:spPr>
                </pic:pic>
              </a:graphicData>
            </a:graphic>
          </wp:inline>
        </w:drawing>
      </w:r>
    </w:p>
    <w:p w14:paraId="51EE6523">
      <w:pPr>
        <w:spacing w:line="360" w:lineRule="auto"/>
        <w:ind w:firstLine="480" w:firstLineChars="200"/>
        <w:rPr>
          <w:rFonts w:ascii="Times New Roman" w:hAnsi="Times New Roman" w:cs="Times New Roman"/>
          <w:kern w:val="2"/>
          <w:szCs w:val="24"/>
          <w:lang w:eastAsia="zh-CN"/>
        </w:rPr>
      </w:pPr>
      <w:r>
        <w:rPr>
          <w:rFonts w:ascii="Times New Roman" w:hAnsi="Times New Roman" w:cs="Times New Roman"/>
          <w:kern w:val="2"/>
          <w:szCs w:val="24"/>
          <w:lang w:eastAsia="zh-CN"/>
        </w:rPr>
        <w:t>式中：</w:t>
      </w:r>
      <w:r>
        <w:rPr>
          <w:rFonts w:hint="eastAsia" w:ascii="Times New Roman" w:hAnsi="Times New Roman" w:cs="Times New Roman"/>
          <w:kern w:val="2"/>
          <w:szCs w:val="24"/>
          <w:lang w:eastAsia="zh-CN"/>
        </w:rPr>
        <w:t>C（x，y）——纵向距离x、横向距离y点的污染物浓度</w:t>
      </w:r>
      <w:r>
        <w:rPr>
          <w:rFonts w:ascii="Times New Roman" w:hAnsi="Times New Roman" w:cs="Times New Roman"/>
          <w:kern w:val="2"/>
          <w:szCs w:val="24"/>
          <w:lang w:eastAsia="zh-CN"/>
        </w:rPr>
        <w:t>，m</w:t>
      </w:r>
      <w:r>
        <w:rPr>
          <w:rFonts w:hint="eastAsia" w:ascii="Times New Roman" w:hAnsi="Times New Roman" w:cs="Times New Roman"/>
          <w:kern w:val="2"/>
          <w:szCs w:val="24"/>
          <w:lang w:eastAsia="zh-CN"/>
        </w:rPr>
        <w:t>g/L</w:t>
      </w:r>
      <w:r>
        <w:rPr>
          <w:rFonts w:ascii="Times New Roman" w:hAnsi="Times New Roman" w:cs="Times New Roman"/>
          <w:kern w:val="2"/>
          <w:szCs w:val="24"/>
          <w:lang w:eastAsia="zh-CN"/>
        </w:rPr>
        <w:t>；</w:t>
      </w:r>
    </w:p>
    <w:p w14:paraId="71614B79">
      <w:pPr>
        <w:spacing w:line="360" w:lineRule="auto"/>
        <w:ind w:firstLine="1200" w:firstLineChars="500"/>
        <w:jc w:val="both"/>
        <w:rPr>
          <w:rFonts w:ascii="Times New Roman" w:hAnsi="Times New Roman" w:cs="Times New Roman"/>
          <w:kern w:val="2"/>
          <w:szCs w:val="24"/>
          <w:lang w:eastAsia="zh-CN"/>
        </w:rPr>
      </w:pPr>
      <w:r>
        <w:rPr>
          <w:rFonts w:hint="eastAsia" w:ascii="Times New Roman" w:hAnsi="Times New Roman" w:cs="Times New Roman"/>
          <w:kern w:val="2"/>
          <w:szCs w:val="24"/>
          <w:lang w:eastAsia="zh-CN"/>
        </w:rPr>
        <w:t>Ch——河流上游污染物浓度，mg/L，；</w:t>
      </w:r>
    </w:p>
    <w:p w14:paraId="404E95FB">
      <w:pPr>
        <w:spacing w:line="360" w:lineRule="auto"/>
        <w:ind w:firstLine="1200" w:firstLineChars="500"/>
        <w:rPr>
          <w:rFonts w:ascii="Times New Roman" w:hAnsi="Times New Roman" w:cs="Times New Roman"/>
          <w:kern w:val="2"/>
          <w:szCs w:val="24"/>
          <w:lang w:eastAsia="zh-CN"/>
        </w:rPr>
      </w:pPr>
      <w:r>
        <w:rPr>
          <w:rFonts w:hint="eastAsia" w:ascii="Times New Roman" w:hAnsi="Times New Roman" w:cs="Times New Roman"/>
          <w:kern w:val="2"/>
          <w:szCs w:val="24"/>
          <w:lang w:eastAsia="zh-CN"/>
        </w:rPr>
        <w:t>m——污染物排放速率</w:t>
      </w:r>
      <w:r>
        <w:rPr>
          <w:rFonts w:ascii="Times New Roman" w:hAnsi="Times New Roman" w:cs="Times New Roman"/>
          <w:kern w:val="2"/>
          <w:szCs w:val="24"/>
          <w:lang w:eastAsia="zh-CN"/>
        </w:rPr>
        <w:t>，</w:t>
      </w:r>
      <w:r>
        <w:rPr>
          <w:rFonts w:hint="eastAsia" w:ascii="Times New Roman" w:hAnsi="Times New Roman" w:cs="Times New Roman"/>
          <w:kern w:val="2"/>
          <w:szCs w:val="24"/>
          <w:lang w:eastAsia="zh-CN"/>
        </w:rPr>
        <w:t>g/s；</w:t>
      </w:r>
    </w:p>
    <w:p w14:paraId="2D0AEE85">
      <w:pPr>
        <w:spacing w:line="360" w:lineRule="auto"/>
        <w:ind w:firstLine="1200" w:firstLineChars="500"/>
        <w:rPr>
          <w:rFonts w:ascii="Times New Roman" w:hAnsi="Times New Roman" w:cs="Times New Roman"/>
          <w:kern w:val="2"/>
          <w:szCs w:val="24"/>
          <w:lang w:eastAsia="zh-CN"/>
        </w:rPr>
      </w:pPr>
      <w:r>
        <w:rPr>
          <w:rFonts w:hint="eastAsia" w:ascii="Times New Roman" w:hAnsi="Times New Roman" w:cs="Times New Roman"/>
          <w:kern w:val="2"/>
          <w:szCs w:val="24"/>
          <w:lang w:eastAsia="zh-CN"/>
        </w:rPr>
        <w:t>Ey——污染物横向扩散系数，m</w:t>
      </w:r>
      <w:r>
        <w:rPr>
          <w:rFonts w:hint="eastAsia" w:ascii="Times New Roman" w:hAnsi="Times New Roman" w:cs="Times New Roman"/>
          <w:kern w:val="2"/>
          <w:szCs w:val="24"/>
          <w:vertAlign w:val="superscript"/>
          <w:lang w:eastAsia="zh-CN"/>
        </w:rPr>
        <w:t>2</w:t>
      </w:r>
      <w:r>
        <w:rPr>
          <w:rFonts w:hint="eastAsia" w:ascii="Times New Roman" w:hAnsi="Times New Roman" w:cs="Times New Roman"/>
          <w:kern w:val="2"/>
          <w:szCs w:val="24"/>
          <w:lang w:eastAsia="zh-CN"/>
        </w:rPr>
        <w:t>/s；</w:t>
      </w:r>
    </w:p>
    <w:p w14:paraId="53A95225">
      <w:pPr>
        <w:spacing w:line="360" w:lineRule="auto"/>
        <w:ind w:firstLine="1200" w:firstLineChars="500"/>
        <w:rPr>
          <w:rFonts w:ascii="Times New Roman" w:hAnsi="Times New Roman" w:cs="Times New Roman"/>
          <w:kern w:val="2"/>
          <w:szCs w:val="24"/>
          <w:lang w:eastAsia="zh-CN"/>
        </w:rPr>
      </w:pPr>
      <w:r>
        <w:rPr>
          <w:rFonts w:ascii="Times New Roman" w:hAnsi="Times New Roman" w:cs="Times New Roman"/>
          <w:kern w:val="2"/>
          <w:szCs w:val="24"/>
          <w:lang w:eastAsia="zh-CN"/>
        </w:rPr>
        <w:t>u</w:t>
      </w:r>
      <w:r>
        <w:rPr>
          <w:rFonts w:hint="eastAsia" w:ascii="Times New Roman" w:hAnsi="Times New Roman" w:cs="Times New Roman"/>
          <w:kern w:val="2"/>
          <w:szCs w:val="24"/>
          <w:lang w:eastAsia="zh-CN"/>
        </w:rPr>
        <w:t>——</w:t>
      </w:r>
      <w:r>
        <w:rPr>
          <w:rFonts w:ascii="Times New Roman" w:hAnsi="Times New Roman" w:cs="Times New Roman"/>
          <w:kern w:val="2"/>
          <w:szCs w:val="24"/>
          <w:lang w:eastAsia="zh-CN"/>
        </w:rPr>
        <w:t>断面流速，m/s</w:t>
      </w:r>
      <w:r>
        <w:rPr>
          <w:rFonts w:hint="eastAsia" w:ascii="Times New Roman" w:hAnsi="Times New Roman" w:cs="Times New Roman"/>
          <w:kern w:val="2"/>
          <w:szCs w:val="24"/>
          <w:lang w:eastAsia="zh-CN"/>
        </w:rPr>
        <w:t>；</w:t>
      </w:r>
    </w:p>
    <w:p w14:paraId="6F791DFD">
      <w:pPr>
        <w:spacing w:line="360" w:lineRule="auto"/>
        <w:ind w:firstLine="1200" w:firstLineChars="500"/>
        <w:rPr>
          <w:rFonts w:ascii="Times New Roman" w:hAnsi="Times New Roman" w:cs="Times New Roman"/>
          <w:kern w:val="2"/>
          <w:szCs w:val="24"/>
          <w:lang w:eastAsia="zh-CN"/>
        </w:rPr>
      </w:pPr>
      <w:r>
        <w:rPr>
          <w:rFonts w:hint="eastAsia" w:ascii="Times New Roman" w:hAnsi="Times New Roman" w:cs="Times New Roman"/>
          <w:kern w:val="2"/>
          <w:szCs w:val="24"/>
          <w:lang w:eastAsia="zh-CN"/>
        </w:rPr>
        <w:t>x——与河流主流方向一致的坐标，m；</w:t>
      </w:r>
    </w:p>
    <w:p w14:paraId="44F232D7">
      <w:pPr>
        <w:spacing w:line="360" w:lineRule="auto"/>
        <w:ind w:firstLine="1200" w:firstLineChars="500"/>
        <w:rPr>
          <w:rFonts w:ascii="Times New Roman" w:hAnsi="Times New Roman" w:cs="Times New Roman"/>
          <w:kern w:val="2"/>
          <w:szCs w:val="24"/>
          <w:lang w:eastAsia="zh-CN"/>
        </w:rPr>
      </w:pPr>
      <w:r>
        <w:rPr>
          <w:rFonts w:hint="eastAsia" w:ascii="Times New Roman" w:hAnsi="Times New Roman" w:cs="Times New Roman"/>
          <w:kern w:val="2"/>
          <w:szCs w:val="24"/>
          <w:lang w:eastAsia="zh-CN"/>
        </w:rPr>
        <w:t>y——与河流主流方向垂直的坐标，m</w:t>
      </w:r>
      <w:r>
        <w:rPr>
          <w:rFonts w:ascii="Times New Roman" w:hAnsi="Times New Roman" w:cs="Times New Roman"/>
          <w:kern w:val="2"/>
          <w:szCs w:val="24"/>
          <w:lang w:eastAsia="zh-CN"/>
        </w:rPr>
        <w:t>。</w:t>
      </w:r>
    </w:p>
    <w:p w14:paraId="02B674D1">
      <w:pPr>
        <w:spacing w:line="360" w:lineRule="auto"/>
        <w:ind w:firstLine="482"/>
        <w:jc w:val="both"/>
        <w:outlineLvl w:val="3"/>
        <w:rPr>
          <w:rFonts w:ascii="Times New Roman" w:hAnsi="Times New Roman" w:cs="Times New Roman"/>
          <w:b/>
          <w:bCs/>
          <w:color w:val="auto"/>
          <w:szCs w:val="24"/>
          <w:lang w:eastAsia="zh-CN"/>
        </w:rPr>
      </w:pPr>
      <w:r>
        <w:rPr>
          <w:rFonts w:hint="eastAsia" w:ascii="Times New Roman" w:hAnsi="Times New Roman" w:cs="Times New Roman"/>
          <w:b/>
          <w:bCs/>
          <w:color w:val="auto"/>
          <w:szCs w:val="24"/>
          <w:lang w:eastAsia="zh-CN"/>
        </w:rPr>
        <w:t>7</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8</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2</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 xml:space="preserve">5 </w:t>
      </w:r>
      <w:r>
        <w:rPr>
          <w:rFonts w:hint="eastAsia" w:ascii="Times New Roman" w:hAnsi="Times New Roman" w:cs="Times New Roman"/>
          <w:b/>
          <w:bCs/>
          <w:snapToGrid/>
          <w:color w:val="auto"/>
          <w:spacing w:val="-2"/>
          <w:szCs w:val="24"/>
          <w:lang w:eastAsia="zh-CN"/>
        </w:rPr>
        <w:t>预测结果</w:t>
      </w:r>
    </w:p>
    <w:p w14:paraId="583621BA">
      <w:pPr>
        <w:widowControl w:val="0"/>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事故废水</w:t>
      </w:r>
      <w:r>
        <w:rPr>
          <w:rFonts w:ascii="Times New Roman" w:hAnsi="Times New Roman" w:cs="Times New Roman"/>
          <w:color w:val="auto"/>
          <w:lang w:eastAsia="zh-CN"/>
        </w:rPr>
        <w:t>入</w:t>
      </w:r>
      <w:r>
        <w:rPr>
          <w:rFonts w:hint="eastAsia" w:ascii="Times New Roman" w:hAnsi="Times New Roman" w:cs="Times New Roman"/>
          <w:color w:val="auto"/>
          <w:lang w:eastAsia="zh-CN"/>
        </w:rPr>
        <w:t>淮河段</w:t>
      </w:r>
      <w:r>
        <w:rPr>
          <w:rFonts w:ascii="Times New Roman" w:hAnsi="Times New Roman" w:cs="Times New Roman"/>
          <w:color w:val="auto"/>
          <w:lang w:eastAsia="zh-CN"/>
        </w:rPr>
        <w:t>枯水期预测结果见下表</w:t>
      </w:r>
      <w:r>
        <w:rPr>
          <w:rFonts w:hint="eastAsia" w:ascii="Times New Roman" w:hAnsi="Times New Roman" w:cs="Times New Roman"/>
          <w:color w:val="auto"/>
          <w:lang w:eastAsia="zh-CN"/>
        </w:rPr>
        <w:t>。</w:t>
      </w:r>
    </w:p>
    <w:p w14:paraId="5A595552">
      <w:pPr>
        <w:spacing w:line="360" w:lineRule="auto"/>
        <w:jc w:val="center"/>
        <w:rPr>
          <w:rFonts w:ascii="Times New Roman" w:hAnsi="Times New Roman" w:cs="Times New Roman"/>
          <w:b/>
          <w:lang w:eastAsia="zh-CN"/>
        </w:rPr>
      </w:pPr>
      <w:r>
        <w:rPr>
          <w:rFonts w:ascii="Times New Roman" w:hAnsi="Times New Roman" w:cs="Times New Roman"/>
          <w:b/>
          <w:color w:val="auto"/>
          <w:szCs w:val="24"/>
          <w:lang w:eastAsia="zh-CN"/>
        </w:rPr>
        <w:t>表</w:t>
      </w:r>
      <w:r>
        <w:rPr>
          <w:rFonts w:ascii="Times New Roman" w:hAnsi="Times New Roman" w:cs="Times New Roman"/>
          <w:b/>
          <w:bCs/>
          <w:color w:val="auto"/>
          <w:lang w:eastAsia="zh-CN"/>
        </w:rPr>
        <w:t>7.8-21</w:t>
      </w:r>
      <w:r>
        <w:rPr>
          <w:rFonts w:ascii="Times New Roman" w:hAnsi="Times New Roman" w:cs="Times New Roman"/>
          <w:b/>
          <w:color w:val="auto"/>
          <w:szCs w:val="24"/>
          <w:lang w:eastAsia="zh-CN"/>
        </w:rPr>
        <w:t xml:space="preserve">  </w:t>
      </w:r>
      <w:r>
        <w:rPr>
          <w:rFonts w:hint="eastAsia" w:ascii="Times New Roman" w:hAnsi="Times New Roman" w:cs="Times New Roman"/>
          <w:b/>
          <w:bCs/>
          <w:color w:val="auto"/>
          <w:lang w:eastAsia="zh-CN"/>
        </w:rPr>
        <w:t>事故废水</w:t>
      </w:r>
      <w:r>
        <w:rPr>
          <w:rFonts w:ascii="Times New Roman" w:hAnsi="Times New Roman" w:cs="Times New Roman"/>
          <w:b/>
          <w:bCs/>
          <w:color w:val="auto"/>
          <w:lang w:eastAsia="zh-CN"/>
        </w:rPr>
        <w:t>进入淮河段</w:t>
      </w:r>
      <w:r>
        <w:rPr>
          <w:rFonts w:hint="eastAsia" w:ascii="Times New Roman" w:hAnsi="Times New Roman" w:cs="Times New Roman"/>
          <w:b/>
          <w:bCs/>
          <w:color w:val="auto"/>
          <w:lang w:eastAsia="zh-CN"/>
        </w:rPr>
        <w:t>氟化物</w:t>
      </w:r>
      <w:r>
        <w:rPr>
          <w:rFonts w:ascii="Times New Roman" w:hAnsi="Times New Roman" w:cs="Times New Roman"/>
          <w:b/>
          <w:bCs/>
          <w:color w:val="auto"/>
          <w:lang w:eastAsia="zh-CN"/>
        </w:rPr>
        <w:t>预测结果</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118"/>
        <w:gridCol w:w="1089"/>
        <w:gridCol w:w="1089"/>
        <w:gridCol w:w="1090"/>
        <w:gridCol w:w="1090"/>
        <w:gridCol w:w="1090"/>
        <w:gridCol w:w="1090"/>
        <w:gridCol w:w="1090"/>
      </w:tblGrid>
      <w:tr w14:paraId="33C957D8">
        <w:tblPrEx>
          <w:tblCellMar>
            <w:top w:w="0" w:type="dxa"/>
            <w:left w:w="108" w:type="dxa"/>
            <w:bottom w:w="0" w:type="dxa"/>
            <w:right w:w="108" w:type="dxa"/>
          </w:tblCellMar>
        </w:tblPrEx>
        <w:trPr>
          <w:trHeight w:val="317" w:hRule="atLeast"/>
          <w:jc w:val="center"/>
        </w:trPr>
        <w:tc>
          <w:tcPr>
            <w:tcW w:w="1087" w:type="pct"/>
            <w:vAlign w:val="center"/>
          </w:tcPr>
          <w:p w14:paraId="302B1C3B">
            <w:pPr>
              <w:jc w:val="center"/>
              <w:rPr>
                <w:rFonts w:ascii="Times New Roman" w:hAnsi="Times New Roman" w:cs="Times New Roman"/>
                <w:b/>
                <w:color w:val="auto"/>
                <w:sz w:val="21"/>
              </w:rPr>
            </w:pPr>
            <w:r>
              <w:rPr>
                <w:rFonts w:ascii="Times New Roman" w:hAnsi="Times New Roman" w:cs="Times New Roman"/>
                <w:b/>
                <w:color w:val="auto"/>
                <w:sz w:val="21"/>
                <w:lang w:eastAsia="zh-CN"/>
              </w:rPr>
              <w:t>X/Y（m）</w:t>
            </w:r>
          </w:p>
        </w:tc>
        <w:tc>
          <w:tcPr>
            <w:tcW w:w="559" w:type="pct"/>
            <w:vAlign w:val="center"/>
          </w:tcPr>
          <w:p w14:paraId="45AE6F22">
            <w:pPr>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0</w:t>
            </w:r>
          </w:p>
        </w:tc>
        <w:tc>
          <w:tcPr>
            <w:tcW w:w="559" w:type="pct"/>
            <w:vAlign w:val="center"/>
          </w:tcPr>
          <w:p w14:paraId="3BACE0D0">
            <w:pPr>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10</w:t>
            </w:r>
          </w:p>
        </w:tc>
        <w:tc>
          <w:tcPr>
            <w:tcW w:w="559" w:type="pct"/>
            <w:vAlign w:val="center"/>
          </w:tcPr>
          <w:p w14:paraId="030CBE17">
            <w:pPr>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20</w:t>
            </w:r>
          </w:p>
        </w:tc>
        <w:tc>
          <w:tcPr>
            <w:tcW w:w="559" w:type="pct"/>
            <w:vAlign w:val="center"/>
          </w:tcPr>
          <w:p w14:paraId="42F51AAC">
            <w:pPr>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30</w:t>
            </w:r>
          </w:p>
        </w:tc>
        <w:tc>
          <w:tcPr>
            <w:tcW w:w="559" w:type="pct"/>
            <w:vAlign w:val="center"/>
          </w:tcPr>
          <w:p w14:paraId="267AF731">
            <w:pPr>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40</w:t>
            </w:r>
          </w:p>
        </w:tc>
        <w:tc>
          <w:tcPr>
            <w:tcW w:w="559" w:type="pct"/>
            <w:vAlign w:val="center"/>
          </w:tcPr>
          <w:p w14:paraId="7AAE378B">
            <w:pPr>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50</w:t>
            </w:r>
          </w:p>
        </w:tc>
        <w:tc>
          <w:tcPr>
            <w:tcW w:w="559" w:type="pct"/>
            <w:vAlign w:val="center"/>
          </w:tcPr>
          <w:p w14:paraId="00E6DD6D">
            <w:pPr>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60</w:t>
            </w:r>
          </w:p>
        </w:tc>
      </w:tr>
      <w:tr w14:paraId="5213430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3" w:hRule="atLeast"/>
          <w:jc w:val="center"/>
        </w:trPr>
        <w:tc>
          <w:tcPr>
            <w:tcW w:w="1087" w:type="pct"/>
            <w:vAlign w:val="center"/>
          </w:tcPr>
          <w:p w14:paraId="192DCAE8">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100</w:t>
            </w:r>
          </w:p>
        </w:tc>
        <w:tc>
          <w:tcPr>
            <w:tcW w:w="559" w:type="pct"/>
            <w:vAlign w:val="center"/>
          </w:tcPr>
          <w:p w14:paraId="1D9683A0">
            <w:pPr>
              <w:jc w:val="center"/>
              <w:rPr>
                <w:rFonts w:ascii="Times New Roman" w:hAnsi="Times New Roman" w:cs="Times New Roman"/>
                <w:color w:val="auto"/>
                <w:sz w:val="21"/>
                <w:lang w:eastAsia="zh-CN"/>
              </w:rPr>
            </w:pPr>
          </w:p>
        </w:tc>
        <w:tc>
          <w:tcPr>
            <w:tcW w:w="559" w:type="pct"/>
            <w:vAlign w:val="center"/>
          </w:tcPr>
          <w:p w14:paraId="22E0638E">
            <w:pPr>
              <w:jc w:val="center"/>
              <w:rPr>
                <w:rFonts w:ascii="Times New Roman" w:hAnsi="Times New Roman" w:cs="Times New Roman"/>
                <w:color w:val="auto"/>
                <w:sz w:val="21"/>
                <w:lang w:eastAsia="zh-CN"/>
              </w:rPr>
            </w:pPr>
          </w:p>
        </w:tc>
        <w:tc>
          <w:tcPr>
            <w:tcW w:w="559" w:type="pct"/>
            <w:vAlign w:val="center"/>
          </w:tcPr>
          <w:p w14:paraId="10CBE7AB">
            <w:pPr>
              <w:jc w:val="center"/>
              <w:rPr>
                <w:rFonts w:ascii="Times New Roman" w:hAnsi="Times New Roman" w:cs="Times New Roman"/>
                <w:color w:val="auto"/>
                <w:sz w:val="21"/>
                <w:lang w:eastAsia="zh-CN"/>
              </w:rPr>
            </w:pPr>
          </w:p>
        </w:tc>
        <w:tc>
          <w:tcPr>
            <w:tcW w:w="559" w:type="pct"/>
            <w:vAlign w:val="center"/>
          </w:tcPr>
          <w:p w14:paraId="6B1B64A8">
            <w:pPr>
              <w:jc w:val="center"/>
              <w:rPr>
                <w:rFonts w:ascii="Times New Roman" w:hAnsi="Times New Roman" w:cs="Times New Roman"/>
                <w:color w:val="auto"/>
                <w:sz w:val="21"/>
                <w:lang w:eastAsia="zh-CN"/>
              </w:rPr>
            </w:pPr>
          </w:p>
        </w:tc>
        <w:tc>
          <w:tcPr>
            <w:tcW w:w="559" w:type="pct"/>
            <w:vAlign w:val="center"/>
          </w:tcPr>
          <w:p w14:paraId="12538C93">
            <w:pPr>
              <w:jc w:val="center"/>
              <w:rPr>
                <w:rFonts w:ascii="Times New Roman" w:hAnsi="Times New Roman" w:cs="Times New Roman"/>
                <w:color w:val="auto"/>
                <w:sz w:val="21"/>
                <w:lang w:eastAsia="zh-CN"/>
              </w:rPr>
            </w:pPr>
          </w:p>
        </w:tc>
        <w:tc>
          <w:tcPr>
            <w:tcW w:w="559" w:type="pct"/>
            <w:vAlign w:val="center"/>
          </w:tcPr>
          <w:p w14:paraId="484ABFF8">
            <w:pPr>
              <w:jc w:val="center"/>
              <w:rPr>
                <w:rFonts w:ascii="Times New Roman" w:hAnsi="Times New Roman" w:cs="Times New Roman"/>
                <w:color w:val="auto"/>
                <w:sz w:val="21"/>
                <w:lang w:eastAsia="zh-CN"/>
              </w:rPr>
            </w:pPr>
          </w:p>
        </w:tc>
        <w:tc>
          <w:tcPr>
            <w:tcW w:w="559" w:type="pct"/>
            <w:vAlign w:val="center"/>
          </w:tcPr>
          <w:p w14:paraId="0CCDE693">
            <w:pPr>
              <w:jc w:val="center"/>
              <w:rPr>
                <w:rFonts w:ascii="Times New Roman" w:hAnsi="Times New Roman" w:cs="Times New Roman"/>
                <w:color w:val="auto"/>
                <w:sz w:val="21"/>
                <w:lang w:eastAsia="zh-CN"/>
              </w:rPr>
            </w:pPr>
          </w:p>
        </w:tc>
      </w:tr>
      <w:tr w14:paraId="1DB0002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3" w:hRule="atLeast"/>
          <w:jc w:val="center"/>
        </w:trPr>
        <w:tc>
          <w:tcPr>
            <w:tcW w:w="1087" w:type="pct"/>
            <w:vAlign w:val="center"/>
          </w:tcPr>
          <w:p w14:paraId="47FF7B7F">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500</w:t>
            </w:r>
          </w:p>
        </w:tc>
        <w:tc>
          <w:tcPr>
            <w:tcW w:w="559" w:type="pct"/>
            <w:vAlign w:val="center"/>
          </w:tcPr>
          <w:p w14:paraId="00C947F6">
            <w:pPr>
              <w:jc w:val="center"/>
              <w:rPr>
                <w:rFonts w:ascii="Times New Roman" w:hAnsi="Times New Roman" w:cs="Times New Roman"/>
                <w:color w:val="auto"/>
                <w:sz w:val="21"/>
                <w:lang w:eastAsia="zh-CN"/>
              </w:rPr>
            </w:pPr>
          </w:p>
        </w:tc>
        <w:tc>
          <w:tcPr>
            <w:tcW w:w="559" w:type="pct"/>
            <w:vAlign w:val="center"/>
          </w:tcPr>
          <w:p w14:paraId="6B415239">
            <w:pPr>
              <w:jc w:val="center"/>
              <w:rPr>
                <w:rFonts w:ascii="Times New Roman" w:hAnsi="Times New Roman" w:cs="Times New Roman"/>
                <w:color w:val="auto"/>
                <w:sz w:val="21"/>
                <w:lang w:eastAsia="zh-CN"/>
              </w:rPr>
            </w:pPr>
          </w:p>
        </w:tc>
        <w:tc>
          <w:tcPr>
            <w:tcW w:w="559" w:type="pct"/>
            <w:vAlign w:val="center"/>
          </w:tcPr>
          <w:p w14:paraId="3D32EC2A">
            <w:pPr>
              <w:jc w:val="center"/>
              <w:rPr>
                <w:rFonts w:ascii="Times New Roman" w:hAnsi="Times New Roman" w:cs="Times New Roman"/>
                <w:color w:val="auto"/>
                <w:sz w:val="21"/>
                <w:lang w:eastAsia="zh-CN"/>
              </w:rPr>
            </w:pPr>
          </w:p>
        </w:tc>
        <w:tc>
          <w:tcPr>
            <w:tcW w:w="559" w:type="pct"/>
            <w:vAlign w:val="center"/>
          </w:tcPr>
          <w:p w14:paraId="0E00A31B">
            <w:pPr>
              <w:jc w:val="center"/>
              <w:rPr>
                <w:rFonts w:ascii="Times New Roman" w:hAnsi="Times New Roman" w:cs="Times New Roman"/>
                <w:color w:val="auto"/>
                <w:sz w:val="21"/>
                <w:lang w:eastAsia="zh-CN"/>
              </w:rPr>
            </w:pPr>
          </w:p>
        </w:tc>
        <w:tc>
          <w:tcPr>
            <w:tcW w:w="559" w:type="pct"/>
            <w:vAlign w:val="center"/>
          </w:tcPr>
          <w:p w14:paraId="2798E22B">
            <w:pPr>
              <w:jc w:val="center"/>
              <w:rPr>
                <w:rFonts w:ascii="Times New Roman" w:hAnsi="Times New Roman" w:cs="Times New Roman"/>
                <w:color w:val="auto"/>
                <w:sz w:val="21"/>
                <w:lang w:eastAsia="zh-CN"/>
              </w:rPr>
            </w:pPr>
          </w:p>
        </w:tc>
        <w:tc>
          <w:tcPr>
            <w:tcW w:w="559" w:type="pct"/>
            <w:vAlign w:val="center"/>
          </w:tcPr>
          <w:p w14:paraId="5E74AE7B">
            <w:pPr>
              <w:jc w:val="center"/>
              <w:rPr>
                <w:rFonts w:ascii="Times New Roman" w:hAnsi="Times New Roman" w:cs="Times New Roman"/>
                <w:color w:val="auto"/>
                <w:sz w:val="21"/>
                <w:lang w:eastAsia="zh-CN"/>
              </w:rPr>
            </w:pPr>
          </w:p>
        </w:tc>
        <w:tc>
          <w:tcPr>
            <w:tcW w:w="559" w:type="pct"/>
            <w:vAlign w:val="center"/>
          </w:tcPr>
          <w:p w14:paraId="2F319F10">
            <w:pPr>
              <w:jc w:val="center"/>
              <w:rPr>
                <w:rFonts w:ascii="Times New Roman" w:hAnsi="Times New Roman" w:cs="Times New Roman"/>
                <w:color w:val="auto"/>
                <w:sz w:val="21"/>
                <w:lang w:eastAsia="zh-CN"/>
              </w:rPr>
            </w:pPr>
          </w:p>
        </w:tc>
      </w:tr>
      <w:tr w14:paraId="037E6A2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3" w:hRule="atLeast"/>
          <w:jc w:val="center"/>
        </w:trPr>
        <w:tc>
          <w:tcPr>
            <w:tcW w:w="1087" w:type="pct"/>
            <w:vAlign w:val="center"/>
          </w:tcPr>
          <w:p w14:paraId="0403B69D">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1000</w:t>
            </w:r>
          </w:p>
        </w:tc>
        <w:tc>
          <w:tcPr>
            <w:tcW w:w="559" w:type="pct"/>
            <w:vAlign w:val="center"/>
          </w:tcPr>
          <w:p w14:paraId="0572DCA2">
            <w:pPr>
              <w:jc w:val="center"/>
              <w:rPr>
                <w:rFonts w:ascii="Times New Roman" w:hAnsi="Times New Roman" w:cs="Times New Roman"/>
                <w:color w:val="auto"/>
                <w:sz w:val="21"/>
                <w:lang w:eastAsia="zh-CN"/>
              </w:rPr>
            </w:pPr>
          </w:p>
        </w:tc>
        <w:tc>
          <w:tcPr>
            <w:tcW w:w="559" w:type="pct"/>
            <w:vAlign w:val="center"/>
          </w:tcPr>
          <w:p w14:paraId="3E5E6DEA">
            <w:pPr>
              <w:jc w:val="center"/>
              <w:rPr>
                <w:rFonts w:ascii="Times New Roman" w:hAnsi="Times New Roman" w:cs="Times New Roman"/>
                <w:color w:val="auto"/>
                <w:sz w:val="21"/>
                <w:lang w:eastAsia="zh-CN"/>
              </w:rPr>
            </w:pPr>
          </w:p>
        </w:tc>
        <w:tc>
          <w:tcPr>
            <w:tcW w:w="559" w:type="pct"/>
            <w:vAlign w:val="center"/>
          </w:tcPr>
          <w:p w14:paraId="0294C3EE">
            <w:pPr>
              <w:jc w:val="center"/>
              <w:rPr>
                <w:rFonts w:ascii="Times New Roman" w:hAnsi="Times New Roman" w:cs="Times New Roman"/>
                <w:color w:val="auto"/>
                <w:sz w:val="21"/>
                <w:lang w:eastAsia="zh-CN"/>
              </w:rPr>
            </w:pPr>
          </w:p>
        </w:tc>
        <w:tc>
          <w:tcPr>
            <w:tcW w:w="559" w:type="pct"/>
            <w:vAlign w:val="center"/>
          </w:tcPr>
          <w:p w14:paraId="7F24CE49">
            <w:pPr>
              <w:jc w:val="center"/>
              <w:rPr>
                <w:rFonts w:ascii="Times New Roman" w:hAnsi="Times New Roman" w:cs="Times New Roman"/>
                <w:color w:val="auto"/>
                <w:sz w:val="21"/>
                <w:lang w:eastAsia="zh-CN"/>
              </w:rPr>
            </w:pPr>
          </w:p>
        </w:tc>
        <w:tc>
          <w:tcPr>
            <w:tcW w:w="559" w:type="pct"/>
            <w:vAlign w:val="center"/>
          </w:tcPr>
          <w:p w14:paraId="5CB13064">
            <w:pPr>
              <w:jc w:val="center"/>
              <w:rPr>
                <w:rFonts w:ascii="Times New Roman" w:hAnsi="Times New Roman" w:cs="Times New Roman"/>
                <w:color w:val="auto"/>
                <w:sz w:val="21"/>
                <w:lang w:eastAsia="zh-CN"/>
              </w:rPr>
            </w:pPr>
          </w:p>
        </w:tc>
        <w:tc>
          <w:tcPr>
            <w:tcW w:w="559" w:type="pct"/>
            <w:vAlign w:val="center"/>
          </w:tcPr>
          <w:p w14:paraId="3E7F3B77">
            <w:pPr>
              <w:jc w:val="center"/>
              <w:rPr>
                <w:rFonts w:ascii="Times New Roman" w:hAnsi="Times New Roman" w:cs="Times New Roman"/>
                <w:color w:val="auto"/>
                <w:sz w:val="21"/>
                <w:lang w:eastAsia="zh-CN"/>
              </w:rPr>
            </w:pPr>
          </w:p>
        </w:tc>
        <w:tc>
          <w:tcPr>
            <w:tcW w:w="559" w:type="pct"/>
            <w:vAlign w:val="center"/>
          </w:tcPr>
          <w:p w14:paraId="1D81469B">
            <w:pPr>
              <w:jc w:val="center"/>
              <w:rPr>
                <w:rFonts w:ascii="Times New Roman" w:hAnsi="Times New Roman" w:cs="Times New Roman"/>
                <w:color w:val="auto"/>
                <w:sz w:val="21"/>
                <w:lang w:eastAsia="zh-CN"/>
              </w:rPr>
            </w:pPr>
          </w:p>
        </w:tc>
      </w:tr>
      <w:tr w14:paraId="0668FFE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313" w:hRule="atLeast"/>
          <w:jc w:val="center"/>
        </w:trPr>
        <w:tc>
          <w:tcPr>
            <w:tcW w:w="1087" w:type="pct"/>
            <w:vAlign w:val="center"/>
          </w:tcPr>
          <w:p w14:paraId="384A4A11">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1500</w:t>
            </w:r>
          </w:p>
        </w:tc>
        <w:tc>
          <w:tcPr>
            <w:tcW w:w="559" w:type="pct"/>
            <w:vAlign w:val="center"/>
          </w:tcPr>
          <w:p w14:paraId="15083177">
            <w:pPr>
              <w:jc w:val="center"/>
              <w:rPr>
                <w:rFonts w:ascii="Times New Roman" w:hAnsi="Times New Roman" w:cs="Times New Roman"/>
                <w:color w:val="auto"/>
                <w:sz w:val="21"/>
                <w:lang w:eastAsia="zh-CN"/>
              </w:rPr>
            </w:pPr>
          </w:p>
        </w:tc>
        <w:tc>
          <w:tcPr>
            <w:tcW w:w="559" w:type="pct"/>
            <w:vAlign w:val="center"/>
          </w:tcPr>
          <w:p w14:paraId="765E5A0D">
            <w:pPr>
              <w:jc w:val="center"/>
              <w:rPr>
                <w:rFonts w:ascii="Times New Roman" w:hAnsi="Times New Roman" w:cs="Times New Roman"/>
                <w:color w:val="auto"/>
                <w:sz w:val="21"/>
                <w:lang w:eastAsia="zh-CN"/>
              </w:rPr>
            </w:pPr>
          </w:p>
        </w:tc>
        <w:tc>
          <w:tcPr>
            <w:tcW w:w="559" w:type="pct"/>
            <w:vAlign w:val="center"/>
          </w:tcPr>
          <w:p w14:paraId="1CB18AED">
            <w:pPr>
              <w:jc w:val="center"/>
              <w:rPr>
                <w:rFonts w:ascii="Times New Roman" w:hAnsi="Times New Roman" w:cs="Times New Roman"/>
                <w:color w:val="auto"/>
                <w:sz w:val="21"/>
                <w:lang w:eastAsia="zh-CN"/>
              </w:rPr>
            </w:pPr>
          </w:p>
        </w:tc>
        <w:tc>
          <w:tcPr>
            <w:tcW w:w="559" w:type="pct"/>
            <w:vAlign w:val="center"/>
          </w:tcPr>
          <w:p w14:paraId="622B76A5">
            <w:pPr>
              <w:jc w:val="center"/>
              <w:rPr>
                <w:rFonts w:ascii="Times New Roman" w:hAnsi="Times New Roman" w:cs="Times New Roman"/>
                <w:color w:val="auto"/>
                <w:sz w:val="21"/>
                <w:lang w:eastAsia="zh-CN"/>
              </w:rPr>
            </w:pPr>
          </w:p>
        </w:tc>
        <w:tc>
          <w:tcPr>
            <w:tcW w:w="559" w:type="pct"/>
            <w:vAlign w:val="center"/>
          </w:tcPr>
          <w:p w14:paraId="38737BE6">
            <w:pPr>
              <w:jc w:val="center"/>
              <w:rPr>
                <w:rFonts w:ascii="Times New Roman" w:hAnsi="Times New Roman" w:cs="Times New Roman"/>
                <w:color w:val="auto"/>
                <w:sz w:val="21"/>
                <w:lang w:eastAsia="zh-CN"/>
              </w:rPr>
            </w:pPr>
          </w:p>
        </w:tc>
        <w:tc>
          <w:tcPr>
            <w:tcW w:w="559" w:type="pct"/>
            <w:vAlign w:val="center"/>
          </w:tcPr>
          <w:p w14:paraId="4164E5DF">
            <w:pPr>
              <w:jc w:val="center"/>
              <w:rPr>
                <w:rFonts w:ascii="Times New Roman" w:hAnsi="Times New Roman" w:cs="Times New Roman"/>
                <w:color w:val="auto"/>
                <w:sz w:val="21"/>
                <w:lang w:eastAsia="zh-CN"/>
              </w:rPr>
            </w:pPr>
          </w:p>
        </w:tc>
        <w:tc>
          <w:tcPr>
            <w:tcW w:w="559" w:type="pct"/>
            <w:vAlign w:val="center"/>
          </w:tcPr>
          <w:p w14:paraId="56D36225">
            <w:pPr>
              <w:jc w:val="center"/>
              <w:rPr>
                <w:rFonts w:ascii="Times New Roman" w:hAnsi="Times New Roman" w:cs="Times New Roman"/>
                <w:color w:val="auto"/>
                <w:sz w:val="21"/>
                <w:lang w:eastAsia="zh-CN"/>
              </w:rPr>
            </w:pPr>
          </w:p>
        </w:tc>
      </w:tr>
      <w:tr w14:paraId="010F0D1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3" w:hRule="atLeast"/>
          <w:jc w:val="center"/>
        </w:trPr>
        <w:tc>
          <w:tcPr>
            <w:tcW w:w="1087" w:type="pct"/>
            <w:vAlign w:val="center"/>
          </w:tcPr>
          <w:p w14:paraId="104C62AF">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2000</w:t>
            </w:r>
          </w:p>
        </w:tc>
        <w:tc>
          <w:tcPr>
            <w:tcW w:w="559" w:type="pct"/>
            <w:vAlign w:val="center"/>
          </w:tcPr>
          <w:p w14:paraId="5D727CB5">
            <w:pPr>
              <w:jc w:val="center"/>
              <w:rPr>
                <w:rFonts w:ascii="Times New Roman" w:hAnsi="Times New Roman" w:cs="Times New Roman"/>
                <w:color w:val="auto"/>
                <w:sz w:val="21"/>
                <w:lang w:eastAsia="zh-CN"/>
              </w:rPr>
            </w:pPr>
          </w:p>
        </w:tc>
        <w:tc>
          <w:tcPr>
            <w:tcW w:w="559" w:type="pct"/>
            <w:vAlign w:val="center"/>
          </w:tcPr>
          <w:p w14:paraId="0C27213F">
            <w:pPr>
              <w:jc w:val="center"/>
              <w:rPr>
                <w:rFonts w:ascii="Times New Roman" w:hAnsi="Times New Roman" w:cs="Times New Roman"/>
                <w:color w:val="auto"/>
                <w:sz w:val="21"/>
                <w:lang w:eastAsia="zh-CN"/>
              </w:rPr>
            </w:pPr>
          </w:p>
        </w:tc>
        <w:tc>
          <w:tcPr>
            <w:tcW w:w="559" w:type="pct"/>
            <w:vAlign w:val="center"/>
          </w:tcPr>
          <w:p w14:paraId="54331A2B">
            <w:pPr>
              <w:jc w:val="center"/>
              <w:rPr>
                <w:rFonts w:ascii="Times New Roman" w:hAnsi="Times New Roman" w:cs="Times New Roman"/>
                <w:color w:val="auto"/>
                <w:sz w:val="21"/>
                <w:lang w:eastAsia="zh-CN"/>
              </w:rPr>
            </w:pPr>
          </w:p>
        </w:tc>
        <w:tc>
          <w:tcPr>
            <w:tcW w:w="559" w:type="pct"/>
            <w:vAlign w:val="center"/>
          </w:tcPr>
          <w:p w14:paraId="477FCADF">
            <w:pPr>
              <w:jc w:val="center"/>
              <w:rPr>
                <w:rFonts w:ascii="Times New Roman" w:hAnsi="Times New Roman" w:cs="Times New Roman"/>
                <w:color w:val="auto"/>
                <w:sz w:val="21"/>
                <w:lang w:eastAsia="zh-CN"/>
              </w:rPr>
            </w:pPr>
          </w:p>
        </w:tc>
        <w:tc>
          <w:tcPr>
            <w:tcW w:w="559" w:type="pct"/>
            <w:vAlign w:val="center"/>
          </w:tcPr>
          <w:p w14:paraId="0C96B265">
            <w:pPr>
              <w:jc w:val="center"/>
              <w:rPr>
                <w:rFonts w:ascii="Times New Roman" w:hAnsi="Times New Roman" w:cs="Times New Roman"/>
                <w:color w:val="auto"/>
                <w:sz w:val="21"/>
                <w:lang w:eastAsia="zh-CN"/>
              </w:rPr>
            </w:pPr>
          </w:p>
        </w:tc>
        <w:tc>
          <w:tcPr>
            <w:tcW w:w="559" w:type="pct"/>
            <w:vAlign w:val="center"/>
          </w:tcPr>
          <w:p w14:paraId="0C4676F4">
            <w:pPr>
              <w:jc w:val="center"/>
              <w:rPr>
                <w:rFonts w:ascii="Times New Roman" w:hAnsi="Times New Roman" w:cs="Times New Roman"/>
                <w:color w:val="auto"/>
                <w:sz w:val="21"/>
                <w:lang w:eastAsia="zh-CN"/>
              </w:rPr>
            </w:pPr>
          </w:p>
        </w:tc>
        <w:tc>
          <w:tcPr>
            <w:tcW w:w="559" w:type="pct"/>
            <w:vAlign w:val="center"/>
          </w:tcPr>
          <w:p w14:paraId="064E3334">
            <w:pPr>
              <w:jc w:val="center"/>
              <w:rPr>
                <w:rFonts w:ascii="Times New Roman" w:hAnsi="Times New Roman" w:cs="Times New Roman"/>
                <w:color w:val="auto"/>
                <w:sz w:val="21"/>
                <w:lang w:eastAsia="zh-CN"/>
              </w:rPr>
            </w:pPr>
          </w:p>
        </w:tc>
      </w:tr>
      <w:tr w14:paraId="0645220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3" w:hRule="atLeast"/>
          <w:jc w:val="center"/>
        </w:trPr>
        <w:tc>
          <w:tcPr>
            <w:tcW w:w="1087" w:type="pct"/>
            <w:vAlign w:val="center"/>
          </w:tcPr>
          <w:p w14:paraId="442EE702">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2500</w:t>
            </w:r>
          </w:p>
        </w:tc>
        <w:tc>
          <w:tcPr>
            <w:tcW w:w="559" w:type="pct"/>
            <w:vAlign w:val="center"/>
          </w:tcPr>
          <w:p w14:paraId="5661098C">
            <w:pPr>
              <w:jc w:val="center"/>
              <w:rPr>
                <w:rFonts w:ascii="Times New Roman" w:hAnsi="Times New Roman" w:cs="Times New Roman"/>
                <w:color w:val="auto"/>
                <w:sz w:val="21"/>
                <w:lang w:eastAsia="zh-CN"/>
              </w:rPr>
            </w:pPr>
          </w:p>
        </w:tc>
        <w:tc>
          <w:tcPr>
            <w:tcW w:w="559" w:type="pct"/>
            <w:vAlign w:val="center"/>
          </w:tcPr>
          <w:p w14:paraId="63B8272F">
            <w:pPr>
              <w:jc w:val="center"/>
              <w:rPr>
                <w:rFonts w:ascii="Times New Roman" w:hAnsi="Times New Roman" w:cs="Times New Roman"/>
                <w:color w:val="auto"/>
                <w:sz w:val="21"/>
                <w:lang w:eastAsia="zh-CN"/>
              </w:rPr>
            </w:pPr>
          </w:p>
        </w:tc>
        <w:tc>
          <w:tcPr>
            <w:tcW w:w="559" w:type="pct"/>
            <w:vAlign w:val="center"/>
          </w:tcPr>
          <w:p w14:paraId="2AC4226C">
            <w:pPr>
              <w:jc w:val="center"/>
              <w:rPr>
                <w:rFonts w:ascii="Times New Roman" w:hAnsi="Times New Roman" w:cs="Times New Roman"/>
                <w:color w:val="auto"/>
                <w:sz w:val="21"/>
                <w:lang w:eastAsia="zh-CN"/>
              </w:rPr>
            </w:pPr>
          </w:p>
        </w:tc>
        <w:tc>
          <w:tcPr>
            <w:tcW w:w="559" w:type="pct"/>
            <w:vAlign w:val="center"/>
          </w:tcPr>
          <w:p w14:paraId="416955BD">
            <w:pPr>
              <w:jc w:val="center"/>
              <w:rPr>
                <w:rFonts w:ascii="Times New Roman" w:hAnsi="Times New Roman" w:cs="Times New Roman"/>
                <w:color w:val="auto"/>
                <w:sz w:val="21"/>
                <w:lang w:eastAsia="zh-CN"/>
              </w:rPr>
            </w:pPr>
          </w:p>
        </w:tc>
        <w:tc>
          <w:tcPr>
            <w:tcW w:w="559" w:type="pct"/>
            <w:vAlign w:val="center"/>
          </w:tcPr>
          <w:p w14:paraId="010AF899">
            <w:pPr>
              <w:jc w:val="center"/>
              <w:rPr>
                <w:rFonts w:ascii="Times New Roman" w:hAnsi="Times New Roman" w:cs="Times New Roman"/>
                <w:color w:val="auto"/>
                <w:sz w:val="21"/>
                <w:lang w:eastAsia="zh-CN"/>
              </w:rPr>
            </w:pPr>
          </w:p>
        </w:tc>
        <w:tc>
          <w:tcPr>
            <w:tcW w:w="559" w:type="pct"/>
            <w:vAlign w:val="center"/>
          </w:tcPr>
          <w:p w14:paraId="1CEFBD42">
            <w:pPr>
              <w:jc w:val="center"/>
              <w:rPr>
                <w:rFonts w:ascii="Times New Roman" w:hAnsi="Times New Roman" w:cs="Times New Roman"/>
                <w:color w:val="auto"/>
                <w:sz w:val="21"/>
                <w:lang w:eastAsia="zh-CN"/>
              </w:rPr>
            </w:pPr>
          </w:p>
        </w:tc>
        <w:tc>
          <w:tcPr>
            <w:tcW w:w="559" w:type="pct"/>
            <w:vAlign w:val="center"/>
          </w:tcPr>
          <w:p w14:paraId="343C3EE2">
            <w:pPr>
              <w:jc w:val="center"/>
              <w:rPr>
                <w:rFonts w:ascii="Times New Roman" w:hAnsi="Times New Roman" w:cs="Times New Roman"/>
                <w:color w:val="auto"/>
                <w:sz w:val="21"/>
                <w:lang w:eastAsia="zh-CN"/>
              </w:rPr>
            </w:pPr>
          </w:p>
        </w:tc>
      </w:tr>
      <w:tr w14:paraId="2CCFE49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3" w:hRule="atLeast"/>
          <w:jc w:val="center"/>
        </w:trPr>
        <w:tc>
          <w:tcPr>
            <w:tcW w:w="1087" w:type="pct"/>
            <w:vAlign w:val="center"/>
          </w:tcPr>
          <w:p w14:paraId="42883076">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3000</w:t>
            </w:r>
          </w:p>
        </w:tc>
        <w:tc>
          <w:tcPr>
            <w:tcW w:w="559" w:type="pct"/>
            <w:vAlign w:val="center"/>
          </w:tcPr>
          <w:p w14:paraId="7DB7E645">
            <w:pPr>
              <w:jc w:val="center"/>
              <w:rPr>
                <w:rFonts w:ascii="Times New Roman" w:hAnsi="Times New Roman" w:cs="Times New Roman"/>
                <w:color w:val="auto"/>
                <w:sz w:val="21"/>
                <w:lang w:eastAsia="zh-CN"/>
              </w:rPr>
            </w:pPr>
          </w:p>
        </w:tc>
        <w:tc>
          <w:tcPr>
            <w:tcW w:w="559" w:type="pct"/>
            <w:vAlign w:val="center"/>
          </w:tcPr>
          <w:p w14:paraId="1309E93E">
            <w:pPr>
              <w:jc w:val="center"/>
              <w:rPr>
                <w:rFonts w:ascii="Times New Roman" w:hAnsi="Times New Roman" w:cs="Times New Roman"/>
                <w:color w:val="auto"/>
                <w:sz w:val="21"/>
                <w:lang w:eastAsia="zh-CN"/>
              </w:rPr>
            </w:pPr>
          </w:p>
        </w:tc>
        <w:tc>
          <w:tcPr>
            <w:tcW w:w="559" w:type="pct"/>
            <w:vAlign w:val="center"/>
          </w:tcPr>
          <w:p w14:paraId="7E45B2E1">
            <w:pPr>
              <w:jc w:val="center"/>
              <w:rPr>
                <w:rFonts w:ascii="Times New Roman" w:hAnsi="Times New Roman" w:cs="Times New Roman"/>
                <w:color w:val="auto"/>
                <w:sz w:val="21"/>
                <w:lang w:eastAsia="zh-CN"/>
              </w:rPr>
            </w:pPr>
          </w:p>
        </w:tc>
        <w:tc>
          <w:tcPr>
            <w:tcW w:w="559" w:type="pct"/>
            <w:vAlign w:val="center"/>
          </w:tcPr>
          <w:p w14:paraId="52EC6D41">
            <w:pPr>
              <w:jc w:val="center"/>
              <w:rPr>
                <w:rFonts w:ascii="Times New Roman" w:hAnsi="Times New Roman" w:cs="Times New Roman"/>
                <w:color w:val="auto"/>
                <w:sz w:val="21"/>
                <w:lang w:eastAsia="zh-CN"/>
              </w:rPr>
            </w:pPr>
          </w:p>
        </w:tc>
        <w:tc>
          <w:tcPr>
            <w:tcW w:w="559" w:type="pct"/>
            <w:vAlign w:val="center"/>
          </w:tcPr>
          <w:p w14:paraId="532838D8">
            <w:pPr>
              <w:jc w:val="center"/>
              <w:rPr>
                <w:rFonts w:ascii="Times New Roman" w:hAnsi="Times New Roman" w:cs="Times New Roman"/>
                <w:color w:val="auto"/>
                <w:sz w:val="21"/>
                <w:lang w:eastAsia="zh-CN"/>
              </w:rPr>
            </w:pPr>
          </w:p>
        </w:tc>
        <w:tc>
          <w:tcPr>
            <w:tcW w:w="559" w:type="pct"/>
            <w:vAlign w:val="center"/>
          </w:tcPr>
          <w:p w14:paraId="49199554">
            <w:pPr>
              <w:jc w:val="center"/>
              <w:rPr>
                <w:rFonts w:ascii="Times New Roman" w:hAnsi="Times New Roman" w:cs="Times New Roman"/>
                <w:color w:val="auto"/>
                <w:sz w:val="21"/>
                <w:lang w:eastAsia="zh-CN"/>
              </w:rPr>
            </w:pPr>
          </w:p>
        </w:tc>
        <w:tc>
          <w:tcPr>
            <w:tcW w:w="559" w:type="pct"/>
            <w:vAlign w:val="center"/>
          </w:tcPr>
          <w:p w14:paraId="75828FB4">
            <w:pPr>
              <w:jc w:val="center"/>
              <w:rPr>
                <w:rFonts w:ascii="Times New Roman" w:hAnsi="Times New Roman" w:cs="Times New Roman"/>
                <w:color w:val="auto"/>
                <w:sz w:val="21"/>
                <w:lang w:eastAsia="zh-CN"/>
              </w:rPr>
            </w:pPr>
          </w:p>
        </w:tc>
      </w:tr>
      <w:tr w14:paraId="0BB4205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3" w:hRule="atLeast"/>
          <w:jc w:val="center"/>
        </w:trPr>
        <w:tc>
          <w:tcPr>
            <w:tcW w:w="1087" w:type="pct"/>
            <w:vAlign w:val="center"/>
          </w:tcPr>
          <w:p w14:paraId="5BDED054">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3500</w:t>
            </w:r>
          </w:p>
        </w:tc>
        <w:tc>
          <w:tcPr>
            <w:tcW w:w="559" w:type="pct"/>
            <w:vAlign w:val="center"/>
          </w:tcPr>
          <w:p w14:paraId="0DEB03E1">
            <w:pPr>
              <w:jc w:val="center"/>
              <w:rPr>
                <w:rFonts w:ascii="Times New Roman" w:hAnsi="Times New Roman" w:cs="Times New Roman"/>
                <w:color w:val="auto"/>
                <w:sz w:val="21"/>
                <w:lang w:eastAsia="zh-CN"/>
              </w:rPr>
            </w:pPr>
          </w:p>
        </w:tc>
        <w:tc>
          <w:tcPr>
            <w:tcW w:w="559" w:type="pct"/>
            <w:vAlign w:val="center"/>
          </w:tcPr>
          <w:p w14:paraId="0C008EA8">
            <w:pPr>
              <w:jc w:val="center"/>
              <w:rPr>
                <w:rFonts w:ascii="Times New Roman" w:hAnsi="Times New Roman" w:cs="Times New Roman"/>
                <w:color w:val="auto"/>
                <w:sz w:val="21"/>
                <w:lang w:eastAsia="zh-CN"/>
              </w:rPr>
            </w:pPr>
          </w:p>
        </w:tc>
        <w:tc>
          <w:tcPr>
            <w:tcW w:w="559" w:type="pct"/>
            <w:vAlign w:val="center"/>
          </w:tcPr>
          <w:p w14:paraId="0C6D7430">
            <w:pPr>
              <w:jc w:val="center"/>
              <w:rPr>
                <w:rFonts w:ascii="Times New Roman" w:hAnsi="Times New Roman" w:cs="Times New Roman"/>
                <w:color w:val="auto"/>
                <w:sz w:val="21"/>
                <w:lang w:eastAsia="zh-CN"/>
              </w:rPr>
            </w:pPr>
          </w:p>
        </w:tc>
        <w:tc>
          <w:tcPr>
            <w:tcW w:w="559" w:type="pct"/>
            <w:vAlign w:val="center"/>
          </w:tcPr>
          <w:p w14:paraId="5E0F0EE8">
            <w:pPr>
              <w:jc w:val="center"/>
              <w:rPr>
                <w:rFonts w:ascii="Times New Roman" w:hAnsi="Times New Roman" w:cs="Times New Roman"/>
                <w:color w:val="auto"/>
                <w:sz w:val="21"/>
                <w:lang w:eastAsia="zh-CN"/>
              </w:rPr>
            </w:pPr>
          </w:p>
        </w:tc>
        <w:tc>
          <w:tcPr>
            <w:tcW w:w="559" w:type="pct"/>
            <w:vAlign w:val="center"/>
          </w:tcPr>
          <w:p w14:paraId="02BBC056">
            <w:pPr>
              <w:jc w:val="center"/>
              <w:rPr>
                <w:rFonts w:ascii="Times New Roman" w:hAnsi="Times New Roman" w:cs="Times New Roman"/>
                <w:color w:val="auto"/>
                <w:sz w:val="21"/>
                <w:lang w:eastAsia="zh-CN"/>
              </w:rPr>
            </w:pPr>
          </w:p>
        </w:tc>
        <w:tc>
          <w:tcPr>
            <w:tcW w:w="559" w:type="pct"/>
            <w:vAlign w:val="center"/>
          </w:tcPr>
          <w:p w14:paraId="77CE65DA">
            <w:pPr>
              <w:jc w:val="center"/>
              <w:rPr>
                <w:rFonts w:ascii="Times New Roman" w:hAnsi="Times New Roman" w:cs="Times New Roman"/>
                <w:color w:val="auto"/>
                <w:sz w:val="21"/>
                <w:lang w:eastAsia="zh-CN"/>
              </w:rPr>
            </w:pPr>
          </w:p>
        </w:tc>
        <w:tc>
          <w:tcPr>
            <w:tcW w:w="559" w:type="pct"/>
            <w:vAlign w:val="center"/>
          </w:tcPr>
          <w:p w14:paraId="44264865">
            <w:pPr>
              <w:jc w:val="center"/>
              <w:rPr>
                <w:rFonts w:ascii="Times New Roman" w:hAnsi="Times New Roman" w:cs="Times New Roman"/>
                <w:color w:val="auto"/>
                <w:sz w:val="21"/>
                <w:lang w:eastAsia="zh-CN"/>
              </w:rPr>
            </w:pPr>
          </w:p>
        </w:tc>
      </w:tr>
      <w:tr w14:paraId="1EA5671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3" w:hRule="atLeast"/>
          <w:jc w:val="center"/>
        </w:trPr>
        <w:tc>
          <w:tcPr>
            <w:tcW w:w="1087" w:type="pct"/>
            <w:vAlign w:val="center"/>
          </w:tcPr>
          <w:p w14:paraId="2A356866">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4000</w:t>
            </w:r>
          </w:p>
        </w:tc>
        <w:tc>
          <w:tcPr>
            <w:tcW w:w="559" w:type="pct"/>
            <w:vAlign w:val="center"/>
          </w:tcPr>
          <w:p w14:paraId="5DF2D982">
            <w:pPr>
              <w:jc w:val="center"/>
              <w:rPr>
                <w:rFonts w:ascii="Times New Roman" w:hAnsi="Times New Roman" w:cs="Times New Roman"/>
                <w:color w:val="auto"/>
                <w:sz w:val="21"/>
                <w:lang w:eastAsia="zh-CN"/>
              </w:rPr>
            </w:pPr>
          </w:p>
        </w:tc>
        <w:tc>
          <w:tcPr>
            <w:tcW w:w="559" w:type="pct"/>
            <w:vAlign w:val="center"/>
          </w:tcPr>
          <w:p w14:paraId="488F42DE">
            <w:pPr>
              <w:jc w:val="center"/>
              <w:rPr>
                <w:rFonts w:ascii="Times New Roman" w:hAnsi="Times New Roman" w:cs="Times New Roman"/>
                <w:color w:val="auto"/>
                <w:sz w:val="21"/>
                <w:lang w:eastAsia="zh-CN"/>
              </w:rPr>
            </w:pPr>
          </w:p>
        </w:tc>
        <w:tc>
          <w:tcPr>
            <w:tcW w:w="559" w:type="pct"/>
            <w:vAlign w:val="center"/>
          </w:tcPr>
          <w:p w14:paraId="3B05150B">
            <w:pPr>
              <w:jc w:val="center"/>
              <w:rPr>
                <w:rFonts w:ascii="Times New Roman" w:hAnsi="Times New Roman" w:cs="Times New Roman"/>
                <w:color w:val="auto"/>
                <w:sz w:val="21"/>
                <w:lang w:eastAsia="zh-CN"/>
              </w:rPr>
            </w:pPr>
          </w:p>
        </w:tc>
        <w:tc>
          <w:tcPr>
            <w:tcW w:w="559" w:type="pct"/>
            <w:vAlign w:val="center"/>
          </w:tcPr>
          <w:p w14:paraId="4D050B08">
            <w:pPr>
              <w:jc w:val="center"/>
              <w:rPr>
                <w:rFonts w:ascii="Times New Roman" w:hAnsi="Times New Roman" w:cs="Times New Roman"/>
                <w:color w:val="auto"/>
                <w:sz w:val="21"/>
                <w:lang w:eastAsia="zh-CN"/>
              </w:rPr>
            </w:pPr>
          </w:p>
        </w:tc>
        <w:tc>
          <w:tcPr>
            <w:tcW w:w="559" w:type="pct"/>
            <w:vAlign w:val="center"/>
          </w:tcPr>
          <w:p w14:paraId="5585090C">
            <w:pPr>
              <w:jc w:val="center"/>
              <w:rPr>
                <w:rFonts w:ascii="Times New Roman" w:hAnsi="Times New Roman" w:cs="Times New Roman"/>
                <w:color w:val="auto"/>
                <w:sz w:val="21"/>
                <w:lang w:eastAsia="zh-CN"/>
              </w:rPr>
            </w:pPr>
          </w:p>
        </w:tc>
        <w:tc>
          <w:tcPr>
            <w:tcW w:w="559" w:type="pct"/>
            <w:vAlign w:val="center"/>
          </w:tcPr>
          <w:p w14:paraId="6BB8F4B6">
            <w:pPr>
              <w:jc w:val="center"/>
              <w:rPr>
                <w:rFonts w:ascii="Times New Roman" w:hAnsi="Times New Roman" w:cs="Times New Roman"/>
                <w:color w:val="auto"/>
                <w:sz w:val="21"/>
                <w:lang w:eastAsia="zh-CN"/>
              </w:rPr>
            </w:pPr>
          </w:p>
        </w:tc>
        <w:tc>
          <w:tcPr>
            <w:tcW w:w="559" w:type="pct"/>
            <w:vAlign w:val="center"/>
          </w:tcPr>
          <w:p w14:paraId="3190E4C7">
            <w:pPr>
              <w:jc w:val="center"/>
              <w:rPr>
                <w:rFonts w:ascii="Times New Roman" w:hAnsi="Times New Roman" w:cs="Times New Roman"/>
                <w:color w:val="auto"/>
                <w:sz w:val="21"/>
                <w:lang w:eastAsia="zh-CN"/>
              </w:rPr>
            </w:pPr>
          </w:p>
        </w:tc>
      </w:tr>
      <w:tr w14:paraId="5DFFD44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3" w:hRule="atLeast"/>
          <w:jc w:val="center"/>
        </w:trPr>
        <w:tc>
          <w:tcPr>
            <w:tcW w:w="1087" w:type="pct"/>
            <w:vAlign w:val="center"/>
          </w:tcPr>
          <w:p w14:paraId="4A715538">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4500</w:t>
            </w:r>
          </w:p>
        </w:tc>
        <w:tc>
          <w:tcPr>
            <w:tcW w:w="559" w:type="pct"/>
            <w:vAlign w:val="center"/>
          </w:tcPr>
          <w:p w14:paraId="78DF1A16">
            <w:pPr>
              <w:jc w:val="center"/>
              <w:rPr>
                <w:rFonts w:ascii="Times New Roman" w:hAnsi="Times New Roman" w:cs="Times New Roman"/>
                <w:color w:val="auto"/>
                <w:sz w:val="21"/>
                <w:lang w:eastAsia="zh-CN"/>
              </w:rPr>
            </w:pPr>
          </w:p>
        </w:tc>
        <w:tc>
          <w:tcPr>
            <w:tcW w:w="559" w:type="pct"/>
            <w:vAlign w:val="center"/>
          </w:tcPr>
          <w:p w14:paraId="21F8A88B">
            <w:pPr>
              <w:jc w:val="center"/>
              <w:rPr>
                <w:rFonts w:ascii="Times New Roman" w:hAnsi="Times New Roman" w:cs="Times New Roman"/>
                <w:color w:val="auto"/>
                <w:sz w:val="21"/>
                <w:lang w:eastAsia="zh-CN"/>
              </w:rPr>
            </w:pPr>
          </w:p>
        </w:tc>
        <w:tc>
          <w:tcPr>
            <w:tcW w:w="559" w:type="pct"/>
            <w:vAlign w:val="center"/>
          </w:tcPr>
          <w:p w14:paraId="5B669B5C">
            <w:pPr>
              <w:jc w:val="center"/>
              <w:rPr>
                <w:rFonts w:ascii="Times New Roman" w:hAnsi="Times New Roman" w:cs="Times New Roman"/>
                <w:color w:val="auto"/>
                <w:sz w:val="21"/>
                <w:lang w:eastAsia="zh-CN"/>
              </w:rPr>
            </w:pPr>
          </w:p>
        </w:tc>
        <w:tc>
          <w:tcPr>
            <w:tcW w:w="559" w:type="pct"/>
            <w:vAlign w:val="center"/>
          </w:tcPr>
          <w:p w14:paraId="0A63017A">
            <w:pPr>
              <w:jc w:val="center"/>
              <w:rPr>
                <w:rFonts w:ascii="Times New Roman" w:hAnsi="Times New Roman" w:cs="Times New Roman"/>
                <w:color w:val="auto"/>
                <w:sz w:val="21"/>
                <w:lang w:eastAsia="zh-CN"/>
              </w:rPr>
            </w:pPr>
          </w:p>
        </w:tc>
        <w:tc>
          <w:tcPr>
            <w:tcW w:w="559" w:type="pct"/>
            <w:vAlign w:val="center"/>
          </w:tcPr>
          <w:p w14:paraId="133C4BC3">
            <w:pPr>
              <w:jc w:val="center"/>
              <w:rPr>
                <w:rFonts w:ascii="Times New Roman" w:hAnsi="Times New Roman" w:cs="Times New Roman"/>
                <w:color w:val="auto"/>
                <w:sz w:val="21"/>
                <w:lang w:eastAsia="zh-CN"/>
              </w:rPr>
            </w:pPr>
          </w:p>
        </w:tc>
        <w:tc>
          <w:tcPr>
            <w:tcW w:w="559" w:type="pct"/>
            <w:vAlign w:val="center"/>
          </w:tcPr>
          <w:p w14:paraId="0B33324A">
            <w:pPr>
              <w:jc w:val="center"/>
              <w:rPr>
                <w:rFonts w:ascii="Times New Roman" w:hAnsi="Times New Roman" w:cs="Times New Roman"/>
                <w:color w:val="auto"/>
                <w:sz w:val="21"/>
                <w:lang w:eastAsia="zh-CN"/>
              </w:rPr>
            </w:pPr>
          </w:p>
        </w:tc>
        <w:tc>
          <w:tcPr>
            <w:tcW w:w="559" w:type="pct"/>
            <w:vAlign w:val="center"/>
          </w:tcPr>
          <w:p w14:paraId="461CE812">
            <w:pPr>
              <w:jc w:val="center"/>
              <w:rPr>
                <w:rFonts w:ascii="Times New Roman" w:hAnsi="Times New Roman" w:cs="Times New Roman"/>
                <w:color w:val="auto"/>
                <w:sz w:val="21"/>
                <w:lang w:eastAsia="zh-CN"/>
              </w:rPr>
            </w:pPr>
          </w:p>
        </w:tc>
      </w:tr>
      <w:tr w14:paraId="0EDE805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3" w:hRule="atLeast"/>
          <w:jc w:val="center"/>
        </w:trPr>
        <w:tc>
          <w:tcPr>
            <w:tcW w:w="1087" w:type="pct"/>
            <w:vAlign w:val="center"/>
          </w:tcPr>
          <w:p w14:paraId="3A807F0A">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5000</w:t>
            </w:r>
          </w:p>
        </w:tc>
        <w:tc>
          <w:tcPr>
            <w:tcW w:w="559" w:type="pct"/>
            <w:vAlign w:val="center"/>
          </w:tcPr>
          <w:p w14:paraId="6E968024">
            <w:pPr>
              <w:jc w:val="center"/>
              <w:rPr>
                <w:rFonts w:ascii="Times New Roman" w:hAnsi="Times New Roman" w:cs="Times New Roman"/>
                <w:color w:val="auto"/>
                <w:sz w:val="21"/>
                <w:lang w:eastAsia="zh-CN"/>
              </w:rPr>
            </w:pPr>
          </w:p>
        </w:tc>
        <w:tc>
          <w:tcPr>
            <w:tcW w:w="559" w:type="pct"/>
            <w:vAlign w:val="center"/>
          </w:tcPr>
          <w:p w14:paraId="1EBED94B">
            <w:pPr>
              <w:jc w:val="center"/>
              <w:rPr>
                <w:rFonts w:ascii="Times New Roman" w:hAnsi="Times New Roman" w:cs="Times New Roman"/>
                <w:color w:val="auto"/>
                <w:sz w:val="21"/>
                <w:lang w:eastAsia="zh-CN"/>
              </w:rPr>
            </w:pPr>
          </w:p>
        </w:tc>
        <w:tc>
          <w:tcPr>
            <w:tcW w:w="559" w:type="pct"/>
            <w:vAlign w:val="center"/>
          </w:tcPr>
          <w:p w14:paraId="1AA2E199">
            <w:pPr>
              <w:jc w:val="center"/>
              <w:rPr>
                <w:rFonts w:ascii="Times New Roman" w:hAnsi="Times New Roman" w:cs="Times New Roman"/>
                <w:color w:val="auto"/>
                <w:sz w:val="21"/>
                <w:lang w:eastAsia="zh-CN"/>
              </w:rPr>
            </w:pPr>
          </w:p>
        </w:tc>
        <w:tc>
          <w:tcPr>
            <w:tcW w:w="559" w:type="pct"/>
            <w:vAlign w:val="center"/>
          </w:tcPr>
          <w:p w14:paraId="75B56BC4">
            <w:pPr>
              <w:jc w:val="center"/>
              <w:rPr>
                <w:rFonts w:ascii="Times New Roman" w:hAnsi="Times New Roman" w:cs="Times New Roman"/>
                <w:color w:val="auto"/>
                <w:sz w:val="21"/>
                <w:lang w:eastAsia="zh-CN"/>
              </w:rPr>
            </w:pPr>
          </w:p>
        </w:tc>
        <w:tc>
          <w:tcPr>
            <w:tcW w:w="559" w:type="pct"/>
            <w:vAlign w:val="center"/>
          </w:tcPr>
          <w:p w14:paraId="4BF43F74">
            <w:pPr>
              <w:jc w:val="center"/>
              <w:rPr>
                <w:rFonts w:ascii="Times New Roman" w:hAnsi="Times New Roman" w:cs="Times New Roman"/>
                <w:color w:val="auto"/>
                <w:sz w:val="21"/>
                <w:lang w:eastAsia="zh-CN"/>
              </w:rPr>
            </w:pPr>
          </w:p>
        </w:tc>
        <w:tc>
          <w:tcPr>
            <w:tcW w:w="559" w:type="pct"/>
            <w:vAlign w:val="center"/>
          </w:tcPr>
          <w:p w14:paraId="74332BB7">
            <w:pPr>
              <w:jc w:val="center"/>
              <w:rPr>
                <w:rFonts w:ascii="Times New Roman" w:hAnsi="Times New Roman" w:cs="Times New Roman"/>
                <w:color w:val="auto"/>
                <w:sz w:val="21"/>
                <w:lang w:eastAsia="zh-CN"/>
              </w:rPr>
            </w:pPr>
          </w:p>
        </w:tc>
        <w:tc>
          <w:tcPr>
            <w:tcW w:w="559" w:type="pct"/>
            <w:vAlign w:val="center"/>
          </w:tcPr>
          <w:p w14:paraId="6A20FEDE">
            <w:pPr>
              <w:jc w:val="center"/>
              <w:rPr>
                <w:rFonts w:ascii="Times New Roman" w:hAnsi="Times New Roman" w:cs="Times New Roman"/>
                <w:color w:val="auto"/>
                <w:sz w:val="21"/>
                <w:lang w:eastAsia="zh-CN"/>
              </w:rPr>
            </w:pPr>
          </w:p>
        </w:tc>
      </w:tr>
      <w:tr w14:paraId="2CD40B2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3" w:hRule="atLeast"/>
          <w:jc w:val="center"/>
        </w:trPr>
        <w:tc>
          <w:tcPr>
            <w:tcW w:w="1087" w:type="pct"/>
            <w:vAlign w:val="center"/>
          </w:tcPr>
          <w:p w14:paraId="28D72197">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5500</w:t>
            </w:r>
          </w:p>
        </w:tc>
        <w:tc>
          <w:tcPr>
            <w:tcW w:w="559" w:type="pct"/>
            <w:vAlign w:val="center"/>
          </w:tcPr>
          <w:p w14:paraId="60305F31">
            <w:pPr>
              <w:jc w:val="center"/>
              <w:rPr>
                <w:rFonts w:ascii="Times New Roman" w:hAnsi="Times New Roman" w:cs="Times New Roman"/>
                <w:color w:val="auto"/>
                <w:sz w:val="21"/>
                <w:lang w:eastAsia="zh-CN"/>
              </w:rPr>
            </w:pPr>
          </w:p>
        </w:tc>
        <w:tc>
          <w:tcPr>
            <w:tcW w:w="559" w:type="pct"/>
            <w:vAlign w:val="center"/>
          </w:tcPr>
          <w:p w14:paraId="3AC0C3A0">
            <w:pPr>
              <w:jc w:val="center"/>
              <w:rPr>
                <w:rFonts w:ascii="Times New Roman" w:hAnsi="Times New Roman" w:cs="Times New Roman"/>
                <w:color w:val="auto"/>
                <w:sz w:val="21"/>
                <w:lang w:eastAsia="zh-CN"/>
              </w:rPr>
            </w:pPr>
          </w:p>
        </w:tc>
        <w:tc>
          <w:tcPr>
            <w:tcW w:w="559" w:type="pct"/>
            <w:vAlign w:val="center"/>
          </w:tcPr>
          <w:p w14:paraId="101DAF63">
            <w:pPr>
              <w:jc w:val="center"/>
              <w:rPr>
                <w:rFonts w:ascii="Times New Roman" w:hAnsi="Times New Roman" w:cs="Times New Roman"/>
                <w:color w:val="auto"/>
                <w:sz w:val="21"/>
                <w:lang w:eastAsia="zh-CN"/>
              </w:rPr>
            </w:pPr>
          </w:p>
        </w:tc>
        <w:tc>
          <w:tcPr>
            <w:tcW w:w="559" w:type="pct"/>
            <w:vAlign w:val="center"/>
          </w:tcPr>
          <w:p w14:paraId="5DDE2FC5">
            <w:pPr>
              <w:jc w:val="center"/>
              <w:rPr>
                <w:rFonts w:ascii="Times New Roman" w:hAnsi="Times New Roman" w:cs="Times New Roman"/>
                <w:color w:val="auto"/>
                <w:sz w:val="21"/>
                <w:lang w:eastAsia="zh-CN"/>
              </w:rPr>
            </w:pPr>
          </w:p>
        </w:tc>
        <w:tc>
          <w:tcPr>
            <w:tcW w:w="559" w:type="pct"/>
            <w:vAlign w:val="center"/>
          </w:tcPr>
          <w:p w14:paraId="2FDB8B5C">
            <w:pPr>
              <w:jc w:val="center"/>
              <w:rPr>
                <w:rFonts w:ascii="Times New Roman" w:hAnsi="Times New Roman" w:cs="Times New Roman"/>
                <w:color w:val="auto"/>
                <w:sz w:val="21"/>
                <w:lang w:eastAsia="zh-CN"/>
              </w:rPr>
            </w:pPr>
          </w:p>
        </w:tc>
        <w:tc>
          <w:tcPr>
            <w:tcW w:w="559" w:type="pct"/>
            <w:vAlign w:val="center"/>
          </w:tcPr>
          <w:p w14:paraId="147E0664">
            <w:pPr>
              <w:jc w:val="center"/>
              <w:rPr>
                <w:rFonts w:ascii="Times New Roman" w:hAnsi="Times New Roman" w:cs="Times New Roman"/>
                <w:color w:val="auto"/>
                <w:sz w:val="21"/>
                <w:lang w:eastAsia="zh-CN"/>
              </w:rPr>
            </w:pPr>
          </w:p>
        </w:tc>
        <w:tc>
          <w:tcPr>
            <w:tcW w:w="559" w:type="pct"/>
            <w:vAlign w:val="center"/>
          </w:tcPr>
          <w:p w14:paraId="41C7E61F">
            <w:pPr>
              <w:jc w:val="center"/>
              <w:rPr>
                <w:rFonts w:ascii="Times New Roman" w:hAnsi="Times New Roman" w:cs="Times New Roman"/>
                <w:color w:val="auto"/>
                <w:sz w:val="21"/>
                <w:lang w:eastAsia="zh-CN"/>
              </w:rPr>
            </w:pPr>
          </w:p>
        </w:tc>
      </w:tr>
      <w:tr w14:paraId="02BB660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3" w:hRule="atLeast"/>
          <w:jc w:val="center"/>
        </w:trPr>
        <w:tc>
          <w:tcPr>
            <w:tcW w:w="1087" w:type="pct"/>
            <w:vAlign w:val="center"/>
          </w:tcPr>
          <w:p w14:paraId="5DBCB37A">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6000</w:t>
            </w:r>
          </w:p>
        </w:tc>
        <w:tc>
          <w:tcPr>
            <w:tcW w:w="559" w:type="pct"/>
            <w:vAlign w:val="center"/>
          </w:tcPr>
          <w:p w14:paraId="2B3E4722">
            <w:pPr>
              <w:jc w:val="center"/>
              <w:rPr>
                <w:rFonts w:ascii="Times New Roman" w:hAnsi="Times New Roman" w:cs="Times New Roman"/>
                <w:color w:val="auto"/>
                <w:sz w:val="21"/>
                <w:lang w:eastAsia="zh-CN"/>
              </w:rPr>
            </w:pPr>
          </w:p>
        </w:tc>
        <w:tc>
          <w:tcPr>
            <w:tcW w:w="559" w:type="pct"/>
            <w:vAlign w:val="center"/>
          </w:tcPr>
          <w:p w14:paraId="0F3BA7D7">
            <w:pPr>
              <w:jc w:val="center"/>
              <w:rPr>
                <w:rFonts w:ascii="Times New Roman" w:hAnsi="Times New Roman" w:cs="Times New Roman"/>
                <w:color w:val="auto"/>
                <w:sz w:val="21"/>
                <w:lang w:eastAsia="zh-CN"/>
              </w:rPr>
            </w:pPr>
          </w:p>
        </w:tc>
        <w:tc>
          <w:tcPr>
            <w:tcW w:w="559" w:type="pct"/>
            <w:vAlign w:val="center"/>
          </w:tcPr>
          <w:p w14:paraId="7EA29754">
            <w:pPr>
              <w:jc w:val="center"/>
              <w:rPr>
                <w:rFonts w:ascii="Times New Roman" w:hAnsi="Times New Roman" w:cs="Times New Roman"/>
                <w:color w:val="auto"/>
                <w:sz w:val="21"/>
                <w:lang w:eastAsia="zh-CN"/>
              </w:rPr>
            </w:pPr>
          </w:p>
        </w:tc>
        <w:tc>
          <w:tcPr>
            <w:tcW w:w="559" w:type="pct"/>
            <w:vAlign w:val="center"/>
          </w:tcPr>
          <w:p w14:paraId="3E946282">
            <w:pPr>
              <w:jc w:val="center"/>
              <w:rPr>
                <w:rFonts w:ascii="Times New Roman" w:hAnsi="Times New Roman" w:cs="Times New Roman"/>
                <w:color w:val="auto"/>
                <w:sz w:val="21"/>
                <w:lang w:eastAsia="zh-CN"/>
              </w:rPr>
            </w:pPr>
          </w:p>
        </w:tc>
        <w:tc>
          <w:tcPr>
            <w:tcW w:w="559" w:type="pct"/>
            <w:vAlign w:val="center"/>
          </w:tcPr>
          <w:p w14:paraId="5D93EBC4">
            <w:pPr>
              <w:jc w:val="center"/>
              <w:rPr>
                <w:rFonts w:ascii="Times New Roman" w:hAnsi="Times New Roman" w:cs="Times New Roman"/>
                <w:color w:val="auto"/>
                <w:sz w:val="21"/>
                <w:lang w:eastAsia="zh-CN"/>
              </w:rPr>
            </w:pPr>
          </w:p>
        </w:tc>
        <w:tc>
          <w:tcPr>
            <w:tcW w:w="559" w:type="pct"/>
            <w:vAlign w:val="center"/>
          </w:tcPr>
          <w:p w14:paraId="0EC8B68B">
            <w:pPr>
              <w:jc w:val="center"/>
              <w:rPr>
                <w:rFonts w:ascii="Times New Roman" w:hAnsi="Times New Roman" w:cs="Times New Roman"/>
                <w:color w:val="auto"/>
                <w:sz w:val="21"/>
                <w:lang w:eastAsia="zh-CN"/>
              </w:rPr>
            </w:pPr>
          </w:p>
        </w:tc>
        <w:tc>
          <w:tcPr>
            <w:tcW w:w="559" w:type="pct"/>
            <w:vAlign w:val="center"/>
          </w:tcPr>
          <w:p w14:paraId="450F9B08">
            <w:pPr>
              <w:jc w:val="center"/>
              <w:rPr>
                <w:rFonts w:ascii="Times New Roman" w:hAnsi="Times New Roman" w:cs="Times New Roman"/>
                <w:color w:val="auto"/>
                <w:sz w:val="21"/>
                <w:lang w:eastAsia="zh-CN"/>
              </w:rPr>
            </w:pPr>
          </w:p>
        </w:tc>
      </w:tr>
      <w:tr w14:paraId="540B659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3" w:hRule="atLeast"/>
          <w:jc w:val="center"/>
        </w:trPr>
        <w:tc>
          <w:tcPr>
            <w:tcW w:w="1087" w:type="pct"/>
            <w:vAlign w:val="center"/>
          </w:tcPr>
          <w:p w14:paraId="6A454E57">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6500</w:t>
            </w:r>
          </w:p>
        </w:tc>
        <w:tc>
          <w:tcPr>
            <w:tcW w:w="559" w:type="pct"/>
            <w:vAlign w:val="center"/>
          </w:tcPr>
          <w:p w14:paraId="7FDB43DC">
            <w:pPr>
              <w:jc w:val="center"/>
              <w:rPr>
                <w:rFonts w:ascii="Times New Roman" w:hAnsi="Times New Roman" w:cs="Times New Roman"/>
                <w:color w:val="auto"/>
                <w:sz w:val="21"/>
                <w:lang w:eastAsia="zh-CN"/>
              </w:rPr>
            </w:pPr>
          </w:p>
        </w:tc>
        <w:tc>
          <w:tcPr>
            <w:tcW w:w="559" w:type="pct"/>
            <w:vAlign w:val="center"/>
          </w:tcPr>
          <w:p w14:paraId="19C7411E">
            <w:pPr>
              <w:jc w:val="center"/>
              <w:rPr>
                <w:rFonts w:ascii="Times New Roman" w:hAnsi="Times New Roman" w:cs="Times New Roman"/>
                <w:color w:val="auto"/>
                <w:sz w:val="21"/>
                <w:lang w:eastAsia="zh-CN"/>
              </w:rPr>
            </w:pPr>
          </w:p>
        </w:tc>
        <w:tc>
          <w:tcPr>
            <w:tcW w:w="559" w:type="pct"/>
            <w:vAlign w:val="center"/>
          </w:tcPr>
          <w:p w14:paraId="0C19C87C">
            <w:pPr>
              <w:jc w:val="center"/>
              <w:rPr>
                <w:rFonts w:ascii="Times New Roman" w:hAnsi="Times New Roman" w:cs="Times New Roman"/>
                <w:color w:val="auto"/>
                <w:sz w:val="21"/>
                <w:lang w:eastAsia="zh-CN"/>
              </w:rPr>
            </w:pPr>
          </w:p>
        </w:tc>
        <w:tc>
          <w:tcPr>
            <w:tcW w:w="559" w:type="pct"/>
            <w:vAlign w:val="center"/>
          </w:tcPr>
          <w:p w14:paraId="542CF372">
            <w:pPr>
              <w:jc w:val="center"/>
              <w:rPr>
                <w:rFonts w:ascii="Times New Roman" w:hAnsi="Times New Roman" w:cs="Times New Roman"/>
                <w:color w:val="auto"/>
                <w:sz w:val="21"/>
                <w:lang w:eastAsia="zh-CN"/>
              </w:rPr>
            </w:pPr>
          </w:p>
        </w:tc>
        <w:tc>
          <w:tcPr>
            <w:tcW w:w="559" w:type="pct"/>
            <w:vAlign w:val="center"/>
          </w:tcPr>
          <w:p w14:paraId="5B84314E">
            <w:pPr>
              <w:jc w:val="center"/>
              <w:rPr>
                <w:rFonts w:ascii="Times New Roman" w:hAnsi="Times New Roman" w:cs="Times New Roman"/>
                <w:color w:val="auto"/>
                <w:sz w:val="21"/>
                <w:lang w:eastAsia="zh-CN"/>
              </w:rPr>
            </w:pPr>
          </w:p>
        </w:tc>
        <w:tc>
          <w:tcPr>
            <w:tcW w:w="559" w:type="pct"/>
            <w:vAlign w:val="center"/>
          </w:tcPr>
          <w:p w14:paraId="796475D1">
            <w:pPr>
              <w:jc w:val="center"/>
              <w:rPr>
                <w:rFonts w:ascii="Times New Roman" w:hAnsi="Times New Roman" w:cs="Times New Roman"/>
                <w:color w:val="auto"/>
                <w:sz w:val="21"/>
                <w:lang w:eastAsia="zh-CN"/>
              </w:rPr>
            </w:pPr>
          </w:p>
        </w:tc>
        <w:tc>
          <w:tcPr>
            <w:tcW w:w="559" w:type="pct"/>
            <w:vAlign w:val="center"/>
          </w:tcPr>
          <w:p w14:paraId="1E08D621">
            <w:pPr>
              <w:jc w:val="center"/>
              <w:rPr>
                <w:rFonts w:ascii="Times New Roman" w:hAnsi="Times New Roman" w:cs="Times New Roman"/>
                <w:color w:val="auto"/>
                <w:sz w:val="21"/>
                <w:lang w:eastAsia="zh-CN"/>
              </w:rPr>
            </w:pPr>
          </w:p>
        </w:tc>
      </w:tr>
      <w:tr w14:paraId="4523EB1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3" w:hRule="atLeast"/>
          <w:jc w:val="center"/>
        </w:trPr>
        <w:tc>
          <w:tcPr>
            <w:tcW w:w="1087" w:type="pct"/>
            <w:vAlign w:val="center"/>
          </w:tcPr>
          <w:p w14:paraId="54441A48">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7000</w:t>
            </w:r>
          </w:p>
        </w:tc>
        <w:tc>
          <w:tcPr>
            <w:tcW w:w="559" w:type="pct"/>
            <w:vAlign w:val="center"/>
          </w:tcPr>
          <w:p w14:paraId="53B1153F">
            <w:pPr>
              <w:jc w:val="center"/>
              <w:rPr>
                <w:rFonts w:ascii="Times New Roman" w:hAnsi="Times New Roman" w:cs="Times New Roman"/>
                <w:color w:val="auto"/>
                <w:sz w:val="21"/>
                <w:lang w:eastAsia="zh-CN"/>
              </w:rPr>
            </w:pPr>
          </w:p>
        </w:tc>
        <w:tc>
          <w:tcPr>
            <w:tcW w:w="559" w:type="pct"/>
            <w:vAlign w:val="center"/>
          </w:tcPr>
          <w:p w14:paraId="4B88EA9A">
            <w:pPr>
              <w:jc w:val="center"/>
              <w:rPr>
                <w:rFonts w:ascii="Times New Roman" w:hAnsi="Times New Roman" w:cs="Times New Roman"/>
                <w:color w:val="auto"/>
                <w:sz w:val="21"/>
                <w:lang w:eastAsia="zh-CN"/>
              </w:rPr>
            </w:pPr>
          </w:p>
        </w:tc>
        <w:tc>
          <w:tcPr>
            <w:tcW w:w="559" w:type="pct"/>
            <w:vAlign w:val="center"/>
          </w:tcPr>
          <w:p w14:paraId="5E9CF22E">
            <w:pPr>
              <w:jc w:val="center"/>
              <w:rPr>
                <w:rFonts w:ascii="Times New Roman" w:hAnsi="Times New Roman" w:cs="Times New Roman"/>
                <w:color w:val="auto"/>
                <w:sz w:val="21"/>
                <w:lang w:eastAsia="zh-CN"/>
              </w:rPr>
            </w:pPr>
          </w:p>
        </w:tc>
        <w:tc>
          <w:tcPr>
            <w:tcW w:w="559" w:type="pct"/>
            <w:vAlign w:val="center"/>
          </w:tcPr>
          <w:p w14:paraId="4603BF8E">
            <w:pPr>
              <w:jc w:val="center"/>
              <w:rPr>
                <w:rFonts w:ascii="Times New Roman" w:hAnsi="Times New Roman" w:cs="Times New Roman"/>
                <w:color w:val="auto"/>
                <w:sz w:val="21"/>
                <w:lang w:eastAsia="zh-CN"/>
              </w:rPr>
            </w:pPr>
          </w:p>
        </w:tc>
        <w:tc>
          <w:tcPr>
            <w:tcW w:w="559" w:type="pct"/>
            <w:vAlign w:val="center"/>
          </w:tcPr>
          <w:p w14:paraId="18D87332">
            <w:pPr>
              <w:jc w:val="center"/>
              <w:rPr>
                <w:rFonts w:ascii="Times New Roman" w:hAnsi="Times New Roman" w:cs="Times New Roman"/>
                <w:color w:val="auto"/>
                <w:sz w:val="21"/>
                <w:lang w:eastAsia="zh-CN"/>
              </w:rPr>
            </w:pPr>
          </w:p>
        </w:tc>
        <w:tc>
          <w:tcPr>
            <w:tcW w:w="559" w:type="pct"/>
            <w:vAlign w:val="center"/>
          </w:tcPr>
          <w:p w14:paraId="42C7F904">
            <w:pPr>
              <w:jc w:val="center"/>
              <w:rPr>
                <w:rFonts w:ascii="Times New Roman" w:hAnsi="Times New Roman" w:cs="Times New Roman"/>
                <w:color w:val="auto"/>
                <w:sz w:val="21"/>
                <w:lang w:eastAsia="zh-CN"/>
              </w:rPr>
            </w:pPr>
          </w:p>
        </w:tc>
        <w:tc>
          <w:tcPr>
            <w:tcW w:w="559" w:type="pct"/>
            <w:vAlign w:val="center"/>
          </w:tcPr>
          <w:p w14:paraId="0CA8DC9B">
            <w:pPr>
              <w:jc w:val="center"/>
              <w:rPr>
                <w:rFonts w:ascii="Times New Roman" w:hAnsi="Times New Roman" w:cs="Times New Roman"/>
                <w:color w:val="auto"/>
                <w:sz w:val="21"/>
                <w:lang w:eastAsia="zh-CN"/>
              </w:rPr>
            </w:pPr>
          </w:p>
        </w:tc>
      </w:tr>
      <w:tr w14:paraId="7B8F8BA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3" w:hRule="atLeast"/>
          <w:jc w:val="center"/>
        </w:trPr>
        <w:tc>
          <w:tcPr>
            <w:tcW w:w="1087" w:type="pct"/>
            <w:vAlign w:val="center"/>
          </w:tcPr>
          <w:p w14:paraId="0DFEC7D2">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7500</w:t>
            </w:r>
          </w:p>
        </w:tc>
        <w:tc>
          <w:tcPr>
            <w:tcW w:w="559" w:type="pct"/>
            <w:vAlign w:val="center"/>
          </w:tcPr>
          <w:p w14:paraId="02447D70">
            <w:pPr>
              <w:jc w:val="center"/>
              <w:rPr>
                <w:rFonts w:ascii="Times New Roman" w:hAnsi="Times New Roman" w:cs="Times New Roman"/>
                <w:color w:val="auto"/>
                <w:sz w:val="21"/>
                <w:lang w:eastAsia="zh-CN"/>
              </w:rPr>
            </w:pPr>
          </w:p>
        </w:tc>
        <w:tc>
          <w:tcPr>
            <w:tcW w:w="559" w:type="pct"/>
            <w:vAlign w:val="center"/>
          </w:tcPr>
          <w:p w14:paraId="188CE35E">
            <w:pPr>
              <w:jc w:val="center"/>
              <w:rPr>
                <w:rFonts w:ascii="Times New Roman" w:hAnsi="Times New Roman" w:cs="Times New Roman"/>
                <w:color w:val="auto"/>
                <w:sz w:val="21"/>
                <w:lang w:eastAsia="zh-CN"/>
              </w:rPr>
            </w:pPr>
          </w:p>
        </w:tc>
        <w:tc>
          <w:tcPr>
            <w:tcW w:w="559" w:type="pct"/>
            <w:vAlign w:val="center"/>
          </w:tcPr>
          <w:p w14:paraId="6FFB5109">
            <w:pPr>
              <w:jc w:val="center"/>
              <w:rPr>
                <w:rFonts w:ascii="Times New Roman" w:hAnsi="Times New Roman" w:cs="Times New Roman"/>
                <w:color w:val="auto"/>
                <w:sz w:val="21"/>
                <w:lang w:eastAsia="zh-CN"/>
              </w:rPr>
            </w:pPr>
          </w:p>
        </w:tc>
        <w:tc>
          <w:tcPr>
            <w:tcW w:w="559" w:type="pct"/>
            <w:vAlign w:val="center"/>
          </w:tcPr>
          <w:p w14:paraId="1760A67B">
            <w:pPr>
              <w:jc w:val="center"/>
              <w:rPr>
                <w:rFonts w:ascii="Times New Roman" w:hAnsi="Times New Roman" w:cs="Times New Roman"/>
                <w:color w:val="auto"/>
                <w:sz w:val="21"/>
                <w:lang w:eastAsia="zh-CN"/>
              </w:rPr>
            </w:pPr>
          </w:p>
        </w:tc>
        <w:tc>
          <w:tcPr>
            <w:tcW w:w="559" w:type="pct"/>
            <w:vAlign w:val="center"/>
          </w:tcPr>
          <w:p w14:paraId="71DF78D9">
            <w:pPr>
              <w:jc w:val="center"/>
              <w:rPr>
                <w:rFonts w:ascii="Times New Roman" w:hAnsi="Times New Roman" w:cs="Times New Roman"/>
                <w:color w:val="auto"/>
                <w:sz w:val="21"/>
                <w:lang w:eastAsia="zh-CN"/>
              </w:rPr>
            </w:pPr>
          </w:p>
        </w:tc>
        <w:tc>
          <w:tcPr>
            <w:tcW w:w="559" w:type="pct"/>
            <w:vAlign w:val="center"/>
          </w:tcPr>
          <w:p w14:paraId="252C1791">
            <w:pPr>
              <w:jc w:val="center"/>
              <w:rPr>
                <w:rFonts w:ascii="Times New Roman" w:hAnsi="Times New Roman" w:cs="Times New Roman"/>
                <w:color w:val="auto"/>
                <w:sz w:val="21"/>
                <w:lang w:eastAsia="zh-CN"/>
              </w:rPr>
            </w:pPr>
          </w:p>
        </w:tc>
        <w:tc>
          <w:tcPr>
            <w:tcW w:w="559" w:type="pct"/>
            <w:vAlign w:val="center"/>
          </w:tcPr>
          <w:p w14:paraId="2790DD89">
            <w:pPr>
              <w:jc w:val="center"/>
              <w:rPr>
                <w:rFonts w:ascii="Times New Roman" w:hAnsi="Times New Roman" w:cs="Times New Roman"/>
                <w:color w:val="auto"/>
                <w:sz w:val="21"/>
                <w:lang w:eastAsia="zh-CN"/>
              </w:rPr>
            </w:pPr>
          </w:p>
        </w:tc>
      </w:tr>
      <w:tr w14:paraId="083F3A0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3" w:hRule="atLeast"/>
          <w:jc w:val="center"/>
        </w:trPr>
        <w:tc>
          <w:tcPr>
            <w:tcW w:w="1087" w:type="pct"/>
            <w:vAlign w:val="center"/>
          </w:tcPr>
          <w:p w14:paraId="7E670C48">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7900（凤阳县经开区二水厂取水口）</w:t>
            </w:r>
          </w:p>
        </w:tc>
        <w:tc>
          <w:tcPr>
            <w:tcW w:w="559" w:type="pct"/>
            <w:vAlign w:val="center"/>
          </w:tcPr>
          <w:p w14:paraId="524F1C8B">
            <w:pPr>
              <w:jc w:val="center"/>
              <w:rPr>
                <w:rFonts w:ascii="Times New Roman" w:hAnsi="Times New Roman" w:cs="Times New Roman"/>
                <w:color w:val="auto"/>
                <w:sz w:val="21"/>
              </w:rPr>
            </w:pPr>
          </w:p>
        </w:tc>
        <w:tc>
          <w:tcPr>
            <w:tcW w:w="559" w:type="pct"/>
            <w:vAlign w:val="center"/>
          </w:tcPr>
          <w:p w14:paraId="4006DA09">
            <w:pPr>
              <w:jc w:val="center"/>
              <w:rPr>
                <w:rFonts w:ascii="Times New Roman" w:hAnsi="Times New Roman" w:cs="Times New Roman"/>
                <w:color w:val="auto"/>
                <w:sz w:val="21"/>
              </w:rPr>
            </w:pPr>
          </w:p>
        </w:tc>
        <w:tc>
          <w:tcPr>
            <w:tcW w:w="559" w:type="pct"/>
            <w:vAlign w:val="center"/>
          </w:tcPr>
          <w:p w14:paraId="61E7676E">
            <w:pPr>
              <w:jc w:val="center"/>
              <w:rPr>
                <w:rFonts w:ascii="Times New Roman" w:hAnsi="Times New Roman" w:cs="Times New Roman"/>
                <w:color w:val="auto"/>
                <w:sz w:val="21"/>
              </w:rPr>
            </w:pPr>
          </w:p>
        </w:tc>
        <w:tc>
          <w:tcPr>
            <w:tcW w:w="559" w:type="pct"/>
            <w:vAlign w:val="center"/>
          </w:tcPr>
          <w:p w14:paraId="0577D0D7">
            <w:pPr>
              <w:jc w:val="center"/>
              <w:rPr>
                <w:rFonts w:ascii="Times New Roman" w:hAnsi="Times New Roman" w:cs="Times New Roman"/>
                <w:color w:val="auto"/>
                <w:sz w:val="21"/>
              </w:rPr>
            </w:pPr>
          </w:p>
        </w:tc>
        <w:tc>
          <w:tcPr>
            <w:tcW w:w="559" w:type="pct"/>
            <w:vAlign w:val="center"/>
          </w:tcPr>
          <w:p w14:paraId="60936E78">
            <w:pPr>
              <w:jc w:val="center"/>
              <w:rPr>
                <w:rFonts w:ascii="Times New Roman" w:hAnsi="Times New Roman" w:cs="Times New Roman"/>
                <w:color w:val="auto"/>
                <w:sz w:val="21"/>
              </w:rPr>
            </w:pPr>
          </w:p>
        </w:tc>
        <w:tc>
          <w:tcPr>
            <w:tcW w:w="559" w:type="pct"/>
            <w:vAlign w:val="center"/>
          </w:tcPr>
          <w:p w14:paraId="1301CB70">
            <w:pPr>
              <w:jc w:val="center"/>
              <w:rPr>
                <w:rFonts w:ascii="Times New Roman" w:hAnsi="Times New Roman" w:cs="Times New Roman"/>
                <w:color w:val="auto"/>
                <w:sz w:val="21"/>
              </w:rPr>
            </w:pPr>
          </w:p>
        </w:tc>
        <w:tc>
          <w:tcPr>
            <w:tcW w:w="559" w:type="pct"/>
            <w:vAlign w:val="center"/>
          </w:tcPr>
          <w:p w14:paraId="46E632FF">
            <w:pPr>
              <w:jc w:val="center"/>
              <w:rPr>
                <w:rFonts w:ascii="Times New Roman" w:hAnsi="Times New Roman" w:cs="Times New Roman"/>
                <w:color w:val="auto"/>
                <w:sz w:val="21"/>
              </w:rPr>
            </w:pPr>
          </w:p>
        </w:tc>
      </w:tr>
      <w:tr w14:paraId="47BC0F6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3" w:hRule="atLeast"/>
          <w:jc w:val="center"/>
        </w:trPr>
        <w:tc>
          <w:tcPr>
            <w:tcW w:w="1087" w:type="pct"/>
            <w:vAlign w:val="center"/>
          </w:tcPr>
          <w:p w14:paraId="4CEDC9C1">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8000</w:t>
            </w:r>
          </w:p>
        </w:tc>
        <w:tc>
          <w:tcPr>
            <w:tcW w:w="559" w:type="pct"/>
            <w:vAlign w:val="center"/>
          </w:tcPr>
          <w:p w14:paraId="5961D897">
            <w:pPr>
              <w:jc w:val="center"/>
              <w:rPr>
                <w:rFonts w:ascii="Times New Roman" w:hAnsi="Times New Roman" w:cs="Times New Roman"/>
                <w:color w:val="auto"/>
                <w:sz w:val="21"/>
                <w:lang w:eastAsia="zh-CN"/>
              </w:rPr>
            </w:pPr>
          </w:p>
        </w:tc>
        <w:tc>
          <w:tcPr>
            <w:tcW w:w="559" w:type="pct"/>
            <w:vAlign w:val="center"/>
          </w:tcPr>
          <w:p w14:paraId="19BEECC7">
            <w:pPr>
              <w:jc w:val="center"/>
              <w:rPr>
                <w:rFonts w:ascii="Times New Roman" w:hAnsi="Times New Roman" w:cs="Times New Roman"/>
                <w:color w:val="auto"/>
                <w:sz w:val="21"/>
                <w:lang w:eastAsia="zh-CN"/>
              </w:rPr>
            </w:pPr>
          </w:p>
        </w:tc>
        <w:tc>
          <w:tcPr>
            <w:tcW w:w="559" w:type="pct"/>
            <w:vAlign w:val="center"/>
          </w:tcPr>
          <w:p w14:paraId="4C8E528D">
            <w:pPr>
              <w:jc w:val="center"/>
              <w:rPr>
                <w:rFonts w:ascii="Times New Roman" w:hAnsi="Times New Roman" w:cs="Times New Roman"/>
                <w:color w:val="auto"/>
                <w:sz w:val="21"/>
                <w:lang w:eastAsia="zh-CN"/>
              </w:rPr>
            </w:pPr>
          </w:p>
        </w:tc>
        <w:tc>
          <w:tcPr>
            <w:tcW w:w="559" w:type="pct"/>
            <w:vAlign w:val="center"/>
          </w:tcPr>
          <w:p w14:paraId="0B01D746">
            <w:pPr>
              <w:jc w:val="center"/>
              <w:rPr>
                <w:rFonts w:ascii="Times New Roman" w:hAnsi="Times New Roman" w:cs="Times New Roman"/>
                <w:color w:val="auto"/>
                <w:sz w:val="21"/>
                <w:lang w:eastAsia="zh-CN"/>
              </w:rPr>
            </w:pPr>
          </w:p>
        </w:tc>
        <w:tc>
          <w:tcPr>
            <w:tcW w:w="559" w:type="pct"/>
            <w:vAlign w:val="center"/>
          </w:tcPr>
          <w:p w14:paraId="60AC490E">
            <w:pPr>
              <w:jc w:val="center"/>
              <w:rPr>
                <w:rFonts w:ascii="Times New Roman" w:hAnsi="Times New Roman" w:cs="Times New Roman"/>
                <w:color w:val="auto"/>
                <w:sz w:val="21"/>
                <w:lang w:eastAsia="zh-CN"/>
              </w:rPr>
            </w:pPr>
          </w:p>
        </w:tc>
        <w:tc>
          <w:tcPr>
            <w:tcW w:w="559" w:type="pct"/>
            <w:vAlign w:val="center"/>
          </w:tcPr>
          <w:p w14:paraId="4C7B99DE">
            <w:pPr>
              <w:jc w:val="center"/>
              <w:rPr>
                <w:rFonts w:ascii="Times New Roman" w:hAnsi="Times New Roman" w:cs="Times New Roman"/>
                <w:color w:val="auto"/>
                <w:sz w:val="21"/>
                <w:lang w:eastAsia="zh-CN"/>
              </w:rPr>
            </w:pPr>
          </w:p>
        </w:tc>
        <w:tc>
          <w:tcPr>
            <w:tcW w:w="559" w:type="pct"/>
            <w:vAlign w:val="center"/>
          </w:tcPr>
          <w:p w14:paraId="3CCAB62F">
            <w:pPr>
              <w:jc w:val="center"/>
              <w:rPr>
                <w:rFonts w:ascii="Times New Roman" w:hAnsi="Times New Roman" w:cs="Times New Roman"/>
                <w:color w:val="auto"/>
                <w:sz w:val="21"/>
                <w:lang w:eastAsia="zh-CN"/>
              </w:rPr>
            </w:pPr>
          </w:p>
        </w:tc>
      </w:tr>
      <w:tr w14:paraId="1629CE6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3" w:hRule="atLeast"/>
          <w:jc w:val="center"/>
        </w:trPr>
        <w:tc>
          <w:tcPr>
            <w:tcW w:w="1087" w:type="pct"/>
            <w:vAlign w:val="center"/>
          </w:tcPr>
          <w:p w14:paraId="14A8A716">
            <w:pPr>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8500</w:t>
            </w:r>
          </w:p>
        </w:tc>
        <w:tc>
          <w:tcPr>
            <w:tcW w:w="559" w:type="pct"/>
            <w:vAlign w:val="center"/>
          </w:tcPr>
          <w:p w14:paraId="251EAC58">
            <w:pPr>
              <w:jc w:val="center"/>
              <w:rPr>
                <w:rFonts w:ascii="Times New Roman" w:hAnsi="Times New Roman" w:cs="Times New Roman"/>
                <w:color w:val="auto"/>
                <w:sz w:val="21"/>
                <w:lang w:eastAsia="zh-CN"/>
              </w:rPr>
            </w:pPr>
          </w:p>
        </w:tc>
        <w:tc>
          <w:tcPr>
            <w:tcW w:w="559" w:type="pct"/>
            <w:vAlign w:val="center"/>
          </w:tcPr>
          <w:p w14:paraId="24C66C09">
            <w:pPr>
              <w:jc w:val="center"/>
              <w:rPr>
                <w:rFonts w:ascii="Times New Roman" w:hAnsi="Times New Roman" w:cs="Times New Roman"/>
                <w:color w:val="auto"/>
                <w:sz w:val="21"/>
                <w:lang w:eastAsia="zh-CN"/>
              </w:rPr>
            </w:pPr>
          </w:p>
        </w:tc>
        <w:tc>
          <w:tcPr>
            <w:tcW w:w="559" w:type="pct"/>
            <w:vAlign w:val="center"/>
          </w:tcPr>
          <w:p w14:paraId="6B2B545B">
            <w:pPr>
              <w:jc w:val="center"/>
              <w:rPr>
                <w:rFonts w:ascii="Times New Roman" w:hAnsi="Times New Roman" w:cs="Times New Roman"/>
                <w:color w:val="auto"/>
                <w:sz w:val="21"/>
                <w:lang w:eastAsia="zh-CN"/>
              </w:rPr>
            </w:pPr>
          </w:p>
        </w:tc>
        <w:tc>
          <w:tcPr>
            <w:tcW w:w="559" w:type="pct"/>
            <w:vAlign w:val="center"/>
          </w:tcPr>
          <w:p w14:paraId="78502503">
            <w:pPr>
              <w:jc w:val="center"/>
              <w:rPr>
                <w:rFonts w:ascii="Times New Roman" w:hAnsi="Times New Roman" w:cs="Times New Roman"/>
                <w:color w:val="auto"/>
                <w:sz w:val="21"/>
                <w:lang w:eastAsia="zh-CN"/>
              </w:rPr>
            </w:pPr>
          </w:p>
        </w:tc>
        <w:tc>
          <w:tcPr>
            <w:tcW w:w="559" w:type="pct"/>
            <w:vAlign w:val="center"/>
          </w:tcPr>
          <w:p w14:paraId="35A8CAF8">
            <w:pPr>
              <w:jc w:val="center"/>
              <w:rPr>
                <w:rFonts w:ascii="Times New Roman" w:hAnsi="Times New Roman" w:cs="Times New Roman"/>
                <w:color w:val="auto"/>
                <w:sz w:val="21"/>
                <w:lang w:eastAsia="zh-CN"/>
              </w:rPr>
            </w:pPr>
          </w:p>
        </w:tc>
        <w:tc>
          <w:tcPr>
            <w:tcW w:w="559" w:type="pct"/>
            <w:vAlign w:val="center"/>
          </w:tcPr>
          <w:p w14:paraId="277F4EB5">
            <w:pPr>
              <w:jc w:val="center"/>
              <w:rPr>
                <w:rFonts w:ascii="Times New Roman" w:hAnsi="Times New Roman" w:cs="Times New Roman"/>
                <w:color w:val="auto"/>
                <w:sz w:val="21"/>
                <w:lang w:eastAsia="zh-CN"/>
              </w:rPr>
            </w:pPr>
          </w:p>
        </w:tc>
        <w:tc>
          <w:tcPr>
            <w:tcW w:w="559" w:type="pct"/>
            <w:vAlign w:val="center"/>
          </w:tcPr>
          <w:p w14:paraId="59FB3B96">
            <w:pPr>
              <w:jc w:val="center"/>
              <w:rPr>
                <w:rFonts w:ascii="Times New Roman" w:hAnsi="Times New Roman" w:cs="Times New Roman"/>
                <w:color w:val="auto"/>
                <w:sz w:val="21"/>
                <w:lang w:eastAsia="zh-CN"/>
              </w:rPr>
            </w:pPr>
          </w:p>
        </w:tc>
      </w:tr>
    </w:tbl>
    <w:p w14:paraId="33AE8F2D">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枯水期事故废水非正常排放，对</w:t>
      </w:r>
      <w:r>
        <w:rPr>
          <w:rFonts w:hint="eastAsia" w:ascii="Times New Roman" w:hAnsi="Times New Roman" w:cs="Times New Roman"/>
          <w:color w:val="auto"/>
          <w:szCs w:val="24"/>
          <w:lang w:eastAsia="zh-CN"/>
        </w:rPr>
        <w:t>下游约7.9</w:t>
      </w:r>
      <w:r>
        <w:rPr>
          <w:rFonts w:ascii="Times New Roman" w:hAnsi="Times New Roman" w:cs="Times New Roman"/>
          <w:color w:val="auto"/>
          <w:szCs w:val="24"/>
          <w:lang w:eastAsia="zh-CN"/>
        </w:rPr>
        <w:t>km处的</w:t>
      </w:r>
      <w:r>
        <w:rPr>
          <w:rFonts w:hint="eastAsia" w:ascii="Times New Roman" w:hAnsi="Times New Roman" w:cs="Times New Roman"/>
          <w:color w:val="auto"/>
          <w:szCs w:val="24"/>
          <w:lang w:eastAsia="zh-CN"/>
        </w:rPr>
        <w:t>凤阳县经开区二水厂取水口</w:t>
      </w:r>
      <w:r>
        <w:rPr>
          <w:rFonts w:ascii="Times New Roman" w:hAnsi="Times New Roman" w:cs="Times New Roman"/>
          <w:color w:val="auto"/>
          <w:szCs w:val="24"/>
          <w:lang w:eastAsia="zh-CN"/>
        </w:rPr>
        <w:t>断面预测，</w:t>
      </w:r>
      <w:r>
        <w:rPr>
          <w:rFonts w:hint="eastAsia" w:ascii="Times New Roman" w:hAnsi="Times New Roman" w:cs="Times New Roman"/>
          <w:color w:val="auto"/>
          <w:szCs w:val="24"/>
          <w:lang w:eastAsia="zh-CN"/>
        </w:rPr>
        <w:t>氟化物</w:t>
      </w:r>
      <w:r>
        <w:rPr>
          <w:rFonts w:ascii="Times New Roman" w:hAnsi="Times New Roman" w:cs="Times New Roman"/>
          <w:color w:val="auto"/>
          <w:szCs w:val="24"/>
          <w:lang w:eastAsia="zh-CN"/>
        </w:rPr>
        <w:t>水质浓度达到</w:t>
      </w:r>
      <w:r>
        <w:rPr>
          <w:rFonts w:hint="eastAsia" w:ascii="Times New Roman" w:hAnsi="Times New Roman" w:cs="Times New Roman"/>
          <w:color w:val="auto"/>
          <w:szCs w:val="24"/>
          <w:lang w:eastAsia="zh-CN"/>
        </w:rPr>
        <w:t>104.1</w:t>
      </w:r>
      <w:r>
        <w:rPr>
          <w:rFonts w:ascii="Times New Roman" w:hAnsi="Times New Roman" w:cs="Times New Roman"/>
          <w:color w:val="auto"/>
          <w:szCs w:val="24"/>
          <w:lang w:eastAsia="zh-CN"/>
        </w:rPr>
        <w:t>mg/L，不满足《地表水环境质量标准》（GB3838-2002）中的Ⅲ类标准</w:t>
      </w:r>
      <w:r>
        <w:rPr>
          <w:rFonts w:hint="eastAsia" w:ascii="Times New Roman" w:hAnsi="Times New Roman" w:cs="Times New Roman"/>
          <w:color w:val="auto"/>
          <w:szCs w:val="24"/>
          <w:lang w:eastAsia="zh-CN"/>
        </w:rPr>
        <w:t>（氟化物：1.0mg/L）</w:t>
      </w:r>
      <w:r>
        <w:rPr>
          <w:rFonts w:ascii="Times New Roman" w:hAnsi="Times New Roman" w:cs="Times New Roman"/>
          <w:color w:val="auto"/>
          <w:szCs w:val="24"/>
          <w:lang w:eastAsia="zh-CN"/>
        </w:rPr>
        <w:t>要求。</w:t>
      </w:r>
    </w:p>
    <w:p w14:paraId="71BF9093">
      <w:pPr>
        <w:widowControl w:val="0"/>
        <w:spacing w:line="360" w:lineRule="auto"/>
        <w:ind w:firstLine="480" w:firstLineChars="200"/>
        <w:jc w:val="both"/>
        <w:rPr>
          <w:rFonts w:ascii="Times New Roman" w:hAnsi="Times New Roman" w:cs="Times New Roman"/>
          <w:bCs/>
          <w:color w:val="000000" w:themeColor="text1"/>
          <w:szCs w:val="24"/>
          <w:lang w:eastAsia="zh-CN"/>
          <w14:textFill>
            <w14:solidFill>
              <w14:schemeClr w14:val="tx1"/>
            </w14:solidFill>
          </w14:textFill>
        </w:rPr>
      </w:pPr>
      <w:r>
        <w:rPr>
          <w:rFonts w:ascii="Times New Roman" w:hAnsi="Times New Roman" w:cs="Times New Roman"/>
          <w:bCs/>
          <w:color w:val="000000" w:themeColor="text1"/>
          <w:szCs w:val="24"/>
          <w:lang w:eastAsia="zh-CN"/>
          <w14:textFill>
            <w14:solidFill>
              <w14:schemeClr w14:val="tx1"/>
            </w14:solidFill>
          </w14:textFill>
        </w:rPr>
        <w:t>园区设置“单元、厂区、园区”三级联控，</w:t>
      </w:r>
      <w:r>
        <w:rPr>
          <w:rFonts w:hint="eastAsia" w:ascii="Times New Roman" w:hAnsi="Times New Roman" w:cs="Times New Roman"/>
          <w:bCs/>
          <w:color w:val="000000" w:themeColor="text1"/>
          <w:szCs w:val="24"/>
          <w:lang w:eastAsia="zh-CN"/>
          <w14:textFill>
            <w14:solidFill>
              <w14:schemeClr w14:val="tx1"/>
            </w14:solidFill>
          </w14:textFill>
        </w:rPr>
        <w:t>企业储罐周围设置围堰和导流设施，导流设施与初期雨水池、应急事故池相连，</w:t>
      </w:r>
      <w:r>
        <w:rPr>
          <w:rFonts w:ascii="Times New Roman" w:hAnsi="Times New Roman" w:cs="Times New Roman"/>
          <w:color w:val="000000" w:themeColor="text1"/>
          <w:lang w:eastAsia="zh-CN"/>
          <w14:textFill>
            <w14:solidFill>
              <w14:schemeClr w14:val="tx1"/>
            </w14:solidFill>
          </w14:textFill>
        </w:rPr>
        <w:t>正常情况下，</w:t>
      </w:r>
      <w:r>
        <w:rPr>
          <w:rFonts w:hint="eastAsia" w:ascii="Times New Roman" w:hAnsi="Times New Roman" w:cs="Times New Roman"/>
          <w:color w:val="000000" w:themeColor="text1"/>
          <w:lang w:eastAsia="zh-CN"/>
          <w14:textFill>
            <w14:solidFill>
              <w14:schemeClr w14:val="tx1"/>
            </w14:solidFill>
          </w14:textFill>
        </w:rPr>
        <w:t>罐区</w:t>
      </w:r>
      <w:r>
        <w:rPr>
          <w:rFonts w:ascii="Times New Roman" w:hAnsi="Times New Roman" w:cs="Times New Roman"/>
          <w:color w:val="000000" w:themeColor="text1"/>
          <w:lang w:eastAsia="zh-CN"/>
          <w14:textFill>
            <w14:solidFill>
              <w14:schemeClr w14:val="tx1"/>
            </w14:solidFill>
          </w14:textFill>
        </w:rPr>
        <w:t>初期雨水可收集至初期雨水池内，达标的后期雨水排入园区雨水管网。事故状态下，厂区雨水排口闸阀处于关闭状态，打开事故应急池闸阀，将进入雨水排放系统的事故消防废水收集至事故应急池</w:t>
      </w:r>
      <w:r>
        <w:rPr>
          <w:rFonts w:hint="eastAsia" w:ascii="Times New Roman" w:hAnsi="Times New Roman" w:cs="Times New Roman"/>
          <w:color w:val="000000" w:themeColor="text1"/>
          <w:lang w:eastAsia="zh-CN"/>
          <w14:textFill>
            <w14:solidFill>
              <w14:schemeClr w14:val="tx1"/>
            </w14:solidFill>
          </w14:textFill>
        </w:rPr>
        <w:t>。</w:t>
      </w:r>
      <w:r>
        <w:rPr>
          <w:rFonts w:ascii="Times New Roman" w:hAnsi="Times New Roman" w:cs="Times New Roman"/>
          <w:bCs/>
          <w:color w:val="000000" w:themeColor="text1"/>
          <w:szCs w:val="24"/>
          <w:lang w:eastAsia="zh-CN"/>
          <w14:textFill>
            <w14:solidFill>
              <w14:schemeClr w14:val="tx1"/>
            </w14:solidFill>
          </w14:textFill>
        </w:rPr>
        <w:t>沫河口污水处理厂目前已建事故池1座，容积</w:t>
      </w:r>
      <w:r>
        <w:rPr>
          <w:rFonts w:hint="eastAsia" w:ascii="Times New Roman" w:hAnsi="Times New Roman" w:cs="Times New Roman"/>
          <w:bCs/>
          <w:color w:val="000000" w:themeColor="text1"/>
          <w:szCs w:val="24"/>
          <w:lang w:eastAsia="zh-CN"/>
          <w14:textFill>
            <w14:solidFill>
              <w14:schemeClr w14:val="tx1"/>
            </w14:solidFill>
          </w14:textFill>
        </w:rPr>
        <w:t>20</w:t>
      </w:r>
      <w:r>
        <w:rPr>
          <w:rFonts w:ascii="Times New Roman" w:hAnsi="Times New Roman" w:cs="Times New Roman"/>
          <w:bCs/>
          <w:color w:val="000000" w:themeColor="text1"/>
          <w:szCs w:val="24"/>
          <w:lang w:eastAsia="zh-CN"/>
          <w14:textFill>
            <w14:solidFill>
              <w14:schemeClr w14:val="tx1"/>
            </w14:solidFill>
          </w14:textFill>
        </w:rPr>
        <w:t>000m</w:t>
      </w:r>
      <w:r>
        <w:rPr>
          <w:rFonts w:ascii="Times New Roman" w:hAnsi="Times New Roman" w:cs="Times New Roman"/>
          <w:bCs/>
          <w:color w:val="000000" w:themeColor="text1"/>
          <w:szCs w:val="24"/>
          <w:vertAlign w:val="superscript"/>
          <w:lang w:eastAsia="zh-CN"/>
          <w14:textFill>
            <w14:solidFill>
              <w14:schemeClr w14:val="tx1"/>
            </w14:solidFill>
          </w14:textFill>
        </w:rPr>
        <w:t>3</w:t>
      </w:r>
      <w:r>
        <w:rPr>
          <w:rFonts w:ascii="Times New Roman" w:hAnsi="Times New Roman" w:cs="Times New Roman"/>
          <w:bCs/>
          <w:color w:val="000000" w:themeColor="text1"/>
          <w:szCs w:val="24"/>
          <w:lang w:eastAsia="zh-CN"/>
          <w14:textFill>
            <w14:solidFill>
              <w14:schemeClr w14:val="tx1"/>
            </w14:solidFill>
          </w14:textFill>
        </w:rPr>
        <w:t>，用作事故状态下厂区事故废水的临时储存和处理。同时把淮上区三铺湖排涝站作为三级防控的截断措施，确保事故状态下废水无法进入淮河干流。</w:t>
      </w:r>
    </w:p>
    <w:p w14:paraId="698BB79A">
      <w:pPr>
        <w:widowControl w:val="0"/>
        <w:spacing w:line="360" w:lineRule="auto"/>
        <w:ind w:firstLine="480" w:firstLineChars="200"/>
        <w:jc w:val="both"/>
        <w:rPr>
          <w:rFonts w:ascii="Times New Roman" w:hAnsi="Times New Roman" w:eastAsia="新宋体" w:cs="Times New Roman"/>
          <w:bCs/>
          <w:color w:val="000000" w:themeColor="text1"/>
          <w:szCs w:val="24"/>
          <w:lang w:eastAsia="zh-CN"/>
          <w14:textFill>
            <w14:solidFill>
              <w14:schemeClr w14:val="tx1"/>
            </w14:solidFill>
          </w14:textFill>
        </w:rPr>
      </w:pPr>
      <w:r>
        <w:rPr>
          <w:rFonts w:ascii="Times New Roman" w:hAnsi="Times New Roman" w:cs="Times New Roman"/>
          <w:bCs/>
          <w:color w:val="000000" w:themeColor="text1"/>
          <w:szCs w:val="24"/>
          <w:lang w:eastAsia="zh-CN"/>
          <w14:textFill>
            <w14:solidFill>
              <w14:schemeClr w14:val="tx1"/>
            </w14:solidFill>
          </w14:textFill>
        </w:rPr>
        <w:t>综上所述，事故状态下，</w:t>
      </w:r>
      <w:r>
        <w:rPr>
          <w:rFonts w:hint="eastAsia" w:ascii="Times New Roman" w:hAnsi="Times New Roman" w:cs="Times New Roman"/>
          <w:bCs/>
          <w:color w:val="000000" w:themeColor="text1"/>
          <w:szCs w:val="24"/>
          <w:lang w:eastAsia="zh-CN"/>
          <w14:textFill>
            <w14:solidFill>
              <w14:schemeClr w14:val="tx1"/>
            </w14:solidFill>
          </w14:textFill>
        </w:rPr>
        <w:t>事故</w:t>
      </w:r>
      <w:r>
        <w:rPr>
          <w:rFonts w:ascii="Times New Roman" w:hAnsi="Times New Roman" w:cs="Times New Roman"/>
          <w:bCs/>
          <w:color w:val="000000" w:themeColor="text1"/>
          <w:szCs w:val="24"/>
          <w:lang w:eastAsia="zh-CN"/>
          <w14:textFill>
            <w14:solidFill>
              <w14:schemeClr w14:val="tx1"/>
            </w14:solidFill>
          </w14:textFill>
        </w:rPr>
        <w:t>废水和泄露的物料不会直接外排进入地表水体而引发水环境污染事故</w:t>
      </w:r>
      <w:r>
        <w:rPr>
          <w:rFonts w:hint="eastAsia" w:ascii="Times New Roman" w:hAnsi="Times New Roman" w:cs="Times New Roman"/>
          <w:bCs/>
          <w:color w:val="000000" w:themeColor="text1"/>
          <w:szCs w:val="24"/>
          <w:lang w:eastAsia="zh-CN"/>
          <w14:textFill>
            <w14:solidFill>
              <w14:schemeClr w14:val="tx1"/>
            </w14:solidFill>
          </w14:textFill>
        </w:rPr>
        <w:t>。</w:t>
      </w:r>
    </w:p>
    <w:bookmarkEnd w:id="2080"/>
    <w:p w14:paraId="273012CA">
      <w:pPr>
        <w:widowControl w:val="0"/>
        <w:spacing w:line="360" w:lineRule="auto"/>
        <w:ind w:firstLine="562"/>
        <w:jc w:val="both"/>
        <w:outlineLvl w:val="1"/>
        <w:rPr>
          <w:rFonts w:ascii="Times New Roman" w:hAnsi="Times New Roman" w:cs="Times New Roman"/>
          <w:b/>
          <w:color w:val="auto"/>
          <w:sz w:val="28"/>
          <w:szCs w:val="28"/>
          <w:lang w:eastAsia="zh-CN"/>
        </w:rPr>
      </w:pPr>
      <w:bookmarkStart w:id="2098" w:name="_Toc132283752"/>
      <w:bookmarkStart w:id="2099" w:name="_Toc237508383"/>
      <w:r>
        <w:rPr>
          <w:rFonts w:ascii="Times New Roman" w:hAnsi="Times New Roman" w:cs="Times New Roman"/>
          <w:b/>
          <w:color w:val="auto"/>
          <w:sz w:val="28"/>
          <w:szCs w:val="28"/>
          <w:lang w:eastAsia="zh-CN"/>
        </w:rPr>
        <w:t>7.</w:t>
      </w:r>
      <w:r>
        <w:rPr>
          <w:rFonts w:hint="eastAsia" w:ascii="Times New Roman" w:hAnsi="Times New Roman" w:cs="Times New Roman"/>
          <w:b/>
          <w:color w:val="auto"/>
          <w:sz w:val="28"/>
          <w:szCs w:val="28"/>
          <w:lang w:eastAsia="zh-CN"/>
        </w:rPr>
        <w:t>9</w:t>
      </w:r>
      <w:r>
        <w:rPr>
          <w:rFonts w:ascii="Times New Roman" w:hAnsi="Times New Roman" w:cs="Times New Roman"/>
          <w:b/>
          <w:color w:val="auto"/>
          <w:sz w:val="28"/>
          <w:szCs w:val="28"/>
          <w:lang w:eastAsia="zh-CN"/>
        </w:rPr>
        <w:t xml:space="preserve"> 环境风险管理</w:t>
      </w:r>
      <w:bookmarkEnd w:id="2098"/>
      <w:bookmarkEnd w:id="2099"/>
    </w:p>
    <w:p w14:paraId="7A4D95BD">
      <w:pPr>
        <w:widowControl w:val="0"/>
        <w:spacing w:line="360" w:lineRule="auto"/>
        <w:ind w:firstLine="482"/>
        <w:jc w:val="both"/>
        <w:outlineLvl w:val="2"/>
        <w:rPr>
          <w:rFonts w:ascii="Times New Roman" w:hAnsi="Times New Roman" w:cs="Times New Roman"/>
          <w:b/>
          <w:color w:val="auto"/>
          <w:szCs w:val="24"/>
          <w:lang w:eastAsia="zh-CN"/>
        </w:rPr>
      </w:pPr>
      <w:bookmarkStart w:id="2100" w:name="_Toc173743472"/>
      <w:bookmarkStart w:id="2101" w:name="_Toc175164363"/>
      <w:bookmarkStart w:id="2102" w:name="_Toc236641919"/>
      <w:bookmarkStart w:id="2103" w:name="_Toc224674788"/>
      <w:bookmarkStart w:id="2104" w:name="_Toc225784150"/>
      <w:bookmarkStart w:id="2105" w:name="_Toc221900930"/>
      <w:bookmarkStart w:id="2106" w:name="_Toc217662762"/>
      <w:bookmarkStart w:id="2107" w:name="_Toc178602440"/>
      <w:bookmarkStart w:id="2108" w:name="_Toc173740368"/>
      <w:bookmarkStart w:id="2109" w:name="_Toc172555734"/>
      <w:bookmarkStart w:id="2110" w:name="_Toc204515291"/>
      <w:bookmarkStart w:id="2111" w:name="_Toc204448556"/>
      <w:bookmarkStart w:id="2112" w:name="_Toc176513099"/>
      <w:bookmarkStart w:id="2113" w:name="_Toc203927092"/>
      <w:bookmarkStart w:id="2114" w:name="_Toc231828671"/>
      <w:bookmarkStart w:id="2115" w:name="_Toc218784374"/>
      <w:bookmarkStart w:id="2116" w:name="_Toc237508384"/>
      <w:bookmarkStart w:id="2117" w:name="_Toc223425148"/>
      <w:r>
        <w:rPr>
          <w:rFonts w:ascii="Times New Roman" w:hAnsi="Times New Roman" w:cs="Times New Roman"/>
          <w:b/>
          <w:color w:val="auto"/>
          <w:szCs w:val="24"/>
          <w:lang w:eastAsia="zh-CN"/>
        </w:rPr>
        <w:t>7.</w:t>
      </w:r>
      <w:r>
        <w:rPr>
          <w:rFonts w:hint="eastAsia" w:ascii="Times New Roman" w:hAnsi="Times New Roman" w:cs="Times New Roman"/>
          <w:b/>
          <w:color w:val="auto"/>
          <w:szCs w:val="24"/>
          <w:lang w:eastAsia="zh-CN"/>
        </w:rPr>
        <w:t>9</w:t>
      </w:r>
      <w:r>
        <w:rPr>
          <w:rFonts w:ascii="Times New Roman" w:hAnsi="Times New Roman" w:cs="Times New Roman"/>
          <w:b/>
          <w:color w:val="auto"/>
          <w:szCs w:val="24"/>
          <w:lang w:eastAsia="zh-CN"/>
        </w:rPr>
        <w:t>.1 环境风险管理目标</w:t>
      </w:r>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p>
    <w:p w14:paraId="0D766302">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环境风险管理目标是采用最低合理可行原则（as low as reasonable practicable，ALARP）管控环境风险。采取的环境风险防范措施应与社会经济技术发展水平相适应，运用科学的技术手段和管理方法，对环境风险进行有效的预防、监控、响应。</w:t>
      </w:r>
    </w:p>
    <w:p w14:paraId="32655CBD">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拟建项目采取了成熟有效的安全风险防范措施以降低事故发生的概率，而环境风险评价内容是事故发生后对外界环境造成的危害，因此工程采取一系列的安全风险防范措施的基础上，还需采取合理的环境风险防范措施，以降低事故对外界环境造成的影响。</w:t>
      </w:r>
    </w:p>
    <w:p w14:paraId="75A37D13">
      <w:pPr>
        <w:widowControl w:val="0"/>
        <w:spacing w:line="360" w:lineRule="auto"/>
        <w:ind w:firstLine="482"/>
        <w:jc w:val="both"/>
        <w:outlineLvl w:val="3"/>
        <w:rPr>
          <w:rFonts w:ascii="Times New Roman" w:hAnsi="Times New Roman" w:cs="Times New Roman"/>
          <w:b/>
          <w:bCs/>
          <w:color w:val="auto"/>
          <w:lang w:eastAsia="zh-CN"/>
        </w:rPr>
      </w:pPr>
      <w:r>
        <w:rPr>
          <w:rFonts w:ascii="Times New Roman" w:hAnsi="Times New Roman" w:cs="Times New Roman"/>
          <w:b/>
          <w:bCs/>
          <w:color w:val="auto"/>
          <w:lang w:eastAsia="zh-CN"/>
        </w:rPr>
        <w:t>7.</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1</w:t>
      </w:r>
      <w:r>
        <w:rPr>
          <w:rFonts w:ascii="Times New Roman" w:hAnsi="Times New Roman" w:cs="Times New Roman"/>
          <w:b/>
          <w:bCs/>
          <w:color w:val="auto"/>
          <w:lang w:eastAsia="zh-CN"/>
        </w:rPr>
        <w:t>.1 总图布置和建筑安全防范措施</w:t>
      </w:r>
    </w:p>
    <w:p w14:paraId="1C022782">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拟建项目厂区设计和建设过程中要充分考虑《建筑设计防火规范》和《石油化工企业设计防火规范》等相关规范要求。</w:t>
      </w:r>
    </w:p>
    <w:p w14:paraId="19B26565">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总平面布置要按照功能区分区布置，各功能区、装置之间设置环形通道，并与厂外道路连接，利于安全疏散和消防；并将工艺装置、罐区、装卸区布置在全年最小频率风向的上风向，避免布置在避风地带，场所做好排放雨水措施；对于因超温、超压可能引起火灾爆炸危险的设备，设置自动检测仪器、报警信号及紧急泄压设施，以防措作失灵和紧急事故带来的设备超压。</w:t>
      </w:r>
    </w:p>
    <w:p w14:paraId="6BE88BE3">
      <w:pPr>
        <w:widowControl w:val="0"/>
        <w:spacing w:line="360" w:lineRule="auto"/>
        <w:ind w:firstLine="480" w:firstLineChars="200"/>
        <w:jc w:val="both"/>
        <w:rPr>
          <w:rFonts w:ascii="Times New Roman" w:hAnsi="Times New Roman" w:cs="Times New Roman"/>
          <w:color w:val="auto"/>
          <w:highlight w:val="red"/>
          <w:lang w:eastAsia="zh-CN"/>
        </w:rPr>
      </w:pPr>
      <w:r>
        <w:rPr>
          <w:rFonts w:ascii="Times New Roman" w:hAnsi="Times New Roman" w:cs="Times New Roman"/>
          <w:bCs/>
          <w:color w:val="auto"/>
          <w:szCs w:val="24"/>
          <w:lang w:eastAsia="zh-CN"/>
        </w:rPr>
        <w:t>按规定设置建筑物的安全通道，以便紧急状态下保证人员的疏散。生产现场有可能接触有毒物质的地点设置安全淋浴洗眼设备。设置必要的生产卫生用室、生活卫生用室、医务室和安全卫生教育室等辅助用房，配备必要的劳动保护用品，如防毒面具、防护手套、防护鞋、防护服等。</w:t>
      </w:r>
    </w:p>
    <w:p w14:paraId="534B6625">
      <w:pPr>
        <w:widowControl w:val="0"/>
        <w:spacing w:line="360" w:lineRule="auto"/>
        <w:ind w:firstLine="482"/>
        <w:jc w:val="both"/>
        <w:outlineLvl w:val="3"/>
        <w:rPr>
          <w:rFonts w:ascii="Times New Roman" w:hAnsi="Times New Roman" w:cs="Times New Roman"/>
          <w:b/>
          <w:bCs/>
          <w:color w:val="auto"/>
          <w:highlight w:val="red"/>
          <w:lang w:eastAsia="zh-CN"/>
        </w:rPr>
      </w:pPr>
      <w:r>
        <w:rPr>
          <w:rFonts w:ascii="Times New Roman" w:hAnsi="Times New Roman" w:cs="Times New Roman"/>
          <w:b/>
          <w:bCs/>
          <w:color w:val="auto"/>
          <w:lang w:eastAsia="zh-CN"/>
        </w:rPr>
        <w:t>7.</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1</w:t>
      </w:r>
      <w:r>
        <w:rPr>
          <w:rFonts w:ascii="Times New Roman" w:hAnsi="Times New Roman" w:cs="Times New Roman"/>
          <w:b/>
          <w:bCs/>
          <w:color w:val="auto"/>
          <w:lang w:eastAsia="zh-CN"/>
        </w:rPr>
        <w:t>.2 危险化学品管理、储存、使用、运输中的防范措施</w:t>
      </w:r>
    </w:p>
    <w:p w14:paraId="0E9A7BD3">
      <w:pPr>
        <w:widowControl w:val="0"/>
        <w:spacing w:line="360" w:lineRule="auto"/>
        <w:ind w:firstLine="480"/>
        <w:jc w:val="both"/>
        <w:rPr>
          <w:rFonts w:ascii="Times New Roman" w:hAnsi="Times New Roman" w:cs="Times New Roman"/>
          <w:color w:val="auto"/>
          <w:szCs w:val="24"/>
          <w:lang w:eastAsia="zh-CN"/>
        </w:rPr>
      </w:pPr>
      <w:r>
        <w:rPr>
          <w:rFonts w:ascii="宋体" w:hAnsi="宋体" w:cs="Cambria Math"/>
          <w:color w:val="auto"/>
          <w:szCs w:val="24"/>
          <w:lang w:eastAsia="zh-CN"/>
        </w:rPr>
        <w:t>①</w:t>
      </w:r>
      <w:r>
        <w:rPr>
          <w:rFonts w:ascii="Times New Roman" w:hAnsi="Times New Roman" w:cs="Times New Roman"/>
          <w:color w:val="auto"/>
          <w:szCs w:val="24"/>
          <w:lang w:eastAsia="zh-CN"/>
        </w:rPr>
        <w:t xml:space="preserve"> 严格按《危险化学品安全管理条例》的要求，加强对危险化学品的管理；制定危险化学品安全操作规程，要求操作人员严格按操作规程作业；对从事危险化学作业人员定期进行安全培训教育；经常性对危险化学品作业场所进行安全检查。</w:t>
      </w:r>
    </w:p>
    <w:p w14:paraId="578D1415">
      <w:pPr>
        <w:widowControl w:val="0"/>
        <w:spacing w:line="360" w:lineRule="auto"/>
        <w:ind w:firstLine="480"/>
        <w:jc w:val="both"/>
        <w:rPr>
          <w:rFonts w:ascii="Times New Roman" w:hAnsi="Times New Roman" w:cs="Times New Roman"/>
          <w:color w:val="auto"/>
          <w:szCs w:val="24"/>
          <w:lang w:eastAsia="zh-CN"/>
        </w:rPr>
      </w:pPr>
      <w:r>
        <w:rPr>
          <w:rFonts w:ascii="宋体" w:hAnsi="宋体" w:cs="Cambria Math"/>
          <w:color w:val="auto"/>
          <w:szCs w:val="24"/>
          <w:lang w:eastAsia="zh-CN"/>
        </w:rPr>
        <w:t>②</w:t>
      </w:r>
      <w:r>
        <w:rPr>
          <w:rFonts w:ascii="Times New Roman" w:hAnsi="Times New Roman" w:cs="Times New Roman"/>
          <w:color w:val="auto"/>
          <w:szCs w:val="24"/>
          <w:lang w:eastAsia="zh-CN"/>
        </w:rPr>
        <w:t xml:space="preserve"> 设立专用库区，使其符合储存危险化学品的相关条件（如防晒、防潮、通风、防雷、防静电等），实施危险化学品的储存和使用；建立健全安全规程及值勤制度，设置通讯、报警装置，确保其处于完好状态；对储存危险化学品的容器，应经有关检验部门定期检验合格后，才能使用，并设置明显的标识及警示牌；对使用危险化学品的名称、数量进行严格登记；凡储存、使用危险化学品的岗位，都应配置合格的防毒器材、消防器材，并确保其处于完好状态；所有进入储存、使用危险化学品的人员，都必须严格遵守《危险化学品管理制度》。</w:t>
      </w:r>
    </w:p>
    <w:p w14:paraId="5A485FF0">
      <w:pPr>
        <w:widowControl w:val="0"/>
        <w:spacing w:line="360" w:lineRule="auto"/>
        <w:ind w:firstLine="480"/>
        <w:jc w:val="both"/>
        <w:rPr>
          <w:rFonts w:ascii="Times New Roman" w:hAnsi="Times New Roman" w:cs="Times New Roman"/>
          <w:color w:val="auto"/>
          <w:szCs w:val="24"/>
          <w:lang w:eastAsia="zh-CN"/>
        </w:rPr>
      </w:pPr>
      <w:r>
        <w:rPr>
          <w:rFonts w:ascii="宋体" w:hAnsi="宋体" w:cs="Cambria Math"/>
          <w:color w:val="auto"/>
          <w:szCs w:val="24"/>
          <w:lang w:eastAsia="zh-CN"/>
        </w:rPr>
        <w:t>③</w:t>
      </w:r>
      <w:r>
        <w:rPr>
          <w:rFonts w:ascii="Times New Roman" w:hAnsi="Times New Roman" w:cs="Times New Roman"/>
          <w:color w:val="auto"/>
          <w:szCs w:val="24"/>
          <w:lang w:eastAsia="zh-CN"/>
        </w:rPr>
        <w:t xml:space="preserve"> 采购危险化学品时，应到已获得危险化学品经营许可证的企业进行采购，并要求供应商提供技术说明书及相关技术资料；采购人员必须进行专业培训并取证；危险化学品的包装物、容器必须有专业检测机构检验合格才能使用；从事危险化学品运输、押运人员，应经有关培训并取证后才能从事危险化学品运输、押运工作；运输危险化学品的车应悬挂危险化学品标志不得在人口稠密地停留；危险化学品的运输、押运人员，应配置合格的防护器材。</w:t>
      </w:r>
    </w:p>
    <w:p w14:paraId="25957320">
      <w:pPr>
        <w:widowControl w:val="0"/>
        <w:spacing w:line="360" w:lineRule="auto"/>
        <w:ind w:firstLine="480"/>
        <w:jc w:val="both"/>
        <w:rPr>
          <w:rFonts w:ascii="Times New Roman" w:hAnsi="Times New Roman" w:cs="Times New Roman"/>
          <w:color w:val="auto"/>
          <w:szCs w:val="24"/>
          <w:lang w:eastAsia="zh-CN"/>
        </w:rPr>
      </w:pPr>
      <w:r>
        <w:rPr>
          <w:rFonts w:ascii="宋体" w:hAnsi="宋体" w:cs="Cambria Math"/>
          <w:color w:val="auto"/>
          <w:szCs w:val="24"/>
          <w:lang w:eastAsia="zh-CN"/>
        </w:rPr>
        <w:t>④</w:t>
      </w:r>
      <w:r>
        <w:rPr>
          <w:rFonts w:ascii="Times New Roman" w:hAnsi="Times New Roman" w:cs="Times New Roman"/>
          <w:color w:val="auto"/>
          <w:szCs w:val="24"/>
          <w:lang w:eastAsia="zh-CN"/>
        </w:rPr>
        <w:t xml:space="preserve"> 对于运输有毒有害的化学品的车辆和装卸机械，必须符合交通运输部JT/T 617《危险货物道路运输规则》规定的条件，并经过道路运输管理机关审验合格。汽车排气管必须装有有效的隔热和熄灭火星的装置，电路系统有切断总电源和隔离电火花的装置；车辆左前方必须悬挂“危险品”字样的标志；车上应配有相应的消防器材；槽车及其设备必须符合相关要求；装卸机械等必须有足够的安全系数，须有消除火花的措施等。</w:t>
      </w:r>
    </w:p>
    <w:p w14:paraId="716E4C8B">
      <w:pPr>
        <w:widowControl w:val="0"/>
        <w:spacing w:line="360" w:lineRule="auto"/>
        <w:ind w:firstLine="48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 xml:space="preserve"> </w:t>
      </w:r>
      <w:r>
        <w:rPr>
          <w:rFonts w:ascii="宋体" w:hAnsi="宋体" w:cs="Cambria Math"/>
          <w:color w:val="auto"/>
          <w:szCs w:val="24"/>
          <w:lang w:eastAsia="zh-CN"/>
        </w:rPr>
        <w:t>⑤</w:t>
      </w:r>
      <w:r>
        <w:rPr>
          <w:rFonts w:ascii="Times New Roman" w:hAnsi="Times New Roman" w:cs="Times New Roman"/>
          <w:color w:val="auto"/>
          <w:szCs w:val="24"/>
          <w:lang w:eastAsia="zh-CN"/>
        </w:rPr>
        <w:t xml:space="preserve"> 运输车辆在运输途中必须严格遵守交通、安全、消防等法规，运行时控制车速，保持与前车的合理距离，严禁违规超车，确保行车安全；危险品运输车辆不得在居民和行人稠密地段、政府机关、名胜古迹等敏感地段停车，临时停车必须经当地公安部门同意并采取安全措施。</w:t>
      </w:r>
    </w:p>
    <w:p w14:paraId="2F7B59FF">
      <w:pPr>
        <w:widowControl w:val="0"/>
        <w:spacing w:line="360" w:lineRule="auto"/>
        <w:ind w:firstLine="480"/>
        <w:jc w:val="both"/>
        <w:rPr>
          <w:rFonts w:ascii="Times New Roman" w:hAnsi="Times New Roman" w:cs="Times New Roman"/>
          <w:color w:val="auto"/>
          <w:szCs w:val="24"/>
          <w:lang w:eastAsia="zh-CN"/>
        </w:rPr>
      </w:pPr>
      <w:r>
        <w:rPr>
          <w:rFonts w:ascii="宋体" w:hAnsi="宋体" w:cs="Cambria Math"/>
          <w:color w:val="auto"/>
          <w:szCs w:val="24"/>
          <w:lang w:eastAsia="zh-CN"/>
        </w:rPr>
        <w:t>⑥</w:t>
      </w:r>
      <w:r>
        <w:rPr>
          <w:rFonts w:ascii="Times New Roman" w:hAnsi="Times New Roman" w:cs="Times New Roman"/>
          <w:color w:val="auto"/>
          <w:szCs w:val="24"/>
          <w:lang w:eastAsia="zh-CN"/>
        </w:rPr>
        <w:t xml:space="preserve"> 对于运输车辆驾驶人员应该了解运载物品的属性，并具备基本的救护常识，在发生意外燃烧、爆炸火泄漏等事故的情况下，可以根据救护要求立即采取相应的措施，并即便向当地部门报告。</w:t>
      </w:r>
    </w:p>
    <w:p w14:paraId="2A385BE3">
      <w:pPr>
        <w:widowControl w:val="0"/>
        <w:spacing w:line="360" w:lineRule="auto"/>
        <w:ind w:firstLine="482"/>
        <w:jc w:val="both"/>
        <w:outlineLvl w:val="3"/>
        <w:rPr>
          <w:rFonts w:ascii="Times New Roman" w:hAnsi="Times New Roman" w:cs="Times New Roman"/>
          <w:b/>
          <w:bCs/>
          <w:color w:val="auto"/>
          <w:lang w:eastAsia="zh-CN"/>
        </w:rPr>
      </w:pPr>
      <w:r>
        <w:rPr>
          <w:rFonts w:ascii="Times New Roman" w:hAnsi="Times New Roman" w:cs="Times New Roman"/>
          <w:b/>
          <w:bCs/>
          <w:color w:val="auto"/>
          <w:lang w:eastAsia="zh-CN"/>
        </w:rPr>
        <w:t>7.</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1</w:t>
      </w:r>
      <w:r>
        <w:rPr>
          <w:rFonts w:ascii="Times New Roman" w:hAnsi="Times New Roman" w:cs="Times New Roman"/>
          <w:b/>
          <w:bCs/>
          <w:color w:val="auto"/>
          <w:lang w:eastAsia="zh-CN"/>
        </w:rPr>
        <w:t>.3 工艺技术设计安全防范措施</w:t>
      </w:r>
    </w:p>
    <w:p w14:paraId="4F29DB8C">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企业应积极进行工艺技术提升，降低生产中的危险性。应尽可能采用不产生或少产生危险和危害的新技术、新工艺。降低生产中危险化学品的使用量，减少生产场所危险化学品的贮存量，改善生产中的温度和压力等工艺控制条件。加强员工操作技能培训，生产严格按照工艺规程进行。</w:t>
      </w:r>
    </w:p>
    <w:p w14:paraId="13D859A9">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企业应充分考虑生产停开车、正常生产操作、异常生产操作及紧急事故处理时的安全对策措施和设施，并制定操作规程。当生产工艺中需要改变工艺参数时，应按规定程序经批准后实施。在新工艺、新技术、新设备投产前要按新的安全操作规程，对岗位作业人员和有关人员进行专门教育，考试合格后，方能进行独立作业。</w:t>
      </w:r>
    </w:p>
    <w:p w14:paraId="6DF46D07">
      <w:pPr>
        <w:widowControl w:val="0"/>
        <w:spacing w:line="360" w:lineRule="auto"/>
        <w:ind w:firstLine="482"/>
        <w:jc w:val="both"/>
        <w:outlineLvl w:val="3"/>
        <w:rPr>
          <w:rFonts w:ascii="Times New Roman" w:hAnsi="Times New Roman" w:cs="Times New Roman"/>
          <w:b/>
          <w:bCs/>
          <w:color w:val="auto"/>
          <w:lang w:eastAsia="zh-CN"/>
        </w:rPr>
      </w:pPr>
      <w:r>
        <w:rPr>
          <w:rFonts w:ascii="Times New Roman" w:hAnsi="Times New Roman" w:cs="Times New Roman"/>
          <w:b/>
          <w:bCs/>
          <w:color w:val="auto"/>
          <w:lang w:eastAsia="zh-CN"/>
        </w:rPr>
        <w:t>7.</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1</w:t>
      </w:r>
      <w:r>
        <w:rPr>
          <w:rFonts w:ascii="Times New Roman" w:hAnsi="Times New Roman" w:cs="Times New Roman"/>
          <w:b/>
          <w:bCs/>
          <w:color w:val="auto"/>
          <w:lang w:eastAsia="zh-CN"/>
        </w:rPr>
        <w:t>.4 自动控制设计安全防范措施</w:t>
      </w:r>
    </w:p>
    <w:p w14:paraId="55078E11">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采取计算机集中控制系统，对生产和贮存系统采取集中检测、显示、连锁、控制和报警。设施连锁和紧急停车系统，并独立于监视和控制系统。设置火灾自动报警系统。生产装置根据工艺介质特性和规范要求设置报警系统，其信号引至控制室的DCS系统进行显示报警，以预防火灾与爆炸事故的发生，确保生产安全。</w:t>
      </w:r>
    </w:p>
    <w:p w14:paraId="1DE20B01">
      <w:pPr>
        <w:widowControl w:val="0"/>
        <w:spacing w:line="360" w:lineRule="auto"/>
        <w:ind w:firstLine="482"/>
        <w:jc w:val="both"/>
        <w:outlineLvl w:val="3"/>
        <w:rPr>
          <w:rFonts w:ascii="Times New Roman" w:hAnsi="Times New Roman" w:cs="Times New Roman"/>
          <w:b/>
          <w:bCs/>
          <w:color w:val="auto"/>
          <w:lang w:eastAsia="zh-CN"/>
        </w:rPr>
      </w:pPr>
      <w:r>
        <w:rPr>
          <w:rFonts w:ascii="Times New Roman" w:hAnsi="Times New Roman" w:cs="Times New Roman"/>
          <w:b/>
          <w:bCs/>
          <w:color w:val="auto"/>
          <w:lang w:eastAsia="zh-CN"/>
        </w:rPr>
        <w:t>7.</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1</w:t>
      </w:r>
      <w:r>
        <w:rPr>
          <w:rFonts w:ascii="Times New Roman" w:hAnsi="Times New Roman" w:cs="Times New Roman"/>
          <w:b/>
          <w:bCs/>
          <w:color w:val="auto"/>
          <w:lang w:eastAsia="zh-CN"/>
        </w:rPr>
        <w:t>.5 电气、电讯安全防范措施</w:t>
      </w:r>
    </w:p>
    <w:p w14:paraId="03CCDD44">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采取双电路电源供电。仪表负荷、消防报警、关键设备等按一类负荷设置，采用不间断电源装置供电，事故照明采用带电池的应急照明。根据装置原料及产品的特点选用电器设备。爆炸和火灾危险环境内可能产生静电的物体，如对可能产生静电的设备和管道采取相应防静电接地措施。</w:t>
      </w:r>
    </w:p>
    <w:p w14:paraId="65511A25">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防静电，凡生产装置及其管道，生产及输送、贮存可燃易爆液体和气体的设备及管道均设置防静电设施，并将防静电接地与安全接地连接在一起。</w:t>
      </w:r>
    </w:p>
    <w:p w14:paraId="7364F03B">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各生产装置、设备、设施、贮罐及建构筑物设计可靠的防雷保护装置，防雷设计符合国家标准和有关规定。所有电气设备和用电设备不带电的金属部件和外壳、避雷设施、生产中可能产生静电危害的设备、管道均可靠接地，接地极的布置与接地电阻要求将按照国家标准设计。</w:t>
      </w:r>
    </w:p>
    <w:p w14:paraId="63A647E2">
      <w:pPr>
        <w:widowControl w:val="0"/>
        <w:spacing w:line="360" w:lineRule="auto"/>
        <w:ind w:firstLine="482"/>
        <w:jc w:val="both"/>
        <w:outlineLvl w:val="3"/>
        <w:rPr>
          <w:rFonts w:ascii="Times New Roman" w:hAnsi="Times New Roman" w:cs="Times New Roman"/>
          <w:b/>
          <w:bCs/>
          <w:color w:val="auto"/>
          <w:lang w:eastAsia="zh-CN"/>
        </w:rPr>
      </w:pPr>
      <w:r>
        <w:rPr>
          <w:rFonts w:ascii="Times New Roman" w:hAnsi="Times New Roman" w:cs="Times New Roman"/>
          <w:b/>
          <w:bCs/>
          <w:color w:val="auto"/>
          <w:lang w:eastAsia="zh-CN"/>
        </w:rPr>
        <w:t>7.</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1</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6</w:t>
      </w:r>
      <w:r>
        <w:rPr>
          <w:rFonts w:hint="eastAsia" w:ascii="Times New Roman" w:hAnsi="Times New Roman" w:cs="Times New Roman"/>
          <w:b/>
          <w:bCs/>
          <w:color w:val="auto"/>
          <w:szCs w:val="24"/>
          <w:lang w:eastAsia="zh-CN"/>
        </w:rPr>
        <w:t>废气处理设施、废水处理设施事故环境风险防控措施</w:t>
      </w:r>
    </w:p>
    <w:p w14:paraId="7E26B48C">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1、废气处理设施事故风险防控措施</w:t>
      </w:r>
    </w:p>
    <w:p w14:paraId="2DE94E94">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①源头预防</w:t>
      </w:r>
    </w:p>
    <w:p w14:paraId="6A785702">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在设备选型与系统设计阶段，就应将风险降至最低。首先，关键设备如风机、循环泵等必须配置备用机组，并采用耐腐蚀、防爆的材质，确保主设备故障时能无缝切换，避免系统停车</w:t>
      </w:r>
      <w:r>
        <w:rPr>
          <w:rFonts w:hint="eastAsia" w:ascii="Times New Roman" w:hAnsi="Times New Roman" w:cs="Times New Roman"/>
          <w:color w:val="auto"/>
          <w:szCs w:val="24"/>
          <w:lang w:eastAsia="zh-CN"/>
        </w:rPr>
        <w:t>。</w:t>
      </w:r>
    </w:p>
    <w:p w14:paraId="25AEE05D">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②日常巡检</w:t>
      </w:r>
    </w:p>
    <w:p w14:paraId="40E21432">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应建立预防性维护制度，通过定期巡检、记录设备运行台账、对风机皮带等易损件按周期更换，以及对法兰等动密封点实施季度性泄漏检测与修复，确保设备始终处于良好运行状态</w:t>
      </w:r>
      <w:r>
        <w:rPr>
          <w:rFonts w:hint="eastAsia" w:ascii="Times New Roman" w:hAnsi="Times New Roman" w:cs="Times New Roman"/>
          <w:color w:val="auto"/>
          <w:szCs w:val="24"/>
          <w:lang w:eastAsia="zh-CN"/>
        </w:rPr>
        <w:t>。</w:t>
      </w:r>
    </w:p>
    <w:p w14:paraId="3C2D95C9">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③</w:t>
      </w:r>
      <w:r>
        <w:rPr>
          <w:rFonts w:ascii="Times New Roman" w:hAnsi="Times New Roman" w:cs="Times New Roman"/>
          <w:color w:val="auto"/>
          <w:szCs w:val="24"/>
          <w:lang w:eastAsia="zh-CN"/>
        </w:rPr>
        <w:t>管理保障</w:t>
      </w:r>
    </w:p>
    <w:p w14:paraId="3BD80EC5">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须制定针对废气处理设施的专项应急预案，明确紧急停车、泄漏封堵、人员疏散等处置流程，并</w:t>
      </w:r>
      <w:r>
        <w:rPr>
          <w:rFonts w:hint="eastAsia" w:ascii="Times New Roman" w:hAnsi="Times New Roman" w:cs="Times New Roman"/>
          <w:color w:val="auto"/>
          <w:szCs w:val="24"/>
          <w:lang w:eastAsia="zh-CN"/>
        </w:rPr>
        <w:t>定期</w:t>
      </w:r>
      <w:r>
        <w:rPr>
          <w:rFonts w:ascii="Times New Roman" w:hAnsi="Times New Roman" w:cs="Times New Roman"/>
          <w:color w:val="auto"/>
          <w:szCs w:val="24"/>
          <w:lang w:eastAsia="zh-CN"/>
        </w:rPr>
        <w:t>组织实战演练，确保操作人员熟练掌握处置技能。</w:t>
      </w:r>
    </w:p>
    <w:p w14:paraId="6ABB71BB">
      <w:pPr>
        <w:widowControl w:val="0"/>
        <w:spacing w:line="360" w:lineRule="auto"/>
        <w:ind w:left="48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2、</w:t>
      </w:r>
      <w:r>
        <w:rPr>
          <w:rFonts w:ascii="Times New Roman" w:hAnsi="Times New Roman" w:cs="Times New Roman"/>
          <w:color w:val="auto"/>
          <w:szCs w:val="24"/>
          <w:lang w:eastAsia="zh-CN"/>
        </w:rPr>
        <w:t>废</w:t>
      </w:r>
      <w:r>
        <w:rPr>
          <w:rFonts w:hint="eastAsia" w:ascii="Times New Roman" w:hAnsi="Times New Roman" w:cs="Times New Roman"/>
          <w:color w:val="auto"/>
          <w:szCs w:val="24"/>
          <w:lang w:eastAsia="zh-CN"/>
        </w:rPr>
        <w:t>水</w:t>
      </w:r>
      <w:r>
        <w:rPr>
          <w:rFonts w:ascii="Times New Roman" w:hAnsi="Times New Roman" w:cs="Times New Roman"/>
          <w:color w:val="auto"/>
          <w:szCs w:val="24"/>
          <w:lang w:eastAsia="zh-CN"/>
        </w:rPr>
        <w:t>处理设施事故风险防控措施</w:t>
      </w:r>
    </w:p>
    <w:p w14:paraId="34070ECB">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①</w:t>
      </w:r>
      <w:r>
        <w:rPr>
          <w:rFonts w:ascii="Times New Roman" w:hAnsi="Times New Roman" w:cs="Times New Roman"/>
          <w:color w:val="auto"/>
          <w:szCs w:val="24"/>
          <w:lang w:eastAsia="zh-CN"/>
        </w:rPr>
        <w:t>源头预防</w:t>
      </w:r>
    </w:p>
    <w:p w14:paraId="0DCF3EE4">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对污水处理站采取重点防渗，防渗层渗透系数≤1×10</w:t>
      </w:r>
      <w:r>
        <w:rPr>
          <w:rFonts w:ascii="Times New Roman" w:hAnsi="Times New Roman" w:cs="Times New Roman"/>
          <w:color w:val="auto"/>
          <w:szCs w:val="24"/>
          <w:vertAlign w:val="superscript"/>
          <w:lang w:eastAsia="zh-CN"/>
        </w:rPr>
        <w:t>-7</w:t>
      </w:r>
      <w:r>
        <w:rPr>
          <w:rFonts w:ascii="Times New Roman" w:hAnsi="Times New Roman" w:cs="Times New Roman"/>
          <w:color w:val="auto"/>
          <w:szCs w:val="24"/>
          <w:lang w:eastAsia="zh-CN"/>
        </w:rPr>
        <w:t>cm/s，且厚度不低于6.0m的等效黏土层</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从根本上阻断污染物垂向迁移。根据废水的腐蚀性，选用耐腐蚀的混凝土添加剂或内壁涂层（如结晶型防渗涂层、环氧树脂涂层），延长池体使用寿命，防止因腐蚀导致的穿孔和裂缝</w:t>
      </w:r>
      <w:r>
        <w:rPr>
          <w:rFonts w:hint="eastAsia" w:ascii="Times New Roman" w:hAnsi="Times New Roman" w:cs="Times New Roman"/>
          <w:color w:val="auto"/>
          <w:szCs w:val="24"/>
          <w:lang w:eastAsia="zh-CN"/>
        </w:rPr>
        <w:t>。</w:t>
      </w:r>
    </w:p>
    <w:p w14:paraId="62AC6CB2">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②日常巡检</w:t>
      </w:r>
    </w:p>
    <w:p w14:paraId="0BD2C787">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制定巡检制度：建立池体设施的定期巡检制度，重点关注池壁有无裂缝、沉降、渗水痕迹。高风险区域应增加巡检频次</w:t>
      </w:r>
      <w:r>
        <w:rPr>
          <w:rFonts w:hint="eastAsia" w:ascii="Times New Roman" w:hAnsi="Times New Roman" w:cs="Times New Roman"/>
          <w:bCs/>
          <w:color w:val="auto"/>
          <w:szCs w:val="24"/>
          <w:lang w:eastAsia="zh-CN"/>
        </w:rPr>
        <w:t>。</w:t>
      </w:r>
    </w:p>
    <w:p w14:paraId="303D37DF">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③</w:t>
      </w:r>
      <w:r>
        <w:rPr>
          <w:rFonts w:ascii="Times New Roman" w:hAnsi="Times New Roman" w:cs="Times New Roman"/>
          <w:color w:val="auto"/>
          <w:szCs w:val="24"/>
          <w:lang w:eastAsia="zh-CN"/>
        </w:rPr>
        <w:t>完善应急响应机制</w:t>
      </w:r>
    </w:p>
    <w:p w14:paraId="379537D6">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应急物资储备：在现场储备足够的应急物资，如沙袋、应急泵、吸附棉、备用防渗布等，确保一旦发生泄漏，能立即围堵，防止污染扩散。</w:t>
      </w:r>
    </w:p>
    <w:p w14:paraId="728BCDB4">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应急演练：定期组织针对池体泄漏的专项应急演练，确保员工熟悉堵漏、围挡、废水回收等处置流程，提升实战能力</w:t>
      </w:r>
      <w:r>
        <w:rPr>
          <w:rFonts w:hint="eastAsia" w:ascii="Times New Roman" w:hAnsi="Times New Roman" w:cs="Times New Roman"/>
          <w:color w:val="auto"/>
          <w:szCs w:val="24"/>
          <w:lang w:eastAsia="zh-CN"/>
        </w:rPr>
        <w:t>。</w:t>
      </w:r>
    </w:p>
    <w:p w14:paraId="10CEBC13">
      <w:pPr>
        <w:widowControl w:val="0"/>
        <w:spacing w:line="360" w:lineRule="auto"/>
        <w:ind w:firstLine="482"/>
        <w:jc w:val="both"/>
        <w:outlineLvl w:val="2"/>
        <w:rPr>
          <w:rFonts w:ascii="Times New Roman" w:hAnsi="Times New Roman" w:cs="Times New Roman"/>
          <w:b/>
          <w:color w:val="auto"/>
          <w:szCs w:val="24"/>
          <w:lang w:eastAsia="zh-CN"/>
        </w:rPr>
      </w:pPr>
      <w:bookmarkStart w:id="2118" w:name="_Toc237508385"/>
      <w:bookmarkStart w:id="2119" w:name="_Toc236641920"/>
      <w:r>
        <w:rPr>
          <w:rFonts w:ascii="Times New Roman" w:hAnsi="Times New Roman" w:cs="Times New Roman"/>
          <w:b/>
          <w:color w:val="auto"/>
          <w:szCs w:val="24"/>
          <w:lang w:eastAsia="zh-CN"/>
        </w:rPr>
        <w:t>7.</w:t>
      </w:r>
      <w:r>
        <w:rPr>
          <w:rFonts w:hint="eastAsia" w:ascii="Times New Roman" w:hAnsi="Times New Roman" w:cs="Times New Roman"/>
          <w:b/>
          <w:color w:val="auto"/>
          <w:szCs w:val="24"/>
          <w:lang w:eastAsia="zh-CN"/>
        </w:rPr>
        <w:t>9</w:t>
      </w:r>
      <w:r>
        <w:rPr>
          <w:rFonts w:ascii="Times New Roman" w:hAnsi="Times New Roman" w:cs="Times New Roman"/>
          <w:b/>
          <w:color w:val="auto"/>
          <w:szCs w:val="24"/>
          <w:lang w:eastAsia="zh-CN"/>
        </w:rPr>
        <w:t>.</w:t>
      </w:r>
      <w:r>
        <w:rPr>
          <w:rFonts w:hint="eastAsia" w:ascii="Times New Roman" w:hAnsi="Times New Roman" w:cs="Times New Roman"/>
          <w:b/>
          <w:color w:val="auto"/>
          <w:szCs w:val="24"/>
          <w:lang w:eastAsia="zh-CN"/>
        </w:rPr>
        <w:t>2</w:t>
      </w:r>
      <w:r>
        <w:rPr>
          <w:rFonts w:ascii="Times New Roman" w:hAnsi="Times New Roman" w:cs="Times New Roman"/>
          <w:b/>
          <w:color w:val="auto"/>
          <w:szCs w:val="24"/>
          <w:lang w:eastAsia="zh-CN"/>
        </w:rPr>
        <w:t xml:space="preserve"> 环境风险防范措施</w:t>
      </w:r>
      <w:bookmarkEnd w:id="2118"/>
      <w:bookmarkEnd w:id="2119"/>
    </w:p>
    <w:p w14:paraId="5B417A12">
      <w:pPr>
        <w:widowControl w:val="0"/>
        <w:spacing w:line="360" w:lineRule="auto"/>
        <w:ind w:left="480"/>
        <w:jc w:val="both"/>
        <w:rPr>
          <w:rFonts w:ascii="Times New Roman" w:hAnsi="Times New Roman" w:cs="Times New Roman"/>
          <w:color w:val="auto"/>
          <w:lang w:eastAsia="zh-CN"/>
        </w:rPr>
      </w:pPr>
      <w:r>
        <w:rPr>
          <w:rFonts w:hint="eastAsia" w:ascii="Times New Roman" w:hAnsi="Times New Roman" w:cs="Times New Roman"/>
          <w:color w:val="auto"/>
          <w:lang w:eastAsia="zh-CN"/>
        </w:rPr>
        <w:t>1、</w:t>
      </w:r>
      <w:r>
        <w:rPr>
          <w:rFonts w:ascii="Times New Roman" w:hAnsi="Times New Roman" w:cs="Times New Roman"/>
          <w:color w:val="auto"/>
          <w:lang w:eastAsia="zh-CN"/>
        </w:rPr>
        <w:t>风险防范措施</w:t>
      </w:r>
    </w:p>
    <w:p w14:paraId="50525B3D">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根据风险事故情景设定，事故主要发生在</w:t>
      </w:r>
      <w:r>
        <w:rPr>
          <w:rFonts w:hint="eastAsia" w:ascii="Times New Roman" w:hAnsi="Times New Roman" w:cs="Times New Roman"/>
          <w:color w:val="auto"/>
          <w:lang w:eastAsia="zh-CN"/>
        </w:rPr>
        <w:t>生产装置区、无水氟化氢库房、原料及产品罐区、戊类罐区二、丁类仓库、危废库等</w:t>
      </w:r>
      <w:r>
        <w:rPr>
          <w:rFonts w:ascii="Times New Roman" w:hAnsi="Times New Roman" w:cs="Times New Roman"/>
          <w:color w:val="auto"/>
          <w:lang w:eastAsia="zh-CN"/>
        </w:rPr>
        <w:t>。</w:t>
      </w:r>
    </w:p>
    <w:p w14:paraId="5FF3F7F9">
      <w:pPr>
        <w:widowControl w:val="0"/>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（1）生产装置区</w:t>
      </w:r>
      <w:r>
        <w:rPr>
          <w:rFonts w:ascii="Times New Roman" w:hAnsi="Times New Roman" w:cs="Times New Roman"/>
          <w:color w:val="auto"/>
          <w:lang w:eastAsia="zh-CN"/>
        </w:rPr>
        <w:t>风险防范措施</w:t>
      </w:r>
    </w:p>
    <w:p w14:paraId="2D7D0392">
      <w:pPr>
        <w:widowControl w:val="0"/>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根据现有工程验收报告，现有综合车间已设置完善的风险防范措施。</w:t>
      </w:r>
      <w:r>
        <w:rPr>
          <w:rFonts w:ascii="Times New Roman" w:hAnsi="Times New Roman" w:cs="Times New Roman"/>
          <w:color w:val="auto"/>
          <w:lang w:eastAsia="zh-CN"/>
        </w:rPr>
        <w:t>项目对刻蚀液混配车间进行改造，建设</w:t>
      </w:r>
      <w:r>
        <w:rPr>
          <w:rFonts w:hint="eastAsia" w:ascii="Times New Roman" w:hAnsi="Times New Roman" w:cs="Times New Roman"/>
          <w:color w:val="auto"/>
          <w:lang w:eastAsia="zh-CN"/>
        </w:rPr>
        <w:t>刻蚀液生产装置</w:t>
      </w:r>
      <w:r>
        <w:rPr>
          <w:rFonts w:ascii="Times New Roman" w:hAnsi="Times New Roman" w:cs="Times New Roman"/>
          <w:color w:val="auto"/>
          <w:lang w:eastAsia="zh-CN"/>
        </w:rPr>
        <w:t>，根据设计方案，蚀液混配车间设置围堰，以满足车间物料泄漏收集需要</w:t>
      </w:r>
      <w:r>
        <w:rPr>
          <w:rFonts w:hint="eastAsia" w:ascii="Times New Roman" w:hAnsi="Times New Roman" w:cs="Times New Roman"/>
          <w:color w:val="auto"/>
          <w:lang w:eastAsia="zh-CN"/>
        </w:rPr>
        <w:t>。并</w:t>
      </w:r>
      <w:r>
        <w:rPr>
          <w:rFonts w:ascii="Times New Roman" w:hAnsi="Times New Roman" w:cs="Times New Roman"/>
          <w:color w:val="auto"/>
          <w:lang w:eastAsia="zh-CN"/>
        </w:rPr>
        <w:t>安装有毒有害气体探测器、气体泄漏报警系统（连通终端中控室）、紧急抽风系统及应急喷淋设施。</w:t>
      </w:r>
    </w:p>
    <w:p w14:paraId="5900CD5F">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同时，加强职工安全防范培训，强化生产操作规程，人员巡查点检等制度性措施。</w:t>
      </w:r>
    </w:p>
    <w:p w14:paraId="0ED3A801">
      <w:pPr>
        <w:widowControl w:val="0"/>
        <w:spacing w:line="360" w:lineRule="auto"/>
        <w:ind w:left="480"/>
        <w:jc w:val="both"/>
        <w:rPr>
          <w:rFonts w:ascii="Times New Roman" w:hAnsi="Times New Roman" w:cs="Times New Roman"/>
          <w:color w:val="auto"/>
          <w:lang w:eastAsia="zh-CN"/>
        </w:rPr>
      </w:pPr>
      <w:r>
        <w:rPr>
          <w:rFonts w:hint="eastAsia" w:ascii="Times New Roman" w:hAnsi="Times New Roman" w:cs="Times New Roman"/>
          <w:color w:val="auto"/>
          <w:lang w:eastAsia="zh-CN"/>
        </w:rPr>
        <w:t>（2）戊类罐区二</w:t>
      </w:r>
      <w:r>
        <w:rPr>
          <w:rFonts w:ascii="Times New Roman" w:hAnsi="Times New Roman" w:cs="Times New Roman"/>
          <w:color w:val="auto"/>
          <w:lang w:eastAsia="zh-CN"/>
        </w:rPr>
        <w:t>风险防范措施</w:t>
      </w:r>
    </w:p>
    <w:p w14:paraId="5754A8A6">
      <w:pPr>
        <w:widowControl w:val="0"/>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根据现有工程验收报告，现有无水氟化氢库房、原料及产品罐区、丁类仓库已设置完善的风险防范措施。</w:t>
      </w:r>
    </w:p>
    <w:p w14:paraId="68E0F6D1">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戊类罐区二</w:t>
      </w:r>
      <w:r>
        <w:rPr>
          <w:rFonts w:hint="eastAsia" w:ascii="Times New Roman" w:hAnsi="Times New Roman" w:cs="Times New Roman"/>
          <w:color w:val="auto"/>
          <w:lang w:eastAsia="zh-CN"/>
        </w:rPr>
        <w:t>：设置</w:t>
      </w:r>
      <w:r>
        <w:rPr>
          <w:rFonts w:ascii="Times New Roman" w:hAnsi="Times New Roman" w:cs="Times New Roman"/>
          <w:color w:val="auto"/>
          <w:lang w:eastAsia="zh-CN"/>
        </w:rPr>
        <w:t>2座直径4.6m，高12m，容积190m</w:t>
      </w:r>
      <w:r>
        <w:rPr>
          <w:rFonts w:ascii="Times New Roman" w:hAnsi="Times New Roman" w:cs="Times New Roman"/>
          <w:color w:val="auto"/>
          <w:vertAlign w:val="superscript"/>
          <w:lang w:eastAsia="zh-CN"/>
        </w:rPr>
        <w:t>3</w:t>
      </w:r>
      <w:r>
        <w:rPr>
          <w:rFonts w:ascii="Times New Roman" w:hAnsi="Times New Roman" w:cs="Times New Roman"/>
          <w:color w:val="auto"/>
          <w:lang w:eastAsia="zh-CN"/>
        </w:rPr>
        <w:t>储罐，用于储存原料31%盐酸</w:t>
      </w:r>
      <w:r>
        <w:rPr>
          <w:rFonts w:hint="eastAsia" w:ascii="Times New Roman" w:hAnsi="Times New Roman" w:cs="Times New Roman"/>
          <w:color w:val="auto"/>
          <w:lang w:eastAsia="zh-CN"/>
        </w:rPr>
        <w:t>；</w:t>
      </w:r>
      <w:r>
        <w:rPr>
          <w:rFonts w:ascii="Times New Roman" w:hAnsi="Times New Roman" w:cs="Times New Roman"/>
          <w:color w:val="auto"/>
          <w:lang w:eastAsia="zh-CN"/>
        </w:rPr>
        <w:t>10座直径4.6m，高12m，容积190m</w:t>
      </w:r>
      <w:r>
        <w:rPr>
          <w:rFonts w:ascii="Times New Roman" w:hAnsi="Times New Roman" w:cs="Times New Roman"/>
          <w:color w:val="auto"/>
          <w:vertAlign w:val="superscript"/>
          <w:lang w:eastAsia="zh-CN"/>
        </w:rPr>
        <w:t>3</w:t>
      </w:r>
      <w:r>
        <w:rPr>
          <w:rFonts w:ascii="Times New Roman" w:hAnsi="Times New Roman" w:cs="Times New Roman"/>
          <w:color w:val="auto"/>
          <w:lang w:eastAsia="zh-CN"/>
        </w:rPr>
        <w:t>储罐，用于储存产品化学纯氢氟酸</w:t>
      </w:r>
      <w:r>
        <w:rPr>
          <w:rFonts w:hint="eastAsia" w:ascii="Times New Roman" w:hAnsi="Times New Roman" w:cs="Times New Roman"/>
          <w:color w:val="auto"/>
          <w:lang w:eastAsia="zh-CN"/>
        </w:rPr>
        <w:t>；</w:t>
      </w:r>
      <w:r>
        <w:rPr>
          <w:rFonts w:ascii="Times New Roman" w:hAnsi="Times New Roman" w:cs="Times New Roman"/>
          <w:color w:val="auto"/>
          <w:lang w:eastAsia="zh-CN"/>
        </w:rPr>
        <w:t>30座直径4.6m，高12m，容积190m</w:t>
      </w:r>
      <w:r>
        <w:rPr>
          <w:rFonts w:ascii="Times New Roman" w:hAnsi="Times New Roman" w:cs="Times New Roman"/>
          <w:color w:val="auto"/>
          <w:vertAlign w:val="superscript"/>
          <w:lang w:eastAsia="zh-CN"/>
        </w:rPr>
        <w:t>3</w:t>
      </w:r>
      <w:r>
        <w:rPr>
          <w:rFonts w:ascii="Times New Roman" w:hAnsi="Times New Roman" w:cs="Times New Roman"/>
          <w:color w:val="auto"/>
          <w:lang w:eastAsia="zh-CN"/>
        </w:rPr>
        <w:t>储罐，用于储存产品刻蚀液</w:t>
      </w:r>
      <w:r>
        <w:rPr>
          <w:rFonts w:hint="eastAsia" w:ascii="Times New Roman" w:hAnsi="Times New Roman" w:cs="Times New Roman"/>
          <w:color w:val="auto"/>
          <w:lang w:eastAsia="zh-CN"/>
        </w:rPr>
        <w:t>；围堰尺寸高1.5m，长75.1m，宽49.6m，可满足最大容积储罐泄漏收集要求。</w:t>
      </w:r>
    </w:p>
    <w:p w14:paraId="41AC9D01">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设置有毒有害气体探测器、气体泄漏报警系统（连通终端中控室）及应急喷淋设施，罐区视频监控，液位报警，人工手动切断阀门，同时配置相应堵漏、洗消、截流、应急监测及安全防护应急物资</w:t>
      </w:r>
      <w:r>
        <w:rPr>
          <w:rFonts w:hint="eastAsia" w:ascii="Times New Roman" w:hAnsi="Times New Roman" w:cs="Times New Roman"/>
          <w:color w:val="auto"/>
          <w:lang w:eastAsia="zh-CN"/>
        </w:rPr>
        <w:t>。建立安全管理制度，日常运行过程中定期对罐区进行安全检查</w:t>
      </w:r>
      <w:r>
        <w:rPr>
          <w:rFonts w:ascii="Times New Roman" w:hAnsi="Times New Roman" w:cs="Times New Roman"/>
          <w:color w:val="auto"/>
          <w:lang w:eastAsia="zh-CN"/>
        </w:rPr>
        <w:t>。</w:t>
      </w:r>
    </w:p>
    <w:p w14:paraId="4DB92F83">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w:t>
      </w:r>
      <w:r>
        <w:rPr>
          <w:rFonts w:hint="eastAsia" w:ascii="Times New Roman" w:hAnsi="Times New Roman" w:cs="Times New Roman"/>
          <w:color w:val="auto"/>
          <w:lang w:eastAsia="zh-CN"/>
        </w:rPr>
        <w:t>3</w:t>
      </w:r>
      <w:r>
        <w:rPr>
          <w:rFonts w:ascii="Times New Roman" w:hAnsi="Times New Roman" w:cs="Times New Roman"/>
          <w:color w:val="auto"/>
          <w:lang w:eastAsia="zh-CN"/>
        </w:rPr>
        <w:t>）危险废物暂存库风险防范措施</w:t>
      </w:r>
    </w:p>
    <w:p w14:paraId="3E80570F">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本项目产生的危险废物主要为</w:t>
      </w:r>
      <w:r>
        <w:rPr>
          <w:rFonts w:hint="eastAsia" w:ascii="Times New Roman" w:hAnsi="Times New Roman" w:cs="Times New Roman"/>
          <w:color w:val="auto"/>
          <w:lang w:eastAsia="zh-CN"/>
        </w:rPr>
        <w:t>实验室废液、废机油、</w:t>
      </w:r>
      <w:r>
        <w:rPr>
          <w:rFonts w:hint="eastAsia" w:ascii="Times New Roman" w:hAnsi="Times New Roman" w:cs="Times New Roman"/>
          <w:color w:val="auto"/>
          <w:szCs w:val="24"/>
          <w:lang w:val="en-US" w:eastAsia="zh-CN"/>
        </w:rPr>
        <w:t>废漆桶、</w:t>
      </w:r>
      <w:r>
        <w:rPr>
          <w:rFonts w:hint="eastAsia" w:ascii="Times New Roman" w:hAnsi="Times New Roman" w:cs="Times New Roman"/>
          <w:color w:val="auto"/>
          <w:lang w:eastAsia="zh-CN"/>
        </w:rPr>
        <w:t>废油桶等</w:t>
      </w:r>
      <w:r>
        <w:rPr>
          <w:rFonts w:ascii="Times New Roman" w:hAnsi="Times New Roman" w:cs="Times New Roman"/>
          <w:color w:val="auto"/>
          <w:lang w:eastAsia="zh-CN"/>
        </w:rPr>
        <w:t>，</w:t>
      </w:r>
      <w:r>
        <w:rPr>
          <w:rFonts w:hint="eastAsia" w:ascii="Times New Roman" w:hAnsi="Times New Roman" w:cs="Times New Roman"/>
          <w:color w:val="auto"/>
          <w:lang w:eastAsia="zh-CN"/>
        </w:rPr>
        <w:t>项目</w:t>
      </w:r>
      <w:r>
        <w:rPr>
          <w:rFonts w:ascii="Times New Roman" w:hAnsi="Times New Roman" w:cs="Times New Roman"/>
          <w:color w:val="auto"/>
          <w:lang w:eastAsia="zh-CN"/>
        </w:rPr>
        <w:t>拟建一个的</w:t>
      </w:r>
      <w:r>
        <w:rPr>
          <w:rFonts w:hint="eastAsia" w:ascii="Times New Roman" w:hAnsi="Times New Roman" w:cs="Times New Roman"/>
          <w:color w:val="auto"/>
          <w:lang w:eastAsia="zh-CN"/>
        </w:rPr>
        <w:t>面积约120</w:t>
      </w:r>
      <w:r>
        <w:rPr>
          <w:rFonts w:ascii="Times New Roman" w:hAnsi="Times New Roman" w:cs="Times New Roman"/>
          <w:color w:val="auto"/>
          <w:lang w:eastAsia="zh-CN"/>
        </w:rPr>
        <w:t>m</w:t>
      </w:r>
      <w:r>
        <w:rPr>
          <w:rFonts w:ascii="Times New Roman" w:hAnsi="Times New Roman" w:cs="Times New Roman"/>
          <w:color w:val="auto"/>
          <w:vertAlign w:val="superscript"/>
          <w:lang w:eastAsia="zh-CN"/>
        </w:rPr>
        <w:t>2</w:t>
      </w:r>
      <w:r>
        <w:rPr>
          <w:rFonts w:ascii="Times New Roman" w:hAnsi="Times New Roman" w:cs="Times New Roman"/>
          <w:color w:val="auto"/>
          <w:lang w:eastAsia="zh-CN"/>
        </w:rPr>
        <w:t>危险废物暂存库，根据设计方案，危险废物暂存库设置环形沟与集液池。</w:t>
      </w:r>
    </w:p>
    <w:p w14:paraId="54B0D60F">
      <w:pPr>
        <w:widowControl w:val="0"/>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表7.</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-1 拟建项目采取的风险防范措施一览表</w:t>
      </w:r>
    </w:p>
    <w:tbl>
      <w:tblPr>
        <w:tblStyle w:val="35"/>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711"/>
        <w:gridCol w:w="1357"/>
        <w:gridCol w:w="7678"/>
      </w:tblGrid>
      <w:tr w14:paraId="1BFA364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061" w:type="pct"/>
            <w:gridSpan w:val="2"/>
            <w:vAlign w:val="center"/>
          </w:tcPr>
          <w:p w14:paraId="54E316CA">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风险单元</w:t>
            </w:r>
          </w:p>
        </w:tc>
        <w:tc>
          <w:tcPr>
            <w:tcW w:w="3939" w:type="pct"/>
            <w:vAlign w:val="center"/>
          </w:tcPr>
          <w:p w14:paraId="26EE387F">
            <w:pPr>
              <w:adjustRightInd w:val="0"/>
              <w:snapToGrid w:val="0"/>
              <w:jc w:val="center"/>
              <w:rPr>
                <w:rFonts w:ascii="Times New Roman" w:hAnsi="Times New Roman" w:cs="Times New Roman"/>
                <w:b/>
                <w:color w:val="auto"/>
                <w:sz w:val="21"/>
                <w:lang w:eastAsia="zh-CN"/>
              </w:rPr>
            </w:pPr>
            <w:r>
              <w:rPr>
                <w:rFonts w:ascii="Times New Roman" w:hAnsi="Times New Roman" w:cs="Times New Roman"/>
                <w:b/>
                <w:color w:val="auto"/>
                <w:sz w:val="21"/>
                <w:lang w:eastAsia="zh-CN"/>
              </w:rPr>
              <w:t>拟采取的风险防范措施</w:t>
            </w:r>
          </w:p>
        </w:tc>
      </w:tr>
      <w:tr w14:paraId="0C6800B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365" w:type="pct"/>
            <w:tcBorders>
              <w:right w:val="single" w:color="000000" w:sz="2" w:space="0"/>
            </w:tcBorders>
            <w:vAlign w:val="center"/>
          </w:tcPr>
          <w:p w14:paraId="690223D4">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生产单元</w:t>
            </w:r>
          </w:p>
        </w:tc>
        <w:tc>
          <w:tcPr>
            <w:tcW w:w="696" w:type="pct"/>
            <w:tcBorders>
              <w:left w:val="single" w:color="000000" w:sz="2" w:space="0"/>
            </w:tcBorders>
            <w:vAlign w:val="center"/>
          </w:tcPr>
          <w:p w14:paraId="12255F86">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生产装置区</w:t>
            </w:r>
          </w:p>
        </w:tc>
        <w:tc>
          <w:tcPr>
            <w:tcW w:w="3939" w:type="pct"/>
            <w:vAlign w:val="center"/>
          </w:tcPr>
          <w:p w14:paraId="3ECE538C">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蚀液混配车间设置围堰，以满足车间物料泄漏收集需要。并安装有毒有害气体探测器、气体泄漏报警系统（连通终端中控室）、紧急抽风系统及应急喷淋设施。</w:t>
            </w:r>
          </w:p>
        </w:tc>
      </w:tr>
      <w:tr w14:paraId="6B762EA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365" w:type="pct"/>
            <w:tcBorders>
              <w:right w:val="single" w:color="000000" w:sz="2" w:space="0"/>
            </w:tcBorders>
            <w:vAlign w:val="center"/>
          </w:tcPr>
          <w:p w14:paraId="0CF06B0A">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储运单元</w:t>
            </w:r>
          </w:p>
        </w:tc>
        <w:tc>
          <w:tcPr>
            <w:tcW w:w="696" w:type="pct"/>
            <w:tcBorders>
              <w:left w:val="single" w:color="000000" w:sz="2" w:space="0"/>
            </w:tcBorders>
            <w:vAlign w:val="center"/>
          </w:tcPr>
          <w:p w14:paraId="7E470A16">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戊类罐区二</w:t>
            </w:r>
          </w:p>
        </w:tc>
        <w:tc>
          <w:tcPr>
            <w:tcW w:w="3939" w:type="pct"/>
            <w:vAlign w:val="center"/>
          </w:tcPr>
          <w:p w14:paraId="065AFBAF">
            <w:pPr>
              <w:adjustRightInd w:val="0"/>
              <w:snapToGrid w:val="0"/>
              <w:jc w:val="both"/>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罐区周围设置1.5m的围堰和导液设施，设置液位计和高液位报警，设置联锁设施。</w:t>
            </w:r>
            <w:r>
              <w:rPr>
                <w:rFonts w:ascii="Times New Roman" w:hAnsi="Times New Roman" w:cs="Times New Roman"/>
                <w:color w:val="auto"/>
                <w:sz w:val="21"/>
                <w:lang w:eastAsia="zh-CN"/>
              </w:rPr>
              <w:t>设置有毒有害气体探测器、气体泄漏报警系统（连通终端中控室）及应急喷淋设施</w:t>
            </w:r>
            <w:r>
              <w:rPr>
                <w:rFonts w:hint="eastAsia" w:ascii="Times New Roman" w:hAnsi="Times New Roman" w:cs="Times New Roman"/>
                <w:color w:val="auto"/>
                <w:sz w:val="21"/>
                <w:lang w:eastAsia="zh-CN"/>
              </w:rPr>
              <w:t>，紧急切断安全联锁装置并具备声光报警功能，建立安全管理制度，日常运行过程中定期对罐区进行安全检查</w:t>
            </w:r>
            <w:r>
              <w:rPr>
                <w:rFonts w:ascii="Times New Roman" w:hAnsi="Times New Roman" w:cs="Times New Roman"/>
                <w:color w:val="auto"/>
                <w:sz w:val="21"/>
                <w:lang w:eastAsia="zh-CN"/>
              </w:rPr>
              <w:t>。</w:t>
            </w:r>
          </w:p>
        </w:tc>
      </w:tr>
      <w:tr w14:paraId="1BEC2D8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365" w:type="pct"/>
            <w:tcBorders>
              <w:right w:val="single" w:color="000000" w:sz="2" w:space="0"/>
            </w:tcBorders>
            <w:vAlign w:val="center"/>
          </w:tcPr>
          <w:p w14:paraId="1DD2A9FD">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环保单元</w:t>
            </w:r>
          </w:p>
        </w:tc>
        <w:tc>
          <w:tcPr>
            <w:tcW w:w="696" w:type="pct"/>
            <w:tcBorders>
              <w:left w:val="single" w:color="000000" w:sz="2" w:space="0"/>
            </w:tcBorders>
            <w:vAlign w:val="center"/>
          </w:tcPr>
          <w:p w14:paraId="35CFFE57">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危废暂存库</w:t>
            </w:r>
          </w:p>
        </w:tc>
        <w:tc>
          <w:tcPr>
            <w:tcW w:w="3939" w:type="pct"/>
            <w:vAlign w:val="center"/>
          </w:tcPr>
          <w:p w14:paraId="075D28A0">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危险废物暂存库进行</w:t>
            </w:r>
            <w:r>
              <w:rPr>
                <w:rStyle w:val="41"/>
                <w:rFonts w:ascii="Times New Roman" w:hAnsi="Times New Roman"/>
                <w:color w:val="auto"/>
                <w:lang w:eastAsia="zh-CN"/>
              </w:rPr>
              <w:t>重点防渗</w:t>
            </w:r>
            <w:r>
              <w:rPr>
                <w:rFonts w:ascii="Times New Roman" w:hAnsi="Times New Roman" w:cs="Times New Roman"/>
                <w:color w:val="auto"/>
                <w:sz w:val="21"/>
                <w:lang w:eastAsia="zh-CN"/>
              </w:rPr>
              <w:t>、并且危废暂存库内设置环形沟与集液池，以满足危险废物泄漏收集需要。</w:t>
            </w:r>
          </w:p>
        </w:tc>
      </w:tr>
      <w:tr w14:paraId="6D66C1B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061" w:type="pct"/>
            <w:gridSpan w:val="2"/>
            <w:vAlign w:val="center"/>
          </w:tcPr>
          <w:p w14:paraId="4E9AB49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厂区</w:t>
            </w:r>
          </w:p>
        </w:tc>
        <w:tc>
          <w:tcPr>
            <w:tcW w:w="3939" w:type="pct"/>
            <w:vAlign w:val="center"/>
          </w:tcPr>
          <w:p w14:paraId="200EA899">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厂区</w:t>
            </w:r>
            <w:r>
              <w:rPr>
                <w:rFonts w:hint="eastAsia" w:ascii="Times New Roman" w:hAnsi="Times New Roman" w:cs="Times New Roman"/>
                <w:color w:val="auto"/>
                <w:sz w:val="21"/>
                <w:lang w:eastAsia="zh-CN"/>
              </w:rPr>
              <w:t>依托</w:t>
            </w:r>
            <w:r>
              <w:rPr>
                <w:rFonts w:ascii="Times New Roman" w:hAnsi="Times New Roman" w:cs="Times New Roman"/>
                <w:color w:val="auto"/>
                <w:sz w:val="21"/>
                <w:lang w:eastAsia="zh-CN"/>
              </w:rPr>
              <w:t>1座</w:t>
            </w:r>
            <w:r>
              <w:rPr>
                <w:rFonts w:hint="eastAsia" w:ascii="Times New Roman" w:hAnsi="Times New Roman" w:cs="Times New Roman"/>
                <w:color w:val="auto"/>
                <w:sz w:val="21"/>
                <w:lang w:eastAsia="zh-CN"/>
              </w:rPr>
              <w:t>672.3</w:t>
            </w:r>
            <w:r>
              <w:rPr>
                <w:rFonts w:ascii="Times New Roman" w:hAnsi="Times New Roman" w:cs="Times New Roman"/>
                <w:color w:val="auto"/>
                <w:sz w:val="21"/>
                <w:lang w:eastAsia="zh-CN"/>
              </w:rPr>
              <w:t>m</w:t>
            </w:r>
            <w:r>
              <w:rPr>
                <w:rFonts w:ascii="Times New Roman" w:hAnsi="Times New Roman" w:cs="Times New Roman"/>
                <w:color w:val="auto"/>
                <w:sz w:val="21"/>
                <w:vertAlign w:val="superscript"/>
                <w:lang w:eastAsia="zh-CN"/>
              </w:rPr>
              <w:t>3</w:t>
            </w:r>
            <w:r>
              <w:rPr>
                <w:rFonts w:ascii="Times New Roman" w:hAnsi="Times New Roman" w:cs="Times New Roman"/>
                <w:color w:val="auto"/>
                <w:sz w:val="21"/>
                <w:lang w:eastAsia="zh-CN"/>
              </w:rPr>
              <w:t>事故应急池以及新建1座</w:t>
            </w:r>
            <w:r>
              <w:rPr>
                <w:rFonts w:hint="eastAsia" w:ascii="Times New Roman" w:hAnsi="Times New Roman" w:cs="Times New Roman"/>
                <w:color w:val="auto"/>
                <w:sz w:val="21"/>
                <w:lang w:eastAsia="zh-CN"/>
              </w:rPr>
              <w:t>426.9</w:t>
            </w:r>
            <w:r>
              <w:rPr>
                <w:rFonts w:ascii="Times New Roman" w:hAnsi="Times New Roman" w:cs="Times New Roman"/>
                <w:color w:val="auto"/>
                <w:sz w:val="21"/>
                <w:lang w:eastAsia="zh-CN"/>
              </w:rPr>
              <w:t>m</w:t>
            </w:r>
            <w:r>
              <w:rPr>
                <w:rFonts w:ascii="Times New Roman" w:hAnsi="Times New Roman" w:cs="Times New Roman"/>
                <w:color w:val="auto"/>
                <w:sz w:val="21"/>
                <w:vertAlign w:val="superscript"/>
                <w:lang w:eastAsia="zh-CN"/>
              </w:rPr>
              <w:t>3</w:t>
            </w:r>
            <w:r>
              <w:rPr>
                <w:rFonts w:ascii="Times New Roman" w:hAnsi="Times New Roman" w:cs="Times New Roman"/>
                <w:color w:val="auto"/>
                <w:sz w:val="21"/>
                <w:lang w:eastAsia="zh-CN"/>
              </w:rPr>
              <w:t>初期雨水池，污水及雨水总排口设置有自动截断阀。</w:t>
            </w:r>
          </w:p>
        </w:tc>
      </w:tr>
    </w:tbl>
    <w:p w14:paraId="140AE574">
      <w:pPr>
        <w:widowControl w:val="0"/>
        <w:spacing w:line="360" w:lineRule="auto"/>
        <w:ind w:firstLine="482"/>
        <w:outlineLvl w:val="2"/>
        <w:rPr>
          <w:rFonts w:ascii="Times New Roman" w:hAnsi="Times New Roman" w:cs="Times New Roman"/>
          <w:b/>
          <w:bCs/>
          <w:color w:val="auto"/>
          <w:lang w:eastAsia="zh-CN"/>
        </w:rPr>
      </w:pPr>
      <w:bookmarkStart w:id="2120" w:name="_Toc173743475"/>
      <w:bookmarkStart w:id="2121" w:name="_Toc173740371"/>
      <w:bookmarkStart w:id="2122" w:name="_Toc175164365"/>
      <w:bookmarkStart w:id="2123" w:name="_Toc172555737"/>
      <w:bookmarkStart w:id="2124" w:name="_Toc237508386"/>
      <w:bookmarkStart w:id="2125" w:name="_Toc236641921"/>
      <w:bookmarkStart w:id="2126" w:name="_Toc203927095"/>
      <w:bookmarkStart w:id="2127" w:name="_Toc225784153"/>
      <w:bookmarkStart w:id="2128" w:name="_Toc204515294"/>
      <w:bookmarkStart w:id="2129" w:name="_Toc224674791"/>
      <w:bookmarkStart w:id="2130" w:name="_Toc176513101"/>
      <w:bookmarkStart w:id="2131" w:name="_Toc178602443"/>
      <w:bookmarkStart w:id="2132" w:name="_Toc223425151"/>
      <w:bookmarkStart w:id="2133" w:name="_Toc217662765"/>
      <w:bookmarkStart w:id="2134" w:name="_Toc204448559"/>
      <w:bookmarkStart w:id="2135" w:name="_Toc231828674"/>
      <w:bookmarkStart w:id="2136" w:name="_Toc218784377"/>
      <w:bookmarkStart w:id="2137" w:name="_Toc221900933"/>
      <w:bookmarkStart w:id="2138" w:name="_Toc26245"/>
      <w:r>
        <w:rPr>
          <w:rFonts w:ascii="Times New Roman" w:hAnsi="Times New Roman" w:cs="Times New Roman"/>
          <w:b/>
          <w:bCs/>
          <w:color w:val="auto"/>
          <w:lang w:eastAsia="zh-CN"/>
        </w:rPr>
        <w:t>7.</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3</w:t>
      </w:r>
      <w:r>
        <w:rPr>
          <w:rFonts w:ascii="Times New Roman" w:hAnsi="Times New Roman" w:cs="Times New Roman"/>
          <w:b/>
          <w:bCs/>
          <w:color w:val="auto"/>
          <w:lang w:eastAsia="zh-CN"/>
        </w:rPr>
        <w:t xml:space="preserve"> 应急疏散</w:t>
      </w:r>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p>
    <w:p w14:paraId="0111548F">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1、事故状态下影响范围分析</w:t>
      </w:r>
    </w:p>
    <w:p w14:paraId="4FA75161">
      <w:pPr>
        <w:widowControl w:val="0"/>
        <w:spacing w:line="360" w:lineRule="auto"/>
        <w:ind w:firstLine="480" w:firstLineChars="200"/>
        <w:jc w:val="both"/>
        <w:rPr>
          <w:rFonts w:ascii="Times New Roman" w:hAnsi="Times New Roman" w:cs="Times New Roman"/>
          <w:bCs/>
          <w:color w:val="000000" w:themeColor="text1"/>
          <w:szCs w:val="24"/>
          <w:lang w:eastAsia="zh-CN"/>
          <w14:textFill>
            <w14:solidFill>
              <w14:schemeClr w14:val="tx1"/>
            </w14:solidFill>
          </w14:textFill>
        </w:rPr>
      </w:pPr>
      <w:r>
        <w:rPr>
          <w:rFonts w:ascii="Times New Roman" w:hAnsi="Times New Roman" w:cs="Times New Roman"/>
          <w:bCs/>
          <w:color w:val="000000" w:themeColor="text1"/>
          <w:szCs w:val="24"/>
          <w:lang w:eastAsia="zh-CN"/>
          <w14:textFill>
            <w14:solidFill>
              <w14:schemeClr w14:val="tx1"/>
            </w14:solidFill>
          </w14:textFill>
        </w:rPr>
        <w:t>根据前文大气环境风险预测的结果。本项目</w:t>
      </w:r>
      <w:r>
        <w:rPr>
          <w:rFonts w:hint="eastAsia" w:ascii="Times New Roman" w:hAnsi="Times New Roman" w:cs="Times New Roman"/>
          <w:bCs/>
          <w:color w:val="000000" w:themeColor="text1"/>
          <w:szCs w:val="24"/>
          <w:lang w:eastAsia="zh-CN"/>
          <w14:textFill>
            <w14:solidFill>
              <w14:schemeClr w14:val="tx1"/>
            </w14:solidFill>
          </w14:textFill>
        </w:rPr>
        <w:t>化学纯氟化氢</w:t>
      </w:r>
      <w:r>
        <w:rPr>
          <w:rFonts w:ascii="Times New Roman" w:hAnsi="Times New Roman" w:cs="Times New Roman"/>
          <w:bCs/>
          <w:color w:val="000000" w:themeColor="text1"/>
          <w:szCs w:val="24"/>
          <w:lang w:eastAsia="zh-CN"/>
          <w14:textFill>
            <w14:solidFill>
              <w14:schemeClr w14:val="tx1"/>
            </w14:solidFill>
          </w14:textFill>
        </w:rPr>
        <w:t>储罐</w:t>
      </w:r>
      <w:r>
        <w:rPr>
          <w:rFonts w:hint="eastAsia" w:ascii="Times New Roman" w:hAnsi="Times New Roman" w:cs="Times New Roman"/>
          <w:bCs/>
          <w:color w:val="000000" w:themeColor="text1"/>
          <w:szCs w:val="24"/>
          <w:lang w:eastAsia="zh-CN"/>
          <w14:textFill>
            <w14:solidFill>
              <w14:schemeClr w14:val="tx1"/>
            </w14:solidFill>
          </w14:textFill>
        </w:rPr>
        <w:t>、</w:t>
      </w:r>
      <w:r>
        <w:rPr>
          <w:rFonts w:hint="eastAsia" w:ascii="Times New Roman" w:hAnsi="Times New Roman" w:cs="Times New Roman"/>
          <w:color w:val="000000" w:themeColor="text1"/>
          <w:szCs w:val="24"/>
          <w:lang w:eastAsia="zh-CN"/>
          <w14:textFill>
            <w14:solidFill>
              <w14:schemeClr w14:val="tx1"/>
            </w14:solidFill>
          </w14:textFill>
        </w:rPr>
        <w:t>31%盐酸</w:t>
      </w:r>
      <w:r>
        <w:rPr>
          <w:rFonts w:ascii="Times New Roman" w:hAnsi="Times New Roman" w:cs="Times New Roman"/>
          <w:color w:val="000000" w:themeColor="text1"/>
          <w:szCs w:val="24"/>
          <w:lang w:eastAsia="zh-CN"/>
          <w14:textFill>
            <w14:solidFill>
              <w14:schemeClr w14:val="tx1"/>
            </w14:solidFill>
          </w14:textFill>
        </w:rPr>
        <w:t>储罐</w:t>
      </w:r>
      <w:r>
        <w:rPr>
          <w:rFonts w:ascii="Times New Roman" w:hAnsi="Times New Roman" w:cs="Times New Roman"/>
          <w:bCs/>
          <w:color w:val="000000" w:themeColor="text1"/>
          <w:szCs w:val="24"/>
          <w:lang w:eastAsia="zh-CN"/>
          <w14:textFill>
            <w14:solidFill>
              <w14:schemeClr w14:val="tx1"/>
            </w14:solidFill>
          </w14:textFill>
        </w:rPr>
        <w:t>管道阀门全管径破裂，发生泄漏事故，在最不利气象条件下，氟化氢的毒性终点浓度-1</w:t>
      </w:r>
      <w:r>
        <w:rPr>
          <w:rFonts w:hint="eastAsia" w:ascii="Times New Roman" w:hAnsi="Times New Roman" w:cs="Times New Roman"/>
          <w:bCs/>
          <w:color w:val="000000" w:themeColor="text1"/>
          <w:szCs w:val="24"/>
          <w:lang w:eastAsia="zh-CN"/>
          <w14:textFill>
            <w14:solidFill>
              <w14:schemeClr w14:val="tx1"/>
            </w14:solidFill>
          </w14:textFill>
        </w:rPr>
        <w:t>、</w:t>
      </w:r>
      <w:r>
        <w:rPr>
          <w:rFonts w:ascii="Times New Roman" w:hAnsi="Times New Roman" w:cs="Times New Roman"/>
          <w:bCs/>
          <w:color w:val="000000" w:themeColor="text1"/>
          <w:szCs w:val="24"/>
          <w:lang w:eastAsia="zh-CN"/>
          <w14:textFill>
            <w14:solidFill>
              <w14:schemeClr w14:val="tx1"/>
            </w14:solidFill>
          </w14:textFill>
        </w:rPr>
        <w:t>毒性终点浓度-2影响范围内无居民点，主要涉及为周边企业员工，一旦发生事故，建设单位应根据事故当天下风向最大影响范围，及时通知影响范围内人群或上报政府请求协助撤离、疏散。</w:t>
      </w:r>
    </w:p>
    <w:p w14:paraId="52929498">
      <w:pPr>
        <w:widowControl w:val="0"/>
        <w:spacing w:line="360" w:lineRule="auto"/>
        <w:ind w:left="480"/>
        <w:jc w:val="both"/>
        <w:rPr>
          <w:rFonts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2、</w:t>
      </w:r>
      <w:r>
        <w:rPr>
          <w:rFonts w:ascii="Times New Roman" w:hAnsi="Times New Roman" w:cs="Times New Roman"/>
          <w:bCs/>
          <w:color w:val="auto"/>
          <w:szCs w:val="24"/>
          <w:lang w:eastAsia="zh-CN"/>
        </w:rPr>
        <w:t>基本保护措施和防护方法</w:t>
      </w:r>
    </w:p>
    <w:p w14:paraId="5C5B5DE7">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呼吸系统防护：疏散过程中应用衣物捂住口鼻，如条件允许，应该佩戴自吸过滤式防毒面具（半面罩）。</w:t>
      </w:r>
    </w:p>
    <w:p w14:paraId="382E3E6F">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眼睛防护：戴化学安全防护眼镜。</w:t>
      </w:r>
    </w:p>
    <w:p w14:paraId="611E0828">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身体防护：尽可能减少身体暴露，如有可能穿毒物渗透工作服。</w:t>
      </w:r>
    </w:p>
    <w:p w14:paraId="582BCC95">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手防护：戴橡胶耐酸碱手套。</w:t>
      </w:r>
    </w:p>
    <w:p w14:paraId="556EF979">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其他防护：根据泄漏影响程度，周边人员可选择在室内避险，关闭门窗，等待污染影响消失。</w:t>
      </w:r>
    </w:p>
    <w:p w14:paraId="75EB26A4">
      <w:pPr>
        <w:widowControl w:val="0"/>
        <w:spacing w:line="360" w:lineRule="auto"/>
        <w:ind w:left="480"/>
        <w:jc w:val="both"/>
        <w:rPr>
          <w:rFonts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3、</w:t>
      </w:r>
      <w:r>
        <w:rPr>
          <w:rFonts w:ascii="Times New Roman" w:hAnsi="Times New Roman" w:cs="Times New Roman"/>
          <w:bCs/>
          <w:color w:val="auto"/>
          <w:szCs w:val="24"/>
          <w:lang w:eastAsia="zh-CN"/>
        </w:rPr>
        <w:t>疏散方式、方法</w:t>
      </w:r>
    </w:p>
    <w:p w14:paraId="59364681">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事故状态下，根据气象条件及交通情况，选择向远离泄漏点上风向疏散。疏散过程中应注意交通情况，有序疏散，防治发生交通事故及踩踏伤害。</w:t>
      </w:r>
    </w:p>
    <w:p w14:paraId="123BB67B">
      <w:pPr>
        <w:widowControl w:val="0"/>
        <w:spacing w:line="360" w:lineRule="auto"/>
        <w:ind w:firstLine="480" w:firstLineChars="200"/>
        <w:jc w:val="both"/>
        <w:rPr>
          <w:rFonts w:ascii="Times New Roman" w:hAnsi="Times New Roman" w:cs="Times New Roman"/>
          <w:bCs/>
          <w:color w:val="auto"/>
          <w:szCs w:val="24"/>
          <w:lang w:eastAsia="zh-CN"/>
        </w:rPr>
      </w:pPr>
      <w:r>
        <w:rPr>
          <w:rFonts w:ascii="宋体" w:hAnsi="宋体" w:cs="Cambria Math"/>
          <w:bCs/>
          <w:color w:val="auto"/>
          <w:szCs w:val="24"/>
          <w:lang w:eastAsia="zh-CN"/>
        </w:rPr>
        <w:t>①</w:t>
      </w:r>
      <w:r>
        <w:rPr>
          <w:rFonts w:ascii="Times New Roman" w:hAnsi="Times New Roman" w:cs="Times New Roman"/>
          <w:bCs/>
          <w:color w:val="auto"/>
          <w:szCs w:val="24"/>
          <w:lang w:eastAsia="zh-CN"/>
        </w:rPr>
        <w:t xml:space="preserve"> 保证疏散指示标志明显，应急疏散通道出口通畅，应急照明灯能正常使用。</w:t>
      </w:r>
    </w:p>
    <w:p w14:paraId="17D44A94">
      <w:pPr>
        <w:widowControl w:val="0"/>
        <w:spacing w:line="360" w:lineRule="auto"/>
        <w:ind w:firstLine="480" w:firstLineChars="200"/>
        <w:jc w:val="both"/>
        <w:rPr>
          <w:rFonts w:ascii="Times New Roman" w:hAnsi="Times New Roman" w:cs="Times New Roman"/>
          <w:bCs/>
          <w:color w:val="auto"/>
          <w:szCs w:val="24"/>
          <w:lang w:eastAsia="zh-CN"/>
        </w:rPr>
      </w:pPr>
      <w:r>
        <w:rPr>
          <w:rFonts w:ascii="宋体" w:hAnsi="宋体" w:cs="Cambria Math"/>
          <w:bCs/>
          <w:color w:val="auto"/>
          <w:szCs w:val="24"/>
          <w:lang w:eastAsia="zh-CN"/>
        </w:rPr>
        <w:t>②</w:t>
      </w:r>
      <w:r>
        <w:rPr>
          <w:rFonts w:ascii="Times New Roman" w:hAnsi="Times New Roman" w:cs="Times New Roman"/>
          <w:bCs/>
          <w:color w:val="auto"/>
          <w:szCs w:val="24"/>
          <w:lang w:eastAsia="zh-CN"/>
        </w:rPr>
        <w:t xml:space="preserve"> 明确疏散计划，由应急指挥部发出疏散命令后，应急消防组按负责部位进入指定位置，立即组织人员疏散。</w:t>
      </w:r>
    </w:p>
    <w:p w14:paraId="463DC497">
      <w:pPr>
        <w:widowControl w:val="0"/>
        <w:spacing w:line="360" w:lineRule="auto"/>
        <w:ind w:firstLine="480" w:firstLineChars="200"/>
        <w:jc w:val="both"/>
        <w:rPr>
          <w:rFonts w:ascii="Times New Roman" w:hAnsi="Times New Roman" w:cs="Times New Roman"/>
          <w:bCs/>
          <w:color w:val="auto"/>
          <w:szCs w:val="24"/>
          <w:lang w:eastAsia="zh-CN"/>
        </w:rPr>
      </w:pPr>
      <w:r>
        <w:rPr>
          <w:rFonts w:ascii="宋体" w:hAnsi="宋体" w:cs="Cambria Math"/>
          <w:bCs/>
          <w:color w:val="auto"/>
          <w:szCs w:val="24"/>
          <w:lang w:eastAsia="zh-CN"/>
        </w:rPr>
        <w:t>③</w:t>
      </w:r>
      <w:r>
        <w:rPr>
          <w:rFonts w:ascii="Times New Roman" w:hAnsi="Times New Roman" w:cs="Times New Roman"/>
          <w:bCs/>
          <w:color w:val="auto"/>
          <w:szCs w:val="24"/>
          <w:lang w:eastAsia="zh-CN"/>
        </w:rPr>
        <w:t xml:space="preserve"> 应急消防组用最快速度通知现场人员，按疏散的方向通道进行疏散。积极配合好有关部门（公安消防大队）进行疏散工作，主动汇报事故现场情况。</w:t>
      </w:r>
    </w:p>
    <w:p w14:paraId="4AABB0DE">
      <w:pPr>
        <w:widowControl w:val="0"/>
        <w:spacing w:line="360" w:lineRule="auto"/>
        <w:ind w:firstLine="480" w:firstLineChars="200"/>
        <w:jc w:val="both"/>
        <w:rPr>
          <w:rFonts w:ascii="Times New Roman" w:hAnsi="Times New Roman" w:cs="Times New Roman"/>
          <w:bCs/>
          <w:color w:val="auto"/>
          <w:szCs w:val="24"/>
          <w:lang w:eastAsia="zh-CN"/>
        </w:rPr>
      </w:pPr>
      <w:r>
        <w:rPr>
          <w:rFonts w:ascii="宋体" w:hAnsi="宋体" w:cs="Cambria Math"/>
          <w:bCs/>
          <w:color w:val="auto"/>
          <w:szCs w:val="24"/>
          <w:lang w:eastAsia="zh-CN"/>
        </w:rPr>
        <w:t>④</w:t>
      </w:r>
      <w:r>
        <w:rPr>
          <w:rFonts w:hint="eastAsia" w:ascii="宋体" w:hAnsi="宋体" w:cs="Cambria Math"/>
          <w:bCs/>
          <w:color w:val="auto"/>
          <w:szCs w:val="24"/>
          <w:lang w:eastAsia="zh-CN"/>
        </w:rPr>
        <w:t xml:space="preserve"> </w:t>
      </w:r>
      <w:r>
        <w:rPr>
          <w:rFonts w:ascii="Times New Roman" w:hAnsi="Times New Roman" w:cs="Times New Roman"/>
          <w:bCs/>
          <w:color w:val="auto"/>
          <w:szCs w:val="24"/>
          <w:lang w:eastAsia="zh-CN"/>
        </w:rPr>
        <w:t>事故现场有被困人员时，疏导人员应劝导被困人员，服从指挥，做到有组织、有秩序地疏散。</w:t>
      </w:r>
    </w:p>
    <w:p w14:paraId="37AD1096">
      <w:pPr>
        <w:widowControl w:val="0"/>
        <w:spacing w:line="360" w:lineRule="auto"/>
        <w:ind w:firstLine="480" w:firstLineChars="200"/>
        <w:jc w:val="both"/>
        <w:rPr>
          <w:rFonts w:ascii="Times New Roman" w:hAnsi="Times New Roman" w:cs="Times New Roman"/>
          <w:bCs/>
          <w:color w:val="auto"/>
          <w:szCs w:val="24"/>
          <w:lang w:eastAsia="zh-CN"/>
        </w:rPr>
      </w:pPr>
      <w:r>
        <w:rPr>
          <w:rFonts w:ascii="宋体" w:hAnsi="宋体" w:cs="Cambria Math"/>
          <w:bCs/>
          <w:color w:val="auto"/>
          <w:szCs w:val="24"/>
          <w:lang w:eastAsia="zh-CN"/>
        </w:rPr>
        <w:t>⑤</w:t>
      </w:r>
      <w:r>
        <w:rPr>
          <w:rFonts w:ascii="Times New Roman" w:hAnsi="Times New Roman" w:cs="Times New Roman"/>
          <w:bCs/>
          <w:color w:val="auto"/>
          <w:szCs w:val="24"/>
          <w:lang w:eastAsia="zh-CN"/>
        </w:rPr>
        <w:t xml:space="preserve"> 正确通报、防止混乱。疏导人员首先通知事故现场附近人员进行疏散，然后视情况公开通报。</w:t>
      </w:r>
    </w:p>
    <w:p w14:paraId="05621F77">
      <w:pPr>
        <w:widowControl w:val="0"/>
        <w:spacing w:line="360" w:lineRule="auto"/>
        <w:ind w:firstLine="480" w:firstLineChars="200"/>
        <w:jc w:val="both"/>
        <w:rPr>
          <w:rFonts w:ascii="Times New Roman" w:hAnsi="Times New Roman" w:cs="Times New Roman"/>
          <w:bCs/>
          <w:color w:val="auto"/>
          <w:szCs w:val="24"/>
          <w:lang w:eastAsia="zh-CN"/>
        </w:rPr>
      </w:pPr>
      <w:r>
        <w:rPr>
          <w:rFonts w:ascii="宋体" w:hAnsi="宋体" w:cs="Cambria Math"/>
          <w:bCs/>
          <w:color w:val="auto"/>
          <w:szCs w:val="24"/>
          <w:lang w:eastAsia="zh-CN"/>
        </w:rPr>
        <w:t>⑥</w:t>
      </w:r>
      <w:r>
        <w:rPr>
          <w:rFonts w:ascii="Times New Roman" w:hAnsi="Times New Roman" w:cs="Times New Roman"/>
          <w:bCs/>
          <w:color w:val="auto"/>
          <w:szCs w:val="24"/>
          <w:lang w:eastAsia="zh-CN"/>
        </w:rPr>
        <w:t xml:space="preserve"> 口头引导疏散。疏导人员应使用镇定的语气，劝导员工消除恐惧心里，稳定情绪，使大家能够积极配合进行疏散。</w:t>
      </w:r>
    </w:p>
    <w:p w14:paraId="205DCAF6">
      <w:pPr>
        <w:widowControl w:val="0"/>
        <w:spacing w:line="360" w:lineRule="auto"/>
        <w:ind w:firstLine="480" w:firstLineChars="200"/>
        <w:jc w:val="both"/>
        <w:rPr>
          <w:rFonts w:ascii="Times New Roman" w:hAnsi="Times New Roman" w:cs="Times New Roman"/>
          <w:bCs/>
          <w:color w:val="auto"/>
          <w:szCs w:val="24"/>
          <w:lang w:eastAsia="zh-CN"/>
        </w:rPr>
      </w:pPr>
      <w:r>
        <w:rPr>
          <w:rFonts w:ascii="宋体" w:hAnsi="宋体" w:cs="Cambria Math"/>
          <w:bCs/>
          <w:color w:val="auto"/>
          <w:szCs w:val="24"/>
          <w:lang w:eastAsia="zh-CN"/>
        </w:rPr>
        <w:t>⑦</w:t>
      </w:r>
      <w:r>
        <w:rPr>
          <w:rFonts w:ascii="Times New Roman" w:hAnsi="Times New Roman" w:cs="Times New Roman"/>
          <w:bCs/>
          <w:color w:val="auto"/>
          <w:szCs w:val="24"/>
          <w:lang w:eastAsia="zh-CN"/>
        </w:rPr>
        <w:t xml:space="preserve"> 广播引导疏散。利用广播将发生事故的部位，需疏散人员的区域，安全的区域方向和标志告诉大家，对已被困人员告知他们救生器材的使用方法，自制救生器材的方法。</w:t>
      </w:r>
    </w:p>
    <w:p w14:paraId="493FF1B8">
      <w:pPr>
        <w:widowControl w:val="0"/>
        <w:spacing w:line="360" w:lineRule="auto"/>
        <w:ind w:firstLine="480" w:firstLineChars="200"/>
        <w:jc w:val="both"/>
        <w:rPr>
          <w:rFonts w:ascii="Times New Roman" w:hAnsi="Times New Roman" w:cs="Times New Roman"/>
          <w:bCs/>
          <w:color w:val="auto"/>
          <w:szCs w:val="24"/>
          <w:lang w:eastAsia="zh-CN"/>
        </w:rPr>
      </w:pPr>
      <w:r>
        <w:rPr>
          <w:rFonts w:ascii="宋体" w:hAnsi="宋体" w:cs="Cambria Math"/>
          <w:bCs/>
          <w:color w:val="auto"/>
          <w:szCs w:val="24"/>
          <w:lang w:eastAsia="zh-CN"/>
        </w:rPr>
        <w:t>⑧</w:t>
      </w:r>
      <w:r>
        <w:rPr>
          <w:rFonts w:ascii="Times New Roman" w:hAnsi="Times New Roman" w:cs="Times New Roman"/>
          <w:bCs/>
          <w:color w:val="auto"/>
          <w:szCs w:val="24"/>
          <w:lang w:eastAsia="zh-CN"/>
        </w:rPr>
        <w:t xml:space="preserve"> 事故现场直接威胁人员安全，应急消防队人员采取必要的手段强制疏导，防止出现伤亡事故。在疏散通道的拐弯、叉道等容易走错方向的地方设疏导人员，提示疏散方向，防止误入死胡同或进入危险区域。</w:t>
      </w:r>
    </w:p>
    <w:p w14:paraId="3528FC15">
      <w:pPr>
        <w:widowControl w:val="0"/>
        <w:spacing w:line="360" w:lineRule="auto"/>
        <w:ind w:firstLine="480" w:firstLineChars="200"/>
        <w:jc w:val="both"/>
        <w:rPr>
          <w:rFonts w:ascii="Times New Roman" w:hAnsi="Times New Roman" w:cs="Times New Roman"/>
          <w:bCs/>
          <w:color w:val="auto"/>
          <w:szCs w:val="24"/>
          <w:lang w:eastAsia="zh-CN"/>
        </w:rPr>
      </w:pPr>
      <w:r>
        <w:rPr>
          <w:rFonts w:ascii="宋体" w:hAnsi="宋体" w:cs="Cambria Math"/>
          <w:bCs/>
          <w:color w:val="auto"/>
          <w:szCs w:val="24"/>
          <w:lang w:eastAsia="zh-CN"/>
        </w:rPr>
        <w:t>⑨</w:t>
      </w:r>
      <w:r>
        <w:rPr>
          <w:rFonts w:ascii="Times New Roman" w:hAnsi="Times New Roman" w:cs="Times New Roman"/>
          <w:bCs/>
          <w:color w:val="auto"/>
          <w:szCs w:val="24"/>
          <w:lang w:eastAsia="zh-CN"/>
        </w:rPr>
        <w:t xml:space="preserve"> 对疏散出的人员，要加强脱险后的管理，防止脱险人员对财产和未撤离危险区的亲友生命担心而重新返回事故现场。必要时，在进入危险区域的关键部位配备警戒人员。</w:t>
      </w:r>
    </w:p>
    <w:p w14:paraId="005B7C1D">
      <w:pPr>
        <w:widowControl w:val="0"/>
        <w:spacing w:line="360" w:lineRule="auto"/>
        <w:ind w:firstLine="480" w:firstLineChars="200"/>
        <w:jc w:val="both"/>
        <w:rPr>
          <w:rFonts w:ascii="Times New Roman" w:hAnsi="Times New Roman" w:cs="Times New Roman"/>
          <w:bCs/>
          <w:color w:val="auto"/>
          <w:szCs w:val="24"/>
          <w:lang w:eastAsia="zh-CN"/>
        </w:rPr>
      </w:pPr>
      <w:r>
        <w:rPr>
          <w:rFonts w:ascii="宋体" w:hAnsi="宋体" w:cs="Cambria Math"/>
          <w:bCs/>
          <w:color w:val="auto"/>
          <w:szCs w:val="24"/>
          <w:lang w:eastAsia="zh-CN"/>
        </w:rPr>
        <w:t>⑩</w:t>
      </w:r>
      <w:r>
        <w:rPr>
          <w:rFonts w:ascii="Times New Roman" w:hAnsi="Times New Roman" w:cs="Times New Roman"/>
          <w:bCs/>
          <w:color w:val="auto"/>
          <w:szCs w:val="24"/>
          <w:lang w:eastAsia="zh-CN"/>
        </w:rPr>
        <w:t xml:space="preserve"> 专业救援队伍到达现场后，疏导人员若知晓内部被困人员情况，要迅速报告，介绍被困人员方位、数量。</w:t>
      </w:r>
    </w:p>
    <w:p w14:paraId="50B506C7">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4、紧急避难场所</w:t>
      </w:r>
    </w:p>
    <w:p w14:paraId="4BD1DA82">
      <w:pPr>
        <w:widowControl w:val="0"/>
        <w:spacing w:line="360" w:lineRule="auto"/>
        <w:ind w:firstLine="480" w:firstLineChars="200"/>
        <w:jc w:val="both"/>
        <w:rPr>
          <w:rFonts w:ascii="Times New Roman" w:hAnsi="Times New Roman" w:cs="Times New Roman"/>
          <w:bCs/>
          <w:color w:val="auto"/>
          <w:szCs w:val="24"/>
          <w:lang w:eastAsia="zh-CN"/>
        </w:rPr>
      </w:pPr>
      <w:r>
        <w:rPr>
          <w:rFonts w:ascii="宋体" w:hAnsi="宋体" w:cs="Cambria Math"/>
          <w:bCs/>
          <w:color w:val="auto"/>
          <w:szCs w:val="24"/>
          <w:lang w:eastAsia="zh-CN"/>
        </w:rPr>
        <w:t>①</w:t>
      </w:r>
      <w:r>
        <w:rPr>
          <w:rFonts w:ascii="Times New Roman" w:hAnsi="Times New Roman" w:cs="Times New Roman"/>
          <w:bCs/>
          <w:color w:val="auto"/>
          <w:szCs w:val="24"/>
          <w:lang w:eastAsia="zh-CN"/>
        </w:rPr>
        <w:t xml:space="preserve"> 选择厂区大门前空地及停车场区域作为紧急避难场所。</w:t>
      </w:r>
    </w:p>
    <w:p w14:paraId="4CB889C3">
      <w:pPr>
        <w:widowControl w:val="0"/>
        <w:spacing w:line="360" w:lineRule="auto"/>
        <w:ind w:firstLine="480" w:firstLineChars="200"/>
        <w:jc w:val="both"/>
        <w:rPr>
          <w:rFonts w:ascii="Times New Roman" w:hAnsi="Times New Roman" w:cs="Times New Roman"/>
          <w:bCs/>
          <w:color w:val="auto"/>
          <w:szCs w:val="24"/>
          <w:lang w:eastAsia="zh-CN"/>
        </w:rPr>
      </w:pPr>
      <w:r>
        <w:rPr>
          <w:rFonts w:ascii="宋体" w:hAnsi="宋体" w:cs="Cambria Math"/>
          <w:bCs/>
          <w:color w:val="auto"/>
          <w:szCs w:val="24"/>
          <w:lang w:eastAsia="zh-CN"/>
        </w:rPr>
        <w:t>②</w:t>
      </w:r>
      <w:r>
        <w:rPr>
          <w:rFonts w:ascii="Times New Roman" w:hAnsi="Times New Roman" w:cs="Times New Roman"/>
          <w:bCs/>
          <w:color w:val="auto"/>
          <w:szCs w:val="24"/>
          <w:lang w:eastAsia="zh-CN"/>
        </w:rPr>
        <w:t xml:space="preserve"> 做好宣传工作，确保所有人了解紧急避难场所的位置和功能。</w:t>
      </w:r>
    </w:p>
    <w:p w14:paraId="5E89E431">
      <w:pPr>
        <w:widowControl w:val="0"/>
        <w:spacing w:line="360" w:lineRule="auto"/>
        <w:ind w:firstLine="480" w:firstLineChars="200"/>
        <w:jc w:val="both"/>
        <w:rPr>
          <w:rFonts w:ascii="Times New Roman" w:hAnsi="Times New Roman" w:cs="Times New Roman"/>
          <w:bCs/>
          <w:color w:val="auto"/>
          <w:szCs w:val="24"/>
          <w:lang w:eastAsia="zh-CN"/>
        </w:rPr>
      </w:pPr>
      <w:r>
        <w:rPr>
          <w:rFonts w:ascii="宋体" w:hAnsi="宋体" w:cs="Cambria Math"/>
          <w:bCs/>
          <w:color w:val="auto"/>
          <w:szCs w:val="24"/>
          <w:lang w:eastAsia="zh-CN"/>
        </w:rPr>
        <w:t>③</w:t>
      </w:r>
      <w:r>
        <w:rPr>
          <w:rFonts w:ascii="Times New Roman" w:hAnsi="Times New Roman" w:cs="Times New Roman"/>
          <w:bCs/>
          <w:color w:val="auto"/>
          <w:szCs w:val="24"/>
          <w:lang w:eastAsia="zh-CN"/>
        </w:rPr>
        <w:t xml:space="preserve"> 紧急避难场所必须有醒目的标志牌。</w:t>
      </w:r>
    </w:p>
    <w:p w14:paraId="6B040A48">
      <w:pPr>
        <w:widowControl w:val="0"/>
        <w:spacing w:line="360" w:lineRule="auto"/>
        <w:ind w:firstLine="480" w:firstLineChars="200"/>
        <w:jc w:val="both"/>
        <w:rPr>
          <w:rFonts w:ascii="Times New Roman" w:hAnsi="Times New Roman" w:cs="Times New Roman"/>
          <w:bCs/>
          <w:color w:val="auto"/>
          <w:szCs w:val="24"/>
          <w:lang w:eastAsia="zh-CN"/>
        </w:rPr>
      </w:pPr>
      <w:r>
        <w:rPr>
          <w:rFonts w:ascii="宋体" w:hAnsi="宋体" w:cs="Cambria Math"/>
          <w:bCs/>
          <w:color w:val="auto"/>
          <w:szCs w:val="24"/>
          <w:lang w:eastAsia="zh-CN"/>
        </w:rPr>
        <w:t>④</w:t>
      </w:r>
      <w:r>
        <w:rPr>
          <w:rFonts w:ascii="Times New Roman" w:hAnsi="Times New Roman" w:cs="Times New Roman"/>
          <w:bCs/>
          <w:color w:val="auto"/>
          <w:szCs w:val="24"/>
          <w:lang w:eastAsia="zh-CN"/>
        </w:rPr>
        <w:t xml:space="preserve"> 紧急避难场所不得作为他用。</w:t>
      </w:r>
    </w:p>
    <w:p w14:paraId="150B6E3C">
      <w:pPr>
        <w:widowControl w:val="0"/>
        <w:spacing w:line="360" w:lineRule="auto"/>
        <w:ind w:left="480"/>
        <w:jc w:val="both"/>
        <w:rPr>
          <w:rFonts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5、</w:t>
      </w:r>
      <w:r>
        <w:rPr>
          <w:rFonts w:ascii="Times New Roman" w:hAnsi="Times New Roman" w:cs="Times New Roman"/>
          <w:bCs/>
          <w:color w:val="auto"/>
          <w:szCs w:val="24"/>
          <w:lang w:eastAsia="zh-CN"/>
        </w:rPr>
        <w:t>周边道路隔离和交通疏导办法</w:t>
      </w:r>
    </w:p>
    <w:p w14:paraId="7290B3DC">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发生较大突发环境事件时，为配合救援工作开展需进行交通管制时，警戒维护组应配合交警进行交通管制。</w:t>
      </w:r>
    </w:p>
    <w:p w14:paraId="3450E460">
      <w:pPr>
        <w:widowControl w:val="0"/>
        <w:spacing w:line="360" w:lineRule="auto"/>
        <w:ind w:firstLine="480" w:firstLineChars="200"/>
        <w:jc w:val="both"/>
        <w:rPr>
          <w:rFonts w:ascii="Times New Roman" w:hAnsi="Times New Roman" w:cs="Times New Roman"/>
          <w:bCs/>
          <w:color w:val="auto"/>
          <w:szCs w:val="24"/>
          <w:lang w:eastAsia="zh-CN"/>
        </w:rPr>
      </w:pPr>
      <w:r>
        <w:rPr>
          <w:rFonts w:ascii="宋体" w:hAnsi="宋体" w:cs="Cambria Math"/>
          <w:bCs/>
          <w:color w:val="auto"/>
          <w:szCs w:val="24"/>
          <w:lang w:eastAsia="zh-CN"/>
        </w:rPr>
        <w:t>①</w:t>
      </w:r>
      <w:r>
        <w:rPr>
          <w:rFonts w:hint="eastAsia" w:ascii="宋体" w:hAnsi="宋体" w:cs="Cambria Math"/>
          <w:bCs/>
          <w:color w:val="auto"/>
          <w:szCs w:val="24"/>
          <w:lang w:eastAsia="zh-CN"/>
        </w:rPr>
        <w:t xml:space="preserve"> </w:t>
      </w:r>
      <w:r>
        <w:rPr>
          <w:rFonts w:ascii="Times New Roman" w:hAnsi="Times New Roman" w:cs="Times New Roman"/>
          <w:bCs/>
          <w:color w:val="auto"/>
          <w:szCs w:val="24"/>
          <w:lang w:eastAsia="zh-CN"/>
        </w:rPr>
        <w:t>设置路障，封锁通往事故现场的道路，防止车辆或者人员再次进入事故现场。主要管制路段设警示标志，并有专人警戒。</w:t>
      </w:r>
    </w:p>
    <w:p w14:paraId="1E560E9E">
      <w:pPr>
        <w:widowControl w:val="0"/>
        <w:spacing w:line="360" w:lineRule="auto"/>
        <w:ind w:firstLine="480" w:firstLineChars="200"/>
        <w:jc w:val="both"/>
        <w:rPr>
          <w:rFonts w:ascii="Times New Roman" w:hAnsi="Times New Roman" w:cs="Times New Roman"/>
          <w:bCs/>
          <w:color w:val="auto"/>
          <w:szCs w:val="24"/>
          <w:lang w:eastAsia="zh-CN"/>
        </w:rPr>
      </w:pPr>
      <w:r>
        <w:rPr>
          <w:rFonts w:ascii="宋体" w:hAnsi="宋体" w:cs="Cambria Math"/>
          <w:bCs/>
          <w:color w:val="auto"/>
          <w:szCs w:val="24"/>
          <w:lang w:eastAsia="zh-CN"/>
        </w:rPr>
        <w:t>②</w:t>
      </w:r>
      <w:r>
        <w:rPr>
          <w:rFonts w:hint="eastAsia" w:ascii="宋体" w:hAnsi="宋体" w:cs="Cambria Math"/>
          <w:bCs/>
          <w:color w:val="auto"/>
          <w:szCs w:val="24"/>
          <w:lang w:eastAsia="zh-CN"/>
        </w:rPr>
        <w:t xml:space="preserve"> </w:t>
      </w:r>
      <w:r>
        <w:rPr>
          <w:rFonts w:ascii="Times New Roman" w:hAnsi="Times New Roman" w:cs="Times New Roman"/>
          <w:bCs/>
          <w:color w:val="auto"/>
          <w:szCs w:val="24"/>
          <w:lang w:eastAsia="zh-CN"/>
        </w:rPr>
        <w:t>配合好进入事故现场的应急救援小队，确保应急救援小队进出现场自由通畅。</w:t>
      </w:r>
    </w:p>
    <w:p w14:paraId="667B91C5">
      <w:pPr>
        <w:widowControl w:val="0"/>
        <w:spacing w:line="360" w:lineRule="auto"/>
        <w:ind w:firstLine="480" w:firstLineChars="200"/>
        <w:jc w:val="both"/>
        <w:rPr>
          <w:rFonts w:ascii="Times New Roman" w:hAnsi="Times New Roman" w:cs="Times New Roman"/>
          <w:bCs/>
          <w:color w:val="auto"/>
          <w:szCs w:val="24"/>
          <w:lang w:eastAsia="zh-CN"/>
        </w:rPr>
      </w:pPr>
      <w:r>
        <w:rPr>
          <w:rFonts w:ascii="宋体" w:hAnsi="宋体" w:cs="Cambria Math"/>
          <w:bCs/>
          <w:color w:val="auto"/>
          <w:szCs w:val="24"/>
          <w:lang w:eastAsia="zh-CN"/>
        </w:rPr>
        <w:t>③</w:t>
      </w:r>
      <w:r>
        <w:rPr>
          <w:rFonts w:hint="eastAsia" w:ascii="宋体" w:hAnsi="宋体" w:cs="Cambria Math"/>
          <w:bCs/>
          <w:color w:val="auto"/>
          <w:szCs w:val="24"/>
          <w:lang w:eastAsia="zh-CN"/>
        </w:rPr>
        <w:t xml:space="preserve"> </w:t>
      </w:r>
      <w:r>
        <w:rPr>
          <w:rFonts w:ascii="Times New Roman" w:hAnsi="Times New Roman" w:cs="Times New Roman"/>
          <w:bCs/>
          <w:color w:val="auto"/>
          <w:szCs w:val="24"/>
          <w:lang w:eastAsia="zh-CN"/>
        </w:rPr>
        <w:t>引导需经过事故现场的车辆或行人临时绕道，确保车辆行人不受危险物质的伤害</w:t>
      </w:r>
    </w:p>
    <w:p w14:paraId="38AC7944">
      <w:pPr>
        <w:widowControl w:val="0"/>
        <w:spacing w:line="360" w:lineRule="auto"/>
        <w:jc w:val="both"/>
        <w:rPr>
          <w:rFonts w:ascii="Times New Roman" w:hAnsi="Times New Roman" w:cs="Times New Roman"/>
          <w:bCs/>
          <w:color w:val="auto"/>
          <w:szCs w:val="24"/>
          <w:lang w:eastAsia="zh-CN"/>
        </w:rPr>
        <w:sectPr>
          <w:pgSz w:w="11906" w:h="16838"/>
          <w:pgMar w:top="1440" w:right="1080" w:bottom="1440" w:left="1080" w:header="851" w:footer="992" w:gutter="0"/>
          <w:cols w:space="720" w:num="1"/>
          <w:docGrid w:type="lines" w:linePitch="312" w:charSpace="0"/>
        </w:sectPr>
      </w:pPr>
    </w:p>
    <w:p w14:paraId="78989B25">
      <w:pPr>
        <w:widowControl w:val="0"/>
        <w:spacing w:line="360" w:lineRule="auto"/>
        <w:jc w:val="center"/>
        <w:rPr>
          <w:rFonts w:ascii="Times New Roman" w:hAnsi="Times New Roman" w:cs="Times New Roman"/>
          <w:bCs/>
          <w:color w:val="auto"/>
          <w:szCs w:val="24"/>
          <w:lang w:eastAsia="zh-CN"/>
        </w:rPr>
        <w:sectPr>
          <w:pgSz w:w="11906" w:h="16838"/>
          <w:pgMar w:top="1440" w:right="1080" w:bottom="1440" w:left="1080" w:header="851" w:footer="992" w:gutter="0"/>
          <w:cols w:space="720" w:num="1"/>
          <w:docGrid w:type="lines" w:linePitch="326" w:charSpace="0"/>
        </w:sectPr>
      </w:pPr>
      <w:r>
        <w:rPr>
          <w:rFonts w:ascii="Times New Roman" w:hAnsi="Times New Roman" w:cs="Times New Roman"/>
          <w:bCs/>
          <w:snapToGrid/>
          <w:color w:val="auto"/>
          <w:szCs w:val="24"/>
          <w:lang w:eastAsia="zh-CN"/>
        </w:rPr>
        <mc:AlternateContent>
          <mc:Choice Requires="wps">
            <w:drawing>
              <wp:anchor distT="0" distB="0" distL="114300" distR="114300" simplePos="0" relativeHeight="251993088" behindDoc="0" locked="0" layoutInCell="1" allowOverlap="1">
                <wp:simplePos x="0" y="0"/>
                <wp:positionH relativeFrom="column">
                  <wp:posOffset>3476625</wp:posOffset>
                </wp:positionH>
                <wp:positionV relativeFrom="paragraph">
                  <wp:posOffset>4789805</wp:posOffset>
                </wp:positionV>
                <wp:extent cx="107950" cy="467995"/>
                <wp:effectExtent l="3175" t="3810" r="5080" b="2540"/>
                <wp:wrapNone/>
                <wp:docPr id="499492802" name="箭头: 下 611"/>
                <wp:cNvGraphicFramePr/>
                <a:graphic xmlns:a="http://schemas.openxmlformats.org/drawingml/2006/main">
                  <a:graphicData uri="http://schemas.microsoft.com/office/word/2010/wordprocessingShape">
                    <wps:wsp>
                      <wps:cNvSpPr>
                        <a:spLocks noChangeArrowheads="1"/>
                      </wps:cNvSpPr>
                      <wps:spPr bwMode="auto">
                        <a:xfrm rot="5400000">
                          <a:off x="0" y="0"/>
                          <a:ext cx="107950" cy="467995"/>
                        </a:xfrm>
                        <a:prstGeom prst="downArrow">
                          <a:avLst>
                            <a:gd name="adj1" fmla="val 50000"/>
                            <a:gd name="adj2" fmla="val 108382"/>
                          </a:avLst>
                        </a:prstGeom>
                        <a:solidFill>
                          <a:srgbClr val="7030A0"/>
                        </a:solidFill>
                        <a:ln>
                          <a:noFill/>
                        </a:ln>
                      </wps:spPr>
                      <wps:bodyPr rot="0" vert="eaVert" wrap="square" lIns="91440" tIns="45720" rIns="91440" bIns="45720" anchor="t" anchorCtr="0" upright="1">
                        <a:noAutofit/>
                      </wps:bodyPr>
                    </wps:wsp>
                  </a:graphicData>
                </a:graphic>
              </wp:anchor>
            </w:drawing>
          </mc:Choice>
          <mc:Fallback>
            <w:pict>
              <v:shape id="箭头: 下 611" o:spid="_x0000_s1026" o:spt="67" type="#_x0000_t67" style="position:absolute;left:0pt;margin-left:273.75pt;margin-top:377.15pt;height:36.85pt;width:8.5pt;rotation:5898240f;z-index:251993088;mso-width-relative:page;mso-height-relative:page;" fillcolor="#7030A0" filled="t" stroked="f" coordsize="21600,21600" o:gfxdata="UEsDBAoAAAAAAIdO4kAAAAAAAAAAAAAAAAAEAAAAZHJzL1BLAwQUAAAACACHTuJAobNIgtoAAAAL&#10;AQAADwAAAGRycy9kb3ducmV2LnhtbE2Py07DMBBF90j8gzVIbCpqt02aNGRSoQIbFkh9fIAbT5OI&#10;eBzF7oO/x6xgOTNHd84t1zfbiwuNvnOMMJsqEMS1Mx03CIf9+1MOwgfNRveOCeGbPKyr+7tSF8Zd&#10;eUuXXWhEDGFfaIQ2hKGQ0tctWe2nbiCOt5MbrQ5xHBtpRn2N4baXc6WW0uqO44dWD7Rpqf7anS3C&#10;59t+4z5qNWxfDtnrZLEKTBOD+PgwU88gAt3CHwy/+lEdquh0dGc2XvQIaZKlEUXI0mQBIhLpMomb&#10;I0I+zxXIqpT/O1Q/UEsDBBQAAAAIAIdO4kAOeM6NXwIAAJsEAAAOAAAAZHJzL2Uyb0RvYy54bWyt&#10;VMFy0zAQvTPDP2h0p7ZTp4k9dTqdZMowU6AzBe6KLMcCWSskJU6/gd/gCicOfBAMv8FKNmkolx7I&#10;wfFKq7dv39P6/GLfKbIT1knQFc1OUkqE5lBLvano2zdXz+aUOM90zRRoUdE74ejF4umT896UYgIt&#10;qFpYgiDalb2paOu9KZPE8VZ0zJ2AERo3G7Ad8xjaTVJb1iN6p5JJmp4lPdjaWODCOVxdDZt0RLSP&#10;AYSmkVysgG87of2AaoViHltyrTSOLiLbphHcv24aJzxRFcVOfXxiEXxfh2eyOGflxjLTSj5SYI+h&#10;8KCnjkmNRQ9QK+YZ2Vr5D1QnuQUHjT/h0CVDI1ER7CJLH2hz2zIjYi8otTMH0d3/g+WvdjeWyLqi&#10;eVHkxWSeTijRrEPjf3398vPzt5L8+P6JnGVZkKo3rsQTt+bGhmaduQb+wRENy5bpjbi0FvpWsBoJ&#10;xvzkrwMhcHiUrPuXUGMFtvUQVds3tiMW0J1pnoZfXEV1yD5adXewSuw94biYpbNiiiZy3MrPZkUx&#10;DfwSVgaowM1Y558L6Eh4qWgNvY70IjLbXTsf7arHZln9PqOk6RS6v2OKTCOL4XYc5aA49zlZOj+d&#10;T8a6IyQy+FM5KgRK1ldSqRjYzXqpLEH8is7S0/Qy3j884o7TlA7JGsKxoaewEqUM6g0urKG+QyWj&#10;ZigDzjM2Kdg7/Kekx/tcUfdxy6ygRL3Q6EeR5XkYgBjk09kEA3u8sz7eYZq3gGOCYMPr0g9DszVW&#10;blqslUUhNVyih430gWjwd+A1BnhnoyfjfIWhOI5j1v03ZfE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obNIgtoAAAALAQAADwAAAAAAAAABACAAAAAiAAAAZHJzL2Rvd25yZXYueG1sUEsBAhQAFAAA&#10;AAgAh07iQA54zo1fAgAAmwQAAA4AAAAAAAAAAQAgAAAAKQEAAGRycy9lMm9Eb2MueG1sUEsFBgAA&#10;AAAGAAYAWQEAAPoFAAAAAA==&#10;" adj="16201,5400">
                <v:fill on="t" focussize="0,0"/>
                <v:stroke on="f"/>
                <v:imagedata o:title=""/>
                <o:lock v:ext="edit" aspectratio="f"/>
                <v:textbox style="layout-flow:vertical-ideographic;"/>
              </v:shape>
            </w:pict>
          </mc:Fallback>
        </mc:AlternateContent>
      </w:r>
      <w:r>
        <w:rPr>
          <w:rFonts w:ascii="Times New Roman" w:hAnsi="Times New Roman" w:cs="Times New Roman"/>
          <w:bCs/>
          <w:snapToGrid/>
          <w:color w:val="auto"/>
          <w:szCs w:val="24"/>
          <w:lang w:eastAsia="zh-CN"/>
        </w:rPr>
        <mc:AlternateContent>
          <mc:Choice Requires="wps">
            <w:drawing>
              <wp:anchor distT="0" distB="0" distL="114300" distR="114300" simplePos="0" relativeHeight="251992064" behindDoc="0" locked="0" layoutInCell="1" allowOverlap="1">
                <wp:simplePos x="0" y="0"/>
                <wp:positionH relativeFrom="column">
                  <wp:posOffset>3484880</wp:posOffset>
                </wp:positionH>
                <wp:positionV relativeFrom="paragraph">
                  <wp:posOffset>1080770</wp:posOffset>
                </wp:positionV>
                <wp:extent cx="107950" cy="467995"/>
                <wp:effectExtent l="3175" t="3810" r="5080" b="2540"/>
                <wp:wrapNone/>
                <wp:docPr id="440811183" name="箭头: 下 610"/>
                <wp:cNvGraphicFramePr/>
                <a:graphic xmlns:a="http://schemas.openxmlformats.org/drawingml/2006/main">
                  <a:graphicData uri="http://schemas.microsoft.com/office/word/2010/wordprocessingShape">
                    <wps:wsp>
                      <wps:cNvSpPr>
                        <a:spLocks noChangeArrowheads="1"/>
                      </wps:cNvSpPr>
                      <wps:spPr bwMode="auto">
                        <a:xfrm rot="5400000">
                          <a:off x="0" y="0"/>
                          <a:ext cx="107950" cy="467995"/>
                        </a:xfrm>
                        <a:prstGeom prst="downArrow">
                          <a:avLst>
                            <a:gd name="adj1" fmla="val 50000"/>
                            <a:gd name="adj2" fmla="val 108382"/>
                          </a:avLst>
                        </a:prstGeom>
                        <a:solidFill>
                          <a:srgbClr val="7030A0"/>
                        </a:solidFill>
                        <a:ln>
                          <a:noFill/>
                        </a:ln>
                      </wps:spPr>
                      <wps:bodyPr rot="0" vert="eaVert" wrap="square" lIns="91440" tIns="45720" rIns="91440" bIns="45720" anchor="t" anchorCtr="0" upright="1">
                        <a:noAutofit/>
                      </wps:bodyPr>
                    </wps:wsp>
                  </a:graphicData>
                </a:graphic>
              </wp:anchor>
            </w:drawing>
          </mc:Choice>
          <mc:Fallback>
            <w:pict>
              <v:shape id="箭头: 下 610" o:spid="_x0000_s1026" o:spt="67" type="#_x0000_t67" style="position:absolute;left:0pt;margin-left:274.4pt;margin-top:85.1pt;height:36.85pt;width:8.5pt;rotation:5898240f;z-index:251992064;mso-width-relative:page;mso-height-relative:page;" fillcolor="#7030A0" filled="t" stroked="f" coordsize="21600,21600" o:gfxdata="UEsDBAoAAAAAAIdO4kAAAAAAAAAAAAAAAAAEAAAAZHJzL1BLAwQUAAAACACHTuJApbmyXtoAAAAL&#10;AQAADwAAAGRycy9kb3ducmV2LnhtbE2PS2/CMBCE70j9D9ZW6gUVm0B4pHFQBeXSQyUeP8DE2yRq&#10;vI5i8/r33Z7KcXZGM9/mq5trxQX70HjSMB4pEEiltw1VGo6H7esCRIiGrGk9oYY7BlgVT4PcZNZf&#10;aYeXfawEl1DIjIY6xi6TMpQ1OhNGvkNi79v3zkSWfSVtb65c7lqZKDWTzjTEC7XpcF1j+bM/Ow1f&#10;H4e1/yxVt3s/zjfDyTISDq3WL89j9QYi4i3+h+EPn9GhYKaTP5MNotWQTheMHtmYqwQEJ9JZypeT&#10;hmQ6WYIscvn4Q/ELUEsDBBQAAAAIAIdO4kCYZtdaXgIAAJsEAAAOAAAAZHJzL2Uyb0RvYy54bWyt&#10;VM1u1DAQviPxDpbvNMn+dHejZqtqqyKkApUK3L22szE4HmN7N9tn4DW4wokDDwTiNRg7YbuUSw/k&#10;kHjsmW9mvs+Ts/N9q8lOOq/AVLQ4ySmRhoNQZlPRt2+uns0p8YEZwTQYWdE76en58umTs86WcgQN&#10;aCEdQRDjy85WtAnBllnmeSNb5k/ASoOHNbiWBTTdJhOOdYje6myU56dZB05YB1x6j7uX/SEdEN1j&#10;AKGuFZeXwLetNKFHdVKzgC35RllPl6naupY8vK5rLwPRFcVOQ3pjElyv4ztbnrFy45htFB9KYI8p&#10;4UFPLVMGkx6gLllgZOvUP1Ct4g481OGEQ5v1jSRGsIsif8DNbcOsTL0g1d4eSPf/D5a/2t04okRF&#10;J5N8XhTFfEyJYS0K/+vrl5+fv5Xkx/dP5LRIVHXWlxhxa29cbNbba+AfPDGwapjZyAvnoGskE1hg&#10;EanN/gqIhsdQsu5egsAMbBsgsbavXUscoDrTSR6ftIvskH2S6u4gldwHwnGzyGeLKYrI8WhyOlss&#10;pikfKyNUrM06H55LaElcVFRAZ1J5CZntrn1IcomhWSbeF5TUrUb1d0yTaaqivx1HPqNjnyKfj+ej&#10;Ie8Amd1nTgyBVuJKaZ0Mt1mvtCOIX9FZPs4vEqkY4o/dtInOBmJY5JCVcSdRGdmLV9uXaxB3yGTi&#10;DGnAecYmJXuHX0o6vM8V9R+3zElK9AuDeiwKFBgHIBmT6WyEhjs+WR+fMMMbwDFBsH65Cv3QbK1T&#10;mwZzFYlIAxeoYa3CH7H7uoZy8c6m+of5ikNxbCev+3/K8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lubJe2gAAAAsBAAAPAAAAAAAAAAEAIAAAACIAAABkcnMvZG93bnJldi54bWxQSwECFAAUAAAA&#10;CACHTuJAmGbXWl4CAACbBAAADgAAAAAAAAABACAAAAApAQAAZHJzL2Uyb0RvYy54bWxQSwUGAAAA&#10;AAYABgBZAQAA+QUAAAAA&#10;" adj="16201,5400">
                <v:fill on="t" focussize="0,0"/>
                <v:stroke on="f"/>
                <v:imagedata o:title=""/>
                <o:lock v:ext="edit" aspectratio="f"/>
                <v:textbox style="layout-flow:vertical-ideographic;"/>
              </v:shape>
            </w:pict>
          </mc:Fallback>
        </mc:AlternateContent>
      </w:r>
      <w:r>
        <w:rPr>
          <w:rFonts w:ascii="Times New Roman" w:hAnsi="Times New Roman" w:cs="Times New Roman"/>
          <w:bCs/>
          <w:snapToGrid/>
          <w:color w:val="auto"/>
          <w:szCs w:val="24"/>
          <w:lang w:eastAsia="zh-CN"/>
        </w:rPr>
        <mc:AlternateContent>
          <mc:Choice Requires="wps">
            <w:drawing>
              <wp:anchor distT="0" distB="0" distL="114300" distR="114300" simplePos="0" relativeHeight="251991040" behindDoc="0" locked="0" layoutInCell="1" allowOverlap="1">
                <wp:simplePos x="0" y="0"/>
                <wp:positionH relativeFrom="column">
                  <wp:posOffset>3529330</wp:posOffset>
                </wp:positionH>
                <wp:positionV relativeFrom="paragraph">
                  <wp:posOffset>3280410</wp:posOffset>
                </wp:positionV>
                <wp:extent cx="107950" cy="467995"/>
                <wp:effectExtent l="3175" t="3810" r="5080" b="2540"/>
                <wp:wrapNone/>
                <wp:docPr id="330001998" name="箭头: 下 609"/>
                <wp:cNvGraphicFramePr/>
                <a:graphic xmlns:a="http://schemas.openxmlformats.org/drawingml/2006/main">
                  <a:graphicData uri="http://schemas.microsoft.com/office/word/2010/wordprocessingShape">
                    <wps:wsp>
                      <wps:cNvSpPr>
                        <a:spLocks noChangeArrowheads="1"/>
                      </wps:cNvSpPr>
                      <wps:spPr bwMode="auto">
                        <a:xfrm rot="5400000">
                          <a:off x="0" y="0"/>
                          <a:ext cx="107950" cy="467995"/>
                        </a:xfrm>
                        <a:prstGeom prst="downArrow">
                          <a:avLst>
                            <a:gd name="adj1" fmla="val 50000"/>
                            <a:gd name="adj2" fmla="val 108382"/>
                          </a:avLst>
                        </a:prstGeom>
                        <a:solidFill>
                          <a:srgbClr val="7030A0"/>
                        </a:solidFill>
                        <a:ln>
                          <a:noFill/>
                        </a:ln>
                      </wps:spPr>
                      <wps:bodyPr rot="0" vert="eaVert" wrap="square" lIns="91440" tIns="45720" rIns="91440" bIns="45720" anchor="t" anchorCtr="0" upright="1">
                        <a:noAutofit/>
                      </wps:bodyPr>
                    </wps:wsp>
                  </a:graphicData>
                </a:graphic>
              </wp:anchor>
            </w:drawing>
          </mc:Choice>
          <mc:Fallback>
            <w:pict>
              <v:shape id="箭头: 下 609" o:spid="_x0000_s1026" o:spt="67" type="#_x0000_t67" style="position:absolute;left:0pt;margin-left:277.9pt;margin-top:258.3pt;height:36.85pt;width:8.5pt;rotation:5898240f;z-index:251991040;mso-width-relative:page;mso-height-relative:page;" fillcolor="#7030A0" filled="t" stroked="f" coordsize="21600,21600" o:gfxdata="UEsDBAoAAAAAAIdO4kAAAAAAAAAAAAAAAAAEAAAAZHJzL1BLAwQUAAAACACHTuJAYgQyAdkAAAAL&#10;AQAADwAAAGRycy9kb3ducmV2LnhtbE2PzW7CMBCE75X6DtZW6gUVO6CEEuKgipZLD5X4eQATL0nU&#10;eB3F5qdvz3Kit9md0ey3xfLqOnHGIbSeNCRjBQKp8ralWsN+t357BxGiIWs6T6jhDwMsy+enwuTW&#10;X2iD522sBZdQyI2GJsY+lzJUDToTxr5HYu/oB2cij0Mt7WAuXO46OVEqk860xBca0+Oqwep3e3Ia&#10;fr52K/9dqX7zsZ99jqbzSDiyWr++JGoBIuI1PsJwx2d0KJnp4E9kg+g0pGnK6JFFkmUgOJHOJrw5&#10;sJirKciykP9/KG9QSwMEFAAAAAgAh07iQJWiBLBdAgAAmwQAAA4AAABkcnMvZTJvRG9jLnhtbK1U&#10;zW7UMBC+I/EOlu80zv50m6jZqmpVhFSgUoG713Y2AcdjbO9m+wy8Blc4ceCBQLwGYydsl3LpgUvW&#10;Y4+/+eb7PHt6tus02SrnWzAVzY8YJcoIkK1ZV/Ttm6tnJ5T4wI3kGoyq6J3y9Gz59Mlpb0s1gQa0&#10;VI4giPFlbyvahGDLLPOiUR33R2CVwcMaXMcDhm6dScd7RO90NmHsOOvBSetAKO9x93I4pCOiewwg&#10;1HUr1CWITadMGFCd0jxgS75prafLxLaulQiv69qrQHRFsdOQvlgE16v4zZanvFw7bptWjBT4Yyg8&#10;6KnjrcGie6hLHjjZuPYfqK4VDjzU4UhAlw2NJEWwi5w90Oa24ValXlBqb/ei+/8HK15tbxxpZUWn&#10;U8ZYXhRov+EdGv/r65efn7+V5Mf3T+SYFVGq3voSb9zaGxeb9fYaxAdPDFw03KzVuXPQN4pLJJjH&#10;/OyvCzHweJWs+pcgsQLfBEiq7WrXEQfoznyGLBhLu6gO2SWr7vZWqV0gAjdztijmaKLAo9nxoijm&#10;qR4vI1TkZp0PzxV0JC4qKqE3iV5C5ttrH5JdcmyWy/c5JXWn0f0t12SeWAyv4yBncpiTs5PpyWSs&#10;O0Jm95WTQqBbedVqnQK3Xl1oRxC/ogs2Zefp/eEVf5imTUw2EK9FDXkZd5KUUb3BhRXIO1QyaYYy&#10;4Dxjk4q/w19KenzPFfUfN9wpSvQLg34U+WwWByAFs/ligoE7PFkdnnAjGsAxQbBheRGGodlY164b&#10;rJUnIQ2co4d1G/6YPfAa6eKbTfzH+YpDcRinrPv/lO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YgQyAdkAAAALAQAADwAAAAAAAAABACAAAAAiAAAAZHJzL2Rvd25yZXYueG1sUEsBAhQAFAAAAAgA&#10;h07iQJWiBLBdAgAAmwQAAA4AAAAAAAAAAQAgAAAAKAEAAGRycy9lMm9Eb2MueG1sUEsFBgAAAAAG&#10;AAYAWQEAAPcFAAAAAA==&#10;" adj="16201,5400">
                <v:fill on="t" focussize="0,0"/>
                <v:stroke on="f"/>
                <v:imagedata o:title=""/>
                <o:lock v:ext="edit" aspectratio="f"/>
                <v:textbox style="layout-flow:vertical-ideographic;"/>
              </v:shape>
            </w:pict>
          </mc:Fallback>
        </mc:AlternateContent>
      </w:r>
      <w:r>
        <w:rPr>
          <w:rFonts w:ascii="Times New Roman" w:hAnsi="Times New Roman" w:cs="Times New Roman"/>
          <w:bCs/>
          <w:snapToGrid/>
          <w:color w:val="auto"/>
          <w:szCs w:val="24"/>
          <w:lang w:eastAsia="zh-CN"/>
        </w:rPr>
        <mc:AlternateContent>
          <mc:Choice Requires="wps">
            <w:drawing>
              <wp:anchor distT="0" distB="0" distL="114300" distR="114300" simplePos="0" relativeHeight="251990016" behindDoc="0" locked="0" layoutInCell="1" allowOverlap="1">
                <wp:simplePos x="0" y="0"/>
                <wp:positionH relativeFrom="margin">
                  <wp:posOffset>1814830</wp:posOffset>
                </wp:positionH>
                <wp:positionV relativeFrom="paragraph">
                  <wp:posOffset>1928495</wp:posOffset>
                </wp:positionV>
                <wp:extent cx="107950" cy="467995"/>
                <wp:effectExtent l="0" t="8573" r="0" b="0"/>
                <wp:wrapNone/>
                <wp:docPr id="1206422497" name="箭头: 下 607"/>
                <wp:cNvGraphicFramePr/>
                <a:graphic xmlns:a="http://schemas.openxmlformats.org/drawingml/2006/main">
                  <a:graphicData uri="http://schemas.microsoft.com/office/word/2010/wordprocessingShape">
                    <wps:wsp>
                      <wps:cNvSpPr>
                        <a:spLocks noChangeArrowheads="1"/>
                      </wps:cNvSpPr>
                      <wps:spPr bwMode="auto">
                        <a:xfrm rot="16200000" flipH="1">
                          <a:off x="0" y="0"/>
                          <a:ext cx="107950" cy="467995"/>
                        </a:xfrm>
                        <a:prstGeom prst="downArrow">
                          <a:avLst>
                            <a:gd name="adj1" fmla="val 50000"/>
                            <a:gd name="adj2" fmla="val 108382"/>
                          </a:avLst>
                        </a:prstGeom>
                        <a:solidFill>
                          <a:srgbClr val="7030A0"/>
                        </a:solidFill>
                        <a:ln>
                          <a:noFill/>
                        </a:ln>
                      </wps:spPr>
                      <wps:bodyPr rot="0" vert="eaVert" wrap="square" lIns="91440" tIns="45720" rIns="91440" bIns="45720" anchor="t" anchorCtr="0" upright="1">
                        <a:noAutofit/>
                      </wps:bodyPr>
                    </wps:wsp>
                  </a:graphicData>
                </a:graphic>
              </wp:anchor>
            </w:drawing>
          </mc:Choice>
          <mc:Fallback>
            <w:pict>
              <v:shape id="箭头: 下 607" o:spid="_x0000_s1026" o:spt="67" type="#_x0000_t67" style="position:absolute;left:0pt;flip:x;margin-left:142.9pt;margin-top:151.85pt;height:36.85pt;width:8.5pt;mso-position-horizontal-relative:margin;rotation:5898240f;z-index:251990016;mso-width-relative:page;mso-height-relative:page;" fillcolor="#7030A0" filled="t" stroked="f" coordsize="21600,21600" o:gfxdata="UEsDBAoAAAAAAIdO4kAAAAAAAAAAAAAAAAAEAAAAZHJzL1BLAwQUAAAACACHTuJAQvJTENsAAAAL&#10;AQAADwAAAGRycy9kb3ducmV2LnhtbE2PMU/DMBCFdyT+g3VIbNROQpsqxOkAdAKGtlSsTnIkUeNz&#10;iN02/fccU9nu3j29912+mmwvTjj6zpGGaKZAIFWu7qjR8LlbPyxB+GCoNr0j1HBBD6vi9iY3We3O&#10;tMHTNjSCQ8hnRkMbwpBJ6asWrfEzNyDx7duN1gRex0bWozlzuO1lrNRCWtMRN7RmwOcWq8P2aDWU&#10;76+X6LDbTD9fH9Hb3L+sm8V+r/X9XaSeQAScwtUMf/iMDgUzle5ItRe9hng5Z/SgIVFJCoIdiYpZ&#10;KXlI00eQRS7//1D8AlBLAwQUAAAACACHTuJAcC2sZ2UCAACnBAAADgAAAGRycy9lMm9Eb2MueG1s&#10;rVTNbtQwEL4j8Q6W7zQ/3Z9u1GxVtSogFahU4O61nY3B8Rjbu9k+Q1+DK5w48EAgXoOxE9qlXHog&#10;h8Tjmflm5puZHJ/sOk220nkFpqbFQU6JNByEMuuavnt78eyIEh+YEUyDkTW9kZ6eLJ8+Oe5tJUto&#10;QQvpCIIYX/W2pm0Itsoyz1vZMX8AVhpUNuA6FlB060w41iN6p7Myz2dZD05YB1x6j7fng5KOiO4x&#10;gNA0istz4JtOmjCgOqlZwJJ8q6yny5Rt00ge3jSNl4HommKlIb0xCJ5X8Z0tj1m1dsy2io8psMek&#10;8KCmjimDQe+gzllgZOPUP1Cd4g48NOGAQ5cNhSRGsIoif8DNdcusTLUg1d7eke7/Hyx/vb1yRAmc&#10;hDKfTcpysphTYliHnf/19cvPz98q8uP7LZnl88hVb32FLtf2ysVqvb0E/tETA2ctM2t56hz0rWQC&#10;MyyiffaXQxQ8upJV/woERmCbAIm2XeM64gDbU8xwSPChpNHKvog4MRIyRXapbTd3bZO7QDheFvl8&#10;MUUHjqrJbL5YTFNoVkXU6GydD88ldCQeaiqgNynThMy2lz6k1omxbiY+FBi+0zgJW6bJNOUzTMqe&#10;TblvU+RHh0flGHeEzO4jJ7JAK3GhtE6CW6/OtCOIX9N5fpifpllEF79vpk00NhDdIp2sijeJ1Ujk&#10;0JAViBskNdGHNOBuY5GSvccvJT3Odk39pw1zkhL90mBrFsVkgoYhCZPpvETB7WtW+xpmeAu4Mgg2&#10;HM/CsEAb69S6jT1LRBo4xXY2Kvzp+5DXmC7Ob8p/3LW4IPtysrr/vyx/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ELyUxDbAAAACwEAAA8AAAAAAAAAAQAgAAAAIgAAAGRycy9kb3ducmV2LnhtbFBL&#10;AQIUABQAAAAIAIdO4kBwLaxnZQIAAKcEAAAOAAAAAAAAAAEAIAAAACoBAABkcnMvZTJvRG9jLnht&#10;bFBLBQYAAAAABgAGAFkBAAABBgAAAAA=&#10;" adj="16201,5400">
                <v:fill on="t" focussize="0,0"/>
                <v:stroke on="f"/>
                <v:imagedata o:title=""/>
                <o:lock v:ext="edit" aspectratio="f"/>
                <v:textbox style="layout-flow:vertical-ideographic;"/>
              </v:shape>
            </w:pict>
          </mc:Fallback>
        </mc:AlternateContent>
      </w:r>
      <w:r>
        <w:rPr>
          <w:rFonts w:ascii="Times New Roman" w:hAnsi="Times New Roman" w:cs="Times New Roman"/>
          <w:bCs/>
          <w:snapToGrid/>
          <w:color w:val="auto"/>
          <w:szCs w:val="24"/>
          <w:lang w:eastAsia="zh-CN"/>
        </w:rPr>
        <mc:AlternateContent>
          <mc:Choice Requires="wps">
            <w:drawing>
              <wp:anchor distT="0" distB="0" distL="114300" distR="114300" simplePos="0" relativeHeight="251988992" behindDoc="0" locked="0" layoutInCell="1" allowOverlap="1">
                <wp:simplePos x="0" y="0"/>
                <wp:positionH relativeFrom="column">
                  <wp:posOffset>1790065</wp:posOffset>
                </wp:positionH>
                <wp:positionV relativeFrom="paragraph">
                  <wp:posOffset>3682365</wp:posOffset>
                </wp:positionV>
                <wp:extent cx="107950" cy="467995"/>
                <wp:effectExtent l="2540" t="635" r="5715" b="5715"/>
                <wp:wrapNone/>
                <wp:docPr id="149839450" name="箭头: 下 606"/>
                <wp:cNvGraphicFramePr/>
                <a:graphic xmlns:a="http://schemas.openxmlformats.org/drawingml/2006/main">
                  <a:graphicData uri="http://schemas.microsoft.com/office/word/2010/wordprocessingShape">
                    <wps:wsp>
                      <wps:cNvSpPr>
                        <a:spLocks noChangeArrowheads="1"/>
                      </wps:cNvSpPr>
                      <wps:spPr bwMode="auto">
                        <a:xfrm rot="16200000" flipH="1">
                          <a:off x="0" y="0"/>
                          <a:ext cx="107950" cy="467995"/>
                        </a:xfrm>
                        <a:prstGeom prst="downArrow">
                          <a:avLst>
                            <a:gd name="adj1" fmla="val 50000"/>
                            <a:gd name="adj2" fmla="val 108382"/>
                          </a:avLst>
                        </a:prstGeom>
                        <a:solidFill>
                          <a:srgbClr val="7030A0"/>
                        </a:solidFill>
                        <a:ln>
                          <a:noFill/>
                        </a:ln>
                      </wps:spPr>
                      <wps:bodyPr rot="0" vert="eaVert" wrap="square" lIns="91440" tIns="45720" rIns="91440" bIns="45720" anchor="t" anchorCtr="0" upright="1">
                        <a:noAutofit/>
                      </wps:bodyPr>
                    </wps:wsp>
                  </a:graphicData>
                </a:graphic>
              </wp:anchor>
            </w:drawing>
          </mc:Choice>
          <mc:Fallback>
            <w:pict>
              <v:shape id="箭头: 下 606" o:spid="_x0000_s1026" o:spt="67" type="#_x0000_t67" style="position:absolute;left:0pt;flip:x;margin-left:140.95pt;margin-top:289.95pt;height:36.85pt;width:8.5pt;rotation:5898240f;z-index:251988992;mso-width-relative:page;mso-height-relative:page;" fillcolor="#7030A0" filled="t" stroked="f" coordsize="21600,21600" o:gfxdata="UEsDBAoAAAAAAIdO4kAAAAAAAAAAAAAAAAAEAAAAZHJzL1BLAwQUAAAACACHTuJAnUden9oAAAAL&#10;AQAADwAAAGRycy9kb3ducmV2LnhtbE2PsU7DMBCGdyTewTokNuo4KCFJ43QAOgFDW6quTmySqPE5&#10;xG6bvj3HBNt/uk//fVeuZjuws5l871CCWETADDZO99hK+NytHzJgPijUanBoJFyNh1V1e1OqQrsL&#10;bsx5G1pGJegLJaELYSw4901nrPILNxqk3ZebrAo0Ti3Xk7pQuR14HEUpt6pHutCp0Tx3pjluT1ZC&#10;/f56FcfdZv4+fIi3xL+s23S/l/L+TkRLYMHM4Q+GX31Sh4qcandC7dkgIc5ETqiE5CmnQEScZxRq&#10;CWnymAKvSv7/h+oHUEsDBBQAAAAIAIdO4kBNvUliYwIAAKYEAAAOAAAAZHJzL2Uyb0RvYy54bWyt&#10;VM1u1DAQviPxDpbvNMl2f6PNVlWrAlKBSgXuXtvZGByPsb2b7TP0NbjCiQMPBOI1GDuhXcqlB3JI&#10;PJ6Zb2a+mcnyZN9qspPOKzAVLY5ySqThIJTZVPTd24tnc0p8YEYwDUZW9EZ6erJ6+mTZ2VKOoAEt&#10;pCMIYnzZ2Yo2IdgyyzxvZMv8EVhpUFmDa1lA0W0y4ViH6K3ORnk+zTpwwjrg0nu8Pe+VdEB0jwGE&#10;ulZcngPfttKEHtVJzQKW5BtlPV2lbOta8vCmrr0MRFcUKw3pjUHwvI7vbLVk5cYx2yg+pMAek8KD&#10;mlqmDAa9gzpngZGtU/9AtYo78FCHIw5t1heSGMEqivwBN9cNszLVglR7e0e6/3+w/PXuyhElcBLG&#10;i/nxYjxBZgxrsfG/vn75+flbSX58vyXTfBqp6qwv0ePaXrlYrLeXwD96YuCsYWYjT52DrpFMYIJF&#10;tM/+coiCR1ey7l6BwAhsGyCxtq9dSxxgd4opzgg+lNRa2RcRJ0ZCosg+de3mrmtyHwjHyyKfLWLW&#10;HFXj6WyxmKTQrIyo0dk6H55LaEk8VFRAZ1KmCZntLn1InRND3Ux8KDB8q3EQdkyTScqnH5QDm9Gh&#10;TZHPj+ejIe4Amd1HTmSBVuJCaZ0Et1mfaUcQv6Kz/Dg/TaOILv7QTJtobCC6RTpZGW8Sq5HIviFr&#10;EDdIaqIPacDVxiIle49fSjoc7Yr6T1vmJCX6pcHWLIrxGA1DEsaT2QgFd6hZH2qY4Q3gxiBYfzwL&#10;/f5srVObJvYsEWngFNtZq/Cn731eQ7o4vin/YdXifhzKyer+97L6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J1HXp/aAAAACwEAAA8AAAAAAAAAAQAgAAAAIgAAAGRycy9kb3ducmV2LnhtbFBLAQIU&#10;ABQAAAAIAIdO4kBNvUliYwIAAKYEAAAOAAAAAAAAAAEAIAAAACkBAABkcnMvZTJvRG9jLnhtbFBL&#10;BQYAAAAABgAGAFkBAAD+BQAAAAA=&#10;" adj="16201,5400">
                <v:fill on="t" focussize="0,0"/>
                <v:stroke on="f"/>
                <v:imagedata o:title=""/>
                <o:lock v:ext="edit" aspectratio="f"/>
                <v:textbox style="layout-flow:vertical-ideographic;"/>
              </v:shape>
            </w:pict>
          </mc:Fallback>
        </mc:AlternateContent>
      </w:r>
      <w:r>
        <w:rPr>
          <w:rFonts w:ascii="Times New Roman" w:hAnsi="Times New Roman" w:cs="Times New Roman"/>
          <w:bCs/>
          <w:snapToGrid/>
          <w:color w:val="auto"/>
          <w:szCs w:val="24"/>
          <w:lang w:eastAsia="zh-CN"/>
        </w:rPr>
        <mc:AlternateContent>
          <mc:Choice Requires="wps">
            <w:drawing>
              <wp:anchor distT="0" distB="0" distL="114300" distR="114300" simplePos="0" relativeHeight="251987968" behindDoc="0" locked="0" layoutInCell="1" allowOverlap="1">
                <wp:simplePos x="0" y="0"/>
                <wp:positionH relativeFrom="column">
                  <wp:posOffset>1773555</wp:posOffset>
                </wp:positionH>
                <wp:positionV relativeFrom="paragraph">
                  <wp:posOffset>6018530</wp:posOffset>
                </wp:positionV>
                <wp:extent cx="107950" cy="467995"/>
                <wp:effectExtent l="2540" t="635" r="5715" b="5715"/>
                <wp:wrapNone/>
                <wp:docPr id="1832563590" name="箭头: 下 605"/>
                <wp:cNvGraphicFramePr/>
                <a:graphic xmlns:a="http://schemas.openxmlformats.org/drawingml/2006/main">
                  <a:graphicData uri="http://schemas.microsoft.com/office/word/2010/wordprocessingShape">
                    <wps:wsp>
                      <wps:cNvSpPr>
                        <a:spLocks noChangeArrowheads="1"/>
                      </wps:cNvSpPr>
                      <wps:spPr bwMode="auto">
                        <a:xfrm rot="16200000" flipH="1">
                          <a:off x="0" y="0"/>
                          <a:ext cx="107950" cy="467995"/>
                        </a:xfrm>
                        <a:prstGeom prst="downArrow">
                          <a:avLst>
                            <a:gd name="adj1" fmla="val 50000"/>
                            <a:gd name="adj2" fmla="val 108382"/>
                          </a:avLst>
                        </a:prstGeom>
                        <a:solidFill>
                          <a:srgbClr val="7030A0"/>
                        </a:solidFill>
                        <a:ln>
                          <a:noFill/>
                        </a:ln>
                      </wps:spPr>
                      <wps:bodyPr rot="0" vert="eaVert" wrap="square" lIns="91440" tIns="45720" rIns="91440" bIns="45720" anchor="t" anchorCtr="0" upright="1">
                        <a:noAutofit/>
                      </wps:bodyPr>
                    </wps:wsp>
                  </a:graphicData>
                </a:graphic>
              </wp:anchor>
            </w:drawing>
          </mc:Choice>
          <mc:Fallback>
            <w:pict>
              <v:shape id="箭头: 下 605" o:spid="_x0000_s1026" o:spt="67" type="#_x0000_t67" style="position:absolute;left:0pt;flip:x;margin-left:139.65pt;margin-top:473.9pt;height:36.85pt;width:8.5pt;rotation:5898240f;z-index:251987968;mso-width-relative:page;mso-height-relative:page;" fillcolor="#7030A0" filled="t" stroked="f" coordsize="21600,21600" o:gfxdata="UEsDBAoAAAAAAIdO4kAAAAAAAAAAAAAAAAAEAAAAZHJzL1BLAwQUAAAACACHTuJARt16adoAAAAM&#10;AQAADwAAAGRycy9kb3ducmV2LnhtbE2PsU7DMBCGdyTewTokNmo70JSEOB2ATtChLRWrE5skanwO&#10;sdumb88xwXh3n/77/mI5uZ6d7Bg6jwrkTACzWHvTYaPgY7e6ewQWokaje49WwcUGWJbXV4XOjT/j&#10;xp62sWEUgiHXCtoYh5zzULfW6TDzg0W6ffnR6Ujj2HAz6jOFu54nQqTc6Q7pQ6sH+9za+rA9OgXV&#10;++tFHnab6ftzLd/m4WXVpPu9Urc3UjwBi3aKfzD86pM6lORU+SOawHoFySK7J1RB9rCgDkQkWUqb&#10;ilCRyDnwsuD/S5Q/UEsDBBQAAAAIAIdO4kBxyTPrZgIAAKcEAAAOAAAAZHJzL2Uyb0RvYy54bWyt&#10;VM1u1DAQviPxDpbvNMn+b9RstdqqgFSgUoG713Y2BsdjbO9m+wx9Da5w4sADgXgNxs62LOXSAzkk&#10;Hnvmm2++Gef0bN9qspPOKzAVLU5ySqThIJTZVPTd24tnM0p8YEYwDUZW9EZ6erZ4+uS0s6UcQANa&#10;SEcQxPiysxVtQrBllnneyJb5E7DS4GENrmUBTbfJhGMdorc6G+T5JOvACeuAS+9x97w/pAdE9xhA&#10;qGvF5TnwbStN6FGd1CxgSb5R1tNFYlvXkoc3de1lILqiWGlIb0yC63V8Z4tTVm4cs43iBwrsMRQe&#10;1NQyZTDpPdQ5C4xsnfoHqlXcgYc6nHBos76QpAhWUeQPtLlumJWpFpTa23vR/f+D5a93V44ogZMw&#10;Gw7Gk+F4jtIY1mLnf3398vPzt5L8+H5LJvk4atVZX2LItb1ysVpvL4F/9MTAqmFmI5fOQddIJpBh&#10;Ef2zvwKi4TGUrLtXIDAD2wZIsu1r1xIH2J5igkOCDyW1VvZFxImZUCmyT227uW+b3AfCcbPIp/Mx&#10;BnA8Gk2m83mimrEyosZg63x4LqElcVFRAZ1JTBMy2136kFonDnUz8aHA9K3GSdgxTcaJTz8pRz6D&#10;Y58inw1ng1QyKw+QyOAucxILtBIXSutkuM16pR1B/IpO82G+TLOIIf7YTZvobCCGRTlZGXeSqlHI&#10;viFrEDcoapIPZcC7jUVK9h6/lHQ42xX1n7bMSUr0S4OtmRejETqGZIzG0wEa7vhkfXzCDG8ArwyC&#10;9ctV6C/Q1jq1aWLPkpAGltjOWoW7vve8DnRxfhP/w12LF+TYTl5//i+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EbdemnaAAAADAEAAA8AAAAAAAAAAQAgAAAAIgAAAGRycy9kb3ducmV2LnhtbFBL&#10;AQIUABQAAAAIAIdO4kBxyTPrZgIAAKcEAAAOAAAAAAAAAAEAIAAAACkBAABkcnMvZTJvRG9jLnht&#10;bFBLBQYAAAAABgAGAFkBAAABBgAAAAA=&#10;" adj="16201,5400">
                <v:fill on="t" focussize="0,0"/>
                <v:stroke on="f"/>
                <v:imagedata o:title=""/>
                <o:lock v:ext="edit" aspectratio="f"/>
                <v:textbox style="layout-flow:vertical-ideographic;"/>
              </v:shape>
            </w:pict>
          </mc:Fallback>
        </mc:AlternateContent>
      </w:r>
      <w:r>
        <w:rPr>
          <w:rFonts w:ascii="Times New Roman" w:hAnsi="Times New Roman" w:cs="Times New Roman"/>
          <w:bCs/>
          <w:snapToGrid/>
          <w:color w:val="auto"/>
          <w:szCs w:val="24"/>
          <w:lang w:eastAsia="zh-CN"/>
        </w:rPr>
        <mc:AlternateContent>
          <mc:Choice Requires="wps">
            <w:drawing>
              <wp:anchor distT="0" distB="0" distL="114300" distR="114300" simplePos="0" relativeHeight="251986944" behindDoc="0" locked="0" layoutInCell="1" allowOverlap="1">
                <wp:simplePos x="0" y="0"/>
                <wp:positionH relativeFrom="column">
                  <wp:posOffset>2682240</wp:posOffset>
                </wp:positionH>
                <wp:positionV relativeFrom="paragraph">
                  <wp:posOffset>7028180</wp:posOffset>
                </wp:positionV>
                <wp:extent cx="107950" cy="467995"/>
                <wp:effectExtent l="4445" t="7620" r="1905" b="635"/>
                <wp:wrapNone/>
                <wp:docPr id="279032975" name="箭头: 下 604"/>
                <wp:cNvGraphicFramePr/>
                <a:graphic xmlns:a="http://schemas.openxmlformats.org/drawingml/2006/main">
                  <a:graphicData uri="http://schemas.microsoft.com/office/word/2010/wordprocessingShape">
                    <wps:wsp>
                      <wps:cNvSpPr>
                        <a:spLocks noChangeArrowheads="1"/>
                      </wps:cNvSpPr>
                      <wps:spPr bwMode="auto">
                        <a:xfrm>
                          <a:off x="0" y="0"/>
                          <a:ext cx="107950" cy="467995"/>
                        </a:xfrm>
                        <a:prstGeom prst="downArrow">
                          <a:avLst>
                            <a:gd name="adj1" fmla="val 50000"/>
                            <a:gd name="adj2" fmla="val 108382"/>
                          </a:avLst>
                        </a:prstGeom>
                        <a:solidFill>
                          <a:srgbClr val="7030A0"/>
                        </a:solidFill>
                        <a:ln>
                          <a:noFill/>
                        </a:ln>
                      </wps:spPr>
                      <wps:bodyPr rot="0" vert="eaVert" wrap="square" lIns="91440" tIns="45720" rIns="91440" bIns="45720" anchor="t" anchorCtr="0" upright="1">
                        <a:noAutofit/>
                      </wps:bodyPr>
                    </wps:wsp>
                  </a:graphicData>
                </a:graphic>
              </wp:anchor>
            </w:drawing>
          </mc:Choice>
          <mc:Fallback>
            <w:pict>
              <v:shape id="箭头: 下 604" o:spid="_x0000_s1026" o:spt="67" type="#_x0000_t67" style="position:absolute;left:0pt;margin-left:211.2pt;margin-top:553.4pt;height:36.85pt;width:8.5pt;z-index:251986944;mso-width-relative:page;mso-height-relative:page;" fillcolor="#7030A0" filled="t" stroked="f" coordsize="21600,21600" o:gfxdata="UEsDBAoAAAAAAIdO4kAAAAAAAAAAAAAAAAAEAAAAZHJzL1BLAwQUAAAACACHTuJACBTJFNsAAAAN&#10;AQAADwAAAGRycy9kb3ducmV2LnhtbE2PzU7DMBCE70i8g7VI3KidNK3aEKcHRCUOSIgGJI5ubOKo&#10;8dqKnf7w9GxPcNyZT7Mz1ebsBnY0Y+w9SshmApjB1useOwkfzfZhBSwmhVoNHo2Ei4mwqW9vKlVq&#10;f8J3c9yljlEIxlJJsCmFkvPYWuNUnPlgkLxvPzqV6Bw7rkd1onA38FyIJXeqR/pgVTBP1rSH3eQk&#10;hNcv0T9Pb4vLvDkUL2HbfNr1j5T3d5l4BJbMOf3BcK1P1aGmTns/oY5skFDkeUEoGZlY0ghCivma&#10;pP1VWokF8Lri/1fUv1BLAwQUAAAACACHTuJAHVgmnFYCAACNBAAADgAAAGRycy9lMm9Eb2MueG1s&#10;rVTNbtQwEL4j8Q6W7zQ/3e12o81Wq1ZFSAUqFbh7bWdjcDzG9m62z8BrcIUTBx4IxGswdtKylEsP&#10;5JB4PDPfzHwzk8XZvtNkJ51XYGpaHOWUSMNBKLOp6ds3l89OKfGBGcE0GFnTW+np2fLpk0VvK1lC&#10;C1pIRxDE+Kq3NW1DsFWWed7KjvkjsNKgsgHXsYCi22TCsR7RO52VeX6S9eCEdcCl93h7MSjpiOge&#10;AwhNo7i8AL7tpAkDqpOaBSzJt8p6ukzZNo3k4XXTeBmIrilWGtIbg+B5Hd/ZcsGqjWO2VXxMgT0m&#10;hQc1dUwZDHoPdcECI1un/oHqFHfgoQlHHLpsKCQxglUU+QNublpmZaoFqfb2nnT//2D5q921I0rU&#10;tJzN8+NyPptSYliHjf/19cvPz98q8uP7J3KSTyJVvfUVetzYaxeL9fYK+AdPDJy3zGzkyjnoW8kE&#10;JlhE++wvhyh4dCXr/iUIjMC2ARJr+8Z1ERD5IPvUnNv75sh9IBwvi3w2n2LbOKomJ7P5fJoisOrO&#10;2TofnkvoSDzUVEBvUkIpAttd+ZAaJMbymHhfUNJ0Gvu9Y5pMc3zGeTiwKQ9tivz0+LQc446QGavu&#10;IidOQCtxqbROgtusz7UjiF/TWX6cr1IEdPGHZtpEYwPRLbLGqniTyIt8DbyvQdwidw6GGcYNxoNk&#10;7/BLSY8TXFP/ccucpES/MNiBeTGZxJFPwmQ6K1Fwh5r1oYYZ3gIuBoINx/MwrMnWOrVpMVaRiDSw&#10;wq41Kty1d8hrTBenNOU/blRcg0M5Wf35iy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gUyRTb&#10;AAAADQEAAA8AAAAAAAAAAQAgAAAAIgAAAGRycy9kb3ducmV2LnhtbFBLAQIUABQAAAAIAIdO4kAd&#10;WCacVgIAAI0EAAAOAAAAAAAAAAEAIAAAACoBAABkcnMvZTJvRG9jLnhtbFBLBQYAAAAABgAGAFkB&#10;AADyBQAAAAA=&#10;" adj="16201,5400">
                <v:fill on="t" focussize="0,0"/>
                <v:stroke on="f"/>
                <v:imagedata o:title=""/>
                <o:lock v:ext="edit" aspectratio="f"/>
                <v:textbox style="layout-flow:vertical-ideographic;"/>
              </v:shape>
            </w:pict>
          </mc:Fallback>
        </mc:AlternateContent>
      </w:r>
      <w:r>
        <w:rPr>
          <w:rFonts w:ascii="Times New Roman" w:hAnsi="Times New Roman" w:cs="Times New Roman"/>
          <w:bCs/>
          <w:snapToGrid/>
          <w:color w:val="auto"/>
          <w:szCs w:val="24"/>
          <w:lang w:eastAsia="zh-CN"/>
        </w:rPr>
        <mc:AlternateContent>
          <mc:Choice Requires="wps">
            <w:drawing>
              <wp:anchor distT="0" distB="0" distL="114300" distR="114300" simplePos="0" relativeHeight="251985920" behindDoc="0" locked="0" layoutInCell="1" allowOverlap="1">
                <wp:simplePos x="0" y="0"/>
                <wp:positionH relativeFrom="column">
                  <wp:posOffset>2683510</wp:posOffset>
                </wp:positionH>
                <wp:positionV relativeFrom="paragraph">
                  <wp:posOffset>5303520</wp:posOffset>
                </wp:positionV>
                <wp:extent cx="107950" cy="467995"/>
                <wp:effectExtent l="4445" t="7620" r="1905" b="635"/>
                <wp:wrapNone/>
                <wp:docPr id="1365966847" name="箭头: 下 603"/>
                <wp:cNvGraphicFramePr/>
                <a:graphic xmlns:a="http://schemas.openxmlformats.org/drawingml/2006/main">
                  <a:graphicData uri="http://schemas.microsoft.com/office/word/2010/wordprocessingShape">
                    <wps:wsp>
                      <wps:cNvSpPr>
                        <a:spLocks noChangeArrowheads="1"/>
                      </wps:cNvSpPr>
                      <wps:spPr bwMode="auto">
                        <a:xfrm>
                          <a:off x="0" y="0"/>
                          <a:ext cx="107950" cy="467995"/>
                        </a:xfrm>
                        <a:prstGeom prst="downArrow">
                          <a:avLst>
                            <a:gd name="adj1" fmla="val 50000"/>
                            <a:gd name="adj2" fmla="val 108382"/>
                          </a:avLst>
                        </a:prstGeom>
                        <a:solidFill>
                          <a:srgbClr val="7030A0"/>
                        </a:solidFill>
                        <a:ln>
                          <a:noFill/>
                        </a:ln>
                      </wps:spPr>
                      <wps:bodyPr rot="0" vert="eaVert" wrap="square" lIns="91440" tIns="45720" rIns="91440" bIns="45720" anchor="t" anchorCtr="0" upright="1">
                        <a:noAutofit/>
                      </wps:bodyPr>
                    </wps:wsp>
                  </a:graphicData>
                </a:graphic>
              </wp:anchor>
            </w:drawing>
          </mc:Choice>
          <mc:Fallback>
            <w:pict>
              <v:shape id="箭头: 下 603" o:spid="_x0000_s1026" o:spt="67" type="#_x0000_t67" style="position:absolute;left:0pt;margin-left:211.3pt;margin-top:417.6pt;height:36.85pt;width:8.5pt;z-index:251985920;mso-width-relative:page;mso-height-relative:page;" fillcolor="#7030A0" filled="t" stroked="f" coordsize="21600,21600" o:gfxdata="UEsDBAoAAAAAAIdO4kAAAAAAAAAAAAAAAAAEAAAAZHJzL1BLAwQUAAAACACHTuJAbXNEsNwAAAAL&#10;AQAADwAAAGRycy9kb3ducmV2LnhtbE2Py07DMBBF90j8gzVI7KjdJK2SkEkXiEoskBANSCzdxMRR&#10;44dipw++nmFVljNzdOfcanM2IzuqKQzOIiwXApiyresG2yN8NNuHHFiI0nZydFYhXFSATX17U8my&#10;cyf7ro672DMKsaGUCDpGX3IeWq2MDAvnlaXbt5uMjDROPe8meaJwM/JEiDU3crD0QUuvnrRqD7vZ&#10;IPjXLzE8z2+rS9ocshe/bT518YN4f7cUj8CiOscrDH/6pA41Oe3dbLvARoQsSdaEIuTpKgFGRJYW&#10;tNkjFCIvgNcV/9+h/gVQSwMEFAAAAAgAh07iQGphohlVAgAAjgQAAA4AAABkcnMvZTJvRG9jLnht&#10;bK1UzW7UMBC+I/EOlu80yf5v1GxVtSpCKlCpwN1rOxuD4zG2d7N9Bl6DK5w48EAgXoOxky1LufRA&#10;DonHM/PNzDczOT3bt5rspPMKTEWLk5wSaTgIZTYVffvm6tmCEh+YEUyDkRW9k56erZ4+Oe1sKUfQ&#10;gBbSEQQxvuxsRZsQbJllnjeyZf4ErDSorMG1LKDoNplwrEP0VmejPJ9lHThhHXDpPd5e9ko6ILrH&#10;AEJdKy4vgW9baUKP6qRmAUvyjbKerlK2dS15eF3XXgaiK4qVhvTGIHhex3e2OmXlxjHbKD6kwB6T&#10;woOaWqYMBr2HumSBka1T/0C1ijvwUIcTDm3WF5IYwSqK/AE3tw2zMtWCVHt7T7r/f7D81e7GESVw&#10;Esaz6XI2W0zmlBjWYud/ff3y8/O3kvz4/onM8nHkqrO+RJdbe+Nitd5eA//giYGLhpmNPHcOukYy&#10;gRkW0T77yyEKHl3JunsJAiOwbYBE2752bQREQsg+defuvjtyHwjHyyKfL6fYN46qyWy+XE5TBFYe&#10;nK3z4bmElsRDRQV0JiWUIrDdtQ+pQ2Ioj4n3BSV1q7HhO6bJNMdnGIgjm9GxTZEvxovREHeAzFh5&#10;iJw4Aa3EldI6CW6zvtCOIH5F5/k4P08R0MUfm2kTjQ1Et8gaK+NNIi/y1fO+BnGH3DnohxhXGA+S&#10;vcMvJR2OcEX9xy1zkhL9wmAHlsVkEmc+CZPpfISCO9asjzXM8AZwMxCsP16Efk+21qlNg7GKRKSB&#10;c+xarcKhvX1eQ7o4pin/YaXiHhzLyerPb2T1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1zRLDc&#10;AAAACwEAAA8AAAAAAAAAAQAgAAAAIgAAAGRycy9kb3ducmV2LnhtbFBLAQIUABQAAAAIAIdO4kBq&#10;YaIZVQIAAI4EAAAOAAAAAAAAAAEAIAAAACsBAABkcnMvZTJvRG9jLnhtbFBLBQYAAAAABgAGAFkB&#10;AADyBQAAAAA=&#10;" adj="16201,5400">
                <v:fill on="t" focussize="0,0"/>
                <v:stroke on="f"/>
                <v:imagedata o:title=""/>
                <o:lock v:ext="edit" aspectratio="f"/>
                <v:textbox style="layout-flow:vertical-ideographic;"/>
              </v:shape>
            </w:pict>
          </mc:Fallback>
        </mc:AlternateContent>
      </w:r>
      <w:r>
        <w:rPr>
          <w:rFonts w:ascii="Times New Roman" w:hAnsi="Times New Roman" w:cs="Times New Roman"/>
          <w:bCs/>
          <w:snapToGrid/>
          <w:color w:val="auto"/>
          <w:szCs w:val="24"/>
          <w:lang w:eastAsia="zh-CN"/>
        </w:rPr>
        <mc:AlternateContent>
          <mc:Choice Requires="wps">
            <w:drawing>
              <wp:anchor distT="0" distB="0" distL="114300" distR="114300" simplePos="0" relativeHeight="251983872" behindDoc="0" locked="0" layoutInCell="1" allowOverlap="1">
                <wp:simplePos x="0" y="0"/>
                <wp:positionH relativeFrom="column">
                  <wp:posOffset>2717800</wp:posOffset>
                </wp:positionH>
                <wp:positionV relativeFrom="paragraph">
                  <wp:posOffset>2854325</wp:posOffset>
                </wp:positionV>
                <wp:extent cx="107950" cy="467995"/>
                <wp:effectExtent l="4445" t="7620" r="1905" b="635"/>
                <wp:wrapNone/>
                <wp:docPr id="1881332404" name="箭头: 下 601"/>
                <wp:cNvGraphicFramePr/>
                <a:graphic xmlns:a="http://schemas.openxmlformats.org/drawingml/2006/main">
                  <a:graphicData uri="http://schemas.microsoft.com/office/word/2010/wordprocessingShape">
                    <wps:wsp>
                      <wps:cNvSpPr>
                        <a:spLocks noChangeArrowheads="1"/>
                      </wps:cNvSpPr>
                      <wps:spPr bwMode="auto">
                        <a:xfrm>
                          <a:off x="0" y="0"/>
                          <a:ext cx="107950" cy="467995"/>
                        </a:xfrm>
                        <a:prstGeom prst="downArrow">
                          <a:avLst>
                            <a:gd name="adj1" fmla="val 50000"/>
                            <a:gd name="adj2" fmla="val 108382"/>
                          </a:avLst>
                        </a:prstGeom>
                        <a:solidFill>
                          <a:srgbClr val="7030A0"/>
                        </a:solidFill>
                        <a:ln>
                          <a:noFill/>
                        </a:ln>
                      </wps:spPr>
                      <wps:bodyPr rot="0" vert="eaVert" wrap="square" lIns="91440" tIns="45720" rIns="91440" bIns="45720" anchor="t" anchorCtr="0" upright="1">
                        <a:noAutofit/>
                      </wps:bodyPr>
                    </wps:wsp>
                  </a:graphicData>
                </a:graphic>
              </wp:anchor>
            </w:drawing>
          </mc:Choice>
          <mc:Fallback>
            <w:pict>
              <v:shape id="箭头: 下 601" o:spid="_x0000_s1026" o:spt="67" type="#_x0000_t67" style="position:absolute;left:0pt;margin-left:214pt;margin-top:224.75pt;height:36.85pt;width:8.5pt;z-index:251983872;mso-width-relative:page;mso-height-relative:page;" fillcolor="#7030A0" filled="t" stroked="f" coordsize="21600,21600" o:gfxdata="UEsDBAoAAAAAAIdO4kAAAAAAAAAAAAAAAAAEAAAAZHJzL1BLAwQUAAAACACHTuJANkEI1NwAAAAL&#10;AQAADwAAAGRycy9kb3ducmV2LnhtbE2PzU7DMBCE70i8g7VI3Kjd1EFtiNMDohIHpIoGJI5uvMRR&#10;YzuKnf7w9GxPcNvdGc1+U67PrmdHHGMXvIL5TABD3wTT+VbBR715WAKLSXuj++BRwQUjrKvbm1IX&#10;Jpz8Ox53qWUU4mOhFdiUhoLz2Fh0Os7CgJ607zA6nWgdW25GfaJw1/NMiEfudOfpg9UDPltsDrvJ&#10;KRjevkT3Mm3zy6I+yNdhU3/a1Y9S93dz8QQs4Tn9meGKT+hQEdM+TN5E1iuQ2ZK6JBrkKgdGDilz&#10;uuwV5NkiA16V/H+H6hdQSwMEFAAAAAgAh07iQC6Cod1WAgAAjgQAAA4AAABkcnMvZTJvRG9jLnht&#10;bK1UzW7UMBC+I/EOlu80yf50d6Nmq9VWRUgFKhW4e21nY3A8xvZuts/Aa3CFEwceCMRrMHbSspRL&#10;D+SQeDwz38x8M5Oz80OryV46r8BUtDjJKZGGg1BmW9G3by6fzSnxgRnBNBhZ0Vvp6fny6ZOzzpZy&#10;BA1oIR1BEOPLzla0CcGWWeZ5I1vmT8BKg8oaXMsCim6bCcc6RG91Nsrz06wDJ6wDLr3H24teSQdE&#10;9xhAqGvF5QXwXStN6FGd1CxgSb5R1tNlyrauJQ+v69rLQHRFsdKQ3hgEz5v4zpZnrNw6ZhvFhxTY&#10;Y1J4UFPLlMGg91AXLDCyc+ofqFZxBx7qcMKhzfpCEiNYRZE/4OamYVamWpBqb+9J9/8Plr/aXzui&#10;BE7CfF6Mx6NJPqHEsBY7/+vrl5+fv5Xkx/dP5DQvIled9SW63NhrF6v19gr4B08MrBtmtnLlHHSN&#10;ZAIzTPbZXw5R8OhKNt1LEBiB7QIk2g61ayMgEkIOqTu3992Rh0A4Xhb5bDHFvnFUTU5ni8U0ZpSx&#10;8s7ZOh+eS2hJPFRUQGdSQikC21/5kDokhvKYeF9QUrcaG75nmkxzfIaBOLIZHdsU+Xw8Hw1xB0jM&#10;4C5y4gS0EpdK6yS47WatHUH8is7ycb5KEdDFH5tpE40NRLe+pniTyIt89bxvQNwidw76IcYVxoNk&#10;7/BLSYcjXFH/ccecpES/MNiBRTGZxJlPwmQ6G6HgjjWbYw0zvAHcDATrj+vQ78nOOrVtMFaRiDSw&#10;wq7VKsREY0f7vAYBxzT1ZFipuAfHcrL68xtZ/g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2QQjU&#10;3AAAAAsBAAAPAAAAAAAAAAEAIAAAACIAAABkcnMvZG93bnJldi54bWxQSwECFAAUAAAACACHTuJA&#10;LoKh3VYCAACOBAAADgAAAAAAAAABACAAAAArAQAAZHJzL2Uyb0RvYy54bWxQSwUGAAAAAAYABgBZ&#10;AQAA8wUAAAAA&#10;" adj="16201,5400">
                <v:fill on="t" focussize="0,0"/>
                <v:stroke on="f"/>
                <v:imagedata o:title=""/>
                <o:lock v:ext="edit" aspectratio="f"/>
                <v:textbox style="layout-flow:vertical-ideographic;"/>
              </v:shape>
            </w:pict>
          </mc:Fallback>
        </mc:AlternateContent>
      </w:r>
      <w:r>
        <w:rPr>
          <w:rFonts w:ascii="Times New Roman" w:hAnsi="Times New Roman" w:cs="Times New Roman"/>
          <w:bCs/>
          <w:snapToGrid/>
          <w:color w:val="auto"/>
          <w:szCs w:val="24"/>
          <w:lang w:eastAsia="zh-CN"/>
        </w:rPr>
        <mc:AlternateContent>
          <mc:Choice Requires="wps">
            <w:drawing>
              <wp:anchor distT="0" distB="0" distL="114300" distR="114300" simplePos="0" relativeHeight="251984896" behindDoc="0" locked="0" layoutInCell="1" allowOverlap="1">
                <wp:simplePos x="0" y="0"/>
                <wp:positionH relativeFrom="column">
                  <wp:posOffset>2692400</wp:posOffset>
                </wp:positionH>
                <wp:positionV relativeFrom="paragraph">
                  <wp:posOffset>3992880</wp:posOffset>
                </wp:positionV>
                <wp:extent cx="107950" cy="467995"/>
                <wp:effectExtent l="4445" t="7620" r="1905" b="635"/>
                <wp:wrapNone/>
                <wp:docPr id="2102897557" name="箭头: 下 602"/>
                <wp:cNvGraphicFramePr/>
                <a:graphic xmlns:a="http://schemas.openxmlformats.org/drawingml/2006/main">
                  <a:graphicData uri="http://schemas.microsoft.com/office/word/2010/wordprocessingShape">
                    <wps:wsp>
                      <wps:cNvSpPr>
                        <a:spLocks noChangeArrowheads="1"/>
                      </wps:cNvSpPr>
                      <wps:spPr bwMode="auto">
                        <a:xfrm>
                          <a:off x="0" y="0"/>
                          <a:ext cx="107950" cy="467995"/>
                        </a:xfrm>
                        <a:prstGeom prst="downArrow">
                          <a:avLst>
                            <a:gd name="adj1" fmla="val 50000"/>
                            <a:gd name="adj2" fmla="val 108382"/>
                          </a:avLst>
                        </a:prstGeom>
                        <a:solidFill>
                          <a:srgbClr val="7030A0"/>
                        </a:solidFill>
                        <a:ln>
                          <a:noFill/>
                        </a:ln>
                      </wps:spPr>
                      <wps:bodyPr rot="0" vert="eaVert" wrap="square" lIns="91440" tIns="45720" rIns="91440" bIns="45720" anchor="t" anchorCtr="0" upright="1">
                        <a:noAutofit/>
                      </wps:bodyPr>
                    </wps:wsp>
                  </a:graphicData>
                </a:graphic>
              </wp:anchor>
            </w:drawing>
          </mc:Choice>
          <mc:Fallback>
            <w:pict>
              <v:shape id="箭头: 下 602" o:spid="_x0000_s1026" o:spt="67" type="#_x0000_t67" style="position:absolute;left:0pt;margin-left:212pt;margin-top:314.4pt;height:36.85pt;width:8.5pt;z-index:251984896;mso-width-relative:page;mso-height-relative:page;" fillcolor="#7030A0" filled="t" stroked="f" coordsize="21600,21600" o:gfxdata="UEsDBAoAAAAAAIdO4kAAAAAAAAAAAAAAAAAEAAAAZHJzL1BLAwQUAAAACACHTuJALCsmo9sAAAAL&#10;AQAADwAAAGRycy9kb3ducmV2LnhtbE2Py07DMBBF90j8gzVI7KidkJYS4nSBqMQCCdFQqUs3HuKo&#10;8UOx0wdfz7CC5cxc3TmnWp3twI44xt47CdlMAEPXet27TsJns75bAotJOa0G71DCBSOs6uurSpXa&#10;n9wHHjepY1TiYqkkmJRCyXlsDVoVZz6go9uXH61KNI4d16M6UbkdeC7EglvVO/pgVMBng+1hM1kJ&#10;4W0n+pfpfX65bw7Fa1g3W/P4LeXtTSaegCU8p78w/OITOtTEtPeT05ENEoq8IJckYZEvyYESRZHR&#10;Zi/hQeRz4HXF/zvUP1BLAwQUAAAACACHTuJAZ/jejFcCAACOBAAADgAAAGRycy9lMm9Eb2MueG1s&#10;rVTNbtQwEL4j8Q6W7zQ/3e3uRs1WVasipAKVCty9trMxOB5jezfbZ+A1uMKJAw8E4jUYO9mylEsP&#10;5JDMeGa+mfnGk9OzXafJVjqvwNS0OMopkYaDUGZd07dvrp7NKfGBGcE0GFnTO+np2fLpk9PeVrKE&#10;FrSQjiCI8VVva9qGYKss87yVHfNHYKVBYwOuYwFVt86EYz2idzor8/wk68EJ64BL7/H0cjDSEdE9&#10;BhCaRnF5CXzTSRMGVCc1C9iSb5X1dJmqbRrJw+um8TIQXVPsNKQ3JkF5Fd/Z8pRVa8dsq/hYAntM&#10;CQ966pgymPQe6pIFRjZO/QPVKe7AQxOOOHTZ0EhiBLso8gfc3LbMytQLUu3tPen+/8HyV9sbR5So&#10;aVnk5Xwxm05nlBjW4eR/ff3y8/O3ivz4/omc5GXkqre+wpBbe+Nit95eA//giYGLlpm1PHcO+lYy&#10;gRUW0T/7KyAqHkPJqn8JAjOwTYBE265xXQREQsguTefufjpyFwjHwyKfLaY4N46myclssZimDKza&#10;B1vnw3MJHYlCTQX0JhWUMrDttQ9pQmJsj4n3BSVNp3HgW6bJNMdnvBAHPuWhT5HPj+eJiYxVIyRK&#10;+8yJE9BKXCmtk+LWqwvtCOLXdJYf5+cpA4b4QzdtorOBGBZZY1U8SeRFvgbeVyDukDsHwyXGFUZB&#10;snf4paTHK1xT/3HDnKREvzA4gUUxmcQ7n5TJdFai4g4tq0MLM7wF3AwEG8SLMOzJxjq1bjFXkYg0&#10;cI5Ta1TYj3eoaywXr2mqf1ypuAeHevL68xtZ/g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sKyaj&#10;2wAAAAsBAAAPAAAAAAAAAAEAIAAAACIAAABkcnMvZG93bnJldi54bWxQSwECFAAUAAAACACHTuJA&#10;Z/jejFcCAACOBAAADgAAAAAAAAABACAAAAAqAQAAZHJzL2Uyb0RvYy54bWxQSwUGAAAAAAYABgBZ&#10;AQAA8wUAAAAA&#10;" adj="16201,5400">
                <v:fill on="t" focussize="0,0"/>
                <v:stroke on="f"/>
                <v:imagedata o:title=""/>
                <o:lock v:ext="edit" aspectratio="f"/>
                <v:textbox style="layout-flow:vertical-ideographic;"/>
              </v:shape>
            </w:pict>
          </mc:Fallback>
        </mc:AlternateContent>
      </w:r>
      <w:r>
        <w:rPr>
          <w:rFonts w:ascii="Times New Roman" w:hAnsi="Times New Roman" w:cs="Times New Roman"/>
          <w:bCs/>
          <w:snapToGrid/>
          <w:color w:val="auto"/>
          <w:szCs w:val="24"/>
          <w:lang w:eastAsia="zh-CN"/>
        </w:rPr>
        <mc:AlternateContent>
          <mc:Choice Requires="wps">
            <w:drawing>
              <wp:anchor distT="0" distB="0" distL="114300" distR="114300" simplePos="0" relativeHeight="251982848" behindDoc="0" locked="0" layoutInCell="1" allowOverlap="1">
                <wp:simplePos x="0" y="0"/>
                <wp:positionH relativeFrom="column">
                  <wp:posOffset>2735580</wp:posOffset>
                </wp:positionH>
                <wp:positionV relativeFrom="paragraph">
                  <wp:posOffset>1793240</wp:posOffset>
                </wp:positionV>
                <wp:extent cx="107950" cy="467995"/>
                <wp:effectExtent l="4445" t="7620" r="1905" b="635"/>
                <wp:wrapNone/>
                <wp:docPr id="1367337030" name="箭头: 下 600"/>
                <wp:cNvGraphicFramePr/>
                <a:graphic xmlns:a="http://schemas.openxmlformats.org/drawingml/2006/main">
                  <a:graphicData uri="http://schemas.microsoft.com/office/word/2010/wordprocessingShape">
                    <wps:wsp>
                      <wps:cNvSpPr>
                        <a:spLocks noChangeArrowheads="1"/>
                      </wps:cNvSpPr>
                      <wps:spPr bwMode="auto">
                        <a:xfrm>
                          <a:off x="0" y="0"/>
                          <a:ext cx="107950" cy="467995"/>
                        </a:xfrm>
                        <a:prstGeom prst="downArrow">
                          <a:avLst>
                            <a:gd name="adj1" fmla="val 50000"/>
                            <a:gd name="adj2" fmla="val 108382"/>
                          </a:avLst>
                        </a:prstGeom>
                        <a:solidFill>
                          <a:srgbClr val="7030A0"/>
                        </a:solidFill>
                        <a:ln>
                          <a:noFill/>
                        </a:ln>
                      </wps:spPr>
                      <wps:bodyPr rot="0" vert="eaVert" wrap="square" lIns="91440" tIns="45720" rIns="91440" bIns="45720" anchor="t" anchorCtr="0" upright="1">
                        <a:noAutofit/>
                      </wps:bodyPr>
                    </wps:wsp>
                  </a:graphicData>
                </a:graphic>
              </wp:anchor>
            </w:drawing>
          </mc:Choice>
          <mc:Fallback>
            <w:pict>
              <v:shape id="箭头: 下 600" o:spid="_x0000_s1026" o:spt="67" type="#_x0000_t67" style="position:absolute;left:0pt;margin-left:215.4pt;margin-top:141.2pt;height:36.85pt;width:8.5pt;z-index:251982848;mso-width-relative:page;mso-height-relative:page;" fillcolor="#7030A0" filled="t" stroked="f" coordsize="21600,21600" o:gfxdata="UEsDBAoAAAAAAIdO4kAAAAAAAAAAAAAAAAAEAAAAZHJzL1BLAwQUAAAACACHTuJABAnZ09wAAAAL&#10;AQAADwAAAGRycy9kb3ducmV2LnhtbE2PS0/DMBCE70j8B2uRuFE7iVvaEKcHRCUOSKgNSD26sYmj&#10;xg/FTh/8epYTHHd2NPNNtb7YgZz0GHvvBGQzBkS71qvedQI+ms3DEkhM0ik5eKcFXHWEdX17U8lS&#10;+bPb6tMudQRDXCylAJNSKCmNrdFWxpkP2uHvy49WJjzHjqpRnjHcDjRnbEGt7B02GBn0s9HtcTdZ&#10;AeFtz/qX6X1+LZojfw2b5tOsvoW4v8vYE5CkL+nPDL/4iA41Mh385FQkgwBeMERPAvJlzoGgg/NH&#10;VA4CivkiA1pX9P+G+gdQSwMEFAAAAAgAh07iQJJvSd1UAgAAjgQAAA4AAABkcnMvZTJvRG9jLnht&#10;bK1UzW7UMBC+I/EOlu80yf52o81Wq1ZFSAUqFbh7bWdjcDzG9m62z8BrcIUTBx4IxGswdtKylEsP&#10;5JB4PDPfzHwzk+XZodVkL51XYCpanOSUSMNBKLOt6Ns3l89OKfGBGcE0GFnRW+np2erpk2VnSzmC&#10;BrSQjiCI8WVnK9qEYMss87yRLfMnYKVBZQ2uZQFFt82EYx2itzob5fks68AJ64BL7/H2olfSAdE9&#10;BhDqWnF5AXzXShN6VCc1C1iSb5T1dJWyrWvJw+u69jIQXVGsNKQ3BsHzJr6z1ZKVW8dso/iQAntM&#10;Cg9qapkyGPQe6oIFRnZO/QPVKu7AQx1OOLRZX0hiBKso8gfc3DTMylQLUu3tPen+/8HyV/trR5TA&#10;SRjP5uPxPB8jNYa12PlfX7/8/PytJD++fyKzPHHVWV+iy429drFab6+Af/DEwHnDzFaunYOukUxg&#10;hkXkNvvLIQoeXcmmewkCI7BdgETboXZtBERCyCF15/a+O/IQCMfLIp8vppgcR9VkNl8spikCK++c&#10;rfPhuYSWxENFBXQmJZQisP2VD6lDYiiPifcFJXWrseF7psk0x2cYiCOb0bFNkZ+OT0dD3AEyY+Vd&#10;5MQJaCUuldZJcNvNuXYE8SsauV2nCOjij820icYGoltkjZXxJpEX+YrT7MsNiFvkzkE/xLjCeJDs&#10;HX4p6XCEK+o/7piTlOgXBjuwKCaTOPNJmEznIxTcsWZzrGGGN4CbgWD98Tz0e7KzTm0bjFUkIg2s&#10;sWu1Cnft7fMa0sUxTfkPKxX34FhOVn9+I6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BAnZ09wA&#10;AAALAQAADwAAAAAAAAABACAAAAAiAAAAZHJzL2Rvd25yZXYueG1sUEsBAhQAFAAAAAgAh07iQJJv&#10;Sd1UAgAAjgQAAA4AAAAAAAAAAQAgAAAAKwEAAGRycy9lMm9Eb2MueG1sUEsFBgAAAAAGAAYAWQEA&#10;APEFAAAAAA==&#10;" adj="16201,5400">
                <v:fill on="t" focussize="0,0"/>
                <v:stroke on="f"/>
                <v:imagedata o:title=""/>
                <o:lock v:ext="edit" aspectratio="f"/>
                <v:textbox style="layout-flow:vertical-ideographic;"/>
              </v:shape>
            </w:pict>
          </mc:Fallback>
        </mc:AlternateContent>
      </w:r>
      <w:r>
        <w:rPr>
          <w:rFonts w:ascii="Times New Roman" w:hAnsi="Times New Roman" w:cs="Times New Roman"/>
          <w:bCs/>
          <w:snapToGrid/>
          <w:color w:val="auto"/>
          <w:szCs w:val="24"/>
          <w:lang w:eastAsia="zh-CN"/>
        </w:rPr>
        <mc:AlternateContent>
          <mc:Choice Requires="wps">
            <w:drawing>
              <wp:anchor distT="0" distB="0" distL="114300" distR="114300" simplePos="0" relativeHeight="251981824" behindDoc="0" locked="0" layoutInCell="1" allowOverlap="1">
                <wp:simplePos x="0" y="0"/>
                <wp:positionH relativeFrom="column">
                  <wp:posOffset>2713990</wp:posOffset>
                </wp:positionH>
                <wp:positionV relativeFrom="paragraph">
                  <wp:posOffset>611505</wp:posOffset>
                </wp:positionV>
                <wp:extent cx="107950" cy="467995"/>
                <wp:effectExtent l="4445" t="7620" r="1905" b="635"/>
                <wp:wrapNone/>
                <wp:docPr id="1221803958" name="箭头: 下 599"/>
                <wp:cNvGraphicFramePr/>
                <a:graphic xmlns:a="http://schemas.openxmlformats.org/drawingml/2006/main">
                  <a:graphicData uri="http://schemas.microsoft.com/office/word/2010/wordprocessingShape">
                    <wps:wsp>
                      <wps:cNvSpPr>
                        <a:spLocks noChangeArrowheads="1"/>
                      </wps:cNvSpPr>
                      <wps:spPr bwMode="auto">
                        <a:xfrm>
                          <a:off x="0" y="0"/>
                          <a:ext cx="107950" cy="467995"/>
                        </a:xfrm>
                        <a:prstGeom prst="downArrow">
                          <a:avLst>
                            <a:gd name="adj1" fmla="val 50000"/>
                            <a:gd name="adj2" fmla="val 108382"/>
                          </a:avLst>
                        </a:prstGeom>
                        <a:solidFill>
                          <a:srgbClr val="7030A0"/>
                        </a:solidFill>
                        <a:ln>
                          <a:noFill/>
                        </a:ln>
                      </wps:spPr>
                      <wps:bodyPr rot="0" vert="eaVert" wrap="square" lIns="91440" tIns="45720" rIns="91440" bIns="45720" anchor="t" anchorCtr="0" upright="1">
                        <a:noAutofit/>
                      </wps:bodyPr>
                    </wps:wsp>
                  </a:graphicData>
                </a:graphic>
              </wp:anchor>
            </w:drawing>
          </mc:Choice>
          <mc:Fallback>
            <w:pict>
              <v:shape id="箭头: 下 599" o:spid="_x0000_s1026" o:spt="67" type="#_x0000_t67" style="position:absolute;left:0pt;margin-left:213.7pt;margin-top:48.15pt;height:36.85pt;width:8.5pt;z-index:251981824;mso-width-relative:page;mso-height-relative:page;" fillcolor="#7030A0" filled="t" stroked="f" coordsize="21600,21600" o:gfxdata="UEsDBAoAAAAAAIdO4kAAAAAAAAAAAAAAAAAEAAAAZHJzL1BLAwQUAAAACACHTuJAy9kl/doAAAAK&#10;AQAADwAAAGRycy9kb3ducmV2LnhtbE2PTU/DMAyG70j8h8hI3FiyrWysNN0BMYkDEtoKEsesMW21&#10;xomadB/8eswJfLP86PXzFuuz68URh9h50jCdKBBItbcdNRreq83dA4iYDFnTe0INF4ywLq+vCpNb&#10;f6ItHnepERxCMTca2pRCLmWsW3QmTnxA4tuXH5xJvA6NtIM5cbjr5UyphXSmI/7QmoBPLdaH3eg0&#10;hNdP1T2Pb/eXeXXIXsKm+mhX31rf3kzVI4iE5/QHw68+q0PJTns/ko2i15DNlhmjGlaLOQgGMh4Q&#10;eyaXSoEsC/m/QvkDUEsDBBQAAAAIAIdO4kDsHkuYVgIAAI4EAAAOAAAAZHJzL2Uyb0RvYy54bWyt&#10;VM1y0zAQvjPDO2h0p/5J0sSeOp1MO2WYKdCZAndFkmODrBWSEqfPwGtwhRMHHgiG12AlOyWUSw/4&#10;YGu1u9/ufrvrs/N9p8hOWteCrmh2klIiNQfR6k1F3765eragxHmmBVOgZUXvpKPny6dPznpTyhwa&#10;UEJagiDalb2paOO9KZPE8UZ2zJ2AkRqVNdiOeRTtJhGW9YjeqSRP09OkByuMBS6dw9vLQUlHRPsY&#10;QKjrlstL4NtOaj+gWqmYx5Jc0xpHlzHbupbcv65rJz1RFcVKfXxjEDyvwztZnrFyY5lpWj6mwB6T&#10;woOaOtZqDHoPdck8I1vb/gPVtdyCg9qfcOiSoZDICFaRpQ+4uW2YkbEWpNqZe9Ld/4Plr3Y3lrQC&#10;JyHPs0U6KWbYf8067Pyvr19+fv5Wkh/fP5FZUQSueuNKdLk1NzZU68w18A+OaLhomN7IlbXQN5IJ&#10;zDAL9slfDkFw6ErW/UsQGIFtPUTa9rXtAiASQvaxO3f33ZF7TzheZum8mGHfOKqmp/OimMUIrDw4&#10;G+v8cwkdCYeKCuh1TChGYLtr52OHxFgeE+8zSupOYcN3TJFZis84EEc2+bFNli4mi3yMO0ImrDxE&#10;jpyAasVVq1QU7GZ9oSxB/IrO00m6ihHQxR2bKR2MNQS3wBorw00kL/A18L4GcYfcWRiGGFcYD5K9&#10;wy8lPY5wRd3HLbOSEvVCYweKbDoNMx+F6Wyeo2CPNetjDdO8AdwMBBuOF37Yk62x7abBWFkkUsMK&#10;u1a3/tDeIa8xXRzTmP+4UmEPjuVo9ec3svw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y9kl/doA&#10;AAAKAQAADwAAAAAAAAABACAAAAAiAAAAZHJzL2Rvd25yZXYueG1sUEsBAhQAFAAAAAgAh07iQOwe&#10;S5hWAgAAjgQAAA4AAAAAAAAAAQAgAAAAKQEAAGRycy9lMm9Eb2MueG1sUEsFBgAAAAAGAAYAWQEA&#10;APEFAAAAAA==&#10;" adj="16201,5400">
                <v:fill on="t" focussize="0,0"/>
                <v:stroke on="f"/>
                <v:imagedata o:title=""/>
                <o:lock v:ext="edit" aspectratio="f"/>
                <v:textbox style="layout-flow:vertical-ideographic;"/>
              </v:shape>
            </w:pict>
          </mc:Fallback>
        </mc:AlternateContent>
      </w:r>
      <w:r>
        <w:rPr>
          <w:rFonts w:ascii="Times New Roman" w:hAnsi="Times New Roman" w:cs="Times New Roman"/>
          <w:bCs/>
          <w:color w:val="auto"/>
          <w:szCs w:val="24"/>
          <w:lang w:eastAsia="zh-CN"/>
        </w:rPr>
        <w:drawing>
          <wp:inline distT="0" distB="0" distL="0" distR="0">
            <wp:extent cx="5745480" cy="7927975"/>
            <wp:effectExtent l="0" t="0" r="7620" b="0"/>
            <wp:docPr id="18850063" name="图片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0063" name="图片 59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a:xfrm>
                      <a:off x="0" y="0"/>
                      <a:ext cx="5745480" cy="7927975"/>
                    </a:xfrm>
                    <a:prstGeom prst="rect">
                      <a:avLst/>
                    </a:prstGeom>
                    <a:noFill/>
                    <a:ln>
                      <a:noFill/>
                    </a:ln>
                  </pic:spPr>
                </pic:pic>
              </a:graphicData>
            </a:graphic>
          </wp:inline>
        </w:drawing>
      </w:r>
      <w:r>
        <mc:AlternateContent>
          <mc:Choice Requires="wps">
            <w:drawing>
              <wp:anchor distT="0" distB="0" distL="114300" distR="114300" simplePos="0" relativeHeight="251879424" behindDoc="0" locked="0" layoutInCell="1" allowOverlap="1">
                <wp:simplePos x="0" y="0"/>
                <wp:positionH relativeFrom="margin">
                  <wp:posOffset>-1100455</wp:posOffset>
                </wp:positionH>
                <wp:positionV relativeFrom="paragraph">
                  <wp:posOffset>8639810</wp:posOffset>
                </wp:positionV>
                <wp:extent cx="8455025" cy="387985"/>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8455025" cy="387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43080E">
                            <w:pPr>
                              <w:jc w:val="center"/>
                              <w:rPr>
                                <w:rFonts w:ascii="Times New Roman" w:hAnsi="Times New Roman" w:cs="Times New Roman"/>
                                <w:b/>
                                <w:bCs/>
                                <w:color w:val="000000" w:themeColor="text1"/>
                                <w:lang w:eastAsia="zh-CN"/>
                                <w14:textFill>
                                  <w14:solidFill>
                                    <w14:schemeClr w14:val="tx1"/>
                                  </w14:solidFill>
                                </w14:textFill>
                              </w:rPr>
                            </w:pPr>
                            <w:r>
                              <w:rPr>
                                <w:rFonts w:ascii="Times New Roman" w:hAnsi="Times New Roman" w:cs="Times New Roman"/>
                                <w:b/>
                                <w:bCs/>
                                <w:color w:val="000000" w:themeColor="text1"/>
                                <w:lang w:eastAsia="zh-CN"/>
                                <w14:textFill>
                                  <w14:solidFill>
                                    <w14:schemeClr w14:val="tx1"/>
                                  </w14:solidFill>
                                </w14:textFill>
                              </w:rPr>
                              <w:t>图7.9-1 厂区应急疏散</w:t>
                            </w:r>
                            <w:r>
                              <w:rPr>
                                <w:rFonts w:hint="eastAsia" w:ascii="Times New Roman" w:hAnsi="Times New Roman" w:cs="Times New Roman"/>
                                <w:b/>
                                <w:bCs/>
                                <w:color w:val="000000" w:themeColor="text1"/>
                                <w:lang w:eastAsia="zh-CN"/>
                                <w14:textFill>
                                  <w14:solidFill>
                                    <w14:schemeClr w14:val="tx1"/>
                                  </w14:solidFill>
                                </w14:textFill>
                              </w:rPr>
                              <w:t>示意</w:t>
                            </w:r>
                            <w:r>
                              <w:rPr>
                                <w:rFonts w:ascii="Times New Roman" w:hAnsi="Times New Roman" w:cs="Times New Roman"/>
                                <w:b/>
                                <w:bCs/>
                                <w:color w:val="000000" w:themeColor="text1"/>
                                <w:lang w:eastAsia="zh-CN"/>
                                <w14:textFill>
                                  <w14:solidFill>
                                    <w14:schemeClr w14:val="tx1"/>
                                  </w14:solidFill>
                                </w14:textFill>
                              </w:rPr>
                              <w:t>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6.65pt;margin-top:680.3pt;height:30.55pt;width:665.75pt;mso-position-horizontal-relative:margin;z-index:251879424;mso-width-relative:page;mso-height-relative:page;" filled="f" stroked="f" coordsize="21600,21600" o:gfxdata="UEsDBAoAAAAAAIdO4kAAAAAAAAAAAAAAAAAEAAAAZHJzL1BLAwQUAAAACACHTuJAhbtmg98AAAAP&#10;AQAADwAAAGRycy9kb3ducmV2LnhtbE2Py07DMBBF90j8gzVI7FrbCU2jEKdCkSokVBYt3bBzYjeJ&#10;sMchdh/w9XVXsJvRPbpzplxdrCEnPfnBoQA+Z0A0tk4N2AnYf6xnORAfJCppHGoBP9rDqrq/K2Wh&#10;3Bm3+rQLHYkl6AspoA9hLCj1ba+t9HM3aozZwU1WhrhOHVWTPMdya2jCWEatHDBe6OWo6163X7uj&#10;FfBWr9/ltkls/mvq183hZfzefy6EeHzg7BlI0JfwB8NNP6pDFZ0ad0TliREw48s0jWxM0oxlQG4M&#10;X+QJkCZOTwlfAq1K+v+P6gpQSwMEFAAAAAgAh07iQIBMiKA+AgAAaAQAAA4AAABkcnMvZTJvRG9j&#10;LnhtbK1UwY7aMBC9V+o/WL6XAEt2WURY0UVUlVB3JVr1bByHRLI9rm1I6Ae0f9BTL733u/iOjp3A&#10;om0Pe+jFjGcmb/zezDC9a5Qke2FdBTqjg16fEqE55JXeZvTTx+WbMSXOM50zCVpk9CAcvZu9fjWt&#10;zUQMoQSZC0sQRLtJbTJaem8mSeJ4KRRzPTBCY7AAq5jHq90muWU1oiuZDPv966QGmxsLXDiH3kUb&#10;pB2ifQkgFEXFxQL4TgntW1QrJPNIyZWVcXQWX1sUgvuHonDCE5lRZOrjiUXQ3oQzmU3ZZGuZKSve&#10;PYG95AnPOClWaSx6hlowz8jOVn9BqYpbcFD4HgeVtESiIshi0H+mzbpkRkQuKLUzZ9Hd/4PlH/aP&#10;llR5RkdDSjRT2PHjj+/Hn7+Pv74R9KFAtXETzFsbzPTNW2hwbE5+h87AuymsCr/IiGAc5T2c5RWN&#10;Jxyd41Ga9ocpJRxjV+Ob23EaYJKnr411/p0ARYKRUYvti6qy/cr5NvWUEoppWFZSxhZKTeqMXl+l&#10;/fjBOYLgUmONwKF9a7B8s2k6YhvID8jLQjsazvBlhcVXzPlHZnEWkApui3/Ao5CARaCzKCnBfv2X&#10;P+RjizBKSY2zlVH3ZcesoES+19i828FoFIYxXkbpzRAv9jKyuYzonboHHN8B7qXh0Qz5Xp7MwoL6&#10;jEs1D1UxxDTH2hn1J/PetxOPS8nFfB6TcPwM8yu9NjxAt3LOdx6KKiodZGq16dTDAYy96pYlTPjl&#10;PWY9/UHM/g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Fu2aD3wAAAA8BAAAPAAAAAAAAAAEAIAAA&#10;ACIAAABkcnMvZG93bnJldi54bWxQSwECFAAUAAAACACHTuJAgEyIoD4CAABoBAAADgAAAAAAAAAB&#10;ACAAAAAuAQAAZHJzL2Uyb0RvYy54bWxQSwUGAAAAAAYABgBZAQAA3gUAAAAA&#10;">
                <v:fill on="f" focussize="0,0"/>
                <v:stroke on="f" weight="0.5pt"/>
                <v:imagedata o:title=""/>
                <o:lock v:ext="edit" aspectratio="f"/>
                <v:textbox>
                  <w:txbxContent>
                    <w:p w14:paraId="6843080E">
                      <w:pPr>
                        <w:jc w:val="center"/>
                        <w:rPr>
                          <w:rFonts w:ascii="Times New Roman" w:hAnsi="Times New Roman" w:cs="Times New Roman"/>
                          <w:b/>
                          <w:bCs/>
                          <w:color w:val="000000" w:themeColor="text1"/>
                          <w:lang w:eastAsia="zh-CN"/>
                          <w14:textFill>
                            <w14:solidFill>
                              <w14:schemeClr w14:val="tx1"/>
                            </w14:solidFill>
                          </w14:textFill>
                        </w:rPr>
                      </w:pPr>
                      <w:r>
                        <w:rPr>
                          <w:rFonts w:ascii="Times New Roman" w:hAnsi="Times New Roman" w:cs="Times New Roman"/>
                          <w:b/>
                          <w:bCs/>
                          <w:color w:val="000000" w:themeColor="text1"/>
                          <w:lang w:eastAsia="zh-CN"/>
                          <w14:textFill>
                            <w14:solidFill>
                              <w14:schemeClr w14:val="tx1"/>
                            </w14:solidFill>
                          </w14:textFill>
                        </w:rPr>
                        <w:t>图7.9-1 厂区应急疏散</w:t>
                      </w:r>
                      <w:r>
                        <w:rPr>
                          <w:rFonts w:hint="eastAsia" w:ascii="Times New Roman" w:hAnsi="Times New Roman" w:cs="Times New Roman"/>
                          <w:b/>
                          <w:bCs/>
                          <w:color w:val="000000" w:themeColor="text1"/>
                          <w:lang w:eastAsia="zh-CN"/>
                          <w14:textFill>
                            <w14:solidFill>
                              <w14:schemeClr w14:val="tx1"/>
                            </w14:solidFill>
                          </w14:textFill>
                        </w:rPr>
                        <w:t>示意</w:t>
                      </w:r>
                      <w:r>
                        <w:rPr>
                          <w:rFonts w:ascii="Times New Roman" w:hAnsi="Times New Roman" w:cs="Times New Roman"/>
                          <w:b/>
                          <w:bCs/>
                          <w:color w:val="000000" w:themeColor="text1"/>
                          <w:lang w:eastAsia="zh-CN"/>
                          <w14:textFill>
                            <w14:solidFill>
                              <w14:schemeClr w14:val="tx1"/>
                            </w14:solidFill>
                          </w14:textFill>
                        </w:rPr>
                        <w:t>图</w:t>
                      </w:r>
                    </w:p>
                  </w:txbxContent>
                </v:textbox>
              </v:shape>
            </w:pict>
          </mc:Fallback>
        </mc:AlternateContent>
      </w:r>
    </w:p>
    <w:p w14:paraId="2D94329F">
      <w:pPr>
        <w:widowControl w:val="0"/>
        <w:spacing w:line="360" w:lineRule="auto"/>
        <w:ind w:firstLine="482"/>
        <w:jc w:val="both"/>
        <w:outlineLvl w:val="2"/>
        <w:rPr>
          <w:rFonts w:ascii="Times New Roman" w:hAnsi="Times New Roman" w:cs="Times New Roman"/>
          <w:b/>
          <w:bCs/>
          <w:color w:val="auto"/>
          <w:lang w:eastAsia="zh-CN"/>
        </w:rPr>
      </w:pPr>
      <w:bookmarkStart w:id="2139" w:name="_Toc218784378"/>
      <w:bookmarkStart w:id="2140" w:name="_Toc237508387"/>
      <w:bookmarkStart w:id="2141" w:name="_Toc236641922"/>
      <w:bookmarkStart w:id="2142" w:name="_Toc173743476"/>
      <w:bookmarkStart w:id="2143" w:name="_Toc204448560"/>
      <w:bookmarkStart w:id="2144" w:name="_Toc176513102"/>
      <w:bookmarkStart w:id="2145" w:name="_Toc175164366"/>
      <w:bookmarkStart w:id="2146" w:name="_Toc204515295"/>
      <w:bookmarkStart w:id="2147" w:name="_Toc217662766"/>
      <w:bookmarkStart w:id="2148" w:name="_Toc223425152"/>
      <w:bookmarkStart w:id="2149" w:name="_Toc224674792"/>
      <w:bookmarkStart w:id="2150" w:name="_Toc203927096"/>
      <w:bookmarkStart w:id="2151" w:name="_Toc178602444"/>
      <w:bookmarkStart w:id="2152" w:name="_Toc172555738"/>
      <w:bookmarkStart w:id="2153" w:name="_Toc173740372"/>
      <w:bookmarkStart w:id="2154" w:name="_Toc231828675"/>
      <w:bookmarkStart w:id="2155" w:name="_Toc225784154"/>
      <w:bookmarkStart w:id="2156" w:name="_Toc221900934"/>
      <w:r>
        <w:rPr>
          <w:rFonts w:ascii="Times New Roman" w:hAnsi="Times New Roman" w:cs="Times New Roman"/>
          <w:b/>
          <w:bCs/>
          <w:color w:val="auto"/>
          <w:lang w:eastAsia="zh-CN"/>
        </w:rPr>
        <w:t>7.</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4</w:t>
      </w:r>
      <w:r>
        <w:rPr>
          <w:rFonts w:ascii="Times New Roman" w:hAnsi="Times New Roman" w:cs="Times New Roman"/>
          <w:b/>
          <w:bCs/>
          <w:color w:val="auto"/>
          <w:lang w:eastAsia="zh-CN"/>
        </w:rPr>
        <w:t xml:space="preserve"> 地表水风险防范措施</w:t>
      </w:r>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p>
    <w:p w14:paraId="2966C180">
      <w:pPr>
        <w:widowControl w:val="0"/>
        <w:spacing w:line="360" w:lineRule="auto"/>
        <w:ind w:firstLine="482"/>
        <w:outlineLvl w:val="3"/>
        <w:rPr>
          <w:rFonts w:ascii="Times New Roman" w:hAnsi="Times New Roman" w:cs="Times New Roman"/>
          <w:b/>
          <w:bCs/>
          <w:color w:val="auto"/>
          <w:lang w:eastAsia="zh-CN"/>
        </w:rPr>
      </w:pPr>
      <w:bookmarkStart w:id="2157" w:name="_Toc6512"/>
      <w:r>
        <w:rPr>
          <w:rFonts w:ascii="Times New Roman" w:hAnsi="Times New Roman" w:cs="Times New Roman"/>
          <w:b/>
          <w:bCs/>
          <w:color w:val="auto"/>
          <w:lang w:eastAsia="zh-CN"/>
        </w:rPr>
        <w:t>7.</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4</w:t>
      </w:r>
      <w:r>
        <w:rPr>
          <w:rFonts w:ascii="Times New Roman" w:hAnsi="Times New Roman" w:cs="Times New Roman"/>
          <w:b/>
          <w:bCs/>
          <w:color w:val="auto"/>
          <w:lang w:eastAsia="zh-CN"/>
        </w:rPr>
        <w:t>.1 事故废水收集</w:t>
      </w:r>
      <w:bookmarkEnd w:id="2157"/>
    </w:p>
    <w:p w14:paraId="661A06C4">
      <w:pPr>
        <w:widowControl w:val="0"/>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拟建项目事故废水主要有生产装置区的四周设置废水收集沟，内表面采用环氧树脂防渗处理，用于装置区的地面清洁废水、泄漏物料以及初期雨水的收集。</w:t>
      </w:r>
    </w:p>
    <w:p w14:paraId="5DD40437">
      <w:pPr>
        <w:widowControl w:val="0"/>
        <w:spacing w:line="360" w:lineRule="auto"/>
        <w:ind w:firstLine="482"/>
        <w:outlineLvl w:val="3"/>
        <w:rPr>
          <w:rFonts w:ascii="Times New Roman" w:hAnsi="Times New Roman" w:cs="Times New Roman"/>
          <w:b/>
          <w:bCs/>
          <w:color w:val="auto"/>
          <w:lang w:eastAsia="zh-CN"/>
        </w:rPr>
      </w:pPr>
      <w:r>
        <w:rPr>
          <w:rFonts w:ascii="Times New Roman" w:hAnsi="Times New Roman" w:cs="Times New Roman"/>
          <w:b/>
          <w:bCs/>
          <w:color w:val="auto"/>
          <w:lang w:eastAsia="zh-CN"/>
        </w:rPr>
        <w:t>7.</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4</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2</w:t>
      </w:r>
      <w:r>
        <w:rPr>
          <w:rFonts w:ascii="Times New Roman" w:hAnsi="Times New Roman" w:cs="Times New Roman"/>
          <w:b/>
          <w:bCs/>
          <w:color w:val="auto"/>
          <w:lang w:eastAsia="zh-CN"/>
        </w:rPr>
        <w:t xml:space="preserve"> 事故废水</w:t>
      </w:r>
      <w:r>
        <w:rPr>
          <w:rFonts w:hint="eastAsia" w:ascii="Times New Roman" w:hAnsi="Times New Roman" w:cs="Times New Roman"/>
          <w:b/>
          <w:bCs/>
          <w:color w:val="auto"/>
          <w:lang w:eastAsia="zh-CN"/>
        </w:rPr>
        <w:t>防范</w:t>
      </w:r>
    </w:p>
    <w:p w14:paraId="553DEE05">
      <w:pPr>
        <w:widowControl w:val="0"/>
        <w:spacing w:line="360" w:lineRule="auto"/>
        <w:ind w:left="480"/>
        <w:rPr>
          <w:rFonts w:ascii="Times New Roman" w:hAnsi="Times New Roman" w:cs="Times New Roman"/>
          <w:color w:val="auto"/>
          <w:lang w:eastAsia="zh-CN"/>
        </w:rPr>
      </w:pPr>
      <w:r>
        <w:rPr>
          <w:rFonts w:hint="eastAsia" w:ascii="Times New Roman" w:hAnsi="Times New Roman" w:cs="Times New Roman"/>
          <w:color w:val="auto"/>
          <w:lang w:eastAsia="zh-CN"/>
        </w:rPr>
        <w:t>1、事故废水收集</w:t>
      </w:r>
    </w:p>
    <w:p w14:paraId="43E118B9">
      <w:pPr>
        <w:widowControl w:val="0"/>
        <w:spacing w:line="360" w:lineRule="auto"/>
        <w:ind w:firstLine="480" w:firstLineChars="200"/>
        <w:rPr>
          <w:rFonts w:ascii="Times New Roman" w:hAnsi="Times New Roman" w:cs="Times New Roman"/>
          <w:color w:val="auto"/>
          <w:lang w:eastAsia="zh-CN"/>
        </w:rPr>
      </w:pPr>
      <w:r>
        <w:rPr>
          <w:rFonts w:hint="eastAsia" w:ascii="Times New Roman" w:hAnsi="Times New Roman" w:cs="Times New Roman"/>
          <w:color w:val="auto"/>
          <w:lang w:eastAsia="zh-CN"/>
        </w:rPr>
        <w:t>拟建项目储罐均设置围堰，一旦发生储罐破裂，导致物料泄漏，利用围堰收集储罐内的泄漏物料，防止泄漏物料外溢。</w:t>
      </w:r>
    </w:p>
    <w:p w14:paraId="3064E5CD">
      <w:pPr>
        <w:widowControl w:val="0"/>
        <w:spacing w:line="360" w:lineRule="auto"/>
        <w:ind w:firstLine="480" w:firstLineChars="200"/>
        <w:rPr>
          <w:rFonts w:ascii="Times New Roman" w:hAnsi="Times New Roman" w:cs="Times New Roman"/>
          <w:color w:val="auto"/>
          <w:lang w:eastAsia="zh-CN"/>
        </w:rPr>
      </w:pPr>
      <w:r>
        <w:rPr>
          <w:rFonts w:hint="eastAsia" w:ascii="Times New Roman" w:hAnsi="Times New Roman" w:cs="Times New Roman"/>
          <w:color w:val="auto"/>
          <w:lang w:eastAsia="zh-CN"/>
        </w:rPr>
        <w:t>一旦物料泄漏进入水体，启动市级或更高级区域突发环境应急预案，包括施放围油栏、吸油毡，活性炭等等要进行吸附收集，同时加入消除毒物剂，降解毒性。采用真空抽油槽车、围油栏、沙包、泥袋、潜水泵、吸油棉等，对泄漏物料进行收集。</w:t>
      </w:r>
    </w:p>
    <w:p w14:paraId="0078E2C2">
      <w:pPr>
        <w:widowControl w:val="0"/>
        <w:spacing w:line="360" w:lineRule="auto"/>
        <w:ind w:left="480"/>
        <w:rPr>
          <w:rFonts w:ascii="Times New Roman" w:hAnsi="Times New Roman" w:cs="Times New Roman"/>
          <w:color w:val="auto"/>
          <w:lang w:eastAsia="zh-CN"/>
        </w:rPr>
      </w:pPr>
      <w:r>
        <w:rPr>
          <w:rFonts w:hint="eastAsia" w:ascii="Times New Roman" w:hAnsi="Times New Roman" w:cs="Times New Roman"/>
          <w:color w:val="auto"/>
          <w:lang w:eastAsia="zh-CN"/>
        </w:rPr>
        <w:t>2、事故废水防范</w:t>
      </w:r>
    </w:p>
    <w:p w14:paraId="389FD756">
      <w:pPr>
        <w:widowControl w:val="0"/>
        <w:spacing w:line="360" w:lineRule="auto"/>
        <w:ind w:firstLine="480" w:firstLineChars="200"/>
        <w:rPr>
          <w:rFonts w:ascii="Times New Roman" w:hAnsi="Times New Roman" w:cs="Times New Roman"/>
          <w:color w:val="auto"/>
          <w:lang w:eastAsia="zh-CN"/>
        </w:rPr>
      </w:pPr>
      <w:r>
        <w:rPr>
          <w:rFonts w:hint="eastAsia" w:ascii="Times New Roman" w:hAnsi="Times New Roman" w:cs="Times New Roman"/>
          <w:color w:val="auto"/>
          <w:lang w:eastAsia="zh-CN"/>
        </w:rPr>
        <w:t>根据《蚌埠淮上化工园区突发水污染事件“一园一策一图”运转方案》，为提升化工园区突发水污染事件环境应急准备能力，借鉴“以空间换时间”理念，按照“一级防控不出厂区、二级防控不出公共应急空间、三级防控不出园区”总体目标，构建化工园区突发水污染事件环境应急三级防控体系。其中，第一级防控即利用企业自身的围堰、应急池等环境应急防控设施，将事故污水控制在企业厂区内部；第二级防控即推动有条件的相邻企业间应急池、企业与园区公共应急池互联互通，对流出事故企业的污水进行拦截、转运、处置，防止污水进入园区河道；第三级防控即充分利用园区内的坑塘、河道、沟渠以及周边水系等构建环境应急防控空间，对进出园区的水体实施封闭或分段管控，确保不对园区外重要水体造成影响。</w:t>
      </w:r>
    </w:p>
    <w:p w14:paraId="0A841168">
      <w:pPr>
        <w:widowControl w:val="0"/>
        <w:spacing w:line="360" w:lineRule="auto"/>
        <w:ind w:firstLine="480" w:firstLineChars="200"/>
        <w:rPr>
          <w:rFonts w:ascii="Times New Roman" w:hAnsi="Times New Roman" w:cs="Times New Roman"/>
          <w:color w:val="auto"/>
          <w:lang w:eastAsia="zh-CN"/>
        </w:rPr>
      </w:pPr>
      <w:r>
        <w:rPr>
          <w:rFonts w:hint="eastAsia" w:ascii="Times New Roman" w:hAnsi="Times New Roman" w:cs="Times New Roman"/>
          <w:color w:val="auto"/>
          <w:lang w:eastAsia="zh-CN"/>
        </w:rPr>
        <w:t>根据“一园一策一图”运转方案中园区雨水排放分区图，本项目位于开源大道雨水排放分区，当企业发生突发水环境事件时，三级防控设施运转方案如下：</w:t>
      </w:r>
    </w:p>
    <w:p w14:paraId="5695B262">
      <w:pPr>
        <w:widowControl w:val="0"/>
        <w:spacing w:line="360" w:lineRule="auto"/>
        <w:ind w:firstLine="480" w:firstLineChars="200"/>
        <w:rPr>
          <w:rFonts w:ascii="Times New Roman" w:hAnsi="Times New Roman" w:cs="Times New Roman"/>
          <w:color w:val="auto"/>
          <w:lang w:eastAsia="zh-CN"/>
        </w:rPr>
      </w:pPr>
      <w:r>
        <w:rPr>
          <w:rFonts w:hint="eastAsia" w:ascii="Times New Roman" w:hAnsi="Times New Roman" w:cs="Times New Roman"/>
          <w:color w:val="auto"/>
          <w:lang w:eastAsia="zh-CN"/>
        </w:rPr>
        <w:t>（1）第一级防控</w:t>
      </w:r>
    </w:p>
    <w:p w14:paraId="47E948B8">
      <w:pPr>
        <w:widowControl w:val="0"/>
        <w:spacing w:line="360" w:lineRule="auto"/>
        <w:ind w:firstLine="480" w:firstLineChars="200"/>
        <w:rPr>
          <w:rFonts w:ascii="Times New Roman" w:hAnsi="Times New Roman" w:cs="Times New Roman"/>
          <w:color w:val="auto"/>
          <w:lang w:eastAsia="zh-CN"/>
        </w:rPr>
      </w:pPr>
      <w:r>
        <w:rPr>
          <w:rFonts w:hint="eastAsia" w:ascii="Times New Roman" w:hAnsi="Times New Roman" w:cs="Times New Roman"/>
          <w:color w:val="auto"/>
          <w:lang w:eastAsia="zh-CN"/>
        </w:rPr>
        <w:t>①关闭厂区外排口</w:t>
      </w:r>
    </w:p>
    <w:p w14:paraId="5B97A2FE">
      <w:pPr>
        <w:widowControl w:val="0"/>
        <w:spacing w:line="360" w:lineRule="auto"/>
        <w:ind w:firstLine="480" w:firstLineChars="200"/>
        <w:rPr>
          <w:rFonts w:ascii="Times New Roman" w:hAnsi="Times New Roman" w:cs="Times New Roman"/>
          <w:color w:val="auto"/>
          <w:lang w:eastAsia="zh-CN"/>
        </w:rPr>
      </w:pPr>
      <w:r>
        <w:rPr>
          <w:rFonts w:hint="eastAsia" w:ascii="Times New Roman" w:hAnsi="Times New Roman" w:cs="Times New Roman"/>
          <w:color w:val="auto"/>
          <w:lang w:eastAsia="zh-CN"/>
        </w:rPr>
        <w:t>事故发生后，关闭厂区雨水外排口闸阀，封堵企业进出厂界通道等，防止事故废水通过雨排口、进出厂界通道流出厂区，造成事故态势升级。</w:t>
      </w:r>
    </w:p>
    <w:p w14:paraId="6354D68B">
      <w:pPr>
        <w:widowControl w:val="0"/>
        <w:spacing w:line="360" w:lineRule="auto"/>
        <w:ind w:firstLine="480" w:firstLineChars="200"/>
        <w:rPr>
          <w:rFonts w:ascii="Times New Roman" w:hAnsi="Times New Roman" w:cs="Times New Roman"/>
          <w:color w:val="auto"/>
          <w:lang w:eastAsia="zh-CN"/>
        </w:rPr>
      </w:pPr>
      <w:r>
        <w:rPr>
          <w:rFonts w:hint="eastAsia" w:ascii="Times New Roman" w:hAnsi="Times New Roman" w:cs="Times New Roman"/>
          <w:color w:val="auto"/>
          <w:lang w:eastAsia="zh-CN"/>
        </w:rPr>
        <w:t>②打开切换阀</w:t>
      </w:r>
    </w:p>
    <w:p w14:paraId="48B77E65">
      <w:pPr>
        <w:widowControl w:val="0"/>
        <w:spacing w:line="360" w:lineRule="auto"/>
        <w:ind w:firstLine="480" w:firstLineChars="200"/>
        <w:rPr>
          <w:rFonts w:ascii="Times New Roman" w:hAnsi="Times New Roman" w:cs="Times New Roman"/>
          <w:color w:val="auto"/>
          <w:lang w:eastAsia="zh-CN"/>
        </w:rPr>
      </w:pPr>
      <w:r>
        <w:rPr>
          <w:rFonts w:hint="eastAsia" w:ascii="Times New Roman" w:hAnsi="Times New Roman" w:cs="Times New Roman"/>
          <w:color w:val="auto"/>
          <w:lang w:eastAsia="zh-CN"/>
        </w:rPr>
        <w:t>事故发生后，打开罐区、装置区围堰切换阀等，将事故废水引流至事故应急池；事故应急池满后，关闭应急池进口阀门，打开雨水池进口阀，将事故废水导流至初期雨水池暂存。根据设计方案，本项目依托1座426.9m</w:t>
      </w:r>
      <w:r>
        <w:rPr>
          <w:rFonts w:hint="eastAsia" w:ascii="Times New Roman" w:hAnsi="Times New Roman" w:cs="Times New Roman"/>
          <w:color w:val="auto"/>
          <w:vertAlign w:val="superscript"/>
          <w:lang w:eastAsia="zh-CN"/>
        </w:rPr>
        <w:t>3</w:t>
      </w:r>
      <w:r>
        <w:rPr>
          <w:rFonts w:hint="eastAsia" w:ascii="Times New Roman" w:hAnsi="Times New Roman" w:cs="Times New Roman"/>
          <w:color w:val="auto"/>
          <w:lang w:eastAsia="zh-CN"/>
        </w:rPr>
        <w:t>初期雨水池和1座672.3m</w:t>
      </w:r>
      <w:r>
        <w:rPr>
          <w:rFonts w:hint="eastAsia" w:ascii="Times New Roman" w:hAnsi="Times New Roman" w:cs="Times New Roman"/>
          <w:color w:val="auto"/>
          <w:vertAlign w:val="superscript"/>
          <w:lang w:eastAsia="zh-CN"/>
        </w:rPr>
        <w:t>3</w:t>
      </w:r>
      <w:r>
        <w:rPr>
          <w:rFonts w:hint="eastAsia" w:ascii="Times New Roman" w:hAnsi="Times New Roman" w:cs="Times New Roman"/>
          <w:color w:val="auto"/>
          <w:lang w:eastAsia="zh-CN"/>
        </w:rPr>
        <w:t>事故应急池，位于项目场地东侧，收集厂内初期雨水和事故废水。</w:t>
      </w:r>
    </w:p>
    <w:p w14:paraId="4278B1BF">
      <w:pPr>
        <w:widowControl w:val="0"/>
        <w:spacing w:line="360" w:lineRule="auto"/>
        <w:ind w:firstLine="480" w:firstLineChars="200"/>
        <w:rPr>
          <w:rFonts w:ascii="Times New Roman" w:hAnsi="Times New Roman" w:cs="Times New Roman"/>
          <w:color w:val="auto"/>
          <w:lang w:eastAsia="zh-CN"/>
        </w:rPr>
      </w:pPr>
      <w:r>
        <w:rPr>
          <w:rFonts w:hint="eastAsia" w:ascii="Times New Roman" w:hAnsi="Times New Roman" w:cs="Times New Roman"/>
          <w:color w:val="auto"/>
          <w:lang w:eastAsia="zh-CN"/>
        </w:rPr>
        <w:t>③将初期雨水池及事故池的事故废水抽至厂区污水处理站处理后进入园区污水处理厂处置。</w:t>
      </w:r>
    </w:p>
    <w:p w14:paraId="2B47CA0C">
      <w:pPr>
        <w:widowControl w:val="0"/>
        <w:spacing w:line="360" w:lineRule="auto"/>
        <w:ind w:left="480"/>
        <w:rPr>
          <w:rFonts w:ascii="Times New Roman" w:hAnsi="Times New Roman" w:cs="Times New Roman"/>
          <w:color w:val="auto"/>
          <w:lang w:eastAsia="zh-CN"/>
        </w:rPr>
      </w:pPr>
      <w:r>
        <w:rPr>
          <w:rFonts w:hint="eastAsia" w:ascii="Times New Roman" w:hAnsi="Times New Roman" w:cs="Times New Roman"/>
          <w:color w:val="auto"/>
          <w:lang w:eastAsia="zh-CN"/>
        </w:rPr>
        <w:t>（2）</w:t>
      </w:r>
      <w:r>
        <w:rPr>
          <w:rFonts w:ascii="Times New Roman" w:hAnsi="Times New Roman" w:cs="Times New Roman"/>
          <w:color w:val="auto"/>
          <w:lang w:eastAsia="zh-CN"/>
        </w:rPr>
        <w:t>第二级防控</w:t>
      </w:r>
    </w:p>
    <w:p w14:paraId="7C1F0A25">
      <w:pPr>
        <w:widowControl w:val="0"/>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若事故废水超出企业厂内存储能力，则立即请求园区支援，可将事故废水通过污水管网</w:t>
      </w:r>
      <w:r>
        <w:rPr>
          <w:rFonts w:hint="eastAsia" w:ascii="Times New Roman" w:hAnsi="Times New Roman" w:cs="Times New Roman"/>
          <w:color w:val="auto"/>
          <w:lang w:eastAsia="zh-CN"/>
        </w:rPr>
        <w:t>输</w:t>
      </w:r>
      <w:r>
        <w:rPr>
          <w:rFonts w:ascii="Times New Roman" w:hAnsi="Times New Roman" w:cs="Times New Roman"/>
          <w:color w:val="auto"/>
          <w:lang w:eastAsia="zh-CN"/>
        </w:rPr>
        <w:t>送至园区公共事故池，后续由污水处理厂处理。</w:t>
      </w:r>
      <w:r>
        <w:rPr>
          <w:rFonts w:hint="eastAsia" w:ascii="Times New Roman" w:hAnsi="Times New Roman" w:cs="Times New Roman"/>
          <w:color w:val="auto"/>
          <w:lang w:eastAsia="zh-CN"/>
        </w:rPr>
        <w:t>在企业雨水排口上、下游设置临时封堵点通过使用与管径适配的高压充气式堵水气囊（储存于园区应急物资库）进行临时封堵，将事故水控制在企业周边雨水管网内部；按照水环境三级防控互联互通原则，周边企业污水站协同处置事故废水，极端环境下可利用临时管泵将事故水转输至互联互通企业事故应急池临时贮存。</w:t>
      </w:r>
    </w:p>
    <w:p w14:paraId="4DD51AD6">
      <w:pPr>
        <w:widowControl w:val="0"/>
        <w:spacing w:line="360" w:lineRule="auto"/>
        <w:ind w:firstLine="480" w:firstLineChars="200"/>
        <w:rPr>
          <w:rFonts w:ascii="Times New Roman" w:hAnsi="Times New Roman" w:cs="Times New Roman"/>
          <w:color w:val="auto"/>
          <w:lang w:eastAsia="zh-CN"/>
        </w:rPr>
      </w:pPr>
      <w:r>
        <w:rPr>
          <w:rFonts w:hint="eastAsia" w:ascii="Times New Roman" w:hAnsi="Times New Roman" w:cs="Times New Roman"/>
          <w:color w:val="auto"/>
          <w:lang w:eastAsia="zh-CN"/>
        </w:rPr>
        <w:t>水量过大，临时封堵失效时，立即关闭开源大道雨水排口闸阀（可由园区中控室远程控制），企业属于园区开源大道雨水排放分区，可将废水全部截留在开源大道雨水排放分区明渠中，防止污染区域进一步扩大，并利用临时管泵，依托园区污水管将废水抽送至园区公共事故池。</w:t>
      </w:r>
    </w:p>
    <w:p w14:paraId="44F672DE">
      <w:pPr>
        <w:widowControl w:val="0"/>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对于该片区道路事故废水，</w:t>
      </w:r>
      <w:r>
        <w:rPr>
          <w:rFonts w:hint="eastAsia" w:ascii="Times New Roman" w:hAnsi="Times New Roman" w:cs="Times New Roman"/>
          <w:color w:val="auto"/>
          <w:lang w:eastAsia="zh-CN"/>
        </w:rPr>
        <w:t>可全部</w:t>
      </w:r>
      <w:r>
        <w:rPr>
          <w:rFonts w:ascii="Times New Roman" w:hAnsi="Times New Roman" w:cs="Times New Roman"/>
          <w:color w:val="auto"/>
          <w:lang w:eastAsia="zh-CN"/>
        </w:rPr>
        <w:t>引入</w:t>
      </w:r>
      <w:r>
        <w:rPr>
          <w:rFonts w:hint="eastAsia" w:ascii="Times New Roman" w:hAnsi="Times New Roman" w:cs="Times New Roman"/>
          <w:color w:val="auto"/>
          <w:lang w:eastAsia="zh-CN"/>
        </w:rPr>
        <w:t>开源大道雨水排放分区明渠</w:t>
      </w:r>
      <w:r>
        <w:rPr>
          <w:rFonts w:ascii="Times New Roman" w:hAnsi="Times New Roman" w:cs="Times New Roman"/>
          <w:color w:val="auto"/>
          <w:lang w:eastAsia="zh-CN"/>
        </w:rPr>
        <w:t>，关闭该片区</w:t>
      </w:r>
      <w:r>
        <w:rPr>
          <w:rFonts w:hint="eastAsia" w:ascii="Times New Roman" w:hAnsi="Times New Roman" w:cs="Times New Roman"/>
          <w:color w:val="auto"/>
          <w:lang w:eastAsia="zh-CN"/>
        </w:rPr>
        <w:t>开源大道雨水排口闸阀，可将废水全部截留在开源大道雨水排放分区明渠管道中，防止污染区域进一步扩大，并利用临时管泵，依托园区污水管将废水抽送至园区公共事故池。</w:t>
      </w:r>
    </w:p>
    <w:p w14:paraId="50D8B492">
      <w:pPr>
        <w:widowControl w:val="0"/>
        <w:spacing w:line="360" w:lineRule="auto"/>
        <w:ind w:left="480"/>
        <w:rPr>
          <w:rFonts w:ascii="Times New Roman" w:hAnsi="Times New Roman" w:cs="Times New Roman"/>
          <w:color w:val="auto"/>
          <w:lang w:eastAsia="zh-CN"/>
        </w:rPr>
      </w:pPr>
      <w:r>
        <w:rPr>
          <w:rFonts w:hint="eastAsia" w:ascii="Times New Roman" w:hAnsi="Times New Roman" w:cs="Times New Roman"/>
          <w:color w:val="auto"/>
          <w:lang w:eastAsia="zh-CN"/>
        </w:rPr>
        <w:t>（3）</w:t>
      </w:r>
      <w:r>
        <w:rPr>
          <w:rFonts w:ascii="Times New Roman" w:hAnsi="Times New Roman" w:cs="Times New Roman"/>
          <w:color w:val="auto"/>
          <w:lang w:eastAsia="zh-CN"/>
        </w:rPr>
        <w:t>第三级防控</w:t>
      </w:r>
    </w:p>
    <w:p w14:paraId="7309A945">
      <w:pPr>
        <w:widowControl w:val="0"/>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若不利条件下，事故废水超出</w:t>
      </w:r>
      <w:r>
        <w:rPr>
          <w:rFonts w:hint="eastAsia" w:ascii="Times New Roman" w:hAnsi="Times New Roman" w:cs="Times New Roman"/>
          <w:color w:val="auto"/>
          <w:lang w:eastAsia="zh-CN"/>
        </w:rPr>
        <w:t>开源大道雨水排放分区雨水明渠管道</w:t>
      </w:r>
      <w:r>
        <w:rPr>
          <w:rFonts w:ascii="Times New Roman" w:hAnsi="Times New Roman" w:cs="Times New Roman"/>
          <w:color w:val="auto"/>
          <w:lang w:eastAsia="zh-CN"/>
        </w:rPr>
        <w:t>容积，事故废水</w:t>
      </w:r>
      <w:r>
        <w:rPr>
          <w:rFonts w:hint="eastAsia" w:ascii="Times New Roman" w:hAnsi="Times New Roman" w:cs="Times New Roman"/>
          <w:color w:val="auto"/>
          <w:lang w:eastAsia="zh-CN"/>
        </w:rPr>
        <w:t>进</w:t>
      </w:r>
      <w:r>
        <w:rPr>
          <w:rFonts w:ascii="Times New Roman" w:hAnsi="Times New Roman" w:cs="Times New Roman"/>
          <w:color w:val="auto"/>
          <w:lang w:eastAsia="zh-CN"/>
        </w:rPr>
        <w:t>入</w:t>
      </w:r>
      <w:r>
        <w:rPr>
          <w:rFonts w:hint="eastAsia" w:ascii="Times New Roman" w:hAnsi="Times New Roman" w:cs="Times New Roman"/>
          <w:color w:val="auto"/>
          <w:lang w:eastAsia="zh-CN"/>
        </w:rPr>
        <w:t>三铺大沟</w:t>
      </w:r>
      <w:r>
        <w:rPr>
          <w:rFonts w:ascii="Times New Roman" w:hAnsi="Times New Roman" w:cs="Times New Roman"/>
          <w:color w:val="auto"/>
          <w:lang w:eastAsia="zh-CN"/>
        </w:rPr>
        <w:t>，</w:t>
      </w:r>
      <w:r>
        <w:rPr>
          <w:rFonts w:hint="eastAsia" w:ascii="Times New Roman" w:hAnsi="Times New Roman" w:cs="Times New Roman"/>
          <w:color w:val="auto"/>
          <w:lang w:eastAsia="zh-CN"/>
        </w:rPr>
        <w:t>立即</w:t>
      </w:r>
      <w:r>
        <w:rPr>
          <w:rFonts w:ascii="Times New Roman" w:hAnsi="Times New Roman" w:cs="Times New Roman"/>
          <w:color w:val="auto"/>
          <w:lang w:eastAsia="zh-CN"/>
        </w:rPr>
        <w:t>关闭</w:t>
      </w:r>
      <w:r>
        <w:rPr>
          <w:rFonts w:hint="eastAsia" w:ascii="Times New Roman" w:hAnsi="Times New Roman" w:cs="Times New Roman"/>
          <w:color w:val="auto"/>
          <w:lang w:eastAsia="zh-CN"/>
        </w:rPr>
        <w:t>三铺大沟五蚌路拦截闸、三铺大沟宁洛高速节制闸</w:t>
      </w:r>
      <w:r>
        <w:rPr>
          <w:rFonts w:ascii="Times New Roman" w:hAnsi="Times New Roman" w:cs="Times New Roman"/>
          <w:color w:val="auto"/>
          <w:lang w:eastAsia="zh-CN"/>
        </w:rPr>
        <w:t>，形成临时应急空间储存废水。该段废水通过临时管泵抽送至园区公共事故池后至园区污水厂处理，周边企业污水站协同处置，或在原位进行投药削污。</w:t>
      </w:r>
    </w:p>
    <w:p w14:paraId="1CAA95EB">
      <w:pPr>
        <w:widowControl w:val="0"/>
        <w:spacing w:line="360" w:lineRule="auto"/>
        <w:jc w:val="center"/>
        <w:rPr>
          <w:rFonts w:ascii="Times New Roman" w:hAnsi="Times New Roman" w:cs="Times New Roman"/>
          <w:b/>
          <w:bCs/>
          <w:color w:val="000000" w:themeColor="text1"/>
          <w:lang w:eastAsia="zh-CN"/>
          <w14:textFill>
            <w14:solidFill>
              <w14:schemeClr w14:val="tx1"/>
            </w14:solidFill>
          </w14:textFill>
        </w:rPr>
      </w:pPr>
      <w:r>
        <w:rPr>
          <w:rFonts w:hint="eastAsia" w:ascii="Times New Roman" w:hAnsi="Times New Roman" w:cs="Times New Roman"/>
          <w:b/>
          <w:bCs/>
          <w:color w:val="000000" w:themeColor="text1"/>
          <w:lang w:eastAsia="zh-CN"/>
          <w14:textFill>
            <w14:solidFill>
              <w14:schemeClr w14:val="tx1"/>
            </w14:solidFill>
          </w14:textFill>
        </w:rPr>
        <w:t>表7.9-2 三级防控设施运转方案一览表</w:t>
      </w:r>
    </w:p>
    <w:tbl>
      <w:tblPr>
        <w:tblStyle w:val="36"/>
        <w:tblW w:w="4992"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10"/>
        <w:gridCol w:w="2970"/>
        <w:gridCol w:w="1615"/>
        <w:gridCol w:w="1314"/>
        <w:gridCol w:w="2921"/>
      </w:tblGrid>
      <w:tr w14:paraId="4D4E7B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8" w:type="pct"/>
            <w:tcBorders>
              <w:tl2br w:val="nil"/>
              <w:tr2bl w:val="nil"/>
            </w:tcBorders>
            <w:vAlign w:val="center"/>
          </w:tcPr>
          <w:p w14:paraId="57461908">
            <w:pPr>
              <w:pStyle w:val="143"/>
              <w:widowControl w:val="0"/>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类别</w:t>
            </w:r>
          </w:p>
        </w:tc>
        <w:tc>
          <w:tcPr>
            <w:tcW w:w="1526" w:type="pct"/>
            <w:tcBorders>
              <w:tl2br w:val="nil"/>
              <w:tr2bl w:val="nil"/>
            </w:tcBorders>
            <w:vAlign w:val="center"/>
          </w:tcPr>
          <w:p w14:paraId="373B3EBE">
            <w:pPr>
              <w:pStyle w:val="143"/>
              <w:widowControl w:val="0"/>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名称</w:t>
            </w:r>
          </w:p>
        </w:tc>
        <w:tc>
          <w:tcPr>
            <w:tcW w:w="830" w:type="pct"/>
            <w:tcBorders>
              <w:tl2br w:val="nil"/>
              <w:tr2bl w:val="nil"/>
            </w:tcBorders>
            <w:vAlign w:val="center"/>
          </w:tcPr>
          <w:p w14:paraId="76E2DC02">
            <w:pPr>
              <w:pStyle w:val="143"/>
              <w:widowControl w:val="0"/>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储存能力</w:t>
            </w:r>
          </w:p>
          <w:p w14:paraId="781F2286">
            <w:pPr>
              <w:pStyle w:val="143"/>
              <w:widowControl w:val="0"/>
              <w:rPr>
                <w:b/>
                <w:bCs/>
                <w:color w:val="000000" w:themeColor="text1"/>
                <w:sz w:val="21"/>
                <w:szCs w:val="21"/>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（m</w:t>
            </w:r>
            <w:r>
              <w:rPr>
                <w:rFonts w:hint="eastAsia"/>
                <w:b/>
                <w:bCs/>
                <w:color w:val="000000" w:themeColor="text1"/>
                <w:sz w:val="21"/>
                <w:szCs w:val="21"/>
                <w:vertAlign w:val="superscript"/>
                <w:lang w:eastAsia="zh-CN"/>
                <w14:textFill>
                  <w14:solidFill>
                    <w14:schemeClr w14:val="tx1"/>
                  </w14:solidFill>
                </w14:textFill>
              </w:rPr>
              <w:t>3</w:t>
            </w:r>
            <w:r>
              <w:rPr>
                <w:rFonts w:hint="eastAsia"/>
                <w:b/>
                <w:bCs/>
                <w:color w:val="000000" w:themeColor="text1"/>
                <w:sz w:val="21"/>
                <w:szCs w:val="21"/>
                <w:lang w:eastAsia="zh-CN"/>
                <w14:textFill>
                  <w14:solidFill>
                    <w14:schemeClr w14:val="tx1"/>
                  </w14:solidFill>
                </w14:textFill>
              </w:rPr>
              <w:t>）</w:t>
            </w:r>
          </w:p>
        </w:tc>
        <w:tc>
          <w:tcPr>
            <w:tcW w:w="675" w:type="pct"/>
            <w:tcBorders>
              <w:tl2br w:val="nil"/>
              <w:tr2bl w:val="nil"/>
            </w:tcBorders>
            <w:vAlign w:val="center"/>
          </w:tcPr>
          <w:p w14:paraId="5D7C5ACD">
            <w:pPr>
              <w:pStyle w:val="143"/>
              <w:widowControl w:val="0"/>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作用</w:t>
            </w:r>
          </w:p>
        </w:tc>
        <w:tc>
          <w:tcPr>
            <w:tcW w:w="1501" w:type="pct"/>
            <w:tcBorders>
              <w:tl2br w:val="nil"/>
              <w:tr2bl w:val="nil"/>
            </w:tcBorders>
            <w:vAlign w:val="center"/>
          </w:tcPr>
          <w:p w14:paraId="06B44883">
            <w:pPr>
              <w:pStyle w:val="143"/>
              <w:widowControl w:val="0"/>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转运去向</w:t>
            </w:r>
          </w:p>
        </w:tc>
      </w:tr>
      <w:tr w14:paraId="6B3C4B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8" w:type="pct"/>
            <w:vMerge w:val="restart"/>
            <w:tcBorders>
              <w:tl2br w:val="nil"/>
              <w:tr2bl w:val="nil"/>
            </w:tcBorders>
            <w:vAlign w:val="center"/>
          </w:tcPr>
          <w:p w14:paraId="56E46990">
            <w:pPr>
              <w:pStyle w:val="143"/>
              <w:widowControl w:val="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第一级防控</w:t>
            </w:r>
          </w:p>
        </w:tc>
        <w:tc>
          <w:tcPr>
            <w:tcW w:w="1526" w:type="pct"/>
            <w:tcBorders>
              <w:tl2br w:val="nil"/>
              <w:tr2bl w:val="nil"/>
            </w:tcBorders>
            <w:vAlign w:val="center"/>
          </w:tcPr>
          <w:p w14:paraId="13B29C85">
            <w:pPr>
              <w:pStyle w:val="143"/>
              <w:widowControl w:val="0"/>
              <w:rPr>
                <w:color w:val="000000" w:themeColor="text1"/>
                <w:sz w:val="21"/>
                <w:szCs w:val="21"/>
                <w14:textFill>
                  <w14:solidFill>
                    <w14:schemeClr w14:val="tx1"/>
                  </w14:solidFill>
                </w14:textFill>
              </w:rPr>
            </w:pPr>
            <w:r>
              <w:rPr>
                <w:rFonts w:hint="eastAsia"/>
                <w:color w:val="000000" w:themeColor="text1"/>
                <w:sz w:val="21"/>
                <w:szCs w:val="21"/>
                <w:lang w:eastAsia="zh-CN"/>
                <w14:textFill>
                  <w14:solidFill>
                    <w14:schemeClr w14:val="tx1"/>
                  </w14:solidFill>
                </w14:textFill>
              </w:rPr>
              <w:t>企业</w:t>
            </w:r>
            <w:r>
              <w:rPr>
                <w:color w:val="000000" w:themeColor="text1"/>
                <w:sz w:val="21"/>
                <w:szCs w:val="21"/>
                <w14:textFill>
                  <w14:solidFill>
                    <w14:schemeClr w14:val="tx1"/>
                  </w14:solidFill>
                </w14:textFill>
              </w:rPr>
              <w:t>雨水闸</w:t>
            </w:r>
          </w:p>
        </w:tc>
        <w:tc>
          <w:tcPr>
            <w:tcW w:w="830" w:type="pct"/>
            <w:tcBorders>
              <w:tl2br w:val="nil"/>
              <w:tr2bl w:val="nil"/>
            </w:tcBorders>
            <w:vAlign w:val="center"/>
          </w:tcPr>
          <w:p w14:paraId="462B60AD">
            <w:pPr>
              <w:pStyle w:val="143"/>
              <w:widowControl w:val="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675" w:type="pct"/>
            <w:tcBorders>
              <w:tl2br w:val="nil"/>
              <w:tr2bl w:val="nil"/>
            </w:tcBorders>
            <w:vAlign w:val="center"/>
          </w:tcPr>
          <w:p w14:paraId="092895D5">
            <w:pPr>
              <w:pStyle w:val="143"/>
              <w:widowControl w:val="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污染截断</w:t>
            </w:r>
          </w:p>
        </w:tc>
        <w:tc>
          <w:tcPr>
            <w:tcW w:w="1501" w:type="pct"/>
            <w:vMerge w:val="restart"/>
            <w:tcBorders>
              <w:tl2br w:val="nil"/>
              <w:tr2bl w:val="nil"/>
            </w:tcBorders>
            <w:vAlign w:val="center"/>
          </w:tcPr>
          <w:p w14:paraId="7508BCB4">
            <w:pPr>
              <w:pStyle w:val="143"/>
              <w:widowControl w:val="0"/>
              <w:rPr>
                <w:color w:val="000000" w:themeColor="text1"/>
                <w:sz w:val="21"/>
                <w:szCs w:val="21"/>
                <w:lang w:eastAsia="zh-CN"/>
                <w14:textFill>
                  <w14:solidFill>
                    <w14:schemeClr w14:val="tx1"/>
                  </w14:solidFill>
                </w14:textFill>
              </w:rPr>
            </w:pPr>
            <w:r>
              <w:rPr>
                <w:color w:val="000000" w:themeColor="text1"/>
                <w:sz w:val="21"/>
                <w:szCs w:val="21"/>
                <w:lang w:eastAsia="zh-CN"/>
                <w14:textFill>
                  <w14:solidFill>
                    <w14:schemeClr w14:val="tx1"/>
                  </w14:solidFill>
                </w14:textFill>
              </w:rPr>
              <w:t>围堰</w:t>
            </w:r>
            <w:r>
              <w:rPr>
                <w:rFonts w:hint="eastAsia"/>
                <w:color w:val="000000" w:themeColor="text1"/>
                <w:sz w:val="21"/>
                <w:szCs w:val="21"/>
                <w:lang w:eastAsia="zh-CN"/>
                <w14:textFill>
                  <w14:solidFill>
                    <w14:schemeClr w14:val="tx1"/>
                  </w14:solidFill>
                </w14:textFill>
              </w:rPr>
              <w:t>+导流沟</w:t>
            </w:r>
            <w:r>
              <w:rPr>
                <w:color w:val="000000" w:themeColor="text1"/>
                <w:sz w:val="21"/>
                <w:szCs w:val="21"/>
                <w:lang w:eastAsia="zh-CN"/>
                <w14:textFill>
                  <w14:solidFill>
                    <w14:schemeClr w14:val="tx1"/>
                  </w14:solidFill>
                </w14:textFill>
              </w:rPr>
              <w:t>→初期雨水池/事故池→园区污水管网→园区事故池</w:t>
            </w:r>
          </w:p>
        </w:tc>
      </w:tr>
      <w:tr w14:paraId="1BDBF4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8" w:type="pct"/>
            <w:vMerge w:val="continue"/>
            <w:tcBorders>
              <w:tl2br w:val="nil"/>
              <w:tr2bl w:val="nil"/>
            </w:tcBorders>
            <w:vAlign w:val="center"/>
          </w:tcPr>
          <w:p w14:paraId="032F7F6B">
            <w:pPr>
              <w:pStyle w:val="143"/>
              <w:widowControl w:val="0"/>
              <w:rPr>
                <w:color w:val="000000" w:themeColor="text1"/>
                <w:sz w:val="21"/>
                <w:szCs w:val="21"/>
                <w:lang w:eastAsia="zh-CN"/>
                <w14:textFill>
                  <w14:solidFill>
                    <w14:schemeClr w14:val="tx1"/>
                  </w14:solidFill>
                </w14:textFill>
              </w:rPr>
            </w:pPr>
          </w:p>
        </w:tc>
        <w:tc>
          <w:tcPr>
            <w:tcW w:w="1526" w:type="pct"/>
            <w:tcBorders>
              <w:tl2br w:val="nil"/>
              <w:tr2bl w:val="nil"/>
            </w:tcBorders>
            <w:vAlign w:val="center"/>
          </w:tcPr>
          <w:p w14:paraId="5037EA70">
            <w:pPr>
              <w:pStyle w:val="143"/>
              <w:widowControl w:val="0"/>
              <w:rPr>
                <w:color w:val="000000" w:themeColor="text1"/>
                <w:sz w:val="21"/>
                <w:szCs w:val="21"/>
                <w14:textFill>
                  <w14:solidFill>
                    <w14:schemeClr w14:val="tx1"/>
                  </w14:solidFill>
                </w14:textFill>
              </w:rPr>
            </w:pPr>
            <w:r>
              <w:rPr>
                <w:rFonts w:hint="eastAsia"/>
                <w:color w:val="000000" w:themeColor="text1"/>
                <w:sz w:val="21"/>
                <w:szCs w:val="21"/>
                <w:lang w:eastAsia="zh-CN"/>
                <w14:textFill>
                  <w14:solidFill>
                    <w14:schemeClr w14:val="tx1"/>
                  </w14:solidFill>
                </w14:textFill>
              </w:rPr>
              <w:t>企业</w:t>
            </w:r>
            <w:r>
              <w:rPr>
                <w:color w:val="000000" w:themeColor="text1"/>
                <w:sz w:val="21"/>
                <w:szCs w:val="21"/>
                <w14:textFill>
                  <w14:solidFill>
                    <w14:schemeClr w14:val="tx1"/>
                  </w14:solidFill>
                </w14:textFill>
              </w:rPr>
              <w:t>初期雨水池</w:t>
            </w:r>
          </w:p>
        </w:tc>
        <w:tc>
          <w:tcPr>
            <w:tcW w:w="830" w:type="pct"/>
            <w:tcBorders>
              <w:tl2br w:val="nil"/>
              <w:tr2bl w:val="nil"/>
            </w:tcBorders>
            <w:vAlign w:val="center"/>
          </w:tcPr>
          <w:p w14:paraId="0C2997DF">
            <w:pPr>
              <w:pStyle w:val="143"/>
              <w:widowControl/>
              <w:rPr>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426.9</w:t>
            </w:r>
          </w:p>
        </w:tc>
        <w:tc>
          <w:tcPr>
            <w:tcW w:w="675" w:type="pct"/>
            <w:tcBorders>
              <w:tl2br w:val="nil"/>
              <w:tr2bl w:val="nil"/>
            </w:tcBorders>
            <w:vAlign w:val="center"/>
          </w:tcPr>
          <w:p w14:paraId="32B3ED93">
            <w:pPr>
              <w:pStyle w:val="143"/>
              <w:widowControl w:val="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储存</w:t>
            </w:r>
          </w:p>
        </w:tc>
        <w:tc>
          <w:tcPr>
            <w:tcW w:w="1501" w:type="pct"/>
            <w:vMerge w:val="continue"/>
            <w:tcBorders>
              <w:tl2br w:val="nil"/>
              <w:tr2bl w:val="nil"/>
            </w:tcBorders>
            <w:vAlign w:val="center"/>
          </w:tcPr>
          <w:p w14:paraId="3BADF6A5">
            <w:pPr>
              <w:pStyle w:val="143"/>
              <w:widowControl w:val="0"/>
              <w:rPr>
                <w:color w:val="000000" w:themeColor="text1"/>
                <w:sz w:val="21"/>
                <w:szCs w:val="21"/>
                <w14:textFill>
                  <w14:solidFill>
                    <w14:schemeClr w14:val="tx1"/>
                  </w14:solidFill>
                </w14:textFill>
              </w:rPr>
            </w:pPr>
          </w:p>
        </w:tc>
      </w:tr>
      <w:tr w14:paraId="57C4D4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8" w:type="pct"/>
            <w:vMerge w:val="continue"/>
            <w:tcBorders>
              <w:tl2br w:val="nil"/>
              <w:tr2bl w:val="nil"/>
            </w:tcBorders>
            <w:vAlign w:val="center"/>
          </w:tcPr>
          <w:p w14:paraId="603BF2CD">
            <w:pPr>
              <w:pStyle w:val="143"/>
              <w:widowControl w:val="0"/>
              <w:rPr>
                <w:color w:val="000000" w:themeColor="text1"/>
                <w:sz w:val="21"/>
                <w:szCs w:val="21"/>
                <w14:textFill>
                  <w14:solidFill>
                    <w14:schemeClr w14:val="tx1"/>
                  </w14:solidFill>
                </w14:textFill>
              </w:rPr>
            </w:pPr>
          </w:p>
        </w:tc>
        <w:tc>
          <w:tcPr>
            <w:tcW w:w="1526" w:type="pct"/>
            <w:tcBorders>
              <w:tl2br w:val="nil"/>
              <w:tr2bl w:val="nil"/>
            </w:tcBorders>
            <w:vAlign w:val="center"/>
          </w:tcPr>
          <w:p w14:paraId="76DE8513">
            <w:pPr>
              <w:pStyle w:val="143"/>
              <w:widowControl w:val="0"/>
              <w:rPr>
                <w:color w:val="000000" w:themeColor="text1"/>
                <w:sz w:val="21"/>
                <w:szCs w:val="21"/>
                <w14:textFill>
                  <w14:solidFill>
                    <w14:schemeClr w14:val="tx1"/>
                  </w14:solidFill>
                </w14:textFill>
              </w:rPr>
            </w:pPr>
            <w:r>
              <w:rPr>
                <w:rFonts w:hint="eastAsia"/>
                <w:color w:val="000000" w:themeColor="text1"/>
                <w:sz w:val="21"/>
                <w:szCs w:val="21"/>
                <w:lang w:eastAsia="zh-CN"/>
                <w14:textFill>
                  <w14:solidFill>
                    <w14:schemeClr w14:val="tx1"/>
                  </w14:solidFill>
                </w14:textFill>
              </w:rPr>
              <w:t>企业</w:t>
            </w:r>
            <w:r>
              <w:rPr>
                <w:color w:val="000000" w:themeColor="text1"/>
                <w:sz w:val="21"/>
                <w:szCs w:val="21"/>
                <w14:textFill>
                  <w14:solidFill>
                    <w14:schemeClr w14:val="tx1"/>
                  </w14:solidFill>
                </w14:textFill>
              </w:rPr>
              <w:t>事故应急池</w:t>
            </w:r>
          </w:p>
        </w:tc>
        <w:tc>
          <w:tcPr>
            <w:tcW w:w="830" w:type="pct"/>
            <w:tcBorders>
              <w:tl2br w:val="nil"/>
              <w:tr2bl w:val="nil"/>
            </w:tcBorders>
            <w:vAlign w:val="center"/>
          </w:tcPr>
          <w:p w14:paraId="51A42B9A">
            <w:pPr>
              <w:pStyle w:val="143"/>
              <w:widowControl/>
              <w:rPr>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672.3</w:t>
            </w:r>
          </w:p>
        </w:tc>
        <w:tc>
          <w:tcPr>
            <w:tcW w:w="675" w:type="pct"/>
            <w:tcBorders>
              <w:tl2br w:val="nil"/>
              <w:tr2bl w:val="nil"/>
            </w:tcBorders>
            <w:vAlign w:val="center"/>
          </w:tcPr>
          <w:p w14:paraId="22299CF9">
            <w:pPr>
              <w:pStyle w:val="143"/>
              <w:widowControl w:val="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储存</w:t>
            </w:r>
          </w:p>
        </w:tc>
        <w:tc>
          <w:tcPr>
            <w:tcW w:w="1501" w:type="pct"/>
            <w:vMerge w:val="continue"/>
            <w:tcBorders>
              <w:tl2br w:val="nil"/>
              <w:tr2bl w:val="nil"/>
            </w:tcBorders>
            <w:vAlign w:val="center"/>
          </w:tcPr>
          <w:p w14:paraId="3177B0C2">
            <w:pPr>
              <w:pStyle w:val="143"/>
              <w:widowControl w:val="0"/>
              <w:rPr>
                <w:color w:val="000000" w:themeColor="text1"/>
                <w:sz w:val="21"/>
                <w:szCs w:val="21"/>
                <w14:textFill>
                  <w14:solidFill>
                    <w14:schemeClr w14:val="tx1"/>
                  </w14:solidFill>
                </w14:textFill>
              </w:rPr>
            </w:pPr>
          </w:p>
        </w:tc>
      </w:tr>
      <w:tr w14:paraId="5038CB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468" w:type="pct"/>
            <w:vMerge w:val="restart"/>
            <w:tcBorders>
              <w:tl2br w:val="nil"/>
              <w:tr2bl w:val="nil"/>
            </w:tcBorders>
            <w:vAlign w:val="center"/>
          </w:tcPr>
          <w:p w14:paraId="3508AF53">
            <w:pPr>
              <w:pStyle w:val="143"/>
              <w:widowControl w:val="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第二级防控</w:t>
            </w:r>
          </w:p>
        </w:tc>
        <w:tc>
          <w:tcPr>
            <w:tcW w:w="1526" w:type="pct"/>
            <w:tcBorders>
              <w:tl2br w:val="nil"/>
              <w:tr2bl w:val="nil"/>
            </w:tcBorders>
            <w:vAlign w:val="center"/>
          </w:tcPr>
          <w:p w14:paraId="293AD580">
            <w:pPr>
              <w:pStyle w:val="143"/>
              <w:widowControl w:val="0"/>
              <w:rPr>
                <w:color w:val="000000" w:themeColor="text1"/>
                <w:sz w:val="21"/>
                <w:szCs w:val="21"/>
                <w:lang w:eastAsia="zh-CN"/>
                <w14:textFill>
                  <w14:solidFill>
                    <w14:schemeClr w14:val="tx1"/>
                  </w14:solidFill>
                </w14:textFill>
              </w:rPr>
            </w:pPr>
            <w:r>
              <w:rPr>
                <w:color w:val="000000" w:themeColor="text1"/>
                <w:sz w:val="21"/>
                <w:szCs w:val="21"/>
                <w:lang w:eastAsia="zh-CN"/>
                <w14:textFill>
                  <w14:solidFill>
                    <w14:schemeClr w14:val="tx1"/>
                  </w14:solidFill>
                </w14:textFill>
              </w:rPr>
              <w:t>临时封堵点</w:t>
            </w:r>
          </w:p>
        </w:tc>
        <w:tc>
          <w:tcPr>
            <w:tcW w:w="830" w:type="pct"/>
            <w:tcBorders>
              <w:tl2br w:val="nil"/>
              <w:tr2bl w:val="nil"/>
            </w:tcBorders>
            <w:vAlign w:val="center"/>
          </w:tcPr>
          <w:p w14:paraId="511D5AE1">
            <w:pPr>
              <w:pStyle w:val="143"/>
              <w:widowControl w:val="0"/>
              <w:rPr>
                <w:color w:val="000000" w:themeColor="text1"/>
                <w:sz w:val="21"/>
                <w:szCs w:val="21"/>
                <w:lang w:eastAsia="zh-CN"/>
                <w14:textFill>
                  <w14:solidFill>
                    <w14:schemeClr w14:val="tx1"/>
                  </w14:solidFill>
                </w14:textFill>
              </w:rPr>
            </w:pPr>
            <w:r>
              <w:rPr>
                <w:color w:val="000000" w:themeColor="text1"/>
                <w:sz w:val="21"/>
                <w:szCs w:val="21"/>
                <w14:textFill>
                  <w14:solidFill>
                    <w14:schemeClr w14:val="tx1"/>
                  </w14:solidFill>
                </w14:textFill>
              </w:rPr>
              <w:t>/</w:t>
            </w:r>
          </w:p>
        </w:tc>
        <w:tc>
          <w:tcPr>
            <w:tcW w:w="675" w:type="pct"/>
            <w:tcBorders>
              <w:tl2br w:val="nil"/>
              <w:tr2bl w:val="nil"/>
            </w:tcBorders>
            <w:vAlign w:val="center"/>
          </w:tcPr>
          <w:p w14:paraId="6E34393C">
            <w:pPr>
              <w:pStyle w:val="143"/>
              <w:widowControl w:val="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污染截断</w:t>
            </w:r>
          </w:p>
        </w:tc>
        <w:tc>
          <w:tcPr>
            <w:tcW w:w="1501" w:type="pct"/>
            <w:vMerge w:val="restart"/>
            <w:tcBorders>
              <w:tl2br w:val="nil"/>
              <w:tr2bl w:val="nil"/>
            </w:tcBorders>
            <w:vAlign w:val="center"/>
          </w:tcPr>
          <w:p w14:paraId="6484A848">
            <w:pPr>
              <w:pStyle w:val="143"/>
              <w:widowControl w:val="0"/>
              <w:rPr>
                <w:color w:val="000000" w:themeColor="text1"/>
                <w:sz w:val="21"/>
                <w:szCs w:val="21"/>
                <w:lang w:eastAsia="zh-CN"/>
                <w14:textFill>
                  <w14:solidFill>
                    <w14:schemeClr w14:val="tx1"/>
                  </w14:solidFill>
                </w14:textFill>
              </w:rPr>
            </w:pPr>
            <w:r>
              <w:rPr>
                <w:color w:val="000000" w:themeColor="text1"/>
                <w:sz w:val="21"/>
                <w:szCs w:val="21"/>
                <w:lang w:eastAsia="zh-CN"/>
                <w14:textFill>
                  <w14:solidFill>
                    <w14:schemeClr w14:val="tx1"/>
                  </w14:solidFill>
                </w14:textFill>
              </w:rPr>
              <w:t>雨水管网→临时水泵+临时管道→园区污水管网→园区事故池</w:t>
            </w:r>
          </w:p>
        </w:tc>
      </w:tr>
      <w:tr w14:paraId="1E4E44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8" w:type="pct"/>
            <w:vMerge w:val="continue"/>
            <w:tcBorders>
              <w:tl2br w:val="nil"/>
              <w:tr2bl w:val="nil"/>
            </w:tcBorders>
            <w:vAlign w:val="center"/>
          </w:tcPr>
          <w:p w14:paraId="2DD6F183">
            <w:pPr>
              <w:pStyle w:val="143"/>
              <w:widowControl w:val="0"/>
              <w:rPr>
                <w:color w:val="000000" w:themeColor="text1"/>
                <w:sz w:val="21"/>
                <w:szCs w:val="21"/>
                <w:lang w:eastAsia="zh-CN"/>
                <w14:textFill>
                  <w14:solidFill>
                    <w14:schemeClr w14:val="tx1"/>
                  </w14:solidFill>
                </w14:textFill>
              </w:rPr>
            </w:pPr>
          </w:p>
        </w:tc>
        <w:tc>
          <w:tcPr>
            <w:tcW w:w="1526" w:type="pct"/>
            <w:tcBorders>
              <w:tl2br w:val="nil"/>
              <w:tr2bl w:val="nil"/>
            </w:tcBorders>
            <w:vAlign w:val="center"/>
          </w:tcPr>
          <w:p w14:paraId="29FBED9B">
            <w:pPr>
              <w:pStyle w:val="143"/>
              <w:widowControl w:val="0"/>
              <w:rPr>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开源大道雨水排放分区管道</w:t>
            </w:r>
          </w:p>
        </w:tc>
        <w:tc>
          <w:tcPr>
            <w:tcW w:w="830" w:type="pct"/>
            <w:tcBorders>
              <w:tl2br w:val="nil"/>
              <w:tr2bl w:val="nil"/>
            </w:tcBorders>
            <w:vAlign w:val="center"/>
          </w:tcPr>
          <w:p w14:paraId="40D723EF">
            <w:pPr>
              <w:pStyle w:val="143"/>
              <w:widowControl w:val="0"/>
              <w:rPr>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30000</w:t>
            </w:r>
          </w:p>
        </w:tc>
        <w:tc>
          <w:tcPr>
            <w:tcW w:w="675" w:type="pct"/>
            <w:tcBorders>
              <w:tl2br w:val="nil"/>
              <w:tr2bl w:val="nil"/>
            </w:tcBorders>
            <w:vAlign w:val="center"/>
          </w:tcPr>
          <w:p w14:paraId="188A4C63">
            <w:pPr>
              <w:pStyle w:val="143"/>
              <w:widowControl w:val="0"/>
              <w:rPr>
                <w:color w:val="000000" w:themeColor="text1"/>
                <w:sz w:val="21"/>
                <w:szCs w:val="21"/>
                <w:lang w:eastAsia="zh-CN"/>
                <w14:textFill>
                  <w14:solidFill>
                    <w14:schemeClr w14:val="tx1"/>
                  </w14:solidFill>
                </w14:textFill>
              </w:rPr>
            </w:pPr>
            <w:r>
              <w:rPr>
                <w:color w:val="000000" w:themeColor="text1"/>
                <w:sz w:val="21"/>
                <w:szCs w:val="21"/>
                <w14:textFill>
                  <w14:solidFill>
                    <w14:schemeClr w14:val="tx1"/>
                  </w14:solidFill>
                </w14:textFill>
              </w:rPr>
              <w:t>储存</w:t>
            </w:r>
            <w:r>
              <w:rPr>
                <w:rFonts w:hint="eastAsia"/>
                <w:color w:val="000000" w:themeColor="text1"/>
                <w:sz w:val="21"/>
                <w:szCs w:val="21"/>
                <w:lang w:eastAsia="zh-CN"/>
                <w14:textFill>
                  <w14:solidFill>
                    <w14:schemeClr w14:val="tx1"/>
                  </w14:solidFill>
                </w14:textFill>
              </w:rPr>
              <w:t>、输送</w:t>
            </w:r>
          </w:p>
        </w:tc>
        <w:tc>
          <w:tcPr>
            <w:tcW w:w="1501" w:type="pct"/>
            <w:vMerge w:val="continue"/>
            <w:tcBorders>
              <w:tl2br w:val="nil"/>
              <w:tr2bl w:val="nil"/>
            </w:tcBorders>
            <w:vAlign w:val="center"/>
          </w:tcPr>
          <w:p w14:paraId="0CA12D29">
            <w:pPr>
              <w:pStyle w:val="143"/>
              <w:widowControl w:val="0"/>
              <w:rPr>
                <w:color w:val="000000" w:themeColor="text1"/>
                <w:sz w:val="21"/>
                <w:szCs w:val="21"/>
                <w14:textFill>
                  <w14:solidFill>
                    <w14:schemeClr w14:val="tx1"/>
                  </w14:solidFill>
                </w14:textFill>
              </w:rPr>
            </w:pPr>
          </w:p>
        </w:tc>
      </w:tr>
      <w:tr w14:paraId="7F1465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8" w:type="pct"/>
            <w:vMerge w:val="continue"/>
            <w:tcBorders>
              <w:tl2br w:val="nil"/>
              <w:tr2bl w:val="nil"/>
            </w:tcBorders>
            <w:vAlign w:val="center"/>
          </w:tcPr>
          <w:p w14:paraId="3BA2FA56">
            <w:pPr>
              <w:pStyle w:val="143"/>
              <w:widowControl w:val="0"/>
              <w:rPr>
                <w:color w:val="000000" w:themeColor="text1"/>
                <w:sz w:val="21"/>
                <w:szCs w:val="21"/>
                <w14:textFill>
                  <w14:solidFill>
                    <w14:schemeClr w14:val="tx1"/>
                  </w14:solidFill>
                </w14:textFill>
              </w:rPr>
            </w:pPr>
          </w:p>
        </w:tc>
        <w:tc>
          <w:tcPr>
            <w:tcW w:w="1526" w:type="pct"/>
            <w:tcBorders>
              <w:tl2br w:val="nil"/>
              <w:tr2bl w:val="nil"/>
            </w:tcBorders>
            <w:vAlign w:val="center"/>
          </w:tcPr>
          <w:p w14:paraId="766A83B0">
            <w:pPr>
              <w:pStyle w:val="143"/>
              <w:widowControl w:val="0"/>
              <w:rPr>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开源大道雨水排口闸阀</w:t>
            </w:r>
          </w:p>
        </w:tc>
        <w:tc>
          <w:tcPr>
            <w:tcW w:w="830" w:type="pct"/>
            <w:tcBorders>
              <w:tl2br w:val="nil"/>
              <w:tr2bl w:val="nil"/>
            </w:tcBorders>
            <w:vAlign w:val="center"/>
          </w:tcPr>
          <w:p w14:paraId="6F4AFDF5">
            <w:pPr>
              <w:pStyle w:val="143"/>
              <w:widowControl w:val="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675" w:type="pct"/>
            <w:tcBorders>
              <w:tl2br w:val="nil"/>
              <w:tr2bl w:val="nil"/>
            </w:tcBorders>
            <w:vAlign w:val="center"/>
          </w:tcPr>
          <w:p w14:paraId="2AFD8622">
            <w:pPr>
              <w:pStyle w:val="143"/>
              <w:widowControl w:val="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污染截断</w:t>
            </w:r>
          </w:p>
        </w:tc>
        <w:tc>
          <w:tcPr>
            <w:tcW w:w="1501" w:type="pct"/>
            <w:vMerge w:val="continue"/>
            <w:tcBorders>
              <w:tl2br w:val="nil"/>
              <w:tr2bl w:val="nil"/>
            </w:tcBorders>
            <w:vAlign w:val="center"/>
          </w:tcPr>
          <w:p w14:paraId="5B0F9001">
            <w:pPr>
              <w:pStyle w:val="143"/>
              <w:widowControl w:val="0"/>
              <w:rPr>
                <w:color w:val="000000" w:themeColor="text1"/>
                <w:sz w:val="21"/>
                <w:szCs w:val="21"/>
                <w14:textFill>
                  <w14:solidFill>
                    <w14:schemeClr w14:val="tx1"/>
                  </w14:solidFill>
                </w14:textFill>
              </w:rPr>
            </w:pPr>
          </w:p>
        </w:tc>
      </w:tr>
      <w:tr w14:paraId="478E60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468" w:type="pct"/>
            <w:vMerge w:val="continue"/>
            <w:tcBorders>
              <w:tl2br w:val="nil"/>
              <w:tr2bl w:val="nil"/>
            </w:tcBorders>
            <w:vAlign w:val="center"/>
          </w:tcPr>
          <w:p w14:paraId="4C8327F6">
            <w:pPr>
              <w:pStyle w:val="143"/>
              <w:widowControl w:val="0"/>
              <w:rPr>
                <w:color w:val="000000" w:themeColor="text1"/>
                <w:sz w:val="21"/>
                <w:szCs w:val="21"/>
                <w14:textFill>
                  <w14:solidFill>
                    <w14:schemeClr w14:val="tx1"/>
                  </w14:solidFill>
                </w14:textFill>
              </w:rPr>
            </w:pPr>
          </w:p>
        </w:tc>
        <w:tc>
          <w:tcPr>
            <w:tcW w:w="1526" w:type="pct"/>
            <w:tcBorders>
              <w:tl2br w:val="nil"/>
              <w:tr2bl w:val="nil"/>
            </w:tcBorders>
            <w:vAlign w:val="center"/>
          </w:tcPr>
          <w:p w14:paraId="5EA0F8D5">
            <w:pPr>
              <w:pStyle w:val="143"/>
              <w:widowControl w:val="0"/>
              <w:rPr>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污水处理厂</w:t>
            </w:r>
            <w:r>
              <w:rPr>
                <w:color w:val="000000" w:themeColor="text1"/>
                <w:sz w:val="21"/>
                <w:szCs w:val="21"/>
                <w:lang w:eastAsia="zh-CN"/>
                <w14:textFill>
                  <w14:solidFill>
                    <w14:schemeClr w14:val="tx1"/>
                  </w14:solidFill>
                </w14:textFill>
              </w:rPr>
              <w:t>公共事故池</w:t>
            </w:r>
          </w:p>
        </w:tc>
        <w:tc>
          <w:tcPr>
            <w:tcW w:w="830" w:type="pct"/>
            <w:tcBorders>
              <w:tl2br w:val="nil"/>
              <w:tr2bl w:val="nil"/>
            </w:tcBorders>
            <w:vAlign w:val="center"/>
          </w:tcPr>
          <w:p w14:paraId="6076F5DE">
            <w:pPr>
              <w:pStyle w:val="143"/>
              <w:widowControl w:val="0"/>
              <w:rPr>
                <w:color w:val="000000" w:themeColor="text1"/>
                <w:sz w:val="21"/>
                <w:szCs w:val="21"/>
                <w14:textFill>
                  <w14:solidFill>
                    <w14:schemeClr w14:val="tx1"/>
                  </w14:solidFill>
                </w14:textFill>
              </w:rPr>
            </w:pPr>
            <w:r>
              <w:rPr>
                <w:rFonts w:hint="eastAsia"/>
                <w:color w:val="000000" w:themeColor="text1"/>
                <w:sz w:val="21"/>
                <w:szCs w:val="21"/>
                <w:lang w:eastAsia="zh-CN"/>
                <w14:textFill>
                  <w14:solidFill>
                    <w14:schemeClr w14:val="tx1"/>
                  </w14:solidFill>
                </w14:textFill>
              </w:rPr>
              <w:t>20</w:t>
            </w:r>
            <w:r>
              <w:rPr>
                <w:color w:val="000000" w:themeColor="text1"/>
                <w:sz w:val="21"/>
                <w:szCs w:val="21"/>
                <w14:textFill>
                  <w14:solidFill>
                    <w14:schemeClr w14:val="tx1"/>
                  </w14:solidFill>
                </w14:textFill>
              </w:rPr>
              <w:t>000</w:t>
            </w:r>
          </w:p>
        </w:tc>
        <w:tc>
          <w:tcPr>
            <w:tcW w:w="675" w:type="pct"/>
            <w:tcBorders>
              <w:tl2br w:val="nil"/>
              <w:tr2bl w:val="nil"/>
            </w:tcBorders>
            <w:vAlign w:val="center"/>
          </w:tcPr>
          <w:p w14:paraId="4EC33478">
            <w:pPr>
              <w:pStyle w:val="143"/>
              <w:widowControl w:val="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储存</w:t>
            </w:r>
          </w:p>
        </w:tc>
        <w:tc>
          <w:tcPr>
            <w:tcW w:w="1501" w:type="pct"/>
            <w:vMerge w:val="continue"/>
            <w:tcBorders>
              <w:tl2br w:val="nil"/>
              <w:tr2bl w:val="nil"/>
            </w:tcBorders>
            <w:vAlign w:val="center"/>
          </w:tcPr>
          <w:p w14:paraId="31C0ABDF">
            <w:pPr>
              <w:pStyle w:val="143"/>
              <w:widowControl w:val="0"/>
              <w:rPr>
                <w:color w:val="000000" w:themeColor="text1"/>
                <w:sz w:val="21"/>
                <w:szCs w:val="21"/>
                <w14:textFill>
                  <w14:solidFill>
                    <w14:schemeClr w14:val="tx1"/>
                  </w14:solidFill>
                </w14:textFill>
              </w:rPr>
            </w:pPr>
          </w:p>
        </w:tc>
      </w:tr>
      <w:tr w14:paraId="546361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8" w:type="pct"/>
            <w:vMerge w:val="continue"/>
            <w:tcBorders>
              <w:tl2br w:val="nil"/>
              <w:tr2bl w:val="nil"/>
            </w:tcBorders>
            <w:vAlign w:val="center"/>
          </w:tcPr>
          <w:p w14:paraId="3C1539D1">
            <w:pPr>
              <w:pStyle w:val="143"/>
              <w:widowControl w:val="0"/>
              <w:rPr>
                <w:color w:val="000000" w:themeColor="text1"/>
                <w:sz w:val="21"/>
                <w:szCs w:val="21"/>
                <w14:textFill>
                  <w14:solidFill>
                    <w14:schemeClr w14:val="tx1"/>
                  </w14:solidFill>
                </w14:textFill>
              </w:rPr>
            </w:pPr>
          </w:p>
        </w:tc>
        <w:tc>
          <w:tcPr>
            <w:tcW w:w="1526" w:type="pct"/>
            <w:tcBorders>
              <w:tl2br w:val="nil"/>
              <w:tr2bl w:val="nil"/>
            </w:tcBorders>
            <w:vAlign w:val="center"/>
          </w:tcPr>
          <w:p w14:paraId="1557DE12">
            <w:pPr>
              <w:pStyle w:val="143"/>
              <w:widowControl w:val="0"/>
              <w:rPr>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周边企业</w:t>
            </w:r>
            <w:r>
              <w:rPr>
                <w:color w:val="000000" w:themeColor="text1"/>
                <w:sz w:val="21"/>
                <w:szCs w:val="21"/>
                <w14:textFill>
                  <w14:solidFill>
                    <w14:schemeClr w14:val="tx1"/>
                  </w14:solidFill>
                </w14:textFill>
              </w:rPr>
              <w:t>事故应急池</w:t>
            </w:r>
          </w:p>
        </w:tc>
        <w:tc>
          <w:tcPr>
            <w:tcW w:w="830" w:type="pct"/>
            <w:tcBorders>
              <w:tl2br w:val="nil"/>
              <w:tr2bl w:val="nil"/>
            </w:tcBorders>
            <w:vAlign w:val="center"/>
          </w:tcPr>
          <w:p w14:paraId="66EF1587">
            <w:pPr>
              <w:pStyle w:val="143"/>
              <w:widowControl w:val="0"/>
              <w:rPr>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w:t>
            </w:r>
          </w:p>
        </w:tc>
        <w:tc>
          <w:tcPr>
            <w:tcW w:w="675" w:type="pct"/>
            <w:tcBorders>
              <w:tl2br w:val="nil"/>
              <w:tr2bl w:val="nil"/>
            </w:tcBorders>
            <w:vAlign w:val="center"/>
          </w:tcPr>
          <w:p w14:paraId="7D19D6B2">
            <w:pPr>
              <w:pStyle w:val="143"/>
              <w:widowControl w:val="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储存</w:t>
            </w:r>
          </w:p>
        </w:tc>
        <w:tc>
          <w:tcPr>
            <w:tcW w:w="1501" w:type="pct"/>
            <w:tcBorders>
              <w:tl2br w:val="nil"/>
              <w:tr2bl w:val="nil"/>
            </w:tcBorders>
            <w:vAlign w:val="center"/>
          </w:tcPr>
          <w:p w14:paraId="634E7820">
            <w:pPr>
              <w:pStyle w:val="143"/>
              <w:widowControl w:val="0"/>
              <w:rPr>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雨水管网→</w:t>
            </w:r>
            <w:r>
              <w:rPr>
                <w:color w:val="000000" w:themeColor="text1"/>
                <w:sz w:val="21"/>
                <w:szCs w:val="21"/>
                <w:lang w:eastAsia="zh-CN"/>
                <w14:textFill>
                  <w14:solidFill>
                    <w14:schemeClr w14:val="tx1"/>
                  </w14:solidFill>
                </w14:textFill>
              </w:rPr>
              <w:t>→</w:t>
            </w:r>
            <w:r>
              <w:rPr>
                <w:rFonts w:hint="eastAsia"/>
                <w:color w:val="000000" w:themeColor="text1"/>
                <w:sz w:val="21"/>
                <w:szCs w:val="21"/>
                <w:lang w:eastAsia="zh-CN"/>
                <w14:textFill>
                  <w14:solidFill>
                    <w14:schemeClr w14:val="tx1"/>
                  </w14:solidFill>
                </w14:textFill>
              </w:rPr>
              <w:t>临时管泵</w:t>
            </w:r>
            <w:r>
              <w:rPr>
                <w:color w:val="000000" w:themeColor="text1"/>
                <w:sz w:val="21"/>
                <w:szCs w:val="21"/>
                <w:lang w:eastAsia="zh-CN"/>
                <w14:textFill>
                  <w14:solidFill>
                    <w14:schemeClr w14:val="tx1"/>
                  </w14:solidFill>
                </w14:textFill>
              </w:rPr>
              <w:t>→园区污水管网</w:t>
            </w:r>
            <w:r>
              <w:rPr>
                <w:rFonts w:hint="eastAsia"/>
                <w:color w:val="000000" w:themeColor="text1"/>
                <w:sz w:val="21"/>
                <w:szCs w:val="21"/>
                <w:lang w:eastAsia="zh-CN"/>
                <w14:textFill>
                  <w14:solidFill>
                    <w14:schemeClr w14:val="tx1"/>
                  </w14:solidFill>
                </w14:textFill>
              </w:rPr>
              <w:t>→企业事故池</w:t>
            </w:r>
          </w:p>
        </w:tc>
      </w:tr>
      <w:tr w14:paraId="5C3976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8" w:type="pct"/>
            <w:vMerge w:val="restart"/>
            <w:tcBorders>
              <w:tl2br w:val="nil"/>
              <w:tr2bl w:val="nil"/>
            </w:tcBorders>
            <w:vAlign w:val="center"/>
          </w:tcPr>
          <w:p w14:paraId="039D91D4">
            <w:pPr>
              <w:pStyle w:val="143"/>
              <w:widowControl w:val="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第三级防控</w:t>
            </w:r>
          </w:p>
        </w:tc>
        <w:tc>
          <w:tcPr>
            <w:tcW w:w="1526" w:type="pct"/>
            <w:tcBorders>
              <w:tl2br w:val="nil"/>
              <w:tr2bl w:val="nil"/>
            </w:tcBorders>
            <w:vAlign w:val="center"/>
          </w:tcPr>
          <w:p w14:paraId="4EF035D3">
            <w:pPr>
              <w:pStyle w:val="143"/>
              <w:widowControl w:val="0"/>
              <w:rPr>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三铺大沟</w:t>
            </w:r>
          </w:p>
        </w:tc>
        <w:tc>
          <w:tcPr>
            <w:tcW w:w="830" w:type="pct"/>
            <w:tcBorders>
              <w:tl2br w:val="nil"/>
              <w:tr2bl w:val="nil"/>
            </w:tcBorders>
            <w:vAlign w:val="center"/>
          </w:tcPr>
          <w:p w14:paraId="704DC840">
            <w:pPr>
              <w:pStyle w:val="143"/>
              <w:widowControl w:val="0"/>
              <w:rPr>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120000</w:t>
            </w:r>
          </w:p>
        </w:tc>
        <w:tc>
          <w:tcPr>
            <w:tcW w:w="675" w:type="pct"/>
            <w:tcBorders>
              <w:tl2br w:val="nil"/>
              <w:tr2bl w:val="nil"/>
            </w:tcBorders>
            <w:vAlign w:val="center"/>
          </w:tcPr>
          <w:p w14:paraId="73082EF7">
            <w:pPr>
              <w:pStyle w:val="143"/>
              <w:widowControl w:val="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储存</w:t>
            </w:r>
          </w:p>
        </w:tc>
        <w:tc>
          <w:tcPr>
            <w:tcW w:w="1501" w:type="pct"/>
            <w:vMerge w:val="restart"/>
            <w:tcBorders>
              <w:tl2br w:val="nil"/>
              <w:tr2bl w:val="nil"/>
            </w:tcBorders>
            <w:vAlign w:val="center"/>
          </w:tcPr>
          <w:p w14:paraId="1BFEB357">
            <w:pPr>
              <w:pStyle w:val="143"/>
              <w:widowControl w:val="0"/>
              <w:rPr>
                <w:color w:val="000000" w:themeColor="text1"/>
                <w:sz w:val="21"/>
                <w:szCs w:val="21"/>
                <w:lang w:eastAsia="zh-CN"/>
                <w14:textFill>
                  <w14:solidFill>
                    <w14:schemeClr w14:val="tx1"/>
                  </w14:solidFill>
                </w14:textFill>
              </w:rPr>
            </w:pPr>
            <w:r>
              <w:rPr>
                <w:color w:val="000000" w:themeColor="text1"/>
                <w:sz w:val="21"/>
                <w:szCs w:val="21"/>
                <w:lang w:eastAsia="zh-CN"/>
                <w14:textFill>
                  <w14:solidFill>
                    <w14:schemeClr w14:val="tx1"/>
                  </w14:solidFill>
                </w14:textFill>
              </w:rPr>
              <w:t>方式1：</w:t>
            </w:r>
            <w:r>
              <w:rPr>
                <w:rFonts w:hint="eastAsia"/>
                <w:color w:val="000000" w:themeColor="text1"/>
                <w:sz w:val="21"/>
                <w:szCs w:val="21"/>
                <w:lang w:eastAsia="zh-CN"/>
                <w14:textFill>
                  <w14:solidFill>
                    <w14:schemeClr w14:val="tx1"/>
                  </w14:solidFill>
                </w14:textFill>
              </w:rPr>
              <w:t>沟渠</w:t>
            </w:r>
            <w:r>
              <w:rPr>
                <w:color w:val="000000" w:themeColor="text1"/>
                <w:sz w:val="21"/>
                <w:szCs w:val="21"/>
                <w:lang w:eastAsia="zh-CN"/>
                <w14:textFill>
                  <w14:solidFill>
                    <w14:schemeClr w14:val="tx1"/>
                  </w14:solidFill>
                </w14:textFill>
              </w:rPr>
              <w:t>→临时水泵+临时管道→园区污水厂或周边可依托企业污水站</w:t>
            </w:r>
          </w:p>
          <w:p w14:paraId="1532E2F4">
            <w:pPr>
              <w:pStyle w:val="143"/>
              <w:widowControl w:val="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方式2：原位处置</w:t>
            </w:r>
          </w:p>
        </w:tc>
      </w:tr>
      <w:tr w14:paraId="76570A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8" w:type="pct"/>
            <w:vMerge w:val="continue"/>
            <w:tcBorders>
              <w:tl2br w:val="nil"/>
              <w:tr2bl w:val="nil"/>
            </w:tcBorders>
            <w:vAlign w:val="center"/>
          </w:tcPr>
          <w:p w14:paraId="23716D51">
            <w:pPr>
              <w:pStyle w:val="143"/>
              <w:widowControl w:val="0"/>
              <w:rPr>
                <w:color w:val="000000" w:themeColor="text1"/>
                <w:sz w:val="21"/>
                <w:szCs w:val="21"/>
                <w14:textFill>
                  <w14:solidFill>
                    <w14:schemeClr w14:val="tx1"/>
                  </w14:solidFill>
                </w14:textFill>
              </w:rPr>
            </w:pPr>
          </w:p>
        </w:tc>
        <w:tc>
          <w:tcPr>
            <w:tcW w:w="1526" w:type="pct"/>
            <w:tcBorders>
              <w:tl2br w:val="nil"/>
              <w:tr2bl w:val="nil"/>
            </w:tcBorders>
            <w:vAlign w:val="center"/>
          </w:tcPr>
          <w:p w14:paraId="517B8B8D">
            <w:pPr>
              <w:pStyle w:val="143"/>
              <w:widowControl w:val="0"/>
              <w:rPr>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三铺大沟五蚌路拦截闸</w:t>
            </w:r>
          </w:p>
        </w:tc>
        <w:tc>
          <w:tcPr>
            <w:tcW w:w="830" w:type="pct"/>
            <w:tcBorders>
              <w:tl2br w:val="nil"/>
              <w:tr2bl w:val="nil"/>
            </w:tcBorders>
            <w:vAlign w:val="center"/>
          </w:tcPr>
          <w:p w14:paraId="0BA572DF">
            <w:pPr>
              <w:pStyle w:val="143"/>
              <w:widowControl w:val="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675" w:type="pct"/>
            <w:tcBorders>
              <w:tl2br w:val="nil"/>
              <w:tr2bl w:val="nil"/>
            </w:tcBorders>
            <w:vAlign w:val="center"/>
          </w:tcPr>
          <w:p w14:paraId="653495E6">
            <w:pPr>
              <w:pStyle w:val="143"/>
              <w:widowControl w:val="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污染截断</w:t>
            </w:r>
          </w:p>
        </w:tc>
        <w:tc>
          <w:tcPr>
            <w:tcW w:w="1501" w:type="pct"/>
            <w:vMerge w:val="continue"/>
            <w:tcBorders>
              <w:tl2br w:val="nil"/>
              <w:tr2bl w:val="nil"/>
            </w:tcBorders>
            <w:vAlign w:val="center"/>
          </w:tcPr>
          <w:p w14:paraId="2D677DEF">
            <w:pPr>
              <w:pStyle w:val="143"/>
              <w:widowControl w:val="0"/>
              <w:rPr>
                <w:color w:val="000000" w:themeColor="text1"/>
                <w:sz w:val="21"/>
                <w:szCs w:val="21"/>
                <w14:textFill>
                  <w14:solidFill>
                    <w14:schemeClr w14:val="tx1"/>
                  </w14:solidFill>
                </w14:textFill>
              </w:rPr>
            </w:pPr>
          </w:p>
        </w:tc>
      </w:tr>
      <w:tr w14:paraId="0D4898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8" w:type="pct"/>
            <w:vMerge w:val="continue"/>
            <w:tcBorders>
              <w:tl2br w:val="nil"/>
              <w:tr2bl w:val="nil"/>
            </w:tcBorders>
            <w:vAlign w:val="center"/>
          </w:tcPr>
          <w:p w14:paraId="0438A257">
            <w:pPr>
              <w:pStyle w:val="143"/>
              <w:widowControl w:val="0"/>
              <w:rPr>
                <w:color w:val="000000" w:themeColor="text1"/>
                <w:sz w:val="21"/>
                <w:szCs w:val="21"/>
                <w14:textFill>
                  <w14:solidFill>
                    <w14:schemeClr w14:val="tx1"/>
                  </w14:solidFill>
                </w14:textFill>
              </w:rPr>
            </w:pPr>
          </w:p>
        </w:tc>
        <w:tc>
          <w:tcPr>
            <w:tcW w:w="1526" w:type="pct"/>
            <w:tcBorders>
              <w:tl2br w:val="nil"/>
              <w:tr2bl w:val="nil"/>
            </w:tcBorders>
            <w:vAlign w:val="center"/>
          </w:tcPr>
          <w:p w14:paraId="0BB89EE1">
            <w:pPr>
              <w:pStyle w:val="143"/>
              <w:widowControl w:val="0"/>
              <w:rPr>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三铺大沟宁洛高速节制闸</w:t>
            </w:r>
          </w:p>
        </w:tc>
        <w:tc>
          <w:tcPr>
            <w:tcW w:w="830" w:type="pct"/>
            <w:tcBorders>
              <w:tl2br w:val="nil"/>
              <w:tr2bl w:val="nil"/>
            </w:tcBorders>
            <w:vAlign w:val="center"/>
          </w:tcPr>
          <w:p w14:paraId="44B3C4DA">
            <w:pPr>
              <w:pStyle w:val="143"/>
              <w:widowControl w:val="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675" w:type="pct"/>
            <w:tcBorders>
              <w:tl2br w:val="nil"/>
              <w:tr2bl w:val="nil"/>
            </w:tcBorders>
            <w:vAlign w:val="center"/>
          </w:tcPr>
          <w:p w14:paraId="3F93B1FE">
            <w:pPr>
              <w:pStyle w:val="143"/>
              <w:widowControl w:val="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污染截断</w:t>
            </w:r>
          </w:p>
        </w:tc>
        <w:tc>
          <w:tcPr>
            <w:tcW w:w="1501" w:type="pct"/>
            <w:vMerge w:val="continue"/>
            <w:tcBorders>
              <w:tl2br w:val="nil"/>
              <w:tr2bl w:val="nil"/>
            </w:tcBorders>
            <w:vAlign w:val="center"/>
          </w:tcPr>
          <w:p w14:paraId="20202C1A">
            <w:pPr>
              <w:pStyle w:val="143"/>
              <w:widowControl w:val="0"/>
              <w:rPr>
                <w:color w:val="000000" w:themeColor="text1"/>
                <w:sz w:val="21"/>
                <w:szCs w:val="21"/>
                <w14:textFill>
                  <w14:solidFill>
                    <w14:schemeClr w14:val="tx1"/>
                  </w14:solidFill>
                </w14:textFill>
              </w:rPr>
            </w:pPr>
          </w:p>
        </w:tc>
      </w:tr>
    </w:tbl>
    <w:p w14:paraId="79CC79F5">
      <w:pPr>
        <w:widowControl w:val="0"/>
        <w:spacing w:line="360" w:lineRule="auto"/>
        <w:ind w:firstLine="480" w:firstLineChars="200"/>
        <w:rPr>
          <w:rFonts w:ascii="Times New Roman" w:hAnsi="Times New Roman" w:cs="Times New Roman"/>
          <w:color w:val="000000" w:themeColor="text1"/>
          <w:lang w:eastAsia="zh-CN"/>
          <w14:textFill>
            <w14:solidFill>
              <w14:schemeClr w14:val="tx1"/>
            </w14:solidFill>
          </w14:textFill>
        </w:rPr>
      </w:pPr>
      <w:r>
        <w:rPr>
          <w:rFonts w:ascii="Times New Roman" w:hAnsi="Times New Roman" w:cs="Times New Roman"/>
          <w:color w:val="000000" w:themeColor="text1"/>
          <w:lang w:eastAsia="zh-CN"/>
          <w14:textFill>
            <w14:solidFill>
              <w14:schemeClr w14:val="tx1"/>
            </w14:solidFill>
          </w14:textFill>
        </w:rPr>
        <w:t>拟建项目事故状态下事故废水防控示意见图</w:t>
      </w:r>
      <w:r>
        <w:rPr>
          <w:rFonts w:hint="eastAsia" w:ascii="Times New Roman" w:hAnsi="Times New Roman" w:cs="Times New Roman"/>
          <w:color w:val="000000" w:themeColor="text1"/>
          <w:lang w:eastAsia="zh-CN"/>
          <w14:textFill>
            <w14:solidFill>
              <w14:schemeClr w14:val="tx1"/>
            </w14:solidFill>
          </w14:textFill>
        </w:rPr>
        <w:t>如下</w:t>
      </w:r>
      <w:r>
        <w:rPr>
          <w:rFonts w:ascii="Times New Roman" w:hAnsi="Times New Roman" w:cs="Times New Roman"/>
          <w:color w:val="000000" w:themeColor="text1"/>
          <w:lang w:eastAsia="zh-CN"/>
          <w14:textFill>
            <w14:solidFill>
              <w14:schemeClr w14:val="tx1"/>
            </w14:solidFill>
          </w14:textFill>
        </w:rPr>
        <w:t>所示。</w:t>
      </w:r>
    </w:p>
    <w:p w14:paraId="71D137AD">
      <w:pPr>
        <w:widowControl w:val="0"/>
        <w:spacing w:line="360" w:lineRule="auto"/>
        <w:jc w:val="center"/>
        <w:rPr>
          <w:rFonts w:ascii="Times New Roman" w:hAnsi="Times New Roman" w:cs="Times New Roman"/>
          <w:color w:val="auto"/>
          <w:lang w:eastAsia="zh-CN"/>
        </w:rPr>
      </w:pPr>
      <w:r>
        <w:drawing>
          <wp:inline distT="0" distB="0" distL="114300" distR="114300">
            <wp:extent cx="6123940" cy="4064000"/>
            <wp:effectExtent l="0" t="0" r="0" b="0"/>
            <wp:docPr id="13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6"/>
                    <pic:cNvPicPr>
                      <a:picLocks noChangeAspect="1"/>
                    </pic:cNvPicPr>
                  </pic:nvPicPr>
                  <pic:blipFill>
                    <a:blip r:embed="rId121"/>
                    <a:srcRect l="4211" t="2152" r="750" b="-1423"/>
                    <a:stretch>
                      <a:fillRect/>
                    </a:stretch>
                  </pic:blipFill>
                  <pic:spPr>
                    <a:xfrm>
                      <a:off x="0" y="0"/>
                      <a:ext cx="6138739" cy="4073742"/>
                    </a:xfrm>
                    <a:prstGeom prst="rect">
                      <a:avLst/>
                    </a:prstGeom>
                    <a:noFill/>
                    <a:ln>
                      <a:noFill/>
                    </a:ln>
                  </pic:spPr>
                </pic:pic>
              </a:graphicData>
            </a:graphic>
          </wp:inline>
        </w:drawing>
      </w:r>
    </w:p>
    <w:p w14:paraId="1F7DA777">
      <w:pPr>
        <w:pStyle w:val="42"/>
        <w:jc w:val="center"/>
        <w:rPr>
          <w:b/>
          <w:bCs/>
          <w:color w:val="auto"/>
        </w:rPr>
      </w:pPr>
      <w:bookmarkStart w:id="2158" w:name="_Toc2342"/>
      <w:r>
        <w:rPr>
          <w:b/>
          <w:bCs/>
          <w:color w:val="auto"/>
        </w:rPr>
        <w:t>图7.</w:t>
      </w:r>
      <w:r>
        <w:rPr>
          <w:rFonts w:hint="eastAsia"/>
          <w:b/>
          <w:bCs/>
          <w:color w:val="auto"/>
        </w:rPr>
        <w:t>9</w:t>
      </w:r>
      <w:r>
        <w:rPr>
          <w:b/>
          <w:bCs/>
          <w:color w:val="auto"/>
        </w:rPr>
        <w:t>-</w:t>
      </w:r>
      <w:r>
        <w:rPr>
          <w:rFonts w:hint="eastAsia"/>
          <w:b/>
          <w:bCs/>
          <w:color w:val="auto"/>
        </w:rPr>
        <w:t>2</w:t>
      </w:r>
      <w:r>
        <w:rPr>
          <w:b/>
          <w:bCs/>
          <w:color w:val="auto"/>
        </w:rPr>
        <w:t xml:space="preserve"> </w:t>
      </w:r>
      <w:r>
        <w:rPr>
          <w:rFonts w:hint="eastAsia"/>
          <w:b/>
          <w:bCs/>
          <w:color w:val="auto"/>
        </w:rPr>
        <w:t>园区三级防控</w:t>
      </w:r>
      <w:r>
        <w:rPr>
          <w:b/>
          <w:bCs/>
          <w:color w:val="auto"/>
        </w:rPr>
        <w:t>防控示意图</w:t>
      </w:r>
    </w:p>
    <w:bookmarkEnd w:id="2158"/>
    <w:p w14:paraId="4AC12275">
      <w:pPr>
        <w:widowControl w:val="0"/>
        <w:spacing w:line="360" w:lineRule="auto"/>
        <w:ind w:firstLine="482"/>
        <w:outlineLvl w:val="3"/>
        <w:rPr>
          <w:rFonts w:ascii="Times New Roman" w:hAnsi="Times New Roman" w:cs="Times New Roman"/>
          <w:b/>
          <w:bCs/>
          <w:color w:val="auto"/>
          <w:lang w:eastAsia="zh-CN"/>
        </w:rPr>
      </w:pPr>
      <w:bookmarkStart w:id="2159" w:name="_Toc132283753"/>
      <w:bookmarkStart w:id="2160" w:name="_Toc11157933"/>
      <w:r>
        <w:rPr>
          <w:rFonts w:ascii="Times New Roman" w:hAnsi="Times New Roman" w:cs="Times New Roman"/>
          <w:b/>
          <w:bCs/>
          <w:color w:val="auto"/>
          <w:lang w:eastAsia="zh-CN"/>
        </w:rPr>
        <w:t>7.</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4</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3</w:t>
      </w:r>
      <w:r>
        <w:rPr>
          <w:rFonts w:ascii="Times New Roman" w:hAnsi="Times New Roman" w:cs="Times New Roman"/>
          <w:b/>
          <w:bCs/>
          <w:color w:val="auto"/>
          <w:lang w:eastAsia="zh-CN"/>
        </w:rPr>
        <w:t xml:space="preserve"> </w:t>
      </w:r>
      <w:r>
        <w:rPr>
          <w:rFonts w:hint="eastAsia" w:ascii="Times New Roman" w:hAnsi="Times New Roman" w:cs="Times New Roman"/>
          <w:b/>
          <w:bCs/>
          <w:color w:val="auto"/>
          <w:lang w:eastAsia="zh-CN"/>
        </w:rPr>
        <w:t>风险防范措施有效性</w:t>
      </w:r>
    </w:p>
    <w:p w14:paraId="0B9150A1">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项目火灾事故废水控制分级与事故废水应急池的具体设置情况及有效性分析如下：</w:t>
      </w:r>
    </w:p>
    <w:p w14:paraId="60CEF80B">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（1）一级防控</w:t>
      </w:r>
    </w:p>
    <w:p w14:paraId="7F0EA9BD">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A、生产装置区</w:t>
      </w:r>
    </w:p>
    <w:p w14:paraId="48C99DD7">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污染装置区雨水收集系统，该系统由排水沟、事故收集池和切换阀门、管线等组成，装置区内的事故雨水和后期雨水由切换阀门分别引入厂区初期雨水收集管线和雨水管线。收集后的初期雨水排入初期雨水池。</w:t>
      </w:r>
    </w:p>
    <w:p w14:paraId="79B9232F">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拟建项目暴雨状况下，厂区前15min初期雨水量约</w:t>
      </w:r>
      <w:r>
        <w:rPr>
          <w:rFonts w:hint="eastAsia" w:ascii="Times New Roman" w:hAnsi="Times New Roman" w:cs="Times New Roman"/>
          <w:color w:val="auto"/>
          <w:lang w:eastAsia="zh-CN"/>
        </w:rPr>
        <w:t>358.2</w:t>
      </w:r>
      <w:r>
        <w:rPr>
          <w:rFonts w:ascii="Times New Roman" w:hAnsi="Times New Roman" w:cs="Times New Roman"/>
          <w:color w:val="auto"/>
          <w:lang w:eastAsia="zh-CN"/>
        </w:rPr>
        <w:t>m</w:t>
      </w:r>
      <w:r>
        <w:rPr>
          <w:rFonts w:ascii="Times New Roman" w:hAnsi="Times New Roman" w:cs="Times New Roman"/>
          <w:color w:val="auto"/>
          <w:vertAlign w:val="superscript"/>
          <w:lang w:eastAsia="zh-CN"/>
        </w:rPr>
        <w:t>3</w:t>
      </w:r>
      <w:r>
        <w:rPr>
          <w:rFonts w:ascii="Times New Roman" w:hAnsi="Times New Roman" w:cs="Times New Roman"/>
          <w:color w:val="auto"/>
          <w:lang w:eastAsia="zh-CN"/>
        </w:rPr>
        <w:t>。本项目</w:t>
      </w:r>
      <w:r>
        <w:rPr>
          <w:rFonts w:hint="eastAsia" w:ascii="Times New Roman" w:hAnsi="Times New Roman" w:cs="Times New Roman"/>
          <w:color w:val="auto"/>
          <w:lang w:eastAsia="zh-CN"/>
        </w:rPr>
        <w:t>依托</w:t>
      </w:r>
      <w:r>
        <w:rPr>
          <w:rFonts w:ascii="Times New Roman" w:hAnsi="Times New Roman" w:cs="Times New Roman"/>
          <w:color w:val="auto"/>
          <w:lang w:eastAsia="zh-CN"/>
        </w:rPr>
        <w:t>1座</w:t>
      </w:r>
      <w:r>
        <w:rPr>
          <w:rFonts w:hint="eastAsia" w:ascii="Times New Roman" w:hAnsi="Times New Roman" w:cs="Times New Roman"/>
          <w:color w:val="auto"/>
          <w:lang w:eastAsia="zh-CN"/>
        </w:rPr>
        <w:t>426.9</w:t>
      </w:r>
      <w:r>
        <w:rPr>
          <w:rFonts w:ascii="Times New Roman" w:hAnsi="Times New Roman" w:cs="Times New Roman"/>
          <w:color w:val="auto"/>
          <w:lang w:eastAsia="zh-CN"/>
        </w:rPr>
        <w:t>m</w:t>
      </w:r>
      <w:r>
        <w:rPr>
          <w:rFonts w:ascii="Times New Roman" w:hAnsi="Times New Roman" w:cs="Times New Roman"/>
          <w:color w:val="auto"/>
          <w:vertAlign w:val="superscript"/>
          <w:lang w:eastAsia="zh-CN"/>
        </w:rPr>
        <w:t>3</w:t>
      </w:r>
      <w:r>
        <w:rPr>
          <w:rFonts w:ascii="Times New Roman" w:hAnsi="Times New Roman" w:cs="Times New Roman"/>
          <w:color w:val="auto"/>
          <w:lang w:eastAsia="zh-CN"/>
        </w:rPr>
        <w:t>初期雨水池，能够满足初期雨水收集要求。</w:t>
      </w:r>
    </w:p>
    <w:p w14:paraId="12B1FE02">
      <w:pPr>
        <w:widowControl w:val="0"/>
        <w:spacing w:line="360" w:lineRule="auto"/>
        <w:ind w:firstLine="480" w:firstLineChars="200"/>
        <w:jc w:val="both"/>
        <w:rPr>
          <w:rFonts w:ascii="Times New Roman" w:hAnsi="Times New Roman" w:cs="Times New Roman"/>
          <w:color w:val="000000" w:themeColor="text1"/>
          <w:lang w:eastAsia="zh-CN"/>
          <w14:textFill>
            <w14:solidFill>
              <w14:schemeClr w14:val="tx1"/>
            </w14:solidFill>
          </w14:textFill>
        </w:rPr>
      </w:pPr>
      <w:bookmarkStart w:id="2161" w:name="_Toc14660"/>
      <w:r>
        <w:rPr>
          <w:rFonts w:hint="eastAsia" w:ascii="Times New Roman" w:hAnsi="Times New Roman" w:cs="Times New Roman"/>
          <w:color w:val="000000" w:themeColor="text1"/>
          <w:lang w:eastAsia="zh-CN"/>
          <w14:textFill>
            <w14:solidFill>
              <w14:schemeClr w14:val="tx1"/>
            </w14:solidFill>
          </w14:textFill>
        </w:rPr>
        <w:t>B、</w:t>
      </w:r>
      <w:r>
        <w:rPr>
          <w:color w:val="000000" w:themeColor="text1"/>
          <w:lang w:eastAsia="zh-CN"/>
          <w14:textFill>
            <w14:solidFill>
              <w14:schemeClr w14:val="tx1"/>
            </w14:solidFill>
          </w14:textFill>
        </w:rPr>
        <w:t>罐区</w:t>
      </w:r>
    </w:p>
    <w:p w14:paraId="516A40BB">
      <w:pPr>
        <w:widowControl w:val="0"/>
        <w:spacing w:line="360" w:lineRule="auto"/>
        <w:ind w:firstLine="480" w:firstLineChars="200"/>
        <w:jc w:val="both"/>
        <w:rPr>
          <w:rFonts w:ascii="Times New Roman" w:hAnsi="Times New Roman" w:cs="Times New Roman"/>
          <w:color w:val="000000" w:themeColor="text1"/>
          <w:lang w:eastAsia="zh-CN"/>
          <w14:textFill>
            <w14:solidFill>
              <w14:schemeClr w14:val="tx1"/>
            </w14:solidFill>
          </w14:textFill>
        </w:rPr>
      </w:pPr>
      <w:r>
        <w:rPr>
          <w:rFonts w:ascii="Times New Roman" w:hAnsi="Times New Roman" w:cs="Times New Roman"/>
          <w:color w:val="000000" w:themeColor="text1"/>
          <w:lang w:eastAsia="zh-CN"/>
          <w14:textFill>
            <w14:solidFill>
              <w14:schemeClr w14:val="tx1"/>
            </w14:solidFill>
          </w14:textFill>
        </w:rPr>
        <w:t>罐区储罐全部采用露天布置，布置在罐区围堰内，围堰均进行防渗漏处理，管道穿越围堰处采用非燃烧材料严密封闭，在围堰内雨水沟穿越处，设置防止物料流出堤外的措施。围堰内设有排水沟，围堰外设有阀门井与围堰内排水沟相接，正常时阀门井内阀门打开，事故时阀门井内阀门关闭。易燃易爆及有毒有害物储存区的消防排水进入事故应急池。</w:t>
      </w:r>
    </w:p>
    <w:p w14:paraId="74423400">
      <w:pPr>
        <w:widowControl w:val="0"/>
        <w:spacing w:line="360" w:lineRule="auto"/>
        <w:ind w:firstLine="480" w:firstLineChars="200"/>
        <w:jc w:val="both"/>
        <w:rPr>
          <w:rFonts w:ascii="Times New Roman" w:hAnsi="Times New Roman" w:cs="Times New Roman"/>
          <w:color w:val="000000" w:themeColor="text1"/>
          <w:lang w:eastAsia="zh-CN"/>
          <w14:textFill>
            <w14:solidFill>
              <w14:schemeClr w14:val="tx1"/>
            </w14:solidFill>
          </w14:textFill>
        </w:rPr>
      </w:pPr>
      <w:r>
        <w:rPr>
          <w:rFonts w:ascii="Times New Roman" w:hAnsi="Times New Roman" w:cs="Times New Roman"/>
          <w:color w:val="000000" w:themeColor="text1"/>
          <w:lang w:eastAsia="zh-CN"/>
          <w14:textFill>
            <w14:solidFill>
              <w14:schemeClr w14:val="tx1"/>
            </w14:solidFill>
          </w14:textFill>
        </w:rPr>
        <w:t>罐组的围堰容积不应小于罐组内1个最大储罐的容积。发生一般事故时，围堰内容积能够作为消防事故污水的暂时应急缓冲池。本项目拟建罐区设置的围堰均可以满足事故状况下泄漏物料的储存要求。</w:t>
      </w:r>
    </w:p>
    <w:p w14:paraId="2AD1DDAF">
      <w:pPr>
        <w:spacing w:line="360" w:lineRule="auto"/>
        <w:ind w:firstLine="480" w:firstLineChars="200"/>
        <w:rPr>
          <w:rFonts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C、事故应急池及初期雨水池</w:t>
      </w:r>
    </w:p>
    <w:p w14:paraId="50325BD0">
      <w:pPr>
        <w:spacing w:line="360" w:lineRule="auto"/>
        <w:ind w:firstLine="480" w:firstLineChars="200"/>
        <w:rPr>
          <w:rFonts w:ascii="Times New Roman" w:hAnsi="Times New Roman" w:cs="Times New Roman"/>
          <w:color w:val="000000" w:themeColor="text1"/>
          <w:lang w:eastAsia="zh-CN"/>
          <w14:textFill>
            <w14:solidFill>
              <w14:schemeClr w14:val="tx1"/>
            </w14:solidFill>
          </w14:textFill>
        </w:rPr>
      </w:pPr>
      <w:r>
        <w:rPr>
          <w:rFonts w:ascii="Times New Roman" w:hAnsi="Times New Roman" w:cs="Times New Roman"/>
          <w:color w:val="000000" w:themeColor="text1"/>
          <w:lang w:eastAsia="zh-CN"/>
          <w14:textFill>
            <w14:solidFill>
              <w14:schemeClr w14:val="tx1"/>
            </w14:solidFill>
          </w14:textFill>
        </w:rPr>
        <w:t>项目</w:t>
      </w:r>
      <w:r>
        <w:rPr>
          <w:rFonts w:hint="eastAsia" w:ascii="Times New Roman" w:hAnsi="Times New Roman" w:cs="Times New Roman"/>
          <w:color w:val="000000" w:themeColor="text1"/>
          <w:lang w:eastAsia="zh-CN"/>
          <w14:textFill>
            <w14:solidFill>
              <w14:schemeClr w14:val="tx1"/>
            </w14:solidFill>
          </w14:textFill>
        </w:rPr>
        <w:t>依托</w:t>
      </w:r>
      <w:r>
        <w:rPr>
          <w:rFonts w:ascii="Times New Roman" w:hAnsi="Times New Roman" w:cs="Times New Roman"/>
          <w:color w:val="000000" w:themeColor="text1"/>
          <w:lang w:eastAsia="zh-CN"/>
          <w14:textFill>
            <w14:solidFill>
              <w14:schemeClr w14:val="tx1"/>
            </w14:solidFill>
          </w14:textFill>
        </w:rPr>
        <w:t>1座</w:t>
      </w:r>
      <w:r>
        <w:rPr>
          <w:rFonts w:hint="eastAsia" w:ascii="Times New Roman" w:hAnsi="Times New Roman" w:cs="Times New Roman"/>
          <w:color w:val="000000" w:themeColor="text1"/>
          <w:lang w:eastAsia="zh-CN"/>
          <w14:textFill>
            <w14:solidFill>
              <w14:schemeClr w14:val="tx1"/>
            </w14:solidFill>
          </w14:textFill>
        </w:rPr>
        <w:t>426.9</w:t>
      </w:r>
      <w:r>
        <w:rPr>
          <w:rFonts w:ascii="Times New Roman" w:hAnsi="Times New Roman" w:cs="Times New Roman"/>
          <w:color w:val="000000" w:themeColor="text1"/>
          <w:lang w:eastAsia="zh-CN"/>
          <w14:textFill>
            <w14:solidFill>
              <w14:schemeClr w14:val="tx1"/>
            </w14:solidFill>
          </w14:textFill>
        </w:rPr>
        <w:t>m</w:t>
      </w:r>
      <w:r>
        <w:rPr>
          <w:rFonts w:ascii="Times New Roman" w:hAnsi="Times New Roman" w:cs="Times New Roman"/>
          <w:color w:val="000000" w:themeColor="text1"/>
          <w:vertAlign w:val="superscript"/>
          <w:lang w:eastAsia="zh-CN"/>
          <w14:textFill>
            <w14:solidFill>
              <w14:schemeClr w14:val="tx1"/>
            </w14:solidFill>
          </w14:textFill>
        </w:rPr>
        <w:t>3</w:t>
      </w:r>
      <w:r>
        <w:rPr>
          <w:rFonts w:ascii="Times New Roman" w:hAnsi="Times New Roman" w:cs="Times New Roman"/>
          <w:color w:val="000000" w:themeColor="text1"/>
          <w:lang w:eastAsia="zh-CN"/>
          <w14:textFill>
            <w14:solidFill>
              <w14:schemeClr w14:val="tx1"/>
            </w14:solidFill>
          </w14:textFill>
        </w:rPr>
        <w:t>初期雨水池，初期雨水收集后经厂区污水处理站处理达标后泵入厂区污水管网，通过市政污水管网进入园区污水处理厂处理。</w:t>
      </w:r>
    </w:p>
    <w:p w14:paraId="36F92137">
      <w:pPr>
        <w:spacing w:line="360" w:lineRule="auto"/>
        <w:ind w:firstLine="480" w:firstLineChars="200"/>
        <w:rPr>
          <w:rFonts w:ascii="Times New Roman" w:hAnsi="Times New Roman" w:cs="Times New Roman"/>
          <w:color w:val="000000" w:themeColor="text1"/>
          <w:lang w:eastAsia="zh-CN"/>
          <w14:textFill>
            <w14:solidFill>
              <w14:schemeClr w14:val="tx1"/>
            </w14:solidFill>
          </w14:textFill>
        </w:rPr>
      </w:pPr>
      <w:r>
        <w:rPr>
          <w:rFonts w:ascii="Times New Roman" w:hAnsi="Times New Roman" w:cs="Times New Roman"/>
          <w:color w:val="000000" w:themeColor="text1"/>
          <w:lang w:eastAsia="zh-CN"/>
          <w14:textFill>
            <w14:solidFill>
              <w14:schemeClr w14:val="tx1"/>
            </w14:solidFill>
          </w14:textFill>
        </w:rPr>
        <w:t>项目</w:t>
      </w:r>
      <w:r>
        <w:rPr>
          <w:rFonts w:hint="eastAsia" w:ascii="Times New Roman" w:hAnsi="Times New Roman" w:cs="Times New Roman"/>
          <w:color w:val="000000" w:themeColor="text1"/>
          <w:lang w:eastAsia="zh-CN"/>
          <w14:textFill>
            <w14:solidFill>
              <w14:schemeClr w14:val="tx1"/>
            </w14:solidFill>
          </w14:textFill>
        </w:rPr>
        <w:t>依托</w:t>
      </w:r>
      <w:r>
        <w:rPr>
          <w:rFonts w:ascii="Times New Roman" w:hAnsi="Times New Roman" w:cs="Times New Roman"/>
          <w:color w:val="000000" w:themeColor="text1"/>
          <w:lang w:eastAsia="zh-CN"/>
          <w14:textFill>
            <w14:solidFill>
              <w14:schemeClr w14:val="tx1"/>
            </w14:solidFill>
          </w14:textFill>
        </w:rPr>
        <w:t>1座</w:t>
      </w:r>
      <w:r>
        <w:rPr>
          <w:rFonts w:hint="eastAsia" w:ascii="Times New Roman" w:hAnsi="Times New Roman" w:cs="Times New Roman"/>
          <w:color w:val="000000" w:themeColor="text1"/>
          <w:lang w:eastAsia="zh-CN"/>
          <w14:textFill>
            <w14:solidFill>
              <w14:schemeClr w14:val="tx1"/>
            </w14:solidFill>
          </w14:textFill>
        </w:rPr>
        <w:t>672.3</w:t>
      </w:r>
      <w:r>
        <w:rPr>
          <w:rFonts w:ascii="Times New Roman" w:hAnsi="Times New Roman" w:cs="Times New Roman"/>
          <w:color w:val="000000" w:themeColor="text1"/>
          <w:lang w:eastAsia="zh-CN"/>
          <w14:textFill>
            <w14:solidFill>
              <w14:schemeClr w14:val="tx1"/>
            </w14:solidFill>
          </w14:textFill>
        </w:rPr>
        <w:t>m</w:t>
      </w:r>
      <w:r>
        <w:rPr>
          <w:rFonts w:ascii="Times New Roman" w:hAnsi="Times New Roman" w:cs="Times New Roman"/>
          <w:color w:val="000000" w:themeColor="text1"/>
          <w:vertAlign w:val="superscript"/>
          <w:lang w:eastAsia="zh-CN"/>
          <w14:textFill>
            <w14:solidFill>
              <w14:schemeClr w14:val="tx1"/>
            </w14:solidFill>
          </w14:textFill>
        </w:rPr>
        <w:t>3</w:t>
      </w:r>
      <w:r>
        <w:rPr>
          <w:rFonts w:ascii="Times New Roman" w:hAnsi="Times New Roman" w:cs="Times New Roman"/>
          <w:color w:val="000000" w:themeColor="text1"/>
          <w:lang w:eastAsia="zh-CN"/>
          <w14:textFill>
            <w14:solidFill>
              <w14:schemeClr w14:val="tx1"/>
            </w14:solidFill>
          </w14:textFill>
        </w:rPr>
        <w:t>事故水池，项目位于厂区</w:t>
      </w:r>
      <w:r>
        <w:rPr>
          <w:rFonts w:hint="eastAsia" w:ascii="Times New Roman" w:hAnsi="Times New Roman" w:cs="Times New Roman"/>
          <w:color w:val="000000" w:themeColor="text1"/>
          <w:lang w:eastAsia="zh-CN"/>
          <w14:textFill>
            <w14:solidFill>
              <w14:schemeClr w14:val="tx1"/>
            </w14:solidFill>
          </w14:textFill>
        </w:rPr>
        <w:t>东</w:t>
      </w:r>
      <w:r>
        <w:rPr>
          <w:rFonts w:ascii="Times New Roman" w:hAnsi="Times New Roman" w:cs="Times New Roman"/>
          <w:color w:val="000000" w:themeColor="text1"/>
          <w:lang w:eastAsia="zh-CN"/>
          <w14:textFill>
            <w14:solidFill>
              <w14:schemeClr w14:val="tx1"/>
            </w14:solidFill>
          </w14:textFill>
        </w:rPr>
        <w:t>侧，事故废水收集后经厂区污水处理站处理达标后泵入厂区污水管网，通过市政污水管网进入园区污水处理厂处理。</w:t>
      </w:r>
    </w:p>
    <w:bookmarkEnd w:id="2161"/>
    <w:p w14:paraId="5AA736DB">
      <w:pPr>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根据《建设项目环境风险评价技术导则》（HJ169-2018），应急储存设施应根据发生事故的设备容量、事故时消防用水量及可能进入应急储存设施的雨水量等因素综合确定。</w:t>
      </w:r>
    </w:p>
    <w:p w14:paraId="5BF05EC0">
      <w:pPr>
        <w:widowControl w:val="0"/>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根据中石化“关于印发《水体污染防控紧急措施设计导则》的通知”以及《事故状态下水体污染的预防和控制规范》（Q/SY 08190-2019）中关于事故储存设施总有效容积的计算的计算方法：</w:t>
      </w:r>
    </w:p>
    <w:p w14:paraId="2F6FDADF">
      <w:pPr>
        <w:spacing w:line="360" w:lineRule="auto"/>
        <w:ind w:firstLine="480"/>
        <w:jc w:val="center"/>
        <w:rPr>
          <w:rFonts w:ascii="Times New Roman" w:hAnsi="Times New Roman" w:cs="Times New Roman"/>
          <w:bCs/>
          <w:color w:val="auto"/>
          <w:lang w:eastAsia="zh-CN"/>
        </w:rPr>
      </w:pPr>
      <w:r>
        <w:rPr>
          <w:rFonts w:ascii="Times New Roman" w:hAnsi="Times New Roman" w:cs="Times New Roman"/>
          <w:bCs/>
          <w:color w:val="auto"/>
          <w:lang w:eastAsia="zh-CN"/>
        </w:rPr>
        <w:t>V总=（V</w:t>
      </w:r>
      <w:r>
        <w:rPr>
          <w:rFonts w:ascii="Times New Roman" w:hAnsi="Times New Roman" w:cs="Times New Roman"/>
          <w:bCs/>
          <w:color w:val="auto"/>
          <w:vertAlign w:val="subscript"/>
          <w:lang w:eastAsia="zh-CN"/>
        </w:rPr>
        <w:t>1</w:t>
      </w:r>
      <w:r>
        <w:rPr>
          <w:rFonts w:ascii="Times New Roman" w:hAnsi="Times New Roman" w:cs="Times New Roman"/>
          <w:bCs/>
          <w:color w:val="auto"/>
          <w:lang w:eastAsia="zh-CN"/>
        </w:rPr>
        <w:t>+V</w:t>
      </w:r>
      <w:r>
        <w:rPr>
          <w:rFonts w:ascii="Times New Roman" w:hAnsi="Times New Roman" w:cs="Times New Roman"/>
          <w:bCs/>
          <w:color w:val="auto"/>
          <w:vertAlign w:val="subscript"/>
          <w:lang w:eastAsia="zh-CN"/>
        </w:rPr>
        <w:t>2</w:t>
      </w:r>
      <w:r>
        <w:rPr>
          <w:rFonts w:ascii="Times New Roman" w:hAnsi="Times New Roman" w:cs="Times New Roman"/>
          <w:bCs/>
          <w:color w:val="auto"/>
          <w:lang w:eastAsia="zh-CN"/>
        </w:rPr>
        <w:t>-V</w:t>
      </w:r>
      <w:r>
        <w:rPr>
          <w:rFonts w:ascii="Times New Roman" w:hAnsi="Times New Roman" w:cs="Times New Roman"/>
          <w:bCs/>
          <w:color w:val="auto"/>
          <w:vertAlign w:val="subscript"/>
          <w:lang w:eastAsia="zh-CN"/>
        </w:rPr>
        <w:t>3</w:t>
      </w:r>
      <w:r>
        <w:rPr>
          <w:rFonts w:ascii="Times New Roman" w:hAnsi="Times New Roman" w:cs="Times New Roman"/>
          <w:bCs/>
          <w:color w:val="auto"/>
          <w:lang w:eastAsia="zh-CN"/>
        </w:rPr>
        <w:t>）</w:t>
      </w:r>
      <w:r>
        <w:rPr>
          <w:rFonts w:ascii="Times New Roman" w:hAnsi="Times New Roman" w:cs="Times New Roman"/>
          <w:bCs/>
          <w:color w:val="auto"/>
          <w:vertAlign w:val="subscript"/>
          <w:lang w:eastAsia="zh-CN"/>
        </w:rPr>
        <w:t>max</w:t>
      </w:r>
      <w:r>
        <w:rPr>
          <w:rFonts w:ascii="Times New Roman" w:hAnsi="Times New Roman" w:cs="Times New Roman"/>
          <w:bCs/>
          <w:color w:val="auto"/>
          <w:lang w:eastAsia="zh-CN"/>
        </w:rPr>
        <w:t>+V</w:t>
      </w:r>
      <w:r>
        <w:rPr>
          <w:rFonts w:ascii="Times New Roman" w:hAnsi="Times New Roman" w:cs="Times New Roman"/>
          <w:bCs/>
          <w:color w:val="auto"/>
          <w:vertAlign w:val="subscript"/>
          <w:lang w:eastAsia="zh-CN"/>
        </w:rPr>
        <w:t>4</w:t>
      </w:r>
      <w:r>
        <w:rPr>
          <w:rFonts w:ascii="Times New Roman" w:hAnsi="Times New Roman" w:cs="Times New Roman"/>
          <w:bCs/>
          <w:color w:val="auto"/>
          <w:lang w:eastAsia="zh-CN"/>
        </w:rPr>
        <w:t>+V</w:t>
      </w:r>
      <w:r>
        <w:rPr>
          <w:rFonts w:ascii="Times New Roman" w:hAnsi="Times New Roman" w:cs="Times New Roman"/>
          <w:bCs/>
          <w:color w:val="auto"/>
          <w:vertAlign w:val="subscript"/>
          <w:lang w:eastAsia="zh-CN"/>
        </w:rPr>
        <w:t>5</w:t>
      </w:r>
    </w:p>
    <w:p w14:paraId="712C5ECC">
      <w:pPr>
        <w:spacing w:line="360" w:lineRule="auto"/>
        <w:ind w:firstLine="480" w:firstLineChars="200"/>
        <w:rPr>
          <w:rFonts w:ascii="Times New Roman" w:hAnsi="Times New Roman" w:cs="Times New Roman"/>
          <w:bCs/>
          <w:color w:val="auto"/>
          <w:lang w:eastAsia="zh-CN"/>
        </w:rPr>
      </w:pPr>
      <w:r>
        <w:rPr>
          <w:rFonts w:ascii="Times New Roman" w:hAnsi="Times New Roman" w:cs="Times New Roman"/>
          <w:color w:val="auto"/>
          <w:lang w:eastAsia="zh-CN"/>
        </w:rPr>
        <w:t>注：</w:t>
      </w:r>
      <w:r>
        <w:rPr>
          <w:rFonts w:ascii="Times New Roman" w:hAnsi="Times New Roman" w:cs="Times New Roman"/>
          <w:bCs/>
          <w:color w:val="auto"/>
          <w:lang w:eastAsia="zh-CN"/>
        </w:rPr>
        <w:t>（V</w:t>
      </w:r>
      <w:r>
        <w:rPr>
          <w:rFonts w:ascii="Times New Roman" w:hAnsi="Times New Roman" w:cs="Times New Roman"/>
          <w:bCs/>
          <w:color w:val="auto"/>
          <w:vertAlign w:val="subscript"/>
          <w:lang w:eastAsia="zh-CN"/>
        </w:rPr>
        <w:t>1</w:t>
      </w:r>
      <w:r>
        <w:rPr>
          <w:rFonts w:ascii="Times New Roman" w:hAnsi="Times New Roman" w:cs="Times New Roman"/>
          <w:bCs/>
          <w:color w:val="auto"/>
          <w:lang w:eastAsia="zh-CN"/>
        </w:rPr>
        <w:t>+V</w:t>
      </w:r>
      <w:r>
        <w:rPr>
          <w:rFonts w:ascii="Times New Roman" w:hAnsi="Times New Roman" w:cs="Times New Roman"/>
          <w:bCs/>
          <w:color w:val="auto"/>
          <w:vertAlign w:val="subscript"/>
          <w:lang w:eastAsia="zh-CN"/>
        </w:rPr>
        <w:t>2</w:t>
      </w:r>
      <w:r>
        <w:rPr>
          <w:rFonts w:ascii="Times New Roman" w:hAnsi="Times New Roman" w:cs="Times New Roman"/>
          <w:bCs/>
          <w:color w:val="auto"/>
          <w:lang w:eastAsia="zh-CN"/>
        </w:rPr>
        <w:t>-V</w:t>
      </w:r>
      <w:r>
        <w:rPr>
          <w:rFonts w:ascii="Times New Roman" w:hAnsi="Times New Roman" w:cs="Times New Roman"/>
          <w:bCs/>
          <w:color w:val="auto"/>
          <w:vertAlign w:val="subscript"/>
          <w:lang w:eastAsia="zh-CN"/>
        </w:rPr>
        <w:t>3</w:t>
      </w:r>
      <w:r>
        <w:rPr>
          <w:rFonts w:ascii="Times New Roman" w:hAnsi="Times New Roman" w:cs="Times New Roman"/>
          <w:bCs/>
          <w:color w:val="auto"/>
          <w:lang w:eastAsia="zh-CN"/>
        </w:rPr>
        <w:t>）</w:t>
      </w:r>
      <w:r>
        <w:rPr>
          <w:rFonts w:ascii="Times New Roman" w:hAnsi="Times New Roman" w:cs="Times New Roman"/>
          <w:bCs/>
          <w:color w:val="auto"/>
          <w:vertAlign w:val="subscript"/>
          <w:lang w:eastAsia="zh-CN"/>
        </w:rPr>
        <w:t>max</w:t>
      </w:r>
      <w:r>
        <w:rPr>
          <w:rFonts w:ascii="Times New Roman" w:hAnsi="Times New Roman" w:cs="Times New Roman"/>
          <w:bCs/>
          <w:color w:val="auto"/>
          <w:lang w:eastAsia="zh-CN"/>
        </w:rPr>
        <w:t>是指对收集系统范围内不同罐组或装置分别计算V</w:t>
      </w:r>
      <w:r>
        <w:rPr>
          <w:rFonts w:ascii="Times New Roman" w:hAnsi="Times New Roman" w:cs="Times New Roman"/>
          <w:bCs/>
          <w:color w:val="auto"/>
          <w:vertAlign w:val="subscript"/>
          <w:lang w:eastAsia="zh-CN"/>
        </w:rPr>
        <w:t>1</w:t>
      </w:r>
      <w:r>
        <w:rPr>
          <w:rFonts w:ascii="Times New Roman" w:hAnsi="Times New Roman" w:cs="Times New Roman"/>
          <w:bCs/>
          <w:color w:val="auto"/>
          <w:lang w:eastAsia="zh-CN"/>
        </w:rPr>
        <w:t>+V</w:t>
      </w:r>
      <w:r>
        <w:rPr>
          <w:rFonts w:ascii="Times New Roman" w:hAnsi="Times New Roman" w:cs="Times New Roman"/>
          <w:bCs/>
          <w:color w:val="auto"/>
          <w:vertAlign w:val="subscript"/>
          <w:lang w:eastAsia="zh-CN"/>
        </w:rPr>
        <w:t>2</w:t>
      </w:r>
      <w:r>
        <w:rPr>
          <w:rFonts w:ascii="Times New Roman" w:hAnsi="Times New Roman" w:cs="Times New Roman"/>
          <w:bCs/>
          <w:color w:val="auto"/>
          <w:lang w:eastAsia="zh-CN"/>
        </w:rPr>
        <w:t>-V</w:t>
      </w:r>
      <w:r>
        <w:rPr>
          <w:rFonts w:ascii="Times New Roman" w:hAnsi="Times New Roman" w:cs="Times New Roman"/>
          <w:bCs/>
          <w:color w:val="auto"/>
          <w:vertAlign w:val="subscript"/>
          <w:lang w:eastAsia="zh-CN"/>
        </w:rPr>
        <w:t>3</w:t>
      </w:r>
      <w:r>
        <w:rPr>
          <w:rFonts w:ascii="Times New Roman" w:hAnsi="Times New Roman" w:cs="Times New Roman"/>
          <w:bCs/>
          <w:color w:val="auto"/>
          <w:lang w:eastAsia="zh-CN"/>
        </w:rPr>
        <w:t>，取其中最大值。</w:t>
      </w:r>
    </w:p>
    <w:p w14:paraId="4E3DA461">
      <w:pPr>
        <w:spacing w:line="360" w:lineRule="auto"/>
        <w:ind w:firstLine="480" w:firstLineChars="200"/>
        <w:rPr>
          <w:rFonts w:ascii="Times New Roman" w:hAnsi="Times New Roman" w:cs="Times New Roman"/>
          <w:bCs/>
          <w:color w:val="auto"/>
          <w:lang w:eastAsia="zh-CN"/>
        </w:rPr>
      </w:pPr>
      <w:r>
        <w:rPr>
          <w:rFonts w:ascii="Times New Roman" w:hAnsi="Times New Roman" w:cs="Times New Roman"/>
          <w:bCs/>
          <w:color w:val="auto"/>
          <w:lang w:eastAsia="zh-CN"/>
        </w:rPr>
        <w:t>式中：</w:t>
      </w:r>
    </w:p>
    <w:p w14:paraId="2DD80936">
      <w:pPr>
        <w:spacing w:line="360" w:lineRule="auto"/>
        <w:ind w:firstLine="480" w:firstLineChars="200"/>
        <w:rPr>
          <w:rFonts w:ascii="Times New Roman" w:hAnsi="Times New Roman" w:cs="Times New Roman"/>
          <w:bCs/>
          <w:color w:val="auto"/>
          <w:lang w:eastAsia="zh-CN"/>
        </w:rPr>
      </w:pPr>
      <w:r>
        <w:rPr>
          <w:rFonts w:ascii="Times New Roman" w:hAnsi="Times New Roman" w:cs="Times New Roman"/>
          <w:bCs/>
          <w:color w:val="auto"/>
          <w:lang w:eastAsia="zh-CN"/>
        </w:rPr>
        <w:t>V</w:t>
      </w:r>
      <w:r>
        <w:rPr>
          <w:rFonts w:ascii="Times New Roman" w:hAnsi="Times New Roman" w:cs="Times New Roman"/>
          <w:bCs/>
          <w:color w:val="auto"/>
          <w:vertAlign w:val="subscript"/>
          <w:lang w:eastAsia="zh-CN"/>
        </w:rPr>
        <w:t>1</w:t>
      </w:r>
      <w:r>
        <w:rPr>
          <w:rFonts w:ascii="Times New Roman" w:hAnsi="Times New Roman" w:cs="Times New Roman"/>
          <w:bCs/>
          <w:color w:val="auto"/>
          <w:lang w:eastAsia="zh-CN"/>
        </w:rPr>
        <w:t>—收集系统范围内发生事故的一个罐组或一套装置的物料量；</w:t>
      </w:r>
    </w:p>
    <w:p w14:paraId="53E62CA4">
      <w:pPr>
        <w:spacing w:line="360" w:lineRule="auto"/>
        <w:ind w:firstLine="480" w:firstLineChars="200"/>
        <w:rPr>
          <w:rFonts w:ascii="Times New Roman" w:hAnsi="Times New Roman" w:cs="Times New Roman"/>
          <w:color w:val="auto"/>
          <w:lang w:eastAsia="zh-CN"/>
        </w:rPr>
      </w:pPr>
      <w:r>
        <w:rPr>
          <w:rFonts w:ascii="Times New Roman" w:hAnsi="Times New Roman" w:cs="Times New Roman"/>
          <w:bCs/>
          <w:color w:val="auto"/>
          <w:lang w:eastAsia="zh-CN"/>
        </w:rPr>
        <w:t>V</w:t>
      </w:r>
      <w:r>
        <w:rPr>
          <w:rFonts w:ascii="Times New Roman" w:hAnsi="Times New Roman" w:cs="Times New Roman"/>
          <w:bCs/>
          <w:color w:val="auto"/>
          <w:vertAlign w:val="subscript"/>
          <w:lang w:eastAsia="zh-CN"/>
        </w:rPr>
        <w:t>2</w:t>
      </w:r>
      <w:r>
        <w:rPr>
          <w:rFonts w:ascii="Times New Roman" w:hAnsi="Times New Roman" w:cs="Times New Roman"/>
          <w:bCs/>
          <w:color w:val="auto"/>
          <w:lang w:eastAsia="zh-CN"/>
        </w:rPr>
        <w:t>—发生事故的储罐或装置的消防水量，</w:t>
      </w:r>
      <w:r>
        <w:rPr>
          <w:rFonts w:ascii="Times New Roman" w:hAnsi="Times New Roman" w:cs="Times New Roman"/>
          <w:color w:val="auto"/>
          <w:lang w:eastAsia="zh-CN"/>
        </w:rPr>
        <w:t>m</w:t>
      </w:r>
      <w:r>
        <w:rPr>
          <w:rFonts w:ascii="Times New Roman" w:hAnsi="Times New Roman" w:cs="Times New Roman"/>
          <w:color w:val="auto"/>
          <w:vertAlign w:val="superscript"/>
          <w:lang w:eastAsia="zh-CN"/>
        </w:rPr>
        <w:t>3</w:t>
      </w:r>
      <w:r>
        <w:rPr>
          <w:rFonts w:ascii="Times New Roman" w:hAnsi="Times New Roman" w:cs="Times New Roman"/>
          <w:color w:val="auto"/>
          <w:lang w:eastAsia="zh-CN"/>
        </w:rPr>
        <w:t>；</w:t>
      </w:r>
    </w:p>
    <w:p w14:paraId="404B691E">
      <w:pPr>
        <w:spacing w:line="360" w:lineRule="auto"/>
        <w:ind w:firstLine="480"/>
        <w:jc w:val="center"/>
        <w:rPr>
          <w:rFonts w:ascii="Times New Roman" w:hAnsi="Times New Roman" w:cs="Times New Roman"/>
          <w:color w:val="auto"/>
          <w:vertAlign w:val="subscript"/>
          <w:lang w:eastAsia="zh-CN"/>
        </w:rPr>
      </w:pPr>
      <w:r>
        <w:rPr>
          <w:rFonts w:ascii="Times New Roman" w:hAnsi="Times New Roman" w:cs="Times New Roman"/>
          <w:color w:val="auto"/>
          <w:lang w:eastAsia="zh-CN"/>
        </w:rPr>
        <w:t>V</w:t>
      </w:r>
      <w:r>
        <w:rPr>
          <w:rFonts w:ascii="Times New Roman" w:hAnsi="Times New Roman" w:cs="Times New Roman"/>
          <w:color w:val="auto"/>
          <w:vertAlign w:val="subscript"/>
          <w:lang w:eastAsia="zh-CN"/>
        </w:rPr>
        <w:t>2</w:t>
      </w:r>
      <w:r>
        <w:rPr>
          <w:rFonts w:ascii="Times New Roman" w:hAnsi="Times New Roman" w:cs="Times New Roman"/>
          <w:color w:val="auto"/>
          <w:lang w:eastAsia="zh-CN"/>
        </w:rPr>
        <w:t>=∑Q</w:t>
      </w:r>
      <w:r>
        <w:rPr>
          <w:rFonts w:ascii="Times New Roman" w:hAnsi="Times New Roman" w:cs="Times New Roman"/>
          <w:color w:val="auto"/>
          <w:vertAlign w:val="subscript"/>
          <w:lang w:eastAsia="zh-CN"/>
        </w:rPr>
        <w:t>消</w:t>
      </w:r>
      <w:r>
        <w:rPr>
          <w:rFonts w:ascii="Times New Roman" w:hAnsi="Times New Roman" w:cs="Times New Roman"/>
          <w:color w:val="auto"/>
          <w:lang w:eastAsia="zh-CN"/>
        </w:rPr>
        <w:t>·t</w:t>
      </w:r>
      <w:r>
        <w:rPr>
          <w:rFonts w:ascii="Times New Roman" w:hAnsi="Times New Roman" w:cs="Times New Roman"/>
          <w:color w:val="auto"/>
          <w:vertAlign w:val="subscript"/>
          <w:lang w:eastAsia="zh-CN"/>
        </w:rPr>
        <w:t>消</w:t>
      </w:r>
    </w:p>
    <w:p w14:paraId="280C8010">
      <w:pPr>
        <w:spacing w:line="360" w:lineRule="auto"/>
        <w:ind w:firstLine="960" w:firstLineChars="400"/>
        <w:jc w:val="both"/>
        <w:rPr>
          <w:rFonts w:ascii="Times New Roman" w:hAnsi="Times New Roman" w:cs="Times New Roman"/>
          <w:color w:val="auto"/>
          <w:lang w:eastAsia="zh-CN"/>
        </w:rPr>
      </w:pPr>
      <w:r>
        <w:rPr>
          <w:rFonts w:ascii="Times New Roman" w:hAnsi="Times New Roman" w:cs="Times New Roman"/>
          <w:color w:val="auto"/>
          <w:lang w:eastAsia="zh-CN"/>
        </w:rPr>
        <w:t>Q</w:t>
      </w:r>
      <w:r>
        <w:rPr>
          <w:rFonts w:ascii="Times New Roman" w:hAnsi="Times New Roman" w:cs="Times New Roman"/>
          <w:color w:val="auto"/>
          <w:vertAlign w:val="subscript"/>
          <w:lang w:eastAsia="zh-CN"/>
        </w:rPr>
        <w:t>消</w:t>
      </w:r>
      <w:r>
        <w:rPr>
          <w:rFonts w:ascii="Times New Roman" w:hAnsi="Times New Roman" w:cs="Times New Roman"/>
          <w:color w:val="auto"/>
          <w:lang w:eastAsia="zh-CN"/>
        </w:rPr>
        <w:t>—发生事故的储罐或装置同时使用的消防设施给水流量，m</w:t>
      </w:r>
      <w:r>
        <w:rPr>
          <w:rFonts w:ascii="Times New Roman" w:hAnsi="Times New Roman" w:cs="Times New Roman"/>
          <w:color w:val="auto"/>
          <w:vertAlign w:val="superscript"/>
          <w:lang w:eastAsia="zh-CN"/>
        </w:rPr>
        <w:t>3</w:t>
      </w:r>
      <w:r>
        <w:rPr>
          <w:rFonts w:ascii="Times New Roman" w:hAnsi="Times New Roman" w:cs="Times New Roman"/>
          <w:color w:val="auto"/>
          <w:lang w:eastAsia="zh-CN"/>
        </w:rPr>
        <w:t>/h；</w:t>
      </w:r>
    </w:p>
    <w:p w14:paraId="0299A954">
      <w:pPr>
        <w:spacing w:line="360" w:lineRule="auto"/>
        <w:ind w:firstLine="960" w:firstLineChars="400"/>
        <w:jc w:val="both"/>
        <w:rPr>
          <w:rFonts w:ascii="Times New Roman" w:hAnsi="Times New Roman" w:cs="Times New Roman"/>
          <w:color w:val="auto"/>
          <w:lang w:eastAsia="zh-CN"/>
        </w:rPr>
      </w:pPr>
      <w:r>
        <w:rPr>
          <w:rFonts w:ascii="Times New Roman" w:hAnsi="Times New Roman" w:cs="Times New Roman"/>
          <w:color w:val="auto"/>
          <w:lang w:eastAsia="zh-CN"/>
        </w:rPr>
        <w:t>t</w:t>
      </w:r>
      <w:r>
        <w:rPr>
          <w:rFonts w:ascii="Times New Roman" w:hAnsi="Times New Roman" w:cs="Times New Roman"/>
          <w:color w:val="auto"/>
          <w:vertAlign w:val="subscript"/>
          <w:lang w:eastAsia="zh-CN"/>
        </w:rPr>
        <w:t>消</w:t>
      </w:r>
      <w:r>
        <w:rPr>
          <w:rFonts w:ascii="Times New Roman" w:hAnsi="Times New Roman" w:cs="Times New Roman"/>
          <w:color w:val="auto"/>
          <w:lang w:eastAsia="zh-CN"/>
        </w:rPr>
        <w:t>—消防设施对应的设计消防历时，h；</w:t>
      </w:r>
    </w:p>
    <w:p w14:paraId="5C01A1E1">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V</w:t>
      </w:r>
      <w:r>
        <w:rPr>
          <w:rFonts w:ascii="Times New Roman" w:hAnsi="Times New Roman" w:cs="Times New Roman"/>
          <w:color w:val="auto"/>
          <w:vertAlign w:val="subscript"/>
          <w:lang w:eastAsia="zh-CN"/>
        </w:rPr>
        <w:t>3</w:t>
      </w:r>
      <w:r>
        <w:rPr>
          <w:rFonts w:ascii="Times New Roman" w:hAnsi="Times New Roman" w:cs="Times New Roman"/>
          <w:color w:val="auto"/>
          <w:lang w:eastAsia="zh-CN"/>
        </w:rPr>
        <w:t>—发生事故时可以转输到其他储存或处理设施的物料量，m</w:t>
      </w:r>
      <w:r>
        <w:rPr>
          <w:rFonts w:ascii="Times New Roman" w:hAnsi="Times New Roman" w:cs="Times New Roman"/>
          <w:color w:val="auto"/>
          <w:vertAlign w:val="superscript"/>
          <w:lang w:eastAsia="zh-CN"/>
        </w:rPr>
        <w:t>3</w:t>
      </w:r>
      <w:r>
        <w:rPr>
          <w:rFonts w:ascii="Times New Roman" w:hAnsi="Times New Roman" w:cs="Times New Roman"/>
          <w:color w:val="auto"/>
          <w:lang w:eastAsia="zh-CN"/>
        </w:rPr>
        <w:t>；</w:t>
      </w:r>
    </w:p>
    <w:p w14:paraId="45AC0E94">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V</w:t>
      </w:r>
      <w:r>
        <w:rPr>
          <w:rFonts w:ascii="Times New Roman" w:hAnsi="Times New Roman" w:cs="Times New Roman"/>
          <w:color w:val="auto"/>
          <w:vertAlign w:val="subscript"/>
          <w:lang w:eastAsia="zh-CN"/>
        </w:rPr>
        <w:t>4</w:t>
      </w:r>
      <w:r>
        <w:rPr>
          <w:rFonts w:ascii="Times New Roman" w:hAnsi="Times New Roman" w:cs="Times New Roman"/>
          <w:color w:val="auto"/>
          <w:lang w:eastAsia="zh-CN"/>
        </w:rPr>
        <w:t>—发生事故时仍必须进入该收集系统的生产废水量，m</w:t>
      </w:r>
      <w:r>
        <w:rPr>
          <w:rFonts w:ascii="Times New Roman" w:hAnsi="Times New Roman" w:cs="Times New Roman"/>
          <w:color w:val="auto"/>
          <w:vertAlign w:val="superscript"/>
          <w:lang w:eastAsia="zh-CN"/>
        </w:rPr>
        <w:t>3</w:t>
      </w:r>
      <w:r>
        <w:rPr>
          <w:rFonts w:ascii="Times New Roman" w:hAnsi="Times New Roman" w:cs="Times New Roman"/>
          <w:color w:val="auto"/>
          <w:lang w:eastAsia="zh-CN"/>
        </w:rPr>
        <w:t>；</w:t>
      </w:r>
    </w:p>
    <w:p w14:paraId="74B82C70">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V</w:t>
      </w:r>
      <w:r>
        <w:rPr>
          <w:rFonts w:ascii="Times New Roman" w:hAnsi="Times New Roman" w:cs="Times New Roman"/>
          <w:color w:val="auto"/>
          <w:vertAlign w:val="subscript"/>
          <w:lang w:eastAsia="zh-CN"/>
        </w:rPr>
        <w:t>5</w:t>
      </w:r>
      <w:r>
        <w:rPr>
          <w:rFonts w:ascii="Times New Roman" w:hAnsi="Times New Roman" w:cs="Times New Roman"/>
          <w:color w:val="auto"/>
          <w:lang w:eastAsia="zh-CN"/>
        </w:rPr>
        <w:t>—发生事故时可能进入该收集系统的降雨量，m</w:t>
      </w:r>
      <w:r>
        <w:rPr>
          <w:rFonts w:ascii="Times New Roman" w:hAnsi="Times New Roman" w:cs="Times New Roman"/>
          <w:color w:val="auto"/>
          <w:vertAlign w:val="superscript"/>
          <w:lang w:eastAsia="zh-CN"/>
        </w:rPr>
        <w:t>3</w:t>
      </w:r>
      <w:r>
        <w:rPr>
          <w:rFonts w:ascii="Times New Roman" w:hAnsi="Times New Roman" w:cs="Times New Roman"/>
          <w:color w:val="auto"/>
          <w:lang w:eastAsia="zh-CN"/>
        </w:rPr>
        <w:t>；</w:t>
      </w:r>
    </w:p>
    <w:p w14:paraId="588DBB5F">
      <w:pPr>
        <w:spacing w:line="360" w:lineRule="auto"/>
        <w:ind w:firstLine="480"/>
        <w:jc w:val="center"/>
        <w:rPr>
          <w:rFonts w:ascii="Times New Roman" w:hAnsi="Times New Roman" w:cs="Times New Roman"/>
          <w:color w:val="auto"/>
        </w:rPr>
      </w:pPr>
      <w:r>
        <w:rPr>
          <w:rFonts w:ascii="Times New Roman" w:hAnsi="Times New Roman" w:cs="Times New Roman"/>
          <w:color w:val="auto"/>
        </w:rPr>
        <w:t>V</w:t>
      </w:r>
      <w:r>
        <w:rPr>
          <w:rFonts w:ascii="Times New Roman" w:hAnsi="Times New Roman" w:cs="Times New Roman"/>
          <w:color w:val="auto"/>
          <w:vertAlign w:val="subscript"/>
        </w:rPr>
        <w:t>5</w:t>
      </w:r>
      <w:r>
        <w:rPr>
          <w:rFonts w:ascii="Times New Roman" w:hAnsi="Times New Roman" w:cs="Times New Roman"/>
          <w:color w:val="auto"/>
        </w:rPr>
        <w:t>=10q·f</w:t>
      </w:r>
    </w:p>
    <w:p w14:paraId="505A20EC">
      <w:pPr>
        <w:spacing w:line="360" w:lineRule="auto"/>
        <w:ind w:firstLine="480"/>
        <w:jc w:val="center"/>
        <w:rPr>
          <w:rFonts w:ascii="Times New Roman" w:hAnsi="Times New Roman" w:cs="Times New Roman"/>
          <w:color w:val="auto"/>
        </w:rPr>
      </w:pPr>
      <w:r>
        <w:rPr>
          <w:rFonts w:ascii="Times New Roman" w:hAnsi="Times New Roman" w:cs="Times New Roman"/>
          <w:color w:val="auto"/>
        </w:rPr>
        <w:t>q=q</w:t>
      </w:r>
      <w:r>
        <w:rPr>
          <w:rFonts w:ascii="Times New Roman" w:hAnsi="Times New Roman" w:cs="Times New Roman"/>
          <w:color w:val="auto"/>
          <w:vertAlign w:val="subscript"/>
        </w:rPr>
        <w:t>a</w:t>
      </w:r>
      <w:r>
        <w:rPr>
          <w:rFonts w:ascii="Times New Roman" w:hAnsi="Times New Roman" w:cs="Times New Roman"/>
          <w:color w:val="auto"/>
        </w:rPr>
        <w:t>/n</w:t>
      </w:r>
    </w:p>
    <w:p w14:paraId="2CADEFC7">
      <w:pPr>
        <w:spacing w:line="360" w:lineRule="auto"/>
        <w:ind w:firstLine="1200" w:firstLineChars="500"/>
        <w:rPr>
          <w:rFonts w:ascii="Times New Roman" w:hAnsi="Times New Roman" w:cs="Times New Roman"/>
          <w:color w:val="auto"/>
        </w:rPr>
      </w:pPr>
      <w:r>
        <w:rPr>
          <w:rFonts w:ascii="Times New Roman" w:hAnsi="Times New Roman" w:cs="Times New Roman"/>
          <w:color w:val="auto"/>
        </w:rPr>
        <w:t>q—降雨强度，按平均日降雨量，mm；</w:t>
      </w:r>
    </w:p>
    <w:p w14:paraId="27D46A4E">
      <w:pPr>
        <w:spacing w:line="360" w:lineRule="auto"/>
        <w:ind w:firstLine="1200" w:firstLineChars="500"/>
        <w:rPr>
          <w:rFonts w:ascii="Times New Roman" w:hAnsi="Times New Roman" w:cs="Times New Roman"/>
          <w:color w:val="auto"/>
        </w:rPr>
      </w:pPr>
      <w:r>
        <w:rPr>
          <w:rFonts w:ascii="Times New Roman" w:hAnsi="Times New Roman" w:cs="Times New Roman"/>
          <w:color w:val="auto"/>
        </w:rPr>
        <w:t>qa—年平均降雨量，mm；</w:t>
      </w:r>
    </w:p>
    <w:p w14:paraId="1AFEF0FB">
      <w:pPr>
        <w:spacing w:line="360" w:lineRule="auto"/>
        <w:ind w:firstLine="1200" w:firstLineChars="500"/>
        <w:rPr>
          <w:rFonts w:ascii="Times New Roman" w:hAnsi="Times New Roman" w:cs="Times New Roman"/>
          <w:color w:val="auto"/>
          <w:lang w:eastAsia="zh-CN"/>
        </w:rPr>
      </w:pPr>
      <w:r>
        <w:rPr>
          <w:rFonts w:ascii="Times New Roman" w:hAnsi="Times New Roman" w:cs="Times New Roman"/>
          <w:color w:val="auto"/>
          <w:lang w:eastAsia="zh-CN"/>
        </w:rPr>
        <w:t>n—年平均降雨日数；</w:t>
      </w:r>
    </w:p>
    <w:p w14:paraId="416F7AF7">
      <w:pPr>
        <w:spacing w:line="360" w:lineRule="auto"/>
        <w:ind w:firstLine="1200" w:firstLineChars="500"/>
        <w:rPr>
          <w:rFonts w:ascii="Times New Roman" w:hAnsi="Times New Roman" w:cs="Times New Roman"/>
          <w:color w:val="auto"/>
          <w:lang w:eastAsia="zh-CN"/>
        </w:rPr>
      </w:pPr>
      <w:r>
        <w:rPr>
          <w:rFonts w:ascii="Times New Roman" w:hAnsi="Times New Roman" w:cs="Times New Roman"/>
          <w:color w:val="auto"/>
          <w:lang w:eastAsia="zh-CN"/>
        </w:rPr>
        <w:t>f—必须进入事故废水收集系统的雨水汇水面积，m</w:t>
      </w:r>
      <w:r>
        <w:rPr>
          <w:rFonts w:ascii="Times New Roman" w:hAnsi="Times New Roman" w:cs="Times New Roman"/>
          <w:color w:val="auto"/>
          <w:vertAlign w:val="superscript"/>
          <w:lang w:eastAsia="zh-CN"/>
        </w:rPr>
        <w:t>2</w:t>
      </w:r>
      <w:r>
        <w:rPr>
          <w:rFonts w:ascii="Times New Roman" w:hAnsi="Times New Roman" w:cs="Times New Roman"/>
          <w:color w:val="auto"/>
          <w:lang w:eastAsia="zh-CN"/>
        </w:rPr>
        <w:t>。</w:t>
      </w:r>
    </w:p>
    <w:p w14:paraId="6CCD2EE5">
      <w:pPr>
        <w:spacing w:line="360" w:lineRule="auto"/>
        <w:ind w:firstLine="480" w:firstLineChars="200"/>
        <w:rPr>
          <w:rFonts w:ascii="Times New Roman" w:hAnsi="Times New Roman" w:cs="Times New Roman"/>
          <w:color w:val="auto"/>
          <w:lang w:eastAsia="zh-CN"/>
        </w:rPr>
      </w:pPr>
      <w:r>
        <w:rPr>
          <w:rFonts w:ascii="宋体" w:hAnsi="宋体" w:cs="Cambria Math"/>
          <w:color w:val="auto"/>
          <w:lang w:eastAsia="zh-CN"/>
        </w:rPr>
        <w:t>①</w:t>
      </w:r>
      <w:r>
        <w:rPr>
          <w:rFonts w:ascii="Times New Roman" w:hAnsi="Times New Roman" w:cs="Times New Roman"/>
          <w:color w:val="auto"/>
          <w:lang w:eastAsia="zh-CN"/>
        </w:rPr>
        <w:t xml:space="preserve"> 泄漏物料V</w:t>
      </w:r>
      <w:r>
        <w:rPr>
          <w:rFonts w:ascii="Times New Roman" w:hAnsi="Times New Roman" w:cs="Times New Roman"/>
          <w:color w:val="auto"/>
          <w:vertAlign w:val="subscript"/>
          <w:lang w:eastAsia="zh-CN"/>
        </w:rPr>
        <w:t>1</w:t>
      </w:r>
    </w:p>
    <w:p w14:paraId="168CE6E1">
      <w:pPr>
        <w:spacing w:line="360" w:lineRule="auto"/>
        <w:ind w:firstLine="472" w:firstLineChars="200"/>
        <w:rPr>
          <w:rFonts w:ascii="Times New Roman" w:hAnsi="Times New Roman" w:cs="Times New Roman"/>
          <w:color w:val="auto"/>
          <w:lang w:eastAsia="zh-CN"/>
        </w:rPr>
      </w:pPr>
      <w:r>
        <w:rPr>
          <w:rFonts w:hint="eastAsia" w:ascii="Times New Roman" w:hAnsi="Times New Roman" w:cs="Times New Roman"/>
          <w:snapToGrid/>
          <w:color w:val="auto"/>
          <w:spacing w:val="-2"/>
          <w:szCs w:val="24"/>
          <w:lang w:eastAsia="zh-CN"/>
        </w:rPr>
        <w:t>综合车间、刻蚀液混配车间</w:t>
      </w:r>
      <w:r>
        <w:rPr>
          <w:rFonts w:ascii="Times New Roman" w:hAnsi="Times New Roman" w:cs="Times New Roman"/>
          <w:snapToGrid/>
          <w:color w:val="auto"/>
          <w:spacing w:val="-2"/>
          <w:szCs w:val="24"/>
          <w:lang w:eastAsia="zh-CN"/>
        </w:rPr>
        <w:t>V1按照</w:t>
      </w:r>
      <w:r>
        <w:rPr>
          <w:rFonts w:hint="eastAsia" w:ascii="Times New Roman" w:hAnsi="Times New Roman" w:cs="Times New Roman"/>
          <w:snapToGrid/>
          <w:color w:val="auto"/>
          <w:spacing w:val="-2"/>
          <w:szCs w:val="24"/>
          <w:lang w:eastAsia="zh-CN"/>
        </w:rPr>
        <w:t>单个储罐最大容积35</w:t>
      </w:r>
      <w:r>
        <w:rPr>
          <w:rFonts w:ascii="Times New Roman" w:hAnsi="Times New Roman" w:cs="Times New Roman"/>
          <w:snapToGrid/>
          <w:color w:val="auto"/>
          <w:spacing w:val="-2"/>
          <w:szCs w:val="24"/>
          <w:lang w:eastAsia="zh-CN"/>
        </w:rPr>
        <w:t>m</w:t>
      </w:r>
      <w:r>
        <w:rPr>
          <w:rFonts w:ascii="Times New Roman" w:hAnsi="Times New Roman" w:cs="Times New Roman"/>
          <w:snapToGrid/>
          <w:color w:val="auto"/>
          <w:spacing w:val="-2"/>
          <w:szCs w:val="24"/>
          <w:vertAlign w:val="superscript"/>
          <w:lang w:eastAsia="zh-CN"/>
        </w:rPr>
        <w:t>3</w:t>
      </w:r>
      <w:r>
        <w:rPr>
          <w:rFonts w:ascii="Times New Roman" w:hAnsi="Times New Roman" w:cs="Times New Roman"/>
          <w:snapToGrid/>
          <w:color w:val="auto"/>
          <w:spacing w:val="-2"/>
          <w:szCs w:val="24"/>
          <w:lang w:eastAsia="zh-CN"/>
        </w:rPr>
        <w:t>考虑</w:t>
      </w:r>
      <w:r>
        <w:rPr>
          <w:rFonts w:ascii="Times New Roman" w:hAnsi="Times New Roman" w:cs="Times New Roman"/>
          <w:color w:val="auto"/>
          <w:lang w:eastAsia="zh-CN"/>
        </w:rPr>
        <w:t>。</w:t>
      </w:r>
    </w:p>
    <w:p w14:paraId="3681F791">
      <w:pPr>
        <w:spacing w:line="360" w:lineRule="auto"/>
        <w:ind w:firstLine="480" w:firstLineChars="200"/>
        <w:rPr>
          <w:rFonts w:ascii="Times New Roman" w:hAnsi="Times New Roman" w:cs="Times New Roman"/>
          <w:color w:val="auto"/>
          <w:lang w:eastAsia="zh-CN"/>
        </w:rPr>
      </w:pPr>
      <w:r>
        <w:rPr>
          <w:rFonts w:ascii="宋体" w:hAnsi="宋体" w:cs="Cambria Math"/>
          <w:color w:val="auto"/>
          <w:lang w:eastAsia="zh-CN"/>
        </w:rPr>
        <w:t>②</w:t>
      </w:r>
      <w:r>
        <w:rPr>
          <w:rFonts w:ascii="Times New Roman" w:hAnsi="Times New Roman" w:cs="Times New Roman"/>
          <w:color w:val="auto"/>
          <w:lang w:eastAsia="zh-CN"/>
        </w:rPr>
        <w:t xml:space="preserve"> 消防废水V</w:t>
      </w:r>
      <w:r>
        <w:rPr>
          <w:rFonts w:ascii="Times New Roman" w:hAnsi="Times New Roman" w:cs="Times New Roman"/>
          <w:color w:val="auto"/>
          <w:vertAlign w:val="subscript"/>
          <w:lang w:eastAsia="zh-CN"/>
        </w:rPr>
        <w:t>2</w:t>
      </w:r>
    </w:p>
    <w:p w14:paraId="440684B3">
      <w:pPr>
        <w:widowControl w:val="0"/>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根据工程分析可知：项目储罐中储存的物质为无水氟化氢、</w:t>
      </w:r>
      <w:r>
        <w:rPr>
          <w:rFonts w:hint="eastAsia" w:ascii="Times New Roman" w:hAnsi="Times New Roman" w:cs="Times New Roman"/>
          <w:color w:val="auto"/>
          <w:lang w:eastAsia="zh-CN"/>
        </w:rPr>
        <w:t>15%</w:t>
      </w:r>
      <w:r>
        <w:rPr>
          <w:rFonts w:ascii="Times New Roman" w:hAnsi="Times New Roman" w:cs="Times New Roman"/>
          <w:color w:val="auto"/>
          <w:lang w:eastAsia="zh-CN"/>
        </w:rPr>
        <w:t>氢氟酸水溶液</w:t>
      </w:r>
      <w:r>
        <w:rPr>
          <w:rFonts w:hint="eastAsia" w:ascii="Times New Roman" w:hAnsi="Times New Roman" w:cs="Times New Roman"/>
          <w:color w:val="auto"/>
          <w:lang w:eastAsia="zh-CN"/>
        </w:rPr>
        <w:t>、31%</w:t>
      </w:r>
      <w:r>
        <w:rPr>
          <w:rFonts w:ascii="Times New Roman" w:hAnsi="Times New Roman" w:cs="Times New Roman"/>
          <w:color w:val="auto"/>
          <w:lang w:eastAsia="zh-CN"/>
        </w:rPr>
        <w:t>盐酸</w:t>
      </w:r>
      <w:r>
        <w:rPr>
          <w:rFonts w:hint="eastAsia" w:ascii="Times New Roman" w:hAnsi="Times New Roman" w:cs="Times New Roman"/>
          <w:color w:val="auto"/>
          <w:lang w:eastAsia="zh-CN"/>
        </w:rPr>
        <w:t>、刻蚀液、化学纯氢氟酸</w:t>
      </w:r>
      <w:r>
        <w:rPr>
          <w:rFonts w:ascii="Times New Roman" w:hAnsi="Times New Roman" w:cs="Times New Roman"/>
          <w:color w:val="auto"/>
          <w:lang w:eastAsia="zh-CN"/>
        </w:rPr>
        <w:t>，罐区不涉及可燃物质，因此考虑生产厂房发生火灾事故时项目事故池的设置情况</w:t>
      </w:r>
      <w:r>
        <w:rPr>
          <w:rFonts w:hint="eastAsia" w:ascii="Times New Roman" w:hAnsi="Times New Roman" w:cs="Times New Roman"/>
          <w:color w:val="auto"/>
          <w:lang w:eastAsia="zh-CN"/>
        </w:rPr>
        <w:t>。</w:t>
      </w:r>
    </w:p>
    <w:p w14:paraId="33034780">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w:t>
      </w:r>
      <w:r>
        <w:rPr>
          <w:rFonts w:hint="eastAsia" w:ascii="Times New Roman" w:hAnsi="Times New Roman" w:cs="Times New Roman"/>
          <w:color w:val="auto"/>
          <w:lang w:eastAsia="zh-CN"/>
        </w:rPr>
        <w:t>《消防给水及消火栓系统技术规范》（GB50974-2014）、</w:t>
      </w:r>
      <w:r>
        <w:rPr>
          <w:rFonts w:ascii="Times New Roman" w:hAnsi="Times New Roman" w:cs="Times New Roman"/>
          <w:color w:val="auto"/>
          <w:lang w:eastAsia="zh-CN"/>
        </w:rPr>
        <w:t>《石油化工企业设计防火标准》GB50160-2008（2018年版）和设计单位提供的资料，本项目</w:t>
      </w:r>
      <w:r>
        <w:rPr>
          <w:rFonts w:hint="eastAsia" w:ascii="Times New Roman" w:hAnsi="Times New Roman" w:cs="Times New Roman"/>
          <w:color w:val="auto"/>
          <w:lang w:eastAsia="zh-CN"/>
        </w:rPr>
        <w:t>新增</w:t>
      </w:r>
      <w:r>
        <w:rPr>
          <w:rFonts w:ascii="Times New Roman" w:hAnsi="Times New Roman" w:cs="Times New Roman"/>
          <w:color w:val="auto"/>
          <w:lang w:eastAsia="zh-CN"/>
        </w:rPr>
        <w:t>构筑物消防水量计算见下表。</w:t>
      </w:r>
    </w:p>
    <w:p w14:paraId="1FDABA77">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表7.</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2</w:t>
      </w:r>
      <w:r>
        <w:rPr>
          <w:rFonts w:ascii="Times New Roman" w:hAnsi="Times New Roman" w:cs="Times New Roman"/>
          <w:b/>
          <w:bCs/>
          <w:color w:val="auto"/>
          <w:lang w:eastAsia="zh-CN"/>
        </w:rPr>
        <w:t xml:space="preserve"> 各构筑物消防水量计算</w:t>
      </w:r>
    </w:p>
    <w:tbl>
      <w:tblPr>
        <w:tblStyle w:val="35"/>
        <w:tblW w:w="4995"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2574"/>
        <w:gridCol w:w="1285"/>
        <w:gridCol w:w="1289"/>
        <w:gridCol w:w="2370"/>
        <w:gridCol w:w="2218"/>
      </w:tblGrid>
      <w:tr w14:paraId="4B6BEB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12" w:hRule="atLeast"/>
        </w:trPr>
        <w:tc>
          <w:tcPr>
            <w:tcW w:w="1322" w:type="pct"/>
            <w:vMerge w:val="restart"/>
            <w:vAlign w:val="center"/>
          </w:tcPr>
          <w:p w14:paraId="013C0BC2">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构筑物</w:t>
            </w:r>
          </w:p>
        </w:tc>
        <w:tc>
          <w:tcPr>
            <w:tcW w:w="2539" w:type="pct"/>
            <w:gridSpan w:val="3"/>
            <w:vAlign w:val="center"/>
          </w:tcPr>
          <w:p w14:paraId="779BB178">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消火栓设计流量（L/s）</w:t>
            </w:r>
          </w:p>
        </w:tc>
        <w:tc>
          <w:tcPr>
            <w:tcW w:w="1139" w:type="pct"/>
            <w:vMerge w:val="restart"/>
            <w:vAlign w:val="center"/>
          </w:tcPr>
          <w:p w14:paraId="2AF437F1">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消防用水合计</w:t>
            </w:r>
          </w:p>
          <w:p w14:paraId="7612D46A">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（m</w:t>
            </w:r>
            <w:r>
              <w:rPr>
                <w:rFonts w:ascii="Times New Roman" w:hAnsi="Times New Roman" w:cs="Times New Roman"/>
                <w:b/>
                <w:bCs/>
                <w:color w:val="auto"/>
                <w:sz w:val="21"/>
                <w:vertAlign w:val="superscript"/>
              </w:rPr>
              <w:t>3</w:t>
            </w:r>
            <w:r>
              <w:rPr>
                <w:rFonts w:ascii="Times New Roman" w:hAnsi="Times New Roman" w:cs="Times New Roman"/>
                <w:b/>
                <w:bCs/>
                <w:color w:val="auto"/>
                <w:sz w:val="21"/>
              </w:rPr>
              <w:t>）</w:t>
            </w:r>
          </w:p>
        </w:tc>
      </w:tr>
      <w:tr w14:paraId="609940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1322" w:type="pct"/>
            <w:vMerge w:val="continue"/>
            <w:vAlign w:val="center"/>
          </w:tcPr>
          <w:p w14:paraId="063F3D47">
            <w:pPr>
              <w:adjustRightInd w:val="0"/>
              <w:snapToGrid w:val="0"/>
              <w:jc w:val="center"/>
              <w:rPr>
                <w:rFonts w:ascii="Times New Roman" w:hAnsi="Times New Roman" w:cs="Times New Roman"/>
                <w:color w:val="auto"/>
                <w:sz w:val="21"/>
              </w:rPr>
            </w:pPr>
          </w:p>
        </w:tc>
        <w:tc>
          <w:tcPr>
            <w:tcW w:w="660" w:type="pct"/>
            <w:vAlign w:val="center"/>
          </w:tcPr>
          <w:p w14:paraId="431E8630">
            <w:pPr>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室内</w:t>
            </w:r>
          </w:p>
        </w:tc>
        <w:tc>
          <w:tcPr>
            <w:tcW w:w="662" w:type="pct"/>
            <w:vAlign w:val="center"/>
          </w:tcPr>
          <w:p w14:paraId="050EBE87">
            <w:pPr>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室外</w:t>
            </w:r>
          </w:p>
        </w:tc>
        <w:tc>
          <w:tcPr>
            <w:tcW w:w="1217" w:type="pct"/>
            <w:vAlign w:val="center"/>
          </w:tcPr>
          <w:p w14:paraId="21AFE16A">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火灾延续时间（h）</w:t>
            </w:r>
          </w:p>
        </w:tc>
        <w:tc>
          <w:tcPr>
            <w:tcW w:w="1139" w:type="pct"/>
            <w:vMerge w:val="continue"/>
            <w:vAlign w:val="center"/>
          </w:tcPr>
          <w:p w14:paraId="736764F7">
            <w:pPr>
              <w:adjustRightInd w:val="0"/>
              <w:snapToGrid w:val="0"/>
              <w:jc w:val="center"/>
              <w:rPr>
                <w:rFonts w:ascii="Times New Roman" w:hAnsi="Times New Roman" w:cs="Times New Roman"/>
                <w:color w:val="auto"/>
                <w:sz w:val="21"/>
              </w:rPr>
            </w:pPr>
          </w:p>
        </w:tc>
      </w:tr>
      <w:tr w14:paraId="0422C3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1322" w:type="pct"/>
            <w:vAlign w:val="center"/>
          </w:tcPr>
          <w:p w14:paraId="724006A4">
            <w:pPr>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刻蚀液混配车间</w:t>
            </w:r>
          </w:p>
        </w:tc>
        <w:tc>
          <w:tcPr>
            <w:tcW w:w="660" w:type="pct"/>
            <w:vAlign w:val="center"/>
          </w:tcPr>
          <w:p w14:paraId="1D4BAAEE">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15</w:t>
            </w:r>
          </w:p>
        </w:tc>
        <w:tc>
          <w:tcPr>
            <w:tcW w:w="662" w:type="pct"/>
            <w:vAlign w:val="center"/>
          </w:tcPr>
          <w:p w14:paraId="7AE92EEB">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20</w:t>
            </w:r>
          </w:p>
        </w:tc>
        <w:tc>
          <w:tcPr>
            <w:tcW w:w="1217" w:type="pct"/>
            <w:vAlign w:val="center"/>
          </w:tcPr>
          <w:p w14:paraId="5EB9F1FE">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3</w:t>
            </w:r>
          </w:p>
        </w:tc>
        <w:tc>
          <w:tcPr>
            <w:tcW w:w="1139" w:type="pct"/>
            <w:vAlign w:val="center"/>
          </w:tcPr>
          <w:p w14:paraId="1E858A99">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378</w:t>
            </w:r>
          </w:p>
        </w:tc>
      </w:tr>
      <w:tr w14:paraId="44959E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1322" w:type="pct"/>
            <w:vAlign w:val="center"/>
          </w:tcPr>
          <w:p w14:paraId="148AF410">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综合车间</w:t>
            </w:r>
          </w:p>
        </w:tc>
        <w:tc>
          <w:tcPr>
            <w:tcW w:w="660" w:type="pct"/>
            <w:vAlign w:val="center"/>
          </w:tcPr>
          <w:p w14:paraId="31C1BB57">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15</w:t>
            </w:r>
          </w:p>
        </w:tc>
        <w:tc>
          <w:tcPr>
            <w:tcW w:w="662" w:type="pct"/>
            <w:vAlign w:val="center"/>
          </w:tcPr>
          <w:p w14:paraId="703CD4EA">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20</w:t>
            </w:r>
          </w:p>
        </w:tc>
        <w:tc>
          <w:tcPr>
            <w:tcW w:w="1217" w:type="pct"/>
            <w:vAlign w:val="center"/>
          </w:tcPr>
          <w:p w14:paraId="68C10CD1">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3</w:t>
            </w:r>
          </w:p>
        </w:tc>
        <w:tc>
          <w:tcPr>
            <w:tcW w:w="1139" w:type="pct"/>
            <w:vAlign w:val="center"/>
          </w:tcPr>
          <w:p w14:paraId="511598D9">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378</w:t>
            </w:r>
          </w:p>
        </w:tc>
      </w:tr>
    </w:tbl>
    <w:p w14:paraId="3E3D1A72">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根据上表取厂内一次最大消防用水量为</w:t>
      </w:r>
      <w:r>
        <w:rPr>
          <w:rFonts w:hint="eastAsia" w:ascii="Times New Roman" w:hAnsi="Times New Roman" w:cs="Times New Roman"/>
          <w:color w:val="auto"/>
          <w:lang w:eastAsia="zh-CN"/>
        </w:rPr>
        <w:t>378</w:t>
      </w:r>
      <w:r>
        <w:rPr>
          <w:rFonts w:ascii="Times New Roman" w:hAnsi="Times New Roman" w:cs="Times New Roman"/>
          <w:color w:val="auto"/>
          <w:lang w:eastAsia="zh-CN"/>
        </w:rPr>
        <w:t>m</w:t>
      </w:r>
      <w:r>
        <w:rPr>
          <w:rFonts w:ascii="Times New Roman" w:hAnsi="Times New Roman" w:cs="Times New Roman"/>
          <w:color w:val="auto"/>
          <w:vertAlign w:val="superscript"/>
          <w:lang w:eastAsia="zh-CN"/>
        </w:rPr>
        <w:t>3</w:t>
      </w:r>
      <w:r>
        <w:rPr>
          <w:rFonts w:ascii="Times New Roman" w:hAnsi="Times New Roman" w:cs="Times New Roman"/>
          <w:color w:val="auto"/>
          <w:lang w:eastAsia="zh-CN"/>
        </w:rPr>
        <w:t>。</w:t>
      </w:r>
    </w:p>
    <w:p w14:paraId="492C696C">
      <w:pPr>
        <w:widowControl w:val="0"/>
        <w:spacing w:line="360" w:lineRule="auto"/>
        <w:ind w:firstLine="480" w:firstLineChars="200"/>
        <w:jc w:val="both"/>
        <w:rPr>
          <w:rFonts w:ascii="Times New Roman" w:hAnsi="Times New Roman" w:cs="Times New Roman"/>
          <w:color w:val="auto"/>
          <w:lang w:eastAsia="zh-CN"/>
        </w:rPr>
      </w:pPr>
      <w:r>
        <w:rPr>
          <w:rFonts w:ascii="宋体" w:hAnsi="宋体" w:cs="Cambria Math"/>
          <w:color w:val="auto"/>
          <w:lang w:eastAsia="zh-CN"/>
        </w:rPr>
        <w:t>③</w:t>
      </w:r>
      <w:r>
        <w:rPr>
          <w:rFonts w:ascii="Times New Roman" w:hAnsi="Times New Roman" w:cs="Times New Roman"/>
          <w:color w:val="auto"/>
          <w:lang w:eastAsia="zh-CN"/>
        </w:rPr>
        <w:t xml:space="preserve"> 转输到其他储存或处理设施的物料量V</w:t>
      </w:r>
      <w:r>
        <w:rPr>
          <w:rFonts w:ascii="Times New Roman" w:hAnsi="Times New Roman" w:cs="Times New Roman"/>
          <w:color w:val="auto"/>
          <w:vertAlign w:val="subscript"/>
          <w:lang w:eastAsia="zh-CN"/>
        </w:rPr>
        <w:t>3</w:t>
      </w:r>
    </w:p>
    <w:p w14:paraId="47D51E30">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拟建项目发生泄露时不会转移到其他储运或处理设施，则</w:t>
      </w:r>
      <w:r>
        <w:rPr>
          <w:rFonts w:ascii="Times New Roman" w:hAnsi="Times New Roman" w:cs="Times New Roman"/>
          <w:color w:val="auto"/>
          <w:lang w:eastAsia="zh-CN" w:bidi="ar"/>
        </w:rPr>
        <w:t>V</w:t>
      </w:r>
      <w:r>
        <w:rPr>
          <w:rFonts w:ascii="Times New Roman" w:hAnsi="Times New Roman" w:cs="Times New Roman"/>
          <w:color w:val="auto"/>
          <w:vertAlign w:val="subscript"/>
          <w:lang w:eastAsia="zh-CN" w:bidi="ar"/>
        </w:rPr>
        <w:t>3</w:t>
      </w:r>
      <w:r>
        <w:rPr>
          <w:rFonts w:ascii="Times New Roman" w:hAnsi="Times New Roman" w:cs="Times New Roman"/>
          <w:color w:val="auto"/>
          <w:lang w:eastAsia="zh-CN"/>
        </w:rPr>
        <w:t>取0；</w:t>
      </w:r>
    </w:p>
    <w:p w14:paraId="55F3FBFE">
      <w:pPr>
        <w:widowControl w:val="0"/>
        <w:spacing w:line="360" w:lineRule="auto"/>
        <w:ind w:firstLine="480" w:firstLineChars="200"/>
        <w:jc w:val="both"/>
        <w:rPr>
          <w:rFonts w:ascii="Times New Roman" w:hAnsi="Times New Roman" w:cs="Times New Roman"/>
          <w:color w:val="auto"/>
          <w:lang w:eastAsia="zh-CN"/>
        </w:rPr>
      </w:pPr>
      <w:r>
        <w:rPr>
          <w:rFonts w:ascii="宋体" w:hAnsi="宋体" w:cs="Cambria Math"/>
          <w:color w:val="auto"/>
          <w:lang w:eastAsia="zh-CN"/>
        </w:rPr>
        <w:t>④</w:t>
      </w:r>
      <w:r>
        <w:rPr>
          <w:rFonts w:ascii="Times New Roman" w:hAnsi="Times New Roman" w:cs="Times New Roman"/>
          <w:color w:val="auto"/>
          <w:lang w:eastAsia="zh-CN"/>
        </w:rPr>
        <w:t xml:space="preserve"> 生产废水V</w:t>
      </w:r>
      <w:r>
        <w:rPr>
          <w:rFonts w:ascii="Times New Roman" w:hAnsi="Times New Roman" w:cs="Times New Roman"/>
          <w:color w:val="auto"/>
          <w:vertAlign w:val="subscript"/>
          <w:lang w:eastAsia="zh-CN"/>
        </w:rPr>
        <w:t>4</w:t>
      </w:r>
    </w:p>
    <w:p w14:paraId="0C170FFA">
      <w:pPr>
        <w:widowControl w:val="0"/>
        <w:spacing w:line="360" w:lineRule="auto"/>
        <w:ind w:firstLine="480" w:firstLineChars="200"/>
        <w:jc w:val="both"/>
        <w:rPr>
          <w:rFonts w:ascii="Times New Roman" w:hAnsi="Times New Roman" w:cs="Times New Roman"/>
          <w:color w:val="auto"/>
          <w:lang w:eastAsia="zh-CN" w:bidi="ar"/>
        </w:rPr>
      </w:pPr>
      <w:r>
        <w:rPr>
          <w:rFonts w:ascii="Times New Roman" w:hAnsi="Times New Roman" w:cs="Times New Roman"/>
          <w:color w:val="auto"/>
          <w:lang w:eastAsia="zh-CN" w:bidi="ar"/>
        </w:rPr>
        <w:t>结合工程分析结果，全厂经污水处理系统处理的废水最大产生量为</w:t>
      </w:r>
      <w:r>
        <w:rPr>
          <w:rFonts w:hint="eastAsia" w:ascii="Times New Roman" w:hAnsi="Times New Roman" w:cs="Times New Roman"/>
          <w:color w:val="auto"/>
          <w:lang w:eastAsia="zh-CN" w:bidi="ar"/>
        </w:rPr>
        <w:t>31.96</w:t>
      </w:r>
      <w:r>
        <w:rPr>
          <w:rFonts w:ascii="Times New Roman" w:hAnsi="Times New Roman" w:cs="Times New Roman"/>
          <w:color w:val="auto"/>
          <w:lang w:eastAsia="zh-CN" w:bidi="ar"/>
        </w:rPr>
        <w:t>m</w:t>
      </w:r>
      <w:r>
        <w:rPr>
          <w:rFonts w:ascii="Times New Roman" w:hAnsi="Times New Roman" w:cs="Times New Roman"/>
          <w:color w:val="auto"/>
          <w:vertAlign w:val="superscript"/>
          <w:lang w:eastAsia="zh-CN" w:bidi="ar"/>
        </w:rPr>
        <w:t>3</w:t>
      </w:r>
      <w:r>
        <w:rPr>
          <w:rFonts w:ascii="Times New Roman" w:hAnsi="Times New Roman" w:cs="Times New Roman"/>
          <w:color w:val="auto"/>
          <w:lang w:eastAsia="zh-CN" w:bidi="ar"/>
        </w:rPr>
        <w:t>/d，事故状况下污水处理系统配备的废水槽能够容纳24h的生产废水，另外，事故后一般会立即停止生产，项目废水收集池能够满足事故状况下废水暂存，不需进入事故池，</w:t>
      </w:r>
      <w:r>
        <w:rPr>
          <w:rFonts w:ascii="Times New Roman" w:hAnsi="Times New Roman" w:cs="Times New Roman"/>
          <w:color w:val="auto"/>
          <w:lang w:eastAsia="zh-CN"/>
        </w:rPr>
        <w:t>则</w:t>
      </w:r>
      <w:r>
        <w:rPr>
          <w:rFonts w:ascii="Times New Roman" w:hAnsi="Times New Roman" w:cs="Times New Roman"/>
          <w:color w:val="auto"/>
          <w:lang w:eastAsia="zh-CN" w:bidi="ar"/>
        </w:rPr>
        <w:t>V</w:t>
      </w:r>
      <w:r>
        <w:rPr>
          <w:rFonts w:ascii="Times New Roman" w:hAnsi="Times New Roman" w:cs="Times New Roman"/>
          <w:color w:val="auto"/>
          <w:vertAlign w:val="subscript"/>
          <w:lang w:eastAsia="zh-CN" w:bidi="ar"/>
        </w:rPr>
        <w:t>4</w:t>
      </w:r>
      <w:r>
        <w:rPr>
          <w:rFonts w:ascii="Times New Roman" w:hAnsi="Times New Roman" w:cs="Times New Roman"/>
          <w:color w:val="auto"/>
          <w:lang w:eastAsia="zh-CN"/>
        </w:rPr>
        <w:t>取0；</w:t>
      </w:r>
    </w:p>
    <w:p w14:paraId="6BCC8EFB">
      <w:pPr>
        <w:widowControl w:val="0"/>
        <w:spacing w:line="360" w:lineRule="auto"/>
        <w:ind w:firstLine="480" w:firstLineChars="200"/>
        <w:jc w:val="both"/>
        <w:rPr>
          <w:rFonts w:ascii="Times New Roman" w:hAnsi="Times New Roman" w:cs="Times New Roman"/>
          <w:color w:val="auto"/>
          <w:lang w:eastAsia="zh-CN"/>
        </w:rPr>
      </w:pPr>
      <w:r>
        <w:rPr>
          <w:rFonts w:ascii="宋体" w:hAnsi="宋体" w:cs="Cambria Math"/>
          <w:color w:val="auto"/>
          <w:lang w:eastAsia="zh-CN"/>
        </w:rPr>
        <w:t>⑤</w:t>
      </w:r>
      <w:r>
        <w:rPr>
          <w:rFonts w:ascii="Times New Roman" w:hAnsi="Times New Roman" w:cs="Times New Roman"/>
          <w:color w:val="auto"/>
          <w:lang w:eastAsia="zh-CN"/>
        </w:rPr>
        <w:t xml:space="preserve"> 事故雨水V</w:t>
      </w:r>
      <w:r>
        <w:rPr>
          <w:rFonts w:ascii="Times New Roman" w:hAnsi="Times New Roman" w:cs="Times New Roman"/>
          <w:color w:val="auto"/>
          <w:vertAlign w:val="subscript"/>
          <w:lang w:eastAsia="zh-CN"/>
        </w:rPr>
        <w:t>5</w:t>
      </w:r>
    </w:p>
    <w:p w14:paraId="219636FC">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本次评价二十年地面气象资料来源于蚌埠站，q</w:t>
      </w:r>
      <w:r>
        <w:rPr>
          <w:rFonts w:ascii="Times New Roman" w:hAnsi="Times New Roman" w:cs="Times New Roman"/>
          <w:color w:val="auto"/>
          <w:vertAlign w:val="subscript"/>
          <w:lang w:eastAsia="zh-CN"/>
        </w:rPr>
        <w:t>a</w:t>
      </w:r>
      <w:r>
        <w:rPr>
          <w:rFonts w:ascii="Times New Roman" w:hAnsi="Times New Roman" w:cs="Times New Roman"/>
          <w:color w:val="auto"/>
          <w:lang w:eastAsia="zh-CN"/>
        </w:rPr>
        <w:t>年平均降雨量905.4mm，年平均降雨日数为183天，降雨强度q为4.95mm，汇水面积按厂区生产装置区面积</w:t>
      </w:r>
      <w:r>
        <w:rPr>
          <w:rFonts w:hint="eastAsia" w:ascii="Times New Roman" w:hAnsi="Times New Roman" w:cs="Times New Roman"/>
          <w:color w:val="auto"/>
          <w:lang w:eastAsia="zh-CN"/>
        </w:rPr>
        <w:t>2.26</w:t>
      </w:r>
      <w:r>
        <w:rPr>
          <w:rFonts w:ascii="Times New Roman" w:hAnsi="Times New Roman" w:cs="Times New Roman"/>
          <w:color w:val="auto"/>
          <w:lang w:eastAsia="zh-CN"/>
        </w:rPr>
        <w:t>ha估算，进入该收集系统的降雨量V</w:t>
      </w:r>
      <w:r>
        <w:rPr>
          <w:rFonts w:ascii="Times New Roman" w:hAnsi="Times New Roman" w:cs="Times New Roman"/>
          <w:color w:val="auto"/>
          <w:vertAlign w:val="subscript"/>
          <w:lang w:eastAsia="zh-CN"/>
        </w:rPr>
        <w:t>5</w:t>
      </w:r>
      <w:r>
        <w:rPr>
          <w:rFonts w:ascii="Times New Roman" w:hAnsi="Times New Roman" w:cs="Times New Roman"/>
          <w:color w:val="auto"/>
          <w:lang w:eastAsia="zh-CN"/>
        </w:rPr>
        <w:t>为</w:t>
      </w:r>
      <w:r>
        <w:rPr>
          <w:rFonts w:hint="eastAsia" w:ascii="Times New Roman" w:hAnsi="Times New Roman" w:cs="Times New Roman"/>
          <w:color w:val="auto"/>
          <w:lang w:eastAsia="zh-CN"/>
        </w:rPr>
        <w:t>111.87</w:t>
      </w:r>
      <w:r>
        <w:rPr>
          <w:rFonts w:ascii="Times New Roman" w:hAnsi="Times New Roman" w:cs="Times New Roman"/>
          <w:color w:val="auto"/>
          <w:lang w:eastAsia="zh-CN"/>
        </w:rPr>
        <w:t>m</w:t>
      </w:r>
      <w:r>
        <w:rPr>
          <w:rFonts w:ascii="Times New Roman" w:hAnsi="Times New Roman" w:cs="Times New Roman"/>
          <w:color w:val="auto"/>
          <w:vertAlign w:val="superscript"/>
          <w:lang w:eastAsia="zh-CN"/>
        </w:rPr>
        <w:t>3</w:t>
      </w:r>
      <w:r>
        <w:rPr>
          <w:rFonts w:ascii="Times New Roman" w:hAnsi="Times New Roman" w:cs="Times New Roman"/>
          <w:color w:val="auto"/>
          <w:lang w:eastAsia="zh-CN"/>
        </w:rPr>
        <w:t>。</w:t>
      </w:r>
    </w:p>
    <w:p w14:paraId="1AC82882">
      <w:pPr>
        <w:spacing w:line="360" w:lineRule="auto"/>
        <w:jc w:val="center"/>
        <w:rPr>
          <w:rFonts w:ascii="Times New Roman" w:hAnsi="Times New Roman" w:cs="Times New Roman"/>
          <w:b/>
          <w:color w:val="auto"/>
          <w:lang w:eastAsia="zh-CN"/>
        </w:rPr>
      </w:pPr>
      <w:r>
        <w:rPr>
          <w:rFonts w:ascii="Times New Roman" w:hAnsi="Times New Roman" w:cs="Times New Roman"/>
          <w:b/>
          <w:color w:val="auto"/>
          <w:lang w:eastAsia="zh-CN"/>
        </w:rPr>
        <w:t>表7.</w:t>
      </w:r>
      <w:r>
        <w:rPr>
          <w:rFonts w:hint="eastAsia" w:ascii="Times New Roman" w:hAnsi="Times New Roman" w:cs="Times New Roman"/>
          <w:b/>
          <w:color w:val="auto"/>
          <w:lang w:eastAsia="zh-CN"/>
        </w:rPr>
        <w:t>9</w:t>
      </w:r>
      <w:r>
        <w:rPr>
          <w:rFonts w:ascii="Times New Roman" w:hAnsi="Times New Roman" w:cs="Times New Roman"/>
          <w:b/>
          <w:color w:val="auto"/>
          <w:lang w:eastAsia="zh-CN"/>
        </w:rPr>
        <w:t>-</w:t>
      </w:r>
      <w:r>
        <w:rPr>
          <w:rFonts w:hint="eastAsia" w:ascii="Times New Roman" w:hAnsi="Times New Roman" w:cs="Times New Roman"/>
          <w:b/>
          <w:color w:val="auto"/>
          <w:lang w:eastAsia="zh-CN"/>
        </w:rPr>
        <w:t>3</w:t>
      </w:r>
      <w:r>
        <w:rPr>
          <w:rFonts w:ascii="Times New Roman" w:hAnsi="Times New Roman" w:cs="Times New Roman"/>
          <w:b/>
          <w:color w:val="auto"/>
          <w:lang w:eastAsia="zh-CN"/>
        </w:rPr>
        <w:t xml:space="preserve"> 事故应急池池容积估算</w:t>
      </w:r>
    </w:p>
    <w:tbl>
      <w:tblPr>
        <w:tblStyle w:val="35"/>
        <w:tblW w:w="4995"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1714"/>
        <w:gridCol w:w="1336"/>
        <w:gridCol w:w="1338"/>
        <w:gridCol w:w="1338"/>
        <w:gridCol w:w="1336"/>
        <w:gridCol w:w="1338"/>
        <w:gridCol w:w="1336"/>
      </w:tblGrid>
      <w:tr w14:paraId="04E9502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PrEx>
        <w:trPr>
          <w:trHeight w:val="397" w:hRule="atLeast"/>
          <w:jc w:val="center"/>
        </w:trPr>
        <w:tc>
          <w:tcPr>
            <w:tcW w:w="880" w:type="pct"/>
            <w:tcMar>
              <w:top w:w="0" w:type="dxa"/>
              <w:left w:w="0" w:type="dxa"/>
              <w:bottom w:w="0" w:type="dxa"/>
              <w:right w:w="0" w:type="dxa"/>
            </w:tcMar>
            <w:vAlign w:val="center"/>
          </w:tcPr>
          <w:p w14:paraId="38D879C7">
            <w:pPr>
              <w:pStyle w:val="62"/>
              <w:adjustRightInd w:val="0"/>
              <w:snapToGrid w:val="0"/>
              <w:jc w:val="center"/>
              <w:rPr>
                <w:rFonts w:ascii="Times New Roman" w:hAnsi="Times New Roman" w:eastAsia="宋体"/>
                <w:b/>
                <w:color w:val="auto"/>
                <w:sz w:val="21"/>
                <w:szCs w:val="21"/>
              </w:rPr>
            </w:pPr>
            <w:r>
              <w:rPr>
                <w:rFonts w:ascii="Times New Roman" w:hAnsi="Times New Roman" w:eastAsia="宋体"/>
                <w:b/>
                <w:color w:val="auto"/>
                <w:sz w:val="21"/>
                <w:szCs w:val="21"/>
              </w:rPr>
              <w:t>构筑物</w:t>
            </w:r>
          </w:p>
        </w:tc>
        <w:tc>
          <w:tcPr>
            <w:tcW w:w="686" w:type="pct"/>
            <w:tcMar>
              <w:top w:w="0" w:type="dxa"/>
              <w:left w:w="0" w:type="dxa"/>
              <w:bottom w:w="0" w:type="dxa"/>
              <w:right w:w="0" w:type="dxa"/>
            </w:tcMar>
            <w:vAlign w:val="center"/>
          </w:tcPr>
          <w:p w14:paraId="63C4973D">
            <w:pPr>
              <w:pStyle w:val="62"/>
              <w:adjustRightInd w:val="0"/>
              <w:snapToGrid w:val="0"/>
              <w:jc w:val="center"/>
              <w:rPr>
                <w:rFonts w:ascii="Times New Roman" w:hAnsi="Times New Roman" w:eastAsia="宋体"/>
                <w:b/>
                <w:color w:val="auto"/>
                <w:sz w:val="21"/>
                <w:szCs w:val="21"/>
              </w:rPr>
            </w:pPr>
            <w:r>
              <w:rPr>
                <w:rFonts w:ascii="Times New Roman" w:hAnsi="Times New Roman" w:eastAsia="宋体"/>
                <w:b/>
                <w:color w:val="auto"/>
                <w:sz w:val="21"/>
                <w:szCs w:val="21"/>
              </w:rPr>
              <w:t>V</w:t>
            </w:r>
            <w:r>
              <w:rPr>
                <w:rFonts w:ascii="Times New Roman" w:hAnsi="Times New Roman" w:eastAsia="宋体"/>
                <w:b/>
                <w:color w:val="auto"/>
                <w:sz w:val="21"/>
                <w:szCs w:val="21"/>
                <w:vertAlign w:val="subscript"/>
              </w:rPr>
              <w:t>1</w:t>
            </w:r>
            <w:r>
              <w:rPr>
                <w:rFonts w:ascii="Times New Roman" w:hAnsi="Times New Roman" w:eastAsia="宋体"/>
                <w:b/>
                <w:color w:val="auto"/>
                <w:sz w:val="21"/>
                <w:szCs w:val="21"/>
              </w:rPr>
              <w:t>(m</w:t>
            </w:r>
            <w:r>
              <w:rPr>
                <w:rFonts w:ascii="Times New Roman" w:hAnsi="Times New Roman" w:eastAsia="宋体"/>
                <w:b/>
                <w:color w:val="auto"/>
                <w:sz w:val="21"/>
                <w:szCs w:val="21"/>
                <w:vertAlign w:val="superscript"/>
              </w:rPr>
              <w:t>3</w:t>
            </w:r>
            <w:r>
              <w:rPr>
                <w:rFonts w:ascii="Times New Roman" w:hAnsi="Times New Roman" w:eastAsia="宋体"/>
                <w:b/>
                <w:color w:val="auto"/>
                <w:sz w:val="21"/>
                <w:szCs w:val="21"/>
              </w:rPr>
              <w:t>)</w:t>
            </w:r>
          </w:p>
        </w:tc>
        <w:tc>
          <w:tcPr>
            <w:tcW w:w="687" w:type="pct"/>
            <w:tcMar>
              <w:top w:w="0" w:type="dxa"/>
              <w:left w:w="0" w:type="dxa"/>
              <w:bottom w:w="0" w:type="dxa"/>
              <w:right w:w="0" w:type="dxa"/>
            </w:tcMar>
            <w:vAlign w:val="center"/>
          </w:tcPr>
          <w:p w14:paraId="07EAF819">
            <w:pPr>
              <w:pStyle w:val="62"/>
              <w:adjustRightInd w:val="0"/>
              <w:snapToGrid w:val="0"/>
              <w:jc w:val="center"/>
              <w:rPr>
                <w:rFonts w:ascii="Times New Roman" w:hAnsi="Times New Roman" w:eastAsia="宋体"/>
                <w:b/>
                <w:color w:val="auto"/>
                <w:sz w:val="21"/>
                <w:szCs w:val="21"/>
              </w:rPr>
            </w:pPr>
            <w:r>
              <w:rPr>
                <w:rFonts w:ascii="Times New Roman" w:hAnsi="Times New Roman" w:eastAsia="宋体"/>
                <w:b/>
                <w:color w:val="auto"/>
                <w:sz w:val="21"/>
                <w:szCs w:val="21"/>
              </w:rPr>
              <w:t>V</w:t>
            </w:r>
            <w:r>
              <w:rPr>
                <w:rFonts w:ascii="Times New Roman" w:hAnsi="Times New Roman" w:eastAsia="宋体"/>
                <w:b/>
                <w:color w:val="auto"/>
                <w:sz w:val="21"/>
                <w:szCs w:val="21"/>
                <w:vertAlign w:val="subscript"/>
              </w:rPr>
              <w:t>2</w:t>
            </w:r>
            <w:r>
              <w:rPr>
                <w:rFonts w:ascii="Times New Roman" w:hAnsi="Times New Roman" w:eastAsia="宋体"/>
                <w:b/>
                <w:color w:val="auto"/>
                <w:sz w:val="21"/>
                <w:szCs w:val="21"/>
              </w:rPr>
              <w:t>(m</w:t>
            </w:r>
            <w:r>
              <w:rPr>
                <w:rFonts w:ascii="Times New Roman" w:hAnsi="Times New Roman" w:eastAsia="宋体"/>
                <w:b/>
                <w:color w:val="auto"/>
                <w:sz w:val="21"/>
                <w:szCs w:val="21"/>
                <w:vertAlign w:val="superscript"/>
              </w:rPr>
              <w:t>3</w:t>
            </w:r>
            <w:r>
              <w:rPr>
                <w:rFonts w:ascii="Times New Roman" w:hAnsi="Times New Roman" w:eastAsia="宋体"/>
                <w:b/>
                <w:color w:val="auto"/>
                <w:sz w:val="21"/>
                <w:szCs w:val="21"/>
              </w:rPr>
              <w:t>)</w:t>
            </w:r>
          </w:p>
        </w:tc>
        <w:tc>
          <w:tcPr>
            <w:tcW w:w="687" w:type="pct"/>
            <w:tcMar>
              <w:top w:w="0" w:type="dxa"/>
              <w:left w:w="0" w:type="dxa"/>
              <w:bottom w:w="0" w:type="dxa"/>
              <w:right w:w="0" w:type="dxa"/>
            </w:tcMar>
            <w:vAlign w:val="center"/>
          </w:tcPr>
          <w:p w14:paraId="5C3C9100">
            <w:pPr>
              <w:pStyle w:val="62"/>
              <w:adjustRightInd w:val="0"/>
              <w:snapToGrid w:val="0"/>
              <w:jc w:val="center"/>
              <w:rPr>
                <w:rFonts w:ascii="Times New Roman" w:hAnsi="Times New Roman" w:eastAsia="宋体"/>
                <w:b/>
                <w:color w:val="auto"/>
                <w:sz w:val="21"/>
                <w:szCs w:val="21"/>
              </w:rPr>
            </w:pPr>
            <w:r>
              <w:rPr>
                <w:rFonts w:ascii="Times New Roman" w:hAnsi="Times New Roman" w:eastAsia="宋体"/>
                <w:b/>
                <w:color w:val="auto"/>
                <w:sz w:val="21"/>
                <w:szCs w:val="21"/>
              </w:rPr>
              <w:t>V</w:t>
            </w:r>
            <w:r>
              <w:rPr>
                <w:rFonts w:ascii="Times New Roman" w:hAnsi="Times New Roman" w:eastAsia="宋体"/>
                <w:b/>
                <w:color w:val="auto"/>
                <w:sz w:val="21"/>
                <w:szCs w:val="21"/>
                <w:vertAlign w:val="subscript"/>
              </w:rPr>
              <w:t>3</w:t>
            </w:r>
            <w:r>
              <w:rPr>
                <w:rFonts w:ascii="Times New Roman" w:hAnsi="Times New Roman" w:eastAsia="宋体"/>
                <w:b/>
                <w:color w:val="auto"/>
                <w:sz w:val="21"/>
                <w:szCs w:val="21"/>
              </w:rPr>
              <w:t>(m</w:t>
            </w:r>
            <w:r>
              <w:rPr>
                <w:rFonts w:ascii="Times New Roman" w:hAnsi="Times New Roman" w:eastAsia="宋体"/>
                <w:b/>
                <w:color w:val="auto"/>
                <w:sz w:val="21"/>
                <w:szCs w:val="21"/>
                <w:vertAlign w:val="superscript"/>
              </w:rPr>
              <w:t>3</w:t>
            </w:r>
            <w:r>
              <w:rPr>
                <w:rFonts w:ascii="Times New Roman" w:hAnsi="Times New Roman" w:eastAsia="宋体"/>
                <w:b/>
                <w:color w:val="auto"/>
                <w:sz w:val="21"/>
                <w:szCs w:val="21"/>
              </w:rPr>
              <w:t>)</w:t>
            </w:r>
          </w:p>
        </w:tc>
        <w:tc>
          <w:tcPr>
            <w:tcW w:w="686" w:type="pct"/>
            <w:tcMar>
              <w:top w:w="0" w:type="dxa"/>
              <w:left w:w="0" w:type="dxa"/>
              <w:bottom w:w="0" w:type="dxa"/>
              <w:right w:w="0" w:type="dxa"/>
            </w:tcMar>
            <w:vAlign w:val="center"/>
          </w:tcPr>
          <w:p w14:paraId="1A939680">
            <w:pPr>
              <w:pStyle w:val="62"/>
              <w:adjustRightInd w:val="0"/>
              <w:snapToGrid w:val="0"/>
              <w:jc w:val="center"/>
              <w:rPr>
                <w:rFonts w:ascii="Times New Roman" w:hAnsi="Times New Roman" w:eastAsia="宋体"/>
                <w:b/>
                <w:color w:val="auto"/>
                <w:sz w:val="21"/>
                <w:szCs w:val="21"/>
              </w:rPr>
            </w:pPr>
            <w:r>
              <w:rPr>
                <w:rFonts w:ascii="Times New Roman" w:hAnsi="Times New Roman" w:eastAsia="宋体"/>
                <w:b/>
                <w:color w:val="auto"/>
                <w:sz w:val="21"/>
                <w:szCs w:val="21"/>
              </w:rPr>
              <w:t>V</w:t>
            </w:r>
            <w:r>
              <w:rPr>
                <w:rFonts w:ascii="Times New Roman" w:hAnsi="Times New Roman" w:eastAsia="宋体"/>
                <w:b/>
                <w:color w:val="auto"/>
                <w:sz w:val="21"/>
                <w:szCs w:val="21"/>
                <w:vertAlign w:val="subscript"/>
                <w:lang w:eastAsia="zh-CN"/>
              </w:rPr>
              <w:t>4</w:t>
            </w:r>
            <w:r>
              <w:rPr>
                <w:rFonts w:ascii="Times New Roman" w:hAnsi="Times New Roman" w:eastAsia="宋体"/>
                <w:b/>
                <w:color w:val="auto"/>
                <w:sz w:val="21"/>
                <w:szCs w:val="21"/>
              </w:rPr>
              <w:t>(m</w:t>
            </w:r>
            <w:r>
              <w:rPr>
                <w:rFonts w:ascii="Times New Roman" w:hAnsi="Times New Roman" w:eastAsia="宋体"/>
                <w:b/>
                <w:color w:val="auto"/>
                <w:sz w:val="21"/>
                <w:szCs w:val="21"/>
                <w:vertAlign w:val="superscript"/>
              </w:rPr>
              <w:t>3</w:t>
            </w:r>
            <w:r>
              <w:rPr>
                <w:rFonts w:ascii="Times New Roman" w:hAnsi="Times New Roman" w:eastAsia="宋体"/>
                <w:b/>
                <w:color w:val="auto"/>
                <w:sz w:val="21"/>
                <w:szCs w:val="21"/>
              </w:rPr>
              <w:t>)</w:t>
            </w:r>
          </w:p>
        </w:tc>
        <w:tc>
          <w:tcPr>
            <w:tcW w:w="687" w:type="pct"/>
            <w:tcMar>
              <w:top w:w="0" w:type="dxa"/>
              <w:left w:w="0" w:type="dxa"/>
              <w:bottom w:w="0" w:type="dxa"/>
              <w:right w:w="0" w:type="dxa"/>
            </w:tcMar>
            <w:vAlign w:val="center"/>
          </w:tcPr>
          <w:p w14:paraId="2B017CC0">
            <w:pPr>
              <w:pStyle w:val="62"/>
              <w:adjustRightInd w:val="0"/>
              <w:snapToGrid w:val="0"/>
              <w:jc w:val="center"/>
              <w:rPr>
                <w:rFonts w:ascii="Times New Roman" w:hAnsi="Times New Roman" w:eastAsia="宋体"/>
                <w:b/>
                <w:color w:val="auto"/>
                <w:sz w:val="21"/>
                <w:szCs w:val="21"/>
              </w:rPr>
            </w:pPr>
            <w:r>
              <w:rPr>
                <w:rFonts w:ascii="Times New Roman" w:hAnsi="Times New Roman" w:eastAsia="宋体"/>
                <w:b/>
                <w:color w:val="auto"/>
                <w:sz w:val="21"/>
                <w:szCs w:val="21"/>
              </w:rPr>
              <w:t>V</w:t>
            </w:r>
            <w:r>
              <w:rPr>
                <w:rFonts w:ascii="Times New Roman" w:hAnsi="Times New Roman" w:eastAsia="宋体"/>
                <w:b/>
                <w:color w:val="auto"/>
                <w:sz w:val="21"/>
                <w:szCs w:val="21"/>
                <w:vertAlign w:val="subscript"/>
              </w:rPr>
              <w:t>雨水</w:t>
            </w:r>
            <w:r>
              <w:rPr>
                <w:rFonts w:ascii="Times New Roman" w:hAnsi="Times New Roman" w:eastAsia="宋体"/>
                <w:b/>
                <w:color w:val="auto"/>
                <w:sz w:val="21"/>
                <w:szCs w:val="21"/>
              </w:rPr>
              <w:t>(m</w:t>
            </w:r>
            <w:r>
              <w:rPr>
                <w:rFonts w:ascii="Times New Roman" w:hAnsi="Times New Roman" w:eastAsia="宋体"/>
                <w:b/>
                <w:color w:val="auto"/>
                <w:sz w:val="21"/>
                <w:szCs w:val="21"/>
                <w:vertAlign w:val="superscript"/>
              </w:rPr>
              <w:t>3</w:t>
            </w:r>
            <w:r>
              <w:rPr>
                <w:rFonts w:ascii="Times New Roman" w:hAnsi="Times New Roman" w:eastAsia="宋体"/>
                <w:b/>
                <w:color w:val="auto"/>
                <w:sz w:val="21"/>
                <w:szCs w:val="21"/>
              </w:rPr>
              <w:t>)</w:t>
            </w:r>
          </w:p>
        </w:tc>
        <w:tc>
          <w:tcPr>
            <w:tcW w:w="686" w:type="pct"/>
            <w:tcMar>
              <w:top w:w="0" w:type="dxa"/>
              <w:left w:w="0" w:type="dxa"/>
              <w:bottom w:w="0" w:type="dxa"/>
              <w:right w:w="0" w:type="dxa"/>
            </w:tcMar>
            <w:vAlign w:val="center"/>
          </w:tcPr>
          <w:p w14:paraId="731B99D4">
            <w:pPr>
              <w:pStyle w:val="62"/>
              <w:adjustRightInd w:val="0"/>
              <w:snapToGrid w:val="0"/>
              <w:jc w:val="center"/>
              <w:rPr>
                <w:rFonts w:ascii="Times New Roman" w:hAnsi="Times New Roman" w:eastAsia="宋体"/>
                <w:b/>
                <w:color w:val="auto"/>
                <w:sz w:val="21"/>
                <w:szCs w:val="21"/>
              </w:rPr>
            </w:pPr>
            <w:r>
              <w:rPr>
                <w:rFonts w:ascii="Times New Roman" w:hAnsi="Times New Roman" w:eastAsia="宋体"/>
                <w:b/>
                <w:color w:val="auto"/>
                <w:sz w:val="21"/>
                <w:szCs w:val="21"/>
              </w:rPr>
              <w:t>V总(m</w:t>
            </w:r>
            <w:r>
              <w:rPr>
                <w:rFonts w:ascii="Times New Roman" w:hAnsi="Times New Roman" w:eastAsia="宋体"/>
                <w:b/>
                <w:color w:val="auto"/>
                <w:sz w:val="21"/>
                <w:szCs w:val="21"/>
                <w:vertAlign w:val="superscript"/>
              </w:rPr>
              <w:t>3</w:t>
            </w:r>
            <w:r>
              <w:rPr>
                <w:rFonts w:ascii="Times New Roman" w:hAnsi="Times New Roman" w:eastAsia="宋体"/>
                <w:b/>
                <w:color w:val="auto"/>
                <w:sz w:val="21"/>
                <w:szCs w:val="21"/>
              </w:rPr>
              <w:t>)</w:t>
            </w:r>
          </w:p>
        </w:tc>
      </w:tr>
      <w:tr w14:paraId="1F7185C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80" w:type="pct"/>
            <w:tcMar>
              <w:top w:w="0" w:type="dxa"/>
              <w:left w:w="0" w:type="dxa"/>
              <w:bottom w:w="0" w:type="dxa"/>
              <w:right w:w="0" w:type="dxa"/>
            </w:tcMar>
            <w:vAlign w:val="center"/>
          </w:tcPr>
          <w:p w14:paraId="05B5B96D">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综合车间</w:t>
            </w:r>
          </w:p>
        </w:tc>
        <w:tc>
          <w:tcPr>
            <w:tcW w:w="686" w:type="pct"/>
            <w:tcMar>
              <w:top w:w="0" w:type="dxa"/>
              <w:left w:w="0" w:type="dxa"/>
              <w:bottom w:w="0" w:type="dxa"/>
              <w:right w:w="0" w:type="dxa"/>
            </w:tcMar>
            <w:vAlign w:val="center"/>
          </w:tcPr>
          <w:p w14:paraId="27972D5E">
            <w:pPr>
              <w:pStyle w:val="62"/>
              <w:adjustRightInd w:val="0"/>
              <w:snapToGrid w:val="0"/>
              <w:jc w:val="center"/>
              <w:rPr>
                <w:rFonts w:ascii="Times New Roman" w:hAnsi="Times New Roman" w:eastAsia="宋体"/>
                <w:color w:val="auto"/>
                <w:sz w:val="21"/>
                <w:szCs w:val="21"/>
                <w:lang w:eastAsia="zh-CN"/>
              </w:rPr>
            </w:pPr>
            <w:r>
              <w:rPr>
                <w:rFonts w:hint="eastAsia" w:ascii="Times New Roman" w:hAnsi="Times New Roman" w:eastAsia="宋体"/>
                <w:color w:val="auto"/>
                <w:sz w:val="21"/>
                <w:szCs w:val="21"/>
                <w:lang w:eastAsia="zh-CN"/>
              </w:rPr>
              <w:t>35</w:t>
            </w:r>
          </w:p>
        </w:tc>
        <w:tc>
          <w:tcPr>
            <w:tcW w:w="687" w:type="pct"/>
            <w:tcMar>
              <w:top w:w="0" w:type="dxa"/>
              <w:left w:w="0" w:type="dxa"/>
              <w:bottom w:w="0" w:type="dxa"/>
              <w:right w:w="0" w:type="dxa"/>
            </w:tcMar>
            <w:vAlign w:val="center"/>
          </w:tcPr>
          <w:p w14:paraId="6DB42D69">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378</w:t>
            </w:r>
          </w:p>
        </w:tc>
        <w:tc>
          <w:tcPr>
            <w:tcW w:w="687" w:type="pct"/>
            <w:tcMar>
              <w:top w:w="0" w:type="dxa"/>
              <w:left w:w="0" w:type="dxa"/>
              <w:bottom w:w="0" w:type="dxa"/>
              <w:right w:w="0" w:type="dxa"/>
            </w:tcMar>
            <w:vAlign w:val="center"/>
          </w:tcPr>
          <w:p w14:paraId="343F132D">
            <w:pPr>
              <w:pStyle w:val="62"/>
              <w:adjustRightInd w:val="0"/>
              <w:snapToGrid w:val="0"/>
              <w:jc w:val="center"/>
              <w:rPr>
                <w:rFonts w:ascii="Times New Roman" w:hAnsi="Times New Roman"/>
                <w:color w:val="auto"/>
                <w:sz w:val="21"/>
                <w:szCs w:val="21"/>
              </w:rPr>
            </w:pPr>
            <w:r>
              <w:rPr>
                <w:rFonts w:ascii="Times New Roman" w:hAnsi="Times New Roman" w:eastAsia="宋体"/>
                <w:color w:val="auto"/>
                <w:sz w:val="21"/>
                <w:szCs w:val="21"/>
                <w:lang w:eastAsia="zh-CN"/>
              </w:rPr>
              <w:t>0</w:t>
            </w:r>
          </w:p>
        </w:tc>
        <w:tc>
          <w:tcPr>
            <w:tcW w:w="686" w:type="pct"/>
            <w:tcMar>
              <w:top w:w="0" w:type="dxa"/>
              <w:left w:w="0" w:type="dxa"/>
              <w:bottom w:w="0" w:type="dxa"/>
              <w:right w:w="0" w:type="dxa"/>
            </w:tcMar>
            <w:vAlign w:val="center"/>
          </w:tcPr>
          <w:p w14:paraId="72CF6CE7">
            <w:pPr>
              <w:pStyle w:val="62"/>
              <w:adjustRightInd w:val="0"/>
              <w:snapToGrid w:val="0"/>
              <w:jc w:val="center"/>
              <w:rPr>
                <w:rFonts w:ascii="Times New Roman" w:hAnsi="Times New Roman" w:eastAsia="宋体"/>
                <w:color w:val="auto"/>
                <w:sz w:val="21"/>
                <w:szCs w:val="21"/>
              </w:rPr>
            </w:pPr>
            <w:r>
              <w:rPr>
                <w:rFonts w:ascii="Times New Roman" w:hAnsi="Times New Roman" w:eastAsia="宋体"/>
                <w:color w:val="auto"/>
                <w:sz w:val="21"/>
                <w:szCs w:val="21"/>
                <w:lang w:eastAsia="zh-CN"/>
              </w:rPr>
              <w:t>0</w:t>
            </w:r>
          </w:p>
        </w:tc>
        <w:tc>
          <w:tcPr>
            <w:tcW w:w="687" w:type="pct"/>
            <w:tcMar>
              <w:top w:w="0" w:type="dxa"/>
              <w:left w:w="0" w:type="dxa"/>
              <w:bottom w:w="0" w:type="dxa"/>
              <w:right w:w="0" w:type="dxa"/>
            </w:tcMar>
            <w:vAlign w:val="center"/>
          </w:tcPr>
          <w:p w14:paraId="1A91C5AB">
            <w:pPr>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111.87</w:t>
            </w:r>
          </w:p>
        </w:tc>
        <w:tc>
          <w:tcPr>
            <w:tcW w:w="686" w:type="pct"/>
            <w:tcMar>
              <w:top w:w="0" w:type="dxa"/>
              <w:left w:w="0" w:type="dxa"/>
              <w:bottom w:w="0" w:type="dxa"/>
              <w:right w:w="0" w:type="dxa"/>
            </w:tcMar>
            <w:vAlign w:val="center"/>
          </w:tcPr>
          <w:p w14:paraId="6558EC63">
            <w:pPr>
              <w:adjustRightInd w:val="0"/>
              <w:snapToGrid w:val="0"/>
              <w:jc w:val="center"/>
              <w:rPr>
                <w:rFonts w:ascii="Times New Roman" w:hAnsi="Times New Roman" w:cs="Times New Roman"/>
                <w:color w:val="auto"/>
                <w:sz w:val="21"/>
                <w:highlight w:val="yellow"/>
              </w:rPr>
            </w:pPr>
            <w:r>
              <w:rPr>
                <w:rFonts w:hint="eastAsia" w:ascii="Times New Roman" w:hAnsi="Times New Roman" w:cs="Times New Roman"/>
                <w:color w:val="auto"/>
                <w:sz w:val="21"/>
                <w:lang w:eastAsia="zh-CN"/>
              </w:rPr>
              <w:t>524.87</w:t>
            </w:r>
          </w:p>
        </w:tc>
      </w:tr>
      <w:tr w14:paraId="45EF321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80" w:type="pct"/>
            <w:tcMar>
              <w:top w:w="0" w:type="dxa"/>
              <w:left w:w="0" w:type="dxa"/>
              <w:bottom w:w="0" w:type="dxa"/>
              <w:right w:w="0" w:type="dxa"/>
            </w:tcMar>
            <w:vAlign w:val="center"/>
          </w:tcPr>
          <w:p w14:paraId="1AC9ED92">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刻蚀液混配车间</w:t>
            </w:r>
          </w:p>
        </w:tc>
        <w:tc>
          <w:tcPr>
            <w:tcW w:w="686" w:type="pct"/>
            <w:tcMar>
              <w:top w:w="0" w:type="dxa"/>
              <w:left w:w="0" w:type="dxa"/>
              <w:bottom w:w="0" w:type="dxa"/>
              <w:right w:w="0" w:type="dxa"/>
            </w:tcMar>
            <w:vAlign w:val="center"/>
          </w:tcPr>
          <w:p w14:paraId="4FABA99E">
            <w:pPr>
              <w:pStyle w:val="62"/>
              <w:adjustRightInd w:val="0"/>
              <w:snapToGrid w:val="0"/>
              <w:jc w:val="center"/>
              <w:rPr>
                <w:rFonts w:ascii="Times New Roman" w:hAnsi="Times New Roman" w:eastAsia="宋体"/>
                <w:color w:val="auto"/>
                <w:sz w:val="21"/>
                <w:szCs w:val="21"/>
                <w:lang w:eastAsia="zh-CN"/>
              </w:rPr>
            </w:pPr>
            <w:r>
              <w:rPr>
                <w:rFonts w:hint="eastAsia" w:ascii="Times New Roman" w:hAnsi="Times New Roman" w:eastAsia="宋体"/>
                <w:color w:val="auto"/>
                <w:sz w:val="21"/>
                <w:szCs w:val="21"/>
                <w:lang w:eastAsia="zh-CN"/>
              </w:rPr>
              <w:t>35</w:t>
            </w:r>
          </w:p>
        </w:tc>
        <w:tc>
          <w:tcPr>
            <w:tcW w:w="687" w:type="pct"/>
            <w:tcMar>
              <w:top w:w="0" w:type="dxa"/>
              <w:left w:w="0" w:type="dxa"/>
              <w:bottom w:w="0" w:type="dxa"/>
              <w:right w:w="0" w:type="dxa"/>
            </w:tcMar>
            <w:vAlign w:val="center"/>
          </w:tcPr>
          <w:p w14:paraId="0796F95B">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378</w:t>
            </w:r>
          </w:p>
        </w:tc>
        <w:tc>
          <w:tcPr>
            <w:tcW w:w="687" w:type="pct"/>
            <w:tcMar>
              <w:top w:w="0" w:type="dxa"/>
              <w:left w:w="0" w:type="dxa"/>
              <w:bottom w:w="0" w:type="dxa"/>
              <w:right w:w="0" w:type="dxa"/>
            </w:tcMar>
            <w:vAlign w:val="center"/>
          </w:tcPr>
          <w:p w14:paraId="45E8BB33">
            <w:pPr>
              <w:pStyle w:val="62"/>
              <w:adjustRightInd w:val="0"/>
              <w:snapToGrid w:val="0"/>
              <w:jc w:val="center"/>
              <w:rPr>
                <w:rFonts w:ascii="Times New Roman" w:hAnsi="Times New Roman" w:eastAsia="宋体"/>
                <w:color w:val="auto"/>
                <w:sz w:val="21"/>
                <w:szCs w:val="21"/>
                <w:lang w:eastAsia="zh-CN"/>
              </w:rPr>
            </w:pPr>
            <w:r>
              <w:rPr>
                <w:rFonts w:hint="eastAsia" w:ascii="Times New Roman" w:hAnsi="Times New Roman" w:eastAsia="宋体"/>
                <w:color w:val="auto"/>
                <w:sz w:val="21"/>
                <w:szCs w:val="21"/>
                <w:lang w:eastAsia="zh-CN"/>
              </w:rPr>
              <w:t>0</w:t>
            </w:r>
          </w:p>
        </w:tc>
        <w:tc>
          <w:tcPr>
            <w:tcW w:w="686" w:type="pct"/>
            <w:tcMar>
              <w:top w:w="0" w:type="dxa"/>
              <w:left w:w="0" w:type="dxa"/>
              <w:bottom w:w="0" w:type="dxa"/>
              <w:right w:w="0" w:type="dxa"/>
            </w:tcMar>
            <w:vAlign w:val="center"/>
          </w:tcPr>
          <w:p w14:paraId="0C6274A3">
            <w:pPr>
              <w:pStyle w:val="62"/>
              <w:adjustRightInd w:val="0"/>
              <w:snapToGrid w:val="0"/>
              <w:jc w:val="center"/>
              <w:rPr>
                <w:rFonts w:ascii="Times New Roman" w:hAnsi="Times New Roman" w:eastAsia="宋体"/>
                <w:color w:val="auto"/>
                <w:sz w:val="21"/>
                <w:szCs w:val="21"/>
                <w:lang w:eastAsia="zh-CN"/>
              </w:rPr>
            </w:pPr>
            <w:r>
              <w:rPr>
                <w:rFonts w:hint="eastAsia" w:ascii="Times New Roman" w:hAnsi="Times New Roman" w:eastAsia="宋体"/>
                <w:color w:val="auto"/>
                <w:sz w:val="21"/>
                <w:szCs w:val="21"/>
                <w:lang w:eastAsia="zh-CN"/>
              </w:rPr>
              <w:t>0</w:t>
            </w:r>
          </w:p>
        </w:tc>
        <w:tc>
          <w:tcPr>
            <w:tcW w:w="687" w:type="pct"/>
            <w:tcMar>
              <w:top w:w="0" w:type="dxa"/>
              <w:left w:w="0" w:type="dxa"/>
              <w:bottom w:w="0" w:type="dxa"/>
              <w:right w:w="0" w:type="dxa"/>
            </w:tcMar>
            <w:vAlign w:val="center"/>
          </w:tcPr>
          <w:p w14:paraId="38215447">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111.87</w:t>
            </w:r>
          </w:p>
        </w:tc>
        <w:tc>
          <w:tcPr>
            <w:tcW w:w="686" w:type="pct"/>
            <w:tcMar>
              <w:top w:w="0" w:type="dxa"/>
              <w:left w:w="0" w:type="dxa"/>
              <w:bottom w:w="0" w:type="dxa"/>
              <w:right w:w="0" w:type="dxa"/>
            </w:tcMar>
            <w:vAlign w:val="center"/>
          </w:tcPr>
          <w:p w14:paraId="71AAF112">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524.87</w:t>
            </w:r>
          </w:p>
        </w:tc>
      </w:tr>
    </w:tbl>
    <w:p w14:paraId="57C391D1">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szCs w:val="24"/>
          <w:lang w:eastAsia="zh-CN"/>
        </w:rPr>
        <w:t>根据计算，本项目需设事故应急池容积不得低</w:t>
      </w:r>
      <w:r>
        <w:rPr>
          <w:rFonts w:hint="eastAsia" w:ascii="Times New Roman" w:hAnsi="Times New Roman" w:cs="Times New Roman"/>
          <w:color w:val="auto"/>
          <w:szCs w:val="24"/>
          <w:lang w:eastAsia="zh-CN"/>
        </w:rPr>
        <w:t>524.87</w:t>
      </w:r>
      <w:r>
        <w:rPr>
          <w:rFonts w:ascii="Times New Roman" w:hAnsi="Times New Roman" w:cs="Times New Roman"/>
          <w:color w:val="auto"/>
          <w:szCs w:val="24"/>
          <w:lang w:eastAsia="zh-CN"/>
        </w:rPr>
        <w:t>m</w:t>
      </w:r>
      <w:r>
        <w:rPr>
          <w:rFonts w:ascii="Times New Roman" w:hAnsi="Times New Roman" w:cs="Times New Roman"/>
          <w:color w:val="auto"/>
          <w:szCs w:val="24"/>
          <w:vertAlign w:val="superscript"/>
          <w:lang w:eastAsia="zh-CN"/>
        </w:rPr>
        <w:t>3</w:t>
      </w:r>
      <w:r>
        <w:rPr>
          <w:rFonts w:ascii="Times New Roman" w:hAnsi="Times New Roman" w:cs="Times New Roman"/>
          <w:color w:val="auto"/>
          <w:lang w:eastAsia="zh-CN"/>
        </w:rPr>
        <w:t>。本项目</w:t>
      </w:r>
      <w:r>
        <w:rPr>
          <w:rFonts w:hint="eastAsia" w:ascii="Times New Roman" w:hAnsi="Times New Roman" w:cs="Times New Roman"/>
          <w:color w:val="auto"/>
          <w:lang w:eastAsia="zh-CN"/>
        </w:rPr>
        <w:t>依托</w:t>
      </w:r>
      <w:r>
        <w:rPr>
          <w:rFonts w:ascii="Times New Roman" w:hAnsi="Times New Roman" w:cs="Times New Roman"/>
          <w:color w:val="auto"/>
          <w:lang w:eastAsia="zh-CN"/>
        </w:rPr>
        <w:t>容积为</w:t>
      </w:r>
      <w:r>
        <w:rPr>
          <w:rFonts w:hint="eastAsia" w:ascii="Times New Roman" w:hAnsi="Times New Roman" w:cs="Times New Roman"/>
          <w:color w:val="auto"/>
          <w:lang w:eastAsia="zh-CN" w:bidi="ar"/>
        </w:rPr>
        <w:t>672.3</w:t>
      </w:r>
      <w:r>
        <w:rPr>
          <w:rFonts w:ascii="Times New Roman" w:hAnsi="Times New Roman" w:cs="Times New Roman"/>
          <w:color w:val="auto"/>
          <w:lang w:eastAsia="zh-CN"/>
        </w:rPr>
        <w:t>m</w:t>
      </w:r>
      <w:r>
        <w:rPr>
          <w:rFonts w:ascii="Times New Roman" w:hAnsi="Times New Roman" w:cs="Times New Roman"/>
          <w:color w:val="auto"/>
          <w:vertAlign w:val="superscript"/>
          <w:lang w:eastAsia="zh-CN"/>
        </w:rPr>
        <w:t>3</w:t>
      </w:r>
      <w:r>
        <w:rPr>
          <w:rFonts w:ascii="Times New Roman" w:hAnsi="Times New Roman" w:cs="Times New Roman"/>
          <w:color w:val="auto"/>
          <w:lang w:eastAsia="zh-CN"/>
        </w:rPr>
        <w:t>的事故水池，可满足事故状态下事故水临时贮存。</w:t>
      </w:r>
    </w:p>
    <w:p w14:paraId="710A0E4A">
      <w:pPr>
        <w:widowControl w:val="0"/>
        <w:spacing w:line="360" w:lineRule="auto"/>
        <w:ind w:firstLine="480" w:firstLineChars="200"/>
        <w:jc w:val="both"/>
        <w:rPr>
          <w:rFonts w:ascii="Times New Roman" w:hAnsi="Times New Roman" w:cs="Times New Roman"/>
          <w:color w:val="000000" w:themeColor="text1"/>
          <w:lang w:eastAsia="zh-CN"/>
          <w14:textFill>
            <w14:solidFill>
              <w14:schemeClr w14:val="tx1"/>
            </w14:solidFill>
          </w14:textFill>
        </w:rPr>
      </w:pPr>
      <w:bookmarkStart w:id="2162" w:name="_Toc13226"/>
      <w:r>
        <w:rPr>
          <w:rFonts w:hint="eastAsia" w:ascii="Times New Roman" w:hAnsi="Times New Roman" w:cs="Times New Roman"/>
          <w:color w:val="000000" w:themeColor="text1"/>
          <w:lang w:eastAsia="zh-CN"/>
          <w14:textFill>
            <w14:solidFill>
              <w14:schemeClr w14:val="tx1"/>
            </w14:solidFill>
          </w14:textFill>
        </w:rPr>
        <w:t>（2）二级防控</w:t>
      </w:r>
    </w:p>
    <w:p w14:paraId="29D32764">
      <w:pPr>
        <w:widowControl w:val="0"/>
        <w:spacing w:line="360" w:lineRule="auto"/>
        <w:ind w:firstLine="480" w:firstLineChars="200"/>
        <w:jc w:val="both"/>
        <w:rPr>
          <w:rFonts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第二级防控主要为园区公共及其他企业环境应急空间与设施，包括但不限于园区公共污水管网、公共雨水管网、园区公共事故应急池、其他企业事故应急池、污水处理设施，以及排口闸（阀）门、固定或临时转输设施等。园区雨水排放口均建有截污泵站，配备视频监控、在线监测装置及电磁闸，在线监测及视频监控设备已接入园区信息平台。</w:t>
      </w:r>
    </w:p>
    <w:p w14:paraId="249B0092">
      <w:pPr>
        <w:widowControl w:val="0"/>
        <w:spacing w:line="360" w:lineRule="auto"/>
        <w:ind w:firstLine="480" w:firstLineChars="200"/>
        <w:jc w:val="both"/>
        <w:rPr>
          <w:rFonts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园区目前建有1座事故应急池，有效容积分别为20000m</w:t>
      </w:r>
      <w:r>
        <w:rPr>
          <w:rFonts w:hint="eastAsia" w:ascii="Times New Roman" w:hAnsi="Times New Roman" w:cs="Times New Roman"/>
          <w:color w:val="000000" w:themeColor="text1"/>
          <w:vertAlign w:val="superscript"/>
          <w:lang w:eastAsia="zh-CN"/>
          <w14:textFill>
            <w14:solidFill>
              <w14:schemeClr w14:val="tx1"/>
            </w14:solidFill>
          </w14:textFill>
        </w:rPr>
        <w:t>3</w:t>
      </w:r>
      <w:r>
        <w:rPr>
          <w:rFonts w:hint="eastAsia" w:ascii="Times New Roman" w:hAnsi="Times New Roman" w:cs="Times New Roman"/>
          <w:color w:val="000000" w:themeColor="text1"/>
          <w:lang w:eastAsia="zh-CN"/>
          <w14:textFill>
            <w14:solidFill>
              <w14:schemeClr w14:val="tx1"/>
            </w14:solidFill>
          </w14:textFill>
        </w:rPr>
        <w:t>。一旦园区内企业发生事故，事故废水超过企业储罐围堰和事故应急池的容积，则可通过吸污车等传输设施排入园区公共应急池。</w:t>
      </w:r>
    </w:p>
    <w:p w14:paraId="6971A153">
      <w:pPr>
        <w:widowControl w:val="0"/>
        <w:spacing w:line="360" w:lineRule="auto"/>
        <w:ind w:firstLine="480" w:firstLineChars="200"/>
        <w:jc w:val="both"/>
        <w:rPr>
          <w:rFonts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（3）</w:t>
      </w:r>
      <w:r>
        <w:rPr>
          <w:rFonts w:ascii="Times New Roman" w:hAnsi="Times New Roman" w:cs="Times New Roman"/>
          <w:color w:val="000000" w:themeColor="text1"/>
          <w:lang w:eastAsia="zh-CN"/>
          <w14:textFill>
            <w14:solidFill>
              <w14:schemeClr w14:val="tx1"/>
            </w14:solidFill>
          </w14:textFill>
        </w:rPr>
        <w:t>三级防控</w:t>
      </w:r>
      <w:bookmarkEnd w:id="2162"/>
    </w:p>
    <w:p w14:paraId="4746E783">
      <w:pPr>
        <w:widowControl w:val="0"/>
        <w:spacing w:line="360" w:lineRule="auto"/>
        <w:ind w:firstLine="480" w:firstLineChars="200"/>
        <w:jc w:val="both"/>
        <w:rPr>
          <w:rFonts w:ascii="Times New Roman" w:hAnsi="Times New Roman" w:cs="Times New Roman"/>
          <w:color w:val="000000" w:themeColor="text1"/>
          <w:lang w:eastAsia="zh-CN"/>
          <w14:textFill>
            <w14:solidFill>
              <w14:schemeClr w14:val="tx1"/>
            </w14:solidFill>
          </w14:textFill>
        </w:rPr>
      </w:pPr>
      <w:r>
        <w:rPr>
          <w:rFonts w:ascii="Times New Roman" w:hAnsi="Times New Roman" w:cs="Times New Roman"/>
          <w:color w:val="000000" w:themeColor="text1"/>
          <w:lang w:eastAsia="zh-CN"/>
          <w14:textFill>
            <w14:solidFill>
              <w14:schemeClr w14:val="tx1"/>
            </w14:solidFill>
          </w14:textFill>
        </w:rPr>
        <w:t>第三级防控主要是园区内河（湖）等环境应急空间与设施，包括但不限于园区内河（湖），以及闸坝、可临时筑坝点、固定或临时转输设施等。当第二级防控能力不足，或园区事故污水直接进入园区内河（湖）时，通过闸坝启闭、可临时筑坝点筑坝、固定或临时转输设施等拦截、储存、转输事故污水，确保事故污水不出园区。当二级防控失效，造成事故废水进入河流时，通过闸坝、临时筑坝点等，切断与淮河联系，确保事故废水不进入淮河</w:t>
      </w:r>
      <w:r>
        <w:rPr>
          <w:rFonts w:hint="eastAsia" w:ascii="Times New Roman" w:hAnsi="Times New Roman" w:cs="Times New Roman"/>
          <w:color w:val="000000" w:themeColor="text1"/>
          <w:lang w:eastAsia="zh-CN"/>
          <w14:textFill>
            <w14:solidFill>
              <w14:schemeClr w14:val="tx1"/>
            </w14:solidFill>
          </w14:textFill>
        </w:rPr>
        <w:t>。</w:t>
      </w:r>
    </w:p>
    <w:p w14:paraId="341A13E9">
      <w:pPr>
        <w:widowControl w:val="0"/>
        <w:spacing w:line="360" w:lineRule="auto"/>
        <w:ind w:firstLine="482" w:firstLineChars="200"/>
        <w:jc w:val="both"/>
        <w:rPr>
          <w:rFonts w:ascii="Times New Roman" w:hAnsi="Times New Roman" w:cs="Times New Roman"/>
          <w:b/>
          <w:bCs/>
          <w:color w:val="auto"/>
          <w:lang w:eastAsia="zh-CN"/>
        </w:rPr>
      </w:pPr>
      <w:r>
        <w:rPr>
          <w:rFonts w:hint="eastAsia" w:ascii="Times New Roman" w:hAnsi="Times New Roman" w:cs="Times New Roman"/>
          <w:b/>
          <w:bCs/>
          <w:color w:val="auto"/>
          <w:lang w:eastAsia="zh-CN"/>
        </w:rPr>
        <w:t>与园区风险防控衔接：</w:t>
      </w:r>
    </w:p>
    <w:p w14:paraId="0DA01FE8">
      <w:pPr>
        <w:widowControl w:val="0"/>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园区雨水排口全部安装电磁闸阀，并配备6个截污泵站，污水处理厂设有2万m</w:t>
      </w:r>
      <w:r>
        <w:rPr>
          <w:rFonts w:hint="eastAsia" w:ascii="Times New Roman" w:hAnsi="Times New Roman" w:cs="Times New Roman"/>
          <w:color w:val="auto"/>
          <w:vertAlign w:val="superscript"/>
          <w:lang w:eastAsia="zh-CN"/>
        </w:rPr>
        <w:t>3</w:t>
      </w:r>
      <w:r>
        <w:rPr>
          <w:rFonts w:hint="eastAsia" w:ascii="Times New Roman" w:hAnsi="Times New Roman" w:cs="Times New Roman"/>
          <w:color w:val="auto"/>
          <w:lang w:eastAsia="zh-CN"/>
        </w:rPr>
        <w:t>应急水池可作为园区公共事故池使用，同时考虑管网关键位置设置截断反抽装置；三级为周边河道，三铺大沟和沫冲引河设置4座拦截坝，在河道关键位置对河道水体进行切断。</w:t>
      </w:r>
    </w:p>
    <w:p w14:paraId="52F4B390">
      <w:pPr>
        <w:widowControl w:val="0"/>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当企业发生突发水环境事件时，立即向园区应急指挥部汇报，并启动一级防控，关闭厂区内所有可能外溢事故废水和雨水的外排口，利用自身的围堰、应急事故池等环境应急防控设施，将污水控制在企业厂区内部</w:t>
      </w:r>
      <w:r>
        <w:rPr>
          <w:rFonts w:hint="eastAsia" w:ascii="Times New Roman" w:hAnsi="Times New Roman" w:cs="Times New Roman"/>
          <w:bCs/>
          <w:color w:val="auto"/>
          <w:lang w:eastAsia="zh-CN"/>
        </w:rPr>
        <w:t>，并</w:t>
      </w:r>
      <w:r>
        <w:rPr>
          <w:rFonts w:ascii="Times New Roman" w:hAnsi="Times New Roman" w:cs="Times New Roman"/>
          <w:color w:val="auto"/>
          <w:lang w:eastAsia="zh-CN"/>
        </w:rPr>
        <w:t>用泵分批将事故废水</w:t>
      </w:r>
      <w:r>
        <w:rPr>
          <w:rFonts w:hint="eastAsia" w:ascii="Times New Roman" w:hAnsi="Times New Roman" w:cs="Times New Roman"/>
          <w:color w:val="auto"/>
          <w:lang w:eastAsia="zh-CN"/>
        </w:rPr>
        <w:t>泵入园区事故应急池。</w:t>
      </w:r>
    </w:p>
    <w:p w14:paraId="10998291">
      <w:pPr>
        <w:widowControl w:val="0"/>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当一级防控能力不足时，园区应急指挥部立即启动二级防控。关闭企业对应排水分区的雨水排放口，厂区雨水经园区雨水管网通过</w:t>
      </w:r>
      <w:r>
        <w:rPr>
          <w:rFonts w:hint="eastAsia" w:ascii="Times New Roman" w:hAnsi="Times New Roman" w:cs="Times New Roman"/>
          <w:bCs/>
          <w:color w:val="auto"/>
          <w:lang w:eastAsia="zh-CN"/>
        </w:rPr>
        <w:t>开源大道雨水排口排入三铺大沟</w:t>
      </w:r>
      <w:r>
        <w:rPr>
          <w:rFonts w:hint="eastAsia" w:ascii="Times New Roman" w:hAnsi="Times New Roman" w:cs="Times New Roman"/>
          <w:color w:val="auto"/>
          <w:lang w:eastAsia="zh-CN"/>
        </w:rPr>
        <w:t>，通过三铺大沟拦截事故污水，并立即启动</w:t>
      </w:r>
      <w:r>
        <w:rPr>
          <w:rFonts w:hint="eastAsia" w:ascii="Times New Roman" w:hAnsi="Times New Roman" w:cs="Times New Roman"/>
          <w:bCs/>
          <w:color w:val="auto"/>
          <w:lang w:eastAsia="zh-CN"/>
        </w:rPr>
        <w:t>开源大道雨水排口</w:t>
      </w:r>
      <w:r>
        <w:rPr>
          <w:rFonts w:hint="eastAsia" w:ascii="Times New Roman" w:hAnsi="Times New Roman" w:cs="Times New Roman"/>
          <w:color w:val="auto"/>
          <w:lang w:eastAsia="zh-CN"/>
        </w:rPr>
        <w:t>截污泵站，将溢流至园区雨水管渠内的污水通过专用管道输送至沫河口污水处理厂事故池收集。</w:t>
      </w:r>
    </w:p>
    <w:p w14:paraId="384F50A6">
      <w:pPr>
        <w:widowControl w:val="0"/>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当事态进一步扩大，污水进入园区周边沟渠，园区应急指挥部立即启动三级防控。利用园区周边水系三铺大沟和沫冲引河上的4座拦截坝，构建环境应急防控空间，对进出园区的水体实施封闭或分段管控</w:t>
      </w:r>
      <w:r>
        <w:rPr>
          <w:rFonts w:ascii="Times New Roman" w:hAnsi="Times New Roman" w:cs="Times New Roman"/>
          <w:color w:val="auto"/>
          <w:lang w:eastAsia="zh-CN"/>
        </w:rPr>
        <w:t>，切断措施具体见下图</w:t>
      </w:r>
      <w:r>
        <w:rPr>
          <w:rFonts w:hint="eastAsia" w:ascii="Times New Roman" w:hAnsi="Times New Roman" w:cs="Times New Roman"/>
          <w:color w:val="auto"/>
          <w:lang w:eastAsia="zh-CN"/>
        </w:rPr>
        <w:t>。</w:t>
      </w:r>
    </w:p>
    <w:p w14:paraId="27E038E2">
      <w:pPr>
        <w:adjustRightInd w:val="0"/>
        <w:snapToGrid w:val="0"/>
        <w:jc w:val="center"/>
        <w:rPr>
          <w:rFonts w:ascii="Times New Roman" w:hAnsi="Times New Roman" w:cs="Times New Roman"/>
          <w:color w:val="auto"/>
          <w:lang w:eastAsia="zh-CN"/>
        </w:rPr>
      </w:pPr>
      <w:bookmarkStart w:id="2163" w:name="_Hlk176444319"/>
      <w:r>
        <w:rPr>
          <w:rFonts w:ascii="Times New Roman" w:hAnsi="Times New Roman" w:cs="Times New Roman"/>
          <w:snapToGrid/>
          <w:color w:val="auto"/>
          <w:lang w:eastAsia="zh-CN"/>
        </w:rPr>
        <w:drawing>
          <wp:inline distT="0" distB="0" distL="0" distR="0">
            <wp:extent cx="6124575" cy="3829050"/>
            <wp:effectExtent l="0" t="0" r="0" b="0"/>
            <wp:docPr id="166"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7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a:xfrm>
                      <a:off x="0" y="0"/>
                      <a:ext cx="6124575" cy="3829050"/>
                    </a:xfrm>
                    <a:prstGeom prst="rect">
                      <a:avLst/>
                    </a:prstGeom>
                    <a:noFill/>
                    <a:ln>
                      <a:noFill/>
                    </a:ln>
                  </pic:spPr>
                </pic:pic>
              </a:graphicData>
            </a:graphic>
          </wp:inline>
        </w:drawing>
      </w:r>
    </w:p>
    <w:p w14:paraId="5FF3030D">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图7.</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2</w:t>
      </w:r>
      <w:r>
        <w:rPr>
          <w:rFonts w:ascii="Times New Roman" w:hAnsi="Times New Roman" w:cs="Times New Roman"/>
          <w:b/>
          <w:bCs/>
          <w:color w:val="auto"/>
          <w:lang w:eastAsia="zh-CN"/>
        </w:rPr>
        <w:t xml:space="preserve"> 三铺排涝站截断措施</w:t>
      </w:r>
    </w:p>
    <w:bookmarkEnd w:id="2163"/>
    <w:p w14:paraId="09F29AAA">
      <w:pPr>
        <w:jc w:val="center"/>
        <w:rPr>
          <w:rFonts w:ascii="Times New Roman" w:hAnsi="Times New Roman" w:cs="Times New Roman"/>
          <w:snapToGrid/>
          <w:color w:val="auto"/>
          <w:lang w:eastAsia="zh-CN"/>
        </w:rPr>
        <w:sectPr>
          <w:pgSz w:w="11906" w:h="16838"/>
          <w:pgMar w:top="1440" w:right="1080" w:bottom="1440" w:left="1080" w:header="851" w:footer="992" w:gutter="0"/>
          <w:cols w:space="720" w:num="1"/>
          <w:docGrid w:type="lines" w:linePitch="312" w:charSpace="0"/>
        </w:sectPr>
      </w:pPr>
    </w:p>
    <w:p w14:paraId="4494A04F">
      <w:pPr>
        <w:jc w:val="center"/>
        <w:rPr>
          <w:rFonts w:ascii="Times New Roman" w:hAnsi="Times New Roman" w:cs="Times New Roman"/>
          <w:snapToGrid/>
          <w:color w:val="auto"/>
          <w:lang w:eastAsia="zh-CN"/>
        </w:rPr>
      </w:pPr>
      <w:r>
        <w:rPr>
          <w:color w:val="auto"/>
        </w:rPr>
        <mc:AlternateContent>
          <mc:Choice Requires="wps">
            <w:drawing>
              <wp:anchor distT="0" distB="0" distL="114300" distR="114300" simplePos="0" relativeHeight="251856896" behindDoc="0" locked="0" layoutInCell="1" allowOverlap="1">
                <wp:simplePos x="0" y="0"/>
                <wp:positionH relativeFrom="column">
                  <wp:posOffset>6590665</wp:posOffset>
                </wp:positionH>
                <wp:positionV relativeFrom="paragraph">
                  <wp:posOffset>447675</wp:posOffset>
                </wp:positionV>
                <wp:extent cx="1035685" cy="304800"/>
                <wp:effectExtent l="0" t="0" r="12065" b="457200"/>
                <wp:wrapNone/>
                <wp:docPr id="398" name="圆角矩形标注 398"/>
                <wp:cNvGraphicFramePr/>
                <a:graphic xmlns:a="http://schemas.openxmlformats.org/drawingml/2006/main">
                  <a:graphicData uri="http://schemas.microsoft.com/office/word/2010/wordprocessingShape">
                    <wps:wsp>
                      <wps:cNvSpPr/>
                      <wps:spPr>
                        <a:xfrm>
                          <a:off x="0" y="0"/>
                          <a:ext cx="1035685" cy="304800"/>
                        </a:xfrm>
                        <a:prstGeom prst="wedgeRoundRectCallout">
                          <a:avLst>
                            <a:gd name="adj1" fmla="val 43078"/>
                            <a:gd name="adj2" fmla="val 182830"/>
                            <a:gd name="adj3" fmla="val 16667"/>
                          </a:avLst>
                        </a:prstGeom>
                        <a:solidFill>
                          <a:srgbClr val="00B0F0"/>
                        </a:solidFill>
                        <a:ln w="9525" cap="flat" cmpd="sng">
                          <a:solidFill>
                            <a:srgbClr val="00B0F0"/>
                          </a:solidFill>
                          <a:prstDash val="solid"/>
                          <a:miter/>
                          <a:headEnd type="none" w="med" len="med"/>
                          <a:tailEnd type="none" w="med" len="med"/>
                        </a:ln>
                        <a:effectLst/>
                      </wps:spPr>
                      <wps:txbx>
                        <w:txbxContent>
                          <w:p w14:paraId="2DF07C37">
                            <w:pPr>
                              <w:jc w:val="center"/>
                              <w:rPr>
                                <w:lang w:eastAsia="zh-CN"/>
                              </w:rPr>
                            </w:pPr>
                            <w:r>
                              <w:rPr>
                                <w:rFonts w:hint="eastAsia"/>
                                <w:lang w:eastAsia="zh-CN"/>
                              </w:rPr>
                              <w:t>项目厂址</w:t>
                            </w:r>
                          </w:p>
                        </w:txbxContent>
                      </wps:txbx>
                      <wps:bodyPr vert="horz" wrap="square" anchor="t" anchorCtr="0" upright="1">
                        <a:noAutofit/>
                      </wps:bodyPr>
                    </wps:wsp>
                  </a:graphicData>
                </a:graphic>
              </wp:anchor>
            </w:drawing>
          </mc:Choice>
          <mc:Fallback>
            <w:pict>
              <v:shape id="_x0000_s1026" o:spid="_x0000_s1026" o:spt="62" type="#_x0000_t62" style="position:absolute;left:0pt;margin-left:518.95pt;margin-top:35.25pt;height:24pt;width:81.55pt;z-index:251856896;mso-width-relative:page;mso-height-relative:page;" fillcolor="#00B0F0" filled="t" stroked="t" coordsize="21600,21600" o:gfxdata="UEsDBAoAAAAAAIdO4kAAAAAAAAAAAAAAAAAEAAAAZHJzL1BLAwQUAAAACACHTuJAcLeSgtgAAAAM&#10;AQAADwAAAGRycy9kb3ducmV2LnhtbE2PTU7DMBCF90jcwRokNojaKSppQ5wKIWCFKrVwACcenEA8&#10;jmI3DbdnuoLdPM2n91NuZ9+LCcfYBdKQLRQIpCbYjpyGj/eX2zWImAxZ0wdCDT8YYVtdXpSmsOFE&#10;e5wOyQk2oVgYDW1KQyFlbFr0Ji7CgMS/zzB6k1iOTtrRnNjc93Kp1L30piNOaM2ATy0234ej17Df&#10;vD3XLtl82s3o4njzOH+9Oq2vrzL1ACLhnP5gONfn6lBxpzocyUbRs1Z3+YZZDblagTgTS5XxvJqv&#10;bL0CWZXy/4jqF1BLAwQUAAAACACHTuJAkevfs4ICAAAbBQAADgAAAGRycy9lMm9Eb2MueG1srVTN&#10;ctMwEL4zwztodKd2kjZNM3U60FAuDHRaeABFkm0x+kOS44QHgDtnZmC4AGfOPE4Lj8FKdtO0XHLg&#10;Yq+k1e73fbur45OVkmjJnRdGF3iwl2PENTVM6KrAr1+dPZpg5APRjEijeYHX3OOT2cMHx62d8qGp&#10;jWTcIQii/bS1Ba5DsNMs87Tmivg9Y7mGw9I4RQIsXZUxR1qIrmQ2zPNx1hrHrDOUew+78+4Q9xHd&#10;LgFNWQrK54Y2iuvQRXVckgCUfC2sx7OEtiw5DS/L0vOAZIGBaUhfSAL2In6z2TGZVo7YWtAeAtkF&#10;wj1OiggNSTeh5iQQ1DjxTyglqDPelGGPGpV1RJIiwGKQ39PmsiaWJy4gtbcb0f3/C0tfLM8dEqzA&#10;oyMovCYKSn716f2fbx9/f/5x9evr9ZcP1z+/o3gKWrXWT+HKpT13/cqDGYmvSqfiHyihVdJ3vdGX&#10;rwKisDnIRwfjyQFGFM5G+f4kTwXIbm9b58MzbhSKRoFbzip+YRrNLqCSp0RK04SkM1k+9yEJznrQ&#10;hL0ZYFQqCfVbEon2R/lhwgxF2fIZbvsMJsPJ6KYJtpxGd5zG4/FhJA84+7Rg3SCNGLyRgp0JKdPC&#10;VYtT6RBgAAHyJ/nZDck7blKjtsBHB8MoB4E5KqF/wVQWauF1lVjeueF3CxyBzYmvOwApQtflSgQe&#10;q0amNSfsqWYorC1UW8OY4whGcYaR5PAqRCt5BiLkLp4giNQxNE8zB7WJesVu6fojWmG1WMFuNBeG&#10;raHt4BWCItfGvYP8MINA/G1DHKAhmsJ2gUGRzjwN3dA21omqhluDJJA2j5tgSrFJ10Xuc8PMpKr1&#10;8x2HcnudvG7ftNl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cLeSgtgAAAAMAQAADwAAAAAAAAAB&#10;ACAAAAAiAAAAZHJzL2Rvd25yZXYueG1sUEsBAhQAFAAAAAgAh07iQJHr37OCAgAAGwUAAA4AAAAA&#10;AAAAAQAgAAAAJwEAAGRycy9lMm9Eb2MueG1sUEsFBgAAAAAGAAYAWQEAABsGAAAAAA==&#10;" adj="20105,50291,14400">
                <v:fill on="t" focussize="0,0"/>
                <v:stroke color="#00B0F0" joinstyle="miter"/>
                <v:imagedata o:title=""/>
                <o:lock v:ext="edit" aspectratio="f"/>
                <v:textbox>
                  <w:txbxContent>
                    <w:p w14:paraId="2DF07C37">
                      <w:pPr>
                        <w:jc w:val="center"/>
                        <w:rPr>
                          <w:lang w:eastAsia="zh-CN"/>
                        </w:rPr>
                      </w:pPr>
                      <w:r>
                        <w:rPr>
                          <w:rFonts w:hint="eastAsia"/>
                          <w:lang w:eastAsia="zh-CN"/>
                        </w:rPr>
                        <w:t>项目厂址</w:t>
                      </w:r>
                    </w:p>
                  </w:txbxContent>
                </v:textbox>
              </v:shape>
            </w:pict>
          </mc:Fallback>
        </mc:AlternateContent>
      </w:r>
      <w:r>
        <w:rPr>
          <w:snapToGrid/>
          <w:color w:val="auto"/>
        </w:rPr>
        <mc:AlternateContent>
          <mc:Choice Requires="wps">
            <w:drawing>
              <wp:anchor distT="0" distB="0" distL="114300" distR="114300" simplePos="0" relativeHeight="251961344" behindDoc="0" locked="0" layoutInCell="1" allowOverlap="1">
                <wp:simplePos x="0" y="0"/>
                <wp:positionH relativeFrom="column">
                  <wp:posOffset>7509510</wp:posOffset>
                </wp:positionH>
                <wp:positionV relativeFrom="paragraph">
                  <wp:posOffset>1143000</wp:posOffset>
                </wp:positionV>
                <wp:extent cx="200025" cy="380365"/>
                <wp:effectExtent l="0" t="0" r="28575" b="19685"/>
                <wp:wrapNone/>
                <wp:docPr id="1605559859" name="矩形 601"/>
                <wp:cNvGraphicFramePr/>
                <a:graphic xmlns:a="http://schemas.openxmlformats.org/drawingml/2006/main">
                  <a:graphicData uri="http://schemas.microsoft.com/office/word/2010/wordprocessingShape">
                    <wps:wsp>
                      <wps:cNvSpPr/>
                      <wps:spPr>
                        <a:xfrm>
                          <a:off x="0" y="0"/>
                          <a:ext cx="200279" cy="380390"/>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601" o:spid="_x0000_s1026" o:spt="1" style="position:absolute;left:0pt;margin-left:591.3pt;margin-top:90pt;height:29.95pt;width:15.75pt;z-index:251961344;v-text-anchor:middle;mso-width-relative:page;mso-height-relative:page;" filled="f" stroked="t" coordsize="21600,21600" o:gfxdata="UEsDBAoAAAAAAIdO4kAAAAAAAAAAAAAAAAAEAAAAZHJzL1BLAwQUAAAACACHTuJAQLGhTdgAAAAN&#10;AQAADwAAAGRycy9kb3ducmV2LnhtbE2Py07DMBBF90j8gzWV2CBqO0UhTeN0UcEWiZYPcOwhiRLb&#10;Uew+8vdMV7Cbqzm6j2p/cyO74Bz74BXItQCG3gTb+1bB9+njpQAWk/ZWj8GjggUj7OvHh0qXNlz9&#10;F16OqWVk4mOpFXQpTSXn0XTodFyHCT39fsLsdCI5t9zO+krmbuSZEDl3uveU0OkJDx2a4Xh2Ct6H&#10;xTSDFP2nlIchf96Yt3kplHpaSbEDlvCW/mC416fqUFOnJpy9jWwkLYssJ5auQtCqO5LJVwmsUZBt&#10;tlvgdcX/r6h/AVBLAwQUAAAACACHTuJApNmeHnQCAADVBAAADgAAAGRycy9lMm9Eb2MueG1srVTN&#10;bhMxEL4j8Q6W73Q3adMmUTdV1LQIqaKVCuLseL1ZS/7DdrIpL4PEjYfgcRCvwWfv9ofCoQdycMY7&#10;428833zj07O9VmQnfJDWVHR0UFIiDLe1NJuKfvxw+WZKSYjM1ExZIyp6JwI9W7x+ddq5uRjb1qpa&#10;eAIQE+adq2gbo5sXReCt0CwcWCcMnI31mkVs/aaoPeuArlUxLsvjorO+dt5yEQK+rnonHRD9SwBt&#10;00guVpZvtTCxR/VCsYiSQitdoIt826YRPF43TRCRqIqi0phXJIG9TmuxOGXzjWeulXy4AnvJFZ7V&#10;pJk0SPoAtWKRka2Xf0Fpyb0NtokH3OqiLyQzgipG5TNublvmRK4FVAf3QHr4f7D8/e7GE1lDCcfl&#10;ZDKZTSczSgzT6Pyvr99//vhGjstRoqlzYY7oW3fjh12AmWreN16nf1RD9pnauwdqxT4Sjo/o/PgE&#10;yByuw2l5OMvUF4+HnQ/xrbCaJKOiHp3LhLLdVYhIiND7kJTL2EupVO6eMqTD9WflBE3lDJJsIAWY&#10;2qGsYDaUMLWB1nn0GTJYJet0PAEFv1mfK092DAq5uCjxS9Ui3R9hKfeKhbaPy65eO1pGjIOSuqLT&#10;dPj+tDIASZz1LCVrbes7kO1tr8Lg+KUE7BUL8YZ5yA73x2DGayyNsijKDhYlrfVf/vU9xUMN8FLS&#10;QcYo+POWeUGJemegk9no6CjpPm+OJidjbPxTz/qpx2z1uQUPIzwBjmczxUd1bzbe6k+Y32XKChcz&#10;HLl7aofNeezHCy8AF8tlDoPWHYtX5tbxBN43cLmNtpG5t4/sDKRB7bkHw2SmcXq6z1GPr9Hi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ECxoU3YAAAADQEAAA8AAAAAAAAAAQAgAAAAIgAAAGRycy9k&#10;b3ducmV2LnhtbFBLAQIUABQAAAAIAIdO4kCk2Z4edAIAANUEAAAOAAAAAAAAAAEAIAAAACcBAABk&#10;cnMvZTJvRG9jLnhtbFBLBQYAAAAABgAGAFkBAAANBgAAAAA=&#10;">
                <v:fill on="f" focussize="0,0"/>
                <v:stroke weight="1.5pt" color="#EE0000 [3204]" miterlimit="8" joinstyle="miter"/>
                <v:imagedata o:title=""/>
                <o:lock v:ext="edit" aspectratio="f"/>
              </v:rect>
            </w:pict>
          </mc:Fallback>
        </mc:AlternateContent>
      </w:r>
      <w:r>
        <w:rPr>
          <w:color w:val="auto"/>
        </w:rPr>
        <w:drawing>
          <wp:inline distT="0" distB="0" distL="114300" distR="114300">
            <wp:extent cx="8858885" cy="5208270"/>
            <wp:effectExtent l="0" t="0" r="18415" b="11430"/>
            <wp:docPr id="157" name="图片 95" descr="园区三级防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95" descr="园区三级防控图"/>
                    <pic:cNvPicPr>
                      <a:picLocks noChangeAspect="1"/>
                    </pic:cNvPicPr>
                  </pic:nvPicPr>
                  <pic:blipFill>
                    <a:blip r:embed="rId123"/>
                    <a:stretch>
                      <a:fillRect/>
                    </a:stretch>
                  </pic:blipFill>
                  <pic:spPr>
                    <a:xfrm>
                      <a:off x="0" y="0"/>
                      <a:ext cx="8858885" cy="5208270"/>
                    </a:xfrm>
                    <a:prstGeom prst="rect">
                      <a:avLst/>
                    </a:prstGeom>
                    <a:noFill/>
                    <a:ln>
                      <a:noFill/>
                    </a:ln>
                  </pic:spPr>
                </pic:pic>
              </a:graphicData>
            </a:graphic>
          </wp:inline>
        </w:drawing>
      </w:r>
    </w:p>
    <w:p w14:paraId="14D6C66D">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图7.</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3</w:t>
      </w:r>
      <w:r>
        <w:rPr>
          <w:rFonts w:ascii="Times New Roman" w:hAnsi="Times New Roman" w:cs="Times New Roman"/>
          <w:b/>
          <w:bCs/>
          <w:color w:val="auto"/>
          <w:lang w:eastAsia="zh-CN"/>
        </w:rPr>
        <w:t xml:space="preserve"> </w:t>
      </w:r>
      <w:r>
        <w:rPr>
          <w:rFonts w:hint="eastAsia" w:ascii="Times New Roman" w:hAnsi="Times New Roman" w:cs="Times New Roman"/>
          <w:b/>
          <w:bCs/>
          <w:color w:val="auto"/>
          <w:lang w:eastAsia="zh-CN"/>
        </w:rPr>
        <w:t>园区三级防控体系</w:t>
      </w:r>
    </w:p>
    <w:p w14:paraId="3B242FB8">
      <w:pPr>
        <w:pStyle w:val="42"/>
        <w:sectPr>
          <w:pgSz w:w="16838" w:h="11906" w:orient="landscape"/>
          <w:pgMar w:top="1080" w:right="1440" w:bottom="1080" w:left="1440" w:header="851" w:footer="992" w:gutter="0"/>
          <w:cols w:space="720" w:num="1"/>
          <w:docGrid w:type="lines" w:linePitch="326" w:charSpace="0"/>
        </w:sectPr>
      </w:pPr>
    </w:p>
    <w:p w14:paraId="1692A13F">
      <w:pPr>
        <w:widowControl w:val="0"/>
        <w:spacing w:line="360" w:lineRule="auto"/>
        <w:ind w:firstLine="482"/>
        <w:jc w:val="both"/>
        <w:outlineLvl w:val="2"/>
        <w:rPr>
          <w:rFonts w:ascii="Times New Roman" w:hAnsi="Times New Roman" w:cs="Times New Roman"/>
          <w:b/>
          <w:bCs/>
          <w:color w:val="auto"/>
          <w:lang w:eastAsia="zh-CN"/>
        </w:rPr>
      </w:pPr>
      <w:bookmarkStart w:id="2164" w:name="_Toc236641923"/>
      <w:bookmarkStart w:id="2165" w:name="_Toc231828676"/>
      <w:bookmarkStart w:id="2166" w:name="_Toc225784155"/>
      <w:bookmarkStart w:id="2167" w:name="_Toc237508388"/>
      <w:r>
        <w:rPr>
          <w:rFonts w:ascii="Times New Roman" w:hAnsi="Times New Roman" w:cs="Times New Roman"/>
          <w:b/>
          <w:bCs/>
          <w:color w:val="auto"/>
          <w:lang w:eastAsia="zh-CN"/>
        </w:rPr>
        <w:t>7.</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5</w:t>
      </w:r>
      <w:r>
        <w:rPr>
          <w:rFonts w:ascii="Times New Roman" w:hAnsi="Times New Roman" w:cs="Times New Roman"/>
          <w:b/>
          <w:bCs/>
          <w:color w:val="auto"/>
          <w:lang w:eastAsia="zh-CN"/>
        </w:rPr>
        <w:t xml:space="preserve"> </w:t>
      </w:r>
      <w:r>
        <w:rPr>
          <w:rFonts w:hint="eastAsia" w:ascii="Times New Roman" w:hAnsi="Times New Roman" w:cs="Times New Roman"/>
          <w:b/>
          <w:bCs/>
          <w:color w:val="auto"/>
          <w:lang w:eastAsia="zh-CN"/>
        </w:rPr>
        <w:t>大气环境</w:t>
      </w:r>
      <w:r>
        <w:rPr>
          <w:rFonts w:ascii="Times New Roman" w:hAnsi="Times New Roman" w:cs="Times New Roman"/>
          <w:b/>
          <w:bCs/>
          <w:color w:val="auto"/>
          <w:lang w:eastAsia="zh-CN"/>
        </w:rPr>
        <w:t>风险防范措施</w:t>
      </w:r>
      <w:bookmarkEnd w:id="2164"/>
      <w:bookmarkEnd w:id="2165"/>
      <w:bookmarkEnd w:id="2166"/>
      <w:bookmarkEnd w:id="2167"/>
    </w:p>
    <w:p w14:paraId="590A829F">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拟建项目采取了大量的安全风险防范措施以降低事故发生的概率，而环境风险评价内容是事故发生后对外界环境造成的危害，因此工程采取一系列的安全风险防范措施的基础上，还需采取合理的环境风险防范措施，以降低事故对外界环境造成的影响。</w:t>
      </w:r>
    </w:p>
    <w:p w14:paraId="0341F445">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拟建工程环境风险防范措施主要是指为了防止事故产生的有毒有害物质进入环境而采取的措施，拟建项目大气环境风险影响较小，具体内容如下。</w:t>
      </w:r>
    </w:p>
    <w:p w14:paraId="14449AC4">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（1）装置区和储运区按照环境风险应急预案相应风险措施。</w:t>
      </w:r>
    </w:p>
    <w:p w14:paraId="26F1FE50">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（2）配备事故初级应急人员，配备事故初级救护器材和物质。</w:t>
      </w:r>
    </w:p>
    <w:p w14:paraId="2CB61AE1">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（3）物料泄漏应急、救援及减缓措施</w:t>
      </w:r>
    </w:p>
    <w:p w14:paraId="6131FF14">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当发生易燃易爆或有毒物料泄漏时，可根据物料性质，选择采取以下措施，防止事态进一步发展：</w:t>
      </w:r>
    </w:p>
    <w:p w14:paraId="56139E32">
      <w:pPr>
        <w:widowControl w:val="0"/>
        <w:spacing w:line="360" w:lineRule="auto"/>
        <w:ind w:firstLine="480" w:firstLineChars="200"/>
        <w:jc w:val="both"/>
        <w:rPr>
          <w:rFonts w:ascii="Times New Roman" w:hAnsi="Times New Roman" w:cs="Times New Roman"/>
          <w:color w:val="auto"/>
          <w:lang w:eastAsia="zh-CN"/>
        </w:rPr>
      </w:pPr>
      <w:r>
        <w:rPr>
          <w:rFonts w:ascii="宋体" w:hAnsi="宋体" w:cs="Cambria Math"/>
          <w:color w:val="auto"/>
          <w:lang w:eastAsia="zh-CN"/>
        </w:rPr>
        <w:t>①</w:t>
      </w:r>
      <w:r>
        <w:rPr>
          <w:rFonts w:ascii="Times New Roman" w:hAnsi="Times New Roman" w:cs="Times New Roman"/>
          <w:color w:val="auto"/>
          <w:lang w:eastAsia="zh-CN"/>
        </w:rPr>
        <w:t>根据事故级别启动应急预案。</w:t>
      </w:r>
    </w:p>
    <w:p w14:paraId="49A8CEA3">
      <w:pPr>
        <w:widowControl w:val="0"/>
        <w:spacing w:line="360" w:lineRule="auto"/>
        <w:ind w:firstLine="480" w:firstLineChars="200"/>
        <w:jc w:val="both"/>
        <w:rPr>
          <w:rFonts w:ascii="Times New Roman" w:hAnsi="Times New Roman" w:cs="Times New Roman"/>
          <w:color w:val="auto"/>
          <w:lang w:eastAsia="zh-CN"/>
        </w:rPr>
      </w:pPr>
      <w:r>
        <w:rPr>
          <w:rFonts w:ascii="宋体" w:hAnsi="宋体" w:cs="Cambria Math"/>
          <w:color w:val="auto"/>
          <w:lang w:eastAsia="zh-CN"/>
        </w:rPr>
        <w:t>②</w:t>
      </w:r>
      <w:r>
        <w:rPr>
          <w:rFonts w:ascii="Times New Roman" w:hAnsi="Times New Roman" w:cs="Times New Roman"/>
          <w:color w:val="auto"/>
          <w:lang w:eastAsia="zh-CN"/>
        </w:rPr>
        <w:t>根据风向标，将无关人员迅速疏散到上风向安全区，对危险区域进行隔离，并严格控制出入，切断火源；根据需要疏散周围居住区人群。</w:t>
      </w:r>
    </w:p>
    <w:p w14:paraId="6C0C2153">
      <w:pPr>
        <w:widowControl w:val="0"/>
        <w:spacing w:line="360" w:lineRule="auto"/>
        <w:ind w:firstLine="480" w:firstLineChars="200"/>
        <w:jc w:val="both"/>
        <w:rPr>
          <w:rFonts w:ascii="Times New Roman" w:hAnsi="Times New Roman" w:cs="Times New Roman"/>
          <w:color w:val="auto"/>
          <w:lang w:eastAsia="zh-CN"/>
        </w:rPr>
      </w:pPr>
      <w:r>
        <w:rPr>
          <w:rFonts w:ascii="宋体" w:hAnsi="宋体" w:cs="Cambria Math"/>
          <w:color w:val="auto"/>
          <w:lang w:eastAsia="zh-CN"/>
        </w:rPr>
        <w:t>③</w:t>
      </w:r>
      <w:r>
        <w:rPr>
          <w:rFonts w:ascii="Times New Roman" w:hAnsi="Times New Roman" w:cs="Times New Roman"/>
          <w:color w:val="auto"/>
          <w:lang w:eastAsia="zh-CN"/>
        </w:rPr>
        <w:t>比空气重的易挥发易燃液体泄漏时，用工业覆盖层或吸附/吸收剂盖住泄漏点附近的下水道等地方，防止气体进入。</w:t>
      </w:r>
    </w:p>
    <w:p w14:paraId="28674C63">
      <w:pPr>
        <w:widowControl w:val="0"/>
        <w:spacing w:line="360" w:lineRule="auto"/>
        <w:ind w:firstLine="480" w:firstLineChars="200"/>
        <w:jc w:val="both"/>
        <w:rPr>
          <w:rFonts w:ascii="Times New Roman" w:hAnsi="Times New Roman" w:cs="Times New Roman"/>
          <w:color w:val="auto"/>
          <w:lang w:eastAsia="zh-CN"/>
        </w:rPr>
      </w:pPr>
      <w:r>
        <w:rPr>
          <w:rFonts w:ascii="宋体" w:hAnsi="宋体" w:cs="Cambria Math"/>
          <w:color w:val="auto"/>
          <w:lang w:eastAsia="zh-CN"/>
        </w:rPr>
        <w:t>④</w:t>
      </w:r>
      <w:r>
        <w:rPr>
          <w:rFonts w:ascii="Times New Roman" w:hAnsi="Times New Roman" w:cs="Times New Roman"/>
          <w:color w:val="auto"/>
          <w:lang w:eastAsia="zh-CN"/>
        </w:rPr>
        <w:t>少量液体泄漏：用砂土或其它不燃材料吸附或吸收，也可以用大量水冲洗，稀释水排入废水系统；大量液体泄漏：构筑临时围堤收容，用泡沫覆盖，降低挥发蒸气灾害，用防爆泵转移至槽车或专用收集器内，回收或运至废物处理场所处置。</w:t>
      </w:r>
    </w:p>
    <w:p w14:paraId="1DEA46B6">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（4）火灾、爆炸应急、减缓措施</w:t>
      </w:r>
    </w:p>
    <w:p w14:paraId="3FA7784D">
      <w:pPr>
        <w:widowControl w:val="0"/>
        <w:spacing w:line="360" w:lineRule="auto"/>
        <w:ind w:firstLine="480" w:firstLineChars="200"/>
        <w:jc w:val="both"/>
        <w:rPr>
          <w:rFonts w:ascii="Times New Roman" w:hAnsi="Times New Roman" w:cs="Times New Roman"/>
          <w:color w:val="auto"/>
          <w:lang w:eastAsia="zh-CN"/>
        </w:rPr>
      </w:pPr>
      <w:r>
        <w:rPr>
          <w:rFonts w:ascii="宋体" w:hAnsi="宋体" w:cs="Cambria Math"/>
          <w:color w:val="auto"/>
          <w:lang w:eastAsia="zh-CN"/>
        </w:rPr>
        <w:t>①</w:t>
      </w:r>
      <w:r>
        <w:rPr>
          <w:rFonts w:ascii="Times New Roman" w:hAnsi="Times New Roman" w:cs="Times New Roman"/>
          <w:color w:val="auto"/>
          <w:lang w:eastAsia="zh-CN"/>
        </w:rPr>
        <w:t>根据事故级别启动应急预案。</w:t>
      </w:r>
    </w:p>
    <w:p w14:paraId="16BF070E">
      <w:pPr>
        <w:widowControl w:val="0"/>
        <w:spacing w:line="360" w:lineRule="auto"/>
        <w:ind w:firstLine="480" w:firstLineChars="200"/>
        <w:jc w:val="both"/>
        <w:rPr>
          <w:rFonts w:ascii="Times New Roman" w:hAnsi="Times New Roman" w:cs="Times New Roman"/>
          <w:color w:val="auto"/>
          <w:lang w:eastAsia="zh-CN"/>
        </w:rPr>
      </w:pPr>
      <w:r>
        <w:rPr>
          <w:rFonts w:ascii="宋体" w:hAnsi="宋体" w:cs="Cambria Math"/>
          <w:color w:val="auto"/>
          <w:lang w:eastAsia="zh-CN"/>
        </w:rPr>
        <w:t>②</w:t>
      </w:r>
      <w:r>
        <w:rPr>
          <w:rFonts w:ascii="Times New Roman" w:hAnsi="Times New Roman" w:cs="Times New Roman"/>
          <w:color w:val="auto"/>
          <w:lang w:eastAsia="zh-CN"/>
        </w:rPr>
        <w:t>根据需要，切断着火设施。</w:t>
      </w:r>
    </w:p>
    <w:p w14:paraId="397E58D6">
      <w:pPr>
        <w:widowControl w:val="0"/>
        <w:spacing w:line="360" w:lineRule="auto"/>
        <w:ind w:firstLine="480" w:firstLineChars="200"/>
        <w:jc w:val="both"/>
        <w:rPr>
          <w:rFonts w:ascii="Times New Roman" w:hAnsi="Times New Roman" w:cs="Times New Roman"/>
          <w:color w:val="auto"/>
          <w:lang w:eastAsia="zh-CN"/>
        </w:rPr>
      </w:pPr>
      <w:r>
        <w:rPr>
          <w:rFonts w:ascii="宋体" w:hAnsi="宋体" w:cs="Cambria Math"/>
          <w:color w:val="auto"/>
          <w:lang w:eastAsia="zh-CN"/>
        </w:rPr>
        <w:t>③</w:t>
      </w:r>
      <w:r>
        <w:rPr>
          <w:rFonts w:ascii="Times New Roman" w:hAnsi="Times New Roman" w:cs="Times New Roman"/>
          <w:color w:val="auto"/>
          <w:lang w:eastAsia="zh-CN"/>
        </w:rPr>
        <w:t>根据事故级别疏散周围居住区人群。</w:t>
      </w:r>
    </w:p>
    <w:p w14:paraId="3F22DEC9">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（5）其它</w:t>
      </w:r>
    </w:p>
    <w:p w14:paraId="37C9A514">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设计中优先选用低毒型化学药剂，化学品的使用及存储均采用密闭方式，以减少工人接触的机会。所有危险岗位均有标志，标明保护设施的使用方法。</w:t>
      </w:r>
    </w:p>
    <w:p w14:paraId="4DCEC4DC">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（6）危险物质应急监测</w:t>
      </w:r>
    </w:p>
    <w:p w14:paraId="10630889">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一旦发生事故，建设单位应迅速查明泄漏物质及扩散情况，根据现场气象和地理位置，按照应急监测方案进行危险物质采样快速监测分析，第一时间将监测结果汇报应急指挥部。</w:t>
      </w:r>
    </w:p>
    <w:p w14:paraId="424B36BA">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发生事故后建设单位应尽可能在事故发生地就近采样，并以事故地点为中心，根据事故发生地的地理特点、当时盛行风向以及其他自然条件以及事故等级，在事故发生地下风向（污染物漂移云团经过的路径）影响区域、掩体或低洼等位置，按一定间隔，如50m、100m、200m、500m 和1000m 等处进行圆形布点采样，并根据污染物的特点在不同高度采样，同时在事故点的上风向适当位置布设对照点。在距事故发生地最近的工厂、生活区、村落或其他敏感区域应布点采样。采样过程中应注意风向的变化，及时调整采样点的位置。</w:t>
      </w:r>
    </w:p>
    <w:p w14:paraId="2FBE6DDE">
      <w:pPr>
        <w:widowControl w:val="0"/>
        <w:spacing w:line="360" w:lineRule="auto"/>
        <w:ind w:firstLine="482"/>
        <w:jc w:val="both"/>
        <w:outlineLvl w:val="2"/>
        <w:rPr>
          <w:rFonts w:ascii="Times New Roman" w:hAnsi="Times New Roman" w:cs="Times New Roman"/>
          <w:b/>
          <w:bCs/>
          <w:color w:val="auto"/>
          <w:lang w:eastAsia="zh-CN"/>
        </w:rPr>
      </w:pPr>
      <w:bookmarkStart w:id="2168" w:name="_Toc236641924"/>
      <w:bookmarkStart w:id="2169" w:name="_Toc237508389"/>
      <w:bookmarkStart w:id="2170" w:name="_Toc225784156"/>
      <w:bookmarkStart w:id="2171" w:name="_Toc231828677"/>
      <w:r>
        <w:rPr>
          <w:rFonts w:ascii="Times New Roman" w:hAnsi="Times New Roman" w:cs="Times New Roman"/>
          <w:b/>
          <w:bCs/>
          <w:color w:val="auto"/>
          <w:lang w:eastAsia="zh-CN"/>
        </w:rPr>
        <w:t>7.</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6</w:t>
      </w:r>
      <w:r>
        <w:rPr>
          <w:rFonts w:ascii="Times New Roman" w:hAnsi="Times New Roman" w:cs="Times New Roman"/>
          <w:b/>
          <w:bCs/>
          <w:color w:val="auto"/>
          <w:lang w:eastAsia="zh-CN"/>
        </w:rPr>
        <w:t xml:space="preserve"> 地</w:t>
      </w:r>
      <w:r>
        <w:rPr>
          <w:rFonts w:hint="eastAsia" w:ascii="Times New Roman" w:hAnsi="Times New Roman" w:cs="Times New Roman"/>
          <w:b/>
          <w:bCs/>
          <w:color w:val="auto"/>
          <w:lang w:eastAsia="zh-CN"/>
        </w:rPr>
        <w:t>下</w:t>
      </w:r>
      <w:r>
        <w:rPr>
          <w:rFonts w:ascii="Times New Roman" w:hAnsi="Times New Roman" w:cs="Times New Roman"/>
          <w:b/>
          <w:bCs/>
          <w:color w:val="auto"/>
          <w:lang w:eastAsia="zh-CN"/>
        </w:rPr>
        <w:t>水风险防范措施</w:t>
      </w:r>
      <w:bookmarkEnd w:id="2168"/>
      <w:bookmarkEnd w:id="2169"/>
      <w:bookmarkEnd w:id="2170"/>
      <w:bookmarkEnd w:id="2171"/>
    </w:p>
    <w:p w14:paraId="625D47E9">
      <w:pPr>
        <w:widowControl w:val="0"/>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依据《石油化工工程防渗技术规范》（GB/T50934-2013）并参照《中国石油化工企业防渗设计通则》项目对各污染区进行防渗处理，以满足不同区域防渗等级要求。通过围堰、导流系统、集液池收集、截流泄漏物料流出污染区，防止污染物通过地表水、土壤对地下水造成污染。</w:t>
      </w:r>
    </w:p>
    <w:p w14:paraId="2F9C988D">
      <w:pPr>
        <w:widowControl w:val="0"/>
        <w:spacing w:line="360" w:lineRule="auto"/>
        <w:ind w:firstLine="482"/>
        <w:jc w:val="both"/>
        <w:outlineLvl w:val="2"/>
        <w:rPr>
          <w:rFonts w:ascii="Times New Roman" w:hAnsi="Times New Roman" w:cs="Times New Roman"/>
          <w:b/>
          <w:bCs/>
          <w:color w:val="auto"/>
          <w:lang w:eastAsia="zh-CN"/>
        </w:rPr>
      </w:pPr>
      <w:bookmarkStart w:id="2172" w:name="_Toc223425155"/>
      <w:bookmarkStart w:id="2173" w:name="_Toc225784157"/>
      <w:bookmarkStart w:id="2174" w:name="_Toc218784381"/>
      <w:bookmarkStart w:id="2175" w:name="_Toc236641925"/>
      <w:bookmarkStart w:id="2176" w:name="_Toc204515298"/>
      <w:bookmarkStart w:id="2177" w:name="_Toc204448563"/>
      <w:bookmarkStart w:id="2178" w:name="_Toc217662769"/>
      <w:bookmarkStart w:id="2179" w:name="_Toc231828678"/>
      <w:bookmarkStart w:id="2180" w:name="_Toc224674795"/>
      <w:bookmarkStart w:id="2181" w:name="_Toc237508390"/>
      <w:bookmarkStart w:id="2182" w:name="_Toc203927099"/>
      <w:bookmarkStart w:id="2183" w:name="_Toc178602447"/>
      <w:bookmarkStart w:id="2184" w:name="_Toc221900937"/>
      <w:r>
        <w:rPr>
          <w:rFonts w:ascii="Times New Roman" w:hAnsi="Times New Roman" w:cs="Times New Roman"/>
          <w:b/>
          <w:bCs/>
          <w:color w:val="auto"/>
          <w:lang w:eastAsia="zh-CN"/>
        </w:rPr>
        <w:t>7.</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7</w:t>
      </w:r>
      <w:r>
        <w:rPr>
          <w:rFonts w:ascii="Times New Roman" w:hAnsi="Times New Roman" w:cs="Times New Roman"/>
          <w:b/>
          <w:bCs/>
          <w:color w:val="auto"/>
          <w:lang w:eastAsia="zh-CN"/>
        </w:rPr>
        <w:t xml:space="preserve"> 固体废物风险防范措施</w:t>
      </w:r>
      <w:bookmarkEnd w:id="2172"/>
      <w:bookmarkEnd w:id="2173"/>
      <w:bookmarkEnd w:id="2174"/>
      <w:bookmarkEnd w:id="2175"/>
      <w:bookmarkEnd w:id="2176"/>
      <w:bookmarkEnd w:id="2177"/>
      <w:bookmarkEnd w:id="2178"/>
      <w:bookmarkEnd w:id="2179"/>
      <w:bookmarkEnd w:id="2180"/>
      <w:bookmarkEnd w:id="2181"/>
      <w:bookmarkEnd w:id="2182"/>
      <w:bookmarkEnd w:id="2183"/>
      <w:bookmarkEnd w:id="2184"/>
    </w:p>
    <w:p w14:paraId="25952A12">
      <w:pPr>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本项目按《建设项目危险废物环境影评价技术指南》要求，切实落实危废暂存场所的四防（防风、防雨、防晒、防渗漏）措施，并按重点防渗的要求进行了防腐防渗，采用刚性防渗结构，水泥基渗透结晶型抗渗混凝土（厚度不宜小于150mm）+水泥基渗透结晶型防渗图层（厚度不小于0.8mm）结构形式，防渗结构层渗透系数小于1.0*10</w:t>
      </w:r>
      <w:r>
        <w:rPr>
          <w:rFonts w:ascii="Times New Roman" w:hAnsi="Times New Roman" w:cs="Times New Roman"/>
          <w:color w:val="auto"/>
          <w:vertAlign w:val="superscript"/>
          <w:lang w:eastAsia="zh-CN"/>
        </w:rPr>
        <w:t>-10</w:t>
      </w:r>
      <w:r>
        <w:rPr>
          <w:rFonts w:ascii="Times New Roman" w:hAnsi="Times New Roman" w:cs="Times New Roman"/>
          <w:color w:val="auto"/>
          <w:lang w:eastAsia="zh-CN"/>
        </w:rPr>
        <w:t>cm/s；并建有导流沟及渗滤液收集池，配套危险废物堆放方式、警示标识、废气收集处理等方面内容。</w:t>
      </w:r>
    </w:p>
    <w:p w14:paraId="667BCE00">
      <w:pPr>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同时要求建设单位在选择危险废物处置单位时应选择有处理本项目产生的危险废物经营许可证以及未发生危废处置事故单位，并建议建设单位选择与本项目较近的处置单位，减少运输过程中发生危废流失的可行性。</w:t>
      </w:r>
    </w:p>
    <w:p w14:paraId="369AD18F">
      <w:pPr>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在采取上述措施后，</w:t>
      </w:r>
      <w:r>
        <w:rPr>
          <w:rFonts w:ascii="Times New Roman" w:hAnsi="Times New Roman" w:cs="Times New Roman"/>
          <w:color w:val="auto"/>
          <w:szCs w:val="24"/>
          <w:lang w:eastAsia="zh-CN"/>
        </w:rPr>
        <w:t>拟建项目产生的危险废物从储存、转运、运输、处理处置环节均可以得到有效的控制，能够确保妥善处置，不会对区域环境造成较大不利影响</w:t>
      </w:r>
      <w:r>
        <w:rPr>
          <w:rFonts w:ascii="Times New Roman" w:hAnsi="Times New Roman" w:cs="Times New Roman"/>
          <w:color w:val="auto"/>
          <w:lang w:eastAsia="zh-CN"/>
        </w:rPr>
        <w:t>。</w:t>
      </w:r>
    </w:p>
    <w:p w14:paraId="6C662294">
      <w:pPr>
        <w:widowControl w:val="0"/>
        <w:spacing w:line="360" w:lineRule="auto"/>
        <w:ind w:firstLine="482"/>
        <w:jc w:val="both"/>
        <w:outlineLvl w:val="2"/>
        <w:rPr>
          <w:rFonts w:ascii="Times New Roman" w:hAnsi="Times New Roman" w:cs="Times New Roman"/>
          <w:b/>
          <w:bCs/>
          <w:color w:val="auto"/>
          <w:lang w:eastAsia="zh-CN"/>
        </w:rPr>
      </w:pPr>
      <w:bookmarkStart w:id="2185" w:name="_Toc231828679"/>
      <w:bookmarkStart w:id="2186" w:name="_Toc236641926"/>
      <w:bookmarkStart w:id="2187" w:name="_Toc224674796"/>
      <w:bookmarkStart w:id="2188" w:name="_Toc204448564"/>
      <w:bookmarkStart w:id="2189" w:name="_Toc218784382"/>
      <w:bookmarkStart w:id="2190" w:name="_Toc221900938"/>
      <w:bookmarkStart w:id="2191" w:name="_Toc178602448"/>
      <w:bookmarkStart w:id="2192" w:name="_Toc203927100"/>
      <w:bookmarkStart w:id="2193" w:name="_Toc237508391"/>
      <w:bookmarkStart w:id="2194" w:name="_Toc225784158"/>
      <w:bookmarkStart w:id="2195" w:name="_Toc217662770"/>
      <w:bookmarkStart w:id="2196" w:name="_Toc204515299"/>
      <w:bookmarkStart w:id="2197" w:name="_Toc223425156"/>
      <w:r>
        <w:rPr>
          <w:rFonts w:ascii="Times New Roman" w:hAnsi="Times New Roman" w:cs="Times New Roman"/>
          <w:b/>
          <w:bCs/>
          <w:color w:val="auto"/>
          <w:lang w:eastAsia="zh-CN"/>
        </w:rPr>
        <w:t>7.</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8</w:t>
      </w:r>
      <w:r>
        <w:rPr>
          <w:rFonts w:ascii="Times New Roman" w:hAnsi="Times New Roman" w:cs="Times New Roman"/>
          <w:b/>
          <w:bCs/>
          <w:color w:val="auto"/>
          <w:lang w:eastAsia="zh-CN"/>
        </w:rPr>
        <w:t xml:space="preserve"> 非正常工况风险防范措施</w:t>
      </w:r>
      <w:bookmarkEnd w:id="2185"/>
      <w:bookmarkEnd w:id="2186"/>
      <w:bookmarkEnd w:id="2187"/>
      <w:bookmarkEnd w:id="2188"/>
      <w:bookmarkEnd w:id="2189"/>
      <w:bookmarkEnd w:id="2190"/>
      <w:bookmarkEnd w:id="2191"/>
      <w:bookmarkEnd w:id="2192"/>
      <w:bookmarkEnd w:id="2193"/>
      <w:bookmarkEnd w:id="2194"/>
      <w:bookmarkEnd w:id="2195"/>
      <w:bookmarkEnd w:id="2196"/>
      <w:bookmarkEnd w:id="2197"/>
    </w:p>
    <w:p w14:paraId="25497A7C">
      <w:pPr>
        <w:spacing w:line="360" w:lineRule="auto"/>
        <w:ind w:firstLine="480" w:firstLineChars="200"/>
        <w:rPr>
          <w:rFonts w:ascii="Times New Roman" w:hAnsi="Times New Roman" w:cs="Times New Roman"/>
          <w:bCs/>
          <w:color w:val="auto"/>
          <w:lang w:eastAsia="zh-CN"/>
        </w:rPr>
      </w:pPr>
      <w:r>
        <w:rPr>
          <w:rFonts w:ascii="Times New Roman" w:hAnsi="Times New Roman" w:cs="Times New Roman"/>
          <w:bCs/>
          <w:color w:val="auto"/>
          <w:lang w:eastAsia="zh-CN"/>
        </w:rPr>
        <w:t>本项目的非正常工况主要为开停车及设备检修。根据预测结果，非正常工况下污染物小时最大浓度贡献值虽均未超过质量浓度标准，但最大浓度占标率相对于正常工况下偏高。为避免非正常工况下对外环境的影响，评价要求企业加强日常管理和设备维护，一旦发现异常情况，立即停止生产，并及时排查原因，确保污染物达标排放。</w:t>
      </w:r>
    </w:p>
    <w:p w14:paraId="0EEC9E1F">
      <w:pPr>
        <w:spacing w:line="360" w:lineRule="auto"/>
        <w:ind w:firstLine="482"/>
        <w:outlineLvl w:val="2"/>
        <w:rPr>
          <w:rFonts w:ascii="Times New Roman" w:hAnsi="Times New Roman" w:cs="Times New Roman"/>
          <w:b/>
          <w:bCs/>
          <w:color w:val="auto"/>
          <w:lang w:eastAsia="zh-CN"/>
        </w:rPr>
      </w:pPr>
      <w:bookmarkStart w:id="2198" w:name="_Toc224674797"/>
      <w:bookmarkStart w:id="2199" w:name="_Toc173740374"/>
      <w:bookmarkStart w:id="2200" w:name="_Toc173743478"/>
      <w:bookmarkStart w:id="2201" w:name="_Toc172555740"/>
      <w:bookmarkStart w:id="2202" w:name="_Toc2188"/>
      <w:bookmarkStart w:id="2203" w:name="_Toc218784383"/>
      <w:bookmarkStart w:id="2204" w:name="_Toc204448565"/>
      <w:bookmarkStart w:id="2205" w:name="_Toc176513104"/>
      <w:bookmarkStart w:id="2206" w:name="_Toc217662771"/>
      <w:bookmarkStart w:id="2207" w:name="_Toc237508392"/>
      <w:bookmarkStart w:id="2208" w:name="_Toc236641927"/>
      <w:bookmarkStart w:id="2209" w:name="_Toc175164368"/>
      <w:bookmarkStart w:id="2210" w:name="_Toc223425157"/>
      <w:bookmarkStart w:id="2211" w:name="_Toc221900939"/>
      <w:bookmarkStart w:id="2212" w:name="_Toc231828680"/>
      <w:bookmarkStart w:id="2213" w:name="_Toc178602449"/>
      <w:bookmarkStart w:id="2214" w:name="_Toc203927101"/>
      <w:bookmarkStart w:id="2215" w:name="_Toc225784159"/>
      <w:bookmarkStart w:id="2216" w:name="_Toc204515300"/>
      <w:r>
        <w:rPr>
          <w:rFonts w:ascii="Times New Roman" w:hAnsi="Times New Roman" w:cs="Times New Roman"/>
          <w:b/>
          <w:bCs/>
          <w:color w:val="auto"/>
          <w:lang w:eastAsia="zh-CN"/>
        </w:rPr>
        <w:t>7.</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 xml:space="preserve"> 环境风险监控与应急响应</w:t>
      </w:r>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p>
    <w:p w14:paraId="267AD225">
      <w:pPr>
        <w:spacing w:line="360" w:lineRule="auto"/>
        <w:ind w:firstLine="482"/>
        <w:outlineLvl w:val="3"/>
        <w:rPr>
          <w:rFonts w:ascii="Times New Roman" w:hAnsi="Times New Roman" w:cs="Times New Roman"/>
          <w:b/>
          <w:bCs/>
          <w:color w:val="auto"/>
          <w:lang w:eastAsia="zh-CN"/>
        </w:rPr>
      </w:pPr>
      <w:bookmarkStart w:id="2217" w:name="_Toc17527"/>
      <w:r>
        <w:rPr>
          <w:rFonts w:ascii="Times New Roman" w:hAnsi="Times New Roman" w:cs="Times New Roman"/>
          <w:b/>
          <w:bCs/>
          <w:color w:val="auto"/>
          <w:lang w:eastAsia="zh-CN"/>
        </w:rPr>
        <w:t>7.</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.1 主要危险物质应急处置措施</w:t>
      </w:r>
      <w:bookmarkEnd w:id="2217"/>
    </w:p>
    <w:p w14:paraId="2BF1CC80">
      <w:pPr>
        <w:spacing w:line="360" w:lineRule="auto"/>
        <w:ind w:firstLine="480" w:firstLineChars="200"/>
        <w:rPr>
          <w:rFonts w:ascii="Times New Roman" w:hAnsi="Times New Roman" w:cs="Times New Roman"/>
          <w:color w:val="auto"/>
          <w:szCs w:val="24"/>
          <w:lang w:eastAsia="zh-CN"/>
        </w:rPr>
      </w:pPr>
      <w:bookmarkStart w:id="2218" w:name="_Toc30042"/>
      <w:r>
        <w:rPr>
          <w:rFonts w:ascii="Times New Roman" w:hAnsi="Times New Roman" w:cs="Times New Roman"/>
          <w:color w:val="auto"/>
          <w:szCs w:val="24"/>
          <w:lang w:eastAsia="zh-CN"/>
        </w:rPr>
        <w:t>本项目主要的危险物质有</w:t>
      </w:r>
      <w:r>
        <w:rPr>
          <w:rFonts w:hint="eastAsia" w:ascii="Times New Roman" w:hAnsi="Times New Roman" w:cs="Times New Roman"/>
          <w:color w:val="auto"/>
          <w:lang w:eastAsia="zh-CN"/>
        </w:rPr>
        <w:t>无水氟化氢、15%氟化氢水溶液、31%盐酸</w:t>
      </w:r>
      <w:r>
        <w:rPr>
          <w:rFonts w:hint="eastAsia" w:ascii="Times New Roman" w:hAnsi="Times New Roman" w:cs="Times New Roman"/>
          <w:color w:val="auto"/>
          <w:szCs w:val="24"/>
          <w:lang w:eastAsia="zh-CN"/>
        </w:rPr>
        <w:t>、化学纯氢氟酸、刻蚀液</w:t>
      </w:r>
      <w:r>
        <w:rPr>
          <w:rFonts w:ascii="Times New Roman" w:hAnsi="Times New Roman" w:cs="Times New Roman"/>
          <w:color w:val="auto"/>
          <w:szCs w:val="24"/>
          <w:lang w:eastAsia="zh-CN"/>
        </w:rPr>
        <w:t>等，其安全防护及应急措施见下表。</w:t>
      </w:r>
    </w:p>
    <w:p w14:paraId="260A1CB4">
      <w:pPr>
        <w:spacing w:line="360" w:lineRule="auto"/>
        <w:ind w:firstLine="480" w:firstLineChars="200"/>
        <w:rPr>
          <w:rFonts w:ascii="Times New Roman" w:hAnsi="Times New Roman" w:cs="Times New Roman"/>
          <w:szCs w:val="24"/>
          <w:lang w:eastAsia="zh-CN"/>
        </w:rPr>
      </w:pPr>
    </w:p>
    <w:p w14:paraId="6D807E8B">
      <w:pPr>
        <w:spacing w:line="360" w:lineRule="auto"/>
        <w:ind w:firstLine="480" w:firstLineChars="200"/>
        <w:rPr>
          <w:rFonts w:ascii="Times New Roman" w:hAnsi="Times New Roman" w:cs="Times New Roman"/>
          <w:szCs w:val="24"/>
          <w:lang w:eastAsia="zh-CN"/>
        </w:rPr>
      </w:pPr>
    </w:p>
    <w:p w14:paraId="1021F692">
      <w:pPr>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表7.</w:t>
      </w:r>
      <w:r>
        <w:rPr>
          <w:rFonts w:hint="eastAsia" w:ascii="Times New Roman" w:hAnsi="Times New Roman" w:cs="Times New Roman"/>
          <w:b/>
          <w:bCs/>
          <w:color w:val="auto"/>
          <w:szCs w:val="24"/>
          <w:lang w:eastAsia="zh-CN"/>
        </w:rPr>
        <w:t>9</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4</w:t>
      </w:r>
      <w:r>
        <w:rPr>
          <w:rFonts w:ascii="Times New Roman" w:hAnsi="Times New Roman" w:cs="Times New Roman"/>
          <w:b/>
          <w:bCs/>
          <w:color w:val="auto"/>
          <w:szCs w:val="24"/>
          <w:lang w:eastAsia="zh-CN"/>
        </w:rPr>
        <w:t xml:space="preserve"> 危险化学品安全防护及应急措施表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715"/>
        <w:gridCol w:w="1402"/>
        <w:gridCol w:w="7522"/>
      </w:tblGrid>
      <w:tr w14:paraId="18E249D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71" w:type="pct"/>
          </w:tcPr>
          <w:p w14:paraId="36223A8A">
            <w:pPr>
              <w:pStyle w:val="98"/>
              <w:spacing w:line="240" w:lineRule="auto"/>
              <w:ind w:firstLine="0" w:firstLineChars="0"/>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序号</w:t>
            </w:r>
          </w:p>
        </w:tc>
        <w:tc>
          <w:tcPr>
            <w:tcW w:w="727" w:type="pct"/>
          </w:tcPr>
          <w:p w14:paraId="5A2CA3F0">
            <w:pPr>
              <w:pStyle w:val="98"/>
              <w:spacing w:line="240" w:lineRule="auto"/>
              <w:ind w:firstLine="0" w:firstLineChars="0"/>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事项</w:t>
            </w:r>
          </w:p>
        </w:tc>
        <w:tc>
          <w:tcPr>
            <w:tcW w:w="3902" w:type="pct"/>
          </w:tcPr>
          <w:p w14:paraId="7D9A05ED">
            <w:pPr>
              <w:pStyle w:val="98"/>
              <w:spacing w:line="240" w:lineRule="auto"/>
              <w:ind w:firstLine="0" w:firstLineChars="0"/>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危险化学品安全防护及应急措施</w:t>
            </w:r>
          </w:p>
        </w:tc>
      </w:tr>
      <w:tr w14:paraId="73A4F2D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71" w:type="pct"/>
          </w:tcPr>
          <w:p w14:paraId="3C377095">
            <w:pPr>
              <w:pStyle w:val="98"/>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一</w:t>
            </w:r>
          </w:p>
        </w:tc>
        <w:tc>
          <w:tcPr>
            <w:tcW w:w="4629" w:type="pct"/>
            <w:gridSpan w:val="2"/>
          </w:tcPr>
          <w:p w14:paraId="35E6D5CD">
            <w:pPr>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b/>
                <w:bCs/>
                <w:color w:val="000000" w:themeColor="text1"/>
                <w:sz w:val="21"/>
                <w:lang w:eastAsia="zh-CN"/>
                <w14:textFill>
                  <w14:solidFill>
                    <w14:schemeClr w14:val="tx1"/>
                  </w14:solidFill>
                </w14:textFill>
              </w:rPr>
              <w:t>氟化氢</w:t>
            </w:r>
            <w:r>
              <w:rPr>
                <w:rFonts w:ascii="Times New Roman" w:hAnsi="Times New Roman" w:cs="Times New Roman"/>
                <w:color w:val="000000" w:themeColor="text1"/>
                <w:sz w:val="21"/>
                <w:lang w:eastAsia="zh-CN"/>
                <w14:textFill>
                  <w14:solidFill>
                    <w14:schemeClr w14:val="tx1"/>
                  </w14:solidFill>
                </w14:textFill>
              </w:rPr>
              <w:t>（第8.1类酸性腐蚀品）</w:t>
            </w:r>
          </w:p>
        </w:tc>
      </w:tr>
      <w:tr w14:paraId="521F16F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71" w:type="pct"/>
            <w:vAlign w:val="center"/>
          </w:tcPr>
          <w:p w14:paraId="1A05D683">
            <w:pPr>
              <w:pStyle w:val="98"/>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p>
        </w:tc>
        <w:tc>
          <w:tcPr>
            <w:tcW w:w="727" w:type="pct"/>
            <w:vAlign w:val="center"/>
          </w:tcPr>
          <w:p w14:paraId="6D032B57">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储存要求</w:t>
            </w:r>
          </w:p>
        </w:tc>
        <w:tc>
          <w:tcPr>
            <w:tcW w:w="3902" w:type="pct"/>
            <w:vAlign w:val="center"/>
          </w:tcPr>
          <w:p w14:paraId="2DA29AF3">
            <w:pPr>
              <w:pStyle w:val="31"/>
              <w:spacing w:before="0" w:beforeAutospacing="0" w:after="0" w:afterAutospacing="0"/>
              <w:rPr>
                <w:rStyle w:val="99"/>
                <w:rFonts w:ascii="Times New Roman" w:hAnsi="Times New Roman"/>
                <w:color w:val="000000" w:themeColor="text1"/>
                <w14:textFill>
                  <w14:solidFill>
                    <w14:schemeClr w14:val="tx1"/>
                  </w14:solidFill>
                </w14:textFill>
              </w:rPr>
            </w:pPr>
            <w:r>
              <w:rPr>
                <w:rStyle w:val="99"/>
                <w:rFonts w:ascii="Times New Roman" w:hAnsi="Times New Roman"/>
                <w:color w:val="000000" w:themeColor="text1"/>
                <w14:textFill>
                  <w14:solidFill>
                    <w14:schemeClr w14:val="tx1"/>
                  </w14:solidFill>
                </w14:textFill>
              </w:rPr>
              <w:t>储存于阴凉、通风的库房。远离火种、热源。库温不宜超过30℃。应与易（可）燃物、食用化学品分开存放，切忌混储。储区应备有泄漏应急处理设备。</w:t>
            </w:r>
          </w:p>
        </w:tc>
      </w:tr>
      <w:tr w14:paraId="17F795B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71" w:type="pct"/>
            <w:vAlign w:val="center"/>
          </w:tcPr>
          <w:p w14:paraId="0DC02460">
            <w:pPr>
              <w:pStyle w:val="98"/>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w:t>
            </w:r>
          </w:p>
        </w:tc>
        <w:tc>
          <w:tcPr>
            <w:tcW w:w="727" w:type="pct"/>
            <w:vAlign w:val="center"/>
          </w:tcPr>
          <w:p w14:paraId="1F401DEA">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操作注意事项</w:t>
            </w:r>
          </w:p>
        </w:tc>
        <w:tc>
          <w:tcPr>
            <w:tcW w:w="3902" w:type="pct"/>
            <w:vAlign w:val="center"/>
          </w:tcPr>
          <w:p w14:paraId="79C865D5">
            <w:pPr>
              <w:pStyle w:val="31"/>
              <w:spacing w:before="0" w:beforeAutospacing="0" w:after="0" w:afterAutospacing="0"/>
              <w:rPr>
                <w:rStyle w:val="99"/>
                <w:rFonts w:ascii="Times New Roman" w:hAnsi="Times New Roman"/>
                <w:color w:val="000000" w:themeColor="text1"/>
                <w14:textFill>
                  <w14:solidFill>
                    <w14:schemeClr w14:val="tx1"/>
                  </w14:solidFill>
                </w14:textFill>
              </w:rPr>
            </w:pPr>
            <w:r>
              <w:rPr>
                <w:rStyle w:val="99"/>
                <w:rFonts w:ascii="Times New Roman" w:hAnsi="Times New Roman"/>
                <w:color w:val="000000" w:themeColor="text1"/>
                <w14:textFill>
                  <w14:solidFill>
                    <w14:schemeClr w14:val="tx1"/>
                  </w14:solidFill>
                </w14:textFill>
              </w:rPr>
              <w:t>密闭操作，注意通风。操作尽可能机械化、自动化。操作人员必须经过专门培训，严格遵守操作规程。建议操作人员佩戴自吸过滤式防毒面具（全面罩），穿橡胶耐酸碱服，戴橡胶耐酸碱手套。避免产生烟雾。防止气体或蒸气泄漏到工作场所空气中。远离易燃、可燃物。搬运时轻装轻卸，防止钢瓶及附件破损。配备泄漏应急处理设备。倒空的容器可能残留有害物。</w:t>
            </w:r>
          </w:p>
        </w:tc>
      </w:tr>
      <w:tr w14:paraId="481A019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71" w:type="pct"/>
            <w:vAlign w:val="center"/>
          </w:tcPr>
          <w:p w14:paraId="10365DC7">
            <w:pPr>
              <w:pStyle w:val="98"/>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w:t>
            </w:r>
          </w:p>
        </w:tc>
        <w:tc>
          <w:tcPr>
            <w:tcW w:w="727" w:type="pct"/>
            <w:vAlign w:val="center"/>
          </w:tcPr>
          <w:p w14:paraId="10B850CC">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泄漏应急处置</w:t>
            </w:r>
          </w:p>
        </w:tc>
        <w:tc>
          <w:tcPr>
            <w:tcW w:w="3902" w:type="pct"/>
            <w:vAlign w:val="center"/>
          </w:tcPr>
          <w:p w14:paraId="0A0049C0">
            <w:pPr>
              <w:pStyle w:val="31"/>
              <w:spacing w:before="0" w:beforeAutospacing="0" w:after="0" w:afterAutospacing="0"/>
              <w:rPr>
                <w:rStyle w:val="99"/>
                <w:rFonts w:ascii="Times New Roman" w:hAnsi="Times New Roman"/>
                <w:color w:val="000000" w:themeColor="text1"/>
                <w14:textFill>
                  <w14:solidFill>
                    <w14:schemeClr w14:val="tx1"/>
                  </w14:solidFill>
                </w14:textFill>
              </w:rPr>
            </w:pPr>
            <w:r>
              <w:rPr>
                <w:rStyle w:val="99"/>
                <w:rFonts w:ascii="Times New Roman" w:hAnsi="Times New Roman"/>
                <w:color w:val="000000" w:themeColor="text1"/>
                <w14:textFill>
                  <w14:solidFill>
                    <w14:schemeClr w14:val="tx1"/>
                  </w14:solidFill>
                </w14:textFill>
              </w:rPr>
              <w:t>迅速撤离泄漏污染区人员至安全区，并立即隔离150m，严格限制出入。建议应急处理人员戴自给正压式呼吸器，穿防酸碱工作服。尽可能切断泄漏源。防止流入下水道、排洪沟等限制性空间。若是气体，合理通风，加速扩散。喷氨水或其它稀碱液中和。构筑围堤或挖坑收容产生的大量废水。也可以将残余气或漏出气用排风机送至水洗塔或与塔相连的通风橱内。漏气容器要妥善处理，修复、检验后再用。若是液体，用砂土或其它不燃材料吸附或吸收。也可以用大量水冲洗，洗水稀释后放入废水系统。若大量泄漏，构筑围堤或挖坑收容。用泵转移至槽车或专用收集器内，回收或运至废物处理场所处置</w:t>
            </w:r>
          </w:p>
        </w:tc>
      </w:tr>
      <w:tr w14:paraId="715C0DA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71" w:type="pct"/>
            <w:vAlign w:val="center"/>
          </w:tcPr>
          <w:p w14:paraId="28BC22ED">
            <w:pPr>
              <w:pStyle w:val="98"/>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w:t>
            </w:r>
          </w:p>
        </w:tc>
        <w:tc>
          <w:tcPr>
            <w:tcW w:w="727" w:type="pct"/>
            <w:vAlign w:val="center"/>
          </w:tcPr>
          <w:p w14:paraId="5494977E">
            <w:pPr>
              <w:autoSpaceDE w:val="0"/>
              <w:autoSpaceDN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灭火方法</w:t>
            </w:r>
          </w:p>
        </w:tc>
        <w:tc>
          <w:tcPr>
            <w:tcW w:w="3902" w:type="pct"/>
          </w:tcPr>
          <w:p w14:paraId="63849BDB">
            <w:pPr>
              <w:pStyle w:val="31"/>
              <w:spacing w:before="0" w:beforeAutospacing="0" w:after="0" w:afterAutospacing="0"/>
              <w:rPr>
                <w:rStyle w:val="99"/>
                <w:rFonts w:ascii="Times New Roman" w:hAnsi="Times New Roman"/>
                <w:color w:val="000000" w:themeColor="text1"/>
                <w14:textFill>
                  <w14:solidFill>
                    <w14:schemeClr w14:val="tx1"/>
                  </w14:solidFill>
                </w14:textFill>
              </w:rPr>
            </w:pPr>
            <w:r>
              <w:rPr>
                <w:rStyle w:val="99"/>
                <w:rFonts w:ascii="Times New Roman" w:hAnsi="Times New Roman"/>
                <w:color w:val="000000" w:themeColor="text1"/>
                <w14:textFill>
                  <w14:solidFill>
                    <w14:schemeClr w14:val="tx1"/>
                  </w14:solidFill>
                </w14:textFill>
              </w:rPr>
              <w:t>消防人员必须穿特殊防护服，在掩蔽处操作。喷水保持火场容器冷却，直至灭火结束</w:t>
            </w:r>
          </w:p>
        </w:tc>
      </w:tr>
      <w:tr w14:paraId="3B84E54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71" w:type="pct"/>
            <w:vAlign w:val="center"/>
          </w:tcPr>
          <w:p w14:paraId="7384AB7D">
            <w:pPr>
              <w:pStyle w:val="98"/>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5</w:t>
            </w:r>
          </w:p>
        </w:tc>
        <w:tc>
          <w:tcPr>
            <w:tcW w:w="727" w:type="pct"/>
            <w:vAlign w:val="center"/>
          </w:tcPr>
          <w:p w14:paraId="43B3C2EF">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急救措施</w:t>
            </w:r>
          </w:p>
        </w:tc>
        <w:tc>
          <w:tcPr>
            <w:tcW w:w="3902" w:type="pct"/>
          </w:tcPr>
          <w:p w14:paraId="624A33A6">
            <w:pPr>
              <w:pStyle w:val="31"/>
              <w:spacing w:before="0" w:beforeAutospacing="0" w:after="0" w:afterAutospacing="0"/>
              <w:rPr>
                <w:rStyle w:val="99"/>
                <w:rFonts w:ascii="Times New Roman" w:hAnsi="Times New Roman"/>
                <w:color w:val="000000" w:themeColor="text1"/>
                <w14:textFill>
                  <w14:solidFill>
                    <w14:schemeClr w14:val="tx1"/>
                  </w14:solidFill>
                </w14:textFill>
              </w:rPr>
            </w:pPr>
            <w:r>
              <w:rPr>
                <w:rStyle w:val="99"/>
                <w:rFonts w:ascii="Times New Roman" w:hAnsi="Times New Roman"/>
                <w:color w:val="000000" w:themeColor="text1"/>
                <w14:textFill>
                  <w14:solidFill>
                    <w14:schemeClr w14:val="tx1"/>
                  </w14:solidFill>
                </w14:textFill>
              </w:rPr>
              <w:t>皮肤接触：立即脱去污染的衣着，用大量流动清水冲洗至少15分钟。就医。</w:t>
            </w:r>
          </w:p>
          <w:p w14:paraId="53AC4590">
            <w:pPr>
              <w:pStyle w:val="31"/>
              <w:spacing w:before="0" w:beforeAutospacing="0" w:after="0" w:afterAutospacing="0"/>
              <w:rPr>
                <w:rStyle w:val="99"/>
                <w:rFonts w:ascii="Times New Roman" w:hAnsi="Times New Roman"/>
                <w:color w:val="000000" w:themeColor="text1"/>
                <w14:textFill>
                  <w14:solidFill>
                    <w14:schemeClr w14:val="tx1"/>
                  </w14:solidFill>
                </w14:textFill>
              </w:rPr>
            </w:pPr>
            <w:r>
              <w:rPr>
                <w:rStyle w:val="99"/>
                <w:rFonts w:ascii="Times New Roman" w:hAnsi="Times New Roman"/>
                <w:color w:val="000000" w:themeColor="text1"/>
                <w14:textFill>
                  <w14:solidFill>
                    <w14:schemeClr w14:val="tx1"/>
                  </w14:solidFill>
                </w14:textFill>
              </w:rPr>
              <w:t>眼睛接触：立即提起眼睑，用大量流动清水或生理盐水彻底冲洗至少15分钟。就医。</w:t>
            </w:r>
          </w:p>
          <w:p w14:paraId="12F5927C">
            <w:pPr>
              <w:pStyle w:val="31"/>
              <w:spacing w:before="0" w:beforeAutospacing="0" w:after="0" w:afterAutospacing="0"/>
              <w:rPr>
                <w:rStyle w:val="99"/>
                <w:rFonts w:ascii="Times New Roman" w:hAnsi="Times New Roman"/>
                <w:color w:val="000000" w:themeColor="text1"/>
                <w14:textFill>
                  <w14:solidFill>
                    <w14:schemeClr w14:val="tx1"/>
                  </w14:solidFill>
                </w14:textFill>
              </w:rPr>
            </w:pPr>
            <w:r>
              <w:rPr>
                <w:rStyle w:val="99"/>
                <w:rFonts w:ascii="Times New Roman" w:hAnsi="Times New Roman"/>
                <w:color w:val="000000" w:themeColor="text1"/>
                <w14:textFill>
                  <w14:solidFill>
                    <w14:schemeClr w14:val="tx1"/>
                  </w14:solidFill>
                </w14:textFill>
              </w:rPr>
              <w:t>吸入：迅速脱离现场至空气新鲜处。保持呼吸道通畅。如呼吸困难，给输氧。如呼吸停止，立即进行人工呼吸。就医。</w:t>
            </w:r>
          </w:p>
          <w:p w14:paraId="72016B79">
            <w:pPr>
              <w:pStyle w:val="31"/>
              <w:spacing w:before="0" w:beforeAutospacing="0" w:after="0" w:afterAutospacing="0"/>
              <w:rPr>
                <w:rStyle w:val="99"/>
                <w:rFonts w:ascii="Times New Roman" w:hAnsi="Times New Roman"/>
                <w:color w:val="000000" w:themeColor="text1"/>
                <w14:textFill>
                  <w14:solidFill>
                    <w14:schemeClr w14:val="tx1"/>
                  </w14:solidFill>
                </w14:textFill>
              </w:rPr>
            </w:pPr>
            <w:r>
              <w:rPr>
                <w:rStyle w:val="99"/>
                <w:rFonts w:ascii="Times New Roman" w:hAnsi="Times New Roman"/>
                <w:color w:val="000000" w:themeColor="text1"/>
                <w14:textFill>
                  <w14:solidFill>
                    <w14:schemeClr w14:val="tx1"/>
                  </w14:solidFill>
                </w14:textFill>
              </w:rPr>
              <w:t>食入：用水漱口，给饮牛奶或蛋清。就医。</w:t>
            </w:r>
          </w:p>
        </w:tc>
      </w:tr>
      <w:tr w14:paraId="3ED0E80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71" w:type="pct"/>
            <w:vAlign w:val="center"/>
          </w:tcPr>
          <w:p w14:paraId="745D03BF">
            <w:pPr>
              <w:pStyle w:val="98"/>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6</w:t>
            </w:r>
          </w:p>
        </w:tc>
        <w:tc>
          <w:tcPr>
            <w:tcW w:w="727" w:type="pct"/>
            <w:vAlign w:val="center"/>
          </w:tcPr>
          <w:p w14:paraId="2F65BB9C">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个人防护</w:t>
            </w:r>
          </w:p>
        </w:tc>
        <w:tc>
          <w:tcPr>
            <w:tcW w:w="3902" w:type="pct"/>
          </w:tcPr>
          <w:p w14:paraId="6CDB2803">
            <w:pPr>
              <w:pStyle w:val="31"/>
              <w:spacing w:before="0" w:beforeAutospacing="0" w:after="0" w:afterAutospacing="0"/>
              <w:rPr>
                <w:rStyle w:val="99"/>
                <w:rFonts w:ascii="Times New Roman" w:hAnsi="Times New Roman"/>
                <w:color w:val="000000" w:themeColor="text1"/>
                <w14:textFill>
                  <w14:solidFill>
                    <w14:schemeClr w14:val="tx1"/>
                  </w14:solidFill>
                </w14:textFill>
              </w:rPr>
            </w:pPr>
            <w:r>
              <w:rPr>
                <w:rStyle w:val="99"/>
                <w:rFonts w:ascii="Times New Roman" w:hAnsi="Times New Roman"/>
                <w:color w:val="000000" w:themeColor="text1"/>
                <w14:textFill>
                  <w14:solidFill>
                    <w14:schemeClr w14:val="tx1"/>
                  </w14:solidFill>
                </w14:textFill>
              </w:rPr>
              <w:t>呼吸系统防护：可能接触其烟雾时，佩戴自吸过滤式防毒面具（全面罩）或空气呼吸器。紧急事态抢救或撤离时，建议佩戴氧气呼吸器</w:t>
            </w:r>
          </w:p>
          <w:p w14:paraId="2E9ADAD9">
            <w:pPr>
              <w:pStyle w:val="31"/>
              <w:spacing w:before="0" w:beforeAutospacing="0" w:after="0" w:afterAutospacing="0"/>
              <w:rPr>
                <w:rStyle w:val="99"/>
                <w:rFonts w:ascii="Times New Roman" w:hAnsi="Times New Roman"/>
                <w:color w:val="000000" w:themeColor="text1"/>
                <w14:textFill>
                  <w14:solidFill>
                    <w14:schemeClr w14:val="tx1"/>
                  </w14:solidFill>
                </w14:textFill>
              </w:rPr>
            </w:pPr>
            <w:r>
              <w:rPr>
                <w:rStyle w:val="99"/>
                <w:rFonts w:ascii="Times New Roman" w:hAnsi="Times New Roman"/>
                <w:color w:val="000000" w:themeColor="text1"/>
                <w14:textFill>
                  <w14:solidFill>
                    <w14:schemeClr w14:val="tx1"/>
                  </w14:solidFill>
                </w14:textFill>
              </w:rPr>
              <w:t>眼睛防护：呼吸系统防护中已作防护。</w:t>
            </w:r>
          </w:p>
          <w:p w14:paraId="05CA9612">
            <w:pPr>
              <w:pStyle w:val="31"/>
              <w:spacing w:before="0" w:beforeAutospacing="0" w:after="0" w:afterAutospacing="0"/>
              <w:rPr>
                <w:rStyle w:val="99"/>
                <w:rFonts w:ascii="Times New Roman" w:hAnsi="Times New Roman"/>
                <w:color w:val="000000" w:themeColor="text1"/>
                <w14:textFill>
                  <w14:solidFill>
                    <w14:schemeClr w14:val="tx1"/>
                  </w14:solidFill>
                </w14:textFill>
              </w:rPr>
            </w:pPr>
            <w:r>
              <w:rPr>
                <w:rStyle w:val="99"/>
                <w:rFonts w:ascii="Times New Roman" w:hAnsi="Times New Roman"/>
                <w:color w:val="000000" w:themeColor="text1"/>
                <w14:textFill>
                  <w14:solidFill>
                    <w14:schemeClr w14:val="tx1"/>
                  </w14:solidFill>
                </w14:textFill>
              </w:rPr>
              <w:t>身体防护：穿橡胶耐酸碱服。</w:t>
            </w:r>
          </w:p>
          <w:p w14:paraId="47EBDED8">
            <w:pPr>
              <w:pStyle w:val="31"/>
              <w:spacing w:before="0" w:beforeAutospacing="0" w:after="0" w:afterAutospacing="0"/>
              <w:rPr>
                <w:rFonts w:ascii="Times New Roman" w:hAnsi="Times New Roman"/>
                <w:color w:val="000000" w:themeColor="text1"/>
                <w:sz w:val="21"/>
                <w14:textFill>
                  <w14:solidFill>
                    <w14:schemeClr w14:val="tx1"/>
                  </w14:solidFill>
                </w14:textFill>
              </w:rPr>
            </w:pPr>
            <w:r>
              <w:rPr>
                <w:rStyle w:val="99"/>
                <w:rFonts w:ascii="Times New Roman" w:hAnsi="Times New Roman"/>
                <w:color w:val="000000" w:themeColor="text1"/>
                <w14:textFill>
                  <w14:solidFill>
                    <w14:schemeClr w14:val="tx1"/>
                  </w14:solidFill>
                </w14:textFill>
              </w:rPr>
              <w:t>手防护：戴橡胶耐酸碱手套。</w:t>
            </w:r>
          </w:p>
        </w:tc>
      </w:tr>
      <w:tr w14:paraId="59CD059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71" w:type="pct"/>
            <w:vAlign w:val="center"/>
          </w:tcPr>
          <w:p w14:paraId="6F62FD8E">
            <w:pPr>
              <w:pStyle w:val="98"/>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二</w:t>
            </w:r>
          </w:p>
        </w:tc>
        <w:tc>
          <w:tcPr>
            <w:tcW w:w="4629" w:type="pct"/>
            <w:gridSpan w:val="2"/>
            <w:vAlign w:val="center"/>
          </w:tcPr>
          <w:p w14:paraId="43A631B0">
            <w:pPr>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b/>
                <w:color w:val="000000" w:themeColor="text1"/>
                <w:sz w:val="21"/>
                <w:lang w:eastAsia="zh-CN"/>
                <w14:textFill>
                  <w14:solidFill>
                    <w14:schemeClr w14:val="tx1"/>
                  </w14:solidFill>
                </w14:textFill>
              </w:rPr>
              <w:t>盐酸</w:t>
            </w:r>
            <w:r>
              <w:rPr>
                <w:rFonts w:ascii="Times New Roman" w:hAnsi="Times New Roman" w:cs="Times New Roman"/>
                <w:bCs/>
                <w:color w:val="000000" w:themeColor="text1"/>
                <w:sz w:val="21"/>
                <w:lang w:eastAsia="zh-CN"/>
                <w14:textFill>
                  <w14:solidFill>
                    <w14:schemeClr w14:val="tx1"/>
                  </w14:solidFill>
                </w14:textFill>
              </w:rPr>
              <w:t>（</w:t>
            </w:r>
            <w:r>
              <w:rPr>
                <w:rFonts w:ascii="Times New Roman" w:hAnsi="Times New Roman" w:cs="Times New Roman"/>
                <w:color w:val="000000" w:themeColor="text1"/>
                <w:sz w:val="21"/>
                <w:lang w:eastAsia="zh-CN"/>
                <w14:textFill>
                  <w14:solidFill>
                    <w14:schemeClr w14:val="tx1"/>
                  </w14:solidFill>
                </w14:textFill>
              </w:rPr>
              <w:t>第8.1类酸性腐蚀品</w:t>
            </w:r>
            <w:r>
              <w:rPr>
                <w:rFonts w:ascii="Times New Roman" w:hAnsi="Times New Roman" w:cs="Times New Roman"/>
                <w:bCs/>
                <w:color w:val="000000" w:themeColor="text1"/>
                <w:sz w:val="21"/>
                <w:lang w:eastAsia="zh-CN"/>
                <w14:textFill>
                  <w14:solidFill>
                    <w14:schemeClr w14:val="tx1"/>
                  </w14:solidFill>
                </w14:textFill>
              </w:rPr>
              <w:t>）</w:t>
            </w:r>
          </w:p>
        </w:tc>
      </w:tr>
      <w:tr w14:paraId="68C3724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71" w:type="pct"/>
            <w:vAlign w:val="center"/>
          </w:tcPr>
          <w:p w14:paraId="295BD409">
            <w:pPr>
              <w:pStyle w:val="98"/>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p>
        </w:tc>
        <w:tc>
          <w:tcPr>
            <w:tcW w:w="727" w:type="pct"/>
            <w:vAlign w:val="center"/>
          </w:tcPr>
          <w:p w14:paraId="42E22BDF">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储存要求</w:t>
            </w:r>
          </w:p>
        </w:tc>
        <w:tc>
          <w:tcPr>
            <w:tcW w:w="3902" w:type="pct"/>
            <w:vAlign w:val="center"/>
          </w:tcPr>
          <w:p w14:paraId="79B9D23D">
            <w:pPr>
              <w:pStyle w:val="31"/>
              <w:spacing w:before="0" w:beforeAutospacing="0" w:after="0" w:afterAutospacing="0"/>
              <w:rPr>
                <w:rStyle w:val="99"/>
                <w:rFonts w:ascii="Times New Roman" w:hAnsi="Times New Roman"/>
                <w:color w:val="000000" w:themeColor="text1"/>
                <w14:textFill>
                  <w14:solidFill>
                    <w14:schemeClr w14:val="tx1"/>
                  </w14:solidFill>
                </w14:textFill>
              </w:rPr>
            </w:pPr>
            <w:r>
              <w:rPr>
                <w:rFonts w:ascii="Times New Roman" w:hAnsi="Times New Roman"/>
                <w:color w:val="000000" w:themeColor="text1"/>
                <w:sz w:val="21"/>
                <w14:textFill>
                  <w14:solidFill>
                    <w14:schemeClr w14:val="tx1"/>
                  </w14:solidFill>
                </w14:textFill>
              </w:rPr>
              <w:t>储存于阴凉、通风的库房。库温不超过30℃，相对湿度不超过85％。保持容器密封。应与碱类、胺类、碱金属、易（可）燃物分开存放，切忌混储。储区应备有泄漏应急处理设备和合适的收容材料。</w:t>
            </w:r>
          </w:p>
        </w:tc>
      </w:tr>
      <w:tr w14:paraId="5760E31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71" w:type="pct"/>
            <w:vAlign w:val="center"/>
          </w:tcPr>
          <w:p w14:paraId="2D0330CF">
            <w:pPr>
              <w:pStyle w:val="98"/>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w:t>
            </w:r>
          </w:p>
        </w:tc>
        <w:tc>
          <w:tcPr>
            <w:tcW w:w="727" w:type="pct"/>
            <w:vAlign w:val="center"/>
          </w:tcPr>
          <w:p w14:paraId="6E743F13">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操作注意事项</w:t>
            </w:r>
          </w:p>
        </w:tc>
        <w:tc>
          <w:tcPr>
            <w:tcW w:w="3902" w:type="pct"/>
            <w:vAlign w:val="center"/>
          </w:tcPr>
          <w:p w14:paraId="7CA4BFD9">
            <w:pPr>
              <w:pStyle w:val="31"/>
              <w:spacing w:before="0" w:beforeAutospacing="0" w:after="0" w:afterAutospacing="0"/>
              <w:rPr>
                <w:rStyle w:val="99"/>
                <w:rFonts w:ascii="Times New Roman" w:hAnsi="Times New Roman"/>
                <w:color w:val="000000" w:themeColor="text1"/>
                <w14:textFill>
                  <w14:solidFill>
                    <w14:schemeClr w14:val="tx1"/>
                  </w14:solidFill>
                </w14:textFill>
              </w:rPr>
            </w:pPr>
            <w:r>
              <w:rPr>
                <w:rFonts w:ascii="Times New Roman" w:hAnsi="Times New Roman"/>
                <w:color w:val="000000" w:themeColor="text1"/>
                <w:sz w:val="21"/>
                <w14:textFill>
                  <w14:solidFill>
                    <w14:schemeClr w14:val="tx1"/>
                  </w14:solidFill>
                </w14:textFill>
              </w:rPr>
              <w:t>密闭操作，注意通风。操作尽可能机械化、自动化。操作人员必须经过专门培训，严格遵守操作规程。建议操作人员佩戴自吸过滤式防毒面具（全面罩），穿橡胶耐酸碱服，戴橡胶耐酸碱手套。远离易燃、可燃物。防止蒸气泄漏到工作场所空气中。避免与碱类、胺类、碱金属接触。搬运时要轻装轻卸，防止包装及容器损坏。配备泄漏应急处理设备。倒空的容器可能残留有害物。</w:t>
            </w:r>
          </w:p>
        </w:tc>
      </w:tr>
      <w:tr w14:paraId="1F4226E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71" w:type="pct"/>
            <w:vAlign w:val="center"/>
          </w:tcPr>
          <w:p w14:paraId="3AF4BB8D">
            <w:pPr>
              <w:pStyle w:val="98"/>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w:t>
            </w:r>
          </w:p>
        </w:tc>
        <w:tc>
          <w:tcPr>
            <w:tcW w:w="727" w:type="pct"/>
            <w:vAlign w:val="center"/>
          </w:tcPr>
          <w:p w14:paraId="59CBF407">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泄漏应急处置</w:t>
            </w:r>
          </w:p>
        </w:tc>
        <w:tc>
          <w:tcPr>
            <w:tcW w:w="3902" w:type="pct"/>
            <w:vAlign w:val="center"/>
          </w:tcPr>
          <w:p w14:paraId="005D884A">
            <w:pPr>
              <w:pStyle w:val="31"/>
              <w:spacing w:before="0" w:beforeAutospacing="0" w:after="0" w:afterAutospacing="0"/>
              <w:rPr>
                <w:rStyle w:val="99"/>
                <w:rFonts w:ascii="Times New Roman" w:hAnsi="Times New Roman"/>
                <w:color w:val="000000" w:themeColor="text1"/>
                <w14:textFill>
                  <w14:solidFill>
                    <w14:schemeClr w14:val="tx1"/>
                  </w14:solidFill>
                </w14:textFill>
              </w:rPr>
            </w:pPr>
            <w:r>
              <w:rPr>
                <w:rFonts w:ascii="Times New Roman" w:hAnsi="Times New Roman"/>
                <w:color w:val="000000" w:themeColor="text1"/>
                <w:sz w:val="21"/>
                <w14:textFill>
                  <w14:solidFill>
                    <w14:schemeClr w14:val="tx1"/>
                  </w14:solidFill>
                </w14:textFill>
              </w:rPr>
              <w:t>迅速撤离泄漏污染区人员至安全区，并进行隔离，严格限制出入。建议应急处理人员戴自给正压式呼吸器，穿防酸碱工作服。不要直接接触泄漏物。尽可能切断泄漏源。小量泄漏：用砂土、干燥石灰或苏打灰混合。也可以用大量水冲洗，洗水稀释后放入废水系统。大量泄漏：构筑围堤或挖坑收容。用泵转移至槽车或专用收集器内，回收或运至废物处理场所处置。</w:t>
            </w:r>
          </w:p>
        </w:tc>
      </w:tr>
      <w:tr w14:paraId="1FD1235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71" w:type="pct"/>
            <w:vAlign w:val="center"/>
          </w:tcPr>
          <w:p w14:paraId="47DAF8E2">
            <w:pPr>
              <w:pStyle w:val="98"/>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w:t>
            </w:r>
          </w:p>
        </w:tc>
        <w:tc>
          <w:tcPr>
            <w:tcW w:w="727" w:type="pct"/>
            <w:vAlign w:val="center"/>
          </w:tcPr>
          <w:p w14:paraId="368AC839">
            <w:pPr>
              <w:autoSpaceDE w:val="0"/>
              <w:autoSpaceDN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灭火方法</w:t>
            </w:r>
          </w:p>
        </w:tc>
        <w:tc>
          <w:tcPr>
            <w:tcW w:w="3902" w:type="pct"/>
          </w:tcPr>
          <w:p w14:paraId="05300F8C">
            <w:pPr>
              <w:pStyle w:val="31"/>
              <w:spacing w:before="0" w:beforeAutospacing="0" w:after="0" w:afterAutospacing="0"/>
              <w:rPr>
                <w:rStyle w:val="99"/>
                <w:rFonts w:ascii="Times New Roman" w:hAnsi="Times New Roman"/>
                <w:color w:val="000000" w:themeColor="text1"/>
                <w14:textFill>
                  <w14:solidFill>
                    <w14:schemeClr w14:val="tx1"/>
                  </w14:solidFill>
                </w14:textFill>
              </w:rPr>
            </w:pPr>
            <w:r>
              <w:rPr>
                <w:rFonts w:ascii="Times New Roman" w:hAnsi="Times New Roman"/>
                <w:color w:val="000000" w:themeColor="text1"/>
                <w:sz w:val="21"/>
                <w14:textFill>
                  <w14:solidFill>
                    <w14:schemeClr w14:val="tx1"/>
                  </w14:solidFill>
                </w14:textFill>
              </w:rPr>
              <w:t>用碱性物质如碳酸氢钠、碳酸钠、消石灰等中和。也可用大量水扑救。</w:t>
            </w:r>
          </w:p>
        </w:tc>
      </w:tr>
      <w:tr w14:paraId="5B08B06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71" w:type="pct"/>
            <w:vAlign w:val="center"/>
          </w:tcPr>
          <w:p w14:paraId="35464E6C">
            <w:pPr>
              <w:pStyle w:val="98"/>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5</w:t>
            </w:r>
          </w:p>
        </w:tc>
        <w:tc>
          <w:tcPr>
            <w:tcW w:w="727" w:type="pct"/>
            <w:vAlign w:val="center"/>
          </w:tcPr>
          <w:p w14:paraId="653B6271">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急救措施</w:t>
            </w:r>
          </w:p>
        </w:tc>
        <w:tc>
          <w:tcPr>
            <w:tcW w:w="3902" w:type="pct"/>
          </w:tcPr>
          <w:p w14:paraId="323C87C1">
            <w:pPr>
              <w:pStyle w:val="31"/>
              <w:spacing w:before="0" w:beforeAutospacing="0" w:after="0" w:afterAutospacing="0"/>
              <w:rPr>
                <w:rStyle w:val="99"/>
                <w:rFonts w:ascii="Times New Roman" w:hAnsi="Times New Roman"/>
                <w:color w:val="000000" w:themeColor="text1"/>
                <w14:textFill>
                  <w14:solidFill>
                    <w14:schemeClr w14:val="tx1"/>
                  </w14:solidFill>
                </w14:textFill>
              </w:rPr>
            </w:pPr>
            <w:r>
              <w:rPr>
                <w:rStyle w:val="99"/>
                <w:rFonts w:ascii="Times New Roman" w:hAnsi="Times New Roman"/>
                <w:color w:val="000000" w:themeColor="text1"/>
                <w14:textFill>
                  <w14:solidFill>
                    <w14:schemeClr w14:val="tx1"/>
                  </w14:solidFill>
                </w14:textFill>
              </w:rPr>
              <w:t>皮肤接触：立即脱去污染的衣着，用大量流动清水冲洗至少15分钟。就医。</w:t>
            </w:r>
          </w:p>
          <w:p w14:paraId="5730D6DF">
            <w:pPr>
              <w:pStyle w:val="31"/>
              <w:spacing w:before="0" w:beforeAutospacing="0" w:after="0" w:afterAutospacing="0"/>
              <w:rPr>
                <w:rStyle w:val="99"/>
                <w:rFonts w:ascii="Times New Roman" w:hAnsi="Times New Roman"/>
                <w:color w:val="000000" w:themeColor="text1"/>
                <w14:textFill>
                  <w14:solidFill>
                    <w14:schemeClr w14:val="tx1"/>
                  </w14:solidFill>
                </w14:textFill>
              </w:rPr>
            </w:pPr>
            <w:r>
              <w:rPr>
                <w:rStyle w:val="99"/>
                <w:rFonts w:ascii="Times New Roman" w:hAnsi="Times New Roman"/>
                <w:color w:val="000000" w:themeColor="text1"/>
                <w14:textFill>
                  <w14:solidFill>
                    <w14:schemeClr w14:val="tx1"/>
                  </w14:solidFill>
                </w14:textFill>
              </w:rPr>
              <w:t>眼睛接触：立即提起眼睑，用大量流动清水或生理盐水彻底冲洗至少15分钟。就医。</w:t>
            </w:r>
          </w:p>
          <w:p w14:paraId="07B00819">
            <w:pPr>
              <w:pStyle w:val="31"/>
              <w:spacing w:before="0" w:beforeAutospacing="0" w:after="0" w:afterAutospacing="0"/>
              <w:rPr>
                <w:rStyle w:val="99"/>
                <w:rFonts w:ascii="Times New Roman" w:hAnsi="Times New Roman"/>
                <w:color w:val="000000" w:themeColor="text1"/>
                <w14:textFill>
                  <w14:solidFill>
                    <w14:schemeClr w14:val="tx1"/>
                  </w14:solidFill>
                </w14:textFill>
              </w:rPr>
            </w:pPr>
            <w:r>
              <w:rPr>
                <w:rStyle w:val="99"/>
                <w:rFonts w:ascii="Times New Roman" w:hAnsi="Times New Roman"/>
                <w:color w:val="000000" w:themeColor="text1"/>
                <w14:textFill>
                  <w14:solidFill>
                    <w14:schemeClr w14:val="tx1"/>
                  </w14:solidFill>
                </w14:textFill>
              </w:rPr>
              <w:t>吸入：迅速脱离现场至空气新鲜处。保持呼吸道通畅。如呼吸困难，给输氧。如呼吸停止，立即进行人工呼吸。就医。</w:t>
            </w:r>
          </w:p>
          <w:p w14:paraId="07336DD1">
            <w:pPr>
              <w:pStyle w:val="31"/>
              <w:spacing w:before="0" w:beforeAutospacing="0" w:after="0" w:afterAutospacing="0"/>
              <w:rPr>
                <w:rStyle w:val="99"/>
                <w:rFonts w:ascii="Times New Roman" w:hAnsi="Times New Roman"/>
                <w:color w:val="000000" w:themeColor="text1"/>
                <w14:textFill>
                  <w14:solidFill>
                    <w14:schemeClr w14:val="tx1"/>
                  </w14:solidFill>
                </w14:textFill>
              </w:rPr>
            </w:pPr>
            <w:r>
              <w:rPr>
                <w:rStyle w:val="99"/>
                <w:rFonts w:ascii="Times New Roman" w:hAnsi="Times New Roman"/>
                <w:color w:val="000000" w:themeColor="text1"/>
                <w14:textFill>
                  <w14:solidFill>
                    <w14:schemeClr w14:val="tx1"/>
                  </w14:solidFill>
                </w14:textFill>
              </w:rPr>
              <w:t>食入：用水漱口，给饮牛奶或蛋清。就医。</w:t>
            </w:r>
          </w:p>
        </w:tc>
      </w:tr>
      <w:tr w14:paraId="1259E9C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71" w:type="pct"/>
            <w:vAlign w:val="center"/>
          </w:tcPr>
          <w:p w14:paraId="7763880C">
            <w:pPr>
              <w:pStyle w:val="98"/>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6</w:t>
            </w:r>
          </w:p>
        </w:tc>
        <w:tc>
          <w:tcPr>
            <w:tcW w:w="727" w:type="pct"/>
            <w:vAlign w:val="center"/>
          </w:tcPr>
          <w:p w14:paraId="40673C81">
            <w:pPr>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个人防护</w:t>
            </w:r>
          </w:p>
        </w:tc>
        <w:tc>
          <w:tcPr>
            <w:tcW w:w="3902" w:type="pct"/>
          </w:tcPr>
          <w:p w14:paraId="5388FC5A">
            <w:pPr>
              <w:pStyle w:val="31"/>
              <w:spacing w:before="0" w:beforeAutospacing="0" w:after="0" w:afterAutospacing="0"/>
              <w:rPr>
                <w:rStyle w:val="99"/>
                <w:rFonts w:ascii="Times New Roman" w:hAnsi="Times New Roman"/>
                <w:color w:val="000000" w:themeColor="text1"/>
                <w14:textFill>
                  <w14:solidFill>
                    <w14:schemeClr w14:val="tx1"/>
                  </w14:solidFill>
                </w14:textFill>
              </w:rPr>
            </w:pPr>
            <w:r>
              <w:rPr>
                <w:rStyle w:val="99"/>
                <w:rFonts w:ascii="Times New Roman" w:hAnsi="Times New Roman"/>
                <w:color w:val="000000" w:themeColor="text1"/>
                <w14:textFill>
                  <w14:solidFill>
                    <w14:schemeClr w14:val="tx1"/>
                  </w14:solidFill>
                </w14:textFill>
              </w:rPr>
              <w:t>呼吸系统防护：可能接触其烟雾时，佩戴自吸过滤式防毒面具（全面罩）或空气呼吸器。紧急事态抢救或撤离时，建议佩戴氧气呼吸器</w:t>
            </w:r>
          </w:p>
          <w:p w14:paraId="4945DA38">
            <w:pPr>
              <w:pStyle w:val="31"/>
              <w:spacing w:before="0" w:beforeAutospacing="0" w:after="0" w:afterAutospacing="0"/>
              <w:rPr>
                <w:rStyle w:val="99"/>
                <w:rFonts w:ascii="Times New Roman" w:hAnsi="Times New Roman"/>
                <w:color w:val="000000" w:themeColor="text1"/>
                <w14:textFill>
                  <w14:solidFill>
                    <w14:schemeClr w14:val="tx1"/>
                  </w14:solidFill>
                </w14:textFill>
              </w:rPr>
            </w:pPr>
            <w:r>
              <w:rPr>
                <w:rStyle w:val="99"/>
                <w:rFonts w:ascii="Times New Roman" w:hAnsi="Times New Roman"/>
                <w:color w:val="000000" w:themeColor="text1"/>
                <w14:textFill>
                  <w14:solidFill>
                    <w14:schemeClr w14:val="tx1"/>
                  </w14:solidFill>
                </w14:textFill>
              </w:rPr>
              <w:t>眼睛防护：呼吸系统防护中已作防护。</w:t>
            </w:r>
          </w:p>
          <w:p w14:paraId="17D161CD">
            <w:pPr>
              <w:pStyle w:val="31"/>
              <w:spacing w:before="0" w:beforeAutospacing="0" w:after="0" w:afterAutospacing="0"/>
              <w:rPr>
                <w:rStyle w:val="99"/>
                <w:rFonts w:ascii="Times New Roman" w:hAnsi="Times New Roman"/>
                <w:color w:val="000000" w:themeColor="text1"/>
                <w14:textFill>
                  <w14:solidFill>
                    <w14:schemeClr w14:val="tx1"/>
                  </w14:solidFill>
                </w14:textFill>
              </w:rPr>
            </w:pPr>
            <w:r>
              <w:rPr>
                <w:rStyle w:val="99"/>
                <w:rFonts w:ascii="Times New Roman" w:hAnsi="Times New Roman"/>
                <w:color w:val="000000" w:themeColor="text1"/>
                <w14:textFill>
                  <w14:solidFill>
                    <w14:schemeClr w14:val="tx1"/>
                  </w14:solidFill>
                </w14:textFill>
              </w:rPr>
              <w:t>身体防护：穿橡胶耐酸碱服。</w:t>
            </w:r>
          </w:p>
          <w:p w14:paraId="56A1A593">
            <w:pPr>
              <w:pStyle w:val="31"/>
              <w:spacing w:before="0" w:beforeAutospacing="0" w:after="0" w:afterAutospacing="0"/>
              <w:rPr>
                <w:rFonts w:ascii="Times New Roman" w:hAnsi="Times New Roman"/>
                <w:color w:val="000000" w:themeColor="text1"/>
                <w:sz w:val="21"/>
                <w14:textFill>
                  <w14:solidFill>
                    <w14:schemeClr w14:val="tx1"/>
                  </w14:solidFill>
                </w14:textFill>
              </w:rPr>
            </w:pPr>
            <w:r>
              <w:rPr>
                <w:rStyle w:val="99"/>
                <w:rFonts w:ascii="Times New Roman" w:hAnsi="Times New Roman"/>
                <w:color w:val="000000" w:themeColor="text1"/>
                <w14:textFill>
                  <w14:solidFill>
                    <w14:schemeClr w14:val="tx1"/>
                  </w14:solidFill>
                </w14:textFill>
              </w:rPr>
              <w:t>手防护：戴橡胶耐酸碱手套。</w:t>
            </w:r>
          </w:p>
        </w:tc>
      </w:tr>
      <w:bookmarkEnd w:id="2218"/>
    </w:tbl>
    <w:p w14:paraId="64BFB9EF">
      <w:pPr>
        <w:spacing w:line="360" w:lineRule="auto"/>
        <w:ind w:firstLine="482"/>
        <w:outlineLvl w:val="3"/>
        <w:rPr>
          <w:rFonts w:ascii="Times New Roman" w:hAnsi="Times New Roman" w:cs="Times New Roman"/>
          <w:b/>
          <w:bCs/>
          <w:color w:val="auto"/>
          <w:lang w:eastAsia="zh-CN"/>
        </w:rPr>
      </w:pPr>
      <w:bookmarkStart w:id="2219" w:name="_Toc14762"/>
      <w:r>
        <w:rPr>
          <w:rFonts w:ascii="Times New Roman" w:hAnsi="Times New Roman" w:cs="Times New Roman"/>
          <w:b/>
          <w:bCs/>
          <w:color w:val="auto"/>
          <w:lang w:eastAsia="zh-CN"/>
        </w:rPr>
        <w:t>7.</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.10.2 应急响应制度</w:t>
      </w:r>
      <w:bookmarkEnd w:id="2219"/>
    </w:p>
    <w:p w14:paraId="2A4CE67C">
      <w:pPr>
        <w:spacing w:line="360" w:lineRule="auto"/>
        <w:ind w:firstLine="480" w:firstLineChars="200"/>
        <w:rPr>
          <w:rFonts w:ascii="Times New Roman" w:hAnsi="Times New Roman" w:cs="Times New Roman"/>
          <w:color w:val="auto"/>
          <w:lang w:eastAsia="zh-CN"/>
        </w:rPr>
      </w:pPr>
      <w:bookmarkStart w:id="2220" w:name="_Toc25987"/>
      <w:r>
        <w:rPr>
          <w:rFonts w:ascii="Times New Roman" w:hAnsi="Times New Roman" w:cs="Times New Roman"/>
          <w:color w:val="auto"/>
          <w:lang w:eastAsia="zh-CN"/>
        </w:rPr>
        <w:t>（1）应急响应机制</w:t>
      </w:r>
      <w:bookmarkEnd w:id="2220"/>
    </w:p>
    <w:p w14:paraId="6332E2A9">
      <w:pPr>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突发环境事件应急响应坚持属地为主的原则。地方人民政府按照有关规定负责突发环境事件应急处置工作。</w:t>
      </w:r>
    </w:p>
    <w:p w14:paraId="031D21F0">
      <w:pPr>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按突发环境事件的可控性、严重程度和影响范围，突发环境事件的应急响应分为重大（Ⅰ级响应）、较大（Ⅱ级响应）、一般（Ⅲ级响应）三级。超出本级应急处置能力时，应及时请求上一级应急救援指挥机构启动上一级应急预案。Ⅰ级应急响应由省级环保行政主管部门和省政府有关部门组织实施；Ⅱ级应急响应由蚌埠市生态环境主管部门和市政府有关部门组织实施；Ⅲ级响应在园区管委会协调下，由地方政府相关职能部门负责应急处置工作。</w:t>
      </w:r>
      <w:bookmarkStart w:id="2221" w:name="_Toc23355"/>
    </w:p>
    <w:p w14:paraId="35A8EC60">
      <w:pPr>
        <w:spacing w:line="360" w:lineRule="auto"/>
        <w:ind w:firstLine="480" w:firstLineChars="200"/>
        <w:rPr>
          <w:rFonts w:ascii="Times New Roman" w:hAnsi="Times New Roman" w:cs="Times New Roman"/>
          <w:color w:val="auto"/>
          <w:lang w:eastAsia="zh-CN"/>
        </w:rPr>
      </w:pPr>
      <w:r>
        <w:rPr>
          <w:rFonts w:hint="eastAsia" w:ascii="Times New Roman" w:hAnsi="Times New Roman" w:cs="Times New Roman"/>
          <w:color w:val="auto"/>
          <w:lang w:eastAsia="zh-CN"/>
        </w:rPr>
        <w:t>（2）</w:t>
      </w:r>
      <w:r>
        <w:rPr>
          <w:rFonts w:ascii="Times New Roman" w:hAnsi="Times New Roman" w:cs="Times New Roman"/>
          <w:color w:val="auto"/>
          <w:lang w:eastAsia="zh-CN"/>
        </w:rPr>
        <w:t>应急响应程序</w:t>
      </w:r>
      <w:bookmarkEnd w:id="2221"/>
    </w:p>
    <w:p w14:paraId="2C80DD11">
      <w:pPr>
        <w:spacing w:line="360" w:lineRule="auto"/>
        <w:ind w:firstLine="480" w:firstLineChars="200"/>
        <w:rPr>
          <w:rFonts w:ascii="Times New Roman" w:hAnsi="Times New Roman" w:cs="Times New Roman"/>
          <w:b/>
          <w:color w:val="auto"/>
          <w:lang w:eastAsia="zh-CN"/>
        </w:rPr>
      </w:pPr>
      <w:r>
        <w:rPr>
          <w:rFonts w:ascii="Times New Roman" w:hAnsi="Times New Roman" w:cs="Times New Roman"/>
          <w:color w:val="auto"/>
          <w:lang w:eastAsia="zh-CN"/>
        </w:rPr>
        <w:t>事故状况下，应按以下列程序和内容响应：</w:t>
      </w:r>
    </w:p>
    <w:p w14:paraId="66ADA5DF">
      <w:pPr>
        <w:spacing w:line="360" w:lineRule="auto"/>
        <w:ind w:firstLine="480" w:firstLineChars="200"/>
        <w:rPr>
          <w:rFonts w:ascii="Times New Roman" w:hAnsi="Times New Roman" w:cs="Times New Roman"/>
          <w:color w:val="auto"/>
          <w:lang w:eastAsia="zh-CN"/>
        </w:rPr>
      </w:pPr>
      <w:r>
        <w:rPr>
          <w:rFonts w:ascii="宋体" w:hAnsi="宋体" w:cs="Times New Roman"/>
          <w:color w:val="auto"/>
        </w:rPr>
        <w:fldChar w:fldCharType="begin"/>
      </w:r>
      <w:r>
        <w:rPr>
          <w:rFonts w:ascii="宋体" w:hAnsi="宋体" w:cs="Times New Roman"/>
          <w:color w:val="auto"/>
          <w:lang w:eastAsia="zh-CN"/>
        </w:rPr>
        <w:instrText xml:space="preserve"> = 1 \* GB3 </w:instrText>
      </w:r>
      <w:r>
        <w:rPr>
          <w:rFonts w:ascii="宋体" w:hAnsi="宋体" w:cs="Times New Roman"/>
          <w:color w:val="auto"/>
        </w:rPr>
        <w:fldChar w:fldCharType="separate"/>
      </w:r>
      <w:r>
        <w:rPr>
          <w:rFonts w:ascii="宋体" w:hAnsi="宋体" w:cs="Cambria Math"/>
          <w:color w:val="auto"/>
          <w:lang w:eastAsia="zh-CN"/>
        </w:rPr>
        <w:t>①</w:t>
      </w:r>
      <w:r>
        <w:rPr>
          <w:rFonts w:ascii="宋体" w:hAnsi="宋体" w:cs="Times New Roman"/>
          <w:color w:val="auto"/>
        </w:rPr>
        <w:fldChar w:fldCharType="end"/>
      </w:r>
      <w:r>
        <w:rPr>
          <w:rFonts w:ascii="Times New Roman" w:hAnsi="Times New Roman" w:cs="Times New Roman"/>
          <w:color w:val="auto"/>
          <w:lang w:eastAsia="zh-CN"/>
        </w:rPr>
        <w:t>开通与突发环境事件所在地市级环境应急指挥机构、现场应急指挥部、相关专业应急指挥系统的通信联系，随时掌握事件进展情况；</w:t>
      </w:r>
    </w:p>
    <w:p w14:paraId="2EC14DE7">
      <w:pPr>
        <w:spacing w:line="360" w:lineRule="auto"/>
        <w:ind w:firstLine="480" w:firstLineChars="200"/>
        <w:rPr>
          <w:rFonts w:ascii="Times New Roman" w:hAnsi="Times New Roman" w:cs="Times New Roman"/>
          <w:color w:val="auto"/>
          <w:lang w:eastAsia="zh-CN"/>
        </w:rPr>
      </w:pPr>
      <w:r>
        <w:rPr>
          <w:rFonts w:ascii="宋体" w:hAnsi="宋体" w:cs="Times New Roman"/>
          <w:color w:val="auto"/>
        </w:rPr>
        <w:fldChar w:fldCharType="begin"/>
      </w:r>
      <w:r>
        <w:rPr>
          <w:rFonts w:ascii="宋体" w:hAnsi="宋体" w:cs="Times New Roman"/>
          <w:color w:val="auto"/>
          <w:lang w:eastAsia="zh-CN"/>
        </w:rPr>
        <w:instrText xml:space="preserve"> = 2 \* GB3 </w:instrText>
      </w:r>
      <w:r>
        <w:rPr>
          <w:rFonts w:ascii="宋体" w:hAnsi="宋体" w:cs="Times New Roman"/>
          <w:color w:val="auto"/>
        </w:rPr>
        <w:fldChar w:fldCharType="separate"/>
      </w:r>
      <w:r>
        <w:rPr>
          <w:rFonts w:ascii="宋体" w:hAnsi="宋体" w:cs="Cambria Math"/>
          <w:color w:val="auto"/>
          <w:lang w:eastAsia="zh-CN"/>
        </w:rPr>
        <w:t>②</w:t>
      </w:r>
      <w:r>
        <w:rPr>
          <w:rFonts w:ascii="宋体" w:hAnsi="宋体" w:cs="Times New Roman"/>
          <w:color w:val="auto"/>
        </w:rPr>
        <w:fldChar w:fldCharType="end"/>
      </w:r>
      <w:r>
        <w:rPr>
          <w:rFonts w:ascii="Times New Roman" w:hAnsi="Times New Roman" w:cs="Times New Roman"/>
          <w:color w:val="auto"/>
          <w:lang w:eastAsia="zh-CN"/>
        </w:rPr>
        <w:t>立即向园区管委会、</w:t>
      </w:r>
      <w:r>
        <w:rPr>
          <w:rFonts w:ascii="Times New Roman" w:hAnsi="Times New Roman" w:cs="Times New Roman"/>
          <w:color w:val="auto"/>
          <w:szCs w:val="24"/>
          <w:lang w:eastAsia="zh-CN"/>
        </w:rPr>
        <w:t>淮上区生态环境分局、淮上区人民政府报告</w:t>
      </w:r>
      <w:r>
        <w:rPr>
          <w:rFonts w:ascii="Times New Roman" w:hAnsi="Times New Roman" w:cs="Times New Roman"/>
          <w:color w:val="auto"/>
          <w:lang w:eastAsia="zh-CN"/>
        </w:rPr>
        <w:t>，必要时成立环境应急指挥部；</w:t>
      </w:r>
    </w:p>
    <w:p w14:paraId="48D6745A">
      <w:pPr>
        <w:spacing w:line="360" w:lineRule="auto"/>
        <w:ind w:firstLine="480" w:firstLineChars="200"/>
        <w:rPr>
          <w:rFonts w:ascii="Times New Roman" w:hAnsi="Times New Roman" w:cs="Times New Roman"/>
          <w:color w:val="auto"/>
          <w:lang w:eastAsia="zh-CN"/>
        </w:rPr>
      </w:pPr>
      <w:r>
        <w:rPr>
          <w:rFonts w:ascii="宋体" w:hAnsi="宋体" w:cs="Times New Roman"/>
          <w:color w:val="auto"/>
        </w:rPr>
        <w:fldChar w:fldCharType="begin"/>
      </w:r>
      <w:r>
        <w:rPr>
          <w:rFonts w:ascii="宋体" w:hAnsi="宋体" w:cs="Times New Roman"/>
          <w:color w:val="auto"/>
          <w:lang w:eastAsia="zh-CN"/>
        </w:rPr>
        <w:instrText xml:space="preserve"> = 3 \* GB3 </w:instrText>
      </w:r>
      <w:r>
        <w:rPr>
          <w:rFonts w:ascii="宋体" w:hAnsi="宋体" w:cs="Times New Roman"/>
          <w:color w:val="auto"/>
        </w:rPr>
        <w:fldChar w:fldCharType="separate"/>
      </w:r>
      <w:r>
        <w:rPr>
          <w:rFonts w:ascii="宋体" w:hAnsi="宋体" w:cs="Cambria Math"/>
          <w:color w:val="auto"/>
          <w:lang w:eastAsia="zh-CN"/>
        </w:rPr>
        <w:t>③</w:t>
      </w:r>
      <w:r>
        <w:rPr>
          <w:rFonts w:ascii="宋体" w:hAnsi="宋体" w:cs="Times New Roman"/>
          <w:color w:val="auto"/>
        </w:rPr>
        <w:fldChar w:fldCharType="end"/>
      </w:r>
      <w:r>
        <w:rPr>
          <w:rFonts w:ascii="Times New Roman" w:hAnsi="Times New Roman" w:cs="Times New Roman"/>
          <w:color w:val="auto"/>
          <w:lang w:eastAsia="zh-CN"/>
        </w:rPr>
        <w:t>及时向</w:t>
      </w:r>
      <w:r>
        <w:rPr>
          <w:rFonts w:ascii="Times New Roman" w:hAnsi="Times New Roman" w:cs="Times New Roman"/>
          <w:color w:val="auto"/>
          <w:szCs w:val="24"/>
          <w:lang w:eastAsia="zh-CN"/>
        </w:rPr>
        <w:t>蚌埠市生态环境局、蚌埠市人民政府</w:t>
      </w:r>
      <w:r>
        <w:rPr>
          <w:rFonts w:ascii="Times New Roman" w:hAnsi="Times New Roman" w:cs="Times New Roman"/>
          <w:color w:val="auto"/>
          <w:lang w:eastAsia="zh-CN"/>
        </w:rPr>
        <w:t>报告突发环境事件基本情况和应急救援的进展情况；</w:t>
      </w:r>
    </w:p>
    <w:p w14:paraId="663A8DF0">
      <w:pPr>
        <w:spacing w:line="360" w:lineRule="auto"/>
        <w:ind w:firstLine="480" w:firstLineChars="200"/>
        <w:rPr>
          <w:rFonts w:ascii="Times New Roman" w:hAnsi="Times New Roman" w:cs="Times New Roman"/>
          <w:color w:val="auto"/>
          <w:lang w:eastAsia="zh-CN"/>
        </w:rPr>
      </w:pPr>
      <w:r>
        <w:rPr>
          <w:rFonts w:ascii="宋体" w:hAnsi="宋体" w:cs="Times New Roman"/>
          <w:color w:val="auto"/>
        </w:rPr>
        <w:fldChar w:fldCharType="begin"/>
      </w:r>
      <w:r>
        <w:rPr>
          <w:rFonts w:ascii="宋体" w:hAnsi="宋体" w:cs="Times New Roman"/>
          <w:color w:val="auto"/>
          <w:lang w:eastAsia="zh-CN"/>
        </w:rPr>
        <w:instrText xml:space="preserve"> = 4 \* GB3 </w:instrText>
      </w:r>
      <w:r>
        <w:rPr>
          <w:rFonts w:ascii="宋体" w:hAnsi="宋体" w:cs="Times New Roman"/>
          <w:color w:val="auto"/>
        </w:rPr>
        <w:fldChar w:fldCharType="separate"/>
      </w:r>
      <w:r>
        <w:rPr>
          <w:rFonts w:ascii="宋体" w:hAnsi="宋体" w:cs="Cambria Math"/>
          <w:color w:val="auto"/>
          <w:lang w:eastAsia="zh-CN"/>
        </w:rPr>
        <w:t>④</w:t>
      </w:r>
      <w:r>
        <w:rPr>
          <w:rFonts w:ascii="宋体" w:hAnsi="宋体" w:cs="Times New Roman"/>
          <w:color w:val="auto"/>
        </w:rPr>
        <w:fldChar w:fldCharType="end"/>
      </w:r>
      <w:r>
        <w:rPr>
          <w:rFonts w:ascii="Times New Roman" w:hAnsi="Times New Roman" w:cs="Times New Roman"/>
          <w:color w:val="auto"/>
          <w:lang w:eastAsia="zh-CN"/>
        </w:rPr>
        <w:t>组成专家组，分析情况。根据专家的建议，通知相关应急救援力量随时待命，为地方或相关专业应急指挥机构提供技术支持；</w:t>
      </w:r>
    </w:p>
    <w:p w14:paraId="237E74E1">
      <w:pPr>
        <w:spacing w:line="360" w:lineRule="auto"/>
        <w:ind w:firstLine="480" w:firstLineChars="200"/>
        <w:rPr>
          <w:rFonts w:ascii="Times New Roman" w:hAnsi="Times New Roman" w:cs="Times New Roman"/>
          <w:color w:val="auto"/>
          <w:lang w:eastAsia="zh-CN"/>
        </w:rPr>
      </w:pPr>
      <w:r>
        <w:rPr>
          <w:rFonts w:ascii="宋体" w:hAnsi="宋体" w:cs="Times New Roman"/>
          <w:color w:val="auto"/>
        </w:rPr>
        <w:fldChar w:fldCharType="begin"/>
      </w:r>
      <w:r>
        <w:rPr>
          <w:rFonts w:ascii="宋体" w:hAnsi="宋体" w:cs="Times New Roman"/>
          <w:color w:val="auto"/>
          <w:lang w:eastAsia="zh-CN"/>
        </w:rPr>
        <w:instrText xml:space="preserve"> = 5 \* GB3 </w:instrText>
      </w:r>
      <w:r>
        <w:rPr>
          <w:rFonts w:ascii="宋体" w:hAnsi="宋体" w:cs="Times New Roman"/>
          <w:color w:val="auto"/>
        </w:rPr>
        <w:fldChar w:fldCharType="separate"/>
      </w:r>
      <w:r>
        <w:rPr>
          <w:rFonts w:ascii="宋体" w:hAnsi="宋体" w:cs="Cambria Math"/>
          <w:color w:val="auto"/>
          <w:lang w:eastAsia="zh-CN"/>
        </w:rPr>
        <w:t>⑤</w:t>
      </w:r>
      <w:r>
        <w:rPr>
          <w:rFonts w:ascii="宋体" w:hAnsi="宋体" w:cs="Times New Roman"/>
          <w:color w:val="auto"/>
        </w:rPr>
        <w:fldChar w:fldCharType="end"/>
      </w:r>
      <w:r>
        <w:rPr>
          <w:rFonts w:ascii="Times New Roman" w:hAnsi="Times New Roman" w:cs="Times New Roman"/>
          <w:color w:val="auto"/>
          <w:lang w:eastAsia="zh-CN"/>
        </w:rPr>
        <w:t>派出相关应急救援力量和专家赶赴现场参加、指导现场应急救援，根据需要调集事发地周边地区专业应急力量实施增援。</w:t>
      </w:r>
      <w:bookmarkStart w:id="2222" w:name="_Toc26486"/>
    </w:p>
    <w:p w14:paraId="70AA091F">
      <w:pPr>
        <w:spacing w:line="360" w:lineRule="auto"/>
        <w:ind w:firstLine="480" w:firstLineChars="200"/>
        <w:rPr>
          <w:rFonts w:ascii="Times New Roman" w:hAnsi="Times New Roman" w:cs="Times New Roman"/>
          <w:color w:val="auto"/>
          <w:lang w:eastAsia="zh-CN"/>
        </w:rPr>
      </w:pPr>
      <w:r>
        <w:rPr>
          <w:rFonts w:hint="eastAsia" w:ascii="Times New Roman" w:hAnsi="Times New Roman" w:cs="Times New Roman"/>
          <w:color w:val="auto"/>
          <w:lang w:eastAsia="zh-CN"/>
        </w:rPr>
        <w:t>（3）</w:t>
      </w:r>
      <w:r>
        <w:rPr>
          <w:rFonts w:ascii="Times New Roman" w:hAnsi="Times New Roman" w:cs="Times New Roman"/>
          <w:color w:val="auto"/>
          <w:lang w:eastAsia="zh-CN"/>
        </w:rPr>
        <w:t>应急监测</w:t>
      </w:r>
      <w:bookmarkEnd w:id="2222"/>
    </w:p>
    <w:p w14:paraId="462CCCCB">
      <w:pPr>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企业无自行监测能力时，应委托第三方或者依托当地生态环境主管部门，在事故发生时，能够启动应急监测工作。</w:t>
      </w:r>
    </w:p>
    <w:p w14:paraId="3FB95C31">
      <w:pPr>
        <w:spacing w:line="360" w:lineRule="auto"/>
        <w:ind w:firstLine="482"/>
        <w:outlineLvl w:val="3"/>
        <w:rPr>
          <w:rFonts w:ascii="Times New Roman" w:hAnsi="Times New Roman" w:cs="Times New Roman"/>
          <w:b/>
          <w:bCs/>
          <w:color w:val="auto"/>
          <w:lang w:eastAsia="zh-CN"/>
        </w:rPr>
      </w:pPr>
      <w:bookmarkStart w:id="2223" w:name="_Toc12047"/>
      <w:r>
        <w:rPr>
          <w:rFonts w:ascii="Times New Roman" w:hAnsi="Times New Roman" w:cs="Times New Roman"/>
          <w:b/>
          <w:bCs/>
          <w:color w:val="auto"/>
          <w:lang w:eastAsia="zh-CN"/>
        </w:rPr>
        <w:t>7.</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.10.3 与园区风险防控衔接</w:t>
      </w:r>
      <w:bookmarkEnd w:id="2223"/>
    </w:p>
    <w:p w14:paraId="4512927A">
      <w:pPr>
        <w:pStyle w:val="68"/>
        <w:adjustRightInd w:val="0"/>
        <w:snapToGrid w:val="0"/>
        <w:spacing w:line="360" w:lineRule="auto"/>
        <w:ind w:firstLine="480"/>
        <w:rPr>
          <w:rFonts w:eastAsia="宋体"/>
          <w:color w:val="auto"/>
          <w:sz w:val="24"/>
          <w:szCs w:val="28"/>
        </w:rPr>
      </w:pPr>
      <w:r>
        <w:rPr>
          <w:rFonts w:eastAsia="宋体"/>
          <w:color w:val="auto"/>
          <w:sz w:val="24"/>
          <w:szCs w:val="28"/>
        </w:rPr>
        <w:t>根据园区环境风险应急预案，园区成立突发环境污染事故应急指挥部，统一指挥工业园区区内的应急救援工作，主要由总指挥、副总指挥和指挥部成员等人员组成。总指挥在接到事件发生企业（或事业）单位的报警后，决定启动园区环境应急预案，通知应急救援的相关部门（环保、消防、急救、保卫、通讯、新闻等）做好应急准备，并负责应急救援的统一指挥。根据事件发生、发展的情况决定是否请求上级应急指挥机构给予支援，副总指挥协助总指挥组织和指挥应急救援的具体工作。</w:t>
      </w:r>
    </w:p>
    <w:p w14:paraId="748A2184">
      <w:pPr>
        <w:pStyle w:val="68"/>
        <w:adjustRightInd w:val="0"/>
        <w:snapToGrid w:val="0"/>
        <w:spacing w:line="360" w:lineRule="auto"/>
        <w:ind w:firstLine="480"/>
        <w:rPr>
          <w:rFonts w:eastAsia="宋体"/>
          <w:color w:val="auto"/>
          <w:sz w:val="24"/>
          <w:szCs w:val="28"/>
        </w:rPr>
      </w:pPr>
      <w:r>
        <w:rPr>
          <w:rFonts w:eastAsia="宋体"/>
          <w:color w:val="auto"/>
          <w:sz w:val="24"/>
          <w:szCs w:val="28"/>
        </w:rPr>
        <w:t>根据工业园区区内可能发生的环境污染事故的类型、严重程度和影响范围，成立相应的应急救援专业队伍，在应急救援指挥部的统一指挥下，快速、有序、有效地开展应急救援行动，以尽快处置事故，使事故的危害降到最低。救援专业队伍组成及硬件配备见表7.</w:t>
      </w:r>
      <w:r>
        <w:rPr>
          <w:rFonts w:hint="eastAsia" w:eastAsia="宋体"/>
          <w:color w:val="auto"/>
          <w:sz w:val="24"/>
          <w:szCs w:val="28"/>
        </w:rPr>
        <w:t>9</w:t>
      </w:r>
      <w:r>
        <w:rPr>
          <w:rFonts w:eastAsia="宋体"/>
          <w:color w:val="auto"/>
          <w:sz w:val="24"/>
          <w:szCs w:val="28"/>
        </w:rPr>
        <w:t>-6。救援组工作职责见表7.</w:t>
      </w:r>
      <w:r>
        <w:rPr>
          <w:rFonts w:hint="eastAsia" w:eastAsia="宋体"/>
          <w:color w:val="auto"/>
          <w:sz w:val="24"/>
          <w:szCs w:val="28"/>
        </w:rPr>
        <w:t>9</w:t>
      </w:r>
      <w:r>
        <w:rPr>
          <w:rFonts w:eastAsia="宋体"/>
          <w:color w:val="auto"/>
          <w:sz w:val="24"/>
          <w:szCs w:val="28"/>
        </w:rPr>
        <w:t>-7。</w:t>
      </w:r>
    </w:p>
    <w:p w14:paraId="7234C4EE">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表7.</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-6 应急救援专业队伍组成及硬件配备</w:t>
      </w:r>
    </w:p>
    <w:tbl>
      <w:tblPr>
        <w:tblStyle w:val="35"/>
        <w:tblW w:w="5000"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095"/>
        <w:gridCol w:w="2400"/>
        <w:gridCol w:w="2076"/>
        <w:gridCol w:w="4068"/>
      </w:tblGrid>
      <w:tr w14:paraId="1A8FCC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68" w:type="pct"/>
            <w:shd w:val="clear" w:color="auto" w:fill="FFFFFF"/>
            <w:vAlign w:val="center"/>
          </w:tcPr>
          <w:p w14:paraId="6D73C197">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序号</w:t>
            </w:r>
          </w:p>
        </w:tc>
        <w:tc>
          <w:tcPr>
            <w:tcW w:w="1245" w:type="pct"/>
            <w:shd w:val="clear" w:color="auto" w:fill="FFFFFF"/>
            <w:vAlign w:val="center"/>
          </w:tcPr>
          <w:p w14:paraId="0CD6A3B0">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专业救援组名称</w:t>
            </w:r>
          </w:p>
        </w:tc>
        <w:tc>
          <w:tcPr>
            <w:tcW w:w="1077" w:type="pct"/>
            <w:shd w:val="clear" w:color="auto" w:fill="FFFFFF"/>
            <w:vAlign w:val="center"/>
          </w:tcPr>
          <w:p w14:paraId="215244B9">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成员组成</w:t>
            </w:r>
          </w:p>
        </w:tc>
        <w:tc>
          <w:tcPr>
            <w:tcW w:w="2110" w:type="pct"/>
            <w:shd w:val="clear" w:color="auto" w:fill="FFFFFF"/>
            <w:vAlign w:val="center"/>
          </w:tcPr>
          <w:p w14:paraId="6C232002">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硬件配备</w:t>
            </w:r>
          </w:p>
        </w:tc>
      </w:tr>
      <w:tr w14:paraId="67A35F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68" w:type="pct"/>
            <w:shd w:val="clear" w:color="auto" w:fill="FFFFFF"/>
            <w:vAlign w:val="center"/>
          </w:tcPr>
          <w:p w14:paraId="19A1B056">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w:t>
            </w:r>
          </w:p>
        </w:tc>
        <w:tc>
          <w:tcPr>
            <w:tcW w:w="1245" w:type="pct"/>
            <w:shd w:val="clear" w:color="auto" w:fill="FFFFFF"/>
            <w:vAlign w:val="center"/>
          </w:tcPr>
          <w:p w14:paraId="6AF6A510">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通讯联络组</w:t>
            </w:r>
          </w:p>
        </w:tc>
        <w:tc>
          <w:tcPr>
            <w:tcW w:w="1077" w:type="pct"/>
            <w:shd w:val="clear" w:color="auto" w:fill="FFFFFF"/>
            <w:vAlign w:val="center"/>
          </w:tcPr>
          <w:p w14:paraId="13273E24">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管委会办公室</w:t>
            </w:r>
          </w:p>
        </w:tc>
        <w:tc>
          <w:tcPr>
            <w:tcW w:w="2110" w:type="pct"/>
            <w:shd w:val="clear" w:color="auto" w:fill="FFFFFF"/>
            <w:vAlign w:val="center"/>
          </w:tcPr>
          <w:p w14:paraId="6387B122">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广播、移动电话、固定电话、对讲机、能上网的电脑等</w:t>
            </w:r>
          </w:p>
        </w:tc>
      </w:tr>
      <w:tr w14:paraId="5A7CD6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68" w:type="pct"/>
            <w:shd w:val="clear" w:color="auto" w:fill="FFFFFF"/>
            <w:vAlign w:val="center"/>
          </w:tcPr>
          <w:p w14:paraId="01877541">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w:t>
            </w:r>
          </w:p>
        </w:tc>
        <w:tc>
          <w:tcPr>
            <w:tcW w:w="1245" w:type="pct"/>
            <w:shd w:val="clear" w:color="auto" w:fill="FFFFFF"/>
            <w:vAlign w:val="center"/>
          </w:tcPr>
          <w:p w14:paraId="44A9F6A9">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应急抢险组</w:t>
            </w:r>
          </w:p>
        </w:tc>
        <w:tc>
          <w:tcPr>
            <w:tcW w:w="1077" w:type="pct"/>
            <w:shd w:val="clear" w:color="auto" w:fill="FFFFFF"/>
            <w:vAlign w:val="center"/>
          </w:tcPr>
          <w:p w14:paraId="47688624">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园区环保局、安监局、消防中队等</w:t>
            </w:r>
          </w:p>
        </w:tc>
        <w:tc>
          <w:tcPr>
            <w:tcW w:w="2110" w:type="pct"/>
            <w:shd w:val="clear" w:color="auto" w:fill="FFFFFF"/>
            <w:vAlign w:val="center"/>
          </w:tcPr>
          <w:p w14:paraId="0FEEE2BB">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安全帽、密闭式防化服、无火花堵漏工具、防爆手电、铲、锄头、橡胶手套等、抢救器材等</w:t>
            </w:r>
          </w:p>
        </w:tc>
      </w:tr>
      <w:tr w14:paraId="552A7E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68" w:type="pct"/>
            <w:shd w:val="clear" w:color="auto" w:fill="FFFFFF"/>
            <w:vAlign w:val="center"/>
          </w:tcPr>
          <w:p w14:paraId="0242CF42">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3</w:t>
            </w:r>
          </w:p>
        </w:tc>
        <w:tc>
          <w:tcPr>
            <w:tcW w:w="1245" w:type="pct"/>
            <w:shd w:val="clear" w:color="auto" w:fill="FFFFFF"/>
            <w:vAlign w:val="center"/>
          </w:tcPr>
          <w:p w14:paraId="5815D89D">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医疗救护组</w:t>
            </w:r>
          </w:p>
        </w:tc>
        <w:tc>
          <w:tcPr>
            <w:tcW w:w="1077" w:type="pct"/>
            <w:shd w:val="clear" w:color="auto" w:fill="FFFFFF"/>
            <w:vAlign w:val="center"/>
          </w:tcPr>
          <w:p w14:paraId="5923DD5F">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园区应急救护队</w:t>
            </w:r>
          </w:p>
        </w:tc>
        <w:tc>
          <w:tcPr>
            <w:tcW w:w="2110" w:type="pct"/>
            <w:shd w:val="clear" w:color="auto" w:fill="FFFFFF"/>
            <w:vAlign w:val="center"/>
          </w:tcPr>
          <w:p w14:paraId="4FF06A4A">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担架、夹板、纱布、解毒药品、急救箱、氧气呼吸器等</w:t>
            </w:r>
          </w:p>
        </w:tc>
      </w:tr>
      <w:tr w14:paraId="3B5D0E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68" w:type="pct"/>
            <w:shd w:val="clear" w:color="auto" w:fill="FFFFFF"/>
            <w:vAlign w:val="center"/>
          </w:tcPr>
          <w:p w14:paraId="5A434093">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4</w:t>
            </w:r>
          </w:p>
        </w:tc>
        <w:tc>
          <w:tcPr>
            <w:tcW w:w="1245" w:type="pct"/>
            <w:shd w:val="clear" w:color="auto" w:fill="FFFFFF"/>
            <w:vAlign w:val="center"/>
          </w:tcPr>
          <w:p w14:paraId="611125F6">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综合治理组</w:t>
            </w:r>
          </w:p>
        </w:tc>
        <w:tc>
          <w:tcPr>
            <w:tcW w:w="1077" w:type="pct"/>
            <w:shd w:val="clear" w:color="auto" w:fill="FFFFFF"/>
            <w:vAlign w:val="center"/>
          </w:tcPr>
          <w:p w14:paraId="69EA310C">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当地派出所</w:t>
            </w:r>
          </w:p>
        </w:tc>
        <w:tc>
          <w:tcPr>
            <w:tcW w:w="2110" w:type="pct"/>
            <w:shd w:val="clear" w:color="auto" w:fill="FFFFFF"/>
            <w:vAlign w:val="center"/>
          </w:tcPr>
          <w:p w14:paraId="58687BAA">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警戒线、扩音喇叭、个人防护用品、应急物资等</w:t>
            </w:r>
          </w:p>
        </w:tc>
      </w:tr>
    </w:tbl>
    <w:p w14:paraId="7C05648F">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表7.</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-7 专业队伍各专业救援组工作职责</w:t>
      </w:r>
    </w:p>
    <w:tbl>
      <w:tblPr>
        <w:tblStyle w:val="35"/>
        <w:tblW w:w="5000"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775"/>
        <w:gridCol w:w="1760"/>
        <w:gridCol w:w="7104"/>
      </w:tblGrid>
      <w:tr w14:paraId="6B90D3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02" w:type="pct"/>
            <w:shd w:val="clear" w:color="auto" w:fill="FFFFFF"/>
            <w:vAlign w:val="center"/>
          </w:tcPr>
          <w:p w14:paraId="75EFBA82">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序号</w:t>
            </w:r>
          </w:p>
        </w:tc>
        <w:tc>
          <w:tcPr>
            <w:tcW w:w="913" w:type="pct"/>
            <w:shd w:val="clear" w:color="auto" w:fill="FFFFFF"/>
            <w:vAlign w:val="center"/>
          </w:tcPr>
          <w:p w14:paraId="08D2F11C">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专业救援组名称</w:t>
            </w:r>
          </w:p>
        </w:tc>
        <w:tc>
          <w:tcPr>
            <w:tcW w:w="3685" w:type="pct"/>
            <w:shd w:val="clear" w:color="auto" w:fill="FFFFFF"/>
            <w:vAlign w:val="center"/>
          </w:tcPr>
          <w:p w14:paraId="1F787798">
            <w:pPr>
              <w:widowControl w:val="0"/>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工作职责</w:t>
            </w:r>
          </w:p>
        </w:tc>
      </w:tr>
      <w:tr w14:paraId="32A0F4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02" w:type="pct"/>
            <w:shd w:val="clear" w:color="auto" w:fill="FFFFFF"/>
            <w:vAlign w:val="center"/>
          </w:tcPr>
          <w:p w14:paraId="2E0C6BFF">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w:t>
            </w:r>
          </w:p>
        </w:tc>
        <w:tc>
          <w:tcPr>
            <w:tcW w:w="913" w:type="pct"/>
            <w:shd w:val="clear" w:color="auto" w:fill="FFFFFF"/>
            <w:vAlign w:val="center"/>
          </w:tcPr>
          <w:p w14:paraId="2D97D64D">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通讯联络组</w:t>
            </w:r>
          </w:p>
        </w:tc>
        <w:tc>
          <w:tcPr>
            <w:tcW w:w="3685" w:type="pct"/>
            <w:shd w:val="clear" w:color="auto" w:fill="FFFFFF"/>
            <w:vAlign w:val="center"/>
          </w:tcPr>
          <w:p w14:paraId="35051872">
            <w:pPr>
              <w:widowControl w:val="0"/>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*负责应急指挥部与各救援专业队以及政府有关部门的通讯联系；</w:t>
            </w:r>
          </w:p>
          <w:p w14:paraId="1F87AA67">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*确保事故处理外线畅通，应急救援指挥部处理事故所用电话迅速、准确无误。</w:t>
            </w:r>
          </w:p>
        </w:tc>
      </w:tr>
      <w:tr w14:paraId="5A23B4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02" w:type="pct"/>
            <w:shd w:val="clear" w:color="auto" w:fill="FFFFFF"/>
            <w:vAlign w:val="center"/>
          </w:tcPr>
          <w:p w14:paraId="63DE3B51">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w:t>
            </w:r>
          </w:p>
        </w:tc>
        <w:tc>
          <w:tcPr>
            <w:tcW w:w="913" w:type="pct"/>
            <w:shd w:val="clear" w:color="auto" w:fill="FFFFFF"/>
            <w:vAlign w:val="center"/>
          </w:tcPr>
          <w:p w14:paraId="5F967062">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应急抢险组</w:t>
            </w:r>
          </w:p>
        </w:tc>
        <w:tc>
          <w:tcPr>
            <w:tcW w:w="3685" w:type="pct"/>
            <w:shd w:val="clear" w:color="auto" w:fill="FFFFFF"/>
            <w:vAlign w:val="center"/>
          </w:tcPr>
          <w:p w14:paraId="29625744">
            <w:pPr>
              <w:widowControl w:val="0"/>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参与园区环境风险应急控制指挥部日常工作，并负责完善园区环境风险应急预案。接到指挥部的报警信息后，组织对现场监测，对事故影响的范围及程度进行分析预测；负责与上级环保部门的联系；参与应急救援结束后的事故调查处理；</w:t>
            </w:r>
          </w:p>
          <w:p w14:paraId="3CBA8240">
            <w:pPr>
              <w:widowControl w:val="0"/>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负责制定园区消防灭火和气体泄漏处理应急预案。接到指挥部的报警信息后，如果属于气体泄漏事件，则组织对事故现场进行处理，堵塞气体泄漏；如发生火灾，则实施消防灭火预案，并负责事故现场伤员的救护。在需要外界支援的情况下，按园区应急控制指挥部的命令，负责实施区域灭火联防方案以及和其它地方消防力量的联络。</w:t>
            </w:r>
          </w:p>
        </w:tc>
      </w:tr>
      <w:tr w14:paraId="430E31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02" w:type="pct"/>
            <w:shd w:val="clear" w:color="auto" w:fill="FFFFFF"/>
            <w:vAlign w:val="center"/>
          </w:tcPr>
          <w:p w14:paraId="26C05383">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3</w:t>
            </w:r>
          </w:p>
        </w:tc>
        <w:tc>
          <w:tcPr>
            <w:tcW w:w="913" w:type="pct"/>
            <w:shd w:val="clear" w:color="auto" w:fill="FFFFFF"/>
            <w:vAlign w:val="center"/>
          </w:tcPr>
          <w:p w14:paraId="3B507FD0">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医疗救护组</w:t>
            </w:r>
          </w:p>
        </w:tc>
        <w:tc>
          <w:tcPr>
            <w:tcW w:w="3685" w:type="pct"/>
            <w:shd w:val="clear" w:color="auto" w:fill="FFFFFF"/>
            <w:vAlign w:val="center"/>
          </w:tcPr>
          <w:p w14:paraId="1A442362">
            <w:pPr>
              <w:widowControl w:val="0"/>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负责配合淮上区卫生部门制定受伤人员治疗与救护应急预案；依据园区危险源可能的危险伤害，确定受伤人员专业治疗与救护定点医院，并培训相应医护人员；指导园区企业医务室储备相应的医疗器材和急救药品；负责事故现场医务人员、医疗器材、急救药品的调配，组织现场救护及伤员转移；负责伤亡人员情况的统计和报告；在需要外援的情况下，执行园区应急控制指挥部的命令，负责外部医疗救护力量的联络。</w:t>
            </w:r>
          </w:p>
        </w:tc>
      </w:tr>
      <w:tr w14:paraId="176505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02" w:type="pct"/>
            <w:shd w:val="clear" w:color="auto" w:fill="FFFFFF"/>
            <w:vAlign w:val="center"/>
          </w:tcPr>
          <w:p w14:paraId="12979A13">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4</w:t>
            </w:r>
          </w:p>
        </w:tc>
        <w:tc>
          <w:tcPr>
            <w:tcW w:w="913" w:type="pct"/>
            <w:shd w:val="clear" w:color="auto" w:fill="FFFFFF"/>
            <w:vAlign w:val="center"/>
          </w:tcPr>
          <w:p w14:paraId="5CFE8006">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综合治理组</w:t>
            </w:r>
          </w:p>
        </w:tc>
        <w:tc>
          <w:tcPr>
            <w:tcW w:w="3685" w:type="pct"/>
            <w:shd w:val="clear" w:color="auto" w:fill="FFFFFF"/>
            <w:vAlign w:val="center"/>
          </w:tcPr>
          <w:p w14:paraId="2A825E11">
            <w:pPr>
              <w:widowControl w:val="0"/>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*负责制定园区事故现场人员及园区周围居民疏散和事故现场警戒预案。</w:t>
            </w:r>
          </w:p>
          <w:p w14:paraId="665F7DA0">
            <w:pPr>
              <w:widowControl w:val="0"/>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接到指挥部的报警信息后，如果属于气体泄漏事故，根据环保部门的预测结果，负责实施事故现场、园区以及园区周围受影响区域的居民的安全疏散工作；负责事故现场及周边道路的交通管制，保障救援道路的畅通；</w:t>
            </w:r>
          </w:p>
          <w:p w14:paraId="78635FF4">
            <w:pPr>
              <w:widowControl w:val="0"/>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*负责事故现场的治安工作；参与应急救援结束后的事故调查处理。</w:t>
            </w:r>
          </w:p>
        </w:tc>
      </w:tr>
    </w:tbl>
    <w:p w14:paraId="197DF0D3">
      <w:pPr>
        <w:pStyle w:val="68"/>
        <w:adjustRightInd w:val="0"/>
        <w:snapToGrid w:val="0"/>
        <w:spacing w:line="360" w:lineRule="auto"/>
        <w:ind w:firstLine="480"/>
        <w:rPr>
          <w:rFonts w:eastAsia="宋体"/>
          <w:color w:val="auto"/>
          <w:sz w:val="24"/>
          <w:szCs w:val="28"/>
        </w:rPr>
      </w:pPr>
      <w:r>
        <w:rPr>
          <w:rFonts w:eastAsia="宋体"/>
          <w:color w:val="auto"/>
          <w:sz w:val="24"/>
          <w:szCs w:val="28"/>
        </w:rPr>
        <w:t>企业、生态环境局和政府的各级环境应急相关专业部门要建立和完善环境安全应急指挥系统、环境应急处置全区联动系统和环境安全科学预警系统。</w:t>
      </w:r>
    </w:p>
    <w:p w14:paraId="2C85E0E8">
      <w:pPr>
        <w:pStyle w:val="68"/>
        <w:adjustRightInd w:val="0"/>
        <w:snapToGrid w:val="0"/>
        <w:spacing w:line="360" w:lineRule="auto"/>
        <w:ind w:firstLine="480"/>
        <w:rPr>
          <w:rFonts w:eastAsia="宋体"/>
          <w:color w:val="auto"/>
          <w:sz w:val="24"/>
          <w:szCs w:val="28"/>
        </w:rPr>
      </w:pPr>
      <w:r>
        <w:rPr>
          <w:rFonts w:eastAsia="宋体"/>
          <w:color w:val="auto"/>
          <w:sz w:val="24"/>
          <w:szCs w:val="28"/>
        </w:rPr>
        <w:t>发生事故时，企业根据事故具体情况，及时向园区应急指挥部汇报。事发处、园区有关部门和事故单位等参加处置工作的人员应服从现场指挥部的统一指挥。现场指挥部各工作组要按照职责分工，各司其职，协调作战，全力以赴做好各项应急处置工作。</w:t>
      </w:r>
      <w:bookmarkStart w:id="2224" w:name="_Toc13850"/>
    </w:p>
    <w:p w14:paraId="1EEFC090">
      <w:pPr>
        <w:pStyle w:val="68"/>
        <w:adjustRightInd w:val="0"/>
        <w:snapToGrid w:val="0"/>
        <w:spacing w:line="360" w:lineRule="auto"/>
        <w:ind w:firstLine="480"/>
        <w:rPr>
          <w:rFonts w:eastAsia="宋体"/>
          <w:color w:val="auto"/>
          <w:sz w:val="24"/>
          <w:szCs w:val="28"/>
        </w:rPr>
      </w:pPr>
      <w:r>
        <w:rPr>
          <w:rFonts w:hint="eastAsia" w:eastAsia="宋体"/>
          <w:color w:val="auto"/>
          <w:sz w:val="24"/>
          <w:szCs w:val="28"/>
        </w:rPr>
        <w:t>1、</w:t>
      </w:r>
      <w:r>
        <w:rPr>
          <w:rFonts w:eastAsia="宋体"/>
          <w:color w:val="auto"/>
          <w:sz w:val="24"/>
          <w:szCs w:val="28"/>
        </w:rPr>
        <w:t>大气联动应急措施</w:t>
      </w:r>
      <w:bookmarkEnd w:id="2224"/>
    </w:p>
    <w:p w14:paraId="76C8F6B1">
      <w:pPr>
        <w:pStyle w:val="68"/>
        <w:adjustRightInd w:val="0"/>
        <w:snapToGrid w:val="0"/>
        <w:spacing w:line="360" w:lineRule="auto"/>
        <w:ind w:firstLine="480"/>
        <w:rPr>
          <w:rFonts w:eastAsia="宋体"/>
          <w:color w:val="auto"/>
          <w:sz w:val="24"/>
          <w:szCs w:val="28"/>
        </w:rPr>
      </w:pPr>
      <w:r>
        <w:rPr>
          <w:rFonts w:eastAsia="宋体"/>
          <w:color w:val="auto"/>
          <w:sz w:val="24"/>
          <w:szCs w:val="28"/>
        </w:rPr>
        <w:t>企业厂区一旦发生大气污染事件，根据环境应急预案做出应急响应工作，同时须立即向园区应急办公室汇报事故发生情况。应急队伍达到现场后，立即会同当地政府、有关部门和企业进行紧急磋商，迅速分析、收集和汇总事故发生危害的情况，并采取以下应急处置方案</w:t>
      </w:r>
      <w:r>
        <w:rPr>
          <w:rFonts w:hint="eastAsia" w:eastAsia="宋体"/>
          <w:color w:val="auto"/>
          <w:sz w:val="24"/>
          <w:szCs w:val="28"/>
        </w:rPr>
        <w:t>。</w:t>
      </w:r>
    </w:p>
    <w:p w14:paraId="1CDB0BDF">
      <w:pPr>
        <w:pStyle w:val="68"/>
        <w:adjustRightInd w:val="0"/>
        <w:snapToGrid w:val="0"/>
        <w:spacing w:line="360" w:lineRule="auto"/>
        <w:ind w:firstLine="480"/>
        <w:rPr>
          <w:rFonts w:eastAsia="宋体"/>
          <w:color w:val="auto"/>
          <w:sz w:val="24"/>
          <w:szCs w:val="28"/>
        </w:rPr>
      </w:pPr>
      <w:r>
        <w:rPr>
          <w:rFonts w:hint="eastAsia" w:eastAsia="宋体"/>
          <w:color w:val="auto"/>
          <w:sz w:val="24"/>
          <w:szCs w:val="28"/>
        </w:rPr>
        <w:t>（1）</w:t>
      </w:r>
      <w:r>
        <w:rPr>
          <w:rFonts w:eastAsia="宋体"/>
          <w:color w:val="auto"/>
          <w:sz w:val="24"/>
          <w:szCs w:val="28"/>
        </w:rPr>
        <w:t>现场控制</w:t>
      </w:r>
    </w:p>
    <w:p w14:paraId="1A631CBE">
      <w:pPr>
        <w:pStyle w:val="68"/>
        <w:adjustRightInd w:val="0"/>
        <w:snapToGrid w:val="0"/>
        <w:spacing w:line="360" w:lineRule="auto"/>
        <w:ind w:firstLine="480"/>
        <w:rPr>
          <w:rFonts w:eastAsia="宋体"/>
          <w:color w:val="auto"/>
          <w:sz w:val="24"/>
          <w:szCs w:val="28"/>
        </w:rPr>
      </w:pPr>
      <w:r>
        <w:rPr>
          <w:rFonts w:eastAsia="宋体"/>
          <w:color w:val="auto"/>
          <w:sz w:val="24"/>
          <w:szCs w:val="28"/>
        </w:rPr>
        <w:t>综合协调组到达现场后，应迅速布点监测，利用应急监测设备等方法迅速判明危险化学品种类、危害程度、扩散方式。</w:t>
      </w:r>
    </w:p>
    <w:p w14:paraId="7722567E">
      <w:pPr>
        <w:pStyle w:val="68"/>
        <w:adjustRightInd w:val="0"/>
        <w:snapToGrid w:val="0"/>
        <w:spacing w:line="360" w:lineRule="auto"/>
        <w:ind w:firstLine="480"/>
        <w:rPr>
          <w:rFonts w:eastAsia="宋体"/>
          <w:color w:val="auto"/>
          <w:sz w:val="24"/>
          <w:szCs w:val="28"/>
        </w:rPr>
      </w:pPr>
      <w:r>
        <w:rPr>
          <w:rFonts w:eastAsia="宋体"/>
          <w:color w:val="auto"/>
          <w:sz w:val="24"/>
          <w:szCs w:val="28"/>
        </w:rPr>
        <w:t>抢险救灾组到达现场后，配合公安，消防等单位控制现场，划定紧急隔离区域，设置警告标志，制定处置措施，切断污染源，防止污染物扩散。由交通事故引发的危险化学品运输车辆泄漏事故，首先应由交警部门对道路进行戒严，在为判明危险化学品种类、性状、危害程度时，严禁半幅通车。</w:t>
      </w:r>
    </w:p>
    <w:p w14:paraId="5CEEDA1C">
      <w:pPr>
        <w:pStyle w:val="68"/>
        <w:adjustRightInd w:val="0"/>
        <w:snapToGrid w:val="0"/>
        <w:spacing w:line="360" w:lineRule="auto"/>
        <w:ind w:left="480" w:firstLine="0" w:firstLineChars="0"/>
        <w:rPr>
          <w:rFonts w:eastAsia="宋体"/>
          <w:color w:val="auto"/>
          <w:sz w:val="24"/>
          <w:szCs w:val="28"/>
        </w:rPr>
      </w:pPr>
      <w:r>
        <w:rPr>
          <w:rFonts w:hint="eastAsia" w:eastAsia="宋体"/>
          <w:color w:val="auto"/>
          <w:sz w:val="24"/>
          <w:szCs w:val="28"/>
        </w:rPr>
        <w:t>（2）</w:t>
      </w:r>
      <w:r>
        <w:rPr>
          <w:rFonts w:eastAsia="宋体"/>
          <w:color w:val="auto"/>
          <w:sz w:val="24"/>
          <w:szCs w:val="28"/>
        </w:rPr>
        <w:t>现场调查</w:t>
      </w:r>
    </w:p>
    <w:p w14:paraId="0C6C188B">
      <w:pPr>
        <w:pStyle w:val="68"/>
        <w:adjustRightInd w:val="0"/>
        <w:snapToGrid w:val="0"/>
        <w:spacing w:line="360" w:lineRule="auto"/>
        <w:ind w:firstLine="480"/>
        <w:rPr>
          <w:rFonts w:eastAsia="宋体"/>
          <w:color w:val="auto"/>
          <w:sz w:val="24"/>
          <w:szCs w:val="28"/>
        </w:rPr>
      </w:pPr>
      <w:r>
        <w:rPr>
          <w:rFonts w:eastAsia="宋体"/>
          <w:color w:val="auto"/>
          <w:sz w:val="24"/>
          <w:szCs w:val="28"/>
        </w:rPr>
        <w:t>抢险救灾组应迅速展开现场调查，取证工作，查明事件原因，初步分析影响程度等；并负责与安监，消防等单位协调，共同现场勘验工作。在现场勘查的同时，迅速查明事故点的周围敏感目标，包括：2.0km 范围内的居民区（村庄）、河流、交通要道等。以防止污染物进入水体造成次生污染，并为群众转移做好前期准备工作。</w:t>
      </w:r>
    </w:p>
    <w:p w14:paraId="6FF4430E">
      <w:pPr>
        <w:pStyle w:val="68"/>
        <w:adjustRightInd w:val="0"/>
        <w:snapToGrid w:val="0"/>
        <w:spacing w:line="360" w:lineRule="auto"/>
        <w:ind w:left="480" w:firstLine="0" w:firstLineChars="0"/>
        <w:rPr>
          <w:rFonts w:eastAsia="宋体"/>
          <w:color w:val="auto"/>
          <w:sz w:val="24"/>
          <w:szCs w:val="28"/>
        </w:rPr>
      </w:pPr>
      <w:r>
        <w:rPr>
          <w:rFonts w:hint="eastAsia" w:eastAsia="宋体"/>
          <w:color w:val="auto"/>
          <w:sz w:val="24"/>
          <w:szCs w:val="28"/>
        </w:rPr>
        <w:t>（3）</w:t>
      </w:r>
      <w:r>
        <w:rPr>
          <w:rFonts w:eastAsia="宋体"/>
          <w:color w:val="auto"/>
          <w:sz w:val="24"/>
          <w:szCs w:val="28"/>
        </w:rPr>
        <w:t>应急监测</w:t>
      </w:r>
    </w:p>
    <w:p w14:paraId="08BD70AB">
      <w:pPr>
        <w:pStyle w:val="68"/>
        <w:adjustRightInd w:val="0"/>
        <w:snapToGrid w:val="0"/>
        <w:spacing w:line="360" w:lineRule="auto"/>
        <w:ind w:firstLine="480"/>
        <w:rPr>
          <w:rFonts w:eastAsia="宋体"/>
          <w:color w:val="auto"/>
          <w:sz w:val="24"/>
          <w:szCs w:val="28"/>
        </w:rPr>
      </w:pPr>
      <w:r>
        <w:rPr>
          <w:rFonts w:eastAsia="宋体"/>
          <w:color w:val="auto"/>
          <w:sz w:val="24"/>
          <w:szCs w:val="28"/>
        </w:rPr>
        <w:t>大气污染突发环境事件的应急监测由淮上区生态环境分局组织协调相关部门负责实施，协调大气环境污染物的应急监测；判定污染物的种类、性质、危害程度以及受影响的范围等，制定应急监测实施方案；及时向应急指挥中心报告现场情况，根据现场情况，提出处置建议；对短期内不能消除、降解的污染物进行跟踪监测；综合分析突发大气环境污染事件污染变化的趋势；通过专家组分析，预测大气污染突发环境事件的发展情况和污染物的变化情况，作为大气污染突发环境事件应急处置决策的依据。</w:t>
      </w:r>
    </w:p>
    <w:p w14:paraId="6697F7E8">
      <w:pPr>
        <w:pStyle w:val="68"/>
        <w:adjustRightInd w:val="0"/>
        <w:snapToGrid w:val="0"/>
        <w:spacing w:line="360" w:lineRule="auto"/>
        <w:ind w:firstLine="480"/>
        <w:rPr>
          <w:rFonts w:eastAsia="宋体"/>
          <w:color w:val="auto"/>
          <w:sz w:val="24"/>
          <w:szCs w:val="28"/>
        </w:rPr>
      </w:pPr>
      <w:r>
        <w:rPr>
          <w:rFonts w:eastAsia="宋体"/>
          <w:color w:val="auto"/>
          <w:sz w:val="24"/>
          <w:szCs w:val="28"/>
        </w:rPr>
        <w:t>（</w:t>
      </w:r>
      <w:r>
        <w:rPr>
          <w:rFonts w:hint="eastAsia" w:eastAsia="宋体"/>
          <w:color w:val="auto"/>
          <w:sz w:val="24"/>
          <w:szCs w:val="28"/>
        </w:rPr>
        <w:t>4</w:t>
      </w:r>
      <w:r>
        <w:rPr>
          <w:rFonts w:eastAsia="宋体"/>
          <w:color w:val="auto"/>
          <w:sz w:val="24"/>
          <w:szCs w:val="28"/>
        </w:rPr>
        <w:t>）人员疏散与救援</w:t>
      </w:r>
    </w:p>
    <w:p w14:paraId="6F0E6A6D">
      <w:pPr>
        <w:pStyle w:val="68"/>
        <w:adjustRightInd w:val="0"/>
        <w:snapToGrid w:val="0"/>
        <w:spacing w:line="360" w:lineRule="auto"/>
        <w:ind w:firstLine="480"/>
        <w:rPr>
          <w:rFonts w:eastAsia="宋体"/>
          <w:color w:val="auto"/>
          <w:sz w:val="24"/>
          <w:szCs w:val="28"/>
        </w:rPr>
      </w:pPr>
      <w:r>
        <w:rPr>
          <w:rFonts w:eastAsia="宋体"/>
          <w:color w:val="auto"/>
          <w:sz w:val="24"/>
          <w:szCs w:val="28"/>
        </w:rPr>
        <w:t>在大气污染突发环境事件发生后，应迅速组织专业医疗救护小组抢救现场中毒人员。同时，根据现场危险化学品泄漏量、扩散方式、危害程度，结合气象条件，迅速确定疏散距离。对于可能给周围环境造成影响和损害的污染事件，应当通知辖区政府或肇事单位立即通知周围相关单位和群众，采取有效防范措施，避免遭到损失。</w:t>
      </w:r>
    </w:p>
    <w:p w14:paraId="1715CE10">
      <w:pPr>
        <w:pStyle w:val="68"/>
        <w:adjustRightInd w:val="0"/>
        <w:snapToGrid w:val="0"/>
        <w:spacing w:line="360" w:lineRule="auto"/>
        <w:ind w:firstLine="480"/>
        <w:rPr>
          <w:rFonts w:eastAsia="宋体"/>
          <w:color w:val="auto"/>
          <w:sz w:val="24"/>
          <w:szCs w:val="28"/>
        </w:rPr>
      </w:pPr>
      <w:r>
        <w:rPr>
          <w:rFonts w:eastAsia="宋体"/>
          <w:color w:val="auto"/>
          <w:sz w:val="24"/>
          <w:szCs w:val="28"/>
        </w:rPr>
        <w:t>（5）确定应急处置方案</w:t>
      </w:r>
    </w:p>
    <w:p w14:paraId="3A8EF608">
      <w:pPr>
        <w:pStyle w:val="68"/>
        <w:adjustRightInd w:val="0"/>
        <w:snapToGrid w:val="0"/>
        <w:spacing w:line="360" w:lineRule="auto"/>
        <w:ind w:firstLine="480"/>
        <w:rPr>
          <w:rFonts w:eastAsia="宋体"/>
          <w:color w:val="auto"/>
          <w:sz w:val="24"/>
          <w:szCs w:val="28"/>
        </w:rPr>
      </w:pPr>
      <w:r>
        <w:rPr>
          <w:rFonts w:eastAsia="宋体"/>
          <w:color w:val="auto"/>
          <w:sz w:val="24"/>
          <w:szCs w:val="28"/>
        </w:rPr>
        <w:t>对属于以往已有成功处置经验或成熟处置方案的事件，由应急办公室提出意见，经领导小组同意后实施应急处置，对属于尚无成功或成熟方案的，由应急办公室及时组织相关部门和专家研究制定应急方案，经领导小组审核、批准后组织实施。对排放污染物毒性剧烈、危害情况紧急的事故，应急处置工作领导小组可以组织公安、消防部门以及其他专业队伍给予支持。</w:t>
      </w:r>
    </w:p>
    <w:p w14:paraId="19816FEB">
      <w:pPr>
        <w:pStyle w:val="68"/>
        <w:adjustRightInd w:val="0"/>
        <w:snapToGrid w:val="0"/>
        <w:spacing w:line="360" w:lineRule="auto"/>
        <w:ind w:firstLine="480"/>
        <w:rPr>
          <w:rFonts w:eastAsia="宋体"/>
          <w:color w:val="auto"/>
          <w:sz w:val="24"/>
          <w:szCs w:val="28"/>
        </w:rPr>
      </w:pPr>
      <w:r>
        <w:rPr>
          <w:rFonts w:eastAsia="宋体"/>
          <w:color w:val="auto"/>
          <w:sz w:val="24"/>
          <w:szCs w:val="28"/>
        </w:rPr>
        <w:t>（6）污染警戒区域划定和消息发布</w:t>
      </w:r>
    </w:p>
    <w:p w14:paraId="15AF4A23">
      <w:pPr>
        <w:pStyle w:val="68"/>
        <w:adjustRightInd w:val="0"/>
        <w:snapToGrid w:val="0"/>
        <w:spacing w:line="360" w:lineRule="auto"/>
        <w:ind w:firstLine="480"/>
        <w:rPr>
          <w:rFonts w:eastAsia="宋体"/>
          <w:color w:val="auto"/>
          <w:sz w:val="24"/>
          <w:szCs w:val="28"/>
        </w:rPr>
      </w:pPr>
      <w:r>
        <w:rPr>
          <w:rFonts w:eastAsia="宋体"/>
          <w:color w:val="auto"/>
          <w:sz w:val="24"/>
          <w:szCs w:val="28"/>
        </w:rPr>
        <w:t>环保应急处置组根据事故点地形地貌、气象条件、污染监测数据和现场调查，向应急现场指挥部提出污染警戒区域的建议。应急现场指挥部向应急处置工作领导小组报告后发布警报决定。</w:t>
      </w:r>
    </w:p>
    <w:p w14:paraId="69020A1A">
      <w:pPr>
        <w:pStyle w:val="68"/>
        <w:adjustRightInd w:val="0"/>
        <w:snapToGrid w:val="0"/>
        <w:spacing w:line="360" w:lineRule="auto"/>
        <w:ind w:firstLine="480"/>
        <w:rPr>
          <w:rFonts w:eastAsia="宋体"/>
          <w:color w:val="auto"/>
          <w:sz w:val="24"/>
          <w:szCs w:val="28"/>
        </w:rPr>
      </w:pPr>
      <w:r>
        <w:rPr>
          <w:rFonts w:eastAsia="宋体"/>
          <w:color w:val="auto"/>
          <w:sz w:val="24"/>
          <w:szCs w:val="28"/>
        </w:rPr>
        <w:t>应急现场指挥部要组织各应急小组召开事故处理分析会，将分析结果及时报告应急处置工作领导小组。按照《环境保护工作国家秘密范围》和《环境污染与破坏事故新闻发布管理办法》的有关规定，有关突发环境事件信息，由市委宣传部负责新闻发布，其他相关部门单位及个人未经批准，不得擅自泄露事件信息。</w:t>
      </w:r>
    </w:p>
    <w:p w14:paraId="44182752">
      <w:pPr>
        <w:pStyle w:val="68"/>
        <w:adjustRightInd w:val="0"/>
        <w:snapToGrid w:val="0"/>
        <w:spacing w:line="360" w:lineRule="auto"/>
        <w:ind w:firstLine="480"/>
        <w:rPr>
          <w:rFonts w:eastAsia="宋体"/>
          <w:color w:val="auto"/>
          <w:sz w:val="24"/>
          <w:szCs w:val="28"/>
        </w:rPr>
      </w:pPr>
      <w:r>
        <w:rPr>
          <w:rFonts w:hint="eastAsia" w:eastAsia="宋体"/>
          <w:color w:val="auto"/>
          <w:sz w:val="24"/>
          <w:szCs w:val="28"/>
        </w:rPr>
        <w:t>（7）</w:t>
      </w:r>
      <w:r>
        <w:rPr>
          <w:rFonts w:eastAsia="宋体"/>
          <w:color w:val="auto"/>
          <w:sz w:val="24"/>
          <w:szCs w:val="28"/>
        </w:rPr>
        <w:t>污染事件跟踪</w:t>
      </w:r>
    </w:p>
    <w:p w14:paraId="6DA95A17">
      <w:pPr>
        <w:pStyle w:val="68"/>
        <w:adjustRightInd w:val="0"/>
        <w:snapToGrid w:val="0"/>
        <w:spacing w:line="360" w:lineRule="auto"/>
        <w:ind w:firstLine="480"/>
        <w:rPr>
          <w:rFonts w:eastAsia="宋体"/>
          <w:color w:val="auto"/>
          <w:sz w:val="24"/>
          <w:szCs w:val="28"/>
        </w:rPr>
      </w:pPr>
      <w:r>
        <w:rPr>
          <w:rFonts w:eastAsia="宋体"/>
          <w:color w:val="auto"/>
          <w:sz w:val="24"/>
          <w:szCs w:val="28"/>
        </w:rPr>
        <w:t>环保应急处置组要对污染状况进行跟踪调查，根据监测数据和其他有关数据编制分析图表，预测污染迁移强度，速度和影响范围，及时调整对策。每24小时向应急现场指挥组报告一次污染事件处理动态和下一步对策（续报），直至突发事件消失。</w:t>
      </w:r>
    </w:p>
    <w:p w14:paraId="14F21FD7">
      <w:pPr>
        <w:pStyle w:val="68"/>
        <w:adjustRightInd w:val="0"/>
        <w:snapToGrid w:val="0"/>
        <w:spacing w:line="360" w:lineRule="auto"/>
        <w:ind w:firstLine="480"/>
        <w:rPr>
          <w:rFonts w:eastAsia="宋体"/>
          <w:color w:val="auto"/>
          <w:sz w:val="24"/>
          <w:szCs w:val="28"/>
        </w:rPr>
      </w:pPr>
      <w:bookmarkStart w:id="2225" w:name="_Toc24424"/>
      <w:r>
        <w:rPr>
          <w:rFonts w:eastAsia="宋体"/>
          <w:color w:val="auto"/>
          <w:sz w:val="24"/>
          <w:szCs w:val="28"/>
        </w:rPr>
        <w:t>二、水污染应急措施</w:t>
      </w:r>
      <w:bookmarkEnd w:id="2225"/>
    </w:p>
    <w:p w14:paraId="27BC3BC5">
      <w:pPr>
        <w:pStyle w:val="68"/>
        <w:adjustRightInd w:val="0"/>
        <w:snapToGrid w:val="0"/>
        <w:spacing w:line="360" w:lineRule="auto"/>
        <w:ind w:firstLine="480"/>
        <w:rPr>
          <w:rFonts w:eastAsia="宋体"/>
          <w:color w:val="auto"/>
          <w:sz w:val="24"/>
          <w:szCs w:val="28"/>
        </w:rPr>
      </w:pPr>
      <w:r>
        <w:rPr>
          <w:rFonts w:eastAsia="宋体"/>
          <w:color w:val="auto"/>
          <w:sz w:val="24"/>
          <w:szCs w:val="28"/>
        </w:rPr>
        <w:t>企业应建有完善的水污染三级防控体系，一旦发生事故，立即根据企业环境应急预案做出应急响应工作，同时向园区应急办公室汇报事故发生情况。应急办公室根据污染物的性质，事件类型、可控性、严重程度和影响范围，河流的流速与流量（或水体的状况），以及园区周边饮用水源地的情况，本着“污染物不出事故区域、厂区，不进小河，不进大河，不影响饮用水源地等敏感保护目标”的原则，结合企业环境应急预案做出应急响应工作。</w:t>
      </w:r>
    </w:p>
    <w:p w14:paraId="7B4DC509">
      <w:pPr>
        <w:pStyle w:val="68"/>
        <w:adjustRightInd w:val="0"/>
        <w:snapToGrid w:val="0"/>
        <w:spacing w:line="360" w:lineRule="auto"/>
        <w:ind w:firstLine="480"/>
        <w:rPr>
          <w:rFonts w:eastAsia="宋体"/>
          <w:color w:val="auto"/>
          <w:sz w:val="24"/>
          <w:szCs w:val="28"/>
        </w:rPr>
      </w:pPr>
      <w:r>
        <w:rPr>
          <w:rFonts w:eastAsia="宋体"/>
          <w:color w:val="auto"/>
          <w:sz w:val="24"/>
          <w:szCs w:val="28"/>
        </w:rPr>
        <w:t>采取安全转移、堵漏、物化反应、筑坝围堵、启用应急事故池、封堵排口等应急措施，尽量将污染物控制在厂区等安全区域内。</w:t>
      </w:r>
    </w:p>
    <w:p w14:paraId="718CED9E">
      <w:pPr>
        <w:pStyle w:val="68"/>
        <w:adjustRightInd w:val="0"/>
        <w:snapToGrid w:val="0"/>
        <w:spacing w:line="360" w:lineRule="auto"/>
        <w:ind w:firstLine="480"/>
        <w:rPr>
          <w:rFonts w:eastAsia="宋体"/>
          <w:color w:val="auto"/>
          <w:sz w:val="24"/>
          <w:szCs w:val="28"/>
        </w:rPr>
      </w:pPr>
      <w:r>
        <w:rPr>
          <w:rFonts w:eastAsia="宋体"/>
          <w:color w:val="auto"/>
          <w:sz w:val="24"/>
          <w:szCs w:val="28"/>
        </w:rPr>
        <w:t>一旦污染物进入周围水体，采用在河道筑坝、河面围栏、关闭上下游闸门等措施，将污染控制在最小水体范围内，不进入水源保护区等环境敏感水域。</w:t>
      </w:r>
    </w:p>
    <w:p w14:paraId="4684B046">
      <w:pPr>
        <w:pStyle w:val="68"/>
        <w:adjustRightInd w:val="0"/>
        <w:snapToGrid w:val="0"/>
        <w:spacing w:line="360" w:lineRule="auto"/>
        <w:ind w:firstLine="480"/>
        <w:rPr>
          <w:rFonts w:eastAsia="宋体"/>
          <w:color w:val="auto"/>
          <w:sz w:val="24"/>
          <w:szCs w:val="28"/>
        </w:rPr>
      </w:pPr>
      <w:r>
        <w:rPr>
          <w:rFonts w:eastAsia="宋体"/>
          <w:color w:val="auto"/>
          <w:sz w:val="24"/>
          <w:szCs w:val="28"/>
        </w:rPr>
        <w:t>建设部门通知周边水源地管理单位，做好应急准备，确保饮用水安全，有关部门需进行宣传，加强巡查，设立警示标志。防止周边群众取受污染水饮用、灌溉、喂养牲畜，防止事态扩大。</w:t>
      </w:r>
    </w:p>
    <w:p w14:paraId="6B6B3A3B">
      <w:pPr>
        <w:pStyle w:val="68"/>
        <w:adjustRightInd w:val="0"/>
        <w:snapToGrid w:val="0"/>
        <w:spacing w:line="360" w:lineRule="auto"/>
        <w:ind w:firstLine="480"/>
        <w:rPr>
          <w:rFonts w:eastAsia="宋体"/>
          <w:color w:val="auto"/>
          <w:sz w:val="24"/>
          <w:szCs w:val="28"/>
        </w:rPr>
      </w:pPr>
      <w:r>
        <w:rPr>
          <w:rFonts w:eastAsia="宋体"/>
          <w:color w:val="auto"/>
          <w:sz w:val="24"/>
          <w:szCs w:val="28"/>
        </w:rPr>
        <w:t>此外，园区在雨水入地表水体河通道均设有节制闸，以防止事故情况下进入雨水污染物汇入周边地表水。</w:t>
      </w:r>
    </w:p>
    <w:p w14:paraId="724C7A12">
      <w:pPr>
        <w:widowControl w:val="0"/>
        <w:spacing w:line="360" w:lineRule="auto"/>
        <w:ind w:firstLine="482"/>
        <w:jc w:val="both"/>
        <w:outlineLvl w:val="2"/>
        <w:rPr>
          <w:rFonts w:ascii="Times New Roman" w:hAnsi="Times New Roman" w:cs="Times New Roman"/>
          <w:b/>
          <w:bCs/>
          <w:color w:val="auto"/>
          <w:lang w:eastAsia="zh-CN"/>
        </w:rPr>
      </w:pPr>
      <w:bookmarkStart w:id="2226" w:name="_Toc173740375"/>
      <w:bookmarkStart w:id="2227" w:name="_Toc176513105"/>
      <w:bookmarkStart w:id="2228" w:name="_Toc24669"/>
      <w:bookmarkStart w:id="2229" w:name="_Toc178602450"/>
      <w:bookmarkStart w:id="2230" w:name="_Toc217662772"/>
      <w:bookmarkStart w:id="2231" w:name="_Toc175164369"/>
      <w:bookmarkStart w:id="2232" w:name="_Toc203927102"/>
      <w:bookmarkStart w:id="2233" w:name="_Toc237508393"/>
      <w:bookmarkStart w:id="2234" w:name="_Toc225784160"/>
      <w:bookmarkStart w:id="2235" w:name="_Toc221900940"/>
      <w:bookmarkStart w:id="2236" w:name="_Toc173743479"/>
      <w:bookmarkStart w:id="2237" w:name="_Toc204448566"/>
      <w:bookmarkStart w:id="2238" w:name="_Toc224674798"/>
      <w:bookmarkStart w:id="2239" w:name="_Toc218784384"/>
      <w:bookmarkStart w:id="2240" w:name="_Toc236641928"/>
      <w:bookmarkStart w:id="2241" w:name="_Toc223425158"/>
      <w:bookmarkStart w:id="2242" w:name="_Toc231828681"/>
      <w:bookmarkStart w:id="2243" w:name="_Toc204515301"/>
      <w:bookmarkStart w:id="2244" w:name="_Toc172555741"/>
      <w:r>
        <w:rPr>
          <w:rFonts w:ascii="Times New Roman" w:hAnsi="Times New Roman" w:cs="Times New Roman"/>
          <w:b/>
          <w:bCs/>
          <w:color w:val="auto"/>
          <w:lang w:eastAsia="zh-CN"/>
        </w:rPr>
        <w:t>7.</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.1</w:t>
      </w:r>
      <w:r>
        <w:rPr>
          <w:rFonts w:hint="eastAsia" w:ascii="Times New Roman" w:hAnsi="Times New Roman" w:cs="Times New Roman"/>
          <w:b/>
          <w:bCs/>
          <w:color w:val="auto"/>
          <w:lang w:eastAsia="zh-CN"/>
        </w:rPr>
        <w:t>0</w:t>
      </w:r>
      <w:r>
        <w:rPr>
          <w:rFonts w:ascii="Times New Roman" w:hAnsi="Times New Roman" w:cs="Times New Roman"/>
          <w:b/>
          <w:bCs/>
          <w:color w:val="auto"/>
          <w:lang w:eastAsia="zh-CN"/>
        </w:rPr>
        <w:t xml:space="preserve"> 突发环境事件应急预案编制要求</w:t>
      </w:r>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p>
    <w:p w14:paraId="7AF404AA">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国家突发环境事件应急预案》、《企业事业单位突发环境事件应急预案备案管理办法（试行）》、《建设项目环境风险评价技术导则》及国家最新的环境风险控制要求，建设单位应编制企业突发事件应急预案，主要内容应包括预案适用范围、突发事件分类与分级、组织机构与职责、监控和预警、应急响应、应急保障、善后处置、预案管理和演练等内容。</w:t>
      </w:r>
    </w:p>
    <w:p w14:paraId="42010D1C">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拟建项目风险防控系统应纳入园区环境风险防控体系，一旦事故发生，应按照分级响应要求，及时启动园区环境风险防范措施，实现厂内与园区环境风险防控设施及管理有效联动。事故发生后，可充分利用园区内现有应急物资、周边企业现有物资及救援设备。</w:t>
      </w:r>
    </w:p>
    <w:p w14:paraId="586DE1FA">
      <w:pPr>
        <w:pStyle w:val="84"/>
        <w:widowControl w:val="0"/>
        <w:numPr>
          <w:ilvl w:val="0"/>
          <w:numId w:val="15"/>
        </w:numPr>
        <w:spacing w:line="360" w:lineRule="auto"/>
        <w:ind w:firstLineChars="0"/>
        <w:jc w:val="both"/>
        <w:rPr>
          <w:rFonts w:ascii="Times New Roman" w:hAnsi="Times New Roman" w:cs="Times New Roman"/>
          <w:color w:val="auto"/>
          <w:lang w:eastAsia="zh-CN"/>
        </w:rPr>
      </w:pPr>
      <w:r>
        <w:rPr>
          <w:rFonts w:ascii="Times New Roman" w:hAnsi="Times New Roman" w:cs="Times New Roman"/>
          <w:color w:val="auto"/>
          <w:lang w:eastAsia="zh-CN"/>
        </w:rPr>
        <w:t>突发环境事件应急预案编制原则</w:t>
      </w:r>
    </w:p>
    <w:p w14:paraId="7250D8C1">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本项目实施后</w:t>
      </w:r>
      <w:r>
        <w:rPr>
          <w:rFonts w:hint="eastAsia" w:ascii="Times New Roman" w:hAnsi="Times New Roman" w:cs="Times New Roman"/>
          <w:color w:val="auto"/>
          <w:szCs w:val="24"/>
          <w:lang w:eastAsia="zh-CN"/>
        </w:rPr>
        <w:t>安徽氟瑞星化工</w:t>
      </w:r>
      <w:r>
        <w:rPr>
          <w:rFonts w:ascii="Times New Roman" w:hAnsi="Times New Roman" w:cs="Times New Roman"/>
          <w:color w:val="auto"/>
          <w:szCs w:val="24"/>
          <w:lang w:eastAsia="zh-CN"/>
        </w:rPr>
        <w:t>有限公司</w:t>
      </w:r>
      <w:r>
        <w:rPr>
          <w:rFonts w:ascii="Times New Roman" w:hAnsi="Times New Roman" w:cs="Times New Roman"/>
          <w:color w:val="auto"/>
          <w:lang w:eastAsia="zh-CN"/>
        </w:rPr>
        <w:t>应按《企业事业单位突发环境事件应急预案备案管理办法（试行）》（环发[2015]4号）的要求，并结合本公司实际情况，本着“预防为主、自救为主、统一指挥、分级负责”的原则编制风险事故应急预案管理方法，提交有关部门进行备案，并进行应急预案的演练、修订、培训。</w:t>
      </w:r>
    </w:p>
    <w:p w14:paraId="6475B29C">
      <w:pPr>
        <w:widowControl w:val="0"/>
        <w:spacing w:line="360" w:lineRule="auto"/>
        <w:ind w:left="480"/>
        <w:jc w:val="both"/>
        <w:rPr>
          <w:rFonts w:ascii="Times New Roman" w:hAnsi="Times New Roman" w:cs="Times New Roman"/>
          <w:color w:val="auto"/>
          <w:lang w:eastAsia="zh-CN"/>
        </w:rPr>
      </w:pPr>
      <w:r>
        <w:rPr>
          <w:rFonts w:hint="eastAsia" w:ascii="Times New Roman" w:hAnsi="Times New Roman" w:cs="Times New Roman"/>
          <w:color w:val="auto"/>
          <w:lang w:eastAsia="zh-CN"/>
        </w:rPr>
        <w:t>2、</w:t>
      </w:r>
      <w:r>
        <w:rPr>
          <w:rFonts w:ascii="Times New Roman" w:hAnsi="Times New Roman" w:cs="Times New Roman"/>
          <w:color w:val="auto"/>
          <w:lang w:eastAsia="zh-CN"/>
        </w:rPr>
        <w:t>突发环境事件应急原主要内容</w:t>
      </w:r>
    </w:p>
    <w:p w14:paraId="125206D5">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企业应制定突发环境事件应急预案，预案的编制原则、内容及要求见表7.</w:t>
      </w:r>
      <w:r>
        <w:rPr>
          <w:rFonts w:hint="eastAsia" w:ascii="Times New Roman" w:hAnsi="Times New Roman" w:cs="Times New Roman"/>
          <w:color w:val="auto"/>
          <w:lang w:eastAsia="zh-CN"/>
        </w:rPr>
        <w:t>9</w:t>
      </w:r>
      <w:r>
        <w:rPr>
          <w:rFonts w:ascii="Times New Roman" w:hAnsi="Times New Roman" w:cs="Times New Roman"/>
          <w:color w:val="auto"/>
          <w:lang w:eastAsia="zh-CN"/>
        </w:rPr>
        <w:t>-8。</w:t>
      </w:r>
    </w:p>
    <w:p w14:paraId="6FDCCC07">
      <w:pPr>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表7.</w:t>
      </w:r>
      <w:r>
        <w:rPr>
          <w:rFonts w:hint="eastAsia" w:ascii="Times New Roman" w:hAnsi="Times New Roman" w:cs="Times New Roman"/>
          <w:b/>
          <w:bCs/>
          <w:color w:val="auto"/>
          <w:szCs w:val="24"/>
          <w:lang w:eastAsia="zh-CN"/>
        </w:rPr>
        <w:t>9</w:t>
      </w:r>
      <w:r>
        <w:rPr>
          <w:rFonts w:ascii="Times New Roman" w:hAnsi="Times New Roman" w:cs="Times New Roman"/>
          <w:b/>
          <w:bCs/>
          <w:color w:val="auto"/>
          <w:szCs w:val="24"/>
          <w:lang w:eastAsia="zh-CN"/>
        </w:rPr>
        <w:t>-8 突发环境事件急预案编制原则内容及要求</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726"/>
        <w:gridCol w:w="1738"/>
        <w:gridCol w:w="7175"/>
      </w:tblGrid>
      <w:tr w14:paraId="0040D35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jc w:val="center"/>
        </w:trPr>
        <w:tc>
          <w:tcPr>
            <w:tcW w:w="734" w:type="dxa"/>
            <w:vAlign w:val="center"/>
          </w:tcPr>
          <w:p w14:paraId="048C20A8">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序号</w:t>
            </w:r>
          </w:p>
        </w:tc>
        <w:tc>
          <w:tcPr>
            <w:tcW w:w="1757" w:type="dxa"/>
            <w:vAlign w:val="center"/>
          </w:tcPr>
          <w:p w14:paraId="0ECD871B">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项  目</w:t>
            </w:r>
          </w:p>
        </w:tc>
        <w:tc>
          <w:tcPr>
            <w:tcW w:w="7255" w:type="dxa"/>
            <w:vAlign w:val="center"/>
          </w:tcPr>
          <w:p w14:paraId="7DC4C184">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内 容 及 要 求</w:t>
            </w:r>
          </w:p>
        </w:tc>
      </w:tr>
      <w:tr w14:paraId="466E79E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jc w:val="center"/>
        </w:trPr>
        <w:tc>
          <w:tcPr>
            <w:tcW w:w="734" w:type="dxa"/>
            <w:vAlign w:val="center"/>
          </w:tcPr>
          <w:p w14:paraId="51F7E00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w:t>
            </w:r>
          </w:p>
        </w:tc>
        <w:tc>
          <w:tcPr>
            <w:tcW w:w="1757" w:type="dxa"/>
            <w:vAlign w:val="center"/>
          </w:tcPr>
          <w:p w14:paraId="2D5B6F2D">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总则</w:t>
            </w:r>
          </w:p>
        </w:tc>
        <w:tc>
          <w:tcPr>
            <w:tcW w:w="7255" w:type="dxa"/>
            <w:vAlign w:val="center"/>
          </w:tcPr>
          <w:p w14:paraId="27C4DD67">
            <w:pPr>
              <w:adjustRightInd w:val="0"/>
              <w:snapToGrid w:val="0"/>
              <w:jc w:val="center"/>
              <w:rPr>
                <w:rFonts w:ascii="Times New Roman" w:hAnsi="Times New Roman" w:cs="Times New Roman"/>
                <w:color w:val="auto"/>
                <w:sz w:val="21"/>
              </w:rPr>
            </w:pPr>
          </w:p>
        </w:tc>
      </w:tr>
      <w:tr w14:paraId="4C80D9A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30" w:hRule="atLeast"/>
          <w:jc w:val="center"/>
        </w:trPr>
        <w:tc>
          <w:tcPr>
            <w:tcW w:w="734" w:type="dxa"/>
            <w:vAlign w:val="center"/>
          </w:tcPr>
          <w:p w14:paraId="174789A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w:t>
            </w:r>
          </w:p>
        </w:tc>
        <w:tc>
          <w:tcPr>
            <w:tcW w:w="1757" w:type="dxa"/>
            <w:vAlign w:val="center"/>
          </w:tcPr>
          <w:p w14:paraId="2E79AE3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危险源概况</w:t>
            </w:r>
          </w:p>
        </w:tc>
        <w:tc>
          <w:tcPr>
            <w:tcW w:w="7255" w:type="dxa"/>
            <w:vAlign w:val="center"/>
          </w:tcPr>
          <w:p w14:paraId="0D1DD4FE">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详述危险源类型、数量及其分布</w:t>
            </w:r>
          </w:p>
        </w:tc>
      </w:tr>
      <w:tr w14:paraId="6DFEB3A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jc w:val="center"/>
        </w:trPr>
        <w:tc>
          <w:tcPr>
            <w:tcW w:w="734" w:type="dxa"/>
            <w:vAlign w:val="center"/>
          </w:tcPr>
          <w:p w14:paraId="062AE38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3</w:t>
            </w:r>
          </w:p>
        </w:tc>
        <w:tc>
          <w:tcPr>
            <w:tcW w:w="1757" w:type="dxa"/>
            <w:vAlign w:val="center"/>
          </w:tcPr>
          <w:p w14:paraId="3666FE7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应急计划区</w:t>
            </w:r>
          </w:p>
        </w:tc>
        <w:tc>
          <w:tcPr>
            <w:tcW w:w="7255" w:type="dxa"/>
            <w:vAlign w:val="center"/>
          </w:tcPr>
          <w:p w14:paraId="283E02D0">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装置区、储存区、邻区</w:t>
            </w:r>
          </w:p>
        </w:tc>
      </w:tr>
      <w:tr w14:paraId="1F68C9C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jc w:val="center"/>
        </w:trPr>
        <w:tc>
          <w:tcPr>
            <w:tcW w:w="734" w:type="dxa"/>
            <w:vAlign w:val="center"/>
          </w:tcPr>
          <w:p w14:paraId="5F3E586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4</w:t>
            </w:r>
          </w:p>
        </w:tc>
        <w:tc>
          <w:tcPr>
            <w:tcW w:w="1757" w:type="dxa"/>
            <w:vAlign w:val="center"/>
          </w:tcPr>
          <w:p w14:paraId="75D1EEF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应急组织机构与职责</w:t>
            </w:r>
          </w:p>
        </w:tc>
        <w:tc>
          <w:tcPr>
            <w:tcW w:w="7255" w:type="dxa"/>
            <w:vAlign w:val="center"/>
          </w:tcPr>
          <w:p w14:paraId="11CA20A7">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一级—厂区（装置）：</w:t>
            </w:r>
          </w:p>
          <w:p w14:paraId="125357C0">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厂区（装置）指挥部</w:t>
            </w:r>
            <w:r>
              <w:rPr>
                <w:rFonts w:ascii="Times New Roman" w:hAnsi="Times New Roman" w:cs="Times New Roman"/>
                <w:color w:val="auto"/>
                <w:sz w:val="21"/>
              </w:rPr>
              <w:sym w:font="Symbol" w:char="F0BE"/>
            </w:r>
            <w:r>
              <w:rPr>
                <w:rFonts w:ascii="Times New Roman" w:hAnsi="Times New Roman" w:cs="Times New Roman"/>
                <w:color w:val="auto"/>
                <w:sz w:val="21"/>
                <w:lang w:eastAsia="zh-CN"/>
              </w:rPr>
              <w:t>负责事故现场全面指挥；专业救援队伍</w:t>
            </w:r>
            <w:r>
              <w:rPr>
                <w:rFonts w:ascii="Times New Roman" w:hAnsi="Times New Roman" w:cs="Times New Roman"/>
                <w:color w:val="auto"/>
                <w:sz w:val="21"/>
              </w:rPr>
              <w:sym w:font="Symbol" w:char="F0BE"/>
            </w:r>
            <w:r>
              <w:rPr>
                <w:rFonts w:ascii="Times New Roman" w:hAnsi="Times New Roman" w:cs="Times New Roman"/>
                <w:color w:val="auto"/>
                <w:sz w:val="21"/>
                <w:lang w:eastAsia="zh-CN"/>
              </w:rPr>
              <w:t>负责事故现场控制、监测、救援、善后处理</w:t>
            </w:r>
          </w:p>
          <w:p w14:paraId="225A1341">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二级—公司：</w:t>
            </w:r>
          </w:p>
          <w:p w14:paraId="74A1686C">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公司应急中厂心</w:t>
            </w:r>
            <w:r>
              <w:rPr>
                <w:rFonts w:ascii="Times New Roman" w:hAnsi="Times New Roman" w:cs="Times New Roman"/>
                <w:color w:val="auto"/>
                <w:sz w:val="21"/>
              </w:rPr>
              <w:sym w:font="Symbol" w:char="F0BE"/>
            </w:r>
            <w:r>
              <w:rPr>
                <w:rFonts w:ascii="Times New Roman" w:hAnsi="Times New Roman" w:cs="Times New Roman"/>
                <w:color w:val="auto"/>
                <w:sz w:val="21"/>
                <w:lang w:eastAsia="zh-CN"/>
              </w:rPr>
              <w:t>负责公司现场全面指挥</w:t>
            </w:r>
          </w:p>
          <w:p w14:paraId="6F2FDFD5">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公司专业救援队伍</w:t>
            </w:r>
            <w:r>
              <w:rPr>
                <w:rFonts w:ascii="Times New Roman" w:hAnsi="Times New Roman" w:cs="Times New Roman"/>
                <w:color w:val="auto"/>
                <w:sz w:val="21"/>
              </w:rPr>
              <w:sym w:font="Symbol" w:char="F0BE"/>
            </w:r>
            <w:r>
              <w:rPr>
                <w:rFonts w:ascii="Times New Roman" w:hAnsi="Times New Roman" w:cs="Times New Roman"/>
                <w:color w:val="auto"/>
                <w:sz w:val="21"/>
                <w:lang w:eastAsia="zh-CN"/>
              </w:rPr>
              <w:t>负责事故公司控制、监测、救援、善后处理</w:t>
            </w:r>
          </w:p>
          <w:p w14:paraId="1AAADE19">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三级—社会：</w:t>
            </w:r>
          </w:p>
          <w:p w14:paraId="28173854">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社会应急中心</w:t>
            </w:r>
            <w:r>
              <w:rPr>
                <w:rFonts w:ascii="Times New Roman" w:hAnsi="Times New Roman" w:cs="Times New Roman"/>
                <w:color w:val="auto"/>
                <w:sz w:val="21"/>
              </w:rPr>
              <w:sym w:font="Symbol" w:char="F0BE"/>
            </w:r>
            <w:r>
              <w:rPr>
                <w:rFonts w:ascii="Times New Roman" w:hAnsi="Times New Roman" w:cs="Times New Roman"/>
                <w:color w:val="auto"/>
                <w:sz w:val="21"/>
                <w:lang w:eastAsia="zh-CN"/>
              </w:rPr>
              <w:t>负责工厂附近地区全面指挥，救援、管制、疏散</w:t>
            </w:r>
          </w:p>
          <w:p w14:paraId="1DD8C0CA">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专业救援队伍</w:t>
            </w:r>
            <w:r>
              <w:rPr>
                <w:rFonts w:ascii="Times New Roman" w:hAnsi="Times New Roman" w:cs="Times New Roman"/>
                <w:color w:val="auto"/>
                <w:sz w:val="21"/>
              </w:rPr>
              <w:sym w:font="Symbol" w:char="F0BE"/>
            </w:r>
            <w:r>
              <w:rPr>
                <w:rFonts w:ascii="Times New Roman" w:hAnsi="Times New Roman" w:cs="Times New Roman"/>
                <w:color w:val="auto"/>
                <w:sz w:val="21"/>
                <w:lang w:eastAsia="zh-CN"/>
              </w:rPr>
              <w:t>负责对厂专业救援队伍的支援；联动关系</w:t>
            </w:r>
          </w:p>
        </w:tc>
      </w:tr>
      <w:tr w14:paraId="6AB1DFB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jc w:val="center"/>
        </w:trPr>
        <w:tc>
          <w:tcPr>
            <w:tcW w:w="734" w:type="dxa"/>
            <w:vAlign w:val="center"/>
          </w:tcPr>
          <w:p w14:paraId="1212445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5</w:t>
            </w:r>
          </w:p>
        </w:tc>
        <w:tc>
          <w:tcPr>
            <w:tcW w:w="1757" w:type="dxa"/>
            <w:vAlign w:val="center"/>
          </w:tcPr>
          <w:p w14:paraId="61D598E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监控和预警</w:t>
            </w:r>
          </w:p>
        </w:tc>
        <w:tc>
          <w:tcPr>
            <w:tcW w:w="7255" w:type="dxa"/>
            <w:vAlign w:val="center"/>
          </w:tcPr>
          <w:p w14:paraId="5A5785B9">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建立企业内部监控预警方案，明确监控信息的获得途径和分析研判的方式方法，明确企业内部预警条件，预警等级，预警信息发布、接收、调整、解除程序、发布内容、责任人</w:t>
            </w:r>
          </w:p>
        </w:tc>
      </w:tr>
      <w:tr w14:paraId="755F851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jc w:val="center"/>
        </w:trPr>
        <w:tc>
          <w:tcPr>
            <w:tcW w:w="734" w:type="dxa"/>
            <w:vAlign w:val="center"/>
          </w:tcPr>
          <w:p w14:paraId="44DFB988">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6</w:t>
            </w:r>
          </w:p>
        </w:tc>
        <w:tc>
          <w:tcPr>
            <w:tcW w:w="1757" w:type="dxa"/>
            <w:vAlign w:val="center"/>
          </w:tcPr>
          <w:p w14:paraId="55DD78A3">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应急状态分类及应急响应程序</w:t>
            </w:r>
          </w:p>
        </w:tc>
        <w:tc>
          <w:tcPr>
            <w:tcW w:w="7255" w:type="dxa"/>
            <w:vAlign w:val="center"/>
          </w:tcPr>
          <w:p w14:paraId="2C69E413">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规定事故的级别及相应的应急分类响应程序，同时企业应急预案应与政府环境风险应急预案对接并且联动。</w:t>
            </w:r>
          </w:p>
        </w:tc>
      </w:tr>
      <w:tr w14:paraId="57781F9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jc w:val="center"/>
        </w:trPr>
        <w:tc>
          <w:tcPr>
            <w:tcW w:w="734" w:type="dxa"/>
            <w:vAlign w:val="center"/>
          </w:tcPr>
          <w:p w14:paraId="6C81BB8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7</w:t>
            </w:r>
          </w:p>
        </w:tc>
        <w:tc>
          <w:tcPr>
            <w:tcW w:w="1757" w:type="dxa"/>
            <w:vAlign w:val="center"/>
          </w:tcPr>
          <w:p w14:paraId="4804847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应急设施，设备与材料</w:t>
            </w:r>
          </w:p>
        </w:tc>
        <w:tc>
          <w:tcPr>
            <w:tcW w:w="7255" w:type="dxa"/>
            <w:vAlign w:val="center"/>
          </w:tcPr>
          <w:p w14:paraId="705A68EC">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包括防火灾、爆炸事故应急设施、设备与材料，主要为消防器材等。</w:t>
            </w:r>
          </w:p>
        </w:tc>
      </w:tr>
      <w:tr w14:paraId="69DFF5A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jc w:val="center"/>
        </w:trPr>
        <w:tc>
          <w:tcPr>
            <w:tcW w:w="734" w:type="dxa"/>
            <w:vAlign w:val="center"/>
          </w:tcPr>
          <w:p w14:paraId="365FE501">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8</w:t>
            </w:r>
          </w:p>
        </w:tc>
        <w:tc>
          <w:tcPr>
            <w:tcW w:w="1757" w:type="dxa"/>
            <w:vAlign w:val="center"/>
          </w:tcPr>
          <w:p w14:paraId="17E11D5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应急保障</w:t>
            </w:r>
          </w:p>
        </w:tc>
        <w:tc>
          <w:tcPr>
            <w:tcW w:w="7255" w:type="dxa"/>
            <w:vAlign w:val="center"/>
          </w:tcPr>
          <w:p w14:paraId="322FABD6">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包括应急经费保障、应急物资装备保障、应急队伍保障、通信与信息保障等其他保障。</w:t>
            </w:r>
          </w:p>
        </w:tc>
      </w:tr>
      <w:tr w14:paraId="10542D7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jc w:val="center"/>
        </w:trPr>
        <w:tc>
          <w:tcPr>
            <w:tcW w:w="734" w:type="dxa"/>
            <w:vAlign w:val="center"/>
          </w:tcPr>
          <w:p w14:paraId="4FE0CBE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9</w:t>
            </w:r>
          </w:p>
        </w:tc>
        <w:tc>
          <w:tcPr>
            <w:tcW w:w="1757" w:type="dxa"/>
            <w:vAlign w:val="center"/>
          </w:tcPr>
          <w:p w14:paraId="7DFA755D">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应急环境监测及事故后评估</w:t>
            </w:r>
          </w:p>
        </w:tc>
        <w:tc>
          <w:tcPr>
            <w:tcW w:w="7255" w:type="dxa"/>
            <w:vAlign w:val="center"/>
          </w:tcPr>
          <w:p w14:paraId="0C756FF1">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由专业队伍负责对事故现场进行侦察监测，对事故性质、参数与后果进行评估，为指挥部门提供决策依据。</w:t>
            </w:r>
          </w:p>
        </w:tc>
      </w:tr>
      <w:tr w14:paraId="2BCD61B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jc w:val="center"/>
        </w:trPr>
        <w:tc>
          <w:tcPr>
            <w:tcW w:w="734" w:type="dxa"/>
            <w:vAlign w:val="center"/>
          </w:tcPr>
          <w:p w14:paraId="086121E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10</w:t>
            </w:r>
          </w:p>
        </w:tc>
        <w:tc>
          <w:tcPr>
            <w:tcW w:w="1757" w:type="dxa"/>
            <w:vAlign w:val="center"/>
          </w:tcPr>
          <w:p w14:paraId="115F1F99">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应急防护措施、清除泄漏措施方法和器材</w:t>
            </w:r>
          </w:p>
        </w:tc>
        <w:tc>
          <w:tcPr>
            <w:tcW w:w="7255" w:type="dxa"/>
            <w:vAlign w:val="center"/>
          </w:tcPr>
          <w:p w14:paraId="094BE14A">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事故现场：控制事故、防止扩大、蔓延及链锁反应。清除现场泄漏物，降低危害，相应的设施器材配备</w:t>
            </w:r>
          </w:p>
          <w:p w14:paraId="3F0E89E8">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邻近区域：控制防火区域，控制和清除污染措施及相应设备配备。</w:t>
            </w:r>
          </w:p>
        </w:tc>
      </w:tr>
      <w:tr w14:paraId="1F7E51B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jc w:val="center"/>
        </w:trPr>
        <w:tc>
          <w:tcPr>
            <w:tcW w:w="734" w:type="dxa"/>
            <w:vAlign w:val="center"/>
          </w:tcPr>
          <w:p w14:paraId="0129D06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11</w:t>
            </w:r>
          </w:p>
        </w:tc>
        <w:tc>
          <w:tcPr>
            <w:tcW w:w="1757" w:type="dxa"/>
            <w:vAlign w:val="center"/>
          </w:tcPr>
          <w:p w14:paraId="3C2C674B">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应急剂量控制、撤离组织计划、医疗救护与公众健康</w:t>
            </w:r>
          </w:p>
        </w:tc>
        <w:tc>
          <w:tcPr>
            <w:tcW w:w="7255" w:type="dxa"/>
            <w:vAlign w:val="center"/>
          </w:tcPr>
          <w:p w14:paraId="0E836F5C">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事故现场：事故处理人员对毒物的应急剂量控制制定，现场及邻近装置人员撤离组织计划及救护。</w:t>
            </w:r>
          </w:p>
          <w:p w14:paraId="6353C375">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工厂邻近区：受事故影响的邻近区域人员及公众对毒物应急剂量控制规定，撤离组织计划及救护。</w:t>
            </w:r>
          </w:p>
        </w:tc>
      </w:tr>
      <w:tr w14:paraId="20A4F27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jc w:val="center"/>
        </w:trPr>
        <w:tc>
          <w:tcPr>
            <w:tcW w:w="734" w:type="dxa"/>
            <w:vAlign w:val="center"/>
          </w:tcPr>
          <w:p w14:paraId="4C10EC9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12</w:t>
            </w:r>
          </w:p>
        </w:tc>
        <w:tc>
          <w:tcPr>
            <w:tcW w:w="1757" w:type="dxa"/>
            <w:vAlign w:val="center"/>
          </w:tcPr>
          <w:p w14:paraId="4051F96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应急状态终止与恢复措施</w:t>
            </w:r>
          </w:p>
        </w:tc>
        <w:tc>
          <w:tcPr>
            <w:tcW w:w="7255" w:type="dxa"/>
            <w:vAlign w:val="center"/>
          </w:tcPr>
          <w:p w14:paraId="23DAEC38">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规定应急状态终止程序，事故现场善后处理，恢复措施邻近区域解除事故警戒及善后恢复措施</w:t>
            </w:r>
          </w:p>
        </w:tc>
      </w:tr>
      <w:tr w14:paraId="425C90E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jc w:val="center"/>
        </w:trPr>
        <w:tc>
          <w:tcPr>
            <w:tcW w:w="734" w:type="dxa"/>
            <w:vAlign w:val="center"/>
          </w:tcPr>
          <w:p w14:paraId="72F69C1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13</w:t>
            </w:r>
          </w:p>
        </w:tc>
        <w:tc>
          <w:tcPr>
            <w:tcW w:w="1757" w:type="dxa"/>
            <w:vAlign w:val="center"/>
          </w:tcPr>
          <w:p w14:paraId="79CE140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人员培训与演练</w:t>
            </w:r>
          </w:p>
        </w:tc>
        <w:tc>
          <w:tcPr>
            <w:tcW w:w="7255" w:type="dxa"/>
            <w:vAlign w:val="center"/>
          </w:tcPr>
          <w:p w14:paraId="71E391C8">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应急计划制定后，平时安排人员培训与演练</w:t>
            </w:r>
          </w:p>
        </w:tc>
      </w:tr>
      <w:tr w14:paraId="2199BBE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jc w:val="center"/>
        </w:trPr>
        <w:tc>
          <w:tcPr>
            <w:tcW w:w="734" w:type="dxa"/>
            <w:vAlign w:val="center"/>
          </w:tcPr>
          <w:p w14:paraId="742EDEE1">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14</w:t>
            </w:r>
          </w:p>
        </w:tc>
        <w:tc>
          <w:tcPr>
            <w:tcW w:w="1757" w:type="dxa"/>
            <w:vAlign w:val="center"/>
          </w:tcPr>
          <w:p w14:paraId="45294118">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公众教育和信息</w:t>
            </w:r>
          </w:p>
        </w:tc>
        <w:tc>
          <w:tcPr>
            <w:tcW w:w="7255" w:type="dxa"/>
            <w:vAlign w:val="center"/>
          </w:tcPr>
          <w:p w14:paraId="5AB30A29">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对工厂邻近地区开展公众教育、培训和发布有关信息。</w:t>
            </w:r>
          </w:p>
        </w:tc>
      </w:tr>
      <w:tr w14:paraId="59FD8F2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jc w:val="center"/>
        </w:trPr>
        <w:tc>
          <w:tcPr>
            <w:tcW w:w="734" w:type="dxa"/>
            <w:vAlign w:val="center"/>
          </w:tcPr>
          <w:p w14:paraId="21CB8F0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15</w:t>
            </w:r>
          </w:p>
        </w:tc>
        <w:tc>
          <w:tcPr>
            <w:tcW w:w="1757" w:type="dxa"/>
            <w:vAlign w:val="center"/>
          </w:tcPr>
          <w:p w14:paraId="193AB2C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记录和报告</w:t>
            </w:r>
          </w:p>
        </w:tc>
        <w:tc>
          <w:tcPr>
            <w:tcW w:w="7255" w:type="dxa"/>
            <w:vAlign w:val="center"/>
          </w:tcPr>
          <w:p w14:paraId="7BE9F8DF">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设置应急事故专门记录，建档案和专门报告制度，设专门部门和负责管理。</w:t>
            </w:r>
          </w:p>
        </w:tc>
      </w:tr>
      <w:tr w14:paraId="66FBB36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jc w:val="center"/>
        </w:trPr>
        <w:tc>
          <w:tcPr>
            <w:tcW w:w="734" w:type="dxa"/>
            <w:vAlign w:val="center"/>
          </w:tcPr>
          <w:p w14:paraId="6F68B23D">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16</w:t>
            </w:r>
          </w:p>
        </w:tc>
        <w:tc>
          <w:tcPr>
            <w:tcW w:w="1757" w:type="dxa"/>
            <w:vAlign w:val="center"/>
          </w:tcPr>
          <w:p w14:paraId="1E8AB26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附件</w:t>
            </w:r>
          </w:p>
        </w:tc>
        <w:tc>
          <w:tcPr>
            <w:tcW w:w="7255" w:type="dxa"/>
            <w:vAlign w:val="center"/>
          </w:tcPr>
          <w:p w14:paraId="49EB67D8">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与应急事故有关的多种附件材料的准备和形成。</w:t>
            </w:r>
          </w:p>
        </w:tc>
      </w:tr>
    </w:tbl>
    <w:p w14:paraId="611EE390">
      <w:pPr>
        <w:spacing w:line="360" w:lineRule="auto"/>
        <w:ind w:left="480"/>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3、</w:t>
      </w:r>
      <w:r>
        <w:rPr>
          <w:rFonts w:ascii="Times New Roman" w:hAnsi="Times New Roman" w:cs="Times New Roman"/>
          <w:color w:val="auto"/>
          <w:szCs w:val="24"/>
          <w:lang w:eastAsia="zh-CN"/>
        </w:rPr>
        <w:t>区域联动原则</w:t>
      </w:r>
    </w:p>
    <w:p w14:paraId="790D0764">
      <w:pPr>
        <w:spacing w:line="360" w:lineRule="auto"/>
        <w:ind w:firstLine="480" w:firstLineChars="200"/>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安徽氟瑞星化工</w:t>
      </w:r>
      <w:r>
        <w:rPr>
          <w:rFonts w:ascii="Times New Roman" w:hAnsi="Times New Roman" w:cs="Times New Roman"/>
          <w:color w:val="auto"/>
          <w:szCs w:val="24"/>
          <w:lang w:eastAsia="zh-CN"/>
        </w:rPr>
        <w:t>有限公司内部应急预案应与园区应急预案、政府应急预案等相互衔接，并通过演练巩固、完善应急联动机制。</w:t>
      </w:r>
    </w:p>
    <w:p w14:paraId="03E17FBE">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外部应急预案中政府部门应急预案更为宏观，对企业应急预案起指导作用，周边企业突发环境事件影响到本企业，致使本企业启动应急预案，或因本企业突发环境事件对周边企业造成环境影响，致使周边企业启动应急预案，两者是相互关联的，企业应急预案主要是针对本企业生产实际和可能出现的突发环境事件情况，对政府部门、环保主管部门应急预案起到细化和补充的作用。当突发环境事件涉及厂区外环境时，立即向蚌埠市生态环境局报告，启动政府层面的突发环境事件应急预案。公司突发环境事件应急预案统筹考虑公司内部、外部各应急预案相关内容的衔接性，并通过演练巩固、完善应急联动机制。</w:t>
      </w:r>
    </w:p>
    <w:p w14:paraId="7CEE4B99">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根据国家有关规定，各类突发性公共事件按照可控性、严重程度，影响范围分为四级，即为一般、较大、重大和特大突发公共事件。划分原则及联动响应程序见表7.</w:t>
      </w:r>
      <w:r>
        <w:rPr>
          <w:rFonts w:hint="eastAsia" w:ascii="Times New Roman" w:hAnsi="Times New Roman" w:cs="Times New Roman"/>
          <w:color w:val="auto"/>
          <w:szCs w:val="24"/>
          <w:lang w:eastAsia="zh-CN"/>
        </w:rPr>
        <w:t>9</w:t>
      </w:r>
      <w:r>
        <w:rPr>
          <w:rFonts w:ascii="Times New Roman" w:hAnsi="Times New Roman" w:cs="Times New Roman"/>
          <w:color w:val="auto"/>
          <w:szCs w:val="24"/>
          <w:lang w:eastAsia="zh-CN"/>
        </w:rPr>
        <w:t>-9：</w:t>
      </w:r>
    </w:p>
    <w:p w14:paraId="5CD739E5">
      <w:pPr>
        <w:spacing w:line="360" w:lineRule="auto"/>
        <w:jc w:val="center"/>
        <w:rPr>
          <w:rFonts w:ascii="Times New Roman" w:hAnsi="Times New Roman" w:cs="Times New Roman"/>
          <w:color w:val="auto"/>
          <w:szCs w:val="24"/>
          <w:lang w:eastAsia="zh-CN"/>
        </w:rPr>
      </w:pPr>
      <w:r>
        <w:rPr>
          <w:rFonts w:ascii="Times New Roman" w:hAnsi="Times New Roman" w:cs="Times New Roman"/>
          <w:b/>
          <w:bCs/>
          <w:color w:val="auto"/>
          <w:szCs w:val="24"/>
          <w:lang w:eastAsia="zh-CN"/>
        </w:rPr>
        <w:t>表7.</w:t>
      </w:r>
      <w:r>
        <w:rPr>
          <w:rFonts w:hint="eastAsia" w:ascii="Times New Roman" w:hAnsi="Times New Roman" w:cs="Times New Roman"/>
          <w:b/>
          <w:bCs/>
          <w:color w:val="auto"/>
          <w:szCs w:val="24"/>
          <w:lang w:eastAsia="zh-CN"/>
        </w:rPr>
        <w:t>9</w:t>
      </w:r>
      <w:r>
        <w:rPr>
          <w:rFonts w:ascii="Times New Roman" w:hAnsi="Times New Roman" w:cs="Times New Roman"/>
          <w:b/>
          <w:bCs/>
          <w:color w:val="auto"/>
          <w:szCs w:val="24"/>
          <w:lang w:eastAsia="zh-CN"/>
        </w:rPr>
        <w:t>-9 事故级别划分原则及联动响应程序</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571"/>
        <w:gridCol w:w="8068"/>
      </w:tblGrid>
      <w:tr w14:paraId="34C0CAC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815" w:type="pct"/>
            <w:vAlign w:val="center"/>
          </w:tcPr>
          <w:p w14:paraId="47D4F636">
            <w:pPr>
              <w:adjustRightInd w:val="0"/>
              <w:snapToGrid w:val="0"/>
              <w:jc w:val="center"/>
              <w:rPr>
                <w:rFonts w:ascii="Times New Roman" w:hAnsi="Times New Roman" w:cs="Times New Roman"/>
                <w:b/>
                <w:color w:val="auto"/>
                <w:sz w:val="21"/>
              </w:rPr>
            </w:pPr>
            <w:r>
              <w:rPr>
                <w:rFonts w:ascii="Times New Roman" w:hAnsi="Times New Roman" w:cs="Times New Roman"/>
                <w:b/>
                <w:color w:val="auto"/>
                <w:spacing w:val="-1"/>
                <w:sz w:val="21"/>
              </w:rPr>
              <w:t>事故级别</w:t>
            </w:r>
          </w:p>
        </w:tc>
        <w:tc>
          <w:tcPr>
            <w:tcW w:w="4185" w:type="pct"/>
          </w:tcPr>
          <w:p w14:paraId="4FF63E4C">
            <w:pPr>
              <w:adjustRightInd w:val="0"/>
              <w:snapToGrid w:val="0"/>
              <w:jc w:val="center"/>
              <w:rPr>
                <w:rFonts w:ascii="Times New Roman" w:hAnsi="Times New Roman" w:cs="Times New Roman"/>
                <w:b/>
                <w:color w:val="auto"/>
                <w:sz w:val="21"/>
                <w:lang w:eastAsia="zh-CN"/>
              </w:rPr>
            </w:pPr>
            <w:r>
              <w:rPr>
                <w:rFonts w:ascii="Times New Roman" w:hAnsi="Times New Roman" w:cs="Times New Roman"/>
                <w:b/>
                <w:color w:val="auto"/>
                <w:sz w:val="21"/>
                <w:lang w:eastAsia="zh-CN"/>
              </w:rPr>
              <w:t>划分原则及联动响应程序</w:t>
            </w:r>
          </w:p>
        </w:tc>
      </w:tr>
      <w:tr w14:paraId="39C996B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815" w:type="pct"/>
            <w:vAlign w:val="center"/>
          </w:tcPr>
          <w:p w14:paraId="633097C6">
            <w:pPr>
              <w:adjustRightInd w:val="0"/>
              <w:snapToGrid w:val="0"/>
              <w:jc w:val="center"/>
              <w:rPr>
                <w:rFonts w:ascii="Times New Roman" w:hAnsi="Times New Roman" w:cs="Times New Roman"/>
                <w:color w:val="auto"/>
                <w:sz w:val="21"/>
              </w:rPr>
            </w:pPr>
            <w:r>
              <w:rPr>
                <w:rFonts w:ascii="Times New Roman" w:hAnsi="Times New Roman" w:cs="Times New Roman"/>
                <w:color w:val="auto"/>
                <w:spacing w:val="-1"/>
                <w:sz w:val="21"/>
              </w:rPr>
              <w:t>一般事故</w:t>
            </w:r>
          </w:p>
        </w:tc>
        <w:tc>
          <w:tcPr>
            <w:tcW w:w="4185" w:type="pct"/>
          </w:tcPr>
          <w:p w14:paraId="5A3B7273">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划分原则：对企业内人员安全造成较小危害或威胁的事故；</w:t>
            </w:r>
          </w:p>
          <w:p w14:paraId="35A298B8">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联动响应程序：企业立即按预案进行处置，并向应急响应中心报告备案，中心通知区内相关应急力量到现场监护。</w:t>
            </w:r>
          </w:p>
        </w:tc>
      </w:tr>
      <w:tr w14:paraId="73B9AFE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815" w:type="pct"/>
            <w:vAlign w:val="center"/>
          </w:tcPr>
          <w:p w14:paraId="05A8F74E">
            <w:pPr>
              <w:adjustRightInd w:val="0"/>
              <w:snapToGrid w:val="0"/>
              <w:jc w:val="center"/>
              <w:rPr>
                <w:rFonts w:ascii="Times New Roman" w:hAnsi="Times New Roman" w:cs="Times New Roman"/>
                <w:color w:val="auto"/>
                <w:sz w:val="21"/>
              </w:rPr>
            </w:pPr>
            <w:r>
              <w:rPr>
                <w:rFonts w:ascii="Times New Roman" w:hAnsi="Times New Roman" w:cs="Times New Roman"/>
                <w:color w:val="auto"/>
                <w:spacing w:val="-1"/>
                <w:sz w:val="21"/>
              </w:rPr>
              <w:t>较大事故</w:t>
            </w:r>
          </w:p>
        </w:tc>
        <w:tc>
          <w:tcPr>
            <w:tcW w:w="4185" w:type="pct"/>
          </w:tcPr>
          <w:p w14:paraId="3E241D9D">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划分原则：较大量的污染物进入环境，企业生产安全和人员安全造成较大危害或威胁，可能造成人员伤亡，财产损失；</w:t>
            </w:r>
          </w:p>
          <w:p w14:paraId="0A90E54F">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联动响应程序：企业立即按预案进行处置，并第一时间向应急响应中心报警救援，中心视情况派出应急力量赶赴现场，向邻近企业发出预警通知，并向管委会和市应急联动中心报告。</w:t>
            </w:r>
          </w:p>
        </w:tc>
      </w:tr>
      <w:tr w14:paraId="2727081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815" w:type="pct"/>
            <w:vAlign w:val="center"/>
          </w:tcPr>
          <w:p w14:paraId="359F526B">
            <w:pPr>
              <w:adjustRightInd w:val="0"/>
              <w:snapToGrid w:val="0"/>
              <w:jc w:val="center"/>
              <w:rPr>
                <w:rFonts w:ascii="Times New Roman" w:hAnsi="Times New Roman" w:cs="Times New Roman"/>
                <w:color w:val="auto"/>
                <w:sz w:val="21"/>
              </w:rPr>
            </w:pPr>
            <w:r>
              <w:rPr>
                <w:rFonts w:ascii="Times New Roman" w:hAnsi="Times New Roman" w:cs="Times New Roman"/>
                <w:color w:val="auto"/>
                <w:spacing w:val="-1"/>
                <w:sz w:val="21"/>
              </w:rPr>
              <w:t>重大事故</w:t>
            </w:r>
          </w:p>
        </w:tc>
        <w:tc>
          <w:tcPr>
            <w:tcW w:w="4185" w:type="pct"/>
            <w:vAlign w:val="center"/>
          </w:tcPr>
          <w:p w14:paraId="3C29B09B">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划分原则：较大量的污染物进入环境，其影响范围已经超出厂界的范围，企业的生产安全和人员安全造成重大危害或威胁，已造成人员伤亡，财产损失；</w:t>
            </w:r>
          </w:p>
          <w:p w14:paraId="26690D11">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联动响应程序：企业立即按预案进行处置，在第一时间向应急响应中心报警，中心迅速派出应急力量赶赴现场，并立即通知相关周边企业做好安全防护工作，通知区应急处置领导小组成员到应急响应中心开会，成立应急指挥部；并向市应急联动中心报告，由市应急办调度外周边区域的力量和</w:t>
            </w:r>
            <w:r>
              <w:rPr>
                <w:rFonts w:ascii="Times New Roman" w:hAnsi="Times New Roman" w:cs="Times New Roman"/>
                <w:color w:val="auto"/>
                <w:spacing w:val="-1"/>
                <w:sz w:val="21"/>
                <w:lang w:eastAsia="zh-CN"/>
              </w:rPr>
              <w:t>资源进行救援。</w:t>
            </w:r>
          </w:p>
        </w:tc>
      </w:tr>
      <w:tr w14:paraId="2AFDCE0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815" w:type="pct"/>
            <w:vAlign w:val="center"/>
          </w:tcPr>
          <w:p w14:paraId="1F6E15B3">
            <w:pPr>
              <w:adjustRightInd w:val="0"/>
              <w:snapToGrid w:val="0"/>
              <w:jc w:val="center"/>
              <w:rPr>
                <w:rFonts w:ascii="Times New Roman" w:hAnsi="Times New Roman" w:cs="Times New Roman"/>
                <w:color w:val="auto"/>
                <w:sz w:val="21"/>
              </w:rPr>
            </w:pPr>
            <w:r>
              <w:rPr>
                <w:rFonts w:ascii="Times New Roman" w:hAnsi="Times New Roman" w:cs="Times New Roman"/>
                <w:color w:val="auto"/>
                <w:spacing w:val="-1"/>
                <w:sz w:val="21"/>
              </w:rPr>
              <w:t>特大事故</w:t>
            </w:r>
          </w:p>
        </w:tc>
        <w:tc>
          <w:tcPr>
            <w:tcW w:w="4185" w:type="pct"/>
          </w:tcPr>
          <w:p w14:paraId="5D434878">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划分</w:t>
            </w:r>
            <w:r>
              <w:rPr>
                <w:rFonts w:ascii="Times New Roman" w:hAnsi="Times New Roman" w:cs="Times New Roman"/>
                <w:color w:val="auto"/>
                <w:spacing w:val="-3"/>
                <w:sz w:val="21"/>
                <w:lang w:eastAsia="zh-CN"/>
              </w:rPr>
              <w:t>原则</w:t>
            </w:r>
            <w:r>
              <w:rPr>
                <w:rFonts w:ascii="Times New Roman" w:hAnsi="Times New Roman" w:cs="Times New Roman"/>
                <w:color w:val="auto"/>
                <w:spacing w:val="-51"/>
                <w:sz w:val="21"/>
                <w:lang w:eastAsia="zh-CN"/>
              </w:rPr>
              <w:t>：</w:t>
            </w:r>
            <w:r>
              <w:rPr>
                <w:rFonts w:ascii="Times New Roman" w:hAnsi="Times New Roman" w:cs="Times New Roman"/>
                <w:color w:val="auto"/>
                <w:spacing w:val="-3"/>
                <w:sz w:val="21"/>
                <w:lang w:eastAsia="zh-CN"/>
              </w:rPr>
              <w:t>大</w:t>
            </w:r>
            <w:r>
              <w:rPr>
                <w:rFonts w:ascii="Times New Roman" w:hAnsi="Times New Roman" w:cs="Times New Roman"/>
                <w:color w:val="auto"/>
                <w:sz w:val="21"/>
                <w:lang w:eastAsia="zh-CN"/>
              </w:rPr>
              <w:t>量</w:t>
            </w:r>
            <w:r>
              <w:rPr>
                <w:rFonts w:ascii="Times New Roman" w:hAnsi="Times New Roman" w:cs="Times New Roman"/>
                <w:color w:val="auto"/>
                <w:spacing w:val="-3"/>
                <w:sz w:val="21"/>
                <w:lang w:eastAsia="zh-CN"/>
              </w:rPr>
              <w:t>的</w:t>
            </w:r>
            <w:r>
              <w:rPr>
                <w:rFonts w:ascii="Times New Roman" w:hAnsi="Times New Roman" w:cs="Times New Roman"/>
                <w:color w:val="auto"/>
                <w:sz w:val="21"/>
                <w:lang w:eastAsia="zh-CN"/>
              </w:rPr>
              <w:t>污</w:t>
            </w:r>
            <w:r>
              <w:rPr>
                <w:rFonts w:ascii="Times New Roman" w:hAnsi="Times New Roman" w:cs="Times New Roman"/>
                <w:color w:val="auto"/>
                <w:spacing w:val="-3"/>
                <w:sz w:val="21"/>
                <w:lang w:eastAsia="zh-CN"/>
              </w:rPr>
              <w:t>染物</w:t>
            </w:r>
            <w:r>
              <w:rPr>
                <w:rFonts w:ascii="Times New Roman" w:hAnsi="Times New Roman" w:cs="Times New Roman"/>
                <w:color w:val="auto"/>
                <w:sz w:val="21"/>
                <w:lang w:eastAsia="zh-CN"/>
              </w:rPr>
              <w:t>进入</w:t>
            </w:r>
            <w:r>
              <w:rPr>
                <w:rFonts w:ascii="Times New Roman" w:hAnsi="Times New Roman" w:cs="Times New Roman"/>
                <w:color w:val="auto"/>
                <w:spacing w:val="-3"/>
                <w:sz w:val="21"/>
                <w:lang w:eastAsia="zh-CN"/>
              </w:rPr>
              <w:t>环境</w:t>
            </w:r>
            <w:r>
              <w:rPr>
                <w:rFonts w:ascii="Times New Roman" w:hAnsi="Times New Roman" w:cs="Times New Roman"/>
                <w:color w:val="auto"/>
                <w:spacing w:val="-51"/>
                <w:sz w:val="21"/>
                <w:lang w:eastAsia="zh-CN"/>
              </w:rPr>
              <w:t>，</w:t>
            </w:r>
            <w:r>
              <w:rPr>
                <w:rFonts w:ascii="Times New Roman" w:hAnsi="Times New Roman" w:cs="Times New Roman"/>
                <w:color w:val="auto"/>
                <w:spacing w:val="-3"/>
                <w:sz w:val="21"/>
                <w:lang w:eastAsia="zh-CN"/>
              </w:rPr>
              <w:t>对</w:t>
            </w:r>
            <w:r>
              <w:rPr>
                <w:rFonts w:ascii="Times New Roman" w:hAnsi="Times New Roman" w:cs="Times New Roman"/>
                <w:color w:val="auto"/>
                <w:sz w:val="21"/>
                <w:lang w:eastAsia="zh-CN"/>
              </w:rPr>
              <w:t>周</w:t>
            </w:r>
            <w:r>
              <w:rPr>
                <w:rFonts w:ascii="Times New Roman" w:hAnsi="Times New Roman" w:cs="Times New Roman"/>
                <w:color w:val="auto"/>
                <w:spacing w:val="-3"/>
                <w:sz w:val="21"/>
                <w:lang w:eastAsia="zh-CN"/>
              </w:rPr>
              <w:t>边</w:t>
            </w:r>
            <w:r>
              <w:rPr>
                <w:rFonts w:ascii="Times New Roman" w:hAnsi="Times New Roman" w:cs="Times New Roman"/>
                <w:color w:val="auto"/>
                <w:sz w:val="21"/>
                <w:lang w:eastAsia="zh-CN"/>
              </w:rPr>
              <w:t>的</w:t>
            </w:r>
            <w:r>
              <w:rPr>
                <w:rFonts w:ascii="Times New Roman" w:hAnsi="Times New Roman" w:cs="Times New Roman"/>
                <w:color w:val="auto"/>
                <w:spacing w:val="-3"/>
                <w:sz w:val="21"/>
                <w:lang w:eastAsia="zh-CN"/>
              </w:rPr>
              <w:t>企业</w:t>
            </w:r>
            <w:r>
              <w:rPr>
                <w:rFonts w:ascii="Times New Roman" w:hAnsi="Times New Roman" w:cs="Times New Roman"/>
                <w:color w:val="auto"/>
                <w:sz w:val="21"/>
                <w:lang w:eastAsia="zh-CN"/>
              </w:rPr>
              <w:t>和居</w:t>
            </w:r>
            <w:r>
              <w:rPr>
                <w:rFonts w:ascii="Times New Roman" w:hAnsi="Times New Roman" w:cs="Times New Roman"/>
                <w:color w:val="auto"/>
                <w:spacing w:val="-3"/>
                <w:sz w:val="21"/>
                <w:lang w:eastAsia="zh-CN"/>
              </w:rPr>
              <w:t>民</w:t>
            </w:r>
            <w:r>
              <w:rPr>
                <w:rFonts w:ascii="Times New Roman" w:hAnsi="Times New Roman" w:cs="Times New Roman"/>
                <w:color w:val="auto"/>
                <w:sz w:val="21"/>
                <w:lang w:eastAsia="zh-CN"/>
              </w:rPr>
              <w:t>造</w:t>
            </w:r>
            <w:r>
              <w:rPr>
                <w:rFonts w:ascii="Times New Roman" w:hAnsi="Times New Roman" w:cs="Times New Roman"/>
                <w:color w:val="auto"/>
                <w:spacing w:val="-3"/>
                <w:sz w:val="21"/>
                <w:lang w:eastAsia="zh-CN"/>
              </w:rPr>
              <w:t>成</w:t>
            </w:r>
            <w:r>
              <w:rPr>
                <w:rFonts w:ascii="Times New Roman" w:hAnsi="Times New Roman" w:cs="Times New Roman"/>
                <w:color w:val="auto"/>
                <w:sz w:val="21"/>
                <w:lang w:eastAsia="zh-CN"/>
              </w:rPr>
              <w:t>严</w:t>
            </w:r>
            <w:r>
              <w:rPr>
                <w:rFonts w:ascii="Times New Roman" w:hAnsi="Times New Roman" w:cs="Times New Roman"/>
                <w:color w:val="auto"/>
                <w:spacing w:val="-3"/>
                <w:sz w:val="21"/>
                <w:lang w:eastAsia="zh-CN"/>
              </w:rPr>
              <w:t>重</w:t>
            </w:r>
            <w:r>
              <w:rPr>
                <w:rFonts w:ascii="Times New Roman" w:hAnsi="Times New Roman" w:cs="Times New Roman"/>
                <w:color w:val="auto"/>
                <w:sz w:val="21"/>
                <w:lang w:eastAsia="zh-CN"/>
              </w:rPr>
              <w:t>的</w:t>
            </w:r>
            <w:r>
              <w:rPr>
                <w:rFonts w:ascii="Times New Roman" w:hAnsi="Times New Roman" w:cs="Times New Roman"/>
                <w:color w:val="auto"/>
                <w:spacing w:val="-3"/>
                <w:sz w:val="21"/>
                <w:lang w:eastAsia="zh-CN"/>
              </w:rPr>
              <w:t>威</w:t>
            </w:r>
            <w:r>
              <w:rPr>
                <w:rFonts w:ascii="Times New Roman" w:hAnsi="Times New Roman" w:cs="Times New Roman"/>
                <w:color w:val="auto"/>
                <w:sz w:val="21"/>
                <w:lang w:eastAsia="zh-CN"/>
              </w:rPr>
              <w:t>胁，已经造成人员伤亡、财产损失；</w:t>
            </w:r>
          </w:p>
          <w:p w14:paraId="794018A1">
            <w:pPr>
              <w:adjustRightInd w:val="0"/>
              <w:snapToGrid w:val="0"/>
              <w:rPr>
                <w:rFonts w:ascii="Times New Roman" w:hAnsi="Times New Roman" w:cs="Times New Roman"/>
                <w:color w:val="auto"/>
                <w:sz w:val="21"/>
                <w:lang w:eastAsia="zh-CN"/>
              </w:rPr>
            </w:pPr>
            <w:r>
              <w:rPr>
                <w:rFonts w:ascii="Times New Roman" w:hAnsi="Times New Roman" w:cs="Times New Roman"/>
                <w:color w:val="auto"/>
                <w:sz w:val="21"/>
                <w:lang w:eastAsia="zh-CN"/>
              </w:rPr>
              <w:t>联动响应程序：企业立即按预案进行处置，在第一时间向应急响应中心报警，中心迅速调动区内所有应急力量赶赴现场，并通知区域内所有企业以及周边地区政府部门，紧急做好安全防护工作，通知区应急处置领导小组成员和专家咨询委员会成员到应急响应中心，成立应急指挥部；并向市应急联动中心报告，由市应急办调度全市相关公用资源和力量进行救援。</w:t>
            </w:r>
          </w:p>
        </w:tc>
      </w:tr>
    </w:tbl>
    <w:p w14:paraId="65D6A269">
      <w:pPr>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4、</w:t>
      </w:r>
      <w:r>
        <w:rPr>
          <w:rFonts w:ascii="Times New Roman" w:hAnsi="Times New Roman" w:cs="Times New Roman"/>
          <w:color w:val="auto"/>
          <w:szCs w:val="24"/>
          <w:lang w:eastAsia="zh-CN"/>
        </w:rPr>
        <w:t>环境风险事故分级</w:t>
      </w:r>
    </w:p>
    <w:p w14:paraId="7621803D">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按照环境风险事故的严重程度和影响范围，根据事故应急救援需要，将事故划分为</w:t>
      </w:r>
      <w:r>
        <w:rPr>
          <w:rFonts w:ascii="Times New Roman" w:hAnsi="Times New Roman" w:cs="Times New Roman"/>
          <w:color w:val="auto"/>
          <w:szCs w:val="24"/>
        </w:rPr>
        <w:fldChar w:fldCharType="begin"/>
      </w:r>
      <w:r>
        <w:rPr>
          <w:rFonts w:ascii="Times New Roman" w:hAnsi="Times New Roman" w:cs="Times New Roman"/>
          <w:color w:val="auto"/>
          <w:szCs w:val="24"/>
          <w:lang w:eastAsia="zh-CN"/>
        </w:rPr>
        <w:instrText xml:space="preserve"> = 1 \* ROMAN \* MERGEFORMAT </w:instrText>
      </w:r>
      <w:r>
        <w:rPr>
          <w:rFonts w:ascii="Times New Roman" w:hAnsi="Times New Roman" w:cs="Times New Roman"/>
          <w:color w:val="auto"/>
          <w:szCs w:val="24"/>
        </w:rPr>
        <w:fldChar w:fldCharType="separate"/>
      </w:r>
      <w:r>
        <w:rPr>
          <w:rFonts w:ascii="Times New Roman" w:hAnsi="Times New Roman" w:cs="Times New Roman"/>
          <w:color w:val="auto"/>
          <w:szCs w:val="24"/>
          <w:lang w:eastAsia="zh-CN"/>
        </w:rPr>
        <w:t>I</w:t>
      </w:r>
      <w:r>
        <w:rPr>
          <w:rFonts w:ascii="Times New Roman" w:hAnsi="Times New Roman" w:cs="Times New Roman"/>
          <w:color w:val="auto"/>
          <w:szCs w:val="24"/>
        </w:rPr>
        <w:fldChar w:fldCharType="end"/>
      </w:r>
      <w:r>
        <w:rPr>
          <w:rFonts w:ascii="Times New Roman" w:hAnsi="Times New Roman" w:cs="Times New Roman"/>
          <w:color w:val="auto"/>
          <w:szCs w:val="24"/>
          <w:lang w:eastAsia="zh-CN"/>
        </w:rPr>
        <w:t>、</w:t>
      </w:r>
      <w:r>
        <w:rPr>
          <w:rFonts w:ascii="Times New Roman" w:hAnsi="Times New Roman" w:cs="Times New Roman"/>
          <w:color w:val="auto"/>
          <w:szCs w:val="24"/>
        </w:rPr>
        <w:fldChar w:fldCharType="begin"/>
      </w:r>
      <w:r>
        <w:rPr>
          <w:rFonts w:ascii="Times New Roman" w:hAnsi="Times New Roman" w:cs="Times New Roman"/>
          <w:color w:val="auto"/>
          <w:szCs w:val="24"/>
          <w:lang w:eastAsia="zh-CN"/>
        </w:rPr>
        <w:instrText xml:space="preserve"> = 2 \* ROMAN \* MERGEFORMAT </w:instrText>
      </w:r>
      <w:r>
        <w:rPr>
          <w:rFonts w:ascii="Times New Roman" w:hAnsi="Times New Roman" w:cs="Times New Roman"/>
          <w:color w:val="auto"/>
          <w:szCs w:val="24"/>
        </w:rPr>
        <w:fldChar w:fldCharType="separate"/>
      </w:r>
      <w:r>
        <w:rPr>
          <w:rFonts w:ascii="Times New Roman" w:hAnsi="Times New Roman" w:cs="Times New Roman"/>
          <w:color w:val="auto"/>
          <w:szCs w:val="24"/>
          <w:lang w:eastAsia="zh-CN"/>
        </w:rPr>
        <w:t>II</w:t>
      </w:r>
      <w:r>
        <w:rPr>
          <w:rFonts w:ascii="Times New Roman" w:hAnsi="Times New Roman" w:cs="Times New Roman"/>
          <w:color w:val="auto"/>
          <w:szCs w:val="24"/>
        </w:rPr>
        <w:fldChar w:fldCharType="end"/>
      </w:r>
      <w:r>
        <w:rPr>
          <w:rFonts w:ascii="Times New Roman" w:hAnsi="Times New Roman" w:cs="Times New Roman"/>
          <w:color w:val="auto"/>
          <w:szCs w:val="24"/>
          <w:lang w:eastAsia="zh-CN"/>
        </w:rPr>
        <w:t>、</w:t>
      </w:r>
      <w:r>
        <w:rPr>
          <w:rFonts w:ascii="Times New Roman" w:hAnsi="Times New Roman" w:cs="Times New Roman"/>
          <w:color w:val="auto"/>
          <w:szCs w:val="24"/>
        </w:rPr>
        <w:fldChar w:fldCharType="begin"/>
      </w:r>
      <w:r>
        <w:rPr>
          <w:rFonts w:ascii="Times New Roman" w:hAnsi="Times New Roman" w:cs="Times New Roman"/>
          <w:color w:val="auto"/>
          <w:szCs w:val="24"/>
          <w:lang w:eastAsia="zh-CN"/>
        </w:rPr>
        <w:instrText xml:space="preserve"> = 3 \* ROMAN \* MERGEFORMAT </w:instrText>
      </w:r>
      <w:r>
        <w:rPr>
          <w:rFonts w:ascii="Times New Roman" w:hAnsi="Times New Roman" w:cs="Times New Roman"/>
          <w:color w:val="auto"/>
          <w:szCs w:val="24"/>
        </w:rPr>
        <w:fldChar w:fldCharType="separate"/>
      </w:r>
      <w:r>
        <w:rPr>
          <w:rFonts w:ascii="Times New Roman" w:hAnsi="Times New Roman" w:cs="Times New Roman"/>
          <w:color w:val="auto"/>
          <w:szCs w:val="24"/>
          <w:lang w:eastAsia="zh-CN"/>
        </w:rPr>
        <w:t>III</w:t>
      </w:r>
      <w:r>
        <w:rPr>
          <w:rFonts w:ascii="Times New Roman" w:hAnsi="Times New Roman" w:cs="Times New Roman"/>
          <w:color w:val="auto"/>
          <w:szCs w:val="24"/>
        </w:rPr>
        <w:fldChar w:fldCharType="end"/>
      </w:r>
      <w:r>
        <w:rPr>
          <w:rFonts w:ascii="Times New Roman" w:hAnsi="Times New Roman" w:cs="Times New Roman"/>
          <w:color w:val="auto"/>
          <w:szCs w:val="24"/>
          <w:lang w:eastAsia="zh-CN"/>
        </w:rPr>
        <w:t>级。</w:t>
      </w:r>
    </w:p>
    <w:p w14:paraId="7E41AC27">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rPr>
        <w:fldChar w:fldCharType="begin"/>
      </w:r>
      <w:r>
        <w:rPr>
          <w:rFonts w:ascii="Times New Roman" w:hAnsi="Times New Roman" w:cs="Times New Roman"/>
          <w:color w:val="auto"/>
          <w:szCs w:val="24"/>
          <w:lang w:eastAsia="zh-CN"/>
        </w:rPr>
        <w:instrText xml:space="preserve"> = 1 \* ROMAN \* MERGEFORMAT </w:instrText>
      </w:r>
      <w:r>
        <w:rPr>
          <w:rFonts w:ascii="Times New Roman" w:hAnsi="Times New Roman" w:cs="Times New Roman"/>
          <w:color w:val="auto"/>
          <w:szCs w:val="24"/>
        </w:rPr>
        <w:fldChar w:fldCharType="separate"/>
      </w:r>
      <w:r>
        <w:rPr>
          <w:rFonts w:ascii="Times New Roman" w:hAnsi="Times New Roman" w:cs="Times New Roman"/>
          <w:color w:val="auto"/>
          <w:szCs w:val="24"/>
          <w:lang w:eastAsia="zh-CN"/>
        </w:rPr>
        <w:t>I</w:t>
      </w:r>
      <w:r>
        <w:rPr>
          <w:rFonts w:ascii="Times New Roman" w:hAnsi="Times New Roman" w:cs="Times New Roman"/>
          <w:color w:val="auto"/>
          <w:szCs w:val="24"/>
        </w:rPr>
        <w:fldChar w:fldCharType="end"/>
      </w:r>
      <w:r>
        <w:rPr>
          <w:rFonts w:ascii="Times New Roman" w:hAnsi="Times New Roman" w:cs="Times New Roman"/>
          <w:color w:val="auto"/>
          <w:szCs w:val="24"/>
          <w:lang w:eastAsia="zh-CN"/>
        </w:rPr>
        <w:t>级事故：是指后果特别重大，且发生后可能持续一段时间，事故控制及其对生产、社会产生的影响依靠项目公司自身救援力量不能控制，需要当园区有关部门或相关方协助救援的事故。</w:t>
      </w:r>
    </w:p>
    <w:p w14:paraId="38764815">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rPr>
        <w:fldChar w:fldCharType="begin"/>
      </w:r>
      <w:r>
        <w:rPr>
          <w:rFonts w:ascii="Times New Roman" w:hAnsi="Times New Roman" w:cs="Times New Roman"/>
          <w:color w:val="auto"/>
          <w:szCs w:val="24"/>
          <w:lang w:eastAsia="zh-CN"/>
        </w:rPr>
        <w:instrText xml:space="preserve"> = 2 \* ROMAN \* MERGEFORMAT </w:instrText>
      </w:r>
      <w:r>
        <w:rPr>
          <w:rFonts w:ascii="Times New Roman" w:hAnsi="Times New Roman" w:cs="Times New Roman"/>
          <w:color w:val="auto"/>
          <w:szCs w:val="24"/>
        </w:rPr>
        <w:fldChar w:fldCharType="separate"/>
      </w:r>
      <w:r>
        <w:rPr>
          <w:rFonts w:ascii="Times New Roman" w:hAnsi="Times New Roman" w:cs="Times New Roman"/>
          <w:color w:val="auto"/>
          <w:szCs w:val="24"/>
          <w:lang w:eastAsia="zh-CN"/>
        </w:rPr>
        <w:t>II</w:t>
      </w:r>
      <w:r>
        <w:rPr>
          <w:rFonts w:ascii="Times New Roman" w:hAnsi="Times New Roman" w:cs="Times New Roman"/>
          <w:color w:val="auto"/>
          <w:szCs w:val="24"/>
        </w:rPr>
        <w:fldChar w:fldCharType="end"/>
      </w:r>
      <w:r>
        <w:rPr>
          <w:rFonts w:ascii="Times New Roman" w:hAnsi="Times New Roman" w:cs="Times New Roman"/>
          <w:color w:val="auto"/>
          <w:szCs w:val="24"/>
          <w:lang w:eastAsia="zh-CN"/>
        </w:rPr>
        <w:t>级事故：是指后果重大，且发生后可能持续一段时间，事故控制及其对生产、社会产生的影响依靠车间自身救援力量不能控制，需要企业或相关方救援才能控制的事故。</w:t>
      </w:r>
    </w:p>
    <w:p w14:paraId="79854FF0">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rPr>
        <w:fldChar w:fldCharType="begin"/>
      </w:r>
      <w:r>
        <w:rPr>
          <w:rFonts w:ascii="Times New Roman" w:hAnsi="Times New Roman" w:cs="Times New Roman"/>
          <w:color w:val="auto"/>
          <w:szCs w:val="24"/>
          <w:lang w:eastAsia="zh-CN"/>
        </w:rPr>
        <w:instrText xml:space="preserve"> = 3 \* ROMAN \* MERGEFORMAT </w:instrText>
      </w:r>
      <w:r>
        <w:rPr>
          <w:rFonts w:ascii="Times New Roman" w:hAnsi="Times New Roman" w:cs="Times New Roman"/>
          <w:color w:val="auto"/>
          <w:szCs w:val="24"/>
        </w:rPr>
        <w:fldChar w:fldCharType="separate"/>
      </w:r>
      <w:r>
        <w:rPr>
          <w:rFonts w:ascii="Times New Roman" w:hAnsi="Times New Roman" w:cs="Times New Roman"/>
          <w:color w:val="auto"/>
          <w:szCs w:val="24"/>
          <w:lang w:eastAsia="zh-CN"/>
        </w:rPr>
        <w:t>III</w:t>
      </w:r>
      <w:r>
        <w:rPr>
          <w:rFonts w:ascii="Times New Roman" w:hAnsi="Times New Roman" w:cs="Times New Roman"/>
          <w:color w:val="auto"/>
          <w:szCs w:val="24"/>
        </w:rPr>
        <w:fldChar w:fldCharType="end"/>
      </w:r>
      <w:r>
        <w:rPr>
          <w:rFonts w:ascii="Times New Roman" w:hAnsi="Times New Roman" w:cs="Times New Roman"/>
          <w:color w:val="auto"/>
          <w:szCs w:val="24"/>
          <w:lang w:eastAsia="zh-CN"/>
        </w:rPr>
        <w:t>级事故：是指生产车间现场就能控制，不需要救援的事故。</w:t>
      </w:r>
    </w:p>
    <w:p w14:paraId="2FCEF844">
      <w:pPr>
        <w:spacing w:line="360" w:lineRule="auto"/>
        <w:ind w:left="48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5、</w:t>
      </w:r>
      <w:r>
        <w:rPr>
          <w:rFonts w:ascii="Times New Roman" w:hAnsi="Times New Roman" w:cs="Times New Roman"/>
          <w:color w:val="auto"/>
          <w:szCs w:val="24"/>
          <w:lang w:eastAsia="zh-CN"/>
        </w:rPr>
        <w:t>各级应急预案响应和联动程序</w:t>
      </w:r>
    </w:p>
    <w:p w14:paraId="32172218">
      <w:pPr>
        <w:spacing w:line="360" w:lineRule="auto"/>
        <w:ind w:firstLine="480" w:firstLineChars="200"/>
        <w:jc w:val="both"/>
        <w:rPr>
          <w:rFonts w:ascii="Times New Roman" w:hAnsi="Times New Roman" w:cs="Times New Roman"/>
          <w:color w:val="auto"/>
          <w:szCs w:val="24"/>
          <w:lang w:eastAsia="zh-CN"/>
        </w:rPr>
      </w:pPr>
      <w:r>
        <w:rPr>
          <w:rFonts w:ascii="宋体" w:hAnsi="宋体" w:cs="Cambria Math"/>
          <w:color w:val="auto"/>
          <w:szCs w:val="24"/>
          <w:lang w:eastAsia="zh-CN"/>
        </w:rPr>
        <w:t>①</w:t>
      </w:r>
      <w:r>
        <w:rPr>
          <w:rFonts w:ascii="Times New Roman" w:hAnsi="Times New Roman" w:cs="Times New Roman"/>
          <w:color w:val="auto"/>
          <w:szCs w:val="24"/>
          <w:lang w:eastAsia="zh-CN"/>
        </w:rPr>
        <w:t>发生Ⅲ级事故，启动车间级环境风险事件应急预案；</w:t>
      </w:r>
    </w:p>
    <w:p w14:paraId="3C83C0F2">
      <w:pPr>
        <w:spacing w:line="360" w:lineRule="auto"/>
        <w:ind w:firstLine="480" w:firstLineChars="200"/>
        <w:jc w:val="both"/>
        <w:rPr>
          <w:rFonts w:ascii="Times New Roman" w:hAnsi="Times New Roman" w:cs="Times New Roman"/>
          <w:color w:val="auto"/>
          <w:szCs w:val="24"/>
          <w:lang w:eastAsia="zh-CN"/>
        </w:rPr>
      </w:pPr>
      <w:r>
        <w:rPr>
          <w:rFonts w:ascii="宋体" w:hAnsi="宋体" w:cs="Cambria Math"/>
          <w:color w:val="auto"/>
          <w:szCs w:val="24"/>
          <w:lang w:eastAsia="zh-CN"/>
        </w:rPr>
        <w:t>②</w:t>
      </w:r>
      <w:r>
        <w:rPr>
          <w:rFonts w:ascii="Times New Roman" w:hAnsi="Times New Roman" w:cs="Times New Roman"/>
          <w:color w:val="auto"/>
          <w:szCs w:val="24"/>
          <w:lang w:eastAsia="zh-CN"/>
        </w:rPr>
        <w:t>发生Ⅱ级事故，启动车间级、厂区级两级环境风险事件应急预案，同时告知当地政府预警；</w:t>
      </w:r>
    </w:p>
    <w:p w14:paraId="258DCFAB">
      <w:pPr>
        <w:spacing w:line="360" w:lineRule="auto"/>
        <w:ind w:firstLine="480" w:firstLineChars="200"/>
        <w:jc w:val="both"/>
        <w:rPr>
          <w:rFonts w:ascii="Times New Roman" w:hAnsi="Times New Roman" w:cs="Times New Roman"/>
          <w:color w:val="auto"/>
          <w:szCs w:val="24"/>
          <w:lang w:eastAsia="zh-CN"/>
        </w:rPr>
      </w:pPr>
      <w:r>
        <w:rPr>
          <w:rFonts w:ascii="宋体" w:hAnsi="宋体" w:cs="Cambria Math"/>
          <w:color w:val="auto"/>
          <w:szCs w:val="24"/>
          <w:lang w:eastAsia="zh-CN"/>
        </w:rPr>
        <w:t>③</w:t>
      </w:r>
      <w:r>
        <w:rPr>
          <w:rFonts w:ascii="Times New Roman" w:hAnsi="Times New Roman" w:cs="Times New Roman"/>
          <w:color w:val="auto"/>
          <w:szCs w:val="24"/>
          <w:lang w:eastAsia="zh-CN"/>
        </w:rPr>
        <w:t>发生Ⅰ级事故，启动车间级、厂区级两级环境风险事件应急预案，同时告知园区管委会协调启动园区突发事件环境应急预案。</w:t>
      </w:r>
    </w:p>
    <w:p w14:paraId="4C649F19">
      <w:pPr>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color w:val="auto"/>
          <w:szCs w:val="24"/>
          <w:lang w:eastAsia="zh-CN"/>
        </w:rPr>
        <w:t>项目环境风险自查表见下表。</w:t>
      </w:r>
    </w:p>
    <w:p w14:paraId="4B3862F7">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表7.</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-10 项目环境风险评价自查表</w:t>
      </w:r>
    </w:p>
    <w:tbl>
      <w:tblPr>
        <w:tblStyle w:val="35"/>
        <w:tblW w:w="4995"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00"/>
        <w:gridCol w:w="687"/>
        <w:gridCol w:w="1222"/>
        <w:gridCol w:w="1219"/>
        <w:gridCol w:w="235"/>
        <w:gridCol w:w="94"/>
        <w:gridCol w:w="892"/>
        <w:gridCol w:w="428"/>
        <w:gridCol w:w="347"/>
        <w:gridCol w:w="447"/>
        <w:gridCol w:w="437"/>
        <w:gridCol w:w="678"/>
        <w:gridCol w:w="33"/>
        <w:gridCol w:w="37"/>
        <w:gridCol w:w="39"/>
        <w:gridCol w:w="1219"/>
        <w:gridCol w:w="1215"/>
      </w:tblGrid>
      <w:tr w14:paraId="2B03BE5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65" w:type="pct"/>
            <w:gridSpan w:val="2"/>
            <w:vAlign w:val="center"/>
          </w:tcPr>
          <w:p w14:paraId="3AF6C232">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工作内容</w:t>
            </w:r>
          </w:p>
        </w:tc>
        <w:tc>
          <w:tcPr>
            <w:tcW w:w="4435" w:type="pct"/>
            <w:gridSpan w:val="15"/>
            <w:vAlign w:val="center"/>
          </w:tcPr>
          <w:p w14:paraId="2784C198">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完成情况</w:t>
            </w:r>
          </w:p>
        </w:tc>
      </w:tr>
      <w:tr w14:paraId="3E61530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08" w:type="pct"/>
            <w:vMerge w:val="restart"/>
            <w:vAlign w:val="center"/>
          </w:tcPr>
          <w:p w14:paraId="49AA969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风险调查</w:t>
            </w:r>
          </w:p>
        </w:tc>
        <w:tc>
          <w:tcPr>
            <w:tcW w:w="357" w:type="pct"/>
            <w:vMerge w:val="restart"/>
            <w:vAlign w:val="center"/>
          </w:tcPr>
          <w:p w14:paraId="3060813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危险物质</w:t>
            </w:r>
          </w:p>
        </w:tc>
        <w:tc>
          <w:tcPr>
            <w:tcW w:w="635" w:type="pct"/>
            <w:vAlign w:val="center"/>
          </w:tcPr>
          <w:p w14:paraId="0149EAB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名称</w:t>
            </w:r>
          </w:p>
        </w:tc>
        <w:tc>
          <w:tcPr>
            <w:tcW w:w="633" w:type="pct"/>
            <w:vAlign w:val="center"/>
          </w:tcPr>
          <w:p w14:paraId="380A44A9">
            <w:pPr>
              <w:adjustRightInd w:val="0"/>
              <w:snapToGrid w:val="0"/>
              <w:jc w:val="center"/>
              <w:rPr>
                <w:rFonts w:ascii="Times New Roman" w:hAnsi="Times New Roman" w:cs="Times New Roman"/>
                <w:color w:val="auto"/>
                <w:sz w:val="21"/>
              </w:rPr>
            </w:pPr>
            <w:r>
              <w:rPr>
                <w:rFonts w:ascii="Times New Roman" w:hAnsi="Times New Roman" w:cs="Times New Roman"/>
                <w:color w:val="auto"/>
                <w:spacing w:val="-2"/>
                <w:sz w:val="21"/>
                <w:lang w:eastAsia="zh-CN"/>
              </w:rPr>
              <w:t>无水氟化氢</w:t>
            </w:r>
          </w:p>
        </w:tc>
        <w:tc>
          <w:tcPr>
            <w:tcW w:w="633" w:type="pct"/>
            <w:gridSpan w:val="3"/>
            <w:vAlign w:val="center"/>
          </w:tcPr>
          <w:p w14:paraId="031F628D">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pacing w:val="-2"/>
                <w:sz w:val="21"/>
                <w:lang w:eastAsia="zh-CN"/>
              </w:rPr>
              <w:t>15%氟化氢水溶液</w:t>
            </w:r>
          </w:p>
        </w:tc>
        <w:tc>
          <w:tcPr>
            <w:tcW w:w="634" w:type="pct"/>
            <w:gridSpan w:val="3"/>
            <w:vAlign w:val="center"/>
          </w:tcPr>
          <w:p w14:paraId="3B26A852">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pacing w:val="-2"/>
                <w:sz w:val="21"/>
                <w:lang w:eastAsia="zh-CN"/>
              </w:rPr>
              <w:t>31%盐酸</w:t>
            </w:r>
          </w:p>
        </w:tc>
        <w:tc>
          <w:tcPr>
            <w:tcW w:w="635" w:type="pct"/>
            <w:gridSpan w:val="5"/>
            <w:vAlign w:val="center"/>
          </w:tcPr>
          <w:p w14:paraId="04E828AA">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pacing w:val="-2"/>
                <w:sz w:val="21"/>
                <w:lang w:eastAsia="zh-CN"/>
              </w:rPr>
              <w:t>化学纯氢氟酸</w:t>
            </w:r>
          </w:p>
        </w:tc>
        <w:tc>
          <w:tcPr>
            <w:tcW w:w="633" w:type="pct"/>
            <w:vAlign w:val="center"/>
          </w:tcPr>
          <w:p w14:paraId="2A1264B1">
            <w:pPr>
              <w:adjustRightInd w:val="0"/>
              <w:snapToGrid w:val="0"/>
              <w:jc w:val="center"/>
              <w:rPr>
                <w:rFonts w:ascii="Times New Roman" w:hAnsi="Times New Roman" w:cs="Times New Roman"/>
                <w:color w:val="auto"/>
                <w:sz w:val="21"/>
              </w:rPr>
            </w:pPr>
            <w:r>
              <w:rPr>
                <w:rFonts w:hint="eastAsia" w:ascii="Times New Roman"/>
                <w:color w:val="auto"/>
                <w:sz w:val="21"/>
                <w:lang w:eastAsia="zh-CN"/>
              </w:rPr>
              <w:t>刻蚀液</w:t>
            </w:r>
          </w:p>
        </w:tc>
        <w:tc>
          <w:tcPr>
            <w:tcW w:w="632" w:type="pct"/>
            <w:vAlign w:val="center"/>
          </w:tcPr>
          <w:p w14:paraId="08A50945">
            <w:pPr>
              <w:adjustRightInd w:val="0"/>
              <w:snapToGrid w:val="0"/>
              <w:jc w:val="center"/>
              <w:rPr>
                <w:rFonts w:ascii="Times New Roman" w:hAnsi="Times New Roman" w:cs="Times New Roman"/>
                <w:color w:val="auto"/>
                <w:sz w:val="21"/>
                <w:lang w:eastAsia="zh-CN"/>
              </w:rPr>
            </w:pPr>
            <w:r>
              <w:rPr>
                <w:rFonts w:hint="eastAsia" w:ascii="Times New Roman"/>
                <w:color w:val="auto"/>
                <w:sz w:val="21"/>
                <w:lang w:eastAsia="zh-CN"/>
              </w:rPr>
              <w:t>电子级氢氟酸</w:t>
            </w:r>
          </w:p>
        </w:tc>
      </w:tr>
      <w:tr w14:paraId="12A61D2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08" w:type="pct"/>
            <w:vMerge w:val="continue"/>
            <w:vAlign w:val="center"/>
          </w:tcPr>
          <w:p w14:paraId="36BB0328">
            <w:pPr>
              <w:adjustRightInd w:val="0"/>
              <w:snapToGrid w:val="0"/>
              <w:jc w:val="center"/>
              <w:rPr>
                <w:rFonts w:ascii="Times New Roman" w:hAnsi="Times New Roman" w:cs="Times New Roman"/>
                <w:color w:val="auto"/>
                <w:sz w:val="21"/>
              </w:rPr>
            </w:pPr>
          </w:p>
        </w:tc>
        <w:tc>
          <w:tcPr>
            <w:tcW w:w="357" w:type="pct"/>
            <w:vMerge w:val="continue"/>
            <w:vAlign w:val="center"/>
          </w:tcPr>
          <w:p w14:paraId="3F74DBF7">
            <w:pPr>
              <w:adjustRightInd w:val="0"/>
              <w:snapToGrid w:val="0"/>
              <w:jc w:val="center"/>
              <w:rPr>
                <w:rFonts w:ascii="Times New Roman" w:hAnsi="Times New Roman" w:cs="Times New Roman"/>
                <w:color w:val="auto"/>
                <w:sz w:val="21"/>
              </w:rPr>
            </w:pPr>
          </w:p>
        </w:tc>
        <w:tc>
          <w:tcPr>
            <w:tcW w:w="635" w:type="pct"/>
            <w:vAlign w:val="center"/>
          </w:tcPr>
          <w:p w14:paraId="012762A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存在总量/t</w:t>
            </w:r>
          </w:p>
        </w:tc>
        <w:tc>
          <w:tcPr>
            <w:tcW w:w="633" w:type="pct"/>
            <w:vAlign w:val="center"/>
          </w:tcPr>
          <w:p w14:paraId="1D7E0671">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374.3</w:t>
            </w:r>
          </w:p>
        </w:tc>
        <w:tc>
          <w:tcPr>
            <w:tcW w:w="634" w:type="pct"/>
            <w:gridSpan w:val="3"/>
            <w:vAlign w:val="center"/>
          </w:tcPr>
          <w:p w14:paraId="1DCA07F6">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3344</w:t>
            </w:r>
          </w:p>
        </w:tc>
        <w:tc>
          <w:tcPr>
            <w:tcW w:w="633" w:type="pct"/>
            <w:gridSpan w:val="3"/>
            <w:vAlign w:val="center"/>
          </w:tcPr>
          <w:p w14:paraId="7703C9CB">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401.2</w:t>
            </w:r>
          </w:p>
        </w:tc>
        <w:tc>
          <w:tcPr>
            <w:tcW w:w="634" w:type="pct"/>
            <w:gridSpan w:val="5"/>
            <w:vAlign w:val="center"/>
          </w:tcPr>
          <w:p w14:paraId="0FBCA660">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3483.4</w:t>
            </w:r>
          </w:p>
        </w:tc>
        <w:tc>
          <w:tcPr>
            <w:tcW w:w="633" w:type="pct"/>
            <w:vAlign w:val="center"/>
          </w:tcPr>
          <w:p w14:paraId="0444C55F">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5496.7</w:t>
            </w:r>
          </w:p>
        </w:tc>
        <w:tc>
          <w:tcPr>
            <w:tcW w:w="634" w:type="pct"/>
            <w:vAlign w:val="center"/>
          </w:tcPr>
          <w:p w14:paraId="532D79CA">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327</w:t>
            </w:r>
          </w:p>
        </w:tc>
      </w:tr>
      <w:tr w14:paraId="12BBA43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08" w:type="pct"/>
            <w:vMerge w:val="continue"/>
            <w:vAlign w:val="center"/>
          </w:tcPr>
          <w:p w14:paraId="09B8B0FE">
            <w:pPr>
              <w:adjustRightInd w:val="0"/>
              <w:snapToGrid w:val="0"/>
              <w:jc w:val="center"/>
              <w:rPr>
                <w:rFonts w:ascii="Times New Roman" w:hAnsi="Times New Roman" w:cs="Times New Roman"/>
                <w:color w:val="auto"/>
                <w:sz w:val="21"/>
              </w:rPr>
            </w:pPr>
          </w:p>
        </w:tc>
        <w:tc>
          <w:tcPr>
            <w:tcW w:w="357" w:type="pct"/>
            <w:vMerge w:val="restart"/>
            <w:vAlign w:val="center"/>
          </w:tcPr>
          <w:p w14:paraId="0D6ABB9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环境敏感性</w:t>
            </w:r>
          </w:p>
        </w:tc>
        <w:tc>
          <w:tcPr>
            <w:tcW w:w="635" w:type="pct"/>
            <w:vAlign w:val="center"/>
          </w:tcPr>
          <w:p w14:paraId="52AC70D8">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大气</w:t>
            </w:r>
          </w:p>
        </w:tc>
        <w:tc>
          <w:tcPr>
            <w:tcW w:w="1489" w:type="pct"/>
            <w:gridSpan w:val="5"/>
            <w:vAlign w:val="center"/>
          </w:tcPr>
          <w:p w14:paraId="3C71DD2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500m范围内人口数</w:t>
            </w:r>
            <w:r>
              <w:rPr>
                <w:rFonts w:ascii="Times New Roman" w:hAnsi="Times New Roman" w:cs="Times New Roman"/>
                <w:color w:val="auto"/>
                <w:sz w:val="21"/>
                <w:u w:val="single"/>
              </w:rPr>
              <w:t xml:space="preserve"> </w:t>
            </w:r>
            <w:r>
              <w:rPr>
                <w:rFonts w:hint="eastAsia" w:ascii="Times New Roman" w:hAnsi="Times New Roman" w:cs="Times New Roman"/>
                <w:color w:val="auto"/>
                <w:sz w:val="21"/>
                <w:u w:val="single"/>
                <w:lang w:eastAsia="zh-CN"/>
              </w:rPr>
              <w:t>850</w:t>
            </w:r>
            <w:r>
              <w:rPr>
                <w:rFonts w:ascii="Times New Roman" w:hAnsi="Times New Roman" w:cs="Times New Roman"/>
                <w:color w:val="auto"/>
                <w:sz w:val="21"/>
                <w:u w:val="single"/>
              </w:rPr>
              <w:t xml:space="preserve"> </w:t>
            </w:r>
            <w:r>
              <w:rPr>
                <w:rFonts w:ascii="Times New Roman" w:hAnsi="Times New Roman" w:cs="Times New Roman"/>
                <w:color w:val="auto"/>
                <w:sz w:val="21"/>
              </w:rPr>
              <w:t>人</w:t>
            </w:r>
          </w:p>
        </w:tc>
        <w:tc>
          <w:tcPr>
            <w:tcW w:w="2311" w:type="pct"/>
            <w:gridSpan w:val="9"/>
            <w:vAlign w:val="center"/>
          </w:tcPr>
          <w:p w14:paraId="773DA3A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5km范围内人口数</w:t>
            </w:r>
            <w:r>
              <w:rPr>
                <w:rFonts w:ascii="Times New Roman" w:hAnsi="Times New Roman" w:cs="Times New Roman"/>
                <w:color w:val="auto"/>
                <w:sz w:val="21"/>
                <w:u w:val="single"/>
              </w:rPr>
              <w:t xml:space="preserve"> </w:t>
            </w:r>
            <w:r>
              <w:rPr>
                <w:rFonts w:hint="eastAsia" w:ascii="Times New Roman" w:hAnsi="Times New Roman" w:cs="Times New Roman"/>
                <w:color w:val="auto"/>
                <w:sz w:val="21"/>
                <w:u w:val="single"/>
                <w:lang w:eastAsia="zh-CN"/>
              </w:rPr>
              <w:t>10140</w:t>
            </w:r>
            <w:r>
              <w:rPr>
                <w:rFonts w:ascii="Times New Roman" w:hAnsi="Times New Roman" w:cs="Times New Roman"/>
                <w:color w:val="auto"/>
                <w:sz w:val="21"/>
                <w:u w:val="single"/>
              </w:rPr>
              <w:t xml:space="preserve"> </w:t>
            </w:r>
            <w:r>
              <w:rPr>
                <w:rFonts w:ascii="Times New Roman" w:hAnsi="Times New Roman" w:cs="Times New Roman"/>
                <w:color w:val="auto"/>
                <w:sz w:val="21"/>
              </w:rPr>
              <w:t>人</w:t>
            </w:r>
          </w:p>
        </w:tc>
      </w:tr>
      <w:tr w14:paraId="5DE3C25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08" w:type="pct"/>
            <w:vMerge w:val="continue"/>
            <w:vAlign w:val="center"/>
          </w:tcPr>
          <w:p w14:paraId="4396CEEE">
            <w:pPr>
              <w:adjustRightInd w:val="0"/>
              <w:snapToGrid w:val="0"/>
              <w:jc w:val="center"/>
              <w:rPr>
                <w:rFonts w:ascii="Times New Roman" w:hAnsi="Times New Roman" w:cs="Times New Roman"/>
                <w:color w:val="auto"/>
                <w:sz w:val="21"/>
              </w:rPr>
            </w:pPr>
          </w:p>
        </w:tc>
        <w:tc>
          <w:tcPr>
            <w:tcW w:w="357" w:type="pct"/>
            <w:vMerge w:val="continue"/>
            <w:vAlign w:val="center"/>
          </w:tcPr>
          <w:p w14:paraId="0B8D6638">
            <w:pPr>
              <w:adjustRightInd w:val="0"/>
              <w:snapToGrid w:val="0"/>
              <w:jc w:val="center"/>
              <w:rPr>
                <w:rFonts w:ascii="Times New Roman" w:hAnsi="Times New Roman" w:cs="Times New Roman"/>
                <w:color w:val="auto"/>
                <w:sz w:val="21"/>
              </w:rPr>
            </w:pPr>
          </w:p>
        </w:tc>
        <w:tc>
          <w:tcPr>
            <w:tcW w:w="635" w:type="pct"/>
            <w:vMerge w:val="restart"/>
            <w:vAlign w:val="center"/>
          </w:tcPr>
          <w:p w14:paraId="4A97191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地表水</w:t>
            </w:r>
          </w:p>
        </w:tc>
        <w:tc>
          <w:tcPr>
            <w:tcW w:w="755" w:type="pct"/>
            <w:gridSpan w:val="2"/>
            <w:vAlign w:val="center"/>
          </w:tcPr>
          <w:p w14:paraId="21AA10F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地表水功能敏感性</w:t>
            </w:r>
          </w:p>
        </w:tc>
        <w:tc>
          <w:tcPr>
            <w:tcW w:w="734" w:type="pct"/>
            <w:gridSpan w:val="3"/>
            <w:vAlign w:val="center"/>
          </w:tcPr>
          <w:p w14:paraId="1458F75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F1□</w:t>
            </w:r>
          </w:p>
        </w:tc>
        <w:tc>
          <w:tcPr>
            <w:tcW w:w="1008" w:type="pct"/>
            <w:gridSpan w:val="5"/>
            <w:vAlign w:val="center"/>
          </w:tcPr>
          <w:p w14:paraId="3415C63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F2</w:t>
            </w:r>
            <w:r>
              <w:rPr>
                <w:rFonts w:ascii="Segoe UI Symbol" w:hAnsi="Segoe UI Symbol" w:cs="Segoe UI Symbol"/>
                <w:color w:val="auto"/>
                <w:sz w:val="21"/>
                <w:lang w:eastAsia="zh-CN"/>
              </w:rPr>
              <w:t>☑</w:t>
            </w:r>
          </w:p>
        </w:tc>
        <w:tc>
          <w:tcPr>
            <w:tcW w:w="1302" w:type="pct"/>
            <w:gridSpan w:val="4"/>
            <w:vAlign w:val="center"/>
          </w:tcPr>
          <w:p w14:paraId="4262A86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F3□</w:t>
            </w:r>
          </w:p>
        </w:tc>
      </w:tr>
      <w:tr w14:paraId="201EDB9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08" w:type="pct"/>
            <w:vMerge w:val="continue"/>
            <w:vAlign w:val="center"/>
          </w:tcPr>
          <w:p w14:paraId="05A2BF80">
            <w:pPr>
              <w:adjustRightInd w:val="0"/>
              <w:snapToGrid w:val="0"/>
              <w:jc w:val="center"/>
              <w:rPr>
                <w:rFonts w:ascii="Times New Roman" w:hAnsi="Times New Roman" w:cs="Times New Roman"/>
                <w:color w:val="auto"/>
                <w:sz w:val="21"/>
              </w:rPr>
            </w:pPr>
          </w:p>
        </w:tc>
        <w:tc>
          <w:tcPr>
            <w:tcW w:w="357" w:type="pct"/>
            <w:vMerge w:val="continue"/>
            <w:vAlign w:val="center"/>
          </w:tcPr>
          <w:p w14:paraId="4F9940B4">
            <w:pPr>
              <w:adjustRightInd w:val="0"/>
              <w:snapToGrid w:val="0"/>
              <w:jc w:val="center"/>
              <w:rPr>
                <w:rFonts w:ascii="Times New Roman" w:hAnsi="Times New Roman" w:cs="Times New Roman"/>
                <w:color w:val="auto"/>
                <w:sz w:val="21"/>
              </w:rPr>
            </w:pPr>
          </w:p>
        </w:tc>
        <w:tc>
          <w:tcPr>
            <w:tcW w:w="635" w:type="pct"/>
            <w:vMerge w:val="continue"/>
            <w:vAlign w:val="center"/>
          </w:tcPr>
          <w:p w14:paraId="455423DD">
            <w:pPr>
              <w:adjustRightInd w:val="0"/>
              <w:snapToGrid w:val="0"/>
              <w:jc w:val="center"/>
              <w:rPr>
                <w:rFonts w:ascii="Times New Roman" w:hAnsi="Times New Roman" w:cs="Times New Roman"/>
                <w:color w:val="auto"/>
                <w:sz w:val="21"/>
              </w:rPr>
            </w:pPr>
          </w:p>
        </w:tc>
        <w:tc>
          <w:tcPr>
            <w:tcW w:w="755" w:type="pct"/>
            <w:gridSpan w:val="2"/>
            <w:vAlign w:val="center"/>
          </w:tcPr>
          <w:p w14:paraId="47F0B36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环境敏感目标分级</w:t>
            </w:r>
          </w:p>
        </w:tc>
        <w:tc>
          <w:tcPr>
            <w:tcW w:w="734" w:type="pct"/>
            <w:gridSpan w:val="3"/>
            <w:vAlign w:val="center"/>
          </w:tcPr>
          <w:p w14:paraId="781F08E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S1</w:t>
            </w:r>
            <w:r>
              <w:rPr>
                <w:rFonts w:ascii="Segoe UI Symbol" w:hAnsi="Segoe UI Symbol" w:cs="Segoe UI Symbol"/>
                <w:color w:val="auto"/>
                <w:sz w:val="21"/>
                <w:lang w:eastAsia="zh-CN"/>
              </w:rPr>
              <w:t>☑</w:t>
            </w:r>
          </w:p>
        </w:tc>
        <w:tc>
          <w:tcPr>
            <w:tcW w:w="1008" w:type="pct"/>
            <w:gridSpan w:val="5"/>
            <w:vAlign w:val="center"/>
          </w:tcPr>
          <w:p w14:paraId="59A640C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S2□</w:t>
            </w:r>
          </w:p>
        </w:tc>
        <w:tc>
          <w:tcPr>
            <w:tcW w:w="1302" w:type="pct"/>
            <w:gridSpan w:val="4"/>
            <w:vAlign w:val="center"/>
          </w:tcPr>
          <w:p w14:paraId="5A0F82E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S3□</w:t>
            </w:r>
          </w:p>
        </w:tc>
      </w:tr>
      <w:tr w14:paraId="3878701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08" w:type="pct"/>
            <w:vMerge w:val="continue"/>
            <w:vAlign w:val="center"/>
          </w:tcPr>
          <w:p w14:paraId="5ADB4F14">
            <w:pPr>
              <w:adjustRightInd w:val="0"/>
              <w:snapToGrid w:val="0"/>
              <w:jc w:val="center"/>
              <w:rPr>
                <w:rFonts w:ascii="Times New Roman" w:hAnsi="Times New Roman" w:cs="Times New Roman"/>
                <w:color w:val="auto"/>
                <w:sz w:val="21"/>
              </w:rPr>
            </w:pPr>
          </w:p>
        </w:tc>
        <w:tc>
          <w:tcPr>
            <w:tcW w:w="357" w:type="pct"/>
            <w:vMerge w:val="continue"/>
            <w:vAlign w:val="center"/>
          </w:tcPr>
          <w:p w14:paraId="2A758B95">
            <w:pPr>
              <w:adjustRightInd w:val="0"/>
              <w:snapToGrid w:val="0"/>
              <w:jc w:val="center"/>
              <w:rPr>
                <w:rFonts w:ascii="Times New Roman" w:hAnsi="Times New Roman" w:cs="Times New Roman"/>
                <w:color w:val="auto"/>
                <w:sz w:val="21"/>
              </w:rPr>
            </w:pPr>
          </w:p>
        </w:tc>
        <w:tc>
          <w:tcPr>
            <w:tcW w:w="635" w:type="pct"/>
            <w:vMerge w:val="restart"/>
            <w:vAlign w:val="center"/>
          </w:tcPr>
          <w:p w14:paraId="7A789A6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地下水</w:t>
            </w:r>
          </w:p>
        </w:tc>
        <w:tc>
          <w:tcPr>
            <w:tcW w:w="755" w:type="pct"/>
            <w:gridSpan w:val="2"/>
            <w:vAlign w:val="center"/>
          </w:tcPr>
          <w:p w14:paraId="7FC797D6">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地下水功能敏感性</w:t>
            </w:r>
          </w:p>
        </w:tc>
        <w:tc>
          <w:tcPr>
            <w:tcW w:w="734" w:type="pct"/>
            <w:gridSpan w:val="3"/>
            <w:vAlign w:val="center"/>
          </w:tcPr>
          <w:p w14:paraId="2718DED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G1□</w:t>
            </w:r>
          </w:p>
        </w:tc>
        <w:tc>
          <w:tcPr>
            <w:tcW w:w="1008" w:type="pct"/>
            <w:gridSpan w:val="5"/>
            <w:vAlign w:val="center"/>
          </w:tcPr>
          <w:p w14:paraId="002A69F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G2□</w:t>
            </w:r>
          </w:p>
        </w:tc>
        <w:tc>
          <w:tcPr>
            <w:tcW w:w="1302" w:type="pct"/>
            <w:gridSpan w:val="4"/>
            <w:vAlign w:val="center"/>
          </w:tcPr>
          <w:p w14:paraId="76305D4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G3</w:t>
            </w:r>
            <w:r>
              <w:rPr>
                <w:rFonts w:ascii="Segoe UI Symbol" w:hAnsi="Segoe UI Symbol" w:cs="Segoe UI Symbol"/>
                <w:color w:val="auto"/>
                <w:sz w:val="21"/>
                <w:lang w:eastAsia="zh-CN"/>
              </w:rPr>
              <w:t>☑</w:t>
            </w:r>
          </w:p>
        </w:tc>
      </w:tr>
      <w:tr w14:paraId="286DE7D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08" w:type="pct"/>
            <w:vMerge w:val="continue"/>
            <w:vAlign w:val="center"/>
          </w:tcPr>
          <w:p w14:paraId="7F71538F">
            <w:pPr>
              <w:adjustRightInd w:val="0"/>
              <w:snapToGrid w:val="0"/>
              <w:jc w:val="center"/>
              <w:rPr>
                <w:rFonts w:ascii="Times New Roman" w:hAnsi="Times New Roman" w:cs="Times New Roman"/>
                <w:color w:val="auto"/>
                <w:sz w:val="21"/>
              </w:rPr>
            </w:pPr>
          </w:p>
        </w:tc>
        <w:tc>
          <w:tcPr>
            <w:tcW w:w="357" w:type="pct"/>
            <w:vMerge w:val="continue"/>
            <w:vAlign w:val="center"/>
          </w:tcPr>
          <w:p w14:paraId="399F850B">
            <w:pPr>
              <w:adjustRightInd w:val="0"/>
              <w:snapToGrid w:val="0"/>
              <w:jc w:val="center"/>
              <w:rPr>
                <w:rFonts w:ascii="Times New Roman" w:hAnsi="Times New Roman" w:cs="Times New Roman"/>
                <w:color w:val="auto"/>
                <w:sz w:val="21"/>
              </w:rPr>
            </w:pPr>
          </w:p>
        </w:tc>
        <w:tc>
          <w:tcPr>
            <w:tcW w:w="635" w:type="pct"/>
            <w:vMerge w:val="continue"/>
            <w:vAlign w:val="center"/>
          </w:tcPr>
          <w:p w14:paraId="37BFC6A5">
            <w:pPr>
              <w:adjustRightInd w:val="0"/>
              <w:snapToGrid w:val="0"/>
              <w:jc w:val="center"/>
              <w:rPr>
                <w:rFonts w:ascii="Times New Roman" w:hAnsi="Times New Roman" w:cs="Times New Roman"/>
                <w:color w:val="auto"/>
                <w:sz w:val="21"/>
              </w:rPr>
            </w:pPr>
          </w:p>
        </w:tc>
        <w:tc>
          <w:tcPr>
            <w:tcW w:w="755" w:type="pct"/>
            <w:gridSpan w:val="2"/>
            <w:vAlign w:val="center"/>
          </w:tcPr>
          <w:p w14:paraId="5334850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包气带防污性能</w:t>
            </w:r>
          </w:p>
        </w:tc>
        <w:tc>
          <w:tcPr>
            <w:tcW w:w="734" w:type="pct"/>
            <w:gridSpan w:val="3"/>
            <w:vAlign w:val="center"/>
          </w:tcPr>
          <w:p w14:paraId="20DF41C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D1□</w:t>
            </w:r>
          </w:p>
        </w:tc>
        <w:tc>
          <w:tcPr>
            <w:tcW w:w="1008" w:type="pct"/>
            <w:gridSpan w:val="5"/>
            <w:vAlign w:val="center"/>
          </w:tcPr>
          <w:p w14:paraId="2FEAE43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D2</w:t>
            </w:r>
            <w:r>
              <w:rPr>
                <w:rFonts w:ascii="Segoe UI Symbol" w:hAnsi="Segoe UI Symbol" w:cs="Segoe UI Symbol"/>
                <w:color w:val="auto"/>
                <w:sz w:val="21"/>
                <w:lang w:eastAsia="zh-CN"/>
              </w:rPr>
              <w:t>☑</w:t>
            </w:r>
          </w:p>
        </w:tc>
        <w:tc>
          <w:tcPr>
            <w:tcW w:w="1302" w:type="pct"/>
            <w:gridSpan w:val="4"/>
            <w:vAlign w:val="center"/>
          </w:tcPr>
          <w:p w14:paraId="61417D3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D3□</w:t>
            </w:r>
          </w:p>
        </w:tc>
      </w:tr>
      <w:tr w14:paraId="2D3065E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65" w:type="pct"/>
            <w:gridSpan w:val="2"/>
            <w:vMerge w:val="restart"/>
            <w:vAlign w:val="center"/>
          </w:tcPr>
          <w:p w14:paraId="1B643824">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物质及工艺系统危险性</w:t>
            </w:r>
          </w:p>
        </w:tc>
        <w:tc>
          <w:tcPr>
            <w:tcW w:w="635" w:type="pct"/>
            <w:vAlign w:val="center"/>
          </w:tcPr>
          <w:p w14:paraId="6ECA7B6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Q值</w:t>
            </w:r>
          </w:p>
        </w:tc>
        <w:tc>
          <w:tcPr>
            <w:tcW w:w="755" w:type="pct"/>
            <w:gridSpan w:val="2"/>
            <w:vAlign w:val="center"/>
          </w:tcPr>
          <w:p w14:paraId="68ED9681">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Q＜1□</w:t>
            </w:r>
          </w:p>
        </w:tc>
        <w:tc>
          <w:tcPr>
            <w:tcW w:w="734" w:type="pct"/>
            <w:gridSpan w:val="3"/>
            <w:vAlign w:val="center"/>
          </w:tcPr>
          <w:p w14:paraId="7DB3BC9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1≤Q＜10</w:t>
            </w:r>
            <w:r>
              <w:rPr>
                <w:rFonts w:ascii="Times New Roman" w:hAnsi="Times New Roman" w:cs="Times New Roman"/>
                <w:color w:val="auto"/>
                <w:sz w:val="21"/>
                <w:lang w:eastAsia="zh-CN"/>
              </w:rPr>
              <w:t>□</w:t>
            </w:r>
          </w:p>
        </w:tc>
        <w:tc>
          <w:tcPr>
            <w:tcW w:w="1008" w:type="pct"/>
            <w:gridSpan w:val="5"/>
            <w:vAlign w:val="center"/>
          </w:tcPr>
          <w:p w14:paraId="7356ABA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rPr>
              <w:t>10≤Q＜100</w:t>
            </w:r>
            <w:r>
              <w:rPr>
                <w:rFonts w:hint="eastAsia" w:ascii="Segoe UI Symbol" w:hAnsi="Segoe UI Symbol" w:cs="Segoe UI Symbol"/>
                <w:color w:val="auto"/>
                <w:sz w:val="21"/>
                <w:lang w:eastAsia="zh-CN"/>
              </w:rPr>
              <w:t>□</w:t>
            </w:r>
          </w:p>
        </w:tc>
        <w:tc>
          <w:tcPr>
            <w:tcW w:w="1302" w:type="pct"/>
            <w:gridSpan w:val="4"/>
            <w:vAlign w:val="center"/>
          </w:tcPr>
          <w:p w14:paraId="5F03BB2C">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rPr>
              <w:t>Q≥100</w:t>
            </w:r>
            <w:r>
              <w:rPr>
                <w:rFonts w:ascii="Segoe UI Symbol" w:hAnsi="Segoe UI Symbol" w:cs="Segoe UI Symbol"/>
                <w:color w:val="auto"/>
                <w:sz w:val="21"/>
                <w:lang w:eastAsia="zh-CN"/>
              </w:rPr>
              <w:t>☑</w:t>
            </w:r>
          </w:p>
        </w:tc>
      </w:tr>
      <w:tr w14:paraId="21732A7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65" w:type="pct"/>
            <w:gridSpan w:val="2"/>
            <w:vMerge w:val="continue"/>
            <w:vAlign w:val="center"/>
          </w:tcPr>
          <w:p w14:paraId="34C2C788">
            <w:pPr>
              <w:adjustRightInd w:val="0"/>
              <w:snapToGrid w:val="0"/>
              <w:jc w:val="center"/>
              <w:rPr>
                <w:rFonts w:ascii="Times New Roman" w:hAnsi="Times New Roman" w:cs="Times New Roman"/>
                <w:color w:val="auto"/>
                <w:sz w:val="21"/>
              </w:rPr>
            </w:pPr>
          </w:p>
        </w:tc>
        <w:tc>
          <w:tcPr>
            <w:tcW w:w="635" w:type="pct"/>
            <w:vAlign w:val="center"/>
          </w:tcPr>
          <w:p w14:paraId="2F6D7A1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M值</w:t>
            </w:r>
          </w:p>
        </w:tc>
        <w:tc>
          <w:tcPr>
            <w:tcW w:w="755" w:type="pct"/>
            <w:gridSpan w:val="2"/>
            <w:vAlign w:val="center"/>
          </w:tcPr>
          <w:p w14:paraId="15F2458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M1</w:t>
            </w:r>
            <w:r>
              <w:rPr>
                <w:rFonts w:hint="eastAsia" w:ascii="Segoe UI Symbol" w:hAnsi="Segoe UI Symbol" w:cs="Segoe UI Symbol"/>
                <w:color w:val="auto"/>
                <w:sz w:val="21"/>
                <w:lang w:eastAsia="zh-CN"/>
              </w:rPr>
              <w:t>□</w:t>
            </w:r>
          </w:p>
        </w:tc>
        <w:tc>
          <w:tcPr>
            <w:tcW w:w="734" w:type="pct"/>
            <w:gridSpan w:val="3"/>
            <w:vAlign w:val="center"/>
          </w:tcPr>
          <w:p w14:paraId="0A61750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M2</w:t>
            </w:r>
            <w:r>
              <w:rPr>
                <w:rFonts w:ascii="Segoe UI Symbol" w:hAnsi="Segoe UI Symbol" w:cs="Segoe UI Symbol"/>
                <w:color w:val="auto"/>
                <w:sz w:val="21"/>
                <w:lang w:eastAsia="zh-CN"/>
              </w:rPr>
              <w:t>☑</w:t>
            </w:r>
          </w:p>
        </w:tc>
        <w:tc>
          <w:tcPr>
            <w:tcW w:w="1008" w:type="pct"/>
            <w:gridSpan w:val="5"/>
            <w:vAlign w:val="center"/>
          </w:tcPr>
          <w:p w14:paraId="57D451F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M3</w:t>
            </w:r>
            <w:r>
              <w:rPr>
                <w:rFonts w:hint="eastAsia" w:ascii="Segoe UI Symbol" w:hAnsi="Segoe UI Symbol" w:cs="Segoe UI Symbol"/>
                <w:color w:val="auto"/>
                <w:sz w:val="21"/>
                <w:lang w:eastAsia="zh-CN"/>
              </w:rPr>
              <w:t>□</w:t>
            </w:r>
          </w:p>
        </w:tc>
        <w:tc>
          <w:tcPr>
            <w:tcW w:w="1302" w:type="pct"/>
            <w:gridSpan w:val="4"/>
            <w:vAlign w:val="center"/>
          </w:tcPr>
          <w:p w14:paraId="0759F75C">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rPr>
              <w:t>M4</w:t>
            </w:r>
            <w:r>
              <w:rPr>
                <w:rFonts w:ascii="Times New Roman" w:hAnsi="Times New Roman" w:cs="Times New Roman"/>
                <w:color w:val="auto"/>
                <w:sz w:val="21"/>
                <w:lang w:eastAsia="zh-CN"/>
              </w:rPr>
              <w:t>□</w:t>
            </w:r>
          </w:p>
        </w:tc>
      </w:tr>
      <w:tr w14:paraId="73ADD40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65" w:type="pct"/>
            <w:gridSpan w:val="2"/>
            <w:vMerge w:val="continue"/>
            <w:vAlign w:val="center"/>
          </w:tcPr>
          <w:p w14:paraId="5A31BB60">
            <w:pPr>
              <w:adjustRightInd w:val="0"/>
              <w:snapToGrid w:val="0"/>
              <w:jc w:val="center"/>
              <w:rPr>
                <w:rFonts w:ascii="Times New Roman" w:hAnsi="Times New Roman" w:cs="Times New Roman"/>
                <w:color w:val="auto"/>
                <w:sz w:val="21"/>
              </w:rPr>
            </w:pPr>
          </w:p>
        </w:tc>
        <w:tc>
          <w:tcPr>
            <w:tcW w:w="635" w:type="pct"/>
            <w:vAlign w:val="center"/>
          </w:tcPr>
          <w:p w14:paraId="40EE3408">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P值</w:t>
            </w:r>
          </w:p>
        </w:tc>
        <w:tc>
          <w:tcPr>
            <w:tcW w:w="755" w:type="pct"/>
            <w:gridSpan w:val="2"/>
            <w:vAlign w:val="center"/>
          </w:tcPr>
          <w:p w14:paraId="0D4EEECD">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rPr>
              <w:t>P1</w:t>
            </w:r>
            <w:r>
              <w:rPr>
                <w:rFonts w:ascii="Segoe UI Symbol" w:hAnsi="Segoe UI Symbol" w:cs="Segoe UI Symbol"/>
                <w:color w:val="auto"/>
                <w:sz w:val="21"/>
                <w:lang w:eastAsia="zh-CN"/>
              </w:rPr>
              <w:t>☑</w:t>
            </w:r>
          </w:p>
        </w:tc>
        <w:tc>
          <w:tcPr>
            <w:tcW w:w="734" w:type="pct"/>
            <w:gridSpan w:val="3"/>
            <w:vAlign w:val="center"/>
          </w:tcPr>
          <w:p w14:paraId="282BE46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P2</w:t>
            </w:r>
            <w:r>
              <w:rPr>
                <w:rFonts w:hint="eastAsia" w:ascii="Segoe UI Symbol" w:hAnsi="Segoe UI Symbol" w:cs="Segoe UI Symbol"/>
                <w:color w:val="auto"/>
                <w:sz w:val="21"/>
                <w:lang w:eastAsia="zh-CN"/>
              </w:rPr>
              <w:t>□</w:t>
            </w:r>
          </w:p>
        </w:tc>
        <w:tc>
          <w:tcPr>
            <w:tcW w:w="1008" w:type="pct"/>
            <w:gridSpan w:val="5"/>
            <w:vAlign w:val="center"/>
          </w:tcPr>
          <w:p w14:paraId="36E6D4A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P3</w:t>
            </w:r>
            <w:r>
              <w:rPr>
                <w:rFonts w:ascii="Times New Roman" w:hAnsi="Times New Roman" w:cs="Times New Roman"/>
                <w:color w:val="auto"/>
                <w:sz w:val="21"/>
                <w:lang w:eastAsia="zh-CN"/>
              </w:rPr>
              <w:t>□</w:t>
            </w:r>
          </w:p>
        </w:tc>
        <w:tc>
          <w:tcPr>
            <w:tcW w:w="1302" w:type="pct"/>
            <w:gridSpan w:val="4"/>
            <w:vAlign w:val="center"/>
          </w:tcPr>
          <w:p w14:paraId="507A020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rPr>
              <w:t>P4</w:t>
            </w:r>
            <w:r>
              <w:rPr>
                <w:rFonts w:ascii="Times New Roman" w:hAnsi="Times New Roman" w:cs="Times New Roman"/>
                <w:color w:val="auto"/>
                <w:sz w:val="21"/>
                <w:lang w:eastAsia="zh-CN"/>
              </w:rPr>
              <w:t>□</w:t>
            </w:r>
          </w:p>
        </w:tc>
      </w:tr>
      <w:tr w14:paraId="43069C3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65" w:type="pct"/>
            <w:gridSpan w:val="2"/>
            <w:vMerge w:val="restart"/>
            <w:vAlign w:val="center"/>
          </w:tcPr>
          <w:p w14:paraId="6EAC4E4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环境敏感程度</w:t>
            </w:r>
          </w:p>
        </w:tc>
        <w:tc>
          <w:tcPr>
            <w:tcW w:w="635" w:type="pct"/>
            <w:vAlign w:val="center"/>
          </w:tcPr>
          <w:p w14:paraId="634336E1">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大气</w:t>
            </w:r>
          </w:p>
        </w:tc>
        <w:tc>
          <w:tcPr>
            <w:tcW w:w="755" w:type="pct"/>
            <w:gridSpan w:val="2"/>
            <w:vAlign w:val="center"/>
          </w:tcPr>
          <w:p w14:paraId="249D4E26">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E1</w:t>
            </w:r>
            <w:r>
              <w:rPr>
                <w:rFonts w:hint="eastAsia" w:ascii="Segoe UI Symbol" w:hAnsi="Segoe UI Symbol" w:cs="Segoe UI Symbol"/>
                <w:color w:val="auto"/>
                <w:sz w:val="21"/>
                <w:lang w:eastAsia="zh-CN"/>
              </w:rPr>
              <w:t>□</w:t>
            </w:r>
          </w:p>
        </w:tc>
        <w:tc>
          <w:tcPr>
            <w:tcW w:w="734" w:type="pct"/>
            <w:gridSpan w:val="3"/>
            <w:vAlign w:val="center"/>
          </w:tcPr>
          <w:p w14:paraId="41CBDDA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E2</w:t>
            </w:r>
            <w:r>
              <w:rPr>
                <w:rFonts w:ascii="Segoe UI Symbol" w:hAnsi="Segoe UI Symbol" w:cs="Segoe UI Symbol"/>
                <w:color w:val="auto"/>
                <w:sz w:val="21"/>
                <w:lang w:eastAsia="zh-CN"/>
              </w:rPr>
              <w:t>☑</w:t>
            </w:r>
          </w:p>
        </w:tc>
        <w:tc>
          <w:tcPr>
            <w:tcW w:w="2311" w:type="pct"/>
            <w:gridSpan w:val="9"/>
            <w:vAlign w:val="center"/>
          </w:tcPr>
          <w:p w14:paraId="4503EF78">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E3</w:t>
            </w:r>
            <w:r>
              <w:rPr>
                <w:rFonts w:hint="eastAsia" w:ascii="Segoe UI Symbol" w:hAnsi="Segoe UI Symbol" w:cs="Segoe UI Symbol"/>
                <w:color w:val="auto"/>
                <w:sz w:val="21"/>
                <w:lang w:eastAsia="zh-CN"/>
              </w:rPr>
              <w:t>□</w:t>
            </w:r>
          </w:p>
        </w:tc>
      </w:tr>
      <w:tr w14:paraId="2CA75C5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65" w:type="pct"/>
            <w:gridSpan w:val="2"/>
            <w:vMerge w:val="continue"/>
            <w:vAlign w:val="center"/>
          </w:tcPr>
          <w:p w14:paraId="6FA3F113">
            <w:pPr>
              <w:adjustRightInd w:val="0"/>
              <w:snapToGrid w:val="0"/>
              <w:jc w:val="center"/>
              <w:rPr>
                <w:rFonts w:ascii="Times New Roman" w:hAnsi="Times New Roman" w:cs="Times New Roman"/>
                <w:color w:val="auto"/>
                <w:sz w:val="21"/>
              </w:rPr>
            </w:pPr>
          </w:p>
        </w:tc>
        <w:tc>
          <w:tcPr>
            <w:tcW w:w="635" w:type="pct"/>
            <w:vAlign w:val="center"/>
          </w:tcPr>
          <w:p w14:paraId="7F6452D8">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地表水</w:t>
            </w:r>
          </w:p>
        </w:tc>
        <w:tc>
          <w:tcPr>
            <w:tcW w:w="755" w:type="pct"/>
            <w:gridSpan w:val="2"/>
            <w:vAlign w:val="center"/>
          </w:tcPr>
          <w:p w14:paraId="46CB2CD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E1</w:t>
            </w:r>
            <w:r>
              <w:rPr>
                <w:rFonts w:ascii="Segoe UI Symbol" w:hAnsi="Segoe UI Symbol" w:cs="Segoe UI Symbol"/>
                <w:color w:val="auto"/>
                <w:sz w:val="21"/>
                <w:lang w:eastAsia="zh-CN"/>
              </w:rPr>
              <w:t>☑</w:t>
            </w:r>
          </w:p>
        </w:tc>
        <w:tc>
          <w:tcPr>
            <w:tcW w:w="734" w:type="pct"/>
            <w:gridSpan w:val="3"/>
            <w:vAlign w:val="center"/>
          </w:tcPr>
          <w:p w14:paraId="7B8518F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E2</w:t>
            </w:r>
            <w:r>
              <w:rPr>
                <w:rFonts w:hint="eastAsia" w:ascii="Segoe UI Symbol" w:hAnsi="Segoe UI Symbol" w:cs="Segoe UI Symbol"/>
                <w:color w:val="auto"/>
                <w:sz w:val="21"/>
                <w:lang w:eastAsia="zh-CN"/>
              </w:rPr>
              <w:t>□</w:t>
            </w:r>
          </w:p>
        </w:tc>
        <w:tc>
          <w:tcPr>
            <w:tcW w:w="2311" w:type="pct"/>
            <w:gridSpan w:val="9"/>
            <w:vAlign w:val="center"/>
          </w:tcPr>
          <w:p w14:paraId="3C1C81A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E3</w:t>
            </w:r>
            <w:r>
              <w:rPr>
                <w:rFonts w:hint="eastAsia" w:ascii="Segoe UI Symbol" w:hAnsi="Segoe UI Symbol" w:cs="Segoe UI Symbol"/>
                <w:color w:val="auto"/>
                <w:sz w:val="21"/>
                <w:lang w:eastAsia="zh-CN"/>
              </w:rPr>
              <w:t>□</w:t>
            </w:r>
          </w:p>
        </w:tc>
      </w:tr>
      <w:tr w14:paraId="5276716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65" w:type="pct"/>
            <w:gridSpan w:val="2"/>
            <w:vMerge w:val="continue"/>
            <w:vAlign w:val="center"/>
          </w:tcPr>
          <w:p w14:paraId="2B8EE3BB">
            <w:pPr>
              <w:adjustRightInd w:val="0"/>
              <w:snapToGrid w:val="0"/>
              <w:jc w:val="center"/>
              <w:rPr>
                <w:rFonts w:ascii="Times New Roman" w:hAnsi="Times New Roman" w:cs="Times New Roman"/>
                <w:color w:val="auto"/>
                <w:sz w:val="21"/>
              </w:rPr>
            </w:pPr>
          </w:p>
        </w:tc>
        <w:tc>
          <w:tcPr>
            <w:tcW w:w="635" w:type="pct"/>
            <w:vAlign w:val="center"/>
          </w:tcPr>
          <w:p w14:paraId="23C33A2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地下水</w:t>
            </w:r>
          </w:p>
        </w:tc>
        <w:tc>
          <w:tcPr>
            <w:tcW w:w="755" w:type="pct"/>
            <w:gridSpan w:val="2"/>
            <w:vAlign w:val="center"/>
          </w:tcPr>
          <w:p w14:paraId="139AAD0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E1</w:t>
            </w:r>
            <w:r>
              <w:rPr>
                <w:rFonts w:hint="eastAsia" w:ascii="Segoe UI Symbol" w:hAnsi="Segoe UI Symbol" w:cs="Segoe UI Symbol"/>
                <w:color w:val="auto"/>
                <w:sz w:val="21"/>
                <w:lang w:eastAsia="zh-CN"/>
              </w:rPr>
              <w:t>□</w:t>
            </w:r>
          </w:p>
        </w:tc>
        <w:tc>
          <w:tcPr>
            <w:tcW w:w="734" w:type="pct"/>
            <w:gridSpan w:val="3"/>
            <w:vAlign w:val="center"/>
          </w:tcPr>
          <w:p w14:paraId="2FEBDA1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E2</w:t>
            </w:r>
            <w:r>
              <w:rPr>
                <w:rFonts w:hint="eastAsia" w:ascii="Segoe UI Symbol" w:hAnsi="Segoe UI Symbol" w:cs="Segoe UI Symbol"/>
                <w:color w:val="auto"/>
                <w:sz w:val="21"/>
                <w:lang w:eastAsia="zh-CN"/>
              </w:rPr>
              <w:t>□</w:t>
            </w:r>
          </w:p>
        </w:tc>
        <w:tc>
          <w:tcPr>
            <w:tcW w:w="2311" w:type="pct"/>
            <w:gridSpan w:val="9"/>
            <w:vAlign w:val="center"/>
          </w:tcPr>
          <w:p w14:paraId="061AF00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E3</w:t>
            </w:r>
            <w:r>
              <w:rPr>
                <w:rFonts w:ascii="Segoe UI Symbol" w:hAnsi="Segoe UI Symbol" w:cs="Segoe UI Symbol"/>
                <w:color w:val="auto"/>
                <w:sz w:val="21"/>
                <w:lang w:eastAsia="zh-CN"/>
              </w:rPr>
              <w:t>☑</w:t>
            </w:r>
          </w:p>
        </w:tc>
      </w:tr>
      <w:tr w14:paraId="1BC7D8C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65" w:type="pct"/>
            <w:gridSpan w:val="2"/>
            <w:vAlign w:val="center"/>
          </w:tcPr>
          <w:p w14:paraId="24E8DC0D">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环境风险潜势</w:t>
            </w:r>
          </w:p>
        </w:tc>
        <w:tc>
          <w:tcPr>
            <w:tcW w:w="635" w:type="pct"/>
            <w:vAlign w:val="center"/>
          </w:tcPr>
          <w:p w14:paraId="144EA69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Ⅳ</w:t>
            </w:r>
            <w:r>
              <w:rPr>
                <w:rFonts w:ascii="Times New Roman" w:hAnsi="Times New Roman" w:cs="Times New Roman"/>
                <w:color w:val="auto"/>
                <w:sz w:val="21"/>
                <w:vertAlign w:val="superscript"/>
              </w:rPr>
              <w:t>+</w:t>
            </w:r>
            <w:r>
              <w:rPr>
                <w:rFonts w:ascii="Segoe UI Symbol" w:hAnsi="Segoe UI Symbol" w:cs="Segoe UI Symbol"/>
                <w:color w:val="auto"/>
                <w:sz w:val="21"/>
                <w:lang w:eastAsia="zh-CN"/>
              </w:rPr>
              <w:t>☑</w:t>
            </w:r>
          </w:p>
        </w:tc>
        <w:tc>
          <w:tcPr>
            <w:tcW w:w="755" w:type="pct"/>
            <w:gridSpan w:val="2"/>
            <w:vAlign w:val="center"/>
          </w:tcPr>
          <w:p w14:paraId="28595D06">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rPr>
              <w:t>Ⅳ</w:t>
            </w:r>
            <w:r>
              <w:rPr>
                <w:rFonts w:hint="eastAsia" w:ascii="Segoe UI Symbol" w:hAnsi="Segoe UI Symbol" w:cs="Segoe UI Symbol"/>
                <w:color w:val="auto"/>
                <w:sz w:val="21"/>
                <w:lang w:eastAsia="zh-CN"/>
              </w:rPr>
              <w:t>□</w:t>
            </w:r>
          </w:p>
        </w:tc>
        <w:tc>
          <w:tcPr>
            <w:tcW w:w="734" w:type="pct"/>
            <w:gridSpan w:val="3"/>
            <w:vAlign w:val="center"/>
          </w:tcPr>
          <w:p w14:paraId="0752802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Ⅲ</w:t>
            </w:r>
            <w:r>
              <w:rPr>
                <w:rFonts w:hint="eastAsia" w:ascii="Segoe UI Symbol" w:hAnsi="Segoe UI Symbol" w:cs="Segoe UI Symbol"/>
                <w:color w:val="auto"/>
                <w:sz w:val="21"/>
                <w:lang w:eastAsia="zh-CN"/>
              </w:rPr>
              <w:t>□</w:t>
            </w:r>
          </w:p>
        </w:tc>
        <w:tc>
          <w:tcPr>
            <w:tcW w:w="991" w:type="pct"/>
            <w:gridSpan w:val="4"/>
            <w:vAlign w:val="center"/>
          </w:tcPr>
          <w:p w14:paraId="030C25C1">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rPr>
              <w:t>Ⅱ</w:t>
            </w:r>
            <w:r>
              <w:rPr>
                <w:rFonts w:hint="eastAsia" w:ascii="Segoe UI Symbol" w:hAnsi="Segoe UI Symbol" w:cs="Segoe UI Symbol"/>
                <w:color w:val="auto"/>
                <w:sz w:val="21"/>
                <w:lang w:eastAsia="zh-CN"/>
              </w:rPr>
              <w:t>□</w:t>
            </w:r>
          </w:p>
        </w:tc>
        <w:tc>
          <w:tcPr>
            <w:tcW w:w="1319" w:type="pct"/>
            <w:gridSpan w:val="5"/>
            <w:vAlign w:val="center"/>
          </w:tcPr>
          <w:p w14:paraId="041103B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Ⅰ</w:t>
            </w:r>
            <w:r>
              <w:rPr>
                <w:rFonts w:hint="eastAsia" w:ascii="Segoe UI Symbol" w:hAnsi="Segoe UI Symbol" w:cs="Segoe UI Symbol"/>
                <w:color w:val="auto"/>
                <w:sz w:val="21"/>
                <w:lang w:eastAsia="zh-CN"/>
              </w:rPr>
              <w:t>□</w:t>
            </w:r>
          </w:p>
        </w:tc>
      </w:tr>
      <w:tr w14:paraId="48305AC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65" w:type="pct"/>
            <w:gridSpan w:val="2"/>
            <w:vAlign w:val="center"/>
          </w:tcPr>
          <w:p w14:paraId="5CD4003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评价等级</w:t>
            </w:r>
          </w:p>
        </w:tc>
        <w:tc>
          <w:tcPr>
            <w:tcW w:w="1390" w:type="pct"/>
            <w:gridSpan w:val="3"/>
            <w:vAlign w:val="center"/>
          </w:tcPr>
          <w:p w14:paraId="4C19BFF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rPr>
              <w:t>一级</w:t>
            </w:r>
            <w:r>
              <w:rPr>
                <w:rFonts w:ascii="Segoe UI Symbol" w:hAnsi="Segoe UI Symbol" w:cs="Segoe UI Symbol"/>
                <w:color w:val="auto"/>
                <w:sz w:val="21"/>
                <w:lang w:eastAsia="zh-CN"/>
              </w:rPr>
              <w:t>☑</w:t>
            </w:r>
          </w:p>
        </w:tc>
        <w:tc>
          <w:tcPr>
            <w:tcW w:w="734" w:type="pct"/>
            <w:gridSpan w:val="3"/>
            <w:vAlign w:val="center"/>
          </w:tcPr>
          <w:p w14:paraId="12E772A8">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二级</w:t>
            </w:r>
            <w:r>
              <w:rPr>
                <w:rFonts w:hint="eastAsia" w:ascii="Segoe UI Symbol" w:hAnsi="Segoe UI Symbol" w:cs="Segoe UI Symbol"/>
                <w:color w:val="auto"/>
                <w:sz w:val="21"/>
                <w:lang w:eastAsia="zh-CN"/>
              </w:rPr>
              <w:t>□</w:t>
            </w:r>
          </w:p>
        </w:tc>
        <w:tc>
          <w:tcPr>
            <w:tcW w:w="991" w:type="pct"/>
            <w:gridSpan w:val="4"/>
            <w:vAlign w:val="center"/>
          </w:tcPr>
          <w:p w14:paraId="5426426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三级</w:t>
            </w:r>
            <w:r>
              <w:rPr>
                <w:rFonts w:ascii="Times New Roman" w:hAnsi="Times New Roman" w:cs="Times New Roman"/>
                <w:color w:val="auto"/>
                <w:sz w:val="21"/>
                <w:lang w:eastAsia="zh-CN"/>
              </w:rPr>
              <w:t>□</w:t>
            </w:r>
          </w:p>
        </w:tc>
        <w:tc>
          <w:tcPr>
            <w:tcW w:w="1319" w:type="pct"/>
            <w:gridSpan w:val="5"/>
            <w:vAlign w:val="center"/>
          </w:tcPr>
          <w:p w14:paraId="5ACEBCDD">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简单分析□</w:t>
            </w:r>
          </w:p>
        </w:tc>
      </w:tr>
      <w:tr w14:paraId="7DE7ECA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08" w:type="pct"/>
            <w:vMerge w:val="restart"/>
            <w:vAlign w:val="center"/>
          </w:tcPr>
          <w:p w14:paraId="02166A3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风险识别</w:t>
            </w:r>
          </w:p>
        </w:tc>
        <w:tc>
          <w:tcPr>
            <w:tcW w:w="357" w:type="pct"/>
            <w:vAlign w:val="center"/>
          </w:tcPr>
          <w:p w14:paraId="30F694F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物质危险性</w:t>
            </w:r>
          </w:p>
        </w:tc>
        <w:tc>
          <w:tcPr>
            <w:tcW w:w="2124" w:type="pct"/>
            <w:gridSpan w:val="6"/>
            <w:vAlign w:val="center"/>
          </w:tcPr>
          <w:p w14:paraId="7EBE2D76">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有毒有害</w:t>
            </w:r>
            <w:r>
              <w:rPr>
                <w:rFonts w:ascii="Segoe UI Symbol" w:hAnsi="Segoe UI Symbol" w:cs="Segoe UI Symbol"/>
                <w:color w:val="auto"/>
                <w:sz w:val="21"/>
                <w:lang w:eastAsia="zh-CN"/>
              </w:rPr>
              <w:t>☑</w:t>
            </w:r>
          </w:p>
        </w:tc>
        <w:tc>
          <w:tcPr>
            <w:tcW w:w="2311" w:type="pct"/>
            <w:gridSpan w:val="9"/>
            <w:vAlign w:val="center"/>
          </w:tcPr>
          <w:p w14:paraId="60E2F54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易燃易爆</w:t>
            </w:r>
            <w:r>
              <w:rPr>
                <w:rFonts w:hint="eastAsia" w:ascii="Segoe UI Symbol" w:hAnsi="Segoe UI Symbol" w:cs="Segoe UI Symbol"/>
                <w:color w:val="auto"/>
                <w:sz w:val="21"/>
                <w:lang w:eastAsia="zh-CN"/>
              </w:rPr>
              <w:t>□</w:t>
            </w:r>
          </w:p>
        </w:tc>
      </w:tr>
      <w:tr w14:paraId="7B27ABA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08" w:type="pct"/>
            <w:vMerge w:val="continue"/>
            <w:vAlign w:val="center"/>
          </w:tcPr>
          <w:p w14:paraId="456F5A73">
            <w:pPr>
              <w:adjustRightInd w:val="0"/>
              <w:snapToGrid w:val="0"/>
              <w:jc w:val="center"/>
              <w:rPr>
                <w:rFonts w:ascii="Times New Roman" w:hAnsi="Times New Roman" w:cs="Times New Roman"/>
                <w:color w:val="auto"/>
                <w:sz w:val="21"/>
              </w:rPr>
            </w:pPr>
          </w:p>
        </w:tc>
        <w:tc>
          <w:tcPr>
            <w:tcW w:w="357" w:type="pct"/>
            <w:vAlign w:val="center"/>
          </w:tcPr>
          <w:p w14:paraId="5BEDD13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风险类型</w:t>
            </w:r>
          </w:p>
        </w:tc>
        <w:tc>
          <w:tcPr>
            <w:tcW w:w="2124" w:type="pct"/>
            <w:gridSpan w:val="6"/>
            <w:vAlign w:val="center"/>
          </w:tcPr>
          <w:p w14:paraId="4D7FB98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泄漏</w:t>
            </w:r>
            <w:r>
              <w:rPr>
                <w:rFonts w:ascii="Segoe UI Symbol" w:hAnsi="Segoe UI Symbol" w:cs="Segoe UI Symbol"/>
                <w:color w:val="auto"/>
                <w:sz w:val="21"/>
                <w:lang w:eastAsia="zh-CN"/>
              </w:rPr>
              <w:t>☑</w:t>
            </w:r>
          </w:p>
        </w:tc>
        <w:tc>
          <w:tcPr>
            <w:tcW w:w="2311" w:type="pct"/>
            <w:gridSpan w:val="9"/>
            <w:vAlign w:val="center"/>
          </w:tcPr>
          <w:p w14:paraId="37FCDFE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火灾、爆炸引发伴生/次生污染物排放</w:t>
            </w:r>
            <w:r>
              <w:rPr>
                <w:rFonts w:hint="eastAsia" w:ascii="Segoe UI Symbol" w:hAnsi="Segoe UI Symbol" w:cs="Segoe UI Symbol"/>
                <w:color w:val="auto"/>
                <w:sz w:val="21"/>
                <w:lang w:eastAsia="zh-CN"/>
              </w:rPr>
              <w:t>□</w:t>
            </w:r>
          </w:p>
        </w:tc>
      </w:tr>
      <w:tr w14:paraId="2C9290E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08" w:type="pct"/>
            <w:vMerge w:val="continue"/>
            <w:vAlign w:val="center"/>
          </w:tcPr>
          <w:p w14:paraId="3BF087EC">
            <w:pPr>
              <w:adjustRightInd w:val="0"/>
              <w:snapToGrid w:val="0"/>
              <w:jc w:val="center"/>
              <w:rPr>
                <w:rFonts w:ascii="Times New Roman" w:hAnsi="Times New Roman" w:cs="Times New Roman"/>
                <w:color w:val="auto"/>
                <w:sz w:val="21"/>
                <w:lang w:eastAsia="zh-CN"/>
              </w:rPr>
            </w:pPr>
          </w:p>
        </w:tc>
        <w:tc>
          <w:tcPr>
            <w:tcW w:w="357" w:type="pct"/>
            <w:vAlign w:val="center"/>
          </w:tcPr>
          <w:p w14:paraId="159B3E61">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影响途径</w:t>
            </w:r>
          </w:p>
        </w:tc>
        <w:tc>
          <w:tcPr>
            <w:tcW w:w="1439" w:type="pct"/>
            <w:gridSpan w:val="4"/>
            <w:vAlign w:val="center"/>
          </w:tcPr>
          <w:p w14:paraId="7FB4DA5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大气</w:t>
            </w:r>
            <w:r>
              <w:rPr>
                <w:rFonts w:ascii="Segoe UI Symbol" w:hAnsi="Segoe UI Symbol" w:cs="Segoe UI Symbol"/>
                <w:color w:val="auto"/>
                <w:sz w:val="21"/>
                <w:lang w:eastAsia="zh-CN"/>
              </w:rPr>
              <w:t>☑</w:t>
            </w:r>
          </w:p>
        </w:tc>
        <w:tc>
          <w:tcPr>
            <w:tcW w:w="1324" w:type="pct"/>
            <w:gridSpan w:val="5"/>
            <w:vAlign w:val="center"/>
          </w:tcPr>
          <w:p w14:paraId="58282F6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地表水</w:t>
            </w:r>
            <w:r>
              <w:rPr>
                <w:rFonts w:ascii="Segoe UI Symbol" w:hAnsi="Segoe UI Symbol" w:cs="Segoe UI Symbol"/>
                <w:color w:val="auto"/>
                <w:sz w:val="21"/>
                <w:lang w:eastAsia="zh-CN"/>
              </w:rPr>
              <w:t>☑</w:t>
            </w:r>
          </w:p>
        </w:tc>
        <w:tc>
          <w:tcPr>
            <w:tcW w:w="1672" w:type="pct"/>
            <w:gridSpan w:val="6"/>
            <w:vAlign w:val="center"/>
          </w:tcPr>
          <w:p w14:paraId="18AFD53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地下水</w:t>
            </w:r>
            <w:r>
              <w:rPr>
                <w:rFonts w:ascii="Segoe UI Symbol" w:hAnsi="Segoe UI Symbol" w:cs="Segoe UI Symbol"/>
                <w:color w:val="auto"/>
                <w:sz w:val="21"/>
                <w:lang w:eastAsia="zh-CN"/>
              </w:rPr>
              <w:t>☑</w:t>
            </w:r>
          </w:p>
        </w:tc>
      </w:tr>
      <w:tr w14:paraId="6D9F56C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65" w:type="pct"/>
            <w:gridSpan w:val="2"/>
            <w:vAlign w:val="center"/>
          </w:tcPr>
          <w:p w14:paraId="0DCE523A">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事故影响分析</w:t>
            </w:r>
          </w:p>
        </w:tc>
        <w:tc>
          <w:tcPr>
            <w:tcW w:w="1439" w:type="pct"/>
            <w:gridSpan w:val="4"/>
            <w:vAlign w:val="center"/>
          </w:tcPr>
          <w:p w14:paraId="3F354028">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源强设定方法□</w:t>
            </w:r>
          </w:p>
        </w:tc>
        <w:tc>
          <w:tcPr>
            <w:tcW w:w="865" w:type="pct"/>
            <w:gridSpan w:val="3"/>
            <w:vAlign w:val="center"/>
          </w:tcPr>
          <w:p w14:paraId="78EB042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计算法</w:t>
            </w:r>
            <w:r>
              <w:rPr>
                <w:rFonts w:ascii="Segoe UI Symbol" w:hAnsi="Segoe UI Symbol" w:eastAsia="MS Mincho" w:cs="Segoe UI Symbol"/>
                <w:color w:val="auto"/>
                <w:sz w:val="21"/>
              </w:rPr>
              <w:t>✔</w:t>
            </w:r>
          </w:p>
        </w:tc>
        <w:tc>
          <w:tcPr>
            <w:tcW w:w="847" w:type="pct"/>
            <w:gridSpan w:val="5"/>
            <w:vAlign w:val="center"/>
          </w:tcPr>
          <w:p w14:paraId="6B0AA91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经验估算法</w:t>
            </w:r>
            <w:r>
              <w:rPr>
                <w:rFonts w:ascii="Segoe UI Symbol" w:hAnsi="Segoe UI Symbol" w:eastAsia="MS Mincho" w:cs="Segoe UI Symbol"/>
                <w:color w:val="auto"/>
                <w:sz w:val="21"/>
              </w:rPr>
              <w:t>✔</w:t>
            </w:r>
          </w:p>
        </w:tc>
        <w:tc>
          <w:tcPr>
            <w:tcW w:w="1283" w:type="pct"/>
            <w:gridSpan w:val="3"/>
            <w:vAlign w:val="center"/>
          </w:tcPr>
          <w:p w14:paraId="130623FD">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其他估算法□</w:t>
            </w:r>
          </w:p>
        </w:tc>
      </w:tr>
      <w:tr w14:paraId="23A6786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65" w:type="pct"/>
            <w:gridSpan w:val="2"/>
            <w:vMerge w:val="restart"/>
            <w:vAlign w:val="center"/>
          </w:tcPr>
          <w:p w14:paraId="14D12780">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风险预</w:t>
            </w:r>
          </w:p>
          <w:p w14:paraId="36E52242">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测与评价</w:t>
            </w:r>
          </w:p>
          <w:p w14:paraId="0F5FFFC4">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（大气）</w:t>
            </w:r>
          </w:p>
        </w:tc>
        <w:tc>
          <w:tcPr>
            <w:tcW w:w="1439" w:type="pct"/>
            <w:gridSpan w:val="4"/>
            <w:vAlign w:val="center"/>
          </w:tcPr>
          <w:p w14:paraId="70E3C81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预测模型</w:t>
            </w:r>
          </w:p>
        </w:tc>
        <w:tc>
          <w:tcPr>
            <w:tcW w:w="865" w:type="pct"/>
            <w:gridSpan w:val="3"/>
            <w:vAlign w:val="center"/>
          </w:tcPr>
          <w:p w14:paraId="6D80C611">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SLAB□</w:t>
            </w:r>
          </w:p>
        </w:tc>
        <w:tc>
          <w:tcPr>
            <w:tcW w:w="847" w:type="pct"/>
            <w:gridSpan w:val="5"/>
            <w:vAlign w:val="center"/>
          </w:tcPr>
          <w:p w14:paraId="003B699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AFTOX</w:t>
            </w:r>
            <w:r>
              <w:rPr>
                <w:rFonts w:ascii="Segoe UI Symbol" w:hAnsi="Segoe UI Symbol" w:eastAsia="MS Mincho" w:cs="Segoe UI Symbol"/>
                <w:color w:val="auto"/>
                <w:sz w:val="21"/>
              </w:rPr>
              <w:t>✔</w:t>
            </w:r>
          </w:p>
        </w:tc>
        <w:tc>
          <w:tcPr>
            <w:tcW w:w="1283" w:type="pct"/>
            <w:gridSpan w:val="3"/>
            <w:vAlign w:val="center"/>
          </w:tcPr>
          <w:p w14:paraId="024EC9F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其他</w:t>
            </w:r>
          </w:p>
        </w:tc>
      </w:tr>
      <w:tr w14:paraId="73DCE9C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65" w:type="pct"/>
            <w:gridSpan w:val="2"/>
            <w:vMerge w:val="continue"/>
            <w:vAlign w:val="center"/>
          </w:tcPr>
          <w:p w14:paraId="4465B257">
            <w:pPr>
              <w:adjustRightInd w:val="0"/>
              <w:snapToGrid w:val="0"/>
              <w:jc w:val="center"/>
              <w:rPr>
                <w:rFonts w:ascii="Times New Roman" w:hAnsi="Times New Roman" w:cs="Times New Roman"/>
                <w:color w:val="auto"/>
                <w:sz w:val="21"/>
              </w:rPr>
            </w:pPr>
          </w:p>
        </w:tc>
        <w:tc>
          <w:tcPr>
            <w:tcW w:w="1439" w:type="pct"/>
            <w:gridSpan w:val="4"/>
            <w:vMerge w:val="restart"/>
            <w:vAlign w:val="center"/>
          </w:tcPr>
          <w:p w14:paraId="0C7790A2">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预测结果</w:t>
            </w:r>
          </w:p>
        </w:tc>
        <w:tc>
          <w:tcPr>
            <w:tcW w:w="2996" w:type="pct"/>
            <w:gridSpan w:val="11"/>
            <w:vAlign w:val="center"/>
          </w:tcPr>
          <w:p w14:paraId="61F44A8D">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大气毒性终点浓度-1 最大影响范围</w:t>
            </w:r>
            <w:r>
              <w:rPr>
                <w:rFonts w:ascii="Times New Roman" w:hAnsi="Times New Roman" w:cs="Times New Roman"/>
                <w:color w:val="auto"/>
                <w:sz w:val="21"/>
                <w:u w:val="single"/>
                <w:lang w:eastAsia="zh-CN"/>
              </w:rPr>
              <w:t xml:space="preserve">  </w:t>
            </w:r>
            <w:r>
              <w:rPr>
                <w:rFonts w:hint="eastAsia" w:ascii="Times New Roman" w:hAnsi="Times New Roman" w:cs="Times New Roman"/>
                <w:color w:val="auto"/>
                <w:sz w:val="21"/>
                <w:u w:val="single"/>
                <w:lang w:eastAsia="zh-CN"/>
              </w:rPr>
              <w:t>640</w:t>
            </w:r>
            <w:r>
              <w:rPr>
                <w:rFonts w:ascii="Times New Roman" w:hAnsi="Times New Roman" w:cs="Times New Roman"/>
                <w:color w:val="auto"/>
                <w:sz w:val="21"/>
                <w:u w:val="single"/>
                <w:lang w:eastAsia="zh-CN"/>
              </w:rPr>
              <w:t xml:space="preserve">   </w:t>
            </w:r>
            <w:r>
              <w:rPr>
                <w:rFonts w:ascii="Times New Roman" w:hAnsi="Times New Roman" w:cs="Times New Roman"/>
                <w:color w:val="auto"/>
                <w:sz w:val="21"/>
                <w:lang w:eastAsia="zh-CN"/>
              </w:rPr>
              <w:t>m</w:t>
            </w:r>
          </w:p>
        </w:tc>
      </w:tr>
      <w:tr w14:paraId="25681D5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65" w:type="pct"/>
            <w:gridSpan w:val="2"/>
            <w:vMerge w:val="continue"/>
            <w:vAlign w:val="center"/>
          </w:tcPr>
          <w:p w14:paraId="7D022A7F">
            <w:pPr>
              <w:adjustRightInd w:val="0"/>
              <w:snapToGrid w:val="0"/>
              <w:jc w:val="center"/>
              <w:rPr>
                <w:rFonts w:ascii="Times New Roman" w:hAnsi="Times New Roman" w:cs="Times New Roman"/>
                <w:color w:val="auto"/>
                <w:sz w:val="21"/>
                <w:lang w:eastAsia="zh-CN"/>
              </w:rPr>
            </w:pPr>
          </w:p>
        </w:tc>
        <w:tc>
          <w:tcPr>
            <w:tcW w:w="1439" w:type="pct"/>
            <w:gridSpan w:val="4"/>
            <w:vMerge w:val="continue"/>
            <w:vAlign w:val="center"/>
          </w:tcPr>
          <w:p w14:paraId="57253FD9">
            <w:pPr>
              <w:adjustRightInd w:val="0"/>
              <w:snapToGrid w:val="0"/>
              <w:jc w:val="center"/>
              <w:rPr>
                <w:rFonts w:ascii="Times New Roman" w:hAnsi="Times New Roman" w:cs="Times New Roman"/>
                <w:color w:val="auto"/>
                <w:sz w:val="21"/>
                <w:lang w:eastAsia="zh-CN"/>
              </w:rPr>
            </w:pPr>
          </w:p>
        </w:tc>
        <w:tc>
          <w:tcPr>
            <w:tcW w:w="2996" w:type="pct"/>
            <w:gridSpan w:val="11"/>
            <w:vAlign w:val="center"/>
          </w:tcPr>
          <w:p w14:paraId="4B0F4F7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大气毒性终点浓度-2 最大影响范围</w:t>
            </w:r>
            <w:r>
              <w:rPr>
                <w:rFonts w:ascii="Times New Roman" w:hAnsi="Times New Roman" w:cs="Times New Roman"/>
                <w:color w:val="auto"/>
                <w:sz w:val="21"/>
                <w:u w:val="single"/>
                <w:lang w:eastAsia="zh-CN"/>
              </w:rPr>
              <w:t xml:space="preserve">  </w:t>
            </w:r>
            <w:r>
              <w:rPr>
                <w:rFonts w:hint="eastAsia" w:ascii="Times New Roman" w:hAnsi="Times New Roman" w:cs="Times New Roman"/>
                <w:color w:val="auto"/>
                <w:sz w:val="21"/>
                <w:u w:val="single"/>
                <w:lang w:eastAsia="zh-CN"/>
              </w:rPr>
              <w:t>450</w:t>
            </w:r>
            <w:r>
              <w:rPr>
                <w:rFonts w:ascii="Times New Roman" w:hAnsi="Times New Roman" w:cs="Times New Roman"/>
                <w:color w:val="auto"/>
                <w:sz w:val="21"/>
                <w:u w:val="single"/>
                <w:lang w:eastAsia="zh-CN"/>
              </w:rPr>
              <w:t xml:space="preserve">   </w:t>
            </w:r>
            <w:r>
              <w:rPr>
                <w:rFonts w:ascii="Times New Roman" w:hAnsi="Times New Roman" w:cs="Times New Roman"/>
                <w:color w:val="auto"/>
                <w:sz w:val="21"/>
                <w:lang w:eastAsia="zh-CN"/>
              </w:rPr>
              <w:t>m</w:t>
            </w:r>
          </w:p>
        </w:tc>
      </w:tr>
      <w:tr w14:paraId="7A4FEC0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65" w:type="pct"/>
            <w:gridSpan w:val="2"/>
            <w:vAlign w:val="center"/>
          </w:tcPr>
          <w:p w14:paraId="263B34CE">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重点风险防范措施</w:t>
            </w:r>
          </w:p>
        </w:tc>
        <w:tc>
          <w:tcPr>
            <w:tcW w:w="4435" w:type="pct"/>
            <w:gridSpan w:val="15"/>
            <w:vAlign w:val="center"/>
          </w:tcPr>
          <w:p w14:paraId="48658945">
            <w:pPr>
              <w:adjustRightInd w:val="0"/>
              <w:snapToGrid w:val="0"/>
              <w:jc w:val="both"/>
              <w:rPr>
                <w:rFonts w:ascii="Times New Roman" w:hAnsi="Times New Roman" w:cs="Times New Roman"/>
                <w:color w:val="auto"/>
                <w:sz w:val="21"/>
                <w:lang w:eastAsia="zh-CN"/>
              </w:rPr>
            </w:pPr>
            <w:r>
              <w:rPr>
                <w:rFonts w:ascii="Times New Roman" w:hAnsi="Times New Roman" w:cs="Times New Roman"/>
                <w:color w:val="auto"/>
                <w:sz w:val="21"/>
                <w:lang w:eastAsia="zh-CN"/>
              </w:rPr>
              <w:t>事故应急池1座，总有效容积</w:t>
            </w:r>
            <w:r>
              <w:rPr>
                <w:rFonts w:hint="eastAsia" w:ascii="Times New Roman" w:hAnsi="Times New Roman" w:cs="Times New Roman"/>
                <w:color w:val="auto"/>
                <w:sz w:val="21"/>
                <w:lang w:eastAsia="zh-CN"/>
              </w:rPr>
              <w:t>672.3</w:t>
            </w:r>
            <w:r>
              <w:rPr>
                <w:rFonts w:ascii="Times New Roman" w:hAnsi="Times New Roman" w:cs="Times New Roman"/>
                <w:color w:val="auto"/>
                <w:sz w:val="21"/>
                <w:lang w:eastAsia="zh-CN"/>
              </w:rPr>
              <w:t>m</w:t>
            </w:r>
            <w:r>
              <w:rPr>
                <w:rFonts w:ascii="Times New Roman" w:hAnsi="Times New Roman" w:cs="Times New Roman"/>
                <w:color w:val="auto"/>
                <w:sz w:val="21"/>
                <w:vertAlign w:val="superscript"/>
                <w:lang w:eastAsia="zh-CN"/>
              </w:rPr>
              <w:t>3</w:t>
            </w:r>
            <w:r>
              <w:rPr>
                <w:rFonts w:ascii="Times New Roman" w:hAnsi="Times New Roman" w:cs="Times New Roman"/>
                <w:color w:val="auto"/>
                <w:sz w:val="21"/>
                <w:lang w:eastAsia="zh-CN"/>
              </w:rPr>
              <w:t>；初期雨水池1座，总有效容积</w:t>
            </w:r>
            <w:r>
              <w:rPr>
                <w:rFonts w:hint="eastAsia" w:ascii="Times New Roman" w:hAnsi="Times New Roman" w:cs="Times New Roman"/>
                <w:color w:val="auto"/>
                <w:sz w:val="21"/>
                <w:lang w:eastAsia="zh-CN"/>
              </w:rPr>
              <w:t>426.9</w:t>
            </w:r>
            <w:r>
              <w:rPr>
                <w:rFonts w:ascii="Times New Roman" w:hAnsi="Times New Roman" w:cs="Times New Roman"/>
                <w:color w:val="auto"/>
                <w:sz w:val="21"/>
                <w:lang w:eastAsia="zh-CN"/>
              </w:rPr>
              <w:t>m</w:t>
            </w:r>
            <w:r>
              <w:rPr>
                <w:rFonts w:ascii="Times New Roman" w:hAnsi="Times New Roman" w:cs="Times New Roman"/>
                <w:color w:val="auto"/>
                <w:sz w:val="21"/>
                <w:vertAlign w:val="superscript"/>
                <w:lang w:eastAsia="zh-CN"/>
              </w:rPr>
              <w:t>3</w:t>
            </w:r>
            <w:r>
              <w:rPr>
                <w:rFonts w:ascii="Times New Roman" w:hAnsi="Times New Roman" w:cs="Times New Roman"/>
                <w:color w:val="auto"/>
                <w:sz w:val="21"/>
                <w:lang w:eastAsia="zh-CN"/>
              </w:rPr>
              <w:t>。</w:t>
            </w:r>
          </w:p>
        </w:tc>
      </w:tr>
      <w:tr w14:paraId="0CBEAE1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65" w:type="pct"/>
            <w:gridSpan w:val="2"/>
            <w:vAlign w:val="center"/>
          </w:tcPr>
          <w:p w14:paraId="671E2806">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评价结论与建议</w:t>
            </w:r>
          </w:p>
        </w:tc>
        <w:tc>
          <w:tcPr>
            <w:tcW w:w="4435" w:type="pct"/>
            <w:gridSpan w:val="15"/>
            <w:vAlign w:val="center"/>
          </w:tcPr>
          <w:p w14:paraId="0AF24E9E">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项目环境风险可以防控</w:t>
            </w:r>
          </w:p>
        </w:tc>
      </w:tr>
    </w:tbl>
    <w:p w14:paraId="222B42D1">
      <w:pPr>
        <w:spacing w:line="360" w:lineRule="auto"/>
        <w:ind w:firstLine="562"/>
        <w:jc w:val="both"/>
        <w:outlineLvl w:val="1"/>
        <w:rPr>
          <w:rFonts w:ascii="Times New Roman" w:hAnsi="Times New Roman" w:cs="Times New Roman"/>
          <w:b/>
          <w:color w:val="auto"/>
          <w:kern w:val="28"/>
          <w:sz w:val="28"/>
          <w:szCs w:val="28"/>
          <w:lang w:eastAsia="zh-CN"/>
        </w:rPr>
      </w:pPr>
      <w:bookmarkStart w:id="2245" w:name="_Toc237508394"/>
      <w:r>
        <w:rPr>
          <w:rFonts w:ascii="Times New Roman" w:hAnsi="Times New Roman" w:cs="Times New Roman"/>
          <w:b/>
          <w:color w:val="auto"/>
          <w:kern w:val="28"/>
          <w:sz w:val="28"/>
          <w:szCs w:val="28"/>
          <w:lang w:eastAsia="zh-CN"/>
        </w:rPr>
        <w:t>7.</w:t>
      </w:r>
      <w:r>
        <w:rPr>
          <w:rFonts w:hint="eastAsia" w:ascii="Times New Roman" w:hAnsi="Times New Roman" w:cs="Times New Roman"/>
          <w:b/>
          <w:color w:val="auto"/>
          <w:kern w:val="28"/>
          <w:sz w:val="28"/>
          <w:szCs w:val="28"/>
          <w:lang w:eastAsia="zh-CN"/>
        </w:rPr>
        <w:t>10</w:t>
      </w:r>
      <w:r>
        <w:rPr>
          <w:rFonts w:ascii="Times New Roman" w:hAnsi="Times New Roman" w:cs="Times New Roman"/>
          <w:b/>
          <w:color w:val="auto"/>
          <w:kern w:val="28"/>
          <w:sz w:val="28"/>
          <w:szCs w:val="28"/>
          <w:lang w:eastAsia="zh-CN"/>
        </w:rPr>
        <w:t xml:space="preserve"> 评价结论与建议</w:t>
      </w:r>
      <w:bookmarkEnd w:id="2159"/>
      <w:bookmarkEnd w:id="2160"/>
      <w:bookmarkEnd w:id="2245"/>
    </w:p>
    <w:p w14:paraId="70AF08FD">
      <w:pPr>
        <w:widowControl w:val="0"/>
        <w:spacing w:line="360" w:lineRule="auto"/>
        <w:ind w:firstLine="482"/>
        <w:jc w:val="both"/>
        <w:outlineLvl w:val="2"/>
        <w:rPr>
          <w:rFonts w:ascii="Times New Roman" w:hAnsi="Times New Roman" w:cs="Times New Roman"/>
          <w:b/>
          <w:color w:val="auto"/>
          <w:lang w:eastAsia="zh-CN"/>
        </w:rPr>
      </w:pPr>
      <w:bookmarkStart w:id="2246" w:name="_Toc176513107"/>
      <w:bookmarkStart w:id="2247" w:name="_Toc221900942"/>
      <w:bookmarkStart w:id="2248" w:name="_Toc231828683"/>
      <w:bookmarkStart w:id="2249" w:name="_Toc15277"/>
      <w:bookmarkStart w:id="2250" w:name="_Toc218784386"/>
      <w:bookmarkStart w:id="2251" w:name="_Toc204515303"/>
      <w:bookmarkStart w:id="2252" w:name="_Toc175164371"/>
      <w:bookmarkStart w:id="2253" w:name="_Toc225784162"/>
      <w:bookmarkStart w:id="2254" w:name="_Toc217662774"/>
      <w:bookmarkStart w:id="2255" w:name="_Toc203927104"/>
      <w:bookmarkStart w:id="2256" w:name="_Toc178602452"/>
      <w:bookmarkStart w:id="2257" w:name="_Toc224674800"/>
      <w:bookmarkStart w:id="2258" w:name="_Toc204448568"/>
      <w:bookmarkStart w:id="2259" w:name="_Toc173743481"/>
      <w:bookmarkStart w:id="2260" w:name="_Toc172555743"/>
      <w:bookmarkStart w:id="2261" w:name="_Toc223425160"/>
      <w:bookmarkStart w:id="2262" w:name="_Toc173740377"/>
      <w:bookmarkStart w:id="2263" w:name="_Toc236641930"/>
      <w:bookmarkStart w:id="2264" w:name="_Toc237508395"/>
      <w:r>
        <w:rPr>
          <w:rFonts w:ascii="Times New Roman" w:hAnsi="Times New Roman" w:cs="Times New Roman"/>
          <w:b/>
          <w:color w:val="auto"/>
          <w:lang w:eastAsia="zh-CN"/>
        </w:rPr>
        <w:t>7.</w:t>
      </w:r>
      <w:r>
        <w:rPr>
          <w:rFonts w:hint="eastAsia" w:ascii="Times New Roman" w:hAnsi="Times New Roman" w:cs="Times New Roman"/>
          <w:b/>
          <w:color w:val="auto"/>
          <w:lang w:eastAsia="zh-CN"/>
        </w:rPr>
        <w:t>10</w:t>
      </w:r>
      <w:r>
        <w:rPr>
          <w:rFonts w:ascii="Times New Roman" w:hAnsi="Times New Roman" w:cs="Times New Roman"/>
          <w:b/>
          <w:color w:val="auto"/>
          <w:lang w:eastAsia="zh-CN"/>
        </w:rPr>
        <w:t>.1 评价结论</w:t>
      </w:r>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p>
    <w:p w14:paraId="2000DC1C">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（1）项目建成后危险物质包括</w:t>
      </w:r>
      <w:r>
        <w:rPr>
          <w:rFonts w:hint="eastAsia" w:ascii="Times New Roman" w:hAnsi="Times New Roman" w:cs="Times New Roman"/>
          <w:color w:val="auto"/>
          <w:lang w:eastAsia="zh-CN"/>
        </w:rPr>
        <w:t>产品：</w:t>
      </w:r>
      <w:r>
        <w:rPr>
          <w:rFonts w:hint="eastAsia" w:ascii="Times New Roman" w:hAnsi="Times New Roman" w:cs="Times New Roman"/>
          <w:color w:val="auto"/>
          <w:szCs w:val="24"/>
          <w:lang w:eastAsia="zh-CN"/>
        </w:rPr>
        <w:t>化学纯氢氟酸、刻蚀液</w:t>
      </w:r>
      <w:r>
        <w:rPr>
          <w:rFonts w:hint="eastAsia" w:ascii="Times New Roman" w:hAnsi="Times New Roman" w:cs="Times New Roman"/>
          <w:color w:val="auto"/>
          <w:lang w:eastAsia="zh-CN"/>
        </w:rPr>
        <w:t>，原辅材料：无水氟化氢、15%氟化氢水溶液、31%盐酸</w:t>
      </w:r>
      <w:r>
        <w:rPr>
          <w:rFonts w:ascii="Times New Roman" w:hAnsi="Times New Roman" w:cs="Times New Roman"/>
          <w:color w:val="auto"/>
          <w:lang w:eastAsia="zh-CN"/>
        </w:rPr>
        <w:t>等。</w:t>
      </w:r>
    </w:p>
    <w:p w14:paraId="5C08E73A">
      <w:pPr>
        <w:widowControl w:val="0"/>
        <w:spacing w:line="360" w:lineRule="auto"/>
        <w:ind w:firstLine="480" w:firstLineChars="200"/>
        <w:jc w:val="both"/>
        <w:rPr>
          <w:rFonts w:ascii="Times New Roman" w:hAnsi="Times New Roman" w:cs="Times New Roman"/>
          <w:color w:val="000000" w:themeColor="text1"/>
          <w:lang w:eastAsia="zh-CN"/>
          <w14:textFill>
            <w14:solidFill>
              <w14:schemeClr w14:val="tx1"/>
            </w14:solidFill>
          </w14:textFill>
        </w:rPr>
      </w:pPr>
      <w:r>
        <w:rPr>
          <w:rFonts w:ascii="Times New Roman" w:hAnsi="Times New Roman" w:cs="Times New Roman"/>
          <w:color w:val="000000" w:themeColor="text1"/>
          <w:lang w:eastAsia="zh-CN"/>
          <w14:textFill>
            <w14:solidFill>
              <w14:schemeClr w14:val="tx1"/>
            </w14:solidFill>
          </w14:textFill>
        </w:rPr>
        <w:t>（2）结合总平面布置，按照主体工程、贮运工程、管线工程和环保工程，将项目厂区危险单元划分如下：</w:t>
      </w:r>
      <w:r>
        <w:rPr>
          <w:rFonts w:hint="eastAsia" w:ascii="Times New Roman" w:hAnsi="Times New Roman" w:cs="Times New Roman"/>
          <w:color w:val="000000" w:themeColor="text1"/>
          <w:lang w:eastAsia="zh-CN"/>
          <w14:textFill>
            <w14:solidFill>
              <w14:schemeClr w14:val="tx1"/>
            </w14:solidFill>
          </w14:textFill>
        </w:rPr>
        <w:t>综合</w:t>
      </w:r>
      <w:r>
        <w:rPr>
          <w:rFonts w:ascii="Times New Roman" w:hAnsi="Times New Roman" w:cs="Times New Roman"/>
          <w:color w:val="000000" w:themeColor="text1"/>
          <w:lang w:eastAsia="zh-CN"/>
          <w14:textFill>
            <w14:solidFill>
              <w14:schemeClr w14:val="tx1"/>
            </w14:solidFill>
          </w14:textFill>
        </w:rPr>
        <w:t>车间、</w:t>
      </w:r>
      <w:r>
        <w:rPr>
          <w:rFonts w:hint="eastAsia" w:ascii="Times New Roman" w:hAnsi="Times New Roman" w:cs="Times New Roman"/>
          <w:color w:val="000000" w:themeColor="text1"/>
          <w:lang w:eastAsia="zh-CN"/>
          <w14:textFill>
            <w14:solidFill>
              <w14:schemeClr w14:val="tx1"/>
            </w14:solidFill>
          </w14:textFill>
        </w:rPr>
        <w:t>刻蚀液混配车间、无水氟化氢库房、原料及产品罐区、戊类罐区二</w:t>
      </w:r>
      <w:r>
        <w:rPr>
          <w:rFonts w:ascii="Times New Roman" w:hAnsi="Times New Roman" w:cs="Times New Roman"/>
          <w:color w:val="000000" w:themeColor="text1"/>
          <w:lang w:eastAsia="zh-CN"/>
          <w14:textFill>
            <w14:solidFill>
              <w14:schemeClr w14:val="tx1"/>
            </w14:solidFill>
          </w14:textFill>
        </w:rPr>
        <w:t>、危废库等。</w:t>
      </w:r>
    </w:p>
    <w:p w14:paraId="5C9B79BB">
      <w:pPr>
        <w:widowControl w:val="0"/>
        <w:spacing w:line="360" w:lineRule="auto"/>
        <w:ind w:firstLine="480" w:firstLineChars="200"/>
        <w:jc w:val="both"/>
        <w:rPr>
          <w:rFonts w:ascii="Times New Roman" w:hAnsi="Times New Roman" w:cs="Times New Roman"/>
          <w:color w:val="000000" w:themeColor="text1"/>
          <w:lang w:eastAsia="zh-CN"/>
          <w14:textFill>
            <w14:solidFill>
              <w14:schemeClr w14:val="tx1"/>
            </w14:solidFill>
          </w14:textFill>
        </w:rPr>
      </w:pPr>
      <w:r>
        <w:rPr>
          <w:rFonts w:ascii="Times New Roman" w:hAnsi="Times New Roman" w:cs="Times New Roman"/>
          <w:color w:val="000000" w:themeColor="text1"/>
          <w:lang w:eastAsia="zh-CN"/>
          <w14:textFill>
            <w14:solidFill>
              <w14:schemeClr w14:val="tx1"/>
            </w14:solidFill>
          </w14:textFill>
        </w:rPr>
        <w:t>（3）本次评价风险事故类型：</w:t>
      </w:r>
    </w:p>
    <w:p w14:paraId="56BF99B1">
      <w:pPr>
        <w:widowControl w:val="0"/>
        <w:spacing w:line="360" w:lineRule="auto"/>
        <w:ind w:firstLine="480" w:firstLineChars="200"/>
        <w:jc w:val="both"/>
        <w:rPr>
          <w:rFonts w:ascii="Times New Roman" w:hAnsi="Times New Roman" w:cs="Times New Roman"/>
          <w:snapToGrid/>
          <w:color w:val="000000" w:themeColor="text1"/>
          <w:spacing w:val="-2"/>
          <w:szCs w:val="24"/>
          <w:lang w:eastAsia="zh-CN"/>
          <w14:textFill>
            <w14:solidFill>
              <w14:schemeClr w14:val="tx1"/>
            </w14:solidFill>
          </w14:textFill>
        </w:rPr>
      </w:pPr>
      <w:r>
        <w:rPr>
          <w:rFonts w:ascii="Times New Roman" w:hAnsi="Times New Roman" w:cs="Times New Roman"/>
          <w:color w:val="000000" w:themeColor="text1"/>
          <w:lang w:eastAsia="zh-CN"/>
          <w14:textFill>
            <w14:solidFill>
              <w14:schemeClr w14:val="tx1"/>
            </w14:solidFill>
          </w14:textFill>
        </w:rPr>
        <w:fldChar w:fldCharType="begin"/>
      </w:r>
      <w:r>
        <w:rPr>
          <w:rFonts w:ascii="Times New Roman" w:hAnsi="Times New Roman" w:cs="Times New Roman"/>
          <w:color w:val="000000" w:themeColor="text1"/>
          <w:lang w:eastAsia="zh-CN"/>
          <w14:textFill>
            <w14:solidFill>
              <w14:schemeClr w14:val="tx1"/>
            </w14:solidFill>
          </w14:textFill>
        </w:rPr>
        <w:instrText xml:space="preserve"> </w:instrText>
      </w:r>
      <w:r>
        <w:rPr>
          <w:rFonts w:hint="eastAsia" w:ascii="Times New Roman" w:hAnsi="Times New Roman" w:cs="Times New Roman"/>
          <w:color w:val="000000" w:themeColor="text1"/>
          <w:lang w:eastAsia="zh-CN"/>
          <w14:textFill>
            <w14:solidFill>
              <w14:schemeClr w14:val="tx1"/>
            </w14:solidFill>
          </w14:textFill>
        </w:rPr>
        <w:instrText xml:space="preserve">= 1 \* GB3</w:instrText>
      </w:r>
      <w:r>
        <w:rPr>
          <w:rFonts w:ascii="Times New Roman" w:hAnsi="Times New Roman" w:cs="Times New Roman"/>
          <w:color w:val="000000" w:themeColor="text1"/>
          <w:lang w:eastAsia="zh-CN"/>
          <w14:textFill>
            <w14:solidFill>
              <w14:schemeClr w14:val="tx1"/>
            </w14:solidFill>
          </w14:textFill>
        </w:rPr>
        <w:instrText xml:space="preserve"> </w:instrText>
      </w:r>
      <w:r>
        <w:rPr>
          <w:rFonts w:ascii="Times New Roman" w:hAnsi="Times New Roman" w:cs="Times New Roman"/>
          <w:color w:val="000000" w:themeColor="text1"/>
          <w:lang w:eastAsia="zh-CN"/>
          <w14:textFill>
            <w14:solidFill>
              <w14:schemeClr w14:val="tx1"/>
            </w14:solidFill>
          </w14:textFill>
        </w:rPr>
        <w:fldChar w:fldCharType="separate"/>
      </w:r>
      <w:r>
        <w:rPr>
          <w:rFonts w:hint="eastAsia" w:ascii="Times New Roman" w:hAnsi="Times New Roman" w:cs="Times New Roman"/>
          <w:color w:val="000000" w:themeColor="text1"/>
          <w:lang w:eastAsia="zh-CN"/>
          <w14:textFill>
            <w14:solidFill>
              <w14:schemeClr w14:val="tx1"/>
            </w14:solidFill>
          </w14:textFill>
        </w:rPr>
        <w:t>①</w:t>
      </w:r>
      <w:r>
        <w:rPr>
          <w:rFonts w:ascii="Times New Roman" w:hAnsi="Times New Roman" w:cs="Times New Roman"/>
          <w:color w:val="000000" w:themeColor="text1"/>
          <w:lang w:eastAsia="zh-CN"/>
          <w14:textFill>
            <w14:solidFill>
              <w14:schemeClr w14:val="tx1"/>
            </w14:solidFill>
          </w14:textFill>
        </w:rPr>
        <w:fldChar w:fldCharType="end"/>
      </w:r>
      <w:r>
        <w:rPr>
          <w:rFonts w:hint="eastAsia" w:ascii="Times New Roman" w:hAnsi="Times New Roman" w:cs="Times New Roman"/>
          <w:color w:val="000000" w:themeColor="text1"/>
          <w:lang w:eastAsia="zh-CN"/>
          <w14:textFill>
            <w14:solidFill>
              <w14:schemeClr w14:val="tx1"/>
            </w14:solidFill>
          </w14:textFill>
        </w:rPr>
        <w:t>戊类罐区二化学纯氢氟酸储罐泄漏</w:t>
      </w:r>
      <w:r>
        <w:rPr>
          <w:rFonts w:hint="eastAsia" w:ascii="Times New Roman" w:hAnsi="Times New Roman" w:cs="Times New Roman"/>
          <w:snapToGrid/>
          <w:color w:val="000000" w:themeColor="text1"/>
          <w:spacing w:val="-2"/>
          <w:szCs w:val="24"/>
          <w:lang w:eastAsia="zh-CN"/>
          <w14:textFill>
            <w14:solidFill>
              <w14:schemeClr w14:val="tx1"/>
            </w14:solidFill>
          </w14:textFill>
        </w:rPr>
        <w:t>；</w:t>
      </w:r>
      <w:r>
        <w:rPr>
          <w:rFonts w:hint="eastAsia" w:ascii="Times New Roman" w:hAnsi="Times New Roman" w:cs="Times New Roman"/>
          <w:color w:val="000000" w:themeColor="text1"/>
          <w:lang w:eastAsia="zh-CN"/>
          <w14:textFill>
            <w14:solidFill>
              <w14:schemeClr w14:val="tx1"/>
            </w14:solidFill>
          </w14:textFill>
        </w:rPr>
        <w:t>化学纯氢氟酸储罐泄漏</w:t>
      </w:r>
      <w:r>
        <w:rPr>
          <w:rFonts w:hint="eastAsia" w:ascii="Times New Roman" w:hAnsi="Times New Roman" w:cs="Times New Roman"/>
          <w:snapToGrid/>
          <w:color w:val="000000" w:themeColor="text1"/>
          <w:spacing w:val="-2"/>
          <w:szCs w:val="24"/>
          <w:lang w:eastAsia="zh-CN"/>
          <w14:textFill>
            <w14:solidFill>
              <w14:schemeClr w14:val="tx1"/>
            </w14:solidFill>
          </w14:textFill>
        </w:rPr>
        <w:t>与管道连接处破裂，泄漏至围堰形成液池，化学纯氢氟酸挥发至大气环境造成环境风险事故；</w:t>
      </w:r>
    </w:p>
    <w:p w14:paraId="4FCF3E3D">
      <w:pPr>
        <w:widowControl w:val="0"/>
        <w:spacing w:line="360" w:lineRule="auto"/>
        <w:ind w:firstLine="472" w:firstLineChars="200"/>
        <w:jc w:val="both"/>
        <w:rPr>
          <w:rFonts w:ascii="Times New Roman" w:hAnsi="Times New Roman" w:cs="Times New Roman"/>
          <w:snapToGrid/>
          <w:color w:val="000000" w:themeColor="text1"/>
          <w:spacing w:val="-2"/>
          <w:szCs w:val="24"/>
          <w:lang w:eastAsia="zh-CN"/>
          <w14:textFill>
            <w14:solidFill>
              <w14:schemeClr w14:val="tx1"/>
            </w14:solidFill>
          </w14:textFill>
        </w:rPr>
      </w:pPr>
      <w:r>
        <w:rPr>
          <w:rFonts w:hint="eastAsia" w:ascii="Times New Roman" w:hAnsi="Times New Roman" w:cs="Times New Roman"/>
          <w:snapToGrid/>
          <w:color w:val="000000" w:themeColor="text1"/>
          <w:spacing w:val="-2"/>
          <w:szCs w:val="24"/>
          <w:lang w:eastAsia="zh-CN"/>
          <w14:textFill>
            <w14:solidFill>
              <w14:schemeClr w14:val="tx1"/>
            </w14:solidFill>
          </w14:textFill>
        </w:rPr>
        <w:t>②31%盐酸储罐泄漏；31%盐酸储罐与管道连接处破裂，泄漏至围堰形成液池，31%盐酸储罐挥发至大气环境造成环境风险事故；</w:t>
      </w:r>
    </w:p>
    <w:p w14:paraId="2BFC7DED">
      <w:pPr>
        <w:widowControl w:val="0"/>
        <w:spacing w:line="360" w:lineRule="auto"/>
        <w:ind w:firstLine="480" w:firstLineChars="200"/>
        <w:jc w:val="both"/>
        <w:rPr>
          <w:rFonts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（4）</w:t>
      </w:r>
      <w:r>
        <w:rPr>
          <w:rFonts w:ascii="Times New Roman" w:hAnsi="Times New Roman" w:cs="Times New Roman"/>
          <w:color w:val="000000" w:themeColor="text1"/>
          <w:lang w:eastAsia="zh-CN"/>
          <w14:textFill>
            <w14:solidFill>
              <w14:schemeClr w14:val="tx1"/>
            </w14:solidFill>
          </w14:textFill>
        </w:rPr>
        <w:t>预测结果</w:t>
      </w:r>
      <w:r>
        <w:rPr>
          <w:rFonts w:hint="eastAsia" w:ascii="Times New Roman" w:hAnsi="Times New Roman" w:cs="Times New Roman"/>
          <w:color w:val="000000" w:themeColor="text1"/>
          <w:lang w:eastAsia="zh-CN"/>
          <w14:textFill>
            <w14:solidFill>
              <w14:schemeClr w14:val="tx1"/>
            </w14:solidFill>
          </w14:textFill>
        </w:rPr>
        <w:t>如下：</w:t>
      </w:r>
    </w:p>
    <w:p w14:paraId="067FD59A">
      <w:pPr>
        <w:widowControl w:val="0"/>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hint="eastAsia" w:ascii="Times New Roman" w:hAnsi="Times New Roman" w:cs="Times New Roman"/>
          <w:color w:val="000000" w:themeColor="text1"/>
          <w:szCs w:val="24"/>
          <w:lang w:eastAsia="zh-CN"/>
          <w14:textFill>
            <w14:solidFill>
              <w14:schemeClr w14:val="tx1"/>
            </w14:solidFill>
          </w14:textFill>
        </w:rPr>
        <w:t>①化学纯氢氟酸储罐</w:t>
      </w:r>
      <w:r>
        <w:rPr>
          <w:rFonts w:ascii="Times New Roman" w:hAnsi="Times New Roman" w:cs="Times New Roman"/>
          <w:color w:val="000000" w:themeColor="text1"/>
          <w:szCs w:val="24"/>
          <w:lang w:eastAsia="zh-CN"/>
          <w14:textFill>
            <w14:solidFill>
              <w14:schemeClr w14:val="tx1"/>
            </w14:solidFill>
          </w14:textFill>
        </w:rPr>
        <w:t>泄漏</w:t>
      </w:r>
      <w:r>
        <w:rPr>
          <w:rFonts w:hint="eastAsia" w:ascii="Times New Roman" w:hAnsi="Times New Roman" w:cs="Times New Roman"/>
          <w:color w:val="000000" w:themeColor="text1"/>
          <w:szCs w:val="24"/>
          <w:lang w:eastAsia="zh-CN"/>
          <w14:textFill>
            <w14:solidFill>
              <w14:schemeClr w14:val="tx1"/>
            </w14:solidFill>
          </w14:textFill>
        </w:rPr>
        <w:t>：</w:t>
      </w:r>
      <w:r>
        <w:rPr>
          <w:rFonts w:ascii="Times New Roman" w:hAnsi="Times New Roman" w:cs="Times New Roman"/>
          <w:color w:val="000000" w:themeColor="text1"/>
          <w:szCs w:val="24"/>
          <w:lang w:eastAsia="zh-CN"/>
          <w14:textFill>
            <w14:solidFill>
              <w14:schemeClr w14:val="tx1"/>
            </w14:solidFill>
          </w14:textFill>
        </w:rPr>
        <w:t>最不利气象条件下</w:t>
      </w:r>
      <w:r>
        <w:rPr>
          <w:rFonts w:hint="eastAsia" w:ascii="Times New Roman" w:hAnsi="Times New Roman" w:cs="Times New Roman"/>
          <w:color w:val="000000" w:themeColor="text1"/>
          <w:szCs w:val="24"/>
          <w:lang w:eastAsia="zh-CN"/>
          <w14:textFill>
            <w14:solidFill>
              <w14:schemeClr w14:val="tx1"/>
            </w14:solidFill>
          </w14:textFill>
        </w:rPr>
        <w:t>氟化氢</w:t>
      </w:r>
      <w:r>
        <w:rPr>
          <w:rFonts w:ascii="Times New Roman" w:hAnsi="Times New Roman" w:cs="Times New Roman"/>
          <w:color w:val="000000" w:themeColor="text1"/>
          <w:szCs w:val="24"/>
          <w:lang w:eastAsia="zh-CN"/>
          <w14:textFill>
            <w14:solidFill>
              <w14:schemeClr w14:val="tx1"/>
            </w14:solidFill>
          </w14:textFill>
        </w:rPr>
        <w:t>达到</w:t>
      </w:r>
      <w:r>
        <w:rPr>
          <w:rFonts w:hint="eastAsia" w:ascii="Times New Roman" w:hAnsi="Times New Roman" w:cs="Times New Roman"/>
          <w:color w:val="000000" w:themeColor="text1"/>
          <w:szCs w:val="24"/>
          <w:lang w:eastAsia="zh-CN"/>
          <w14:textFill>
            <w14:solidFill>
              <w14:schemeClr w14:val="tx1"/>
            </w14:solidFill>
          </w14:textFill>
        </w:rPr>
        <w:t>1</w:t>
      </w:r>
      <w:r>
        <w:rPr>
          <w:rFonts w:ascii="Times New Roman" w:hAnsi="Times New Roman" w:cs="Times New Roman"/>
          <w:color w:val="000000" w:themeColor="text1"/>
          <w:szCs w:val="24"/>
          <w:lang w:eastAsia="zh-CN"/>
          <w14:textFill>
            <w14:solidFill>
              <w14:schemeClr w14:val="tx1"/>
            </w14:solidFill>
          </w14:textFill>
        </w:rPr>
        <w:t>级大气毒性终点浓度标准最大距离</w:t>
      </w:r>
      <w:r>
        <w:rPr>
          <w:rFonts w:hint="eastAsia" w:ascii="Times New Roman" w:hAnsi="Times New Roman" w:cs="Times New Roman"/>
          <w:color w:val="000000" w:themeColor="text1"/>
          <w:szCs w:val="24"/>
          <w:lang w:eastAsia="zh-CN"/>
          <w14:textFill>
            <w14:solidFill>
              <w14:schemeClr w14:val="tx1"/>
            </w14:solidFill>
          </w14:textFill>
        </w:rPr>
        <w:t>450</w:t>
      </w:r>
      <w:r>
        <w:rPr>
          <w:rFonts w:ascii="Times New Roman" w:hAnsi="Times New Roman" w:cs="Times New Roman"/>
          <w:color w:val="000000" w:themeColor="text1"/>
          <w:szCs w:val="24"/>
          <w:lang w:eastAsia="zh-CN"/>
          <w14:textFill>
            <w14:solidFill>
              <w14:schemeClr w14:val="tx1"/>
            </w14:solidFill>
          </w14:textFill>
        </w:rPr>
        <w:t>m，最大半宽</w:t>
      </w:r>
      <w:r>
        <w:rPr>
          <w:rFonts w:hint="eastAsia" w:ascii="Times New Roman" w:hAnsi="Times New Roman" w:cs="Times New Roman"/>
          <w:color w:val="000000" w:themeColor="text1"/>
          <w:szCs w:val="24"/>
          <w:lang w:eastAsia="zh-CN"/>
          <w14:textFill>
            <w14:solidFill>
              <w14:schemeClr w14:val="tx1"/>
            </w14:solidFill>
          </w14:textFill>
        </w:rPr>
        <w:t>25</w:t>
      </w:r>
      <w:r>
        <w:rPr>
          <w:rFonts w:ascii="Times New Roman" w:hAnsi="Times New Roman" w:cs="Times New Roman"/>
          <w:color w:val="000000" w:themeColor="text1"/>
          <w:szCs w:val="24"/>
          <w:lang w:eastAsia="zh-CN"/>
          <w14:textFill>
            <w14:solidFill>
              <w14:schemeClr w14:val="tx1"/>
            </w14:solidFill>
          </w14:textFill>
        </w:rPr>
        <w:t>m，达到2级大气毒性终点浓度标准最大距离</w:t>
      </w:r>
      <w:r>
        <w:rPr>
          <w:rFonts w:hint="eastAsia" w:ascii="Times New Roman" w:hAnsi="Times New Roman" w:cs="Times New Roman"/>
          <w:color w:val="000000" w:themeColor="text1"/>
          <w:szCs w:val="24"/>
          <w:lang w:eastAsia="zh-CN"/>
          <w14:textFill>
            <w14:solidFill>
              <w14:schemeClr w14:val="tx1"/>
            </w14:solidFill>
          </w14:textFill>
        </w:rPr>
        <w:t>640</w:t>
      </w:r>
      <w:r>
        <w:rPr>
          <w:rFonts w:ascii="Times New Roman" w:hAnsi="Times New Roman" w:cs="Times New Roman"/>
          <w:color w:val="000000" w:themeColor="text1"/>
          <w:szCs w:val="24"/>
          <w:lang w:eastAsia="zh-CN"/>
          <w14:textFill>
            <w14:solidFill>
              <w14:schemeClr w14:val="tx1"/>
            </w14:solidFill>
          </w14:textFill>
        </w:rPr>
        <w:t>m，最大半宽</w:t>
      </w:r>
      <w:r>
        <w:rPr>
          <w:rFonts w:hint="eastAsia" w:ascii="Times New Roman" w:hAnsi="Times New Roman" w:cs="Times New Roman"/>
          <w:color w:val="000000" w:themeColor="text1"/>
          <w:szCs w:val="24"/>
          <w:lang w:eastAsia="zh-CN"/>
          <w14:textFill>
            <w14:solidFill>
              <w14:schemeClr w14:val="tx1"/>
            </w14:solidFill>
          </w14:textFill>
        </w:rPr>
        <w:t>35</w:t>
      </w:r>
      <w:r>
        <w:rPr>
          <w:rFonts w:ascii="Times New Roman" w:hAnsi="Times New Roman" w:cs="Times New Roman"/>
          <w:color w:val="000000" w:themeColor="text1"/>
          <w:szCs w:val="24"/>
          <w:lang w:eastAsia="zh-CN"/>
          <w14:textFill>
            <w14:solidFill>
              <w14:schemeClr w14:val="tx1"/>
            </w14:solidFill>
          </w14:textFill>
        </w:rPr>
        <w:t>m；最常见气象条件下</w:t>
      </w:r>
      <w:r>
        <w:rPr>
          <w:rFonts w:hint="eastAsia" w:ascii="Times New Roman" w:hAnsi="Times New Roman" w:cs="Times New Roman"/>
          <w:color w:val="000000" w:themeColor="text1"/>
          <w:szCs w:val="24"/>
          <w:lang w:eastAsia="zh-CN"/>
          <w14:textFill>
            <w14:solidFill>
              <w14:schemeClr w14:val="tx1"/>
            </w14:solidFill>
          </w14:textFill>
        </w:rPr>
        <w:t>氟化氢</w:t>
      </w:r>
      <w:r>
        <w:rPr>
          <w:rFonts w:ascii="Times New Roman" w:hAnsi="Times New Roman" w:cs="Times New Roman"/>
          <w:color w:val="000000" w:themeColor="text1"/>
          <w:szCs w:val="24"/>
          <w:lang w:eastAsia="zh-CN"/>
          <w14:textFill>
            <w14:solidFill>
              <w14:schemeClr w14:val="tx1"/>
            </w14:solidFill>
          </w14:textFill>
        </w:rPr>
        <w:t>达到</w:t>
      </w:r>
      <w:r>
        <w:rPr>
          <w:rFonts w:hint="eastAsia" w:ascii="Times New Roman" w:hAnsi="Times New Roman" w:cs="Times New Roman"/>
          <w:color w:val="000000" w:themeColor="text1"/>
          <w:szCs w:val="24"/>
          <w:lang w:eastAsia="zh-CN"/>
          <w14:textFill>
            <w14:solidFill>
              <w14:schemeClr w14:val="tx1"/>
            </w14:solidFill>
          </w14:textFill>
        </w:rPr>
        <w:t>1</w:t>
      </w:r>
      <w:r>
        <w:rPr>
          <w:rFonts w:ascii="Times New Roman" w:hAnsi="Times New Roman" w:cs="Times New Roman"/>
          <w:color w:val="000000" w:themeColor="text1"/>
          <w:szCs w:val="24"/>
          <w:lang w:eastAsia="zh-CN"/>
          <w14:textFill>
            <w14:solidFill>
              <w14:schemeClr w14:val="tx1"/>
            </w14:solidFill>
          </w14:textFill>
        </w:rPr>
        <w:t>级大气毒性终点浓度标准最大距离</w:t>
      </w:r>
      <w:r>
        <w:rPr>
          <w:rFonts w:hint="eastAsia" w:ascii="Times New Roman" w:hAnsi="Times New Roman" w:cs="Times New Roman"/>
          <w:color w:val="000000" w:themeColor="text1"/>
          <w:szCs w:val="24"/>
          <w:lang w:eastAsia="zh-CN"/>
          <w14:textFill>
            <w14:solidFill>
              <w14:schemeClr w14:val="tx1"/>
            </w14:solidFill>
          </w14:textFill>
        </w:rPr>
        <w:t>210</w:t>
      </w:r>
      <w:r>
        <w:rPr>
          <w:rFonts w:ascii="Times New Roman" w:hAnsi="Times New Roman" w:cs="Times New Roman"/>
          <w:color w:val="000000" w:themeColor="text1"/>
          <w:szCs w:val="24"/>
          <w:lang w:eastAsia="zh-CN"/>
          <w14:textFill>
            <w14:solidFill>
              <w14:schemeClr w14:val="tx1"/>
            </w14:solidFill>
          </w14:textFill>
        </w:rPr>
        <w:t>m，最大半宽</w:t>
      </w:r>
      <w:r>
        <w:rPr>
          <w:rFonts w:hint="eastAsia" w:ascii="Times New Roman" w:hAnsi="Times New Roman" w:cs="Times New Roman"/>
          <w:color w:val="000000" w:themeColor="text1"/>
          <w:szCs w:val="24"/>
          <w:lang w:eastAsia="zh-CN"/>
          <w14:textFill>
            <w14:solidFill>
              <w14:schemeClr w14:val="tx1"/>
            </w14:solidFill>
          </w14:textFill>
        </w:rPr>
        <w:t>26</w:t>
      </w:r>
      <w:r>
        <w:rPr>
          <w:rFonts w:ascii="Times New Roman" w:hAnsi="Times New Roman" w:cs="Times New Roman"/>
          <w:color w:val="000000" w:themeColor="text1"/>
          <w:szCs w:val="24"/>
          <w:lang w:eastAsia="zh-CN"/>
          <w14:textFill>
            <w14:solidFill>
              <w14:schemeClr w14:val="tx1"/>
            </w14:solidFill>
          </w14:textFill>
        </w:rPr>
        <w:t>m，达到2级大气毒性终点浓度标准最大距离</w:t>
      </w:r>
      <w:r>
        <w:rPr>
          <w:rFonts w:hint="eastAsia" w:ascii="Times New Roman" w:hAnsi="Times New Roman" w:cs="Times New Roman"/>
          <w:color w:val="000000" w:themeColor="text1"/>
          <w:szCs w:val="24"/>
          <w:lang w:eastAsia="zh-CN"/>
          <w14:textFill>
            <w14:solidFill>
              <w14:schemeClr w14:val="tx1"/>
            </w14:solidFill>
          </w14:textFill>
        </w:rPr>
        <w:t>300</w:t>
      </w:r>
      <w:r>
        <w:rPr>
          <w:rFonts w:ascii="Times New Roman" w:hAnsi="Times New Roman" w:cs="Times New Roman"/>
          <w:color w:val="000000" w:themeColor="text1"/>
          <w:szCs w:val="24"/>
          <w:lang w:eastAsia="zh-CN"/>
          <w14:textFill>
            <w14:solidFill>
              <w14:schemeClr w14:val="tx1"/>
            </w14:solidFill>
          </w14:textFill>
        </w:rPr>
        <w:t>m，最大半宽</w:t>
      </w:r>
      <w:r>
        <w:rPr>
          <w:rFonts w:hint="eastAsia" w:ascii="Times New Roman" w:hAnsi="Times New Roman" w:cs="Times New Roman"/>
          <w:color w:val="000000" w:themeColor="text1"/>
          <w:szCs w:val="24"/>
          <w:lang w:eastAsia="zh-CN"/>
          <w14:textFill>
            <w14:solidFill>
              <w14:schemeClr w14:val="tx1"/>
            </w14:solidFill>
          </w14:textFill>
        </w:rPr>
        <w:t>36</w:t>
      </w:r>
      <w:r>
        <w:rPr>
          <w:rFonts w:ascii="Times New Roman" w:hAnsi="Times New Roman" w:cs="Times New Roman"/>
          <w:color w:val="000000" w:themeColor="text1"/>
          <w:szCs w:val="24"/>
          <w:lang w:eastAsia="zh-CN"/>
          <w14:textFill>
            <w14:solidFill>
              <w14:schemeClr w14:val="tx1"/>
            </w14:solidFill>
          </w14:textFill>
        </w:rPr>
        <w:t>m</w:t>
      </w:r>
      <w:r>
        <w:rPr>
          <w:rFonts w:hint="eastAsia" w:ascii="Times New Roman" w:hAnsi="Times New Roman" w:cs="Times New Roman"/>
          <w:color w:val="000000" w:themeColor="text1"/>
          <w:szCs w:val="24"/>
          <w:lang w:eastAsia="zh-CN"/>
          <w14:textFill>
            <w14:solidFill>
              <w14:schemeClr w14:val="tx1"/>
            </w14:solidFill>
          </w14:textFill>
        </w:rPr>
        <w:t>；</w:t>
      </w:r>
    </w:p>
    <w:p w14:paraId="71321636">
      <w:pPr>
        <w:widowControl w:val="0"/>
        <w:spacing w:line="360" w:lineRule="auto"/>
        <w:ind w:firstLine="480" w:firstLineChars="200"/>
        <w:jc w:val="both"/>
        <w:rPr>
          <w:rFonts w:ascii="Times New Roman" w:hAnsi="Times New Roman" w:cs="Times New Roman"/>
          <w:color w:val="EE0000"/>
          <w:szCs w:val="24"/>
          <w:lang w:eastAsia="zh-CN"/>
        </w:rPr>
      </w:pPr>
      <w:r>
        <w:rPr>
          <w:rFonts w:hint="eastAsia" w:ascii="Times New Roman" w:hAnsi="Times New Roman" w:cs="Times New Roman"/>
          <w:color w:val="000000" w:themeColor="text1"/>
          <w:szCs w:val="24"/>
          <w:lang w:eastAsia="zh-CN"/>
          <w14:textFill>
            <w14:solidFill>
              <w14:schemeClr w14:val="tx1"/>
            </w14:solidFill>
          </w14:textFill>
        </w:rPr>
        <w:t>②31%盐酸储罐泄漏：</w:t>
      </w:r>
      <w:r>
        <w:rPr>
          <w:rFonts w:ascii="Times New Roman" w:hAnsi="Times New Roman" w:cs="Times New Roman"/>
          <w:color w:val="000000" w:themeColor="text1"/>
          <w:szCs w:val="24"/>
          <w:lang w:eastAsia="zh-CN"/>
          <w14:textFill>
            <w14:solidFill>
              <w14:schemeClr w14:val="tx1"/>
            </w14:solidFill>
          </w14:textFill>
        </w:rPr>
        <w:t>最不利气象条件下</w:t>
      </w:r>
      <w:r>
        <w:rPr>
          <w:rFonts w:hint="eastAsia" w:ascii="Times New Roman" w:hAnsi="Times New Roman" w:cs="Times New Roman"/>
          <w:color w:val="000000" w:themeColor="text1"/>
          <w:szCs w:val="24"/>
          <w:lang w:eastAsia="zh-CN"/>
          <w14:textFill>
            <w14:solidFill>
              <w14:schemeClr w14:val="tx1"/>
            </w14:solidFill>
          </w14:textFill>
        </w:rPr>
        <w:t>氯化氢</w:t>
      </w:r>
      <w:r>
        <w:rPr>
          <w:rFonts w:ascii="Times New Roman" w:hAnsi="Times New Roman" w:cs="Times New Roman"/>
          <w:color w:val="000000" w:themeColor="text1"/>
          <w:szCs w:val="24"/>
          <w:lang w:eastAsia="zh-CN"/>
          <w14:textFill>
            <w14:solidFill>
              <w14:schemeClr w14:val="tx1"/>
            </w14:solidFill>
          </w14:textFill>
        </w:rPr>
        <w:t>达到</w:t>
      </w:r>
      <w:r>
        <w:rPr>
          <w:rFonts w:hint="eastAsia" w:ascii="Times New Roman" w:hAnsi="Times New Roman" w:cs="Times New Roman"/>
          <w:color w:val="000000" w:themeColor="text1"/>
          <w:szCs w:val="24"/>
          <w:lang w:eastAsia="zh-CN"/>
          <w14:textFill>
            <w14:solidFill>
              <w14:schemeClr w14:val="tx1"/>
            </w14:solidFill>
          </w14:textFill>
        </w:rPr>
        <w:t>1</w:t>
      </w:r>
      <w:r>
        <w:rPr>
          <w:rFonts w:ascii="Times New Roman" w:hAnsi="Times New Roman" w:cs="Times New Roman"/>
          <w:color w:val="000000" w:themeColor="text1"/>
          <w:szCs w:val="24"/>
          <w:lang w:eastAsia="zh-CN"/>
          <w14:textFill>
            <w14:solidFill>
              <w14:schemeClr w14:val="tx1"/>
            </w14:solidFill>
          </w14:textFill>
        </w:rPr>
        <w:t>级大气毒性终点浓度标准最大距离</w:t>
      </w:r>
      <w:r>
        <w:rPr>
          <w:rFonts w:hint="eastAsia" w:ascii="Times New Roman" w:hAnsi="Times New Roman" w:cs="Times New Roman"/>
          <w:color w:val="000000" w:themeColor="text1"/>
          <w:szCs w:val="24"/>
          <w:lang w:eastAsia="zh-CN"/>
          <w14:textFill>
            <w14:solidFill>
              <w14:schemeClr w14:val="tx1"/>
            </w14:solidFill>
          </w14:textFill>
        </w:rPr>
        <w:t>220</w:t>
      </w:r>
      <w:r>
        <w:rPr>
          <w:rFonts w:ascii="Times New Roman" w:hAnsi="Times New Roman" w:cs="Times New Roman"/>
          <w:color w:val="000000" w:themeColor="text1"/>
          <w:szCs w:val="24"/>
          <w:lang w:eastAsia="zh-CN"/>
          <w14:textFill>
            <w14:solidFill>
              <w14:schemeClr w14:val="tx1"/>
            </w14:solidFill>
          </w14:textFill>
        </w:rPr>
        <w:t>m，最大半宽</w:t>
      </w:r>
      <w:r>
        <w:rPr>
          <w:rFonts w:hint="eastAsia" w:ascii="Times New Roman" w:hAnsi="Times New Roman" w:cs="Times New Roman"/>
          <w:color w:val="000000" w:themeColor="text1"/>
          <w:szCs w:val="24"/>
          <w:lang w:eastAsia="zh-CN"/>
          <w14:textFill>
            <w14:solidFill>
              <w14:schemeClr w14:val="tx1"/>
            </w14:solidFill>
          </w14:textFill>
        </w:rPr>
        <w:t>9</w:t>
      </w:r>
      <w:r>
        <w:rPr>
          <w:rFonts w:ascii="Times New Roman" w:hAnsi="Times New Roman" w:cs="Times New Roman"/>
          <w:color w:val="000000" w:themeColor="text1"/>
          <w:szCs w:val="24"/>
          <w:lang w:eastAsia="zh-CN"/>
          <w14:textFill>
            <w14:solidFill>
              <w14:schemeClr w14:val="tx1"/>
            </w14:solidFill>
          </w14:textFill>
        </w:rPr>
        <w:t>m，达到2级大气毒性终点浓度标准最大距离</w:t>
      </w:r>
      <w:r>
        <w:rPr>
          <w:rFonts w:hint="eastAsia" w:ascii="Times New Roman" w:hAnsi="Times New Roman" w:cs="Times New Roman"/>
          <w:color w:val="000000" w:themeColor="text1"/>
          <w:szCs w:val="24"/>
          <w:lang w:eastAsia="zh-CN"/>
          <w14:textFill>
            <w14:solidFill>
              <w14:schemeClr w14:val="tx1"/>
            </w14:solidFill>
          </w14:textFill>
        </w:rPr>
        <w:t>560</w:t>
      </w:r>
      <w:r>
        <w:rPr>
          <w:rFonts w:ascii="Times New Roman" w:hAnsi="Times New Roman" w:cs="Times New Roman"/>
          <w:color w:val="000000" w:themeColor="text1"/>
          <w:szCs w:val="24"/>
          <w:lang w:eastAsia="zh-CN"/>
          <w14:textFill>
            <w14:solidFill>
              <w14:schemeClr w14:val="tx1"/>
            </w14:solidFill>
          </w14:textFill>
        </w:rPr>
        <w:t>m，最大半宽</w:t>
      </w:r>
      <w:r>
        <w:rPr>
          <w:rFonts w:hint="eastAsia" w:ascii="Times New Roman" w:hAnsi="Times New Roman" w:cs="Times New Roman"/>
          <w:color w:val="000000" w:themeColor="text1"/>
          <w:szCs w:val="24"/>
          <w:lang w:eastAsia="zh-CN"/>
          <w14:textFill>
            <w14:solidFill>
              <w14:schemeClr w14:val="tx1"/>
            </w14:solidFill>
          </w14:textFill>
        </w:rPr>
        <w:t>22</w:t>
      </w:r>
      <w:r>
        <w:rPr>
          <w:rFonts w:ascii="Times New Roman" w:hAnsi="Times New Roman" w:cs="Times New Roman"/>
          <w:color w:val="000000" w:themeColor="text1"/>
          <w:szCs w:val="24"/>
          <w:lang w:eastAsia="zh-CN"/>
          <w14:textFill>
            <w14:solidFill>
              <w14:schemeClr w14:val="tx1"/>
            </w14:solidFill>
          </w14:textFill>
        </w:rPr>
        <w:t>m；最常见气象条件下</w:t>
      </w:r>
      <w:r>
        <w:rPr>
          <w:rFonts w:hint="eastAsia" w:ascii="Times New Roman" w:hAnsi="Times New Roman" w:cs="Times New Roman"/>
          <w:color w:val="000000" w:themeColor="text1"/>
          <w:szCs w:val="24"/>
          <w:lang w:eastAsia="zh-CN"/>
          <w14:textFill>
            <w14:solidFill>
              <w14:schemeClr w14:val="tx1"/>
            </w14:solidFill>
          </w14:textFill>
        </w:rPr>
        <w:t>氯化氢</w:t>
      </w:r>
      <w:r>
        <w:rPr>
          <w:rFonts w:ascii="Times New Roman" w:hAnsi="Times New Roman" w:cs="Times New Roman"/>
          <w:color w:val="000000" w:themeColor="text1"/>
          <w:szCs w:val="24"/>
          <w:lang w:eastAsia="zh-CN"/>
          <w14:textFill>
            <w14:solidFill>
              <w14:schemeClr w14:val="tx1"/>
            </w14:solidFill>
          </w14:textFill>
        </w:rPr>
        <w:t>达到</w:t>
      </w:r>
      <w:r>
        <w:rPr>
          <w:rFonts w:hint="eastAsia" w:ascii="Times New Roman" w:hAnsi="Times New Roman" w:cs="Times New Roman"/>
          <w:color w:val="000000" w:themeColor="text1"/>
          <w:szCs w:val="24"/>
          <w:lang w:eastAsia="zh-CN"/>
          <w14:textFill>
            <w14:solidFill>
              <w14:schemeClr w14:val="tx1"/>
            </w14:solidFill>
          </w14:textFill>
        </w:rPr>
        <w:t>1</w:t>
      </w:r>
      <w:r>
        <w:rPr>
          <w:rFonts w:ascii="Times New Roman" w:hAnsi="Times New Roman" w:cs="Times New Roman"/>
          <w:color w:val="000000" w:themeColor="text1"/>
          <w:szCs w:val="24"/>
          <w:lang w:eastAsia="zh-CN"/>
          <w14:textFill>
            <w14:solidFill>
              <w14:schemeClr w14:val="tx1"/>
            </w14:solidFill>
          </w14:textFill>
        </w:rPr>
        <w:t>级大气毒性终点浓度标准最大距离</w:t>
      </w:r>
      <w:r>
        <w:rPr>
          <w:rFonts w:hint="eastAsia" w:ascii="Times New Roman" w:hAnsi="Times New Roman" w:cs="Times New Roman"/>
          <w:color w:val="000000" w:themeColor="text1"/>
          <w:szCs w:val="24"/>
          <w:lang w:eastAsia="zh-CN"/>
          <w14:textFill>
            <w14:solidFill>
              <w14:schemeClr w14:val="tx1"/>
            </w14:solidFill>
          </w14:textFill>
        </w:rPr>
        <w:t>130</w:t>
      </w:r>
      <w:r>
        <w:rPr>
          <w:rFonts w:ascii="Times New Roman" w:hAnsi="Times New Roman" w:cs="Times New Roman"/>
          <w:color w:val="000000" w:themeColor="text1"/>
          <w:szCs w:val="24"/>
          <w:lang w:eastAsia="zh-CN"/>
          <w14:textFill>
            <w14:solidFill>
              <w14:schemeClr w14:val="tx1"/>
            </w14:solidFill>
          </w14:textFill>
        </w:rPr>
        <w:t>m，最大半宽</w:t>
      </w:r>
      <w:r>
        <w:rPr>
          <w:rFonts w:hint="eastAsia" w:ascii="Times New Roman" w:hAnsi="Times New Roman" w:cs="Times New Roman"/>
          <w:color w:val="000000" w:themeColor="text1"/>
          <w:szCs w:val="24"/>
          <w:lang w:eastAsia="zh-CN"/>
          <w14:textFill>
            <w14:solidFill>
              <w14:schemeClr w14:val="tx1"/>
            </w14:solidFill>
          </w14:textFill>
        </w:rPr>
        <w:t>12</w:t>
      </w:r>
      <w:r>
        <w:rPr>
          <w:rFonts w:ascii="Times New Roman" w:hAnsi="Times New Roman" w:cs="Times New Roman"/>
          <w:color w:val="000000" w:themeColor="text1"/>
          <w:szCs w:val="24"/>
          <w:lang w:eastAsia="zh-CN"/>
          <w14:textFill>
            <w14:solidFill>
              <w14:schemeClr w14:val="tx1"/>
            </w14:solidFill>
          </w14:textFill>
        </w:rPr>
        <w:t>m，达到2级大气毒性终点浓度标准最大距离</w:t>
      </w:r>
      <w:r>
        <w:rPr>
          <w:rFonts w:hint="eastAsia" w:ascii="Times New Roman" w:hAnsi="Times New Roman" w:cs="Times New Roman"/>
          <w:color w:val="000000" w:themeColor="text1"/>
          <w:szCs w:val="24"/>
          <w:lang w:eastAsia="zh-CN"/>
          <w14:textFill>
            <w14:solidFill>
              <w14:schemeClr w14:val="tx1"/>
            </w14:solidFill>
          </w14:textFill>
        </w:rPr>
        <w:t>320</w:t>
      </w:r>
      <w:r>
        <w:rPr>
          <w:rFonts w:ascii="Times New Roman" w:hAnsi="Times New Roman" w:cs="Times New Roman"/>
          <w:color w:val="000000" w:themeColor="text1"/>
          <w:szCs w:val="24"/>
          <w:lang w:eastAsia="zh-CN"/>
          <w14:textFill>
            <w14:solidFill>
              <w14:schemeClr w14:val="tx1"/>
            </w14:solidFill>
          </w14:textFill>
        </w:rPr>
        <w:t>m，最大半宽</w:t>
      </w:r>
      <w:r>
        <w:rPr>
          <w:rFonts w:hint="eastAsia" w:ascii="Times New Roman" w:hAnsi="Times New Roman" w:cs="Times New Roman"/>
          <w:color w:val="000000" w:themeColor="text1"/>
          <w:szCs w:val="24"/>
          <w:lang w:eastAsia="zh-CN"/>
          <w14:textFill>
            <w14:solidFill>
              <w14:schemeClr w14:val="tx1"/>
            </w14:solidFill>
          </w14:textFill>
        </w:rPr>
        <w:t>27</w:t>
      </w:r>
      <w:r>
        <w:rPr>
          <w:rFonts w:ascii="Times New Roman" w:hAnsi="Times New Roman" w:cs="Times New Roman"/>
          <w:color w:val="000000" w:themeColor="text1"/>
          <w:szCs w:val="24"/>
          <w:lang w:eastAsia="zh-CN"/>
          <w14:textFill>
            <w14:solidFill>
              <w14:schemeClr w14:val="tx1"/>
            </w14:solidFill>
          </w14:textFill>
        </w:rPr>
        <w:t>m</w:t>
      </w:r>
      <w:r>
        <w:rPr>
          <w:rFonts w:hint="eastAsia" w:ascii="Times New Roman" w:hAnsi="Times New Roman" w:cs="Times New Roman"/>
          <w:color w:val="000000" w:themeColor="text1"/>
          <w:szCs w:val="24"/>
          <w:lang w:eastAsia="zh-CN"/>
          <w14:textFill>
            <w14:solidFill>
              <w14:schemeClr w14:val="tx1"/>
            </w14:solidFill>
          </w14:textFill>
        </w:rPr>
        <w:t>；</w:t>
      </w:r>
    </w:p>
    <w:p w14:paraId="2863190F">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（5）事故废水采取三级防控管理。1座事故池，总有效容积为</w:t>
      </w:r>
      <w:r>
        <w:rPr>
          <w:rFonts w:hint="eastAsia" w:ascii="Times New Roman" w:hAnsi="Times New Roman" w:cs="Times New Roman"/>
          <w:color w:val="auto"/>
          <w:lang w:eastAsia="zh-CN"/>
        </w:rPr>
        <w:t>672.3</w:t>
      </w:r>
      <w:r>
        <w:rPr>
          <w:rFonts w:ascii="Times New Roman" w:hAnsi="Times New Roman" w:cs="Times New Roman"/>
          <w:color w:val="auto"/>
          <w:lang w:eastAsia="zh-CN"/>
        </w:rPr>
        <w:t>m</w:t>
      </w:r>
      <w:r>
        <w:rPr>
          <w:rFonts w:ascii="Times New Roman" w:hAnsi="Times New Roman" w:cs="Times New Roman"/>
          <w:color w:val="auto"/>
          <w:vertAlign w:val="superscript"/>
          <w:lang w:eastAsia="zh-CN"/>
        </w:rPr>
        <w:t>3</w:t>
      </w:r>
      <w:r>
        <w:rPr>
          <w:rFonts w:ascii="Times New Roman" w:hAnsi="Times New Roman" w:cs="Times New Roman"/>
          <w:color w:val="auto"/>
          <w:lang w:eastAsia="zh-CN"/>
        </w:rPr>
        <w:t>，满足事故状况下泄漏物料、消防废水、生产废水以及事故降雨的收集和储存要求，厂内初期雨水与事故池均设有与外界水体隔绝的控制阀门，发生火灾事故时，将事故废水收集，收集后进入公司污水处理站处理达标后排入园区污水管网，进入沫河口污水处理厂处理。</w:t>
      </w:r>
    </w:p>
    <w:p w14:paraId="7CC5133C">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（6）建设单位从源头控制、分区防渗、跟踪监测和应急响应方面采取了地下水污染控制措施，可最大程度降低地下水环境风险。</w:t>
      </w:r>
    </w:p>
    <w:p w14:paraId="2F7FED3E">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（7）厂外运输采用公路运输方式，依托当地公路进行运输。运输任务由第三方物资公司承担，运输过程风险管理及应急防范措施由运输公司负责，不属于本次环境风险评价内容。</w:t>
      </w:r>
    </w:p>
    <w:p w14:paraId="59BD3485">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8）项目在设计过程已经采取了有效的安全防范措施，建设单位应与园区和地方有关应急机构实现联动。建设单位应按照要求编制企业突发事件应急预案和专项应急预案，成立环境风险应急处理事故领导小组，配备足够事故应急物资，事故发生后立即启动应急措施，控制、削减风险危害，并进行应急跟踪监测，确保事故危害降至最低。</w:t>
      </w:r>
    </w:p>
    <w:p w14:paraId="4A94B9B8">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（9）由于事故触发因素不确定性，本项目事故情形设定并不能包含全部环境风险，事故情形设定建立在风险识别基础上，通过对代表性事故分析力求为风险管理提供科学依据。</w:t>
      </w:r>
    </w:p>
    <w:p w14:paraId="79693C4C">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综上所述，本评价认为，在有效落实风险防范措施和事故应急预案的前提下，从环境风险评价角度，项目环境风险可以防控</w:t>
      </w:r>
      <w:r>
        <w:rPr>
          <w:rFonts w:hint="eastAsia" w:ascii="Times New Roman" w:hAnsi="Times New Roman" w:cs="Times New Roman"/>
          <w:color w:val="auto"/>
          <w:lang w:eastAsia="zh-CN"/>
        </w:rPr>
        <w:t>。</w:t>
      </w:r>
    </w:p>
    <w:p w14:paraId="6F98493C">
      <w:pPr>
        <w:widowControl w:val="0"/>
        <w:spacing w:line="360" w:lineRule="auto"/>
        <w:ind w:firstLine="482"/>
        <w:jc w:val="both"/>
        <w:outlineLvl w:val="2"/>
        <w:rPr>
          <w:rFonts w:ascii="Times New Roman" w:hAnsi="Times New Roman" w:cs="Times New Roman"/>
          <w:b/>
          <w:bCs/>
          <w:color w:val="auto"/>
          <w:lang w:eastAsia="zh-CN"/>
        </w:rPr>
      </w:pPr>
      <w:bookmarkStart w:id="2265" w:name="_Toc225784163"/>
      <w:bookmarkStart w:id="2266" w:name="_Toc204515304"/>
      <w:bookmarkStart w:id="2267" w:name="_Toc221900943"/>
      <w:bookmarkStart w:id="2268" w:name="_Toc175164372"/>
      <w:bookmarkStart w:id="2269" w:name="_Toc217662775"/>
      <w:bookmarkStart w:id="2270" w:name="_Toc231828684"/>
      <w:bookmarkStart w:id="2271" w:name="_Toc236641931"/>
      <w:bookmarkStart w:id="2272" w:name="_Toc203927105"/>
      <w:bookmarkStart w:id="2273" w:name="_Toc176513108"/>
      <w:bookmarkStart w:id="2274" w:name="_Toc204448569"/>
      <w:bookmarkStart w:id="2275" w:name="_Toc172555744"/>
      <w:bookmarkStart w:id="2276" w:name="_Toc173743482"/>
      <w:bookmarkStart w:id="2277" w:name="_Toc237508396"/>
      <w:bookmarkStart w:id="2278" w:name="_Toc178602453"/>
      <w:bookmarkStart w:id="2279" w:name="_Toc224674801"/>
      <w:bookmarkStart w:id="2280" w:name="_Toc173740378"/>
      <w:bookmarkStart w:id="2281" w:name="_Toc218784387"/>
      <w:bookmarkStart w:id="2282" w:name="_Toc223425161"/>
      <w:r>
        <w:rPr>
          <w:rFonts w:ascii="Times New Roman" w:hAnsi="Times New Roman" w:cs="Times New Roman"/>
          <w:b/>
          <w:bCs/>
          <w:color w:val="auto"/>
          <w:lang w:eastAsia="zh-CN"/>
        </w:rPr>
        <w:t>7.</w:t>
      </w:r>
      <w:r>
        <w:rPr>
          <w:rFonts w:hint="eastAsia" w:ascii="Times New Roman" w:hAnsi="Times New Roman" w:cs="Times New Roman"/>
          <w:b/>
          <w:bCs/>
          <w:color w:val="auto"/>
          <w:lang w:eastAsia="zh-CN"/>
        </w:rPr>
        <w:t>10</w:t>
      </w:r>
      <w:r>
        <w:rPr>
          <w:rFonts w:ascii="Times New Roman" w:hAnsi="Times New Roman" w:cs="Times New Roman"/>
          <w:b/>
          <w:bCs/>
          <w:color w:val="auto"/>
          <w:lang w:eastAsia="zh-CN"/>
        </w:rPr>
        <w:t>.2 建议</w:t>
      </w:r>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p>
    <w:p w14:paraId="403E8865">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（1）建设单位应定期检查、维护自动检测和报警装置等风险防范措施，确保正常工作。</w:t>
      </w:r>
    </w:p>
    <w:p w14:paraId="3A035F70">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（2）除了本次评价设定的风险事故情形外，拟建工程还具有其他潜在的事故风险，尽管发生概率较小，但建设单位仍应从建设、生产、贮运、环保等各方面积极采取风险防范措施，降低风险事故发生概率。</w:t>
      </w:r>
    </w:p>
    <w:p w14:paraId="2E710FE0">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（3）建设单位应配备应急物资，建立健全事故应急预案，与周边企业联动，定期演练。</w:t>
      </w:r>
    </w:p>
    <w:p w14:paraId="427AC317">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（4）按照“分级响应、区域联动”的原则，制定企业突发环境事故应急预案，并实现与地方政府或相关管理部门突发环境事故应急预案的有效衔接。</w:t>
      </w:r>
    </w:p>
    <w:p w14:paraId="7A9B2477">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（5）建设单位必须高度重视，做到风险防范警钟常鸣，环境安全管理常抓不懈；严格落实各项风险防范措施，不断完善风险管理体系。</w:t>
      </w:r>
    </w:p>
    <w:p w14:paraId="2CD2E4A4">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（6）建设单位应与园区/当地主管部门进行沟通，确保重大风险事故下事故废水突破“单元→厂区→园区”三级防控系统时，事故废水不进入区域地表水系造成环境污染事故。</w:t>
      </w:r>
    </w:p>
    <w:p w14:paraId="319A2159">
      <w:pPr>
        <w:widowControl w:val="0"/>
        <w:spacing w:line="360" w:lineRule="auto"/>
        <w:jc w:val="center"/>
        <w:outlineLvl w:val="0"/>
        <w:rPr>
          <w:rFonts w:ascii="Times New Roman" w:hAnsi="Times New Roman" w:cs="Times New Roman"/>
          <w:b/>
          <w:bCs/>
          <w:color w:val="auto"/>
          <w:sz w:val="32"/>
          <w:szCs w:val="24"/>
          <w:lang w:eastAsia="zh-CN"/>
        </w:rPr>
      </w:pPr>
      <w:r>
        <w:rPr>
          <w:rFonts w:ascii="Times New Roman" w:hAnsi="Times New Roman" w:cs="Times New Roman"/>
          <w:color w:val="auto"/>
          <w:lang w:eastAsia="zh-CN"/>
        </w:rPr>
        <w:br w:type="page"/>
      </w:r>
      <w:bookmarkStart w:id="2283" w:name="_Toc237508397"/>
      <w:r>
        <w:rPr>
          <w:rFonts w:ascii="Times New Roman" w:hAnsi="Times New Roman" w:cs="Times New Roman"/>
          <w:b/>
          <w:bCs/>
          <w:color w:val="auto"/>
          <w:sz w:val="32"/>
          <w:szCs w:val="24"/>
          <w:lang w:eastAsia="zh-CN"/>
        </w:rPr>
        <w:t>8 环境保护措施及其可行性论证</w:t>
      </w:r>
      <w:bookmarkEnd w:id="2283"/>
    </w:p>
    <w:p w14:paraId="00FE2EE6">
      <w:pPr>
        <w:widowControl w:val="0"/>
        <w:spacing w:line="360" w:lineRule="auto"/>
        <w:ind w:firstLine="643"/>
        <w:jc w:val="center"/>
        <w:rPr>
          <w:rFonts w:ascii="Times New Roman" w:hAnsi="Times New Roman" w:cs="Times New Roman"/>
          <w:b/>
          <w:bCs/>
          <w:color w:val="auto"/>
          <w:sz w:val="32"/>
          <w:szCs w:val="24"/>
          <w:lang w:eastAsia="zh-CN"/>
        </w:rPr>
      </w:pPr>
    </w:p>
    <w:p w14:paraId="3259DFAF">
      <w:pPr>
        <w:widowControl w:val="0"/>
        <w:spacing w:line="360" w:lineRule="auto"/>
        <w:ind w:firstLine="562"/>
        <w:outlineLvl w:val="1"/>
        <w:rPr>
          <w:rFonts w:ascii="Times New Roman" w:hAnsi="Times New Roman" w:cs="Times New Roman"/>
          <w:b/>
          <w:bCs/>
          <w:color w:val="auto"/>
          <w:sz w:val="28"/>
          <w:szCs w:val="22"/>
          <w:lang w:eastAsia="zh-CN"/>
        </w:rPr>
      </w:pPr>
      <w:bookmarkStart w:id="2284" w:name="_Toc237508398"/>
      <w:r>
        <w:rPr>
          <w:rFonts w:ascii="Times New Roman" w:hAnsi="Times New Roman" w:cs="Times New Roman"/>
          <w:b/>
          <w:bCs/>
          <w:color w:val="auto"/>
          <w:sz w:val="28"/>
          <w:szCs w:val="22"/>
          <w:lang w:eastAsia="zh-CN"/>
        </w:rPr>
        <w:t>8.1 施工期污染防治对策</w:t>
      </w:r>
      <w:bookmarkEnd w:id="2284"/>
    </w:p>
    <w:p w14:paraId="3CE703E8">
      <w:pPr>
        <w:widowControl w:val="0"/>
        <w:spacing w:line="360" w:lineRule="auto"/>
        <w:ind w:firstLine="482"/>
        <w:outlineLvl w:val="2"/>
        <w:rPr>
          <w:rFonts w:ascii="Times New Roman" w:hAnsi="Times New Roman" w:cs="Times New Roman"/>
          <w:b/>
          <w:bCs/>
          <w:color w:val="auto"/>
          <w:lang w:eastAsia="zh-CN"/>
        </w:rPr>
      </w:pPr>
      <w:bookmarkStart w:id="2285" w:name="_Toc237508399"/>
      <w:bookmarkStart w:id="2286" w:name="_Toc218784390"/>
      <w:bookmarkStart w:id="2287" w:name="_Toc172555747"/>
      <w:bookmarkStart w:id="2288" w:name="_Toc175164375"/>
      <w:bookmarkStart w:id="2289" w:name="_Toc224674804"/>
      <w:bookmarkStart w:id="2290" w:name="_Toc204515307"/>
      <w:bookmarkStart w:id="2291" w:name="_Toc203927108"/>
      <w:bookmarkStart w:id="2292" w:name="_Toc231828687"/>
      <w:bookmarkStart w:id="2293" w:name="_Toc176513111"/>
      <w:bookmarkStart w:id="2294" w:name="_Toc204448572"/>
      <w:bookmarkStart w:id="2295" w:name="_Toc223425164"/>
      <w:bookmarkStart w:id="2296" w:name="_Toc173743485"/>
      <w:bookmarkStart w:id="2297" w:name="_Toc236641934"/>
      <w:bookmarkStart w:id="2298" w:name="_Toc225784166"/>
      <w:bookmarkStart w:id="2299" w:name="_Toc173740381"/>
      <w:bookmarkStart w:id="2300" w:name="_Toc221900946"/>
      <w:bookmarkStart w:id="2301" w:name="_Toc178602456"/>
      <w:bookmarkStart w:id="2302" w:name="_Toc217662778"/>
      <w:r>
        <w:rPr>
          <w:rFonts w:ascii="Times New Roman" w:hAnsi="Times New Roman" w:cs="Times New Roman"/>
          <w:b/>
          <w:bCs/>
          <w:color w:val="auto"/>
          <w:lang w:eastAsia="zh-CN"/>
        </w:rPr>
        <w:t>8.1.1 施工期水环境污染防治措施</w:t>
      </w:r>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p>
    <w:p w14:paraId="058DBDA1">
      <w:pPr>
        <w:widowControl w:val="0"/>
        <w:spacing w:line="360" w:lineRule="auto"/>
        <w:ind w:firstLine="480" w:firstLineChars="200"/>
        <w:jc w:val="both"/>
        <w:rPr>
          <w:rFonts w:ascii="Times New Roman" w:hAnsi="Times New Roman" w:cs="Times New Roman"/>
          <w:b/>
          <w:bCs/>
          <w:color w:val="auto"/>
          <w:lang w:eastAsia="zh-CN"/>
        </w:rPr>
      </w:pPr>
      <w:r>
        <w:rPr>
          <w:rFonts w:ascii="Times New Roman" w:hAnsi="Times New Roman" w:cs="Times New Roman"/>
          <w:color w:val="auto"/>
          <w:szCs w:val="24"/>
          <w:lang w:eastAsia="zh-CN"/>
        </w:rPr>
        <w:t>施工期间，在排污工程不健全的情况下，应尽量减少物料流失、散落和溢流现象。施工现场必须建造集水池、沉砂池、排水沟等水处理构筑物，对施工期废水，按其不同的性质，分类收集，处理达标后排放，预计对地表水环境不会造成明显影响。施工期废水污染防治措施主要有：</w:t>
      </w:r>
    </w:p>
    <w:p w14:paraId="29B0794B">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（1）项目施工期主要道路将采用砼硬化路面，场地四周将敷设排水沟（管），并利用洼地修建临时沉淀池；</w:t>
      </w:r>
    </w:p>
    <w:p w14:paraId="722A07BD">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（2）加强施工期管理，针对施工期污水产生过程不连续、废水种类较单一等特点，可采取相应措施有效控制污水中污染物的产生量；</w:t>
      </w:r>
    </w:p>
    <w:p w14:paraId="5177C12A">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（3）施工现场建造沉淀池、隔油池等污水临时处理设施，对含油量大的施工机械冲洗水或悬浮物含量高的其他施工废水需经处理后方可排放，砂浆和石灰浆等废液集中处理，干燥后与固废一起处置；</w:t>
      </w:r>
    </w:p>
    <w:p w14:paraId="7A3A4A7C">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（4）水泥、黄沙、石灰类的建筑材料分类集中堆放，并采取一定的防雨淋措施，及时清扫施工运输工程中抛洒的上述建筑材料，以免这些物质随雨水冲刷污染附近水体；</w:t>
      </w:r>
    </w:p>
    <w:p w14:paraId="29487C45">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（5）在工地内重复利用积存的雨水和施工废水；</w:t>
      </w:r>
    </w:p>
    <w:p w14:paraId="5CD43B68">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（6）在施工过程中应加强对机械设备的检修，以防止设备漏油现象的发生；施工机械设备的维修应在专业厂家进行，防止施工现场地表油类污染，以减小初期雨水的油类污染物负荷。</w:t>
      </w:r>
    </w:p>
    <w:p w14:paraId="54F7E48A">
      <w:pPr>
        <w:widowControl w:val="0"/>
        <w:spacing w:line="360" w:lineRule="auto"/>
        <w:ind w:firstLine="482"/>
        <w:outlineLvl w:val="2"/>
        <w:rPr>
          <w:rFonts w:ascii="Times New Roman" w:hAnsi="Times New Roman" w:cs="Times New Roman"/>
          <w:b/>
          <w:bCs/>
          <w:color w:val="auto"/>
          <w:lang w:eastAsia="zh-CN"/>
        </w:rPr>
      </w:pPr>
      <w:bookmarkStart w:id="2303" w:name="_Toc204515308"/>
      <w:bookmarkStart w:id="2304" w:name="_Toc204448573"/>
      <w:bookmarkStart w:id="2305" w:name="_Toc218784391"/>
      <w:bookmarkStart w:id="2306" w:name="_Toc173743486"/>
      <w:bookmarkStart w:id="2307" w:name="_Toc173740382"/>
      <w:bookmarkStart w:id="2308" w:name="_Toc172555748"/>
      <w:bookmarkStart w:id="2309" w:name="_Toc217662779"/>
      <w:bookmarkStart w:id="2310" w:name="_Toc175164376"/>
      <w:bookmarkStart w:id="2311" w:name="_Toc178602457"/>
      <w:bookmarkStart w:id="2312" w:name="_Toc221900947"/>
      <w:bookmarkStart w:id="2313" w:name="_Toc176513112"/>
      <w:bookmarkStart w:id="2314" w:name="_Toc203927109"/>
      <w:bookmarkStart w:id="2315" w:name="_Toc236641935"/>
      <w:bookmarkStart w:id="2316" w:name="_Toc237508400"/>
      <w:bookmarkStart w:id="2317" w:name="_Toc231828688"/>
      <w:bookmarkStart w:id="2318" w:name="_Toc223425165"/>
      <w:bookmarkStart w:id="2319" w:name="_Toc225784167"/>
      <w:bookmarkStart w:id="2320" w:name="_Toc224674805"/>
      <w:r>
        <w:rPr>
          <w:rFonts w:ascii="Times New Roman" w:hAnsi="Times New Roman" w:cs="Times New Roman"/>
          <w:b/>
          <w:bCs/>
          <w:color w:val="auto"/>
          <w:lang w:eastAsia="zh-CN"/>
        </w:rPr>
        <w:t>8.1.2 施工期环境空气污染防治措施</w:t>
      </w:r>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p>
    <w:p w14:paraId="45076138">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1、车辆行驶扬尘防治措施</w:t>
      </w:r>
    </w:p>
    <w:p w14:paraId="47296813">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（1）加强施工车辆管理，优化行车路线，同时对进出场地的施工车辆勤冲洗，对车辆途经路段勤洒水、清扫。</w:t>
      </w:r>
    </w:p>
    <w:p w14:paraId="1A8A8CBA">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（2）运输土石方及粉料等施工车辆采取加蓬覆盖，严禁物料沿途抛洒、掉落。</w:t>
      </w:r>
    </w:p>
    <w:p w14:paraId="50457DA8">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（3）硬化施工便道路面。</w:t>
      </w:r>
    </w:p>
    <w:p w14:paraId="34EB41FA">
      <w:pPr>
        <w:widowControl w:val="0"/>
        <w:spacing w:line="360" w:lineRule="auto"/>
        <w:ind w:firstLine="480" w:firstLineChars="200"/>
        <w:jc w:val="both"/>
        <w:rPr>
          <w:rFonts w:ascii="Times New Roman" w:hAnsi="Times New Roman" w:cs="Times New Roman"/>
          <w:b/>
          <w:bCs/>
          <w:color w:val="auto"/>
          <w:lang w:eastAsia="zh-CN"/>
        </w:rPr>
      </w:pPr>
      <w:r>
        <w:rPr>
          <w:rFonts w:ascii="Times New Roman" w:hAnsi="Times New Roman" w:cs="Times New Roman"/>
          <w:color w:val="auto"/>
          <w:szCs w:val="24"/>
          <w:lang w:eastAsia="zh-CN"/>
        </w:rPr>
        <w:t>（4）定期对施工车辆进行检修，保证施工车辆处于良好的运转状态，杜绝</w:t>
      </w:r>
      <w:r>
        <w:rPr>
          <w:rFonts w:ascii="Times New Roman" w:hAnsi="Times New Roman" w:cs="Times New Roman"/>
          <w:color w:val="auto"/>
          <w:lang w:eastAsia="zh-CN"/>
        </w:rPr>
        <w:t>使用废气排放超标的车辆。</w:t>
      </w:r>
    </w:p>
    <w:p w14:paraId="404EDE60">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5）设置洗车平台，完善排水设施，防止泥土粘带。施工期间，应在物料、渣土、垃圾运输车辆的出口内侧设置洗车平台，车辆驶离工地前，应在洗车平台清洗轮胎及车身，不得带泥上路。洗车平台四周应设置防溢座、废水导流渠、废水收集池、沉砂池及其它防治设施，收集洗车、施工以及降水过程中产生的废水和泥浆。工地出口处铺装道路上可见粘带泥土不得超过10米，并应及时清扫冲洗。</w:t>
      </w:r>
    </w:p>
    <w:p w14:paraId="2CB5D873">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（6）对运输建筑材料与建筑垃圾的车辆加盖篷布减少洒落。同时，车辆进出、装卸场地时应用水将轮胎冲洗干净。</w:t>
      </w:r>
    </w:p>
    <w:p w14:paraId="573D89DE">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2、风力扬尘防治对策</w:t>
      </w:r>
    </w:p>
    <w:p w14:paraId="6EDEFE89">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结合《大气污染防治行动计划》（国发[2013]37号）、《安徽省大气污染防治行动计划实施方案》（皖政[2013]89号等相关文件要求，本环评提出以下防治对策和措施：</w:t>
      </w:r>
    </w:p>
    <w:p w14:paraId="7BD7B564">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1）防治扬尘污染的费用应当列入工程建设成本。建设单位在招标文件中应当要求投标人在投标文件中，制定施工现场扬尘污染防治措施，并列入技术标评标内容。中标人与建设单位签订的合同中应当包括招标文件中的施工现场扬尘污染防治措施，并明确扬尘污染防治责任。</w:t>
      </w:r>
    </w:p>
    <w:p w14:paraId="1D56C5A0">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（2）建设工程施工应当符合下列扬尘污染防治要求：</w:t>
      </w:r>
    </w:p>
    <w:p w14:paraId="24E84E30">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1）施工工地周围应当设置连续、密闭的围挡，围挡高度不得低于2.5米。</w:t>
      </w:r>
    </w:p>
    <w:p w14:paraId="7F0C50B7">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2）施工期间，建筑结构脚手架外侧设置密目式安全立网。</w:t>
      </w:r>
    </w:p>
    <w:p w14:paraId="16816F0C">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3）施工工地内生活区、办公区、作业区加工场、材料堆场地面、车行道路应当进行硬化等防尘处理。</w:t>
      </w:r>
    </w:p>
    <w:p w14:paraId="7E8DEEDB">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4）气象预报风力达到5级以上的天气，不得进行土方挖填和转运、爆破、房屋或者其他建（构）筑物拆除等作业。</w:t>
      </w:r>
    </w:p>
    <w:p w14:paraId="26113D0C">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5）建筑垃圾等无法在48小时内清运完毕的，应当在施工工地内设置临时堆放场；临时堆放场应当采取围挡、遮盖等防尘措施。</w:t>
      </w:r>
    </w:p>
    <w:p w14:paraId="7E5FC800">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6）运输车辆应当在除泥、冲洗干净后方可驶出作业场所，不得使用空气压缩机等易产生扬尘污染的设备清理车辆、设备和物料的尘埃；有条件的，可以设置冲洗槽、排水沟、沉淀池等设施。</w:t>
      </w:r>
    </w:p>
    <w:p w14:paraId="3B88B59D">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7）在进行产生大量泥浆的施工作业时，应当设置相应的泥浆池、泥浆沟，确保泥浆不外溢，废浆应当密闭运输。</w:t>
      </w:r>
    </w:p>
    <w:p w14:paraId="06AC2D91">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8）按照规定使用散装水泥、预拌混凝土和预拌砂浆；确需在施工现场搅拌混凝土和砂浆的，应当按照相关规定执行并履行备案手续。</w:t>
      </w:r>
    </w:p>
    <w:p w14:paraId="165CCBE0">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9）闲置3个月以上的土地，建设单位应当对其裸露泥地进行临时绿化或者铺装。</w:t>
      </w:r>
    </w:p>
    <w:p w14:paraId="01060CB2">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10）堆放水泥或者其他易飞扬的细颗粒建筑材料，应当密闭存放或者采取覆盖等措施。</w:t>
      </w:r>
    </w:p>
    <w:p w14:paraId="6021C49B">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11）建（构）筑物内施工材料及垃圾清运，应当采用容器或者管道运输，禁止凌空抛撒。</w:t>
      </w:r>
    </w:p>
    <w:p w14:paraId="0A805424">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（3）堆放易产生扬尘污染物料的堆场、露天仓库，应当符合下列扬尘污染防治要求：</w:t>
      </w:r>
    </w:p>
    <w:p w14:paraId="7828A23F">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1）地面应当进行硬化。</w:t>
      </w:r>
    </w:p>
    <w:p w14:paraId="49E53B6E">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2）采用混凝土围墙或者天棚的储库，应当配备喷淋或者其他防尘设施。</w:t>
      </w:r>
    </w:p>
    <w:p w14:paraId="7A25BE34">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3）露天装卸作业时，应当采取洒水等降尘措施；采用密闭输送设备作业的，应当在装料、卸料处配备吸尘、喷淋等防尘设施，并保持防尘设施正常使用。</w:t>
      </w:r>
    </w:p>
    <w:p w14:paraId="14FEC987">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4）临时性的废弃物堆场，应当设置围挡、防尘网等防尘设施；长期存在的废弃物堆场，应当构筑围墙或者在废弃物堆场表面种植植物。</w:t>
      </w:r>
    </w:p>
    <w:p w14:paraId="0D86049B">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5）划分物料区和道路界限，及时清除散落的物料，保持道路整洁并及时清洗。</w:t>
      </w:r>
    </w:p>
    <w:p w14:paraId="696B6980">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任何单位和个人不得擅自在城市道路范围内和公共场地堆放物料。</w:t>
      </w:r>
    </w:p>
    <w:p w14:paraId="58BB405F">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（4）建设工程扬尘污染防治必须符合以下要求：</w:t>
      </w:r>
    </w:p>
    <w:p w14:paraId="22A1536E">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1）施工现场围挡高度不得低于2.5米。</w:t>
      </w:r>
    </w:p>
    <w:p w14:paraId="220A716A">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2）施工现场出入口、主干道、作业区加工场、生活区、办公区必须硬化，裸露的场地必须绿化；</w:t>
      </w:r>
    </w:p>
    <w:p w14:paraId="05ADA9CE">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3）施工现场主出入口必须设置车辆冲洗设施，运输车辆应在除泥、冲洗干净后方可驶出作业场所；</w:t>
      </w:r>
    </w:p>
    <w:p w14:paraId="72580373">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4）主城区内的建设工程应使用商品混凝土和预拌砂浆；</w:t>
      </w:r>
    </w:p>
    <w:p w14:paraId="358934C9">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5）施工现场内堆放的渣土、建筑垃圾，必须采取围挡、遮盖等防尘措施。</w:t>
      </w:r>
    </w:p>
    <w:p w14:paraId="6BBACCF9">
      <w:pPr>
        <w:widowControl w:val="0"/>
        <w:spacing w:line="360" w:lineRule="auto"/>
        <w:ind w:firstLine="482"/>
        <w:outlineLvl w:val="2"/>
        <w:rPr>
          <w:rFonts w:ascii="Times New Roman" w:hAnsi="Times New Roman" w:cs="Times New Roman"/>
          <w:b/>
          <w:bCs/>
          <w:color w:val="auto"/>
          <w:lang w:eastAsia="zh-CN"/>
        </w:rPr>
      </w:pPr>
      <w:bookmarkStart w:id="2321" w:name="_Toc204515309"/>
      <w:bookmarkStart w:id="2322" w:name="_Toc237508401"/>
      <w:bookmarkStart w:id="2323" w:name="_Toc203927110"/>
      <w:bookmarkStart w:id="2324" w:name="_Toc173743487"/>
      <w:bookmarkStart w:id="2325" w:name="_Toc221900948"/>
      <w:bookmarkStart w:id="2326" w:name="_Toc173740383"/>
      <w:bookmarkStart w:id="2327" w:name="_Toc218784392"/>
      <w:bookmarkStart w:id="2328" w:name="_Toc231828689"/>
      <w:bookmarkStart w:id="2329" w:name="_Toc236641936"/>
      <w:bookmarkStart w:id="2330" w:name="_Toc225784168"/>
      <w:bookmarkStart w:id="2331" w:name="_Toc224674806"/>
      <w:bookmarkStart w:id="2332" w:name="_Toc204448574"/>
      <w:bookmarkStart w:id="2333" w:name="_Toc175164377"/>
      <w:bookmarkStart w:id="2334" w:name="_Toc176513113"/>
      <w:bookmarkStart w:id="2335" w:name="_Toc172555749"/>
      <w:bookmarkStart w:id="2336" w:name="_Toc223425166"/>
      <w:bookmarkStart w:id="2337" w:name="_Toc178602458"/>
      <w:bookmarkStart w:id="2338" w:name="_Toc217662780"/>
      <w:r>
        <w:rPr>
          <w:rFonts w:ascii="Times New Roman" w:hAnsi="Times New Roman" w:cs="Times New Roman"/>
          <w:b/>
          <w:bCs/>
          <w:color w:val="auto"/>
          <w:lang w:eastAsia="zh-CN"/>
        </w:rPr>
        <w:t>8.1.3 施工期噪声防治措施</w:t>
      </w:r>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p>
    <w:p w14:paraId="78565102">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根据目前的机械制造水平和施工条件，施工期间的噪声是不可避免的，但只要采取一定的措施、合理安排施工作业时间，加强施工管理，即可减轻施工噪声对环境的影响。施工期噪声控制主要措施有：</w:t>
      </w:r>
    </w:p>
    <w:p w14:paraId="226EB0F1">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1）严格控制设备噪声源强：建设单位在与施工单位签订合同时，应要求其使用的主要机械设备为低噪声机械设备。同时在施工过程中施工单位应设专人对设备进行定期保养和维护，并负责对现场工作人员进行培训，严格按操作规范使用各类机械，防止应设备故障工作时产生高噪声。</w:t>
      </w:r>
    </w:p>
    <w:p w14:paraId="0B86C0BB">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（2）合理安排施工时间：合理安排施工作业时间，将施工机械的作业时间严格限制在6:00</w:t>
      </w:r>
      <w:r>
        <w:rPr>
          <w:rFonts w:hint="eastAsia" w:ascii="Times New Roman" w:hAnsi="Times New Roman" w:cs="Times New Roman"/>
          <w:color w:val="auto"/>
          <w:lang w:eastAsia="zh-CN"/>
        </w:rPr>
        <w:t>～</w:t>
      </w:r>
      <w:r>
        <w:rPr>
          <w:rFonts w:ascii="Times New Roman" w:hAnsi="Times New Roman" w:cs="Times New Roman"/>
          <w:color w:val="auto"/>
          <w:lang w:eastAsia="zh-CN"/>
        </w:rPr>
        <w:t>12:00，14:00</w:t>
      </w:r>
      <w:r>
        <w:rPr>
          <w:rFonts w:hint="eastAsia" w:ascii="Times New Roman" w:hAnsi="Times New Roman" w:cs="Times New Roman"/>
          <w:color w:val="auto"/>
          <w:lang w:eastAsia="zh-CN"/>
        </w:rPr>
        <w:t>～</w:t>
      </w:r>
      <w:r>
        <w:rPr>
          <w:rFonts w:ascii="Times New Roman" w:hAnsi="Times New Roman" w:cs="Times New Roman"/>
          <w:color w:val="auto"/>
          <w:lang w:eastAsia="zh-CN"/>
        </w:rPr>
        <w:t>22:00时。原则上禁止夜间施工，严禁高噪声设备在作息时间（中午或夜间）作业。</w:t>
      </w:r>
    </w:p>
    <w:p w14:paraId="4B9C7BBB">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（3）采取隔声措施：在施工场地周围布设围墙，有敏感点的地方设立临时声屏障，以减轻设备噪声对周围环境的影响。</w:t>
      </w:r>
    </w:p>
    <w:p w14:paraId="4D439ECF">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（4）对运输车辆进行管理：运输车辆车辆出入现场时应低速、禁鸣。</w:t>
      </w:r>
    </w:p>
    <w:p w14:paraId="363037ED">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（5）加强施工管理，合理进行施工场地平面布置。对施工人员进行环保教育，提高施工人员环保意识，遵守各项环保规章制度。</w:t>
      </w:r>
    </w:p>
    <w:p w14:paraId="72DE58EF">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（6）对渣土等运输车辆加强管理，途径敏感点时限速禁鸣，减小运输车辆对敏感点的影响。</w:t>
      </w:r>
    </w:p>
    <w:p w14:paraId="5706C0DC">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7）采用距离防护措施：距离防护措施是噪声控制的最方便、简单的方式，噪声衰减量随距离的增大而增大，至声源10m处噪声衰减20dB（A），50m处衰减约34dB（A）；100m处衰减约40dB（A），因此在不影响施工情况下将噪声设备尽量不集中安排，并将其施工点移至建设地块中部。同时对固定的机械设备尽量入棚操作。</w:t>
      </w:r>
    </w:p>
    <w:p w14:paraId="39219176">
      <w:pPr>
        <w:widowControl w:val="0"/>
        <w:spacing w:line="360" w:lineRule="auto"/>
        <w:ind w:firstLine="482"/>
        <w:outlineLvl w:val="2"/>
        <w:rPr>
          <w:rFonts w:ascii="Times New Roman" w:hAnsi="Times New Roman" w:cs="Times New Roman"/>
          <w:color w:val="auto"/>
          <w:lang w:eastAsia="zh-CN"/>
        </w:rPr>
      </w:pPr>
      <w:bookmarkStart w:id="2339" w:name="_Toc223425167"/>
      <w:bookmarkStart w:id="2340" w:name="_Toc221900949"/>
      <w:bookmarkStart w:id="2341" w:name="_Toc217662781"/>
      <w:bookmarkStart w:id="2342" w:name="_Toc204448575"/>
      <w:bookmarkStart w:id="2343" w:name="_Toc173743488"/>
      <w:bookmarkStart w:id="2344" w:name="_Toc236641937"/>
      <w:bookmarkStart w:id="2345" w:name="_Toc225784169"/>
      <w:bookmarkStart w:id="2346" w:name="_Toc175164378"/>
      <w:bookmarkStart w:id="2347" w:name="_Toc204515310"/>
      <w:bookmarkStart w:id="2348" w:name="_Toc237508402"/>
      <w:bookmarkStart w:id="2349" w:name="_Toc218784393"/>
      <w:bookmarkStart w:id="2350" w:name="_Toc178602459"/>
      <w:bookmarkStart w:id="2351" w:name="_Toc231828690"/>
      <w:bookmarkStart w:id="2352" w:name="_Toc173740384"/>
      <w:bookmarkStart w:id="2353" w:name="_Toc203927111"/>
      <w:bookmarkStart w:id="2354" w:name="_Toc176513114"/>
      <w:bookmarkStart w:id="2355" w:name="_Toc224674807"/>
      <w:bookmarkStart w:id="2356" w:name="_Toc172555750"/>
      <w:r>
        <w:rPr>
          <w:rFonts w:ascii="Times New Roman" w:hAnsi="Times New Roman" w:cs="Times New Roman"/>
          <w:b/>
          <w:bCs/>
          <w:color w:val="auto"/>
          <w:lang w:eastAsia="zh-CN"/>
        </w:rPr>
        <w:t>8.1.4 施工期固废污染防治措施</w:t>
      </w:r>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p>
    <w:p w14:paraId="57D63807">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（1）施工人员的生活垃圾要实行袋装化，每天由专人清理，集中送至指定堆放点。</w:t>
      </w:r>
    </w:p>
    <w:p w14:paraId="50304E6A">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（2）尽量减少建筑材料在运输、装卸、施工过程中的跑、冒、滴、漏，建筑垃圾在指定的堆放点存放，并及时送城市垃圾填埋场。</w:t>
      </w:r>
    </w:p>
    <w:p w14:paraId="683D2B98">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3）施工过程表土清理、基础开挖等产生的土石方，灌注桩施工过程产生的钻孔泥浆以及沉淀污泥等应尽量回填利用，废弃土石方应根据市容渣土办管理办公室的要求运送至指定地点存放，回用于市政绿化、回填和围涂等，不得自行处置。</w:t>
      </w:r>
    </w:p>
    <w:p w14:paraId="0DBE666D">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4）在对渣土等运输方面，采用密闭化运输车辆运输，杜绝施工废渣沿途抛洒。在施工过程中，建设单位应要求施工单位规范运输，不能随意倾倒建筑垃圾，制造新的“垃圾堆场”，不然会对周围环境造成影响。根据建筑垃圾处理相关办法，对工程建设中所产生的渣土、弃土、弃料、余泥及其它固体废弃物等的规定，施工挖掘产生的土方以及施工过程中产生的渣土，由施工单位或承建单位和市容局渣土办联系外运。渣土运输过程中严格执行有关条例和规定，运土车辆应在规定的时间和规定的路线进出施工场地，沿途应注意保持道路的清洁，应尽量减少装土过满、车辆颠簸等造成的渣土倾撒。</w:t>
      </w:r>
    </w:p>
    <w:p w14:paraId="5C6C0EE8">
      <w:pPr>
        <w:widowControl w:val="0"/>
        <w:spacing w:line="360" w:lineRule="auto"/>
        <w:ind w:firstLine="562"/>
        <w:outlineLvl w:val="1"/>
        <w:rPr>
          <w:rFonts w:ascii="Times New Roman" w:hAnsi="Times New Roman" w:cs="Times New Roman"/>
          <w:b/>
          <w:bCs/>
          <w:color w:val="auto"/>
          <w:sz w:val="28"/>
          <w:szCs w:val="22"/>
          <w:lang w:eastAsia="zh-CN"/>
        </w:rPr>
      </w:pPr>
      <w:bookmarkStart w:id="2357" w:name="_Toc237508403"/>
      <w:r>
        <w:rPr>
          <w:rFonts w:ascii="Times New Roman" w:hAnsi="Times New Roman" w:cs="Times New Roman"/>
          <w:b/>
          <w:bCs/>
          <w:color w:val="auto"/>
          <w:sz w:val="28"/>
          <w:szCs w:val="22"/>
          <w:lang w:eastAsia="zh-CN"/>
        </w:rPr>
        <w:t>8.2 运营期污染防治对策</w:t>
      </w:r>
      <w:bookmarkEnd w:id="2357"/>
    </w:p>
    <w:p w14:paraId="3884B3AC">
      <w:pPr>
        <w:widowControl w:val="0"/>
        <w:spacing w:line="360" w:lineRule="auto"/>
        <w:ind w:firstLine="482"/>
        <w:outlineLvl w:val="2"/>
        <w:rPr>
          <w:rFonts w:ascii="Times New Roman" w:hAnsi="Times New Roman" w:cs="Times New Roman"/>
          <w:b/>
          <w:bCs/>
          <w:color w:val="auto"/>
          <w:lang w:eastAsia="zh-CN"/>
        </w:rPr>
      </w:pPr>
      <w:bookmarkStart w:id="2358" w:name="_Toc172555752"/>
      <w:bookmarkStart w:id="2359" w:name="_Toc204448577"/>
      <w:bookmarkStart w:id="2360" w:name="_Toc173740386"/>
      <w:bookmarkStart w:id="2361" w:name="_Toc178602461"/>
      <w:bookmarkStart w:id="2362" w:name="_Toc231828692"/>
      <w:bookmarkStart w:id="2363" w:name="_Toc175164380"/>
      <w:bookmarkStart w:id="2364" w:name="_Toc236641939"/>
      <w:bookmarkStart w:id="2365" w:name="_Toc176513116"/>
      <w:bookmarkStart w:id="2366" w:name="_Toc224674809"/>
      <w:bookmarkStart w:id="2367" w:name="_Toc203927113"/>
      <w:bookmarkStart w:id="2368" w:name="_Toc218784395"/>
      <w:bookmarkStart w:id="2369" w:name="_Toc237508404"/>
      <w:bookmarkStart w:id="2370" w:name="_Toc221900951"/>
      <w:bookmarkStart w:id="2371" w:name="_Toc217662783"/>
      <w:bookmarkStart w:id="2372" w:name="_Toc173743490"/>
      <w:bookmarkStart w:id="2373" w:name="_Toc204515312"/>
      <w:bookmarkStart w:id="2374" w:name="_Toc223425169"/>
      <w:bookmarkStart w:id="2375" w:name="_Toc225784171"/>
      <w:r>
        <w:rPr>
          <w:rFonts w:ascii="Times New Roman" w:hAnsi="Times New Roman" w:cs="Times New Roman"/>
          <w:b/>
          <w:bCs/>
          <w:color w:val="auto"/>
          <w:lang w:eastAsia="zh-CN"/>
        </w:rPr>
        <w:t>8.2.1 废气污染物特征分析</w:t>
      </w:r>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p>
    <w:p w14:paraId="55ED9BB5">
      <w:pPr>
        <w:widowControl w:val="0"/>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拟建项目主要有组织污染物包括：</w:t>
      </w:r>
    </w:p>
    <w:p w14:paraId="177B60DF">
      <w:pPr>
        <w:pStyle w:val="84"/>
        <w:numPr>
          <w:ilvl w:val="0"/>
          <w:numId w:val="16"/>
        </w:numPr>
        <w:spacing w:line="360" w:lineRule="auto"/>
        <w:ind w:firstLineChars="0"/>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综合</w:t>
      </w:r>
      <w:r>
        <w:rPr>
          <w:rFonts w:ascii="Times New Roman" w:hAnsi="Times New Roman" w:cs="Times New Roman"/>
          <w:color w:val="auto"/>
          <w:szCs w:val="24"/>
          <w:lang w:eastAsia="zh-CN"/>
        </w:rPr>
        <w:t>车间</w:t>
      </w:r>
    </w:p>
    <w:p w14:paraId="722B8C3A">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szCs w:val="24"/>
          <w:lang w:eastAsia="zh-CN"/>
        </w:rPr>
        <w:t>生产工艺废气：</w:t>
      </w:r>
      <w:r>
        <w:rPr>
          <w:rFonts w:hint="eastAsia" w:ascii="Times New Roman" w:hAnsi="Times New Roman" w:cs="Times New Roman"/>
          <w:color w:val="auto"/>
          <w:lang w:eastAsia="zh-CN"/>
        </w:rPr>
        <w:t>化学纯氢氟酸</w:t>
      </w:r>
      <w:r>
        <w:rPr>
          <w:rFonts w:ascii="Times New Roman" w:hAnsi="Times New Roman" w:cs="Times New Roman"/>
          <w:color w:val="auto"/>
          <w:lang w:eastAsia="zh-CN"/>
        </w:rPr>
        <w:t>工艺废气（G1-1</w:t>
      </w:r>
      <w:r>
        <w:rPr>
          <w:rFonts w:hint="eastAsia" w:ascii="Times New Roman" w:hAnsi="Times New Roman" w:cs="Times New Roman"/>
          <w:color w:val="auto"/>
          <w:lang w:eastAsia="zh-CN"/>
        </w:rPr>
        <w:t>进料</w:t>
      </w:r>
      <w:r>
        <w:rPr>
          <w:rFonts w:ascii="Times New Roman" w:hAnsi="Times New Roman" w:cs="Times New Roman"/>
          <w:color w:val="auto"/>
          <w:lang w:eastAsia="zh-CN"/>
        </w:rPr>
        <w:t>废气、G1-2</w:t>
      </w:r>
      <w:r>
        <w:rPr>
          <w:rFonts w:hint="eastAsia" w:ascii="Times New Roman" w:hAnsi="Times New Roman" w:cs="Times New Roman"/>
          <w:color w:val="auto"/>
          <w:lang w:eastAsia="zh-CN"/>
        </w:rPr>
        <w:t>混合</w:t>
      </w:r>
      <w:r>
        <w:rPr>
          <w:rFonts w:ascii="Times New Roman" w:hAnsi="Times New Roman" w:cs="Times New Roman"/>
          <w:color w:val="auto"/>
          <w:lang w:eastAsia="zh-CN"/>
        </w:rPr>
        <w:t>废气、G1-3</w:t>
      </w:r>
      <w:r>
        <w:rPr>
          <w:rFonts w:hint="eastAsia" w:ascii="Times New Roman" w:hAnsi="Times New Roman" w:cs="Times New Roman"/>
          <w:color w:val="auto"/>
          <w:lang w:eastAsia="zh-CN"/>
        </w:rPr>
        <w:t>调配</w:t>
      </w:r>
      <w:r>
        <w:rPr>
          <w:rFonts w:ascii="Times New Roman" w:hAnsi="Times New Roman" w:cs="Times New Roman"/>
          <w:color w:val="auto"/>
          <w:szCs w:val="24"/>
          <w:lang w:eastAsia="zh-CN"/>
        </w:rPr>
        <w:t>废气</w:t>
      </w:r>
      <w:r>
        <w:rPr>
          <w:rFonts w:hint="eastAsia" w:ascii="Times New Roman" w:hAnsi="Times New Roman" w:cs="Times New Roman"/>
          <w:color w:val="auto"/>
          <w:szCs w:val="24"/>
          <w:lang w:eastAsia="zh-CN"/>
        </w:rPr>
        <w:t>、</w:t>
      </w:r>
      <w:r>
        <w:rPr>
          <w:rFonts w:ascii="Times New Roman" w:hAnsi="Times New Roman" w:cs="Times New Roman"/>
          <w:color w:val="auto"/>
          <w:lang w:eastAsia="zh-CN"/>
        </w:rPr>
        <w:t>G1-</w:t>
      </w:r>
      <w:r>
        <w:rPr>
          <w:rFonts w:hint="eastAsia" w:ascii="Times New Roman" w:hAnsi="Times New Roman" w:cs="Times New Roman"/>
          <w:color w:val="auto"/>
          <w:lang w:eastAsia="zh-CN"/>
        </w:rPr>
        <w:t>4灌装</w:t>
      </w:r>
      <w:r>
        <w:rPr>
          <w:rFonts w:ascii="Times New Roman" w:hAnsi="Times New Roman" w:cs="Times New Roman"/>
          <w:color w:val="auto"/>
          <w:szCs w:val="24"/>
          <w:lang w:eastAsia="zh-CN"/>
        </w:rPr>
        <w:t>废气</w:t>
      </w:r>
      <w:r>
        <w:rPr>
          <w:rFonts w:ascii="Times New Roman" w:hAnsi="Times New Roman" w:cs="Times New Roman"/>
          <w:color w:val="auto"/>
          <w:lang w:eastAsia="zh-CN"/>
        </w:rPr>
        <w:t>）</w:t>
      </w:r>
      <w:r>
        <w:rPr>
          <w:rFonts w:hint="eastAsia" w:ascii="Times New Roman" w:hAnsi="Times New Roman" w:cs="Times New Roman"/>
          <w:color w:val="auto"/>
          <w:lang w:eastAsia="zh-CN"/>
        </w:rPr>
        <w:t>；</w:t>
      </w:r>
    </w:p>
    <w:p w14:paraId="29BDF762">
      <w:pPr>
        <w:spacing w:line="360" w:lineRule="auto"/>
        <w:ind w:left="480"/>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（2）刻蚀液混配</w:t>
      </w:r>
      <w:r>
        <w:rPr>
          <w:rFonts w:ascii="Times New Roman" w:hAnsi="Times New Roman" w:cs="Times New Roman"/>
          <w:color w:val="auto"/>
          <w:szCs w:val="24"/>
          <w:lang w:eastAsia="zh-CN"/>
        </w:rPr>
        <w:t>车间</w:t>
      </w:r>
    </w:p>
    <w:p w14:paraId="77C83A06">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szCs w:val="24"/>
          <w:lang w:eastAsia="zh-CN"/>
        </w:rPr>
        <w:t>生产工艺废气：</w:t>
      </w:r>
      <w:r>
        <w:rPr>
          <w:rFonts w:hint="eastAsia" w:ascii="Times New Roman" w:hAnsi="Times New Roman" w:cs="Times New Roman"/>
          <w:color w:val="auto"/>
          <w:lang w:eastAsia="zh-CN"/>
        </w:rPr>
        <w:t>刻蚀液</w:t>
      </w:r>
      <w:r>
        <w:rPr>
          <w:rFonts w:ascii="Times New Roman" w:hAnsi="Times New Roman" w:cs="Times New Roman"/>
          <w:color w:val="auto"/>
          <w:lang w:eastAsia="zh-CN"/>
        </w:rPr>
        <w:t>工艺废气（G</w:t>
      </w:r>
      <w:r>
        <w:rPr>
          <w:rFonts w:hint="eastAsia" w:ascii="Times New Roman" w:hAnsi="Times New Roman" w:cs="Times New Roman"/>
          <w:color w:val="auto"/>
          <w:lang w:eastAsia="zh-CN"/>
        </w:rPr>
        <w:t>2</w:t>
      </w:r>
      <w:r>
        <w:rPr>
          <w:rFonts w:ascii="Times New Roman" w:hAnsi="Times New Roman" w:cs="Times New Roman"/>
          <w:color w:val="auto"/>
          <w:lang w:eastAsia="zh-CN"/>
        </w:rPr>
        <w:t>-</w:t>
      </w:r>
      <w:r>
        <w:rPr>
          <w:rFonts w:hint="eastAsia" w:ascii="Times New Roman" w:hAnsi="Times New Roman" w:cs="Times New Roman"/>
          <w:color w:val="auto"/>
          <w:lang w:eastAsia="zh-CN"/>
        </w:rPr>
        <w:t>1进料混合</w:t>
      </w:r>
      <w:r>
        <w:rPr>
          <w:rFonts w:ascii="Times New Roman" w:hAnsi="Times New Roman" w:cs="Times New Roman"/>
          <w:color w:val="auto"/>
          <w:lang w:eastAsia="zh-CN"/>
        </w:rPr>
        <w:t>废气、G</w:t>
      </w:r>
      <w:r>
        <w:rPr>
          <w:rFonts w:hint="eastAsia" w:ascii="Times New Roman" w:hAnsi="Times New Roman" w:cs="Times New Roman"/>
          <w:color w:val="auto"/>
          <w:lang w:eastAsia="zh-CN"/>
        </w:rPr>
        <w:t>2</w:t>
      </w:r>
      <w:r>
        <w:rPr>
          <w:rFonts w:ascii="Times New Roman" w:hAnsi="Times New Roman" w:cs="Times New Roman"/>
          <w:color w:val="auto"/>
          <w:lang w:eastAsia="zh-CN"/>
        </w:rPr>
        <w:t>-2</w:t>
      </w:r>
      <w:r>
        <w:rPr>
          <w:rFonts w:hint="eastAsia" w:ascii="Times New Roman" w:hAnsi="Times New Roman" w:cs="Times New Roman"/>
          <w:color w:val="auto"/>
          <w:lang w:eastAsia="zh-CN"/>
        </w:rPr>
        <w:t>调配</w:t>
      </w:r>
      <w:r>
        <w:rPr>
          <w:rFonts w:ascii="Times New Roman" w:hAnsi="Times New Roman" w:cs="Times New Roman"/>
          <w:color w:val="auto"/>
          <w:lang w:eastAsia="zh-CN"/>
        </w:rPr>
        <w:t>废气）</w:t>
      </w:r>
      <w:r>
        <w:rPr>
          <w:rFonts w:hint="eastAsia" w:ascii="Times New Roman" w:hAnsi="Times New Roman" w:cs="Times New Roman"/>
          <w:color w:val="auto"/>
          <w:lang w:eastAsia="zh-CN"/>
        </w:rPr>
        <w:t>；</w:t>
      </w:r>
    </w:p>
    <w:p w14:paraId="68C32E4A">
      <w:pPr>
        <w:widowControl w:val="0"/>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w:t>
      </w:r>
      <w:r>
        <w:rPr>
          <w:rFonts w:hint="eastAsia" w:ascii="Times New Roman" w:hAnsi="Times New Roman" w:cs="Times New Roman"/>
          <w:color w:val="auto"/>
          <w:szCs w:val="24"/>
          <w:lang w:eastAsia="zh-CN"/>
        </w:rPr>
        <w:t>3</w:t>
      </w:r>
      <w:r>
        <w:rPr>
          <w:rFonts w:ascii="Times New Roman" w:hAnsi="Times New Roman" w:cs="Times New Roman"/>
          <w:color w:val="auto"/>
          <w:szCs w:val="24"/>
          <w:lang w:eastAsia="zh-CN"/>
        </w:rPr>
        <w:t>）储罐：储罐大小</w:t>
      </w:r>
      <w:r>
        <w:rPr>
          <w:rFonts w:hint="eastAsia" w:ascii="Times New Roman" w:hAnsi="Times New Roman" w:cs="Times New Roman"/>
          <w:color w:val="auto"/>
          <w:szCs w:val="24"/>
          <w:lang w:eastAsia="zh-CN"/>
        </w:rPr>
        <w:t>呼吸</w:t>
      </w:r>
      <w:r>
        <w:rPr>
          <w:rFonts w:ascii="Times New Roman" w:hAnsi="Times New Roman" w:cs="Times New Roman"/>
          <w:color w:val="auto"/>
          <w:szCs w:val="24"/>
          <w:lang w:eastAsia="zh-CN"/>
        </w:rPr>
        <w:t>废气；</w:t>
      </w:r>
    </w:p>
    <w:p w14:paraId="01459CCB">
      <w:pPr>
        <w:widowControl w:val="0"/>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拟建项目主要无组织废气主要包括</w:t>
      </w:r>
    </w:p>
    <w:p w14:paraId="297D7A9F">
      <w:pPr>
        <w:widowControl w:val="0"/>
        <w:numPr>
          <w:ilvl w:val="0"/>
          <w:numId w:val="17"/>
        </w:num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未收集到的废气；</w:t>
      </w:r>
    </w:p>
    <w:p w14:paraId="4DD5FF86">
      <w:pPr>
        <w:widowControl w:val="0"/>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有组织污染物：</w:t>
      </w:r>
      <w:r>
        <w:rPr>
          <w:rFonts w:hint="eastAsia" w:ascii="Times New Roman" w:hAnsi="Times New Roman" w:cs="Times New Roman"/>
          <w:color w:val="auto"/>
          <w:szCs w:val="24"/>
          <w:lang w:eastAsia="zh-CN"/>
        </w:rPr>
        <w:t>氟化物、氯化氢</w:t>
      </w:r>
      <w:r>
        <w:rPr>
          <w:rFonts w:ascii="Times New Roman" w:hAnsi="Times New Roman" w:cs="Times New Roman"/>
          <w:color w:val="auto"/>
          <w:szCs w:val="24"/>
          <w:lang w:eastAsia="zh-CN"/>
        </w:rPr>
        <w:t>；</w:t>
      </w:r>
    </w:p>
    <w:p w14:paraId="25B8A8C0">
      <w:pPr>
        <w:widowControl w:val="0"/>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szCs w:val="24"/>
          <w:lang w:eastAsia="zh-CN"/>
        </w:rPr>
        <w:t>无组织污染物：</w:t>
      </w:r>
      <w:r>
        <w:rPr>
          <w:rFonts w:hint="eastAsia" w:ascii="Times New Roman" w:hAnsi="Times New Roman" w:cs="Times New Roman"/>
          <w:color w:val="auto"/>
          <w:szCs w:val="24"/>
          <w:lang w:eastAsia="zh-CN"/>
        </w:rPr>
        <w:t>氟化物</w:t>
      </w:r>
      <w:r>
        <w:rPr>
          <w:rFonts w:ascii="Times New Roman" w:hAnsi="Times New Roman" w:cs="Times New Roman"/>
          <w:color w:val="auto"/>
          <w:szCs w:val="24"/>
          <w:lang w:eastAsia="zh-CN"/>
        </w:rPr>
        <w:t>。</w:t>
      </w:r>
    </w:p>
    <w:p w14:paraId="382E84E6">
      <w:pPr>
        <w:widowControl w:val="0"/>
        <w:spacing w:line="360" w:lineRule="auto"/>
        <w:ind w:firstLine="482"/>
        <w:outlineLvl w:val="2"/>
        <w:rPr>
          <w:rFonts w:ascii="Times New Roman" w:hAnsi="Times New Roman" w:cs="Times New Roman"/>
          <w:b/>
          <w:bCs/>
          <w:color w:val="auto"/>
          <w:lang w:eastAsia="zh-CN"/>
        </w:rPr>
      </w:pPr>
      <w:bookmarkStart w:id="2376" w:name="_Toc172555753"/>
      <w:bookmarkStart w:id="2377" w:name="_Toc203927114"/>
      <w:bookmarkStart w:id="2378" w:name="_Toc204515313"/>
      <w:bookmarkStart w:id="2379" w:name="_Toc221900952"/>
      <w:bookmarkStart w:id="2380" w:name="_Toc175164381"/>
      <w:bookmarkStart w:id="2381" w:name="_Toc173740387"/>
      <w:bookmarkStart w:id="2382" w:name="_Toc217662784"/>
      <w:bookmarkStart w:id="2383" w:name="_Toc218784396"/>
      <w:bookmarkStart w:id="2384" w:name="_Toc225784172"/>
      <w:bookmarkStart w:id="2385" w:name="_Toc231828693"/>
      <w:bookmarkStart w:id="2386" w:name="_Toc173743491"/>
      <w:bookmarkStart w:id="2387" w:name="_Toc223425170"/>
      <w:bookmarkStart w:id="2388" w:name="_Toc178602462"/>
      <w:bookmarkStart w:id="2389" w:name="_Toc236641940"/>
      <w:bookmarkStart w:id="2390" w:name="_Toc176513117"/>
      <w:bookmarkStart w:id="2391" w:name="_Toc224674810"/>
      <w:bookmarkStart w:id="2392" w:name="_Toc204448578"/>
      <w:bookmarkStart w:id="2393" w:name="_Toc237508405"/>
      <w:r>
        <w:rPr>
          <w:rFonts w:ascii="Times New Roman" w:hAnsi="Times New Roman" w:cs="Times New Roman"/>
          <w:b/>
          <w:bCs/>
          <w:color w:val="auto"/>
          <w:lang w:eastAsia="zh-CN"/>
        </w:rPr>
        <w:t>8.2.2 废气治理工艺论证</w:t>
      </w:r>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p>
    <w:p w14:paraId="0DCE3D74">
      <w:pPr>
        <w:widowControl w:val="0"/>
        <w:spacing w:line="360" w:lineRule="auto"/>
        <w:ind w:firstLine="482"/>
        <w:outlineLvl w:val="3"/>
        <w:rPr>
          <w:rFonts w:ascii="Times New Roman" w:hAnsi="Times New Roman" w:cs="Times New Roman"/>
          <w:b/>
          <w:bCs/>
          <w:color w:val="auto"/>
          <w:lang w:eastAsia="zh-CN"/>
        </w:rPr>
      </w:pPr>
      <w:bookmarkStart w:id="2394" w:name="_Toc8008"/>
      <w:r>
        <w:rPr>
          <w:rFonts w:ascii="Times New Roman" w:hAnsi="Times New Roman" w:cs="Times New Roman"/>
          <w:b/>
          <w:bCs/>
          <w:color w:val="auto"/>
          <w:lang w:eastAsia="zh-CN"/>
        </w:rPr>
        <w:t>8.2.2.</w:t>
      </w:r>
      <w:r>
        <w:rPr>
          <w:rFonts w:hint="eastAsia" w:ascii="Times New Roman" w:hAnsi="Times New Roman" w:cs="Times New Roman"/>
          <w:b/>
          <w:bCs/>
          <w:color w:val="auto"/>
          <w:lang w:eastAsia="zh-CN"/>
        </w:rPr>
        <w:t>1</w:t>
      </w:r>
      <w:r>
        <w:rPr>
          <w:rFonts w:ascii="Times New Roman" w:hAnsi="Times New Roman" w:cs="Times New Roman"/>
          <w:b/>
          <w:bCs/>
          <w:color w:val="auto"/>
          <w:lang w:eastAsia="zh-CN"/>
        </w:rPr>
        <w:t xml:space="preserve"> 废气处理措施论证</w:t>
      </w:r>
      <w:bookmarkEnd w:id="2394"/>
    </w:p>
    <w:p w14:paraId="3C183E8B">
      <w:pPr>
        <w:widowControl w:val="0"/>
        <w:spacing w:line="360" w:lineRule="auto"/>
        <w:ind w:firstLine="482" w:firstLineChars="200"/>
        <w:rPr>
          <w:rFonts w:ascii="Times New Roman" w:hAnsi="Times New Roman" w:cs="Times New Roman"/>
          <w:b/>
          <w:bCs/>
          <w:color w:val="auto"/>
          <w:lang w:eastAsia="zh-CN"/>
        </w:rPr>
      </w:pPr>
      <w:r>
        <w:rPr>
          <w:rFonts w:ascii="Times New Roman" w:hAnsi="Times New Roman" w:cs="Times New Roman"/>
          <w:b/>
          <w:bCs/>
          <w:color w:val="auto"/>
          <w:lang w:eastAsia="zh-CN"/>
        </w:rPr>
        <w:t>一、工艺废气</w:t>
      </w:r>
    </w:p>
    <w:p w14:paraId="09242534">
      <w:pPr>
        <w:widowControl w:val="0"/>
        <w:spacing w:line="360" w:lineRule="auto"/>
        <w:ind w:firstLine="482" w:firstLineChars="200"/>
        <w:jc w:val="both"/>
        <w:rPr>
          <w:rFonts w:ascii="Times New Roman" w:hAnsi="Times New Roman" w:cs="Times New Roman"/>
          <w:b/>
          <w:bCs/>
          <w:color w:val="auto"/>
          <w:lang w:eastAsia="zh-CN"/>
        </w:rPr>
      </w:pPr>
      <w:r>
        <w:rPr>
          <w:rFonts w:ascii="Times New Roman" w:hAnsi="Times New Roman" w:cs="Times New Roman"/>
          <w:b/>
          <w:bCs/>
          <w:color w:val="auto"/>
          <w:lang w:eastAsia="zh-CN"/>
        </w:rPr>
        <w:t>（1）废气特征及收集处理方式</w:t>
      </w:r>
    </w:p>
    <w:p w14:paraId="4AB3F30A">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根据生产过程排放的废气不同排放源，设置不同集气方式，并进行处理。生产工艺过程废气污染源种类及收集处理方式见下表。</w:t>
      </w:r>
    </w:p>
    <w:p w14:paraId="747F947B">
      <w:pPr>
        <w:widowControl w:val="0"/>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表8.2-1 生产工艺过程废气特征及收集处理方式</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931"/>
        <w:gridCol w:w="827"/>
        <w:gridCol w:w="1785"/>
        <w:gridCol w:w="1702"/>
        <w:gridCol w:w="1558"/>
        <w:gridCol w:w="1419"/>
        <w:gridCol w:w="1417"/>
      </w:tblGrid>
      <w:tr w14:paraId="0F6E207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12" w:type="pct"/>
            <w:gridSpan w:val="2"/>
            <w:vAlign w:val="center"/>
          </w:tcPr>
          <w:p w14:paraId="5D702852">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装置</w:t>
            </w:r>
          </w:p>
        </w:tc>
        <w:tc>
          <w:tcPr>
            <w:tcW w:w="926" w:type="pct"/>
            <w:vAlign w:val="center"/>
          </w:tcPr>
          <w:p w14:paraId="32C7B286">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污染源</w:t>
            </w:r>
          </w:p>
        </w:tc>
        <w:tc>
          <w:tcPr>
            <w:tcW w:w="883" w:type="pct"/>
            <w:vAlign w:val="center"/>
          </w:tcPr>
          <w:p w14:paraId="32188543">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污染物</w:t>
            </w:r>
          </w:p>
        </w:tc>
        <w:tc>
          <w:tcPr>
            <w:tcW w:w="808" w:type="pct"/>
            <w:vAlign w:val="center"/>
          </w:tcPr>
          <w:p w14:paraId="71BD3939">
            <w:pPr>
              <w:adjustRightInd w:val="0"/>
              <w:snapToGrid w:val="0"/>
              <w:jc w:val="center"/>
              <w:rPr>
                <w:rFonts w:ascii="Times New Roman" w:hAnsi="Times New Roman" w:cs="Times New Roman"/>
                <w:b/>
                <w:bCs/>
                <w:color w:val="auto"/>
                <w:kern w:val="2"/>
                <w:sz w:val="21"/>
                <w:lang w:eastAsia="zh-CN"/>
              </w:rPr>
            </w:pPr>
            <w:r>
              <w:rPr>
                <w:rFonts w:ascii="Times New Roman" w:hAnsi="Times New Roman" w:cs="Times New Roman"/>
                <w:b/>
                <w:bCs/>
                <w:color w:val="auto"/>
                <w:sz w:val="21"/>
              </w:rPr>
              <w:t>收集方式</w:t>
            </w:r>
          </w:p>
        </w:tc>
        <w:tc>
          <w:tcPr>
            <w:tcW w:w="736" w:type="pct"/>
            <w:vAlign w:val="center"/>
          </w:tcPr>
          <w:p w14:paraId="03493067">
            <w:pPr>
              <w:adjustRightInd w:val="0"/>
              <w:snapToGrid w:val="0"/>
              <w:jc w:val="center"/>
              <w:rPr>
                <w:rFonts w:ascii="Times New Roman" w:hAnsi="Times New Roman" w:cs="Times New Roman"/>
                <w:b/>
                <w:bCs/>
                <w:color w:val="auto"/>
                <w:sz w:val="21"/>
              </w:rPr>
            </w:pPr>
            <w:r>
              <w:rPr>
                <w:rFonts w:hint="eastAsia" w:ascii="Times New Roman" w:hAnsi="Times New Roman" w:cs="Times New Roman"/>
                <w:b/>
                <w:bCs/>
                <w:color w:val="auto"/>
                <w:sz w:val="21"/>
                <w:lang w:eastAsia="zh-CN"/>
              </w:rPr>
              <w:t>溶解性</w:t>
            </w:r>
          </w:p>
        </w:tc>
        <w:tc>
          <w:tcPr>
            <w:tcW w:w="735" w:type="pct"/>
            <w:vAlign w:val="center"/>
          </w:tcPr>
          <w:p w14:paraId="29D29A17">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治理措施</w:t>
            </w:r>
          </w:p>
        </w:tc>
      </w:tr>
      <w:tr w14:paraId="44C77E8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83" w:type="pct"/>
            <w:vMerge w:val="restart"/>
            <w:vAlign w:val="center"/>
          </w:tcPr>
          <w:p w14:paraId="0EDFC02F">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化学纯氢氟酸生产装置</w:t>
            </w:r>
          </w:p>
        </w:tc>
        <w:tc>
          <w:tcPr>
            <w:tcW w:w="429" w:type="pct"/>
            <w:vMerge w:val="restart"/>
            <w:vAlign w:val="center"/>
          </w:tcPr>
          <w:p w14:paraId="38DC8DD6">
            <w:pPr>
              <w:adjustRightInd w:val="0"/>
              <w:snapToGrid w:val="0"/>
              <w:jc w:val="center"/>
              <w:textAlignment w:val="center"/>
              <w:rPr>
                <w:rFonts w:ascii="Times New Roman" w:hAnsi="Times New Roman" w:cs="Times New Roman"/>
                <w:color w:val="auto"/>
                <w:spacing w:val="-2"/>
                <w:sz w:val="21"/>
                <w:lang w:eastAsia="zh-CN"/>
              </w:rPr>
            </w:pPr>
            <w:r>
              <w:rPr>
                <w:rFonts w:hint="eastAsia" w:ascii="Times New Roman" w:hAnsi="Times New Roman" w:cs="Times New Roman"/>
                <w:color w:val="auto"/>
                <w:sz w:val="21"/>
                <w:lang w:eastAsia="zh-CN"/>
              </w:rPr>
              <w:t>化学纯氢氟酸</w:t>
            </w:r>
          </w:p>
        </w:tc>
        <w:tc>
          <w:tcPr>
            <w:tcW w:w="926" w:type="pct"/>
            <w:vAlign w:val="center"/>
          </w:tcPr>
          <w:p w14:paraId="003A1E84">
            <w:pPr>
              <w:adjustRightInd w:val="0"/>
              <w:snapToGrid w:val="0"/>
              <w:jc w:val="center"/>
              <w:textAlignment w:val="center"/>
              <w:rPr>
                <w:rFonts w:ascii="Times New Roman" w:hAnsi="Times New Roman" w:cs="Times New Roman"/>
                <w:color w:val="auto"/>
                <w:spacing w:val="-2"/>
                <w:sz w:val="21"/>
                <w:lang w:eastAsia="zh-CN"/>
              </w:rPr>
            </w:pPr>
            <w:r>
              <w:rPr>
                <w:rFonts w:ascii="Times New Roman" w:hAnsi="Times New Roman" w:cs="Times New Roman"/>
                <w:color w:val="auto"/>
                <w:spacing w:val="-2"/>
                <w:sz w:val="21"/>
                <w:lang w:eastAsia="zh-CN"/>
              </w:rPr>
              <w:t>G1-</w:t>
            </w:r>
            <w:r>
              <w:rPr>
                <w:rFonts w:hint="eastAsia" w:ascii="Times New Roman" w:hAnsi="Times New Roman" w:cs="Times New Roman"/>
                <w:color w:val="auto"/>
                <w:spacing w:val="-2"/>
                <w:sz w:val="21"/>
                <w:lang w:eastAsia="zh-CN"/>
              </w:rPr>
              <w:t>1</w:t>
            </w:r>
            <w:r>
              <w:rPr>
                <w:rFonts w:hint="eastAsia" w:ascii="Times New Roman" w:hAnsi="Times New Roman" w:cs="Times New Roman"/>
                <w:color w:val="auto"/>
                <w:sz w:val="21"/>
                <w:lang w:eastAsia="zh-CN"/>
              </w:rPr>
              <w:t>进料废气</w:t>
            </w:r>
          </w:p>
        </w:tc>
        <w:tc>
          <w:tcPr>
            <w:tcW w:w="883" w:type="pct"/>
            <w:vAlign w:val="center"/>
          </w:tcPr>
          <w:p w14:paraId="50B16447">
            <w:pPr>
              <w:adjustRightInd w:val="0"/>
              <w:snapToGrid w:val="0"/>
              <w:jc w:val="center"/>
              <w:textAlignment w:val="center"/>
              <w:rPr>
                <w:rFonts w:ascii="Times New Roman" w:hAnsi="Times New Roman" w:cs="Times New Roman"/>
                <w:color w:val="auto"/>
                <w:spacing w:val="-2"/>
                <w:sz w:val="21"/>
                <w:lang w:eastAsia="zh-CN"/>
              </w:rPr>
            </w:pPr>
            <w:r>
              <w:rPr>
                <w:rFonts w:hint="eastAsia" w:ascii="Times New Roman" w:hAnsi="Times New Roman" w:cs="Times New Roman"/>
                <w:color w:val="auto"/>
                <w:sz w:val="21"/>
                <w:lang w:eastAsia="zh-CN"/>
              </w:rPr>
              <w:t>氟化氢</w:t>
            </w:r>
          </w:p>
        </w:tc>
        <w:tc>
          <w:tcPr>
            <w:tcW w:w="808" w:type="pct"/>
            <w:vMerge w:val="restart"/>
            <w:vAlign w:val="center"/>
          </w:tcPr>
          <w:p w14:paraId="4060C5B8">
            <w:pPr>
              <w:adjustRightInd w:val="0"/>
              <w:snapToGrid w:val="0"/>
              <w:jc w:val="center"/>
              <w:rPr>
                <w:rFonts w:ascii="Times New Roman" w:hAnsi="Times New Roman" w:cs="Times New Roman"/>
                <w:color w:val="auto"/>
                <w:kern w:val="2"/>
                <w:sz w:val="21"/>
                <w:lang w:eastAsia="zh-CN"/>
              </w:rPr>
            </w:pPr>
            <w:r>
              <w:rPr>
                <w:rFonts w:ascii="Times New Roman" w:hAnsi="Times New Roman" w:cs="Times New Roman"/>
                <w:color w:val="auto"/>
                <w:kern w:val="2"/>
                <w:sz w:val="21"/>
                <w:lang w:eastAsia="zh-CN"/>
              </w:rPr>
              <w:t>经管道收集</w:t>
            </w:r>
          </w:p>
        </w:tc>
        <w:tc>
          <w:tcPr>
            <w:tcW w:w="736" w:type="pct"/>
            <w:vAlign w:val="center"/>
          </w:tcPr>
          <w:p w14:paraId="5B8E0879">
            <w:pPr>
              <w:adjustRightInd w:val="0"/>
              <w:snapToGrid w:val="0"/>
              <w:jc w:val="center"/>
              <w:textAlignment w:val="center"/>
              <w:rPr>
                <w:rFonts w:ascii="Times New Roman" w:hAnsi="Times New Roman" w:cs="Times New Roman"/>
                <w:color w:val="auto"/>
                <w:spacing w:val="-2"/>
                <w:sz w:val="21"/>
                <w:lang w:eastAsia="zh-CN" w:bidi="ar"/>
              </w:rPr>
            </w:pPr>
            <w:r>
              <w:rPr>
                <w:rFonts w:hint="eastAsia" w:ascii="Times New Roman" w:hAnsi="Times New Roman" w:cs="Times New Roman"/>
                <w:color w:val="auto"/>
                <w:spacing w:val="-2"/>
                <w:sz w:val="21"/>
                <w:lang w:eastAsia="zh-CN" w:bidi="ar"/>
              </w:rPr>
              <w:t>易</w:t>
            </w:r>
            <w:r>
              <w:rPr>
                <w:rFonts w:ascii="Times New Roman" w:hAnsi="Times New Roman" w:cs="Times New Roman"/>
                <w:color w:val="auto"/>
                <w:spacing w:val="-2"/>
                <w:sz w:val="21"/>
                <w:lang w:eastAsia="zh-CN" w:bidi="ar"/>
              </w:rPr>
              <w:t>溶于水</w:t>
            </w:r>
          </w:p>
        </w:tc>
        <w:tc>
          <w:tcPr>
            <w:tcW w:w="735" w:type="pct"/>
            <w:vMerge w:val="restart"/>
            <w:vAlign w:val="center"/>
          </w:tcPr>
          <w:p w14:paraId="72E7E19F">
            <w:pPr>
              <w:adjustRightInd w:val="0"/>
              <w:snapToGrid w:val="0"/>
              <w:jc w:val="center"/>
              <w:rPr>
                <w:rFonts w:ascii="Times New Roman" w:hAnsi="Times New Roman" w:cs="Times New Roman"/>
                <w:color w:val="auto"/>
                <w:sz w:val="21"/>
                <w:lang w:eastAsia="zh-CN"/>
              </w:rPr>
            </w:pPr>
            <w:r>
              <w:rPr>
                <w:rFonts w:ascii="Times New Roman" w:hAnsi="Times New Roman" w:cs="Times New Roman"/>
                <w:bCs/>
                <w:color w:val="auto"/>
                <w:sz w:val="21"/>
                <w:lang w:eastAsia="zh-CN"/>
              </w:rPr>
              <w:t>现有二级水喷淋（TA001）+</w:t>
            </w:r>
            <w:r>
              <w:rPr>
                <w:rFonts w:hint="eastAsia" w:ascii="Times New Roman" w:hAnsi="Times New Roman" w:cs="Times New Roman"/>
                <w:bCs/>
                <w:color w:val="auto"/>
                <w:sz w:val="21"/>
                <w:lang w:eastAsia="zh-CN"/>
              </w:rPr>
              <w:t>现有</w:t>
            </w:r>
            <w:r>
              <w:rPr>
                <w:rFonts w:ascii="Times New Roman" w:hAnsi="Times New Roman" w:cs="Times New Roman"/>
                <w:bCs/>
                <w:color w:val="auto"/>
                <w:sz w:val="21"/>
                <w:lang w:eastAsia="zh-CN"/>
              </w:rPr>
              <w:t>三级碱喷淋（TA002）</w:t>
            </w:r>
            <w:r>
              <w:rPr>
                <w:rFonts w:hint="eastAsia" w:ascii="Times New Roman" w:hAnsi="Times New Roman" w:cs="Times New Roman"/>
                <w:bCs/>
                <w:color w:val="auto"/>
                <w:sz w:val="21"/>
                <w:lang w:eastAsia="zh-CN"/>
              </w:rPr>
              <w:t>+新增一</w:t>
            </w:r>
            <w:r>
              <w:rPr>
                <w:rFonts w:ascii="Times New Roman" w:hAnsi="Times New Roman" w:cs="Times New Roman"/>
                <w:bCs/>
                <w:color w:val="auto"/>
                <w:sz w:val="21"/>
                <w:lang w:eastAsia="zh-CN"/>
              </w:rPr>
              <w:t>级碱喷淋（TA00</w:t>
            </w:r>
            <w:r>
              <w:rPr>
                <w:rFonts w:hint="eastAsia" w:ascii="Times New Roman" w:hAnsi="Times New Roman" w:cs="Times New Roman"/>
                <w:bCs/>
                <w:color w:val="auto"/>
                <w:sz w:val="21"/>
                <w:lang w:eastAsia="zh-CN"/>
              </w:rPr>
              <w:t>4</w:t>
            </w:r>
            <w:r>
              <w:rPr>
                <w:rFonts w:ascii="Times New Roman" w:hAnsi="Times New Roman" w:cs="Times New Roman"/>
                <w:bCs/>
                <w:color w:val="auto"/>
                <w:sz w:val="21"/>
                <w:lang w:eastAsia="zh-CN"/>
              </w:rPr>
              <w:t>）</w:t>
            </w:r>
          </w:p>
        </w:tc>
      </w:tr>
      <w:tr w14:paraId="1A7E497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83" w:type="pct"/>
            <w:vMerge w:val="continue"/>
            <w:vAlign w:val="center"/>
          </w:tcPr>
          <w:p w14:paraId="0FB6BB94">
            <w:pPr>
              <w:adjustRightInd w:val="0"/>
              <w:snapToGrid w:val="0"/>
              <w:jc w:val="center"/>
              <w:rPr>
                <w:rFonts w:ascii="Times New Roman" w:hAnsi="Times New Roman" w:cs="Times New Roman"/>
                <w:color w:val="auto"/>
                <w:sz w:val="21"/>
                <w:lang w:eastAsia="zh-CN"/>
              </w:rPr>
            </w:pPr>
          </w:p>
        </w:tc>
        <w:tc>
          <w:tcPr>
            <w:tcW w:w="429" w:type="pct"/>
            <w:vMerge w:val="continue"/>
            <w:vAlign w:val="center"/>
          </w:tcPr>
          <w:p w14:paraId="7046D46F">
            <w:pPr>
              <w:adjustRightInd w:val="0"/>
              <w:snapToGrid w:val="0"/>
              <w:jc w:val="center"/>
              <w:textAlignment w:val="center"/>
              <w:rPr>
                <w:rFonts w:ascii="Times New Roman" w:hAnsi="Times New Roman" w:cs="Times New Roman"/>
                <w:color w:val="auto"/>
                <w:sz w:val="21"/>
                <w:lang w:eastAsia="zh-CN" w:bidi="ar"/>
              </w:rPr>
            </w:pPr>
          </w:p>
        </w:tc>
        <w:tc>
          <w:tcPr>
            <w:tcW w:w="926" w:type="pct"/>
            <w:vAlign w:val="center"/>
          </w:tcPr>
          <w:p w14:paraId="6850A4F3">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pacing w:val="-2"/>
                <w:sz w:val="21"/>
                <w:lang w:eastAsia="zh-CN"/>
              </w:rPr>
              <w:t>G1-</w:t>
            </w:r>
            <w:r>
              <w:rPr>
                <w:rFonts w:hint="eastAsia" w:ascii="Times New Roman" w:hAnsi="Times New Roman" w:cs="Times New Roman"/>
                <w:color w:val="auto"/>
                <w:spacing w:val="-2"/>
                <w:sz w:val="21"/>
                <w:lang w:eastAsia="zh-CN"/>
              </w:rPr>
              <w:t>2</w:t>
            </w:r>
            <w:r>
              <w:rPr>
                <w:rFonts w:hint="eastAsia" w:ascii="Times New Roman" w:hAnsi="Times New Roman" w:cs="Times New Roman"/>
                <w:color w:val="auto"/>
                <w:sz w:val="21"/>
                <w:lang w:eastAsia="zh-CN"/>
              </w:rPr>
              <w:t>混合废气</w:t>
            </w:r>
          </w:p>
        </w:tc>
        <w:tc>
          <w:tcPr>
            <w:tcW w:w="883" w:type="pct"/>
            <w:vAlign w:val="center"/>
          </w:tcPr>
          <w:p w14:paraId="78D4FD94">
            <w:pPr>
              <w:adjustRightInd w:val="0"/>
              <w:snapToGrid w:val="0"/>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氟化氢</w:t>
            </w:r>
          </w:p>
        </w:tc>
        <w:tc>
          <w:tcPr>
            <w:tcW w:w="808" w:type="pct"/>
            <w:vMerge w:val="continue"/>
            <w:vAlign w:val="center"/>
          </w:tcPr>
          <w:p w14:paraId="1E1107E9">
            <w:pPr>
              <w:adjustRightInd w:val="0"/>
              <w:snapToGrid w:val="0"/>
              <w:jc w:val="center"/>
              <w:rPr>
                <w:rFonts w:ascii="Times New Roman" w:hAnsi="Times New Roman" w:cs="Times New Roman"/>
                <w:color w:val="auto"/>
                <w:kern w:val="2"/>
                <w:sz w:val="21"/>
                <w:lang w:eastAsia="zh-CN"/>
              </w:rPr>
            </w:pPr>
          </w:p>
        </w:tc>
        <w:tc>
          <w:tcPr>
            <w:tcW w:w="736" w:type="pct"/>
            <w:vAlign w:val="center"/>
          </w:tcPr>
          <w:p w14:paraId="0E6933EA">
            <w:pPr>
              <w:adjustRightInd w:val="0"/>
              <w:snapToGrid w:val="0"/>
              <w:jc w:val="center"/>
              <w:textAlignment w:val="center"/>
              <w:rPr>
                <w:rFonts w:ascii="Times New Roman" w:hAnsi="Times New Roman" w:cs="Times New Roman"/>
                <w:color w:val="auto"/>
                <w:spacing w:val="-2"/>
                <w:sz w:val="21"/>
                <w:lang w:eastAsia="zh-CN" w:bidi="ar"/>
              </w:rPr>
            </w:pPr>
            <w:r>
              <w:rPr>
                <w:rFonts w:hint="eastAsia" w:ascii="Times New Roman" w:hAnsi="Times New Roman" w:cs="Times New Roman"/>
                <w:color w:val="auto"/>
                <w:spacing w:val="-2"/>
                <w:sz w:val="21"/>
                <w:lang w:eastAsia="zh-CN" w:bidi="ar"/>
              </w:rPr>
              <w:t>易</w:t>
            </w:r>
            <w:r>
              <w:rPr>
                <w:rFonts w:ascii="Times New Roman" w:hAnsi="Times New Roman" w:cs="Times New Roman"/>
                <w:color w:val="auto"/>
                <w:spacing w:val="-2"/>
                <w:sz w:val="21"/>
                <w:lang w:eastAsia="zh-CN" w:bidi="ar"/>
              </w:rPr>
              <w:t>溶于水</w:t>
            </w:r>
          </w:p>
        </w:tc>
        <w:tc>
          <w:tcPr>
            <w:tcW w:w="735" w:type="pct"/>
            <w:vMerge w:val="continue"/>
            <w:vAlign w:val="center"/>
          </w:tcPr>
          <w:p w14:paraId="74F9494F">
            <w:pPr>
              <w:adjustRightInd w:val="0"/>
              <w:snapToGrid w:val="0"/>
              <w:jc w:val="center"/>
              <w:rPr>
                <w:rFonts w:ascii="Times New Roman" w:hAnsi="Times New Roman" w:cs="Times New Roman"/>
                <w:color w:val="auto"/>
                <w:sz w:val="21"/>
                <w:lang w:eastAsia="zh-CN"/>
              </w:rPr>
            </w:pPr>
          </w:p>
        </w:tc>
      </w:tr>
      <w:tr w14:paraId="4F8381B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83" w:type="pct"/>
            <w:vMerge w:val="continue"/>
            <w:vAlign w:val="center"/>
          </w:tcPr>
          <w:p w14:paraId="56C92696">
            <w:pPr>
              <w:adjustRightInd w:val="0"/>
              <w:snapToGrid w:val="0"/>
              <w:jc w:val="center"/>
              <w:rPr>
                <w:rFonts w:ascii="Times New Roman" w:hAnsi="Times New Roman" w:cs="Times New Roman"/>
                <w:color w:val="auto"/>
                <w:sz w:val="21"/>
                <w:lang w:eastAsia="zh-CN"/>
              </w:rPr>
            </w:pPr>
          </w:p>
        </w:tc>
        <w:tc>
          <w:tcPr>
            <w:tcW w:w="429" w:type="pct"/>
            <w:vMerge w:val="continue"/>
            <w:vAlign w:val="center"/>
          </w:tcPr>
          <w:p w14:paraId="7DDA1E5B">
            <w:pPr>
              <w:adjustRightInd w:val="0"/>
              <w:snapToGrid w:val="0"/>
              <w:jc w:val="center"/>
              <w:textAlignment w:val="center"/>
              <w:rPr>
                <w:rFonts w:ascii="Times New Roman" w:hAnsi="Times New Roman" w:cs="Times New Roman"/>
                <w:color w:val="auto"/>
                <w:sz w:val="21"/>
                <w:lang w:eastAsia="zh-CN" w:bidi="ar"/>
              </w:rPr>
            </w:pPr>
          </w:p>
        </w:tc>
        <w:tc>
          <w:tcPr>
            <w:tcW w:w="926" w:type="pct"/>
            <w:vAlign w:val="center"/>
          </w:tcPr>
          <w:p w14:paraId="33CB8F68">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pacing w:val="-2"/>
                <w:sz w:val="21"/>
                <w:lang w:eastAsia="zh-CN"/>
              </w:rPr>
              <w:t>G1-</w:t>
            </w:r>
            <w:r>
              <w:rPr>
                <w:rFonts w:hint="eastAsia" w:ascii="Times New Roman" w:hAnsi="Times New Roman" w:cs="Times New Roman"/>
                <w:color w:val="auto"/>
                <w:spacing w:val="-2"/>
                <w:sz w:val="21"/>
                <w:lang w:eastAsia="zh-CN"/>
              </w:rPr>
              <w:t>3</w:t>
            </w:r>
            <w:r>
              <w:rPr>
                <w:rFonts w:hint="eastAsia" w:ascii="Times New Roman" w:hAnsi="Times New Roman" w:cs="Times New Roman"/>
                <w:color w:val="auto"/>
                <w:sz w:val="21"/>
                <w:lang w:eastAsia="zh-CN"/>
              </w:rPr>
              <w:t>调配废气</w:t>
            </w:r>
          </w:p>
        </w:tc>
        <w:tc>
          <w:tcPr>
            <w:tcW w:w="883" w:type="pct"/>
            <w:vAlign w:val="center"/>
          </w:tcPr>
          <w:p w14:paraId="2349567C">
            <w:pPr>
              <w:adjustRightInd w:val="0"/>
              <w:snapToGrid w:val="0"/>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氟化氢</w:t>
            </w:r>
          </w:p>
        </w:tc>
        <w:tc>
          <w:tcPr>
            <w:tcW w:w="808" w:type="pct"/>
            <w:vMerge w:val="continue"/>
            <w:vAlign w:val="center"/>
          </w:tcPr>
          <w:p w14:paraId="4F879462">
            <w:pPr>
              <w:adjustRightInd w:val="0"/>
              <w:snapToGrid w:val="0"/>
              <w:jc w:val="center"/>
              <w:rPr>
                <w:rFonts w:ascii="Times New Roman" w:hAnsi="Times New Roman" w:cs="Times New Roman"/>
                <w:color w:val="auto"/>
                <w:kern w:val="2"/>
                <w:sz w:val="21"/>
                <w:lang w:eastAsia="zh-CN"/>
              </w:rPr>
            </w:pPr>
          </w:p>
        </w:tc>
        <w:tc>
          <w:tcPr>
            <w:tcW w:w="736" w:type="pct"/>
            <w:vAlign w:val="center"/>
          </w:tcPr>
          <w:p w14:paraId="1F545C6E">
            <w:pPr>
              <w:adjustRightInd w:val="0"/>
              <w:snapToGrid w:val="0"/>
              <w:jc w:val="center"/>
              <w:textAlignment w:val="center"/>
              <w:rPr>
                <w:rFonts w:ascii="Times New Roman" w:hAnsi="Times New Roman" w:cs="Times New Roman"/>
                <w:color w:val="auto"/>
                <w:spacing w:val="-2"/>
                <w:sz w:val="21"/>
                <w:lang w:eastAsia="zh-CN" w:bidi="ar"/>
              </w:rPr>
            </w:pPr>
            <w:r>
              <w:rPr>
                <w:rFonts w:hint="eastAsia" w:ascii="Times New Roman" w:hAnsi="Times New Roman" w:cs="Times New Roman"/>
                <w:color w:val="auto"/>
                <w:spacing w:val="-2"/>
                <w:sz w:val="21"/>
                <w:lang w:eastAsia="zh-CN" w:bidi="ar"/>
              </w:rPr>
              <w:t>易</w:t>
            </w:r>
            <w:r>
              <w:rPr>
                <w:rFonts w:ascii="Times New Roman" w:hAnsi="Times New Roman" w:cs="Times New Roman"/>
                <w:color w:val="auto"/>
                <w:spacing w:val="-2"/>
                <w:sz w:val="21"/>
                <w:lang w:eastAsia="zh-CN" w:bidi="ar"/>
              </w:rPr>
              <w:t>溶于水</w:t>
            </w:r>
          </w:p>
        </w:tc>
        <w:tc>
          <w:tcPr>
            <w:tcW w:w="735" w:type="pct"/>
            <w:vMerge w:val="continue"/>
            <w:vAlign w:val="center"/>
          </w:tcPr>
          <w:p w14:paraId="026A9FDD">
            <w:pPr>
              <w:adjustRightInd w:val="0"/>
              <w:snapToGrid w:val="0"/>
              <w:jc w:val="center"/>
              <w:rPr>
                <w:rFonts w:ascii="Times New Roman" w:hAnsi="Times New Roman" w:cs="Times New Roman"/>
                <w:color w:val="auto"/>
                <w:sz w:val="21"/>
                <w:lang w:eastAsia="zh-CN"/>
              </w:rPr>
            </w:pPr>
          </w:p>
        </w:tc>
      </w:tr>
      <w:tr w14:paraId="170C31F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83" w:type="pct"/>
            <w:vMerge w:val="continue"/>
            <w:vAlign w:val="center"/>
          </w:tcPr>
          <w:p w14:paraId="0E03C4C9">
            <w:pPr>
              <w:adjustRightInd w:val="0"/>
              <w:snapToGrid w:val="0"/>
              <w:jc w:val="center"/>
              <w:rPr>
                <w:rFonts w:ascii="Times New Roman" w:hAnsi="Times New Roman" w:cs="Times New Roman"/>
                <w:color w:val="auto"/>
                <w:sz w:val="21"/>
                <w:lang w:eastAsia="zh-CN"/>
              </w:rPr>
            </w:pPr>
          </w:p>
        </w:tc>
        <w:tc>
          <w:tcPr>
            <w:tcW w:w="429" w:type="pct"/>
            <w:vMerge w:val="continue"/>
            <w:vAlign w:val="center"/>
          </w:tcPr>
          <w:p w14:paraId="41A111CF">
            <w:pPr>
              <w:adjustRightInd w:val="0"/>
              <w:snapToGrid w:val="0"/>
              <w:jc w:val="center"/>
              <w:textAlignment w:val="center"/>
              <w:rPr>
                <w:rFonts w:ascii="Times New Roman" w:hAnsi="Times New Roman" w:cs="Times New Roman"/>
                <w:color w:val="auto"/>
                <w:sz w:val="21"/>
                <w:lang w:eastAsia="zh-CN" w:bidi="ar"/>
              </w:rPr>
            </w:pPr>
          </w:p>
        </w:tc>
        <w:tc>
          <w:tcPr>
            <w:tcW w:w="926" w:type="pct"/>
            <w:vAlign w:val="center"/>
          </w:tcPr>
          <w:p w14:paraId="5B351447">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pacing w:val="-2"/>
                <w:sz w:val="21"/>
                <w:lang w:eastAsia="zh-CN"/>
              </w:rPr>
              <w:t>G1-</w:t>
            </w:r>
            <w:r>
              <w:rPr>
                <w:rFonts w:hint="eastAsia" w:ascii="Times New Roman" w:hAnsi="Times New Roman" w:cs="Times New Roman"/>
                <w:color w:val="auto"/>
                <w:spacing w:val="-2"/>
                <w:sz w:val="21"/>
                <w:lang w:eastAsia="zh-CN"/>
              </w:rPr>
              <w:t>4</w:t>
            </w:r>
            <w:r>
              <w:rPr>
                <w:rFonts w:hint="eastAsia" w:ascii="Times New Roman" w:hAnsi="Times New Roman" w:cs="Times New Roman"/>
                <w:color w:val="auto"/>
                <w:sz w:val="21"/>
                <w:lang w:eastAsia="zh-CN"/>
              </w:rPr>
              <w:t>灌装废气</w:t>
            </w:r>
          </w:p>
        </w:tc>
        <w:tc>
          <w:tcPr>
            <w:tcW w:w="883" w:type="pct"/>
            <w:vAlign w:val="center"/>
          </w:tcPr>
          <w:p w14:paraId="1E57DF15">
            <w:pPr>
              <w:adjustRightInd w:val="0"/>
              <w:snapToGrid w:val="0"/>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氟化氢</w:t>
            </w:r>
          </w:p>
        </w:tc>
        <w:tc>
          <w:tcPr>
            <w:tcW w:w="808" w:type="pct"/>
            <w:vAlign w:val="center"/>
          </w:tcPr>
          <w:p w14:paraId="2C15E2B3">
            <w:pPr>
              <w:adjustRightInd w:val="0"/>
              <w:snapToGrid w:val="0"/>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经密闭负压收集</w:t>
            </w:r>
          </w:p>
        </w:tc>
        <w:tc>
          <w:tcPr>
            <w:tcW w:w="736" w:type="pct"/>
            <w:vAlign w:val="center"/>
          </w:tcPr>
          <w:p w14:paraId="5EA6BE19">
            <w:pPr>
              <w:adjustRightInd w:val="0"/>
              <w:snapToGrid w:val="0"/>
              <w:jc w:val="center"/>
              <w:textAlignment w:val="center"/>
              <w:rPr>
                <w:rFonts w:ascii="Times New Roman" w:hAnsi="Times New Roman" w:cs="Times New Roman"/>
                <w:color w:val="auto"/>
                <w:spacing w:val="-2"/>
                <w:sz w:val="21"/>
                <w:lang w:eastAsia="zh-CN" w:bidi="ar"/>
              </w:rPr>
            </w:pPr>
            <w:r>
              <w:rPr>
                <w:rFonts w:hint="eastAsia" w:ascii="Times New Roman" w:hAnsi="Times New Roman" w:cs="Times New Roman"/>
                <w:color w:val="auto"/>
                <w:spacing w:val="-2"/>
                <w:sz w:val="21"/>
                <w:lang w:eastAsia="zh-CN" w:bidi="ar"/>
              </w:rPr>
              <w:t>易</w:t>
            </w:r>
            <w:r>
              <w:rPr>
                <w:rFonts w:ascii="Times New Roman" w:hAnsi="Times New Roman" w:cs="Times New Roman"/>
                <w:color w:val="auto"/>
                <w:spacing w:val="-2"/>
                <w:sz w:val="21"/>
                <w:lang w:eastAsia="zh-CN" w:bidi="ar"/>
              </w:rPr>
              <w:t>溶于水</w:t>
            </w:r>
          </w:p>
        </w:tc>
        <w:tc>
          <w:tcPr>
            <w:tcW w:w="735" w:type="pct"/>
            <w:vMerge w:val="continue"/>
            <w:vAlign w:val="center"/>
          </w:tcPr>
          <w:p w14:paraId="3DD7B374">
            <w:pPr>
              <w:adjustRightInd w:val="0"/>
              <w:snapToGrid w:val="0"/>
              <w:jc w:val="center"/>
              <w:rPr>
                <w:rFonts w:ascii="Times New Roman" w:hAnsi="Times New Roman" w:cs="Times New Roman"/>
                <w:color w:val="auto"/>
                <w:sz w:val="21"/>
                <w:lang w:eastAsia="zh-CN"/>
              </w:rPr>
            </w:pPr>
          </w:p>
        </w:tc>
      </w:tr>
      <w:tr w14:paraId="1ABE61D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83" w:type="pct"/>
            <w:vMerge w:val="restart"/>
            <w:vAlign w:val="center"/>
          </w:tcPr>
          <w:p w14:paraId="4BC0825C">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刻蚀液生产装置</w:t>
            </w:r>
          </w:p>
        </w:tc>
        <w:tc>
          <w:tcPr>
            <w:tcW w:w="429" w:type="pct"/>
            <w:vMerge w:val="restart"/>
            <w:vAlign w:val="center"/>
          </w:tcPr>
          <w:p w14:paraId="3355D458">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刻蚀液</w:t>
            </w:r>
          </w:p>
        </w:tc>
        <w:tc>
          <w:tcPr>
            <w:tcW w:w="926" w:type="pct"/>
            <w:vMerge w:val="restart"/>
            <w:vAlign w:val="center"/>
          </w:tcPr>
          <w:p w14:paraId="7EC01466">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pacing w:val="-2"/>
                <w:sz w:val="21"/>
                <w:lang w:eastAsia="zh-CN"/>
              </w:rPr>
              <w:t>G2-1</w:t>
            </w:r>
            <w:r>
              <w:rPr>
                <w:rFonts w:hint="eastAsia" w:ascii="Times New Roman" w:hAnsi="Times New Roman" w:cs="Times New Roman"/>
                <w:color w:val="auto"/>
                <w:spacing w:val="-2"/>
                <w:sz w:val="21"/>
                <w:lang w:eastAsia="zh-CN"/>
              </w:rPr>
              <w:t>进料混合</w:t>
            </w:r>
            <w:r>
              <w:rPr>
                <w:rFonts w:ascii="Times New Roman" w:hAnsi="Times New Roman" w:cs="Times New Roman"/>
                <w:color w:val="auto"/>
                <w:sz w:val="21"/>
                <w:szCs w:val="18"/>
              </w:rPr>
              <w:t>废气</w:t>
            </w:r>
          </w:p>
        </w:tc>
        <w:tc>
          <w:tcPr>
            <w:tcW w:w="883" w:type="pct"/>
            <w:vAlign w:val="center"/>
          </w:tcPr>
          <w:p w14:paraId="29DB847E">
            <w:pPr>
              <w:adjustRightInd w:val="0"/>
              <w:snapToGrid w:val="0"/>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氟化氢</w:t>
            </w:r>
          </w:p>
        </w:tc>
        <w:tc>
          <w:tcPr>
            <w:tcW w:w="808" w:type="pct"/>
            <w:vMerge w:val="restart"/>
            <w:vAlign w:val="center"/>
          </w:tcPr>
          <w:p w14:paraId="65769DED">
            <w:pPr>
              <w:adjustRightInd w:val="0"/>
              <w:snapToGrid w:val="0"/>
              <w:jc w:val="center"/>
              <w:textAlignment w:val="center"/>
              <w:rPr>
                <w:rFonts w:ascii="Times New Roman" w:hAnsi="Times New Roman" w:cs="Times New Roman"/>
                <w:color w:val="auto"/>
                <w:kern w:val="2"/>
                <w:sz w:val="21"/>
                <w:lang w:eastAsia="zh-CN"/>
              </w:rPr>
            </w:pPr>
            <w:r>
              <w:rPr>
                <w:rFonts w:ascii="Times New Roman" w:hAnsi="Times New Roman" w:cs="Times New Roman"/>
                <w:color w:val="auto"/>
                <w:kern w:val="2"/>
                <w:sz w:val="21"/>
                <w:lang w:eastAsia="zh-CN"/>
              </w:rPr>
              <w:t>经管道收集</w:t>
            </w:r>
          </w:p>
        </w:tc>
        <w:tc>
          <w:tcPr>
            <w:tcW w:w="736" w:type="pct"/>
            <w:vAlign w:val="center"/>
          </w:tcPr>
          <w:p w14:paraId="12958A3B">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pacing w:val="-2"/>
                <w:sz w:val="21"/>
                <w:lang w:eastAsia="zh-CN" w:bidi="ar"/>
              </w:rPr>
              <w:t>易</w:t>
            </w:r>
            <w:r>
              <w:rPr>
                <w:rFonts w:ascii="Times New Roman" w:hAnsi="Times New Roman" w:cs="Times New Roman"/>
                <w:color w:val="auto"/>
                <w:spacing w:val="-2"/>
                <w:sz w:val="21"/>
                <w:lang w:eastAsia="zh-CN" w:bidi="ar"/>
              </w:rPr>
              <w:t>溶于水</w:t>
            </w:r>
          </w:p>
        </w:tc>
        <w:tc>
          <w:tcPr>
            <w:tcW w:w="735" w:type="pct"/>
            <w:vMerge w:val="restart"/>
            <w:vAlign w:val="center"/>
          </w:tcPr>
          <w:p w14:paraId="0DE4B9F3">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bCs/>
                <w:color w:val="auto"/>
                <w:sz w:val="21"/>
                <w:lang w:eastAsia="zh-CN"/>
              </w:rPr>
              <w:t>新增</w:t>
            </w:r>
            <w:r>
              <w:rPr>
                <w:rFonts w:ascii="Times New Roman" w:hAnsi="Times New Roman" w:cs="Times New Roman"/>
                <w:bCs/>
                <w:color w:val="auto"/>
                <w:sz w:val="21"/>
                <w:lang w:eastAsia="zh-CN"/>
              </w:rPr>
              <w:t>二级水喷淋（TA003）+</w:t>
            </w:r>
            <w:r>
              <w:rPr>
                <w:rFonts w:hint="eastAsia" w:ascii="Times New Roman" w:hAnsi="Times New Roman" w:cs="Times New Roman"/>
                <w:bCs/>
                <w:color w:val="auto"/>
                <w:sz w:val="21"/>
                <w:lang w:eastAsia="zh-CN"/>
              </w:rPr>
              <w:t>现有</w:t>
            </w:r>
            <w:r>
              <w:rPr>
                <w:rFonts w:ascii="Times New Roman" w:hAnsi="Times New Roman" w:cs="Times New Roman"/>
                <w:bCs/>
                <w:color w:val="auto"/>
                <w:sz w:val="21"/>
                <w:lang w:eastAsia="zh-CN"/>
              </w:rPr>
              <w:t>三级碱喷淋（TA002）</w:t>
            </w:r>
            <w:r>
              <w:rPr>
                <w:rFonts w:hint="eastAsia" w:ascii="Times New Roman" w:hAnsi="Times New Roman" w:cs="Times New Roman"/>
                <w:bCs/>
                <w:color w:val="auto"/>
                <w:sz w:val="21"/>
                <w:lang w:eastAsia="zh-CN"/>
              </w:rPr>
              <w:t>+新增一</w:t>
            </w:r>
            <w:r>
              <w:rPr>
                <w:rFonts w:ascii="Times New Roman" w:hAnsi="Times New Roman" w:cs="Times New Roman"/>
                <w:bCs/>
                <w:color w:val="auto"/>
                <w:sz w:val="21"/>
                <w:lang w:eastAsia="zh-CN"/>
              </w:rPr>
              <w:t>级碱喷淋（TA00</w:t>
            </w:r>
            <w:r>
              <w:rPr>
                <w:rFonts w:hint="eastAsia" w:ascii="Times New Roman" w:hAnsi="Times New Roman" w:cs="Times New Roman"/>
                <w:bCs/>
                <w:color w:val="auto"/>
                <w:sz w:val="21"/>
                <w:lang w:eastAsia="zh-CN"/>
              </w:rPr>
              <w:t>4</w:t>
            </w:r>
            <w:r>
              <w:rPr>
                <w:rFonts w:ascii="Times New Roman" w:hAnsi="Times New Roman" w:cs="Times New Roman"/>
                <w:bCs/>
                <w:color w:val="auto"/>
                <w:sz w:val="21"/>
                <w:lang w:eastAsia="zh-CN"/>
              </w:rPr>
              <w:t>）</w:t>
            </w:r>
          </w:p>
        </w:tc>
      </w:tr>
      <w:tr w14:paraId="213CCC6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83" w:type="pct"/>
            <w:vMerge w:val="continue"/>
            <w:vAlign w:val="center"/>
          </w:tcPr>
          <w:p w14:paraId="14BB4DCB">
            <w:pPr>
              <w:adjustRightInd w:val="0"/>
              <w:snapToGrid w:val="0"/>
              <w:jc w:val="center"/>
              <w:rPr>
                <w:rFonts w:ascii="Times New Roman" w:hAnsi="Times New Roman" w:cs="Times New Roman"/>
                <w:color w:val="auto"/>
                <w:sz w:val="21"/>
                <w:lang w:eastAsia="zh-CN"/>
              </w:rPr>
            </w:pPr>
          </w:p>
        </w:tc>
        <w:tc>
          <w:tcPr>
            <w:tcW w:w="429" w:type="pct"/>
            <w:vMerge w:val="continue"/>
            <w:vAlign w:val="center"/>
          </w:tcPr>
          <w:p w14:paraId="70A4276E">
            <w:pPr>
              <w:adjustRightInd w:val="0"/>
              <w:snapToGrid w:val="0"/>
              <w:jc w:val="center"/>
              <w:rPr>
                <w:rFonts w:ascii="Times New Roman" w:hAnsi="Times New Roman" w:cs="Times New Roman"/>
                <w:color w:val="auto"/>
                <w:sz w:val="21"/>
                <w:lang w:eastAsia="zh-CN"/>
              </w:rPr>
            </w:pPr>
          </w:p>
        </w:tc>
        <w:tc>
          <w:tcPr>
            <w:tcW w:w="926" w:type="pct"/>
            <w:vMerge w:val="continue"/>
            <w:vAlign w:val="center"/>
          </w:tcPr>
          <w:p w14:paraId="64899A20">
            <w:pPr>
              <w:adjustRightInd w:val="0"/>
              <w:snapToGrid w:val="0"/>
              <w:jc w:val="center"/>
              <w:textAlignment w:val="center"/>
              <w:rPr>
                <w:rFonts w:ascii="Times New Roman" w:hAnsi="Times New Roman" w:cs="Times New Roman"/>
                <w:color w:val="auto"/>
                <w:sz w:val="21"/>
                <w:lang w:eastAsia="zh-CN"/>
              </w:rPr>
            </w:pPr>
          </w:p>
        </w:tc>
        <w:tc>
          <w:tcPr>
            <w:tcW w:w="883" w:type="pct"/>
            <w:vAlign w:val="center"/>
          </w:tcPr>
          <w:p w14:paraId="0DEA9E83">
            <w:pPr>
              <w:adjustRightInd w:val="0"/>
              <w:snapToGrid w:val="0"/>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氯化氢</w:t>
            </w:r>
          </w:p>
        </w:tc>
        <w:tc>
          <w:tcPr>
            <w:tcW w:w="808" w:type="pct"/>
            <w:vMerge w:val="continue"/>
            <w:vAlign w:val="center"/>
          </w:tcPr>
          <w:p w14:paraId="7CCFB5BE">
            <w:pPr>
              <w:adjustRightInd w:val="0"/>
              <w:snapToGrid w:val="0"/>
              <w:jc w:val="center"/>
              <w:textAlignment w:val="center"/>
              <w:rPr>
                <w:rFonts w:ascii="Times New Roman" w:hAnsi="Times New Roman" w:cs="Times New Roman"/>
                <w:color w:val="auto"/>
                <w:kern w:val="2"/>
                <w:sz w:val="21"/>
                <w:lang w:eastAsia="zh-CN"/>
              </w:rPr>
            </w:pPr>
          </w:p>
        </w:tc>
        <w:tc>
          <w:tcPr>
            <w:tcW w:w="736" w:type="pct"/>
            <w:vAlign w:val="center"/>
          </w:tcPr>
          <w:p w14:paraId="477C3608">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pacing w:val="-2"/>
                <w:sz w:val="21"/>
                <w:lang w:eastAsia="zh-CN" w:bidi="ar"/>
              </w:rPr>
              <w:t>易</w:t>
            </w:r>
            <w:r>
              <w:rPr>
                <w:rFonts w:ascii="Times New Roman" w:hAnsi="Times New Roman" w:cs="Times New Roman"/>
                <w:color w:val="auto"/>
                <w:spacing w:val="-2"/>
                <w:sz w:val="21"/>
                <w:lang w:eastAsia="zh-CN" w:bidi="ar"/>
              </w:rPr>
              <w:t>溶于水</w:t>
            </w:r>
          </w:p>
        </w:tc>
        <w:tc>
          <w:tcPr>
            <w:tcW w:w="735" w:type="pct"/>
            <w:vMerge w:val="continue"/>
            <w:vAlign w:val="center"/>
          </w:tcPr>
          <w:p w14:paraId="03319C10">
            <w:pPr>
              <w:adjustRightInd w:val="0"/>
              <w:snapToGrid w:val="0"/>
              <w:jc w:val="center"/>
              <w:textAlignment w:val="center"/>
              <w:rPr>
                <w:rFonts w:ascii="Times New Roman" w:hAnsi="Times New Roman" w:cs="Times New Roman"/>
                <w:color w:val="auto"/>
                <w:sz w:val="21"/>
                <w:lang w:eastAsia="zh-CN" w:bidi="ar"/>
              </w:rPr>
            </w:pPr>
          </w:p>
        </w:tc>
      </w:tr>
      <w:tr w14:paraId="6823685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83" w:type="pct"/>
            <w:vMerge w:val="continue"/>
            <w:vAlign w:val="center"/>
          </w:tcPr>
          <w:p w14:paraId="2A404442">
            <w:pPr>
              <w:adjustRightInd w:val="0"/>
              <w:snapToGrid w:val="0"/>
              <w:jc w:val="center"/>
              <w:rPr>
                <w:rFonts w:ascii="Times New Roman" w:hAnsi="Times New Roman" w:cs="Times New Roman"/>
                <w:color w:val="auto"/>
                <w:sz w:val="21"/>
                <w:lang w:eastAsia="zh-CN"/>
              </w:rPr>
            </w:pPr>
          </w:p>
        </w:tc>
        <w:tc>
          <w:tcPr>
            <w:tcW w:w="429" w:type="pct"/>
            <w:vMerge w:val="continue"/>
            <w:vAlign w:val="center"/>
          </w:tcPr>
          <w:p w14:paraId="7E876B5E">
            <w:pPr>
              <w:adjustRightInd w:val="0"/>
              <w:snapToGrid w:val="0"/>
              <w:jc w:val="center"/>
              <w:rPr>
                <w:rFonts w:ascii="Times New Roman" w:hAnsi="Times New Roman" w:cs="Times New Roman"/>
                <w:color w:val="auto"/>
                <w:sz w:val="21"/>
                <w:lang w:eastAsia="zh-CN"/>
              </w:rPr>
            </w:pPr>
          </w:p>
        </w:tc>
        <w:tc>
          <w:tcPr>
            <w:tcW w:w="926" w:type="pct"/>
            <w:vMerge w:val="restart"/>
            <w:vAlign w:val="center"/>
          </w:tcPr>
          <w:p w14:paraId="2C2EFBB9">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pacing w:val="-2"/>
                <w:sz w:val="21"/>
                <w:lang w:eastAsia="zh-CN"/>
              </w:rPr>
              <w:t>G2-2</w:t>
            </w:r>
            <w:r>
              <w:rPr>
                <w:rFonts w:hint="eastAsia" w:ascii="Times New Roman" w:hAnsi="Times New Roman" w:cs="Times New Roman"/>
                <w:color w:val="auto"/>
                <w:sz w:val="21"/>
                <w:szCs w:val="18"/>
                <w:lang w:eastAsia="zh-CN"/>
              </w:rPr>
              <w:t>调配</w:t>
            </w:r>
            <w:r>
              <w:rPr>
                <w:rFonts w:ascii="Times New Roman" w:hAnsi="Times New Roman" w:cs="Times New Roman"/>
                <w:color w:val="auto"/>
                <w:sz w:val="21"/>
                <w:szCs w:val="18"/>
              </w:rPr>
              <w:t>废气</w:t>
            </w:r>
          </w:p>
        </w:tc>
        <w:tc>
          <w:tcPr>
            <w:tcW w:w="883" w:type="pct"/>
            <w:vAlign w:val="center"/>
          </w:tcPr>
          <w:p w14:paraId="217BA460">
            <w:pPr>
              <w:adjustRightInd w:val="0"/>
              <w:snapToGrid w:val="0"/>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氟化氢</w:t>
            </w:r>
          </w:p>
        </w:tc>
        <w:tc>
          <w:tcPr>
            <w:tcW w:w="808" w:type="pct"/>
            <w:vMerge w:val="restart"/>
            <w:vAlign w:val="center"/>
          </w:tcPr>
          <w:p w14:paraId="1F5DCB3F">
            <w:pPr>
              <w:adjustRightInd w:val="0"/>
              <w:snapToGrid w:val="0"/>
              <w:jc w:val="center"/>
              <w:textAlignment w:val="center"/>
              <w:rPr>
                <w:rFonts w:ascii="Times New Roman" w:hAnsi="Times New Roman" w:cs="Times New Roman"/>
                <w:color w:val="auto"/>
                <w:kern w:val="2"/>
                <w:sz w:val="21"/>
                <w:lang w:eastAsia="zh-CN"/>
              </w:rPr>
            </w:pPr>
            <w:r>
              <w:rPr>
                <w:rFonts w:ascii="Times New Roman" w:hAnsi="Times New Roman" w:cs="Times New Roman"/>
                <w:color w:val="auto"/>
                <w:kern w:val="2"/>
                <w:sz w:val="21"/>
                <w:lang w:eastAsia="zh-CN"/>
              </w:rPr>
              <w:t>经管道收集</w:t>
            </w:r>
          </w:p>
        </w:tc>
        <w:tc>
          <w:tcPr>
            <w:tcW w:w="736" w:type="pct"/>
            <w:vAlign w:val="center"/>
          </w:tcPr>
          <w:p w14:paraId="6C4AF797">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pacing w:val="-2"/>
                <w:sz w:val="21"/>
                <w:lang w:eastAsia="zh-CN" w:bidi="ar"/>
              </w:rPr>
              <w:t>易</w:t>
            </w:r>
            <w:r>
              <w:rPr>
                <w:rFonts w:ascii="Times New Roman" w:hAnsi="Times New Roman" w:cs="Times New Roman"/>
                <w:color w:val="auto"/>
                <w:spacing w:val="-2"/>
                <w:sz w:val="21"/>
                <w:lang w:eastAsia="zh-CN" w:bidi="ar"/>
              </w:rPr>
              <w:t>溶于水</w:t>
            </w:r>
          </w:p>
        </w:tc>
        <w:tc>
          <w:tcPr>
            <w:tcW w:w="735" w:type="pct"/>
            <w:vMerge w:val="continue"/>
            <w:vAlign w:val="center"/>
          </w:tcPr>
          <w:p w14:paraId="1309558B">
            <w:pPr>
              <w:adjustRightInd w:val="0"/>
              <w:snapToGrid w:val="0"/>
              <w:jc w:val="center"/>
              <w:textAlignment w:val="center"/>
              <w:rPr>
                <w:rFonts w:ascii="Times New Roman" w:hAnsi="Times New Roman" w:cs="Times New Roman"/>
                <w:color w:val="auto"/>
                <w:sz w:val="21"/>
                <w:lang w:eastAsia="zh-CN" w:bidi="ar"/>
              </w:rPr>
            </w:pPr>
          </w:p>
        </w:tc>
      </w:tr>
      <w:tr w14:paraId="2F8BB2A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83" w:type="pct"/>
            <w:vMerge w:val="continue"/>
            <w:vAlign w:val="center"/>
          </w:tcPr>
          <w:p w14:paraId="3167EB2A">
            <w:pPr>
              <w:adjustRightInd w:val="0"/>
              <w:snapToGrid w:val="0"/>
              <w:jc w:val="center"/>
              <w:rPr>
                <w:rFonts w:ascii="Times New Roman" w:hAnsi="Times New Roman" w:cs="Times New Roman"/>
                <w:color w:val="auto"/>
                <w:sz w:val="21"/>
                <w:lang w:eastAsia="zh-CN"/>
              </w:rPr>
            </w:pPr>
          </w:p>
        </w:tc>
        <w:tc>
          <w:tcPr>
            <w:tcW w:w="429" w:type="pct"/>
            <w:vMerge w:val="continue"/>
            <w:vAlign w:val="center"/>
          </w:tcPr>
          <w:p w14:paraId="7AB57E40">
            <w:pPr>
              <w:adjustRightInd w:val="0"/>
              <w:snapToGrid w:val="0"/>
              <w:jc w:val="center"/>
              <w:rPr>
                <w:rFonts w:ascii="Times New Roman" w:hAnsi="Times New Roman" w:cs="Times New Roman"/>
                <w:color w:val="auto"/>
                <w:sz w:val="21"/>
                <w:lang w:eastAsia="zh-CN"/>
              </w:rPr>
            </w:pPr>
          </w:p>
        </w:tc>
        <w:tc>
          <w:tcPr>
            <w:tcW w:w="926" w:type="pct"/>
            <w:vMerge w:val="continue"/>
            <w:vAlign w:val="center"/>
          </w:tcPr>
          <w:p w14:paraId="1FB94ED8">
            <w:pPr>
              <w:adjustRightInd w:val="0"/>
              <w:snapToGrid w:val="0"/>
              <w:jc w:val="center"/>
              <w:textAlignment w:val="center"/>
              <w:rPr>
                <w:rFonts w:ascii="Times New Roman" w:hAnsi="Times New Roman" w:cs="Times New Roman"/>
                <w:color w:val="auto"/>
                <w:sz w:val="21"/>
              </w:rPr>
            </w:pPr>
          </w:p>
        </w:tc>
        <w:tc>
          <w:tcPr>
            <w:tcW w:w="883" w:type="pct"/>
            <w:vAlign w:val="center"/>
          </w:tcPr>
          <w:p w14:paraId="23127608">
            <w:pPr>
              <w:adjustRightInd w:val="0"/>
              <w:snapToGrid w:val="0"/>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氯化氢</w:t>
            </w:r>
          </w:p>
        </w:tc>
        <w:tc>
          <w:tcPr>
            <w:tcW w:w="808" w:type="pct"/>
            <w:vMerge w:val="continue"/>
            <w:vAlign w:val="center"/>
          </w:tcPr>
          <w:p w14:paraId="1646E847">
            <w:pPr>
              <w:adjustRightInd w:val="0"/>
              <w:snapToGrid w:val="0"/>
              <w:jc w:val="center"/>
              <w:textAlignment w:val="center"/>
              <w:rPr>
                <w:rFonts w:ascii="Times New Roman" w:hAnsi="Times New Roman" w:cs="Times New Roman"/>
                <w:color w:val="auto"/>
                <w:kern w:val="2"/>
                <w:sz w:val="21"/>
                <w:lang w:eastAsia="zh-CN"/>
              </w:rPr>
            </w:pPr>
          </w:p>
        </w:tc>
        <w:tc>
          <w:tcPr>
            <w:tcW w:w="736" w:type="pct"/>
            <w:vAlign w:val="center"/>
          </w:tcPr>
          <w:p w14:paraId="39499754">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pacing w:val="-2"/>
                <w:sz w:val="21"/>
                <w:lang w:eastAsia="zh-CN" w:bidi="ar"/>
              </w:rPr>
              <w:t>易</w:t>
            </w:r>
            <w:r>
              <w:rPr>
                <w:rFonts w:ascii="Times New Roman" w:hAnsi="Times New Roman" w:cs="Times New Roman"/>
                <w:color w:val="auto"/>
                <w:spacing w:val="-2"/>
                <w:sz w:val="21"/>
                <w:lang w:eastAsia="zh-CN" w:bidi="ar"/>
              </w:rPr>
              <w:t>溶于水</w:t>
            </w:r>
          </w:p>
        </w:tc>
        <w:tc>
          <w:tcPr>
            <w:tcW w:w="735" w:type="pct"/>
            <w:vMerge w:val="continue"/>
            <w:vAlign w:val="center"/>
          </w:tcPr>
          <w:p w14:paraId="573F3972">
            <w:pPr>
              <w:adjustRightInd w:val="0"/>
              <w:snapToGrid w:val="0"/>
              <w:jc w:val="center"/>
              <w:textAlignment w:val="center"/>
              <w:rPr>
                <w:rFonts w:ascii="Times New Roman" w:hAnsi="Times New Roman" w:cs="Times New Roman"/>
                <w:color w:val="auto"/>
                <w:sz w:val="21"/>
                <w:lang w:eastAsia="zh-CN" w:bidi="ar"/>
              </w:rPr>
            </w:pPr>
          </w:p>
        </w:tc>
      </w:tr>
      <w:tr w14:paraId="6137D9C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12" w:type="pct"/>
            <w:gridSpan w:val="2"/>
            <w:vAlign w:val="center"/>
          </w:tcPr>
          <w:p w14:paraId="72F0F5E5">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无水氟化氢库房</w:t>
            </w:r>
          </w:p>
        </w:tc>
        <w:tc>
          <w:tcPr>
            <w:tcW w:w="926" w:type="pct"/>
            <w:vAlign w:val="center"/>
          </w:tcPr>
          <w:p w14:paraId="21164A4E">
            <w:pPr>
              <w:ind w:left="-120" w:leftChars="-50" w:right="-120" w:rightChars="-5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bidi="ar"/>
              </w:rPr>
              <w:t>无水氟化氢</w:t>
            </w:r>
            <w:r>
              <w:rPr>
                <w:rFonts w:ascii="Times New Roman" w:hAnsi="Times New Roman" w:cs="Times New Roman"/>
                <w:color w:val="auto"/>
                <w:kern w:val="2"/>
                <w:sz w:val="21"/>
                <w:lang w:eastAsia="zh-CN"/>
              </w:rPr>
              <w:t>储罐</w:t>
            </w:r>
          </w:p>
        </w:tc>
        <w:tc>
          <w:tcPr>
            <w:tcW w:w="883" w:type="pct"/>
            <w:vAlign w:val="center"/>
          </w:tcPr>
          <w:p w14:paraId="6F2D4C67">
            <w:pPr>
              <w:ind w:left="-120" w:leftChars="-50" w:right="-120" w:rightChars="-5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bidi="ar"/>
              </w:rPr>
              <w:t>氟化氢</w:t>
            </w:r>
          </w:p>
        </w:tc>
        <w:tc>
          <w:tcPr>
            <w:tcW w:w="808" w:type="pct"/>
            <w:vAlign w:val="center"/>
          </w:tcPr>
          <w:p w14:paraId="37D902DB">
            <w:pPr>
              <w:adjustRightInd w:val="0"/>
              <w:snapToGrid w:val="0"/>
              <w:jc w:val="center"/>
              <w:textAlignment w:val="center"/>
              <w:rPr>
                <w:rFonts w:ascii="Times New Roman" w:hAnsi="Times New Roman" w:cs="Times New Roman"/>
                <w:color w:val="auto"/>
                <w:spacing w:val="-2"/>
                <w:sz w:val="21"/>
                <w:lang w:eastAsia="zh-CN" w:bidi="ar"/>
              </w:rPr>
            </w:pPr>
            <w:r>
              <w:rPr>
                <w:rFonts w:ascii="Times New Roman" w:hAnsi="Times New Roman" w:cs="Times New Roman"/>
                <w:color w:val="auto"/>
                <w:kern w:val="2"/>
                <w:sz w:val="21"/>
                <w:lang w:eastAsia="zh-CN"/>
              </w:rPr>
              <w:t>经管道收集</w:t>
            </w:r>
          </w:p>
        </w:tc>
        <w:tc>
          <w:tcPr>
            <w:tcW w:w="736" w:type="pct"/>
            <w:vAlign w:val="center"/>
          </w:tcPr>
          <w:p w14:paraId="1B4F53B8">
            <w:pPr>
              <w:adjustRightInd w:val="0"/>
              <w:snapToGrid w:val="0"/>
              <w:jc w:val="center"/>
              <w:textAlignment w:val="center"/>
              <w:rPr>
                <w:rFonts w:ascii="Times New Roman" w:hAnsi="Times New Roman" w:cs="Times New Roman"/>
                <w:color w:val="auto"/>
                <w:spacing w:val="-2"/>
                <w:sz w:val="21"/>
                <w:lang w:eastAsia="zh-CN" w:bidi="ar"/>
              </w:rPr>
            </w:pPr>
            <w:r>
              <w:rPr>
                <w:rFonts w:hint="eastAsia" w:ascii="Times New Roman" w:hAnsi="Times New Roman" w:cs="Times New Roman"/>
                <w:color w:val="auto"/>
                <w:spacing w:val="-2"/>
                <w:sz w:val="21"/>
                <w:lang w:eastAsia="zh-CN" w:bidi="ar"/>
              </w:rPr>
              <w:t>易</w:t>
            </w:r>
            <w:r>
              <w:rPr>
                <w:rFonts w:ascii="Times New Roman" w:hAnsi="Times New Roman" w:cs="Times New Roman"/>
                <w:color w:val="auto"/>
                <w:spacing w:val="-2"/>
                <w:sz w:val="21"/>
                <w:lang w:eastAsia="zh-CN" w:bidi="ar"/>
              </w:rPr>
              <w:t>溶于水</w:t>
            </w:r>
          </w:p>
        </w:tc>
        <w:tc>
          <w:tcPr>
            <w:tcW w:w="735" w:type="pct"/>
            <w:vMerge w:val="restart"/>
            <w:vAlign w:val="center"/>
          </w:tcPr>
          <w:p w14:paraId="4D4B6A3F">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bCs/>
                <w:color w:val="auto"/>
                <w:sz w:val="21"/>
                <w:lang w:eastAsia="zh-CN"/>
              </w:rPr>
              <w:t>现有二级水喷淋（TA001）+</w:t>
            </w:r>
            <w:r>
              <w:rPr>
                <w:rFonts w:hint="eastAsia" w:ascii="Times New Roman" w:hAnsi="Times New Roman" w:cs="Times New Roman"/>
                <w:bCs/>
                <w:color w:val="auto"/>
                <w:sz w:val="21"/>
                <w:lang w:eastAsia="zh-CN"/>
              </w:rPr>
              <w:t>现有</w:t>
            </w:r>
            <w:r>
              <w:rPr>
                <w:rFonts w:ascii="Times New Roman" w:hAnsi="Times New Roman" w:cs="Times New Roman"/>
                <w:bCs/>
                <w:color w:val="auto"/>
                <w:sz w:val="21"/>
                <w:lang w:eastAsia="zh-CN"/>
              </w:rPr>
              <w:t>三级碱喷淋（TA002）</w:t>
            </w:r>
            <w:r>
              <w:rPr>
                <w:rFonts w:hint="eastAsia" w:ascii="Times New Roman" w:hAnsi="Times New Roman" w:cs="Times New Roman"/>
                <w:bCs/>
                <w:color w:val="auto"/>
                <w:sz w:val="21"/>
                <w:lang w:eastAsia="zh-CN"/>
              </w:rPr>
              <w:t>+新增一</w:t>
            </w:r>
            <w:r>
              <w:rPr>
                <w:rFonts w:ascii="Times New Roman" w:hAnsi="Times New Roman" w:cs="Times New Roman"/>
                <w:bCs/>
                <w:color w:val="auto"/>
                <w:sz w:val="21"/>
                <w:lang w:eastAsia="zh-CN"/>
              </w:rPr>
              <w:t>级碱喷淋（TA00</w:t>
            </w:r>
            <w:r>
              <w:rPr>
                <w:rFonts w:hint="eastAsia" w:ascii="Times New Roman" w:hAnsi="Times New Roman" w:cs="Times New Roman"/>
                <w:bCs/>
                <w:color w:val="auto"/>
                <w:sz w:val="21"/>
                <w:lang w:eastAsia="zh-CN"/>
              </w:rPr>
              <w:t>4</w:t>
            </w:r>
            <w:r>
              <w:rPr>
                <w:rFonts w:ascii="Times New Roman" w:hAnsi="Times New Roman" w:cs="Times New Roman"/>
                <w:bCs/>
                <w:color w:val="auto"/>
                <w:sz w:val="21"/>
                <w:lang w:eastAsia="zh-CN"/>
              </w:rPr>
              <w:t>）</w:t>
            </w:r>
          </w:p>
        </w:tc>
      </w:tr>
      <w:tr w14:paraId="1675656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12" w:type="pct"/>
            <w:gridSpan w:val="2"/>
            <w:vMerge w:val="restart"/>
            <w:vAlign w:val="center"/>
          </w:tcPr>
          <w:p w14:paraId="630AD4B1">
            <w:pPr>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原料及产品罐区</w:t>
            </w:r>
          </w:p>
        </w:tc>
        <w:tc>
          <w:tcPr>
            <w:tcW w:w="926" w:type="pct"/>
            <w:vAlign w:val="center"/>
          </w:tcPr>
          <w:p w14:paraId="318E7693">
            <w:pPr>
              <w:ind w:left="-120" w:leftChars="-50" w:right="-120" w:rightChars="-50"/>
              <w:jc w:val="center"/>
              <w:rPr>
                <w:rFonts w:ascii="Times New Roman" w:hAnsi="Times New Roman" w:cs="Times New Roman"/>
                <w:color w:val="auto"/>
                <w:sz w:val="21"/>
                <w:lang w:eastAsia="zh-CN"/>
              </w:rPr>
            </w:pPr>
            <w:r>
              <w:rPr>
                <w:rFonts w:hint="eastAsia" w:ascii="Times New Roman" w:hAnsi="Times New Roman" w:cs="Times New Roman"/>
                <w:color w:val="000000" w:themeColor="text1"/>
                <w:kern w:val="2"/>
                <w:sz w:val="21"/>
                <w:lang w:eastAsia="zh-CN"/>
                <w14:textFill>
                  <w14:solidFill>
                    <w14:schemeClr w14:val="tx1"/>
                  </w14:solidFill>
                </w14:textFill>
              </w:rPr>
              <w:t>15%氟化氢水溶液</w:t>
            </w:r>
            <w:r>
              <w:rPr>
                <w:rFonts w:ascii="Times New Roman" w:hAnsi="Times New Roman" w:cs="Times New Roman"/>
                <w:color w:val="000000" w:themeColor="text1"/>
                <w:kern w:val="2"/>
                <w:sz w:val="21"/>
                <w:lang w:eastAsia="zh-CN"/>
                <w14:textFill>
                  <w14:solidFill>
                    <w14:schemeClr w14:val="tx1"/>
                  </w14:solidFill>
                </w14:textFill>
              </w:rPr>
              <w:t>储罐</w:t>
            </w:r>
          </w:p>
        </w:tc>
        <w:tc>
          <w:tcPr>
            <w:tcW w:w="883" w:type="pct"/>
            <w:vAlign w:val="center"/>
          </w:tcPr>
          <w:p w14:paraId="4167AAF0">
            <w:pPr>
              <w:ind w:left="-120" w:leftChars="-50" w:right="-120" w:rightChars="-50"/>
              <w:jc w:val="center"/>
              <w:rPr>
                <w:rFonts w:ascii="Times New Roman" w:hAnsi="Times New Roman" w:cs="Times New Roman"/>
                <w:color w:val="auto"/>
                <w:sz w:val="21"/>
                <w:lang w:eastAsia="zh-CN"/>
              </w:rPr>
            </w:pPr>
            <w:r>
              <w:rPr>
                <w:rFonts w:hint="eastAsia" w:ascii="Times New Roman" w:hAnsi="Times New Roman" w:cs="Times New Roman"/>
                <w:color w:val="000000" w:themeColor="text1"/>
                <w:kern w:val="2"/>
                <w:sz w:val="21"/>
                <w:lang w:eastAsia="zh-CN"/>
                <w14:textFill>
                  <w14:solidFill>
                    <w14:schemeClr w14:val="tx1"/>
                  </w14:solidFill>
                </w14:textFill>
              </w:rPr>
              <w:t>氟化氢</w:t>
            </w:r>
          </w:p>
        </w:tc>
        <w:tc>
          <w:tcPr>
            <w:tcW w:w="808" w:type="pct"/>
            <w:vAlign w:val="center"/>
          </w:tcPr>
          <w:p w14:paraId="4115823E">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经管道收集</w:t>
            </w:r>
          </w:p>
        </w:tc>
        <w:tc>
          <w:tcPr>
            <w:tcW w:w="736" w:type="pct"/>
            <w:vAlign w:val="center"/>
          </w:tcPr>
          <w:p w14:paraId="7132622E">
            <w:pPr>
              <w:adjustRightInd w:val="0"/>
              <w:snapToGrid w:val="0"/>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pacing w:val="-2"/>
                <w:sz w:val="21"/>
                <w:lang w:eastAsia="zh-CN" w:bidi="ar"/>
              </w:rPr>
              <w:t>易</w:t>
            </w:r>
            <w:r>
              <w:rPr>
                <w:rFonts w:ascii="Times New Roman" w:hAnsi="Times New Roman" w:cs="Times New Roman"/>
                <w:color w:val="auto"/>
                <w:spacing w:val="-2"/>
                <w:sz w:val="21"/>
                <w:lang w:eastAsia="zh-CN" w:bidi="ar"/>
              </w:rPr>
              <w:t>溶于水</w:t>
            </w:r>
          </w:p>
        </w:tc>
        <w:tc>
          <w:tcPr>
            <w:tcW w:w="735" w:type="pct"/>
            <w:vMerge w:val="continue"/>
            <w:vAlign w:val="center"/>
          </w:tcPr>
          <w:p w14:paraId="34ED80DD">
            <w:pPr>
              <w:adjustRightInd w:val="0"/>
              <w:snapToGrid w:val="0"/>
              <w:jc w:val="center"/>
              <w:textAlignment w:val="center"/>
              <w:rPr>
                <w:rFonts w:ascii="Times New Roman" w:hAnsi="Times New Roman" w:cs="Times New Roman"/>
                <w:color w:val="auto"/>
                <w:spacing w:val="-2"/>
                <w:sz w:val="21"/>
                <w:lang w:eastAsia="zh-CN" w:bidi="ar"/>
              </w:rPr>
            </w:pPr>
          </w:p>
        </w:tc>
      </w:tr>
      <w:tr w14:paraId="03B3E67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12" w:type="pct"/>
            <w:gridSpan w:val="2"/>
            <w:vMerge w:val="continue"/>
            <w:vAlign w:val="center"/>
          </w:tcPr>
          <w:p w14:paraId="2C2BBEC0">
            <w:pPr>
              <w:adjustRightInd w:val="0"/>
              <w:snapToGrid w:val="0"/>
              <w:jc w:val="center"/>
              <w:rPr>
                <w:rFonts w:ascii="Times New Roman" w:hAnsi="Times New Roman" w:cs="Times New Roman"/>
                <w:color w:val="auto"/>
                <w:sz w:val="21"/>
                <w:lang w:eastAsia="zh-CN"/>
              </w:rPr>
            </w:pPr>
          </w:p>
        </w:tc>
        <w:tc>
          <w:tcPr>
            <w:tcW w:w="926" w:type="pct"/>
            <w:vAlign w:val="center"/>
          </w:tcPr>
          <w:p w14:paraId="25419375">
            <w:pPr>
              <w:ind w:left="-120" w:leftChars="-50" w:right="-120" w:rightChars="-50"/>
              <w:jc w:val="center"/>
              <w:rPr>
                <w:rFonts w:ascii="Times New Roman" w:hAnsi="Times New Roman" w:cs="Times New Roman"/>
                <w:color w:val="000000" w:themeColor="text1"/>
                <w:kern w:val="2"/>
                <w:sz w:val="21"/>
                <w:lang w:eastAsia="zh-CN"/>
                <w14:textFill>
                  <w14:solidFill>
                    <w14:schemeClr w14:val="tx1"/>
                  </w14:solidFill>
                </w14:textFill>
              </w:rPr>
            </w:pPr>
            <w:r>
              <w:rPr>
                <w:rFonts w:hint="eastAsia" w:ascii="Times New Roman" w:hAnsi="Times New Roman" w:cs="Times New Roman"/>
                <w:color w:val="000000" w:themeColor="text1"/>
                <w:kern w:val="2"/>
                <w:sz w:val="21"/>
                <w:lang w:eastAsia="zh-CN"/>
                <w14:textFill>
                  <w14:solidFill>
                    <w14:schemeClr w14:val="tx1"/>
                  </w14:solidFill>
                </w14:textFill>
              </w:rPr>
              <w:t>化学纯氢氟酸</w:t>
            </w:r>
            <w:r>
              <w:rPr>
                <w:rFonts w:ascii="Times New Roman" w:hAnsi="Times New Roman" w:cs="Times New Roman"/>
                <w:color w:val="000000" w:themeColor="text1"/>
                <w:kern w:val="2"/>
                <w:sz w:val="21"/>
                <w:lang w:eastAsia="zh-CN"/>
                <w14:textFill>
                  <w14:solidFill>
                    <w14:schemeClr w14:val="tx1"/>
                  </w14:solidFill>
                </w14:textFill>
              </w:rPr>
              <w:t>储罐</w:t>
            </w:r>
          </w:p>
        </w:tc>
        <w:tc>
          <w:tcPr>
            <w:tcW w:w="883" w:type="pct"/>
            <w:vAlign w:val="center"/>
          </w:tcPr>
          <w:p w14:paraId="5FC2C2D3">
            <w:pPr>
              <w:ind w:left="-120" w:leftChars="-50" w:right="-120" w:rightChars="-50"/>
              <w:jc w:val="center"/>
              <w:rPr>
                <w:rFonts w:ascii="Times New Roman" w:hAnsi="Times New Roman" w:cs="Times New Roman"/>
                <w:color w:val="auto"/>
                <w:kern w:val="2"/>
                <w:sz w:val="21"/>
                <w:lang w:eastAsia="zh-CN"/>
              </w:rPr>
            </w:pPr>
            <w:r>
              <w:rPr>
                <w:rFonts w:hint="eastAsia" w:ascii="Times New Roman" w:hAnsi="Times New Roman" w:cs="Times New Roman"/>
                <w:color w:val="000000" w:themeColor="text1"/>
                <w:kern w:val="2"/>
                <w:sz w:val="21"/>
                <w:lang w:eastAsia="zh-CN"/>
                <w14:textFill>
                  <w14:solidFill>
                    <w14:schemeClr w14:val="tx1"/>
                  </w14:solidFill>
                </w14:textFill>
              </w:rPr>
              <w:t>氟化氢</w:t>
            </w:r>
          </w:p>
        </w:tc>
        <w:tc>
          <w:tcPr>
            <w:tcW w:w="808" w:type="pct"/>
            <w:vAlign w:val="center"/>
          </w:tcPr>
          <w:p w14:paraId="4DB8F1E4">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经管道收集</w:t>
            </w:r>
          </w:p>
        </w:tc>
        <w:tc>
          <w:tcPr>
            <w:tcW w:w="736" w:type="pct"/>
            <w:vAlign w:val="center"/>
          </w:tcPr>
          <w:p w14:paraId="4B249E7B">
            <w:pPr>
              <w:adjustRightInd w:val="0"/>
              <w:snapToGrid w:val="0"/>
              <w:jc w:val="center"/>
              <w:textAlignment w:val="center"/>
              <w:rPr>
                <w:rFonts w:ascii="Times New Roman" w:hAnsi="Times New Roman" w:cs="Times New Roman"/>
                <w:color w:val="auto"/>
                <w:spacing w:val="-2"/>
                <w:sz w:val="21"/>
                <w:lang w:eastAsia="zh-CN" w:bidi="ar"/>
              </w:rPr>
            </w:pPr>
            <w:r>
              <w:rPr>
                <w:rFonts w:hint="eastAsia" w:ascii="Times New Roman" w:hAnsi="Times New Roman" w:cs="Times New Roman"/>
                <w:color w:val="auto"/>
                <w:spacing w:val="-2"/>
                <w:sz w:val="21"/>
                <w:lang w:eastAsia="zh-CN" w:bidi="ar"/>
              </w:rPr>
              <w:t>易</w:t>
            </w:r>
            <w:r>
              <w:rPr>
                <w:rFonts w:ascii="Times New Roman" w:hAnsi="Times New Roman" w:cs="Times New Roman"/>
                <w:color w:val="auto"/>
                <w:spacing w:val="-2"/>
                <w:sz w:val="21"/>
                <w:lang w:eastAsia="zh-CN" w:bidi="ar"/>
              </w:rPr>
              <w:t>溶于水</w:t>
            </w:r>
          </w:p>
        </w:tc>
        <w:tc>
          <w:tcPr>
            <w:tcW w:w="735" w:type="pct"/>
            <w:vMerge w:val="continue"/>
            <w:vAlign w:val="center"/>
          </w:tcPr>
          <w:p w14:paraId="56E0A8AD">
            <w:pPr>
              <w:adjustRightInd w:val="0"/>
              <w:snapToGrid w:val="0"/>
              <w:jc w:val="center"/>
              <w:textAlignment w:val="center"/>
              <w:rPr>
                <w:rFonts w:ascii="Times New Roman" w:hAnsi="Times New Roman" w:cs="Times New Roman"/>
                <w:color w:val="auto"/>
                <w:spacing w:val="-2"/>
                <w:sz w:val="21"/>
                <w:lang w:eastAsia="zh-CN" w:bidi="ar"/>
              </w:rPr>
            </w:pPr>
          </w:p>
        </w:tc>
      </w:tr>
      <w:tr w14:paraId="550B2C8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12" w:type="pct"/>
            <w:gridSpan w:val="2"/>
            <w:vMerge w:val="restart"/>
            <w:vAlign w:val="center"/>
          </w:tcPr>
          <w:p w14:paraId="3A1A6399">
            <w:pPr>
              <w:adjustRightInd w:val="0"/>
              <w:snapToGrid w:val="0"/>
              <w:jc w:val="center"/>
              <w:rPr>
                <w:rFonts w:ascii="Times New Roman" w:hAnsi="Times New Roman" w:cs="Times New Roman"/>
                <w:bCs/>
                <w:color w:val="auto"/>
                <w:sz w:val="21"/>
                <w:lang w:eastAsia="zh-CN"/>
              </w:rPr>
            </w:pPr>
            <w:r>
              <w:rPr>
                <w:rFonts w:hint="eastAsia" w:ascii="Times New Roman" w:hAnsi="Times New Roman" w:cs="Times New Roman"/>
                <w:bCs/>
                <w:color w:val="auto"/>
                <w:sz w:val="21"/>
                <w:lang w:eastAsia="zh-CN"/>
              </w:rPr>
              <w:t>戊类罐区二</w:t>
            </w:r>
          </w:p>
        </w:tc>
        <w:tc>
          <w:tcPr>
            <w:tcW w:w="926" w:type="pct"/>
            <w:vAlign w:val="center"/>
          </w:tcPr>
          <w:p w14:paraId="216BB1FC">
            <w:pPr>
              <w:ind w:left="-120" w:leftChars="-50" w:right="-120" w:rightChars="-50"/>
              <w:jc w:val="center"/>
              <w:rPr>
                <w:rFonts w:ascii="Times New Roman" w:hAnsi="Times New Roman" w:cs="Times New Roman"/>
                <w:color w:val="auto"/>
                <w:kern w:val="2"/>
                <w:sz w:val="21"/>
                <w:lang w:eastAsia="zh-CN"/>
              </w:rPr>
            </w:pPr>
            <w:r>
              <w:rPr>
                <w:rFonts w:hint="eastAsia" w:ascii="Times New Roman" w:hAnsi="Times New Roman" w:cs="Times New Roman"/>
                <w:color w:val="000000" w:themeColor="text1"/>
                <w:kern w:val="2"/>
                <w:sz w:val="21"/>
                <w:lang w:eastAsia="zh-CN"/>
                <w14:textFill>
                  <w14:solidFill>
                    <w14:schemeClr w14:val="tx1"/>
                  </w14:solidFill>
                </w14:textFill>
              </w:rPr>
              <w:t>31%盐酸</w:t>
            </w:r>
            <w:r>
              <w:rPr>
                <w:rFonts w:ascii="Times New Roman" w:hAnsi="Times New Roman" w:cs="Times New Roman"/>
                <w:color w:val="000000" w:themeColor="text1"/>
                <w:kern w:val="2"/>
                <w:sz w:val="21"/>
                <w:lang w:eastAsia="zh-CN"/>
                <w14:textFill>
                  <w14:solidFill>
                    <w14:schemeClr w14:val="tx1"/>
                  </w14:solidFill>
                </w14:textFill>
              </w:rPr>
              <w:t>储罐</w:t>
            </w:r>
          </w:p>
        </w:tc>
        <w:tc>
          <w:tcPr>
            <w:tcW w:w="883" w:type="pct"/>
            <w:vAlign w:val="center"/>
          </w:tcPr>
          <w:p w14:paraId="3B97DC60">
            <w:pPr>
              <w:ind w:left="-120" w:leftChars="-50" w:right="-120" w:rightChars="-50"/>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氯化氢</w:t>
            </w:r>
          </w:p>
        </w:tc>
        <w:tc>
          <w:tcPr>
            <w:tcW w:w="808" w:type="pct"/>
            <w:vAlign w:val="center"/>
          </w:tcPr>
          <w:p w14:paraId="4BEE21D2">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经管道收集</w:t>
            </w:r>
          </w:p>
        </w:tc>
        <w:tc>
          <w:tcPr>
            <w:tcW w:w="736" w:type="pct"/>
            <w:vAlign w:val="center"/>
          </w:tcPr>
          <w:p w14:paraId="0994520E">
            <w:pPr>
              <w:adjustRightInd w:val="0"/>
              <w:snapToGrid w:val="0"/>
              <w:jc w:val="center"/>
              <w:textAlignment w:val="center"/>
              <w:rPr>
                <w:rFonts w:ascii="Times New Roman" w:hAnsi="Times New Roman" w:cs="Times New Roman"/>
                <w:color w:val="auto"/>
                <w:spacing w:val="-2"/>
                <w:sz w:val="21"/>
                <w:lang w:eastAsia="zh-CN" w:bidi="ar"/>
              </w:rPr>
            </w:pPr>
            <w:r>
              <w:rPr>
                <w:rFonts w:hint="eastAsia" w:ascii="Times New Roman" w:hAnsi="Times New Roman" w:cs="Times New Roman"/>
                <w:color w:val="auto"/>
                <w:spacing w:val="-2"/>
                <w:sz w:val="21"/>
                <w:lang w:eastAsia="zh-CN" w:bidi="ar"/>
              </w:rPr>
              <w:t>易</w:t>
            </w:r>
            <w:r>
              <w:rPr>
                <w:rFonts w:ascii="Times New Roman" w:hAnsi="Times New Roman" w:cs="Times New Roman"/>
                <w:color w:val="auto"/>
                <w:spacing w:val="-2"/>
                <w:sz w:val="21"/>
                <w:lang w:eastAsia="zh-CN" w:bidi="ar"/>
              </w:rPr>
              <w:t>溶于水</w:t>
            </w:r>
          </w:p>
        </w:tc>
        <w:tc>
          <w:tcPr>
            <w:tcW w:w="735" w:type="pct"/>
            <w:vMerge w:val="restart"/>
            <w:vAlign w:val="center"/>
          </w:tcPr>
          <w:p w14:paraId="1A1C919E">
            <w:pPr>
              <w:adjustRightInd w:val="0"/>
              <w:snapToGrid w:val="0"/>
              <w:jc w:val="center"/>
              <w:textAlignment w:val="center"/>
              <w:rPr>
                <w:rFonts w:ascii="Times New Roman" w:hAnsi="Times New Roman" w:cs="Times New Roman"/>
                <w:color w:val="auto"/>
                <w:spacing w:val="-2"/>
                <w:sz w:val="21"/>
                <w:lang w:eastAsia="zh-CN" w:bidi="ar"/>
              </w:rPr>
            </w:pPr>
            <w:r>
              <w:rPr>
                <w:rFonts w:hint="eastAsia" w:ascii="Times New Roman" w:hAnsi="Times New Roman" w:cs="Times New Roman"/>
                <w:bCs/>
                <w:color w:val="auto"/>
                <w:sz w:val="21"/>
                <w:lang w:eastAsia="zh-CN"/>
              </w:rPr>
              <w:t>新增</w:t>
            </w:r>
            <w:r>
              <w:rPr>
                <w:rFonts w:ascii="Times New Roman" w:hAnsi="Times New Roman" w:cs="Times New Roman"/>
                <w:bCs/>
                <w:color w:val="auto"/>
                <w:sz w:val="21"/>
                <w:lang w:eastAsia="zh-CN"/>
              </w:rPr>
              <w:t>二级水喷淋（TA003）+</w:t>
            </w:r>
            <w:r>
              <w:rPr>
                <w:rFonts w:hint="eastAsia" w:ascii="Times New Roman" w:hAnsi="Times New Roman" w:cs="Times New Roman"/>
                <w:bCs/>
                <w:color w:val="auto"/>
                <w:sz w:val="21"/>
                <w:lang w:eastAsia="zh-CN"/>
              </w:rPr>
              <w:t>现有</w:t>
            </w:r>
            <w:r>
              <w:rPr>
                <w:rFonts w:ascii="Times New Roman" w:hAnsi="Times New Roman" w:cs="Times New Roman"/>
                <w:bCs/>
                <w:color w:val="auto"/>
                <w:sz w:val="21"/>
                <w:lang w:eastAsia="zh-CN"/>
              </w:rPr>
              <w:t>三级碱喷淋（TA002）</w:t>
            </w:r>
            <w:r>
              <w:rPr>
                <w:rFonts w:hint="eastAsia" w:ascii="Times New Roman" w:hAnsi="Times New Roman" w:cs="Times New Roman"/>
                <w:bCs/>
                <w:color w:val="auto"/>
                <w:sz w:val="21"/>
                <w:lang w:eastAsia="zh-CN"/>
              </w:rPr>
              <w:t>+新增一</w:t>
            </w:r>
            <w:r>
              <w:rPr>
                <w:rFonts w:ascii="Times New Roman" w:hAnsi="Times New Roman" w:cs="Times New Roman"/>
                <w:bCs/>
                <w:color w:val="auto"/>
                <w:sz w:val="21"/>
                <w:lang w:eastAsia="zh-CN"/>
              </w:rPr>
              <w:t>级碱喷淋（TA00</w:t>
            </w:r>
            <w:r>
              <w:rPr>
                <w:rFonts w:hint="eastAsia" w:ascii="Times New Roman" w:hAnsi="Times New Roman" w:cs="Times New Roman"/>
                <w:bCs/>
                <w:color w:val="auto"/>
                <w:sz w:val="21"/>
                <w:lang w:eastAsia="zh-CN"/>
              </w:rPr>
              <w:t>4</w:t>
            </w:r>
            <w:r>
              <w:rPr>
                <w:rFonts w:ascii="Times New Roman" w:hAnsi="Times New Roman" w:cs="Times New Roman"/>
                <w:bCs/>
                <w:color w:val="auto"/>
                <w:sz w:val="21"/>
                <w:lang w:eastAsia="zh-CN"/>
              </w:rPr>
              <w:t>）</w:t>
            </w:r>
          </w:p>
        </w:tc>
      </w:tr>
      <w:tr w14:paraId="078B251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12" w:type="pct"/>
            <w:gridSpan w:val="2"/>
            <w:vMerge w:val="continue"/>
            <w:vAlign w:val="center"/>
          </w:tcPr>
          <w:p w14:paraId="7BD8E044">
            <w:pPr>
              <w:adjustRightInd w:val="0"/>
              <w:snapToGrid w:val="0"/>
              <w:jc w:val="center"/>
              <w:rPr>
                <w:rFonts w:ascii="Times New Roman" w:hAnsi="Times New Roman" w:cs="Times New Roman"/>
                <w:bCs/>
                <w:color w:val="auto"/>
                <w:sz w:val="21"/>
                <w:lang w:eastAsia="zh-CN"/>
              </w:rPr>
            </w:pPr>
          </w:p>
        </w:tc>
        <w:tc>
          <w:tcPr>
            <w:tcW w:w="926" w:type="pct"/>
            <w:vAlign w:val="center"/>
          </w:tcPr>
          <w:p w14:paraId="4A208285">
            <w:pPr>
              <w:ind w:left="-120" w:leftChars="-50" w:right="-120" w:rightChars="-50"/>
              <w:jc w:val="center"/>
              <w:rPr>
                <w:rFonts w:ascii="Times New Roman" w:hAnsi="Times New Roman" w:cs="Times New Roman"/>
                <w:color w:val="000000" w:themeColor="text1"/>
                <w:kern w:val="2"/>
                <w:sz w:val="21"/>
                <w:lang w:eastAsia="zh-CN"/>
                <w14:textFill>
                  <w14:solidFill>
                    <w14:schemeClr w14:val="tx1"/>
                  </w14:solidFill>
                </w14:textFill>
              </w:rPr>
            </w:pPr>
            <w:r>
              <w:rPr>
                <w:rFonts w:hint="eastAsia" w:ascii="Times New Roman" w:hAnsi="Times New Roman" w:cs="Times New Roman"/>
                <w:color w:val="000000" w:themeColor="text1"/>
                <w:kern w:val="2"/>
                <w:sz w:val="21"/>
                <w:lang w:eastAsia="zh-CN"/>
                <w14:textFill>
                  <w14:solidFill>
                    <w14:schemeClr w14:val="tx1"/>
                  </w14:solidFill>
                </w14:textFill>
              </w:rPr>
              <w:t>化学纯氢氟酸</w:t>
            </w:r>
            <w:r>
              <w:rPr>
                <w:rFonts w:ascii="Times New Roman" w:hAnsi="Times New Roman" w:cs="Times New Roman"/>
                <w:color w:val="000000" w:themeColor="text1"/>
                <w:kern w:val="2"/>
                <w:sz w:val="21"/>
                <w:lang w:eastAsia="zh-CN"/>
                <w14:textFill>
                  <w14:solidFill>
                    <w14:schemeClr w14:val="tx1"/>
                  </w14:solidFill>
                </w14:textFill>
              </w:rPr>
              <w:t>储罐</w:t>
            </w:r>
          </w:p>
        </w:tc>
        <w:tc>
          <w:tcPr>
            <w:tcW w:w="883" w:type="pct"/>
            <w:vAlign w:val="center"/>
          </w:tcPr>
          <w:p w14:paraId="5C3BFEDB">
            <w:pPr>
              <w:ind w:left="-120" w:leftChars="-50" w:right="-120" w:rightChars="-50"/>
              <w:jc w:val="center"/>
              <w:rPr>
                <w:rFonts w:ascii="Times New Roman" w:hAnsi="Times New Roman" w:cs="Times New Roman"/>
                <w:color w:val="auto"/>
                <w:kern w:val="2"/>
                <w:sz w:val="21"/>
                <w:lang w:eastAsia="zh-CN"/>
              </w:rPr>
            </w:pPr>
            <w:r>
              <w:rPr>
                <w:rFonts w:hint="eastAsia" w:ascii="Times New Roman" w:hAnsi="Times New Roman" w:cs="Times New Roman"/>
                <w:color w:val="000000" w:themeColor="text1"/>
                <w:kern w:val="2"/>
                <w:sz w:val="21"/>
                <w:lang w:eastAsia="zh-CN"/>
                <w14:textFill>
                  <w14:solidFill>
                    <w14:schemeClr w14:val="tx1"/>
                  </w14:solidFill>
                </w14:textFill>
              </w:rPr>
              <w:t>氟化氢</w:t>
            </w:r>
          </w:p>
        </w:tc>
        <w:tc>
          <w:tcPr>
            <w:tcW w:w="808" w:type="pct"/>
            <w:vAlign w:val="center"/>
          </w:tcPr>
          <w:p w14:paraId="04AD0FE6">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经管道收集</w:t>
            </w:r>
          </w:p>
        </w:tc>
        <w:tc>
          <w:tcPr>
            <w:tcW w:w="736" w:type="pct"/>
            <w:vAlign w:val="center"/>
          </w:tcPr>
          <w:p w14:paraId="7E479316">
            <w:pPr>
              <w:adjustRightInd w:val="0"/>
              <w:snapToGrid w:val="0"/>
              <w:jc w:val="center"/>
              <w:textAlignment w:val="center"/>
              <w:rPr>
                <w:rFonts w:ascii="Times New Roman" w:hAnsi="Times New Roman" w:cs="Times New Roman"/>
                <w:color w:val="auto"/>
                <w:spacing w:val="-2"/>
                <w:sz w:val="21"/>
                <w:lang w:eastAsia="zh-CN" w:bidi="ar"/>
              </w:rPr>
            </w:pPr>
            <w:r>
              <w:rPr>
                <w:rFonts w:hint="eastAsia" w:ascii="Times New Roman" w:hAnsi="Times New Roman" w:cs="Times New Roman"/>
                <w:color w:val="auto"/>
                <w:spacing w:val="-2"/>
                <w:sz w:val="21"/>
                <w:lang w:eastAsia="zh-CN" w:bidi="ar"/>
              </w:rPr>
              <w:t>易</w:t>
            </w:r>
            <w:r>
              <w:rPr>
                <w:rFonts w:ascii="Times New Roman" w:hAnsi="Times New Roman" w:cs="Times New Roman"/>
                <w:color w:val="auto"/>
                <w:spacing w:val="-2"/>
                <w:sz w:val="21"/>
                <w:lang w:eastAsia="zh-CN" w:bidi="ar"/>
              </w:rPr>
              <w:t>溶于水</w:t>
            </w:r>
          </w:p>
        </w:tc>
        <w:tc>
          <w:tcPr>
            <w:tcW w:w="735" w:type="pct"/>
            <w:vMerge w:val="continue"/>
            <w:vAlign w:val="center"/>
          </w:tcPr>
          <w:p w14:paraId="1AE2BD76">
            <w:pPr>
              <w:adjustRightInd w:val="0"/>
              <w:snapToGrid w:val="0"/>
              <w:jc w:val="center"/>
              <w:textAlignment w:val="center"/>
              <w:rPr>
                <w:rFonts w:ascii="Times New Roman" w:hAnsi="Times New Roman" w:cs="Times New Roman"/>
                <w:bCs/>
                <w:color w:val="auto"/>
                <w:sz w:val="21"/>
                <w:lang w:eastAsia="zh-CN"/>
              </w:rPr>
            </w:pPr>
          </w:p>
        </w:tc>
      </w:tr>
      <w:tr w14:paraId="5077B70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12" w:type="pct"/>
            <w:gridSpan w:val="2"/>
            <w:vMerge w:val="continue"/>
            <w:vAlign w:val="center"/>
          </w:tcPr>
          <w:p w14:paraId="5E387047">
            <w:pPr>
              <w:adjustRightInd w:val="0"/>
              <w:snapToGrid w:val="0"/>
              <w:jc w:val="center"/>
              <w:rPr>
                <w:rFonts w:ascii="Times New Roman" w:hAnsi="Times New Roman" w:cs="Times New Roman"/>
                <w:bCs/>
                <w:color w:val="auto"/>
                <w:sz w:val="21"/>
                <w:lang w:eastAsia="zh-CN"/>
              </w:rPr>
            </w:pPr>
          </w:p>
        </w:tc>
        <w:tc>
          <w:tcPr>
            <w:tcW w:w="926" w:type="pct"/>
            <w:vAlign w:val="center"/>
          </w:tcPr>
          <w:p w14:paraId="36383E6B">
            <w:pPr>
              <w:ind w:left="-120" w:leftChars="-50" w:right="-120" w:rightChars="-50"/>
              <w:jc w:val="center"/>
              <w:rPr>
                <w:rFonts w:ascii="Times New Roman" w:hAnsi="Times New Roman" w:cs="Times New Roman"/>
                <w:color w:val="auto"/>
                <w:kern w:val="2"/>
                <w:sz w:val="21"/>
                <w:lang w:eastAsia="zh-CN"/>
              </w:rPr>
            </w:pPr>
            <w:r>
              <w:rPr>
                <w:rFonts w:hint="eastAsia" w:ascii="Times New Roman" w:hAnsi="Times New Roman" w:cs="Times New Roman"/>
                <w:color w:val="000000" w:themeColor="text1"/>
                <w:kern w:val="2"/>
                <w:sz w:val="21"/>
                <w:lang w:eastAsia="zh-CN"/>
                <w14:textFill>
                  <w14:solidFill>
                    <w14:schemeClr w14:val="tx1"/>
                  </w14:solidFill>
                </w14:textFill>
              </w:rPr>
              <w:t>刻蚀液</w:t>
            </w:r>
            <w:r>
              <w:rPr>
                <w:rFonts w:ascii="Times New Roman" w:hAnsi="Times New Roman" w:cs="Times New Roman"/>
                <w:color w:val="000000" w:themeColor="text1"/>
                <w:kern w:val="2"/>
                <w:sz w:val="21"/>
                <w:lang w:eastAsia="zh-CN"/>
                <w14:textFill>
                  <w14:solidFill>
                    <w14:schemeClr w14:val="tx1"/>
                  </w14:solidFill>
                </w14:textFill>
              </w:rPr>
              <w:t>储罐</w:t>
            </w:r>
          </w:p>
        </w:tc>
        <w:tc>
          <w:tcPr>
            <w:tcW w:w="883" w:type="pct"/>
            <w:vAlign w:val="center"/>
          </w:tcPr>
          <w:p w14:paraId="26BF548E">
            <w:pPr>
              <w:ind w:left="-120" w:leftChars="-50" w:right="-120" w:rightChars="-50"/>
              <w:jc w:val="center"/>
              <w:rPr>
                <w:rFonts w:ascii="Times New Roman" w:hAnsi="Times New Roman" w:cs="Times New Roman"/>
                <w:color w:val="auto"/>
                <w:kern w:val="2"/>
                <w:sz w:val="21"/>
                <w:lang w:eastAsia="zh-CN"/>
              </w:rPr>
            </w:pPr>
            <w:r>
              <w:rPr>
                <w:rFonts w:hint="eastAsia" w:ascii="Times New Roman" w:hAnsi="Times New Roman" w:cs="Times New Roman"/>
                <w:color w:val="000000" w:themeColor="text1"/>
                <w:kern w:val="2"/>
                <w:sz w:val="21"/>
                <w:lang w:eastAsia="zh-CN"/>
                <w14:textFill>
                  <w14:solidFill>
                    <w14:schemeClr w14:val="tx1"/>
                  </w14:solidFill>
                </w14:textFill>
              </w:rPr>
              <w:t>氟化氢、氯化氢</w:t>
            </w:r>
          </w:p>
        </w:tc>
        <w:tc>
          <w:tcPr>
            <w:tcW w:w="808" w:type="pct"/>
            <w:vAlign w:val="center"/>
          </w:tcPr>
          <w:p w14:paraId="151BA295">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lang w:eastAsia="zh-CN"/>
              </w:rPr>
              <w:t>经管道收集</w:t>
            </w:r>
          </w:p>
        </w:tc>
        <w:tc>
          <w:tcPr>
            <w:tcW w:w="736" w:type="pct"/>
            <w:vAlign w:val="center"/>
          </w:tcPr>
          <w:p w14:paraId="6038DD2F">
            <w:pPr>
              <w:adjustRightInd w:val="0"/>
              <w:snapToGrid w:val="0"/>
              <w:jc w:val="center"/>
              <w:textAlignment w:val="center"/>
              <w:rPr>
                <w:rFonts w:ascii="Times New Roman" w:hAnsi="Times New Roman" w:cs="Times New Roman"/>
                <w:color w:val="auto"/>
                <w:spacing w:val="-2"/>
                <w:sz w:val="21"/>
                <w:lang w:eastAsia="zh-CN" w:bidi="ar"/>
              </w:rPr>
            </w:pPr>
            <w:r>
              <w:rPr>
                <w:rFonts w:hint="eastAsia" w:ascii="Times New Roman" w:hAnsi="Times New Roman" w:cs="Times New Roman"/>
                <w:color w:val="auto"/>
                <w:spacing w:val="-2"/>
                <w:sz w:val="21"/>
                <w:lang w:eastAsia="zh-CN" w:bidi="ar"/>
              </w:rPr>
              <w:t>易</w:t>
            </w:r>
            <w:r>
              <w:rPr>
                <w:rFonts w:ascii="Times New Roman" w:hAnsi="Times New Roman" w:cs="Times New Roman"/>
                <w:color w:val="auto"/>
                <w:spacing w:val="-2"/>
                <w:sz w:val="21"/>
                <w:lang w:eastAsia="zh-CN" w:bidi="ar"/>
              </w:rPr>
              <w:t>溶于水</w:t>
            </w:r>
          </w:p>
        </w:tc>
        <w:tc>
          <w:tcPr>
            <w:tcW w:w="735" w:type="pct"/>
            <w:vMerge w:val="continue"/>
            <w:vAlign w:val="center"/>
          </w:tcPr>
          <w:p w14:paraId="008A309D">
            <w:pPr>
              <w:adjustRightInd w:val="0"/>
              <w:snapToGrid w:val="0"/>
              <w:jc w:val="center"/>
              <w:textAlignment w:val="center"/>
              <w:rPr>
                <w:rFonts w:ascii="Times New Roman" w:hAnsi="Times New Roman" w:cs="Times New Roman"/>
                <w:color w:val="auto"/>
                <w:sz w:val="21"/>
                <w:lang w:eastAsia="zh-CN"/>
              </w:rPr>
            </w:pPr>
          </w:p>
        </w:tc>
      </w:tr>
    </w:tbl>
    <w:p w14:paraId="683EC1A1">
      <w:pPr>
        <w:ind w:firstLine="420"/>
        <w:jc w:val="both"/>
        <w:rPr>
          <w:rFonts w:ascii="Times New Roman" w:hAnsi="Times New Roman" w:cs="Times New Roman"/>
          <w:color w:val="auto"/>
          <w:sz w:val="21"/>
          <w:szCs w:val="18"/>
          <w:lang w:eastAsia="zh-CN"/>
        </w:rPr>
      </w:pPr>
      <w:r>
        <w:rPr>
          <w:rFonts w:hint="eastAsia" w:ascii="Times New Roman" w:hAnsi="Times New Roman" w:cs="Times New Roman"/>
          <w:b/>
          <w:bCs/>
          <w:color w:val="auto"/>
          <w:sz w:val="21"/>
          <w:szCs w:val="18"/>
          <w:lang w:eastAsia="zh-CN"/>
        </w:rPr>
        <w:t>二级水喷淋处理效率按95%</w:t>
      </w:r>
      <w:r>
        <w:rPr>
          <w:rFonts w:ascii="Times New Roman" w:hAnsi="Times New Roman" w:cs="Times New Roman"/>
          <w:b/>
          <w:bCs/>
          <w:color w:val="auto"/>
          <w:sz w:val="21"/>
          <w:szCs w:val="18"/>
          <w:lang w:eastAsia="zh-CN"/>
        </w:rPr>
        <w:t>计</w:t>
      </w:r>
      <w:r>
        <w:rPr>
          <w:rFonts w:hint="eastAsia" w:ascii="Times New Roman" w:hAnsi="Times New Roman" w:cs="Times New Roman"/>
          <w:b/>
          <w:bCs/>
          <w:color w:val="auto"/>
          <w:sz w:val="21"/>
          <w:szCs w:val="18"/>
          <w:lang w:eastAsia="zh-CN"/>
        </w:rPr>
        <w:t>，三级碱喷淋+一级碱喷淋处理效率按99%</w:t>
      </w:r>
      <w:r>
        <w:rPr>
          <w:rFonts w:ascii="Times New Roman" w:hAnsi="Times New Roman" w:cs="Times New Roman"/>
          <w:b/>
          <w:bCs/>
          <w:color w:val="auto"/>
          <w:sz w:val="21"/>
          <w:szCs w:val="18"/>
          <w:lang w:eastAsia="zh-CN"/>
        </w:rPr>
        <w:t>计。密闭管道收集效率按100%计；密闭负压收集效率按95%计</w:t>
      </w:r>
      <w:r>
        <w:rPr>
          <w:rFonts w:ascii="Times New Roman" w:hAnsi="Times New Roman" w:cs="Times New Roman"/>
          <w:color w:val="auto"/>
          <w:sz w:val="21"/>
          <w:szCs w:val="18"/>
          <w:lang w:eastAsia="zh-CN"/>
        </w:rPr>
        <w:t>。</w:t>
      </w:r>
    </w:p>
    <w:p w14:paraId="6B8117E4">
      <w:pPr>
        <w:adjustRightInd w:val="0"/>
        <w:snapToGrid w:val="0"/>
        <w:spacing w:line="360" w:lineRule="auto"/>
        <w:jc w:val="center"/>
        <w:rPr>
          <w:rFonts w:ascii="Times New Roman" w:hAnsi="Times New Roman" w:cs="Times New Roman"/>
        </w:rPr>
      </w:pPr>
      <w:bookmarkStart w:id="2395" w:name="_MON_1842415907"/>
      <w:bookmarkEnd w:id="2395"/>
      <w:bookmarkStart w:id="2396" w:name="_1814538274"/>
      <w:bookmarkEnd w:id="2396"/>
      <w:bookmarkStart w:id="2397" w:name="_Hlk219121123"/>
      <w:r>
        <w:rPr>
          <w:rFonts w:ascii="Times New Roman" w:hAnsi="Times New Roman" w:cs="Times New Roman"/>
        </w:rPr>
        <w:object>
          <v:shape id="_x0000_i1033" o:spt="75" type="#_x0000_t75" style="height:421.15pt;width:483.6pt;" o:ole="t" filled="f" coordsize="21600,21600">
            <v:path/>
            <v:fill on="f" focussize="0,0"/>
            <v:stroke/>
            <v:imagedata r:id="rId125" o:title=""/>
            <o:lock v:ext="edit" aspectratio="t"/>
            <w10:wrap type="none"/>
            <w10:anchorlock/>
          </v:shape>
          <o:OLEObject Type="Embed" ProgID="RFFlow4" ShapeID="_x0000_i1033" DrawAspect="Content" ObjectID="_1468075733" r:id="rId124">
            <o:LockedField>false</o:LockedField>
          </o:OLEObject>
        </w:object>
      </w:r>
      <w:bookmarkEnd w:id="2397"/>
    </w:p>
    <w:p w14:paraId="21A8E037">
      <w:pPr>
        <w:adjustRightInd w:val="0"/>
        <w:snapToGrid w:val="0"/>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图8.2-1  废气收集处理流程图</w:t>
      </w:r>
    </w:p>
    <w:p w14:paraId="31211D3D">
      <w:pPr>
        <w:widowControl w:val="0"/>
        <w:spacing w:line="360" w:lineRule="auto"/>
        <w:ind w:left="480"/>
        <w:jc w:val="both"/>
        <w:rPr>
          <w:rFonts w:ascii="Times New Roman" w:hAnsi="Times New Roman" w:cs="Times New Roman"/>
          <w:b/>
          <w:bCs/>
          <w:color w:val="auto"/>
          <w:szCs w:val="24"/>
          <w:lang w:eastAsia="zh-CN"/>
        </w:rPr>
      </w:pPr>
      <w:r>
        <w:rPr>
          <w:rFonts w:hint="eastAsia" w:ascii="Times New Roman" w:hAnsi="Times New Roman" w:cs="Times New Roman"/>
          <w:b/>
          <w:bCs/>
          <w:color w:val="auto"/>
          <w:szCs w:val="24"/>
          <w:lang w:eastAsia="zh-CN"/>
        </w:rPr>
        <w:t>（1）</w:t>
      </w:r>
      <w:r>
        <w:rPr>
          <w:rFonts w:ascii="Times New Roman" w:hAnsi="Times New Roman" w:cs="Times New Roman"/>
          <w:b/>
          <w:bCs/>
          <w:color w:val="auto"/>
          <w:szCs w:val="24"/>
          <w:lang w:eastAsia="zh-CN"/>
        </w:rPr>
        <w:t>项目拟采取的废气治理措施</w:t>
      </w:r>
    </w:p>
    <w:p w14:paraId="422C1AEA">
      <w:pPr>
        <w:pStyle w:val="30"/>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本项目废气</w:t>
      </w:r>
      <w:r>
        <w:rPr>
          <w:rFonts w:hint="eastAsia" w:ascii="Times New Roman" w:hAnsi="Times New Roman" w:cs="Times New Roman"/>
          <w:color w:val="auto"/>
          <w:lang w:eastAsia="zh-CN"/>
        </w:rPr>
        <w:t>污染物主要为氟化氢、氯化氢</w:t>
      </w:r>
      <w:r>
        <w:rPr>
          <w:rFonts w:ascii="Times New Roman" w:hAnsi="Times New Roman" w:cs="Times New Roman"/>
          <w:color w:val="auto"/>
          <w:lang w:eastAsia="zh-CN"/>
        </w:rPr>
        <w:t>；</w:t>
      </w:r>
      <w:r>
        <w:rPr>
          <w:rFonts w:hint="eastAsia" w:ascii="Times New Roman" w:hAnsi="Times New Roman" w:cs="Times New Roman"/>
          <w:color w:val="auto"/>
          <w:lang w:eastAsia="zh-CN"/>
        </w:rPr>
        <w:t>氟化氢、氯化氢属于酸性气体，且</w:t>
      </w:r>
      <w:r>
        <w:rPr>
          <w:rFonts w:ascii="Times New Roman" w:hAnsi="Times New Roman" w:cs="Times New Roman"/>
          <w:color w:val="auto"/>
          <w:lang w:eastAsia="zh-CN"/>
        </w:rPr>
        <w:t>易溶于水</w:t>
      </w:r>
      <w:r>
        <w:rPr>
          <w:rFonts w:hint="eastAsia" w:ascii="Times New Roman" w:hAnsi="Times New Roman" w:cs="Times New Roman"/>
          <w:color w:val="auto"/>
          <w:lang w:eastAsia="zh-CN"/>
        </w:rPr>
        <w:t>。因此拟采用吸收法工艺处理废气，为保障项目废气污染物得到有效处理，废气能够达标排放，</w:t>
      </w:r>
      <w:r>
        <w:rPr>
          <w:rFonts w:ascii="Times New Roman" w:hAnsi="Times New Roman" w:cs="Times New Roman"/>
          <w:color w:val="auto"/>
          <w:lang w:eastAsia="zh-CN"/>
        </w:rPr>
        <w:t>项目</w:t>
      </w:r>
      <w:r>
        <w:rPr>
          <w:rFonts w:hint="eastAsia" w:ascii="Times New Roman" w:hAnsi="Times New Roman" w:cs="Times New Roman"/>
          <w:color w:val="auto"/>
          <w:lang w:eastAsia="zh-CN"/>
        </w:rPr>
        <w:t>拟设置二级水喷淋塔+三级碱喷淋塔+一级碱喷淋塔装置</w:t>
      </w:r>
      <w:r>
        <w:rPr>
          <w:rFonts w:ascii="Times New Roman" w:hAnsi="Times New Roman" w:cs="Times New Roman"/>
          <w:color w:val="auto"/>
          <w:lang w:eastAsia="zh-CN"/>
        </w:rPr>
        <w:t>处理工艺。</w:t>
      </w:r>
      <w:bookmarkStart w:id="2398" w:name="_Toc27610"/>
    </w:p>
    <w:p w14:paraId="1FD6F75E">
      <w:pPr>
        <w:pStyle w:val="30"/>
        <w:widowControl w:val="0"/>
        <w:spacing w:line="360" w:lineRule="auto"/>
        <w:ind w:firstLine="482" w:firstLineChars="200"/>
        <w:jc w:val="both"/>
        <w:rPr>
          <w:rFonts w:ascii="Times New Roman" w:hAnsi="Times New Roman" w:cs="Times New Roman"/>
          <w:color w:val="auto"/>
          <w:lang w:eastAsia="zh-CN"/>
        </w:rPr>
      </w:pPr>
      <w:r>
        <w:rPr>
          <w:rFonts w:hint="eastAsia" w:ascii="Times New Roman" w:hAnsi="Times New Roman" w:cs="Times New Roman"/>
          <w:b/>
          <w:bCs/>
          <w:color w:val="auto"/>
          <w:lang w:eastAsia="zh-CN"/>
        </w:rPr>
        <w:t>（2）废</w:t>
      </w:r>
      <w:r>
        <w:rPr>
          <w:rFonts w:hint="eastAsia" w:ascii="Times New Roman" w:hAnsi="Times New Roman" w:cs="Times New Roman"/>
          <w:b/>
          <w:color w:val="auto"/>
          <w:lang w:eastAsia="zh-CN"/>
        </w:rPr>
        <w:t>气处理</w:t>
      </w:r>
      <w:r>
        <w:rPr>
          <w:rFonts w:ascii="Times New Roman" w:hAnsi="Times New Roman" w:cs="Times New Roman"/>
          <w:b/>
          <w:color w:val="auto"/>
          <w:lang w:eastAsia="zh-CN"/>
        </w:rPr>
        <w:t>装置原理</w:t>
      </w:r>
    </w:p>
    <w:p w14:paraId="22DDF447">
      <w:pPr>
        <w:widowControl w:val="0"/>
        <w:spacing w:line="360" w:lineRule="auto"/>
        <w:ind w:firstLine="480" w:firstLineChars="200"/>
        <w:jc w:val="both"/>
        <w:rPr>
          <w:rFonts w:hint="eastAsia" w:ascii="宋体" w:hAnsi="宋体" w:cs="Times New Roman"/>
          <w:color w:val="auto"/>
          <w:lang w:eastAsia="zh-CN"/>
        </w:rPr>
      </w:pPr>
      <w:r>
        <w:rPr>
          <w:rFonts w:ascii="宋体" w:hAnsi="宋体" w:cs="Times New Roman"/>
          <w:color w:val="auto"/>
          <w:lang w:eastAsia="zh-CN"/>
        </w:rPr>
        <w:t>喷淋塔对工艺过程中产生的水溶性气体，处理效率高</w:t>
      </w:r>
      <w:r>
        <w:rPr>
          <w:rFonts w:hint="eastAsia" w:ascii="宋体" w:hAnsi="宋体" w:cs="Times New Roman"/>
          <w:color w:val="auto"/>
          <w:lang w:eastAsia="zh-CN"/>
        </w:rPr>
        <w:t>，</w:t>
      </w:r>
      <w:r>
        <w:rPr>
          <w:rFonts w:ascii="宋体" w:hAnsi="宋体" w:cs="Times New Roman"/>
          <w:color w:val="auto"/>
          <w:lang w:eastAsia="zh-CN"/>
        </w:rPr>
        <w:t>设备属两相逆向流填料吸收塔。喷淋吸收系统主要由填料、喷淋装置、除雾装置、喷淋液循环泵、吸收塔组成。</w:t>
      </w:r>
    </w:p>
    <w:p w14:paraId="37F11199">
      <w:pPr>
        <w:widowControl w:val="0"/>
        <w:spacing w:line="360" w:lineRule="auto"/>
        <w:ind w:firstLine="480" w:firstLineChars="200"/>
        <w:jc w:val="both"/>
        <w:rPr>
          <w:rFonts w:hint="eastAsia" w:ascii="宋体" w:hAnsi="宋体" w:cs="Times New Roman"/>
          <w:color w:val="auto"/>
          <w:lang w:eastAsia="zh-CN"/>
        </w:rPr>
      </w:pPr>
      <w:r>
        <w:rPr>
          <w:rFonts w:ascii="宋体" w:hAnsi="宋体" w:cs="Times New Roman"/>
          <w:color w:val="auto"/>
          <w:lang w:eastAsia="zh-CN"/>
        </w:rPr>
        <w:t>①填料</w:t>
      </w:r>
      <w:r>
        <w:rPr>
          <w:rFonts w:hint="eastAsia" w:ascii="宋体" w:hAnsi="宋体" w:cs="Times New Roman"/>
          <w:color w:val="auto"/>
          <w:lang w:eastAsia="zh-CN"/>
        </w:rPr>
        <w:t>：</w:t>
      </w:r>
      <w:r>
        <w:rPr>
          <w:rFonts w:ascii="宋体" w:hAnsi="宋体" w:cs="Times New Roman"/>
          <w:color w:val="auto"/>
          <w:lang w:eastAsia="zh-CN"/>
        </w:rPr>
        <w:t>填料采用PP材质高效填料，填料主要作为布风装置，布置于吸收塔喷淋区下部，废气通过托盘后，被均匀分布到整个吸收塔截面。托盘结构为带分隔围堰的多孔板，托盘被分割成便于从吸收塔人孔进出的板片，水平搁置在托盘支撑的结构上。</w:t>
      </w:r>
    </w:p>
    <w:p w14:paraId="363CF133">
      <w:pPr>
        <w:widowControl w:val="0"/>
        <w:spacing w:line="360" w:lineRule="auto"/>
        <w:ind w:firstLine="480" w:firstLineChars="200"/>
        <w:jc w:val="both"/>
        <w:rPr>
          <w:rFonts w:hint="eastAsia" w:ascii="宋体" w:hAnsi="宋体" w:cs="Times New Roman"/>
          <w:color w:val="auto"/>
          <w:lang w:eastAsia="zh-CN"/>
        </w:rPr>
      </w:pPr>
      <w:r>
        <w:rPr>
          <w:rFonts w:ascii="宋体" w:hAnsi="宋体" w:cs="Times New Roman"/>
          <w:color w:val="auto"/>
          <w:lang w:eastAsia="zh-CN"/>
        </w:rPr>
        <w:t>②喷淋装置</w:t>
      </w:r>
      <w:r>
        <w:rPr>
          <w:rFonts w:hint="eastAsia" w:ascii="宋体" w:hAnsi="宋体" w:cs="Times New Roman"/>
          <w:color w:val="auto"/>
          <w:lang w:eastAsia="zh-CN"/>
        </w:rPr>
        <w:t>：</w:t>
      </w:r>
      <w:r>
        <w:rPr>
          <w:rFonts w:ascii="宋体" w:hAnsi="宋体" w:cs="Times New Roman"/>
          <w:color w:val="auto"/>
          <w:lang w:eastAsia="zh-CN"/>
        </w:rPr>
        <w:t>吸收塔内部喷淋系统由分配母管和喷嘴组成的网状系统。每台吸收塔再循环泵均对应一个喷淋层，喷淋层上安装空心锥喷嘴，其作用是将喷淋液雾化。喷淋液由吸收塔再循环泵输送到喷嘴，喷入废气。喷淋系统能使浆液在吸收塔内均匀分布，流经每个喷淋层的流量相等。</w:t>
      </w:r>
    </w:p>
    <w:p w14:paraId="5AFE0A77">
      <w:pPr>
        <w:widowControl w:val="0"/>
        <w:spacing w:line="360" w:lineRule="auto"/>
        <w:ind w:firstLine="480" w:firstLineChars="200"/>
        <w:jc w:val="both"/>
        <w:rPr>
          <w:rFonts w:hint="eastAsia" w:ascii="宋体" w:hAnsi="宋体" w:cs="Times New Roman"/>
          <w:color w:val="auto"/>
          <w:lang w:eastAsia="zh-CN"/>
        </w:rPr>
      </w:pPr>
      <w:r>
        <w:rPr>
          <w:rFonts w:ascii="宋体" w:hAnsi="宋体" w:cs="Times New Roman"/>
          <w:color w:val="auto"/>
          <w:lang w:eastAsia="zh-CN"/>
        </w:rPr>
        <w:t>③除雾装置</w:t>
      </w:r>
      <w:r>
        <w:rPr>
          <w:rFonts w:hint="eastAsia" w:ascii="宋体" w:hAnsi="宋体" w:cs="Times New Roman"/>
          <w:color w:val="auto"/>
          <w:lang w:eastAsia="zh-CN"/>
        </w:rPr>
        <w:t>：</w:t>
      </w:r>
      <w:r>
        <w:rPr>
          <w:rFonts w:ascii="宋体" w:hAnsi="宋体" w:cs="Times New Roman"/>
          <w:color w:val="auto"/>
          <w:lang w:eastAsia="zh-CN"/>
        </w:rPr>
        <w:t>用于分离废气携带的液滴。吸收塔除雾器布置于吸收塔顶部最后一个喷淋组件的上部。废气穿过循环浆液喷淋层后，再连续流经除雾器时，液滴由于惯性作用，留在挡板上。</w:t>
      </w:r>
    </w:p>
    <w:p w14:paraId="5EE4685F">
      <w:pPr>
        <w:widowControl w:val="0"/>
        <w:spacing w:line="360" w:lineRule="auto"/>
        <w:ind w:firstLine="480" w:firstLineChars="200"/>
        <w:jc w:val="both"/>
        <w:rPr>
          <w:rFonts w:hint="eastAsia" w:ascii="宋体" w:hAnsi="宋体" w:cs="Times New Roman"/>
          <w:color w:val="auto"/>
          <w:lang w:eastAsia="zh-CN"/>
        </w:rPr>
      </w:pPr>
      <w:r>
        <w:rPr>
          <w:rFonts w:ascii="宋体" w:hAnsi="宋体" w:cs="Times New Roman"/>
          <w:color w:val="auto"/>
          <w:lang w:eastAsia="zh-CN"/>
        </w:rPr>
        <w:t>④喷淋液循环泵</w:t>
      </w:r>
      <w:r>
        <w:rPr>
          <w:rFonts w:hint="eastAsia" w:ascii="宋体" w:hAnsi="宋体" w:cs="Times New Roman"/>
          <w:color w:val="auto"/>
          <w:lang w:eastAsia="zh-CN"/>
        </w:rPr>
        <w:t>：</w:t>
      </w:r>
      <w:r>
        <w:rPr>
          <w:rFonts w:ascii="宋体" w:hAnsi="宋体" w:cs="Times New Roman"/>
          <w:color w:val="auto"/>
          <w:lang w:eastAsia="zh-CN"/>
        </w:rPr>
        <w:t>吸收塔循环泵安装在吸收塔旁，用于吸收塔内喷淋液的再循环。采用立式液下化工泵，包括泵壳、叶轮、轴、导轴承、出口弯头、底板、进口、密封盒、轴封、基础框架、地脚螺栓、机械密封和所有的管道、阀门及就地仪表和电机。工作原理是叶轮高速旋转时产生的离心力使流体获得能量，即流体通过叶轮后，压能和动能都能得到提高，从而能够被输送到高处或远处。同时在泵的入口形成负压，使流体能够被不断吸入。泵头采用耐腐蚀材料。</w:t>
      </w:r>
    </w:p>
    <w:p w14:paraId="7B84E8FD">
      <w:pPr>
        <w:widowControl w:val="0"/>
        <w:spacing w:line="360" w:lineRule="auto"/>
        <w:ind w:firstLine="480" w:firstLineChars="200"/>
        <w:jc w:val="both"/>
        <w:rPr>
          <w:rFonts w:hint="eastAsia" w:ascii="宋体" w:hAnsi="宋体" w:cs="Times New Roman"/>
          <w:color w:val="auto"/>
          <w:lang w:eastAsia="zh-CN"/>
        </w:rPr>
      </w:pPr>
      <w:r>
        <w:rPr>
          <w:rFonts w:ascii="宋体" w:hAnsi="宋体" w:cs="Times New Roman"/>
          <w:color w:val="auto"/>
          <w:lang w:eastAsia="zh-CN"/>
        </w:rPr>
        <w:t>⑤喷淋吸收塔</w:t>
      </w:r>
      <w:r>
        <w:rPr>
          <w:rFonts w:hint="eastAsia" w:ascii="宋体" w:hAnsi="宋体" w:cs="Times New Roman"/>
          <w:color w:val="auto"/>
          <w:lang w:eastAsia="zh-CN"/>
        </w:rPr>
        <w:t>：</w:t>
      </w:r>
      <w:r>
        <w:rPr>
          <w:rFonts w:ascii="宋体" w:hAnsi="宋体" w:cs="Times New Roman"/>
          <w:color w:val="auto"/>
          <w:lang w:eastAsia="zh-CN"/>
        </w:rPr>
        <w:t>塔体采用PP材质，根据气体吸收过程在气液两相界面上进行，传递速率和界面面积成正比的原理，采用填料来增大两相接触面积，使两相充分分散，达到净化废气的目的。</w:t>
      </w:r>
    </w:p>
    <w:p w14:paraId="7A5C9ED2">
      <w:pPr>
        <w:widowControl w:val="0"/>
        <w:spacing w:line="360" w:lineRule="auto"/>
        <w:ind w:firstLine="482" w:firstLineChars="200"/>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3</w:t>
      </w:r>
      <w:r>
        <w:rPr>
          <w:rFonts w:ascii="Times New Roman" w:hAnsi="Times New Roman" w:cs="Times New Roman"/>
          <w:b/>
          <w:bCs/>
          <w:color w:val="auto"/>
          <w:szCs w:val="24"/>
          <w:lang w:eastAsia="zh-CN"/>
        </w:rPr>
        <w:t>）废气治理可行性分析</w:t>
      </w:r>
    </w:p>
    <w:p w14:paraId="21D641FC">
      <w:pPr>
        <w:spacing w:line="360" w:lineRule="auto"/>
        <w:ind w:firstLine="482" w:firstLineChars="200"/>
        <w:jc w:val="both"/>
        <w:rPr>
          <w:rFonts w:ascii="Times New Roman" w:hAnsi="Times New Roman" w:cs="Times New Roman"/>
          <w:color w:val="000000" w:themeColor="text1"/>
          <w:szCs w:val="24"/>
          <w:lang w:eastAsia="zh-CN"/>
          <w14:textFill>
            <w14:solidFill>
              <w14:schemeClr w14:val="tx1"/>
            </w14:solidFill>
          </w14:textFill>
        </w:rPr>
      </w:pPr>
      <w:r>
        <w:rPr>
          <w:rFonts w:ascii="Times New Roman" w:hAnsi="Times New Roman" w:cs="Times New Roman"/>
          <w:b/>
          <w:bCs/>
          <w:color w:val="000000" w:themeColor="text1"/>
          <w:lang w:eastAsia="zh-CN"/>
          <w14:textFill>
            <w14:solidFill>
              <w14:schemeClr w14:val="tx1"/>
            </w14:solidFill>
          </w14:textFill>
        </w:rPr>
        <w:t>达标可行性分析：</w:t>
      </w:r>
      <w:r>
        <w:rPr>
          <w:rFonts w:ascii="Times New Roman" w:hAnsi="Times New Roman" w:cs="Times New Roman"/>
          <w:color w:val="000000" w:themeColor="text1"/>
          <w:szCs w:val="24"/>
          <w:lang w:eastAsia="zh-CN"/>
          <w14:textFill>
            <w14:solidFill>
              <w14:schemeClr w14:val="tx1"/>
            </w14:solidFill>
          </w14:textFill>
        </w:rPr>
        <w:t>本项目化学纯氢氟酸进料、混合、调配废气、无水氟化氢储罐、原料及产品罐区1</w:t>
      </w:r>
      <w:r>
        <w:rPr>
          <w:rFonts w:ascii="Times New Roman" w:hAnsi="Times New Roman" w:cs="Times New Roman"/>
          <w:bCs/>
          <w:color w:val="000000" w:themeColor="text1"/>
          <w:szCs w:val="24"/>
          <w:lang w:eastAsia="zh-CN"/>
          <w14:textFill>
            <w14:solidFill>
              <w14:schemeClr w14:val="tx1"/>
            </w14:solidFill>
          </w14:textFill>
        </w:rPr>
        <w:t>5%氟化氢水溶液储罐、化学纯氢氟酸储罐呼吸气</w:t>
      </w:r>
      <w:r>
        <w:rPr>
          <w:rFonts w:ascii="Times New Roman" w:hAnsi="Times New Roman" w:cs="Times New Roman"/>
          <w:color w:val="000000" w:themeColor="text1"/>
          <w:szCs w:val="24"/>
          <w:lang w:eastAsia="zh-CN"/>
          <w14:textFill>
            <w14:solidFill>
              <w14:schemeClr w14:val="tx1"/>
            </w14:solidFill>
          </w14:textFill>
        </w:rPr>
        <w:t>经管道收集，灌装废气经密闭负压收集</w:t>
      </w:r>
      <w:r>
        <w:rPr>
          <w:rFonts w:hint="eastAsia" w:ascii="Times New Roman" w:hAnsi="Times New Roman" w:cs="Times New Roman"/>
          <w:color w:val="000000" w:themeColor="text1"/>
          <w:szCs w:val="24"/>
          <w:lang w:eastAsia="zh-CN"/>
          <w14:textFill>
            <w14:solidFill>
              <w14:schemeClr w14:val="tx1"/>
            </w14:solidFill>
          </w14:textFill>
        </w:rPr>
        <w:t>，</w:t>
      </w:r>
      <w:r>
        <w:rPr>
          <w:rFonts w:hint="eastAsia" w:ascii="Times New Roman" w:hAnsi="Times New Roman" w:eastAsia="新宋体" w:cs="Times New Roman"/>
          <w:bCs/>
          <w:color w:val="auto"/>
          <w:szCs w:val="24"/>
          <w:lang w:eastAsia="zh-CN"/>
        </w:rPr>
        <w:t>依托现有二级水喷淋塔（TA001）预处理；</w:t>
      </w:r>
    </w:p>
    <w:p w14:paraId="3B369472">
      <w:pPr>
        <w:spacing w:line="360" w:lineRule="auto"/>
        <w:ind w:firstLine="480" w:firstLineChars="200"/>
        <w:jc w:val="both"/>
        <w:rPr>
          <w:rFonts w:ascii="Times New Roman" w:hAnsi="Times New Roman" w:cs="Times New Roman"/>
          <w:color w:val="000000" w:themeColor="text1"/>
          <w:lang w:eastAsia="zh-CN"/>
          <w14:textFill>
            <w14:solidFill>
              <w14:schemeClr w14:val="tx1"/>
            </w14:solidFill>
          </w14:textFill>
        </w:rPr>
      </w:pPr>
      <w:r>
        <w:rPr>
          <w:rFonts w:hint="eastAsia" w:ascii="Times New Roman" w:hAnsi="Times New Roman" w:eastAsia="新宋体" w:cs="Times New Roman"/>
          <w:color w:val="auto"/>
          <w:szCs w:val="24"/>
          <w:lang w:eastAsia="zh-CN"/>
        </w:rPr>
        <w:t>刻蚀液</w:t>
      </w:r>
      <w:r>
        <w:rPr>
          <w:rFonts w:ascii="Times New Roman" w:hAnsi="Times New Roman" w:eastAsia="新宋体" w:cs="Times New Roman"/>
          <w:color w:val="auto"/>
          <w:szCs w:val="24"/>
          <w:lang w:eastAsia="zh-CN"/>
        </w:rPr>
        <w:t>生产</w:t>
      </w:r>
      <w:r>
        <w:rPr>
          <w:rFonts w:hint="eastAsia" w:ascii="Times New Roman" w:hAnsi="Times New Roman" w:eastAsia="新宋体" w:cs="Times New Roman"/>
          <w:color w:val="auto"/>
          <w:szCs w:val="24"/>
          <w:lang w:eastAsia="zh-CN"/>
        </w:rPr>
        <w:t>进料混合、调配废气、戊类罐区二</w:t>
      </w:r>
      <w:r>
        <w:rPr>
          <w:rFonts w:hint="eastAsia" w:ascii="Times New Roman" w:hAnsi="Times New Roman" w:eastAsia="新宋体" w:cs="Times New Roman"/>
          <w:bCs/>
          <w:color w:val="auto"/>
          <w:szCs w:val="24"/>
          <w:lang w:eastAsia="zh-CN"/>
        </w:rPr>
        <w:t>31%盐酸储罐、</w:t>
      </w:r>
      <w:r>
        <w:rPr>
          <w:rFonts w:ascii="Times New Roman" w:hAnsi="Times New Roman" w:eastAsia="新宋体" w:cs="Times New Roman"/>
          <w:bCs/>
          <w:color w:val="auto"/>
          <w:szCs w:val="24"/>
          <w:lang w:eastAsia="zh-CN"/>
        </w:rPr>
        <w:t>化学纯氢氟酸储罐</w:t>
      </w:r>
      <w:r>
        <w:rPr>
          <w:rFonts w:hint="eastAsia" w:ascii="Times New Roman" w:hAnsi="Times New Roman" w:eastAsia="新宋体" w:cs="Times New Roman"/>
          <w:bCs/>
          <w:color w:val="auto"/>
          <w:szCs w:val="24"/>
          <w:lang w:eastAsia="zh-CN"/>
        </w:rPr>
        <w:t>、刻蚀液储罐呼吸气</w:t>
      </w:r>
      <w:r>
        <w:rPr>
          <w:rFonts w:hint="eastAsia" w:ascii="Times New Roman" w:hAnsi="Times New Roman" w:eastAsia="新宋体" w:cs="Times New Roman"/>
          <w:color w:val="auto"/>
          <w:szCs w:val="24"/>
          <w:lang w:eastAsia="zh-CN"/>
        </w:rPr>
        <w:t>经管道收集，</w:t>
      </w:r>
      <w:r>
        <w:rPr>
          <w:rFonts w:hint="eastAsia" w:ascii="Times New Roman" w:hAnsi="Times New Roman" w:eastAsia="新宋体" w:cs="Times New Roman"/>
          <w:bCs/>
          <w:color w:val="auto"/>
          <w:szCs w:val="24"/>
          <w:lang w:eastAsia="zh-CN"/>
        </w:rPr>
        <w:t>经本次新增二级水喷淋塔（TA003）装置预</w:t>
      </w:r>
      <w:r>
        <w:rPr>
          <w:rFonts w:ascii="Times New Roman" w:hAnsi="Times New Roman" w:eastAsia="新宋体" w:cs="Times New Roman"/>
          <w:bCs/>
          <w:color w:val="auto"/>
          <w:szCs w:val="24"/>
          <w:lang w:eastAsia="zh-CN"/>
        </w:rPr>
        <w:t>处理</w:t>
      </w:r>
      <w:r>
        <w:rPr>
          <w:rFonts w:hint="eastAsia" w:ascii="Times New Roman" w:hAnsi="Times New Roman" w:cs="Times New Roman"/>
          <w:color w:val="000000" w:themeColor="text1"/>
          <w:szCs w:val="24"/>
          <w:lang w:eastAsia="zh-CN"/>
          <w14:textFill>
            <w14:solidFill>
              <w14:schemeClr w14:val="tx1"/>
            </w14:solidFill>
          </w14:textFill>
        </w:rPr>
        <w:t>；</w:t>
      </w:r>
    </w:p>
    <w:p w14:paraId="03352D54">
      <w:pPr>
        <w:spacing w:line="360" w:lineRule="auto"/>
        <w:ind w:firstLine="480" w:firstLineChars="200"/>
        <w:jc w:val="both"/>
        <w:rPr>
          <w:rFonts w:ascii="Times New Roman" w:hAnsi="Times New Roman" w:cs="Times New Roman"/>
          <w:color w:val="000000" w:themeColor="text1"/>
          <w:lang w:eastAsia="zh-CN"/>
          <w14:textFill>
            <w14:solidFill>
              <w14:schemeClr w14:val="tx1"/>
            </w14:solidFill>
          </w14:textFill>
        </w:rPr>
      </w:pPr>
      <w:r>
        <w:rPr>
          <w:rFonts w:hint="eastAsia" w:ascii="Times New Roman" w:hAnsi="Times New Roman" w:eastAsia="新宋体" w:cs="Times New Roman"/>
          <w:bCs/>
          <w:color w:val="auto"/>
          <w:szCs w:val="24"/>
          <w:lang w:eastAsia="zh-CN"/>
        </w:rPr>
        <w:t>预处理后废气经现有三级碱喷淋塔（TA002）+新增一级碱喷淋塔（TA004）装置</w:t>
      </w:r>
      <w:r>
        <w:rPr>
          <w:rFonts w:ascii="Times New Roman" w:hAnsi="Times New Roman" w:eastAsia="新宋体" w:cs="Times New Roman"/>
          <w:bCs/>
          <w:color w:val="auto"/>
          <w:szCs w:val="24"/>
          <w:lang w:eastAsia="zh-CN"/>
        </w:rPr>
        <w:t>处理，处理后</w:t>
      </w:r>
      <w:r>
        <w:rPr>
          <w:rFonts w:hint="eastAsia" w:ascii="Times New Roman" w:hAnsi="Times New Roman" w:eastAsia="新宋体" w:cs="Times New Roman"/>
          <w:bCs/>
          <w:color w:val="auto"/>
          <w:szCs w:val="24"/>
          <w:lang w:eastAsia="zh-CN"/>
        </w:rPr>
        <w:t>经</w:t>
      </w:r>
      <w:r>
        <w:rPr>
          <w:rFonts w:ascii="Times New Roman" w:hAnsi="Times New Roman" w:eastAsia="新宋体" w:cs="Times New Roman"/>
          <w:bCs/>
          <w:color w:val="auto"/>
          <w:szCs w:val="24"/>
          <w:lang w:eastAsia="zh-CN"/>
        </w:rPr>
        <w:t>现有</w:t>
      </w:r>
      <w:r>
        <w:rPr>
          <w:rFonts w:hint="eastAsia" w:ascii="Times New Roman" w:hAnsi="Times New Roman" w:eastAsia="新宋体" w:cs="Times New Roman"/>
          <w:bCs/>
          <w:color w:val="auto"/>
          <w:szCs w:val="24"/>
          <w:lang w:eastAsia="zh-CN"/>
        </w:rPr>
        <w:t>25</w:t>
      </w:r>
      <w:r>
        <w:rPr>
          <w:rFonts w:ascii="Times New Roman" w:hAnsi="Times New Roman" w:eastAsia="新宋体" w:cs="Times New Roman"/>
          <w:bCs/>
          <w:color w:val="auto"/>
          <w:szCs w:val="24"/>
          <w:lang w:eastAsia="zh-CN"/>
        </w:rPr>
        <w:t>m高DA001排气筒排放</w:t>
      </w:r>
      <w:r>
        <w:rPr>
          <w:rFonts w:hint="eastAsia" w:ascii="Times New Roman" w:hAnsi="Times New Roman" w:eastAsia="新宋体" w:cs="Times New Roman"/>
          <w:bCs/>
          <w:color w:val="auto"/>
          <w:szCs w:val="24"/>
          <w:lang w:eastAsia="zh-CN"/>
        </w:rPr>
        <w:t>。</w:t>
      </w:r>
    </w:p>
    <w:p w14:paraId="4E45C816">
      <w:pPr>
        <w:spacing w:line="360" w:lineRule="auto"/>
        <w:ind w:firstLine="480" w:firstLineChars="200"/>
        <w:jc w:val="both"/>
        <w:rPr>
          <w:rFonts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项目废气</w:t>
      </w:r>
      <w:r>
        <w:rPr>
          <w:rFonts w:ascii="Times New Roman" w:hAnsi="Times New Roman" w:cs="Times New Roman"/>
          <w:color w:val="000000" w:themeColor="text1"/>
          <w:lang w:eastAsia="zh-CN"/>
          <w14:textFill>
            <w14:solidFill>
              <w14:schemeClr w14:val="tx1"/>
            </w14:solidFill>
          </w14:textFill>
        </w:rPr>
        <w:t>污染</w:t>
      </w:r>
      <w:r>
        <w:rPr>
          <w:rFonts w:hint="eastAsia" w:ascii="Times New Roman" w:hAnsi="Times New Roman" w:cs="Times New Roman"/>
          <w:color w:val="000000" w:themeColor="text1"/>
          <w:lang w:eastAsia="zh-CN"/>
          <w14:textFill>
            <w14:solidFill>
              <w14:schemeClr w14:val="tx1"/>
            </w14:solidFill>
          </w14:textFill>
        </w:rPr>
        <w:t>物氟化物、氯化氢</w:t>
      </w:r>
      <w:r>
        <w:rPr>
          <w:rFonts w:ascii="Times New Roman" w:hAnsi="Times New Roman" w:cs="Times New Roman"/>
          <w:color w:val="000000" w:themeColor="text1"/>
          <w:lang w:eastAsia="zh-CN"/>
          <w14:textFill>
            <w14:solidFill>
              <w14:schemeClr w14:val="tx1"/>
            </w14:solidFill>
          </w14:textFill>
        </w:rPr>
        <w:t>排放</w:t>
      </w:r>
      <w:r>
        <w:rPr>
          <w:rFonts w:hint="eastAsia" w:ascii="Times New Roman" w:hAnsi="Times New Roman" w:cs="Times New Roman"/>
          <w:color w:val="000000" w:themeColor="text1"/>
          <w:lang w:eastAsia="zh-CN"/>
          <w14:textFill>
            <w14:solidFill>
              <w14:schemeClr w14:val="tx1"/>
            </w14:solidFill>
          </w14:textFill>
        </w:rPr>
        <w:t>满足《无机化学工业污染物排放标准》（GB31573-2015）</w:t>
      </w:r>
      <w:r>
        <w:rPr>
          <w:rFonts w:ascii="Times New Roman" w:hAnsi="Times New Roman" w:cs="Times New Roman"/>
          <w:color w:val="000000" w:themeColor="text1"/>
          <w:lang w:eastAsia="zh-CN"/>
          <w14:textFill>
            <w14:solidFill>
              <w14:schemeClr w14:val="tx1"/>
            </w14:solidFill>
          </w14:textFill>
        </w:rPr>
        <w:t>中</w:t>
      </w:r>
      <w:r>
        <w:rPr>
          <w:rFonts w:hint="eastAsia" w:ascii="Times New Roman" w:hAnsi="Times New Roman" w:cs="Times New Roman"/>
          <w:color w:val="000000" w:themeColor="text1"/>
          <w:lang w:eastAsia="zh-CN"/>
          <w14:textFill>
            <w14:solidFill>
              <w14:schemeClr w14:val="tx1"/>
            </w14:solidFill>
          </w14:textFill>
        </w:rPr>
        <w:t>特别</w:t>
      </w:r>
      <w:r>
        <w:rPr>
          <w:rFonts w:ascii="Times New Roman" w:hAnsi="Times New Roman" w:cs="Times New Roman"/>
          <w:color w:val="000000" w:themeColor="text1"/>
          <w:lang w:eastAsia="zh-CN"/>
          <w14:textFill>
            <w14:solidFill>
              <w14:schemeClr w14:val="tx1"/>
            </w14:solidFill>
          </w14:textFill>
        </w:rPr>
        <w:t>排放限值要求</w:t>
      </w:r>
      <w:r>
        <w:rPr>
          <w:rFonts w:ascii="Times New Roman" w:hAnsi="Times New Roman" w:cs="Times New Roman"/>
          <w:color w:val="000000" w:themeColor="text1"/>
          <w:szCs w:val="24"/>
          <w:lang w:eastAsia="zh-CN"/>
          <w14:textFill>
            <w14:solidFill>
              <w14:schemeClr w14:val="tx1"/>
            </w14:solidFill>
          </w14:textFill>
        </w:rPr>
        <w:t>。</w:t>
      </w:r>
    </w:p>
    <w:p w14:paraId="6619E01D">
      <w:pPr>
        <w:spacing w:line="360" w:lineRule="auto"/>
        <w:ind w:firstLine="482" w:firstLineChars="200"/>
        <w:jc w:val="both"/>
        <w:rPr>
          <w:rFonts w:ascii="Times New Roman" w:hAnsi="Times New Roman" w:cs="Times New Roman"/>
          <w:color w:val="000000" w:themeColor="text1"/>
          <w:lang w:eastAsia="zh-CN"/>
          <w14:textFill>
            <w14:solidFill>
              <w14:schemeClr w14:val="tx1"/>
            </w14:solidFill>
          </w14:textFill>
        </w:rPr>
      </w:pPr>
      <w:r>
        <w:rPr>
          <w:rFonts w:ascii="Times New Roman" w:hAnsi="Times New Roman" w:cs="Times New Roman"/>
          <w:b/>
          <w:bCs/>
          <w:color w:val="000000" w:themeColor="text1"/>
          <w:lang w:eastAsia="zh-CN"/>
          <w14:textFill>
            <w14:solidFill>
              <w14:schemeClr w14:val="tx1"/>
            </w14:solidFill>
          </w14:textFill>
        </w:rPr>
        <w:t>处理工艺可行性分析：</w:t>
      </w:r>
      <w:r>
        <w:rPr>
          <w:rFonts w:ascii="Times New Roman" w:hAnsi="Times New Roman" w:cs="Times New Roman"/>
          <w:color w:val="000000" w:themeColor="text1"/>
          <w:lang w:eastAsia="zh-CN"/>
          <w14:textFill>
            <w14:solidFill>
              <w14:schemeClr w14:val="tx1"/>
            </w14:solidFill>
          </w14:textFill>
        </w:rPr>
        <w:t xml:space="preserve">根据《排污许可证申请与核发技术规范 </w:t>
      </w:r>
      <w:r>
        <w:rPr>
          <w:rFonts w:hint="eastAsia" w:ascii="Times New Roman" w:hAnsi="Times New Roman" w:cs="Times New Roman"/>
          <w:color w:val="000000" w:themeColor="text1"/>
          <w:lang w:eastAsia="zh-CN"/>
          <w14:textFill>
            <w14:solidFill>
              <w14:schemeClr w14:val="tx1"/>
            </w14:solidFill>
          </w14:textFill>
        </w:rPr>
        <w:t>无机化学工业</w:t>
      </w:r>
      <w:r>
        <w:rPr>
          <w:rFonts w:ascii="Times New Roman" w:hAnsi="Times New Roman" w:cs="Times New Roman"/>
          <w:color w:val="000000" w:themeColor="text1"/>
          <w:lang w:eastAsia="zh-CN"/>
          <w14:textFill>
            <w14:solidFill>
              <w14:schemeClr w14:val="tx1"/>
            </w14:solidFill>
          </w14:textFill>
        </w:rPr>
        <w:t>》（HJ</w:t>
      </w:r>
      <w:r>
        <w:rPr>
          <w:rFonts w:hint="eastAsia" w:ascii="Times New Roman" w:hAnsi="Times New Roman" w:cs="Times New Roman"/>
          <w:color w:val="000000" w:themeColor="text1"/>
          <w:lang w:eastAsia="zh-CN"/>
          <w14:textFill>
            <w14:solidFill>
              <w14:schemeClr w14:val="tx1"/>
            </w14:solidFill>
          </w14:textFill>
        </w:rPr>
        <w:t>1035-2019</w:t>
      </w:r>
      <w:r>
        <w:rPr>
          <w:rFonts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eastAsia="zh-CN"/>
          <w14:textFill>
            <w14:solidFill>
              <w14:schemeClr w14:val="tx1"/>
            </w14:solidFill>
          </w14:textFill>
        </w:rPr>
        <w:t>、</w:t>
      </w:r>
      <w:r>
        <w:rPr>
          <w:rFonts w:ascii="Times New Roman" w:hAnsi="Times New Roman" w:cs="Times New Roman"/>
          <w:color w:val="000000" w:themeColor="text1"/>
          <w:lang w:eastAsia="zh-CN"/>
          <w14:textFill>
            <w14:solidFill>
              <w14:schemeClr w14:val="tx1"/>
            </w14:solidFill>
          </w14:textFill>
        </w:rPr>
        <w:t xml:space="preserve">《排污许可证申请与核发技术规范 </w:t>
      </w:r>
      <w:r>
        <w:rPr>
          <w:rFonts w:hint="eastAsia" w:ascii="Times New Roman" w:hAnsi="Times New Roman" w:cs="Times New Roman"/>
          <w:color w:val="000000" w:themeColor="text1"/>
          <w:lang w:eastAsia="zh-CN"/>
          <w14:textFill>
            <w14:solidFill>
              <w14:schemeClr w14:val="tx1"/>
            </w14:solidFill>
          </w14:textFill>
        </w:rPr>
        <w:t>电子工业</w:t>
      </w:r>
      <w:r>
        <w:rPr>
          <w:rFonts w:ascii="Times New Roman" w:hAnsi="Times New Roman" w:cs="Times New Roman"/>
          <w:color w:val="000000" w:themeColor="text1"/>
          <w:lang w:eastAsia="zh-CN"/>
          <w14:textFill>
            <w14:solidFill>
              <w14:schemeClr w14:val="tx1"/>
            </w14:solidFill>
          </w14:textFill>
        </w:rPr>
        <w:t>》（HJ</w:t>
      </w:r>
      <w:r>
        <w:rPr>
          <w:rFonts w:hint="eastAsia" w:ascii="Times New Roman" w:hAnsi="Times New Roman" w:cs="Times New Roman"/>
          <w:color w:val="000000" w:themeColor="text1"/>
          <w:lang w:eastAsia="zh-CN"/>
          <w14:textFill>
            <w14:solidFill>
              <w14:schemeClr w14:val="tx1"/>
            </w14:solidFill>
          </w14:textFill>
        </w:rPr>
        <w:t>1035-2019</w:t>
      </w:r>
      <w:r>
        <w:rPr>
          <w:rFonts w:ascii="Times New Roman" w:hAnsi="Times New Roman" w:cs="Times New Roman"/>
          <w:color w:val="000000" w:themeColor="text1"/>
          <w:lang w:eastAsia="zh-CN"/>
          <w14:textFill>
            <w14:solidFill>
              <w14:schemeClr w14:val="tx1"/>
            </w14:solidFill>
          </w14:textFill>
        </w:rPr>
        <w:t>）中</w:t>
      </w:r>
      <w:r>
        <w:rPr>
          <w:rFonts w:hint="eastAsia" w:ascii="Times New Roman" w:hAnsi="Times New Roman" w:cs="Times New Roman"/>
          <w:color w:val="000000" w:themeColor="text1"/>
          <w:lang w:eastAsia="zh-CN"/>
          <w14:textFill>
            <w14:solidFill>
              <w14:schemeClr w14:val="tx1"/>
            </w14:solidFill>
          </w14:textFill>
        </w:rPr>
        <w:t>氟化物、氯化氢</w:t>
      </w:r>
      <w:r>
        <w:rPr>
          <w:rFonts w:ascii="Times New Roman" w:hAnsi="Times New Roman" w:cs="Times New Roman"/>
          <w:color w:val="000000" w:themeColor="text1"/>
          <w:lang w:eastAsia="zh-CN"/>
          <w14:textFill>
            <w14:solidFill>
              <w14:schemeClr w14:val="tx1"/>
            </w14:solidFill>
          </w14:textFill>
        </w:rPr>
        <w:t>污染防治可行技术，本项目采用</w:t>
      </w:r>
      <w:r>
        <w:rPr>
          <w:rFonts w:hint="eastAsia" w:ascii="Times New Roman" w:hAnsi="Times New Roman" w:cs="Times New Roman"/>
          <w:color w:val="000000" w:themeColor="text1"/>
          <w:szCs w:val="24"/>
          <w:lang w:eastAsia="zh-CN"/>
          <w14:textFill>
            <w14:solidFill>
              <w14:schemeClr w14:val="tx1"/>
            </w14:solidFill>
          </w14:textFill>
        </w:rPr>
        <w:t>二</w:t>
      </w:r>
      <w:r>
        <w:rPr>
          <w:rFonts w:ascii="Times New Roman" w:hAnsi="Times New Roman" w:cs="Times New Roman"/>
          <w:color w:val="000000" w:themeColor="text1"/>
          <w:szCs w:val="24"/>
          <w:lang w:eastAsia="zh-CN"/>
          <w14:textFill>
            <w14:solidFill>
              <w14:schemeClr w14:val="tx1"/>
            </w14:solidFill>
          </w14:textFill>
        </w:rPr>
        <w:t>级</w:t>
      </w:r>
      <w:r>
        <w:rPr>
          <w:rFonts w:hint="eastAsia" w:ascii="Times New Roman" w:hAnsi="Times New Roman" w:cs="Times New Roman"/>
          <w:color w:val="000000" w:themeColor="text1"/>
          <w:szCs w:val="24"/>
          <w:lang w:eastAsia="zh-CN"/>
          <w14:textFill>
            <w14:solidFill>
              <w14:schemeClr w14:val="tx1"/>
            </w14:solidFill>
          </w14:textFill>
        </w:rPr>
        <w:t>水</w:t>
      </w:r>
      <w:r>
        <w:rPr>
          <w:rFonts w:ascii="Times New Roman" w:hAnsi="Times New Roman" w:cs="Times New Roman"/>
          <w:color w:val="000000" w:themeColor="text1"/>
          <w:szCs w:val="24"/>
          <w:lang w:eastAsia="zh-CN"/>
          <w14:textFill>
            <w14:solidFill>
              <w14:schemeClr w14:val="tx1"/>
            </w14:solidFill>
          </w14:textFill>
        </w:rPr>
        <w:t>喷淋</w:t>
      </w:r>
      <w:r>
        <w:rPr>
          <w:rFonts w:hint="eastAsia" w:ascii="Times New Roman" w:hAnsi="Times New Roman" w:cs="Times New Roman"/>
          <w:color w:val="000000" w:themeColor="text1"/>
          <w:szCs w:val="24"/>
          <w:lang w:eastAsia="zh-CN"/>
          <w14:textFill>
            <w14:solidFill>
              <w14:schemeClr w14:val="tx1"/>
            </w14:solidFill>
          </w14:textFill>
        </w:rPr>
        <w:t>塔+三</w:t>
      </w:r>
      <w:r>
        <w:rPr>
          <w:rFonts w:ascii="Times New Roman" w:hAnsi="Times New Roman" w:cs="Times New Roman"/>
          <w:color w:val="000000" w:themeColor="text1"/>
          <w:szCs w:val="24"/>
          <w:lang w:eastAsia="zh-CN"/>
          <w14:textFill>
            <w14:solidFill>
              <w14:schemeClr w14:val="tx1"/>
            </w14:solidFill>
          </w14:textFill>
        </w:rPr>
        <w:t>级</w:t>
      </w:r>
      <w:r>
        <w:rPr>
          <w:rFonts w:hint="eastAsia" w:ascii="Times New Roman" w:hAnsi="Times New Roman" w:cs="Times New Roman"/>
          <w:color w:val="000000" w:themeColor="text1"/>
          <w:szCs w:val="24"/>
          <w:lang w:eastAsia="zh-CN"/>
          <w14:textFill>
            <w14:solidFill>
              <w14:schemeClr w14:val="tx1"/>
            </w14:solidFill>
          </w14:textFill>
        </w:rPr>
        <w:t>碱</w:t>
      </w:r>
      <w:r>
        <w:rPr>
          <w:rFonts w:ascii="Times New Roman" w:hAnsi="Times New Roman" w:cs="Times New Roman"/>
          <w:color w:val="000000" w:themeColor="text1"/>
          <w:szCs w:val="24"/>
          <w:lang w:eastAsia="zh-CN"/>
          <w14:textFill>
            <w14:solidFill>
              <w14:schemeClr w14:val="tx1"/>
            </w14:solidFill>
          </w14:textFill>
        </w:rPr>
        <w:t>喷淋</w:t>
      </w:r>
      <w:r>
        <w:rPr>
          <w:rFonts w:hint="eastAsia" w:ascii="Times New Roman" w:hAnsi="Times New Roman" w:cs="Times New Roman"/>
          <w:color w:val="000000" w:themeColor="text1"/>
          <w:szCs w:val="24"/>
          <w:lang w:eastAsia="zh-CN"/>
          <w14:textFill>
            <w14:solidFill>
              <w14:schemeClr w14:val="tx1"/>
            </w14:solidFill>
          </w14:textFill>
        </w:rPr>
        <w:t>塔</w:t>
      </w:r>
      <w:r>
        <w:rPr>
          <w:rFonts w:ascii="Times New Roman" w:hAnsi="Times New Roman" w:cs="Times New Roman"/>
          <w:color w:val="000000" w:themeColor="text1"/>
          <w:lang w:eastAsia="zh-CN"/>
          <w14:textFill>
            <w14:solidFill>
              <w14:schemeClr w14:val="tx1"/>
            </w14:solidFill>
          </w14:textFill>
        </w:rPr>
        <w:t>工艺属于可行技术，具体如下表所示。</w:t>
      </w:r>
    </w:p>
    <w:p w14:paraId="1A2FC164">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表8.2-</w:t>
      </w:r>
      <w:r>
        <w:rPr>
          <w:rFonts w:hint="eastAsia" w:ascii="Times New Roman" w:hAnsi="Times New Roman" w:cs="Times New Roman"/>
          <w:b/>
          <w:bCs/>
          <w:color w:val="auto"/>
          <w:lang w:eastAsia="zh-CN"/>
        </w:rPr>
        <w:t>2</w:t>
      </w:r>
      <w:r>
        <w:rPr>
          <w:rFonts w:ascii="Times New Roman" w:hAnsi="Times New Roman" w:cs="Times New Roman"/>
          <w:b/>
          <w:bCs/>
          <w:color w:val="auto"/>
          <w:lang w:eastAsia="zh-CN"/>
        </w:rPr>
        <w:t xml:space="preserve"> 废气污染防治可行技术</w:t>
      </w:r>
    </w:p>
    <w:tbl>
      <w:tblPr>
        <w:tblStyle w:val="35"/>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099"/>
        <w:gridCol w:w="1878"/>
        <w:gridCol w:w="2410"/>
        <w:gridCol w:w="1135"/>
        <w:gridCol w:w="3117"/>
      </w:tblGrid>
      <w:tr w14:paraId="337095B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570" w:type="pct"/>
            <w:vAlign w:val="center"/>
          </w:tcPr>
          <w:p w14:paraId="351ACE9A">
            <w:pPr>
              <w:widowControl w:val="0"/>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污染物种类</w:t>
            </w:r>
          </w:p>
        </w:tc>
        <w:tc>
          <w:tcPr>
            <w:tcW w:w="974" w:type="pct"/>
            <w:vAlign w:val="center"/>
          </w:tcPr>
          <w:p w14:paraId="6074C967">
            <w:pPr>
              <w:widowControl w:val="0"/>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可行技术</w:t>
            </w:r>
          </w:p>
        </w:tc>
        <w:tc>
          <w:tcPr>
            <w:tcW w:w="1250" w:type="pct"/>
            <w:vAlign w:val="center"/>
          </w:tcPr>
          <w:p w14:paraId="7B5F5DFD">
            <w:pPr>
              <w:widowControl w:val="0"/>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本项目处理工艺</w:t>
            </w:r>
          </w:p>
        </w:tc>
        <w:tc>
          <w:tcPr>
            <w:tcW w:w="589" w:type="pct"/>
            <w:vAlign w:val="center"/>
          </w:tcPr>
          <w:p w14:paraId="0CEB2505">
            <w:pPr>
              <w:widowControl w:val="0"/>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是否可行</w:t>
            </w:r>
          </w:p>
        </w:tc>
        <w:tc>
          <w:tcPr>
            <w:tcW w:w="1617" w:type="pct"/>
            <w:vAlign w:val="center"/>
          </w:tcPr>
          <w:p w14:paraId="14A5B07E">
            <w:pPr>
              <w:widowControl w:val="0"/>
              <w:adjustRightInd w:val="0"/>
              <w:snapToGrid w:val="0"/>
              <w:jc w:val="center"/>
              <w:rPr>
                <w:rFonts w:ascii="Times New Roman" w:hAnsi="Times New Roman" w:cs="Times New Roman"/>
                <w:b/>
                <w:color w:val="auto"/>
                <w:sz w:val="21"/>
                <w:lang w:eastAsia="zh-CN"/>
              </w:rPr>
            </w:pPr>
            <w:r>
              <w:rPr>
                <w:rFonts w:hint="eastAsia" w:ascii="Times New Roman" w:hAnsi="Times New Roman" w:cs="Times New Roman"/>
                <w:b/>
                <w:color w:val="auto"/>
                <w:sz w:val="21"/>
                <w:lang w:eastAsia="zh-CN"/>
              </w:rPr>
              <w:t>规范</w:t>
            </w:r>
          </w:p>
        </w:tc>
      </w:tr>
      <w:tr w14:paraId="297B9C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570" w:type="pct"/>
            <w:vAlign w:val="center"/>
          </w:tcPr>
          <w:p w14:paraId="012D1D79">
            <w:pPr>
              <w:widowControl w:val="0"/>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氟化物</w:t>
            </w:r>
          </w:p>
        </w:tc>
        <w:tc>
          <w:tcPr>
            <w:tcW w:w="974" w:type="pct"/>
            <w:vAlign w:val="center"/>
          </w:tcPr>
          <w:p w14:paraId="3AD06C12">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多级水洗-碱洗</w:t>
            </w:r>
          </w:p>
        </w:tc>
        <w:tc>
          <w:tcPr>
            <w:tcW w:w="1250" w:type="pct"/>
            <w:vMerge w:val="restart"/>
            <w:vAlign w:val="center"/>
          </w:tcPr>
          <w:p w14:paraId="68CEC275">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现有</w:t>
            </w:r>
            <w:r>
              <w:rPr>
                <w:rFonts w:ascii="Times New Roman" w:hAnsi="Times New Roman" w:cs="Times New Roman"/>
                <w:color w:val="auto"/>
                <w:sz w:val="21"/>
                <w:lang w:eastAsia="zh-CN"/>
              </w:rPr>
              <w:t>二级水喷淋塔</w:t>
            </w:r>
            <w:r>
              <w:rPr>
                <w:rFonts w:hint="eastAsia" w:ascii="Times New Roman" w:hAnsi="Times New Roman" w:cs="Times New Roman"/>
                <w:color w:val="auto"/>
                <w:sz w:val="21"/>
                <w:lang w:eastAsia="zh-CN"/>
              </w:rPr>
              <w:t>（TA001）/新增</w:t>
            </w:r>
            <w:r>
              <w:rPr>
                <w:rFonts w:ascii="Times New Roman" w:hAnsi="Times New Roman" w:cs="Times New Roman"/>
                <w:color w:val="auto"/>
                <w:sz w:val="21"/>
                <w:lang w:eastAsia="zh-CN"/>
              </w:rPr>
              <w:t>二级水喷淋塔</w:t>
            </w:r>
            <w:r>
              <w:rPr>
                <w:rFonts w:hint="eastAsia" w:ascii="Times New Roman" w:hAnsi="Times New Roman" w:cs="Times New Roman"/>
                <w:color w:val="auto"/>
                <w:sz w:val="21"/>
                <w:lang w:eastAsia="zh-CN"/>
              </w:rPr>
              <w:t>（TA003）+现有三</w:t>
            </w:r>
            <w:r>
              <w:rPr>
                <w:rFonts w:ascii="Times New Roman" w:hAnsi="Times New Roman" w:cs="Times New Roman"/>
                <w:color w:val="auto"/>
                <w:sz w:val="21"/>
                <w:lang w:eastAsia="zh-CN"/>
              </w:rPr>
              <w:t>级</w:t>
            </w:r>
            <w:r>
              <w:rPr>
                <w:rFonts w:hint="eastAsia" w:ascii="Times New Roman" w:hAnsi="Times New Roman" w:cs="Times New Roman"/>
                <w:color w:val="auto"/>
                <w:sz w:val="21"/>
                <w:lang w:eastAsia="zh-CN"/>
              </w:rPr>
              <w:t>碱</w:t>
            </w:r>
            <w:r>
              <w:rPr>
                <w:rFonts w:ascii="Times New Roman" w:hAnsi="Times New Roman" w:cs="Times New Roman"/>
                <w:color w:val="auto"/>
                <w:sz w:val="21"/>
                <w:lang w:eastAsia="zh-CN"/>
              </w:rPr>
              <w:t>喷淋塔</w:t>
            </w:r>
            <w:r>
              <w:rPr>
                <w:rFonts w:hint="eastAsia" w:ascii="Times New Roman" w:hAnsi="Times New Roman" w:cs="Times New Roman"/>
                <w:color w:val="auto"/>
                <w:sz w:val="21"/>
                <w:lang w:eastAsia="zh-CN"/>
              </w:rPr>
              <w:t>（TA002）+新增一</w:t>
            </w:r>
            <w:r>
              <w:rPr>
                <w:rFonts w:ascii="Times New Roman" w:hAnsi="Times New Roman" w:cs="Times New Roman"/>
                <w:color w:val="auto"/>
                <w:sz w:val="21"/>
                <w:lang w:eastAsia="zh-CN"/>
              </w:rPr>
              <w:t>级</w:t>
            </w:r>
            <w:r>
              <w:rPr>
                <w:rFonts w:hint="eastAsia" w:ascii="Times New Roman" w:hAnsi="Times New Roman" w:cs="Times New Roman"/>
                <w:color w:val="auto"/>
                <w:sz w:val="21"/>
                <w:lang w:eastAsia="zh-CN"/>
              </w:rPr>
              <w:t>碱</w:t>
            </w:r>
            <w:r>
              <w:rPr>
                <w:rFonts w:ascii="Times New Roman" w:hAnsi="Times New Roman" w:cs="Times New Roman"/>
                <w:color w:val="auto"/>
                <w:sz w:val="21"/>
                <w:lang w:eastAsia="zh-CN"/>
              </w:rPr>
              <w:t>喷淋塔</w:t>
            </w:r>
            <w:r>
              <w:rPr>
                <w:rFonts w:hint="eastAsia" w:ascii="Times New Roman" w:hAnsi="Times New Roman" w:cs="Times New Roman"/>
                <w:color w:val="auto"/>
                <w:sz w:val="21"/>
                <w:lang w:eastAsia="zh-CN"/>
              </w:rPr>
              <w:t>（TA004）</w:t>
            </w:r>
          </w:p>
        </w:tc>
        <w:tc>
          <w:tcPr>
            <w:tcW w:w="589" w:type="pct"/>
            <w:vAlign w:val="center"/>
          </w:tcPr>
          <w:p w14:paraId="45E45B1A">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可行</w:t>
            </w:r>
          </w:p>
        </w:tc>
        <w:tc>
          <w:tcPr>
            <w:tcW w:w="1617" w:type="pct"/>
            <w:vMerge w:val="restart"/>
            <w:vAlign w:val="center"/>
          </w:tcPr>
          <w:p w14:paraId="5F06F897">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《排污许可证申请与核发技术规范 无机化学工业》（HJ1035-2019）</w:t>
            </w:r>
          </w:p>
        </w:tc>
      </w:tr>
      <w:tr w14:paraId="61CD071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570" w:type="pct"/>
            <w:vAlign w:val="center"/>
          </w:tcPr>
          <w:p w14:paraId="063E76C0">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氯化氢</w:t>
            </w:r>
          </w:p>
        </w:tc>
        <w:tc>
          <w:tcPr>
            <w:tcW w:w="974" w:type="pct"/>
            <w:vAlign w:val="center"/>
          </w:tcPr>
          <w:p w14:paraId="255E65C4">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多级水洗、多级水洗-多级碱洗</w:t>
            </w:r>
          </w:p>
        </w:tc>
        <w:tc>
          <w:tcPr>
            <w:tcW w:w="1250" w:type="pct"/>
            <w:vMerge w:val="continue"/>
            <w:vAlign w:val="center"/>
          </w:tcPr>
          <w:p w14:paraId="3172C4A7">
            <w:pPr>
              <w:widowControl w:val="0"/>
              <w:adjustRightInd w:val="0"/>
              <w:snapToGrid w:val="0"/>
              <w:jc w:val="center"/>
              <w:rPr>
                <w:rFonts w:ascii="Times New Roman" w:hAnsi="Times New Roman" w:cs="Times New Roman"/>
                <w:color w:val="auto"/>
                <w:sz w:val="21"/>
                <w:lang w:eastAsia="zh-CN"/>
              </w:rPr>
            </w:pPr>
          </w:p>
        </w:tc>
        <w:tc>
          <w:tcPr>
            <w:tcW w:w="589" w:type="pct"/>
            <w:vAlign w:val="center"/>
          </w:tcPr>
          <w:p w14:paraId="4971B326">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可行</w:t>
            </w:r>
          </w:p>
        </w:tc>
        <w:tc>
          <w:tcPr>
            <w:tcW w:w="1617" w:type="pct"/>
            <w:vMerge w:val="continue"/>
            <w:vAlign w:val="center"/>
          </w:tcPr>
          <w:p w14:paraId="1AEF1A34">
            <w:pPr>
              <w:widowControl w:val="0"/>
              <w:adjustRightInd w:val="0"/>
              <w:snapToGrid w:val="0"/>
              <w:jc w:val="center"/>
              <w:rPr>
                <w:rFonts w:ascii="Times New Roman" w:hAnsi="Times New Roman" w:cs="Times New Roman"/>
                <w:color w:val="auto"/>
                <w:sz w:val="21"/>
                <w:lang w:eastAsia="zh-CN"/>
              </w:rPr>
            </w:pPr>
          </w:p>
        </w:tc>
      </w:tr>
      <w:tr w14:paraId="6E91D60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570" w:type="pct"/>
            <w:vAlign w:val="center"/>
          </w:tcPr>
          <w:p w14:paraId="6CDA3E45">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氟化物、氯化物</w:t>
            </w:r>
          </w:p>
        </w:tc>
        <w:tc>
          <w:tcPr>
            <w:tcW w:w="974" w:type="pct"/>
            <w:vAlign w:val="center"/>
          </w:tcPr>
          <w:p w14:paraId="0B93C200">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碱液喷淋洗涤吸收法</w:t>
            </w:r>
          </w:p>
        </w:tc>
        <w:tc>
          <w:tcPr>
            <w:tcW w:w="1250" w:type="pct"/>
            <w:vMerge w:val="continue"/>
            <w:vAlign w:val="center"/>
          </w:tcPr>
          <w:p w14:paraId="3E8620E3">
            <w:pPr>
              <w:widowControl w:val="0"/>
              <w:adjustRightInd w:val="0"/>
              <w:snapToGrid w:val="0"/>
              <w:jc w:val="center"/>
              <w:rPr>
                <w:rFonts w:ascii="Times New Roman" w:hAnsi="Times New Roman" w:cs="Times New Roman"/>
                <w:color w:val="auto"/>
                <w:sz w:val="21"/>
                <w:lang w:eastAsia="zh-CN"/>
              </w:rPr>
            </w:pPr>
          </w:p>
        </w:tc>
        <w:tc>
          <w:tcPr>
            <w:tcW w:w="589" w:type="pct"/>
            <w:vAlign w:val="center"/>
          </w:tcPr>
          <w:p w14:paraId="58C882EF">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可行</w:t>
            </w:r>
          </w:p>
        </w:tc>
        <w:tc>
          <w:tcPr>
            <w:tcW w:w="1617" w:type="pct"/>
            <w:vAlign w:val="center"/>
          </w:tcPr>
          <w:p w14:paraId="3AA888B8">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《排污许可证申请与核发技术规范 电子工业》（HJ1035-2019）</w:t>
            </w:r>
          </w:p>
        </w:tc>
      </w:tr>
      <w:bookmarkEnd w:id="2398"/>
    </w:tbl>
    <w:p w14:paraId="7065668B">
      <w:pPr>
        <w:widowControl w:val="0"/>
        <w:spacing w:line="360" w:lineRule="auto"/>
        <w:ind w:firstLine="482"/>
        <w:outlineLvl w:val="3"/>
        <w:rPr>
          <w:rFonts w:ascii="Times New Roman" w:hAnsi="Times New Roman" w:cs="Times New Roman"/>
          <w:b/>
          <w:color w:val="auto"/>
          <w:szCs w:val="24"/>
          <w:lang w:eastAsia="zh-CN"/>
        </w:rPr>
      </w:pPr>
      <w:bookmarkStart w:id="2399" w:name="_Hlk173426203"/>
      <w:r>
        <w:rPr>
          <w:rFonts w:ascii="Times New Roman" w:hAnsi="Times New Roman" w:cs="Times New Roman"/>
          <w:b/>
          <w:color w:val="auto"/>
          <w:szCs w:val="24"/>
          <w:lang w:eastAsia="zh-CN"/>
        </w:rPr>
        <w:t>8.2</w:t>
      </w:r>
      <w:bookmarkStart w:id="2400" w:name="_Hlk173426216"/>
      <w:r>
        <w:rPr>
          <w:rFonts w:ascii="Times New Roman" w:hAnsi="Times New Roman" w:cs="Times New Roman"/>
          <w:b/>
          <w:color w:val="auto"/>
          <w:szCs w:val="24"/>
          <w:lang w:eastAsia="zh-CN"/>
        </w:rPr>
        <w:t>.2.</w:t>
      </w:r>
      <w:r>
        <w:rPr>
          <w:rFonts w:hint="eastAsia" w:ascii="Times New Roman" w:hAnsi="Times New Roman" w:cs="Times New Roman"/>
          <w:b/>
          <w:color w:val="auto"/>
          <w:szCs w:val="24"/>
          <w:lang w:eastAsia="zh-CN"/>
        </w:rPr>
        <w:t>2</w:t>
      </w:r>
      <w:r>
        <w:rPr>
          <w:rFonts w:ascii="Times New Roman" w:hAnsi="Times New Roman" w:cs="Times New Roman"/>
          <w:b/>
          <w:color w:val="auto"/>
          <w:szCs w:val="24"/>
          <w:lang w:eastAsia="zh-CN"/>
        </w:rPr>
        <w:t xml:space="preserve"> 无组织废气处理措施</w:t>
      </w:r>
    </w:p>
    <w:p w14:paraId="7D1BE338">
      <w:pPr>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ascii="Times New Roman" w:hAnsi="Times New Roman" w:cs="Times New Roman"/>
          <w:color w:val="000000" w:themeColor="text1"/>
          <w:szCs w:val="24"/>
          <w:lang w:eastAsia="zh-CN"/>
          <w14:textFill>
            <w14:solidFill>
              <w14:schemeClr w14:val="tx1"/>
            </w14:solidFill>
          </w14:textFill>
        </w:rPr>
        <w:t>项目无组织废气主要</w:t>
      </w:r>
      <w:r>
        <w:rPr>
          <w:rFonts w:hint="eastAsia" w:ascii="Times New Roman" w:hAnsi="Times New Roman" w:cs="Times New Roman"/>
          <w:color w:val="000000" w:themeColor="text1"/>
          <w:szCs w:val="24"/>
          <w:lang w:eastAsia="zh-CN"/>
          <w14:textFill>
            <w14:solidFill>
              <w14:schemeClr w14:val="tx1"/>
            </w14:solidFill>
          </w14:textFill>
        </w:rPr>
        <w:t>为</w:t>
      </w:r>
      <w:r>
        <w:rPr>
          <w:rFonts w:ascii="Times New Roman" w:hAnsi="Times New Roman" w:cs="Times New Roman"/>
          <w:color w:val="000000" w:themeColor="text1"/>
          <w:szCs w:val="24"/>
          <w:lang w:eastAsia="zh-CN"/>
          <w14:textFill>
            <w14:solidFill>
              <w14:schemeClr w14:val="tx1"/>
            </w14:solidFill>
          </w14:textFill>
        </w:rPr>
        <w:t>灌装</w:t>
      </w:r>
      <w:r>
        <w:rPr>
          <w:rFonts w:hint="eastAsia" w:ascii="Times New Roman" w:hAnsi="Times New Roman" w:cs="Times New Roman"/>
          <w:color w:val="000000" w:themeColor="text1"/>
          <w:szCs w:val="24"/>
          <w:lang w:eastAsia="zh-CN"/>
          <w14:textFill>
            <w14:solidFill>
              <w14:schemeClr w14:val="tx1"/>
            </w14:solidFill>
          </w14:textFill>
        </w:rPr>
        <w:t>工序</w:t>
      </w:r>
      <w:r>
        <w:rPr>
          <w:rFonts w:ascii="Times New Roman" w:hAnsi="Times New Roman" w:cs="Times New Roman"/>
          <w:color w:val="000000" w:themeColor="text1"/>
          <w:szCs w:val="24"/>
          <w:lang w:eastAsia="zh-CN"/>
          <w14:textFill>
            <w14:solidFill>
              <w14:schemeClr w14:val="tx1"/>
            </w14:solidFill>
          </w14:textFill>
        </w:rPr>
        <w:t>未收集的废气</w:t>
      </w:r>
      <w:r>
        <w:rPr>
          <w:rFonts w:ascii="Times New Roman" w:hAnsi="Times New Roman" w:cs="Times New Roman"/>
          <w:color w:val="000000" w:themeColor="text1"/>
          <w:lang w:eastAsia="zh-CN"/>
          <w14:textFill>
            <w14:solidFill>
              <w14:schemeClr w14:val="tx1"/>
            </w14:solidFill>
          </w14:textFill>
        </w:rPr>
        <w:t>，本项目无组织废气控制符合性分析</w:t>
      </w:r>
      <w:r>
        <w:rPr>
          <w:rFonts w:hint="eastAsia" w:ascii="Times New Roman" w:hAnsi="Times New Roman" w:cs="Times New Roman"/>
          <w:color w:val="000000" w:themeColor="text1"/>
          <w:lang w:eastAsia="zh-CN"/>
          <w14:textFill>
            <w14:solidFill>
              <w14:schemeClr w14:val="tx1"/>
            </w14:solidFill>
          </w14:textFill>
        </w:rPr>
        <w:t>如下</w:t>
      </w:r>
      <w:r>
        <w:rPr>
          <w:rFonts w:ascii="Times New Roman" w:hAnsi="Times New Roman" w:cs="Times New Roman"/>
          <w:color w:val="000000" w:themeColor="text1"/>
          <w:szCs w:val="24"/>
          <w:lang w:eastAsia="zh-CN"/>
          <w14:textFill>
            <w14:solidFill>
              <w14:schemeClr w14:val="tx1"/>
            </w14:solidFill>
          </w14:textFill>
        </w:rPr>
        <w:t>：</w:t>
      </w:r>
    </w:p>
    <w:p w14:paraId="5C21E64D">
      <w:pPr>
        <w:spacing w:line="360" w:lineRule="auto"/>
        <w:ind w:firstLine="480" w:firstLineChars="200"/>
        <w:jc w:val="both"/>
        <w:rPr>
          <w:rFonts w:hint="eastAsia" w:ascii="宋体" w:hAnsi="宋体" w:cs="Cambria Math"/>
          <w:color w:val="auto"/>
          <w:szCs w:val="24"/>
          <w:lang w:eastAsia="zh-CN"/>
        </w:rPr>
      </w:pPr>
      <w:r>
        <w:rPr>
          <w:rFonts w:ascii="宋体" w:hAnsi="宋体" w:cs="Cambria Math"/>
          <w:color w:val="auto"/>
          <w:szCs w:val="24"/>
          <w:lang w:eastAsia="zh-CN"/>
        </w:rPr>
        <w:t>①</w:t>
      </w:r>
      <w:r>
        <w:rPr>
          <w:rFonts w:hint="eastAsia" w:ascii="宋体" w:hAnsi="宋体" w:cs="Cambria Math"/>
          <w:color w:val="auto"/>
          <w:szCs w:val="24"/>
          <w:lang w:eastAsia="zh-CN"/>
        </w:rPr>
        <w:t>本项目原料</w:t>
      </w:r>
      <w:r>
        <w:rPr>
          <w:rFonts w:ascii="Times New Roman" w:hAnsi="Times New Roman" w:cs="Times New Roman"/>
          <w:color w:val="auto"/>
          <w:szCs w:val="24"/>
          <w:lang w:eastAsia="zh-CN"/>
        </w:rPr>
        <w:t>15%氟化氢水溶液</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31%盐酸</w:t>
      </w:r>
      <w:r>
        <w:rPr>
          <w:rFonts w:hint="eastAsia" w:ascii="Times New Roman" w:hAnsi="Times New Roman" w:cs="Times New Roman"/>
          <w:color w:val="auto"/>
          <w:szCs w:val="24"/>
          <w:lang w:eastAsia="zh-CN"/>
        </w:rPr>
        <w:t>、无水氟化氢采用密闭储罐储存，原料通过密闭管道进行输送，</w:t>
      </w:r>
      <w:r>
        <w:rPr>
          <w:rFonts w:ascii="Times New Roman" w:hAnsi="Times New Roman" w:cs="Times New Roman"/>
          <w:color w:val="auto"/>
          <w:szCs w:val="24"/>
          <w:lang w:eastAsia="zh-CN"/>
        </w:rPr>
        <w:t>储罐呼吸气引入车间废气处理装置进行处理，各储罐安装气相平衡管，可控制物料转移过程大呼吸气排放</w:t>
      </w:r>
      <w:r>
        <w:rPr>
          <w:rFonts w:hint="eastAsia" w:ascii="Times New Roman" w:hAnsi="Times New Roman" w:cs="Times New Roman"/>
          <w:color w:val="auto"/>
          <w:szCs w:val="24"/>
          <w:lang w:eastAsia="zh-CN"/>
        </w:rPr>
        <w:t>。</w:t>
      </w:r>
    </w:p>
    <w:p w14:paraId="3B2B8043">
      <w:pPr>
        <w:spacing w:line="360" w:lineRule="auto"/>
        <w:ind w:firstLine="480" w:firstLineChars="200"/>
        <w:jc w:val="both"/>
        <w:rPr>
          <w:rFonts w:ascii="Times New Roman" w:hAnsi="Times New Roman" w:cs="Times New Roman"/>
          <w:color w:val="auto"/>
          <w:szCs w:val="24"/>
          <w:lang w:eastAsia="zh-CN"/>
        </w:rPr>
      </w:pPr>
      <w:r>
        <w:rPr>
          <w:rFonts w:ascii="宋体" w:hAnsi="宋体" w:cs="Cambria Math"/>
          <w:color w:val="auto"/>
          <w:szCs w:val="24"/>
          <w:lang w:eastAsia="zh-CN"/>
        </w:rPr>
        <w:t>②</w:t>
      </w:r>
      <w:r>
        <w:rPr>
          <w:rFonts w:hint="eastAsia" w:ascii="宋体" w:hAnsi="宋体" w:cs="Cambria Math"/>
          <w:color w:val="auto"/>
          <w:szCs w:val="24"/>
          <w:lang w:eastAsia="zh-CN"/>
        </w:rPr>
        <w:t>项目采用自动化、密闭化生产，</w:t>
      </w:r>
      <w:r>
        <w:rPr>
          <w:rFonts w:ascii="Times New Roman" w:hAnsi="Times New Roman" w:cs="Times New Roman"/>
          <w:color w:val="auto"/>
          <w:lang w:eastAsia="zh-CN"/>
        </w:rPr>
        <w:t>生产中</w:t>
      </w:r>
      <w:r>
        <w:rPr>
          <w:rFonts w:hint="eastAsia" w:ascii="Times New Roman" w:hAnsi="Times New Roman" w:cs="Times New Roman"/>
          <w:color w:val="auto"/>
          <w:lang w:eastAsia="zh-CN"/>
        </w:rPr>
        <w:t>进料混合</w:t>
      </w:r>
      <w:r>
        <w:rPr>
          <w:rFonts w:ascii="Times New Roman" w:hAnsi="Times New Roman" w:cs="Times New Roman"/>
          <w:color w:val="auto"/>
          <w:lang w:eastAsia="zh-CN"/>
        </w:rPr>
        <w:t>、计量等均采用DCS自动控制</w:t>
      </w:r>
      <w:r>
        <w:rPr>
          <w:rFonts w:hint="eastAsia" w:ascii="Times New Roman" w:hAnsi="Times New Roman" w:cs="Times New Roman"/>
          <w:color w:val="auto"/>
          <w:lang w:eastAsia="zh-CN"/>
        </w:rPr>
        <w:t>，</w:t>
      </w:r>
      <w:r>
        <w:rPr>
          <w:rFonts w:ascii="Times New Roman" w:hAnsi="Times New Roman" w:cs="Times New Roman"/>
          <w:color w:val="auto"/>
          <w:lang w:eastAsia="zh-CN"/>
        </w:rPr>
        <w:t>提高检测的准确性与信息传输的实时性，保证设备安全自动化运行</w:t>
      </w:r>
      <w:r>
        <w:rPr>
          <w:rFonts w:hint="eastAsia" w:ascii="Times New Roman" w:hAnsi="Times New Roman" w:cs="Times New Roman"/>
          <w:color w:val="auto"/>
          <w:szCs w:val="24"/>
          <w:lang w:eastAsia="zh-CN"/>
        </w:rPr>
        <w:t>；灌装工序通过</w:t>
      </w:r>
      <w:r>
        <w:rPr>
          <w:rFonts w:ascii="Times New Roman" w:hAnsi="Times New Roman" w:cs="Times New Roman"/>
          <w:color w:val="auto"/>
          <w:szCs w:val="24"/>
          <w:lang w:eastAsia="zh-CN"/>
        </w:rPr>
        <w:t>设置密闭区域，</w:t>
      </w:r>
      <w:r>
        <w:rPr>
          <w:rFonts w:hint="eastAsia" w:ascii="Times New Roman" w:hAnsi="Times New Roman" w:cs="Times New Roman"/>
          <w:color w:val="auto"/>
          <w:szCs w:val="24"/>
          <w:lang w:eastAsia="zh-CN"/>
        </w:rPr>
        <w:t>废气</w:t>
      </w:r>
      <w:r>
        <w:rPr>
          <w:rFonts w:ascii="Times New Roman" w:hAnsi="Times New Roman" w:cs="Times New Roman"/>
          <w:color w:val="auto"/>
          <w:szCs w:val="24"/>
          <w:lang w:eastAsia="zh-CN"/>
        </w:rPr>
        <w:t>采用负压收集至尾气处理系统处理</w:t>
      </w:r>
      <w:r>
        <w:rPr>
          <w:rFonts w:hint="eastAsia" w:ascii="Times New Roman" w:hAnsi="Times New Roman" w:cs="Times New Roman"/>
          <w:color w:val="auto"/>
          <w:szCs w:val="24"/>
          <w:lang w:eastAsia="zh-CN"/>
        </w:rPr>
        <w:t>，减小过程中废气无组织排放。</w:t>
      </w:r>
    </w:p>
    <w:p w14:paraId="4E180902">
      <w:pPr>
        <w:spacing w:line="360" w:lineRule="auto"/>
        <w:ind w:firstLine="480" w:firstLineChars="200"/>
        <w:jc w:val="both"/>
        <w:rPr>
          <w:rFonts w:ascii="Times New Roman" w:hAnsi="Times New Roman" w:cs="Times New Roman"/>
          <w:color w:val="auto"/>
          <w:szCs w:val="24"/>
          <w:lang w:eastAsia="zh-CN"/>
        </w:rPr>
      </w:pPr>
      <w:r>
        <w:rPr>
          <w:rFonts w:ascii="宋体" w:hAnsi="宋体" w:cs="Cambria Math"/>
          <w:color w:val="auto"/>
          <w:szCs w:val="24"/>
          <w:lang w:eastAsia="zh-CN"/>
        </w:rPr>
        <w:t>③</w:t>
      </w:r>
      <w:r>
        <w:rPr>
          <w:rFonts w:hint="eastAsia" w:ascii="宋体" w:hAnsi="宋体" w:cs="Cambria Math"/>
          <w:color w:val="auto"/>
          <w:szCs w:val="24"/>
          <w:lang w:eastAsia="zh-CN"/>
        </w:rPr>
        <w:t>加强操作管理和设备维护，</w:t>
      </w:r>
      <w:r>
        <w:rPr>
          <w:rFonts w:ascii="Times New Roman" w:hAnsi="Times New Roman" w:cs="Times New Roman"/>
          <w:color w:val="auto"/>
          <w:lang w:eastAsia="zh-CN"/>
        </w:rPr>
        <w:t>对泵、阀门、法兰等易泄漏设备及管线组件在选择时充分考虑工作状况，选择耐腐蚀的材质，并定期检测、及时修复</w:t>
      </w:r>
      <w:r>
        <w:rPr>
          <w:rFonts w:hint="eastAsia" w:ascii="Times New Roman" w:hAnsi="Times New Roman" w:cs="Times New Roman"/>
          <w:color w:val="auto"/>
          <w:lang w:eastAsia="zh-CN"/>
        </w:rPr>
        <w:t>，</w:t>
      </w:r>
      <w:r>
        <w:rPr>
          <w:rFonts w:ascii="Times New Roman" w:hAnsi="Times New Roman" w:cs="Times New Roman"/>
          <w:color w:val="auto"/>
          <w:szCs w:val="24"/>
          <w:lang w:eastAsia="zh-CN"/>
        </w:rPr>
        <w:t>防止出现因腐蚀或其他非正常运转情况下发生废气事故排放</w:t>
      </w:r>
      <w:r>
        <w:rPr>
          <w:rFonts w:hint="eastAsia" w:ascii="Times New Roman" w:hAnsi="Times New Roman" w:cs="Times New Roman"/>
          <w:color w:val="auto"/>
          <w:lang w:eastAsia="zh-CN"/>
        </w:rPr>
        <w:t>，</w:t>
      </w:r>
      <w:r>
        <w:rPr>
          <w:rFonts w:ascii="Times New Roman" w:hAnsi="Times New Roman" w:cs="Times New Roman"/>
          <w:color w:val="auto"/>
          <w:lang w:eastAsia="zh-CN"/>
        </w:rPr>
        <w:t>严格控制跑、冒、滴、漏的情况发生</w:t>
      </w:r>
      <w:r>
        <w:rPr>
          <w:rFonts w:hint="eastAsia" w:ascii="Times New Roman" w:hAnsi="Times New Roman" w:cs="Times New Roman"/>
          <w:color w:val="auto"/>
          <w:szCs w:val="24"/>
          <w:lang w:eastAsia="zh-CN"/>
        </w:rPr>
        <w:t>。</w:t>
      </w:r>
    </w:p>
    <w:bookmarkEnd w:id="2399"/>
    <w:bookmarkEnd w:id="2400"/>
    <w:p w14:paraId="64ADAB13">
      <w:pPr>
        <w:widowControl w:val="0"/>
        <w:spacing w:line="360" w:lineRule="auto"/>
        <w:ind w:firstLine="482"/>
        <w:outlineLvl w:val="3"/>
        <w:rPr>
          <w:rFonts w:ascii="Times New Roman" w:hAnsi="Times New Roman" w:cs="Times New Roman"/>
          <w:b/>
          <w:color w:val="auto"/>
          <w:szCs w:val="24"/>
          <w:lang w:eastAsia="zh-CN"/>
        </w:rPr>
      </w:pPr>
      <w:r>
        <w:rPr>
          <w:rFonts w:ascii="Times New Roman" w:hAnsi="Times New Roman" w:cs="Times New Roman"/>
          <w:b/>
          <w:color w:val="auto"/>
          <w:szCs w:val="24"/>
          <w:lang w:eastAsia="zh-CN"/>
        </w:rPr>
        <w:t>8.2.2.</w:t>
      </w:r>
      <w:r>
        <w:rPr>
          <w:rFonts w:hint="eastAsia" w:ascii="Times New Roman" w:hAnsi="Times New Roman" w:cs="Times New Roman"/>
          <w:b/>
          <w:color w:val="auto"/>
          <w:szCs w:val="24"/>
          <w:lang w:eastAsia="zh-CN"/>
        </w:rPr>
        <w:t xml:space="preserve">3 </w:t>
      </w:r>
      <w:r>
        <w:rPr>
          <w:rFonts w:ascii="Times New Roman" w:hAnsi="Times New Roman" w:cs="Times New Roman"/>
          <w:b/>
          <w:color w:val="auto"/>
          <w:szCs w:val="24"/>
          <w:lang w:eastAsia="zh-CN"/>
        </w:rPr>
        <w:t>废气污染防治建议</w:t>
      </w:r>
    </w:p>
    <w:p w14:paraId="132A1277">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本项目生产过程中，在工艺上应做到以下几点：</w:t>
      </w:r>
    </w:p>
    <w:p w14:paraId="50130824">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（1）治理工程应先于产生废气的生产工艺设备开启、后于生产工艺设备停机，并实现联锁控制。</w:t>
      </w:r>
    </w:p>
    <w:p w14:paraId="052C2DAA">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w:t>
      </w:r>
      <w:r>
        <w:rPr>
          <w:rFonts w:hint="eastAsia" w:ascii="Times New Roman" w:hAnsi="Times New Roman" w:cs="Times New Roman"/>
          <w:color w:val="auto"/>
          <w:szCs w:val="24"/>
          <w:lang w:eastAsia="zh-CN"/>
        </w:rPr>
        <w:t>2</w:t>
      </w:r>
      <w:r>
        <w:rPr>
          <w:rFonts w:ascii="Times New Roman" w:hAnsi="Times New Roman" w:cs="Times New Roman"/>
          <w:color w:val="auto"/>
          <w:szCs w:val="24"/>
          <w:lang w:eastAsia="zh-CN"/>
        </w:rPr>
        <w:t>）生产设施应采用密闭式，并具有与废气收集系统有效连接的部件或装置。</w:t>
      </w:r>
    </w:p>
    <w:p w14:paraId="0AE08B68">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w:t>
      </w:r>
      <w:r>
        <w:rPr>
          <w:rFonts w:hint="eastAsia" w:ascii="Times New Roman" w:hAnsi="Times New Roman" w:cs="Times New Roman"/>
          <w:color w:val="auto"/>
          <w:szCs w:val="24"/>
          <w:lang w:eastAsia="zh-CN"/>
        </w:rPr>
        <w:t>3</w:t>
      </w:r>
      <w:r>
        <w:rPr>
          <w:rFonts w:ascii="Times New Roman" w:hAnsi="Times New Roman" w:cs="Times New Roman"/>
          <w:color w:val="auto"/>
          <w:szCs w:val="24"/>
          <w:lang w:eastAsia="zh-CN"/>
        </w:rPr>
        <w:t>）物料输送应采用无泄漏泵。</w:t>
      </w:r>
    </w:p>
    <w:p w14:paraId="6350D48B">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w:t>
      </w:r>
      <w:r>
        <w:rPr>
          <w:rFonts w:hint="eastAsia" w:ascii="Times New Roman" w:hAnsi="Times New Roman" w:cs="Times New Roman"/>
          <w:color w:val="auto"/>
          <w:szCs w:val="24"/>
          <w:lang w:eastAsia="zh-CN"/>
        </w:rPr>
        <w:t>4</w:t>
      </w:r>
      <w:r>
        <w:rPr>
          <w:rFonts w:ascii="Times New Roman" w:hAnsi="Times New Roman" w:cs="Times New Roman"/>
          <w:color w:val="auto"/>
          <w:szCs w:val="24"/>
          <w:lang w:eastAsia="zh-CN"/>
        </w:rPr>
        <w:t>）企业应建立健全</w:t>
      </w:r>
      <w:r>
        <w:rPr>
          <w:rFonts w:hint="eastAsia" w:ascii="Times New Roman" w:hAnsi="Times New Roman" w:cs="Times New Roman"/>
          <w:color w:val="auto"/>
          <w:szCs w:val="24"/>
          <w:lang w:eastAsia="zh-CN"/>
        </w:rPr>
        <w:t>废气</w:t>
      </w:r>
      <w:r>
        <w:rPr>
          <w:rFonts w:ascii="Times New Roman" w:hAnsi="Times New Roman" w:cs="Times New Roman"/>
          <w:color w:val="auto"/>
          <w:szCs w:val="24"/>
          <w:lang w:eastAsia="zh-CN"/>
        </w:rPr>
        <w:t>治理设施的运行维护规程和</w:t>
      </w:r>
      <w:r>
        <w:rPr>
          <w:rFonts w:hint="eastAsia" w:ascii="Times New Roman" w:hAnsi="Times New Roman" w:cs="Times New Roman"/>
          <w:color w:val="auto"/>
          <w:szCs w:val="24"/>
          <w:lang w:eastAsia="zh-CN"/>
        </w:rPr>
        <w:t>废气</w:t>
      </w:r>
      <w:r>
        <w:rPr>
          <w:rFonts w:ascii="Times New Roman" w:hAnsi="Times New Roman" w:cs="Times New Roman"/>
          <w:color w:val="auto"/>
          <w:szCs w:val="24"/>
          <w:lang w:eastAsia="zh-CN"/>
        </w:rPr>
        <w:t>排放相关的原辅料的使用、产品生产及输出、废气处理、污染物排放等信息应进行跟踪记录，建立完善的</w:t>
      </w:r>
      <w:r>
        <w:rPr>
          <w:rFonts w:hint="eastAsia" w:ascii="Times New Roman" w:hAnsi="Times New Roman" w:cs="Times New Roman"/>
          <w:color w:val="auto"/>
          <w:szCs w:val="24"/>
          <w:lang w:eastAsia="zh-CN"/>
        </w:rPr>
        <w:t>档案制度</w:t>
      </w:r>
      <w:r>
        <w:rPr>
          <w:rFonts w:ascii="Times New Roman" w:hAnsi="Times New Roman" w:cs="Times New Roman"/>
          <w:color w:val="auto"/>
          <w:szCs w:val="24"/>
          <w:lang w:eastAsia="zh-CN"/>
        </w:rPr>
        <w:t>，确保企业</w:t>
      </w:r>
      <w:r>
        <w:rPr>
          <w:rFonts w:hint="eastAsia" w:ascii="Times New Roman" w:hAnsi="Times New Roman" w:cs="Times New Roman"/>
          <w:color w:val="auto"/>
          <w:szCs w:val="24"/>
          <w:lang w:eastAsia="zh-CN"/>
        </w:rPr>
        <w:t>废气</w:t>
      </w:r>
      <w:r>
        <w:rPr>
          <w:rFonts w:ascii="Times New Roman" w:hAnsi="Times New Roman" w:cs="Times New Roman"/>
          <w:color w:val="auto"/>
          <w:szCs w:val="24"/>
          <w:lang w:eastAsia="zh-CN"/>
        </w:rPr>
        <w:t>处理装置运行效果。</w:t>
      </w:r>
    </w:p>
    <w:p w14:paraId="5E2F719D">
      <w:pPr>
        <w:widowControl w:val="0"/>
        <w:spacing w:line="360" w:lineRule="auto"/>
        <w:ind w:firstLine="480" w:firstLineChars="200"/>
        <w:jc w:val="both"/>
        <w:rPr>
          <w:rFonts w:ascii="Times New Roman" w:hAnsi="Times New Roman" w:cs="Times New Roman"/>
          <w:color w:val="auto"/>
          <w:szCs w:val="24"/>
          <w:lang w:eastAsia="zh-CN"/>
        </w:rPr>
      </w:pPr>
    </w:p>
    <w:p w14:paraId="54DF02E2">
      <w:pPr>
        <w:spacing w:line="360" w:lineRule="auto"/>
        <w:ind w:firstLine="482"/>
        <w:outlineLvl w:val="2"/>
        <w:rPr>
          <w:rFonts w:ascii="Times New Roman" w:hAnsi="Times New Roman" w:cs="Times New Roman"/>
          <w:b/>
          <w:bCs/>
          <w:color w:val="auto"/>
          <w:lang w:eastAsia="zh-CN"/>
        </w:rPr>
      </w:pPr>
      <w:bookmarkStart w:id="2401" w:name="_Toc175164382"/>
      <w:bookmarkStart w:id="2402" w:name="_Toc236641941"/>
      <w:bookmarkStart w:id="2403" w:name="_Toc178602463"/>
      <w:bookmarkStart w:id="2404" w:name="_Toc173740388"/>
      <w:bookmarkStart w:id="2405" w:name="_Toc204515314"/>
      <w:bookmarkStart w:id="2406" w:name="_Toc172555754"/>
      <w:bookmarkStart w:id="2407" w:name="_Toc218784397"/>
      <w:bookmarkStart w:id="2408" w:name="_Toc176513118"/>
      <w:bookmarkStart w:id="2409" w:name="_Toc203927115"/>
      <w:bookmarkStart w:id="2410" w:name="_Toc221900953"/>
      <w:bookmarkStart w:id="2411" w:name="_Toc204448579"/>
      <w:bookmarkStart w:id="2412" w:name="_Toc237508406"/>
      <w:bookmarkStart w:id="2413" w:name="_Toc225784173"/>
      <w:bookmarkStart w:id="2414" w:name="_Toc223425171"/>
      <w:bookmarkStart w:id="2415" w:name="_Toc217662785"/>
      <w:bookmarkStart w:id="2416" w:name="_Toc173743492"/>
      <w:bookmarkStart w:id="2417" w:name="_Toc231828694"/>
      <w:bookmarkStart w:id="2418" w:name="_Toc224674811"/>
      <w:r>
        <w:rPr>
          <w:rFonts w:ascii="Times New Roman" w:hAnsi="Times New Roman" w:cs="Times New Roman"/>
          <w:b/>
          <w:bCs/>
          <w:color w:val="auto"/>
          <w:lang w:eastAsia="zh-CN"/>
        </w:rPr>
        <w:t>8.2.</w:t>
      </w:r>
      <w:r>
        <w:rPr>
          <w:rFonts w:hint="eastAsia" w:ascii="Times New Roman" w:hAnsi="Times New Roman" w:cs="Times New Roman"/>
          <w:b/>
          <w:bCs/>
          <w:color w:val="auto"/>
          <w:lang w:eastAsia="zh-CN"/>
        </w:rPr>
        <w:t>3</w:t>
      </w:r>
      <w:r>
        <w:rPr>
          <w:rFonts w:ascii="Times New Roman" w:hAnsi="Times New Roman" w:cs="Times New Roman"/>
          <w:b/>
          <w:bCs/>
          <w:color w:val="auto"/>
          <w:lang w:eastAsia="zh-CN"/>
        </w:rPr>
        <w:t xml:space="preserve"> 废水污染防治措施及可行性分析</w:t>
      </w:r>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p>
    <w:p w14:paraId="0A7E6A87">
      <w:pPr>
        <w:pStyle w:val="74"/>
        <w:widowControl w:val="0"/>
        <w:ind w:firstLine="482"/>
        <w:rPr>
          <w:rFonts w:cs="Times New Roman"/>
          <w:color w:val="auto"/>
          <w:lang w:eastAsia="zh-CN"/>
        </w:rPr>
      </w:pPr>
      <w:bookmarkStart w:id="2419" w:name="_Toc31981"/>
      <w:bookmarkStart w:id="2420" w:name="_Toc133333759"/>
      <w:bookmarkStart w:id="2421" w:name="_Toc133214602"/>
      <w:r>
        <w:rPr>
          <w:rFonts w:cs="Times New Roman"/>
          <w:color w:val="auto"/>
          <w:lang w:eastAsia="zh-CN"/>
        </w:rPr>
        <w:t>8.2.</w:t>
      </w:r>
      <w:r>
        <w:rPr>
          <w:rFonts w:hint="eastAsia" w:cs="Times New Roman"/>
          <w:color w:val="auto"/>
          <w:lang w:eastAsia="zh-CN"/>
        </w:rPr>
        <w:t>3</w:t>
      </w:r>
      <w:r>
        <w:rPr>
          <w:rFonts w:cs="Times New Roman"/>
          <w:color w:val="auto"/>
          <w:lang w:eastAsia="zh-CN"/>
        </w:rPr>
        <w:t xml:space="preserve">.1 </w:t>
      </w:r>
      <w:bookmarkEnd w:id="2419"/>
      <w:bookmarkEnd w:id="2420"/>
      <w:bookmarkEnd w:id="2421"/>
      <w:r>
        <w:rPr>
          <w:rFonts w:cs="Times New Roman"/>
          <w:color w:val="auto"/>
          <w:lang w:eastAsia="zh-CN"/>
        </w:rPr>
        <w:t>本项目废水水质及水量</w:t>
      </w:r>
    </w:p>
    <w:p w14:paraId="2EC96907">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本工程实施后产生的废水主要为</w:t>
      </w:r>
      <w:r>
        <w:rPr>
          <w:rFonts w:hint="eastAsia" w:ascii="Times New Roman" w:hAnsi="Times New Roman" w:cs="Times New Roman"/>
          <w:color w:val="auto"/>
          <w:szCs w:val="24"/>
          <w:lang w:eastAsia="zh-CN"/>
        </w:rPr>
        <w:t>碱</w:t>
      </w:r>
      <w:r>
        <w:rPr>
          <w:rFonts w:ascii="Times New Roman" w:hAnsi="Times New Roman" w:cs="Times New Roman"/>
          <w:color w:val="auto"/>
          <w:szCs w:val="24"/>
          <w:lang w:eastAsia="zh-CN"/>
        </w:rPr>
        <w:t>喷淋塔置换废水、地面清洁废水、循环冷却置换废水</w:t>
      </w:r>
      <w:r>
        <w:rPr>
          <w:rFonts w:hint="eastAsia" w:ascii="Times New Roman" w:hAnsi="Times New Roman" w:cs="Times New Roman"/>
          <w:color w:val="auto"/>
          <w:lang w:eastAsia="zh-CN"/>
        </w:rPr>
        <w:t>、生活污水</w:t>
      </w:r>
      <w:r>
        <w:rPr>
          <w:rFonts w:ascii="Times New Roman" w:hAnsi="Times New Roman" w:cs="Times New Roman"/>
          <w:color w:val="auto"/>
          <w:szCs w:val="24"/>
          <w:lang w:eastAsia="zh-CN"/>
        </w:rPr>
        <w:t>以及初期雨水。</w:t>
      </w:r>
    </w:p>
    <w:p w14:paraId="7FCEFCEB">
      <w:pPr>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碱</w:t>
      </w:r>
      <w:r>
        <w:rPr>
          <w:rFonts w:ascii="Times New Roman" w:hAnsi="Times New Roman" w:cs="Times New Roman"/>
          <w:color w:val="auto"/>
          <w:lang w:eastAsia="zh-CN"/>
        </w:rPr>
        <w:t>喷淋塔置换废水、地面清洁废水</w:t>
      </w:r>
      <w:r>
        <w:rPr>
          <w:rFonts w:hint="eastAsia" w:ascii="Times New Roman" w:hAnsi="Times New Roman" w:cs="Times New Roman"/>
          <w:color w:val="auto"/>
          <w:lang w:eastAsia="zh-CN"/>
        </w:rPr>
        <w:t>依托现有厂区</w:t>
      </w:r>
      <w:r>
        <w:rPr>
          <w:rFonts w:ascii="Times New Roman" w:hAnsi="Times New Roman" w:cs="Times New Roman"/>
          <w:color w:val="auto"/>
          <w:lang w:eastAsia="zh-CN"/>
        </w:rPr>
        <w:t>污水处理站</w:t>
      </w:r>
      <w:r>
        <w:rPr>
          <w:rFonts w:hint="eastAsia" w:ascii="Times New Roman" w:hAnsi="Times New Roman" w:cs="Times New Roman"/>
          <w:color w:val="auto"/>
          <w:lang w:eastAsia="zh-CN"/>
        </w:rPr>
        <w:t>“</w:t>
      </w:r>
      <w:r>
        <w:rPr>
          <w:rFonts w:ascii="Times New Roman" w:hAnsi="Times New Roman" w:cs="Times New Roman"/>
          <w:color w:val="auto"/>
          <w:lang w:eastAsia="zh-CN"/>
        </w:rPr>
        <w:t>四级除氟反应+四级除氟沉淀</w:t>
      </w:r>
      <w:r>
        <w:rPr>
          <w:rFonts w:hint="eastAsia" w:ascii="Times New Roman" w:hAnsi="Times New Roman" w:cs="Times New Roman"/>
          <w:color w:val="auto"/>
          <w:lang w:eastAsia="zh-CN"/>
        </w:rPr>
        <w:t>”</w:t>
      </w:r>
      <w:r>
        <w:rPr>
          <w:rFonts w:ascii="Times New Roman" w:hAnsi="Times New Roman" w:cs="Times New Roman"/>
          <w:color w:val="auto"/>
          <w:lang w:eastAsia="zh-CN"/>
        </w:rPr>
        <w:t>处理后，</w:t>
      </w:r>
      <w:r>
        <w:rPr>
          <w:rFonts w:hint="eastAsia" w:ascii="Times New Roman" w:hAnsi="Times New Roman" w:cs="Times New Roman"/>
          <w:color w:val="auto"/>
          <w:lang w:eastAsia="zh-CN"/>
        </w:rPr>
        <w:t>与</w:t>
      </w:r>
      <w:r>
        <w:rPr>
          <w:rFonts w:ascii="Times New Roman" w:hAnsi="Times New Roman" w:cs="Times New Roman"/>
          <w:color w:val="auto"/>
          <w:lang w:eastAsia="zh-CN"/>
        </w:rPr>
        <w:t>循环冷却置换废水</w:t>
      </w:r>
      <w:r>
        <w:rPr>
          <w:rFonts w:hint="eastAsia" w:ascii="Times New Roman" w:hAnsi="Times New Roman" w:cs="Times New Roman"/>
          <w:color w:val="auto"/>
          <w:lang w:eastAsia="zh-CN"/>
        </w:rPr>
        <w:t>、生活污水一同</w:t>
      </w:r>
      <w:r>
        <w:rPr>
          <w:rFonts w:ascii="Times New Roman" w:hAnsi="Times New Roman" w:cs="Times New Roman"/>
          <w:color w:val="auto"/>
          <w:lang w:eastAsia="zh-CN"/>
        </w:rPr>
        <w:t>排入园区污水管网，进入沫河口污水处理厂处理达标排放。</w:t>
      </w:r>
      <w:r>
        <w:rPr>
          <w:rFonts w:hint="eastAsia" w:ascii="Times New Roman" w:hAnsi="Times New Roman" w:cs="Times New Roman"/>
          <w:color w:val="auto"/>
          <w:lang w:eastAsia="zh-CN"/>
        </w:rPr>
        <w:t>项目废水排放满足</w:t>
      </w:r>
      <w:r>
        <w:rPr>
          <w:rFonts w:ascii="Times New Roman" w:hAnsi="Times New Roman" w:cs="Times New Roman"/>
          <w:color w:val="auto"/>
          <w:lang w:eastAsia="zh-CN"/>
        </w:rPr>
        <w:t>沫河口污水处理厂接管标准以及</w:t>
      </w:r>
      <w:r>
        <w:rPr>
          <w:rFonts w:hint="eastAsia" w:ascii="Times New Roman" w:hAnsi="Times New Roman" w:cs="Times New Roman"/>
          <w:color w:val="auto"/>
          <w:lang w:eastAsia="zh-CN"/>
        </w:rPr>
        <w:t>《无机化学工业污染物排放标准》（GB31573-2015）、</w:t>
      </w:r>
      <w:r>
        <w:rPr>
          <w:rFonts w:ascii="Times New Roman" w:hAnsi="Times New Roman" w:cs="Times New Roman"/>
          <w:color w:val="auto"/>
          <w:lang w:eastAsia="zh-CN"/>
        </w:rPr>
        <w:t>《电子工业水污染物排放标准》（GB39731-2020）排放限值要求，沫河口污水处理厂尾水</w:t>
      </w:r>
      <w:r>
        <w:rPr>
          <w:rFonts w:hint="eastAsia" w:ascii="Times New Roman" w:hAnsi="Times New Roman" w:cs="Times New Roman"/>
          <w:color w:val="auto"/>
          <w:lang w:eastAsia="zh-CN"/>
        </w:rPr>
        <w:t>处理</w:t>
      </w:r>
      <w:r>
        <w:rPr>
          <w:rFonts w:ascii="Times New Roman" w:hAnsi="Times New Roman" w:cs="Times New Roman"/>
          <w:color w:val="auto"/>
          <w:lang w:eastAsia="zh-CN"/>
        </w:rPr>
        <w:t>达到《城镇污水处理厂污染物排放标准》（GB18918-2002）中一级 A 标准后，排入</w:t>
      </w:r>
      <w:r>
        <w:rPr>
          <w:rFonts w:ascii="Times New Roman" w:hAnsi="Times New Roman" w:cs="Times New Roman"/>
          <w:color w:val="auto"/>
          <w:szCs w:val="24"/>
          <w:lang w:eastAsia="zh-CN"/>
        </w:rPr>
        <w:t>三铺大沟</w:t>
      </w:r>
      <w:r>
        <w:rPr>
          <w:rFonts w:ascii="Times New Roman" w:hAnsi="Times New Roman" w:cs="Times New Roman"/>
          <w:color w:val="auto"/>
          <w:lang w:eastAsia="zh-CN"/>
        </w:rPr>
        <w:t>，最终汇入淮河</w:t>
      </w:r>
      <w:r>
        <w:rPr>
          <w:rFonts w:ascii="Times New Roman" w:hAnsi="Times New Roman" w:cs="Times New Roman"/>
          <w:color w:val="auto"/>
          <w:szCs w:val="24"/>
          <w:lang w:eastAsia="zh-CN"/>
        </w:rPr>
        <w:t>。</w:t>
      </w:r>
    </w:p>
    <w:p w14:paraId="134EB10F">
      <w:pPr>
        <w:spacing w:line="360" w:lineRule="auto"/>
        <w:jc w:val="center"/>
        <w:rPr>
          <w:rFonts w:ascii="Times New Roman" w:hAnsi="Times New Roman" w:cs="Times New Roman"/>
          <w:b/>
          <w:bCs/>
          <w:color w:val="auto"/>
          <w:szCs w:val="24"/>
        </w:rPr>
      </w:pPr>
      <w:r>
        <w:rPr>
          <w:rFonts w:ascii="Times New Roman" w:hAnsi="Times New Roman" w:cs="Times New Roman"/>
          <w:b/>
          <w:bCs/>
          <w:color w:val="auto"/>
          <w:szCs w:val="24"/>
        </w:rPr>
        <w:t>表</w:t>
      </w:r>
      <w:r>
        <w:rPr>
          <w:rFonts w:ascii="Times New Roman" w:hAnsi="Times New Roman" w:cs="Times New Roman"/>
          <w:b/>
          <w:bCs/>
          <w:color w:val="auto"/>
          <w:szCs w:val="24"/>
          <w:lang w:eastAsia="zh-CN"/>
        </w:rPr>
        <w:t>8</w:t>
      </w:r>
      <w:r>
        <w:rPr>
          <w:rFonts w:ascii="Times New Roman" w:hAnsi="Times New Roman" w:cs="Times New Roman"/>
          <w:b/>
          <w:bCs/>
          <w:color w:val="auto"/>
          <w:szCs w:val="24"/>
        </w:rPr>
        <w:t>.2-</w:t>
      </w:r>
      <w:r>
        <w:rPr>
          <w:rFonts w:hint="eastAsia" w:ascii="Times New Roman" w:hAnsi="Times New Roman" w:cs="Times New Roman"/>
          <w:b/>
          <w:bCs/>
          <w:color w:val="auto"/>
          <w:szCs w:val="24"/>
          <w:lang w:eastAsia="zh-CN"/>
        </w:rPr>
        <w:t>3</w:t>
      </w:r>
      <w:r>
        <w:rPr>
          <w:rFonts w:ascii="Times New Roman" w:hAnsi="Times New Roman" w:cs="Times New Roman"/>
          <w:b/>
          <w:bCs/>
          <w:color w:val="auto"/>
          <w:szCs w:val="24"/>
        </w:rPr>
        <w:t xml:space="preserve"> 本项目废水源强</w:t>
      </w:r>
    </w:p>
    <w:tbl>
      <w:tblPr>
        <w:tblStyle w:val="35"/>
        <w:tblW w:w="4982"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126"/>
        <w:gridCol w:w="1702"/>
        <w:gridCol w:w="5776"/>
      </w:tblGrid>
      <w:tr w14:paraId="5D05118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107" w:type="pct"/>
            <w:vAlign w:val="center"/>
          </w:tcPr>
          <w:p w14:paraId="4CEB5102">
            <w:pPr>
              <w:adjustRightInd w:val="0"/>
              <w:snapToGrid w:val="0"/>
              <w:jc w:val="center"/>
              <w:rPr>
                <w:rFonts w:ascii="Times New Roman" w:hAnsi="Times New Roman" w:cs="Times New Roman"/>
                <w:b/>
                <w:color w:val="000000" w:themeColor="text1"/>
                <w:sz w:val="21"/>
                <w:lang w:eastAsia="zh-CN"/>
                <w14:textFill>
                  <w14:solidFill>
                    <w14:schemeClr w14:val="tx1"/>
                  </w14:solidFill>
                </w14:textFill>
              </w:rPr>
            </w:pPr>
            <w:bookmarkStart w:id="2422" w:name="_Toc133214604"/>
            <w:bookmarkStart w:id="2423" w:name="_Toc133333761"/>
            <w:r>
              <w:rPr>
                <w:rFonts w:ascii="Times New Roman" w:hAnsi="Times New Roman" w:cs="Times New Roman"/>
                <w:b/>
                <w:color w:val="000000" w:themeColor="text1"/>
                <w:sz w:val="21"/>
                <w14:textFill>
                  <w14:solidFill>
                    <w14:schemeClr w14:val="tx1"/>
                  </w14:solidFill>
                </w14:textFill>
              </w:rPr>
              <w:t>废水</w:t>
            </w:r>
            <w:r>
              <w:rPr>
                <w:rFonts w:ascii="Times New Roman" w:hAnsi="Times New Roman" w:cs="Times New Roman"/>
                <w:b/>
                <w:color w:val="000000" w:themeColor="text1"/>
                <w:sz w:val="21"/>
                <w:lang w:eastAsia="zh-CN"/>
                <w14:textFill>
                  <w14:solidFill>
                    <w14:schemeClr w14:val="tx1"/>
                  </w14:solidFill>
                </w14:textFill>
              </w:rPr>
              <w:t>名称</w:t>
            </w:r>
          </w:p>
        </w:tc>
        <w:tc>
          <w:tcPr>
            <w:tcW w:w="886" w:type="pct"/>
            <w:vAlign w:val="center"/>
          </w:tcPr>
          <w:p w14:paraId="7A8F9B48">
            <w:pPr>
              <w:adjustRightInd w:val="0"/>
              <w:snapToGrid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废水量</w:t>
            </w:r>
            <w:r>
              <w:rPr>
                <w:rFonts w:ascii="Times New Roman" w:hAnsi="Times New Roman" w:cs="Times New Roman"/>
                <w:b/>
                <w:color w:val="000000" w:themeColor="text1"/>
                <w:sz w:val="21"/>
                <w:lang w:eastAsia="zh-CN"/>
                <w14:textFill>
                  <w14:solidFill>
                    <w14:schemeClr w14:val="tx1"/>
                  </w14:solidFill>
                </w14:textFill>
              </w:rPr>
              <w:t>（</w:t>
            </w:r>
            <w:r>
              <w:rPr>
                <w:rFonts w:ascii="Times New Roman" w:hAnsi="Times New Roman" w:cs="Times New Roman"/>
                <w:b/>
                <w:bCs/>
                <w:color w:val="000000" w:themeColor="text1"/>
                <w:sz w:val="21"/>
                <w14:textFill>
                  <w14:solidFill>
                    <w14:schemeClr w14:val="tx1"/>
                  </w14:solidFill>
                </w14:textFill>
              </w:rPr>
              <w:t>m</w:t>
            </w:r>
            <w:r>
              <w:rPr>
                <w:rFonts w:ascii="Times New Roman" w:hAnsi="Times New Roman" w:cs="Times New Roman"/>
                <w:b/>
                <w:bCs/>
                <w:color w:val="000000" w:themeColor="text1"/>
                <w:sz w:val="21"/>
                <w:vertAlign w:val="superscript"/>
                <w14:textFill>
                  <w14:solidFill>
                    <w14:schemeClr w14:val="tx1"/>
                  </w14:solidFill>
                </w14:textFill>
              </w:rPr>
              <w:t>3</w:t>
            </w:r>
            <w:r>
              <w:rPr>
                <w:rFonts w:ascii="Times New Roman" w:hAnsi="Times New Roman" w:cs="Times New Roman"/>
                <w:b/>
                <w:bCs/>
                <w:color w:val="000000" w:themeColor="text1"/>
                <w:sz w:val="21"/>
                <w14:textFill>
                  <w14:solidFill>
                    <w14:schemeClr w14:val="tx1"/>
                  </w14:solidFill>
                </w14:textFill>
              </w:rPr>
              <w:t>/</w:t>
            </w:r>
            <w:r>
              <w:rPr>
                <w:rFonts w:ascii="Times New Roman" w:hAnsi="Times New Roman" w:cs="Times New Roman"/>
                <w:b/>
                <w:bCs/>
                <w:color w:val="000000" w:themeColor="text1"/>
                <w:sz w:val="21"/>
                <w:lang w:eastAsia="zh-CN"/>
                <w14:textFill>
                  <w14:solidFill>
                    <w14:schemeClr w14:val="tx1"/>
                  </w14:solidFill>
                </w14:textFill>
              </w:rPr>
              <w:t>a</w:t>
            </w:r>
            <w:r>
              <w:rPr>
                <w:rFonts w:ascii="Times New Roman" w:hAnsi="Times New Roman" w:cs="Times New Roman"/>
                <w:b/>
                <w:color w:val="000000" w:themeColor="text1"/>
                <w:sz w:val="21"/>
                <w:lang w:eastAsia="zh-CN"/>
                <w14:textFill>
                  <w14:solidFill>
                    <w14:schemeClr w14:val="tx1"/>
                  </w14:solidFill>
                </w14:textFill>
              </w:rPr>
              <w:t>）</w:t>
            </w:r>
          </w:p>
        </w:tc>
        <w:tc>
          <w:tcPr>
            <w:tcW w:w="3007" w:type="pct"/>
            <w:vAlign w:val="center"/>
          </w:tcPr>
          <w:p w14:paraId="72450606">
            <w:pPr>
              <w:adjustRightInd w:val="0"/>
              <w:snapToGrid w:val="0"/>
              <w:jc w:val="center"/>
              <w:rPr>
                <w:rFonts w:ascii="Times New Roman" w:hAnsi="Times New Roman" w:cs="Times New Roman"/>
                <w:b/>
                <w:color w:val="000000" w:themeColor="text1"/>
                <w:sz w:val="21"/>
                <w:lang w:eastAsia="zh-CN"/>
                <w14:textFill>
                  <w14:solidFill>
                    <w14:schemeClr w14:val="tx1"/>
                  </w14:solidFill>
                </w14:textFill>
              </w:rPr>
            </w:pPr>
            <w:r>
              <w:rPr>
                <w:rFonts w:ascii="Times New Roman" w:hAnsi="Times New Roman" w:cs="Times New Roman"/>
                <w:b/>
                <w:color w:val="000000" w:themeColor="text1"/>
                <w:sz w:val="21"/>
                <w:lang w:eastAsia="zh-CN"/>
                <w14:textFill>
                  <w14:solidFill>
                    <w14:schemeClr w14:val="tx1"/>
                  </w14:solidFill>
                </w14:textFill>
              </w:rPr>
              <w:t>水质（mg/L）</w:t>
            </w:r>
          </w:p>
        </w:tc>
      </w:tr>
      <w:tr w14:paraId="1159B8E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107" w:type="pct"/>
            <w:vAlign w:val="center"/>
          </w:tcPr>
          <w:p w14:paraId="267E8A44">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地面清洁废水</w:t>
            </w:r>
          </w:p>
        </w:tc>
        <w:tc>
          <w:tcPr>
            <w:tcW w:w="886" w:type="pct"/>
            <w:vAlign w:val="center"/>
          </w:tcPr>
          <w:p w14:paraId="5F8B0FD8">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646.8</w:t>
            </w:r>
          </w:p>
        </w:tc>
        <w:tc>
          <w:tcPr>
            <w:tcW w:w="3007" w:type="pct"/>
            <w:vAlign w:val="center"/>
          </w:tcPr>
          <w:p w14:paraId="74EBB3B2">
            <w:pPr>
              <w:pStyle w:val="81"/>
              <w:adjustRightInd w:val="0"/>
              <w:snapToGrid w:val="0"/>
              <w:jc w:val="center"/>
              <w:rPr>
                <w:rFonts w:ascii="Times New Roman" w:hAnsi="Times New Roman" w:eastAsia="宋体" w:cs="Times New Roman"/>
                <w:color w:val="000000" w:themeColor="text1"/>
                <w:sz w:val="21"/>
                <w:szCs w:val="21"/>
                <w:lang w:eastAsia="zh-CN"/>
                <w14:textFill>
                  <w14:solidFill>
                    <w14:schemeClr w14:val="tx1"/>
                  </w14:solidFill>
                </w14:textFill>
              </w:rPr>
            </w:pPr>
            <w:r>
              <w:rPr>
                <w:rFonts w:ascii="Times New Roman" w:hAnsi="Times New Roman" w:eastAsia="宋体" w:cs="Times New Roman"/>
                <w:color w:val="000000" w:themeColor="text1"/>
                <w:sz w:val="21"/>
                <w:szCs w:val="21"/>
                <w:lang w:eastAsia="zh-CN"/>
                <w14:textFill>
                  <w14:solidFill>
                    <w14:schemeClr w14:val="tx1"/>
                  </w14:solidFill>
                </w14:textFill>
              </w:rPr>
              <w:t>COD</w:t>
            </w:r>
            <w:r>
              <w:rPr>
                <w:rFonts w:ascii="Times New Roman" w:hAnsi="Times New Roman" w:eastAsia="宋体" w:cs="Times New Roman"/>
                <w:color w:val="000000" w:themeColor="text1"/>
                <w:spacing w:val="-2"/>
                <w:sz w:val="21"/>
                <w:szCs w:val="21"/>
                <w:lang w:eastAsia="zh-CN"/>
                <w14:textFill>
                  <w14:solidFill>
                    <w14:schemeClr w14:val="tx1"/>
                  </w14:solidFill>
                </w14:textFill>
              </w:rPr>
              <w:t>：</w:t>
            </w:r>
            <w:r>
              <w:rPr>
                <w:rFonts w:ascii="Times New Roman" w:hAnsi="Times New Roman" w:eastAsia="宋体" w:cs="Times New Roman"/>
                <w:color w:val="000000" w:themeColor="text1"/>
                <w:sz w:val="21"/>
                <w:szCs w:val="21"/>
                <w:lang w:eastAsia="zh-CN"/>
                <w14:textFill>
                  <w14:solidFill>
                    <w14:schemeClr w14:val="tx1"/>
                  </w14:solidFill>
                </w14:textFill>
              </w:rPr>
              <w:t>300；</w:t>
            </w:r>
            <w:r>
              <w:rPr>
                <w:rFonts w:ascii="Times New Roman" w:hAnsi="Times New Roman" w:eastAsia="宋体" w:cs="Times New Roman"/>
                <w:color w:val="000000" w:themeColor="text1"/>
                <w:sz w:val="21"/>
                <w:szCs w:val="21"/>
                <w:lang w:eastAsia="zh-CN" w:bidi="ar"/>
                <w14:textFill>
                  <w14:solidFill>
                    <w14:schemeClr w14:val="tx1"/>
                  </w14:solidFill>
                </w14:textFill>
              </w:rPr>
              <w:t>BOD</w:t>
            </w:r>
            <w:r>
              <w:rPr>
                <w:rFonts w:ascii="Times New Roman" w:hAnsi="Times New Roman" w:eastAsia="宋体" w:cs="Times New Roman"/>
                <w:color w:val="000000" w:themeColor="text1"/>
                <w:sz w:val="21"/>
                <w:szCs w:val="21"/>
                <w:vertAlign w:val="subscript"/>
                <w:lang w:eastAsia="zh-CN" w:bidi="ar"/>
                <w14:textFill>
                  <w14:solidFill>
                    <w14:schemeClr w14:val="tx1"/>
                  </w14:solidFill>
                </w14:textFill>
              </w:rPr>
              <w:t>5</w:t>
            </w:r>
            <w:r>
              <w:rPr>
                <w:rFonts w:ascii="Times New Roman" w:hAnsi="Times New Roman" w:eastAsia="宋体" w:cs="Times New Roman"/>
                <w:color w:val="000000" w:themeColor="text1"/>
                <w:sz w:val="21"/>
                <w:szCs w:val="21"/>
                <w:lang w:eastAsia="zh-CN" w:bidi="ar"/>
                <w14:textFill>
                  <w14:solidFill>
                    <w14:schemeClr w14:val="tx1"/>
                  </w14:solidFill>
                </w14:textFill>
              </w:rPr>
              <w:t>：250；</w:t>
            </w:r>
            <w:r>
              <w:rPr>
                <w:rFonts w:ascii="Times New Roman" w:hAnsi="Times New Roman" w:eastAsia="宋体" w:cs="Times New Roman"/>
                <w:color w:val="000000" w:themeColor="text1"/>
                <w:sz w:val="21"/>
                <w:szCs w:val="21"/>
                <w:lang w:eastAsia="zh-CN"/>
                <w14:textFill>
                  <w14:solidFill>
                    <w14:schemeClr w14:val="tx1"/>
                  </w14:solidFill>
                </w14:textFill>
              </w:rPr>
              <w:t>SS</w:t>
            </w:r>
            <w:r>
              <w:rPr>
                <w:rFonts w:ascii="Times New Roman" w:hAnsi="Times New Roman" w:eastAsia="宋体" w:cs="Times New Roman"/>
                <w:color w:val="000000" w:themeColor="text1"/>
                <w:spacing w:val="-2"/>
                <w:sz w:val="21"/>
                <w:szCs w:val="21"/>
                <w:lang w:eastAsia="zh-CN"/>
                <w14:textFill>
                  <w14:solidFill>
                    <w14:schemeClr w14:val="tx1"/>
                  </w14:solidFill>
                </w14:textFill>
              </w:rPr>
              <w:t>：</w:t>
            </w:r>
            <w:r>
              <w:rPr>
                <w:rFonts w:hint="eastAsia" w:ascii="Times New Roman" w:hAnsi="Times New Roman" w:eastAsia="宋体" w:cs="Times New Roman"/>
                <w:color w:val="000000" w:themeColor="text1"/>
                <w:spacing w:val="-2"/>
                <w:sz w:val="21"/>
                <w:szCs w:val="21"/>
                <w:lang w:eastAsia="zh-CN"/>
                <w14:textFill>
                  <w14:solidFill>
                    <w14:schemeClr w14:val="tx1"/>
                  </w14:solidFill>
                </w14:textFill>
              </w:rPr>
              <w:t>3</w:t>
            </w:r>
            <w:r>
              <w:rPr>
                <w:rFonts w:ascii="Times New Roman" w:hAnsi="Times New Roman" w:eastAsia="宋体" w:cs="Times New Roman"/>
                <w:color w:val="000000" w:themeColor="text1"/>
                <w:sz w:val="21"/>
                <w:szCs w:val="21"/>
                <w:lang w:eastAsia="zh-CN"/>
                <w14:textFill>
                  <w14:solidFill>
                    <w14:schemeClr w14:val="tx1"/>
                  </w14:solidFill>
                </w14:textFill>
              </w:rPr>
              <w:t>00；</w:t>
            </w:r>
            <w:r>
              <w:rPr>
                <w:rFonts w:ascii="Times New Roman" w:hAnsi="Times New Roman" w:eastAsia="宋体" w:cs="Times New Roman"/>
                <w:color w:val="000000" w:themeColor="text1"/>
                <w:sz w:val="21"/>
                <w:lang w:eastAsia="zh-CN"/>
                <w14:textFill>
                  <w14:solidFill>
                    <w14:schemeClr w14:val="tx1"/>
                  </w14:solidFill>
                </w14:textFill>
              </w:rPr>
              <w:t>NH</w:t>
            </w:r>
            <w:r>
              <w:rPr>
                <w:rFonts w:ascii="Times New Roman" w:hAnsi="Times New Roman" w:eastAsia="宋体" w:cs="Times New Roman"/>
                <w:color w:val="000000" w:themeColor="text1"/>
                <w:sz w:val="21"/>
                <w:vertAlign w:val="subscript"/>
                <w:lang w:eastAsia="zh-CN"/>
                <w14:textFill>
                  <w14:solidFill>
                    <w14:schemeClr w14:val="tx1"/>
                  </w14:solidFill>
                </w14:textFill>
              </w:rPr>
              <w:t>3</w:t>
            </w:r>
            <w:r>
              <w:rPr>
                <w:rFonts w:ascii="Times New Roman" w:hAnsi="Times New Roman" w:eastAsia="宋体" w:cs="Times New Roman"/>
                <w:color w:val="000000" w:themeColor="text1"/>
                <w:sz w:val="21"/>
                <w:lang w:eastAsia="zh-CN"/>
                <w14:textFill>
                  <w14:solidFill>
                    <w14:schemeClr w14:val="tx1"/>
                  </w14:solidFill>
                </w14:textFill>
              </w:rPr>
              <w:t>-N</w:t>
            </w:r>
            <w:r>
              <w:rPr>
                <w:rFonts w:ascii="Times New Roman" w:hAnsi="Times New Roman" w:eastAsia="宋体" w:cs="Times New Roman"/>
                <w:color w:val="000000" w:themeColor="text1"/>
                <w:spacing w:val="-2"/>
                <w:sz w:val="21"/>
                <w:lang w:eastAsia="zh-CN"/>
                <w14:textFill>
                  <w14:solidFill>
                    <w14:schemeClr w14:val="tx1"/>
                  </w14:solidFill>
                </w14:textFill>
              </w:rPr>
              <w:t>：</w:t>
            </w:r>
            <w:r>
              <w:rPr>
                <w:rFonts w:ascii="Times New Roman" w:hAnsi="Times New Roman" w:eastAsia="宋体" w:cs="Times New Roman"/>
                <w:color w:val="000000" w:themeColor="text1"/>
                <w:sz w:val="21"/>
                <w:lang w:eastAsia="zh-CN"/>
                <w14:textFill>
                  <w14:solidFill>
                    <w14:schemeClr w14:val="tx1"/>
                  </w14:solidFill>
                </w14:textFill>
              </w:rPr>
              <w:t>20；氟化物：30；</w:t>
            </w:r>
            <w:r>
              <w:rPr>
                <w:rFonts w:ascii="Times New Roman" w:hAnsi="Times New Roman" w:eastAsia="宋体" w:cs="Times New Roman"/>
                <w:color w:val="000000" w:themeColor="text1"/>
                <w:sz w:val="21"/>
                <w:szCs w:val="21"/>
                <w:lang w:eastAsia="zh-CN"/>
                <w14:textFill>
                  <w14:solidFill>
                    <w14:schemeClr w14:val="tx1"/>
                  </w14:solidFill>
                </w14:textFill>
              </w:rPr>
              <w:t>氯化物</w:t>
            </w:r>
            <w:r>
              <w:rPr>
                <w:rFonts w:ascii="Times New Roman" w:hAnsi="Times New Roman" w:eastAsia="宋体" w:cs="Times New Roman"/>
                <w:color w:val="000000" w:themeColor="text1"/>
                <w:spacing w:val="-2"/>
                <w:sz w:val="21"/>
                <w:szCs w:val="21"/>
                <w:lang w:eastAsia="zh-CN"/>
                <w14:textFill>
                  <w14:solidFill>
                    <w14:schemeClr w14:val="tx1"/>
                  </w14:solidFill>
                </w14:textFill>
              </w:rPr>
              <w:t>：2</w:t>
            </w:r>
            <w:r>
              <w:rPr>
                <w:rFonts w:ascii="Times New Roman" w:hAnsi="Times New Roman" w:eastAsia="宋体" w:cs="Times New Roman"/>
                <w:color w:val="000000" w:themeColor="text1"/>
                <w:sz w:val="21"/>
                <w:szCs w:val="21"/>
                <w:lang w:eastAsia="zh-CN"/>
                <w14:textFill>
                  <w14:solidFill>
                    <w14:schemeClr w14:val="tx1"/>
                  </w14:solidFill>
                </w14:textFill>
              </w:rPr>
              <w:t>0；总盐</w:t>
            </w:r>
            <w:r>
              <w:rPr>
                <w:rFonts w:ascii="Times New Roman" w:hAnsi="Times New Roman" w:eastAsia="宋体" w:cs="Times New Roman"/>
                <w:color w:val="000000" w:themeColor="text1"/>
                <w:spacing w:val="-2"/>
                <w:sz w:val="21"/>
                <w:szCs w:val="21"/>
                <w:lang w:eastAsia="zh-CN"/>
                <w14:textFill>
                  <w14:solidFill>
                    <w14:schemeClr w14:val="tx1"/>
                  </w14:solidFill>
                </w14:textFill>
              </w:rPr>
              <w:t>：</w:t>
            </w:r>
            <w:r>
              <w:rPr>
                <w:rFonts w:hint="eastAsia" w:ascii="Times New Roman" w:hAnsi="Times New Roman" w:eastAsia="宋体" w:cs="Times New Roman"/>
                <w:color w:val="000000" w:themeColor="text1"/>
                <w:spacing w:val="-2"/>
                <w:sz w:val="21"/>
                <w:szCs w:val="21"/>
                <w:lang w:eastAsia="zh-CN"/>
                <w14:textFill>
                  <w14:solidFill>
                    <w14:schemeClr w14:val="tx1"/>
                  </w14:solidFill>
                </w14:textFill>
              </w:rPr>
              <w:t>100</w:t>
            </w:r>
            <w:r>
              <w:rPr>
                <w:rFonts w:ascii="Times New Roman" w:hAnsi="Times New Roman" w:eastAsia="宋体" w:cs="Times New Roman"/>
                <w:color w:val="000000" w:themeColor="text1"/>
                <w:sz w:val="21"/>
                <w:szCs w:val="21"/>
                <w:lang w:eastAsia="zh-CN"/>
                <w14:textFill>
                  <w14:solidFill>
                    <w14:schemeClr w14:val="tx1"/>
                  </w14:solidFill>
                </w14:textFill>
              </w:rPr>
              <w:t>；</w:t>
            </w:r>
          </w:p>
        </w:tc>
      </w:tr>
      <w:tr w14:paraId="5F5F771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107" w:type="pct"/>
            <w:vAlign w:val="center"/>
          </w:tcPr>
          <w:p w14:paraId="3A16B4CE">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碱</w:t>
            </w:r>
            <w:r>
              <w:rPr>
                <w:rFonts w:ascii="Times New Roman" w:hAnsi="Times New Roman" w:cs="Times New Roman"/>
                <w:color w:val="000000" w:themeColor="text1"/>
                <w:sz w:val="21"/>
                <w:lang w:eastAsia="zh-CN"/>
                <w14:textFill>
                  <w14:solidFill>
                    <w14:schemeClr w14:val="tx1"/>
                  </w14:solidFill>
                </w14:textFill>
              </w:rPr>
              <w:t>喷淋塔置换废水</w:t>
            </w:r>
          </w:p>
        </w:tc>
        <w:tc>
          <w:tcPr>
            <w:tcW w:w="886" w:type="pct"/>
            <w:vAlign w:val="center"/>
          </w:tcPr>
          <w:p w14:paraId="14232299">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9900</w:t>
            </w:r>
          </w:p>
        </w:tc>
        <w:tc>
          <w:tcPr>
            <w:tcW w:w="3007" w:type="pct"/>
            <w:vAlign w:val="center"/>
          </w:tcPr>
          <w:p w14:paraId="22F3004E">
            <w:pPr>
              <w:pStyle w:val="81"/>
              <w:adjustRightInd w:val="0"/>
              <w:snapToGrid w:val="0"/>
              <w:jc w:val="center"/>
              <w:rPr>
                <w:rFonts w:ascii="Times New Roman" w:hAnsi="Times New Roman" w:eastAsia="宋体" w:cs="Times New Roman"/>
                <w:color w:val="000000" w:themeColor="text1"/>
                <w:sz w:val="21"/>
                <w:szCs w:val="21"/>
                <w:lang w:eastAsia="zh-CN" w:bidi="ar"/>
                <w14:textFill>
                  <w14:solidFill>
                    <w14:schemeClr w14:val="tx1"/>
                  </w14:solidFill>
                </w14:textFill>
              </w:rPr>
            </w:pPr>
            <w:r>
              <w:rPr>
                <w:rFonts w:ascii="Times New Roman" w:hAnsi="Times New Roman" w:eastAsia="宋体" w:cs="Times New Roman"/>
                <w:color w:val="000000" w:themeColor="text1"/>
                <w:sz w:val="21"/>
                <w:szCs w:val="21"/>
                <w:lang w:eastAsia="zh-CN" w:bidi="ar"/>
                <w14:textFill>
                  <w14:solidFill>
                    <w14:schemeClr w14:val="tx1"/>
                  </w14:solidFill>
                </w14:textFill>
              </w:rPr>
              <w:t>COD：</w:t>
            </w:r>
            <w:r>
              <w:rPr>
                <w:rFonts w:hint="eastAsia" w:ascii="Times New Roman" w:hAnsi="Times New Roman" w:eastAsia="宋体" w:cs="Times New Roman"/>
                <w:color w:val="000000" w:themeColor="text1"/>
                <w:sz w:val="21"/>
                <w:szCs w:val="21"/>
                <w:lang w:eastAsia="zh-CN" w:bidi="ar"/>
                <w14:textFill>
                  <w14:solidFill>
                    <w14:schemeClr w14:val="tx1"/>
                  </w14:solidFill>
                </w14:textFill>
              </w:rPr>
              <w:t>150</w:t>
            </w:r>
            <w:r>
              <w:rPr>
                <w:rFonts w:ascii="Times New Roman" w:hAnsi="Times New Roman" w:eastAsia="宋体" w:cs="Times New Roman"/>
                <w:color w:val="000000" w:themeColor="text1"/>
                <w:sz w:val="21"/>
                <w:szCs w:val="21"/>
                <w:lang w:eastAsia="zh-CN" w:bidi="ar"/>
                <w14:textFill>
                  <w14:solidFill>
                    <w14:schemeClr w14:val="tx1"/>
                  </w14:solidFill>
                </w14:textFill>
              </w:rPr>
              <w:t>； BOD</w:t>
            </w:r>
            <w:r>
              <w:rPr>
                <w:rFonts w:ascii="Times New Roman" w:hAnsi="Times New Roman" w:eastAsia="宋体" w:cs="Times New Roman"/>
                <w:color w:val="000000" w:themeColor="text1"/>
                <w:sz w:val="21"/>
                <w:szCs w:val="21"/>
                <w:vertAlign w:val="subscript"/>
                <w:lang w:eastAsia="zh-CN" w:bidi="ar"/>
                <w14:textFill>
                  <w14:solidFill>
                    <w14:schemeClr w14:val="tx1"/>
                  </w14:solidFill>
                </w14:textFill>
              </w:rPr>
              <w:t>5</w:t>
            </w:r>
            <w:r>
              <w:rPr>
                <w:rFonts w:ascii="Times New Roman" w:hAnsi="Times New Roman" w:eastAsia="宋体" w:cs="Times New Roman"/>
                <w:color w:val="000000" w:themeColor="text1"/>
                <w:sz w:val="21"/>
                <w:szCs w:val="21"/>
                <w:lang w:eastAsia="zh-CN" w:bidi="ar"/>
                <w14:textFill>
                  <w14:solidFill>
                    <w14:schemeClr w14:val="tx1"/>
                  </w14:solidFill>
                </w14:textFill>
              </w:rPr>
              <w:t>：</w:t>
            </w:r>
            <w:r>
              <w:rPr>
                <w:rFonts w:hint="eastAsia" w:ascii="Times New Roman" w:hAnsi="Times New Roman" w:eastAsia="宋体" w:cs="Times New Roman"/>
                <w:color w:val="000000" w:themeColor="text1"/>
                <w:sz w:val="21"/>
                <w:szCs w:val="21"/>
                <w:lang w:eastAsia="zh-CN" w:bidi="ar"/>
                <w14:textFill>
                  <w14:solidFill>
                    <w14:schemeClr w14:val="tx1"/>
                  </w14:solidFill>
                </w14:textFill>
              </w:rPr>
              <w:t>70</w:t>
            </w:r>
            <w:r>
              <w:rPr>
                <w:rFonts w:ascii="Times New Roman" w:hAnsi="Times New Roman" w:eastAsia="宋体" w:cs="Times New Roman"/>
                <w:color w:val="000000" w:themeColor="text1"/>
                <w:sz w:val="21"/>
                <w:szCs w:val="21"/>
                <w:lang w:eastAsia="zh-CN" w:bidi="ar"/>
                <w14:textFill>
                  <w14:solidFill>
                    <w14:schemeClr w14:val="tx1"/>
                  </w14:solidFill>
                </w14:textFill>
              </w:rPr>
              <w:t>；</w:t>
            </w:r>
            <w:r>
              <w:rPr>
                <w:rFonts w:hint="eastAsia" w:ascii="Times New Roman" w:hAnsi="Times New Roman" w:eastAsia="宋体" w:cs="Times New Roman"/>
                <w:color w:val="000000" w:themeColor="text1"/>
                <w:sz w:val="21"/>
                <w:szCs w:val="21"/>
                <w:lang w:eastAsia="zh-CN" w:bidi="ar"/>
                <w14:textFill>
                  <w14:solidFill>
                    <w14:schemeClr w14:val="tx1"/>
                  </w14:solidFill>
                </w14:textFill>
              </w:rPr>
              <w:t>SS</w:t>
            </w:r>
            <w:r>
              <w:rPr>
                <w:rFonts w:ascii="Times New Roman" w:hAnsi="Times New Roman" w:eastAsia="宋体" w:cs="Times New Roman"/>
                <w:color w:val="000000" w:themeColor="text1"/>
                <w:sz w:val="21"/>
                <w:szCs w:val="21"/>
                <w:lang w:eastAsia="zh-CN" w:bidi="ar"/>
                <w14:textFill>
                  <w14:solidFill>
                    <w14:schemeClr w14:val="tx1"/>
                  </w14:solidFill>
                </w14:textFill>
              </w:rPr>
              <w:t>：</w:t>
            </w:r>
            <w:r>
              <w:rPr>
                <w:rFonts w:hint="eastAsia" w:ascii="Times New Roman" w:hAnsi="Times New Roman" w:eastAsia="宋体" w:cs="Times New Roman"/>
                <w:color w:val="000000" w:themeColor="text1"/>
                <w:sz w:val="21"/>
                <w:szCs w:val="21"/>
                <w:lang w:eastAsia="zh-CN" w:bidi="ar"/>
                <w14:textFill>
                  <w14:solidFill>
                    <w14:schemeClr w14:val="tx1"/>
                  </w14:solidFill>
                </w14:textFill>
              </w:rPr>
              <w:t>70</w:t>
            </w:r>
            <w:r>
              <w:rPr>
                <w:rFonts w:ascii="Times New Roman" w:hAnsi="Times New Roman" w:eastAsia="宋体" w:cs="Times New Roman"/>
                <w:color w:val="000000" w:themeColor="text1"/>
                <w:sz w:val="21"/>
                <w:szCs w:val="21"/>
                <w:lang w:eastAsia="zh-CN" w:bidi="ar"/>
                <w14:textFill>
                  <w14:solidFill>
                    <w14:schemeClr w14:val="tx1"/>
                  </w14:solidFill>
                </w14:textFill>
              </w:rPr>
              <w:t>；</w:t>
            </w:r>
            <w:r>
              <w:rPr>
                <w:rFonts w:ascii="Times New Roman" w:hAnsi="Times New Roman" w:cs="Times New Roman"/>
                <w:color w:val="000000" w:themeColor="text1"/>
                <w:sz w:val="21"/>
                <w:lang w:eastAsia="zh-CN"/>
                <w14:textFill>
                  <w14:solidFill>
                    <w14:schemeClr w14:val="tx1"/>
                  </w14:solidFill>
                </w14:textFill>
              </w:rPr>
              <w:t>NH</w:t>
            </w:r>
            <w:r>
              <w:rPr>
                <w:rFonts w:ascii="Times New Roman" w:hAnsi="Times New Roman" w:cs="Times New Roman"/>
                <w:color w:val="000000" w:themeColor="text1"/>
                <w:sz w:val="21"/>
                <w:vertAlign w:val="subscript"/>
                <w:lang w:eastAsia="zh-CN"/>
                <w14:textFill>
                  <w14:solidFill>
                    <w14:schemeClr w14:val="tx1"/>
                  </w14:solidFill>
                </w14:textFill>
              </w:rPr>
              <w:t>3</w:t>
            </w:r>
            <w:r>
              <w:rPr>
                <w:rFonts w:ascii="Times New Roman" w:hAnsi="Times New Roman" w:cs="Times New Roman"/>
                <w:color w:val="000000" w:themeColor="text1"/>
                <w:sz w:val="21"/>
                <w:lang w:eastAsia="zh-CN"/>
                <w14:textFill>
                  <w14:solidFill>
                    <w14:schemeClr w14:val="tx1"/>
                  </w14:solidFill>
                </w14:textFill>
              </w:rPr>
              <w:t>-N</w:t>
            </w:r>
            <w:r>
              <w:rPr>
                <w:rFonts w:ascii="Times New Roman" w:hAnsi="Times New Roman" w:cs="Times New Roman"/>
                <w:color w:val="000000" w:themeColor="text1"/>
                <w:spacing w:val="-2"/>
                <w:sz w:val="21"/>
                <w:lang w:eastAsia="zh-CN"/>
                <w14:textFill>
                  <w14:solidFill>
                    <w14:schemeClr w14:val="tx1"/>
                  </w14:solidFill>
                </w14:textFill>
              </w:rPr>
              <w:t>：</w:t>
            </w:r>
            <w:r>
              <w:rPr>
                <w:rFonts w:hint="eastAsia" w:ascii="Times New Roman" w:hAnsi="Times New Roman" w:cs="Times New Roman"/>
                <w:color w:val="000000" w:themeColor="text1"/>
                <w:sz w:val="21"/>
                <w:lang w:eastAsia="zh-CN"/>
                <w14:textFill>
                  <w14:solidFill>
                    <w14:schemeClr w14:val="tx1"/>
                  </w14:solidFill>
                </w14:textFill>
              </w:rPr>
              <w:t>20</w:t>
            </w:r>
            <w:r>
              <w:rPr>
                <w:rFonts w:ascii="Times New Roman" w:hAnsi="Times New Roman" w:cs="Times New Roman"/>
                <w:color w:val="000000" w:themeColor="text1"/>
                <w:sz w:val="21"/>
                <w:lang w:eastAsia="zh-CN"/>
                <w14:textFill>
                  <w14:solidFill>
                    <w14:schemeClr w14:val="tx1"/>
                  </w14:solidFill>
                </w14:textFill>
              </w:rPr>
              <w:t>；</w:t>
            </w:r>
            <w:r>
              <w:rPr>
                <w:rFonts w:ascii="Times New Roman" w:hAnsi="Times New Roman" w:eastAsia="宋体" w:cs="Times New Roman"/>
                <w:color w:val="000000" w:themeColor="text1"/>
                <w:sz w:val="21"/>
                <w:lang w:eastAsia="zh-CN"/>
                <w14:textFill>
                  <w14:solidFill>
                    <w14:schemeClr w14:val="tx1"/>
                  </w14:solidFill>
                </w14:textFill>
              </w:rPr>
              <w:t>氟化物：</w:t>
            </w:r>
            <w:r>
              <w:rPr>
                <w:rFonts w:hint="eastAsia" w:ascii="Times New Roman" w:hAnsi="Times New Roman" w:eastAsia="宋体" w:cs="Times New Roman"/>
                <w:color w:val="000000" w:themeColor="text1"/>
                <w:sz w:val="21"/>
                <w:lang w:eastAsia="zh-CN"/>
                <w14:textFill>
                  <w14:solidFill>
                    <w14:schemeClr w14:val="tx1"/>
                  </w14:solidFill>
                </w14:textFill>
              </w:rPr>
              <w:t>883.7</w:t>
            </w:r>
            <w:r>
              <w:rPr>
                <w:rFonts w:ascii="Times New Roman" w:hAnsi="Times New Roman" w:eastAsia="宋体" w:cs="Times New Roman"/>
                <w:color w:val="000000" w:themeColor="text1"/>
                <w:sz w:val="21"/>
                <w:lang w:eastAsia="zh-CN"/>
                <w14:textFill>
                  <w14:solidFill>
                    <w14:schemeClr w14:val="tx1"/>
                  </w14:solidFill>
                </w14:textFill>
              </w:rPr>
              <w:t>；</w:t>
            </w:r>
            <w:r>
              <w:rPr>
                <w:rFonts w:ascii="Times New Roman" w:hAnsi="Times New Roman" w:eastAsia="宋体" w:cs="Times New Roman"/>
                <w:color w:val="000000" w:themeColor="text1"/>
                <w:sz w:val="21"/>
                <w:szCs w:val="21"/>
                <w:lang w:eastAsia="zh-CN"/>
                <w14:textFill>
                  <w14:solidFill>
                    <w14:schemeClr w14:val="tx1"/>
                  </w14:solidFill>
                </w14:textFill>
              </w:rPr>
              <w:t>氯化物</w:t>
            </w:r>
            <w:r>
              <w:rPr>
                <w:rFonts w:ascii="Times New Roman" w:hAnsi="Times New Roman" w:eastAsia="宋体" w:cs="Times New Roman"/>
                <w:color w:val="000000" w:themeColor="text1"/>
                <w:spacing w:val="-2"/>
                <w:sz w:val="21"/>
                <w:szCs w:val="21"/>
                <w:lang w:eastAsia="zh-CN"/>
                <w14:textFill>
                  <w14:solidFill>
                    <w14:schemeClr w14:val="tx1"/>
                  </w14:solidFill>
                </w14:textFill>
              </w:rPr>
              <w:t>：</w:t>
            </w:r>
            <w:r>
              <w:rPr>
                <w:rFonts w:hint="eastAsia" w:ascii="Times New Roman" w:hAnsi="Times New Roman" w:eastAsia="宋体" w:cs="Times New Roman"/>
                <w:color w:val="000000" w:themeColor="text1"/>
                <w:spacing w:val="-2"/>
                <w:sz w:val="21"/>
                <w:szCs w:val="21"/>
                <w:lang w:eastAsia="zh-CN"/>
                <w14:textFill>
                  <w14:solidFill>
                    <w14:schemeClr w14:val="tx1"/>
                  </w14:solidFill>
                </w14:textFill>
              </w:rPr>
              <w:t>46.3</w:t>
            </w:r>
            <w:r>
              <w:rPr>
                <w:rFonts w:ascii="Times New Roman" w:hAnsi="Times New Roman" w:eastAsia="宋体" w:cs="Times New Roman"/>
                <w:color w:val="000000" w:themeColor="text1"/>
                <w:sz w:val="21"/>
                <w:szCs w:val="21"/>
                <w:lang w:eastAsia="zh-CN"/>
                <w14:textFill>
                  <w14:solidFill>
                    <w14:schemeClr w14:val="tx1"/>
                  </w14:solidFill>
                </w14:textFill>
              </w:rPr>
              <w:t>；总盐</w:t>
            </w:r>
            <w:r>
              <w:rPr>
                <w:rFonts w:ascii="Times New Roman" w:hAnsi="Times New Roman" w:eastAsia="宋体" w:cs="Times New Roman"/>
                <w:color w:val="000000" w:themeColor="text1"/>
                <w:spacing w:val="-2"/>
                <w:sz w:val="21"/>
                <w:szCs w:val="21"/>
                <w:lang w:eastAsia="zh-CN"/>
                <w14:textFill>
                  <w14:solidFill>
                    <w14:schemeClr w14:val="tx1"/>
                  </w14:solidFill>
                </w14:textFill>
              </w:rPr>
              <w:t>：</w:t>
            </w:r>
            <w:r>
              <w:rPr>
                <w:rFonts w:hint="eastAsia" w:ascii="Times New Roman" w:hAnsi="Times New Roman" w:eastAsia="宋体" w:cs="Times New Roman"/>
                <w:color w:val="000000" w:themeColor="text1"/>
                <w:spacing w:val="-2"/>
                <w:sz w:val="21"/>
                <w:szCs w:val="21"/>
                <w:lang w:eastAsia="zh-CN"/>
                <w14:textFill>
                  <w14:solidFill>
                    <w14:schemeClr w14:val="tx1"/>
                  </w14:solidFill>
                </w14:textFill>
              </w:rPr>
              <w:t>1919.3</w:t>
            </w:r>
            <w:r>
              <w:rPr>
                <w:rFonts w:ascii="Times New Roman" w:hAnsi="Times New Roman" w:eastAsia="宋体" w:cs="Times New Roman"/>
                <w:color w:val="000000" w:themeColor="text1"/>
                <w:sz w:val="21"/>
                <w:szCs w:val="21"/>
                <w:lang w:eastAsia="zh-CN"/>
                <w14:textFill>
                  <w14:solidFill>
                    <w14:schemeClr w14:val="tx1"/>
                  </w14:solidFill>
                </w14:textFill>
              </w:rPr>
              <w:t>；</w:t>
            </w:r>
          </w:p>
        </w:tc>
      </w:tr>
      <w:tr w14:paraId="67DB711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107" w:type="pct"/>
            <w:vAlign w:val="center"/>
          </w:tcPr>
          <w:p w14:paraId="6C67B2FF">
            <w:pPr>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循环冷却置换</w:t>
            </w:r>
            <w:r>
              <w:rPr>
                <w:rFonts w:ascii="Times New Roman" w:hAnsi="Times New Roman" w:cs="Times New Roman"/>
                <w:color w:val="000000" w:themeColor="text1"/>
                <w:sz w:val="21"/>
                <w:lang w:eastAsia="zh-CN"/>
                <w14:textFill>
                  <w14:solidFill>
                    <w14:schemeClr w14:val="tx1"/>
                  </w14:solidFill>
                </w14:textFill>
              </w:rPr>
              <w:t>废</w:t>
            </w:r>
            <w:r>
              <w:rPr>
                <w:rFonts w:ascii="Times New Roman" w:hAnsi="Times New Roman" w:cs="Times New Roman"/>
                <w:color w:val="000000" w:themeColor="text1"/>
                <w:sz w:val="21"/>
                <w14:textFill>
                  <w14:solidFill>
                    <w14:schemeClr w14:val="tx1"/>
                  </w14:solidFill>
                </w14:textFill>
              </w:rPr>
              <w:t>水</w:t>
            </w:r>
          </w:p>
        </w:tc>
        <w:tc>
          <w:tcPr>
            <w:tcW w:w="886" w:type="pct"/>
            <w:vAlign w:val="center"/>
          </w:tcPr>
          <w:p w14:paraId="614AC916">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24948</w:t>
            </w:r>
          </w:p>
        </w:tc>
        <w:tc>
          <w:tcPr>
            <w:tcW w:w="3007" w:type="pct"/>
            <w:vAlign w:val="center"/>
          </w:tcPr>
          <w:p w14:paraId="0D1132ED">
            <w:pPr>
              <w:adjustRightInd w:val="0"/>
              <w:snapToGrid w:val="0"/>
              <w:jc w:val="center"/>
              <w:rPr>
                <w:rFonts w:ascii="Times New Roman" w:hAnsi="Times New Roman" w:cs="Times New Roman"/>
                <w:color w:val="000000" w:themeColor="text1"/>
                <w:spacing w:val="-2"/>
                <w:sz w:val="21"/>
                <w:lang w:eastAsia="zh-CN"/>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COD</w:t>
            </w:r>
            <w:r>
              <w:rPr>
                <w:rFonts w:ascii="Times New Roman" w:hAnsi="Times New Roman" w:cs="Times New Roman"/>
                <w:color w:val="000000" w:themeColor="text1"/>
                <w:spacing w:val="-2"/>
                <w:sz w:val="21"/>
                <w:lang w:eastAsia="zh-CN"/>
                <w14:textFill>
                  <w14:solidFill>
                    <w14:schemeClr w14:val="tx1"/>
                  </w14:solidFill>
                </w14:textFill>
              </w:rPr>
              <w:t>：</w:t>
            </w:r>
            <w:r>
              <w:rPr>
                <w:rFonts w:hint="eastAsia" w:ascii="Times New Roman" w:hAnsi="Times New Roman" w:cs="Times New Roman"/>
                <w:color w:val="000000" w:themeColor="text1"/>
                <w:sz w:val="21"/>
                <w:lang w:eastAsia="zh-CN"/>
                <w14:textFill>
                  <w14:solidFill>
                    <w14:schemeClr w14:val="tx1"/>
                  </w14:solidFill>
                </w14:textFill>
              </w:rPr>
              <w:t>5</w:t>
            </w:r>
            <w:r>
              <w:rPr>
                <w:rFonts w:ascii="Times New Roman" w:hAnsi="Times New Roman" w:cs="Times New Roman"/>
                <w:color w:val="000000" w:themeColor="text1"/>
                <w:sz w:val="21"/>
                <w14:textFill>
                  <w14:solidFill>
                    <w14:schemeClr w14:val="tx1"/>
                  </w14:solidFill>
                </w14:textFill>
              </w:rPr>
              <w:t>0</w:t>
            </w:r>
            <w:r>
              <w:rPr>
                <w:rFonts w:ascii="Times New Roman" w:hAnsi="Times New Roman" w:cs="Times New Roman"/>
                <w:color w:val="000000" w:themeColor="text1"/>
                <w:sz w:val="21"/>
                <w:lang w:eastAsia="zh-CN" w:bidi="ar"/>
                <w14:textFill>
                  <w14:solidFill>
                    <w14:schemeClr w14:val="tx1"/>
                  </w14:solidFill>
                </w14:textFill>
              </w:rPr>
              <w:t>；</w:t>
            </w:r>
            <w:r>
              <w:rPr>
                <w:rFonts w:ascii="Times New Roman" w:hAnsi="Times New Roman" w:cs="Times New Roman"/>
                <w:color w:val="000000" w:themeColor="text1"/>
                <w:sz w:val="21"/>
                <w14:textFill>
                  <w14:solidFill>
                    <w14:schemeClr w14:val="tx1"/>
                  </w14:solidFill>
                </w14:textFill>
              </w:rPr>
              <w:t>SS</w:t>
            </w:r>
            <w:r>
              <w:rPr>
                <w:rFonts w:ascii="Times New Roman" w:hAnsi="Times New Roman" w:cs="Times New Roman"/>
                <w:color w:val="000000" w:themeColor="text1"/>
                <w:spacing w:val="-2"/>
                <w:sz w:val="21"/>
                <w:lang w:eastAsia="zh-CN"/>
                <w14:textFill>
                  <w14:solidFill>
                    <w14:schemeClr w14:val="tx1"/>
                  </w14:solidFill>
                </w14:textFill>
              </w:rPr>
              <w:t>：</w:t>
            </w:r>
            <w:r>
              <w:rPr>
                <w:rFonts w:hint="eastAsia" w:ascii="Times New Roman" w:hAnsi="Times New Roman" w:cs="Times New Roman"/>
                <w:color w:val="000000" w:themeColor="text1"/>
                <w:spacing w:val="-2"/>
                <w:sz w:val="21"/>
                <w:lang w:eastAsia="zh-CN"/>
                <w14:textFill>
                  <w14:solidFill>
                    <w14:schemeClr w14:val="tx1"/>
                  </w14:solidFill>
                </w14:textFill>
              </w:rPr>
              <w:t>4</w:t>
            </w:r>
            <w:r>
              <w:rPr>
                <w:rFonts w:ascii="Times New Roman" w:hAnsi="Times New Roman" w:cs="Times New Roman"/>
                <w:color w:val="000000" w:themeColor="text1"/>
                <w:sz w:val="21"/>
                <w14:textFill>
                  <w14:solidFill>
                    <w14:schemeClr w14:val="tx1"/>
                  </w14:solidFill>
                </w14:textFill>
              </w:rPr>
              <w:t>0</w:t>
            </w:r>
            <w:r>
              <w:rPr>
                <w:rFonts w:ascii="Times New Roman" w:hAnsi="Times New Roman" w:cs="Times New Roman"/>
                <w:color w:val="000000" w:themeColor="text1"/>
                <w:sz w:val="21"/>
                <w:lang w:eastAsia="zh-CN"/>
                <w14:textFill>
                  <w14:solidFill>
                    <w14:schemeClr w14:val="tx1"/>
                  </w14:solidFill>
                </w14:textFill>
              </w:rPr>
              <w:t>；</w:t>
            </w:r>
            <w:r>
              <w:rPr>
                <w:rFonts w:ascii="Times New Roman" w:hAnsi="Times New Roman" w:cs="Times New Roman"/>
                <w:color w:val="000000" w:themeColor="text1"/>
                <w:spacing w:val="-2"/>
                <w:sz w:val="21"/>
                <w:lang w:eastAsia="zh-CN"/>
                <w14:textFill>
                  <w14:solidFill>
                    <w14:schemeClr w14:val="tx1"/>
                  </w14:solidFill>
                </w14:textFill>
              </w:rPr>
              <w:t xml:space="preserve"> </w:t>
            </w:r>
          </w:p>
        </w:tc>
      </w:tr>
      <w:bookmarkEnd w:id="2422"/>
      <w:bookmarkEnd w:id="2423"/>
      <w:tr w14:paraId="6E5AD51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107" w:type="pct"/>
            <w:vAlign w:val="center"/>
          </w:tcPr>
          <w:p w14:paraId="30C7AB5C">
            <w:pPr>
              <w:adjustRightInd w:val="0"/>
              <w:snapToGrid w:val="0"/>
              <w:jc w:val="center"/>
              <w:rPr>
                <w:rFonts w:ascii="Times New Roman" w:hAnsi="Times New Roman" w:cs="Times New Roman"/>
                <w:color w:val="000000" w:themeColor="text1"/>
                <w:sz w:val="21"/>
                <w14:textFill>
                  <w14:solidFill>
                    <w14:schemeClr w14:val="tx1"/>
                  </w14:solidFill>
                </w14:textFill>
              </w:rPr>
            </w:pPr>
            <w:bookmarkStart w:id="2424" w:name="_Toc133333760"/>
            <w:bookmarkStart w:id="2425" w:name="_Toc21852"/>
            <w:bookmarkStart w:id="2426" w:name="_Toc133214603"/>
            <w:r>
              <w:rPr>
                <w:rFonts w:hint="eastAsia" w:ascii="Times New Roman" w:hAnsi="Times New Roman" w:cs="Times New Roman"/>
                <w:color w:val="000000" w:themeColor="text1"/>
                <w:sz w:val="21"/>
                <w:lang w:eastAsia="zh-CN"/>
                <w14:textFill>
                  <w14:solidFill>
                    <w14:schemeClr w14:val="tx1"/>
                  </w14:solidFill>
                </w14:textFill>
              </w:rPr>
              <w:t>生活污水</w:t>
            </w:r>
          </w:p>
        </w:tc>
        <w:tc>
          <w:tcPr>
            <w:tcW w:w="886" w:type="pct"/>
            <w:vAlign w:val="center"/>
          </w:tcPr>
          <w:p w14:paraId="7705BB11">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1402.5</w:t>
            </w:r>
          </w:p>
        </w:tc>
        <w:tc>
          <w:tcPr>
            <w:tcW w:w="3007" w:type="pct"/>
            <w:vAlign w:val="center"/>
          </w:tcPr>
          <w:p w14:paraId="31E6626E">
            <w:pPr>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COD</w:t>
            </w:r>
            <w:r>
              <w:rPr>
                <w:rFonts w:ascii="Times New Roman" w:hAnsi="Times New Roman" w:cs="Times New Roman"/>
                <w:color w:val="000000" w:themeColor="text1"/>
                <w:spacing w:val="-2"/>
                <w:sz w:val="21"/>
                <w:lang w:eastAsia="zh-CN"/>
                <w14:textFill>
                  <w14:solidFill>
                    <w14:schemeClr w14:val="tx1"/>
                  </w14:solidFill>
                </w14:textFill>
              </w:rPr>
              <w:t>：</w:t>
            </w:r>
            <w:r>
              <w:rPr>
                <w:rFonts w:hint="eastAsia" w:ascii="Times New Roman" w:hAnsi="Times New Roman" w:cs="Times New Roman"/>
                <w:color w:val="000000" w:themeColor="text1"/>
                <w:sz w:val="21"/>
                <w:lang w:eastAsia="zh-CN"/>
                <w14:textFill>
                  <w14:solidFill>
                    <w14:schemeClr w14:val="tx1"/>
                  </w14:solidFill>
                </w14:textFill>
              </w:rPr>
              <w:t>280</w:t>
            </w:r>
            <w:r>
              <w:rPr>
                <w:rFonts w:ascii="Times New Roman" w:hAnsi="Times New Roman" w:cs="Times New Roman"/>
                <w:color w:val="000000" w:themeColor="text1"/>
                <w:sz w:val="21"/>
                <w:lang w:eastAsia="zh-CN"/>
                <w14:textFill>
                  <w14:solidFill>
                    <w14:schemeClr w14:val="tx1"/>
                  </w14:solidFill>
                </w14:textFill>
              </w:rPr>
              <w:t>；</w:t>
            </w:r>
            <w:r>
              <w:rPr>
                <w:rFonts w:ascii="Times New Roman" w:hAnsi="Times New Roman" w:cs="Times New Roman"/>
                <w:color w:val="000000" w:themeColor="text1"/>
                <w:sz w:val="21"/>
                <w:lang w:eastAsia="zh-CN" w:bidi="ar"/>
                <w14:textFill>
                  <w14:solidFill>
                    <w14:schemeClr w14:val="tx1"/>
                  </w14:solidFill>
                </w14:textFill>
              </w:rPr>
              <w:t>BOD</w:t>
            </w:r>
            <w:r>
              <w:rPr>
                <w:rFonts w:ascii="Times New Roman" w:hAnsi="Times New Roman" w:cs="Times New Roman"/>
                <w:color w:val="000000" w:themeColor="text1"/>
                <w:sz w:val="21"/>
                <w:vertAlign w:val="subscript"/>
                <w:lang w:eastAsia="zh-CN" w:bidi="ar"/>
                <w14:textFill>
                  <w14:solidFill>
                    <w14:schemeClr w14:val="tx1"/>
                  </w14:solidFill>
                </w14:textFill>
              </w:rPr>
              <w:t>5</w:t>
            </w:r>
            <w:r>
              <w:rPr>
                <w:rFonts w:ascii="Times New Roman" w:hAnsi="Times New Roman" w:cs="Times New Roman"/>
                <w:color w:val="000000" w:themeColor="text1"/>
                <w:sz w:val="21"/>
                <w:lang w:eastAsia="zh-CN" w:bidi="ar"/>
                <w14:textFill>
                  <w14:solidFill>
                    <w14:schemeClr w14:val="tx1"/>
                  </w14:solidFill>
                </w14:textFill>
              </w:rPr>
              <w:t>：</w:t>
            </w:r>
            <w:r>
              <w:rPr>
                <w:rFonts w:hint="eastAsia" w:ascii="Times New Roman" w:hAnsi="Times New Roman" w:cs="Times New Roman"/>
                <w:color w:val="000000" w:themeColor="text1"/>
                <w:sz w:val="21"/>
                <w:lang w:eastAsia="zh-CN" w:bidi="ar"/>
                <w14:textFill>
                  <w14:solidFill>
                    <w14:schemeClr w14:val="tx1"/>
                  </w14:solidFill>
                </w14:textFill>
              </w:rPr>
              <w:t>180</w:t>
            </w:r>
            <w:r>
              <w:rPr>
                <w:rFonts w:ascii="Times New Roman" w:hAnsi="Times New Roman" w:cs="Times New Roman"/>
                <w:color w:val="000000" w:themeColor="text1"/>
                <w:sz w:val="21"/>
                <w:lang w:eastAsia="zh-CN" w:bidi="ar"/>
                <w14:textFill>
                  <w14:solidFill>
                    <w14:schemeClr w14:val="tx1"/>
                  </w14:solidFill>
                </w14:textFill>
              </w:rPr>
              <w:t>；</w:t>
            </w:r>
            <w:r>
              <w:rPr>
                <w:rFonts w:ascii="Times New Roman" w:hAnsi="Times New Roman" w:cs="Times New Roman"/>
                <w:color w:val="000000" w:themeColor="text1"/>
                <w:sz w:val="21"/>
                <w14:textFill>
                  <w14:solidFill>
                    <w14:schemeClr w14:val="tx1"/>
                  </w14:solidFill>
                </w14:textFill>
              </w:rPr>
              <w:t>SS</w:t>
            </w:r>
            <w:r>
              <w:rPr>
                <w:rFonts w:ascii="Times New Roman" w:hAnsi="Times New Roman" w:cs="Times New Roman"/>
                <w:color w:val="000000" w:themeColor="text1"/>
                <w:spacing w:val="-2"/>
                <w:sz w:val="21"/>
                <w:lang w:eastAsia="zh-CN"/>
                <w14:textFill>
                  <w14:solidFill>
                    <w14:schemeClr w14:val="tx1"/>
                  </w14:solidFill>
                </w14:textFill>
              </w:rPr>
              <w:t>：</w:t>
            </w:r>
            <w:r>
              <w:rPr>
                <w:rFonts w:hint="eastAsia" w:ascii="Times New Roman" w:hAnsi="Times New Roman" w:cs="Times New Roman"/>
                <w:color w:val="000000" w:themeColor="text1"/>
                <w:spacing w:val="-2"/>
                <w:sz w:val="21"/>
                <w:lang w:eastAsia="zh-CN"/>
                <w14:textFill>
                  <w14:solidFill>
                    <w14:schemeClr w14:val="tx1"/>
                  </w14:solidFill>
                </w14:textFill>
              </w:rPr>
              <w:t>15</w:t>
            </w:r>
            <w:r>
              <w:rPr>
                <w:rFonts w:ascii="Times New Roman" w:hAnsi="Times New Roman" w:cs="Times New Roman"/>
                <w:color w:val="000000" w:themeColor="text1"/>
                <w:sz w:val="21"/>
                <w14:textFill>
                  <w14:solidFill>
                    <w14:schemeClr w14:val="tx1"/>
                  </w14:solidFill>
                </w14:textFill>
              </w:rPr>
              <w:t>0</w:t>
            </w:r>
            <w:r>
              <w:rPr>
                <w:rFonts w:hint="eastAsia" w:ascii="Times New Roman" w:hAnsi="Times New Roman" w:cs="Times New Roman"/>
                <w:color w:val="000000" w:themeColor="text1"/>
                <w:sz w:val="21"/>
                <w:lang w:eastAsia="zh-CN"/>
                <w14:textFill>
                  <w14:solidFill>
                    <w14:schemeClr w14:val="tx1"/>
                  </w14:solidFill>
                </w14:textFill>
              </w:rPr>
              <w:t>；</w:t>
            </w:r>
            <w:r>
              <w:rPr>
                <w:rFonts w:ascii="Times New Roman" w:hAnsi="Times New Roman" w:cs="Times New Roman"/>
                <w:color w:val="000000" w:themeColor="text1"/>
                <w:sz w:val="21"/>
                <w14:textFill>
                  <w14:solidFill>
                    <w14:schemeClr w14:val="tx1"/>
                  </w14:solidFill>
                </w14:textFill>
              </w:rPr>
              <w:t>NH</w:t>
            </w:r>
            <w:r>
              <w:rPr>
                <w:rFonts w:ascii="Times New Roman" w:hAnsi="Times New Roman" w:cs="Times New Roman"/>
                <w:color w:val="000000" w:themeColor="text1"/>
                <w:sz w:val="21"/>
                <w:vertAlign w:val="subscript"/>
                <w14:textFill>
                  <w14:solidFill>
                    <w14:schemeClr w14:val="tx1"/>
                  </w14:solidFill>
                </w14:textFill>
              </w:rPr>
              <w:t>3</w:t>
            </w:r>
            <w:r>
              <w:rPr>
                <w:rFonts w:ascii="Times New Roman" w:hAnsi="Times New Roman" w:cs="Times New Roman"/>
                <w:color w:val="000000" w:themeColor="text1"/>
                <w:sz w:val="21"/>
                <w14:textFill>
                  <w14:solidFill>
                    <w14:schemeClr w14:val="tx1"/>
                  </w14:solidFill>
                </w14:textFill>
              </w:rPr>
              <w:t>-N</w:t>
            </w:r>
            <w:r>
              <w:rPr>
                <w:rFonts w:ascii="Times New Roman" w:hAnsi="Times New Roman" w:cs="Times New Roman"/>
                <w:color w:val="000000" w:themeColor="text1"/>
                <w:spacing w:val="-2"/>
                <w:sz w:val="21"/>
                <w:lang w:eastAsia="zh-CN"/>
                <w14:textFill>
                  <w14:solidFill>
                    <w14:schemeClr w14:val="tx1"/>
                  </w14:solidFill>
                </w14:textFill>
              </w:rPr>
              <w:t>：</w:t>
            </w:r>
            <w:r>
              <w:rPr>
                <w:rFonts w:hint="eastAsia" w:ascii="Times New Roman" w:hAnsi="Times New Roman" w:cs="Times New Roman"/>
                <w:color w:val="000000" w:themeColor="text1"/>
                <w:spacing w:val="-2"/>
                <w:sz w:val="21"/>
                <w:lang w:eastAsia="zh-CN"/>
                <w14:textFill>
                  <w14:solidFill>
                    <w14:schemeClr w14:val="tx1"/>
                  </w14:solidFill>
                </w14:textFill>
              </w:rPr>
              <w:t>25</w:t>
            </w:r>
            <w:r>
              <w:rPr>
                <w:rFonts w:ascii="Times New Roman" w:hAnsi="Times New Roman" w:cs="Times New Roman"/>
                <w:color w:val="000000" w:themeColor="text1"/>
                <w:sz w:val="21"/>
                <w:lang w:eastAsia="zh-CN"/>
                <w14:textFill>
                  <w14:solidFill>
                    <w14:schemeClr w14:val="tx1"/>
                  </w14:solidFill>
                </w14:textFill>
              </w:rPr>
              <w:t>；</w:t>
            </w:r>
          </w:p>
        </w:tc>
      </w:tr>
    </w:tbl>
    <w:p w14:paraId="1593FB84">
      <w:pPr>
        <w:pStyle w:val="74"/>
        <w:widowControl w:val="0"/>
        <w:ind w:firstLine="482"/>
        <w:rPr>
          <w:rFonts w:cs="Times New Roman"/>
          <w:color w:val="auto"/>
          <w:lang w:eastAsia="zh-CN"/>
        </w:rPr>
      </w:pPr>
      <w:r>
        <w:rPr>
          <w:rFonts w:cs="Times New Roman"/>
          <w:color w:val="auto"/>
          <w:lang w:eastAsia="zh-CN"/>
        </w:rPr>
        <w:t>8.2.</w:t>
      </w:r>
      <w:r>
        <w:rPr>
          <w:rFonts w:hint="eastAsia" w:cs="Times New Roman"/>
          <w:color w:val="auto"/>
          <w:lang w:eastAsia="zh-CN"/>
        </w:rPr>
        <w:t>3</w:t>
      </w:r>
      <w:r>
        <w:rPr>
          <w:rFonts w:cs="Times New Roman"/>
          <w:color w:val="auto"/>
          <w:lang w:eastAsia="zh-CN"/>
        </w:rPr>
        <w:t xml:space="preserve">.2 </w:t>
      </w:r>
      <w:bookmarkEnd w:id="2424"/>
      <w:bookmarkEnd w:id="2425"/>
      <w:bookmarkEnd w:id="2426"/>
      <w:bookmarkStart w:id="2427" w:name="_Toc25658"/>
      <w:r>
        <w:rPr>
          <w:rFonts w:cs="Times New Roman"/>
          <w:color w:val="auto"/>
          <w:lang w:eastAsia="zh-CN"/>
        </w:rPr>
        <w:t>项目废水处理方案</w:t>
      </w:r>
    </w:p>
    <w:p w14:paraId="535080CA">
      <w:pPr>
        <w:widowControl w:val="0"/>
        <w:spacing w:line="360" w:lineRule="auto"/>
        <w:ind w:left="482"/>
        <w:jc w:val="both"/>
        <w:rPr>
          <w:rFonts w:ascii="Times New Roman" w:hAnsi="Times New Roman" w:cs="Times New Roman"/>
          <w:color w:val="auto"/>
          <w:szCs w:val="24"/>
          <w:lang w:eastAsia="zh-CN"/>
        </w:rPr>
      </w:pPr>
      <w:bookmarkStart w:id="2428" w:name="_1814109019"/>
      <w:bookmarkEnd w:id="2428"/>
      <w:r>
        <w:rPr>
          <w:rFonts w:hint="eastAsia" w:ascii="Times New Roman" w:hAnsi="Times New Roman" w:cs="Times New Roman"/>
          <w:b/>
          <w:bCs/>
          <w:color w:val="auto"/>
          <w:szCs w:val="24"/>
          <w:lang w:eastAsia="zh-CN"/>
        </w:rPr>
        <w:t>1、项目废水处理方案</w:t>
      </w:r>
    </w:p>
    <w:p w14:paraId="6A4B269D">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碱</w:t>
      </w:r>
      <w:r>
        <w:rPr>
          <w:rFonts w:ascii="Times New Roman" w:hAnsi="Times New Roman" w:cs="Times New Roman"/>
          <w:color w:val="auto"/>
          <w:szCs w:val="24"/>
          <w:lang w:eastAsia="zh-CN"/>
        </w:rPr>
        <w:t>喷淋塔置换废水、地面清洁废水</w:t>
      </w:r>
      <w:r>
        <w:rPr>
          <w:rFonts w:hint="eastAsia" w:ascii="Times New Roman" w:hAnsi="Times New Roman" w:cs="Times New Roman"/>
          <w:color w:val="auto"/>
          <w:szCs w:val="24"/>
          <w:lang w:eastAsia="zh-CN"/>
        </w:rPr>
        <w:t>依托现有厂区</w:t>
      </w:r>
      <w:r>
        <w:rPr>
          <w:rFonts w:ascii="Times New Roman" w:hAnsi="Times New Roman" w:cs="Times New Roman"/>
          <w:color w:val="auto"/>
          <w:szCs w:val="24"/>
          <w:lang w:eastAsia="zh-CN"/>
        </w:rPr>
        <w:t>污水处理站</w:t>
      </w:r>
      <w:r>
        <w:rPr>
          <w:rFonts w:hint="eastAsia" w:ascii="Times New Roman" w:hAnsi="Times New Roman" w:cs="Times New Roman"/>
          <w:color w:val="auto"/>
          <w:lang w:eastAsia="zh-CN"/>
        </w:rPr>
        <w:t>“</w:t>
      </w:r>
      <w:r>
        <w:rPr>
          <w:rFonts w:ascii="Times New Roman" w:hAnsi="Times New Roman" w:cs="Times New Roman"/>
          <w:color w:val="auto"/>
          <w:lang w:eastAsia="zh-CN"/>
        </w:rPr>
        <w:t>四级除氟反应+四级除氟沉淀</w:t>
      </w:r>
      <w:r>
        <w:rPr>
          <w:rFonts w:hint="eastAsia" w:ascii="Times New Roman" w:hAnsi="Times New Roman" w:cs="Times New Roman"/>
          <w:color w:val="auto"/>
          <w:lang w:eastAsia="zh-CN"/>
        </w:rPr>
        <w:t>”</w:t>
      </w:r>
      <w:r>
        <w:rPr>
          <w:rFonts w:ascii="Times New Roman" w:hAnsi="Times New Roman" w:cs="Times New Roman"/>
          <w:color w:val="auto"/>
          <w:szCs w:val="24"/>
          <w:lang w:eastAsia="zh-CN"/>
        </w:rPr>
        <w:t>处理后，</w:t>
      </w:r>
      <w:r>
        <w:rPr>
          <w:rFonts w:hint="eastAsia" w:ascii="Times New Roman" w:hAnsi="Times New Roman" w:cs="Times New Roman"/>
          <w:color w:val="auto"/>
          <w:szCs w:val="24"/>
          <w:lang w:eastAsia="zh-CN"/>
        </w:rPr>
        <w:t>与</w:t>
      </w:r>
      <w:r>
        <w:rPr>
          <w:rFonts w:ascii="Times New Roman" w:hAnsi="Times New Roman" w:cs="Times New Roman"/>
          <w:color w:val="auto"/>
          <w:szCs w:val="24"/>
          <w:lang w:eastAsia="zh-CN"/>
        </w:rPr>
        <w:t>循环冷却置换废水</w:t>
      </w:r>
      <w:r>
        <w:rPr>
          <w:rFonts w:hint="eastAsia" w:ascii="Times New Roman" w:hAnsi="Times New Roman" w:cs="Times New Roman"/>
          <w:color w:val="auto"/>
          <w:szCs w:val="24"/>
          <w:lang w:eastAsia="zh-CN"/>
        </w:rPr>
        <w:t>、生活污水一同</w:t>
      </w:r>
      <w:r>
        <w:rPr>
          <w:rFonts w:ascii="Times New Roman" w:hAnsi="Times New Roman" w:cs="Times New Roman"/>
          <w:color w:val="auto"/>
          <w:szCs w:val="24"/>
          <w:lang w:eastAsia="zh-CN"/>
        </w:rPr>
        <w:t>排入园区污水管网，进入沫河口污水处理厂处理达标排放。</w:t>
      </w:r>
    </w:p>
    <w:p w14:paraId="60153312">
      <w:pPr>
        <w:pStyle w:val="42"/>
        <w:snapToGrid w:val="0"/>
        <w:spacing w:line="360" w:lineRule="auto"/>
        <w:ind w:firstLine="480" w:firstLineChars="200"/>
        <w:rPr>
          <w:color w:val="auto"/>
        </w:rPr>
      </w:pPr>
      <w:r>
        <w:rPr>
          <w:rFonts w:hint="eastAsia"/>
          <w:color w:val="auto"/>
        </w:rPr>
        <w:t>现有工程</w:t>
      </w:r>
      <w:r>
        <w:rPr>
          <w:color w:val="auto"/>
        </w:rPr>
        <w:t>污水处理站处理工艺如下：</w:t>
      </w:r>
    </w:p>
    <w:p w14:paraId="0E1700F5">
      <w:pPr>
        <w:spacing w:line="360" w:lineRule="auto"/>
        <w:jc w:val="center"/>
        <w:rPr>
          <w:rFonts w:ascii="Times New Roman" w:hAnsi="Times New Roman" w:cs="Times New Roman"/>
          <w:b/>
          <w:bCs/>
          <w:color w:val="auto"/>
          <w:szCs w:val="24"/>
          <w:lang w:eastAsia="zh-CN"/>
        </w:rPr>
      </w:pPr>
      <w:r>
        <w:rPr>
          <w:rFonts w:ascii="宋体" w:cs="宋体" w:hAnsiTheme="minorHAnsi"/>
          <w:szCs w:val="24"/>
        </w:rPr>
        <mc:AlternateContent>
          <mc:Choice Requires="wpc">
            <w:drawing>
              <wp:inline distT="0" distB="0" distL="0" distR="0">
                <wp:extent cx="5274310" cy="7433310"/>
                <wp:effectExtent l="0" t="0" r="0" b="0"/>
                <wp:docPr id="1568735280" name="画布 70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04160822" name="Text Box 93"/>
                        <wps:cNvSpPr txBox="1">
                          <a:spLocks noChangeArrowheads="1"/>
                        </wps:cNvSpPr>
                        <wps:spPr bwMode="auto">
                          <a:xfrm>
                            <a:off x="1741170" y="291046"/>
                            <a:ext cx="2895600" cy="266700"/>
                          </a:xfrm>
                          <a:prstGeom prst="rect">
                            <a:avLst/>
                          </a:prstGeom>
                          <a:solidFill>
                            <a:srgbClr val="FFFFFF"/>
                          </a:solidFill>
                          <a:ln>
                            <a:noFill/>
                          </a:ln>
                        </wps:spPr>
                        <wps:txbx>
                          <w:txbxContent>
                            <w:p w14:paraId="7200DCB1">
                              <w:pPr>
                                <w:rPr>
                                  <w:rFonts w:eastAsia="黑体"/>
                                  <w:sz w:val="18"/>
                                  <w:szCs w:val="18"/>
                                  <w:lang w:eastAsia="zh-CN"/>
                                </w:rPr>
                              </w:pPr>
                              <w:r>
                                <w:rPr>
                                  <w:rFonts w:hint="eastAsia" w:eastAsia="黑体"/>
                                  <w:sz w:val="18"/>
                                  <w:szCs w:val="18"/>
                                  <w:lang w:eastAsia="zh-CN"/>
                                </w:rPr>
                                <w:t>碱喷淋塔置换废水、</w:t>
                              </w:r>
                              <w:r>
                                <w:rPr>
                                  <w:rFonts w:eastAsia="黑体"/>
                                  <w:sz w:val="18"/>
                                  <w:szCs w:val="18"/>
                                  <w:lang w:eastAsia="zh-CN"/>
                                </w:rPr>
                                <w:t>地面清洁废水</w:t>
                              </w:r>
                            </w:p>
                          </w:txbxContent>
                        </wps:txbx>
                        <wps:bodyPr rot="0" vert="horz" wrap="square" lIns="91440" tIns="45720" rIns="91440" bIns="45720" anchor="t" anchorCtr="0" upright="1">
                          <a:noAutofit/>
                        </wps:bodyPr>
                      </wps:wsp>
                      <wps:wsp>
                        <wps:cNvPr id="1366658973" name="Text Box 94"/>
                        <wps:cNvSpPr txBox="1">
                          <a:spLocks noChangeArrowheads="1"/>
                        </wps:cNvSpPr>
                        <wps:spPr bwMode="auto">
                          <a:xfrm>
                            <a:off x="2066925" y="915670"/>
                            <a:ext cx="1019175" cy="266700"/>
                          </a:xfrm>
                          <a:prstGeom prst="rect">
                            <a:avLst/>
                          </a:prstGeom>
                          <a:solidFill>
                            <a:srgbClr val="FFFFFF"/>
                          </a:solidFill>
                          <a:ln w="9525">
                            <a:solidFill>
                              <a:srgbClr val="000000"/>
                            </a:solidFill>
                            <a:miter lim="800000"/>
                          </a:ln>
                        </wps:spPr>
                        <wps:txbx>
                          <w:txbxContent>
                            <w:p w14:paraId="261F7966">
                              <w:pPr>
                                <w:jc w:val="center"/>
                                <w:rPr>
                                  <w:rFonts w:eastAsia="黑体"/>
                                  <w:sz w:val="18"/>
                                  <w:szCs w:val="18"/>
                                </w:rPr>
                              </w:pPr>
                              <w:r>
                                <w:rPr>
                                  <w:rFonts w:eastAsia="黑体"/>
                                  <w:sz w:val="18"/>
                                  <w:szCs w:val="18"/>
                                </w:rPr>
                                <w:t>含氟废水调节池</w:t>
                              </w:r>
                            </w:p>
                          </w:txbxContent>
                        </wps:txbx>
                        <wps:bodyPr rot="0" vert="horz" wrap="square" lIns="91440" tIns="45720" rIns="91440" bIns="45720" anchor="t" anchorCtr="0" upright="1">
                          <a:noAutofit/>
                        </wps:bodyPr>
                      </wps:wsp>
                      <wps:wsp>
                        <wps:cNvPr id="1676922620" name="AutoShape 95"/>
                        <wps:cNvCnPr>
                          <a:cxnSpLocks noChangeShapeType="1"/>
                        </wps:cNvCnPr>
                        <wps:spPr bwMode="auto">
                          <a:xfrm flipH="1">
                            <a:off x="2576830" y="629920"/>
                            <a:ext cx="1270" cy="285750"/>
                          </a:xfrm>
                          <a:prstGeom prst="straightConnector1">
                            <a:avLst/>
                          </a:prstGeom>
                          <a:noFill/>
                          <a:ln w="9525">
                            <a:solidFill>
                              <a:srgbClr val="000000"/>
                            </a:solidFill>
                            <a:round/>
                            <a:tailEnd type="triangle" w="sm" len="med"/>
                          </a:ln>
                        </wps:spPr>
                        <wps:bodyPr/>
                      </wps:wsp>
                      <wps:wsp>
                        <wps:cNvPr id="1999965702" name="AutoShape 96"/>
                        <wps:cNvCnPr>
                          <a:cxnSpLocks noChangeShapeType="1"/>
                        </wps:cNvCnPr>
                        <wps:spPr bwMode="auto">
                          <a:xfrm flipH="1">
                            <a:off x="2581275" y="1191895"/>
                            <a:ext cx="635" cy="285750"/>
                          </a:xfrm>
                          <a:prstGeom prst="straightConnector1">
                            <a:avLst/>
                          </a:prstGeom>
                          <a:noFill/>
                          <a:ln w="9525">
                            <a:solidFill>
                              <a:srgbClr val="000000"/>
                            </a:solidFill>
                            <a:round/>
                            <a:tailEnd type="triangle" w="sm" len="med"/>
                          </a:ln>
                        </wps:spPr>
                        <wps:bodyPr/>
                      </wps:wsp>
                      <wps:wsp>
                        <wps:cNvPr id="1646384704" name="Text Box 97"/>
                        <wps:cNvSpPr txBox="1">
                          <a:spLocks noChangeArrowheads="1"/>
                        </wps:cNvSpPr>
                        <wps:spPr bwMode="auto">
                          <a:xfrm>
                            <a:off x="2066925" y="1477645"/>
                            <a:ext cx="1019175" cy="266700"/>
                          </a:xfrm>
                          <a:prstGeom prst="rect">
                            <a:avLst/>
                          </a:prstGeom>
                          <a:solidFill>
                            <a:srgbClr val="FFFFFF"/>
                          </a:solidFill>
                          <a:ln w="9525">
                            <a:solidFill>
                              <a:srgbClr val="000000"/>
                            </a:solidFill>
                            <a:miter lim="800000"/>
                          </a:ln>
                        </wps:spPr>
                        <wps:txbx>
                          <w:txbxContent>
                            <w:p w14:paraId="208104B7">
                              <w:pPr>
                                <w:jc w:val="center"/>
                                <w:rPr>
                                  <w:rFonts w:eastAsia="黑体"/>
                                  <w:sz w:val="18"/>
                                  <w:szCs w:val="18"/>
                                </w:rPr>
                              </w:pPr>
                              <w:r>
                                <w:rPr>
                                  <w:rFonts w:hint="eastAsia" w:eastAsia="黑体"/>
                                  <w:sz w:val="18"/>
                                  <w:szCs w:val="18"/>
                                </w:rPr>
                                <w:t>一级</w:t>
                              </w:r>
                              <w:r>
                                <w:rPr>
                                  <w:rFonts w:eastAsia="黑体"/>
                                  <w:sz w:val="18"/>
                                  <w:szCs w:val="18"/>
                                </w:rPr>
                                <w:t>除氟反应池</w:t>
                              </w:r>
                            </w:p>
                          </w:txbxContent>
                        </wps:txbx>
                        <wps:bodyPr rot="0" vert="horz" wrap="square" lIns="91440" tIns="45720" rIns="91440" bIns="45720" anchor="t" anchorCtr="0" upright="1">
                          <a:noAutofit/>
                        </wps:bodyPr>
                      </wps:wsp>
                      <wps:wsp>
                        <wps:cNvPr id="1951733864" name="AutoShape 98"/>
                        <wps:cNvCnPr>
                          <a:cxnSpLocks noChangeShapeType="1"/>
                        </wps:cNvCnPr>
                        <wps:spPr bwMode="auto">
                          <a:xfrm flipH="1">
                            <a:off x="2576195" y="1744345"/>
                            <a:ext cx="635" cy="285750"/>
                          </a:xfrm>
                          <a:prstGeom prst="straightConnector1">
                            <a:avLst/>
                          </a:prstGeom>
                          <a:noFill/>
                          <a:ln w="9525">
                            <a:solidFill>
                              <a:srgbClr val="000000"/>
                            </a:solidFill>
                            <a:round/>
                            <a:tailEnd type="triangle" w="sm" len="med"/>
                          </a:ln>
                        </wps:spPr>
                        <wps:bodyPr/>
                      </wps:wsp>
                      <wps:wsp>
                        <wps:cNvPr id="445870415" name="Text Box 99"/>
                        <wps:cNvSpPr txBox="1">
                          <a:spLocks noChangeArrowheads="1"/>
                        </wps:cNvSpPr>
                        <wps:spPr bwMode="auto">
                          <a:xfrm>
                            <a:off x="2071370" y="2030095"/>
                            <a:ext cx="1019175" cy="266700"/>
                          </a:xfrm>
                          <a:prstGeom prst="rect">
                            <a:avLst/>
                          </a:prstGeom>
                          <a:solidFill>
                            <a:srgbClr val="FFFFFF"/>
                          </a:solidFill>
                          <a:ln w="9525">
                            <a:solidFill>
                              <a:srgbClr val="000000"/>
                            </a:solidFill>
                            <a:miter lim="800000"/>
                          </a:ln>
                        </wps:spPr>
                        <wps:txbx>
                          <w:txbxContent>
                            <w:p w14:paraId="109E9EF9">
                              <w:pPr>
                                <w:jc w:val="center"/>
                                <w:rPr>
                                  <w:rFonts w:eastAsia="黑体"/>
                                  <w:sz w:val="18"/>
                                  <w:szCs w:val="18"/>
                                </w:rPr>
                              </w:pPr>
                              <w:r>
                                <w:rPr>
                                  <w:rFonts w:hint="eastAsia" w:eastAsia="黑体"/>
                                  <w:sz w:val="18"/>
                                  <w:szCs w:val="18"/>
                                </w:rPr>
                                <w:t>一级</w:t>
                              </w:r>
                              <w:r>
                                <w:rPr>
                                  <w:rFonts w:eastAsia="黑体"/>
                                  <w:sz w:val="18"/>
                                  <w:szCs w:val="18"/>
                                </w:rPr>
                                <w:t>除氟</w:t>
                              </w:r>
                              <w:r>
                                <w:rPr>
                                  <w:rFonts w:hint="eastAsia" w:eastAsia="黑体"/>
                                  <w:sz w:val="18"/>
                                  <w:szCs w:val="18"/>
                                </w:rPr>
                                <w:t>沉淀池</w:t>
                              </w:r>
                            </w:p>
                          </w:txbxContent>
                        </wps:txbx>
                        <wps:bodyPr rot="0" vert="horz" wrap="square" lIns="91440" tIns="45720" rIns="91440" bIns="45720" anchor="t" anchorCtr="0" upright="1">
                          <a:noAutofit/>
                        </wps:bodyPr>
                      </wps:wsp>
                      <wps:wsp>
                        <wps:cNvPr id="1271339749" name="AutoShape 100"/>
                        <wps:cNvCnPr>
                          <a:cxnSpLocks noChangeShapeType="1"/>
                        </wps:cNvCnPr>
                        <wps:spPr bwMode="auto">
                          <a:xfrm flipH="1">
                            <a:off x="2576195" y="2306320"/>
                            <a:ext cx="635" cy="285750"/>
                          </a:xfrm>
                          <a:prstGeom prst="straightConnector1">
                            <a:avLst/>
                          </a:prstGeom>
                          <a:noFill/>
                          <a:ln w="9525">
                            <a:solidFill>
                              <a:srgbClr val="000000"/>
                            </a:solidFill>
                            <a:round/>
                            <a:tailEnd type="triangle" w="sm" len="med"/>
                          </a:ln>
                        </wps:spPr>
                        <wps:bodyPr/>
                      </wps:wsp>
                      <wps:wsp>
                        <wps:cNvPr id="1941423342" name="Text Box 101"/>
                        <wps:cNvSpPr txBox="1">
                          <a:spLocks noChangeArrowheads="1"/>
                        </wps:cNvSpPr>
                        <wps:spPr bwMode="auto">
                          <a:xfrm>
                            <a:off x="2071370" y="2592070"/>
                            <a:ext cx="1019175" cy="266700"/>
                          </a:xfrm>
                          <a:prstGeom prst="rect">
                            <a:avLst/>
                          </a:prstGeom>
                          <a:solidFill>
                            <a:srgbClr val="FFFFFF"/>
                          </a:solidFill>
                          <a:ln w="9525">
                            <a:solidFill>
                              <a:srgbClr val="000000"/>
                            </a:solidFill>
                            <a:miter lim="800000"/>
                          </a:ln>
                        </wps:spPr>
                        <wps:txbx>
                          <w:txbxContent>
                            <w:p w14:paraId="30457CAB">
                              <w:pPr>
                                <w:jc w:val="center"/>
                                <w:rPr>
                                  <w:rFonts w:eastAsia="黑体"/>
                                  <w:sz w:val="18"/>
                                  <w:szCs w:val="18"/>
                                </w:rPr>
                              </w:pPr>
                              <w:r>
                                <w:rPr>
                                  <w:rFonts w:hint="eastAsia" w:eastAsia="黑体"/>
                                  <w:sz w:val="18"/>
                                  <w:szCs w:val="18"/>
                                </w:rPr>
                                <w:t>二级</w:t>
                              </w:r>
                              <w:r>
                                <w:rPr>
                                  <w:rFonts w:eastAsia="黑体"/>
                                  <w:sz w:val="18"/>
                                  <w:szCs w:val="18"/>
                                </w:rPr>
                                <w:t>除氟反应池</w:t>
                              </w:r>
                            </w:p>
                          </w:txbxContent>
                        </wps:txbx>
                        <wps:bodyPr rot="0" vert="horz" wrap="square" lIns="91440" tIns="45720" rIns="91440" bIns="45720" anchor="t" anchorCtr="0" upright="1">
                          <a:noAutofit/>
                        </wps:bodyPr>
                      </wps:wsp>
                      <wps:wsp>
                        <wps:cNvPr id="753158133" name="AutoShape 102"/>
                        <wps:cNvCnPr>
                          <a:cxnSpLocks noChangeShapeType="1"/>
                        </wps:cNvCnPr>
                        <wps:spPr bwMode="auto">
                          <a:xfrm flipH="1">
                            <a:off x="2580640" y="2858770"/>
                            <a:ext cx="635" cy="285750"/>
                          </a:xfrm>
                          <a:prstGeom prst="straightConnector1">
                            <a:avLst/>
                          </a:prstGeom>
                          <a:noFill/>
                          <a:ln w="9525">
                            <a:solidFill>
                              <a:srgbClr val="000000"/>
                            </a:solidFill>
                            <a:round/>
                            <a:tailEnd type="triangle" w="sm" len="med"/>
                          </a:ln>
                        </wps:spPr>
                        <wps:bodyPr/>
                      </wps:wsp>
                      <wps:wsp>
                        <wps:cNvPr id="1780302809" name="Text Box 103"/>
                        <wps:cNvSpPr txBox="1">
                          <a:spLocks noChangeArrowheads="1"/>
                        </wps:cNvSpPr>
                        <wps:spPr bwMode="auto">
                          <a:xfrm>
                            <a:off x="2075815" y="3144520"/>
                            <a:ext cx="1019175" cy="266065"/>
                          </a:xfrm>
                          <a:prstGeom prst="rect">
                            <a:avLst/>
                          </a:prstGeom>
                          <a:solidFill>
                            <a:srgbClr val="FFFFFF"/>
                          </a:solidFill>
                          <a:ln w="9525">
                            <a:solidFill>
                              <a:srgbClr val="000000"/>
                            </a:solidFill>
                            <a:miter lim="800000"/>
                          </a:ln>
                        </wps:spPr>
                        <wps:txbx>
                          <w:txbxContent>
                            <w:p w14:paraId="74CC6729">
                              <w:pPr>
                                <w:jc w:val="center"/>
                                <w:rPr>
                                  <w:rFonts w:eastAsia="黑体"/>
                                  <w:sz w:val="18"/>
                                  <w:szCs w:val="18"/>
                                </w:rPr>
                              </w:pPr>
                              <w:r>
                                <w:rPr>
                                  <w:rFonts w:hint="eastAsia" w:eastAsia="黑体"/>
                                  <w:sz w:val="18"/>
                                  <w:szCs w:val="18"/>
                                </w:rPr>
                                <w:t>二级</w:t>
                              </w:r>
                              <w:r>
                                <w:rPr>
                                  <w:rFonts w:eastAsia="黑体"/>
                                  <w:sz w:val="18"/>
                                  <w:szCs w:val="18"/>
                                </w:rPr>
                                <w:t>除氟</w:t>
                              </w:r>
                              <w:r>
                                <w:rPr>
                                  <w:rFonts w:hint="eastAsia" w:eastAsia="黑体"/>
                                  <w:sz w:val="18"/>
                                  <w:szCs w:val="18"/>
                                </w:rPr>
                                <w:t>沉淀池</w:t>
                              </w:r>
                            </w:p>
                          </w:txbxContent>
                        </wps:txbx>
                        <wps:bodyPr rot="0" vert="horz" wrap="square" lIns="91440" tIns="45720" rIns="91440" bIns="45720" anchor="t" anchorCtr="0" upright="1">
                          <a:noAutofit/>
                        </wps:bodyPr>
                      </wps:wsp>
                      <wps:wsp>
                        <wps:cNvPr id="1804302118" name="AutoShape 104"/>
                        <wps:cNvCnPr>
                          <a:cxnSpLocks noChangeShapeType="1"/>
                        </wps:cNvCnPr>
                        <wps:spPr bwMode="auto">
                          <a:xfrm flipH="1">
                            <a:off x="2585720" y="3410585"/>
                            <a:ext cx="635" cy="287020"/>
                          </a:xfrm>
                          <a:prstGeom prst="straightConnector1">
                            <a:avLst/>
                          </a:prstGeom>
                          <a:noFill/>
                          <a:ln w="9525">
                            <a:solidFill>
                              <a:srgbClr val="000000"/>
                            </a:solidFill>
                            <a:round/>
                            <a:tailEnd type="triangle" w="sm" len="med"/>
                          </a:ln>
                        </wps:spPr>
                        <wps:bodyPr/>
                      </wps:wsp>
                      <wps:wsp>
                        <wps:cNvPr id="824225720" name="Text Box 105"/>
                        <wps:cNvSpPr txBox="1">
                          <a:spLocks noChangeArrowheads="1"/>
                        </wps:cNvSpPr>
                        <wps:spPr bwMode="auto">
                          <a:xfrm>
                            <a:off x="2055495" y="5927090"/>
                            <a:ext cx="1019175" cy="266700"/>
                          </a:xfrm>
                          <a:prstGeom prst="rect">
                            <a:avLst/>
                          </a:prstGeom>
                          <a:solidFill>
                            <a:srgbClr val="FFFFFF"/>
                          </a:solidFill>
                          <a:ln w="9525">
                            <a:solidFill>
                              <a:srgbClr val="000000"/>
                            </a:solidFill>
                            <a:miter lim="800000"/>
                          </a:ln>
                        </wps:spPr>
                        <wps:txbx>
                          <w:txbxContent>
                            <w:p w14:paraId="609E9531">
                              <w:pPr>
                                <w:jc w:val="center"/>
                                <w:rPr>
                                  <w:rFonts w:eastAsia="黑体"/>
                                  <w:sz w:val="18"/>
                                  <w:szCs w:val="18"/>
                                </w:rPr>
                              </w:pPr>
                              <w:r>
                                <w:rPr>
                                  <w:rFonts w:hint="eastAsia" w:eastAsia="黑体"/>
                                  <w:sz w:val="18"/>
                                  <w:szCs w:val="18"/>
                                </w:rPr>
                                <w:t>污水排放池</w:t>
                              </w:r>
                            </w:p>
                          </w:txbxContent>
                        </wps:txbx>
                        <wps:bodyPr rot="0" vert="horz" wrap="square" lIns="91440" tIns="45720" rIns="91440" bIns="45720" anchor="t" anchorCtr="0" upright="1">
                          <a:noAutofit/>
                        </wps:bodyPr>
                      </wps:wsp>
                      <wps:wsp>
                        <wps:cNvPr id="1313169384" name="AutoShape 106"/>
                        <wps:cNvCnPr>
                          <a:cxnSpLocks noChangeShapeType="1"/>
                        </wps:cNvCnPr>
                        <wps:spPr bwMode="auto">
                          <a:xfrm rot="16200000" flipH="1">
                            <a:off x="1902460" y="1456690"/>
                            <a:ext cx="635" cy="285750"/>
                          </a:xfrm>
                          <a:prstGeom prst="straightConnector1">
                            <a:avLst/>
                          </a:prstGeom>
                          <a:noFill/>
                          <a:ln w="9525">
                            <a:solidFill>
                              <a:srgbClr val="000000"/>
                            </a:solidFill>
                            <a:round/>
                            <a:tailEnd type="triangle" w="sm" len="med"/>
                          </a:ln>
                        </wps:spPr>
                        <wps:bodyPr/>
                      </wps:wsp>
                      <wps:wsp>
                        <wps:cNvPr id="918511378" name="AutoShape 107"/>
                        <wps:cNvCnPr>
                          <a:cxnSpLocks noChangeShapeType="1"/>
                        </wps:cNvCnPr>
                        <wps:spPr bwMode="auto">
                          <a:xfrm rot="16200000" flipH="1">
                            <a:off x="1932305" y="2578735"/>
                            <a:ext cx="635" cy="285750"/>
                          </a:xfrm>
                          <a:prstGeom prst="straightConnector1">
                            <a:avLst/>
                          </a:prstGeom>
                          <a:noFill/>
                          <a:ln w="9525">
                            <a:solidFill>
                              <a:srgbClr val="000000"/>
                            </a:solidFill>
                            <a:round/>
                            <a:tailEnd type="triangle" w="sm" len="med"/>
                          </a:ln>
                        </wps:spPr>
                        <wps:bodyPr/>
                      </wps:wsp>
                      <wps:wsp>
                        <wps:cNvPr id="2048531153" name="AutoShape 108"/>
                        <wps:cNvCnPr>
                          <a:cxnSpLocks noChangeShapeType="1"/>
                        </wps:cNvCnPr>
                        <wps:spPr bwMode="auto">
                          <a:xfrm>
                            <a:off x="3090545" y="2163445"/>
                            <a:ext cx="1019810" cy="3780155"/>
                          </a:xfrm>
                          <a:prstGeom prst="bentConnector2">
                            <a:avLst/>
                          </a:prstGeom>
                          <a:noFill/>
                          <a:ln w="9525">
                            <a:solidFill>
                              <a:srgbClr val="0000FF"/>
                            </a:solidFill>
                            <a:miter lim="800000"/>
                            <a:tailEnd type="triangle" w="sm" len="med"/>
                          </a:ln>
                        </wps:spPr>
                        <wps:bodyPr/>
                      </wps:wsp>
                      <wps:wsp>
                        <wps:cNvPr id="517060851" name="AutoShape 109"/>
                        <wps:cNvCnPr>
                          <a:cxnSpLocks noChangeShapeType="1"/>
                        </wps:cNvCnPr>
                        <wps:spPr bwMode="auto">
                          <a:xfrm flipH="1" flipV="1">
                            <a:off x="3090545" y="2725420"/>
                            <a:ext cx="1529080" cy="3347720"/>
                          </a:xfrm>
                          <a:prstGeom prst="bentConnector3">
                            <a:avLst>
                              <a:gd name="adj1" fmla="val -14907"/>
                            </a:avLst>
                          </a:prstGeom>
                          <a:noFill/>
                          <a:ln w="9525">
                            <a:solidFill>
                              <a:srgbClr val="00B050"/>
                            </a:solidFill>
                            <a:miter lim="800000"/>
                            <a:tailEnd type="triangle" w="sm" len="med"/>
                          </a:ln>
                        </wps:spPr>
                        <wps:bodyPr/>
                      </wps:wsp>
                      <wps:wsp>
                        <wps:cNvPr id="151550136" name="AutoShape 110"/>
                        <wps:cNvCnPr>
                          <a:cxnSpLocks noChangeShapeType="1"/>
                        </wps:cNvCnPr>
                        <wps:spPr bwMode="auto">
                          <a:xfrm flipH="1">
                            <a:off x="2569210" y="6193790"/>
                            <a:ext cx="1270" cy="359410"/>
                          </a:xfrm>
                          <a:prstGeom prst="straightConnector1">
                            <a:avLst/>
                          </a:prstGeom>
                          <a:noFill/>
                          <a:ln w="9525">
                            <a:solidFill>
                              <a:srgbClr val="000000"/>
                            </a:solidFill>
                            <a:round/>
                            <a:tailEnd type="triangle" w="sm" len="med"/>
                          </a:ln>
                        </wps:spPr>
                        <wps:bodyPr/>
                      </wps:wsp>
                      <wps:wsp>
                        <wps:cNvPr id="1444850296" name="AutoShape 111"/>
                        <wps:cNvCnPr>
                          <a:cxnSpLocks noChangeShapeType="1"/>
                        </wps:cNvCnPr>
                        <wps:spPr bwMode="auto">
                          <a:xfrm rot="16200000" flipH="1">
                            <a:off x="1911985" y="5930900"/>
                            <a:ext cx="635" cy="286385"/>
                          </a:xfrm>
                          <a:prstGeom prst="straightConnector1">
                            <a:avLst/>
                          </a:prstGeom>
                          <a:noFill/>
                          <a:ln w="9525">
                            <a:solidFill>
                              <a:srgbClr val="000000"/>
                            </a:solidFill>
                            <a:round/>
                            <a:tailEnd type="triangle" w="sm" len="med"/>
                          </a:ln>
                        </wps:spPr>
                        <wps:bodyPr/>
                      </wps:wsp>
                      <wps:wsp>
                        <wps:cNvPr id="1615496983" name="Text Box 112"/>
                        <wps:cNvSpPr txBox="1">
                          <a:spLocks noChangeArrowheads="1"/>
                        </wps:cNvSpPr>
                        <wps:spPr bwMode="auto">
                          <a:xfrm>
                            <a:off x="693420" y="1461135"/>
                            <a:ext cx="1047750" cy="381000"/>
                          </a:xfrm>
                          <a:prstGeom prst="rect">
                            <a:avLst/>
                          </a:prstGeom>
                          <a:solidFill>
                            <a:srgbClr val="FFFFFF"/>
                          </a:solidFill>
                          <a:ln>
                            <a:noFill/>
                          </a:ln>
                        </wps:spPr>
                        <wps:txbx>
                          <w:txbxContent>
                            <w:p w14:paraId="3ECE5809">
                              <w:pPr>
                                <w:jc w:val="center"/>
                                <w:rPr>
                                  <w:rFonts w:eastAsia="黑体"/>
                                  <w:sz w:val="18"/>
                                  <w:szCs w:val="18"/>
                                </w:rPr>
                              </w:pPr>
                              <w:r>
                                <w:rPr>
                                  <w:rFonts w:hAnsi="黑体" w:eastAsia="黑体"/>
                                  <w:sz w:val="18"/>
                                  <w:szCs w:val="18"/>
                                </w:rPr>
                                <w:t>石灰、氯化钙</w:t>
                              </w:r>
                            </w:p>
                          </w:txbxContent>
                        </wps:txbx>
                        <wps:bodyPr rot="0" vert="horz" wrap="square" lIns="91440" tIns="45720" rIns="91440" bIns="45720" anchor="t" anchorCtr="0" upright="1">
                          <a:noAutofit/>
                        </wps:bodyPr>
                      </wps:wsp>
                      <wps:wsp>
                        <wps:cNvPr id="452733553" name="Text Box 113"/>
                        <wps:cNvSpPr txBox="1">
                          <a:spLocks noChangeArrowheads="1"/>
                        </wps:cNvSpPr>
                        <wps:spPr bwMode="auto">
                          <a:xfrm>
                            <a:off x="742315" y="2577465"/>
                            <a:ext cx="1047750" cy="299085"/>
                          </a:xfrm>
                          <a:prstGeom prst="rect">
                            <a:avLst/>
                          </a:prstGeom>
                          <a:solidFill>
                            <a:srgbClr val="FFFFFF"/>
                          </a:solidFill>
                          <a:ln>
                            <a:noFill/>
                          </a:ln>
                        </wps:spPr>
                        <wps:txbx>
                          <w:txbxContent>
                            <w:p w14:paraId="0D1425F1">
                              <w:pPr>
                                <w:jc w:val="center"/>
                                <w:rPr>
                                  <w:rFonts w:eastAsia="黑体"/>
                                  <w:sz w:val="18"/>
                                  <w:szCs w:val="18"/>
                                </w:rPr>
                              </w:pPr>
                              <w:r>
                                <w:rPr>
                                  <w:rFonts w:eastAsia="黑体"/>
                                  <w:sz w:val="18"/>
                                  <w:szCs w:val="18"/>
                                </w:rPr>
                                <w:t>PAC</w:t>
                              </w:r>
                              <w:r>
                                <w:rPr>
                                  <w:rFonts w:hAnsi="黑体" w:eastAsia="黑体"/>
                                  <w:sz w:val="18"/>
                                  <w:szCs w:val="18"/>
                                </w:rPr>
                                <w:t>、</w:t>
                              </w:r>
                              <w:r>
                                <w:rPr>
                                  <w:rFonts w:eastAsia="黑体"/>
                                  <w:sz w:val="18"/>
                                  <w:szCs w:val="18"/>
                                </w:rPr>
                                <w:t>PAM</w:t>
                              </w:r>
                            </w:p>
                          </w:txbxContent>
                        </wps:txbx>
                        <wps:bodyPr rot="0" vert="horz" wrap="square" lIns="91440" tIns="45720" rIns="91440" bIns="45720" anchor="t" anchorCtr="0" upright="1">
                          <a:noAutofit/>
                        </wps:bodyPr>
                      </wps:wsp>
                      <wps:wsp>
                        <wps:cNvPr id="496866820" name="Text Box 114"/>
                        <wps:cNvSpPr txBox="1">
                          <a:spLocks noChangeArrowheads="1"/>
                        </wps:cNvSpPr>
                        <wps:spPr bwMode="auto">
                          <a:xfrm>
                            <a:off x="742315" y="5941695"/>
                            <a:ext cx="1026795" cy="266065"/>
                          </a:xfrm>
                          <a:prstGeom prst="rect">
                            <a:avLst/>
                          </a:prstGeom>
                          <a:solidFill>
                            <a:srgbClr val="FFFFFF"/>
                          </a:solidFill>
                          <a:ln>
                            <a:noFill/>
                          </a:ln>
                        </wps:spPr>
                        <wps:txbx>
                          <w:txbxContent>
                            <w:p w14:paraId="59004BC4">
                              <w:pPr>
                                <w:jc w:val="center"/>
                                <w:rPr>
                                  <w:rFonts w:eastAsia="黑体"/>
                                  <w:sz w:val="18"/>
                                  <w:szCs w:val="18"/>
                                </w:rPr>
                              </w:pPr>
                              <w:r>
                                <w:rPr>
                                  <w:rFonts w:hint="eastAsia" w:eastAsia="黑体"/>
                                  <w:sz w:val="18"/>
                                  <w:szCs w:val="18"/>
                                </w:rPr>
                                <w:t>氟化物在线监测</w:t>
                              </w:r>
                            </w:p>
                          </w:txbxContent>
                        </wps:txbx>
                        <wps:bodyPr rot="0" vert="horz" wrap="square" lIns="0" tIns="0" rIns="0" bIns="0" anchor="ctr" anchorCtr="0" upright="1">
                          <a:noAutofit/>
                        </wps:bodyPr>
                      </wps:wsp>
                      <wps:wsp>
                        <wps:cNvPr id="1811204950" name="Text Box 115"/>
                        <wps:cNvSpPr txBox="1">
                          <a:spLocks noChangeArrowheads="1"/>
                        </wps:cNvSpPr>
                        <wps:spPr bwMode="auto">
                          <a:xfrm>
                            <a:off x="1919605" y="6553200"/>
                            <a:ext cx="1297305" cy="266700"/>
                          </a:xfrm>
                          <a:prstGeom prst="rect">
                            <a:avLst/>
                          </a:prstGeom>
                          <a:solidFill>
                            <a:srgbClr val="FFFFFF"/>
                          </a:solidFill>
                          <a:ln>
                            <a:noFill/>
                          </a:ln>
                        </wps:spPr>
                        <wps:txbx>
                          <w:txbxContent>
                            <w:p w14:paraId="7B678766">
                              <w:pPr>
                                <w:jc w:val="center"/>
                                <w:rPr>
                                  <w:rFonts w:eastAsia="黑体"/>
                                  <w:sz w:val="18"/>
                                  <w:szCs w:val="18"/>
                                </w:rPr>
                              </w:pPr>
                              <w:r>
                                <w:rPr>
                                  <w:rFonts w:hint="eastAsia" w:eastAsia="黑体"/>
                                  <w:sz w:val="18"/>
                                  <w:szCs w:val="18"/>
                                </w:rPr>
                                <w:t>达标去厂区总排口</w:t>
                              </w:r>
                            </w:p>
                          </w:txbxContent>
                        </wps:txbx>
                        <wps:bodyPr rot="0" vert="horz" wrap="square" lIns="91440" tIns="45720" rIns="91440" bIns="45720" anchor="t" anchorCtr="0" upright="1">
                          <a:noAutofit/>
                        </wps:bodyPr>
                      </wps:wsp>
                      <wps:wsp>
                        <wps:cNvPr id="391600921" name="Text Box 116"/>
                        <wps:cNvSpPr txBox="1">
                          <a:spLocks noChangeArrowheads="1"/>
                        </wps:cNvSpPr>
                        <wps:spPr bwMode="auto">
                          <a:xfrm>
                            <a:off x="3600450" y="5946140"/>
                            <a:ext cx="1019175" cy="266700"/>
                          </a:xfrm>
                          <a:prstGeom prst="rect">
                            <a:avLst/>
                          </a:prstGeom>
                          <a:solidFill>
                            <a:srgbClr val="FFFFFF"/>
                          </a:solidFill>
                          <a:ln w="9525">
                            <a:solidFill>
                              <a:srgbClr val="000000"/>
                            </a:solidFill>
                            <a:miter lim="800000"/>
                          </a:ln>
                        </wps:spPr>
                        <wps:txbx>
                          <w:txbxContent>
                            <w:p w14:paraId="4DC25528">
                              <w:pPr>
                                <w:jc w:val="center"/>
                                <w:rPr>
                                  <w:rFonts w:eastAsia="黑体"/>
                                  <w:sz w:val="18"/>
                                  <w:szCs w:val="18"/>
                                </w:rPr>
                              </w:pPr>
                              <w:r>
                                <w:rPr>
                                  <w:rFonts w:hint="eastAsia" w:eastAsia="黑体"/>
                                  <w:sz w:val="18"/>
                                  <w:szCs w:val="18"/>
                                </w:rPr>
                                <w:t>污泥压滤系统</w:t>
                              </w:r>
                            </w:p>
                          </w:txbxContent>
                        </wps:txbx>
                        <wps:bodyPr rot="0" vert="horz" wrap="square" lIns="91440" tIns="45720" rIns="91440" bIns="45720" anchor="t" anchorCtr="0" upright="1">
                          <a:noAutofit/>
                        </wps:bodyPr>
                      </wps:wsp>
                      <wps:wsp>
                        <wps:cNvPr id="1859870146" name="AutoShape 117"/>
                        <wps:cNvCnPr>
                          <a:cxnSpLocks noChangeShapeType="1"/>
                        </wps:cNvCnPr>
                        <wps:spPr bwMode="auto">
                          <a:xfrm flipH="1">
                            <a:off x="4110355" y="6222365"/>
                            <a:ext cx="4445" cy="285750"/>
                          </a:xfrm>
                          <a:prstGeom prst="straightConnector1">
                            <a:avLst/>
                          </a:prstGeom>
                          <a:noFill/>
                          <a:ln w="9525">
                            <a:solidFill>
                              <a:srgbClr val="000000"/>
                            </a:solidFill>
                            <a:round/>
                            <a:tailEnd type="triangle" w="sm" len="med"/>
                          </a:ln>
                        </wps:spPr>
                        <wps:bodyPr/>
                      </wps:wsp>
                      <wps:wsp>
                        <wps:cNvPr id="883553762" name="Text Box 118"/>
                        <wps:cNvSpPr txBox="1">
                          <a:spLocks noChangeArrowheads="1"/>
                        </wps:cNvSpPr>
                        <wps:spPr bwMode="auto">
                          <a:xfrm>
                            <a:off x="3676650" y="6508115"/>
                            <a:ext cx="847725" cy="257175"/>
                          </a:xfrm>
                          <a:prstGeom prst="rect">
                            <a:avLst/>
                          </a:prstGeom>
                          <a:solidFill>
                            <a:srgbClr val="FFFFFF"/>
                          </a:solidFill>
                          <a:ln>
                            <a:noFill/>
                          </a:ln>
                        </wps:spPr>
                        <wps:txbx>
                          <w:txbxContent>
                            <w:p w14:paraId="3349B82C">
                              <w:pPr>
                                <w:jc w:val="center"/>
                                <w:rPr>
                                  <w:rFonts w:eastAsia="黑体"/>
                                  <w:sz w:val="18"/>
                                  <w:szCs w:val="18"/>
                                </w:rPr>
                              </w:pPr>
                              <w:r>
                                <w:rPr>
                                  <w:rFonts w:hAnsi="黑体" w:eastAsia="黑体"/>
                                  <w:sz w:val="18"/>
                                  <w:szCs w:val="18"/>
                                </w:rPr>
                                <w:t>氯化钙干泥</w:t>
                              </w:r>
                            </w:p>
                          </w:txbxContent>
                        </wps:txbx>
                        <wps:bodyPr rot="0" vert="horz" wrap="square" lIns="91440" tIns="45720" rIns="91440" bIns="45720" anchor="t" anchorCtr="0" upright="1">
                          <a:noAutofit/>
                        </wps:bodyPr>
                      </wps:wsp>
                      <wps:wsp>
                        <wps:cNvPr id="270907001" name="Text Box 119"/>
                        <wps:cNvSpPr txBox="1">
                          <a:spLocks noChangeArrowheads="1"/>
                        </wps:cNvSpPr>
                        <wps:spPr bwMode="auto">
                          <a:xfrm>
                            <a:off x="4888230" y="3423285"/>
                            <a:ext cx="161925" cy="762635"/>
                          </a:xfrm>
                          <a:prstGeom prst="rect">
                            <a:avLst/>
                          </a:prstGeom>
                          <a:noFill/>
                          <a:ln>
                            <a:noFill/>
                          </a:ln>
                        </wps:spPr>
                        <wps:txbx>
                          <w:txbxContent>
                            <w:p w14:paraId="2E2B4541">
                              <w:pPr>
                                <w:jc w:val="center"/>
                                <w:rPr>
                                  <w:rFonts w:eastAsia="黑体"/>
                                  <w:color w:val="00B050"/>
                                  <w:sz w:val="18"/>
                                  <w:szCs w:val="18"/>
                                </w:rPr>
                              </w:pPr>
                              <w:r>
                                <w:rPr>
                                  <w:rFonts w:hint="eastAsia" w:eastAsia="黑体"/>
                                  <w:color w:val="00B050"/>
                                  <w:sz w:val="18"/>
                                  <w:szCs w:val="18"/>
                                </w:rPr>
                                <w:t>滤液</w:t>
                              </w:r>
                              <w:r>
                                <w:rPr>
                                  <w:rFonts w:eastAsia="黑体"/>
                                  <w:color w:val="00B050"/>
                                  <w:sz w:val="18"/>
                                  <w:szCs w:val="18"/>
                                </w:rPr>
                                <w:t>回用</w:t>
                              </w:r>
                            </w:p>
                          </w:txbxContent>
                        </wps:txbx>
                        <wps:bodyPr rot="0" vert="eaVert" wrap="square" lIns="0" tIns="0" rIns="0" bIns="0" anchor="ctr" anchorCtr="0" upright="1">
                          <a:noAutofit/>
                        </wps:bodyPr>
                      </wps:wsp>
                      <wps:wsp>
                        <wps:cNvPr id="735652758" name="Text Box 120"/>
                        <wps:cNvSpPr txBox="1">
                          <a:spLocks noChangeArrowheads="1"/>
                        </wps:cNvSpPr>
                        <wps:spPr bwMode="auto">
                          <a:xfrm>
                            <a:off x="4105275" y="3502025"/>
                            <a:ext cx="238125" cy="762635"/>
                          </a:xfrm>
                          <a:prstGeom prst="rect">
                            <a:avLst/>
                          </a:prstGeom>
                          <a:noFill/>
                          <a:ln>
                            <a:noFill/>
                          </a:ln>
                        </wps:spPr>
                        <wps:txbx>
                          <w:txbxContent>
                            <w:p w14:paraId="4D0C9D36">
                              <w:pPr>
                                <w:rPr>
                                  <w:rFonts w:eastAsia="黑体"/>
                                  <w:color w:val="0000CC"/>
                                  <w:sz w:val="18"/>
                                  <w:szCs w:val="18"/>
                                </w:rPr>
                              </w:pPr>
                              <w:r>
                                <w:rPr>
                                  <w:rFonts w:eastAsia="黑体"/>
                                  <w:color w:val="0000CC"/>
                                  <w:sz w:val="18"/>
                                  <w:szCs w:val="18"/>
                                </w:rPr>
                                <w:t>氟化钙污泥</w:t>
                              </w:r>
                            </w:p>
                          </w:txbxContent>
                        </wps:txbx>
                        <wps:bodyPr rot="0" vert="eaVert" wrap="square" lIns="0" tIns="0" rIns="0" bIns="0" anchor="ctr" anchorCtr="0" upright="1">
                          <a:noAutofit/>
                        </wps:bodyPr>
                      </wps:wsp>
                      <wps:wsp>
                        <wps:cNvPr id="1965254310" name="Text Box 121"/>
                        <wps:cNvSpPr txBox="1">
                          <a:spLocks noChangeArrowheads="1"/>
                        </wps:cNvSpPr>
                        <wps:spPr bwMode="auto">
                          <a:xfrm>
                            <a:off x="2071370" y="3697605"/>
                            <a:ext cx="1019175" cy="266700"/>
                          </a:xfrm>
                          <a:prstGeom prst="rect">
                            <a:avLst/>
                          </a:prstGeom>
                          <a:solidFill>
                            <a:srgbClr val="FFFFFF"/>
                          </a:solidFill>
                          <a:ln w="9525">
                            <a:solidFill>
                              <a:srgbClr val="000000"/>
                            </a:solidFill>
                            <a:miter lim="800000"/>
                          </a:ln>
                        </wps:spPr>
                        <wps:txbx>
                          <w:txbxContent>
                            <w:p w14:paraId="77F80F35">
                              <w:pPr>
                                <w:jc w:val="center"/>
                                <w:rPr>
                                  <w:rFonts w:eastAsia="黑体"/>
                                  <w:sz w:val="18"/>
                                  <w:szCs w:val="18"/>
                                </w:rPr>
                              </w:pPr>
                              <w:r>
                                <w:rPr>
                                  <w:rFonts w:hint="eastAsia" w:eastAsia="黑体"/>
                                  <w:sz w:val="18"/>
                                  <w:szCs w:val="18"/>
                                </w:rPr>
                                <w:t>三级</w:t>
                              </w:r>
                              <w:r>
                                <w:rPr>
                                  <w:rFonts w:eastAsia="黑体"/>
                                  <w:sz w:val="18"/>
                                  <w:szCs w:val="18"/>
                                </w:rPr>
                                <w:t>除氟反应池</w:t>
                              </w:r>
                            </w:p>
                          </w:txbxContent>
                        </wps:txbx>
                        <wps:bodyPr rot="0" vert="horz" wrap="square" lIns="91440" tIns="45720" rIns="91440" bIns="45720" anchor="t" anchorCtr="0" upright="1">
                          <a:noAutofit/>
                        </wps:bodyPr>
                      </wps:wsp>
                      <wps:wsp>
                        <wps:cNvPr id="660745527" name="AutoShape 122"/>
                        <wps:cNvCnPr>
                          <a:cxnSpLocks noChangeShapeType="1"/>
                        </wps:cNvCnPr>
                        <wps:spPr bwMode="auto">
                          <a:xfrm flipH="1">
                            <a:off x="2580640" y="3964305"/>
                            <a:ext cx="635" cy="285115"/>
                          </a:xfrm>
                          <a:prstGeom prst="straightConnector1">
                            <a:avLst/>
                          </a:prstGeom>
                          <a:noFill/>
                          <a:ln w="9525">
                            <a:solidFill>
                              <a:srgbClr val="000000"/>
                            </a:solidFill>
                            <a:round/>
                            <a:tailEnd type="triangle" w="sm" len="med"/>
                          </a:ln>
                        </wps:spPr>
                        <wps:bodyPr/>
                      </wps:wsp>
                      <wps:wsp>
                        <wps:cNvPr id="231731091" name="Text Box 123"/>
                        <wps:cNvSpPr txBox="1">
                          <a:spLocks noChangeArrowheads="1"/>
                        </wps:cNvSpPr>
                        <wps:spPr bwMode="auto">
                          <a:xfrm>
                            <a:off x="2075815" y="4249420"/>
                            <a:ext cx="1019175" cy="266065"/>
                          </a:xfrm>
                          <a:prstGeom prst="rect">
                            <a:avLst/>
                          </a:prstGeom>
                          <a:solidFill>
                            <a:srgbClr val="FFFFFF"/>
                          </a:solidFill>
                          <a:ln w="9525">
                            <a:solidFill>
                              <a:srgbClr val="000000"/>
                            </a:solidFill>
                            <a:miter lim="800000"/>
                          </a:ln>
                        </wps:spPr>
                        <wps:txbx>
                          <w:txbxContent>
                            <w:p w14:paraId="026C685B">
                              <w:pPr>
                                <w:jc w:val="center"/>
                                <w:rPr>
                                  <w:rFonts w:eastAsia="黑体"/>
                                  <w:sz w:val="18"/>
                                  <w:szCs w:val="18"/>
                                </w:rPr>
                              </w:pPr>
                              <w:r>
                                <w:rPr>
                                  <w:rFonts w:hint="eastAsia" w:eastAsia="黑体"/>
                                  <w:sz w:val="18"/>
                                  <w:szCs w:val="18"/>
                                </w:rPr>
                                <w:t>三级</w:t>
                              </w:r>
                              <w:r>
                                <w:rPr>
                                  <w:rFonts w:eastAsia="黑体"/>
                                  <w:sz w:val="18"/>
                                  <w:szCs w:val="18"/>
                                </w:rPr>
                                <w:t>除氟</w:t>
                              </w:r>
                              <w:r>
                                <w:rPr>
                                  <w:rFonts w:hint="eastAsia" w:eastAsia="黑体"/>
                                  <w:sz w:val="18"/>
                                  <w:szCs w:val="18"/>
                                </w:rPr>
                                <w:t>沉淀池</w:t>
                              </w:r>
                            </w:p>
                          </w:txbxContent>
                        </wps:txbx>
                        <wps:bodyPr rot="0" vert="horz" wrap="square" lIns="91440" tIns="45720" rIns="91440" bIns="45720" anchor="t" anchorCtr="0" upright="1">
                          <a:noAutofit/>
                        </wps:bodyPr>
                      </wps:wsp>
                      <wps:wsp>
                        <wps:cNvPr id="761885012" name="AutoShape 124"/>
                        <wps:cNvCnPr>
                          <a:cxnSpLocks noChangeShapeType="1"/>
                        </wps:cNvCnPr>
                        <wps:spPr bwMode="auto">
                          <a:xfrm flipH="1">
                            <a:off x="2585720" y="4515485"/>
                            <a:ext cx="635" cy="287020"/>
                          </a:xfrm>
                          <a:prstGeom prst="straightConnector1">
                            <a:avLst/>
                          </a:prstGeom>
                          <a:noFill/>
                          <a:ln w="9525">
                            <a:solidFill>
                              <a:srgbClr val="000000"/>
                            </a:solidFill>
                            <a:round/>
                            <a:tailEnd type="triangle" w="sm" len="med"/>
                          </a:ln>
                        </wps:spPr>
                        <wps:bodyPr/>
                      </wps:wsp>
                      <wps:wsp>
                        <wps:cNvPr id="488851834" name="AutoShape 125"/>
                        <wps:cNvCnPr>
                          <a:cxnSpLocks noChangeShapeType="1"/>
                        </wps:cNvCnPr>
                        <wps:spPr bwMode="auto">
                          <a:xfrm rot="16200000" flipH="1">
                            <a:off x="1932305" y="3683000"/>
                            <a:ext cx="635" cy="285750"/>
                          </a:xfrm>
                          <a:prstGeom prst="straightConnector1">
                            <a:avLst/>
                          </a:prstGeom>
                          <a:noFill/>
                          <a:ln w="9525">
                            <a:solidFill>
                              <a:srgbClr val="000000"/>
                            </a:solidFill>
                            <a:round/>
                            <a:tailEnd type="triangle" w="sm" len="med"/>
                          </a:ln>
                        </wps:spPr>
                        <wps:bodyPr/>
                      </wps:wsp>
                      <wps:wsp>
                        <wps:cNvPr id="1006201545" name="Text Box 126"/>
                        <wps:cNvSpPr txBox="1">
                          <a:spLocks noChangeArrowheads="1"/>
                        </wps:cNvSpPr>
                        <wps:spPr bwMode="auto">
                          <a:xfrm>
                            <a:off x="679450" y="3587750"/>
                            <a:ext cx="1047750" cy="486410"/>
                          </a:xfrm>
                          <a:prstGeom prst="rect">
                            <a:avLst/>
                          </a:prstGeom>
                          <a:solidFill>
                            <a:srgbClr val="FFFFFF"/>
                          </a:solidFill>
                          <a:ln>
                            <a:noFill/>
                          </a:ln>
                        </wps:spPr>
                        <wps:txbx>
                          <w:txbxContent>
                            <w:p w14:paraId="13EC2787">
                              <w:pPr>
                                <w:jc w:val="center"/>
                                <w:rPr>
                                  <w:rFonts w:hint="eastAsia" w:hAnsi="黑体" w:eastAsia="黑体"/>
                                  <w:sz w:val="18"/>
                                  <w:szCs w:val="18"/>
                                </w:rPr>
                              </w:pPr>
                              <w:r>
                                <w:rPr>
                                  <w:rFonts w:hAnsi="黑体" w:eastAsia="黑体"/>
                                  <w:sz w:val="18"/>
                                  <w:szCs w:val="18"/>
                                </w:rPr>
                                <w:t>石灰、氯化钙、</w:t>
                              </w:r>
                            </w:p>
                            <w:p w14:paraId="65B52FEC">
                              <w:pPr>
                                <w:jc w:val="center"/>
                                <w:rPr>
                                  <w:rFonts w:eastAsia="黑体"/>
                                  <w:sz w:val="18"/>
                                  <w:szCs w:val="18"/>
                                </w:rPr>
                              </w:pPr>
                              <w:r>
                                <w:rPr>
                                  <w:rFonts w:hAnsi="黑体" w:eastAsia="黑体"/>
                                  <w:sz w:val="18"/>
                                  <w:szCs w:val="18"/>
                                </w:rPr>
                                <w:t>盐酸</w:t>
                              </w:r>
                            </w:p>
                          </w:txbxContent>
                        </wps:txbx>
                        <wps:bodyPr rot="0" vert="horz" wrap="square" lIns="91440" tIns="45720" rIns="91440" bIns="45720" anchor="t" anchorCtr="0" upright="1">
                          <a:noAutofit/>
                        </wps:bodyPr>
                      </wps:wsp>
                      <wps:wsp>
                        <wps:cNvPr id="1518246083" name="Text Box 127"/>
                        <wps:cNvSpPr txBox="1">
                          <a:spLocks noChangeArrowheads="1"/>
                        </wps:cNvSpPr>
                        <wps:spPr bwMode="auto">
                          <a:xfrm>
                            <a:off x="2071370" y="4815205"/>
                            <a:ext cx="1019175" cy="266700"/>
                          </a:xfrm>
                          <a:prstGeom prst="rect">
                            <a:avLst/>
                          </a:prstGeom>
                          <a:solidFill>
                            <a:srgbClr val="FFFFFF"/>
                          </a:solidFill>
                          <a:ln w="9525">
                            <a:solidFill>
                              <a:srgbClr val="000000"/>
                            </a:solidFill>
                            <a:miter lim="800000"/>
                          </a:ln>
                        </wps:spPr>
                        <wps:txbx>
                          <w:txbxContent>
                            <w:p w14:paraId="72FC6552">
                              <w:pPr>
                                <w:jc w:val="center"/>
                                <w:rPr>
                                  <w:rFonts w:eastAsia="黑体"/>
                                  <w:sz w:val="18"/>
                                  <w:szCs w:val="18"/>
                                </w:rPr>
                              </w:pPr>
                              <w:r>
                                <w:rPr>
                                  <w:rFonts w:hint="eastAsia" w:eastAsia="黑体"/>
                                  <w:sz w:val="18"/>
                                  <w:szCs w:val="18"/>
                                </w:rPr>
                                <w:t>四级</w:t>
                              </w:r>
                              <w:r>
                                <w:rPr>
                                  <w:rFonts w:eastAsia="黑体"/>
                                  <w:sz w:val="18"/>
                                  <w:szCs w:val="18"/>
                                </w:rPr>
                                <w:t>除氟反应池</w:t>
                              </w:r>
                            </w:p>
                          </w:txbxContent>
                        </wps:txbx>
                        <wps:bodyPr rot="0" vert="horz" wrap="square" lIns="91440" tIns="45720" rIns="91440" bIns="45720" anchor="t" anchorCtr="0" upright="1">
                          <a:noAutofit/>
                        </wps:bodyPr>
                      </wps:wsp>
                      <wps:wsp>
                        <wps:cNvPr id="1096486128" name="AutoShape 128"/>
                        <wps:cNvCnPr>
                          <a:cxnSpLocks noChangeShapeType="1"/>
                        </wps:cNvCnPr>
                        <wps:spPr bwMode="auto">
                          <a:xfrm flipH="1">
                            <a:off x="2580640" y="5081905"/>
                            <a:ext cx="635" cy="285115"/>
                          </a:xfrm>
                          <a:prstGeom prst="straightConnector1">
                            <a:avLst/>
                          </a:prstGeom>
                          <a:noFill/>
                          <a:ln w="9525">
                            <a:solidFill>
                              <a:srgbClr val="000000"/>
                            </a:solidFill>
                            <a:round/>
                            <a:tailEnd type="triangle" w="sm" len="med"/>
                          </a:ln>
                        </wps:spPr>
                        <wps:bodyPr/>
                      </wps:wsp>
                      <wps:wsp>
                        <wps:cNvPr id="1829982453" name="Text Box 129"/>
                        <wps:cNvSpPr txBox="1">
                          <a:spLocks noChangeArrowheads="1"/>
                        </wps:cNvSpPr>
                        <wps:spPr bwMode="auto">
                          <a:xfrm>
                            <a:off x="2075815" y="5367020"/>
                            <a:ext cx="1019175" cy="266065"/>
                          </a:xfrm>
                          <a:prstGeom prst="rect">
                            <a:avLst/>
                          </a:prstGeom>
                          <a:solidFill>
                            <a:srgbClr val="FFFFFF"/>
                          </a:solidFill>
                          <a:ln w="9525">
                            <a:solidFill>
                              <a:srgbClr val="000000"/>
                            </a:solidFill>
                            <a:miter lim="800000"/>
                          </a:ln>
                        </wps:spPr>
                        <wps:txbx>
                          <w:txbxContent>
                            <w:p w14:paraId="57C7ECE7">
                              <w:pPr>
                                <w:jc w:val="center"/>
                                <w:rPr>
                                  <w:rFonts w:eastAsia="黑体"/>
                                  <w:sz w:val="18"/>
                                  <w:szCs w:val="18"/>
                                </w:rPr>
                              </w:pPr>
                              <w:r>
                                <w:rPr>
                                  <w:rFonts w:hint="eastAsia" w:eastAsia="黑体"/>
                                  <w:sz w:val="18"/>
                                  <w:szCs w:val="18"/>
                                </w:rPr>
                                <w:t>四级</w:t>
                              </w:r>
                              <w:r>
                                <w:rPr>
                                  <w:rFonts w:eastAsia="黑体"/>
                                  <w:sz w:val="18"/>
                                  <w:szCs w:val="18"/>
                                </w:rPr>
                                <w:t>除氟</w:t>
                              </w:r>
                              <w:r>
                                <w:rPr>
                                  <w:rFonts w:hint="eastAsia" w:eastAsia="黑体"/>
                                  <w:sz w:val="18"/>
                                  <w:szCs w:val="18"/>
                                </w:rPr>
                                <w:t>沉淀池</w:t>
                              </w:r>
                            </w:p>
                          </w:txbxContent>
                        </wps:txbx>
                        <wps:bodyPr rot="0" vert="horz" wrap="square" lIns="91440" tIns="45720" rIns="91440" bIns="45720" anchor="t" anchorCtr="0" upright="1">
                          <a:noAutofit/>
                        </wps:bodyPr>
                      </wps:wsp>
                      <wps:wsp>
                        <wps:cNvPr id="872942710" name="AutoShape 130"/>
                        <wps:cNvCnPr>
                          <a:cxnSpLocks noChangeShapeType="1"/>
                        </wps:cNvCnPr>
                        <wps:spPr bwMode="auto">
                          <a:xfrm flipH="1">
                            <a:off x="2585720" y="5633085"/>
                            <a:ext cx="635" cy="287020"/>
                          </a:xfrm>
                          <a:prstGeom prst="straightConnector1">
                            <a:avLst/>
                          </a:prstGeom>
                          <a:noFill/>
                          <a:ln w="9525">
                            <a:solidFill>
                              <a:srgbClr val="000000"/>
                            </a:solidFill>
                            <a:round/>
                            <a:tailEnd type="triangle" w="sm" len="med"/>
                          </a:ln>
                        </wps:spPr>
                        <wps:bodyPr/>
                      </wps:wsp>
                      <wps:wsp>
                        <wps:cNvPr id="1620134506" name="AutoShape 131"/>
                        <wps:cNvCnPr>
                          <a:cxnSpLocks noChangeShapeType="1"/>
                        </wps:cNvCnPr>
                        <wps:spPr bwMode="auto">
                          <a:xfrm rot="16200000" flipH="1">
                            <a:off x="1932305" y="4800600"/>
                            <a:ext cx="635" cy="285750"/>
                          </a:xfrm>
                          <a:prstGeom prst="straightConnector1">
                            <a:avLst/>
                          </a:prstGeom>
                          <a:noFill/>
                          <a:ln w="9525">
                            <a:solidFill>
                              <a:srgbClr val="000000"/>
                            </a:solidFill>
                            <a:round/>
                            <a:tailEnd type="triangle" w="sm" len="med"/>
                          </a:ln>
                        </wps:spPr>
                        <wps:bodyPr/>
                      </wps:wsp>
                      <wps:wsp>
                        <wps:cNvPr id="1862681782" name="Text Box 132"/>
                        <wps:cNvSpPr txBox="1">
                          <a:spLocks noChangeArrowheads="1"/>
                        </wps:cNvSpPr>
                        <wps:spPr bwMode="auto">
                          <a:xfrm>
                            <a:off x="687070" y="4706620"/>
                            <a:ext cx="1047750" cy="490855"/>
                          </a:xfrm>
                          <a:prstGeom prst="rect">
                            <a:avLst/>
                          </a:prstGeom>
                          <a:solidFill>
                            <a:srgbClr val="FFFFFF"/>
                          </a:solidFill>
                          <a:ln>
                            <a:noFill/>
                          </a:ln>
                        </wps:spPr>
                        <wps:txbx>
                          <w:txbxContent>
                            <w:p w14:paraId="2BD84C56">
                              <w:pPr>
                                <w:jc w:val="center"/>
                                <w:rPr>
                                  <w:rFonts w:eastAsia="黑体"/>
                                  <w:sz w:val="18"/>
                                  <w:szCs w:val="18"/>
                                </w:rPr>
                              </w:pPr>
                              <w:r>
                                <w:rPr>
                                  <w:rFonts w:eastAsia="黑体"/>
                                  <w:sz w:val="18"/>
                                  <w:szCs w:val="18"/>
                                </w:rPr>
                                <w:t>PAC</w:t>
                              </w:r>
                              <w:r>
                                <w:rPr>
                                  <w:rFonts w:hAnsi="黑体" w:eastAsia="黑体"/>
                                  <w:sz w:val="18"/>
                                  <w:szCs w:val="18"/>
                                </w:rPr>
                                <w:t>、</w:t>
                              </w:r>
                              <w:r>
                                <w:rPr>
                                  <w:rFonts w:eastAsia="黑体"/>
                                  <w:sz w:val="18"/>
                                  <w:szCs w:val="18"/>
                                </w:rPr>
                                <w:t>PAM、深度高效除氟剂</w:t>
                              </w:r>
                            </w:p>
                          </w:txbxContent>
                        </wps:txbx>
                        <wps:bodyPr rot="0" vert="horz" wrap="square" lIns="91440" tIns="45720" rIns="91440" bIns="45720" anchor="t" anchorCtr="0" upright="1">
                          <a:noAutofit/>
                        </wps:bodyPr>
                      </wps:wsp>
                      <wps:wsp>
                        <wps:cNvPr id="553356459" name="AutoShape 133"/>
                        <wps:cNvCnPr>
                          <a:cxnSpLocks noChangeShapeType="1"/>
                        </wps:cNvCnPr>
                        <wps:spPr bwMode="auto">
                          <a:xfrm flipV="1">
                            <a:off x="3094990" y="3277235"/>
                            <a:ext cx="1007745" cy="635"/>
                          </a:xfrm>
                          <a:prstGeom prst="straightConnector1">
                            <a:avLst/>
                          </a:prstGeom>
                          <a:noFill/>
                          <a:ln w="9525">
                            <a:solidFill>
                              <a:srgbClr val="0000FF"/>
                            </a:solidFill>
                            <a:round/>
                            <a:tailEnd type="triangle" w="sm" len="med"/>
                          </a:ln>
                        </wps:spPr>
                        <wps:bodyPr/>
                      </wps:wsp>
                      <wps:wsp>
                        <wps:cNvPr id="868754892" name="AutoShape 134"/>
                        <wps:cNvCnPr>
                          <a:cxnSpLocks noChangeShapeType="1"/>
                        </wps:cNvCnPr>
                        <wps:spPr bwMode="auto">
                          <a:xfrm flipV="1">
                            <a:off x="3102610" y="4383405"/>
                            <a:ext cx="1007745" cy="635"/>
                          </a:xfrm>
                          <a:prstGeom prst="straightConnector1">
                            <a:avLst/>
                          </a:prstGeom>
                          <a:noFill/>
                          <a:ln w="9525">
                            <a:solidFill>
                              <a:srgbClr val="0000FF"/>
                            </a:solidFill>
                            <a:round/>
                            <a:tailEnd type="triangle" w="sm" len="med"/>
                          </a:ln>
                        </wps:spPr>
                        <wps:bodyPr/>
                      </wps:wsp>
                      <wps:wsp>
                        <wps:cNvPr id="2126005887" name="AutoShape 135"/>
                        <wps:cNvCnPr>
                          <a:cxnSpLocks noChangeShapeType="1"/>
                        </wps:cNvCnPr>
                        <wps:spPr bwMode="auto">
                          <a:xfrm flipV="1">
                            <a:off x="3086100" y="5498465"/>
                            <a:ext cx="1007745" cy="635"/>
                          </a:xfrm>
                          <a:prstGeom prst="straightConnector1">
                            <a:avLst/>
                          </a:prstGeom>
                          <a:noFill/>
                          <a:ln w="9525">
                            <a:solidFill>
                              <a:srgbClr val="0000FF"/>
                            </a:solidFill>
                            <a:round/>
                            <a:tailEnd type="triangle" w="sm" len="med"/>
                          </a:ln>
                        </wps:spPr>
                        <wps:bodyPr/>
                      </wps:wsp>
                      <wps:wsp>
                        <wps:cNvPr id="45955503" name="AutoShape 136"/>
                        <wps:cNvCnPr>
                          <a:cxnSpLocks noChangeShapeType="1"/>
                        </wps:cNvCnPr>
                        <wps:spPr bwMode="auto">
                          <a:xfrm flipH="1">
                            <a:off x="3090545" y="4943475"/>
                            <a:ext cx="1737995" cy="5080"/>
                          </a:xfrm>
                          <a:prstGeom prst="straightConnector1">
                            <a:avLst/>
                          </a:prstGeom>
                          <a:noFill/>
                          <a:ln w="9525">
                            <a:solidFill>
                              <a:srgbClr val="00B050"/>
                            </a:solidFill>
                            <a:round/>
                            <a:tailEnd type="triangle" w="sm" len="med"/>
                          </a:ln>
                        </wps:spPr>
                        <wps:bodyPr/>
                      </wps:wsp>
                      <wps:wsp>
                        <wps:cNvPr id="57021554" name="AutoShape 137"/>
                        <wps:cNvCnPr>
                          <a:cxnSpLocks noChangeShapeType="1"/>
                        </wps:cNvCnPr>
                        <wps:spPr bwMode="auto">
                          <a:xfrm flipH="1">
                            <a:off x="2564765" y="6819900"/>
                            <a:ext cx="4445" cy="285750"/>
                          </a:xfrm>
                          <a:prstGeom prst="straightConnector1">
                            <a:avLst/>
                          </a:prstGeom>
                          <a:noFill/>
                          <a:ln w="9525">
                            <a:solidFill>
                              <a:srgbClr val="000000"/>
                            </a:solidFill>
                            <a:round/>
                            <a:tailEnd type="triangle" w="sm" len="med"/>
                          </a:ln>
                        </wps:spPr>
                        <wps:bodyPr/>
                      </wps:wsp>
                      <wps:wsp>
                        <wps:cNvPr id="748285807" name="Text Box 138"/>
                        <wps:cNvSpPr txBox="1">
                          <a:spLocks noChangeArrowheads="1"/>
                        </wps:cNvSpPr>
                        <wps:spPr bwMode="auto">
                          <a:xfrm>
                            <a:off x="1826895" y="7105650"/>
                            <a:ext cx="1453515" cy="257175"/>
                          </a:xfrm>
                          <a:prstGeom prst="rect">
                            <a:avLst/>
                          </a:prstGeom>
                          <a:solidFill>
                            <a:srgbClr val="FFFFFF"/>
                          </a:solidFill>
                          <a:ln>
                            <a:noFill/>
                          </a:ln>
                        </wps:spPr>
                        <wps:txbx>
                          <w:txbxContent>
                            <w:p w14:paraId="23F540BB">
                              <w:pPr>
                                <w:jc w:val="center"/>
                                <w:rPr>
                                  <w:rFonts w:eastAsia="黑体"/>
                                  <w:sz w:val="18"/>
                                  <w:szCs w:val="18"/>
                                </w:rPr>
                              </w:pPr>
                              <w:r>
                                <w:rPr>
                                  <w:rFonts w:eastAsia="黑体"/>
                                  <w:sz w:val="18"/>
                                  <w:szCs w:val="18"/>
                                </w:rPr>
                                <w:t>沫河口污水处理厂</w:t>
                              </w:r>
                            </w:p>
                          </w:txbxContent>
                        </wps:txbx>
                        <wps:bodyPr rot="0" vert="horz" wrap="square" lIns="91440" tIns="45720" rIns="91440" bIns="45720" anchor="t" anchorCtr="0" upright="1">
                          <a:noAutofit/>
                        </wps:bodyPr>
                      </wps:wsp>
                    </wpc:wpc>
                  </a:graphicData>
                </a:graphic>
              </wp:inline>
            </w:drawing>
          </mc:Choice>
          <mc:Fallback>
            <w:pict>
              <v:group id="画布 705" o:spid="_x0000_s1026" o:spt="203" style="height:585.3pt;width:415.3pt;" coordsize="5274310,7433310" editas="canvas" o:gfxdata="UEsDBAoAAAAAAIdO4kAAAAAAAAAAAAAAAAAEAAAAZHJzL1BLAwQUAAAACACHTuJAQBDFj9cAAAAG&#10;AQAADwAAAGRycy9kb3ducmV2LnhtbE2PQUvDQBCF70L/wzIFL2J3o1BLzKaHQmkRoZhqz9vsmASz&#10;s2l2m9R/7+ilXoYZ3uPN97LlxbViwD40njQkMwUCqfS2oUrD+359vwARoiFrWk+o4RsDLPPJTWZS&#10;60d6w6GIleAQCqnRUMfYpVKGskZnwsx3SKx9+t6ZyGdfSdubkcNdKx+UmktnGuIPtelwVWP5VZyd&#10;hrHcDYf960bu7g5bT6ftaVV8vGh9O03UM4iIl3g1wy8+o0POTEd/JhtEq4GLxL/J2uJRzUEc2ZQ8&#10;8SbzTP7Hz38AUEsDBBQAAAAIAIdO4kAGwB9qGwsAAKRvAAAOAAAAZHJzL2Uyb0RvYy54bWztXduO&#10;28gVfA+QfyD0vh72vSl4vNgdr50Am2QBO/vOkahLIpEKybHGec0v5GMC5HuC/Eaqm7cWxfHMeiLS&#10;a/Q82LpSZLNYfU6dOs2X397vd8GHJC+2WXo9Iy/CWZCki2y5TdfXsz+/f/ONngVFGafLeJelyfXs&#10;Y1LMvn3129+8PB7mCc022W6Z5AE2khbz4+F6tinLw/zqqlhskn1cvMgOSYo3V1m+j0s8zddXyzw+&#10;Yuv73RUNQ3l1zPLlIc8WSVHg1dfVm7N6i/lTNpitVttF8jpb3O2TtKy2mie7uMQhFZvtoZi9snu7&#10;WiWL8k+rVZGUwe56hiMt7b/4ETy+Nf9evXoZz9d5fNhsF/UuxE/Zhd4x7eNtih9tN/U6LuPgLt+e&#10;bWq/XeRZka3KF4tsf1UdiB0RHAUJe2PzNs/uDvZY1vPj+tAOOk5Ub9Q/e7OLP374KQ+2SyBBSK2Y&#10;oBpDk8Z7nPn//vPf//nXPwIVCjNMx8N6jk+/zQ/vDj/l9Qvr6pk58vtVvjf/45iCezvAH9sBTu7L&#10;YIEXBVWcEfzAAu/hITNP7ClYbHCezr632PzwyDevmh++MvvX7s7xAHAW3YgVzxuxd5v4kNgTUZgx&#10;qEdMhZzIUFPaDNh7c5zfZ/dBxKoRs582wxWU93gdg2xBUhx+zBZ/LYI0u9nE6Tr5Ls+z4yaJl9hN&#10;Yr6Jg2m/aka+mBdmI7fHP2RLnJj4rszshnpjThQnRGF4Mbo0IiGX1eA2w091JGRYDz+VUuGx+bVm&#10;DOP5IS/Kt0m2D8yD61mO68f+UPzhx6KsPtp8xJzrItttl2+2u519kq9vb3Z58CHGtfbG/tVbP/nY&#10;LjUfTjPztWqL5hV7xOYgq8Mt72/v8aY58tts+RHHnmfVtQvmwoNNlv99Fhxx3V7Pir/dxXkyC3a/&#10;TzF+EeEcR1jaJ1woiie5+86t+06cLrCp61k5C6qHN2VFDneHfLve4JeqM5Zm32HMV1s7Bt1e1fsN&#10;pFX7enHIESalFDpS7Bxz3Iy2A5xxMEdDKSMqLOYicAjgh92I5w3mSEgiovC+ueSnw1xwBDQE9vPT&#10;sA3t3xBs99sS095uu7+eafdDHrwDE9cwXxKpABUqzSVZzTDmorKfDaJ6jrG0d5MaHojni/v0XY8q&#10;7afffzyABU+YsvrKp5kyWO22h981l3Q9T1GhpGbYI8BT0ijCzp3ilxpCteDVQolHCLMo89jwxk2W&#10;puDOLK/o4wH6bEkwnu/SZyMUwUK6tPtextvdD+kyKO04lfkWk8wODIlroNiDKBMEfvtkWcN8AMEV&#10;52JblpZHpLcIf1KosJ1SHYTYyazmt3ERogk1DAaEEJAZJtFTiEjW0JtHyKVjLiK5ZJoj9Go4pAu6&#10;lDktk06AhCsleQ8efgb04RtGwOZYkSCKMS1b9Dr8ph34jstvShJwmuU3xTnrA9jz23gzIOdCm7wS&#10;p6MKkTp6ixx8jJdT0lAR1uSUIQvD/uzn6c3TW0NvFFhhkeJRg96O3kilNUwSv3X8RlkoWT/E9/w2&#10;Hr+RiBNOGeNthN8SHIhkeoYTSAC9hDH3+tuwhKEEI0KD5IYIjjrwHTeA06E0oqdR2DTihz6APcGN&#10;SHBKI0pCFaWdAx2Cm6YsAEYDZqsAn0EeF/0JsB/ChdKmsGPXBZ6tgHmN9hcUF4cJjuiQA76EoArc&#10;12hRUJqO4apKDhiOcRIK3dNYHIaDeOhF2ro6f5Gyp6acQjXHKPdTVJwYByBj5qhC8FrBQACnwqgv&#10;4vsilK+g1hIcI4zICBpyA183Rx2jxmAr2UTCC4O/2WBRikQh5bKK6AgXqLD2AO3wnS9KXdjmgYqP&#10;INDABmdEt+ZwqZj/SYBhkDaqEA/cbIw8hom7MrwHzHgpAA25Rp5IxGCWOILMb058Xd5mmAsFBH2b&#10;GxLJEP2fAsPE/rqxZAHkIRH2Ew8H/7fw3LX1bfope9Dn1rffvDH7iD04MQ4NRvfx/Fdb7EYpKIR9&#10;TJChicgV+y/FK60dws5BP/eMESfIUVTws6xR0Cg0bkFjjoCip0xIWJ23xpfWeMVqO9kJcliHHIPX&#10;9bKOJuPlXzAiq/0OPkxYyYJvCI9CS7MAhDVSWGg0mzbf/TycfR+2bo6vGmdE4JIO4RwbwFllv5xE&#10;lIcVyNAOsIPqI1P9CAeWiwZaAprxI8jyvpsnWoofyPo5x5QV0mgQI64sfykuelKMA/cNEn8DGREZ&#10;eno4KIZH5JFZzCPmeYiRBCm3jHQb43QyJ3GF8PFUACR1Zo4y8CBcImI/i3QwRYHyq/kKMY93P//K&#10;3M9QruGeEV1c7WBuGmldoZZZK+tIuxSvhPMu7YJk2mEO7lKEe58Okbzj/gtz3IPktJR6SO0krhw+&#10;Hs85mDORkTw35FCpjBpaO+4nquacBOYI3Qdsxp9fZQaLVx0eeFB1d+BB1dmBB01Xx6LMmyc3X3hf&#10;hyYEskFkpqee7ws6gqGM0X2tcDpHspaUJDgXeqXZD4fbKNpQzAem7ey4KM6+7m4iFqF/LUQeNgA6&#10;Vwkfj9sY9oebi8DG+IjiYGs4BZ2v5PhKTl3J0SKCVxaxfgNfp5JDxhDmWwHNcFAtuKIDM0SIWgkb&#10;lFLWDwmRajec6dtFLt0uorVJF5QccBvC4TDFtMrQBCdrhsP/mPd7aSqaW6C21rOqUKZ3Evv5sBzv&#10;M4YvLGOw/gO0Vg/Nqq6sP96syrXWKA9aToJGwmAS7M2qkGAbzOFiMcXCZ2HuRJD/PwRoSfwz2r6H&#10;G75xWF9VKoDSrYTOIdpycydyVPWV0TMBY7hqGiAZVOIQUDkJyihDh2RNWR4+ddds1UNbPxmv+Iyk&#10;DW3u1Sob/UwSgf4UU57bQsRkpExWeYKfvv90onUpvP90+gUupAwVF6CbgZgeC6108L1UIWoopqei&#10;M9izSMIg2wOw666pA7qHAzZfeXpW5QmCu8KyQdFAeEWnKQK4/npOeXTulOiJFhMpsp7fpuc3tCJq&#10;VNpRIj2311O3njAyv7X2eg63CLwApxO0w2/eXn9hu6lJ1gTRbMifXAXeF7brPMmK0dlNmVk+p18b&#10;cADj/ckXBgyMDDCT46pFBnYW8U8j46P+2Kj4zPQjQu/qBfxOWZxjOYzH/F1e5PrCRC6YCtEHBPvq&#10;gP8HwXsXp4+ncrlpJke/I+1H6T7N9CtVNCtVhEjjtCS0Vdmc2hFe7PA7chzWNnKb0gCs+6e86U6r&#10;Ps9s18O9SJsj+C2KwHFDbjM6jY7vJpoChaS609WxZPhE01fHq+q4VhRChDIW+7M+bpSCJiO4NtEU&#10;krHaDtkB2CG4Bt1eSEO+d4nlq00LKsFib+GQf4K5pYJLzYG/MNPkWHjXLF99kko4iPGZ5qUzTY3a&#10;sCZKt+pVV5tkrjg/XtCPNevNek3GL4ZFQSUgfQqPEwM2Gsn0Y92NPtP8wjJN+HdQEeeiXU/HidSx&#10;DtM4E9lAcySHm79yVFAYds6bTUK0A9Q1ccNR2M+pZ7LhttqvYNloDRaAaB21tORCZCxR/QwiJKSy&#10;7nDkDHpuP5mDbuchMtaNEyihCB2E1kOF5eryvLCsbgrLZxgJoUEgorF2Zx7pgf4hj5HRbq6BOUag&#10;U7pVNF0WcXX0S4XDQ9YDtwsflWV02fckIRTDVdR0+0A0svHPtDPNQ431X8FMY25NgG76odocc1Xv&#10;MSFCER0puMwNiSA6R1jSi4G949zcC2qkO/Qors0anFix4qwYx1xdebwUCUKmNPesMPiAHgR3aQ8f&#10;WGGKoervLefIISt5qmkghOX4ubeFsvclw83bbPhf32jO3B3OfW5Not3N9V79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IsNAABbQ29udGVudF9U&#10;eXBlc10ueG1sUEsBAhQACgAAAAAAh07iQAAAAAAAAAAAAAAAAAYAAAAAAAAAAAAQAAAAbQwAAF9y&#10;ZWxzL1BLAQIUABQAAAAIAIdO4kCKFGY80QAAAJQBAAALAAAAAAAAAAEAIAAAAJEMAABfcmVscy8u&#10;cmVsc1BLAQIUAAoAAAAAAIdO4kAAAAAAAAAAAAAAAAAEAAAAAAAAAAAAEAAAAAAAAABkcnMvUEsB&#10;AhQAFAAAAAgAh07iQEAQxY/XAAAABgEAAA8AAAAAAAAAAQAgAAAAIgAAAGRycy9kb3ducmV2Lnht&#10;bFBLAQIUABQAAAAIAIdO4kAGwB9qGwsAAKRvAAAOAAAAAAAAAAEAIAAAACYBAABkcnMvZTJvRG9j&#10;LnhtbFBLBQYAAAAABgAGAFkBAACzDgAAAAA=&#10;">
                <o:lock v:ext="edit" aspectratio="f"/>
                <v:shape id="画布 705" o:spid="_x0000_s1026" style="position:absolute;left:0;top:0;height:7433310;width:5274310;" filled="f" stroked="f" coordsize="21600,21600" o:gfxdata="UEsDBAoAAAAAAIdO4kAAAAAAAAAAAAAAAAAEAAAAZHJzL1BLAwQUAAAACACHTuJAQBDFj9cAAAAG&#10;AQAADwAAAGRycy9kb3ducmV2LnhtbE2PQUvDQBCF70L/wzIFL2J3o1BLzKaHQmkRoZhqz9vsmASz&#10;s2l2m9R/7+ilXoYZ3uPN97LlxbViwD40njQkMwUCqfS2oUrD+359vwARoiFrWk+o4RsDLPPJTWZS&#10;60d6w6GIleAQCqnRUMfYpVKGskZnwsx3SKx9+t6ZyGdfSdubkcNdKx+UmktnGuIPtelwVWP5VZyd&#10;hrHcDYf960bu7g5bT6ftaVV8vGh9O03UM4iIl3g1wy8+o0POTEd/JhtEq4GLxL/J2uJRzUEc2ZQ8&#10;8SbzTP7Hz38AUEsDBBQAAAAIAIdO4kAgHqRlvgoAAPNuAAAOAAAAZHJzL2Uyb0RvYy54bWztXV1z&#10;28YVfe9M/wMG77H2GwuO6UwiV21n0jYzdvIOkaDIlgRYADLl/PqexecShCLFKgBbs3qwSRECF8DB&#10;2XvPPXfx9vuHw977FGf5Lk2WPn1DfC9OVul6l9wt/V8+3nynfS8vomQd7dMkXvqf49z//t2f//T2&#10;dFzELN2m+3WcedhJki9Ox6W/LYrj4uoqX23jQ5S/SY9xgg83aXaICrzN7q7WWXTC3g/7K0aIujql&#10;2fqYpas4z/Hb99WHfr3H7Dk7TDeb3Sp+n67uD3FSVHvN4n1U4JDy7e6Y++/K0W428ar412aTx4W3&#10;X/o40qL8F1+C17fm36t3b6PFXRYdt7tVPYToOUPoHdMh2iX40nZX76Mi8u6z3cWuDrtVlubppniz&#10;Sg9X1YGUZwRHQUnv3FxHyaeoOpgVznUzQLz6P+739s6MO0lvdvs9zsYV9r4wvzP/n3C1Y/zydMS1&#10;zo/tVc9f9v0fttExLq9Rvlj989PPmbdbL/2ACKqIZsz3kugA5H2MHwrvx/TBC7m5TmYQ2PrDEdsX&#10;D/g90Fue8/z4U7r6T+4l6fU2Su7iH7IsPW3jaI1hUvOXOKb2T6v95GYnt6d/pGt8T3RfpOWOHjbZ&#10;wZwMXBbP7D0QlAZAyuelz0JKhKrgYoa1wudMh1IRfL4yGygV4LX5tmjR7OiY5cVf4/TgmRdLPwMc&#10;yy+KPv2UF9WmzSbme/N0v1ub61C+ye5ur/eZ9ykCdG/Kn3rvZ5vtk/PLFy3Mb8ojNgdZHW7xcPtQ&#10;n8HbdP0Zx56l1a0AIsCLbZr95nsn3AZLP//vfZTFvrf/e4LzF1IhzH1TvhEyYHiT2Z/c2p9EyQq7&#10;WvqF71Uvr4vqXrs/Zru7Lb6pumJJ+gPO+WZXngNzcapR1eMG0iaCHOVKKanDgF9iTpizbQFnGswx&#10;olTIZIm5kEpg6hxzlNCQBvh8Xsx5J0BDYpy/D1tS/gzB9rArMIvsd4elr+2NHHgH5oFhvqQqAFSY&#10;MrdkRZjmpiq39UJpofc6MTwQLVYPyYceVZZbf/x8BAueMWX1Jwb9jzOlt9nvjn9rbumaM5kMlOYY&#10;EShRsTDE4HAbRYuGMykzhFqCV8tAPkGYeZFFhjeu0yQBd6ZZRR+P0Gc7hxkOfDFCs/Q+WZdjL6Ld&#10;/i/J2ivK81RkO0wyezAk7oH8AKKMEUcd4nUN8wEEV+yGfZW0PCG9hfhRMiDtlGohpJzMan6bFiEa&#10;IKgYjoLMMImeQ0Txht4cQsaOuagSimuB0KvhkC7oCiwKmS7osidAKoJAiR483AzowjecAZMx0FDS&#10;gHOtWvRa/KYt+E7Lb4HCwMoZEBmE4H0AO36bbgYUQmqTV+Jy9HPK0MLHlPQWUN7klIQT0p/9HL05&#10;emvojQErPAxE2KC3ozdaaQ2zxG8dvzFOFO+H+I7fpuM3GgoqGOeijfDb+A1EMj/DSSSATsJYOP1t&#10;WMIIJKdSg+SGCI5Z8J02gNNEGdHTqLoa8UMfwI7gJiS4QCNKYpq0c6BFcPOUBcBowGwV4HPI47I/&#10;AfZDOKLKFHbqusCLFTCn0f6BWt0wwVFNBOBLKYqqfY0WBaX5GK6q5IDhuKBE6p7GYjEcxEMn0tbF&#10;7lHKnpoJBtUcZ7mfouLCWACZMkeVUtQKBgK4gIR9Ed8VoVwFtZbgOOVUhdCQG/jaOeoUNYaykk0V&#10;rCX48QeLUjQkTKgqoqNCosLaA7TFd64oNbLNAxUfSaGBDc6Ids1hrJj/WYDhkDaqEA/crAOUpM7K&#10;mA4w06UAjAiNPJHKwSxxApnf1K/r8jbHXCgh6Je5IVUc0f85MEzsrymoxpS4AXJCZbnF48H/LSxs&#10;bX2b/Z496Evr2zc3ZowYwZlxaDC6jxbfbLEbpSAC+5ikQxORLfaPxSutHaKcg37tGSPOkBMwKS6y&#10;RslCohvkcJQ+nwq8z5DDO+QYvN6t62gyWv8bZ2Rz2MPWCCuZ9x0VISlpFoAojRQlNGwb2pfh7EfS&#10;ujleNc6oxC1N4BwbwBlufNxps4jysAIZ2jG2GxryoB/hdL4bLqEZu5RuzJQOohCmLMLCQYzYsvxY&#10;XPSsGAfuGyT+BjIyNPT0eFAMj8gTs5hzaj3T0/2ITqQoUm4V6jbG6WROagvh06kASOrMHGXgQYVC&#10;xH4R6WCKAuVXkQ5iHud+/sbcz1Cu4Z6RXVxtYW4eaT1ALbNW1pF2BaISzi33KLEwB3cpwr06tHWO&#10;+2/DcQ+S00rpIbWT2nL4dDxnYc5ERurSkMNUYNTQ2nE/UzXHBPVtYI7QfcBm/OVVZrB41eGBF1V3&#10;B15UnR140XR1rIqsefO193VoSiEbhGZ66vm+oCNYMfp0MIPTOVS1pKTAudArzTgsbmNoQzEbzNvZ&#10;MSrOXnc3EQ/Rv0aQhw2AzlbCpwMdx3iEuQnKGB9RHGwN56BzlRxXyakrOVqG8Moi1m/ga1Vy6BTC&#10;fCugGQ6qBVd0YBKEqJWwwRjj/ZAQqXbDma5dZOx2Ea1NuhCoAbchHA6d9DUlwwXo4KwYDv9j3u+l&#10;qWhugdpaz6oyML2TGOfjcrzr0f3KenRL/wFaq4dmVVvWnw5zQmuN8mDJSdBIOEyCvVkVEmyDOdws&#10;plj4Isy1cX8V9r84EYijX9H2PdzwjcN6VakASrcKOodsy82dyFHVV2q1fkL4wNfTNEByqMQEUDkL&#10;yhhHh2RNWQ4+ddfsXCsEoH8WxTpuaiv9TBKB/hxTHvynbQsRV2Fgssoz/PT9pzOtS+H8p/MvcKEU&#10;CYQE3TTotWJ6LLTSwXesQtRQTM9kZ7DnoYJBtgdg211TB3SPB2yu8vSiyhME9wDsFg6EV2yeIoDt&#10;rxdMhJdOiZ5oMZMi6/htfn5DK6JGpR0l0np2tvnNridMzG+tvV7ALQIvwPkEbfGbs9ePbDc1yZqk&#10;mg/5k6vAe2S7zrOsGJ3dlJvlc/q1AQswzp88MmBgZICZHHctMrCLiH8eGR/1x0bF56YfEXpXL+C3&#10;yuICy2E85e9yItdXJnLBVIg+INhXB/w/CN67OH06mcJOMwX6HVk/SndpplupolmpgiCN04qyVmWz&#10;4zC7MjBxHNY2cpvSAKz757xpT6suzxx3dVfwWxiC44bcZmweHd9ONCXHUpuVIGxZMlyi6arjVXVc&#10;BwxCRNDJwBbBoRTUTdATE1ybaErFeW2H7ABsEVyDbiekId8bY/lq04JKsdgbGfJPcLtUMBZE/mCm&#10;KbDwrlm++iyVsBDjMs2xM02N2rCmgW7Vq642yW1xfrqgX8EBVK9Oh0VBFSB9Dg+sWdGZ/tFIpp/q&#10;bnSZ5leWacK/g4q4kO16OvZEZgv+Y7GUqQgNNEcKuPkrRwWDYeey2YSgHaCuiRuOAmnNPZMNt9W+&#10;gmWjNVgAonXY0pINkalE9QuIUMKUCb9gZRUcem4/mYNu5yAy1YMTGGUIHaTWQ4Xl6vYcWVYfphFo&#10;EIhoSruzCPVA/5DDyGQP18AcI9Ep3SqaNovYOvqYE03/8QR2Fz4qy+iy70lCKIYHYdPtA9GojH/m&#10;nWkea6x/BTONeTQBuumHanPcVr2nhAhDdBTAZW5IBNE5wpJeDOwc5+ZZUBM9oScQ2qzBiRUrLopx&#10;3NaVp0uRIGQq88wKgw/oQXCX9vCBFaY4qv7Oco5ArZKnmgZCWI5f+lio8vFkeDRZGf7Xz20zD1uz&#10;35eO0e5Zde/+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4NAABbQ29udGVudF9UeXBlc10ueG1sUEsBAhQACgAAAAAAh07iQAAAAAAAAAAAAAAA&#10;AAYAAAAAAAAAAAAQAAAAEAwAAF9yZWxzL1BLAQIUABQAAAAIAIdO4kCKFGY80QAAAJQBAAALAAAA&#10;AAAAAAEAIAAAADQMAABfcmVscy8ucmVsc1BLAQIUAAoAAAAAAIdO4kAAAAAAAAAAAAAAAAAEAAAA&#10;AAAAAAAAEAAAAAAAAABkcnMvUEsBAhQAFAAAAAgAh07iQEAQxY/XAAAABgEAAA8AAAAAAAAAAQAg&#10;AAAAIgAAAGRycy9kb3ducmV2LnhtbFBLAQIUABQAAAAIAIdO4kAgHqRlvgoAAPNuAAAOAAAAAAAA&#10;AAEAIAAAACYBAABkcnMvZTJvRG9jLnhtbFBLBQYAAAAABgAGAFkBAABWDgAAAAA=&#10;">
                  <v:fill on="f" focussize="0,0"/>
                  <v:stroke on="f"/>
                  <v:imagedata o:title=""/>
                  <o:lock v:ext="edit" aspectratio="t"/>
                </v:shape>
                <v:shape id="Text Box 93" o:spid="_x0000_s1026" o:spt="202" type="#_x0000_t202" style="position:absolute;left:1741170;top:291046;height:266700;width:2895600;" fillcolor="#FFFFFF" filled="t" stroked="f" coordsize="21600,21600" o:gfxdata="UEsDBAoAAAAAAIdO4kAAAAAAAAAAAAAAAAAEAAAAZHJzL1BLAwQUAAAACACHTuJAhRPhk9QAAAAG&#10;AQAADwAAAGRycy9kb3ducmV2LnhtbE2PzU7DQAyE70i8w8pIXBDdhJ+kDdlUAgnEtaUP4GTdJGrW&#10;G2W3Tfv2GC5wsWzNaPxNuT67QZ1oCr1nA+kiAUXceNtza2D39X6/BBUissXBMxm4UIB1dX1VYmH9&#10;zBs6bWOrJIRDgQa6GMdC69B05DAs/Egs2t5PDqOcU6vthLOEu0E/JEmmHfYsHzoc6a2j5rA9OgP7&#10;z/nueTXXH3GXb56yV+zz2l+Mub1JkxdQkc7xzww/+IIOlTDV/sg2qMGAFIm/U7TlY5KBqsWU5rLp&#10;qtT/8atvUEsDBBQAAAAIAIdO4kCvq34/KwIAAFEEAAAOAAAAZHJzL2Uyb0RvYy54bWytVNtu2zAM&#10;fR+wfxD0vviyNDfEKboEGQZ03YB2HyDLcizMFjVKid19/Sg5bbPupQ/zg0CK1CHPEeX19dC17KTQ&#10;aTAFzyYpZ8pIqLQ5FPzHw/7DgjPnhalEC0YV/FE5fr15/27d25XKoYG2UsgIxLhVbwveeG9XSeJk&#10;ozrhJmCVoWAN2AlPLh6SCkVP6F2b5Gk6S3rAyiJI5Rzt7sYgPyPiWwChrrVUO5DHThk/oqJqhSdK&#10;rtHW8U3stq6V9N/q2inP2oITUx9XKkJ2GdZksxarAwrbaHluQbylhVecOqENFX2G2gkv2BH1P1Cd&#10;lggOaj+R0CUjkagIscjSV9rcN8KqyIWkdvZZdPf/YOXd6TsyXRV8nk6zWbrIc86M6OjiH9Tg2ScY&#10;2PJjkKm3bkXZ95by/UD7NDyRsrO3IH86ZmDbCHNQN4jQN0pU1GYWTiYXR0ccF0DK/itUVEccPUSg&#10;ocYuaEiqsIA+n2bZnC7qseD5Mkuns/G2QluS4vlieTVLKS5Dwmw2JztUE6snIIvOf1bQsWAUHGka&#10;YiFxunV+TH1KCXUdtLra67aNDh7KbYvsJGhy9vE7o/+V1pqQbCAcGxHDTmQcSI50/VAOFAwylFA9&#10;EneEcRLpHZLRAP7mrKcpLLj7dRSoOGu/GNJvmU2nYWyjM72a5+TgZaS8jAgjCargnrPR3Ppx1I8W&#10;9aGhSuONGbghzWsdNXjp6tw3TVpU8fwqwihf+jHr5U+w+Q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FE+GT1AAAAAYBAAAPAAAAAAAAAAEAIAAAACIAAABkcnMvZG93bnJldi54bWxQSwECFAAUAAAA&#10;CACHTuJAr6t+PysCAABRBAAADgAAAAAAAAABACAAAAAjAQAAZHJzL2Uyb0RvYy54bWxQSwUGAAAA&#10;AAYABgBZAQAAwAUAAAAA&#10;">
                  <v:fill on="t" focussize="0,0"/>
                  <v:stroke on="f"/>
                  <v:imagedata o:title=""/>
                  <o:lock v:ext="edit" aspectratio="f"/>
                  <v:textbox>
                    <w:txbxContent>
                      <w:p w14:paraId="7200DCB1">
                        <w:pPr>
                          <w:rPr>
                            <w:rFonts w:eastAsia="黑体"/>
                            <w:sz w:val="18"/>
                            <w:szCs w:val="18"/>
                            <w:lang w:eastAsia="zh-CN"/>
                          </w:rPr>
                        </w:pPr>
                        <w:r>
                          <w:rPr>
                            <w:rFonts w:hint="eastAsia" w:eastAsia="黑体"/>
                            <w:sz w:val="18"/>
                            <w:szCs w:val="18"/>
                            <w:lang w:eastAsia="zh-CN"/>
                          </w:rPr>
                          <w:t>碱喷淋塔置换废水、</w:t>
                        </w:r>
                        <w:r>
                          <w:rPr>
                            <w:rFonts w:eastAsia="黑体"/>
                            <w:sz w:val="18"/>
                            <w:szCs w:val="18"/>
                            <w:lang w:eastAsia="zh-CN"/>
                          </w:rPr>
                          <w:t>地面清洁废水</w:t>
                        </w:r>
                      </w:p>
                    </w:txbxContent>
                  </v:textbox>
                </v:shape>
                <v:shape id="Text Box 94" o:spid="_x0000_s1026" o:spt="202" type="#_x0000_t202" style="position:absolute;left:2066925;top:915670;height:266700;width:1019175;" fillcolor="#FFFFFF" filled="t" stroked="t" coordsize="21600,21600" o:gfxdata="UEsDBAoAAAAAAIdO4kAAAAAAAAAAAAAAAAAEAAAAZHJzL1BLAwQUAAAACACHTuJAyXludNUAAAAG&#10;AQAADwAAAGRycy9kb3ducmV2LnhtbE2PQU/DMAyF70j8h8hIXNCWlKGulKY7IIHgxgYa16zx2orG&#10;KUnWjX+P4QIXy9Z7ev5etTq5QUwYYu9JQzZXIJAab3tqNby9PswKEDEZsmbwhBq+MMKqPj+rTGn9&#10;kdY4bVIrOIRiaTR0KY2llLHp0Jk49yMSa3sfnEl8hlbaYI4c7gZ5rVQunemJP3RmxPsOm4/NwWko&#10;bp6m9/i8eNk2+X64TVfL6fEzaH15kak7EAlP6c8MP/iMDjUz7fyBbBSDBi6SfidrxULlIHZsypa8&#10;ybqS//Hrb1BLAwQUAAAACACHTuJAUNLD80ACAACbBAAADgAAAGRycy9lMm9Eb2MueG1srVTbbtsw&#10;DH0fsH8Q9L7aThMnMeoUXYIOA7oL0O4DFFmOhUmiJimxu68fJbtd0A1DH+YHQzSpw8ND0lfXg1bk&#10;JJyXYGpaXOSUCMOhkeZQ028Pt+9WlPjATMMUGFHTR+Hp9ebtm6veVmIGHahGOIIgxle9rWkXgq2y&#10;zPNOaOYvwAqDzhacZgFNd8gax3pE1yqb5XmZ9eAa64AL7/HrbnTSCdG9BhDaVnKxA37UwoQR1QnF&#10;ApbkO2k93SS2bSt4+NK2XgSiaoqVhvTGJHjex3e2uWLVwTHbST5RYK+h8KImzaTBpM9QOxYYOTr5&#10;B5SW3IGHNlxw0NlYSFIEqyjyF9rcd8yKVAtK7e2z6P7/wfLPp6+OyAYn4bIsy8VqvbykxDCNnX8Q&#10;QyDvYSDredSpt77C8HuLF8KA3/FOqtnbO+DfPTGw7Zg5iBvnoO8Ea5BnEW9mZ1dHHB9B9v0naDAP&#10;OwZIQEPrdBQRZSGIPsvLcj1bUPJY03WxKJdTuyItHrPnxbpYop9jwKxEfwrIWPUEZJ0PHwRoEg81&#10;dTgOKRE73fkQibHqKSTm9aBkcyuVSoY77LfKkRPD0blNT6rlRZgypEd6C+T5b4g8PX+D0DLgRimp&#10;a7o6D1Jmki6qNeoWhv0wtWIPzSOK6GCcadxoPHTgflLS4zzX1P84MicoUR8NNmJdzOdxAZIxXyxn&#10;aLhzz/7cwwxHqJoGSsbjNoxLc7ROHjrMNLbewA02r5VJzNjlkdXEG2c2aTztV1yKcztF/f6nbH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yXludNUAAAAGAQAADwAAAAAAAAABACAAAAAiAAAAZHJz&#10;L2Rvd25yZXYueG1sUEsBAhQAFAAAAAgAh07iQFDSw/NAAgAAmwQAAA4AAAAAAAAAAQAgAAAAJAEA&#10;AGRycy9lMm9Eb2MueG1sUEsFBgAAAAAGAAYAWQEAANYFAAAAAA==&#10;">
                  <v:fill on="t" focussize="0,0"/>
                  <v:stroke color="#000000" miterlimit="8" joinstyle="miter"/>
                  <v:imagedata o:title=""/>
                  <o:lock v:ext="edit" aspectratio="f"/>
                  <v:textbox>
                    <w:txbxContent>
                      <w:p w14:paraId="261F7966">
                        <w:pPr>
                          <w:jc w:val="center"/>
                          <w:rPr>
                            <w:rFonts w:eastAsia="黑体"/>
                            <w:sz w:val="18"/>
                            <w:szCs w:val="18"/>
                          </w:rPr>
                        </w:pPr>
                        <w:r>
                          <w:rPr>
                            <w:rFonts w:eastAsia="黑体"/>
                            <w:sz w:val="18"/>
                            <w:szCs w:val="18"/>
                          </w:rPr>
                          <w:t>含氟废水调节池</w:t>
                        </w:r>
                      </w:p>
                    </w:txbxContent>
                  </v:textbox>
                </v:shape>
                <v:shape id="AutoShape 95" o:spid="_x0000_s1026" o:spt="32" type="#_x0000_t32" style="position:absolute;left:2576830;top:629920;flip:x;height:285750;width:1270;" filled="f" stroked="t" coordsize="21600,21600" o:gfxdata="UEsDBAoAAAAAAIdO4kAAAAAAAAAAAAAAAAAEAAAAZHJzL1BLAwQUAAAACACHTuJAI4kRvNYAAAAG&#10;AQAADwAAAGRycy9kb3ducmV2LnhtbE2PzU7DMBCE70i8g7VIXBC1A1IahThVhQo9IAQtPIAbL0nA&#10;Xkex+/f23XKBy2pXM5r9ppodvBM7HGMfSEM2USCQmmB7ajV8fjzdFiBiMmSNC4QajhhhVl9eVKa0&#10;YU8r3K1TKziEYmk0dCkNpZSx6dCbOAkDEmtfYfQm8Tm20o5mz+HeyTulculNT/yhMwM+dtj8rLde&#10;w0t+fHMqWVwsb4rv+QLnz8vXd62vrzL1ACLhIf2Z4YzP6FAz0yZsyUbhNHCR9DtZK+5VDmLDpmzK&#10;m6wr+R+/PgFQSwMEFAAAAAgAh07iQLg5xl4MAgAAAAQAAA4AAABkcnMvZTJvRG9jLnhtbK1TwW4b&#10;IRC9V+o/IO712lvt2l55HVV20x7SxlKSD8DA7qICgwB77b/vgK0kTS85ZA8I9s28efMYVjcno8lR&#10;+qDAtnQ2mVIiLQehbN/Sp8fbLwtKQmRWMA1WtvQsA71Zf/60Gl0jSxhAC+kJktjQjK6lQ4yuKYrA&#10;B2lYmICTFsEOvGERj74vhGcjshtdlNNpXYzghfPAZQj4d3sB6ZXRv4cQuk5xuQV+MNLGC6uXmkVs&#10;KQzKBbrOartO8njfdUFGoluKnca8YhHc79NarFes6T1zg+JXCew9Et70ZJiyWPSZassiIwev/qMy&#10;insI0MUJB1NcGsmOYBez6RtvHgbmZO4FrQ7u2fTwcbT893HniRI4CfW8XpZlXaI1lhm8+W+HCFkC&#10;WVbJqNGFBuM3dudTq/xkH9wd8D+BWNgMzPYyRz+eHSbPUkbxT0o6BIfl9uMvEBjDsEB27dR5Qzqt&#10;3M+UmMjRGXJqaVnN68VXVHRuaV0ulygu35g8RcIRn5VzBDmi5aKaVxktWJP4EovzIf6QYEjatDRE&#10;z1Q/xA1Yi5MB/lKLHe9CTGpfElKyhVuldS6nLRlbuqzKKosLoJVIYAoLvt9vtCdHlkYsf7l1RF6H&#10;eThYkckiU/q7FSRmn6JX6JyWNFUIhhIt8VkaKa4k2l5tTM5d7mAP4rzzSXByFAcjS78OcZq81+cc&#10;9fJw13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I4kRvNYAAAAGAQAADwAAAAAAAAABACAAAAAi&#10;AAAAZHJzL2Rvd25yZXYueG1sUEsBAhQAFAAAAAgAh07iQLg5xl4MAgAAAAQAAA4AAAAAAAAAAQAg&#10;AAAAJQEAAGRycy9lMm9Eb2MueG1sUEsFBgAAAAAGAAYAWQEAAKMFAAAAAA==&#10;">
                  <v:fill on="f" focussize="0,0"/>
                  <v:stroke color="#000000" joinstyle="round" endarrow="block" endarrowwidth="narrow"/>
                  <v:imagedata o:title=""/>
                  <o:lock v:ext="edit" aspectratio="f"/>
                </v:shape>
                <v:shape id="AutoShape 96" o:spid="_x0000_s1026" o:spt="32" type="#_x0000_t32" style="position:absolute;left:2581275;top:1191895;flip:x;height:285750;width:635;" filled="f" stroked="t" coordsize="21600,21600" o:gfxdata="UEsDBAoAAAAAAIdO4kAAAAAAAAAAAAAAAAAEAAAAZHJzL1BLAwQUAAAACACHTuJAI4kRvNYAAAAG&#10;AQAADwAAAGRycy9kb3ducmV2LnhtbE2PzU7DMBCE70i8g7VIXBC1A1IahThVhQo9IAQtPIAbL0nA&#10;Xkex+/f23XKBy2pXM5r9ppodvBM7HGMfSEM2USCQmmB7ajV8fjzdFiBiMmSNC4QajhhhVl9eVKa0&#10;YU8r3K1TKziEYmk0dCkNpZSx6dCbOAkDEmtfYfQm8Tm20o5mz+HeyTulculNT/yhMwM+dtj8rLde&#10;w0t+fHMqWVwsb4rv+QLnz8vXd62vrzL1ACLhIf2Z4YzP6FAz0yZsyUbhNHCR9DtZK+5VDmLDpmzK&#10;m6wr+R+/PgFQSwMEFAAAAAgAh07iQI/bMIAKAgAAAAQAAA4AAABkcnMvZTJvRG9jLnhtbK1TwY7b&#10;IBC9V+o/IO6NY1fOJlacVZV028O2jbTbDyCAbVRgEJA4+fsOON3dbi97KAcEzMybeW+G9e3ZaHKS&#10;PiiwLS1nc0qk5SCU7Vv68/Huw5KSEJkVTIOVLb3IQG8379+tR9fICgbQQnqCIDY0o2vpEKNriiLw&#10;QRoWZuCkRWMH3rCIV98XwrMR0Y0uqvl8UYzghfPAZQj4upuM9Iro3wIIXae43AE/GmnjhOqlZhEp&#10;hUG5QDe52q6TPP7ouiAj0S1FpjHvmATPh7QXmzVres/coPi1BPaWEl5xMkxZTPoEtWORkaNX/0AZ&#10;xT0E6OKMgykmIlkRZFHOX2nzMDAnMxeUOrgn0cP/g+XfT3tPlMBJWOFa1DfzihLLDHb+0zFCLoGs&#10;Fkmo0YUG/bd27xNVfrYP7h74r0AsbAdme5m9Hy8Og8sUUfwVki7BYbrD+A0E+jBMkFU7d96QTiv3&#10;NQUmcFSGnFta1cuyuqkpuaChXJXLVT21TJ4j4eiw+IhGjtZqWd/UuZ8FaxJeQnE+xC8SDEmHlobo&#10;meqHuAVrcTLAT7nY6T7EVO1zQAq2cKe0zgOiLRlbuqqrOhcXQCuRjMkt+P6w1Z6cWBqxvDJ1tLx0&#10;83C0IoNFpvRnK0jMOkWvUDktacoQDCVa4rc0UlxBtL3KmJSbenAAcdn7P/LiYOTSr0OcJu/lPUc/&#10;f9zN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COJEbzWAAAABgEAAA8AAAAAAAAAAQAgAAAAIgAA&#10;AGRycy9kb3ducmV2LnhtbFBLAQIUABQAAAAIAIdO4kCP2zCACgIAAAAEAAAOAAAAAAAAAAEAIAAA&#10;ACUBAABkcnMvZTJvRG9jLnhtbFBLBQYAAAAABgAGAFkBAAChBQAAAAA=&#10;">
                  <v:fill on="f" focussize="0,0"/>
                  <v:stroke color="#000000" joinstyle="round" endarrow="block" endarrowwidth="narrow"/>
                  <v:imagedata o:title=""/>
                  <o:lock v:ext="edit" aspectratio="f"/>
                </v:shape>
                <v:shape id="Text Box 97" o:spid="_x0000_s1026" o:spt="202" type="#_x0000_t202" style="position:absolute;left:2066925;top:1477645;height:266700;width:1019175;" fillcolor="#FFFFFF" filled="t" stroked="t" coordsize="21600,21600" o:gfxdata="UEsDBAoAAAAAAIdO4kAAAAAAAAAAAAAAAAAEAAAAZHJzL1BLAwQUAAAACACHTuJAyXludNUAAAAG&#10;AQAADwAAAGRycy9kb3ducmV2LnhtbE2PQU/DMAyF70j8h8hIXNCWlKGulKY7IIHgxgYa16zx2orG&#10;KUnWjX+P4QIXy9Z7ev5etTq5QUwYYu9JQzZXIJAab3tqNby9PswKEDEZsmbwhBq+MMKqPj+rTGn9&#10;kdY4bVIrOIRiaTR0KY2llLHp0Jk49yMSa3sfnEl8hlbaYI4c7gZ5rVQunemJP3RmxPsOm4/NwWko&#10;bp6m9/i8eNk2+X64TVfL6fEzaH15kak7EAlP6c8MP/iMDjUz7fyBbBSDBi6SfidrxULlIHZsypa8&#10;ybqS//Hrb1BLAwQUAAAACACHTuJAb5sJhUICAACcBAAADgAAAGRycy9lMm9Eb2MueG1srVRRb9Mw&#10;EH5H4j9YfmdJS5q00dJptBpCGgNp4we4jtNY2D5ju03Gr+fsdKMaCO2BPFg++/zdd9/d5fJq1Ioc&#10;hfMSTENnFzklwnBopdk39NvDzbslJT4w0zIFRjT0UXh6tX775nKwtZhDD6oVjiCI8fVgG9qHYOss&#10;87wXmvkLsMLgZQdOs4Cm22etYwOia5XN87zMBnCtdcCF93i6nS7pCdG9BhC6TnKxBX7QwoQJ1QnF&#10;Aqbke2k9XSe2XSd4+NJ1XgSiGoqZhrRiENzv4pqtL1m9d8z2kp8osNdQeJGTZtJg0GeoLQuMHJz8&#10;A0pL7sBDFy446GxKJCmCWczyF9rc98yKlAtK7e2z6P7/wfK741dHZIudUBbl+2VR5QUlhmms/IMY&#10;A/kAI1lVUafB+hrd7y0+CCOe45uUs7e3wL97YmDTM7MX187B0AvWIs9ZfJmdPZ1wfATZDZ+hxTjs&#10;ECABjZ3TUUSUhSD6PC/L1XxBySPiFFVVFoupXpEXj+Hz2WpWoQNHj3lZVnkqaMbqJyTrfPgoQJO4&#10;aajDfkiR2PHWh8iM1U8uMbAHJdsbqVQy3H63UY4cGfbOTfpSMi/clCFDQ1cLJPpviDx9f4PQMuBI&#10;Kakbujx3UuakXZRrEi6Mu/FUix20j6iig6mpcaRx04P7ScmADd1Q/+PAnKBEfTJYidWsKOIEJKNY&#10;VHM03PnN7vyGGY5QDQ2UTNtNmKbmYJ3c9xhpqr2Ba6xeJ5OYscwTqxNvbNqk8WnA4lSc28nr909l&#10;/Q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JeW501QAAAAYBAAAPAAAAAAAAAAEAIAAAACIAAABk&#10;cnMvZG93bnJldi54bWxQSwECFAAUAAAACACHTuJAb5sJhUICAACcBAAADgAAAAAAAAABACAAAAAk&#10;AQAAZHJzL2Uyb0RvYy54bWxQSwUGAAAAAAYABgBZAQAA2AUAAAAA&#10;">
                  <v:fill on="t" focussize="0,0"/>
                  <v:stroke color="#000000" miterlimit="8" joinstyle="miter"/>
                  <v:imagedata o:title=""/>
                  <o:lock v:ext="edit" aspectratio="f"/>
                  <v:textbox>
                    <w:txbxContent>
                      <w:p w14:paraId="208104B7">
                        <w:pPr>
                          <w:jc w:val="center"/>
                          <w:rPr>
                            <w:rFonts w:eastAsia="黑体"/>
                            <w:sz w:val="18"/>
                            <w:szCs w:val="18"/>
                          </w:rPr>
                        </w:pPr>
                        <w:r>
                          <w:rPr>
                            <w:rFonts w:hint="eastAsia" w:eastAsia="黑体"/>
                            <w:sz w:val="18"/>
                            <w:szCs w:val="18"/>
                          </w:rPr>
                          <w:t>一级</w:t>
                        </w:r>
                        <w:r>
                          <w:rPr>
                            <w:rFonts w:eastAsia="黑体"/>
                            <w:sz w:val="18"/>
                            <w:szCs w:val="18"/>
                          </w:rPr>
                          <w:t>除氟反应池</w:t>
                        </w:r>
                      </w:p>
                    </w:txbxContent>
                  </v:textbox>
                </v:shape>
                <v:shape id="AutoShape 98" o:spid="_x0000_s1026" o:spt="32" type="#_x0000_t32" style="position:absolute;left:2576195;top:1744345;flip:x;height:285750;width:635;" filled="f" stroked="t" coordsize="21600,21600" o:gfxdata="UEsDBAoAAAAAAIdO4kAAAAAAAAAAAAAAAAAEAAAAZHJzL1BLAwQUAAAACACHTuJAI4kRvNYAAAAG&#10;AQAADwAAAGRycy9kb3ducmV2LnhtbE2PzU7DMBCE70i8g7VIXBC1A1IahThVhQo9IAQtPIAbL0nA&#10;Xkex+/f23XKBy2pXM5r9ppodvBM7HGMfSEM2USCQmmB7ajV8fjzdFiBiMmSNC4QajhhhVl9eVKa0&#10;YU8r3K1TKziEYmk0dCkNpZSx6dCbOAkDEmtfYfQm8Tm20o5mz+HeyTulculNT/yhMwM+dtj8rLde&#10;w0t+fHMqWVwsb4rv+QLnz8vXd62vrzL1ACLhIf2Z4YzP6FAz0yZsyUbhNHCR9DtZK+5VDmLDpmzK&#10;m6wr+R+/PgFQSwMEFAAAAAgAh07iQKpNKioMAgAAAAQAAA4AAABkcnMvZTJvRG9jLnhtbK1TTXPb&#10;IBC9d6b/geHeyF/yh8ZypmM37SFNPZP0B2BAElNgGcCW/e+7IDdJ00sO1YEB7e7b9x7L+vZsNDlJ&#10;HxTYmo5vRpRIy0Eo29b059PdpyUlITIrmAYra3qRgd5uPn5Y966SE+hAC+kJgthQ9a6mXYyuKorA&#10;O2lYuAEnLQYb8IZFPPq2EJ71iG50MRmN5kUPXjgPXIaAf3dDkF4R/XsAoWkUlzvgRyNtHFC91Cyi&#10;pNApF+gms20ayeOPpgkyEl1TVBrzik1wf0hrsVmzqvXMdYpfKbD3UHijyTBlsekz1I5FRo5e/QNl&#10;FPcQoIk3HEwxCMmOoIrx6I03jx1zMmtBq4N7Nj38P1j+cNp7ogROwqocL6bT5XxGiWUGb/7zMUKm&#10;QFbLZFTvQoX5W7v3SSo/20d3D/xXIBa2HbOtzNlPF4fF41RR/FWSDsFhu0P/HQTmMGyQXTs33pBG&#10;K/ctFSZwdIacazopF3MkRskFA4vZbDorhyuT50g4JsynGOQYnSzLRZnvs2BVwksozof4VYIhaVPT&#10;ED1TbRe3YC1OBvihFzvdh5jYvhSkYgt3Sus8INqSvqarclJmcgG0EimY0oJvD1vtyYmlEctflo6R&#10;12kejlZksMiU/mIFidmn6BU6pyVNHYKhREt8lkaKK4i2VxuTc8MdHEBc9v6PvTgYmfp1iNPkvT7n&#10;6peHu/k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I4kRvNYAAAAGAQAADwAAAAAAAAABACAAAAAi&#10;AAAAZHJzL2Rvd25yZXYueG1sUEsBAhQAFAAAAAgAh07iQKpNKioMAgAAAAQAAA4AAAAAAAAAAQAg&#10;AAAAJQEAAGRycy9lMm9Eb2MueG1sUEsFBgAAAAAGAAYAWQEAAKMFAAAAAA==&#10;">
                  <v:fill on="f" focussize="0,0"/>
                  <v:stroke color="#000000" joinstyle="round" endarrow="block" endarrowwidth="narrow"/>
                  <v:imagedata o:title=""/>
                  <o:lock v:ext="edit" aspectratio="f"/>
                </v:shape>
                <v:shape id="Text Box 99" o:spid="_x0000_s1026" o:spt="202" type="#_x0000_t202" style="position:absolute;left:2071370;top:2030095;height:266700;width:1019175;" fillcolor="#FFFFFF" filled="t" stroked="t" coordsize="21600,21600" o:gfxdata="UEsDBAoAAAAAAIdO4kAAAAAAAAAAAAAAAAAEAAAAZHJzL1BLAwQUAAAACACHTuJAyXludNUAAAAG&#10;AQAADwAAAGRycy9kb3ducmV2LnhtbE2PQU/DMAyF70j8h8hIXNCWlKGulKY7IIHgxgYa16zx2orG&#10;KUnWjX+P4QIXy9Z7ev5etTq5QUwYYu9JQzZXIJAab3tqNby9PswKEDEZsmbwhBq+MMKqPj+rTGn9&#10;kdY4bVIrOIRiaTR0KY2llLHp0Jk49yMSa3sfnEl8hlbaYI4c7gZ5rVQunemJP3RmxPsOm4/NwWko&#10;bp6m9/i8eNk2+X64TVfL6fEzaH15kak7EAlP6c8MP/iMDjUz7fyBbBSDBi6SfidrxULlIHZsypa8&#10;ybqS//Hrb1BLAwQUAAAACACHTuJA/1RNpEICAACbBAAADgAAAGRycy9lMm9Eb2MueG1srVTbbtsw&#10;DH0fsH8Q9L7aTpOmMeoUXYsOA7oL0O4DFFmOhUmiRimxu68fJadd0G1AH+YHg7SoQ/Ic0heXozVs&#10;rzBocA2vTkrOlJPQardt+LeH23fnnIUoXCsMONXwRxX45frtm4vB12oGPZhWISMQF+rBN7yP0ddF&#10;EWSvrAgn4JWjww7QikgubosWxUDo1hSzsjwrBsDWI0gVAn29mQ75ARFfAwhdp6W6AbmzysUJFZUR&#10;kVoKvfaBr3O1Xadk/NJ1QUVmGk6dxvymJGRv0rtYX4h6i8L3Wh5KEK8p4UVPVmhHSZ+hbkQUbIf6&#10;DyirJUKALp5IsMXUSGaEuqjKF9zc98Kr3AtRHfwz6eH/wcrP+6/IdNvw+Xxxvizn1YIzJywJ/6DG&#10;yN7DyFarRNPgQ03R957i40jfaXhyy8HfgfwemIPrXritukKEoVeipTKrdLM4ujrhhASyGT5BS3nE&#10;LkIGGju0iUNihRH6rFxWp0sS6jHZp2W5WkxypbpkSl9Wq2pJ9coUcXa2LLOehaifkDyG+EGBZclo&#10;ONI45ExifxdiqkzUTyEpcQCj21ttTHZwu7k2yPaCRuc2P7mZF2HGsaHhq8VsMZHxT4gyP3+DsDrS&#10;RhltG35+HGTcgbtE10RcHDfjQYsNtI/EIsI007TRZPSAPzkbaJ4bHn7sBCrOzEdHSqyq+TwtQHbm&#10;i+WMHDw+2RyfCCcJquGRs8m8jtPS7DzqbU+ZJu0dXJF6nc5kJpmnqg5108xmjg/7lZbi2M9Rv/8p&#10;6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JeW501QAAAAYBAAAPAAAAAAAAAAEAIAAAACIAAABk&#10;cnMvZG93bnJldi54bWxQSwECFAAUAAAACACHTuJA/1RNpEICAACbBAAADgAAAAAAAAABACAAAAAk&#10;AQAAZHJzL2Uyb0RvYy54bWxQSwUGAAAAAAYABgBZAQAA2AUAAAAA&#10;">
                  <v:fill on="t" focussize="0,0"/>
                  <v:stroke color="#000000" miterlimit="8" joinstyle="miter"/>
                  <v:imagedata o:title=""/>
                  <o:lock v:ext="edit" aspectratio="f"/>
                  <v:textbox>
                    <w:txbxContent>
                      <w:p w14:paraId="109E9EF9">
                        <w:pPr>
                          <w:jc w:val="center"/>
                          <w:rPr>
                            <w:rFonts w:eastAsia="黑体"/>
                            <w:sz w:val="18"/>
                            <w:szCs w:val="18"/>
                          </w:rPr>
                        </w:pPr>
                        <w:r>
                          <w:rPr>
                            <w:rFonts w:hint="eastAsia" w:eastAsia="黑体"/>
                            <w:sz w:val="18"/>
                            <w:szCs w:val="18"/>
                          </w:rPr>
                          <w:t>一级</w:t>
                        </w:r>
                        <w:r>
                          <w:rPr>
                            <w:rFonts w:eastAsia="黑体"/>
                            <w:sz w:val="18"/>
                            <w:szCs w:val="18"/>
                          </w:rPr>
                          <w:t>除氟</w:t>
                        </w:r>
                        <w:r>
                          <w:rPr>
                            <w:rFonts w:hint="eastAsia" w:eastAsia="黑体"/>
                            <w:sz w:val="18"/>
                            <w:szCs w:val="18"/>
                          </w:rPr>
                          <w:t>沉淀池</w:t>
                        </w:r>
                      </w:p>
                    </w:txbxContent>
                  </v:textbox>
                </v:shape>
                <v:shape id="AutoShape 100" o:spid="_x0000_s1026" o:spt="32" type="#_x0000_t32" style="position:absolute;left:2576195;top:2306320;flip:x;height:285750;width:635;" filled="f" stroked="t" coordsize="21600,21600" o:gfxdata="UEsDBAoAAAAAAIdO4kAAAAAAAAAAAAAAAAAEAAAAZHJzL1BLAwQUAAAACACHTuJAI4kRvNYAAAAG&#10;AQAADwAAAGRycy9kb3ducmV2LnhtbE2PzU7DMBCE70i8g7VIXBC1A1IahThVhQo9IAQtPIAbL0nA&#10;Xkex+/f23XKBy2pXM5r9ppodvBM7HGMfSEM2USCQmmB7ajV8fjzdFiBiMmSNC4QajhhhVl9eVKa0&#10;YU8r3K1TKziEYmk0dCkNpZSx6dCbOAkDEmtfYfQm8Tm20o5mz+HeyTulculNT/yhMwM+dtj8rLde&#10;w0t+fHMqWVwsb4rv+QLnz8vXd62vrzL1ACLhIf2Z4YzP6FAz0yZsyUbhNHCR9DtZK+5VDmLDpmzK&#10;m6wr+R+/PgFQSwMEFAAAAAgAh07iQJZ8rSsMAgAAAQQAAA4AAABkcnMvZTJvRG9jLnhtbK1TTY/b&#10;IBC9V+p/QNwbf6RONlacVZV028O2jbTbH0AwtlGBQUDi5N93IO7udnvZQ31A4Jl5M+/xWN+etSIn&#10;4bwE09BillMiDIdWmr6hPx/vPtxQ4gMzLVNgREMvwtPbzft369HWooQBVCscQRDj69E2dAjB1lnm&#10;+SA08zOwwmCwA6dZwKPrs9axEdG1yso8X2QjuNY64MJ7/Lu7BumE6N4CCF0nudgBP2phwhXVCcUC&#10;UvKDtJ5u0rRdJ3j40XVeBKIaikxDWrEJ7g9xzTZrVveO2UHyaQT2lhFecdJMGmz6BLVjgZGjk/9A&#10;ackdeOjCjIPOrkSSIsiiyF9p8zAwKxIXlNrbJ9H9/4Pl3097R2SLTiiXxXy+Wn5cUWKYxpv/dAyQ&#10;RiBFnpQara+xYGv2LnLlZ/Ng74H/8sTAdmCmFyn98WKxuojaZn+VxIO32O8wfoMWcxh2SLKdO6dJ&#10;p6T9GgsjOEpDzg0tq+WiWFWUXHA/zxfzcrozcQ6EY8JijkEeozfVskrBjNURL6JY58MXAZrETUN9&#10;cEz2Q9iCMWgNcNde7HTvQ5z2uSAWG7iTSiWHKEPGhq6qskrDeVCyjcGY5l1/2CpHTix6LH2JOkZe&#10;pjk4mjaBBSbVZ9OSkHQKTqJyStDYwWtKlMB3qUU7gSgzyRiVi7729QHay979kRedkUafXByt9/Kc&#10;qp9f7uY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I4kRvNYAAAAGAQAADwAAAAAAAAABACAAAAAi&#10;AAAAZHJzL2Rvd25yZXYueG1sUEsBAhQAFAAAAAgAh07iQJZ8rSsMAgAAAQQAAA4AAAAAAAAAAQAg&#10;AAAAJQEAAGRycy9lMm9Eb2MueG1sUEsFBgAAAAAGAAYAWQEAAKMFAAAAAA==&#10;">
                  <v:fill on="f" focussize="0,0"/>
                  <v:stroke color="#000000" joinstyle="round" endarrow="block" endarrowwidth="narrow"/>
                  <v:imagedata o:title=""/>
                  <o:lock v:ext="edit" aspectratio="f"/>
                </v:shape>
                <v:shape id="Text Box 101" o:spid="_x0000_s1026" o:spt="202" type="#_x0000_t202" style="position:absolute;left:2071370;top:2592070;height:266700;width:1019175;" fillcolor="#FFFFFF" filled="t" stroked="t" coordsize="21600,21600" o:gfxdata="UEsDBAoAAAAAAIdO4kAAAAAAAAAAAAAAAAAEAAAAZHJzL1BLAwQUAAAACACHTuJAyXludNUAAAAG&#10;AQAADwAAAGRycy9kb3ducmV2LnhtbE2PQU/DMAyF70j8h8hIXNCWlKGulKY7IIHgxgYa16zx2orG&#10;KUnWjX+P4QIXy9Z7ev5etTq5QUwYYu9JQzZXIJAab3tqNby9PswKEDEZsmbwhBq+MMKqPj+rTGn9&#10;kdY4bVIrOIRiaTR0KY2llLHp0Jk49yMSa3sfnEl8hlbaYI4c7gZ5rVQunemJP3RmxPsOm4/NwWko&#10;bp6m9/i8eNk2+X64TVfL6fEzaH15kak7EAlP6c8MP/iMDjUz7fyBbBSDBi6SfidrxULlIHZsypa8&#10;ybqS//Hrb1BLAwQUAAAACACHTuJACcOXhEQCAACdBAAADgAAAGRycy9lMm9Eb2MueG1srVTbbtsw&#10;DH0fsH8Q9L760qRpgjpF16LDgN2Adh+gyHIsTBI1Sondff0oOe2ybgP6MD8YpEkekoekLy5Ha9he&#10;YdDgGl6dlJwpJ6HVbtvwr/e3b845C1G4VhhwquEPKvDL9etXF4NfqRp6MK1CRiAurAbf8D5GvyqK&#10;IHtlRTgBrxwZO0ArIqm4LVoUA6FbU9RleVYMgK1HkCoE+nozGfkBEV8CCF2npboBubPKxQkVlRGR&#10;Wgq99oGvc7Vdp2T83HVBRWYaTp3G/KYkJG/Su1hfiNUWhe+1PJQgXlLCs56s0I6SPkHdiCjYDvUf&#10;UFZLhABdPJFgi6mRzAh1UZXPuLnrhVe5F6I6+CfSw/+DlZ/2X5DpljZhOatm9enprObMCUuTv1dj&#10;ZG9hZFVZJaIGH1bkf+cpIo5koKDcdPAfQH4LzMF1L9xWXSHC0CvRUqE5sjgKnXBCAtkMH6GlRGIX&#10;IQONHdrEIvHCCL0uF9Xpgkb1QPJ8SephYKkwmdKX1bJazDmTyePsbFFmh0KsHpE8hvhOgWVJaDjS&#10;QuRMYv8hROqJXB9dUuIARre32pis4HZzbZDtBS3PbX4SDRTym5txbGj4cl7PJzL+CVHm528QVke6&#10;KaNtw8+PnYyjdIm7RNdEXBw342EWG2gfiEWEaavppknoAX9wNtBGNzx83wlUnJn3jiaxrGazdAJZ&#10;mc0XNSl4bNkcW4STBNXwyNkkXsfpbHYe9banTNPsHVzR9DqdyUylTlUd6qatzYQdLiydxbGevX79&#10;VdY/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Ml5bnTVAAAABgEAAA8AAAAAAAAAAQAgAAAAIgAA&#10;AGRycy9kb3ducmV2LnhtbFBLAQIUABQAAAAIAIdO4kAJw5eERAIAAJ0EAAAOAAAAAAAAAAEAIAAA&#10;ACQBAABkcnMvZTJvRG9jLnhtbFBLBQYAAAAABgAGAFkBAADaBQAAAAA=&#10;">
                  <v:fill on="t" focussize="0,0"/>
                  <v:stroke color="#000000" miterlimit="8" joinstyle="miter"/>
                  <v:imagedata o:title=""/>
                  <o:lock v:ext="edit" aspectratio="f"/>
                  <v:textbox>
                    <w:txbxContent>
                      <w:p w14:paraId="30457CAB">
                        <w:pPr>
                          <w:jc w:val="center"/>
                          <w:rPr>
                            <w:rFonts w:eastAsia="黑体"/>
                            <w:sz w:val="18"/>
                            <w:szCs w:val="18"/>
                          </w:rPr>
                        </w:pPr>
                        <w:r>
                          <w:rPr>
                            <w:rFonts w:hint="eastAsia" w:eastAsia="黑体"/>
                            <w:sz w:val="18"/>
                            <w:szCs w:val="18"/>
                          </w:rPr>
                          <w:t>二级</w:t>
                        </w:r>
                        <w:r>
                          <w:rPr>
                            <w:rFonts w:eastAsia="黑体"/>
                            <w:sz w:val="18"/>
                            <w:szCs w:val="18"/>
                          </w:rPr>
                          <w:t>除氟反应池</w:t>
                        </w:r>
                      </w:p>
                    </w:txbxContent>
                  </v:textbox>
                </v:shape>
                <v:shape id="AutoShape 102" o:spid="_x0000_s1026" o:spt="32" type="#_x0000_t32" style="position:absolute;left:2580640;top:2858770;flip:x;height:285750;width:635;" filled="f" stroked="t" coordsize="21600,21600" o:gfxdata="UEsDBAoAAAAAAIdO4kAAAAAAAAAAAAAAAAAEAAAAZHJzL1BLAwQUAAAACACHTuJAI4kRvNYAAAAG&#10;AQAADwAAAGRycy9kb3ducmV2LnhtbE2PzU7DMBCE70i8g7VIXBC1A1IahThVhQo9IAQtPIAbL0nA&#10;Xkex+/f23XKBy2pXM5r9ppodvBM7HGMfSEM2USCQmmB7ajV8fjzdFiBiMmSNC4QajhhhVl9eVKa0&#10;YU8r3K1TKziEYmk0dCkNpZSx6dCbOAkDEmtfYfQm8Tm20o5mz+HeyTulculNT/yhMwM+dtj8rLde&#10;w0t+fHMqWVwsb4rv+QLnz8vXd62vrzL1ACLhIf2Z4YzP6FAz0yZsyUbhNHCR9DtZK+5VDmLDpmzK&#10;m6wr+R+/PgFQSwMEFAAAAAgAh07iQKzlsUQKAgAAAAQAAA4AAABkcnMvZTJvRG9jLnhtbK1TwW7b&#10;MAy9D9g/CLovtpM5yYw4xZCs26HrArT7AEWWbWGSKEhKnPz9KNlru+7Sw3wQRJN85HukNjcXrchZ&#10;OC/B1LSY5ZQIw6GRpqvpz8fbD2tKfGCmYQqMqOlVeHqzff9uM9hKzKEH1QhHEMT4arA17UOwVZZ5&#10;3gvN/AysMOhswWkW0HRd1jg2ILpW2TzPl9kArrEOuPAe/+5HJ50Q3VsAoW0lF3vgJy1MGFGdUCwg&#10;Jd9L6+k2ddu2gocfbetFIKqmyDSkE4vg/RjPbLthVeeY7SWfWmBvaeEVJ82kwaJPUHsWGDk5+Q+U&#10;ltyBhzbMOOhsJJIUQRZF/kqbh55Zkbig1N4+ie7/Hyy/Px8ckU1NV+WiKNfFYkGJYRoH//kUIHVA&#10;inwehRqsrzB+Zw4uUuUX82DvgP/yxMCuZ6YTKfzxajG7iBnZXynR8BbLHYfv0GAMwwpJtUvrNGmV&#10;tN9iYgRHZcilpvNynS8/4rCueF+X69VqGpm4BMIxYLkoKeGjd1UmZ8aqiBdRrPPhqwBN4qWmPjgm&#10;uz7swBjcDHBjLXa+8yF2+5wQkw3cSqXSgihDhpp+Kudlas6Dkk10xjDvuuNOOXJmccXSl6ij52WY&#10;g5NpElhgUn0xDQlJp+AkKqcEjRW8pkQJfJZaNBOIMpOMUblxBkdorgf3R15cjNT6tMRx817aKfv5&#10;4W5/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COJEbzWAAAABgEAAA8AAAAAAAAAAQAgAAAAIgAA&#10;AGRycy9kb3ducmV2LnhtbFBLAQIUABQAAAAIAIdO4kCs5bFECgIAAAAEAAAOAAAAAAAAAAEAIAAA&#10;ACUBAABkcnMvZTJvRG9jLnhtbFBLBQYAAAAABgAGAFkBAAChBQAAAAA=&#10;">
                  <v:fill on="f" focussize="0,0"/>
                  <v:stroke color="#000000" joinstyle="round" endarrow="block" endarrowwidth="narrow"/>
                  <v:imagedata o:title=""/>
                  <o:lock v:ext="edit" aspectratio="f"/>
                </v:shape>
                <v:shape id="Text Box 103" o:spid="_x0000_s1026" o:spt="202" type="#_x0000_t202" style="position:absolute;left:2075815;top:3144520;height:266065;width:1019175;" fillcolor="#FFFFFF" filled="t" stroked="t" coordsize="21600,21600" o:gfxdata="UEsDBAoAAAAAAIdO4kAAAAAAAAAAAAAAAAAEAAAAZHJzL1BLAwQUAAAACACHTuJAyXludNUAAAAG&#10;AQAADwAAAGRycy9kb3ducmV2LnhtbE2PQU/DMAyF70j8h8hIXNCWlKGulKY7IIHgxgYa16zx2orG&#10;KUnWjX+P4QIXy9Z7ev5etTq5QUwYYu9JQzZXIJAab3tqNby9PswKEDEZsmbwhBq+MMKqPj+rTGn9&#10;kdY4bVIrOIRiaTR0KY2llLHp0Jk49yMSa3sfnEl8hlbaYI4c7gZ5rVQunemJP3RmxPsOm4/NwWko&#10;bp6m9/i8eNk2+X64TVfL6fEzaH15kak7EAlP6c8MP/iMDjUz7fyBbBSDBi6SfidrxULlIHZsypa8&#10;ybqS//Hrb1BLAwQUAAAACACHTuJACIC5N0QCAACdBAAADgAAAGRycy9lMm9Eb2MueG1srVTdbtUw&#10;DL5H4h2i3LP+bD0/1XqmsWkIaQykjQfISdPTiCQOSc5px9PjpN04DJB2QS6iuLY/25/tnl+MWpGD&#10;cF6CaWhxklMiDIdWml1Dvz7cvFtR4gMzLVNgREMfhacXm7dvzgdbixJ6UK1wBEGMrwfb0D4EW2eZ&#10;573QzJ+AFQaVHTjNAopul7WODYiuVVbm+SIbwLXWARfe49frSUlnRPcaQOg6ycU18L0WJkyoTigW&#10;sCTfS+vpJmXbdYKHz13nRSCqoVhpSDcGwfc23tnmnNU7x2wv+ZwCe00KL2rSTBoM+gx1zQIjeyf/&#10;gNKSO/DQhRMOOpsKSYxgFUX+gpv7nlmRakGqvX0m3f8/WH53+OKIbHESlqv8NC9X+ZoSwzR2/kGM&#10;gbyHkRT5aSRqsL5G+3uLHmFEBTqlor29Bf7NEwNXPTM7cekcDL1gLSZaRM/syHXC8RFkO3yCFgOx&#10;fYAENHZORxaRF4LoZb6sVkVFyWNDT4uzs6qcGxYT4zF8XqyLJRpwtCgXi3xRpXCsfkKyzocPAjSJ&#10;j4Y6HIgUiR1ufYiZsfrJJAb2oGR7I5VKgtttr5QjB4bDc5POjP6bmTJkaOi6KquJjH9C5On8DULL&#10;gDulpG7o6thImZm7SNdEXBi349yLLbSPyKKDaapxp/HRg/tByYAT3VD/fc+coER9NNiJNTIYVyAJ&#10;Z9USySTuWLM91jDDEaqhgZLpeRWmtdlbJ3c9Rpp6b+ASu9fJRGZs85TVnDdObeJ43rC4Fsdysvr1&#10;V9n8B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Ml5bnTVAAAABgEAAA8AAAAAAAAAAQAgAAAAIgAA&#10;AGRycy9kb3ducmV2LnhtbFBLAQIUABQAAAAIAIdO4kAIgLk3RAIAAJ0EAAAOAAAAAAAAAAEAIAAA&#10;ACQBAABkcnMvZTJvRG9jLnhtbFBLBQYAAAAABgAGAFkBAADaBQAAAAA=&#10;">
                  <v:fill on="t" focussize="0,0"/>
                  <v:stroke color="#000000" miterlimit="8" joinstyle="miter"/>
                  <v:imagedata o:title=""/>
                  <o:lock v:ext="edit" aspectratio="f"/>
                  <v:textbox>
                    <w:txbxContent>
                      <w:p w14:paraId="74CC6729">
                        <w:pPr>
                          <w:jc w:val="center"/>
                          <w:rPr>
                            <w:rFonts w:eastAsia="黑体"/>
                            <w:sz w:val="18"/>
                            <w:szCs w:val="18"/>
                          </w:rPr>
                        </w:pPr>
                        <w:r>
                          <w:rPr>
                            <w:rFonts w:hint="eastAsia" w:eastAsia="黑体"/>
                            <w:sz w:val="18"/>
                            <w:szCs w:val="18"/>
                          </w:rPr>
                          <w:t>二级</w:t>
                        </w:r>
                        <w:r>
                          <w:rPr>
                            <w:rFonts w:eastAsia="黑体"/>
                            <w:sz w:val="18"/>
                            <w:szCs w:val="18"/>
                          </w:rPr>
                          <w:t>除氟</w:t>
                        </w:r>
                        <w:r>
                          <w:rPr>
                            <w:rFonts w:hint="eastAsia" w:eastAsia="黑体"/>
                            <w:sz w:val="18"/>
                            <w:szCs w:val="18"/>
                          </w:rPr>
                          <w:t>沉淀池</w:t>
                        </w:r>
                      </w:p>
                    </w:txbxContent>
                  </v:textbox>
                </v:shape>
                <v:shape id="AutoShape 104" o:spid="_x0000_s1026" o:spt="32" type="#_x0000_t32" style="position:absolute;left:2585720;top:3410585;flip:x;height:287020;width:635;" filled="f" stroked="t" coordsize="21600,21600" o:gfxdata="UEsDBAoAAAAAAIdO4kAAAAAAAAAAAAAAAAAEAAAAZHJzL1BLAwQUAAAACACHTuJAI4kRvNYAAAAG&#10;AQAADwAAAGRycy9kb3ducmV2LnhtbE2PzU7DMBCE70i8g7VIXBC1A1IahThVhQo9IAQtPIAbL0nA&#10;Xkex+/f23XKBy2pXM5r9ppodvBM7HGMfSEM2USCQmmB7ajV8fjzdFiBiMmSNC4QajhhhVl9eVKa0&#10;YU8r3K1TKziEYmk0dCkNpZSx6dCbOAkDEmtfYfQm8Tm20o5mz+HeyTulculNT/yhMwM+dtj8rLde&#10;w0t+fHMqWVwsb4rv+QLnz8vXd62vrzL1ACLhIf2Z4YzP6FAz0yZsyUbhNHCR9DtZK+5VDmLDpmzK&#10;m6wr+R+/PgFQSwMEFAAAAAgAh07iQEO4JZcOAgAAAQQAAA4AAABkcnMvZTJvRG9jLnhtbK1TTW/b&#10;MAy9D9h/EHRf/ZGkzYw4xZCs26HrArT7AYok28IkUZCUOPn3o+SsW7tLD/NBMEW+R/KRWt2ejCZH&#10;6YMC29LqqqREWg5C2b6lP57uPiwpCZFZwTRY2dKzDPR2/f7danSNrGEALaQnSGJDM7qWDjG6pigC&#10;H6Rh4QqctOjswBsW0fR9ITwbkd3ooi7L62IEL5wHLkPA2+3kpBdG/xZC6DrF5Rb4wUgbJ1YvNYvY&#10;UhiUC3Sdq+06yeP3rgsyEt1S7DTmE5Pg/z6dxXrFmt4zNyh+KYG9pYRXPRmmLCZ9ptqyyMjBq3+o&#10;jOIeAnTxioMppkayIthFVb7S5nFgTuZeUOrgnkUP/4+WPxx3niiBm7As57Oyriqcv2UGJ//pECGX&#10;QKpynpQaXWgQsLE7n3rlJ/vo7oH/DMTCZmC2lzn86ewQXSVE8QKSjOAw3378BgJjGGbIsp06b0in&#10;lfuagIkcpSGnltaL5eKmxmmdWzqbVyWa08zkKRKOAdezBSUcvfXypsTAlJQ1iS+xOB/iFwmGpJ+W&#10;huiZ6oe4AWtxNcBPudjxPsQJ+BuQwBbulNZ4zxptydjSj4t6kYsLoJVIzuQLvt9vtCdHlnYsf5cq&#10;XoR5OFiRySJT+rMVJGadoleonJY0ZQiGEi3xXRopLiTaXmRMyk0z2IM473wqOCmKm5F7vmxxWr2/&#10;7Rz15+Wu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jiRG81gAAAAYBAAAPAAAAAAAAAAEAIAAA&#10;ACIAAABkcnMvZG93bnJldi54bWxQSwECFAAUAAAACACHTuJAQ7gllw4CAAABBAAADgAAAAAAAAAB&#10;ACAAAAAlAQAAZHJzL2Uyb0RvYy54bWxQSwUGAAAAAAYABgBZAQAApQUAAAAA&#10;">
                  <v:fill on="f" focussize="0,0"/>
                  <v:stroke color="#000000" joinstyle="round" endarrow="block" endarrowwidth="narrow"/>
                  <v:imagedata o:title=""/>
                  <o:lock v:ext="edit" aspectratio="f"/>
                </v:shape>
                <v:shape id="Text Box 105" o:spid="_x0000_s1026" o:spt="202" type="#_x0000_t202" style="position:absolute;left:2055495;top:5927090;height:266700;width:1019175;" fillcolor="#FFFFFF" filled="t" stroked="t" coordsize="21600,21600" o:gfxdata="UEsDBAoAAAAAAIdO4kAAAAAAAAAAAAAAAAAEAAAAZHJzL1BLAwQUAAAACACHTuJAyXludNUAAAAG&#10;AQAADwAAAGRycy9kb3ducmV2LnhtbE2PQU/DMAyF70j8h8hIXNCWlKGulKY7IIHgxgYa16zx2orG&#10;KUnWjX+P4QIXy9Z7ev5etTq5QUwYYu9JQzZXIJAab3tqNby9PswKEDEZsmbwhBq+MMKqPj+rTGn9&#10;kdY4bVIrOIRiaTR0KY2llLHp0Jk49yMSa3sfnEl8hlbaYI4c7gZ5rVQunemJP3RmxPsOm4/NwWko&#10;bp6m9/i8eNk2+X64TVfL6fEzaH15kak7EAlP6c8MP/iMDjUz7fyBbBSDBi6SfidrxULlIHZsypa8&#10;ybqS//Hrb1BLAwQUAAAACACHTuJA4sSe6UECAACcBAAADgAAAGRycy9lMm9Eb2MueG1srVTbbtsw&#10;DH0fsH8Q9L76grhpjDhFl6LDgO4CtPsARZZjYZKoSUrs7utHyW4XZBvQh+lBkEzqkDyH9Pp61Ioc&#10;hfMSTEOLi5wSYTi00uwb+u3x7t0VJT4w0zIFRjT0SXh6vXn7Zj3YWpTQg2qFIwhifD3YhvYh2DrL&#10;PO+FZv4CrDBo7MBpFvDq9lnr2IDoWmVlnl9mA7jWOuDCe/x6OxnpjOheAwhdJ7m4BX7QwoQJ1QnF&#10;Apbke2k93aRsu07w8KXrvAhENRQrDWnHIHjexT3brFm9d8z2ks8psNekcFaTZtJg0BeoWxYYOTj5&#10;B5SW3IGHLlxw0NlUSGIEqyjyM24eemZFqgWp9vaFdP//YPnn41dHZNvQq3JRltWyRGYM0yj8oxgD&#10;eQ8jKfIq8jRYX6P7g8UHYUQDdk+q2dt74N89MbDtmdmLG+dg6AVrMc8ivsxOnk44PoLshk/QYiB2&#10;CJCAxs7pSCLSQhC9zKtqsaooeWpotSqX+WrWKybGY/i8WBVLdODoUV5eLvPkkLH6Gck6Hz4I0CQe&#10;GuqwH1Ikdrz3IWbG6meXGNiDku2dVCpd3H63VY4cGfbOXVqpmDM3ZcjQ0FVVVhMZ/4TI0/obhJYB&#10;R0pJjSqcOikzcxfpmogL426ctdhB+4QsOpiaGkcaDz24n5QM2NAN9T8OzAlK1EeDSqyKxSJOQLos&#10;JqHdqWV3amGGI1RDAyXTcRumqTlYJ/c9Rpq0N3CD6nUykRllnrKa88amTRzPAxan4vSevH7/VDa/&#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Ml5bnTVAAAABgEAAA8AAAAAAAAAAQAgAAAAIgAAAGRy&#10;cy9kb3ducmV2LnhtbFBLAQIUABQAAAAIAIdO4kDixJ7pQQIAAJwEAAAOAAAAAAAAAAEAIAAAACQB&#10;AABkcnMvZTJvRG9jLnhtbFBLBQYAAAAABgAGAFkBAADXBQAAAAA=&#10;">
                  <v:fill on="t" focussize="0,0"/>
                  <v:stroke color="#000000" miterlimit="8" joinstyle="miter"/>
                  <v:imagedata o:title=""/>
                  <o:lock v:ext="edit" aspectratio="f"/>
                  <v:textbox>
                    <w:txbxContent>
                      <w:p w14:paraId="609E9531">
                        <w:pPr>
                          <w:jc w:val="center"/>
                          <w:rPr>
                            <w:rFonts w:eastAsia="黑体"/>
                            <w:sz w:val="18"/>
                            <w:szCs w:val="18"/>
                          </w:rPr>
                        </w:pPr>
                        <w:r>
                          <w:rPr>
                            <w:rFonts w:hint="eastAsia" w:eastAsia="黑体"/>
                            <w:sz w:val="18"/>
                            <w:szCs w:val="18"/>
                          </w:rPr>
                          <w:t>污水排放池</w:t>
                        </w:r>
                      </w:p>
                    </w:txbxContent>
                  </v:textbox>
                </v:shape>
                <v:shape id="AutoShape 106" o:spid="_x0000_s1026" o:spt="32" type="#_x0000_t32" style="position:absolute;left:1902460;top:1456690;flip:x;height:285750;width:635;rotation:5898240f;" filled="f" stroked="t" coordsize="21600,21600" o:gfxdata="UEsDBAoAAAAAAIdO4kAAAAAAAAAAAAAAAAAEAAAAZHJzL1BLAwQUAAAACACHTuJA4mWPdNcAAAAG&#10;AQAADwAAAGRycy9kb3ducmV2LnhtbE2PT0vDQBDF74LfYRnBi9jdKLYlZtODpaAgqG0peJtmxySa&#10;nQ3Z7b9v7+hFL8MM7/Hm94rZ0XdqT0NsA1vIRgYUcRVcy7WF9WpxPQUVE7LDLjBZOFGEWXl+VmDu&#10;woHfaL9MtZIQjjlaaFLqc61j1ZDHOAo9sWgfYfCY5Bxq7QY8SLjv9I0xY+2xZfnQYE8PDVVfy523&#10;8Pne+te7+dXm6XlyWviXjXlczdfWXl5k5h5UomP6M8MPvqBDKUzbsGMXVWdBiqTfKdr01oxBbcWU&#10;TWTTZaH/45ffUEsDBBQAAAAIAIdO4kDx4GLtFQIAABAEAAAOAAAAZHJzL2Uyb0RvYy54bWytU01v&#10;2zAMvQ/YfxB0X+18eYkRpxiSdTt0XYB2P0CRZFuYJAqSEif/fpQctGt36WE2YIgm+Ug+Pq1vz0aT&#10;k/RBgW3o5KakRFoOQtmuob+e7j4tKQmRWcE0WNnQiwz0dvPxw3pwtZxCD1pITxDEhnpwDe1jdHVR&#10;BN5Lw8INOGnR2YI3LKLpu0J4NiC60cW0LKtiAC+cBy5DwL+70UmviP49gNC2issd8KORNo6oXmoW&#10;caTQKxfoJnfbtpLHn20bZCS6oThpzF8sgudD+habNas7z1yv+LUF9p4W3sxkmLJY9BlqxyIjR6/+&#10;gTKKewjQxhsOphgHyYzgFJPyDTePPXMyz4JUB/dMevh/sPzhtPdECVTCDN9qNVvOKbHM4Oa/HCPk&#10;FsikrBJTgws1Jmzt3qdZ+dk+unvgvwOxsO2Z7WQOf7o4zJ6kjOJVSjKCw3qH4QcIjGFYIdN2br0h&#10;HnA9kwpFgg8lrVbue8JJtZApckZjVU7nFToveJ4vqmp1XaE8R8IxoJotKOHonS4XnxfZWbA6wScU&#10;50P8JsGQdGhoiJ6pro9bsBaVAn6sxU73IabmXxJSsoU7pXUWjLZkaOhqMV3k5gJoJZIzhQXfHbba&#10;kxNLkhtnGcFehXk4WpHBIlP6qxUkZtqiV0ikljRVCIYSLfGaGikynazW9spqInJcyQHEZe9TjUQw&#10;CiW3fhV1UuLfdo56ucib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Jlj3TXAAAABgEAAA8AAAAA&#10;AAAAAQAgAAAAIgAAAGRycy9kb3ducmV2LnhtbFBLAQIUABQAAAAIAIdO4kDx4GLtFQIAABAEAAAO&#10;AAAAAAAAAAEAIAAAACYBAABkcnMvZTJvRG9jLnhtbFBLBQYAAAAABgAGAFkBAACtBQAAAAA=&#10;">
                  <v:fill on="f" focussize="0,0"/>
                  <v:stroke color="#000000" joinstyle="round" endarrow="block" endarrowwidth="narrow"/>
                  <v:imagedata o:title=""/>
                  <o:lock v:ext="edit" aspectratio="f"/>
                </v:shape>
                <v:shape id="AutoShape 107" o:spid="_x0000_s1026" o:spt="32" type="#_x0000_t32" style="position:absolute;left:1932305;top:2578735;flip:x;height:285750;width:635;rotation:5898240f;" filled="f" stroked="t" coordsize="21600,21600" o:gfxdata="UEsDBAoAAAAAAIdO4kAAAAAAAAAAAAAAAAAEAAAAZHJzL1BLAwQUAAAACACHTuJA4mWPdNcAAAAG&#10;AQAADwAAAGRycy9kb3ducmV2LnhtbE2PT0vDQBDF74LfYRnBi9jdKLYlZtODpaAgqG0peJtmxySa&#10;nQ3Z7b9v7+hFL8MM7/Hm94rZ0XdqT0NsA1vIRgYUcRVcy7WF9WpxPQUVE7LDLjBZOFGEWXl+VmDu&#10;woHfaL9MtZIQjjlaaFLqc61j1ZDHOAo9sWgfYfCY5Bxq7QY8SLjv9I0xY+2xZfnQYE8PDVVfy523&#10;8Pne+te7+dXm6XlyWviXjXlczdfWXl5k5h5UomP6M8MPvqBDKUzbsGMXVWdBiqTfKdr01oxBbcWU&#10;TWTTZaH/45ffUEsDBBQAAAAIAIdO4kDOL8IPFgIAAA8EAAAOAAAAZHJzL2Uyb0RvYy54bWytU8Fu&#10;2zAMvQ/YPwi6L7YTuEmNOMWQrNuh2wK0+wBFkm1hkihISpz8/Sg5aNfu0sN8EEyRfI98pNZ3Z6PJ&#10;SfqgwLa0mpWUSMtBKNu39NfT/acVJSEyK5gGK1t6kYHebT5+WI+ukXMYQAvpCYLY0IyupUOMrimK&#10;wAdpWJiBkxadHXjDIpq+L4RnI6IbXczL8qYYwQvngcsQ8HY3OekV0b8HELpOcbkDfjTSxgnVS80i&#10;thQG5QLd5Gq7TvL4s+uCjES3FDuN+UQS/D+ks9isWdN75gbFryWw95TwpifDlEXSZ6gdi4wcvfoH&#10;yijuIUAXZxxMMTWSFcEuqvKNNo8DczL3glIH9yx6+H+w/Mdp74kSLb2tVnVVLZY4fssMDv7zMUKu&#10;gFTlMgk1utBg/NbufWqVn+2jewD+OxAL24HZXubwp4vD7CplFK9SkhEc0h3G7yAwhiFDVu3ceUM8&#10;4HSqG9wR/CjptHLfEk7iQqHIGY3bxXxR1pRcWjqvl6vlop4mKM+RcAy4wQvCk3dVL+s83oI1CT6h&#10;OB/iVwmGpJ+WhuiZ6oe4BWtxUcBPXOz0EGIq/iUhJVu4V1rnfdGWjChYPa9zcQG0EsmZwoLvD1vt&#10;yYmljZt6mcBehXk4WpHBIlP6ixUkZtmiVyikljQxBEOJlvhKjRRZTtZoe1U1CTmN5ADisveJIwmM&#10;e5JLv+50WsS/7Rz18o43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iZY901wAAAAYBAAAPAAAA&#10;AAAAAAEAIAAAACIAAABkcnMvZG93bnJldi54bWxQSwECFAAUAAAACACHTuJAzi/CDxYCAAAPBAAA&#10;DgAAAAAAAAABACAAAAAmAQAAZHJzL2Uyb0RvYy54bWxQSwUGAAAAAAYABgBZAQAArgUAAAAA&#10;">
                  <v:fill on="f" focussize="0,0"/>
                  <v:stroke color="#000000" joinstyle="round" endarrow="block" endarrowwidth="narrow"/>
                  <v:imagedata o:title=""/>
                  <o:lock v:ext="edit" aspectratio="f"/>
                </v:shape>
                <v:shape id="AutoShape 108" o:spid="_x0000_s1026" o:spt="33" type="#_x0000_t33" style="position:absolute;left:3090545;top:2163445;height:3780155;width:1019810;" filled="f" stroked="t" coordsize="21600,21600" o:gfxdata="UEsDBAoAAAAAAIdO4kAAAAAAAAAAAAAAAAAEAAAAZHJzL1BLAwQUAAAACACHTuJAXFYswNcAAAAG&#10;AQAADwAAAGRycy9kb3ducmV2LnhtbE2PS0/DMBCE70j9D9YicUHUDkhtCHEqFakHDhz6kuDmxtsk&#10;Il5HtvuAX9+lF7isdjWj2W/K2dn14oghdp40ZGMFAqn2tqNGw2a9eMhBxGTImt4TavjGCLNqdFOa&#10;wvoTLfG4So3gEIqF0dCmNBRSxrpFZ+LYD0is7X1wJvEZGmmDOXG46+WjUhPpTEf8oTUDvrZYf60O&#10;TkN4juEnbxab7fx+GT+m2ze3f//U+u42Uy8gEp7Tnxl+8RkdKmba+QPZKHoNXCRdJ2v5k5qA2LEp&#10;m/Imq1L+x68uUEsDBBQAAAAIAIdO4kDjh578EQIAAAUEAAAOAAAAZHJzL2Uyb0RvYy54bWytU8GO&#10;2yAQvVfqPyDuje0k3jpWnFWVNL1su5F2+wEE4xgVGAQkTv6+A3G22+1lD/UBgefNm3mPYXl/1oqc&#10;hPMSTEOLSU6JMBxaaQ4N/fm8/VRR4gMzLVNgREMvwtP71ccPy8HWYgo9qFY4giTG14NtaB+CrbPM&#10;815o5idghcFgB06zgEd3yFrHBmTXKpvm+V02gGutAy68x7+ba5COjO49hNB1kosN8KMWJlxZnVAs&#10;oCTfS+vpKnXbdYKHx67zIhDVUFQa0opFcL+Pa7ZasvrgmO0lH1tg72nhjSbNpMGiL1QbFhg5OvkP&#10;lZbcgYcuTDjo7CokOYIqivyNN089syJpQau9fTHd/z9a/uO0c0S2DZ3m86qcFUU5o8QwjTf/5Rgg&#10;tUCKvIpODdbXmLA2Oxe18rN5sg/Af3liYN0zcxAJ/nyxmF3EjOyvlHjwFuvth+/QIoZhhWTbuXM6&#10;UqIh5NzQWb7Iy3lJyQX7Ku5mc9ynmxLnQDgCirxYVAVeIkfE7HOVF2VCZKy+UVnnwzcBmsRNQ/c4&#10;KWswBicC3DQVZacHH2KTrL6BYw8GtlKpVE4ZMjR0UU7LlOBByTYGI8y7w36tHDmxOFr4bbdJMUZe&#10;w7QM+FyU1A2tImocucCk+mpaEpJXwUl0Twkay3lNiRL4NrVoR0ZlRiuje9d72EN72bmbxTgdScc4&#10;yXH8Xp9T9p/Xu/o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XFYswNcAAAAGAQAADwAAAAAAAAAB&#10;ACAAAAAiAAAAZHJzL2Rvd25yZXYueG1sUEsBAhQAFAAAAAgAh07iQOOHnvwRAgAABQQAAA4AAAAA&#10;AAAAAQAgAAAAJgEAAGRycy9lMm9Eb2MueG1sUEsFBgAAAAAGAAYAWQEAAKkFAAAAAA==&#10;">
                  <v:fill on="f" focussize="0,0"/>
                  <v:stroke color="#0000FF" miterlimit="8" joinstyle="miter" endarrow="block" endarrowwidth="narrow"/>
                  <v:imagedata o:title=""/>
                  <o:lock v:ext="edit" aspectratio="f"/>
                </v:shape>
                <v:shape id="AutoShape 109" o:spid="_x0000_s1026" o:spt="34" type="#_x0000_t34" style="position:absolute;left:3090545;top:2725420;flip:x y;height:3347720;width:1529080;" filled="f" stroked="t" coordsize="21600,21600" o:gfxdata="UEsDBAoAAAAAAIdO4kAAAAAAAAAAAAAAAAAEAAAAZHJzL1BLAwQUAAAACACHTuJAB+AeX9UAAAAG&#10;AQAADwAAAGRycy9kb3ducmV2LnhtbE2PwU7DMBBE70j9B2srcaN2qFRKiFM1SBxASIjCB7jxkkTE&#10;69R2k5avZ+ECl9WuZjT7pticXC9GDLHzpCFbKBBItbcdNRre3x6u1iBiMmRN7wk1nDHCppxdFCa3&#10;fqJXHHepERxCMTca2pSGXMpYt+hMXPgBibUPH5xJfIZG2mAmDne9vFZqJZ3piD+0ZsD7FuvP3dFp&#10;oMdD9eLp3G1vn8fpKzxVflxWWl/OM3UHIuEp/ZnhB5/RoWSmvT+SjaLXwEXS72RtvVQrEHs2ZTe8&#10;ybKQ//HLb1BLAwQUAAAACACHTuJAb8JTmjMCAABGBAAADgAAAGRycy9lMm9Eb2MueG1srVNNc9sg&#10;EL13pv+B4R4LyVZsayJnWrtpD2nrmaS9Y0AWLV8DxLL/fRaspE16yaE6MCDevt33drm6PmqFDsIH&#10;aU2LywnBSBhmuTT7Fv+4v7lYYBQiNZwqa0SLTyLg69X7d1eDa0Rle6u48AhITGgG1+I+RtcURWC9&#10;0DRMrBMGLjvrNY1w9PuCezoAu1ZFRchlMVjPnbdMhAB/N+dLPDL6txDarpNMbCx70MLEM6sXikaQ&#10;FHrpAl7lartOsPi964KISLUYlMa8QhLY79JarK5os/fU9ZKNJdC3lPBKk6bSQNJnqg2NFD14+Q+V&#10;lszbYLs4YVYXZyHZEVBRklfe3PXUiawFrA7u2fTw/2jZt8PWI8lbXJdzckkWdYmRoRoa/+Eh2lwB&#10;KskyGTW40AB+bbY+SWVHc+duLfsdkLHrnpq9yPD7k4PoMkUUL0LSIThItxu+Wg4YChmya8fOa9Qp&#10;6b6kwLz7mXYpDXiEji2ekiWpZzVGpxZX86qeVWPzxDEiBoCyrpZkAX1lgJhOZ/P5GVHQJtEnKudD&#10;/CysRmnT4h0Mz9oaA0Ni/TQno4fbEHMf+egC5b9SRVrBWByoQhflbEnmWRxtRjikeKJOscbeSKXy&#10;ZCmDhhYv66rO9MEqydNlggW/362VR8AKk0g+kjorArIXMC0jvDcldYsXJH3nmY1Uqk+Go5jdjl6C&#10;/0rglC5ojJSAx60FHwtVZmxG8v/cyZ3lp61/ahKMFyBezO/f5xz95/mvH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H4B5f1QAAAAYBAAAPAAAAAAAAAAEAIAAAACIAAABkcnMvZG93bnJldi54bWxQ&#10;SwECFAAUAAAACACHTuJAb8JTmjMCAABGBAAADgAAAAAAAAABACAAAAAkAQAAZHJzL2Uyb0RvYy54&#10;bWxQSwUGAAAAAAYABgBZAQAAyQUAAAAA&#10;" adj="-3220">
                  <v:fill on="f" focussize="0,0"/>
                  <v:stroke color="#00B050" miterlimit="8" joinstyle="miter" endarrow="block" endarrowwidth="narrow"/>
                  <v:imagedata o:title=""/>
                  <o:lock v:ext="edit" aspectratio="f"/>
                </v:shape>
                <v:shape id="AutoShape 110" o:spid="_x0000_s1026" o:spt="32" type="#_x0000_t32" style="position:absolute;left:2569210;top:6193790;flip:x;height:359410;width:1270;" filled="f" stroked="t" coordsize="21600,21600" o:gfxdata="UEsDBAoAAAAAAIdO4kAAAAAAAAAAAAAAAAAEAAAAZHJzL1BLAwQUAAAACACHTuJAI4kRvNYAAAAG&#10;AQAADwAAAGRycy9kb3ducmV2LnhtbE2PzU7DMBCE70i8g7VIXBC1A1IahThVhQo9IAQtPIAbL0nA&#10;Xkex+/f23XKBy2pXM5r9ppodvBM7HGMfSEM2USCQmmB7ajV8fjzdFiBiMmSNC4QajhhhVl9eVKa0&#10;YU8r3K1TKziEYmk0dCkNpZSx6dCbOAkDEmtfYfQm8Tm20o5mz+HeyTulculNT/yhMwM+dtj8rLde&#10;w0t+fHMqWVwsb4rv+QLnz8vXd62vrzL1ACLhIf2Z4YzP6FAz0yZsyUbhNHCR9DtZK+5VDmLDpmzK&#10;m6wr+R+/PgFQSwMEFAAAAAgAh07iQGvcWgwMAgAAAQQAAA4AAABkcnMvZTJvRG9jLnhtbK1TwXLb&#10;IBC9d6b/wHBvZMmVU2ssZzp20x7S1DNJPwADkpgCywC27L/vgtUkTS85VAcGtLtv9z0eq5uT0eQo&#10;fVBgW1pezSiRloNQtm/pz8fbD58oCZFZwTRY2dKzDPRm/f7danSNrGAALaQnCGJDM7qWDjG6pigC&#10;H6Rh4QqctBjswBsW8ej7Qng2IrrRRTWbLYoRvHAeuAwB/24vQToh+rcAQtcpLrfAD0baeEH1UrOI&#10;lMKgXKDrPG3XSR5/dF2QkeiWItOYV2yC+31ai/WKNb1nblB8GoG9ZYRXnAxTFps+QW1ZZOTg1T9Q&#10;RnEPAbp4xcEUFyJZEWRRzl5p8zAwJzMXlDq4J9HD/4Pl98edJ0qgE+qyrmflfEGJZQYv/vMhQp6A&#10;lGUWanShwfyN3flElZ/sg7sD/isQC5uB2V7m9Mezw+oySVv8VZIOwWG7/fgdBOYw7JBVO3XekE4r&#10;9y0VJnBUhpxaWtWLZYXdybmli3I5v15OVyZPkXBMKKtrjHIMz+vlx8ucBWsSYIJxPsSvEgxJm5aG&#10;6Jnqh7gBa9Ea4C/N2PEuxDTuc0EqtnCrtM4O0ZaMLV3WVZ2nC6CVSMGUFny/32hPjix5LH+ZO0Ze&#10;pnk4WJHBIlP6ixUkZqGiVyidljR1CIYSLfFdGikmEG0nHZN0ydeh2YM47/wffdEZefTJxcl6L8+5&#10;+vnlrn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I4kRvNYAAAAGAQAADwAAAAAAAAABACAAAAAi&#10;AAAAZHJzL2Rvd25yZXYueG1sUEsBAhQAFAAAAAgAh07iQGvcWgwMAgAAAQQAAA4AAAAAAAAAAQAg&#10;AAAAJQEAAGRycy9lMm9Eb2MueG1sUEsFBgAAAAAGAAYAWQEAAKMFAAAAAA==&#10;">
                  <v:fill on="f" focussize="0,0"/>
                  <v:stroke color="#000000" joinstyle="round" endarrow="block" endarrowwidth="narrow"/>
                  <v:imagedata o:title=""/>
                  <o:lock v:ext="edit" aspectratio="f"/>
                </v:shape>
                <v:shape id="AutoShape 111" o:spid="_x0000_s1026" o:spt="32" type="#_x0000_t32" style="position:absolute;left:1911985;top:5930900;flip:x;height:286385;width:635;rotation:5898240f;" filled="f" stroked="t" coordsize="21600,21600" o:gfxdata="UEsDBAoAAAAAAIdO4kAAAAAAAAAAAAAAAAAEAAAAZHJzL1BLAwQUAAAACACHTuJA4mWPdNcAAAAG&#10;AQAADwAAAGRycy9kb3ducmV2LnhtbE2PT0vDQBDF74LfYRnBi9jdKLYlZtODpaAgqG0peJtmxySa&#10;nQ3Z7b9v7+hFL8MM7/Hm94rZ0XdqT0NsA1vIRgYUcRVcy7WF9WpxPQUVE7LDLjBZOFGEWXl+VmDu&#10;woHfaL9MtZIQjjlaaFLqc61j1ZDHOAo9sWgfYfCY5Bxq7QY8SLjv9I0xY+2xZfnQYE8PDVVfy523&#10;8Pne+te7+dXm6XlyWviXjXlczdfWXl5k5h5UomP6M8MPvqBDKUzbsGMXVWdBiqTfKdr01oxBbcWU&#10;TWTTZaH/45ffUEsDBBQAAAAIAIdO4kCWwah5FQIAABAEAAAOAAAAZHJzL2Uyb0RvYy54bWytU02P&#10;2yAQvVfqf0Dcu7bzpTiKs6qSbnvYdiPt9gcQwDYqMAhInPz7Dji77W4ve6gPyDAz7817DOvbs9Hk&#10;JH1QYBta3ZSUSMtBKNs19OfT3aclJSEyK5gGKxt6kYHebj5+WA9uJSfQgxbSEwSxYTW4hvYxulVR&#10;BN5Lw8INOGkx2II3LOLWd4XwbEB0o4tJWS6KAbxwHrgMAU93Y5BeEf17AKFtFZc74EcjbRxRvdQs&#10;oqTQKxfoJnfbtpLHh7YNMhLdUFQa84ok+H9Ia7FZs1XnmesVv7bA3tPCG02GKYukL1A7Fhk5evUP&#10;lFHcQ4A23nAwxSgkO4IqqvKNN489czJrQauDezE9/D9Y/uO090QJnITZbLacl5N6QYllBm/+8zFC&#10;boFUVZWcGlxYYcHW7n3Sys/20d0D/xWIhW3PbCdz+tPFYXWuKF6VpE1wyHcYvoPAHIYM2bZz6w3x&#10;gNdTLXBI8KOk1cp9SziJC50iZ9zUVVUv55RcGjqvp2WNifkK5TkSjgmLKQY5RifLxRQTMViwVYJP&#10;KM6H+FWCIemnoSF6pro+bsFanBTwIxc73Yc4Fj4XpGILd0rrzKYtGRpazyfz3FwArUQKprTgu8NW&#10;e3JiaeRGLSPYqzQPRysyWGRKf7GCxGxb9AqN1JImhmAo0RKfqZHiKkVbVPRs5HglBxCXvU8c6RwH&#10;JWu+DnWaxL/3OevPQ978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Jlj3TXAAAABgEAAA8AAAAA&#10;AAAAAQAgAAAAIgAAAGRycy9kb3ducmV2LnhtbFBLAQIUABQAAAAIAIdO4kCWwah5FQIAABAEAAAO&#10;AAAAAAAAAAEAIAAAACYBAABkcnMvZTJvRG9jLnhtbFBLBQYAAAAABgAGAFkBAACtBQAAAAA=&#10;">
                  <v:fill on="f" focussize="0,0"/>
                  <v:stroke color="#000000" joinstyle="round" endarrow="block" endarrowwidth="narrow"/>
                  <v:imagedata o:title=""/>
                  <o:lock v:ext="edit" aspectratio="f"/>
                </v:shape>
                <v:shape id="Text Box 112" o:spid="_x0000_s1026" o:spt="202" type="#_x0000_t202" style="position:absolute;left:693420;top:1461135;height:381000;width:1047750;" fillcolor="#FFFFFF" filled="t" stroked="f" coordsize="21600,21600" o:gfxdata="UEsDBAoAAAAAAIdO4kAAAAAAAAAAAAAAAAAEAAAAZHJzL1BLAwQUAAAACACHTuJAhRPhk9QAAAAG&#10;AQAADwAAAGRycy9kb3ducmV2LnhtbE2PzU7DQAyE70i8w8pIXBDdhJ+kDdlUAgnEtaUP4GTdJGrW&#10;G2W3Tfv2GC5wsWzNaPxNuT67QZ1oCr1nA+kiAUXceNtza2D39X6/BBUissXBMxm4UIB1dX1VYmH9&#10;zBs6bWOrJIRDgQa6GMdC69B05DAs/Egs2t5PDqOcU6vthLOEu0E/JEmmHfYsHzoc6a2j5rA9OgP7&#10;z/nueTXXH3GXb56yV+zz2l+Mub1JkxdQkc7xzww/+IIOlTDV/sg2qMGAFIm/U7TlY5KBqsWU5rLp&#10;qtT/8atvUEsDBBQAAAAIAIdO4kDRRzuGLwIAAFMEAAAOAAAAZHJzL2Uyb0RvYy54bWytVMtu2zAQ&#10;vBfoPxC8N5Js+SVYDlIbKQqkDyDpB9AUZRGVuOyStuR+fZeUkxrpJYf6IJDa3dmd2ZHXt0PXspNC&#10;p8GUPLtJOVNGQqXNoeQ/nu4/LDlzXphKtGBUyc/K8dvN+3fr3hZqAg20lUJGIMYVvS15470tksTJ&#10;RnXC3YBVhoI1YCc8XfGQVCh6Qu/aZJKm86QHrCyCVM7R290Y5BdEfAsg1LWWagfy2CnjR1RUrfBE&#10;yTXaOr6J09a1kv5bXTvlWVtyYurjk5rQeR+eyWYtigMK22h5GUG8ZYRXnDqhDTV9gdoJL9gR9T9Q&#10;nZYIDmp/I6FLRiJREWKRpa+0eWyEVZELSe3si+ju/8HKr6fvyHRFTphns3w1Xy2nnBnR0eaf1ODZ&#10;RxhYlk2CUL11BeU/WqrwAwWoKJJ29gHkT8cMbBthDuoOEfpGiYoGzUJlclU64rgAsu+/QEWNxNFD&#10;BBpq7IKKpAsj9Plqmk9oU2eCyedZNp2N+wpzydA9zReLGSVIypguszSNC01E8Qxk0flPCjoWDiVH&#10;8kNsJE4PzofBRPGcEvo6aHV1r9s2XvCw37bIToK8cx9/kcurtNaEZAOhbEQMbyLjQHKk64f9cFFw&#10;D9WZuCOMXqQvkQ4N4G/OevJhyd2vo0DFWfvZkH6rLM+DceMlny2CHngd2V9HhJEEVXLP2Xjc+tHs&#10;R4v60FCncWMG7kjzWkcNwnLGqS5zk9eiNJfvIpj5+h6z/v4XbP4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hRPhk9QAAAAGAQAADwAAAAAAAAABACAAAAAiAAAAZHJzL2Rvd25yZXYueG1sUEsBAhQA&#10;FAAAAAgAh07iQNFHO4YvAgAAUwQAAA4AAAAAAAAAAQAgAAAAIwEAAGRycy9lMm9Eb2MueG1sUEsF&#10;BgAAAAAGAAYAWQEAAMQFAAAAAA==&#10;">
                  <v:fill on="t" focussize="0,0"/>
                  <v:stroke on="f"/>
                  <v:imagedata o:title=""/>
                  <o:lock v:ext="edit" aspectratio="f"/>
                  <v:textbox>
                    <w:txbxContent>
                      <w:p w14:paraId="3ECE5809">
                        <w:pPr>
                          <w:jc w:val="center"/>
                          <w:rPr>
                            <w:rFonts w:eastAsia="黑体"/>
                            <w:sz w:val="18"/>
                            <w:szCs w:val="18"/>
                          </w:rPr>
                        </w:pPr>
                        <w:r>
                          <w:rPr>
                            <w:rFonts w:hAnsi="黑体" w:eastAsia="黑体"/>
                            <w:sz w:val="18"/>
                            <w:szCs w:val="18"/>
                          </w:rPr>
                          <w:t>石灰、氯化钙</w:t>
                        </w:r>
                      </w:p>
                    </w:txbxContent>
                  </v:textbox>
                </v:shape>
                <v:shape id="Text Box 113" o:spid="_x0000_s1026" o:spt="202" type="#_x0000_t202" style="position:absolute;left:742315;top:2577465;height:299085;width:1047750;" fillcolor="#FFFFFF" filled="t" stroked="f" coordsize="21600,21600" o:gfxdata="UEsDBAoAAAAAAIdO4kAAAAAAAAAAAAAAAAAEAAAAZHJzL1BLAwQUAAAACACHTuJAhRPhk9QAAAAG&#10;AQAADwAAAGRycy9kb3ducmV2LnhtbE2PzU7DQAyE70i8w8pIXBDdhJ+kDdlUAgnEtaUP4GTdJGrW&#10;G2W3Tfv2GC5wsWzNaPxNuT67QZ1oCr1nA+kiAUXceNtza2D39X6/BBUissXBMxm4UIB1dX1VYmH9&#10;zBs6bWOrJIRDgQa6GMdC69B05DAs/Egs2t5PDqOcU6vthLOEu0E/JEmmHfYsHzoc6a2j5rA9OgP7&#10;z/nueTXXH3GXb56yV+zz2l+Mub1JkxdQkc7xzww/+IIOlTDV/sg2qMGAFIm/U7TlY5KBqsWU5rLp&#10;qtT/8atvUEsDBBQAAAAIAIdO4kC3E2QPLwIAAFIEAAAOAAAAZHJzL2Uyb0RvYy54bWytVE1v2zAM&#10;vQ/YfxB0Xxwndt0YcYouRYcB3QfQ7gcoshwLs0WNUmJ3v36UnHZBdulhORiiST3yPT5nfTP2HTsq&#10;dBpMxdPZnDNlJNTa7Cv+4+n+wzVnzgtTiw6Mqvizcvxm8/7derClWkALXa2QEYhx5WAr3npvyyRx&#10;slW9cDOwylCyAeyFpxD3SY1iIPS+Sxbz+VUyANYWQSrn6O3dlOQnRHwLIDSNluoO5KFXxk+oqDrh&#10;iZJrtXV8E6dtGiX9t6ZxyrOu4sTUxyc1ofMuPJPNWpR7FLbV8jSCeMsIF5x6oQ01fYW6E16wA+p/&#10;oHotERw0fiahTyYiURFikc4vtHlshVWRC0nt7Kvo7v/Byq/H78h0XfEsXxTLZZ4vOTOip8U/qdGz&#10;jzCyNF0GnQbrSip/tHTBj5Qg90TOzj6A/OmYgW0rzF7dIsLQKlHTnGm4mZxdnXBcANkNX6CmRuLg&#10;IQKNDfZBRJKFEXqRLZZpztlzxRd5UWRX+bSuMJcM3edZUeS0SRkqVqv5dSxIRPkCZNH5Twp6Fg4V&#10;R7JDbCSOD86HwUT5UhL6Ouh0fa+7Lga43207ZEdB1rmPv8jloqwzodhAuDYhhjeRcSA50fXjbjwp&#10;uIP6mbgjTFakD5EOLeBvzgayYcXdr4NAxVn32ZB+qzTLgm9jkOXFggI8z+zOM8JIgqq452w6bv3k&#10;9YNFvW+p07QxA7ekeaOjBmE501SnuclqUZrTZxG8fB7Hqr9/BZs/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hRPhk9QAAAAGAQAADwAAAAAAAAABACAAAAAiAAAAZHJzL2Rvd25yZXYueG1sUEsBAhQA&#10;FAAAAAgAh07iQLcTZA8vAgAAUgQAAA4AAAAAAAAAAQAgAAAAIwEAAGRycy9lMm9Eb2MueG1sUEsF&#10;BgAAAAAGAAYAWQEAAMQFAAAAAA==&#10;">
                  <v:fill on="t" focussize="0,0"/>
                  <v:stroke on="f"/>
                  <v:imagedata o:title=""/>
                  <o:lock v:ext="edit" aspectratio="f"/>
                  <v:textbox>
                    <w:txbxContent>
                      <w:p w14:paraId="0D1425F1">
                        <w:pPr>
                          <w:jc w:val="center"/>
                          <w:rPr>
                            <w:rFonts w:eastAsia="黑体"/>
                            <w:sz w:val="18"/>
                            <w:szCs w:val="18"/>
                          </w:rPr>
                        </w:pPr>
                        <w:r>
                          <w:rPr>
                            <w:rFonts w:eastAsia="黑体"/>
                            <w:sz w:val="18"/>
                            <w:szCs w:val="18"/>
                          </w:rPr>
                          <w:t>PAC</w:t>
                        </w:r>
                        <w:r>
                          <w:rPr>
                            <w:rFonts w:hAnsi="黑体" w:eastAsia="黑体"/>
                            <w:sz w:val="18"/>
                            <w:szCs w:val="18"/>
                          </w:rPr>
                          <w:t>、</w:t>
                        </w:r>
                        <w:r>
                          <w:rPr>
                            <w:rFonts w:eastAsia="黑体"/>
                            <w:sz w:val="18"/>
                            <w:szCs w:val="18"/>
                          </w:rPr>
                          <w:t>PAM</w:t>
                        </w:r>
                      </w:p>
                    </w:txbxContent>
                  </v:textbox>
                </v:shape>
                <v:shape id="Text Box 114" o:spid="_x0000_s1026" o:spt="202" type="#_x0000_t202" style="position:absolute;left:742315;top:5941695;height:266065;width:1026795;v-text-anchor:middle;" fillcolor="#FFFFFF" filled="t" stroked="f" coordsize="21600,21600" o:gfxdata="UEsDBAoAAAAAAIdO4kAAAAAAAAAAAAAAAAAEAAAAZHJzL1BLAwQUAAAACACHTuJA/YlulNQAAAAG&#10;AQAADwAAAGRycy9kb3ducmV2LnhtbE2PzU7EMAyE70i8Q2QkbmxSVmpXpekeVoDEgQPLPoDbuD+i&#10;caom+wNPj+ECF8vWjMbfVNuLn9SJljgGtpCtDCjiNriRewuH96e7DaiYkB1OgcnCJ0XY1tdXFZYu&#10;nPmNTvvUKwnhWKKFIaW51Dq2A3mMqzATi9aFxWOSc+m1W/As4X7S98bk2uPI8mHAmXYDtR/7o7ew&#10;++qwN838+py36/4lUfE4doW1tzeZeQCV6JL+zPCDL+hQC1MTjuyimixIkfQ7RdusTQ6qEVNWyKbr&#10;Sv/Hr78BUEsDBBQAAAAIAIdO4kDsiTWrJgIAAEQEAAAOAAAAZHJzL2Uyb0RvYy54bWytU8Fu2zAM&#10;vQ/YPwi6L7azxE2MOEWXIMOArhvQ7gMUWY6F2aJGKbGzrx8lJ13RXXqYDwYlkY98T0+r26Fr2Umh&#10;02BKnk1SzpSRUGlzKPmPp92HBWfOC1OJFowq+Vk5frt+/27V20JNoYG2UsgIxLiityVvvLdFkjjZ&#10;qE64CVhl6LAG7ISnJR6SCkVP6F2bTNM0T3rAyiJI5RztbsdDfkHEtwBCXWuptiCPnTJ+REXVCk+U&#10;XKOt4+s4bV0r6b/VtVOetSUnpj7+qQnF+/BP1itRHFDYRsvLCOItI7zi1AltqOkz1FZ4wY6o/4Hq&#10;tERwUPuJhC4ZiURFiEWWvtLmsRFWRS4ktbPPorv/BysfTt+R6arks2W+yPPFlJQxoqOLf1KDZ59g&#10;YFk2Czr11hWU/mipwA90QO6JnJ29B/nTMQObRpiDukOEvlGiojmzUJm8KB1xXADZ91+hokbi6CEC&#10;DTV2QUSShRH6zWz6MZtzdi75fDnL8uV8vK4wlwzd02l+Q5tMUsY0z9M8JiSiuAJZdP6zgo6FoORI&#10;doiNxOne+TCYKK4poa+DVlc73bZxgYf9pkV2EmSdXfwil1dprQnJBkLZiBh2IuNAcqTrh/1wUXAP&#10;1Zm4I4xWpIdIQQP4m7OebFhy9+soUHHWfjGkX/DsNcBrsL8GwkgqLbn0yNm42PjR3UeL+tAQ9nhH&#10;Bu5I5VpH1uE6xjkuk5K5ohiXhxDc+3Ids/4+/v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Ylu&#10;lNQAAAAGAQAADwAAAAAAAAABACAAAAAiAAAAZHJzL2Rvd25yZXYueG1sUEsBAhQAFAAAAAgAh07i&#10;QOyJNasmAgAARAQAAA4AAAAAAAAAAQAgAAAAIwEAAGRycy9lMm9Eb2MueG1sUEsFBgAAAAAGAAYA&#10;WQEAALsFAAAAAA==&#10;">
                  <v:fill on="t" focussize="0,0"/>
                  <v:stroke on="f"/>
                  <v:imagedata o:title=""/>
                  <o:lock v:ext="edit" aspectratio="f"/>
                  <v:textbox inset="0mm,0mm,0mm,0mm">
                    <w:txbxContent>
                      <w:p w14:paraId="59004BC4">
                        <w:pPr>
                          <w:jc w:val="center"/>
                          <w:rPr>
                            <w:rFonts w:eastAsia="黑体"/>
                            <w:sz w:val="18"/>
                            <w:szCs w:val="18"/>
                          </w:rPr>
                        </w:pPr>
                        <w:r>
                          <w:rPr>
                            <w:rFonts w:hint="eastAsia" w:eastAsia="黑体"/>
                            <w:sz w:val="18"/>
                            <w:szCs w:val="18"/>
                          </w:rPr>
                          <w:t>氟化物在线监测</w:t>
                        </w:r>
                      </w:p>
                    </w:txbxContent>
                  </v:textbox>
                </v:shape>
                <v:shape id="Text Box 115" o:spid="_x0000_s1026" o:spt="202" type="#_x0000_t202" style="position:absolute;left:1919605;top:6553200;height:266700;width:1297305;" fillcolor="#FFFFFF" filled="t" stroked="f" coordsize="21600,21600" o:gfxdata="UEsDBAoAAAAAAIdO4kAAAAAAAAAAAAAAAAAEAAAAZHJzL1BLAwQUAAAACACHTuJAhRPhk9QAAAAG&#10;AQAADwAAAGRycy9kb3ducmV2LnhtbE2PzU7DQAyE70i8w8pIXBDdhJ+kDdlUAgnEtaUP4GTdJGrW&#10;G2W3Tfv2GC5wsWzNaPxNuT67QZ1oCr1nA+kiAUXceNtza2D39X6/BBUissXBMxm4UIB1dX1VYmH9&#10;zBs6bWOrJIRDgQa6GMdC69B05DAs/Egs2t5PDqOcU6vthLOEu0E/JEmmHfYsHzoc6a2j5rA9OgP7&#10;z/nueTXXH3GXb56yV+zz2l+Mub1JkxdQkc7xzww/+IIOlTDV/sg2qMGAFIm/U7TlY5KBqsWU5rLp&#10;qtT/8atvUEsDBBQAAAAIAIdO4kAx8MtPLQIAAFQEAAAOAAAAZHJzL2Uyb0RvYy54bWytVMtu2zAQ&#10;vBfoPxC817IcP2LBcpDacFEgfQBJP4CmKIuoxGWXtCX367skndRILznUB4Gr3Z3dGY68uhu6lp0U&#10;Og2m5PlozJkyEiptDiX/8bT7cMuZ88JUogWjSn5Wjt+t379b9bZQE2igrRQyAjGu6G3JG+9tkWVO&#10;NqoTbgRWGUrWgJ3wFOIhq1D0hN612WQ8nmc9YGURpHKO3m5Tkl8Q8S2AUNdaqi3IY6eMT6ioWuGJ&#10;kmu0dXwdt61rJf23unbKs7bkxNTHJw2h8z48s/VKFAcUttHysoJ4ywqvOHVCGxr6ArUVXrAj6n+g&#10;Oi0RHNR+JKHLEpGoCLHIx6+0eWyEVZELSe3si+ju/8HKr6fvyHRFTrjN88l4upyRNEZ0dPNPavDs&#10;Iwwsz2dBqN66guofLXX4gRLUFEk7+wDyp2MGNo0wB3WPCH2jREWL5qEzu2pNOC6A7PsvUNEgcfQQ&#10;gYYau6Ai6cIC+jJfzsczzs4ln89mN2SfdGFhMRkKJsvFTSiQVDGZzxepIBPFM5JF5z8p6Fg4lBzJ&#10;EHGSOD04HzYTxXNJGOyg1dVOt20M8LDftMhOgsyzi79I5lVZa0KxgdCWEMObSDmwTHz9sB8uEu6h&#10;OhN5hGRG+hTp0AD+5qwnI5bc/ToKVJy1nw0JuMyn0+DcGExniwkFeJ3ZX2eEkQRVcs9ZOm58cvvR&#10;oj40NCldmYF7Er3WUYNwO2mry95ktijN5cMIbr6OY9XfP4P1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IUT4ZPUAAAABgEAAA8AAAAAAAAAAQAgAAAAIgAAAGRycy9kb3ducmV2LnhtbFBLAQIUABQA&#10;AAAIAIdO4kAx8MtPLQIAAFQEAAAOAAAAAAAAAAEAIAAAACMBAABkcnMvZTJvRG9jLnhtbFBLBQYA&#10;AAAABgAGAFkBAADCBQAAAAA=&#10;">
                  <v:fill on="t" focussize="0,0"/>
                  <v:stroke on="f"/>
                  <v:imagedata o:title=""/>
                  <o:lock v:ext="edit" aspectratio="f"/>
                  <v:textbox>
                    <w:txbxContent>
                      <w:p w14:paraId="7B678766">
                        <w:pPr>
                          <w:jc w:val="center"/>
                          <w:rPr>
                            <w:rFonts w:eastAsia="黑体"/>
                            <w:sz w:val="18"/>
                            <w:szCs w:val="18"/>
                          </w:rPr>
                        </w:pPr>
                        <w:r>
                          <w:rPr>
                            <w:rFonts w:hint="eastAsia" w:eastAsia="黑体"/>
                            <w:sz w:val="18"/>
                            <w:szCs w:val="18"/>
                          </w:rPr>
                          <w:t>达标去厂区总排口</w:t>
                        </w:r>
                      </w:p>
                    </w:txbxContent>
                  </v:textbox>
                </v:shape>
                <v:shape id="Text Box 116" o:spid="_x0000_s1026" o:spt="202" type="#_x0000_t202" style="position:absolute;left:3600450;top:5946140;height:266700;width:1019175;" fillcolor="#FFFFFF" filled="t" stroked="t" coordsize="21600,21600" o:gfxdata="UEsDBAoAAAAAAIdO4kAAAAAAAAAAAAAAAAAEAAAAZHJzL1BLAwQUAAAACACHTuJAyXludNUAAAAG&#10;AQAADwAAAGRycy9kb3ducmV2LnhtbE2PQU/DMAyF70j8h8hIXNCWlKGulKY7IIHgxgYa16zx2orG&#10;KUnWjX+P4QIXy9Z7ev5etTq5QUwYYu9JQzZXIJAab3tqNby9PswKEDEZsmbwhBq+MMKqPj+rTGn9&#10;kdY4bVIrOIRiaTR0KY2llLHp0Jk49yMSa3sfnEl8hlbaYI4c7gZ5rVQunemJP3RmxPsOm4/NwWko&#10;bp6m9/i8eNk2+X64TVfL6fEzaH15kak7EAlP6c8MP/iMDjUz7fyBbBSDBi6SfidrxULlIHZsypa8&#10;ybqS//Hrb1BLAwQUAAAACACHTuJAB/Gc1EQCAACcBAAADgAAAGRycy9lMm9Eb2MueG1srVTbbtsw&#10;DH0fsH8Q9L7YTnNpjDpFlyDDgO4CtPsARZZjYZKoSUrs7OtHyW4XdBvQh/nBEE3q8PCQ9M1trxU5&#10;CeclmIoWk5wSYTjU0hwq+u1x9+6aEh+YqZkCIyp6Fp7ert++uelsKabQgqqFIwhifNnZirYh2DLL&#10;PG+FZn4CVhh0NuA0C2i6Q1Y71iG6Vtk0zxdZB662DrjwHr9uBycdEd1rAKFpJBdb4EctTBhQnVAs&#10;YEm+ldbTdWLbNIKHL03jRSCqolhpSG9Mgud9fGfrG1YeHLOt5CMF9hoKL2rSTBpM+gy1ZYGRo5N/&#10;QGnJHXhowoSDzoZCkiJYRZG/0OahZVakWlBqb59F9/8Pln8+fXVE1hW9WhWLPF9NC0oM09j4R9EH&#10;8h56UhSLqFNnfYnhDxYvhB4dOD2pZm/vgX/3xMCmZeYg7pyDrhWsRp5FvJldXB1wfATZd5+gxkTs&#10;GCAB9Y3TUUSUhSD6FfKZzbFT54rOV7NFMRv7FYnxmD4vVsVyTgnHiOliscxTQMbKJyTrfPggQJN4&#10;qKjDeUiZ2Oneh8iMlU8hMbEHJeudVCoZ7rDfKEdODGdnl55UzIswZUhX0dV8Oh/E+CdEnp6/QWgZ&#10;cKWU1BW9vgxSZtQuyjUIF/p9P/ZiD/UZVXQwDDWuNB5acD8p6XCgK+p/HJkTlKiPBjuxKmaoHwnJ&#10;mM2XUzTcpWd/6WGGI1RFAyXDcROGrTlaJw8tZhp6b+AOu9fIJGZs88Bq5I1DmzQeFyxuxaWdon7/&#10;VN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Ml5bnTVAAAABgEAAA8AAAAAAAAAAQAgAAAAIgAA&#10;AGRycy9kb3ducmV2LnhtbFBLAQIUABQAAAAIAIdO4kAH8ZzURAIAAJwEAAAOAAAAAAAAAAEAIAAA&#10;ACQBAABkcnMvZTJvRG9jLnhtbFBLBQYAAAAABgAGAFkBAADaBQAAAAA=&#10;">
                  <v:fill on="t" focussize="0,0"/>
                  <v:stroke color="#000000" miterlimit="8" joinstyle="miter"/>
                  <v:imagedata o:title=""/>
                  <o:lock v:ext="edit" aspectratio="f"/>
                  <v:textbox>
                    <w:txbxContent>
                      <w:p w14:paraId="4DC25528">
                        <w:pPr>
                          <w:jc w:val="center"/>
                          <w:rPr>
                            <w:rFonts w:eastAsia="黑体"/>
                            <w:sz w:val="18"/>
                            <w:szCs w:val="18"/>
                          </w:rPr>
                        </w:pPr>
                        <w:r>
                          <w:rPr>
                            <w:rFonts w:hint="eastAsia" w:eastAsia="黑体"/>
                            <w:sz w:val="18"/>
                            <w:szCs w:val="18"/>
                          </w:rPr>
                          <w:t>污泥压滤系统</w:t>
                        </w:r>
                      </w:p>
                    </w:txbxContent>
                  </v:textbox>
                </v:shape>
                <v:shape id="AutoShape 117" o:spid="_x0000_s1026" o:spt="32" type="#_x0000_t32" style="position:absolute;left:4110355;top:6222365;flip:x;height:285750;width:4445;" filled="f" stroked="t" coordsize="21600,21600" o:gfxdata="UEsDBAoAAAAAAIdO4kAAAAAAAAAAAAAAAAAEAAAAZHJzL1BLAwQUAAAACACHTuJAI4kRvNYAAAAG&#10;AQAADwAAAGRycy9kb3ducmV2LnhtbE2PzU7DMBCE70i8g7VIXBC1A1IahThVhQo9IAQtPIAbL0nA&#10;Xkex+/f23XKBy2pXM5r9ppodvBM7HGMfSEM2USCQmmB7ajV8fjzdFiBiMmSNC4QajhhhVl9eVKa0&#10;YU8r3K1TKziEYmk0dCkNpZSx6dCbOAkDEmtfYfQm8Tm20o5mz+HeyTulculNT/yhMwM+dtj8rLde&#10;w0t+fHMqWVwsb4rv+QLnz8vXd62vrzL1ACLhIf2Z4YzP6FAz0yZsyUbhNHCR9DtZK+5VDmLDpmzK&#10;m6wr+R+/PgFQSwMEFAAAAAgAh07iQIxvM90PAgAAAgQAAA4AAABkcnMvZTJvRG9jLnhtbK1TTXPb&#10;IBC9d6b/geFe6yOW42gsZzp20x7S1DNJfwBGSGIKLAPYsv99F+QmaXrJoTowoN33dt9jWd2etCJH&#10;4bwE09BillMiDIdWmr6hP5/uPi0p8YGZlikwoqFn4ent+uOH1WhrUcIAqhWOIInx9WgbOoRg6yzz&#10;fBCa+RlYYTDYgdMs4NH1WevYiOxaZWWeL7IRXGsdcOE9/t1OQXphdO8hhK6TXGyBH7QwYWJ1QrGA&#10;kvwgrafr1G3XCR5+dJ0XgaiGotKQViyC+31cs/WK1b1jdpD80gJ7TwtvNGkmDRZ9ptqywMjByX+o&#10;tOQOPHRhxkFnk5DkCKoo8jfePA7MiqQFrfb22XT//2j5w3HniGxxEpbVzfI6L+YLSgzTePOfDwFS&#10;C6QorqNTo/U1AjZm56JWfjKP9h74L08MbAZmepHSn84W0UVEZH9B4sFbrLcfv0OLOQwrJNtOndOk&#10;U9J+i8BIjtaQU0PnRZFfVRUl54YuyrK8WlTTnYlTIDwmzOcY5Rgul9V1lW40Y3UkjDTW+fBVgCZx&#10;01AfHJP9EDZgDM4GuKkYO977ENt9AUSwgTupVBoRZcjY0JuqrFJ3HpRsYzCmedfvN8qRI4tDlr6k&#10;HSOv0xwcTJvIApPqi2lJSEYFJ9E6JWis4DUlSuDD1KK9kChz8TFaN13CHtrzzv3xF0cjtX4Z4zh7&#10;r88J/fJ01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I4kRvNYAAAAGAQAADwAAAAAAAAABACAA&#10;AAAiAAAAZHJzL2Rvd25yZXYueG1sUEsBAhQAFAAAAAgAh07iQIxvM90PAgAAAgQAAA4AAAAAAAAA&#10;AQAgAAAAJQEAAGRycy9lMm9Eb2MueG1sUEsFBgAAAAAGAAYAWQEAAKYFAAAAAA==&#10;">
                  <v:fill on="f" focussize="0,0"/>
                  <v:stroke color="#000000" joinstyle="round" endarrow="block" endarrowwidth="narrow"/>
                  <v:imagedata o:title=""/>
                  <o:lock v:ext="edit" aspectratio="f"/>
                </v:shape>
                <v:shape id="Text Box 118" o:spid="_x0000_s1026" o:spt="202" type="#_x0000_t202" style="position:absolute;left:3676650;top:6508115;height:257175;width:847725;" fillcolor="#FFFFFF" filled="t" stroked="f" coordsize="21600,21600" o:gfxdata="UEsDBAoAAAAAAIdO4kAAAAAAAAAAAAAAAAAEAAAAZHJzL1BLAwQUAAAACACHTuJAhRPhk9QAAAAG&#10;AQAADwAAAGRycy9kb3ducmV2LnhtbE2PzU7DQAyE70i8w8pIXBDdhJ+kDdlUAgnEtaUP4GTdJGrW&#10;G2W3Tfv2GC5wsWzNaPxNuT67QZ1oCr1nA+kiAUXceNtza2D39X6/BBUissXBMxm4UIB1dX1VYmH9&#10;zBs6bWOrJIRDgQa6GMdC69B05DAs/Egs2t5PDqOcU6vthLOEu0E/JEmmHfYsHzoc6a2j5rA9OgP7&#10;z/nueTXXH3GXb56yV+zz2l+Mub1JkxdQkc7xzww/+IIOlTDV/sg2qMGAFIm/U7TlY5KBqsWU5rLp&#10;qtT/8atvUEsDBBQAAAAIAIdO4kAINB3SLwIAAFIEAAAOAAAAZHJzL2Uyb0RvYy54bWytVMFu2zAM&#10;vQ/YPwi6L46TOM6MOEWXIMOArhvQ7gMUWY6F2aJGKbG7rx8lp13QXXqYD7JoUo98j5TXN0PXsrNC&#10;p8GUPJ1MOVNGQqXNseQ/HvcfVpw5L0wlWjCq5E/K8ZvN+3fr3hZqBg20lUJGIMYVvS15470tksTJ&#10;RnXCTcAqQ84asBOeTDwmFYqe0Ls2mU2ny6QHrCyCVM7R193o5BdEfAsg1LWWagfy1CnjR1RUrfBE&#10;yTXaOr6J1da1kv5bXTvlWVtyYurjSklofwhrslmL4ojCNlpeShBvKeEVp05oQ0lfoHbCC3ZC/Q9U&#10;pyWCg9pPJHTJSCQqQizS6SttHhphVeRCUjv7Irr7f7Dy/vwdma5KvlrNs2yeL2ecGdFR4x/V4Nkn&#10;GFiaroJOvXUFhT9YOuAHctD0RM7O3oH86ZiBbSPMUd0iQt8oUVGdaTiZXB0dcVwAOfRfoaJE4uQh&#10;Ag01dkFEkoUR+nyZL5cZdeqp5PRepWk29isUJilgtcjzWcaZpIBZlqd59CeieAay6PxnBR0Lm5Ij&#10;jUNMJM53zofCRPEcEvI6aHW1120bDTweti2ys6DR2ccncnkV1poQbCAcGxHDl8g4kBzp+uEwXBQ8&#10;QPVE3BHGUaSLSJsG8DdnPY1hyd2vk0DFWfvFkH4f08UizG00Flk+IwOvPYdrjzCSoEruORu3Wz/O&#10;+smiPjaUaeyYgVvSvNZRg9CcsapL3TRqUZrLtQizfG3HqL+/gs0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hRPhk9QAAAAGAQAADwAAAAAAAAABACAAAAAiAAAAZHJzL2Rvd25yZXYueG1sUEsBAhQA&#10;FAAAAAgAh07iQAg0HdIvAgAAUgQAAA4AAAAAAAAAAQAgAAAAIwEAAGRycy9lMm9Eb2MueG1sUEsF&#10;BgAAAAAGAAYAWQEAAMQFAAAAAA==&#10;">
                  <v:fill on="t" focussize="0,0"/>
                  <v:stroke on="f"/>
                  <v:imagedata o:title=""/>
                  <o:lock v:ext="edit" aspectratio="f"/>
                  <v:textbox>
                    <w:txbxContent>
                      <w:p w14:paraId="3349B82C">
                        <w:pPr>
                          <w:jc w:val="center"/>
                          <w:rPr>
                            <w:rFonts w:eastAsia="黑体"/>
                            <w:sz w:val="18"/>
                            <w:szCs w:val="18"/>
                          </w:rPr>
                        </w:pPr>
                        <w:r>
                          <w:rPr>
                            <w:rFonts w:hAnsi="黑体" w:eastAsia="黑体"/>
                            <w:sz w:val="18"/>
                            <w:szCs w:val="18"/>
                          </w:rPr>
                          <w:t>氯化钙干泥</w:t>
                        </w:r>
                      </w:p>
                    </w:txbxContent>
                  </v:textbox>
                </v:shape>
                <v:shape id="Text Box 119" o:spid="_x0000_s1026" o:spt="202" type="#_x0000_t202" style="position:absolute;left:4888230;top:3423285;height:762635;width:161925;v-text-anchor:middle;" filled="f" stroked="f" coordsize="21600,21600" o:gfxdata="UEsDBAoAAAAAAIdO4kAAAAAAAAAAAAAAAAAEAAAAZHJzL1BLAwQUAAAACACHTuJAsHWY1tUAAAAG&#10;AQAADwAAAGRycy9kb3ducmV2LnhtbE2PwU7DMBBE70j8g7VI3KidViptiFOpoHKACwQ+YBO7SVR7&#10;HcVOW/h6Fi70strVjGbfFJuzd+Jox9gH0pDNFAhLTTA9tRo+P3Z3KxAxIRl0gayGLxthU15fFZib&#10;cKJ3e6xSKziEYo4aupSGXMrYdNZjnIXBEmv7MHpMfI6tNCOeONw7OVdqKT32xB86HOxjZ5tDNXkN&#10;2+9YDS/T9IxPbr7drd/S4rVea317k6kHEMme078ZfvEZHUpmqsNEJgqngYukv8naaqGWIGo2Zfe8&#10;ybKQl/jlD1BLAwQUAAAACACHTuJAWj5xsRQCAAAdBAAADgAAAGRycy9lMm9Eb2MueG1srVPLbtsw&#10;ELwX6D8QvNd6OPFDsBykMVIUSNMCSXqnKcoiKnHZJW3Jf98lZadpcsmhF2nJXc7uDIerq6Fr2UGh&#10;02BKnk1SzpSRUGmzK/nT4+2nBWfOC1OJFowq+VE5frX++GHV20Ll0EBbKWQEYlzR25I33tsiSZxs&#10;VCfcBKwylKwBO+FpibukQtETetcmeZrOkh6wsghSOUe7mzHJT4j4HkCoay3VBuS+U8aPqKha4YmS&#10;a7R1fB2nrWsl/fe6dsqztuTE1McvNaF4G77JeiWKHQrbaHkaQbxnhFecOqENNX2G2ggv2B71G6hO&#10;SwQHtZ9I6JKRSFSEWGTpK20eGmFV5EJSO/ssuvt/sPL+8AOZrkqez9NlOk/TjDMjOrr4RzV49hkG&#10;lmXLoFNvXUHlD5YO+IES5J7I2dk7kL8cM3DTCLNT14jQN0pUNGcWTiYvjo44LoBs+29QUSOx9xCB&#10;hhq7ICLJwgj9YrFY5FO6qWPJpxf5NF9cjvcVBpOh/Sxb5pecSSqYz/LZNOYTUZyBLDr/RUHHQlBy&#10;JDvERuJw53wYTBTnktDXwK1u22iJ1vyzQYVhJxIJs48s/LAdTsJsoToSJYTRYfS+KFDiJ/0568lf&#10;JXe/9wIVZ+1XQ8IEM54DPAfbcyCMbIBsKj1yNi5u/GjbvUW9awh9FN/ANclX60gn6DxOcpqVXBNZ&#10;nhwebPlyHav+vur1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B1mNbVAAAABgEAAA8AAAAAAAAA&#10;AQAgAAAAIgAAAGRycy9kb3ducmV2LnhtbFBLAQIUABQAAAAIAIdO4kBaPnGxFAIAAB0EAAAOAAAA&#10;AAAAAAEAIAAAACQBAABkcnMvZTJvRG9jLnhtbFBLBQYAAAAABgAGAFkBAACqBQAAAAA=&#10;">
                  <v:fill on="f" focussize="0,0"/>
                  <v:stroke on="f"/>
                  <v:imagedata o:title=""/>
                  <o:lock v:ext="edit" aspectratio="f"/>
                  <v:textbox inset="0mm,0mm,0mm,0mm" style="layout-flow:vertical-ideographic;">
                    <w:txbxContent>
                      <w:p w14:paraId="2E2B4541">
                        <w:pPr>
                          <w:jc w:val="center"/>
                          <w:rPr>
                            <w:rFonts w:eastAsia="黑体"/>
                            <w:color w:val="00B050"/>
                            <w:sz w:val="18"/>
                            <w:szCs w:val="18"/>
                          </w:rPr>
                        </w:pPr>
                        <w:r>
                          <w:rPr>
                            <w:rFonts w:hint="eastAsia" w:eastAsia="黑体"/>
                            <w:color w:val="00B050"/>
                            <w:sz w:val="18"/>
                            <w:szCs w:val="18"/>
                          </w:rPr>
                          <w:t>滤液</w:t>
                        </w:r>
                        <w:r>
                          <w:rPr>
                            <w:rFonts w:eastAsia="黑体"/>
                            <w:color w:val="00B050"/>
                            <w:sz w:val="18"/>
                            <w:szCs w:val="18"/>
                          </w:rPr>
                          <w:t>回用</w:t>
                        </w:r>
                      </w:p>
                    </w:txbxContent>
                  </v:textbox>
                </v:shape>
                <v:shape id="Text Box 120" o:spid="_x0000_s1026" o:spt="202" type="#_x0000_t202" style="position:absolute;left:4105275;top:3502025;height:762635;width:238125;v-text-anchor:middle;" filled="f" stroked="f" coordsize="21600,21600" o:gfxdata="UEsDBAoAAAAAAIdO4kAAAAAAAAAAAAAAAAAEAAAAZHJzL1BLAwQUAAAACACHTuJAsHWY1tUAAAAG&#10;AQAADwAAAGRycy9kb3ducmV2LnhtbE2PwU7DMBBE70j8g7VI3KidViptiFOpoHKACwQ+YBO7SVR7&#10;HcVOW/h6Fi70strVjGbfFJuzd+Jox9gH0pDNFAhLTTA9tRo+P3Z3KxAxIRl0gayGLxthU15fFZib&#10;cKJ3e6xSKziEYo4aupSGXMrYdNZjnIXBEmv7MHpMfI6tNCOeONw7OVdqKT32xB86HOxjZ5tDNXkN&#10;2+9YDS/T9IxPbr7drd/S4rVea317k6kHEMme078ZfvEZHUpmqsNEJgqngYukv8naaqGWIGo2Zfe8&#10;ybKQl/jlD1BLAwQUAAAACACHTuJAPSYWuhICAAAdBAAADgAAAGRycy9lMm9Eb2MueG1srVPLbtsw&#10;ELwX6D8QvNd6uHYCwXKQxkhRIG0KJO19TVEWUZHLkrQl/32XlJ2k6SWHXqQluZqdGY5WV6Pu2UE6&#10;r9DUvJjlnEkjsFFmV/Mfj7cfLjnzAUwDPRpZ86P0/Gr9/t1qsJUsscO+kY4RiPHVYGvehWCrLPOi&#10;kxr8DK00dNii0xBo6XZZ42AgdN1nZZ4vswFdYx0K6T3tbqZDfkJ0bwHEtlVCblDstTRhQnWyh0CS&#10;fKes5+vEtm2lCPdt62Vgfc1JaUhPGkL1Nj6z9QqqnQPbKXGiAG+h8EqTBmVo6BPUBgKwvVP/QGkl&#10;HHpsw0ygziYhyRFSUeSvvHnowMqkhaz29sl0//9gxbfDd8dUU/OL+WK5KC8WdP0GNF38oxwD+4Qj&#10;K8rk02B9Re0Plj4IIx1QepJmb+9Q/PLM4E0HZievncOhk9AQzyI6nL34NN6Mr3wE2Q5fsaFBsA+Y&#10;gMbW6Wgi2cII/WORR0KcHWs+X+RlXi6m+4rEBDWU88uC9pighotluZyn8wyqM5B1PnyWqFksau4o&#10;DmkQHO58iMSgOrfEuQZvVd+nSPTmrw1qjDtJSOQ+qQjjdqTuKGiLzZEkOZwSRv8XFRJ+0puzgfJV&#10;c/97D05y1n8xZEwM47lw52J7LsCIDimmIjjOpsVNmGK7t07tOkKfzDd4Tfa1Ksl5ZnLiSqlJKk8J&#10;j7F8uU5dz3/1+g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wdZjW1QAAAAYBAAAPAAAAAAAAAAEA&#10;IAAAACIAAABkcnMvZG93bnJldi54bWxQSwECFAAUAAAACACHTuJAPSYWuhICAAAdBAAADgAAAAAA&#10;AAABACAAAAAkAQAAZHJzL2Uyb0RvYy54bWxQSwUGAAAAAAYABgBZAQAAqAUAAAAA&#10;">
                  <v:fill on="f" focussize="0,0"/>
                  <v:stroke on="f"/>
                  <v:imagedata o:title=""/>
                  <o:lock v:ext="edit" aspectratio="f"/>
                  <v:textbox inset="0mm,0mm,0mm,0mm" style="layout-flow:vertical-ideographic;">
                    <w:txbxContent>
                      <w:p w14:paraId="4D0C9D36">
                        <w:pPr>
                          <w:rPr>
                            <w:rFonts w:eastAsia="黑体"/>
                            <w:color w:val="0000CC"/>
                            <w:sz w:val="18"/>
                            <w:szCs w:val="18"/>
                          </w:rPr>
                        </w:pPr>
                        <w:r>
                          <w:rPr>
                            <w:rFonts w:eastAsia="黑体"/>
                            <w:color w:val="0000CC"/>
                            <w:sz w:val="18"/>
                            <w:szCs w:val="18"/>
                          </w:rPr>
                          <w:t>氟化钙污泥</w:t>
                        </w:r>
                      </w:p>
                    </w:txbxContent>
                  </v:textbox>
                </v:shape>
                <v:shape id="Text Box 121" o:spid="_x0000_s1026" o:spt="202" type="#_x0000_t202" style="position:absolute;left:2071370;top:3697605;height:266700;width:1019175;" fillcolor="#FFFFFF" filled="t" stroked="t" coordsize="21600,21600" o:gfxdata="UEsDBAoAAAAAAIdO4kAAAAAAAAAAAAAAAAAEAAAAZHJzL1BLAwQUAAAACACHTuJAyXludNUAAAAG&#10;AQAADwAAAGRycy9kb3ducmV2LnhtbE2PQU/DMAyF70j8h8hIXNCWlKGulKY7IIHgxgYa16zx2orG&#10;KUnWjX+P4QIXy9Z7ev5etTq5QUwYYu9JQzZXIJAab3tqNby9PswKEDEZsmbwhBq+MMKqPj+rTGn9&#10;kdY4bVIrOIRiaTR0KY2llLHp0Jk49yMSa3sfnEl8hlbaYI4c7gZ5rVQunemJP3RmxPsOm4/NwWko&#10;bp6m9/i8eNk2+X64TVfL6fEzaH15kak7EAlP6c8MP/iMDjUz7fyBbBSDBi6SfidrxULlIHZsypa8&#10;ybqS//Hrb1BLAwQUAAAACACHTuJAFLr2g0YCAACdBAAADgAAAGRycy9lMm9Eb2MueG1srVTbbtsw&#10;DH0fsH8Q9L74klsTxCm6BBkGdN2Adh+gyHIsTBI1SYndff0oOe2ybgP6MD0IokkekoekV9e9VuQk&#10;nJdgKlqMckqE4VBLc6jo14fduytKfGCmZgqMqOij8PR6/fbNqrNLUUILqhaOIIjxy85WtA3BLrPM&#10;81Zo5kdghUFlA06zgKI7ZLVjHaJrlZV5Pss6cLV1wIX3+HU7KOkZ0b0GEJpGcrEFftTChAHVCcUC&#10;luRbaT1dp2ybRvDwuWm8CERVFCsN6cYg+N7HO1uv2PLgmG0lP6fAXpPCi5o0kwaDPkNtWWDk6OQf&#10;UFpyBx6aMOKgs6GQxAhWUeQvuLlvmRWpFqTa22fS/f+D5XenL47IGidhMZuW08m4QGoM09j5B9EH&#10;8h56UpRFJKqzfon29xY9Qo8KdEpFe3sL/JsnBjYtMwdx4xx0rWA1Jpo8swvXAcdHkH33CWoMxI4B&#10;ElDfOB1ZRF4Iopf5vBjPMZ/Hio5ni/ksnw4Ni4nxGD4vFsV8SglHi3I2m+epoxlbPiFZ58MHAZrE&#10;R0UdDkSKxE63PmBNaPpkEgN7ULLeSaWS4A77jXLkxHB4dunE8Ojym5kypKvoAskbyPgnRJ7O3yC0&#10;DLhTSuqKXl0aKYPhIneRroG40O/7cy/2UD8iiw6GqcadxkcL7gclHU50Rf33I3OCEvXRYCcWxWQS&#10;VyAJk+m8RMFdavaXGmY4QlU0UDI8N2FYm6N18tBipKH3Bm6we41MZMZUh6zOeePUJsLOGxbX4lJO&#10;Vr/+Ku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yXludNUAAAAGAQAADwAAAAAAAAABACAAAAAi&#10;AAAAZHJzL2Rvd25yZXYueG1sUEsBAhQAFAAAAAgAh07iQBS69oNGAgAAnQQAAA4AAAAAAAAAAQAg&#10;AAAAJAEAAGRycy9lMm9Eb2MueG1sUEsFBgAAAAAGAAYAWQEAANwFAAAAAA==&#10;">
                  <v:fill on="t" focussize="0,0"/>
                  <v:stroke color="#000000" miterlimit="8" joinstyle="miter"/>
                  <v:imagedata o:title=""/>
                  <o:lock v:ext="edit" aspectratio="f"/>
                  <v:textbox>
                    <w:txbxContent>
                      <w:p w14:paraId="77F80F35">
                        <w:pPr>
                          <w:jc w:val="center"/>
                          <w:rPr>
                            <w:rFonts w:eastAsia="黑体"/>
                            <w:sz w:val="18"/>
                            <w:szCs w:val="18"/>
                          </w:rPr>
                        </w:pPr>
                        <w:r>
                          <w:rPr>
                            <w:rFonts w:hint="eastAsia" w:eastAsia="黑体"/>
                            <w:sz w:val="18"/>
                            <w:szCs w:val="18"/>
                          </w:rPr>
                          <w:t>三级</w:t>
                        </w:r>
                        <w:r>
                          <w:rPr>
                            <w:rFonts w:eastAsia="黑体"/>
                            <w:sz w:val="18"/>
                            <w:szCs w:val="18"/>
                          </w:rPr>
                          <w:t>除氟反应池</w:t>
                        </w:r>
                      </w:p>
                    </w:txbxContent>
                  </v:textbox>
                </v:shape>
                <v:shape id="AutoShape 122" o:spid="_x0000_s1026" o:spt="32" type="#_x0000_t32" style="position:absolute;left:2580640;top:3964305;flip:x;height:285115;width:635;" filled="f" stroked="t" coordsize="21600,21600" o:gfxdata="UEsDBAoAAAAAAIdO4kAAAAAAAAAAAAAAAAAEAAAAZHJzL1BLAwQUAAAACACHTuJAI4kRvNYAAAAG&#10;AQAADwAAAGRycy9kb3ducmV2LnhtbE2PzU7DMBCE70i8g7VIXBC1A1IahThVhQo9IAQtPIAbL0nA&#10;Xkex+/f23XKBy2pXM5r9ppodvBM7HGMfSEM2USCQmmB7ajV8fjzdFiBiMmSNC4QajhhhVl9eVKa0&#10;YU8r3K1TKziEYmk0dCkNpZSx6dCbOAkDEmtfYfQm8Tm20o5mz+HeyTulculNT/yhMwM+dtj8rLde&#10;w0t+fHMqWVwsb4rv+QLnz8vXd62vrzL1ACLhIf2Z4YzP6FAz0yZsyUbhNHCR9DtZK+5VDmLDpmzK&#10;m6wr+R+/PgFQSwMEFAAAAAgAh07iQKKV3YwOAgAAAAQAAA4AAABkcnMvZTJvRG9jLnhtbK1TwW7b&#10;MAy9D9g/CLovdpzYbY04xZCs26HrArT7AEWWbWGSKEhKnPz9KDlru+7Sw3wQRJN85HukVrcnrchR&#10;OC/BNHQ+yykRhkMrTd/Qn093n64p8YGZlikwoqFn4ent+uOH1WhrUcAAqhWOIIjx9WgbOoRg6yzz&#10;fBCa+RlYYdDZgdMsoOn6rHVsRHStsiLPq2wE11oHXHiPf7eTk14Q3XsAoeskF1vgBy1MmFCdUCwg&#10;JT9I6+k6ddt1gocfXedFIKqhyDSkE4vgfR/PbL1ide+YHSS/tMDe08IbTppJg0WfobYsMHJw8h8o&#10;LbkDD12YcdDZRCQpgizm+RttHgdmReKCUnv7LLr/f7D84bhzRLYNrar8almWxRUlhmkc/OdDgNQB&#10;mRdFFGq0vsb4jdm5SJWfzKO9B/7LEwObgZlepPCns8XseczI/kqJhrdYbj9+hxZjGFZIqp06p0mn&#10;pP0WEyM4KkNODS3K67xa4rDODV3cVMtFXk4jE6dAOAZUi5ISjt7iupzPkzNjdcSLKNb58FWAJvHS&#10;UB8ck/0QNmAMbga4qRY73vsQu31JiMkG7qRSaUGUIWNDb8qiTM15ULKNzhjmXb/fKEeOLK5Y+hJ1&#10;9LwOc3AwbQILTKovpiUh6RScROWUoLGC15Qogc9Si/YCosxFxqjcNIM9tOed+yMvLkZq/bLEcfNe&#10;2yn75eGuf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jiRG81gAAAAYBAAAPAAAAAAAAAAEAIAAA&#10;ACIAAABkcnMvZG93bnJldi54bWxQSwECFAAUAAAACACHTuJAopXdjA4CAAAABAAADgAAAAAAAAAB&#10;ACAAAAAlAQAAZHJzL2Uyb0RvYy54bWxQSwUGAAAAAAYABgBZAQAApQUAAAAA&#10;">
                  <v:fill on="f" focussize="0,0"/>
                  <v:stroke color="#000000" joinstyle="round" endarrow="block" endarrowwidth="narrow"/>
                  <v:imagedata o:title=""/>
                  <o:lock v:ext="edit" aspectratio="f"/>
                </v:shape>
                <v:shape id="Text Box 123" o:spid="_x0000_s1026" o:spt="202" type="#_x0000_t202" style="position:absolute;left:2075815;top:4249420;height:266065;width:1019175;" fillcolor="#FFFFFF" filled="t" stroked="t" coordsize="21600,21600" o:gfxdata="UEsDBAoAAAAAAIdO4kAAAAAAAAAAAAAAAAAEAAAAZHJzL1BLAwQUAAAACACHTuJAyXludNUAAAAG&#10;AQAADwAAAGRycy9kb3ducmV2LnhtbE2PQU/DMAyF70j8h8hIXNCWlKGulKY7IIHgxgYa16zx2orG&#10;KUnWjX+P4QIXy9Z7ev5etTq5QUwYYu9JQzZXIJAab3tqNby9PswKEDEZsmbwhBq+MMKqPj+rTGn9&#10;kdY4bVIrOIRiaTR0KY2llLHp0Jk49yMSa3sfnEl8hlbaYI4c7gZ5rVQunemJP3RmxPsOm4/NwWko&#10;bp6m9/i8eNk2+X64TVfL6fEzaH15kak7EAlP6c8MP/iMDjUz7fyBbBSDBi6SfidrxULlIHZsypa8&#10;ybqS//Hrb1BLAwQUAAAACACHTuJA33KhbUUCAACcBAAADgAAAGRycy9lMm9Eb2MueG1srVTbbtsw&#10;DH0fsH8Q9L760lwao07RJegwoOsGtPsARZZjYZKoSUrs7utHyW6XdRvQh+lBIE3qkDwkfXk1aEWO&#10;wnkJpqbFWU6JMBwaafY1/fpw8+6CEh+YaZgCI2r6KDy9Wr99c9nbSpTQgWqEIwhifNXbmnYh2CrL&#10;PO+EZv4MrDBobMFpFlB1+6xxrEd0rbIyzxdZD66xDrjwHr9uRyOdEN1rAKFtJRdb4ActTBhRnVAs&#10;YEm+k9bTdcq2bQUPn9vWi0BUTbHSkG4MgvIu3tn6klV7x2wn+ZQCe00KL2rSTBoM+gy1ZYGRg5N/&#10;QGnJHXhowxkHnY2FJEawiiJ/wc19x6xItSDV3j6T7v8fLL87fnFENjUtz4vleZGvCkoM09j4BzEE&#10;8h4GUpTnkafe+grd7y0+CAMacHpSzd7eAv/miYFNx8xeXDsHfSdYg3kW8WV28nTE8RFk13+CBgOx&#10;Q4AENLRORxKRFoLoZb6cXxRzSh5rOitnq1k59SsmxmP4vFgVS3Tg6FEuFvlinsKx6gnJOh8+CNAk&#10;CjV1OA8pEjve+hAzY9WTSwzsQcnmRiqVFLffbZQjR4azc5POhP6bmzKkr+lqXs5HMv4JkafzNwgt&#10;A66UkrqmF6dOykzcRbpG4sKwG6Ze7KB5RBYdjEONK41CB+4HJT0OdE399wNzghL10WAnVsVsFjcg&#10;KbP5Eskk7tSyO7UwwxGqpoGSUdyEcWsO1sl9h5HG3hu4xu61MpEZ2zxmNeWNQ5s4nhYsbsWpnrx+&#10;/VTWP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JeW501QAAAAYBAAAPAAAAAAAAAAEAIAAAACIA&#10;AABkcnMvZG93bnJldi54bWxQSwECFAAUAAAACACHTuJA33KhbUUCAACcBAAADgAAAAAAAAABACAA&#10;AAAkAQAAZHJzL2Uyb0RvYy54bWxQSwUGAAAAAAYABgBZAQAA2wUAAAAA&#10;">
                  <v:fill on="t" focussize="0,0"/>
                  <v:stroke color="#000000" miterlimit="8" joinstyle="miter"/>
                  <v:imagedata o:title=""/>
                  <o:lock v:ext="edit" aspectratio="f"/>
                  <v:textbox>
                    <w:txbxContent>
                      <w:p w14:paraId="026C685B">
                        <w:pPr>
                          <w:jc w:val="center"/>
                          <w:rPr>
                            <w:rFonts w:eastAsia="黑体"/>
                            <w:sz w:val="18"/>
                            <w:szCs w:val="18"/>
                          </w:rPr>
                        </w:pPr>
                        <w:r>
                          <w:rPr>
                            <w:rFonts w:hint="eastAsia" w:eastAsia="黑体"/>
                            <w:sz w:val="18"/>
                            <w:szCs w:val="18"/>
                          </w:rPr>
                          <w:t>三级</w:t>
                        </w:r>
                        <w:r>
                          <w:rPr>
                            <w:rFonts w:eastAsia="黑体"/>
                            <w:sz w:val="18"/>
                            <w:szCs w:val="18"/>
                          </w:rPr>
                          <w:t>除氟</w:t>
                        </w:r>
                        <w:r>
                          <w:rPr>
                            <w:rFonts w:hint="eastAsia" w:eastAsia="黑体"/>
                            <w:sz w:val="18"/>
                            <w:szCs w:val="18"/>
                          </w:rPr>
                          <w:t>沉淀池</w:t>
                        </w:r>
                      </w:p>
                    </w:txbxContent>
                  </v:textbox>
                </v:shape>
                <v:shape id="AutoShape 124" o:spid="_x0000_s1026" o:spt="32" type="#_x0000_t32" style="position:absolute;left:2585720;top:4515485;flip:x;height:287020;width:635;" filled="f" stroked="t" coordsize="21600,21600" o:gfxdata="UEsDBAoAAAAAAIdO4kAAAAAAAAAAAAAAAAAEAAAAZHJzL1BLAwQUAAAACACHTuJAI4kRvNYAAAAG&#10;AQAADwAAAGRycy9kb3ducmV2LnhtbE2PzU7DMBCE70i8g7VIXBC1A1IahThVhQo9IAQtPIAbL0nA&#10;Xkex+/f23XKBy2pXM5r9ppodvBM7HGMfSEM2USCQmmB7ajV8fjzdFiBiMmSNC4QajhhhVl9eVKa0&#10;YU8r3K1TKziEYmk0dCkNpZSx6dCbOAkDEmtfYfQm8Tm20o5mz+HeyTulculNT/yhMwM+dtj8rLde&#10;w0t+fHMqWVwsb4rv+QLnz8vXd62vrzL1ACLhIf2Z4YzP6FAz0yZsyUbhNHCR9DtZK+5VDmLDpmzK&#10;m6wr+R+/PgFQSwMEFAAAAAgAh07iQFTlJsYOAgAAAAQAAA4AAABkcnMvZTJvRG9jLnhtbK1TTY/b&#10;IBC9V+p/QNwbfzTOulacVZV028O2jbTbH0AwtlGBQUDi5N93wOm2u73soRwQMDNv5r0Z1rdnrchJ&#10;OC/BtLRY5JQIw6GTZmjpj8e7dzUlPjDTMQVGtPQiPL3dvH2znmwjShhBdcIRBDG+mWxLxxBsk2We&#10;j0IzvwArDBp7cJoFvLoh6xybEF2rrMzzVTaB66wDLrzH191spFdE9xpA6HvJxQ74UQsTZlQnFAtI&#10;yY/SerpJ1fa94OF733sRiGopMg1pxyR4PsQ926xZMzhmR8mvJbDXlPCCk2bSYNInqB0LjByd/AdK&#10;S+7AQx8WHHQ2E0mKIIsif6HNw8isSFxQam+fRPf/D5Z/O+0dkV1Lb1ZFXVd5UVJimMbGfzwGSBWQ&#10;olxGoSbrG/Tfmr2LVPnZPNh74D89MbAdmRlEcn+8WIwuYkT2LCRevMV0h+krdOjDMENS7dw7TXol&#10;7ZcYGMFRGXJuaVnV1U2Jzbq0dFkV1bKu5paJcyAcHVbvK0o4Wsv6JkfHmJQ1ES+iWOfDZwGaxENL&#10;fXBMDmPYgjE4GeDmXOx078Mc+DsgBhu4k0rhO2uUIVNLP1RllYrzoGQXjdHm3XDYKkdOLI5YWtcq&#10;nrk5OJougQUm1SfTkZB0Ck6ickrQmMFrSpTAb6lFdwVR5ipjVG7uwQG6y97FgqOiOBiJ83WI4+T9&#10;fU9efz7u5h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jiRG81gAAAAYBAAAPAAAAAAAAAAEAIAAA&#10;ACIAAABkcnMvZG93bnJldi54bWxQSwECFAAUAAAACACHTuJAVOUmxg4CAAAABAAADgAAAAAAAAAB&#10;ACAAAAAlAQAAZHJzL2Uyb0RvYy54bWxQSwUGAAAAAAYABgBZAQAApQUAAAAA&#10;">
                  <v:fill on="f" focussize="0,0"/>
                  <v:stroke color="#000000" joinstyle="round" endarrow="block" endarrowwidth="narrow"/>
                  <v:imagedata o:title=""/>
                  <o:lock v:ext="edit" aspectratio="f"/>
                </v:shape>
                <v:shape id="AutoShape 125" o:spid="_x0000_s1026" o:spt="32" type="#_x0000_t32" style="position:absolute;left:1932305;top:3683000;flip:x;height:285750;width:635;rotation:5898240f;" filled="f" stroked="t" coordsize="21600,21600" o:gfxdata="UEsDBAoAAAAAAIdO4kAAAAAAAAAAAAAAAAAEAAAAZHJzL1BLAwQUAAAACACHTuJA4mWPdNcAAAAG&#10;AQAADwAAAGRycy9kb3ducmV2LnhtbE2PT0vDQBDF74LfYRnBi9jdKLYlZtODpaAgqG0peJtmxySa&#10;nQ3Z7b9v7+hFL8MM7/Hm94rZ0XdqT0NsA1vIRgYUcRVcy7WF9WpxPQUVE7LDLjBZOFGEWXl+VmDu&#10;woHfaL9MtZIQjjlaaFLqc61j1ZDHOAo9sWgfYfCY5Bxq7QY8SLjv9I0xY+2xZfnQYE8PDVVfy523&#10;8Pne+te7+dXm6XlyWviXjXlczdfWXl5k5h5UomP6M8MPvqBDKUzbsGMXVWdBiqTfKdr01oxBbcWU&#10;TWTTZaH/45ffUEsDBBQAAAAIAIdO4kChzKuHEwIAAA8EAAAOAAAAZHJzL2Uyb0RvYy54bWytU8Fu&#10;2zAMvQ/YPwi6r47jOnONOMWQrNuh2wK0+wBFkm1hkihISpz8/SglaLfs0sN0EEyTfI98pJb3R6PJ&#10;QfqgwHa0vJlRIi0HoezQ0Z/PDx8aSkJkVjANVnb0JAO9X71/t5xcK+cwghbSEwSxoZ1cR8cYXVsU&#10;gY/SsHADTlp09uANi2j6oRCeTYhudDGfzRbFBF44D1yGgH83Zye9IPq3AELfKy43wPdG2nhG9VKz&#10;iC2FUblAV7navpc8/uj7ICPRHcVOY76RBL936S5WS9YOnrlR8UsJ7C0lXPVkmLJI+gK1YZGRvVf/&#10;QBnFPQTo4w0HU5wbyYpgF+XsSpunkTmZe0Gpg3sRPfw/WP79sPVEiY7eNk1Tl011S4llBgf/aR8h&#10;V0DKeZ2EmlxoMX5ttz61yo/2yT0C/xWIhfXI7CBz+PPJYXaZMoq/UpIRHNLtpm8gMIYhQ1bt2HtD&#10;POB0ygXuCB5Keq3c14STuFAockTjrppXs5qSU0erRVOlwDxBeYyEY8CiQidH77ypP9bZWbA2wScU&#10;50P8IsGQ9NHRED1TwxjXYC0uCvgzFzs8hpiKf01IyRYelNaZTVsydfSuRlmSJ4BWIjmz4YfdWnty&#10;YGnj8slKXIV52FuRwSJT+rMVJGbZolcopJY0MQRDiZb4So0UFxBtL6omIc8j2YE4bX0qOAmMe5JL&#10;v+x0WsQ/7Rz1+o5X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iZY901wAAAAYBAAAPAAAAAAAA&#10;AAEAIAAAACIAAABkcnMvZG93bnJldi54bWxQSwECFAAUAAAACACHTuJAocyrhxMCAAAPBAAADgAA&#10;AAAAAAABACAAAAAmAQAAZHJzL2Uyb0RvYy54bWxQSwUGAAAAAAYABgBZAQAAqwUAAAAA&#10;">
                  <v:fill on="f" focussize="0,0"/>
                  <v:stroke color="#000000" joinstyle="round" endarrow="block" endarrowwidth="narrow"/>
                  <v:imagedata o:title=""/>
                  <o:lock v:ext="edit" aspectratio="f"/>
                </v:shape>
                <v:shape id="Text Box 126" o:spid="_x0000_s1026" o:spt="202" type="#_x0000_t202" style="position:absolute;left:679450;top:3587750;height:486410;width:1047750;" fillcolor="#FFFFFF" filled="t" stroked="f" coordsize="21600,21600" o:gfxdata="UEsDBAoAAAAAAIdO4kAAAAAAAAAAAAAAAAAEAAAAZHJzL1BLAwQUAAAACACHTuJAhRPhk9QAAAAG&#10;AQAADwAAAGRycy9kb3ducmV2LnhtbE2PzU7DQAyE70i8w8pIXBDdhJ+kDdlUAgnEtaUP4GTdJGrW&#10;G2W3Tfv2GC5wsWzNaPxNuT67QZ1oCr1nA+kiAUXceNtza2D39X6/BBUissXBMxm4UIB1dX1VYmH9&#10;zBs6bWOrJIRDgQa6GMdC69B05DAs/Egs2t5PDqOcU6vthLOEu0E/JEmmHfYsHzoc6a2j5rA9OgP7&#10;z/nueTXXH3GXb56yV+zz2l+Mub1JkxdQkc7xzww/+IIOlTDV/sg2qMGAFIm/U7TlY5KBqsWU5rLp&#10;qtT/8atvUEsDBBQAAAAIAIdO4kBAUTv2KwIAAFMEAAAOAAAAZHJzL2Uyb0RvYy54bWytVNtu2zAM&#10;fR+wfxD0vjjOnEuNOEWXIMOA7gK0+wBZlmNhtqhRSuzs60fJaRt0L32YHwxRJA95Dmmvb4euZSeF&#10;ToMpeDqZcqaMhEqbQ8F/Pu4/rDhzXphKtGBUwc/K8dvN+3fr3uZqBg20lUJGIMblvS14473Nk8TJ&#10;RnXCTcAqQ84asBOeTDwkFYqe0Ls2mU2ni6QHrCyCVM7R7W508gsivgUQ6lpLtQN57JTxIyqqVnii&#10;5BptHd/EbutaSf+9rp3yrC04MfXxTUXoXIZ3slmL/IDCNlpeWhBvaeEVp05oQ0WfoXbCC3ZE/Q9U&#10;pyWCg9pPJHTJSCQqQizS6SttHhphVeRCUjv7LLr7f7Dy2+kHMl3RJtBsqId5NufMiI4m/6gGzz7B&#10;wNLZIgjVW5dT/IOlDD+Qg5IiaWfvQf5yzMC2Eeag7hChb5SoqNE0ZCZXqSOOCyBl/xUqKiSOHiLQ&#10;UGMXVCRdGKEvljfZnCZ1LvjH+Wq5pHOcV+hLhurTLF4ySRHZapGlMSAR+ROQRec/K+hYOBQcaR9i&#10;IXG6dz40JvKnkFDXQaurvW7baOCh3LbIToJ2Zx+fyOVVWGtCsIGQNiKGm8g4kBzp+qEcyBlkKKE6&#10;E3eEcRfpS6RDA/iHs572sODu91Gg4qz9Yki/mzTLwuJGI5svZ2Tgtae89ggjCargnrPxuPXjsh8t&#10;6kNDlcaJGbgjzWsdNXjp6tI37VqU5vJdhGW+tmPUy79g8x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FE+GT1AAAAAYBAAAPAAAAAAAAAAEAIAAAACIAAABkcnMvZG93bnJldi54bWxQSwECFAAUAAAA&#10;CACHTuJAQFE79isCAABTBAAADgAAAAAAAAABACAAAAAjAQAAZHJzL2Uyb0RvYy54bWxQSwUGAAAA&#10;AAYABgBZAQAAwAUAAAAA&#10;">
                  <v:fill on="t" focussize="0,0"/>
                  <v:stroke on="f"/>
                  <v:imagedata o:title=""/>
                  <o:lock v:ext="edit" aspectratio="f"/>
                  <v:textbox>
                    <w:txbxContent>
                      <w:p w14:paraId="13EC2787">
                        <w:pPr>
                          <w:jc w:val="center"/>
                          <w:rPr>
                            <w:rFonts w:hint="eastAsia" w:hAnsi="黑体" w:eastAsia="黑体"/>
                            <w:sz w:val="18"/>
                            <w:szCs w:val="18"/>
                          </w:rPr>
                        </w:pPr>
                        <w:r>
                          <w:rPr>
                            <w:rFonts w:hAnsi="黑体" w:eastAsia="黑体"/>
                            <w:sz w:val="18"/>
                            <w:szCs w:val="18"/>
                          </w:rPr>
                          <w:t>石灰、氯化钙、</w:t>
                        </w:r>
                      </w:p>
                      <w:p w14:paraId="65B52FEC">
                        <w:pPr>
                          <w:jc w:val="center"/>
                          <w:rPr>
                            <w:rFonts w:eastAsia="黑体"/>
                            <w:sz w:val="18"/>
                            <w:szCs w:val="18"/>
                          </w:rPr>
                        </w:pPr>
                        <w:r>
                          <w:rPr>
                            <w:rFonts w:hAnsi="黑体" w:eastAsia="黑体"/>
                            <w:sz w:val="18"/>
                            <w:szCs w:val="18"/>
                          </w:rPr>
                          <w:t>盐酸</w:t>
                        </w:r>
                      </w:p>
                    </w:txbxContent>
                  </v:textbox>
                </v:shape>
                <v:shape id="Text Box 127" o:spid="_x0000_s1026" o:spt="202" type="#_x0000_t202" style="position:absolute;left:2071370;top:4815205;height:266700;width:1019175;" fillcolor="#FFFFFF" filled="t" stroked="t" coordsize="21600,21600" o:gfxdata="UEsDBAoAAAAAAIdO4kAAAAAAAAAAAAAAAAAEAAAAZHJzL1BLAwQUAAAACACHTuJAyXludNUAAAAG&#10;AQAADwAAAGRycy9kb3ducmV2LnhtbE2PQU/DMAyF70j8h8hIXNCWlKGulKY7IIHgxgYa16zx2orG&#10;KUnWjX+P4QIXy9Z7ev5etTq5QUwYYu9JQzZXIJAab3tqNby9PswKEDEZsmbwhBq+MMKqPj+rTGn9&#10;kdY4bVIrOIRiaTR0KY2llLHp0Jk49yMSa3sfnEl8hlbaYI4c7gZ5rVQunemJP3RmxPsOm4/NwWko&#10;bp6m9/i8eNk2+X64TVfL6fEzaH15kak7EAlP6c8MP/iMDjUz7fyBbBSDBi6SfidrxULlIHZsypa8&#10;ybqS//Hrb1BLAwQUAAAACACHTuJAAaT1yEUCAACdBAAADgAAAGRycy9lMm9Eb2MueG1srVTbbtsw&#10;DH0fsH8Q9L760jgXo07RJegwoLsA7T5AkeVYmCRqkhK7+/pRctoF3Qb0YX4wRJM6JM8hfXU9akWO&#10;wnkJpqHFRU6JMBxaafYN/fZw+25JiQ/MtEyBEQ19FJ5er9++uRpsLUroQbXCEQQxvh5sQ/sQbJ1l&#10;nvdCM38BVhh0duA0C2i6fdY6NiC6VlmZ5/NsANdaB1x4j1+3k5OeEN1rAKHrJBdb4ActTJhQnVAs&#10;YEu+l9bTdaq26wQPX7rOi0BUQ7HTkN6YBM+7+M7WV6zeO2Z7yU8lsNeU8KInzaTBpM9QWxYYOTj5&#10;B5SW3IGHLlxw0NnUSGIEuyjyF9zc98yK1AtS7e0z6f7/wfLPx6+OyBYnoSqW5WyeLy8pMUyj8g9i&#10;DOQ9jKQoF5Gowfoa4+8t3ggjOvBSatrbO+DfPTGw6ZnZixvnYOgFa7HQIt7Mzq5OOD6C7IZP0GIi&#10;dgiQgMbO6cgi8kIQvcwXxeUCpXps6GxZVGVeTYLFwnhMnxerYlFRwjGinM8XeVI0Y/UTknU+fBCg&#10;STw01OFApEzseOdDrIzVTyExsQcl21upVDLcfrdRjhwZDs9telIzL8KUIUNDV1VZTWT8EyJPz98g&#10;tAy4U0rqhi7Pg5Q5cRfpmogL4248abGD9hFZdDBNNe40HnpwPykZcKIb6n8cmBOUqI8GlVgVs1lc&#10;gWTMqkWJhjv37M49zHCEamigZDpuwrQ2B+vkvsdMk/YGblC9TiYyo8xTVae6cWoTx6cNi2txbqeo&#10;33+V9S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JeW501QAAAAYBAAAPAAAAAAAAAAEAIAAAACIA&#10;AABkcnMvZG93bnJldi54bWxQSwECFAAUAAAACACHTuJAAaT1yEUCAACdBAAADgAAAAAAAAABACAA&#10;AAAkAQAAZHJzL2Uyb0RvYy54bWxQSwUGAAAAAAYABgBZAQAA2wUAAAAA&#10;">
                  <v:fill on="t" focussize="0,0"/>
                  <v:stroke color="#000000" miterlimit="8" joinstyle="miter"/>
                  <v:imagedata o:title=""/>
                  <o:lock v:ext="edit" aspectratio="f"/>
                  <v:textbox>
                    <w:txbxContent>
                      <w:p w14:paraId="72FC6552">
                        <w:pPr>
                          <w:jc w:val="center"/>
                          <w:rPr>
                            <w:rFonts w:eastAsia="黑体"/>
                            <w:sz w:val="18"/>
                            <w:szCs w:val="18"/>
                          </w:rPr>
                        </w:pPr>
                        <w:r>
                          <w:rPr>
                            <w:rFonts w:hint="eastAsia" w:eastAsia="黑体"/>
                            <w:sz w:val="18"/>
                            <w:szCs w:val="18"/>
                          </w:rPr>
                          <w:t>四级</w:t>
                        </w:r>
                        <w:r>
                          <w:rPr>
                            <w:rFonts w:eastAsia="黑体"/>
                            <w:sz w:val="18"/>
                            <w:szCs w:val="18"/>
                          </w:rPr>
                          <w:t>除氟反应池</w:t>
                        </w:r>
                      </w:p>
                    </w:txbxContent>
                  </v:textbox>
                </v:shape>
                <v:shape id="AutoShape 128" o:spid="_x0000_s1026" o:spt="32" type="#_x0000_t32" style="position:absolute;left:2580640;top:5081905;flip:x;height:285115;width:635;" filled="f" stroked="t" coordsize="21600,21600" o:gfxdata="UEsDBAoAAAAAAIdO4kAAAAAAAAAAAAAAAAAEAAAAZHJzL1BLAwQUAAAACACHTuJAI4kRvNYAAAAG&#10;AQAADwAAAGRycy9kb3ducmV2LnhtbE2PzU7DMBCE70i8g7VIXBC1A1IahThVhQo9IAQtPIAbL0nA&#10;Xkex+/f23XKBy2pXM5r9ppodvBM7HGMfSEM2USCQmmB7ajV8fjzdFiBiMmSNC4QajhhhVl9eVKa0&#10;YU8r3K1TKziEYmk0dCkNpZSx6dCbOAkDEmtfYfQm8Tm20o5mz+HeyTulculNT/yhMwM+dtj8rLde&#10;w0t+fHMqWVwsb4rv+QLnz8vXd62vrzL1ACLhIf2Z4YzP6FAz0yZsyUbhNHCR9DtZK+5VDmLDpmzK&#10;m6wr+R+/PgFQSwMEFAAAAAgAh07iQM7eM0QNAgAAAQQAAA4AAABkcnMvZTJvRG9jLnhtbK1Ty27b&#10;MBC8F+g/ELzXejQybMNyUNhNe0hbA0k/gCYpiSjJJUjasv++S8pN0vSSQ3UQRO3O7M7scn17Npqc&#10;pA8KbEurWUmJtByEsn1Lfz7efVhQEiKzgmmwsqUXGejt5v279ehWsoYBtJCeIIkNq9G1dIjRrYoi&#10;8EEaFmbgpMVgB96wiEffF8KzEdmNLuqynBcjeOE8cBkC/t1NQXpl9G8hhK5TXO6AH420cWL1UrOI&#10;ksKgXKCb3G3XSR5/dF2QkeiWotKY31gEvw/pXWzWbNV75gbFry2wt7TwSpNhymLRJ6odi4wcvfqH&#10;yijuIUAXZxxMMQnJjqCKqnzlzcPAnMxa0OrgnkwP/4+Wfz/tPVECN6Fczm8W86rG+VtmcPKfjhFy&#10;CyT9RKdGF1YI2Nq9T1r52T64e+C/ArGwHZjtZU5/vDhEVwlR/AVJh+Cw3mH8BgJzGFbItp07b0in&#10;lfuagIkcrSHnltbNopzf4LQuLW3KRbUsm2lm8hwJx4T5x4YSjtF60VRVDhZslfgSi/MhfpFgSPpo&#10;aYieqX6IW7AWVwP8VIud7kNM3T4DEtjCndI6b4i2ZGzpsqmb3FwArUQKprTg+8NWe3Jiacfyk6Vj&#10;5GWah6MVmSwypT9bQWL2KXqFzmlJU4VgKNES76WR4kqi7dXG5Nw0gwOIy97/sRc3I7d+3eK0ei/P&#10;Gf18cze/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COJEbzWAAAABgEAAA8AAAAAAAAAAQAgAAAA&#10;IgAAAGRycy9kb3ducmV2LnhtbFBLAQIUABQAAAAIAIdO4kDO3jNEDQIAAAEEAAAOAAAAAAAAAAEA&#10;IAAAACUBAABkcnMvZTJvRG9jLnhtbFBLBQYAAAAABgAGAFkBAACkBQAAAAA=&#10;">
                  <v:fill on="f" focussize="0,0"/>
                  <v:stroke color="#000000" joinstyle="round" endarrow="block" endarrowwidth="narrow"/>
                  <v:imagedata o:title=""/>
                  <o:lock v:ext="edit" aspectratio="f"/>
                </v:shape>
                <v:shape id="Text Box 129" o:spid="_x0000_s1026" o:spt="202" type="#_x0000_t202" style="position:absolute;left:2075815;top:5367020;height:266065;width:1019175;" fillcolor="#FFFFFF" filled="t" stroked="t" coordsize="21600,21600" o:gfxdata="UEsDBAoAAAAAAIdO4kAAAAAAAAAAAAAAAAAEAAAAZHJzL1BLAwQUAAAACACHTuJAyXludNUAAAAG&#10;AQAADwAAAGRycy9kb3ducmV2LnhtbE2PQU/DMAyF70j8h8hIXNCWlKGulKY7IIHgxgYa16zx2orG&#10;KUnWjX+P4QIXy9Z7ev5etTq5QUwYYu9JQzZXIJAab3tqNby9PswKEDEZsmbwhBq+MMKqPj+rTGn9&#10;kdY4bVIrOIRiaTR0KY2llLHp0Jk49yMSa3sfnEl8hlbaYI4c7gZ5rVQunemJP3RmxPsOm4/NwWko&#10;bp6m9/i8eNk2+X64TVfL6fEzaH15kak7EAlP6c8MP/iMDjUz7fyBbBSDBi6SfidrxULlIHZsypa8&#10;ybqS//Hrb1BLAwQUAAAACACHTuJASxijTkQCAACdBAAADgAAAGRycy9lMm9Eb2MueG1srVTbbtsw&#10;DH0fsH8Q9L760jgXo07RtegwYDeg3QcoshwLk0RNUmJ3Xz9Kdrus24A+TA+CaJKH5CHpi8tRK3IU&#10;zkswDS3OckqE4dBKs2/o1/vbN2tKfGCmZQqMaOiD8PRy+/rVxWBrUUIPqhWOIIjx9WAb2odg6yzz&#10;vBea+TOwwqCyA6dZQNHts9axAdG1yso8X2YDuNY64MJ7/HozKemM6F4CCF0nubgBftDChAnVCcUC&#10;luR7aT3dpmy7TvDwueu8CEQ1FCsN6cYg+N7FO9tesHrvmO0ln1NgL0nhWU2aSYNBn6BuWGDk4OQf&#10;UFpyBx66cMZBZ1MhiRGsosifcXPXMytSLUi1t0+k+/8Hyz8dvzgiW5yEdbnZrMtFdU6JYRo7fy/G&#10;QN7CSIpyE4karK/R/s6iRxhRgU6paG8/AP/miYHrnpm9uHIOhl6wFhMtomd24jrh+AiyGz5Ci4HY&#10;IUACGjunI4vIC0H0Ml9V66Ki5KGh1flylZdzw2JiPIbPi02xQgOOFuVymS+rFI7Vj0jW+fBOgCbx&#10;0VCHA5EiseMHH2JmrH40iYE9KNneSqWS4Pa7a+XIkeHw3KYzo/9mpgwZGrqpymoi458QeTp/g9Ay&#10;4E4pqRu6PjVSZuYu0jURF8bdOPdiB+0DsuhgmmrcaXz04H5QMuBEN9R/PzAnKFHvDXZiUywWcQWS&#10;sKhWSCZxp5rdqYYZjlANDZRMz+swrc3BOrnvMdLUewNX2L1OJjJjm6es5rxxahPH84bFtTiVk9Wv&#10;v8r2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Ml5bnTVAAAABgEAAA8AAAAAAAAAAQAgAAAAIgAA&#10;AGRycy9kb3ducmV2LnhtbFBLAQIUABQAAAAIAIdO4kBLGKNORAIAAJ0EAAAOAAAAAAAAAAEAIAAA&#10;ACQBAABkcnMvZTJvRG9jLnhtbFBLBQYAAAAABgAGAFkBAADaBQAAAAA=&#10;">
                  <v:fill on="t" focussize="0,0"/>
                  <v:stroke color="#000000" miterlimit="8" joinstyle="miter"/>
                  <v:imagedata o:title=""/>
                  <o:lock v:ext="edit" aspectratio="f"/>
                  <v:textbox>
                    <w:txbxContent>
                      <w:p w14:paraId="57C7ECE7">
                        <w:pPr>
                          <w:jc w:val="center"/>
                          <w:rPr>
                            <w:rFonts w:eastAsia="黑体"/>
                            <w:sz w:val="18"/>
                            <w:szCs w:val="18"/>
                          </w:rPr>
                        </w:pPr>
                        <w:r>
                          <w:rPr>
                            <w:rFonts w:hint="eastAsia" w:eastAsia="黑体"/>
                            <w:sz w:val="18"/>
                            <w:szCs w:val="18"/>
                          </w:rPr>
                          <w:t>四级</w:t>
                        </w:r>
                        <w:r>
                          <w:rPr>
                            <w:rFonts w:eastAsia="黑体"/>
                            <w:sz w:val="18"/>
                            <w:szCs w:val="18"/>
                          </w:rPr>
                          <w:t>除氟</w:t>
                        </w:r>
                        <w:r>
                          <w:rPr>
                            <w:rFonts w:hint="eastAsia" w:eastAsia="黑体"/>
                            <w:sz w:val="18"/>
                            <w:szCs w:val="18"/>
                          </w:rPr>
                          <w:t>沉淀池</w:t>
                        </w:r>
                      </w:p>
                    </w:txbxContent>
                  </v:textbox>
                </v:shape>
                <v:shape id="AutoShape 130" o:spid="_x0000_s1026" o:spt="32" type="#_x0000_t32" style="position:absolute;left:2585720;top:5633085;flip:x;height:287020;width:635;" filled="f" stroked="t" coordsize="21600,21600" o:gfxdata="UEsDBAoAAAAAAIdO4kAAAAAAAAAAAAAAAAAEAAAAZHJzL1BLAwQUAAAACACHTuJAI4kRvNYAAAAG&#10;AQAADwAAAGRycy9kb3ducmV2LnhtbE2PzU7DMBCE70i8g7VIXBC1A1IahThVhQo9IAQtPIAbL0nA&#10;Xkex+/f23XKBy2pXM5r9ppodvBM7HGMfSEM2USCQmmB7ajV8fjzdFiBiMmSNC4QajhhhVl9eVKa0&#10;YU8r3K1TKziEYmk0dCkNpZSx6dCbOAkDEmtfYfQm8Tm20o5mz+HeyTulculNT/yhMwM+dtj8rLde&#10;w0t+fHMqWVwsb4rv+QLnz8vXd62vrzL1ACLhIf2Z4YzP6FAz0yZsyUbhNHCR9DtZK+5VDmLDpmzK&#10;m6wr+R+/PgFQSwMEFAAAAAgAh07iQFBLge8OAgAAAAQAAA4AAABkcnMvZTJvRG9jLnhtbK1TwY7b&#10;IBC9V+o/IO6NHadOslacVZV028N2G2m3H0AwtlGBQUDi5O87YHfb3V72UB8QY968efMYNrcXrchZ&#10;OC/B1HQ+yykRhkMjTVfTH093H9aU+MBMwxQYUdOr8PR2+/7dZrCVKKAH1QhHkMT4arA17UOwVZZ5&#10;3gvN/AysMHjYgtMsYOi6rHFsQHatsiLPl9kArrEOuPAe/+7HQzoxurcQQttKLvbAT1qYMLI6oVjA&#10;lnwvrafbpLZtBQ/f29aLQFRNsdOQViyC+2Ncs+2GVZ1jtpd8ksDeIuFVT5pJg0WfqfYsMHJy8h8q&#10;LbkDD22YcdDZ2EhyBLuY56+8eeyZFakXtNrbZ9P9/6PlD+eDI7Kp6XpV3HwsVnN0xjCNF//pFCAp&#10;IPNFMmqwvkL8zhxcbJVfzKO9B/7TEwO7nplOJPjT1WL2PFqbvUiJgbdY7jh8gwYxDCsk1y6t06RV&#10;0n6NiZEcnSGXmhblulwVKOla03K5WOTrcrwycQmEI2C5KCnheFqsVzkCY1FWRb7IYp0PXwRoEjc1&#10;9cEx2fVhB8bgZIAba7HzvQ9j4u+EmGzgTiqVBkQZMtT0pizKJM6Dkk08jDDvuuNOOXJmccTSN6l4&#10;AXNwMk0iC0yqz6YhIfkUnETnlKCxgteUKIHPUotmIlFmsjE6F8faV0dorgcXBccIByP1PA1xnLy/&#10;44T683C3v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jiRG81gAAAAYBAAAPAAAAAAAAAAEAIAAA&#10;ACIAAABkcnMvZG93bnJldi54bWxQSwECFAAUAAAACACHTuJAUEuB7w4CAAAABAAADgAAAAAAAAAB&#10;ACAAAAAlAQAAZHJzL2Uyb0RvYy54bWxQSwUGAAAAAAYABgBZAQAApQUAAAAA&#10;">
                  <v:fill on="f" focussize="0,0"/>
                  <v:stroke color="#000000" joinstyle="round" endarrow="block" endarrowwidth="narrow"/>
                  <v:imagedata o:title=""/>
                  <o:lock v:ext="edit" aspectratio="f"/>
                </v:shape>
                <v:shape id="AutoShape 131" o:spid="_x0000_s1026" o:spt="32" type="#_x0000_t32" style="position:absolute;left:1932305;top:4800600;flip:x;height:285750;width:635;rotation:5898240f;" filled="f" stroked="t" coordsize="21600,21600" o:gfxdata="UEsDBAoAAAAAAIdO4kAAAAAAAAAAAAAAAAAEAAAAZHJzL1BLAwQUAAAACACHTuJA4mWPdNcAAAAG&#10;AQAADwAAAGRycy9kb3ducmV2LnhtbE2PT0vDQBDF74LfYRnBi9jdKLYlZtODpaAgqG0peJtmxySa&#10;nQ3Z7b9v7+hFL8MM7/Hm94rZ0XdqT0NsA1vIRgYUcRVcy7WF9WpxPQUVE7LDLjBZOFGEWXl+VmDu&#10;woHfaL9MtZIQjjlaaFLqc61j1ZDHOAo9sWgfYfCY5Bxq7QY8SLjv9I0xY+2xZfnQYE8PDVVfy523&#10;8Pne+te7+dXm6XlyWviXjXlczdfWXl5k5h5UomP6M8MPvqBDKUzbsGMXVWdBiqTfKdr01oxBbcWU&#10;TWTTZaH/45ffUEsDBBQAAAAIAIdO4kCmjRfZFAIAABAEAAAOAAAAZHJzL2Uyb0RvYy54bWytU8Fu&#10;2zAMvQ/YPwi6r3aSOkuDOMWQrNuh2wK0+wBFlm1hkihQSpz8/Sg57dbu0sN8kEWRfOR7ola3J2vY&#10;UWHQ4Go+uSo5U05Co11X85+Pdx8WnIUoXCMMOFXzswr8dv3+3WrwSzWFHkyjkBGIC8vB17yP0S+L&#10;IsheWRGuwCtHzhbQikgmdkWDYiB0a4ppWc6LAbDxCFKFQKfb0ckviPgWQGhbLdUW5MEqF0dUVEZE&#10;ohR67QNf527bVsn4o22DiszUnJjGvFIR2u/TWqxXYtmh8L2WlxbEW1p4xckK7ajoM9RWRMEOqP+B&#10;sloiBGjjlQRbjESyIsRiUr7S5qEXXmUuJHXwz6KH/wcrvx93yHRDkzCnDmbXVTnnzAlLN//pECG3&#10;wCazSVJq8GFJCRu3w8RVntyDvwf5KzAHm164TuXwx7On7JxRvEhJRvBUbz98g4ZiBFXIsp1atAyB&#10;rie1kT7OWqP914STapFS7ETGzWw6KyvOzjW/XtA0UWC+QnWKTFLAfEZOSd7povpYZWchlgk+oXgM&#10;8YsCy9Km5iGi0F0fN+AcTQrgWEsc70MkVEp8SkjJDu60MbmacWyo+U01rXJzAYxukjOFBez2G4Ps&#10;KNLIjVxGsBdhCAfXZLAotPnsGhazbBE1CWkUTxWC5cwoeqZWNYkndWQc/Z6EHK9kD815h8mdzmlQ&#10;cuBlqNMk/m3nqD8Pef0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4mWPdNcAAAAGAQAADwAAAAAA&#10;AAABACAAAAAiAAAAZHJzL2Rvd25yZXYueG1sUEsBAhQAFAAAAAgAh07iQKaNF9kUAgAAEAQAAA4A&#10;AAAAAAAAAQAgAAAAJgEAAGRycy9lMm9Eb2MueG1sUEsFBgAAAAAGAAYAWQEAAKwFAAAAAA==&#10;">
                  <v:fill on="f" focussize="0,0"/>
                  <v:stroke color="#000000" joinstyle="round" endarrow="block" endarrowwidth="narrow"/>
                  <v:imagedata o:title=""/>
                  <o:lock v:ext="edit" aspectratio="f"/>
                </v:shape>
                <v:shape id="Text Box 132" o:spid="_x0000_s1026" o:spt="202" type="#_x0000_t202" style="position:absolute;left:687070;top:4706620;height:490855;width:1047750;" fillcolor="#FFFFFF" filled="t" stroked="f" coordsize="21600,21600" o:gfxdata="UEsDBAoAAAAAAIdO4kAAAAAAAAAAAAAAAAAEAAAAZHJzL1BLAwQUAAAACACHTuJAhRPhk9QAAAAG&#10;AQAADwAAAGRycy9kb3ducmV2LnhtbE2PzU7DQAyE70i8w8pIXBDdhJ+kDdlUAgnEtaUP4GTdJGrW&#10;G2W3Tfv2GC5wsWzNaPxNuT67QZ1oCr1nA+kiAUXceNtza2D39X6/BBUissXBMxm4UIB1dX1VYmH9&#10;zBs6bWOrJIRDgQa6GMdC69B05DAs/Egs2t5PDqOcU6vthLOEu0E/JEmmHfYsHzoc6a2j5rA9OgP7&#10;z/nueTXXH3GXb56yV+zz2l+Mub1JkxdQkc7xzww/+IIOlTDV/sg2qMGAFIm/U7TlY5KBqsWU5rLp&#10;qtT/8atvUEsDBBQAAAAIAIdO4kBcQHCaLwIAAFMEAAAOAAAAZHJzL2Uyb0RvYy54bWytVE2P2jAQ&#10;vVfqf7B8LwkUCBsRVlsQVaXth7TbH2Ach1hNPO7YkNBf37GT3dLtZQ/lENmZmTfz3rywvu3bhp0V&#10;Og2m4NNJypkyEkptjgX//rh/t+LMeWFK0YBRBb8ox283b9+sO5urGdTQlAoZgRiXd7bgtfc2TxIn&#10;a9UKNwGrDAUrwFZ4uuIxKVF0hN42ySxNl0kHWFoEqZyjt7shyEdEfA0gVJWWagfy1CrjB1RUjfBE&#10;ydXaOr6J01aVkv5rVTnlWVNwYurjk5rQ+RCeyWYt8iMKW2s5jiBeM8ILTq3Qhpo+Q+2EF+yE+h+o&#10;VksEB5WfSGiTgUhUhFhM0xfaPNTCqsiFpHb2WXT3/2Dll/M3ZLokJ6yWs+Vqmq1mnBnR0uYfVe/Z&#10;B+jZ9P0sCNVZl1P+g6UK31OAiiJpZ+9B/nDMwLYW5qjuEKGrlShp0GmoTK5KBxwXQA7dZyipkTh5&#10;iEB9hW1QkXRhhL5cZWlGm7oUfJ6ly+Vs3FeYS4bu6TzLFpQgQ8ZNulosYjeRPwFZdP6jgpaFQ8GR&#10;/BAbifO982EwkT+lhL4OGl3uddPECx4P2wbZWZB39vE3ov+V1piQbCCUDYjhTWQcSA50fX/oRwUP&#10;UF6IO8LgRfoS6VAD/uKsIx8W3P08CVScNZ8M6Xcznc+DceNlvshIA4bXkcN1RBhJUAX3nA3HrR/M&#10;frKojzV1GjZm4I40r3TUICxnmGqcm7wWpRm/i2Dm63vM+vNfsPk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hRPhk9QAAAAGAQAADwAAAAAAAAABACAAAAAiAAAAZHJzL2Rvd25yZXYueG1sUEsBAhQA&#10;FAAAAAgAh07iQFxAcJovAgAAUwQAAA4AAAAAAAAAAQAgAAAAIwEAAGRycy9lMm9Eb2MueG1sUEsF&#10;BgAAAAAGAAYAWQEAAMQFAAAAAA==&#10;">
                  <v:fill on="t" focussize="0,0"/>
                  <v:stroke on="f"/>
                  <v:imagedata o:title=""/>
                  <o:lock v:ext="edit" aspectratio="f"/>
                  <v:textbox>
                    <w:txbxContent>
                      <w:p w14:paraId="2BD84C56">
                        <w:pPr>
                          <w:jc w:val="center"/>
                          <w:rPr>
                            <w:rFonts w:eastAsia="黑体"/>
                            <w:sz w:val="18"/>
                            <w:szCs w:val="18"/>
                          </w:rPr>
                        </w:pPr>
                        <w:r>
                          <w:rPr>
                            <w:rFonts w:eastAsia="黑体"/>
                            <w:sz w:val="18"/>
                            <w:szCs w:val="18"/>
                          </w:rPr>
                          <w:t>PAC</w:t>
                        </w:r>
                        <w:r>
                          <w:rPr>
                            <w:rFonts w:hAnsi="黑体" w:eastAsia="黑体"/>
                            <w:sz w:val="18"/>
                            <w:szCs w:val="18"/>
                          </w:rPr>
                          <w:t>、</w:t>
                        </w:r>
                        <w:r>
                          <w:rPr>
                            <w:rFonts w:eastAsia="黑体"/>
                            <w:sz w:val="18"/>
                            <w:szCs w:val="18"/>
                          </w:rPr>
                          <w:t>PAM、深度高效除氟剂</w:t>
                        </w:r>
                      </w:p>
                    </w:txbxContent>
                  </v:textbox>
                </v:shape>
                <v:shape id="AutoShape 133" o:spid="_x0000_s1026" o:spt="32" type="#_x0000_t32" style="position:absolute;left:3094990;top:3277235;flip:y;height:635;width:1007745;" filled="f" stroked="t" coordsize="21600,21600" o:gfxdata="UEsDBAoAAAAAAIdO4kAAAAAAAAAAAAAAAAAEAAAAZHJzL1BLAwQUAAAACACHTuJAXxhXldcAAAAG&#10;AQAADwAAAGRycy9kb3ducmV2LnhtbE2PzU7DMBCE70i8g7VI3KidAqEKcXrgV0KqUAtCHJ14mwTs&#10;dRS7aXl7Fi5wWe1qRrPflMuDd2LCMfaBNGQzBQKpCbanVsPry/3ZAkRMhqxxgVDDF0ZYVsdHpSls&#10;2NMap01qBYdQLIyGLqWhkDI2HXoTZ2FAYm0bRm8Sn2Mr7Wj2HO6dnCuVS2964g+dGfCmw+Zzs/Ma&#10;3h/X28v66cG/Xcxvp5W9e87dx6T16UmmrkEkPKQ/M/zgMzpUzFSHHdkonAYukn4na4tzlYOo2ZRd&#10;8SarUv7Hr74BUEsDBBQAAAAIAIdO4kBmSCEbDgIAAAEEAAAOAAAAZHJzL2Uyb0RvYy54bWytU8Fu&#10;2zAMvQ/YPwi6L3biOFmMOMWQLLt0W4B2uyuybAuTREFS4uTvR8lZ23WXHuaDIJrkI98jtb67aEXO&#10;wnkJpqbTSU6JMBwaabqa/njcf/hIiQ/MNEyBETW9Ck/vNu/frQdbiRn0oBrhCIIYXw22pn0Itsoy&#10;z3uhmZ+AFQadLTjNApquyxrHBkTXKpvl+SIbwDXWARfe49/d6KQ3RPcWQGhbycUO+EkLE0ZUJxQL&#10;SMn30nq6Sd22reDhe9t6EYiqKTIN6cQieD/GM9usWdU5ZnvJby2wt7TwipNm0mDRJ6gdC4ycnPwH&#10;SkvuwEMbJhx0NhJJiiCLaf5Km4eeWZG4oNTePonu/x8s/3Y+OCKbmpZlUZSLebmixDCNg/90CpA6&#10;INOiiEIN1lcYvzUHF6nyi3mw98B/eWJg2zPTiRT+eLWYPY0Z2V8p0fAWyx2Hr9BgDMMKSbVL6zRp&#10;lbQ/Y2IER2XIpaZFvpqvVjisK95ny+WsKMeRiUsgHAOmeb5czktKOEYsRm/GqggYYazz4YsATeKl&#10;pj44Jrs+bMEYXA1wYzF2vvchtvucEJMN7KVSaUOUIUNNV+WsTN15ULKJzhjmXXfcKkfOLO4Yfvt9&#10;4o6el2EOTqZJYIFJ9dk0JCShgpMonRI0VvCaEiXwXWrR3ECUuekYpRuHcITmenB/9MXNSK3ftjiu&#10;3ks7ZT+/3M1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XxhXldcAAAAGAQAADwAAAAAAAAABACAA&#10;AAAiAAAAZHJzL2Rvd25yZXYueG1sUEsBAhQAFAAAAAgAh07iQGZIIRsOAgAAAQQAAA4AAAAAAAAA&#10;AQAgAAAAJgEAAGRycy9lMm9Eb2MueG1sUEsFBgAAAAAGAAYAWQEAAKYFAAAAAA==&#10;">
                  <v:fill on="f" focussize="0,0"/>
                  <v:stroke color="#0000FF" joinstyle="round" endarrow="block" endarrowwidth="narrow"/>
                  <v:imagedata o:title=""/>
                  <o:lock v:ext="edit" aspectratio="f"/>
                </v:shape>
                <v:shape id="AutoShape 134" o:spid="_x0000_s1026" o:spt="32" type="#_x0000_t32" style="position:absolute;left:3102610;top:4383405;flip:y;height:635;width:1007745;" filled="f" stroked="t" coordsize="21600,21600" o:gfxdata="UEsDBAoAAAAAAIdO4kAAAAAAAAAAAAAAAAAEAAAAZHJzL1BLAwQUAAAACACHTuJAXxhXldcAAAAG&#10;AQAADwAAAGRycy9kb3ducmV2LnhtbE2PzU7DMBCE70i8g7VI3KidAqEKcXrgV0KqUAtCHJ14mwTs&#10;dRS7aXl7Fi5wWe1qRrPflMuDd2LCMfaBNGQzBQKpCbanVsPry/3ZAkRMhqxxgVDDF0ZYVsdHpSls&#10;2NMap01qBYdQLIyGLqWhkDI2HXoTZ2FAYm0bRm8Sn2Mr7Wj2HO6dnCuVS2964g+dGfCmw+Zzs/Ma&#10;3h/X28v66cG/Xcxvp5W9e87dx6T16UmmrkEkPKQ/M/zgMzpUzFSHHdkonAYukn4na4tzlYOo2ZRd&#10;8SarUv7Hr74BUEsDBBQAAAAIAIdO4kBxReVZEAIAAAEEAAAOAAAAZHJzL2Uyb0RvYy54bWytU01v&#10;2zAMvQ/YfxB0X2znq2kQpxiSZZduDdBud0WSbWGSKEhKnPz7UXLWdt2lh/kgiCb5yPdIre7ORpOT&#10;9EGBrWk1KimRloNQtq3pj6fdpwUlITIrmAYra3qRgd6tP35Y9W4px9CBFtITBLFh2buadjG6ZVEE&#10;3knDwgictOhswBsW0fRtITzrEd3oYlyW86IHL5wHLkPAv9vBSa+I/j2A0DSKyy3wo5E2DqheahaR&#10;UuiUC3Sdu20ayeND0wQZia4pMo35xCJ4P6SzWK/YsvXMdYpfW2DvaeENJ8OUxaLPUFsWGTl69Q+U&#10;UdxDgCaOOJhiIJIVQRZV+Uabx445mbmg1ME9ix7+Hyz/ftp7okRNF/PFzWy6uB1TYpnBwX8+Rsgd&#10;kGoyTUL1LiwxfmP3PlHlZ/vo7oH/CsTCpmO2lTn86eIwu0oZxV8pyQgOyx36byAwhmGFrNq58YY0&#10;WrmfKTGBozLkXNNJVY7nFQ7rUtPpZDGZlrNhZPIcCceAqixvbqYzSjhGzCfZW7BlAkwwzof4VYIh&#10;6VLTED1TbRc3YC2uBvihGDvdh5jafUlIyRZ2Suu8IdqSvqa3s/EsdxdAK5GcKSz49rDRnpxY2jH8&#10;drvMHT2vwzwcrchgkSn9xQoSs1DRK5ROS5oqBEOJlvgujRRXEG2vOibphiEcQFz2/o++uBm59esW&#10;p9V7befsl5e7/g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fGFeV1wAAAAYBAAAPAAAAAAAAAAEA&#10;IAAAACIAAABkcnMvZG93bnJldi54bWxQSwECFAAUAAAACACHTuJAcUXlWRACAAABBAAADgAAAAAA&#10;AAABACAAAAAmAQAAZHJzL2Uyb0RvYy54bWxQSwUGAAAAAAYABgBZAQAAqAUAAAAA&#10;">
                  <v:fill on="f" focussize="0,0"/>
                  <v:stroke color="#0000FF" joinstyle="round" endarrow="block" endarrowwidth="narrow"/>
                  <v:imagedata o:title=""/>
                  <o:lock v:ext="edit" aspectratio="f"/>
                </v:shape>
                <v:shape id="AutoShape 135" o:spid="_x0000_s1026" o:spt="32" type="#_x0000_t32" style="position:absolute;left:3086100;top:5498465;flip:y;height:635;width:1007745;" filled="f" stroked="t" coordsize="21600,21600" o:gfxdata="UEsDBAoAAAAAAIdO4kAAAAAAAAAAAAAAAAAEAAAAZHJzL1BLAwQUAAAACACHTuJAXxhXldcAAAAG&#10;AQAADwAAAGRycy9kb3ducmV2LnhtbE2PzU7DMBCE70i8g7VI3KidAqEKcXrgV0KqUAtCHJ14mwTs&#10;dRS7aXl7Fi5wWe1qRrPflMuDd2LCMfaBNGQzBQKpCbanVsPry/3ZAkRMhqxxgVDDF0ZYVsdHpSls&#10;2NMap01qBYdQLIyGLqWhkDI2HXoTZ2FAYm0bRm8Sn2Mr7Wj2HO6dnCuVS2964g+dGfCmw+Zzs/Ma&#10;3h/X28v66cG/Xcxvp5W9e87dx6T16UmmrkEkPKQ/M/zgMzpUzFSHHdkonAYukn4na4tzlYOo2ZRd&#10;8SarUv7Hr74BUEsDBBQAAAAIAIdO4kB1KWIiDwIAAAIEAAAOAAAAZHJzL2Uyb0RvYy54bWytU8Fy&#10;2yAQvXem/8BwryU5lu1oLGc6dt1L2ngmae8YIYkpsAxgy/77LshN0vSSQ3VgQLvv7dvHsro7a0VO&#10;wnkJpqbFJKdEGA6NNF1NfzztPi0p8YGZhikwoqYX4end+uOH1WArMYUeVCMcQRLjq8HWtA/BVlnm&#10;eS808xOwwmCwBadZwKPrssaxAdm1yqZ5Ps8GcI11wIX3+Hc7BumV0b2HENpWcrEFftTChJHVCcUC&#10;tuR7aT1dJ7VtK3h4aFsvAlE1xU5DWrEI7g9xzdYrVnWO2V7yqwT2HglvetJMGiz6TLVlgZGjk/9Q&#10;ackdeGjDhIPOxkaSI9hFkb/x5rFnVqRe0Gpvn033/4+Wfz/tHZFNTafFdJ7n5XK5oMQwjTf/+Rgg&#10;SSDFTRmdGqyvELAxexd75WfzaO+B//LEwKZnphMp/eliEV1ERPYXJB68xXqH4Rs0mMOwQrLt3DpN&#10;WiXtzwiM5GgNOdf0Jl/Oixxv61LTcna7nM2TElaJcyAcEzC4WMxKSjhmzEedGasiYaSxzoevAjSJ&#10;m5r64Jjs+rABY3A2wI3F2Onehyj3BRDBBnZSqTQiypChprfltEzqPCjZxGBM8647bJQjJxaHDL/d&#10;LvWOkddpDo6mSWSBSfXFNCQko4KTaJ0SNFbwmhIl8GFq0VxJlLn6GK0bL+EAzWXv/viLo5GkX8c4&#10;zt7rc0K/PN31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8YV5XXAAAABgEAAA8AAAAAAAAAAQAg&#10;AAAAIgAAAGRycy9kb3ducmV2LnhtbFBLAQIUABQAAAAIAIdO4kB1KWIiDwIAAAIEAAAOAAAAAAAA&#10;AAEAIAAAACYBAABkcnMvZTJvRG9jLnhtbFBLBQYAAAAABgAGAFkBAACnBQAAAAA=&#10;">
                  <v:fill on="f" focussize="0,0"/>
                  <v:stroke color="#0000FF" joinstyle="round" endarrow="block" endarrowwidth="narrow"/>
                  <v:imagedata o:title=""/>
                  <o:lock v:ext="edit" aspectratio="f"/>
                </v:shape>
                <v:shape id="AutoShape 136" o:spid="_x0000_s1026" o:spt="32" type="#_x0000_t32" style="position:absolute;left:3090545;top:4943475;flip:x;height:5080;width:1737995;" filled="f" stroked="t" coordsize="21600,21600" o:gfxdata="UEsDBAoAAAAAAIdO4kAAAAAAAAAAAAAAAAAEAAAAZHJzL1BLAwQUAAAACACHTuJAsG1M1tMAAAAG&#10;AQAADwAAAGRycy9kb3ducmV2LnhtbE2PQU/DMAyF70j8h8hIXNCWFFCZStMdkBBXGANxdJqsrWic&#10;qkm77t9juLCLZes9vfe53C6+F7MbYxdIQ7ZWIBzVwXbUaNi/P682IGJCstgHchpOLsK2urwosbDh&#10;SG9u3qVGcAjFAjW0KQ2FlLFunce4DoMj1g5h9Jj4HBtpRzxyuO/lrVK59NgRN7Q4uKfW1d+7yXOJ&#10;+XpZbibzYdQrnj7z+7ifQ9T6+ipTjyCSW9K/GX7xGR0qZjJhIhtFr4EfSX+Ttc2dykEYNmUPvMmq&#10;lOf41Q9QSwMEFAAAAAgAh07iQB5qiFkQAgAAAQQAAA4AAABkcnMvZTJvRG9jLnhtbK1Ty27bMBC8&#10;F+g/ELzXkh+KI8Fy0NpNe0haA0k/gKYoiSjJJUjasv++S8pJmvSSQy8EH7Ozs7PL1c1JK3IUzksw&#10;NZ1OckqE4dBI09X01+Ptp2tKfGCmYQqMqOlZeHqz/vhhNdhKzKAH1QhHkMT4arA17UOwVZZ53gvN&#10;/ASsMPjYgtMs4NF1WePYgOxaZbM8v8oGcI11wIX3eLsdH+mF0b2HENpWcrEFftDChJHVCcUCluR7&#10;aT1dJ7VtK3j42bZeBKJqipWGtGIS3O/jmq1XrOocs73kFwnsPRLe1KSZNJj0mWrLAiMHJ/+h0pI7&#10;8NCGCQedjYUkR7CKaf7Gm4eeWZFqQau9fTbd/z9a/uO4c0Q2NV0UZVEU+ZwSwzT2/fMhQBJApvOr&#10;6NNgfYXwjdm5WCk/mQd7B/y3JwY2PTOdSPDHs8XoaYzIXoXEg7eYbT/cQ4MYhhmSaafWadIqab/H&#10;wEiOxpBTTed5mReLgpIz6isX88WyGDsmToFwBEyX82VZIoAjosivU0MzVkXGyGOdD98EaBI3NfXB&#10;Mdn1YQPG4GiAG7Ox450PUe9LQAw2cCuVShOiDBlqWhazIsnzoGQTHyPMu26/UY4cWZyx/EtePKl4&#10;BXNwME0iC0yqr6YhITkVnETvlKAxg9eUKIH/UosmOcgqZS5GRu/GLuyhOe/ck8E4GUn6ZYrj6P19&#10;TtEvP3f9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BtTNbTAAAABgEAAA8AAAAAAAAAAQAgAAAA&#10;IgAAAGRycy9kb3ducmV2LnhtbFBLAQIUABQAAAAIAIdO4kAeaohZEAIAAAEEAAAOAAAAAAAAAAEA&#10;IAAAACIBAABkcnMvZTJvRG9jLnhtbFBLBQYAAAAABgAGAFkBAACkBQAAAAA=&#10;">
                  <v:fill on="f" focussize="0,0"/>
                  <v:stroke color="#00B050" joinstyle="round" endarrow="block" endarrowwidth="narrow"/>
                  <v:imagedata o:title=""/>
                  <o:lock v:ext="edit" aspectratio="f"/>
                </v:shape>
                <v:shape id="AutoShape 137" o:spid="_x0000_s1026" o:spt="32" type="#_x0000_t32" style="position:absolute;left:2564765;top:6819900;flip:x;height:285750;width:4445;" filled="f" stroked="t" coordsize="21600,21600" o:gfxdata="UEsDBAoAAAAAAIdO4kAAAAAAAAAAAAAAAAAEAAAAZHJzL1BLAwQUAAAACACHTuJAI4kRvNYAAAAG&#10;AQAADwAAAGRycy9kb3ducmV2LnhtbE2PzU7DMBCE70i8g7VIXBC1A1IahThVhQo9IAQtPIAbL0nA&#10;Xkex+/f23XKBy2pXM5r9ppodvBM7HGMfSEM2USCQmmB7ajV8fjzdFiBiMmSNC4QajhhhVl9eVKa0&#10;YU8r3K1TKziEYmk0dCkNpZSx6dCbOAkDEmtfYfQm8Tm20o5mz+HeyTulculNT/yhMwM+dtj8rLde&#10;w0t+fHMqWVwsb4rv+QLnz8vXd62vrzL1ACLhIf2Z4YzP6FAz0yZsyUbhNHCR9DtZK+5VDmLDpmzK&#10;m6wr+R+/PgFQSwMEFAAAAAgAh07iQCyJT+kMAgAAAAQAAA4AAABkcnMvZTJvRG9jLnhtbK1Ty27b&#10;MBC8F+g/ELw3etTyQ7AcFHbTHtLWQNIPoClKIkpyCZK27L/vklaTNL3kUB0IUrs7OzNcrm/PWpGT&#10;cF6CaWhxk1MiDIdWmr6hPx/vPiwp8YGZlikwoqEX4ent5v279WhrUcIAqhWOIIjx9WgbOoRg6yzz&#10;fBCa+RuwwmCwA6dZwKPrs9axEdG1yso8n2cjuNY64MJ7/Lu7BumE6N4CCF0nudgBP2phwhXVCcUC&#10;SvKDtJ5uEtuuEzz86DovAlENRaUhrdgE94e4Zps1q3vH7CD5RIG9hcIrTZpJg02foHYsMHJ08h8o&#10;LbkDD1244aCzq5DkCKoo8lfePAzMiqQFrfb2yXT//2D599PeEdk2tFrkZVFVM0oM03jvn44BEgFS&#10;fFxEn0bra0zfmr2LSvnZPNh74L88MbAdmOlFSn+8WKwuYkX2V0k8eIvdDuM3aDGHYYdk2rlzmnRK&#10;2q+xMIKjMeTc0LKazxbzipJLQ+fLYrXKpxsT50A4JsxmM4xyDJfLalGlaMbqCBhhrPPhiwBN4qah&#10;Pjgm+yFswRicDHDXZux070Ok+1wQiw3cSaXSgChDxoauqrJK7Dwo2cZgTPOuP2yVIycWRyx9STtG&#10;XqY5OJo2gQUm1WfTkpCMCk6idUrQ2MFrSpTAZ6lFO4EoM/kYrbtewgHay9798RcHI1GfhjhO3stz&#10;qn5+uJ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I4kRvNYAAAAGAQAADwAAAAAAAAABACAAAAAi&#10;AAAAZHJzL2Rvd25yZXYueG1sUEsBAhQAFAAAAAgAh07iQCyJT+kMAgAAAAQAAA4AAAAAAAAAAQAg&#10;AAAAJQEAAGRycy9lMm9Eb2MueG1sUEsFBgAAAAAGAAYAWQEAAKMFAAAAAA==&#10;">
                  <v:fill on="f" focussize="0,0"/>
                  <v:stroke color="#000000" joinstyle="round" endarrow="block" endarrowwidth="narrow"/>
                  <v:imagedata o:title=""/>
                  <o:lock v:ext="edit" aspectratio="f"/>
                </v:shape>
                <v:shape id="Text Box 138" o:spid="_x0000_s1026" o:spt="202" type="#_x0000_t202" style="position:absolute;left:1826895;top:7105650;height:257175;width:1453515;" fillcolor="#FFFFFF" filled="t" stroked="f" coordsize="21600,21600" o:gfxdata="UEsDBAoAAAAAAIdO4kAAAAAAAAAAAAAAAAAEAAAAZHJzL1BLAwQUAAAACACHTuJAhRPhk9QAAAAG&#10;AQAADwAAAGRycy9kb3ducmV2LnhtbE2PzU7DQAyE70i8w8pIXBDdhJ+kDdlUAgnEtaUP4GTdJGrW&#10;G2W3Tfv2GC5wsWzNaPxNuT67QZ1oCr1nA+kiAUXceNtza2D39X6/BBUissXBMxm4UIB1dX1VYmH9&#10;zBs6bWOrJIRDgQa6GMdC69B05DAs/Egs2t5PDqOcU6vthLOEu0E/JEmmHfYsHzoc6a2j5rA9OgP7&#10;z/nueTXXH3GXb56yV+zz2l+Mub1JkxdQkc7xzww/+IIOlTDV/sg2qMGAFIm/U7TlY5KBqsWU5rLp&#10;qtT/8atvUEsDBBQAAAAIAIdO4kDtfuCxLwIAAFMEAAAOAAAAZHJzL2Uyb0RvYy54bWytVMFunDAQ&#10;vVfqP1i+N8BmyRIUNkqz2qpSmlZK+gFeYxar4HHH3oX06zs2JN2mlxzKAXmY8Zv3nsdcXY99x44K&#10;nQZT8ews5UwZCbU2+4p/f9x+KDhzXphadGBUxZ+U49fr9++uBluqBbTQ1QoZgRhXDrbirfe2TBIn&#10;W9ULdwZWGUo2gL3wFOI+qVEMhN53ySJNL5IBsLYIUjlHXzdTks+I+BZAaBot1QbkoVfGT6ioOuFJ&#10;kmu1dXwd2TaNkv5r0zjlWVdxUurjm5rQehfeyfpKlHsUttVypiDeQuGVpl5oQ01foDbCC3ZA/Q9U&#10;ryWCg8afSeiTSUh0hFRk6StvHlphVdRCVjv7Yrr7f7Dy/vgNma4rvloWiyIv0hVnRvR08I9q9Owj&#10;jCw7L4JPg3UllT9Y2uBHStD0RM3O3oH84ZiB21aYvbpBhKFVoiaeWdiZnGydcFwA2Q1foKZG4uAh&#10;Ao0N9sFEsoUF9GJxUVzmnD0RuyzNL/L5vAIxGQqW+XmeUYGkikW+ylZ5bCfKZySLzn9S0LOwqDjS&#10;PMRO4njnfGAmyueS0NhBp+ut7roY4H532yE7CpqdbXxm9L/KOhOKDYRtE2L4EiUHlZNeP+7G2cId&#10;1E8kHmGaRbqJtGgBf3E20BxW3P08CFScdZ8NGXiZLZdhcGOwzFcLCvA0szvNCCMJquKes2l566dh&#10;P1jU+5Y6TUdm4IZMb3T0IJzOxGrmTbMWrZnvRRjm0zhW/fkXr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hRPhk9QAAAAGAQAADwAAAAAAAAABACAAAAAiAAAAZHJzL2Rvd25yZXYueG1sUEsBAhQA&#10;FAAAAAgAh07iQO1+4LEvAgAAUwQAAA4AAAAAAAAAAQAgAAAAIwEAAGRycy9lMm9Eb2MueG1sUEsF&#10;BgAAAAAGAAYAWQEAAMQFAAAAAA==&#10;">
                  <v:fill on="t" focussize="0,0"/>
                  <v:stroke on="f"/>
                  <v:imagedata o:title=""/>
                  <o:lock v:ext="edit" aspectratio="f"/>
                  <v:textbox>
                    <w:txbxContent>
                      <w:p w14:paraId="23F540BB">
                        <w:pPr>
                          <w:jc w:val="center"/>
                          <w:rPr>
                            <w:rFonts w:eastAsia="黑体"/>
                            <w:sz w:val="18"/>
                            <w:szCs w:val="18"/>
                          </w:rPr>
                        </w:pPr>
                        <w:r>
                          <w:rPr>
                            <w:rFonts w:eastAsia="黑体"/>
                            <w:sz w:val="18"/>
                            <w:szCs w:val="18"/>
                          </w:rPr>
                          <w:t>沫河口污水处理厂</w:t>
                        </w:r>
                      </w:p>
                    </w:txbxContent>
                  </v:textbox>
                </v:shape>
                <w10:wrap type="none"/>
                <w10:anchorlock/>
              </v:group>
            </w:pict>
          </mc:Fallback>
        </mc:AlternateContent>
      </w:r>
    </w:p>
    <w:p w14:paraId="7F03B341">
      <w:pPr>
        <w:spacing w:line="360" w:lineRule="auto"/>
        <w:jc w:val="center"/>
        <w:rPr>
          <w:rFonts w:ascii="Times New Roman" w:hAnsi="Times New Roman" w:cs="Times New Roman"/>
          <w:color w:val="auto"/>
          <w:szCs w:val="24"/>
          <w:lang w:eastAsia="zh-CN"/>
        </w:rPr>
      </w:pPr>
      <w:r>
        <w:rPr>
          <w:rFonts w:ascii="Times New Roman" w:hAnsi="Times New Roman" w:cs="Times New Roman"/>
          <w:b/>
          <w:snapToGrid/>
          <w:color w:val="auto"/>
          <w:spacing w:val="-2"/>
          <w:szCs w:val="24"/>
          <w:lang w:eastAsia="zh-CN"/>
        </w:rPr>
        <w:t>图8.2-</w:t>
      </w:r>
      <w:r>
        <w:rPr>
          <w:rFonts w:hint="eastAsia" w:ascii="Times New Roman" w:hAnsi="Times New Roman" w:cs="Times New Roman"/>
          <w:b/>
          <w:snapToGrid/>
          <w:color w:val="auto"/>
          <w:spacing w:val="-2"/>
          <w:szCs w:val="24"/>
          <w:lang w:eastAsia="zh-CN"/>
        </w:rPr>
        <w:t>2</w:t>
      </w:r>
      <w:r>
        <w:rPr>
          <w:rFonts w:ascii="Times New Roman" w:hAnsi="Times New Roman" w:cs="Times New Roman"/>
          <w:b/>
          <w:snapToGrid/>
          <w:color w:val="auto"/>
          <w:spacing w:val="-2"/>
          <w:szCs w:val="24"/>
          <w:lang w:eastAsia="zh-CN"/>
        </w:rPr>
        <w:t xml:space="preserve"> </w:t>
      </w:r>
      <w:r>
        <w:rPr>
          <w:rFonts w:hint="eastAsia" w:ascii="Times New Roman" w:hAnsi="Times New Roman" w:cs="Times New Roman"/>
          <w:b/>
          <w:snapToGrid/>
          <w:color w:val="auto"/>
          <w:spacing w:val="-2"/>
          <w:szCs w:val="24"/>
          <w:lang w:eastAsia="zh-CN"/>
        </w:rPr>
        <w:t>现有工程</w:t>
      </w:r>
      <w:r>
        <w:rPr>
          <w:rFonts w:ascii="Times New Roman" w:hAnsi="Times New Roman" w:cs="Times New Roman"/>
          <w:b/>
          <w:snapToGrid/>
          <w:color w:val="auto"/>
          <w:spacing w:val="-2"/>
          <w:szCs w:val="24"/>
          <w:lang w:eastAsia="zh-CN"/>
        </w:rPr>
        <w:t>污水处理工艺流程图</w:t>
      </w:r>
    </w:p>
    <w:p w14:paraId="037A4E61">
      <w:pPr>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ascii="Times New Roman" w:hAnsi="Times New Roman" w:cs="Times New Roman"/>
          <w:color w:val="000000" w:themeColor="text1"/>
          <w:szCs w:val="24"/>
          <w:lang w:eastAsia="zh-CN"/>
          <w14:textFill>
            <w14:solidFill>
              <w14:schemeClr w14:val="tx1"/>
            </w14:solidFill>
          </w14:textFill>
        </w:rPr>
        <w:t>含氟废水一般采用化学沉淀法处理，通常采用联合投加Ca(OH)</w:t>
      </w:r>
      <w:r>
        <w:rPr>
          <w:rFonts w:ascii="Times New Roman" w:hAnsi="Times New Roman" w:cs="Times New Roman"/>
          <w:color w:val="000000" w:themeColor="text1"/>
          <w:szCs w:val="24"/>
          <w:vertAlign w:val="subscript"/>
          <w:lang w:eastAsia="zh-CN"/>
          <w14:textFill>
            <w14:solidFill>
              <w14:schemeClr w14:val="tx1"/>
            </w14:solidFill>
          </w14:textFill>
        </w:rPr>
        <w:t>2</w:t>
      </w:r>
      <w:r>
        <w:rPr>
          <w:rFonts w:ascii="Times New Roman" w:hAnsi="Times New Roman" w:cs="Times New Roman"/>
          <w:color w:val="000000" w:themeColor="text1"/>
          <w:szCs w:val="24"/>
          <w:lang w:eastAsia="zh-CN"/>
          <w14:textFill>
            <w14:solidFill>
              <w14:schemeClr w14:val="tx1"/>
            </w14:solidFill>
          </w14:textFill>
        </w:rPr>
        <w:t>和CaCl</w:t>
      </w:r>
      <w:r>
        <w:rPr>
          <w:rFonts w:ascii="Times New Roman" w:hAnsi="Times New Roman" w:cs="Times New Roman"/>
          <w:color w:val="000000" w:themeColor="text1"/>
          <w:szCs w:val="24"/>
          <w:vertAlign w:val="subscript"/>
          <w:lang w:eastAsia="zh-CN"/>
          <w14:textFill>
            <w14:solidFill>
              <w14:schemeClr w14:val="tx1"/>
            </w14:solidFill>
          </w14:textFill>
        </w:rPr>
        <w:t>2</w:t>
      </w:r>
      <w:r>
        <w:rPr>
          <w:rFonts w:ascii="Times New Roman" w:hAnsi="Times New Roman" w:cs="Times New Roman"/>
          <w:color w:val="000000" w:themeColor="text1"/>
          <w:szCs w:val="24"/>
          <w:lang w:eastAsia="zh-CN"/>
          <w14:textFill>
            <w14:solidFill>
              <w14:schemeClr w14:val="tx1"/>
            </w14:solidFill>
          </w14:textFill>
        </w:rPr>
        <w:t>沉淀除氟的方法。Ca(OH)</w:t>
      </w:r>
      <w:r>
        <w:rPr>
          <w:rFonts w:ascii="Times New Roman" w:hAnsi="Times New Roman" w:cs="Times New Roman"/>
          <w:color w:val="000000" w:themeColor="text1"/>
          <w:szCs w:val="24"/>
          <w:vertAlign w:val="subscript"/>
          <w:lang w:eastAsia="zh-CN"/>
          <w14:textFill>
            <w14:solidFill>
              <w14:schemeClr w14:val="tx1"/>
            </w14:solidFill>
          </w14:textFill>
        </w:rPr>
        <w:t>2</w:t>
      </w:r>
      <w:r>
        <w:rPr>
          <w:rFonts w:ascii="Times New Roman" w:hAnsi="Times New Roman" w:cs="Times New Roman"/>
          <w:color w:val="000000" w:themeColor="text1"/>
          <w:szCs w:val="24"/>
          <w:lang w:eastAsia="zh-CN"/>
          <w14:textFill>
            <w14:solidFill>
              <w14:schemeClr w14:val="tx1"/>
            </w14:solidFill>
          </w14:textFill>
        </w:rPr>
        <w:t>和CaCl</w:t>
      </w:r>
      <w:r>
        <w:rPr>
          <w:rFonts w:ascii="Times New Roman" w:hAnsi="Times New Roman" w:cs="Times New Roman"/>
          <w:color w:val="000000" w:themeColor="text1"/>
          <w:szCs w:val="24"/>
          <w:vertAlign w:val="subscript"/>
          <w:lang w:eastAsia="zh-CN"/>
          <w14:textFill>
            <w14:solidFill>
              <w14:schemeClr w14:val="tx1"/>
            </w14:solidFill>
          </w14:textFill>
        </w:rPr>
        <w:t>2</w:t>
      </w:r>
      <w:r>
        <w:rPr>
          <w:rFonts w:ascii="Times New Roman" w:hAnsi="Times New Roman" w:cs="Times New Roman"/>
          <w:color w:val="000000" w:themeColor="text1"/>
          <w:szCs w:val="24"/>
          <w:lang w:eastAsia="zh-CN"/>
          <w14:textFill>
            <w14:solidFill>
              <w14:schemeClr w14:val="tx1"/>
            </w14:solidFill>
          </w14:textFill>
        </w:rPr>
        <w:t>处理高氟废水时，先投加Ca(OH)</w:t>
      </w:r>
      <w:r>
        <w:rPr>
          <w:rFonts w:ascii="Times New Roman" w:hAnsi="Times New Roman" w:cs="Times New Roman"/>
          <w:color w:val="000000" w:themeColor="text1"/>
          <w:szCs w:val="24"/>
          <w:vertAlign w:val="subscript"/>
          <w:lang w:eastAsia="zh-CN"/>
          <w14:textFill>
            <w14:solidFill>
              <w14:schemeClr w14:val="tx1"/>
            </w14:solidFill>
          </w14:textFill>
        </w:rPr>
        <w:t>2</w:t>
      </w:r>
      <w:r>
        <w:rPr>
          <w:rFonts w:ascii="Times New Roman" w:hAnsi="Times New Roman" w:cs="Times New Roman"/>
          <w:color w:val="000000" w:themeColor="text1"/>
          <w:szCs w:val="24"/>
          <w:lang w:eastAsia="zh-CN"/>
          <w14:textFill>
            <w14:solidFill>
              <w14:schemeClr w14:val="tx1"/>
            </w14:solidFill>
          </w14:textFill>
        </w:rPr>
        <w:t>除去大部分的F</w:t>
      </w:r>
      <w:r>
        <w:rPr>
          <w:rFonts w:ascii="Times New Roman" w:hAnsi="Times New Roman" w:cs="Times New Roman"/>
          <w:color w:val="000000" w:themeColor="text1"/>
          <w:szCs w:val="24"/>
          <w:vertAlign w:val="superscript"/>
          <w:lang w:eastAsia="zh-CN"/>
          <w14:textFill>
            <w14:solidFill>
              <w14:schemeClr w14:val="tx1"/>
            </w14:solidFill>
          </w14:textFill>
        </w:rPr>
        <w:t>-</w:t>
      </w:r>
      <w:r>
        <w:rPr>
          <w:rFonts w:ascii="Times New Roman" w:hAnsi="Times New Roman" w:cs="Times New Roman"/>
          <w:color w:val="000000" w:themeColor="text1"/>
          <w:szCs w:val="24"/>
          <w:lang w:eastAsia="zh-CN"/>
          <w14:textFill>
            <w14:solidFill>
              <w14:schemeClr w14:val="tx1"/>
            </w14:solidFill>
          </w14:textFill>
        </w:rPr>
        <w:t>，而后续投加的CaCl</w:t>
      </w:r>
      <w:r>
        <w:rPr>
          <w:rFonts w:ascii="Times New Roman" w:hAnsi="Times New Roman" w:cs="Times New Roman"/>
          <w:color w:val="000000" w:themeColor="text1"/>
          <w:szCs w:val="24"/>
          <w:vertAlign w:val="subscript"/>
          <w:lang w:eastAsia="zh-CN"/>
          <w14:textFill>
            <w14:solidFill>
              <w14:schemeClr w14:val="tx1"/>
            </w14:solidFill>
          </w14:textFill>
        </w:rPr>
        <w:t>2</w:t>
      </w:r>
      <w:r>
        <w:rPr>
          <w:rFonts w:ascii="Times New Roman" w:hAnsi="Times New Roman" w:cs="Times New Roman"/>
          <w:color w:val="000000" w:themeColor="text1"/>
          <w:szCs w:val="24"/>
          <w:lang w:eastAsia="zh-CN"/>
          <w14:textFill>
            <w14:solidFill>
              <w14:schemeClr w14:val="tx1"/>
            </w14:solidFill>
          </w14:textFill>
        </w:rPr>
        <w:t>会使废水产生盐效应，降低CaF</w:t>
      </w:r>
      <w:r>
        <w:rPr>
          <w:rFonts w:ascii="Times New Roman" w:hAnsi="Times New Roman" w:cs="Times New Roman"/>
          <w:color w:val="000000" w:themeColor="text1"/>
          <w:szCs w:val="24"/>
          <w:vertAlign w:val="subscript"/>
          <w:lang w:eastAsia="zh-CN"/>
          <w14:textFill>
            <w14:solidFill>
              <w14:schemeClr w14:val="tx1"/>
            </w14:solidFill>
          </w14:textFill>
        </w:rPr>
        <w:t>2</w:t>
      </w:r>
      <w:r>
        <w:rPr>
          <w:rFonts w:ascii="Times New Roman" w:hAnsi="Times New Roman" w:cs="Times New Roman"/>
          <w:color w:val="000000" w:themeColor="text1"/>
          <w:szCs w:val="24"/>
          <w:lang w:eastAsia="zh-CN"/>
          <w14:textFill>
            <w14:solidFill>
              <w14:schemeClr w14:val="tx1"/>
            </w14:solidFill>
          </w14:textFill>
        </w:rPr>
        <w:t>的溶解度，进一步提高氟化物的去除效率，从而析出更多的氟化钙沉淀，采用此种处理方法，处理效率可达99.5%以上。</w:t>
      </w:r>
    </w:p>
    <w:p w14:paraId="061D8588">
      <w:pPr>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hint="eastAsia" w:ascii="Times New Roman" w:hAnsi="Times New Roman" w:cs="Times New Roman"/>
          <w:color w:val="000000" w:themeColor="text1"/>
          <w:szCs w:val="24"/>
          <w:lang w:eastAsia="zh-CN"/>
          <w14:textFill>
            <w14:solidFill>
              <w14:schemeClr w14:val="tx1"/>
            </w14:solidFill>
          </w14:textFill>
        </w:rPr>
        <w:t>厂区已有</w:t>
      </w:r>
      <w:r>
        <w:rPr>
          <w:rFonts w:ascii="Times New Roman" w:hAnsi="Times New Roman" w:cs="Times New Roman"/>
          <w:color w:val="000000" w:themeColor="text1"/>
          <w:szCs w:val="24"/>
          <w:lang w:eastAsia="zh-CN"/>
          <w14:textFill>
            <w14:solidFill>
              <w14:schemeClr w14:val="tx1"/>
            </w14:solidFill>
          </w14:textFill>
        </w:rPr>
        <w:t>一座40m</w:t>
      </w:r>
      <w:r>
        <w:rPr>
          <w:rFonts w:ascii="Times New Roman" w:hAnsi="Times New Roman" w:cs="Times New Roman"/>
          <w:color w:val="000000" w:themeColor="text1"/>
          <w:szCs w:val="24"/>
          <w:vertAlign w:val="superscript"/>
          <w:lang w:eastAsia="zh-CN"/>
          <w14:textFill>
            <w14:solidFill>
              <w14:schemeClr w14:val="tx1"/>
            </w14:solidFill>
          </w14:textFill>
        </w:rPr>
        <w:t>3</w:t>
      </w:r>
      <w:r>
        <w:rPr>
          <w:rFonts w:ascii="Times New Roman" w:hAnsi="Times New Roman" w:cs="Times New Roman"/>
          <w:color w:val="000000" w:themeColor="text1"/>
          <w:szCs w:val="24"/>
          <w:lang w:eastAsia="zh-CN"/>
          <w14:textFill>
            <w14:solidFill>
              <w14:schemeClr w14:val="tx1"/>
            </w14:solidFill>
          </w14:textFill>
        </w:rPr>
        <w:t>/d的含氟废水处理站，采用四级化学沉淀法</w:t>
      </w:r>
      <w:r>
        <w:rPr>
          <w:rFonts w:hint="eastAsia" w:ascii="Times New Roman" w:hAnsi="Times New Roman" w:cs="Times New Roman"/>
          <w:color w:val="000000" w:themeColor="text1"/>
          <w:szCs w:val="24"/>
          <w:lang w:eastAsia="zh-CN"/>
          <w14:textFill>
            <w14:solidFill>
              <w14:schemeClr w14:val="tx1"/>
            </w14:solidFill>
          </w14:textFill>
        </w:rPr>
        <w:t>（</w:t>
      </w:r>
      <w:r>
        <w:rPr>
          <w:rFonts w:ascii="Times New Roman" w:hAnsi="Times New Roman" w:cs="Times New Roman"/>
          <w:color w:val="auto"/>
          <w:lang w:eastAsia="zh-CN"/>
        </w:rPr>
        <w:t>四级除氟反应+四级除氟沉淀</w:t>
      </w:r>
      <w:r>
        <w:rPr>
          <w:rFonts w:hint="eastAsia" w:ascii="Times New Roman" w:hAnsi="Times New Roman" w:cs="Times New Roman"/>
          <w:color w:val="000000" w:themeColor="text1"/>
          <w:szCs w:val="24"/>
          <w:lang w:eastAsia="zh-CN"/>
          <w14:textFill>
            <w14:solidFill>
              <w14:schemeClr w14:val="tx1"/>
            </w14:solidFill>
          </w14:textFill>
        </w:rPr>
        <w:t>）</w:t>
      </w:r>
      <w:r>
        <w:rPr>
          <w:rFonts w:ascii="Times New Roman" w:hAnsi="Times New Roman" w:cs="Times New Roman"/>
          <w:color w:val="000000" w:themeColor="text1"/>
          <w:szCs w:val="24"/>
          <w:lang w:eastAsia="zh-CN"/>
          <w14:textFill>
            <w14:solidFill>
              <w14:schemeClr w14:val="tx1"/>
            </w14:solidFill>
          </w14:textFill>
        </w:rPr>
        <w:t>进行处理，具体含氟废水处理工艺简述如下：</w:t>
      </w:r>
    </w:p>
    <w:p w14:paraId="35985EEA">
      <w:pPr>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ascii="Times New Roman" w:hAnsi="Times New Roman" w:cs="Times New Roman"/>
          <w:color w:val="000000" w:themeColor="text1"/>
          <w:szCs w:val="24"/>
          <w:lang w:eastAsia="zh-CN"/>
          <w14:textFill>
            <w14:solidFill>
              <w14:schemeClr w14:val="tx1"/>
            </w14:solidFill>
          </w14:textFill>
        </w:rPr>
        <w:t>含氟废水采用以石灰+氯化钙为主要除氟药剂的除氟工艺，同时配套盐酸投加系统辅助进行pH中和，配套深度高效除氟剂投加系统深度除氟。</w:t>
      </w:r>
    </w:p>
    <w:p w14:paraId="317E0CCD">
      <w:pPr>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ascii="Times New Roman" w:hAnsi="Times New Roman" w:cs="Times New Roman"/>
          <w:color w:val="000000" w:themeColor="text1"/>
          <w:szCs w:val="24"/>
          <w:lang w:eastAsia="zh-CN"/>
          <w14:textFill>
            <w14:solidFill>
              <w14:schemeClr w14:val="tx1"/>
            </w14:solidFill>
          </w14:textFill>
        </w:rPr>
        <w:t>在一级、二级除氟系统加入石灰和氯化钙、絮凝剂等进行除氟处理，利用可溶性Ca</w:t>
      </w:r>
      <w:r>
        <w:rPr>
          <w:rFonts w:ascii="Times New Roman" w:hAnsi="Times New Roman" w:cs="Times New Roman"/>
          <w:color w:val="000000" w:themeColor="text1"/>
          <w:szCs w:val="24"/>
          <w:vertAlign w:val="superscript"/>
          <w:lang w:eastAsia="zh-CN"/>
          <w14:textFill>
            <w14:solidFill>
              <w14:schemeClr w14:val="tx1"/>
            </w14:solidFill>
          </w14:textFill>
        </w:rPr>
        <w:t>2+</w:t>
      </w:r>
      <w:r>
        <w:rPr>
          <w:rFonts w:ascii="Times New Roman" w:hAnsi="Times New Roman" w:cs="Times New Roman"/>
          <w:color w:val="000000" w:themeColor="text1"/>
          <w:szCs w:val="24"/>
          <w:lang w:eastAsia="zh-CN"/>
          <w14:textFill>
            <w14:solidFill>
              <w14:schemeClr w14:val="tx1"/>
            </w14:solidFill>
          </w14:textFill>
        </w:rPr>
        <w:t>与水中的F</w:t>
      </w:r>
      <w:r>
        <w:rPr>
          <w:rFonts w:ascii="Times New Roman" w:hAnsi="Times New Roman" w:cs="Times New Roman"/>
          <w:color w:val="000000" w:themeColor="text1"/>
          <w:szCs w:val="24"/>
          <w:vertAlign w:val="superscript"/>
          <w:lang w:eastAsia="zh-CN"/>
          <w14:textFill>
            <w14:solidFill>
              <w14:schemeClr w14:val="tx1"/>
            </w14:solidFill>
          </w14:textFill>
        </w:rPr>
        <w:t>-</w:t>
      </w:r>
      <w:r>
        <w:rPr>
          <w:rFonts w:ascii="Times New Roman" w:hAnsi="Times New Roman" w:cs="Times New Roman"/>
          <w:color w:val="000000" w:themeColor="text1"/>
          <w:szCs w:val="24"/>
          <w:lang w:eastAsia="zh-CN"/>
          <w14:textFill>
            <w14:solidFill>
              <w14:schemeClr w14:val="tx1"/>
            </w14:solidFill>
          </w14:textFill>
        </w:rPr>
        <w:t>反应生成难溶的氟化钙沉淀而将水中的F</w:t>
      </w:r>
      <w:r>
        <w:rPr>
          <w:rFonts w:ascii="Times New Roman" w:hAnsi="Times New Roman" w:cs="Times New Roman"/>
          <w:color w:val="000000" w:themeColor="text1"/>
          <w:szCs w:val="24"/>
          <w:vertAlign w:val="superscript"/>
          <w:lang w:eastAsia="zh-CN"/>
          <w14:textFill>
            <w14:solidFill>
              <w14:schemeClr w14:val="tx1"/>
            </w14:solidFill>
          </w14:textFill>
        </w:rPr>
        <w:t>-</w:t>
      </w:r>
      <w:r>
        <w:rPr>
          <w:rFonts w:ascii="Times New Roman" w:hAnsi="Times New Roman" w:cs="Times New Roman"/>
          <w:color w:val="000000" w:themeColor="text1"/>
          <w:szCs w:val="24"/>
          <w:lang w:eastAsia="zh-CN"/>
          <w14:textFill>
            <w14:solidFill>
              <w14:schemeClr w14:val="tx1"/>
            </w14:solidFill>
          </w14:textFill>
        </w:rPr>
        <w:t>除去。污泥在二级沉淀池进行泥水分离后，通过污泥泵输送至污泥储池，出水自流至三级除氟反应系统。</w:t>
      </w:r>
    </w:p>
    <w:p w14:paraId="4BBDED7D">
      <w:pPr>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ascii="Times New Roman" w:hAnsi="Times New Roman" w:cs="Times New Roman"/>
          <w:color w:val="000000" w:themeColor="text1"/>
          <w:szCs w:val="24"/>
          <w:lang w:eastAsia="zh-CN"/>
          <w14:textFill>
            <w14:solidFill>
              <w14:schemeClr w14:val="tx1"/>
            </w14:solidFill>
          </w14:textFill>
        </w:rPr>
        <w:t>三级、四级除氟系统补充投加钙盐、絮凝剂等，配套的盐酸投加系统辅助进行pH中和，同时投加低浓度氟离子去除效率更高的除氟剂，利用高效除氟剂的有效组分强极性电子云杂化轨道，与废水中的氟元素形成多齿配体的强力化学键，以达到去除氟的效果，所形成的氟化物比一般的配合物更稳定，可有效地将氟化物从废水中分离，从而保障除氟系统出水口水质能够满足项目无机化学工业污染排放标准要求，类别同类企业含氟废水处理工艺，可将氟化物浓度控制在</w:t>
      </w:r>
      <w:r>
        <w:rPr>
          <w:rFonts w:hint="eastAsia" w:ascii="Times New Roman" w:hAnsi="Times New Roman" w:cs="Times New Roman"/>
          <w:color w:val="000000" w:themeColor="text1"/>
          <w:szCs w:val="24"/>
          <w:lang w:eastAsia="zh-CN"/>
          <w14:textFill>
            <w14:solidFill>
              <w14:schemeClr w14:val="tx1"/>
            </w14:solidFill>
          </w14:textFill>
        </w:rPr>
        <w:t>标准范围内</w:t>
      </w:r>
      <w:r>
        <w:rPr>
          <w:rFonts w:ascii="Times New Roman" w:hAnsi="Times New Roman" w:cs="Times New Roman"/>
          <w:color w:val="000000" w:themeColor="text1"/>
          <w:szCs w:val="24"/>
          <w:lang w:eastAsia="zh-CN"/>
          <w14:textFill>
            <w14:solidFill>
              <w14:schemeClr w14:val="tx1"/>
            </w14:solidFill>
          </w14:textFill>
        </w:rPr>
        <w:t>。</w:t>
      </w:r>
    </w:p>
    <w:p w14:paraId="504CA628">
      <w:pPr>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ascii="Times New Roman" w:hAnsi="Times New Roman" w:cs="Times New Roman"/>
          <w:color w:val="000000" w:themeColor="text1"/>
          <w:szCs w:val="24"/>
          <w:lang w:eastAsia="zh-CN"/>
          <w14:textFill>
            <w14:solidFill>
              <w14:schemeClr w14:val="tx1"/>
            </w14:solidFill>
          </w14:textFill>
        </w:rPr>
        <w:t>各级除氟系统产生的污泥泵至污泥压滤机进行压滤，经脱水后的污泥外售综合利用。</w:t>
      </w:r>
    </w:p>
    <w:p w14:paraId="27A7FE18">
      <w:pPr>
        <w:spacing w:line="360" w:lineRule="auto"/>
        <w:ind w:firstLine="482" w:firstLineChars="200"/>
        <w:rPr>
          <w:rFonts w:ascii="Times New Roman" w:hAnsi="Times New Roman" w:cs="Times New Roman"/>
          <w:b/>
          <w:bCs/>
          <w:color w:val="auto"/>
          <w:szCs w:val="24"/>
          <w:lang w:eastAsia="zh-CN"/>
        </w:rPr>
        <w:sectPr>
          <w:headerReference r:id="rId33" w:type="first"/>
          <w:headerReference r:id="rId31" w:type="default"/>
          <w:footerReference r:id="rId34" w:type="default"/>
          <w:headerReference r:id="rId32" w:type="even"/>
          <w:pgSz w:w="11907" w:h="16840"/>
          <w:pgMar w:top="1191" w:right="1134" w:bottom="1191" w:left="1134" w:header="933" w:footer="671" w:gutter="0"/>
          <w:cols w:space="720" w:num="1"/>
        </w:sectPr>
      </w:pPr>
    </w:p>
    <w:p w14:paraId="09BF56CB">
      <w:pPr>
        <w:spacing w:line="360" w:lineRule="auto"/>
        <w:ind w:left="482"/>
        <w:rPr>
          <w:rFonts w:ascii="Times New Roman" w:hAnsi="Times New Roman" w:cs="Times New Roman"/>
          <w:b/>
          <w:bCs/>
          <w:color w:val="auto"/>
          <w:szCs w:val="24"/>
          <w:lang w:eastAsia="zh-CN"/>
        </w:rPr>
      </w:pPr>
      <w:r>
        <w:rPr>
          <w:rFonts w:hint="eastAsia" w:ascii="Times New Roman" w:hAnsi="Times New Roman" w:cs="Times New Roman"/>
          <w:b/>
          <w:bCs/>
          <w:color w:val="auto"/>
          <w:szCs w:val="24"/>
          <w:lang w:eastAsia="zh-CN"/>
        </w:rPr>
        <w:t>2、综合废水排放情况</w:t>
      </w:r>
    </w:p>
    <w:p w14:paraId="0C715894">
      <w:pPr>
        <w:spacing w:line="360" w:lineRule="auto"/>
        <w:jc w:val="center"/>
        <w:rPr>
          <w:rFonts w:ascii="Times New Roman" w:hAnsi="Times New Roman" w:cs="Times New Roman"/>
          <w:b/>
          <w:bCs/>
          <w:color w:val="auto"/>
          <w:szCs w:val="24"/>
          <w:lang w:eastAsia="zh-CN"/>
        </w:rPr>
      </w:pPr>
      <w:bookmarkStart w:id="2429" w:name="_Hlk175141433"/>
      <w:r>
        <w:rPr>
          <w:rFonts w:ascii="Times New Roman" w:hAnsi="Times New Roman" w:cs="Times New Roman"/>
          <w:b/>
          <w:bCs/>
          <w:color w:val="auto"/>
          <w:szCs w:val="24"/>
          <w:lang w:eastAsia="zh-CN"/>
        </w:rPr>
        <w:t>表8.2-</w:t>
      </w:r>
      <w:r>
        <w:rPr>
          <w:rFonts w:hint="eastAsia" w:ascii="Times New Roman" w:hAnsi="Times New Roman" w:cs="Times New Roman"/>
          <w:b/>
          <w:bCs/>
          <w:color w:val="auto"/>
          <w:szCs w:val="24"/>
          <w:lang w:eastAsia="zh-CN"/>
        </w:rPr>
        <w:t>4</w:t>
      </w:r>
      <w:r>
        <w:rPr>
          <w:rFonts w:ascii="Times New Roman" w:hAnsi="Times New Roman" w:cs="Times New Roman"/>
          <w:b/>
          <w:bCs/>
          <w:color w:val="auto"/>
          <w:szCs w:val="24"/>
          <w:lang w:eastAsia="zh-CN"/>
        </w:rPr>
        <w:t xml:space="preserve"> </w:t>
      </w:r>
      <w:r>
        <w:rPr>
          <w:rFonts w:hint="eastAsia" w:ascii="Times New Roman" w:hAnsi="Times New Roman" w:cs="Times New Roman"/>
          <w:b/>
          <w:bCs/>
          <w:color w:val="auto"/>
          <w:szCs w:val="24"/>
          <w:lang w:eastAsia="zh-CN"/>
        </w:rPr>
        <w:t>项目废水排放情况一览表</w:t>
      </w:r>
    </w:p>
    <w:bookmarkEnd w:id="2429"/>
    <w:tbl>
      <w:tblPr>
        <w:tblStyle w:val="35"/>
        <w:tblW w:w="5000" w:type="pct"/>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autofit"/>
        <w:tblCellMar>
          <w:top w:w="0" w:type="dxa"/>
          <w:left w:w="0" w:type="dxa"/>
          <w:bottom w:w="0" w:type="dxa"/>
          <w:right w:w="0" w:type="dxa"/>
        </w:tblCellMar>
      </w:tblPr>
      <w:tblGrid>
        <w:gridCol w:w="2550"/>
        <w:gridCol w:w="2125"/>
        <w:gridCol w:w="1243"/>
        <w:gridCol w:w="1223"/>
        <w:gridCol w:w="1223"/>
        <w:gridCol w:w="1223"/>
        <w:gridCol w:w="1220"/>
        <w:gridCol w:w="1220"/>
        <w:gridCol w:w="1221"/>
        <w:gridCol w:w="1210"/>
      </w:tblGrid>
      <w:tr w14:paraId="5ED7779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617" w:type="pct"/>
            <w:gridSpan w:val="2"/>
            <w:noWrap/>
            <w:tcMar>
              <w:top w:w="15" w:type="dxa"/>
              <w:left w:w="15" w:type="dxa"/>
              <w:right w:w="15" w:type="dxa"/>
            </w:tcMar>
            <w:vAlign w:val="center"/>
          </w:tcPr>
          <w:p w14:paraId="735FED65">
            <w:pPr>
              <w:adjustRightInd w:val="0"/>
              <w:snapToGrid w:val="0"/>
              <w:jc w:val="center"/>
              <w:textAlignment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类别</w:t>
            </w:r>
          </w:p>
        </w:tc>
        <w:tc>
          <w:tcPr>
            <w:tcW w:w="430" w:type="pct"/>
            <w:noWrap/>
            <w:tcMar>
              <w:top w:w="15" w:type="dxa"/>
              <w:left w:w="15" w:type="dxa"/>
              <w:right w:w="15" w:type="dxa"/>
            </w:tcMar>
            <w:vAlign w:val="center"/>
          </w:tcPr>
          <w:p w14:paraId="42232E68">
            <w:pPr>
              <w:adjustRightInd w:val="0"/>
              <w:snapToGrid w:val="0"/>
              <w:jc w:val="center"/>
              <w:textAlignment w:val="center"/>
              <w:rPr>
                <w:rFonts w:ascii="Times New Roman" w:hAnsi="Times New Roman" w:cs="Times New Roman"/>
                <w:b/>
                <w:bCs/>
                <w:color w:val="auto"/>
                <w:sz w:val="21"/>
                <w:lang w:eastAsia="zh-CN"/>
              </w:rPr>
            </w:pPr>
            <w:r>
              <w:rPr>
                <w:rFonts w:ascii="Times New Roman" w:hAnsi="Times New Roman" w:cs="Times New Roman"/>
                <w:b/>
                <w:bCs/>
                <w:color w:val="auto"/>
                <w:sz w:val="21"/>
              </w:rPr>
              <w:t>水量</w:t>
            </w:r>
          </w:p>
          <w:p w14:paraId="5AB82937">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rPr>
              <w:t>（m</w:t>
            </w:r>
            <w:r>
              <w:rPr>
                <w:rFonts w:ascii="Times New Roman" w:hAnsi="Times New Roman" w:cs="Times New Roman"/>
                <w:b/>
                <w:bCs/>
                <w:color w:val="auto"/>
                <w:sz w:val="21"/>
                <w:vertAlign w:val="superscript"/>
              </w:rPr>
              <w:t>3</w:t>
            </w:r>
            <w:r>
              <w:rPr>
                <w:rFonts w:ascii="Times New Roman" w:hAnsi="Times New Roman" w:cs="Times New Roman"/>
                <w:b/>
                <w:bCs/>
                <w:color w:val="auto"/>
                <w:sz w:val="21"/>
              </w:rPr>
              <w:t>/</w:t>
            </w:r>
            <w:r>
              <w:rPr>
                <w:rFonts w:ascii="Times New Roman" w:hAnsi="Times New Roman" w:cs="Times New Roman"/>
                <w:b/>
                <w:bCs/>
                <w:color w:val="auto"/>
                <w:sz w:val="21"/>
                <w:lang w:eastAsia="zh-CN"/>
              </w:rPr>
              <w:t>a</w:t>
            </w:r>
            <w:r>
              <w:rPr>
                <w:rFonts w:ascii="Times New Roman" w:hAnsi="Times New Roman" w:cs="Times New Roman"/>
                <w:b/>
                <w:bCs/>
                <w:color w:val="auto"/>
                <w:sz w:val="21"/>
              </w:rPr>
              <w:t>）</w:t>
            </w:r>
          </w:p>
        </w:tc>
        <w:tc>
          <w:tcPr>
            <w:tcW w:w="423" w:type="pct"/>
            <w:noWrap/>
            <w:tcMar>
              <w:top w:w="15" w:type="dxa"/>
              <w:left w:w="15" w:type="dxa"/>
              <w:right w:w="15" w:type="dxa"/>
            </w:tcMar>
            <w:vAlign w:val="center"/>
          </w:tcPr>
          <w:p w14:paraId="66121039">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rPr>
              <w:t>COD</w:t>
            </w:r>
          </w:p>
          <w:p w14:paraId="5E055477">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rPr>
              <w:t>(mg/L)</w:t>
            </w:r>
          </w:p>
        </w:tc>
        <w:tc>
          <w:tcPr>
            <w:tcW w:w="423" w:type="pct"/>
            <w:noWrap/>
            <w:tcMar>
              <w:top w:w="15" w:type="dxa"/>
              <w:left w:w="15" w:type="dxa"/>
              <w:right w:w="15" w:type="dxa"/>
            </w:tcMar>
            <w:vAlign w:val="center"/>
          </w:tcPr>
          <w:p w14:paraId="0D863971">
            <w:pPr>
              <w:adjustRightInd w:val="0"/>
              <w:snapToGrid w:val="0"/>
              <w:jc w:val="center"/>
              <w:textAlignment w:val="center"/>
              <w:rPr>
                <w:rFonts w:ascii="Times New Roman" w:hAnsi="Times New Roman" w:cs="Times New Roman"/>
                <w:b/>
                <w:bCs/>
                <w:color w:val="auto"/>
                <w:sz w:val="21"/>
                <w:vertAlign w:val="subscript"/>
              </w:rPr>
            </w:pPr>
            <w:r>
              <w:rPr>
                <w:rFonts w:ascii="Times New Roman" w:hAnsi="Times New Roman" w:cs="Times New Roman"/>
                <w:b/>
                <w:bCs/>
                <w:color w:val="auto"/>
                <w:sz w:val="21"/>
              </w:rPr>
              <w:t>BOD</w:t>
            </w:r>
            <w:r>
              <w:rPr>
                <w:rFonts w:ascii="Times New Roman" w:hAnsi="Times New Roman" w:cs="Times New Roman"/>
                <w:b/>
                <w:bCs/>
                <w:color w:val="auto"/>
                <w:sz w:val="21"/>
                <w:vertAlign w:val="subscript"/>
              </w:rPr>
              <w:t>5</w:t>
            </w:r>
          </w:p>
          <w:p w14:paraId="71566037">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rPr>
              <w:t>(mg/L)</w:t>
            </w:r>
          </w:p>
        </w:tc>
        <w:tc>
          <w:tcPr>
            <w:tcW w:w="423" w:type="pct"/>
            <w:vAlign w:val="center"/>
          </w:tcPr>
          <w:p w14:paraId="19B618B7">
            <w:pPr>
              <w:adjustRightInd w:val="0"/>
              <w:snapToGrid w:val="0"/>
              <w:jc w:val="center"/>
              <w:textAlignment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SS</w:t>
            </w:r>
          </w:p>
          <w:p w14:paraId="79DEEC55">
            <w:pPr>
              <w:adjustRightInd w:val="0"/>
              <w:snapToGrid w:val="0"/>
              <w:jc w:val="center"/>
              <w:textAlignment w:val="center"/>
              <w:rPr>
                <w:rFonts w:ascii="Times New Roman" w:hAnsi="Times New Roman" w:cs="Times New Roman"/>
                <w:b/>
                <w:bCs/>
                <w:color w:val="auto"/>
                <w:sz w:val="21"/>
                <w:lang w:eastAsia="zh-CN"/>
              </w:rPr>
            </w:pPr>
            <w:r>
              <w:rPr>
                <w:rFonts w:ascii="Times New Roman" w:hAnsi="Times New Roman" w:cs="Times New Roman"/>
                <w:b/>
                <w:bCs/>
                <w:color w:val="auto"/>
                <w:sz w:val="21"/>
              </w:rPr>
              <w:t>(mg/L)</w:t>
            </w:r>
          </w:p>
        </w:tc>
        <w:tc>
          <w:tcPr>
            <w:tcW w:w="422" w:type="pct"/>
            <w:vAlign w:val="center"/>
          </w:tcPr>
          <w:p w14:paraId="2E1A9C2E">
            <w:pPr>
              <w:adjustRightInd w:val="0"/>
              <w:snapToGrid w:val="0"/>
              <w:jc w:val="center"/>
              <w:textAlignment w:val="center"/>
              <w:rPr>
                <w:rFonts w:ascii="Times New Roman" w:hAnsi="Times New Roman" w:cs="Times New Roman"/>
                <w:b/>
                <w:bCs/>
                <w:color w:val="auto"/>
                <w:sz w:val="21"/>
                <w:lang w:eastAsia="zh-CN"/>
              </w:rPr>
            </w:pPr>
            <w:r>
              <w:rPr>
                <w:rFonts w:ascii="Times New Roman" w:hAnsi="Times New Roman" w:cs="Times New Roman"/>
                <w:b/>
                <w:bCs/>
                <w:color w:val="auto"/>
                <w:sz w:val="21"/>
              </w:rPr>
              <w:t>NH</w:t>
            </w:r>
            <w:r>
              <w:rPr>
                <w:rFonts w:ascii="Times New Roman" w:hAnsi="Times New Roman" w:cs="Times New Roman"/>
                <w:b/>
                <w:bCs/>
                <w:color w:val="auto"/>
                <w:sz w:val="21"/>
                <w:vertAlign w:val="subscript"/>
              </w:rPr>
              <w:t>3</w:t>
            </w:r>
            <w:r>
              <w:rPr>
                <w:rFonts w:ascii="Times New Roman" w:hAnsi="Times New Roman" w:cs="Times New Roman"/>
                <w:b/>
                <w:bCs/>
                <w:color w:val="auto"/>
                <w:sz w:val="21"/>
              </w:rPr>
              <w:t>-N (mg/L)</w:t>
            </w:r>
          </w:p>
        </w:tc>
        <w:tc>
          <w:tcPr>
            <w:tcW w:w="422" w:type="pct"/>
            <w:vAlign w:val="center"/>
          </w:tcPr>
          <w:p w14:paraId="0F82D073">
            <w:pPr>
              <w:adjustRightInd w:val="0"/>
              <w:snapToGrid w:val="0"/>
              <w:jc w:val="center"/>
              <w:textAlignment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氟化物</w:t>
            </w:r>
          </w:p>
          <w:p w14:paraId="364DEFAC">
            <w:pPr>
              <w:adjustRightInd w:val="0"/>
              <w:snapToGrid w:val="0"/>
              <w:jc w:val="center"/>
              <w:textAlignment w:val="center"/>
              <w:rPr>
                <w:rFonts w:ascii="Times New Roman" w:hAnsi="Times New Roman" w:cs="Times New Roman"/>
                <w:b/>
                <w:bCs/>
                <w:color w:val="auto"/>
                <w:sz w:val="21"/>
                <w:lang w:eastAsia="zh-CN"/>
              </w:rPr>
            </w:pPr>
            <w:r>
              <w:rPr>
                <w:rFonts w:ascii="Times New Roman" w:hAnsi="Times New Roman" w:cs="Times New Roman"/>
                <w:b/>
                <w:bCs/>
                <w:color w:val="auto"/>
                <w:sz w:val="21"/>
              </w:rPr>
              <w:t>(mg/L)</w:t>
            </w:r>
          </w:p>
        </w:tc>
        <w:tc>
          <w:tcPr>
            <w:tcW w:w="422" w:type="pct"/>
            <w:vAlign w:val="center"/>
          </w:tcPr>
          <w:p w14:paraId="1B53AD6E">
            <w:pPr>
              <w:adjustRightInd w:val="0"/>
              <w:snapToGrid w:val="0"/>
              <w:jc w:val="center"/>
              <w:textAlignment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氯化物</w:t>
            </w:r>
          </w:p>
          <w:p w14:paraId="66F0581F">
            <w:pPr>
              <w:adjustRightInd w:val="0"/>
              <w:snapToGrid w:val="0"/>
              <w:jc w:val="center"/>
              <w:textAlignment w:val="center"/>
              <w:rPr>
                <w:rFonts w:ascii="Times New Roman" w:hAnsi="Times New Roman" w:cs="Times New Roman"/>
                <w:b/>
                <w:bCs/>
                <w:color w:val="auto"/>
                <w:sz w:val="21"/>
                <w:lang w:eastAsia="zh-CN"/>
              </w:rPr>
            </w:pPr>
            <w:r>
              <w:rPr>
                <w:rFonts w:ascii="Times New Roman" w:hAnsi="Times New Roman" w:cs="Times New Roman"/>
                <w:b/>
                <w:bCs/>
                <w:color w:val="auto"/>
                <w:sz w:val="21"/>
              </w:rPr>
              <w:t>(mg/L)</w:t>
            </w:r>
          </w:p>
        </w:tc>
        <w:tc>
          <w:tcPr>
            <w:tcW w:w="418" w:type="pct"/>
            <w:vAlign w:val="center"/>
          </w:tcPr>
          <w:p w14:paraId="2D7197C5">
            <w:pPr>
              <w:adjustRightInd w:val="0"/>
              <w:snapToGrid w:val="0"/>
              <w:jc w:val="center"/>
              <w:textAlignment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总盐</w:t>
            </w:r>
          </w:p>
          <w:p w14:paraId="79D839BA">
            <w:pPr>
              <w:adjustRightInd w:val="0"/>
              <w:snapToGrid w:val="0"/>
              <w:jc w:val="center"/>
              <w:textAlignment w:val="center"/>
              <w:rPr>
                <w:rFonts w:ascii="Times New Roman" w:hAnsi="Times New Roman" w:cs="Times New Roman"/>
                <w:b/>
                <w:bCs/>
                <w:color w:val="auto"/>
                <w:sz w:val="21"/>
                <w:lang w:eastAsia="zh-CN"/>
              </w:rPr>
            </w:pPr>
            <w:r>
              <w:rPr>
                <w:rFonts w:ascii="Times New Roman" w:hAnsi="Times New Roman" w:cs="Times New Roman"/>
                <w:b/>
                <w:bCs/>
                <w:color w:val="auto"/>
                <w:sz w:val="21"/>
              </w:rPr>
              <w:t>(mg/L)</w:t>
            </w:r>
          </w:p>
        </w:tc>
      </w:tr>
      <w:tr w14:paraId="50B125A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882" w:type="pct"/>
            <w:vMerge w:val="restart"/>
            <w:noWrap/>
            <w:tcMar>
              <w:top w:w="15" w:type="dxa"/>
              <w:left w:w="15" w:type="dxa"/>
              <w:right w:w="15" w:type="dxa"/>
            </w:tcMar>
            <w:vAlign w:val="center"/>
          </w:tcPr>
          <w:p w14:paraId="768376AD">
            <w:pPr>
              <w:adjustRightInd w:val="0"/>
              <w:snapToGrid w:val="0"/>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调节</w:t>
            </w:r>
          </w:p>
          <w:p w14:paraId="6ADCAD6B">
            <w:pPr>
              <w:adjustRightInd w:val="0"/>
              <w:snapToGrid w:val="0"/>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（地面清洁废水、</w:t>
            </w:r>
          </w:p>
          <w:p w14:paraId="3BE6B2D2">
            <w:pPr>
              <w:adjustRightInd w:val="0"/>
              <w:snapToGrid w:val="0"/>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碱喷淋塔置换废水）</w:t>
            </w:r>
          </w:p>
        </w:tc>
        <w:tc>
          <w:tcPr>
            <w:tcW w:w="735" w:type="pct"/>
            <w:tcMar>
              <w:top w:w="15" w:type="dxa"/>
              <w:left w:w="15" w:type="dxa"/>
              <w:right w:w="15" w:type="dxa"/>
            </w:tcMar>
            <w:vAlign w:val="center"/>
          </w:tcPr>
          <w:p w14:paraId="1C66E92C">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color w:val="auto"/>
                <w:sz w:val="21"/>
              </w:rPr>
              <w:t>进水水质</w:t>
            </w:r>
            <w:r>
              <w:rPr>
                <w:rFonts w:hint="eastAsia" w:ascii="Times New Roman" w:hAnsi="Times New Roman" w:cs="Times New Roman"/>
                <w:color w:val="auto"/>
                <w:sz w:val="21"/>
                <w:lang w:eastAsia="zh-CN"/>
              </w:rPr>
              <w:t>（</w:t>
            </w:r>
            <w:r>
              <w:rPr>
                <w:rFonts w:ascii="Times New Roman" w:hAnsi="Times New Roman" w:cs="Times New Roman"/>
                <w:color w:val="auto"/>
                <w:sz w:val="21"/>
              </w:rPr>
              <w:t>mg/L</w:t>
            </w:r>
            <w:r>
              <w:rPr>
                <w:rFonts w:hint="eastAsia" w:ascii="Times New Roman" w:hAnsi="Times New Roman" w:cs="Times New Roman"/>
                <w:color w:val="auto"/>
                <w:sz w:val="21"/>
                <w:lang w:eastAsia="zh-CN"/>
              </w:rPr>
              <w:t>）</w:t>
            </w:r>
          </w:p>
        </w:tc>
        <w:tc>
          <w:tcPr>
            <w:tcW w:w="430" w:type="pct"/>
            <w:vMerge w:val="restart"/>
            <w:noWrap/>
            <w:tcMar>
              <w:top w:w="15" w:type="dxa"/>
              <w:left w:w="15" w:type="dxa"/>
              <w:right w:w="15" w:type="dxa"/>
            </w:tcMar>
            <w:vAlign w:val="center"/>
          </w:tcPr>
          <w:p w14:paraId="330C1061">
            <w:pPr>
              <w:adjustRightInd w:val="0"/>
              <w:snapToGrid w:val="0"/>
              <w:jc w:val="center"/>
              <w:textAlignment w:val="center"/>
              <w:rPr>
                <w:rFonts w:ascii="Times New Roman" w:hAnsi="Times New Roman" w:cs="Times New Roman"/>
                <w:b/>
                <w:bCs/>
                <w:color w:val="auto"/>
                <w:sz w:val="21"/>
                <w:lang w:eastAsia="zh-CN"/>
              </w:rPr>
            </w:pPr>
          </w:p>
        </w:tc>
        <w:tc>
          <w:tcPr>
            <w:tcW w:w="423" w:type="pct"/>
            <w:noWrap/>
            <w:tcMar>
              <w:top w:w="15" w:type="dxa"/>
              <w:left w:w="15" w:type="dxa"/>
              <w:right w:w="15" w:type="dxa"/>
            </w:tcMar>
            <w:vAlign w:val="center"/>
          </w:tcPr>
          <w:p w14:paraId="70DD3972">
            <w:pPr>
              <w:adjustRightInd w:val="0"/>
              <w:snapToGrid w:val="0"/>
              <w:jc w:val="center"/>
              <w:textAlignment w:val="center"/>
              <w:rPr>
                <w:rFonts w:ascii="Times New Roman" w:hAnsi="Times New Roman" w:cs="Times New Roman"/>
                <w:color w:val="auto"/>
                <w:sz w:val="21"/>
                <w:lang w:eastAsia="zh-CN"/>
              </w:rPr>
            </w:pPr>
          </w:p>
        </w:tc>
        <w:tc>
          <w:tcPr>
            <w:tcW w:w="423" w:type="pct"/>
            <w:noWrap/>
            <w:tcMar>
              <w:top w:w="15" w:type="dxa"/>
              <w:left w:w="15" w:type="dxa"/>
              <w:right w:w="15" w:type="dxa"/>
            </w:tcMar>
            <w:vAlign w:val="center"/>
          </w:tcPr>
          <w:p w14:paraId="71F1ACF1">
            <w:pPr>
              <w:adjustRightInd w:val="0"/>
              <w:snapToGrid w:val="0"/>
              <w:jc w:val="center"/>
              <w:textAlignment w:val="center"/>
              <w:rPr>
                <w:rFonts w:ascii="Times New Roman" w:hAnsi="Times New Roman" w:cs="Times New Roman"/>
                <w:color w:val="auto"/>
                <w:sz w:val="21"/>
                <w:lang w:eastAsia="zh-CN"/>
              </w:rPr>
            </w:pPr>
          </w:p>
        </w:tc>
        <w:tc>
          <w:tcPr>
            <w:tcW w:w="423" w:type="pct"/>
            <w:vAlign w:val="center"/>
          </w:tcPr>
          <w:p w14:paraId="5F84945B">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1AFA1BC0">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12C5DFD0">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4C27F9A4">
            <w:pPr>
              <w:adjustRightInd w:val="0"/>
              <w:snapToGrid w:val="0"/>
              <w:jc w:val="center"/>
              <w:textAlignment w:val="center"/>
              <w:rPr>
                <w:rFonts w:ascii="Times New Roman" w:hAnsi="Times New Roman" w:cs="Times New Roman"/>
                <w:color w:val="auto"/>
                <w:sz w:val="21"/>
                <w:lang w:eastAsia="zh-CN"/>
              </w:rPr>
            </w:pPr>
          </w:p>
        </w:tc>
        <w:tc>
          <w:tcPr>
            <w:tcW w:w="418" w:type="pct"/>
            <w:vAlign w:val="center"/>
          </w:tcPr>
          <w:p w14:paraId="34A0E291">
            <w:pPr>
              <w:adjustRightInd w:val="0"/>
              <w:snapToGrid w:val="0"/>
              <w:jc w:val="center"/>
              <w:textAlignment w:val="center"/>
              <w:rPr>
                <w:rFonts w:ascii="Times New Roman" w:hAnsi="Times New Roman" w:cs="Times New Roman"/>
                <w:color w:val="auto"/>
                <w:sz w:val="21"/>
                <w:lang w:eastAsia="zh-CN"/>
              </w:rPr>
            </w:pPr>
          </w:p>
        </w:tc>
      </w:tr>
      <w:tr w14:paraId="7AF27DFD">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882" w:type="pct"/>
            <w:vMerge w:val="continue"/>
            <w:noWrap/>
            <w:tcMar>
              <w:top w:w="15" w:type="dxa"/>
              <w:left w:w="15" w:type="dxa"/>
              <w:right w:w="15" w:type="dxa"/>
            </w:tcMar>
            <w:vAlign w:val="center"/>
          </w:tcPr>
          <w:p w14:paraId="36FEE019">
            <w:pPr>
              <w:adjustRightInd w:val="0"/>
              <w:snapToGrid w:val="0"/>
              <w:jc w:val="center"/>
              <w:textAlignment w:val="center"/>
              <w:rPr>
                <w:rFonts w:ascii="Times New Roman" w:hAnsi="Times New Roman" w:cs="Times New Roman"/>
                <w:b/>
                <w:bCs/>
                <w:color w:val="auto"/>
                <w:sz w:val="21"/>
              </w:rPr>
            </w:pPr>
          </w:p>
        </w:tc>
        <w:tc>
          <w:tcPr>
            <w:tcW w:w="735" w:type="pct"/>
            <w:tcMar>
              <w:top w:w="15" w:type="dxa"/>
              <w:left w:w="15" w:type="dxa"/>
              <w:right w:w="15" w:type="dxa"/>
            </w:tcMar>
            <w:vAlign w:val="center"/>
          </w:tcPr>
          <w:p w14:paraId="6AE7E3CA">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color w:val="auto"/>
                <w:sz w:val="21"/>
              </w:rPr>
              <w:t>去除率</w:t>
            </w:r>
            <w:r>
              <w:rPr>
                <w:rFonts w:hint="eastAsia" w:ascii="Times New Roman" w:hAnsi="Times New Roman" w:cs="Times New Roman"/>
                <w:color w:val="auto"/>
                <w:sz w:val="21"/>
                <w:lang w:eastAsia="zh-CN"/>
              </w:rPr>
              <w:t>（</w:t>
            </w:r>
            <w:r>
              <w:rPr>
                <w:rFonts w:ascii="Times New Roman" w:hAnsi="Times New Roman" w:cs="Times New Roman"/>
                <w:color w:val="auto"/>
                <w:sz w:val="21"/>
              </w:rPr>
              <w:t>%</w:t>
            </w:r>
            <w:r>
              <w:rPr>
                <w:rFonts w:hint="eastAsia" w:ascii="Times New Roman" w:hAnsi="Times New Roman" w:cs="Times New Roman"/>
                <w:color w:val="auto"/>
                <w:sz w:val="21"/>
                <w:lang w:eastAsia="zh-CN"/>
              </w:rPr>
              <w:t>）</w:t>
            </w:r>
          </w:p>
        </w:tc>
        <w:tc>
          <w:tcPr>
            <w:tcW w:w="430" w:type="pct"/>
            <w:vMerge w:val="continue"/>
            <w:noWrap/>
            <w:tcMar>
              <w:top w:w="15" w:type="dxa"/>
              <w:left w:w="15" w:type="dxa"/>
              <w:right w:w="15" w:type="dxa"/>
            </w:tcMar>
            <w:vAlign w:val="center"/>
          </w:tcPr>
          <w:p w14:paraId="5D1AABE0">
            <w:pPr>
              <w:adjustRightInd w:val="0"/>
              <w:snapToGrid w:val="0"/>
              <w:jc w:val="center"/>
              <w:textAlignment w:val="center"/>
              <w:rPr>
                <w:rFonts w:ascii="Times New Roman" w:hAnsi="Times New Roman" w:cs="Times New Roman"/>
                <w:b/>
                <w:bCs/>
                <w:color w:val="auto"/>
                <w:sz w:val="21"/>
              </w:rPr>
            </w:pPr>
          </w:p>
        </w:tc>
        <w:tc>
          <w:tcPr>
            <w:tcW w:w="423" w:type="pct"/>
            <w:noWrap/>
            <w:tcMar>
              <w:top w:w="15" w:type="dxa"/>
              <w:left w:w="15" w:type="dxa"/>
              <w:right w:w="15" w:type="dxa"/>
            </w:tcMar>
            <w:vAlign w:val="center"/>
          </w:tcPr>
          <w:p w14:paraId="63409500">
            <w:pPr>
              <w:adjustRightInd w:val="0"/>
              <w:snapToGrid w:val="0"/>
              <w:jc w:val="center"/>
              <w:textAlignment w:val="center"/>
              <w:rPr>
                <w:rFonts w:ascii="Times New Roman" w:hAnsi="Times New Roman" w:cs="Times New Roman"/>
                <w:color w:val="auto"/>
                <w:sz w:val="21"/>
                <w:lang w:eastAsia="zh-CN"/>
              </w:rPr>
            </w:pPr>
          </w:p>
        </w:tc>
        <w:tc>
          <w:tcPr>
            <w:tcW w:w="423" w:type="pct"/>
            <w:noWrap/>
            <w:tcMar>
              <w:top w:w="15" w:type="dxa"/>
              <w:left w:w="15" w:type="dxa"/>
              <w:right w:w="15" w:type="dxa"/>
            </w:tcMar>
            <w:vAlign w:val="center"/>
          </w:tcPr>
          <w:p w14:paraId="3FA11F08">
            <w:pPr>
              <w:adjustRightInd w:val="0"/>
              <w:snapToGrid w:val="0"/>
              <w:jc w:val="center"/>
              <w:textAlignment w:val="center"/>
              <w:rPr>
                <w:rFonts w:ascii="Times New Roman" w:hAnsi="Times New Roman" w:cs="Times New Roman"/>
                <w:color w:val="auto"/>
                <w:sz w:val="21"/>
                <w:lang w:eastAsia="zh-CN"/>
              </w:rPr>
            </w:pPr>
          </w:p>
        </w:tc>
        <w:tc>
          <w:tcPr>
            <w:tcW w:w="423" w:type="pct"/>
            <w:vAlign w:val="center"/>
          </w:tcPr>
          <w:p w14:paraId="23303D51">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1E55DD9C">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4783F073">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2BAC4DDC">
            <w:pPr>
              <w:tabs>
                <w:tab w:val="left" w:pos="250"/>
                <w:tab w:val="center" w:pos="427"/>
              </w:tabs>
              <w:adjustRightInd w:val="0"/>
              <w:snapToGrid w:val="0"/>
              <w:jc w:val="center"/>
              <w:textAlignment w:val="center"/>
              <w:rPr>
                <w:rFonts w:ascii="Times New Roman" w:hAnsi="Times New Roman" w:cs="Times New Roman"/>
                <w:color w:val="auto"/>
                <w:sz w:val="21"/>
                <w:lang w:eastAsia="zh-CN"/>
              </w:rPr>
            </w:pPr>
          </w:p>
        </w:tc>
        <w:tc>
          <w:tcPr>
            <w:tcW w:w="418" w:type="pct"/>
            <w:vAlign w:val="center"/>
          </w:tcPr>
          <w:p w14:paraId="0C33C1D9">
            <w:pPr>
              <w:adjustRightInd w:val="0"/>
              <w:snapToGrid w:val="0"/>
              <w:jc w:val="center"/>
              <w:textAlignment w:val="center"/>
              <w:rPr>
                <w:rFonts w:ascii="Times New Roman" w:hAnsi="Times New Roman" w:cs="Times New Roman"/>
                <w:color w:val="auto"/>
                <w:sz w:val="21"/>
                <w:lang w:eastAsia="zh-CN"/>
              </w:rPr>
            </w:pPr>
          </w:p>
        </w:tc>
      </w:tr>
      <w:tr w14:paraId="441BEB81">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882" w:type="pct"/>
            <w:vMerge w:val="continue"/>
            <w:noWrap/>
            <w:tcMar>
              <w:top w:w="15" w:type="dxa"/>
              <w:left w:w="15" w:type="dxa"/>
              <w:right w:w="15" w:type="dxa"/>
            </w:tcMar>
            <w:vAlign w:val="center"/>
          </w:tcPr>
          <w:p w14:paraId="43D84148">
            <w:pPr>
              <w:adjustRightInd w:val="0"/>
              <w:snapToGrid w:val="0"/>
              <w:jc w:val="center"/>
              <w:textAlignment w:val="center"/>
              <w:rPr>
                <w:rFonts w:ascii="Times New Roman" w:hAnsi="Times New Roman" w:cs="Times New Roman"/>
                <w:b/>
                <w:bCs/>
                <w:color w:val="auto"/>
                <w:sz w:val="21"/>
              </w:rPr>
            </w:pPr>
          </w:p>
        </w:tc>
        <w:tc>
          <w:tcPr>
            <w:tcW w:w="735" w:type="pct"/>
            <w:tcMar>
              <w:top w:w="15" w:type="dxa"/>
              <w:left w:w="15" w:type="dxa"/>
              <w:right w:w="15" w:type="dxa"/>
            </w:tcMar>
            <w:vAlign w:val="center"/>
          </w:tcPr>
          <w:p w14:paraId="5A4D300F">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color w:val="auto"/>
                <w:sz w:val="21"/>
              </w:rPr>
              <w:t>出水水质</w:t>
            </w:r>
            <w:r>
              <w:rPr>
                <w:rFonts w:hint="eastAsia" w:ascii="Times New Roman" w:hAnsi="Times New Roman" w:cs="Times New Roman"/>
                <w:color w:val="auto"/>
                <w:sz w:val="21"/>
                <w:lang w:eastAsia="zh-CN"/>
              </w:rPr>
              <w:t>（</w:t>
            </w:r>
            <w:r>
              <w:rPr>
                <w:rFonts w:ascii="Times New Roman" w:hAnsi="Times New Roman" w:cs="Times New Roman"/>
                <w:color w:val="auto"/>
                <w:sz w:val="21"/>
              </w:rPr>
              <w:t>mg/L</w:t>
            </w:r>
            <w:r>
              <w:rPr>
                <w:rFonts w:hint="eastAsia" w:ascii="Times New Roman" w:hAnsi="Times New Roman" w:cs="Times New Roman"/>
                <w:color w:val="auto"/>
                <w:sz w:val="21"/>
                <w:lang w:eastAsia="zh-CN"/>
              </w:rPr>
              <w:t>）</w:t>
            </w:r>
          </w:p>
        </w:tc>
        <w:tc>
          <w:tcPr>
            <w:tcW w:w="430" w:type="pct"/>
            <w:vMerge w:val="continue"/>
            <w:noWrap/>
            <w:tcMar>
              <w:top w:w="15" w:type="dxa"/>
              <w:left w:w="15" w:type="dxa"/>
              <w:right w:w="15" w:type="dxa"/>
            </w:tcMar>
            <w:vAlign w:val="center"/>
          </w:tcPr>
          <w:p w14:paraId="5E39A589">
            <w:pPr>
              <w:adjustRightInd w:val="0"/>
              <w:snapToGrid w:val="0"/>
              <w:jc w:val="center"/>
              <w:textAlignment w:val="center"/>
              <w:rPr>
                <w:rFonts w:ascii="Times New Roman" w:hAnsi="Times New Roman" w:cs="Times New Roman"/>
                <w:b/>
                <w:bCs/>
                <w:color w:val="auto"/>
                <w:sz w:val="21"/>
              </w:rPr>
            </w:pPr>
          </w:p>
        </w:tc>
        <w:tc>
          <w:tcPr>
            <w:tcW w:w="423" w:type="pct"/>
            <w:noWrap/>
            <w:tcMar>
              <w:top w:w="15" w:type="dxa"/>
              <w:left w:w="15" w:type="dxa"/>
              <w:right w:w="15" w:type="dxa"/>
            </w:tcMar>
            <w:vAlign w:val="center"/>
          </w:tcPr>
          <w:p w14:paraId="64905CCC">
            <w:pPr>
              <w:adjustRightInd w:val="0"/>
              <w:snapToGrid w:val="0"/>
              <w:jc w:val="center"/>
              <w:textAlignment w:val="center"/>
              <w:rPr>
                <w:rFonts w:ascii="Times New Roman" w:hAnsi="Times New Roman" w:cs="Times New Roman"/>
                <w:color w:val="auto"/>
                <w:sz w:val="21"/>
                <w:lang w:eastAsia="zh-CN"/>
              </w:rPr>
            </w:pPr>
          </w:p>
        </w:tc>
        <w:tc>
          <w:tcPr>
            <w:tcW w:w="423" w:type="pct"/>
            <w:noWrap/>
            <w:tcMar>
              <w:top w:w="15" w:type="dxa"/>
              <w:left w:w="15" w:type="dxa"/>
              <w:right w:w="15" w:type="dxa"/>
            </w:tcMar>
            <w:vAlign w:val="center"/>
          </w:tcPr>
          <w:p w14:paraId="1144EAC2">
            <w:pPr>
              <w:adjustRightInd w:val="0"/>
              <w:snapToGrid w:val="0"/>
              <w:jc w:val="center"/>
              <w:textAlignment w:val="center"/>
              <w:rPr>
                <w:rFonts w:ascii="Times New Roman" w:hAnsi="Times New Roman" w:cs="Times New Roman"/>
                <w:color w:val="auto"/>
                <w:sz w:val="21"/>
                <w:lang w:eastAsia="zh-CN"/>
              </w:rPr>
            </w:pPr>
          </w:p>
        </w:tc>
        <w:tc>
          <w:tcPr>
            <w:tcW w:w="423" w:type="pct"/>
            <w:vAlign w:val="center"/>
          </w:tcPr>
          <w:p w14:paraId="1BEED67E">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6D964B7F">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2BFE8AB4">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5F1BEE7C">
            <w:pPr>
              <w:adjustRightInd w:val="0"/>
              <w:snapToGrid w:val="0"/>
              <w:jc w:val="center"/>
              <w:textAlignment w:val="center"/>
              <w:rPr>
                <w:rFonts w:ascii="Times New Roman" w:hAnsi="Times New Roman" w:cs="Times New Roman"/>
                <w:color w:val="auto"/>
                <w:sz w:val="21"/>
                <w:lang w:eastAsia="zh-CN"/>
              </w:rPr>
            </w:pPr>
          </w:p>
        </w:tc>
        <w:tc>
          <w:tcPr>
            <w:tcW w:w="418" w:type="pct"/>
            <w:vAlign w:val="center"/>
          </w:tcPr>
          <w:p w14:paraId="4D98F5BF">
            <w:pPr>
              <w:adjustRightInd w:val="0"/>
              <w:snapToGrid w:val="0"/>
              <w:jc w:val="center"/>
              <w:textAlignment w:val="center"/>
              <w:rPr>
                <w:rFonts w:ascii="Times New Roman" w:hAnsi="Times New Roman" w:cs="Times New Roman"/>
                <w:color w:val="auto"/>
                <w:sz w:val="21"/>
                <w:lang w:eastAsia="zh-CN"/>
              </w:rPr>
            </w:pPr>
          </w:p>
        </w:tc>
      </w:tr>
      <w:tr w14:paraId="18E5E05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882" w:type="pct"/>
            <w:vMerge w:val="restart"/>
            <w:noWrap/>
            <w:tcMar>
              <w:top w:w="15" w:type="dxa"/>
              <w:left w:w="15" w:type="dxa"/>
              <w:right w:w="15" w:type="dxa"/>
            </w:tcMar>
            <w:vAlign w:val="center"/>
          </w:tcPr>
          <w:p w14:paraId="045CD331">
            <w:pPr>
              <w:adjustRightInd w:val="0"/>
              <w:snapToGrid w:val="0"/>
              <w:jc w:val="center"/>
              <w:textAlignment w:val="center"/>
              <w:rPr>
                <w:rFonts w:ascii="Times New Roman" w:hAnsi="Times New Roman" w:cs="Times New Roman"/>
                <w:bCs/>
                <w:color w:val="auto"/>
                <w:sz w:val="21"/>
                <w:lang w:eastAsia="zh-CN"/>
              </w:rPr>
            </w:pPr>
            <w:r>
              <w:rPr>
                <w:rFonts w:hint="eastAsia" w:ascii="Times New Roman" w:hAnsi="Times New Roman" w:cs="Times New Roman"/>
                <w:bCs/>
                <w:color w:val="auto"/>
                <w:sz w:val="21"/>
                <w:lang w:eastAsia="zh-CN"/>
              </w:rPr>
              <w:t>第</w:t>
            </w:r>
            <w:r>
              <w:rPr>
                <w:rFonts w:ascii="Times New Roman" w:hAnsi="Times New Roman" w:cs="Times New Roman"/>
                <w:bCs/>
                <w:color w:val="auto"/>
                <w:sz w:val="21"/>
                <w:lang w:eastAsia="zh-CN"/>
              </w:rPr>
              <w:t>一级除氟反应池</w:t>
            </w:r>
          </w:p>
          <w:p w14:paraId="7E2689A7">
            <w:pPr>
              <w:adjustRightInd w:val="0"/>
              <w:snapToGrid w:val="0"/>
              <w:jc w:val="center"/>
              <w:textAlignment w:val="center"/>
              <w:rPr>
                <w:rFonts w:ascii="Times New Roman" w:hAnsi="Times New Roman" w:cs="Times New Roman"/>
                <w:color w:val="auto"/>
                <w:sz w:val="21"/>
                <w:lang w:eastAsia="zh-CN"/>
              </w:rPr>
            </w:pPr>
            <w:r>
              <w:rPr>
                <w:rFonts w:hint="eastAsia" w:ascii="Times New Roman" w:hAnsi="Times New Roman" w:cs="Times New Roman"/>
                <w:bCs/>
                <w:color w:val="auto"/>
                <w:sz w:val="21"/>
                <w:lang w:eastAsia="zh-CN"/>
              </w:rPr>
              <w:t>+第一级</w:t>
            </w:r>
            <w:r>
              <w:rPr>
                <w:rFonts w:ascii="Times New Roman" w:hAnsi="Times New Roman" w:cs="Times New Roman"/>
                <w:bCs/>
                <w:color w:val="auto"/>
                <w:sz w:val="21"/>
                <w:lang w:eastAsia="zh-CN"/>
              </w:rPr>
              <w:t>除</w:t>
            </w:r>
            <w:r>
              <w:rPr>
                <w:rFonts w:hint="eastAsia" w:ascii="Times New Roman" w:hAnsi="Times New Roman" w:cs="Times New Roman"/>
                <w:bCs/>
                <w:color w:val="auto"/>
                <w:sz w:val="21"/>
                <w:lang w:eastAsia="zh-CN"/>
              </w:rPr>
              <w:t>氟沉淀池</w:t>
            </w:r>
          </w:p>
        </w:tc>
        <w:tc>
          <w:tcPr>
            <w:tcW w:w="735" w:type="pct"/>
            <w:tcMar>
              <w:top w:w="15" w:type="dxa"/>
              <w:left w:w="15" w:type="dxa"/>
              <w:right w:w="15" w:type="dxa"/>
            </w:tcMar>
            <w:vAlign w:val="center"/>
          </w:tcPr>
          <w:p w14:paraId="277BD8AF">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rPr>
              <w:t>进水水质</w:t>
            </w:r>
            <w:r>
              <w:rPr>
                <w:rFonts w:hint="eastAsia" w:ascii="Times New Roman" w:hAnsi="Times New Roman" w:cs="Times New Roman"/>
                <w:color w:val="auto"/>
                <w:sz w:val="21"/>
                <w:lang w:eastAsia="zh-CN"/>
              </w:rPr>
              <w:t>（</w:t>
            </w:r>
            <w:r>
              <w:rPr>
                <w:rFonts w:ascii="Times New Roman" w:hAnsi="Times New Roman" w:cs="Times New Roman"/>
                <w:color w:val="auto"/>
                <w:sz w:val="21"/>
              </w:rPr>
              <w:t>mg/L</w:t>
            </w:r>
            <w:r>
              <w:rPr>
                <w:rFonts w:hint="eastAsia" w:ascii="Times New Roman" w:hAnsi="Times New Roman" w:cs="Times New Roman"/>
                <w:color w:val="auto"/>
                <w:sz w:val="21"/>
                <w:lang w:eastAsia="zh-CN"/>
              </w:rPr>
              <w:t>）</w:t>
            </w:r>
          </w:p>
        </w:tc>
        <w:tc>
          <w:tcPr>
            <w:tcW w:w="430" w:type="pct"/>
            <w:vMerge w:val="restart"/>
            <w:noWrap/>
            <w:tcMar>
              <w:top w:w="15" w:type="dxa"/>
              <w:left w:w="15" w:type="dxa"/>
              <w:right w:w="15" w:type="dxa"/>
            </w:tcMar>
            <w:vAlign w:val="center"/>
          </w:tcPr>
          <w:p w14:paraId="553485B8">
            <w:pPr>
              <w:adjustRightInd w:val="0"/>
              <w:snapToGrid w:val="0"/>
              <w:jc w:val="center"/>
              <w:textAlignment w:val="center"/>
              <w:rPr>
                <w:rFonts w:ascii="Times New Roman" w:hAnsi="Times New Roman" w:cs="Times New Roman"/>
                <w:b/>
                <w:bCs/>
                <w:color w:val="auto"/>
                <w:sz w:val="21"/>
              </w:rPr>
            </w:pPr>
          </w:p>
        </w:tc>
        <w:tc>
          <w:tcPr>
            <w:tcW w:w="423" w:type="pct"/>
            <w:noWrap/>
            <w:tcMar>
              <w:top w:w="15" w:type="dxa"/>
              <w:left w:w="15" w:type="dxa"/>
              <w:right w:w="15" w:type="dxa"/>
            </w:tcMar>
            <w:vAlign w:val="center"/>
          </w:tcPr>
          <w:p w14:paraId="5AFABD02">
            <w:pPr>
              <w:adjustRightInd w:val="0"/>
              <w:snapToGrid w:val="0"/>
              <w:jc w:val="center"/>
              <w:textAlignment w:val="center"/>
              <w:rPr>
                <w:rFonts w:ascii="Times New Roman" w:hAnsi="Times New Roman" w:cs="Times New Roman"/>
                <w:color w:val="auto"/>
                <w:sz w:val="21"/>
                <w:lang w:eastAsia="zh-CN"/>
              </w:rPr>
            </w:pPr>
          </w:p>
        </w:tc>
        <w:tc>
          <w:tcPr>
            <w:tcW w:w="423" w:type="pct"/>
            <w:noWrap/>
            <w:tcMar>
              <w:top w:w="15" w:type="dxa"/>
              <w:left w:w="15" w:type="dxa"/>
              <w:right w:w="15" w:type="dxa"/>
            </w:tcMar>
            <w:vAlign w:val="center"/>
          </w:tcPr>
          <w:p w14:paraId="6031D569">
            <w:pPr>
              <w:adjustRightInd w:val="0"/>
              <w:snapToGrid w:val="0"/>
              <w:jc w:val="center"/>
              <w:textAlignment w:val="center"/>
              <w:rPr>
                <w:rFonts w:ascii="Times New Roman" w:hAnsi="Times New Roman" w:cs="Times New Roman"/>
                <w:color w:val="auto"/>
                <w:sz w:val="21"/>
                <w:lang w:eastAsia="zh-CN"/>
              </w:rPr>
            </w:pPr>
          </w:p>
        </w:tc>
        <w:tc>
          <w:tcPr>
            <w:tcW w:w="423" w:type="pct"/>
            <w:vAlign w:val="center"/>
          </w:tcPr>
          <w:p w14:paraId="72D4F542">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29F9A10D">
            <w:pPr>
              <w:tabs>
                <w:tab w:val="left" w:pos="376"/>
              </w:tabs>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0B2699CF">
            <w:pPr>
              <w:tabs>
                <w:tab w:val="left" w:pos="376"/>
              </w:tabs>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62E746B5">
            <w:pPr>
              <w:adjustRightInd w:val="0"/>
              <w:snapToGrid w:val="0"/>
              <w:jc w:val="center"/>
              <w:textAlignment w:val="center"/>
              <w:rPr>
                <w:rFonts w:ascii="Times New Roman" w:hAnsi="Times New Roman" w:cs="Times New Roman"/>
                <w:color w:val="auto"/>
                <w:sz w:val="21"/>
                <w:lang w:eastAsia="zh-CN"/>
              </w:rPr>
            </w:pPr>
          </w:p>
        </w:tc>
        <w:tc>
          <w:tcPr>
            <w:tcW w:w="418" w:type="pct"/>
            <w:vAlign w:val="center"/>
          </w:tcPr>
          <w:p w14:paraId="5D907A8A">
            <w:pPr>
              <w:adjustRightInd w:val="0"/>
              <w:snapToGrid w:val="0"/>
              <w:jc w:val="center"/>
              <w:textAlignment w:val="center"/>
              <w:rPr>
                <w:rFonts w:ascii="Times New Roman" w:hAnsi="Times New Roman" w:cs="Times New Roman"/>
                <w:color w:val="auto"/>
                <w:sz w:val="21"/>
                <w:lang w:eastAsia="zh-CN"/>
              </w:rPr>
            </w:pPr>
          </w:p>
        </w:tc>
      </w:tr>
      <w:tr w14:paraId="583EDC3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882" w:type="pct"/>
            <w:vMerge w:val="continue"/>
            <w:noWrap/>
            <w:tcMar>
              <w:top w:w="15" w:type="dxa"/>
              <w:left w:w="15" w:type="dxa"/>
              <w:right w:w="15" w:type="dxa"/>
            </w:tcMar>
            <w:vAlign w:val="center"/>
          </w:tcPr>
          <w:p w14:paraId="45DD5322">
            <w:pPr>
              <w:adjustRightInd w:val="0"/>
              <w:snapToGrid w:val="0"/>
              <w:jc w:val="center"/>
              <w:textAlignment w:val="center"/>
              <w:rPr>
                <w:rFonts w:ascii="Times New Roman" w:hAnsi="Times New Roman" w:cs="Times New Roman"/>
                <w:color w:val="auto"/>
                <w:sz w:val="21"/>
              </w:rPr>
            </w:pPr>
          </w:p>
        </w:tc>
        <w:tc>
          <w:tcPr>
            <w:tcW w:w="735" w:type="pct"/>
            <w:tcMar>
              <w:top w:w="15" w:type="dxa"/>
              <w:left w:w="15" w:type="dxa"/>
              <w:right w:w="15" w:type="dxa"/>
            </w:tcMar>
            <w:vAlign w:val="center"/>
          </w:tcPr>
          <w:p w14:paraId="56CB2926">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rPr>
              <w:t>去除率</w:t>
            </w:r>
            <w:r>
              <w:rPr>
                <w:rFonts w:hint="eastAsia" w:ascii="Times New Roman" w:hAnsi="Times New Roman" w:cs="Times New Roman"/>
                <w:color w:val="auto"/>
                <w:sz w:val="21"/>
                <w:lang w:eastAsia="zh-CN"/>
              </w:rPr>
              <w:t>（</w:t>
            </w:r>
            <w:r>
              <w:rPr>
                <w:rFonts w:ascii="Times New Roman" w:hAnsi="Times New Roman" w:cs="Times New Roman"/>
                <w:color w:val="auto"/>
                <w:sz w:val="21"/>
              </w:rPr>
              <w:t>%</w:t>
            </w:r>
            <w:r>
              <w:rPr>
                <w:rFonts w:hint="eastAsia" w:ascii="Times New Roman" w:hAnsi="Times New Roman" w:cs="Times New Roman"/>
                <w:color w:val="auto"/>
                <w:sz w:val="21"/>
                <w:lang w:eastAsia="zh-CN"/>
              </w:rPr>
              <w:t>）</w:t>
            </w:r>
          </w:p>
        </w:tc>
        <w:tc>
          <w:tcPr>
            <w:tcW w:w="430" w:type="pct"/>
            <w:vMerge w:val="continue"/>
            <w:noWrap/>
            <w:tcMar>
              <w:top w:w="15" w:type="dxa"/>
              <w:left w:w="15" w:type="dxa"/>
              <w:right w:w="15" w:type="dxa"/>
            </w:tcMar>
            <w:vAlign w:val="center"/>
          </w:tcPr>
          <w:p w14:paraId="4AF682ED">
            <w:pPr>
              <w:adjustRightInd w:val="0"/>
              <w:snapToGrid w:val="0"/>
              <w:jc w:val="center"/>
              <w:textAlignment w:val="center"/>
              <w:rPr>
                <w:rFonts w:ascii="Times New Roman" w:hAnsi="Times New Roman" w:cs="Times New Roman"/>
                <w:b/>
                <w:bCs/>
                <w:color w:val="auto"/>
                <w:sz w:val="21"/>
              </w:rPr>
            </w:pPr>
          </w:p>
        </w:tc>
        <w:tc>
          <w:tcPr>
            <w:tcW w:w="423" w:type="pct"/>
            <w:noWrap/>
            <w:tcMar>
              <w:top w:w="15" w:type="dxa"/>
              <w:left w:w="15" w:type="dxa"/>
              <w:right w:w="15" w:type="dxa"/>
            </w:tcMar>
            <w:vAlign w:val="center"/>
          </w:tcPr>
          <w:p w14:paraId="6E099C0E">
            <w:pPr>
              <w:adjustRightInd w:val="0"/>
              <w:snapToGrid w:val="0"/>
              <w:jc w:val="center"/>
              <w:textAlignment w:val="center"/>
              <w:rPr>
                <w:rFonts w:ascii="Times New Roman" w:hAnsi="Times New Roman" w:cs="Times New Roman"/>
                <w:color w:val="auto"/>
                <w:sz w:val="21"/>
                <w:lang w:eastAsia="zh-CN"/>
              </w:rPr>
            </w:pPr>
          </w:p>
        </w:tc>
        <w:tc>
          <w:tcPr>
            <w:tcW w:w="423" w:type="pct"/>
            <w:noWrap/>
            <w:tcMar>
              <w:top w:w="15" w:type="dxa"/>
              <w:left w:w="15" w:type="dxa"/>
              <w:right w:w="15" w:type="dxa"/>
            </w:tcMar>
            <w:vAlign w:val="center"/>
          </w:tcPr>
          <w:p w14:paraId="01B4BCC0">
            <w:pPr>
              <w:adjustRightInd w:val="0"/>
              <w:snapToGrid w:val="0"/>
              <w:jc w:val="center"/>
              <w:textAlignment w:val="center"/>
              <w:rPr>
                <w:rFonts w:ascii="Times New Roman" w:hAnsi="Times New Roman" w:cs="Times New Roman"/>
                <w:color w:val="auto"/>
                <w:sz w:val="21"/>
                <w:lang w:eastAsia="zh-CN"/>
              </w:rPr>
            </w:pPr>
          </w:p>
        </w:tc>
        <w:tc>
          <w:tcPr>
            <w:tcW w:w="423" w:type="pct"/>
            <w:vAlign w:val="center"/>
          </w:tcPr>
          <w:p w14:paraId="0DB9C860">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7D31BE53">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11A9068D">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1C6CFAFC">
            <w:pPr>
              <w:adjustRightInd w:val="0"/>
              <w:snapToGrid w:val="0"/>
              <w:jc w:val="center"/>
              <w:textAlignment w:val="center"/>
              <w:rPr>
                <w:rFonts w:ascii="Times New Roman" w:hAnsi="Times New Roman" w:cs="Times New Roman"/>
                <w:color w:val="auto"/>
                <w:sz w:val="21"/>
                <w:lang w:eastAsia="zh-CN"/>
              </w:rPr>
            </w:pPr>
          </w:p>
        </w:tc>
        <w:tc>
          <w:tcPr>
            <w:tcW w:w="418" w:type="pct"/>
            <w:vAlign w:val="center"/>
          </w:tcPr>
          <w:p w14:paraId="1BE54C06">
            <w:pPr>
              <w:adjustRightInd w:val="0"/>
              <w:snapToGrid w:val="0"/>
              <w:jc w:val="center"/>
              <w:textAlignment w:val="center"/>
              <w:rPr>
                <w:rFonts w:ascii="Times New Roman" w:hAnsi="Times New Roman" w:cs="Times New Roman"/>
                <w:color w:val="auto"/>
                <w:sz w:val="21"/>
                <w:lang w:eastAsia="zh-CN"/>
              </w:rPr>
            </w:pPr>
          </w:p>
        </w:tc>
      </w:tr>
      <w:tr w14:paraId="22D588D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882" w:type="pct"/>
            <w:vMerge w:val="continue"/>
            <w:noWrap/>
            <w:tcMar>
              <w:top w:w="15" w:type="dxa"/>
              <w:left w:w="15" w:type="dxa"/>
              <w:right w:w="15" w:type="dxa"/>
            </w:tcMar>
            <w:vAlign w:val="center"/>
          </w:tcPr>
          <w:p w14:paraId="7E92E0D3">
            <w:pPr>
              <w:adjustRightInd w:val="0"/>
              <w:snapToGrid w:val="0"/>
              <w:jc w:val="center"/>
              <w:textAlignment w:val="center"/>
              <w:rPr>
                <w:rFonts w:ascii="Times New Roman" w:hAnsi="Times New Roman" w:cs="Times New Roman"/>
                <w:color w:val="auto"/>
                <w:sz w:val="21"/>
              </w:rPr>
            </w:pPr>
          </w:p>
        </w:tc>
        <w:tc>
          <w:tcPr>
            <w:tcW w:w="735" w:type="pct"/>
            <w:tcMar>
              <w:top w:w="15" w:type="dxa"/>
              <w:left w:w="15" w:type="dxa"/>
              <w:right w:w="15" w:type="dxa"/>
            </w:tcMar>
            <w:vAlign w:val="center"/>
          </w:tcPr>
          <w:p w14:paraId="63C7FD5B">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rPr>
              <w:t>出水水质</w:t>
            </w:r>
            <w:r>
              <w:rPr>
                <w:rFonts w:hint="eastAsia" w:ascii="Times New Roman" w:hAnsi="Times New Roman" w:cs="Times New Roman"/>
                <w:color w:val="auto"/>
                <w:sz w:val="21"/>
                <w:lang w:eastAsia="zh-CN"/>
              </w:rPr>
              <w:t>（</w:t>
            </w:r>
            <w:r>
              <w:rPr>
                <w:rFonts w:ascii="Times New Roman" w:hAnsi="Times New Roman" w:cs="Times New Roman"/>
                <w:color w:val="auto"/>
                <w:sz w:val="21"/>
              </w:rPr>
              <w:t>mg/L</w:t>
            </w:r>
            <w:r>
              <w:rPr>
                <w:rFonts w:hint="eastAsia" w:ascii="Times New Roman" w:hAnsi="Times New Roman" w:cs="Times New Roman"/>
                <w:color w:val="auto"/>
                <w:sz w:val="21"/>
                <w:lang w:eastAsia="zh-CN"/>
              </w:rPr>
              <w:t>）</w:t>
            </w:r>
          </w:p>
        </w:tc>
        <w:tc>
          <w:tcPr>
            <w:tcW w:w="430" w:type="pct"/>
            <w:vMerge w:val="continue"/>
            <w:noWrap/>
            <w:tcMar>
              <w:top w:w="15" w:type="dxa"/>
              <w:left w:w="15" w:type="dxa"/>
              <w:right w:w="15" w:type="dxa"/>
            </w:tcMar>
            <w:vAlign w:val="center"/>
          </w:tcPr>
          <w:p w14:paraId="0A4F6BE5">
            <w:pPr>
              <w:adjustRightInd w:val="0"/>
              <w:snapToGrid w:val="0"/>
              <w:jc w:val="center"/>
              <w:textAlignment w:val="center"/>
              <w:rPr>
                <w:rFonts w:ascii="Times New Roman" w:hAnsi="Times New Roman" w:cs="Times New Roman"/>
                <w:b/>
                <w:bCs/>
                <w:color w:val="auto"/>
                <w:sz w:val="21"/>
              </w:rPr>
            </w:pPr>
          </w:p>
        </w:tc>
        <w:tc>
          <w:tcPr>
            <w:tcW w:w="423" w:type="pct"/>
            <w:noWrap/>
            <w:tcMar>
              <w:top w:w="15" w:type="dxa"/>
              <w:left w:w="15" w:type="dxa"/>
              <w:right w:w="15" w:type="dxa"/>
            </w:tcMar>
            <w:vAlign w:val="center"/>
          </w:tcPr>
          <w:p w14:paraId="23EAEFE2">
            <w:pPr>
              <w:adjustRightInd w:val="0"/>
              <w:snapToGrid w:val="0"/>
              <w:jc w:val="center"/>
              <w:textAlignment w:val="center"/>
              <w:rPr>
                <w:rFonts w:ascii="Times New Roman" w:hAnsi="Times New Roman" w:cs="Times New Roman"/>
                <w:color w:val="auto"/>
                <w:sz w:val="21"/>
                <w:lang w:eastAsia="zh-CN"/>
              </w:rPr>
            </w:pPr>
          </w:p>
        </w:tc>
        <w:tc>
          <w:tcPr>
            <w:tcW w:w="423" w:type="pct"/>
            <w:noWrap/>
            <w:tcMar>
              <w:top w:w="15" w:type="dxa"/>
              <w:left w:w="15" w:type="dxa"/>
              <w:right w:w="15" w:type="dxa"/>
            </w:tcMar>
            <w:vAlign w:val="center"/>
          </w:tcPr>
          <w:p w14:paraId="070173B7">
            <w:pPr>
              <w:adjustRightInd w:val="0"/>
              <w:snapToGrid w:val="0"/>
              <w:jc w:val="center"/>
              <w:textAlignment w:val="center"/>
              <w:rPr>
                <w:rFonts w:ascii="Times New Roman" w:hAnsi="Times New Roman" w:cs="Times New Roman"/>
                <w:color w:val="auto"/>
                <w:sz w:val="21"/>
                <w:lang w:eastAsia="zh-CN"/>
              </w:rPr>
            </w:pPr>
          </w:p>
        </w:tc>
        <w:tc>
          <w:tcPr>
            <w:tcW w:w="423" w:type="pct"/>
            <w:vAlign w:val="center"/>
          </w:tcPr>
          <w:p w14:paraId="5DC0F950">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7F32CAE9">
            <w:pPr>
              <w:tabs>
                <w:tab w:val="left" w:pos="376"/>
              </w:tabs>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5F58E810">
            <w:pPr>
              <w:tabs>
                <w:tab w:val="left" w:pos="376"/>
              </w:tabs>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70CB8D32">
            <w:pPr>
              <w:adjustRightInd w:val="0"/>
              <w:snapToGrid w:val="0"/>
              <w:jc w:val="center"/>
              <w:textAlignment w:val="center"/>
              <w:rPr>
                <w:rFonts w:ascii="Times New Roman" w:hAnsi="Times New Roman" w:cs="Times New Roman"/>
                <w:color w:val="auto"/>
                <w:sz w:val="21"/>
                <w:lang w:eastAsia="zh-CN"/>
              </w:rPr>
            </w:pPr>
          </w:p>
        </w:tc>
        <w:tc>
          <w:tcPr>
            <w:tcW w:w="418" w:type="pct"/>
            <w:vAlign w:val="center"/>
          </w:tcPr>
          <w:p w14:paraId="4BF499C5">
            <w:pPr>
              <w:adjustRightInd w:val="0"/>
              <w:snapToGrid w:val="0"/>
              <w:jc w:val="center"/>
              <w:textAlignment w:val="center"/>
              <w:rPr>
                <w:rFonts w:ascii="Times New Roman" w:hAnsi="Times New Roman" w:cs="Times New Roman"/>
                <w:color w:val="auto"/>
                <w:sz w:val="21"/>
                <w:lang w:eastAsia="zh-CN"/>
              </w:rPr>
            </w:pPr>
          </w:p>
        </w:tc>
      </w:tr>
      <w:tr w14:paraId="76BFF59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882" w:type="pct"/>
            <w:vMerge w:val="restart"/>
            <w:noWrap/>
            <w:tcMar>
              <w:top w:w="15" w:type="dxa"/>
              <w:left w:w="15" w:type="dxa"/>
              <w:right w:w="15" w:type="dxa"/>
            </w:tcMar>
            <w:vAlign w:val="center"/>
          </w:tcPr>
          <w:p w14:paraId="38BB9DD9">
            <w:pPr>
              <w:adjustRightInd w:val="0"/>
              <w:snapToGrid w:val="0"/>
              <w:jc w:val="center"/>
              <w:textAlignment w:val="center"/>
              <w:rPr>
                <w:rFonts w:ascii="Times New Roman" w:hAnsi="Times New Roman" w:cs="Times New Roman"/>
                <w:bCs/>
                <w:color w:val="auto"/>
                <w:sz w:val="21"/>
                <w:lang w:eastAsia="zh-CN"/>
              </w:rPr>
            </w:pPr>
            <w:r>
              <w:rPr>
                <w:rFonts w:hint="eastAsia" w:ascii="Times New Roman" w:hAnsi="Times New Roman" w:cs="Times New Roman"/>
                <w:bCs/>
                <w:color w:val="auto"/>
                <w:sz w:val="21"/>
                <w:lang w:eastAsia="zh-CN"/>
              </w:rPr>
              <w:t>第二</w:t>
            </w:r>
            <w:r>
              <w:rPr>
                <w:rFonts w:ascii="Times New Roman" w:hAnsi="Times New Roman" w:cs="Times New Roman"/>
                <w:bCs/>
                <w:color w:val="auto"/>
                <w:sz w:val="21"/>
                <w:lang w:eastAsia="zh-CN"/>
              </w:rPr>
              <w:t>级除氟反应池</w:t>
            </w:r>
          </w:p>
          <w:p w14:paraId="4454951E">
            <w:pPr>
              <w:adjustRightInd w:val="0"/>
              <w:snapToGrid w:val="0"/>
              <w:jc w:val="center"/>
              <w:textAlignment w:val="center"/>
              <w:rPr>
                <w:rFonts w:ascii="Times New Roman" w:hAnsi="Times New Roman" w:cs="Times New Roman"/>
                <w:color w:val="auto"/>
                <w:sz w:val="21"/>
                <w:lang w:eastAsia="zh-CN"/>
              </w:rPr>
            </w:pPr>
            <w:r>
              <w:rPr>
                <w:rFonts w:hint="eastAsia" w:ascii="Times New Roman" w:hAnsi="Times New Roman" w:cs="Times New Roman"/>
                <w:bCs/>
                <w:color w:val="auto"/>
                <w:sz w:val="21"/>
                <w:lang w:eastAsia="zh-CN"/>
              </w:rPr>
              <w:t>+第二级</w:t>
            </w:r>
            <w:r>
              <w:rPr>
                <w:rFonts w:ascii="Times New Roman" w:hAnsi="Times New Roman" w:cs="Times New Roman"/>
                <w:bCs/>
                <w:color w:val="auto"/>
                <w:sz w:val="21"/>
                <w:lang w:eastAsia="zh-CN"/>
              </w:rPr>
              <w:t>除</w:t>
            </w:r>
            <w:r>
              <w:rPr>
                <w:rFonts w:hint="eastAsia" w:ascii="Times New Roman" w:hAnsi="Times New Roman" w:cs="Times New Roman"/>
                <w:bCs/>
                <w:color w:val="auto"/>
                <w:sz w:val="21"/>
                <w:lang w:eastAsia="zh-CN"/>
              </w:rPr>
              <w:t>氟沉淀池</w:t>
            </w:r>
          </w:p>
        </w:tc>
        <w:tc>
          <w:tcPr>
            <w:tcW w:w="735" w:type="pct"/>
            <w:tcMar>
              <w:top w:w="15" w:type="dxa"/>
              <w:left w:w="15" w:type="dxa"/>
              <w:right w:w="15" w:type="dxa"/>
            </w:tcMar>
            <w:vAlign w:val="center"/>
          </w:tcPr>
          <w:p w14:paraId="7BE98ABE">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rPr>
              <w:t>进水水质</w:t>
            </w:r>
            <w:r>
              <w:rPr>
                <w:rFonts w:hint="eastAsia" w:ascii="Times New Roman" w:hAnsi="Times New Roman" w:cs="Times New Roman"/>
                <w:color w:val="auto"/>
                <w:sz w:val="21"/>
                <w:lang w:eastAsia="zh-CN"/>
              </w:rPr>
              <w:t>（</w:t>
            </w:r>
            <w:r>
              <w:rPr>
                <w:rFonts w:ascii="Times New Roman" w:hAnsi="Times New Roman" w:cs="Times New Roman"/>
                <w:color w:val="auto"/>
                <w:sz w:val="21"/>
              </w:rPr>
              <w:t>mg/L</w:t>
            </w:r>
            <w:r>
              <w:rPr>
                <w:rFonts w:hint="eastAsia" w:ascii="Times New Roman" w:hAnsi="Times New Roman" w:cs="Times New Roman"/>
                <w:color w:val="auto"/>
                <w:sz w:val="21"/>
                <w:lang w:eastAsia="zh-CN"/>
              </w:rPr>
              <w:t>）</w:t>
            </w:r>
          </w:p>
        </w:tc>
        <w:tc>
          <w:tcPr>
            <w:tcW w:w="430" w:type="pct"/>
            <w:vMerge w:val="restart"/>
            <w:noWrap/>
            <w:tcMar>
              <w:top w:w="15" w:type="dxa"/>
              <w:left w:w="15" w:type="dxa"/>
              <w:right w:w="15" w:type="dxa"/>
            </w:tcMar>
            <w:vAlign w:val="center"/>
          </w:tcPr>
          <w:p w14:paraId="497C9BFA">
            <w:pPr>
              <w:adjustRightInd w:val="0"/>
              <w:snapToGrid w:val="0"/>
              <w:jc w:val="center"/>
              <w:textAlignment w:val="center"/>
              <w:rPr>
                <w:rFonts w:ascii="Times New Roman" w:hAnsi="Times New Roman" w:cs="Times New Roman"/>
                <w:b/>
                <w:bCs/>
                <w:color w:val="auto"/>
                <w:sz w:val="21"/>
              </w:rPr>
            </w:pPr>
          </w:p>
        </w:tc>
        <w:tc>
          <w:tcPr>
            <w:tcW w:w="423" w:type="pct"/>
            <w:noWrap/>
            <w:tcMar>
              <w:top w:w="15" w:type="dxa"/>
              <w:left w:w="15" w:type="dxa"/>
              <w:right w:w="15" w:type="dxa"/>
            </w:tcMar>
            <w:vAlign w:val="center"/>
          </w:tcPr>
          <w:p w14:paraId="4C789086">
            <w:pPr>
              <w:adjustRightInd w:val="0"/>
              <w:snapToGrid w:val="0"/>
              <w:jc w:val="center"/>
              <w:textAlignment w:val="center"/>
              <w:rPr>
                <w:rFonts w:ascii="Times New Roman" w:hAnsi="Times New Roman" w:cs="Times New Roman"/>
                <w:color w:val="auto"/>
                <w:sz w:val="21"/>
                <w:lang w:eastAsia="zh-CN"/>
              </w:rPr>
            </w:pPr>
          </w:p>
        </w:tc>
        <w:tc>
          <w:tcPr>
            <w:tcW w:w="423" w:type="pct"/>
            <w:noWrap/>
            <w:tcMar>
              <w:top w:w="15" w:type="dxa"/>
              <w:left w:w="15" w:type="dxa"/>
              <w:right w:w="15" w:type="dxa"/>
            </w:tcMar>
            <w:vAlign w:val="center"/>
          </w:tcPr>
          <w:p w14:paraId="484D4231">
            <w:pPr>
              <w:adjustRightInd w:val="0"/>
              <w:snapToGrid w:val="0"/>
              <w:jc w:val="center"/>
              <w:textAlignment w:val="center"/>
              <w:rPr>
                <w:rFonts w:ascii="Times New Roman" w:hAnsi="Times New Roman" w:cs="Times New Roman"/>
                <w:color w:val="auto"/>
                <w:sz w:val="21"/>
                <w:lang w:eastAsia="zh-CN"/>
              </w:rPr>
            </w:pPr>
          </w:p>
        </w:tc>
        <w:tc>
          <w:tcPr>
            <w:tcW w:w="423" w:type="pct"/>
            <w:vAlign w:val="center"/>
          </w:tcPr>
          <w:p w14:paraId="56F11FA6">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54C03749">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0B751570">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25C4307F">
            <w:pPr>
              <w:adjustRightInd w:val="0"/>
              <w:snapToGrid w:val="0"/>
              <w:jc w:val="center"/>
              <w:textAlignment w:val="center"/>
              <w:rPr>
                <w:rFonts w:ascii="Times New Roman" w:hAnsi="Times New Roman" w:cs="Times New Roman"/>
                <w:color w:val="auto"/>
                <w:sz w:val="21"/>
                <w:lang w:eastAsia="zh-CN"/>
              </w:rPr>
            </w:pPr>
          </w:p>
        </w:tc>
        <w:tc>
          <w:tcPr>
            <w:tcW w:w="418" w:type="pct"/>
            <w:vAlign w:val="center"/>
          </w:tcPr>
          <w:p w14:paraId="72854490">
            <w:pPr>
              <w:adjustRightInd w:val="0"/>
              <w:snapToGrid w:val="0"/>
              <w:jc w:val="center"/>
              <w:textAlignment w:val="center"/>
              <w:rPr>
                <w:rFonts w:ascii="Times New Roman" w:hAnsi="Times New Roman" w:cs="Times New Roman"/>
                <w:color w:val="auto"/>
                <w:sz w:val="21"/>
                <w:lang w:eastAsia="zh-CN"/>
              </w:rPr>
            </w:pPr>
          </w:p>
        </w:tc>
      </w:tr>
      <w:tr w14:paraId="0831968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882" w:type="pct"/>
            <w:vMerge w:val="continue"/>
            <w:noWrap/>
            <w:tcMar>
              <w:top w:w="15" w:type="dxa"/>
              <w:left w:w="15" w:type="dxa"/>
              <w:right w:w="15" w:type="dxa"/>
            </w:tcMar>
            <w:vAlign w:val="center"/>
          </w:tcPr>
          <w:p w14:paraId="5D7FD80D">
            <w:pPr>
              <w:adjustRightInd w:val="0"/>
              <w:snapToGrid w:val="0"/>
              <w:jc w:val="center"/>
              <w:textAlignment w:val="center"/>
              <w:rPr>
                <w:rFonts w:ascii="Times New Roman" w:hAnsi="Times New Roman" w:cs="Times New Roman"/>
                <w:b/>
                <w:bCs/>
                <w:color w:val="auto"/>
                <w:sz w:val="21"/>
              </w:rPr>
            </w:pPr>
          </w:p>
        </w:tc>
        <w:tc>
          <w:tcPr>
            <w:tcW w:w="735" w:type="pct"/>
            <w:tcMar>
              <w:top w:w="15" w:type="dxa"/>
              <w:left w:w="15" w:type="dxa"/>
              <w:right w:w="15" w:type="dxa"/>
            </w:tcMar>
            <w:vAlign w:val="center"/>
          </w:tcPr>
          <w:p w14:paraId="0C905BF1">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rPr>
              <w:t>去除率</w:t>
            </w:r>
            <w:r>
              <w:rPr>
                <w:rFonts w:hint="eastAsia" w:ascii="Times New Roman" w:hAnsi="Times New Roman" w:cs="Times New Roman"/>
                <w:color w:val="auto"/>
                <w:sz w:val="21"/>
                <w:lang w:eastAsia="zh-CN"/>
              </w:rPr>
              <w:t>（</w:t>
            </w:r>
            <w:r>
              <w:rPr>
                <w:rFonts w:ascii="Times New Roman" w:hAnsi="Times New Roman" w:cs="Times New Roman"/>
                <w:color w:val="auto"/>
                <w:sz w:val="21"/>
              </w:rPr>
              <w:t>%</w:t>
            </w:r>
            <w:r>
              <w:rPr>
                <w:rFonts w:hint="eastAsia" w:ascii="Times New Roman" w:hAnsi="Times New Roman" w:cs="Times New Roman"/>
                <w:color w:val="auto"/>
                <w:sz w:val="21"/>
                <w:lang w:eastAsia="zh-CN"/>
              </w:rPr>
              <w:t>）</w:t>
            </w:r>
          </w:p>
        </w:tc>
        <w:tc>
          <w:tcPr>
            <w:tcW w:w="430" w:type="pct"/>
            <w:vMerge w:val="continue"/>
            <w:noWrap/>
            <w:tcMar>
              <w:top w:w="15" w:type="dxa"/>
              <w:left w:w="15" w:type="dxa"/>
              <w:right w:w="15" w:type="dxa"/>
            </w:tcMar>
            <w:vAlign w:val="center"/>
          </w:tcPr>
          <w:p w14:paraId="1923F1A3">
            <w:pPr>
              <w:adjustRightInd w:val="0"/>
              <w:snapToGrid w:val="0"/>
              <w:jc w:val="center"/>
              <w:textAlignment w:val="center"/>
              <w:rPr>
                <w:rFonts w:ascii="Times New Roman" w:hAnsi="Times New Roman" w:cs="Times New Roman"/>
                <w:b/>
                <w:bCs/>
                <w:color w:val="auto"/>
                <w:sz w:val="21"/>
              </w:rPr>
            </w:pPr>
          </w:p>
        </w:tc>
        <w:tc>
          <w:tcPr>
            <w:tcW w:w="423" w:type="pct"/>
            <w:noWrap/>
            <w:tcMar>
              <w:top w:w="15" w:type="dxa"/>
              <w:left w:w="15" w:type="dxa"/>
              <w:right w:w="15" w:type="dxa"/>
            </w:tcMar>
            <w:vAlign w:val="center"/>
          </w:tcPr>
          <w:p w14:paraId="12F9BFD4">
            <w:pPr>
              <w:adjustRightInd w:val="0"/>
              <w:snapToGrid w:val="0"/>
              <w:jc w:val="center"/>
              <w:textAlignment w:val="center"/>
              <w:rPr>
                <w:rFonts w:ascii="Times New Roman" w:hAnsi="Times New Roman" w:cs="Times New Roman"/>
                <w:color w:val="auto"/>
                <w:sz w:val="21"/>
                <w:lang w:eastAsia="zh-CN"/>
              </w:rPr>
            </w:pPr>
          </w:p>
        </w:tc>
        <w:tc>
          <w:tcPr>
            <w:tcW w:w="423" w:type="pct"/>
            <w:noWrap/>
            <w:tcMar>
              <w:top w:w="15" w:type="dxa"/>
              <w:left w:w="15" w:type="dxa"/>
              <w:right w:w="15" w:type="dxa"/>
            </w:tcMar>
            <w:vAlign w:val="center"/>
          </w:tcPr>
          <w:p w14:paraId="1240D1AE">
            <w:pPr>
              <w:adjustRightInd w:val="0"/>
              <w:snapToGrid w:val="0"/>
              <w:jc w:val="center"/>
              <w:textAlignment w:val="center"/>
              <w:rPr>
                <w:rFonts w:ascii="Times New Roman" w:hAnsi="Times New Roman" w:cs="Times New Roman"/>
                <w:color w:val="auto"/>
                <w:sz w:val="21"/>
                <w:lang w:eastAsia="zh-CN"/>
              </w:rPr>
            </w:pPr>
          </w:p>
        </w:tc>
        <w:tc>
          <w:tcPr>
            <w:tcW w:w="423" w:type="pct"/>
            <w:vAlign w:val="center"/>
          </w:tcPr>
          <w:p w14:paraId="5BB8B363">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774F8B72">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3A08FD3A">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05E773EA">
            <w:pPr>
              <w:adjustRightInd w:val="0"/>
              <w:snapToGrid w:val="0"/>
              <w:jc w:val="center"/>
              <w:textAlignment w:val="center"/>
              <w:rPr>
                <w:rFonts w:ascii="Times New Roman" w:hAnsi="Times New Roman" w:cs="Times New Roman"/>
                <w:color w:val="auto"/>
                <w:sz w:val="21"/>
                <w:lang w:eastAsia="zh-CN"/>
              </w:rPr>
            </w:pPr>
          </w:p>
        </w:tc>
        <w:tc>
          <w:tcPr>
            <w:tcW w:w="418" w:type="pct"/>
            <w:vAlign w:val="center"/>
          </w:tcPr>
          <w:p w14:paraId="1B568352">
            <w:pPr>
              <w:adjustRightInd w:val="0"/>
              <w:snapToGrid w:val="0"/>
              <w:jc w:val="center"/>
              <w:textAlignment w:val="center"/>
              <w:rPr>
                <w:rFonts w:ascii="Times New Roman" w:hAnsi="Times New Roman" w:cs="Times New Roman"/>
                <w:color w:val="auto"/>
                <w:sz w:val="21"/>
                <w:lang w:eastAsia="zh-CN"/>
              </w:rPr>
            </w:pPr>
          </w:p>
        </w:tc>
      </w:tr>
      <w:tr w14:paraId="40BAADA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882" w:type="pct"/>
            <w:vMerge w:val="continue"/>
            <w:noWrap/>
            <w:tcMar>
              <w:top w:w="15" w:type="dxa"/>
              <w:left w:w="15" w:type="dxa"/>
              <w:right w:w="15" w:type="dxa"/>
            </w:tcMar>
            <w:vAlign w:val="center"/>
          </w:tcPr>
          <w:p w14:paraId="2A683A44">
            <w:pPr>
              <w:adjustRightInd w:val="0"/>
              <w:snapToGrid w:val="0"/>
              <w:jc w:val="center"/>
              <w:textAlignment w:val="center"/>
              <w:rPr>
                <w:rFonts w:ascii="Times New Roman" w:hAnsi="Times New Roman" w:cs="Times New Roman"/>
                <w:b/>
                <w:bCs/>
                <w:color w:val="auto"/>
                <w:sz w:val="21"/>
              </w:rPr>
            </w:pPr>
          </w:p>
        </w:tc>
        <w:tc>
          <w:tcPr>
            <w:tcW w:w="735" w:type="pct"/>
            <w:tcMar>
              <w:top w:w="15" w:type="dxa"/>
              <w:left w:w="15" w:type="dxa"/>
              <w:right w:w="15" w:type="dxa"/>
            </w:tcMar>
            <w:vAlign w:val="center"/>
          </w:tcPr>
          <w:p w14:paraId="7B900948">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rPr>
              <w:t>出水水质</w:t>
            </w:r>
            <w:r>
              <w:rPr>
                <w:rFonts w:hint="eastAsia" w:ascii="Times New Roman" w:hAnsi="Times New Roman" w:cs="Times New Roman"/>
                <w:color w:val="auto"/>
                <w:sz w:val="21"/>
                <w:lang w:eastAsia="zh-CN"/>
              </w:rPr>
              <w:t>（</w:t>
            </w:r>
            <w:r>
              <w:rPr>
                <w:rFonts w:ascii="Times New Roman" w:hAnsi="Times New Roman" w:cs="Times New Roman"/>
                <w:color w:val="auto"/>
                <w:sz w:val="21"/>
              </w:rPr>
              <w:t>mg/L</w:t>
            </w:r>
            <w:r>
              <w:rPr>
                <w:rFonts w:hint="eastAsia" w:ascii="Times New Roman" w:hAnsi="Times New Roman" w:cs="Times New Roman"/>
                <w:color w:val="auto"/>
                <w:sz w:val="21"/>
                <w:lang w:eastAsia="zh-CN"/>
              </w:rPr>
              <w:t>）</w:t>
            </w:r>
          </w:p>
        </w:tc>
        <w:tc>
          <w:tcPr>
            <w:tcW w:w="430" w:type="pct"/>
            <w:vMerge w:val="continue"/>
            <w:noWrap/>
            <w:tcMar>
              <w:top w:w="15" w:type="dxa"/>
              <w:left w:w="15" w:type="dxa"/>
              <w:right w:w="15" w:type="dxa"/>
            </w:tcMar>
            <w:vAlign w:val="center"/>
          </w:tcPr>
          <w:p w14:paraId="5FC11367">
            <w:pPr>
              <w:adjustRightInd w:val="0"/>
              <w:snapToGrid w:val="0"/>
              <w:jc w:val="center"/>
              <w:textAlignment w:val="center"/>
              <w:rPr>
                <w:rFonts w:ascii="Times New Roman" w:hAnsi="Times New Roman" w:cs="Times New Roman"/>
                <w:b/>
                <w:bCs/>
                <w:color w:val="auto"/>
                <w:sz w:val="21"/>
              </w:rPr>
            </w:pPr>
          </w:p>
        </w:tc>
        <w:tc>
          <w:tcPr>
            <w:tcW w:w="423" w:type="pct"/>
            <w:noWrap/>
            <w:tcMar>
              <w:top w:w="15" w:type="dxa"/>
              <w:left w:w="15" w:type="dxa"/>
              <w:right w:w="15" w:type="dxa"/>
            </w:tcMar>
            <w:vAlign w:val="center"/>
          </w:tcPr>
          <w:p w14:paraId="0D124730">
            <w:pPr>
              <w:adjustRightInd w:val="0"/>
              <w:snapToGrid w:val="0"/>
              <w:jc w:val="center"/>
              <w:textAlignment w:val="center"/>
              <w:rPr>
                <w:rFonts w:ascii="Times New Roman" w:hAnsi="Times New Roman" w:cs="Times New Roman"/>
                <w:color w:val="auto"/>
                <w:sz w:val="21"/>
                <w:lang w:eastAsia="zh-CN"/>
              </w:rPr>
            </w:pPr>
          </w:p>
        </w:tc>
        <w:tc>
          <w:tcPr>
            <w:tcW w:w="423" w:type="pct"/>
            <w:noWrap/>
            <w:tcMar>
              <w:top w:w="15" w:type="dxa"/>
              <w:left w:w="15" w:type="dxa"/>
              <w:right w:w="15" w:type="dxa"/>
            </w:tcMar>
            <w:vAlign w:val="center"/>
          </w:tcPr>
          <w:p w14:paraId="1141BE14">
            <w:pPr>
              <w:adjustRightInd w:val="0"/>
              <w:snapToGrid w:val="0"/>
              <w:jc w:val="center"/>
              <w:textAlignment w:val="center"/>
              <w:rPr>
                <w:rFonts w:ascii="Times New Roman" w:hAnsi="Times New Roman" w:cs="Times New Roman"/>
                <w:color w:val="auto"/>
                <w:sz w:val="21"/>
                <w:lang w:eastAsia="zh-CN"/>
              </w:rPr>
            </w:pPr>
          </w:p>
        </w:tc>
        <w:tc>
          <w:tcPr>
            <w:tcW w:w="423" w:type="pct"/>
            <w:vAlign w:val="center"/>
          </w:tcPr>
          <w:p w14:paraId="2225BD3D">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051E675C">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6BBB137A">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02E70DF5">
            <w:pPr>
              <w:adjustRightInd w:val="0"/>
              <w:snapToGrid w:val="0"/>
              <w:jc w:val="center"/>
              <w:textAlignment w:val="center"/>
              <w:rPr>
                <w:rFonts w:ascii="Times New Roman" w:hAnsi="Times New Roman" w:cs="Times New Roman"/>
                <w:color w:val="auto"/>
                <w:sz w:val="21"/>
                <w:lang w:eastAsia="zh-CN"/>
              </w:rPr>
            </w:pPr>
          </w:p>
        </w:tc>
        <w:tc>
          <w:tcPr>
            <w:tcW w:w="418" w:type="pct"/>
            <w:vAlign w:val="center"/>
          </w:tcPr>
          <w:p w14:paraId="750F335D">
            <w:pPr>
              <w:adjustRightInd w:val="0"/>
              <w:snapToGrid w:val="0"/>
              <w:jc w:val="center"/>
              <w:textAlignment w:val="center"/>
              <w:rPr>
                <w:rFonts w:ascii="Times New Roman" w:hAnsi="Times New Roman" w:cs="Times New Roman"/>
                <w:color w:val="auto"/>
                <w:sz w:val="21"/>
                <w:lang w:eastAsia="zh-CN"/>
              </w:rPr>
            </w:pPr>
          </w:p>
        </w:tc>
      </w:tr>
      <w:tr w14:paraId="6754B78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882" w:type="pct"/>
            <w:vMerge w:val="restart"/>
            <w:noWrap/>
            <w:tcMar>
              <w:top w:w="15" w:type="dxa"/>
              <w:left w:w="15" w:type="dxa"/>
              <w:right w:w="15" w:type="dxa"/>
            </w:tcMar>
            <w:vAlign w:val="center"/>
          </w:tcPr>
          <w:p w14:paraId="6D657E06">
            <w:pPr>
              <w:adjustRightInd w:val="0"/>
              <w:snapToGrid w:val="0"/>
              <w:jc w:val="center"/>
              <w:textAlignment w:val="center"/>
              <w:rPr>
                <w:rFonts w:ascii="Times New Roman" w:hAnsi="Times New Roman" w:cs="Times New Roman"/>
                <w:bCs/>
                <w:color w:val="auto"/>
                <w:sz w:val="21"/>
                <w:lang w:eastAsia="zh-CN"/>
              </w:rPr>
            </w:pPr>
            <w:r>
              <w:rPr>
                <w:rFonts w:hint="eastAsia" w:ascii="Times New Roman" w:hAnsi="Times New Roman" w:cs="Times New Roman"/>
                <w:bCs/>
                <w:color w:val="auto"/>
                <w:sz w:val="21"/>
                <w:lang w:eastAsia="zh-CN"/>
              </w:rPr>
              <w:t>第三</w:t>
            </w:r>
            <w:r>
              <w:rPr>
                <w:rFonts w:ascii="Times New Roman" w:hAnsi="Times New Roman" w:cs="Times New Roman"/>
                <w:bCs/>
                <w:color w:val="auto"/>
                <w:sz w:val="21"/>
                <w:lang w:eastAsia="zh-CN"/>
              </w:rPr>
              <w:t>级除氟反应池</w:t>
            </w:r>
          </w:p>
          <w:p w14:paraId="0F86414F">
            <w:pPr>
              <w:adjustRightInd w:val="0"/>
              <w:snapToGrid w:val="0"/>
              <w:jc w:val="center"/>
              <w:textAlignment w:val="center"/>
              <w:rPr>
                <w:rFonts w:ascii="Times New Roman" w:hAnsi="Times New Roman" w:cs="Times New Roman"/>
                <w:color w:val="auto"/>
                <w:sz w:val="21"/>
                <w:lang w:eastAsia="zh-CN"/>
              </w:rPr>
            </w:pPr>
            <w:r>
              <w:rPr>
                <w:rFonts w:hint="eastAsia" w:ascii="Times New Roman" w:hAnsi="Times New Roman" w:cs="Times New Roman"/>
                <w:bCs/>
                <w:color w:val="auto"/>
                <w:sz w:val="21"/>
                <w:lang w:eastAsia="zh-CN"/>
              </w:rPr>
              <w:t>+第三级</w:t>
            </w:r>
            <w:r>
              <w:rPr>
                <w:rFonts w:ascii="Times New Roman" w:hAnsi="Times New Roman" w:cs="Times New Roman"/>
                <w:bCs/>
                <w:color w:val="auto"/>
                <w:sz w:val="21"/>
                <w:lang w:eastAsia="zh-CN"/>
              </w:rPr>
              <w:t>除</w:t>
            </w:r>
            <w:r>
              <w:rPr>
                <w:rFonts w:hint="eastAsia" w:ascii="Times New Roman" w:hAnsi="Times New Roman" w:cs="Times New Roman"/>
                <w:bCs/>
                <w:color w:val="auto"/>
                <w:sz w:val="21"/>
                <w:lang w:eastAsia="zh-CN"/>
              </w:rPr>
              <w:t>氟沉淀池</w:t>
            </w:r>
          </w:p>
        </w:tc>
        <w:tc>
          <w:tcPr>
            <w:tcW w:w="735" w:type="pct"/>
            <w:tcMar>
              <w:top w:w="15" w:type="dxa"/>
              <w:left w:w="15" w:type="dxa"/>
              <w:right w:w="15" w:type="dxa"/>
            </w:tcMar>
            <w:vAlign w:val="center"/>
          </w:tcPr>
          <w:p w14:paraId="2C8426A7">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rPr>
              <w:t>进水水质</w:t>
            </w:r>
            <w:r>
              <w:rPr>
                <w:rFonts w:hint="eastAsia" w:ascii="Times New Roman" w:hAnsi="Times New Roman" w:cs="Times New Roman"/>
                <w:color w:val="auto"/>
                <w:sz w:val="21"/>
                <w:lang w:eastAsia="zh-CN"/>
              </w:rPr>
              <w:t>（</w:t>
            </w:r>
            <w:r>
              <w:rPr>
                <w:rFonts w:ascii="Times New Roman" w:hAnsi="Times New Roman" w:cs="Times New Roman"/>
                <w:color w:val="auto"/>
                <w:sz w:val="21"/>
              </w:rPr>
              <w:t>mg/L</w:t>
            </w:r>
            <w:r>
              <w:rPr>
                <w:rFonts w:hint="eastAsia" w:ascii="Times New Roman" w:hAnsi="Times New Roman" w:cs="Times New Roman"/>
                <w:color w:val="auto"/>
                <w:sz w:val="21"/>
                <w:lang w:eastAsia="zh-CN"/>
              </w:rPr>
              <w:t>）</w:t>
            </w:r>
          </w:p>
        </w:tc>
        <w:tc>
          <w:tcPr>
            <w:tcW w:w="430" w:type="pct"/>
            <w:vMerge w:val="restart"/>
            <w:noWrap/>
            <w:tcMar>
              <w:top w:w="15" w:type="dxa"/>
              <w:left w:w="15" w:type="dxa"/>
              <w:right w:w="15" w:type="dxa"/>
            </w:tcMar>
            <w:vAlign w:val="center"/>
          </w:tcPr>
          <w:p w14:paraId="64CB9BEC">
            <w:pPr>
              <w:adjustRightInd w:val="0"/>
              <w:snapToGrid w:val="0"/>
              <w:jc w:val="center"/>
              <w:textAlignment w:val="center"/>
              <w:rPr>
                <w:rFonts w:ascii="Times New Roman" w:hAnsi="Times New Roman" w:cs="Times New Roman"/>
                <w:b/>
                <w:bCs/>
                <w:color w:val="auto"/>
                <w:sz w:val="21"/>
                <w:lang w:eastAsia="zh-CN"/>
              </w:rPr>
            </w:pPr>
          </w:p>
        </w:tc>
        <w:tc>
          <w:tcPr>
            <w:tcW w:w="423" w:type="pct"/>
            <w:noWrap/>
            <w:tcMar>
              <w:top w:w="15" w:type="dxa"/>
              <w:left w:w="15" w:type="dxa"/>
              <w:right w:w="15" w:type="dxa"/>
            </w:tcMar>
            <w:vAlign w:val="center"/>
          </w:tcPr>
          <w:p w14:paraId="7229A2F8">
            <w:pPr>
              <w:adjustRightInd w:val="0"/>
              <w:snapToGrid w:val="0"/>
              <w:jc w:val="center"/>
              <w:textAlignment w:val="center"/>
              <w:rPr>
                <w:rFonts w:ascii="Times New Roman" w:hAnsi="Times New Roman" w:cs="Times New Roman"/>
                <w:color w:val="auto"/>
                <w:sz w:val="21"/>
                <w:lang w:eastAsia="zh-CN"/>
              </w:rPr>
            </w:pPr>
          </w:p>
        </w:tc>
        <w:tc>
          <w:tcPr>
            <w:tcW w:w="423" w:type="pct"/>
            <w:noWrap/>
            <w:tcMar>
              <w:top w:w="15" w:type="dxa"/>
              <w:left w:w="15" w:type="dxa"/>
              <w:right w:w="15" w:type="dxa"/>
            </w:tcMar>
            <w:vAlign w:val="center"/>
          </w:tcPr>
          <w:p w14:paraId="425DF60F">
            <w:pPr>
              <w:adjustRightInd w:val="0"/>
              <w:snapToGrid w:val="0"/>
              <w:jc w:val="center"/>
              <w:textAlignment w:val="center"/>
              <w:rPr>
                <w:rFonts w:ascii="Times New Roman" w:hAnsi="Times New Roman" w:cs="Times New Roman"/>
                <w:color w:val="auto"/>
                <w:sz w:val="21"/>
                <w:lang w:eastAsia="zh-CN"/>
              </w:rPr>
            </w:pPr>
          </w:p>
        </w:tc>
        <w:tc>
          <w:tcPr>
            <w:tcW w:w="423" w:type="pct"/>
            <w:vAlign w:val="center"/>
          </w:tcPr>
          <w:p w14:paraId="29B581EE">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2D30ABA7">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0A3CDCD8">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5BF0EE82">
            <w:pPr>
              <w:adjustRightInd w:val="0"/>
              <w:snapToGrid w:val="0"/>
              <w:jc w:val="center"/>
              <w:textAlignment w:val="center"/>
              <w:rPr>
                <w:rFonts w:ascii="Times New Roman" w:hAnsi="Times New Roman" w:cs="Times New Roman"/>
                <w:color w:val="auto"/>
                <w:sz w:val="21"/>
                <w:lang w:eastAsia="zh-CN"/>
              </w:rPr>
            </w:pPr>
          </w:p>
        </w:tc>
        <w:tc>
          <w:tcPr>
            <w:tcW w:w="418" w:type="pct"/>
            <w:vAlign w:val="center"/>
          </w:tcPr>
          <w:p w14:paraId="44FAD93A">
            <w:pPr>
              <w:adjustRightInd w:val="0"/>
              <w:snapToGrid w:val="0"/>
              <w:jc w:val="center"/>
              <w:textAlignment w:val="center"/>
              <w:rPr>
                <w:rFonts w:ascii="Times New Roman" w:hAnsi="Times New Roman" w:cs="Times New Roman"/>
                <w:color w:val="auto"/>
                <w:sz w:val="21"/>
                <w:lang w:eastAsia="zh-CN"/>
              </w:rPr>
            </w:pPr>
          </w:p>
        </w:tc>
      </w:tr>
      <w:tr w14:paraId="63EE831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882" w:type="pct"/>
            <w:vMerge w:val="continue"/>
            <w:noWrap/>
            <w:tcMar>
              <w:top w:w="15" w:type="dxa"/>
              <w:left w:w="15" w:type="dxa"/>
              <w:right w:w="15" w:type="dxa"/>
            </w:tcMar>
            <w:vAlign w:val="center"/>
          </w:tcPr>
          <w:p w14:paraId="3812B141">
            <w:pPr>
              <w:adjustRightInd w:val="0"/>
              <w:snapToGrid w:val="0"/>
              <w:jc w:val="center"/>
              <w:textAlignment w:val="center"/>
              <w:rPr>
                <w:rFonts w:ascii="Times New Roman" w:hAnsi="Times New Roman" w:cs="Times New Roman"/>
                <w:b/>
                <w:bCs/>
                <w:color w:val="auto"/>
                <w:sz w:val="21"/>
                <w:lang w:eastAsia="zh-CN"/>
              </w:rPr>
            </w:pPr>
          </w:p>
        </w:tc>
        <w:tc>
          <w:tcPr>
            <w:tcW w:w="735" w:type="pct"/>
            <w:tcMar>
              <w:top w:w="15" w:type="dxa"/>
              <w:left w:w="15" w:type="dxa"/>
              <w:right w:w="15" w:type="dxa"/>
            </w:tcMar>
            <w:vAlign w:val="center"/>
          </w:tcPr>
          <w:p w14:paraId="4026EF51">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rPr>
              <w:t>去除率</w:t>
            </w:r>
            <w:r>
              <w:rPr>
                <w:rFonts w:hint="eastAsia" w:ascii="Times New Roman" w:hAnsi="Times New Roman" w:cs="Times New Roman"/>
                <w:color w:val="auto"/>
                <w:sz w:val="21"/>
                <w:lang w:eastAsia="zh-CN"/>
              </w:rPr>
              <w:t>（</w:t>
            </w:r>
            <w:r>
              <w:rPr>
                <w:rFonts w:ascii="Times New Roman" w:hAnsi="Times New Roman" w:cs="Times New Roman"/>
                <w:color w:val="auto"/>
                <w:sz w:val="21"/>
              </w:rPr>
              <w:t>%</w:t>
            </w:r>
            <w:r>
              <w:rPr>
                <w:rFonts w:hint="eastAsia" w:ascii="Times New Roman" w:hAnsi="Times New Roman" w:cs="Times New Roman"/>
                <w:color w:val="auto"/>
                <w:sz w:val="21"/>
                <w:lang w:eastAsia="zh-CN"/>
              </w:rPr>
              <w:t>）</w:t>
            </w:r>
          </w:p>
        </w:tc>
        <w:tc>
          <w:tcPr>
            <w:tcW w:w="430" w:type="pct"/>
            <w:vMerge w:val="continue"/>
            <w:noWrap/>
            <w:tcMar>
              <w:top w:w="15" w:type="dxa"/>
              <w:left w:w="15" w:type="dxa"/>
              <w:right w:w="15" w:type="dxa"/>
            </w:tcMar>
            <w:vAlign w:val="center"/>
          </w:tcPr>
          <w:p w14:paraId="30B7D510">
            <w:pPr>
              <w:adjustRightInd w:val="0"/>
              <w:snapToGrid w:val="0"/>
              <w:jc w:val="center"/>
              <w:textAlignment w:val="center"/>
              <w:rPr>
                <w:rFonts w:ascii="Times New Roman" w:hAnsi="Times New Roman" w:cs="Times New Roman"/>
                <w:b/>
                <w:bCs/>
                <w:color w:val="auto"/>
                <w:sz w:val="21"/>
                <w:lang w:eastAsia="zh-CN"/>
              </w:rPr>
            </w:pPr>
          </w:p>
        </w:tc>
        <w:tc>
          <w:tcPr>
            <w:tcW w:w="423" w:type="pct"/>
            <w:noWrap/>
            <w:tcMar>
              <w:top w:w="15" w:type="dxa"/>
              <w:left w:w="15" w:type="dxa"/>
              <w:right w:w="15" w:type="dxa"/>
            </w:tcMar>
            <w:vAlign w:val="center"/>
          </w:tcPr>
          <w:p w14:paraId="17758A1A">
            <w:pPr>
              <w:adjustRightInd w:val="0"/>
              <w:snapToGrid w:val="0"/>
              <w:jc w:val="center"/>
              <w:textAlignment w:val="center"/>
              <w:rPr>
                <w:rFonts w:ascii="Times New Roman" w:hAnsi="Times New Roman" w:cs="Times New Roman"/>
                <w:color w:val="auto"/>
                <w:sz w:val="21"/>
                <w:lang w:eastAsia="zh-CN"/>
              </w:rPr>
            </w:pPr>
          </w:p>
        </w:tc>
        <w:tc>
          <w:tcPr>
            <w:tcW w:w="423" w:type="pct"/>
            <w:noWrap/>
            <w:tcMar>
              <w:top w:w="15" w:type="dxa"/>
              <w:left w:w="15" w:type="dxa"/>
              <w:right w:w="15" w:type="dxa"/>
            </w:tcMar>
            <w:vAlign w:val="center"/>
          </w:tcPr>
          <w:p w14:paraId="133FBF45">
            <w:pPr>
              <w:adjustRightInd w:val="0"/>
              <w:snapToGrid w:val="0"/>
              <w:jc w:val="center"/>
              <w:textAlignment w:val="center"/>
              <w:rPr>
                <w:rFonts w:ascii="Times New Roman" w:hAnsi="Times New Roman" w:cs="Times New Roman"/>
                <w:color w:val="auto"/>
                <w:sz w:val="21"/>
                <w:lang w:eastAsia="zh-CN"/>
              </w:rPr>
            </w:pPr>
          </w:p>
        </w:tc>
        <w:tc>
          <w:tcPr>
            <w:tcW w:w="423" w:type="pct"/>
            <w:vAlign w:val="center"/>
          </w:tcPr>
          <w:p w14:paraId="0F9979E9">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12565568">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6F81A8C5">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5C347A10">
            <w:pPr>
              <w:adjustRightInd w:val="0"/>
              <w:snapToGrid w:val="0"/>
              <w:jc w:val="center"/>
              <w:textAlignment w:val="center"/>
              <w:rPr>
                <w:rFonts w:ascii="Times New Roman" w:hAnsi="Times New Roman" w:cs="Times New Roman"/>
                <w:color w:val="auto"/>
                <w:sz w:val="21"/>
                <w:lang w:eastAsia="zh-CN"/>
              </w:rPr>
            </w:pPr>
          </w:p>
        </w:tc>
        <w:tc>
          <w:tcPr>
            <w:tcW w:w="418" w:type="pct"/>
            <w:vAlign w:val="center"/>
          </w:tcPr>
          <w:p w14:paraId="643B9240">
            <w:pPr>
              <w:adjustRightInd w:val="0"/>
              <w:snapToGrid w:val="0"/>
              <w:jc w:val="center"/>
              <w:textAlignment w:val="center"/>
              <w:rPr>
                <w:rFonts w:ascii="Times New Roman" w:hAnsi="Times New Roman" w:cs="Times New Roman"/>
                <w:color w:val="auto"/>
                <w:sz w:val="21"/>
                <w:lang w:eastAsia="zh-CN"/>
              </w:rPr>
            </w:pPr>
          </w:p>
        </w:tc>
      </w:tr>
      <w:tr w14:paraId="0E857B6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882" w:type="pct"/>
            <w:vMerge w:val="continue"/>
            <w:noWrap/>
            <w:tcMar>
              <w:top w:w="15" w:type="dxa"/>
              <w:left w:w="15" w:type="dxa"/>
              <w:right w:w="15" w:type="dxa"/>
            </w:tcMar>
            <w:vAlign w:val="center"/>
          </w:tcPr>
          <w:p w14:paraId="50290D7C">
            <w:pPr>
              <w:adjustRightInd w:val="0"/>
              <w:snapToGrid w:val="0"/>
              <w:jc w:val="center"/>
              <w:textAlignment w:val="center"/>
              <w:rPr>
                <w:rFonts w:ascii="Times New Roman" w:hAnsi="Times New Roman" w:cs="Times New Roman"/>
                <w:b/>
                <w:bCs/>
                <w:color w:val="auto"/>
                <w:sz w:val="21"/>
                <w:lang w:eastAsia="zh-CN"/>
              </w:rPr>
            </w:pPr>
          </w:p>
        </w:tc>
        <w:tc>
          <w:tcPr>
            <w:tcW w:w="735" w:type="pct"/>
            <w:tcMar>
              <w:top w:w="15" w:type="dxa"/>
              <w:left w:w="15" w:type="dxa"/>
              <w:right w:w="15" w:type="dxa"/>
            </w:tcMar>
            <w:vAlign w:val="center"/>
          </w:tcPr>
          <w:p w14:paraId="51F723FD">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rPr>
              <w:t>出水水质</w:t>
            </w:r>
            <w:r>
              <w:rPr>
                <w:rFonts w:hint="eastAsia" w:ascii="Times New Roman" w:hAnsi="Times New Roman" w:cs="Times New Roman"/>
                <w:color w:val="auto"/>
                <w:sz w:val="21"/>
                <w:lang w:eastAsia="zh-CN"/>
              </w:rPr>
              <w:t>（</w:t>
            </w:r>
            <w:r>
              <w:rPr>
                <w:rFonts w:ascii="Times New Roman" w:hAnsi="Times New Roman" w:cs="Times New Roman"/>
                <w:color w:val="auto"/>
                <w:sz w:val="21"/>
              </w:rPr>
              <w:t>mg/L</w:t>
            </w:r>
            <w:r>
              <w:rPr>
                <w:rFonts w:hint="eastAsia" w:ascii="Times New Roman" w:hAnsi="Times New Roman" w:cs="Times New Roman"/>
                <w:color w:val="auto"/>
                <w:sz w:val="21"/>
                <w:lang w:eastAsia="zh-CN"/>
              </w:rPr>
              <w:t>）</w:t>
            </w:r>
          </w:p>
        </w:tc>
        <w:tc>
          <w:tcPr>
            <w:tcW w:w="430" w:type="pct"/>
            <w:vMerge w:val="continue"/>
            <w:noWrap/>
            <w:tcMar>
              <w:top w:w="15" w:type="dxa"/>
              <w:left w:w="15" w:type="dxa"/>
              <w:right w:w="15" w:type="dxa"/>
            </w:tcMar>
            <w:vAlign w:val="center"/>
          </w:tcPr>
          <w:p w14:paraId="112C87DD">
            <w:pPr>
              <w:adjustRightInd w:val="0"/>
              <w:snapToGrid w:val="0"/>
              <w:jc w:val="center"/>
              <w:textAlignment w:val="center"/>
              <w:rPr>
                <w:rFonts w:ascii="Times New Roman" w:hAnsi="Times New Roman" w:cs="Times New Roman"/>
                <w:b/>
                <w:bCs/>
                <w:color w:val="auto"/>
                <w:sz w:val="21"/>
                <w:lang w:eastAsia="zh-CN"/>
              </w:rPr>
            </w:pPr>
          </w:p>
        </w:tc>
        <w:tc>
          <w:tcPr>
            <w:tcW w:w="423" w:type="pct"/>
            <w:noWrap/>
            <w:tcMar>
              <w:top w:w="15" w:type="dxa"/>
              <w:left w:w="15" w:type="dxa"/>
              <w:right w:w="15" w:type="dxa"/>
            </w:tcMar>
            <w:vAlign w:val="center"/>
          </w:tcPr>
          <w:p w14:paraId="7464F2C9">
            <w:pPr>
              <w:adjustRightInd w:val="0"/>
              <w:snapToGrid w:val="0"/>
              <w:jc w:val="center"/>
              <w:textAlignment w:val="center"/>
              <w:rPr>
                <w:rFonts w:ascii="Times New Roman" w:hAnsi="Times New Roman" w:cs="Times New Roman"/>
                <w:color w:val="auto"/>
                <w:sz w:val="21"/>
                <w:lang w:eastAsia="zh-CN"/>
              </w:rPr>
            </w:pPr>
          </w:p>
        </w:tc>
        <w:tc>
          <w:tcPr>
            <w:tcW w:w="423" w:type="pct"/>
            <w:noWrap/>
            <w:tcMar>
              <w:top w:w="15" w:type="dxa"/>
              <w:left w:w="15" w:type="dxa"/>
              <w:right w:w="15" w:type="dxa"/>
            </w:tcMar>
            <w:vAlign w:val="center"/>
          </w:tcPr>
          <w:p w14:paraId="5FC3107D">
            <w:pPr>
              <w:adjustRightInd w:val="0"/>
              <w:snapToGrid w:val="0"/>
              <w:jc w:val="center"/>
              <w:textAlignment w:val="center"/>
              <w:rPr>
                <w:rFonts w:ascii="Times New Roman" w:hAnsi="Times New Roman" w:cs="Times New Roman"/>
                <w:color w:val="auto"/>
                <w:sz w:val="21"/>
                <w:lang w:eastAsia="zh-CN"/>
              </w:rPr>
            </w:pPr>
          </w:p>
        </w:tc>
        <w:tc>
          <w:tcPr>
            <w:tcW w:w="423" w:type="pct"/>
            <w:vAlign w:val="center"/>
          </w:tcPr>
          <w:p w14:paraId="595C74D5">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358BEE57">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65D66006">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6C2EB4B2">
            <w:pPr>
              <w:adjustRightInd w:val="0"/>
              <w:snapToGrid w:val="0"/>
              <w:jc w:val="center"/>
              <w:textAlignment w:val="center"/>
              <w:rPr>
                <w:rFonts w:ascii="Times New Roman" w:hAnsi="Times New Roman" w:cs="Times New Roman"/>
                <w:color w:val="auto"/>
                <w:sz w:val="21"/>
                <w:lang w:eastAsia="zh-CN"/>
              </w:rPr>
            </w:pPr>
          </w:p>
        </w:tc>
        <w:tc>
          <w:tcPr>
            <w:tcW w:w="418" w:type="pct"/>
            <w:vAlign w:val="center"/>
          </w:tcPr>
          <w:p w14:paraId="56D70DCB">
            <w:pPr>
              <w:adjustRightInd w:val="0"/>
              <w:snapToGrid w:val="0"/>
              <w:jc w:val="center"/>
              <w:textAlignment w:val="center"/>
              <w:rPr>
                <w:rFonts w:ascii="Times New Roman" w:hAnsi="Times New Roman" w:cs="Times New Roman"/>
                <w:color w:val="auto"/>
                <w:sz w:val="21"/>
                <w:lang w:eastAsia="zh-CN"/>
              </w:rPr>
            </w:pPr>
          </w:p>
        </w:tc>
      </w:tr>
      <w:tr w14:paraId="4A12C41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882" w:type="pct"/>
            <w:vMerge w:val="restart"/>
            <w:noWrap/>
            <w:tcMar>
              <w:top w:w="15" w:type="dxa"/>
              <w:left w:w="15" w:type="dxa"/>
              <w:right w:w="15" w:type="dxa"/>
            </w:tcMar>
            <w:vAlign w:val="center"/>
          </w:tcPr>
          <w:p w14:paraId="67097AA4">
            <w:pPr>
              <w:adjustRightInd w:val="0"/>
              <w:snapToGrid w:val="0"/>
              <w:jc w:val="center"/>
              <w:textAlignment w:val="center"/>
              <w:rPr>
                <w:rFonts w:ascii="Times New Roman" w:hAnsi="Times New Roman" w:cs="Times New Roman"/>
                <w:bCs/>
                <w:color w:val="auto"/>
                <w:sz w:val="21"/>
                <w:lang w:eastAsia="zh-CN"/>
              </w:rPr>
            </w:pPr>
            <w:r>
              <w:rPr>
                <w:rFonts w:hint="eastAsia" w:ascii="Times New Roman" w:hAnsi="Times New Roman" w:cs="Times New Roman"/>
                <w:bCs/>
                <w:color w:val="auto"/>
                <w:sz w:val="21"/>
                <w:lang w:eastAsia="zh-CN"/>
              </w:rPr>
              <w:t>第四</w:t>
            </w:r>
            <w:r>
              <w:rPr>
                <w:rFonts w:ascii="Times New Roman" w:hAnsi="Times New Roman" w:cs="Times New Roman"/>
                <w:bCs/>
                <w:color w:val="auto"/>
                <w:sz w:val="21"/>
                <w:lang w:eastAsia="zh-CN"/>
              </w:rPr>
              <w:t>级除氟反应池</w:t>
            </w:r>
          </w:p>
          <w:p w14:paraId="3BB9618F">
            <w:pPr>
              <w:adjustRightInd w:val="0"/>
              <w:snapToGrid w:val="0"/>
              <w:jc w:val="center"/>
              <w:textAlignment w:val="center"/>
              <w:rPr>
                <w:rFonts w:ascii="Times New Roman" w:hAnsi="Times New Roman" w:cs="Times New Roman"/>
                <w:b/>
                <w:bCs/>
                <w:color w:val="auto"/>
                <w:sz w:val="21"/>
                <w:lang w:eastAsia="zh-CN"/>
              </w:rPr>
            </w:pPr>
            <w:r>
              <w:rPr>
                <w:rFonts w:hint="eastAsia" w:ascii="Times New Roman" w:hAnsi="Times New Roman" w:cs="Times New Roman"/>
                <w:bCs/>
                <w:color w:val="auto"/>
                <w:sz w:val="21"/>
                <w:lang w:eastAsia="zh-CN"/>
              </w:rPr>
              <w:t>+第四级</w:t>
            </w:r>
            <w:r>
              <w:rPr>
                <w:rFonts w:ascii="Times New Roman" w:hAnsi="Times New Roman" w:cs="Times New Roman"/>
                <w:bCs/>
                <w:color w:val="auto"/>
                <w:sz w:val="21"/>
                <w:lang w:eastAsia="zh-CN"/>
              </w:rPr>
              <w:t>除</w:t>
            </w:r>
            <w:r>
              <w:rPr>
                <w:rFonts w:hint="eastAsia" w:ascii="Times New Roman" w:hAnsi="Times New Roman" w:cs="Times New Roman"/>
                <w:bCs/>
                <w:color w:val="auto"/>
                <w:sz w:val="21"/>
                <w:lang w:eastAsia="zh-CN"/>
              </w:rPr>
              <w:t>氟沉淀池</w:t>
            </w:r>
          </w:p>
        </w:tc>
        <w:tc>
          <w:tcPr>
            <w:tcW w:w="735" w:type="pct"/>
            <w:tcMar>
              <w:top w:w="15" w:type="dxa"/>
              <w:left w:w="15" w:type="dxa"/>
              <w:right w:w="15" w:type="dxa"/>
            </w:tcMar>
            <w:vAlign w:val="center"/>
          </w:tcPr>
          <w:p w14:paraId="51E08D1B">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rPr>
              <w:t>进水水质</w:t>
            </w:r>
            <w:r>
              <w:rPr>
                <w:rFonts w:hint="eastAsia" w:ascii="Times New Roman" w:hAnsi="Times New Roman" w:cs="Times New Roman"/>
                <w:color w:val="auto"/>
                <w:sz w:val="21"/>
                <w:lang w:eastAsia="zh-CN"/>
              </w:rPr>
              <w:t>（</w:t>
            </w:r>
            <w:r>
              <w:rPr>
                <w:rFonts w:ascii="Times New Roman" w:hAnsi="Times New Roman" w:cs="Times New Roman"/>
                <w:color w:val="auto"/>
                <w:sz w:val="21"/>
              </w:rPr>
              <w:t>mg/L</w:t>
            </w:r>
            <w:r>
              <w:rPr>
                <w:rFonts w:hint="eastAsia" w:ascii="Times New Roman" w:hAnsi="Times New Roman" w:cs="Times New Roman"/>
                <w:color w:val="auto"/>
                <w:sz w:val="21"/>
                <w:lang w:eastAsia="zh-CN"/>
              </w:rPr>
              <w:t>）</w:t>
            </w:r>
          </w:p>
        </w:tc>
        <w:tc>
          <w:tcPr>
            <w:tcW w:w="430" w:type="pct"/>
            <w:vMerge w:val="restart"/>
            <w:noWrap/>
            <w:tcMar>
              <w:top w:w="15" w:type="dxa"/>
              <w:left w:w="15" w:type="dxa"/>
              <w:right w:w="15" w:type="dxa"/>
            </w:tcMar>
            <w:vAlign w:val="center"/>
          </w:tcPr>
          <w:p w14:paraId="2E921CB3">
            <w:pPr>
              <w:adjustRightInd w:val="0"/>
              <w:snapToGrid w:val="0"/>
              <w:jc w:val="center"/>
              <w:textAlignment w:val="center"/>
              <w:rPr>
                <w:rFonts w:ascii="Times New Roman" w:hAnsi="Times New Roman" w:cs="Times New Roman"/>
                <w:b/>
                <w:bCs/>
                <w:color w:val="auto"/>
                <w:sz w:val="21"/>
                <w:lang w:eastAsia="zh-CN"/>
              </w:rPr>
            </w:pPr>
          </w:p>
        </w:tc>
        <w:tc>
          <w:tcPr>
            <w:tcW w:w="423" w:type="pct"/>
            <w:noWrap/>
            <w:tcMar>
              <w:top w:w="15" w:type="dxa"/>
              <w:left w:w="15" w:type="dxa"/>
              <w:right w:w="15" w:type="dxa"/>
            </w:tcMar>
            <w:vAlign w:val="center"/>
          </w:tcPr>
          <w:p w14:paraId="3663DB57">
            <w:pPr>
              <w:adjustRightInd w:val="0"/>
              <w:snapToGrid w:val="0"/>
              <w:jc w:val="center"/>
              <w:textAlignment w:val="center"/>
              <w:rPr>
                <w:rFonts w:ascii="Times New Roman" w:hAnsi="Times New Roman" w:cs="Times New Roman"/>
                <w:color w:val="auto"/>
                <w:sz w:val="21"/>
                <w:lang w:eastAsia="zh-CN"/>
              </w:rPr>
            </w:pPr>
          </w:p>
        </w:tc>
        <w:tc>
          <w:tcPr>
            <w:tcW w:w="423" w:type="pct"/>
            <w:noWrap/>
            <w:tcMar>
              <w:top w:w="15" w:type="dxa"/>
              <w:left w:w="15" w:type="dxa"/>
              <w:right w:w="15" w:type="dxa"/>
            </w:tcMar>
            <w:vAlign w:val="center"/>
          </w:tcPr>
          <w:p w14:paraId="2FE26A0E">
            <w:pPr>
              <w:adjustRightInd w:val="0"/>
              <w:snapToGrid w:val="0"/>
              <w:jc w:val="center"/>
              <w:textAlignment w:val="center"/>
              <w:rPr>
                <w:rFonts w:ascii="Times New Roman" w:hAnsi="Times New Roman" w:cs="Times New Roman"/>
                <w:color w:val="auto"/>
                <w:sz w:val="21"/>
                <w:lang w:eastAsia="zh-CN"/>
              </w:rPr>
            </w:pPr>
          </w:p>
        </w:tc>
        <w:tc>
          <w:tcPr>
            <w:tcW w:w="423" w:type="pct"/>
            <w:vAlign w:val="center"/>
          </w:tcPr>
          <w:p w14:paraId="1C0B5F93">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7B5E3EA0">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6995711D">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25216271">
            <w:pPr>
              <w:adjustRightInd w:val="0"/>
              <w:snapToGrid w:val="0"/>
              <w:jc w:val="center"/>
              <w:textAlignment w:val="center"/>
              <w:rPr>
                <w:rFonts w:ascii="Times New Roman" w:hAnsi="Times New Roman" w:cs="Times New Roman"/>
                <w:color w:val="auto"/>
                <w:sz w:val="21"/>
                <w:lang w:eastAsia="zh-CN"/>
              </w:rPr>
            </w:pPr>
          </w:p>
        </w:tc>
        <w:tc>
          <w:tcPr>
            <w:tcW w:w="418" w:type="pct"/>
            <w:vAlign w:val="center"/>
          </w:tcPr>
          <w:p w14:paraId="0CCA5B07">
            <w:pPr>
              <w:adjustRightInd w:val="0"/>
              <w:snapToGrid w:val="0"/>
              <w:jc w:val="center"/>
              <w:textAlignment w:val="center"/>
              <w:rPr>
                <w:rFonts w:ascii="Times New Roman" w:hAnsi="Times New Roman" w:cs="Times New Roman"/>
                <w:color w:val="auto"/>
                <w:sz w:val="21"/>
                <w:lang w:eastAsia="zh-CN"/>
              </w:rPr>
            </w:pPr>
          </w:p>
        </w:tc>
      </w:tr>
      <w:tr w14:paraId="78A01F5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882" w:type="pct"/>
            <w:vMerge w:val="continue"/>
            <w:noWrap/>
            <w:tcMar>
              <w:top w:w="15" w:type="dxa"/>
              <w:left w:w="15" w:type="dxa"/>
              <w:right w:w="15" w:type="dxa"/>
            </w:tcMar>
            <w:vAlign w:val="center"/>
          </w:tcPr>
          <w:p w14:paraId="51B6F687">
            <w:pPr>
              <w:adjustRightInd w:val="0"/>
              <w:snapToGrid w:val="0"/>
              <w:jc w:val="center"/>
              <w:textAlignment w:val="center"/>
              <w:rPr>
                <w:rFonts w:ascii="Times New Roman" w:hAnsi="Times New Roman" w:cs="Times New Roman"/>
                <w:b/>
                <w:bCs/>
                <w:color w:val="EE0000"/>
                <w:sz w:val="21"/>
                <w:lang w:eastAsia="zh-CN"/>
              </w:rPr>
            </w:pPr>
          </w:p>
        </w:tc>
        <w:tc>
          <w:tcPr>
            <w:tcW w:w="735" w:type="pct"/>
            <w:tcMar>
              <w:top w:w="15" w:type="dxa"/>
              <w:left w:w="15" w:type="dxa"/>
              <w:right w:w="15" w:type="dxa"/>
            </w:tcMar>
            <w:vAlign w:val="center"/>
          </w:tcPr>
          <w:p w14:paraId="731C8889">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rPr>
              <w:t>去除率</w:t>
            </w:r>
            <w:r>
              <w:rPr>
                <w:rFonts w:hint="eastAsia" w:ascii="Times New Roman" w:hAnsi="Times New Roman" w:cs="Times New Roman"/>
                <w:color w:val="auto"/>
                <w:sz w:val="21"/>
                <w:lang w:eastAsia="zh-CN"/>
              </w:rPr>
              <w:t>（</w:t>
            </w:r>
            <w:r>
              <w:rPr>
                <w:rFonts w:ascii="Times New Roman" w:hAnsi="Times New Roman" w:cs="Times New Roman"/>
                <w:color w:val="auto"/>
                <w:sz w:val="21"/>
              </w:rPr>
              <w:t>%</w:t>
            </w:r>
            <w:r>
              <w:rPr>
                <w:rFonts w:hint="eastAsia" w:ascii="Times New Roman" w:hAnsi="Times New Roman" w:cs="Times New Roman"/>
                <w:color w:val="auto"/>
                <w:sz w:val="21"/>
                <w:lang w:eastAsia="zh-CN"/>
              </w:rPr>
              <w:t>）</w:t>
            </w:r>
          </w:p>
        </w:tc>
        <w:tc>
          <w:tcPr>
            <w:tcW w:w="430" w:type="pct"/>
            <w:vMerge w:val="continue"/>
            <w:noWrap/>
            <w:tcMar>
              <w:top w:w="15" w:type="dxa"/>
              <w:left w:w="15" w:type="dxa"/>
              <w:right w:w="15" w:type="dxa"/>
            </w:tcMar>
            <w:vAlign w:val="center"/>
          </w:tcPr>
          <w:p w14:paraId="28AED466">
            <w:pPr>
              <w:adjustRightInd w:val="0"/>
              <w:snapToGrid w:val="0"/>
              <w:jc w:val="center"/>
              <w:textAlignment w:val="center"/>
              <w:rPr>
                <w:rFonts w:ascii="Times New Roman" w:hAnsi="Times New Roman" w:cs="Times New Roman"/>
                <w:b/>
                <w:bCs/>
                <w:color w:val="auto"/>
                <w:sz w:val="21"/>
                <w:lang w:eastAsia="zh-CN"/>
              </w:rPr>
            </w:pPr>
          </w:p>
        </w:tc>
        <w:tc>
          <w:tcPr>
            <w:tcW w:w="423" w:type="pct"/>
            <w:noWrap/>
            <w:tcMar>
              <w:top w:w="15" w:type="dxa"/>
              <w:left w:w="15" w:type="dxa"/>
              <w:right w:w="15" w:type="dxa"/>
            </w:tcMar>
            <w:vAlign w:val="center"/>
          </w:tcPr>
          <w:p w14:paraId="561724CB">
            <w:pPr>
              <w:adjustRightInd w:val="0"/>
              <w:snapToGrid w:val="0"/>
              <w:jc w:val="center"/>
              <w:textAlignment w:val="center"/>
              <w:rPr>
                <w:rFonts w:ascii="Times New Roman" w:hAnsi="Times New Roman" w:cs="Times New Roman"/>
                <w:color w:val="auto"/>
                <w:sz w:val="21"/>
                <w:lang w:eastAsia="zh-CN"/>
              </w:rPr>
            </w:pPr>
          </w:p>
        </w:tc>
        <w:tc>
          <w:tcPr>
            <w:tcW w:w="423" w:type="pct"/>
            <w:noWrap/>
            <w:tcMar>
              <w:top w:w="15" w:type="dxa"/>
              <w:left w:w="15" w:type="dxa"/>
              <w:right w:w="15" w:type="dxa"/>
            </w:tcMar>
            <w:vAlign w:val="center"/>
          </w:tcPr>
          <w:p w14:paraId="50EB747C">
            <w:pPr>
              <w:adjustRightInd w:val="0"/>
              <w:snapToGrid w:val="0"/>
              <w:jc w:val="center"/>
              <w:textAlignment w:val="center"/>
              <w:rPr>
                <w:rFonts w:ascii="Times New Roman" w:hAnsi="Times New Roman" w:cs="Times New Roman"/>
                <w:color w:val="auto"/>
                <w:sz w:val="21"/>
                <w:lang w:eastAsia="zh-CN"/>
              </w:rPr>
            </w:pPr>
          </w:p>
        </w:tc>
        <w:tc>
          <w:tcPr>
            <w:tcW w:w="423" w:type="pct"/>
            <w:vAlign w:val="center"/>
          </w:tcPr>
          <w:p w14:paraId="73E092BC">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096A2066">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4769A453">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3AD1D1A1">
            <w:pPr>
              <w:adjustRightInd w:val="0"/>
              <w:snapToGrid w:val="0"/>
              <w:jc w:val="center"/>
              <w:textAlignment w:val="center"/>
              <w:rPr>
                <w:rFonts w:ascii="Times New Roman" w:hAnsi="Times New Roman" w:cs="Times New Roman"/>
                <w:color w:val="auto"/>
                <w:sz w:val="21"/>
                <w:lang w:eastAsia="zh-CN"/>
              </w:rPr>
            </w:pPr>
          </w:p>
        </w:tc>
        <w:tc>
          <w:tcPr>
            <w:tcW w:w="418" w:type="pct"/>
            <w:vAlign w:val="center"/>
          </w:tcPr>
          <w:p w14:paraId="1E63E049">
            <w:pPr>
              <w:adjustRightInd w:val="0"/>
              <w:snapToGrid w:val="0"/>
              <w:jc w:val="center"/>
              <w:textAlignment w:val="center"/>
              <w:rPr>
                <w:rFonts w:ascii="Times New Roman" w:hAnsi="Times New Roman" w:cs="Times New Roman"/>
                <w:color w:val="auto"/>
                <w:sz w:val="21"/>
                <w:lang w:eastAsia="zh-CN"/>
              </w:rPr>
            </w:pPr>
          </w:p>
        </w:tc>
      </w:tr>
      <w:tr w14:paraId="40CC0FB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882" w:type="pct"/>
            <w:vMerge w:val="continue"/>
            <w:noWrap/>
            <w:tcMar>
              <w:top w:w="15" w:type="dxa"/>
              <w:left w:w="15" w:type="dxa"/>
              <w:right w:w="15" w:type="dxa"/>
            </w:tcMar>
            <w:vAlign w:val="center"/>
          </w:tcPr>
          <w:p w14:paraId="5F89CA21">
            <w:pPr>
              <w:adjustRightInd w:val="0"/>
              <w:snapToGrid w:val="0"/>
              <w:jc w:val="center"/>
              <w:textAlignment w:val="center"/>
              <w:rPr>
                <w:rFonts w:ascii="Times New Roman" w:hAnsi="Times New Roman" w:cs="Times New Roman"/>
                <w:b/>
                <w:bCs/>
                <w:color w:val="EE0000"/>
                <w:sz w:val="21"/>
                <w:lang w:eastAsia="zh-CN"/>
              </w:rPr>
            </w:pPr>
          </w:p>
        </w:tc>
        <w:tc>
          <w:tcPr>
            <w:tcW w:w="735" w:type="pct"/>
            <w:tcMar>
              <w:top w:w="15" w:type="dxa"/>
              <w:left w:w="15" w:type="dxa"/>
              <w:right w:w="15" w:type="dxa"/>
            </w:tcMar>
            <w:vAlign w:val="center"/>
          </w:tcPr>
          <w:p w14:paraId="441C4D72">
            <w:pPr>
              <w:adjustRightInd w:val="0"/>
              <w:snapToGrid w:val="0"/>
              <w:jc w:val="center"/>
              <w:textAlignment w:val="center"/>
              <w:rPr>
                <w:rFonts w:ascii="Times New Roman" w:hAnsi="Times New Roman" w:cs="Times New Roman"/>
                <w:color w:val="auto"/>
                <w:sz w:val="21"/>
                <w:lang w:eastAsia="zh-CN"/>
              </w:rPr>
            </w:pPr>
            <w:r>
              <w:rPr>
                <w:rFonts w:ascii="Times New Roman" w:hAnsi="Times New Roman" w:cs="Times New Roman"/>
                <w:color w:val="auto"/>
                <w:sz w:val="21"/>
              </w:rPr>
              <w:t>出水水质</w:t>
            </w:r>
            <w:r>
              <w:rPr>
                <w:rFonts w:hint="eastAsia" w:ascii="Times New Roman" w:hAnsi="Times New Roman" w:cs="Times New Roman"/>
                <w:color w:val="auto"/>
                <w:sz w:val="21"/>
                <w:lang w:eastAsia="zh-CN"/>
              </w:rPr>
              <w:t>（</w:t>
            </w:r>
            <w:r>
              <w:rPr>
                <w:rFonts w:ascii="Times New Roman" w:hAnsi="Times New Roman" w:cs="Times New Roman"/>
                <w:color w:val="auto"/>
                <w:sz w:val="21"/>
              </w:rPr>
              <w:t>mg/L</w:t>
            </w:r>
            <w:r>
              <w:rPr>
                <w:rFonts w:hint="eastAsia" w:ascii="Times New Roman" w:hAnsi="Times New Roman" w:cs="Times New Roman"/>
                <w:color w:val="auto"/>
                <w:sz w:val="21"/>
                <w:lang w:eastAsia="zh-CN"/>
              </w:rPr>
              <w:t>）</w:t>
            </w:r>
          </w:p>
        </w:tc>
        <w:tc>
          <w:tcPr>
            <w:tcW w:w="430" w:type="pct"/>
            <w:vMerge w:val="continue"/>
            <w:noWrap/>
            <w:tcMar>
              <w:top w:w="15" w:type="dxa"/>
              <w:left w:w="15" w:type="dxa"/>
              <w:right w:w="15" w:type="dxa"/>
            </w:tcMar>
            <w:vAlign w:val="center"/>
          </w:tcPr>
          <w:p w14:paraId="0CD3F91E">
            <w:pPr>
              <w:adjustRightInd w:val="0"/>
              <w:snapToGrid w:val="0"/>
              <w:jc w:val="center"/>
              <w:textAlignment w:val="center"/>
              <w:rPr>
                <w:rFonts w:ascii="Times New Roman" w:hAnsi="Times New Roman" w:cs="Times New Roman"/>
                <w:b/>
                <w:bCs/>
                <w:color w:val="auto"/>
                <w:sz w:val="21"/>
                <w:lang w:eastAsia="zh-CN"/>
              </w:rPr>
            </w:pPr>
          </w:p>
        </w:tc>
        <w:tc>
          <w:tcPr>
            <w:tcW w:w="423" w:type="pct"/>
            <w:noWrap/>
            <w:tcMar>
              <w:top w:w="15" w:type="dxa"/>
              <w:left w:w="15" w:type="dxa"/>
              <w:right w:w="15" w:type="dxa"/>
            </w:tcMar>
            <w:vAlign w:val="center"/>
          </w:tcPr>
          <w:p w14:paraId="3B089A30">
            <w:pPr>
              <w:adjustRightInd w:val="0"/>
              <w:snapToGrid w:val="0"/>
              <w:jc w:val="center"/>
              <w:textAlignment w:val="center"/>
              <w:rPr>
                <w:rFonts w:ascii="Times New Roman" w:hAnsi="Times New Roman" w:cs="Times New Roman"/>
                <w:color w:val="auto"/>
                <w:sz w:val="21"/>
                <w:lang w:eastAsia="zh-CN"/>
              </w:rPr>
            </w:pPr>
          </w:p>
        </w:tc>
        <w:tc>
          <w:tcPr>
            <w:tcW w:w="423" w:type="pct"/>
            <w:noWrap/>
            <w:tcMar>
              <w:top w:w="15" w:type="dxa"/>
              <w:left w:w="15" w:type="dxa"/>
              <w:right w:w="15" w:type="dxa"/>
            </w:tcMar>
            <w:vAlign w:val="center"/>
          </w:tcPr>
          <w:p w14:paraId="540FF64F">
            <w:pPr>
              <w:adjustRightInd w:val="0"/>
              <w:snapToGrid w:val="0"/>
              <w:jc w:val="center"/>
              <w:textAlignment w:val="center"/>
              <w:rPr>
                <w:rFonts w:ascii="Times New Roman" w:hAnsi="Times New Roman" w:cs="Times New Roman"/>
                <w:color w:val="auto"/>
                <w:sz w:val="21"/>
                <w:lang w:eastAsia="zh-CN"/>
              </w:rPr>
            </w:pPr>
          </w:p>
        </w:tc>
        <w:tc>
          <w:tcPr>
            <w:tcW w:w="423" w:type="pct"/>
            <w:vAlign w:val="center"/>
          </w:tcPr>
          <w:p w14:paraId="03690A7F">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6FC45CC9">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5B288321">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3C3B696C">
            <w:pPr>
              <w:adjustRightInd w:val="0"/>
              <w:snapToGrid w:val="0"/>
              <w:jc w:val="center"/>
              <w:textAlignment w:val="center"/>
              <w:rPr>
                <w:rFonts w:ascii="Times New Roman" w:hAnsi="Times New Roman" w:cs="Times New Roman"/>
                <w:color w:val="auto"/>
                <w:sz w:val="21"/>
                <w:lang w:eastAsia="zh-CN"/>
              </w:rPr>
            </w:pPr>
          </w:p>
        </w:tc>
        <w:tc>
          <w:tcPr>
            <w:tcW w:w="418" w:type="pct"/>
            <w:vAlign w:val="center"/>
          </w:tcPr>
          <w:p w14:paraId="4E48254E">
            <w:pPr>
              <w:adjustRightInd w:val="0"/>
              <w:snapToGrid w:val="0"/>
              <w:jc w:val="center"/>
              <w:textAlignment w:val="center"/>
              <w:rPr>
                <w:rFonts w:ascii="Times New Roman" w:hAnsi="Times New Roman" w:cs="Times New Roman"/>
                <w:color w:val="auto"/>
                <w:sz w:val="21"/>
                <w:lang w:eastAsia="zh-CN"/>
              </w:rPr>
            </w:pPr>
          </w:p>
        </w:tc>
      </w:tr>
      <w:tr w14:paraId="6AA5C3B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882" w:type="pct"/>
            <w:vMerge w:val="restart"/>
            <w:noWrap/>
            <w:tcMar>
              <w:top w:w="15" w:type="dxa"/>
              <w:left w:w="15" w:type="dxa"/>
              <w:right w:w="15" w:type="dxa"/>
            </w:tcMar>
            <w:vAlign w:val="center"/>
          </w:tcPr>
          <w:p w14:paraId="4DCAD526">
            <w:pPr>
              <w:adjustRightInd w:val="0"/>
              <w:snapToGrid w:val="0"/>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污水处理站出水、</w:t>
            </w:r>
          </w:p>
          <w:p w14:paraId="607D330C">
            <w:pPr>
              <w:adjustRightInd w:val="0"/>
              <w:snapToGrid w:val="0"/>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生活污水、</w:t>
            </w:r>
          </w:p>
          <w:p w14:paraId="7828327A">
            <w:pPr>
              <w:adjustRightInd w:val="0"/>
              <w:snapToGrid w:val="0"/>
              <w:jc w:val="center"/>
              <w:textAlignment w:val="center"/>
              <w:rPr>
                <w:rFonts w:ascii="Times New Roman" w:hAnsi="Times New Roman" w:cs="Times New Roman"/>
                <w:b/>
                <w:bCs/>
                <w:color w:val="EE0000"/>
                <w:sz w:val="21"/>
                <w:lang w:eastAsia="zh-CN"/>
              </w:rPr>
            </w:pPr>
            <w:r>
              <w:rPr>
                <w:rFonts w:hint="eastAsia" w:ascii="Times New Roman" w:hAnsi="Times New Roman" w:cs="Times New Roman"/>
                <w:color w:val="auto"/>
                <w:sz w:val="21"/>
                <w:lang w:eastAsia="zh-CN"/>
              </w:rPr>
              <w:t>循环冷却置换废水</w:t>
            </w:r>
          </w:p>
        </w:tc>
        <w:tc>
          <w:tcPr>
            <w:tcW w:w="735" w:type="pct"/>
            <w:tcMar>
              <w:top w:w="15" w:type="dxa"/>
              <w:left w:w="15" w:type="dxa"/>
              <w:right w:w="15" w:type="dxa"/>
            </w:tcMar>
            <w:vAlign w:val="center"/>
          </w:tcPr>
          <w:p w14:paraId="392557B3">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rPr>
              <w:t>进水水质</w:t>
            </w:r>
            <w:r>
              <w:rPr>
                <w:rFonts w:hint="eastAsia" w:ascii="Times New Roman" w:hAnsi="Times New Roman" w:cs="Times New Roman"/>
                <w:color w:val="auto"/>
                <w:sz w:val="21"/>
                <w:lang w:eastAsia="zh-CN"/>
              </w:rPr>
              <w:t>（</w:t>
            </w:r>
            <w:r>
              <w:rPr>
                <w:rFonts w:ascii="Times New Roman" w:hAnsi="Times New Roman" w:cs="Times New Roman"/>
                <w:color w:val="auto"/>
                <w:sz w:val="21"/>
              </w:rPr>
              <w:t>mg/L</w:t>
            </w:r>
            <w:r>
              <w:rPr>
                <w:rFonts w:hint="eastAsia" w:ascii="Times New Roman" w:hAnsi="Times New Roman" w:cs="Times New Roman"/>
                <w:color w:val="auto"/>
                <w:sz w:val="21"/>
                <w:lang w:eastAsia="zh-CN"/>
              </w:rPr>
              <w:t>）</w:t>
            </w:r>
          </w:p>
        </w:tc>
        <w:tc>
          <w:tcPr>
            <w:tcW w:w="430" w:type="pct"/>
            <w:vMerge w:val="restart"/>
            <w:noWrap/>
            <w:tcMar>
              <w:top w:w="15" w:type="dxa"/>
              <w:left w:w="15" w:type="dxa"/>
              <w:right w:w="15" w:type="dxa"/>
            </w:tcMar>
            <w:vAlign w:val="center"/>
          </w:tcPr>
          <w:p w14:paraId="68A23EB9">
            <w:pPr>
              <w:adjustRightInd w:val="0"/>
              <w:snapToGrid w:val="0"/>
              <w:jc w:val="center"/>
              <w:textAlignment w:val="center"/>
              <w:rPr>
                <w:rFonts w:ascii="Times New Roman" w:hAnsi="Times New Roman" w:cs="Times New Roman"/>
                <w:color w:val="EE0000"/>
                <w:sz w:val="21"/>
                <w:lang w:eastAsia="zh-CN"/>
              </w:rPr>
            </w:pPr>
          </w:p>
        </w:tc>
        <w:tc>
          <w:tcPr>
            <w:tcW w:w="423" w:type="pct"/>
            <w:noWrap/>
            <w:tcMar>
              <w:top w:w="15" w:type="dxa"/>
              <w:left w:w="15" w:type="dxa"/>
              <w:right w:w="15" w:type="dxa"/>
            </w:tcMar>
            <w:vAlign w:val="center"/>
          </w:tcPr>
          <w:p w14:paraId="334D3119">
            <w:pPr>
              <w:adjustRightInd w:val="0"/>
              <w:snapToGrid w:val="0"/>
              <w:jc w:val="center"/>
              <w:textAlignment w:val="center"/>
              <w:rPr>
                <w:rFonts w:ascii="Times New Roman" w:hAnsi="Times New Roman" w:cs="Times New Roman"/>
                <w:color w:val="auto"/>
                <w:sz w:val="21"/>
                <w:lang w:eastAsia="zh-CN"/>
              </w:rPr>
            </w:pPr>
          </w:p>
        </w:tc>
        <w:tc>
          <w:tcPr>
            <w:tcW w:w="423" w:type="pct"/>
            <w:noWrap/>
            <w:tcMar>
              <w:top w:w="15" w:type="dxa"/>
              <w:left w:w="15" w:type="dxa"/>
              <w:right w:w="15" w:type="dxa"/>
            </w:tcMar>
            <w:vAlign w:val="center"/>
          </w:tcPr>
          <w:p w14:paraId="33616985">
            <w:pPr>
              <w:adjustRightInd w:val="0"/>
              <w:snapToGrid w:val="0"/>
              <w:jc w:val="center"/>
              <w:textAlignment w:val="center"/>
              <w:rPr>
                <w:rFonts w:ascii="Times New Roman" w:hAnsi="Times New Roman" w:cs="Times New Roman"/>
                <w:color w:val="auto"/>
                <w:sz w:val="21"/>
                <w:lang w:eastAsia="zh-CN"/>
              </w:rPr>
            </w:pPr>
          </w:p>
        </w:tc>
        <w:tc>
          <w:tcPr>
            <w:tcW w:w="423" w:type="pct"/>
            <w:vAlign w:val="center"/>
          </w:tcPr>
          <w:p w14:paraId="3B19DA33">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69D4A9EC">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1E87A2F2">
            <w:pPr>
              <w:adjustRightInd w:val="0"/>
              <w:snapToGrid w:val="0"/>
              <w:jc w:val="center"/>
              <w:textAlignment w:val="center"/>
              <w:rPr>
                <w:rFonts w:ascii="Times New Roman" w:hAnsi="Times New Roman" w:cs="Times New Roman"/>
                <w:color w:val="auto"/>
                <w:sz w:val="21"/>
                <w:lang w:eastAsia="zh-CN"/>
              </w:rPr>
            </w:pPr>
          </w:p>
        </w:tc>
        <w:tc>
          <w:tcPr>
            <w:tcW w:w="422" w:type="pct"/>
            <w:vAlign w:val="center"/>
          </w:tcPr>
          <w:p w14:paraId="5482DA15">
            <w:pPr>
              <w:adjustRightInd w:val="0"/>
              <w:snapToGrid w:val="0"/>
              <w:jc w:val="center"/>
              <w:textAlignment w:val="center"/>
              <w:rPr>
                <w:rFonts w:ascii="Times New Roman" w:hAnsi="Times New Roman" w:cs="Times New Roman"/>
                <w:color w:val="auto"/>
                <w:sz w:val="21"/>
                <w:lang w:eastAsia="zh-CN"/>
              </w:rPr>
            </w:pPr>
          </w:p>
        </w:tc>
        <w:tc>
          <w:tcPr>
            <w:tcW w:w="418" w:type="pct"/>
            <w:vAlign w:val="center"/>
          </w:tcPr>
          <w:p w14:paraId="3AF52C00">
            <w:pPr>
              <w:adjustRightInd w:val="0"/>
              <w:snapToGrid w:val="0"/>
              <w:jc w:val="center"/>
              <w:textAlignment w:val="center"/>
              <w:rPr>
                <w:rFonts w:ascii="Times New Roman" w:hAnsi="Times New Roman" w:cs="Times New Roman"/>
                <w:color w:val="auto"/>
                <w:sz w:val="21"/>
                <w:lang w:eastAsia="zh-CN"/>
              </w:rPr>
            </w:pPr>
          </w:p>
        </w:tc>
      </w:tr>
      <w:tr w14:paraId="0300FE9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882" w:type="pct"/>
            <w:vMerge w:val="continue"/>
            <w:noWrap/>
            <w:tcMar>
              <w:top w:w="15" w:type="dxa"/>
              <w:left w:w="15" w:type="dxa"/>
              <w:right w:w="15" w:type="dxa"/>
            </w:tcMar>
            <w:vAlign w:val="center"/>
          </w:tcPr>
          <w:p w14:paraId="7763D3D1">
            <w:pPr>
              <w:adjustRightInd w:val="0"/>
              <w:snapToGrid w:val="0"/>
              <w:jc w:val="center"/>
              <w:textAlignment w:val="center"/>
              <w:rPr>
                <w:rFonts w:ascii="Times New Roman" w:hAnsi="Times New Roman" w:cs="Times New Roman"/>
                <w:b/>
                <w:bCs/>
                <w:color w:val="EE0000"/>
                <w:sz w:val="21"/>
                <w:lang w:eastAsia="zh-CN"/>
              </w:rPr>
            </w:pPr>
          </w:p>
        </w:tc>
        <w:tc>
          <w:tcPr>
            <w:tcW w:w="735" w:type="pct"/>
            <w:tcMar>
              <w:top w:w="15" w:type="dxa"/>
              <w:left w:w="15" w:type="dxa"/>
              <w:right w:w="15" w:type="dxa"/>
            </w:tcMar>
            <w:vAlign w:val="center"/>
          </w:tcPr>
          <w:p w14:paraId="4BC1F53B">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rPr>
              <w:t>去除率</w:t>
            </w:r>
            <w:r>
              <w:rPr>
                <w:rFonts w:hint="eastAsia" w:ascii="Times New Roman" w:hAnsi="Times New Roman" w:cs="Times New Roman"/>
                <w:color w:val="auto"/>
                <w:sz w:val="21"/>
                <w:lang w:eastAsia="zh-CN"/>
              </w:rPr>
              <w:t>（</w:t>
            </w:r>
            <w:r>
              <w:rPr>
                <w:rFonts w:ascii="Times New Roman" w:hAnsi="Times New Roman" w:cs="Times New Roman"/>
                <w:color w:val="auto"/>
                <w:sz w:val="21"/>
              </w:rPr>
              <w:t>%</w:t>
            </w:r>
            <w:r>
              <w:rPr>
                <w:rFonts w:hint="eastAsia" w:ascii="Times New Roman" w:hAnsi="Times New Roman" w:cs="Times New Roman"/>
                <w:color w:val="auto"/>
                <w:sz w:val="21"/>
                <w:lang w:eastAsia="zh-CN"/>
              </w:rPr>
              <w:t>）</w:t>
            </w:r>
          </w:p>
        </w:tc>
        <w:tc>
          <w:tcPr>
            <w:tcW w:w="430" w:type="pct"/>
            <w:vMerge w:val="continue"/>
            <w:noWrap/>
            <w:tcMar>
              <w:top w:w="15" w:type="dxa"/>
              <w:left w:w="15" w:type="dxa"/>
              <w:right w:w="15" w:type="dxa"/>
            </w:tcMar>
            <w:vAlign w:val="center"/>
          </w:tcPr>
          <w:p w14:paraId="6AE9BF75">
            <w:pPr>
              <w:adjustRightInd w:val="0"/>
              <w:snapToGrid w:val="0"/>
              <w:jc w:val="center"/>
              <w:textAlignment w:val="center"/>
              <w:rPr>
                <w:rFonts w:ascii="Times New Roman" w:hAnsi="Times New Roman" w:cs="Times New Roman"/>
                <w:b/>
                <w:bCs/>
                <w:color w:val="EE0000"/>
                <w:sz w:val="21"/>
                <w:lang w:eastAsia="zh-CN"/>
              </w:rPr>
            </w:pPr>
          </w:p>
        </w:tc>
        <w:tc>
          <w:tcPr>
            <w:tcW w:w="423" w:type="pct"/>
            <w:noWrap/>
            <w:tcMar>
              <w:top w:w="15" w:type="dxa"/>
              <w:left w:w="15" w:type="dxa"/>
              <w:right w:w="15" w:type="dxa"/>
            </w:tcMar>
            <w:vAlign w:val="center"/>
          </w:tcPr>
          <w:p w14:paraId="2462E258">
            <w:pPr>
              <w:adjustRightInd w:val="0"/>
              <w:snapToGrid w:val="0"/>
              <w:jc w:val="center"/>
              <w:textAlignment w:val="center"/>
              <w:rPr>
                <w:rFonts w:ascii="Times New Roman" w:hAnsi="Times New Roman" w:cs="Times New Roman"/>
                <w:color w:val="EE0000"/>
                <w:sz w:val="21"/>
                <w:lang w:eastAsia="zh-CN"/>
              </w:rPr>
            </w:pPr>
          </w:p>
        </w:tc>
        <w:tc>
          <w:tcPr>
            <w:tcW w:w="423" w:type="pct"/>
            <w:noWrap/>
            <w:tcMar>
              <w:top w:w="15" w:type="dxa"/>
              <w:left w:w="15" w:type="dxa"/>
              <w:right w:w="15" w:type="dxa"/>
            </w:tcMar>
            <w:vAlign w:val="center"/>
          </w:tcPr>
          <w:p w14:paraId="009200BF">
            <w:pPr>
              <w:adjustRightInd w:val="0"/>
              <w:snapToGrid w:val="0"/>
              <w:jc w:val="center"/>
              <w:textAlignment w:val="center"/>
              <w:rPr>
                <w:rFonts w:ascii="Times New Roman" w:hAnsi="Times New Roman" w:cs="Times New Roman"/>
                <w:color w:val="EE0000"/>
                <w:sz w:val="21"/>
                <w:lang w:eastAsia="zh-CN"/>
              </w:rPr>
            </w:pPr>
          </w:p>
        </w:tc>
        <w:tc>
          <w:tcPr>
            <w:tcW w:w="423" w:type="pct"/>
            <w:vAlign w:val="center"/>
          </w:tcPr>
          <w:p w14:paraId="7C334A64">
            <w:pPr>
              <w:adjustRightInd w:val="0"/>
              <w:snapToGrid w:val="0"/>
              <w:jc w:val="center"/>
              <w:textAlignment w:val="center"/>
              <w:rPr>
                <w:rFonts w:ascii="Times New Roman" w:hAnsi="Times New Roman" w:cs="Times New Roman"/>
                <w:color w:val="EE0000"/>
                <w:sz w:val="21"/>
                <w:lang w:eastAsia="zh-CN"/>
              </w:rPr>
            </w:pPr>
          </w:p>
        </w:tc>
        <w:tc>
          <w:tcPr>
            <w:tcW w:w="422" w:type="pct"/>
            <w:vAlign w:val="center"/>
          </w:tcPr>
          <w:p w14:paraId="56B9E892">
            <w:pPr>
              <w:adjustRightInd w:val="0"/>
              <w:snapToGrid w:val="0"/>
              <w:jc w:val="center"/>
              <w:textAlignment w:val="center"/>
              <w:rPr>
                <w:rFonts w:ascii="Times New Roman" w:hAnsi="Times New Roman" w:cs="Times New Roman"/>
                <w:color w:val="EE0000"/>
                <w:sz w:val="21"/>
                <w:lang w:eastAsia="zh-CN"/>
              </w:rPr>
            </w:pPr>
          </w:p>
        </w:tc>
        <w:tc>
          <w:tcPr>
            <w:tcW w:w="422" w:type="pct"/>
            <w:vAlign w:val="center"/>
          </w:tcPr>
          <w:p w14:paraId="351C135D">
            <w:pPr>
              <w:adjustRightInd w:val="0"/>
              <w:snapToGrid w:val="0"/>
              <w:jc w:val="center"/>
              <w:textAlignment w:val="center"/>
              <w:rPr>
                <w:rFonts w:ascii="Times New Roman" w:hAnsi="Times New Roman" w:cs="Times New Roman"/>
                <w:color w:val="EE0000"/>
                <w:sz w:val="21"/>
                <w:lang w:eastAsia="zh-CN"/>
              </w:rPr>
            </w:pPr>
          </w:p>
        </w:tc>
        <w:tc>
          <w:tcPr>
            <w:tcW w:w="422" w:type="pct"/>
            <w:vAlign w:val="center"/>
          </w:tcPr>
          <w:p w14:paraId="111FA6F6">
            <w:pPr>
              <w:adjustRightInd w:val="0"/>
              <w:snapToGrid w:val="0"/>
              <w:jc w:val="center"/>
              <w:textAlignment w:val="center"/>
              <w:rPr>
                <w:rFonts w:ascii="Times New Roman" w:hAnsi="Times New Roman" w:cs="Times New Roman"/>
                <w:color w:val="EE0000"/>
                <w:sz w:val="21"/>
                <w:lang w:eastAsia="zh-CN"/>
              </w:rPr>
            </w:pPr>
          </w:p>
        </w:tc>
        <w:tc>
          <w:tcPr>
            <w:tcW w:w="418" w:type="pct"/>
            <w:vAlign w:val="center"/>
          </w:tcPr>
          <w:p w14:paraId="0654EC7C">
            <w:pPr>
              <w:adjustRightInd w:val="0"/>
              <w:snapToGrid w:val="0"/>
              <w:jc w:val="center"/>
              <w:textAlignment w:val="center"/>
              <w:rPr>
                <w:rFonts w:ascii="Times New Roman" w:hAnsi="Times New Roman" w:cs="Times New Roman"/>
                <w:color w:val="EE0000"/>
                <w:sz w:val="21"/>
                <w:lang w:eastAsia="zh-CN"/>
              </w:rPr>
            </w:pPr>
          </w:p>
        </w:tc>
      </w:tr>
      <w:tr w14:paraId="08809F2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882" w:type="pct"/>
            <w:vMerge w:val="continue"/>
            <w:noWrap/>
            <w:tcMar>
              <w:top w:w="15" w:type="dxa"/>
              <w:left w:w="15" w:type="dxa"/>
              <w:right w:w="15" w:type="dxa"/>
            </w:tcMar>
            <w:vAlign w:val="center"/>
          </w:tcPr>
          <w:p w14:paraId="04BC9574">
            <w:pPr>
              <w:adjustRightInd w:val="0"/>
              <w:snapToGrid w:val="0"/>
              <w:jc w:val="center"/>
              <w:textAlignment w:val="center"/>
              <w:rPr>
                <w:rFonts w:ascii="Times New Roman" w:hAnsi="Times New Roman" w:cs="Times New Roman"/>
                <w:b/>
                <w:bCs/>
                <w:color w:val="EE0000"/>
                <w:sz w:val="21"/>
                <w:lang w:eastAsia="zh-CN"/>
              </w:rPr>
            </w:pPr>
          </w:p>
        </w:tc>
        <w:tc>
          <w:tcPr>
            <w:tcW w:w="735" w:type="pct"/>
            <w:tcMar>
              <w:top w:w="15" w:type="dxa"/>
              <w:left w:w="15" w:type="dxa"/>
              <w:right w:w="15" w:type="dxa"/>
            </w:tcMar>
            <w:vAlign w:val="center"/>
          </w:tcPr>
          <w:p w14:paraId="51BE41DB">
            <w:pPr>
              <w:adjustRightInd w:val="0"/>
              <w:snapToGrid w:val="0"/>
              <w:jc w:val="center"/>
              <w:textAlignment w:val="center"/>
              <w:rPr>
                <w:rFonts w:ascii="Times New Roman" w:hAnsi="Times New Roman" w:cs="Times New Roman"/>
                <w:color w:val="auto"/>
                <w:sz w:val="21"/>
              </w:rPr>
            </w:pPr>
            <w:r>
              <w:rPr>
                <w:rFonts w:ascii="Times New Roman" w:hAnsi="Times New Roman" w:cs="Times New Roman"/>
                <w:color w:val="auto"/>
                <w:sz w:val="21"/>
              </w:rPr>
              <w:t>出水水质</w:t>
            </w:r>
            <w:r>
              <w:rPr>
                <w:rFonts w:hint="eastAsia" w:ascii="Times New Roman" w:hAnsi="Times New Roman" w:cs="Times New Roman"/>
                <w:color w:val="auto"/>
                <w:sz w:val="21"/>
                <w:lang w:eastAsia="zh-CN"/>
              </w:rPr>
              <w:t>（</w:t>
            </w:r>
            <w:r>
              <w:rPr>
                <w:rFonts w:ascii="Times New Roman" w:hAnsi="Times New Roman" w:cs="Times New Roman"/>
                <w:color w:val="auto"/>
                <w:sz w:val="21"/>
              </w:rPr>
              <w:t>mg/L</w:t>
            </w:r>
            <w:r>
              <w:rPr>
                <w:rFonts w:hint="eastAsia" w:ascii="Times New Roman" w:hAnsi="Times New Roman" w:cs="Times New Roman"/>
                <w:color w:val="auto"/>
                <w:sz w:val="21"/>
                <w:lang w:eastAsia="zh-CN"/>
              </w:rPr>
              <w:t>）</w:t>
            </w:r>
          </w:p>
        </w:tc>
        <w:tc>
          <w:tcPr>
            <w:tcW w:w="430" w:type="pct"/>
            <w:vMerge w:val="continue"/>
            <w:noWrap/>
            <w:tcMar>
              <w:top w:w="15" w:type="dxa"/>
              <w:left w:w="15" w:type="dxa"/>
              <w:right w:w="15" w:type="dxa"/>
            </w:tcMar>
            <w:vAlign w:val="center"/>
          </w:tcPr>
          <w:p w14:paraId="0AF149AD">
            <w:pPr>
              <w:adjustRightInd w:val="0"/>
              <w:snapToGrid w:val="0"/>
              <w:jc w:val="center"/>
              <w:textAlignment w:val="center"/>
              <w:rPr>
                <w:rFonts w:ascii="Times New Roman" w:hAnsi="Times New Roman" w:cs="Times New Roman"/>
                <w:b/>
                <w:bCs/>
                <w:color w:val="EE0000"/>
                <w:sz w:val="21"/>
                <w:lang w:eastAsia="zh-CN"/>
              </w:rPr>
            </w:pPr>
          </w:p>
        </w:tc>
        <w:tc>
          <w:tcPr>
            <w:tcW w:w="423" w:type="pct"/>
            <w:noWrap/>
            <w:tcMar>
              <w:top w:w="15" w:type="dxa"/>
              <w:left w:w="15" w:type="dxa"/>
              <w:right w:w="15" w:type="dxa"/>
            </w:tcMar>
            <w:vAlign w:val="center"/>
          </w:tcPr>
          <w:p w14:paraId="65A42087">
            <w:pPr>
              <w:adjustRightInd w:val="0"/>
              <w:snapToGrid w:val="0"/>
              <w:jc w:val="center"/>
              <w:textAlignment w:val="center"/>
              <w:rPr>
                <w:rFonts w:ascii="Times New Roman" w:hAnsi="Times New Roman" w:cs="Times New Roman"/>
                <w:color w:val="EE0000"/>
                <w:sz w:val="21"/>
                <w:lang w:eastAsia="zh-CN"/>
              </w:rPr>
            </w:pPr>
          </w:p>
        </w:tc>
        <w:tc>
          <w:tcPr>
            <w:tcW w:w="423" w:type="pct"/>
            <w:noWrap/>
            <w:tcMar>
              <w:top w:w="15" w:type="dxa"/>
              <w:left w:w="15" w:type="dxa"/>
              <w:right w:w="15" w:type="dxa"/>
            </w:tcMar>
            <w:vAlign w:val="center"/>
          </w:tcPr>
          <w:p w14:paraId="6480BB19">
            <w:pPr>
              <w:adjustRightInd w:val="0"/>
              <w:snapToGrid w:val="0"/>
              <w:jc w:val="center"/>
              <w:textAlignment w:val="center"/>
              <w:rPr>
                <w:rFonts w:ascii="Times New Roman" w:hAnsi="Times New Roman" w:cs="Times New Roman"/>
                <w:color w:val="EE0000"/>
                <w:sz w:val="21"/>
                <w:lang w:eastAsia="zh-CN"/>
              </w:rPr>
            </w:pPr>
          </w:p>
        </w:tc>
        <w:tc>
          <w:tcPr>
            <w:tcW w:w="423" w:type="pct"/>
            <w:vAlign w:val="center"/>
          </w:tcPr>
          <w:p w14:paraId="3996A90A">
            <w:pPr>
              <w:adjustRightInd w:val="0"/>
              <w:snapToGrid w:val="0"/>
              <w:jc w:val="center"/>
              <w:textAlignment w:val="center"/>
              <w:rPr>
                <w:rFonts w:ascii="Times New Roman" w:hAnsi="Times New Roman" w:cs="Times New Roman"/>
                <w:color w:val="EE0000"/>
                <w:sz w:val="21"/>
                <w:lang w:eastAsia="zh-CN"/>
              </w:rPr>
            </w:pPr>
          </w:p>
        </w:tc>
        <w:tc>
          <w:tcPr>
            <w:tcW w:w="422" w:type="pct"/>
            <w:vAlign w:val="center"/>
          </w:tcPr>
          <w:p w14:paraId="63DFC13E">
            <w:pPr>
              <w:adjustRightInd w:val="0"/>
              <w:snapToGrid w:val="0"/>
              <w:jc w:val="center"/>
              <w:textAlignment w:val="center"/>
              <w:rPr>
                <w:rFonts w:ascii="Times New Roman" w:hAnsi="Times New Roman" w:cs="Times New Roman"/>
                <w:color w:val="EE0000"/>
                <w:sz w:val="21"/>
                <w:lang w:eastAsia="zh-CN"/>
              </w:rPr>
            </w:pPr>
          </w:p>
        </w:tc>
        <w:tc>
          <w:tcPr>
            <w:tcW w:w="422" w:type="pct"/>
            <w:vAlign w:val="center"/>
          </w:tcPr>
          <w:p w14:paraId="1A0554D9">
            <w:pPr>
              <w:adjustRightInd w:val="0"/>
              <w:snapToGrid w:val="0"/>
              <w:jc w:val="center"/>
              <w:textAlignment w:val="center"/>
              <w:rPr>
                <w:rFonts w:ascii="Times New Roman" w:hAnsi="Times New Roman" w:cs="Times New Roman"/>
                <w:color w:val="EE0000"/>
                <w:sz w:val="21"/>
                <w:lang w:eastAsia="zh-CN"/>
              </w:rPr>
            </w:pPr>
          </w:p>
        </w:tc>
        <w:tc>
          <w:tcPr>
            <w:tcW w:w="422" w:type="pct"/>
            <w:vAlign w:val="center"/>
          </w:tcPr>
          <w:p w14:paraId="5994BCD5">
            <w:pPr>
              <w:adjustRightInd w:val="0"/>
              <w:snapToGrid w:val="0"/>
              <w:jc w:val="center"/>
              <w:textAlignment w:val="center"/>
              <w:rPr>
                <w:rFonts w:ascii="Times New Roman" w:hAnsi="Times New Roman" w:cs="Times New Roman"/>
                <w:color w:val="EE0000"/>
                <w:sz w:val="21"/>
                <w:lang w:eastAsia="zh-CN"/>
              </w:rPr>
            </w:pPr>
          </w:p>
        </w:tc>
        <w:tc>
          <w:tcPr>
            <w:tcW w:w="418" w:type="pct"/>
            <w:vAlign w:val="center"/>
          </w:tcPr>
          <w:p w14:paraId="3A1D1377">
            <w:pPr>
              <w:adjustRightInd w:val="0"/>
              <w:snapToGrid w:val="0"/>
              <w:jc w:val="center"/>
              <w:textAlignment w:val="center"/>
              <w:rPr>
                <w:rFonts w:ascii="Times New Roman" w:hAnsi="Times New Roman" w:cs="Times New Roman"/>
                <w:color w:val="EE0000"/>
                <w:sz w:val="21"/>
                <w:lang w:eastAsia="zh-CN"/>
              </w:rPr>
            </w:pPr>
          </w:p>
        </w:tc>
      </w:tr>
      <w:tr w14:paraId="0B2C836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617" w:type="pct"/>
            <w:gridSpan w:val="2"/>
            <w:vMerge w:val="restart"/>
            <w:noWrap/>
            <w:tcMar>
              <w:top w:w="15" w:type="dxa"/>
              <w:left w:w="15" w:type="dxa"/>
              <w:right w:w="15" w:type="dxa"/>
            </w:tcMar>
            <w:vAlign w:val="center"/>
          </w:tcPr>
          <w:p w14:paraId="31DBFB68">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rPr>
              <w:t>废水排放结果</w:t>
            </w:r>
          </w:p>
        </w:tc>
        <w:tc>
          <w:tcPr>
            <w:tcW w:w="430" w:type="pct"/>
            <w:noWrap/>
            <w:tcMar>
              <w:top w:w="15" w:type="dxa"/>
              <w:left w:w="15" w:type="dxa"/>
              <w:right w:w="15" w:type="dxa"/>
            </w:tcMar>
            <w:vAlign w:val="center"/>
          </w:tcPr>
          <w:p w14:paraId="5F488837">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rPr>
              <w:t>排放水质</w:t>
            </w:r>
          </w:p>
        </w:tc>
        <w:tc>
          <w:tcPr>
            <w:tcW w:w="423" w:type="pct"/>
            <w:noWrap/>
            <w:tcMar>
              <w:top w:w="15" w:type="dxa"/>
              <w:left w:w="15" w:type="dxa"/>
              <w:right w:w="15" w:type="dxa"/>
            </w:tcMar>
            <w:vAlign w:val="center"/>
          </w:tcPr>
          <w:p w14:paraId="7C9E9219">
            <w:pPr>
              <w:adjustRightInd w:val="0"/>
              <w:snapToGrid w:val="0"/>
              <w:jc w:val="center"/>
              <w:textAlignment w:val="center"/>
              <w:rPr>
                <w:rFonts w:ascii="Times New Roman" w:hAnsi="Times New Roman" w:cs="Times New Roman"/>
                <w:b/>
                <w:bCs/>
                <w:color w:val="auto"/>
                <w:sz w:val="21"/>
              </w:rPr>
            </w:pPr>
            <w:r>
              <w:rPr>
                <w:rFonts w:hint="eastAsia" w:ascii="Times New Roman" w:hAnsi="Times New Roman" w:cs="Times New Roman"/>
                <w:b/>
                <w:bCs/>
                <w:color w:val="auto"/>
                <w:sz w:val="21"/>
                <w:lang w:eastAsia="zh-CN"/>
              </w:rPr>
              <w:t>89.9</w:t>
            </w:r>
          </w:p>
        </w:tc>
        <w:tc>
          <w:tcPr>
            <w:tcW w:w="423" w:type="pct"/>
            <w:noWrap/>
            <w:tcMar>
              <w:top w:w="15" w:type="dxa"/>
              <w:left w:w="15" w:type="dxa"/>
              <w:right w:w="15" w:type="dxa"/>
            </w:tcMar>
            <w:vAlign w:val="center"/>
          </w:tcPr>
          <w:p w14:paraId="6A57CD67">
            <w:pPr>
              <w:adjustRightInd w:val="0"/>
              <w:snapToGrid w:val="0"/>
              <w:jc w:val="center"/>
              <w:textAlignment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30</w:t>
            </w:r>
          </w:p>
        </w:tc>
        <w:tc>
          <w:tcPr>
            <w:tcW w:w="423" w:type="pct"/>
            <w:vAlign w:val="center"/>
          </w:tcPr>
          <w:p w14:paraId="456FE03A">
            <w:pPr>
              <w:adjustRightInd w:val="0"/>
              <w:snapToGrid w:val="0"/>
              <w:jc w:val="center"/>
              <w:textAlignment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56.8</w:t>
            </w:r>
          </w:p>
        </w:tc>
        <w:tc>
          <w:tcPr>
            <w:tcW w:w="422" w:type="pct"/>
            <w:vAlign w:val="center"/>
          </w:tcPr>
          <w:p w14:paraId="32812D7D">
            <w:pPr>
              <w:adjustRightInd w:val="0"/>
              <w:snapToGrid w:val="0"/>
              <w:jc w:val="center"/>
              <w:textAlignment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6.7</w:t>
            </w:r>
          </w:p>
        </w:tc>
        <w:tc>
          <w:tcPr>
            <w:tcW w:w="422" w:type="pct"/>
            <w:vAlign w:val="center"/>
          </w:tcPr>
          <w:p w14:paraId="5CC2E812">
            <w:pPr>
              <w:adjustRightInd w:val="0"/>
              <w:snapToGrid w:val="0"/>
              <w:jc w:val="center"/>
              <w:textAlignment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0.6</w:t>
            </w:r>
          </w:p>
        </w:tc>
        <w:tc>
          <w:tcPr>
            <w:tcW w:w="422" w:type="pct"/>
            <w:vAlign w:val="center"/>
          </w:tcPr>
          <w:p w14:paraId="3C4DD80D">
            <w:pPr>
              <w:adjustRightInd w:val="0"/>
              <w:snapToGrid w:val="0"/>
              <w:jc w:val="center"/>
              <w:textAlignment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430.6</w:t>
            </w:r>
          </w:p>
        </w:tc>
        <w:tc>
          <w:tcPr>
            <w:tcW w:w="418" w:type="pct"/>
            <w:vAlign w:val="center"/>
          </w:tcPr>
          <w:p w14:paraId="11663894">
            <w:pPr>
              <w:adjustRightInd w:val="0"/>
              <w:snapToGrid w:val="0"/>
              <w:jc w:val="center"/>
              <w:textAlignment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710.6</w:t>
            </w:r>
          </w:p>
        </w:tc>
      </w:tr>
      <w:tr w14:paraId="6B974BC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617" w:type="pct"/>
            <w:gridSpan w:val="2"/>
            <w:vMerge w:val="continue"/>
            <w:noWrap/>
            <w:tcMar>
              <w:top w:w="15" w:type="dxa"/>
              <w:left w:w="15" w:type="dxa"/>
              <w:right w:w="15" w:type="dxa"/>
            </w:tcMar>
            <w:vAlign w:val="center"/>
          </w:tcPr>
          <w:p w14:paraId="45BAF1F8">
            <w:pPr>
              <w:adjustRightInd w:val="0"/>
              <w:snapToGrid w:val="0"/>
              <w:jc w:val="center"/>
              <w:textAlignment w:val="center"/>
              <w:rPr>
                <w:rFonts w:ascii="Times New Roman" w:hAnsi="Times New Roman" w:cs="Times New Roman"/>
                <w:b/>
                <w:bCs/>
                <w:color w:val="auto"/>
                <w:sz w:val="21"/>
              </w:rPr>
            </w:pPr>
          </w:p>
        </w:tc>
        <w:tc>
          <w:tcPr>
            <w:tcW w:w="430" w:type="pct"/>
            <w:noWrap/>
            <w:tcMar>
              <w:top w:w="15" w:type="dxa"/>
              <w:left w:w="15" w:type="dxa"/>
              <w:right w:w="15" w:type="dxa"/>
            </w:tcMar>
            <w:vAlign w:val="center"/>
          </w:tcPr>
          <w:p w14:paraId="2FE19D39">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rPr>
              <w:t>标准限值</w:t>
            </w:r>
          </w:p>
        </w:tc>
        <w:tc>
          <w:tcPr>
            <w:tcW w:w="423" w:type="pct"/>
            <w:noWrap/>
            <w:tcMar>
              <w:top w:w="15" w:type="dxa"/>
              <w:left w:w="15" w:type="dxa"/>
              <w:right w:w="15" w:type="dxa"/>
            </w:tcMar>
            <w:vAlign w:val="center"/>
          </w:tcPr>
          <w:p w14:paraId="7D595D48">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rPr>
              <w:t>≤</w:t>
            </w:r>
            <w:r>
              <w:rPr>
                <w:rFonts w:hint="eastAsia" w:ascii="Times New Roman" w:hAnsi="Times New Roman" w:cs="Times New Roman"/>
                <w:b/>
                <w:bCs/>
                <w:color w:val="auto"/>
                <w:sz w:val="21"/>
                <w:lang w:eastAsia="zh-CN"/>
              </w:rPr>
              <w:t>2</w:t>
            </w:r>
            <w:r>
              <w:rPr>
                <w:rFonts w:ascii="Times New Roman" w:hAnsi="Times New Roman" w:cs="Times New Roman"/>
                <w:b/>
                <w:bCs/>
                <w:color w:val="auto"/>
                <w:sz w:val="21"/>
              </w:rPr>
              <w:t>00</w:t>
            </w:r>
          </w:p>
        </w:tc>
        <w:tc>
          <w:tcPr>
            <w:tcW w:w="423" w:type="pct"/>
            <w:noWrap/>
            <w:tcMar>
              <w:top w:w="15" w:type="dxa"/>
              <w:left w:w="15" w:type="dxa"/>
              <w:right w:w="15" w:type="dxa"/>
            </w:tcMar>
            <w:vAlign w:val="center"/>
          </w:tcPr>
          <w:p w14:paraId="685CA198">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rPr>
              <w:t>≤120</w:t>
            </w:r>
          </w:p>
        </w:tc>
        <w:tc>
          <w:tcPr>
            <w:tcW w:w="423" w:type="pct"/>
            <w:vAlign w:val="center"/>
          </w:tcPr>
          <w:p w14:paraId="44B02999">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rPr>
              <w:t>≤</w:t>
            </w:r>
            <w:r>
              <w:rPr>
                <w:rFonts w:hint="eastAsia" w:ascii="Times New Roman" w:hAnsi="Times New Roman" w:cs="Times New Roman"/>
                <w:b/>
                <w:bCs/>
                <w:color w:val="auto"/>
                <w:sz w:val="21"/>
                <w:lang w:eastAsia="zh-CN"/>
              </w:rPr>
              <w:t>1</w:t>
            </w:r>
            <w:r>
              <w:rPr>
                <w:rFonts w:ascii="Times New Roman" w:hAnsi="Times New Roman" w:cs="Times New Roman"/>
                <w:b/>
                <w:bCs/>
                <w:color w:val="auto"/>
                <w:sz w:val="21"/>
                <w:lang w:eastAsia="zh-CN"/>
              </w:rPr>
              <w:t>0</w:t>
            </w:r>
            <w:r>
              <w:rPr>
                <w:rFonts w:ascii="Times New Roman" w:hAnsi="Times New Roman" w:cs="Times New Roman"/>
                <w:b/>
                <w:bCs/>
                <w:color w:val="auto"/>
                <w:sz w:val="21"/>
              </w:rPr>
              <w:t>0</w:t>
            </w:r>
          </w:p>
        </w:tc>
        <w:tc>
          <w:tcPr>
            <w:tcW w:w="422" w:type="pct"/>
            <w:vAlign w:val="center"/>
          </w:tcPr>
          <w:p w14:paraId="3E755D5F">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rPr>
              <w:t>≤</w:t>
            </w:r>
            <w:r>
              <w:rPr>
                <w:rFonts w:hint="eastAsia" w:ascii="Times New Roman" w:hAnsi="Times New Roman" w:cs="Times New Roman"/>
                <w:b/>
                <w:bCs/>
                <w:color w:val="auto"/>
                <w:sz w:val="21"/>
                <w:lang w:eastAsia="zh-CN"/>
              </w:rPr>
              <w:t>30</w:t>
            </w:r>
          </w:p>
        </w:tc>
        <w:tc>
          <w:tcPr>
            <w:tcW w:w="422" w:type="pct"/>
            <w:vAlign w:val="center"/>
          </w:tcPr>
          <w:p w14:paraId="3B5EC91F">
            <w:pPr>
              <w:adjustRightInd w:val="0"/>
              <w:snapToGrid w:val="0"/>
              <w:jc w:val="center"/>
              <w:textAlignment w:val="center"/>
              <w:rPr>
                <w:rFonts w:ascii="Times New Roman" w:hAnsi="Times New Roman" w:cs="Times New Roman"/>
                <w:b/>
                <w:bCs/>
                <w:color w:val="auto"/>
                <w:sz w:val="21"/>
                <w:lang w:eastAsia="zh-CN"/>
              </w:rPr>
            </w:pPr>
            <w:r>
              <w:rPr>
                <w:rFonts w:ascii="Times New Roman" w:hAnsi="Times New Roman" w:cs="Times New Roman"/>
                <w:b/>
                <w:bCs/>
                <w:color w:val="auto"/>
                <w:sz w:val="21"/>
              </w:rPr>
              <w:t>≤</w:t>
            </w:r>
            <w:r>
              <w:rPr>
                <w:rFonts w:hint="eastAsia" w:ascii="Times New Roman" w:hAnsi="Times New Roman" w:cs="Times New Roman"/>
                <w:b/>
                <w:bCs/>
                <w:color w:val="auto"/>
                <w:sz w:val="21"/>
                <w:lang w:eastAsia="zh-CN"/>
              </w:rPr>
              <w:t>6</w:t>
            </w:r>
          </w:p>
        </w:tc>
        <w:tc>
          <w:tcPr>
            <w:tcW w:w="422" w:type="pct"/>
            <w:vAlign w:val="center"/>
          </w:tcPr>
          <w:p w14:paraId="3E5670C5">
            <w:pPr>
              <w:adjustRightInd w:val="0"/>
              <w:snapToGrid w:val="0"/>
              <w:jc w:val="center"/>
              <w:textAlignment w:val="center"/>
              <w:rPr>
                <w:rFonts w:ascii="Times New Roman" w:hAnsi="Times New Roman" w:cs="Times New Roman"/>
                <w:b/>
                <w:bCs/>
                <w:color w:val="auto"/>
                <w:sz w:val="21"/>
                <w:lang w:eastAsia="zh-CN"/>
              </w:rPr>
            </w:pPr>
            <w:r>
              <w:rPr>
                <w:rFonts w:ascii="Times New Roman" w:hAnsi="Times New Roman" w:cs="Times New Roman"/>
                <w:b/>
                <w:bCs/>
                <w:color w:val="auto"/>
                <w:sz w:val="21"/>
              </w:rPr>
              <w:t>≤</w:t>
            </w:r>
            <w:r>
              <w:rPr>
                <w:rFonts w:hint="eastAsia" w:ascii="Times New Roman" w:hAnsi="Times New Roman" w:cs="Times New Roman"/>
                <w:b/>
                <w:bCs/>
                <w:color w:val="auto"/>
                <w:sz w:val="21"/>
                <w:lang w:eastAsia="zh-CN"/>
              </w:rPr>
              <w:t>1500</w:t>
            </w:r>
          </w:p>
        </w:tc>
        <w:tc>
          <w:tcPr>
            <w:tcW w:w="418" w:type="pct"/>
            <w:vAlign w:val="center"/>
          </w:tcPr>
          <w:p w14:paraId="15310C7C">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rPr>
              <w:t>≤</w:t>
            </w:r>
            <w:r>
              <w:rPr>
                <w:rFonts w:hint="eastAsia" w:ascii="Times New Roman" w:hAnsi="Times New Roman" w:cs="Times New Roman"/>
                <w:b/>
                <w:bCs/>
                <w:color w:val="auto"/>
                <w:sz w:val="21"/>
                <w:lang w:eastAsia="zh-CN"/>
              </w:rPr>
              <w:t>3000</w:t>
            </w:r>
          </w:p>
        </w:tc>
      </w:tr>
      <w:tr w14:paraId="3182ED4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617" w:type="pct"/>
            <w:gridSpan w:val="2"/>
            <w:vMerge w:val="continue"/>
            <w:noWrap/>
            <w:tcMar>
              <w:top w:w="15" w:type="dxa"/>
              <w:left w:w="15" w:type="dxa"/>
              <w:right w:w="15" w:type="dxa"/>
            </w:tcMar>
            <w:vAlign w:val="center"/>
          </w:tcPr>
          <w:p w14:paraId="264390BA">
            <w:pPr>
              <w:adjustRightInd w:val="0"/>
              <w:snapToGrid w:val="0"/>
              <w:jc w:val="center"/>
              <w:textAlignment w:val="center"/>
              <w:rPr>
                <w:rFonts w:ascii="Times New Roman" w:hAnsi="Times New Roman" w:cs="Times New Roman"/>
                <w:b/>
                <w:bCs/>
                <w:color w:val="auto"/>
                <w:sz w:val="21"/>
              </w:rPr>
            </w:pPr>
          </w:p>
        </w:tc>
        <w:tc>
          <w:tcPr>
            <w:tcW w:w="430" w:type="pct"/>
            <w:noWrap/>
            <w:tcMar>
              <w:top w:w="15" w:type="dxa"/>
              <w:left w:w="15" w:type="dxa"/>
              <w:right w:w="15" w:type="dxa"/>
            </w:tcMar>
            <w:vAlign w:val="center"/>
          </w:tcPr>
          <w:p w14:paraId="0913EB4B">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rPr>
              <w:t>达标达标</w:t>
            </w:r>
          </w:p>
        </w:tc>
        <w:tc>
          <w:tcPr>
            <w:tcW w:w="423" w:type="pct"/>
            <w:noWrap/>
            <w:tcMar>
              <w:top w:w="15" w:type="dxa"/>
              <w:left w:w="15" w:type="dxa"/>
              <w:right w:w="15" w:type="dxa"/>
            </w:tcMar>
            <w:vAlign w:val="center"/>
          </w:tcPr>
          <w:p w14:paraId="5C3646CE">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rPr>
              <w:t>达标</w:t>
            </w:r>
          </w:p>
        </w:tc>
        <w:tc>
          <w:tcPr>
            <w:tcW w:w="423" w:type="pct"/>
            <w:noWrap/>
            <w:tcMar>
              <w:top w:w="15" w:type="dxa"/>
              <w:left w:w="15" w:type="dxa"/>
              <w:right w:w="15" w:type="dxa"/>
            </w:tcMar>
            <w:vAlign w:val="center"/>
          </w:tcPr>
          <w:p w14:paraId="29472D45">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rPr>
              <w:t>达标</w:t>
            </w:r>
          </w:p>
        </w:tc>
        <w:tc>
          <w:tcPr>
            <w:tcW w:w="423" w:type="pct"/>
            <w:vAlign w:val="center"/>
          </w:tcPr>
          <w:p w14:paraId="2AA08124">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rPr>
              <w:t>达标</w:t>
            </w:r>
          </w:p>
        </w:tc>
        <w:tc>
          <w:tcPr>
            <w:tcW w:w="422" w:type="pct"/>
            <w:vAlign w:val="center"/>
          </w:tcPr>
          <w:p w14:paraId="0A49A549">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rPr>
              <w:t>达标</w:t>
            </w:r>
          </w:p>
        </w:tc>
        <w:tc>
          <w:tcPr>
            <w:tcW w:w="422" w:type="pct"/>
            <w:vAlign w:val="center"/>
          </w:tcPr>
          <w:p w14:paraId="1F648569">
            <w:pPr>
              <w:adjustRightInd w:val="0"/>
              <w:snapToGrid w:val="0"/>
              <w:jc w:val="center"/>
              <w:textAlignment w:val="center"/>
              <w:rPr>
                <w:rFonts w:ascii="Times New Roman" w:hAnsi="Times New Roman" w:cs="Times New Roman"/>
                <w:b/>
                <w:bCs/>
                <w:color w:val="auto"/>
                <w:sz w:val="21"/>
              </w:rPr>
            </w:pPr>
            <w:r>
              <w:rPr>
                <w:rFonts w:ascii="Times New Roman" w:hAnsi="Times New Roman" w:cs="Times New Roman"/>
                <w:b/>
                <w:bCs/>
                <w:color w:val="auto"/>
                <w:sz w:val="21"/>
              </w:rPr>
              <w:t>达标</w:t>
            </w:r>
          </w:p>
        </w:tc>
        <w:tc>
          <w:tcPr>
            <w:tcW w:w="422" w:type="pct"/>
            <w:vAlign w:val="center"/>
          </w:tcPr>
          <w:p w14:paraId="6E5ECEEE">
            <w:pPr>
              <w:adjustRightInd w:val="0"/>
              <w:snapToGrid w:val="0"/>
              <w:jc w:val="center"/>
              <w:textAlignment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达标</w:t>
            </w:r>
          </w:p>
        </w:tc>
        <w:tc>
          <w:tcPr>
            <w:tcW w:w="418" w:type="pct"/>
            <w:vAlign w:val="center"/>
          </w:tcPr>
          <w:p w14:paraId="46356CBB">
            <w:pPr>
              <w:adjustRightInd w:val="0"/>
              <w:snapToGrid w:val="0"/>
              <w:jc w:val="center"/>
              <w:textAlignment w:val="center"/>
              <w:rPr>
                <w:rFonts w:ascii="Times New Roman" w:hAnsi="Times New Roman" w:cs="Times New Roman"/>
                <w:b/>
                <w:bCs/>
                <w:color w:val="auto"/>
                <w:sz w:val="21"/>
              </w:rPr>
            </w:pPr>
            <w:r>
              <w:rPr>
                <w:rFonts w:hint="eastAsia" w:ascii="Times New Roman" w:hAnsi="Times New Roman" w:cs="Times New Roman"/>
                <w:b/>
                <w:bCs/>
                <w:color w:val="auto"/>
                <w:sz w:val="21"/>
                <w:lang w:eastAsia="zh-CN"/>
              </w:rPr>
              <w:t>达标</w:t>
            </w:r>
          </w:p>
        </w:tc>
      </w:tr>
    </w:tbl>
    <w:p w14:paraId="06D6A2E1">
      <w:pPr>
        <w:widowControl w:val="0"/>
        <w:spacing w:line="360" w:lineRule="auto"/>
        <w:ind w:firstLine="480" w:firstLineChars="200"/>
        <w:rPr>
          <w:rFonts w:ascii="Times New Roman" w:hAnsi="Times New Roman" w:cs="Times New Roman"/>
          <w:color w:val="auto"/>
          <w:szCs w:val="24"/>
          <w:lang w:eastAsia="zh-CN"/>
        </w:rPr>
        <w:sectPr>
          <w:pgSz w:w="16840" w:h="11907" w:orient="landscape"/>
          <w:pgMar w:top="1134" w:right="1191" w:bottom="1134" w:left="1191" w:header="933" w:footer="671" w:gutter="0"/>
          <w:cols w:space="720" w:num="1"/>
        </w:sectPr>
      </w:pPr>
    </w:p>
    <w:p w14:paraId="73334789">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由上表可知，项目</w:t>
      </w:r>
      <w:r>
        <w:rPr>
          <w:rFonts w:hint="eastAsia" w:ascii="Times New Roman" w:hAnsi="Times New Roman" w:cs="Times New Roman"/>
          <w:color w:val="auto"/>
          <w:lang w:eastAsia="zh-CN"/>
        </w:rPr>
        <w:t>废水排放满足</w:t>
      </w:r>
      <w:r>
        <w:rPr>
          <w:rFonts w:ascii="Times New Roman" w:hAnsi="Times New Roman" w:cs="Times New Roman"/>
          <w:color w:val="auto"/>
          <w:lang w:eastAsia="zh-CN"/>
        </w:rPr>
        <w:t>沫河口污水处理厂接管标准以及</w:t>
      </w:r>
      <w:r>
        <w:rPr>
          <w:rFonts w:hint="eastAsia" w:ascii="Times New Roman" w:hAnsi="Times New Roman" w:cs="Times New Roman"/>
          <w:color w:val="auto"/>
          <w:lang w:eastAsia="zh-CN"/>
        </w:rPr>
        <w:t>《无机化学工业污染物排放标准》（GB31573-2015）、</w:t>
      </w:r>
      <w:r>
        <w:rPr>
          <w:rFonts w:ascii="Times New Roman" w:hAnsi="Times New Roman" w:cs="Times New Roman"/>
          <w:color w:val="auto"/>
          <w:lang w:eastAsia="zh-CN"/>
        </w:rPr>
        <w:t>《电子工业水污染物排放标准》（GB39731-2020）排放限值要求</w:t>
      </w:r>
      <w:r>
        <w:rPr>
          <w:rFonts w:ascii="Times New Roman" w:hAnsi="Times New Roman" w:cs="Times New Roman"/>
          <w:color w:val="auto"/>
          <w:szCs w:val="24"/>
          <w:lang w:eastAsia="zh-CN"/>
        </w:rPr>
        <w:t>。</w:t>
      </w:r>
    </w:p>
    <w:p w14:paraId="6E40C182">
      <w:pPr>
        <w:spacing w:line="360" w:lineRule="auto"/>
        <w:ind w:firstLine="482" w:firstLineChars="200"/>
        <w:rPr>
          <w:rFonts w:ascii="Times New Roman" w:hAnsi="Times New Roman" w:cs="Times New Roman"/>
          <w:b/>
          <w:bCs/>
          <w:color w:val="auto"/>
          <w:szCs w:val="24"/>
          <w:lang w:eastAsia="zh-CN"/>
        </w:rPr>
      </w:pPr>
      <w:r>
        <w:rPr>
          <w:rFonts w:hint="eastAsia" w:ascii="Times New Roman" w:hAnsi="Times New Roman" w:cs="Times New Roman"/>
          <w:b/>
          <w:bCs/>
          <w:color w:val="auto"/>
          <w:szCs w:val="24"/>
          <w:lang w:eastAsia="zh-CN"/>
        </w:rPr>
        <w:t>3</w:t>
      </w:r>
      <w:r>
        <w:rPr>
          <w:rFonts w:ascii="Times New Roman" w:hAnsi="Times New Roman" w:cs="Times New Roman"/>
          <w:b/>
          <w:bCs/>
          <w:color w:val="auto"/>
          <w:szCs w:val="24"/>
          <w:lang w:eastAsia="zh-CN"/>
        </w:rPr>
        <w:t>、</w:t>
      </w:r>
      <w:r>
        <w:rPr>
          <w:rFonts w:hint="eastAsia" w:ascii="Times New Roman" w:hAnsi="Times New Roman" w:cs="Times New Roman"/>
          <w:b/>
          <w:bCs/>
          <w:color w:val="auto"/>
          <w:szCs w:val="24"/>
          <w:lang w:eastAsia="zh-CN"/>
        </w:rPr>
        <w:t>二级水喷淋塔吸收的氟化氢水溶液回用</w:t>
      </w:r>
      <w:r>
        <w:rPr>
          <w:rFonts w:ascii="Times New Roman" w:hAnsi="Times New Roman" w:cs="Times New Roman"/>
          <w:b/>
          <w:bCs/>
          <w:color w:val="auto"/>
          <w:szCs w:val="24"/>
          <w:lang w:eastAsia="zh-CN"/>
        </w:rPr>
        <w:t>可行性分析</w:t>
      </w:r>
    </w:p>
    <w:p w14:paraId="6CF62248">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fldChar w:fldCharType="begin"/>
      </w:r>
      <w:r>
        <w:rPr>
          <w:rFonts w:ascii="Times New Roman" w:hAnsi="Times New Roman" w:cs="Times New Roman"/>
          <w:color w:val="auto"/>
          <w:lang w:eastAsia="zh-CN"/>
        </w:rPr>
        <w:instrText xml:space="preserve"> </w:instrText>
      </w:r>
      <w:r>
        <w:rPr>
          <w:rFonts w:hint="eastAsia" w:ascii="Times New Roman" w:hAnsi="Times New Roman" w:cs="Times New Roman"/>
          <w:color w:val="auto"/>
          <w:lang w:eastAsia="zh-CN"/>
        </w:rPr>
        <w:instrText xml:space="preserve">= 1 \* GB3</w:instrText>
      </w:r>
      <w:r>
        <w:rPr>
          <w:rFonts w:ascii="Times New Roman" w:hAnsi="Times New Roman" w:cs="Times New Roman"/>
          <w:color w:val="auto"/>
          <w:lang w:eastAsia="zh-CN"/>
        </w:rPr>
        <w:instrText xml:space="preserve"> </w:instrText>
      </w:r>
      <w:r>
        <w:rPr>
          <w:rFonts w:ascii="Times New Roman" w:hAnsi="Times New Roman" w:cs="Times New Roman"/>
          <w:color w:val="auto"/>
          <w:lang w:eastAsia="zh-CN"/>
        </w:rPr>
        <w:fldChar w:fldCharType="separate"/>
      </w:r>
      <w:r>
        <w:rPr>
          <w:rFonts w:hint="eastAsia" w:ascii="Times New Roman" w:hAnsi="Times New Roman" w:cs="Times New Roman"/>
          <w:color w:val="auto"/>
          <w:lang w:eastAsia="zh-CN"/>
        </w:rPr>
        <w:t>①</w:t>
      </w:r>
      <w:r>
        <w:rPr>
          <w:rFonts w:ascii="Times New Roman" w:hAnsi="Times New Roman" w:cs="Times New Roman"/>
          <w:color w:val="auto"/>
          <w:lang w:eastAsia="zh-CN"/>
        </w:rPr>
        <w:fldChar w:fldCharType="end"/>
      </w:r>
      <w:r>
        <w:rPr>
          <w:rFonts w:hint="eastAsia" w:ascii="Times New Roman" w:hAnsi="Times New Roman" w:cs="Times New Roman"/>
          <w:color w:val="auto"/>
          <w:lang w:eastAsia="zh-CN"/>
        </w:rPr>
        <w:t>根据工艺设计方案，项目废气污染物氯化氢、氟化氢采用二级水喷淋塔（TA001）/二级水喷淋塔（TA003）+三级碱喷淋塔（TA002）+一级碱喷淋塔（TA004）装置进行处理，处理后二级水喷淋塔吸收的氟化氢、氯化氢水溶液回用于刻蚀液产品生产，三级碱喷淋塔（TA002）+一级碱喷淋塔（TA004）吸收的氟化氢、氯化氢溶液进入污水处理站处理。</w:t>
      </w:r>
    </w:p>
    <w:p w14:paraId="6D77B581">
      <w:pPr>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项目刻蚀液产品规格为氟化氢浓度30%～40%，氯化氢浓度5%～7%，项目二级水喷淋塔（TA001）/二级水喷淋塔（TA003）吸收的溶液主要成分为氟化氢、氯化氢以及水，可作为刻蚀液生产原料使用。</w:t>
      </w:r>
    </w:p>
    <w:p w14:paraId="6151AF01">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fldChar w:fldCharType="begin"/>
      </w:r>
      <w:r>
        <w:rPr>
          <w:rFonts w:ascii="Times New Roman" w:hAnsi="Times New Roman" w:cs="Times New Roman"/>
          <w:color w:val="auto"/>
          <w:lang w:eastAsia="zh-CN"/>
        </w:rPr>
        <w:instrText xml:space="preserve"> </w:instrText>
      </w:r>
      <w:r>
        <w:rPr>
          <w:rFonts w:hint="eastAsia" w:ascii="Times New Roman" w:hAnsi="Times New Roman" w:cs="Times New Roman"/>
          <w:color w:val="auto"/>
          <w:lang w:eastAsia="zh-CN"/>
        </w:rPr>
        <w:instrText xml:space="preserve">= 2 \* GB3</w:instrText>
      </w:r>
      <w:r>
        <w:rPr>
          <w:rFonts w:ascii="Times New Roman" w:hAnsi="Times New Roman" w:cs="Times New Roman"/>
          <w:color w:val="auto"/>
          <w:lang w:eastAsia="zh-CN"/>
        </w:rPr>
        <w:instrText xml:space="preserve"> </w:instrText>
      </w:r>
      <w:r>
        <w:rPr>
          <w:rFonts w:ascii="Times New Roman" w:hAnsi="Times New Roman" w:cs="Times New Roman"/>
          <w:color w:val="auto"/>
          <w:lang w:eastAsia="zh-CN"/>
        </w:rPr>
        <w:fldChar w:fldCharType="separate"/>
      </w:r>
      <w:r>
        <w:rPr>
          <w:rFonts w:hint="eastAsia" w:ascii="Times New Roman" w:hAnsi="Times New Roman" w:cs="Times New Roman"/>
          <w:color w:val="auto"/>
          <w:lang w:eastAsia="zh-CN"/>
        </w:rPr>
        <w:t>②</w:t>
      </w:r>
      <w:r>
        <w:rPr>
          <w:rFonts w:ascii="Times New Roman" w:hAnsi="Times New Roman" w:cs="Times New Roman"/>
          <w:color w:val="auto"/>
          <w:lang w:eastAsia="zh-CN"/>
        </w:rPr>
        <w:fldChar w:fldCharType="end"/>
      </w:r>
      <w:r>
        <w:rPr>
          <w:rFonts w:hint="eastAsia" w:ascii="Times New Roman" w:hAnsi="Times New Roman" w:cs="Times New Roman"/>
          <w:color w:val="auto"/>
          <w:lang w:eastAsia="zh-CN"/>
        </w:rPr>
        <w:t>目前厂区现有工程刻蚀液产品已采用二级水喷淋塔（TA001）吸收的溶液作为原料，且根据企业刻蚀液产品实际生产情况，刻蚀液产品能够满足相应的产品质量标准。</w:t>
      </w:r>
    </w:p>
    <w:p w14:paraId="1DE6C810">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fldChar w:fldCharType="begin"/>
      </w:r>
      <w:r>
        <w:rPr>
          <w:rFonts w:ascii="Times New Roman" w:hAnsi="Times New Roman" w:cs="Times New Roman"/>
          <w:color w:val="auto"/>
          <w:lang w:eastAsia="zh-CN"/>
        </w:rPr>
        <w:instrText xml:space="preserve"> </w:instrText>
      </w:r>
      <w:r>
        <w:rPr>
          <w:rFonts w:hint="eastAsia" w:ascii="Times New Roman" w:hAnsi="Times New Roman" w:cs="Times New Roman"/>
          <w:color w:val="auto"/>
          <w:lang w:eastAsia="zh-CN"/>
        </w:rPr>
        <w:instrText xml:space="preserve">= 3 \* GB3</w:instrText>
      </w:r>
      <w:r>
        <w:rPr>
          <w:rFonts w:ascii="Times New Roman" w:hAnsi="Times New Roman" w:cs="Times New Roman"/>
          <w:color w:val="auto"/>
          <w:lang w:eastAsia="zh-CN"/>
        </w:rPr>
        <w:instrText xml:space="preserve"> </w:instrText>
      </w:r>
      <w:r>
        <w:rPr>
          <w:rFonts w:ascii="Times New Roman" w:hAnsi="Times New Roman" w:cs="Times New Roman"/>
          <w:color w:val="auto"/>
          <w:lang w:eastAsia="zh-CN"/>
        </w:rPr>
        <w:fldChar w:fldCharType="separate"/>
      </w:r>
      <w:r>
        <w:rPr>
          <w:rFonts w:hint="eastAsia" w:ascii="Times New Roman" w:hAnsi="Times New Roman" w:cs="Times New Roman"/>
          <w:color w:val="auto"/>
          <w:lang w:eastAsia="zh-CN"/>
        </w:rPr>
        <w:t>③</w:t>
      </w:r>
      <w:r>
        <w:rPr>
          <w:rFonts w:ascii="Times New Roman" w:hAnsi="Times New Roman" w:cs="Times New Roman"/>
          <w:color w:val="auto"/>
          <w:lang w:eastAsia="zh-CN"/>
        </w:rPr>
        <w:fldChar w:fldCharType="end"/>
      </w:r>
      <w:r>
        <w:rPr>
          <w:rFonts w:ascii="Times New Roman" w:hAnsi="Times New Roman" w:cs="Times New Roman"/>
          <w:color w:val="auto"/>
          <w:lang w:eastAsia="zh-CN"/>
        </w:rPr>
        <w:t>同时结合同类型项目以及参照其他省市发布的《氟化工行业废水和废水治理工程技术规范》（DB35/T 1626-2016）中废气工艺设计推荐方案，水喷淋装置中吸收的含氟废气推荐用作制酸工序。</w:t>
      </w:r>
    </w:p>
    <w:p w14:paraId="3A029C73">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因此，本项目</w:t>
      </w:r>
      <w:r>
        <w:rPr>
          <w:rFonts w:hint="eastAsia" w:ascii="Times New Roman" w:hAnsi="Times New Roman" w:cs="Times New Roman"/>
          <w:color w:val="auto"/>
          <w:lang w:eastAsia="zh-CN"/>
        </w:rPr>
        <w:t>二级水喷淋塔（TA001）/二级水喷淋塔（TA003）</w:t>
      </w:r>
      <w:r>
        <w:rPr>
          <w:rFonts w:ascii="Times New Roman" w:hAnsi="Times New Roman" w:cs="Times New Roman"/>
          <w:color w:val="auto"/>
          <w:lang w:eastAsia="zh-CN"/>
        </w:rPr>
        <w:t>吸收的氟化氢水溶液回用至刻蚀液生产中可行</w:t>
      </w:r>
      <w:r>
        <w:rPr>
          <w:rFonts w:hint="eastAsia" w:ascii="Times New Roman" w:hAnsi="Times New Roman" w:cs="Times New Roman"/>
          <w:color w:val="auto"/>
          <w:lang w:eastAsia="zh-CN"/>
        </w:rPr>
        <w:t>。</w:t>
      </w:r>
    </w:p>
    <w:p w14:paraId="114C3CA5">
      <w:pPr>
        <w:spacing w:line="360" w:lineRule="auto"/>
        <w:ind w:firstLine="482" w:firstLineChars="200"/>
        <w:rPr>
          <w:rFonts w:ascii="Times New Roman" w:hAnsi="Times New Roman" w:cs="Times New Roman"/>
          <w:b/>
          <w:bCs/>
          <w:color w:val="auto"/>
          <w:szCs w:val="24"/>
          <w:lang w:eastAsia="zh-CN"/>
        </w:rPr>
      </w:pPr>
      <w:r>
        <w:rPr>
          <w:rFonts w:hint="eastAsia" w:ascii="Times New Roman" w:hAnsi="Times New Roman" w:cs="Times New Roman"/>
          <w:b/>
          <w:bCs/>
          <w:color w:val="auto"/>
          <w:szCs w:val="24"/>
          <w:lang w:eastAsia="zh-CN"/>
        </w:rPr>
        <w:t>4</w:t>
      </w:r>
      <w:r>
        <w:rPr>
          <w:rFonts w:ascii="Times New Roman" w:hAnsi="Times New Roman" w:cs="Times New Roman"/>
          <w:b/>
          <w:bCs/>
          <w:color w:val="auto"/>
          <w:szCs w:val="24"/>
          <w:lang w:eastAsia="zh-CN"/>
        </w:rPr>
        <w:t>、污水处理</w:t>
      </w:r>
      <w:r>
        <w:rPr>
          <w:rFonts w:hint="eastAsia" w:ascii="Times New Roman" w:hAnsi="Times New Roman" w:cs="Times New Roman"/>
          <w:b/>
          <w:bCs/>
          <w:color w:val="auto"/>
          <w:szCs w:val="24"/>
          <w:lang w:eastAsia="zh-CN"/>
        </w:rPr>
        <w:t>站依托</w:t>
      </w:r>
      <w:r>
        <w:rPr>
          <w:rFonts w:ascii="Times New Roman" w:hAnsi="Times New Roman" w:cs="Times New Roman"/>
          <w:b/>
          <w:bCs/>
          <w:color w:val="auto"/>
          <w:szCs w:val="24"/>
          <w:lang w:eastAsia="zh-CN"/>
        </w:rPr>
        <w:t>可行性分析</w:t>
      </w:r>
    </w:p>
    <w:p w14:paraId="4D05A230">
      <w:pPr>
        <w:spacing w:line="360" w:lineRule="auto"/>
        <w:ind w:firstLine="480" w:firstLineChars="200"/>
        <w:jc w:val="both"/>
        <w:rPr>
          <w:rFonts w:ascii="Times New Roman" w:hAnsi="Times New Roman" w:eastAsia="新宋体" w:cs="Times New Roman"/>
          <w:color w:val="auto"/>
          <w:szCs w:val="24"/>
          <w:lang w:eastAsia="zh-CN"/>
        </w:rPr>
      </w:pPr>
      <w:r>
        <w:rPr>
          <w:rFonts w:ascii="Times New Roman" w:hAnsi="Times New Roman" w:cs="Times New Roman"/>
          <w:color w:val="auto"/>
          <w:lang w:eastAsia="zh-CN"/>
        </w:rPr>
        <w:fldChar w:fldCharType="begin"/>
      </w:r>
      <w:r>
        <w:rPr>
          <w:rFonts w:ascii="Times New Roman" w:hAnsi="Times New Roman" w:cs="Times New Roman"/>
          <w:color w:val="auto"/>
          <w:lang w:eastAsia="zh-CN"/>
        </w:rPr>
        <w:instrText xml:space="preserve"> </w:instrText>
      </w:r>
      <w:r>
        <w:rPr>
          <w:rFonts w:hint="eastAsia" w:ascii="Times New Roman" w:hAnsi="Times New Roman" w:cs="Times New Roman"/>
          <w:color w:val="auto"/>
          <w:lang w:eastAsia="zh-CN"/>
        </w:rPr>
        <w:instrText xml:space="preserve">= 1 \* GB3</w:instrText>
      </w:r>
      <w:r>
        <w:rPr>
          <w:rFonts w:ascii="Times New Roman" w:hAnsi="Times New Roman" w:cs="Times New Roman"/>
          <w:color w:val="auto"/>
          <w:lang w:eastAsia="zh-CN"/>
        </w:rPr>
        <w:instrText xml:space="preserve"> </w:instrText>
      </w:r>
      <w:r>
        <w:rPr>
          <w:rFonts w:ascii="Times New Roman" w:hAnsi="Times New Roman" w:cs="Times New Roman"/>
          <w:color w:val="auto"/>
          <w:lang w:eastAsia="zh-CN"/>
        </w:rPr>
        <w:fldChar w:fldCharType="separate"/>
      </w:r>
      <w:r>
        <w:rPr>
          <w:rFonts w:hint="eastAsia" w:ascii="Times New Roman" w:hAnsi="Times New Roman" w:cs="Times New Roman"/>
          <w:color w:val="auto"/>
          <w:lang w:eastAsia="zh-CN"/>
        </w:rPr>
        <w:t>①</w:t>
      </w:r>
      <w:r>
        <w:rPr>
          <w:rFonts w:ascii="Times New Roman" w:hAnsi="Times New Roman" w:cs="Times New Roman"/>
          <w:color w:val="auto"/>
          <w:lang w:eastAsia="zh-CN"/>
        </w:rPr>
        <w:fldChar w:fldCharType="end"/>
      </w:r>
      <w:r>
        <w:rPr>
          <w:rFonts w:hint="eastAsia" w:ascii="Times New Roman" w:hAnsi="Times New Roman" w:cs="Times New Roman"/>
          <w:color w:val="auto"/>
          <w:lang w:eastAsia="zh-CN"/>
        </w:rPr>
        <w:t>根据现有工程废水例行监测数据以及在线监测数据可知，现有工程废水排放能够</w:t>
      </w:r>
      <w:r>
        <w:rPr>
          <w:rFonts w:ascii="Times New Roman" w:hAnsi="Times New Roman" w:cs="Times New Roman"/>
          <w:color w:val="auto"/>
          <w:szCs w:val="24"/>
          <w:lang w:eastAsia="zh-CN"/>
        </w:rPr>
        <w:t>满足沫河口污水处理厂接管限值</w:t>
      </w:r>
      <w:r>
        <w:rPr>
          <w:rFonts w:ascii="Times New Roman" w:hAnsi="Times New Roman" w:eastAsia="新宋体" w:cs="Times New Roman"/>
          <w:color w:val="auto"/>
          <w:szCs w:val="24"/>
          <w:lang w:eastAsia="zh-CN"/>
        </w:rPr>
        <w:t>以及</w:t>
      </w:r>
      <w:r>
        <w:rPr>
          <w:rFonts w:hint="eastAsia" w:ascii="Times New Roman" w:hAnsi="Times New Roman" w:eastAsia="新宋体" w:cs="Times New Roman"/>
          <w:color w:val="auto"/>
          <w:szCs w:val="24"/>
          <w:lang w:eastAsia="zh-CN"/>
        </w:rPr>
        <w:t>《无机化学工业污染物排放标准》（GB31573-2015）、</w:t>
      </w:r>
      <w:r>
        <w:rPr>
          <w:rFonts w:ascii="Times New Roman" w:hAnsi="Times New Roman" w:eastAsia="新宋体" w:cs="Times New Roman"/>
          <w:color w:val="auto"/>
          <w:szCs w:val="24"/>
          <w:lang w:eastAsia="zh-CN"/>
        </w:rPr>
        <w:t>《电子工业水污染物排放标准》（GB39731-2020）排放限值要求</w:t>
      </w:r>
      <w:r>
        <w:rPr>
          <w:rFonts w:hint="eastAsia" w:ascii="Times New Roman" w:hAnsi="Times New Roman" w:eastAsia="新宋体" w:cs="Times New Roman"/>
          <w:color w:val="auto"/>
          <w:szCs w:val="24"/>
          <w:lang w:eastAsia="zh-CN"/>
        </w:rPr>
        <w:t>。</w:t>
      </w:r>
    </w:p>
    <w:p w14:paraId="31613BB6">
      <w:pPr>
        <w:spacing w:line="360" w:lineRule="auto"/>
        <w:ind w:firstLine="480" w:firstLineChars="200"/>
        <w:jc w:val="both"/>
        <w:rPr>
          <w:rFonts w:ascii="Times New Roman" w:hAnsi="Times New Roman" w:eastAsia="新宋体" w:cs="Times New Roman"/>
          <w:color w:val="auto"/>
          <w:szCs w:val="24"/>
          <w:lang w:eastAsia="zh-CN"/>
        </w:rPr>
      </w:pPr>
      <w:r>
        <w:rPr>
          <w:rFonts w:hint="eastAsia" w:ascii="Times New Roman" w:hAnsi="Times New Roman" w:eastAsia="新宋体" w:cs="Times New Roman"/>
          <w:color w:val="auto"/>
          <w:szCs w:val="24"/>
          <w:lang w:eastAsia="zh-CN"/>
        </w:rPr>
        <w:t>本项目排入现有污水处理站处理的废水主要为碱喷淋塔置换废水、地面清洁废水，</w:t>
      </w:r>
      <w:r>
        <w:rPr>
          <w:rFonts w:ascii="Times New Roman" w:hAnsi="Times New Roman" w:cs="Times New Roman"/>
          <w:color w:val="000000" w:themeColor="text1"/>
          <w:szCs w:val="24"/>
          <w:lang w:eastAsia="zh-CN"/>
          <w14:textFill>
            <w14:solidFill>
              <w14:schemeClr w14:val="tx1"/>
            </w14:solidFill>
          </w14:textFill>
        </w:rPr>
        <w:t>主要污染物为</w:t>
      </w:r>
      <w:r>
        <w:rPr>
          <w:rFonts w:hint="eastAsia" w:ascii="Times New Roman" w:hAnsi="Times New Roman" w:cs="Times New Roman"/>
          <w:color w:val="000000" w:themeColor="text1"/>
          <w:szCs w:val="24"/>
          <w:lang w:eastAsia="zh-CN"/>
          <w14:textFill>
            <w14:solidFill>
              <w14:schemeClr w14:val="tx1"/>
            </w14:solidFill>
          </w14:textFill>
        </w:rPr>
        <w:t>氟化物，与现有工程废水水质相似，且本项目运行投产后，</w:t>
      </w:r>
      <w:r>
        <w:rPr>
          <w:rFonts w:ascii="Times New Roman" w:hAnsi="Times New Roman" w:cs="Times New Roman"/>
          <w:color w:val="000000" w:themeColor="text1"/>
          <w:szCs w:val="24"/>
          <w:lang w:eastAsia="zh-CN"/>
          <w14:textFill>
            <w14:solidFill>
              <w14:schemeClr w14:val="tx1"/>
            </w14:solidFill>
          </w14:textFill>
        </w:rPr>
        <w:t>全厂排入污水处理站处理废水量为3</w:t>
      </w:r>
      <w:r>
        <w:rPr>
          <w:rFonts w:hint="eastAsia" w:ascii="Times New Roman" w:hAnsi="Times New Roman" w:cs="Times New Roman"/>
          <w:color w:val="000000" w:themeColor="text1"/>
          <w:szCs w:val="24"/>
          <w:lang w:eastAsia="zh-CN"/>
          <w14:textFill>
            <w14:solidFill>
              <w14:schemeClr w14:val="tx1"/>
            </w14:solidFill>
          </w14:textFill>
        </w:rPr>
        <w:t>3.</w:t>
      </w:r>
      <w:r>
        <w:rPr>
          <w:rFonts w:ascii="Times New Roman" w:hAnsi="Times New Roman" w:cs="Times New Roman"/>
          <w:color w:val="000000" w:themeColor="text1"/>
          <w:szCs w:val="24"/>
          <w:lang w:eastAsia="zh-CN"/>
          <w14:textFill>
            <w14:solidFill>
              <w14:schemeClr w14:val="tx1"/>
            </w14:solidFill>
          </w14:textFill>
        </w:rPr>
        <w:t>6t/d，未突破污水处理站处理规模40t/d</w:t>
      </w:r>
      <w:r>
        <w:rPr>
          <w:rFonts w:hint="eastAsia" w:ascii="Times New Roman" w:hAnsi="Times New Roman" w:cs="Times New Roman"/>
          <w:color w:val="000000" w:themeColor="text1"/>
          <w:szCs w:val="24"/>
          <w:lang w:eastAsia="zh-CN"/>
          <w14:textFill>
            <w14:solidFill>
              <w14:schemeClr w14:val="tx1"/>
            </w14:solidFill>
          </w14:textFill>
        </w:rPr>
        <w:t>。本项目</w:t>
      </w:r>
      <w:r>
        <w:rPr>
          <w:rFonts w:hint="eastAsia" w:ascii="Times New Roman" w:hAnsi="Times New Roman" w:eastAsia="新宋体" w:cs="Times New Roman"/>
          <w:color w:val="auto"/>
          <w:szCs w:val="24"/>
          <w:lang w:eastAsia="zh-CN"/>
        </w:rPr>
        <w:t>碱喷淋塔置换废水、</w:t>
      </w:r>
      <w:r>
        <w:rPr>
          <w:rFonts w:hint="eastAsia" w:ascii="Times New Roman" w:hAnsi="Times New Roman" w:cs="Times New Roman"/>
          <w:color w:val="000000" w:themeColor="text1"/>
          <w:szCs w:val="24"/>
          <w:lang w:eastAsia="zh-CN"/>
          <w14:textFill>
            <w14:solidFill>
              <w14:schemeClr w14:val="tx1"/>
            </w14:solidFill>
          </w14:textFill>
        </w:rPr>
        <w:t>地面清洁</w:t>
      </w:r>
      <w:r>
        <w:rPr>
          <w:rFonts w:hint="eastAsia" w:ascii="Times New Roman" w:hAnsi="Times New Roman" w:eastAsia="新宋体" w:cs="Times New Roman"/>
          <w:color w:val="auto"/>
          <w:szCs w:val="24"/>
          <w:lang w:eastAsia="zh-CN"/>
        </w:rPr>
        <w:t>废水排入现有污水处理站后，不会对水质产生较大影响，不会对污水处理站处理能力产生冲击。</w:t>
      </w:r>
    </w:p>
    <w:p w14:paraId="34BF52BE">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fldChar w:fldCharType="begin"/>
      </w:r>
      <w:r>
        <w:rPr>
          <w:rFonts w:ascii="Times New Roman" w:hAnsi="Times New Roman" w:cs="Times New Roman"/>
          <w:color w:val="auto"/>
          <w:lang w:eastAsia="zh-CN"/>
        </w:rPr>
        <w:instrText xml:space="preserve"> </w:instrText>
      </w:r>
      <w:r>
        <w:rPr>
          <w:rFonts w:hint="eastAsia" w:ascii="Times New Roman" w:hAnsi="Times New Roman" w:cs="Times New Roman"/>
          <w:color w:val="auto"/>
          <w:lang w:eastAsia="zh-CN"/>
        </w:rPr>
        <w:instrText xml:space="preserve">= 2 \* GB3</w:instrText>
      </w:r>
      <w:r>
        <w:rPr>
          <w:rFonts w:ascii="Times New Roman" w:hAnsi="Times New Roman" w:cs="Times New Roman"/>
          <w:color w:val="auto"/>
          <w:lang w:eastAsia="zh-CN"/>
        </w:rPr>
        <w:instrText xml:space="preserve"> </w:instrText>
      </w:r>
      <w:r>
        <w:rPr>
          <w:rFonts w:ascii="Times New Roman" w:hAnsi="Times New Roman" w:cs="Times New Roman"/>
          <w:color w:val="auto"/>
          <w:lang w:eastAsia="zh-CN"/>
        </w:rPr>
        <w:fldChar w:fldCharType="separate"/>
      </w:r>
      <w:r>
        <w:rPr>
          <w:rFonts w:hint="eastAsia" w:ascii="Times New Roman" w:hAnsi="Times New Roman" w:cs="Times New Roman"/>
          <w:color w:val="auto"/>
          <w:lang w:eastAsia="zh-CN"/>
        </w:rPr>
        <w:t>②</w:t>
      </w:r>
      <w:r>
        <w:rPr>
          <w:rFonts w:ascii="Times New Roman" w:hAnsi="Times New Roman" w:cs="Times New Roman"/>
          <w:color w:val="auto"/>
          <w:lang w:eastAsia="zh-CN"/>
        </w:rPr>
        <w:fldChar w:fldCharType="end"/>
      </w:r>
      <w:r>
        <w:rPr>
          <w:rFonts w:ascii="Times New Roman" w:hAnsi="Times New Roman" w:cs="Times New Roman"/>
          <w:color w:val="auto"/>
          <w:lang w:eastAsia="zh-CN"/>
        </w:rPr>
        <w:t>根据工艺设计方案可知，</w:t>
      </w:r>
      <w:r>
        <w:rPr>
          <w:rFonts w:ascii="Times New Roman" w:hAnsi="Times New Roman" w:cs="Times New Roman"/>
          <w:color w:val="auto"/>
          <w:szCs w:val="24"/>
          <w:lang w:eastAsia="zh-CN"/>
        </w:rPr>
        <w:t>本项目废水出水水质可以满足沫河口污水处理厂接管限值</w:t>
      </w:r>
      <w:r>
        <w:rPr>
          <w:rFonts w:ascii="Times New Roman" w:hAnsi="Times New Roman" w:eastAsia="新宋体" w:cs="Times New Roman"/>
          <w:color w:val="auto"/>
          <w:szCs w:val="24"/>
          <w:lang w:eastAsia="zh-CN"/>
        </w:rPr>
        <w:t>以及</w:t>
      </w:r>
      <w:r>
        <w:rPr>
          <w:rFonts w:hint="eastAsia" w:ascii="Times New Roman" w:hAnsi="Times New Roman" w:eastAsia="新宋体" w:cs="Times New Roman"/>
          <w:color w:val="auto"/>
          <w:szCs w:val="24"/>
          <w:lang w:eastAsia="zh-CN"/>
        </w:rPr>
        <w:t>《无机化学工业污染物排放标准》（GB31573-2015）、</w:t>
      </w:r>
      <w:r>
        <w:rPr>
          <w:rFonts w:ascii="Times New Roman" w:hAnsi="Times New Roman" w:eastAsia="新宋体" w:cs="Times New Roman"/>
          <w:color w:val="auto"/>
          <w:szCs w:val="24"/>
          <w:lang w:eastAsia="zh-CN"/>
        </w:rPr>
        <w:t>《电子工业水污染物排放标准》（GB39731-2020）排放限值要求</w:t>
      </w:r>
      <w:r>
        <w:rPr>
          <w:rFonts w:ascii="Times New Roman" w:hAnsi="Times New Roman" w:cs="Times New Roman"/>
          <w:color w:val="auto"/>
          <w:szCs w:val="24"/>
          <w:lang w:eastAsia="zh-CN"/>
        </w:rPr>
        <w:t>。</w:t>
      </w:r>
      <w:r>
        <w:rPr>
          <w:rFonts w:ascii="Times New Roman" w:hAnsi="Times New Roman" w:eastAsia="新宋体" w:cs="Times New Roman"/>
          <w:color w:val="auto"/>
          <w:szCs w:val="24"/>
          <w:lang w:eastAsia="zh-CN"/>
        </w:rPr>
        <w:t>项目废水接管沫河口污水处理厂，尾水处理达到《城镇污水处理厂污染物排放标准》（GB18918-2002）中一级 A 标准后，排</w:t>
      </w:r>
      <w:r>
        <w:rPr>
          <w:rFonts w:ascii="Times New Roman" w:hAnsi="Times New Roman" w:cs="Times New Roman"/>
          <w:color w:val="auto"/>
          <w:lang w:eastAsia="zh-CN"/>
        </w:rPr>
        <w:t>入</w:t>
      </w:r>
      <w:r>
        <w:rPr>
          <w:rFonts w:ascii="Times New Roman" w:hAnsi="Times New Roman" w:cs="Times New Roman"/>
          <w:color w:val="auto"/>
          <w:szCs w:val="24"/>
          <w:lang w:eastAsia="zh-CN"/>
        </w:rPr>
        <w:t>三铺大沟</w:t>
      </w:r>
      <w:r>
        <w:rPr>
          <w:rFonts w:ascii="Times New Roman" w:hAnsi="Times New Roman" w:cs="Times New Roman"/>
          <w:color w:val="auto"/>
          <w:lang w:eastAsia="zh-CN"/>
        </w:rPr>
        <w:t>，最终汇入淮河</w:t>
      </w:r>
      <w:r>
        <w:rPr>
          <w:rFonts w:ascii="Times New Roman" w:hAnsi="Times New Roman" w:eastAsia="新宋体" w:cs="Times New Roman"/>
          <w:color w:val="auto"/>
          <w:szCs w:val="24"/>
          <w:lang w:eastAsia="zh-CN"/>
        </w:rPr>
        <w:t>。</w:t>
      </w:r>
    </w:p>
    <w:p w14:paraId="2AD623D5">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fldChar w:fldCharType="begin"/>
      </w:r>
      <w:r>
        <w:rPr>
          <w:rFonts w:ascii="Times New Roman" w:hAnsi="Times New Roman" w:cs="Times New Roman"/>
          <w:color w:val="auto"/>
          <w:lang w:eastAsia="zh-CN"/>
        </w:rPr>
        <w:instrText xml:space="preserve"> </w:instrText>
      </w:r>
      <w:r>
        <w:rPr>
          <w:rFonts w:hint="eastAsia" w:ascii="Times New Roman" w:hAnsi="Times New Roman" w:cs="Times New Roman"/>
          <w:color w:val="auto"/>
          <w:lang w:eastAsia="zh-CN"/>
        </w:rPr>
        <w:instrText xml:space="preserve">= 3 \* GB3</w:instrText>
      </w:r>
      <w:r>
        <w:rPr>
          <w:rFonts w:ascii="Times New Roman" w:hAnsi="Times New Roman" w:cs="Times New Roman"/>
          <w:color w:val="auto"/>
          <w:lang w:eastAsia="zh-CN"/>
        </w:rPr>
        <w:instrText xml:space="preserve"> </w:instrText>
      </w:r>
      <w:r>
        <w:rPr>
          <w:rFonts w:ascii="Times New Roman" w:hAnsi="Times New Roman" w:cs="Times New Roman"/>
          <w:color w:val="auto"/>
          <w:lang w:eastAsia="zh-CN"/>
        </w:rPr>
        <w:fldChar w:fldCharType="separate"/>
      </w:r>
      <w:r>
        <w:rPr>
          <w:rFonts w:hint="eastAsia" w:ascii="Times New Roman" w:hAnsi="Times New Roman" w:cs="Times New Roman"/>
          <w:color w:val="auto"/>
          <w:lang w:eastAsia="zh-CN"/>
        </w:rPr>
        <w:t>③</w:t>
      </w:r>
      <w:r>
        <w:rPr>
          <w:rFonts w:ascii="Times New Roman" w:hAnsi="Times New Roman" w:cs="Times New Roman"/>
          <w:color w:val="auto"/>
          <w:lang w:eastAsia="zh-CN"/>
        </w:rPr>
        <w:fldChar w:fldCharType="end"/>
      </w:r>
      <w:r>
        <w:rPr>
          <w:rFonts w:hint="eastAsia" w:ascii="Times New Roman" w:hAnsi="Times New Roman" w:cs="Times New Roman"/>
          <w:color w:val="auto"/>
          <w:lang w:eastAsia="zh-CN"/>
        </w:rPr>
        <w:t>根据</w:t>
      </w:r>
      <w:r>
        <w:rPr>
          <w:rFonts w:ascii="Times New Roman" w:hAnsi="Times New Roman" w:cs="Times New Roman"/>
          <w:color w:val="auto"/>
          <w:lang w:eastAsia="zh-CN"/>
        </w:rPr>
        <w:t>《排污许可证申请与核发技术规范 无机化学工业》（HJ 1035-2019）</w:t>
      </w:r>
      <w:r>
        <w:rPr>
          <w:rFonts w:hint="eastAsia" w:ascii="Times New Roman" w:hAnsi="Times New Roman" w:cs="Times New Roman"/>
          <w:color w:val="auto"/>
          <w:lang w:eastAsia="zh-CN"/>
        </w:rPr>
        <w:t>、</w:t>
      </w:r>
      <w:r>
        <w:rPr>
          <w:rFonts w:ascii="Times New Roman" w:hAnsi="Times New Roman" w:cs="Times New Roman"/>
          <w:color w:val="auto"/>
          <w:lang w:eastAsia="zh-CN"/>
        </w:rPr>
        <w:t>《排污许可证申请与核发技术规范 电子工业》（HJ1035-2019）中废水处理可行技术，本项目采用</w:t>
      </w:r>
      <w:r>
        <w:rPr>
          <w:rFonts w:hint="eastAsia" w:ascii="Times New Roman" w:hAnsi="Times New Roman" w:cs="Times New Roman"/>
          <w:color w:val="auto"/>
          <w:lang w:eastAsia="zh-CN"/>
        </w:rPr>
        <w:t>“</w:t>
      </w:r>
      <w:r>
        <w:rPr>
          <w:rFonts w:ascii="Times New Roman" w:hAnsi="Times New Roman" w:cs="Times New Roman"/>
          <w:color w:val="auto"/>
          <w:lang w:eastAsia="zh-CN"/>
        </w:rPr>
        <w:t>四级除氟反应+四级除氟沉淀</w:t>
      </w:r>
      <w:r>
        <w:rPr>
          <w:rFonts w:hint="eastAsia" w:ascii="Times New Roman" w:hAnsi="Times New Roman" w:cs="Times New Roman"/>
          <w:color w:val="auto"/>
          <w:lang w:eastAsia="zh-CN"/>
        </w:rPr>
        <w:t>”</w:t>
      </w:r>
      <w:r>
        <w:rPr>
          <w:rFonts w:ascii="Times New Roman" w:hAnsi="Times New Roman" w:cs="Times New Roman"/>
          <w:color w:val="auto"/>
          <w:lang w:eastAsia="zh-CN"/>
        </w:rPr>
        <w:t>属于可行技术，具体如下表所示。</w:t>
      </w:r>
    </w:p>
    <w:p w14:paraId="78CC5002">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表8.2-</w:t>
      </w:r>
      <w:r>
        <w:rPr>
          <w:rFonts w:hint="eastAsia" w:ascii="Times New Roman" w:hAnsi="Times New Roman" w:cs="Times New Roman"/>
          <w:b/>
          <w:bCs/>
          <w:color w:val="auto"/>
          <w:lang w:eastAsia="zh-CN"/>
        </w:rPr>
        <w:t>5</w:t>
      </w:r>
      <w:r>
        <w:rPr>
          <w:rFonts w:ascii="Times New Roman" w:hAnsi="Times New Roman" w:cs="Times New Roman"/>
          <w:b/>
          <w:bCs/>
          <w:color w:val="auto"/>
          <w:lang w:eastAsia="zh-CN"/>
        </w:rPr>
        <w:t xml:space="preserve"> 废水污染防治可行技术</w:t>
      </w:r>
    </w:p>
    <w:tbl>
      <w:tblPr>
        <w:tblStyle w:val="35"/>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276"/>
        <w:gridCol w:w="1845"/>
        <w:gridCol w:w="1841"/>
        <w:gridCol w:w="1417"/>
        <w:gridCol w:w="3260"/>
      </w:tblGrid>
      <w:tr w14:paraId="1AD889F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662" w:type="pct"/>
            <w:vAlign w:val="center"/>
          </w:tcPr>
          <w:p w14:paraId="51265A7E">
            <w:pPr>
              <w:widowControl w:val="0"/>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污染物种类</w:t>
            </w:r>
          </w:p>
        </w:tc>
        <w:tc>
          <w:tcPr>
            <w:tcW w:w="957" w:type="pct"/>
            <w:vAlign w:val="center"/>
          </w:tcPr>
          <w:p w14:paraId="476A7C73">
            <w:pPr>
              <w:widowControl w:val="0"/>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可行技术</w:t>
            </w:r>
          </w:p>
        </w:tc>
        <w:tc>
          <w:tcPr>
            <w:tcW w:w="955" w:type="pct"/>
            <w:vAlign w:val="center"/>
          </w:tcPr>
          <w:p w14:paraId="5B351819">
            <w:pPr>
              <w:widowControl w:val="0"/>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本项目处理工艺</w:t>
            </w:r>
          </w:p>
        </w:tc>
        <w:tc>
          <w:tcPr>
            <w:tcW w:w="735" w:type="pct"/>
            <w:vAlign w:val="center"/>
          </w:tcPr>
          <w:p w14:paraId="1EEA6C7F">
            <w:pPr>
              <w:widowControl w:val="0"/>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是否可行</w:t>
            </w:r>
          </w:p>
        </w:tc>
        <w:tc>
          <w:tcPr>
            <w:tcW w:w="1691" w:type="pct"/>
            <w:vAlign w:val="center"/>
          </w:tcPr>
          <w:p w14:paraId="22510FD1">
            <w:pPr>
              <w:widowControl w:val="0"/>
              <w:adjustRightInd w:val="0"/>
              <w:snapToGrid w:val="0"/>
              <w:jc w:val="center"/>
              <w:rPr>
                <w:rFonts w:ascii="Times New Roman" w:hAnsi="Times New Roman" w:cs="Times New Roman"/>
                <w:b/>
                <w:color w:val="auto"/>
                <w:sz w:val="21"/>
              </w:rPr>
            </w:pPr>
            <w:r>
              <w:rPr>
                <w:rFonts w:hint="eastAsia" w:ascii="Times New Roman" w:hAnsi="Times New Roman" w:cs="Times New Roman"/>
                <w:b/>
                <w:color w:val="auto"/>
                <w:sz w:val="21"/>
                <w:lang w:eastAsia="zh-CN"/>
              </w:rPr>
              <w:t>规范</w:t>
            </w:r>
          </w:p>
        </w:tc>
      </w:tr>
      <w:tr w14:paraId="0414897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662" w:type="pct"/>
            <w:vAlign w:val="center"/>
          </w:tcPr>
          <w:p w14:paraId="00307AD5">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氟化物</w:t>
            </w:r>
          </w:p>
        </w:tc>
        <w:tc>
          <w:tcPr>
            <w:tcW w:w="957" w:type="pct"/>
            <w:shd w:val="clear" w:color="auto" w:fill="FFFFFF" w:themeFill="background1"/>
            <w:vAlign w:val="center"/>
          </w:tcPr>
          <w:p w14:paraId="5EE4EB29">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氧化钙脱氟、混凝沉淀</w:t>
            </w:r>
          </w:p>
        </w:tc>
        <w:tc>
          <w:tcPr>
            <w:tcW w:w="955" w:type="pct"/>
            <w:vMerge w:val="restart"/>
            <w:vAlign w:val="center"/>
          </w:tcPr>
          <w:p w14:paraId="0F1E5D10">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四级除氟反应+四级除氟沉淀</w:t>
            </w:r>
          </w:p>
        </w:tc>
        <w:tc>
          <w:tcPr>
            <w:tcW w:w="735" w:type="pct"/>
            <w:vAlign w:val="center"/>
          </w:tcPr>
          <w:p w14:paraId="1AE4F685">
            <w:pPr>
              <w:widowControl w:val="0"/>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可行</w:t>
            </w:r>
          </w:p>
        </w:tc>
        <w:tc>
          <w:tcPr>
            <w:tcW w:w="1691" w:type="pct"/>
            <w:vAlign w:val="center"/>
          </w:tcPr>
          <w:p w14:paraId="5CD21FA3">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《排污许可证申请与核发技术规范 无机化学工业》（HJ 1035-2019）</w:t>
            </w:r>
          </w:p>
        </w:tc>
      </w:tr>
      <w:tr w14:paraId="4A9FE2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662" w:type="pct"/>
            <w:vAlign w:val="center"/>
          </w:tcPr>
          <w:p w14:paraId="22EA0DCB">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氟化物</w:t>
            </w:r>
          </w:p>
        </w:tc>
        <w:tc>
          <w:tcPr>
            <w:tcW w:w="957" w:type="pct"/>
            <w:shd w:val="clear" w:color="auto" w:fill="FFFFFF" w:themeFill="background1"/>
            <w:vAlign w:val="center"/>
          </w:tcPr>
          <w:p w14:paraId="081FF8BF">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化学沉淀法</w:t>
            </w:r>
          </w:p>
        </w:tc>
        <w:tc>
          <w:tcPr>
            <w:tcW w:w="955" w:type="pct"/>
            <w:vMerge w:val="continue"/>
            <w:vAlign w:val="center"/>
          </w:tcPr>
          <w:p w14:paraId="4D965C40">
            <w:pPr>
              <w:widowControl w:val="0"/>
              <w:adjustRightInd w:val="0"/>
              <w:snapToGrid w:val="0"/>
              <w:jc w:val="center"/>
              <w:rPr>
                <w:rFonts w:ascii="Times New Roman" w:hAnsi="Times New Roman" w:cs="Times New Roman"/>
                <w:color w:val="auto"/>
                <w:sz w:val="21"/>
                <w:lang w:eastAsia="zh-CN"/>
              </w:rPr>
            </w:pPr>
          </w:p>
        </w:tc>
        <w:tc>
          <w:tcPr>
            <w:tcW w:w="735" w:type="pct"/>
            <w:vAlign w:val="center"/>
          </w:tcPr>
          <w:p w14:paraId="1C5DEB2E">
            <w:pPr>
              <w:widowControl w:val="0"/>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可行</w:t>
            </w:r>
          </w:p>
        </w:tc>
        <w:tc>
          <w:tcPr>
            <w:tcW w:w="1691" w:type="pct"/>
            <w:vAlign w:val="center"/>
          </w:tcPr>
          <w:p w14:paraId="5A13F4B6">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《排污许可证申请与核发技术规范 电子工业》（HJ1035-2019）</w:t>
            </w:r>
          </w:p>
        </w:tc>
      </w:tr>
    </w:tbl>
    <w:p w14:paraId="446C847A">
      <w:pPr>
        <w:autoSpaceDE w:val="0"/>
        <w:autoSpaceDN w:val="0"/>
        <w:adjustRightInd w:val="0"/>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ascii="Times New Roman" w:hAnsi="Times New Roman" w:cs="Times New Roman"/>
          <w:color w:val="000000" w:themeColor="text1"/>
          <w:szCs w:val="24"/>
          <w:lang w:eastAsia="zh-CN"/>
          <w14:textFill>
            <w14:solidFill>
              <w14:schemeClr w14:val="tx1"/>
            </w14:solidFill>
          </w14:textFill>
        </w:rPr>
        <w:t>参照其他省市发布的《氟化工行业废水和废水治理工程技术规范》（DB35/T 1626-2016）中“7.2 废水工艺路线选择”，无机氟化物（氟化氢）生产企业可选择一级或者一级+深度处理工艺，无机氟化物生产废水典型处理流程如下图：</w:t>
      </w:r>
    </w:p>
    <w:p w14:paraId="12230EBF">
      <w:pPr>
        <w:autoSpaceDE w:val="0"/>
        <w:autoSpaceDN w:val="0"/>
        <w:adjustRightInd w:val="0"/>
        <w:spacing w:line="360" w:lineRule="auto"/>
        <w:jc w:val="center"/>
        <w:rPr>
          <w:color w:val="000000" w:themeColor="text1"/>
          <w:szCs w:val="24"/>
          <w14:textFill>
            <w14:solidFill>
              <w14:schemeClr w14:val="tx1"/>
            </w14:solidFill>
          </w14:textFill>
        </w:rPr>
      </w:pPr>
      <w:r>
        <w:rPr>
          <w:color w:val="000000" w:themeColor="text1"/>
          <w:szCs w:val="24"/>
          <w14:textFill>
            <w14:solidFill>
              <w14:schemeClr w14:val="tx1"/>
            </w14:solidFill>
          </w14:textFill>
        </w:rPr>
        <w:drawing>
          <wp:inline distT="0" distB="0" distL="0" distR="0">
            <wp:extent cx="5274945" cy="1827530"/>
            <wp:effectExtent l="19050" t="19050" r="20955" b="20279"/>
            <wp:docPr id="91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 name="图片 29"/>
                    <pic:cNvPicPr>
                      <a:picLocks noChangeAspect="1" noChangeArrowheads="1"/>
                    </pic:cNvPicPr>
                  </pic:nvPicPr>
                  <pic:blipFill>
                    <a:blip r:embed="rId126" cstate="print"/>
                    <a:srcRect/>
                    <a:stretch>
                      <a:fillRect/>
                    </a:stretch>
                  </pic:blipFill>
                  <pic:spPr>
                    <a:xfrm>
                      <a:off x="0" y="0"/>
                      <a:ext cx="5274945" cy="1827571"/>
                    </a:xfrm>
                    <a:prstGeom prst="rect">
                      <a:avLst/>
                    </a:prstGeom>
                    <a:noFill/>
                    <a:ln w="12700">
                      <a:solidFill>
                        <a:schemeClr val="tx1"/>
                      </a:solidFill>
                      <a:miter lim="800000"/>
                      <a:headEnd/>
                      <a:tailEnd/>
                    </a:ln>
                  </pic:spPr>
                </pic:pic>
              </a:graphicData>
            </a:graphic>
          </wp:inline>
        </w:drawing>
      </w:r>
    </w:p>
    <w:p w14:paraId="65F9615E">
      <w:pPr>
        <w:spacing w:line="360" w:lineRule="auto"/>
        <w:jc w:val="center"/>
        <w:rPr>
          <w:rFonts w:ascii="Times New Roman" w:hAnsi="Times New Roman" w:cs="Times New Roman"/>
          <w:b/>
          <w:color w:val="000000" w:themeColor="text1"/>
          <w:szCs w:val="24"/>
          <w:lang w:eastAsia="zh-CN"/>
          <w14:textFill>
            <w14:solidFill>
              <w14:schemeClr w14:val="tx1"/>
            </w14:solidFill>
          </w14:textFill>
        </w:rPr>
      </w:pPr>
      <w:r>
        <w:rPr>
          <w:rFonts w:ascii="Times New Roman" w:hAnsi="Times New Roman" w:cs="Times New Roman"/>
          <w:b/>
          <w:color w:val="000000" w:themeColor="text1"/>
          <w:szCs w:val="24"/>
          <w:lang w:eastAsia="zh-CN"/>
          <w14:textFill>
            <w14:solidFill>
              <w14:schemeClr w14:val="tx1"/>
            </w14:solidFill>
          </w14:textFill>
        </w:rPr>
        <w:t>图</w:t>
      </w:r>
      <w:r>
        <w:rPr>
          <w:rFonts w:hint="eastAsia" w:ascii="Times New Roman" w:hAnsi="Times New Roman" w:cs="Times New Roman"/>
          <w:b/>
          <w:color w:val="000000" w:themeColor="text1"/>
          <w:szCs w:val="24"/>
          <w:lang w:eastAsia="zh-CN"/>
          <w14:textFill>
            <w14:solidFill>
              <w14:schemeClr w14:val="tx1"/>
            </w14:solidFill>
          </w14:textFill>
        </w:rPr>
        <w:t>8</w:t>
      </w:r>
      <w:r>
        <w:rPr>
          <w:rFonts w:ascii="Times New Roman" w:hAnsi="Times New Roman" w:cs="Times New Roman"/>
          <w:b/>
          <w:color w:val="000000" w:themeColor="text1"/>
          <w:szCs w:val="24"/>
          <w:lang w:eastAsia="zh-CN"/>
          <w14:textFill>
            <w14:solidFill>
              <w14:schemeClr w14:val="tx1"/>
            </w14:solidFill>
          </w14:textFill>
        </w:rPr>
        <w:t>.2-3  无机氟化物生产废水典型处理工艺</w:t>
      </w:r>
    </w:p>
    <w:p w14:paraId="01B6BE52">
      <w:pPr>
        <w:autoSpaceDE w:val="0"/>
        <w:autoSpaceDN w:val="0"/>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ascii="Times New Roman" w:hAnsi="Times New Roman" w:cs="Times New Roman"/>
          <w:color w:val="000000" w:themeColor="text1"/>
          <w:szCs w:val="24"/>
          <w:lang w:eastAsia="zh-CN"/>
          <w14:textFill>
            <w14:solidFill>
              <w14:schemeClr w14:val="tx1"/>
            </w14:solidFill>
          </w14:textFill>
        </w:rPr>
        <w:t>综上，</w:t>
      </w:r>
      <w:r>
        <w:rPr>
          <w:rFonts w:hint="eastAsia" w:ascii="Times New Roman" w:hAnsi="Times New Roman" w:cs="Times New Roman"/>
          <w:color w:val="000000" w:themeColor="text1"/>
          <w:szCs w:val="24"/>
          <w:lang w:eastAsia="zh-CN"/>
          <w14:textFill>
            <w14:solidFill>
              <w14:schemeClr w14:val="tx1"/>
            </w14:solidFill>
          </w14:textFill>
        </w:rPr>
        <w:t>本项目</w:t>
      </w:r>
      <w:r>
        <w:rPr>
          <w:rFonts w:hint="eastAsia" w:ascii="Times New Roman" w:hAnsi="Times New Roman" w:eastAsia="新宋体" w:cs="Times New Roman"/>
          <w:color w:val="auto"/>
          <w:szCs w:val="24"/>
          <w:lang w:eastAsia="zh-CN"/>
        </w:rPr>
        <w:t>碱喷淋塔置换废水、地面清洁废水依托现有污水处理站</w:t>
      </w:r>
      <w:r>
        <w:rPr>
          <w:rFonts w:hint="eastAsia" w:ascii="Times New Roman" w:hAnsi="Times New Roman" w:cs="Times New Roman"/>
          <w:color w:val="000000" w:themeColor="text1"/>
          <w:szCs w:val="24"/>
          <w:lang w:eastAsia="zh-CN"/>
          <w14:textFill>
            <w14:solidFill>
              <w14:schemeClr w14:val="tx1"/>
            </w14:solidFill>
          </w14:textFill>
        </w:rPr>
        <w:t>“</w:t>
      </w:r>
      <w:r>
        <w:rPr>
          <w:rFonts w:ascii="Times New Roman" w:hAnsi="Times New Roman" w:cs="Times New Roman"/>
          <w:color w:val="000000" w:themeColor="text1"/>
          <w:szCs w:val="24"/>
          <w:lang w:eastAsia="zh-CN"/>
          <w14:textFill>
            <w14:solidFill>
              <w14:schemeClr w14:val="tx1"/>
            </w14:solidFill>
          </w14:textFill>
        </w:rPr>
        <w:t>四级除氟反应+四级除氟沉淀</w:t>
      </w:r>
      <w:r>
        <w:rPr>
          <w:rFonts w:hint="eastAsia" w:ascii="Times New Roman" w:hAnsi="Times New Roman" w:cs="Times New Roman"/>
          <w:color w:val="000000" w:themeColor="text1"/>
          <w:szCs w:val="24"/>
          <w:lang w:eastAsia="zh-CN"/>
          <w14:textFill>
            <w14:solidFill>
              <w14:schemeClr w14:val="tx1"/>
            </w14:solidFill>
          </w14:textFill>
        </w:rPr>
        <w:t>”</w:t>
      </w:r>
      <w:r>
        <w:rPr>
          <w:rFonts w:ascii="Times New Roman" w:hAnsi="Times New Roman" w:cs="Times New Roman"/>
          <w:color w:val="000000" w:themeColor="text1"/>
          <w:szCs w:val="24"/>
          <w:lang w:eastAsia="zh-CN"/>
          <w14:textFill>
            <w14:solidFill>
              <w14:schemeClr w14:val="tx1"/>
            </w14:solidFill>
          </w14:textFill>
        </w:rPr>
        <w:t>工艺</w:t>
      </w:r>
      <w:r>
        <w:rPr>
          <w:rFonts w:hint="eastAsia" w:ascii="Times New Roman" w:hAnsi="Times New Roman" w:cs="Times New Roman"/>
          <w:color w:val="000000" w:themeColor="text1"/>
          <w:szCs w:val="24"/>
          <w:lang w:eastAsia="zh-CN"/>
          <w14:textFill>
            <w14:solidFill>
              <w14:schemeClr w14:val="tx1"/>
            </w14:solidFill>
          </w14:textFill>
        </w:rPr>
        <w:t>可行</w:t>
      </w:r>
      <w:r>
        <w:rPr>
          <w:rFonts w:ascii="Times New Roman" w:hAnsi="Times New Roman" w:cs="Times New Roman"/>
          <w:color w:val="000000" w:themeColor="text1"/>
          <w:szCs w:val="24"/>
          <w:lang w:eastAsia="zh-CN"/>
          <w14:textFill>
            <w14:solidFill>
              <w14:schemeClr w14:val="tx1"/>
            </w14:solidFill>
          </w14:textFill>
        </w:rPr>
        <w:t>，</w:t>
      </w:r>
      <w:r>
        <w:rPr>
          <w:rFonts w:hint="eastAsia" w:ascii="Times New Roman" w:hAnsi="Times New Roman" w:cs="Times New Roman"/>
          <w:color w:val="000000" w:themeColor="text1"/>
          <w:szCs w:val="24"/>
          <w:lang w:eastAsia="zh-CN"/>
          <w14:textFill>
            <w14:solidFill>
              <w14:schemeClr w14:val="tx1"/>
            </w14:solidFill>
          </w14:textFill>
        </w:rPr>
        <w:t>且厂区</w:t>
      </w:r>
      <w:r>
        <w:rPr>
          <w:rFonts w:ascii="Times New Roman" w:hAnsi="Times New Roman" w:cs="Times New Roman"/>
          <w:color w:val="000000" w:themeColor="text1"/>
          <w:szCs w:val="24"/>
          <w:lang w:eastAsia="zh-CN"/>
          <w14:textFill>
            <w14:solidFill>
              <w14:schemeClr w14:val="tx1"/>
            </w14:solidFill>
          </w14:textFill>
        </w:rPr>
        <w:t>总排口</w:t>
      </w:r>
      <w:r>
        <w:rPr>
          <w:rFonts w:hint="eastAsia" w:ascii="Times New Roman" w:hAnsi="Times New Roman" w:cs="Times New Roman"/>
          <w:color w:val="000000" w:themeColor="text1"/>
          <w:szCs w:val="24"/>
          <w:lang w:eastAsia="zh-CN"/>
          <w14:textFill>
            <w14:solidFill>
              <w14:schemeClr w14:val="tx1"/>
            </w14:solidFill>
          </w14:textFill>
        </w:rPr>
        <w:t>已</w:t>
      </w:r>
      <w:r>
        <w:rPr>
          <w:rFonts w:ascii="Times New Roman" w:hAnsi="Times New Roman" w:cs="Times New Roman"/>
          <w:color w:val="000000" w:themeColor="text1"/>
          <w:szCs w:val="24"/>
          <w:lang w:eastAsia="zh-CN"/>
          <w14:textFill>
            <w14:solidFill>
              <w14:schemeClr w14:val="tx1"/>
            </w14:solidFill>
          </w14:textFill>
        </w:rPr>
        <w:t>设置氟化物在线监控设施，确保厂区总排口水质能够满足沫河口污水处理厂接管限值及《无机化学工业污染物排放标准》（GB31573-2015）</w:t>
      </w:r>
      <w:r>
        <w:rPr>
          <w:rFonts w:hint="eastAsia" w:ascii="Times New Roman" w:hAnsi="Times New Roman" w:cs="Times New Roman"/>
          <w:color w:val="000000" w:themeColor="text1"/>
          <w:szCs w:val="24"/>
          <w:lang w:eastAsia="zh-CN"/>
          <w14:textFill>
            <w14:solidFill>
              <w14:schemeClr w14:val="tx1"/>
            </w14:solidFill>
          </w14:textFill>
        </w:rPr>
        <w:t>、</w:t>
      </w:r>
      <w:r>
        <w:rPr>
          <w:rFonts w:ascii="Times New Roman" w:hAnsi="Times New Roman" w:cs="Times New Roman"/>
          <w:color w:val="000000" w:themeColor="text1"/>
          <w:szCs w:val="24"/>
          <w:lang w:eastAsia="zh-CN"/>
          <w14:textFill>
            <w14:solidFill>
              <w14:schemeClr w14:val="tx1"/>
            </w14:solidFill>
          </w14:textFill>
        </w:rPr>
        <w:t>《电子工业水污染物排放标准》（GB39731-2020）</w:t>
      </w:r>
      <w:r>
        <w:rPr>
          <w:rFonts w:hint="eastAsia" w:ascii="Times New Roman" w:hAnsi="Times New Roman" w:cs="Times New Roman"/>
          <w:color w:val="000000" w:themeColor="text1"/>
          <w:szCs w:val="24"/>
          <w:lang w:eastAsia="zh-CN"/>
          <w14:textFill>
            <w14:solidFill>
              <w14:schemeClr w14:val="tx1"/>
            </w14:solidFill>
          </w14:textFill>
        </w:rPr>
        <w:t>限值</w:t>
      </w:r>
      <w:r>
        <w:rPr>
          <w:rFonts w:ascii="Times New Roman" w:hAnsi="Times New Roman" w:cs="Times New Roman"/>
          <w:color w:val="000000" w:themeColor="text1"/>
          <w:szCs w:val="24"/>
          <w:lang w:eastAsia="zh-CN"/>
          <w14:textFill>
            <w14:solidFill>
              <w14:schemeClr w14:val="tx1"/>
            </w14:solidFill>
          </w14:textFill>
        </w:rPr>
        <w:t>要求后由园区污水管网进入沫河口污水处理厂中处理。</w:t>
      </w:r>
    </w:p>
    <w:p w14:paraId="5701D629">
      <w:pPr>
        <w:pStyle w:val="74"/>
        <w:ind w:firstLine="482"/>
        <w:rPr>
          <w:rFonts w:cs="Times New Roman"/>
          <w:color w:val="auto"/>
          <w:lang w:eastAsia="zh-CN"/>
        </w:rPr>
      </w:pPr>
      <w:r>
        <w:rPr>
          <w:rFonts w:cs="Times New Roman"/>
          <w:color w:val="auto"/>
          <w:lang w:eastAsia="zh-CN"/>
        </w:rPr>
        <w:t>8.2.</w:t>
      </w:r>
      <w:r>
        <w:rPr>
          <w:rFonts w:hint="eastAsia" w:cs="Times New Roman"/>
          <w:color w:val="auto"/>
          <w:lang w:eastAsia="zh-CN"/>
        </w:rPr>
        <w:t>3</w:t>
      </w:r>
      <w:r>
        <w:rPr>
          <w:rFonts w:cs="Times New Roman"/>
          <w:color w:val="auto"/>
          <w:lang w:eastAsia="zh-CN"/>
        </w:rPr>
        <w:t>.3 废水接管可行性分析</w:t>
      </w:r>
      <w:bookmarkEnd w:id="2427"/>
    </w:p>
    <w:p w14:paraId="7C81C5A6">
      <w:pPr>
        <w:spacing w:line="360" w:lineRule="auto"/>
        <w:ind w:firstLine="482" w:firstLineChars="200"/>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1、园区概况</w:t>
      </w:r>
    </w:p>
    <w:p w14:paraId="19885A95">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沫河口污水厂位于蚌埠精细化工产业基地金漴路和南环路交叉口东北侧，接管范围主要为安徽蚌埠精细化工高新技术产业基地内工业废水及生活污水。设计规模为5万m</w:t>
      </w:r>
      <w:r>
        <w:rPr>
          <w:rFonts w:ascii="Times New Roman" w:hAnsi="Times New Roman" w:cs="Times New Roman"/>
          <w:color w:val="auto"/>
          <w:szCs w:val="24"/>
          <w:vertAlign w:val="superscript"/>
          <w:lang w:eastAsia="zh-CN"/>
        </w:rPr>
        <w:t>3</w:t>
      </w:r>
      <w:r>
        <w:rPr>
          <w:rFonts w:ascii="Times New Roman" w:hAnsi="Times New Roman" w:cs="Times New Roman"/>
          <w:color w:val="auto"/>
          <w:szCs w:val="24"/>
          <w:lang w:eastAsia="zh-CN"/>
        </w:rPr>
        <w:t>/d，其中2万m</w:t>
      </w:r>
      <w:r>
        <w:rPr>
          <w:rFonts w:ascii="Times New Roman" w:hAnsi="Times New Roman" w:cs="Times New Roman"/>
          <w:color w:val="auto"/>
          <w:szCs w:val="24"/>
          <w:vertAlign w:val="superscript"/>
          <w:lang w:eastAsia="zh-CN"/>
        </w:rPr>
        <w:t>3</w:t>
      </w:r>
      <w:r>
        <w:rPr>
          <w:rFonts w:ascii="Times New Roman" w:hAnsi="Times New Roman" w:cs="Times New Roman"/>
          <w:color w:val="auto"/>
          <w:szCs w:val="24"/>
          <w:lang w:eastAsia="zh-CN"/>
        </w:rPr>
        <w:t>/d规模已验收且正常运营，规划3万m</w:t>
      </w:r>
      <w:r>
        <w:rPr>
          <w:rFonts w:ascii="Times New Roman" w:hAnsi="Times New Roman" w:cs="Times New Roman"/>
          <w:color w:val="auto"/>
          <w:szCs w:val="24"/>
          <w:vertAlign w:val="superscript"/>
          <w:lang w:eastAsia="zh-CN"/>
        </w:rPr>
        <w:t>3</w:t>
      </w:r>
      <w:r>
        <w:rPr>
          <w:rFonts w:ascii="Times New Roman" w:hAnsi="Times New Roman" w:cs="Times New Roman"/>
          <w:color w:val="auto"/>
          <w:szCs w:val="24"/>
          <w:lang w:eastAsia="zh-CN"/>
        </w:rPr>
        <w:t>/d已投入试运行，已完成环保竣工验收。区内管道已铺设到位，企业废水经沫河口污水处理厂处理达到《城镇污水处理厂污染物排放标准》(GB18918-2002)一级A标准后经过污水处理厂的排污口，经三铺大沟最终排放进入淮河。</w:t>
      </w:r>
    </w:p>
    <w:p w14:paraId="1F07C18D">
      <w:pPr>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表8.2-</w:t>
      </w:r>
      <w:r>
        <w:rPr>
          <w:rFonts w:hint="eastAsia" w:ascii="Times New Roman" w:hAnsi="Times New Roman" w:cs="Times New Roman"/>
          <w:b/>
          <w:bCs/>
          <w:color w:val="auto"/>
          <w:szCs w:val="24"/>
          <w:lang w:eastAsia="zh-CN"/>
        </w:rPr>
        <w:t>6</w:t>
      </w:r>
      <w:r>
        <w:rPr>
          <w:rFonts w:ascii="Times New Roman" w:hAnsi="Times New Roman" w:cs="Times New Roman"/>
          <w:b/>
          <w:bCs/>
          <w:color w:val="auto"/>
          <w:szCs w:val="24"/>
          <w:lang w:eastAsia="zh-CN"/>
        </w:rPr>
        <w:t xml:space="preserve"> 沫河口污水处理厂基本情况一览表</w:t>
      </w:r>
    </w:p>
    <w:tbl>
      <w:tblPr>
        <w:tblStyle w:val="35"/>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873"/>
        <w:gridCol w:w="4446"/>
        <w:gridCol w:w="3320"/>
      </w:tblGrid>
      <w:tr w14:paraId="58C9605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972" w:type="pct"/>
            <w:noWrap/>
            <w:vAlign w:val="center"/>
          </w:tcPr>
          <w:p w14:paraId="0798F34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分期</w:t>
            </w:r>
          </w:p>
        </w:tc>
        <w:tc>
          <w:tcPr>
            <w:tcW w:w="2306" w:type="pct"/>
            <w:vAlign w:val="center"/>
          </w:tcPr>
          <w:p w14:paraId="11B98EFD">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二期（一期已停运不再使用）</w:t>
            </w:r>
          </w:p>
        </w:tc>
        <w:tc>
          <w:tcPr>
            <w:tcW w:w="1722" w:type="pct"/>
            <w:vAlign w:val="center"/>
          </w:tcPr>
          <w:p w14:paraId="16AF292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三期</w:t>
            </w:r>
          </w:p>
        </w:tc>
      </w:tr>
      <w:tr w14:paraId="58DB6D7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972" w:type="pct"/>
            <w:noWrap/>
            <w:vAlign w:val="center"/>
          </w:tcPr>
          <w:p w14:paraId="4082519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设计处理规模</w:t>
            </w:r>
          </w:p>
        </w:tc>
        <w:tc>
          <w:tcPr>
            <w:tcW w:w="2306" w:type="pct"/>
            <w:vAlign w:val="center"/>
          </w:tcPr>
          <w:p w14:paraId="6280A8C1">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2万t/d</w:t>
            </w:r>
          </w:p>
        </w:tc>
        <w:tc>
          <w:tcPr>
            <w:tcW w:w="1722" w:type="pct"/>
            <w:vAlign w:val="center"/>
          </w:tcPr>
          <w:p w14:paraId="7CD6D5F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3万t/d</w:t>
            </w:r>
          </w:p>
        </w:tc>
      </w:tr>
      <w:tr w14:paraId="655A171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972" w:type="pct"/>
            <w:noWrap/>
            <w:vAlign w:val="center"/>
          </w:tcPr>
          <w:p w14:paraId="7503A7D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建成规模</w:t>
            </w:r>
          </w:p>
        </w:tc>
        <w:tc>
          <w:tcPr>
            <w:tcW w:w="2306" w:type="pct"/>
            <w:vAlign w:val="center"/>
          </w:tcPr>
          <w:p w14:paraId="284A46E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2万t/d</w:t>
            </w:r>
          </w:p>
        </w:tc>
        <w:tc>
          <w:tcPr>
            <w:tcW w:w="1722" w:type="pct"/>
            <w:vAlign w:val="center"/>
          </w:tcPr>
          <w:p w14:paraId="44900D46">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3万t/d</w:t>
            </w:r>
          </w:p>
        </w:tc>
      </w:tr>
      <w:tr w14:paraId="7EA4F76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972" w:type="pct"/>
            <w:noWrap/>
            <w:vAlign w:val="center"/>
          </w:tcPr>
          <w:p w14:paraId="4C348CF8">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服务范围</w:t>
            </w:r>
          </w:p>
        </w:tc>
        <w:tc>
          <w:tcPr>
            <w:tcW w:w="4028" w:type="pct"/>
            <w:gridSpan w:val="2"/>
            <w:vAlign w:val="center"/>
          </w:tcPr>
          <w:p w14:paraId="1710E81A">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安徽蚌埠精细化工高新技术产业基地内工业废水及生活污水</w:t>
            </w:r>
          </w:p>
        </w:tc>
      </w:tr>
      <w:tr w14:paraId="2FF819D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972" w:type="pct"/>
            <w:noWrap/>
            <w:vAlign w:val="center"/>
          </w:tcPr>
          <w:p w14:paraId="19B3E89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处理工艺</w:t>
            </w:r>
          </w:p>
        </w:tc>
        <w:tc>
          <w:tcPr>
            <w:tcW w:w="2306" w:type="pct"/>
            <w:vAlign w:val="center"/>
          </w:tcPr>
          <w:p w14:paraId="25EF7985">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进水泵房+曝气沉砂池+调节及事故池+水解酸化池+生物反应及沉淀池+反应沉淀池+臭氧接触池+中间提升池+曝气生物滤池+滤布滤池及消毒池+出水井</w:t>
            </w:r>
          </w:p>
        </w:tc>
        <w:tc>
          <w:tcPr>
            <w:tcW w:w="1722" w:type="pct"/>
            <w:vAlign w:val="center"/>
          </w:tcPr>
          <w:p w14:paraId="6F15BCC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水解酸化+A2/O 生化处理＋磁介质高效沉淀池+反硝化深床滤池+接触消毒</w:t>
            </w:r>
          </w:p>
        </w:tc>
      </w:tr>
      <w:tr w14:paraId="7DE274B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972" w:type="pct"/>
            <w:noWrap/>
            <w:vAlign w:val="center"/>
          </w:tcPr>
          <w:p w14:paraId="5C0487E6">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环评批复</w:t>
            </w:r>
          </w:p>
        </w:tc>
        <w:tc>
          <w:tcPr>
            <w:tcW w:w="2306" w:type="pct"/>
            <w:vAlign w:val="center"/>
          </w:tcPr>
          <w:p w14:paraId="34DE7C3D">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淮环许[2017]27号</w:t>
            </w:r>
          </w:p>
        </w:tc>
        <w:tc>
          <w:tcPr>
            <w:tcW w:w="1722" w:type="pct"/>
            <w:vAlign w:val="center"/>
          </w:tcPr>
          <w:p w14:paraId="56510966">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淮环许[2021]14号</w:t>
            </w:r>
          </w:p>
        </w:tc>
      </w:tr>
      <w:tr w14:paraId="40D1699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972" w:type="pct"/>
            <w:noWrap/>
            <w:vAlign w:val="center"/>
          </w:tcPr>
          <w:p w14:paraId="73A417BF">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竣工验收</w:t>
            </w:r>
          </w:p>
        </w:tc>
        <w:tc>
          <w:tcPr>
            <w:tcW w:w="2306" w:type="pct"/>
            <w:vAlign w:val="center"/>
          </w:tcPr>
          <w:p w14:paraId="792FEC0D">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已自主验收</w:t>
            </w:r>
          </w:p>
        </w:tc>
        <w:tc>
          <w:tcPr>
            <w:tcW w:w="1722" w:type="pct"/>
            <w:vAlign w:val="center"/>
          </w:tcPr>
          <w:p w14:paraId="3E7F9DB1">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已自主验收</w:t>
            </w:r>
          </w:p>
        </w:tc>
      </w:tr>
      <w:tr w14:paraId="0ADDAD4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972" w:type="pct"/>
            <w:noWrap/>
            <w:vAlign w:val="center"/>
          </w:tcPr>
          <w:p w14:paraId="3CCC9AF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排放去向及标准</w:t>
            </w:r>
          </w:p>
        </w:tc>
        <w:tc>
          <w:tcPr>
            <w:tcW w:w="4028" w:type="pct"/>
            <w:gridSpan w:val="2"/>
            <w:vAlign w:val="center"/>
          </w:tcPr>
          <w:p w14:paraId="1062297D">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淮河（蚌埠段）</w:t>
            </w:r>
          </w:p>
          <w:p w14:paraId="20DE4A86">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《城镇污水处理厂污染物排放标准》(GB18918-2002)表1 中的一级A标准</w:t>
            </w:r>
          </w:p>
        </w:tc>
      </w:tr>
    </w:tbl>
    <w:p w14:paraId="754E4CC5">
      <w:pPr>
        <w:adjustRightInd w:val="0"/>
        <w:snapToGrid w:val="0"/>
        <w:spacing w:line="360" w:lineRule="auto"/>
        <w:jc w:val="center"/>
        <w:rPr>
          <w:rFonts w:ascii="Times New Roman" w:hAnsi="Times New Roman" w:eastAsia="黑体" w:cs="Times New Roman"/>
          <w:bCs/>
          <w:snapToGrid/>
          <w:color w:val="auto"/>
          <w:spacing w:val="-2"/>
          <w:szCs w:val="24"/>
          <w:lang w:eastAsia="zh-CN"/>
        </w:rPr>
      </w:pPr>
      <w:r>
        <w:rPr>
          <w:rFonts w:ascii="Times New Roman" w:hAnsi="Times New Roman" w:cs="Times New Roman"/>
          <w:bCs/>
          <w:color w:val="auto"/>
          <w:szCs w:val="28"/>
        </w:rPr>
        <w:object>
          <v:shape id="_x0000_i1034" o:spt="75" type="#_x0000_t75" style="height:250.65pt;width:487.7pt;" o:ole="t" filled="f" coordsize="21600,21600">
            <v:path/>
            <v:fill on="f" focussize="0,0"/>
            <v:stroke/>
            <v:imagedata r:id="rId128" o:title=""/>
            <o:lock v:ext="edit" aspectratio="f"/>
            <w10:wrap type="none"/>
            <w10:anchorlock/>
          </v:shape>
          <o:OLEObject Type="Embed" ProgID="Visio.Drawing.11" ShapeID="_x0000_i1034" DrawAspect="Content" ObjectID="_1468075734" r:id="rId127">
            <o:LockedField>false</o:LockedField>
          </o:OLEObject>
        </w:object>
      </w:r>
      <w:r>
        <w:rPr>
          <w:rFonts w:ascii="Times New Roman" w:hAnsi="Times New Roman" w:cs="Times New Roman"/>
          <w:b/>
          <w:snapToGrid/>
          <w:color w:val="auto"/>
          <w:spacing w:val="-2"/>
          <w:szCs w:val="24"/>
          <w:lang w:eastAsia="zh-CN"/>
        </w:rPr>
        <w:t>图8.2-</w:t>
      </w:r>
      <w:r>
        <w:rPr>
          <w:rFonts w:hint="eastAsia" w:ascii="Times New Roman" w:hAnsi="Times New Roman" w:cs="Times New Roman"/>
          <w:b/>
          <w:snapToGrid/>
          <w:color w:val="auto"/>
          <w:spacing w:val="-2"/>
          <w:szCs w:val="24"/>
          <w:lang w:eastAsia="zh-CN"/>
        </w:rPr>
        <w:t>4</w:t>
      </w:r>
      <w:r>
        <w:rPr>
          <w:rFonts w:ascii="Times New Roman" w:hAnsi="Times New Roman" w:cs="Times New Roman"/>
          <w:b/>
          <w:snapToGrid/>
          <w:color w:val="auto"/>
          <w:spacing w:val="-2"/>
          <w:szCs w:val="24"/>
          <w:lang w:eastAsia="zh-CN"/>
        </w:rPr>
        <w:t xml:space="preserve"> 沫河口污水处理厂污水处理工艺流程图</w:t>
      </w:r>
    </w:p>
    <w:p w14:paraId="57E40DB0">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沫河口污水厂具体工艺为：</w:t>
      </w:r>
    </w:p>
    <w:p w14:paraId="62EDF6F8">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污水首先经粗格栅去除较大的漂浮物后，经潜污泵提升后经过细格栅，进一步拦截和去除污水中细小悬浮物，再经过沉砂池进行沉砂，分离后去除污水中的砂粒，再进入调节池和水解酸化池，提高废水的可生化性和降解速度，经上述预处理后的污水进入A2/O生物池，依次经过厌氧段、缺氧段和好氧段的处理后，进入磁介质沉淀池进行高效泥水分离，沉淀池底泥排入储泥池，进入污泥脱水机房，经均化处理后，送至带式脱水机，脱水后的泥饼外运处置，上清液进入反硝化深床滤池、接触消毒池分别进行进一步脱硝和消毒，消毒后的尾水达到《城镇污水处理厂污染物排放标准》（GB18918-2002）中一级A标准要求，排入三铺大沟，最终进入淮河（蚌埠段）。</w:t>
      </w:r>
    </w:p>
    <w:p w14:paraId="5E2886B9">
      <w:pPr>
        <w:widowControl w:val="0"/>
        <w:spacing w:line="360" w:lineRule="auto"/>
        <w:ind w:left="482"/>
        <w:jc w:val="both"/>
        <w:rPr>
          <w:rFonts w:ascii="Times New Roman" w:hAnsi="Times New Roman" w:cs="Times New Roman"/>
          <w:b/>
          <w:bCs/>
          <w:color w:val="auto"/>
          <w:szCs w:val="24"/>
          <w:lang w:eastAsia="zh-CN"/>
        </w:rPr>
      </w:pPr>
      <w:r>
        <w:rPr>
          <w:rFonts w:hint="eastAsia" w:ascii="Times New Roman" w:hAnsi="Times New Roman" w:cs="Times New Roman"/>
          <w:b/>
          <w:bCs/>
          <w:color w:val="auto"/>
          <w:szCs w:val="24"/>
          <w:lang w:eastAsia="zh-CN"/>
        </w:rPr>
        <w:t>2、</w:t>
      </w:r>
      <w:r>
        <w:rPr>
          <w:rFonts w:ascii="Times New Roman" w:hAnsi="Times New Roman" w:cs="Times New Roman"/>
          <w:b/>
          <w:bCs/>
          <w:color w:val="auto"/>
          <w:szCs w:val="24"/>
          <w:lang w:eastAsia="zh-CN"/>
        </w:rPr>
        <w:t>园区污水处理厂接管范围</w:t>
      </w:r>
    </w:p>
    <w:p w14:paraId="53C53FFF">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color w:val="auto"/>
          <w:szCs w:val="24"/>
          <w:lang w:eastAsia="zh-CN"/>
        </w:rPr>
        <w:t>沫河口污水厂位于蚌埠精细化工产业基地金漴路和南环路交叉口东北侧，接管范围主要为安徽蚌埠精细化工高新技术产业基地内工业废水及生活污水。</w:t>
      </w:r>
    </w:p>
    <w:p w14:paraId="5134FCD7">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依据《蚌埠市城市污水专业规划（2013-2030年）》，高新技术产业基地污水管网规划沿金沱路、开源大道、南外环路布置DN800-DN1200的污水干管收集园区的污水。各生产企业的工业废水经预处理达到污水处理厂接管标准后，以单管单送的方式，排入污水处理厂进行集中处理。</w:t>
      </w:r>
    </w:p>
    <w:p w14:paraId="12907E00">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本项目位于污水处理厂服务范围内，具备接管条件，且项目废水经厂区内自建的污水处理站处理后满足</w:t>
      </w:r>
      <w:r>
        <w:rPr>
          <w:rFonts w:ascii="Times New Roman" w:hAnsi="Times New Roman" w:cs="Times New Roman"/>
          <w:color w:val="auto"/>
          <w:szCs w:val="24"/>
          <w:lang w:eastAsia="zh-CN"/>
        </w:rPr>
        <w:t>沫河口污水处理厂的接管限值要求，废水水质简单，满足接管限值，因此项目废水接管沫河口污水处理厂可行。</w:t>
      </w:r>
    </w:p>
    <w:p w14:paraId="4C3E767A">
      <w:pPr>
        <w:widowControl w:val="0"/>
        <w:spacing w:line="360" w:lineRule="auto"/>
        <w:ind w:left="482"/>
        <w:jc w:val="both"/>
        <w:rPr>
          <w:rFonts w:ascii="Times New Roman" w:hAnsi="Times New Roman" w:cs="Times New Roman"/>
          <w:b/>
          <w:bCs/>
          <w:color w:val="auto"/>
          <w:szCs w:val="24"/>
          <w:lang w:eastAsia="zh-CN"/>
        </w:rPr>
      </w:pPr>
      <w:r>
        <w:rPr>
          <w:rFonts w:hint="eastAsia" w:ascii="Times New Roman" w:hAnsi="Times New Roman" w:cs="Times New Roman"/>
          <w:b/>
          <w:bCs/>
          <w:color w:val="auto"/>
          <w:szCs w:val="24"/>
          <w:lang w:eastAsia="zh-CN"/>
        </w:rPr>
        <w:t>3、</w:t>
      </w:r>
      <w:r>
        <w:rPr>
          <w:rFonts w:ascii="Times New Roman" w:hAnsi="Times New Roman" w:cs="Times New Roman"/>
          <w:b/>
          <w:bCs/>
          <w:color w:val="auto"/>
          <w:szCs w:val="24"/>
          <w:lang w:eastAsia="zh-CN"/>
        </w:rPr>
        <w:t>污水处理厂处理能力</w:t>
      </w:r>
    </w:p>
    <w:p w14:paraId="1354142B">
      <w:pPr>
        <w:widowControl w:val="0"/>
        <w:spacing w:line="360" w:lineRule="auto"/>
        <w:ind w:firstLine="480" w:firstLineChars="200"/>
        <w:jc w:val="both"/>
        <w:rPr>
          <w:rFonts w:ascii="Times New Roman" w:hAnsi="Times New Roman" w:cs="Times New Roman"/>
          <w:color w:val="EE0000"/>
          <w:szCs w:val="24"/>
          <w:lang w:eastAsia="zh-CN"/>
        </w:rPr>
      </w:pPr>
      <w:r>
        <w:rPr>
          <w:rFonts w:ascii="Times New Roman" w:hAnsi="Times New Roman" w:cs="Times New Roman"/>
          <w:color w:val="auto"/>
          <w:szCs w:val="24"/>
          <w:lang w:eastAsia="zh-CN"/>
        </w:rPr>
        <w:t>本项目废水排放量为</w:t>
      </w:r>
      <w:r>
        <w:rPr>
          <w:rFonts w:hint="eastAsia" w:ascii="Times New Roman" w:hAnsi="Times New Roman" w:cs="Times New Roman"/>
          <w:color w:val="auto"/>
          <w:szCs w:val="24"/>
          <w:lang w:eastAsia="zh-CN"/>
        </w:rPr>
        <w:t>111.81</w:t>
      </w:r>
      <w:r>
        <w:rPr>
          <w:rFonts w:ascii="Times New Roman" w:hAnsi="Times New Roman" w:cs="Times New Roman"/>
          <w:color w:val="auto"/>
          <w:szCs w:val="24"/>
          <w:lang w:eastAsia="zh-CN"/>
        </w:rPr>
        <w:t>m</w:t>
      </w:r>
      <w:r>
        <w:rPr>
          <w:rFonts w:ascii="Times New Roman" w:hAnsi="Times New Roman" w:cs="Times New Roman"/>
          <w:color w:val="auto"/>
          <w:szCs w:val="24"/>
          <w:vertAlign w:val="superscript"/>
          <w:lang w:eastAsia="zh-CN"/>
        </w:rPr>
        <w:t>3</w:t>
      </w:r>
      <w:r>
        <w:rPr>
          <w:rFonts w:ascii="Times New Roman" w:hAnsi="Times New Roman" w:cs="Times New Roman"/>
          <w:color w:val="auto"/>
          <w:szCs w:val="24"/>
          <w:lang w:eastAsia="zh-CN"/>
        </w:rPr>
        <w:t>/d，沫河口污水处理厂废水设计处理规模为5万m</w:t>
      </w:r>
      <w:r>
        <w:rPr>
          <w:rFonts w:ascii="Times New Roman" w:hAnsi="Times New Roman" w:cs="Times New Roman"/>
          <w:color w:val="auto"/>
          <w:szCs w:val="24"/>
          <w:vertAlign w:val="superscript"/>
          <w:lang w:eastAsia="zh-CN"/>
        </w:rPr>
        <w:t>3</w:t>
      </w:r>
      <w:r>
        <w:rPr>
          <w:rFonts w:ascii="Times New Roman" w:hAnsi="Times New Roman" w:cs="Times New Roman"/>
          <w:color w:val="auto"/>
          <w:szCs w:val="24"/>
          <w:lang w:eastAsia="zh-CN"/>
        </w:rPr>
        <w:t>/d，现有处理规模2万m</w:t>
      </w:r>
      <w:r>
        <w:rPr>
          <w:rFonts w:ascii="Times New Roman" w:hAnsi="Times New Roman" w:cs="Times New Roman"/>
          <w:color w:val="auto"/>
          <w:szCs w:val="24"/>
          <w:vertAlign w:val="superscript"/>
          <w:lang w:eastAsia="zh-CN"/>
        </w:rPr>
        <w:t>3</w:t>
      </w:r>
      <w:r>
        <w:rPr>
          <w:rFonts w:ascii="Times New Roman" w:hAnsi="Times New Roman" w:cs="Times New Roman"/>
          <w:color w:val="auto"/>
          <w:szCs w:val="24"/>
          <w:lang w:eastAsia="zh-CN"/>
        </w:rPr>
        <w:t>/d，三期工程处理规模3万m</w:t>
      </w:r>
      <w:r>
        <w:rPr>
          <w:rFonts w:ascii="Times New Roman" w:hAnsi="Times New Roman" w:cs="Times New Roman"/>
          <w:color w:val="auto"/>
          <w:szCs w:val="24"/>
          <w:vertAlign w:val="superscript"/>
          <w:lang w:eastAsia="zh-CN"/>
        </w:rPr>
        <w:t>3</w:t>
      </w:r>
      <w:r>
        <w:rPr>
          <w:rFonts w:ascii="Times New Roman" w:hAnsi="Times New Roman" w:cs="Times New Roman"/>
          <w:color w:val="auto"/>
          <w:szCs w:val="24"/>
          <w:lang w:eastAsia="zh-CN"/>
        </w:rPr>
        <w:t>/d目前已建成试运营并已申领排污许可证，目前污水处理厂现状处理量约11000m</w:t>
      </w:r>
      <w:r>
        <w:rPr>
          <w:rFonts w:ascii="Times New Roman" w:hAnsi="Times New Roman" w:cs="Times New Roman"/>
          <w:color w:val="auto"/>
          <w:szCs w:val="24"/>
          <w:vertAlign w:val="superscript"/>
          <w:lang w:eastAsia="zh-CN"/>
        </w:rPr>
        <w:t>3</w:t>
      </w:r>
      <w:r>
        <w:rPr>
          <w:rFonts w:ascii="Times New Roman" w:hAnsi="Times New Roman" w:cs="Times New Roman"/>
          <w:color w:val="auto"/>
          <w:szCs w:val="24"/>
          <w:lang w:eastAsia="zh-CN"/>
        </w:rPr>
        <w:t>/d，剩余处理能力39000m</w:t>
      </w:r>
      <w:r>
        <w:rPr>
          <w:rFonts w:ascii="Times New Roman" w:hAnsi="Times New Roman" w:cs="Times New Roman"/>
          <w:color w:val="auto"/>
          <w:szCs w:val="24"/>
          <w:vertAlign w:val="superscript"/>
          <w:lang w:eastAsia="zh-CN"/>
        </w:rPr>
        <w:t>3</w:t>
      </w:r>
      <w:r>
        <w:rPr>
          <w:rFonts w:ascii="Times New Roman" w:hAnsi="Times New Roman" w:cs="Times New Roman"/>
          <w:color w:val="auto"/>
          <w:szCs w:val="24"/>
          <w:lang w:eastAsia="zh-CN"/>
        </w:rPr>
        <w:t>/d，本项目废水排放量占沫河口污水处理厂剩余处理能力的0.</w:t>
      </w:r>
      <w:r>
        <w:rPr>
          <w:rFonts w:hint="eastAsia" w:ascii="Times New Roman" w:hAnsi="Times New Roman" w:cs="Times New Roman"/>
          <w:color w:val="auto"/>
          <w:szCs w:val="24"/>
          <w:lang w:eastAsia="zh-CN"/>
        </w:rPr>
        <w:t>28</w:t>
      </w:r>
      <w:r>
        <w:rPr>
          <w:rFonts w:ascii="Times New Roman" w:hAnsi="Times New Roman" w:cs="Times New Roman"/>
          <w:color w:val="auto"/>
          <w:szCs w:val="24"/>
          <w:lang w:eastAsia="zh-CN"/>
        </w:rPr>
        <w:t>%。因此沫河口污水处理厂现有处理规模能够满足本项目废水处理需求。</w:t>
      </w:r>
    </w:p>
    <w:p w14:paraId="1B96740A">
      <w:pPr>
        <w:widowControl w:val="0"/>
        <w:spacing w:line="360" w:lineRule="auto"/>
        <w:ind w:firstLine="482" w:firstLineChars="200"/>
        <w:jc w:val="both"/>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4、园区污水处理厂污水水质处理可行性</w:t>
      </w:r>
    </w:p>
    <w:p w14:paraId="75EE62DF">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bCs/>
          <w:color w:val="auto"/>
          <w:szCs w:val="24"/>
          <w:lang w:eastAsia="zh-CN"/>
        </w:rPr>
        <w:t>项目废水主要污染物为</w:t>
      </w:r>
      <w:r>
        <w:rPr>
          <w:rFonts w:hint="eastAsia" w:ascii="Times New Roman" w:hAnsi="Times New Roman" w:cs="Times New Roman"/>
          <w:bCs/>
          <w:color w:val="auto"/>
          <w:szCs w:val="24"/>
          <w:lang w:eastAsia="zh-CN"/>
        </w:rPr>
        <w:t>氟化物</w:t>
      </w:r>
      <w:r>
        <w:rPr>
          <w:rFonts w:ascii="Times New Roman" w:hAnsi="Times New Roman" w:cs="Times New Roman"/>
          <w:bCs/>
          <w:color w:val="auto"/>
          <w:szCs w:val="24"/>
          <w:lang w:eastAsia="zh-CN"/>
        </w:rPr>
        <w:t>，项目废水</w:t>
      </w:r>
      <w:r>
        <w:rPr>
          <w:rFonts w:hint="eastAsia" w:ascii="Times New Roman" w:hAnsi="Times New Roman" w:cs="Times New Roman"/>
          <w:bCs/>
          <w:color w:val="auto"/>
          <w:szCs w:val="24"/>
          <w:lang w:eastAsia="zh-CN"/>
        </w:rPr>
        <w:t>依托现有</w:t>
      </w:r>
      <w:r>
        <w:rPr>
          <w:rFonts w:ascii="Times New Roman" w:hAnsi="Times New Roman" w:cs="Times New Roman"/>
          <w:bCs/>
          <w:color w:val="auto"/>
          <w:szCs w:val="24"/>
          <w:lang w:eastAsia="zh-CN"/>
        </w:rPr>
        <w:t>厂区污水处理站</w:t>
      </w:r>
      <w:r>
        <w:rPr>
          <w:rFonts w:hint="eastAsia" w:ascii="Times New Roman" w:hAnsi="Times New Roman" w:cs="Times New Roman"/>
          <w:color w:val="auto"/>
          <w:lang w:eastAsia="zh-CN"/>
        </w:rPr>
        <w:t>“</w:t>
      </w:r>
      <w:r>
        <w:rPr>
          <w:rFonts w:ascii="Times New Roman" w:hAnsi="Times New Roman" w:cs="Times New Roman"/>
          <w:color w:val="auto"/>
          <w:lang w:eastAsia="zh-CN"/>
        </w:rPr>
        <w:t>四级除氟反应+四级除氟沉淀</w:t>
      </w:r>
      <w:r>
        <w:rPr>
          <w:rFonts w:hint="eastAsia" w:ascii="Times New Roman" w:hAnsi="Times New Roman" w:cs="Times New Roman"/>
          <w:color w:val="auto"/>
          <w:lang w:eastAsia="zh-CN"/>
        </w:rPr>
        <w:t>”</w:t>
      </w:r>
      <w:r>
        <w:rPr>
          <w:rFonts w:ascii="Times New Roman" w:hAnsi="Times New Roman" w:cs="Times New Roman"/>
          <w:bCs/>
          <w:color w:val="auto"/>
          <w:szCs w:val="24"/>
          <w:lang w:eastAsia="zh-CN"/>
        </w:rPr>
        <w:t>处理后，</w:t>
      </w:r>
      <w:r>
        <w:rPr>
          <w:rFonts w:hint="eastAsia" w:ascii="Times New Roman" w:hAnsi="Times New Roman" w:cs="Times New Roman"/>
          <w:bCs/>
          <w:color w:val="auto"/>
          <w:szCs w:val="24"/>
          <w:lang w:eastAsia="zh-CN"/>
        </w:rPr>
        <w:t>项目废水排放</w:t>
      </w:r>
      <w:r>
        <w:rPr>
          <w:rFonts w:ascii="Times New Roman" w:hAnsi="Times New Roman" w:cs="Times New Roman"/>
          <w:bCs/>
          <w:color w:val="auto"/>
          <w:szCs w:val="24"/>
          <w:lang w:eastAsia="zh-CN"/>
        </w:rPr>
        <w:t>能够满足沫河口污水处理厂接管标准以及</w:t>
      </w:r>
      <w:r>
        <w:rPr>
          <w:rFonts w:hint="eastAsia" w:ascii="Times New Roman" w:hAnsi="Times New Roman" w:cs="Times New Roman"/>
          <w:color w:val="auto"/>
          <w:lang w:eastAsia="zh-CN"/>
        </w:rPr>
        <w:t>《无机化学工业污染物排放标准》（GB31573-2015）、</w:t>
      </w:r>
      <w:r>
        <w:rPr>
          <w:rFonts w:ascii="Times New Roman" w:hAnsi="Times New Roman" w:cs="Times New Roman"/>
          <w:color w:val="auto"/>
          <w:lang w:eastAsia="zh-CN"/>
        </w:rPr>
        <w:t>《电子工业水污染物排放标准》（GB39731-2020）</w:t>
      </w:r>
      <w:r>
        <w:rPr>
          <w:rFonts w:ascii="Times New Roman" w:hAnsi="Times New Roman" w:cs="Times New Roman"/>
          <w:bCs/>
          <w:color w:val="auto"/>
          <w:szCs w:val="24"/>
          <w:lang w:eastAsia="zh-CN"/>
        </w:rPr>
        <w:t>排放限值要求</w:t>
      </w:r>
      <w:r>
        <w:rPr>
          <w:rFonts w:hint="eastAsia" w:ascii="Times New Roman" w:hAnsi="Times New Roman" w:cs="Times New Roman"/>
          <w:bCs/>
          <w:color w:val="auto"/>
          <w:szCs w:val="24"/>
          <w:lang w:eastAsia="zh-CN"/>
        </w:rPr>
        <w:t>，</w:t>
      </w:r>
      <w:r>
        <w:rPr>
          <w:rFonts w:ascii="Times New Roman" w:hAnsi="Times New Roman" w:cs="Times New Roman"/>
          <w:bCs/>
          <w:color w:val="auto"/>
          <w:szCs w:val="24"/>
          <w:lang w:eastAsia="zh-CN"/>
        </w:rPr>
        <w:t>经沫河口污水处理厂处理后，尾水能够满足《城镇污水处理厂污染物排放标准》（GB18918-2002）一级A标准要求，不会对地表水淮河产生较大影响，不会降低项目所在区域水环境原有功能。</w:t>
      </w:r>
    </w:p>
    <w:p w14:paraId="5553EA8A">
      <w:pPr>
        <w:spacing w:line="360" w:lineRule="auto"/>
        <w:jc w:val="center"/>
        <w:rPr>
          <w:rFonts w:ascii="Times New Roman" w:hAnsi="Times New Roman" w:cs="Times New Roman"/>
          <w:b/>
          <w:color w:val="auto"/>
          <w:szCs w:val="24"/>
          <w:lang w:eastAsia="zh-CN"/>
        </w:rPr>
      </w:pPr>
      <w:r>
        <w:rPr>
          <w:rFonts w:ascii="Times New Roman" w:hAnsi="Times New Roman" w:cs="Times New Roman"/>
          <w:b/>
          <w:color w:val="auto"/>
          <w:szCs w:val="24"/>
          <w:lang w:eastAsia="zh-CN"/>
        </w:rPr>
        <w:t>表8.2-</w:t>
      </w:r>
      <w:r>
        <w:rPr>
          <w:rFonts w:hint="eastAsia" w:ascii="Times New Roman" w:hAnsi="Times New Roman" w:cs="Times New Roman"/>
          <w:b/>
          <w:color w:val="auto"/>
          <w:szCs w:val="24"/>
          <w:lang w:eastAsia="zh-CN"/>
        </w:rPr>
        <w:t>7</w:t>
      </w:r>
      <w:r>
        <w:rPr>
          <w:rFonts w:ascii="Times New Roman" w:hAnsi="Times New Roman" w:cs="Times New Roman"/>
          <w:b/>
          <w:color w:val="auto"/>
          <w:szCs w:val="24"/>
          <w:lang w:eastAsia="zh-CN"/>
        </w:rPr>
        <w:t xml:space="preserve"> 沫河口污水处理厂接管限值</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73"/>
        <w:gridCol w:w="1010"/>
        <w:gridCol w:w="999"/>
        <w:gridCol w:w="912"/>
        <w:gridCol w:w="1143"/>
        <w:gridCol w:w="1336"/>
        <w:gridCol w:w="1016"/>
        <w:gridCol w:w="1016"/>
        <w:gridCol w:w="734"/>
      </w:tblGrid>
      <w:tr w14:paraId="6ED933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Align w:val="center"/>
          </w:tcPr>
          <w:p w14:paraId="0F598EC5">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污染因子</w:t>
            </w:r>
          </w:p>
        </w:tc>
        <w:tc>
          <w:tcPr>
            <w:tcW w:w="524" w:type="pct"/>
            <w:vAlign w:val="center"/>
          </w:tcPr>
          <w:p w14:paraId="79C6DED9">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COD</w:t>
            </w:r>
          </w:p>
        </w:tc>
        <w:tc>
          <w:tcPr>
            <w:tcW w:w="518" w:type="pct"/>
            <w:vAlign w:val="center"/>
          </w:tcPr>
          <w:p w14:paraId="5D602F61">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BOD</w:t>
            </w:r>
            <w:r>
              <w:rPr>
                <w:rFonts w:ascii="Times New Roman" w:hAnsi="Times New Roman" w:cs="Times New Roman"/>
                <w:b/>
                <w:bCs/>
                <w:color w:val="auto"/>
                <w:sz w:val="21"/>
                <w:vertAlign w:val="subscript"/>
                <w:lang w:eastAsia="zh-CN"/>
              </w:rPr>
              <w:t>5</w:t>
            </w:r>
          </w:p>
        </w:tc>
        <w:tc>
          <w:tcPr>
            <w:tcW w:w="473" w:type="pct"/>
            <w:vAlign w:val="center"/>
          </w:tcPr>
          <w:p w14:paraId="4E068284">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SS</w:t>
            </w:r>
          </w:p>
        </w:tc>
        <w:tc>
          <w:tcPr>
            <w:tcW w:w="593" w:type="pct"/>
            <w:vAlign w:val="center"/>
          </w:tcPr>
          <w:p w14:paraId="5CA8B06D">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NH</w:t>
            </w:r>
            <w:r>
              <w:rPr>
                <w:rFonts w:ascii="Times New Roman" w:hAnsi="Times New Roman" w:cs="Times New Roman"/>
                <w:b/>
                <w:bCs/>
                <w:color w:val="auto"/>
                <w:sz w:val="21"/>
                <w:vertAlign w:val="subscript"/>
                <w:lang w:eastAsia="zh-CN"/>
              </w:rPr>
              <w:t>3</w:t>
            </w:r>
            <w:r>
              <w:rPr>
                <w:rFonts w:ascii="Times New Roman" w:hAnsi="Times New Roman" w:cs="Times New Roman"/>
                <w:b/>
                <w:bCs/>
                <w:color w:val="auto"/>
                <w:sz w:val="21"/>
                <w:lang w:eastAsia="zh-CN"/>
              </w:rPr>
              <w:t>-N</w:t>
            </w:r>
          </w:p>
        </w:tc>
        <w:tc>
          <w:tcPr>
            <w:tcW w:w="693" w:type="pct"/>
            <w:vAlign w:val="center"/>
          </w:tcPr>
          <w:p w14:paraId="0E3BC1E2">
            <w:pPr>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氟化物</w:t>
            </w:r>
          </w:p>
        </w:tc>
        <w:tc>
          <w:tcPr>
            <w:tcW w:w="527" w:type="pct"/>
            <w:vAlign w:val="center"/>
          </w:tcPr>
          <w:p w14:paraId="73A299A8">
            <w:pPr>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氯化物</w:t>
            </w:r>
          </w:p>
        </w:tc>
        <w:tc>
          <w:tcPr>
            <w:tcW w:w="527" w:type="pct"/>
            <w:vAlign w:val="center"/>
          </w:tcPr>
          <w:p w14:paraId="2FB301A7">
            <w:pPr>
              <w:adjustRightInd w:val="0"/>
              <w:snapToGrid w:val="0"/>
              <w:jc w:val="center"/>
              <w:rPr>
                <w:rFonts w:ascii="Times New Roman" w:hAnsi="Times New Roman" w:cs="Times New Roman"/>
                <w:b/>
                <w:bCs/>
                <w:color w:val="auto"/>
                <w:sz w:val="21"/>
                <w:lang w:eastAsia="zh-CN"/>
              </w:rPr>
            </w:pPr>
            <w:r>
              <w:rPr>
                <w:rFonts w:hint="eastAsia" w:ascii="Times New Roman" w:hAnsi="Times New Roman" w:cs="Times New Roman"/>
                <w:b/>
                <w:bCs/>
                <w:color w:val="auto"/>
                <w:sz w:val="21"/>
                <w:lang w:eastAsia="zh-CN"/>
              </w:rPr>
              <w:t>总盐</w:t>
            </w:r>
          </w:p>
        </w:tc>
        <w:tc>
          <w:tcPr>
            <w:tcW w:w="381" w:type="pct"/>
            <w:vAlign w:val="center"/>
          </w:tcPr>
          <w:p w14:paraId="01532C5A">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pH</w:t>
            </w:r>
          </w:p>
        </w:tc>
      </w:tr>
      <w:tr w14:paraId="5DF61D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Align w:val="center"/>
          </w:tcPr>
          <w:p w14:paraId="1D9A18FC">
            <w:pPr>
              <w:adjustRightInd w:val="0"/>
              <w:snapToGrid w:val="0"/>
              <w:jc w:val="center"/>
              <w:rPr>
                <w:rFonts w:ascii="Times New Roman" w:hAnsi="Times New Roman" w:cs="Times New Roman"/>
                <w:bCs/>
                <w:color w:val="auto"/>
                <w:sz w:val="21"/>
                <w:lang w:eastAsia="zh-CN"/>
              </w:rPr>
            </w:pPr>
            <w:r>
              <w:rPr>
                <w:rFonts w:ascii="Times New Roman" w:hAnsi="Times New Roman" w:cs="Times New Roman"/>
                <w:bCs/>
                <w:color w:val="auto"/>
                <w:sz w:val="21"/>
                <w:lang w:eastAsia="zh-CN"/>
              </w:rPr>
              <w:t>接管限值（mg/L）</w:t>
            </w:r>
          </w:p>
        </w:tc>
        <w:tc>
          <w:tcPr>
            <w:tcW w:w="524" w:type="pct"/>
            <w:vAlign w:val="center"/>
          </w:tcPr>
          <w:p w14:paraId="3BBD4C3F">
            <w:pPr>
              <w:adjustRightInd w:val="0"/>
              <w:snapToGrid w:val="0"/>
              <w:jc w:val="center"/>
              <w:rPr>
                <w:rFonts w:ascii="Times New Roman" w:hAnsi="Times New Roman" w:cs="Times New Roman"/>
                <w:bCs/>
                <w:color w:val="auto"/>
                <w:sz w:val="21"/>
                <w:lang w:eastAsia="zh-CN"/>
              </w:rPr>
            </w:pPr>
            <w:r>
              <w:rPr>
                <w:rFonts w:ascii="Times New Roman" w:hAnsi="Times New Roman" w:cs="Times New Roman"/>
                <w:bCs/>
                <w:color w:val="auto"/>
                <w:sz w:val="21"/>
                <w:lang w:eastAsia="zh-CN"/>
              </w:rPr>
              <w:t>≤</w:t>
            </w:r>
            <w:r>
              <w:rPr>
                <w:rFonts w:hint="eastAsia" w:ascii="Times New Roman" w:hAnsi="Times New Roman" w:cs="Times New Roman"/>
                <w:bCs/>
                <w:color w:val="auto"/>
                <w:sz w:val="21"/>
                <w:lang w:eastAsia="zh-CN"/>
              </w:rPr>
              <w:t>2</w:t>
            </w:r>
            <w:r>
              <w:rPr>
                <w:rFonts w:ascii="Times New Roman" w:hAnsi="Times New Roman" w:cs="Times New Roman"/>
                <w:bCs/>
                <w:color w:val="auto"/>
                <w:sz w:val="21"/>
                <w:lang w:eastAsia="zh-CN"/>
              </w:rPr>
              <w:t>00</w:t>
            </w:r>
          </w:p>
        </w:tc>
        <w:tc>
          <w:tcPr>
            <w:tcW w:w="518" w:type="pct"/>
            <w:vAlign w:val="center"/>
          </w:tcPr>
          <w:p w14:paraId="6822D86A">
            <w:pPr>
              <w:adjustRightInd w:val="0"/>
              <w:snapToGrid w:val="0"/>
              <w:jc w:val="center"/>
              <w:rPr>
                <w:rFonts w:ascii="Times New Roman" w:hAnsi="Times New Roman" w:cs="Times New Roman"/>
                <w:bCs/>
                <w:color w:val="auto"/>
                <w:sz w:val="21"/>
                <w:lang w:eastAsia="zh-CN"/>
              </w:rPr>
            </w:pPr>
            <w:r>
              <w:rPr>
                <w:rFonts w:ascii="Times New Roman" w:hAnsi="Times New Roman" w:cs="Times New Roman"/>
                <w:bCs/>
                <w:color w:val="auto"/>
                <w:sz w:val="21"/>
                <w:lang w:eastAsia="zh-CN"/>
              </w:rPr>
              <w:t>≤120</w:t>
            </w:r>
          </w:p>
        </w:tc>
        <w:tc>
          <w:tcPr>
            <w:tcW w:w="473" w:type="pct"/>
            <w:vAlign w:val="center"/>
          </w:tcPr>
          <w:p w14:paraId="1BD537F2">
            <w:pPr>
              <w:adjustRightInd w:val="0"/>
              <w:snapToGrid w:val="0"/>
              <w:jc w:val="center"/>
              <w:rPr>
                <w:rFonts w:ascii="Times New Roman" w:hAnsi="Times New Roman" w:cs="Times New Roman"/>
                <w:bCs/>
                <w:color w:val="auto"/>
                <w:sz w:val="21"/>
                <w:lang w:eastAsia="zh-CN"/>
              </w:rPr>
            </w:pPr>
            <w:r>
              <w:rPr>
                <w:rFonts w:ascii="Times New Roman" w:hAnsi="Times New Roman" w:cs="Times New Roman"/>
                <w:bCs/>
                <w:color w:val="auto"/>
                <w:sz w:val="21"/>
                <w:lang w:eastAsia="zh-CN"/>
              </w:rPr>
              <w:t>≤</w:t>
            </w:r>
            <w:r>
              <w:rPr>
                <w:rFonts w:hint="eastAsia" w:ascii="Times New Roman" w:hAnsi="Times New Roman" w:cs="Times New Roman"/>
                <w:bCs/>
                <w:color w:val="auto"/>
                <w:sz w:val="21"/>
                <w:lang w:eastAsia="zh-CN"/>
              </w:rPr>
              <w:t>1</w:t>
            </w:r>
            <w:r>
              <w:rPr>
                <w:rFonts w:ascii="Times New Roman" w:hAnsi="Times New Roman" w:cs="Times New Roman"/>
                <w:bCs/>
                <w:color w:val="auto"/>
                <w:sz w:val="21"/>
                <w:lang w:eastAsia="zh-CN"/>
              </w:rPr>
              <w:t>00</w:t>
            </w:r>
          </w:p>
        </w:tc>
        <w:tc>
          <w:tcPr>
            <w:tcW w:w="593" w:type="pct"/>
            <w:vAlign w:val="center"/>
          </w:tcPr>
          <w:p w14:paraId="107B3682">
            <w:pPr>
              <w:adjustRightInd w:val="0"/>
              <w:snapToGrid w:val="0"/>
              <w:jc w:val="center"/>
              <w:rPr>
                <w:rFonts w:ascii="Times New Roman" w:hAnsi="Times New Roman" w:cs="Times New Roman"/>
                <w:bCs/>
                <w:color w:val="auto"/>
                <w:sz w:val="21"/>
                <w:lang w:eastAsia="zh-CN"/>
              </w:rPr>
            </w:pPr>
            <w:r>
              <w:rPr>
                <w:rFonts w:ascii="Times New Roman" w:hAnsi="Times New Roman" w:cs="Times New Roman"/>
                <w:bCs/>
                <w:color w:val="auto"/>
                <w:sz w:val="21"/>
                <w:lang w:eastAsia="zh-CN"/>
              </w:rPr>
              <w:t>≤30</w:t>
            </w:r>
          </w:p>
        </w:tc>
        <w:tc>
          <w:tcPr>
            <w:tcW w:w="693" w:type="pct"/>
            <w:vAlign w:val="center"/>
          </w:tcPr>
          <w:p w14:paraId="74D952E8">
            <w:pPr>
              <w:adjustRightInd w:val="0"/>
              <w:snapToGrid w:val="0"/>
              <w:jc w:val="center"/>
              <w:rPr>
                <w:rFonts w:ascii="Times New Roman" w:hAnsi="Times New Roman" w:cs="Times New Roman"/>
                <w:bCs/>
                <w:color w:val="auto"/>
                <w:sz w:val="21"/>
                <w:lang w:eastAsia="zh-CN"/>
              </w:rPr>
            </w:pPr>
            <w:r>
              <w:rPr>
                <w:rFonts w:ascii="Times New Roman" w:hAnsi="Times New Roman" w:cs="Times New Roman"/>
                <w:bCs/>
                <w:color w:val="auto"/>
                <w:sz w:val="21"/>
                <w:lang w:eastAsia="zh-CN"/>
              </w:rPr>
              <w:t>≤</w:t>
            </w:r>
            <w:r>
              <w:rPr>
                <w:rFonts w:hint="eastAsia" w:ascii="Times New Roman" w:hAnsi="Times New Roman" w:cs="Times New Roman"/>
                <w:bCs/>
                <w:color w:val="auto"/>
                <w:sz w:val="21"/>
                <w:lang w:eastAsia="zh-CN"/>
              </w:rPr>
              <w:t>6</w:t>
            </w:r>
          </w:p>
        </w:tc>
        <w:tc>
          <w:tcPr>
            <w:tcW w:w="527" w:type="pct"/>
            <w:vAlign w:val="center"/>
          </w:tcPr>
          <w:p w14:paraId="1C1AFDDC">
            <w:pPr>
              <w:adjustRightInd w:val="0"/>
              <w:snapToGrid w:val="0"/>
              <w:jc w:val="center"/>
              <w:rPr>
                <w:rFonts w:ascii="Times New Roman" w:hAnsi="Times New Roman" w:cs="Times New Roman"/>
                <w:bCs/>
                <w:color w:val="auto"/>
                <w:sz w:val="21"/>
                <w:lang w:eastAsia="zh-CN"/>
              </w:rPr>
            </w:pPr>
            <w:r>
              <w:rPr>
                <w:rFonts w:ascii="Times New Roman" w:hAnsi="Times New Roman" w:cs="Times New Roman"/>
                <w:bCs/>
                <w:color w:val="auto"/>
                <w:sz w:val="21"/>
                <w:lang w:eastAsia="zh-CN"/>
              </w:rPr>
              <w:t>≤</w:t>
            </w:r>
            <w:r>
              <w:rPr>
                <w:rFonts w:hint="eastAsia" w:ascii="Times New Roman" w:hAnsi="Times New Roman" w:cs="Times New Roman"/>
                <w:bCs/>
                <w:color w:val="auto"/>
                <w:sz w:val="21"/>
                <w:lang w:eastAsia="zh-CN"/>
              </w:rPr>
              <w:t>1500</w:t>
            </w:r>
          </w:p>
        </w:tc>
        <w:tc>
          <w:tcPr>
            <w:tcW w:w="527" w:type="pct"/>
            <w:vAlign w:val="center"/>
          </w:tcPr>
          <w:p w14:paraId="6E0B1BD4">
            <w:pPr>
              <w:adjustRightInd w:val="0"/>
              <w:snapToGrid w:val="0"/>
              <w:jc w:val="center"/>
              <w:rPr>
                <w:rFonts w:ascii="Times New Roman" w:hAnsi="Times New Roman" w:cs="Times New Roman"/>
                <w:bCs/>
                <w:color w:val="auto"/>
                <w:sz w:val="21"/>
                <w:lang w:eastAsia="zh-CN"/>
              </w:rPr>
            </w:pPr>
            <w:r>
              <w:rPr>
                <w:rFonts w:ascii="Times New Roman" w:hAnsi="Times New Roman" w:cs="Times New Roman"/>
                <w:bCs/>
                <w:color w:val="auto"/>
                <w:sz w:val="21"/>
                <w:lang w:eastAsia="zh-CN"/>
              </w:rPr>
              <w:t>≤</w:t>
            </w:r>
            <w:r>
              <w:rPr>
                <w:rFonts w:hint="eastAsia" w:ascii="Times New Roman" w:hAnsi="Times New Roman" w:cs="Times New Roman"/>
                <w:bCs/>
                <w:color w:val="auto"/>
                <w:sz w:val="21"/>
                <w:lang w:eastAsia="zh-CN"/>
              </w:rPr>
              <w:t>3000</w:t>
            </w:r>
          </w:p>
        </w:tc>
        <w:tc>
          <w:tcPr>
            <w:tcW w:w="381" w:type="pct"/>
            <w:vAlign w:val="center"/>
          </w:tcPr>
          <w:p w14:paraId="3B379258">
            <w:pPr>
              <w:adjustRightInd w:val="0"/>
              <w:snapToGrid w:val="0"/>
              <w:jc w:val="center"/>
              <w:rPr>
                <w:rFonts w:ascii="Times New Roman" w:hAnsi="Times New Roman" w:cs="Times New Roman"/>
                <w:bCs/>
                <w:color w:val="auto"/>
                <w:sz w:val="21"/>
                <w:lang w:eastAsia="zh-CN"/>
              </w:rPr>
            </w:pPr>
            <w:r>
              <w:rPr>
                <w:rFonts w:ascii="Times New Roman" w:hAnsi="Times New Roman" w:cs="Times New Roman"/>
                <w:bCs/>
                <w:color w:val="auto"/>
                <w:sz w:val="21"/>
                <w:lang w:eastAsia="zh-CN"/>
              </w:rPr>
              <w:t>6~9</w:t>
            </w:r>
          </w:p>
        </w:tc>
      </w:tr>
    </w:tbl>
    <w:p w14:paraId="3E4FDF68">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综上，本项目废水经</w:t>
      </w:r>
      <w:r>
        <w:rPr>
          <w:rFonts w:ascii="Times New Roman" w:hAnsi="Times New Roman" w:cs="Times New Roman"/>
          <w:bCs/>
          <w:color w:val="auto"/>
          <w:szCs w:val="24"/>
          <w:lang w:eastAsia="zh-CN"/>
        </w:rPr>
        <w:t>沫河口污水处理厂</w:t>
      </w:r>
      <w:r>
        <w:rPr>
          <w:rFonts w:ascii="Times New Roman" w:hAnsi="Times New Roman" w:cs="Times New Roman"/>
          <w:color w:val="auto"/>
          <w:szCs w:val="24"/>
          <w:lang w:eastAsia="zh-CN"/>
        </w:rPr>
        <w:t>处理达标后最终排入淮河，会增加淮河总量，但本项目污水量不大，总量贡献值小，不会降低项目所在区域现有水环境功能。</w:t>
      </w:r>
    </w:p>
    <w:p w14:paraId="193A709A">
      <w:pPr>
        <w:pStyle w:val="74"/>
        <w:widowControl w:val="0"/>
        <w:ind w:firstLine="482"/>
        <w:jc w:val="both"/>
        <w:rPr>
          <w:rFonts w:cs="Times New Roman"/>
          <w:color w:val="auto"/>
          <w:lang w:eastAsia="zh-CN"/>
        </w:rPr>
      </w:pPr>
      <w:r>
        <w:rPr>
          <w:rFonts w:cs="Times New Roman"/>
          <w:color w:val="auto"/>
          <w:lang w:eastAsia="zh-CN"/>
        </w:rPr>
        <w:t>8.2.</w:t>
      </w:r>
      <w:r>
        <w:rPr>
          <w:rFonts w:hint="eastAsia" w:cs="Times New Roman"/>
          <w:color w:val="auto"/>
          <w:lang w:eastAsia="zh-CN"/>
        </w:rPr>
        <w:t>3</w:t>
      </w:r>
      <w:r>
        <w:rPr>
          <w:rFonts w:cs="Times New Roman"/>
          <w:color w:val="auto"/>
          <w:lang w:eastAsia="zh-CN"/>
        </w:rPr>
        <w:t>.4 其他废水治理措施要求</w:t>
      </w:r>
    </w:p>
    <w:p w14:paraId="71FE72EC">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1、厂区内做好雨污分流、分质收集，根据生态环境管理的相关要求，厂区原则上配备一个标准化的污水排放口和清净雨水排放口。厂区总排口单独设置废水监控井，方便后期进行废水例行采样监测。建设单位认真做好规范化排污口工作，要在排污口旁设立明显标志（标志有生态环境部门统一制定），排污口的设置要便于采样和测流。</w:t>
      </w:r>
    </w:p>
    <w:p w14:paraId="498BC3AA">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2、各生产车间的污水采用架空管或明管套明沟收集，沟渠必须设置防腐防渗措施，对污水管道设置标识颜色、注明流向等信息。</w:t>
      </w:r>
    </w:p>
    <w:p w14:paraId="11DE3B62">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3、初期雨水收集池和事故应急池，正常生产情况下，生产装置区等污染区域雨水经收集后，排入污水处理厂处理，并对雨水总排口开展自行监测工作，经检测合格后方可切换雨水阀门。事故情况下，切断厂区雨水阀门，将事故废水、消防废水等切换至事故应急池，保证超标废水不直接排入外环境。</w:t>
      </w:r>
    </w:p>
    <w:p w14:paraId="1598E44A">
      <w:pPr>
        <w:pStyle w:val="74"/>
        <w:widowControl w:val="0"/>
        <w:ind w:firstLine="482"/>
        <w:jc w:val="both"/>
        <w:rPr>
          <w:rFonts w:cs="Times New Roman"/>
          <w:color w:val="auto"/>
          <w:lang w:eastAsia="zh-CN"/>
        </w:rPr>
      </w:pPr>
      <w:bookmarkStart w:id="2430" w:name="_Toc30949"/>
      <w:r>
        <w:rPr>
          <w:rFonts w:cs="Times New Roman"/>
          <w:color w:val="auto"/>
          <w:lang w:eastAsia="zh-CN"/>
        </w:rPr>
        <w:t>8.2.</w:t>
      </w:r>
      <w:r>
        <w:rPr>
          <w:rFonts w:hint="eastAsia" w:cs="Times New Roman"/>
          <w:color w:val="auto"/>
          <w:lang w:eastAsia="zh-CN"/>
        </w:rPr>
        <w:t>3</w:t>
      </w:r>
      <w:r>
        <w:rPr>
          <w:rFonts w:cs="Times New Roman"/>
          <w:color w:val="auto"/>
          <w:lang w:eastAsia="zh-CN"/>
        </w:rPr>
        <w:t>.5 小结</w:t>
      </w:r>
      <w:bookmarkEnd w:id="2430"/>
    </w:p>
    <w:p w14:paraId="257A9B83">
      <w:pPr>
        <w:pStyle w:val="42"/>
        <w:adjustRightInd/>
        <w:snapToGrid w:val="0"/>
        <w:spacing w:line="360" w:lineRule="auto"/>
        <w:ind w:firstLine="480" w:firstLineChars="200"/>
        <w:rPr>
          <w:color w:val="auto"/>
        </w:rPr>
      </w:pPr>
      <w:r>
        <w:rPr>
          <w:color w:val="auto"/>
        </w:rPr>
        <w:t>综上，项目废水接入沫河口污水处理厂是可行的，处理达到《城镇污水处理厂污染物排放标准》（GB18918-2002）一级A标准后达标排入三铺大沟，最终排入淮河。</w:t>
      </w:r>
    </w:p>
    <w:p w14:paraId="6BACC601">
      <w:pPr>
        <w:widowControl w:val="0"/>
        <w:spacing w:line="360" w:lineRule="auto"/>
        <w:ind w:firstLine="482"/>
        <w:jc w:val="both"/>
        <w:outlineLvl w:val="2"/>
        <w:rPr>
          <w:rFonts w:ascii="Times New Roman" w:hAnsi="Times New Roman" w:cs="Times New Roman"/>
          <w:b/>
          <w:bCs/>
          <w:color w:val="auto"/>
          <w:lang w:eastAsia="zh-CN"/>
        </w:rPr>
      </w:pPr>
      <w:bookmarkStart w:id="2431" w:name="_Toc175164383"/>
      <w:bookmarkStart w:id="2432" w:name="_Toc225784174"/>
      <w:bookmarkStart w:id="2433" w:name="_Toc178602464"/>
      <w:bookmarkStart w:id="2434" w:name="_Toc133333765"/>
      <w:bookmarkStart w:id="2435" w:name="_Toc203927116"/>
      <w:bookmarkStart w:id="2436" w:name="_Toc231828695"/>
      <w:bookmarkStart w:id="2437" w:name="_Toc224674812"/>
      <w:bookmarkStart w:id="2438" w:name="_Toc133214608"/>
      <w:bookmarkStart w:id="2439" w:name="_Toc204515315"/>
      <w:bookmarkStart w:id="2440" w:name="_Toc172555755"/>
      <w:bookmarkStart w:id="2441" w:name="_Toc237508407"/>
      <w:bookmarkStart w:id="2442" w:name="_Toc223425172"/>
      <w:bookmarkStart w:id="2443" w:name="_Toc217662786"/>
      <w:bookmarkStart w:id="2444" w:name="_Toc218784398"/>
      <w:bookmarkStart w:id="2445" w:name="_Toc221900954"/>
      <w:bookmarkStart w:id="2446" w:name="_Toc173740389"/>
      <w:bookmarkStart w:id="2447" w:name="_Toc204448580"/>
      <w:bookmarkStart w:id="2448" w:name="_Toc236641942"/>
      <w:bookmarkStart w:id="2449" w:name="_Toc176513119"/>
      <w:bookmarkStart w:id="2450" w:name="_Toc173743493"/>
      <w:r>
        <w:rPr>
          <w:rFonts w:ascii="Times New Roman" w:hAnsi="Times New Roman" w:cs="Times New Roman"/>
          <w:b/>
          <w:bCs/>
          <w:color w:val="auto"/>
          <w:lang w:eastAsia="zh-CN"/>
        </w:rPr>
        <w:t>8.2.</w:t>
      </w:r>
      <w:r>
        <w:rPr>
          <w:rFonts w:hint="eastAsia" w:ascii="Times New Roman" w:hAnsi="Times New Roman" w:cs="Times New Roman"/>
          <w:b/>
          <w:bCs/>
          <w:color w:val="auto"/>
          <w:lang w:eastAsia="zh-CN"/>
        </w:rPr>
        <w:t>4</w:t>
      </w:r>
      <w:r>
        <w:rPr>
          <w:rFonts w:ascii="Times New Roman" w:hAnsi="Times New Roman" w:cs="Times New Roman"/>
          <w:b/>
          <w:bCs/>
          <w:color w:val="auto"/>
          <w:lang w:eastAsia="zh-CN"/>
        </w:rPr>
        <w:t xml:space="preserve"> 噪声污染防治措施及可行性分析</w:t>
      </w:r>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p>
    <w:p w14:paraId="5E351743">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本项目在噪声控制上优先选用低噪声设备，对变压器等噪声设备采取减振、隔声等措施。主要噪声防治措施如下：</w:t>
      </w:r>
    </w:p>
    <w:p w14:paraId="35CA4BC5">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（1）在场区总图设计上科学规划，合理布局，尽可能将噪声设备集中布置、集中管理、远离办公生活区，并加强场区绿化，充分利用距离衰减和草丛、树木的吸声作用降噪，减小项目运行对外环境的影响。</w:t>
      </w:r>
    </w:p>
    <w:p w14:paraId="2CC983A8">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（2）在设计中按《工业企业噪声控制设计规范》选用性能优、噪声低的设备。</w:t>
      </w:r>
    </w:p>
    <w:p w14:paraId="49CC9B9F">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（3）高噪声设备尽量在车间内布置，并设置减振基础，通过车间的建筑隔声，可起到较好的降噪效果；</w:t>
      </w:r>
    </w:p>
    <w:p w14:paraId="497B0990">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（4）对各类泵进行基础减振；</w:t>
      </w:r>
    </w:p>
    <w:p w14:paraId="102ABB3F">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（5）制定厂区内高噪声设备运行管理和检修计划，确保高噪声设备处于良好的运行状态。</w:t>
      </w:r>
    </w:p>
    <w:p w14:paraId="525E22DF">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在采取上述有效的防治措施后，加上距离衰减作用，厂界噪声可满足《工业企业场界环境噪声排放标准》（GB12348-2008）中的3类标准要求。</w:t>
      </w:r>
    </w:p>
    <w:p w14:paraId="006CADB1">
      <w:pPr>
        <w:spacing w:line="360" w:lineRule="auto"/>
        <w:ind w:firstLine="482"/>
        <w:outlineLvl w:val="2"/>
        <w:rPr>
          <w:rFonts w:ascii="Times New Roman" w:hAnsi="Times New Roman" w:cs="Times New Roman"/>
          <w:b/>
          <w:bCs/>
          <w:color w:val="auto"/>
          <w:lang w:eastAsia="zh-CN"/>
        </w:rPr>
      </w:pPr>
      <w:bookmarkStart w:id="2451" w:name="_Toc231828696"/>
      <w:bookmarkStart w:id="2452" w:name="_Toc203927117"/>
      <w:bookmarkStart w:id="2453" w:name="_Toc224674813"/>
      <w:bookmarkStart w:id="2454" w:name="_Toc175164384"/>
      <w:bookmarkStart w:id="2455" w:name="_Toc221900955"/>
      <w:bookmarkStart w:id="2456" w:name="_Toc173743494"/>
      <w:bookmarkStart w:id="2457" w:name="_Toc204515316"/>
      <w:bookmarkStart w:id="2458" w:name="_Toc176513120"/>
      <w:bookmarkStart w:id="2459" w:name="_Toc204448581"/>
      <w:bookmarkStart w:id="2460" w:name="_Toc172555756"/>
      <w:bookmarkStart w:id="2461" w:name="_Toc217662787"/>
      <w:bookmarkStart w:id="2462" w:name="_Toc173740390"/>
      <w:bookmarkStart w:id="2463" w:name="_Toc237508408"/>
      <w:bookmarkStart w:id="2464" w:name="_Toc236641943"/>
      <w:bookmarkStart w:id="2465" w:name="_Toc133333766"/>
      <w:bookmarkStart w:id="2466" w:name="_Toc223425173"/>
      <w:bookmarkStart w:id="2467" w:name="_Toc218784399"/>
      <w:bookmarkStart w:id="2468" w:name="_Toc178602465"/>
      <w:bookmarkStart w:id="2469" w:name="_Toc225784175"/>
      <w:bookmarkStart w:id="2470" w:name="_Toc133214609"/>
      <w:r>
        <w:rPr>
          <w:rFonts w:ascii="Times New Roman" w:hAnsi="Times New Roman" w:cs="Times New Roman"/>
          <w:b/>
          <w:bCs/>
          <w:color w:val="auto"/>
          <w:lang w:eastAsia="zh-CN"/>
        </w:rPr>
        <w:t>8.2.</w:t>
      </w:r>
      <w:r>
        <w:rPr>
          <w:rFonts w:hint="eastAsia" w:ascii="Times New Roman" w:hAnsi="Times New Roman" w:cs="Times New Roman"/>
          <w:b/>
          <w:bCs/>
          <w:color w:val="auto"/>
          <w:lang w:eastAsia="zh-CN"/>
        </w:rPr>
        <w:t>5</w:t>
      </w:r>
      <w:r>
        <w:rPr>
          <w:rFonts w:ascii="Times New Roman" w:hAnsi="Times New Roman" w:cs="Times New Roman"/>
          <w:b/>
          <w:bCs/>
          <w:color w:val="auto"/>
          <w:lang w:eastAsia="zh-CN"/>
        </w:rPr>
        <w:t xml:space="preserve"> 固体废物污染防治措施</w:t>
      </w:r>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p>
    <w:p w14:paraId="64500942">
      <w:pPr>
        <w:spacing w:line="360" w:lineRule="auto"/>
        <w:ind w:firstLine="480" w:firstLineChars="200"/>
        <w:rPr>
          <w:rFonts w:ascii="Times New Roman" w:hAnsi="Times New Roman" w:cs="Times New Roman"/>
          <w:bCs/>
          <w:color w:val="auto"/>
          <w:lang w:eastAsia="zh-CN"/>
        </w:rPr>
      </w:pPr>
      <w:r>
        <w:rPr>
          <w:rFonts w:ascii="Times New Roman" w:hAnsi="Times New Roman" w:cs="Times New Roman"/>
          <w:color w:val="auto"/>
          <w:lang w:eastAsia="zh-CN"/>
        </w:rPr>
        <w:t>1、本项目</w:t>
      </w:r>
      <w:r>
        <w:rPr>
          <w:rFonts w:ascii="Times New Roman" w:hAnsi="Times New Roman" w:cs="Times New Roman"/>
          <w:bCs/>
          <w:color w:val="auto"/>
          <w:lang w:eastAsia="zh-CN"/>
        </w:rPr>
        <w:t>固体废弃物种类、数量及拟采取的处理处置方式见下表。</w:t>
      </w:r>
    </w:p>
    <w:p w14:paraId="6D801E63">
      <w:pPr>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表8.2-</w:t>
      </w:r>
      <w:r>
        <w:rPr>
          <w:rFonts w:hint="eastAsia" w:ascii="Times New Roman" w:hAnsi="Times New Roman" w:cs="Times New Roman"/>
          <w:b/>
          <w:bCs/>
          <w:color w:val="auto"/>
          <w:szCs w:val="24"/>
          <w:lang w:eastAsia="zh-CN"/>
        </w:rPr>
        <w:t>8</w:t>
      </w:r>
      <w:r>
        <w:rPr>
          <w:rFonts w:ascii="Times New Roman" w:hAnsi="Times New Roman" w:cs="Times New Roman"/>
          <w:b/>
          <w:bCs/>
          <w:color w:val="auto"/>
          <w:szCs w:val="24"/>
          <w:lang w:eastAsia="zh-CN"/>
        </w:rPr>
        <w:t xml:space="preserve">  本项目固体废物产生及处置情况表</w:t>
      </w:r>
    </w:p>
    <w:tbl>
      <w:tblPr>
        <w:tblStyle w:val="35"/>
        <w:tblW w:w="4971"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28" w:type="dxa"/>
          <w:bottom w:w="0" w:type="dxa"/>
          <w:right w:w="28" w:type="dxa"/>
        </w:tblCellMar>
      </w:tblPr>
      <w:tblGrid>
        <w:gridCol w:w="555"/>
        <w:gridCol w:w="979"/>
        <w:gridCol w:w="833"/>
        <w:gridCol w:w="1112"/>
        <w:gridCol w:w="973"/>
        <w:gridCol w:w="974"/>
        <w:gridCol w:w="694"/>
        <w:gridCol w:w="1393"/>
        <w:gridCol w:w="710"/>
        <w:gridCol w:w="1360"/>
      </w:tblGrid>
      <w:tr w14:paraId="4D5C13A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290" w:type="pct"/>
            <w:vAlign w:val="center"/>
          </w:tcPr>
          <w:p w14:paraId="08C10B78">
            <w:pPr>
              <w:topLinePunct/>
              <w:adjustRightInd w:val="0"/>
              <w:snapToGrid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序号</w:t>
            </w:r>
          </w:p>
        </w:tc>
        <w:tc>
          <w:tcPr>
            <w:tcW w:w="511" w:type="pct"/>
            <w:vAlign w:val="center"/>
          </w:tcPr>
          <w:p w14:paraId="70E1B5A2">
            <w:pPr>
              <w:topLinePunct/>
              <w:adjustRightInd w:val="0"/>
              <w:snapToGrid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废物名称</w:t>
            </w:r>
          </w:p>
        </w:tc>
        <w:tc>
          <w:tcPr>
            <w:tcW w:w="435" w:type="pct"/>
            <w:vAlign w:val="center"/>
          </w:tcPr>
          <w:p w14:paraId="1E020D27">
            <w:pPr>
              <w:topLinePunct/>
              <w:adjustRightInd w:val="0"/>
              <w:snapToGrid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废物类别</w:t>
            </w:r>
          </w:p>
        </w:tc>
        <w:tc>
          <w:tcPr>
            <w:tcW w:w="580" w:type="pct"/>
            <w:vAlign w:val="center"/>
          </w:tcPr>
          <w:p w14:paraId="4FBF4A0A">
            <w:pPr>
              <w:topLinePunct/>
              <w:adjustRightInd w:val="0"/>
              <w:snapToGrid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废物代码</w:t>
            </w:r>
          </w:p>
        </w:tc>
        <w:tc>
          <w:tcPr>
            <w:tcW w:w="507" w:type="pct"/>
            <w:vAlign w:val="center"/>
          </w:tcPr>
          <w:p w14:paraId="7888364C">
            <w:pPr>
              <w:topLinePunct/>
              <w:adjustRightInd w:val="0"/>
              <w:snapToGrid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产生量（吨/年）</w:t>
            </w:r>
          </w:p>
        </w:tc>
        <w:tc>
          <w:tcPr>
            <w:tcW w:w="508" w:type="pct"/>
            <w:vAlign w:val="center"/>
          </w:tcPr>
          <w:p w14:paraId="1C980B8E">
            <w:pPr>
              <w:topLinePunct/>
              <w:adjustRightInd w:val="0"/>
              <w:snapToGrid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产生工序及装置</w:t>
            </w:r>
          </w:p>
        </w:tc>
        <w:tc>
          <w:tcPr>
            <w:tcW w:w="362" w:type="pct"/>
            <w:vAlign w:val="center"/>
          </w:tcPr>
          <w:p w14:paraId="10000980">
            <w:pPr>
              <w:topLinePunct/>
              <w:adjustRightInd w:val="0"/>
              <w:snapToGrid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形态</w:t>
            </w:r>
          </w:p>
        </w:tc>
        <w:tc>
          <w:tcPr>
            <w:tcW w:w="726" w:type="pct"/>
            <w:vAlign w:val="center"/>
          </w:tcPr>
          <w:p w14:paraId="6C792ED7">
            <w:pPr>
              <w:topLinePunct/>
              <w:adjustRightInd w:val="0"/>
              <w:snapToGrid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主要成分</w:t>
            </w:r>
          </w:p>
        </w:tc>
        <w:tc>
          <w:tcPr>
            <w:tcW w:w="368" w:type="pct"/>
            <w:vAlign w:val="center"/>
          </w:tcPr>
          <w:p w14:paraId="0006E8EB">
            <w:pPr>
              <w:topLinePunct/>
              <w:adjustRightInd w:val="0"/>
              <w:snapToGrid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危险特性</w:t>
            </w:r>
          </w:p>
        </w:tc>
        <w:tc>
          <w:tcPr>
            <w:tcW w:w="709" w:type="pct"/>
            <w:vAlign w:val="center"/>
          </w:tcPr>
          <w:p w14:paraId="242227C2">
            <w:pPr>
              <w:topLinePunct/>
              <w:adjustRightInd w:val="0"/>
              <w:snapToGrid w:val="0"/>
              <w:jc w:val="center"/>
              <w:rPr>
                <w:rFonts w:ascii="Times New Roman" w:hAnsi="Times New Roman" w:cs="Times New Roman"/>
                <w:b/>
                <w:color w:val="000000" w:themeColor="text1"/>
                <w:sz w:val="21"/>
                <w14:textFill>
                  <w14:solidFill>
                    <w14:schemeClr w14:val="tx1"/>
                  </w14:solidFill>
                </w14:textFill>
              </w:rPr>
            </w:pPr>
            <w:r>
              <w:rPr>
                <w:rFonts w:ascii="Times New Roman" w:hAnsi="Times New Roman" w:cs="Times New Roman"/>
                <w:b/>
                <w:color w:val="000000" w:themeColor="text1"/>
                <w:sz w:val="21"/>
                <w14:textFill>
                  <w14:solidFill>
                    <w14:schemeClr w14:val="tx1"/>
                  </w14:solidFill>
                </w14:textFill>
              </w:rPr>
              <w:t>污染防治措施</w:t>
            </w:r>
          </w:p>
        </w:tc>
      </w:tr>
      <w:tr w14:paraId="218A488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290" w:type="pct"/>
            <w:vAlign w:val="center"/>
          </w:tcPr>
          <w:p w14:paraId="606A8412">
            <w:pPr>
              <w:topLinePunct/>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1</w:t>
            </w:r>
          </w:p>
        </w:tc>
        <w:tc>
          <w:tcPr>
            <w:tcW w:w="511" w:type="pct"/>
            <w:vAlign w:val="center"/>
          </w:tcPr>
          <w:p w14:paraId="71598C4A">
            <w:pPr>
              <w:topLinePunct/>
              <w:adjustRightInd w:val="0"/>
              <w:snapToGrid w:val="0"/>
              <w:jc w:val="center"/>
              <w:rPr>
                <w:rFonts w:ascii="Times New Roman" w:hAnsi="Times New Roman" w:cs="Times New Roman"/>
                <w:color w:val="000000" w:themeColor="text1"/>
                <w:sz w:val="21"/>
                <w14:textFill>
                  <w14:solidFill>
                    <w14:schemeClr w14:val="tx1"/>
                  </w14:solidFill>
                </w14:textFill>
              </w:rPr>
            </w:pPr>
            <w:r>
              <w:rPr>
                <w:rFonts w:hint="eastAsia" w:ascii="Times New Roman" w:hAnsi="Times New Roman" w:cs="Times New Roman"/>
                <w:bCs/>
                <w:color w:val="auto"/>
                <w:sz w:val="21"/>
                <w:lang w:eastAsia="zh-CN"/>
              </w:rPr>
              <w:t>实验室废液</w:t>
            </w:r>
          </w:p>
        </w:tc>
        <w:tc>
          <w:tcPr>
            <w:tcW w:w="435" w:type="pct"/>
            <w:vAlign w:val="center"/>
          </w:tcPr>
          <w:p w14:paraId="1367E65A">
            <w:pPr>
              <w:topLinePunct/>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auto"/>
                <w:sz w:val="21"/>
              </w:rPr>
              <w:t>HW49</w:t>
            </w:r>
          </w:p>
        </w:tc>
        <w:tc>
          <w:tcPr>
            <w:tcW w:w="580" w:type="pct"/>
            <w:vAlign w:val="center"/>
          </w:tcPr>
          <w:p w14:paraId="13FCBABA">
            <w:pPr>
              <w:topLinePunct/>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auto"/>
                <w:sz w:val="21"/>
              </w:rPr>
              <w:t>900-0</w:t>
            </w:r>
            <w:r>
              <w:rPr>
                <w:rFonts w:ascii="Times New Roman" w:hAnsi="Times New Roman" w:cs="Times New Roman"/>
                <w:color w:val="auto"/>
                <w:sz w:val="21"/>
                <w:lang w:eastAsia="zh-CN"/>
              </w:rPr>
              <w:t>47</w:t>
            </w:r>
            <w:r>
              <w:rPr>
                <w:rFonts w:ascii="Times New Roman" w:hAnsi="Times New Roman" w:cs="Times New Roman"/>
                <w:color w:val="auto"/>
                <w:sz w:val="21"/>
              </w:rPr>
              <w:t>-49</w:t>
            </w:r>
          </w:p>
        </w:tc>
        <w:tc>
          <w:tcPr>
            <w:tcW w:w="507" w:type="pct"/>
            <w:vAlign w:val="center"/>
          </w:tcPr>
          <w:p w14:paraId="6194359A">
            <w:pPr>
              <w:topLinePunct/>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auto"/>
                <w:sz w:val="21"/>
                <w:lang w:eastAsia="zh-CN"/>
              </w:rPr>
              <w:t>0.15</w:t>
            </w:r>
          </w:p>
        </w:tc>
        <w:tc>
          <w:tcPr>
            <w:tcW w:w="508" w:type="pct"/>
            <w:vAlign w:val="center"/>
          </w:tcPr>
          <w:p w14:paraId="0DD95274">
            <w:pPr>
              <w:topLinePunct/>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auto"/>
                <w:sz w:val="21"/>
                <w:lang w:eastAsia="zh-CN"/>
              </w:rPr>
              <w:t>质检</w:t>
            </w:r>
          </w:p>
        </w:tc>
        <w:tc>
          <w:tcPr>
            <w:tcW w:w="362" w:type="pct"/>
            <w:vAlign w:val="center"/>
          </w:tcPr>
          <w:p w14:paraId="653CE921">
            <w:pPr>
              <w:topLinePunct/>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auto"/>
                <w:sz w:val="21"/>
                <w:lang w:eastAsia="zh-CN"/>
              </w:rPr>
              <w:t>液</w:t>
            </w:r>
            <w:r>
              <w:rPr>
                <w:rFonts w:hint="eastAsia" w:ascii="Times New Roman" w:hAnsi="Times New Roman" w:cs="Times New Roman"/>
                <w:color w:val="000000" w:themeColor="text1"/>
                <w:sz w:val="21"/>
                <w:lang w:eastAsia="zh-CN"/>
                <w14:textFill>
                  <w14:solidFill>
                    <w14:schemeClr w14:val="tx1"/>
                  </w14:solidFill>
                </w14:textFill>
              </w:rPr>
              <w:t>体</w:t>
            </w:r>
          </w:p>
        </w:tc>
        <w:tc>
          <w:tcPr>
            <w:tcW w:w="726" w:type="pct"/>
            <w:vAlign w:val="center"/>
          </w:tcPr>
          <w:p w14:paraId="6CC891A5">
            <w:pPr>
              <w:topLinePunct/>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auto"/>
                <w:sz w:val="21"/>
                <w:lang w:eastAsia="zh-CN"/>
              </w:rPr>
              <w:t>氟化氢、氯化氢、有机物等</w:t>
            </w:r>
          </w:p>
        </w:tc>
        <w:tc>
          <w:tcPr>
            <w:tcW w:w="368" w:type="pct"/>
            <w:vAlign w:val="center"/>
          </w:tcPr>
          <w:p w14:paraId="65884E0A">
            <w:pPr>
              <w:topLinePunct/>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auto"/>
                <w:sz w:val="21"/>
                <w:lang w:eastAsia="zh-CN"/>
              </w:rPr>
              <w:t>T/C/I/R</w:t>
            </w:r>
          </w:p>
        </w:tc>
        <w:tc>
          <w:tcPr>
            <w:tcW w:w="709" w:type="pct"/>
            <w:vMerge w:val="restart"/>
            <w:vAlign w:val="center"/>
          </w:tcPr>
          <w:p w14:paraId="3926D370">
            <w:pPr>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委托有资质单位处置</w:t>
            </w:r>
          </w:p>
        </w:tc>
      </w:tr>
      <w:tr w14:paraId="7257EAA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290" w:type="pct"/>
            <w:vAlign w:val="center"/>
          </w:tcPr>
          <w:p w14:paraId="510E3365">
            <w:pPr>
              <w:topLinePunct/>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2</w:t>
            </w:r>
          </w:p>
        </w:tc>
        <w:tc>
          <w:tcPr>
            <w:tcW w:w="511" w:type="pct"/>
            <w:vAlign w:val="center"/>
          </w:tcPr>
          <w:p w14:paraId="28D6924B">
            <w:pPr>
              <w:topLinePunct/>
              <w:adjustRightInd w:val="0"/>
              <w:snapToGrid w:val="0"/>
              <w:jc w:val="center"/>
              <w:rPr>
                <w:rFonts w:ascii="Times New Roman" w:hAnsi="Times New Roman" w:cs="Times New Roman"/>
                <w:bCs/>
                <w:color w:val="auto"/>
                <w:sz w:val="21"/>
                <w:lang w:eastAsia="zh-CN"/>
              </w:rPr>
            </w:pPr>
            <w:r>
              <w:rPr>
                <w:rFonts w:hint="eastAsia" w:ascii="Times New Roman" w:hAnsi="Times New Roman" w:cs="Times New Roman"/>
                <w:color w:val="000000" w:themeColor="text1"/>
                <w:sz w:val="21"/>
                <w:lang w:eastAsia="zh-CN"/>
                <w14:textFill>
                  <w14:solidFill>
                    <w14:schemeClr w14:val="tx1"/>
                  </w14:solidFill>
                </w14:textFill>
              </w:rPr>
              <w:t>废机油</w:t>
            </w:r>
          </w:p>
        </w:tc>
        <w:tc>
          <w:tcPr>
            <w:tcW w:w="435" w:type="pct"/>
            <w:vAlign w:val="center"/>
          </w:tcPr>
          <w:p w14:paraId="4AB7109A">
            <w:pPr>
              <w:topLinePunct/>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14:textFill>
                  <w14:solidFill>
                    <w14:schemeClr w14:val="tx1"/>
                  </w14:solidFill>
                </w14:textFill>
              </w:rPr>
              <w:t>HW</w:t>
            </w:r>
            <w:r>
              <w:rPr>
                <w:rFonts w:ascii="Times New Roman" w:hAnsi="Times New Roman" w:cs="Times New Roman"/>
                <w:color w:val="000000" w:themeColor="text1"/>
                <w:sz w:val="21"/>
                <w:lang w:eastAsia="zh-CN"/>
                <w14:textFill>
                  <w14:solidFill>
                    <w14:schemeClr w14:val="tx1"/>
                  </w14:solidFill>
                </w14:textFill>
              </w:rPr>
              <w:t>0</w:t>
            </w:r>
            <w:r>
              <w:rPr>
                <w:rFonts w:hint="eastAsia" w:ascii="Times New Roman" w:hAnsi="Times New Roman" w:cs="Times New Roman"/>
                <w:color w:val="000000" w:themeColor="text1"/>
                <w:sz w:val="21"/>
                <w:lang w:eastAsia="zh-CN"/>
                <w14:textFill>
                  <w14:solidFill>
                    <w14:schemeClr w14:val="tx1"/>
                  </w14:solidFill>
                </w14:textFill>
              </w:rPr>
              <w:t>8</w:t>
            </w:r>
          </w:p>
        </w:tc>
        <w:tc>
          <w:tcPr>
            <w:tcW w:w="580" w:type="pct"/>
            <w:vAlign w:val="center"/>
          </w:tcPr>
          <w:p w14:paraId="6C04B71D">
            <w:pPr>
              <w:topLinePunct/>
              <w:adjustRightInd w:val="0"/>
              <w:snapToGrid w:val="0"/>
              <w:jc w:val="center"/>
              <w:rPr>
                <w:rFonts w:ascii="Times New Roman" w:hAnsi="Times New Roman" w:cs="Times New Roman"/>
                <w:color w:val="auto"/>
                <w:sz w:val="21"/>
              </w:rPr>
            </w:pPr>
            <w:r>
              <w:rPr>
                <w:rFonts w:ascii="Times New Roman" w:hAnsi="Times New Roman" w:cs="Times New Roman"/>
                <w:color w:val="000000" w:themeColor="text1"/>
                <w:sz w:val="21"/>
                <w:lang w:eastAsia="zh-CN"/>
                <w14:textFill>
                  <w14:solidFill>
                    <w14:schemeClr w14:val="tx1"/>
                  </w14:solidFill>
                </w14:textFill>
              </w:rPr>
              <w:t>900-</w:t>
            </w:r>
            <w:r>
              <w:rPr>
                <w:rFonts w:hint="eastAsia" w:ascii="Times New Roman" w:hAnsi="Times New Roman" w:cs="Times New Roman"/>
                <w:color w:val="000000" w:themeColor="text1"/>
                <w:sz w:val="21"/>
                <w:lang w:eastAsia="zh-CN"/>
                <w14:textFill>
                  <w14:solidFill>
                    <w14:schemeClr w14:val="tx1"/>
                  </w14:solidFill>
                </w14:textFill>
              </w:rPr>
              <w:t>214</w:t>
            </w:r>
            <w:r>
              <w:rPr>
                <w:rFonts w:ascii="Times New Roman" w:hAnsi="Times New Roman" w:cs="Times New Roman"/>
                <w:color w:val="000000" w:themeColor="text1"/>
                <w:sz w:val="21"/>
                <w:lang w:eastAsia="zh-CN"/>
                <w14:textFill>
                  <w14:solidFill>
                    <w14:schemeClr w14:val="tx1"/>
                  </w14:solidFill>
                </w14:textFill>
              </w:rPr>
              <w:t>-0</w:t>
            </w:r>
            <w:r>
              <w:rPr>
                <w:rFonts w:hint="eastAsia" w:ascii="Times New Roman" w:hAnsi="Times New Roman" w:cs="Times New Roman"/>
                <w:color w:val="000000" w:themeColor="text1"/>
                <w:sz w:val="21"/>
                <w:lang w:eastAsia="zh-CN"/>
                <w14:textFill>
                  <w14:solidFill>
                    <w14:schemeClr w14:val="tx1"/>
                  </w14:solidFill>
                </w14:textFill>
              </w:rPr>
              <w:t>8</w:t>
            </w:r>
          </w:p>
        </w:tc>
        <w:tc>
          <w:tcPr>
            <w:tcW w:w="507" w:type="pct"/>
            <w:vAlign w:val="center"/>
          </w:tcPr>
          <w:p w14:paraId="0BF1C534">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000000" w:themeColor="text1"/>
                <w:sz w:val="21"/>
                <w:lang w:eastAsia="zh-CN"/>
                <w14:textFill>
                  <w14:solidFill>
                    <w14:schemeClr w14:val="tx1"/>
                  </w14:solidFill>
                </w14:textFill>
              </w:rPr>
              <w:t>0.75</w:t>
            </w:r>
          </w:p>
        </w:tc>
        <w:tc>
          <w:tcPr>
            <w:tcW w:w="508" w:type="pct"/>
            <w:vAlign w:val="center"/>
          </w:tcPr>
          <w:p w14:paraId="5527247F">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000000" w:themeColor="text1"/>
                <w:sz w:val="21"/>
                <w:lang w:eastAsia="zh-CN"/>
                <w14:textFill>
                  <w14:solidFill>
                    <w14:schemeClr w14:val="tx1"/>
                  </w14:solidFill>
                </w14:textFill>
              </w:rPr>
              <w:t>设备维修</w:t>
            </w:r>
          </w:p>
        </w:tc>
        <w:tc>
          <w:tcPr>
            <w:tcW w:w="362" w:type="pct"/>
            <w:vAlign w:val="center"/>
          </w:tcPr>
          <w:p w14:paraId="59AFF659">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液</w:t>
            </w:r>
            <w:r>
              <w:rPr>
                <w:rFonts w:hint="eastAsia" w:ascii="Times New Roman" w:hAnsi="Times New Roman" w:cs="Times New Roman"/>
                <w:color w:val="000000" w:themeColor="text1"/>
                <w:sz w:val="21"/>
                <w:lang w:eastAsia="zh-CN"/>
                <w14:textFill>
                  <w14:solidFill>
                    <w14:schemeClr w14:val="tx1"/>
                  </w14:solidFill>
                </w14:textFill>
              </w:rPr>
              <w:t>体</w:t>
            </w:r>
          </w:p>
        </w:tc>
        <w:tc>
          <w:tcPr>
            <w:tcW w:w="726" w:type="pct"/>
            <w:vAlign w:val="center"/>
          </w:tcPr>
          <w:p w14:paraId="4E8AA8D8">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000000" w:themeColor="text1"/>
                <w:sz w:val="21"/>
                <w:lang w:eastAsia="zh-CN"/>
                <w14:textFill>
                  <w14:solidFill>
                    <w14:schemeClr w14:val="tx1"/>
                  </w14:solidFill>
                </w14:textFill>
              </w:rPr>
              <w:t>矿物油</w:t>
            </w:r>
          </w:p>
        </w:tc>
        <w:tc>
          <w:tcPr>
            <w:tcW w:w="368" w:type="pct"/>
            <w:vAlign w:val="center"/>
          </w:tcPr>
          <w:p w14:paraId="387C519E">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lang w:eastAsia="zh-CN"/>
                <w14:textFill>
                  <w14:solidFill>
                    <w14:schemeClr w14:val="tx1"/>
                  </w14:solidFill>
                </w14:textFill>
              </w:rPr>
              <w:t>T</w:t>
            </w:r>
            <w:r>
              <w:rPr>
                <w:rFonts w:hint="eastAsia" w:ascii="Times New Roman" w:hAnsi="Times New Roman" w:cs="Times New Roman"/>
                <w:color w:val="000000" w:themeColor="text1"/>
                <w:sz w:val="21"/>
                <w:lang w:eastAsia="zh-CN"/>
                <w14:textFill>
                  <w14:solidFill>
                    <w14:schemeClr w14:val="tx1"/>
                  </w14:solidFill>
                </w14:textFill>
              </w:rPr>
              <w:t>，</w:t>
            </w:r>
            <w:r>
              <w:rPr>
                <w:rFonts w:ascii="Times New Roman" w:hAnsi="Times New Roman" w:cs="Times New Roman"/>
                <w:color w:val="000000" w:themeColor="text1"/>
                <w:sz w:val="21"/>
                <w:lang w:eastAsia="zh-CN"/>
                <w14:textFill>
                  <w14:solidFill>
                    <w14:schemeClr w14:val="tx1"/>
                  </w14:solidFill>
                </w14:textFill>
              </w:rPr>
              <w:t xml:space="preserve">I </w:t>
            </w:r>
          </w:p>
        </w:tc>
        <w:tc>
          <w:tcPr>
            <w:tcW w:w="709" w:type="pct"/>
            <w:vMerge w:val="continue"/>
            <w:vAlign w:val="center"/>
          </w:tcPr>
          <w:p w14:paraId="1453EA80">
            <w:pPr>
              <w:adjustRightInd w:val="0"/>
              <w:snapToGrid w:val="0"/>
              <w:jc w:val="center"/>
              <w:rPr>
                <w:rFonts w:ascii="Times New Roman" w:hAnsi="Times New Roman" w:cs="Times New Roman"/>
                <w:color w:val="000000" w:themeColor="text1"/>
                <w:sz w:val="21"/>
                <w14:textFill>
                  <w14:solidFill>
                    <w14:schemeClr w14:val="tx1"/>
                  </w14:solidFill>
                </w14:textFill>
              </w:rPr>
            </w:pPr>
          </w:p>
        </w:tc>
      </w:tr>
      <w:tr w14:paraId="281645C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290" w:type="pct"/>
            <w:vAlign w:val="center"/>
          </w:tcPr>
          <w:p w14:paraId="31D193FC">
            <w:pPr>
              <w:topLinePunct/>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3</w:t>
            </w:r>
          </w:p>
        </w:tc>
        <w:tc>
          <w:tcPr>
            <w:tcW w:w="511" w:type="pct"/>
            <w:vAlign w:val="center"/>
          </w:tcPr>
          <w:p w14:paraId="5026EE82">
            <w:pPr>
              <w:topLinePunct/>
              <w:adjustRightInd w:val="0"/>
              <w:snapToGrid w:val="0"/>
              <w:jc w:val="center"/>
              <w:rPr>
                <w:rFonts w:ascii="Times New Roman" w:hAnsi="Times New Roman" w:cs="Times New Roman"/>
                <w:color w:val="000000" w:themeColor="text1"/>
                <w:sz w:val="21"/>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废油桶</w:t>
            </w:r>
          </w:p>
        </w:tc>
        <w:tc>
          <w:tcPr>
            <w:tcW w:w="435" w:type="pct"/>
            <w:vAlign w:val="center"/>
          </w:tcPr>
          <w:p w14:paraId="0098C167">
            <w:pPr>
              <w:topLinePunct/>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HW</w:t>
            </w:r>
            <w:r>
              <w:rPr>
                <w:rFonts w:hint="eastAsia" w:ascii="Times New Roman" w:hAnsi="Times New Roman" w:cs="Times New Roman"/>
                <w:color w:val="000000" w:themeColor="text1"/>
                <w:sz w:val="21"/>
                <w:lang w:eastAsia="zh-CN"/>
                <w14:textFill>
                  <w14:solidFill>
                    <w14:schemeClr w14:val="tx1"/>
                  </w14:solidFill>
                </w14:textFill>
              </w:rPr>
              <w:t>49</w:t>
            </w:r>
          </w:p>
        </w:tc>
        <w:tc>
          <w:tcPr>
            <w:tcW w:w="580" w:type="pct"/>
            <w:vAlign w:val="center"/>
          </w:tcPr>
          <w:p w14:paraId="7F404D87">
            <w:pPr>
              <w:topLinePunct/>
              <w:adjustRightInd w:val="0"/>
              <w:snapToGrid w:val="0"/>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900-</w:t>
            </w:r>
            <w:r>
              <w:rPr>
                <w:rFonts w:hint="eastAsia" w:ascii="Times New Roman" w:hAnsi="Times New Roman" w:cs="Times New Roman"/>
                <w:color w:val="000000" w:themeColor="text1"/>
                <w:sz w:val="21"/>
                <w:lang w:eastAsia="zh-CN"/>
                <w14:textFill>
                  <w14:solidFill>
                    <w14:schemeClr w14:val="tx1"/>
                  </w14:solidFill>
                </w14:textFill>
              </w:rPr>
              <w:t>041</w:t>
            </w:r>
            <w:r>
              <w:rPr>
                <w:rFonts w:ascii="Times New Roman" w:hAnsi="Times New Roman" w:cs="Times New Roman"/>
                <w:color w:val="000000" w:themeColor="text1"/>
                <w:sz w:val="21"/>
                <w:lang w:eastAsia="zh-CN"/>
                <w14:textFill>
                  <w14:solidFill>
                    <w14:schemeClr w14:val="tx1"/>
                  </w14:solidFill>
                </w14:textFill>
              </w:rPr>
              <w:t>-</w:t>
            </w:r>
            <w:r>
              <w:rPr>
                <w:rFonts w:hint="eastAsia" w:ascii="Times New Roman" w:hAnsi="Times New Roman" w:cs="Times New Roman"/>
                <w:color w:val="000000" w:themeColor="text1"/>
                <w:sz w:val="21"/>
                <w:lang w:eastAsia="zh-CN"/>
                <w14:textFill>
                  <w14:solidFill>
                    <w14:schemeClr w14:val="tx1"/>
                  </w14:solidFill>
                </w14:textFill>
              </w:rPr>
              <w:t>49</w:t>
            </w:r>
          </w:p>
        </w:tc>
        <w:tc>
          <w:tcPr>
            <w:tcW w:w="507" w:type="pct"/>
            <w:vAlign w:val="center"/>
          </w:tcPr>
          <w:p w14:paraId="60EB2E53">
            <w:pPr>
              <w:topLinePunct/>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0.045</w:t>
            </w:r>
          </w:p>
        </w:tc>
        <w:tc>
          <w:tcPr>
            <w:tcW w:w="508" w:type="pct"/>
            <w:vAlign w:val="center"/>
          </w:tcPr>
          <w:p w14:paraId="395D1C51">
            <w:pPr>
              <w:topLinePunct/>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设备维修</w:t>
            </w:r>
          </w:p>
        </w:tc>
        <w:tc>
          <w:tcPr>
            <w:tcW w:w="362" w:type="pct"/>
            <w:vAlign w:val="center"/>
          </w:tcPr>
          <w:p w14:paraId="4414140F">
            <w:pPr>
              <w:topLinePunct/>
              <w:adjustRightInd w:val="0"/>
              <w:snapToGrid w:val="0"/>
              <w:jc w:val="center"/>
              <w:rPr>
                <w:rFonts w:ascii="Times New Roman" w:hAnsi="Times New Roman" w:cs="Times New Roman"/>
                <w:color w:val="000000" w:themeColor="text1"/>
                <w:sz w:val="21"/>
                <w14:textFill>
                  <w14:solidFill>
                    <w14:schemeClr w14:val="tx1"/>
                  </w14:solidFill>
                </w14:textFill>
              </w:rPr>
            </w:pPr>
            <w:r>
              <w:rPr>
                <w:rFonts w:hint="eastAsia" w:ascii="Times New Roman" w:hAnsi="Times New Roman" w:cs="Times New Roman"/>
                <w:color w:val="auto"/>
                <w:sz w:val="21"/>
                <w:lang w:eastAsia="zh-CN"/>
              </w:rPr>
              <w:t>固体</w:t>
            </w:r>
          </w:p>
        </w:tc>
        <w:tc>
          <w:tcPr>
            <w:tcW w:w="726" w:type="pct"/>
            <w:vAlign w:val="center"/>
          </w:tcPr>
          <w:p w14:paraId="51526BF9">
            <w:pPr>
              <w:topLinePunct/>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矿物油、铁</w:t>
            </w:r>
          </w:p>
        </w:tc>
        <w:tc>
          <w:tcPr>
            <w:tcW w:w="368" w:type="pct"/>
            <w:vAlign w:val="center"/>
          </w:tcPr>
          <w:p w14:paraId="62051834">
            <w:pPr>
              <w:topLinePunct/>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T</w:t>
            </w:r>
            <w:r>
              <w:rPr>
                <w:rFonts w:hint="eastAsia" w:ascii="Times New Roman" w:hAnsi="Times New Roman" w:cs="Times New Roman"/>
                <w:color w:val="000000" w:themeColor="text1"/>
                <w:sz w:val="21"/>
                <w:lang w:eastAsia="zh-CN"/>
                <w14:textFill>
                  <w14:solidFill>
                    <w14:schemeClr w14:val="tx1"/>
                  </w14:solidFill>
                </w14:textFill>
              </w:rPr>
              <w:t>/In</w:t>
            </w:r>
          </w:p>
        </w:tc>
        <w:tc>
          <w:tcPr>
            <w:tcW w:w="709" w:type="pct"/>
            <w:vMerge w:val="continue"/>
            <w:vAlign w:val="center"/>
          </w:tcPr>
          <w:p w14:paraId="787E808B">
            <w:pPr>
              <w:adjustRightInd w:val="0"/>
              <w:snapToGrid w:val="0"/>
              <w:jc w:val="center"/>
              <w:rPr>
                <w:rFonts w:ascii="Times New Roman" w:hAnsi="Times New Roman" w:cs="Times New Roman"/>
                <w:color w:val="000000" w:themeColor="text1"/>
                <w:sz w:val="21"/>
                <w14:textFill>
                  <w14:solidFill>
                    <w14:schemeClr w14:val="tx1"/>
                  </w14:solidFill>
                </w14:textFill>
              </w:rPr>
            </w:pPr>
          </w:p>
        </w:tc>
      </w:tr>
      <w:tr w14:paraId="6AEADD8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290" w:type="pct"/>
            <w:vAlign w:val="center"/>
          </w:tcPr>
          <w:p w14:paraId="038796C7">
            <w:pPr>
              <w:topLinePunct/>
              <w:adjustRightInd w:val="0"/>
              <w:snapToGrid w:val="0"/>
              <w:jc w:val="center"/>
              <w:rPr>
                <w:rFonts w:hint="default" w:ascii="Times New Roman" w:hAnsi="Times New Roman" w:cs="Times New Roman"/>
                <w:color w:val="000000" w:themeColor="text1"/>
                <w:sz w:val="21"/>
                <w:lang w:val="en-US" w:eastAsia="zh-CN"/>
                <w14:textFill>
                  <w14:solidFill>
                    <w14:schemeClr w14:val="tx1"/>
                  </w14:solidFill>
                </w14:textFill>
              </w:rPr>
            </w:pPr>
            <w:r>
              <w:rPr>
                <w:rFonts w:hint="eastAsia" w:ascii="Times New Roman" w:hAnsi="Times New Roman" w:cs="Times New Roman"/>
                <w:color w:val="000000" w:themeColor="text1"/>
                <w:sz w:val="21"/>
                <w:lang w:val="en-US" w:eastAsia="zh-CN"/>
                <w14:textFill>
                  <w14:solidFill>
                    <w14:schemeClr w14:val="tx1"/>
                  </w14:solidFill>
                </w14:textFill>
              </w:rPr>
              <w:t>4</w:t>
            </w:r>
          </w:p>
        </w:tc>
        <w:tc>
          <w:tcPr>
            <w:tcW w:w="511" w:type="pct"/>
            <w:shd w:val="clear" w:color="auto" w:fill="auto"/>
            <w:vAlign w:val="center"/>
          </w:tcPr>
          <w:p w14:paraId="53EB9249">
            <w:pPr>
              <w:topLinePunct/>
              <w:adjustRightInd w:val="0"/>
              <w:snapToGrid w:val="0"/>
              <w:jc w:val="center"/>
              <w:rPr>
                <w:rFonts w:hint="eastAsia" w:ascii="Times New Roman" w:hAnsi="Times New Roman" w:eastAsia="宋体" w:cs="Times New Roman"/>
                <w:snapToGrid w:val="0"/>
                <w:color w:val="000000" w:themeColor="text1"/>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废</w:t>
            </w:r>
            <w:r>
              <w:rPr>
                <w:rFonts w:hint="eastAsia" w:ascii="Times New Roman" w:hAnsi="Times New Roman" w:cs="Times New Roman"/>
                <w:color w:val="000000" w:themeColor="text1"/>
                <w:sz w:val="21"/>
                <w:lang w:val="en-US" w:eastAsia="zh-CN"/>
                <w14:textFill>
                  <w14:solidFill>
                    <w14:schemeClr w14:val="tx1"/>
                  </w14:solidFill>
                </w14:textFill>
              </w:rPr>
              <w:t>漆</w:t>
            </w:r>
            <w:r>
              <w:rPr>
                <w:rFonts w:hint="eastAsia" w:ascii="Times New Roman" w:hAnsi="Times New Roman" w:cs="Times New Roman"/>
                <w:color w:val="000000" w:themeColor="text1"/>
                <w:sz w:val="21"/>
                <w:lang w:eastAsia="zh-CN"/>
                <w14:textFill>
                  <w14:solidFill>
                    <w14:schemeClr w14:val="tx1"/>
                  </w14:solidFill>
                </w14:textFill>
              </w:rPr>
              <w:t>桶</w:t>
            </w:r>
          </w:p>
        </w:tc>
        <w:tc>
          <w:tcPr>
            <w:tcW w:w="435" w:type="pct"/>
            <w:shd w:val="clear" w:color="auto" w:fill="auto"/>
            <w:vAlign w:val="center"/>
          </w:tcPr>
          <w:p w14:paraId="59EF3C9A">
            <w:pPr>
              <w:topLinePunct/>
              <w:adjustRightInd w:val="0"/>
              <w:snapToGrid w:val="0"/>
              <w:jc w:val="center"/>
              <w:rPr>
                <w:rFonts w:ascii="Times New Roman" w:hAnsi="Times New Roman" w:eastAsia="宋体" w:cs="Times New Roman"/>
                <w:snapToGrid w:val="0"/>
                <w:color w:val="000000" w:themeColor="text1"/>
                <w:sz w:val="21"/>
                <w:szCs w:val="21"/>
                <w:lang w:val="en-US" w:eastAsia="zh-CN" w:bidi="ar-SA"/>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HW</w:t>
            </w:r>
            <w:r>
              <w:rPr>
                <w:rFonts w:hint="eastAsia" w:ascii="Times New Roman" w:hAnsi="Times New Roman" w:cs="Times New Roman"/>
                <w:color w:val="000000" w:themeColor="text1"/>
                <w:sz w:val="21"/>
                <w:lang w:eastAsia="zh-CN"/>
                <w14:textFill>
                  <w14:solidFill>
                    <w14:schemeClr w14:val="tx1"/>
                  </w14:solidFill>
                </w14:textFill>
              </w:rPr>
              <w:t>49</w:t>
            </w:r>
          </w:p>
        </w:tc>
        <w:tc>
          <w:tcPr>
            <w:tcW w:w="580" w:type="pct"/>
            <w:shd w:val="clear" w:color="auto" w:fill="auto"/>
            <w:vAlign w:val="center"/>
          </w:tcPr>
          <w:p w14:paraId="2E120B04">
            <w:pPr>
              <w:topLinePunct/>
              <w:adjustRightInd w:val="0"/>
              <w:snapToGrid w:val="0"/>
              <w:jc w:val="center"/>
              <w:rPr>
                <w:rFonts w:ascii="Times New Roman" w:hAnsi="Times New Roman" w:eastAsia="宋体" w:cs="Times New Roman"/>
                <w:snapToGrid w:val="0"/>
                <w:color w:val="000000" w:themeColor="text1"/>
                <w:sz w:val="21"/>
                <w:szCs w:val="21"/>
                <w:lang w:val="en-US" w:eastAsia="zh-CN" w:bidi="ar-SA"/>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900-</w:t>
            </w:r>
            <w:r>
              <w:rPr>
                <w:rFonts w:hint="eastAsia" w:ascii="Times New Roman" w:hAnsi="Times New Roman" w:cs="Times New Roman"/>
                <w:color w:val="000000" w:themeColor="text1"/>
                <w:sz w:val="21"/>
                <w:lang w:eastAsia="zh-CN"/>
                <w14:textFill>
                  <w14:solidFill>
                    <w14:schemeClr w14:val="tx1"/>
                  </w14:solidFill>
                </w14:textFill>
              </w:rPr>
              <w:t>041</w:t>
            </w:r>
            <w:r>
              <w:rPr>
                <w:rFonts w:ascii="Times New Roman" w:hAnsi="Times New Roman" w:cs="Times New Roman"/>
                <w:color w:val="000000" w:themeColor="text1"/>
                <w:sz w:val="21"/>
                <w:lang w:eastAsia="zh-CN"/>
                <w14:textFill>
                  <w14:solidFill>
                    <w14:schemeClr w14:val="tx1"/>
                  </w14:solidFill>
                </w14:textFill>
              </w:rPr>
              <w:t>-</w:t>
            </w:r>
            <w:r>
              <w:rPr>
                <w:rFonts w:hint="eastAsia" w:ascii="Times New Roman" w:hAnsi="Times New Roman" w:cs="Times New Roman"/>
                <w:color w:val="000000" w:themeColor="text1"/>
                <w:sz w:val="21"/>
                <w:lang w:eastAsia="zh-CN"/>
                <w14:textFill>
                  <w14:solidFill>
                    <w14:schemeClr w14:val="tx1"/>
                  </w14:solidFill>
                </w14:textFill>
              </w:rPr>
              <w:t>49</w:t>
            </w:r>
          </w:p>
        </w:tc>
        <w:tc>
          <w:tcPr>
            <w:tcW w:w="507" w:type="pct"/>
            <w:shd w:val="clear" w:color="auto" w:fill="auto"/>
            <w:vAlign w:val="center"/>
          </w:tcPr>
          <w:p w14:paraId="13BF071E">
            <w:pPr>
              <w:topLinePunct/>
              <w:adjustRightInd w:val="0"/>
              <w:snapToGrid w:val="0"/>
              <w:jc w:val="center"/>
              <w:rPr>
                <w:rFonts w:hint="default" w:ascii="Times New Roman" w:hAnsi="Times New Roman" w:eastAsia="宋体" w:cs="Times New Roman"/>
                <w:snapToGrid w:val="0"/>
                <w:color w:val="000000" w:themeColor="text1"/>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0.</w:t>
            </w:r>
            <w:r>
              <w:rPr>
                <w:rFonts w:hint="eastAsia" w:ascii="Times New Roman" w:hAnsi="Times New Roman" w:cs="Times New Roman"/>
                <w:color w:val="000000" w:themeColor="text1"/>
                <w:sz w:val="21"/>
                <w:lang w:val="en-US" w:eastAsia="zh-CN"/>
                <w14:textFill>
                  <w14:solidFill>
                    <w14:schemeClr w14:val="tx1"/>
                  </w14:solidFill>
                </w14:textFill>
              </w:rPr>
              <w:t>15</w:t>
            </w:r>
          </w:p>
        </w:tc>
        <w:tc>
          <w:tcPr>
            <w:tcW w:w="508" w:type="pct"/>
            <w:shd w:val="clear" w:color="auto" w:fill="auto"/>
            <w:vAlign w:val="center"/>
          </w:tcPr>
          <w:p w14:paraId="44C7D54D">
            <w:pPr>
              <w:topLinePunct/>
              <w:adjustRightInd w:val="0"/>
              <w:snapToGrid w:val="0"/>
              <w:jc w:val="center"/>
              <w:rPr>
                <w:rFonts w:hint="eastAsia" w:ascii="Times New Roman" w:hAnsi="Times New Roman" w:eastAsia="宋体" w:cs="Times New Roman"/>
                <w:snapToGrid w:val="0"/>
                <w:color w:val="000000" w:themeColor="text1"/>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设备</w:t>
            </w:r>
            <w:r>
              <w:rPr>
                <w:rFonts w:hint="eastAsia" w:ascii="Times New Roman" w:hAnsi="Times New Roman" w:cs="Times New Roman"/>
                <w:color w:val="000000" w:themeColor="text1"/>
                <w:sz w:val="21"/>
                <w:lang w:val="en-US" w:eastAsia="zh-CN"/>
                <w14:textFill>
                  <w14:solidFill>
                    <w14:schemeClr w14:val="tx1"/>
                  </w14:solidFill>
                </w14:textFill>
              </w:rPr>
              <w:t>防腐</w:t>
            </w:r>
          </w:p>
        </w:tc>
        <w:tc>
          <w:tcPr>
            <w:tcW w:w="362" w:type="pct"/>
            <w:shd w:val="clear" w:color="auto" w:fill="auto"/>
            <w:vAlign w:val="center"/>
          </w:tcPr>
          <w:p w14:paraId="70645C94">
            <w:pPr>
              <w:topLinePunct/>
              <w:adjustRightInd w:val="0"/>
              <w:snapToGrid w:val="0"/>
              <w:jc w:val="center"/>
              <w:rPr>
                <w:rFonts w:hint="eastAsia" w:ascii="Times New Roman" w:hAnsi="Times New Roman" w:eastAsia="宋体" w:cs="Times New Roman"/>
                <w:snapToGrid w:val="0"/>
                <w:color w:val="000000" w:themeColor="text1"/>
                <w:sz w:val="21"/>
                <w:szCs w:val="21"/>
                <w:lang w:val="en-US" w:eastAsia="zh-CN" w:bidi="ar-SA"/>
                <w14:textFill>
                  <w14:solidFill>
                    <w14:schemeClr w14:val="tx1"/>
                  </w14:solidFill>
                </w14:textFill>
              </w:rPr>
            </w:pPr>
            <w:r>
              <w:rPr>
                <w:rFonts w:hint="eastAsia" w:ascii="Times New Roman" w:hAnsi="Times New Roman" w:cs="Times New Roman"/>
                <w:color w:val="auto"/>
                <w:sz w:val="21"/>
                <w:lang w:eastAsia="zh-CN"/>
              </w:rPr>
              <w:t>固体</w:t>
            </w:r>
          </w:p>
        </w:tc>
        <w:tc>
          <w:tcPr>
            <w:tcW w:w="726" w:type="pct"/>
            <w:shd w:val="clear" w:color="auto" w:fill="auto"/>
            <w:vAlign w:val="center"/>
          </w:tcPr>
          <w:p w14:paraId="07F1A29E">
            <w:pPr>
              <w:topLinePunct/>
              <w:adjustRightInd w:val="0"/>
              <w:snapToGrid w:val="0"/>
              <w:jc w:val="center"/>
              <w:rPr>
                <w:rFonts w:hint="eastAsia" w:ascii="Times New Roman" w:hAnsi="Times New Roman" w:eastAsia="宋体" w:cs="Times New Roman"/>
                <w:snapToGrid w:val="0"/>
                <w:color w:val="000000" w:themeColor="text1"/>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lang w:val="en-US" w:eastAsia="zh-CN"/>
                <w14:textFill>
                  <w14:solidFill>
                    <w14:schemeClr w14:val="tx1"/>
                  </w14:solidFill>
                </w14:textFill>
              </w:rPr>
              <w:t>漆料</w:t>
            </w:r>
            <w:r>
              <w:rPr>
                <w:rFonts w:hint="eastAsia" w:ascii="Times New Roman" w:hAnsi="Times New Roman" w:cs="Times New Roman"/>
                <w:color w:val="000000" w:themeColor="text1"/>
                <w:sz w:val="21"/>
                <w:lang w:eastAsia="zh-CN"/>
                <w14:textFill>
                  <w14:solidFill>
                    <w14:schemeClr w14:val="tx1"/>
                  </w14:solidFill>
                </w14:textFill>
              </w:rPr>
              <w:t>、铁</w:t>
            </w:r>
          </w:p>
        </w:tc>
        <w:tc>
          <w:tcPr>
            <w:tcW w:w="368" w:type="pct"/>
            <w:shd w:val="clear" w:color="auto" w:fill="auto"/>
            <w:vAlign w:val="center"/>
          </w:tcPr>
          <w:p w14:paraId="0C459B72">
            <w:pPr>
              <w:topLinePunct/>
              <w:adjustRightInd w:val="0"/>
              <w:snapToGrid w:val="0"/>
              <w:jc w:val="center"/>
              <w:rPr>
                <w:rFonts w:ascii="Times New Roman" w:hAnsi="Times New Roman" w:eastAsia="宋体" w:cs="Times New Roman"/>
                <w:snapToGrid w:val="0"/>
                <w:color w:val="000000" w:themeColor="text1"/>
                <w:sz w:val="21"/>
                <w:szCs w:val="21"/>
                <w:lang w:val="en-US" w:eastAsia="zh-CN" w:bidi="ar-SA"/>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T</w:t>
            </w:r>
            <w:r>
              <w:rPr>
                <w:rFonts w:hint="eastAsia" w:ascii="Times New Roman" w:hAnsi="Times New Roman" w:cs="Times New Roman"/>
                <w:color w:val="000000" w:themeColor="text1"/>
                <w:sz w:val="21"/>
                <w:lang w:eastAsia="zh-CN"/>
                <w14:textFill>
                  <w14:solidFill>
                    <w14:schemeClr w14:val="tx1"/>
                  </w14:solidFill>
                </w14:textFill>
              </w:rPr>
              <w:t>/In</w:t>
            </w:r>
          </w:p>
        </w:tc>
        <w:tc>
          <w:tcPr>
            <w:tcW w:w="709" w:type="pct"/>
            <w:vMerge w:val="continue"/>
            <w:vAlign w:val="center"/>
          </w:tcPr>
          <w:p w14:paraId="437CDD20">
            <w:pPr>
              <w:adjustRightInd w:val="0"/>
              <w:snapToGrid w:val="0"/>
              <w:jc w:val="center"/>
              <w:rPr>
                <w:rFonts w:ascii="Times New Roman" w:hAnsi="Times New Roman" w:cs="Times New Roman"/>
                <w:color w:val="000000" w:themeColor="text1"/>
                <w:sz w:val="21"/>
                <w14:textFill>
                  <w14:solidFill>
                    <w14:schemeClr w14:val="tx1"/>
                  </w14:solidFill>
                </w14:textFill>
              </w:rPr>
            </w:pPr>
          </w:p>
        </w:tc>
      </w:tr>
      <w:tr w14:paraId="44A6FFA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290" w:type="pct"/>
            <w:vAlign w:val="center"/>
          </w:tcPr>
          <w:p w14:paraId="7980226F">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val="en-US" w:eastAsia="zh-CN"/>
              </w:rPr>
              <w:t>5</w:t>
            </w:r>
          </w:p>
        </w:tc>
        <w:tc>
          <w:tcPr>
            <w:tcW w:w="511" w:type="pct"/>
            <w:vAlign w:val="center"/>
          </w:tcPr>
          <w:p w14:paraId="43B5E42D">
            <w:pPr>
              <w:topLinePunct/>
              <w:adjustRightInd w:val="0"/>
              <w:snapToGrid w:val="0"/>
              <w:jc w:val="center"/>
              <w:rPr>
                <w:rFonts w:ascii="Times New Roman" w:hAnsi="Times New Roman" w:cs="Times New Roman"/>
                <w:bCs/>
                <w:color w:val="auto"/>
                <w:sz w:val="21"/>
                <w:lang w:eastAsia="zh-CN"/>
              </w:rPr>
            </w:pPr>
            <w:r>
              <w:rPr>
                <w:rFonts w:hint="eastAsia" w:ascii="Times New Roman" w:hAnsi="Times New Roman" w:cs="Times New Roman"/>
                <w:color w:val="auto"/>
                <w:sz w:val="21"/>
                <w:lang w:eastAsia="zh-CN"/>
              </w:rPr>
              <w:t>污泥</w:t>
            </w:r>
          </w:p>
        </w:tc>
        <w:tc>
          <w:tcPr>
            <w:tcW w:w="435" w:type="pct"/>
            <w:vAlign w:val="center"/>
          </w:tcPr>
          <w:p w14:paraId="33FF62E6">
            <w:pPr>
              <w:topLinePunct/>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w:t>
            </w:r>
          </w:p>
        </w:tc>
        <w:tc>
          <w:tcPr>
            <w:tcW w:w="580" w:type="pct"/>
            <w:vAlign w:val="center"/>
          </w:tcPr>
          <w:p w14:paraId="6781CF25">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c>
          <w:tcPr>
            <w:tcW w:w="507" w:type="pct"/>
            <w:vAlign w:val="center"/>
          </w:tcPr>
          <w:p w14:paraId="79F4A41E">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112.893</w:t>
            </w:r>
          </w:p>
        </w:tc>
        <w:tc>
          <w:tcPr>
            <w:tcW w:w="508" w:type="pct"/>
            <w:vAlign w:val="center"/>
          </w:tcPr>
          <w:p w14:paraId="3948FF65">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废水处理</w:t>
            </w:r>
          </w:p>
        </w:tc>
        <w:tc>
          <w:tcPr>
            <w:tcW w:w="362" w:type="pct"/>
            <w:vAlign w:val="center"/>
          </w:tcPr>
          <w:p w14:paraId="407AA021">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固体</w:t>
            </w:r>
          </w:p>
        </w:tc>
        <w:tc>
          <w:tcPr>
            <w:tcW w:w="726" w:type="pct"/>
            <w:vAlign w:val="center"/>
          </w:tcPr>
          <w:p w14:paraId="3B5DF50B">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氟化钙</w:t>
            </w:r>
          </w:p>
        </w:tc>
        <w:tc>
          <w:tcPr>
            <w:tcW w:w="368" w:type="pct"/>
            <w:vAlign w:val="center"/>
          </w:tcPr>
          <w:p w14:paraId="1E8E85C8">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w:t>
            </w:r>
          </w:p>
        </w:tc>
        <w:tc>
          <w:tcPr>
            <w:tcW w:w="709" w:type="pct"/>
            <w:vAlign w:val="center"/>
          </w:tcPr>
          <w:p w14:paraId="5CAF1AE1">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委托</w:t>
            </w:r>
            <w:r>
              <w:rPr>
                <w:rFonts w:hint="eastAsia" w:ascii="Times New Roman" w:hAnsi="Times New Roman" w:cs="Times New Roman"/>
                <w:bCs/>
                <w:color w:val="auto"/>
                <w:sz w:val="21"/>
                <w:lang w:eastAsia="zh-CN"/>
              </w:rPr>
              <w:t>巢湖市爱华环保科技有限公司</w:t>
            </w:r>
            <w:r>
              <w:rPr>
                <w:rFonts w:hint="eastAsia" w:ascii="Times New Roman" w:hAnsi="Times New Roman" w:cs="Times New Roman"/>
                <w:color w:val="auto"/>
                <w:sz w:val="21"/>
                <w:lang w:eastAsia="zh-CN"/>
              </w:rPr>
              <w:t>处理</w:t>
            </w:r>
          </w:p>
        </w:tc>
      </w:tr>
      <w:tr w14:paraId="788F8F3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290" w:type="pct"/>
            <w:vAlign w:val="center"/>
          </w:tcPr>
          <w:p w14:paraId="55AB9D29">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val="en-US" w:eastAsia="zh-CN"/>
              </w:rPr>
              <w:t>6</w:t>
            </w:r>
          </w:p>
        </w:tc>
        <w:tc>
          <w:tcPr>
            <w:tcW w:w="511" w:type="pct"/>
            <w:vAlign w:val="center"/>
          </w:tcPr>
          <w:p w14:paraId="33B91DC3">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生活垃圾</w:t>
            </w:r>
          </w:p>
        </w:tc>
        <w:tc>
          <w:tcPr>
            <w:tcW w:w="435" w:type="pct"/>
            <w:vAlign w:val="center"/>
          </w:tcPr>
          <w:p w14:paraId="5FB7A2F2">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c>
          <w:tcPr>
            <w:tcW w:w="580" w:type="pct"/>
            <w:vAlign w:val="center"/>
          </w:tcPr>
          <w:p w14:paraId="22F30757">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c>
          <w:tcPr>
            <w:tcW w:w="507" w:type="pct"/>
            <w:vAlign w:val="center"/>
          </w:tcPr>
          <w:p w14:paraId="606D5DE2">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16.5</w:t>
            </w:r>
          </w:p>
        </w:tc>
        <w:tc>
          <w:tcPr>
            <w:tcW w:w="508" w:type="pct"/>
            <w:vAlign w:val="center"/>
          </w:tcPr>
          <w:p w14:paraId="5EB799AA">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办公生活</w:t>
            </w:r>
          </w:p>
        </w:tc>
        <w:tc>
          <w:tcPr>
            <w:tcW w:w="362" w:type="pct"/>
            <w:vAlign w:val="center"/>
          </w:tcPr>
          <w:p w14:paraId="448F048C">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固体</w:t>
            </w:r>
          </w:p>
        </w:tc>
        <w:tc>
          <w:tcPr>
            <w:tcW w:w="726" w:type="pct"/>
            <w:vAlign w:val="center"/>
          </w:tcPr>
          <w:p w14:paraId="3DAE3704">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生活垃圾</w:t>
            </w:r>
          </w:p>
        </w:tc>
        <w:tc>
          <w:tcPr>
            <w:tcW w:w="368" w:type="pct"/>
            <w:vAlign w:val="center"/>
          </w:tcPr>
          <w:p w14:paraId="5F816B38">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w:t>
            </w:r>
          </w:p>
        </w:tc>
        <w:tc>
          <w:tcPr>
            <w:tcW w:w="709" w:type="pct"/>
            <w:vAlign w:val="center"/>
          </w:tcPr>
          <w:p w14:paraId="02FB2A39">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环卫部门处理</w:t>
            </w:r>
          </w:p>
        </w:tc>
      </w:tr>
    </w:tbl>
    <w:p w14:paraId="555150C0">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2、固体废物污染防治措施</w:t>
      </w:r>
    </w:p>
    <w:p w14:paraId="2B93B07D">
      <w:pPr>
        <w:widowControl w:val="0"/>
        <w:spacing w:line="360" w:lineRule="auto"/>
        <w:ind w:firstLine="480" w:firstLineChars="200"/>
        <w:jc w:val="both"/>
        <w:rPr>
          <w:rFonts w:ascii="Times New Roman" w:hAnsi="Times New Roman" w:cs="Times New Roman"/>
          <w:bCs/>
          <w:color w:val="auto"/>
          <w:lang w:eastAsia="zh-CN"/>
        </w:rPr>
      </w:pPr>
      <w:bookmarkStart w:id="2471" w:name="_Toc11799"/>
      <w:r>
        <w:rPr>
          <w:rFonts w:ascii="Times New Roman" w:hAnsi="Times New Roman" w:cs="Times New Roman"/>
          <w:bCs/>
          <w:color w:val="auto"/>
          <w:lang w:eastAsia="zh-CN"/>
        </w:rPr>
        <w:t>（1）一般工业固废处置要求</w:t>
      </w:r>
      <w:bookmarkEnd w:id="2471"/>
    </w:p>
    <w:p w14:paraId="5BE683F9">
      <w:pPr>
        <w:widowControl w:val="0"/>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cs="Times New Roman"/>
          <w:color w:val="auto"/>
          <w:lang w:eastAsia="zh-CN"/>
        </w:rPr>
        <w:t>本项目一般固废主要为污泥，项目厂区已设置一间50m</w:t>
      </w:r>
      <w:r>
        <w:rPr>
          <w:rFonts w:hint="eastAsia" w:ascii="Times New Roman" w:hAnsi="Times New Roman" w:cs="Times New Roman"/>
          <w:color w:val="auto"/>
          <w:vertAlign w:val="superscript"/>
          <w:lang w:eastAsia="zh-CN"/>
        </w:rPr>
        <w:t>2</w:t>
      </w:r>
      <w:r>
        <w:rPr>
          <w:rFonts w:hint="eastAsia" w:ascii="Times New Roman" w:hAnsi="Times New Roman" w:cs="Times New Roman"/>
          <w:color w:val="auto"/>
          <w:lang w:eastAsia="zh-CN"/>
        </w:rPr>
        <w:t>一般固废库，污泥于一般固废库暂存后，委托第三方单位进行处理</w:t>
      </w:r>
      <w:r>
        <w:rPr>
          <w:rFonts w:ascii="Times New Roman" w:hAnsi="Times New Roman" w:cs="Times New Roman"/>
          <w:color w:val="auto"/>
          <w:lang w:eastAsia="zh-CN"/>
        </w:rPr>
        <w:t>。本项目对固体废物实行从产生、收集、运输、贮存直至最终处理实行全过程管理，加强固体废物运输过程的事故风险防范，按照有关法律、法规的要求，对固体废弃物全过程管理应报当地环保行政主管部门等批准。</w:t>
      </w:r>
    </w:p>
    <w:p w14:paraId="064663FD">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（2）危险废物收集污染防治措施</w:t>
      </w:r>
    </w:p>
    <w:p w14:paraId="55768267">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针对本项目各类危险废物的收集应根据各类危险废物产生的工艺环节特征、排放周期、危险特性、废物管理计划等因素对不同危险废物进行分类收集；各类危险废物在收集的过程中应制定详细的操作规程，内容至少应包括适用范围、操作程序和方法、专用设备和工具、转移和交接、安全保障和应急防护等；危险废物收集和厂内转运作业人员应根据工作需要配备必要的个人防护装备，如手套、防护镜、防护服、防毒面具或口罩等；在危险废物的收集和内部转运过程中，应采取相应的安全防护和污染防治措施，包括防爆、防火、防中毒、防感染、防泄露、防飞扬、防雨或其它防止污染环境的措施。</w:t>
      </w:r>
    </w:p>
    <w:p w14:paraId="3E758AAD">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危险废物厂内收集时应根据危险废物的种类、数量、危险特性、物理形态要求等因素确定包装形式，具体包装应符合如下要求：</w:t>
      </w:r>
    </w:p>
    <w:p w14:paraId="3E55DFD8">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宋体" w:hAnsi="宋体" w:cs="宋体"/>
          <w:color w:val="auto"/>
          <w:szCs w:val="24"/>
          <w:lang w:eastAsia="zh-CN"/>
        </w:rPr>
        <w:t>①</w:t>
      </w:r>
      <w:r>
        <w:rPr>
          <w:rFonts w:ascii="Times New Roman" w:hAnsi="Times New Roman" w:cs="Times New Roman"/>
          <w:color w:val="auto"/>
          <w:szCs w:val="24"/>
          <w:lang w:eastAsia="zh-CN"/>
        </w:rPr>
        <w:t>包装材质要与各类危险废物相容，可根据废物特性选择钢、铝、塑料等材质；</w:t>
      </w:r>
    </w:p>
    <w:p w14:paraId="7F7948DE">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宋体" w:hAnsi="宋体" w:cs="宋体"/>
          <w:color w:val="auto"/>
          <w:szCs w:val="24"/>
          <w:lang w:eastAsia="zh-CN"/>
        </w:rPr>
        <w:t>②</w:t>
      </w:r>
      <w:r>
        <w:rPr>
          <w:rFonts w:ascii="Times New Roman" w:hAnsi="Times New Roman" w:cs="Times New Roman"/>
          <w:color w:val="auto"/>
          <w:szCs w:val="24"/>
          <w:lang w:eastAsia="zh-CN"/>
        </w:rPr>
        <w:t>性质类似的废物可收集到同一容器中，性质不相容的危险废物不应混合包装；</w:t>
      </w:r>
    </w:p>
    <w:p w14:paraId="6AED5FF6">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宋体" w:hAnsi="宋体" w:cs="宋体"/>
          <w:color w:val="auto"/>
          <w:szCs w:val="24"/>
          <w:lang w:eastAsia="zh-CN"/>
        </w:rPr>
        <w:t>③</w:t>
      </w:r>
      <w:r>
        <w:rPr>
          <w:rFonts w:ascii="Times New Roman" w:hAnsi="Times New Roman" w:cs="Times New Roman"/>
          <w:color w:val="auto"/>
          <w:szCs w:val="24"/>
          <w:lang w:eastAsia="zh-CN"/>
        </w:rPr>
        <w:t>危险废物包装应能有效隔断危险废物迁移扩散途径，并达到防渗、防漏要求；</w:t>
      </w:r>
    </w:p>
    <w:p w14:paraId="2F874F30">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宋体" w:hAnsi="宋体" w:cs="宋体"/>
          <w:color w:val="auto"/>
          <w:szCs w:val="24"/>
          <w:lang w:eastAsia="zh-CN"/>
        </w:rPr>
        <w:t>④</w:t>
      </w:r>
      <w:r>
        <w:rPr>
          <w:rFonts w:ascii="Times New Roman" w:hAnsi="Times New Roman" w:cs="Times New Roman"/>
          <w:color w:val="auto"/>
          <w:szCs w:val="24"/>
          <w:lang w:eastAsia="zh-CN"/>
        </w:rPr>
        <w:t>包装好的危险废物应设置相应的标签，标签信息应填写完整翔实；</w:t>
      </w:r>
    </w:p>
    <w:p w14:paraId="74F5B0C9">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宋体" w:hAnsi="宋体" w:cs="宋体"/>
          <w:color w:val="auto"/>
          <w:szCs w:val="24"/>
          <w:lang w:eastAsia="zh-CN"/>
        </w:rPr>
        <w:t>⑤</w:t>
      </w:r>
      <w:r>
        <w:rPr>
          <w:rFonts w:ascii="Times New Roman" w:hAnsi="Times New Roman" w:cs="Times New Roman"/>
          <w:color w:val="auto"/>
          <w:szCs w:val="24"/>
          <w:lang w:eastAsia="zh-CN"/>
        </w:rPr>
        <w:t>盛装过危险废物的包装袋或包装容器破损后应按危险废物进行管理和处置。</w:t>
      </w:r>
    </w:p>
    <w:p w14:paraId="108C12BF">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（3）危险废物内部转运污染防治措施分析</w:t>
      </w:r>
    </w:p>
    <w:p w14:paraId="68B7E973">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宋体" w:hAnsi="宋体" w:cs="宋体"/>
          <w:color w:val="auto"/>
          <w:szCs w:val="24"/>
          <w:lang w:eastAsia="zh-CN"/>
        </w:rPr>
        <w:t>①</w:t>
      </w:r>
      <w:r>
        <w:rPr>
          <w:rFonts w:ascii="Times New Roman" w:hAnsi="Times New Roman" w:cs="Times New Roman"/>
          <w:color w:val="auto"/>
          <w:szCs w:val="24"/>
          <w:lang w:eastAsia="zh-CN"/>
        </w:rPr>
        <w:t>危险废物内部转运应综合考虑厂区的实际情况确定转运路线，尽量避开办公区和生活区；</w:t>
      </w:r>
    </w:p>
    <w:p w14:paraId="7283C63A">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宋体" w:hAnsi="宋体" w:cs="宋体"/>
          <w:color w:val="auto"/>
          <w:szCs w:val="24"/>
          <w:lang w:eastAsia="zh-CN"/>
        </w:rPr>
        <w:t>②</w:t>
      </w:r>
      <w:r>
        <w:rPr>
          <w:rFonts w:ascii="Times New Roman" w:hAnsi="Times New Roman" w:cs="Times New Roman"/>
          <w:color w:val="auto"/>
          <w:szCs w:val="24"/>
          <w:lang w:eastAsia="zh-CN"/>
        </w:rPr>
        <w:t>危险废物内部转运作业应采用专用的工具，危险废物内部转运应参照按照HJ2025-2012填写《危险废物厂内转运记录表》；</w:t>
      </w:r>
    </w:p>
    <w:p w14:paraId="44589D06">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宋体" w:hAnsi="宋体" w:cs="宋体"/>
          <w:color w:val="auto"/>
          <w:szCs w:val="24"/>
          <w:lang w:eastAsia="zh-CN"/>
        </w:rPr>
        <w:t>③</w:t>
      </w:r>
      <w:r>
        <w:rPr>
          <w:rFonts w:ascii="Times New Roman" w:hAnsi="Times New Roman" w:cs="Times New Roman"/>
          <w:color w:val="auto"/>
          <w:szCs w:val="24"/>
          <w:lang w:eastAsia="zh-CN"/>
        </w:rPr>
        <w:t>危险废物内部转运结束后，应对转运路线进行检查和清理，确保无危险废物遗失在转运路线上，并对转运工具进行清洗。</w:t>
      </w:r>
    </w:p>
    <w:p w14:paraId="168CD60F">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（4）危险废物场外转运污染防治措施分析</w:t>
      </w:r>
    </w:p>
    <w:p w14:paraId="33FCBFFD">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宋体" w:hAnsi="宋体" w:cs="宋体"/>
          <w:color w:val="auto"/>
          <w:szCs w:val="24"/>
          <w:lang w:eastAsia="zh-CN"/>
        </w:rPr>
        <w:t>①</w:t>
      </w:r>
      <w:r>
        <w:rPr>
          <w:rFonts w:ascii="Times New Roman" w:hAnsi="Times New Roman" w:cs="Times New Roman"/>
          <w:color w:val="auto"/>
          <w:szCs w:val="24"/>
          <w:lang w:eastAsia="zh-CN"/>
        </w:rPr>
        <w:t>运输路线及沿线敏感点</w:t>
      </w:r>
    </w:p>
    <w:p w14:paraId="025E0BC7">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根据设计方案，本项目的危险废物运输工作由接收单位负责。各接收单位结合《道路危险货物运输管理规定》、《危险废物收集贮存运输技术规范》（HJ2025-2012)等要求制定了运输路线。</w:t>
      </w:r>
    </w:p>
    <w:p w14:paraId="6CF693FA">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项目涉及的固体废物采用公路运输，根据接收单位制定的运输路线，总体而言，项目选定的路线均为当地交通运输主要线路，避开了敏感点分部集中的居住混合区、文教区、商贸混合区等敏感区域。同时，接收单位针对每辆固废运输车辆配备北斗导航定位系统，准确观察其运输路线。在运输车辆随意改变运输路线或者运输车辆发生故障的情况下，能够第一时间发现，并启动应急预案。</w:t>
      </w:r>
    </w:p>
    <w:p w14:paraId="4A97D0FD">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宋体" w:hAnsi="宋体" w:cs="宋体"/>
          <w:color w:val="auto"/>
          <w:szCs w:val="24"/>
          <w:lang w:eastAsia="zh-CN"/>
        </w:rPr>
        <w:t>②</w:t>
      </w:r>
      <w:r>
        <w:rPr>
          <w:rFonts w:ascii="Times New Roman" w:hAnsi="Times New Roman" w:cs="Times New Roman"/>
          <w:color w:val="auto"/>
          <w:szCs w:val="24"/>
          <w:lang w:eastAsia="zh-CN"/>
        </w:rPr>
        <w:t>影响分析</w:t>
      </w:r>
    </w:p>
    <w:p w14:paraId="3D394B5C">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运输车产生的噪声影响主要是车流量的增加导致道路交通噪声对两侧敏感点影响。本项目危废运输道路，均依托现有高速路网及现有公路网，不新建厂外运输道路，因此，本项目固废运输对区域交通噪声造成的影响甚为有限，可以忽略不计。</w:t>
      </w:r>
    </w:p>
    <w:p w14:paraId="5A0CCCE8">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宋体" w:hAnsi="宋体" w:cs="宋体"/>
          <w:color w:val="auto"/>
          <w:szCs w:val="24"/>
          <w:lang w:eastAsia="zh-CN"/>
        </w:rPr>
        <w:t>③</w:t>
      </w:r>
      <w:r>
        <w:rPr>
          <w:rFonts w:ascii="Times New Roman" w:hAnsi="Times New Roman" w:cs="Times New Roman"/>
          <w:color w:val="auto"/>
          <w:szCs w:val="24"/>
          <w:lang w:eastAsia="zh-CN"/>
        </w:rPr>
        <w:t>污染防治措施</w:t>
      </w:r>
    </w:p>
    <w:p w14:paraId="381DBADF">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bCs/>
          <w:color w:val="auto"/>
          <w:szCs w:val="24"/>
          <w:lang w:eastAsia="zh-CN"/>
        </w:rPr>
        <w:t>a.采用专用的危险废物运输车辆，车身全密闭。每辆车配套</w:t>
      </w:r>
      <w:r>
        <w:rPr>
          <w:rFonts w:ascii="Times New Roman" w:hAnsi="Times New Roman" w:cs="Times New Roman"/>
          <w:color w:val="auto"/>
          <w:szCs w:val="24"/>
          <w:lang w:eastAsia="zh-CN"/>
        </w:rPr>
        <w:t>一套灭火设备、配备司机及押运员各1名。运输车辆应按设计拟定路线行驶。</w:t>
      </w:r>
    </w:p>
    <w:p w14:paraId="6796C7A3">
      <w:pPr>
        <w:widowControl w:val="0"/>
        <w:spacing w:line="360" w:lineRule="auto"/>
        <w:ind w:firstLine="480" w:firstLineChars="200"/>
        <w:jc w:val="both"/>
        <w:rPr>
          <w:rFonts w:ascii="Times New Roman" w:hAnsi="Times New Roman" w:cs="Times New Roman"/>
          <w:bCs/>
          <w:color w:val="auto"/>
          <w:szCs w:val="24"/>
          <w:lang w:eastAsia="zh-CN"/>
        </w:rPr>
      </w:pPr>
      <w:r>
        <w:rPr>
          <w:rFonts w:ascii="Times New Roman" w:hAnsi="Times New Roman" w:cs="Times New Roman"/>
          <w:color w:val="auto"/>
          <w:szCs w:val="24"/>
          <w:lang w:eastAsia="zh-CN"/>
        </w:rPr>
        <w:t>b.每辆车配备车载北斗导航定位系统、</w:t>
      </w:r>
      <w:r>
        <w:rPr>
          <w:rFonts w:ascii="Times New Roman" w:hAnsi="Times New Roman" w:cs="Times New Roman"/>
          <w:bCs/>
          <w:color w:val="auto"/>
          <w:szCs w:val="24"/>
          <w:lang w:eastAsia="zh-CN"/>
        </w:rPr>
        <w:t>在运输车辆随意改变运输路线或者运输车辆发生故障的情况下，能够第一时间发现，并启动应急预案。</w:t>
      </w:r>
    </w:p>
    <w:p w14:paraId="1E75B51F">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c.工作人员应熟悉危险废物的危险特性，配备适当的个人防护装备，避免危险废物运输过程中发生意外人员伤亡。</w:t>
      </w:r>
    </w:p>
    <w:p w14:paraId="24B2383C">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（5）危废暂存库污染防治措施</w:t>
      </w:r>
    </w:p>
    <w:p w14:paraId="642424B2">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厂区已</w:t>
      </w:r>
      <w:r>
        <w:rPr>
          <w:rFonts w:ascii="Times New Roman" w:hAnsi="Times New Roman" w:cs="Times New Roman"/>
          <w:color w:val="auto"/>
          <w:szCs w:val="24"/>
          <w:lang w:eastAsia="zh-CN"/>
        </w:rPr>
        <w:t>设置一间危废暂存库，占地面积为</w:t>
      </w:r>
      <w:r>
        <w:rPr>
          <w:rFonts w:hint="eastAsia" w:ascii="Times New Roman" w:hAnsi="Times New Roman" w:cs="Times New Roman"/>
          <w:color w:val="auto"/>
          <w:szCs w:val="24"/>
          <w:lang w:eastAsia="zh-CN"/>
        </w:rPr>
        <w:t>120</w:t>
      </w:r>
      <w:r>
        <w:rPr>
          <w:rFonts w:ascii="Times New Roman" w:hAnsi="Times New Roman" w:cs="Times New Roman"/>
          <w:color w:val="auto"/>
          <w:szCs w:val="24"/>
          <w:lang w:eastAsia="zh-CN"/>
        </w:rPr>
        <w:t>m</w:t>
      </w:r>
      <w:r>
        <w:rPr>
          <w:rFonts w:ascii="Times New Roman" w:hAnsi="Times New Roman" w:cs="Times New Roman"/>
          <w:color w:val="auto"/>
          <w:szCs w:val="24"/>
          <w:vertAlign w:val="superscript"/>
          <w:lang w:eastAsia="zh-CN"/>
        </w:rPr>
        <w:t>2</w:t>
      </w:r>
      <w:r>
        <w:rPr>
          <w:rFonts w:ascii="Times New Roman" w:hAnsi="Times New Roman" w:cs="Times New Roman"/>
          <w:color w:val="auto"/>
          <w:szCs w:val="24"/>
          <w:lang w:eastAsia="zh-CN"/>
        </w:rPr>
        <w:t>，基本情况如下表所示。</w:t>
      </w:r>
    </w:p>
    <w:p w14:paraId="02DDE6D2">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表8.2-</w:t>
      </w:r>
      <w:r>
        <w:rPr>
          <w:rFonts w:hint="eastAsia" w:ascii="Times New Roman" w:hAnsi="Times New Roman" w:cs="Times New Roman"/>
          <w:b/>
          <w:bCs/>
          <w:color w:val="auto"/>
          <w:lang w:eastAsia="zh-CN"/>
        </w:rPr>
        <w:t>9</w:t>
      </w:r>
      <w:r>
        <w:rPr>
          <w:rFonts w:ascii="Times New Roman" w:hAnsi="Times New Roman" w:cs="Times New Roman"/>
          <w:b/>
          <w:bCs/>
          <w:color w:val="auto"/>
          <w:lang w:eastAsia="zh-CN"/>
        </w:rPr>
        <w:t xml:space="preserve">  建设项目危险废物贮存场所（设施）基本情况表</w:t>
      </w:r>
    </w:p>
    <w:tbl>
      <w:tblPr>
        <w:tblStyle w:val="35"/>
        <w:tblW w:w="4783"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095"/>
        <w:gridCol w:w="1300"/>
        <w:gridCol w:w="1088"/>
        <w:gridCol w:w="1224"/>
        <w:gridCol w:w="812"/>
        <w:gridCol w:w="812"/>
        <w:gridCol w:w="737"/>
        <w:gridCol w:w="812"/>
        <w:gridCol w:w="647"/>
      </w:tblGrid>
      <w:tr w14:paraId="0BD383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5" w:type="pct"/>
            <w:vAlign w:val="center"/>
          </w:tcPr>
          <w:p w14:paraId="15ECC42F">
            <w:pPr>
              <w:adjustRightInd w:val="0"/>
              <w:snapToGrid w:val="0"/>
              <w:jc w:val="center"/>
              <w:rPr>
                <w:rFonts w:ascii="Times New Roman" w:hAnsi="Times New Roman" w:cs="Times New Roman"/>
                <w:b/>
                <w:bCs/>
                <w:color w:val="auto"/>
                <w:sz w:val="21"/>
              </w:rPr>
            </w:pPr>
            <w:r>
              <w:rPr>
                <w:rFonts w:hint="eastAsia" w:ascii="Times New Roman" w:hAnsi="Times New Roman" w:cs="Times New Roman"/>
                <w:b/>
                <w:bCs/>
                <w:color w:val="auto"/>
                <w:sz w:val="21"/>
                <w:lang w:eastAsia="zh-CN"/>
              </w:rPr>
              <w:t>类别</w:t>
            </w:r>
          </w:p>
        </w:tc>
        <w:tc>
          <w:tcPr>
            <w:tcW w:w="593" w:type="pct"/>
            <w:vAlign w:val="center"/>
          </w:tcPr>
          <w:p w14:paraId="372EF3E7">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贮存场所</w:t>
            </w:r>
          </w:p>
          <w:p w14:paraId="1F4FB192">
            <w:pPr>
              <w:adjustRightInd w:val="0"/>
              <w:snapToGrid w:val="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（设施）名称</w:t>
            </w:r>
          </w:p>
        </w:tc>
        <w:tc>
          <w:tcPr>
            <w:tcW w:w="704" w:type="pct"/>
            <w:vAlign w:val="center"/>
          </w:tcPr>
          <w:p w14:paraId="4F5C00E9">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危险废物名称</w:t>
            </w:r>
          </w:p>
        </w:tc>
        <w:tc>
          <w:tcPr>
            <w:tcW w:w="590" w:type="pct"/>
            <w:vAlign w:val="center"/>
          </w:tcPr>
          <w:p w14:paraId="179BC071">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危险废物类别</w:t>
            </w:r>
          </w:p>
        </w:tc>
        <w:tc>
          <w:tcPr>
            <w:tcW w:w="663" w:type="pct"/>
            <w:vAlign w:val="center"/>
          </w:tcPr>
          <w:p w14:paraId="4D3261B4">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危险废物代码</w:t>
            </w:r>
          </w:p>
        </w:tc>
        <w:tc>
          <w:tcPr>
            <w:tcW w:w="440" w:type="pct"/>
            <w:vAlign w:val="center"/>
          </w:tcPr>
          <w:p w14:paraId="20DB0824">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位置</w:t>
            </w:r>
          </w:p>
        </w:tc>
        <w:tc>
          <w:tcPr>
            <w:tcW w:w="440" w:type="pct"/>
            <w:vAlign w:val="center"/>
          </w:tcPr>
          <w:p w14:paraId="0DD40713">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占地面积</w:t>
            </w:r>
          </w:p>
        </w:tc>
        <w:tc>
          <w:tcPr>
            <w:tcW w:w="399" w:type="pct"/>
            <w:vAlign w:val="center"/>
          </w:tcPr>
          <w:p w14:paraId="1A202E02">
            <w:pPr>
              <w:adjustRightInd w:val="0"/>
              <w:snapToGrid w:val="0"/>
              <w:jc w:val="center"/>
              <w:rPr>
                <w:rFonts w:ascii="Times New Roman" w:hAnsi="Times New Roman" w:cs="Times New Roman"/>
                <w:b/>
                <w:bCs/>
                <w:color w:val="auto"/>
                <w:sz w:val="21"/>
              </w:rPr>
            </w:pPr>
            <w:r>
              <w:rPr>
                <w:rFonts w:ascii="Times New Roman" w:hAnsi="Times New Roman" w:cs="Times New Roman"/>
                <w:b/>
                <w:color w:val="auto"/>
                <w:sz w:val="21"/>
              </w:rPr>
              <w:t>暂存方式</w:t>
            </w:r>
          </w:p>
        </w:tc>
        <w:tc>
          <w:tcPr>
            <w:tcW w:w="440" w:type="pct"/>
            <w:vAlign w:val="center"/>
          </w:tcPr>
          <w:p w14:paraId="5F91CEDA">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贮存</w:t>
            </w:r>
          </w:p>
          <w:p w14:paraId="77B97003">
            <w:pPr>
              <w:adjustRightInd w:val="0"/>
              <w:snapToGrid w:val="0"/>
              <w:jc w:val="center"/>
              <w:rPr>
                <w:rFonts w:ascii="Times New Roman" w:hAnsi="Times New Roman" w:cs="Times New Roman"/>
                <w:b/>
                <w:bCs/>
                <w:color w:val="auto"/>
                <w:sz w:val="21"/>
              </w:rPr>
            </w:pPr>
            <w:r>
              <w:rPr>
                <w:rFonts w:hint="eastAsia" w:ascii="Times New Roman" w:hAnsi="Times New Roman" w:cs="Times New Roman"/>
                <w:b/>
                <w:bCs/>
                <w:color w:val="auto"/>
                <w:sz w:val="21"/>
                <w:lang w:eastAsia="zh-CN"/>
              </w:rPr>
              <w:t>量</w:t>
            </w:r>
          </w:p>
        </w:tc>
        <w:tc>
          <w:tcPr>
            <w:tcW w:w="351" w:type="pct"/>
            <w:vAlign w:val="center"/>
          </w:tcPr>
          <w:p w14:paraId="200B15BB">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贮存</w:t>
            </w:r>
          </w:p>
          <w:p w14:paraId="644D7D79">
            <w:pPr>
              <w:adjustRightInd w:val="0"/>
              <w:snapToGrid w:val="0"/>
              <w:jc w:val="center"/>
              <w:rPr>
                <w:rFonts w:ascii="Times New Roman" w:hAnsi="Times New Roman" w:cs="Times New Roman"/>
                <w:b/>
                <w:bCs/>
                <w:color w:val="auto"/>
                <w:sz w:val="21"/>
              </w:rPr>
            </w:pPr>
            <w:r>
              <w:rPr>
                <w:rFonts w:ascii="Times New Roman" w:hAnsi="Times New Roman" w:cs="Times New Roman"/>
                <w:b/>
                <w:bCs/>
                <w:color w:val="auto"/>
                <w:sz w:val="21"/>
              </w:rPr>
              <w:t>周期</w:t>
            </w:r>
          </w:p>
        </w:tc>
      </w:tr>
      <w:tr w14:paraId="0057EB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5" w:type="pct"/>
            <w:vMerge w:val="restart"/>
            <w:vAlign w:val="center"/>
          </w:tcPr>
          <w:p w14:paraId="4C60A325">
            <w:pPr>
              <w:topLinePunct/>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本项目</w:t>
            </w:r>
          </w:p>
        </w:tc>
        <w:tc>
          <w:tcPr>
            <w:tcW w:w="593" w:type="pct"/>
            <w:vMerge w:val="restart"/>
            <w:vAlign w:val="center"/>
          </w:tcPr>
          <w:p w14:paraId="325FA68C">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危废库</w:t>
            </w:r>
          </w:p>
        </w:tc>
        <w:tc>
          <w:tcPr>
            <w:tcW w:w="704" w:type="pct"/>
            <w:vAlign w:val="center"/>
          </w:tcPr>
          <w:p w14:paraId="1A85161D">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bCs/>
                <w:color w:val="auto"/>
                <w:sz w:val="21"/>
                <w:lang w:eastAsia="zh-CN"/>
              </w:rPr>
              <w:t>实验室废液</w:t>
            </w:r>
          </w:p>
        </w:tc>
        <w:tc>
          <w:tcPr>
            <w:tcW w:w="590" w:type="pct"/>
            <w:vAlign w:val="center"/>
          </w:tcPr>
          <w:p w14:paraId="7EAE146C">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rPr>
              <w:t>HW49</w:t>
            </w:r>
          </w:p>
        </w:tc>
        <w:tc>
          <w:tcPr>
            <w:tcW w:w="663" w:type="pct"/>
            <w:vAlign w:val="center"/>
          </w:tcPr>
          <w:p w14:paraId="775274C8">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rPr>
              <w:t>900-0</w:t>
            </w:r>
            <w:r>
              <w:rPr>
                <w:rFonts w:ascii="Times New Roman" w:hAnsi="Times New Roman" w:cs="Times New Roman"/>
                <w:color w:val="auto"/>
                <w:sz w:val="21"/>
                <w:lang w:eastAsia="zh-CN"/>
              </w:rPr>
              <w:t>47</w:t>
            </w:r>
            <w:r>
              <w:rPr>
                <w:rFonts w:ascii="Times New Roman" w:hAnsi="Times New Roman" w:cs="Times New Roman"/>
                <w:color w:val="auto"/>
                <w:sz w:val="21"/>
              </w:rPr>
              <w:t>-49</w:t>
            </w:r>
          </w:p>
        </w:tc>
        <w:tc>
          <w:tcPr>
            <w:tcW w:w="440" w:type="pct"/>
            <w:vMerge w:val="restart"/>
            <w:vAlign w:val="center"/>
          </w:tcPr>
          <w:p w14:paraId="31571F1C">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危废库</w:t>
            </w:r>
          </w:p>
        </w:tc>
        <w:tc>
          <w:tcPr>
            <w:tcW w:w="440" w:type="pct"/>
            <w:vMerge w:val="restart"/>
            <w:vAlign w:val="center"/>
          </w:tcPr>
          <w:p w14:paraId="765131C9">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120</w:t>
            </w:r>
          </w:p>
        </w:tc>
        <w:tc>
          <w:tcPr>
            <w:tcW w:w="399" w:type="pct"/>
            <w:vMerge w:val="restart"/>
            <w:vAlign w:val="center"/>
          </w:tcPr>
          <w:p w14:paraId="23EFEA33">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隔离贮存</w:t>
            </w:r>
          </w:p>
        </w:tc>
        <w:tc>
          <w:tcPr>
            <w:tcW w:w="440" w:type="pct"/>
            <w:vMerge w:val="restart"/>
            <w:vAlign w:val="center"/>
          </w:tcPr>
          <w:p w14:paraId="45F87BDF">
            <w:pPr>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1.6</w:t>
            </w:r>
            <w:r>
              <w:rPr>
                <w:rFonts w:ascii="Times New Roman" w:hAnsi="Times New Roman" w:cs="Times New Roman"/>
                <w:color w:val="auto"/>
                <w:sz w:val="21"/>
                <w:lang w:eastAsia="zh-CN"/>
              </w:rPr>
              <w:t>t</w:t>
            </w:r>
          </w:p>
        </w:tc>
        <w:tc>
          <w:tcPr>
            <w:tcW w:w="351" w:type="pct"/>
            <w:vMerge w:val="restart"/>
            <w:vAlign w:val="center"/>
          </w:tcPr>
          <w:p w14:paraId="68B4EF94">
            <w:pPr>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3</w:t>
            </w:r>
            <w:r>
              <w:rPr>
                <w:rFonts w:ascii="Times New Roman" w:hAnsi="Times New Roman" w:cs="Times New Roman"/>
                <w:color w:val="auto"/>
                <w:sz w:val="21"/>
              </w:rPr>
              <w:t>个月</w:t>
            </w:r>
          </w:p>
        </w:tc>
      </w:tr>
      <w:tr w14:paraId="5525DA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5" w:type="pct"/>
            <w:vMerge w:val="continue"/>
            <w:vAlign w:val="center"/>
          </w:tcPr>
          <w:p w14:paraId="5FF435DD">
            <w:pPr>
              <w:topLinePunct/>
              <w:adjustRightInd w:val="0"/>
              <w:snapToGrid w:val="0"/>
              <w:jc w:val="center"/>
              <w:rPr>
                <w:rFonts w:ascii="Times New Roman" w:hAnsi="Times New Roman" w:cs="Times New Roman"/>
                <w:color w:val="auto"/>
                <w:sz w:val="21"/>
                <w:lang w:eastAsia="zh-CN"/>
              </w:rPr>
            </w:pPr>
          </w:p>
        </w:tc>
        <w:tc>
          <w:tcPr>
            <w:tcW w:w="593" w:type="pct"/>
            <w:vMerge w:val="continue"/>
            <w:vAlign w:val="center"/>
          </w:tcPr>
          <w:p w14:paraId="36C34FE7">
            <w:pPr>
              <w:topLinePunct/>
              <w:adjustRightInd w:val="0"/>
              <w:snapToGrid w:val="0"/>
              <w:jc w:val="center"/>
              <w:rPr>
                <w:rFonts w:ascii="Times New Roman" w:hAnsi="Times New Roman" w:cs="Times New Roman"/>
                <w:color w:val="auto"/>
                <w:sz w:val="21"/>
                <w:lang w:eastAsia="zh-CN"/>
              </w:rPr>
            </w:pPr>
          </w:p>
        </w:tc>
        <w:tc>
          <w:tcPr>
            <w:tcW w:w="704" w:type="pct"/>
            <w:vAlign w:val="center"/>
          </w:tcPr>
          <w:p w14:paraId="7DDD2AFA">
            <w:pPr>
              <w:topLinePunct/>
              <w:adjustRightInd w:val="0"/>
              <w:snapToGrid w:val="0"/>
              <w:jc w:val="center"/>
              <w:rPr>
                <w:rFonts w:ascii="Times New Roman" w:hAnsi="Times New Roman" w:cs="Times New Roman"/>
                <w:bCs/>
                <w:color w:val="auto"/>
                <w:sz w:val="21"/>
                <w:lang w:eastAsia="zh-CN"/>
              </w:rPr>
            </w:pPr>
            <w:r>
              <w:rPr>
                <w:rFonts w:hint="eastAsia" w:ascii="Times New Roman" w:hAnsi="Times New Roman" w:cs="Times New Roman"/>
                <w:color w:val="auto"/>
                <w:sz w:val="21"/>
                <w:lang w:eastAsia="zh-CN"/>
              </w:rPr>
              <w:t>废机油</w:t>
            </w:r>
          </w:p>
        </w:tc>
        <w:tc>
          <w:tcPr>
            <w:tcW w:w="590" w:type="pct"/>
            <w:vAlign w:val="center"/>
          </w:tcPr>
          <w:p w14:paraId="28C6C5C3">
            <w:pPr>
              <w:topLinePunct/>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HW</w:t>
            </w:r>
            <w:r>
              <w:rPr>
                <w:rFonts w:ascii="Times New Roman" w:hAnsi="Times New Roman" w:cs="Times New Roman"/>
                <w:color w:val="auto"/>
                <w:sz w:val="21"/>
                <w:lang w:eastAsia="zh-CN"/>
              </w:rPr>
              <w:t>0</w:t>
            </w:r>
            <w:r>
              <w:rPr>
                <w:rFonts w:hint="eastAsia" w:ascii="Times New Roman" w:hAnsi="Times New Roman" w:cs="Times New Roman"/>
                <w:color w:val="auto"/>
                <w:sz w:val="21"/>
                <w:lang w:eastAsia="zh-CN"/>
              </w:rPr>
              <w:t>8</w:t>
            </w:r>
          </w:p>
        </w:tc>
        <w:tc>
          <w:tcPr>
            <w:tcW w:w="663" w:type="pct"/>
            <w:vAlign w:val="center"/>
          </w:tcPr>
          <w:p w14:paraId="6C9D96F0">
            <w:pPr>
              <w:topLinePunct/>
              <w:adjustRightInd w:val="0"/>
              <w:snapToGrid w:val="0"/>
              <w:jc w:val="center"/>
              <w:rPr>
                <w:rFonts w:ascii="Times New Roman" w:hAnsi="Times New Roman" w:cs="Times New Roman"/>
                <w:color w:val="auto"/>
                <w:sz w:val="21"/>
              </w:rPr>
            </w:pPr>
            <w:r>
              <w:rPr>
                <w:rFonts w:ascii="Times New Roman" w:hAnsi="Times New Roman" w:cs="Times New Roman"/>
                <w:color w:val="auto"/>
                <w:sz w:val="21"/>
                <w:lang w:eastAsia="zh-CN"/>
              </w:rPr>
              <w:t>900-</w:t>
            </w:r>
            <w:r>
              <w:rPr>
                <w:rFonts w:hint="eastAsia" w:ascii="Times New Roman" w:hAnsi="Times New Roman" w:cs="Times New Roman"/>
                <w:color w:val="auto"/>
                <w:sz w:val="21"/>
                <w:lang w:eastAsia="zh-CN"/>
              </w:rPr>
              <w:t>214</w:t>
            </w:r>
            <w:r>
              <w:rPr>
                <w:rFonts w:ascii="Times New Roman" w:hAnsi="Times New Roman" w:cs="Times New Roman"/>
                <w:color w:val="auto"/>
                <w:sz w:val="21"/>
                <w:lang w:eastAsia="zh-CN"/>
              </w:rPr>
              <w:t>-0</w:t>
            </w:r>
            <w:r>
              <w:rPr>
                <w:rFonts w:hint="eastAsia" w:ascii="Times New Roman" w:hAnsi="Times New Roman" w:cs="Times New Roman"/>
                <w:color w:val="auto"/>
                <w:sz w:val="21"/>
                <w:lang w:eastAsia="zh-CN"/>
              </w:rPr>
              <w:t>8</w:t>
            </w:r>
          </w:p>
        </w:tc>
        <w:tc>
          <w:tcPr>
            <w:tcW w:w="440" w:type="pct"/>
            <w:vMerge w:val="continue"/>
            <w:vAlign w:val="center"/>
          </w:tcPr>
          <w:p w14:paraId="74B471DE">
            <w:pPr>
              <w:adjustRightInd w:val="0"/>
              <w:snapToGrid w:val="0"/>
              <w:jc w:val="center"/>
              <w:rPr>
                <w:rFonts w:ascii="Times New Roman" w:hAnsi="Times New Roman" w:cs="Times New Roman"/>
                <w:color w:val="auto"/>
                <w:sz w:val="21"/>
                <w:lang w:eastAsia="zh-CN"/>
              </w:rPr>
            </w:pPr>
          </w:p>
        </w:tc>
        <w:tc>
          <w:tcPr>
            <w:tcW w:w="440" w:type="pct"/>
            <w:vMerge w:val="continue"/>
            <w:vAlign w:val="center"/>
          </w:tcPr>
          <w:p w14:paraId="49813514">
            <w:pPr>
              <w:adjustRightInd w:val="0"/>
              <w:snapToGrid w:val="0"/>
              <w:jc w:val="center"/>
              <w:rPr>
                <w:rFonts w:ascii="Times New Roman" w:hAnsi="Times New Roman" w:cs="Times New Roman"/>
                <w:color w:val="auto"/>
                <w:sz w:val="21"/>
                <w:lang w:eastAsia="zh-CN"/>
              </w:rPr>
            </w:pPr>
          </w:p>
        </w:tc>
        <w:tc>
          <w:tcPr>
            <w:tcW w:w="399" w:type="pct"/>
            <w:vMerge w:val="continue"/>
            <w:vAlign w:val="center"/>
          </w:tcPr>
          <w:p w14:paraId="7CDE1B9A">
            <w:pPr>
              <w:adjustRightInd w:val="0"/>
              <w:snapToGrid w:val="0"/>
              <w:jc w:val="center"/>
              <w:rPr>
                <w:rFonts w:ascii="Times New Roman" w:hAnsi="Times New Roman" w:cs="Times New Roman"/>
                <w:color w:val="auto"/>
                <w:sz w:val="21"/>
              </w:rPr>
            </w:pPr>
          </w:p>
        </w:tc>
        <w:tc>
          <w:tcPr>
            <w:tcW w:w="440" w:type="pct"/>
            <w:vMerge w:val="continue"/>
            <w:vAlign w:val="center"/>
          </w:tcPr>
          <w:p w14:paraId="6FD5CCE4">
            <w:pPr>
              <w:adjustRightInd w:val="0"/>
              <w:snapToGrid w:val="0"/>
              <w:jc w:val="center"/>
              <w:rPr>
                <w:rFonts w:ascii="Times New Roman" w:hAnsi="Times New Roman" w:cs="Times New Roman"/>
                <w:color w:val="auto"/>
                <w:sz w:val="21"/>
                <w:lang w:eastAsia="zh-CN"/>
              </w:rPr>
            </w:pPr>
          </w:p>
        </w:tc>
        <w:tc>
          <w:tcPr>
            <w:tcW w:w="351" w:type="pct"/>
            <w:vMerge w:val="continue"/>
            <w:vAlign w:val="center"/>
          </w:tcPr>
          <w:p w14:paraId="78224108">
            <w:pPr>
              <w:adjustRightInd w:val="0"/>
              <w:snapToGrid w:val="0"/>
              <w:jc w:val="center"/>
              <w:rPr>
                <w:rFonts w:ascii="Times New Roman" w:hAnsi="Times New Roman" w:cs="Times New Roman"/>
                <w:color w:val="auto"/>
                <w:sz w:val="21"/>
                <w:lang w:eastAsia="zh-CN"/>
              </w:rPr>
            </w:pPr>
          </w:p>
        </w:tc>
      </w:tr>
      <w:tr w14:paraId="4073B7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5" w:type="pct"/>
            <w:vMerge w:val="continue"/>
            <w:vAlign w:val="center"/>
          </w:tcPr>
          <w:p w14:paraId="086B405B">
            <w:pPr>
              <w:topLinePunct/>
              <w:adjustRightInd w:val="0"/>
              <w:snapToGrid w:val="0"/>
              <w:jc w:val="center"/>
              <w:rPr>
                <w:rFonts w:ascii="Times New Roman" w:hAnsi="Times New Roman" w:cs="Times New Roman"/>
                <w:color w:val="auto"/>
                <w:sz w:val="21"/>
                <w:lang w:eastAsia="zh-CN"/>
              </w:rPr>
            </w:pPr>
          </w:p>
        </w:tc>
        <w:tc>
          <w:tcPr>
            <w:tcW w:w="593" w:type="pct"/>
            <w:vMerge w:val="continue"/>
            <w:vAlign w:val="center"/>
          </w:tcPr>
          <w:p w14:paraId="69F6F4D1">
            <w:pPr>
              <w:topLinePunct/>
              <w:adjustRightInd w:val="0"/>
              <w:snapToGrid w:val="0"/>
              <w:jc w:val="center"/>
              <w:rPr>
                <w:rFonts w:ascii="Times New Roman" w:hAnsi="Times New Roman" w:cs="Times New Roman"/>
                <w:color w:val="auto"/>
                <w:sz w:val="21"/>
                <w:lang w:eastAsia="zh-CN"/>
              </w:rPr>
            </w:pPr>
          </w:p>
        </w:tc>
        <w:tc>
          <w:tcPr>
            <w:tcW w:w="704" w:type="pct"/>
            <w:shd w:val="clear" w:color="auto" w:fill="auto"/>
            <w:vAlign w:val="center"/>
          </w:tcPr>
          <w:p w14:paraId="6A32E5DB">
            <w:pPr>
              <w:topLinePunct/>
              <w:adjustRightInd w:val="0"/>
              <w:snapToGrid w:val="0"/>
              <w:jc w:val="center"/>
              <w:rPr>
                <w:rFonts w:hint="eastAsia" w:ascii="Times New Roman" w:hAnsi="Times New Roman" w:eastAsia="宋体" w:cs="Times New Roman"/>
                <w:snapToGrid w:val="0"/>
                <w:color w:val="auto"/>
                <w:sz w:val="21"/>
                <w:szCs w:val="21"/>
                <w:lang w:val="en-US" w:eastAsia="zh-CN" w:bidi="ar-SA"/>
              </w:rPr>
            </w:pPr>
            <w:r>
              <w:rPr>
                <w:rFonts w:hint="eastAsia" w:ascii="Times New Roman" w:hAnsi="Times New Roman" w:cs="Times New Roman"/>
                <w:color w:val="auto"/>
                <w:sz w:val="21"/>
                <w:lang w:eastAsia="zh-CN"/>
              </w:rPr>
              <w:t>废</w:t>
            </w:r>
            <w:r>
              <w:rPr>
                <w:rFonts w:hint="eastAsia" w:ascii="Times New Roman" w:hAnsi="Times New Roman" w:cs="Times New Roman"/>
                <w:color w:val="auto"/>
                <w:sz w:val="21"/>
                <w:lang w:val="en-US" w:eastAsia="zh-CN"/>
              </w:rPr>
              <w:t>漆</w:t>
            </w:r>
            <w:r>
              <w:rPr>
                <w:rFonts w:hint="eastAsia" w:ascii="Times New Roman" w:hAnsi="Times New Roman" w:cs="Times New Roman"/>
                <w:color w:val="auto"/>
                <w:sz w:val="21"/>
                <w:lang w:eastAsia="zh-CN"/>
              </w:rPr>
              <w:t>桶</w:t>
            </w:r>
          </w:p>
        </w:tc>
        <w:tc>
          <w:tcPr>
            <w:tcW w:w="590" w:type="pct"/>
            <w:shd w:val="clear" w:color="auto" w:fill="auto"/>
            <w:vAlign w:val="center"/>
          </w:tcPr>
          <w:p w14:paraId="2005137D">
            <w:pPr>
              <w:topLinePunct/>
              <w:adjustRightInd w:val="0"/>
              <w:snapToGrid w:val="0"/>
              <w:jc w:val="center"/>
              <w:rPr>
                <w:rFonts w:ascii="Times New Roman" w:hAnsi="Times New Roman" w:eastAsia="宋体" w:cs="Times New Roman"/>
                <w:snapToGrid w:val="0"/>
                <w:color w:val="auto"/>
                <w:sz w:val="21"/>
                <w:szCs w:val="21"/>
                <w:lang w:val="en-US" w:eastAsia="zh-CN" w:bidi="ar-SA"/>
              </w:rPr>
            </w:pPr>
            <w:r>
              <w:rPr>
                <w:rFonts w:ascii="Times New Roman" w:hAnsi="Times New Roman" w:cs="Times New Roman"/>
                <w:color w:val="auto"/>
                <w:sz w:val="21"/>
              </w:rPr>
              <w:t>HW</w:t>
            </w:r>
            <w:r>
              <w:rPr>
                <w:rFonts w:hint="eastAsia" w:ascii="Times New Roman" w:hAnsi="Times New Roman" w:cs="Times New Roman"/>
                <w:color w:val="auto"/>
                <w:sz w:val="21"/>
                <w:lang w:eastAsia="zh-CN"/>
              </w:rPr>
              <w:t>49</w:t>
            </w:r>
          </w:p>
        </w:tc>
        <w:tc>
          <w:tcPr>
            <w:tcW w:w="663" w:type="pct"/>
            <w:shd w:val="clear" w:color="auto" w:fill="auto"/>
            <w:vAlign w:val="center"/>
          </w:tcPr>
          <w:p w14:paraId="2C77D8C3">
            <w:pPr>
              <w:topLinePunct/>
              <w:adjustRightInd w:val="0"/>
              <w:snapToGrid w:val="0"/>
              <w:jc w:val="center"/>
              <w:rPr>
                <w:rFonts w:ascii="Times New Roman" w:hAnsi="Times New Roman" w:eastAsia="宋体" w:cs="Times New Roman"/>
                <w:snapToGrid w:val="0"/>
                <w:color w:val="auto"/>
                <w:sz w:val="21"/>
                <w:szCs w:val="21"/>
                <w:lang w:val="en-US" w:eastAsia="zh-CN" w:bidi="ar-SA"/>
              </w:rPr>
            </w:pPr>
            <w:r>
              <w:rPr>
                <w:rFonts w:ascii="Times New Roman" w:hAnsi="Times New Roman" w:cs="Times New Roman"/>
                <w:color w:val="auto"/>
                <w:sz w:val="21"/>
                <w:lang w:eastAsia="zh-CN"/>
              </w:rPr>
              <w:t>900-</w:t>
            </w:r>
            <w:r>
              <w:rPr>
                <w:rFonts w:hint="eastAsia" w:ascii="Times New Roman" w:hAnsi="Times New Roman" w:cs="Times New Roman"/>
                <w:color w:val="auto"/>
                <w:sz w:val="21"/>
                <w:lang w:eastAsia="zh-CN"/>
              </w:rPr>
              <w:t>041</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49</w:t>
            </w:r>
          </w:p>
        </w:tc>
        <w:tc>
          <w:tcPr>
            <w:tcW w:w="440" w:type="pct"/>
            <w:vMerge w:val="continue"/>
            <w:vAlign w:val="center"/>
          </w:tcPr>
          <w:p w14:paraId="1736CDF3">
            <w:pPr>
              <w:adjustRightInd w:val="0"/>
              <w:snapToGrid w:val="0"/>
              <w:jc w:val="center"/>
              <w:rPr>
                <w:rFonts w:ascii="Times New Roman" w:hAnsi="Times New Roman" w:cs="Times New Roman"/>
                <w:color w:val="auto"/>
                <w:sz w:val="21"/>
                <w:lang w:eastAsia="zh-CN"/>
              </w:rPr>
            </w:pPr>
          </w:p>
        </w:tc>
        <w:tc>
          <w:tcPr>
            <w:tcW w:w="440" w:type="pct"/>
            <w:vMerge w:val="continue"/>
            <w:vAlign w:val="center"/>
          </w:tcPr>
          <w:p w14:paraId="212FC25C">
            <w:pPr>
              <w:adjustRightInd w:val="0"/>
              <w:snapToGrid w:val="0"/>
              <w:jc w:val="center"/>
              <w:rPr>
                <w:rFonts w:ascii="Times New Roman" w:hAnsi="Times New Roman" w:cs="Times New Roman"/>
                <w:color w:val="auto"/>
                <w:sz w:val="21"/>
                <w:lang w:eastAsia="zh-CN"/>
              </w:rPr>
            </w:pPr>
          </w:p>
        </w:tc>
        <w:tc>
          <w:tcPr>
            <w:tcW w:w="399" w:type="pct"/>
            <w:vMerge w:val="continue"/>
            <w:vAlign w:val="center"/>
          </w:tcPr>
          <w:p w14:paraId="36C4A46B">
            <w:pPr>
              <w:adjustRightInd w:val="0"/>
              <w:snapToGrid w:val="0"/>
              <w:jc w:val="center"/>
              <w:rPr>
                <w:rFonts w:ascii="Times New Roman" w:hAnsi="Times New Roman" w:cs="Times New Roman"/>
                <w:color w:val="auto"/>
                <w:sz w:val="21"/>
              </w:rPr>
            </w:pPr>
          </w:p>
        </w:tc>
        <w:tc>
          <w:tcPr>
            <w:tcW w:w="440" w:type="pct"/>
            <w:vMerge w:val="continue"/>
            <w:vAlign w:val="center"/>
          </w:tcPr>
          <w:p w14:paraId="2908CE82">
            <w:pPr>
              <w:adjustRightInd w:val="0"/>
              <w:snapToGrid w:val="0"/>
              <w:jc w:val="center"/>
              <w:rPr>
                <w:rFonts w:ascii="Times New Roman" w:hAnsi="Times New Roman" w:cs="Times New Roman"/>
                <w:color w:val="auto"/>
                <w:sz w:val="21"/>
                <w:lang w:eastAsia="zh-CN"/>
              </w:rPr>
            </w:pPr>
          </w:p>
        </w:tc>
        <w:tc>
          <w:tcPr>
            <w:tcW w:w="351" w:type="pct"/>
            <w:vMerge w:val="continue"/>
            <w:vAlign w:val="center"/>
          </w:tcPr>
          <w:p w14:paraId="05748F72">
            <w:pPr>
              <w:adjustRightInd w:val="0"/>
              <w:snapToGrid w:val="0"/>
              <w:jc w:val="center"/>
              <w:rPr>
                <w:rFonts w:ascii="Times New Roman" w:hAnsi="Times New Roman" w:cs="Times New Roman"/>
                <w:color w:val="auto"/>
                <w:sz w:val="21"/>
                <w:lang w:eastAsia="zh-CN"/>
              </w:rPr>
            </w:pPr>
          </w:p>
        </w:tc>
      </w:tr>
      <w:tr w14:paraId="23539A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5" w:type="pct"/>
            <w:vMerge w:val="continue"/>
            <w:vAlign w:val="center"/>
          </w:tcPr>
          <w:p w14:paraId="6F6EBB26">
            <w:pPr>
              <w:topLinePunct/>
              <w:adjustRightInd w:val="0"/>
              <w:snapToGrid w:val="0"/>
              <w:jc w:val="center"/>
              <w:rPr>
                <w:rFonts w:ascii="Times New Roman" w:hAnsi="Times New Roman" w:cs="Times New Roman"/>
                <w:color w:val="auto"/>
                <w:spacing w:val="-2"/>
                <w:sz w:val="21"/>
                <w:lang w:eastAsia="zh-CN"/>
              </w:rPr>
            </w:pPr>
          </w:p>
        </w:tc>
        <w:tc>
          <w:tcPr>
            <w:tcW w:w="593" w:type="pct"/>
            <w:vMerge w:val="continue"/>
            <w:vAlign w:val="center"/>
          </w:tcPr>
          <w:p w14:paraId="38E8734D">
            <w:pPr>
              <w:topLinePunct/>
              <w:adjustRightInd w:val="0"/>
              <w:snapToGrid w:val="0"/>
              <w:jc w:val="center"/>
              <w:rPr>
                <w:rFonts w:ascii="Times New Roman" w:hAnsi="Times New Roman" w:cs="Times New Roman"/>
                <w:color w:val="auto"/>
                <w:sz w:val="21"/>
              </w:rPr>
            </w:pPr>
          </w:p>
        </w:tc>
        <w:tc>
          <w:tcPr>
            <w:tcW w:w="704" w:type="pct"/>
            <w:vAlign w:val="center"/>
          </w:tcPr>
          <w:p w14:paraId="489C3407">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废油桶</w:t>
            </w:r>
          </w:p>
        </w:tc>
        <w:tc>
          <w:tcPr>
            <w:tcW w:w="590" w:type="pct"/>
            <w:vAlign w:val="center"/>
          </w:tcPr>
          <w:p w14:paraId="2B84CF54">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rPr>
              <w:t>HW</w:t>
            </w:r>
            <w:r>
              <w:rPr>
                <w:rFonts w:hint="eastAsia" w:ascii="Times New Roman" w:hAnsi="Times New Roman" w:cs="Times New Roman"/>
                <w:color w:val="auto"/>
                <w:sz w:val="21"/>
                <w:lang w:eastAsia="zh-CN"/>
              </w:rPr>
              <w:t>49</w:t>
            </w:r>
          </w:p>
        </w:tc>
        <w:tc>
          <w:tcPr>
            <w:tcW w:w="663" w:type="pct"/>
            <w:vAlign w:val="center"/>
          </w:tcPr>
          <w:p w14:paraId="21129ABD">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900-</w:t>
            </w:r>
            <w:r>
              <w:rPr>
                <w:rFonts w:hint="eastAsia" w:ascii="Times New Roman" w:hAnsi="Times New Roman" w:cs="Times New Roman"/>
                <w:color w:val="auto"/>
                <w:sz w:val="21"/>
                <w:lang w:eastAsia="zh-CN"/>
              </w:rPr>
              <w:t>041</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49</w:t>
            </w:r>
          </w:p>
        </w:tc>
        <w:tc>
          <w:tcPr>
            <w:tcW w:w="440" w:type="pct"/>
            <w:vMerge w:val="continue"/>
            <w:vAlign w:val="center"/>
          </w:tcPr>
          <w:p w14:paraId="61C71A9A">
            <w:pPr>
              <w:adjustRightInd w:val="0"/>
              <w:snapToGrid w:val="0"/>
              <w:jc w:val="center"/>
              <w:rPr>
                <w:rFonts w:ascii="Times New Roman" w:hAnsi="Times New Roman" w:cs="Times New Roman"/>
                <w:bCs/>
                <w:color w:val="auto"/>
                <w:sz w:val="21"/>
              </w:rPr>
            </w:pPr>
          </w:p>
        </w:tc>
        <w:tc>
          <w:tcPr>
            <w:tcW w:w="440" w:type="pct"/>
            <w:vMerge w:val="continue"/>
            <w:vAlign w:val="center"/>
          </w:tcPr>
          <w:p w14:paraId="2E546CE6">
            <w:pPr>
              <w:topLinePunct/>
              <w:adjustRightInd w:val="0"/>
              <w:snapToGrid w:val="0"/>
              <w:jc w:val="center"/>
              <w:rPr>
                <w:rFonts w:ascii="Times New Roman" w:hAnsi="Times New Roman" w:cs="Times New Roman"/>
                <w:color w:val="auto"/>
                <w:sz w:val="21"/>
              </w:rPr>
            </w:pPr>
          </w:p>
        </w:tc>
        <w:tc>
          <w:tcPr>
            <w:tcW w:w="399" w:type="pct"/>
            <w:vMerge w:val="continue"/>
            <w:vAlign w:val="center"/>
          </w:tcPr>
          <w:p w14:paraId="77E27D0E">
            <w:pPr>
              <w:adjustRightInd w:val="0"/>
              <w:snapToGrid w:val="0"/>
              <w:jc w:val="center"/>
              <w:rPr>
                <w:rFonts w:ascii="Times New Roman" w:hAnsi="Times New Roman" w:cs="Times New Roman"/>
                <w:color w:val="auto"/>
                <w:sz w:val="21"/>
              </w:rPr>
            </w:pPr>
          </w:p>
        </w:tc>
        <w:tc>
          <w:tcPr>
            <w:tcW w:w="440" w:type="pct"/>
            <w:vMerge w:val="continue"/>
            <w:vAlign w:val="center"/>
          </w:tcPr>
          <w:p w14:paraId="46E4898E">
            <w:pPr>
              <w:topLinePunct/>
              <w:adjustRightInd w:val="0"/>
              <w:snapToGrid w:val="0"/>
              <w:jc w:val="center"/>
              <w:rPr>
                <w:rFonts w:ascii="Times New Roman" w:hAnsi="Times New Roman" w:cs="Times New Roman"/>
                <w:color w:val="auto"/>
                <w:sz w:val="21"/>
              </w:rPr>
            </w:pPr>
          </w:p>
        </w:tc>
        <w:tc>
          <w:tcPr>
            <w:tcW w:w="351" w:type="pct"/>
            <w:vMerge w:val="continue"/>
            <w:vAlign w:val="center"/>
          </w:tcPr>
          <w:p w14:paraId="487DF603">
            <w:pPr>
              <w:topLinePunct/>
              <w:adjustRightInd w:val="0"/>
              <w:snapToGrid w:val="0"/>
              <w:jc w:val="center"/>
              <w:rPr>
                <w:rFonts w:ascii="Times New Roman" w:hAnsi="Times New Roman" w:cs="Times New Roman"/>
                <w:color w:val="auto"/>
                <w:sz w:val="21"/>
              </w:rPr>
            </w:pPr>
          </w:p>
        </w:tc>
      </w:tr>
      <w:tr w14:paraId="4CC66E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5" w:type="pct"/>
            <w:vMerge w:val="restart"/>
            <w:vAlign w:val="center"/>
          </w:tcPr>
          <w:p w14:paraId="493DB5AD">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现有工程</w:t>
            </w:r>
          </w:p>
        </w:tc>
        <w:tc>
          <w:tcPr>
            <w:tcW w:w="593" w:type="pct"/>
            <w:vMerge w:val="continue"/>
            <w:vAlign w:val="center"/>
          </w:tcPr>
          <w:p w14:paraId="5F6F836A">
            <w:pPr>
              <w:topLinePunct/>
              <w:adjustRightInd w:val="0"/>
              <w:snapToGrid w:val="0"/>
              <w:jc w:val="center"/>
              <w:rPr>
                <w:rFonts w:ascii="Times New Roman" w:hAnsi="Times New Roman" w:cs="Times New Roman"/>
                <w:color w:val="auto"/>
                <w:sz w:val="21"/>
              </w:rPr>
            </w:pPr>
          </w:p>
        </w:tc>
        <w:tc>
          <w:tcPr>
            <w:tcW w:w="704" w:type="pct"/>
            <w:vAlign w:val="center"/>
          </w:tcPr>
          <w:p w14:paraId="541163FB">
            <w:pPr>
              <w:topLinePunct/>
              <w:adjustRightInd w:val="0"/>
              <w:snapToGrid w:val="0"/>
              <w:jc w:val="center"/>
              <w:rPr>
                <w:rFonts w:ascii="Times New Roman" w:hAnsi="Times New Roman" w:cs="Times New Roman"/>
                <w:bCs/>
                <w:color w:val="auto"/>
                <w:sz w:val="21"/>
                <w:lang w:eastAsia="zh-CN"/>
              </w:rPr>
            </w:pPr>
            <w:r>
              <w:rPr>
                <w:rFonts w:ascii="Times New Roman" w:hAnsi="Times New Roman" w:cs="Times New Roman"/>
                <w:color w:val="auto"/>
                <w:sz w:val="21"/>
                <w:lang w:eastAsia="zh-CN"/>
              </w:rPr>
              <w:t>废包装桶</w:t>
            </w:r>
          </w:p>
        </w:tc>
        <w:tc>
          <w:tcPr>
            <w:tcW w:w="590" w:type="pct"/>
            <w:vAlign w:val="center"/>
          </w:tcPr>
          <w:p w14:paraId="3A35724B">
            <w:pPr>
              <w:topLinePunct/>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HW</w:t>
            </w:r>
            <w:r>
              <w:rPr>
                <w:rFonts w:ascii="Times New Roman" w:hAnsi="Times New Roman" w:cs="Times New Roman"/>
                <w:color w:val="auto"/>
                <w:sz w:val="21"/>
                <w:lang w:eastAsia="zh-CN"/>
              </w:rPr>
              <w:t>49</w:t>
            </w:r>
          </w:p>
        </w:tc>
        <w:tc>
          <w:tcPr>
            <w:tcW w:w="663" w:type="pct"/>
            <w:vAlign w:val="center"/>
          </w:tcPr>
          <w:p w14:paraId="2F6E867B">
            <w:pPr>
              <w:topLinePunct/>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900-041-49</w:t>
            </w:r>
          </w:p>
        </w:tc>
        <w:tc>
          <w:tcPr>
            <w:tcW w:w="440" w:type="pct"/>
            <w:vMerge w:val="continue"/>
            <w:vAlign w:val="center"/>
          </w:tcPr>
          <w:p w14:paraId="3E29F15A">
            <w:pPr>
              <w:topLinePunct/>
              <w:adjustRightInd w:val="0"/>
              <w:snapToGrid w:val="0"/>
              <w:jc w:val="center"/>
              <w:rPr>
                <w:rFonts w:ascii="Times New Roman" w:hAnsi="Times New Roman" w:cs="Times New Roman"/>
                <w:color w:val="auto"/>
                <w:sz w:val="21"/>
              </w:rPr>
            </w:pPr>
          </w:p>
        </w:tc>
        <w:tc>
          <w:tcPr>
            <w:tcW w:w="440" w:type="pct"/>
            <w:vMerge w:val="continue"/>
            <w:vAlign w:val="center"/>
          </w:tcPr>
          <w:p w14:paraId="6A1CED46">
            <w:pPr>
              <w:topLinePunct/>
              <w:adjustRightInd w:val="0"/>
              <w:snapToGrid w:val="0"/>
              <w:jc w:val="center"/>
              <w:rPr>
                <w:rFonts w:ascii="Times New Roman" w:hAnsi="Times New Roman" w:cs="Times New Roman"/>
                <w:color w:val="auto"/>
                <w:sz w:val="21"/>
              </w:rPr>
            </w:pPr>
          </w:p>
        </w:tc>
        <w:tc>
          <w:tcPr>
            <w:tcW w:w="399" w:type="pct"/>
            <w:vMerge w:val="continue"/>
            <w:vAlign w:val="center"/>
          </w:tcPr>
          <w:p w14:paraId="72C77FA0">
            <w:pPr>
              <w:adjustRightInd w:val="0"/>
              <w:snapToGrid w:val="0"/>
              <w:jc w:val="center"/>
              <w:rPr>
                <w:rFonts w:ascii="Times New Roman" w:hAnsi="Times New Roman" w:cs="Times New Roman"/>
                <w:color w:val="auto"/>
                <w:sz w:val="21"/>
              </w:rPr>
            </w:pPr>
          </w:p>
        </w:tc>
        <w:tc>
          <w:tcPr>
            <w:tcW w:w="440" w:type="pct"/>
            <w:vMerge w:val="continue"/>
            <w:vAlign w:val="center"/>
          </w:tcPr>
          <w:p w14:paraId="6A781E39">
            <w:pPr>
              <w:topLinePunct/>
              <w:adjustRightInd w:val="0"/>
              <w:snapToGrid w:val="0"/>
              <w:jc w:val="center"/>
              <w:rPr>
                <w:rFonts w:ascii="Times New Roman" w:hAnsi="Times New Roman" w:cs="Times New Roman"/>
                <w:color w:val="auto"/>
                <w:sz w:val="21"/>
              </w:rPr>
            </w:pPr>
          </w:p>
        </w:tc>
        <w:tc>
          <w:tcPr>
            <w:tcW w:w="351" w:type="pct"/>
            <w:vMerge w:val="continue"/>
            <w:vAlign w:val="center"/>
          </w:tcPr>
          <w:p w14:paraId="1D2C6FB7">
            <w:pPr>
              <w:topLinePunct/>
              <w:adjustRightInd w:val="0"/>
              <w:snapToGrid w:val="0"/>
              <w:jc w:val="center"/>
              <w:rPr>
                <w:rFonts w:ascii="Times New Roman" w:hAnsi="Times New Roman" w:cs="Times New Roman"/>
                <w:color w:val="auto"/>
                <w:sz w:val="21"/>
              </w:rPr>
            </w:pPr>
          </w:p>
        </w:tc>
      </w:tr>
      <w:tr w14:paraId="02128C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5" w:type="pct"/>
            <w:vMerge w:val="continue"/>
            <w:vAlign w:val="center"/>
          </w:tcPr>
          <w:p w14:paraId="2EEA84A4">
            <w:pPr>
              <w:topLinePunct/>
              <w:adjustRightInd w:val="0"/>
              <w:snapToGrid w:val="0"/>
              <w:jc w:val="center"/>
              <w:rPr>
                <w:rFonts w:ascii="Times New Roman" w:hAnsi="Times New Roman" w:cs="Times New Roman"/>
                <w:color w:val="auto"/>
                <w:sz w:val="21"/>
                <w:lang w:eastAsia="zh-CN"/>
              </w:rPr>
            </w:pPr>
          </w:p>
        </w:tc>
        <w:tc>
          <w:tcPr>
            <w:tcW w:w="593" w:type="pct"/>
            <w:vMerge w:val="continue"/>
            <w:vAlign w:val="center"/>
          </w:tcPr>
          <w:p w14:paraId="75EF56D9">
            <w:pPr>
              <w:topLinePunct/>
              <w:adjustRightInd w:val="0"/>
              <w:snapToGrid w:val="0"/>
              <w:jc w:val="center"/>
              <w:rPr>
                <w:rFonts w:ascii="Times New Roman" w:hAnsi="Times New Roman" w:cs="Times New Roman"/>
                <w:color w:val="auto"/>
                <w:sz w:val="21"/>
              </w:rPr>
            </w:pPr>
          </w:p>
        </w:tc>
        <w:tc>
          <w:tcPr>
            <w:tcW w:w="704" w:type="pct"/>
            <w:vAlign w:val="center"/>
          </w:tcPr>
          <w:p w14:paraId="79E3C9C6">
            <w:pPr>
              <w:topLinePunct/>
              <w:adjustRightInd w:val="0"/>
              <w:snapToGrid w:val="0"/>
              <w:jc w:val="center"/>
              <w:rPr>
                <w:rFonts w:ascii="Times New Roman" w:hAnsi="Times New Roman" w:cs="Times New Roman"/>
                <w:bCs/>
                <w:color w:val="auto"/>
                <w:sz w:val="21"/>
                <w:lang w:eastAsia="zh-CN"/>
              </w:rPr>
            </w:pPr>
            <w:r>
              <w:rPr>
                <w:rFonts w:ascii="Times New Roman" w:hAnsi="Times New Roman" w:cs="Times New Roman"/>
                <w:color w:val="auto"/>
                <w:sz w:val="21"/>
                <w:lang w:eastAsia="zh-CN"/>
              </w:rPr>
              <w:t>废滤芯</w:t>
            </w:r>
          </w:p>
        </w:tc>
        <w:tc>
          <w:tcPr>
            <w:tcW w:w="590" w:type="pct"/>
            <w:vAlign w:val="center"/>
          </w:tcPr>
          <w:p w14:paraId="32C0B661">
            <w:pPr>
              <w:topLinePunct/>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HW</w:t>
            </w:r>
            <w:r>
              <w:rPr>
                <w:rFonts w:ascii="Times New Roman" w:hAnsi="Times New Roman" w:cs="Times New Roman"/>
                <w:color w:val="auto"/>
                <w:sz w:val="21"/>
                <w:lang w:eastAsia="zh-CN"/>
              </w:rPr>
              <w:t>49</w:t>
            </w:r>
          </w:p>
        </w:tc>
        <w:tc>
          <w:tcPr>
            <w:tcW w:w="663" w:type="pct"/>
            <w:vAlign w:val="center"/>
          </w:tcPr>
          <w:p w14:paraId="26216E0C">
            <w:pPr>
              <w:topLinePunct/>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900-041-49</w:t>
            </w:r>
          </w:p>
        </w:tc>
        <w:tc>
          <w:tcPr>
            <w:tcW w:w="440" w:type="pct"/>
            <w:vMerge w:val="continue"/>
            <w:vAlign w:val="center"/>
          </w:tcPr>
          <w:p w14:paraId="6B878EC9">
            <w:pPr>
              <w:topLinePunct/>
              <w:adjustRightInd w:val="0"/>
              <w:snapToGrid w:val="0"/>
              <w:jc w:val="center"/>
              <w:rPr>
                <w:rFonts w:ascii="Times New Roman" w:hAnsi="Times New Roman" w:cs="Times New Roman"/>
                <w:color w:val="auto"/>
                <w:sz w:val="21"/>
              </w:rPr>
            </w:pPr>
          </w:p>
        </w:tc>
        <w:tc>
          <w:tcPr>
            <w:tcW w:w="440" w:type="pct"/>
            <w:vMerge w:val="continue"/>
            <w:vAlign w:val="center"/>
          </w:tcPr>
          <w:p w14:paraId="4A7D9959">
            <w:pPr>
              <w:topLinePunct/>
              <w:adjustRightInd w:val="0"/>
              <w:snapToGrid w:val="0"/>
              <w:jc w:val="center"/>
              <w:rPr>
                <w:rFonts w:ascii="Times New Roman" w:hAnsi="Times New Roman" w:cs="Times New Roman"/>
                <w:color w:val="auto"/>
                <w:sz w:val="21"/>
              </w:rPr>
            </w:pPr>
          </w:p>
        </w:tc>
        <w:tc>
          <w:tcPr>
            <w:tcW w:w="399" w:type="pct"/>
            <w:vMerge w:val="continue"/>
            <w:vAlign w:val="center"/>
          </w:tcPr>
          <w:p w14:paraId="4F70CD90">
            <w:pPr>
              <w:adjustRightInd w:val="0"/>
              <w:snapToGrid w:val="0"/>
              <w:jc w:val="center"/>
              <w:rPr>
                <w:rFonts w:ascii="Times New Roman" w:hAnsi="Times New Roman" w:cs="Times New Roman"/>
                <w:color w:val="auto"/>
                <w:sz w:val="21"/>
              </w:rPr>
            </w:pPr>
          </w:p>
        </w:tc>
        <w:tc>
          <w:tcPr>
            <w:tcW w:w="440" w:type="pct"/>
            <w:vMerge w:val="continue"/>
            <w:vAlign w:val="center"/>
          </w:tcPr>
          <w:p w14:paraId="358AEC2C">
            <w:pPr>
              <w:topLinePunct/>
              <w:adjustRightInd w:val="0"/>
              <w:snapToGrid w:val="0"/>
              <w:jc w:val="center"/>
              <w:rPr>
                <w:rFonts w:ascii="Times New Roman" w:hAnsi="Times New Roman" w:cs="Times New Roman"/>
                <w:color w:val="auto"/>
                <w:sz w:val="21"/>
              </w:rPr>
            </w:pPr>
          </w:p>
        </w:tc>
        <w:tc>
          <w:tcPr>
            <w:tcW w:w="351" w:type="pct"/>
            <w:vMerge w:val="continue"/>
            <w:vAlign w:val="center"/>
          </w:tcPr>
          <w:p w14:paraId="2D932C2D">
            <w:pPr>
              <w:topLinePunct/>
              <w:adjustRightInd w:val="0"/>
              <w:snapToGrid w:val="0"/>
              <w:jc w:val="center"/>
              <w:rPr>
                <w:rFonts w:ascii="Times New Roman" w:hAnsi="Times New Roman" w:cs="Times New Roman"/>
                <w:color w:val="auto"/>
                <w:sz w:val="21"/>
              </w:rPr>
            </w:pPr>
          </w:p>
        </w:tc>
      </w:tr>
      <w:tr w14:paraId="112D98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5" w:type="pct"/>
            <w:vMerge w:val="continue"/>
            <w:vAlign w:val="center"/>
          </w:tcPr>
          <w:p w14:paraId="57138F47">
            <w:pPr>
              <w:topLinePunct/>
              <w:adjustRightInd w:val="0"/>
              <w:snapToGrid w:val="0"/>
              <w:jc w:val="center"/>
              <w:rPr>
                <w:rFonts w:ascii="Times New Roman" w:hAnsi="Times New Roman" w:cs="Times New Roman"/>
                <w:color w:val="auto"/>
                <w:sz w:val="21"/>
                <w:lang w:eastAsia="zh-CN"/>
              </w:rPr>
            </w:pPr>
          </w:p>
        </w:tc>
        <w:tc>
          <w:tcPr>
            <w:tcW w:w="593" w:type="pct"/>
            <w:vMerge w:val="continue"/>
            <w:vAlign w:val="center"/>
          </w:tcPr>
          <w:p w14:paraId="246C786D">
            <w:pPr>
              <w:topLinePunct/>
              <w:adjustRightInd w:val="0"/>
              <w:snapToGrid w:val="0"/>
              <w:jc w:val="center"/>
              <w:rPr>
                <w:rFonts w:ascii="Times New Roman" w:hAnsi="Times New Roman" w:cs="Times New Roman"/>
                <w:color w:val="auto"/>
                <w:sz w:val="21"/>
              </w:rPr>
            </w:pPr>
          </w:p>
        </w:tc>
        <w:tc>
          <w:tcPr>
            <w:tcW w:w="704" w:type="pct"/>
            <w:vAlign w:val="center"/>
          </w:tcPr>
          <w:p w14:paraId="7054BB12">
            <w:pPr>
              <w:topLinePunct/>
              <w:adjustRightInd w:val="0"/>
              <w:snapToGrid w:val="0"/>
              <w:jc w:val="center"/>
              <w:rPr>
                <w:rFonts w:ascii="Times New Roman" w:hAnsi="Times New Roman" w:cs="Times New Roman"/>
                <w:bCs/>
                <w:color w:val="auto"/>
                <w:sz w:val="21"/>
                <w:lang w:eastAsia="zh-CN"/>
              </w:rPr>
            </w:pPr>
            <w:r>
              <w:rPr>
                <w:rFonts w:ascii="Times New Roman" w:hAnsi="Times New Roman" w:cs="Times New Roman"/>
                <w:color w:val="auto"/>
                <w:sz w:val="21"/>
                <w:lang w:eastAsia="zh-CN"/>
              </w:rPr>
              <w:t>废活性炭</w:t>
            </w:r>
          </w:p>
        </w:tc>
        <w:tc>
          <w:tcPr>
            <w:tcW w:w="590" w:type="pct"/>
            <w:vAlign w:val="center"/>
          </w:tcPr>
          <w:p w14:paraId="7D999AB2">
            <w:pPr>
              <w:topLinePunct/>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HW</w:t>
            </w:r>
            <w:r>
              <w:rPr>
                <w:rFonts w:hint="eastAsia" w:ascii="Times New Roman" w:hAnsi="Times New Roman" w:cs="Times New Roman"/>
                <w:color w:val="auto"/>
                <w:sz w:val="21"/>
                <w:lang w:eastAsia="zh-CN"/>
              </w:rPr>
              <w:t>4</w:t>
            </w:r>
            <w:r>
              <w:rPr>
                <w:rFonts w:ascii="Times New Roman" w:hAnsi="Times New Roman" w:cs="Times New Roman"/>
                <w:color w:val="auto"/>
                <w:sz w:val="21"/>
                <w:lang w:eastAsia="zh-CN"/>
              </w:rPr>
              <w:t>9</w:t>
            </w:r>
          </w:p>
        </w:tc>
        <w:tc>
          <w:tcPr>
            <w:tcW w:w="663" w:type="pct"/>
            <w:vAlign w:val="center"/>
          </w:tcPr>
          <w:p w14:paraId="08D093EE">
            <w:pPr>
              <w:topLinePunct/>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900-039-49</w:t>
            </w:r>
          </w:p>
        </w:tc>
        <w:tc>
          <w:tcPr>
            <w:tcW w:w="440" w:type="pct"/>
            <w:vMerge w:val="continue"/>
            <w:vAlign w:val="center"/>
          </w:tcPr>
          <w:p w14:paraId="44C7CF47">
            <w:pPr>
              <w:topLinePunct/>
              <w:adjustRightInd w:val="0"/>
              <w:snapToGrid w:val="0"/>
              <w:jc w:val="center"/>
              <w:rPr>
                <w:rFonts w:ascii="Times New Roman" w:hAnsi="Times New Roman" w:cs="Times New Roman"/>
                <w:color w:val="auto"/>
                <w:sz w:val="21"/>
              </w:rPr>
            </w:pPr>
          </w:p>
        </w:tc>
        <w:tc>
          <w:tcPr>
            <w:tcW w:w="440" w:type="pct"/>
            <w:vMerge w:val="continue"/>
            <w:vAlign w:val="center"/>
          </w:tcPr>
          <w:p w14:paraId="4067AB03">
            <w:pPr>
              <w:topLinePunct/>
              <w:adjustRightInd w:val="0"/>
              <w:snapToGrid w:val="0"/>
              <w:jc w:val="center"/>
              <w:rPr>
                <w:rFonts w:ascii="Times New Roman" w:hAnsi="Times New Roman" w:cs="Times New Roman"/>
                <w:color w:val="auto"/>
                <w:sz w:val="21"/>
              </w:rPr>
            </w:pPr>
          </w:p>
        </w:tc>
        <w:tc>
          <w:tcPr>
            <w:tcW w:w="399" w:type="pct"/>
            <w:vMerge w:val="continue"/>
            <w:vAlign w:val="center"/>
          </w:tcPr>
          <w:p w14:paraId="64187239">
            <w:pPr>
              <w:adjustRightInd w:val="0"/>
              <w:snapToGrid w:val="0"/>
              <w:jc w:val="center"/>
              <w:rPr>
                <w:rFonts w:ascii="Times New Roman" w:hAnsi="Times New Roman" w:cs="Times New Roman"/>
                <w:color w:val="auto"/>
                <w:sz w:val="21"/>
              </w:rPr>
            </w:pPr>
          </w:p>
        </w:tc>
        <w:tc>
          <w:tcPr>
            <w:tcW w:w="440" w:type="pct"/>
            <w:vMerge w:val="continue"/>
            <w:vAlign w:val="center"/>
          </w:tcPr>
          <w:p w14:paraId="18E2D046">
            <w:pPr>
              <w:topLinePunct/>
              <w:adjustRightInd w:val="0"/>
              <w:snapToGrid w:val="0"/>
              <w:jc w:val="center"/>
              <w:rPr>
                <w:rFonts w:ascii="Times New Roman" w:hAnsi="Times New Roman" w:cs="Times New Roman"/>
                <w:color w:val="auto"/>
                <w:sz w:val="21"/>
              </w:rPr>
            </w:pPr>
          </w:p>
        </w:tc>
        <w:tc>
          <w:tcPr>
            <w:tcW w:w="351" w:type="pct"/>
            <w:vMerge w:val="continue"/>
            <w:vAlign w:val="center"/>
          </w:tcPr>
          <w:p w14:paraId="505CBF8E">
            <w:pPr>
              <w:topLinePunct/>
              <w:adjustRightInd w:val="0"/>
              <w:snapToGrid w:val="0"/>
              <w:jc w:val="center"/>
              <w:rPr>
                <w:rFonts w:ascii="Times New Roman" w:hAnsi="Times New Roman" w:cs="Times New Roman"/>
                <w:color w:val="auto"/>
                <w:sz w:val="21"/>
              </w:rPr>
            </w:pPr>
          </w:p>
        </w:tc>
      </w:tr>
      <w:tr w14:paraId="7A1248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5" w:type="pct"/>
            <w:vMerge w:val="continue"/>
            <w:vAlign w:val="center"/>
          </w:tcPr>
          <w:p w14:paraId="1C2C6BE0">
            <w:pPr>
              <w:topLinePunct/>
              <w:adjustRightInd w:val="0"/>
              <w:snapToGrid w:val="0"/>
              <w:jc w:val="center"/>
              <w:rPr>
                <w:rFonts w:ascii="Times New Roman" w:hAnsi="Times New Roman" w:cs="Times New Roman"/>
                <w:color w:val="auto"/>
                <w:sz w:val="21"/>
                <w:lang w:eastAsia="zh-CN"/>
              </w:rPr>
            </w:pPr>
          </w:p>
        </w:tc>
        <w:tc>
          <w:tcPr>
            <w:tcW w:w="593" w:type="pct"/>
            <w:vMerge w:val="continue"/>
            <w:vAlign w:val="center"/>
          </w:tcPr>
          <w:p w14:paraId="6F3342F2">
            <w:pPr>
              <w:topLinePunct/>
              <w:adjustRightInd w:val="0"/>
              <w:snapToGrid w:val="0"/>
              <w:jc w:val="center"/>
              <w:rPr>
                <w:rFonts w:ascii="Times New Roman" w:hAnsi="Times New Roman" w:cs="Times New Roman"/>
                <w:color w:val="auto"/>
                <w:sz w:val="21"/>
              </w:rPr>
            </w:pPr>
          </w:p>
        </w:tc>
        <w:tc>
          <w:tcPr>
            <w:tcW w:w="704" w:type="pct"/>
            <w:vAlign w:val="center"/>
          </w:tcPr>
          <w:p w14:paraId="1C9C1E33">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废机油</w:t>
            </w:r>
          </w:p>
        </w:tc>
        <w:tc>
          <w:tcPr>
            <w:tcW w:w="590" w:type="pct"/>
            <w:vAlign w:val="center"/>
          </w:tcPr>
          <w:p w14:paraId="2C3F4DBD">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rPr>
              <w:t>HW</w:t>
            </w:r>
            <w:r>
              <w:rPr>
                <w:rFonts w:hint="eastAsia" w:ascii="Times New Roman" w:hAnsi="Times New Roman" w:cs="Times New Roman"/>
                <w:color w:val="auto"/>
                <w:sz w:val="21"/>
                <w:lang w:eastAsia="zh-CN"/>
              </w:rPr>
              <w:t>08</w:t>
            </w:r>
          </w:p>
        </w:tc>
        <w:tc>
          <w:tcPr>
            <w:tcW w:w="663" w:type="pct"/>
            <w:vAlign w:val="center"/>
          </w:tcPr>
          <w:p w14:paraId="139622E1">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900-214-08</w:t>
            </w:r>
          </w:p>
        </w:tc>
        <w:tc>
          <w:tcPr>
            <w:tcW w:w="440" w:type="pct"/>
            <w:vMerge w:val="continue"/>
            <w:vAlign w:val="center"/>
          </w:tcPr>
          <w:p w14:paraId="01C4D5B4">
            <w:pPr>
              <w:topLinePunct/>
              <w:adjustRightInd w:val="0"/>
              <w:snapToGrid w:val="0"/>
              <w:jc w:val="center"/>
              <w:rPr>
                <w:rFonts w:ascii="Times New Roman" w:hAnsi="Times New Roman" w:cs="Times New Roman"/>
                <w:color w:val="auto"/>
                <w:sz w:val="21"/>
              </w:rPr>
            </w:pPr>
          </w:p>
        </w:tc>
        <w:tc>
          <w:tcPr>
            <w:tcW w:w="440" w:type="pct"/>
            <w:vMerge w:val="continue"/>
            <w:vAlign w:val="center"/>
          </w:tcPr>
          <w:p w14:paraId="77470433">
            <w:pPr>
              <w:topLinePunct/>
              <w:adjustRightInd w:val="0"/>
              <w:snapToGrid w:val="0"/>
              <w:jc w:val="center"/>
              <w:rPr>
                <w:rFonts w:ascii="Times New Roman" w:hAnsi="Times New Roman" w:cs="Times New Roman"/>
                <w:color w:val="auto"/>
                <w:sz w:val="21"/>
              </w:rPr>
            </w:pPr>
          </w:p>
        </w:tc>
        <w:tc>
          <w:tcPr>
            <w:tcW w:w="399" w:type="pct"/>
            <w:vMerge w:val="continue"/>
            <w:vAlign w:val="center"/>
          </w:tcPr>
          <w:p w14:paraId="7A790001">
            <w:pPr>
              <w:adjustRightInd w:val="0"/>
              <w:snapToGrid w:val="0"/>
              <w:jc w:val="center"/>
              <w:rPr>
                <w:rFonts w:ascii="Times New Roman" w:hAnsi="Times New Roman" w:cs="Times New Roman"/>
                <w:color w:val="auto"/>
                <w:sz w:val="21"/>
              </w:rPr>
            </w:pPr>
          </w:p>
        </w:tc>
        <w:tc>
          <w:tcPr>
            <w:tcW w:w="440" w:type="pct"/>
            <w:vMerge w:val="continue"/>
            <w:vAlign w:val="center"/>
          </w:tcPr>
          <w:p w14:paraId="0F02114A">
            <w:pPr>
              <w:topLinePunct/>
              <w:adjustRightInd w:val="0"/>
              <w:snapToGrid w:val="0"/>
              <w:jc w:val="center"/>
              <w:rPr>
                <w:rFonts w:ascii="Times New Roman" w:hAnsi="Times New Roman" w:cs="Times New Roman"/>
                <w:color w:val="auto"/>
                <w:sz w:val="21"/>
              </w:rPr>
            </w:pPr>
          </w:p>
        </w:tc>
        <w:tc>
          <w:tcPr>
            <w:tcW w:w="351" w:type="pct"/>
            <w:vMerge w:val="continue"/>
            <w:vAlign w:val="center"/>
          </w:tcPr>
          <w:p w14:paraId="5D5DFF26">
            <w:pPr>
              <w:topLinePunct/>
              <w:adjustRightInd w:val="0"/>
              <w:snapToGrid w:val="0"/>
              <w:jc w:val="center"/>
              <w:rPr>
                <w:rFonts w:ascii="Times New Roman" w:hAnsi="Times New Roman" w:cs="Times New Roman"/>
                <w:color w:val="auto"/>
                <w:sz w:val="21"/>
              </w:rPr>
            </w:pPr>
          </w:p>
        </w:tc>
      </w:tr>
      <w:tr w14:paraId="5E4F87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5" w:type="pct"/>
            <w:vMerge w:val="continue"/>
            <w:vAlign w:val="center"/>
          </w:tcPr>
          <w:p w14:paraId="325D1C89">
            <w:pPr>
              <w:topLinePunct/>
              <w:adjustRightInd w:val="0"/>
              <w:snapToGrid w:val="0"/>
              <w:jc w:val="center"/>
              <w:rPr>
                <w:rFonts w:ascii="Times New Roman" w:hAnsi="Times New Roman" w:cs="Times New Roman"/>
                <w:color w:val="auto"/>
                <w:sz w:val="21"/>
                <w:lang w:eastAsia="zh-CN"/>
              </w:rPr>
            </w:pPr>
          </w:p>
        </w:tc>
        <w:tc>
          <w:tcPr>
            <w:tcW w:w="593" w:type="pct"/>
            <w:vMerge w:val="continue"/>
            <w:vAlign w:val="center"/>
          </w:tcPr>
          <w:p w14:paraId="391C73C3">
            <w:pPr>
              <w:topLinePunct/>
              <w:adjustRightInd w:val="0"/>
              <w:snapToGrid w:val="0"/>
              <w:jc w:val="center"/>
              <w:rPr>
                <w:rFonts w:ascii="Times New Roman" w:hAnsi="Times New Roman" w:cs="Times New Roman"/>
                <w:color w:val="auto"/>
                <w:sz w:val="21"/>
              </w:rPr>
            </w:pPr>
          </w:p>
        </w:tc>
        <w:tc>
          <w:tcPr>
            <w:tcW w:w="704" w:type="pct"/>
            <w:vAlign w:val="center"/>
          </w:tcPr>
          <w:p w14:paraId="1391CEF8">
            <w:pPr>
              <w:topLinePunct/>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废油桶</w:t>
            </w:r>
          </w:p>
        </w:tc>
        <w:tc>
          <w:tcPr>
            <w:tcW w:w="590" w:type="pct"/>
            <w:vAlign w:val="center"/>
          </w:tcPr>
          <w:p w14:paraId="5BBDAC60">
            <w:pPr>
              <w:topLinePunct/>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HW</w:t>
            </w:r>
            <w:r>
              <w:rPr>
                <w:rFonts w:hint="eastAsia" w:ascii="Times New Roman" w:hAnsi="Times New Roman" w:cs="Times New Roman"/>
                <w:color w:val="auto"/>
                <w:sz w:val="21"/>
                <w:lang w:eastAsia="zh-CN"/>
              </w:rPr>
              <w:t>49</w:t>
            </w:r>
          </w:p>
        </w:tc>
        <w:tc>
          <w:tcPr>
            <w:tcW w:w="663" w:type="pct"/>
            <w:vAlign w:val="center"/>
          </w:tcPr>
          <w:p w14:paraId="168AC621">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900-</w:t>
            </w:r>
            <w:r>
              <w:rPr>
                <w:rFonts w:hint="eastAsia" w:ascii="Times New Roman" w:hAnsi="Times New Roman" w:cs="Times New Roman"/>
                <w:color w:val="auto"/>
                <w:sz w:val="21"/>
                <w:lang w:eastAsia="zh-CN"/>
              </w:rPr>
              <w:t>041</w:t>
            </w:r>
            <w:r>
              <w:rPr>
                <w:rFonts w:ascii="Times New Roman" w:hAnsi="Times New Roman" w:cs="Times New Roman"/>
                <w:color w:val="auto"/>
                <w:sz w:val="21"/>
                <w:lang w:eastAsia="zh-CN"/>
              </w:rPr>
              <w:t>-</w:t>
            </w:r>
            <w:r>
              <w:rPr>
                <w:rFonts w:hint="eastAsia" w:ascii="Times New Roman" w:hAnsi="Times New Roman" w:cs="Times New Roman"/>
                <w:color w:val="auto"/>
                <w:sz w:val="21"/>
                <w:lang w:eastAsia="zh-CN"/>
              </w:rPr>
              <w:t>49</w:t>
            </w:r>
          </w:p>
        </w:tc>
        <w:tc>
          <w:tcPr>
            <w:tcW w:w="440" w:type="pct"/>
            <w:vMerge w:val="continue"/>
            <w:vAlign w:val="center"/>
          </w:tcPr>
          <w:p w14:paraId="64DF9F00">
            <w:pPr>
              <w:topLinePunct/>
              <w:adjustRightInd w:val="0"/>
              <w:snapToGrid w:val="0"/>
              <w:jc w:val="center"/>
              <w:rPr>
                <w:rFonts w:ascii="Times New Roman" w:hAnsi="Times New Roman" w:cs="Times New Roman"/>
                <w:color w:val="auto"/>
                <w:sz w:val="21"/>
              </w:rPr>
            </w:pPr>
          </w:p>
        </w:tc>
        <w:tc>
          <w:tcPr>
            <w:tcW w:w="440" w:type="pct"/>
            <w:vMerge w:val="continue"/>
            <w:vAlign w:val="center"/>
          </w:tcPr>
          <w:p w14:paraId="71E3B9FC">
            <w:pPr>
              <w:topLinePunct/>
              <w:adjustRightInd w:val="0"/>
              <w:snapToGrid w:val="0"/>
              <w:jc w:val="center"/>
              <w:rPr>
                <w:rFonts w:ascii="Times New Roman" w:hAnsi="Times New Roman" w:cs="Times New Roman"/>
                <w:color w:val="auto"/>
                <w:sz w:val="21"/>
              </w:rPr>
            </w:pPr>
          </w:p>
        </w:tc>
        <w:tc>
          <w:tcPr>
            <w:tcW w:w="399" w:type="pct"/>
            <w:vMerge w:val="continue"/>
            <w:vAlign w:val="center"/>
          </w:tcPr>
          <w:p w14:paraId="4862E378">
            <w:pPr>
              <w:adjustRightInd w:val="0"/>
              <w:snapToGrid w:val="0"/>
              <w:jc w:val="center"/>
              <w:rPr>
                <w:rFonts w:ascii="Times New Roman" w:hAnsi="Times New Roman" w:cs="Times New Roman"/>
                <w:color w:val="auto"/>
                <w:sz w:val="21"/>
              </w:rPr>
            </w:pPr>
          </w:p>
        </w:tc>
        <w:tc>
          <w:tcPr>
            <w:tcW w:w="440" w:type="pct"/>
            <w:vMerge w:val="continue"/>
            <w:vAlign w:val="center"/>
          </w:tcPr>
          <w:p w14:paraId="14BD543A">
            <w:pPr>
              <w:topLinePunct/>
              <w:adjustRightInd w:val="0"/>
              <w:snapToGrid w:val="0"/>
              <w:jc w:val="center"/>
              <w:rPr>
                <w:rFonts w:ascii="Times New Roman" w:hAnsi="Times New Roman" w:cs="Times New Roman"/>
                <w:color w:val="auto"/>
                <w:sz w:val="21"/>
              </w:rPr>
            </w:pPr>
          </w:p>
        </w:tc>
        <w:tc>
          <w:tcPr>
            <w:tcW w:w="351" w:type="pct"/>
            <w:vMerge w:val="continue"/>
            <w:vAlign w:val="center"/>
          </w:tcPr>
          <w:p w14:paraId="3E55028C">
            <w:pPr>
              <w:topLinePunct/>
              <w:adjustRightInd w:val="0"/>
              <w:snapToGrid w:val="0"/>
              <w:jc w:val="center"/>
              <w:rPr>
                <w:rFonts w:ascii="Times New Roman" w:hAnsi="Times New Roman" w:cs="Times New Roman"/>
                <w:color w:val="auto"/>
                <w:sz w:val="21"/>
              </w:rPr>
            </w:pPr>
          </w:p>
        </w:tc>
      </w:tr>
      <w:tr w14:paraId="5BFC58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5" w:type="pct"/>
            <w:vMerge w:val="continue"/>
            <w:vAlign w:val="center"/>
          </w:tcPr>
          <w:p w14:paraId="13E64303">
            <w:pPr>
              <w:topLinePunct/>
              <w:adjustRightInd w:val="0"/>
              <w:snapToGrid w:val="0"/>
              <w:jc w:val="center"/>
              <w:rPr>
                <w:rFonts w:ascii="Times New Roman" w:hAnsi="Times New Roman" w:cs="Times New Roman"/>
                <w:color w:val="auto"/>
                <w:sz w:val="21"/>
                <w:lang w:eastAsia="zh-CN"/>
              </w:rPr>
            </w:pPr>
          </w:p>
        </w:tc>
        <w:tc>
          <w:tcPr>
            <w:tcW w:w="593" w:type="pct"/>
            <w:vMerge w:val="continue"/>
            <w:vAlign w:val="center"/>
          </w:tcPr>
          <w:p w14:paraId="03A58669">
            <w:pPr>
              <w:topLinePunct/>
              <w:adjustRightInd w:val="0"/>
              <w:snapToGrid w:val="0"/>
              <w:jc w:val="center"/>
              <w:rPr>
                <w:rFonts w:ascii="Times New Roman" w:hAnsi="Times New Roman" w:cs="Times New Roman"/>
                <w:color w:val="auto"/>
                <w:sz w:val="21"/>
              </w:rPr>
            </w:pPr>
          </w:p>
        </w:tc>
        <w:tc>
          <w:tcPr>
            <w:tcW w:w="704" w:type="pct"/>
            <w:vAlign w:val="center"/>
          </w:tcPr>
          <w:p w14:paraId="00222617">
            <w:pPr>
              <w:topLinePunct/>
              <w:adjustRightInd w:val="0"/>
              <w:snapToGrid w:val="0"/>
              <w:jc w:val="center"/>
              <w:rPr>
                <w:rFonts w:ascii="Times New Roman" w:hAnsi="Times New Roman" w:cs="Times New Roman"/>
                <w:bCs/>
                <w:color w:val="auto"/>
                <w:sz w:val="21"/>
                <w:lang w:eastAsia="zh-CN"/>
              </w:rPr>
            </w:pPr>
            <w:r>
              <w:rPr>
                <w:rFonts w:ascii="Times New Roman" w:hAnsi="Times New Roman" w:cs="Times New Roman"/>
                <w:color w:val="auto"/>
                <w:sz w:val="21"/>
                <w:lang w:eastAsia="zh-CN"/>
              </w:rPr>
              <w:t>实验室废液</w:t>
            </w:r>
          </w:p>
        </w:tc>
        <w:tc>
          <w:tcPr>
            <w:tcW w:w="590" w:type="pct"/>
            <w:vAlign w:val="center"/>
          </w:tcPr>
          <w:p w14:paraId="391BFFD2">
            <w:pPr>
              <w:topLinePunct/>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HW</w:t>
            </w:r>
            <w:r>
              <w:rPr>
                <w:rFonts w:ascii="Times New Roman" w:hAnsi="Times New Roman" w:cs="Times New Roman"/>
                <w:color w:val="auto"/>
                <w:sz w:val="21"/>
                <w:lang w:eastAsia="zh-CN"/>
              </w:rPr>
              <w:t>49</w:t>
            </w:r>
          </w:p>
        </w:tc>
        <w:tc>
          <w:tcPr>
            <w:tcW w:w="663" w:type="pct"/>
            <w:vAlign w:val="center"/>
          </w:tcPr>
          <w:p w14:paraId="0231EF5D">
            <w:pPr>
              <w:topLinePunct/>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900-047-49</w:t>
            </w:r>
          </w:p>
        </w:tc>
        <w:tc>
          <w:tcPr>
            <w:tcW w:w="440" w:type="pct"/>
            <w:vMerge w:val="continue"/>
            <w:vAlign w:val="center"/>
          </w:tcPr>
          <w:p w14:paraId="50B87D01">
            <w:pPr>
              <w:topLinePunct/>
              <w:adjustRightInd w:val="0"/>
              <w:snapToGrid w:val="0"/>
              <w:jc w:val="center"/>
              <w:rPr>
                <w:rFonts w:ascii="Times New Roman" w:hAnsi="Times New Roman" w:cs="Times New Roman"/>
                <w:color w:val="auto"/>
                <w:sz w:val="21"/>
              </w:rPr>
            </w:pPr>
          </w:p>
        </w:tc>
        <w:tc>
          <w:tcPr>
            <w:tcW w:w="440" w:type="pct"/>
            <w:vMerge w:val="continue"/>
            <w:vAlign w:val="center"/>
          </w:tcPr>
          <w:p w14:paraId="50A06E60">
            <w:pPr>
              <w:topLinePunct/>
              <w:adjustRightInd w:val="0"/>
              <w:snapToGrid w:val="0"/>
              <w:jc w:val="center"/>
              <w:rPr>
                <w:rFonts w:ascii="Times New Roman" w:hAnsi="Times New Roman" w:cs="Times New Roman"/>
                <w:color w:val="auto"/>
                <w:sz w:val="21"/>
              </w:rPr>
            </w:pPr>
          </w:p>
        </w:tc>
        <w:tc>
          <w:tcPr>
            <w:tcW w:w="399" w:type="pct"/>
            <w:vMerge w:val="continue"/>
            <w:vAlign w:val="center"/>
          </w:tcPr>
          <w:p w14:paraId="35B72FA5">
            <w:pPr>
              <w:adjustRightInd w:val="0"/>
              <w:snapToGrid w:val="0"/>
              <w:jc w:val="center"/>
              <w:rPr>
                <w:rFonts w:ascii="Times New Roman" w:hAnsi="Times New Roman" w:cs="Times New Roman"/>
                <w:color w:val="auto"/>
                <w:sz w:val="21"/>
              </w:rPr>
            </w:pPr>
          </w:p>
        </w:tc>
        <w:tc>
          <w:tcPr>
            <w:tcW w:w="440" w:type="pct"/>
            <w:vMerge w:val="continue"/>
            <w:vAlign w:val="center"/>
          </w:tcPr>
          <w:p w14:paraId="4FAB8D74">
            <w:pPr>
              <w:topLinePunct/>
              <w:adjustRightInd w:val="0"/>
              <w:snapToGrid w:val="0"/>
              <w:jc w:val="center"/>
              <w:rPr>
                <w:rFonts w:ascii="Times New Roman" w:hAnsi="Times New Roman" w:cs="Times New Roman"/>
                <w:color w:val="auto"/>
                <w:sz w:val="21"/>
              </w:rPr>
            </w:pPr>
          </w:p>
        </w:tc>
        <w:tc>
          <w:tcPr>
            <w:tcW w:w="351" w:type="pct"/>
            <w:vMerge w:val="continue"/>
            <w:vAlign w:val="center"/>
          </w:tcPr>
          <w:p w14:paraId="035E840B">
            <w:pPr>
              <w:topLinePunct/>
              <w:adjustRightInd w:val="0"/>
              <w:snapToGrid w:val="0"/>
              <w:jc w:val="center"/>
              <w:rPr>
                <w:rFonts w:ascii="Times New Roman" w:hAnsi="Times New Roman" w:cs="Times New Roman"/>
                <w:color w:val="auto"/>
                <w:sz w:val="21"/>
              </w:rPr>
            </w:pPr>
          </w:p>
        </w:tc>
      </w:tr>
      <w:tr w14:paraId="071AE5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5" w:type="pct"/>
            <w:vMerge w:val="continue"/>
            <w:vAlign w:val="center"/>
          </w:tcPr>
          <w:p w14:paraId="271FADD5">
            <w:pPr>
              <w:topLinePunct/>
              <w:adjustRightInd w:val="0"/>
              <w:snapToGrid w:val="0"/>
              <w:jc w:val="center"/>
              <w:rPr>
                <w:rFonts w:ascii="Times New Roman" w:hAnsi="Times New Roman" w:cs="Times New Roman"/>
                <w:color w:val="auto"/>
                <w:sz w:val="21"/>
                <w:lang w:eastAsia="zh-CN"/>
              </w:rPr>
            </w:pPr>
          </w:p>
        </w:tc>
        <w:tc>
          <w:tcPr>
            <w:tcW w:w="593" w:type="pct"/>
            <w:vMerge w:val="continue"/>
            <w:vAlign w:val="center"/>
          </w:tcPr>
          <w:p w14:paraId="055C8A4A">
            <w:pPr>
              <w:topLinePunct/>
              <w:adjustRightInd w:val="0"/>
              <w:snapToGrid w:val="0"/>
              <w:jc w:val="center"/>
              <w:rPr>
                <w:rFonts w:ascii="Times New Roman" w:hAnsi="Times New Roman" w:cs="Times New Roman"/>
                <w:color w:val="auto"/>
                <w:sz w:val="21"/>
              </w:rPr>
            </w:pPr>
          </w:p>
        </w:tc>
        <w:tc>
          <w:tcPr>
            <w:tcW w:w="704" w:type="pct"/>
            <w:vAlign w:val="center"/>
          </w:tcPr>
          <w:p w14:paraId="4A31FE6A">
            <w:pPr>
              <w:topLinePunct/>
              <w:adjustRightInd w:val="0"/>
              <w:snapToGrid w:val="0"/>
              <w:jc w:val="center"/>
              <w:rPr>
                <w:rFonts w:ascii="Times New Roman" w:hAnsi="Times New Roman" w:cs="Times New Roman"/>
                <w:bCs/>
                <w:color w:val="auto"/>
                <w:sz w:val="21"/>
                <w:lang w:eastAsia="zh-CN"/>
              </w:rPr>
            </w:pPr>
            <w:r>
              <w:rPr>
                <w:rFonts w:ascii="Times New Roman" w:hAnsi="Times New Roman" w:cs="Times New Roman"/>
                <w:color w:val="auto"/>
                <w:sz w:val="21"/>
                <w:lang w:eastAsia="zh-CN"/>
              </w:rPr>
              <w:t>在线检测废液</w:t>
            </w:r>
          </w:p>
        </w:tc>
        <w:tc>
          <w:tcPr>
            <w:tcW w:w="590" w:type="pct"/>
            <w:vAlign w:val="center"/>
          </w:tcPr>
          <w:p w14:paraId="7AFA17EC">
            <w:pPr>
              <w:topLinePunct/>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rPr>
              <w:t>HW</w:t>
            </w:r>
            <w:r>
              <w:rPr>
                <w:rFonts w:hint="eastAsia" w:ascii="Times New Roman" w:hAnsi="Times New Roman" w:cs="Times New Roman"/>
                <w:color w:val="auto"/>
                <w:sz w:val="21"/>
                <w:lang w:eastAsia="zh-CN"/>
              </w:rPr>
              <w:t>49</w:t>
            </w:r>
          </w:p>
        </w:tc>
        <w:tc>
          <w:tcPr>
            <w:tcW w:w="663" w:type="pct"/>
            <w:vAlign w:val="center"/>
          </w:tcPr>
          <w:p w14:paraId="6774BCC2">
            <w:pPr>
              <w:topLinePunct/>
              <w:adjustRightInd w:val="0"/>
              <w:snapToGrid w:val="0"/>
              <w:jc w:val="center"/>
              <w:rPr>
                <w:rFonts w:ascii="Times New Roman" w:hAnsi="Times New Roman" w:cs="Times New Roman"/>
                <w:color w:val="auto"/>
                <w:sz w:val="21"/>
              </w:rPr>
            </w:pPr>
            <w:r>
              <w:rPr>
                <w:rFonts w:hint="eastAsia" w:ascii="Times New Roman" w:hAnsi="Times New Roman" w:cs="Times New Roman"/>
                <w:color w:val="auto"/>
                <w:sz w:val="21"/>
                <w:lang w:eastAsia="zh-CN"/>
              </w:rPr>
              <w:t>900-047-49</w:t>
            </w:r>
          </w:p>
        </w:tc>
        <w:tc>
          <w:tcPr>
            <w:tcW w:w="440" w:type="pct"/>
            <w:vMerge w:val="continue"/>
            <w:vAlign w:val="center"/>
          </w:tcPr>
          <w:p w14:paraId="047A3A6B">
            <w:pPr>
              <w:topLinePunct/>
              <w:adjustRightInd w:val="0"/>
              <w:snapToGrid w:val="0"/>
              <w:jc w:val="center"/>
              <w:rPr>
                <w:rFonts w:ascii="Times New Roman" w:hAnsi="Times New Roman" w:cs="Times New Roman"/>
                <w:color w:val="auto"/>
                <w:sz w:val="21"/>
              </w:rPr>
            </w:pPr>
          </w:p>
        </w:tc>
        <w:tc>
          <w:tcPr>
            <w:tcW w:w="440" w:type="pct"/>
            <w:vMerge w:val="continue"/>
            <w:vAlign w:val="center"/>
          </w:tcPr>
          <w:p w14:paraId="601FC97A">
            <w:pPr>
              <w:topLinePunct/>
              <w:adjustRightInd w:val="0"/>
              <w:snapToGrid w:val="0"/>
              <w:jc w:val="center"/>
              <w:rPr>
                <w:rFonts w:ascii="Times New Roman" w:hAnsi="Times New Roman" w:cs="Times New Roman"/>
                <w:color w:val="auto"/>
                <w:sz w:val="21"/>
              </w:rPr>
            </w:pPr>
          </w:p>
        </w:tc>
        <w:tc>
          <w:tcPr>
            <w:tcW w:w="399" w:type="pct"/>
            <w:vMerge w:val="continue"/>
            <w:vAlign w:val="center"/>
          </w:tcPr>
          <w:p w14:paraId="3E812669">
            <w:pPr>
              <w:adjustRightInd w:val="0"/>
              <w:snapToGrid w:val="0"/>
              <w:jc w:val="center"/>
              <w:rPr>
                <w:rFonts w:ascii="Times New Roman" w:hAnsi="Times New Roman" w:cs="Times New Roman"/>
                <w:color w:val="auto"/>
                <w:sz w:val="21"/>
              </w:rPr>
            </w:pPr>
          </w:p>
        </w:tc>
        <w:tc>
          <w:tcPr>
            <w:tcW w:w="440" w:type="pct"/>
            <w:vMerge w:val="continue"/>
            <w:vAlign w:val="center"/>
          </w:tcPr>
          <w:p w14:paraId="7BAB62DB">
            <w:pPr>
              <w:topLinePunct/>
              <w:adjustRightInd w:val="0"/>
              <w:snapToGrid w:val="0"/>
              <w:jc w:val="center"/>
              <w:rPr>
                <w:rFonts w:ascii="Times New Roman" w:hAnsi="Times New Roman" w:cs="Times New Roman"/>
                <w:color w:val="auto"/>
                <w:sz w:val="21"/>
              </w:rPr>
            </w:pPr>
          </w:p>
        </w:tc>
        <w:tc>
          <w:tcPr>
            <w:tcW w:w="351" w:type="pct"/>
            <w:vMerge w:val="continue"/>
            <w:vAlign w:val="center"/>
          </w:tcPr>
          <w:p w14:paraId="78FC6E28">
            <w:pPr>
              <w:topLinePunct/>
              <w:adjustRightInd w:val="0"/>
              <w:snapToGrid w:val="0"/>
              <w:jc w:val="center"/>
              <w:rPr>
                <w:rFonts w:ascii="Times New Roman" w:hAnsi="Times New Roman" w:cs="Times New Roman"/>
                <w:color w:val="auto"/>
                <w:sz w:val="21"/>
              </w:rPr>
            </w:pPr>
          </w:p>
        </w:tc>
      </w:tr>
    </w:tbl>
    <w:p w14:paraId="3B0E62E4">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厂区危险废物贮存周期为</w:t>
      </w:r>
      <w:r>
        <w:rPr>
          <w:rFonts w:hint="eastAsia" w:ascii="Times New Roman" w:hAnsi="Times New Roman" w:cs="Times New Roman"/>
          <w:color w:val="auto"/>
          <w:lang w:eastAsia="zh-CN"/>
        </w:rPr>
        <w:t>3</w:t>
      </w:r>
      <w:r>
        <w:rPr>
          <w:rFonts w:ascii="Times New Roman" w:hAnsi="Times New Roman" w:cs="Times New Roman"/>
          <w:color w:val="auto"/>
          <w:lang w:eastAsia="zh-CN"/>
        </w:rPr>
        <w:t>个月，</w:t>
      </w:r>
      <w:r>
        <w:rPr>
          <w:rFonts w:hint="eastAsia" w:ascii="Times New Roman" w:hAnsi="Times New Roman" w:cs="Times New Roman"/>
          <w:color w:val="auto"/>
          <w:lang w:eastAsia="zh-CN"/>
        </w:rPr>
        <w:t>现有</w:t>
      </w:r>
      <w:r>
        <w:rPr>
          <w:rFonts w:ascii="Times New Roman" w:hAnsi="Times New Roman" w:cs="Times New Roman"/>
          <w:color w:val="auto"/>
          <w:lang w:eastAsia="zh-CN"/>
        </w:rPr>
        <w:t>危废暂存库暂存能力能够满足要求。</w:t>
      </w:r>
    </w:p>
    <w:p w14:paraId="31F49946">
      <w:pPr>
        <w:widowControl w:val="0"/>
        <w:tabs>
          <w:tab w:val="center" w:pos="4393"/>
          <w:tab w:val="left" w:pos="7215"/>
        </w:tabs>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根据要求，项目危废暂存库建设应满足下列要求：</w:t>
      </w:r>
    </w:p>
    <w:p w14:paraId="0FA8E11C">
      <w:pPr>
        <w:widowControl w:val="0"/>
        <w:tabs>
          <w:tab w:val="center" w:pos="4393"/>
          <w:tab w:val="left" w:pos="7215"/>
        </w:tabs>
        <w:spacing w:line="360" w:lineRule="auto"/>
        <w:ind w:firstLine="480" w:firstLineChars="200"/>
        <w:jc w:val="both"/>
        <w:rPr>
          <w:rFonts w:ascii="Times New Roman" w:hAnsi="Times New Roman" w:cs="Times New Roman"/>
          <w:color w:val="auto"/>
          <w:lang w:eastAsia="zh-CN"/>
        </w:rPr>
      </w:pPr>
      <w:r>
        <w:rPr>
          <w:rFonts w:ascii="宋体" w:hAnsi="宋体" w:cs="Cambria Math"/>
          <w:color w:val="auto"/>
          <w:lang w:eastAsia="zh-CN"/>
        </w:rPr>
        <w:t>①</w:t>
      </w:r>
      <w:r>
        <w:rPr>
          <w:rFonts w:ascii="Times New Roman" w:hAnsi="Times New Roman" w:cs="Times New Roman"/>
          <w:color w:val="auto"/>
          <w:lang w:eastAsia="zh-CN"/>
        </w:rPr>
        <w:t>危废暂存场设计要求</w:t>
      </w:r>
    </w:p>
    <w:p w14:paraId="5CD09802">
      <w:pPr>
        <w:widowControl w:val="0"/>
        <w:tabs>
          <w:tab w:val="center" w:pos="4393"/>
          <w:tab w:val="left" w:pos="7215"/>
        </w:tabs>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a.贮存设施应根据危险废物的形态、物理化学性质、包装形式和污染物迁移途径，采取必要的防风、防晒、防雨、防漏、防渗、防腐以及其他环境污染防治措施，不应露天堆放危险废物；</w:t>
      </w:r>
    </w:p>
    <w:p w14:paraId="49645E57">
      <w:pPr>
        <w:widowControl w:val="0"/>
        <w:tabs>
          <w:tab w:val="center" w:pos="4393"/>
          <w:tab w:val="left" w:pos="7215"/>
        </w:tabs>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b.贮存设施应根据危险废物的类别、数量、形态、物理化学性质和污染防治等要求设置必要的贮存分区，避免不相容的危险废物接触、混合；不同贮存分区之间应采取隔离措施。隔离措施可根据危险废物特性采用过道、隔板或隔墙等方式；</w:t>
      </w:r>
    </w:p>
    <w:p w14:paraId="2A8412BD">
      <w:pPr>
        <w:widowControl w:val="0"/>
        <w:tabs>
          <w:tab w:val="center" w:pos="4393"/>
          <w:tab w:val="left" w:pos="7215"/>
        </w:tabs>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c.贮存设施或贮存分区内地面、墙面裙脚、堵截泄漏的围堰、接触危险废物的隔板和墙体等应采用坚固的材料建造，表面无裂缝；</w:t>
      </w:r>
    </w:p>
    <w:p w14:paraId="27CF9C0D">
      <w:pPr>
        <w:widowControl w:val="0"/>
        <w:tabs>
          <w:tab w:val="center" w:pos="4393"/>
          <w:tab w:val="left" w:pos="7215"/>
        </w:tabs>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d.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m厚黏土层（渗透系数不大于10</w:t>
      </w:r>
      <w:r>
        <w:rPr>
          <w:rFonts w:ascii="Times New Roman" w:hAnsi="Times New Roman" w:cs="Times New Roman"/>
          <w:color w:val="auto"/>
          <w:vertAlign w:val="superscript"/>
          <w:lang w:eastAsia="zh-CN"/>
        </w:rPr>
        <w:t>-7</w:t>
      </w:r>
      <w:r>
        <w:rPr>
          <w:rFonts w:ascii="Times New Roman" w:hAnsi="Times New Roman" w:cs="Times New Roman"/>
          <w:color w:val="auto"/>
          <w:lang w:eastAsia="zh-CN"/>
        </w:rPr>
        <w:t>cm/s），或至少2mm厚高密度聚乙烯膜等人工防渗材料（渗透系数不大于10-</w:t>
      </w:r>
      <w:r>
        <w:rPr>
          <w:rFonts w:ascii="Times New Roman" w:hAnsi="Times New Roman" w:cs="Times New Roman"/>
          <w:color w:val="auto"/>
          <w:vertAlign w:val="superscript"/>
          <w:lang w:eastAsia="zh-CN"/>
        </w:rPr>
        <w:t>10</w:t>
      </w:r>
      <w:r>
        <w:rPr>
          <w:rFonts w:ascii="Times New Roman" w:hAnsi="Times New Roman" w:cs="Times New Roman"/>
          <w:color w:val="auto"/>
          <w:lang w:eastAsia="zh-CN"/>
        </w:rPr>
        <w:t>cm/s），或其他防渗性能等效的材料；</w:t>
      </w:r>
    </w:p>
    <w:p w14:paraId="62A26BD2">
      <w:pPr>
        <w:widowControl w:val="0"/>
        <w:tabs>
          <w:tab w:val="center" w:pos="4393"/>
          <w:tab w:val="left" w:pos="7215"/>
        </w:tabs>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e.同一贮存设施宜采用相同的防渗、防腐工艺（包括防渗、防腐结构或材料），防渗、防腐材料应覆盖所有可能与废物及其渗滤液、渗漏液等接触的构筑物表面；采用不同防渗、防腐工艺应分别建设贮存分区；</w:t>
      </w:r>
    </w:p>
    <w:p w14:paraId="0C0F53F9">
      <w:pPr>
        <w:widowControl w:val="0"/>
        <w:tabs>
          <w:tab w:val="center" w:pos="4393"/>
          <w:tab w:val="left" w:pos="7215"/>
        </w:tabs>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f.贮存设施应采取技术和管理措施防止无关人员进入；</w:t>
      </w:r>
    </w:p>
    <w:p w14:paraId="43153486">
      <w:pPr>
        <w:widowControl w:val="0"/>
        <w:tabs>
          <w:tab w:val="center" w:pos="4393"/>
          <w:tab w:val="left" w:pos="7215"/>
        </w:tabs>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g.在贮存库内或通过贮存分区方式贮存液态危险废物的，应具有液体泄漏堵截设施，堵截设施最小容积不应低于对应贮存区域最大液态废物容器容积或液态废物总储量1/10（二者取较大者）；用于贮存可能产生渗滤液的危险废物的贮存库或贮存分区应设计渗滤液收集设施，收集设施容积应满足渗滤液的收集要求；</w:t>
      </w:r>
    </w:p>
    <w:p w14:paraId="1F8CD3F2">
      <w:pPr>
        <w:widowControl w:val="0"/>
        <w:spacing w:line="360" w:lineRule="auto"/>
        <w:ind w:firstLine="480" w:firstLineChars="200"/>
        <w:jc w:val="both"/>
        <w:rPr>
          <w:rFonts w:ascii="Times New Roman" w:hAnsi="Times New Roman" w:cs="Times New Roman"/>
          <w:color w:val="auto"/>
          <w:lang w:eastAsia="zh-CN"/>
        </w:rPr>
      </w:pPr>
      <w:r>
        <w:rPr>
          <w:rFonts w:ascii="宋体" w:hAnsi="宋体" w:cs="Cambria Math"/>
          <w:color w:val="auto"/>
          <w:lang w:eastAsia="zh-CN"/>
        </w:rPr>
        <w:t>②</w:t>
      </w:r>
      <w:r>
        <w:rPr>
          <w:rFonts w:ascii="Times New Roman" w:hAnsi="Times New Roman" w:cs="Times New Roman"/>
          <w:color w:val="auto"/>
          <w:lang w:eastAsia="zh-CN"/>
        </w:rPr>
        <w:t>危废堆存控制要求</w:t>
      </w:r>
    </w:p>
    <w:p w14:paraId="78ABA787">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a.按《建设项目危险废物环境影评价技术指南》要求，切实落实危废暂存场所的四防（防风、防雨、防晒、防渗漏）措施，并按重点防渗的要求进行了防渗防腐，并建有导流沟及渗滤液收集池，配套危险废物堆放方式、警示标识、废气收集处理等方面内容。周围应设置围墙或其它防护栅栏。</w:t>
      </w:r>
    </w:p>
    <w:p w14:paraId="6C46E438">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危废暂存场所地面基础必须防渗，若采用天然材料防渗结构，其防渗层饱和渗透系数不应大于1.0</w:t>
      </w:r>
      <w:r>
        <w:rPr>
          <w:rFonts w:hint="eastAsia" w:ascii="Times New Roman" w:hAnsi="Times New Roman" w:cs="Times New Roman"/>
          <w:color w:val="auto"/>
          <w:lang w:eastAsia="zh-CN"/>
        </w:rPr>
        <w:t>×</w:t>
      </w:r>
      <w:r>
        <w:rPr>
          <w:rFonts w:ascii="Times New Roman" w:hAnsi="Times New Roman" w:cs="Times New Roman"/>
          <w:color w:val="auto"/>
          <w:lang w:eastAsia="zh-CN"/>
        </w:rPr>
        <w:t>10</w:t>
      </w:r>
      <w:r>
        <w:rPr>
          <w:rFonts w:ascii="Times New Roman" w:hAnsi="Times New Roman" w:cs="Times New Roman"/>
          <w:color w:val="auto"/>
          <w:vertAlign w:val="superscript"/>
          <w:lang w:eastAsia="zh-CN"/>
        </w:rPr>
        <w:t>-7</w:t>
      </w:r>
      <w:r>
        <w:rPr>
          <w:rFonts w:ascii="Times New Roman" w:hAnsi="Times New Roman" w:cs="Times New Roman"/>
          <w:color w:val="auto"/>
          <w:lang w:eastAsia="zh-CN"/>
        </w:rPr>
        <w:t>cm/s，厚度不应小于2m；若采用刚性防渗结构，水泥基渗透结晶型抗渗混凝土（厚度不宜小于150mm）+水泥基渗透结晶型防渗图层（厚度不小于0.8mm）结构形式，防渗结构层渗透系数不应大于1.0</w:t>
      </w:r>
      <w:r>
        <w:rPr>
          <w:rFonts w:hint="eastAsia" w:ascii="Times New Roman" w:hAnsi="Times New Roman" w:cs="Times New Roman"/>
          <w:color w:val="auto"/>
          <w:lang w:eastAsia="zh-CN"/>
        </w:rPr>
        <w:t>×</w:t>
      </w:r>
      <w:r>
        <w:rPr>
          <w:rFonts w:ascii="Times New Roman" w:hAnsi="Times New Roman" w:cs="Times New Roman"/>
          <w:color w:val="auto"/>
          <w:lang w:eastAsia="zh-CN"/>
        </w:rPr>
        <w:t>10</w:t>
      </w:r>
      <w:r>
        <w:rPr>
          <w:rFonts w:ascii="Times New Roman" w:hAnsi="Times New Roman" w:cs="Times New Roman"/>
          <w:color w:val="auto"/>
          <w:vertAlign w:val="superscript"/>
          <w:lang w:eastAsia="zh-CN"/>
        </w:rPr>
        <w:t>-10</w:t>
      </w:r>
      <w:r>
        <w:rPr>
          <w:rFonts w:ascii="Times New Roman" w:hAnsi="Times New Roman" w:cs="Times New Roman"/>
          <w:color w:val="auto"/>
          <w:lang w:eastAsia="zh-CN"/>
        </w:rPr>
        <w:t>cm/s；若采用符合防渗结构，土工膜（厚度不小于1.5m）+抗渗混凝土（厚度不小于100mm）结构。抗渗混凝土的渗透系数不大于1.0</w:t>
      </w:r>
      <w:r>
        <w:rPr>
          <w:rFonts w:hint="eastAsia" w:ascii="Times New Roman" w:hAnsi="Times New Roman" w:cs="Times New Roman"/>
          <w:color w:val="auto"/>
          <w:lang w:eastAsia="zh-CN"/>
        </w:rPr>
        <w:t>×</w:t>
      </w:r>
      <w:r>
        <w:rPr>
          <w:rFonts w:ascii="Times New Roman" w:hAnsi="Times New Roman" w:cs="Times New Roman"/>
          <w:color w:val="auto"/>
          <w:lang w:eastAsia="zh-CN"/>
        </w:rPr>
        <w:t>10</w:t>
      </w:r>
      <w:r>
        <w:rPr>
          <w:rFonts w:ascii="Times New Roman" w:hAnsi="Times New Roman" w:cs="Times New Roman"/>
          <w:color w:val="auto"/>
          <w:vertAlign w:val="superscript"/>
          <w:lang w:eastAsia="zh-CN"/>
        </w:rPr>
        <w:t>-6</w:t>
      </w:r>
      <w:r>
        <w:rPr>
          <w:rFonts w:ascii="Times New Roman" w:hAnsi="Times New Roman" w:cs="Times New Roman"/>
          <w:color w:val="auto"/>
          <w:lang w:eastAsia="zh-CN"/>
        </w:rPr>
        <w:t xml:space="preserve"> cm/s；危废暂存场所必须设置落实防雨、防晒、防风要求，配套渗出液收集池和疏导系统；</w:t>
      </w:r>
    </w:p>
    <w:p w14:paraId="76AE340C">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b.堆放危险废物的高度应根据地面承载能力确定；</w:t>
      </w:r>
    </w:p>
    <w:p w14:paraId="140FAC5E">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c.衬放在一个基础或底座上；</w:t>
      </w:r>
    </w:p>
    <w:p w14:paraId="38545D4D">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d.衬里要能够覆盖危险废物或其溶出物可能涉及到的范围；</w:t>
      </w:r>
    </w:p>
    <w:p w14:paraId="178C33EF">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e.衬里材料与堆放危险废物相容；在衬里上设计、建造浸出液收集清除系统。</w:t>
      </w:r>
    </w:p>
    <w:p w14:paraId="78B10CF2">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f.不相容的危险废物不能堆放在一起。</w:t>
      </w:r>
    </w:p>
    <w:p w14:paraId="3B4A97CD">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g.总贮存量不超过300kg（L）的危险废物要放入符合标准的容器内，加上标签，容器放入坚固的柜或箱中，柜或箱应设多个直径不少于30毫米的排气孔。</w:t>
      </w:r>
    </w:p>
    <w:p w14:paraId="377C8091">
      <w:pPr>
        <w:widowControl w:val="0"/>
        <w:spacing w:line="360" w:lineRule="auto"/>
        <w:ind w:firstLine="480"/>
        <w:jc w:val="both"/>
        <w:rPr>
          <w:rFonts w:ascii="Times New Roman" w:hAnsi="Times New Roman" w:cs="Times New Roman"/>
          <w:color w:val="auto"/>
          <w:lang w:eastAsia="zh-CN"/>
        </w:rPr>
      </w:pPr>
      <w:r>
        <w:rPr>
          <w:rFonts w:ascii="Times New Roman" w:hAnsi="Times New Roman" w:cs="Times New Roman"/>
          <w:color w:val="auto"/>
          <w:lang w:eastAsia="zh-CN"/>
        </w:rPr>
        <w:t>不相容危险废物要分别存放或存放在不渗透间隔分开的区域内，每个部分都应有防漏裙脚或储漏盘，防漏裙脚或储漏盘的材料要与危险废物相容，并应设置防雨、防火、防雷、防扬尘装置；贮存易燃危险废物（废解析液、废机油等)应配置有机气体报警、火灾报警装置和导出静电的接地装置。</w:t>
      </w:r>
    </w:p>
    <w:p w14:paraId="3E5D05AE">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（6）危险废物处置污染防治措施</w:t>
      </w:r>
    </w:p>
    <w:p w14:paraId="11AFB73C">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本次评价要求建设单位在选择危险废物处置单位时应选择有处理本项目产生的危险废物经营许可证以及未发生危废处置事故单位，同时建议建设单位选择与本项目较近的处置单位，减少运输过程中发生危废流失的可行性。</w:t>
      </w:r>
    </w:p>
    <w:p w14:paraId="1D15362A">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综上所述，项目固体废物根据特性、组成采取相应的处理或处置方案，处理率可以达到100%。</w:t>
      </w:r>
    </w:p>
    <w:p w14:paraId="51CBBA08">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（7）危险废物贮存管理要求</w:t>
      </w:r>
    </w:p>
    <w:p w14:paraId="0FAC9768">
      <w:pPr>
        <w:widowControl w:val="0"/>
        <w:spacing w:line="360" w:lineRule="auto"/>
        <w:ind w:firstLine="480" w:firstLineChars="200"/>
        <w:jc w:val="both"/>
        <w:rPr>
          <w:rFonts w:ascii="Times New Roman" w:hAnsi="Times New Roman" w:cs="Times New Roman"/>
          <w:color w:val="auto"/>
          <w:lang w:eastAsia="zh-CN"/>
        </w:rPr>
      </w:pPr>
      <w:r>
        <w:rPr>
          <w:rFonts w:ascii="宋体" w:hAnsi="宋体" w:cs="Cambria Math"/>
          <w:color w:val="auto"/>
          <w:lang w:eastAsia="zh-CN"/>
        </w:rPr>
        <w:t>①</w:t>
      </w:r>
      <w:r>
        <w:rPr>
          <w:rFonts w:ascii="Times New Roman" w:hAnsi="Times New Roman" w:cs="Times New Roman"/>
          <w:color w:val="auto"/>
          <w:lang w:eastAsia="zh-CN"/>
        </w:rPr>
        <w:t>危险废物存入贮存设施前应对危险废物类别和特性与危险废物标签等危险废物识别标志的一致性进行核验，不一致的或类别、特性不明的不应存入；</w:t>
      </w:r>
    </w:p>
    <w:p w14:paraId="6B3923BB">
      <w:pPr>
        <w:widowControl w:val="0"/>
        <w:spacing w:line="360" w:lineRule="auto"/>
        <w:ind w:firstLine="480" w:firstLineChars="200"/>
        <w:jc w:val="both"/>
        <w:rPr>
          <w:rFonts w:ascii="Times New Roman" w:hAnsi="Times New Roman" w:cs="Times New Roman"/>
          <w:color w:val="auto"/>
          <w:lang w:eastAsia="zh-CN"/>
        </w:rPr>
      </w:pPr>
      <w:r>
        <w:rPr>
          <w:rFonts w:ascii="宋体" w:hAnsi="宋体" w:cs="Cambria Math"/>
          <w:color w:val="auto"/>
          <w:lang w:eastAsia="zh-CN"/>
        </w:rPr>
        <w:t>②</w:t>
      </w:r>
      <w:r>
        <w:rPr>
          <w:rFonts w:ascii="Times New Roman" w:hAnsi="Times New Roman" w:cs="Times New Roman"/>
          <w:color w:val="auto"/>
          <w:lang w:eastAsia="zh-CN"/>
        </w:rPr>
        <w:t>应定期检查危险废物的贮存状况，及时清理贮存设施地面，更换破损泄漏的危险废物贮存容器和包装物，保证堆存危险废物的防雨、防风、防扬尘等设施功能完好；</w:t>
      </w:r>
    </w:p>
    <w:p w14:paraId="0A1CAA8F">
      <w:pPr>
        <w:widowControl w:val="0"/>
        <w:spacing w:line="360" w:lineRule="auto"/>
        <w:ind w:firstLine="480" w:firstLineChars="200"/>
        <w:jc w:val="both"/>
        <w:rPr>
          <w:rFonts w:ascii="Times New Roman" w:hAnsi="Times New Roman" w:cs="Times New Roman"/>
          <w:color w:val="auto"/>
          <w:lang w:eastAsia="zh-CN"/>
        </w:rPr>
      </w:pPr>
      <w:r>
        <w:rPr>
          <w:rFonts w:ascii="宋体" w:hAnsi="宋体" w:cs="Cambria Math"/>
          <w:color w:val="auto"/>
          <w:lang w:eastAsia="zh-CN"/>
        </w:rPr>
        <w:t>③</w:t>
      </w:r>
      <w:r>
        <w:rPr>
          <w:rFonts w:ascii="Times New Roman" w:hAnsi="Times New Roman" w:cs="Times New Roman"/>
          <w:color w:val="auto"/>
          <w:lang w:eastAsia="zh-CN"/>
        </w:rPr>
        <w:t>贮存设施运行期间，应按国家有关标准和规定建立危险废物管理台账并保存；</w:t>
      </w:r>
    </w:p>
    <w:p w14:paraId="08C7D98A">
      <w:pPr>
        <w:widowControl w:val="0"/>
        <w:spacing w:line="360" w:lineRule="auto"/>
        <w:ind w:firstLine="480" w:firstLineChars="200"/>
        <w:jc w:val="both"/>
        <w:rPr>
          <w:rFonts w:ascii="Times New Roman" w:hAnsi="Times New Roman" w:cs="Times New Roman"/>
          <w:color w:val="auto"/>
          <w:lang w:eastAsia="zh-CN"/>
        </w:rPr>
      </w:pPr>
      <w:r>
        <w:rPr>
          <w:rFonts w:ascii="宋体" w:hAnsi="宋体" w:cs="Cambria Math"/>
          <w:color w:val="auto"/>
          <w:lang w:eastAsia="zh-CN"/>
        </w:rPr>
        <w:t>④</w:t>
      </w:r>
      <w:r>
        <w:rPr>
          <w:rFonts w:ascii="Times New Roman" w:hAnsi="Times New Roman" w:cs="Times New Roman"/>
          <w:color w:val="auto"/>
          <w:lang w:eastAsia="zh-CN"/>
        </w:rPr>
        <w:t>建设单位应建立贮存设施环境管理制度、管理人员岗位职责制度、设施运行操作制度、人员岗位培训制度等。</w:t>
      </w:r>
    </w:p>
    <w:p w14:paraId="75F12F56">
      <w:pPr>
        <w:widowControl w:val="0"/>
        <w:spacing w:line="360" w:lineRule="auto"/>
        <w:ind w:firstLine="482"/>
        <w:jc w:val="both"/>
        <w:outlineLvl w:val="2"/>
        <w:rPr>
          <w:rFonts w:ascii="Times New Roman" w:hAnsi="Times New Roman" w:cs="Times New Roman"/>
          <w:b/>
          <w:bCs/>
          <w:color w:val="auto"/>
          <w:lang w:eastAsia="zh-CN"/>
        </w:rPr>
      </w:pPr>
      <w:bookmarkStart w:id="2472" w:name="_Toc204448582"/>
      <w:bookmarkStart w:id="2473" w:name="_Toc203927118"/>
      <w:bookmarkStart w:id="2474" w:name="_Toc231828697"/>
      <w:bookmarkStart w:id="2475" w:name="_Toc178602466"/>
      <w:bookmarkStart w:id="2476" w:name="_Toc217662788"/>
      <w:bookmarkStart w:id="2477" w:name="_Toc221900956"/>
      <w:bookmarkStart w:id="2478" w:name="_Toc133214610"/>
      <w:bookmarkStart w:id="2479" w:name="_Toc224674814"/>
      <w:bookmarkStart w:id="2480" w:name="_Toc204515317"/>
      <w:bookmarkStart w:id="2481" w:name="_Toc223425174"/>
      <w:bookmarkStart w:id="2482" w:name="_Toc237508409"/>
      <w:bookmarkStart w:id="2483" w:name="_Toc173740391"/>
      <w:bookmarkStart w:id="2484" w:name="_Toc175164385"/>
      <w:bookmarkStart w:id="2485" w:name="_Toc225784176"/>
      <w:bookmarkStart w:id="2486" w:name="_Toc172555757"/>
      <w:bookmarkStart w:id="2487" w:name="_Toc218784400"/>
      <w:bookmarkStart w:id="2488" w:name="_Toc173743495"/>
      <w:bookmarkStart w:id="2489" w:name="_Toc133333767"/>
      <w:bookmarkStart w:id="2490" w:name="_Toc176513121"/>
      <w:bookmarkStart w:id="2491" w:name="_Toc236641944"/>
      <w:r>
        <w:rPr>
          <w:rFonts w:ascii="Times New Roman" w:hAnsi="Times New Roman" w:cs="Times New Roman"/>
          <w:b/>
          <w:bCs/>
          <w:color w:val="auto"/>
          <w:lang w:eastAsia="zh-CN"/>
        </w:rPr>
        <w:t>8.2.</w:t>
      </w:r>
      <w:r>
        <w:rPr>
          <w:rFonts w:hint="eastAsia" w:ascii="Times New Roman" w:hAnsi="Times New Roman" w:cs="Times New Roman"/>
          <w:b/>
          <w:bCs/>
          <w:color w:val="auto"/>
          <w:lang w:eastAsia="zh-CN"/>
        </w:rPr>
        <w:t xml:space="preserve">6 </w:t>
      </w:r>
      <w:r>
        <w:rPr>
          <w:rFonts w:ascii="Times New Roman" w:hAnsi="Times New Roman" w:cs="Times New Roman"/>
          <w:b/>
          <w:bCs/>
          <w:color w:val="auto"/>
          <w:lang w:eastAsia="zh-CN"/>
        </w:rPr>
        <w:t>地下水污染防治措施与建议</w:t>
      </w:r>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p>
    <w:p w14:paraId="40B1FCE3">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项目地下水污染防治措施应按照“源头控制、分区防治、污染监控、应急响应”的原则进行。</w:t>
      </w:r>
    </w:p>
    <w:p w14:paraId="073F7A0B">
      <w:pPr>
        <w:pStyle w:val="74"/>
        <w:widowControl w:val="0"/>
        <w:ind w:firstLine="482"/>
        <w:jc w:val="both"/>
        <w:rPr>
          <w:rFonts w:cs="Times New Roman"/>
          <w:color w:val="auto"/>
          <w:lang w:eastAsia="zh-CN"/>
        </w:rPr>
      </w:pPr>
      <w:bookmarkStart w:id="2492" w:name="_Toc133214611"/>
      <w:bookmarkStart w:id="2493" w:name="_Toc133333768"/>
      <w:bookmarkStart w:id="2494" w:name="_Toc21163"/>
      <w:r>
        <w:rPr>
          <w:rFonts w:cs="Times New Roman"/>
          <w:color w:val="auto"/>
          <w:lang w:eastAsia="zh-CN"/>
        </w:rPr>
        <w:t>8.2.</w:t>
      </w:r>
      <w:r>
        <w:rPr>
          <w:rFonts w:hint="eastAsia" w:cs="Times New Roman"/>
          <w:color w:val="auto"/>
          <w:lang w:eastAsia="zh-CN"/>
        </w:rPr>
        <w:t>6</w:t>
      </w:r>
      <w:r>
        <w:rPr>
          <w:rFonts w:cs="Times New Roman"/>
          <w:color w:val="auto"/>
          <w:lang w:eastAsia="zh-CN"/>
        </w:rPr>
        <w:t>.1</w:t>
      </w:r>
      <w:r>
        <w:rPr>
          <w:rFonts w:hint="eastAsia" w:cs="Times New Roman"/>
          <w:color w:val="auto"/>
          <w:lang w:eastAsia="zh-CN"/>
        </w:rPr>
        <w:t xml:space="preserve"> </w:t>
      </w:r>
      <w:r>
        <w:rPr>
          <w:rFonts w:cs="Times New Roman"/>
          <w:color w:val="auto"/>
          <w:lang w:eastAsia="zh-CN"/>
        </w:rPr>
        <w:t>源头控制措施</w:t>
      </w:r>
      <w:bookmarkEnd w:id="2492"/>
      <w:bookmarkEnd w:id="2493"/>
      <w:bookmarkEnd w:id="2494"/>
      <w:r>
        <w:rPr>
          <w:rFonts w:cs="Times New Roman"/>
          <w:color w:val="auto"/>
          <w:lang w:eastAsia="zh-CN"/>
        </w:rPr>
        <w:t xml:space="preserve"> </w:t>
      </w:r>
    </w:p>
    <w:p w14:paraId="2939A8DA">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1、在工艺、管道、设备、储存及处理构筑物采取相应措施，防止和降低污染物跑、冒、滴、漏，将污染物泄漏的环境风险事故降到最低程度；</w:t>
      </w:r>
    </w:p>
    <w:p w14:paraId="240F7728">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2、穿越厂区内道路时，跨越段管道不得装设阀门、法兰和螺纹接头等管件。埋地铺设的排水管道在穿越厂区干道时，应采用套管保护。管线铺设尽量采用“可视化”原则，即管道尽可能地上铺设，做到污染物“早发现、早处理”，以减少由于地埋管道泄漏而可能造成的地下水污染。</w:t>
      </w:r>
    </w:p>
    <w:p w14:paraId="005B09B5">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szCs w:val="24"/>
          <w:lang w:eastAsia="zh-CN"/>
        </w:rPr>
        <w:t>3、</w:t>
      </w:r>
      <w:r>
        <w:rPr>
          <w:rFonts w:ascii="Times New Roman" w:hAnsi="Times New Roman" w:cs="Times New Roman"/>
          <w:color w:val="auto"/>
          <w:lang w:eastAsia="zh-CN"/>
        </w:rPr>
        <w:t>运行期加强管理，一旦发现泄漏及时处理，检查检修设备，将污染物泄漏的风险事故降到最低。</w:t>
      </w:r>
    </w:p>
    <w:p w14:paraId="3F9025DE">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szCs w:val="24"/>
          <w:lang w:eastAsia="zh-CN"/>
        </w:rPr>
        <w:t>4、本项目含污染物的流体和腐蚀性介质等工艺管道，除与阀门、仪表、设备等连接可采用法兰外，均采用焊接工艺，同时对于输送有毒、可燃、腐蚀性介质的管道应做明显标识。</w:t>
      </w:r>
    </w:p>
    <w:p w14:paraId="18098993">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5、严格固体废物管理，不接触外界降水，使其不产生渗滤液，以免对地下水和土壤造成污染。</w:t>
      </w:r>
    </w:p>
    <w:p w14:paraId="40EF78AF">
      <w:pPr>
        <w:pStyle w:val="74"/>
        <w:widowControl w:val="0"/>
        <w:ind w:firstLine="482"/>
        <w:jc w:val="both"/>
        <w:rPr>
          <w:rFonts w:cs="Times New Roman"/>
          <w:color w:val="auto"/>
          <w:lang w:eastAsia="zh-CN"/>
        </w:rPr>
      </w:pPr>
      <w:bookmarkStart w:id="2495" w:name="_Toc133333769"/>
      <w:bookmarkStart w:id="2496" w:name="_Toc6303"/>
      <w:bookmarkStart w:id="2497" w:name="_Toc133214612"/>
      <w:r>
        <w:rPr>
          <w:rFonts w:cs="Times New Roman"/>
          <w:color w:val="auto"/>
          <w:lang w:eastAsia="zh-CN"/>
        </w:rPr>
        <w:t>8.2.</w:t>
      </w:r>
      <w:r>
        <w:rPr>
          <w:rFonts w:hint="eastAsia" w:cs="Times New Roman"/>
          <w:color w:val="auto"/>
          <w:lang w:eastAsia="zh-CN"/>
        </w:rPr>
        <w:t>6</w:t>
      </w:r>
      <w:r>
        <w:rPr>
          <w:rFonts w:cs="Times New Roman"/>
          <w:color w:val="auto"/>
          <w:lang w:eastAsia="zh-CN"/>
        </w:rPr>
        <w:t>.2</w:t>
      </w:r>
      <w:r>
        <w:rPr>
          <w:rFonts w:hint="eastAsia" w:cs="Times New Roman"/>
          <w:color w:val="auto"/>
          <w:lang w:eastAsia="zh-CN"/>
        </w:rPr>
        <w:t xml:space="preserve"> </w:t>
      </w:r>
      <w:r>
        <w:rPr>
          <w:rFonts w:cs="Times New Roman"/>
          <w:color w:val="auto"/>
          <w:lang w:eastAsia="zh-CN"/>
        </w:rPr>
        <w:t>分区防渗措施</w:t>
      </w:r>
      <w:bookmarkEnd w:id="2495"/>
      <w:bookmarkEnd w:id="2496"/>
      <w:bookmarkEnd w:id="2497"/>
    </w:p>
    <w:p w14:paraId="3DF5B8D3">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为防止本项目污染地下水，在项目设计和施工过程中，应对厂区进行专项防渗设计和分区防渗处理。根据《石油化工工程防渗技术规范》（GB/T50934-2013）以及《环境影响评价技术导则 地下水环境》（HJ 610-2016），污染防治区可分为重点防渗区、一般防渗区和简单防渗区。具体见下表：</w:t>
      </w:r>
    </w:p>
    <w:p w14:paraId="16C05C08">
      <w:pPr>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表8.2-</w:t>
      </w:r>
      <w:r>
        <w:rPr>
          <w:rFonts w:hint="eastAsia" w:ascii="Times New Roman" w:hAnsi="Times New Roman" w:cs="Times New Roman"/>
          <w:b/>
          <w:bCs/>
          <w:color w:val="auto"/>
          <w:szCs w:val="24"/>
          <w:lang w:eastAsia="zh-CN"/>
        </w:rPr>
        <w:t>10</w:t>
      </w:r>
      <w:r>
        <w:rPr>
          <w:rFonts w:ascii="Times New Roman" w:hAnsi="Times New Roman" w:cs="Times New Roman"/>
          <w:b/>
          <w:bCs/>
          <w:color w:val="auto"/>
          <w:szCs w:val="24"/>
          <w:lang w:eastAsia="zh-CN"/>
        </w:rPr>
        <w:t xml:space="preserve">  地下水污染防渗分区参照表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725"/>
        <w:gridCol w:w="1978"/>
        <w:gridCol w:w="1978"/>
        <w:gridCol w:w="1978"/>
        <w:gridCol w:w="1980"/>
      </w:tblGrid>
      <w:tr w14:paraId="6D3F2C8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895" w:type="pct"/>
            <w:vAlign w:val="center"/>
          </w:tcPr>
          <w:p w14:paraId="6C976F87">
            <w:pPr>
              <w:pStyle w:val="84"/>
              <w:adjustRightInd w:val="0"/>
              <w:snapToGrid w:val="0"/>
              <w:spacing w:line="276" w:lineRule="auto"/>
              <w:ind w:firstLine="0" w:firstLineChars="0"/>
              <w:jc w:val="center"/>
              <w:rPr>
                <w:rFonts w:ascii="Times New Roman" w:hAnsi="Times New Roman" w:cs="Times New Roman"/>
                <w:b/>
                <w:color w:val="auto"/>
                <w:sz w:val="21"/>
              </w:rPr>
            </w:pPr>
            <w:r>
              <w:rPr>
                <w:rFonts w:ascii="Times New Roman" w:hAnsi="Times New Roman" w:cs="Times New Roman"/>
                <w:b/>
                <w:color w:val="auto"/>
                <w:sz w:val="21"/>
              </w:rPr>
              <w:t>防渗分区</w:t>
            </w:r>
          </w:p>
        </w:tc>
        <w:tc>
          <w:tcPr>
            <w:tcW w:w="1026" w:type="pct"/>
            <w:vAlign w:val="center"/>
          </w:tcPr>
          <w:p w14:paraId="089E78F8">
            <w:pPr>
              <w:pStyle w:val="84"/>
              <w:adjustRightInd w:val="0"/>
              <w:snapToGrid w:val="0"/>
              <w:spacing w:line="276" w:lineRule="auto"/>
              <w:ind w:firstLine="0" w:firstLineChars="0"/>
              <w:jc w:val="center"/>
              <w:rPr>
                <w:rFonts w:ascii="Times New Roman" w:hAnsi="Times New Roman" w:cs="Times New Roman"/>
                <w:b/>
                <w:color w:val="auto"/>
                <w:sz w:val="21"/>
              </w:rPr>
            </w:pPr>
            <w:r>
              <w:rPr>
                <w:rFonts w:ascii="Times New Roman" w:hAnsi="Times New Roman" w:cs="Times New Roman"/>
                <w:b/>
                <w:color w:val="auto"/>
                <w:sz w:val="21"/>
              </w:rPr>
              <w:t>天然包气带防污性能</w:t>
            </w:r>
          </w:p>
        </w:tc>
        <w:tc>
          <w:tcPr>
            <w:tcW w:w="1026" w:type="pct"/>
            <w:vAlign w:val="center"/>
          </w:tcPr>
          <w:p w14:paraId="42937D5D">
            <w:pPr>
              <w:pStyle w:val="84"/>
              <w:adjustRightInd w:val="0"/>
              <w:snapToGrid w:val="0"/>
              <w:spacing w:line="276" w:lineRule="auto"/>
              <w:ind w:firstLine="0" w:firstLineChars="0"/>
              <w:jc w:val="center"/>
              <w:rPr>
                <w:rFonts w:ascii="Times New Roman" w:hAnsi="Times New Roman" w:cs="Times New Roman"/>
                <w:b/>
                <w:color w:val="auto"/>
                <w:sz w:val="21"/>
              </w:rPr>
            </w:pPr>
            <w:r>
              <w:rPr>
                <w:rFonts w:ascii="Times New Roman" w:hAnsi="Times New Roman" w:cs="Times New Roman"/>
                <w:b/>
                <w:color w:val="auto"/>
                <w:sz w:val="21"/>
              </w:rPr>
              <w:t>污染物控制难易程度</w:t>
            </w:r>
          </w:p>
        </w:tc>
        <w:tc>
          <w:tcPr>
            <w:tcW w:w="1026" w:type="pct"/>
            <w:vAlign w:val="center"/>
          </w:tcPr>
          <w:p w14:paraId="2F3D2643">
            <w:pPr>
              <w:pStyle w:val="84"/>
              <w:adjustRightInd w:val="0"/>
              <w:snapToGrid w:val="0"/>
              <w:spacing w:line="276" w:lineRule="auto"/>
              <w:ind w:firstLine="0" w:firstLineChars="0"/>
              <w:jc w:val="center"/>
              <w:rPr>
                <w:rFonts w:ascii="Times New Roman" w:hAnsi="Times New Roman" w:cs="Times New Roman"/>
                <w:b/>
                <w:color w:val="auto"/>
                <w:sz w:val="21"/>
              </w:rPr>
            </w:pPr>
            <w:r>
              <w:rPr>
                <w:rFonts w:ascii="Times New Roman" w:hAnsi="Times New Roman" w:cs="Times New Roman"/>
                <w:b/>
                <w:color w:val="auto"/>
                <w:sz w:val="21"/>
              </w:rPr>
              <w:t>污染物类型</w:t>
            </w:r>
          </w:p>
        </w:tc>
        <w:tc>
          <w:tcPr>
            <w:tcW w:w="1027" w:type="pct"/>
            <w:vAlign w:val="center"/>
          </w:tcPr>
          <w:p w14:paraId="57F1AB22">
            <w:pPr>
              <w:pStyle w:val="84"/>
              <w:adjustRightInd w:val="0"/>
              <w:snapToGrid w:val="0"/>
              <w:spacing w:line="276" w:lineRule="auto"/>
              <w:ind w:firstLine="0" w:firstLineChars="0"/>
              <w:jc w:val="center"/>
              <w:rPr>
                <w:rFonts w:ascii="Times New Roman" w:hAnsi="Times New Roman" w:cs="Times New Roman"/>
                <w:b/>
                <w:color w:val="auto"/>
                <w:sz w:val="21"/>
              </w:rPr>
            </w:pPr>
            <w:r>
              <w:rPr>
                <w:rFonts w:ascii="Times New Roman" w:hAnsi="Times New Roman" w:cs="Times New Roman"/>
                <w:b/>
                <w:color w:val="auto"/>
                <w:sz w:val="21"/>
              </w:rPr>
              <w:t>防渗技术要求</w:t>
            </w:r>
          </w:p>
        </w:tc>
      </w:tr>
      <w:tr w14:paraId="129F55C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895" w:type="pct"/>
            <w:vMerge w:val="restart"/>
            <w:vAlign w:val="center"/>
          </w:tcPr>
          <w:p w14:paraId="2B9C8745">
            <w:pPr>
              <w:pStyle w:val="84"/>
              <w:adjustRightInd w:val="0"/>
              <w:snapToGrid w:val="0"/>
              <w:spacing w:line="276" w:lineRule="auto"/>
              <w:ind w:firstLine="0" w:firstLineChars="0"/>
              <w:jc w:val="center"/>
              <w:rPr>
                <w:rFonts w:ascii="Times New Roman" w:hAnsi="Times New Roman" w:cs="Times New Roman"/>
                <w:color w:val="auto"/>
                <w:sz w:val="21"/>
              </w:rPr>
            </w:pPr>
            <w:r>
              <w:rPr>
                <w:rFonts w:ascii="Times New Roman" w:hAnsi="Times New Roman" w:cs="Times New Roman"/>
                <w:color w:val="auto"/>
                <w:sz w:val="21"/>
              </w:rPr>
              <w:t>重点防渗区</w:t>
            </w:r>
          </w:p>
        </w:tc>
        <w:tc>
          <w:tcPr>
            <w:tcW w:w="1026" w:type="pct"/>
            <w:vAlign w:val="center"/>
          </w:tcPr>
          <w:p w14:paraId="2EFE3384">
            <w:pPr>
              <w:pStyle w:val="84"/>
              <w:adjustRightInd w:val="0"/>
              <w:snapToGrid w:val="0"/>
              <w:spacing w:line="276" w:lineRule="auto"/>
              <w:ind w:firstLine="0" w:firstLineChars="0"/>
              <w:jc w:val="center"/>
              <w:rPr>
                <w:rFonts w:ascii="Times New Roman" w:hAnsi="Times New Roman" w:cs="Times New Roman"/>
                <w:color w:val="auto"/>
                <w:sz w:val="21"/>
              </w:rPr>
            </w:pPr>
            <w:r>
              <w:rPr>
                <w:rFonts w:ascii="Times New Roman" w:hAnsi="Times New Roman" w:cs="Times New Roman"/>
                <w:color w:val="auto"/>
                <w:sz w:val="21"/>
              </w:rPr>
              <w:t>弱</w:t>
            </w:r>
          </w:p>
        </w:tc>
        <w:tc>
          <w:tcPr>
            <w:tcW w:w="1026" w:type="pct"/>
            <w:vAlign w:val="center"/>
          </w:tcPr>
          <w:p w14:paraId="690B136F">
            <w:pPr>
              <w:pStyle w:val="84"/>
              <w:adjustRightInd w:val="0"/>
              <w:snapToGrid w:val="0"/>
              <w:spacing w:line="276" w:lineRule="auto"/>
              <w:ind w:firstLine="0" w:firstLineChars="0"/>
              <w:jc w:val="center"/>
              <w:rPr>
                <w:rFonts w:ascii="Times New Roman" w:hAnsi="Times New Roman" w:cs="Times New Roman"/>
                <w:color w:val="auto"/>
                <w:sz w:val="21"/>
              </w:rPr>
            </w:pPr>
            <w:r>
              <w:rPr>
                <w:rFonts w:ascii="Times New Roman" w:hAnsi="Times New Roman" w:cs="Times New Roman"/>
                <w:color w:val="auto"/>
                <w:sz w:val="21"/>
              </w:rPr>
              <w:t>难</w:t>
            </w:r>
          </w:p>
        </w:tc>
        <w:tc>
          <w:tcPr>
            <w:tcW w:w="1026" w:type="pct"/>
            <w:vMerge w:val="restart"/>
            <w:vAlign w:val="center"/>
          </w:tcPr>
          <w:p w14:paraId="68F58A46">
            <w:pPr>
              <w:pStyle w:val="84"/>
              <w:adjustRightInd w:val="0"/>
              <w:snapToGrid w:val="0"/>
              <w:spacing w:line="276" w:lineRule="auto"/>
              <w:ind w:firstLine="0" w:firstLineChars="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重金属、持久性有机污染物</w:t>
            </w:r>
          </w:p>
        </w:tc>
        <w:tc>
          <w:tcPr>
            <w:tcW w:w="1027" w:type="pct"/>
            <w:vMerge w:val="restart"/>
            <w:vAlign w:val="center"/>
          </w:tcPr>
          <w:p w14:paraId="2EC6906C">
            <w:pPr>
              <w:pStyle w:val="84"/>
              <w:adjustRightInd w:val="0"/>
              <w:snapToGrid w:val="0"/>
              <w:spacing w:line="276" w:lineRule="auto"/>
              <w:ind w:firstLine="0" w:firstLineChars="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等效黏土防渗层Mb≥6.0m，K≤1×10</w:t>
            </w:r>
            <w:r>
              <w:rPr>
                <w:rFonts w:ascii="Times New Roman" w:hAnsi="Times New Roman" w:cs="Times New Roman"/>
                <w:color w:val="auto"/>
                <w:sz w:val="21"/>
                <w:vertAlign w:val="superscript"/>
                <w:lang w:eastAsia="zh-CN"/>
              </w:rPr>
              <w:t>-7</w:t>
            </w:r>
            <w:r>
              <w:rPr>
                <w:rFonts w:ascii="Times New Roman" w:hAnsi="Times New Roman" w:cs="Times New Roman"/>
                <w:color w:val="auto"/>
                <w:sz w:val="21"/>
                <w:lang w:eastAsia="zh-CN"/>
              </w:rPr>
              <w:t>cm/s；或参照GB18598</w:t>
            </w:r>
          </w:p>
        </w:tc>
      </w:tr>
      <w:tr w14:paraId="3913042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895" w:type="pct"/>
            <w:vMerge w:val="continue"/>
            <w:vAlign w:val="center"/>
          </w:tcPr>
          <w:p w14:paraId="05AA8545">
            <w:pPr>
              <w:pStyle w:val="84"/>
              <w:adjustRightInd w:val="0"/>
              <w:snapToGrid w:val="0"/>
              <w:spacing w:line="276" w:lineRule="auto"/>
              <w:ind w:firstLine="0" w:firstLineChars="0"/>
              <w:jc w:val="center"/>
              <w:rPr>
                <w:rFonts w:ascii="Times New Roman" w:hAnsi="Times New Roman" w:cs="Times New Roman"/>
                <w:color w:val="auto"/>
                <w:sz w:val="21"/>
                <w:lang w:eastAsia="zh-CN"/>
              </w:rPr>
            </w:pPr>
          </w:p>
        </w:tc>
        <w:tc>
          <w:tcPr>
            <w:tcW w:w="1026" w:type="pct"/>
            <w:vAlign w:val="center"/>
          </w:tcPr>
          <w:p w14:paraId="79C75099">
            <w:pPr>
              <w:pStyle w:val="84"/>
              <w:adjustRightInd w:val="0"/>
              <w:snapToGrid w:val="0"/>
              <w:spacing w:line="276" w:lineRule="auto"/>
              <w:ind w:firstLine="0" w:firstLineChars="0"/>
              <w:jc w:val="center"/>
              <w:rPr>
                <w:rFonts w:ascii="Times New Roman" w:hAnsi="Times New Roman" w:cs="Times New Roman"/>
                <w:color w:val="auto"/>
                <w:sz w:val="21"/>
              </w:rPr>
            </w:pPr>
            <w:r>
              <w:rPr>
                <w:rFonts w:ascii="Times New Roman" w:hAnsi="Times New Roman" w:cs="Times New Roman"/>
                <w:color w:val="auto"/>
                <w:sz w:val="21"/>
              </w:rPr>
              <w:t>中—强</w:t>
            </w:r>
          </w:p>
        </w:tc>
        <w:tc>
          <w:tcPr>
            <w:tcW w:w="1026" w:type="pct"/>
            <w:vAlign w:val="center"/>
          </w:tcPr>
          <w:p w14:paraId="6E6C080C">
            <w:pPr>
              <w:pStyle w:val="84"/>
              <w:adjustRightInd w:val="0"/>
              <w:snapToGrid w:val="0"/>
              <w:spacing w:line="276" w:lineRule="auto"/>
              <w:ind w:firstLine="0" w:firstLineChars="0"/>
              <w:jc w:val="center"/>
              <w:rPr>
                <w:rFonts w:ascii="Times New Roman" w:hAnsi="Times New Roman" w:cs="Times New Roman"/>
                <w:color w:val="auto"/>
                <w:sz w:val="21"/>
              </w:rPr>
            </w:pPr>
            <w:r>
              <w:rPr>
                <w:rFonts w:ascii="Times New Roman" w:hAnsi="Times New Roman" w:cs="Times New Roman"/>
                <w:color w:val="auto"/>
                <w:sz w:val="21"/>
              </w:rPr>
              <w:t>难</w:t>
            </w:r>
          </w:p>
        </w:tc>
        <w:tc>
          <w:tcPr>
            <w:tcW w:w="1026" w:type="pct"/>
            <w:vMerge w:val="continue"/>
            <w:vAlign w:val="center"/>
          </w:tcPr>
          <w:p w14:paraId="417DA7F9">
            <w:pPr>
              <w:pStyle w:val="84"/>
              <w:adjustRightInd w:val="0"/>
              <w:snapToGrid w:val="0"/>
              <w:spacing w:line="276" w:lineRule="auto"/>
              <w:ind w:firstLine="0" w:firstLineChars="0"/>
              <w:jc w:val="center"/>
              <w:rPr>
                <w:rFonts w:ascii="Times New Roman" w:hAnsi="Times New Roman" w:cs="Times New Roman"/>
                <w:color w:val="auto"/>
                <w:sz w:val="21"/>
              </w:rPr>
            </w:pPr>
          </w:p>
        </w:tc>
        <w:tc>
          <w:tcPr>
            <w:tcW w:w="1027" w:type="pct"/>
            <w:vMerge w:val="continue"/>
            <w:vAlign w:val="center"/>
          </w:tcPr>
          <w:p w14:paraId="0CA1DFCA">
            <w:pPr>
              <w:pStyle w:val="84"/>
              <w:adjustRightInd w:val="0"/>
              <w:snapToGrid w:val="0"/>
              <w:spacing w:line="276" w:lineRule="auto"/>
              <w:ind w:firstLine="0" w:firstLineChars="0"/>
              <w:jc w:val="center"/>
              <w:rPr>
                <w:rFonts w:ascii="Times New Roman" w:hAnsi="Times New Roman" w:cs="Times New Roman"/>
                <w:color w:val="auto"/>
                <w:sz w:val="21"/>
              </w:rPr>
            </w:pPr>
          </w:p>
        </w:tc>
      </w:tr>
      <w:tr w14:paraId="329BB1E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895" w:type="pct"/>
            <w:vMerge w:val="continue"/>
            <w:vAlign w:val="center"/>
          </w:tcPr>
          <w:p w14:paraId="29940A3E">
            <w:pPr>
              <w:pStyle w:val="84"/>
              <w:adjustRightInd w:val="0"/>
              <w:snapToGrid w:val="0"/>
              <w:spacing w:line="276" w:lineRule="auto"/>
              <w:ind w:firstLine="0" w:firstLineChars="0"/>
              <w:jc w:val="center"/>
              <w:rPr>
                <w:rFonts w:ascii="Times New Roman" w:hAnsi="Times New Roman" w:cs="Times New Roman"/>
                <w:color w:val="auto"/>
                <w:sz w:val="21"/>
              </w:rPr>
            </w:pPr>
          </w:p>
        </w:tc>
        <w:tc>
          <w:tcPr>
            <w:tcW w:w="1026" w:type="pct"/>
            <w:vAlign w:val="center"/>
          </w:tcPr>
          <w:p w14:paraId="2F59A279">
            <w:pPr>
              <w:pStyle w:val="84"/>
              <w:adjustRightInd w:val="0"/>
              <w:snapToGrid w:val="0"/>
              <w:spacing w:line="276" w:lineRule="auto"/>
              <w:ind w:firstLine="0" w:firstLineChars="0"/>
              <w:jc w:val="center"/>
              <w:rPr>
                <w:rFonts w:ascii="Times New Roman" w:hAnsi="Times New Roman" w:cs="Times New Roman"/>
                <w:color w:val="auto"/>
                <w:sz w:val="21"/>
              </w:rPr>
            </w:pPr>
            <w:r>
              <w:rPr>
                <w:rFonts w:ascii="Times New Roman" w:hAnsi="Times New Roman" w:cs="Times New Roman"/>
                <w:color w:val="auto"/>
                <w:sz w:val="21"/>
              </w:rPr>
              <w:t>弱</w:t>
            </w:r>
          </w:p>
        </w:tc>
        <w:tc>
          <w:tcPr>
            <w:tcW w:w="1026" w:type="pct"/>
            <w:vAlign w:val="center"/>
          </w:tcPr>
          <w:p w14:paraId="1CBACD68">
            <w:pPr>
              <w:pStyle w:val="84"/>
              <w:adjustRightInd w:val="0"/>
              <w:snapToGrid w:val="0"/>
              <w:spacing w:line="276" w:lineRule="auto"/>
              <w:ind w:firstLine="0" w:firstLineChars="0"/>
              <w:jc w:val="center"/>
              <w:rPr>
                <w:rFonts w:ascii="Times New Roman" w:hAnsi="Times New Roman" w:cs="Times New Roman"/>
                <w:color w:val="auto"/>
                <w:sz w:val="21"/>
              </w:rPr>
            </w:pPr>
            <w:r>
              <w:rPr>
                <w:rFonts w:ascii="Times New Roman" w:hAnsi="Times New Roman" w:cs="Times New Roman"/>
                <w:color w:val="auto"/>
                <w:sz w:val="21"/>
              </w:rPr>
              <w:t>易</w:t>
            </w:r>
          </w:p>
        </w:tc>
        <w:tc>
          <w:tcPr>
            <w:tcW w:w="1026" w:type="pct"/>
            <w:vMerge w:val="continue"/>
            <w:vAlign w:val="center"/>
          </w:tcPr>
          <w:p w14:paraId="4566D344">
            <w:pPr>
              <w:pStyle w:val="84"/>
              <w:adjustRightInd w:val="0"/>
              <w:snapToGrid w:val="0"/>
              <w:spacing w:line="276" w:lineRule="auto"/>
              <w:ind w:firstLine="0" w:firstLineChars="0"/>
              <w:jc w:val="center"/>
              <w:rPr>
                <w:rFonts w:ascii="Times New Roman" w:hAnsi="Times New Roman" w:cs="Times New Roman"/>
                <w:color w:val="auto"/>
                <w:sz w:val="21"/>
              </w:rPr>
            </w:pPr>
          </w:p>
        </w:tc>
        <w:tc>
          <w:tcPr>
            <w:tcW w:w="1027" w:type="pct"/>
            <w:vMerge w:val="continue"/>
            <w:vAlign w:val="center"/>
          </w:tcPr>
          <w:p w14:paraId="14C3B24B">
            <w:pPr>
              <w:pStyle w:val="84"/>
              <w:adjustRightInd w:val="0"/>
              <w:snapToGrid w:val="0"/>
              <w:spacing w:line="276" w:lineRule="auto"/>
              <w:ind w:firstLine="0" w:firstLineChars="0"/>
              <w:jc w:val="center"/>
              <w:rPr>
                <w:rFonts w:ascii="Times New Roman" w:hAnsi="Times New Roman" w:cs="Times New Roman"/>
                <w:color w:val="auto"/>
                <w:sz w:val="21"/>
              </w:rPr>
            </w:pPr>
          </w:p>
        </w:tc>
      </w:tr>
      <w:tr w14:paraId="68E4640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895" w:type="pct"/>
            <w:vMerge w:val="restart"/>
            <w:vAlign w:val="center"/>
          </w:tcPr>
          <w:p w14:paraId="1A03B4EB">
            <w:pPr>
              <w:pStyle w:val="84"/>
              <w:adjustRightInd w:val="0"/>
              <w:snapToGrid w:val="0"/>
              <w:spacing w:line="276" w:lineRule="auto"/>
              <w:ind w:firstLine="0" w:firstLineChars="0"/>
              <w:jc w:val="center"/>
              <w:rPr>
                <w:rFonts w:ascii="Times New Roman" w:hAnsi="Times New Roman" w:cs="Times New Roman"/>
                <w:color w:val="auto"/>
                <w:sz w:val="21"/>
              </w:rPr>
            </w:pPr>
            <w:r>
              <w:rPr>
                <w:rFonts w:ascii="Times New Roman" w:hAnsi="Times New Roman" w:cs="Times New Roman"/>
                <w:color w:val="auto"/>
                <w:sz w:val="21"/>
              </w:rPr>
              <w:t>一般防渗区</w:t>
            </w:r>
          </w:p>
        </w:tc>
        <w:tc>
          <w:tcPr>
            <w:tcW w:w="1026" w:type="pct"/>
            <w:vAlign w:val="center"/>
          </w:tcPr>
          <w:p w14:paraId="1B406D58">
            <w:pPr>
              <w:pStyle w:val="84"/>
              <w:adjustRightInd w:val="0"/>
              <w:snapToGrid w:val="0"/>
              <w:spacing w:line="276" w:lineRule="auto"/>
              <w:ind w:firstLine="0" w:firstLineChars="0"/>
              <w:jc w:val="center"/>
              <w:rPr>
                <w:rFonts w:ascii="Times New Roman" w:hAnsi="Times New Roman" w:cs="Times New Roman"/>
                <w:color w:val="auto"/>
                <w:sz w:val="21"/>
              </w:rPr>
            </w:pPr>
            <w:r>
              <w:rPr>
                <w:rFonts w:ascii="Times New Roman" w:hAnsi="Times New Roman" w:cs="Times New Roman"/>
                <w:color w:val="auto"/>
                <w:sz w:val="21"/>
              </w:rPr>
              <w:t>弱</w:t>
            </w:r>
          </w:p>
        </w:tc>
        <w:tc>
          <w:tcPr>
            <w:tcW w:w="1026" w:type="pct"/>
            <w:vAlign w:val="center"/>
          </w:tcPr>
          <w:p w14:paraId="11AF97DF">
            <w:pPr>
              <w:pStyle w:val="84"/>
              <w:adjustRightInd w:val="0"/>
              <w:snapToGrid w:val="0"/>
              <w:spacing w:line="276" w:lineRule="auto"/>
              <w:ind w:firstLine="0" w:firstLineChars="0"/>
              <w:jc w:val="center"/>
              <w:rPr>
                <w:rFonts w:ascii="Times New Roman" w:hAnsi="Times New Roman" w:cs="Times New Roman"/>
                <w:color w:val="auto"/>
                <w:sz w:val="21"/>
              </w:rPr>
            </w:pPr>
            <w:r>
              <w:rPr>
                <w:rFonts w:ascii="Times New Roman" w:hAnsi="Times New Roman" w:cs="Times New Roman"/>
                <w:color w:val="auto"/>
                <w:sz w:val="21"/>
              </w:rPr>
              <w:t>易-难</w:t>
            </w:r>
          </w:p>
        </w:tc>
        <w:tc>
          <w:tcPr>
            <w:tcW w:w="1026" w:type="pct"/>
            <w:vMerge w:val="restart"/>
            <w:vAlign w:val="center"/>
          </w:tcPr>
          <w:p w14:paraId="186203C1">
            <w:pPr>
              <w:pStyle w:val="84"/>
              <w:adjustRightInd w:val="0"/>
              <w:snapToGrid w:val="0"/>
              <w:spacing w:line="276" w:lineRule="auto"/>
              <w:ind w:firstLine="0" w:firstLineChars="0"/>
              <w:jc w:val="center"/>
              <w:rPr>
                <w:rFonts w:ascii="Times New Roman" w:hAnsi="Times New Roman" w:cs="Times New Roman"/>
                <w:color w:val="auto"/>
                <w:sz w:val="21"/>
              </w:rPr>
            </w:pPr>
            <w:r>
              <w:rPr>
                <w:rFonts w:ascii="Times New Roman" w:hAnsi="Times New Roman" w:cs="Times New Roman"/>
                <w:color w:val="auto"/>
                <w:sz w:val="21"/>
              </w:rPr>
              <w:t>其他类型</w:t>
            </w:r>
          </w:p>
        </w:tc>
        <w:tc>
          <w:tcPr>
            <w:tcW w:w="1027" w:type="pct"/>
            <w:vMerge w:val="restart"/>
            <w:vAlign w:val="center"/>
          </w:tcPr>
          <w:p w14:paraId="0336D05E">
            <w:pPr>
              <w:pStyle w:val="84"/>
              <w:adjustRightInd w:val="0"/>
              <w:snapToGrid w:val="0"/>
              <w:spacing w:line="276" w:lineRule="auto"/>
              <w:ind w:firstLine="0" w:firstLineChars="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等效黏土防渗层Mb≥1.5m，K≤1×10</w:t>
            </w:r>
            <w:r>
              <w:rPr>
                <w:rFonts w:ascii="Times New Roman" w:hAnsi="Times New Roman" w:cs="Times New Roman"/>
                <w:color w:val="auto"/>
                <w:sz w:val="21"/>
                <w:vertAlign w:val="superscript"/>
                <w:lang w:eastAsia="zh-CN"/>
              </w:rPr>
              <w:t>-7</w:t>
            </w:r>
            <w:r>
              <w:rPr>
                <w:rFonts w:ascii="Times New Roman" w:hAnsi="Times New Roman" w:cs="Times New Roman"/>
                <w:color w:val="auto"/>
                <w:sz w:val="21"/>
                <w:lang w:eastAsia="zh-CN"/>
              </w:rPr>
              <w:t>cm/s；或参照GB18598</w:t>
            </w:r>
          </w:p>
        </w:tc>
      </w:tr>
      <w:tr w14:paraId="4A3B449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895" w:type="pct"/>
            <w:vMerge w:val="continue"/>
            <w:vAlign w:val="center"/>
          </w:tcPr>
          <w:p w14:paraId="1CDEAED3">
            <w:pPr>
              <w:pStyle w:val="84"/>
              <w:adjustRightInd w:val="0"/>
              <w:snapToGrid w:val="0"/>
              <w:spacing w:line="276" w:lineRule="auto"/>
              <w:ind w:firstLine="0" w:firstLineChars="0"/>
              <w:jc w:val="center"/>
              <w:rPr>
                <w:rFonts w:ascii="Times New Roman" w:hAnsi="Times New Roman" w:cs="Times New Roman"/>
                <w:color w:val="auto"/>
                <w:sz w:val="21"/>
                <w:lang w:eastAsia="zh-CN"/>
              </w:rPr>
            </w:pPr>
          </w:p>
        </w:tc>
        <w:tc>
          <w:tcPr>
            <w:tcW w:w="1026" w:type="pct"/>
            <w:vAlign w:val="center"/>
          </w:tcPr>
          <w:p w14:paraId="25E5A14E">
            <w:pPr>
              <w:pStyle w:val="84"/>
              <w:adjustRightInd w:val="0"/>
              <w:snapToGrid w:val="0"/>
              <w:spacing w:line="276" w:lineRule="auto"/>
              <w:ind w:firstLine="0" w:firstLineChars="0"/>
              <w:jc w:val="center"/>
              <w:rPr>
                <w:rFonts w:ascii="Times New Roman" w:hAnsi="Times New Roman" w:cs="Times New Roman"/>
                <w:color w:val="auto"/>
                <w:sz w:val="21"/>
              </w:rPr>
            </w:pPr>
            <w:r>
              <w:rPr>
                <w:rFonts w:ascii="Times New Roman" w:hAnsi="Times New Roman" w:cs="Times New Roman"/>
                <w:color w:val="auto"/>
                <w:sz w:val="21"/>
              </w:rPr>
              <w:t>中—强</w:t>
            </w:r>
          </w:p>
        </w:tc>
        <w:tc>
          <w:tcPr>
            <w:tcW w:w="1026" w:type="pct"/>
            <w:vAlign w:val="center"/>
          </w:tcPr>
          <w:p w14:paraId="756A0034">
            <w:pPr>
              <w:pStyle w:val="84"/>
              <w:adjustRightInd w:val="0"/>
              <w:snapToGrid w:val="0"/>
              <w:spacing w:line="276" w:lineRule="auto"/>
              <w:ind w:firstLine="0" w:firstLineChars="0"/>
              <w:jc w:val="center"/>
              <w:rPr>
                <w:rFonts w:ascii="Times New Roman" w:hAnsi="Times New Roman" w:cs="Times New Roman"/>
                <w:color w:val="auto"/>
                <w:sz w:val="21"/>
              </w:rPr>
            </w:pPr>
            <w:r>
              <w:rPr>
                <w:rFonts w:ascii="Times New Roman" w:hAnsi="Times New Roman" w:cs="Times New Roman"/>
                <w:color w:val="auto"/>
                <w:sz w:val="21"/>
              </w:rPr>
              <w:t>难</w:t>
            </w:r>
          </w:p>
        </w:tc>
        <w:tc>
          <w:tcPr>
            <w:tcW w:w="1026" w:type="pct"/>
            <w:vMerge w:val="continue"/>
            <w:vAlign w:val="center"/>
          </w:tcPr>
          <w:p w14:paraId="7E96C70B">
            <w:pPr>
              <w:pStyle w:val="84"/>
              <w:adjustRightInd w:val="0"/>
              <w:snapToGrid w:val="0"/>
              <w:spacing w:line="276" w:lineRule="auto"/>
              <w:ind w:firstLine="0" w:firstLineChars="0"/>
              <w:jc w:val="center"/>
              <w:rPr>
                <w:rFonts w:ascii="Times New Roman" w:hAnsi="Times New Roman" w:cs="Times New Roman"/>
                <w:color w:val="auto"/>
                <w:sz w:val="21"/>
              </w:rPr>
            </w:pPr>
          </w:p>
        </w:tc>
        <w:tc>
          <w:tcPr>
            <w:tcW w:w="1027" w:type="pct"/>
            <w:vMerge w:val="continue"/>
            <w:vAlign w:val="center"/>
          </w:tcPr>
          <w:p w14:paraId="795EF072">
            <w:pPr>
              <w:pStyle w:val="84"/>
              <w:adjustRightInd w:val="0"/>
              <w:snapToGrid w:val="0"/>
              <w:spacing w:line="276" w:lineRule="auto"/>
              <w:ind w:firstLine="0" w:firstLineChars="0"/>
              <w:jc w:val="center"/>
              <w:rPr>
                <w:rFonts w:ascii="Times New Roman" w:hAnsi="Times New Roman" w:cs="Times New Roman"/>
                <w:color w:val="auto"/>
                <w:sz w:val="21"/>
              </w:rPr>
            </w:pPr>
          </w:p>
        </w:tc>
      </w:tr>
      <w:tr w14:paraId="3486F56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895" w:type="pct"/>
            <w:vMerge w:val="continue"/>
            <w:vAlign w:val="center"/>
          </w:tcPr>
          <w:p w14:paraId="5EC251F4">
            <w:pPr>
              <w:pStyle w:val="84"/>
              <w:adjustRightInd w:val="0"/>
              <w:snapToGrid w:val="0"/>
              <w:spacing w:line="276" w:lineRule="auto"/>
              <w:ind w:firstLine="0" w:firstLineChars="0"/>
              <w:jc w:val="center"/>
              <w:rPr>
                <w:rFonts w:ascii="Times New Roman" w:hAnsi="Times New Roman" w:cs="Times New Roman"/>
                <w:color w:val="auto"/>
                <w:sz w:val="21"/>
              </w:rPr>
            </w:pPr>
          </w:p>
        </w:tc>
        <w:tc>
          <w:tcPr>
            <w:tcW w:w="1026" w:type="pct"/>
            <w:vAlign w:val="center"/>
          </w:tcPr>
          <w:p w14:paraId="5FCEF154">
            <w:pPr>
              <w:pStyle w:val="84"/>
              <w:adjustRightInd w:val="0"/>
              <w:snapToGrid w:val="0"/>
              <w:spacing w:line="276" w:lineRule="auto"/>
              <w:ind w:firstLine="0" w:firstLineChars="0"/>
              <w:jc w:val="center"/>
              <w:rPr>
                <w:rFonts w:ascii="Times New Roman" w:hAnsi="Times New Roman" w:cs="Times New Roman"/>
                <w:color w:val="auto"/>
                <w:sz w:val="21"/>
              </w:rPr>
            </w:pPr>
            <w:r>
              <w:rPr>
                <w:rFonts w:ascii="Times New Roman" w:hAnsi="Times New Roman" w:cs="Times New Roman"/>
                <w:color w:val="auto"/>
                <w:sz w:val="21"/>
              </w:rPr>
              <w:t>中—强</w:t>
            </w:r>
          </w:p>
        </w:tc>
        <w:tc>
          <w:tcPr>
            <w:tcW w:w="1026" w:type="pct"/>
            <w:vAlign w:val="center"/>
          </w:tcPr>
          <w:p w14:paraId="210D0EBD">
            <w:pPr>
              <w:pStyle w:val="84"/>
              <w:adjustRightInd w:val="0"/>
              <w:snapToGrid w:val="0"/>
              <w:spacing w:line="276" w:lineRule="auto"/>
              <w:ind w:firstLine="0" w:firstLineChars="0"/>
              <w:jc w:val="center"/>
              <w:rPr>
                <w:rFonts w:ascii="Times New Roman" w:hAnsi="Times New Roman" w:cs="Times New Roman"/>
                <w:color w:val="auto"/>
                <w:sz w:val="21"/>
              </w:rPr>
            </w:pPr>
            <w:r>
              <w:rPr>
                <w:rFonts w:ascii="Times New Roman" w:hAnsi="Times New Roman" w:cs="Times New Roman"/>
                <w:color w:val="auto"/>
                <w:sz w:val="21"/>
              </w:rPr>
              <w:t>易</w:t>
            </w:r>
          </w:p>
        </w:tc>
        <w:tc>
          <w:tcPr>
            <w:tcW w:w="1026" w:type="pct"/>
            <w:vAlign w:val="center"/>
          </w:tcPr>
          <w:p w14:paraId="0CFB3FBB">
            <w:pPr>
              <w:pStyle w:val="84"/>
              <w:adjustRightInd w:val="0"/>
              <w:snapToGrid w:val="0"/>
              <w:spacing w:line="276" w:lineRule="auto"/>
              <w:ind w:firstLine="0" w:firstLineChars="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重金属、持久性有机污染物</w:t>
            </w:r>
          </w:p>
        </w:tc>
        <w:tc>
          <w:tcPr>
            <w:tcW w:w="1027" w:type="pct"/>
            <w:vMerge w:val="continue"/>
            <w:vAlign w:val="center"/>
          </w:tcPr>
          <w:p w14:paraId="1DC89EF6">
            <w:pPr>
              <w:pStyle w:val="84"/>
              <w:adjustRightInd w:val="0"/>
              <w:snapToGrid w:val="0"/>
              <w:spacing w:line="276" w:lineRule="auto"/>
              <w:ind w:firstLine="0" w:firstLineChars="0"/>
              <w:jc w:val="center"/>
              <w:rPr>
                <w:rFonts w:ascii="Times New Roman" w:hAnsi="Times New Roman" w:cs="Times New Roman"/>
                <w:color w:val="auto"/>
                <w:sz w:val="21"/>
                <w:lang w:eastAsia="zh-CN"/>
              </w:rPr>
            </w:pPr>
          </w:p>
        </w:tc>
      </w:tr>
      <w:tr w14:paraId="1F84CA4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895" w:type="pct"/>
            <w:vAlign w:val="center"/>
          </w:tcPr>
          <w:p w14:paraId="3881F099">
            <w:pPr>
              <w:pStyle w:val="84"/>
              <w:adjustRightInd w:val="0"/>
              <w:snapToGrid w:val="0"/>
              <w:spacing w:line="276" w:lineRule="auto"/>
              <w:ind w:firstLine="0" w:firstLineChars="0"/>
              <w:jc w:val="center"/>
              <w:rPr>
                <w:rFonts w:ascii="Times New Roman" w:hAnsi="Times New Roman" w:cs="Times New Roman"/>
                <w:color w:val="auto"/>
                <w:sz w:val="21"/>
              </w:rPr>
            </w:pPr>
            <w:r>
              <w:rPr>
                <w:rFonts w:ascii="Times New Roman" w:hAnsi="Times New Roman" w:cs="Times New Roman"/>
                <w:color w:val="auto"/>
                <w:sz w:val="21"/>
              </w:rPr>
              <w:t>简单防渗区</w:t>
            </w:r>
          </w:p>
        </w:tc>
        <w:tc>
          <w:tcPr>
            <w:tcW w:w="1026" w:type="pct"/>
            <w:vAlign w:val="center"/>
          </w:tcPr>
          <w:p w14:paraId="6BF7F88B">
            <w:pPr>
              <w:pStyle w:val="84"/>
              <w:adjustRightInd w:val="0"/>
              <w:snapToGrid w:val="0"/>
              <w:spacing w:line="276" w:lineRule="auto"/>
              <w:ind w:firstLine="0" w:firstLineChars="0"/>
              <w:jc w:val="center"/>
              <w:rPr>
                <w:rFonts w:ascii="Times New Roman" w:hAnsi="Times New Roman" w:cs="Times New Roman"/>
                <w:color w:val="auto"/>
                <w:sz w:val="21"/>
              </w:rPr>
            </w:pPr>
            <w:r>
              <w:rPr>
                <w:rFonts w:ascii="Times New Roman" w:hAnsi="Times New Roman" w:cs="Times New Roman"/>
                <w:color w:val="auto"/>
                <w:sz w:val="21"/>
              </w:rPr>
              <w:t>中—强</w:t>
            </w:r>
          </w:p>
        </w:tc>
        <w:tc>
          <w:tcPr>
            <w:tcW w:w="1026" w:type="pct"/>
            <w:vAlign w:val="center"/>
          </w:tcPr>
          <w:p w14:paraId="2306D9F8">
            <w:pPr>
              <w:pStyle w:val="84"/>
              <w:adjustRightInd w:val="0"/>
              <w:snapToGrid w:val="0"/>
              <w:spacing w:line="276" w:lineRule="auto"/>
              <w:ind w:firstLine="0" w:firstLineChars="0"/>
              <w:jc w:val="center"/>
              <w:rPr>
                <w:rFonts w:ascii="Times New Roman" w:hAnsi="Times New Roman" w:cs="Times New Roman"/>
                <w:color w:val="auto"/>
                <w:sz w:val="21"/>
              </w:rPr>
            </w:pPr>
            <w:r>
              <w:rPr>
                <w:rFonts w:ascii="Times New Roman" w:hAnsi="Times New Roman" w:cs="Times New Roman"/>
                <w:color w:val="auto"/>
                <w:sz w:val="21"/>
              </w:rPr>
              <w:t>易</w:t>
            </w:r>
          </w:p>
        </w:tc>
        <w:tc>
          <w:tcPr>
            <w:tcW w:w="1026" w:type="pct"/>
            <w:vAlign w:val="center"/>
          </w:tcPr>
          <w:p w14:paraId="58E4C11B">
            <w:pPr>
              <w:pStyle w:val="84"/>
              <w:adjustRightInd w:val="0"/>
              <w:snapToGrid w:val="0"/>
              <w:spacing w:line="276" w:lineRule="auto"/>
              <w:ind w:firstLine="0" w:firstLineChars="0"/>
              <w:jc w:val="center"/>
              <w:rPr>
                <w:rFonts w:ascii="Times New Roman" w:hAnsi="Times New Roman" w:cs="Times New Roman"/>
                <w:color w:val="auto"/>
                <w:sz w:val="21"/>
              </w:rPr>
            </w:pPr>
            <w:r>
              <w:rPr>
                <w:rFonts w:ascii="Times New Roman" w:hAnsi="Times New Roman" w:cs="Times New Roman"/>
                <w:color w:val="auto"/>
                <w:sz w:val="21"/>
              </w:rPr>
              <w:t>其他类型</w:t>
            </w:r>
          </w:p>
        </w:tc>
        <w:tc>
          <w:tcPr>
            <w:tcW w:w="1027" w:type="pct"/>
            <w:vAlign w:val="center"/>
          </w:tcPr>
          <w:p w14:paraId="5AD1039F">
            <w:pPr>
              <w:pStyle w:val="84"/>
              <w:adjustRightInd w:val="0"/>
              <w:snapToGrid w:val="0"/>
              <w:spacing w:line="276" w:lineRule="auto"/>
              <w:ind w:firstLine="0" w:firstLineChars="0"/>
              <w:jc w:val="center"/>
              <w:rPr>
                <w:rFonts w:ascii="Times New Roman" w:hAnsi="Times New Roman" w:cs="Times New Roman"/>
                <w:color w:val="auto"/>
                <w:sz w:val="21"/>
              </w:rPr>
            </w:pPr>
            <w:r>
              <w:rPr>
                <w:rFonts w:ascii="Times New Roman" w:hAnsi="Times New Roman" w:cs="Times New Roman"/>
                <w:color w:val="auto"/>
                <w:sz w:val="21"/>
              </w:rPr>
              <w:t>一般地面硬化</w:t>
            </w:r>
          </w:p>
        </w:tc>
      </w:tr>
    </w:tbl>
    <w:p w14:paraId="44518FCA">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参照（HJ610-2016）要求，并根据厂区可能泄漏至地面区域污染物的性质以及各设施及建构筑物污染物难易控制程度进行分级，本项目分区防渗情况如下。</w:t>
      </w:r>
    </w:p>
    <w:p w14:paraId="08060B7B">
      <w:pPr>
        <w:pStyle w:val="84"/>
        <w:widowControl w:val="0"/>
        <w:spacing w:line="360" w:lineRule="auto"/>
        <w:ind w:firstLine="48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1）重点防渗区：重点防渗区是指对地下水环境隐患大的区域，泄漏污染物可能会对地下水造成污染，泄漏不易及时发现和处理，需要重点防治或者需要重点保护的区域。主要包括本项目生产车间、化学品库及事故应急池等区域。根据《石油化工工程防渗技术规范》（GB/T50934-2013）以及《</w:t>
      </w:r>
      <w:r>
        <w:rPr>
          <w:rFonts w:ascii="Times New Roman" w:hAnsi="Times New Roman" w:cs="Times New Roman"/>
          <w:color w:val="auto"/>
          <w:lang w:eastAsia="zh-CN"/>
        </w:rPr>
        <w:t>环境影响评价技术导则地下水环境》（HJ610-2016），防渗要求如下：等效黏土防渗层Mb≥6.0m，K≤1×10</w:t>
      </w:r>
      <w:r>
        <w:rPr>
          <w:rFonts w:ascii="Times New Roman" w:hAnsi="Times New Roman" w:cs="Times New Roman"/>
          <w:color w:val="auto"/>
          <w:vertAlign w:val="superscript"/>
          <w:lang w:eastAsia="zh-CN"/>
        </w:rPr>
        <w:t>-7</w:t>
      </w:r>
      <w:r>
        <w:rPr>
          <w:rFonts w:ascii="Times New Roman" w:hAnsi="Times New Roman" w:cs="Times New Roman"/>
          <w:color w:val="auto"/>
          <w:lang w:eastAsia="zh-CN"/>
        </w:rPr>
        <w:t>cm/s；或参照GB18598。</w:t>
      </w:r>
    </w:p>
    <w:p w14:paraId="6AF33204">
      <w:pPr>
        <w:pStyle w:val="84"/>
        <w:widowControl w:val="0"/>
        <w:spacing w:line="360" w:lineRule="auto"/>
        <w:ind w:firstLine="48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（2）一般防渗区：一般防渗区是指泄漏污染物可能会对地下水造成污染，但危害性和风险程度较低，或者泄漏容易及时发现和处理的区域，主要包括本项目一般工业固体废物暂存库等区域。一般防渗区</w:t>
      </w:r>
      <w:r>
        <w:rPr>
          <w:rFonts w:ascii="Times New Roman" w:hAnsi="Times New Roman" w:cs="Times New Roman"/>
          <w:color w:val="auto"/>
          <w:lang w:eastAsia="zh-CN"/>
        </w:rPr>
        <w:t>防渗要求如下：等效黏土防渗层Mb≥1.5m，K≤1×10</w:t>
      </w:r>
      <w:r>
        <w:rPr>
          <w:rFonts w:ascii="Times New Roman" w:hAnsi="Times New Roman" w:cs="Times New Roman"/>
          <w:color w:val="auto"/>
          <w:vertAlign w:val="superscript"/>
          <w:lang w:eastAsia="zh-CN"/>
        </w:rPr>
        <w:t>-7</w:t>
      </w:r>
      <w:r>
        <w:rPr>
          <w:rFonts w:ascii="Times New Roman" w:hAnsi="Times New Roman" w:cs="Times New Roman"/>
          <w:color w:val="auto"/>
          <w:lang w:eastAsia="zh-CN"/>
        </w:rPr>
        <w:t>cm/s。</w:t>
      </w:r>
    </w:p>
    <w:p w14:paraId="0ED2B679">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（3）简单防渗区：一般不会对地下水造成污染的区域，主要包括项目办公生活区、厂区道路等，只需一般地面硬化。</w:t>
      </w:r>
    </w:p>
    <w:p w14:paraId="44AEEC8A">
      <w:pPr>
        <w:pStyle w:val="84"/>
        <w:widowControl w:val="0"/>
        <w:spacing w:line="360" w:lineRule="auto"/>
        <w:ind w:firstLine="48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本项目分区防渗情况见下表。</w:t>
      </w:r>
    </w:p>
    <w:p w14:paraId="05B546E6">
      <w:pPr>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表8.2-</w:t>
      </w:r>
      <w:r>
        <w:rPr>
          <w:rFonts w:hint="eastAsia" w:ascii="Times New Roman" w:hAnsi="Times New Roman" w:cs="Times New Roman"/>
          <w:b/>
          <w:bCs/>
          <w:color w:val="auto"/>
          <w:szCs w:val="24"/>
          <w:lang w:eastAsia="zh-CN"/>
        </w:rPr>
        <w:t>11</w:t>
      </w:r>
      <w:r>
        <w:rPr>
          <w:rFonts w:ascii="Times New Roman" w:hAnsi="Times New Roman" w:cs="Times New Roman"/>
          <w:b/>
          <w:bCs/>
          <w:color w:val="auto"/>
          <w:szCs w:val="24"/>
          <w:lang w:eastAsia="zh-CN"/>
        </w:rPr>
        <w:t xml:space="preserve">  本项目分区防渗一览表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618"/>
        <w:gridCol w:w="1234"/>
        <w:gridCol w:w="2838"/>
        <w:gridCol w:w="4949"/>
      </w:tblGrid>
      <w:tr w14:paraId="0DCACB6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961" w:type="pct"/>
            <w:gridSpan w:val="2"/>
            <w:vAlign w:val="center"/>
          </w:tcPr>
          <w:p w14:paraId="166D9417">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分区</w:t>
            </w:r>
          </w:p>
        </w:tc>
        <w:tc>
          <w:tcPr>
            <w:tcW w:w="1472" w:type="pct"/>
            <w:vAlign w:val="center"/>
          </w:tcPr>
          <w:p w14:paraId="04D6E21E">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厂内分区</w:t>
            </w:r>
          </w:p>
        </w:tc>
        <w:tc>
          <w:tcPr>
            <w:tcW w:w="2567" w:type="pct"/>
            <w:vAlign w:val="center"/>
          </w:tcPr>
          <w:p w14:paraId="42AD4F5F">
            <w:pPr>
              <w:adjustRightInd w:val="0"/>
              <w:snapToGrid w:val="0"/>
              <w:jc w:val="center"/>
              <w:rPr>
                <w:rFonts w:ascii="Times New Roman" w:hAnsi="Times New Roman" w:cs="Times New Roman"/>
                <w:b/>
                <w:color w:val="auto"/>
                <w:sz w:val="21"/>
              </w:rPr>
            </w:pPr>
            <w:r>
              <w:rPr>
                <w:rFonts w:ascii="Times New Roman" w:hAnsi="Times New Roman" w:cs="Times New Roman"/>
                <w:b/>
                <w:color w:val="auto"/>
                <w:sz w:val="21"/>
              </w:rPr>
              <w:t>防渗等级</w:t>
            </w:r>
          </w:p>
        </w:tc>
      </w:tr>
      <w:tr w14:paraId="65EE63A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21" w:type="pct"/>
            <w:vMerge w:val="restart"/>
            <w:vAlign w:val="center"/>
          </w:tcPr>
          <w:p w14:paraId="37E8EFE0">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污染区</w:t>
            </w:r>
          </w:p>
        </w:tc>
        <w:tc>
          <w:tcPr>
            <w:tcW w:w="640" w:type="pct"/>
            <w:vMerge w:val="restart"/>
            <w:vAlign w:val="center"/>
          </w:tcPr>
          <w:p w14:paraId="7E474195">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重点污染防治区</w:t>
            </w:r>
          </w:p>
        </w:tc>
        <w:tc>
          <w:tcPr>
            <w:tcW w:w="1472" w:type="pct"/>
            <w:vAlign w:val="center"/>
          </w:tcPr>
          <w:p w14:paraId="0EABEFD6">
            <w:pPr>
              <w:adjustRightInd w:val="0"/>
              <w:snapToGrid w:val="0"/>
              <w:jc w:val="center"/>
              <w:rPr>
                <w:rFonts w:ascii="Times New Roman" w:hAnsi="Times New Roman" w:cs="Times New Roman"/>
                <w:b/>
                <w:color w:val="auto"/>
                <w:sz w:val="21"/>
                <w:lang w:eastAsia="zh-CN"/>
              </w:rPr>
            </w:pPr>
            <w:r>
              <w:rPr>
                <w:rFonts w:hint="eastAsia" w:ascii="Times New Roman" w:hAnsi="Times New Roman" w:cs="Times New Roman"/>
                <w:color w:val="auto"/>
                <w:sz w:val="21"/>
                <w:lang w:eastAsia="zh-CN"/>
              </w:rPr>
              <w:t>综合车间、刻蚀液混配车间</w:t>
            </w:r>
          </w:p>
        </w:tc>
        <w:tc>
          <w:tcPr>
            <w:tcW w:w="2567" w:type="pct"/>
            <w:vMerge w:val="restart"/>
            <w:vAlign w:val="center"/>
          </w:tcPr>
          <w:p w14:paraId="751C9E36">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等效黏土防渗层Mb≥6.0m，K≤1×10</w:t>
            </w:r>
            <w:r>
              <w:rPr>
                <w:rFonts w:ascii="Times New Roman" w:hAnsi="Times New Roman" w:cs="Times New Roman"/>
                <w:color w:val="auto"/>
                <w:sz w:val="21"/>
                <w:vertAlign w:val="superscript"/>
              </w:rPr>
              <w:t>-7</w:t>
            </w:r>
            <w:r>
              <w:rPr>
                <w:rFonts w:ascii="Times New Roman" w:hAnsi="Times New Roman" w:cs="Times New Roman"/>
                <w:color w:val="auto"/>
                <w:sz w:val="21"/>
              </w:rPr>
              <w:t>cm/s</w:t>
            </w:r>
          </w:p>
        </w:tc>
      </w:tr>
      <w:tr w14:paraId="102120D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21" w:type="pct"/>
            <w:vMerge w:val="continue"/>
            <w:vAlign w:val="center"/>
          </w:tcPr>
          <w:p w14:paraId="05728040">
            <w:pPr>
              <w:adjustRightInd w:val="0"/>
              <w:snapToGrid w:val="0"/>
              <w:jc w:val="center"/>
              <w:rPr>
                <w:rFonts w:ascii="Times New Roman" w:hAnsi="Times New Roman" w:cs="Times New Roman"/>
                <w:color w:val="auto"/>
                <w:sz w:val="21"/>
              </w:rPr>
            </w:pPr>
          </w:p>
        </w:tc>
        <w:tc>
          <w:tcPr>
            <w:tcW w:w="640" w:type="pct"/>
            <w:vMerge w:val="continue"/>
            <w:vAlign w:val="center"/>
          </w:tcPr>
          <w:p w14:paraId="14AEC4A9">
            <w:pPr>
              <w:adjustRightInd w:val="0"/>
              <w:snapToGrid w:val="0"/>
              <w:jc w:val="center"/>
              <w:rPr>
                <w:rFonts w:ascii="Times New Roman" w:hAnsi="Times New Roman" w:cs="Times New Roman"/>
                <w:color w:val="auto"/>
                <w:sz w:val="21"/>
              </w:rPr>
            </w:pPr>
          </w:p>
        </w:tc>
        <w:tc>
          <w:tcPr>
            <w:tcW w:w="1472" w:type="pct"/>
            <w:vAlign w:val="center"/>
          </w:tcPr>
          <w:p w14:paraId="0FBB3DB9">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无水氟化氢库房、原料及产品罐区、丁类仓库、戊类罐区二</w:t>
            </w:r>
          </w:p>
        </w:tc>
        <w:tc>
          <w:tcPr>
            <w:tcW w:w="2567" w:type="pct"/>
            <w:vMerge w:val="continue"/>
            <w:vAlign w:val="center"/>
          </w:tcPr>
          <w:p w14:paraId="1D3B89C6">
            <w:pPr>
              <w:adjustRightInd w:val="0"/>
              <w:snapToGrid w:val="0"/>
              <w:jc w:val="center"/>
              <w:rPr>
                <w:rFonts w:ascii="Times New Roman" w:hAnsi="Times New Roman" w:cs="Times New Roman"/>
                <w:color w:val="auto"/>
                <w:sz w:val="21"/>
                <w:lang w:eastAsia="zh-CN"/>
              </w:rPr>
            </w:pPr>
          </w:p>
        </w:tc>
      </w:tr>
      <w:tr w14:paraId="2EAA50F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21" w:type="pct"/>
            <w:vMerge w:val="continue"/>
            <w:vAlign w:val="center"/>
          </w:tcPr>
          <w:p w14:paraId="1095B499">
            <w:pPr>
              <w:adjustRightInd w:val="0"/>
              <w:snapToGrid w:val="0"/>
              <w:jc w:val="center"/>
              <w:rPr>
                <w:rFonts w:ascii="Times New Roman" w:hAnsi="Times New Roman" w:cs="Times New Roman"/>
                <w:color w:val="auto"/>
                <w:sz w:val="21"/>
                <w:lang w:eastAsia="zh-CN"/>
              </w:rPr>
            </w:pPr>
          </w:p>
        </w:tc>
        <w:tc>
          <w:tcPr>
            <w:tcW w:w="640" w:type="pct"/>
            <w:vMerge w:val="continue"/>
            <w:vAlign w:val="center"/>
          </w:tcPr>
          <w:p w14:paraId="5A3E068E">
            <w:pPr>
              <w:adjustRightInd w:val="0"/>
              <w:snapToGrid w:val="0"/>
              <w:jc w:val="center"/>
              <w:rPr>
                <w:rFonts w:ascii="Times New Roman" w:hAnsi="Times New Roman" w:cs="Times New Roman"/>
                <w:color w:val="auto"/>
                <w:sz w:val="21"/>
                <w:lang w:eastAsia="zh-CN"/>
              </w:rPr>
            </w:pPr>
          </w:p>
        </w:tc>
        <w:tc>
          <w:tcPr>
            <w:tcW w:w="1472" w:type="pct"/>
            <w:vAlign w:val="center"/>
          </w:tcPr>
          <w:p w14:paraId="188E5F8A">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污水处理站及管网、事故应急池、初期雨水池</w:t>
            </w:r>
          </w:p>
        </w:tc>
        <w:tc>
          <w:tcPr>
            <w:tcW w:w="2567" w:type="pct"/>
            <w:vMerge w:val="continue"/>
            <w:vAlign w:val="center"/>
          </w:tcPr>
          <w:p w14:paraId="28F3DE77">
            <w:pPr>
              <w:adjustRightInd w:val="0"/>
              <w:snapToGrid w:val="0"/>
              <w:jc w:val="center"/>
              <w:rPr>
                <w:rFonts w:ascii="Times New Roman" w:hAnsi="Times New Roman" w:cs="Times New Roman"/>
                <w:color w:val="auto"/>
                <w:sz w:val="21"/>
                <w:lang w:eastAsia="zh-CN"/>
              </w:rPr>
            </w:pPr>
          </w:p>
        </w:tc>
      </w:tr>
      <w:tr w14:paraId="0D896A9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21" w:type="pct"/>
            <w:vMerge w:val="continue"/>
            <w:vAlign w:val="center"/>
          </w:tcPr>
          <w:p w14:paraId="491B7CA4">
            <w:pPr>
              <w:adjustRightInd w:val="0"/>
              <w:snapToGrid w:val="0"/>
              <w:jc w:val="center"/>
              <w:rPr>
                <w:rFonts w:ascii="Times New Roman" w:hAnsi="Times New Roman" w:cs="Times New Roman"/>
                <w:color w:val="auto"/>
                <w:sz w:val="21"/>
                <w:lang w:eastAsia="zh-CN"/>
              </w:rPr>
            </w:pPr>
          </w:p>
        </w:tc>
        <w:tc>
          <w:tcPr>
            <w:tcW w:w="640" w:type="pct"/>
            <w:vMerge w:val="continue"/>
            <w:vAlign w:val="center"/>
          </w:tcPr>
          <w:p w14:paraId="3E897C57">
            <w:pPr>
              <w:adjustRightInd w:val="0"/>
              <w:snapToGrid w:val="0"/>
              <w:jc w:val="center"/>
              <w:rPr>
                <w:rFonts w:ascii="Times New Roman" w:hAnsi="Times New Roman" w:cs="Times New Roman"/>
                <w:color w:val="auto"/>
                <w:sz w:val="21"/>
                <w:lang w:eastAsia="zh-CN"/>
              </w:rPr>
            </w:pPr>
          </w:p>
        </w:tc>
        <w:tc>
          <w:tcPr>
            <w:tcW w:w="1472" w:type="pct"/>
            <w:vAlign w:val="center"/>
          </w:tcPr>
          <w:p w14:paraId="3B73EA80">
            <w:pPr>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危废库</w:t>
            </w:r>
          </w:p>
        </w:tc>
        <w:tc>
          <w:tcPr>
            <w:tcW w:w="2567" w:type="pct"/>
            <w:vAlign w:val="center"/>
          </w:tcPr>
          <w:p w14:paraId="68F8029F">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000000" w:themeColor="text1"/>
                <w:sz w:val="21"/>
                <w:lang w:eastAsia="zh-CN"/>
                <w14:textFill>
                  <w14:solidFill>
                    <w14:schemeClr w14:val="tx1"/>
                  </w14:solidFill>
                </w14:textFill>
              </w:rPr>
              <w:t>至少1m厚黏土层（渗透系数≤10</w:t>
            </w:r>
            <w:r>
              <w:rPr>
                <w:rFonts w:ascii="Times New Roman" w:hAnsi="Times New Roman" w:cs="Times New Roman"/>
                <w:color w:val="000000" w:themeColor="text1"/>
                <w:sz w:val="21"/>
                <w:vertAlign w:val="superscript"/>
                <w:lang w:eastAsia="zh-CN"/>
                <w14:textFill>
                  <w14:solidFill>
                    <w14:schemeClr w14:val="tx1"/>
                  </w14:solidFill>
                </w14:textFill>
              </w:rPr>
              <w:t>-7</w:t>
            </w:r>
            <w:r>
              <w:rPr>
                <w:rFonts w:ascii="Times New Roman" w:hAnsi="Times New Roman" w:cs="Times New Roman"/>
                <w:color w:val="000000" w:themeColor="text1"/>
                <w:sz w:val="21"/>
                <w:lang w:eastAsia="zh-CN"/>
                <w14:textFill>
                  <w14:solidFill>
                    <w14:schemeClr w14:val="tx1"/>
                  </w14:solidFill>
                </w14:textFill>
              </w:rPr>
              <w:t>cm/s），或至少2mm厚高密度聚乙烯膜等人工防渗材料（渗透系数≤10</w:t>
            </w:r>
            <w:r>
              <w:rPr>
                <w:rFonts w:ascii="Times New Roman" w:hAnsi="Times New Roman" w:cs="Times New Roman"/>
                <w:color w:val="000000" w:themeColor="text1"/>
                <w:sz w:val="21"/>
                <w:vertAlign w:val="superscript"/>
                <w:lang w:eastAsia="zh-CN"/>
                <w14:textFill>
                  <w14:solidFill>
                    <w14:schemeClr w14:val="tx1"/>
                  </w14:solidFill>
                </w14:textFill>
              </w:rPr>
              <w:t>-10</w:t>
            </w:r>
            <w:r>
              <w:rPr>
                <w:rFonts w:ascii="Times New Roman" w:hAnsi="Times New Roman" w:cs="Times New Roman"/>
                <w:color w:val="000000" w:themeColor="text1"/>
                <w:sz w:val="21"/>
                <w:lang w:eastAsia="zh-CN"/>
                <w14:textFill>
                  <w14:solidFill>
                    <w14:schemeClr w14:val="tx1"/>
                  </w14:solidFill>
                </w14:textFill>
              </w:rPr>
              <w:t>cm/s），或其他防渗性能等效的材料</w:t>
            </w:r>
          </w:p>
        </w:tc>
      </w:tr>
      <w:tr w14:paraId="0DEB574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21" w:type="pct"/>
            <w:vMerge w:val="continue"/>
            <w:vAlign w:val="center"/>
          </w:tcPr>
          <w:p w14:paraId="0E770F28">
            <w:pPr>
              <w:adjustRightInd w:val="0"/>
              <w:snapToGrid w:val="0"/>
              <w:jc w:val="center"/>
              <w:rPr>
                <w:rFonts w:ascii="Times New Roman" w:hAnsi="Times New Roman" w:cs="Times New Roman"/>
                <w:color w:val="auto"/>
                <w:sz w:val="21"/>
                <w:lang w:eastAsia="zh-CN"/>
              </w:rPr>
            </w:pPr>
          </w:p>
        </w:tc>
        <w:tc>
          <w:tcPr>
            <w:tcW w:w="640" w:type="pct"/>
            <w:vMerge w:val="restart"/>
            <w:vAlign w:val="center"/>
          </w:tcPr>
          <w:p w14:paraId="088D2BE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一般污染防治区</w:t>
            </w:r>
          </w:p>
        </w:tc>
        <w:tc>
          <w:tcPr>
            <w:tcW w:w="1472" w:type="pct"/>
            <w:vAlign w:val="center"/>
          </w:tcPr>
          <w:p w14:paraId="2ADA0381">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公用工程区、辅助工程区</w:t>
            </w:r>
          </w:p>
        </w:tc>
        <w:tc>
          <w:tcPr>
            <w:tcW w:w="2567" w:type="pct"/>
            <w:vMerge w:val="restart"/>
            <w:vAlign w:val="center"/>
          </w:tcPr>
          <w:p w14:paraId="08C5236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等效黏土防渗层Mb≥1.5m，K≤1×10</w:t>
            </w:r>
            <w:r>
              <w:rPr>
                <w:rFonts w:ascii="Times New Roman" w:hAnsi="Times New Roman" w:cs="Times New Roman"/>
                <w:color w:val="auto"/>
                <w:sz w:val="21"/>
                <w:vertAlign w:val="superscript"/>
              </w:rPr>
              <w:t>-7</w:t>
            </w:r>
            <w:r>
              <w:rPr>
                <w:rFonts w:ascii="Times New Roman" w:hAnsi="Times New Roman" w:cs="Times New Roman"/>
                <w:color w:val="auto"/>
                <w:sz w:val="21"/>
              </w:rPr>
              <w:t>cm/s</w:t>
            </w:r>
          </w:p>
        </w:tc>
      </w:tr>
      <w:tr w14:paraId="431D501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21" w:type="pct"/>
            <w:vMerge w:val="continue"/>
            <w:vAlign w:val="center"/>
          </w:tcPr>
          <w:p w14:paraId="1880B948">
            <w:pPr>
              <w:adjustRightInd w:val="0"/>
              <w:snapToGrid w:val="0"/>
              <w:jc w:val="center"/>
              <w:rPr>
                <w:rFonts w:ascii="Times New Roman" w:hAnsi="Times New Roman" w:cs="Times New Roman"/>
                <w:color w:val="auto"/>
                <w:sz w:val="21"/>
              </w:rPr>
            </w:pPr>
          </w:p>
        </w:tc>
        <w:tc>
          <w:tcPr>
            <w:tcW w:w="640" w:type="pct"/>
            <w:vMerge w:val="continue"/>
            <w:vAlign w:val="center"/>
          </w:tcPr>
          <w:p w14:paraId="1D50BB40">
            <w:pPr>
              <w:adjustRightInd w:val="0"/>
              <w:snapToGrid w:val="0"/>
              <w:jc w:val="center"/>
              <w:rPr>
                <w:rFonts w:ascii="Times New Roman" w:hAnsi="Times New Roman" w:cs="Times New Roman"/>
                <w:color w:val="auto"/>
                <w:sz w:val="21"/>
              </w:rPr>
            </w:pPr>
          </w:p>
        </w:tc>
        <w:tc>
          <w:tcPr>
            <w:tcW w:w="1472" w:type="pct"/>
            <w:vAlign w:val="center"/>
          </w:tcPr>
          <w:p w14:paraId="3D2C53A7">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其他一般污染防治区</w:t>
            </w:r>
          </w:p>
        </w:tc>
        <w:tc>
          <w:tcPr>
            <w:tcW w:w="2567" w:type="pct"/>
            <w:vMerge w:val="continue"/>
            <w:vAlign w:val="center"/>
          </w:tcPr>
          <w:p w14:paraId="6891F97E">
            <w:pPr>
              <w:adjustRightInd w:val="0"/>
              <w:snapToGrid w:val="0"/>
              <w:jc w:val="center"/>
              <w:rPr>
                <w:rFonts w:ascii="Times New Roman" w:hAnsi="Times New Roman" w:cs="Times New Roman"/>
                <w:color w:val="auto"/>
                <w:sz w:val="21"/>
                <w:lang w:eastAsia="zh-CN"/>
              </w:rPr>
            </w:pPr>
          </w:p>
        </w:tc>
      </w:tr>
      <w:tr w14:paraId="1E91070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21" w:type="pct"/>
            <w:vAlign w:val="center"/>
          </w:tcPr>
          <w:p w14:paraId="56961264">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w:t>
            </w:r>
          </w:p>
        </w:tc>
        <w:tc>
          <w:tcPr>
            <w:tcW w:w="640" w:type="pct"/>
            <w:vAlign w:val="center"/>
          </w:tcPr>
          <w:p w14:paraId="564C5B39">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其他区域</w:t>
            </w:r>
          </w:p>
        </w:tc>
        <w:tc>
          <w:tcPr>
            <w:tcW w:w="1472" w:type="pct"/>
            <w:vAlign w:val="center"/>
          </w:tcPr>
          <w:p w14:paraId="4A546BD4">
            <w:pPr>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厂区道路</w:t>
            </w:r>
          </w:p>
        </w:tc>
        <w:tc>
          <w:tcPr>
            <w:tcW w:w="2567" w:type="pct"/>
            <w:vAlign w:val="center"/>
          </w:tcPr>
          <w:p w14:paraId="23B980DB">
            <w:pPr>
              <w:adjustRightInd w:val="0"/>
              <w:snapToGrid w:val="0"/>
              <w:jc w:val="center"/>
              <w:rPr>
                <w:rFonts w:ascii="Times New Roman" w:hAnsi="Times New Roman" w:cs="Times New Roman"/>
                <w:color w:val="auto"/>
                <w:sz w:val="21"/>
              </w:rPr>
            </w:pPr>
            <w:r>
              <w:rPr>
                <w:rFonts w:ascii="Times New Roman" w:hAnsi="Times New Roman" w:cs="Times New Roman"/>
                <w:color w:val="auto"/>
                <w:sz w:val="21"/>
              </w:rPr>
              <w:t>一般地面硬化</w:t>
            </w:r>
          </w:p>
        </w:tc>
      </w:tr>
    </w:tbl>
    <w:p w14:paraId="3CC89873">
      <w:pPr>
        <w:adjustRightInd w:val="0"/>
        <w:snapToGrid w:val="0"/>
        <w:spacing w:line="360" w:lineRule="auto"/>
        <w:jc w:val="center"/>
        <w:rPr>
          <w:rFonts w:ascii="Times New Roman" w:hAnsi="Times New Roman" w:cs="Times New Roman"/>
          <w:color w:val="auto"/>
        </w:rPr>
      </w:pPr>
      <w:r>
        <w:rPr>
          <w:rFonts w:ascii="Times New Roman" w:hAnsi="Times New Roman" w:cs="Times New Roman"/>
          <w:snapToGrid/>
          <w:color w:val="auto"/>
          <w:lang w:eastAsia="zh-CN"/>
        </w:rPr>
        <mc:AlternateContent>
          <mc:Choice Requires="wps">
            <w:drawing>
              <wp:anchor distT="0" distB="0" distL="114300" distR="114300" simplePos="0" relativeHeight="251874304" behindDoc="0" locked="0" layoutInCell="1" allowOverlap="1">
                <wp:simplePos x="0" y="0"/>
                <wp:positionH relativeFrom="column">
                  <wp:posOffset>742950</wp:posOffset>
                </wp:positionH>
                <wp:positionV relativeFrom="paragraph">
                  <wp:posOffset>6957060</wp:posOffset>
                </wp:positionV>
                <wp:extent cx="1068070" cy="338455"/>
                <wp:effectExtent l="0" t="0" r="1905" b="0"/>
                <wp:wrapNone/>
                <wp:docPr id="2092952688" name="自选图形 2308"/>
                <wp:cNvGraphicFramePr/>
                <a:graphic xmlns:a="http://schemas.openxmlformats.org/drawingml/2006/main">
                  <a:graphicData uri="http://schemas.microsoft.com/office/word/2010/wordprocessingShape">
                    <wps:wsp>
                      <wps:cNvSpPr>
                        <a:spLocks noChangeArrowheads="1"/>
                      </wps:cNvSpPr>
                      <wps:spPr bwMode="auto">
                        <a:xfrm>
                          <a:off x="0" y="0"/>
                          <a:ext cx="1068070" cy="338455"/>
                        </a:xfrm>
                        <a:prstGeom prst="flowChartProcess">
                          <a:avLst/>
                        </a:prstGeom>
                        <a:noFill/>
                        <a:ln>
                          <a:noFill/>
                        </a:ln>
                      </wps:spPr>
                      <wps:txbx>
                        <w:txbxContent>
                          <w:p w14:paraId="22916DD9">
                            <w:pPr>
                              <w:jc w:val="center"/>
                              <w:rPr>
                                <w:lang w:eastAsia="zh-CN"/>
                              </w:rPr>
                            </w:pPr>
                            <w:r>
                              <w:rPr>
                                <w:rFonts w:hint="eastAsia"/>
                                <w:lang w:eastAsia="zh-CN"/>
                              </w:rPr>
                              <w:t>辅助用房</w:t>
                            </w:r>
                          </w:p>
                        </w:txbxContent>
                      </wps:txbx>
                      <wps:bodyPr rot="0" vert="horz" wrap="square" lIns="91440" tIns="45720" rIns="91440" bIns="45720" anchor="t" anchorCtr="0" upright="1">
                        <a:noAutofit/>
                      </wps:bodyPr>
                    </wps:wsp>
                  </a:graphicData>
                </a:graphic>
              </wp:anchor>
            </w:drawing>
          </mc:Choice>
          <mc:Fallback>
            <w:pict>
              <v:shape id="自选图形 2308" o:spid="_x0000_s1026" o:spt="109" type="#_x0000_t109" style="position:absolute;left:0pt;margin-left:58.5pt;margin-top:547.8pt;height:26.65pt;width:84.1pt;z-index:251874304;mso-width-relative:page;mso-height-relative:page;" filled="f" stroked="f" coordsize="21600,21600" o:gfxdata="UEsDBAoAAAAAAIdO4kAAAAAAAAAAAAAAAAAEAAAAZHJzL1BLAwQUAAAACACHTuJAHvwCptkAAAAN&#10;AQAADwAAAGRycy9kb3ducmV2LnhtbE2PwU7DMBBE70j8g7VI3KidNG3TEKdCSBSuBC7ctvGSRMR2&#10;FLtp+/dsT3Db0Yxm35S7sx3ETFPovdOQLBQIco03vWs1fH68POQgQkRncPCONFwowK66vSmxMP7k&#10;3mmuYyu4xIUCNXQxjoWUoenIYlj4kRx7336yGFlOrTQTnrjcDjJVai0t9o4/dDjSc0fNT320Gubs&#10;6bL/2ry22dK8dSrs+wSXtdb3d4l6BBHpHP/CcMVndKiY6eCPzgQxsE42vCXyobarNQiOpPkqBXG4&#10;elm+BVmV8v+K6hdQSwMEFAAAAAgAh07iQFAXtRMrAgAAJgQAAA4AAABkcnMvZTJvRG9jLnhtbK1T&#10;zW4TMRC+I/EOlu9kf/LTZJVNVTUqQioQqfAAjtebtdj1GNvJbjhxQ30Gbhx5B3ibSvAWjL1pSMul&#10;By6Wx2N/M983n+fnXVOTnTBWgsppMogpEYpDIdUmp+/fXb2YUmIdUwWrQYmc7oWl54vnz+atzkQK&#10;FdSFMARBlM1andPKOZ1FkeWVaJgdgBYKkyWYhjkMzSYqDGsRvamjNI4nUQum0Aa4sBZPl32SHhDN&#10;UwChLCUXS+DbRijXoxpRM4eUbCW1pYvQbVkK7t6WpRWO1DlFpi6sWAT3a79GiznLNobpSvJDC+wp&#10;LTzi1DCpsOgRaskcI1sj/4FqJDdgoXQDDk3UEwmKIIskfqTNTcW0CFxQaquPotv/B8vf7FaGyCKn&#10;aTxLZ+N0MsX5K9bg5H99+f778+3d1593P76RdBhPvVqtthk+utEr4/lafQ38gyUKLiumNuLCGGgr&#10;wQrsMfH3owcPfGDxKVm3r6HAGmzrIAjXlabxgCgJ6cJ89sf5iM4RjodJPJnGZzg6jrnhcDoaj0MJ&#10;lt2/1sa6lwIa4jc5LWtosS/jVr3fQiW2u7bOd8ay++u+sIIrWdfBD7V6cIAX/Ulg4pvvRXDdujvo&#10;sYZij5wM9PbCz4WbCswnSlq0Vk7txy0zgpL6lUJdZslo5L0YgtH4LMXAnGbWpxmmOELl1FHSby9d&#10;79+tNnJTYaUk0FJwgVqWMlDzOvddHfpG+wTGB6t7f57G4dbf7734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78AqbZAAAADQEAAA8AAAAAAAAAAQAgAAAAIgAAAGRycy9kb3ducmV2LnhtbFBLAQIU&#10;ABQAAAAIAIdO4kBQF7UTKwIAACYEAAAOAAAAAAAAAAEAIAAAACgBAABkcnMvZTJvRG9jLnhtbFBL&#10;BQYAAAAABgAGAFkBAADFBQAAAAA=&#10;">
                <v:fill on="f" focussize="0,0"/>
                <v:stroke on="f"/>
                <v:imagedata o:title=""/>
                <o:lock v:ext="edit" aspectratio="f"/>
                <v:textbox>
                  <w:txbxContent>
                    <w:p w14:paraId="22916DD9">
                      <w:pPr>
                        <w:jc w:val="center"/>
                        <w:rPr>
                          <w:lang w:eastAsia="zh-CN"/>
                        </w:rPr>
                      </w:pPr>
                      <w:r>
                        <w:rPr>
                          <w:rFonts w:hint="eastAsia"/>
                          <w:lang w:eastAsia="zh-CN"/>
                        </w:rPr>
                        <w:t>辅助用房</w:t>
                      </w: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873280" behindDoc="0" locked="0" layoutInCell="1" allowOverlap="1">
                <wp:simplePos x="0" y="0"/>
                <wp:positionH relativeFrom="column">
                  <wp:posOffset>1146810</wp:posOffset>
                </wp:positionH>
                <wp:positionV relativeFrom="paragraph">
                  <wp:posOffset>6825615</wp:posOffset>
                </wp:positionV>
                <wp:extent cx="419100" cy="500380"/>
                <wp:effectExtent l="0" t="0" r="19050" b="13970"/>
                <wp:wrapNone/>
                <wp:docPr id="153439138" name="矩形 1455"/>
                <wp:cNvGraphicFramePr/>
                <a:graphic xmlns:a="http://schemas.openxmlformats.org/drawingml/2006/main">
                  <a:graphicData uri="http://schemas.microsoft.com/office/word/2010/wordprocessingShape">
                    <wps:wsp>
                      <wps:cNvSpPr/>
                      <wps:spPr>
                        <a:xfrm>
                          <a:off x="0" y="0"/>
                          <a:ext cx="419100" cy="50038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455" o:spid="_x0000_s1026" o:spt="1" style="position:absolute;left:0pt;margin-left:90.3pt;margin-top:537.45pt;height:39.4pt;width:33pt;z-index:251873280;v-text-anchor:middle;mso-width-relative:page;mso-height-relative:page;" fillcolor="#4472C4 [3204]" filled="t" stroked="t" coordsize="21600,21600" o:gfxdata="UEsDBAoAAAAAAIdO4kAAAAAAAAAAAAAAAAAEAAAAZHJzL1BLAwQUAAAACACHTuJAgBuwitgAAAAN&#10;AQAADwAAAGRycy9kb3ducmV2LnhtbE2PzU7EMAyE70i8Q2QkbmzSsnSX0nQPIKTlyIKAY9qYtCJx&#10;qib7w9tjTnDzjEfjz83mFLw44JzGSBqKhQKB1Ec7ktPw+vJ4tQaRsiFrfCTU8I0JNu35WWNqG4/0&#10;jIdddoJLKNVGw5DzVEuZ+gGDSYs4IfHuM87BZJazk3Y2Ry4PXpZKVTKYkfjCYCa8H7D/2u2Dho+H&#10;FN79W1Thadp2rkzRuHGr9eVFoe5AZDzlvzD84jM6tMzUxT3ZJDzrtao4yoNaLW9BcKRcVmx1bBU3&#10;1yuQbSP/f9H+AFBLAwQUAAAACACHTuJADKqvuIgCAAAfBQAADgAAAGRycy9lMm9Eb2MueG1srVTN&#10;bhMxEL4j8Q6W73SzyYa2UZMqSlSEVEGlgjg7Xm/Wkv+wnZ/yMkjceAgeB/EafPZu07Tl0AOX3RnP&#10;eGa+b2Z8cbnXimyFD9KaKS1PBpQIw20tzXpKP3+6enNGSYjM1ExZI6b0TgR6OXv96mLnJmJoW6tq&#10;4QmCmDDZuSltY3STogi8FZqFE+uEgbGxXrMI1a+L2rMdomtVDAeDt8XO+tp5y0UIOF12RtpH9C8J&#10;aJtGcrG0fKOFiV1ULxSLgBRa6QKd5WqbRvD4sWmCiERNKZDG/EUSyKv0LWYXbLL2zLWS9yWwl5Tw&#10;BJNm0iDpIdSSRUY2Xj4LpSX3NtgmnnCriw5IZgQoysETbm5b5kTGAqqDO5Ae/l9Y/mF744msMQnj&#10;UTU6L0dov2Eajf/z/efvXz9IWY3HiaadCxN437ob32sBYsK8b7xOf6Ah+0zt3YFasY+E47Aqz8sB&#10;SOcwjQeD0Vmmvni47HyI74TVJAlT6tG5TCjbXoeIhHC9d0m5glWyvpJKZcWvVwvlyZahy1V1OlxU&#10;qWJceeSmDNkB5/A0F8Iwuw1mBjVpB/zBrClhao2l4NHn3I9uh+MkJXKMy86pZbXoUpdAdo+rd39e&#10;RUKxZKHtruQU3RRqGbFYSuopPUOcQyRlECSx3/GdpJWt79A2b7t5Do5fSYS9ZiHeMI8BBtNY8fgR&#10;n0ZZoLa9RElr/bd/nSd/zBWslOywEGDk64Z5QYl6bzBx52VVpQ3KSjU+HULxx5bVscVs9MKiGyUe&#10;E8ezmPyjuhcbb/UXvATzlBUmZjhyd9z3yiJ2i4q3hIv5PLthaxyL1+bW8RQ8dd/Y+SbaRuYpeWCn&#10;Jw17k3vQ73hazGM9ez28a7O/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gBuwitgAAAANAQAADwAA&#10;AAAAAAABACAAAAAiAAAAZHJzL2Rvd25yZXYueG1sUEsBAhQAFAAAAAgAh07iQAyqr7iIAgAAHwUA&#10;AA4AAAAAAAAAAQAgAAAAJwEAAGRycy9lMm9Eb2MueG1sUEsFBgAAAAAGAAYAWQEAACEGAAAAAA==&#10;">
                <v:fill on="t" focussize="0,0"/>
                <v:stroke weight="1pt" color="#172C51 [3204]" miterlimit="8" joinstyle="miter"/>
                <v:imagedata o:title=""/>
                <o:lock v:ext="edit" aspectratio="f"/>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855872" behindDoc="0" locked="0" layoutInCell="1" allowOverlap="1">
                <wp:simplePos x="0" y="0"/>
                <wp:positionH relativeFrom="margin">
                  <wp:posOffset>1834515</wp:posOffset>
                </wp:positionH>
                <wp:positionV relativeFrom="paragraph">
                  <wp:posOffset>5263515</wp:posOffset>
                </wp:positionV>
                <wp:extent cx="1076325" cy="338455"/>
                <wp:effectExtent l="0" t="0" r="0" b="4445"/>
                <wp:wrapNone/>
                <wp:docPr id="601495190" name="自选图形 2308"/>
                <wp:cNvGraphicFramePr/>
                <a:graphic xmlns:a="http://schemas.openxmlformats.org/drawingml/2006/main">
                  <a:graphicData uri="http://schemas.microsoft.com/office/word/2010/wordprocessingShape">
                    <wps:wsp>
                      <wps:cNvSpPr>
                        <a:spLocks noChangeArrowheads="1"/>
                      </wps:cNvSpPr>
                      <wps:spPr bwMode="auto">
                        <a:xfrm>
                          <a:off x="0" y="0"/>
                          <a:ext cx="1076325" cy="338455"/>
                        </a:xfrm>
                        <a:prstGeom prst="flowChartProcess">
                          <a:avLst/>
                        </a:prstGeom>
                        <a:noFill/>
                        <a:ln>
                          <a:noFill/>
                        </a:ln>
                      </wps:spPr>
                      <wps:txbx>
                        <w:txbxContent>
                          <w:p w14:paraId="2581F81D">
                            <w:pPr>
                              <w:jc w:val="center"/>
                              <w:rPr>
                                <w:lang w:eastAsia="zh-CN"/>
                              </w:rPr>
                            </w:pPr>
                            <w:r>
                              <w:rPr>
                                <w:rFonts w:hint="eastAsia"/>
                                <w:lang w:eastAsia="zh-CN"/>
                              </w:rPr>
                              <w:t>戊类罐区二</w:t>
                            </w:r>
                          </w:p>
                        </w:txbxContent>
                      </wps:txbx>
                      <wps:bodyPr rot="0" vert="horz" wrap="square" lIns="91440" tIns="45720" rIns="91440" bIns="45720" anchor="t" anchorCtr="0" upright="1">
                        <a:noAutofit/>
                      </wps:bodyPr>
                    </wps:wsp>
                  </a:graphicData>
                </a:graphic>
              </wp:anchor>
            </w:drawing>
          </mc:Choice>
          <mc:Fallback>
            <w:pict>
              <v:shape id="自选图形 2308" o:spid="_x0000_s1026" o:spt="109" type="#_x0000_t109" style="position:absolute;left:0pt;margin-left:144.45pt;margin-top:414.45pt;height:26.65pt;width:84.75pt;mso-position-horizontal-relative:margin;z-index:251855872;mso-width-relative:page;mso-height-relative:page;" filled="f" stroked="f" coordsize="21600,21600" o:gfxdata="UEsDBAoAAAAAAIdO4kAAAAAAAAAAAAAAAAAEAAAAZHJzL1BLAwQUAAAACACHTuJAqeZ6cdcAAAAL&#10;AQAADwAAAGRycy9kb3ducmV2LnhtbE2PPU/DMBCGdyT+g3VIbNSOG8CEOBVCorASWNiusYkjYjuK&#10;3bT991wn2O7j0XvP1ZujH9li5zTEoKFYCWA2dNEModfw+fFyo4CljMHgGIPVcLIJNs3lRY2ViYfw&#10;bpc294xCQqpQg8t5qjhPnbMe0ypONtDuO84eM7Vzz82MBwr3I5dC3HGPQ6ALDif77Gz30+69hqV8&#10;Om2/7l/7cm3enEjbocB1q/X1VSEegWV7zH8wnPVJHRpy2sV9MImNGqRSD4RqUPJcEFHeqhLYjiZK&#10;SuBNzf//0PwCUEsDBBQAAAAIAIdO4kBDOx8LKgIAACUEAAAOAAAAZHJzL2Uyb0RvYy54bWytU8uO&#10;0zAU3SPxD5b3NElf00ZNR6OpBiENUGngA1zHaSISX3PtNi0rdmi+gR1L/gH+ZiT4C66dTukMm1mw&#10;iXx97XPPOT6Zne+amm0V2gp0xpNezJnSEvJKrzP+/t3Viwln1gmdixq0yvheWX4+f/5s1ppU9aGE&#10;OlfICETbtDUZL50zaRRZWapG2B4YpalZADbCUYnrKEfREnpTR/04HkctYG4QpLKWdhddkx8Q8SmA&#10;UBSVVAuQm0Zp16GiqoUjSbasjOXzwLYolHRvi8Iqx+qMk1IXvjSE1iv/jeYzka5RmLKSBwriKRQe&#10;aWpEpWnoEWohnGAbrP6BaiqJYKFwPQlN1AkJjpCKJH7kzU0pjApayGprjqbb/wcr32yXyKo84+M4&#10;GU5HyZSc0aKhh//15fvvz7d3X3/e/fjG+oN44s1qjU3pzo1ZopdrzTXID5ZpuCyFXqsLRGhLJXKi&#10;mPjz0YMLvrB0la3a15DTDLFxEHzbFdh4QHKE7cLz7I/Po3aOSdpM4rPxoD/iTFJvMJgMR6MwQqT3&#10;tw1a91JBw/wi40UNLfFCt+ziFiaJ7bV1nplI74/7wRquqroOcaj1gw066HeCEk++M8HtVruDHyvI&#10;96QJoUsX/Vu0KAE/cdZSsjJuP24EKs7qV5p8mSbDoY9iKIajsz4VeNpZnXaElgSVccdZt7x0XXw3&#10;Bqt1SZOSIEvDBXlZVEGa97ljdeBN6QmKD0n38Tytw6m/f/f8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KnmenHXAAAACwEAAA8AAAAAAAAAAQAgAAAAIgAAAGRycy9kb3ducmV2LnhtbFBLAQIUABQA&#10;AAAIAIdO4kBDOx8LKgIAACUEAAAOAAAAAAAAAAEAIAAAACYBAABkcnMvZTJvRG9jLnhtbFBLBQYA&#10;AAAABgAGAFkBAADCBQAAAAA=&#10;">
                <v:fill on="f" focussize="0,0"/>
                <v:stroke on="f"/>
                <v:imagedata o:title=""/>
                <o:lock v:ext="edit" aspectratio="f"/>
                <v:textbox>
                  <w:txbxContent>
                    <w:p w14:paraId="2581F81D">
                      <w:pPr>
                        <w:jc w:val="center"/>
                        <w:rPr>
                          <w:lang w:eastAsia="zh-CN"/>
                        </w:rPr>
                      </w:pPr>
                      <w:r>
                        <w:rPr>
                          <w:rFonts w:hint="eastAsia"/>
                          <w:lang w:eastAsia="zh-CN"/>
                        </w:rPr>
                        <w:t>戊类罐区二</w:t>
                      </w: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854848" behindDoc="0" locked="0" layoutInCell="1" allowOverlap="1">
                <wp:simplePos x="0" y="0"/>
                <wp:positionH relativeFrom="column">
                  <wp:posOffset>1527175</wp:posOffset>
                </wp:positionH>
                <wp:positionV relativeFrom="paragraph">
                  <wp:posOffset>4377055</wp:posOffset>
                </wp:positionV>
                <wp:extent cx="1533525" cy="2009775"/>
                <wp:effectExtent l="0" t="0" r="28575" b="28575"/>
                <wp:wrapNone/>
                <wp:docPr id="175163466" name="矩形 2307"/>
                <wp:cNvGraphicFramePr/>
                <a:graphic xmlns:a="http://schemas.openxmlformats.org/drawingml/2006/main">
                  <a:graphicData uri="http://schemas.microsoft.com/office/word/2010/wordprocessingShape">
                    <wps:wsp>
                      <wps:cNvSpPr>
                        <a:spLocks noChangeArrowheads="1"/>
                      </wps:cNvSpPr>
                      <wps:spPr bwMode="auto">
                        <a:xfrm>
                          <a:off x="0" y="0"/>
                          <a:ext cx="1533525" cy="2009775"/>
                        </a:xfrm>
                        <a:prstGeom prst="rect">
                          <a:avLst/>
                        </a:prstGeom>
                        <a:solidFill>
                          <a:srgbClr val="FF0000"/>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矩形 2307" o:spid="_x0000_s1026" o:spt="1" style="position:absolute;left:0pt;margin-left:120.25pt;margin-top:344.65pt;height:158.25pt;width:120.75pt;z-index:251854848;mso-width-relative:page;mso-height-relative:page;" fillcolor="#FF0000" filled="t" stroked="t" coordsize="21600,21600" o:gfxdata="UEsDBAoAAAAAAIdO4kAAAAAAAAAAAAAAAAAEAAAAZHJzL1BLAwQUAAAACACHTuJA+uoReNoAAAAM&#10;AQAADwAAAGRycy9kb3ducmV2LnhtbE2PMU/DMBCFdyT+g3VIbNRu2pQkxKnUSkyIgVIGtmtyJBGx&#10;HdluE/49x0TH031673vldjaDuJAPvbMalgsFgmztmt62Go7vzw8ZiBDRNjg4Sxp+KMC2ur0psWjc&#10;ZN/ocoit4BAbCtTQxTgWUoa6I4Nh4Uay/Pty3mDk07ey8ThxuBlkotRGGuwtN3Q40r6j+vtwNhom&#10;t/tcpTm+7B9j9H7+eN0d61zr+7ulegIRaY7/MPzpszpU7HRyZ9sEMWhI1iplVMMmy1cgmFhnCa87&#10;MapUmoGsSnk9ovoFUEsDBBQAAAAIAIdO4kA7QibiOQIAAHsEAAAOAAAAZHJzL2Uyb0RvYy54bWyt&#10;VF2O0zAQfkfiDpbfaZr+bqOmq1WrIqQFVlo4gOs4jYX/GLtNy2WQeOMQHAdxDcZOt5QFoX0gD5bH&#10;M/78zTczmV8ftCJ7AV5aU9K816dEGG4rabYlff9u/eKKEh+YqZiyRpT0KDy9Xjx/Nm9dIQa2saoS&#10;QBDE+KJ1JW1CcEWWed4IzXzPOmHQWVvQLKAJ26wC1iK6Vtmg359krYXKgeXCezxddU56QoSnANq6&#10;llysLN9pYUKHCkKxgCn5RjpPF4ltXQse3ta1F4GokmKmIa34CO43cc0Wc1ZsgblG8hMF9hQKj3LS&#10;TBp89Ay1YoGRHcg/oLTkYL2tQ49bnXWJJEUwi7z/SJv7hjmRckGpvTuL7v8fLH+zvwMiK+yE6Tif&#10;DEeTCSWGaSz8j89fv3/7QgbD/jTK1DpfYPS9u4OYqHe3ln/wxNhlw8xW3ADYthGsQnJ5jM9+uxAN&#10;j1fJpn1tK0Rnu2CTYocadARELcghFeZ4Low4BMLxMB8Ph+PBmBKOPmyi2XQ6Tm+w4uG6Ax9eCqtJ&#10;3JQUsPIJnu1vfYh0WPEQkuhbJau1VCoZsN0sFZA9wy5Zr/v4ndD9ZZgypC3pLBL5N0QE+DuElgGH&#10;R0ld0qvLIGVOgkWNOq03tjqiXmC7nsWJxU1j4RMlLfZrSf3HHQNBiXplUPNZPhrFBk/GaDwdoAGX&#10;ns2lhxmOUCUNlHTbZeiGYudAbht8KU85GnuDdaplUjDWsGN1Ios9mYQ9zU9s+ks7Rf36Zyx+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PrqEXjaAAAADAEAAA8AAAAAAAAAAQAgAAAAIgAAAGRycy9k&#10;b3ducmV2LnhtbFBLAQIUABQAAAAIAIdO4kA7QibiOQIAAHsEAAAOAAAAAAAAAAEAIAAAACkBAABk&#10;cnMvZTJvRG9jLnhtbFBLBQYAAAAABgAGAFkBAADUBQAAAAA=&#10;">
                <v:fill on="t" focussize="0,0"/>
                <v:stroke color="#000000" miterlimit="8" joinstyle="miter"/>
                <v:imagedata o:title=""/>
                <o:lock v:ext="edit" aspectratio="f"/>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870208" behindDoc="0" locked="0" layoutInCell="1" allowOverlap="1">
                <wp:simplePos x="0" y="0"/>
                <wp:positionH relativeFrom="column">
                  <wp:posOffset>325755</wp:posOffset>
                </wp:positionH>
                <wp:positionV relativeFrom="paragraph">
                  <wp:posOffset>6295390</wp:posOffset>
                </wp:positionV>
                <wp:extent cx="1181100" cy="304800"/>
                <wp:effectExtent l="0" t="635" r="1905" b="0"/>
                <wp:wrapNone/>
                <wp:docPr id="1010819343" name="自选图形 1989"/>
                <wp:cNvGraphicFramePr/>
                <a:graphic xmlns:a="http://schemas.openxmlformats.org/drawingml/2006/main">
                  <a:graphicData uri="http://schemas.microsoft.com/office/word/2010/wordprocessingShape">
                    <wps:wsp>
                      <wps:cNvSpPr>
                        <a:spLocks noChangeArrowheads="1"/>
                      </wps:cNvSpPr>
                      <wps:spPr bwMode="auto">
                        <a:xfrm>
                          <a:off x="0" y="0"/>
                          <a:ext cx="1181100" cy="304800"/>
                        </a:xfrm>
                        <a:prstGeom prst="flowChartProcess">
                          <a:avLst/>
                        </a:prstGeom>
                        <a:noFill/>
                        <a:ln>
                          <a:noFill/>
                        </a:ln>
                      </wps:spPr>
                      <wps:txbx>
                        <w:txbxContent>
                          <w:p w14:paraId="389C8A53">
                            <w:pPr>
                              <w:jc w:val="center"/>
                            </w:pPr>
                            <w:r>
                              <w:rPr>
                                <w:rFonts w:hint="eastAsia"/>
                                <w:lang w:eastAsia="zh-CN"/>
                              </w:rPr>
                              <w:t>一般防渗</w:t>
                            </w:r>
                          </w:p>
                        </w:txbxContent>
                      </wps:txbx>
                      <wps:bodyPr rot="0" vert="horz" wrap="square" lIns="91440" tIns="45720" rIns="91440" bIns="45720" anchor="t" anchorCtr="0" upright="1">
                        <a:noAutofit/>
                      </wps:bodyPr>
                    </wps:wsp>
                  </a:graphicData>
                </a:graphic>
              </wp:anchor>
            </w:drawing>
          </mc:Choice>
          <mc:Fallback>
            <w:pict>
              <v:shape id="自选图形 1989" o:spid="_x0000_s1026" o:spt="109" type="#_x0000_t109" style="position:absolute;left:0pt;margin-left:25.65pt;margin-top:495.7pt;height:24pt;width:93pt;z-index:251870208;mso-width-relative:page;mso-height-relative:page;" filled="f" stroked="f" coordsize="21600,21600" o:gfxdata="UEsDBAoAAAAAAIdO4kAAAAAAAAAAAAAAAAAEAAAAZHJzL1BLAwQUAAAACACHTuJAIYxEudcAAAAL&#10;AQAADwAAAGRycy9kb3ducmV2LnhtbE2PwU7DMAyG70i8Q2QkbizJUhgtTSeExOBK4cIta0JT0ThV&#10;k3Xb22NOcLT96ff319tTGNni5jRE1CBXApjDLtoBew0f788398BSNmjNGNFpOLsE2+byojaVjUd8&#10;c0ube0YhmCqjwec8VZynzrtg0ipODun2FedgMo1zz+1sjhQeRr4W4o4HMyB98GZyT9513+0haFiK&#10;x/Puc/PSF8q+epF2gzSq1fr6SooHYNmd8h8Mv/qkDg057eMBbWKjhlupiNRQlrIARsBabWizJ1Ko&#10;sgDe1Px/h+YHUEsDBBQAAAAIAIdO4kBytT2xJwIAACYEAAAOAAAAZHJzL2Uyb0RvYy54bWytU81u&#10;EzEQviPxDpbvZHeTAMkqm6pqVIRUIFLhARyvN2ux6zFjJ5ty4ob6DNw48g7wNpXgLRh70zQtlx64&#10;WPPj+Wa+z+PZya5t2Fah02AKng1SzpSRUGqzLviH9+fPJpw5L0wpGjCq4FfK8ZP50yezzuZqCDU0&#10;pUJGIMblnS147b3Nk8TJWrXCDcAqQ8kKsBWeXFwnJYqO0NsmGabpi6QDLC2CVM5RdNEn+R4RHwMI&#10;VaWlWoDctMr4HhVVIzxRcrW2js/jtFWlpH9XVU551hScmPp4UhOyV+FM5jORr1HYWsv9COIxIzzg&#10;1AptqOkBaiG8YBvU/0C1WiI4qPxAQpv0RKIixCJLH2hzWQurIheS2tmD6O7/wcq32yUyXdImUP9J&#10;Nh2NR5wZ0dLL//7648+X65tvv25+fmfZdDINanXW5VR0aZcY+Dp7AfKjYwbOamHW6hQRulqJkmbM&#10;wv3kXkFwHJWyVfcGSuohNh6icLsK2wBIkrBdfJ+rw/uonWeSglk2ybKUnk5SbpSOJ2SHFiK/rbbo&#10;/CsFLQtGwasGOpoL/bLft9hJbC+c78tur4fGBs5101Bc5I25FyD8EIlMwvC9CH632tHtwGgF5RVx&#10;QujXiz4XGTXgZ846Wq2Cu08bgYqz5rUhXabZeBx2MTrj5y+H5OBxZnWcEUYSVME9Z7155vv93VjU&#10;65o6ZZGWgVPSstKR2t1U+7lpfaJQ+1UP+3nsx1t333v+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CGMRLnXAAAACwEAAA8AAAAAAAAAAQAgAAAAIgAAAGRycy9kb3ducmV2LnhtbFBLAQIUABQAAAAI&#10;AIdO4kBytT2xJwIAACYEAAAOAAAAAAAAAAEAIAAAACYBAABkcnMvZTJvRG9jLnhtbFBLBQYAAAAA&#10;BgAGAFkBAAC/BQAAAAA=&#10;">
                <v:fill on="f" focussize="0,0"/>
                <v:stroke on="f"/>
                <v:imagedata o:title=""/>
                <o:lock v:ext="edit" aspectratio="f"/>
                <v:textbox>
                  <w:txbxContent>
                    <w:p w14:paraId="389C8A53">
                      <w:pPr>
                        <w:jc w:val="center"/>
                      </w:pPr>
                      <w:r>
                        <w:rPr>
                          <w:rFonts w:hint="eastAsia"/>
                          <w:lang w:eastAsia="zh-CN"/>
                        </w:rPr>
                        <w:t>一般防渗</w:t>
                      </w: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869184" behindDoc="0" locked="0" layoutInCell="1" allowOverlap="1">
                <wp:simplePos x="0" y="0"/>
                <wp:positionH relativeFrom="column">
                  <wp:posOffset>-378460</wp:posOffset>
                </wp:positionH>
                <wp:positionV relativeFrom="paragraph">
                  <wp:posOffset>6337300</wp:posOffset>
                </wp:positionV>
                <wp:extent cx="835660" cy="314325"/>
                <wp:effectExtent l="0" t="0" r="21590" b="10160"/>
                <wp:wrapNone/>
                <wp:docPr id="2041688377" name="矩形 1455"/>
                <wp:cNvGraphicFramePr/>
                <a:graphic xmlns:a="http://schemas.openxmlformats.org/drawingml/2006/main">
                  <a:graphicData uri="http://schemas.microsoft.com/office/word/2010/wordprocessingShape">
                    <wps:wsp>
                      <wps:cNvSpPr/>
                      <wps:spPr>
                        <a:xfrm>
                          <a:off x="0" y="0"/>
                          <a:ext cx="835862" cy="3141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455" o:spid="_x0000_s1026" o:spt="1" style="position:absolute;left:0pt;margin-left:-29.8pt;margin-top:499pt;height:24.75pt;width:65.8pt;z-index:251869184;v-text-anchor:middle;mso-width-relative:page;mso-height-relative:page;" fillcolor="#4472C4 [3204]" filled="t" stroked="t" coordsize="21600,21600" o:gfxdata="UEsDBAoAAAAAAIdO4kAAAAAAAAAAAAAAAAAEAAAAZHJzL1BLAwQUAAAACACHTuJATT09etcAAAAL&#10;AQAADwAAAGRycy9kb3ducmV2LnhtbE2Py07DMBBF90j8gzVI7Fq7EX0kxOkChFSWtAhYTuLBifAj&#10;it0Hf8+wgtVoNEd3zq23F+/EiaY0xKBhMVcgKHTRDMFqeD08zTYgUsZg0MVAGr4pwba5vqqxMvEc&#10;Xui0z1ZwSEgVauhzHispU9eTxzSPIwW+fcbJY+Z1stJMeOZw72Sh1Ep6HAJ/6HGkh566r/3Ra/h4&#10;TP7dvUXln8dda4sU0Q47rW9vFuoeRKZL/oPhV5/VoWGnNh6DScJpmC3LFaMaynLDpZhYFzxbJtXd&#10;egmyqeX/Ds0PUEsDBBQAAAAIAIdO4kCaM8AIjQIAACAFAAAOAAAAZHJzL2Uyb0RvYy54bWytVM1u&#10;EzEQviPxDpbvdLPppglRkypKVIRUQaWCODteb9aS/7CdpOVlkLjxEDwO4jX47N2macuhBy67M56Z&#10;bzzfzPj84lYrshM+SGtmtDwZUCIMt7U0mxn9/OnyzYSSEJmpmbJGzOidCPRi/vrV+d5NxdC2VtXC&#10;E4CYMN27GW1jdNOiCLwVmoUT64SBsbFeswjVb4rasz3QtSqGg8FZsbe+dt5yEQJOV52R9oj+JYC2&#10;aSQXK8u3WpjYoXqhWERJoZUu0Hm+bdMIHj82TRCRqBlFpTF/kQTyOn2L+TmbbjxzreT9FdhLrvCk&#10;Js2kQdID1IpFRrZePoPSknsbbBNPuNVFV0hmBFWUgyfc3LTMiVwLqA7uQHr4f7D8w+7aE1nP6HBQ&#10;lWeTyel4TIlhGp3/8/3n718/SFmNRomnvQtTuN+4a99rAWIq+rbxOv1RDrnN3N4duBW3kXAcTk5H&#10;k7MhJRym07IqR5n74iHY+RDfCatJEmbUo3WZUba7ChEJ4XrvknIFq2R9KZXKit+sl8qTHUObq2o8&#10;XFbpxgh55KYM2WPkh+MB2s8ZhrfB0EDUDgQEs6GEqQ22gkefcz+KDsdJSuQYlZ1Ty2rRpUZVgO4z&#10;d+7Pb5GqWLHQdiE5RQphUy0jNktJDbaAc0BSBiCJ/Y7vJK1tfYe+edsNdHD8UgL2ioV4zTwmGAVi&#10;x+NHfBplUbXtJUpa67/96zz5Y7BgpWSPjQAjX7fMC0rUe4ORe1tWVVqhrFSj8RCKP7asjy1mq5cW&#10;3SjxmjiexeQf1b3YeKu/4ClYpKwwMcORu+O+V5ax21Q8JlwsFtkNa+NYvDI3jifwxJuxi220jcxT&#10;8sBOTxoWJ/egX/K0mcd69np42OZ/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E09PXrXAAAACwEA&#10;AA8AAAAAAAAAAQAgAAAAIgAAAGRycy9kb3ducmV2LnhtbFBLAQIUABQAAAAIAIdO4kCaM8AIjQIA&#10;ACAFAAAOAAAAAAAAAAEAIAAAACYBAABkcnMvZTJvRG9jLnhtbFBLBQYAAAAABgAGAFkBAAAlBgAA&#10;AAA=&#10;">
                <v:fill on="t" focussize="0,0"/>
                <v:stroke weight="1pt" color="#172C51 [3204]" miterlimit="8" joinstyle="miter"/>
                <v:imagedata o:title=""/>
                <o:lock v:ext="edit" aspectratio="f"/>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28896" behindDoc="0" locked="0" layoutInCell="1" allowOverlap="1">
                <wp:simplePos x="0" y="0"/>
                <wp:positionH relativeFrom="column">
                  <wp:posOffset>334645</wp:posOffset>
                </wp:positionH>
                <wp:positionV relativeFrom="paragraph">
                  <wp:posOffset>5697220</wp:posOffset>
                </wp:positionV>
                <wp:extent cx="1181100" cy="304800"/>
                <wp:effectExtent l="0" t="635" r="1905" b="0"/>
                <wp:wrapNone/>
                <wp:docPr id="1859198814" name="自选图形 1989"/>
                <wp:cNvGraphicFramePr/>
                <a:graphic xmlns:a="http://schemas.openxmlformats.org/drawingml/2006/main">
                  <a:graphicData uri="http://schemas.microsoft.com/office/word/2010/wordprocessingShape">
                    <wps:wsp>
                      <wps:cNvSpPr>
                        <a:spLocks noChangeArrowheads="1"/>
                      </wps:cNvSpPr>
                      <wps:spPr bwMode="auto">
                        <a:xfrm>
                          <a:off x="0" y="0"/>
                          <a:ext cx="1181100" cy="304800"/>
                        </a:xfrm>
                        <a:prstGeom prst="flowChartProcess">
                          <a:avLst/>
                        </a:prstGeom>
                        <a:noFill/>
                        <a:ln>
                          <a:noFill/>
                        </a:ln>
                      </wps:spPr>
                      <wps:txbx>
                        <w:txbxContent>
                          <w:p w14:paraId="477DCA68">
                            <w:pPr>
                              <w:jc w:val="center"/>
                            </w:pPr>
                            <w:r>
                              <w:rPr>
                                <w:rFonts w:hint="eastAsia"/>
                                <w:lang w:eastAsia="zh-CN"/>
                              </w:rPr>
                              <w:t>重点防渗</w:t>
                            </w:r>
                          </w:p>
                        </w:txbxContent>
                      </wps:txbx>
                      <wps:bodyPr rot="0" vert="horz" wrap="square" lIns="91440" tIns="45720" rIns="91440" bIns="45720" anchor="t" anchorCtr="0" upright="1">
                        <a:noAutofit/>
                      </wps:bodyPr>
                    </wps:wsp>
                  </a:graphicData>
                </a:graphic>
              </wp:anchor>
            </w:drawing>
          </mc:Choice>
          <mc:Fallback>
            <w:pict>
              <v:shape id="自选图形 1989" o:spid="_x0000_s1026" o:spt="109" type="#_x0000_t109" style="position:absolute;left:0pt;margin-left:26.35pt;margin-top:448.6pt;height:24pt;width:93pt;z-index:251728896;mso-width-relative:page;mso-height-relative:page;" filled="f" stroked="f" coordsize="21600,21600" o:gfxdata="UEsDBAoAAAAAAIdO4kAAAAAAAAAAAAAAAAAEAAAAZHJzL1BLAwQUAAAACACHTuJAZY/MAdgAAAAK&#10;AQAADwAAAGRycy9kb3ducmV2LnhtbE2Py07DMBBF90j8gzVI7KidR0kaMqkQEoUtgU13buzGEfE4&#10;it20/XvMCpYzc3Tn3Hp7sSNb9OwHRwjJSgDT1Dk1UI/w9fn6UALzQZKSoyONcNUets3tTS0r5c70&#10;oZc29CyGkK8kgglhqjj3ndFW+pWbNMXb0c1WhjjOPVezPMdwO/JUiEdu5UDxg5GTfjG6+25PFmHJ&#10;n6+7ffHW55l6N8LvhkRmLeL9XSKegAV9CX8w/OpHdWii08GdSHk2IqzTIpII5aZIgUUgzcq4OSBs&#10;8nUKvKn5/wrND1BLAwQUAAAACACHTuJA6bw6yycCAAAmBAAADgAAAGRycy9lMm9Eb2MueG1srVPN&#10;jtMwEL4j8Q6W7zRJ6UIaNV2ttlqEtEClhQdwHaeJSDxm7DYpJ25on4EbR94B3mYleAvGTrfbXS57&#10;4GLNj+eb+T6PZ6d927CtQluDznkyijlTWkJR63XOP7y/eJZyZp3QhWhAq5zvlOWn86dPZp3J1Bgq&#10;aAqFjEC0zTqT88o5k0WRlZVqhR2BUZqSJWArHLm4jgoUHaG3TTSO4xdRB1gYBKmspehiSPI9Ij4G&#10;EMqylmoBctMq7QZUVI1wRMlWtbF8HqYtSyXdu7K0yrEm58TUhZOakL3yZzSfiWyNwlS13I8gHjPC&#10;A06tqDU1PUAthBNsg/U/UG0tESyUbiShjQYiQRFikcQPtLmqhFGBC0ltzUF0+/9g5dvtElld0Cak&#10;J9NkmqbJhDMtWnr5319//PlyffPt183P74xSU69WZ2xGRVdmiZ6vNZcgP1qm4bwSeq3OEKGrlCho&#10;xsTfj+4VeMdSKVt1b6CgHmLjIAjXl9h6QJKE9eF9dof3Ub1jkoJJkiZJTE8nKfc8nqRk+xYiu602&#10;aN0rBS3zRs7LBjqaC91y2LfQSWwvrRvKbq/7xhou6qahuMgafS9A+D4SmPjhBxFcv+rptme0gmJH&#10;nBCG9aLPRUYF+JmzjlYr5/bTRqDirHmtSZdpMpn4XQzO5OTlmBw8zqyOM0JLgsq542wwz92wvxuD&#10;9bqiTkmgpeGMtCzrQO1uqv3ctD5BqP2q+/089sOtu+89/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lj8wB2AAAAAoBAAAPAAAAAAAAAAEAIAAAACIAAABkcnMvZG93bnJldi54bWxQSwECFAAUAAAA&#10;CACHTuJA6bw6yycCAAAmBAAADgAAAAAAAAABACAAAAAnAQAAZHJzL2Uyb0RvYy54bWxQSwUGAAAA&#10;AAYABgBZAQAAwAUAAAAA&#10;">
                <v:fill on="f" focussize="0,0"/>
                <v:stroke on="f"/>
                <v:imagedata o:title=""/>
                <o:lock v:ext="edit" aspectratio="f"/>
                <v:textbox>
                  <w:txbxContent>
                    <w:p w14:paraId="477DCA68">
                      <w:pPr>
                        <w:jc w:val="center"/>
                      </w:pPr>
                      <w:r>
                        <w:rPr>
                          <w:rFonts w:hint="eastAsia"/>
                          <w:lang w:eastAsia="zh-CN"/>
                        </w:rPr>
                        <w:t>重点防渗</w:t>
                      </w: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27872" behindDoc="0" locked="0" layoutInCell="1" allowOverlap="1">
                <wp:simplePos x="0" y="0"/>
                <wp:positionH relativeFrom="column">
                  <wp:posOffset>-376555</wp:posOffset>
                </wp:positionH>
                <wp:positionV relativeFrom="paragraph">
                  <wp:posOffset>5652135</wp:posOffset>
                </wp:positionV>
                <wp:extent cx="838200" cy="342900"/>
                <wp:effectExtent l="8255" t="10795" r="10795" b="8255"/>
                <wp:wrapNone/>
                <wp:docPr id="2055239733" name="自选图形 1988"/>
                <wp:cNvGraphicFramePr/>
                <a:graphic xmlns:a="http://schemas.openxmlformats.org/drawingml/2006/main">
                  <a:graphicData uri="http://schemas.microsoft.com/office/word/2010/wordprocessingShape">
                    <wps:wsp>
                      <wps:cNvSpPr>
                        <a:spLocks noChangeArrowheads="1"/>
                      </wps:cNvSpPr>
                      <wps:spPr bwMode="auto">
                        <a:xfrm>
                          <a:off x="0" y="0"/>
                          <a:ext cx="838200" cy="342900"/>
                        </a:xfrm>
                        <a:prstGeom prst="flowChartProcess">
                          <a:avLst/>
                        </a:prstGeom>
                        <a:solidFill>
                          <a:srgbClr val="FF0000"/>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自选图形 1988" o:spid="_x0000_s1026" o:spt="109" type="#_x0000_t109" style="position:absolute;left:0pt;margin-left:-29.65pt;margin-top:445.05pt;height:27pt;width:66pt;z-index:251727872;mso-width-relative:page;mso-height-relative:page;" fillcolor="#FF0000" filled="t" stroked="t" coordsize="21600,21600" o:gfxdata="UEsDBAoAAAAAAIdO4kAAAAAAAAAAAAAAAAAEAAAAZHJzL1BLAwQUAAAACACHTuJAjBvNZ9wAAAAK&#10;AQAADwAAAGRycy9kb3ducmV2LnhtbE2Py07DMBBF90j8gzVIbFBrp5Q2CZl0AepDSCxI+wFuYuKA&#10;PY5itw18PWYFy9E9uvdMsRqtYWc1+M4RQjIVwBTVrumoRTjs15MUmA+SGmkcKYQv5WFVXl8VMm/c&#10;hd7UuQotiyXkc4mgQ+hzzn2tlZV+6npFMXt3g5UhnkPLm0FeYrk1fCbEglvZUVzQsldPWtWf1cki&#10;VB/a7NZ3erPn2239PT7bl9d0g3h7k4hHYEGN4Q+GX/2oDmV0OroTNZ4ZhMlDdh9RhDQTCbBILGdL&#10;YEeEbD5PgJcF//9C+QNQSwMEFAAAAAgAh07iQMiTwp1OAgAAjAQAAA4AAABkcnMvZTJvRG9jLnht&#10;bK1UwW4TQQy9I/EPo7nTTTYJTaJuqipVEFKBSoUPmMzOZkfMjgfPJJty4ob6Ddw48g/wN5XgL/DM&#10;piEtHHpgDyt7bT/bz/aenG4bwzYKvQZb8P5RjzNlJZTargr+7u3i2ZgzH4QthQGrCn6tPD+dPX1y&#10;0rqpyqEGUypkBGL9tHUFr0Nw0yzzslaN8EfglCVjBdiIQCqushJFS+iNyfJe73nWApYOQSrv6et5&#10;Z+Q7RHwMIFSVluoc5LpRNnSoqIwI1JKvtfN8lqqtKiXDm6ryKjBTcOo0pDclIXkZ39nsRExXKFyt&#10;5a4E8ZgSHvTUCG0p6R7qXATB1qj/gmq0RPBQhSMJTdY1khihLvq9B9xc1cKp1AtR7d2edP//YOXr&#10;zSUyXRY8741G+WByPBhwZkVDk//5+duvTze3X37cfv/K+pPxOLLVOj+loCt3ibFf7y5AvvfMwrwW&#10;dqXOEKGtlSipxn70z+4FRMVTKFu2r6CkHGIdIBG3rbCJgEQJ26b5XO/no7aBSfo4HoxpgziTZBoM&#10;8wnJMYOY3gU79OGFgoZFoeCVgZbKwnDZrVtKJDYXPnRhd+6pETC6XGhjkoKr5dwg2wham8WiR88u&#10;kz90M5a1BZ+M8lFCvmfzhxAR4N8QjQ50TUY31N2hk7E76iJbHetLKK+JOYRuiemESagBP3LW0gIX&#10;3H9YC1ScmZeW2J/0h8O48UkZjo5zUvDQsjy0CCsJquCBs06ch+5K1g71qqZM/dSjhTOaWKUTg3Ga&#10;XVW7YmlJ0zx2BxWv4FBPXn9+IrP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jBvNZ9wAAAAKAQAA&#10;DwAAAAAAAAABACAAAAAiAAAAZHJzL2Rvd25yZXYueG1sUEsBAhQAFAAAAAgAh07iQMiTwp1OAgAA&#10;jAQAAA4AAAAAAAAAAQAgAAAAKwEAAGRycy9lMm9Eb2MueG1sUEsFBgAAAAAGAAYAWQEAAOsFAAAA&#10;AA==&#10;">
                <v:fill on="t" focussize="0,0"/>
                <v:stroke color="#000000" miterlimit="8" joinstyle="miter"/>
                <v:imagedata o:title=""/>
                <o:lock v:ext="edit" aspectratio="f"/>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872256" behindDoc="0" locked="0" layoutInCell="1" allowOverlap="1">
                <wp:simplePos x="0" y="0"/>
                <wp:positionH relativeFrom="column">
                  <wp:posOffset>2165985</wp:posOffset>
                </wp:positionH>
                <wp:positionV relativeFrom="paragraph">
                  <wp:posOffset>3529330</wp:posOffset>
                </wp:positionV>
                <wp:extent cx="933450" cy="504825"/>
                <wp:effectExtent l="0" t="0" r="0" b="9525"/>
                <wp:wrapNone/>
                <wp:docPr id="1527057322" name="自选图形 2308"/>
                <wp:cNvGraphicFramePr/>
                <a:graphic xmlns:a="http://schemas.openxmlformats.org/drawingml/2006/main">
                  <a:graphicData uri="http://schemas.microsoft.com/office/word/2010/wordprocessingShape">
                    <wps:wsp>
                      <wps:cNvSpPr>
                        <a:spLocks noChangeArrowheads="1"/>
                      </wps:cNvSpPr>
                      <wps:spPr bwMode="auto">
                        <a:xfrm>
                          <a:off x="0" y="0"/>
                          <a:ext cx="933450" cy="504825"/>
                        </a:xfrm>
                        <a:prstGeom prst="flowChartProcess">
                          <a:avLst/>
                        </a:prstGeom>
                        <a:noFill/>
                        <a:ln>
                          <a:noFill/>
                        </a:ln>
                      </wps:spPr>
                      <wps:txbx>
                        <w:txbxContent>
                          <w:p w14:paraId="638034A7">
                            <w:pPr>
                              <w:jc w:val="center"/>
                              <w:rPr>
                                <w:lang w:eastAsia="zh-CN"/>
                              </w:rPr>
                            </w:pPr>
                            <w:r>
                              <w:rPr>
                                <w:rFonts w:hint="eastAsia"/>
                                <w:lang w:eastAsia="zh-CN"/>
                              </w:rPr>
                              <w:t>循环冷却装置</w:t>
                            </w:r>
                          </w:p>
                        </w:txbxContent>
                      </wps:txbx>
                      <wps:bodyPr rot="0" vert="horz" wrap="square" lIns="91440" tIns="45720" rIns="91440" bIns="45720" anchor="t" anchorCtr="0" upright="1">
                        <a:noAutofit/>
                      </wps:bodyPr>
                    </wps:wsp>
                  </a:graphicData>
                </a:graphic>
              </wp:anchor>
            </w:drawing>
          </mc:Choice>
          <mc:Fallback>
            <w:pict>
              <v:shape id="自选图形 2308" o:spid="_x0000_s1026" o:spt="109" type="#_x0000_t109" style="position:absolute;left:0pt;margin-left:170.55pt;margin-top:277.9pt;height:39.75pt;width:73.5pt;z-index:251872256;mso-width-relative:page;mso-height-relative:page;" filled="f" stroked="f" coordsize="21600,21600" o:gfxdata="UEsDBAoAAAAAAIdO4kAAAAAAAAAAAAAAAAAEAAAAZHJzL1BLAwQUAAAACACHTuJAebY4ZdgAAAAL&#10;AQAADwAAAGRycy9kb3ducmV2LnhtbE2PwU7DMAyG70i8Q2QkbiwNaUdV6k4IicGVbpfdsiY0FU1S&#10;NVm3vT3mBEfbn35/f725uJEtZo5D8AhilQEzvgt68D3Cfvf2UAKLSXmtxuANwtVE2DS3N7WqdDj7&#10;T7O0qWcU4mOlEGxKU8V57KxxKq7CZDzdvsLsVKJx7rme1ZnC3cgfs2zNnRo8fbBqMq/WdN/tySEs&#10;+ct1e3h673OpP2wWt4NQskW8vxPZM7BkLukPhl99UoeGnI7h5HVkI4LMhSAUoSgK6kBEXpa0OSKs&#10;ZSGBNzX/36H5AVBLAwQUAAAACACHTuJA96yknykCAAAlBAAADgAAAGRycy9lMm9Eb2MueG1srVNB&#10;jtMwFN0jcQfLe5o0bWgnajoaTTUIaYBKAwdwHaeJSPzNt9u0rNghzsCOJXeA24wEt+Db6ZTOsJkF&#10;m8jf337/veeX2fmubdhWoa1B53w4iDlTWkJR63XO3729ejblzDqhC9GAVjnfK8vP50+fzDqTqQQq&#10;aAqFjEC0zTqT88o5k0WRlZVqhR2AUZqaJWArHJW4jgoUHaG3TZTE8fOoAywMglTW0u6ib/IDIj4G&#10;EMqylmoBctMq7XpUVI1wJMlWtbF8HtiWpZLuTVla5ViTc1LqwpeG0Hrlv9F8JrI1ClPV8kBBPIbC&#10;A02tqDUNPUIthBNsg/U/UG0tESyUbiChjXohwRFSMYwfeHNTCaOCFrLamqPp9v/BytfbJbK6oCSk&#10;ySROJ6Mk4UyLll7+1+fvvz99uf368/bHN5aM4ql3qzM2o0s3ZolerzXXIN9bpuGyEnqtLhChq5Qo&#10;iOPQn4/uXfCFpats1b2CgmaIjYNg3K7E1gOSJWwX3md/fB+1c0zS5tloNE7p5SS10ng8TdIwQWR3&#10;lw1a90JBy/wi52UDHdFCt+zjFgaJ7bV1npjI7o77uRqu6qYJcWj0vQ066HeCEM+998DtVruDHSso&#10;9iQJoU8X/Vu0qAA/ctZRsnJuP2wEKs6al5psORuOxz6KoRink4QKPO2sTjtCS4LKueOsX166Pr4b&#10;g/W6oknDIEvDBVlZ1kGat7lndeBN6QmKD0n38Tytw6m/f/f8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Hm2OGXYAAAACwEAAA8AAAAAAAAAAQAgAAAAIgAAAGRycy9kb3ducmV2LnhtbFBLAQIUABQA&#10;AAAIAIdO4kD3rKSfKQIAACUEAAAOAAAAAAAAAAEAIAAAACcBAABkcnMvZTJvRG9jLnhtbFBLBQYA&#10;AAAABgAGAFkBAADCBQAAAAA=&#10;">
                <v:fill on="f" focussize="0,0"/>
                <v:stroke on="f"/>
                <v:imagedata o:title=""/>
                <o:lock v:ext="edit" aspectratio="f"/>
                <v:textbox>
                  <w:txbxContent>
                    <w:p w14:paraId="638034A7">
                      <w:pPr>
                        <w:jc w:val="center"/>
                        <w:rPr>
                          <w:lang w:eastAsia="zh-CN"/>
                        </w:rPr>
                      </w:pPr>
                      <w:r>
                        <w:rPr>
                          <w:rFonts w:hint="eastAsia"/>
                          <w:lang w:eastAsia="zh-CN"/>
                        </w:rPr>
                        <w:t>循环冷却装置</w:t>
                      </w: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871232" behindDoc="0" locked="0" layoutInCell="1" allowOverlap="1">
                <wp:simplePos x="0" y="0"/>
                <wp:positionH relativeFrom="column">
                  <wp:posOffset>2280285</wp:posOffset>
                </wp:positionH>
                <wp:positionV relativeFrom="paragraph">
                  <wp:posOffset>3472815</wp:posOffset>
                </wp:positionV>
                <wp:extent cx="752475" cy="514350"/>
                <wp:effectExtent l="0" t="0" r="28575" b="19050"/>
                <wp:wrapNone/>
                <wp:docPr id="2070679428" name="矩形 1455"/>
                <wp:cNvGraphicFramePr/>
                <a:graphic xmlns:a="http://schemas.openxmlformats.org/drawingml/2006/main">
                  <a:graphicData uri="http://schemas.microsoft.com/office/word/2010/wordprocessingShape">
                    <wps:wsp>
                      <wps:cNvSpPr/>
                      <wps:spPr>
                        <a:xfrm>
                          <a:off x="0" y="0"/>
                          <a:ext cx="752475" cy="5143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455" o:spid="_x0000_s1026" o:spt="1" style="position:absolute;left:0pt;margin-left:179.55pt;margin-top:273.45pt;height:40.5pt;width:59.25pt;z-index:251871232;v-text-anchor:middle;mso-width-relative:page;mso-height-relative:page;" fillcolor="#4472C4 [3204]" filled="t" stroked="t" coordsize="21600,21600" o:gfxdata="UEsDBAoAAAAAAIdO4kAAAAAAAAAAAAAAAAAEAAAAZHJzL1BLAwQUAAAACACHTuJAAGdordkAAAAL&#10;AQAADwAAAGRycy9kb3ducmV2LnhtbE2Py07DMBBF90j8gzVI7Kid0CZNiNMFCKksKQi6dOLBibDH&#10;Uew++HvMii5H9+jeM83m7Cw74hxGTxKyhQCG1Hs9kpHw/vZ8twYWoiKtrCeU8IMBNu31VaNq7U/0&#10;isddNCyVUKiVhCHGqeY89AM6FRZ+QkrZl5+diumcDdezOqVyZ3kuRMGdGiktDGrCxwH7793BSdg/&#10;BfdpP7xwL9O2M3nwyoxbKW9vMvEALOI5/sPwp5/UoU1OnT+QDsxKuF9VWUIlrJZFBSwRy7IsgHUS&#10;irysgLcNv/yh/QVQSwMEFAAAAAgAh07iQFuz3bGNAgAAIAUAAA4AAABkcnMvZTJvRG9jLnhtbK1U&#10;zW7bMAy+D9g7CLqv/pldt0GdIkjQYUCxFeiGnRVZigXob5ISp3uZAbvtIfY4w15jlOymabtDD7vY&#10;pEh+FD+SurjcK4l2zHlhdIuLkxwjpqnphN60+POnqzdnGPlAdEek0azFd8zjy/nrVxeDnbHS9EZ2&#10;zCEA0X422Bb3IdhZlnnaM0X8ibFMg5Ebp0gA1W2yzpEB0JXMyjw/zQbjOusMZd7D6Wo04gnRvQTQ&#10;cC4oWxm6VUyHEdUxSQKU5HthPZ6n23LOaPjIuWcByRZDpSF9IQnI6/jN5hdktnHE9oJOVyAvucKT&#10;mhQRGpIeoFYkELR14hmUEtQZb3g4oUZlYyGJEaiiyJ9wc9sTy1ItQLW3B9L9/4OlH3Y3DomuxWXe&#10;5KfNeVVC/zVR0Pk/33/+/vUDFVVdR54G62fgfmtv3KR5EGPRe+5U/EM5aJ+4vTtwy/YBUThs6rJq&#10;aowomOqielsn7rOHYOt8eMeMQlFosYPWJUbJ7toHSAiu9y4xlzdSdFdCyqS4zXopHdoRaHNVNeWy&#10;ijeGkEduUqMBRr5scmg/JTC8HIYGRGWBAK83GBG5ga2gwaXcj6L9cZICctTF6NSTjo2pizoH6Cnz&#10;6P78FrGKFfH9GJJSxBAyUyLAZkmhWnwGOAckqQEksj/yHaW16e6gb86MA+0tvRIAe018uCEOJhgK&#10;hB0PH+HDpYGqzSRh1Bv37V/n0R8GC6wYDbARwMjXLXEMI/lew8idF1UVVygpVd2UoLhjy/rYordq&#10;aaAbBbwmliYx+gd5L3Jn1Bd4ChYxK5iIppB75H5SlmHcVHhMKFsskhusjSXhWt9aGsEjb9ostsFw&#10;kabkgZ2JNFic1INpyeNmHuvJ6+Fhm/8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AGdordkAAAAL&#10;AQAADwAAAAAAAAABACAAAAAiAAAAZHJzL2Rvd25yZXYueG1sUEsBAhQAFAAAAAgAh07iQFuz3bGN&#10;AgAAIAUAAA4AAAAAAAAAAQAgAAAAKAEAAGRycy9lMm9Eb2MueG1sUEsFBgAAAAAGAAYAWQEAACcG&#10;AAAAAA==&#10;">
                <v:fill on="t" focussize="0,0"/>
                <v:stroke weight="1pt" color="#172C51 [3204]" miterlimit="8" joinstyle="miter"/>
                <v:imagedata o:title=""/>
                <o:lock v:ext="edit" aspectratio="f"/>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63712" behindDoc="0" locked="0" layoutInCell="1" allowOverlap="1">
                <wp:simplePos x="0" y="0"/>
                <wp:positionH relativeFrom="column">
                  <wp:posOffset>3796665</wp:posOffset>
                </wp:positionH>
                <wp:positionV relativeFrom="paragraph">
                  <wp:posOffset>2172335</wp:posOffset>
                </wp:positionV>
                <wp:extent cx="925195" cy="501650"/>
                <wp:effectExtent l="0" t="0" r="0" b="0"/>
                <wp:wrapNone/>
                <wp:docPr id="2066655497" name="自选图形 2308"/>
                <wp:cNvGraphicFramePr/>
                <a:graphic xmlns:a="http://schemas.openxmlformats.org/drawingml/2006/main">
                  <a:graphicData uri="http://schemas.microsoft.com/office/word/2010/wordprocessingShape">
                    <wps:wsp>
                      <wps:cNvSpPr>
                        <a:spLocks noChangeArrowheads="1"/>
                      </wps:cNvSpPr>
                      <wps:spPr bwMode="auto">
                        <a:xfrm>
                          <a:off x="0" y="0"/>
                          <a:ext cx="925195" cy="501792"/>
                        </a:xfrm>
                        <a:prstGeom prst="flowChartProcess">
                          <a:avLst/>
                        </a:prstGeom>
                        <a:noFill/>
                        <a:ln>
                          <a:noFill/>
                        </a:ln>
                      </wps:spPr>
                      <wps:txbx>
                        <w:txbxContent>
                          <w:p w14:paraId="0E35749C">
                            <w:pPr>
                              <w:jc w:val="center"/>
                              <w:rPr>
                                <w:lang w:eastAsia="zh-CN"/>
                              </w:rPr>
                            </w:pPr>
                            <w:r>
                              <w:rPr>
                                <w:rFonts w:hint="eastAsia"/>
                                <w:lang w:eastAsia="zh-CN"/>
                              </w:rPr>
                              <w:t>综合车间</w:t>
                            </w:r>
                          </w:p>
                        </w:txbxContent>
                      </wps:txbx>
                      <wps:bodyPr rot="0" vert="horz" wrap="square" lIns="91440" tIns="45720" rIns="91440" bIns="45720" anchor="t" anchorCtr="0" upright="1">
                        <a:noAutofit/>
                      </wps:bodyPr>
                    </wps:wsp>
                  </a:graphicData>
                </a:graphic>
              </wp:anchor>
            </w:drawing>
          </mc:Choice>
          <mc:Fallback>
            <w:pict>
              <v:shape id="自选图形 2308" o:spid="_x0000_s1026" o:spt="109" type="#_x0000_t109" style="position:absolute;left:0pt;margin-left:298.95pt;margin-top:171.05pt;height:39.5pt;width:72.85pt;z-index:251763712;mso-width-relative:page;mso-height-relative:page;" filled="f" stroked="f" coordsize="21600,21600" o:gfxdata="UEsDBAoAAAAAAIdO4kAAAAAAAAAAAAAAAAAEAAAAZHJzL1BLAwQUAAAACACHTuJAFPZm5tgAAAAL&#10;AQAADwAAAGRycy9kb3ducmV2LnhtbE2PwU7DMAyG70i8Q2QkbizJWtat1J0QEoMrhQu3rMmaisap&#10;mqzb3p5wYkfbn35/f7U9u4HNZgq9JwS5EMAMtV731CF8fb4+rIGFqEirwZNBuJgA2/r2plKl9if6&#10;MHMTO5ZCKJQKwcY4lpyH1hqnwsKPhtLt4CenYhqnjutJnVK4G/hSiBV3qqf0warRvFjT/jRHhzDn&#10;z5fdd/HW5Zl+tyLseqmyBvH+ToonYNGc4z8Mf/pJHerktPdH0oENCI+bYpNQhCxfSmCJKPJsBWyP&#10;kBYSeF3x6w71L1BLAwQUAAAACACHTuJAw3S9DyoCAAAlBAAADgAAAGRycy9lMm9Eb2MueG1srVPL&#10;jtMwFN0j8Q+W9zQPmnYaNR2NphqENEClgQ9wHaexSHyN7TYpK3aIb2DHkn+AvxkJ/oJrp1M6w2YW&#10;bCJfX/vcc45P5ud925CdMFaCKmgyiikRikMp1aag795ePTujxDqmStaAEgXdC0vPF0+fzDudixRq&#10;aEphCIIom3e6oLVzOo8iy2vRMjsCLRQ2KzAtc1iaTVQa1iF620RpHE+iDkypDXBhLe4uhyY9IJrH&#10;AEJVSS6WwLetUG5ANaJhDiXZWmpLF4FtVQnu3lSVFY40BUWlLnxxCK7X/hst5izfGKZryQ8U2GMo&#10;PNDUMqlw6BFqyRwjWyP/gWolN2ChciMObTQICY6giiR+4M1NzbQIWtBqq4+m2/8Hy1/vVobIsqBp&#10;PJlMsmw8m1KiWIsv/+vz99+fvtx+/Xn74xtJn8dn3q1O2xwv3eiV8Xqtvgb+3hIFlzVTG3FhDHS1&#10;YCVyTPz56N4FX1i8StbdKyhxBts6CMb1lWk9IFpC+vA+++P7iN4RjpuzNEtmGSUcW1mcTGdpmMDy&#10;u8vaWPdCQEv8oqBVAx3SMm41xC0MYrtr6zwxlt8d93MVXMmmCXFo1L0NPOh3ghDPffDA9ev+YMca&#10;yj1KMjCkC/8tXNRgPlLSYbIKaj9smRGUNC8V2jJLxmMfxVCMs2mKhTntrE87THGEKqijZFheuiG+&#10;W23kpsZJSZCl4AKtrGSQ5m0eWB14Y3qC4kPSfTxP63Dq79+9+A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U9mbm2AAAAAsBAAAPAAAAAAAAAAEAIAAAACIAAABkcnMvZG93bnJldi54bWxQSwECFAAU&#10;AAAACACHTuJAw3S9DyoCAAAlBAAADgAAAAAAAAABACAAAAAnAQAAZHJzL2Uyb0RvYy54bWxQSwUG&#10;AAAAAAYABgBZAQAAwwUAAAAA&#10;">
                <v:fill on="f" focussize="0,0"/>
                <v:stroke on="f"/>
                <v:imagedata o:title=""/>
                <o:lock v:ext="edit" aspectratio="f"/>
                <v:textbox>
                  <w:txbxContent>
                    <w:p w14:paraId="0E35749C">
                      <w:pPr>
                        <w:jc w:val="center"/>
                        <w:rPr>
                          <w:lang w:eastAsia="zh-CN"/>
                        </w:rPr>
                      </w:pPr>
                      <w:r>
                        <w:rPr>
                          <w:rFonts w:hint="eastAsia"/>
                          <w:lang w:eastAsia="zh-CN"/>
                        </w:rPr>
                        <w:t>综合车间</w:t>
                      </w: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41184" behindDoc="0" locked="0" layoutInCell="1" allowOverlap="1">
                <wp:simplePos x="0" y="0"/>
                <wp:positionH relativeFrom="column">
                  <wp:posOffset>3256280</wp:posOffset>
                </wp:positionH>
                <wp:positionV relativeFrom="paragraph">
                  <wp:posOffset>2010410</wp:posOffset>
                </wp:positionV>
                <wp:extent cx="1914525" cy="971550"/>
                <wp:effectExtent l="0" t="4762" r="23812" b="23813"/>
                <wp:wrapNone/>
                <wp:docPr id="859192495" name="矩形 2307"/>
                <wp:cNvGraphicFramePr/>
                <a:graphic xmlns:a="http://schemas.openxmlformats.org/drawingml/2006/main">
                  <a:graphicData uri="http://schemas.microsoft.com/office/word/2010/wordprocessingShape">
                    <wps:wsp>
                      <wps:cNvSpPr>
                        <a:spLocks noChangeArrowheads="1"/>
                      </wps:cNvSpPr>
                      <wps:spPr bwMode="auto">
                        <a:xfrm rot="5400000">
                          <a:off x="0" y="0"/>
                          <a:ext cx="1914525" cy="971550"/>
                        </a:xfrm>
                        <a:prstGeom prst="rect">
                          <a:avLst/>
                        </a:prstGeom>
                        <a:solidFill>
                          <a:srgbClr val="FF0000"/>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矩形 2307" o:spid="_x0000_s1026" o:spt="1" style="position:absolute;left:0pt;margin-left:256.4pt;margin-top:158.3pt;height:76.5pt;width:150.75pt;rotation:5898240f;z-index:251741184;mso-width-relative:page;mso-height-relative:page;" fillcolor="#FF0000" filled="t" stroked="t" coordsize="21600,21600" o:gfxdata="UEsDBAoAAAAAAIdO4kAAAAAAAAAAAAAAAAAEAAAAZHJzL1BLAwQUAAAACACHTuJAhfqt4toAAAAL&#10;AQAADwAAAGRycy9kb3ducmV2LnhtbE2PzU7DMBCE70i8g7VI3KjjNrglZNNDSsWVFqTm6MRLEojt&#10;KHZ/4OkxJziOZjTzTb6+mIGdaPK9swhilgAj2zjd2xbh7XV7twLmg7JaDc4Swhd5WBfXV7nKtDvb&#10;HZ32oWWxxPpMIXQhjBnnvunIKD9zI9novbvJqBDl1HI9qXMsNwOfJ4nkRvU2LnRqpLKj5nN/NAib&#10;ip6rmh9KvymXHxW9pNvvJ4d4eyOSR2CBLuEvDL/4ER2KyFS7o9WeDQj3Yh7RA8JCSAksJlYiXQCr&#10;EVL5IIEXOf//ofgBUEsDBBQAAAAIAIdO4kCBD2zfRAIAAIgEAAAOAAAAZHJzL2Uyb0RvYy54bWyt&#10;VFFuEzEQ/UfiDpb/6WZDljarbqqqVRBSgUqFAzheb9bC9pixk025DBJ/HILjIK7B2BvatEioH+Rj&#10;5bHHz++9mcnp2c4atlUYNLiGl0cTzpST0Gq3bvjHD8sXJ5yFKFwrDDjV8FsV+Nni+bPTwddqCj2Y&#10;ViEjEBfqwTe8j9HXRRFkr6wIR+CVo8MO0IpIIa6LFsVA6NYU08nkVTEAth5BqhBo93I85HtEfAog&#10;dJ2W6hLkxioXR1RURkSSFHrtA19ktl2nZHzfdUFFZhpOSmP+0iO0XqVvsTgV9RqF77XcUxBPofBI&#10;kxXa0aN3UJciCrZB/ReU1RIhQBePJNhiFJIdIRXl5JE3N73wKmshq4O/Mz38P1j5bnuNTLcNP6nm&#10;5Xw6m1ecOWGp8L++fv/54xubvpwcJ5sGH2rKvvHXmIQGfwXyU2AOLnrh1uocEYZeiZbIlSm/eHAh&#10;BYGustXwFlpCF5sI2bFdh5YhUGWq2ST98i45w3a5TLd3ZVK7yCRtlvNyVk2Jp6Sz+XFZVbmOhagT&#10;ViLnMcTXCixLi4YjtUFGFdurEBO3+5SsBYxul9qYHOB6dWGQbQW1zHKZGY1XwmGacWyg1xOPf0Nk&#10;TX8IPoCwOtIkGW3J/JyVbRO1cXv3kmGj8Stob8m8bBO1Lo0vyeoBv3A2UPM2PHzeCFScmTeOCkAG&#10;zVK352BWHU8pwMOT1eGJcJKgGh45G5cXcZyQjUe97umlMmt0cE5F63R2MBV0ZLUnSw2ajd0PU5qA&#10;wzhn3f+BLH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hfqt4toAAAALAQAADwAAAAAAAAABACAA&#10;AAAiAAAAZHJzL2Rvd25yZXYueG1sUEsBAhQAFAAAAAgAh07iQIEPbN9EAgAAiAQAAA4AAAAAAAAA&#10;AQAgAAAAKQEAAGRycy9lMm9Eb2MueG1sUEsFBgAAAAAGAAYAWQEAAN8FAAAAAA==&#10;">
                <v:fill on="t" focussize="0,0"/>
                <v:stroke color="#000000" miterlimit="8" joinstyle="miter"/>
                <v:imagedata o:title=""/>
                <o:lock v:ext="edit" aspectratio="f"/>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69856" behindDoc="0" locked="0" layoutInCell="1" allowOverlap="1">
                <wp:simplePos x="0" y="0"/>
                <wp:positionH relativeFrom="column">
                  <wp:posOffset>1213485</wp:posOffset>
                </wp:positionH>
                <wp:positionV relativeFrom="paragraph">
                  <wp:posOffset>3482340</wp:posOffset>
                </wp:positionV>
                <wp:extent cx="1068070" cy="552450"/>
                <wp:effectExtent l="0" t="0" r="0" b="0"/>
                <wp:wrapNone/>
                <wp:docPr id="529070451" name="自选图形 2308"/>
                <wp:cNvGraphicFramePr/>
                <a:graphic xmlns:a="http://schemas.openxmlformats.org/drawingml/2006/main">
                  <a:graphicData uri="http://schemas.microsoft.com/office/word/2010/wordprocessingShape">
                    <wps:wsp>
                      <wps:cNvSpPr>
                        <a:spLocks noChangeArrowheads="1"/>
                      </wps:cNvSpPr>
                      <wps:spPr bwMode="auto">
                        <a:xfrm>
                          <a:off x="0" y="0"/>
                          <a:ext cx="1068070" cy="552450"/>
                        </a:xfrm>
                        <a:prstGeom prst="flowChartProcess">
                          <a:avLst/>
                        </a:prstGeom>
                        <a:noFill/>
                        <a:ln>
                          <a:noFill/>
                        </a:ln>
                      </wps:spPr>
                      <wps:txbx>
                        <w:txbxContent>
                          <w:p w14:paraId="50DCD3F6">
                            <w:pPr>
                              <w:jc w:val="center"/>
                              <w:rPr>
                                <w:lang w:eastAsia="zh-CN"/>
                              </w:rPr>
                            </w:pPr>
                            <w:r>
                              <w:rPr>
                                <w:rFonts w:hint="eastAsia"/>
                                <w:lang w:eastAsia="zh-CN"/>
                              </w:rPr>
                              <w:t>刻蚀液混配车间</w:t>
                            </w:r>
                          </w:p>
                        </w:txbxContent>
                      </wps:txbx>
                      <wps:bodyPr rot="0" vert="horz" wrap="square" lIns="91440" tIns="45720" rIns="91440" bIns="45720" anchor="t" anchorCtr="0" upright="1">
                        <a:noAutofit/>
                      </wps:bodyPr>
                    </wps:wsp>
                  </a:graphicData>
                </a:graphic>
              </wp:anchor>
            </w:drawing>
          </mc:Choice>
          <mc:Fallback>
            <w:pict>
              <v:shape id="自选图形 2308" o:spid="_x0000_s1026" o:spt="109" type="#_x0000_t109" style="position:absolute;left:0pt;margin-left:95.55pt;margin-top:274.2pt;height:43.5pt;width:84.1pt;z-index:251769856;mso-width-relative:page;mso-height-relative:page;" filled="f" stroked="f" coordsize="21600,21600" o:gfxdata="UEsDBAoAAAAAAIdO4kAAAAAAAAAAAAAAAAAEAAAAZHJzL1BLAwQUAAAACACHTuJAD5gkN9gAAAAL&#10;AQAADwAAAGRycy9kb3ducmV2LnhtbE2PwU7DMBBE70j8g7VI3Kht7JQ2xKkQEoUrgUtvbuzGEfE6&#10;it20/XvMiR5H+zTzttqc/UBmO8U+oAK+YEAstsH02Cn4/np7WAGJSaPRQ0Cr4GIjbOrbm0qXJpzw&#10;085N6kguwVhqBS6lsaQ0ts56HRdhtJhvhzB5nXKcOmomfcrlfqCPjC2p1z3mBadH++ps+9McvYJZ&#10;vly2u6f3Tgrz4Vjc9lyLRqn7O86egSR7Tv8w/Olndaiz0z4c0UQy5LzmPKMKCrmSQDIhirUAslew&#10;FIUEWlf0+of6F1BLAwQUAAAACACHTuJA7o41HikCAAAlBAAADgAAAGRycy9lMm9Eb2MueG1srVPL&#10;jtMwFN0j8Q+W9zQPmplO1HQ0mmoQ0gCVBj7AdZwmIvE1127TsmKH+AZ2LPkH+JuR4C+4djqlM2xm&#10;wSby9bXPPef4ZHq+7Vq2UWgb0AVPRjFnSksoG70q+Lu3V88mnFkndCla0KrgO2X5+ezpk2lvcpVC&#10;DW2pkBGItnlvCl47Z/IosrJWnbAjMEpTswLshKMSV1GJoif0ro3SOD6JesDSIEhlLe3OhybfI+Jj&#10;AKGqGqnmINed0m5ARdUKR5Js3RjLZ4FtVSnp3lSVVY61BSelLnxpCK2X/hvNpiJfoTB1I/cUxGMo&#10;PNDUiUbT0APUXDjB1tj8A9U1EsFC5UYSumgQEhwhFUn8wJubWhgVtJDV1hxMt/8PVr7eLJA1ZcGz&#10;9Cw+jcdZwpkWHT38r8/ff3/6cvv15+2Pbyx9Hk+8Wb2xOd25MQv0cq25BvneMg2XtdArdYEIfa1E&#10;SRQTfz66d8EXlq6yZf8KSpoh1g6Cb9sKOw9IjrBteJ7d4XnU1jFJm0l8MiGKnEnqZVk6zsL7RSK/&#10;u23QuhcKOuYXBa9a6IkXusUQtzBJbK6t88xEfnfcD9Zw1bRtiEOr723QQb8TlHjygwluu9zu/VhC&#10;uSNNCEO66N+iRQ34kbOeklVw+2EtUHHWvtTky1kyHvsohmKcnaZU4HFnedwRWhJUwR1nw/LSDfFd&#10;G2xWNU1KgiwNF+Rl1QRp3ueB1Z43pSco3ifdx/O4Dqf+/t2z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YJDfYAAAACwEAAA8AAAAAAAAAAQAgAAAAIgAAAGRycy9kb3ducmV2LnhtbFBLAQIUABQA&#10;AAAIAIdO4kDujjUeKQIAACUEAAAOAAAAAAAAAAEAIAAAACcBAABkcnMvZTJvRG9jLnhtbFBLBQYA&#10;AAAABgAGAFkBAADCBQAAAAA=&#10;">
                <v:fill on="f" focussize="0,0"/>
                <v:stroke on="f"/>
                <v:imagedata o:title=""/>
                <o:lock v:ext="edit" aspectratio="f"/>
                <v:textbox>
                  <w:txbxContent>
                    <w:p w14:paraId="50DCD3F6">
                      <w:pPr>
                        <w:jc w:val="center"/>
                        <w:rPr>
                          <w:lang w:eastAsia="zh-CN"/>
                        </w:rPr>
                      </w:pPr>
                      <w:r>
                        <w:rPr>
                          <w:rFonts w:hint="eastAsia"/>
                          <w:lang w:eastAsia="zh-CN"/>
                        </w:rPr>
                        <w:t>刻蚀液混配车间</w:t>
                      </w: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68832" behindDoc="0" locked="0" layoutInCell="1" allowOverlap="1">
                <wp:simplePos x="0" y="0"/>
                <wp:positionH relativeFrom="column">
                  <wp:posOffset>1461135</wp:posOffset>
                </wp:positionH>
                <wp:positionV relativeFrom="paragraph">
                  <wp:posOffset>3434715</wp:posOffset>
                </wp:positionV>
                <wp:extent cx="561975" cy="571500"/>
                <wp:effectExtent l="0" t="0" r="28575" b="19050"/>
                <wp:wrapNone/>
                <wp:docPr id="629248421" name="矩形 2307"/>
                <wp:cNvGraphicFramePr/>
                <a:graphic xmlns:a="http://schemas.openxmlformats.org/drawingml/2006/main">
                  <a:graphicData uri="http://schemas.microsoft.com/office/word/2010/wordprocessingShape">
                    <wps:wsp>
                      <wps:cNvSpPr>
                        <a:spLocks noChangeArrowheads="1"/>
                      </wps:cNvSpPr>
                      <wps:spPr bwMode="auto">
                        <a:xfrm>
                          <a:off x="0" y="0"/>
                          <a:ext cx="561975" cy="571500"/>
                        </a:xfrm>
                        <a:prstGeom prst="rect">
                          <a:avLst/>
                        </a:prstGeom>
                        <a:solidFill>
                          <a:srgbClr val="FF0000"/>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矩形 2307" o:spid="_x0000_s1026" o:spt="1" style="position:absolute;left:0pt;margin-left:115.05pt;margin-top:270.45pt;height:45pt;width:44.25pt;z-index:251768832;mso-width-relative:page;mso-height-relative:page;" fillcolor="#FF0000" filled="t" stroked="t" coordsize="21600,21600" o:gfxdata="UEsDBAoAAAAAAIdO4kAAAAAAAAAAAAAAAAAEAAAAZHJzL1BLAwQUAAAACACHTuJARxKpLNkAAAAL&#10;AQAADwAAAGRycy9kb3ducmV2LnhtbE2PwU7DMAyG70i8Q2Qkbizpyspa6k7aJE6IA2Mcdstar61o&#10;kirJ1vL2mBMcbX/6/f3lZjaDuJIPvbMIyUKBIFu7prctwuHj5WENIkRtGz04SwjfFGBT3d6Uumjc&#10;ZN/puo+t4BAbCo3QxTgWUoa6I6PDwo1k+XZ23ujIo29l4/XE4WaQS6UyaXRv+UOnR9p1VH/tLwZh&#10;cttjusr16+4pRu/nz7ftoc4R7+8S9Qwi0hz/YPjVZ3Wo2OnkLrYJYkBYpiphFGH1qHIQTKTJOgNx&#10;QshS3siqlP87VD9QSwMEFAAAAAgAh07iQN4xAzg+AgAAeQQAAA4AAABkcnMvZTJvRG9jLnhtbK1U&#10;S27bMBDdF+gdCO4bfWrFsWA5CBy4KJC2AdIegKYoiyh/HdKW08sU6C6H6HGKXqNDykmdtIssqoXA&#10;0Qwf33sz1Px8rxXZCfDSmoYWJzklwnDbSrNp6KePq1dnlPjATMuUNaKht8LT88XLF/PB1aK0vVWt&#10;AIIgxteDa2gfgquzzPNeaOZPrBMGk50FzQKGsMlaYAOia5WVeX6aDRZaB5YL7/Hr5ZikB0R4DqDt&#10;OsnFpeVbLUwYUUEoFlCS76XzdJHYdp3g4UPXeRGIaigqDemNh+B6Hd/ZYs7qDTDXS36gwJ5D4Ykm&#10;zaTBQx+gLllgZAvyLygtOVhvu3DCrc5GIckRVFHkT7y56ZkTSQta7d2D6f7/wfL3u2sgsm3oaTkr&#10;J2eTsqDEMI2N//Xt7ueP76R8nU+jTYPzNVbfuGuIQr27svyzJ8Yue2Y24gLADr1gLZIrYn32aEMM&#10;PG4l6+GdbRGdbYNNju070BEQvSD71Jjbh8aIfSAcP1anxWxaUcIxVU2LKk+Ny1h9v9mBD2+E1SQu&#10;GgrY9wTOdlc+RDKsvi9J5K2S7UoqlQLYrJcKyI7hjKxWOT6JP2o8LlOGDA2dVWWVkB/l/DFEBPg3&#10;hJYBr46SuqFnx0XKHOyKDo1Or217i26BHScW7ysuegtfKRlwWhvqv2wZCErUW4OOz4rJJI53CibV&#10;tMQAjjPr4wwzHKEaGigZl8swXomtA7np8aQiaTT2ArvUyeRg7ODI6kAWJzIZe7g9ceSP41T154+x&#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HEqks2QAAAAsBAAAPAAAAAAAAAAEAIAAAACIAAABk&#10;cnMvZG93bnJldi54bWxQSwECFAAUAAAACACHTuJA3jEDOD4CAAB5BAAADgAAAAAAAAABACAAAAAo&#10;AQAAZHJzL2Uyb0RvYy54bWxQSwUGAAAAAAYABgBZAQAA2AUAAAAA&#10;">
                <v:fill on="t" focussize="0,0"/>
                <v:stroke color="#000000" miterlimit="8" joinstyle="miter"/>
                <v:imagedata o:title=""/>
                <o:lock v:ext="edit" aspectratio="f"/>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936768" behindDoc="0" locked="0" layoutInCell="1" allowOverlap="1">
                <wp:simplePos x="0" y="0"/>
                <wp:positionH relativeFrom="column">
                  <wp:posOffset>3382010</wp:posOffset>
                </wp:positionH>
                <wp:positionV relativeFrom="paragraph">
                  <wp:posOffset>4434840</wp:posOffset>
                </wp:positionV>
                <wp:extent cx="1068070" cy="352425"/>
                <wp:effectExtent l="0" t="0" r="0" b="9525"/>
                <wp:wrapNone/>
                <wp:docPr id="1027216612" name="自选图形 2308"/>
                <wp:cNvGraphicFramePr/>
                <a:graphic xmlns:a="http://schemas.openxmlformats.org/drawingml/2006/main">
                  <a:graphicData uri="http://schemas.microsoft.com/office/word/2010/wordprocessingShape">
                    <wps:wsp>
                      <wps:cNvSpPr>
                        <a:spLocks noChangeArrowheads="1"/>
                      </wps:cNvSpPr>
                      <wps:spPr bwMode="auto">
                        <a:xfrm>
                          <a:off x="0" y="0"/>
                          <a:ext cx="1068070" cy="352425"/>
                        </a:xfrm>
                        <a:prstGeom prst="flowChartProcess">
                          <a:avLst/>
                        </a:prstGeom>
                        <a:noFill/>
                        <a:ln>
                          <a:noFill/>
                        </a:ln>
                      </wps:spPr>
                      <wps:txbx>
                        <w:txbxContent>
                          <w:p w14:paraId="41EA72DA">
                            <w:pPr>
                              <w:jc w:val="center"/>
                              <w:rPr>
                                <w:lang w:eastAsia="zh-CN"/>
                              </w:rPr>
                            </w:pPr>
                            <w:r>
                              <w:rPr>
                                <w:rFonts w:hint="eastAsia"/>
                                <w:lang w:eastAsia="zh-CN"/>
                              </w:rPr>
                              <w:t>公用工程房</w:t>
                            </w:r>
                          </w:p>
                        </w:txbxContent>
                      </wps:txbx>
                      <wps:bodyPr rot="0" vert="horz" wrap="square" lIns="91440" tIns="45720" rIns="91440" bIns="45720" anchor="t" anchorCtr="0" upright="1">
                        <a:noAutofit/>
                      </wps:bodyPr>
                    </wps:wsp>
                  </a:graphicData>
                </a:graphic>
              </wp:anchor>
            </w:drawing>
          </mc:Choice>
          <mc:Fallback>
            <w:pict>
              <v:shape id="自选图形 2308" o:spid="_x0000_s1026" o:spt="109" type="#_x0000_t109" style="position:absolute;left:0pt;margin-left:266.3pt;margin-top:349.2pt;height:27.75pt;width:84.1pt;z-index:251936768;mso-width-relative:page;mso-height-relative:page;" filled="f" stroked="f" coordsize="21600,21600" o:gfxdata="UEsDBAoAAAAAAIdO4kAAAAAAAAAAAAAAAAAEAAAAZHJzL1BLAwQUAAAACACHTuJACNm8z9kAAAAL&#10;AQAADwAAAGRycy9kb3ducmV2LnhtbE2PwU7DMAyG70i8Q2Qkbizp2nVbaTohJAZXChduXmPaiiap&#10;mqzb3h5zYjdb/vT7+8vd2Q5ipin03mlIFgoEucab3rUaPj9eHjYgQkRncPCONFwowK66vSmxMP7k&#10;3mmuYys4xIUCNXQxjoWUoenIYlj4kRzfvv1kMfI6tdJMeOJwO8ilUrm02Dv+0OFIzx01P/XRapiz&#10;p8v+a/3aZql561TY9wmmtdb3d4l6BBHpHP9h+NNndajY6eCPzgQxaFily5xRDfl2k4FgYq0Ulznw&#10;sEq3IKtSXneofgFQSwMEFAAAAAgAh07iQA9jn5IpAgAAJgQAAA4AAABkcnMvZTJvRG9jLnhtbK1T&#10;y47TMBTdI/EPlvc0j+mLqOloNNUgpAEqDXyA6zhNROJrrt2mZcUO8Q3sWPIP8DcjwV9w7XRKZ9jM&#10;gk3k62ufe87xyex81zZsq9DWoHOeDGLOlJZQ1Hqd83dvr55NObNO6EI0oFXO98ry8/nTJ7POZCqF&#10;CppCISMQbbPO5LxyzmRRZGWlWmEHYJSmZgnYCkclrqMCRUfobROlcTyOOsDCIEhlLe0u+iY/IOJj&#10;AKEsa6kWIDet0q5HRdUIR5JsVRvL54FtWSrp3pSlVY41OSelLnxpCK1X/hvNZyJbozBVLQ8UxGMo&#10;PNDUilrT0CPUQjjBNlj/A9XWEsFC6QYS2qgXEhwhFUn8wJubShgVtJDV1hxNt/8PVr7eLpHVBSUh&#10;TidpMh4nKWdatPTyvz5///3py+3Xn7c/vrH0LJ56tzpjM7p0Y5bo9VpzDfK9ZRouK6HX6gIRukqJ&#10;gjgm/nx074IvLF1lq+4VFDRDbBwE43Ylth6QLGG78D774/uonWOSNpN4PI0n9HSSemejdJiOwgiR&#10;3d02aN0LBS3zi5yXDXTEC92yz1uYJLbX1nlmIrs77gdruKqbJuSh0fc26KDfCUo8+d4Et1vtDn6s&#10;oNiTJoQ+XvRz0aIC/MhZR9HKuf2wEag4a15q8uV5Mhz6LIZiOJqkVOBpZ3XaEVoSVM4dZ/3y0vX5&#10;3Ris1xVNSoIsDRfkZVkHad7nntWBN8UnKD5E3efztA6n/v7e8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I2bzP2QAAAAsBAAAPAAAAAAAAAAEAIAAAACIAAABkcnMvZG93bnJldi54bWxQSwECFAAU&#10;AAAACACHTuJAD2OfkikCAAAmBAAADgAAAAAAAAABACAAAAAoAQAAZHJzL2Uyb0RvYy54bWxQSwUG&#10;AAAAAAYABgBZAQAAwwUAAAAA&#10;">
                <v:fill on="f" focussize="0,0"/>
                <v:stroke on="f"/>
                <v:imagedata o:title=""/>
                <o:lock v:ext="edit" aspectratio="f"/>
                <v:textbox>
                  <w:txbxContent>
                    <w:p w14:paraId="41EA72DA">
                      <w:pPr>
                        <w:jc w:val="center"/>
                        <w:rPr>
                          <w:lang w:eastAsia="zh-CN"/>
                        </w:rPr>
                      </w:pPr>
                      <w:r>
                        <w:rPr>
                          <w:rFonts w:hint="eastAsia"/>
                          <w:lang w:eastAsia="zh-CN"/>
                        </w:rPr>
                        <w:t>公用工程房</w:t>
                      </w: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877376" behindDoc="0" locked="0" layoutInCell="1" allowOverlap="1">
                <wp:simplePos x="0" y="0"/>
                <wp:positionH relativeFrom="margin">
                  <wp:posOffset>3522980</wp:posOffset>
                </wp:positionH>
                <wp:positionV relativeFrom="paragraph">
                  <wp:posOffset>4267835</wp:posOffset>
                </wp:positionV>
                <wp:extent cx="944880" cy="516890"/>
                <wp:effectExtent l="4762" t="0" r="12383" b="12382"/>
                <wp:wrapNone/>
                <wp:docPr id="684235386" name="矩形 1455"/>
                <wp:cNvGraphicFramePr/>
                <a:graphic xmlns:a="http://schemas.openxmlformats.org/drawingml/2006/main">
                  <a:graphicData uri="http://schemas.microsoft.com/office/word/2010/wordprocessingShape">
                    <wps:wsp>
                      <wps:cNvSpPr/>
                      <wps:spPr>
                        <a:xfrm rot="5400000">
                          <a:off x="0" y="0"/>
                          <a:ext cx="945197" cy="516573"/>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455" o:spid="_x0000_s1026" o:spt="1" style="position:absolute;left:0pt;margin-left:277.4pt;margin-top:336.05pt;height:40.7pt;width:74.4pt;mso-position-horizontal-relative:margin;rotation:5898240f;z-index:251877376;v-text-anchor:middle;mso-width-relative:page;mso-height-relative:page;" fillcolor="#4472C4 [3204]" filled="t" stroked="t" coordsize="21600,21600" o:gfxdata="UEsDBAoAAAAAAIdO4kAAAAAAAAAAAAAAAAAEAAAAZHJzL1BLAwQUAAAACACHTuJAaB+2xtsAAAAL&#10;AQAADwAAAGRycy9kb3ducmV2LnhtbE2PwU7DMBBE70j8g7VI3KidhqQlxKkQEuqlKqIguDrxkkSJ&#10;7ch2m/L3LKdy29GOZt6Um7MZ2Ql96J2VkCwEMLSN071tJXy8v9ytgYWorFajsyjhBwNsquurUhXa&#10;zfYNT4fYMgqxoVASuhingvPQdGhUWLgJLf2+nTcqkvQt117NFG5GvhQi50b1lho6NeFzh81wOBoJ&#10;/iEV0cz7epvsXofP4elrt12nUt7eJOIRWMRzvJjhD5/QoSKm2h2tDmyUkGX3hB4l5KtlAowcK5Hm&#10;wGo6sjQDXpX8/4bqF1BLAwQUAAAACACHTuJAWqZeCJMCAAAtBQAADgAAAGRycy9lMm9Eb2MueG1s&#10;rVTNbtswDL4P2DsIuq+OUztJgzpFkKDDgGIt0A07K7IUC9DfJCVO9zIDdttD9HGGvcYoyW3Tboce&#10;5oNBitRH8iOp84uDkmjPnBdGN7g8GWHENDWt0NsGf/50+W6GkQ9Et0QazRp8xzy+WLx9c97bORub&#10;zsiWOQQg2s972+AuBDsvCk87pog/MZZpMHLjFAmgum3ROtIDupLFeDSaFL1xrXWGMu/hdJ2NeEB0&#10;rwE0nAvK1obuFNMhozomSYCSfCesx4uULeeMhmvOPQtINhgqDekPQUDexH+xOCfzrSO2E3RIgbwm&#10;hRc1KSI0BH2EWpNA0M6Jv6CUoM54w8MJNarIhSRGoIpy9IKb245YlmoBqr19JN3/P1j6cX/jkGgb&#10;PJlV49P6dDbBSBMFjf/9/eev+x+orOo60tRbPwfvW3vjBs2DGGs+cKeQM8BtXY3il5iA2tAhEX33&#10;SDQ7BETh8Kyqy7MpRhRMdTmpp6cxQpGhIqR1PrxnRqEoNNhBHxMo2V/5kF0fXKK7N1K0l0LKpLjt&#10;ZiUd2hPoeVVNx6tqQH/mJjXqYf7HU8gXUQKTzGGCQFQW2PB6ixGRW1gRGlyK/ey2Pw5SQoy6zE4d&#10;aVkOXdaRipzs4J5qfIYTq1gT3+UryRSvkLkSAdZMCtXgWSY1I0kNILEXmf0obUx7B01MHYBavKWX&#10;AmCviA83xME4wyEsfLiGH5cGqjaDhFFn3Ld/nUd/mDKwYtTDegAjX3fEMYzkBw3zd1ZWFcCGpFT1&#10;dAyKO7Zsji16p1YGulGm7JIY/YN8ELkz6gu8C8sYFUxEU4iduR+UVchrCy8LZctlcoMdsiRc6VtL&#10;I3jkTZvlLhgu0pQ8sTOQBluUejBsfFzTYz15Pb1yi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Bo&#10;H7bG2wAAAAsBAAAPAAAAAAAAAAEAIAAAACIAAABkcnMvZG93bnJldi54bWxQSwECFAAUAAAACACH&#10;TuJAWqZeCJMCAAAtBQAADgAAAAAAAAABACAAAAAqAQAAZHJzL2Uyb0RvYy54bWxQSwUGAAAAAAYA&#10;BgBZAQAALwYAAAAA&#10;">
                <v:fill on="t" focussize="0,0"/>
                <v:stroke weight="1pt" color="#172C51 [3204]" miterlimit="8" joinstyle="miter"/>
                <v:imagedata o:title=""/>
                <o:lock v:ext="edit" aspectratio="f"/>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65760" behindDoc="0" locked="0" layoutInCell="1" allowOverlap="1">
                <wp:simplePos x="0" y="0"/>
                <wp:positionH relativeFrom="column">
                  <wp:posOffset>4356735</wp:posOffset>
                </wp:positionH>
                <wp:positionV relativeFrom="paragraph">
                  <wp:posOffset>4217035</wp:posOffset>
                </wp:positionV>
                <wp:extent cx="1171575" cy="704850"/>
                <wp:effectExtent l="0" t="0" r="0" b="0"/>
                <wp:wrapNone/>
                <wp:docPr id="885132511" name="自选图形 2308"/>
                <wp:cNvGraphicFramePr/>
                <a:graphic xmlns:a="http://schemas.openxmlformats.org/drawingml/2006/main">
                  <a:graphicData uri="http://schemas.microsoft.com/office/word/2010/wordprocessingShape">
                    <wps:wsp>
                      <wps:cNvSpPr>
                        <a:spLocks noChangeArrowheads="1"/>
                      </wps:cNvSpPr>
                      <wps:spPr bwMode="auto">
                        <a:xfrm>
                          <a:off x="0" y="0"/>
                          <a:ext cx="1171575" cy="704850"/>
                        </a:xfrm>
                        <a:prstGeom prst="flowChartProcess">
                          <a:avLst/>
                        </a:prstGeom>
                        <a:noFill/>
                        <a:ln>
                          <a:noFill/>
                        </a:ln>
                      </wps:spPr>
                      <wps:txbx>
                        <w:txbxContent>
                          <w:p w14:paraId="636B2BC6">
                            <w:pPr>
                              <w:jc w:val="center"/>
                              <w:rPr>
                                <w:lang w:eastAsia="zh-CN"/>
                              </w:rPr>
                            </w:pPr>
                            <w:r>
                              <w:rPr>
                                <w:rFonts w:hint="eastAsia"/>
                                <w:lang w:eastAsia="zh-CN"/>
                              </w:rPr>
                              <w:t>污水处理站、事故应急池、初期雨水池</w:t>
                            </w:r>
                          </w:p>
                        </w:txbxContent>
                      </wps:txbx>
                      <wps:bodyPr rot="0" vert="horz" wrap="square" lIns="91440" tIns="45720" rIns="91440" bIns="45720" anchor="t" anchorCtr="0" upright="1">
                        <a:noAutofit/>
                      </wps:bodyPr>
                    </wps:wsp>
                  </a:graphicData>
                </a:graphic>
              </wp:anchor>
            </w:drawing>
          </mc:Choice>
          <mc:Fallback>
            <w:pict>
              <v:shape id="自选图形 2308" o:spid="_x0000_s1026" o:spt="109" type="#_x0000_t109" style="position:absolute;left:0pt;margin-left:343.05pt;margin-top:332.05pt;height:55.5pt;width:92.25pt;z-index:251765760;mso-width-relative:page;mso-height-relative:page;" filled="f" stroked="f" coordsize="21600,21600" o:gfxdata="UEsDBAoAAAAAAIdO4kAAAAAAAAAAAAAAAAAEAAAAZHJzL1BLAwQUAAAACACHTuJAMCMJjdcAAAAL&#10;AQAADwAAAGRycy9kb3ducmV2LnhtbE2PwU7DMAyG70i8Q2QkbiwJK2lVmk4IiY0rHRduXhPaiiap&#10;mqzb3n7mBLff8qffn6vN2Y1ssXMcgtcgVwKY9W0wg+80fO7fHgpgMaE3OAZvNVxshE19e1NhacLJ&#10;f9ilSR2jEh9L1NCnNJWcx7a3DuMqTNbT7jvMDhONc8fNjCcqdyN/FEJxh4OnCz1O9rW37U9zdBqW&#10;7OWy/cp3XbY2772I20HiutH6/k6KZ2DJntMfDL/6pA41OR3C0ZvIRg2qUJJQCiqjQESRCwXsoCHP&#10;nyTwuuL/f6ivUEsDBBQAAAAIAIdO4kDn30ZsKgIAACUEAAAOAAAAZHJzL2Uyb0RvYy54bWytU0GO&#10;0zAU3SNxB8t7mqTT0BI1HY2mGoQ0QKWBA7iO00Qk/ubbbTKs2KE5AzuW3AFuMxLcgm+nUzrDZhZs&#10;In9/+/33nl/mp33bsJ1CW4POeTKKOVNaQlHrTc7fv7t4NuPMOqEL0YBWOb9Wlp8unj6ZdyZTY6ig&#10;KRQyAtE260zOK+dMFkVWVqoVdgRGaWqWgK1wVOImKlB0hN420TiOn0cdYGEQpLKWdpdDk+8R8TGA&#10;UJa1VEuQ21ZpN6CiaoQjSbaqjeWLwLYslXRvy9Iqx5qck1IXvjSE1mv/jRZzkW1QmKqWewriMRQe&#10;aGpFrWnoAWopnGBbrP+BamuJYKF0IwltNAgJjpCKJH7gzVUljApayGprDqbb/wcr3+xWyOoi57NZ&#10;mpyM0yThTIuWHv7Xl++/P9/cfv15++MbG5/EM29WZ2xGd67MCr1cay5BfrBMw3kl9EadIUJXKVEQ&#10;xcSfj+5d8IWlq2zdvYaCZoitg+BbX2LrAckR1ofnuT48j+odk7SZJNMknaacSepN48ksDe8Xiezu&#10;tkHrXipomV/kvGygI17oVkPcwiSxu7TOMxPZ3XE/WMNF3TQhDo2+t0EH/U5Q4skPJrh+3e/9WENx&#10;TZoQhnTRv0WLCvATZx0lK+f241ag4qx5pcmXF8lk4qMYikk6HVOBx531cUdoSVA5d5wNy3M3xHdr&#10;sN5UNCkJsjSckZdlHaR5nwdWe96UnqB4n3Qfz+M6nPr7dy/+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AjCY3XAAAACwEAAA8AAAAAAAAAAQAgAAAAIgAAAGRycy9kb3ducmV2LnhtbFBLAQIUABQA&#10;AAAIAIdO4kDn30ZsKgIAACUEAAAOAAAAAAAAAAEAIAAAACYBAABkcnMvZTJvRG9jLnhtbFBLBQYA&#10;AAAABgAGAFkBAADCBQAAAAA=&#10;">
                <v:fill on="f" focussize="0,0"/>
                <v:stroke on="f"/>
                <v:imagedata o:title=""/>
                <o:lock v:ext="edit" aspectratio="f"/>
                <v:textbox>
                  <w:txbxContent>
                    <w:p w14:paraId="636B2BC6">
                      <w:pPr>
                        <w:jc w:val="center"/>
                        <w:rPr>
                          <w:lang w:eastAsia="zh-CN"/>
                        </w:rPr>
                      </w:pPr>
                      <w:r>
                        <w:rPr>
                          <w:rFonts w:hint="eastAsia"/>
                          <w:lang w:eastAsia="zh-CN"/>
                        </w:rPr>
                        <w:t>污水处理站、事故应急池、初期雨水池</w:t>
                      </w: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64736" behindDoc="0" locked="0" layoutInCell="1" allowOverlap="1">
                <wp:simplePos x="0" y="0"/>
                <wp:positionH relativeFrom="column">
                  <wp:posOffset>4594860</wp:posOffset>
                </wp:positionH>
                <wp:positionV relativeFrom="paragraph">
                  <wp:posOffset>4034155</wp:posOffset>
                </wp:positionV>
                <wp:extent cx="390525" cy="1019175"/>
                <wp:effectExtent l="0" t="0" r="28575" b="28575"/>
                <wp:wrapNone/>
                <wp:docPr id="773898100" name="矩形 2307"/>
                <wp:cNvGraphicFramePr/>
                <a:graphic xmlns:a="http://schemas.openxmlformats.org/drawingml/2006/main">
                  <a:graphicData uri="http://schemas.microsoft.com/office/word/2010/wordprocessingShape">
                    <wps:wsp>
                      <wps:cNvSpPr>
                        <a:spLocks noChangeArrowheads="1"/>
                      </wps:cNvSpPr>
                      <wps:spPr bwMode="auto">
                        <a:xfrm>
                          <a:off x="0" y="0"/>
                          <a:ext cx="390525" cy="1019175"/>
                        </a:xfrm>
                        <a:prstGeom prst="rect">
                          <a:avLst/>
                        </a:prstGeom>
                        <a:solidFill>
                          <a:srgbClr val="FF0000"/>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矩形 2307" o:spid="_x0000_s1026" o:spt="1" style="position:absolute;left:0pt;margin-left:361.8pt;margin-top:317.65pt;height:80.25pt;width:30.75pt;z-index:251764736;mso-width-relative:page;mso-height-relative:page;" fillcolor="#FF0000" filled="t" stroked="t" coordsize="21600,21600" o:gfxdata="UEsDBAoAAAAAAIdO4kAAAAAAAAAAAAAAAAAEAAAAZHJzL1BLAwQUAAAACACHTuJA61ALktkAAAAL&#10;AQAADwAAAGRycy9kb3ducmV2LnhtbE2PTU/DMAyG70j8h8hI3FjaVf2k6aRN4oQ4MMaBm9eatqJx&#10;qiRby78nnOBmy49eP2+9W/UkrmTdaFhBvIlAELemG7lXcHp7eihAOI/c4WSYFHyTg11ze1Nj1ZmF&#10;X+l69L0IIewqVDB4P1dSunYgjW5jZuJw+zRWow+r7WVncQnhepLbKMqkxpHDhwFnOgzUfh0vWsFi&#10;9h9JWuLzIffe2vX9ZX9qS6Xu7+LoEYSn1f/B8Ksf1KEJTmdz4c6JSUG+TbKAKsiSNAERiLxIYxDn&#10;MJRpAbKp5f8OzQ9QSwMEFAAAAAgAh07iQKGjDkM5AgAAegQAAA4AAABkcnMvZTJvRG9jLnhtbK1U&#10;XY7TMBB+R+IOlt9pknZL26jpatVVEdICKy0cwHWcxsJ/jN2m5TJIvO0hOA7iGoydbikLQvtAHiyP&#10;Z/z5m29mMr/ca0V2Ary0pqLFIKdEGG5raTYV/fB+9WJKiQ/M1ExZIyp6EJ5eLp4/m3euFEPbWlUL&#10;IAhifNm5irYhuDLLPG+FZn5gnTDobCxoFtCETVYD6xBdq2yY5y+zzkLtwHLhPZ5e9056RISnANqm&#10;kVxcW77VwoQeFYRiAVPyrXSeLhLbphE8vGsaLwJRFcVMQ1rxEdyv45ot5qzcAHOt5EcK7CkUHuWk&#10;mTT46AnqmgVGtiD/gNKSg/W2CQNuddYnkhTBLIr8kTZ3LXMi5YJSe3cS3f8/WP52dwtE1hWdTEbT&#10;2bTIURnDNBb+x5f779++kuEon0SZOudLjL5ztxAT9e7G8o+eGLtsmdmIKwDbtYLVSK6I8dlvF6Lh&#10;8SpZd29sjehsG2xSbN+AjoCoBdmnwhxOhRH7QDgejmb5eDimhKOryItZMRmnJ1j5cNuBD6+E1SRu&#10;KgpY+ITOdjc+RDasfAhJ7K2S9UoqlQzYrJcKyI5hk6xWOX5HdH8epgzpKjqLRP4NEQH+DqFlwNlR&#10;Uld0eh6kzFGvKFEv9drWB5QLbN+yOLC4aS18pqTDdq2o/7RlIChRrw1KPisuLmJ/J+NiPBmiAeee&#10;9bmHGY5QFQ2U9Ntl6Gdi60BuWnypSDkae4VlamRSMJawZ3Ukiy2ZhD2OT+z5cztF/fplLH4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61ALktkAAAALAQAADwAAAAAAAAABACAAAAAiAAAAZHJzL2Rv&#10;d25yZXYueG1sUEsBAhQAFAAAAAgAh07iQKGjDkM5AgAAegQAAA4AAAAAAAAAAQAgAAAAKAEAAGRy&#10;cy9lMm9Eb2MueG1sUEsFBgAAAAAGAAYAWQEAANMFAAAAAA==&#10;">
                <v:fill on="t" focussize="0,0"/>
                <v:stroke color="#000000" miterlimit="8" joinstyle="miter"/>
                <v:imagedata o:title=""/>
                <o:lock v:ext="edit" aspectratio="f"/>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935744" behindDoc="0" locked="0" layoutInCell="1" allowOverlap="1">
                <wp:simplePos x="0" y="0"/>
                <wp:positionH relativeFrom="page">
                  <wp:posOffset>2714625</wp:posOffset>
                </wp:positionH>
                <wp:positionV relativeFrom="paragraph">
                  <wp:posOffset>2586990</wp:posOffset>
                </wp:positionV>
                <wp:extent cx="925195" cy="338455"/>
                <wp:effectExtent l="0" t="0" r="0" b="4445"/>
                <wp:wrapNone/>
                <wp:docPr id="1230204292" name="自选图形 2308"/>
                <wp:cNvGraphicFramePr/>
                <a:graphic xmlns:a="http://schemas.openxmlformats.org/drawingml/2006/main">
                  <a:graphicData uri="http://schemas.microsoft.com/office/word/2010/wordprocessingShape">
                    <wps:wsp>
                      <wps:cNvSpPr>
                        <a:spLocks noChangeArrowheads="1"/>
                      </wps:cNvSpPr>
                      <wps:spPr bwMode="auto">
                        <a:xfrm>
                          <a:off x="0" y="0"/>
                          <a:ext cx="925195" cy="338455"/>
                        </a:xfrm>
                        <a:prstGeom prst="flowChartProcess">
                          <a:avLst/>
                        </a:prstGeom>
                        <a:noFill/>
                        <a:ln>
                          <a:noFill/>
                        </a:ln>
                      </wps:spPr>
                      <wps:txbx>
                        <w:txbxContent>
                          <w:p w14:paraId="36EAF9FF">
                            <w:pPr>
                              <w:jc w:val="center"/>
                              <w:rPr>
                                <w:lang w:eastAsia="zh-CN"/>
                              </w:rPr>
                            </w:pPr>
                            <w:r>
                              <w:rPr>
                                <w:rFonts w:hint="eastAsia"/>
                                <w:lang w:eastAsia="zh-CN"/>
                              </w:rPr>
                              <w:t>丁类仓库</w:t>
                            </w:r>
                          </w:p>
                        </w:txbxContent>
                      </wps:txbx>
                      <wps:bodyPr rot="0" vert="horz" wrap="square" lIns="91440" tIns="45720" rIns="91440" bIns="45720" anchor="t" anchorCtr="0" upright="1">
                        <a:noAutofit/>
                      </wps:bodyPr>
                    </wps:wsp>
                  </a:graphicData>
                </a:graphic>
              </wp:anchor>
            </w:drawing>
          </mc:Choice>
          <mc:Fallback>
            <w:pict>
              <v:shape id="自选图形 2308" o:spid="_x0000_s1026" o:spt="109" type="#_x0000_t109" style="position:absolute;left:0pt;margin-left:213.75pt;margin-top:203.7pt;height:26.65pt;width:72.85pt;mso-position-horizontal-relative:page;z-index:251935744;mso-width-relative:page;mso-height-relative:page;" filled="f" stroked="f" coordsize="21600,21600" o:gfxdata="UEsDBAoAAAAAAIdO4kAAAAAAAAAAAAAAAAAEAAAAZHJzL1BLAwQUAAAACACHTuJATprj49cAAAAL&#10;AQAADwAAAGRycy9kb3ducmV2LnhtbE2Py07DMBBF90j8gzVI7KidR2uUxqkQEoUtgQ27aezGEbEd&#10;xW7a/j3DCnbzOLpzpt5d3MgWM8cheAXZSgAzvgt68L2Cz4+Xh0dgMaHXOAZvFFxNhF1ze1NjpcPZ&#10;v5ulTT2jEB8rVGBTmirOY2eNw7gKk/G0O4bZYaJ27rme8UzhbuS5EBvucPB0weJknq3pvtuTU7CU&#10;T9f9l3zty0K/WRH3Q4ZFq9T9XSa2wJK5pD8YfvVJHRpyOoST15GNCspcrgmlQsgSGBFrWeTADjTZ&#10;CAm8qfn/H5ofUEsDBBQAAAAIAIdO4kDSqXxmKQIAACUEAAAOAAAAZHJzL2Uyb0RvYy54bWytU8uO&#10;0zAU3SPxD5b3NI+20EZNR6OpBiENUGngA1zHaSISX3PtNi0rdmi+gR1L/gH+ZiT4C66dTukMm1mw&#10;iXx97XPPOT6Zne3ahm0V2hp0zpNBzJnSEopar3P+/t3lswln1gldiAa0yvleWX42f/pk1plMpVBB&#10;UyhkBKJt1pmcV86ZLIqsrFQr7ACM0tQsAVvhqMR1VKDoCL1tojSOn0cdYGEQpLKWdhd9kx8Q8TGA&#10;UJa1VAuQm1Zp16OiaoQjSbaqjeXzwLYslXRvy9Iqx5qck1IXvjSE1iv/jeYzka1RmKqWBwriMRQe&#10;aGpFrWnoEWohnGAbrP+BamuJYKF0Awlt1AsJjpCKJH7gzXUljApayGprjqbb/wcr32yXyOqCkpAO&#10;4zQepdOUMy1aevlfX77//nxz+/Xn7Y9vjLoT71ZnbEaXrs0SvV5rrkB+sEzDRSX0Wp0jQlcpURDH&#10;xJ+P7l3whaWrbNW9hoJmiI2DYNyuxNYDkiVsF95nf3wftXNM0uY0HSfTMWeSWsPhZDQehwkiu7ts&#10;0LqXClrmFzkvG+iIFrplH7cwSGyvrPPERHZ33M/VcFk3TYhDo+9t0EG/E4R47r0HbrfaHexYQbEn&#10;SQh9uujfokUF+ImzjpKVc/txI1Bx1rzSZMs0GY18FEMxGr9IqcDTzuq0I7QkqJw7zvrlhevjuzFY&#10;ryualARZGs7JyrIO0rzNPasDb0pPUHxIuo/naR1O/f2753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Tprj49cAAAALAQAADwAAAAAAAAABACAAAAAiAAAAZHJzL2Rvd25yZXYueG1sUEsBAhQAFAAA&#10;AAgAh07iQNKpfGYpAgAAJQQAAA4AAAAAAAAAAQAgAAAAJgEAAGRycy9lMm9Eb2MueG1sUEsFBgAA&#10;AAAGAAYAWQEAAMEFAAAAAA==&#10;">
                <v:fill on="f" focussize="0,0"/>
                <v:stroke on="f"/>
                <v:imagedata o:title=""/>
                <o:lock v:ext="edit" aspectratio="f"/>
                <v:textbox>
                  <w:txbxContent>
                    <w:p w14:paraId="36EAF9FF">
                      <w:pPr>
                        <w:jc w:val="center"/>
                        <w:rPr>
                          <w:lang w:eastAsia="zh-CN"/>
                        </w:rPr>
                      </w:pPr>
                      <w:r>
                        <w:rPr>
                          <w:rFonts w:hint="eastAsia"/>
                          <w:lang w:eastAsia="zh-CN"/>
                        </w:rPr>
                        <w:t>丁类仓库</w:t>
                      </w: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70880" behindDoc="0" locked="0" layoutInCell="1" allowOverlap="1">
                <wp:simplePos x="0" y="0"/>
                <wp:positionH relativeFrom="column">
                  <wp:posOffset>1927225</wp:posOffset>
                </wp:positionH>
                <wp:positionV relativeFrom="paragraph">
                  <wp:posOffset>2491105</wp:posOffset>
                </wp:positionV>
                <wp:extent cx="1171575" cy="447675"/>
                <wp:effectExtent l="0" t="0" r="28575" b="28575"/>
                <wp:wrapNone/>
                <wp:docPr id="1024901020" name="矩形 2307"/>
                <wp:cNvGraphicFramePr/>
                <a:graphic xmlns:a="http://schemas.openxmlformats.org/drawingml/2006/main">
                  <a:graphicData uri="http://schemas.microsoft.com/office/word/2010/wordprocessingShape">
                    <wps:wsp>
                      <wps:cNvSpPr>
                        <a:spLocks noChangeArrowheads="1"/>
                      </wps:cNvSpPr>
                      <wps:spPr bwMode="auto">
                        <a:xfrm>
                          <a:off x="0" y="0"/>
                          <a:ext cx="1171575" cy="447675"/>
                        </a:xfrm>
                        <a:prstGeom prst="rect">
                          <a:avLst/>
                        </a:prstGeom>
                        <a:solidFill>
                          <a:srgbClr val="FF0000"/>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矩形 2307" o:spid="_x0000_s1026" o:spt="1" style="position:absolute;left:0pt;margin-left:151.75pt;margin-top:196.15pt;height:35.25pt;width:92.25pt;z-index:251770880;mso-width-relative:page;mso-height-relative:page;" fillcolor="#FF0000" filled="t" stroked="t" coordsize="21600,21600" o:gfxdata="UEsDBAoAAAAAAIdO4kAAAAAAAAAAAAAAAAAEAAAAZHJzL1BLAwQUAAAACACHTuJAwMGUyNkAAAAL&#10;AQAADwAAAGRycy9kb3ducmV2LnhtbE2PwU7DMBBE70j8g7VI3KjThJYkxKnUSpwQB0o59LaNt0lE&#10;bEe224S/ZznBbUb7NDtTbWYziCv50DurYLlIQJBtnO5tq+Dw8fKQgwgRrcbBWVLwTQE29e1NhaV2&#10;k32n6z62gkNsKFFBF+NYShmajgyGhRvJ8u3svMHI1rdSe5w43AwyTZK1NNhb/tDhSLuOmq/9xSiY&#10;3PaYrQp83T3F6P38+bY9NIVS93fL5BlEpDn+wfBbn6tDzZ1O7mJ1EIOCLMlWjLIo0gwEE495zutO&#10;LNZpDrKu5P8N9Q9QSwMEFAAAAAgAh07iQNkWiCM8AgAAewQAAA4AAABkcnMvZTJvRG9jLnhtbK1U&#10;wW7bMAy9D9g/CLqvtrOkaYI6RdEiw4BuK9DtAxRZjoVJokYpcbqfGbBbP2KfM+w3Rslpl3Y79DAf&#10;BFKkHslH0qdnO2vYVmHQ4GpeHZWcKSeh0W5d808fl69OOAtRuEYYcKrmtyrws8XLF6e9n6sRdGAa&#10;hYxAXJj3vuZdjH5eFEF2yopwBF45MraAVkRScV00KHpCt6YYleVx0QM2HkGqEOj2cjDyPSI+BxDa&#10;Vkt1CXJjlYsDKiojIpUUOu0DX+Rs21bJ+KFtg4rM1JwqjfmkICSv0lksTsV8jcJ3Wu5TEM9J4UlN&#10;VmhHQR+gLkUUbIP6LyirJUKANh5JsMVQSGaEqqjKJ9zcdMKrXAtRHfwD6eH/wcr322tkuqFJKEfj&#10;GeUwImqcsNT5X9/ufv74zkavy2niqfdhTu43/hpTpcFfgfwcmIOLTri1OkeEvlOioeyq5F88epCU&#10;QE/Zqn8HDaGLTYRM2a5FmwCJDLbLnbl96IzaRSbpsqqm1WQ64UySbTyeHpOcQoj5/WuPIb5RYFkS&#10;ao7U+YwutlchDq73Ljl7MLpZamOyguvVhUG2FTQly2VJ3x49HLoZx/qazyajSUZ+ZAuHEAng3xBW&#10;R1oeo23NTw6djNvzlSgaqF5Bc0t0IQwzSxtLQgf4lbOe5rXm4ctGoOLMvHVE+awaj9OAZ2U8maY2&#10;4qFldWgRThJUzSNng3gRh6XYeNTrjiJVuUYH59SmVmcGUwuHrPbJ0kzmHuz3Jw39oZ69/vwzF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wMGUyNkAAAALAQAADwAAAAAAAAABACAAAAAiAAAAZHJz&#10;L2Rvd25yZXYueG1sUEsBAhQAFAAAAAgAh07iQNkWiCM8AgAAewQAAA4AAAAAAAAAAQAgAAAAKAEA&#10;AGRycy9lMm9Eb2MueG1sUEsFBgAAAAAGAAYAWQEAANYFAAAAAA==&#10;">
                <v:fill on="t" focussize="0,0"/>
                <v:stroke color="#000000" miterlimit="8" joinstyle="miter"/>
                <v:imagedata o:title=""/>
                <o:lock v:ext="edit" aspectratio="f"/>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934720" behindDoc="0" locked="0" layoutInCell="1" allowOverlap="1">
                <wp:simplePos x="0" y="0"/>
                <wp:positionH relativeFrom="page">
                  <wp:posOffset>1825625</wp:posOffset>
                </wp:positionH>
                <wp:positionV relativeFrom="paragraph">
                  <wp:posOffset>2658110</wp:posOffset>
                </wp:positionV>
                <wp:extent cx="925195" cy="338455"/>
                <wp:effectExtent l="0" t="0" r="0" b="4445"/>
                <wp:wrapNone/>
                <wp:docPr id="1279680250" name="自选图形 2308"/>
                <wp:cNvGraphicFramePr/>
                <a:graphic xmlns:a="http://schemas.openxmlformats.org/drawingml/2006/main">
                  <a:graphicData uri="http://schemas.microsoft.com/office/word/2010/wordprocessingShape">
                    <wps:wsp>
                      <wps:cNvSpPr>
                        <a:spLocks noChangeArrowheads="1"/>
                      </wps:cNvSpPr>
                      <wps:spPr bwMode="auto">
                        <a:xfrm>
                          <a:off x="0" y="0"/>
                          <a:ext cx="925195" cy="338455"/>
                        </a:xfrm>
                        <a:prstGeom prst="flowChartProcess">
                          <a:avLst/>
                        </a:prstGeom>
                        <a:noFill/>
                        <a:ln>
                          <a:noFill/>
                        </a:ln>
                      </wps:spPr>
                      <wps:txbx>
                        <w:txbxContent>
                          <w:p w14:paraId="5242A8B9">
                            <w:pPr>
                              <w:jc w:val="center"/>
                              <w:rPr>
                                <w:lang w:eastAsia="zh-CN"/>
                              </w:rPr>
                            </w:pPr>
                            <w:r>
                              <w:rPr>
                                <w:rFonts w:hint="eastAsia"/>
                                <w:lang w:eastAsia="zh-CN"/>
                              </w:rPr>
                              <w:t>危废库</w:t>
                            </w:r>
                          </w:p>
                        </w:txbxContent>
                      </wps:txbx>
                      <wps:bodyPr rot="0" vert="horz" wrap="square" lIns="91440" tIns="45720" rIns="91440" bIns="45720" anchor="t" anchorCtr="0" upright="1">
                        <a:noAutofit/>
                      </wps:bodyPr>
                    </wps:wsp>
                  </a:graphicData>
                </a:graphic>
              </wp:anchor>
            </w:drawing>
          </mc:Choice>
          <mc:Fallback>
            <w:pict>
              <v:shape id="自选图形 2308" o:spid="_x0000_s1026" o:spt="109" type="#_x0000_t109" style="position:absolute;left:0pt;margin-left:143.75pt;margin-top:209.3pt;height:26.65pt;width:72.85pt;mso-position-horizontal-relative:page;z-index:251934720;mso-width-relative:page;mso-height-relative:page;" filled="f" stroked="f" coordsize="21600,21600" o:gfxdata="UEsDBAoAAAAAAIdO4kAAAAAAAAAAAAAAAAAEAAAAZHJzL1BLAwQUAAAACACHTuJAbCPJn9kAAAAL&#10;AQAADwAAAGRycy9kb3ducmV2LnhtbE2Py07DMBBF90j8gzVI7KidB00a4lQIicKWwIbdNJ7GEbEd&#10;xW7a/j1mRXczmqM759bbsxnZQrMfnJWQrAQwsp1Tg+0lfH2+PpTAfECrcHSWJFzIw7a5vamxUu5k&#10;P2hpQ89iiPUVStAhTBXnvtNk0K/cRDbeDm42GOI691zNeIrhZuSpEGtucLDxg8aJXjR1P+3RSFjy&#10;58vuu3jr80y9a+F3Q4JZK+X9XSKegAU6h38Y/vSjOjTRae+OVnk2SkjL4jGiEvKkXAOLRJ5lKbB9&#10;HIpkA7yp+XWH5hdQSwMEFAAAAAgAh07iQBJSK6UqAgAAJQQAAA4AAABkcnMvZTJvRG9jLnhtbK1T&#10;y24TMRTdI/EPlvdkHsm0ySiTqmpUhFQgUuEDHI8nYzHja2wnM2XFDvUb2LHkH+BvKsFfcO1JQ1o2&#10;XbAZ+fra555zfGZ+1rcN2QljJaiCJqOYEqE4lFJtCvr+3eWLKSXWMVWyBpQo6I2w9Gzx/Nm807lI&#10;oYamFIYgiLJ5pwtaO6fzKLK8Fi2zI9BCYbMC0zKHpdlEpWEdordNlMbxSdSBKbUBLqzF3eXQpHtE&#10;8xRAqCrJxRL4thXKDahGNMyhJFtLbekisK0qwd3bqrLCkaagqNSFLw7B9dp/o8Wc5RvDdC35ngJ7&#10;CoVHmlomFQ49QC2ZY2Rr5D9QreQGLFRuxKGNBiHBEVSRxI+8ua6ZFkELWm31wXT7/2D5m93KEFli&#10;EtLT2ck0TjO0RrEWX/7Xl++/P9/eff159+MbScfx1LvVaZvjpWu9Ml6v1VfAP1ii4KJmaiPOjYGu&#10;FqxEjok/Hz244AuLV8m6ew0lzmBbB8G4vjKtB0RLSB/e5+bwPqJ3hOPmLM2SWUYJx9Z4PJ1kWZjA&#10;8vvL2lj3UkBL/KKgVQMd0jJuNcQtDGK7K+s8MZbfH/dzFVzKpglxaNSDDTzod4IQz33wwPXrfm/H&#10;GsoblGRgSBf+W7iowXyipMNkFdR+3DIjKGleKbRllkwmPoqhmGSnKRbmuLM+7jDFEaqgjpJheeGG&#10;+G61kZsaJyVBloJztLKSQZq3eWC1543pCYr3SffxPK7Dqb9/9+I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bCPJn9kAAAALAQAADwAAAAAAAAABACAAAAAiAAAAZHJzL2Rvd25yZXYueG1sUEsBAhQA&#10;FAAAAAgAh07iQBJSK6UqAgAAJQQAAA4AAAAAAAAAAQAgAAAAKAEAAGRycy9lMm9Eb2MueG1sUEsF&#10;BgAAAAAGAAYAWQEAAMQFAAAAAA==&#10;">
                <v:fill on="f" focussize="0,0"/>
                <v:stroke on="f"/>
                <v:imagedata o:title=""/>
                <o:lock v:ext="edit" aspectratio="f"/>
                <v:textbox>
                  <w:txbxContent>
                    <w:p w14:paraId="5242A8B9">
                      <w:pPr>
                        <w:jc w:val="center"/>
                        <w:rPr>
                          <w:lang w:eastAsia="zh-CN"/>
                        </w:rPr>
                      </w:pPr>
                      <w:r>
                        <w:rPr>
                          <w:rFonts w:hint="eastAsia"/>
                          <w:lang w:eastAsia="zh-CN"/>
                        </w:rPr>
                        <w:t>危废库</w:t>
                      </w: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875328" behindDoc="0" locked="0" layoutInCell="1" allowOverlap="1">
                <wp:simplePos x="0" y="0"/>
                <wp:positionH relativeFrom="column">
                  <wp:posOffset>1461135</wp:posOffset>
                </wp:positionH>
                <wp:positionV relativeFrom="paragraph">
                  <wp:posOffset>2567305</wp:posOffset>
                </wp:positionV>
                <wp:extent cx="352425" cy="404495"/>
                <wp:effectExtent l="0" t="0" r="28575" b="15240"/>
                <wp:wrapNone/>
                <wp:docPr id="994421779" name="矩形 2307"/>
                <wp:cNvGraphicFramePr/>
                <a:graphic xmlns:a="http://schemas.openxmlformats.org/drawingml/2006/main">
                  <a:graphicData uri="http://schemas.microsoft.com/office/word/2010/wordprocessingShape">
                    <wps:wsp>
                      <wps:cNvSpPr>
                        <a:spLocks noChangeArrowheads="1"/>
                      </wps:cNvSpPr>
                      <wps:spPr bwMode="auto">
                        <a:xfrm>
                          <a:off x="0" y="0"/>
                          <a:ext cx="352425" cy="404357"/>
                        </a:xfrm>
                        <a:prstGeom prst="rect">
                          <a:avLst/>
                        </a:prstGeom>
                        <a:solidFill>
                          <a:srgbClr val="FF0000"/>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矩形 2307" o:spid="_x0000_s1026" o:spt="1" style="position:absolute;left:0pt;margin-left:115.05pt;margin-top:202.15pt;height:31.85pt;width:27.75pt;z-index:251875328;mso-width-relative:page;mso-height-relative:page;" fillcolor="#FF0000" filled="t" stroked="t" coordsize="21600,21600" o:gfxdata="UEsDBAoAAAAAAIdO4kAAAAAAAAAAAAAAAAAEAAAAZHJzL1BLAwQUAAAACACHTuJA6r6QT9oAAAAL&#10;AQAADwAAAGRycy9kb3ducmV2LnhtbE2PsU7DMBCGdyTewTokNmonaUOaxqnUSkyIgVIGNje+JhGx&#10;HdluE96eY6Lj3X367/ur7WwGdkUfemclJAsBDG3jdG9bCcePl6cCWIjKajU4ixJ+MMC2vr+rVKnd&#10;ZN/xeogtoxAbSiWhi3EsOQ9Nh0aFhRvR0u3svFGRRt9y7dVE4WbgqRA5N6q39KFTI+47bL4PFyNh&#10;cruvbLVWr/vnGL2fP992x2Yt5eNDIjbAIs7xH4Y/fVKHmpxO7mJ1YIOENBMJoRKWYpkBIyItVjmw&#10;E23yQgCvK37bof4FUEsDBBQAAAAIAIdO4kAJkUw7OgIAAHkEAAAOAAAAZHJzL2Uyb0RvYy54bWyt&#10;VN1u0zAUvkfiHSzfs6RZSteo6TRtKkIaMGnwAK7jJBb+49htOl4Gibs9BI+DeA2Ona6UgdAuyEXk&#10;k3P8+fu+c5zF+U4rshXgpTU1nZzklAjDbSNNV9MP71cvzijxgZmGKWtETe+Ep+fL588Wg6tEYXur&#10;GgEEQYyvBlfTPgRXZZnnvdDMn1gnDCZbC5oFDKHLGmADomuVFXn+MhssNA4sF97j16sxSfeI8BRA&#10;27aSiyvLN1qYMKKCUCygJN9L5+kysW1bwcO7tvUiEFVTVBrSGw/B9Tq+s+WCVR0w10u+p8CeQuGR&#10;Js2kwUMPUFcsMLIB+QeUlhyst2044VZno5DkCKqY5I+8ue2ZE0kLWu3dwXT//2D52+0NENnUdD4v&#10;y2Iym80pMUxj4398uf/+7SspTvNZtGlwvsLqW3cDUah315Z/9MTYy56ZTlwA2KEXrEFyk1if/bYh&#10;Bh63kvXwxjaIzjbBJsd2LegIiF6QXWrM3aExYhcIx4+n06IsppRwTJV5eTpNjDJWPWx24MMrYTWJ&#10;i5oC9j2Bs+21D5EMqx5KEnmrZLOSSqUAuvWlArJlOCOrVY5P4o8aj8uUIQO6NEUe/4aIAH+H0DLg&#10;1VFS1/TsuEiZvV3RodHptW3u0C2w48TifcVFb+EzJQNOa039pw0DQYl6bdDx+aQs43inoJzOCgzg&#10;OLM+zjDDEaqmgZJxeRnGK7FxILseT5okjcZeYJdamRyMHRxZ7cniRCZj97cnjvxxnKp+/TGWP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qvpBP2gAAAAsBAAAPAAAAAAAAAAEAIAAAACIAAABkcnMv&#10;ZG93bnJldi54bWxQSwECFAAUAAAACACHTuJACZFMOzoCAAB5BAAADgAAAAAAAAABACAAAAApAQAA&#10;ZHJzL2Uyb0RvYy54bWxQSwUGAAAAAAYABgBZAQAA1QUAAAAA&#10;">
                <v:fill on="t" focussize="0,0"/>
                <v:stroke color="#000000" miterlimit="8" joinstyle="miter"/>
                <v:imagedata o:title=""/>
                <o:lock v:ext="edit" aspectratio="f"/>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67808" behindDoc="0" locked="0" layoutInCell="1" allowOverlap="1">
                <wp:simplePos x="0" y="0"/>
                <wp:positionH relativeFrom="margin">
                  <wp:posOffset>3743960</wp:posOffset>
                </wp:positionH>
                <wp:positionV relativeFrom="paragraph">
                  <wp:posOffset>577215</wp:posOffset>
                </wp:positionV>
                <wp:extent cx="925195" cy="471805"/>
                <wp:effectExtent l="0" t="0" r="0" b="4445"/>
                <wp:wrapNone/>
                <wp:docPr id="2006522651" name="自选图形 2308"/>
                <wp:cNvGraphicFramePr/>
                <a:graphic xmlns:a="http://schemas.openxmlformats.org/drawingml/2006/main">
                  <a:graphicData uri="http://schemas.microsoft.com/office/word/2010/wordprocessingShape">
                    <wps:wsp>
                      <wps:cNvSpPr>
                        <a:spLocks noChangeArrowheads="1"/>
                      </wps:cNvSpPr>
                      <wps:spPr bwMode="auto">
                        <a:xfrm>
                          <a:off x="0" y="0"/>
                          <a:ext cx="925195" cy="471805"/>
                        </a:xfrm>
                        <a:prstGeom prst="flowChartProcess">
                          <a:avLst/>
                        </a:prstGeom>
                        <a:noFill/>
                        <a:ln>
                          <a:noFill/>
                        </a:ln>
                      </wps:spPr>
                      <wps:txbx>
                        <w:txbxContent>
                          <w:p w14:paraId="245D7D20">
                            <w:pPr>
                              <w:jc w:val="center"/>
                              <w:rPr>
                                <w:lang w:eastAsia="zh-CN"/>
                              </w:rPr>
                            </w:pPr>
                            <w:r>
                              <w:rPr>
                                <w:rFonts w:hint="eastAsia"/>
                                <w:lang w:eastAsia="zh-CN"/>
                              </w:rPr>
                              <w:t>无水氟化氢库房</w:t>
                            </w:r>
                          </w:p>
                        </w:txbxContent>
                      </wps:txbx>
                      <wps:bodyPr rot="0" vert="horz" wrap="square" lIns="91440" tIns="45720" rIns="91440" bIns="45720" anchor="t" anchorCtr="0" upright="1">
                        <a:noAutofit/>
                      </wps:bodyPr>
                    </wps:wsp>
                  </a:graphicData>
                </a:graphic>
              </wp:anchor>
            </w:drawing>
          </mc:Choice>
          <mc:Fallback>
            <w:pict>
              <v:shape id="自选图形 2308" o:spid="_x0000_s1026" o:spt="109" type="#_x0000_t109" style="position:absolute;left:0pt;margin-left:294.8pt;margin-top:45.45pt;height:37.15pt;width:72.85pt;mso-position-horizontal-relative:margin;z-index:251767808;mso-width-relative:page;mso-height-relative:page;" filled="f" stroked="f" coordsize="21600,21600" o:gfxdata="UEsDBAoAAAAAAIdO4kAAAAAAAAAAAAAAAAAEAAAAZHJzL1BLAwQUAAAACACHTuJAqx2RktgAAAAK&#10;AQAADwAAAGRycy9kb3ducmV2LnhtbE2PwU7DMBBE70j8g7VI3KidpkmbNE6FkChcCVy4ufE2jojX&#10;Ueym7d9jTvS4mqeZt9XuYgc24+R7RxKShQCG1DrdUyfh6/P1aQPMB0VaDY5QwhU97Or7u0qV2p3p&#10;A+cmdCyWkC+VBBPCWHLuW4NW+YUbkWJ2dJNVIZ5Tx/WkzrHcDnwpRM6t6ikuGDXii8H2pzlZCfPq&#10;+br/Xr91q1S/G+H3faLSRsrHh0RsgQW8hH8Y/vSjOtTR6eBOpD0bJGSbIo+ohEIUwCKwTrMU2CGS&#10;ebYEXlf89oX6F1BLAwQUAAAACACHTuJAVqGUaykCAAAlBAAADgAAAGRycy9lMm9Eb2MueG1srVPL&#10;jtMwFN0j8Q+W9zQPmplp1HQ0mmoQ0gCVBj7AdZwmIvE1127TsmKH+AZ2LPkH+JuR4C+4djqlM2xm&#10;wSby9bXPPef4ZHq+7Vq2UWgb0AVPRjFnSksoG70q+Lu3V8/OOLNO6FK0oFXBd8ry89nTJ9Pe5CqF&#10;GtpSISMQbfPeFLx2zuRRZGWtOmFHYJSmZgXYCUclrqISRU/oXRulcXwS9YClQZDKWtqdD02+R8TH&#10;AEJVNVLNQa47pd2AiqoVjiTZujGWzwLbqlLSvakqqxxrC05KXfjSEFov/TeaTUW+QmHqRu4piMdQ&#10;eKCpE42moQeouXCCrbH5B6prJIKFyo0kdNEgJDhCKpL4gTc3tTAqaCGrrTmYbv8frHy9WSBryoL7&#10;t8nS9CRLONOio5f/9fn7709fbr/+vP3xjaXP4zPvVm9sTpduzAK9XmuuQb63TMNlLfRKXSBCXytR&#10;EsfEn4/uXfCFpats2b+CkmaItYNg3LbCzgOSJWwb3md3eB+1dUzS5iTNkknGmaTW+DQ5i7MwQeR3&#10;lw1a90JBx/yi4FULPdFCtxjiFgaJzbV1npjI7477uRqumrYNcWj1vQ066HeCEM998MBtl9u9HUso&#10;dyQJYUgX/Vu0qAE/ctZTsgpuP6wFKs7al5psmSTjsY9iKMbZaUoFHneWxx2hJUEV3HE2LC/dEN+1&#10;wWZV06QkyNJwQVZWTZDmbR5Y7XlTeoLifdJ9PI/rcOrv3z37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KsdkZLYAAAACgEAAA8AAAAAAAAAAQAgAAAAIgAAAGRycy9kb3ducmV2LnhtbFBLAQIUABQA&#10;AAAIAIdO4kBWoZRrKQIAACUEAAAOAAAAAAAAAAEAIAAAACcBAABkcnMvZTJvRG9jLnhtbFBLBQYA&#10;AAAABgAGAFkBAADCBQAAAAA=&#10;">
                <v:fill on="f" focussize="0,0"/>
                <v:stroke on="f"/>
                <v:imagedata o:title=""/>
                <o:lock v:ext="edit" aspectratio="f"/>
                <v:textbox>
                  <w:txbxContent>
                    <w:p w14:paraId="245D7D20">
                      <w:pPr>
                        <w:jc w:val="center"/>
                        <w:rPr>
                          <w:lang w:eastAsia="zh-CN"/>
                        </w:rPr>
                      </w:pPr>
                      <w:r>
                        <w:rPr>
                          <w:rFonts w:hint="eastAsia"/>
                          <w:lang w:eastAsia="zh-CN"/>
                        </w:rPr>
                        <w:t>无水氟化氢库房</w:t>
                      </w: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66784" behindDoc="0" locked="0" layoutInCell="1" allowOverlap="1">
                <wp:simplePos x="0" y="0"/>
                <wp:positionH relativeFrom="column">
                  <wp:posOffset>3775710</wp:posOffset>
                </wp:positionH>
                <wp:positionV relativeFrom="paragraph">
                  <wp:posOffset>596265</wp:posOffset>
                </wp:positionV>
                <wp:extent cx="781050" cy="476250"/>
                <wp:effectExtent l="0" t="0" r="19050" b="19050"/>
                <wp:wrapNone/>
                <wp:docPr id="411205904" name="矩形 2307"/>
                <wp:cNvGraphicFramePr/>
                <a:graphic xmlns:a="http://schemas.openxmlformats.org/drawingml/2006/main">
                  <a:graphicData uri="http://schemas.microsoft.com/office/word/2010/wordprocessingShape">
                    <wps:wsp>
                      <wps:cNvSpPr>
                        <a:spLocks noChangeArrowheads="1"/>
                      </wps:cNvSpPr>
                      <wps:spPr bwMode="auto">
                        <a:xfrm>
                          <a:off x="0" y="0"/>
                          <a:ext cx="781050" cy="476250"/>
                        </a:xfrm>
                        <a:prstGeom prst="rect">
                          <a:avLst/>
                        </a:prstGeom>
                        <a:solidFill>
                          <a:srgbClr val="FF0000"/>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矩形 2307" o:spid="_x0000_s1026" o:spt="1" style="position:absolute;left:0pt;margin-left:297.3pt;margin-top:46.95pt;height:37.5pt;width:61.5pt;z-index:251766784;mso-width-relative:page;mso-height-relative:page;" fillcolor="#FF0000" filled="t" stroked="t" coordsize="21600,21600" o:gfxdata="UEsDBAoAAAAAAIdO4kAAAAAAAAAAAAAAAAAEAAAAZHJzL1BLAwQUAAAACACHTuJAlDTHD9gAAAAK&#10;AQAADwAAAGRycy9kb3ducmV2LnhtbE2PwU7DMAyG70i8Q2QkbiwtY+3SNZ20SZwQB8Y4cPParK1o&#10;nCrJ1vL2mBMcbX/6/f3ldraDuBofekca0kUCwlDtmp5aDcf354c1iBCRGhwcGQ3fJsC2ur0psWjc&#10;RG/meoit4BAKBWroYhwLKUPdGYth4UZDfDs7bzHy6FvZeJw43A7yMUkyabEn/tDhaPadqb8OF6th&#10;crvP5Urhyz6P0fv543V3rJXW93dpsgERzRz/YPjVZ3Wo2OnkLtQEMWhYqaeMUQ1qqUAwkKc5L05M&#10;ZmsFsirl/wrVD1BLAwQUAAAACACHTuJA+5cZSjsCAAB5BAAADgAAAGRycy9lMm9Eb2MueG1srVRL&#10;bhsxDN0X6B0E7Zv51I4TI+MgSOCiQD8B0h5A1mg8QiVRpWSP08sU6K6H6HGKXqOUxkmdtIssOguB&#10;FKlH8pGcs/OdNWyrMGhwDa+OSs6Uk9Bqt274xw/LFyechShcKww41fBbFfj54vmzs8HPVQ09mFYh&#10;IxAX5oNveB+jnxdFkL2yIhyBV46MHaAVkVRcFy2KgdCtKeqyPC4GwNYjSBUC3V6NRr5HxKcAQtdp&#10;qa5AbqxycURFZUSkkkKvfeCLnG3XKRnfd11QkZmGU6UxnxSE5FU6i8WZmK9R+F7LfQriKSk8qskK&#10;7SjoPdSViIJtUP8FZbVECNDFIwm2GAvJjFAVVfmIm5teeJVrIaqDvyc9/D9Y+W57jUy3DZ9UVV1O&#10;T8sJZ05Yavyvr99//vjG6pflLNE0+DAn7xt/janQ4N+A/BSYg8teuLW6QIShV6Kl5KrkXzx4kJRA&#10;T9lqeAstoYtNhMzYrkObAIkLtsuNub1vjNpFJulydlKVU2qZJNNkdlyTnCKI+d1jjyG+UmBZEhqO&#10;1PcMLrZvQhxd71xy8mB0u9TGZAXXq0uDbCtoRpbLkr49ejh0M44NDT+d1tOM/MAWDiESwL8hrI60&#10;Okbbhp8cOhm3pysxNDK9gvaW2EIYJ5b2lYQe8AtnA01rw8PnjUDFmXntiPHTajJJ452VyXRWk4KH&#10;ltWhRThJUA2PnI3iZRxXYuNRr3uKVOUaHVxQlzqdGUwdHLPaJ0sTmXuw35408od69vrzx1j8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JQ0xw/YAAAACgEAAA8AAAAAAAAAAQAgAAAAIgAAAGRycy9k&#10;b3ducmV2LnhtbFBLAQIUABQAAAAIAIdO4kD7lxlKOwIAAHkEAAAOAAAAAAAAAAEAIAAAACcBAABk&#10;cnMvZTJvRG9jLnhtbFBLBQYAAAAABgAGAFkBAADUBQAAAAA=&#10;">
                <v:fill on="t" focussize="0,0"/>
                <v:stroke color="#000000" miterlimit="8" joinstyle="miter"/>
                <v:imagedata o:title=""/>
                <o:lock v:ext="edit" aspectratio="f"/>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933696" behindDoc="0" locked="0" layoutInCell="1" allowOverlap="1">
                <wp:simplePos x="0" y="0"/>
                <wp:positionH relativeFrom="column">
                  <wp:posOffset>1527175</wp:posOffset>
                </wp:positionH>
                <wp:positionV relativeFrom="paragraph">
                  <wp:posOffset>1049655</wp:posOffset>
                </wp:positionV>
                <wp:extent cx="1468120" cy="338455"/>
                <wp:effectExtent l="0" t="0" r="0" b="4445"/>
                <wp:wrapNone/>
                <wp:docPr id="2059654111" name="自选图形 2308"/>
                <wp:cNvGraphicFramePr/>
                <a:graphic xmlns:a="http://schemas.openxmlformats.org/drawingml/2006/main">
                  <a:graphicData uri="http://schemas.microsoft.com/office/word/2010/wordprocessingShape">
                    <wps:wsp>
                      <wps:cNvSpPr>
                        <a:spLocks noChangeArrowheads="1"/>
                      </wps:cNvSpPr>
                      <wps:spPr bwMode="auto">
                        <a:xfrm>
                          <a:off x="0" y="0"/>
                          <a:ext cx="1468120" cy="338455"/>
                        </a:xfrm>
                        <a:prstGeom prst="flowChartProcess">
                          <a:avLst/>
                        </a:prstGeom>
                        <a:noFill/>
                        <a:ln>
                          <a:noFill/>
                        </a:ln>
                      </wps:spPr>
                      <wps:txbx>
                        <w:txbxContent>
                          <w:p w14:paraId="17C91FFE">
                            <w:pPr>
                              <w:jc w:val="center"/>
                              <w:rPr>
                                <w:lang w:eastAsia="zh-CN"/>
                              </w:rPr>
                            </w:pPr>
                            <w:r>
                              <w:rPr>
                                <w:rFonts w:hint="eastAsia"/>
                                <w:lang w:eastAsia="zh-CN"/>
                              </w:rPr>
                              <w:t>原料及产品罐区</w:t>
                            </w:r>
                          </w:p>
                        </w:txbxContent>
                      </wps:txbx>
                      <wps:bodyPr rot="0" vert="horz" wrap="square" lIns="91440" tIns="45720" rIns="91440" bIns="45720" anchor="t" anchorCtr="0" upright="1">
                        <a:noAutofit/>
                      </wps:bodyPr>
                    </wps:wsp>
                  </a:graphicData>
                </a:graphic>
              </wp:anchor>
            </w:drawing>
          </mc:Choice>
          <mc:Fallback>
            <w:pict>
              <v:shape id="自选图形 2308" o:spid="_x0000_s1026" o:spt="109" type="#_x0000_t109" style="position:absolute;left:0pt;margin-left:120.25pt;margin-top:82.65pt;height:26.65pt;width:115.6pt;z-index:251933696;mso-width-relative:page;mso-height-relative:page;" filled="f" stroked="f" coordsize="21600,21600" o:gfxdata="UEsDBAoAAAAAAIdO4kAAAAAAAAAAAAAAAAAEAAAAZHJzL1BLAwQUAAAACACHTuJAo4seV9cAAAAL&#10;AQAADwAAAGRycy9kb3ducmV2LnhtbE2PwU7DMBBE70j8g7VI3KjtJk2qEKdCSBSupFy4ufESR8R2&#10;FLtp+/csJziu3mjmbb27uJEtOMcheAVyJYCh74IZfK/g4/DysAUWk/ZGj8GjgitG2DW3N7WuTDj7&#10;d1za1DMq8bHSCmxKU8V57Cw6HVdhQk/sK8xOJzrnnptZn6ncjXwtRMGdHjwtWD3hs8Xuuz05BUv+&#10;dN1/lq99npk3K+J+kDprlbq/k+IRWMJL+gvDrz6pQ0NOx3DyJrJRwToXG4oSKDYZMErkpSyBHQnJ&#10;bQG8qfn/H5ofUEsDBBQAAAAIAIdO4kCpPQviKgIAACYEAAAOAAAAZHJzL2Uyb0RvYy54bWytU0GO&#10;0zAU3SNxB8t7mqRNSydqOhpNNQhpgEoDB3Adp4lI/M2327Ss2CHOwI4ld4DbjAS34NvplM6wmQUb&#10;y/a333/v+Xl2vmsbtlVoa9A5TwYxZ0pLKGq9zvm7t1fPppxZJ3QhGtAq53tl+fn86ZNZZzI1hAqa&#10;QiEjEG2zzuS8cs5kUWRlpVphB2CUpmIJ2ApHS1xHBYqO0NsmGsbxJOoAC4MglbW0u+iL/ICIjwGE&#10;sqylWoDctEq7HhVVIxxJslVtLJ8HtmWppHtTllY51uSclLowUhOar/wYzWciW6MwVS0PFMRjKDzQ&#10;1IpaU9Mj1EI4wTZY/wPV1hLBQukGEtqoFxIcIRVJ/MCbm0oYFbSQ1dYcTbf/D1a+3i6R1UXOh/H4&#10;bDJOkyThTIuWXv7X5++/P325/frz9sc3NhzFU+9WZ2xGl27MEr1ea65BvrdMw2Ul9FpdIEJXKVEQ&#10;x8Sfj+5d8AtLV9mqewUF9RAbB8G4XYmtByRL2C68z/74PmrnmKTNJJ1MkyE9naTaaDRNx+PQQmR3&#10;tw1a90JBy/wk52UDHfFCt+zzFjqJ7bV1npnI7o77xhqu6qYJeWj0vQ066HeCEk++N8HtVruDHyso&#10;9qQJoY8XfS6aVIAfOesoWjm3HzYCFWfNS02+nCVp6rMYFun4uVeEp5XVaUVoSVA5d5z100vX53dj&#10;sF5X1CkJsjRckJdlHaR5n3tWB94Un6D4EHWfz9N1OPX3e8//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KOLHlfXAAAACwEAAA8AAAAAAAAAAQAgAAAAIgAAAGRycy9kb3ducmV2LnhtbFBLAQIUABQA&#10;AAAIAIdO4kCpPQviKgIAACYEAAAOAAAAAAAAAAEAIAAAACYBAABkcnMvZTJvRG9jLnhtbFBLBQYA&#10;AAAABgAGAFkBAADCBQAAAAA=&#10;">
                <v:fill on="f" focussize="0,0"/>
                <v:stroke on="f"/>
                <v:imagedata o:title=""/>
                <o:lock v:ext="edit" aspectratio="f"/>
                <v:textbox>
                  <w:txbxContent>
                    <w:p w14:paraId="17C91FFE">
                      <w:pPr>
                        <w:jc w:val="center"/>
                        <w:rPr>
                          <w:lang w:eastAsia="zh-CN"/>
                        </w:rPr>
                      </w:pPr>
                      <w:r>
                        <w:rPr>
                          <w:rFonts w:hint="eastAsia"/>
                          <w:lang w:eastAsia="zh-CN"/>
                        </w:rPr>
                        <w:t>原料及产品罐区</w:t>
                      </w: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876352" behindDoc="0" locked="0" layoutInCell="1" allowOverlap="1">
                <wp:simplePos x="0" y="0"/>
                <wp:positionH relativeFrom="column">
                  <wp:posOffset>1532890</wp:posOffset>
                </wp:positionH>
                <wp:positionV relativeFrom="paragraph">
                  <wp:posOffset>409575</wp:posOffset>
                </wp:positionV>
                <wp:extent cx="1447165" cy="1626235"/>
                <wp:effectExtent l="0" t="0" r="20320" b="12700"/>
                <wp:wrapNone/>
                <wp:docPr id="1444549223" name="矩形 2307"/>
                <wp:cNvGraphicFramePr/>
                <a:graphic xmlns:a="http://schemas.openxmlformats.org/drawingml/2006/main">
                  <a:graphicData uri="http://schemas.microsoft.com/office/word/2010/wordprocessingShape">
                    <wps:wsp>
                      <wps:cNvSpPr>
                        <a:spLocks noChangeArrowheads="1"/>
                      </wps:cNvSpPr>
                      <wps:spPr bwMode="auto">
                        <a:xfrm>
                          <a:off x="0" y="0"/>
                          <a:ext cx="1447138" cy="1626198"/>
                        </a:xfrm>
                        <a:prstGeom prst="rect">
                          <a:avLst/>
                        </a:prstGeom>
                        <a:solidFill>
                          <a:srgbClr val="FF0000"/>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矩形 2307" o:spid="_x0000_s1026" o:spt="1" style="position:absolute;left:0pt;margin-left:120.7pt;margin-top:32.25pt;height:128.05pt;width:113.95pt;z-index:251876352;mso-width-relative:page;mso-height-relative:page;" fillcolor="#FF0000" filled="t" stroked="t" coordsize="21600,21600" o:gfxdata="UEsDBAoAAAAAAIdO4kAAAAAAAAAAAAAAAAAEAAAAZHJzL1BLAwQUAAAACACHTuJA+wRXYdkAAAAK&#10;AQAADwAAAGRycy9kb3ducmV2LnhtbE2Py07DMBBF90j8gzVI7KidR0MTMqnUSqwQC0pZdOfGJomI&#10;x5HtNuHvMStYju7RvWfq7WJGdtXOD5YQkpUApqm1aqAO4fj+/LAB5oMkJUdLGuFbe9g2tze1rJSd&#10;6U1fD6FjsYR8JRH6EKaKc9/22ki/spOmmH1aZ2SIp+u4cnKO5WbkqRAFN3KguNDLSe973X4dLgZh&#10;trtTti7ly/4xBOeWj9fdsS0R7+8S8QQs6CX8wfCrH9WhiU5neyHl2YiQ5kkeUYQiXwOLQF6UGbAz&#10;QpaKAnhT8/8vND9QSwMEFAAAAAgAh07iQELQ3G4+AgAAfAQAAA4AAABkcnMvZTJvRG9jLnhtbK1U&#10;zY7TMBC+I/EOlu9smvRn26jpatVVEdICKy08gOs4jYX/GLtNy8sgceMheBzEazB2uqW7cNgDOVge&#10;z/jzN9/MZH6114rsBHhpTUXziwElwnBbS7Op6McPq1dTSnxgpmbKGlHRg/D0avHyxbxzpShsa1Ut&#10;gCCI8WXnKtqG4Mos87wVmvkL64RBZ2NBs4AmbLIaWIfoWmXFYDDJOgu1A8uF93h60zvpERGeA2ib&#10;RnJxY/lWCxN6VBCKBUzJt9J5ukhsm0bw8L5pvAhEVRQzDWnFR3C/jmu2mLNyA8y1kh8psOdQeJKT&#10;ZtLgoyeoGxYY2YL8C0pLDtbbJlxwq7M+kaQIZpEPnmhz3zInUi4otXcn0f3/g+XvdndAZI2dMBqN&#10;xqNZUQwpMUxj5X99/f7zxzdSDAeXUafO+RLD790dxEy9u7X8kyfGLltmNuIawHatYDWyy2N89uhC&#10;NDxeJevura0RnW2DTZLtG9AREMUg+1SZw6kyYh8Ix0Mkd5kPsTM5+vJJMcln0/QGKx+uO/DhtbCa&#10;xE1FAUuf4Nnu1odIh5UPIYm+VbJeSaWSAZv1UgHZMWyT1WqA3xHdn4cpQ7qKzsbFOCE/8vlziAjw&#10;bwgtA06Pkrqi0/MgZY6CRY16rde2PqBeYPumxZHFTWvhCyUdNmxF/ectA0GJemNQ8xlqFDs8GaPx&#10;ZYEGnHvW5x5mOEJVNFDSb5ehn4qtA7lp8aU85WjsNdapkUnBWMOe1ZEsNmUS9jhAsevP7RT156ex&#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7BFdh2QAAAAoBAAAPAAAAAAAAAAEAIAAAACIAAABk&#10;cnMvZG93bnJldi54bWxQSwECFAAUAAAACACHTuJAQtDcbj4CAAB8BAAADgAAAAAAAAABACAAAAAo&#10;AQAAZHJzL2Uyb0RvYy54bWxQSwUGAAAAAAYABgBZAQAA2AUAAAAA&#10;">
                <v:fill on="t" focussize="0,0"/>
                <v:stroke color="#000000" miterlimit="8" joinstyle="miter"/>
                <v:imagedata o:title=""/>
                <o:lock v:ext="edit" aspectratio="f"/>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932672" behindDoc="0" locked="0" layoutInCell="1" allowOverlap="1">
                <wp:simplePos x="0" y="0"/>
                <wp:positionH relativeFrom="margin">
                  <wp:align>right</wp:align>
                </wp:positionH>
                <wp:positionV relativeFrom="paragraph">
                  <wp:posOffset>667385</wp:posOffset>
                </wp:positionV>
                <wp:extent cx="723900" cy="373380"/>
                <wp:effectExtent l="0" t="0" r="0" b="0"/>
                <wp:wrapNone/>
                <wp:docPr id="1079793550" name="矩形 1398"/>
                <wp:cNvGraphicFramePr/>
                <a:graphic xmlns:a="http://schemas.openxmlformats.org/drawingml/2006/main">
                  <a:graphicData uri="http://schemas.microsoft.com/office/word/2010/wordprocessingShape">
                    <wps:wsp>
                      <wps:cNvSpPr/>
                      <wps:spPr>
                        <a:xfrm>
                          <a:off x="0" y="0"/>
                          <a:ext cx="724205" cy="373075"/>
                        </a:xfrm>
                        <a:prstGeom prst="rect">
                          <a:avLst/>
                        </a:prstGeom>
                        <a:ln>
                          <a:noFill/>
                        </a:ln>
                      </wps:spPr>
                      <wps:style>
                        <a:lnRef idx="2">
                          <a:schemeClr val="accent4"/>
                        </a:lnRef>
                        <a:fillRef idx="0">
                          <a:srgbClr val="FFFFFF"/>
                        </a:fillRef>
                        <a:effectRef idx="0">
                          <a:srgbClr val="FFFFFF"/>
                        </a:effectRef>
                        <a:fontRef idx="minor">
                          <a:schemeClr val="tx1"/>
                        </a:fontRef>
                      </wps:style>
                      <wps:txbx>
                        <w:txbxContent>
                          <w:p w14:paraId="2B3C609B">
                            <w:pPr>
                              <w:jc w:val="center"/>
                              <w:rPr>
                                <w:rFonts w:ascii="Times New Roman" w:hAnsi="Times New Roman" w:cs="Times New Roman"/>
                                <w:b/>
                                <w:bCs/>
                                <w:color w:val="auto"/>
                                <w:szCs w:val="24"/>
                                <w:shd w:val="clear" w:color="auto" w:fill="FFFFFF" w:themeFill="background1"/>
                                <w:lang w:eastAsia="zh-CN"/>
                              </w:rPr>
                            </w:pPr>
                            <w:r>
                              <w:rPr>
                                <w:rFonts w:hint="eastAsia" w:ascii="Times New Roman" w:hAnsi="Times New Roman" w:cs="Times New Roman"/>
                                <w:b/>
                                <w:bCs/>
                                <w:color w:val="auto"/>
                                <w:szCs w:val="24"/>
                                <w:shd w:val="clear" w:color="auto" w:fill="FFFFFF" w:themeFill="background1"/>
                                <w:lang w:eastAsia="zh-CN"/>
                              </w:rPr>
                              <w:t>30m</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398" o:spid="_x0000_s1026" o:spt="1" style="position:absolute;left:0pt;margin-top:52.55pt;height:29.4pt;width:57pt;mso-position-horizontal:right;mso-position-horizontal-relative:margin;z-index:251932672;v-text-anchor:middle;mso-width-relative:page;mso-height-relative:page;" filled="f" stroked="f" coordsize="21600,21600" o:gfxdata="UEsDBAoAAAAAAIdO4kAAAAAAAAAAAAAAAAAEAAAAZHJzL1BLAwQUAAAACACHTuJA9igaxdYAAAAI&#10;AQAADwAAAGRycy9kb3ducmV2LnhtbE2PzU7DMBCE70i8g7VI3Kgdfqo2jVMJJIRQD4gCd8feJhHx&#10;OoqdpH17tid6251ZzX5TbI++ExMOsQ2kIVsoEEg2uJZqDd9fr3crEDEZcqYLhBpOGGFbXl8VJndh&#10;pk+c9qkWHEIxNxqalPpcymgb9CYuQo/E3iEM3iReh1q6wcwc7jt5r9RSetMSf2hMjy8N2t/96DX8&#10;hMPz7G1F79Ppox3fdoO1q53WtzeZ2oBIeEz/x3DGZ3QomakKI7koOg1cJLGqnjIQZzt7ZKXiYfmw&#10;BlkW8rJA+QdQSwMEFAAAAAgAh07iQIq7NCNpAgAAuAQAAA4AAABkcnMvZTJvRG9jLnhtbK1US27b&#10;MBDdF+gdCO4byb8qNiIHRowUBYImQFp0TVOURYC/krTl9DIFuushepyi1+ijpDhG2kUW9UKe4Yze&#10;zDy+0cXlQSuyFz5Ia0o6OsspEYbbSpptST99vH5zTkmIzFRMWSNK+iACvVy+fnXRuoUY28aqSngC&#10;EBMWrStpE6NbZFngjdAsnFknDIK19ZpFuH6bVZ61QNcqG+f526y1vnLechECTtd9kA6I/iWAtq4l&#10;F2vLd1qY2KN6oVjESKGRLtBl121dCx5v6zqISFRJMWnsnigCe5Oe2fKCLbaeuUbyoQX2khaezaSZ&#10;NCh6hFqzyMjOy7+gtOTeBlvHM2511g/SMYIpRvkzbu4b5kQ3C6gO7kh6+H+w/MP+zhNZQQl5MS/m&#10;k9kM1BimcfO/v/349fM7GU3m54mn1oUF0u/dnR+8ADMNfai9Tv8Yhxw6bh+O3IpDJByHxXg6zmeU&#10;cIQmxSQvZgkze3rZ+RDfCatJMkrqcXUdo2x/E2Kf+piSahl7LZXCOVsoQ1r0Py5ytM4ZNFlDCzC1&#10;w1zBbClhagux8+g7yJN3E+SahYbsGRQSrJJVrwktI2SupC7peZ5+Q7vKoOtERT98suJhcxgY2djq&#10;AXx62wstOH4tUeGGhXjHPJSFDrF78RaPWlm0bQeLksb6r/86T/m4cEQpaaFUtPllx7ygRL03kMJ8&#10;NJ0CNnbOdFaM4fjTyOY0Ynb6ymLUEbbc8c5M+VE9mrW3+jNWdJWqIsQMR+2evMG5iv0GYcm5WK26&#10;NMjZsXhj7h1P4P0VrXbR1rK7vURUz87AHwTd3f+wfGljTv0u6+mDs/w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9igaxdYAAAAIAQAADwAAAAAAAAABACAAAAAiAAAAZHJzL2Rvd25yZXYueG1sUEsB&#10;AhQAFAAAAAgAh07iQIq7NCNpAgAAuAQAAA4AAAAAAAAAAQAgAAAAJQEAAGRycy9lMm9Eb2MueG1s&#10;UEsFBgAAAAAGAAYAWQEAAAAGAAAAAA==&#10;">
                <v:fill on="f" focussize="0,0"/>
                <v:stroke on="f" weight="1pt" miterlimit="8" joinstyle="miter"/>
                <v:imagedata o:title=""/>
                <o:lock v:ext="edit" aspectratio="f"/>
                <v:textbox>
                  <w:txbxContent>
                    <w:p w14:paraId="2B3C609B">
                      <w:pPr>
                        <w:jc w:val="center"/>
                        <w:rPr>
                          <w:rFonts w:ascii="Times New Roman" w:hAnsi="Times New Roman" w:cs="Times New Roman"/>
                          <w:b/>
                          <w:bCs/>
                          <w:color w:val="auto"/>
                          <w:szCs w:val="24"/>
                          <w:shd w:val="clear" w:color="auto" w:fill="FFFFFF" w:themeFill="background1"/>
                          <w:lang w:eastAsia="zh-CN"/>
                        </w:rPr>
                      </w:pPr>
                      <w:r>
                        <w:rPr>
                          <w:rFonts w:hint="eastAsia" w:ascii="Times New Roman" w:hAnsi="Times New Roman" w:cs="Times New Roman"/>
                          <w:b/>
                          <w:bCs/>
                          <w:color w:val="auto"/>
                          <w:szCs w:val="24"/>
                          <w:shd w:val="clear" w:color="auto" w:fill="FFFFFF" w:themeFill="background1"/>
                          <w:lang w:eastAsia="zh-CN"/>
                        </w:rPr>
                        <w:t>30m</w:t>
                      </w:r>
                    </w:p>
                  </w:txbxContent>
                </v:textbox>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931648" behindDoc="0" locked="0" layoutInCell="1" allowOverlap="1">
                <wp:simplePos x="0" y="0"/>
                <wp:positionH relativeFrom="column">
                  <wp:posOffset>5287010</wp:posOffset>
                </wp:positionH>
                <wp:positionV relativeFrom="paragraph">
                  <wp:posOffset>1020445</wp:posOffset>
                </wp:positionV>
                <wp:extent cx="951230" cy="0"/>
                <wp:effectExtent l="0" t="19050" r="20955" b="19050"/>
                <wp:wrapNone/>
                <wp:docPr id="418105108" name="直接连接符 623"/>
                <wp:cNvGraphicFramePr/>
                <a:graphic xmlns:a="http://schemas.openxmlformats.org/drawingml/2006/main">
                  <a:graphicData uri="http://schemas.microsoft.com/office/word/2010/wordprocessingShape">
                    <wps:wsp>
                      <wps:cNvCnPr/>
                      <wps:spPr>
                        <a:xfrm flipV="1">
                          <a:off x="0" y="0"/>
                          <a:ext cx="95097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623" o:spid="_x0000_s1026" o:spt="20" style="position:absolute;left:0pt;flip:y;margin-left:416.3pt;margin-top:80.35pt;height:0pt;width:74.9pt;z-index:251931648;mso-width-relative:page;mso-height-relative:page;" filled="f" stroked="t" coordsize="21600,21600" o:gfxdata="UEsDBAoAAAAAAIdO4kAAAAAAAAAAAAAAAAAEAAAAZHJzL1BLAwQUAAAACACHTuJAinGIV9kAAAAL&#10;AQAADwAAAGRycy9kb3ducmV2LnhtbE2Py07DMBBF90j8gzVI7KjdFNI0xOkCxAIq8Wj7AU4yJBHx&#10;ONjui69nkJBgOXOP7pwplkc7iD360DvSMJ0oEEi1a3pqNWw3D1cZiBANNWZwhBpOGGBZnp8VJm/c&#10;gd5wv46t4BIKudHQxTjmUoa6Q2vCxI1InL07b03k0bey8ebA5XaQiVKptKYnvtCZEe86rD/WO6th&#10;8zR/Pq0WX9Xq8/H+RW5vZq/kSevLi6m6BRHxGP9g+NFndSjZqXI7aoIYNGSzJGWUg1TNQTCxyJJr&#10;ENXvRpaF/P9D+Q1QSwMEFAAAAAgAh07iQLd+isT0AQAAxQMAAA4AAABkcnMvZTJvRG9jLnhtbK1T&#10;zW4TMRC+I/EOlu9kdwNJ01U2PTQqFwSRgN4dr71ryX/yuNnkJXgBJG5w4sidt6E8BmNvmpZy6YE9&#10;WOP5+cbfN7PLi73RZCcCKGcbWk1KSoTlrlW2a+jHD1cvFpRAZLZl2lnR0IMAerF6/mw5+FpMXe90&#10;KwJBEAv14Bvax+jrogDeC8Ng4rywGJQuGBbxGrqiDWxAdKOLaVnOi8GF1gfHBQB612OQHhHDUwCd&#10;lIqLteM3Rtg4ogahWURK0CsPdJVfK6Xg8Z2UICLRDUWmMZ/YBO1tOovVktVdYL5X/PgE9pQnPOJk&#10;mLLY9AS1ZpGRm6D+gTKKBwdOxgl3phiJZEWQRVU+0uZ9z7zIXFBq8CfR4f/B8re7TSCqbeiralGV&#10;s6rE8VtmcPC3n3/8+vT1988veN5+/0bm05dJrsFDjVWXdhOON/CbkLjvZTBEauWvca+yGsiP7LPY&#10;h5PYYh8JR+f5rDw/m1PC70LFiJCQfID4WjhDktFQrWySgdVs9wYidsXUu5Tktu5KaZ1HqS0ZGjpd&#10;zM5mCM1wPyXuBZrGI0ewHSVMd7j4PIYMCU6rNpUnIAjd9lIHsmNpXfKXKGO7v9JS7zWDfszLoXGR&#10;jIr4b2hlGrp4WK0tgiThRqmStXXtISuY/Tjd3Oa4iWl9Ht5z9f3ft/o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inGIV9kAAAALAQAADwAAAAAAAAABACAAAAAiAAAAZHJzL2Rvd25yZXYueG1sUEsB&#10;AhQAFAAAAAgAh07iQLd+isT0AQAAxQMAAA4AAAAAAAAAAQAgAAAAKAEAAGRycy9lMm9Eb2MueG1s&#10;UEsFBgAAAAAGAAYAWQEAAI4FAAAAAA==&#10;">
                <v:fill on="f" focussize="0,0"/>
                <v:stroke weight="2.25pt" color="#000000 [3213]" miterlimit="8" joinstyle="miter"/>
                <v:imagedata o:title=""/>
                <o:lock v:ext="edit" aspectratio="f"/>
              </v:line>
            </w:pict>
          </mc:Fallback>
        </mc:AlternateContent>
      </w:r>
      <w:r>
        <w:rPr>
          <w:rFonts w:ascii="Times New Roman" w:hAnsi="Times New Roman" w:cs="Times New Roman"/>
          <w:snapToGrid/>
          <w:color w:val="auto"/>
          <w:lang w:eastAsia="zh-CN"/>
        </w:rPr>
        <w:drawing>
          <wp:anchor distT="0" distB="0" distL="114300" distR="114300" simplePos="0" relativeHeight="251730944" behindDoc="0" locked="0" layoutInCell="1" allowOverlap="1">
            <wp:simplePos x="0" y="0"/>
            <wp:positionH relativeFrom="margin">
              <wp:align>right</wp:align>
            </wp:positionH>
            <wp:positionV relativeFrom="paragraph">
              <wp:posOffset>106680</wp:posOffset>
            </wp:positionV>
            <wp:extent cx="786130" cy="594360"/>
            <wp:effectExtent l="0" t="0" r="0" b="0"/>
            <wp:wrapNone/>
            <wp:docPr id="1991"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 name="图片 12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785881" cy="594111"/>
                    </a:xfrm>
                    <a:prstGeom prst="rect">
                      <a:avLst/>
                    </a:prstGeom>
                    <a:noFill/>
                    <a:ln>
                      <a:noFill/>
                    </a:ln>
                    <a:effectLst/>
                  </pic:spPr>
                </pic:pic>
              </a:graphicData>
            </a:graphic>
          </wp:anchor>
        </w:drawing>
      </w:r>
      <w:r>
        <w:drawing>
          <wp:inline distT="0" distB="0" distL="0" distR="0">
            <wp:extent cx="4425315" cy="8546465"/>
            <wp:effectExtent l="0" t="0" r="0" b="6985"/>
            <wp:docPr id="51899094" name="图片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9094" name="图片 621"/>
                    <pic:cNvPicPr>
                      <a:picLocks noChangeAspect="1" noChangeArrowheads="1"/>
                    </pic:cNvPicPr>
                  </pic:nvPicPr>
                  <pic:blipFill>
                    <a:blip r:embed="rId107" cstate="print">
                      <a:extLst>
                        <a:ext uri="{28A0092B-C50C-407E-A947-70E740481C1C}">
                          <a14:useLocalDpi xmlns:a14="http://schemas.microsoft.com/office/drawing/2010/main" val="0"/>
                        </a:ext>
                      </a:extLst>
                    </a:blip>
                    <a:srcRect l="17869" t="4784" r="17293" b="6657"/>
                    <a:stretch>
                      <a:fillRect/>
                    </a:stretch>
                  </pic:blipFill>
                  <pic:spPr>
                    <a:xfrm>
                      <a:off x="0" y="0"/>
                      <a:ext cx="4433787" cy="8562328"/>
                    </a:xfrm>
                    <a:prstGeom prst="rect">
                      <a:avLst/>
                    </a:prstGeom>
                    <a:noFill/>
                    <a:ln>
                      <a:noFill/>
                    </a:ln>
                  </pic:spPr>
                </pic:pic>
              </a:graphicData>
            </a:graphic>
          </wp:inline>
        </w:drawing>
      </w:r>
    </w:p>
    <w:p w14:paraId="768D50FC">
      <w:pPr>
        <w:spacing w:line="360" w:lineRule="auto"/>
        <w:jc w:val="center"/>
        <w:rPr>
          <w:rFonts w:ascii="Times New Roman" w:hAnsi="Times New Roman" w:cs="Times New Roman"/>
          <w:b/>
          <w:color w:val="auto"/>
          <w:szCs w:val="24"/>
          <w:lang w:eastAsia="zh-CN"/>
        </w:rPr>
      </w:pPr>
      <w:r>
        <w:rPr>
          <w:rFonts w:ascii="Times New Roman" w:hAnsi="Times New Roman" w:cs="Times New Roman"/>
          <w:b/>
          <w:color w:val="auto"/>
          <w:szCs w:val="24"/>
          <w:lang w:eastAsia="zh-CN"/>
        </w:rPr>
        <w:t>图8.2-</w:t>
      </w:r>
      <w:r>
        <w:rPr>
          <w:rFonts w:hint="eastAsia" w:ascii="Times New Roman" w:hAnsi="Times New Roman" w:cs="Times New Roman"/>
          <w:b/>
          <w:color w:val="auto"/>
          <w:szCs w:val="24"/>
          <w:lang w:eastAsia="zh-CN"/>
        </w:rPr>
        <w:t>5</w:t>
      </w:r>
      <w:r>
        <w:rPr>
          <w:rFonts w:ascii="Times New Roman" w:hAnsi="Times New Roman" w:cs="Times New Roman"/>
          <w:b/>
          <w:color w:val="auto"/>
          <w:szCs w:val="24"/>
          <w:lang w:eastAsia="zh-CN"/>
        </w:rPr>
        <w:t xml:space="preserve">  厂区分区防渗图</w:t>
      </w:r>
    </w:p>
    <w:p w14:paraId="2668D241">
      <w:pPr>
        <w:pStyle w:val="74"/>
        <w:widowControl w:val="0"/>
        <w:ind w:firstLine="482"/>
        <w:jc w:val="both"/>
        <w:rPr>
          <w:rFonts w:cs="Times New Roman"/>
          <w:color w:val="auto"/>
          <w:szCs w:val="24"/>
          <w:lang w:eastAsia="zh-CN"/>
        </w:rPr>
      </w:pPr>
      <w:bookmarkStart w:id="2498" w:name="_Toc133214613"/>
      <w:bookmarkStart w:id="2499" w:name="_Toc21655"/>
      <w:bookmarkStart w:id="2500" w:name="_Toc133333770"/>
      <w:r>
        <w:rPr>
          <w:rFonts w:cs="Times New Roman"/>
          <w:color w:val="auto"/>
          <w:szCs w:val="24"/>
          <w:lang w:eastAsia="zh-CN"/>
        </w:rPr>
        <w:t>8.2.</w:t>
      </w:r>
      <w:r>
        <w:rPr>
          <w:rFonts w:hint="eastAsia" w:cs="Times New Roman"/>
          <w:color w:val="auto"/>
          <w:szCs w:val="24"/>
          <w:lang w:eastAsia="zh-CN"/>
        </w:rPr>
        <w:t>6</w:t>
      </w:r>
      <w:r>
        <w:rPr>
          <w:rFonts w:cs="Times New Roman"/>
          <w:color w:val="auto"/>
          <w:szCs w:val="24"/>
          <w:lang w:eastAsia="zh-CN"/>
        </w:rPr>
        <w:t>.3 地下水环境监测与管理</w:t>
      </w:r>
      <w:bookmarkEnd w:id="2498"/>
      <w:bookmarkEnd w:id="2499"/>
      <w:bookmarkEnd w:id="2500"/>
    </w:p>
    <w:p w14:paraId="1E56C116">
      <w:pPr>
        <w:widowControl w:val="0"/>
        <w:spacing w:line="360" w:lineRule="auto"/>
        <w:ind w:firstLine="480" w:firstLineChars="200"/>
        <w:jc w:val="both"/>
        <w:rPr>
          <w:rFonts w:ascii="Times New Roman" w:hAnsi="Times New Roman" w:cs="Times New Roman"/>
          <w:color w:val="auto"/>
          <w:kern w:val="24"/>
          <w:szCs w:val="24"/>
          <w:lang w:eastAsia="zh-CN"/>
        </w:rPr>
      </w:pPr>
      <w:bookmarkStart w:id="2501" w:name="_Toc23585"/>
      <w:r>
        <w:rPr>
          <w:rFonts w:ascii="Times New Roman" w:hAnsi="Times New Roman" w:cs="Times New Roman"/>
          <w:color w:val="auto"/>
          <w:kern w:val="24"/>
          <w:szCs w:val="24"/>
          <w:lang w:eastAsia="zh-CN"/>
        </w:rPr>
        <w:t>为了及时准确的掌握厂区及其周围地下水环境污染控制状况，应建立场区地下水环境监控体系，包括建立地下水污染监控制度和环境管理体系、制定监测计划、配备必要的检测仪器和设备，以便及时发现地下水水质污染，采取措施加以控制。一旦出现地下水污染事故，应立即启动应急预案和应急处置办法，控制地下水污染。</w:t>
      </w:r>
    </w:p>
    <w:p w14:paraId="013A28AF">
      <w:pPr>
        <w:widowControl w:val="0"/>
        <w:spacing w:line="360" w:lineRule="auto"/>
        <w:ind w:firstLine="480" w:firstLineChars="200"/>
        <w:jc w:val="both"/>
        <w:rPr>
          <w:rFonts w:ascii="Times New Roman" w:hAnsi="Times New Roman" w:cs="Times New Roman"/>
          <w:color w:val="auto"/>
          <w:kern w:val="24"/>
          <w:szCs w:val="24"/>
          <w:lang w:eastAsia="zh-CN"/>
        </w:rPr>
      </w:pPr>
      <w:r>
        <w:rPr>
          <w:rFonts w:ascii="Times New Roman" w:hAnsi="Times New Roman" w:cs="Times New Roman"/>
          <w:color w:val="auto"/>
          <w:kern w:val="24"/>
          <w:szCs w:val="24"/>
          <w:lang w:eastAsia="zh-CN"/>
        </w:rPr>
        <w:t>1、地下水监测井</w:t>
      </w:r>
      <w:bookmarkEnd w:id="2501"/>
    </w:p>
    <w:p w14:paraId="2F378430">
      <w:pPr>
        <w:widowControl w:val="0"/>
        <w:spacing w:line="360" w:lineRule="auto"/>
        <w:ind w:firstLine="480" w:firstLineChars="200"/>
        <w:jc w:val="both"/>
        <w:rPr>
          <w:rFonts w:ascii="Times New Roman" w:hAnsi="Times New Roman" w:cs="Times New Roman"/>
          <w:color w:val="auto"/>
          <w:kern w:val="24"/>
          <w:szCs w:val="24"/>
          <w:lang w:eastAsia="zh-CN"/>
        </w:rPr>
      </w:pPr>
      <w:r>
        <w:rPr>
          <w:rFonts w:ascii="Times New Roman" w:hAnsi="Times New Roman" w:cs="Times New Roman"/>
          <w:color w:val="auto"/>
          <w:kern w:val="24"/>
          <w:szCs w:val="24"/>
          <w:lang w:eastAsia="zh-CN"/>
        </w:rPr>
        <w:t>为及时准备掌握场区及下游地区地下水环境质量状况，应建立覆盖全场地下水长期监控系统，建立完善的监测制度，配备先进的检测仪器和设备。</w:t>
      </w:r>
    </w:p>
    <w:p w14:paraId="7FD6EB45">
      <w:pPr>
        <w:widowControl w:val="0"/>
        <w:spacing w:line="360" w:lineRule="auto"/>
        <w:ind w:firstLine="480" w:firstLineChars="200"/>
        <w:jc w:val="both"/>
        <w:rPr>
          <w:rFonts w:ascii="Times New Roman" w:hAnsi="Times New Roman" w:cs="Times New Roman"/>
          <w:color w:val="auto"/>
          <w:kern w:val="24"/>
          <w:szCs w:val="24"/>
          <w:lang w:eastAsia="zh-CN"/>
        </w:rPr>
      </w:pPr>
      <w:r>
        <w:rPr>
          <w:rFonts w:ascii="Times New Roman" w:hAnsi="Times New Roman" w:cs="Times New Roman"/>
          <w:color w:val="auto"/>
          <w:kern w:val="24"/>
          <w:szCs w:val="24"/>
          <w:lang w:eastAsia="zh-CN"/>
        </w:rPr>
        <w:t>本项目地下水环境监测主要参考《环境影响评价技术导则 地下水环境》（HJ 610-2016）、《地下水环境监测技术规范》（HJ164-2020），结合评价区地下水系统特征，考虑本项目污染特征等因素来布置地下水监测点位。</w:t>
      </w:r>
    </w:p>
    <w:p w14:paraId="730CA67E">
      <w:pPr>
        <w:widowControl w:val="0"/>
        <w:spacing w:line="360" w:lineRule="auto"/>
        <w:ind w:firstLine="480" w:firstLineChars="200"/>
        <w:jc w:val="both"/>
        <w:rPr>
          <w:rFonts w:ascii="Times New Roman" w:hAnsi="Times New Roman" w:cs="Times New Roman"/>
          <w:color w:val="auto"/>
          <w:kern w:val="24"/>
          <w:szCs w:val="24"/>
          <w:lang w:eastAsia="zh-CN"/>
        </w:rPr>
      </w:pPr>
      <w:r>
        <w:rPr>
          <w:rFonts w:ascii="Times New Roman" w:hAnsi="Times New Roman" w:cs="Times New Roman"/>
          <w:color w:val="auto"/>
          <w:kern w:val="24"/>
          <w:szCs w:val="24"/>
          <w:lang w:eastAsia="zh-CN"/>
        </w:rPr>
        <w:t>根据《环境影响评价技术导则 地下水环境》（HJ 610-2016）中相关要求，二级评价建设项目至少设置3个跟踪监测点，场地、上下游各布设1个，本项目拟设置3个地下水监控点</w:t>
      </w:r>
      <w:r>
        <w:rPr>
          <w:rFonts w:hint="eastAsia" w:ascii="Times New Roman" w:hAnsi="Times New Roman" w:cs="Times New Roman"/>
          <w:color w:val="auto"/>
          <w:kern w:val="24"/>
          <w:szCs w:val="24"/>
          <w:lang w:eastAsia="zh-CN"/>
        </w:rPr>
        <w:t>（现有厂区已设置1个，本次新增2个点位）</w:t>
      </w:r>
      <w:r>
        <w:rPr>
          <w:rFonts w:ascii="Times New Roman" w:hAnsi="Times New Roman" w:cs="Times New Roman"/>
          <w:color w:val="auto"/>
          <w:kern w:val="24"/>
          <w:szCs w:val="24"/>
          <w:lang w:eastAsia="zh-CN"/>
        </w:rPr>
        <w:t>。建设单位在运营过程中应做好监测井的运行维护，以防因井口外漏、管壁破裂或者其他原因造成废水倒灌或渗入井内而造成地下水污染。</w:t>
      </w:r>
    </w:p>
    <w:p w14:paraId="475C3213">
      <w:pPr>
        <w:widowControl w:val="0"/>
        <w:spacing w:line="360" w:lineRule="auto"/>
        <w:ind w:firstLine="480" w:firstLineChars="200"/>
        <w:jc w:val="both"/>
        <w:rPr>
          <w:rFonts w:ascii="Times New Roman" w:hAnsi="Times New Roman" w:cs="Times New Roman"/>
          <w:color w:val="auto"/>
          <w:kern w:val="24"/>
          <w:szCs w:val="24"/>
          <w:lang w:eastAsia="zh-CN"/>
        </w:rPr>
      </w:pPr>
      <w:bookmarkStart w:id="2502" w:name="_Toc9308"/>
      <w:r>
        <w:rPr>
          <w:rFonts w:ascii="Times New Roman" w:hAnsi="Times New Roman" w:cs="Times New Roman"/>
          <w:color w:val="auto"/>
          <w:kern w:val="24"/>
          <w:szCs w:val="24"/>
          <w:lang w:eastAsia="zh-CN"/>
        </w:rPr>
        <w:t>2、监测因子和监测频率</w:t>
      </w:r>
      <w:bookmarkEnd w:id="2502"/>
    </w:p>
    <w:p w14:paraId="36F9D7F2">
      <w:pPr>
        <w:widowControl w:val="0"/>
        <w:spacing w:line="360" w:lineRule="auto"/>
        <w:ind w:firstLine="480" w:firstLineChars="200"/>
        <w:jc w:val="both"/>
        <w:rPr>
          <w:rFonts w:ascii="Times New Roman" w:hAnsi="Times New Roman" w:cs="Times New Roman"/>
          <w:color w:val="auto"/>
          <w:kern w:val="24"/>
          <w:szCs w:val="24"/>
          <w:lang w:eastAsia="zh-CN"/>
        </w:rPr>
      </w:pPr>
      <w:r>
        <w:rPr>
          <w:rFonts w:ascii="Times New Roman" w:hAnsi="Times New Roman" w:cs="Times New Roman"/>
          <w:color w:val="auto"/>
          <w:kern w:val="24"/>
          <w:szCs w:val="24"/>
          <w:lang w:eastAsia="zh-CN"/>
        </w:rPr>
        <w:t>水质监测项目参照《地下水质量标准》</w:t>
      </w:r>
      <w:r>
        <w:rPr>
          <w:rFonts w:ascii="Times New Roman" w:hAnsi="Times New Roman" w:cs="Times New Roman"/>
          <w:color w:val="auto"/>
          <w:kern w:val="2"/>
          <w:szCs w:val="24"/>
          <w:lang w:eastAsia="zh-CN"/>
        </w:rPr>
        <w:t>及《工业企业土壤和地下水自行监测技术指南（试行）》（HJ 1209-2021）</w:t>
      </w:r>
      <w:r>
        <w:rPr>
          <w:rFonts w:ascii="Times New Roman" w:hAnsi="Times New Roman" w:cs="Times New Roman"/>
          <w:color w:val="auto"/>
          <w:kern w:val="24"/>
          <w:szCs w:val="24"/>
          <w:lang w:eastAsia="zh-CN"/>
        </w:rPr>
        <w:t>相关要求和污染源特征污染因子确定，监测井可依据监测项目的不同适当增加和减少监测项目。</w:t>
      </w:r>
    </w:p>
    <w:p w14:paraId="29DE3EF9">
      <w:pPr>
        <w:widowControl w:val="0"/>
        <w:spacing w:line="360" w:lineRule="auto"/>
        <w:ind w:firstLine="480" w:firstLineChars="200"/>
        <w:jc w:val="both"/>
        <w:rPr>
          <w:rFonts w:ascii="Times New Roman" w:hAnsi="Times New Roman" w:cs="Times New Roman"/>
          <w:color w:val="auto"/>
          <w:kern w:val="24"/>
          <w:szCs w:val="24"/>
          <w:lang w:eastAsia="zh-CN"/>
        </w:rPr>
      </w:pPr>
      <w:r>
        <w:rPr>
          <w:rFonts w:ascii="Times New Roman" w:hAnsi="Times New Roman" w:cs="Times New Roman"/>
          <w:color w:val="auto"/>
          <w:kern w:val="24"/>
          <w:szCs w:val="24"/>
          <w:lang w:eastAsia="zh-CN"/>
        </w:rPr>
        <w:t>依据场地的水文地质条件，结合场区内地下水污染源的位置，确定地下水监测井使用功能，力求以最低的采样频次，取得最有时间的代表性的样品，达到全面反应场区内地下水水质状况、污染原因和规律的目的。</w:t>
      </w:r>
    </w:p>
    <w:p w14:paraId="4E22AB0D">
      <w:pPr>
        <w:widowControl w:val="0"/>
        <w:spacing w:line="360" w:lineRule="auto"/>
        <w:ind w:firstLine="480" w:firstLineChars="200"/>
        <w:jc w:val="both"/>
        <w:rPr>
          <w:rFonts w:ascii="Times New Roman" w:hAnsi="Times New Roman" w:cs="Times New Roman"/>
          <w:color w:val="auto"/>
          <w:kern w:val="24"/>
          <w:szCs w:val="24"/>
          <w:lang w:eastAsia="zh-CN"/>
        </w:rPr>
      </w:pPr>
      <w:r>
        <w:rPr>
          <w:rFonts w:ascii="Times New Roman" w:hAnsi="Times New Roman" w:cs="Times New Roman"/>
          <w:color w:val="auto"/>
          <w:kern w:val="24"/>
          <w:szCs w:val="24"/>
          <w:lang w:eastAsia="zh-CN"/>
        </w:rPr>
        <w:t>监测频次：每年采样一次。</w:t>
      </w:r>
    </w:p>
    <w:p w14:paraId="2308EE56">
      <w:pPr>
        <w:widowControl w:val="0"/>
        <w:spacing w:line="360" w:lineRule="auto"/>
        <w:ind w:firstLine="480" w:firstLineChars="200"/>
        <w:jc w:val="both"/>
        <w:rPr>
          <w:rFonts w:ascii="Times New Roman" w:hAnsi="Times New Roman" w:cs="Times New Roman"/>
          <w:color w:val="auto"/>
          <w:kern w:val="2"/>
          <w:szCs w:val="24"/>
          <w:lang w:eastAsia="zh-CN"/>
        </w:rPr>
      </w:pPr>
      <w:r>
        <w:rPr>
          <w:rFonts w:ascii="Times New Roman" w:hAnsi="Times New Roman" w:cs="Times New Roman"/>
          <w:color w:val="auto"/>
          <w:kern w:val="24"/>
          <w:szCs w:val="24"/>
          <w:lang w:eastAsia="zh-CN"/>
        </w:rPr>
        <w:t>监测因子：pH、氨氮、硝酸盐、亚硝酸盐、挥发性酚、氰化物、氟化物、砷、汞、铬（六价）、总硬度、铅、氟、镉、铁、锰、溶解性总固体、耗氧量、硫酸盐、氯化物、总大肠菌群、细菌总数</w:t>
      </w:r>
      <w:r>
        <w:rPr>
          <w:rFonts w:ascii="Times New Roman" w:hAnsi="Times New Roman" w:cs="Times New Roman"/>
          <w:color w:val="auto"/>
          <w:kern w:val="2"/>
          <w:szCs w:val="24"/>
          <w:lang w:eastAsia="zh-CN"/>
        </w:rPr>
        <w:t>。</w:t>
      </w:r>
    </w:p>
    <w:p w14:paraId="28AC2033">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项目地下水监测计划见下表，监测点位见下图。</w:t>
      </w:r>
    </w:p>
    <w:p w14:paraId="6E5C1EE3">
      <w:pPr>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表8.2-</w:t>
      </w:r>
      <w:r>
        <w:rPr>
          <w:rFonts w:hint="eastAsia" w:ascii="Times New Roman" w:hAnsi="Times New Roman" w:cs="Times New Roman"/>
          <w:b/>
          <w:bCs/>
          <w:color w:val="auto"/>
          <w:szCs w:val="24"/>
          <w:lang w:eastAsia="zh-CN"/>
        </w:rPr>
        <w:t xml:space="preserve">12 </w:t>
      </w:r>
      <w:r>
        <w:rPr>
          <w:rFonts w:ascii="Times New Roman" w:hAnsi="Times New Roman" w:cs="Times New Roman"/>
          <w:b/>
          <w:bCs/>
          <w:color w:val="auto"/>
          <w:szCs w:val="24"/>
          <w:lang w:eastAsia="zh-CN"/>
        </w:rPr>
        <w:t>地下水监控井设置方案</w:t>
      </w:r>
    </w:p>
    <w:tbl>
      <w:tblPr>
        <w:tblStyle w:val="35"/>
        <w:tblW w:w="4997"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152"/>
        <w:gridCol w:w="1499"/>
        <w:gridCol w:w="1501"/>
        <w:gridCol w:w="1347"/>
        <w:gridCol w:w="2788"/>
        <w:gridCol w:w="1346"/>
      </w:tblGrid>
      <w:tr w14:paraId="2C53C78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598" w:type="pct"/>
            <w:vAlign w:val="center"/>
          </w:tcPr>
          <w:p w14:paraId="5F19ECEA">
            <w:pPr>
              <w:widowControl w:val="0"/>
              <w:adjustRightInd w:val="0"/>
              <w:snapToGrid w:val="0"/>
              <w:jc w:val="center"/>
              <w:rPr>
                <w:rFonts w:ascii="Times New Roman" w:hAnsi="Times New Roman" w:cs="Times New Roman"/>
                <w:b/>
                <w:color w:val="auto"/>
                <w:kern w:val="2"/>
                <w:sz w:val="21"/>
                <w:lang w:eastAsia="zh-CN"/>
              </w:rPr>
            </w:pPr>
            <w:r>
              <w:rPr>
                <w:rFonts w:ascii="Times New Roman" w:hAnsi="Times New Roman" w:cs="Times New Roman"/>
                <w:b/>
                <w:color w:val="auto"/>
                <w:kern w:val="2"/>
                <w:sz w:val="21"/>
                <w:lang w:eastAsia="zh-CN"/>
              </w:rPr>
              <w:t>监测点</w:t>
            </w:r>
          </w:p>
        </w:tc>
        <w:tc>
          <w:tcPr>
            <w:tcW w:w="778" w:type="pct"/>
            <w:vAlign w:val="center"/>
          </w:tcPr>
          <w:p w14:paraId="00A2AFFE">
            <w:pPr>
              <w:widowControl w:val="0"/>
              <w:adjustRightInd w:val="0"/>
              <w:snapToGrid w:val="0"/>
              <w:jc w:val="center"/>
              <w:rPr>
                <w:rFonts w:ascii="Times New Roman" w:hAnsi="Times New Roman" w:cs="Times New Roman"/>
                <w:b/>
                <w:bCs/>
                <w:color w:val="auto"/>
                <w:spacing w:val="-2"/>
                <w:sz w:val="21"/>
                <w:lang w:eastAsia="zh-CN"/>
              </w:rPr>
            </w:pPr>
            <w:r>
              <w:rPr>
                <w:rFonts w:ascii="Times New Roman" w:hAnsi="Times New Roman" w:cs="Times New Roman"/>
                <w:b/>
                <w:bCs/>
                <w:color w:val="auto"/>
                <w:sz w:val="21"/>
              </w:rPr>
              <w:t>监测点位置</w:t>
            </w:r>
          </w:p>
        </w:tc>
        <w:tc>
          <w:tcPr>
            <w:tcW w:w="779" w:type="pct"/>
            <w:vAlign w:val="center"/>
          </w:tcPr>
          <w:p w14:paraId="7C4654B9">
            <w:pPr>
              <w:widowControl w:val="0"/>
              <w:adjustRightInd w:val="0"/>
              <w:snapToGrid w:val="0"/>
              <w:jc w:val="center"/>
              <w:rPr>
                <w:rFonts w:ascii="Times New Roman" w:hAnsi="Times New Roman" w:cs="Times New Roman"/>
                <w:b/>
                <w:bCs/>
                <w:color w:val="auto"/>
                <w:spacing w:val="-2"/>
                <w:sz w:val="21"/>
                <w:lang w:eastAsia="zh-CN"/>
              </w:rPr>
            </w:pPr>
            <w:r>
              <w:rPr>
                <w:rFonts w:ascii="Times New Roman" w:hAnsi="Times New Roman" w:cs="Times New Roman"/>
                <w:b/>
                <w:bCs/>
                <w:color w:val="auto"/>
                <w:sz w:val="21"/>
              </w:rPr>
              <w:t>监测目的</w:t>
            </w:r>
          </w:p>
        </w:tc>
        <w:tc>
          <w:tcPr>
            <w:tcW w:w="699" w:type="pct"/>
            <w:vAlign w:val="center"/>
          </w:tcPr>
          <w:p w14:paraId="312D38EB">
            <w:pPr>
              <w:widowControl w:val="0"/>
              <w:adjustRightInd w:val="0"/>
              <w:snapToGrid w:val="0"/>
              <w:jc w:val="center"/>
              <w:rPr>
                <w:rFonts w:ascii="Times New Roman" w:hAnsi="Times New Roman" w:cs="Times New Roman"/>
                <w:b/>
                <w:color w:val="auto"/>
                <w:spacing w:val="-2"/>
                <w:kern w:val="2"/>
                <w:sz w:val="21"/>
                <w:lang w:eastAsia="zh-CN"/>
              </w:rPr>
            </w:pPr>
            <w:r>
              <w:rPr>
                <w:rFonts w:ascii="Times New Roman" w:hAnsi="Times New Roman" w:cs="Times New Roman"/>
                <w:b/>
                <w:color w:val="auto"/>
                <w:spacing w:val="-2"/>
                <w:kern w:val="2"/>
                <w:sz w:val="21"/>
                <w:lang w:eastAsia="zh-CN"/>
              </w:rPr>
              <w:t>与厂址位置</w:t>
            </w:r>
          </w:p>
        </w:tc>
        <w:tc>
          <w:tcPr>
            <w:tcW w:w="1447" w:type="pct"/>
            <w:vAlign w:val="center"/>
          </w:tcPr>
          <w:p w14:paraId="2EED4A31">
            <w:pPr>
              <w:widowControl w:val="0"/>
              <w:adjustRightInd w:val="0"/>
              <w:snapToGrid w:val="0"/>
              <w:jc w:val="center"/>
              <w:rPr>
                <w:rFonts w:ascii="Times New Roman" w:hAnsi="Times New Roman" w:cs="Times New Roman"/>
                <w:b/>
                <w:color w:val="auto"/>
                <w:kern w:val="2"/>
                <w:sz w:val="21"/>
              </w:rPr>
            </w:pPr>
            <w:r>
              <w:rPr>
                <w:rFonts w:ascii="Times New Roman" w:hAnsi="Times New Roman" w:cs="Times New Roman"/>
                <w:b/>
                <w:color w:val="auto"/>
                <w:kern w:val="2"/>
                <w:sz w:val="21"/>
              </w:rPr>
              <w:t>监测因子</w:t>
            </w:r>
          </w:p>
        </w:tc>
        <w:tc>
          <w:tcPr>
            <w:tcW w:w="698" w:type="pct"/>
            <w:vAlign w:val="center"/>
          </w:tcPr>
          <w:p w14:paraId="604403D4">
            <w:pPr>
              <w:widowControl w:val="0"/>
              <w:adjustRightInd w:val="0"/>
              <w:snapToGrid w:val="0"/>
              <w:jc w:val="center"/>
              <w:rPr>
                <w:rFonts w:ascii="Times New Roman" w:hAnsi="Times New Roman" w:cs="Times New Roman"/>
                <w:b/>
                <w:color w:val="auto"/>
                <w:spacing w:val="-2"/>
                <w:kern w:val="2"/>
                <w:sz w:val="21"/>
                <w:lang w:eastAsia="zh-CN"/>
              </w:rPr>
            </w:pPr>
            <w:r>
              <w:rPr>
                <w:rFonts w:ascii="Times New Roman" w:hAnsi="Times New Roman" w:cs="Times New Roman"/>
                <w:b/>
                <w:color w:val="auto"/>
                <w:kern w:val="2"/>
                <w:sz w:val="21"/>
              </w:rPr>
              <w:t>监测频次</w:t>
            </w:r>
          </w:p>
        </w:tc>
      </w:tr>
      <w:tr w14:paraId="04E017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598" w:type="pct"/>
            <w:vAlign w:val="center"/>
          </w:tcPr>
          <w:p w14:paraId="251AC5B6">
            <w:pPr>
              <w:widowControl w:val="0"/>
              <w:adjustRightInd w:val="0"/>
              <w:snapToGrid w:val="0"/>
              <w:jc w:val="center"/>
              <w:rPr>
                <w:rFonts w:ascii="Times New Roman" w:hAnsi="Times New Roman" w:cs="Times New Roman"/>
                <w:color w:val="auto"/>
                <w:kern w:val="2"/>
                <w:sz w:val="21"/>
                <w:lang w:eastAsia="zh-CN"/>
              </w:rPr>
            </w:pPr>
            <w:r>
              <w:rPr>
                <w:rFonts w:ascii="Times New Roman" w:hAnsi="Times New Roman" w:cs="Times New Roman"/>
                <w:color w:val="auto"/>
                <w:kern w:val="2"/>
                <w:sz w:val="21"/>
                <w:lang w:eastAsia="zh-CN"/>
              </w:rPr>
              <w:t>D1</w:t>
            </w:r>
          </w:p>
        </w:tc>
        <w:tc>
          <w:tcPr>
            <w:tcW w:w="778" w:type="pct"/>
            <w:vAlign w:val="center"/>
          </w:tcPr>
          <w:p w14:paraId="0F1FA306">
            <w:pPr>
              <w:widowControl w:val="0"/>
              <w:adjustRightInd w:val="0"/>
              <w:snapToGrid w:val="0"/>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原料及产品罐区（新建）</w:t>
            </w:r>
          </w:p>
        </w:tc>
        <w:tc>
          <w:tcPr>
            <w:tcW w:w="779" w:type="pct"/>
            <w:vAlign w:val="center"/>
          </w:tcPr>
          <w:p w14:paraId="4BBDD0BB">
            <w:pPr>
              <w:widowControl w:val="0"/>
              <w:adjustRightInd w:val="0"/>
              <w:snapToGrid w:val="0"/>
              <w:jc w:val="center"/>
              <w:rPr>
                <w:rFonts w:ascii="Times New Roman" w:hAnsi="Times New Roman" w:cs="Times New Roman"/>
                <w:color w:val="auto"/>
                <w:spacing w:val="-2"/>
                <w:sz w:val="21"/>
                <w:lang w:eastAsia="zh-CN"/>
              </w:rPr>
            </w:pPr>
            <w:r>
              <w:rPr>
                <w:rFonts w:ascii="Times New Roman" w:hAnsi="Times New Roman" w:cs="Times New Roman"/>
                <w:color w:val="auto"/>
                <w:sz w:val="21"/>
                <w:lang w:eastAsia="zh-CN"/>
              </w:rPr>
              <w:t>监测可能来自项目外污染源的影响以及厂区地下水本底值</w:t>
            </w:r>
          </w:p>
        </w:tc>
        <w:tc>
          <w:tcPr>
            <w:tcW w:w="699" w:type="pct"/>
            <w:vAlign w:val="center"/>
          </w:tcPr>
          <w:p w14:paraId="4BFD6E93">
            <w:pPr>
              <w:widowControl w:val="0"/>
              <w:adjustRightInd w:val="0"/>
              <w:snapToGrid w:val="0"/>
              <w:jc w:val="center"/>
              <w:rPr>
                <w:rFonts w:ascii="Times New Roman" w:hAnsi="Times New Roman" w:cs="Times New Roman"/>
                <w:color w:val="auto"/>
                <w:spacing w:val="-2"/>
                <w:kern w:val="2"/>
                <w:sz w:val="21"/>
                <w:lang w:eastAsia="zh-CN"/>
              </w:rPr>
            </w:pPr>
            <w:r>
              <w:rPr>
                <w:rFonts w:ascii="Times New Roman" w:hAnsi="Times New Roman" w:cs="Times New Roman"/>
                <w:color w:val="auto"/>
                <w:spacing w:val="-2"/>
                <w:kern w:val="2"/>
                <w:sz w:val="21"/>
                <w:lang w:eastAsia="zh-CN"/>
              </w:rPr>
              <w:t>上游</w:t>
            </w:r>
          </w:p>
        </w:tc>
        <w:tc>
          <w:tcPr>
            <w:tcW w:w="1447" w:type="pct"/>
            <w:vMerge w:val="restart"/>
            <w:vAlign w:val="center"/>
          </w:tcPr>
          <w:p w14:paraId="5487D2AB">
            <w:pPr>
              <w:widowControl w:val="0"/>
              <w:adjustRightInd w:val="0"/>
              <w:snapToGrid w:val="0"/>
              <w:jc w:val="center"/>
              <w:rPr>
                <w:rFonts w:ascii="Times New Roman" w:hAnsi="Times New Roman" w:cs="Times New Roman"/>
                <w:color w:val="auto"/>
                <w:kern w:val="2"/>
                <w:sz w:val="21"/>
                <w:lang w:eastAsia="zh-CN"/>
              </w:rPr>
            </w:pPr>
            <w:r>
              <w:rPr>
                <w:rFonts w:ascii="Times New Roman" w:hAnsi="Times New Roman" w:cs="Times New Roman"/>
                <w:color w:val="auto"/>
                <w:kern w:val="2"/>
                <w:sz w:val="21"/>
                <w:lang w:eastAsia="zh-CN"/>
              </w:rPr>
              <w:t>pH、氨氮、硝酸盐、亚硝酸盐、挥发性酚、氰化物、氟化物、砷、汞、铬（六价）、总硬度、铅、氟、镉、铁、锰、溶解性总固体、耗氧量、硫酸盐、氯化物、总大肠菌群、细菌总数</w:t>
            </w:r>
          </w:p>
        </w:tc>
        <w:tc>
          <w:tcPr>
            <w:tcW w:w="698" w:type="pct"/>
            <w:vMerge w:val="restart"/>
            <w:vAlign w:val="center"/>
          </w:tcPr>
          <w:p w14:paraId="79A9DF15">
            <w:pPr>
              <w:widowControl w:val="0"/>
              <w:adjustRightInd w:val="0"/>
              <w:snapToGrid w:val="0"/>
              <w:jc w:val="center"/>
              <w:rPr>
                <w:rFonts w:ascii="Times New Roman" w:hAnsi="Times New Roman" w:cs="Times New Roman"/>
                <w:color w:val="auto"/>
                <w:spacing w:val="-2"/>
                <w:kern w:val="2"/>
                <w:sz w:val="21"/>
                <w:lang w:eastAsia="zh-CN"/>
              </w:rPr>
            </w:pPr>
            <w:r>
              <w:rPr>
                <w:rFonts w:ascii="Times New Roman" w:hAnsi="Times New Roman" w:cs="Times New Roman"/>
                <w:color w:val="auto"/>
                <w:kern w:val="2"/>
                <w:sz w:val="21"/>
              </w:rPr>
              <w:t>每</w:t>
            </w:r>
            <w:r>
              <w:rPr>
                <w:rFonts w:ascii="Times New Roman" w:hAnsi="Times New Roman" w:cs="Times New Roman"/>
                <w:color w:val="auto"/>
                <w:kern w:val="2"/>
                <w:sz w:val="21"/>
                <w:lang w:eastAsia="zh-CN"/>
              </w:rPr>
              <w:t>1</w:t>
            </w:r>
            <w:r>
              <w:rPr>
                <w:rFonts w:ascii="Times New Roman" w:hAnsi="Times New Roman" w:cs="Times New Roman"/>
                <w:color w:val="auto"/>
                <w:kern w:val="2"/>
                <w:sz w:val="21"/>
              </w:rPr>
              <w:t>年开展一次</w:t>
            </w:r>
          </w:p>
        </w:tc>
      </w:tr>
      <w:tr w14:paraId="0D0984F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598" w:type="pct"/>
            <w:vAlign w:val="center"/>
          </w:tcPr>
          <w:p w14:paraId="23E7C372">
            <w:pPr>
              <w:widowControl w:val="0"/>
              <w:adjustRightInd w:val="0"/>
              <w:snapToGrid w:val="0"/>
              <w:jc w:val="center"/>
              <w:rPr>
                <w:rFonts w:ascii="Times New Roman" w:hAnsi="Times New Roman" w:cs="Times New Roman"/>
                <w:color w:val="auto"/>
                <w:kern w:val="2"/>
                <w:sz w:val="21"/>
                <w:lang w:eastAsia="zh-CN"/>
              </w:rPr>
            </w:pPr>
            <w:r>
              <w:rPr>
                <w:rFonts w:ascii="Times New Roman" w:hAnsi="Times New Roman" w:cs="Times New Roman"/>
                <w:color w:val="auto"/>
                <w:kern w:val="2"/>
                <w:sz w:val="21"/>
                <w:lang w:eastAsia="zh-CN"/>
              </w:rPr>
              <w:t>D2</w:t>
            </w:r>
          </w:p>
        </w:tc>
        <w:tc>
          <w:tcPr>
            <w:tcW w:w="778" w:type="pct"/>
            <w:vAlign w:val="center"/>
          </w:tcPr>
          <w:p w14:paraId="0D41A8CF">
            <w:pPr>
              <w:widowControl w:val="0"/>
              <w:adjustRightInd w:val="0"/>
              <w:snapToGrid w:val="0"/>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污水处理站（现有）</w:t>
            </w:r>
          </w:p>
        </w:tc>
        <w:tc>
          <w:tcPr>
            <w:tcW w:w="779" w:type="pct"/>
            <w:vAlign w:val="center"/>
          </w:tcPr>
          <w:p w14:paraId="2AF5D01D">
            <w:pPr>
              <w:widowControl w:val="0"/>
              <w:adjustRightInd w:val="0"/>
              <w:snapToGrid w:val="0"/>
              <w:jc w:val="center"/>
              <w:rPr>
                <w:rFonts w:ascii="Times New Roman" w:hAnsi="Times New Roman" w:cs="Times New Roman"/>
                <w:color w:val="auto"/>
                <w:spacing w:val="-2"/>
                <w:sz w:val="21"/>
                <w:lang w:eastAsia="zh-CN"/>
              </w:rPr>
            </w:pPr>
            <w:r>
              <w:rPr>
                <w:rFonts w:ascii="Times New Roman" w:hAnsi="Times New Roman" w:cs="Times New Roman"/>
                <w:color w:val="auto"/>
                <w:sz w:val="21"/>
                <w:lang w:eastAsia="zh-CN"/>
              </w:rPr>
              <w:t>监测拟建项目可能存在的泄漏</w:t>
            </w:r>
          </w:p>
        </w:tc>
        <w:tc>
          <w:tcPr>
            <w:tcW w:w="699" w:type="pct"/>
            <w:vAlign w:val="center"/>
          </w:tcPr>
          <w:p w14:paraId="333DA3E1">
            <w:pPr>
              <w:widowControl w:val="0"/>
              <w:adjustRightInd w:val="0"/>
              <w:snapToGrid w:val="0"/>
              <w:jc w:val="center"/>
              <w:rPr>
                <w:rFonts w:ascii="Times New Roman" w:hAnsi="Times New Roman" w:cs="Times New Roman"/>
                <w:color w:val="auto"/>
                <w:spacing w:val="-2"/>
                <w:kern w:val="2"/>
                <w:sz w:val="21"/>
                <w:lang w:eastAsia="zh-CN"/>
              </w:rPr>
            </w:pPr>
            <w:r>
              <w:rPr>
                <w:rFonts w:ascii="Times New Roman" w:hAnsi="Times New Roman" w:cs="Times New Roman"/>
                <w:color w:val="auto"/>
                <w:kern w:val="2"/>
                <w:sz w:val="21"/>
                <w:lang w:eastAsia="zh-CN"/>
              </w:rPr>
              <w:t>下游</w:t>
            </w:r>
          </w:p>
        </w:tc>
        <w:tc>
          <w:tcPr>
            <w:tcW w:w="1447" w:type="pct"/>
            <w:vMerge w:val="continue"/>
            <w:vAlign w:val="center"/>
          </w:tcPr>
          <w:p w14:paraId="5EC4C32E">
            <w:pPr>
              <w:widowControl w:val="0"/>
              <w:adjustRightInd w:val="0"/>
              <w:snapToGrid w:val="0"/>
              <w:jc w:val="center"/>
              <w:rPr>
                <w:rFonts w:ascii="Times New Roman" w:hAnsi="Times New Roman" w:cs="Times New Roman"/>
                <w:color w:val="auto"/>
                <w:kern w:val="2"/>
                <w:sz w:val="21"/>
              </w:rPr>
            </w:pPr>
          </w:p>
        </w:tc>
        <w:tc>
          <w:tcPr>
            <w:tcW w:w="698" w:type="pct"/>
            <w:vMerge w:val="continue"/>
            <w:vAlign w:val="center"/>
          </w:tcPr>
          <w:p w14:paraId="3D80B0C0">
            <w:pPr>
              <w:widowControl w:val="0"/>
              <w:adjustRightInd w:val="0"/>
              <w:snapToGrid w:val="0"/>
              <w:jc w:val="center"/>
              <w:rPr>
                <w:rFonts w:ascii="Times New Roman" w:hAnsi="Times New Roman" w:cs="Times New Roman"/>
                <w:color w:val="auto"/>
                <w:spacing w:val="-2"/>
                <w:kern w:val="2"/>
                <w:sz w:val="21"/>
                <w:lang w:eastAsia="zh-CN"/>
              </w:rPr>
            </w:pPr>
          </w:p>
        </w:tc>
      </w:tr>
      <w:tr w14:paraId="36D6A2B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598" w:type="pct"/>
            <w:vAlign w:val="center"/>
          </w:tcPr>
          <w:p w14:paraId="413E37E4">
            <w:pPr>
              <w:widowControl w:val="0"/>
              <w:adjustRightInd w:val="0"/>
              <w:snapToGrid w:val="0"/>
              <w:jc w:val="center"/>
              <w:rPr>
                <w:rFonts w:ascii="Times New Roman" w:hAnsi="Times New Roman" w:cs="Times New Roman"/>
                <w:color w:val="auto"/>
                <w:kern w:val="2"/>
                <w:sz w:val="21"/>
                <w:lang w:eastAsia="zh-CN"/>
              </w:rPr>
            </w:pPr>
            <w:r>
              <w:rPr>
                <w:rFonts w:ascii="Times New Roman" w:hAnsi="Times New Roman" w:cs="Times New Roman"/>
                <w:color w:val="auto"/>
                <w:kern w:val="2"/>
                <w:sz w:val="21"/>
                <w:lang w:eastAsia="zh-CN"/>
              </w:rPr>
              <w:t>D3</w:t>
            </w:r>
          </w:p>
        </w:tc>
        <w:tc>
          <w:tcPr>
            <w:tcW w:w="778" w:type="pct"/>
            <w:vAlign w:val="center"/>
          </w:tcPr>
          <w:p w14:paraId="4FE607C3">
            <w:pPr>
              <w:widowControl w:val="0"/>
              <w:adjustRightInd w:val="0"/>
              <w:snapToGrid w:val="0"/>
              <w:jc w:val="center"/>
              <w:rPr>
                <w:rFonts w:ascii="Times New Roman" w:hAnsi="Times New Roman" w:cs="Times New Roman"/>
                <w:color w:val="auto"/>
                <w:kern w:val="2"/>
                <w:sz w:val="21"/>
                <w:lang w:eastAsia="zh-CN"/>
              </w:rPr>
            </w:pPr>
            <w:r>
              <w:rPr>
                <w:rFonts w:hint="eastAsia" w:ascii="Times New Roman" w:hAnsi="Times New Roman" w:cs="Times New Roman"/>
                <w:color w:val="auto"/>
                <w:kern w:val="2"/>
                <w:sz w:val="21"/>
                <w:lang w:eastAsia="zh-CN"/>
              </w:rPr>
              <w:t>厂区东南侧</w:t>
            </w:r>
          </w:p>
          <w:p w14:paraId="0AF308F6">
            <w:pPr>
              <w:widowControl w:val="0"/>
              <w:adjustRightInd w:val="0"/>
              <w:snapToGrid w:val="0"/>
              <w:jc w:val="center"/>
              <w:rPr>
                <w:rFonts w:ascii="Times New Roman" w:hAnsi="Times New Roman" w:cs="Times New Roman"/>
                <w:color w:val="auto"/>
                <w:kern w:val="2"/>
                <w:sz w:val="21"/>
              </w:rPr>
            </w:pPr>
            <w:r>
              <w:rPr>
                <w:rFonts w:hint="eastAsia" w:ascii="Times New Roman" w:hAnsi="Times New Roman" w:cs="Times New Roman"/>
                <w:color w:val="auto"/>
                <w:kern w:val="2"/>
                <w:sz w:val="21"/>
                <w:lang w:eastAsia="zh-CN"/>
              </w:rPr>
              <w:t>（新建）</w:t>
            </w:r>
          </w:p>
        </w:tc>
        <w:tc>
          <w:tcPr>
            <w:tcW w:w="779" w:type="pct"/>
            <w:vAlign w:val="center"/>
          </w:tcPr>
          <w:p w14:paraId="28AB84C2">
            <w:pPr>
              <w:widowControl w:val="0"/>
              <w:adjustRightInd w:val="0"/>
              <w:snapToGrid w:val="0"/>
              <w:jc w:val="center"/>
              <w:rPr>
                <w:rFonts w:ascii="Times New Roman" w:hAnsi="Times New Roman" w:cs="Times New Roman"/>
                <w:color w:val="auto"/>
                <w:spacing w:val="-2"/>
                <w:sz w:val="21"/>
                <w:lang w:eastAsia="zh-CN"/>
              </w:rPr>
            </w:pPr>
            <w:r>
              <w:rPr>
                <w:rFonts w:ascii="Times New Roman" w:hAnsi="Times New Roman" w:cs="Times New Roman"/>
                <w:color w:val="auto"/>
                <w:sz w:val="21"/>
                <w:lang w:eastAsia="zh-CN"/>
              </w:rPr>
              <w:t>总体监测项目厂区可能对地下水造成的环境影响</w:t>
            </w:r>
          </w:p>
        </w:tc>
        <w:tc>
          <w:tcPr>
            <w:tcW w:w="699" w:type="pct"/>
            <w:vAlign w:val="center"/>
          </w:tcPr>
          <w:p w14:paraId="5710D394">
            <w:pPr>
              <w:widowControl w:val="0"/>
              <w:adjustRightInd w:val="0"/>
              <w:snapToGrid w:val="0"/>
              <w:jc w:val="center"/>
              <w:rPr>
                <w:rFonts w:ascii="Times New Roman" w:hAnsi="Times New Roman" w:cs="Times New Roman"/>
                <w:color w:val="auto"/>
                <w:spacing w:val="-2"/>
                <w:kern w:val="2"/>
                <w:sz w:val="21"/>
                <w:lang w:eastAsia="zh-CN"/>
              </w:rPr>
            </w:pPr>
            <w:r>
              <w:rPr>
                <w:rFonts w:ascii="Times New Roman" w:hAnsi="Times New Roman" w:cs="Times New Roman"/>
                <w:color w:val="auto"/>
                <w:kern w:val="2"/>
                <w:sz w:val="21"/>
                <w:lang w:eastAsia="zh-CN"/>
              </w:rPr>
              <w:t>下游</w:t>
            </w:r>
          </w:p>
        </w:tc>
        <w:tc>
          <w:tcPr>
            <w:tcW w:w="1447" w:type="pct"/>
            <w:vMerge w:val="continue"/>
            <w:vAlign w:val="center"/>
          </w:tcPr>
          <w:p w14:paraId="3B91AB15">
            <w:pPr>
              <w:widowControl w:val="0"/>
              <w:adjustRightInd w:val="0"/>
              <w:snapToGrid w:val="0"/>
              <w:jc w:val="center"/>
              <w:rPr>
                <w:rFonts w:ascii="Times New Roman" w:hAnsi="Times New Roman" w:cs="Times New Roman"/>
                <w:color w:val="auto"/>
                <w:kern w:val="2"/>
                <w:sz w:val="21"/>
              </w:rPr>
            </w:pPr>
          </w:p>
        </w:tc>
        <w:tc>
          <w:tcPr>
            <w:tcW w:w="698" w:type="pct"/>
            <w:vMerge w:val="continue"/>
            <w:vAlign w:val="center"/>
          </w:tcPr>
          <w:p w14:paraId="5E5D280F">
            <w:pPr>
              <w:widowControl w:val="0"/>
              <w:adjustRightInd w:val="0"/>
              <w:snapToGrid w:val="0"/>
              <w:jc w:val="center"/>
              <w:rPr>
                <w:rFonts w:ascii="Times New Roman" w:hAnsi="Times New Roman" w:cs="Times New Roman"/>
                <w:color w:val="auto"/>
                <w:kern w:val="2"/>
                <w:sz w:val="21"/>
                <w:lang w:eastAsia="zh-CN"/>
              </w:rPr>
            </w:pPr>
          </w:p>
        </w:tc>
      </w:tr>
    </w:tbl>
    <w:p w14:paraId="632D0318">
      <w:pPr>
        <w:adjustRightInd w:val="0"/>
        <w:snapToGrid w:val="0"/>
        <w:spacing w:line="360" w:lineRule="auto"/>
        <w:jc w:val="center"/>
        <w:rPr>
          <w:rFonts w:ascii="Times New Roman" w:hAnsi="Times New Roman" w:cs="Times New Roman"/>
          <w:color w:val="auto"/>
          <w:lang w:eastAsia="zh-CN"/>
        </w:rPr>
      </w:pPr>
      <w:r>
        <w:rPr>
          <w:rFonts w:ascii="Times New Roman" w:hAnsi="Times New Roman" w:cs="Times New Roman"/>
          <w:snapToGrid/>
          <w:color w:val="auto"/>
          <w:lang w:eastAsia="zh-CN"/>
        </w:rPr>
        <mc:AlternateContent>
          <mc:Choice Requires="wps">
            <w:drawing>
              <wp:anchor distT="0" distB="0" distL="114300" distR="114300" simplePos="0" relativeHeight="251940864" behindDoc="0" locked="0" layoutInCell="1" allowOverlap="1">
                <wp:simplePos x="0" y="0"/>
                <wp:positionH relativeFrom="column">
                  <wp:posOffset>1856740</wp:posOffset>
                </wp:positionH>
                <wp:positionV relativeFrom="paragraph">
                  <wp:posOffset>4411345</wp:posOffset>
                </wp:positionV>
                <wp:extent cx="1026160" cy="342900"/>
                <wp:effectExtent l="635" t="1270" r="1905" b="0"/>
                <wp:wrapNone/>
                <wp:docPr id="1184450848" name="矩形 2299"/>
                <wp:cNvGraphicFramePr/>
                <a:graphic xmlns:a="http://schemas.openxmlformats.org/drawingml/2006/main">
                  <a:graphicData uri="http://schemas.microsoft.com/office/word/2010/wordprocessingShape">
                    <wps:wsp>
                      <wps:cNvSpPr>
                        <a:spLocks noChangeArrowheads="1"/>
                      </wps:cNvSpPr>
                      <wps:spPr bwMode="auto">
                        <a:xfrm>
                          <a:off x="0" y="0"/>
                          <a:ext cx="1026160" cy="342900"/>
                        </a:xfrm>
                        <a:prstGeom prst="rect">
                          <a:avLst/>
                        </a:prstGeom>
                        <a:noFill/>
                        <a:ln>
                          <a:noFill/>
                        </a:ln>
                      </wps:spPr>
                      <wps:txbx>
                        <w:txbxContent>
                          <w:p w14:paraId="01E30DA0">
                            <w:pPr>
                              <w:jc w:val="center"/>
                              <w:rPr>
                                <w:rFonts w:ascii="Times New Roman" w:hAnsi="Times New Roman" w:cs="Times New Roman"/>
                                <w:b/>
                                <w:bCs/>
                                <w:lang w:eastAsia="zh-CN"/>
                              </w:rPr>
                            </w:pPr>
                            <w:r>
                              <w:rPr>
                                <w:rFonts w:hint="eastAsia" w:ascii="Times New Roman" w:hAnsi="Times New Roman" w:cs="Times New Roman"/>
                                <w:b/>
                                <w:bCs/>
                                <w:lang w:eastAsia="zh-CN"/>
                              </w:rPr>
                              <w:t>戊类罐区二</w:t>
                            </w:r>
                          </w:p>
                        </w:txbxContent>
                      </wps:txbx>
                      <wps:bodyPr rot="0" vert="horz" wrap="square" lIns="91440" tIns="45720" rIns="91440" bIns="45720" anchor="t" anchorCtr="0" upright="1">
                        <a:noAutofit/>
                      </wps:bodyPr>
                    </wps:wsp>
                  </a:graphicData>
                </a:graphic>
              </wp:anchor>
            </w:drawing>
          </mc:Choice>
          <mc:Fallback>
            <w:pict>
              <v:rect id="矩形 2299" o:spid="_x0000_s1026" o:spt="1" style="position:absolute;left:0pt;margin-left:146.2pt;margin-top:347.35pt;height:27pt;width:80.8pt;z-index:251940864;mso-width-relative:page;mso-height-relative:page;" filled="f" stroked="f" coordsize="21600,21600" o:gfxdata="UEsDBAoAAAAAAIdO4kAAAAAAAAAAAAAAAAAEAAAAZHJzL1BLAwQUAAAACACHTuJA+4jNjdwAAAAL&#10;AQAADwAAAGRycy9kb3ducmV2LnhtbE2PQUvDQBCF74L/YRnBi9hNQ2zamEkPBbGIUEy15212TILZ&#10;2TS7Teq/dz3pcZiP976Xry+mEyMNrrWMMJ9FIIgrq1uuEd73T/dLEM4r1qqzTAjf5GBdXF/lKtN2&#10;4jcaS1+LEMIuUwiN930mpasaMsrNbE8cfp92MMqHc6ilHtQUwk0n4yhaSKNaDg2N6mnTUPVVng3C&#10;VO3Gw/71We7uDlvLp+1pU368IN7ezKNHEJ4u/g+GX/2gDkVwOtozayc6hHgVJwFFWKySFEQgkock&#10;rDsipMkyBVnk8v+G4gdQSwMEFAAAAAgAh07iQCny0HQXAgAAFAQAAA4AAABkcnMvZTJvRG9jLnht&#10;bK1TzW4TMRC+I/EOlu9kf9iGZJVNVTUqQipQqfAAjtebtdj1mLGTTXkZJG59CB4H8RqMvWlIy6UH&#10;LpbHM/78fd+MF+f7vmM7hU6DqXg2STlTRkKtzabinz9dvZpx5rwwtejAqIrfKcfPly9fLAZbqhxa&#10;6GqFjECMKwdb8dZ7WyaJk63qhZuAVYaSDWAvPIW4SWoUA6H3XZKn6TQZAGuLIJVzdLoak/yAiM8B&#10;hKbRUq1Abntl/IiKqhOeJLlWW8eXkW3TKOk/No1TnnUVJ6U+rvQI7ddhTZYLUW5Q2FbLAwXxHApP&#10;NPVCG3r0CLUSXrAt6n+gei0RHDR+IqFPRiHREVKRpU+8uW2FVVELWe3s0XT3/2Dlh90NMl3TJGSz&#10;ojhLZwX134ieOv/7+/2vnz9Yns/nwafBupLKb+0NBqXOXoP84piBy1aYjbpAhKFVoiZ2WahPHl0I&#10;gaOrbD28h5rQxdZDtGzfYB8AyQy2j525O3ZG7T2TdJil+TSbUtMk5V4X+TyNrUtE+XDbovNvFfQs&#10;bCqO1PmILnbXzgc2onwoCY8ZuNJdF7vfmUcHVBhOIvtAeBTu9+v9wYM11HekA2EcJvpKtGkBv3E2&#10;0CBV3H3dClScde8MeTHPiiJMXgyKszc5BXiaWZ9mhJEEVXHP2bi99OO0bi3qTUsvZVGWgQvyr9FR&#10;WvB2ZHXgTcMSFR8GO0zjaRyr/n7m5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7iM2N3AAAAAsB&#10;AAAPAAAAAAAAAAEAIAAAACIAAABkcnMvZG93bnJldi54bWxQSwECFAAUAAAACACHTuJAKfLQdBcC&#10;AAAUBAAADgAAAAAAAAABACAAAAArAQAAZHJzL2Uyb0RvYy54bWxQSwUGAAAAAAYABgBZAQAAtAUA&#10;AAAA&#10;">
                <v:fill on="f" focussize="0,0"/>
                <v:stroke on="f"/>
                <v:imagedata o:title=""/>
                <o:lock v:ext="edit" aspectratio="f"/>
                <v:textbox>
                  <w:txbxContent>
                    <w:p w14:paraId="01E30DA0">
                      <w:pPr>
                        <w:jc w:val="center"/>
                        <w:rPr>
                          <w:rFonts w:ascii="Times New Roman" w:hAnsi="Times New Roman" w:cs="Times New Roman"/>
                          <w:b/>
                          <w:bCs/>
                          <w:lang w:eastAsia="zh-CN"/>
                        </w:rPr>
                      </w:pPr>
                      <w:r>
                        <w:rPr>
                          <w:rFonts w:hint="eastAsia" w:ascii="Times New Roman" w:hAnsi="Times New Roman" w:cs="Times New Roman"/>
                          <w:b/>
                          <w:bCs/>
                          <w:lang w:eastAsia="zh-CN"/>
                        </w:rPr>
                        <w:t>戊类罐区二</w:t>
                      </w:r>
                    </w:p>
                  </w:txbxContent>
                </v:textbox>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35040" behindDoc="0" locked="0" layoutInCell="1" allowOverlap="1">
                <wp:simplePos x="0" y="0"/>
                <wp:positionH relativeFrom="column">
                  <wp:posOffset>3747770</wp:posOffset>
                </wp:positionH>
                <wp:positionV relativeFrom="paragraph">
                  <wp:posOffset>6346190</wp:posOffset>
                </wp:positionV>
                <wp:extent cx="883920" cy="316865"/>
                <wp:effectExtent l="0" t="2540" r="0" b="4445"/>
                <wp:wrapNone/>
                <wp:docPr id="45586039" name="自选图形 1995"/>
                <wp:cNvGraphicFramePr/>
                <a:graphic xmlns:a="http://schemas.openxmlformats.org/drawingml/2006/main">
                  <a:graphicData uri="http://schemas.microsoft.com/office/word/2010/wordprocessingShape">
                    <wps:wsp>
                      <wps:cNvSpPr>
                        <a:spLocks noChangeArrowheads="1"/>
                      </wps:cNvSpPr>
                      <wps:spPr bwMode="auto">
                        <a:xfrm>
                          <a:off x="0" y="0"/>
                          <a:ext cx="883920" cy="316865"/>
                        </a:xfrm>
                        <a:prstGeom prst="flowChartProcess">
                          <a:avLst/>
                        </a:prstGeom>
                        <a:noFill/>
                        <a:ln>
                          <a:noFill/>
                        </a:ln>
                      </wps:spPr>
                      <wps:txbx>
                        <w:txbxContent>
                          <w:p w14:paraId="3529E5C3">
                            <w:pPr>
                              <w:jc w:val="center"/>
                            </w:pPr>
                            <w:r>
                              <w:rPr>
                                <w:rFonts w:hint="eastAsia"/>
                                <w:lang w:eastAsia="zh-CN"/>
                              </w:rPr>
                              <w:t>D3</w:t>
                            </w:r>
                          </w:p>
                        </w:txbxContent>
                      </wps:txbx>
                      <wps:bodyPr rot="0" vert="horz" wrap="square" lIns="91440" tIns="45720" rIns="91440" bIns="45720" anchor="t" anchorCtr="0" upright="1">
                        <a:noAutofit/>
                      </wps:bodyPr>
                    </wps:wsp>
                  </a:graphicData>
                </a:graphic>
              </wp:anchor>
            </w:drawing>
          </mc:Choice>
          <mc:Fallback>
            <w:pict>
              <v:shape id="自选图形 1995" o:spid="_x0000_s1026" o:spt="109" type="#_x0000_t109" style="position:absolute;left:0pt;margin-left:295.1pt;margin-top:499.7pt;height:24.95pt;width:69.6pt;z-index:251735040;mso-width-relative:page;mso-height-relative:page;" filled="f" stroked="f" coordsize="21600,21600" o:gfxdata="UEsDBAoAAAAAAIdO4kAAAAAAAAAAAAAAAAAEAAAAZHJzL1BLAwQUAAAACACHTuJA72EGbdgAAAAM&#10;AQAADwAAAGRycy9kb3ducmV2LnhtbE2Py07DMBBF90j8gzVI7KidBxSHOBVCorBtYMPOjU0cEY+j&#10;2E3bv2e6gt2M5ujOufXm5Ee22DkOARVkKwHMYhfMgL2Cz4/Xu0dgMWk0egxoFZxthE1zfVXryoQj&#10;7uzSpp5RCMZKK3ApTRXnsXPW67gKk0W6fYfZ60Tr3HMz6yOF+5HnQjxwrwekD05P9sXZ7qc9eAVL&#10;+Xzefq3f+rIw707E7ZDpolXq9iYTT8CSPaU/GC76pA4NOe3DAU1ko4J7KXJCFUgpS2BErPPLsCdU&#10;lLIA3tT8f4nmF1BLAwQUAAAACACHTuJAR9tdDCcCAAAjBAAADgAAAGRycy9lMm9Eb2MueG1srVPL&#10;bhMxFN0j8Q+W92QyeZGMMqmqRkVIBSIVPsDxeDIWM77m2smkrNghvoEdS/4B/qYS/AXXnjSkZdMF&#10;G8v2tc895/h4frZvarZT6DSYnKe9PmfKSCi02eT83dvLZ1POnBemEDUYlfMb5fjZ4umTeWszNYAK&#10;6kIhIxDjstbmvPLeZkniZKUa4XpglaFiCdgIT0vcJAWKltCbOhn0+5OkBSwsglTO0e6yK/IDIj4G&#10;EMpSS7UEuW2U8R0qqlp4kuQqbR1fRLZlqaR/U5ZOeVbnnJT6OFITmq/DmCzmItugsJWWBwriMRQe&#10;aGqENtT0CLUUXrAt6n+gGi0RHJS+J6FJOiHREVKR9h94c10Jq6IWstrZo+nu/8HK17sVMl3kfDQe&#10;Tyf94YwzIxp691+fv//+9OX268/bH99YOpuNg1etdRldubYrDGqdvQL53jEDF5UwG3WOCG2lREEM&#10;03A+uXchLBxdZev2FRTUQ2w9RNv2JTYBkAxh+/g6N8fXUXvPJG1Op8PZgN5NUmmYTqaTyCgR2d1l&#10;i86/UNCwMMl5WUNLtNCvurDFRmJ35XwgJrK746GvgUtd1zEMtbm3QQfDThQSuHce+P16f7BjDcUN&#10;SULoskU/iyYV4EfOWspVzt2HrUDFWf3SkC2zdDQKQYyL0fh5UISnlfVpRRhJUDn3nHXTC9+Fd2tR&#10;byrqlEZZBs7JylJHacHmjtWBN2UnKj7kPITzdB1P/f3bi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vYQZt2AAAAAwBAAAPAAAAAAAAAAEAIAAAACIAAABkcnMvZG93bnJldi54bWxQSwECFAAUAAAA&#10;CACHTuJAR9tdDCcCAAAjBAAADgAAAAAAAAABACAAAAAnAQAAZHJzL2Uyb0RvYy54bWxQSwUGAAAA&#10;AAYABgBZAQAAwAUAAAAA&#10;">
                <v:fill on="f" focussize="0,0"/>
                <v:stroke on="f"/>
                <v:imagedata o:title=""/>
                <o:lock v:ext="edit" aspectratio="f"/>
                <v:textbox>
                  <w:txbxContent>
                    <w:p w14:paraId="3529E5C3">
                      <w:pPr>
                        <w:jc w:val="center"/>
                      </w:pPr>
                      <w:r>
                        <w:rPr>
                          <w:rFonts w:hint="eastAsia"/>
                          <w:lang w:eastAsia="zh-CN"/>
                        </w:rPr>
                        <w:t>D3</w:t>
                      </w: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37088" behindDoc="0" locked="0" layoutInCell="1" allowOverlap="1">
                <wp:simplePos x="0" y="0"/>
                <wp:positionH relativeFrom="column">
                  <wp:posOffset>4358005</wp:posOffset>
                </wp:positionH>
                <wp:positionV relativeFrom="paragraph">
                  <wp:posOffset>6318250</wp:posOffset>
                </wp:positionV>
                <wp:extent cx="237490" cy="249555"/>
                <wp:effectExtent l="13970" t="17145" r="15240" b="9525"/>
                <wp:wrapNone/>
                <wp:docPr id="1113630435" name="自选图形 1997"/>
                <wp:cNvGraphicFramePr/>
                <a:graphic xmlns:a="http://schemas.openxmlformats.org/drawingml/2006/main">
                  <a:graphicData uri="http://schemas.microsoft.com/office/word/2010/wordprocessingShape">
                    <wps:wsp>
                      <wps:cNvSpPr>
                        <a:spLocks noChangeArrowheads="1"/>
                      </wps:cNvSpPr>
                      <wps:spPr bwMode="auto">
                        <a:xfrm>
                          <a:off x="0" y="0"/>
                          <a:ext cx="237490" cy="249555"/>
                        </a:xfrm>
                        <a:prstGeom prst="triangle">
                          <a:avLst>
                            <a:gd name="adj" fmla="val 50000"/>
                          </a:avLst>
                        </a:prstGeom>
                        <a:solidFill>
                          <a:srgbClr val="00B0F0"/>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自选图形 1997" o:spid="_x0000_s1026" o:spt="5" type="#_x0000_t5" style="position:absolute;left:0pt;margin-left:343.15pt;margin-top:497.5pt;height:19.65pt;width:18.7pt;z-index:251737088;mso-width-relative:page;mso-height-relative:page;" fillcolor="#00B0F0" filled="t" stroked="t" coordsize="21600,21600" o:gfxdata="UEsDBAoAAAAAAIdO4kAAAAAAAAAAAAAAAAAEAAAAZHJzL1BLAwQUAAAACACHTuJAPuzXLtoAAAAM&#10;AQAADwAAAGRycy9kb3ducmV2LnhtbE2Py07DMBBF90j8gzVI7KjdvNqEOF0gdQEsEAUhdefGQxIR&#10;j6PYffD3DCtYjubo3nPrzcWN4oRzGDxpWC4UCKTW24E6De9v27s1iBANWTN6Qg3fGGDTXF/VprL+&#10;TK942sVOcAiFymjoY5wqKUPbozNh4Sck/n362ZnI59xJO5szh7tRJkoV0pmBuKE3Ez702H7tjk6D&#10;KfPnx5ePrQoye0r2mZ1y6/Za394s1T2IiJf4B8OvPqtDw04HfyQbxKihWBcpoxrKMudRTKySdAXi&#10;wKhKsxRkU8v/I5ofUEsDBBQAAAAIAIdO4kBWK1dGXwIAALAEAAAOAAAAZHJzL2Uyb0RvYy54bWyt&#10;VM1u00AQviPxDqu9U9tJ3DZWnKq0KkIqUKnwAJv1Ol7YP2Y3ccqpN8QzcOPIO8DbVIK3YLx2SlIu&#10;PeCDteOZ+Wa+b3Y8O9loRdYCvLSmpNlBSokw3FbSLEv67u3Fs2NKfGCmYsoaUdIb4enJ/OmTWesK&#10;MbKNVZUAgiDGF60raROCK5LE80Zo5g+sEwadtQXNApqwTCpgLaJrlYzS9DBpLVQOLBfe49fz3kkH&#10;RHgMoK1rycW55SstTOhRQSgWkJJvpPN0Hruta8HDm7r2IhBVUmQa4huL4HnRvZP5jBVLYK6RfGiB&#10;PaaFB5w0kwaL3kOds8DICuQ/UFpysN7W4YBbnfREoiLIIksfaHPdMCciF5Tau3vR/f+D5a/XV0Bk&#10;hTchy8aH43QyzikxTOPkf33+/vv2y93Xn3c/vpFsOj3q1GqdLzDp2l1Bx9e7S8s/eGLsWcPMUpwC&#10;2LYRrMIesy4+2UvoDI+pZNG+shXWYKtgo3CbGnQHiJKQTZzPzf18xCYQjh9H46PJFCfH0TWaTPM8&#10;jxVYsU124MMLYTXpDiUNILEn1UnICra+9CGOqBr4seo9JbVWOPA1UyRP8RkAh+CEFVvISNYqWV1I&#10;paIBy8WZAoKp2Gj6PL3YJvvdMGVIW9JpPspjF3s+vw+xU38vTMuAG6ekLulxF7Oto8wgb6doP5mF&#10;rW5QXbD9Rcc1x0Nj4RMlLV7ykvqPKwaCEvXS4ISm2WTSbUU0JvnRCA3Y9Sx2PcxwhEJZKemPZ6Hf&#10;pJUDuWywUhY5GnuKU61l2I6/72poFi8ynvY2ZdeOUX9/NPM/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PuzXLtoAAAAMAQAADwAAAAAAAAABACAAAAAiAAAAZHJzL2Rvd25yZXYueG1sUEsBAhQAFAAA&#10;AAgAh07iQFYrV0ZfAgAAsAQAAA4AAAAAAAAAAQAgAAAAKQEAAGRycy9lMm9Eb2MueG1sUEsFBgAA&#10;AAAGAAYAWQEAAPoFAAAAAA==&#10;" adj="10800">
                <v:fill on="t" focussize="0,0"/>
                <v:stroke color="#000000" miterlimit="8" joinstyle="miter"/>
                <v:imagedata o:title=""/>
                <o:lock v:ext="edit" aspectratio="f"/>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942912" behindDoc="0" locked="0" layoutInCell="1" allowOverlap="1">
                <wp:simplePos x="0" y="0"/>
                <wp:positionH relativeFrom="column">
                  <wp:posOffset>1704975</wp:posOffset>
                </wp:positionH>
                <wp:positionV relativeFrom="paragraph">
                  <wp:posOffset>2915920</wp:posOffset>
                </wp:positionV>
                <wp:extent cx="429260" cy="476885"/>
                <wp:effectExtent l="0" t="0" r="27940" b="18415"/>
                <wp:wrapNone/>
                <wp:docPr id="1521621630" name="矩形 2299"/>
                <wp:cNvGraphicFramePr/>
                <a:graphic xmlns:a="http://schemas.openxmlformats.org/drawingml/2006/main">
                  <a:graphicData uri="http://schemas.microsoft.com/office/word/2010/wordprocessingShape">
                    <wps:wsp>
                      <wps:cNvSpPr>
                        <a:spLocks noChangeArrowheads="1"/>
                      </wps:cNvSpPr>
                      <wps:spPr bwMode="auto">
                        <a:xfrm>
                          <a:off x="0" y="0"/>
                          <a:ext cx="429370" cy="477078"/>
                        </a:xfrm>
                        <a:prstGeom prst="rect">
                          <a:avLst/>
                        </a:prstGeom>
                        <a:solidFill>
                          <a:schemeClr val="bg1"/>
                        </a:solidFill>
                        <a:ln>
                          <a:solidFill>
                            <a:schemeClr val="tx1"/>
                          </a:solidFill>
                        </a:ln>
                      </wps:spPr>
                      <wps:txbx>
                        <w:txbxContent>
                          <w:p w14:paraId="03560A88">
                            <w:pPr>
                              <w:adjustRightInd w:val="0"/>
                              <w:snapToGrid w:val="0"/>
                              <w:jc w:val="both"/>
                              <w:rPr>
                                <w:rFonts w:ascii="Times New Roman" w:hAnsi="Times New Roman" w:cs="Times New Roman"/>
                                <w:b/>
                                <w:bCs/>
                                <w:color w:val="EE0000"/>
                                <w:sz w:val="16"/>
                                <w:szCs w:val="16"/>
                                <w:lang w:eastAsia="zh-CN"/>
                              </w:rPr>
                            </w:pPr>
                            <w:r>
                              <w:rPr>
                                <w:rFonts w:hint="eastAsia" w:ascii="Times New Roman" w:hAnsi="Times New Roman" w:cs="Times New Roman"/>
                                <w:b/>
                                <w:bCs/>
                                <w:color w:val="EE0000"/>
                                <w:sz w:val="15"/>
                                <w:szCs w:val="15"/>
                                <w:lang w:eastAsia="zh-CN"/>
                              </w:rPr>
                              <w:t>刻蚀液混配车</w:t>
                            </w:r>
                            <w:r>
                              <w:rPr>
                                <w:rFonts w:hint="eastAsia" w:ascii="Times New Roman" w:hAnsi="Times New Roman" w:cs="Times New Roman"/>
                                <w:b/>
                                <w:bCs/>
                                <w:color w:val="EE0000"/>
                                <w:sz w:val="16"/>
                                <w:szCs w:val="16"/>
                                <w:lang w:eastAsia="zh-CN"/>
                              </w:rPr>
                              <w:t>间</w:t>
                            </w:r>
                          </w:p>
                        </w:txbxContent>
                      </wps:txbx>
                      <wps:bodyPr rot="0" vert="horz" wrap="square" lIns="91440" tIns="45720" rIns="91440" bIns="45720" anchor="t" anchorCtr="0" upright="1">
                        <a:noAutofit/>
                      </wps:bodyPr>
                    </wps:wsp>
                  </a:graphicData>
                </a:graphic>
              </wp:anchor>
            </w:drawing>
          </mc:Choice>
          <mc:Fallback>
            <w:pict>
              <v:rect id="矩形 2299" o:spid="_x0000_s1026" o:spt="1" style="position:absolute;left:0pt;margin-left:134.25pt;margin-top:229.6pt;height:37.55pt;width:33.8pt;z-index:251942912;mso-width-relative:page;mso-height-relative:page;" fillcolor="#FFFFFF [3212]" filled="t" stroked="t" coordsize="21600,21600" o:gfxdata="UEsDBAoAAAAAAIdO4kAAAAAAAAAAAAAAAAAEAAAAZHJzL1BLAwQUAAAACACHTuJAagrs3toAAAAL&#10;AQAADwAAAGRycy9kb3ducmV2LnhtbE2PMW+DMBCF90r9D9ZV6tbYQEAJ5cjQKpU6JmTpdmAXaLGN&#10;sElIfn3dqR1P79N73xW7RQ/srCbXW4MQrQQwZRore9MinKr90waY82QkDdYohKtysCvv7wrKpb2Y&#10;gzoffctCiXE5IXTejznnrumUJreyozIh+7STJh/OqeVyokso1wOPhci4pt6EhY5G9dKp5vs4a4S6&#10;j090O1RvQm/3iX9fqq/54xXx8SESz8C8WvwfDL/6QR3K4FTb2UjHBoQ426QBRVin2xhYIJIki4DV&#10;CGmyToCXBf//Q/kDUEsDBBQAAAAIAIdO4kAPfiSVLgIAAGUEAAAOAAAAZHJzL2Uyb0RvYy54bWyt&#10;VFFu2zAM/R+wOwj6Xxy7adMYcYoiQYYB3Vag2wEUWY6F2aJGKbG7ywzY3w6x4wy7xig5zbIWGPox&#10;wzBEk3x8fKQ9v+rbhu0VOg2m4OlozJkyEkpttgX/+GH96pIz54UpRQNGFfxeOX61ePli3tlcZVBD&#10;UypkBGJc3tmC197bPEmcrFUr3AisMuSsAFvhycRtUqLoCL1tkmw8vkg6wNIiSOUcvV0NTn5AxOcA&#10;QlVpqVYgd60yfkBF1QhPLblaW8cXkW1VKenfV5VTnjUFp059fFIROm/CM1nMRb5FYWstDxTEcyg8&#10;6qkV2lDRI9RKeMF2qJ9AtVoiOKj8SEKbDI1ERaiLdPxIm7taWBV7IamdPYru/h+sfLe/RaZL2oTz&#10;LL2g+4ykMaKlyf/6+v3nj28sy2azoFNnXU7hd/YWQ6fO3oD85JiBZS3MVl0jQlcrURK7NMQnfyUE&#10;w1Eq23RvoSR0sfMQJesrbAMgicH6OJn742RU75mkl5NsdjYlYpJck+l0PL2MFUT+kGzR+dcKWhYO&#10;BUcafAQX+xvnAxmRP4RE8tDocq2bJhq43SwbZHtBS7KO1wHdnYY15t+Z43g9zaTSITXKERQYlPT9&#10;pj+IuoHynoRBGLaTvk061IBfOOtoMwvuPu8EKs6aN4bEnaWTSVjlaEzOpxkZeOrZnHqEkQRVcM/Z&#10;cFz6Yf13FvW2pkppFMrANQ2k0lGsMKyB1YE3bV/U8PClhPU+tWPUn7/D4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qCuze2gAAAAsBAAAPAAAAAAAAAAEAIAAAACIAAABkcnMvZG93bnJldi54bWxQ&#10;SwECFAAUAAAACACHTuJAD34klS4CAABlBAAADgAAAAAAAAABACAAAAApAQAAZHJzL2Uyb0RvYy54&#10;bWxQSwUGAAAAAAYABgBZAQAAyQUAAAAA&#10;">
                <v:fill on="t" focussize="0,0"/>
                <v:stroke color="#000000 [3213]" joinstyle="round"/>
                <v:imagedata o:title=""/>
                <o:lock v:ext="edit" aspectratio="f"/>
                <v:textbox>
                  <w:txbxContent>
                    <w:p w14:paraId="03560A88">
                      <w:pPr>
                        <w:adjustRightInd w:val="0"/>
                        <w:snapToGrid w:val="0"/>
                        <w:jc w:val="both"/>
                        <w:rPr>
                          <w:rFonts w:ascii="Times New Roman" w:hAnsi="Times New Roman" w:cs="Times New Roman"/>
                          <w:b/>
                          <w:bCs/>
                          <w:color w:val="EE0000"/>
                          <w:sz w:val="16"/>
                          <w:szCs w:val="16"/>
                          <w:lang w:eastAsia="zh-CN"/>
                        </w:rPr>
                      </w:pPr>
                      <w:r>
                        <w:rPr>
                          <w:rFonts w:hint="eastAsia" w:ascii="Times New Roman" w:hAnsi="Times New Roman" w:cs="Times New Roman"/>
                          <w:b/>
                          <w:bCs/>
                          <w:color w:val="EE0000"/>
                          <w:sz w:val="15"/>
                          <w:szCs w:val="15"/>
                          <w:lang w:eastAsia="zh-CN"/>
                        </w:rPr>
                        <w:t>刻蚀液混配车</w:t>
                      </w:r>
                      <w:r>
                        <w:rPr>
                          <w:rFonts w:hint="eastAsia" w:ascii="Times New Roman" w:hAnsi="Times New Roman" w:cs="Times New Roman"/>
                          <w:b/>
                          <w:bCs/>
                          <w:color w:val="EE0000"/>
                          <w:sz w:val="16"/>
                          <w:szCs w:val="16"/>
                          <w:lang w:eastAsia="zh-CN"/>
                        </w:rPr>
                        <w:t>间</w:t>
                      </w:r>
                    </w:p>
                  </w:txbxContent>
                </v:textbox>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941888" behindDoc="0" locked="0" layoutInCell="1" allowOverlap="1">
                <wp:simplePos x="0" y="0"/>
                <wp:positionH relativeFrom="column">
                  <wp:posOffset>3636645</wp:posOffset>
                </wp:positionH>
                <wp:positionV relativeFrom="paragraph">
                  <wp:posOffset>1826260</wp:posOffset>
                </wp:positionV>
                <wp:extent cx="747395" cy="877570"/>
                <wp:effectExtent l="0" t="0" r="0" b="0"/>
                <wp:wrapNone/>
                <wp:docPr id="1763102281" name="矩形 2299"/>
                <wp:cNvGraphicFramePr/>
                <a:graphic xmlns:a="http://schemas.openxmlformats.org/drawingml/2006/main">
                  <a:graphicData uri="http://schemas.microsoft.com/office/word/2010/wordprocessingShape">
                    <wps:wsp>
                      <wps:cNvSpPr>
                        <a:spLocks noChangeArrowheads="1"/>
                      </wps:cNvSpPr>
                      <wps:spPr bwMode="auto">
                        <a:xfrm>
                          <a:off x="0" y="0"/>
                          <a:ext cx="747422" cy="877824"/>
                        </a:xfrm>
                        <a:prstGeom prst="rect">
                          <a:avLst/>
                        </a:prstGeom>
                        <a:solidFill>
                          <a:schemeClr val="bg1"/>
                        </a:solidFill>
                        <a:ln>
                          <a:noFill/>
                        </a:ln>
                      </wps:spPr>
                      <wps:txbx>
                        <w:txbxContent>
                          <w:p w14:paraId="71846CBF">
                            <w:pPr>
                              <w:jc w:val="center"/>
                              <w:rPr>
                                <w:rFonts w:ascii="Times New Roman" w:hAnsi="Times New Roman" w:cs="Times New Roman"/>
                                <w:b/>
                                <w:bCs/>
                                <w:color w:val="EE0000"/>
                                <w:sz w:val="18"/>
                                <w:szCs w:val="15"/>
                                <w:lang w:eastAsia="zh-CN"/>
                              </w:rPr>
                            </w:pPr>
                            <w:r>
                              <w:rPr>
                                <w:rFonts w:hint="eastAsia" w:ascii="Times New Roman" w:hAnsi="Times New Roman" w:cs="Times New Roman"/>
                                <w:b/>
                                <w:bCs/>
                                <w:color w:val="EE0000"/>
                                <w:sz w:val="18"/>
                                <w:szCs w:val="15"/>
                                <w:lang w:eastAsia="zh-CN"/>
                              </w:rPr>
                              <w:t>（电子级氢氟酸、化学纯氢氟酸生产车间）</w:t>
                            </w:r>
                          </w:p>
                        </w:txbxContent>
                      </wps:txbx>
                      <wps:bodyPr rot="0" vert="horz" wrap="square" lIns="91440" tIns="45720" rIns="91440" bIns="45720" anchor="t" anchorCtr="0" upright="1">
                        <a:noAutofit/>
                      </wps:bodyPr>
                    </wps:wsp>
                  </a:graphicData>
                </a:graphic>
              </wp:anchor>
            </w:drawing>
          </mc:Choice>
          <mc:Fallback>
            <w:pict>
              <v:rect id="矩形 2299" o:spid="_x0000_s1026" o:spt="1" style="position:absolute;left:0pt;margin-left:286.35pt;margin-top:143.8pt;height:69.1pt;width:58.85pt;z-index:251941888;mso-width-relative:page;mso-height-relative:page;" fillcolor="#FFFFFF [3212]" filled="t" stroked="f" coordsize="21600,21600" o:gfxdata="UEsDBAoAAAAAAIdO4kAAAAAAAAAAAAAAAAAEAAAAZHJzL1BLAwQUAAAACACHTuJA2wn9gNkAAAAL&#10;AQAADwAAAGRycy9kb3ducmV2LnhtbE2PMU/DMBCFdyT+g3VIbNRuSJw05NIBqRMw0CKxXmM3iYjt&#10;EDtt+PeYiY6n9+m976rtYgZ21pPvnUVYrwQwbRunetsifBx2DwUwH8gqGpzVCD/aw7a+vamoVO5i&#10;3/V5H1oWS6wvCaELYSw5902nDfmVG7WN2clNhkI8p5ariS6x3Aw8EUJyQ72NCx2N+rnTzdd+Nggk&#10;U/X9dnp8PbzMkjbtInbZp0C8v1uLJ2BBL+Efhj/9qA51dDq62SrPBoQsT/KIIiRFLoFFQm5ECuyI&#10;kCZZAbyu+PUP9S9QSwMEFAAAAAgAh07iQLx6Nf0qAgAAPAQAAA4AAABkcnMvZTJvRG9jLnhtbK1T&#10;wY7TMBC9I/EPlu80TSjbNmq6WrUqQlpgpYUPcB2nsUg8Zuw2LT+DxI2P4HMQv8HYyZayXPZADpHH&#10;M/Nm3pvx4vrYNuyg0GkwBU9HY86UkVBqsyv4xw+bFzPOnBemFA0YVfCTcvx6+fzZorO5yqCGplTI&#10;CMS4vLMFr723eZI4WatWuBFYZchZAbbCk4m7pETREXrbJNl4fJV0gKVFkMo5ul33Tj4g4lMAoaq0&#10;VGuQ+1YZ36OiaoQnSq7W1vFl7LaqlPTvq8opz5qCE1Mf/1SEztvwT5YLke9Q2FrLoQXxlBYecWqF&#10;NlT0DLUWXrA96n+gWi0RHFR+JKFNeiJREWKRjh9pc18LqyIXktrZs+ju/8HKd4c7ZLqkTZhevUzH&#10;WTZLOTOipcn/+vr9549vLMvm86BTZ11O4ff2DgNTZ29BfnLMwKoWZqduEKGrlSipuzTEJ38lBMNR&#10;Ktt2b6EkdLH3ECU7VtgGQBKDHeNkTufJqKNnki6nk+kkyziT5JpNp7NsEiuI/CHZovOvFbQsHAqO&#10;NPgILg63zodmRP4QEpuHRpcb3TTRwN121SA7CFqSTfwGdHcZ1pgQbCCk9YjhJrIMxHqB/HF7HLTa&#10;Qnkivgj90tGTo0MN+IWzjhau4O7zXqDirHljSLN5OpmEDY3G5NU0IwMvPdtLjzCSoAruOeuPK99v&#10;9d6i3tVUKY38DdyQzpWOGoQZ9F0NfdNSRWmGBxC29tKOUX8e/f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2wn9gNkAAAALAQAADwAAAAAAAAABACAAAAAiAAAAZHJzL2Rvd25yZXYueG1sUEsBAhQA&#10;FAAAAAgAh07iQLx6Nf0qAgAAPAQAAA4AAAAAAAAAAQAgAAAAKAEAAGRycy9lMm9Eb2MueG1sUEsF&#10;BgAAAAAGAAYAWQEAAMQFAAAAAA==&#10;">
                <v:fill on="t" focussize="0,0"/>
                <v:stroke on="f"/>
                <v:imagedata o:title=""/>
                <o:lock v:ext="edit" aspectratio="f"/>
                <v:textbox>
                  <w:txbxContent>
                    <w:p w14:paraId="71846CBF">
                      <w:pPr>
                        <w:jc w:val="center"/>
                        <w:rPr>
                          <w:rFonts w:ascii="Times New Roman" w:hAnsi="Times New Roman" w:cs="Times New Roman"/>
                          <w:b/>
                          <w:bCs/>
                          <w:color w:val="EE0000"/>
                          <w:sz w:val="18"/>
                          <w:szCs w:val="15"/>
                          <w:lang w:eastAsia="zh-CN"/>
                        </w:rPr>
                      </w:pPr>
                      <w:r>
                        <w:rPr>
                          <w:rFonts w:hint="eastAsia" w:ascii="Times New Roman" w:hAnsi="Times New Roman" w:cs="Times New Roman"/>
                          <w:b/>
                          <w:bCs/>
                          <w:color w:val="EE0000"/>
                          <w:sz w:val="18"/>
                          <w:szCs w:val="15"/>
                          <w:lang w:eastAsia="zh-CN"/>
                        </w:rPr>
                        <w:t>（电子级氢氟酸、化学纯氢氟酸生产车间）</w:t>
                      </w:r>
                    </w:p>
                  </w:txbxContent>
                </v:textbox>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31968" behindDoc="0" locked="0" layoutInCell="1" allowOverlap="1">
                <wp:simplePos x="0" y="0"/>
                <wp:positionH relativeFrom="column">
                  <wp:posOffset>1240790</wp:posOffset>
                </wp:positionH>
                <wp:positionV relativeFrom="paragraph">
                  <wp:posOffset>195580</wp:posOffset>
                </wp:positionV>
                <wp:extent cx="237490" cy="249555"/>
                <wp:effectExtent l="15240" t="19050" r="13970" b="7620"/>
                <wp:wrapNone/>
                <wp:docPr id="38149644" name="自选图形 1992"/>
                <wp:cNvGraphicFramePr/>
                <a:graphic xmlns:a="http://schemas.openxmlformats.org/drawingml/2006/main">
                  <a:graphicData uri="http://schemas.microsoft.com/office/word/2010/wordprocessingShape">
                    <wps:wsp>
                      <wps:cNvSpPr>
                        <a:spLocks noChangeArrowheads="1"/>
                      </wps:cNvSpPr>
                      <wps:spPr bwMode="auto">
                        <a:xfrm>
                          <a:off x="0" y="0"/>
                          <a:ext cx="237490" cy="249555"/>
                        </a:xfrm>
                        <a:prstGeom prst="triangle">
                          <a:avLst>
                            <a:gd name="adj" fmla="val 50000"/>
                          </a:avLst>
                        </a:prstGeom>
                        <a:solidFill>
                          <a:srgbClr val="00B0F0"/>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自选图形 1992" o:spid="_x0000_s1026" o:spt="5" type="#_x0000_t5" style="position:absolute;left:0pt;margin-left:97.7pt;margin-top:15.4pt;height:19.65pt;width:18.7pt;z-index:251731968;mso-width-relative:page;mso-height-relative:page;" fillcolor="#00B0F0" filled="t" stroked="t" coordsize="21600,21600" o:gfxdata="UEsDBAoAAAAAAIdO4kAAAAAAAAAAAAAAAAAEAAAAZHJzL1BLAwQUAAAACACHTuJACwPeQtcAAAAJ&#10;AQAADwAAAGRycy9kb3ducmV2LnhtbE2PPU/DMBCGdyT+g3VIbNROmgINcTogdQAG1IKQul3jI4mI&#10;z1HsfvDvOSbY7tU9ej+q1dkP6khT7ANbyGYGFHETXM+thfe39c09qJiQHQ6BycI3RVjVlxcVli6c&#10;eEPHbWqVmHAs0UKX0lhqHZuOPMZZGInl9xkmj0nk1Go34UnM/aBzY261x54locORHjtqvrYHbwGX&#10;i5en14+1ibp4zneFGxfO76y9vsrMA6hE5/QHw299qQ61dNqHA7uoBtHLRSGohbmRCQLk81yOvYU7&#10;k4GuK/1/Qf0DUEsDBBQAAAAIAIdO4kAuipM9XgIAAK4EAAAOAAAAZHJzL2Uyb0RvYy54bWytVM1u&#10;1DAQviPxDpbvbH6atE3UbFW2KkIqUKnwAF7H2Rj8h+3d7HLqDfEM3DjyDvA2leAtmDjZZbdceiCH&#10;yJOZ+Wa+bzw5O19LgVbMOq5VhZNJjBFTVNdcLSr87u3Vs1OMnCeqJkIrVuENc/h8+vTJWWdKlupW&#10;i5pZBCDKlZ2pcOu9KaPI0ZZJ4ibaMAXORltJPJh2EdWWdIAuRZTG8XHUaVsbqylzDr5eDk48ItrH&#10;AOqm4ZRdarqUTPkB1TJBPFByLTcOT0O3TcOof9M0jnkkKgxMfXhDETjP+3c0PSPlwhLTcjq2QB7T&#10;wgNOknAFRXdQl8QTtLT8HyjJqdVON35CtYwGIkERYJHED7S5bYlhgQtI7cxOdPf/YOnr1Y1FvK7w&#10;0WmSFcdZhpEiEub+6/P333df7r/+vP/xDSVFkfZadcaVkHJrbmzP1plrTT84pPSsJWrBLqzVXctI&#10;DR0mfXx0kNAbDlLRvHula6hBll4H2daNlT0gCILWYTqb3XTY2iMKH9Ojk6yAuVFwpVmR53moQMpt&#10;srHOv2Baov5QYW859CR6AUlJVtfOhwHVIz9Sv8eokQLGvSIC5TE8I+AYHJFyCxnIasHrKy5EMOxi&#10;PhMWQSo0Gj+Pr7bJbj9MKNRVuMjTPHRx4HOHEHv1D8Ik97BvgssKn/Yx2zpCjfL2ig6Tmet6A+pa&#10;PVxzWHI4tNp+wqiDK15h93FJLMNIvFQwoSLJsn4ngpHlJykYdt8z3/cQRQEKZMVoOM78sEdLY/mi&#10;hUpJ4Kj0BUy14X47/qGrsVm4xnA62JN9O0T9/c1M/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L&#10;A95C1wAAAAkBAAAPAAAAAAAAAAEAIAAAACIAAABkcnMvZG93bnJldi54bWxQSwECFAAUAAAACACH&#10;TuJALoqTPV4CAACuBAAADgAAAAAAAAABACAAAAAmAQAAZHJzL2Uyb0RvYy54bWxQSwUGAAAAAAYA&#10;BgBZAQAA9gUAAAAA&#10;" adj="10800">
                <v:fill on="t" focussize="0,0"/>
                <v:stroke color="#000000" miterlimit="8" joinstyle="miter"/>
                <v:imagedata o:title=""/>
                <o:lock v:ext="edit" aspectratio="f"/>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32992" behindDoc="0" locked="0" layoutInCell="1" allowOverlap="1">
                <wp:simplePos x="0" y="0"/>
                <wp:positionH relativeFrom="column">
                  <wp:posOffset>1216025</wp:posOffset>
                </wp:positionH>
                <wp:positionV relativeFrom="paragraph">
                  <wp:posOffset>160655</wp:posOffset>
                </wp:positionV>
                <wp:extent cx="711835" cy="316865"/>
                <wp:effectExtent l="1905" t="3175" r="635" b="3810"/>
                <wp:wrapNone/>
                <wp:docPr id="1676810487" name="自选图形 1993"/>
                <wp:cNvGraphicFramePr/>
                <a:graphic xmlns:a="http://schemas.openxmlformats.org/drawingml/2006/main">
                  <a:graphicData uri="http://schemas.microsoft.com/office/word/2010/wordprocessingShape">
                    <wps:wsp>
                      <wps:cNvSpPr>
                        <a:spLocks noChangeArrowheads="1"/>
                      </wps:cNvSpPr>
                      <wps:spPr bwMode="auto">
                        <a:xfrm>
                          <a:off x="0" y="0"/>
                          <a:ext cx="711835" cy="316865"/>
                        </a:xfrm>
                        <a:prstGeom prst="flowChartProcess">
                          <a:avLst/>
                        </a:prstGeom>
                        <a:noFill/>
                        <a:ln>
                          <a:noFill/>
                        </a:ln>
                      </wps:spPr>
                      <wps:txbx>
                        <w:txbxContent>
                          <w:p w14:paraId="10B58C90">
                            <w:pPr>
                              <w:jc w:val="center"/>
                            </w:pPr>
                            <w:r>
                              <w:rPr>
                                <w:rFonts w:hint="eastAsia"/>
                                <w:lang w:eastAsia="zh-CN"/>
                              </w:rPr>
                              <w:t>D1</w:t>
                            </w:r>
                          </w:p>
                        </w:txbxContent>
                      </wps:txbx>
                      <wps:bodyPr rot="0" vert="horz" wrap="square" lIns="91440" tIns="45720" rIns="91440" bIns="45720" anchor="t" anchorCtr="0" upright="1">
                        <a:noAutofit/>
                      </wps:bodyPr>
                    </wps:wsp>
                  </a:graphicData>
                </a:graphic>
              </wp:anchor>
            </w:drawing>
          </mc:Choice>
          <mc:Fallback>
            <w:pict>
              <v:shape id="自选图形 1993" o:spid="_x0000_s1026" o:spt="109" type="#_x0000_t109" style="position:absolute;left:0pt;margin-left:95.75pt;margin-top:12.65pt;height:24.95pt;width:56.05pt;z-index:251732992;mso-width-relative:page;mso-height-relative:page;" filled="f" stroked="f" coordsize="21600,21600" o:gfxdata="UEsDBAoAAAAAAIdO4kAAAAAAAAAAAAAAAAAEAAAAZHJzL1BLAwQUAAAACACHTuJAivh6FdcAAAAJ&#10;AQAADwAAAGRycy9kb3ducmV2LnhtbE2Py07DMBBF90j8gzVI7KiduOkjxKkQEoUtgQ07NzZxRDyO&#10;Yjdt/55hRZdXc3TvmWp39gOb7RT7gAqyhQBmsQ2mx07B58fLwwZYTBqNHgJaBRcbYVff3lS6NOGE&#10;73ZuUseoBGOpFbiUxpLz2DrrdVyE0SLdvsPkdaI4ddxM+kTlfuC5ECvudY+04PRon51tf5qjVzAv&#10;ny77r/Vrt5TmzYm47zMtG6Xu7zLxCCzZc/qH4U+f1KEmp0M4oolsoLzNCkIV5IUERoAUcgXsoGBd&#10;5MDril9/UP8CUEsDBBQAAAAIAIdO4kAm6EDpKQIAACUEAAAOAAAAZHJzL2Uyb0RvYy54bWytU8uO&#10;0zAU3SPxD5b3NE3fjZqORlMNQhqg0sAHuI7TRCS+5tptMqzYofkGdiz5B/ibkeAvuHY6pTNsZsEm&#10;8vW1zz3n+GRx1tYV2yu0JeiUx70+Z0pLyEq9Tfn7d5cvZpxZJ3QmKtAq5TfK8rPl82eLxiRqAAVU&#10;mUJGINomjUl54ZxJosjKQtXC9sAoTc0csBaOStxGGYqG0OsqGvT7k6gBzAyCVNbS7qpr8gMiPgUQ&#10;8ryUagVyVyvtOlRUlXAkyRalsXwZ2Oa5ku5tnlvlWJVyUurCl4bQeuO/0XIhki0KU5TyQEE8hcIj&#10;TbUoNQ09Qq2EE2yH5T9QdSkRLOSuJ6GOOiHBEVIR9x95c10Io4IWstqao+n2/8HKN/s1sjKjJEym&#10;k1ncH82mnGlR08v/+vL99+fbu68/7358Y/F8PvRuNcYmdOnarNHrteYK5AfLNFwUQm/VOSI0hRIZ&#10;cYz9+ejBBV9Yuso2zWvIaIbYOQjGtTnWHpAsYW14n5vj+6jWMUmb0zieDcecSWoN48lsMg4TRHJ/&#10;2aB1LxXUzC9SnlfQEC106y5uYZDYX1nniYnk/rifq+GyrKoQh0o/2KCDficI8dw7D1y7aQ92bCC7&#10;IUkIXbro36JFAfiJs4aSlXL7cSdQcVa90mTLPB6NfBRDMRpPB1TgaWdz2hFaElTKHWfd8sJ18d0Z&#10;LLcFTYqDLA3nZGVeBmne5o7VgTelJyg+JN3H87QOp/7+3c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ivh6FdcAAAAJAQAADwAAAAAAAAABACAAAAAiAAAAZHJzL2Rvd25yZXYueG1sUEsBAhQAFAAA&#10;AAgAh07iQCboQOkpAgAAJQQAAA4AAAAAAAAAAQAgAAAAJgEAAGRycy9lMm9Eb2MueG1sUEsFBgAA&#10;AAAGAAYAWQEAAMEFAAAAAA==&#10;">
                <v:fill on="f" focussize="0,0"/>
                <v:stroke on="f"/>
                <v:imagedata o:title=""/>
                <o:lock v:ext="edit" aspectratio="f"/>
                <v:textbox>
                  <w:txbxContent>
                    <w:p w14:paraId="10B58C90">
                      <w:pPr>
                        <w:jc w:val="center"/>
                      </w:pPr>
                      <w:r>
                        <w:rPr>
                          <w:rFonts w:hint="eastAsia"/>
                          <w:lang w:eastAsia="zh-CN"/>
                        </w:rPr>
                        <w:t>D1</w:t>
                      </w: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34016" behindDoc="0" locked="0" layoutInCell="1" allowOverlap="1">
                <wp:simplePos x="0" y="0"/>
                <wp:positionH relativeFrom="column">
                  <wp:posOffset>3933190</wp:posOffset>
                </wp:positionH>
                <wp:positionV relativeFrom="paragraph">
                  <wp:posOffset>3030855</wp:posOffset>
                </wp:positionV>
                <wp:extent cx="883920" cy="316865"/>
                <wp:effectExtent l="1270" t="1270" r="635" b="0"/>
                <wp:wrapNone/>
                <wp:docPr id="271897565" name="自选图形 1994"/>
                <wp:cNvGraphicFramePr/>
                <a:graphic xmlns:a="http://schemas.openxmlformats.org/drawingml/2006/main">
                  <a:graphicData uri="http://schemas.microsoft.com/office/word/2010/wordprocessingShape">
                    <wps:wsp>
                      <wps:cNvSpPr>
                        <a:spLocks noChangeArrowheads="1"/>
                      </wps:cNvSpPr>
                      <wps:spPr bwMode="auto">
                        <a:xfrm>
                          <a:off x="0" y="0"/>
                          <a:ext cx="883920" cy="316865"/>
                        </a:xfrm>
                        <a:prstGeom prst="flowChartProcess">
                          <a:avLst/>
                        </a:prstGeom>
                        <a:noFill/>
                        <a:ln>
                          <a:noFill/>
                        </a:ln>
                      </wps:spPr>
                      <wps:txbx>
                        <w:txbxContent>
                          <w:p w14:paraId="3E1A0701">
                            <w:pPr>
                              <w:jc w:val="center"/>
                            </w:pPr>
                            <w:r>
                              <w:rPr>
                                <w:rFonts w:hint="eastAsia"/>
                                <w:lang w:eastAsia="zh-CN"/>
                              </w:rPr>
                              <w:t>D2</w:t>
                            </w:r>
                          </w:p>
                        </w:txbxContent>
                      </wps:txbx>
                      <wps:bodyPr rot="0" vert="horz" wrap="square" lIns="91440" tIns="45720" rIns="91440" bIns="45720" anchor="t" anchorCtr="0" upright="1">
                        <a:noAutofit/>
                      </wps:bodyPr>
                    </wps:wsp>
                  </a:graphicData>
                </a:graphic>
              </wp:anchor>
            </w:drawing>
          </mc:Choice>
          <mc:Fallback>
            <w:pict>
              <v:shape id="自选图形 1994" o:spid="_x0000_s1026" o:spt="109" type="#_x0000_t109" style="position:absolute;left:0pt;margin-left:309.7pt;margin-top:238.65pt;height:24.95pt;width:69.6pt;z-index:251734016;mso-width-relative:page;mso-height-relative:page;" filled="f" stroked="f" coordsize="21600,21600" o:gfxdata="UEsDBAoAAAAAAIdO4kAAAAAAAAAAAAAAAAAEAAAAZHJzL1BLAwQUAAAACACHTuJA8F2a+tkAAAAL&#10;AQAADwAAAGRycy9kb3ducmV2LnhtbE2Py07DMBBF90j8gzVI7KjzatyGOBVCorAlsOluGps4Ih5H&#10;sZu2f49ZwXJ0j+49U+8udmSLnv3gSEK6SoBp6pwaqJfw+fHysAHmA5LC0ZGWcNUeds3tTY2Vcmd6&#10;10sbehZLyFcowYQwVZz7zmiLfuUmTTH7crPFEM+552rGcyy3I8+SpOQWB4oLBif9bHT33Z6shKV4&#10;uu4P4rUvcvVmEr8fUsxbKe/v0uQRWNCX8AfDr35UhyY6Hd2JlGejhDLdFhGVUAiRA4uEWG9KYEcJ&#10;60xkwJua//+h+QFQSwMEFAAAAAgAh07iQEnnMt4oAgAAJAQAAA4AAABkcnMvZTJvRG9jLnhtbK1T&#10;zY7TMBC+I/EOlu80Tbe/UdPVaqtFSAtUWngA13GaiMRjxm6TcuKGeAZuHHkHeJuV4C0YO91ud7ns&#10;gYtlz3i++b7P4/l5W1dsp9CWoFMe9/qcKS0hK/Um5e/fXb2Ycmad0JmoQKuU75Xl54vnz+aNSdQA&#10;CqgyhYxAtE0ak/LCOZNEkZWFqoXtgVGakjlgLRwdcRNlKBpCr6to0O+PowYwMwhSWUvRZZfkB0R8&#10;CiDkeSnVEuS2Vtp1qKgq4UiSLUpj+SKwzXMl3ds8t8qxKuWk1IWVmtB+7ddoMRfJBoUpSnmgIJ5C&#10;4ZGmWpSamh6hlsIJtsXyH6i6lAgWcteTUEedkOAIqYj7j7y5KYRRQQtZbc3RdPv/YOWb3QpZmaV8&#10;MImns8loPOJMi5oe/veXH38+f7399uv253cWz2ZDb1ZjbEI1N2aFXq411yA/WKbhshB6oy4QoSmU&#10;yIhi7O9HDwr8wVIpWzevIaMeYusg+NbmWHtAcoS14Xn2x+dRrWOSgtPp2WxADycpdRaPp0TVdxDJ&#10;XbFB614qqJnfpDyvoCFa6FbdtIVGYndtXVd2d9331XBVVhXFRVLpBwHC95EgxHPvPHDtuqXbXtAa&#10;sj1JQuiGi74WbQrAT5w1NFgptx+3AhVn1StNtszi4dBPYjgMRxOvCE8z69OM0JKgUu4467aXrpve&#10;rcFyU1CnOMjScEFW5mWQds/qwJuGJxh1GHQ/nafncOv+cy/+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PBdmvrZAAAACwEAAA8AAAAAAAAAAQAgAAAAIgAAAGRycy9kb3ducmV2LnhtbFBLAQIUABQA&#10;AAAIAIdO4kBJ5zLeKAIAACQEAAAOAAAAAAAAAAEAIAAAACgBAABkcnMvZTJvRG9jLnhtbFBLBQYA&#10;AAAABgAGAFkBAADCBQAAAAA=&#10;">
                <v:fill on="f" focussize="0,0"/>
                <v:stroke on="f"/>
                <v:imagedata o:title=""/>
                <o:lock v:ext="edit" aspectratio="f"/>
                <v:textbox>
                  <w:txbxContent>
                    <w:p w14:paraId="3E1A0701">
                      <w:pPr>
                        <w:jc w:val="center"/>
                      </w:pPr>
                      <w:r>
                        <w:rPr>
                          <w:rFonts w:hint="eastAsia"/>
                          <w:lang w:eastAsia="zh-CN"/>
                        </w:rPr>
                        <w:t>D2</w:t>
                      </w: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36064" behindDoc="0" locked="0" layoutInCell="1" allowOverlap="1">
                <wp:simplePos x="0" y="0"/>
                <wp:positionH relativeFrom="column">
                  <wp:posOffset>3977640</wp:posOffset>
                </wp:positionH>
                <wp:positionV relativeFrom="paragraph">
                  <wp:posOffset>3044190</wp:posOffset>
                </wp:positionV>
                <wp:extent cx="237490" cy="249555"/>
                <wp:effectExtent l="19685" t="23495" r="19050" b="12700"/>
                <wp:wrapNone/>
                <wp:docPr id="504083703" name="自选图形 1996"/>
                <wp:cNvGraphicFramePr/>
                <a:graphic xmlns:a="http://schemas.openxmlformats.org/drawingml/2006/main">
                  <a:graphicData uri="http://schemas.microsoft.com/office/word/2010/wordprocessingShape">
                    <wps:wsp>
                      <wps:cNvSpPr>
                        <a:spLocks noChangeArrowheads="1"/>
                      </wps:cNvSpPr>
                      <wps:spPr bwMode="auto">
                        <a:xfrm>
                          <a:off x="0" y="0"/>
                          <a:ext cx="237490" cy="249555"/>
                        </a:xfrm>
                        <a:prstGeom prst="triangle">
                          <a:avLst>
                            <a:gd name="adj" fmla="val 50000"/>
                          </a:avLst>
                        </a:prstGeom>
                        <a:solidFill>
                          <a:srgbClr val="00B0F0"/>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自选图形 1996" o:spid="_x0000_s1026" o:spt="5" type="#_x0000_t5" style="position:absolute;left:0pt;margin-left:313.2pt;margin-top:239.7pt;height:19.65pt;width:18.7pt;z-index:251736064;mso-width-relative:page;mso-height-relative:page;" fillcolor="#00B0F0" filled="t" stroked="t" coordsize="21600,21600" o:gfxdata="UEsDBAoAAAAAAIdO4kAAAAAAAAAAAAAAAAAEAAAAZHJzL1BLAwQUAAAACACHTuJAVfF3ztsAAAAL&#10;AQAADwAAAGRycy9kb3ducmV2LnhtbE2PTU/DMAyG70j8h8hI3FjS0nZb13QHpB2AA2IgpN28xmsr&#10;mqRqsg/+PebEbrb86PXzVuuLHcSJptB7pyGZKRDkGm9612r4/Ng8LECEiM7g4B1p+KEA6/r2psLS&#10;+LN7p9M2toJDXChRQxfjWEoZmo4shpkfyfHt4CeLkdeplWbCM4fbQaZKFdJi7/hDhyM9ddR8b49W&#10;Ay7z1+e3r40KMntJd5kZc2N3Wt/fJWoFItIl/sPwp8/qULPT3h+dCWLQUKRFxqiGbL7kgYmieOQy&#10;ew15spiDrCt53aH+BVBLAwQUAAAACACHTuJA00JJ8V8CAACvBAAADgAAAGRycy9lMm9Eb2MueG1s&#10;rVTNbtNAEL4j8Q6rvRM7adw0Vp2qtApCKlCp8ACb9Tpe2D9mN3HCqTfEM3DjyDvA21SCt2C8dkpS&#10;Lj3gg7Xjmflmvm92fHq20YqsBXhpTUGHg5QSYbgtpVkW9N3b+bMTSnxgpmTKGlHQrfD0bPb0yWnj&#10;cjGytVWlAIIgxueNK2gdgsuTxPNaaOYH1gmDzsqCZgFNWCYlsAbRtUpGaXqcNBZKB5YL7/HrZeek&#10;PSI8BtBWleTi0vKVFiZ0qCAUC0jJ19J5OovdVpXg4U1VeRGIKigyDfGNRfC8aN/J7JTlS2Culrxv&#10;gT2mhQecNJMGi95DXbLAyArkP1BacrDeVmHArU46IlERZDFMH2hzUzMnIheU2rt70f3/g+Wv19dA&#10;ZFnQLB2nJ0eT9IgSwzQO/tfn779vv9x9/Xn34xsZTqfHrViN8znm3LhraOl6d2X5B0+MvaiZWYpz&#10;ANvUgpXY4rCNTw4SWsNjKlk0r2yJNdgq2KjbpgLdAqIiZBPHs70fj9gEwvHj6GgynuLgOLpG42mW&#10;ZbECy3fJDnx4Iawm7aGgAST2pFoFWc7WVz7ECZU9P1a+p6TSCue9ZopkKT49YB+csHwHGclaJcu5&#10;VCoasFxcKCCYio2mz9P5LtnvhylDmoJOs1EWuzjw+UOIvfoHYVoGXDgldUFP2phdHWV6eVtFu8ks&#10;bLlFdcF29xy3HA+1hU+UNHjHC+o/rhgIStRLgxOaDsfjdimiMc4mIzRg37PY9zDDEQplpaQ7XoRu&#10;kVYO5LLGSsPI0dhznGolw278XVd9s3iP8XSwKPt2jPr7n5n9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FXxd87bAAAACwEAAA8AAAAAAAAAAQAgAAAAIgAAAGRycy9kb3ducmV2LnhtbFBLAQIUABQA&#10;AAAIAIdO4kDTQknxXwIAAK8EAAAOAAAAAAAAAAEAIAAAACoBAABkcnMvZTJvRG9jLnhtbFBLBQYA&#10;AAAABgAGAFkBAAD7BQAAAAA=&#10;" adj="10800">
                <v:fill on="t" focussize="0,0"/>
                <v:stroke color="#000000" miterlimit="8" joinstyle="miter"/>
                <v:imagedata o:title=""/>
                <o:lock v:ext="edit" aspectratio="f"/>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71904" behindDoc="0" locked="0" layoutInCell="1" allowOverlap="1">
                <wp:simplePos x="0" y="0"/>
                <wp:positionH relativeFrom="column">
                  <wp:posOffset>-316865</wp:posOffset>
                </wp:positionH>
                <wp:positionV relativeFrom="paragraph">
                  <wp:posOffset>1061085</wp:posOffset>
                </wp:positionV>
                <wp:extent cx="2473325" cy="365760"/>
                <wp:effectExtent l="653733" t="0" r="695007" b="0"/>
                <wp:wrapNone/>
                <wp:docPr id="1050541229" name="自选图形 5219"/>
                <wp:cNvGraphicFramePr/>
                <a:graphic xmlns:a="http://schemas.openxmlformats.org/drawingml/2006/main">
                  <a:graphicData uri="http://schemas.microsoft.com/office/word/2010/wordprocessingShape">
                    <wps:wsp>
                      <wps:cNvSpPr>
                        <a:spLocks noChangeArrowheads="1"/>
                      </wps:cNvSpPr>
                      <wps:spPr bwMode="auto">
                        <a:xfrm rot="2801906">
                          <a:off x="0" y="0"/>
                          <a:ext cx="2473325" cy="365760"/>
                        </a:xfrm>
                        <a:prstGeom prst="rightArrow">
                          <a:avLst>
                            <a:gd name="adj1" fmla="val 50000"/>
                            <a:gd name="adj2" fmla="val 169054"/>
                          </a:avLst>
                        </a:prstGeom>
                        <a:solidFill>
                          <a:srgbClr val="00B0F0"/>
                        </a:solidFill>
                        <a:ln w="9525">
                          <a:solidFill>
                            <a:srgbClr val="00B0F0"/>
                          </a:solidFill>
                          <a:miter lim="800000"/>
                        </a:ln>
                      </wps:spPr>
                      <wps:bodyPr rot="0" vert="horz" wrap="square" lIns="91440" tIns="45720" rIns="91440" bIns="45720" anchor="t" anchorCtr="0" upright="1">
                        <a:noAutofit/>
                      </wps:bodyPr>
                    </wps:wsp>
                  </a:graphicData>
                </a:graphic>
              </wp:anchor>
            </w:drawing>
          </mc:Choice>
          <mc:Fallback>
            <w:pict>
              <v:shape id="自选图形 5219" o:spid="_x0000_s1026" o:spt="13" type="#_x0000_t13" style="position:absolute;left:0pt;margin-left:-24.95pt;margin-top:83.55pt;height:28.8pt;width:194.75pt;rotation:3060429f;z-index:251771904;mso-width-relative:page;mso-height-relative:page;" fillcolor="#00B0F0" filled="t" stroked="t" coordsize="21600,21600" o:gfxdata="UEsDBAoAAAAAAIdO4kAAAAAAAAAAAAAAAAAEAAAAZHJzL1BLAwQUAAAACACHTuJAt/ivDtgAAAAL&#10;AQAADwAAAGRycy9kb3ducmV2LnhtbE2Py07DMBBF90j8gzVI7Fo7aZWQEKcSRGXHgsAHuMk0DsTj&#10;KHYf/D3DCpaje3TvmWp3dZM44xJGTxqStQKB1Pl+pEHDx/t+9QAiREO9mTyhhm8MsKtvbypT9v5C&#10;b3hu4yC4hEJpNNgY51LK0Fl0Jqz9jMTZ0S/ORD6XQfaLuXC5m2SqVCadGYkXrJnx2WL31Z6cBnxV&#10;FvcZvhTtmH82x6emTYdG6/u7RD2CiHiNfzD86rM61Ox08Cfqg5g0rLZFwSgHWZ6AYGKzKTIQBw1p&#10;us1B1pX8/0P9A1BLAwQUAAAACACHTuJA66MSXXECAADnBAAADgAAAGRycy9lMm9Eb2MueG1srVTL&#10;bhMxFN0j8Q+W93QeyaTNqJOqJCpCKlCp8AGOx5Mx+IXtZFJW7BDfwI4l/wB/Uwn+gmvPJKRlUyFm&#10;MfL14/iec+716dlWCrRh1nGtKpwdpRgxRXXN1arCb15fPDnByHmiaiK0YhW+YQ6fzR4/Ou1MyXLd&#10;alEziwBEubIzFW69N2WSONoySdyRNkzBYqOtJB5Cu0pqSzpAlyLJ03SSdNrWxmrKnIPZRb+IB0T7&#10;EEDdNJyyhaZryZTvUS0TxAMl13Lj8Cxm2zSM+ldN45hHosLA1Mc/XALjZfgns1NSriwxLadDCuQh&#10;KdzjJAlXcOkeakE8QWvL/4KSnFrtdOOPqJZJTyQqAiyy9J421y0xLHIBqZ3Zi+7+Hyx9ubmyiNdQ&#10;CWmRFuMsz6cYKSLB+Z+fvv36+Pn2y4/b719RkWfToFZnXAmHrs2VDXydudT0nUNKz1uiVuzcWt21&#10;jNSQYxb2J3cOhMDBUbTsXuga7iBrr6Nw28ZKZDUYlJ+k2TSdxFkQCG2jWzd7t9jWIwqT+fh4NMoL&#10;jCisjSbF8STamZAyYIXkjHX+GdMShUGFLV+1PiYYscnm0vnoWT0QJvXbDKNGCiiBDRGoSOEbSuRg&#10;T364J5tMQbbIlJQDJKSwuzpqpAWvL7gQMbCr5VxYBPjAKH2aXuyydofbhEJdhacF8PtXCMk9NKrg&#10;ssIngcjuHqEGV4IRvaFLXd+AKVF+6Ax4HUCuVtsPGHXQGxV279fEMozEcwXGTrPxODRTDMbFcQ6B&#10;PVxZHq4QRQGqwh6jfjj3fQOuTXQkFErgqPQ5FEPD/a5q+qyGZKH+YXSnwQ7juOvP+zT7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Lf4rw7YAAAACwEAAA8AAAAAAAAAAQAgAAAAIgAAAGRycy9kb3du&#10;cmV2LnhtbFBLAQIUABQAAAAIAIdO4kDroxJdcQIAAOcEAAAOAAAAAAAAAAEAIAAAACcBAABkcnMv&#10;ZTJvRG9jLnhtbFBLBQYAAAAABgAGAFkBAAAKBgAAAAA=&#10;" adj="16200,5400">
                <v:fill on="t" focussize="0,0"/>
                <v:stroke color="#00B0F0" miterlimit="8" joinstyle="miter"/>
                <v:imagedata o:title=""/>
                <o:lock v:ext="edit" aspectratio="f"/>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72928" behindDoc="0" locked="0" layoutInCell="1" allowOverlap="1">
                <wp:simplePos x="0" y="0"/>
                <wp:positionH relativeFrom="column">
                  <wp:posOffset>-368300</wp:posOffset>
                </wp:positionH>
                <wp:positionV relativeFrom="paragraph">
                  <wp:posOffset>1113155</wp:posOffset>
                </wp:positionV>
                <wp:extent cx="1285875" cy="338455"/>
                <wp:effectExtent l="0" t="0" r="1270" b="4445"/>
                <wp:wrapNone/>
                <wp:docPr id="1179859483" name="自选图形 2308"/>
                <wp:cNvGraphicFramePr/>
                <a:graphic xmlns:a="http://schemas.openxmlformats.org/drawingml/2006/main">
                  <a:graphicData uri="http://schemas.microsoft.com/office/word/2010/wordprocessingShape">
                    <wps:wsp>
                      <wps:cNvSpPr>
                        <a:spLocks noChangeArrowheads="1"/>
                      </wps:cNvSpPr>
                      <wps:spPr bwMode="auto">
                        <a:xfrm>
                          <a:off x="0" y="0"/>
                          <a:ext cx="1285875" cy="338455"/>
                        </a:xfrm>
                        <a:prstGeom prst="flowChartProcess">
                          <a:avLst/>
                        </a:prstGeom>
                        <a:noFill/>
                        <a:ln>
                          <a:noFill/>
                        </a:ln>
                      </wps:spPr>
                      <wps:txbx>
                        <w:txbxContent>
                          <w:p w14:paraId="2B17EB23">
                            <w:pPr>
                              <w:jc w:val="center"/>
                              <w:rPr>
                                <w:b/>
                                <w:bCs/>
                                <w:lang w:eastAsia="zh-CN"/>
                              </w:rPr>
                            </w:pPr>
                            <w:r>
                              <w:rPr>
                                <w:rFonts w:hint="eastAsia"/>
                                <w:b/>
                                <w:bCs/>
                                <w:lang w:eastAsia="zh-CN"/>
                              </w:rPr>
                              <w:t>地下水水流方向</w:t>
                            </w:r>
                          </w:p>
                        </w:txbxContent>
                      </wps:txbx>
                      <wps:bodyPr rot="0" vert="horz" wrap="square" lIns="91440" tIns="45720" rIns="91440" bIns="45720" anchor="t" anchorCtr="0" upright="1">
                        <a:noAutofit/>
                      </wps:bodyPr>
                    </wps:wsp>
                  </a:graphicData>
                </a:graphic>
              </wp:anchor>
            </w:drawing>
          </mc:Choice>
          <mc:Fallback>
            <w:pict>
              <v:shape id="自选图形 2308" o:spid="_x0000_s1026" o:spt="109" type="#_x0000_t109" style="position:absolute;left:0pt;margin-left:-29pt;margin-top:87.65pt;height:26.65pt;width:101.25pt;z-index:251772928;mso-width-relative:page;mso-height-relative:page;" filled="f" stroked="f" coordsize="21600,21600" o:gfxdata="UEsDBAoAAAAAAIdO4kAAAAAAAAAAAAAAAAAEAAAAZHJzL1BLAwQUAAAACACHTuJA2xVlnNgAAAAL&#10;AQAADwAAAGRycy9kb3ducmV2LnhtbE2PzU7DMBCE70i8g7VI3Fo7f20U4lQIicKVlAu3bbzEEbEd&#10;xW7avj3uCY6jGc18U+8uZmQLzX5wVkKyFsDIdk4NtpfweXhdlcB8QKtwdJYkXMnDrrm/q7FS7mw/&#10;aGlDz2KJ9RVK0CFMFee+02TQr91ENnrfbjYYopx7rmY8x3Iz8lSIDTc42LigcaIXTd1PezISlvz5&#10;uv/avvV5pt618PshwayV8vEhEU/AAl3CXxhu+BEdmsh0dCerPBslrIoyfgnR2BYZsFsizwtgRwlp&#10;Wm6ANzX//6H5BVBLAwQUAAAACACHTuJAmvBNqyoCAAAmBAAADgAAAGRycy9lMm9Eb2MueG1srVNB&#10;jtMwFN0jcQfLe5qmbZg0ajoaTTUIaYBKAwdwHaeJSPzNt9u0rNghzsCOJXeA24wEt+Db6ZTOsJkF&#10;m8jf337/veeX2fmubdhWoa1B5zweDDlTWkJR63XO3729epZyZp3QhWhAq5zvleXn86dPZp3J1Agq&#10;aAqFjEC0zTqT88o5k0WRlZVqhR2AUZqaJWArHJW4jgoUHaG3TTQaDp9HHWBhEKSylnYXfZMfEPEx&#10;gFCWtVQLkJtWadejomqEI0m2qo3l88C2LJV0b8rSKseanJNSF740hNYr/43mM5GtUZiqlgcK4jEU&#10;HmhqRa1p6BFqIZxgG6z/gWpriWChdAMJbdQLCY6Qinj4wJubShgVtJDV1hxNt/8PVr7eLpHVBSUh&#10;PpumyXSSjjnToqWX//X5++9PX26//rz98Y2NxsPUu9UZm9GlG7NEr9eaa5DvLdNwWQm9VheI0FVK&#10;FMQx9uejexd8YekqW3WvoKAZYuMgGLcrsfWAZAnbhffZH99H7RyTtBmP0iQ9SziT1BuP00mShBEi&#10;u7tt0LoXClrmFzkvG+iIF7pln7cwSWyvrfPMRHZ33A/WcFU3TchDo+9t0EG/E5R48r0JbrfaHfxY&#10;QbEnTQh9vOjnokUF+JGzjqKVc/thI1Bx1rzU5Ms0nkx8FkMxSc5GVOBpZ3XaEVoSVM4dZ/3y0vX5&#10;3Ris1xVNioMsDRfkZVkHad7nntWBN8UnKD5E3efztA6n/v7e8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bFWWc2AAAAAsBAAAPAAAAAAAAAAEAIAAAACIAAABkcnMvZG93bnJldi54bWxQSwECFAAU&#10;AAAACACHTuJAmvBNqyoCAAAmBAAADgAAAAAAAAABACAAAAAnAQAAZHJzL2Uyb0RvYy54bWxQSwUG&#10;AAAAAAYABgBZAQAAwwUAAAAA&#10;">
                <v:fill on="f" focussize="0,0"/>
                <v:stroke on="f"/>
                <v:imagedata o:title=""/>
                <o:lock v:ext="edit" aspectratio="f"/>
                <v:textbox>
                  <w:txbxContent>
                    <w:p w14:paraId="2B17EB23">
                      <w:pPr>
                        <w:jc w:val="center"/>
                        <w:rPr>
                          <w:b/>
                          <w:bCs/>
                          <w:lang w:eastAsia="zh-CN"/>
                        </w:rPr>
                      </w:pPr>
                      <w:r>
                        <w:rPr>
                          <w:rFonts w:hint="eastAsia"/>
                          <w:b/>
                          <w:bCs/>
                          <w:lang w:eastAsia="zh-CN"/>
                        </w:rPr>
                        <w:t>地下水水流方向</w:t>
                      </w: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939840" behindDoc="0" locked="0" layoutInCell="1" allowOverlap="1">
                <wp:simplePos x="0" y="0"/>
                <wp:positionH relativeFrom="column">
                  <wp:posOffset>1765935</wp:posOffset>
                </wp:positionH>
                <wp:positionV relativeFrom="paragraph">
                  <wp:posOffset>3570605</wp:posOffset>
                </wp:positionV>
                <wp:extent cx="1314450" cy="1885950"/>
                <wp:effectExtent l="19050" t="19050" r="19050" b="19050"/>
                <wp:wrapNone/>
                <wp:docPr id="581297580" name="矩形 624"/>
                <wp:cNvGraphicFramePr/>
                <a:graphic xmlns:a="http://schemas.openxmlformats.org/drawingml/2006/main">
                  <a:graphicData uri="http://schemas.microsoft.com/office/word/2010/wordprocessingShape">
                    <wps:wsp>
                      <wps:cNvSpPr/>
                      <wps:spPr>
                        <a:xfrm>
                          <a:off x="0" y="0"/>
                          <a:ext cx="1314450" cy="18859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624" o:spid="_x0000_s1026" o:spt="1" style="position:absolute;left:0pt;margin-left:139.05pt;margin-top:281.15pt;height:148.5pt;width:103.5pt;z-index:251939840;v-text-anchor:middle;mso-width-relative:page;mso-height-relative:page;" filled="f" stroked="t" coordsize="21600,21600" o:gfxdata="UEsDBAoAAAAAAIdO4kAAAAAAAAAAAAAAAAAEAAAAZHJzL1BLAwQUAAAACACHTuJAOZbO/9wAAAAL&#10;AQAADwAAAGRycy9kb3ducmV2LnhtbE2Py07DMBBF90j8gzVI7KiTlKQhxOmiEuK1olQCdk4yTQLx&#10;ONjuA76eYQXLmbk6c265PJpR7NH5wZKCeBaBQGpsO1CnYPN8c5GD8EFTq0dLqOALPSyr05NSF609&#10;0BPu16ETDCFfaAV9CFMhpW96NNrP7ITEt611RgceXSdbpw8MN6NMoiiTRg/EH3o94arH5mO9MwrS&#10;ly6p394f7tPt6+oxvhsy9337qdT5WRxdgwh4DH9h+NVndajYqbY7ar0YFSSLPOYow7JkDoITl3nK&#10;m1pBnl7NQVal/N+h+gFQSwMEFAAAAAgAh07iQKVrEWd0AgAA1gQAAA4AAABkcnMvZTJvRG9jLnht&#10;bK1US27bMBDdF+gdCO4bWY6dKELkwLDhokDQBEiLrmmKsgjwV5L+pJcp0F0P0eMUvUYfJcVJ0y6y&#10;6Eaa4QzfcB7f8PLqoBXZCR+kNRXNT0aUCMNtLc2moh8/rN4UlITITM2UNaKi9yLQq9nrV5d7V4qx&#10;ba2qhScAMaHcu4q2MboyywJvhWbhxDphEGys1yzC9Zus9mwPdK2y8Wh0lu2tr523XISA1WUfpAOi&#10;fwmgbRrJxdLyrRYm9qheKBbRUmilC3TWnbZpBI83TRNEJKqi6DR2XxSBvU7fbHbJyo1nrpV8OAJ7&#10;yRGe9aSZNCh6hFqyyMjWy7+gtOTeBtvEE2511jfSMYIu8tEzbu5a5kTXC6gO7kh6+H+w/P3u1hNZ&#10;V3Ra5OOL82kBZgzTuPhfX7///PGNnI0niaW9CyWS79ytH7wAM7V8aLxOfzRDDh2z90dmxSESjsX8&#10;NJ9MpoDmiOVFMb2AA5zscbvzIb4VVpNkVNTj6jpG2e46xD71ISVVM3YllcI6K5Uh+4qeFvkoFWDQ&#10;ZAMtwNQOfQWzoYSpDcTOo+8gg1WyTtvT7uA364XyZMcgkdVqMQJKX+6PtFR7yULb53WhlMZKLSPm&#10;QUld0QJ7j7uVQXuJtZ6nZK1tfQ+2ve1lGBxfScBesxBvmYfucH5MZrzBp1EWTdnBoqS1/su/1lM+&#10;5IAoJXvoGA1/3jIvKFHvDIRyAeIBGztnMj0fw/FPI+unEbPVCwsecrwBjndmyo/qwWy81Z8wwPNU&#10;FSFmOGr31A7OIvbzhSeAi/m8S4PYHYvX5s7xBN5f4HwbbSO7u31kZyANcu/UMYxmmqenfpf1+BzN&#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5ls7/3AAAAAsBAAAPAAAAAAAAAAEAIAAAACIAAABk&#10;cnMvZG93bnJldi54bWxQSwECFAAUAAAACACHTuJApWsRZ3QCAADWBAAADgAAAAAAAAABACAAAAAr&#10;AQAAZHJzL2Uyb0RvYy54bWxQSwUGAAAAAAYABgBZAQAAEQYAAAAA&#10;">
                <v:fill on="f" focussize="0,0"/>
                <v:stroke weight="3pt" color="#FFC000 [3204]" miterlimit="8" joinstyle="miter"/>
                <v:imagedata o:title=""/>
                <o:lock v:ext="edit" aspectratio="f"/>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38112" behindDoc="0" locked="0" layoutInCell="1" allowOverlap="1">
                <wp:simplePos x="0" y="0"/>
                <wp:positionH relativeFrom="column">
                  <wp:posOffset>5253355</wp:posOffset>
                </wp:positionH>
                <wp:positionV relativeFrom="paragraph">
                  <wp:posOffset>4303395</wp:posOffset>
                </wp:positionV>
                <wp:extent cx="237490" cy="249555"/>
                <wp:effectExtent l="14605" t="24130" r="14605" b="12065"/>
                <wp:wrapNone/>
                <wp:docPr id="1841926502" name="自选图形 1998"/>
                <wp:cNvGraphicFramePr/>
                <a:graphic xmlns:a="http://schemas.openxmlformats.org/drawingml/2006/main">
                  <a:graphicData uri="http://schemas.microsoft.com/office/word/2010/wordprocessingShape">
                    <wps:wsp>
                      <wps:cNvSpPr>
                        <a:spLocks noChangeArrowheads="1"/>
                      </wps:cNvSpPr>
                      <wps:spPr bwMode="auto">
                        <a:xfrm>
                          <a:off x="0" y="0"/>
                          <a:ext cx="237490" cy="249555"/>
                        </a:xfrm>
                        <a:prstGeom prst="triangle">
                          <a:avLst>
                            <a:gd name="adj" fmla="val 50000"/>
                          </a:avLst>
                        </a:prstGeom>
                        <a:solidFill>
                          <a:srgbClr val="00B0F0"/>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自选图形 1998" o:spid="_x0000_s1026" o:spt="5" type="#_x0000_t5" style="position:absolute;left:0pt;margin-left:413.65pt;margin-top:338.85pt;height:19.65pt;width:18.7pt;z-index:251738112;mso-width-relative:page;mso-height-relative:page;" fillcolor="#00B0F0" filled="t" stroked="t" coordsize="21600,21600" o:gfxdata="UEsDBAoAAAAAAIdO4kAAAAAAAAAAAAAAAAAEAAAAZHJzL1BLAwQUAAAACACHTuJAC06gdtoAAAAL&#10;AQAADwAAAGRycy9kb3ducmV2LnhtbE2PTU/DMAyG70j8h8hI3FjS0jWl1N0BaQfggBgIaTevMe1E&#10;k1RN9sG/J5zgZsuPXj9vszrbURx5DnvvELKFAsGu82bveoT3t/VNBSJEcoZG7xjhmwOs2suLhmrj&#10;T+6Vj5vYixTiQk0IQ4xTLWXoBrYUFn5il26ffrYU0zr30sx0SuF2lLlSpbS0d+nDQBM/DNx9bQ4W&#10;ge6Wz48vH2sVZPGUbwszLY3dIl5fZeoeRORz/IPhVz+pQ5ucdv7gTBAjQpXr24QilFprEImoyiIN&#10;OwSdaQWybeT/Du0PUEsDBBQAAAAIAIdO4kCsuiRgXwIAALAEAAAOAAAAZHJzL2Uyb0RvYy54bWyt&#10;VM1u1DAQviPxDpbvND9s2t2o2aq0KkIqUKnwAF7H2Rj8x9i72XLihngGbhx5B3ibSvAWTJxs2S2X&#10;Hsgh8mRmvpnvG0+OTzZakbUAL62paHaQUiIMt7U0y4q+fXPxZEqJD8zUTFkjKnojPD2ZP3503LlS&#10;5La1qhZAEMT4snMVbUNwZZJ43grN/IF1wqCzsaBZQBOWSQ2sQ3StkjxND5POQu3AcuE9fj0fnHRE&#10;hIcA2qaRXJxbvtLChAEVhGIBKflWOk/nsdumETy8bhovAlEVRaYhvrEInhf9O5kfs3IJzLWSjy2w&#10;h7Rwj5Nm0mDRO6hzFhhZgfwHSksO1tsmHHCrk4FIVARZZOk9ba5b5kTkglJ7dye6/3+w/NX6Cois&#10;8SZMJ9ksPyzSnBLDNE7+1+fvvz99uf368/bHN5LNZtNerc75EpOu3RX0fL27tPy9J8aetcwsxSmA&#10;7VrBauwx6+OTvYTe8JhKFt1LW2MNtgo2CrdpQPeAKAnZxPnc3M1HbALh+DF/ejSZ4eQ4uvLJrCiK&#10;WIGV22QHPjwXVpP+UNEAEntSvYSsZOtLH+KI6pEfq99R0miFA18zRYoUnxFwDE5YuYWMZK2S9YVU&#10;KhqwXJwpIJiKjabP0ottst8NU4Z0FZ0VeRG72PP5fYid+nthWgbcOCV1Rad9zLaOMqO8vaLDZBa2&#10;vkF1wQ4XHdccD62Fj5R0eMkr6j+sGAhK1AuDE5plk0m/FdGYFEc5GrDrWex6mOEIhbJSMhzPwrBJ&#10;Kwdy2WKlLHI09hSn2siwHf/Q1dgsXmQ87W3Krh2j/v5o5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C06gdtoAAAALAQAADwAAAAAAAAABACAAAAAiAAAAZHJzL2Rvd25yZXYueG1sUEsBAhQAFAAA&#10;AAgAh07iQKy6JGBfAgAAsAQAAA4AAAAAAAAAAQAgAAAAKQEAAGRycy9lMm9Eb2MueG1sUEsFBgAA&#10;AAAGAAYAWQEAAPoFAAAAAA==&#10;" adj="10800">
                <v:fill on="t" focussize="0,0"/>
                <v:stroke color="#000000" miterlimit="8" joinstyle="miter"/>
                <v:imagedata o:title=""/>
                <o:lock v:ext="edit" aspectratio="f"/>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739136" behindDoc="0" locked="0" layoutInCell="1" allowOverlap="1">
                <wp:simplePos x="0" y="0"/>
                <wp:positionH relativeFrom="column">
                  <wp:posOffset>5518785</wp:posOffset>
                </wp:positionH>
                <wp:positionV relativeFrom="paragraph">
                  <wp:posOffset>4142105</wp:posOffset>
                </wp:positionV>
                <wp:extent cx="1114425" cy="540385"/>
                <wp:effectExtent l="0" t="0" r="0" b="0"/>
                <wp:wrapNone/>
                <wp:docPr id="1417863827" name="自选图形 1999"/>
                <wp:cNvGraphicFramePr/>
                <a:graphic xmlns:a="http://schemas.openxmlformats.org/drawingml/2006/main">
                  <a:graphicData uri="http://schemas.microsoft.com/office/word/2010/wordprocessingShape">
                    <wps:wsp>
                      <wps:cNvSpPr>
                        <a:spLocks noChangeArrowheads="1"/>
                      </wps:cNvSpPr>
                      <wps:spPr bwMode="auto">
                        <a:xfrm>
                          <a:off x="0" y="0"/>
                          <a:ext cx="1114425" cy="540385"/>
                        </a:xfrm>
                        <a:prstGeom prst="flowChartProcess">
                          <a:avLst/>
                        </a:prstGeom>
                        <a:noFill/>
                        <a:ln>
                          <a:noFill/>
                        </a:ln>
                      </wps:spPr>
                      <wps:txbx>
                        <w:txbxContent>
                          <w:p w14:paraId="68390F5C">
                            <w:pPr>
                              <w:jc w:val="center"/>
                              <w:rPr>
                                <w:lang w:eastAsia="zh-CN"/>
                              </w:rPr>
                            </w:pPr>
                            <w:r>
                              <w:rPr>
                                <w:rFonts w:hint="eastAsia"/>
                                <w:lang w:eastAsia="zh-CN"/>
                              </w:rPr>
                              <w:t>地下水</w:t>
                            </w:r>
                          </w:p>
                          <w:p w14:paraId="4C2B6829">
                            <w:pPr>
                              <w:jc w:val="center"/>
                            </w:pPr>
                            <w:r>
                              <w:rPr>
                                <w:rFonts w:hint="eastAsia"/>
                                <w:lang w:eastAsia="zh-CN"/>
                              </w:rPr>
                              <w:t>跟踪检测井</w:t>
                            </w:r>
                          </w:p>
                        </w:txbxContent>
                      </wps:txbx>
                      <wps:bodyPr rot="0" vert="horz" wrap="square" lIns="91440" tIns="45720" rIns="91440" bIns="45720" anchor="t" anchorCtr="0" upright="1">
                        <a:noAutofit/>
                      </wps:bodyPr>
                    </wps:wsp>
                  </a:graphicData>
                </a:graphic>
              </wp:anchor>
            </w:drawing>
          </mc:Choice>
          <mc:Fallback>
            <w:pict>
              <v:shape id="自选图形 1999" o:spid="_x0000_s1026" o:spt="109" type="#_x0000_t109" style="position:absolute;left:0pt;margin-left:434.55pt;margin-top:326.15pt;height:42.55pt;width:87.75pt;z-index:251739136;mso-width-relative:page;mso-height-relative:page;" filled="f" stroked="f" coordsize="21600,21600" o:gfxdata="UEsDBAoAAAAAAIdO4kAAAAAAAAAAAAAAAAAEAAAAZHJzL1BLAwQUAAAACACHTuJAEwuFztkAAAAM&#10;AQAADwAAAGRycy9kb3ducmV2LnhtbE2PwU7DMBBE70j8g7VI3KidxiQlxKkQEoUrgQu3bWziiHgd&#10;xW7a/j3uCY6reZp5W29PbmSLmcPgSUG2EsAMdV4P1Cv4/Hi52wALEUnj6MkoOJsA2+b6qsZK+yO9&#10;m6WNPUslFCpUYGOcKs5DZ43DsPKToZR9+9lhTOfccz3jMZW7ka+FKLjDgdKCxck8W9P9tAenYJFP&#10;591X+drLXL9ZEXZDhnmr1O1NJh6BRXOKfzBc9JM6NMlp7w+kAxsVbIqHLKEKivt1DuxCCCkLYHsF&#10;ZV5K4E3N/z/R/AJQSwMEFAAAAAgAh07iQAc70ZgqAgAAJgQAAA4AAABkcnMvZTJvRG9jLnhtbK1T&#10;QW4TMRTdI3EHy3symTRpk1EmVdWoCKlApMIBHI8nYzHjb76dTMKKHeoZ2LHkDnCbSnALvj1pSMum&#10;CzYjf3/7/fee30zPt03NNgqdBpPztNfnTBkJhTarnL9/d/VizJnzwhSiBqNyvlOOn8+eP5u2NlMD&#10;qKAuFDICMS5rbc4r722WJE5WqhGuB1YZapaAjfBU4iopULSE3tTJoN8/TVrAwiJI5Rztzrsm3yPi&#10;UwChLLVUc5DrRhnfoaKqhSdJrtLW8VlkW5ZK+rdl6ZRndc5JqY9fGkLrZfgms6nIVihspeWegngK&#10;hUeaGqENDT1AzYUXbI36H6hGSwQHpe9JaJJOSHSEVKT9R97cVMKqqIWsdvZguvt/sPLNZoFMF5SE&#10;YXo2Pj0ZD844M6Khl//15fvvz7d3X3/e/fjG0slkEtxqrcvo0o1dYNDr7DXID44ZuKyEWakLRGgr&#10;JQrimIbzyYMLoXB0lS3b11DQDLH2EI3bltgEQLKEbeP77A7vo7aeSdpM03Q4HIw4k9QbDfsn41Ec&#10;IbL72xadf6mgYWGR87KGlnihX3R5i5PE5tr5wExk98fDYANXuq5jHmrzYIMOhp2oJJDvTPDb5Xbv&#10;xxKKHWlC6OJFPxctKsBPnLUUrZy7j2uBirP6lSFfJqQiZDEWw9HZgAo87iyPO8JIgsq556xbXvou&#10;v2uLelXRpDTKMnBBXpY6Sgs+d6z2vCk+UfE+6iGfx3U89ff3nv0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EwuFztkAAAAMAQAADwAAAAAAAAABACAAAAAiAAAAZHJzL2Rvd25yZXYueG1sUEsBAhQA&#10;FAAAAAgAh07iQAc70ZgqAgAAJgQAAA4AAAAAAAAAAQAgAAAAKAEAAGRycy9lMm9Eb2MueG1sUEsF&#10;BgAAAAAGAAYAWQEAAMQFAAAAAA==&#10;">
                <v:fill on="f" focussize="0,0"/>
                <v:stroke on="f"/>
                <v:imagedata o:title=""/>
                <o:lock v:ext="edit" aspectratio="f"/>
                <v:textbox>
                  <w:txbxContent>
                    <w:p w14:paraId="68390F5C">
                      <w:pPr>
                        <w:jc w:val="center"/>
                        <w:rPr>
                          <w:lang w:eastAsia="zh-CN"/>
                        </w:rPr>
                      </w:pPr>
                      <w:r>
                        <w:rPr>
                          <w:rFonts w:hint="eastAsia"/>
                          <w:lang w:eastAsia="zh-CN"/>
                        </w:rPr>
                        <w:t>地下水</w:t>
                      </w:r>
                    </w:p>
                    <w:p w14:paraId="4C2B6829">
                      <w:pPr>
                        <w:jc w:val="center"/>
                      </w:pPr>
                      <w:r>
                        <w:rPr>
                          <w:rFonts w:hint="eastAsia"/>
                          <w:lang w:eastAsia="zh-CN"/>
                        </w:rPr>
                        <w:t>跟踪检测井</w:t>
                      </w:r>
                    </w:p>
                  </w:txbxContent>
                </v:textbox>
              </v:shap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938816" behindDoc="0" locked="0" layoutInCell="1" allowOverlap="1">
                <wp:simplePos x="0" y="0"/>
                <wp:positionH relativeFrom="margin">
                  <wp:posOffset>5213985</wp:posOffset>
                </wp:positionH>
                <wp:positionV relativeFrom="paragraph">
                  <wp:posOffset>675005</wp:posOffset>
                </wp:positionV>
                <wp:extent cx="723900" cy="373380"/>
                <wp:effectExtent l="0" t="0" r="0" b="0"/>
                <wp:wrapNone/>
                <wp:docPr id="1824130432" name="矩形 1398"/>
                <wp:cNvGraphicFramePr/>
                <a:graphic xmlns:a="http://schemas.openxmlformats.org/drawingml/2006/main">
                  <a:graphicData uri="http://schemas.microsoft.com/office/word/2010/wordprocessingShape">
                    <wps:wsp>
                      <wps:cNvSpPr/>
                      <wps:spPr>
                        <a:xfrm>
                          <a:off x="0" y="0"/>
                          <a:ext cx="724205" cy="373075"/>
                        </a:xfrm>
                        <a:prstGeom prst="rect">
                          <a:avLst/>
                        </a:prstGeom>
                        <a:ln>
                          <a:noFill/>
                        </a:ln>
                      </wps:spPr>
                      <wps:style>
                        <a:lnRef idx="2">
                          <a:schemeClr val="accent4"/>
                        </a:lnRef>
                        <a:fillRef idx="0">
                          <a:srgbClr val="FFFFFF"/>
                        </a:fillRef>
                        <a:effectRef idx="0">
                          <a:srgbClr val="FFFFFF"/>
                        </a:effectRef>
                        <a:fontRef idx="minor">
                          <a:schemeClr val="tx1"/>
                        </a:fontRef>
                      </wps:style>
                      <wps:txbx>
                        <w:txbxContent>
                          <w:p w14:paraId="7EF56F86">
                            <w:pPr>
                              <w:jc w:val="center"/>
                              <w:rPr>
                                <w:rFonts w:ascii="Times New Roman" w:hAnsi="Times New Roman" w:cs="Times New Roman"/>
                                <w:b/>
                                <w:bCs/>
                                <w:color w:val="auto"/>
                                <w:szCs w:val="24"/>
                                <w:shd w:val="clear" w:color="auto" w:fill="FFFFFF" w:themeFill="background1"/>
                                <w:lang w:eastAsia="zh-CN"/>
                              </w:rPr>
                            </w:pPr>
                            <w:r>
                              <w:rPr>
                                <w:rFonts w:hint="eastAsia" w:ascii="Times New Roman" w:hAnsi="Times New Roman" w:cs="Times New Roman"/>
                                <w:b/>
                                <w:bCs/>
                                <w:color w:val="auto"/>
                                <w:szCs w:val="24"/>
                                <w:shd w:val="clear" w:color="auto" w:fill="FFFFFF" w:themeFill="background1"/>
                                <w:lang w:eastAsia="zh-CN"/>
                              </w:rPr>
                              <w:t>30m</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398" o:spid="_x0000_s1026" o:spt="1" style="position:absolute;left:0pt;margin-left:410.55pt;margin-top:53.15pt;height:29.4pt;width:57pt;mso-position-horizontal-relative:margin;z-index:251938816;v-text-anchor:middle;mso-width-relative:page;mso-height-relative:page;" filled="f" stroked="f" coordsize="21600,21600" o:gfxdata="UEsDBAoAAAAAAIdO4kAAAAAAAAAAAAAAAAAEAAAAZHJzL1BLAwQUAAAACACHTuJAbx6zvtgAAAAL&#10;AQAADwAAAGRycy9kb3ducmV2LnhtbE2PwU7DMBBE70j8g7WVuFE7rYhCiFMJJIRQD4gW7o7tJlHj&#10;dWQ7Sfv3LCe47c6MZt9Wu4sb2GxD7D1KyNYCmEXtTY+thK/j630BLCaFRg0erYSrjbCrb28qVRq/&#10;4KedD6llVIKxVBK6lMaS86g761Rc+9EieScfnEq0hpaboBYqdwPfCJFzp3qkC50a7Utn9fkwOQnf&#10;/vS8ON3g+3z96Ke3fdC62Et5t8rEE7BkL+kvDL/4hA41MTV+QhPZIKHYZBlFyRD5FhglHrcPpDSk&#10;5DTwuuL/f6h/AFBLAwQUAAAACACHTuJAKefrp2oCAAC4BAAADgAAAGRycy9lMm9Eb2MueG1srVRL&#10;btswEN0X6B0I7mvJsl07RuTAiJGiQNAESIuuaYqyCPBXkracXqZAdz1Ej1P0Gn2UlMRIu8iiXshD&#10;zujNzJs3Or84akUOwgdpTUnHo5wSYbitpNmV9NPHqzcLSkJkpmLKGlHSexHoxer1q/PWLUVhG6sq&#10;4QlATFi2rqRNjG6ZZYE3QrMwsk4YOGvrNYs4+l1WedYCXausyPO3WWt95bzlIgTcbnonHRD9SwBt&#10;XUsuNpbvtTCxR/VCsYiWQiNdoKuu2roWPN7UdRCRqJKi09g9kQT2Nj2z1Tlb7jxzjeRDCewlJTzr&#10;STNpkPQRasMiI3sv/4LSknsbbB1H3Oqsb6RjBF2M82fc3DXMia4XUB3cI+nh/8HyD4dbT2QFJSyK&#10;6XiSTycFJYZpTP73tx+/fn4n48nZIvHUurBE+J279cMpwExNH2uv0z/aIceO2/tHbsUxEo7LeTEt&#10;8hklHK7JfJLPZwkze3rZ+RDfCatJMkrqMbqOUXa4DrEPfQhJuYy9kkrhni2VIS3qL+Y5psoZNFlD&#10;CzC1Q1/B7Chhagex8+g7yJN3E+SGhYYcGBQSrJJVrwktI2SupC7pIk+/oVxlUHWiom8+WfG4PQ6M&#10;bG11Dz697YUWHL+SyHDNQrxlHspChdi9eINHrSzKtoNFSWP913/dp3gMHF5KWigVZX7ZMy8oUe8N&#10;pHA2nk6TtLvDdDYvcPCnnu2px+z1pUWrY2y5452Z4qN6MGtv9Wes6DplhYsZjtw9ecPhMvYbhCXn&#10;Yr3uwiBnx+K1uXM8gfcjWu+jrWU3vURUz87AHwTdzX9YvrQxp+cu6umDs/o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bx6zvtgAAAALAQAADwAAAAAAAAABACAAAAAiAAAAZHJzL2Rvd25yZXYueG1s&#10;UEsBAhQAFAAAAAgAh07iQCnn66dqAgAAuAQAAA4AAAAAAAAAAQAgAAAAJwEAAGRycy9lMm9Eb2Mu&#10;eG1sUEsFBgAAAAAGAAYAWQEAAAMGAAAAAA==&#10;">
                <v:fill on="f" focussize="0,0"/>
                <v:stroke on="f" weight="1pt" miterlimit="8" joinstyle="miter"/>
                <v:imagedata o:title=""/>
                <o:lock v:ext="edit" aspectratio="f"/>
                <v:textbox>
                  <w:txbxContent>
                    <w:p w14:paraId="7EF56F86">
                      <w:pPr>
                        <w:jc w:val="center"/>
                        <w:rPr>
                          <w:rFonts w:ascii="Times New Roman" w:hAnsi="Times New Roman" w:cs="Times New Roman"/>
                          <w:b/>
                          <w:bCs/>
                          <w:color w:val="auto"/>
                          <w:szCs w:val="24"/>
                          <w:shd w:val="clear" w:color="auto" w:fill="FFFFFF" w:themeFill="background1"/>
                          <w:lang w:eastAsia="zh-CN"/>
                        </w:rPr>
                      </w:pPr>
                      <w:r>
                        <w:rPr>
                          <w:rFonts w:hint="eastAsia" w:ascii="Times New Roman" w:hAnsi="Times New Roman" w:cs="Times New Roman"/>
                          <w:b/>
                          <w:bCs/>
                          <w:color w:val="auto"/>
                          <w:szCs w:val="24"/>
                          <w:shd w:val="clear" w:color="auto" w:fill="FFFFFF" w:themeFill="background1"/>
                          <w:lang w:eastAsia="zh-CN"/>
                        </w:rPr>
                        <w:t>30m</w:t>
                      </w:r>
                    </w:p>
                  </w:txbxContent>
                </v:textbox>
              </v:rect>
            </w:pict>
          </mc:Fallback>
        </mc:AlternateContent>
      </w:r>
      <w:r>
        <w:rPr>
          <w:rFonts w:ascii="Times New Roman" w:hAnsi="Times New Roman" w:cs="Times New Roman"/>
          <w:snapToGrid/>
          <w:color w:val="auto"/>
          <w:lang w:eastAsia="zh-CN"/>
        </w:rPr>
        <w:drawing>
          <wp:anchor distT="0" distB="0" distL="114300" distR="114300" simplePos="0" relativeHeight="251729920" behindDoc="0" locked="0" layoutInCell="1" allowOverlap="1">
            <wp:simplePos x="0" y="0"/>
            <wp:positionH relativeFrom="column">
              <wp:posOffset>5121910</wp:posOffset>
            </wp:positionH>
            <wp:positionV relativeFrom="paragraph">
              <wp:posOffset>59690</wp:posOffset>
            </wp:positionV>
            <wp:extent cx="910590" cy="688340"/>
            <wp:effectExtent l="0" t="0" r="0" b="0"/>
            <wp:wrapNone/>
            <wp:docPr id="1990"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 name="图片 12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910590" cy="688340"/>
                    </a:xfrm>
                    <a:prstGeom prst="rect">
                      <a:avLst/>
                    </a:prstGeom>
                    <a:noFill/>
                    <a:ln>
                      <a:noFill/>
                    </a:ln>
                    <a:effectLst/>
                  </pic:spPr>
                </pic:pic>
              </a:graphicData>
            </a:graphic>
          </wp:anchor>
        </w:drawing>
      </w:r>
      <w:r>
        <w:rPr>
          <w:rFonts w:ascii="Times New Roman" w:hAnsi="Times New Roman" w:cs="Times New Roman"/>
          <w:snapToGrid/>
          <w:color w:val="auto"/>
          <w:lang w:eastAsia="zh-CN"/>
        </w:rPr>
        <mc:AlternateContent>
          <mc:Choice Requires="wps">
            <w:drawing>
              <wp:anchor distT="0" distB="0" distL="114300" distR="114300" simplePos="0" relativeHeight="251937792" behindDoc="0" locked="0" layoutInCell="1" allowOverlap="1">
                <wp:simplePos x="0" y="0"/>
                <wp:positionH relativeFrom="margin">
                  <wp:align>right</wp:align>
                </wp:positionH>
                <wp:positionV relativeFrom="paragraph">
                  <wp:posOffset>1132205</wp:posOffset>
                </wp:positionV>
                <wp:extent cx="951230" cy="0"/>
                <wp:effectExtent l="0" t="19050" r="20955" b="19050"/>
                <wp:wrapNone/>
                <wp:docPr id="77400114" name="直接连接符 623"/>
                <wp:cNvGraphicFramePr/>
                <a:graphic xmlns:a="http://schemas.openxmlformats.org/drawingml/2006/main">
                  <a:graphicData uri="http://schemas.microsoft.com/office/word/2010/wordprocessingShape">
                    <wps:wsp>
                      <wps:cNvCnPr/>
                      <wps:spPr>
                        <a:xfrm flipV="1">
                          <a:off x="0" y="0"/>
                          <a:ext cx="95097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623" o:spid="_x0000_s1026" o:spt="20" style="position:absolute;left:0pt;flip:y;margin-top:89.15pt;height:0pt;width:74.9pt;mso-position-horizontal:right;mso-position-horizontal-relative:margin;z-index:251937792;mso-width-relative:page;mso-height-relative:page;" filled="f" stroked="t" coordsize="21600,21600" o:gfxdata="UEsDBAoAAAAAAIdO4kAAAAAAAAAAAAAAAAAEAAAAZHJzL1BLAwQUAAAACACHTuJAYcsYKdYAAAAI&#10;AQAADwAAAGRycy9kb3ducmV2LnhtbE2PzU7DMBCE70h9B2srcaNOW6BtiNMDiANUKv17ACdekqjx&#10;OtjuH0/PVkKC486MZufL5mfbiiP60DhSMBwkIJBKZxqqFOy2r3dTECFqMrp1hAouGGCe924ynRp3&#10;ojUeN7ESXEIh1QrqGLtUylDWaHUYuA6JvU/nrY58+koar09cbls5SpJHaXVD/KHWHT7XWO43B6tg&#10;+z5ZXhaz72Lx9fbyIXcP4xV5Uuq2P0yeQEQ8x78wXOfzdMh5U+EOZIJoFTBIZHUyHYO42vczJil+&#10;FZln8j9A/gNQSwMEFAAAAAgAh07iQBqyFkbzAQAAxAMAAA4AAABkcnMvZTJvRG9jLnhtbK1Tu27b&#10;MBTdC/QfCO61ZDd+RLCcIUa6FK2BPnaaIiUCfIGXseyf6A8U6NZOHbvnb5p+Ri8px3l0yVANBHkf&#10;5/IcHi0v9kaTnQignK3peFRSIix3jbJtTT99vHq1oAQisw3TzoqaHgTQi9XLF8veV2LiOqcbEQiC&#10;WKh6X9MuRl8VBfBOGAYj54XFpHTBsIjH0BZNYD2iG11MynJW9C40PjguADC6HpL0iBieA+ikVFys&#10;Hb82wsYBNQjNIlKCTnmgq3xbKQWP76UEEYmuKTKNecUhuN+mtVgtWdUG5jvFj1dgz7nCE06GKYtD&#10;T1BrFhm5DuofKKN4cOBkHHFnioFIVgRZjMsn2nzomBeZC0oN/iQ6/D9Y/m63CUQ1NZ3Pz8pyPD6j&#10;xDKD73779dfvL9//3HzD9fbnDzKbvE5q9R4qbLq0m3A8gd+ERH0vgyFSK/8ZbZXFQHpkn7U+nLQW&#10;+0g4Bs+n5fl8Rgm/SxUDQkLyAeIb4QxJm5pqZZMKrGK7txBxKpbelaSwdVdK6/yS2pK+ppPFdD5F&#10;aIb2lGgL3BqPFMG2lDDdou95DBkSnFZNak9AENrtpQ5kx5Jb8pco47hHZWn2mkE31OXU4COjIv4a&#10;WpmaLh52a4sgSbhBqrTbuuaQFcxxfNw85mjE5J6H59x9//Ot/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hyxgp1gAAAAgBAAAPAAAAAAAAAAEAIAAAACIAAABkcnMvZG93bnJldi54bWxQSwECFAAU&#10;AAAACACHTuJAGrIWRvMBAADEAwAADgAAAAAAAAABACAAAAAlAQAAZHJzL2Uyb0RvYy54bWxQSwUG&#10;AAAAAAYABgBZAQAAigUAAAAA&#10;">
                <v:fill on="f" focussize="0,0"/>
                <v:stroke weight="2.25pt" color="#000000 [3213]" miterlimit="8" joinstyle="miter"/>
                <v:imagedata o:title=""/>
                <o:lock v:ext="edit" aspectratio="f"/>
              </v:line>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865088" behindDoc="0" locked="0" layoutInCell="1" allowOverlap="1">
                <wp:simplePos x="0" y="0"/>
                <wp:positionH relativeFrom="column">
                  <wp:posOffset>3236595</wp:posOffset>
                </wp:positionH>
                <wp:positionV relativeFrom="paragraph">
                  <wp:posOffset>2683510</wp:posOffset>
                </wp:positionV>
                <wp:extent cx="140970" cy="199390"/>
                <wp:effectExtent l="76200" t="38100" r="11430" b="48895"/>
                <wp:wrapNone/>
                <wp:docPr id="334922544" name="矩形 1445"/>
                <wp:cNvGraphicFramePr/>
                <a:graphic xmlns:a="http://schemas.openxmlformats.org/drawingml/2006/main">
                  <a:graphicData uri="http://schemas.microsoft.com/office/word/2010/wordprocessingShape">
                    <wps:wsp>
                      <wps:cNvSpPr/>
                      <wps:spPr>
                        <a:xfrm rot="2192085">
                          <a:off x="0" y="0"/>
                          <a:ext cx="140970" cy="199173"/>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445" o:spid="_x0000_s1026" o:spt="1" style="position:absolute;left:0pt;margin-left:254.85pt;margin-top:211.3pt;height:15.7pt;width:11.1pt;rotation:2394341f;z-index:251865088;v-text-anchor:middle;mso-width-relative:page;mso-height-relative:page;" fillcolor="#FFFFFF [3212]" filled="t" stroked="t" coordsize="21600,21600" o:gfxdata="UEsDBAoAAAAAAIdO4kAAAAAAAAAAAAAAAAAEAAAAZHJzL1BLAwQUAAAACACHTuJAFEmvodsAAAAL&#10;AQAADwAAAGRycy9kb3ducmV2LnhtbE2PwU7DMAyG70i8Q2QkbixpWTdWmu4wCQ5IoDKYxDFrTdvR&#10;OFWSrePtMSc42v70+/uL9dkO4oQ+9I40JDMFAql2TU+thve3h5s7ECEaaszgCDV8Y4B1eXlRmLxx&#10;E73iaRtbwSEUcqOhi3HMpQx1h9aEmRuR+PbpvDWRR9/KxpuJw+0gU6UW0pqe+ENnRtx0WH9tj1ZD&#10;9XHwu+qpUs/TI+024WWJh8xrfX2VqHsQEc/xD4ZffVaHkp327khNEIOGTK2WjGqYp+kCBBPZbbIC&#10;sedNNlcgy0L+71D+AFBLAwQUAAAACACHTuJA61M64XsCAAAMBQAADgAAAGRycy9lMm9Eb2MueG1s&#10;rVTNbtswDL4P2DsIuq/+qbM0QZ0iaJBhQLEG6IadFVmOBehvlBKne5kBu+0h9jjDXmOU7P5uhx7m&#10;g0CK9EfyI6nzi6NW5CDAS2tqWpzklAjDbSPNrqafPq7fnFHiAzMNU9aImt4KTy8Wr1+d924uSttZ&#10;1QggCGL8vHc17UJw8yzzvBOa+RPrhEFja0GzgCrssgZYj+haZWWev816C40Dy4X3eLsajHREhJcA&#10;2raVXKws32thwoAKQrGAJflOOk8XKdu2FTxct60XgaiaYqUhnRgE5W08s8U5m++AuU7yMQX2khSe&#10;1aSZNBj0HmrFAiN7kH9BacnBetuGE251NhSSGMEqivwZNzcdcyLVglR7d0+6/3+w/MNhA0Q2NT09&#10;rWZlOakqSgzT2Pjf3378+vmdFFU1iTT1zs/R+8ZtYNQ8irHmYwuagEVuy2JW5meTxATWRo6J6Nt7&#10;osUxEI6XRZXPptgCjqZiNiumpzFCNkBFSAc+vBNWkyjUFLCPCZQdrnwYXO9coru3SjZrqVRSYLe9&#10;VEAODHu+Tt+I/sRNGdJj9HKax0QYTnKLE4SidsiGNztKmNrhivAAKfaTv/3LgsQkV8x3QzIJIebC&#10;5loG3CIldU3P8viNKSqDPESqB3KjtLXNLfYoEYypesfXEmGvmA8bBjiteIn7HK7xaJXFouwoUdJZ&#10;+Pqv++iPQ4RWSnqcfiz4y56BoES9NzheM+w6woakVJNpiQo8tmwfW8xeX1oku0jZJTH6B3UntmD1&#10;Z1z7ZYyKJmY4xh6oHZXLMGwlPhxcLJfJDVfEsXBlbhyP4JE3Y5f7YFuZhuCBnZE0XJI0RuNCxy18&#10;rCevh0ds8Q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USa+h2wAAAAsBAAAPAAAAAAAAAAEAIAAA&#10;ACIAAABkcnMvZG93bnJldi54bWxQSwECFAAUAAAACACHTuJA61M64XsCAAAMBQAADgAAAAAAAAAB&#10;ACAAAAAqAQAAZHJzL2Uyb0RvYy54bWxQSwUGAAAAAAYABgBZAQAAFwYAAAAA&#10;">
                <v:fill on="t" focussize="0,0"/>
                <v:stroke weight="1pt" color="#FFFFFF [3212]" miterlimit="8" joinstyle="miter"/>
                <v:imagedata o:title=""/>
                <o:lock v:ext="edit" aspectratio="f"/>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864064" behindDoc="0" locked="0" layoutInCell="1" allowOverlap="1">
                <wp:simplePos x="0" y="0"/>
                <wp:positionH relativeFrom="column">
                  <wp:posOffset>2931160</wp:posOffset>
                </wp:positionH>
                <wp:positionV relativeFrom="paragraph">
                  <wp:posOffset>2131695</wp:posOffset>
                </wp:positionV>
                <wp:extent cx="140970" cy="199390"/>
                <wp:effectExtent l="76200" t="38100" r="11430" b="48895"/>
                <wp:wrapNone/>
                <wp:docPr id="260185753" name="矩形 1445"/>
                <wp:cNvGraphicFramePr/>
                <a:graphic xmlns:a="http://schemas.openxmlformats.org/drawingml/2006/main">
                  <a:graphicData uri="http://schemas.microsoft.com/office/word/2010/wordprocessingShape">
                    <wps:wsp>
                      <wps:cNvSpPr/>
                      <wps:spPr>
                        <a:xfrm rot="2192085">
                          <a:off x="0" y="0"/>
                          <a:ext cx="140970" cy="199173"/>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445" o:spid="_x0000_s1026" o:spt="1" style="position:absolute;left:0pt;margin-left:230.8pt;margin-top:167.85pt;height:15.7pt;width:11.1pt;rotation:2394341f;z-index:251864064;v-text-anchor:middle;mso-width-relative:page;mso-height-relative:page;" fillcolor="#FFFFFF [3212]" filled="t" stroked="t" coordsize="21600,21600" o:gfxdata="UEsDBAoAAAAAAIdO4kAAAAAAAAAAAAAAAAAEAAAAZHJzL1BLAwQUAAAACACHTuJAlz+q0NsAAAAL&#10;AQAADwAAAGRycy9kb3ducmV2LnhtbE2PwU7DMAyG70i8Q2Qkbiwt3dqpa7rDJDgggbrBJI5Z67Ud&#10;jVMl2TreHnOCo+1Pv7+/WF/NIC7ofG9JQTyLQCDVtumpVfDx/vSwBOGDpkYPllDBN3pYl7c3hc4b&#10;O9EWL7vQCg4hn2sFXQhjLqWvOzTaz+yIxLejdUYHHl0rG6cnDjeDfIyiVBrdE3/o9IibDuuv3dko&#10;qD5Pbl+9VNHr9Ez7jX/L8LRwSt3fxdEKRMBr+IPhV5/VoWSngz1T48WgYJ7GKaMKkmSRgWBivky4&#10;zIE3aRaDLAv5v0P5A1BLAwQUAAAACACHTuJAiXTvrXsCAAAMBQAADgAAAGRycy9lMm9Eb2MueG1s&#10;rVRLbhsxDN0X6B0E7Zv5xI4/yDgwYrgoEDQG0qJrWaPxCNCvlOxxepkC3fUQOU7Ra5TSTL7tIovO&#10;QiBFziP5SOr84qgVOQjw0pqKFic5JcJwW0uzq+jnT+t3U0p8YKZmyhpR0Vvh6cXi7Zvzzs1FaVur&#10;agEEQYyfd66ibQhunmWet0Izf2KdMGhsLGgWUIVdVgPrEF2rrMzzs6yzUDuwXHiPt6veSAdEeA2g&#10;bRrJxcryvRYm9KggFAtYkm+l83SRsm0awcN103gRiKooVhrSiUFQ3sYzW5yz+Q6YayUfUmCvSeFF&#10;TZpJg0EfoFYsMLIH+ReUlhyst0044VZnfSGJEayiyF9wc9MyJ1ItSLV3D6T7/wfLPx42QGRd0fIs&#10;L6bjyfiUEsM0Nv7395+/7n6QYjQaR5o65+fofeM2MGgexVjzsQFNwCK3ZTEr8+k4MYG1kWMi+vaB&#10;aHEMhONlMcpnE2wBR1MxmxWT0xgh66EipAMf3gurSRQqCtjHBMoOVz70rvcu0d1bJeu1VCopsNte&#10;KiAHhj1fp29Af+amDOkwejnJYyIMJ7nBCUJRO2TDmx0lTO1wRXiAFPvZ3/51QWKSK+bbPpmEEHNh&#10;cy0DbpGSuqLTPH5DisogD5HqntwobW19iz1KBGOq3vG1RNgr5sOGAU4rXuI+h2s8GmWxKDtIlLQW&#10;vv3rPvrjEKGVkg6nHwv+umcgKFEfDI7XDLuOsCEpo/GkRAWeWrZPLWavLy2SXaTskhj9g7oXG7D6&#10;C679MkZFEzMcY/fUDspl6LcSHw4ulsvkhiviWLgyN45H8Mibsct9sI1MQ/DIzkAaLkkao2Gh4xY+&#10;1ZPX4yO2+A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CXP6rQ2wAAAAsBAAAPAAAAAAAAAAEAIAAA&#10;ACIAAABkcnMvZG93bnJldi54bWxQSwECFAAUAAAACACHTuJAiXTvrXsCAAAMBQAADgAAAAAAAAAB&#10;ACAAAAAqAQAAZHJzL2Uyb0RvYy54bWxQSwUGAAAAAAYABgBZAQAAFwYAAAAA&#10;">
                <v:fill on="t" focussize="0,0"/>
                <v:stroke weight="1pt" color="#FFFFFF [3212]" miterlimit="8" joinstyle="miter"/>
                <v:imagedata o:title=""/>
                <o:lock v:ext="edit" aspectratio="f"/>
              </v:rect>
            </w:pict>
          </mc:Fallback>
        </mc:AlternateContent>
      </w:r>
      <w:r>
        <w:rPr>
          <w:rFonts w:ascii="Times New Roman" w:hAnsi="Times New Roman" w:cs="Times New Roman"/>
          <w:snapToGrid/>
          <w:color w:val="auto"/>
          <w:lang w:eastAsia="zh-CN"/>
        </w:rPr>
        <mc:AlternateContent>
          <mc:Choice Requires="wps">
            <w:drawing>
              <wp:anchor distT="0" distB="0" distL="114300" distR="114300" simplePos="0" relativeHeight="251858944" behindDoc="0" locked="0" layoutInCell="1" allowOverlap="1">
                <wp:simplePos x="0" y="0"/>
                <wp:positionH relativeFrom="column">
                  <wp:posOffset>3289935</wp:posOffset>
                </wp:positionH>
                <wp:positionV relativeFrom="paragraph">
                  <wp:posOffset>1684020</wp:posOffset>
                </wp:positionV>
                <wp:extent cx="140970" cy="199390"/>
                <wp:effectExtent l="76200" t="38100" r="11430" b="48895"/>
                <wp:wrapNone/>
                <wp:docPr id="1117118850" name="矩形 1445"/>
                <wp:cNvGraphicFramePr/>
                <a:graphic xmlns:a="http://schemas.openxmlformats.org/drawingml/2006/main">
                  <a:graphicData uri="http://schemas.microsoft.com/office/word/2010/wordprocessingShape">
                    <wps:wsp>
                      <wps:cNvSpPr/>
                      <wps:spPr>
                        <a:xfrm rot="2192085">
                          <a:off x="0" y="0"/>
                          <a:ext cx="140970" cy="199173"/>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445" o:spid="_x0000_s1026" o:spt="1" style="position:absolute;left:0pt;margin-left:259.05pt;margin-top:132.6pt;height:15.7pt;width:11.1pt;rotation:2394341f;z-index:251858944;v-text-anchor:middle;mso-width-relative:page;mso-height-relative:page;" fillcolor="#FFFFFF [3212]" filled="t" stroked="t" coordsize="21600,21600" o:gfxdata="UEsDBAoAAAAAAIdO4kAAAAAAAAAAAAAAAAAEAAAAZHJzL1BLAwQUAAAACACHTuJA/FuNKNoAAAAL&#10;AQAADwAAAGRycy9kb3ducmV2LnhtbE2PwU7DMAyG70i8Q2QkbixpoWWUpjtMggMSqAwmccxa03Y0&#10;TpVk63h7zAmOtj/9/v5ydbKjOKIPgyMNyUKBQGpcO1Cn4f3t4WoJIkRDrRkdoYZvDLCqzs9KU7Ru&#10;plc8bmInOIRCYTT0MU6FlKHp0ZqwcBMS3z6dtyby6DvZejNzuB1lqlQurRmIP/RmwnWPzdfmYDXU&#10;H3u/rZ9q9Tw/0nYdXm5xn3mtLy8SdQ8i4in+wfCrz+pQsdPOHagNYtSQJcuEUQ1pnqUgmMhu1DWI&#10;HW/u8hxkVcr/HaofUEsDBBQAAAAIAIdO4kC6Qs51egIAAA0FAAAOAAAAZHJzL2Uyb0RvYy54bWyt&#10;VEtu2zAQ3RfoHQjuG0muXX8QOzBiuCgQNAHSomuaoiwC/JWkP+llCnTXQ+Q4Ra/RR0r5tossqgUx&#10;wxm9mXkzw9Ozo1ZkL3yQ1sxpdVJSIgy3tTTbOf38af1mQkmIzNRMWSPm9EYEerZ4/er04GZiYFur&#10;auEJQEyYHdyctjG6WVEE3grNwol1wsDYWK9ZhOq3Re3ZAehaFYOyfFccrK+dt1yEgNtVZ6Q9on8J&#10;oG0aycXK8p0WJnaoXigWUVJopQt0kbNtGsHjZdMEEYmaU1Qa84kgkDfpLBanbLb1zLWS9ymwl6Tw&#10;rCbNpEHQe6gVi4zsvPwLSkvubbBNPOFWF10hmRFUUZXPuLlumRO5FlAd3D3p4f/B8o/7K09kjUmo&#10;qnFVTSYjUGOYRud/f//56/YHqYbDUeLp4MIM7tfuyvdagJiKPjZeE29B7qCaDsrJKFOB4sgxM31z&#10;z7Q4RsJxWQ3L6RiBOEzVdFqN36YIRQeVIJ0P8b2wmiRhTj0amUHZ/iLEzvXOJbkHq2S9lkplxW83&#10;58qTPUPT1/nr0Z+4KUMOiD4YlykRhlFuMEIQtQMdwWwpYWqLHeHR59hP/g4vC5KSXLHQdslkhJQL&#10;m2kZsUZK6jmdlOnrU1QGPCSqO3KTtLH1DZqUCUaqwfG1BOwFC/GKeYwrLrHQ8RJHoyyKsr1ESWv9&#10;t3/dJ39MEayUHDD+KPjrjnlBifpgMF9TdB2wMSvD0XgAxT+2bB5bzE6fW5Bd5eyymPyjuhMbb/UX&#10;7P0yRYWJGY7YHbW9ch67tcTLwcVymd2wI47FC3PteAJPvBm73EXbyDwED+z0pGFL8hj1G53W8LGe&#10;vR5esc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FuNKNoAAAALAQAADwAAAAAAAAABACAAAAAi&#10;AAAAZHJzL2Rvd25yZXYueG1sUEsBAhQAFAAAAAgAh07iQLpCznV6AgAADQUAAA4AAAAAAAAAAQAg&#10;AAAAKQEAAGRycy9lMm9Eb2MueG1sUEsFBgAAAAAGAAYAWQEAABUGAAAAAA==&#10;">
                <v:fill on="t" focussize="0,0"/>
                <v:stroke weight="1pt" color="#FFFFFF [3212]" miterlimit="8" joinstyle="miter"/>
                <v:imagedata o:title=""/>
                <o:lock v:ext="edit" aspectratio="f"/>
              </v:rect>
            </w:pict>
          </mc:Fallback>
        </mc:AlternateContent>
      </w:r>
      <w:r>
        <w:drawing>
          <wp:inline distT="0" distB="0" distL="0" distR="0">
            <wp:extent cx="3738245" cy="7219950"/>
            <wp:effectExtent l="0" t="0" r="0" b="0"/>
            <wp:docPr id="1840816341" name="图片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816341" name="图片 621"/>
                    <pic:cNvPicPr>
                      <a:picLocks noChangeAspect="1" noChangeArrowheads="1"/>
                    </pic:cNvPicPr>
                  </pic:nvPicPr>
                  <pic:blipFill>
                    <a:blip r:embed="rId129" cstate="print">
                      <a:extLst>
                        <a:ext uri="{28A0092B-C50C-407E-A947-70E740481C1C}">
                          <a14:useLocalDpi xmlns:a14="http://schemas.microsoft.com/office/drawing/2010/main" val="0"/>
                        </a:ext>
                      </a:extLst>
                    </a:blip>
                    <a:srcRect l="17869" t="4784" r="17293" b="6657"/>
                    <a:stretch>
                      <a:fillRect/>
                    </a:stretch>
                  </pic:blipFill>
                  <pic:spPr>
                    <a:xfrm>
                      <a:off x="0" y="0"/>
                      <a:ext cx="3770132" cy="7280706"/>
                    </a:xfrm>
                    <a:prstGeom prst="rect">
                      <a:avLst/>
                    </a:prstGeom>
                    <a:noFill/>
                    <a:ln>
                      <a:noFill/>
                    </a:ln>
                  </pic:spPr>
                </pic:pic>
              </a:graphicData>
            </a:graphic>
          </wp:inline>
        </w:drawing>
      </w:r>
    </w:p>
    <w:p w14:paraId="50DCADE6">
      <w:pPr>
        <w:widowControl w:val="0"/>
        <w:spacing w:line="360" w:lineRule="auto"/>
        <w:jc w:val="center"/>
        <w:rPr>
          <w:rFonts w:ascii="Times New Roman" w:hAnsi="Times New Roman" w:cs="Times New Roman"/>
          <w:b/>
          <w:color w:val="auto"/>
          <w:lang w:eastAsia="zh-CN"/>
        </w:rPr>
      </w:pPr>
      <w:r>
        <w:rPr>
          <w:rFonts w:ascii="Times New Roman" w:hAnsi="Times New Roman" w:cs="Times New Roman"/>
          <w:b/>
          <w:color w:val="auto"/>
          <w:szCs w:val="24"/>
          <w:lang w:eastAsia="zh-CN"/>
        </w:rPr>
        <w:t>图8.2-</w:t>
      </w:r>
      <w:r>
        <w:rPr>
          <w:rFonts w:hint="eastAsia" w:ascii="Times New Roman" w:hAnsi="Times New Roman" w:cs="Times New Roman"/>
          <w:b/>
          <w:color w:val="auto"/>
          <w:szCs w:val="24"/>
          <w:lang w:eastAsia="zh-CN"/>
        </w:rPr>
        <w:t xml:space="preserve">6 </w:t>
      </w:r>
      <w:r>
        <w:rPr>
          <w:rFonts w:ascii="Times New Roman" w:hAnsi="Times New Roman" w:cs="Times New Roman"/>
          <w:b/>
          <w:color w:val="auto"/>
          <w:lang w:eastAsia="zh-CN"/>
        </w:rPr>
        <w:t>地下水跟踪监测井位置图</w:t>
      </w:r>
    </w:p>
    <w:p w14:paraId="3D0825E6">
      <w:pPr>
        <w:widowControl w:val="0"/>
        <w:spacing w:line="360" w:lineRule="auto"/>
        <w:ind w:firstLine="480" w:firstLineChars="200"/>
        <w:rPr>
          <w:rFonts w:ascii="Times New Roman" w:hAnsi="Times New Roman" w:cs="Times New Roman"/>
          <w:color w:val="auto"/>
          <w:kern w:val="2"/>
          <w:lang w:eastAsia="zh-CN"/>
        </w:rPr>
      </w:pPr>
      <w:bookmarkStart w:id="2503" w:name="_Toc15250"/>
      <w:r>
        <w:rPr>
          <w:rFonts w:ascii="Times New Roman" w:hAnsi="Times New Roman" w:cs="Times New Roman"/>
          <w:color w:val="auto"/>
          <w:kern w:val="2"/>
          <w:lang w:eastAsia="zh-CN"/>
        </w:rPr>
        <w:t>3、地下水环境跟踪监测与信息公开计划</w:t>
      </w:r>
      <w:bookmarkEnd w:id="2503"/>
    </w:p>
    <w:p w14:paraId="7CA2BE1F">
      <w:pPr>
        <w:widowControl w:val="0"/>
        <w:spacing w:line="360" w:lineRule="auto"/>
        <w:ind w:firstLine="480" w:firstLineChars="200"/>
        <w:rPr>
          <w:rFonts w:ascii="Times New Roman" w:hAnsi="Times New Roman" w:cs="Times New Roman"/>
          <w:color w:val="auto"/>
          <w:kern w:val="24"/>
          <w:szCs w:val="24"/>
          <w:lang w:eastAsia="zh-CN"/>
        </w:rPr>
      </w:pPr>
      <w:r>
        <w:rPr>
          <w:rFonts w:ascii="Times New Roman" w:hAnsi="Times New Roman" w:cs="Times New Roman"/>
          <w:color w:val="auto"/>
          <w:kern w:val="24"/>
          <w:szCs w:val="24"/>
          <w:lang w:eastAsia="zh-CN"/>
        </w:rPr>
        <w:t>（1）地下水环境跟踪监测报告</w:t>
      </w:r>
    </w:p>
    <w:p w14:paraId="0A6495BD">
      <w:pPr>
        <w:widowControl w:val="0"/>
        <w:spacing w:line="360" w:lineRule="auto"/>
        <w:ind w:firstLine="480" w:firstLineChars="200"/>
        <w:rPr>
          <w:rFonts w:ascii="Times New Roman" w:hAnsi="Times New Roman" w:cs="Times New Roman"/>
          <w:color w:val="auto"/>
          <w:kern w:val="24"/>
          <w:szCs w:val="24"/>
          <w:lang w:eastAsia="zh-CN"/>
        </w:rPr>
      </w:pPr>
      <w:r>
        <w:rPr>
          <w:rFonts w:ascii="Times New Roman" w:hAnsi="Times New Roman" w:cs="Times New Roman"/>
          <w:color w:val="auto"/>
          <w:kern w:val="24"/>
          <w:szCs w:val="24"/>
          <w:lang w:eastAsia="zh-CN"/>
        </w:rPr>
        <w:t>本评价要求建设单位应委托专职机构负责编制项目地下水环境跟踪监测报告，报告内容应包括以下内容：</w:t>
      </w:r>
    </w:p>
    <w:p w14:paraId="4FD12B7B">
      <w:pPr>
        <w:widowControl w:val="0"/>
        <w:spacing w:line="360" w:lineRule="auto"/>
        <w:ind w:firstLine="480" w:firstLineChars="200"/>
        <w:rPr>
          <w:rFonts w:ascii="Times New Roman" w:hAnsi="Times New Roman" w:cs="Times New Roman"/>
          <w:color w:val="auto"/>
          <w:kern w:val="24"/>
          <w:szCs w:val="24"/>
          <w:lang w:eastAsia="zh-CN"/>
        </w:rPr>
      </w:pPr>
      <w:r>
        <w:rPr>
          <w:rFonts w:ascii="宋体" w:hAnsi="宋体" w:cs="Cambria Math"/>
          <w:color w:val="auto"/>
          <w:kern w:val="24"/>
          <w:szCs w:val="24"/>
          <w:lang w:eastAsia="zh-CN"/>
        </w:rPr>
        <w:t>①</w:t>
      </w:r>
      <w:r>
        <w:rPr>
          <w:rFonts w:ascii="Times New Roman" w:hAnsi="Times New Roman" w:cs="Times New Roman"/>
          <w:color w:val="auto"/>
          <w:kern w:val="24"/>
          <w:szCs w:val="24"/>
          <w:lang w:eastAsia="zh-CN"/>
        </w:rPr>
        <w:t>项目厂区及其影响区地下水环境跟踪监测数据，项目排放污染物的种类、数量和浓度等。</w:t>
      </w:r>
    </w:p>
    <w:p w14:paraId="267DF3E3">
      <w:pPr>
        <w:widowControl w:val="0"/>
        <w:spacing w:line="360" w:lineRule="auto"/>
        <w:ind w:firstLine="480" w:firstLineChars="200"/>
        <w:rPr>
          <w:rFonts w:ascii="Times New Roman" w:hAnsi="Times New Roman" w:cs="Times New Roman"/>
          <w:color w:val="auto"/>
          <w:kern w:val="24"/>
          <w:szCs w:val="24"/>
          <w:lang w:eastAsia="zh-CN"/>
        </w:rPr>
      </w:pPr>
      <w:r>
        <w:rPr>
          <w:rFonts w:ascii="宋体" w:hAnsi="宋体" w:cs="Cambria Math"/>
          <w:color w:val="auto"/>
          <w:kern w:val="24"/>
          <w:szCs w:val="24"/>
          <w:lang w:eastAsia="zh-CN"/>
        </w:rPr>
        <w:t>②</w:t>
      </w:r>
      <w:r>
        <w:rPr>
          <w:rFonts w:ascii="Times New Roman" w:hAnsi="Times New Roman" w:cs="Times New Roman"/>
          <w:color w:val="auto"/>
          <w:kern w:val="24"/>
          <w:szCs w:val="24"/>
          <w:lang w:eastAsia="zh-CN"/>
        </w:rPr>
        <w:t>项目生产设备、管廊或管线、化学品原料和成品的贮存与运输装置、固体废物和危险废物暂存场所、事故应急池及应急装置等设施的运行状况、跑冒滴漏记录和维护记录等。</w:t>
      </w:r>
    </w:p>
    <w:p w14:paraId="49021C03">
      <w:pPr>
        <w:widowControl w:val="0"/>
        <w:spacing w:line="360" w:lineRule="auto"/>
        <w:ind w:firstLine="480" w:firstLineChars="200"/>
        <w:rPr>
          <w:rFonts w:ascii="Times New Roman" w:hAnsi="Times New Roman" w:cs="Times New Roman"/>
          <w:color w:val="auto"/>
          <w:kern w:val="2"/>
          <w:lang w:eastAsia="zh-CN"/>
        </w:rPr>
      </w:pPr>
      <w:r>
        <w:rPr>
          <w:rFonts w:ascii="Times New Roman" w:hAnsi="Times New Roman" w:cs="Times New Roman"/>
          <w:color w:val="auto"/>
          <w:kern w:val="2"/>
          <w:lang w:eastAsia="zh-CN"/>
        </w:rPr>
        <w:t>（2）地下水信息公开计划</w:t>
      </w:r>
    </w:p>
    <w:p w14:paraId="70F9830B">
      <w:pPr>
        <w:widowControl w:val="0"/>
        <w:spacing w:line="360" w:lineRule="auto"/>
        <w:ind w:firstLine="480" w:firstLineChars="200"/>
        <w:rPr>
          <w:rFonts w:ascii="Times New Roman" w:hAnsi="Times New Roman" w:cs="Times New Roman"/>
          <w:color w:val="auto"/>
          <w:kern w:val="2"/>
          <w:lang w:eastAsia="zh-CN"/>
        </w:rPr>
      </w:pPr>
      <w:r>
        <w:rPr>
          <w:rFonts w:ascii="Times New Roman" w:hAnsi="Times New Roman" w:cs="Times New Roman"/>
          <w:color w:val="auto"/>
          <w:kern w:val="2"/>
          <w:lang w:eastAsia="zh-CN"/>
        </w:rPr>
        <w:t>企业应将地下水监测工作开展情况及监测结果向社会公众公开，公开频率以环境保护主管部门要求为准，一般一年公开一次。公开计划至少包括建设项目特征因子的地下水环境监测值。</w:t>
      </w:r>
    </w:p>
    <w:p w14:paraId="50A97AB6">
      <w:pPr>
        <w:spacing w:line="360" w:lineRule="auto"/>
        <w:ind w:firstLine="482"/>
        <w:outlineLvl w:val="2"/>
        <w:rPr>
          <w:rFonts w:ascii="Times New Roman" w:hAnsi="Times New Roman" w:cs="Times New Roman"/>
          <w:b/>
          <w:bCs/>
          <w:color w:val="auto"/>
          <w:lang w:eastAsia="zh-CN"/>
        </w:rPr>
      </w:pPr>
      <w:bookmarkStart w:id="2504" w:name="_Toc203927119"/>
      <w:bookmarkStart w:id="2505" w:name="_Toc133214614"/>
      <w:bookmarkStart w:id="2506" w:name="_Toc223425175"/>
      <w:bookmarkStart w:id="2507" w:name="_Toc224674815"/>
      <w:bookmarkStart w:id="2508" w:name="_Toc217662789"/>
      <w:bookmarkStart w:id="2509" w:name="_Toc173740392"/>
      <w:bookmarkStart w:id="2510" w:name="_Toc204448583"/>
      <w:bookmarkStart w:id="2511" w:name="_Toc176513122"/>
      <w:bookmarkStart w:id="2512" w:name="_Toc133333771"/>
      <w:bookmarkStart w:id="2513" w:name="_Toc204515318"/>
      <w:bookmarkStart w:id="2514" w:name="_Toc236641945"/>
      <w:bookmarkStart w:id="2515" w:name="_Toc172555758"/>
      <w:bookmarkStart w:id="2516" w:name="_Toc178602467"/>
      <w:bookmarkStart w:id="2517" w:name="_Toc218784401"/>
      <w:bookmarkStart w:id="2518" w:name="_Toc221900957"/>
      <w:bookmarkStart w:id="2519" w:name="_Toc173743496"/>
      <w:bookmarkStart w:id="2520" w:name="_Toc225784177"/>
      <w:bookmarkStart w:id="2521" w:name="_Toc175164386"/>
      <w:bookmarkStart w:id="2522" w:name="_Toc237508410"/>
      <w:bookmarkStart w:id="2523" w:name="_Toc231828698"/>
      <w:r>
        <w:rPr>
          <w:rFonts w:ascii="Times New Roman" w:hAnsi="Times New Roman" w:cs="Times New Roman"/>
          <w:b/>
          <w:bCs/>
          <w:color w:val="auto"/>
          <w:lang w:eastAsia="zh-CN"/>
        </w:rPr>
        <w:t>8.2.</w:t>
      </w:r>
      <w:r>
        <w:rPr>
          <w:rFonts w:hint="eastAsia" w:ascii="Times New Roman" w:hAnsi="Times New Roman" w:cs="Times New Roman"/>
          <w:b/>
          <w:bCs/>
          <w:color w:val="auto"/>
          <w:lang w:eastAsia="zh-CN"/>
        </w:rPr>
        <w:t xml:space="preserve">7 </w:t>
      </w:r>
      <w:r>
        <w:rPr>
          <w:rFonts w:ascii="Times New Roman" w:hAnsi="Times New Roman" w:cs="Times New Roman"/>
          <w:b/>
          <w:bCs/>
          <w:color w:val="auto"/>
          <w:lang w:eastAsia="zh-CN"/>
        </w:rPr>
        <w:t>土壤污染防治措施及建议</w:t>
      </w:r>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p>
    <w:p w14:paraId="10D576C1">
      <w:pPr>
        <w:pStyle w:val="74"/>
        <w:widowControl w:val="0"/>
        <w:ind w:firstLine="482"/>
        <w:rPr>
          <w:rFonts w:cs="Times New Roman"/>
          <w:color w:val="auto"/>
          <w:lang w:eastAsia="zh-CN"/>
        </w:rPr>
      </w:pPr>
      <w:bookmarkStart w:id="2524" w:name="_Toc133214615"/>
      <w:bookmarkStart w:id="2525" w:name="_Toc133333772"/>
      <w:r>
        <w:rPr>
          <w:rFonts w:cs="Times New Roman"/>
          <w:color w:val="auto"/>
          <w:lang w:eastAsia="zh-CN"/>
        </w:rPr>
        <w:t>8.2.</w:t>
      </w:r>
      <w:r>
        <w:rPr>
          <w:rFonts w:hint="eastAsia" w:cs="Times New Roman"/>
          <w:color w:val="auto"/>
          <w:lang w:eastAsia="zh-CN"/>
        </w:rPr>
        <w:t>7</w:t>
      </w:r>
      <w:r>
        <w:rPr>
          <w:rFonts w:cs="Times New Roman"/>
          <w:color w:val="auto"/>
          <w:lang w:eastAsia="zh-CN"/>
        </w:rPr>
        <w:t>.1 过程防控措施</w:t>
      </w:r>
      <w:bookmarkEnd w:id="2524"/>
      <w:bookmarkEnd w:id="2525"/>
    </w:p>
    <w:p w14:paraId="68398D66">
      <w:pPr>
        <w:widowControl w:val="0"/>
        <w:spacing w:line="360" w:lineRule="auto"/>
        <w:ind w:firstLine="480" w:firstLineChars="200"/>
        <w:jc w:val="both"/>
        <w:rPr>
          <w:rFonts w:ascii="Times New Roman" w:hAnsi="Times New Roman" w:cs="Times New Roman"/>
          <w:color w:val="auto"/>
          <w:kern w:val="24"/>
          <w:szCs w:val="24"/>
          <w:lang w:eastAsia="zh-CN"/>
        </w:rPr>
      </w:pPr>
      <w:bookmarkStart w:id="2526" w:name="_Toc16348"/>
      <w:r>
        <w:rPr>
          <w:rFonts w:ascii="Times New Roman" w:hAnsi="Times New Roman" w:cs="Times New Roman"/>
          <w:color w:val="auto"/>
          <w:kern w:val="24"/>
          <w:szCs w:val="24"/>
          <w:lang w:eastAsia="zh-CN"/>
        </w:rPr>
        <w:t>1、大气沉降途径的防控措施</w:t>
      </w:r>
      <w:bookmarkEnd w:id="2526"/>
    </w:p>
    <w:p w14:paraId="02F2603E">
      <w:pPr>
        <w:widowControl w:val="0"/>
        <w:spacing w:line="360" w:lineRule="auto"/>
        <w:ind w:firstLine="480" w:firstLineChars="200"/>
        <w:jc w:val="both"/>
        <w:rPr>
          <w:rFonts w:ascii="Times New Roman" w:hAnsi="Times New Roman" w:cs="Times New Roman"/>
          <w:color w:val="auto"/>
          <w:kern w:val="24"/>
          <w:szCs w:val="24"/>
          <w:lang w:eastAsia="zh-CN"/>
        </w:rPr>
      </w:pPr>
      <w:r>
        <w:rPr>
          <w:rFonts w:ascii="Times New Roman" w:hAnsi="Times New Roman" w:cs="Times New Roman"/>
          <w:color w:val="auto"/>
          <w:kern w:val="24"/>
          <w:szCs w:val="24"/>
          <w:lang w:eastAsia="zh-CN"/>
        </w:rPr>
        <w:t>建设单位需按照规划设计积极开展厂区绿化，以种植具有较强吸附能力的植物为主，减少影响。</w:t>
      </w:r>
    </w:p>
    <w:p w14:paraId="2762EA5D">
      <w:pPr>
        <w:widowControl w:val="0"/>
        <w:spacing w:line="360" w:lineRule="auto"/>
        <w:ind w:firstLine="480" w:firstLineChars="200"/>
        <w:jc w:val="both"/>
        <w:rPr>
          <w:rFonts w:ascii="Times New Roman" w:hAnsi="Times New Roman" w:cs="Times New Roman"/>
          <w:color w:val="auto"/>
          <w:kern w:val="24"/>
          <w:szCs w:val="24"/>
          <w:lang w:eastAsia="zh-CN"/>
        </w:rPr>
      </w:pPr>
      <w:bookmarkStart w:id="2527" w:name="_Toc1602"/>
      <w:r>
        <w:rPr>
          <w:rFonts w:ascii="Times New Roman" w:hAnsi="Times New Roman" w:cs="Times New Roman"/>
          <w:color w:val="auto"/>
          <w:kern w:val="24"/>
          <w:szCs w:val="24"/>
          <w:lang w:eastAsia="zh-CN"/>
        </w:rPr>
        <w:t>2、垂直入渗途径的防控措施</w:t>
      </w:r>
      <w:bookmarkEnd w:id="2527"/>
    </w:p>
    <w:p w14:paraId="18C5C257">
      <w:pPr>
        <w:widowControl w:val="0"/>
        <w:spacing w:line="360" w:lineRule="auto"/>
        <w:ind w:firstLine="480" w:firstLineChars="200"/>
        <w:jc w:val="both"/>
        <w:rPr>
          <w:rFonts w:ascii="Times New Roman" w:hAnsi="Times New Roman" w:cs="Times New Roman"/>
          <w:color w:val="auto"/>
          <w:kern w:val="24"/>
          <w:szCs w:val="24"/>
          <w:lang w:eastAsia="zh-CN"/>
        </w:rPr>
      </w:pPr>
      <w:r>
        <w:rPr>
          <w:rFonts w:ascii="Times New Roman" w:hAnsi="Times New Roman" w:cs="Times New Roman"/>
          <w:color w:val="auto"/>
          <w:kern w:val="24"/>
          <w:szCs w:val="24"/>
          <w:lang w:eastAsia="zh-CN"/>
        </w:rPr>
        <w:t>对于原辅材料、废水事故状态下泄漏可能造成的垂直入渗影响，应严格落实本评价提出的分区防控要求，防止土壤环境污染。</w:t>
      </w:r>
    </w:p>
    <w:p w14:paraId="75BD31D5">
      <w:pPr>
        <w:pStyle w:val="74"/>
        <w:widowControl w:val="0"/>
        <w:ind w:firstLine="482"/>
        <w:rPr>
          <w:rFonts w:cs="Times New Roman"/>
          <w:color w:val="auto"/>
          <w:lang w:eastAsia="zh-CN"/>
        </w:rPr>
      </w:pPr>
      <w:bookmarkStart w:id="2528" w:name="_Toc133333773"/>
      <w:bookmarkStart w:id="2529" w:name="_Toc133214616"/>
      <w:bookmarkStart w:id="2530" w:name="_Toc22753"/>
      <w:r>
        <w:rPr>
          <w:rFonts w:cs="Times New Roman"/>
          <w:color w:val="auto"/>
          <w:lang w:eastAsia="zh-CN"/>
        </w:rPr>
        <w:t>8.2.</w:t>
      </w:r>
      <w:r>
        <w:rPr>
          <w:rFonts w:hint="eastAsia" w:cs="Times New Roman"/>
          <w:color w:val="auto"/>
          <w:lang w:eastAsia="zh-CN"/>
        </w:rPr>
        <w:t>7</w:t>
      </w:r>
      <w:r>
        <w:rPr>
          <w:rFonts w:cs="Times New Roman"/>
          <w:color w:val="auto"/>
          <w:lang w:eastAsia="zh-CN"/>
        </w:rPr>
        <w:t>.2 跟踪监测计划</w:t>
      </w:r>
      <w:bookmarkEnd w:id="2528"/>
      <w:bookmarkEnd w:id="2529"/>
      <w:bookmarkEnd w:id="2530"/>
    </w:p>
    <w:p w14:paraId="762DBB5A">
      <w:pPr>
        <w:widowControl w:val="0"/>
        <w:spacing w:line="360" w:lineRule="auto"/>
        <w:ind w:firstLine="480" w:firstLineChars="200"/>
        <w:jc w:val="both"/>
        <w:rPr>
          <w:rFonts w:ascii="Times New Roman" w:hAnsi="Times New Roman" w:cs="Times New Roman"/>
          <w:color w:val="auto"/>
          <w:kern w:val="24"/>
          <w:szCs w:val="24"/>
          <w:lang w:eastAsia="zh-CN"/>
        </w:rPr>
      </w:pPr>
      <w:r>
        <w:rPr>
          <w:rFonts w:ascii="Times New Roman" w:hAnsi="Times New Roman" w:cs="Times New Roman"/>
          <w:color w:val="auto"/>
          <w:kern w:val="24"/>
          <w:szCs w:val="24"/>
          <w:lang w:eastAsia="zh-CN"/>
        </w:rPr>
        <w:t>为以便及时发现问题，采取措施，本评价要求建设单位制定土壤环境跟踪监测计划、建立跟踪监测制度。</w:t>
      </w:r>
    </w:p>
    <w:p w14:paraId="53795904">
      <w:pPr>
        <w:widowControl w:val="0"/>
        <w:spacing w:line="360" w:lineRule="auto"/>
        <w:ind w:firstLine="480" w:firstLineChars="200"/>
        <w:jc w:val="both"/>
        <w:rPr>
          <w:rFonts w:ascii="Times New Roman" w:hAnsi="Times New Roman" w:cs="Times New Roman"/>
          <w:color w:val="auto"/>
          <w:kern w:val="2"/>
          <w:lang w:eastAsia="zh-CN"/>
        </w:rPr>
      </w:pPr>
      <w:r>
        <w:rPr>
          <w:rFonts w:ascii="Times New Roman" w:hAnsi="Times New Roman" w:cs="Times New Roman"/>
          <w:color w:val="auto"/>
          <w:kern w:val="2"/>
          <w:lang w:eastAsia="zh-CN"/>
        </w:rPr>
        <w:t>根据《环境影响评价技术导则 土壤环境（试行）》（HJ964-2018）及《工业企业土壤和地下水自行监测技术指南（试行）》（HJ 1209-2021），评价等级为</w:t>
      </w:r>
      <w:r>
        <w:rPr>
          <w:rFonts w:hint="eastAsia" w:ascii="Times New Roman" w:hAnsi="Times New Roman" w:cs="Times New Roman"/>
          <w:color w:val="auto"/>
          <w:kern w:val="2"/>
          <w:lang w:eastAsia="zh-CN"/>
        </w:rPr>
        <w:t>一</w:t>
      </w:r>
      <w:r>
        <w:rPr>
          <w:rFonts w:ascii="Times New Roman" w:hAnsi="Times New Roman" w:cs="Times New Roman"/>
          <w:color w:val="auto"/>
          <w:kern w:val="2"/>
          <w:lang w:eastAsia="zh-CN"/>
        </w:rPr>
        <w:t>级的项目一般每</w:t>
      </w:r>
      <w:r>
        <w:rPr>
          <w:rFonts w:hint="eastAsia" w:ascii="Times New Roman" w:hAnsi="Times New Roman" w:cs="Times New Roman"/>
          <w:color w:val="auto"/>
          <w:kern w:val="2"/>
          <w:lang w:eastAsia="zh-CN"/>
        </w:rPr>
        <w:t>3</w:t>
      </w:r>
      <w:r>
        <w:rPr>
          <w:rFonts w:ascii="Times New Roman" w:hAnsi="Times New Roman" w:cs="Times New Roman"/>
          <w:color w:val="auto"/>
          <w:kern w:val="2"/>
          <w:lang w:eastAsia="zh-CN"/>
        </w:rPr>
        <w:t>年内开展1次监测工作，项目土壤环境跟踪监测计划如下表所示。</w:t>
      </w:r>
    </w:p>
    <w:p w14:paraId="7158C8E4">
      <w:pPr>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表8.2-</w:t>
      </w:r>
      <w:r>
        <w:rPr>
          <w:rFonts w:hint="eastAsia" w:ascii="Times New Roman" w:hAnsi="Times New Roman" w:cs="Times New Roman"/>
          <w:b/>
          <w:bCs/>
          <w:color w:val="auto"/>
          <w:szCs w:val="24"/>
          <w:lang w:eastAsia="zh-CN"/>
        </w:rPr>
        <w:t>13</w:t>
      </w:r>
      <w:r>
        <w:rPr>
          <w:rFonts w:ascii="Times New Roman" w:hAnsi="Times New Roman" w:cs="Times New Roman"/>
          <w:b/>
          <w:bCs/>
          <w:color w:val="auto"/>
          <w:szCs w:val="24"/>
          <w:lang w:eastAsia="zh-CN"/>
        </w:rPr>
        <w:t xml:space="preserve"> 项目土壤跟踪监测计划</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2126"/>
        <w:gridCol w:w="1419"/>
        <w:gridCol w:w="2722"/>
        <w:gridCol w:w="1122"/>
        <w:gridCol w:w="1116"/>
      </w:tblGrid>
      <w:tr w14:paraId="247285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88" w:type="pct"/>
            <w:vAlign w:val="center"/>
          </w:tcPr>
          <w:p w14:paraId="761FB5E1">
            <w:pPr>
              <w:adjustRightInd w:val="0"/>
              <w:snapToGrid w:val="0"/>
              <w:spacing w:before="60" w:after="60"/>
              <w:jc w:val="center"/>
              <w:rPr>
                <w:rFonts w:ascii="Times New Roman" w:hAnsi="Times New Roman" w:cs="Times New Roman"/>
                <w:b/>
                <w:bCs/>
                <w:color w:val="auto"/>
                <w:sz w:val="21"/>
              </w:rPr>
            </w:pPr>
            <w:r>
              <w:rPr>
                <w:rFonts w:ascii="Times New Roman" w:hAnsi="Times New Roman" w:cs="Times New Roman"/>
                <w:b/>
                <w:bCs/>
                <w:color w:val="auto"/>
                <w:sz w:val="21"/>
              </w:rPr>
              <w:t>监测点</w:t>
            </w:r>
          </w:p>
        </w:tc>
        <w:tc>
          <w:tcPr>
            <w:tcW w:w="1103" w:type="pct"/>
            <w:vAlign w:val="center"/>
          </w:tcPr>
          <w:p w14:paraId="39917E09">
            <w:pPr>
              <w:adjustRightInd w:val="0"/>
              <w:snapToGrid w:val="0"/>
              <w:spacing w:before="60" w:after="60"/>
              <w:jc w:val="center"/>
              <w:rPr>
                <w:rFonts w:ascii="Times New Roman" w:hAnsi="Times New Roman" w:cs="Times New Roman"/>
                <w:b/>
                <w:bCs/>
                <w:color w:val="auto"/>
                <w:sz w:val="21"/>
              </w:rPr>
            </w:pPr>
            <w:r>
              <w:rPr>
                <w:rFonts w:ascii="Times New Roman" w:hAnsi="Times New Roman" w:cs="Times New Roman"/>
                <w:b/>
                <w:bCs/>
                <w:color w:val="auto"/>
                <w:sz w:val="21"/>
              </w:rPr>
              <w:t>监测点位置</w:t>
            </w:r>
          </w:p>
        </w:tc>
        <w:tc>
          <w:tcPr>
            <w:tcW w:w="736" w:type="pct"/>
            <w:vAlign w:val="center"/>
          </w:tcPr>
          <w:p w14:paraId="1D9CFE81">
            <w:pPr>
              <w:adjustRightInd w:val="0"/>
              <w:snapToGrid w:val="0"/>
              <w:spacing w:before="60" w:after="60"/>
              <w:jc w:val="center"/>
              <w:rPr>
                <w:rFonts w:ascii="Times New Roman" w:hAnsi="Times New Roman" w:cs="Times New Roman"/>
                <w:b/>
                <w:bCs/>
                <w:color w:val="auto"/>
                <w:sz w:val="21"/>
                <w:lang w:eastAsia="zh-CN"/>
              </w:rPr>
            </w:pPr>
            <w:r>
              <w:rPr>
                <w:rFonts w:ascii="Times New Roman" w:hAnsi="Times New Roman" w:cs="Times New Roman"/>
                <w:b/>
                <w:bCs/>
                <w:color w:val="auto"/>
                <w:sz w:val="21"/>
              </w:rPr>
              <w:t>监测</w:t>
            </w:r>
            <w:r>
              <w:rPr>
                <w:rFonts w:ascii="Times New Roman" w:hAnsi="Times New Roman" w:cs="Times New Roman"/>
                <w:b/>
                <w:bCs/>
                <w:color w:val="auto"/>
                <w:sz w:val="21"/>
                <w:lang w:eastAsia="zh-CN"/>
              </w:rPr>
              <w:t>对象</w:t>
            </w:r>
          </w:p>
        </w:tc>
        <w:tc>
          <w:tcPr>
            <w:tcW w:w="1412" w:type="pct"/>
            <w:vAlign w:val="center"/>
          </w:tcPr>
          <w:p w14:paraId="2ADC6F89">
            <w:pPr>
              <w:adjustRightInd w:val="0"/>
              <w:snapToGrid w:val="0"/>
              <w:spacing w:before="60" w:after="60"/>
              <w:jc w:val="center"/>
              <w:rPr>
                <w:rFonts w:ascii="Times New Roman" w:hAnsi="Times New Roman" w:cs="Times New Roman"/>
                <w:b/>
                <w:bCs/>
                <w:color w:val="auto"/>
                <w:sz w:val="21"/>
              </w:rPr>
            </w:pPr>
            <w:r>
              <w:rPr>
                <w:rFonts w:ascii="Times New Roman" w:hAnsi="Times New Roman" w:cs="Times New Roman"/>
                <w:b/>
                <w:bCs/>
                <w:color w:val="auto"/>
                <w:sz w:val="21"/>
              </w:rPr>
              <w:t>监测因子</w:t>
            </w:r>
          </w:p>
        </w:tc>
        <w:tc>
          <w:tcPr>
            <w:tcW w:w="582" w:type="pct"/>
            <w:vAlign w:val="center"/>
          </w:tcPr>
          <w:p w14:paraId="65AF97FC">
            <w:pPr>
              <w:adjustRightInd w:val="0"/>
              <w:snapToGrid w:val="0"/>
              <w:spacing w:before="60" w:after="60"/>
              <w:jc w:val="center"/>
              <w:rPr>
                <w:rFonts w:ascii="Times New Roman" w:hAnsi="Times New Roman" w:cs="Times New Roman"/>
                <w:b/>
                <w:bCs/>
                <w:color w:val="auto"/>
                <w:sz w:val="21"/>
              </w:rPr>
            </w:pPr>
            <w:r>
              <w:rPr>
                <w:rFonts w:ascii="Times New Roman" w:hAnsi="Times New Roman" w:cs="Times New Roman"/>
                <w:b/>
                <w:bCs/>
                <w:color w:val="auto"/>
                <w:sz w:val="21"/>
              </w:rPr>
              <w:t>监测频率</w:t>
            </w:r>
          </w:p>
        </w:tc>
        <w:tc>
          <w:tcPr>
            <w:tcW w:w="579" w:type="pct"/>
            <w:vAlign w:val="center"/>
          </w:tcPr>
          <w:p w14:paraId="1C6687C0">
            <w:pPr>
              <w:adjustRightInd w:val="0"/>
              <w:snapToGrid w:val="0"/>
              <w:spacing w:before="60" w:after="60"/>
              <w:jc w:val="center"/>
              <w:rPr>
                <w:rFonts w:ascii="Times New Roman" w:hAnsi="Times New Roman" w:cs="Times New Roman"/>
                <w:b/>
                <w:bCs/>
                <w:color w:val="auto"/>
                <w:sz w:val="21"/>
              </w:rPr>
            </w:pPr>
            <w:r>
              <w:rPr>
                <w:rFonts w:ascii="Times New Roman" w:hAnsi="Times New Roman" w:cs="Times New Roman"/>
                <w:b/>
                <w:bCs/>
                <w:color w:val="auto"/>
                <w:sz w:val="21"/>
              </w:rPr>
              <w:t>备注</w:t>
            </w:r>
          </w:p>
        </w:tc>
      </w:tr>
      <w:tr w14:paraId="19DF07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88" w:type="pct"/>
            <w:vAlign w:val="center"/>
          </w:tcPr>
          <w:p w14:paraId="5869F530">
            <w:pPr>
              <w:adjustRightInd w:val="0"/>
              <w:snapToGrid w:val="0"/>
              <w:spacing w:before="60" w:after="60"/>
              <w:jc w:val="center"/>
              <w:rPr>
                <w:rFonts w:ascii="Times New Roman" w:hAnsi="Times New Roman" w:cs="Times New Roman"/>
                <w:color w:val="auto"/>
                <w:sz w:val="21"/>
              </w:rPr>
            </w:pPr>
            <w:r>
              <w:rPr>
                <w:rFonts w:ascii="Times New Roman" w:hAnsi="Times New Roman" w:cs="Times New Roman"/>
                <w:color w:val="auto"/>
                <w:sz w:val="21"/>
              </w:rPr>
              <w:t>T1</w:t>
            </w:r>
          </w:p>
        </w:tc>
        <w:tc>
          <w:tcPr>
            <w:tcW w:w="1103" w:type="pct"/>
            <w:vAlign w:val="center"/>
          </w:tcPr>
          <w:p w14:paraId="73F02719">
            <w:pPr>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占地范围内</w:t>
            </w:r>
            <w:r>
              <w:rPr>
                <w:rFonts w:hint="eastAsia" w:ascii="Times New Roman" w:hAnsi="Times New Roman" w:cs="Times New Roman"/>
                <w:color w:val="auto"/>
                <w:sz w:val="21"/>
                <w:lang w:eastAsia="zh-CN"/>
              </w:rPr>
              <w:t>原料及产品罐区</w:t>
            </w:r>
            <w:r>
              <w:rPr>
                <w:rFonts w:ascii="Times New Roman" w:hAnsi="Times New Roman" w:cs="Times New Roman"/>
                <w:color w:val="auto"/>
                <w:sz w:val="21"/>
                <w:lang w:eastAsia="zh-CN"/>
              </w:rPr>
              <w:t>附近</w:t>
            </w:r>
          </w:p>
        </w:tc>
        <w:tc>
          <w:tcPr>
            <w:tcW w:w="736" w:type="pct"/>
            <w:vAlign w:val="center"/>
          </w:tcPr>
          <w:p w14:paraId="5F18E32A">
            <w:pPr>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深层土壤</w:t>
            </w:r>
          </w:p>
        </w:tc>
        <w:tc>
          <w:tcPr>
            <w:tcW w:w="1412" w:type="pct"/>
            <w:vMerge w:val="restart"/>
            <w:vAlign w:val="center"/>
          </w:tcPr>
          <w:p w14:paraId="58CFB07A">
            <w:pPr>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《建设用地土壤污染风险管控标准（试行）》（GB36600-2018）45项</w:t>
            </w:r>
          </w:p>
        </w:tc>
        <w:tc>
          <w:tcPr>
            <w:tcW w:w="582" w:type="pct"/>
            <w:vAlign w:val="center"/>
          </w:tcPr>
          <w:p w14:paraId="32B21994">
            <w:pPr>
              <w:adjustRightInd w:val="0"/>
              <w:snapToGrid w:val="0"/>
              <w:spacing w:before="60" w:after="60"/>
              <w:jc w:val="center"/>
              <w:rPr>
                <w:rFonts w:ascii="Times New Roman" w:hAnsi="Times New Roman" w:cs="Times New Roman"/>
                <w:color w:val="auto"/>
                <w:sz w:val="21"/>
              </w:rPr>
            </w:pPr>
            <w:r>
              <w:rPr>
                <w:rFonts w:ascii="Times New Roman" w:hAnsi="Times New Roman" w:cs="Times New Roman"/>
                <w:color w:val="auto"/>
                <w:sz w:val="21"/>
              </w:rPr>
              <w:t>每</w:t>
            </w:r>
            <w:r>
              <w:rPr>
                <w:rFonts w:hint="eastAsia" w:ascii="Times New Roman" w:hAnsi="Times New Roman" w:cs="Times New Roman"/>
                <w:color w:val="auto"/>
                <w:sz w:val="21"/>
                <w:lang w:eastAsia="zh-CN"/>
              </w:rPr>
              <w:t>3</w:t>
            </w:r>
            <w:r>
              <w:rPr>
                <w:rFonts w:ascii="Times New Roman" w:hAnsi="Times New Roman" w:cs="Times New Roman"/>
                <w:color w:val="auto"/>
                <w:sz w:val="21"/>
              </w:rPr>
              <w:t>年开展一次</w:t>
            </w:r>
          </w:p>
        </w:tc>
        <w:tc>
          <w:tcPr>
            <w:tcW w:w="579" w:type="pct"/>
            <w:vAlign w:val="center"/>
          </w:tcPr>
          <w:p w14:paraId="758C13C3">
            <w:pPr>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rPr>
              <w:t>不得破坏防渗措施</w:t>
            </w:r>
          </w:p>
        </w:tc>
      </w:tr>
      <w:tr w14:paraId="12A904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88" w:type="pct"/>
            <w:vAlign w:val="center"/>
          </w:tcPr>
          <w:p w14:paraId="1C25A27A">
            <w:pPr>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rPr>
              <w:t>T2</w:t>
            </w:r>
          </w:p>
        </w:tc>
        <w:tc>
          <w:tcPr>
            <w:tcW w:w="1103" w:type="pct"/>
            <w:vAlign w:val="center"/>
          </w:tcPr>
          <w:p w14:paraId="6AD6EAB3">
            <w:pPr>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占地范围内</w:t>
            </w:r>
            <w:r>
              <w:rPr>
                <w:rFonts w:hint="eastAsia" w:ascii="Times New Roman" w:hAnsi="Times New Roman" w:cs="Times New Roman"/>
                <w:color w:val="auto"/>
                <w:sz w:val="21"/>
                <w:lang w:eastAsia="zh-CN"/>
              </w:rPr>
              <w:t>污水处理站</w:t>
            </w:r>
            <w:r>
              <w:rPr>
                <w:rFonts w:ascii="Times New Roman" w:hAnsi="Times New Roman" w:cs="Times New Roman"/>
                <w:color w:val="auto"/>
                <w:sz w:val="21"/>
                <w:lang w:eastAsia="zh-CN"/>
              </w:rPr>
              <w:t>附近</w:t>
            </w:r>
          </w:p>
        </w:tc>
        <w:tc>
          <w:tcPr>
            <w:tcW w:w="736" w:type="pct"/>
            <w:vAlign w:val="center"/>
          </w:tcPr>
          <w:p w14:paraId="51F6C0B3">
            <w:pPr>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表层土壤</w:t>
            </w:r>
          </w:p>
        </w:tc>
        <w:tc>
          <w:tcPr>
            <w:tcW w:w="1412" w:type="pct"/>
            <w:vMerge w:val="continue"/>
            <w:vAlign w:val="center"/>
          </w:tcPr>
          <w:p w14:paraId="024B6D9F">
            <w:pPr>
              <w:adjustRightInd w:val="0"/>
              <w:snapToGrid w:val="0"/>
              <w:spacing w:before="60" w:after="60"/>
              <w:jc w:val="center"/>
              <w:rPr>
                <w:rFonts w:ascii="Times New Roman" w:hAnsi="Times New Roman" w:cs="Times New Roman"/>
                <w:color w:val="auto"/>
                <w:sz w:val="21"/>
                <w:lang w:eastAsia="zh-CN"/>
              </w:rPr>
            </w:pPr>
          </w:p>
        </w:tc>
        <w:tc>
          <w:tcPr>
            <w:tcW w:w="582" w:type="pct"/>
            <w:vAlign w:val="center"/>
          </w:tcPr>
          <w:p w14:paraId="22B91107">
            <w:pPr>
              <w:adjustRightInd w:val="0"/>
              <w:snapToGrid w:val="0"/>
              <w:spacing w:before="60" w:after="60"/>
              <w:jc w:val="center"/>
              <w:rPr>
                <w:rFonts w:ascii="Times New Roman" w:hAnsi="Times New Roman" w:cs="Times New Roman"/>
                <w:color w:val="auto"/>
                <w:sz w:val="21"/>
              </w:rPr>
            </w:pPr>
            <w:r>
              <w:rPr>
                <w:rFonts w:ascii="Times New Roman" w:hAnsi="Times New Roman" w:cs="Times New Roman"/>
                <w:color w:val="auto"/>
                <w:sz w:val="21"/>
              </w:rPr>
              <w:t>每</w:t>
            </w:r>
            <w:r>
              <w:rPr>
                <w:rFonts w:hint="eastAsia" w:ascii="Times New Roman" w:hAnsi="Times New Roman" w:cs="Times New Roman"/>
                <w:color w:val="auto"/>
                <w:sz w:val="21"/>
                <w:lang w:eastAsia="zh-CN"/>
              </w:rPr>
              <w:t>1</w:t>
            </w:r>
            <w:r>
              <w:rPr>
                <w:rFonts w:ascii="Times New Roman" w:hAnsi="Times New Roman" w:cs="Times New Roman"/>
                <w:color w:val="auto"/>
                <w:sz w:val="21"/>
              </w:rPr>
              <w:t>年开展一次</w:t>
            </w:r>
          </w:p>
        </w:tc>
        <w:tc>
          <w:tcPr>
            <w:tcW w:w="579" w:type="pct"/>
            <w:vAlign w:val="center"/>
          </w:tcPr>
          <w:p w14:paraId="30CF1017">
            <w:pPr>
              <w:adjustRightInd w:val="0"/>
              <w:snapToGrid w:val="0"/>
              <w:spacing w:before="60" w:after="60"/>
              <w:jc w:val="center"/>
              <w:rPr>
                <w:rFonts w:ascii="Times New Roman" w:hAnsi="Times New Roman" w:cs="Times New Roman"/>
                <w:color w:val="auto"/>
                <w:sz w:val="21"/>
              </w:rPr>
            </w:pPr>
            <w:r>
              <w:rPr>
                <w:rFonts w:ascii="Times New Roman" w:hAnsi="Times New Roman" w:cs="Times New Roman"/>
                <w:color w:val="auto"/>
                <w:sz w:val="21"/>
              </w:rPr>
              <w:t>不得破坏防渗措施</w:t>
            </w:r>
          </w:p>
        </w:tc>
      </w:tr>
    </w:tbl>
    <w:p w14:paraId="50766007">
      <w:pPr>
        <w:pStyle w:val="3"/>
        <w:spacing w:before="360" w:after="360"/>
        <w:ind w:firstLine="883"/>
        <w:rPr>
          <w:rFonts w:ascii="Times New Roman" w:hAnsi="Times New Roman" w:cs="Times New Roman"/>
          <w:color w:val="auto"/>
          <w:lang w:eastAsia="zh-CN"/>
        </w:rPr>
        <w:sectPr>
          <w:pgSz w:w="11907" w:h="16840"/>
          <w:pgMar w:top="1191" w:right="1134" w:bottom="1191" w:left="1134" w:header="933" w:footer="671" w:gutter="0"/>
          <w:cols w:space="720" w:num="1"/>
        </w:sectPr>
      </w:pPr>
    </w:p>
    <w:p w14:paraId="684EB9CB">
      <w:pPr>
        <w:spacing w:line="360" w:lineRule="auto"/>
        <w:jc w:val="center"/>
        <w:outlineLvl w:val="0"/>
        <w:rPr>
          <w:rFonts w:ascii="Times New Roman" w:hAnsi="Times New Roman" w:cs="Times New Roman"/>
          <w:b/>
          <w:bCs/>
          <w:color w:val="auto"/>
          <w:sz w:val="32"/>
          <w:szCs w:val="24"/>
          <w:lang w:eastAsia="zh-CN"/>
        </w:rPr>
      </w:pPr>
      <w:bookmarkStart w:id="2531" w:name="_Toc237508411"/>
      <w:r>
        <w:rPr>
          <w:rFonts w:ascii="Times New Roman" w:hAnsi="Times New Roman" w:cs="Times New Roman"/>
          <w:b/>
          <w:bCs/>
          <w:color w:val="auto"/>
          <w:sz w:val="32"/>
          <w:szCs w:val="24"/>
          <w:lang w:eastAsia="zh-CN"/>
        </w:rPr>
        <w:t>9 环境经济损益分析</w:t>
      </w:r>
      <w:bookmarkEnd w:id="2531"/>
    </w:p>
    <w:p w14:paraId="2F3A8500">
      <w:pPr>
        <w:spacing w:line="360" w:lineRule="auto"/>
        <w:ind w:firstLine="480" w:firstLineChars="200"/>
        <w:rPr>
          <w:rFonts w:ascii="Times New Roman" w:hAnsi="Times New Roman" w:cs="Times New Roman"/>
          <w:color w:val="auto"/>
          <w:szCs w:val="24"/>
          <w:lang w:eastAsia="zh-CN"/>
        </w:rPr>
      </w:pPr>
    </w:p>
    <w:p w14:paraId="730D2C2F">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环境经济损益分析是项目环境影响评价的一个重要组成部分。其主要任务是衡量建设项目需要投入的环保投资及所能收到的环境保护效果。因此，在环境损益分析中除需要计算用于控制污染所需投资和运行费用外，还要同时核算可能收到的环境与经济实效，甚至还包括项目的社会经济效益，以求对项目环保投资取得的环境保护效果有全面和明确的评价。</w:t>
      </w:r>
    </w:p>
    <w:p w14:paraId="5B650973">
      <w:pPr>
        <w:spacing w:line="360" w:lineRule="auto"/>
        <w:ind w:firstLine="562"/>
        <w:outlineLvl w:val="1"/>
        <w:rPr>
          <w:rFonts w:ascii="Times New Roman" w:hAnsi="Times New Roman" w:cs="Times New Roman"/>
          <w:b/>
          <w:bCs/>
          <w:color w:val="auto"/>
          <w:sz w:val="28"/>
          <w:szCs w:val="22"/>
          <w:lang w:eastAsia="zh-CN"/>
        </w:rPr>
      </w:pPr>
      <w:bookmarkStart w:id="2532" w:name="_Toc6309"/>
      <w:bookmarkStart w:id="2533" w:name="_Toc237508412"/>
      <w:r>
        <w:rPr>
          <w:rFonts w:ascii="Times New Roman" w:hAnsi="Times New Roman" w:cs="Times New Roman"/>
          <w:b/>
          <w:bCs/>
          <w:color w:val="auto"/>
          <w:sz w:val="28"/>
          <w:szCs w:val="22"/>
          <w:lang w:eastAsia="zh-CN"/>
        </w:rPr>
        <w:t>9.1</w:t>
      </w:r>
      <w:r>
        <w:rPr>
          <w:rFonts w:hint="eastAsia" w:ascii="Times New Roman" w:hAnsi="Times New Roman" w:cs="Times New Roman"/>
          <w:b/>
          <w:bCs/>
          <w:color w:val="auto"/>
          <w:sz w:val="28"/>
          <w:szCs w:val="22"/>
          <w:lang w:eastAsia="zh-CN"/>
        </w:rPr>
        <w:t xml:space="preserve"> </w:t>
      </w:r>
      <w:r>
        <w:rPr>
          <w:rFonts w:ascii="Times New Roman" w:hAnsi="Times New Roman" w:cs="Times New Roman"/>
          <w:b/>
          <w:bCs/>
          <w:color w:val="auto"/>
          <w:sz w:val="28"/>
          <w:szCs w:val="22"/>
          <w:lang w:eastAsia="zh-CN"/>
        </w:rPr>
        <w:t>工程环保投资</w:t>
      </w:r>
      <w:bookmarkEnd w:id="2532"/>
      <w:bookmarkEnd w:id="2533"/>
    </w:p>
    <w:p w14:paraId="4E285CB7">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根据设计方案，项目所需新增主要污染防治措施及投资估算汇总见表9.1-1。</w:t>
      </w:r>
    </w:p>
    <w:p w14:paraId="7D79AD72">
      <w:pPr>
        <w:spacing w:line="360" w:lineRule="auto"/>
        <w:jc w:val="center"/>
        <w:rPr>
          <w:rFonts w:ascii="Times New Roman" w:hAnsi="Times New Roman" w:cs="Times New Roman"/>
          <w:b/>
          <w:bCs/>
          <w:color w:val="auto"/>
          <w:szCs w:val="24"/>
          <w:lang w:eastAsia="zh-CN"/>
        </w:rPr>
      </w:pPr>
      <w:r>
        <w:rPr>
          <w:rFonts w:ascii="Times New Roman" w:hAnsi="Times New Roman" w:cs="Times New Roman"/>
          <w:b/>
          <w:bCs/>
          <w:color w:val="auto"/>
          <w:szCs w:val="24"/>
          <w:lang w:eastAsia="zh-CN"/>
        </w:rPr>
        <w:t>表9.1-1  拟建工程环保投资估算表（万元）</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975"/>
        <w:gridCol w:w="7029"/>
        <w:gridCol w:w="991"/>
      </w:tblGrid>
      <w:tr w14:paraId="0D0B96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4" w:type="pct"/>
            <w:vAlign w:val="center"/>
          </w:tcPr>
          <w:p w14:paraId="3FFFEDDE">
            <w:pPr>
              <w:widowControl w:val="0"/>
              <w:adjustRightInd w:val="0"/>
              <w:snapToGrid w:val="0"/>
              <w:spacing w:before="60" w:after="60"/>
              <w:jc w:val="center"/>
              <w:rPr>
                <w:rFonts w:ascii="Times New Roman" w:hAnsi="Times New Roman" w:cs="Times New Roman"/>
                <w:b/>
                <w:bCs/>
                <w:snapToGrid/>
                <w:color w:val="auto"/>
                <w:sz w:val="21"/>
                <w:lang w:eastAsia="zh-CN"/>
              </w:rPr>
            </w:pPr>
            <w:r>
              <w:rPr>
                <w:rFonts w:ascii="Times New Roman" w:hAnsi="Times New Roman" w:cs="Times New Roman"/>
                <w:b/>
                <w:bCs/>
                <w:snapToGrid/>
                <w:color w:val="auto"/>
                <w:sz w:val="21"/>
                <w:lang w:eastAsia="zh-CN"/>
              </w:rPr>
              <w:t>序号</w:t>
            </w:r>
          </w:p>
        </w:tc>
        <w:tc>
          <w:tcPr>
            <w:tcW w:w="506" w:type="pct"/>
            <w:vAlign w:val="center"/>
          </w:tcPr>
          <w:p w14:paraId="58553670">
            <w:pPr>
              <w:widowControl w:val="0"/>
              <w:adjustRightInd w:val="0"/>
              <w:snapToGrid w:val="0"/>
              <w:spacing w:before="60" w:after="60"/>
              <w:jc w:val="center"/>
              <w:rPr>
                <w:rFonts w:ascii="Times New Roman" w:hAnsi="Times New Roman" w:cs="Times New Roman"/>
                <w:b/>
                <w:bCs/>
                <w:snapToGrid/>
                <w:color w:val="auto"/>
                <w:sz w:val="21"/>
                <w:lang w:eastAsia="zh-CN"/>
              </w:rPr>
            </w:pPr>
            <w:r>
              <w:rPr>
                <w:rFonts w:ascii="Times New Roman" w:hAnsi="Times New Roman" w:cs="Times New Roman"/>
                <w:b/>
                <w:bCs/>
                <w:snapToGrid/>
                <w:color w:val="auto"/>
                <w:sz w:val="21"/>
                <w:lang w:eastAsia="zh-CN"/>
              </w:rPr>
              <w:t>污染类型</w:t>
            </w:r>
          </w:p>
        </w:tc>
        <w:tc>
          <w:tcPr>
            <w:tcW w:w="3646" w:type="pct"/>
            <w:vAlign w:val="center"/>
          </w:tcPr>
          <w:p w14:paraId="581649E4">
            <w:pPr>
              <w:widowControl w:val="0"/>
              <w:adjustRightInd w:val="0"/>
              <w:snapToGrid w:val="0"/>
              <w:spacing w:before="60" w:after="60"/>
              <w:jc w:val="center"/>
              <w:rPr>
                <w:rFonts w:ascii="Times New Roman" w:hAnsi="Times New Roman" w:cs="Times New Roman"/>
                <w:b/>
                <w:bCs/>
                <w:snapToGrid/>
                <w:color w:val="auto"/>
                <w:sz w:val="21"/>
                <w:lang w:eastAsia="zh-CN"/>
              </w:rPr>
            </w:pPr>
            <w:r>
              <w:rPr>
                <w:rFonts w:ascii="Times New Roman" w:hAnsi="Times New Roman" w:cs="Times New Roman"/>
                <w:b/>
                <w:bCs/>
                <w:snapToGrid/>
                <w:color w:val="auto"/>
                <w:sz w:val="21"/>
                <w:lang w:eastAsia="zh-CN"/>
              </w:rPr>
              <w:t>污染防治措施</w:t>
            </w:r>
          </w:p>
        </w:tc>
        <w:tc>
          <w:tcPr>
            <w:tcW w:w="514" w:type="pct"/>
            <w:vAlign w:val="center"/>
          </w:tcPr>
          <w:p w14:paraId="6A1D9C8C">
            <w:pPr>
              <w:widowControl w:val="0"/>
              <w:adjustRightInd w:val="0"/>
              <w:snapToGrid w:val="0"/>
              <w:spacing w:before="60" w:after="60"/>
              <w:jc w:val="center"/>
              <w:rPr>
                <w:rFonts w:ascii="Times New Roman" w:hAnsi="Times New Roman" w:cs="Times New Roman"/>
                <w:b/>
                <w:bCs/>
                <w:snapToGrid/>
                <w:color w:val="auto"/>
                <w:sz w:val="21"/>
                <w:lang w:eastAsia="zh-CN"/>
              </w:rPr>
            </w:pPr>
            <w:r>
              <w:rPr>
                <w:rFonts w:ascii="Times New Roman" w:hAnsi="Times New Roman" w:cs="Times New Roman"/>
                <w:b/>
                <w:bCs/>
                <w:snapToGrid/>
                <w:color w:val="auto"/>
                <w:sz w:val="21"/>
                <w:lang w:eastAsia="zh-CN"/>
              </w:rPr>
              <w:t>投资额</w:t>
            </w:r>
          </w:p>
        </w:tc>
      </w:tr>
      <w:tr w14:paraId="7AD490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4" w:type="pct"/>
            <w:vMerge w:val="restart"/>
            <w:vAlign w:val="center"/>
          </w:tcPr>
          <w:p w14:paraId="108E1F96">
            <w:pPr>
              <w:widowControl w:val="0"/>
              <w:adjustRightInd w:val="0"/>
              <w:snapToGrid w:val="0"/>
              <w:spacing w:before="60" w:after="6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1</w:t>
            </w:r>
          </w:p>
        </w:tc>
        <w:tc>
          <w:tcPr>
            <w:tcW w:w="506" w:type="pct"/>
            <w:vMerge w:val="restart"/>
            <w:vAlign w:val="center"/>
          </w:tcPr>
          <w:p w14:paraId="375E770A">
            <w:pPr>
              <w:widowControl w:val="0"/>
              <w:adjustRightInd w:val="0"/>
              <w:snapToGrid w:val="0"/>
              <w:spacing w:before="60" w:after="6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废水</w:t>
            </w:r>
          </w:p>
        </w:tc>
        <w:tc>
          <w:tcPr>
            <w:tcW w:w="3646" w:type="pct"/>
            <w:vAlign w:val="center"/>
          </w:tcPr>
          <w:p w14:paraId="3E09814A">
            <w:pPr>
              <w:widowControl w:val="0"/>
              <w:adjustRightInd w:val="0"/>
              <w:snapToGrid w:val="0"/>
              <w:spacing w:before="60" w:after="6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厂内</w:t>
            </w:r>
            <w:r>
              <w:rPr>
                <w:rFonts w:hint="eastAsia" w:ascii="Times New Roman" w:hAnsi="Times New Roman" w:cs="Times New Roman"/>
                <w:snapToGrid/>
                <w:color w:val="auto"/>
                <w:sz w:val="21"/>
                <w:lang w:eastAsia="zh-CN"/>
              </w:rPr>
              <w:t>已设置</w:t>
            </w:r>
            <w:r>
              <w:rPr>
                <w:rFonts w:ascii="Times New Roman" w:hAnsi="Times New Roman" w:cs="Times New Roman"/>
                <w:snapToGrid/>
                <w:color w:val="auto"/>
                <w:sz w:val="21"/>
                <w:lang w:eastAsia="zh-CN"/>
              </w:rPr>
              <w:t xml:space="preserve"> “清污分流、雨污分流”排水体制 </w:t>
            </w:r>
          </w:p>
        </w:tc>
        <w:tc>
          <w:tcPr>
            <w:tcW w:w="514" w:type="pct"/>
            <w:vMerge w:val="restart"/>
            <w:vAlign w:val="center"/>
          </w:tcPr>
          <w:p w14:paraId="0DB1D8BD">
            <w:pPr>
              <w:widowControl w:val="0"/>
              <w:adjustRightInd w:val="0"/>
              <w:snapToGrid w:val="0"/>
              <w:spacing w:before="60" w:after="6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0</w:t>
            </w:r>
          </w:p>
        </w:tc>
      </w:tr>
      <w:tr w14:paraId="6F8270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4" w:type="pct"/>
            <w:vMerge w:val="continue"/>
            <w:vAlign w:val="center"/>
          </w:tcPr>
          <w:p w14:paraId="47C6760E">
            <w:pPr>
              <w:widowControl w:val="0"/>
              <w:adjustRightInd w:val="0"/>
              <w:snapToGrid w:val="0"/>
              <w:spacing w:before="60" w:after="60"/>
              <w:jc w:val="center"/>
              <w:rPr>
                <w:rFonts w:ascii="Times New Roman" w:hAnsi="Times New Roman" w:cs="Times New Roman"/>
                <w:snapToGrid/>
                <w:color w:val="auto"/>
                <w:sz w:val="21"/>
                <w:lang w:eastAsia="zh-CN"/>
              </w:rPr>
            </w:pPr>
          </w:p>
        </w:tc>
        <w:tc>
          <w:tcPr>
            <w:tcW w:w="506" w:type="pct"/>
            <w:vMerge w:val="continue"/>
            <w:vAlign w:val="center"/>
          </w:tcPr>
          <w:p w14:paraId="23ABD606">
            <w:pPr>
              <w:widowControl w:val="0"/>
              <w:adjustRightInd w:val="0"/>
              <w:snapToGrid w:val="0"/>
              <w:spacing w:before="60" w:after="60"/>
              <w:jc w:val="center"/>
              <w:rPr>
                <w:rFonts w:ascii="Times New Roman" w:hAnsi="Times New Roman" w:cs="Times New Roman"/>
                <w:snapToGrid/>
                <w:color w:val="auto"/>
                <w:sz w:val="21"/>
                <w:lang w:eastAsia="zh-CN"/>
              </w:rPr>
            </w:pPr>
          </w:p>
        </w:tc>
        <w:tc>
          <w:tcPr>
            <w:tcW w:w="3646" w:type="pct"/>
            <w:vAlign w:val="center"/>
          </w:tcPr>
          <w:p w14:paraId="7D81B084">
            <w:pPr>
              <w:widowControl w:val="0"/>
              <w:adjustRightInd w:val="0"/>
              <w:snapToGrid w:val="0"/>
              <w:spacing w:before="60" w:after="60"/>
              <w:jc w:val="center"/>
              <w:rPr>
                <w:rFonts w:ascii="Times New Roman" w:hAnsi="Times New Roman" w:cs="Times New Roman"/>
                <w:snapToGrid/>
                <w:color w:val="auto"/>
                <w:sz w:val="21"/>
                <w:lang w:eastAsia="zh-CN"/>
              </w:rPr>
            </w:pPr>
            <w:r>
              <w:rPr>
                <w:rFonts w:hint="eastAsia" w:ascii="Times New Roman" w:hAnsi="Times New Roman" w:cs="Times New Roman"/>
                <w:color w:val="000000" w:themeColor="text1"/>
                <w:sz w:val="21"/>
                <w:lang w:eastAsia="zh-CN"/>
                <w14:textFill>
                  <w14:solidFill>
                    <w14:schemeClr w14:val="tx1"/>
                  </w14:solidFill>
                </w14:textFill>
              </w:rPr>
              <w:t>项目</w:t>
            </w:r>
            <w:r>
              <w:rPr>
                <w:rFonts w:ascii="Times New Roman" w:hAnsi="Times New Roman" w:cs="Times New Roman"/>
                <w:color w:val="000000" w:themeColor="text1"/>
                <w:sz w:val="21"/>
                <w:lang w:eastAsia="zh-CN"/>
                <w14:textFill>
                  <w14:solidFill>
                    <w14:schemeClr w14:val="tx1"/>
                  </w14:solidFill>
                </w14:textFill>
              </w:rPr>
              <w:t>碱喷淋塔置换废水、地面清洁废水依托现有厂区污水处理站“四级除氟反应+四级除氟沉淀”处理后，与循环冷却置换废水</w:t>
            </w:r>
            <w:r>
              <w:rPr>
                <w:rFonts w:hint="eastAsia" w:ascii="Times New Roman" w:hAnsi="Times New Roman" w:cs="Times New Roman"/>
                <w:color w:val="000000" w:themeColor="text1"/>
                <w:sz w:val="21"/>
                <w:lang w:eastAsia="zh-CN"/>
                <w14:textFill>
                  <w14:solidFill>
                    <w14:schemeClr w14:val="tx1"/>
                  </w14:solidFill>
                </w14:textFill>
              </w:rPr>
              <w:t>、生活污水</w:t>
            </w:r>
            <w:r>
              <w:rPr>
                <w:rFonts w:ascii="Times New Roman" w:hAnsi="Times New Roman" w:cs="Times New Roman"/>
                <w:color w:val="000000" w:themeColor="text1"/>
                <w:sz w:val="21"/>
                <w:lang w:eastAsia="zh-CN"/>
                <w14:textFill>
                  <w14:solidFill>
                    <w14:schemeClr w14:val="tx1"/>
                  </w14:solidFill>
                </w14:textFill>
              </w:rPr>
              <w:t>一同排入园区污水管网，进入沫河口污水处理厂处理达标排放</w:t>
            </w:r>
          </w:p>
        </w:tc>
        <w:tc>
          <w:tcPr>
            <w:tcW w:w="514" w:type="pct"/>
            <w:vMerge w:val="continue"/>
            <w:vAlign w:val="center"/>
          </w:tcPr>
          <w:p w14:paraId="735DC604">
            <w:pPr>
              <w:widowControl w:val="0"/>
              <w:adjustRightInd w:val="0"/>
              <w:snapToGrid w:val="0"/>
              <w:spacing w:before="60" w:after="60"/>
              <w:jc w:val="center"/>
              <w:rPr>
                <w:rFonts w:ascii="Times New Roman" w:hAnsi="Times New Roman" w:cs="Times New Roman"/>
                <w:snapToGrid/>
                <w:color w:val="auto"/>
                <w:sz w:val="21"/>
                <w:lang w:eastAsia="zh-CN"/>
              </w:rPr>
            </w:pPr>
          </w:p>
        </w:tc>
      </w:tr>
      <w:tr w14:paraId="0C94F2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43" w:hRule="atLeast"/>
          <w:jc w:val="center"/>
        </w:trPr>
        <w:tc>
          <w:tcPr>
            <w:tcW w:w="334" w:type="pct"/>
            <w:vAlign w:val="center"/>
          </w:tcPr>
          <w:p w14:paraId="7A1A3220">
            <w:pPr>
              <w:widowControl w:val="0"/>
              <w:adjustRightInd w:val="0"/>
              <w:snapToGrid w:val="0"/>
              <w:spacing w:before="60" w:after="6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2</w:t>
            </w:r>
          </w:p>
        </w:tc>
        <w:tc>
          <w:tcPr>
            <w:tcW w:w="506" w:type="pct"/>
            <w:vAlign w:val="center"/>
          </w:tcPr>
          <w:p w14:paraId="5A01E9D6">
            <w:pPr>
              <w:widowControl w:val="0"/>
              <w:adjustRightInd w:val="0"/>
              <w:snapToGrid w:val="0"/>
              <w:spacing w:before="60" w:after="6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废气</w:t>
            </w:r>
          </w:p>
        </w:tc>
        <w:tc>
          <w:tcPr>
            <w:tcW w:w="3646" w:type="pct"/>
            <w:vAlign w:val="center"/>
          </w:tcPr>
          <w:p w14:paraId="56D85EE2">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化学纯氢氟酸生产过程中产生的进料废气、混合废气、调配废气、原料及产品罐区15%氟化氢水溶液储罐、化学纯氢氟酸储罐呼吸气经管道收集，灌装废气经密闭负压收集，收集后废气进入现有二级水喷淋塔（TA001）处理；</w:t>
            </w:r>
          </w:p>
          <w:p w14:paraId="45BCEA87">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刻蚀液生产过程中产生的进料混合废气、调配废气、戊类罐区二31%盐酸储罐、化学纯氢氟酸储罐、刻蚀液储罐呼吸气经管道收集进入本次新增二级水喷淋塔（TA003）装置处理；</w:t>
            </w:r>
          </w:p>
          <w:p w14:paraId="1674AC75">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处理后废气经现有三级碱喷淋塔（TA002）+新增一级碱喷淋塔（TA004）装置处理，处理后依托现有25m高DA001排气筒排放，现有风量11000m</w:t>
            </w:r>
            <w:r>
              <w:rPr>
                <w:rFonts w:ascii="Times New Roman" w:hAnsi="Times New Roman" w:cs="Times New Roman"/>
                <w:color w:val="auto"/>
                <w:sz w:val="21"/>
                <w:vertAlign w:val="superscript"/>
                <w:lang w:eastAsia="zh-CN"/>
              </w:rPr>
              <w:t>3</w:t>
            </w:r>
            <w:r>
              <w:rPr>
                <w:rFonts w:ascii="Times New Roman" w:hAnsi="Times New Roman" w:cs="Times New Roman"/>
                <w:color w:val="auto"/>
                <w:sz w:val="21"/>
                <w:lang w:eastAsia="zh-CN"/>
              </w:rPr>
              <w:t>/h，本次新增风量8000m</w:t>
            </w:r>
            <w:r>
              <w:rPr>
                <w:rFonts w:ascii="Times New Roman" w:hAnsi="Times New Roman" w:cs="Times New Roman"/>
                <w:color w:val="auto"/>
                <w:sz w:val="21"/>
                <w:vertAlign w:val="superscript"/>
                <w:lang w:eastAsia="zh-CN"/>
              </w:rPr>
              <w:t>3</w:t>
            </w:r>
            <w:r>
              <w:rPr>
                <w:rFonts w:ascii="Times New Roman" w:hAnsi="Times New Roman" w:cs="Times New Roman"/>
                <w:color w:val="auto"/>
                <w:sz w:val="21"/>
                <w:lang w:eastAsia="zh-CN"/>
              </w:rPr>
              <w:t>/h，总风量19000m</w:t>
            </w:r>
            <w:r>
              <w:rPr>
                <w:rFonts w:ascii="Times New Roman" w:hAnsi="Times New Roman" w:cs="Times New Roman"/>
                <w:color w:val="auto"/>
                <w:sz w:val="21"/>
                <w:vertAlign w:val="superscript"/>
                <w:lang w:eastAsia="zh-CN"/>
              </w:rPr>
              <w:t>3</w:t>
            </w:r>
            <w:r>
              <w:rPr>
                <w:rFonts w:ascii="Times New Roman" w:hAnsi="Times New Roman" w:cs="Times New Roman"/>
                <w:color w:val="auto"/>
                <w:sz w:val="21"/>
                <w:lang w:eastAsia="zh-CN"/>
              </w:rPr>
              <w:t>/h。</w:t>
            </w:r>
          </w:p>
        </w:tc>
        <w:tc>
          <w:tcPr>
            <w:tcW w:w="514" w:type="pct"/>
            <w:vAlign w:val="center"/>
          </w:tcPr>
          <w:p w14:paraId="1508C5B2">
            <w:pPr>
              <w:widowControl w:val="0"/>
              <w:adjustRightInd w:val="0"/>
              <w:snapToGrid w:val="0"/>
              <w:spacing w:before="60" w:after="6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10</w:t>
            </w:r>
            <w:r>
              <w:rPr>
                <w:rFonts w:ascii="Times New Roman" w:hAnsi="Times New Roman" w:cs="Times New Roman"/>
                <w:snapToGrid/>
                <w:color w:val="auto"/>
                <w:sz w:val="21"/>
                <w:lang w:eastAsia="zh-CN"/>
              </w:rPr>
              <w:t>0</w:t>
            </w:r>
          </w:p>
        </w:tc>
      </w:tr>
      <w:tr w14:paraId="2DBCF6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4" w:type="pct"/>
            <w:vAlign w:val="center"/>
          </w:tcPr>
          <w:p w14:paraId="4FF18F73">
            <w:pPr>
              <w:widowControl w:val="0"/>
              <w:adjustRightInd w:val="0"/>
              <w:snapToGrid w:val="0"/>
              <w:spacing w:before="60" w:after="6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3</w:t>
            </w:r>
          </w:p>
        </w:tc>
        <w:tc>
          <w:tcPr>
            <w:tcW w:w="506" w:type="pct"/>
            <w:vAlign w:val="center"/>
          </w:tcPr>
          <w:p w14:paraId="011905C7">
            <w:pPr>
              <w:widowControl w:val="0"/>
              <w:adjustRightInd w:val="0"/>
              <w:snapToGrid w:val="0"/>
              <w:spacing w:before="60" w:after="6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固废</w:t>
            </w:r>
          </w:p>
        </w:tc>
        <w:tc>
          <w:tcPr>
            <w:tcW w:w="3646" w:type="pct"/>
            <w:vAlign w:val="center"/>
          </w:tcPr>
          <w:p w14:paraId="37FF42FD">
            <w:pPr>
              <w:widowControl w:val="0"/>
              <w:adjustRightInd w:val="0"/>
              <w:snapToGrid w:val="0"/>
              <w:spacing w:before="60" w:after="6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厂区已</w:t>
            </w:r>
            <w:r>
              <w:rPr>
                <w:rFonts w:ascii="Times New Roman" w:hAnsi="Times New Roman" w:cs="Times New Roman"/>
                <w:snapToGrid/>
                <w:color w:val="auto"/>
                <w:sz w:val="21"/>
                <w:lang w:eastAsia="zh-CN"/>
              </w:rPr>
              <w:t>建设1座危险废物暂存间，占地</w:t>
            </w:r>
            <w:r>
              <w:rPr>
                <w:rFonts w:hint="eastAsia" w:ascii="Times New Roman" w:hAnsi="Times New Roman" w:cs="Times New Roman"/>
                <w:snapToGrid/>
                <w:color w:val="auto"/>
                <w:sz w:val="21"/>
                <w:lang w:eastAsia="zh-CN"/>
              </w:rPr>
              <w:t>面积120</w:t>
            </w:r>
            <w:r>
              <w:rPr>
                <w:rFonts w:ascii="Times New Roman" w:hAnsi="Times New Roman" w:cs="Times New Roman"/>
                <w:snapToGrid/>
                <w:color w:val="auto"/>
                <w:sz w:val="21"/>
                <w:lang w:eastAsia="zh-CN"/>
              </w:rPr>
              <w:t>m</w:t>
            </w:r>
            <w:r>
              <w:rPr>
                <w:rFonts w:ascii="Times New Roman" w:hAnsi="Times New Roman" w:cs="Times New Roman"/>
                <w:snapToGrid/>
                <w:color w:val="auto"/>
                <w:sz w:val="21"/>
                <w:vertAlign w:val="superscript"/>
                <w:lang w:eastAsia="zh-CN"/>
              </w:rPr>
              <w:t>2</w:t>
            </w:r>
            <w:r>
              <w:rPr>
                <w:rFonts w:ascii="Times New Roman" w:hAnsi="Times New Roman" w:cs="Times New Roman"/>
                <w:snapToGrid/>
                <w:color w:val="auto"/>
                <w:sz w:val="21"/>
                <w:lang w:eastAsia="zh-CN"/>
              </w:rPr>
              <w:t>，</w:t>
            </w:r>
            <w:r>
              <w:rPr>
                <w:rFonts w:hint="eastAsia" w:ascii="Times New Roman" w:hAnsi="Times New Roman" w:cs="Times New Roman"/>
                <w:snapToGrid/>
                <w:color w:val="auto"/>
                <w:sz w:val="21"/>
                <w:lang w:eastAsia="zh-CN"/>
              </w:rPr>
              <w:t>已</w:t>
            </w:r>
            <w:r>
              <w:rPr>
                <w:rFonts w:ascii="Times New Roman" w:hAnsi="Times New Roman" w:cs="Times New Roman"/>
                <w:snapToGrid/>
                <w:color w:val="auto"/>
                <w:sz w:val="21"/>
                <w:lang w:eastAsia="zh-CN"/>
              </w:rPr>
              <w:t>落实“</w:t>
            </w:r>
            <w:r>
              <w:rPr>
                <w:rFonts w:hint="eastAsia" w:ascii="Times New Roman" w:hAnsi="Times New Roman" w:cs="Times New Roman"/>
                <w:snapToGrid/>
                <w:color w:val="auto"/>
                <w:sz w:val="21"/>
                <w:lang w:eastAsia="zh-CN"/>
              </w:rPr>
              <w:t>六</w:t>
            </w:r>
            <w:r>
              <w:rPr>
                <w:rFonts w:ascii="Times New Roman" w:hAnsi="Times New Roman" w:cs="Times New Roman"/>
                <w:snapToGrid/>
                <w:color w:val="auto"/>
                <w:sz w:val="21"/>
                <w:lang w:eastAsia="zh-CN"/>
              </w:rPr>
              <w:t>防”</w:t>
            </w:r>
          </w:p>
        </w:tc>
        <w:tc>
          <w:tcPr>
            <w:tcW w:w="514" w:type="pct"/>
            <w:vAlign w:val="center"/>
          </w:tcPr>
          <w:p w14:paraId="56B9B761">
            <w:pPr>
              <w:widowControl w:val="0"/>
              <w:adjustRightInd w:val="0"/>
              <w:snapToGrid w:val="0"/>
              <w:spacing w:before="60" w:after="6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0</w:t>
            </w:r>
          </w:p>
        </w:tc>
      </w:tr>
      <w:tr w14:paraId="0A1CBF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4" w:type="pct"/>
            <w:vAlign w:val="center"/>
          </w:tcPr>
          <w:p w14:paraId="4557EC21">
            <w:pPr>
              <w:widowControl w:val="0"/>
              <w:adjustRightInd w:val="0"/>
              <w:snapToGrid w:val="0"/>
              <w:spacing w:before="60" w:after="6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4</w:t>
            </w:r>
          </w:p>
        </w:tc>
        <w:tc>
          <w:tcPr>
            <w:tcW w:w="506" w:type="pct"/>
            <w:vAlign w:val="center"/>
          </w:tcPr>
          <w:p w14:paraId="590A9863">
            <w:pPr>
              <w:widowControl w:val="0"/>
              <w:adjustRightInd w:val="0"/>
              <w:snapToGrid w:val="0"/>
              <w:spacing w:before="60" w:after="6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噪声</w:t>
            </w:r>
          </w:p>
        </w:tc>
        <w:tc>
          <w:tcPr>
            <w:tcW w:w="3646" w:type="pct"/>
            <w:vAlign w:val="center"/>
          </w:tcPr>
          <w:p w14:paraId="0684E51C">
            <w:pPr>
              <w:widowControl w:val="0"/>
              <w:adjustRightInd w:val="0"/>
              <w:snapToGrid w:val="0"/>
              <w:spacing w:before="60" w:after="6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安装减震垫和消声器等降噪措施</w:t>
            </w:r>
          </w:p>
        </w:tc>
        <w:tc>
          <w:tcPr>
            <w:tcW w:w="514" w:type="pct"/>
            <w:vAlign w:val="center"/>
          </w:tcPr>
          <w:p w14:paraId="3356202A">
            <w:pPr>
              <w:widowControl w:val="0"/>
              <w:adjustRightInd w:val="0"/>
              <w:snapToGrid w:val="0"/>
              <w:spacing w:before="60" w:after="6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20</w:t>
            </w:r>
          </w:p>
        </w:tc>
      </w:tr>
      <w:tr w14:paraId="3D2B72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4" w:type="pct"/>
            <w:vMerge w:val="restart"/>
            <w:vAlign w:val="center"/>
          </w:tcPr>
          <w:p w14:paraId="0BED6B54">
            <w:pPr>
              <w:widowControl w:val="0"/>
              <w:adjustRightInd w:val="0"/>
              <w:snapToGrid w:val="0"/>
              <w:spacing w:before="60" w:after="6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5</w:t>
            </w:r>
          </w:p>
        </w:tc>
        <w:tc>
          <w:tcPr>
            <w:tcW w:w="506" w:type="pct"/>
            <w:vMerge w:val="restart"/>
            <w:vAlign w:val="center"/>
          </w:tcPr>
          <w:p w14:paraId="2E3B2698">
            <w:pPr>
              <w:widowControl w:val="0"/>
              <w:adjustRightInd w:val="0"/>
              <w:snapToGrid w:val="0"/>
              <w:spacing w:before="60" w:after="6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地下水</w:t>
            </w:r>
          </w:p>
        </w:tc>
        <w:tc>
          <w:tcPr>
            <w:tcW w:w="3646" w:type="pct"/>
            <w:vAlign w:val="center"/>
          </w:tcPr>
          <w:p w14:paraId="2E446E16">
            <w:pPr>
              <w:widowControl w:val="0"/>
              <w:adjustRightInd w:val="0"/>
              <w:snapToGrid w:val="0"/>
              <w:spacing w:before="60" w:after="6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按“分区防渗”要求，落实不同区域的重点防渗和一般防渗措施</w:t>
            </w:r>
          </w:p>
        </w:tc>
        <w:tc>
          <w:tcPr>
            <w:tcW w:w="514" w:type="pct"/>
            <w:vAlign w:val="center"/>
          </w:tcPr>
          <w:p w14:paraId="124005CE">
            <w:pPr>
              <w:widowControl w:val="0"/>
              <w:adjustRightInd w:val="0"/>
              <w:snapToGrid w:val="0"/>
              <w:spacing w:before="60" w:after="6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8</w:t>
            </w:r>
            <w:r>
              <w:rPr>
                <w:rFonts w:ascii="Times New Roman" w:hAnsi="Times New Roman" w:cs="Times New Roman"/>
                <w:snapToGrid/>
                <w:color w:val="auto"/>
                <w:sz w:val="21"/>
                <w:lang w:eastAsia="zh-CN"/>
              </w:rPr>
              <w:t>0</w:t>
            </w:r>
          </w:p>
        </w:tc>
      </w:tr>
      <w:tr w14:paraId="628722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4" w:type="pct"/>
            <w:vMerge w:val="continue"/>
            <w:vAlign w:val="center"/>
          </w:tcPr>
          <w:p w14:paraId="46C40C42">
            <w:pPr>
              <w:widowControl w:val="0"/>
              <w:adjustRightInd w:val="0"/>
              <w:snapToGrid w:val="0"/>
              <w:spacing w:before="60" w:after="60"/>
              <w:jc w:val="center"/>
              <w:rPr>
                <w:rFonts w:ascii="Times New Roman" w:hAnsi="Times New Roman" w:cs="Times New Roman"/>
                <w:snapToGrid/>
                <w:color w:val="auto"/>
                <w:sz w:val="21"/>
                <w:lang w:eastAsia="zh-CN"/>
              </w:rPr>
            </w:pPr>
          </w:p>
        </w:tc>
        <w:tc>
          <w:tcPr>
            <w:tcW w:w="506" w:type="pct"/>
            <w:vMerge w:val="continue"/>
            <w:vAlign w:val="center"/>
          </w:tcPr>
          <w:p w14:paraId="6A171325">
            <w:pPr>
              <w:widowControl w:val="0"/>
              <w:adjustRightInd w:val="0"/>
              <w:snapToGrid w:val="0"/>
              <w:spacing w:before="60" w:after="60"/>
              <w:jc w:val="center"/>
              <w:rPr>
                <w:rFonts w:ascii="Times New Roman" w:hAnsi="Times New Roman" w:cs="Times New Roman"/>
                <w:snapToGrid/>
                <w:color w:val="auto"/>
                <w:sz w:val="21"/>
                <w:lang w:eastAsia="zh-CN"/>
              </w:rPr>
            </w:pPr>
          </w:p>
        </w:tc>
        <w:tc>
          <w:tcPr>
            <w:tcW w:w="3646" w:type="pct"/>
            <w:vAlign w:val="center"/>
          </w:tcPr>
          <w:p w14:paraId="1246641C">
            <w:pPr>
              <w:widowControl w:val="0"/>
              <w:adjustRightInd w:val="0"/>
              <w:snapToGrid w:val="0"/>
              <w:spacing w:before="60" w:after="6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地下水环境监测系统，</w:t>
            </w:r>
            <w:r>
              <w:rPr>
                <w:rFonts w:hint="eastAsia" w:ascii="Times New Roman" w:hAnsi="Times New Roman" w:cs="Times New Roman"/>
                <w:snapToGrid/>
                <w:color w:val="auto"/>
                <w:sz w:val="21"/>
                <w:lang w:eastAsia="zh-CN"/>
              </w:rPr>
              <w:t>新增2</w:t>
            </w:r>
            <w:r>
              <w:rPr>
                <w:rFonts w:ascii="Times New Roman" w:hAnsi="Times New Roman" w:cs="Times New Roman"/>
                <w:snapToGrid/>
                <w:color w:val="auto"/>
                <w:sz w:val="21"/>
                <w:lang w:eastAsia="zh-CN"/>
              </w:rPr>
              <w:t>座地下水跟踪监控井</w:t>
            </w:r>
          </w:p>
        </w:tc>
        <w:tc>
          <w:tcPr>
            <w:tcW w:w="514" w:type="pct"/>
            <w:vAlign w:val="center"/>
          </w:tcPr>
          <w:p w14:paraId="317B4EB4">
            <w:pPr>
              <w:widowControl w:val="0"/>
              <w:adjustRightInd w:val="0"/>
              <w:snapToGrid w:val="0"/>
              <w:spacing w:before="60" w:after="6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20</w:t>
            </w:r>
          </w:p>
        </w:tc>
      </w:tr>
      <w:tr w14:paraId="6300BE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4" w:type="pct"/>
            <w:vMerge w:val="restart"/>
            <w:vAlign w:val="center"/>
          </w:tcPr>
          <w:p w14:paraId="7548997C">
            <w:pPr>
              <w:widowControl w:val="0"/>
              <w:adjustRightInd w:val="0"/>
              <w:snapToGrid w:val="0"/>
              <w:spacing w:before="60" w:after="6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6</w:t>
            </w:r>
          </w:p>
        </w:tc>
        <w:tc>
          <w:tcPr>
            <w:tcW w:w="506" w:type="pct"/>
            <w:vMerge w:val="restart"/>
            <w:vAlign w:val="center"/>
          </w:tcPr>
          <w:p w14:paraId="7D3514D1">
            <w:pPr>
              <w:widowControl w:val="0"/>
              <w:adjustRightInd w:val="0"/>
              <w:snapToGrid w:val="0"/>
              <w:spacing w:before="60" w:after="6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土壤</w:t>
            </w:r>
          </w:p>
        </w:tc>
        <w:tc>
          <w:tcPr>
            <w:tcW w:w="3646" w:type="pct"/>
            <w:vAlign w:val="center"/>
          </w:tcPr>
          <w:p w14:paraId="786C8FFB">
            <w:pPr>
              <w:widowControl w:val="0"/>
              <w:adjustRightInd w:val="0"/>
              <w:snapToGrid w:val="0"/>
              <w:spacing w:before="60" w:after="6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四周厂界种植吸附能力较强的植被</w:t>
            </w:r>
          </w:p>
        </w:tc>
        <w:tc>
          <w:tcPr>
            <w:tcW w:w="514" w:type="pct"/>
            <w:vAlign w:val="center"/>
          </w:tcPr>
          <w:p w14:paraId="77DC8C56">
            <w:pPr>
              <w:widowControl w:val="0"/>
              <w:adjustRightInd w:val="0"/>
              <w:snapToGrid w:val="0"/>
              <w:spacing w:before="60" w:after="6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5</w:t>
            </w:r>
          </w:p>
        </w:tc>
      </w:tr>
      <w:tr w14:paraId="55C323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4" w:type="pct"/>
            <w:vMerge w:val="continue"/>
            <w:vAlign w:val="center"/>
          </w:tcPr>
          <w:p w14:paraId="2EA08B75">
            <w:pPr>
              <w:widowControl w:val="0"/>
              <w:adjustRightInd w:val="0"/>
              <w:snapToGrid w:val="0"/>
              <w:spacing w:before="60" w:after="60"/>
              <w:jc w:val="center"/>
              <w:rPr>
                <w:rFonts w:ascii="Times New Roman" w:hAnsi="Times New Roman" w:cs="Times New Roman"/>
                <w:snapToGrid/>
                <w:color w:val="auto"/>
                <w:sz w:val="21"/>
                <w:lang w:eastAsia="zh-CN"/>
              </w:rPr>
            </w:pPr>
          </w:p>
        </w:tc>
        <w:tc>
          <w:tcPr>
            <w:tcW w:w="506" w:type="pct"/>
            <w:vMerge w:val="continue"/>
            <w:vAlign w:val="center"/>
          </w:tcPr>
          <w:p w14:paraId="6012C458">
            <w:pPr>
              <w:widowControl w:val="0"/>
              <w:adjustRightInd w:val="0"/>
              <w:snapToGrid w:val="0"/>
              <w:spacing w:before="60" w:after="60"/>
              <w:jc w:val="center"/>
              <w:rPr>
                <w:rFonts w:ascii="Times New Roman" w:hAnsi="Times New Roman" w:cs="Times New Roman"/>
                <w:snapToGrid/>
                <w:color w:val="auto"/>
                <w:sz w:val="21"/>
                <w:lang w:eastAsia="zh-CN"/>
              </w:rPr>
            </w:pPr>
          </w:p>
        </w:tc>
        <w:tc>
          <w:tcPr>
            <w:tcW w:w="3646" w:type="pct"/>
            <w:vAlign w:val="center"/>
          </w:tcPr>
          <w:p w14:paraId="4B0350B0">
            <w:pPr>
              <w:widowControl w:val="0"/>
              <w:adjustRightInd w:val="0"/>
              <w:snapToGrid w:val="0"/>
              <w:spacing w:before="60" w:after="6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土壤环境监测系统，2处土壤跟踪监测点</w:t>
            </w:r>
          </w:p>
        </w:tc>
        <w:tc>
          <w:tcPr>
            <w:tcW w:w="514" w:type="pct"/>
            <w:vAlign w:val="center"/>
          </w:tcPr>
          <w:p w14:paraId="593B5F48">
            <w:pPr>
              <w:widowControl w:val="0"/>
              <w:adjustRightInd w:val="0"/>
              <w:snapToGrid w:val="0"/>
              <w:spacing w:before="60" w:after="6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5</w:t>
            </w:r>
          </w:p>
        </w:tc>
      </w:tr>
      <w:tr w14:paraId="733559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4" w:type="pct"/>
            <w:vMerge w:val="restart"/>
            <w:vAlign w:val="center"/>
          </w:tcPr>
          <w:p w14:paraId="3A431BBE">
            <w:pPr>
              <w:widowControl w:val="0"/>
              <w:adjustRightInd w:val="0"/>
              <w:snapToGrid w:val="0"/>
              <w:spacing w:before="60" w:after="6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7</w:t>
            </w:r>
          </w:p>
        </w:tc>
        <w:tc>
          <w:tcPr>
            <w:tcW w:w="506" w:type="pct"/>
            <w:vMerge w:val="restart"/>
            <w:vAlign w:val="center"/>
          </w:tcPr>
          <w:p w14:paraId="3B8C0EAE">
            <w:pPr>
              <w:widowControl w:val="0"/>
              <w:adjustRightInd w:val="0"/>
              <w:snapToGrid w:val="0"/>
              <w:spacing w:before="60" w:after="6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环境风险</w:t>
            </w:r>
          </w:p>
        </w:tc>
        <w:tc>
          <w:tcPr>
            <w:tcW w:w="3646" w:type="pct"/>
            <w:vAlign w:val="center"/>
          </w:tcPr>
          <w:p w14:paraId="071C0E11">
            <w:pPr>
              <w:widowControl w:val="0"/>
              <w:adjustRightInd w:val="0"/>
              <w:snapToGrid w:val="0"/>
              <w:spacing w:before="60" w:after="6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现有厂区已设置</w:t>
            </w:r>
            <w:r>
              <w:rPr>
                <w:rFonts w:ascii="Times New Roman" w:hAnsi="Times New Roman" w:cs="Times New Roman"/>
                <w:snapToGrid/>
                <w:color w:val="auto"/>
                <w:sz w:val="21"/>
                <w:lang w:eastAsia="zh-CN"/>
              </w:rPr>
              <w:t>1座</w:t>
            </w:r>
            <w:r>
              <w:rPr>
                <w:rFonts w:hint="eastAsia" w:ascii="Times New Roman" w:hAnsi="Times New Roman" w:cs="Times New Roman"/>
                <w:snapToGrid/>
                <w:color w:val="auto"/>
                <w:sz w:val="21"/>
                <w:lang w:eastAsia="zh-CN"/>
              </w:rPr>
              <w:t>426.9</w:t>
            </w:r>
            <w:r>
              <w:rPr>
                <w:rFonts w:ascii="Times New Roman" w:hAnsi="Times New Roman" w:cs="Times New Roman"/>
                <w:snapToGrid/>
                <w:color w:val="auto"/>
                <w:sz w:val="21"/>
                <w:lang w:eastAsia="zh-CN"/>
              </w:rPr>
              <w:t>m</w:t>
            </w:r>
            <w:r>
              <w:rPr>
                <w:rFonts w:ascii="Times New Roman" w:hAnsi="Times New Roman" w:cs="Times New Roman"/>
                <w:snapToGrid/>
                <w:color w:val="auto"/>
                <w:sz w:val="21"/>
                <w:vertAlign w:val="superscript"/>
                <w:lang w:eastAsia="zh-CN"/>
              </w:rPr>
              <w:t>3</w:t>
            </w:r>
            <w:r>
              <w:rPr>
                <w:rFonts w:ascii="Times New Roman" w:hAnsi="Times New Roman" w:cs="Times New Roman"/>
                <w:snapToGrid/>
                <w:color w:val="auto"/>
                <w:sz w:val="21"/>
                <w:lang w:eastAsia="zh-CN"/>
              </w:rPr>
              <w:t>初期雨水池</w:t>
            </w:r>
          </w:p>
        </w:tc>
        <w:tc>
          <w:tcPr>
            <w:tcW w:w="514" w:type="pct"/>
            <w:vAlign w:val="center"/>
          </w:tcPr>
          <w:p w14:paraId="5A546862">
            <w:pPr>
              <w:widowControl w:val="0"/>
              <w:adjustRightInd w:val="0"/>
              <w:snapToGrid w:val="0"/>
              <w:spacing w:before="60" w:after="6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0</w:t>
            </w:r>
          </w:p>
        </w:tc>
      </w:tr>
      <w:tr w14:paraId="4CFA0C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4" w:type="pct"/>
            <w:vMerge w:val="continue"/>
            <w:vAlign w:val="center"/>
          </w:tcPr>
          <w:p w14:paraId="60A480A9">
            <w:pPr>
              <w:widowControl w:val="0"/>
              <w:adjustRightInd w:val="0"/>
              <w:snapToGrid w:val="0"/>
              <w:spacing w:before="60" w:after="60"/>
              <w:jc w:val="center"/>
              <w:rPr>
                <w:rFonts w:ascii="Times New Roman" w:hAnsi="Times New Roman" w:cs="Times New Roman"/>
                <w:snapToGrid/>
                <w:color w:val="auto"/>
                <w:sz w:val="21"/>
                <w:lang w:eastAsia="zh-CN"/>
              </w:rPr>
            </w:pPr>
          </w:p>
        </w:tc>
        <w:tc>
          <w:tcPr>
            <w:tcW w:w="506" w:type="pct"/>
            <w:vMerge w:val="continue"/>
            <w:vAlign w:val="center"/>
          </w:tcPr>
          <w:p w14:paraId="21E8B2A1">
            <w:pPr>
              <w:widowControl w:val="0"/>
              <w:adjustRightInd w:val="0"/>
              <w:snapToGrid w:val="0"/>
              <w:spacing w:before="60" w:after="60"/>
              <w:jc w:val="center"/>
              <w:rPr>
                <w:rFonts w:ascii="Times New Roman" w:hAnsi="Times New Roman" w:cs="Times New Roman"/>
                <w:snapToGrid/>
                <w:color w:val="auto"/>
                <w:sz w:val="21"/>
                <w:lang w:eastAsia="zh-CN"/>
              </w:rPr>
            </w:pPr>
          </w:p>
        </w:tc>
        <w:tc>
          <w:tcPr>
            <w:tcW w:w="3646" w:type="pct"/>
            <w:vAlign w:val="center"/>
          </w:tcPr>
          <w:p w14:paraId="77199F27">
            <w:pPr>
              <w:widowControl w:val="0"/>
              <w:adjustRightInd w:val="0"/>
              <w:snapToGrid w:val="0"/>
              <w:spacing w:before="60" w:after="6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安装备有毒有害气体探测器，应急喷淋设施。编制环境风险应急预案、企事业突发事件应急预案等；</w:t>
            </w:r>
            <w:r>
              <w:rPr>
                <w:rFonts w:hint="eastAsia" w:ascii="Times New Roman" w:hAnsi="Times New Roman" w:cs="Times New Roman"/>
                <w:snapToGrid/>
                <w:color w:val="auto"/>
                <w:sz w:val="21"/>
                <w:lang w:eastAsia="zh-CN"/>
              </w:rPr>
              <w:t>已设置</w:t>
            </w:r>
            <w:r>
              <w:rPr>
                <w:rFonts w:ascii="Times New Roman" w:hAnsi="Times New Roman" w:cs="Times New Roman"/>
                <w:color w:val="auto"/>
                <w:sz w:val="21"/>
                <w:lang w:eastAsia="zh-CN"/>
              </w:rPr>
              <w:t>一座</w:t>
            </w:r>
            <w:r>
              <w:rPr>
                <w:rFonts w:hint="eastAsia" w:ascii="Times New Roman" w:hAnsi="Times New Roman" w:cs="Times New Roman"/>
                <w:color w:val="auto"/>
                <w:sz w:val="21"/>
                <w:lang w:eastAsia="zh-CN"/>
              </w:rPr>
              <w:t>672.3</w:t>
            </w:r>
            <w:r>
              <w:rPr>
                <w:rFonts w:ascii="Times New Roman" w:hAnsi="Times New Roman" w:cs="Times New Roman"/>
                <w:color w:val="auto"/>
                <w:sz w:val="21"/>
                <w:lang w:eastAsia="zh-CN"/>
              </w:rPr>
              <w:t>m</w:t>
            </w:r>
            <w:r>
              <w:rPr>
                <w:rFonts w:ascii="Times New Roman" w:hAnsi="Times New Roman" w:cs="Times New Roman"/>
                <w:color w:val="auto"/>
                <w:sz w:val="21"/>
                <w:vertAlign w:val="superscript"/>
                <w:lang w:eastAsia="zh-CN"/>
              </w:rPr>
              <w:t>3</w:t>
            </w:r>
            <w:r>
              <w:rPr>
                <w:rFonts w:ascii="Times New Roman" w:hAnsi="Times New Roman" w:cs="Times New Roman"/>
                <w:color w:val="auto"/>
                <w:sz w:val="21"/>
                <w:lang w:eastAsia="zh-CN"/>
              </w:rPr>
              <w:t>事故应急池</w:t>
            </w:r>
          </w:p>
        </w:tc>
        <w:tc>
          <w:tcPr>
            <w:tcW w:w="514" w:type="pct"/>
            <w:vAlign w:val="center"/>
          </w:tcPr>
          <w:p w14:paraId="2CFBA51D">
            <w:pPr>
              <w:widowControl w:val="0"/>
              <w:adjustRightInd w:val="0"/>
              <w:snapToGrid w:val="0"/>
              <w:spacing w:before="60" w:after="6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3</w:t>
            </w:r>
            <w:r>
              <w:rPr>
                <w:rFonts w:ascii="Times New Roman" w:hAnsi="Times New Roman" w:cs="Times New Roman"/>
                <w:snapToGrid/>
                <w:color w:val="auto"/>
                <w:sz w:val="21"/>
                <w:lang w:eastAsia="zh-CN"/>
              </w:rPr>
              <w:t>0</w:t>
            </w:r>
          </w:p>
        </w:tc>
      </w:tr>
      <w:tr w14:paraId="799B0E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86" w:type="pct"/>
            <w:gridSpan w:val="3"/>
            <w:vAlign w:val="center"/>
          </w:tcPr>
          <w:p w14:paraId="2FBC531F">
            <w:pPr>
              <w:widowControl w:val="0"/>
              <w:adjustRightInd w:val="0"/>
              <w:snapToGrid w:val="0"/>
              <w:spacing w:before="60" w:after="6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合    计</w:t>
            </w:r>
          </w:p>
        </w:tc>
        <w:tc>
          <w:tcPr>
            <w:tcW w:w="514" w:type="pct"/>
            <w:vAlign w:val="center"/>
          </w:tcPr>
          <w:p w14:paraId="66CDA0B4">
            <w:pPr>
              <w:widowControl w:val="0"/>
              <w:adjustRightInd w:val="0"/>
              <w:snapToGrid w:val="0"/>
              <w:spacing w:before="60" w:after="6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260</w:t>
            </w:r>
          </w:p>
        </w:tc>
      </w:tr>
    </w:tbl>
    <w:p w14:paraId="4C856129">
      <w:pPr>
        <w:widowControl w:val="0"/>
        <w:spacing w:before="120" w:beforeLines="50"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 xml:space="preserve">根据上表估算结果，本项目计划环保投资 </w:t>
      </w:r>
      <w:r>
        <w:rPr>
          <w:rFonts w:hint="eastAsia" w:ascii="Times New Roman" w:hAnsi="Times New Roman" w:cs="Times New Roman"/>
          <w:color w:val="auto"/>
          <w:szCs w:val="24"/>
          <w:lang w:eastAsia="zh-CN"/>
        </w:rPr>
        <w:t>260</w:t>
      </w:r>
      <w:r>
        <w:rPr>
          <w:rFonts w:ascii="Times New Roman" w:hAnsi="Times New Roman" w:cs="Times New Roman"/>
          <w:color w:val="auto"/>
          <w:szCs w:val="24"/>
          <w:lang w:eastAsia="zh-CN"/>
        </w:rPr>
        <w:t>万元， 占项目投资总额的</w:t>
      </w:r>
      <w:r>
        <w:rPr>
          <w:rFonts w:hint="eastAsia" w:ascii="Times New Roman" w:hAnsi="Times New Roman" w:cs="Times New Roman"/>
          <w:color w:val="auto"/>
          <w:szCs w:val="24"/>
          <w:lang w:eastAsia="zh-CN"/>
        </w:rPr>
        <w:t>2.36</w:t>
      </w:r>
      <w:r>
        <w:rPr>
          <w:rFonts w:ascii="Times New Roman" w:hAnsi="Times New Roman" w:cs="Times New Roman"/>
          <w:color w:val="auto"/>
          <w:szCs w:val="24"/>
          <w:lang w:eastAsia="zh-CN"/>
        </w:rPr>
        <w:t>%。</w:t>
      </w:r>
    </w:p>
    <w:p w14:paraId="33ED3B96">
      <w:pPr>
        <w:widowControl w:val="0"/>
        <w:spacing w:line="360" w:lineRule="auto"/>
        <w:ind w:firstLine="562"/>
        <w:outlineLvl w:val="1"/>
        <w:rPr>
          <w:rFonts w:ascii="Times New Roman" w:hAnsi="Times New Roman" w:cs="Times New Roman"/>
          <w:b/>
          <w:bCs/>
          <w:color w:val="auto"/>
          <w:sz w:val="28"/>
          <w:szCs w:val="22"/>
          <w:lang w:eastAsia="zh-CN"/>
        </w:rPr>
      </w:pPr>
      <w:bookmarkStart w:id="2534" w:name="_Toc9547"/>
      <w:bookmarkStart w:id="2535" w:name="_Toc237508413"/>
      <w:r>
        <w:rPr>
          <w:rFonts w:ascii="Times New Roman" w:hAnsi="Times New Roman" w:cs="Times New Roman"/>
          <w:b/>
          <w:bCs/>
          <w:color w:val="auto"/>
          <w:sz w:val="28"/>
          <w:szCs w:val="22"/>
          <w:lang w:eastAsia="zh-CN"/>
        </w:rPr>
        <w:t xml:space="preserve">9.2 </w:t>
      </w:r>
      <w:bookmarkEnd w:id="2534"/>
      <w:r>
        <w:rPr>
          <w:rFonts w:ascii="Times New Roman" w:hAnsi="Times New Roman" w:cs="Times New Roman"/>
          <w:b/>
          <w:bCs/>
          <w:color w:val="auto"/>
          <w:sz w:val="28"/>
          <w:szCs w:val="22"/>
          <w:lang w:eastAsia="zh-CN"/>
        </w:rPr>
        <w:t>经济效益分析</w:t>
      </w:r>
      <w:bookmarkEnd w:id="2535"/>
    </w:p>
    <w:p w14:paraId="2F13AD3B">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项目总投资为</w:t>
      </w:r>
      <w:r>
        <w:rPr>
          <w:rFonts w:hint="eastAsia" w:ascii="Times New Roman" w:hAnsi="Times New Roman" w:cs="Times New Roman"/>
          <w:color w:val="auto"/>
          <w:szCs w:val="24"/>
          <w:lang w:eastAsia="zh-CN"/>
        </w:rPr>
        <w:t>11000</w:t>
      </w:r>
      <w:r>
        <w:rPr>
          <w:rFonts w:ascii="Times New Roman" w:hAnsi="Times New Roman" w:cs="Times New Roman"/>
          <w:color w:val="auto"/>
          <w:szCs w:val="24"/>
          <w:lang w:eastAsia="zh-CN"/>
        </w:rPr>
        <w:t>万元。项目运行后，可为国家及地方增加相当数量的税收，进一步推动当地社会经济的发展，提高当地人民群众的生活水平，由此可见，项目具有显著的社会经济效益。</w:t>
      </w:r>
    </w:p>
    <w:p w14:paraId="5A226D43">
      <w:pPr>
        <w:spacing w:line="360" w:lineRule="auto"/>
        <w:ind w:firstLine="562"/>
        <w:outlineLvl w:val="1"/>
        <w:rPr>
          <w:rFonts w:ascii="Times New Roman" w:hAnsi="Times New Roman" w:cs="Times New Roman"/>
          <w:color w:val="auto"/>
          <w:szCs w:val="24"/>
          <w:lang w:eastAsia="zh-CN"/>
        </w:rPr>
      </w:pPr>
      <w:bookmarkStart w:id="2536" w:name="_Toc237508414"/>
      <w:r>
        <w:rPr>
          <w:rFonts w:ascii="Times New Roman" w:hAnsi="Times New Roman" w:cs="Times New Roman"/>
          <w:b/>
          <w:bCs/>
          <w:color w:val="auto"/>
          <w:sz w:val="28"/>
          <w:szCs w:val="22"/>
          <w:lang w:eastAsia="zh-CN"/>
        </w:rPr>
        <w:t>9.3 社会效益分析</w:t>
      </w:r>
      <w:bookmarkEnd w:id="2536"/>
    </w:p>
    <w:p w14:paraId="75C68BF0">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本项目社会效益主要体现在对当地社会经济的正面影响，以及对市场和国家经济的贡献。项目建成后的社会效益主要体现在以下几个方面：</w:t>
      </w:r>
    </w:p>
    <w:p w14:paraId="5CF365E7">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（1）本项目用地为工业用地，项目对完善开发区建设，提高开发区的土地利用有重大的意义，可提高土地利用率。</w:t>
      </w:r>
    </w:p>
    <w:p w14:paraId="00994888">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（2）本项目采用先进工艺与设备，该工艺技术成熟，设备运行稳定，产品质量好收率较高，生产成本低，有利于市场竞争。</w:t>
      </w:r>
    </w:p>
    <w:p w14:paraId="13803551">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（3）项目建成后，可提供一定数量的劳动就业机会，为国家和地方增加相当数量的税收，促进当地工业的发展和增加地方经济实力。</w:t>
      </w:r>
    </w:p>
    <w:p w14:paraId="388A28D6">
      <w:pPr>
        <w:spacing w:line="360" w:lineRule="auto"/>
        <w:ind w:firstLine="562"/>
        <w:outlineLvl w:val="1"/>
        <w:rPr>
          <w:rFonts w:ascii="Times New Roman" w:hAnsi="Times New Roman" w:cs="Times New Roman"/>
          <w:color w:val="auto"/>
          <w:szCs w:val="24"/>
          <w:lang w:eastAsia="zh-CN"/>
        </w:rPr>
      </w:pPr>
      <w:bookmarkStart w:id="2537" w:name="_Toc237508415"/>
      <w:r>
        <w:rPr>
          <w:rFonts w:ascii="Times New Roman" w:hAnsi="Times New Roman" w:cs="Times New Roman"/>
          <w:b/>
          <w:bCs/>
          <w:color w:val="auto"/>
          <w:sz w:val="28"/>
          <w:szCs w:val="22"/>
          <w:lang w:eastAsia="zh-CN"/>
        </w:rPr>
        <w:t>9.4 环境效益分析</w:t>
      </w:r>
      <w:bookmarkEnd w:id="2537"/>
    </w:p>
    <w:p w14:paraId="274D78DE">
      <w:pPr>
        <w:widowControl w:val="0"/>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因目前国内对环保投资获得效益的测算方法尚不成熟，有许多指标还无法直接货币化。因此，本环评中对环保投资所获得的环境效益只进行定性的描述，不做定量计算。</w:t>
      </w:r>
    </w:p>
    <w:p w14:paraId="622293A5">
      <w:pPr>
        <w:widowControl w:val="0"/>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本项目环保投资所获得的正面效益主要表现在以下几个方面：</w:t>
      </w:r>
    </w:p>
    <w:p w14:paraId="5586E43E">
      <w:pPr>
        <w:widowControl w:val="0"/>
        <w:topLinePunct/>
        <w:spacing w:line="360" w:lineRule="auto"/>
        <w:ind w:firstLine="480" w:firstLineChars="200"/>
        <w:jc w:val="both"/>
        <w:rPr>
          <w:rFonts w:ascii="Times New Roman" w:hAnsi="Times New Roman" w:eastAsia="新宋体" w:cs="Times New Roman"/>
          <w:bCs/>
          <w:color w:val="auto"/>
          <w:szCs w:val="24"/>
          <w:lang w:eastAsia="zh-CN"/>
        </w:rPr>
      </w:pPr>
      <w:r>
        <w:rPr>
          <w:rFonts w:hint="eastAsia" w:ascii="Times New Roman" w:hAnsi="Times New Roman" w:eastAsia="新宋体" w:cs="Times New Roman"/>
          <w:color w:val="auto"/>
          <w:szCs w:val="24"/>
          <w:lang w:eastAsia="zh-CN"/>
        </w:rPr>
        <w:t>（1）</w:t>
      </w:r>
      <w:r>
        <w:rPr>
          <w:rFonts w:ascii="Times New Roman" w:hAnsi="Times New Roman" w:eastAsia="新宋体" w:cs="Times New Roman"/>
          <w:color w:val="auto"/>
          <w:szCs w:val="24"/>
          <w:lang w:eastAsia="zh-CN"/>
        </w:rPr>
        <w:t>本项目</w:t>
      </w:r>
      <w:r>
        <w:rPr>
          <w:rFonts w:hint="eastAsia" w:ascii="Times New Roman" w:hAnsi="Times New Roman" w:eastAsia="新宋体" w:cs="Times New Roman"/>
          <w:color w:val="auto"/>
          <w:szCs w:val="24"/>
          <w:lang w:eastAsia="zh-CN"/>
        </w:rPr>
        <w:t>化学纯氢氟酸生产</w:t>
      </w:r>
      <w:r>
        <w:rPr>
          <w:rFonts w:hint="eastAsia" w:ascii="Times New Roman" w:hAnsi="Times New Roman" w:cs="Times New Roman"/>
          <w:color w:val="000000" w:themeColor="text1"/>
          <w:szCs w:val="24"/>
          <w:lang w:eastAsia="zh-CN"/>
          <w14:textFill>
            <w14:solidFill>
              <w14:schemeClr w14:val="tx1"/>
            </w14:solidFill>
          </w14:textFill>
        </w:rPr>
        <w:t>进料、混合、调配</w:t>
      </w:r>
      <w:r>
        <w:rPr>
          <w:rFonts w:hint="eastAsia" w:ascii="Times New Roman" w:hAnsi="Times New Roman" w:eastAsia="新宋体" w:cs="Times New Roman"/>
          <w:color w:val="auto"/>
          <w:szCs w:val="24"/>
          <w:lang w:eastAsia="zh-CN"/>
        </w:rPr>
        <w:t>废气、无水氟化氢储罐、原料及产品罐区储罐（1</w:t>
      </w:r>
      <w:r>
        <w:rPr>
          <w:rFonts w:hint="eastAsia" w:ascii="Times New Roman" w:hAnsi="Times New Roman" w:eastAsia="新宋体" w:cs="Times New Roman"/>
          <w:bCs/>
          <w:color w:val="auto"/>
          <w:szCs w:val="24"/>
          <w:lang w:eastAsia="zh-CN"/>
        </w:rPr>
        <w:t>5%氟化氢水溶液储罐、化学纯氢氟酸储罐）呼吸气</w:t>
      </w:r>
      <w:r>
        <w:rPr>
          <w:rFonts w:hint="eastAsia" w:ascii="Times New Roman" w:hAnsi="Times New Roman" w:eastAsia="新宋体" w:cs="Times New Roman"/>
          <w:color w:val="auto"/>
          <w:szCs w:val="24"/>
          <w:lang w:eastAsia="zh-CN"/>
        </w:rPr>
        <w:t>经管道收集</w:t>
      </w:r>
      <w:r>
        <w:rPr>
          <w:rFonts w:ascii="Times New Roman" w:hAnsi="Times New Roman" w:eastAsia="新宋体" w:cs="Times New Roman"/>
          <w:color w:val="auto"/>
          <w:szCs w:val="24"/>
          <w:lang w:eastAsia="zh-CN"/>
        </w:rPr>
        <w:t>，</w:t>
      </w:r>
      <w:r>
        <w:rPr>
          <w:rFonts w:hint="eastAsia" w:ascii="Times New Roman" w:hAnsi="Times New Roman" w:eastAsia="新宋体" w:cs="Times New Roman"/>
          <w:color w:val="auto"/>
          <w:szCs w:val="24"/>
          <w:lang w:eastAsia="zh-CN"/>
        </w:rPr>
        <w:t>灌装废气经密闭负压收集，</w:t>
      </w:r>
      <w:r>
        <w:rPr>
          <w:rFonts w:hint="eastAsia" w:ascii="Times New Roman" w:hAnsi="Times New Roman" w:eastAsia="新宋体" w:cs="Times New Roman"/>
          <w:bCs/>
          <w:color w:val="auto"/>
          <w:szCs w:val="24"/>
          <w:lang w:eastAsia="zh-CN"/>
        </w:rPr>
        <w:t>依托现有二级水喷淋塔（TA001）预处理；</w:t>
      </w:r>
    </w:p>
    <w:p w14:paraId="32EF03D4">
      <w:pPr>
        <w:widowControl w:val="0"/>
        <w:topLinePunct/>
        <w:spacing w:line="360" w:lineRule="auto"/>
        <w:ind w:firstLine="480" w:firstLineChars="200"/>
        <w:jc w:val="both"/>
        <w:rPr>
          <w:rFonts w:ascii="Times New Roman" w:hAnsi="Times New Roman" w:eastAsia="新宋体" w:cs="Times New Roman"/>
          <w:bCs/>
          <w:color w:val="auto"/>
          <w:szCs w:val="24"/>
          <w:lang w:eastAsia="zh-CN"/>
        </w:rPr>
      </w:pPr>
      <w:r>
        <w:rPr>
          <w:rFonts w:hint="eastAsia" w:ascii="Times New Roman" w:hAnsi="Times New Roman" w:eastAsia="新宋体" w:cs="Times New Roman"/>
          <w:color w:val="auto"/>
          <w:szCs w:val="24"/>
          <w:lang w:eastAsia="zh-CN"/>
        </w:rPr>
        <w:t>刻蚀液</w:t>
      </w:r>
      <w:r>
        <w:rPr>
          <w:rFonts w:ascii="Times New Roman" w:hAnsi="Times New Roman" w:eastAsia="新宋体" w:cs="Times New Roman"/>
          <w:color w:val="auto"/>
          <w:szCs w:val="24"/>
          <w:lang w:eastAsia="zh-CN"/>
        </w:rPr>
        <w:t>生产</w:t>
      </w:r>
      <w:r>
        <w:rPr>
          <w:rFonts w:hint="eastAsia" w:ascii="Times New Roman" w:hAnsi="Times New Roman" w:eastAsia="新宋体" w:cs="Times New Roman"/>
          <w:color w:val="auto"/>
          <w:szCs w:val="24"/>
          <w:lang w:eastAsia="zh-CN"/>
        </w:rPr>
        <w:t>进料混合、调配废气、戊类罐区二储罐（</w:t>
      </w:r>
      <w:r>
        <w:rPr>
          <w:rFonts w:hint="eastAsia" w:ascii="Times New Roman" w:hAnsi="Times New Roman" w:eastAsia="新宋体" w:cs="Times New Roman"/>
          <w:bCs/>
          <w:color w:val="auto"/>
          <w:szCs w:val="24"/>
          <w:lang w:eastAsia="zh-CN"/>
        </w:rPr>
        <w:t>31%盐酸储罐、</w:t>
      </w:r>
      <w:r>
        <w:rPr>
          <w:rFonts w:ascii="Times New Roman" w:hAnsi="Times New Roman" w:eastAsia="新宋体" w:cs="Times New Roman"/>
          <w:bCs/>
          <w:color w:val="auto"/>
          <w:szCs w:val="24"/>
          <w:lang w:eastAsia="zh-CN"/>
        </w:rPr>
        <w:t>化学纯氢氟酸储罐</w:t>
      </w:r>
      <w:r>
        <w:rPr>
          <w:rFonts w:hint="eastAsia" w:ascii="Times New Roman" w:hAnsi="Times New Roman" w:eastAsia="新宋体" w:cs="Times New Roman"/>
          <w:bCs/>
          <w:color w:val="auto"/>
          <w:szCs w:val="24"/>
          <w:lang w:eastAsia="zh-CN"/>
        </w:rPr>
        <w:t>、刻蚀液储罐）呼吸气</w:t>
      </w:r>
      <w:r>
        <w:rPr>
          <w:rFonts w:hint="eastAsia" w:ascii="Times New Roman" w:hAnsi="Times New Roman" w:eastAsia="新宋体" w:cs="Times New Roman"/>
          <w:color w:val="auto"/>
          <w:szCs w:val="24"/>
          <w:lang w:eastAsia="zh-CN"/>
        </w:rPr>
        <w:t>经管道收集，</w:t>
      </w:r>
      <w:r>
        <w:rPr>
          <w:rFonts w:hint="eastAsia" w:ascii="Times New Roman" w:hAnsi="Times New Roman" w:eastAsia="新宋体" w:cs="Times New Roman"/>
          <w:bCs/>
          <w:color w:val="auto"/>
          <w:szCs w:val="24"/>
          <w:lang w:eastAsia="zh-CN"/>
        </w:rPr>
        <w:t>经本次新增二级水喷淋塔（TA003）装置预</w:t>
      </w:r>
      <w:r>
        <w:rPr>
          <w:rFonts w:ascii="Times New Roman" w:hAnsi="Times New Roman" w:eastAsia="新宋体" w:cs="Times New Roman"/>
          <w:bCs/>
          <w:color w:val="auto"/>
          <w:szCs w:val="24"/>
          <w:lang w:eastAsia="zh-CN"/>
        </w:rPr>
        <w:t>处理</w:t>
      </w:r>
      <w:r>
        <w:rPr>
          <w:rFonts w:hint="eastAsia" w:ascii="Times New Roman" w:hAnsi="Times New Roman" w:eastAsia="新宋体" w:cs="Times New Roman"/>
          <w:bCs/>
          <w:color w:val="auto"/>
          <w:szCs w:val="24"/>
          <w:lang w:eastAsia="zh-CN"/>
        </w:rPr>
        <w:t>；</w:t>
      </w:r>
    </w:p>
    <w:p w14:paraId="7210632A">
      <w:pPr>
        <w:widowControl w:val="0"/>
        <w:topLinePunct/>
        <w:adjustRightInd w:val="0"/>
        <w:snapToGrid w:val="0"/>
        <w:spacing w:line="360" w:lineRule="auto"/>
        <w:ind w:firstLine="480" w:firstLineChars="200"/>
        <w:jc w:val="both"/>
        <w:rPr>
          <w:rFonts w:ascii="Times New Roman" w:hAnsi="Times New Roman" w:eastAsia="新宋体" w:cs="Times New Roman"/>
          <w:color w:val="auto"/>
          <w:szCs w:val="24"/>
          <w:lang w:eastAsia="zh-CN"/>
        </w:rPr>
      </w:pPr>
      <w:r>
        <w:rPr>
          <w:rFonts w:hint="eastAsia" w:ascii="Times New Roman" w:hAnsi="Times New Roman" w:eastAsia="新宋体" w:cs="Times New Roman"/>
          <w:bCs/>
          <w:color w:val="auto"/>
          <w:szCs w:val="24"/>
          <w:lang w:eastAsia="zh-CN"/>
        </w:rPr>
        <w:t>预处理后废气经现有三级碱喷淋塔（TA002）+新增一级碱喷淋塔（TA004）装置</w:t>
      </w:r>
      <w:r>
        <w:rPr>
          <w:rFonts w:ascii="Times New Roman" w:hAnsi="Times New Roman" w:eastAsia="新宋体" w:cs="Times New Roman"/>
          <w:bCs/>
          <w:color w:val="auto"/>
          <w:szCs w:val="24"/>
          <w:lang w:eastAsia="zh-CN"/>
        </w:rPr>
        <w:t>处理，处理后</w:t>
      </w:r>
      <w:r>
        <w:rPr>
          <w:rFonts w:hint="eastAsia" w:ascii="Times New Roman" w:hAnsi="Times New Roman" w:eastAsia="新宋体" w:cs="Times New Roman"/>
          <w:bCs/>
          <w:color w:val="auto"/>
          <w:szCs w:val="24"/>
          <w:lang w:eastAsia="zh-CN"/>
        </w:rPr>
        <w:t>经</w:t>
      </w:r>
      <w:r>
        <w:rPr>
          <w:rFonts w:ascii="Times New Roman" w:hAnsi="Times New Roman" w:eastAsia="新宋体" w:cs="Times New Roman"/>
          <w:bCs/>
          <w:color w:val="auto"/>
          <w:szCs w:val="24"/>
          <w:lang w:eastAsia="zh-CN"/>
        </w:rPr>
        <w:t>现有</w:t>
      </w:r>
      <w:r>
        <w:rPr>
          <w:rFonts w:hint="eastAsia" w:ascii="Times New Roman" w:hAnsi="Times New Roman" w:eastAsia="新宋体" w:cs="Times New Roman"/>
          <w:bCs/>
          <w:color w:val="auto"/>
          <w:szCs w:val="24"/>
          <w:lang w:eastAsia="zh-CN"/>
        </w:rPr>
        <w:t>25</w:t>
      </w:r>
      <w:r>
        <w:rPr>
          <w:rFonts w:ascii="Times New Roman" w:hAnsi="Times New Roman" w:eastAsia="新宋体" w:cs="Times New Roman"/>
          <w:bCs/>
          <w:color w:val="auto"/>
          <w:szCs w:val="24"/>
          <w:lang w:eastAsia="zh-CN"/>
        </w:rPr>
        <w:t>m高DA001排气筒排放</w:t>
      </w:r>
      <w:r>
        <w:rPr>
          <w:rFonts w:ascii="Times New Roman" w:hAnsi="Times New Roman" w:eastAsia="新宋体" w:cs="Times New Roman"/>
          <w:color w:val="auto"/>
          <w:szCs w:val="24"/>
          <w:lang w:eastAsia="zh-CN"/>
        </w:rPr>
        <w:t>。</w:t>
      </w:r>
    </w:p>
    <w:p w14:paraId="79B92B3B">
      <w:pPr>
        <w:widowControl w:val="0"/>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项目废气通过污染防治措施处理后，有效地减少了废气污染物的排放量，减轻了对周围空气质量的影响，有效减缓了对区域内人体健康和农业生态的影响，同时资源的回收利用取得了一定的经济效益；</w:t>
      </w:r>
    </w:p>
    <w:p w14:paraId="4FBC62B4">
      <w:pPr>
        <w:widowControl w:val="0"/>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（2）</w:t>
      </w:r>
      <w:r>
        <w:rPr>
          <w:rFonts w:ascii="Times New Roman" w:hAnsi="Times New Roman" w:eastAsia="新宋体" w:cs="Times New Roman"/>
          <w:color w:val="auto"/>
          <w:szCs w:val="24"/>
          <w:lang w:eastAsia="zh-CN"/>
        </w:rPr>
        <w:t>项目废水主要为</w:t>
      </w:r>
      <w:r>
        <w:rPr>
          <w:rFonts w:hint="eastAsia" w:ascii="Times New Roman" w:hAnsi="Times New Roman" w:eastAsia="新宋体" w:cs="Times New Roman"/>
          <w:color w:val="auto"/>
          <w:szCs w:val="24"/>
          <w:lang w:eastAsia="zh-CN"/>
        </w:rPr>
        <w:t>碱</w:t>
      </w:r>
      <w:r>
        <w:rPr>
          <w:rFonts w:ascii="Times New Roman" w:hAnsi="Times New Roman" w:eastAsia="新宋体" w:cs="Times New Roman"/>
          <w:color w:val="auto"/>
          <w:szCs w:val="24"/>
          <w:lang w:eastAsia="zh-CN"/>
        </w:rPr>
        <w:t>喷淋塔置换废水、地面清洁废水、循环冷却置换废水</w:t>
      </w:r>
      <w:r>
        <w:rPr>
          <w:rFonts w:hint="eastAsia" w:ascii="Times New Roman" w:hAnsi="Times New Roman" w:eastAsia="新宋体" w:cs="Times New Roman"/>
          <w:color w:val="auto"/>
          <w:szCs w:val="24"/>
          <w:lang w:eastAsia="zh-CN"/>
        </w:rPr>
        <w:t>、生活污水</w:t>
      </w:r>
      <w:r>
        <w:rPr>
          <w:rFonts w:ascii="Times New Roman" w:hAnsi="Times New Roman" w:eastAsia="新宋体" w:cs="Times New Roman"/>
          <w:color w:val="auto"/>
          <w:szCs w:val="24"/>
          <w:lang w:eastAsia="zh-CN"/>
        </w:rPr>
        <w:t>以及初期雨水等</w:t>
      </w:r>
      <w:r>
        <w:rPr>
          <w:rFonts w:hint="eastAsia" w:ascii="Times New Roman" w:hAnsi="Times New Roman" w:eastAsia="新宋体" w:cs="Times New Roman"/>
          <w:color w:val="auto"/>
          <w:szCs w:val="24"/>
          <w:lang w:eastAsia="zh-CN"/>
        </w:rPr>
        <w:t>。碱</w:t>
      </w:r>
      <w:r>
        <w:rPr>
          <w:rFonts w:ascii="Times New Roman" w:hAnsi="Times New Roman" w:eastAsia="新宋体" w:cs="Times New Roman"/>
          <w:color w:val="auto"/>
          <w:szCs w:val="24"/>
          <w:lang w:eastAsia="zh-CN"/>
        </w:rPr>
        <w:t>喷淋塔置换废水、</w:t>
      </w:r>
      <w:r>
        <w:rPr>
          <w:rFonts w:ascii="Times New Roman" w:hAnsi="Times New Roman" w:cs="Times New Roman"/>
          <w:color w:val="auto"/>
          <w:lang w:eastAsia="zh-CN"/>
        </w:rPr>
        <w:t>地面清洁废水</w:t>
      </w:r>
      <w:r>
        <w:rPr>
          <w:rFonts w:hint="eastAsia" w:ascii="Times New Roman" w:hAnsi="Times New Roman" w:cs="Times New Roman"/>
          <w:color w:val="auto"/>
          <w:lang w:eastAsia="zh-CN"/>
        </w:rPr>
        <w:t>依托现有厂区</w:t>
      </w:r>
      <w:r>
        <w:rPr>
          <w:rFonts w:ascii="Times New Roman" w:hAnsi="Times New Roman" w:cs="Times New Roman"/>
          <w:color w:val="auto"/>
          <w:lang w:eastAsia="zh-CN"/>
        </w:rPr>
        <w:t>污水处理站</w:t>
      </w:r>
      <w:r>
        <w:rPr>
          <w:rFonts w:hint="eastAsia" w:ascii="Times New Roman" w:hAnsi="Times New Roman" w:cs="Times New Roman"/>
          <w:color w:val="auto"/>
          <w:lang w:eastAsia="zh-CN"/>
        </w:rPr>
        <w:t>“</w:t>
      </w:r>
      <w:r>
        <w:rPr>
          <w:rFonts w:ascii="Times New Roman" w:hAnsi="Times New Roman" w:cs="Times New Roman"/>
          <w:color w:val="auto"/>
          <w:lang w:eastAsia="zh-CN"/>
        </w:rPr>
        <w:t>四级除氟反应+四级除氟沉淀</w:t>
      </w:r>
      <w:r>
        <w:rPr>
          <w:rFonts w:hint="eastAsia" w:ascii="Times New Roman" w:hAnsi="Times New Roman" w:cs="Times New Roman"/>
          <w:color w:val="auto"/>
          <w:lang w:eastAsia="zh-CN"/>
        </w:rPr>
        <w:t>”</w:t>
      </w:r>
      <w:r>
        <w:rPr>
          <w:rFonts w:ascii="Times New Roman" w:hAnsi="Times New Roman" w:cs="Times New Roman"/>
          <w:color w:val="auto"/>
          <w:lang w:eastAsia="zh-CN"/>
        </w:rPr>
        <w:t>处理后，</w:t>
      </w:r>
      <w:r>
        <w:rPr>
          <w:rFonts w:hint="eastAsia" w:ascii="Times New Roman" w:hAnsi="Times New Roman" w:cs="Times New Roman"/>
          <w:color w:val="auto"/>
          <w:lang w:eastAsia="zh-CN"/>
        </w:rPr>
        <w:t>与</w:t>
      </w:r>
      <w:r>
        <w:rPr>
          <w:rFonts w:ascii="Times New Roman" w:hAnsi="Times New Roman" w:eastAsia="新宋体" w:cs="Times New Roman"/>
          <w:color w:val="auto"/>
          <w:szCs w:val="24"/>
          <w:lang w:eastAsia="zh-CN"/>
        </w:rPr>
        <w:t>循环冷却置换废水</w:t>
      </w:r>
      <w:r>
        <w:rPr>
          <w:rFonts w:hint="eastAsia" w:ascii="Times New Roman" w:hAnsi="Times New Roman" w:eastAsia="新宋体" w:cs="Times New Roman"/>
          <w:color w:val="auto"/>
          <w:szCs w:val="24"/>
          <w:lang w:eastAsia="zh-CN"/>
        </w:rPr>
        <w:t>、生活污水一同</w:t>
      </w:r>
      <w:r>
        <w:rPr>
          <w:rFonts w:ascii="Times New Roman" w:hAnsi="Times New Roman" w:cs="Times New Roman"/>
          <w:color w:val="auto"/>
          <w:lang w:eastAsia="zh-CN"/>
        </w:rPr>
        <w:t>排入园区污水管网，进入沫河口污水处理厂处理达标排放</w:t>
      </w:r>
      <w:r>
        <w:rPr>
          <w:rFonts w:hint="eastAsia" w:ascii="Times New Roman" w:hAnsi="Times New Roman" w:cs="Times New Roman"/>
          <w:color w:val="auto"/>
          <w:lang w:eastAsia="zh-CN"/>
        </w:rPr>
        <w:t>。</w:t>
      </w:r>
      <w:r>
        <w:rPr>
          <w:rFonts w:ascii="Times New Roman" w:hAnsi="Times New Roman" w:cs="Times New Roman"/>
          <w:color w:val="auto"/>
          <w:szCs w:val="24"/>
          <w:lang w:eastAsia="zh-CN"/>
        </w:rPr>
        <w:t>项目废水对区域地表水环境影响较小。</w:t>
      </w:r>
    </w:p>
    <w:p w14:paraId="09237F5E">
      <w:pPr>
        <w:widowControl w:val="0"/>
        <w:spacing w:line="360" w:lineRule="auto"/>
        <w:ind w:firstLine="480" w:firstLineChars="200"/>
        <w:rPr>
          <w:rFonts w:ascii="Times New Roman" w:hAnsi="Times New Roman" w:cs="Times New Roman"/>
          <w:color w:val="auto"/>
          <w:szCs w:val="24"/>
          <w:lang w:eastAsia="zh-CN"/>
        </w:rPr>
      </w:pPr>
      <w:bookmarkStart w:id="2538" w:name="_Toc11043"/>
      <w:r>
        <w:rPr>
          <w:rFonts w:ascii="Times New Roman" w:hAnsi="Times New Roman" w:cs="Times New Roman"/>
          <w:color w:val="auto"/>
          <w:szCs w:val="24"/>
          <w:lang w:eastAsia="zh-CN"/>
        </w:rPr>
        <w:t>（3）建设项目设备采用低噪声设备、隔声、消声等措施，减少噪声对厂界的影响，同</w:t>
      </w:r>
      <w:bookmarkEnd w:id="2538"/>
    </w:p>
    <w:p w14:paraId="31D9E2CF">
      <w:pPr>
        <w:widowControl w:val="0"/>
        <w:spacing w:line="360" w:lineRule="auto"/>
        <w:ind w:firstLine="200"/>
        <w:rPr>
          <w:rFonts w:ascii="Times New Roman" w:hAnsi="Times New Roman" w:cs="Times New Roman"/>
          <w:color w:val="auto"/>
          <w:szCs w:val="24"/>
          <w:lang w:eastAsia="zh-CN"/>
        </w:rPr>
      </w:pPr>
      <w:r>
        <w:rPr>
          <w:rFonts w:ascii="Times New Roman" w:hAnsi="Times New Roman" w:cs="Times New Roman"/>
          <w:color w:val="auto"/>
          <w:szCs w:val="24"/>
          <w:lang w:eastAsia="zh-CN"/>
        </w:rPr>
        <w:t>时改善了工作环境，保护劳动者的身心健康。</w:t>
      </w:r>
    </w:p>
    <w:p w14:paraId="0EDEF8BE">
      <w:pPr>
        <w:widowControl w:val="0"/>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（4）危险废物的安全处置减轻了对周围水体、大气、土壤等环境的影响。</w:t>
      </w:r>
    </w:p>
    <w:p w14:paraId="1AF946D3">
      <w:pPr>
        <w:widowControl w:val="0"/>
        <w:spacing w:line="360" w:lineRule="auto"/>
        <w:ind w:firstLine="480" w:firstLineChars="200"/>
        <w:rPr>
          <w:rFonts w:ascii="Times New Roman" w:hAnsi="Times New Roman" w:cs="Times New Roman"/>
          <w:color w:val="auto"/>
          <w:szCs w:val="24"/>
          <w:lang w:eastAsia="zh-CN"/>
        </w:rPr>
      </w:pPr>
      <w:bookmarkStart w:id="2539" w:name="_Toc32609"/>
      <w:r>
        <w:rPr>
          <w:rFonts w:ascii="Times New Roman" w:hAnsi="Times New Roman" w:cs="Times New Roman"/>
          <w:color w:val="auto"/>
          <w:szCs w:val="24"/>
          <w:lang w:eastAsia="zh-CN"/>
        </w:rPr>
        <w:t>（5）地下水和土壤按照分区防渗原则，进行重点防渗区和一般防渗区进行防渗，有效</w:t>
      </w:r>
      <w:bookmarkEnd w:id="2539"/>
    </w:p>
    <w:p w14:paraId="681ED029">
      <w:pPr>
        <w:widowControl w:val="0"/>
        <w:spacing w:line="360" w:lineRule="auto"/>
        <w:ind w:firstLine="200"/>
        <w:rPr>
          <w:rFonts w:ascii="Times New Roman" w:hAnsi="Times New Roman" w:cs="Times New Roman"/>
          <w:color w:val="auto"/>
          <w:szCs w:val="24"/>
          <w:lang w:eastAsia="zh-CN"/>
        </w:rPr>
      </w:pPr>
      <w:r>
        <w:rPr>
          <w:rFonts w:ascii="Times New Roman" w:hAnsi="Times New Roman" w:cs="Times New Roman"/>
          <w:color w:val="auto"/>
          <w:szCs w:val="24"/>
          <w:lang w:eastAsia="zh-CN"/>
        </w:rPr>
        <w:t>防止物料泄漏对地下水和土壤造成影响。</w:t>
      </w:r>
    </w:p>
    <w:p w14:paraId="0124A7FD">
      <w:pPr>
        <w:widowControl w:val="0"/>
        <w:spacing w:line="360" w:lineRule="auto"/>
        <w:ind w:firstLine="480" w:firstLineChars="200"/>
        <w:rPr>
          <w:rFonts w:ascii="Times New Roman" w:hAnsi="Times New Roman" w:cs="Times New Roman"/>
          <w:color w:val="auto"/>
          <w:szCs w:val="24"/>
          <w:lang w:eastAsia="zh-CN"/>
        </w:rPr>
      </w:pPr>
      <w:bookmarkStart w:id="2540" w:name="_Toc17594"/>
      <w:bookmarkStart w:id="2541" w:name="_Toc23961"/>
      <w:r>
        <w:rPr>
          <w:rFonts w:ascii="Times New Roman" w:hAnsi="Times New Roman" w:cs="Times New Roman"/>
          <w:color w:val="auto"/>
          <w:szCs w:val="24"/>
          <w:lang w:eastAsia="zh-CN"/>
        </w:rPr>
        <w:t>综合分析，本项目实施后环境效益较好，各项措施到位后可以有效规避环境污染事故发</w:t>
      </w:r>
      <w:bookmarkEnd w:id="2540"/>
      <w:bookmarkEnd w:id="2541"/>
    </w:p>
    <w:p w14:paraId="764D4862">
      <w:pPr>
        <w:widowControl w:val="0"/>
        <w:spacing w:line="360" w:lineRule="auto"/>
        <w:ind w:firstLine="200"/>
        <w:rPr>
          <w:rFonts w:ascii="Times New Roman" w:hAnsi="Times New Roman" w:cs="Times New Roman"/>
          <w:color w:val="auto"/>
          <w:szCs w:val="24"/>
          <w:lang w:eastAsia="zh-CN"/>
        </w:rPr>
      </w:pPr>
      <w:r>
        <w:rPr>
          <w:rFonts w:ascii="Times New Roman" w:hAnsi="Times New Roman" w:cs="Times New Roman"/>
          <w:color w:val="auto"/>
          <w:szCs w:val="24"/>
          <w:lang w:eastAsia="zh-CN"/>
        </w:rPr>
        <w:t>生，保护区域生态环境，并做到污染物达标排放。</w:t>
      </w:r>
    </w:p>
    <w:p w14:paraId="0DDECFA4">
      <w:pPr>
        <w:spacing w:line="360" w:lineRule="auto"/>
        <w:ind w:firstLine="562"/>
        <w:outlineLvl w:val="1"/>
        <w:rPr>
          <w:rFonts w:ascii="Times New Roman" w:hAnsi="Times New Roman" w:cs="Times New Roman"/>
          <w:b/>
          <w:bCs/>
          <w:color w:val="auto"/>
          <w:sz w:val="28"/>
          <w:szCs w:val="22"/>
          <w:lang w:eastAsia="zh-CN"/>
        </w:rPr>
      </w:pPr>
      <w:bookmarkStart w:id="2542" w:name="_Toc237508416"/>
      <w:bookmarkStart w:id="2543" w:name="_Toc24585"/>
      <w:r>
        <w:rPr>
          <w:rFonts w:ascii="Times New Roman" w:hAnsi="Times New Roman" w:cs="Times New Roman"/>
          <w:b/>
          <w:bCs/>
          <w:color w:val="auto"/>
          <w:sz w:val="28"/>
          <w:szCs w:val="22"/>
          <w:lang w:eastAsia="zh-CN"/>
        </w:rPr>
        <w:t>9.5 小结</w:t>
      </w:r>
      <w:bookmarkEnd w:id="2542"/>
      <w:bookmarkEnd w:id="2543"/>
    </w:p>
    <w:p w14:paraId="37D08525">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本评价认为，</w:t>
      </w:r>
      <w:r>
        <w:rPr>
          <w:rFonts w:hint="eastAsia" w:ascii="Times New Roman" w:hAnsi="Times New Roman" w:cs="Times New Roman"/>
          <w:color w:val="auto"/>
          <w:szCs w:val="24"/>
          <w:lang w:eastAsia="zh-CN"/>
        </w:rPr>
        <w:t>安徽氟瑞星化工有限公司</w:t>
      </w:r>
      <w:r>
        <w:rPr>
          <w:rFonts w:ascii="Times New Roman" w:hAnsi="Times New Roman" w:cs="Times New Roman"/>
          <w:color w:val="auto"/>
          <w:szCs w:val="24"/>
          <w:lang w:eastAsia="zh-CN"/>
        </w:rPr>
        <w:t>在本项目的建设过程中，通过合理的环保投资，保证各项污染防治措施的落实，可以使运行后的各类污染物做到稳定、达标排放，从而实现经济效益、社会效益和环境效益的统一。</w:t>
      </w:r>
    </w:p>
    <w:p w14:paraId="5590A99E">
      <w:pPr>
        <w:spacing w:line="360" w:lineRule="auto"/>
        <w:ind w:firstLine="480"/>
        <w:rPr>
          <w:rFonts w:ascii="Times New Roman" w:hAnsi="Times New Roman" w:cs="Times New Roman"/>
          <w:color w:val="auto"/>
          <w:szCs w:val="24"/>
          <w:lang w:eastAsia="zh-CN"/>
        </w:rPr>
        <w:sectPr>
          <w:pgSz w:w="11907" w:h="16840"/>
          <w:pgMar w:top="1191" w:right="1134" w:bottom="1191" w:left="1134" w:header="933" w:footer="671" w:gutter="0"/>
          <w:cols w:space="720" w:num="1"/>
        </w:sectPr>
      </w:pPr>
    </w:p>
    <w:p w14:paraId="29C7EFB0">
      <w:pPr>
        <w:spacing w:line="360" w:lineRule="auto"/>
        <w:jc w:val="center"/>
        <w:outlineLvl w:val="0"/>
        <w:rPr>
          <w:rFonts w:ascii="Times New Roman" w:hAnsi="Times New Roman" w:cs="Times New Roman"/>
          <w:b/>
          <w:bCs/>
          <w:color w:val="auto"/>
          <w:sz w:val="32"/>
          <w:szCs w:val="24"/>
          <w:lang w:eastAsia="zh-CN"/>
        </w:rPr>
      </w:pPr>
      <w:bookmarkStart w:id="2544" w:name="_Toc14241"/>
      <w:bookmarkStart w:id="2545" w:name="_Toc237508417"/>
      <w:r>
        <w:rPr>
          <w:rFonts w:ascii="Times New Roman" w:hAnsi="Times New Roman" w:cs="Times New Roman"/>
          <w:b/>
          <w:bCs/>
          <w:color w:val="auto"/>
          <w:sz w:val="32"/>
          <w:szCs w:val="24"/>
          <w:lang w:eastAsia="zh-CN"/>
        </w:rPr>
        <w:t>10 环境管理与环境监测</w:t>
      </w:r>
      <w:bookmarkEnd w:id="2544"/>
      <w:bookmarkEnd w:id="2545"/>
    </w:p>
    <w:p w14:paraId="7642EBE1">
      <w:pPr>
        <w:spacing w:line="360" w:lineRule="auto"/>
        <w:ind w:firstLine="562"/>
        <w:rPr>
          <w:rFonts w:ascii="Times New Roman" w:hAnsi="Times New Roman" w:cs="Times New Roman"/>
          <w:b/>
          <w:bCs/>
          <w:color w:val="auto"/>
          <w:sz w:val="28"/>
          <w:szCs w:val="22"/>
          <w:lang w:eastAsia="zh-CN"/>
        </w:rPr>
      </w:pPr>
      <w:bookmarkStart w:id="2546" w:name="_Toc12686"/>
    </w:p>
    <w:p w14:paraId="006018BE">
      <w:pPr>
        <w:spacing w:line="360" w:lineRule="auto"/>
        <w:ind w:firstLine="562"/>
        <w:outlineLvl w:val="1"/>
        <w:rPr>
          <w:rFonts w:ascii="Times New Roman" w:hAnsi="Times New Roman" w:cs="Times New Roman"/>
          <w:b/>
          <w:bCs/>
          <w:color w:val="auto"/>
          <w:sz w:val="28"/>
          <w:szCs w:val="22"/>
          <w:lang w:eastAsia="zh-CN"/>
        </w:rPr>
      </w:pPr>
      <w:bookmarkStart w:id="2547" w:name="_Toc237508418"/>
      <w:r>
        <w:rPr>
          <w:rFonts w:ascii="Times New Roman" w:hAnsi="Times New Roman" w:cs="Times New Roman"/>
          <w:b/>
          <w:bCs/>
          <w:color w:val="auto"/>
          <w:sz w:val="28"/>
          <w:szCs w:val="22"/>
          <w:lang w:eastAsia="zh-CN"/>
        </w:rPr>
        <w:t>10.1 目的</w:t>
      </w:r>
      <w:bookmarkEnd w:id="2546"/>
      <w:bookmarkEnd w:id="2547"/>
    </w:p>
    <w:p w14:paraId="01A1EA33">
      <w:pPr>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建设单位需加强环境保护机构的建设和管理，根据本项目污染特点和生产布局，合理制订环境监测计划，及时掌握本项目运行所造成的环境影响程度，了解环境保护措施所获取效益，以便进行必要调整与补充。根据监测结果，可以验证环境影响评价的科学性以及为环境影响回顾性评价提供系统性资料，准确地把握项目建设产生的环境效益。同时，通过监测可以掌握某些突发性事故对环境的影响程度及范围，以便采取应急措施，减轻危害。</w:t>
      </w:r>
    </w:p>
    <w:p w14:paraId="3BA24A58">
      <w:pPr>
        <w:spacing w:line="360" w:lineRule="auto"/>
        <w:ind w:firstLine="562"/>
        <w:outlineLvl w:val="1"/>
        <w:rPr>
          <w:rFonts w:ascii="Times New Roman" w:hAnsi="Times New Roman" w:cs="Times New Roman"/>
          <w:b/>
          <w:bCs/>
          <w:color w:val="auto"/>
          <w:sz w:val="28"/>
          <w:szCs w:val="22"/>
          <w:lang w:eastAsia="zh-CN"/>
        </w:rPr>
      </w:pPr>
      <w:bookmarkStart w:id="2548" w:name="_Toc237508419"/>
      <w:r>
        <w:rPr>
          <w:rFonts w:ascii="Times New Roman" w:hAnsi="Times New Roman" w:cs="Times New Roman"/>
          <w:b/>
          <w:bCs/>
          <w:color w:val="auto"/>
          <w:sz w:val="28"/>
          <w:szCs w:val="22"/>
          <w:lang w:eastAsia="zh-CN"/>
        </w:rPr>
        <w:t>10.2</w:t>
      </w:r>
      <w:r>
        <w:rPr>
          <w:rFonts w:hint="eastAsia" w:ascii="Times New Roman" w:hAnsi="Times New Roman" w:cs="Times New Roman"/>
          <w:b/>
          <w:bCs/>
          <w:color w:val="auto"/>
          <w:sz w:val="28"/>
          <w:szCs w:val="22"/>
          <w:lang w:eastAsia="zh-CN"/>
        </w:rPr>
        <w:t xml:space="preserve"> </w:t>
      </w:r>
      <w:r>
        <w:rPr>
          <w:rFonts w:ascii="Times New Roman" w:hAnsi="Times New Roman" w:cs="Times New Roman"/>
          <w:b/>
          <w:bCs/>
          <w:color w:val="auto"/>
          <w:sz w:val="28"/>
          <w:szCs w:val="22"/>
          <w:lang w:eastAsia="zh-CN"/>
        </w:rPr>
        <w:t>建设单位污染物排放基本情况</w:t>
      </w:r>
      <w:bookmarkEnd w:id="2548"/>
    </w:p>
    <w:p w14:paraId="5C0AF370">
      <w:pPr>
        <w:spacing w:line="360" w:lineRule="auto"/>
        <w:ind w:firstLine="482"/>
        <w:outlineLvl w:val="2"/>
        <w:rPr>
          <w:rFonts w:ascii="Times New Roman" w:hAnsi="Times New Roman" w:cs="Times New Roman"/>
          <w:b/>
          <w:bCs/>
          <w:color w:val="auto"/>
          <w:lang w:eastAsia="zh-CN"/>
        </w:rPr>
      </w:pPr>
      <w:bookmarkStart w:id="2549" w:name="_Toc204515328"/>
      <w:bookmarkStart w:id="2550" w:name="_Toc221900967"/>
      <w:bookmarkStart w:id="2551" w:name="_Toc223425185"/>
      <w:bookmarkStart w:id="2552" w:name="_Toc203927129"/>
      <w:bookmarkStart w:id="2553" w:name="_Toc178602477"/>
      <w:bookmarkStart w:id="2554" w:name="_Toc218784411"/>
      <w:bookmarkStart w:id="2555" w:name="_Toc173740402"/>
      <w:bookmarkStart w:id="2556" w:name="_Toc236641955"/>
      <w:bookmarkStart w:id="2557" w:name="_Toc173743506"/>
      <w:bookmarkStart w:id="2558" w:name="_Toc217662799"/>
      <w:bookmarkStart w:id="2559" w:name="_Toc483570664"/>
      <w:bookmarkStart w:id="2560" w:name="_Toc172555768"/>
      <w:bookmarkStart w:id="2561" w:name="_Toc224674825"/>
      <w:bookmarkStart w:id="2562" w:name="_Toc472235168"/>
      <w:bookmarkStart w:id="2563" w:name="_Toc175164396"/>
      <w:bookmarkStart w:id="2564" w:name="_Toc225784187"/>
      <w:bookmarkStart w:id="2565" w:name="_Toc474489032"/>
      <w:bookmarkStart w:id="2566" w:name="_Toc176513132"/>
      <w:bookmarkStart w:id="2567" w:name="_Toc204448593"/>
      <w:bookmarkStart w:id="2568" w:name="_Toc231828708"/>
      <w:bookmarkStart w:id="2569" w:name="_Toc237508420"/>
      <w:r>
        <w:rPr>
          <w:rFonts w:ascii="Times New Roman" w:hAnsi="Times New Roman" w:cs="Times New Roman"/>
          <w:b/>
          <w:bCs/>
          <w:color w:val="auto"/>
          <w:lang w:eastAsia="zh-CN"/>
        </w:rPr>
        <w:t>10.2.1 产排污节点、污染物及污染治理设施</w:t>
      </w:r>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p>
    <w:p w14:paraId="2B29EA34">
      <w:pPr>
        <w:spacing w:line="360" w:lineRule="auto"/>
        <w:ind w:firstLine="480" w:firstLineChars="200"/>
        <w:rPr>
          <w:rFonts w:ascii="Times New Roman" w:hAnsi="Times New Roman" w:cs="Times New Roman"/>
          <w:snapToGrid/>
          <w:color w:val="auto"/>
          <w:szCs w:val="24"/>
          <w:lang w:eastAsia="zh-CN"/>
        </w:rPr>
      </w:pPr>
      <w:r>
        <w:rPr>
          <w:rFonts w:ascii="Times New Roman" w:hAnsi="Times New Roman" w:cs="Times New Roman"/>
          <w:snapToGrid/>
          <w:color w:val="auto"/>
          <w:szCs w:val="24"/>
          <w:lang w:eastAsia="zh-CN"/>
        </w:rPr>
        <w:t>1、拟建项目废气产排污节点、污染物及污染治理设施信息见下表。</w:t>
      </w:r>
    </w:p>
    <w:p w14:paraId="020A908E">
      <w:pPr>
        <w:spacing w:line="360" w:lineRule="auto"/>
        <w:jc w:val="center"/>
        <w:rPr>
          <w:rFonts w:ascii="Times New Roman" w:hAnsi="Times New Roman" w:cs="Times New Roman"/>
          <w:b/>
          <w:bCs/>
          <w:color w:val="auto"/>
          <w:lang w:eastAsia="zh-CN"/>
        </w:rPr>
      </w:pPr>
      <w:bookmarkStart w:id="2570" w:name="_Toc20191"/>
      <w:r>
        <w:rPr>
          <w:rFonts w:ascii="Times New Roman" w:hAnsi="Times New Roman" w:cs="Times New Roman"/>
          <w:b/>
          <w:bCs/>
          <w:color w:val="auto"/>
          <w:lang w:eastAsia="zh-CN"/>
        </w:rPr>
        <w:t>表10.2-1 项目废气产排污节点、污染物及污染治理设施信息表</w:t>
      </w:r>
      <w:bookmarkEnd w:id="2570"/>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702"/>
        <w:gridCol w:w="990"/>
        <w:gridCol w:w="710"/>
        <w:gridCol w:w="710"/>
        <w:gridCol w:w="708"/>
        <w:gridCol w:w="1417"/>
        <w:gridCol w:w="1134"/>
        <w:gridCol w:w="867"/>
        <w:gridCol w:w="799"/>
      </w:tblGrid>
      <w:tr w14:paraId="76A6F0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4" w:type="pct"/>
            <w:vMerge w:val="restart"/>
            <w:vAlign w:val="center"/>
          </w:tcPr>
          <w:p w14:paraId="6A584BE2">
            <w:pPr>
              <w:adjustRightInd w:val="0"/>
              <w:snapToGrid w:val="0"/>
              <w:jc w:val="center"/>
              <w:rPr>
                <w:rFonts w:ascii="Times New Roman" w:hAnsi="Times New Roman" w:cs="Times New Roman"/>
                <w:b/>
                <w:bCs/>
                <w:snapToGrid/>
                <w:color w:val="auto"/>
                <w:sz w:val="21"/>
                <w:lang w:eastAsia="zh-CN"/>
              </w:rPr>
            </w:pPr>
            <w:r>
              <w:rPr>
                <w:rFonts w:ascii="Times New Roman" w:hAnsi="Times New Roman" w:cs="Times New Roman"/>
                <w:b/>
                <w:bCs/>
                <w:snapToGrid/>
                <w:color w:val="auto"/>
                <w:sz w:val="21"/>
                <w:lang w:eastAsia="zh-CN"/>
              </w:rPr>
              <w:t>位置</w:t>
            </w:r>
          </w:p>
        </w:tc>
        <w:tc>
          <w:tcPr>
            <w:tcW w:w="873" w:type="pct"/>
            <w:vMerge w:val="restart"/>
            <w:vAlign w:val="center"/>
          </w:tcPr>
          <w:p w14:paraId="58641510">
            <w:pPr>
              <w:adjustRightInd w:val="0"/>
              <w:snapToGrid w:val="0"/>
              <w:jc w:val="center"/>
              <w:rPr>
                <w:rFonts w:ascii="Times New Roman" w:hAnsi="Times New Roman" w:cs="Times New Roman"/>
                <w:b/>
                <w:bCs/>
                <w:snapToGrid/>
                <w:color w:val="auto"/>
                <w:sz w:val="21"/>
                <w:lang w:eastAsia="zh-CN"/>
              </w:rPr>
            </w:pPr>
            <w:r>
              <w:rPr>
                <w:rFonts w:ascii="Times New Roman" w:hAnsi="Times New Roman" w:cs="Times New Roman"/>
                <w:b/>
                <w:bCs/>
                <w:snapToGrid/>
                <w:color w:val="auto"/>
                <w:sz w:val="21"/>
                <w:lang w:eastAsia="zh-CN"/>
              </w:rPr>
              <w:t>产污环节</w:t>
            </w:r>
          </w:p>
        </w:tc>
        <w:tc>
          <w:tcPr>
            <w:tcW w:w="508" w:type="pct"/>
            <w:vMerge w:val="restart"/>
            <w:vAlign w:val="center"/>
          </w:tcPr>
          <w:p w14:paraId="1288F03D">
            <w:pPr>
              <w:adjustRightInd w:val="0"/>
              <w:snapToGrid w:val="0"/>
              <w:jc w:val="center"/>
              <w:rPr>
                <w:rFonts w:ascii="Times New Roman" w:hAnsi="Times New Roman" w:cs="Times New Roman"/>
                <w:b/>
                <w:bCs/>
                <w:snapToGrid/>
                <w:color w:val="auto"/>
                <w:sz w:val="21"/>
                <w:lang w:eastAsia="zh-CN"/>
              </w:rPr>
            </w:pPr>
            <w:r>
              <w:rPr>
                <w:rFonts w:ascii="Times New Roman" w:hAnsi="Times New Roman" w:cs="Times New Roman"/>
                <w:b/>
                <w:bCs/>
                <w:snapToGrid/>
                <w:color w:val="auto"/>
                <w:sz w:val="21"/>
                <w:lang w:eastAsia="zh-CN"/>
              </w:rPr>
              <w:t>污染物</w:t>
            </w:r>
          </w:p>
        </w:tc>
        <w:tc>
          <w:tcPr>
            <w:tcW w:w="364" w:type="pct"/>
            <w:vMerge w:val="restart"/>
            <w:vAlign w:val="center"/>
          </w:tcPr>
          <w:p w14:paraId="2A751D71">
            <w:pPr>
              <w:adjustRightInd w:val="0"/>
              <w:snapToGrid w:val="0"/>
              <w:jc w:val="center"/>
              <w:rPr>
                <w:rFonts w:ascii="Times New Roman" w:hAnsi="Times New Roman" w:cs="Times New Roman"/>
                <w:b/>
                <w:bCs/>
                <w:snapToGrid/>
                <w:color w:val="auto"/>
                <w:sz w:val="21"/>
                <w:lang w:eastAsia="zh-CN"/>
              </w:rPr>
            </w:pPr>
            <w:r>
              <w:rPr>
                <w:rFonts w:ascii="Times New Roman" w:hAnsi="Times New Roman" w:cs="Times New Roman"/>
                <w:b/>
                <w:bCs/>
                <w:snapToGrid/>
                <w:color w:val="auto"/>
                <w:sz w:val="21"/>
                <w:lang w:eastAsia="zh-CN"/>
              </w:rPr>
              <w:t>排放形式</w:t>
            </w:r>
          </w:p>
        </w:tc>
        <w:tc>
          <w:tcPr>
            <w:tcW w:w="2036" w:type="pct"/>
            <w:gridSpan w:val="4"/>
            <w:vAlign w:val="center"/>
          </w:tcPr>
          <w:p w14:paraId="69F74440">
            <w:pPr>
              <w:adjustRightInd w:val="0"/>
              <w:snapToGrid w:val="0"/>
              <w:jc w:val="center"/>
              <w:rPr>
                <w:rFonts w:ascii="Times New Roman" w:hAnsi="Times New Roman" w:cs="Times New Roman"/>
                <w:b/>
                <w:bCs/>
                <w:snapToGrid/>
                <w:color w:val="auto"/>
                <w:sz w:val="21"/>
                <w:lang w:eastAsia="zh-CN"/>
              </w:rPr>
            </w:pPr>
            <w:r>
              <w:rPr>
                <w:rFonts w:ascii="Times New Roman" w:hAnsi="Times New Roman" w:cs="Times New Roman"/>
                <w:b/>
                <w:bCs/>
                <w:snapToGrid/>
                <w:color w:val="auto"/>
                <w:sz w:val="21"/>
                <w:lang w:eastAsia="zh-CN"/>
              </w:rPr>
              <w:t>污染治理设施</w:t>
            </w:r>
          </w:p>
        </w:tc>
        <w:tc>
          <w:tcPr>
            <w:tcW w:w="445" w:type="pct"/>
            <w:vMerge w:val="restart"/>
            <w:vAlign w:val="center"/>
          </w:tcPr>
          <w:p w14:paraId="4E024109">
            <w:pPr>
              <w:adjustRightInd w:val="0"/>
              <w:snapToGrid w:val="0"/>
              <w:jc w:val="center"/>
              <w:rPr>
                <w:rFonts w:ascii="Times New Roman" w:hAnsi="Times New Roman" w:cs="Times New Roman"/>
                <w:b/>
                <w:bCs/>
                <w:snapToGrid/>
                <w:color w:val="auto"/>
                <w:sz w:val="21"/>
                <w:lang w:eastAsia="zh-CN"/>
              </w:rPr>
            </w:pPr>
            <w:r>
              <w:rPr>
                <w:rFonts w:ascii="Times New Roman" w:hAnsi="Times New Roman" w:cs="Times New Roman"/>
                <w:b/>
                <w:bCs/>
                <w:snapToGrid/>
                <w:color w:val="auto"/>
                <w:sz w:val="21"/>
                <w:lang w:eastAsia="zh-CN"/>
              </w:rPr>
              <w:t>是否为可行技术</w:t>
            </w:r>
          </w:p>
        </w:tc>
        <w:tc>
          <w:tcPr>
            <w:tcW w:w="410" w:type="pct"/>
            <w:vMerge w:val="restart"/>
            <w:vAlign w:val="center"/>
          </w:tcPr>
          <w:p w14:paraId="4785E4CA">
            <w:pPr>
              <w:adjustRightInd w:val="0"/>
              <w:snapToGrid w:val="0"/>
              <w:jc w:val="center"/>
              <w:rPr>
                <w:rFonts w:ascii="Times New Roman" w:hAnsi="Times New Roman" w:cs="Times New Roman"/>
                <w:b/>
                <w:bCs/>
                <w:snapToGrid/>
                <w:color w:val="auto"/>
                <w:sz w:val="21"/>
                <w:lang w:eastAsia="zh-CN"/>
              </w:rPr>
            </w:pPr>
            <w:r>
              <w:rPr>
                <w:rFonts w:ascii="Times New Roman" w:hAnsi="Times New Roman" w:cs="Times New Roman"/>
                <w:b/>
                <w:bCs/>
                <w:snapToGrid/>
                <w:color w:val="auto"/>
                <w:sz w:val="21"/>
                <w:lang w:eastAsia="zh-CN"/>
              </w:rPr>
              <w:t>排放口类型</w:t>
            </w:r>
          </w:p>
        </w:tc>
      </w:tr>
      <w:tr w14:paraId="0FF109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64" w:type="pct"/>
            <w:vMerge w:val="continue"/>
            <w:vAlign w:val="center"/>
          </w:tcPr>
          <w:p w14:paraId="7D57C8AE">
            <w:pPr>
              <w:adjustRightInd w:val="0"/>
              <w:snapToGrid w:val="0"/>
              <w:jc w:val="center"/>
              <w:rPr>
                <w:rFonts w:ascii="Times New Roman" w:hAnsi="Times New Roman" w:cs="Times New Roman"/>
                <w:snapToGrid/>
                <w:color w:val="auto"/>
                <w:sz w:val="21"/>
                <w:lang w:eastAsia="zh-CN"/>
              </w:rPr>
            </w:pPr>
          </w:p>
        </w:tc>
        <w:tc>
          <w:tcPr>
            <w:tcW w:w="873" w:type="pct"/>
            <w:vMerge w:val="continue"/>
            <w:vAlign w:val="center"/>
          </w:tcPr>
          <w:p w14:paraId="2BBAA430">
            <w:pPr>
              <w:adjustRightInd w:val="0"/>
              <w:snapToGrid w:val="0"/>
              <w:jc w:val="center"/>
              <w:rPr>
                <w:rFonts w:ascii="Times New Roman" w:hAnsi="Times New Roman" w:cs="Times New Roman"/>
                <w:snapToGrid/>
                <w:color w:val="auto"/>
                <w:sz w:val="21"/>
                <w:lang w:eastAsia="zh-CN"/>
              </w:rPr>
            </w:pPr>
          </w:p>
        </w:tc>
        <w:tc>
          <w:tcPr>
            <w:tcW w:w="508" w:type="pct"/>
            <w:vMerge w:val="continue"/>
            <w:vAlign w:val="center"/>
          </w:tcPr>
          <w:p w14:paraId="32398B59">
            <w:pPr>
              <w:adjustRightInd w:val="0"/>
              <w:snapToGrid w:val="0"/>
              <w:jc w:val="center"/>
              <w:rPr>
                <w:rFonts w:ascii="Times New Roman" w:hAnsi="Times New Roman" w:cs="Times New Roman"/>
                <w:snapToGrid/>
                <w:color w:val="auto"/>
                <w:sz w:val="21"/>
                <w:lang w:eastAsia="zh-CN"/>
              </w:rPr>
            </w:pPr>
          </w:p>
        </w:tc>
        <w:tc>
          <w:tcPr>
            <w:tcW w:w="364" w:type="pct"/>
            <w:vMerge w:val="continue"/>
            <w:vAlign w:val="center"/>
          </w:tcPr>
          <w:p w14:paraId="64A39ADD">
            <w:pPr>
              <w:adjustRightInd w:val="0"/>
              <w:snapToGrid w:val="0"/>
              <w:jc w:val="center"/>
              <w:rPr>
                <w:rFonts w:ascii="Times New Roman" w:hAnsi="Times New Roman" w:cs="Times New Roman"/>
                <w:snapToGrid/>
                <w:color w:val="auto"/>
                <w:sz w:val="21"/>
                <w:lang w:eastAsia="zh-CN"/>
              </w:rPr>
            </w:pPr>
          </w:p>
        </w:tc>
        <w:tc>
          <w:tcPr>
            <w:tcW w:w="364" w:type="pct"/>
            <w:vAlign w:val="center"/>
          </w:tcPr>
          <w:p w14:paraId="7378FFB3">
            <w:pPr>
              <w:adjustRightInd w:val="0"/>
              <w:snapToGrid w:val="0"/>
              <w:jc w:val="center"/>
              <w:rPr>
                <w:rFonts w:ascii="Times New Roman" w:hAnsi="Times New Roman" w:cs="Times New Roman"/>
                <w:b/>
                <w:bCs/>
                <w:snapToGrid/>
                <w:color w:val="auto"/>
                <w:sz w:val="21"/>
                <w:lang w:eastAsia="zh-CN"/>
              </w:rPr>
            </w:pPr>
            <w:r>
              <w:rPr>
                <w:rFonts w:ascii="Times New Roman" w:hAnsi="Times New Roman" w:cs="Times New Roman"/>
                <w:b/>
                <w:bCs/>
                <w:snapToGrid/>
                <w:color w:val="auto"/>
                <w:sz w:val="21"/>
                <w:lang w:eastAsia="zh-CN"/>
              </w:rPr>
              <w:t>收集</w:t>
            </w:r>
          </w:p>
          <w:p w14:paraId="03F67A0E">
            <w:pPr>
              <w:adjustRightInd w:val="0"/>
              <w:snapToGrid w:val="0"/>
              <w:jc w:val="center"/>
              <w:rPr>
                <w:rFonts w:ascii="Times New Roman" w:hAnsi="Times New Roman" w:cs="Times New Roman"/>
                <w:b/>
                <w:bCs/>
                <w:snapToGrid/>
                <w:color w:val="auto"/>
                <w:sz w:val="21"/>
                <w:lang w:eastAsia="zh-CN"/>
              </w:rPr>
            </w:pPr>
            <w:r>
              <w:rPr>
                <w:rFonts w:ascii="Times New Roman" w:hAnsi="Times New Roman" w:cs="Times New Roman"/>
                <w:b/>
                <w:bCs/>
                <w:snapToGrid/>
                <w:color w:val="auto"/>
                <w:sz w:val="21"/>
                <w:lang w:eastAsia="zh-CN"/>
              </w:rPr>
              <w:t>措施</w:t>
            </w:r>
          </w:p>
        </w:tc>
        <w:tc>
          <w:tcPr>
            <w:tcW w:w="363" w:type="pct"/>
            <w:vAlign w:val="center"/>
          </w:tcPr>
          <w:p w14:paraId="21B520A9">
            <w:pPr>
              <w:adjustRightInd w:val="0"/>
              <w:snapToGrid w:val="0"/>
              <w:jc w:val="center"/>
              <w:rPr>
                <w:rFonts w:ascii="Times New Roman" w:hAnsi="Times New Roman" w:cs="Times New Roman"/>
                <w:b/>
                <w:bCs/>
                <w:snapToGrid/>
                <w:color w:val="auto"/>
                <w:sz w:val="21"/>
                <w:lang w:eastAsia="zh-CN"/>
              </w:rPr>
            </w:pPr>
            <w:r>
              <w:rPr>
                <w:rFonts w:ascii="Times New Roman" w:hAnsi="Times New Roman" w:cs="Times New Roman"/>
                <w:b/>
                <w:bCs/>
                <w:snapToGrid/>
                <w:color w:val="auto"/>
                <w:sz w:val="21"/>
                <w:lang w:eastAsia="zh-CN"/>
              </w:rPr>
              <w:t>收集</w:t>
            </w:r>
          </w:p>
          <w:p w14:paraId="3CB2C85D">
            <w:pPr>
              <w:adjustRightInd w:val="0"/>
              <w:snapToGrid w:val="0"/>
              <w:jc w:val="center"/>
              <w:rPr>
                <w:rFonts w:ascii="Times New Roman" w:hAnsi="Times New Roman" w:cs="Times New Roman"/>
                <w:b/>
                <w:bCs/>
                <w:snapToGrid/>
                <w:color w:val="auto"/>
                <w:sz w:val="21"/>
                <w:lang w:eastAsia="zh-CN"/>
              </w:rPr>
            </w:pPr>
            <w:r>
              <w:rPr>
                <w:rFonts w:ascii="Times New Roman" w:hAnsi="Times New Roman" w:cs="Times New Roman"/>
                <w:b/>
                <w:bCs/>
                <w:snapToGrid/>
                <w:color w:val="auto"/>
                <w:sz w:val="21"/>
                <w:lang w:eastAsia="zh-CN"/>
              </w:rPr>
              <w:t>效率</w:t>
            </w:r>
          </w:p>
        </w:tc>
        <w:tc>
          <w:tcPr>
            <w:tcW w:w="727" w:type="pct"/>
            <w:vAlign w:val="center"/>
          </w:tcPr>
          <w:p w14:paraId="31BD70E0">
            <w:pPr>
              <w:adjustRightInd w:val="0"/>
              <w:snapToGrid w:val="0"/>
              <w:jc w:val="center"/>
              <w:rPr>
                <w:rFonts w:ascii="Times New Roman" w:hAnsi="Times New Roman" w:cs="Times New Roman"/>
                <w:b/>
                <w:bCs/>
                <w:snapToGrid/>
                <w:color w:val="auto"/>
                <w:sz w:val="21"/>
                <w:lang w:eastAsia="zh-CN"/>
              </w:rPr>
            </w:pPr>
            <w:r>
              <w:rPr>
                <w:rFonts w:ascii="Times New Roman" w:hAnsi="Times New Roman" w:cs="Times New Roman"/>
                <w:b/>
                <w:bCs/>
                <w:snapToGrid/>
                <w:color w:val="auto"/>
                <w:sz w:val="21"/>
                <w:lang w:eastAsia="zh-CN"/>
              </w:rPr>
              <w:t>污染治理设施工艺</w:t>
            </w:r>
          </w:p>
        </w:tc>
        <w:tc>
          <w:tcPr>
            <w:tcW w:w="582" w:type="pct"/>
            <w:vAlign w:val="center"/>
          </w:tcPr>
          <w:p w14:paraId="4BA01A17">
            <w:pPr>
              <w:adjustRightInd w:val="0"/>
              <w:snapToGrid w:val="0"/>
              <w:jc w:val="center"/>
              <w:rPr>
                <w:rFonts w:ascii="Times New Roman" w:hAnsi="Times New Roman" w:cs="Times New Roman"/>
                <w:b/>
                <w:bCs/>
                <w:snapToGrid/>
                <w:color w:val="auto"/>
                <w:sz w:val="21"/>
                <w:lang w:eastAsia="zh-CN"/>
              </w:rPr>
            </w:pPr>
            <w:r>
              <w:rPr>
                <w:rFonts w:ascii="Times New Roman" w:hAnsi="Times New Roman" w:cs="Times New Roman"/>
                <w:b/>
                <w:bCs/>
                <w:snapToGrid/>
                <w:color w:val="auto"/>
                <w:sz w:val="21"/>
                <w:lang w:eastAsia="zh-CN"/>
              </w:rPr>
              <w:t>处理</w:t>
            </w:r>
          </w:p>
          <w:p w14:paraId="5815C097">
            <w:pPr>
              <w:adjustRightInd w:val="0"/>
              <w:snapToGrid w:val="0"/>
              <w:jc w:val="center"/>
              <w:rPr>
                <w:rFonts w:ascii="Times New Roman" w:hAnsi="Times New Roman" w:cs="Times New Roman"/>
                <w:b/>
                <w:bCs/>
                <w:snapToGrid/>
                <w:color w:val="auto"/>
                <w:sz w:val="21"/>
                <w:lang w:eastAsia="zh-CN"/>
              </w:rPr>
            </w:pPr>
            <w:r>
              <w:rPr>
                <w:rFonts w:ascii="Times New Roman" w:hAnsi="Times New Roman" w:cs="Times New Roman"/>
                <w:b/>
                <w:bCs/>
                <w:snapToGrid/>
                <w:color w:val="auto"/>
                <w:sz w:val="21"/>
                <w:lang w:eastAsia="zh-CN"/>
              </w:rPr>
              <w:t>效率</w:t>
            </w:r>
          </w:p>
        </w:tc>
        <w:tc>
          <w:tcPr>
            <w:tcW w:w="445" w:type="pct"/>
            <w:vMerge w:val="continue"/>
            <w:vAlign w:val="center"/>
          </w:tcPr>
          <w:p w14:paraId="558A51B2">
            <w:pPr>
              <w:adjustRightInd w:val="0"/>
              <w:snapToGrid w:val="0"/>
              <w:jc w:val="center"/>
              <w:rPr>
                <w:rFonts w:ascii="Times New Roman" w:hAnsi="Times New Roman" w:cs="Times New Roman"/>
                <w:snapToGrid/>
                <w:color w:val="auto"/>
                <w:sz w:val="21"/>
                <w:lang w:eastAsia="zh-CN"/>
              </w:rPr>
            </w:pPr>
          </w:p>
        </w:tc>
        <w:tc>
          <w:tcPr>
            <w:tcW w:w="410" w:type="pct"/>
            <w:vMerge w:val="continue"/>
            <w:vAlign w:val="center"/>
          </w:tcPr>
          <w:p w14:paraId="366D08A2">
            <w:pPr>
              <w:adjustRightInd w:val="0"/>
              <w:snapToGrid w:val="0"/>
              <w:jc w:val="center"/>
              <w:rPr>
                <w:rFonts w:ascii="Times New Roman" w:hAnsi="Times New Roman" w:cs="Times New Roman"/>
                <w:snapToGrid/>
                <w:color w:val="auto"/>
                <w:sz w:val="21"/>
                <w:lang w:eastAsia="zh-CN"/>
              </w:rPr>
            </w:pPr>
          </w:p>
        </w:tc>
      </w:tr>
      <w:tr w14:paraId="01D0FE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4" w:type="pct"/>
            <w:vMerge w:val="restart"/>
            <w:vAlign w:val="center"/>
          </w:tcPr>
          <w:p w14:paraId="2CF59F54">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1#排气筒</w:t>
            </w:r>
          </w:p>
        </w:tc>
        <w:tc>
          <w:tcPr>
            <w:tcW w:w="873" w:type="pct"/>
            <w:vAlign w:val="center"/>
          </w:tcPr>
          <w:p w14:paraId="65EE1E4C">
            <w:pPr>
              <w:adjustRightInd w:val="0"/>
              <w:snapToGrid w:val="0"/>
              <w:jc w:val="center"/>
              <w:rPr>
                <w:rFonts w:ascii="Times New Roman" w:hAnsi="Times New Roman" w:cs="Times New Roman"/>
                <w:snapToGrid/>
                <w:color w:val="auto"/>
                <w:sz w:val="21"/>
                <w:lang w:eastAsia="zh-CN"/>
              </w:rPr>
            </w:pPr>
            <w:r>
              <w:rPr>
                <w:rFonts w:hint="eastAsia" w:ascii="Times New Roman" w:hAnsi="Times New Roman" w:cs="Times New Roman"/>
                <w:color w:val="auto"/>
                <w:sz w:val="21"/>
                <w:lang w:eastAsia="zh-CN" w:bidi="ar"/>
              </w:rPr>
              <w:t>化学纯氢氟酸进料、混合、调配废气</w:t>
            </w:r>
          </w:p>
        </w:tc>
        <w:tc>
          <w:tcPr>
            <w:tcW w:w="508" w:type="pct"/>
            <w:vAlign w:val="center"/>
          </w:tcPr>
          <w:p w14:paraId="7B0D4011">
            <w:pPr>
              <w:adjustRightInd w:val="0"/>
              <w:snapToGrid w:val="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氟化物</w:t>
            </w:r>
          </w:p>
        </w:tc>
        <w:tc>
          <w:tcPr>
            <w:tcW w:w="364" w:type="pct"/>
            <w:vAlign w:val="center"/>
          </w:tcPr>
          <w:p w14:paraId="465FD30C">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有组织</w:t>
            </w:r>
          </w:p>
        </w:tc>
        <w:tc>
          <w:tcPr>
            <w:tcW w:w="364" w:type="pct"/>
            <w:vAlign w:val="center"/>
          </w:tcPr>
          <w:p w14:paraId="65304B66">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管道收集</w:t>
            </w:r>
          </w:p>
        </w:tc>
        <w:tc>
          <w:tcPr>
            <w:tcW w:w="363" w:type="pct"/>
            <w:vAlign w:val="center"/>
          </w:tcPr>
          <w:p w14:paraId="08C9724F">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100%</w:t>
            </w:r>
          </w:p>
        </w:tc>
        <w:tc>
          <w:tcPr>
            <w:tcW w:w="727" w:type="pct"/>
            <w:vMerge w:val="restart"/>
            <w:vAlign w:val="center"/>
          </w:tcPr>
          <w:p w14:paraId="3332E38B">
            <w:pPr>
              <w:adjustRightInd w:val="0"/>
              <w:snapToGrid w:val="0"/>
              <w:jc w:val="center"/>
              <w:rPr>
                <w:rFonts w:ascii="Times New Roman" w:hAnsi="Times New Roman" w:cs="Times New Roman"/>
                <w:bCs/>
                <w:color w:val="auto"/>
                <w:sz w:val="21"/>
                <w:lang w:eastAsia="zh-CN"/>
              </w:rPr>
            </w:pPr>
            <w:r>
              <w:rPr>
                <w:rFonts w:ascii="Times New Roman" w:hAnsi="Times New Roman" w:cs="Times New Roman"/>
                <w:bCs/>
                <w:color w:val="auto"/>
                <w:sz w:val="21"/>
                <w:lang w:eastAsia="zh-CN"/>
              </w:rPr>
              <w:t>现有二级水喷淋塔（TA001）</w:t>
            </w:r>
            <w:r>
              <w:rPr>
                <w:rFonts w:hint="eastAsia" w:ascii="Times New Roman" w:hAnsi="Times New Roman" w:cs="Times New Roman"/>
                <w:bCs/>
                <w:color w:val="auto"/>
                <w:sz w:val="21"/>
                <w:lang w:eastAsia="zh-CN"/>
              </w:rPr>
              <w:t>+</w:t>
            </w:r>
            <w:r>
              <w:rPr>
                <w:rFonts w:ascii="Times New Roman" w:hAnsi="Times New Roman" w:cs="Times New Roman"/>
                <w:bCs/>
                <w:color w:val="auto"/>
                <w:sz w:val="21"/>
                <w:lang w:eastAsia="zh-CN"/>
              </w:rPr>
              <w:t>现有三级碱喷淋塔（TA002）</w:t>
            </w:r>
            <w:r>
              <w:rPr>
                <w:rFonts w:hint="eastAsia" w:ascii="Times New Roman" w:hAnsi="Times New Roman" w:cs="Times New Roman"/>
                <w:bCs/>
                <w:color w:val="auto"/>
                <w:sz w:val="21"/>
                <w:lang w:eastAsia="zh-CN"/>
              </w:rPr>
              <w:t>+新增一</w:t>
            </w:r>
            <w:r>
              <w:rPr>
                <w:rFonts w:ascii="Times New Roman" w:hAnsi="Times New Roman" w:cs="Times New Roman"/>
                <w:bCs/>
                <w:color w:val="auto"/>
                <w:sz w:val="21"/>
                <w:lang w:eastAsia="zh-CN"/>
              </w:rPr>
              <w:t>级碱喷淋塔（TA00</w:t>
            </w:r>
            <w:r>
              <w:rPr>
                <w:rFonts w:hint="eastAsia" w:ascii="Times New Roman" w:hAnsi="Times New Roman" w:cs="Times New Roman"/>
                <w:bCs/>
                <w:color w:val="auto"/>
                <w:sz w:val="21"/>
                <w:lang w:eastAsia="zh-CN"/>
              </w:rPr>
              <w:t>4</w:t>
            </w:r>
            <w:r>
              <w:rPr>
                <w:rFonts w:ascii="Times New Roman" w:hAnsi="Times New Roman" w:cs="Times New Roman"/>
                <w:bCs/>
                <w:color w:val="auto"/>
                <w:sz w:val="21"/>
                <w:lang w:eastAsia="zh-CN"/>
              </w:rPr>
              <w:t>）</w:t>
            </w:r>
          </w:p>
        </w:tc>
        <w:tc>
          <w:tcPr>
            <w:tcW w:w="582" w:type="pct"/>
            <w:vMerge w:val="restart"/>
            <w:vAlign w:val="center"/>
          </w:tcPr>
          <w:p w14:paraId="425010BB">
            <w:pPr>
              <w:adjustRightInd w:val="0"/>
              <w:snapToGrid w:val="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氟化物处理效率</w:t>
            </w:r>
            <w:r>
              <w:rPr>
                <w:rFonts w:ascii="Times New Roman" w:hAnsi="Times New Roman" w:cs="Times New Roman"/>
                <w:snapToGrid/>
                <w:color w:val="auto"/>
                <w:sz w:val="21"/>
                <w:lang w:eastAsia="zh-CN"/>
              </w:rPr>
              <w:t>≥9</w:t>
            </w:r>
            <w:r>
              <w:rPr>
                <w:rFonts w:hint="eastAsia" w:ascii="Times New Roman" w:hAnsi="Times New Roman" w:cs="Times New Roman"/>
                <w:snapToGrid/>
                <w:color w:val="auto"/>
                <w:sz w:val="21"/>
                <w:lang w:eastAsia="zh-CN"/>
              </w:rPr>
              <w:t>9.5</w:t>
            </w:r>
            <w:r>
              <w:rPr>
                <w:rFonts w:ascii="Times New Roman" w:hAnsi="Times New Roman" w:cs="Times New Roman"/>
                <w:snapToGrid/>
                <w:color w:val="auto"/>
                <w:sz w:val="21"/>
                <w:lang w:eastAsia="zh-CN"/>
              </w:rPr>
              <w:t>%</w:t>
            </w:r>
            <w:r>
              <w:rPr>
                <w:rFonts w:hint="eastAsia" w:ascii="Times New Roman" w:hAnsi="Times New Roman" w:cs="Times New Roman"/>
                <w:snapToGrid/>
                <w:color w:val="auto"/>
                <w:sz w:val="21"/>
                <w:lang w:eastAsia="zh-CN"/>
              </w:rPr>
              <w:t>；氯化氢处理效率</w:t>
            </w:r>
            <w:r>
              <w:rPr>
                <w:rFonts w:ascii="Times New Roman" w:hAnsi="Times New Roman" w:cs="Times New Roman"/>
                <w:snapToGrid/>
                <w:color w:val="auto"/>
                <w:sz w:val="21"/>
                <w:lang w:eastAsia="zh-CN"/>
              </w:rPr>
              <w:t>≥9</w:t>
            </w:r>
            <w:r>
              <w:rPr>
                <w:rFonts w:hint="eastAsia" w:ascii="Times New Roman" w:hAnsi="Times New Roman" w:cs="Times New Roman"/>
                <w:snapToGrid/>
                <w:color w:val="auto"/>
                <w:sz w:val="21"/>
                <w:lang w:eastAsia="zh-CN"/>
              </w:rPr>
              <w:t>9.5</w:t>
            </w:r>
            <w:r>
              <w:rPr>
                <w:rFonts w:ascii="Times New Roman" w:hAnsi="Times New Roman" w:cs="Times New Roman"/>
                <w:snapToGrid/>
                <w:color w:val="auto"/>
                <w:sz w:val="21"/>
                <w:lang w:eastAsia="zh-CN"/>
              </w:rPr>
              <w:t>%</w:t>
            </w:r>
            <w:r>
              <w:rPr>
                <w:rFonts w:hint="eastAsia" w:ascii="Times New Roman" w:hAnsi="Times New Roman" w:cs="Times New Roman"/>
                <w:snapToGrid/>
                <w:color w:val="auto"/>
                <w:sz w:val="21"/>
                <w:lang w:eastAsia="zh-CN"/>
              </w:rPr>
              <w:t>；</w:t>
            </w:r>
          </w:p>
        </w:tc>
        <w:tc>
          <w:tcPr>
            <w:tcW w:w="445" w:type="pct"/>
            <w:vMerge w:val="restart"/>
            <w:vAlign w:val="center"/>
          </w:tcPr>
          <w:p w14:paraId="149EA97B">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是</w:t>
            </w:r>
          </w:p>
        </w:tc>
        <w:tc>
          <w:tcPr>
            <w:tcW w:w="410" w:type="pct"/>
            <w:vMerge w:val="restart"/>
            <w:vAlign w:val="center"/>
          </w:tcPr>
          <w:p w14:paraId="25D89B78">
            <w:pPr>
              <w:adjustRightInd w:val="0"/>
              <w:snapToGrid w:val="0"/>
              <w:jc w:val="center"/>
              <w:rPr>
                <w:rFonts w:ascii="Times New Roman" w:hAnsi="Times New Roman" w:cs="Times New Roman"/>
                <w:snapToGrid/>
                <w:color w:val="auto"/>
                <w:sz w:val="21"/>
                <w:lang w:eastAsia="zh-CN"/>
              </w:rPr>
            </w:pPr>
            <w:r>
              <w:rPr>
                <w:rFonts w:hint="eastAsia" w:ascii="Times New Roman" w:hAnsi="Times New Roman" w:cs="Times New Roman"/>
                <w:color w:val="auto"/>
                <w:sz w:val="21"/>
                <w:szCs w:val="18"/>
                <w:lang w:eastAsia="zh-CN"/>
              </w:rPr>
              <w:t>一般</w:t>
            </w:r>
            <w:r>
              <w:rPr>
                <w:rFonts w:ascii="Times New Roman" w:hAnsi="Times New Roman" w:cs="Times New Roman"/>
                <w:color w:val="auto"/>
                <w:sz w:val="21"/>
                <w:szCs w:val="18"/>
                <w:lang w:eastAsia="zh-CN"/>
              </w:rPr>
              <w:t>排放口</w:t>
            </w:r>
          </w:p>
        </w:tc>
      </w:tr>
      <w:tr w14:paraId="687577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4" w:type="pct"/>
            <w:vMerge w:val="continue"/>
            <w:vAlign w:val="center"/>
          </w:tcPr>
          <w:p w14:paraId="28343FE8">
            <w:pPr>
              <w:adjustRightInd w:val="0"/>
              <w:snapToGrid w:val="0"/>
              <w:jc w:val="center"/>
              <w:rPr>
                <w:rFonts w:ascii="Times New Roman" w:hAnsi="Times New Roman" w:cs="Times New Roman"/>
                <w:snapToGrid/>
                <w:color w:val="auto"/>
                <w:sz w:val="21"/>
                <w:lang w:eastAsia="zh-CN"/>
              </w:rPr>
            </w:pPr>
          </w:p>
        </w:tc>
        <w:tc>
          <w:tcPr>
            <w:tcW w:w="873" w:type="pct"/>
            <w:vAlign w:val="center"/>
          </w:tcPr>
          <w:p w14:paraId="7784707C">
            <w:pPr>
              <w:adjustRightInd w:val="0"/>
              <w:snapToGrid w:val="0"/>
              <w:jc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化学纯氢氟酸灌装</w:t>
            </w:r>
          </w:p>
        </w:tc>
        <w:tc>
          <w:tcPr>
            <w:tcW w:w="508" w:type="pct"/>
            <w:vAlign w:val="center"/>
          </w:tcPr>
          <w:p w14:paraId="2EDC30A5">
            <w:pPr>
              <w:adjustRightInd w:val="0"/>
              <w:snapToGrid w:val="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氟化物</w:t>
            </w:r>
          </w:p>
        </w:tc>
        <w:tc>
          <w:tcPr>
            <w:tcW w:w="364" w:type="pct"/>
            <w:vAlign w:val="center"/>
          </w:tcPr>
          <w:p w14:paraId="5042FD7C">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有组织</w:t>
            </w:r>
          </w:p>
        </w:tc>
        <w:tc>
          <w:tcPr>
            <w:tcW w:w="364" w:type="pct"/>
            <w:vAlign w:val="center"/>
          </w:tcPr>
          <w:p w14:paraId="35036C31">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color w:val="auto"/>
                <w:sz w:val="21"/>
                <w:szCs w:val="18"/>
                <w:lang w:eastAsia="zh-CN"/>
              </w:rPr>
              <w:t>密闭负压收集</w:t>
            </w:r>
          </w:p>
        </w:tc>
        <w:tc>
          <w:tcPr>
            <w:tcW w:w="363" w:type="pct"/>
            <w:vAlign w:val="center"/>
          </w:tcPr>
          <w:p w14:paraId="5F5A6E16">
            <w:pPr>
              <w:adjustRightInd w:val="0"/>
              <w:snapToGrid w:val="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95</w:t>
            </w:r>
            <w:r>
              <w:rPr>
                <w:rFonts w:ascii="Times New Roman" w:hAnsi="Times New Roman" w:cs="Times New Roman"/>
                <w:snapToGrid/>
                <w:color w:val="auto"/>
                <w:sz w:val="21"/>
                <w:lang w:eastAsia="zh-CN"/>
              </w:rPr>
              <w:t>%</w:t>
            </w:r>
          </w:p>
        </w:tc>
        <w:tc>
          <w:tcPr>
            <w:tcW w:w="727" w:type="pct"/>
            <w:vMerge w:val="continue"/>
            <w:vAlign w:val="center"/>
          </w:tcPr>
          <w:p w14:paraId="2B3E3D7A">
            <w:pPr>
              <w:adjustRightInd w:val="0"/>
              <w:snapToGrid w:val="0"/>
              <w:jc w:val="center"/>
              <w:rPr>
                <w:rFonts w:ascii="Times New Roman" w:hAnsi="Times New Roman" w:cs="Times New Roman"/>
                <w:color w:val="auto"/>
                <w:sz w:val="21"/>
                <w:lang w:eastAsia="zh-CN"/>
              </w:rPr>
            </w:pPr>
          </w:p>
        </w:tc>
        <w:tc>
          <w:tcPr>
            <w:tcW w:w="582" w:type="pct"/>
            <w:vMerge w:val="continue"/>
            <w:vAlign w:val="center"/>
          </w:tcPr>
          <w:p w14:paraId="0DC931FD">
            <w:pPr>
              <w:adjustRightInd w:val="0"/>
              <w:snapToGrid w:val="0"/>
              <w:jc w:val="center"/>
              <w:rPr>
                <w:rFonts w:ascii="Times New Roman" w:hAnsi="Times New Roman" w:cs="Times New Roman"/>
                <w:snapToGrid/>
                <w:color w:val="auto"/>
                <w:sz w:val="21"/>
                <w:lang w:eastAsia="zh-CN"/>
              </w:rPr>
            </w:pPr>
          </w:p>
        </w:tc>
        <w:tc>
          <w:tcPr>
            <w:tcW w:w="445" w:type="pct"/>
            <w:vMerge w:val="continue"/>
            <w:vAlign w:val="center"/>
          </w:tcPr>
          <w:p w14:paraId="7A8F6104">
            <w:pPr>
              <w:adjustRightInd w:val="0"/>
              <w:snapToGrid w:val="0"/>
              <w:jc w:val="center"/>
              <w:rPr>
                <w:rFonts w:ascii="Times New Roman" w:hAnsi="Times New Roman" w:cs="Times New Roman"/>
                <w:snapToGrid/>
                <w:color w:val="auto"/>
                <w:sz w:val="21"/>
                <w:lang w:eastAsia="zh-CN"/>
              </w:rPr>
            </w:pPr>
          </w:p>
        </w:tc>
        <w:tc>
          <w:tcPr>
            <w:tcW w:w="410" w:type="pct"/>
            <w:vMerge w:val="continue"/>
            <w:vAlign w:val="center"/>
          </w:tcPr>
          <w:p w14:paraId="6989D9CD">
            <w:pPr>
              <w:adjustRightInd w:val="0"/>
              <w:snapToGrid w:val="0"/>
              <w:jc w:val="center"/>
              <w:rPr>
                <w:rFonts w:ascii="Times New Roman" w:hAnsi="Times New Roman" w:cs="Times New Roman"/>
                <w:color w:val="auto"/>
                <w:sz w:val="21"/>
                <w:szCs w:val="18"/>
                <w:lang w:eastAsia="zh-CN"/>
              </w:rPr>
            </w:pPr>
          </w:p>
        </w:tc>
      </w:tr>
      <w:tr w14:paraId="70D17B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4" w:type="pct"/>
            <w:vMerge w:val="continue"/>
            <w:vAlign w:val="center"/>
          </w:tcPr>
          <w:p w14:paraId="25DFC435">
            <w:pPr>
              <w:adjustRightInd w:val="0"/>
              <w:snapToGrid w:val="0"/>
              <w:jc w:val="center"/>
              <w:rPr>
                <w:rFonts w:ascii="Times New Roman" w:hAnsi="Times New Roman" w:cs="Times New Roman"/>
                <w:snapToGrid/>
                <w:color w:val="auto"/>
                <w:sz w:val="21"/>
                <w:lang w:eastAsia="zh-CN"/>
              </w:rPr>
            </w:pPr>
          </w:p>
        </w:tc>
        <w:tc>
          <w:tcPr>
            <w:tcW w:w="873" w:type="pct"/>
            <w:vAlign w:val="center"/>
          </w:tcPr>
          <w:p w14:paraId="1476F4DE">
            <w:pPr>
              <w:adjustRightInd w:val="0"/>
              <w:snapToGrid w:val="0"/>
              <w:jc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原料及产品罐区1</w:t>
            </w:r>
            <w:r>
              <w:rPr>
                <w:rFonts w:ascii="Times New Roman" w:hAnsi="Times New Roman" w:cs="Times New Roman"/>
                <w:bCs/>
                <w:color w:val="auto"/>
                <w:sz w:val="21"/>
                <w:lang w:eastAsia="zh-CN" w:bidi="ar"/>
              </w:rPr>
              <w:t>5%氟化氢水溶液储罐、化学纯氢氟酸储罐</w:t>
            </w:r>
            <w:r>
              <w:rPr>
                <w:rFonts w:hint="eastAsia" w:ascii="Times New Roman" w:hAnsi="Times New Roman" w:cs="Times New Roman"/>
                <w:color w:val="auto"/>
                <w:sz w:val="21"/>
                <w:szCs w:val="18"/>
                <w:lang w:eastAsia="zh-CN"/>
              </w:rPr>
              <w:t>呼吸废气</w:t>
            </w:r>
          </w:p>
        </w:tc>
        <w:tc>
          <w:tcPr>
            <w:tcW w:w="508" w:type="pct"/>
            <w:vAlign w:val="center"/>
          </w:tcPr>
          <w:p w14:paraId="329CAF0B">
            <w:pPr>
              <w:adjustRightInd w:val="0"/>
              <w:snapToGrid w:val="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氟化物</w:t>
            </w:r>
          </w:p>
        </w:tc>
        <w:tc>
          <w:tcPr>
            <w:tcW w:w="364" w:type="pct"/>
            <w:vAlign w:val="center"/>
          </w:tcPr>
          <w:p w14:paraId="3FF418A4">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有组织</w:t>
            </w:r>
          </w:p>
        </w:tc>
        <w:tc>
          <w:tcPr>
            <w:tcW w:w="364" w:type="pct"/>
            <w:vAlign w:val="center"/>
          </w:tcPr>
          <w:p w14:paraId="12623365">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管道收集</w:t>
            </w:r>
          </w:p>
        </w:tc>
        <w:tc>
          <w:tcPr>
            <w:tcW w:w="363" w:type="pct"/>
            <w:vAlign w:val="center"/>
          </w:tcPr>
          <w:p w14:paraId="5C5A6363">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100%</w:t>
            </w:r>
          </w:p>
        </w:tc>
        <w:tc>
          <w:tcPr>
            <w:tcW w:w="727" w:type="pct"/>
            <w:vMerge w:val="continue"/>
            <w:vAlign w:val="center"/>
          </w:tcPr>
          <w:p w14:paraId="12A3A190">
            <w:pPr>
              <w:adjustRightInd w:val="0"/>
              <w:snapToGrid w:val="0"/>
              <w:jc w:val="center"/>
              <w:rPr>
                <w:rFonts w:ascii="Times New Roman" w:hAnsi="Times New Roman" w:cs="Times New Roman"/>
                <w:color w:val="auto"/>
                <w:sz w:val="21"/>
                <w:lang w:eastAsia="zh-CN"/>
              </w:rPr>
            </w:pPr>
          </w:p>
        </w:tc>
        <w:tc>
          <w:tcPr>
            <w:tcW w:w="582" w:type="pct"/>
            <w:vMerge w:val="continue"/>
            <w:vAlign w:val="center"/>
          </w:tcPr>
          <w:p w14:paraId="2A79C790">
            <w:pPr>
              <w:adjustRightInd w:val="0"/>
              <w:snapToGrid w:val="0"/>
              <w:jc w:val="center"/>
              <w:rPr>
                <w:rFonts w:ascii="Times New Roman" w:hAnsi="Times New Roman" w:cs="Times New Roman"/>
                <w:snapToGrid/>
                <w:color w:val="auto"/>
                <w:sz w:val="21"/>
                <w:lang w:eastAsia="zh-CN"/>
              </w:rPr>
            </w:pPr>
          </w:p>
        </w:tc>
        <w:tc>
          <w:tcPr>
            <w:tcW w:w="445" w:type="pct"/>
            <w:vMerge w:val="continue"/>
            <w:vAlign w:val="center"/>
          </w:tcPr>
          <w:p w14:paraId="1CE9A646">
            <w:pPr>
              <w:adjustRightInd w:val="0"/>
              <w:snapToGrid w:val="0"/>
              <w:jc w:val="center"/>
              <w:rPr>
                <w:rFonts w:ascii="Times New Roman" w:hAnsi="Times New Roman" w:cs="Times New Roman"/>
                <w:snapToGrid/>
                <w:color w:val="auto"/>
                <w:sz w:val="21"/>
                <w:lang w:eastAsia="zh-CN"/>
              </w:rPr>
            </w:pPr>
          </w:p>
        </w:tc>
        <w:tc>
          <w:tcPr>
            <w:tcW w:w="410" w:type="pct"/>
            <w:vMerge w:val="continue"/>
            <w:vAlign w:val="center"/>
          </w:tcPr>
          <w:p w14:paraId="4A9C7F6E">
            <w:pPr>
              <w:adjustRightInd w:val="0"/>
              <w:snapToGrid w:val="0"/>
              <w:jc w:val="center"/>
              <w:rPr>
                <w:rFonts w:ascii="Times New Roman" w:hAnsi="Times New Roman" w:cs="Times New Roman"/>
                <w:color w:val="auto"/>
                <w:sz w:val="21"/>
                <w:szCs w:val="18"/>
                <w:lang w:eastAsia="zh-CN"/>
              </w:rPr>
            </w:pPr>
          </w:p>
        </w:tc>
      </w:tr>
      <w:tr w14:paraId="520624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4" w:type="pct"/>
            <w:vMerge w:val="continue"/>
            <w:vAlign w:val="center"/>
          </w:tcPr>
          <w:p w14:paraId="07AC1A41">
            <w:pPr>
              <w:adjustRightInd w:val="0"/>
              <w:snapToGrid w:val="0"/>
              <w:jc w:val="center"/>
              <w:rPr>
                <w:rFonts w:ascii="Times New Roman" w:hAnsi="Times New Roman" w:cs="Times New Roman"/>
                <w:snapToGrid/>
                <w:color w:val="auto"/>
                <w:sz w:val="21"/>
                <w:lang w:eastAsia="zh-CN"/>
              </w:rPr>
            </w:pPr>
          </w:p>
        </w:tc>
        <w:tc>
          <w:tcPr>
            <w:tcW w:w="873" w:type="pct"/>
            <w:vAlign w:val="center"/>
          </w:tcPr>
          <w:p w14:paraId="7077EF26">
            <w:pPr>
              <w:adjustRightInd w:val="0"/>
              <w:snapToGrid w:val="0"/>
              <w:jc w:val="center"/>
              <w:rPr>
                <w:rFonts w:ascii="Times New Roman" w:hAnsi="Times New Roman" w:cs="Times New Roman"/>
                <w:bCs/>
                <w:color w:val="auto"/>
                <w:sz w:val="21"/>
                <w:lang w:eastAsia="zh-CN"/>
              </w:rPr>
            </w:pPr>
            <w:r>
              <w:rPr>
                <w:rFonts w:hint="eastAsia" w:ascii="Times New Roman" w:hAnsi="Times New Roman" w:cs="Times New Roman"/>
                <w:bCs/>
                <w:color w:val="auto"/>
                <w:sz w:val="21"/>
                <w:lang w:eastAsia="zh-CN"/>
              </w:rPr>
              <w:t>刻蚀液进料混合、调配</w:t>
            </w:r>
            <w:r>
              <w:rPr>
                <w:rFonts w:hint="eastAsia" w:ascii="Times New Roman" w:hAnsi="Times New Roman" w:cs="Times New Roman"/>
                <w:color w:val="auto"/>
                <w:sz w:val="21"/>
                <w:lang w:eastAsia="zh-CN" w:bidi="ar"/>
              </w:rPr>
              <w:t>废气</w:t>
            </w:r>
          </w:p>
        </w:tc>
        <w:tc>
          <w:tcPr>
            <w:tcW w:w="508" w:type="pct"/>
            <w:vAlign w:val="center"/>
          </w:tcPr>
          <w:p w14:paraId="441E8635">
            <w:pPr>
              <w:adjustRightInd w:val="0"/>
              <w:snapToGrid w:val="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氟化物、氯化氢</w:t>
            </w:r>
          </w:p>
        </w:tc>
        <w:tc>
          <w:tcPr>
            <w:tcW w:w="364" w:type="pct"/>
            <w:vAlign w:val="center"/>
          </w:tcPr>
          <w:p w14:paraId="620F6D67">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有组织</w:t>
            </w:r>
          </w:p>
        </w:tc>
        <w:tc>
          <w:tcPr>
            <w:tcW w:w="364" w:type="pct"/>
            <w:vAlign w:val="center"/>
          </w:tcPr>
          <w:p w14:paraId="04E4F392">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管道收集</w:t>
            </w:r>
          </w:p>
        </w:tc>
        <w:tc>
          <w:tcPr>
            <w:tcW w:w="363" w:type="pct"/>
            <w:vAlign w:val="center"/>
          </w:tcPr>
          <w:p w14:paraId="5E60D1C6">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100%</w:t>
            </w:r>
          </w:p>
        </w:tc>
        <w:tc>
          <w:tcPr>
            <w:tcW w:w="727" w:type="pct"/>
            <w:vMerge w:val="restart"/>
            <w:vAlign w:val="center"/>
          </w:tcPr>
          <w:p w14:paraId="435C7970">
            <w:pPr>
              <w:adjustRightInd w:val="0"/>
              <w:snapToGrid w:val="0"/>
              <w:jc w:val="center"/>
              <w:rPr>
                <w:rFonts w:ascii="Times New Roman" w:hAnsi="Times New Roman" w:cs="Times New Roman"/>
                <w:snapToGrid/>
                <w:color w:val="auto"/>
                <w:sz w:val="21"/>
                <w:lang w:eastAsia="zh-CN"/>
              </w:rPr>
            </w:pPr>
            <w:r>
              <w:rPr>
                <w:rFonts w:hint="eastAsia" w:ascii="Times New Roman" w:hAnsi="Times New Roman" w:cs="Times New Roman"/>
                <w:bCs/>
                <w:color w:val="auto"/>
                <w:sz w:val="21"/>
                <w:lang w:eastAsia="zh-CN"/>
              </w:rPr>
              <w:t>新增</w:t>
            </w:r>
            <w:r>
              <w:rPr>
                <w:rFonts w:ascii="Times New Roman" w:hAnsi="Times New Roman" w:cs="Times New Roman"/>
                <w:bCs/>
                <w:color w:val="auto"/>
                <w:sz w:val="21"/>
                <w:lang w:eastAsia="zh-CN"/>
              </w:rPr>
              <w:t>二级水喷淋塔（TA00</w:t>
            </w:r>
            <w:r>
              <w:rPr>
                <w:rFonts w:hint="eastAsia" w:ascii="Times New Roman" w:hAnsi="Times New Roman" w:cs="Times New Roman"/>
                <w:bCs/>
                <w:color w:val="auto"/>
                <w:sz w:val="21"/>
                <w:lang w:eastAsia="zh-CN"/>
              </w:rPr>
              <w:t>3</w:t>
            </w:r>
            <w:r>
              <w:rPr>
                <w:rFonts w:ascii="Times New Roman" w:hAnsi="Times New Roman" w:cs="Times New Roman"/>
                <w:bCs/>
                <w:color w:val="auto"/>
                <w:sz w:val="21"/>
                <w:lang w:eastAsia="zh-CN"/>
              </w:rPr>
              <w:t>）</w:t>
            </w:r>
            <w:r>
              <w:rPr>
                <w:rFonts w:hint="eastAsia" w:ascii="Times New Roman" w:hAnsi="Times New Roman" w:cs="Times New Roman"/>
                <w:bCs/>
                <w:color w:val="auto"/>
                <w:sz w:val="21"/>
                <w:lang w:eastAsia="zh-CN"/>
              </w:rPr>
              <w:t>+</w:t>
            </w:r>
            <w:r>
              <w:rPr>
                <w:rFonts w:ascii="Times New Roman" w:hAnsi="Times New Roman" w:cs="Times New Roman"/>
                <w:bCs/>
                <w:color w:val="auto"/>
                <w:sz w:val="21"/>
                <w:lang w:eastAsia="zh-CN"/>
              </w:rPr>
              <w:t>现有三级碱喷淋塔（TA002）</w:t>
            </w:r>
            <w:r>
              <w:rPr>
                <w:rFonts w:hint="eastAsia" w:ascii="Times New Roman" w:hAnsi="Times New Roman" w:cs="Times New Roman"/>
                <w:bCs/>
                <w:color w:val="auto"/>
                <w:sz w:val="21"/>
                <w:lang w:eastAsia="zh-CN"/>
              </w:rPr>
              <w:t>+新增一</w:t>
            </w:r>
            <w:r>
              <w:rPr>
                <w:rFonts w:ascii="Times New Roman" w:hAnsi="Times New Roman" w:cs="Times New Roman"/>
                <w:bCs/>
                <w:color w:val="auto"/>
                <w:sz w:val="21"/>
                <w:lang w:eastAsia="zh-CN"/>
              </w:rPr>
              <w:t>级碱喷淋塔（TA00</w:t>
            </w:r>
            <w:r>
              <w:rPr>
                <w:rFonts w:hint="eastAsia" w:ascii="Times New Roman" w:hAnsi="Times New Roman" w:cs="Times New Roman"/>
                <w:bCs/>
                <w:color w:val="auto"/>
                <w:sz w:val="21"/>
                <w:lang w:eastAsia="zh-CN"/>
              </w:rPr>
              <w:t>4</w:t>
            </w:r>
            <w:r>
              <w:rPr>
                <w:rFonts w:ascii="Times New Roman" w:hAnsi="Times New Roman" w:cs="Times New Roman"/>
                <w:bCs/>
                <w:color w:val="auto"/>
                <w:sz w:val="21"/>
                <w:lang w:eastAsia="zh-CN"/>
              </w:rPr>
              <w:t>）</w:t>
            </w:r>
          </w:p>
        </w:tc>
        <w:tc>
          <w:tcPr>
            <w:tcW w:w="582" w:type="pct"/>
            <w:vMerge w:val="restart"/>
            <w:vAlign w:val="center"/>
          </w:tcPr>
          <w:p w14:paraId="4DAB95BA">
            <w:pPr>
              <w:adjustRightInd w:val="0"/>
              <w:snapToGrid w:val="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氟化物处理效率</w:t>
            </w:r>
            <w:r>
              <w:rPr>
                <w:rFonts w:ascii="Times New Roman" w:hAnsi="Times New Roman" w:cs="Times New Roman"/>
                <w:snapToGrid/>
                <w:color w:val="auto"/>
                <w:sz w:val="21"/>
                <w:lang w:eastAsia="zh-CN"/>
              </w:rPr>
              <w:t>≥9</w:t>
            </w:r>
            <w:r>
              <w:rPr>
                <w:rFonts w:hint="eastAsia" w:ascii="Times New Roman" w:hAnsi="Times New Roman" w:cs="Times New Roman"/>
                <w:snapToGrid/>
                <w:color w:val="auto"/>
                <w:sz w:val="21"/>
                <w:lang w:eastAsia="zh-CN"/>
              </w:rPr>
              <w:t>9.5</w:t>
            </w:r>
            <w:r>
              <w:rPr>
                <w:rFonts w:ascii="Times New Roman" w:hAnsi="Times New Roman" w:cs="Times New Roman"/>
                <w:snapToGrid/>
                <w:color w:val="auto"/>
                <w:sz w:val="21"/>
                <w:lang w:eastAsia="zh-CN"/>
              </w:rPr>
              <w:t>%</w:t>
            </w:r>
            <w:r>
              <w:rPr>
                <w:rFonts w:hint="eastAsia" w:ascii="Times New Roman" w:hAnsi="Times New Roman" w:cs="Times New Roman"/>
                <w:snapToGrid/>
                <w:color w:val="auto"/>
                <w:sz w:val="21"/>
                <w:lang w:eastAsia="zh-CN"/>
              </w:rPr>
              <w:t>；氯化氢处理效率</w:t>
            </w:r>
            <w:r>
              <w:rPr>
                <w:rFonts w:ascii="Times New Roman" w:hAnsi="Times New Roman" w:cs="Times New Roman"/>
                <w:snapToGrid/>
                <w:color w:val="auto"/>
                <w:sz w:val="21"/>
                <w:lang w:eastAsia="zh-CN"/>
              </w:rPr>
              <w:t>≥9</w:t>
            </w:r>
            <w:r>
              <w:rPr>
                <w:rFonts w:hint="eastAsia" w:ascii="Times New Roman" w:hAnsi="Times New Roman" w:cs="Times New Roman"/>
                <w:snapToGrid/>
                <w:color w:val="auto"/>
                <w:sz w:val="21"/>
                <w:lang w:eastAsia="zh-CN"/>
              </w:rPr>
              <w:t>9.5</w:t>
            </w:r>
            <w:r>
              <w:rPr>
                <w:rFonts w:ascii="Times New Roman" w:hAnsi="Times New Roman" w:cs="Times New Roman"/>
                <w:snapToGrid/>
                <w:color w:val="auto"/>
                <w:sz w:val="21"/>
                <w:lang w:eastAsia="zh-CN"/>
              </w:rPr>
              <w:t>%</w:t>
            </w:r>
            <w:r>
              <w:rPr>
                <w:rFonts w:hint="eastAsia" w:ascii="Times New Roman" w:hAnsi="Times New Roman" w:cs="Times New Roman"/>
                <w:snapToGrid/>
                <w:color w:val="auto"/>
                <w:sz w:val="21"/>
                <w:lang w:eastAsia="zh-CN"/>
              </w:rPr>
              <w:t>；</w:t>
            </w:r>
          </w:p>
        </w:tc>
        <w:tc>
          <w:tcPr>
            <w:tcW w:w="445" w:type="pct"/>
            <w:vMerge w:val="restart"/>
            <w:vAlign w:val="center"/>
          </w:tcPr>
          <w:p w14:paraId="4A9BEAD1">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color w:val="auto"/>
                <w:sz w:val="21"/>
                <w:szCs w:val="18"/>
                <w:lang w:eastAsia="zh-CN"/>
              </w:rPr>
              <w:t>是</w:t>
            </w:r>
          </w:p>
        </w:tc>
        <w:tc>
          <w:tcPr>
            <w:tcW w:w="410" w:type="pct"/>
            <w:vMerge w:val="continue"/>
            <w:vAlign w:val="center"/>
          </w:tcPr>
          <w:p w14:paraId="5A8C437E">
            <w:pPr>
              <w:adjustRightInd w:val="0"/>
              <w:snapToGrid w:val="0"/>
              <w:jc w:val="center"/>
              <w:rPr>
                <w:rFonts w:ascii="Times New Roman" w:hAnsi="Times New Roman" w:cs="Times New Roman"/>
                <w:color w:val="auto"/>
                <w:sz w:val="21"/>
                <w:szCs w:val="18"/>
                <w:lang w:eastAsia="zh-CN"/>
              </w:rPr>
            </w:pPr>
          </w:p>
        </w:tc>
      </w:tr>
      <w:tr w14:paraId="5CD8F6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4" w:type="pct"/>
            <w:vMerge w:val="continue"/>
            <w:vAlign w:val="center"/>
          </w:tcPr>
          <w:p w14:paraId="11BB6E13">
            <w:pPr>
              <w:adjustRightInd w:val="0"/>
              <w:snapToGrid w:val="0"/>
              <w:jc w:val="center"/>
              <w:rPr>
                <w:rFonts w:ascii="Times New Roman" w:hAnsi="Times New Roman" w:cs="Times New Roman"/>
                <w:color w:val="auto"/>
                <w:sz w:val="21"/>
                <w:szCs w:val="18"/>
                <w:lang w:eastAsia="zh-CN"/>
              </w:rPr>
            </w:pPr>
            <w:bookmarkStart w:id="2571" w:name="_Toc20018"/>
          </w:p>
        </w:tc>
        <w:tc>
          <w:tcPr>
            <w:tcW w:w="873" w:type="pct"/>
            <w:vAlign w:val="center"/>
          </w:tcPr>
          <w:p w14:paraId="5E7A7CE8">
            <w:pPr>
              <w:adjustRightInd w:val="0"/>
              <w:snapToGrid w:val="0"/>
              <w:jc w:val="center"/>
              <w:rPr>
                <w:rFonts w:ascii="Times New Roman" w:hAnsi="Times New Roman" w:cs="Times New Roman"/>
                <w:color w:val="auto"/>
                <w:sz w:val="21"/>
                <w:szCs w:val="18"/>
                <w:lang w:eastAsia="zh-CN"/>
              </w:rPr>
            </w:pPr>
            <w:r>
              <w:rPr>
                <w:rFonts w:hint="eastAsia" w:ascii="宋体" w:hAnsi="宋体" w:cs="Cambria Math"/>
                <w:color w:val="auto"/>
                <w:sz w:val="21"/>
                <w:lang w:eastAsia="zh-CN"/>
              </w:rPr>
              <w:t>戊类罐区二</w:t>
            </w:r>
            <w:r>
              <w:rPr>
                <w:rFonts w:ascii="Times New Roman" w:hAnsi="Times New Roman" w:cs="Times New Roman"/>
                <w:bCs/>
                <w:color w:val="auto"/>
                <w:sz w:val="21"/>
                <w:lang w:eastAsia="zh-CN"/>
              </w:rPr>
              <w:t>31%盐酸储罐、化学纯氢氟酸储罐、刻蚀液储罐</w:t>
            </w:r>
            <w:r>
              <w:rPr>
                <w:rFonts w:hint="eastAsia" w:ascii="Times New Roman" w:hAnsi="Times New Roman" w:cs="Times New Roman"/>
                <w:color w:val="auto"/>
                <w:sz w:val="21"/>
                <w:szCs w:val="18"/>
                <w:lang w:eastAsia="zh-CN"/>
              </w:rPr>
              <w:t>呼吸废气</w:t>
            </w:r>
          </w:p>
        </w:tc>
        <w:tc>
          <w:tcPr>
            <w:tcW w:w="508" w:type="pct"/>
            <w:vAlign w:val="center"/>
          </w:tcPr>
          <w:p w14:paraId="1C16BE5A">
            <w:pPr>
              <w:adjustRightInd w:val="0"/>
              <w:snapToGrid w:val="0"/>
              <w:jc w:val="center"/>
              <w:rPr>
                <w:rFonts w:ascii="Times New Roman" w:hAnsi="Times New Roman" w:cs="Times New Roman"/>
                <w:color w:val="auto"/>
                <w:sz w:val="21"/>
                <w:szCs w:val="18"/>
                <w:lang w:eastAsia="zh-CN"/>
              </w:rPr>
            </w:pPr>
            <w:r>
              <w:rPr>
                <w:rFonts w:hint="eastAsia" w:ascii="Times New Roman" w:hAnsi="Times New Roman" w:cs="Times New Roman"/>
                <w:snapToGrid/>
                <w:color w:val="auto"/>
                <w:sz w:val="21"/>
                <w:lang w:eastAsia="zh-CN"/>
              </w:rPr>
              <w:t>氟化物、氯化氢</w:t>
            </w:r>
          </w:p>
        </w:tc>
        <w:tc>
          <w:tcPr>
            <w:tcW w:w="364" w:type="pct"/>
            <w:vAlign w:val="center"/>
          </w:tcPr>
          <w:p w14:paraId="2F915604">
            <w:pPr>
              <w:adjustRightInd w:val="0"/>
              <w:snapToGrid w:val="0"/>
              <w:jc w:val="center"/>
              <w:rPr>
                <w:rFonts w:ascii="Times New Roman" w:hAnsi="Times New Roman" w:cs="Times New Roman"/>
                <w:color w:val="auto"/>
                <w:sz w:val="21"/>
                <w:szCs w:val="18"/>
                <w:lang w:eastAsia="zh-CN"/>
              </w:rPr>
            </w:pPr>
            <w:r>
              <w:rPr>
                <w:rFonts w:hint="eastAsia" w:ascii="Times New Roman" w:hAnsi="Times New Roman" w:cs="Times New Roman"/>
                <w:color w:val="auto"/>
                <w:sz w:val="21"/>
                <w:szCs w:val="18"/>
                <w:lang w:eastAsia="zh-CN"/>
              </w:rPr>
              <w:t>有组织</w:t>
            </w:r>
          </w:p>
        </w:tc>
        <w:tc>
          <w:tcPr>
            <w:tcW w:w="364" w:type="pct"/>
            <w:vAlign w:val="center"/>
          </w:tcPr>
          <w:p w14:paraId="759DB0B1">
            <w:pPr>
              <w:adjustRightInd w:val="0"/>
              <w:snapToGrid w:val="0"/>
              <w:jc w:val="center"/>
              <w:rPr>
                <w:rFonts w:ascii="Times New Roman" w:hAnsi="Times New Roman" w:cs="Times New Roman"/>
                <w:color w:val="auto"/>
                <w:sz w:val="21"/>
                <w:szCs w:val="18"/>
                <w:lang w:eastAsia="zh-CN"/>
              </w:rPr>
            </w:pPr>
            <w:r>
              <w:rPr>
                <w:rFonts w:ascii="Times New Roman" w:hAnsi="Times New Roman" w:cs="Times New Roman"/>
                <w:snapToGrid/>
                <w:color w:val="auto"/>
                <w:sz w:val="21"/>
                <w:lang w:eastAsia="zh-CN"/>
              </w:rPr>
              <w:t>管道收集</w:t>
            </w:r>
          </w:p>
        </w:tc>
        <w:tc>
          <w:tcPr>
            <w:tcW w:w="363" w:type="pct"/>
            <w:vAlign w:val="center"/>
          </w:tcPr>
          <w:p w14:paraId="3D905CF4">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100%</w:t>
            </w:r>
          </w:p>
        </w:tc>
        <w:tc>
          <w:tcPr>
            <w:tcW w:w="727" w:type="pct"/>
            <w:vMerge w:val="continue"/>
            <w:vAlign w:val="center"/>
          </w:tcPr>
          <w:p w14:paraId="664AD0C8">
            <w:pPr>
              <w:adjustRightInd w:val="0"/>
              <w:snapToGrid w:val="0"/>
              <w:jc w:val="center"/>
              <w:rPr>
                <w:rFonts w:ascii="Times New Roman" w:hAnsi="Times New Roman" w:cs="Times New Roman"/>
                <w:bCs/>
                <w:color w:val="auto"/>
                <w:sz w:val="21"/>
                <w:lang w:eastAsia="zh-CN"/>
              </w:rPr>
            </w:pPr>
          </w:p>
        </w:tc>
        <w:tc>
          <w:tcPr>
            <w:tcW w:w="582" w:type="pct"/>
            <w:vMerge w:val="continue"/>
            <w:vAlign w:val="center"/>
          </w:tcPr>
          <w:p w14:paraId="5F38882F">
            <w:pPr>
              <w:adjustRightInd w:val="0"/>
              <w:snapToGrid w:val="0"/>
              <w:jc w:val="center"/>
              <w:rPr>
                <w:rFonts w:ascii="Times New Roman" w:hAnsi="Times New Roman" w:cs="Times New Roman"/>
                <w:color w:val="auto"/>
                <w:sz w:val="21"/>
                <w:szCs w:val="18"/>
                <w:lang w:eastAsia="zh-CN"/>
              </w:rPr>
            </w:pPr>
          </w:p>
        </w:tc>
        <w:tc>
          <w:tcPr>
            <w:tcW w:w="445" w:type="pct"/>
            <w:vMerge w:val="continue"/>
            <w:vAlign w:val="center"/>
          </w:tcPr>
          <w:p w14:paraId="16CD52C3">
            <w:pPr>
              <w:adjustRightInd w:val="0"/>
              <w:snapToGrid w:val="0"/>
              <w:jc w:val="center"/>
              <w:rPr>
                <w:rFonts w:ascii="Times New Roman" w:hAnsi="Times New Roman" w:cs="Times New Roman"/>
                <w:color w:val="auto"/>
                <w:sz w:val="21"/>
                <w:szCs w:val="18"/>
                <w:lang w:eastAsia="zh-CN"/>
              </w:rPr>
            </w:pPr>
          </w:p>
        </w:tc>
        <w:tc>
          <w:tcPr>
            <w:tcW w:w="410" w:type="pct"/>
            <w:vMerge w:val="continue"/>
            <w:vAlign w:val="center"/>
          </w:tcPr>
          <w:p w14:paraId="5DECB497">
            <w:pPr>
              <w:adjustRightInd w:val="0"/>
              <w:snapToGrid w:val="0"/>
              <w:jc w:val="center"/>
              <w:rPr>
                <w:rFonts w:ascii="Times New Roman" w:hAnsi="Times New Roman" w:cs="Times New Roman"/>
                <w:color w:val="auto"/>
                <w:sz w:val="21"/>
                <w:szCs w:val="18"/>
                <w:lang w:eastAsia="zh-CN"/>
              </w:rPr>
            </w:pPr>
          </w:p>
        </w:tc>
      </w:tr>
      <w:bookmarkEnd w:id="2571"/>
    </w:tbl>
    <w:p w14:paraId="1D3428BD">
      <w:pPr>
        <w:spacing w:line="360" w:lineRule="auto"/>
        <w:ind w:firstLine="420" w:firstLineChars="200"/>
        <w:rPr>
          <w:rFonts w:ascii="Times New Roman" w:hAnsi="Times New Roman" w:cs="Times New Roman"/>
          <w:color w:val="auto"/>
          <w:sz w:val="21"/>
          <w:szCs w:val="18"/>
          <w:lang w:eastAsia="zh-CN"/>
        </w:rPr>
      </w:pPr>
      <w:bookmarkStart w:id="2572" w:name="_Toc23735"/>
      <w:r>
        <w:rPr>
          <w:rFonts w:hint="eastAsia" w:ascii="Times New Roman" w:hAnsi="Times New Roman" w:cs="Times New Roman"/>
          <w:color w:val="auto"/>
          <w:sz w:val="21"/>
          <w:szCs w:val="18"/>
          <w:lang w:eastAsia="zh-CN"/>
        </w:rPr>
        <w:t>注：</w:t>
      </w:r>
      <w:r>
        <w:rPr>
          <w:rFonts w:ascii="Times New Roman" w:hAnsi="Times New Roman" w:cs="Times New Roman"/>
          <w:color w:val="auto"/>
          <w:sz w:val="21"/>
          <w:szCs w:val="18"/>
          <w:lang w:eastAsia="zh-CN"/>
        </w:rPr>
        <w:t>二级水喷淋处理效率按95%计，三级碱喷淋</w:t>
      </w:r>
      <w:r>
        <w:rPr>
          <w:rFonts w:hint="eastAsia" w:ascii="Times New Roman" w:hAnsi="Times New Roman" w:cs="Times New Roman"/>
          <w:color w:val="auto"/>
          <w:sz w:val="21"/>
          <w:szCs w:val="18"/>
          <w:lang w:eastAsia="zh-CN"/>
        </w:rPr>
        <w:t>塔</w:t>
      </w:r>
      <w:r>
        <w:rPr>
          <w:rFonts w:ascii="Times New Roman" w:hAnsi="Times New Roman" w:cs="Times New Roman"/>
          <w:color w:val="auto"/>
          <w:sz w:val="21"/>
          <w:szCs w:val="18"/>
          <w:lang w:eastAsia="zh-CN"/>
        </w:rPr>
        <w:t>+一级碱喷淋处理效率按99%计</w:t>
      </w:r>
    </w:p>
    <w:p w14:paraId="71EE720F">
      <w:pPr>
        <w:spacing w:line="360" w:lineRule="auto"/>
        <w:ind w:firstLine="480" w:firstLineChars="200"/>
        <w:rPr>
          <w:rFonts w:ascii="Times New Roman" w:hAnsi="Times New Roman" w:cs="Times New Roman"/>
          <w:color w:val="auto"/>
          <w:lang w:eastAsia="zh-CN"/>
        </w:rPr>
      </w:pPr>
    </w:p>
    <w:p w14:paraId="16D345E6">
      <w:pPr>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2、项目废水污染治理设施</w:t>
      </w:r>
      <w:bookmarkEnd w:id="2572"/>
    </w:p>
    <w:p w14:paraId="422D4DCA">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eastAsia="新宋体" w:cs="Times New Roman"/>
          <w:color w:val="auto"/>
          <w:szCs w:val="24"/>
          <w:lang w:eastAsia="zh-CN"/>
        </w:rPr>
        <w:t>项目废水主要为</w:t>
      </w:r>
      <w:r>
        <w:rPr>
          <w:rFonts w:hint="eastAsia" w:ascii="Times New Roman" w:hAnsi="Times New Roman" w:eastAsia="新宋体" w:cs="Times New Roman"/>
          <w:color w:val="auto"/>
          <w:szCs w:val="24"/>
          <w:lang w:eastAsia="zh-CN"/>
        </w:rPr>
        <w:t>碱</w:t>
      </w:r>
      <w:r>
        <w:rPr>
          <w:rFonts w:ascii="Times New Roman" w:hAnsi="Times New Roman" w:eastAsia="新宋体" w:cs="Times New Roman"/>
          <w:color w:val="auto"/>
          <w:szCs w:val="24"/>
          <w:lang w:eastAsia="zh-CN"/>
        </w:rPr>
        <w:t>喷淋塔置换废水、地面清洁废水、循环冷却置换废水以及初期雨水等</w:t>
      </w:r>
      <w:r>
        <w:rPr>
          <w:rFonts w:ascii="Times New Roman" w:hAnsi="Times New Roman" w:cs="Times New Roman"/>
          <w:color w:val="auto"/>
          <w:szCs w:val="24"/>
          <w:lang w:eastAsia="zh-CN"/>
        </w:rPr>
        <w:t>。</w:t>
      </w:r>
    </w:p>
    <w:p w14:paraId="5F0E11ED">
      <w:pPr>
        <w:widowControl w:val="0"/>
        <w:spacing w:line="360" w:lineRule="auto"/>
        <w:ind w:firstLine="480" w:firstLineChars="200"/>
        <w:jc w:val="both"/>
        <w:rPr>
          <w:rFonts w:ascii="Times New Roman" w:hAnsi="Times New Roman" w:cs="Times New Roman"/>
          <w:color w:val="auto"/>
          <w:lang w:eastAsia="zh-CN"/>
        </w:rPr>
      </w:pPr>
      <w:r>
        <w:rPr>
          <w:rFonts w:hint="eastAsia" w:ascii="Times New Roman" w:hAnsi="Times New Roman" w:eastAsia="新宋体" w:cs="Times New Roman"/>
          <w:color w:val="auto"/>
          <w:szCs w:val="24"/>
          <w:lang w:eastAsia="zh-CN"/>
        </w:rPr>
        <w:t>碱</w:t>
      </w:r>
      <w:r>
        <w:rPr>
          <w:rFonts w:ascii="Times New Roman" w:hAnsi="Times New Roman" w:eastAsia="新宋体" w:cs="Times New Roman"/>
          <w:color w:val="auto"/>
          <w:szCs w:val="24"/>
          <w:lang w:eastAsia="zh-CN"/>
        </w:rPr>
        <w:t>喷淋塔置换废水、</w:t>
      </w:r>
      <w:r>
        <w:rPr>
          <w:rFonts w:ascii="Times New Roman" w:hAnsi="Times New Roman" w:cs="Times New Roman"/>
          <w:color w:val="auto"/>
          <w:lang w:eastAsia="zh-CN"/>
        </w:rPr>
        <w:t>地面清洁废水</w:t>
      </w:r>
      <w:r>
        <w:rPr>
          <w:rFonts w:hint="eastAsia" w:ascii="Times New Roman" w:hAnsi="Times New Roman" w:cs="Times New Roman"/>
          <w:color w:val="auto"/>
          <w:lang w:eastAsia="zh-CN"/>
        </w:rPr>
        <w:t>依托现有厂区</w:t>
      </w:r>
      <w:r>
        <w:rPr>
          <w:rFonts w:ascii="Times New Roman" w:hAnsi="Times New Roman" w:cs="Times New Roman"/>
          <w:color w:val="auto"/>
          <w:lang w:eastAsia="zh-CN"/>
        </w:rPr>
        <w:t>污水处理站</w:t>
      </w:r>
      <w:r>
        <w:rPr>
          <w:rFonts w:hint="eastAsia" w:ascii="Times New Roman" w:hAnsi="Times New Roman" w:cs="Times New Roman"/>
          <w:color w:val="auto"/>
          <w:lang w:eastAsia="zh-CN"/>
        </w:rPr>
        <w:t>“</w:t>
      </w:r>
      <w:r>
        <w:rPr>
          <w:rFonts w:ascii="Times New Roman" w:hAnsi="Times New Roman" w:cs="Times New Roman"/>
          <w:color w:val="auto"/>
          <w:lang w:eastAsia="zh-CN"/>
        </w:rPr>
        <w:t>四级除氟反应+四级除氟沉淀</w:t>
      </w:r>
      <w:r>
        <w:rPr>
          <w:rFonts w:hint="eastAsia" w:ascii="Times New Roman" w:hAnsi="Times New Roman" w:cs="Times New Roman"/>
          <w:color w:val="auto"/>
          <w:lang w:eastAsia="zh-CN"/>
        </w:rPr>
        <w:t>”</w:t>
      </w:r>
      <w:r>
        <w:rPr>
          <w:rFonts w:ascii="Times New Roman" w:hAnsi="Times New Roman" w:cs="Times New Roman"/>
          <w:color w:val="auto"/>
          <w:lang w:eastAsia="zh-CN"/>
        </w:rPr>
        <w:t>处理后，</w:t>
      </w:r>
      <w:r>
        <w:rPr>
          <w:rFonts w:hint="eastAsia" w:ascii="Times New Roman" w:hAnsi="Times New Roman" w:cs="Times New Roman"/>
          <w:color w:val="auto"/>
          <w:lang w:eastAsia="zh-CN"/>
        </w:rPr>
        <w:t>与</w:t>
      </w:r>
      <w:r>
        <w:rPr>
          <w:rFonts w:ascii="Times New Roman" w:hAnsi="Times New Roman" w:eastAsia="新宋体" w:cs="Times New Roman"/>
          <w:color w:val="auto"/>
          <w:szCs w:val="24"/>
          <w:lang w:eastAsia="zh-CN"/>
        </w:rPr>
        <w:t>循环冷却置换废水</w:t>
      </w:r>
      <w:r>
        <w:rPr>
          <w:rFonts w:hint="eastAsia" w:ascii="Times New Roman" w:hAnsi="Times New Roman" w:eastAsia="新宋体" w:cs="Times New Roman"/>
          <w:color w:val="auto"/>
          <w:szCs w:val="24"/>
          <w:lang w:eastAsia="zh-CN"/>
        </w:rPr>
        <w:t>、生活污水一同</w:t>
      </w:r>
      <w:r>
        <w:rPr>
          <w:rFonts w:ascii="Times New Roman" w:hAnsi="Times New Roman" w:cs="Times New Roman"/>
          <w:color w:val="auto"/>
          <w:lang w:eastAsia="zh-CN"/>
        </w:rPr>
        <w:t>排入园区污水管网，进入沫河口污水处理厂处理</w:t>
      </w:r>
      <w:r>
        <w:rPr>
          <w:rFonts w:hint="eastAsia" w:ascii="Times New Roman" w:hAnsi="Times New Roman" w:cs="Times New Roman"/>
          <w:color w:val="auto"/>
          <w:lang w:eastAsia="zh-CN"/>
        </w:rPr>
        <w:t>，</w:t>
      </w:r>
      <w:r>
        <w:rPr>
          <w:rFonts w:ascii="Times New Roman" w:hAnsi="Times New Roman" w:cs="Times New Roman"/>
          <w:color w:val="auto"/>
          <w:lang w:eastAsia="zh-CN"/>
        </w:rPr>
        <w:t>沫河口污水处理厂尾水达到《城镇污水处理厂污染物排放标准》（GB18918-2002）中一级 A 标准后，排入</w:t>
      </w:r>
      <w:r>
        <w:rPr>
          <w:rFonts w:ascii="Times New Roman" w:hAnsi="Times New Roman" w:cs="Times New Roman"/>
          <w:color w:val="auto"/>
          <w:szCs w:val="24"/>
          <w:lang w:eastAsia="zh-CN"/>
        </w:rPr>
        <w:t>三铺大沟</w:t>
      </w:r>
      <w:r>
        <w:rPr>
          <w:rFonts w:ascii="Times New Roman" w:hAnsi="Times New Roman" w:cs="Times New Roman"/>
          <w:color w:val="auto"/>
          <w:lang w:eastAsia="zh-CN"/>
        </w:rPr>
        <w:t>，最终汇入淮河</w:t>
      </w:r>
      <w:r>
        <w:rPr>
          <w:rFonts w:ascii="Times New Roman" w:hAnsi="Times New Roman" w:cs="Times New Roman"/>
          <w:color w:val="auto"/>
          <w:szCs w:val="24"/>
          <w:lang w:eastAsia="zh-CN"/>
        </w:rPr>
        <w:t>。</w:t>
      </w:r>
    </w:p>
    <w:p w14:paraId="39D29F3E">
      <w:pPr>
        <w:spacing w:line="360" w:lineRule="auto"/>
        <w:ind w:firstLine="482"/>
        <w:outlineLvl w:val="2"/>
        <w:rPr>
          <w:rFonts w:ascii="Times New Roman" w:hAnsi="Times New Roman" w:cs="Times New Roman"/>
          <w:color w:val="auto"/>
          <w:lang w:eastAsia="zh-CN"/>
        </w:rPr>
      </w:pPr>
      <w:bookmarkStart w:id="2573" w:name="_Toc173740403"/>
      <w:bookmarkStart w:id="2574" w:name="_Toc218784412"/>
      <w:bookmarkStart w:id="2575" w:name="_Toc217662800"/>
      <w:bookmarkStart w:id="2576" w:name="_Toc178602478"/>
      <w:bookmarkStart w:id="2577" w:name="_Toc204515329"/>
      <w:bookmarkStart w:id="2578" w:name="_Toc173743507"/>
      <w:bookmarkStart w:id="2579" w:name="_Toc176513133"/>
      <w:bookmarkStart w:id="2580" w:name="_Toc172555769"/>
      <w:bookmarkStart w:id="2581" w:name="_Toc231828709"/>
      <w:bookmarkStart w:id="2582" w:name="_Toc175164397"/>
      <w:bookmarkStart w:id="2583" w:name="_Toc221900968"/>
      <w:bookmarkStart w:id="2584" w:name="_Toc237508421"/>
      <w:bookmarkStart w:id="2585" w:name="_Toc224674826"/>
      <w:bookmarkStart w:id="2586" w:name="_Toc203927130"/>
      <w:bookmarkStart w:id="2587" w:name="_Toc223425186"/>
      <w:bookmarkStart w:id="2588" w:name="_Toc225784188"/>
      <w:bookmarkStart w:id="2589" w:name="_Toc204448594"/>
      <w:bookmarkStart w:id="2590" w:name="_Toc236641956"/>
      <w:r>
        <w:rPr>
          <w:rFonts w:ascii="Times New Roman" w:hAnsi="Times New Roman" w:cs="Times New Roman"/>
          <w:b/>
          <w:bCs/>
          <w:color w:val="auto"/>
          <w:lang w:eastAsia="zh-CN"/>
        </w:rPr>
        <w:t>10.2.2 污染物排放清单</w:t>
      </w:r>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p>
    <w:p w14:paraId="6033E7CF">
      <w:pPr>
        <w:spacing w:line="360" w:lineRule="auto"/>
        <w:ind w:firstLine="480" w:firstLineChars="200"/>
        <w:rPr>
          <w:rFonts w:ascii="Times New Roman" w:hAnsi="Times New Roman" w:cs="Times New Roman"/>
          <w:color w:val="auto"/>
          <w:lang w:eastAsia="zh-CN"/>
        </w:rPr>
      </w:pPr>
      <w:bookmarkStart w:id="2591" w:name="_Toc15464"/>
      <w:r>
        <w:rPr>
          <w:rFonts w:ascii="Times New Roman" w:hAnsi="Times New Roman" w:cs="Times New Roman"/>
          <w:color w:val="auto"/>
          <w:lang w:eastAsia="zh-CN"/>
        </w:rPr>
        <w:t>拟建项目大气排放口基本信息见下表。</w:t>
      </w:r>
      <w:bookmarkEnd w:id="2591"/>
    </w:p>
    <w:p w14:paraId="4250EBAE">
      <w:pPr>
        <w:spacing w:line="360" w:lineRule="auto"/>
        <w:jc w:val="center"/>
        <w:rPr>
          <w:rFonts w:ascii="Times New Roman" w:hAnsi="Times New Roman" w:cs="Times New Roman"/>
          <w:b/>
          <w:bCs/>
          <w:color w:val="auto"/>
          <w:lang w:eastAsia="zh-CN"/>
        </w:rPr>
      </w:pPr>
      <w:bookmarkStart w:id="2592" w:name="_Toc25445"/>
      <w:r>
        <w:rPr>
          <w:rFonts w:ascii="Times New Roman" w:hAnsi="Times New Roman" w:cs="Times New Roman"/>
          <w:b/>
          <w:bCs/>
          <w:color w:val="auto"/>
          <w:lang w:eastAsia="zh-CN"/>
        </w:rPr>
        <w:t>表10.2-6 项目大气排放口基本情况表</w:t>
      </w:r>
      <w:bookmarkEnd w:id="2592"/>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327"/>
        <w:gridCol w:w="852"/>
        <w:gridCol w:w="850"/>
        <w:gridCol w:w="850"/>
        <w:gridCol w:w="1134"/>
        <w:gridCol w:w="1136"/>
        <w:gridCol w:w="1132"/>
        <w:gridCol w:w="852"/>
        <w:gridCol w:w="813"/>
      </w:tblGrid>
      <w:tr w14:paraId="388360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0" w:type="pct"/>
            <w:vMerge w:val="restart"/>
            <w:vAlign w:val="center"/>
          </w:tcPr>
          <w:p w14:paraId="356E593D">
            <w:pPr>
              <w:widowControl w:val="0"/>
              <w:adjustRightInd w:val="0"/>
              <w:snapToGrid w:val="0"/>
              <w:jc w:val="center"/>
              <w:rPr>
                <w:rFonts w:ascii="Times New Roman" w:hAnsi="Times New Roman" w:cs="Times New Roman"/>
                <w:b/>
                <w:bCs/>
                <w:snapToGrid/>
                <w:color w:val="auto"/>
                <w:kern w:val="2"/>
                <w:sz w:val="21"/>
                <w:lang w:eastAsia="zh-CN"/>
              </w:rPr>
            </w:pPr>
            <w:r>
              <w:rPr>
                <w:rFonts w:ascii="Times New Roman" w:hAnsi="Times New Roman" w:cs="Times New Roman"/>
                <w:b/>
                <w:bCs/>
                <w:snapToGrid/>
                <w:color w:val="auto"/>
                <w:kern w:val="2"/>
                <w:sz w:val="21"/>
                <w:lang w:eastAsia="zh-CN"/>
              </w:rPr>
              <w:t>排气筒编号</w:t>
            </w:r>
          </w:p>
        </w:tc>
        <w:tc>
          <w:tcPr>
            <w:tcW w:w="681" w:type="pct"/>
            <w:vMerge w:val="restart"/>
            <w:vAlign w:val="center"/>
          </w:tcPr>
          <w:p w14:paraId="656249A2">
            <w:pPr>
              <w:widowControl w:val="0"/>
              <w:adjustRightInd w:val="0"/>
              <w:snapToGrid w:val="0"/>
              <w:jc w:val="center"/>
              <w:rPr>
                <w:rFonts w:ascii="Times New Roman" w:hAnsi="Times New Roman" w:cs="Times New Roman"/>
                <w:b/>
                <w:bCs/>
                <w:snapToGrid/>
                <w:color w:val="auto"/>
                <w:kern w:val="2"/>
                <w:sz w:val="21"/>
                <w:lang w:eastAsia="zh-CN"/>
              </w:rPr>
            </w:pPr>
            <w:r>
              <w:rPr>
                <w:rFonts w:ascii="Times New Roman" w:hAnsi="Times New Roman" w:cs="Times New Roman"/>
                <w:b/>
                <w:bCs/>
                <w:snapToGrid/>
                <w:color w:val="auto"/>
                <w:kern w:val="2"/>
                <w:sz w:val="21"/>
                <w:lang w:eastAsia="zh-CN"/>
              </w:rPr>
              <w:t>生产工序</w:t>
            </w:r>
          </w:p>
        </w:tc>
        <w:tc>
          <w:tcPr>
            <w:tcW w:w="437" w:type="pct"/>
            <w:vMerge w:val="restart"/>
            <w:vAlign w:val="center"/>
          </w:tcPr>
          <w:p w14:paraId="06AFA8D7">
            <w:pPr>
              <w:widowControl w:val="0"/>
              <w:adjustRightInd w:val="0"/>
              <w:snapToGrid w:val="0"/>
              <w:jc w:val="center"/>
              <w:rPr>
                <w:rFonts w:ascii="Times New Roman" w:hAnsi="Times New Roman" w:cs="Times New Roman"/>
                <w:b/>
                <w:bCs/>
                <w:snapToGrid/>
                <w:color w:val="auto"/>
                <w:kern w:val="2"/>
                <w:sz w:val="21"/>
                <w:lang w:eastAsia="zh-CN"/>
              </w:rPr>
            </w:pPr>
            <w:r>
              <w:rPr>
                <w:rFonts w:ascii="Times New Roman" w:hAnsi="Times New Roman" w:cs="Times New Roman"/>
                <w:b/>
                <w:bCs/>
                <w:snapToGrid/>
                <w:color w:val="auto"/>
                <w:kern w:val="2"/>
                <w:sz w:val="21"/>
                <w:lang w:eastAsia="zh-CN"/>
              </w:rPr>
              <w:t>污染物种类</w:t>
            </w:r>
          </w:p>
        </w:tc>
        <w:tc>
          <w:tcPr>
            <w:tcW w:w="436" w:type="pct"/>
            <w:vMerge w:val="restart"/>
            <w:vAlign w:val="center"/>
          </w:tcPr>
          <w:p w14:paraId="1BED038B">
            <w:pPr>
              <w:widowControl w:val="0"/>
              <w:adjustRightInd w:val="0"/>
              <w:snapToGrid w:val="0"/>
              <w:jc w:val="center"/>
              <w:rPr>
                <w:rFonts w:ascii="Times New Roman" w:hAnsi="Times New Roman" w:cs="Times New Roman"/>
                <w:b/>
                <w:bCs/>
                <w:snapToGrid/>
                <w:color w:val="auto"/>
                <w:kern w:val="2"/>
                <w:sz w:val="21"/>
                <w:lang w:eastAsia="zh-CN"/>
              </w:rPr>
            </w:pPr>
            <w:r>
              <w:rPr>
                <w:rFonts w:ascii="Times New Roman" w:hAnsi="Times New Roman" w:cs="Times New Roman"/>
                <w:b/>
                <w:bCs/>
                <w:snapToGrid/>
                <w:color w:val="auto"/>
                <w:kern w:val="2"/>
                <w:sz w:val="21"/>
                <w:lang w:eastAsia="zh-CN"/>
              </w:rPr>
              <w:t>排气筒高度</w:t>
            </w:r>
          </w:p>
        </w:tc>
        <w:tc>
          <w:tcPr>
            <w:tcW w:w="436" w:type="pct"/>
            <w:vMerge w:val="restart"/>
            <w:vAlign w:val="center"/>
          </w:tcPr>
          <w:p w14:paraId="6EADB140">
            <w:pPr>
              <w:widowControl w:val="0"/>
              <w:adjustRightInd w:val="0"/>
              <w:snapToGrid w:val="0"/>
              <w:jc w:val="center"/>
              <w:rPr>
                <w:rFonts w:ascii="Times New Roman" w:hAnsi="Times New Roman" w:cs="Times New Roman"/>
                <w:b/>
                <w:bCs/>
                <w:snapToGrid/>
                <w:color w:val="auto"/>
                <w:kern w:val="2"/>
                <w:sz w:val="21"/>
                <w:lang w:eastAsia="zh-CN"/>
              </w:rPr>
            </w:pPr>
            <w:r>
              <w:rPr>
                <w:rFonts w:ascii="Times New Roman" w:hAnsi="Times New Roman" w:cs="Times New Roman"/>
                <w:b/>
                <w:bCs/>
                <w:snapToGrid/>
                <w:color w:val="auto"/>
                <w:kern w:val="2"/>
                <w:sz w:val="21"/>
                <w:lang w:eastAsia="zh-CN"/>
              </w:rPr>
              <w:t>排气筒出口内径</w:t>
            </w:r>
          </w:p>
        </w:tc>
        <w:tc>
          <w:tcPr>
            <w:tcW w:w="1745" w:type="pct"/>
            <w:gridSpan w:val="3"/>
            <w:vAlign w:val="center"/>
          </w:tcPr>
          <w:p w14:paraId="1875E893">
            <w:pPr>
              <w:widowControl w:val="0"/>
              <w:adjustRightInd w:val="0"/>
              <w:snapToGrid w:val="0"/>
              <w:jc w:val="center"/>
              <w:rPr>
                <w:rFonts w:ascii="Times New Roman" w:hAnsi="Times New Roman" w:cs="Times New Roman"/>
                <w:b/>
                <w:bCs/>
                <w:snapToGrid/>
                <w:color w:val="auto"/>
                <w:kern w:val="2"/>
                <w:sz w:val="21"/>
                <w:lang w:eastAsia="zh-CN"/>
              </w:rPr>
            </w:pPr>
            <w:r>
              <w:rPr>
                <w:rFonts w:ascii="Times New Roman" w:hAnsi="Times New Roman" w:cs="Times New Roman"/>
                <w:b/>
                <w:bCs/>
                <w:snapToGrid/>
                <w:color w:val="auto"/>
                <w:kern w:val="2"/>
                <w:sz w:val="21"/>
                <w:lang w:eastAsia="zh-CN"/>
              </w:rPr>
              <w:t>执行排放标准</w:t>
            </w:r>
          </w:p>
        </w:tc>
        <w:tc>
          <w:tcPr>
            <w:tcW w:w="437" w:type="pct"/>
            <w:vMerge w:val="restart"/>
            <w:vAlign w:val="center"/>
          </w:tcPr>
          <w:p w14:paraId="7E6820D9">
            <w:pPr>
              <w:widowControl w:val="0"/>
              <w:adjustRightInd w:val="0"/>
              <w:snapToGrid w:val="0"/>
              <w:jc w:val="center"/>
              <w:rPr>
                <w:rFonts w:ascii="Times New Roman" w:hAnsi="Times New Roman" w:cs="Times New Roman"/>
                <w:b/>
                <w:bCs/>
                <w:snapToGrid/>
                <w:color w:val="auto"/>
                <w:kern w:val="2"/>
                <w:sz w:val="21"/>
                <w:lang w:eastAsia="zh-CN"/>
              </w:rPr>
            </w:pPr>
            <w:r>
              <w:rPr>
                <w:rFonts w:ascii="Times New Roman" w:hAnsi="Times New Roman" w:cs="Times New Roman"/>
                <w:b/>
                <w:bCs/>
                <w:snapToGrid/>
                <w:color w:val="auto"/>
                <w:kern w:val="2"/>
                <w:sz w:val="21"/>
                <w:lang w:eastAsia="zh-CN"/>
              </w:rPr>
              <w:t>排放浓度mg/m</w:t>
            </w:r>
            <w:r>
              <w:rPr>
                <w:rFonts w:ascii="Times New Roman" w:hAnsi="Times New Roman" w:cs="Times New Roman"/>
                <w:b/>
                <w:bCs/>
                <w:snapToGrid/>
                <w:color w:val="auto"/>
                <w:kern w:val="2"/>
                <w:sz w:val="21"/>
                <w:vertAlign w:val="superscript"/>
                <w:lang w:eastAsia="zh-CN"/>
              </w:rPr>
              <w:t>3</w:t>
            </w:r>
          </w:p>
        </w:tc>
        <w:tc>
          <w:tcPr>
            <w:tcW w:w="417" w:type="pct"/>
            <w:vMerge w:val="restart"/>
            <w:noWrap/>
            <w:vAlign w:val="center"/>
          </w:tcPr>
          <w:p w14:paraId="7BC10FAD">
            <w:pPr>
              <w:widowControl w:val="0"/>
              <w:adjustRightInd w:val="0"/>
              <w:snapToGrid w:val="0"/>
              <w:jc w:val="center"/>
              <w:rPr>
                <w:rFonts w:ascii="Times New Roman" w:hAnsi="Times New Roman" w:cs="Times New Roman"/>
                <w:b/>
                <w:bCs/>
                <w:snapToGrid/>
                <w:color w:val="auto"/>
                <w:kern w:val="2"/>
                <w:sz w:val="21"/>
                <w:lang w:eastAsia="zh-CN"/>
              </w:rPr>
            </w:pPr>
            <w:r>
              <w:rPr>
                <w:rFonts w:ascii="Times New Roman" w:hAnsi="Times New Roman" w:cs="Times New Roman"/>
                <w:b/>
                <w:bCs/>
                <w:snapToGrid/>
                <w:color w:val="auto"/>
                <w:kern w:val="2"/>
                <w:sz w:val="21"/>
                <w:lang w:eastAsia="zh-CN"/>
              </w:rPr>
              <w:t>排放总量t/a</w:t>
            </w:r>
          </w:p>
        </w:tc>
      </w:tr>
      <w:tr w14:paraId="2D3805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0" w:type="pct"/>
            <w:vMerge w:val="continue"/>
            <w:vAlign w:val="center"/>
          </w:tcPr>
          <w:p w14:paraId="232B22EB">
            <w:pPr>
              <w:widowControl w:val="0"/>
              <w:adjustRightInd w:val="0"/>
              <w:snapToGrid w:val="0"/>
              <w:jc w:val="both"/>
              <w:rPr>
                <w:rFonts w:ascii="Times New Roman" w:hAnsi="Times New Roman" w:cs="Times New Roman"/>
                <w:snapToGrid/>
                <w:color w:val="auto"/>
                <w:kern w:val="2"/>
                <w:sz w:val="21"/>
                <w:lang w:eastAsia="zh-CN"/>
              </w:rPr>
            </w:pPr>
          </w:p>
        </w:tc>
        <w:tc>
          <w:tcPr>
            <w:tcW w:w="681" w:type="pct"/>
            <w:vMerge w:val="continue"/>
            <w:vAlign w:val="center"/>
          </w:tcPr>
          <w:p w14:paraId="48E766A4">
            <w:pPr>
              <w:widowControl w:val="0"/>
              <w:adjustRightInd w:val="0"/>
              <w:snapToGrid w:val="0"/>
              <w:jc w:val="both"/>
              <w:rPr>
                <w:rFonts w:ascii="Times New Roman" w:hAnsi="Times New Roman" w:cs="Times New Roman"/>
                <w:snapToGrid/>
                <w:color w:val="auto"/>
                <w:kern w:val="2"/>
                <w:sz w:val="21"/>
                <w:lang w:eastAsia="zh-CN"/>
              </w:rPr>
            </w:pPr>
          </w:p>
        </w:tc>
        <w:tc>
          <w:tcPr>
            <w:tcW w:w="437" w:type="pct"/>
            <w:vMerge w:val="continue"/>
            <w:vAlign w:val="center"/>
          </w:tcPr>
          <w:p w14:paraId="7059702D">
            <w:pPr>
              <w:widowControl w:val="0"/>
              <w:adjustRightInd w:val="0"/>
              <w:snapToGrid w:val="0"/>
              <w:jc w:val="both"/>
              <w:rPr>
                <w:rFonts w:ascii="Times New Roman" w:hAnsi="Times New Roman" w:cs="Times New Roman"/>
                <w:snapToGrid/>
                <w:color w:val="auto"/>
                <w:kern w:val="2"/>
                <w:sz w:val="21"/>
                <w:lang w:eastAsia="zh-CN"/>
              </w:rPr>
            </w:pPr>
          </w:p>
        </w:tc>
        <w:tc>
          <w:tcPr>
            <w:tcW w:w="436" w:type="pct"/>
            <w:vMerge w:val="continue"/>
            <w:vAlign w:val="center"/>
          </w:tcPr>
          <w:p w14:paraId="32315CF1">
            <w:pPr>
              <w:widowControl w:val="0"/>
              <w:adjustRightInd w:val="0"/>
              <w:snapToGrid w:val="0"/>
              <w:jc w:val="both"/>
              <w:rPr>
                <w:rFonts w:ascii="Times New Roman" w:hAnsi="Times New Roman" w:cs="Times New Roman"/>
                <w:snapToGrid/>
                <w:color w:val="auto"/>
                <w:kern w:val="2"/>
                <w:sz w:val="21"/>
                <w:lang w:eastAsia="zh-CN"/>
              </w:rPr>
            </w:pPr>
          </w:p>
        </w:tc>
        <w:tc>
          <w:tcPr>
            <w:tcW w:w="436" w:type="pct"/>
            <w:vMerge w:val="continue"/>
            <w:vAlign w:val="center"/>
          </w:tcPr>
          <w:p w14:paraId="2AC7674A">
            <w:pPr>
              <w:widowControl w:val="0"/>
              <w:adjustRightInd w:val="0"/>
              <w:snapToGrid w:val="0"/>
              <w:jc w:val="both"/>
              <w:rPr>
                <w:rFonts w:ascii="Times New Roman" w:hAnsi="Times New Roman" w:cs="Times New Roman"/>
                <w:snapToGrid/>
                <w:color w:val="auto"/>
                <w:kern w:val="2"/>
                <w:sz w:val="21"/>
                <w:lang w:eastAsia="zh-CN"/>
              </w:rPr>
            </w:pPr>
          </w:p>
        </w:tc>
        <w:tc>
          <w:tcPr>
            <w:tcW w:w="582" w:type="pct"/>
            <w:vAlign w:val="center"/>
          </w:tcPr>
          <w:p w14:paraId="3ED23E47">
            <w:pPr>
              <w:widowControl w:val="0"/>
              <w:adjustRightInd w:val="0"/>
              <w:snapToGrid w:val="0"/>
              <w:jc w:val="center"/>
              <w:rPr>
                <w:rFonts w:ascii="Times New Roman" w:hAnsi="Times New Roman" w:cs="Times New Roman"/>
                <w:b/>
                <w:bCs/>
                <w:snapToGrid/>
                <w:color w:val="auto"/>
                <w:kern w:val="2"/>
                <w:sz w:val="21"/>
                <w:lang w:eastAsia="zh-CN"/>
              </w:rPr>
            </w:pPr>
            <w:r>
              <w:rPr>
                <w:rFonts w:ascii="Times New Roman" w:hAnsi="Times New Roman" w:cs="Times New Roman"/>
                <w:b/>
                <w:bCs/>
                <w:snapToGrid/>
                <w:color w:val="auto"/>
                <w:kern w:val="2"/>
                <w:sz w:val="21"/>
                <w:lang w:eastAsia="zh-CN"/>
              </w:rPr>
              <w:t>名称</w:t>
            </w:r>
          </w:p>
        </w:tc>
        <w:tc>
          <w:tcPr>
            <w:tcW w:w="583" w:type="pct"/>
            <w:vAlign w:val="center"/>
          </w:tcPr>
          <w:p w14:paraId="22ABECB5">
            <w:pPr>
              <w:widowControl w:val="0"/>
              <w:adjustRightInd w:val="0"/>
              <w:snapToGrid w:val="0"/>
              <w:jc w:val="center"/>
              <w:rPr>
                <w:rFonts w:ascii="Times New Roman" w:hAnsi="Times New Roman" w:cs="Times New Roman"/>
                <w:b/>
                <w:bCs/>
                <w:snapToGrid/>
                <w:color w:val="auto"/>
                <w:kern w:val="2"/>
                <w:sz w:val="21"/>
                <w:lang w:eastAsia="zh-CN"/>
              </w:rPr>
            </w:pPr>
            <w:r>
              <w:rPr>
                <w:rFonts w:ascii="Times New Roman" w:hAnsi="Times New Roman" w:cs="Times New Roman"/>
                <w:b/>
                <w:bCs/>
                <w:snapToGrid/>
                <w:color w:val="auto"/>
                <w:kern w:val="2"/>
                <w:sz w:val="21"/>
                <w:lang w:eastAsia="zh-CN"/>
              </w:rPr>
              <w:t>浓度限值mg/m</w:t>
            </w:r>
            <w:r>
              <w:rPr>
                <w:rFonts w:ascii="Times New Roman" w:hAnsi="Times New Roman" w:cs="Times New Roman"/>
                <w:b/>
                <w:bCs/>
                <w:snapToGrid/>
                <w:color w:val="auto"/>
                <w:kern w:val="2"/>
                <w:sz w:val="21"/>
                <w:vertAlign w:val="superscript"/>
                <w:lang w:eastAsia="zh-CN"/>
              </w:rPr>
              <w:t>3</w:t>
            </w:r>
          </w:p>
        </w:tc>
        <w:tc>
          <w:tcPr>
            <w:tcW w:w="581" w:type="pct"/>
            <w:vAlign w:val="center"/>
          </w:tcPr>
          <w:p w14:paraId="38A49719">
            <w:pPr>
              <w:widowControl w:val="0"/>
              <w:adjustRightInd w:val="0"/>
              <w:snapToGrid w:val="0"/>
              <w:jc w:val="center"/>
              <w:rPr>
                <w:rFonts w:ascii="Times New Roman" w:hAnsi="Times New Roman" w:cs="Times New Roman"/>
                <w:b/>
                <w:bCs/>
                <w:snapToGrid/>
                <w:color w:val="auto"/>
                <w:kern w:val="2"/>
                <w:sz w:val="21"/>
                <w:lang w:eastAsia="zh-CN"/>
              </w:rPr>
            </w:pPr>
            <w:r>
              <w:rPr>
                <w:rFonts w:ascii="Times New Roman" w:hAnsi="Times New Roman" w:cs="Times New Roman"/>
                <w:b/>
                <w:bCs/>
                <w:snapToGrid/>
                <w:color w:val="auto"/>
                <w:kern w:val="2"/>
                <w:sz w:val="21"/>
                <w:lang w:eastAsia="zh-CN"/>
              </w:rPr>
              <w:t>速率限值（kg/h）</w:t>
            </w:r>
          </w:p>
        </w:tc>
        <w:tc>
          <w:tcPr>
            <w:tcW w:w="437" w:type="pct"/>
            <w:vMerge w:val="continue"/>
            <w:vAlign w:val="center"/>
          </w:tcPr>
          <w:p w14:paraId="1D456E87">
            <w:pPr>
              <w:widowControl w:val="0"/>
              <w:adjustRightInd w:val="0"/>
              <w:snapToGrid w:val="0"/>
              <w:jc w:val="both"/>
              <w:rPr>
                <w:rFonts w:ascii="Times New Roman" w:hAnsi="Times New Roman" w:cs="Times New Roman"/>
                <w:b/>
                <w:bCs/>
                <w:snapToGrid/>
                <w:color w:val="auto"/>
                <w:kern w:val="2"/>
                <w:sz w:val="21"/>
                <w:lang w:eastAsia="zh-CN"/>
              </w:rPr>
            </w:pPr>
          </w:p>
        </w:tc>
        <w:tc>
          <w:tcPr>
            <w:tcW w:w="417" w:type="pct"/>
            <w:vMerge w:val="continue"/>
            <w:vAlign w:val="center"/>
          </w:tcPr>
          <w:p w14:paraId="0BADFFB9">
            <w:pPr>
              <w:widowControl w:val="0"/>
              <w:adjustRightInd w:val="0"/>
              <w:snapToGrid w:val="0"/>
              <w:jc w:val="both"/>
              <w:rPr>
                <w:rFonts w:ascii="Times New Roman" w:hAnsi="Times New Roman" w:cs="Times New Roman"/>
                <w:snapToGrid/>
                <w:color w:val="auto"/>
                <w:kern w:val="2"/>
                <w:sz w:val="21"/>
                <w:lang w:eastAsia="zh-CN"/>
              </w:rPr>
            </w:pPr>
          </w:p>
        </w:tc>
      </w:tr>
      <w:tr w14:paraId="6E0E4D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0" w:type="pct"/>
            <w:vMerge w:val="restart"/>
            <w:vAlign w:val="center"/>
          </w:tcPr>
          <w:p w14:paraId="5926509C">
            <w:pPr>
              <w:widowControl w:val="0"/>
              <w:adjustRightInd w:val="0"/>
              <w:snapToGrid w:val="0"/>
              <w:jc w:val="center"/>
              <w:rPr>
                <w:rFonts w:ascii="Times New Roman" w:hAnsi="Times New Roman" w:cs="Times New Roman"/>
                <w:snapToGrid/>
                <w:color w:val="auto"/>
                <w:kern w:val="2"/>
                <w:sz w:val="21"/>
                <w:lang w:eastAsia="zh-CN"/>
              </w:rPr>
            </w:pPr>
            <w:r>
              <w:rPr>
                <w:rFonts w:ascii="Times New Roman" w:hAnsi="Times New Roman" w:cs="Times New Roman"/>
                <w:snapToGrid/>
                <w:color w:val="auto"/>
                <w:kern w:val="2"/>
                <w:sz w:val="21"/>
                <w:lang w:eastAsia="zh-CN"/>
              </w:rPr>
              <w:t>1#排气筒</w:t>
            </w:r>
          </w:p>
        </w:tc>
        <w:tc>
          <w:tcPr>
            <w:tcW w:w="681" w:type="pct"/>
            <w:vMerge w:val="restart"/>
            <w:vAlign w:val="center"/>
          </w:tcPr>
          <w:p w14:paraId="54FFE14D">
            <w:pPr>
              <w:widowControl w:val="0"/>
              <w:adjustRightInd w:val="0"/>
              <w:snapToGrid w:val="0"/>
              <w:jc w:val="center"/>
              <w:rPr>
                <w:rFonts w:ascii="Times New Roman" w:hAnsi="Times New Roman" w:cs="Times New Roman"/>
                <w:snapToGrid/>
                <w:color w:val="auto"/>
                <w:kern w:val="2"/>
                <w:sz w:val="21"/>
                <w:lang w:eastAsia="zh-CN"/>
              </w:rPr>
            </w:pPr>
            <w:r>
              <w:rPr>
                <w:rFonts w:hint="eastAsia" w:ascii="Times New Roman" w:hAnsi="Times New Roman" w:cs="Times New Roman"/>
                <w:snapToGrid/>
                <w:color w:val="auto"/>
                <w:kern w:val="2"/>
                <w:sz w:val="21"/>
                <w:lang w:eastAsia="zh-CN"/>
              </w:rPr>
              <w:t>化学纯氢氟酸生产装置废气、刻蚀液生产装置废气、无水</w:t>
            </w:r>
            <w:r>
              <w:rPr>
                <w:rFonts w:hint="eastAsia" w:ascii="Times New Roman" w:hAnsi="Times New Roman" w:cs="Times New Roman"/>
                <w:color w:val="auto"/>
                <w:sz w:val="21"/>
                <w:lang w:eastAsia="zh-CN" w:bidi="ar"/>
              </w:rPr>
              <w:t>氟化氢库房储罐呼吸气、原料及产品罐区储罐呼吸气、戊类罐区二储罐呼吸气</w:t>
            </w:r>
          </w:p>
        </w:tc>
        <w:tc>
          <w:tcPr>
            <w:tcW w:w="437" w:type="pct"/>
            <w:vAlign w:val="center"/>
          </w:tcPr>
          <w:p w14:paraId="77732A66">
            <w:pPr>
              <w:widowControl w:val="0"/>
              <w:adjustRightInd w:val="0"/>
              <w:snapToGrid w:val="0"/>
              <w:jc w:val="center"/>
              <w:rPr>
                <w:rFonts w:ascii="Times New Roman" w:hAnsi="Times New Roman" w:cs="Times New Roman"/>
                <w:snapToGrid/>
                <w:color w:val="auto"/>
                <w:kern w:val="2"/>
                <w:sz w:val="21"/>
                <w:lang w:eastAsia="zh-CN"/>
              </w:rPr>
            </w:pPr>
            <w:r>
              <w:rPr>
                <w:rFonts w:hint="eastAsia" w:ascii="Times New Roman" w:hAnsi="Times New Roman" w:cs="Times New Roman"/>
                <w:snapToGrid/>
                <w:color w:val="auto"/>
                <w:kern w:val="2"/>
                <w:sz w:val="21"/>
                <w:lang w:eastAsia="zh-CN"/>
              </w:rPr>
              <w:t>氟化物</w:t>
            </w:r>
          </w:p>
        </w:tc>
        <w:tc>
          <w:tcPr>
            <w:tcW w:w="436" w:type="pct"/>
            <w:vMerge w:val="restart"/>
            <w:vAlign w:val="center"/>
          </w:tcPr>
          <w:p w14:paraId="182E8CAF">
            <w:pPr>
              <w:widowControl w:val="0"/>
              <w:adjustRightInd w:val="0"/>
              <w:snapToGrid w:val="0"/>
              <w:jc w:val="center"/>
              <w:rPr>
                <w:rFonts w:ascii="Times New Roman" w:hAnsi="Times New Roman" w:cs="Times New Roman"/>
                <w:snapToGrid/>
                <w:color w:val="auto"/>
                <w:kern w:val="2"/>
                <w:sz w:val="21"/>
                <w:lang w:eastAsia="zh-CN"/>
              </w:rPr>
            </w:pPr>
            <w:r>
              <w:rPr>
                <w:rFonts w:hint="eastAsia" w:ascii="Times New Roman" w:hAnsi="Times New Roman" w:cs="Times New Roman"/>
                <w:snapToGrid/>
                <w:color w:val="auto"/>
                <w:kern w:val="2"/>
                <w:sz w:val="21"/>
                <w:lang w:eastAsia="zh-CN"/>
              </w:rPr>
              <w:t>25m</w:t>
            </w:r>
          </w:p>
        </w:tc>
        <w:tc>
          <w:tcPr>
            <w:tcW w:w="436" w:type="pct"/>
            <w:vMerge w:val="restart"/>
            <w:vAlign w:val="center"/>
          </w:tcPr>
          <w:p w14:paraId="4CD7D257">
            <w:pPr>
              <w:widowControl w:val="0"/>
              <w:adjustRightInd w:val="0"/>
              <w:snapToGrid w:val="0"/>
              <w:jc w:val="center"/>
              <w:rPr>
                <w:rFonts w:ascii="Times New Roman" w:hAnsi="Times New Roman" w:cs="Times New Roman"/>
                <w:snapToGrid/>
                <w:color w:val="auto"/>
                <w:kern w:val="2"/>
                <w:sz w:val="21"/>
                <w:lang w:eastAsia="zh-CN"/>
              </w:rPr>
            </w:pPr>
            <w:r>
              <w:rPr>
                <w:rFonts w:ascii="Times New Roman" w:hAnsi="Times New Roman" w:cs="Times New Roman"/>
                <w:snapToGrid/>
                <w:color w:val="auto"/>
                <w:kern w:val="2"/>
                <w:sz w:val="21"/>
                <w:lang w:eastAsia="zh-CN"/>
              </w:rPr>
              <w:t>0.</w:t>
            </w:r>
            <w:r>
              <w:rPr>
                <w:rFonts w:hint="eastAsia" w:ascii="Times New Roman" w:hAnsi="Times New Roman" w:cs="Times New Roman"/>
                <w:snapToGrid/>
                <w:color w:val="auto"/>
                <w:kern w:val="2"/>
                <w:sz w:val="21"/>
                <w:lang w:eastAsia="zh-CN"/>
              </w:rPr>
              <w:t>8m</w:t>
            </w:r>
          </w:p>
        </w:tc>
        <w:tc>
          <w:tcPr>
            <w:tcW w:w="582" w:type="pct"/>
            <w:vMerge w:val="restart"/>
            <w:vAlign w:val="center"/>
          </w:tcPr>
          <w:p w14:paraId="0EAD395D">
            <w:pPr>
              <w:widowControl w:val="0"/>
              <w:adjustRightInd w:val="0"/>
              <w:snapToGrid w:val="0"/>
              <w:jc w:val="center"/>
              <w:rPr>
                <w:rFonts w:ascii="Times New Roman" w:hAnsi="Times New Roman" w:cs="Times New Roman"/>
                <w:snapToGrid/>
                <w:color w:val="auto"/>
                <w:kern w:val="2"/>
                <w:sz w:val="21"/>
                <w:lang w:eastAsia="zh-CN"/>
              </w:rPr>
            </w:pPr>
            <w:r>
              <w:rPr>
                <w:rFonts w:ascii="Times New Roman" w:hAnsi="Times New Roman" w:cs="Times New Roman"/>
                <w:snapToGrid/>
                <w:color w:val="auto"/>
                <w:kern w:val="2"/>
                <w:sz w:val="21"/>
                <w:lang w:eastAsia="zh-CN"/>
              </w:rPr>
              <w:t>《无机化学工业污染物排放标准》（GB31573-2015）中特别排放限值</w:t>
            </w:r>
          </w:p>
        </w:tc>
        <w:tc>
          <w:tcPr>
            <w:tcW w:w="583" w:type="pct"/>
            <w:vAlign w:val="center"/>
          </w:tcPr>
          <w:p w14:paraId="267E4B86">
            <w:pPr>
              <w:widowControl w:val="0"/>
              <w:adjustRightInd w:val="0"/>
              <w:snapToGrid w:val="0"/>
              <w:jc w:val="center"/>
              <w:rPr>
                <w:rFonts w:ascii="Times New Roman" w:hAnsi="Times New Roman" w:cs="Times New Roman"/>
                <w:snapToGrid/>
                <w:color w:val="auto"/>
                <w:kern w:val="2"/>
                <w:sz w:val="21"/>
                <w:lang w:eastAsia="zh-CN"/>
              </w:rPr>
            </w:pPr>
            <w:r>
              <w:rPr>
                <w:rFonts w:hint="eastAsia" w:ascii="Times New Roman" w:hAnsi="Times New Roman" w:cs="Times New Roman"/>
                <w:snapToGrid/>
                <w:color w:val="auto"/>
                <w:kern w:val="2"/>
                <w:sz w:val="21"/>
                <w:lang w:eastAsia="zh-CN"/>
              </w:rPr>
              <w:t>3</w:t>
            </w:r>
          </w:p>
        </w:tc>
        <w:tc>
          <w:tcPr>
            <w:tcW w:w="581" w:type="pct"/>
            <w:vAlign w:val="center"/>
          </w:tcPr>
          <w:p w14:paraId="562429FF">
            <w:pPr>
              <w:widowControl w:val="0"/>
              <w:adjustRightInd w:val="0"/>
              <w:snapToGrid w:val="0"/>
              <w:jc w:val="center"/>
              <w:rPr>
                <w:rFonts w:ascii="Times New Roman" w:hAnsi="Times New Roman" w:cs="Times New Roman"/>
                <w:snapToGrid/>
                <w:color w:val="auto"/>
                <w:kern w:val="2"/>
                <w:sz w:val="21"/>
                <w:lang w:eastAsia="zh-CN"/>
              </w:rPr>
            </w:pPr>
            <w:r>
              <w:rPr>
                <w:rFonts w:hint="eastAsia" w:ascii="Times New Roman" w:hAnsi="Times New Roman" w:cs="Times New Roman"/>
                <w:snapToGrid/>
                <w:color w:val="auto"/>
                <w:kern w:val="2"/>
                <w:sz w:val="21"/>
                <w:lang w:eastAsia="zh-CN"/>
              </w:rPr>
              <w:t>/</w:t>
            </w:r>
          </w:p>
        </w:tc>
        <w:tc>
          <w:tcPr>
            <w:tcW w:w="437" w:type="pct"/>
            <w:vAlign w:val="center"/>
          </w:tcPr>
          <w:p w14:paraId="446BFF11">
            <w:pPr>
              <w:widowControl w:val="0"/>
              <w:adjustRightInd w:val="0"/>
              <w:snapToGrid w:val="0"/>
              <w:jc w:val="center"/>
              <w:rPr>
                <w:rFonts w:ascii="Times New Roman" w:hAnsi="Times New Roman" w:cs="Times New Roman"/>
                <w:snapToGrid/>
                <w:color w:val="auto"/>
                <w:kern w:val="2"/>
                <w:sz w:val="21"/>
                <w:lang w:eastAsia="zh-CN"/>
              </w:rPr>
            </w:pPr>
            <w:r>
              <w:rPr>
                <w:rFonts w:hint="eastAsia" w:ascii="Times New Roman" w:hAnsi="Times New Roman" w:cs="Times New Roman"/>
                <w:snapToGrid/>
                <w:color w:val="auto"/>
                <w:kern w:val="2"/>
                <w:sz w:val="21"/>
                <w:lang w:eastAsia="zh-CN"/>
              </w:rPr>
              <w:t>0.9</w:t>
            </w:r>
          </w:p>
        </w:tc>
        <w:tc>
          <w:tcPr>
            <w:tcW w:w="417" w:type="pct"/>
            <w:vAlign w:val="center"/>
          </w:tcPr>
          <w:p w14:paraId="7E250A6F">
            <w:pPr>
              <w:widowControl w:val="0"/>
              <w:adjustRightInd w:val="0"/>
              <w:snapToGrid w:val="0"/>
              <w:jc w:val="center"/>
              <w:rPr>
                <w:rFonts w:ascii="Times New Roman" w:hAnsi="Times New Roman" w:cs="Times New Roman"/>
                <w:snapToGrid/>
                <w:color w:val="auto"/>
                <w:kern w:val="2"/>
                <w:sz w:val="21"/>
                <w:lang w:eastAsia="zh-CN"/>
              </w:rPr>
            </w:pPr>
            <w:r>
              <w:rPr>
                <w:rFonts w:hint="eastAsia" w:ascii="Times New Roman" w:hAnsi="Times New Roman" w:cs="Times New Roman"/>
                <w:snapToGrid/>
                <w:color w:val="auto"/>
                <w:kern w:val="2"/>
                <w:sz w:val="21"/>
                <w:lang w:eastAsia="zh-CN"/>
              </w:rPr>
              <w:t>0.052</w:t>
            </w:r>
          </w:p>
        </w:tc>
      </w:tr>
      <w:tr w14:paraId="608929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0" w:type="pct"/>
            <w:vMerge w:val="continue"/>
            <w:vAlign w:val="center"/>
          </w:tcPr>
          <w:p w14:paraId="0F5096AA">
            <w:pPr>
              <w:widowControl w:val="0"/>
              <w:adjustRightInd w:val="0"/>
              <w:snapToGrid w:val="0"/>
              <w:jc w:val="center"/>
              <w:rPr>
                <w:rFonts w:ascii="Times New Roman" w:hAnsi="Times New Roman" w:cs="Times New Roman"/>
                <w:snapToGrid/>
                <w:color w:val="auto"/>
                <w:kern w:val="2"/>
                <w:sz w:val="21"/>
                <w:lang w:eastAsia="zh-CN"/>
              </w:rPr>
            </w:pPr>
          </w:p>
        </w:tc>
        <w:tc>
          <w:tcPr>
            <w:tcW w:w="681" w:type="pct"/>
            <w:vMerge w:val="continue"/>
            <w:vAlign w:val="center"/>
          </w:tcPr>
          <w:p w14:paraId="21B0AF35">
            <w:pPr>
              <w:widowControl w:val="0"/>
              <w:adjustRightInd w:val="0"/>
              <w:snapToGrid w:val="0"/>
              <w:jc w:val="center"/>
              <w:rPr>
                <w:rFonts w:ascii="Times New Roman" w:hAnsi="Times New Roman" w:cs="Times New Roman"/>
                <w:snapToGrid/>
                <w:color w:val="auto"/>
                <w:kern w:val="2"/>
                <w:sz w:val="21"/>
                <w:lang w:eastAsia="zh-CN"/>
              </w:rPr>
            </w:pPr>
          </w:p>
        </w:tc>
        <w:tc>
          <w:tcPr>
            <w:tcW w:w="437" w:type="pct"/>
            <w:vAlign w:val="center"/>
          </w:tcPr>
          <w:p w14:paraId="123E479E">
            <w:pPr>
              <w:widowControl w:val="0"/>
              <w:adjustRightInd w:val="0"/>
              <w:snapToGrid w:val="0"/>
              <w:jc w:val="center"/>
              <w:rPr>
                <w:rFonts w:ascii="Times New Roman" w:hAnsi="Times New Roman" w:cs="Times New Roman"/>
                <w:snapToGrid/>
                <w:color w:val="auto"/>
                <w:kern w:val="2"/>
                <w:sz w:val="21"/>
                <w:lang w:eastAsia="zh-CN"/>
              </w:rPr>
            </w:pPr>
            <w:r>
              <w:rPr>
                <w:rFonts w:hint="eastAsia" w:ascii="Times New Roman" w:hAnsi="Times New Roman" w:cs="Times New Roman"/>
                <w:snapToGrid/>
                <w:color w:val="auto"/>
                <w:kern w:val="2"/>
                <w:sz w:val="21"/>
                <w:lang w:eastAsia="zh-CN"/>
              </w:rPr>
              <w:t>氯化氢</w:t>
            </w:r>
          </w:p>
        </w:tc>
        <w:tc>
          <w:tcPr>
            <w:tcW w:w="436" w:type="pct"/>
            <w:vMerge w:val="continue"/>
            <w:vAlign w:val="center"/>
          </w:tcPr>
          <w:p w14:paraId="7A4E372F">
            <w:pPr>
              <w:widowControl w:val="0"/>
              <w:adjustRightInd w:val="0"/>
              <w:snapToGrid w:val="0"/>
              <w:jc w:val="center"/>
              <w:rPr>
                <w:rFonts w:ascii="Times New Roman" w:hAnsi="Times New Roman" w:cs="Times New Roman"/>
                <w:snapToGrid/>
                <w:color w:val="auto"/>
                <w:kern w:val="2"/>
                <w:sz w:val="21"/>
                <w:lang w:eastAsia="zh-CN"/>
              </w:rPr>
            </w:pPr>
          </w:p>
        </w:tc>
        <w:tc>
          <w:tcPr>
            <w:tcW w:w="436" w:type="pct"/>
            <w:vMerge w:val="continue"/>
            <w:vAlign w:val="center"/>
          </w:tcPr>
          <w:p w14:paraId="25A80E85">
            <w:pPr>
              <w:widowControl w:val="0"/>
              <w:adjustRightInd w:val="0"/>
              <w:snapToGrid w:val="0"/>
              <w:jc w:val="center"/>
              <w:rPr>
                <w:rFonts w:ascii="Times New Roman" w:hAnsi="Times New Roman" w:cs="Times New Roman"/>
                <w:snapToGrid/>
                <w:color w:val="auto"/>
                <w:kern w:val="2"/>
                <w:sz w:val="21"/>
                <w:lang w:eastAsia="zh-CN"/>
              </w:rPr>
            </w:pPr>
          </w:p>
        </w:tc>
        <w:tc>
          <w:tcPr>
            <w:tcW w:w="582" w:type="pct"/>
            <w:vMerge w:val="continue"/>
            <w:vAlign w:val="center"/>
          </w:tcPr>
          <w:p w14:paraId="3B41D551">
            <w:pPr>
              <w:widowControl w:val="0"/>
              <w:adjustRightInd w:val="0"/>
              <w:snapToGrid w:val="0"/>
              <w:jc w:val="center"/>
              <w:rPr>
                <w:rFonts w:ascii="Times New Roman" w:hAnsi="Times New Roman" w:cs="Times New Roman"/>
                <w:snapToGrid/>
                <w:color w:val="auto"/>
                <w:kern w:val="2"/>
                <w:sz w:val="21"/>
                <w:lang w:eastAsia="zh-CN"/>
              </w:rPr>
            </w:pPr>
          </w:p>
        </w:tc>
        <w:tc>
          <w:tcPr>
            <w:tcW w:w="583" w:type="pct"/>
            <w:vAlign w:val="center"/>
          </w:tcPr>
          <w:p w14:paraId="67A14576">
            <w:pPr>
              <w:widowControl w:val="0"/>
              <w:adjustRightInd w:val="0"/>
              <w:snapToGrid w:val="0"/>
              <w:jc w:val="center"/>
              <w:rPr>
                <w:rFonts w:ascii="Times New Roman" w:hAnsi="Times New Roman" w:cs="Times New Roman"/>
                <w:snapToGrid/>
                <w:color w:val="auto"/>
                <w:kern w:val="2"/>
                <w:sz w:val="21"/>
                <w:lang w:eastAsia="zh-CN"/>
              </w:rPr>
            </w:pPr>
            <w:r>
              <w:rPr>
                <w:rFonts w:hint="eastAsia" w:ascii="Times New Roman" w:hAnsi="Times New Roman" w:cs="Times New Roman"/>
                <w:snapToGrid/>
                <w:color w:val="auto"/>
                <w:kern w:val="2"/>
                <w:sz w:val="21"/>
                <w:lang w:eastAsia="zh-CN"/>
              </w:rPr>
              <w:t>10</w:t>
            </w:r>
          </w:p>
        </w:tc>
        <w:tc>
          <w:tcPr>
            <w:tcW w:w="581" w:type="pct"/>
            <w:vAlign w:val="center"/>
          </w:tcPr>
          <w:p w14:paraId="30F2B32F">
            <w:pPr>
              <w:widowControl w:val="0"/>
              <w:adjustRightInd w:val="0"/>
              <w:snapToGrid w:val="0"/>
              <w:jc w:val="center"/>
              <w:rPr>
                <w:rFonts w:ascii="Times New Roman" w:hAnsi="Times New Roman" w:cs="Times New Roman"/>
                <w:snapToGrid/>
                <w:color w:val="auto"/>
                <w:kern w:val="2"/>
                <w:sz w:val="21"/>
                <w:lang w:eastAsia="zh-CN"/>
              </w:rPr>
            </w:pPr>
            <w:r>
              <w:rPr>
                <w:rFonts w:hint="eastAsia" w:ascii="Times New Roman" w:hAnsi="Times New Roman" w:cs="Times New Roman"/>
                <w:snapToGrid/>
                <w:color w:val="auto"/>
                <w:kern w:val="2"/>
                <w:sz w:val="21"/>
                <w:lang w:eastAsia="zh-CN"/>
              </w:rPr>
              <w:t>/</w:t>
            </w:r>
          </w:p>
        </w:tc>
        <w:tc>
          <w:tcPr>
            <w:tcW w:w="437" w:type="pct"/>
            <w:vAlign w:val="center"/>
          </w:tcPr>
          <w:p w14:paraId="69D0DA74">
            <w:pPr>
              <w:widowControl w:val="0"/>
              <w:adjustRightInd w:val="0"/>
              <w:snapToGrid w:val="0"/>
              <w:jc w:val="center"/>
              <w:rPr>
                <w:rFonts w:ascii="Times New Roman" w:hAnsi="Times New Roman" w:cs="Times New Roman"/>
                <w:snapToGrid/>
                <w:color w:val="auto"/>
                <w:kern w:val="2"/>
                <w:sz w:val="21"/>
                <w:lang w:eastAsia="zh-CN"/>
              </w:rPr>
            </w:pPr>
            <w:r>
              <w:rPr>
                <w:rFonts w:hint="eastAsia" w:ascii="Times New Roman" w:hAnsi="Times New Roman" w:cs="Times New Roman"/>
                <w:snapToGrid/>
                <w:color w:val="auto"/>
                <w:kern w:val="2"/>
                <w:sz w:val="21"/>
                <w:lang w:eastAsia="zh-CN"/>
              </w:rPr>
              <w:t>0.05</w:t>
            </w:r>
          </w:p>
        </w:tc>
        <w:tc>
          <w:tcPr>
            <w:tcW w:w="417" w:type="pct"/>
            <w:vAlign w:val="center"/>
          </w:tcPr>
          <w:p w14:paraId="0C597FD1">
            <w:pPr>
              <w:widowControl w:val="0"/>
              <w:adjustRightInd w:val="0"/>
              <w:snapToGrid w:val="0"/>
              <w:jc w:val="center"/>
              <w:rPr>
                <w:rFonts w:ascii="Times New Roman" w:hAnsi="Times New Roman" w:cs="Times New Roman"/>
                <w:snapToGrid/>
                <w:color w:val="auto"/>
                <w:kern w:val="2"/>
                <w:sz w:val="21"/>
                <w:lang w:eastAsia="zh-CN"/>
              </w:rPr>
            </w:pPr>
            <w:r>
              <w:rPr>
                <w:rFonts w:hint="eastAsia" w:ascii="Times New Roman" w:hAnsi="Times New Roman" w:cs="Times New Roman"/>
                <w:snapToGrid/>
                <w:color w:val="auto"/>
                <w:kern w:val="2"/>
                <w:sz w:val="21"/>
                <w:lang w:eastAsia="zh-CN"/>
              </w:rPr>
              <w:t>0.005</w:t>
            </w:r>
          </w:p>
        </w:tc>
      </w:tr>
    </w:tbl>
    <w:p w14:paraId="3A0BDA96">
      <w:pPr>
        <w:spacing w:line="360" w:lineRule="auto"/>
        <w:ind w:firstLine="480"/>
        <w:rPr>
          <w:rFonts w:ascii="Times New Roman" w:hAnsi="Times New Roman" w:cs="Times New Roman"/>
          <w:color w:val="auto"/>
          <w:lang w:eastAsia="zh-CN"/>
        </w:rPr>
      </w:pPr>
      <w:bookmarkStart w:id="2593" w:name="_Toc10192"/>
      <w:r>
        <w:rPr>
          <w:rFonts w:ascii="Times New Roman" w:hAnsi="Times New Roman" w:cs="Times New Roman"/>
          <w:color w:val="auto"/>
          <w:lang w:eastAsia="zh-CN"/>
        </w:rPr>
        <w:t>项目废水经沫河口污水处理厂排放口排放。</w:t>
      </w:r>
      <w:bookmarkEnd w:id="2593"/>
    </w:p>
    <w:p w14:paraId="77C50A57">
      <w:pPr>
        <w:spacing w:line="360" w:lineRule="auto"/>
        <w:jc w:val="center"/>
        <w:rPr>
          <w:rFonts w:ascii="Times New Roman" w:hAnsi="Times New Roman" w:cs="Times New Roman"/>
          <w:color w:val="auto"/>
          <w:lang w:eastAsia="zh-CN"/>
        </w:rPr>
      </w:pPr>
      <w:bookmarkStart w:id="2594" w:name="_Toc25947"/>
      <w:r>
        <w:rPr>
          <w:rFonts w:ascii="Times New Roman" w:hAnsi="Times New Roman" w:cs="Times New Roman"/>
          <w:b/>
          <w:bCs/>
          <w:color w:val="auto"/>
          <w:lang w:eastAsia="zh-CN"/>
        </w:rPr>
        <w:t>表10.2-7  项目废水排放口基本情况表</w:t>
      </w:r>
    </w:p>
    <w:tbl>
      <w:tblPr>
        <w:tblStyle w:val="35"/>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72"/>
        <w:gridCol w:w="1134"/>
        <w:gridCol w:w="1134"/>
        <w:gridCol w:w="696"/>
        <w:gridCol w:w="793"/>
        <w:gridCol w:w="1477"/>
        <w:gridCol w:w="1249"/>
        <w:gridCol w:w="1050"/>
        <w:gridCol w:w="1237"/>
      </w:tblGrid>
      <w:tr w14:paraId="18F1E8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9" w:type="pct"/>
            <w:vMerge w:val="restart"/>
            <w:vAlign w:val="center"/>
          </w:tcPr>
          <w:p w14:paraId="5D2A958D">
            <w:pPr>
              <w:widowControl w:val="0"/>
              <w:adjustRightInd w:val="0"/>
              <w:snapToGrid w:val="0"/>
              <w:jc w:val="center"/>
              <w:rPr>
                <w:rFonts w:ascii="Times New Roman" w:hAnsi="Times New Roman" w:cs="Times New Roman"/>
                <w:b/>
                <w:bCs/>
                <w:snapToGrid/>
                <w:color w:val="auto"/>
                <w:kern w:val="2"/>
                <w:sz w:val="21"/>
                <w:lang w:eastAsia="zh-CN"/>
              </w:rPr>
            </w:pPr>
            <w:r>
              <w:rPr>
                <w:rFonts w:ascii="Times New Roman" w:hAnsi="Times New Roman" w:cs="Times New Roman"/>
                <w:b/>
                <w:bCs/>
                <w:snapToGrid/>
                <w:color w:val="auto"/>
                <w:kern w:val="2"/>
                <w:sz w:val="21"/>
                <w:lang w:eastAsia="zh-CN"/>
              </w:rPr>
              <w:t>污染物排放口名称</w:t>
            </w:r>
          </w:p>
        </w:tc>
        <w:tc>
          <w:tcPr>
            <w:tcW w:w="582" w:type="pct"/>
            <w:vMerge w:val="restart"/>
            <w:vAlign w:val="center"/>
          </w:tcPr>
          <w:p w14:paraId="45B83C6E">
            <w:pPr>
              <w:widowControl w:val="0"/>
              <w:adjustRightInd w:val="0"/>
              <w:snapToGrid w:val="0"/>
              <w:jc w:val="center"/>
              <w:rPr>
                <w:rFonts w:ascii="Times New Roman" w:hAnsi="Times New Roman" w:cs="Times New Roman"/>
                <w:b/>
                <w:bCs/>
                <w:snapToGrid/>
                <w:color w:val="auto"/>
                <w:kern w:val="2"/>
                <w:sz w:val="21"/>
                <w:lang w:eastAsia="zh-CN"/>
              </w:rPr>
            </w:pPr>
            <w:r>
              <w:rPr>
                <w:rFonts w:ascii="Times New Roman" w:hAnsi="Times New Roman" w:cs="Times New Roman"/>
                <w:b/>
                <w:bCs/>
                <w:snapToGrid/>
                <w:color w:val="auto"/>
                <w:kern w:val="2"/>
                <w:sz w:val="21"/>
                <w:lang w:eastAsia="zh-CN"/>
              </w:rPr>
              <w:t>污染物种类</w:t>
            </w:r>
          </w:p>
        </w:tc>
        <w:tc>
          <w:tcPr>
            <w:tcW w:w="582" w:type="pct"/>
            <w:vMerge w:val="restart"/>
            <w:vAlign w:val="center"/>
          </w:tcPr>
          <w:p w14:paraId="47F32B9E">
            <w:pPr>
              <w:widowControl w:val="0"/>
              <w:adjustRightInd w:val="0"/>
              <w:snapToGrid w:val="0"/>
              <w:jc w:val="center"/>
              <w:rPr>
                <w:rFonts w:ascii="Times New Roman" w:hAnsi="Times New Roman" w:cs="Times New Roman"/>
                <w:b/>
                <w:bCs/>
                <w:snapToGrid/>
                <w:color w:val="auto"/>
                <w:kern w:val="2"/>
                <w:sz w:val="21"/>
                <w:lang w:eastAsia="zh-CN"/>
              </w:rPr>
            </w:pPr>
            <w:r>
              <w:rPr>
                <w:rFonts w:ascii="Times New Roman" w:hAnsi="Times New Roman" w:cs="Times New Roman"/>
                <w:b/>
                <w:bCs/>
                <w:snapToGrid/>
                <w:color w:val="auto"/>
                <w:kern w:val="2"/>
                <w:sz w:val="21"/>
                <w:lang w:eastAsia="zh-CN"/>
              </w:rPr>
              <w:t>排放去向</w:t>
            </w:r>
          </w:p>
        </w:tc>
        <w:tc>
          <w:tcPr>
            <w:tcW w:w="357" w:type="pct"/>
            <w:vMerge w:val="restart"/>
            <w:vAlign w:val="center"/>
          </w:tcPr>
          <w:p w14:paraId="56DD1634">
            <w:pPr>
              <w:widowControl w:val="0"/>
              <w:adjustRightInd w:val="0"/>
              <w:snapToGrid w:val="0"/>
              <w:jc w:val="center"/>
              <w:rPr>
                <w:rFonts w:ascii="Times New Roman" w:hAnsi="Times New Roman" w:cs="Times New Roman"/>
                <w:b/>
                <w:bCs/>
                <w:snapToGrid/>
                <w:color w:val="auto"/>
                <w:kern w:val="2"/>
                <w:sz w:val="21"/>
                <w:lang w:eastAsia="zh-CN"/>
              </w:rPr>
            </w:pPr>
            <w:r>
              <w:rPr>
                <w:rFonts w:ascii="Times New Roman" w:hAnsi="Times New Roman" w:cs="Times New Roman"/>
                <w:b/>
                <w:bCs/>
                <w:snapToGrid/>
                <w:color w:val="auto"/>
                <w:kern w:val="2"/>
                <w:sz w:val="21"/>
                <w:lang w:eastAsia="zh-CN"/>
              </w:rPr>
              <w:t>排放规律</w:t>
            </w:r>
          </w:p>
        </w:tc>
        <w:tc>
          <w:tcPr>
            <w:tcW w:w="1165" w:type="pct"/>
            <w:gridSpan w:val="2"/>
            <w:vAlign w:val="center"/>
          </w:tcPr>
          <w:p w14:paraId="7AA99F81">
            <w:pPr>
              <w:widowControl w:val="0"/>
              <w:adjustRightInd w:val="0"/>
              <w:snapToGrid w:val="0"/>
              <w:jc w:val="center"/>
              <w:rPr>
                <w:rFonts w:ascii="Times New Roman" w:hAnsi="Times New Roman" w:cs="Times New Roman"/>
                <w:b/>
                <w:bCs/>
                <w:snapToGrid/>
                <w:color w:val="auto"/>
                <w:kern w:val="2"/>
                <w:sz w:val="21"/>
                <w:lang w:eastAsia="zh-CN"/>
              </w:rPr>
            </w:pPr>
            <w:r>
              <w:rPr>
                <w:rFonts w:ascii="Times New Roman" w:hAnsi="Times New Roman" w:cs="Times New Roman"/>
                <w:b/>
                <w:bCs/>
                <w:snapToGrid/>
                <w:color w:val="auto"/>
                <w:kern w:val="2"/>
                <w:sz w:val="21"/>
                <w:lang w:eastAsia="zh-CN"/>
              </w:rPr>
              <w:t>受纳自然水体信息</w:t>
            </w:r>
          </w:p>
        </w:tc>
        <w:tc>
          <w:tcPr>
            <w:tcW w:w="1180" w:type="pct"/>
            <w:gridSpan w:val="2"/>
            <w:vAlign w:val="center"/>
          </w:tcPr>
          <w:p w14:paraId="5859172A">
            <w:pPr>
              <w:widowControl w:val="0"/>
              <w:adjustRightInd w:val="0"/>
              <w:snapToGrid w:val="0"/>
              <w:jc w:val="center"/>
              <w:rPr>
                <w:rFonts w:ascii="Times New Roman" w:hAnsi="Times New Roman" w:cs="Times New Roman"/>
                <w:b/>
                <w:bCs/>
                <w:snapToGrid/>
                <w:color w:val="auto"/>
                <w:kern w:val="2"/>
                <w:sz w:val="21"/>
                <w:lang w:eastAsia="zh-CN"/>
              </w:rPr>
            </w:pPr>
            <w:r>
              <w:rPr>
                <w:rFonts w:ascii="Times New Roman" w:hAnsi="Times New Roman" w:cs="Times New Roman"/>
                <w:b/>
                <w:bCs/>
                <w:snapToGrid/>
                <w:color w:val="auto"/>
                <w:kern w:val="2"/>
                <w:sz w:val="21"/>
                <w:lang w:eastAsia="zh-CN"/>
              </w:rPr>
              <w:t>国家或地方污染物排放标准</w:t>
            </w:r>
          </w:p>
        </w:tc>
        <w:tc>
          <w:tcPr>
            <w:tcW w:w="635" w:type="pct"/>
            <w:vMerge w:val="restart"/>
            <w:noWrap/>
            <w:vAlign w:val="center"/>
          </w:tcPr>
          <w:p w14:paraId="6CDA9779">
            <w:pPr>
              <w:widowControl w:val="0"/>
              <w:adjustRightInd w:val="0"/>
              <w:snapToGrid w:val="0"/>
              <w:jc w:val="center"/>
              <w:rPr>
                <w:rFonts w:ascii="Times New Roman" w:hAnsi="Times New Roman" w:cs="Times New Roman"/>
                <w:b/>
                <w:bCs/>
                <w:snapToGrid/>
                <w:color w:val="auto"/>
                <w:kern w:val="2"/>
                <w:sz w:val="21"/>
                <w:lang w:eastAsia="zh-CN"/>
              </w:rPr>
            </w:pPr>
            <w:r>
              <w:rPr>
                <w:rFonts w:ascii="Times New Roman" w:hAnsi="Times New Roman" w:cs="Times New Roman"/>
                <w:b/>
                <w:bCs/>
                <w:snapToGrid/>
                <w:color w:val="auto"/>
                <w:kern w:val="2"/>
                <w:sz w:val="21"/>
                <w:lang w:eastAsia="zh-CN"/>
              </w:rPr>
              <w:t>排放总量t/a</w:t>
            </w:r>
          </w:p>
        </w:tc>
      </w:tr>
      <w:tr w14:paraId="42C9F5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9" w:type="pct"/>
            <w:vMerge w:val="continue"/>
            <w:vAlign w:val="center"/>
          </w:tcPr>
          <w:p w14:paraId="136DA38B">
            <w:pPr>
              <w:widowControl w:val="0"/>
              <w:adjustRightInd w:val="0"/>
              <w:snapToGrid w:val="0"/>
              <w:jc w:val="center"/>
              <w:rPr>
                <w:rFonts w:ascii="Times New Roman" w:hAnsi="Times New Roman" w:cs="Times New Roman"/>
                <w:snapToGrid/>
                <w:color w:val="auto"/>
                <w:kern w:val="2"/>
                <w:sz w:val="21"/>
                <w:lang w:eastAsia="zh-CN"/>
              </w:rPr>
            </w:pPr>
          </w:p>
        </w:tc>
        <w:tc>
          <w:tcPr>
            <w:tcW w:w="582" w:type="pct"/>
            <w:vMerge w:val="continue"/>
            <w:vAlign w:val="center"/>
          </w:tcPr>
          <w:p w14:paraId="7027C317">
            <w:pPr>
              <w:widowControl w:val="0"/>
              <w:adjustRightInd w:val="0"/>
              <w:snapToGrid w:val="0"/>
              <w:jc w:val="center"/>
              <w:rPr>
                <w:rFonts w:ascii="Times New Roman" w:hAnsi="Times New Roman" w:cs="Times New Roman"/>
                <w:snapToGrid/>
                <w:color w:val="auto"/>
                <w:kern w:val="2"/>
                <w:sz w:val="21"/>
                <w:lang w:eastAsia="zh-CN"/>
              </w:rPr>
            </w:pPr>
          </w:p>
        </w:tc>
        <w:tc>
          <w:tcPr>
            <w:tcW w:w="582" w:type="pct"/>
            <w:vMerge w:val="continue"/>
            <w:vAlign w:val="center"/>
          </w:tcPr>
          <w:p w14:paraId="40744104">
            <w:pPr>
              <w:widowControl w:val="0"/>
              <w:adjustRightInd w:val="0"/>
              <w:snapToGrid w:val="0"/>
              <w:jc w:val="center"/>
              <w:rPr>
                <w:rFonts w:ascii="Times New Roman" w:hAnsi="Times New Roman" w:cs="Times New Roman"/>
                <w:snapToGrid/>
                <w:color w:val="auto"/>
                <w:kern w:val="2"/>
                <w:sz w:val="21"/>
                <w:lang w:eastAsia="zh-CN"/>
              </w:rPr>
            </w:pPr>
          </w:p>
        </w:tc>
        <w:tc>
          <w:tcPr>
            <w:tcW w:w="357" w:type="pct"/>
            <w:vMerge w:val="continue"/>
            <w:vAlign w:val="center"/>
          </w:tcPr>
          <w:p w14:paraId="46EF1370">
            <w:pPr>
              <w:widowControl w:val="0"/>
              <w:adjustRightInd w:val="0"/>
              <w:snapToGrid w:val="0"/>
              <w:jc w:val="center"/>
              <w:rPr>
                <w:rFonts w:ascii="Times New Roman" w:hAnsi="Times New Roman" w:cs="Times New Roman"/>
                <w:snapToGrid/>
                <w:color w:val="auto"/>
                <w:kern w:val="2"/>
                <w:sz w:val="21"/>
                <w:lang w:eastAsia="zh-CN"/>
              </w:rPr>
            </w:pPr>
          </w:p>
        </w:tc>
        <w:tc>
          <w:tcPr>
            <w:tcW w:w="407" w:type="pct"/>
            <w:vAlign w:val="center"/>
          </w:tcPr>
          <w:p w14:paraId="5CC9997C">
            <w:pPr>
              <w:widowControl w:val="0"/>
              <w:adjustRightInd w:val="0"/>
              <w:snapToGrid w:val="0"/>
              <w:jc w:val="center"/>
              <w:rPr>
                <w:rFonts w:ascii="Times New Roman" w:hAnsi="Times New Roman" w:cs="Times New Roman"/>
                <w:b/>
                <w:bCs/>
                <w:snapToGrid/>
                <w:color w:val="auto"/>
                <w:kern w:val="2"/>
                <w:sz w:val="21"/>
                <w:lang w:eastAsia="zh-CN"/>
              </w:rPr>
            </w:pPr>
            <w:r>
              <w:rPr>
                <w:rFonts w:ascii="Times New Roman" w:hAnsi="Times New Roman" w:cs="Times New Roman"/>
                <w:b/>
                <w:bCs/>
                <w:snapToGrid/>
                <w:color w:val="auto"/>
                <w:kern w:val="2"/>
                <w:sz w:val="21"/>
                <w:lang w:eastAsia="zh-CN"/>
              </w:rPr>
              <w:t>名称</w:t>
            </w:r>
          </w:p>
        </w:tc>
        <w:tc>
          <w:tcPr>
            <w:tcW w:w="758" w:type="pct"/>
            <w:vAlign w:val="center"/>
          </w:tcPr>
          <w:p w14:paraId="3D12162B">
            <w:pPr>
              <w:widowControl w:val="0"/>
              <w:adjustRightInd w:val="0"/>
              <w:snapToGrid w:val="0"/>
              <w:jc w:val="center"/>
              <w:rPr>
                <w:rFonts w:ascii="Times New Roman" w:hAnsi="Times New Roman" w:cs="Times New Roman"/>
                <w:b/>
                <w:bCs/>
                <w:snapToGrid/>
                <w:color w:val="auto"/>
                <w:kern w:val="2"/>
                <w:sz w:val="21"/>
                <w:lang w:eastAsia="zh-CN"/>
              </w:rPr>
            </w:pPr>
            <w:r>
              <w:rPr>
                <w:rFonts w:ascii="Times New Roman" w:hAnsi="Times New Roman" w:cs="Times New Roman"/>
                <w:b/>
                <w:bCs/>
                <w:snapToGrid/>
                <w:color w:val="auto"/>
                <w:kern w:val="2"/>
                <w:sz w:val="21"/>
                <w:lang w:eastAsia="zh-CN"/>
              </w:rPr>
              <w:t>受纳水体功能目标</w:t>
            </w:r>
          </w:p>
        </w:tc>
        <w:tc>
          <w:tcPr>
            <w:tcW w:w="641" w:type="pct"/>
            <w:vAlign w:val="center"/>
          </w:tcPr>
          <w:p w14:paraId="79E94D94">
            <w:pPr>
              <w:widowControl w:val="0"/>
              <w:adjustRightInd w:val="0"/>
              <w:snapToGrid w:val="0"/>
              <w:jc w:val="center"/>
              <w:rPr>
                <w:rFonts w:ascii="Times New Roman" w:hAnsi="Times New Roman" w:cs="Times New Roman"/>
                <w:b/>
                <w:bCs/>
                <w:snapToGrid/>
                <w:color w:val="auto"/>
                <w:kern w:val="2"/>
                <w:sz w:val="21"/>
                <w:lang w:eastAsia="zh-CN"/>
              </w:rPr>
            </w:pPr>
            <w:r>
              <w:rPr>
                <w:rFonts w:ascii="Times New Roman" w:hAnsi="Times New Roman" w:cs="Times New Roman"/>
                <w:b/>
                <w:bCs/>
                <w:snapToGrid/>
                <w:color w:val="auto"/>
                <w:kern w:val="2"/>
                <w:sz w:val="21"/>
                <w:lang w:eastAsia="zh-CN"/>
              </w:rPr>
              <w:t>名称</w:t>
            </w:r>
          </w:p>
        </w:tc>
        <w:tc>
          <w:tcPr>
            <w:tcW w:w="539" w:type="pct"/>
            <w:vAlign w:val="center"/>
          </w:tcPr>
          <w:p w14:paraId="06521E6E">
            <w:pPr>
              <w:widowControl w:val="0"/>
              <w:adjustRightInd w:val="0"/>
              <w:snapToGrid w:val="0"/>
              <w:jc w:val="center"/>
              <w:rPr>
                <w:rFonts w:ascii="Times New Roman" w:hAnsi="Times New Roman" w:cs="Times New Roman"/>
                <w:b/>
                <w:bCs/>
                <w:snapToGrid/>
                <w:color w:val="auto"/>
                <w:kern w:val="2"/>
                <w:sz w:val="21"/>
                <w:lang w:eastAsia="zh-CN"/>
              </w:rPr>
            </w:pPr>
            <w:r>
              <w:rPr>
                <w:rFonts w:hint="eastAsia" w:ascii="Times New Roman" w:hAnsi="Times New Roman" w:cs="Times New Roman"/>
                <w:b/>
                <w:bCs/>
                <w:snapToGrid/>
                <w:color w:val="auto"/>
                <w:kern w:val="2"/>
                <w:sz w:val="21"/>
                <w:lang w:eastAsia="zh-CN"/>
              </w:rPr>
              <w:t>限值</w:t>
            </w:r>
            <w:r>
              <w:rPr>
                <w:rFonts w:ascii="Times New Roman" w:hAnsi="Times New Roman" w:cs="Times New Roman"/>
                <w:b/>
                <w:bCs/>
                <w:snapToGrid/>
                <w:color w:val="auto"/>
                <w:kern w:val="2"/>
                <w:sz w:val="21"/>
                <w:lang w:eastAsia="zh-CN"/>
              </w:rPr>
              <w:t>(mg/</w:t>
            </w:r>
            <w:r>
              <w:rPr>
                <w:rFonts w:ascii="Times New Roman" w:hAnsi="Times New Roman" w:cs="Times New Roman"/>
                <w:b/>
                <w:bCs/>
                <w:iCs/>
                <w:snapToGrid/>
                <w:color w:val="auto"/>
                <w:kern w:val="2"/>
                <w:sz w:val="21"/>
                <w:lang w:eastAsia="zh-CN"/>
              </w:rPr>
              <w:t>L</w:t>
            </w:r>
            <w:r>
              <w:rPr>
                <w:rFonts w:ascii="Times New Roman" w:hAnsi="Times New Roman" w:cs="Times New Roman"/>
                <w:b/>
                <w:bCs/>
                <w:snapToGrid/>
                <w:color w:val="auto"/>
                <w:kern w:val="2"/>
                <w:sz w:val="21"/>
                <w:lang w:eastAsia="zh-CN"/>
              </w:rPr>
              <w:t>)</w:t>
            </w:r>
          </w:p>
        </w:tc>
        <w:tc>
          <w:tcPr>
            <w:tcW w:w="635" w:type="pct"/>
            <w:vMerge w:val="continue"/>
            <w:noWrap/>
            <w:vAlign w:val="center"/>
          </w:tcPr>
          <w:p w14:paraId="17661896">
            <w:pPr>
              <w:widowControl w:val="0"/>
              <w:adjustRightInd w:val="0"/>
              <w:snapToGrid w:val="0"/>
              <w:jc w:val="center"/>
              <w:rPr>
                <w:rFonts w:ascii="Times New Roman" w:hAnsi="Times New Roman" w:cs="Times New Roman"/>
                <w:snapToGrid/>
                <w:color w:val="auto"/>
                <w:kern w:val="2"/>
                <w:sz w:val="21"/>
                <w:lang w:eastAsia="zh-CN"/>
              </w:rPr>
            </w:pPr>
          </w:p>
        </w:tc>
      </w:tr>
      <w:tr w14:paraId="1FAB07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9" w:type="pct"/>
            <w:vMerge w:val="restart"/>
            <w:vAlign w:val="center"/>
          </w:tcPr>
          <w:p w14:paraId="58EC7138">
            <w:pPr>
              <w:widowControl w:val="0"/>
              <w:adjustRightInd w:val="0"/>
              <w:snapToGrid w:val="0"/>
              <w:jc w:val="center"/>
              <w:rPr>
                <w:rFonts w:ascii="Times New Roman" w:hAnsi="Times New Roman" w:cs="Times New Roman"/>
                <w:snapToGrid/>
                <w:color w:val="auto"/>
                <w:kern w:val="2"/>
                <w:sz w:val="21"/>
                <w:lang w:eastAsia="zh-CN"/>
              </w:rPr>
            </w:pPr>
            <w:r>
              <w:rPr>
                <w:rFonts w:ascii="Times New Roman" w:hAnsi="Times New Roman" w:cs="Times New Roman"/>
                <w:snapToGrid/>
                <w:color w:val="auto"/>
                <w:kern w:val="2"/>
                <w:sz w:val="21"/>
                <w:lang w:eastAsia="zh-CN"/>
              </w:rPr>
              <w:t>园区污水处理站总排口</w:t>
            </w:r>
          </w:p>
        </w:tc>
        <w:tc>
          <w:tcPr>
            <w:tcW w:w="582" w:type="pct"/>
            <w:vAlign w:val="center"/>
          </w:tcPr>
          <w:p w14:paraId="01C04F4F">
            <w:pPr>
              <w:widowControl w:val="0"/>
              <w:adjustRightInd w:val="0"/>
              <w:snapToGrid w:val="0"/>
              <w:jc w:val="center"/>
              <w:rPr>
                <w:rFonts w:ascii="Times New Roman" w:hAnsi="Times New Roman" w:cs="Times New Roman"/>
                <w:snapToGrid/>
                <w:color w:val="auto"/>
                <w:kern w:val="2"/>
                <w:sz w:val="21"/>
                <w:lang w:eastAsia="zh-CN"/>
              </w:rPr>
            </w:pPr>
            <w:r>
              <w:rPr>
                <w:rFonts w:ascii="Times New Roman" w:hAnsi="Times New Roman" w:cs="Times New Roman"/>
                <w:color w:val="auto"/>
                <w:sz w:val="21"/>
              </w:rPr>
              <w:t>COD</w:t>
            </w:r>
            <w:r>
              <w:rPr>
                <w:rFonts w:ascii="Times New Roman" w:hAnsi="Times New Roman" w:cs="Times New Roman"/>
                <w:color w:val="auto"/>
                <w:sz w:val="21"/>
                <w:vertAlign w:val="subscript"/>
              </w:rPr>
              <w:t>Cr</w:t>
            </w:r>
          </w:p>
        </w:tc>
        <w:tc>
          <w:tcPr>
            <w:tcW w:w="582" w:type="pct"/>
            <w:vMerge w:val="restart"/>
            <w:vAlign w:val="center"/>
          </w:tcPr>
          <w:p w14:paraId="49AF34A2">
            <w:pPr>
              <w:widowControl w:val="0"/>
              <w:adjustRightInd w:val="0"/>
              <w:snapToGrid w:val="0"/>
              <w:jc w:val="center"/>
              <w:rPr>
                <w:rFonts w:ascii="Times New Roman" w:hAnsi="Times New Roman" w:cs="Times New Roman"/>
                <w:snapToGrid/>
                <w:color w:val="auto"/>
                <w:kern w:val="2"/>
                <w:sz w:val="21"/>
                <w:lang w:eastAsia="zh-CN"/>
              </w:rPr>
            </w:pPr>
            <w:r>
              <w:rPr>
                <w:rFonts w:ascii="Times New Roman" w:hAnsi="Times New Roman" w:cs="Times New Roman"/>
                <w:snapToGrid/>
                <w:color w:val="auto"/>
                <w:kern w:val="2"/>
                <w:sz w:val="21"/>
                <w:lang w:eastAsia="zh-CN"/>
              </w:rPr>
              <w:t>最终经沫河口污水处理厂排向</w:t>
            </w:r>
            <w:r>
              <w:rPr>
                <w:rFonts w:ascii="Times New Roman" w:hAnsi="Times New Roman" w:cs="Times New Roman"/>
                <w:color w:val="auto"/>
                <w:sz w:val="21"/>
                <w:lang w:eastAsia="zh-CN"/>
              </w:rPr>
              <w:t>三铺大沟</w:t>
            </w:r>
          </w:p>
        </w:tc>
        <w:tc>
          <w:tcPr>
            <w:tcW w:w="357" w:type="pct"/>
            <w:vMerge w:val="restart"/>
            <w:vAlign w:val="center"/>
          </w:tcPr>
          <w:p w14:paraId="618307C3">
            <w:pPr>
              <w:widowControl w:val="0"/>
              <w:adjustRightInd w:val="0"/>
              <w:snapToGrid w:val="0"/>
              <w:jc w:val="center"/>
              <w:rPr>
                <w:rFonts w:ascii="Times New Roman" w:hAnsi="Times New Roman" w:cs="Times New Roman"/>
                <w:snapToGrid/>
                <w:color w:val="auto"/>
                <w:kern w:val="2"/>
                <w:sz w:val="21"/>
                <w:lang w:eastAsia="zh-CN"/>
              </w:rPr>
            </w:pPr>
            <w:r>
              <w:rPr>
                <w:rFonts w:ascii="Times New Roman" w:hAnsi="Times New Roman" w:cs="Times New Roman"/>
                <w:snapToGrid/>
                <w:color w:val="auto"/>
                <w:kern w:val="2"/>
                <w:sz w:val="21"/>
                <w:lang w:eastAsia="zh-CN"/>
              </w:rPr>
              <w:t>连续排放</w:t>
            </w:r>
          </w:p>
        </w:tc>
        <w:tc>
          <w:tcPr>
            <w:tcW w:w="407" w:type="pct"/>
            <w:vMerge w:val="restart"/>
            <w:vAlign w:val="center"/>
          </w:tcPr>
          <w:p w14:paraId="7ACDBDAC">
            <w:pPr>
              <w:widowControl w:val="0"/>
              <w:adjustRightInd w:val="0"/>
              <w:snapToGrid w:val="0"/>
              <w:jc w:val="center"/>
              <w:rPr>
                <w:rFonts w:ascii="Times New Roman" w:hAnsi="Times New Roman" w:cs="Times New Roman"/>
                <w:snapToGrid/>
                <w:color w:val="auto"/>
                <w:kern w:val="2"/>
                <w:sz w:val="21"/>
                <w:lang w:eastAsia="zh-CN"/>
              </w:rPr>
            </w:pPr>
            <w:r>
              <w:rPr>
                <w:rFonts w:ascii="Times New Roman" w:hAnsi="Times New Roman" w:cs="Times New Roman"/>
                <w:snapToGrid/>
                <w:color w:val="auto"/>
                <w:kern w:val="2"/>
                <w:sz w:val="21"/>
                <w:lang w:eastAsia="zh-CN"/>
              </w:rPr>
              <w:t>三铺大沟</w:t>
            </w:r>
          </w:p>
        </w:tc>
        <w:tc>
          <w:tcPr>
            <w:tcW w:w="758" w:type="pct"/>
            <w:vMerge w:val="restart"/>
            <w:vAlign w:val="center"/>
          </w:tcPr>
          <w:p w14:paraId="41F256A9">
            <w:pPr>
              <w:widowControl w:val="0"/>
              <w:adjustRightInd w:val="0"/>
              <w:snapToGrid w:val="0"/>
              <w:jc w:val="center"/>
              <w:rPr>
                <w:rFonts w:ascii="Times New Roman" w:hAnsi="Times New Roman" w:cs="Times New Roman"/>
                <w:snapToGrid/>
                <w:color w:val="auto"/>
                <w:kern w:val="2"/>
                <w:sz w:val="21"/>
                <w:lang w:eastAsia="zh-CN"/>
              </w:rPr>
            </w:pPr>
            <w:r>
              <w:rPr>
                <w:rFonts w:ascii="Times New Roman" w:hAnsi="Times New Roman" w:cs="Times New Roman"/>
                <w:snapToGrid/>
                <w:color w:val="auto"/>
                <w:kern w:val="2"/>
                <w:sz w:val="21"/>
                <w:lang w:eastAsia="zh-CN"/>
              </w:rPr>
              <w:t>Ⅳ类</w:t>
            </w:r>
          </w:p>
        </w:tc>
        <w:tc>
          <w:tcPr>
            <w:tcW w:w="641" w:type="pct"/>
            <w:vMerge w:val="restart"/>
            <w:vAlign w:val="center"/>
          </w:tcPr>
          <w:p w14:paraId="08F36FE2">
            <w:pPr>
              <w:widowControl w:val="0"/>
              <w:adjustRightInd w:val="0"/>
              <w:snapToGrid w:val="0"/>
              <w:jc w:val="center"/>
              <w:rPr>
                <w:rFonts w:ascii="Times New Roman" w:hAnsi="Times New Roman" w:cs="Times New Roman"/>
                <w:snapToGrid/>
                <w:color w:val="auto"/>
                <w:kern w:val="2"/>
                <w:sz w:val="21"/>
                <w:lang w:eastAsia="zh-CN"/>
              </w:rPr>
            </w:pPr>
            <w:r>
              <w:rPr>
                <w:rFonts w:ascii="Times New Roman" w:hAnsi="Times New Roman" w:cs="Times New Roman"/>
                <w:snapToGrid/>
                <w:color w:val="auto"/>
                <w:kern w:val="2"/>
                <w:sz w:val="21"/>
                <w:lang w:eastAsia="zh-CN"/>
              </w:rPr>
              <w:t>《城镇污水处理厂污染物排放标准》（GB18918-2002）</w:t>
            </w:r>
          </w:p>
          <w:p w14:paraId="7E17E672">
            <w:pPr>
              <w:widowControl w:val="0"/>
              <w:adjustRightInd w:val="0"/>
              <w:snapToGrid w:val="0"/>
              <w:jc w:val="center"/>
              <w:rPr>
                <w:rFonts w:ascii="Times New Roman" w:hAnsi="Times New Roman" w:cs="Times New Roman"/>
                <w:snapToGrid/>
                <w:color w:val="auto"/>
                <w:kern w:val="2"/>
                <w:sz w:val="21"/>
                <w:lang w:eastAsia="zh-CN"/>
              </w:rPr>
            </w:pPr>
            <w:r>
              <w:rPr>
                <w:rFonts w:ascii="Times New Roman" w:hAnsi="Times New Roman" w:cs="Times New Roman"/>
                <w:snapToGrid/>
                <w:color w:val="auto"/>
                <w:kern w:val="2"/>
                <w:sz w:val="21"/>
                <w:lang w:eastAsia="zh-CN"/>
              </w:rPr>
              <w:t>一级A标准</w:t>
            </w:r>
          </w:p>
        </w:tc>
        <w:tc>
          <w:tcPr>
            <w:tcW w:w="539" w:type="pct"/>
            <w:vAlign w:val="center"/>
          </w:tcPr>
          <w:p w14:paraId="75F0B034">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50</w:t>
            </w:r>
          </w:p>
        </w:tc>
        <w:tc>
          <w:tcPr>
            <w:tcW w:w="635" w:type="pct"/>
            <w:noWrap/>
            <w:vAlign w:val="center"/>
          </w:tcPr>
          <w:p w14:paraId="2DA4A06B">
            <w:pPr>
              <w:adjustRightInd w:val="0"/>
              <w:snapToGrid w:val="0"/>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bidi="ar"/>
              </w:rPr>
              <w:t>1.845</w:t>
            </w:r>
          </w:p>
        </w:tc>
      </w:tr>
      <w:tr w14:paraId="699680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9" w:type="pct"/>
            <w:vMerge w:val="continue"/>
            <w:vAlign w:val="center"/>
          </w:tcPr>
          <w:p w14:paraId="7F4BC982">
            <w:pPr>
              <w:widowControl w:val="0"/>
              <w:adjustRightInd w:val="0"/>
              <w:snapToGrid w:val="0"/>
              <w:jc w:val="center"/>
              <w:rPr>
                <w:rFonts w:ascii="Times New Roman" w:hAnsi="Times New Roman" w:cs="Times New Roman"/>
                <w:snapToGrid/>
                <w:color w:val="auto"/>
                <w:kern w:val="2"/>
                <w:sz w:val="21"/>
                <w:lang w:eastAsia="zh-CN"/>
              </w:rPr>
            </w:pPr>
          </w:p>
        </w:tc>
        <w:tc>
          <w:tcPr>
            <w:tcW w:w="582" w:type="pct"/>
            <w:vAlign w:val="center"/>
          </w:tcPr>
          <w:p w14:paraId="197E84C7">
            <w:pPr>
              <w:widowControl w:val="0"/>
              <w:adjustRightInd w:val="0"/>
              <w:snapToGrid w:val="0"/>
              <w:jc w:val="center"/>
              <w:rPr>
                <w:rFonts w:ascii="Times New Roman" w:hAnsi="Times New Roman" w:cs="Times New Roman"/>
                <w:snapToGrid/>
                <w:color w:val="auto"/>
                <w:kern w:val="2"/>
                <w:sz w:val="21"/>
                <w:lang w:eastAsia="zh-CN"/>
              </w:rPr>
            </w:pPr>
            <w:r>
              <w:rPr>
                <w:rFonts w:ascii="Times New Roman" w:hAnsi="Times New Roman" w:cs="Times New Roman"/>
                <w:color w:val="auto"/>
                <w:sz w:val="21"/>
              </w:rPr>
              <w:t>BOD</w:t>
            </w:r>
            <w:r>
              <w:rPr>
                <w:rFonts w:ascii="Times New Roman" w:hAnsi="Times New Roman" w:cs="Times New Roman"/>
                <w:color w:val="auto"/>
                <w:sz w:val="21"/>
                <w:vertAlign w:val="subscript"/>
              </w:rPr>
              <w:t>5</w:t>
            </w:r>
          </w:p>
        </w:tc>
        <w:tc>
          <w:tcPr>
            <w:tcW w:w="582" w:type="pct"/>
            <w:vMerge w:val="continue"/>
            <w:vAlign w:val="center"/>
          </w:tcPr>
          <w:p w14:paraId="25B88635">
            <w:pPr>
              <w:widowControl w:val="0"/>
              <w:adjustRightInd w:val="0"/>
              <w:snapToGrid w:val="0"/>
              <w:jc w:val="center"/>
              <w:rPr>
                <w:rFonts w:ascii="Times New Roman" w:hAnsi="Times New Roman" w:cs="Times New Roman"/>
                <w:snapToGrid/>
                <w:color w:val="auto"/>
                <w:kern w:val="2"/>
                <w:sz w:val="21"/>
                <w:lang w:eastAsia="zh-CN"/>
              </w:rPr>
            </w:pPr>
          </w:p>
        </w:tc>
        <w:tc>
          <w:tcPr>
            <w:tcW w:w="357" w:type="pct"/>
            <w:vMerge w:val="continue"/>
            <w:vAlign w:val="center"/>
          </w:tcPr>
          <w:p w14:paraId="330176C5">
            <w:pPr>
              <w:widowControl w:val="0"/>
              <w:adjustRightInd w:val="0"/>
              <w:snapToGrid w:val="0"/>
              <w:jc w:val="center"/>
              <w:rPr>
                <w:rFonts w:ascii="Times New Roman" w:hAnsi="Times New Roman" w:cs="Times New Roman"/>
                <w:snapToGrid/>
                <w:color w:val="auto"/>
                <w:kern w:val="2"/>
                <w:sz w:val="21"/>
                <w:lang w:eastAsia="zh-CN"/>
              </w:rPr>
            </w:pPr>
          </w:p>
        </w:tc>
        <w:tc>
          <w:tcPr>
            <w:tcW w:w="407" w:type="pct"/>
            <w:vMerge w:val="continue"/>
            <w:vAlign w:val="center"/>
          </w:tcPr>
          <w:p w14:paraId="5A364366">
            <w:pPr>
              <w:widowControl w:val="0"/>
              <w:adjustRightInd w:val="0"/>
              <w:snapToGrid w:val="0"/>
              <w:jc w:val="center"/>
              <w:rPr>
                <w:rFonts w:ascii="Times New Roman" w:hAnsi="Times New Roman" w:cs="Times New Roman"/>
                <w:snapToGrid/>
                <w:color w:val="auto"/>
                <w:kern w:val="2"/>
                <w:sz w:val="21"/>
                <w:lang w:eastAsia="zh-CN"/>
              </w:rPr>
            </w:pPr>
          </w:p>
        </w:tc>
        <w:tc>
          <w:tcPr>
            <w:tcW w:w="758" w:type="pct"/>
            <w:vMerge w:val="continue"/>
            <w:vAlign w:val="center"/>
          </w:tcPr>
          <w:p w14:paraId="6EC4861B">
            <w:pPr>
              <w:widowControl w:val="0"/>
              <w:adjustRightInd w:val="0"/>
              <w:snapToGrid w:val="0"/>
              <w:jc w:val="center"/>
              <w:rPr>
                <w:rFonts w:ascii="Times New Roman" w:hAnsi="Times New Roman" w:cs="Times New Roman"/>
                <w:snapToGrid/>
                <w:color w:val="auto"/>
                <w:kern w:val="2"/>
                <w:sz w:val="21"/>
                <w:lang w:eastAsia="zh-CN"/>
              </w:rPr>
            </w:pPr>
          </w:p>
        </w:tc>
        <w:tc>
          <w:tcPr>
            <w:tcW w:w="641" w:type="pct"/>
            <w:vMerge w:val="continue"/>
            <w:vAlign w:val="center"/>
          </w:tcPr>
          <w:p w14:paraId="0459A2C9">
            <w:pPr>
              <w:widowControl w:val="0"/>
              <w:adjustRightInd w:val="0"/>
              <w:snapToGrid w:val="0"/>
              <w:jc w:val="center"/>
              <w:rPr>
                <w:rFonts w:ascii="Times New Roman" w:hAnsi="Times New Roman" w:cs="Times New Roman"/>
                <w:snapToGrid/>
                <w:color w:val="auto"/>
                <w:kern w:val="2"/>
                <w:sz w:val="21"/>
                <w:lang w:eastAsia="zh-CN"/>
              </w:rPr>
            </w:pPr>
          </w:p>
        </w:tc>
        <w:tc>
          <w:tcPr>
            <w:tcW w:w="539" w:type="pct"/>
            <w:noWrap/>
            <w:vAlign w:val="center"/>
          </w:tcPr>
          <w:p w14:paraId="7DC6BEED">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10</w:t>
            </w:r>
          </w:p>
        </w:tc>
        <w:tc>
          <w:tcPr>
            <w:tcW w:w="635" w:type="pct"/>
            <w:noWrap/>
            <w:vAlign w:val="center"/>
          </w:tcPr>
          <w:p w14:paraId="4C9775FE">
            <w:pPr>
              <w:adjustRightInd w:val="0"/>
              <w:snapToGrid w:val="0"/>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bidi="ar"/>
              </w:rPr>
              <w:t>0.369</w:t>
            </w:r>
          </w:p>
        </w:tc>
      </w:tr>
      <w:tr w14:paraId="4ACC65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9" w:type="pct"/>
            <w:vMerge w:val="continue"/>
            <w:vAlign w:val="center"/>
          </w:tcPr>
          <w:p w14:paraId="4DD3E3F6">
            <w:pPr>
              <w:widowControl w:val="0"/>
              <w:adjustRightInd w:val="0"/>
              <w:snapToGrid w:val="0"/>
              <w:jc w:val="center"/>
              <w:rPr>
                <w:rFonts w:ascii="Times New Roman" w:hAnsi="Times New Roman" w:cs="Times New Roman"/>
                <w:snapToGrid/>
                <w:color w:val="auto"/>
                <w:kern w:val="2"/>
                <w:sz w:val="21"/>
                <w:lang w:eastAsia="zh-CN"/>
              </w:rPr>
            </w:pPr>
          </w:p>
        </w:tc>
        <w:tc>
          <w:tcPr>
            <w:tcW w:w="582" w:type="pct"/>
            <w:vAlign w:val="center"/>
          </w:tcPr>
          <w:p w14:paraId="54DD3027">
            <w:pPr>
              <w:widowControl w:val="0"/>
              <w:adjustRightInd w:val="0"/>
              <w:snapToGrid w:val="0"/>
              <w:jc w:val="center"/>
              <w:rPr>
                <w:rFonts w:ascii="Times New Roman" w:hAnsi="Times New Roman" w:cs="Times New Roman"/>
                <w:snapToGrid/>
                <w:color w:val="auto"/>
                <w:kern w:val="2"/>
                <w:sz w:val="21"/>
                <w:lang w:eastAsia="zh-CN"/>
              </w:rPr>
            </w:pPr>
            <w:r>
              <w:rPr>
                <w:rFonts w:ascii="Times New Roman" w:hAnsi="Times New Roman" w:cs="Times New Roman"/>
                <w:color w:val="auto"/>
                <w:sz w:val="21"/>
              </w:rPr>
              <w:t>SS</w:t>
            </w:r>
          </w:p>
        </w:tc>
        <w:tc>
          <w:tcPr>
            <w:tcW w:w="582" w:type="pct"/>
            <w:vMerge w:val="continue"/>
            <w:vAlign w:val="center"/>
          </w:tcPr>
          <w:p w14:paraId="448D3590">
            <w:pPr>
              <w:widowControl w:val="0"/>
              <w:adjustRightInd w:val="0"/>
              <w:snapToGrid w:val="0"/>
              <w:jc w:val="center"/>
              <w:rPr>
                <w:rFonts w:ascii="Times New Roman" w:hAnsi="Times New Roman" w:cs="Times New Roman"/>
                <w:snapToGrid/>
                <w:color w:val="auto"/>
                <w:kern w:val="2"/>
                <w:sz w:val="21"/>
                <w:lang w:eastAsia="zh-CN"/>
              </w:rPr>
            </w:pPr>
          </w:p>
        </w:tc>
        <w:tc>
          <w:tcPr>
            <w:tcW w:w="357" w:type="pct"/>
            <w:vMerge w:val="continue"/>
            <w:vAlign w:val="center"/>
          </w:tcPr>
          <w:p w14:paraId="784CB6A4">
            <w:pPr>
              <w:widowControl w:val="0"/>
              <w:adjustRightInd w:val="0"/>
              <w:snapToGrid w:val="0"/>
              <w:jc w:val="center"/>
              <w:rPr>
                <w:rFonts w:ascii="Times New Roman" w:hAnsi="Times New Roman" w:cs="Times New Roman"/>
                <w:snapToGrid/>
                <w:color w:val="auto"/>
                <w:kern w:val="2"/>
                <w:sz w:val="21"/>
                <w:lang w:eastAsia="zh-CN"/>
              </w:rPr>
            </w:pPr>
          </w:p>
        </w:tc>
        <w:tc>
          <w:tcPr>
            <w:tcW w:w="407" w:type="pct"/>
            <w:vMerge w:val="continue"/>
            <w:vAlign w:val="center"/>
          </w:tcPr>
          <w:p w14:paraId="3207AFE9">
            <w:pPr>
              <w:widowControl w:val="0"/>
              <w:adjustRightInd w:val="0"/>
              <w:snapToGrid w:val="0"/>
              <w:jc w:val="center"/>
              <w:rPr>
                <w:rFonts w:ascii="Times New Roman" w:hAnsi="Times New Roman" w:cs="Times New Roman"/>
                <w:snapToGrid/>
                <w:color w:val="auto"/>
                <w:kern w:val="2"/>
                <w:sz w:val="21"/>
                <w:lang w:eastAsia="zh-CN"/>
              </w:rPr>
            </w:pPr>
          </w:p>
        </w:tc>
        <w:tc>
          <w:tcPr>
            <w:tcW w:w="758" w:type="pct"/>
            <w:vMerge w:val="continue"/>
            <w:vAlign w:val="center"/>
          </w:tcPr>
          <w:p w14:paraId="6BF43AB5">
            <w:pPr>
              <w:widowControl w:val="0"/>
              <w:adjustRightInd w:val="0"/>
              <w:snapToGrid w:val="0"/>
              <w:jc w:val="center"/>
              <w:rPr>
                <w:rFonts w:ascii="Times New Roman" w:hAnsi="Times New Roman" w:cs="Times New Roman"/>
                <w:snapToGrid/>
                <w:color w:val="auto"/>
                <w:kern w:val="2"/>
                <w:sz w:val="21"/>
                <w:lang w:eastAsia="zh-CN"/>
              </w:rPr>
            </w:pPr>
          </w:p>
        </w:tc>
        <w:tc>
          <w:tcPr>
            <w:tcW w:w="641" w:type="pct"/>
            <w:vMerge w:val="continue"/>
            <w:vAlign w:val="center"/>
          </w:tcPr>
          <w:p w14:paraId="137D3362">
            <w:pPr>
              <w:widowControl w:val="0"/>
              <w:adjustRightInd w:val="0"/>
              <w:snapToGrid w:val="0"/>
              <w:jc w:val="center"/>
              <w:rPr>
                <w:rFonts w:ascii="Times New Roman" w:hAnsi="Times New Roman" w:cs="Times New Roman"/>
                <w:snapToGrid/>
                <w:color w:val="auto"/>
                <w:kern w:val="2"/>
                <w:sz w:val="21"/>
                <w:lang w:eastAsia="zh-CN"/>
              </w:rPr>
            </w:pPr>
          </w:p>
        </w:tc>
        <w:tc>
          <w:tcPr>
            <w:tcW w:w="539" w:type="pct"/>
            <w:noWrap/>
            <w:vAlign w:val="center"/>
          </w:tcPr>
          <w:p w14:paraId="4528F35E">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10</w:t>
            </w:r>
          </w:p>
        </w:tc>
        <w:tc>
          <w:tcPr>
            <w:tcW w:w="635" w:type="pct"/>
            <w:noWrap/>
            <w:vAlign w:val="center"/>
          </w:tcPr>
          <w:p w14:paraId="4F0D42E7">
            <w:pPr>
              <w:adjustRightInd w:val="0"/>
              <w:snapToGrid w:val="0"/>
              <w:jc w:val="center"/>
              <w:textAlignment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bidi="ar"/>
              </w:rPr>
              <w:t>0.369</w:t>
            </w:r>
          </w:p>
        </w:tc>
      </w:tr>
      <w:tr w14:paraId="41B97E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9" w:type="pct"/>
            <w:vMerge w:val="continue"/>
            <w:vAlign w:val="center"/>
          </w:tcPr>
          <w:p w14:paraId="1E4C4723">
            <w:pPr>
              <w:widowControl w:val="0"/>
              <w:adjustRightInd w:val="0"/>
              <w:snapToGrid w:val="0"/>
              <w:jc w:val="center"/>
              <w:rPr>
                <w:rFonts w:ascii="Times New Roman" w:hAnsi="Times New Roman" w:cs="Times New Roman"/>
                <w:snapToGrid/>
                <w:color w:val="auto"/>
                <w:kern w:val="2"/>
                <w:sz w:val="21"/>
                <w:lang w:eastAsia="zh-CN"/>
              </w:rPr>
            </w:pPr>
          </w:p>
        </w:tc>
        <w:tc>
          <w:tcPr>
            <w:tcW w:w="582" w:type="pct"/>
            <w:vAlign w:val="center"/>
          </w:tcPr>
          <w:p w14:paraId="6F51C6C7">
            <w:pPr>
              <w:widowControl w:val="0"/>
              <w:adjustRightInd w:val="0"/>
              <w:snapToGrid w:val="0"/>
              <w:jc w:val="center"/>
              <w:rPr>
                <w:rFonts w:ascii="Times New Roman" w:hAnsi="Times New Roman" w:cs="Times New Roman"/>
                <w:snapToGrid/>
                <w:color w:val="auto"/>
                <w:kern w:val="2"/>
                <w:sz w:val="21"/>
                <w:lang w:eastAsia="zh-CN"/>
              </w:rPr>
            </w:pPr>
            <w:r>
              <w:rPr>
                <w:rFonts w:ascii="Times New Roman" w:hAnsi="Times New Roman" w:cs="Times New Roman"/>
                <w:color w:val="auto"/>
                <w:sz w:val="21"/>
              </w:rPr>
              <w:t>NH</w:t>
            </w:r>
            <w:r>
              <w:rPr>
                <w:rFonts w:ascii="Times New Roman" w:hAnsi="Times New Roman" w:cs="Times New Roman"/>
                <w:color w:val="auto"/>
                <w:sz w:val="21"/>
                <w:vertAlign w:val="subscript"/>
              </w:rPr>
              <w:t>3</w:t>
            </w:r>
            <w:r>
              <w:rPr>
                <w:rFonts w:ascii="Times New Roman" w:hAnsi="Times New Roman" w:cs="Times New Roman"/>
                <w:color w:val="auto"/>
                <w:sz w:val="21"/>
              </w:rPr>
              <w:t>-N</w:t>
            </w:r>
          </w:p>
        </w:tc>
        <w:tc>
          <w:tcPr>
            <w:tcW w:w="582" w:type="pct"/>
            <w:vMerge w:val="continue"/>
            <w:vAlign w:val="center"/>
          </w:tcPr>
          <w:p w14:paraId="2F43C1EC">
            <w:pPr>
              <w:widowControl w:val="0"/>
              <w:adjustRightInd w:val="0"/>
              <w:snapToGrid w:val="0"/>
              <w:jc w:val="center"/>
              <w:rPr>
                <w:rFonts w:ascii="Times New Roman" w:hAnsi="Times New Roman" w:cs="Times New Roman"/>
                <w:snapToGrid/>
                <w:color w:val="auto"/>
                <w:kern w:val="2"/>
                <w:sz w:val="21"/>
                <w:lang w:eastAsia="zh-CN"/>
              </w:rPr>
            </w:pPr>
          </w:p>
        </w:tc>
        <w:tc>
          <w:tcPr>
            <w:tcW w:w="357" w:type="pct"/>
            <w:vMerge w:val="continue"/>
            <w:vAlign w:val="center"/>
          </w:tcPr>
          <w:p w14:paraId="55733780">
            <w:pPr>
              <w:widowControl w:val="0"/>
              <w:adjustRightInd w:val="0"/>
              <w:snapToGrid w:val="0"/>
              <w:jc w:val="center"/>
              <w:rPr>
                <w:rFonts w:ascii="Times New Roman" w:hAnsi="Times New Roman" w:cs="Times New Roman"/>
                <w:snapToGrid/>
                <w:color w:val="auto"/>
                <w:kern w:val="2"/>
                <w:sz w:val="21"/>
                <w:lang w:eastAsia="zh-CN"/>
              </w:rPr>
            </w:pPr>
          </w:p>
        </w:tc>
        <w:tc>
          <w:tcPr>
            <w:tcW w:w="407" w:type="pct"/>
            <w:vMerge w:val="continue"/>
            <w:vAlign w:val="center"/>
          </w:tcPr>
          <w:p w14:paraId="40250F41">
            <w:pPr>
              <w:widowControl w:val="0"/>
              <w:adjustRightInd w:val="0"/>
              <w:snapToGrid w:val="0"/>
              <w:jc w:val="center"/>
              <w:rPr>
                <w:rFonts w:ascii="Times New Roman" w:hAnsi="Times New Roman" w:cs="Times New Roman"/>
                <w:snapToGrid/>
                <w:color w:val="auto"/>
                <w:kern w:val="2"/>
                <w:sz w:val="21"/>
                <w:lang w:eastAsia="zh-CN"/>
              </w:rPr>
            </w:pPr>
          </w:p>
        </w:tc>
        <w:tc>
          <w:tcPr>
            <w:tcW w:w="758" w:type="pct"/>
            <w:vMerge w:val="continue"/>
            <w:vAlign w:val="center"/>
          </w:tcPr>
          <w:p w14:paraId="68C6FDB6">
            <w:pPr>
              <w:widowControl w:val="0"/>
              <w:adjustRightInd w:val="0"/>
              <w:snapToGrid w:val="0"/>
              <w:jc w:val="center"/>
              <w:rPr>
                <w:rFonts w:ascii="Times New Roman" w:hAnsi="Times New Roman" w:cs="Times New Roman"/>
                <w:snapToGrid/>
                <w:color w:val="auto"/>
                <w:kern w:val="2"/>
                <w:sz w:val="21"/>
                <w:lang w:eastAsia="zh-CN"/>
              </w:rPr>
            </w:pPr>
          </w:p>
        </w:tc>
        <w:tc>
          <w:tcPr>
            <w:tcW w:w="641" w:type="pct"/>
            <w:vMerge w:val="continue"/>
            <w:vAlign w:val="center"/>
          </w:tcPr>
          <w:p w14:paraId="35002BCD">
            <w:pPr>
              <w:widowControl w:val="0"/>
              <w:adjustRightInd w:val="0"/>
              <w:snapToGrid w:val="0"/>
              <w:jc w:val="center"/>
              <w:rPr>
                <w:rFonts w:ascii="Times New Roman" w:hAnsi="Times New Roman" w:cs="Times New Roman"/>
                <w:snapToGrid/>
                <w:color w:val="auto"/>
                <w:kern w:val="2"/>
                <w:sz w:val="21"/>
                <w:lang w:eastAsia="zh-CN"/>
              </w:rPr>
            </w:pPr>
          </w:p>
        </w:tc>
        <w:tc>
          <w:tcPr>
            <w:tcW w:w="539" w:type="pct"/>
            <w:noWrap/>
            <w:vAlign w:val="center"/>
          </w:tcPr>
          <w:p w14:paraId="629D148A">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bidi="ar"/>
              </w:rPr>
              <w:t>5</w:t>
            </w:r>
          </w:p>
        </w:tc>
        <w:tc>
          <w:tcPr>
            <w:tcW w:w="635" w:type="pct"/>
            <w:noWrap/>
            <w:vAlign w:val="center"/>
          </w:tcPr>
          <w:p w14:paraId="3F29CD65">
            <w:pPr>
              <w:adjustRightInd w:val="0"/>
              <w:snapToGrid w:val="0"/>
              <w:jc w:val="center"/>
              <w:textAlignment w:val="center"/>
              <w:rPr>
                <w:rFonts w:ascii="Times New Roman" w:hAnsi="Times New Roman" w:cs="Times New Roman"/>
                <w:color w:val="auto"/>
                <w:sz w:val="20"/>
                <w:szCs w:val="20"/>
                <w:lang w:eastAsia="zh-CN" w:bidi="ar"/>
              </w:rPr>
            </w:pPr>
            <w:r>
              <w:rPr>
                <w:rFonts w:hint="eastAsia" w:ascii="Times New Roman" w:hAnsi="Times New Roman" w:cs="Times New Roman"/>
                <w:sz w:val="21"/>
                <w:lang w:eastAsia="zh-CN" w:bidi="ar"/>
              </w:rPr>
              <w:t>0.184</w:t>
            </w:r>
          </w:p>
        </w:tc>
      </w:tr>
      <w:tr w14:paraId="0B7D02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9" w:type="pct"/>
            <w:vMerge w:val="continue"/>
            <w:vAlign w:val="center"/>
          </w:tcPr>
          <w:p w14:paraId="043D644E">
            <w:pPr>
              <w:widowControl w:val="0"/>
              <w:adjustRightInd w:val="0"/>
              <w:snapToGrid w:val="0"/>
              <w:jc w:val="center"/>
              <w:rPr>
                <w:rFonts w:ascii="Times New Roman" w:hAnsi="Times New Roman" w:cs="Times New Roman"/>
                <w:snapToGrid/>
                <w:color w:val="auto"/>
                <w:kern w:val="2"/>
                <w:sz w:val="21"/>
                <w:lang w:eastAsia="zh-CN"/>
              </w:rPr>
            </w:pPr>
          </w:p>
        </w:tc>
        <w:tc>
          <w:tcPr>
            <w:tcW w:w="582" w:type="pct"/>
            <w:vAlign w:val="center"/>
          </w:tcPr>
          <w:p w14:paraId="423DB351">
            <w:pPr>
              <w:widowControl w:val="0"/>
              <w:adjustRightInd w:val="0"/>
              <w:snapToGrid w:val="0"/>
              <w:jc w:val="center"/>
              <w:rPr>
                <w:rFonts w:ascii="Times New Roman" w:hAnsi="Times New Roman" w:cs="Times New Roman"/>
                <w:snapToGrid/>
                <w:color w:val="auto"/>
                <w:kern w:val="2"/>
                <w:sz w:val="21"/>
                <w:lang w:eastAsia="zh-CN"/>
              </w:rPr>
            </w:pPr>
            <w:r>
              <w:rPr>
                <w:rFonts w:hint="eastAsia" w:ascii="Times New Roman" w:hAnsi="Times New Roman" w:cs="Times New Roman"/>
                <w:color w:val="auto"/>
                <w:sz w:val="21"/>
                <w:lang w:eastAsia="zh-CN"/>
              </w:rPr>
              <w:t>氟化物</w:t>
            </w:r>
          </w:p>
        </w:tc>
        <w:tc>
          <w:tcPr>
            <w:tcW w:w="582" w:type="pct"/>
            <w:vMerge w:val="continue"/>
            <w:vAlign w:val="center"/>
          </w:tcPr>
          <w:p w14:paraId="5414FFFE">
            <w:pPr>
              <w:widowControl w:val="0"/>
              <w:adjustRightInd w:val="0"/>
              <w:snapToGrid w:val="0"/>
              <w:jc w:val="center"/>
              <w:rPr>
                <w:rFonts w:ascii="Times New Roman" w:hAnsi="Times New Roman" w:cs="Times New Roman"/>
                <w:snapToGrid/>
                <w:color w:val="auto"/>
                <w:kern w:val="2"/>
                <w:sz w:val="21"/>
                <w:lang w:eastAsia="zh-CN"/>
              </w:rPr>
            </w:pPr>
          </w:p>
        </w:tc>
        <w:tc>
          <w:tcPr>
            <w:tcW w:w="357" w:type="pct"/>
            <w:vMerge w:val="continue"/>
            <w:vAlign w:val="center"/>
          </w:tcPr>
          <w:p w14:paraId="44AD9DBF">
            <w:pPr>
              <w:widowControl w:val="0"/>
              <w:adjustRightInd w:val="0"/>
              <w:snapToGrid w:val="0"/>
              <w:jc w:val="center"/>
              <w:rPr>
                <w:rFonts w:ascii="Times New Roman" w:hAnsi="Times New Roman" w:cs="Times New Roman"/>
                <w:snapToGrid/>
                <w:color w:val="auto"/>
                <w:kern w:val="2"/>
                <w:sz w:val="21"/>
                <w:lang w:eastAsia="zh-CN"/>
              </w:rPr>
            </w:pPr>
          </w:p>
        </w:tc>
        <w:tc>
          <w:tcPr>
            <w:tcW w:w="407" w:type="pct"/>
            <w:vMerge w:val="continue"/>
            <w:vAlign w:val="center"/>
          </w:tcPr>
          <w:p w14:paraId="5389867F">
            <w:pPr>
              <w:widowControl w:val="0"/>
              <w:adjustRightInd w:val="0"/>
              <w:snapToGrid w:val="0"/>
              <w:jc w:val="center"/>
              <w:rPr>
                <w:rFonts w:ascii="Times New Roman" w:hAnsi="Times New Roman" w:cs="Times New Roman"/>
                <w:snapToGrid/>
                <w:color w:val="auto"/>
                <w:kern w:val="2"/>
                <w:sz w:val="21"/>
                <w:lang w:eastAsia="zh-CN"/>
              </w:rPr>
            </w:pPr>
          </w:p>
        </w:tc>
        <w:tc>
          <w:tcPr>
            <w:tcW w:w="758" w:type="pct"/>
            <w:vMerge w:val="continue"/>
            <w:vAlign w:val="center"/>
          </w:tcPr>
          <w:p w14:paraId="5DF9955E">
            <w:pPr>
              <w:widowControl w:val="0"/>
              <w:adjustRightInd w:val="0"/>
              <w:snapToGrid w:val="0"/>
              <w:jc w:val="center"/>
              <w:rPr>
                <w:rFonts w:ascii="Times New Roman" w:hAnsi="Times New Roman" w:cs="Times New Roman"/>
                <w:snapToGrid/>
                <w:color w:val="auto"/>
                <w:kern w:val="2"/>
                <w:sz w:val="21"/>
                <w:lang w:eastAsia="zh-CN"/>
              </w:rPr>
            </w:pPr>
          </w:p>
        </w:tc>
        <w:tc>
          <w:tcPr>
            <w:tcW w:w="641" w:type="pct"/>
            <w:vMerge w:val="continue"/>
            <w:vAlign w:val="center"/>
          </w:tcPr>
          <w:p w14:paraId="4AE4322E">
            <w:pPr>
              <w:widowControl w:val="0"/>
              <w:adjustRightInd w:val="0"/>
              <w:snapToGrid w:val="0"/>
              <w:jc w:val="center"/>
              <w:rPr>
                <w:rFonts w:ascii="Times New Roman" w:hAnsi="Times New Roman" w:cs="Times New Roman"/>
                <w:snapToGrid/>
                <w:color w:val="auto"/>
                <w:kern w:val="2"/>
                <w:sz w:val="21"/>
                <w:lang w:eastAsia="zh-CN"/>
              </w:rPr>
            </w:pPr>
          </w:p>
        </w:tc>
        <w:tc>
          <w:tcPr>
            <w:tcW w:w="539" w:type="pct"/>
            <w:noWrap/>
            <w:vAlign w:val="center"/>
          </w:tcPr>
          <w:p w14:paraId="2F65F24B">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w:t>
            </w:r>
          </w:p>
        </w:tc>
        <w:tc>
          <w:tcPr>
            <w:tcW w:w="635" w:type="pct"/>
            <w:noWrap/>
            <w:vAlign w:val="center"/>
          </w:tcPr>
          <w:p w14:paraId="750CEA14">
            <w:pPr>
              <w:adjustRightInd w:val="0"/>
              <w:snapToGrid w:val="0"/>
              <w:jc w:val="center"/>
              <w:textAlignment w:val="center"/>
              <w:rPr>
                <w:rFonts w:ascii="Times New Roman" w:hAnsi="Times New Roman" w:cs="Times New Roman"/>
                <w:color w:val="auto"/>
                <w:sz w:val="20"/>
                <w:szCs w:val="20"/>
                <w:lang w:eastAsia="zh-CN" w:bidi="ar"/>
              </w:rPr>
            </w:pPr>
            <w:r>
              <w:rPr>
                <w:rFonts w:hint="eastAsia" w:ascii="Times New Roman" w:hAnsi="Times New Roman" w:cs="Times New Roman"/>
                <w:color w:val="auto"/>
                <w:sz w:val="21"/>
                <w:lang w:eastAsia="zh-CN" w:bidi="ar"/>
              </w:rPr>
              <w:t>0.022</w:t>
            </w:r>
          </w:p>
        </w:tc>
      </w:tr>
      <w:tr w14:paraId="5CD1C5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9" w:type="pct"/>
            <w:vMerge w:val="continue"/>
            <w:vAlign w:val="center"/>
          </w:tcPr>
          <w:p w14:paraId="55D0A8CA">
            <w:pPr>
              <w:widowControl w:val="0"/>
              <w:adjustRightInd w:val="0"/>
              <w:snapToGrid w:val="0"/>
              <w:jc w:val="center"/>
              <w:rPr>
                <w:rFonts w:ascii="Times New Roman" w:hAnsi="Times New Roman" w:cs="Times New Roman"/>
                <w:snapToGrid/>
                <w:color w:val="auto"/>
                <w:kern w:val="2"/>
                <w:sz w:val="21"/>
                <w:lang w:eastAsia="zh-CN"/>
              </w:rPr>
            </w:pPr>
          </w:p>
        </w:tc>
        <w:tc>
          <w:tcPr>
            <w:tcW w:w="582" w:type="pct"/>
            <w:vAlign w:val="center"/>
          </w:tcPr>
          <w:p w14:paraId="40E822A7">
            <w:pPr>
              <w:widowControl w:val="0"/>
              <w:adjustRightInd w:val="0"/>
              <w:snapToGrid w:val="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氯化物</w:t>
            </w:r>
          </w:p>
        </w:tc>
        <w:tc>
          <w:tcPr>
            <w:tcW w:w="582" w:type="pct"/>
            <w:vMerge w:val="continue"/>
            <w:vAlign w:val="center"/>
          </w:tcPr>
          <w:p w14:paraId="24862F45">
            <w:pPr>
              <w:widowControl w:val="0"/>
              <w:adjustRightInd w:val="0"/>
              <w:snapToGrid w:val="0"/>
              <w:jc w:val="center"/>
              <w:rPr>
                <w:rFonts w:ascii="Times New Roman" w:hAnsi="Times New Roman" w:cs="Times New Roman"/>
                <w:snapToGrid/>
                <w:color w:val="auto"/>
                <w:kern w:val="2"/>
                <w:sz w:val="21"/>
                <w:lang w:eastAsia="zh-CN"/>
              </w:rPr>
            </w:pPr>
          </w:p>
        </w:tc>
        <w:tc>
          <w:tcPr>
            <w:tcW w:w="357" w:type="pct"/>
            <w:vMerge w:val="continue"/>
            <w:vAlign w:val="center"/>
          </w:tcPr>
          <w:p w14:paraId="4AD0324C">
            <w:pPr>
              <w:widowControl w:val="0"/>
              <w:adjustRightInd w:val="0"/>
              <w:snapToGrid w:val="0"/>
              <w:jc w:val="center"/>
              <w:rPr>
                <w:rFonts w:ascii="Times New Roman" w:hAnsi="Times New Roman" w:cs="Times New Roman"/>
                <w:snapToGrid/>
                <w:color w:val="auto"/>
                <w:kern w:val="2"/>
                <w:sz w:val="21"/>
                <w:lang w:eastAsia="zh-CN"/>
              </w:rPr>
            </w:pPr>
          </w:p>
        </w:tc>
        <w:tc>
          <w:tcPr>
            <w:tcW w:w="407" w:type="pct"/>
            <w:vMerge w:val="continue"/>
            <w:vAlign w:val="center"/>
          </w:tcPr>
          <w:p w14:paraId="30266B59">
            <w:pPr>
              <w:widowControl w:val="0"/>
              <w:adjustRightInd w:val="0"/>
              <w:snapToGrid w:val="0"/>
              <w:jc w:val="center"/>
              <w:rPr>
                <w:rFonts w:ascii="Times New Roman" w:hAnsi="Times New Roman" w:cs="Times New Roman"/>
                <w:snapToGrid/>
                <w:color w:val="auto"/>
                <w:kern w:val="2"/>
                <w:sz w:val="21"/>
                <w:lang w:eastAsia="zh-CN"/>
              </w:rPr>
            </w:pPr>
          </w:p>
        </w:tc>
        <w:tc>
          <w:tcPr>
            <w:tcW w:w="758" w:type="pct"/>
            <w:vMerge w:val="continue"/>
            <w:vAlign w:val="center"/>
          </w:tcPr>
          <w:p w14:paraId="4CF0F1B9">
            <w:pPr>
              <w:widowControl w:val="0"/>
              <w:adjustRightInd w:val="0"/>
              <w:snapToGrid w:val="0"/>
              <w:jc w:val="center"/>
              <w:rPr>
                <w:rFonts w:ascii="Times New Roman" w:hAnsi="Times New Roman" w:cs="Times New Roman"/>
                <w:snapToGrid/>
                <w:color w:val="auto"/>
                <w:kern w:val="2"/>
                <w:sz w:val="21"/>
                <w:lang w:eastAsia="zh-CN"/>
              </w:rPr>
            </w:pPr>
          </w:p>
        </w:tc>
        <w:tc>
          <w:tcPr>
            <w:tcW w:w="641" w:type="pct"/>
            <w:vMerge w:val="continue"/>
            <w:vAlign w:val="center"/>
          </w:tcPr>
          <w:p w14:paraId="52762F7B">
            <w:pPr>
              <w:widowControl w:val="0"/>
              <w:adjustRightInd w:val="0"/>
              <w:snapToGrid w:val="0"/>
              <w:jc w:val="center"/>
              <w:rPr>
                <w:rFonts w:ascii="Times New Roman" w:hAnsi="Times New Roman" w:cs="Times New Roman"/>
                <w:snapToGrid/>
                <w:color w:val="auto"/>
                <w:kern w:val="2"/>
                <w:sz w:val="21"/>
                <w:lang w:eastAsia="zh-CN"/>
              </w:rPr>
            </w:pPr>
          </w:p>
        </w:tc>
        <w:tc>
          <w:tcPr>
            <w:tcW w:w="539" w:type="pct"/>
            <w:noWrap/>
            <w:vAlign w:val="center"/>
          </w:tcPr>
          <w:p w14:paraId="1B086365">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w:t>
            </w:r>
          </w:p>
        </w:tc>
        <w:tc>
          <w:tcPr>
            <w:tcW w:w="635" w:type="pct"/>
            <w:noWrap/>
            <w:vAlign w:val="center"/>
          </w:tcPr>
          <w:p w14:paraId="2BD9C7C6">
            <w:pPr>
              <w:adjustRightInd w:val="0"/>
              <w:snapToGrid w:val="0"/>
              <w:jc w:val="center"/>
              <w:textAlignment w:val="center"/>
              <w:rPr>
                <w:rFonts w:ascii="Times New Roman" w:hAnsi="Times New Roman" w:cs="Times New Roman"/>
                <w:color w:val="auto"/>
                <w:sz w:val="21"/>
                <w:lang w:eastAsia="zh-CN" w:bidi="ar"/>
              </w:rPr>
            </w:pPr>
            <w:r>
              <w:rPr>
                <w:rFonts w:hint="eastAsia" w:ascii="Times New Roman" w:hAnsi="Times New Roman" w:cs="Times New Roman"/>
                <w:color w:val="auto"/>
                <w:sz w:val="21"/>
                <w:lang w:eastAsia="zh-CN" w:bidi="ar"/>
              </w:rPr>
              <w:t>15.889</w:t>
            </w:r>
          </w:p>
        </w:tc>
      </w:tr>
      <w:tr w14:paraId="1FBEA2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9" w:type="pct"/>
            <w:vMerge w:val="continue"/>
            <w:vAlign w:val="center"/>
          </w:tcPr>
          <w:p w14:paraId="76969A81">
            <w:pPr>
              <w:widowControl w:val="0"/>
              <w:adjustRightInd w:val="0"/>
              <w:snapToGrid w:val="0"/>
              <w:jc w:val="center"/>
              <w:rPr>
                <w:rFonts w:ascii="Times New Roman" w:hAnsi="Times New Roman" w:cs="Times New Roman"/>
                <w:snapToGrid/>
                <w:color w:val="auto"/>
                <w:kern w:val="2"/>
                <w:sz w:val="21"/>
                <w:lang w:eastAsia="zh-CN"/>
              </w:rPr>
            </w:pPr>
          </w:p>
        </w:tc>
        <w:tc>
          <w:tcPr>
            <w:tcW w:w="582" w:type="pct"/>
            <w:vAlign w:val="center"/>
          </w:tcPr>
          <w:p w14:paraId="0AB246D8">
            <w:pPr>
              <w:widowControl w:val="0"/>
              <w:adjustRightInd w:val="0"/>
              <w:snapToGrid w:val="0"/>
              <w:jc w:val="center"/>
              <w:rPr>
                <w:rFonts w:ascii="Times New Roman" w:hAnsi="Times New Roman" w:cs="Times New Roman"/>
                <w:snapToGrid/>
                <w:color w:val="auto"/>
                <w:kern w:val="2"/>
                <w:sz w:val="21"/>
                <w:lang w:eastAsia="zh-CN"/>
              </w:rPr>
            </w:pPr>
            <w:r>
              <w:rPr>
                <w:rFonts w:ascii="Times New Roman" w:hAnsi="Times New Roman" w:cs="Times New Roman"/>
                <w:color w:val="auto"/>
                <w:sz w:val="21"/>
                <w:lang w:eastAsia="zh-CN"/>
              </w:rPr>
              <w:t>总盐</w:t>
            </w:r>
          </w:p>
        </w:tc>
        <w:tc>
          <w:tcPr>
            <w:tcW w:w="582" w:type="pct"/>
            <w:vMerge w:val="continue"/>
            <w:vAlign w:val="center"/>
          </w:tcPr>
          <w:p w14:paraId="7454893C">
            <w:pPr>
              <w:widowControl w:val="0"/>
              <w:adjustRightInd w:val="0"/>
              <w:snapToGrid w:val="0"/>
              <w:jc w:val="center"/>
              <w:rPr>
                <w:rFonts w:ascii="Times New Roman" w:hAnsi="Times New Roman" w:cs="Times New Roman"/>
                <w:snapToGrid/>
                <w:color w:val="auto"/>
                <w:kern w:val="2"/>
                <w:sz w:val="21"/>
                <w:lang w:eastAsia="zh-CN"/>
              </w:rPr>
            </w:pPr>
          </w:p>
        </w:tc>
        <w:tc>
          <w:tcPr>
            <w:tcW w:w="357" w:type="pct"/>
            <w:vMerge w:val="continue"/>
            <w:vAlign w:val="center"/>
          </w:tcPr>
          <w:p w14:paraId="6A21A88C">
            <w:pPr>
              <w:widowControl w:val="0"/>
              <w:adjustRightInd w:val="0"/>
              <w:snapToGrid w:val="0"/>
              <w:jc w:val="center"/>
              <w:rPr>
                <w:rFonts w:ascii="Times New Roman" w:hAnsi="Times New Roman" w:cs="Times New Roman"/>
                <w:snapToGrid/>
                <w:color w:val="auto"/>
                <w:kern w:val="2"/>
                <w:sz w:val="21"/>
                <w:lang w:eastAsia="zh-CN"/>
              </w:rPr>
            </w:pPr>
          </w:p>
        </w:tc>
        <w:tc>
          <w:tcPr>
            <w:tcW w:w="407" w:type="pct"/>
            <w:vMerge w:val="continue"/>
            <w:vAlign w:val="center"/>
          </w:tcPr>
          <w:p w14:paraId="284BF67A">
            <w:pPr>
              <w:widowControl w:val="0"/>
              <w:adjustRightInd w:val="0"/>
              <w:snapToGrid w:val="0"/>
              <w:jc w:val="center"/>
              <w:rPr>
                <w:rFonts w:ascii="Times New Roman" w:hAnsi="Times New Roman" w:cs="Times New Roman"/>
                <w:snapToGrid/>
                <w:color w:val="auto"/>
                <w:kern w:val="2"/>
                <w:sz w:val="21"/>
                <w:lang w:eastAsia="zh-CN"/>
              </w:rPr>
            </w:pPr>
          </w:p>
        </w:tc>
        <w:tc>
          <w:tcPr>
            <w:tcW w:w="758" w:type="pct"/>
            <w:vMerge w:val="continue"/>
            <w:vAlign w:val="center"/>
          </w:tcPr>
          <w:p w14:paraId="053B6437">
            <w:pPr>
              <w:widowControl w:val="0"/>
              <w:adjustRightInd w:val="0"/>
              <w:snapToGrid w:val="0"/>
              <w:jc w:val="center"/>
              <w:rPr>
                <w:rFonts w:ascii="Times New Roman" w:hAnsi="Times New Roman" w:cs="Times New Roman"/>
                <w:snapToGrid/>
                <w:color w:val="auto"/>
                <w:kern w:val="2"/>
                <w:sz w:val="21"/>
                <w:lang w:eastAsia="zh-CN"/>
              </w:rPr>
            </w:pPr>
          </w:p>
        </w:tc>
        <w:tc>
          <w:tcPr>
            <w:tcW w:w="641" w:type="pct"/>
            <w:vMerge w:val="continue"/>
            <w:vAlign w:val="center"/>
          </w:tcPr>
          <w:p w14:paraId="528046CE">
            <w:pPr>
              <w:widowControl w:val="0"/>
              <w:adjustRightInd w:val="0"/>
              <w:snapToGrid w:val="0"/>
              <w:jc w:val="center"/>
              <w:rPr>
                <w:rFonts w:ascii="Times New Roman" w:hAnsi="Times New Roman" w:cs="Times New Roman"/>
                <w:snapToGrid/>
                <w:color w:val="auto"/>
                <w:kern w:val="2"/>
                <w:sz w:val="21"/>
                <w:lang w:eastAsia="zh-CN"/>
              </w:rPr>
            </w:pPr>
          </w:p>
        </w:tc>
        <w:tc>
          <w:tcPr>
            <w:tcW w:w="539" w:type="pct"/>
            <w:noWrap/>
            <w:vAlign w:val="center"/>
          </w:tcPr>
          <w:p w14:paraId="1E2928DA">
            <w:pPr>
              <w:adjustRightInd w:val="0"/>
              <w:snapToGrid w:val="0"/>
              <w:jc w:val="center"/>
              <w:textAlignment w:val="center"/>
              <w:rPr>
                <w:rFonts w:ascii="Times New Roman" w:hAnsi="Times New Roman" w:cs="Times New Roman"/>
                <w:color w:val="auto"/>
                <w:sz w:val="21"/>
                <w:lang w:eastAsia="zh-CN" w:bidi="ar"/>
              </w:rPr>
            </w:pPr>
            <w:r>
              <w:rPr>
                <w:rFonts w:ascii="Times New Roman" w:hAnsi="Times New Roman" w:cs="Times New Roman"/>
                <w:color w:val="auto"/>
                <w:sz w:val="21"/>
                <w:lang w:eastAsia="zh-CN"/>
              </w:rPr>
              <w:t>/</w:t>
            </w:r>
          </w:p>
        </w:tc>
        <w:tc>
          <w:tcPr>
            <w:tcW w:w="635" w:type="pct"/>
            <w:noWrap/>
            <w:vAlign w:val="center"/>
          </w:tcPr>
          <w:p w14:paraId="2C10E8C5">
            <w:pPr>
              <w:adjustRightInd w:val="0"/>
              <w:snapToGrid w:val="0"/>
              <w:jc w:val="center"/>
              <w:textAlignment w:val="center"/>
              <w:rPr>
                <w:rFonts w:ascii="Times New Roman" w:hAnsi="Times New Roman" w:cs="Times New Roman"/>
                <w:color w:val="auto"/>
                <w:sz w:val="20"/>
                <w:szCs w:val="20"/>
                <w:lang w:eastAsia="zh-CN" w:bidi="ar"/>
              </w:rPr>
            </w:pPr>
            <w:r>
              <w:rPr>
                <w:rFonts w:hint="eastAsia" w:ascii="Times New Roman" w:hAnsi="Times New Roman" w:cs="Times New Roman"/>
                <w:color w:val="auto"/>
                <w:sz w:val="21"/>
                <w:lang w:eastAsia="zh-CN"/>
              </w:rPr>
              <w:t>26.23</w:t>
            </w:r>
          </w:p>
        </w:tc>
      </w:tr>
    </w:tbl>
    <w:p w14:paraId="4629F168">
      <w:pPr>
        <w:spacing w:line="360" w:lineRule="auto"/>
        <w:jc w:val="center"/>
        <w:rPr>
          <w:rFonts w:ascii="Times New Roman" w:hAnsi="Times New Roman" w:cs="Times New Roman"/>
          <w:b/>
          <w:bCs/>
          <w:color w:val="auto"/>
          <w:lang w:eastAsia="zh-CN"/>
        </w:rPr>
      </w:pPr>
    </w:p>
    <w:p w14:paraId="572C151D">
      <w:pPr>
        <w:spacing w:line="360" w:lineRule="auto"/>
        <w:jc w:val="center"/>
        <w:rPr>
          <w:rFonts w:ascii="Times New Roman" w:hAnsi="Times New Roman" w:cs="Times New Roman"/>
          <w:b/>
          <w:bCs/>
          <w:color w:val="auto"/>
          <w:lang w:eastAsia="zh-CN"/>
        </w:rPr>
      </w:pPr>
    </w:p>
    <w:bookmarkEnd w:id="2594"/>
    <w:p w14:paraId="2216A3DC">
      <w:pPr>
        <w:spacing w:line="360" w:lineRule="auto"/>
        <w:ind w:firstLine="482"/>
        <w:outlineLvl w:val="2"/>
        <w:rPr>
          <w:rFonts w:ascii="Times New Roman" w:hAnsi="Times New Roman" w:cs="Times New Roman"/>
          <w:b/>
          <w:bCs/>
          <w:color w:val="auto"/>
          <w:lang w:eastAsia="zh-CN"/>
        </w:rPr>
      </w:pPr>
      <w:bookmarkStart w:id="2595" w:name="_Toc173740404"/>
      <w:bookmarkStart w:id="2596" w:name="_Toc203927131"/>
      <w:bookmarkStart w:id="2597" w:name="_Toc231828710"/>
      <w:bookmarkStart w:id="2598" w:name="_Toc225784189"/>
      <w:bookmarkStart w:id="2599" w:name="_Toc224674827"/>
      <w:bookmarkStart w:id="2600" w:name="_Toc223425187"/>
      <w:bookmarkStart w:id="2601" w:name="_Toc175164398"/>
      <w:bookmarkStart w:id="2602" w:name="_Toc237508422"/>
      <w:bookmarkStart w:id="2603" w:name="_Toc204448595"/>
      <w:bookmarkStart w:id="2604" w:name="_Toc236641957"/>
      <w:bookmarkStart w:id="2605" w:name="_Toc221900969"/>
      <w:bookmarkStart w:id="2606" w:name="_Toc204515330"/>
      <w:bookmarkStart w:id="2607" w:name="_Toc217662801"/>
      <w:bookmarkStart w:id="2608" w:name="_Toc173743508"/>
      <w:bookmarkStart w:id="2609" w:name="_Toc178602479"/>
      <w:bookmarkStart w:id="2610" w:name="_Toc218784413"/>
      <w:bookmarkStart w:id="2611" w:name="_Toc172555770"/>
      <w:bookmarkStart w:id="2612" w:name="_Toc176513134"/>
      <w:r>
        <w:rPr>
          <w:rFonts w:ascii="Times New Roman" w:hAnsi="Times New Roman" w:cs="Times New Roman"/>
          <w:b/>
          <w:bCs/>
          <w:color w:val="auto"/>
          <w:lang w:eastAsia="zh-CN"/>
        </w:rPr>
        <w:t>10.2.3 总量控制</w:t>
      </w:r>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p>
    <w:p w14:paraId="6A417CD2">
      <w:pPr>
        <w:widowControl w:val="0"/>
        <w:spacing w:line="360" w:lineRule="auto"/>
        <w:ind w:firstLine="480" w:firstLineChars="200"/>
        <w:jc w:val="both"/>
        <w:rPr>
          <w:rFonts w:ascii="Times New Roman" w:hAnsi="Times New Roman" w:cs="Times New Roman"/>
          <w:color w:val="000000" w:themeColor="text1"/>
          <w:lang w:eastAsia="zh-CN"/>
          <w14:textFill>
            <w14:solidFill>
              <w14:schemeClr w14:val="tx1"/>
            </w14:solidFill>
          </w14:textFill>
        </w:rPr>
      </w:pPr>
      <w:bookmarkStart w:id="2613" w:name="_Toc10115"/>
      <w:r>
        <w:rPr>
          <w:rFonts w:ascii="Times New Roman" w:hAnsi="Times New Roman" w:cs="Times New Roman"/>
          <w:color w:val="000000" w:themeColor="text1"/>
          <w:lang w:eastAsia="zh-CN"/>
          <w14:textFill>
            <w14:solidFill>
              <w14:schemeClr w14:val="tx1"/>
            </w14:solidFill>
          </w14:textFill>
        </w:rPr>
        <w:t>根据</w:t>
      </w:r>
      <w:r>
        <w:rPr>
          <w:rFonts w:hint="eastAsia" w:ascii="Times New Roman" w:hAnsi="Times New Roman" w:cs="Times New Roman"/>
          <w:color w:val="000000" w:themeColor="text1"/>
          <w:lang w:eastAsia="zh-CN"/>
          <w14:textFill>
            <w14:solidFill>
              <w14:schemeClr w14:val="tx1"/>
            </w14:solidFill>
          </w14:textFill>
        </w:rPr>
        <w:t>本</w:t>
      </w:r>
      <w:r>
        <w:rPr>
          <w:rFonts w:ascii="Times New Roman" w:hAnsi="Times New Roman" w:cs="Times New Roman"/>
          <w:color w:val="000000" w:themeColor="text1"/>
          <w:lang w:eastAsia="zh-CN"/>
          <w14:textFill>
            <w14:solidFill>
              <w14:schemeClr w14:val="tx1"/>
            </w14:solidFill>
          </w14:textFill>
        </w:rPr>
        <w:t>项目工程分析，拟建项目废气污染物</w:t>
      </w:r>
      <w:r>
        <w:rPr>
          <w:rFonts w:hint="eastAsia" w:ascii="Times New Roman" w:hAnsi="Times New Roman" w:cs="Times New Roman"/>
          <w:color w:val="000000" w:themeColor="text1"/>
          <w:lang w:eastAsia="zh-CN"/>
          <w14:textFill>
            <w14:solidFill>
              <w14:schemeClr w14:val="tx1"/>
            </w14:solidFill>
          </w14:textFill>
        </w:rPr>
        <w:t>排放量为氟化物:0.052t/a、氯化氢:0.005</w:t>
      </w:r>
      <w:r>
        <w:rPr>
          <w:rFonts w:ascii="Times New Roman" w:hAnsi="Times New Roman" w:cs="Times New Roman"/>
          <w:color w:val="000000" w:themeColor="text1"/>
          <w:lang w:eastAsia="zh-CN"/>
          <w14:textFill>
            <w14:solidFill>
              <w14:schemeClr w14:val="tx1"/>
            </w14:solidFill>
          </w14:textFill>
        </w:rPr>
        <w:t>t/a</w:t>
      </w:r>
      <w:r>
        <w:rPr>
          <w:rFonts w:hint="eastAsia" w:ascii="Times New Roman" w:hAnsi="Times New Roman" w:cs="Times New Roman"/>
          <w:color w:val="000000" w:themeColor="text1"/>
          <w:lang w:eastAsia="zh-CN"/>
          <w14:textFill>
            <w14:solidFill>
              <w14:schemeClr w14:val="tx1"/>
            </w14:solidFill>
          </w14:textFill>
        </w:rPr>
        <w:t>，</w:t>
      </w:r>
      <w:r>
        <w:rPr>
          <w:rFonts w:ascii="Times New Roman" w:hAnsi="Times New Roman" w:cs="Times New Roman"/>
          <w:color w:val="000000" w:themeColor="text1"/>
          <w:lang w:eastAsia="zh-CN"/>
          <w14:textFill>
            <w14:solidFill>
              <w14:schemeClr w14:val="tx1"/>
            </w14:solidFill>
          </w14:textFill>
        </w:rPr>
        <w:t>废水污染物</w:t>
      </w:r>
      <w:r>
        <w:rPr>
          <w:rFonts w:hint="eastAsia" w:ascii="Times New Roman" w:hAnsi="Times New Roman" w:cs="Times New Roman"/>
          <w:color w:val="000000" w:themeColor="text1"/>
          <w:lang w:eastAsia="zh-CN"/>
          <w14:textFill>
            <w14:solidFill>
              <w14:schemeClr w14:val="tx1"/>
            </w14:solidFill>
          </w14:textFill>
        </w:rPr>
        <w:t>排放量为</w:t>
      </w:r>
      <w:r>
        <w:rPr>
          <w:rFonts w:ascii="Times New Roman" w:hAnsi="Times New Roman" w:cs="Times New Roman"/>
          <w:color w:val="000000" w:themeColor="text1"/>
          <w:lang w:eastAsia="zh-CN"/>
          <w14:textFill>
            <w14:solidFill>
              <w14:schemeClr w14:val="tx1"/>
            </w14:solidFill>
          </w14:textFill>
        </w:rPr>
        <w:t>COD:</w:t>
      </w:r>
      <w:r>
        <w:rPr>
          <w:rFonts w:hint="eastAsia" w:ascii="Times New Roman" w:hAnsi="Times New Roman" w:cs="Times New Roman"/>
          <w:color w:val="000000" w:themeColor="text1"/>
          <w:lang w:eastAsia="zh-CN"/>
          <w14:textFill>
            <w14:solidFill>
              <w14:schemeClr w14:val="tx1"/>
            </w14:solidFill>
          </w14:textFill>
        </w:rPr>
        <w:t>1.845</w:t>
      </w:r>
      <w:r>
        <w:rPr>
          <w:rFonts w:ascii="Times New Roman" w:hAnsi="Times New Roman" w:cs="Times New Roman"/>
          <w:color w:val="000000" w:themeColor="text1"/>
          <w:lang w:eastAsia="zh-CN"/>
          <w14:textFill>
            <w14:solidFill>
              <w14:schemeClr w14:val="tx1"/>
            </w14:solidFill>
          </w14:textFill>
        </w:rPr>
        <w:t>t/a、NH</w:t>
      </w:r>
      <w:r>
        <w:rPr>
          <w:rFonts w:ascii="Times New Roman" w:hAnsi="Times New Roman" w:cs="Times New Roman"/>
          <w:color w:val="000000" w:themeColor="text1"/>
          <w:vertAlign w:val="subscript"/>
          <w:lang w:eastAsia="zh-CN"/>
          <w14:textFill>
            <w14:solidFill>
              <w14:schemeClr w14:val="tx1"/>
            </w14:solidFill>
          </w14:textFill>
        </w:rPr>
        <w:t>3</w:t>
      </w:r>
      <w:r>
        <w:rPr>
          <w:rFonts w:ascii="Times New Roman" w:hAnsi="Times New Roman" w:cs="Times New Roman"/>
          <w:color w:val="000000" w:themeColor="text1"/>
          <w:lang w:eastAsia="zh-CN"/>
          <w14:textFill>
            <w14:solidFill>
              <w14:schemeClr w14:val="tx1"/>
            </w14:solidFill>
          </w14:textFill>
        </w:rPr>
        <w:t>-N</w:t>
      </w:r>
      <w:r>
        <w:rPr>
          <w:rFonts w:hint="eastAsia" w:ascii="Times New Roman" w:hAnsi="Times New Roman" w:cs="Times New Roman"/>
          <w:color w:val="000000" w:themeColor="text1"/>
          <w:lang w:eastAsia="zh-CN"/>
          <w14:textFill>
            <w14:solidFill>
              <w14:schemeClr w14:val="tx1"/>
            </w14:solidFill>
          </w14:textFill>
        </w:rPr>
        <w:t>:</w:t>
      </w:r>
      <w:r>
        <w:rPr>
          <w:rFonts w:ascii="Times New Roman" w:hAnsi="Times New Roman" w:cs="Times New Roman"/>
          <w:color w:val="000000" w:themeColor="text1"/>
          <w:lang w:eastAsia="zh-CN"/>
          <w14:textFill>
            <w14:solidFill>
              <w14:schemeClr w14:val="tx1"/>
            </w14:solidFill>
          </w14:textFill>
        </w:rPr>
        <w:t>0.</w:t>
      </w:r>
      <w:r>
        <w:rPr>
          <w:rFonts w:hint="eastAsia" w:ascii="Times New Roman" w:hAnsi="Times New Roman" w:cs="Times New Roman"/>
          <w:color w:val="000000" w:themeColor="text1"/>
          <w:lang w:eastAsia="zh-CN"/>
          <w14:textFill>
            <w14:solidFill>
              <w14:schemeClr w14:val="tx1"/>
            </w14:solidFill>
          </w14:textFill>
        </w:rPr>
        <w:t>184t</w:t>
      </w:r>
      <w:r>
        <w:rPr>
          <w:rFonts w:ascii="Times New Roman" w:hAnsi="Times New Roman" w:cs="Times New Roman"/>
          <w:color w:val="000000" w:themeColor="text1"/>
          <w:lang w:eastAsia="zh-CN"/>
          <w14:textFill>
            <w14:solidFill>
              <w14:schemeClr w14:val="tx1"/>
            </w14:solidFill>
          </w14:textFill>
        </w:rPr>
        <w:t>/a。</w:t>
      </w:r>
    </w:p>
    <w:p w14:paraId="04488AD4">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根据《安徽省环保厅关于进一步加强建设项目新增大气主要污染物总量指标管理工作的通知》（皖环发〔2017〕19号）要求：建设项目新增大气主要污染物总量指标包括：烟（粉）尘、挥发性有机物（VOCs）、SO</w:t>
      </w:r>
      <w:r>
        <w:rPr>
          <w:rFonts w:ascii="Times New Roman" w:hAnsi="Times New Roman" w:cs="Times New Roman"/>
          <w:color w:val="auto"/>
          <w:vertAlign w:val="subscript"/>
          <w:lang w:eastAsia="zh-CN"/>
        </w:rPr>
        <w:t>2</w:t>
      </w:r>
      <w:r>
        <w:rPr>
          <w:rFonts w:ascii="Times New Roman" w:hAnsi="Times New Roman" w:cs="Times New Roman"/>
          <w:color w:val="auto"/>
          <w:lang w:eastAsia="zh-CN"/>
        </w:rPr>
        <w:t>、NOx</w:t>
      </w:r>
      <w:r>
        <w:rPr>
          <w:rFonts w:hint="eastAsia" w:ascii="Times New Roman" w:hAnsi="Times New Roman" w:cs="Times New Roman"/>
          <w:color w:val="auto"/>
          <w:lang w:eastAsia="zh-CN"/>
        </w:rPr>
        <w:t>，故本项目大气污染物氟化物、氯化氢无需申请总量。</w:t>
      </w:r>
    </w:p>
    <w:p w14:paraId="5E4088FA">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根据2023年12月29日安徽省生态环境厅、发改委员会、财政厅、金融监督管理局联合发布了关于印发《安徽省排污权有偿使用和交易管理办法（试行）》、《安徽省排污权交易规则（试行）》、《安徽省排污权储备和出让管理办法（试行）》、《安徽省排污权租赁管理办法（试行）》的通知（皖环发[2023]72号），自2024年1月1日起，全省排污单位新改扩建项目需要新增二氧化硫（SO</w:t>
      </w:r>
      <w:r>
        <w:rPr>
          <w:rFonts w:ascii="Times New Roman" w:hAnsi="Times New Roman" w:cs="Times New Roman"/>
          <w:color w:val="auto"/>
          <w:vertAlign w:val="subscript"/>
          <w:lang w:eastAsia="zh-CN"/>
        </w:rPr>
        <w:t>2</w:t>
      </w:r>
      <w:r>
        <w:rPr>
          <w:rFonts w:ascii="Times New Roman" w:hAnsi="Times New Roman" w:cs="Times New Roman"/>
          <w:color w:val="auto"/>
          <w:lang w:eastAsia="zh-CN"/>
        </w:rPr>
        <w:t>）、氮氧化物（NOx）、化学需氧量（COD）、氨氮（NH</w:t>
      </w:r>
      <w:r>
        <w:rPr>
          <w:rFonts w:ascii="Times New Roman" w:hAnsi="Times New Roman" w:cs="Times New Roman"/>
          <w:color w:val="auto"/>
          <w:vertAlign w:val="subscript"/>
          <w:lang w:eastAsia="zh-CN"/>
        </w:rPr>
        <w:t>3</w:t>
      </w:r>
      <w:r>
        <w:rPr>
          <w:rFonts w:ascii="Times New Roman" w:hAnsi="Times New Roman" w:cs="Times New Roman"/>
          <w:color w:val="auto"/>
          <w:lang w:eastAsia="zh-CN"/>
        </w:rPr>
        <w:t>-N）4项污染物排污权，在申请排污许可证前，应通过市场交易的方式有偿获得。</w:t>
      </w:r>
    </w:p>
    <w:p w14:paraId="071696D9">
      <w:pPr>
        <w:widowControl w:val="0"/>
        <w:spacing w:line="360" w:lineRule="auto"/>
        <w:ind w:firstLine="480" w:firstLineChars="200"/>
        <w:jc w:val="both"/>
        <w:rPr>
          <w:rFonts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根据</w:t>
      </w:r>
      <w:r>
        <w:rPr>
          <w:rFonts w:ascii="Times New Roman" w:hAnsi="Times New Roman" w:cs="Times New Roman"/>
          <w:color w:val="000000" w:themeColor="text1"/>
          <w:lang w:eastAsia="zh-CN"/>
          <w14:textFill>
            <w14:solidFill>
              <w14:schemeClr w14:val="tx1"/>
            </w14:solidFill>
          </w14:textFill>
        </w:rPr>
        <w:t>《排污许可证申请与核发技术规范 无机化学工业》（HJ1035-2019）、《排污许可证申请与核发技术规范 电子工业》（HJ1035-2019）</w:t>
      </w:r>
      <w:r>
        <w:rPr>
          <w:rFonts w:hint="eastAsia" w:ascii="Times New Roman" w:hAnsi="Times New Roman" w:cs="Times New Roman"/>
          <w:color w:val="000000" w:themeColor="text1"/>
          <w:lang w:eastAsia="zh-CN"/>
          <w14:textFill>
            <w14:solidFill>
              <w14:schemeClr w14:val="tx1"/>
            </w14:solidFill>
          </w14:textFill>
        </w:rPr>
        <w:t>，项目废水排放口为一般排放口</w:t>
      </w:r>
      <w:r>
        <w:rPr>
          <w:rFonts w:ascii="Times New Roman" w:hAnsi="Times New Roman" w:cs="Times New Roman"/>
          <w:bCs/>
          <w:color w:val="000000" w:themeColor="text1"/>
          <w:lang w:eastAsia="zh-CN"/>
          <w14:textFill>
            <w14:solidFill>
              <w14:schemeClr w14:val="tx1"/>
            </w14:solidFill>
          </w14:textFill>
        </w:rPr>
        <w:t>，无需许可排放量，</w:t>
      </w:r>
      <w:r>
        <w:rPr>
          <w:rFonts w:hint="eastAsia" w:ascii="Times New Roman" w:hAnsi="Times New Roman" w:cs="Times New Roman"/>
          <w:color w:val="000000" w:themeColor="text1"/>
          <w:lang w:eastAsia="zh-CN"/>
          <w14:textFill>
            <w14:solidFill>
              <w14:schemeClr w14:val="tx1"/>
            </w14:solidFill>
          </w14:textFill>
        </w:rPr>
        <w:t>废水污染物</w:t>
      </w:r>
      <w:r>
        <w:rPr>
          <w:rFonts w:ascii="Times New Roman" w:hAnsi="Times New Roman" w:cs="Times New Roman"/>
          <w:color w:val="000000" w:themeColor="text1"/>
          <w:lang w:eastAsia="zh-CN"/>
          <w14:textFill>
            <w14:solidFill>
              <w14:schemeClr w14:val="tx1"/>
            </w14:solidFill>
          </w14:textFill>
        </w:rPr>
        <w:t>COD、NH</w:t>
      </w:r>
      <w:r>
        <w:rPr>
          <w:rFonts w:ascii="Times New Roman" w:hAnsi="Times New Roman" w:cs="Times New Roman"/>
          <w:color w:val="000000" w:themeColor="text1"/>
          <w:vertAlign w:val="subscript"/>
          <w:lang w:eastAsia="zh-CN"/>
          <w14:textFill>
            <w14:solidFill>
              <w14:schemeClr w14:val="tx1"/>
            </w14:solidFill>
          </w14:textFill>
        </w:rPr>
        <w:t>3</w:t>
      </w:r>
      <w:r>
        <w:rPr>
          <w:rFonts w:ascii="Times New Roman" w:hAnsi="Times New Roman" w:cs="Times New Roman"/>
          <w:color w:val="000000" w:themeColor="text1"/>
          <w:lang w:eastAsia="zh-CN"/>
          <w14:textFill>
            <w14:solidFill>
              <w14:schemeClr w14:val="tx1"/>
            </w14:solidFill>
          </w14:textFill>
        </w:rPr>
        <w:t>-N</w:t>
      </w:r>
      <w:r>
        <w:rPr>
          <w:rFonts w:hint="eastAsia" w:ascii="Times New Roman" w:hAnsi="Times New Roman" w:cs="Times New Roman"/>
          <w:color w:val="000000" w:themeColor="text1"/>
          <w:lang w:eastAsia="zh-CN"/>
          <w14:textFill>
            <w14:solidFill>
              <w14:schemeClr w14:val="tx1"/>
            </w14:solidFill>
          </w14:textFill>
        </w:rPr>
        <w:t>无需进行排污权交易。</w:t>
      </w:r>
    </w:p>
    <w:p w14:paraId="27A0CAB0">
      <w:pPr>
        <w:widowControl w:val="0"/>
        <w:overflowPunct w:val="0"/>
        <w:topLinePunct/>
        <w:spacing w:line="360" w:lineRule="auto"/>
        <w:ind w:firstLine="482" w:firstLineChars="200"/>
        <w:jc w:val="both"/>
        <w:rPr>
          <w:rFonts w:ascii="Times New Roman" w:hAnsi="Times New Roman" w:cs="Times New Roman"/>
          <w:b/>
          <w:bCs/>
          <w:color w:val="000000" w:themeColor="text1"/>
          <w:lang w:eastAsia="zh-CN"/>
          <w14:textFill>
            <w14:solidFill>
              <w14:schemeClr w14:val="tx1"/>
            </w14:solidFill>
          </w14:textFill>
        </w:rPr>
      </w:pPr>
      <w:r>
        <w:rPr>
          <w:rFonts w:hint="eastAsia" w:ascii="Times New Roman" w:hAnsi="Times New Roman" w:cs="Times New Roman"/>
          <w:b/>
          <w:bCs/>
          <w:color w:val="000000" w:themeColor="text1"/>
          <w:lang w:eastAsia="zh-CN"/>
          <w14:textFill>
            <w14:solidFill>
              <w14:schemeClr w14:val="tx1"/>
            </w14:solidFill>
          </w14:textFill>
        </w:rPr>
        <w:t>现有工程废水排放量为</w:t>
      </w:r>
      <w:r>
        <w:rPr>
          <w:rFonts w:ascii="Times New Roman" w:hAnsi="Times New Roman" w:cs="Times New Roman"/>
          <w:b/>
          <w:bCs/>
          <w:color w:val="000000" w:themeColor="text1"/>
          <w:lang w:eastAsia="zh-CN"/>
          <w14:textFill>
            <w14:solidFill>
              <w14:schemeClr w14:val="tx1"/>
            </w14:solidFill>
          </w14:textFill>
        </w:rPr>
        <w:t>45795</w:t>
      </w:r>
      <w:r>
        <w:rPr>
          <w:rFonts w:hint="eastAsia" w:ascii="Times New Roman" w:hAnsi="Times New Roman" w:cs="Times New Roman"/>
          <w:b/>
          <w:bCs/>
          <w:color w:val="000000" w:themeColor="text1"/>
          <w:lang w:eastAsia="zh-CN"/>
          <w14:textFill>
            <w14:solidFill>
              <w14:schemeClr w14:val="tx1"/>
            </w14:solidFill>
          </w14:textFill>
        </w:rPr>
        <w:t>t/a，现有工程废水污染物</w:t>
      </w:r>
      <w:r>
        <w:rPr>
          <w:rFonts w:ascii="Times New Roman" w:hAnsi="Times New Roman" w:cs="Times New Roman"/>
          <w:b/>
          <w:bCs/>
          <w:color w:val="000000" w:themeColor="text1"/>
          <w:lang w:eastAsia="zh-CN"/>
          <w14:textFill>
            <w14:solidFill>
              <w14:schemeClr w14:val="tx1"/>
            </w14:solidFill>
          </w14:textFill>
        </w:rPr>
        <w:t>COD</w:t>
      </w:r>
      <w:r>
        <w:rPr>
          <w:rFonts w:hint="eastAsia" w:ascii="Times New Roman" w:hAnsi="Times New Roman" w:cs="Times New Roman"/>
          <w:b/>
          <w:bCs/>
          <w:color w:val="000000" w:themeColor="text1"/>
          <w:lang w:eastAsia="zh-CN"/>
          <w14:textFill>
            <w14:solidFill>
              <w14:schemeClr w14:val="tx1"/>
            </w14:solidFill>
          </w14:textFill>
        </w:rPr>
        <w:t>排放量为2.212</w:t>
      </w:r>
      <w:r>
        <w:rPr>
          <w:rFonts w:ascii="Times New Roman" w:hAnsi="Times New Roman" w:cs="Times New Roman"/>
          <w:b/>
          <w:bCs/>
          <w:color w:val="000000" w:themeColor="text1"/>
          <w:lang w:eastAsia="zh-CN"/>
          <w14:textFill>
            <w14:solidFill>
              <w14:schemeClr w14:val="tx1"/>
            </w14:solidFill>
          </w14:textFill>
        </w:rPr>
        <w:t>t/a、NH</w:t>
      </w:r>
      <w:r>
        <w:rPr>
          <w:rFonts w:ascii="Times New Roman" w:hAnsi="Times New Roman" w:cs="Times New Roman"/>
          <w:b/>
          <w:bCs/>
          <w:color w:val="000000" w:themeColor="text1"/>
          <w:vertAlign w:val="subscript"/>
          <w:lang w:eastAsia="zh-CN"/>
          <w14:textFill>
            <w14:solidFill>
              <w14:schemeClr w14:val="tx1"/>
            </w14:solidFill>
          </w14:textFill>
        </w:rPr>
        <w:t>3</w:t>
      </w:r>
      <w:r>
        <w:rPr>
          <w:rFonts w:ascii="Times New Roman" w:hAnsi="Times New Roman" w:cs="Times New Roman"/>
          <w:b/>
          <w:bCs/>
          <w:color w:val="000000" w:themeColor="text1"/>
          <w:lang w:eastAsia="zh-CN"/>
          <w14:textFill>
            <w14:solidFill>
              <w14:schemeClr w14:val="tx1"/>
            </w14:solidFill>
          </w14:textFill>
        </w:rPr>
        <w:t>-N</w:t>
      </w:r>
      <w:r>
        <w:rPr>
          <w:rFonts w:hint="eastAsia" w:ascii="Times New Roman" w:hAnsi="Times New Roman" w:cs="Times New Roman"/>
          <w:b/>
          <w:bCs/>
          <w:color w:val="000000" w:themeColor="text1"/>
          <w:lang w:eastAsia="zh-CN"/>
          <w14:textFill>
            <w14:solidFill>
              <w14:schemeClr w14:val="tx1"/>
            </w14:solidFill>
          </w14:textFill>
        </w:rPr>
        <w:t>排放量为</w:t>
      </w:r>
      <w:r>
        <w:rPr>
          <w:rFonts w:ascii="Times New Roman" w:hAnsi="Times New Roman" w:cs="Times New Roman"/>
          <w:b/>
          <w:bCs/>
          <w:color w:val="000000" w:themeColor="text1"/>
          <w:lang w:eastAsia="zh-CN"/>
          <w14:textFill>
            <w14:solidFill>
              <w14:schemeClr w14:val="tx1"/>
            </w14:solidFill>
          </w14:textFill>
        </w:rPr>
        <w:t>0.</w:t>
      </w:r>
      <w:r>
        <w:rPr>
          <w:rFonts w:hint="eastAsia" w:ascii="Times New Roman" w:hAnsi="Times New Roman" w:cs="Times New Roman"/>
          <w:b/>
          <w:bCs/>
          <w:color w:val="000000" w:themeColor="text1"/>
          <w:lang w:eastAsia="zh-CN"/>
          <w14:textFill>
            <w14:solidFill>
              <w14:schemeClr w14:val="tx1"/>
            </w14:solidFill>
          </w14:textFill>
        </w:rPr>
        <w:t>221t</w:t>
      </w:r>
      <w:r>
        <w:rPr>
          <w:rFonts w:ascii="Times New Roman" w:hAnsi="Times New Roman" w:cs="Times New Roman"/>
          <w:b/>
          <w:bCs/>
          <w:color w:val="000000" w:themeColor="text1"/>
          <w:lang w:eastAsia="zh-CN"/>
          <w14:textFill>
            <w14:solidFill>
              <w14:schemeClr w14:val="tx1"/>
            </w14:solidFill>
          </w14:textFill>
        </w:rPr>
        <w:t>/a</w:t>
      </w:r>
      <w:r>
        <w:rPr>
          <w:rFonts w:hint="eastAsia" w:ascii="Times New Roman" w:hAnsi="Times New Roman" w:cs="Times New Roman"/>
          <w:b/>
          <w:bCs/>
          <w:color w:val="000000" w:themeColor="text1"/>
          <w:lang w:eastAsia="zh-CN"/>
          <w14:textFill>
            <w14:solidFill>
              <w14:schemeClr w14:val="tx1"/>
            </w14:solidFill>
          </w14:textFill>
        </w:rPr>
        <w:t>。改扩建项目建成后，全厂废水排放量为44639.1t/a，废水污染物</w:t>
      </w:r>
      <w:r>
        <w:rPr>
          <w:rFonts w:ascii="Times New Roman" w:hAnsi="Times New Roman" w:cs="Times New Roman"/>
          <w:b/>
          <w:bCs/>
          <w:color w:val="000000" w:themeColor="text1"/>
          <w:lang w:eastAsia="zh-CN"/>
          <w14:textFill>
            <w14:solidFill>
              <w14:schemeClr w14:val="tx1"/>
            </w14:solidFill>
          </w14:textFill>
        </w:rPr>
        <w:t>COD</w:t>
      </w:r>
      <w:r>
        <w:rPr>
          <w:rFonts w:hint="eastAsia" w:ascii="Times New Roman" w:hAnsi="Times New Roman" w:cs="Times New Roman"/>
          <w:b/>
          <w:bCs/>
          <w:color w:val="000000" w:themeColor="text1"/>
          <w:lang w:eastAsia="zh-CN"/>
          <w14:textFill>
            <w14:solidFill>
              <w14:schemeClr w14:val="tx1"/>
            </w14:solidFill>
          </w14:textFill>
        </w:rPr>
        <w:t>排放量为2.223</w:t>
      </w:r>
      <w:r>
        <w:rPr>
          <w:rFonts w:ascii="Times New Roman" w:hAnsi="Times New Roman" w:cs="Times New Roman"/>
          <w:b/>
          <w:bCs/>
          <w:color w:val="000000" w:themeColor="text1"/>
          <w:lang w:eastAsia="zh-CN"/>
          <w14:textFill>
            <w14:solidFill>
              <w14:schemeClr w14:val="tx1"/>
            </w14:solidFill>
          </w14:textFill>
        </w:rPr>
        <w:t>t/a、NH</w:t>
      </w:r>
      <w:r>
        <w:rPr>
          <w:rFonts w:ascii="Times New Roman" w:hAnsi="Times New Roman" w:cs="Times New Roman"/>
          <w:b/>
          <w:bCs/>
          <w:color w:val="000000" w:themeColor="text1"/>
          <w:vertAlign w:val="subscript"/>
          <w:lang w:eastAsia="zh-CN"/>
          <w14:textFill>
            <w14:solidFill>
              <w14:schemeClr w14:val="tx1"/>
            </w14:solidFill>
          </w14:textFill>
        </w:rPr>
        <w:t>3</w:t>
      </w:r>
      <w:r>
        <w:rPr>
          <w:rFonts w:ascii="Times New Roman" w:hAnsi="Times New Roman" w:cs="Times New Roman"/>
          <w:b/>
          <w:bCs/>
          <w:color w:val="000000" w:themeColor="text1"/>
          <w:lang w:eastAsia="zh-CN"/>
          <w14:textFill>
            <w14:solidFill>
              <w14:schemeClr w14:val="tx1"/>
            </w14:solidFill>
          </w14:textFill>
        </w:rPr>
        <w:t>-N</w:t>
      </w:r>
      <w:r>
        <w:rPr>
          <w:rFonts w:hint="eastAsia" w:ascii="Times New Roman" w:hAnsi="Times New Roman" w:cs="Times New Roman"/>
          <w:b/>
          <w:bCs/>
          <w:color w:val="000000" w:themeColor="text1"/>
          <w:lang w:eastAsia="zh-CN"/>
          <w14:textFill>
            <w14:solidFill>
              <w14:schemeClr w14:val="tx1"/>
            </w14:solidFill>
          </w14:textFill>
        </w:rPr>
        <w:t>排放量为</w:t>
      </w:r>
      <w:r>
        <w:rPr>
          <w:rFonts w:ascii="Times New Roman" w:hAnsi="Times New Roman" w:cs="Times New Roman"/>
          <w:b/>
          <w:bCs/>
          <w:color w:val="000000" w:themeColor="text1"/>
          <w:lang w:eastAsia="zh-CN"/>
          <w14:textFill>
            <w14:solidFill>
              <w14:schemeClr w14:val="tx1"/>
            </w14:solidFill>
          </w14:textFill>
        </w:rPr>
        <w:t>0.</w:t>
      </w:r>
      <w:r>
        <w:rPr>
          <w:rFonts w:hint="eastAsia" w:ascii="Times New Roman" w:hAnsi="Times New Roman" w:cs="Times New Roman"/>
          <w:b/>
          <w:bCs/>
          <w:color w:val="000000" w:themeColor="text1"/>
          <w:lang w:eastAsia="zh-CN"/>
          <w14:textFill>
            <w14:solidFill>
              <w14:schemeClr w14:val="tx1"/>
            </w14:solidFill>
          </w14:textFill>
        </w:rPr>
        <w:t>222t</w:t>
      </w:r>
      <w:r>
        <w:rPr>
          <w:rFonts w:ascii="Times New Roman" w:hAnsi="Times New Roman" w:cs="Times New Roman"/>
          <w:b/>
          <w:bCs/>
          <w:color w:val="000000" w:themeColor="text1"/>
          <w:lang w:eastAsia="zh-CN"/>
          <w14:textFill>
            <w14:solidFill>
              <w14:schemeClr w14:val="tx1"/>
            </w14:solidFill>
          </w14:textFill>
        </w:rPr>
        <w:t>/a</w:t>
      </w:r>
      <w:r>
        <w:rPr>
          <w:rFonts w:hint="eastAsia" w:ascii="Times New Roman" w:hAnsi="Times New Roman" w:cs="Times New Roman"/>
          <w:b/>
          <w:bCs/>
          <w:color w:val="000000" w:themeColor="text1"/>
          <w:lang w:eastAsia="zh-CN"/>
          <w14:textFill>
            <w14:solidFill>
              <w14:schemeClr w14:val="tx1"/>
            </w14:solidFill>
          </w14:textFill>
        </w:rPr>
        <w:t>，全厂废水排放量减少，废水污染物COD、</w:t>
      </w:r>
      <w:r>
        <w:rPr>
          <w:rFonts w:ascii="Times New Roman" w:hAnsi="Times New Roman" w:cs="Times New Roman"/>
          <w:b/>
          <w:bCs/>
          <w:color w:val="000000" w:themeColor="text1"/>
          <w:lang w:eastAsia="zh-CN"/>
          <w14:textFill>
            <w14:solidFill>
              <w14:schemeClr w14:val="tx1"/>
            </w14:solidFill>
          </w14:textFill>
        </w:rPr>
        <w:t>NH</w:t>
      </w:r>
      <w:r>
        <w:rPr>
          <w:rFonts w:ascii="Times New Roman" w:hAnsi="Times New Roman" w:cs="Times New Roman"/>
          <w:b/>
          <w:bCs/>
          <w:color w:val="000000" w:themeColor="text1"/>
          <w:vertAlign w:val="subscript"/>
          <w:lang w:eastAsia="zh-CN"/>
          <w14:textFill>
            <w14:solidFill>
              <w14:schemeClr w14:val="tx1"/>
            </w14:solidFill>
          </w14:textFill>
        </w:rPr>
        <w:t>3</w:t>
      </w:r>
      <w:r>
        <w:rPr>
          <w:rFonts w:ascii="Times New Roman" w:hAnsi="Times New Roman" w:cs="Times New Roman"/>
          <w:b/>
          <w:bCs/>
          <w:color w:val="000000" w:themeColor="text1"/>
          <w:lang w:eastAsia="zh-CN"/>
          <w14:textFill>
            <w14:solidFill>
              <w14:schemeClr w14:val="tx1"/>
            </w14:solidFill>
          </w14:textFill>
        </w:rPr>
        <w:t>-N</w:t>
      </w:r>
      <w:r>
        <w:rPr>
          <w:rFonts w:hint="eastAsia" w:ascii="Times New Roman" w:hAnsi="Times New Roman" w:cs="Times New Roman"/>
          <w:b/>
          <w:bCs/>
          <w:color w:val="000000" w:themeColor="text1"/>
          <w:lang w:eastAsia="zh-CN"/>
          <w14:textFill>
            <w14:solidFill>
              <w14:schemeClr w14:val="tx1"/>
            </w14:solidFill>
          </w14:textFill>
        </w:rPr>
        <w:t>排放量减少，现有工程已申请COD总量为2.29t/a，</w:t>
      </w:r>
      <w:r>
        <w:rPr>
          <w:rFonts w:ascii="Times New Roman" w:hAnsi="Times New Roman" w:cs="Times New Roman"/>
          <w:b/>
          <w:bCs/>
          <w:color w:val="000000" w:themeColor="text1"/>
          <w:lang w:eastAsia="zh-CN"/>
          <w14:textFill>
            <w14:solidFill>
              <w14:schemeClr w14:val="tx1"/>
            </w14:solidFill>
          </w14:textFill>
        </w:rPr>
        <w:t>NH</w:t>
      </w:r>
      <w:r>
        <w:rPr>
          <w:rFonts w:ascii="Times New Roman" w:hAnsi="Times New Roman" w:cs="Times New Roman"/>
          <w:b/>
          <w:bCs/>
          <w:color w:val="000000" w:themeColor="text1"/>
          <w:vertAlign w:val="subscript"/>
          <w:lang w:eastAsia="zh-CN"/>
          <w14:textFill>
            <w14:solidFill>
              <w14:schemeClr w14:val="tx1"/>
            </w14:solidFill>
          </w14:textFill>
        </w:rPr>
        <w:t>3</w:t>
      </w:r>
      <w:r>
        <w:rPr>
          <w:rFonts w:ascii="Times New Roman" w:hAnsi="Times New Roman" w:cs="Times New Roman"/>
          <w:b/>
          <w:bCs/>
          <w:color w:val="000000" w:themeColor="text1"/>
          <w:lang w:eastAsia="zh-CN"/>
          <w14:textFill>
            <w14:solidFill>
              <w14:schemeClr w14:val="tx1"/>
            </w14:solidFill>
          </w14:textFill>
        </w:rPr>
        <w:t>-N</w:t>
      </w:r>
      <w:r>
        <w:rPr>
          <w:rFonts w:hint="eastAsia" w:ascii="Times New Roman" w:hAnsi="Times New Roman" w:cs="Times New Roman"/>
          <w:b/>
          <w:bCs/>
          <w:color w:val="000000" w:themeColor="text1"/>
          <w:lang w:eastAsia="zh-CN"/>
          <w14:textFill>
            <w14:solidFill>
              <w14:schemeClr w14:val="tx1"/>
            </w14:solidFill>
          </w14:textFill>
        </w:rPr>
        <w:t>总量为0.229t/a。</w:t>
      </w:r>
    </w:p>
    <w:p w14:paraId="2A92285D">
      <w:pPr>
        <w:widowControl w:val="0"/>
        <w:spacing w:line="360" w:lineRule="auto"/>
        <w:ind w:firstLine="482" w:firstLineChars="200"/>
        <w:jc w:val="both"/>
        <w:rPr>
          <w:rFonts w:ascii="Times New Roman" w:hAnsi="Times New Roman" w:cs="Times New Roman"/>
          <w:b/>
          <w:bCs/>
          <w:color w:val="000000" w:themeColor="text1"/>
          <w:lang w:eastAsia="zh-CN"/>
          <w14:textFill>
            <w14:solidFill>
              <w14:schemeClr w14:val="tx1"/>
            </w14:solidFill>
          </w14:textFill>
        </w:rPr>
      </w:pPr>
      <w:r>
        <w:rPr>
          <w:rFonts w:hint="eastAsia" w:ascii="Times New Roman" w:hAnsi="Times New Roman" w:cs="Times New Roman"/>
          <w:b/>
          <w:bCs/>
          <w:color w:val="auto"/>
          <w:lang w:eastAsia="zh-CN"/>
        </w:rPr>
        <w:t>因此，本项目建成后，无需申请</w:t>
      </w:r>
      <w:r>
        <w:rPr>
          <w:rFonts w:hint="eastAsia" w:ascii="Times New Roman" w:hAnsi="Times New Roman" w:cs="Times New Roman"/>
          <w:b/>
          <w:bCs/>
          <w:color w:val="000000" w:themeColor="text1"/>
          <w:lang w:eastAsia="zh-CN"/>
          <w14:textFill>
            <w14:solidFill>
              <w14:schemeClr w14:val="tx1"/>
            </w14:solidFill>
          </w14:textFill>
        </w:rPr>
        <w:t>COD、</w:t>
      </w:r>
      <w:r>
        <w:rPr>
          <w:rFonts w:ascii="Times New Roman" w:hAnsi="Times New Roman" w:cs="Times New Roman"/>
          <w:b/>
          <w:bCs/>
          <w:color w:val="000000" w:themeColor="text1"/>
          <w:lang w:eastAsia="zh-CN"/>
          <w14:textFill>
            <w14:solidFill>
              <w14:schemeClr w14:val="tx1"/>
            </w14:solidFill>
          </w14:textFill>
        </w:rPr>
        <w:t>NH</w:t>
      </w:r>
      <w:r>
        <w:rPr>
          <w:rFonts w:ascii="Times New Roman" w:hAnsi="Times New Roman" w:cs="Times New Roman"/>
          <w:b/>
          <w:bCs/>
          <w:color w:val="000000" w:themeColor="text1"/>
          <w:vertAlign w:val="subscript"/>
          <w:lang w:eastAsia="zh-CN"/>
          <w14:textFill>
            <w14:solidFill>
              <w14:schemeClr w14:val="tx1"/>
            </w14:solidFill>
          </w14:textFill>
        </w:rPr>
        <w:t>3</w:t>
      </w:r>
      <w:r>
        <w:rPr>
          <w:rFonts w:ascii="Times New Roman" w:hAnsi="Times New Roman" w:cs="Times New Roman"/>
          <w:b/>
          <w:bCs/>
          <w:color w:val="000000" w:themeColor="text1"/>
          <w:lang w:eastAsia="zh-CN"/>
          <w14:textFill>
            <w14:solidFill>
              <w14:schemeClr w14:val="tx1"/>
            </w14:solidFill>
          </w14:textFill>
        </w:rPr>
        <w:t>-N总量指标。</w:t>
      </w:r>
    </w:p>
    <w:bookmarkEnd w:id="2613"/>
    <w:p w14:paraId="5AD5E1D8">
      <w:pPr>
        <w:spacing w:line="360" w:lineRule="auto"/>
        <w:ind w:firstLine="482"/>
        <w:outlineLvl w:val="2"/>
        <w:rPr>
          <w:rFonts w:ascii="Times New Roman" w:hAnsi="Times New Roman" w:cs="Times New Roman"/>
          <w:b/>
          <w:bCs/>
          <w:color w:val="auto"/>
          <w:lang w:eastAsia="zh-CN"/>
        </w:rPr>
      </w:pPr>
      <w:bookmarkStart w:id="2614" w:name="_Toc218784414"/>
      <w:bookmarkStart w:id="2615" w:name="_Toc173740405"/>
      <w:bookmarkStart w:id="2616" w:name="_Toc217662802"/>
      <w:bookmarkStart w:id="2617" w:name="_Toc223425188"/>
      <w:bookmarkStart w:id="2618" w:name="_Toc237508423"/>
      <w:bookmarkStart w:id="2619" w:name="_Toc204515331"/>
      <w:bookmarkStart w:id="2620" w:name="_Toc225784190"/>
      <w:bookmarkStart w:id="2621" w:name="_Toc178602480"/>
      <w:bookmarkStart w:id="2622" w:name="_Toc203927132"/>
      <w:bookmarkStart w:id="2623" w:name="_Toc224674828"/>
      <w:bookmarkStart w:id="2624" w:name="_Toc173743509"/>
      <w:bookmarkStart w:id="2625" w:name="_Toc231828711"/>
      <w:bookmarkStart w:id="2626" w:name="_Toc176513135"/>
      <w:bookmarkStart w:id="2627" w:name="_Toc236641958"/>
      <w:bookmarkStart w:id="2628" w:name="_Toc204448596"/>
      <w:bookmarkStart w:id="2629" w:name="_Toc221900970"/>
      <w:bookmarkStart w:id="2630" w:name="_Toc172555771"/>
      <w:bookmarkStart w:id="2631" w:name="_Toc175164399"/>
      <w:r>
        <w:rPr>
          <w:rFonts w:ascii="Times New Roman" w:hAnsi="Times New Roman" w:cs="Times New Roman"/>
          <w:b/>
          <w:bCs/>
          <w:color w:val="auto"/>
          <w:lang w:eastAsia="zh-CN"/>
        </w:rPr>
        <w:t>10.2.4 信息公开</w:t>
      </w:r>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p>
    <w:p w14:paraId="5A4600FF">
      <w:pPr>
        <w:widowControl w:val="0"/>
        <w:spacing w:line="360" w:lineRule="auto"/>
        <w:ind w:firstLine="480" w:firstLineChars="200"/>
        <w:jc w:val="both"/>
        <w:rPr>
          <w:rFonts w:ascii="Times New Roman" w:hAnsi="Times New Roman" w:cs="Times New Roman"/>
          <w:color w:val="auto"/>
          <w:lang w:eastAsia="zh-CN"/>
        </w:rPr>
      </w:pPr>
      <w:bookmarkStart w:id="2632" w:name="_Toc12983"/>
      <w:r>
        <w:rPr>
          <w:rFonts w:hint="eastAsia" w:ascii="Times New Roman" w:hAnsi="Times New Roman" w:cs="Times New Roman"/>
          <w:color w:val="auto"/>
          <w:szCs w:val="24"/>
          <w:lang w:eastAsia="zh-CN"/>
        </w:rPr>
        <w:t>安徽氟瑞星化工有限公司</w:t>
      </w:r>
      <w:r>
        <w:rPr>
          <w:rFonts w:ascii="Times New Roman" w:hAnsi="Times New Roman" w:cs="Times New Roman"/>
          <w:color w:val="auto"/>
          <w:lang w:eastAsia="zh-CN"/>
        </w:rPr>
        <w:t>应按照《企业环境信息依法披管理办法》(部令 第24号)及《国家重点监控企业自行监测及信息公开办法(试行)》(环发〔2013〕81号)等要求落实信息公开制度，主要内容包括：</w:t>
      </w:r>
      <w:bookmarkEnd w:id="2632"/>
    </w:p>
    <w:p w14:paraId="4AA11532">
      <w:pPr>
        <w:widowControl w:val="0"/>
        <w:spacing w:line="360" w:lineRule="auto"/>
        <w:ind w:firstLine="480" w:firstLineChars="200"/>
        <w:jc w:val="both"/>
        <w:rPr>
          <w:rFonts w:ascii="Times New Roman" w:hAnsi="Times New Roman" w:cs="Times New Roman"/>
          <w:color w:val="auto"/>
          <w:lang w:eastAsia="zh-CN"/>
        </w:rPr>
      </w:pPr>
      <w:bookmarkStart w:id="2633" w:name="_Toc10902"/>
      <w:r>
        <w:rPr>
          <w:rFonts w:ascii="Times New Roman" w:hAnsi="Times New Roman" w:cs="Times New Roman"/>
          <w:color w:val="auto"/>
          <w:lang w:eastAsia="zh-CN"/>
        </w:rPr>
        <w:t>（1）企业基本信息，包括企业生产和生态环境保护等方面的基础信息；</w:t>
      </w:r>
      <w:bookmarkEnd w:id="2633"/>
    </w:p>
    <w:p w14:paraId="20B701D9">
      <w:pPr>
        <w:widowControl w:val="0"/>
        <w:spacing w:line="360" w:lineRule="auto"/>
        <w:ind w:firstLine="480" w:firstLineChars="200"/>
        <w:jc w:val="both"/>
        <w:rPr>
          <w:rFonts w:ascii="Times New Roman" w:hAnsi="Times New Roman" w:cs="Times New Roman"/>
          <w:color w:val="auto"/>
          <w:lang w:eastAsia="zh-CN"/>
        </w:rPr>
      </w:pPr>
      <w:bookmarkStart w:id="2634" w:name="_Toc8128"/>
      <w:r>
        <w:rPr>
          <w:rFonts w:ascii="Times New Roman" w:hAnsi="Times New Roman" w:cs="Times New Roman"/>
          <w:color w:val="auto"/>
          <w:lang w:eastAsia="zh-CN"/>
        </w:rPr>
        <w:t>（2）企业环境管理信息，包括生态环境行政许可、环境保护税、环境污染责任保险、环保信用评价等方面的信息；</w:t>
      </w:r>
      <w:bookmarkEnd w:id="2634"/>
    </w:p>
    <w:p w14:paraId="27CE9DC7">
      <w:pPr>
        <w:widowControl w:val="0"/>
        <w:spacing w:line="360" w:lineRule="auto"/>
        <w:ind w:firstLine="480" w:firstLineChars="200"/>
        <w:jc w:val="both"/>
        <w:rPr>
          <w:rFonts w:ascii="Times New Roman" w:hAnsi="Times New Roman" w:cs="Times New Roman"/>
          <w:color w:val="auto"/>
          <w:lang w:eastAsia="zh-CN"/>
        </w:rPr>
      </w:pPr>
      <w:bookmarkStart w:id="2635" w:name="_Toc15466"/>
      <w:r>
        <w:rPr>
          <w:rFonts w:ascii="Times New Roman" w:hAnsi="Times New Roman" w:cs="Times New Roman"/>
          <w:color w:val="auto"/>
          <w:lang w:eastAsia="zh-CN"/>
        </w:rPr>
        <w:t>（3）污染物产生、治理与排放信息，包括污染防治设施，污染物排放，有毒有害物质排放，工业固体废物和危险废物产生、贮存、流向、利用、处置，自行监测等方面的信息；</w:t>
      </w:r>
      <w:bookmarkEnd w:id="2635"/>
    </w:p>
    <w:p w14:paraId="3C879AC2">
      <w:pPr>
        <w:widowControl w:val="0"/>
        <w:spacing w:line="360" w:lineRule="auto"/>
        <w:ind w:firstLine="480" w:firstLineChars="200"/>
        <w:jc w:val="both"/>
        <w:rPr>
          <w:rFonts w:ascii="Times New Roman" w:hAnsi="Times New Roman" w:cs="Times New Roman"/>
          <w:color w:val="auto"/>
          <w:lang w:eastAsia="zh-CN"/>
        </w:rPr>
      </w:pPr>
      <w:bookmarkStart w:id="2636" w:name="_Toc7949"/>
      <w:r>
        <w:rPr>
          <w:rFonts w:ascii="Times New Roman" w:hAnsi="Times New Roman" w:cs="Times New Roman"/>
          <w:color w:val="auto"/>
          <w:lang w:eastAsia="zh-CN"/>
        </w:rPr>
        <w:t>（4）碳排放信息，包括排放量、排放设施等方面的信息；</w:t>
      </w:r>
      <w:bookmarkEnd w:id="2636"/>
    </w:p>
    <w:p w14:paraId="3948D88C">
      <w:pPr>
        <w:widowControl w:val="0"/>
        <w:spacing w:line="360" w:lineRule="auto"/>
        <w:ind w:firstLine="480" w:firstLineChars="200"/>
        <w:jc w:val="both"/>
        <w:rPr>
          <w:rFonts w:ascii="Times New Roman" w:hAnsi="Times New Roman" w:cs="Times New Roman"/>
          <w:color w:val="auto"/>
          <w:lang w:eastAsia="zh-CN"/>
        </w:rPr>
      </w:pPr>
      <w:bookmarkStart w:id="2637" w:name="_Toc5745"/>
      <w:r>
        <w:rPr>
          <w:rFonts w:ascii="Times New Roman" w:hAnsi="Times New Roman" w:cs="Times New Roman"/>
          <w:color w:val="auto"/>
          <w:lang w:eastAsia="zh-CN"/>
        </w:rPr>
        <w:t>（5）生态环境应急信息，包括突发环境事件应急预案、重污染天气应急响应等方面的信息；</w:t>
      </w:r>
      <w:bookmarkEnd w:id="2637"/>
    </w:p>
    <w:p w14:paraId="3AA8450E">
      <w:pPr>
        <w:widowControl w:val="0"/>
        <w:spacing w:line="360" w:lineRule="auto"/>
        <w:ind w:firstLine="480" w:firstLineChars="200"/>
        <w:jc w:val="both"/>
        <w:rPr>
          <w:rFonts w:ascii="Times New Roman" w:hAnsi="Times New Roman" w:cs="Times New Roman"/>
          <w:color w:val="auto"/>
          <w:lang w:eastAsia="zh-CN"/>
        </w:rPr>
      </w:pPr>
      <w:bookmarkStart w:id="2638" w:name="_Toc14026"/>
      <w:r>
        <w:rPr>
          <w:rFonts w:ascii="Times New Roman" w:hAnsi="Times New Roman" w:cs="Times New Roman"/>
          <w:color w:val="auto"/>
          <w:lang w:eastAsia="zh-CN"/>
        </w:rPr>
        <w:t>（6）生态环境违法信息；</w:t>
      </w:r>
      <w:bookmarkEnd w:id="2638"/>
    </w:p>
    <w:p w14:paraId="646E0DE3">
      <w:pPr>
        <w:widowControl w:val="0"/>
        <w:spacing w:line="360" w:lineRule="auto"/>
        <w:ind w:firstLine="480" w:firstLineChars="200"/>
        <w:jc w:val="both"/>
        <w:rPr>
          <w:rFonts w:ascii="Times New Roman" w:hAnsi="Times New Roman" w:cs="Times New Roman"/>
          <w:color w:val="auto"/>
          <w:lang w:eastAsia="zh-CN"/>
        </w:rPr>
      </w:pPr>
      <w:bookmarkStart w:id="2639" w:name="_Toc21729"/>
      <w:r>
        <w:rPr>
          <w:rFonts w:ascii="Times New Roman" w:hAnsi="Times New Roman" w:cs="Times New Roman"/>
          <w:color w:val="auto"/>
          <w:lang w:eastAsia="zh-CN"/>
        </w:rPr>
        <w:t>（7）本年度临时环境信息依法披露情况；</w:t>
      </w:r>
      <w:bookmarkEnd w:id="2639"/>
    </w:p>
    <w:p w14:paraId="6D17BB91">
      <w:pPr>
        <w:widowControl w:val="0"/>
        <w:spacing w:line="360" w:lineRule="auto"/>
        <w:ind w:firstLine="480" w:firstLineChars="200"/>
        <w:jc w:val="both"/>
        <w:rPr>
          <w:rFonts w:ascii="Times New Roman" w:hAnsi="Times New Roman" w:cs="Times New Roman"/>
          <w:color w:val="auto"/>
          <w:lang w:eastAsia="zh-CN"/>
        </w:rPr>
      </w:pPr>
      <w:bookmarkStart w:id="2640" w:name="_Toc1319"/>
      <w:r>
        <w:rPr>
          <w:rFonts w:ascii="Times New Roman" w:hAnsi="Times New Roman" w:cs="Times New Roman"/>
          <w:color w:val="auto"/>
          <w:lang w:eastAsia="zh-CN"/>
        </w:rPr>
        <w:t>（8）法律法规规定的其他环境信息。</w:t>
      </w:r>
      <w:bookmarkEnd w:id="2640"/>
    </w:p>
    <w:p w14:paraId="42839E6A">
      <w:pPr>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地市级和省级环境保护主管部门分别通过部门官方网站向社会公布本辖区内国家重点监控企业的污染源监督性监测结果和未开展监督性监测的原因，信息至少在网站保存一年。</w:t>
      </w:r>
    </w:p>
    <w:p w14:paraId="4E612259">
      <w:pPr>
        <w:spacing w:line="360" w:lineRule="auto"/>
        <w:ind w:firstLine="480" w:firstLineChars="200"/>
        <w:jc w:val="both"/>
        <w:rPr>
          <w:rFonts w:ascii="Times New Roman" w:hAnsi="Times New Roman" w:cs="Times New Roman"/>
          <w:color w:val="auto"/>
          <w:lang w:eastAsia="zh-CN"/>
        </w:rPr>
      </w:pPr>
      <w:bookmarkStart w:id="2641" w:name="_Toc17277"/>
      <w:r>
        <w:rPr>
          <w:rFonts w:ascii="Times New Roman" w:hAnsi="Times New Roman" w:cs="Times New Roman"/>
          <w:color w:val="auto"/>
          <w:lang w:eastAsia="zh-CN"/>
        </w:rPr>
        <w:t>鼓励地市级和省级环境保护主管部门通过报纸、广播、电视等便于公众知晓的方式公开污染源监督性监测信息。</w:t>
      </w:r>
      <w:bookmarkEnd w:id="2641"/>
    </w:p>
    <w:p w14:paraId="7F6F8200">
      <w:pPr>
        <w:spacing w:line="360" w:lineRule="auto"/>
        <w:ind w:firstLine="480" w:firstLineChars="200"/>
        <w:jc w:val="both"/>
        <w:rPr>
          <w:rFonts w:ascii="Times New Roman" w:hAnsi="Times New Roman" w:cs="Times New Roman"/>
          <w:color w:val="auto"/>
          <w:lang w:eastAsia="zh-CN"/>
        </w:rPr>
      </w:pPr>
      <w:bookmarkStart w:id="2642" w:name="_Toc20465"/>
      <w:r>
        <w:rPr>
          <w:rFonts w:ascii="Times New Roman" w:hAnsi="Times New Roman" w:cs="Times New Roman"/>
          <w:color w:val="auto"/>
          <w:lang w:eastAsia="zh-CN"/>
        </w:rPr>
        <w:t>地市级和省级环境保护主管部门应当于获取污染源监督性监测信息后20个工作日内公开污染源监督性监测信息。</w:t>
      </w:r>
      <w:bookmarkEnd w:id="2642"/>
    </w:p>
    <w:p w14:paraId="73DB39C0">
      <w:pPr>
        <w:widowControl w:val="0"/>
        <w:spacing w:line="360" w:lineRule="auto"/>
        <w:ind w:firstLine="562"/>
        <w:jc w:val="both"/>
        <w:outlineLvl w:val="1"/>
        <w:rPr>
          <w:rFonts w:ascii="Times New Roman" w:hAnsi="Times New Roman" w:cs="Times New Roman"/>
          <w:b/>
          <w:bCs/>
          <w:color w:val="auto"/>
          <w:sz w:val="28"/>
          <w:szCs w:val="22"/>
          <w:lang w:eastAsia="zh-CN"/>
        </w:rPr>
      </w:pPr>
      <w:bookmarkStart w:id="2643" w:name="_Toc237508424"/>
      <w:r>
        <w:rPr>
          <w:rFonts w:ascii="Times New Roman" w:hAnsi="Times New Roman" w:cs="Times New Roman"/>
          <w:b/>
          <w:bCs/>
          <w:color w:val="auto"/>
          <w:sz w:val="28"/>
          <w:szCs w:val="22"/>
          <w:lang w:eastAsia="zh-CN"/>
        </w:rPr>
        <w:t>10.3 环境管理制度</w:t>
      </w:r>
      <w:bookmarkEnd w:id="2643"/>
    </w:p>
    <w:p w14:paraId="3C436F6A">
      <w:pPr>
        <w:widowControl w:val="0"/>
        <w:spacing w:line="360" w:lineRule="auto"/>
        <w:ind w:firstLine="482"/>
        <w:jc w:val="both"/>
        <w:outlineLvl w:val="2"/>
        <w:rPr>
          <w:rFonts w:ascii="Times New Roman" w:hAnsi="Times New Roman" w:cs="Times New Roman"/>
          <w:b/>
          <w:bCs/>
          <w:color w:val="auto"/>
          <w:lang w:eastAsia="zh-CN"/>
        </w:rPr>
      </w:pPr>
      <w:bookmarkStart w:id="2644" w:name="_Toc225784192"/>
      <w:bookmarkStart w:id="2645" w:name="_Toc204448598"/>
      <w:bookmarkStart w:id="2646" w:name="_Toc173743511"/>
      <w:bookmarkStart w:id="2647" w:name="_Toc176513137"/>
      <w:bookmarkStart w:id="2648" w:name="_Toc178602482"/>
      <w:bookmarkStart w:id="2649" w:name="_Toc237508425"/>
      <w:bookmarkStart w:id="2650" w:name="_Toc223425190"/>
      <w:bookmarkStart w:id="2651" w:name="_Toc231828713"/>
      <w:bookmarkStart w:id="2652" w:name="_Toc224674830"/>
      <w:bookmarkStart w:id="2653" w:name="_Toc173740407"/>
      <w:bookmarkStart w:id="2654" w:name="_Toc221900972"/>
      <w:bookmarkStart w:id="2655" w:name="_Toc203927134"/>
      <w:bookmarkStart w:id="2656" w:name="_Toc236641960"/>
      <w:bookmarkStart w:id="2657" w:name="_Toc172555773"/>
      <w:bookmarkStart w:id="2658" w:name="_Toc204515333"/>
      <w:bookmarkStart w:id="2659" w:name="_Toc175164401"/>
      <w:bookmarkStart w:id="2660" w:name="_Toc217662804"/>
      <w:bookmarkStart w:id="2661" w:name="_Toc218784416"/>
      <w:bookmarkStart w:id="2662" w:name="_Toc26400"/>
      <w:r>
        <w:rPr>
          <w:rFonts w:ascii="Times New Roman" w:hAnsi="Times New Roman" w:cs="Times New Roman"/>
          <w:b/>
          <w:bCs/>
          <w:color w:val="auto"/>
          <w:lang w:eastAsia="zh-CN"/>
        </w:rPr>
        <w:t>10.3.1 建设期环境管理</w:t>
      </w:r>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p>
    <w:p w14:paraId="0216084F">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 xml:space="preserve">本项目施工期应做好以下环境管理： </w:t>
      </w:r>
    </w:p>
    <w:p w14:paraId="2249672A">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（1）建设单位与施工单位签定工程承包合同时，应包括有关工程施工期间环境保护条款，包括工程施工中生态环境保护、施工期间环境污染控制、污染物排放管理、施工人员环保教育及相关奖惩条款。</w:t>
      </w:r>
    </w:p>
    <w:p w14:paraId="75076D08">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（2）建设期间业主单位应指派一名环保专职或兼职人员，负责施工的环境管理工作，并参与制定和落实施工中的污染防治措施和应急计划，向施工人员讲明施工应采取的环保措施及注意事项。</w:t>
      </w:r>
    </w:p>
    <w:p w14:paraId="38EEB448">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3）施工单位应提高环保意识，加强驻地和施工现场的环境管理，合理安排施工计划，切实做到组织计划严谨，文明施工；环保措施逐条落实到位，环保工程与主体工程同时施工、同时运行，环保工程费用专款专用，不偷工减料、延误工期。</w:t>
      </w:r>
    </w:p>
    <w:p w14:paraId="3887090C">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（4）施工单位应特别注意工程施工中的水土保持，尽可能保护好土壤、植被，弃土弃渣须运至设计中指定的地点弃置，严禁随意堆置、侵占河道，防止对地表水环境产生影响。</w:t>
      </w:r>
    </w:p>
    <w:p w14:paraId="2F72D180">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5）各施工现场、施工单位驻地及其它施工临时设施，应加强环境管理，施工污水避免无组织散排，尽可能集中排放指定地点；扬尘大的工地应采取降尘措施，工程施工完毕后施工单位及时清理和恢复施工现场，妥善处理生活垃圾与施工弃渣，减少扬尘。</w:t>
      </w:r>
    </w:p>
    <w:p w14:paraId="62DBE18E">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（6）认真落实各项补偿措施，做好工程各项环保设施的施工监理与验收，保证环保工程质量，真正做到环保工程“三同时”。</w:t>
      </w:r>
    </w:p>
    <w:p w14:paraId="2868FE6C">
      <w:pPr>
        <w:widowControl w:val="0"/>
        <w:spacing w:line="360" w:lineRule="auto"/>
        <w:ind w:firstLine="482"/>
        <w:jc w:val="both"/>
        <w:outlineLvl w:val="2"/>
        <w:rPr>
          <w:rFonts w:ascii="Times New Roman" w:hAnsi="Times New Roman" w:cs="Times New Roman"/>
          <w:b/>
          <w:bCs/>
          <w:color w:val="auto"/>
          <w:lang w:eastAsia="zh-CN"/>
        </w:rPr>
      </w:pPr>
      <w:bookmarkStart w:id="2663" w:name="_Toc231828714"/>
      <w:bookmarkStart w:id="2664" w:name="_Toc237508426"/>
      <w:bookmarkStart w:id="2665" w:name="_Toc224674831"/>
      <w:bookmarkStart w:id="2666" w:name="_Toc218784417"/>
      <w:bookmarkStart w:id="2667" w:name="_Toc175164402"/>
      <w:bookmarkStart w:id="2668" w:name="_Toc204448599"/>
      <w:bookmarkStart w:id="2669" w:name="_Toc225784193"/>
      <w:bookmarkStart w:id="2670" w:name="_Toc236641961"/>
      <w:bookmarkStart w:id="2671" w:name="_Toc172555774"/>
      <w:bookmarkStart w:id="2672" w:name="_Toc217662805"/>
      <w:bookmarkStart w:id="2673" w:name="_Toc203927135"/>
      <w:bookmarkStart w:id="2674" w:name="_Toc221900973"/>
      <w:bookmarkStart w:id="2675" w:name="_Toc178602483"/>
      <w:bookmarkStart w:id="2676" w:name="_Toc204515334"/>
      <w:bookmarkStart w:id="2677" w:name="_Toc173743512"/>
      <w:bookmarkStart w:id="2678" w:name="_Toc223425191"/>
      <w:bookmarkStart w:id="2679" w:name="_Toc176513138"/>
      <w:bookmarkStart w:id="2680" w:name="_Toc173740408"/>
      <w:r>
        <w:rPr>
          <w:rFonts w:ascii="Times New Roman" w:hAnsi="Times New Roman" w:cs="Times New Roman"/>
          <w:b/>
          <w:bCs/>
          <w:color w:val="auto"/>
          <w:lang w:eastAsia="zh-CN"/>
        </w:rPr>
        <w:t>10.3.2 环境管理机构设置</w:t>
      </w:r>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p>
    <w:p w14:paraId="5EF5360C">
      <w:pPr>
        <w:widowControl w:val="0"/>
        <w:spacing w:line="360" w:lineRule="auto"/>
        <w:ind w:firstLine="480" w:firstLineChars="200"/>
        <w:jc w:val="both"/>
        <w:rPr>
          <w:rFonts w:ascii="Times New Roman" w:hAnsi="Times New Roman" w:cs="Times New Roman"/>
          <w:snapToGrid/>
          <w:color w:val="auto"/>
          <w:szCs w:val="24"/>
          <w:lang w:eastAsia="zh-CN"/>
        </w:rPr>
      </w:pPr>
      <w:bookmarkStart w:id="2681" w:name="_Toc16405"/>
      <w:r>
        <w:rPr>
          <w:rFonts w:hint="eastAsia" w:ascii="Times New Roman" w:hAnsi="Times New Roman" w:cs="Times New Roman"/>
          <w:color w:val="auto"/>
          <w:szCs w:val="24"/>
          <w:lang w:eastAsia="zh-CN"/>
        </w:rPr>
        <w:t>安徽氟瑞星化工</w:t>
      </w:r>
      <w:r>
        <w:rPr>
          <w:rFonts w:ascii="Times New Roman" w:hAnsi="Times New Roman" w:cs="Times New Roman"/>
          <w:color w:val="auto"/>
          <w:szCs w:val="24"/>
          <w:lang w:eastAsia="zh-CN"/>
        </w:rPr>
        <w:t>有限公司</w:t>
      </w:r>
      <w:r>
        <w:rPr>
          <w:rFonts w:ascii="Times New Roman" w:hAnsi="Times New Roman" w:cs="Times New Roman"/>
          <w:snapToGrid/>
          <w:color w:val="auto"/>
          <w:szCs w:val="24"/>
          <w:lang w:eastAsia="zh-CN"/>
        </w:rPr>
        <w:t>应建立较为完善的环保管理体系，厂内配备专职的环保管理人员，负责全厂的环境保护管理工作，并由一名业务副总进行分管。</w:t>
      </w:r>
      <w:bookmarkEnd w:id="2681"/>
    </w:p>
    <w:p w14:paraId="002748C6">
      <w:pPr>
        <w:widowControl w:val="0"/>
        <w:spacing w:line="360" w:lineRule="auto"/>
        <w:ind w:firstLine="482"/>
        <w:jc w:val="both"/>
        <w:outlineLvl w:val="2"/>
        <w:rPr>
          <w:rFonts w:ascii="Times New Roman" w:hAnsi="Times New Roman" w:cs="Times New Roman"/>
          <w:b/>
          <w:bCs/>
          <w:color w:val="auto"/>
          <w:lang w:eastAsia="zh-CN"/>
        </w:rPr>
      </w:pPr>
      <w:bookmarkStart w:id="2682" w:name="_Toc224674832"/>
      <w:bookmarkStart w:id="2683" w:name="_Toc172555775"/>
      <w:bookmarkStart w:id="2684" w:name="_Toc221900974"/>
      <w:bookmarkStart w:id="2685" w:name="_Toc204448600"/>
      <w:bookmarkStart w:id="2686" w:name="_Toc236641962"/>
      <w:bookmarkStart w:id="2687" w:name="_Toc173740409"/>
      <w:bookmarkStart w:id="2688" w:name="_Toc231828715"/>
      <w:bookmarkStart w:id="2689" w:name="_Toc203927136"/>
      <w:bookmarkStart w:id="2690" w:name="_Toc204515335"/>
      <w:bookmarkStart w:id="2691" w:name="_Toc217662806"/>
      <w:bookmarkStart w:id="2692" w:name="_Toc225784194"/>
      <w:bookmarkStart w:id="2693" w:name="_Toc176513139"/>
      <w:bookmarkStart w:id="2694" w:name="_Toc175164403"/>
      <w:bookmarkStart w:id="2695" w:name="_Toc28024"/>
      <w:bookmarkStart w:id="2696" w:name="_Toc223425192"/>
      <w:bookmarkStart w:id="2697" w:name="_Toc178602484"/>
      <w:bookmarkStart w:id="2698" w:name="_Toc237508427"/>
      <w:bookmarkStart w:id="2699" w:name="_Toc173743513"/>
      <w:bookmarkStart w:id="2700" w:name="_Toc218784418"/>
      <w:r>
        <w:rPr>
          <w:rFonts w:ascii="Times New Roman" w:hAnsi="Times New Roman" w:cs="Times New Roman"/>
          <w:b/>
          <w:bCs/>
          <w:color w:val="auto"/>
          <w:lang w:eastAsia="zh-CN"/>
        </w:rPr>
        <w:t>10.3.3</w:t>
      </w:r>
      <w:r>
        <w:rPr>
          <w:rFonts w:hint="eastAsia" w:ascii="Times New Roman" w:hAnsi="Times New Roman" w:cs="Times New Roman"/>
          <w:b/>
          <w:bCs/>
          <w:color w:val="auto"/>
          <w:lang w:eastAsia="zh-CN"/>
        </w:rPr>
        <w:t xml:space="preserve"> </w:t>
      </w:r>
      <w:r>
        <w:rPr>
          <w:rFonts w:ascii="Times New Roman" w:hAnsi="Times New Roman" w:cs="Times New Roman"/>
          <w:b/>
          <w:bCs/>
          <w:color w:val="auto"/>
          <w:lang w:eastAsia="zh-CN"/>
        </w:rPr>
        <w:t>环境管理机构职能</w:t>
      </w:r>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p>
    <w:p w14:paraId="7E1F824F">
      <w:pPr>
        <w:widowControl w:val="0"/>
        <w:spacing w:line="360" w:lineRule="auto"/>
        <w:ind w:firstLine="480" w:firstLineChars="200"/>
        <w:jc w:val="both"/>
        <w:rPr>
          <w:rFonts w:ascii="Times New Roman" w:hAnsi="Times New Roman" w:cs="Times New Roman"/>
          <w:snapToGrid/>
          <w:color w:val="auto"/>
          <w:szCs w:val="24"/>
          <w:lang w:eastAsia="zh-CN"/>
        </w:rPr>
      </w:pPr>
      <w:bookmarkStart w:id="2701" w:name="_Toc10872"/>
      <w:r>
        <w:rPr>
          <w:rFonts w:ascii="Times New Roman" w:hAnsi="Times New Roman" w:cs="Times New Roman"/>
          <w:snapToGrid/>
          <w:color w:val="auto"/>
          <w:szCs w:val="24"/>
          <w:lang w:eastAsia="zh-CN"/>
        </w:rPr>
        <w:t>企业内部的环境管理机构是做好企业环境保护工作的主要机构，基本任务是负责组织、落实、监督本公司的环境保护工作。</w:t>
      </w:r>
      <w:r>
        <w:rPr>
          <w:rFonts w:hint="eastAsia" w:ascii="Times New Roman" w:hAnsi="Times New Roman" w:cs="Times New Roman"/>
          <w:color w:val="auto"/>
          <w:szCs w:val="24"/>
          <w:lang w:eastAsia="zh-CN"/>
        </w:rPr>
        <w:t>安徽氟瑞星化工</w:t>
      </w:r>
      <w:r>
        <w:rPr>
          <w:rFonts w:ascii="Times New Roman" w:hAnsi="Times New Roman" w:cs="Times New Roman"/>
          <w:color w:val="auto"/>
          <w:szCs w:val="24"/>
          <w:lang w:eastAsia="zh-CN"/>
        </w:rPr>
        <w:t>有限公司</w:t>
      </w:r>
      <w:r>
        <w:rPr>
          <w:rFonts w:ascii="Times New Roman" w:hAnsi="Times New Roman" w:cs="Times New Roman"/>
          <w:snapToGrid/>
          <w:color w:val="auto"/>
          <w:szCs w:val="24"/>
          <w:lang w:eastAsia="zh-CN"/>
        </w:rPr>
        <w:t>设置专门的环境管理机构，环境管理由总经理负责领导，公司配备专职人员负责环保。</w:t>
      </w:r>
      <w:bookmarkEnd w:id="2701"/>
    </w:p>
    <w:p w14:paraId="19D6FB40">
      <w:pPr>
        <w:widowControl w:val="0"/>
        <w:spacing w:line="360" w:lineRule="auto"/>
        <w:ind w:firstLine="480" w:firstLineChars="200"/>
        <w:jc w:val="both"/>
        <w:rPr>
          <w:rFonts w:ascii="Times New Roman" w:hAnsi="Times New Roman" w:cs="Times New Roman"/>
          <w:snapToGrid/>
          <w:color w:val="auto"/>
          <w:szCs w:val="24"/>
          <w:lang w:eastAsia="zh-CN"/>
        </w:rPr>
      </w:pPr>
      <w:bookmarkStart w:id="2702" w:name="_Toc6705"/>
      <w:r>
        <w:rPr>
          <w:rFonts w:hint="eastAsia" w:ascii="Times New Roman" w:hAnsi="Times New Roman" w:cs="Times New Roman"/>
          <w:color w:val="auto"/>
          <w:szCs w:val="24"/>
          <w:lang w:eastAsia="zh-CN"/>
        </w:rPr>
        <w:t>安徽氟瑞星化工</w:t>
      </w:r>
      <w:r>
        <w:rPr>
          <w:rFonts w:ascii="Times New Roman" w:hAnsi="Times New Roman" w:cs="Times New Roman"/>
          <w:color w:val="auto"/>
          <w:szCs w:val="24"/>
          <w:lang w:eastAsia="zh-CN"/>
        </w:rPr>
        <w:t>有限公司</w:t>
      </w:r>
      <w:r>
        <w:rPr>
          <w:rFonts w:ascii="Times New Roman" w:hAnsi="Times New Roman" w:cs="Times New Roman"/>
          <w:snapToGrid/>
          <w:color w:val="auto"/>
          <w:szCs w:val="24"/>
          <w:lang w:eastAsia="zh-CN"/>
        </w:rPr>
        <w:t>环境管理机构主要职能是研究决策本公司环保工作的重大事宜，并负责公司环境保护的规划和管理以及环境保护治理设施管理、维修、操作，负责公司环境监测工作的落实，是环境管理工作的具体执行部门。其主要职责如下：</w:t>
      </w:r>
      <w:bookmarkEnd w:id="2702"/>
    </w:p>
    <w:p w14:paraId="67719359">
      <w:pPr>
        <w:widowControl w:val="0"/>
        <w:spacing w:line="360" w:lineRule="auto"/>
        <w:ind w:firstLine="480" w:firstLineChars="200"/>
        <w:jc w:val="both"/>
        <w:rPr>
          <w:rFonts w:ascii="Times New Roman" w:hAnsi="Times New Roman" w:cs="Times New Roman"/>
          <w:snapToGrid/>
          <w:color w:val="auto"/>
          <w:szCs w:val="24"/>
          <w:lang w:eastAsia="zh-CN"/>
        </w:rPr>
      </w:pPr>
      <w:bookmarkStart w:id="2703" w:name="_Toc13387"/>
      <w:r>
        <w:rPr>
          <w:rFonts w:ascii="Times New Roman" w:hAnsi="Times New Roman" w:cs="Times New Roman"/>
          <w:snapToGrid/>
          <w:color w:val="auto"/>
          <w:szCs w:val="24"/>
          <w:lang w:eastAsia="zh-CN"/>
        </w:rPr>
        <w:t>（1）根据公司规模、性质、特点和国家法律、法规，制定全公司环保规划和环境方针，并负责以多种形式向相关方面宣传；</w:t>
      </w:r>
      <w:bookmarkEnd w:id="2703"/>
    </w:p>
    <w:p w14:paraId="0B2EBA04">
      <w:pPr>
        <w:widowControl w:val="0"/>
        <w:spacing w:line="360" w:lineRule="auto"/>
        <w:ind w:firstLine="480" w:firstLineChars="200"/>
        <w:jc w:val="both"/>
        <w:rPr>
          <w:rFonts w:ascii="Times New Roman" w:hAnsi="Times New Roman" w:cs="Times New Roman"/>
          <w:snapToGrid/>
          <w:color w:val="auto"/>
          <w:szCs w:val="24"/>
          <w:lang w:eastAsia="zh-CN"/>
        </w:rPr>
      </w:pPr>
      <w:bookmarkStart w:id="2704" w:name="_Toc20955"/>
      <w:r>
        <w:rPr>
          <w:rFonts w:ascii="Times New Roman" w:hAnsi="Times New Roman" w:cs="Times New Roman"/>
          <w:snapToGrid/>
          <w:color w:val="auto"/>
          <w:szCs w:val="24"/>
          <w:lang w:eastAsia="zh-CN"/>
        </w:rPr>
        <w:t>（2）负责获取、更新使用于本企业的与环境相关的法律、法规，负责把适用的法律、法规发放到相关部门；</w:t>
      </w:r>
      <w:bookmarkEnd w:id="2704"/>
    </w:p>
    <w:p w14:paraId="1AA2E886">
      <w:pPr>
        <w:widowControl w:val="0"/>
        <w:spacing w:line="360" w:lineRule="auto"/>
        <w:ind w:firstLine="480" w:firstLineChars="200"/>
        <w:jc w:val="both"/>
        <w:rPr>
          <w:rFonts w:ascii="Times New Roman" w:hAnsi="Times New Roman" w:cs="Times New Roman"/>
          <w:snapToGrid/>
          <w:color w:val="auto"/>
          <w:szCs w:val="24"/>
          <w:lang w:eastAsia="zh-CN"/>
        </w:rPr>
      </w:pPr>
      <w:bookmarkStart w:id="2705" w:name="_Toc32388"/>
      <w:r>
        <w:rPr>
          <w:rFonts w:ascii="Times New Roman" w:hAnsi="Times New Roman" w:cs="Times New Roman"/>
          <w:snapToGrid/>
          <w:color w:val="auto"/>
          <w:szCs w:val="24"/>
          <w:lang w:eastAsia="zh-CN"/>
        </w:rPr>
        <w:t>（3）协助各车间制定车间的环保规划，并协调和监督各单位具体实施；</w:t>
      </w:r>
      <w:bookmarkEnd w:id="2705"/>
    </w:p>
    <w:p w14:paraId="76BF1193">
      <w:pPr>
        <w:widowControl w:val="0"/>
        <w:spacing w:line="360" w:lineRule="auto"/>
        <w:ind w:firstLine="480" w:firstLineChars="200"/>
        <w:jc w:val="both"/>
        <w:rPr>
          <w:rFonts w:ascii="Times New Roman" w:hAnsi="Times New Roman" w:cs="Times New Roman"/>
          <w:snapToGrid/>
          <w:color w:val="auto"/>
          <w:szCs w:val="24"/>
          <w:lang w:eastAsia="zh-CN"/>
        </w:rPr>
      </w:pPr>
      <w:bookmarkStart w:id="2706" w:name="_Toc19890"/>
      <w:r>
        <w:rPr>
          <w:rFonts w:ascii="Times New Roman" w:hAnsi="Times New Roman" w:cs="Times New Roman"/>
          <w:snapToGrid/>
          <w:color w:val="auto"/>
          <w:szCs w:val="24"/>
          <w:lang w:eastAsia="zh-CN"/>
        </w:rPr>
        <w:t>（4）负责制定和实施公司的年度环保培训计划；</w:t>
      </w:r>
      <w:bookmarkEnd w:id="2706"/>
    </w:p>
    <w:p w14:paraId="1B123DC0">
      <w:pPr>
        <w:widowControl w:val="0"/>
        <w:spacing w:line="360" w:lineRule="auto"/>
        <w:ind w:firstLine="480" w:firstLineChars="200"/>
        <w:jc w:val="both"/>
        <w:rPr>
          <w:rFonts w:ascii="Times New Roman" w:hAnsi="Times New Roman" w:cs="Times New Roman"/>
          <w:snapToGrid/>
          <w:color w:val="auto"/>
          <w:szCs w:val="24"/>
          <w:lang w:eastAsia="zh-CN"/>
        </w:rPr>
      </w:pPr>
      <w:bookmarkStart w:id="2707" w:name="_Toc28956"/>
      <w:r>
        <w:rPr>
          <w:rFonts w:ascii="Times New Roman" w:hAnsi="Times New Roman" w:cs="Times New Roman"/>
          <w:snapToGrid/>
          <w:color w:val="auto"/>
          <w:szCs w:val="24"/>
          <w:lang w:eastAsia="zh-CN"/>
        </w:rPr>
        <w:t>（5）负责公司内外部的环境工作信息交流；</w:t>
      </w:r>
      <w:bookmarkEnd w:id="2707"/>
    </w:p>
    <w:p w14:paraId="25D7A048">
      <w:pPr>
        <w:widowControl w:val="0"/>
        <w:spacing w:line="360" w:lineRule="auto"/>
        <w:ind w:firstLine="480" w:firstLineChars="200"/>
        <w:jc w:val="both"/>
        <w:rPr>
          <w:rFonts w:ascii="Times New Roman" w:hAnsi="Times New Roman" w:cs="Times New Roman"/>
          <w:snapToGrid/>
          <w:color w:val="auto"/>
          <w:szCs w:val="24"/>
          <w:lang w:eastAsia="zh-CN"/>
        </w:rPr>
      </w:pPr>
      <w:bookmarkStart w:id="2708" w:name="_Toc25266"/>
      <w:r>
        <w:rPr>
          <w:rFonts w:ascii="Times New Roman" w:hAnsi="Times New Roman" w:cs="Times New Roman"/>
          <w:snapToGrid/>
          <w:color w:val="auto"/>
          <w:szCs w:val="24"/>
          <w:lang w:eastAsia="zh-CN"/>
        </w:rPr>
        <w:t>（6）监督检查部门环保设施运行管理，尤其是了解污染治理设备运行状况及治理效率；</w:t>
      </w:r>
      <w:bookmarkEnd w:id="2708"/>
    </w:p>
    <w:p w14:paraId="5C2CA01A">
      <w:pPr>
        <w:widowControl w:val="0"/>
        <w:spacing w:line="360" w:lineRule="auto"/>
        <w:ind w:firstLine="480" w:firstLineChars="200"/>
        <w:jc w:val="both"/>
        <w:rPr>
          <w:rFonts w:ascii="Times New Roman" w:hAnsi="Times New Roman" w:cs="Times New Roman"/>
          <w:snapToGrid/>
          <w:color w:val="auto"/>
          <w:szCs w:val="24"/>
          <w:lang w:eastAsia="zh-CN"/>
        </w:rPr>
      </w:pPr>
      <w:bookmarkStart w:id="2709" w:name="_Toc3683"/>
      <w:r>
        <w:rPr>
          <w:rFonts w:ascii="Times New Roman" w:hAnsi="Times New Roman" w:cs="Times New Roman"/>
          <w:snapToGrid/>
          <w:color w:val="auto"/>
          <w:szCs w:val="24"/>
          <w:lang w:eastAsia="zh-CN"/>
        </w:rPr>
        <w:t>（7）监督检查各生产工艺设备的运行情况，确保无非正常工况生产事故的发生；</w:t>
      </w:r>
      <w:bookmarkEnd w:id="2709"/>
    </w:p>
    <w:p w14:paraId="3706FD42">
      <w:pPr>
        <w:widowControl w:val="0"/>
        <w:spacing w:line="360" w:lineRule="auto"/>
        <w:ind w:firstLine="480" w:firstLineChars="200"/>
        <w:jc w:val="both"/>
        <w:rPr>
          <w:rFonts w:ascii="Times New Roman" w:hAnsi="Times New Roman" w:cs="Times New Roman"/>
          <w:snapToGrid/>
          <w:color w:val="auto"/>
          <w:szCs w:val="24"/>
          <w:lang w:eastAsia="zh-CN"/>
        </w:rPr>
      </w:pPr>
      <w:bookmarkStart w:id="2710" w:name="_Toc3622"/>
      <w:r>
        <w:rPr>
          <w:rFonts w:ascii="Times New Roman" w:hAnsi="Times New Roman" w:cs="Times New Roman"/>
          <w:snapToGrid/>
          <w:color w:val="auto"/>
          <w:szCs w:val="24"/>
          <w:lang w:eastAsia="zh-CN"/>
        </w:rPr>
        <w:t>（8）负责对新、改、扩建项目环保工程进行环境监测、数据分析、验收评估；</w:t>
      </w:r>
      <w:bookmarkEnd w:id="2710"/>
    </w:p>
    <w:p w14:paraId="222E9177">
      <w:pPr>
        <w:widowControl w:val="0"/>
        <w:spacing w:line="360" w:lineRule="auto"/>
        <w:ind w:firstLine="480" w:firstLineChars="200"/>
        <w:jc w:val="both"/>
        <w:rPr>
          <w:rFonts w:ascii="Times New Roman" w:hAnsi="Times New Roman" w:cs="Times New Roman"/>
          <w:snapToGrid/>
          <w:color w:val="auto"/>
          <w:szCs w:val="24"/>
          <w:lang w:eastAsia="zh-CN"/>
        </w:rPr>
      </w:pPr>
      <w:bookmarkStart w:id="2711" w:name="_Toc14795"/>
      <w:r>
        <w:rPr>
          <w:rFonts w:ascii="Times New Roman" w:hAnsi="Times New Roman" w:cs="Times New Roman"/>
          <w:snapToGrid/>
          <w:color w:val="auto"/>
          <w:szCs w:val="24"/>
          <w:lang w:eastAsia="zh-CN"/>
        </w:rPr>
        <w:t>（9）负责应急计划的监督、检查；负责应急事故的协调处理；指导各单位对环保设施的管理；指导各单位应急与预防工作；对公司范围内重点危险区域部署监控措施；</w:t>
      </w:r>
      <w:bookmarkEnd w:id="2711"/>
    </w:p>
    <w:p w14:paraId="6F8F3674">
      <w:pPr>
        <w:widowControl w:val="0"/>
        <w:spacing w:line="360" w:lineRule="auto"/>
        <w:ind w:firstLine="480" w:firstLineChars="200"/>
        <w:jc w:val="both"/>
        <w:rPr>
          <w:rFonts w:ascii="Times New Roman" w:hAnsi="Times New Roman" w:cs="Times New Roman"/>
          <w:snapToGrid/>
          <w:color w:val="auto"/>
          <w:szCs w:val="24"/>
          <w:lang w:eastAsia="zh-CN"/>
        </w:rPr>
      </w:pPr>
      <w:bookmarkStart w:id="2712" w:name="_Toc23489"/>
      <w:r>
        <w:rPr>
          <w:rFonts w:ascii="Times New Roman" w:hAnsi="Times New Roman" w:cs="Times New Roman"/>
          <w:snapToGrid/>
          <w:color w:val="auto"/>
          <w:szCs w:val="24"/>
          <w:lang w:eastAsia="zh-CN"/>
        </w:rPr>
        <w:t>（10）负责公司环境监测技术数据统计管理；</w:t>
      </w:r>
      <w:bookmarkEnd w:id="2712"/>
    </w:p>
    <w:p w14:paraId="6428F121">
      <w:pPr>
        <w:widowControl w:val="0"/>
        <w:spacing w:line="360" w:lineRule="auto"/>
        <w:ind w:firstLine="480" w:firstLineChars="200"/>
        <w:jc w:val="both"/>
        <w:rPr>
          <w:rFonts w:ascii="Times New Roman" w:hAnsi="Times New Roman" w:cs="Times New Roman"/>
          <w:snapToGrid/>
          <w:color w:val="auto"/>
          <w:szCs w:val="24"/>
          <w:lang w:eastAsia="zh-CN"/>
        </w:rPr>
      </w:pPr>
      <w:bookmarkStart w:id="2713" w:name="_Toc22043"/>
      <w:r>
        <w:rPr>
          <w:rFonts w:ascii="Times New Roman" w:hAnsi="Times New Roman" w:cs="Times New Roman"/>
          <w:snapToGrid/>
          <w:color w:val="auto"/>
          <w:szCs w:val="24"/>
          <w:lang w:eastAsia="zh-CN"/>
        </w:rPr>
        <w:t>（11）负责全公司环保管理工作的监督和检查；</w:t>
      </w:r>
      <w:bookmarkEnd w:id="2713"/>
    </w:p>
    <w:p w14:paraId="11B77BE6">
      <w:pPr>
        <w:widowControl w:val="0"/>
        <w:spacing w:line="360" w:lineRule="auto"/>
        <w:ind w:firstLine="480" w:firstLineChars="200"/>
        <w:jc w:val="both"/>
        <w:rPr>
          <w:rFonts w:ascii="Times New Roman" w:hAnsi="Times New Roman" w:cs="Times New Roman"/>
          <w:snapToGrid/>
          <w:color w:val="auto"/>
          <w:szCs w:val="24"/>
          <w:lang w:eastAsia="zh-CN"/>
        </w:rPr>
      </w:pPr>
      <w:bookmarkStart w:id="2714" w:name="_Toc6541"/>
      <w:r>
        <w:rPr>
          <w:rFonts w:ascii="Times New Roman" w:hAnsi="Times New Roman" w:cs="Times New Roman"/>
          <w:snapToGrid/>
          <w:color w:val="auto"/>
          <w:szCs w:val="24"/>
          <w:lang w:eastAsia="zh-CN"/>
        </w:rPr>
        <w:t>（12）组织实施全公司环境年度评审工作；</w:t>
      </w:r>
      <w:bookmarkEnd w:id="2714"/>
    </w:p>
    <w:p w14:paraId="4718D22A">
      <w:pPr>
        <w:widowControl w:val="0"/>
        <w:spacing w:line="360" w:lineRule="auto"/>
        <w:ind w:firstLine="480" w:firstLineChars="200"/>
        <w:jc w:val="both"/>
        <w:rPr>
          <w:rFonts w:ascii="Times New Roman" w:hAnsi="Times New Roman" w:cs="Times New Roman"/>
          <w:snapToGrid/>
          <w:color w:val="auto"/>
          <w:szCs w:val="24"/>
          <w:lang w:eastAsia="zh-CN"/>
        </w:rPr>
      </w:pPr>
      <w:bookmarkStart w:id="2715" w:name="_Toc32297"/>
      <w:r>
        <w:rPr>
          <w:rFonts w:ascii="Times New Roman" w:hAnsi="Times New Roman" w:cs="Times New Roman"/>
          <w:snapToGrid/>
          <w:color w:val="auto"/>
          <w:szCs w:val="24"/>
          <w:lang w:eastAsia="zh-CN"/>
        </w:rPr>
        <w:t>（13）负责公司的环境教育、培训、宣传，让环境保护意识深入职工心中；</w:t>
      </w:r>
      <w:bookmarkEnd w:id="2715"/>
    </w:p>
    <w:p w14:paraId="1E436429">
      <w:pPr>
        <w:widowControl w:val="0"/>
        <w:spacing w:line="360" w:lineRule="auto"/>
        <w:ind w:firstLine="480" w:firstLineChars="200"/>
        <w:jc w:val="both"/>
        <w:rPr>
          <w:rFonts w:ascii="Times New Roman" w:hAnsi="Times New Roman" w:cs="Times New Roman"/>
          <w:snapToGrid/>
          <w:color w:val="auto"/>
          <w:szCs w:val="24"/>
          <w:lang w:eastAsia="zh-CN"/>
        </w:rPr>
      </w:pPr>
      <w:bookmarkStart w:id="2716" w:name="_Toc12331"/>
      <w:r>
        <w:rPr>
          <w:rFonts w:ascii="Times New Roman" w:hAnsi="Times New Roman" w:cs="Times New Roman"/>
          <w:snapToGrid/>
          <w:color w:val="auto"/>
          <w:szCs w:val="24"/>
          <w:lang w:eastAsia="zh-CN"/>
        </w:rPr>
        <w:t>（14）建立环境管理台账制度，按规范进行台账记录，主要内容包括生产信息、燃料、 原辅材料使用情况、污染防治设施运行记录、监测数据等；</w:t>
      </w:r>
      <w:bookmarkEnd w:id="2716"/>
    </w:p>
    <w:p w14:paraId="1A6636A3">
      <w:pPr>
        <w:widowControl w:val="0"/>
        <w:spacing w:line="360" w:lineRule="auto"/>
        <w:ind w:firstLine="480" w:firstLineChars="200"/>
        <w:jc w:val="both"/>
        <w:rPr>
          <w:rFonts w:ascii="Times New Roman" w:hAnsi="Times New Roman" w:cs="Times New Roman"/>
          <w:snapToGrid/>
          <w:color w:val="auto"/>
          <w:szCs w:val="24"/>
          <w:lang w:eastAsia="zh-CN"/>
        </w:rPr>
      </w:pPr>
      <w:bookmarkStart w:id="2717" w:name="_Toc29845"/>
      <w:r>
        <w:rPr>
          <w:rFonts w:ascii="Times New Roman" w:hAnsi="Times New Roman" w:cs="Times New Roman"/>
          <w:snapToGrid/>
          <w:color w:val="auto"/>
          <w:szCs w:val="24"/>
          <w:lang w:eastAsia="zh-CN"/>
        </w:rPr>
        <w:t>（15）预留资金转款用于各项环境保护措施和设施的技术改造、运行和维护。</w:t>
      </w:r>
      <w:bookmarkEnd w:id="2717"/>
    </w:p>
    <w:p w14:paraId="5E4AD877">
      <w:pPr>
        <w:widowControl w:val="0"/>
        <w:spacing w:line="360" w:lineRule="auto"/>
        <w:ind w:firstLine="562"/>
        <w:jc w:val="both"/>
        <w:outlineLvl w:val="1"/>
        <w:rPr>
          <w:rFonts w:ascii="Times New Roman" w:hAnsi="Times New Roman" w:cs="Times New Roman"/>
          <w:b/>
          <w:bCs/>
          <w:color w:val="auto"/>
          <w:sz w:val="28"/>
          <w:szCs w:val="22"/>
          <w:lang w:eastAsia="zh-CN"/>
        </w:rPr>
      </w:pPr>
      <w:bookmarkStart w:id="2718" w:name="_Toc237508428"/>
      <w:r>
        <w:rPr>
          <w:rFonts w:ascii="Times New Roman" w:hAnsi="Times New Roman" w:cs="Times New Roman"/>
          <w:b/>
          <w:bCs/>
          <w:color w:val="auto"/>
          <w:sz w:val="28"/>
          <w:szCs w:val="22"/>
          <w:lang w:eastAsia="zh-CN"/>
        </w:rPr>
        <w:t>10.4 环境监测计划</w:t>
      </w:r>
      <w:bookmarkEnd w:id="2718"/>
    </w:p>
    <w:p w14:paraId="785F317B">
      <w:pPr>
        <w:widowControl w:val="0"/>
        <w:spacing w:line="360" w:lineRule="auto"/>
        <w:ind w:firstLine="482"/>
        <w:jc w:val="both"/>
        <w:outlineLvl w:val="2"/>
        <w:rPr>
          <w:rFonts w:ascii="Times New Roman" w:hAnsi="Times New Roman" w:cs="Times New Roman"/>
          <w:b/>
          <w:bCs/>
          <w:color w:val="auto"/>
          <w:lang w:eastAsia="zh-CN"/>
        </w:rPr>
      </w:pPr>
      <w:bookmarkStart w:id="2719" w:name="_Toc176513141"/>
      <w:bookmarkStart w:id="2720" w:name="_Toc204515337"/>
      <w:bookmarkStart w:id="2721" w:name="_Toc178602486"/>
      <w:bookmarkStart w:id="2722" w:name="_Toc217662808"/>
      <w:bookmarkStart w:id="2723" w:name="_Toc204448602"/>
      <w:bookmarkStart w:id="2724" w:name="_Toc223425194"/>
      <w:bookmarkStart w:id="2725" w:name="_Toc218784420"/>
      <w:bookmarkStart w:id="2726" w:name="_Toc175164405"/>
      <w:bookmarkStart w:id="2727" w:name="_Toc203927138"/>
      <w:bookmarkStart w:id="2728" w:name="_Toc221900976"/>
      <w:bookmarkStart w:id="2729" w:name="_Toc231828717"/>
      <w:bookmarkStart w:id="2730" w:name="_Toc236641964"/>
      <w:bookmarkStart w:id="2731" w:name="_Toc225784196"/>
      <w:bookmarkStart w:id="2732" w:name="_Toc173743515"/>
      <w:bookmarkStart w:id="2733" w:name="_Toc224674834"/>
      <w:bookmarkStart w:id="2734" w:name="_Toc172555777"/>
      <w:bookmarkStart w:id="2735" w:name="_Toc173740411"/>
      <w:bookmarkStart w:id="2736" w:name="_Toc237508429"/>
      <w:r>
        <w:rPr>
          <w:rFonts w:ascii="Times New Roman" w:hAnsi="Times New Roman" w:cs="Times New Roman"/>
          <w:b/>
          <w:bCs/>
          <w:color w:val="auto"/>
          <w:lang w:eastAsia="zh-CN"/>
        </w:rPr>
        <w:t>10.4.1 运营期污染源监测计划</w:t>
      </w:r>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p>
    <w:p w14:paraId="76FA3D3B">
      <w:pPr>
        <w:widowControl w:val="0"/>
        <w:spacing w:line="360" w:lineRule="auto"/>
        <w:ind w:firstLine="480" w:firstLineChars="200"/>
        <w:jc w:val="both"/>
        <w:rPr>
          <w:rFonts w:ascii="Times New Roman" w:hAnsi="Times New Roman" w:cs="Times New Roman"/>
          <w:snapToGrid/>
          <w:color w:val="000000" w:themeColor="text1"/>
          <w:szCs w:val="24"/>
          <w:lang w:eastAsia="zh-CN"/>
          <w14:textFill>
            <w14:solidFill>
              <w14:schemeClr w14:val="tx1"/>
            </w14:solidFill>
          </w14:textFill>
        </w:rPr>
      </w:pPr>
      <w:bookmarkStart w:id="2737" w:name="_Toc3042"/>
      <w:r>
        <w:rPr>
          <w:rFonts w:ascii="Times New Roman" w:hAnsi="Times New Roman" w:cs="Times New Roman"/>
          <w:snapToGrid/>
          <w:color w:val="000000" w:themeColor="text1"/>
          <w:szCs w:val="24"/>
          <w:lang w:eastAsia="zh-CN"/>
          <w14:textFill>
            <w14:solidFill>
              <w14:schemeClr w14:val="tx1"/>
            </w14:solidFill>
          </w14:textFill>
        </w:rPr>
        <w:t>根据项目污染物特征，运营期污染源监测计划</w:t>
      </w:r>
      <w:r>
        <w:rPr>
          <w:rFonts w:hint="eastAsia" w:ascii="Times New Roman" w:hAnsi="Times New Roman" w:cs="Times New Roman"/>
          <w:snapToGrid/>
          <w:color w:val="000000" w:themeColor="text1"/>
          <w:szCs w:val="24"/>
          <w:lang w:eastAsia="zh-CN"/>
          <w14:textFill>
            <w14:solidFill>
              <w14:schemeClr w14:val="tx1"/>
            </w14:solidFill>
          </w14:textFill>
        </w:rPr>
        <w:t>根据</w:t>
      </w:r>
      <w:r>
        <w:rPr>
          <w:rFonts w:ascii="Times New Roman" w:hAnsi="Times New Roman" w:cs="Times New Roman"/>
          <w:color w:val="000000" w:themeColor="text1"/>
          <w:lang w:eastAsia="zh-CN"/>
          <w14:textFill>
            <w14:solidFill>
              <w14:schemeClr w14:val="tx1"/>
            </w14:solidFill>
          </w14:textFill>
        </w:rPr>
        <w:t>《排污单位自行监测技术指南 无机化学工业》（HJ 1138-2020）</w:t>
      </w:r>
      <w:r>
        <w:rPr>
          <w:rFonts w:hint="eastAsia" w:ascii="Times New Roman" w:hAnsi="Times New Roman" w:cs="Times New Roman"/>
          <w:color w:val="000000" w:themeColor="text1"/>
          <w:lang w:eastAsia="zh-CN"/>
          <w14:textFill>
            <w14:solidFill>
              <w14:schemeClr w14:val="tx1"/>
            </w14:solidFill>
          </w14:textFill>
        </w:rPr>
        <w:t>、</w:t>
      </w:r>
      <w:r>
        <w:rPr>
          <w:rFonts w:ascii="Times New Roman" w:hAnsi="Times New Roman" w:cs="Times New Roman"/>
          <w:color w:val="000000" w:themeColor="text1"/>
          <w:lang w:eastAsia="zh-CN"/>
          <w14:textFill>
            <w14:solidFill>
              <w14:schemeClr w14:val="tx1"/>
            </w14:solidFill>
          </w14:textFill>
        </w:rPr>
        <w:t>《排污单位自行监测技术指南 电子工业》（HJ1253-2022）</w:t>
      </w:r>
      <w:r>
        <w:rPr>
          <w:rFonts w:hint="eastAsia" w:ascii="Times New Roman" w:hAnsi="Times New Roman" w:cs="Times New Roman"/>
          <w:color w:val="000000" w:themeColor="text1"/>
          <w:lang w:eastAsia="zh-CN"/>
          <w14:textFill>
            <w14:solidFill>
              <w14:schemeClr w14:val="tx1"/>
            </w14:solidFill>
          </w14:textFill>
        </w:rPr>
        <w:t>、</w:t>
      </w:r>
      <w:r>
        <w:rPr>
          <w:rFonts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eastAsia="zh-CN"/>
          <w14:textFill>
            <w14:solidFill>
              <w14:schemeClr w14:val="tx1"/>
            </w14:solidFill>
          </w14:textFill>
        </w:rPr>
        <w:t xml:space="preserve">排污单位自行监测技术指南 </w:t>
      </w:r>
      <w:r>
        <w:rPr>
          <w:rFonts w:ascii="Times New Roman" w:hAnsi="Times New Roman" w:cs="Times New Roman"/>
          <w:color w:val="000000" w:themeColor="text1"/>
          <w:lang w:eastAsia="zh-CN"/>
          <w14:textFill>
            <w14:solidFill>
              <w14:schemeClr w14:val="tx1"/>
            </w14:solidFill>
          </w14:textFill>
        </w:rPr>
        <w:t>总则》（HJ</w:t>
      </w:r>
      <w:r>
        <w:rPr>
          <w:rFonts w:hint="eastAsia" w:ascii="Times New Roman" w:hAnsi="Times New Roman" w:cs="Times New Roman"/>
          <w:color w:val="000000" w:themeColor="text1"/>
          <w:lang w:eastAsia="zh-CN"/>
          <w14:textFill>
            <w14:solidFill>
              <w14:schemeClr w14:val="tx1"/>
            </w14:solidFill>
          </w14:textFill>
        </w:rPr>
        <w:t>819-2017</w:t>
      </w:r>
      <w:r>
        <w:rPr>
          <w:rFonts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eastAsia="zh-CN"/>
          <w14:textFill>
            <w14:solidFill>
              <w14:schemeClr w14:val="tx1"/>
            </w14:solidFill>
          </w14:textFill>
        </w:rPr>
        <w:t>进行判别</w:t>
      </w:r>
      <w:r>
        <w:rPr>
          <w:rFonts w:ascii="Times New Roman" w:hAnsi="Times New Roman" w:cs="Times New Roman"/>
          <w:snapToGrid/>
          <w:color w:val="000000" w:themeColor="text1"/>
          <w:szCs w:val="24"/>
          <w:lang w:eastAsia="zh-CN"/>
          <w14:textFill>
            <w14:solidFill>
              <w14:schemeClr w14:val="tx1"/>
            </w14:solidFill>
          </w14:textFill>
        </w:rPr>
        <w:t>。</w:t>
      </w:r>
      <w:bookmarkEnd w:id="2737"/>
    </w:p>
    <w:p w14:paraId="790C02E1">
      <w:pPr>
        <w:widowControl w:val="0"/>
        <w:spacing w:line="360" w:lineRule="auto"/>
        <w:ind w:firstLine="480" w:firstLineChars="200"/>
        <w:jc w:val="both"/>
        <w:rPr>
          <w:rFonts w:ascii="Times New Roman" w:hAnsi="Times New Roman" w:cs="Times New Roman"/>
          <w:snapToGrid/>
          <w:color w:val="auto"/>
          <w:szCs w:val="24"/>
          <w:lang w:eastAsia="zh-CN"/>
        </w:rPr>
      </w:pPr>
      <w:bookmarkStart w:id="2738" w:name="_Toc30535"/>
      <w:r>
        <w:rPr>
          <w:rFonts w:ascii="Times New Roman" w:hAnsi="Times New Roman" w:cs="Times New Roman"/>
          <w:snapToGrid/>
          <w:color w:val="auto"/>
          <w:szCs w:val="24"/>
          <w:lang w:eastAsia="zh-CN"/>
        </w:rPr>
        <w:t>项目运营期污染源监测计划汇总见表10.4-1。</w:t>
      </w:r>
      <w:bookmarkEnd w:id="2738"/>
    </w:p>
    <w:p w14:paraId="06F54D26">
      <w:pPr>
        <w:spacing w:line="360" w:lineRule="auto"/>
        <w:jc w:val="center"/>
        <w:rPr>
          <w:rFonts w:ascii="Times New Roman" w:hAnsi="Times New Roman" w:cs="Times New Roman"/>
          <w:b/>
          <w:bCs/>
          <w:color w:val="auto"/>
          <w:lang w:eastAsia="zh-CN"/>
        </w:rPr>
      </w:pPr>
      <w:bookmarkStart w:id="2739" w:name="_Toc25565"/>
      <w:r>
        <w:rPr>
          <w:rFonts w:ascii="Times New Roman" w:hAnsi="Times New Roman" w:cs="Times New Roman"/>
          <w:b/>
          <w:bCs/>
          <w:color w:val="auto"/>
          <w:lang w:eastAsia="zh-CN"/>
        </w:rPr>
        <w:t>表10.4-1  项目废气污染源监测计划一览表</w:t>
      </w:r>
    </w:p>
    <w:tbl>
      <w:tblPr>
        <w:tblStyle w:val="35"/>
        <w:tblW w:w="4673"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59"/>
        <w:gridCol w:w="1255"/>
        <w:gridCol w:w="801"/>
        <w:gridCol w:w="870"/>
        <w:gridCol w:w="1439"/>
        <w:gridCol w:w="1159"/>
        <w:gridCol w:w="873"/>
        <w:gridCol w:w="2153"/>
      </w:tblGrid>
      <w:tr w14:paraId="099AC9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 w:type="pct"/>
            <w:vAlign w:val="center"/>
          </w:tcPr>
          <w:p w14:paraId="0B9D5D89">
            <w:pPr>
              <w:adjustRightInd w:val="0"/>
              <w:snapToGrid w:val="0"/>
              <w:jc w:val="center"/>
              <w:rPr>
                <w:rFonts w:ascii="Times New Roman" w:hAnsi="Times New Roman" w:cs="Times New Roman"/>
                <w:b/>
                <w:bCs/>
                <w:snapToGrid/>
                <w:color w:val="auto"/>
                <w:sz w:val="21"/>
                <w:lang w:eastAsia="zh-CN"/>
              </w:rPr>
            </w:pPr>
            <w:r>
              <w:rPr>
                <w:rFonts w:ascii="Times New Roman" w:hAnsi="Times New Roman" w:cs="Times New Roman"/>
                <w:b/>
                <w:bCs/>
                <w:snapToGrid/>
                <w:color w:val="auto"/>
                <w:sz w:val="21"/>
                <w:lang w:eastAsia="zh-CN"/>
              </w:rPr>
              <w:t>类别</w:t>
            </w:r>
          </w:p>
        </w:tc>
        <w:tc>
          <w:tcPr>
            <w:tcW w:w="716" w:type="pct"/>
            <w:vAlign w:val="center"/>
          </w:tcPr>
          <w:p w14:paraId="2F1A031F">
            <w:pPr>
              <w:adjustRightInd w:val="0"/>
              <w:snapToGrid w:val="0"/>
              <w:jc w:val="center"/>
              <w:rPr>
                <w:rFonts w:ascii="Times New Roman" w:hAnsi="Times New Roman" w:cs="Times New Roman"/>
                <w:b/>
                <w:bCs/>
                <w:snapToGrid/>
                <w:color w:val="auto"/>
                <w:sz w:val="21"/>
                <w:lang w:eastAsia="zh-CN"/>
              </w:rPr>
            </w:pPr>
            <w:r>
              <w:rPr>
                <w:rFonts w:ascii="Times New Roman" w:hAnsi="Times New Roman" w:cs="Times New Roman"/>
                <w:b/>
                <w:bCs/>
                <w:snapToGrid/>
                <w:color w:val="auto"/>
                <w:sz w:val="21"/>
                <w:lang w:eastAsia="zh-CN"/>
              </w:rPr>
              <w:t>监测位置</w:t>
            </w:r>
          </w:p>
        </w:tc>
        <w:tc>
          <w:tcPr>
            <w:tcW w:w="545" w:type="pct"/>
            <w:vAlign w:val="center"/>
          </w:tcPr>
          <w:p w14:paraId="13F69880">
            <w:pPr>
              <w:adjustRightInd w:val="0"/>
              <w:snapToGrid w:val="0"/>
              <w:jc w:val="center"/>
              <w:rPr>
                <w:rFonts w:ascii="Times New Roman" w:hAnsi="Times New Roman" w:cs="Times New Roman"/>
                <w:b/>
                <w:bCs/>
                <w:snapToGrid/>
                <w:color w:val="auto"/>
                <w:sz w:val="21"/>
                <w:lang w:eastAsia="zh-CN"/>
              </w:rPr>
            </w:pPr>
            <w:r>
              <w:rPr>
                <w:rFonts w:ascii="Times New Roman" w:hAnsi="Times New Roman" w:cs="Times New Roman"/>
                <w:b/>
                <w:bCs/>
                <w:snapToGrid/>
                <w:color w:val="auto"/>
                <w:sz w:val="21"/>
                <w:lang w:eastAsia="zh-CN"/>
              </w:rPr>
              <w:t>排放口类型</w:t>
            </w:r>
          </w:p>
        </w:tc>
        <w:tc>
          <w:tcPr>
            <w:tcW w:w="1399" w:type="pct"/>
            <w:gridSpan w:val="2"/>
            <w:vAlign w:val="center"/>
          </w:tcPr>
          <w:p w14:paraId="764530FA">
            <w:pPr>
              <w:adjustRightInd w:val="0"/>
              <w:snapToGrid w:val="0"/>
              <w:jc w:val="center"/>
              <w:rPr>
                <w:rFonts w:ascii="Times New Roman" w:hAnsi="Times New Roman" w:cs="Times New Roman"/>
                <w:b/>
                <w:bCs/>
                <w:snapToGrid/>
                <w:color w:val="auto"/>
                <w:sz w:val="21"/>
                <w:lang w:eastAsia="zh-CN"/>
              </w:rPr>
            </w:pPr>
            <w:r>
              <w:rPr>
                <w:rFonts w:ascii="Times New Roman" w:hAnsi="Times New Roman" w:cs="Times New Roman"/>
                <w:b/>
                <w:bCs/>
                <w:snapToGrid/>
                <w:color w:val="auto"/>
                <w:sz w:val="21"/>
                <w:lang w:eastAsia="zh-CN"/>
              </w:rPr>
              <w:t>监测项目</w:t>
            </w:r>
          </w:p>
        </w:tc>
        <w:tc>
          <w:tcPr>
            <w:tcW w:w="702" w:type="pct"/>
            <w:vAlign w:val="center"/>
          </w:tcPr>
          <w:p w14:paraId="5774D5CA">
            <w:pPr>
              <w:adjustRightInd w:val="0"/>
              <w:snapToGrid w:val="0"/>
              <w:jc w:val="center"/>
              <w:rPr>
                <w:rFonts w:ascii="Times New Roman" w:hAnsi="Times New Roman" w:cs="Times New Roman"/>
                <w:b/>
                <w:bCs/>
                <w:snapToGrid/>
                <w:color w:val="auto"/>
                <w:sz w:val="21"/>
                <w:lang w:eastAsia="zh-CN"/>
              </w:rPr>
            </w:pPr>
            <w:r>
              <w:rPr>
                <w:rFonts w:ascii="Times New Roman" w:hAnsi="Times New Roman" w:cs="Times New Roman"/>
                <w:b/>
                <w:bCs/>
                <w:snapToGrid/>
                <w:color w:val="auto"/>
                <w:sz w:val="21"/>
                <w:lang w:eastAsia="zh-CN"/>
              </w:rPr>
              <w:t>监测点位</w:t>
            </w:r>
          </w:p>
        </w:tc>
        <w:tc>
          <w:tcPr>
            <w:tcW w:w="545" w:type="pct"/>
            <w:vAlign w:val="center"/>
          </w:tcPr>
          <w:p w14:paraId="383A80AC">
            <w:pPr>
              <w:adjustRightInd w:val="0"/>
              <w:snapToGrid w:val="0"/>
              <w:jc w:val="center"/>
              <w:rPr>
                <w:rFonts w:ascii="Times New Roman" w:hAnsi="Times New Roman" w:cs="Times New Roman"/>
                <w:b/>
                <w:bCs/>
                <w:snapToGrid/>
                <w:color w:val="auto"/>
                <w:sz w:val="21"/>
                <w:lang w:eastAsia="zh-CN"/>
              </w:rPr>
            </w:pPr>
            <w:r>
              <w:rPr>
                <w:rFonts w:ascii="Times New Roman" w:hAnsi="Times New Roman" w:cs="Times New Roman"/>
                <w:b/>
                <w:bCs/>
                <w:snapToGrid/>
                <w:color w:val="auto"/>
                <w:sz w:val="21"/>
                <w:lang w:eastAsia="zh-CN"/>
              </w:rPr>
              <w:t>监测频率</w:t>
            </w:r>
          </w:p>
        </w:tc>
        <w:tc>
          <w:tcPr>
            <w:tcW w:w="721" w:type="pct"/>
            <w:vAlign w:val="center"/>
          </w:tcPr>
          <w:p w14:paraId="37671B9B">
            <w:pPr>
              <w:adjustRightInd w:val="0"/>
              <w:snapToGrid w:val="0"/>
              <w:jc w:val="center"/>
              <w:rPr>
                <w:rFonts w:ascii="Times New Roman" w:hAnsi="Times New Roman" w:cs="Times New Roman"/>
                <w:b/>
                <w:bCs/>
                <w:snapToGrid/>
                <w:color w:val="auto"/>
                <w:sz w:val="21"/>
                <w:lang w:eastAsia="zh-CN"/>
              </w:rPr>
            </w:pPr>
            <w:r>
              <w:rPr>
                <w:rFonts w:ascii="Times New Roman" w:hAnsi="Times New Roman" w:cs="Times New Roman"/>
                <w:b/>
                <w:bCs/>
                <w:snapToGrid/>
                <w:color w:val="auto"/>
                <w:sz w:val="21"/>
                <w:lang w:eastAsia="zh-CN"/>
              </w:rPr>
              <w:t>执行标准</w:t>
            </w:r>
          </w:p>
        </w:tc>
      </w:tr>
      <w:tr w14:paraId="5A436E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 w:type="pct"/>
            <w:vMerge w:val="restart"/>
            <w:vAlign w:val="center"/>
          </w:tcPr>
          <w:p w14:paraId="124325EF">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废气</w:t>
            </w:r>
          </w:p>
        </w:tc>
        <w:tc>
          <w:tcPr>
            <w:tcW w:w="716" w:type="pct"/>
            <w:vAlign w:val="center"/>
          </w:tcPr>
          <w:p w14:paraId="3512F873">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1#排气筒（DA001）</w:t>
            </w:r>
          </w:p>
        </w:tc>
        <w:tc>
          <w:tcPr>
            <w:tcW w:w="545" w:type="pct"/>
            <w:vAlign w:val="center"/>
          </w:tcPr>
          <w:p w14:paraId="33D21737">
            <w:pPr>
              <w:adjustRightInd w:val="0"/>
              <w:snapToGrid w:val="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一般</w:t>
            </w:r>
            <w:r>
              <w:rPr>
                <w:rFonts w:ascii="Times New Roman" w:hAnsi="Times New Roman" w:cs="Times New Roman"/>
                <w:snapToGrid/>
                <w:color w:val="auto"/>
                <w:sz w:val="21"/>
                <w:lang w:eastAsia="zh-CN"/>
              </w:rPr>
              <w:t>排放口</w:t>
            </w:r>
          </w:p>
        </w:tc>
        <w:tc>
          <w:tcPr>
            <w:tcW w:w="544" w:type="pct"/>
            <w:vAlign w:val="center"/>
          </w:tcPr>
          <w:p w14:paraId="1DD15EBE">
            <w:pPr>
              <w:adjustRightInd w:val="0"/>
              <w:snapToGrid w:val="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氟化物、氯化氢</w:t>
            </w:r>
          </w:p>
        </w:tc>
        <w:tc>
          <w:tcPr>
            <w:tcW w:w="855" w:type="pct"/>
            <w:vAlign w:val="center"/>
          </w:tcPr>
          <w:p w14:paraId="042C56A0">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风量、温度、排放浓度、排放速率、排气筒高度和内径</w:t>
            </w:r>
          </w:p>
        </w:tc>
        <w:tc>
          <w:tcPr>
            <w:tcW w:w="702" w:type="pct"/>
            <w:vAlign w:val="center"/>
          </w:tcPr>
          <w:p w14:paraId="3403E30F">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排气筒出口</w:t>
            </w:r>
          </w:p>
        </w:tc>
        <w:tc>
          <w:tcPr>
            <w:tcW w:w="545" w:type="pct"/>
            <w:vAlign w:val="center"/>
          </w:tcPr>
          <w:p w14:paraId="142A935D">
            <w:pPr>
              <w:adjustRightInd w:val="0"/>
              <w:snapToGrid w:val="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半年</w:t>
            </w:r>
            <w:r>
              <w:rPr>
                <w:rFonts w:ascii="Times New Roman" w:hAnsi="Times New Roman" w:cs="Times New Roman"/>
                <w:snapToGrid/>
                <w:color w:val="auto"/>
                <w:sz w:val="21"/>
                <w:lang w:eastAsia="zh-CN"/>
              </w:rPr>
              <w:t>一次</w:t>
            </w:r>
          </w:p>
        </w:tc>
        <w:tc>
          <w:tcPr>
            <w:tcW w:w="721" w:type="pct"/>
            <w:vMerge w:val="restart"/>
            <w:vAlign w:val="center"/>
          </w:tcPr>
          <w:p w14:paraId="40641341">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《无机化学工业污染物排放标准》（GB31573-2015）</w:t>
            </w:r>
          </w:p>
        </w:tc>
      </w:tr>
      <w:tr w14:paraId="6237F8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 w:type="pct"/>
            <w:vMerge w:val="continue"/>
            <w:vAlign w:val="center"/>
          </w:tcPr>
          <w:p w14:paraId="67F2B55B">
            <w:pPr>
              <w:adjustRightInd w:val="0"/>
              <w:snapToGrid w:val="0"/>
              <w:jc w:val="center"/>
              <w:rPr>
                <w:rFonts w:ascii="Times New Roman" w:hAnsi="Times New Roman" w:cs="Times New Roman"/>
                <w:snapToGrid/>
                <w:color w:val="auto"/>
                <w:sz w:val="21"/>
                <w:lang w:eastAsia="zh-CN"/>
              </w:rPr>
            </w:pPr>
          </w:p>
        </w:tc>
        <w:tc>
          <w:tcPr>
            <w:tcW w:w="716" w:type="pct"/>
            <w:vAlign w:val="center"/>
          </w:tcPr>
          <w:p w14:paraId="65245F3D">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厂界无组织</w:t>
            </w:r>
          </w:p>
        </w:tc>
        <w:tc>
          <w:tcPr>
            <w:tcW w:w="545" w:type="pct"/>
            <w:vAlign w:val="center"/>
          </w:tcPr>
          <w:p w14:paraId="3F6698AD">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w:t>
            </w:r>
          </w:p>
        </w:tc>
        <w:tc>
          <w:tcPr>
            <w:tcW w:w="1399" w:type="pct"/>
            <w:gridSpan w:val="2"/>
            <w:vAlign w:val="center"/>
          </w:tcPr>
          <w:p w14:paraId="5DFC05CE">
            <w:pPr>
              <w:adjustRightInd w:val="0"/>
              <w:snapToGrid w:val="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氟化物、氯化氢</w:t>
            </w:r>
          </w:p>
        </w:tc>
        <w:tc>
          <w:tcPr>
            <w:tcW w:w="702" w:type="pct"/>
            <w:vAlign w:val="center"/>
          </w:tcPr>
          <w:p w14:paraId="28778B53">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上风向10m处1个，下风向10m处监控点3个</w:t>
            </w:r>
          </w:p>
        </w:tc>
        <w:tc>
          <w:tcPr>
            <w:tcW w:w="545" w:type="pct"/>
            <w:vAlign w:val="center"/>
          </w:tcPr>
          <w:p w14:paraId="0D28C0AE">
            <w:pPr>
              <w:adjustRightInd w:val="0"/>
              <w:snapToGrid w:val="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半年</w:t>
            </w:r>
            <w:r>
              <w:rPr>
                <w:rFonts w:ascii="Times New Roman" w:hAnsi="Times New Roman" w:cs="Times New Roman"/>
                <w:snapToGrid/>
                <w:color w:val="auto"/>
                <w:sz w:val="21"/>
                <w:lang w:eastAsia="zh-CN"/>
              </w:rPr>
              <w:t>一次</w:t>
            </w:r>
          </w:p>
        </w:tc>
        <w:tc>
          <w:tcPr>
            <w:tcW w:w="721" w:type="pct"/>
            <w:vMerge w:val="continue"/>
            <w:vAlign w:val="center"/>
          </w:tcPr>
          <w:p w14:paraId="6F74784C">
            <w:pPr>
              <w:widowControl w:val="0"/>
              <w:adjustRightInd w:val="0"/>
              <w:snapToGrid w:val="0"/>
              <w:spacing w:before="60" w:after="60"/>
              <w:jc w:val="center"/>
              <w:rPr>
                <w:rFonts w:ascii="Times New Roman" w:hAnsi="Times New Roman" w:cs="Times New Roman"/>
                <w:snapToGrid/>
                <w:color w:val="auto"/>
                <w:sz w:val="21"/>
                <w:lang w:eastAsia="zh-CN"/>
              </w:rPr>
            </w:pPr>
          </w:p>
        </w:tc>
      </w:tr>
      <w:tr w14:paraId="78D297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 w:type="pct"/>
            <w:vMerge w:val="restart"/>
            <w:vAlign w:val="center"/>
          </w:tcPr>
          <w:p w14:paraId="1842D235">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废水</w:t>
            </w:r>
          </w:p>
        </w:tc>
        <w:tc>
          <w:tcPr>
            <w:tcW w:w="716" w:type="pct"/>
            <w:vMerge w:val="restart"/>
            <w:vAlign w:val="center"/>
          </w:tcPr>
          <w:p w14:paraId="5686F5D9">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污水总排口</w:t>
            </w:r>
          </w:p>
        </w:tc>
        <w:tc>
          <w:tcPr>
            <w:tcW w:w="545" w:type="pct"/>
            <w:vMerge w:val="restart"/>
            <w:vAlign w:val="center"/>
          </w:tcPr>
          <w:p w14:paraId="12926153">
            <w:pPr>
              <w:adjustRightInd w:val="0"/>
              <w:snapToGrid w:val="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一般</w:t>
            </w:r>
            <w:r>
              <w:rPr>
                <w:rFonts w:ascii="Times New Roman" w:hAnsi="Times New Roman" w:cs="Times New Roman"/>
                <w:snapToGrid/>
                <w:color w:val="auto"/>
                <w:sz w:val="21"/>
                <w:lang w:eastAsia="zh-CN"/>
              </w:rPr>
              <w:t>排放口</w:t>
            </w:r>
          </w:p>
        </w:tc>
        <w:tc>
          <w:tcPr>
            <w:tcW w:w="1399" w:type="pct"/>
            <w:gridSpan w:val="2"/>
            <w:vAlign w:val="center"/>
          </w:tcPr>
          <w:p w14:paraId="14AC5850">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流量、</w:t>
            </w:r>
            <w:r>
              <w:rPr>
                <w:rFonts w:hint="eastAsia" w:ascii="Times New Roman" w:hAnsi="Times New Roman" w:cs="Times New Roman"/>
                <w:snapToGrid/>
                <w:color w:val="auto"/>
                <w:sz w:val="21"/>
                <w:lang w:eastAsia="zh-CN"/>
              </w:rPr>
              <w:t>氟化物</w:t>
            </w:r>
          </w:p>
        </w:tc>
        <w:tc>
          <w:tcPr>
            <w:tcW w:w="702" w:type="pct"/>
            <w:vMerge w:val="restart"/>
            <w:vAlign w:val="center"/>
          </w:tcPr>
          <w:p w14:paraId="32C4C084">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总排口</w:t>
            </w:r>
          </w:p>
        </w:tc>
        <w:tc>
          <w:tcPr>
            <w:tcW w:w="545" w:type="pct"/>
            <w:vAlign w:val="center"/>
          </w:tcPr>
          <w:p w14:paraId="411A5E6C">
            <w:pPr>
              <w:adjustRightInd w:val="0"/>
              <w:snapToGrid w:val="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在线自动检测</w:t>
            </w:r>
          </w:p>
        </w:tc>
        <w:tc>
          <w:tcPr>
            <w:tcW w:w="721" w:type="pct"/>
            <w:vMerge w:val="restart"/>
            <w:vAlign w:val="center"/>
          </w:tcPr>
          <w:p w14:paraId="2BA5203D">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沫河口污水处理厂接管标准</w:t>
            </w:r>
            <w:r>
              <w:rPr>
                <w:rFonts w:hint="eastAsia" w:ascii="Times New Roman" w:hAnsi="Times New Roman" w:cs="Times New Roman"/>
                <w:snapToGrid/>
                <w:color w:val="auto"/>
                <w:sz w:val="21"/>
                <w:lang w:eastAsia="zh-CN"/>
              </w:rPr>
              <w:t>以</w:t>
            </w:r>
            <w:r>
              <w:rPr>
                <w:rFonts w:ascii="Times New Roman" w:hAnsi="Times New Roman" w:cs="Times New Roman"/>
                <w:snapToGrid/>
                <w:color w:val="auto"/>
                <w:sz w:val="21"/>
                <w:lang w:eastAsia="zh-CN"/>
              </w:rPr>
              <w:t>及《无机化学工业污染物排放标准》（GB31573-2015）</w:t>
            </w:r>
            <w:r>
              <w:rPr>
                <w:rFonts w:hint="eastAsia" w:ascii="Times New Roman" w:hAnsi="Times New Roman" w:cs="Times New Roman"/>
                <w:snapToGrid/>
                <w:color w:val="auto"/>
                <w:sz w:val="21"/>
                <w:lang w:eastAsia="zh-CN"/>
              </w:rPr>
              <w:t>、</w:t>
            </w:r>
            <w:r>
              <w:rPr>
                <w:rFonts w:ascii="Times New Roman" w:hAnsi="Times New Roman" w:cs="Times New Roman"/>
                <w:color w:val="auto"/>
                <w:sz w:val="21"/>
                <w:lang w:eastAsia="zh-CN"/>
              </w:rPr>
              <w:t>《电子工业水污染物排放标准》（GB39731-2020）</w:t>
            </w:r>
          </w:p>
        </w:tc>
      </w:tr>
      <w:tr w14:paraId="5FDF33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 w:type="pct"/>
            <w:vMerge w:val="continue"/>
            <w:vAlign w:val="center"/>
          </w:tcPr>
          <w:p w14:paraId="41FEA371">
            <w:pPr>
              <w:adjustRightInd w:val="0"/>
              <w:snapToGrid w:val="0"/>
              <w:jc w:val="center"/>
              <w:rPr>
                <w:rFonts w:ascii="Times New Roman" w:hAnsi="Times New Roman" w:cs="Times New Roman"/>
                <w:snapToGrid/>
                <w:color w:val="auto"/>
                <w:sz w:val="21"/>
                <w:lang w:eastAsia="zh-CN"/>
              </w:rPr>
            </w:pPr>
          </w:p>
        </w:tc>
        <w:tc>
          <w:tcPr>
            <w:tcW w:w="716" w:type="pct"/>
            <w:vMerge w:val="continue"/>
            <w:vAlign w:val="center"/>
          </w:tcPr>
          <w:p w14:paraId="60D0F6E6">
            <w:pPr>
              <w:adjustRightInd w:val="0"/>
              <w:snapToGrid w:val="0"/>
              <w:jc w:val="center"/>
              <w:rPr>
                <w:rFonts w:ascii="Times New Roman" w:hAnsi="Times New Roman" w:cs="Times New Roman"/>
                <w:snapToGrid/>
                <w:color w:val="auto"/>
                <w:sz w:val="21"/>
                <w:lang w:eastAsia="zh-CN"/>
              </w:rPr>
            </w:pPr>
          </w:p>
        </w:tc>
        <w:tc>
          <w:tcPr>
            <w:tcW w:w="545" w:type="pct"/>
            <w:vMerge w:val="continue"/>
            <w:vAlign w:val="center"/>
          </w:tcPr>
          <w:p w14:paraId="4B9CAF05">
            <w:pPr>
              <w:adjustRightInd w:val="0"/>
              <w:snapToGrid w:val="0"/>
              <w:jc w:val="center"/>
              <w:rPr>
                <w:rFonts w:ascii="Times New Roman" w:hAnsi="Times New Roman" w:cs="Times New Roman"/>
                <w:snapToGrid/>
                <w:color w:val="auto"/>
                <w:sz w:val="21"/>
                <w:lang w:eastAsia="zh-CN"/>
              </w:rPr>
            </w:pPr>
          </w:p>
        </w:tc>
        <w:tc>
          <w:tcPr>
            <w:tcW w:w="1399" w:type="pct"/>
            <w:gridSpan w:val="2"/>
            <w:vAlign w:val="center"/>
          </w:tcPr>
          <w:p w14:paraId="54F32802">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pH、COD、</w:t>
            </w:r>
            <w:r>
              <w:rPr>
                <w:rFonts w:hint="eastAsia" w:ascii="Times New Roman" w:hAnsi="Times New Roman" w:cs="Times New Roman"/>
                <w:snapToGrid/>
                <w:color w:val="auto"/>
                <w:sz w:val="21"/>
                <w:lang w:eastAsia="zh-CN"/>
              </w:rPr>
              <w:t>氨氮、</w:t>
            </w:r>
            <w:r>
              <w:rPr>
                <w:rFonts w:ascii="Times New Roman" w:hAnsi="Times New Roman" w:cs="Times New Roman"/>
                <w:snapToGrid/>
                <w:color w:val="auto"/>
                <w:sz w:val="21"/>
                <w:lang w:eastAsia="zh-CN"/>
              </w:rPr>
              <w:t>SS、BOD</w:t>
            </w:r>
            <w:r>
              <w:rPr>
                <w:rFonts w:ascii="Times New Roman" w:hAnsi="Times New Roman" w:cs="Times New Roman"/>
                <w:snapToGrid/>
                <w:color w:val="auto"/>
                <w:sz w:val="21"/>
                <w:vertAlign w:val="subscript"/>
                <w:lang w:eastAsia="zh-CN"/>
              </w:rPr>
              <w:t>5</w:t>
            </w:r>
          </w:p>
        </w:tc>
        <w:tc>
          <w:tcPr>
            <w:tcW w:w="702" w:type="pct"/>
            <w:vMerge w:val="continue"/>
            <w:vAlign w:val="center"/>
          </w:tcPr>
          <w:p w14:paraId="0F52C2B9">
            <w:pPr>
              <w:adjustRightInd w:val="0"/>
              <w:snapToGrid w:val="0"/>
              <w:jc w:val="center"/>
              <w:rPr>
                <w:rFonts w:ascii="Times New Roman" w:hAnsi="Times New Roman" w:cs="Times New Roman"/>
                <w:snapToGrid/>
                <w:color w:val="auto"/>
                <w:sz w:val="21"/>
                <w:lang w:eastAsia="zh-CN"/>
              </w:rPr>
            </w:pPr>
          </w:p>
        </w:tc>
        <w:tc>
          <w:tcPr>
            <w:tcW w:w="545" w:type="pct"/>
            <w:vAlign w:val="center"/>
          </w:tcPr>
          <w:p w14:paraId="7504FF8E">
            <w:pPr>
              <w:adjustRightInd w:val="0"/>
              <w:snapToGrid w:val="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半年</w:t>
            </w:r>
            <w:r>
              <w:rPr>
                <w:rFonts w:ascii="Times New Roman" w:hAnsi="Times New Roman" w:cs="Times New Roman"/>
                <w:snapToGrid/>
                <w:color w:val="auto"/>
                <w:sz w:val="21"/>
                <w:lang w:eastAsia="zh-CN"/>
              </w:rPr>
              <w:t>一次</w:t>
            </w:r>
          </w:p>
        </w:tc>
        <w:tc>
          <w:tcPr>
            <w:tcW w:w="721" w:type="pct"/>
            <w:vMerge w:val="continue"/>
            <w:vAlign w:val="center"/>
          </w:tcPr>
          <w:p w14:paraId="5BCCEE4F">
            <w:pPr>
              <w:adjustRightInd w:val="0"/>
              <w:snapToGrid w:val="0"/>
              <w:jc w:val="center"/>
              <w:rPr>
                <w:rFonts w:ascii="Times New Roman" w:hAnsi="Times New Roman" w:cs="Times New Roman"/>
                <w:snapToGrid/>
                <w:color w:val="auto"/>
                <w:sz w:val="21"/>
                <w:lang w:eastAsia="zh-CN"/>
              </w:rPr>
            </w:pPr>
          </w:p>
        </w:tc>
      </w:tr>
      <w:tr w14:paraId="1E238F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 w:type="pct"/>
            <w:vMerge w:val="continue"/>
            <w:vAlign w:val="center"/>
          </w:tcPr>
          <w:p w14:paraId="10B93815">
            <w:pPr>
              <w:adjustRightInd w:val="0"/>
              <w:snapToGrid w:val="0"/>
              <w:jc w:val="center"/>
              <w:rPr>
                <w:rFonts w:ascii="Times New Roman" w:hAnsi="Times New Roman" w:cs="Times New Roman"/>
                <w:snapToGrid/>
                <w:color w:val="auto"/>
                <w:sz w:val="21"/>
                <w:lang w:eastAsia="zh-CN"/>
              </w:rPr>
            </w:pPr>
          </w:p>
        </w:tc>
        <w:tc>
          <w:tcPr>
            <w:tcW w:w="716" w:type="pct"/>
            <w:vMerge w:val="continue"/>
            <w:vAlign w:val="center"/>
          </w:tcPr>
          <w:p w14:paraId="2CA92EDC">
            <w:pPr>
              <w:adjustRightInd w:val="0"/>
              <w:snapToGrid w:val="0"/>
              <w:jc w:val="center"/>
              <w:rPr>
                <w:rFonts w:ascii="Times New Roman" w:hAnsi="Times New Roman" w:cs="Times New Roman"/>
                <w:snapToGrid/>
                <w:color w:val="auto"/>
                <w:sz w:val="21"/>
                <w:lang w:eastAsia="zh-CN"/>
              </w:rPr>
            </w:pPr>
          </w:p>
        </w:tc>
        <w:tc>
          <w:tcPr>
            <w:tcW w:w="545" w:type="pct"/>
            <w:vMerge w:val="continue"/>
            <w:vAlign w:val="center"/>
          </w:tcPr>
          <w:p w14:paraId="71776E5C">
            <w:pPr>
              <w:adjustRightInd w:val="0"/>
              <w:snapToGrid w:val="0"/>
              <w:jc w:val="center"/>
              <w:rPr>
                <w:rFonts w:ascii="Times New Roman" w:hAnsi="Times New Roman" w:cs="Times New Roman"/>
                <w:snapToGrid/>
                <w:color w:val="auto"/>
                <w:sz w:val="21"/>
                <w:lang w:eastAsia="zh-CN"/>
              </w:rPr>
            </w:pPr>
          </w:p>
        </w:tc>
        <w:tc>
          <w:tcPr>
            <w:tcW w:w="1399" w:type="pct"/>
            <w:gridSpan w:val="2"/>
            <w:vAlign w:val="center"/>
          </w:tcPr>
          <w:p w14:paraId="0DD1A15B">
            <w:pPr>
              <w:adjustRightInd w:val="0"/>
              <w:snapToGrid w:val="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氯化物</w:t>
            </w:r>
          </w:p>
        </w:tc>
        <w:tc>
          <w:tcPr>
            <w:tcW w:w="702" w:type="pct"/>
            <w:vMerge w:val="continue"/>
            <w:vAlign w:val="center"/>
          </w:tcPr>
          <w:p w14:paraId="3E27E31F">
            <w:pPr>
              <w:adjustRightInd w:val="0"/>
              <w:snapToGrid w:val="0"/>
              <w:jc w:val="center"/>
              <w:rPr>
                <w:rFonts w:ascii="Times New Roman" w:hAnsi="Times New Roman" w:cs="Times New Roman"/>
                <w:snapToGrid/>
                <w:color w:val="auto"/>
                <w:sz w:val="21"/>
                <w:lang w:eastAsia="zh-CN"/>
              </w:rPr>
            </w:pPr>
          </w:p>
        </w:tc>
        <w:tc>
          <w:tcPr>
            <w:tcW w:w="545" w:type="pct"/>
            <w:vAlign w:val="center"/>
          </w:tcPr>
          <w:p w14:paraId="1B40E58B">
            <w:pPr>
              <w:adjustRightInd w:val="0"/>
              <w:snapToGrid w:val="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半年</w:t>
            </w:r>
            <w:r>
              <w:rPr>
                <w:rFonts w:ascii="Times New Roman" w:hAnsi="Times New Roman" w:cs="Times New Roman"/>
                <w:snapToGrid/>
                <w:color w:val="auto"/>
                <w:sz w:val="21"/>
                <w:lang w:eastAsia="zh-CN"/>
              </w:rPr>
              <w:t>一次</w:t>
            </w:r>
          </w:p>
        </w:tc>
        <w:tc>
          <w:tcPr>
            <w:tcW w:w="721" w:type="pct"/>
            <w:vMerge w:val="continue"/>
            <w:vAlign w:val="center"/>
          </w:tcPr>
          <w:p w14:paraId="23B2D1B3">
            <w:pPr>
              <w:adjustRightInd w:val="0"/>
              <w:snapToGrid w:val="0"/>
              <w:jc w:val="center"/>
              <w:rPr>
                <w:rFonts w:ascii="Times New Roman" w:hAnsi="Times New Roman" w:cs="Times New Roman"/>
                <w:snapToGrid/>
                <w:color w:val="auto"/>
                <w:sz w:val="21"/>
                <w:lang w:eastAsia="zh-CN"/>
              </w:rPr>
            </w:pPr>
          </w:p>
        </w:tc>
      </w:tr>
      <w:tr w14:paraId="0E6319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 w:type="pct"/>
            <w:vAlign w:val="center"/>
          </w:tcPr>
          <w:p w14:paraId="55431D4C">
            <w:pPr>
              <w:adjustRightInd w:val="0"/>
              <w:snapToGrid w:val="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雨水</w:t>
            </w:r>
          </w:p>
        </w:tc>
        <w:tc>
          <w:tcPr>
            <w:tcW w:w="716" w:type="pct"/>
            <w:vAlign w:val="center"/>
          </w:tcPr>
          <w:p w14:paraId="0AC7C361">
            <w:pPr>
              <w:adjustRightInd w:val="0"/>
              <w:snapToGrid w:val="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雨水排放口</w:t>
            </w:r>
          </w:p>
        </w:tc>
        <w:tc>
          <w:tcPr>
            <w:tcW w:w="545" w:type="pct"/>
            <w:vAlign w:val="center"/>
          </w:tcPr>
          <w:p w14:paraId="2C9F20C1">
            <w:pPr>
              <w:adjustRightInd w:val="0"/>
              <w:snapToGrid w:val="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w:t>
            </w:r>
          </w:p>
        </w:tc>
        <w:tc>
          <w:tcPr>
            <w:tcW w:w="1399" w:type="pct"/>
            <w:gridSpan w:val="2"/>
            <w:vAlign w:val="center"/>
          </w:tcPr>
          <w:p w14:paraId="6FB84EA6">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COD、</w:t>
            </w:r>
            <w:r>
              <w:rPr>
                <w:rFonts w:hint="eastAsia" w:ascii="Times New Roman" w:hAnsi="Times New Roman" w:cs="Times New Roman"/>
                <w:snapToGrid/>
                <w:color w:val="auto"/>
                <w:sz w:val="21"/>
                <w:lang w:eastAsia="zh-CN"/>
              </w:rPr>
              <w:t>SS、氟化物、氯化物</w:t>
            </w:r>
          </w:p>
        </w:tc>
        <w:tc>
          <w:tcPr>
            <w:tcW w:w="1967" w:type="pct"/>
            <w:gridSpan w:val="3"/>
            <w:vAlign w:val="center"/>
          </w:tcPr>
          <w:p w14:paraId="0CAE1B89">
            <w:pPr>
              <w:adjustRightInd w:val="0"/>
              <w:snapToGrid w:val="0"/>
              <w:jc w:val="center"/>
              <w:rPr>
                <w:rFonts w:ascii="Times New Roman" w:hAnsi="Times New Roman" w:cs="Times New Roman"/>
                <w:snapToGrid/>
                <w:color w:val="auto"/>
                <w:sz w:val="21"/>
                <w:lang w:eastAsia="zh-CN"/>
              </w:rPr>
            </w:pPr>
            <w:r>
              <w:rPr>
                <w:rFonts w:hint="eastAsia" w:ascii="Times New Roman" w:hAnsi="Times New Roman" w:cs="Times New Roman"/>
                <w:snapToGrid/>
                <w:color w:val="auto"/>
                <w:sz w:val="21"/>
                <w:lang w:eastAsia="zh-CN"/>
              </w:rPr>
              <w:t>雨水排放口每月有流动水排放时开展一次监测。如监测一年无异常情况，可放宽至每季度有流动水排放时开展一次监测。</w:t>
            </w:r>
          </w:p>
        </w:tc>
      </w:tr>
      <w:tr w14:paraId="293DB5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 w:type="pct"/>
            <w:vAlign w:val="center"/>
          </w:tcPr>
          <w:p w14:paraId="0AD74A2E">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噪声</w:t>
            </w:r>
          </w:p>
        </w:tc>
        <w:tc>
          <w:tcPr>
            <w:tcW w:w="2661" w:type="pct"/>
            <w:gridSpan w:val="4"/>
            <w:vAlign w:val="center"/>
          </w:tcPr>
          <w:p w14:paraId="00457D0A">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连续等效A声级</w:t>
            </w:r>
          </w:p>
        </w:tc>
        <w:tc>
          <w:tcPr>
            <w:tcW w:w="702" w:type="pct"/>
            <w:vAlign w:val="center"/>
          </w:tcPr>
          <w:p w14:paraId="04DA9033">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四周厂界</w:t>
            </w:r>
          </w:p>
        </w:tc>
        <w:tc>
          <w:tcPr>
            <w:tcW w:w="545" w:type="pct"/>
            <w:vAlign w:val="center"/>
          </w:tcPr>
          <w:p w14:paraId="4FDAA468">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每季1次，昼夜各一次</w:t>
            </w:r>
          </w:p>
        </w:tc>
        <w:tc>
          <w:tcPr>
            <w:tcW w:w="721" w:type="pct"/>
            <w:vAlign w:val="center"/>
          </w:tcPr>
          <w:p w14:paraId="11E2149E">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《工业企业厂界环境噪声排放标准》（GB12348-2008）3类区</w:t>
            </w:r>
          </w:p>
        </w:tc>
      </w:tr>
      <w:bookmarkEnd w:id="2739"/>
    </w:tbl>
    <w:p w14:paraId="29334D61">
      <w:pPr>
        <w:spacing w:line="360" w:lineRule="auto"/>
        <w:ind w:firstLine="482"/>
        <w:outlineLvl w:val="2"/>
        <w:rPr>
          <w:rFonts w:ascii="Times New Roman" w:hAnsi="Times New Roman" w:cs="Times New Roman"/>
          <w:b/>
          <w:bCs/>
          <w:color w:val="auto"/>
          <w:lang w:eastAsia="zh-CN"/>
        </w:rPr>
      </w:pPr>
      <w:bookmarkStart w:id="2740" w:name="_Toc225784197"/>
      <w:bookmarkStart w:id="2741" w:name="_Toc173743516"/>
      <w:bookmarkStart w:id="2742" w:name="_Toc172555778"/>
      <w:bookmarkStart w:id="2743" w:name="_Toc203927139"/>
      <w:bookmarkStart w:id="2744" w:name="_Toc237508430"/>
      <w:bookmarkStart w:id="2745" w:name="_Toc236641965"/>
      <w:bookmarkStart w:id="2746" w:name="_Toc218784421"/>
      <w:bookmarkStart w:id="2747" w:name="_Toc224674835"/>
      <w:bookmarkStart w:id="2748" w:name="_Toc176513142"/>
      <w:bookmarkStart w:id="2749" w:name="_Toc178602487"/>
      <w:bookmarkStart w:id="2750" w:name="_Toc223425195"/>
      <w:bookmarkStart w:id="2751" w:name="_Toc204448603"/>
      <w:bookmarkStart w:id="2752" w:name="_Toc231828718"/>
      <w:bookmarkStart w:id="2753" w:name="_Toc204515338"/>
      <w:bookmarkStart w:id="2754" w:name="_Toc173740412"/>
      <w:bookmarkStart w:id="2755" w:name="_Toc175164406"/>
      <w:bookmarkStart w:id="2756" w:name="_Toc217662809"/>
      <w:bookmarkStart w:id="2757" w:name="_Toc221900977"/>
      <w:bookmarkStart w:id="2758" w:name="_Toc2402"/>
      <w:r>
        <w:rPr>
          <w:rFonts w:ascii="Times New Roman" w:hAnsi="Times New Roman" w:cs="Times New Roman"/>
          <w:b/>
          <w:bCs/>
          <w:color w:val="auto"/>
          <w:lang w:eastAsia="zh-CN"/>
        </w:rPr>
        <w:t>10.4.2 运营期环境质量现状监测计划</w:t>
      </w:r>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p>
    <w:p w14:paraId="302C4440">
      <w:pPr>
        <w:spacing w:line="360" w:lineRule="auto"/>
        <w:ind w:firstLine="480" w:firstLineChars="200"/>
        <w:jc w:val="both"/>
        <w:rPr>
          <w:rFonts w:ascii="Times New Roman" w:hAnsi="Times New Roman" w:cs="Times New Roman"/>
          <w:snapToGrid/>
          <w:color w:val="auto"/>
          <w:szCs w:val="24"/>
          <w:lang w:eastAsia="zh-CN"/>
        </w:rPr>
      </w:pPr>
      <w:r>
        <w:rPr>
          <w:rFonts w:ascii="Times New Roman" w:hAnsi="Times New Roman" w:cs="Times New Roman"/>
          <w:snapToGrid/>
          <w:color w:val="auto"/>
          <w:szCs w:val="24"/>
          <w:lang w:eastAsia="zh-CN"/>
        </w:rPr>
        <w:t>根据</w:t>
      </w:r>
      <w:r>
        <w:rPr>
          <w:rFonts w:ascii="Times New Roman" w:hAnsi="Times New Roman" w:cs="Times New Roman"/>
          <w:color w:val="000000" w:themeColor="text1"/>
          <w:lang w:eastAsia="zh-CN"/>
          <w14:textFill>
            <w14:solidFill>
              <w14:schemeClr w14:val="tx1"/>
            </w14:solidFill>
          </w14:textFill>
        </w:rPr>
        <w:t xml:space="preserve">《排污许可证申请与核发技术规范 </w:t>
      </w:r>
      <w:r>
        <w:rPr>
          <w:rFonts w:hint="eastAsia" w:ascii="Times New Roman" w:hAnsi="Times New Roman" w:cs="Times New Roman"/>
          <w:color w:val="000000" w:themeColor="text1"/>
          <w:lang w:eastAsia="zh-CN"/>
          <w14:textFill>
            <w14:solidFill>
              <w14:schemeClr w14:val="tx1"/>
            </w14:solidFill>
          </w14:textFill>
        </w:rPr>
        <w:t>无机化学工业</w:t>
      </w:r>
      <w:r>
        <w:rPr>
          <w:rFonts w:ascii="Times New Roman" w:hAnsi="Times New Roman" w:cs="Times New Roman"/>
          <w:color w:val="000000" w:themeColor="text1"/>
          <w:lang w:eastAsia="zh-CN"/>
          <w14:textFill>
            <w14:solidFill>
              <w14:schemeClr w14:val="tx1"/>
            </w14:solidFill>
          </w14:textFill>
        </w:rPr>
        <w:t>》（HJ</w:t>
      </w:r>
      <w:r>
        <w:rPr>
          <w:rFonts w:hint="eastAsia" w:ascii="Times New Roman" w:hAnsi="Times New Roman" w:cs="Times New Roman"/>
          <w:color w:val="000000" w:themeColor="text1"/>
          <w:lang w:eastAsia="zh-CN"/>
          <w14:textFill>
            <w14:solidFill>
              <w14:schemeClr w14:val="tx1"/>
            </w14:solidFill>
          </w14:textFill>
        </w:rPr>
        <w:t>1035-2019</w:t>
      </w:r>
      <w:r>
        <w:rPr>
          <w:rFonts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eastAsia="zh-CN"/>
          <w14:textFill>
            <w14:solidFill>
              <w14:schemeClr w14:val="tx1"/>
            </w14:solidFill>
          </w14:textFill>
        </w:rPr>
        <w:t>、</w:t>
      </w:r>
      <w:r>
        <w:rPr>
          <w:rFonts w:ascii="Times New Roman" w:hAnsi="Times New Roman" w:cs="Times New Roman"/>
          <w:color w:val="000000" w:themeColor="text1"/>
          <w:lang w:eastAsia="zh-CN"/>
          <w14:textFill>
            <w14:solidFill>
              <w14:schemeClr w14:val="tx1"/>
            </w14:solidFill>
          </w14:textFill>
        </w:rPr>
        <w:t xml:space="preserve">《排污许可证申请与核发技术规范 </w:t>
      </w:r>
      <w:r>
        <w:rPr>
          <w:rFonts w:hint="eastAsia" w:ascii="Times New Roman" w:hAnsi="Times New Roman" w:cs="Times New Roman"/>
          <w:color w:val="000000" w:themeColor="text1"/>
          <w:lang w:eastAsia="zh-CN"/>
          <w14:textFill>
            <w14:solidFill>
              <w14:schemeClr w14:val="tx1"/>
            </w14:solidFill>
          </w14:textFill>
        </w:rPr>
        <w:t>电子工业</w:t>
      </w:r>
      <w:r>
        <w:rPr>
          <w:rFonts w:ascii="Times New Roman" w:hAnsi="Times New Roman" w:cs="Times New Roman"/>
          <w:color w:val="000000" w:themeColor="text1"/>
          <w:lang w:eastAsia="zh-CN"/>
          <w14:textFill>
            <w14:solidFill>
              <w14:schemeClr w14:val="tx1"/>
            </w14:solidFill>
          </w14:textFill>
        </w:rPr>
        <w:t>》（HJ</w:t>
      </w:r>
      <w:r>
        <w:rPr>
          <w:rFonts w:hint="eastAsia" w:ascii="Times New Roman" w:hAnsi="Times New Roman" w:cs="Times New Roman"/>
          <w:color w:val="000000" w:themeColor="text1"/>
          <w:lang w:eastAsia="zh-CN"/>
          <w14:textFill>
            <w14:solidFill>
              <w14:schemeClr w14:val="tx1"/>
            </w14:solidFill>
          </w14:textFill>
        </w:rPr>
        <w:t>1035-2019</w:t>
      </w:r>
      <w:r>
        <w:rPr>
          <w:rFonts w:ascii="Times New Roman" w:hAnsi="Times New Roman" w:cs="Times New Roman"/>
          <w:color w:val="000000" w:themeColor="text1"/>
          <w:lang w:eastAsia="zh-CN"/>
          <w14:textFill>
            <w14:solidFill>
              <w14:schemeClr w14:val="tx1"/>
            </w14:solidFill>
          </w14:textFill>
        </w:rPr>
        <w:t>）</w:t>
      </w:r>
      <w:r>
        <w:rPr>
          <w:rFonts w:ascii="Times New Roman" w:hAnsi="Times New Roman" w:cs="Times New Roman"/>
          <w:snapToGrid/>
          <w:color w:val="auto"/>
          <w:szCs w:val="24"/>
          <w:lang w:eastAsia="zh-CN"/>
        </w:rPr>
        <w:t>、《环境影响评价技术导则 大气环境》（HJ2.2-2018）、《环境影响评价技术导则 土壤环境（试行）》（HJ964-2018），结合项目特征，项目运营期环境质量监测计划制定见下表。</w:t>
      </w:r>
    </w:p>
    <w:p w14:paraId="03E8630E">
      <w:pPr>
        <w:spacing w:line="360" w:lineRule="auto"/>
        <w:jc w:val="center"/>
        <w:rPr>
          <w:rFonts w:ascii="Times New Roman" w:hAnsi="Times New Roman" w:cs="Times New Roman"/>
          <w:snapToGrid/>
          <w:color w:val="auto"/>
          <w:szCs w:val="24"/>
          <w:lang w:eastAsia="zh-CN"/>
        </w:rPr>
      </w:pPr>
      <w:bookmarkStart w:id="2759" w:name="_Toc2320"/>
      <w:r>
        <w:rPr>
          <w:rFonts w:ascii="Times New Roman" w:hAnsi="Times New Roman" w:cs="Times New Roman"/>
          <w:b/>
          <w:bCs/>
          <w:color w:val="auto"/>
          <w:lang w:eastAsia="zh-CN"/>
        </w:rPr>
        <w:t>表10.4-2 项目环境质量监测计划一览表</w:t>
      </w:r>
    </w:p>
    <w:tbl>
      <w:tblPr>
        <w:tblStyle w:val="35"/>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41"/>
        <w:gridCol w:w="4290"/>
        <w:gridCol w:w="1630"/>
        <w:gridCol w:w="1062"/>
        <w:gridCol w:w="2123"/>
      </w:tblGrid>
      <w:tr w14:paraId="2CEC1E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9" w:type="pct"/>
            <w:vAlign w:val="center"/>
          </w:tcPr>
          <w:p w14:paraId="052CBF5F">
            <w:pPr>
              <w:adjustRightInd w:val="0"/>
              <w:snapToGrid w:val="0"/>
              <w:jc w:val="center"/>
              <w:rPr>
                <w:rFonts w:ascii="Times New Roman" w:hAnsi="Times New Roman" w:cs="Times New Roman"/>
                <w:b/>
                <w:bCs/>
                <w:snapToGrid/>
                <w:color w:val="000000" w:themeColor="text1"/>
                <w:sz w:val="21"/>
                <w:lang w:eastAsia="zh-CN"/>
                <w14:textFill>
                  <w14:solidFill>
                    <w14:schemeClr w14:val="tx1"/>
                  </w14:solidFill>
                </w14:textFill>
              </w:rPr>
            </w:pPr>
            <w:r>
              <w:rPr>
                <w:rFonts w:ascii="Times New Roman" w:hAnsi="Times New Roman" w:cs="Times New Roman"/>
                <w:b/>
                <w:bCs/>
                <w:snapToGrid/>
                <w:color w:val="000000" w:themeColor="text1"/>
                <w:sz w:val="21"/>
                <w:lang w:eastAsia="zh-CN"/>
                <w14:textFill>
                  <w14:solidFill>
                    <w14:schemeClr w14:val="tx1"/>
                  </w14:solidFill>
                </w14:textFill>
              </w:rPr>
              <w:t>序号</w:t>
            </w:r>
          </w:p>
        </w:tc>
        <w:tc>
          <w:tcPr>
            <w:tcW w:w="2201" w:type="pct"/>
            <w:vAlign w:val="center"/>
          </w:tcPr>
          <w:p w14:paraId="20B6443B">
            <w:pPr>
              <w:adjustRightInd w:val="0"/>
              <w:snapToGrid w:val="0"/>
              <w:jc w:val="center"/>
              <w:rPr>
                <w:rFonts w:ascii="Times New Roman" w:hAnsi="Times New Roman" w:cs="Times New Roman"/>
                <w:b/>
                <w:bCs/>
                <w:snapToGrid/>
                <w:color w:val="000000" w:themeColor="text1"/>
                <w:sz w:val="21"/>
                <w:lang w:eastAsia="zh-CN"/>
                <w14:textFill>
                  <w14:solidFill>
                    <w14:schemeClr w14:val="tx1"/>
                  </w14:solidFill>
                </w14:textFill>
              </w:rPr>
            </w:pPr>
            <w:r>
              <w:rPr>
                <w:rFonts w:ascii="Times New Roman" w:hAnsi="Times New Roman" w:cs="Times New Roman"/>
                <w:b/>
                <w:bCs/>
                <w:snapToGrid/>
                <w:color w:val="000000" w:themeColor="text1"/>
                <w:sz w:val="21"/>
                <w:lang w:eastAsia="zh-CN"/>
                <w14:textFill>
                  <w14:solidFill>
                    <w14:schemeClr w14:val="tx1"/>
                  </w14:solidFill>
                </w14:textFill>
              </w:rPr>
              <w:t>监测项目</w:t>
            </w:r>
          </w:p>
        </w:tc>
        <w:tc>
          <w:tcPr>
            <w:tcW w:w="836" w:type="pct"/>
            <w:vAlign w:val="center"/>
          </w:tcPr>
          <w:p w14:paraId="0B643F10">
            <w:pPr>
              <w:adjustRightInd w:val="0"/>
              <w:snapToGrid w:val="0"/>
              <w:jc w:val="center"/>
              <w:rPr>
                <w:rFonts w:ascii="Times New Roman" w:hAnsi="Times New Roman" w:cs="Times New Roman"/>
                <w:b/>
                <w:bCs/>
                <w:snapToGrid/>
                <w:color w:val="000000" w:themeColor="text1"/>
                <w:sz w:val="21"/>
                <w:lang w:eastAsia="zh-CN"/>
                <w14:textFill>
                  <w14:solidFill>
                    <w14:schemeClr w14:val="tx1"/>
                  </w14:solidFill>
                </w14:textFill>
              </w:rPr>
            </w:pPr>
            <w:r>
              <w:rPr>
                <w:rFonts w:ascii="Times New Roman" w:hAnsi="Times New Roman" w:cs="Times New Roman"/>
                <w:b/>
                <w:bCs/>
                <w:snapToGrid/>
                <w:color w:val="000000" w:themeColor="text1"/>
                <w:sz w:val="21"/>
                <w:lang w:eastAsia="zh-CN"/>
                <w14:textFill>
                  <w14:solidFill>
                    <w14:schemeClr w14:val="tx1"/>
                  </w14:solidFill>
                </w14:textFill>
              </w:rPr>
              <w:t>监测点位</w:t>
            </w:r>
          </w:p>
        </w:tc>
        <w:tc>
          <w:tcPr>
            <w:tcW w:w="545" w:type="pct"/>
            <w:vAlign w:val="center"/>
          </w:tcPr>
          <w:p w14:paraId="1FD4020F">
            <w:pPr>
              <w:adjustRightInd w:val="0"/>
              <w:snapToGrid w:val="0"/>
              <w:jc w:val="center"/>
              <w:rPr>
                <w:rFonts w:ascii="Times New Roman" w:hAnsi="Times New Roman" w:cs="Times New Roman"/>
                <w:b/>
                <w:bCs/>
                <w:snapToGrid/>
                <w:color w:val="000000" w:themeColor="text1"/>
                <w:sz w:val="21"/>
                <w:lang w:eastAsia="zh-CN"/>
                <w14:textFill>
                  <w14:solidFill>
                    <w14:schemeClr w14:val="tx1"/>
                  </w14:solidFill>
                </w14:textFill>
              </w:rPr>
            </w:pPr>
            <w:r>
              <w:rPr>
                <w:rFonts w:ascii="Times New Roman" w:hAnsi="Times New Roman" w:cs="Times New Roman"/>
                <w:b/>
                <w:bCs/>
                <w:snapToGrid/>
                <w:color w:val="000000" w:themeColor="text1"/>
                <w:sz w:val="21"/>
                <w:lang w:eastAsia="zh-CN"/>
                <w14:textFill>
                  <w14:solidFill>
                    <w14:schemeClr w14:val="tx1"/>
                  </w14:solidFill>
                </w14:textFill>
              </w:rPr>
              <w:t>监测频率</w:t>
            </w:r>
          </w:p>
        </w:tc>
        <w:tc>
          <w:tcPr>
            <w:tcW w:w="1089" w:type="pct"/>
            <w:vAlign w:val="center"/>
          </w:tcPr>
          <w:p w14:paraId="235FCA99">
            <w:pPr>
              <w:adjustRightInd w:val="0"/>
              <w:snapToGrid w:val="0"/>
              <w:jc w:val="center"/>
              <w:rPr>
                <w:rFonts w:ascii="Times New Roman" w:hAnsi="Times New Roman" w:cs="Times New Roman"/>
                <w:b/>
                <w:bCs/>
                <w:snapToGrid/>
                <w:color w:val="000000" w:themeColor="text1"/>
                <w:sz w:val="21"/>
                <w:lang w:eastAsia="zh-CN"/>
                <w14:textFill>
                  <w14:solidFill>
                    <w14:schemeClr w14:val="tx1"/>
                  </w14:solidFill>
                </w14:textFill>
              </w:rPr>
            </w:pPr>
            <w:r>
              <w:rPr>
                <w:rFonts w:ascii="Times New Roman" w:hAnsi="Times New Roman" w:cs="Times New Roman"/>
                <w:b/>
                <w:bCs/>
                <w:snapToGrid/>
                <w:color w:val="000000" w:themeColor="text1"/>
                <w:sz w:val="21"/>
                <w:lang w:eastAsia="zh-CN"/>
                <w14:textFill>
                  <w14:solidFill>
                    <w14:schemeClr w14:val="tx1"/>
                  </w14:solidFill>
                </w14:textFill>
              </w:rPr>
              <w:t>执行标准</w:t>
            </w:r>
          </w:p>
        </w:tc>
      </w:tr>
      <w:tr w14:paraId="4EE5FD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9" w:type="pct"/>
            <w:vMerge w:val="restart"/>
            <w:vAlign w:val="center"/>
          </w:tcPr>
          <w:p w14:paraId="795D18A8">
            <w:pPr>
              <w:adjustRightInd w:val="0"/>
              <w:snapToGrid w:val="0"/>
              <w:jc w:val="center"/>
              <w:rPr>
                <w:rFonts w:ascii="Times New Roman" w:hAnsi="Times New Roman" w:cs="Times New Roman"/>
                <w:snapToGrid/>
                <w:color w:val="000000" w:themeColor="text1"/>
                <w:sz w:val="21"/>
                <w:lang w:eastAsia="zh-CN"/>
                <w14:textFill>
                  <w14:solidFill>
                    <w14:schemeClr w14:val="tx1"/>
                  </w14:solidFill>
                </w14:textFill>
              </w:rPr>
            </w:pPr>
            <w:r>
              <w:rPr>
                <w:rFonts w:ascii="Times New Roman" w:hAnsi="Times New Roman" w:cs="Times New Roman"/>
                <w:snapToGrid/>
                <w:color w:val="000000" w:themeColor="text1"/>
                <w:sz w:val="21"/>
                <w:lang w:eastAsia="zh-CN"/>
                <w14:textFill>
                  <w14:solidFill>
                    <w14:schemeClr w14:val="tx1"/>
                  </w14:solidFill>
                </w14:textFill>
              </w:rPr>
              <w:t>大气</w:t>
            </w:r>
          </w:p>
        </w:tc>
        <w:tc>
          <w:tcPr>
            <w:tcW w:w="2201" w:type="pct"/>
            <w:vAlign w:val="center"/>
          </w:tcPr>
          <w:p w14:paraId="0387D487">
            <w:pPr>
              <w:adjustRightInd w:val="0"/>
              <w:snapToGrid w:val="0"/>
              <w:jc w:val="center"/>
              <w:rPr>
                <w:rFonts w:ascii="Times New Roman" w:hAnsi="Times New Roman" w:cs="Times New Roman"/>
                <w:snapToGrid/>
                <w:color w:val="000000" w:themeColor="text1"/>
                <w:sz w:val="21"/>
                <w:lang w:eastAsia="zh-CN"/>
                <w14:textFill>
                  <w14:solidFill>
                    <w14:schemeClr w14:val="tx1"/>
                  </w14:solidFill>
                </w14:textFill>
              </w:rPr>
            </w:pPr>
            <w:r>
              <w:rPr>
                <w:rFonts w:hint="eastAsia" w:ascii="Times New Roman" w:hAnsi="Times New Roman" w:cs="Times New Roman"/>
                <w:snapToGrid/>
                <w:color w:val="000000" w:themeColor="text1"/>
                <w:sz w:val="21"/>
                <w:lang w:eastAsia="zh-CN"/>
                <w14:textFill>
                  <w14:solidFill>
                    <w14:schemeClr w14:val="tx1"/>
                  </w14:solidFill>
                </w14:textFill>
              </w:rPr>
              <w:t>氯化氢</w:t>
            </w:r>
          </w:p>
        </w:tc>
        <w:tc>
          <w:tcPr>
            <w:tcW w:w="836" w:type="pct"/>
            <w:vMerge w:val="restart"/>
            <w:vAlign w:val="center"/>
          </w:tcPr>
          <w:p w14:paraId="0CF0FD50">
            <w:pPr>
              <w:adjustRightInd w:val="0"/>
              <w:snapToGrid w:val="0"/>
              <w:jc w:val="center"/>
              <w:rPr>
                <w:rFonts w:ascii="Times New Roman" w:hAnsi="Times New Roman" w:cs="Times New Roman"/>
                <w:snapToGrid/>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大柏村</w:t>
            </w:r>
          </w:p>
        </w:tc>
        <w:tc>
          <w:tcPr>
            <w:tcW w:w="545" w:type="pct"/>
            <w:vMerge w:val="restart"/>
            <w:vAlign w:val="center"/>
          </w:tcPr>
          <w:p w14:paraId="1432975E">
            <w:pPr>
              <w:adjustRightInd w:val="0"/>
              <w:snapToGrid w:val="0"/>
              <w:jc w:val="center"/>
              <w:rPr>
                <w:rFonts w:ascii="Times New Roman" w:hAnsi="Times New Roman" w:cs="Times New Roman"/>
                <w:snapToGrid/>
                <w:color w:val="000000" w:themeColor="text1"/>
                <w:sz w:val="21"/>
                <w:lang w:eastAsia="zh-CN"/>
                <w14:textFill>
                  <w14:solidFill>
                    <w14:schemeClr w14:val="tx1"/>
                  </w14:solidFill>
                </w14:textFill>
              </w:rPr>
            </w:pPr>
            <w:r>
              <w:rPr>
                <w:rFonts w:ascii="Times New Roman" w:hAnsi="Times New Roman" w:cs="Times New Roman"/>
                <w:snapToGrid/>
                <w:color w:val="000000" w:themeColor="text1"/>
                <w:sz w:val="21"/>
                <w:lang w:eastAsia="zh-CN"/>
                <w14:textFill>
                  <w14:solidFill>
                    <w14:schemeClr w14:val="tx1"/>
                  </w14:solidFill>
                </w14:textFill>
              </w:rPr>
              <w:t>每年1次</w:t>
            </w:r>
          </w:p>
        </w:tc>
        <w:tc>
          <w:tcPr>
            <w:tcW w:w="1089" w:type="pct"/>
            <w:vAlign w:val="center"/>
          </w:tcPr>
          <w:p w14:paraId="73E5B88D">
            <w:pPr>
              <w:adjustRightInd w:val="0"/>
              <w:snapToGrid w:val="0"/>
              <w:jc w:val="center"/>
              <w:rPr>
                <w:rFonts w:ascii="Times New Roman" w:hAnsi="Times New Roman" w:cs="Times New Roman"/>
                <w:snapToGrid/>
                <w:color w:val="000000" w:themeColor="text1"/>
                <w:sz w:val="21"/>
                <w:lang w:eastAsia="zh-CN"/>
                <w14:textFill>
                  <w14:solidFill>
                    <w14:schemeClr w14:val="tx1"/>
                  </w14:solidFill>
                </w14:textFill>
              </w:rPr>
            </w:pPr>
            <w:r>
              <w:rPr>
                <w:rFonts w:ascii="Times New Roman" w:hAnsi="Times New Roman" w:cs="Times New Roman"/>
                <w:snapToGrid/>
                <w:color w:val="000000" w:themeColor="text1"/>
                <w:sz w:val="21"/>
                <w:lang w:eastAsia="zh-CN"/>
                <w14:textFill>
                  <w14:solidFill>
                    <w14:schemeClr w14:val="tx1"/>
                  </w14:solidFill>
                </w14:textFill>
              </w:rPr>
              <w:t>《环境影响评价技术导则大气环境》（HJ2.2-2018）附录D</w:t>
            </w:r>
          </w:p>
        </w:tc>
      </w:tr>
      <w:tr w14:paraId="27DDBC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9" w:type="pct"/>
            <w:vMerge w:val="continue"/>
            <w:vAlign w:val="center"/>
          </w:tcPr>
          <w:p w14:paraId="6836F56A">
            <w:pPr>
              <w:adjustRightInd w:val="0"/>
              <w:snapToGrid w:val="0"/>
              <w:jc w:val="center"/>
              <w:rPr>
                <w:rFonts w:ascii="Times New Roman" w:hAnsi="Times New Roman" w:cs="Times New Roman"/>
                <w:snapToGrid/>
                <w:color w:val="000000" w:themeColor="text1"/>
                <w:sz w:val="21"/>
                <w:lang w:eastAsia="zh-CN"/>
                <w14:textFill>
                  <w14:solidFill>
                    <w14:schemeClr w14:val="tx1"/>
                  </w14:solidFill>
                </w14:textFill>
              </w:rPr>
            </w:pPr>
          </w:p>
        </w:tc>
        <w:tc>
          <w:tcPr>
            <w:tcW w:w="2201" w:type="pct"/>
            <w:vAlign w:val="center"/>
          </w:tcPr>
          <w:p w14:paraId="1F71C8AA">
            <w:pPr>
              <w:adjustRightInd w:val="0"/>
              <w:snapToGrid w:val="0"/>
              <w:jc w:val="center"/>
              <w:rPr>
                <w:rFonts w:ascii="Times New Roman" w:hAnsi="Times New Roman" w:cs="Times New Roman"/>
                <w:snapToGrid/>
                <w:color w:val="000000" w:themeColor="text1"/>
                <w:sz w:val="21"/>
                <w:lang w:eastAsia="zh-CN"/>
                <w14:textFill>
                  <w14:solidFill>
                    <w14:schemeClr w14:val="tx1"/>
                  </w14:solidFill>
                </w14:textFill>
              </w:rPr>
            </w:pPr>
            <w:r>
              <w:rPr>
                <w:rFonts w:hint="eastAsia" w:ascii="Times New Roman" w:hAnsi="Times New Roman" w:cs="Times New Roman"/>
                <w:snapToGrid/>
                <w:color w:val="000000" w:themeColor="text1"/>
                <w:sz w:val="21"/>
                <w:lang w:eastAsia="zh-CN"/>
                <w14:textFill>
                  <w14:solidFill>
                    <w14:schemeClr w14:val="tx1"/>
                  </w14:solidFill>
                </w14:textFill>
              </w:rPr>
              <w:t>氟化物</w:t>
            </w:r>
          </w:p>
        </w:tc>
        <w:tc>
          <w:tcPr>
            <w:tcW w:w="836" w:type="pct"/>
            <w:vMerge w:val="continue"/>
            <w:vAlign w:val="center"/>
          </w:tcPr>
          <w:p w14:paraId="6B2BDD79">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545" w:type="pct"/>
            <w:vMerge w:val="continue"/>
            <w:vAlign w:val="center"/>
          </w:tcPr>
          <w:p w14:paraId="0CDC623F">
            <w:pPr>
              <w:adjustRightInd w:val="0"/>
              <w:snapToGrid w:val="0"/>
              <w:jc w:val="center"/>
              <w:rPr>
                <w:rFonts w:ascii="Times New Roman" w:hAnsi="Times New Roman" w:cs="Times New Roman"/>
                <w:snapToGrid/>
                <w:color w:val="000000" w:themeColor="text1"/>
                <w:sz w:val="21"/>
                <w:lang w:eastAsia="zh-CN"/>
                <w14:textFill>
                  <w14:solidFill>
                    <w14:schemeClr w14:val="tx1"/>
                  </w14:solidFill>
                </w14:textFill>
              </w:rPr>
            </w:pPr>
          </w:p>
        </w:tc>
        <w:tc>
          <w:tcPr>
            <w:tcW w:w="1089" w:type="pct"/>
            <w:vAlign w:val="center"/>
          </w:tcPr>
          <w:p w14:paraId="7DB1C4F4">
            <w:pPr>
              <w:adjustRightInd w:val="0"/>
              <w:snapToGrid w:val="0"/>
              <w:jc w:val="center"/>
              <w:rPr>
                <w:rFonts w:ascii="Times New Roman" w:hAnsi="Times New Roman" w:cs="Times New Roman"/>
                <w:snapToGrid/>
                <w:color w:val="000000" w:themeColor="text1"/>
                <w:sz w:val="21"/>
                <w:lang w:eastAsia="zh-CN"/>
                <w14:textFill>
                  <w14:solidFill>
                    <w14:schemeClr w14:val="tx1"/>
                  </w14:solidFill>
                </w14:textFill>
              </w:rPr>
            </w:pPr>
            <w:r>
              <w:rPr>
                <w:rFonts w:ascii="Times New Roman" w:hAnsi="Times New Roman" w:cs="Times New Roman"/>
                <w:snapToGrid/>
                <w:color w:val="000000" w:themeColor="text1"/>
                <w:sz w:val="21"/>
                <w:lang w:eastAsia="zh-CN"/>
                <w14:textFill>
                  <w14:solidFill>
                    <w14:schemeClr w14:val="tx1"/>
                  </w14:solidFill>
                </w14:textFill>
              </w:rPr>
              <w:t>《环境空气质量标准》（GB3095-20</w:t>
            </w:r>
            <w:r>
              <w:rPr>
                <w:rFonts w:hint="eastAsia" w:ascii="Times New Roman" w:hAnsi="Times New Roman" w:cs="Times New Roman"/>
                <w:snapToGrid/>
                <w:color w:val="000000" w:themeColor="text1"/>
                <w:sz w:val="21"/>
                <w:lang w:eastAsia="zh-CN"/>
                <w14:textFill>
                  <w14:solidFill>
                    <w14:schemeClr w14:val="tx1"/>
                  </w14:solidFill>
                </w14:textFill>
              </w:rPr>
              <w:t>26</w:t>
            </w:r>
            <w:r>
              <w:rPr>
                <w:rFonts w:ascii="Times New Roman" w:hAnsi="Times New Roman" w:cs="Times New Roman"/>
                <w:snapToGrid/>
                <w:color w:val="000000" w:themeColor="text1"/>
                <w:sz w:val="21"/>
                <w:lang w:eastAsia="zh-CN"/>
                <w14:textFill>
                  <w14:solidFill>
                    <w14:schemeClr w14:val="tx1"/>
                  </w14:solidFill>
                </w14:textFill>
              </w:rPr>
              <w:t>）</w:t>
            </w:r>
          </w:p>
        </w:tc>
      </w:tr>
      <w:tr w14:paraId="0F798E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329" w:type="pct"/>
            <w:vMerge w:val="restart"/>
            <w:vAlign w:val="center"/>
          </w:tcPr>
          <w:p w14:paraId="75218A84">
            <w:pPr>
              <w:adjustRightInd w:val="0"/>
              <w:snapToGrid w:val="0"/>
              <w:jc w:val="center"/>
              <w:rPr>
                <w:rFonts w:ascii="Times New Roman" w:hAnsi="Times New Roman" w:cs="Times New Roman"/>
                <w:snapToGrid/>
                <w:color w:val="000000" w:themeColor="text1"/>
                <w:sz w:val="21"/>
                <w:lang w:eastAsia="zh-CN"/>
                <w14:textFill>
                  <w14:solidFill>
                    <w14:schemeClr w14:val="tx1"/>
                  </w14:solidFill>
                </w14:textFill>
              </w:rPr>
            </w:pPr>
            <w:r>
              <w:rPr>
                <w:rFonts w:ascii="Times New Roman" w:hAnsi="Times New Roman" w:cs="Times New Roman"/>
                <w:snapToGrid/>
                <w:color w:val="000000" w:themeColor="text1"/>
                <w:sz w:val="21"/>
                <w:lang w:eastAsia="zh-CN"/>
                <w14:textFill>
                  <w14:solidFill>
                    <w14:schemeClr w14:val="tx1"/>
                  </w14:solidFill>
                </w14:textFill>
              </w:rPr>
              <w:t>地下水</w:t>
            </w:r>
          </w:p>
        </w:tc>
        <w:tc>
          <w:tcPr>
            <w:tcW w:w="2201" w:type="pct"/>
            <w:vMerge w:val="restart"/>
            <w:vAlign w:val="center"/>
          </w:tcPr>
          <w:p w14:paraId="22CBD6FA">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pH、氨氮、硝酸盐、亚硝酸盐、挥发性酚、氰化物、氟化物、砷、汞、铬（六价）、总硬度、铅、氟、镉、铁、锰、溶解性总固体、耗氧量、硫酸盐、氯化物、总大肠菌群、细菌总数、</w:t>
            </w:r>
            <w:r>
              <w:rPr>
                <w:rFonts w:hint="eastAsia" w:ascii="Times New Roman" w:hAnsi="Times New Roman" w:cs="Times New Roman"/>
                <w:color w:val="000000" w:themeColor="text1"/>
                <w:sz w:val="21"/>
                <w:lang w:eastAsia="zh-CN"/>
                <w14:textFill>
                  <w14:solidFill>
                    <w14:schemeClr w14:val="tx1"/>
                  </w14:solidFill>
                </w14:textFill>
              </w:rPr>
              <w:t>硫化物、</w:t>
            </w:r>
            <w:r>
              <w:rPr>
                <w:rFonts w:ascii="Times New Roman" w:hAnsi="Times New Roman" w:cs="Times New Roman"/>
                <w:color w:val="000000" w:themeColor="text1"/>
                <w:sz w:val="21"/>
                <w:lang w:eastAsia="zh-CN"/>
                <w14:textFill>
                  <w14:solidFill>
                    <w14:schemeClr w14:val="tx1"/>
                  </w14:solidFill>
                </w14:textFill>
              </w:rPr>
              <w:t>K</w:t>
            </w:r>
            <w:r>
              <w:rPr>
                <w:rFonts w:ascii="Times New Roman" w:hAnsi="Times New Roman" w:cs="Times New Roman"/>
                <w:color w:val="000000" w:themeColor="text1"/>
                <w:sz w:val="21"/>
                <w:vertAlign w:val="superscript"/>
                <w:lang w:eastAsia="zh-CN"/>
                <w14:textFill>
                  <w14:solidFill>
                    <w14:schemeClr w14:val="tx1"/>
                  </w14:solidFill>
                </w14:textFill>
              </w:rPr>
              <w:t>+</w:t>
            </w:r>
            <w:r>
              <w:rPr>
                <w:rFonts w:ascii="Times New Roman" w:hAnsi="Times New Roman" w:cs="Times New Roman"/>
                <w:color w:val="000000" w:themeColor="text1"/>
                <w:sz w:val="21"/>
                <w:lang w:eastAsia="zh-CN"/>
                <w14:textFill>
                  <w14:solidFill>
                    <w14:schemeClr w14:val="tx1"/>
                  </w14:solidFill>
                </w14:textFill>
              </w:rPr>
              <w:t>、Na</w:t>
            </w:r>
            <w:r>
              <w:rPr>
                <w:rFonts w:ascii="Times New Roman" w:hAnsi="Times New Roman" w:cs="Times New Roman"/>
                <w:color w:val="000000" w:themeColor="text1"/>
                <w:sz w:val="21"/>
                <w:vertAlign w:val="superscript"/>
                <w:lang w:eastAsia="zh-CN"/>
                <w14:textFill>
                  <w14:solidFill>
                    <w14:schemeClr w14:val="tx1"/>
                  </w14:solidFill>
                </w14:textFill>
              </w:rPr>
              <w:t>+</w:t>
            </w:r>
            <w:r>
              <w:rPr>
                <w:rFonts w:ascii="Times New Roman" w:hAnsi="Times New Roman" w:cs="Times New Roman"/>
                <w:color w:val="000000" w:themeColor="text1"/>
                <w:sz w:val="21"/>
                <w:lang w:eastAsia="zh-CN"/>
                <w14:textFill>
                  <w14:solidFill>
                    <w14:schemeClr w14:val="tx1"/>
                  </w14:solidFill>
                </w14:textFill>
              </w:rPr>
              <w:t>、Ca</w:t>
            </w:r>
            <w:r>
              <w:rPr>
                <w:rFonts w:ascii="Times New Roman" w:hAnsi="Times New Roman" w:cs="Times New Roman"/>
                <w:color w:val="000000" w:themeColor="text1"/>
                <w:sz w:val="21"/>
                <w:vertAlign w:val="superscript"/>
                <w:lang w:eastAsia="zh-CN"/>
                <w14:textFill>
                  <w14:solidFill>
                    <w14:schemeClr w14:val="tx1"/>
                  </w14:solidFill>
                </w14:textFill>
              </w:rPr>
              <w:t>2+</w:t>
            </w:r>
            <w:r>
              <w:rPr>
                <w:rFonts w:ascii="Times New Roman" w:hAnsi="Times New Roman" w:cs="Times New Roman"/>
                <w:color w:val="000000" w:themeColor="text1"/>
                <w:sz w:val="21"/>
                <w:lang w:eastAsia="zh-CN"/>
                <w14:textFill>
                  <w14:solidFill>
                    <w14:schemeClr w14:val="tx1"/>
                  </w14:solidFill>
                </w14:textFill>
              </w:rPr>
              <w:t>、Mg</w:t>
            </w:r>
            <w:r>
              <w:rPr>
                <w:rFonts w:ascii="Times New Roman" w:hAnsi="Times New Roman" w:cs="Times New Roman"/>
                <w:color w:val="000000" w:themeColor="text1"/>
                <w:sz w:val="21"/>
                <w:vertAlign w:val="superscript"/>
                <w:lang w:eastAsia="zh-CN"/>
                <w14:textFill>
                  <w14:solidFill>
                    <w14:schemeClr w14:val="tx1"/>
                  </w14:solidFill>
                </w14:textFill>
              </w:rPr>
              <w:t>2+</w:t>
            </w:r>
            <w:r>
              <w:rPr>
                <w:rFonts w:ascii="Times New Roman" w:hAnsi="Times New Roman" w:cs="Times New Roman"/>
                <w:color w:val="000000" w:themeColor="text1"/>
                <w:sz w:val="21"/>
                <w:lang w:eastAsia="zh-CN"/>
                <w14:textFill>
                  <w14:solidFill>
                    <w14:schemeClr w14:val="tx1"/>
                  </w14:solidFill>
                </w14:textFill>
              </w:rPr>
              <w:t>、CO</w:t>
            </w:r>
            <w:r>
              <w:rPr>
                <w:rFonts w:ascii="Times New Roman" w:hAnsi="Times New Roman" w:cs="Times New Roman"/>
                <w:color w:val="000000" w:themeColor="text1"/>
                <w:sz w:val="21"/>
                <w:vertAlign w:val="subscript"/>
                <w:lang w:eastAsia="zh-CN"/>
                <w14:textFill>
                  <w14:solidFill>
                    <w14:schemeClr w14:val="tx1"/>
                  </w14:solidFill>
                </w14:textFill>
              </w:rPr>
              <w:t>3</w:t>
            </w:r>
            <w:r>
              <w:rPr>
                <w:rFonts w:ascii="Times New Roman" w:hAnsi="Times New Roman" w:cs="Times New Roman"/>
                <w:color w:val="000000" w:themeColor="text1"/>
                <w:sz w:val="21"/>
                <w:vertAlign w:val="superscript"/>
                <w:lang w:eastAsia="zh-CN"/>
                <w14:textFill>
                  <w14:solidFill>
                    <w14:schemeClr w14:val="tx1"/>
                  </w14:solidFill>
                </w14:textFill>
              </w:rPr>
              <w:t>2-</w:t>
            </w:r>
            <w:r>
              <w:rPr>
                <w:rFonts w:ascii="Times New Roman" w:hAnsi="Times New Roman" w:cs="Times New Roman"/>
                <w:color w:val="000000" w:themeColor="text1"/>
                <w:sz w:val="21"/>
                <w:lang w:eastAsia="zh-CN"/>
                <w14:textFill>
                  <w14:solidFill>
                    <w14:schemeClr w14:val="tx1"/>
                  </w14:solidFill>
                </w14:textFill>
              </w:rPr>
              <w:t>、HCO</w:t>
            </w:r>
            <w:r>
              <w:rPr>
                <w:rFonts w:ascii="Times New Roman" w:hAnsi="Times New Roman" w:cs="Times New Roman"/>
                <w:color w:val="000000" w:themeColor="text1"/>
                <w:sz w:val="21"/>
                <w:vertAlign w:val="subscript"/>
                <w:lang w:eastAsia="zh-CN"/>
                <w14:textFill>
                  <w14:solidFill>
                    <w14:schemeClr w14:val="tx1"/>
                  </w14:solidFill>
                </w14:textFill>
              </w:rPr>
              <w:t>3</w:t>
            </w:r>
            <w:r>
              <w:rPr>
                <w:rFonts w:ascii="Times New Roman" w:hAnsi="Times New Roman" w:cs="Times New Roman"/>
                <w:color w:val="000000" w:themeColor="text1"/>
                <w:sz w:val="21"/>
                <w:vertAlign w:val="superscript"/>
                <w:lang w:eastAsia="zh-CN"/>
                <w14:textFill>
                  <w14:solidFill>
                    <w14:schemeClr w14:val="tx1"/>
                  </w14:solidFill>
                </w14:textFill>
              </w:rPr>
              <w:t>-</w:t>
            </w:r>
            <w:r>
              <w:rPr>
                <w:rFonts w:ascii="Times New Roman" w:hAnsi="Times New Roman" w:cs="Times New Roman"/>
                <w:color w:val="000000" w:themeColor="text1"/>
                <w:sz w:val="21"/>
                <w:lang w:eastAsia="zh-CN"/>
                <w14:textFill>
                  <w14:solidFill>
                    <w14:schemeClr w14:val="tx1"/>
                  </w14:solidFill>
                </w14:textFill>
              </w:rPr>
              <w:t>、Cl</w:t>
            </w:r>
            <w:r>
              <w:rPr>
                <w:rFonts w:ascii="Times New Roman" w:hAnsi="Times New Roman" w:cs="Times New Roman"/>
                <w:color w:val="000000" w:themeColor="text1"/>
                <w:sz w:val="21"/>
                <w:vertAlign w:val="superscript"/>
                <w:lang w:eastAsia="zh-CN"/>
                <w14:textFill>
                  <w14:solidFill>
                    <w14:schemeClr w14:val="tx1"/>
                  </w14:solidFill>
                </w14:textFill>
              </w:rPr>
              <w:t>-</w:t>
            </w:r>
            <w:r>
              <w:rPr>
                <w:rFonts w:ascii="Times New Roman" w:hAnsi="Times New Roman" w:cs="Times New Roman"/>
                <w:color w:val="000000" w:themeColor="text1"/>
                <w:sz w:val="21"/>
                <w:lang w:eastAsia="zh-CN"/>
                <w14:textFill>
                  <w14:solidFill>
                    <w14:schemeClr w14:val="tx1"/>
                  </w14:solidFill>
                </w14:textFill>
              </w:rPr>
              <w:t>、SO</w:t>
            </w:r>
            <w:r>
              <w:rPr>
                <w:rFonts w:ascii="Times New Roman" w:hAnsi="Times New Roman" w:cs="Times New Roman"/>
                <w:color w:val="000000" w:themeColor="text1"/>
                <w:sz w:val="21"/>
                <w:vertAlign w:val="subscript"/>
                <w:lang w:eastAsia="zh-CN"/>
                <w14:textFill>
                  <w14:solidFill>
                    <w14:schemeClr w14:val="tx1"/>
                  </w14:solidFill>
                </w14:textFill>
              </w:rPr>
              <w:t>4</w:t>
            </w:r>
            <w:r>
              <w:rPr>
                <w:rFonts w:ascii="Times New Roman" w:hAnsi="Times New Roman" w:cs="Times New Roman"/>
                <w:color w:val="000000" w:themeColor="text1"/>
                <w:sz w:val="21"/>
                <w:vertAlign w:val="superscript"/>
                <w:lang w:eastAsia="zh-CN"/>
                <w14:textFill>
                  <w14:solidFill>
                    <w14:schemeClr w14:val="tx1"/>
                  </w14:solidFill>
                </w14:textFill>
              </w:rPr>
              <w:t>2-</w:t>
            </w:r>
          </w:p>
        </w:tc>
        <w:tc>
          <w:tcPr>
            <w:tcW w:w="836" w:type="pct"/>
            <w:vAlign w:val="center"/>
          </w:tcPr>
          <w:p w14:paraId="0102F364">
            <w:pPr>
              <w:widowControl w:val="0"/>
              <w:adjustRightInd w:val="0"/>
              <w:snapToGrid w:val="0"/>
              <w:jc w:val="center"/>
              <w:rPr>
                <w:rFonts w:ascii="Times New Roman" w:hAnsi="Times New Roman" w:cs="Times New Roman"/>
                <w:color w:val="000000" w:themeColor="text1"/>
                <w:kern w:val="2"/>
                <w:sz w:val="21"/>
                <w:lang w:eastAsia="zh-CN"/>
                <w14:textFill>
                  <w14:solidFill>
                    <w14:schemeClr w14:val="tx1"/>
                  </w14:solidFill>
                </w14:textFill>
              </w:rPr>
            </w:pPr>
            <w:r>
              <w:rPr>
                <w:rFonts w:hint="eastAsia" w:ascii="Times New Roman" w:hAnsi="Times New Roman" w:cs="Times New Roman"/>
                <w:color w:val="000000" w:themeColor="text1"/>
                <w:kern w:val="2"/>
                <w:sz w:val="21"/>
                <w:lang w:eastAsia="zh-CN"/>
                <w14:textFill>
                  <w14:solidFill>
                    <w14:schemeClr w14:val="tx1"/>
                  </w14:solidFill>
                </w14:textFill>
              </w:rPr>
              <w:t>原料及产品罐区（新建）</w:t>
            </w:r>
          </w:p>
        </w:tc>
        <w:tc>
          <w:tcPr>
            <w:tcW w:w="545" w:type="pct"/>
            <w:vMerge w:val="restart"/>
            <w:vAlign w:val="center"/>
          </w:tcPr>
          <w:p w14:paraId="693FEA24">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每年一次</w:t>
            </w:r>
          </w:p>
        </w:tc>
        <w:tc>
          <w:tcPr>
            <w:tcW w:w="1089" w:type="pct"/>
            <w:vMerge w:val="restart"/>
            <w:vAlign w:val="center"/>
          </w:tcPr>
          <w:p w14:paraId="5406445D">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《地下水质量标准》(GB/T14848-2017)</w:t>
            </w:r>
          </w:p>
        </w:tc>
      </w:tr>
      <w:tr w14:paraId="513406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329" w:type="pct"/>
            <w:vMerge w:val="continue"/>
            <w:vAlign w:val="center"/>
          </w:tcPr>
          <w:p w14:paraId="455ED792">
            <w:pPr>
              <w:adjustRightInd w:val="0"/>
              <w:snapToGrid w:val="0"/>
              <w:jc w:val="center"/>
              <w:rPr>
                <w:rFonts w:ascii="Times New Roman" w:hAnsi="Times New Roman" w:cs="Times New Roman"/>
                <w:color w:val="000000" w:themeColor="text1"/>
                <w:lang w:eastAsia="zh-CN"/>
                <w14:textFill>
                  <w14:solidFill>
                    <w14:schemeClr w14:val="tx1"/>
                  </w14:solidFill>
                </w14:textFill>
              </w:rPr>
            </w:pPr>
          </w:p>
        </w:tc>
        <w:tc>
          <w:tcPr>
            <w:tcW w:w="2201" w:type="pct"/>
            <w:vMerge w:val="continue"/>
            <w:vAlign w:val="center"/>
          </w:tcPr>
          <w:p w14:paraId="6280CAC9">
            <w:pPr>
              <w:adjustRightInd w:val="0"/>
              <w:snapToGrid w:val="0"/>
              <w:jc w:val="center"/>
              <w:rPr>
                <w:rFonts w:ascii="Times New Roman" w:hAnsi="Times New Roman" w:cs="Times New Roman"/>
                <w:color w:val="000000" w:themeColor="text1"/>
                <w:lang w:eastAsia="zh-CN"/>
                <w14:textFill>
                  <w14:solidFill>
                    <w14:schemeClr w14:val="tx1"/>
                  </w14:solidFill>
                </w14:textFill>
              </w:rPr>
            </w:pPr>
          </w:p>
        </w:tc>
        <w:tc>
          <w:tcPr>
            <w:tcW w:w="836" w:type="pct"/>
            <w:vAlign w:val="center"/>
          </w:tcPr>
          <w:p w14:paraId="01F07D8E">
            <w:pPr>
              <w:widowControl w:val="0"/>
              <w:adjustRightInd w:val="0"/>
              <w:snapToGrid w:val="0"/>
              <w:jc w:val="center"/>
              <w:rPr>
                <w:rFonts w:ascii="Times New Roman" w:hAnsi="Times New Roman" w:cs="Times New Roman"/>
                <w:color w:val="000000" w:themeColor="text1"/>
                <w:kern w:val="2"/>
                <w:sz w:val="21"/>
                <w:lang w:eastAsia="zh-CN"/>
                <w14:textFill>
                  <w14:solidFill>
                    <w14:schemeClr w14:val="tx1"/>
                  </w14:solidFill>
                </w14:textFill>
              </w:rPr>
            </w:pPr>
            <w:r>
              <w:rPr>
                <w:rFonts w:hint="eastAsia" w:ascii="Times New Roman" w:hAnsi="Times New Roman" w:cs="Times New Roman"/>
                <w:color w:val="000000" w:themeColor="text1"/>
                <w:kern w:val="2"/>
                <w:sz w:val="21"/>
                <w:lang w:eastAsia="zh-CN"/>
                <w14:textFill>
                  <w14:solidFill>
                    <w14:schemeClr w14:val="tx1"/>
                  </w14:solidFill>
                </w14:textFill>
              </w:rPr>
              <w:t>污水处理站（现有）</w:t>
            </w:r>
          </w:p>
        </w:tc>
        <w:tc>
          <w:tcPr>
            <w:tcW w:w="545" w:type="pct"/>
            <w:vMerge w:val="continue"/>
            <w:vAlign w:val="center"/>
          </w:tcPr>
          <w:p w14:paraId="020D5FB8">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089" w:type="pct"/>
            <w:vMerge w:val="continue"/>
            <w:vAlign w:val="center"/>
          </w:tcPr>
          <w:p w14:paraId="561DD2FD">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r>
      <w:tr w14:paraId="1C4C82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329" w:type="pct"/>
            <w:vMerge w:val="continue"/>
            <w:vAlign w:val="center"/>
          </w:tcPr>
          <w:p w14:paraId="53F4CE71">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2201" w:type="pct"/>
            <w:vMerge w:val="continue"/>
            <w:vAlign w:val="center"/>
          </w:tcPr>
          <w:p w14:paraId="71A0B032">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836" w:type="pct"/>
            <w:vAlign w:val="center"/>
          </w:tcPr>
          <w:p w14:paraId="767078AD">
            <w:pPr>
              <w:widowControl w:val="0"/>
              <w:adjustRightInd w:val="0"/>
              <w:snapToGrid w:val="0"/>
              <w:jc w:val="center"/>
              <w:rPr>
                <w:rFonts w:ascii="Times New Roman" w:hAnsi="Times New Roman" w:cs="Times New Roman"/>
                <w:color w:val="000000" w:themeColor="text1"/>
                <w:kern w:val="2"/>
                <w:sz w:val="21"/>
                <w:lang w:eastAsia="zh-CN"/>
                <w14:textFill>
                  <w14:solidFill>
                    <w14:schemeClr w14:val="tx1"/>
                  </w14:solidFill>
                </w14:textFill>
              </w:rPr>
            </w:pPr>
            <w:r>
              <w:rPr>
                <w:rFonts w:hint="eastAsia" w:ascii="Times New Roman" w:hAnsi="Times New Roman" w:cs="Times New Roman"/>
                <w:color w:val="000000" w:themeColor="text1"/>
                <w:kern w:val="2"/>
                <w:sz w:val="21"/>
                <w:lang w:eastAsia="zh-CN"/>
                <w14:textFill>
                  <w14:solidFill>
                    <w14:schemeClr w14:val="tx1"/>
                  </w14:solidFill>
                </w14:textFill>
              </w:rPr>
              <w:t>厂区东南侧</w:t>
            </w:r>
          </w:p>
          <w:p w14:paraId="3C9464A0">
            <w:pPr>
              <w:widowControl w:val="0"/>
              <w:adjustRightInd w:val="0"/>
              <w:snapToGrid w:val="0"/>
              <w:jc w:val="center"/>
              <w:rPr>
                <w:rFonts w:ascii="Times New Roman" w:hAnsi="Times New Roman" w:cs="Times New Roman"/>
                <w:color w:val="000000" w:themeColor="text1"/>
                <w:kern w:val="2"/>
                <w:sz w:val="21"/>
                <w:lang w:eastAsia="zh-CN"/>
                <w14:textFill>
                  <w14:solidFill>
                    <w14:schemeClr w14:val="tx1"/>
                  </w14:solidFill>
                </w14:textFill>
              </w:rPr>
            </w:pPr>
            <w:r>
              <w:rPr>
                <w:rFonts w:hint="eastAsia" w:ascii="Times New Roman" w:hAnsi="Times New Roman" w:cs="Times New Roman"/>
                <w:color w:val="000000" w:themeColor="text1"/>
                <w:kern w:val="2"/>
                <w:sz w:val="21"/>
                <w:lang w:eastAsia="zh-CN"/>
                <w14:textFill>
                  <w14:solidFill>
                    <w14:schemeClr w14:val="tx1"/>
                  </w14:solidFill>
                </w14:textFill>
              </w:rPr>
              <w:t>（新建）</w:t>
            </w:r>
          </w:p>
        </w:tc>
        <w:tc>
          <w:tcPr>
            <w:tcW w:w="545" w:type="pct"/>
            <w:vMerge w:val="continue"/>
            <w:vAlign w:val="center"/>
          </w:tcPr>
          <w:p w14:paraId="23E52EB6">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c>
          <w:tcPr>
            <w:tcW w:w="1089" w:type="pct"/>
            <w:vMerge w:val="continue"/>
            <w:vAlign w:val="center"/>
          </w:tcPr>
          <w:p w14:paraId="2A3DB4C4">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p>
        </w:tc>
      </w:tr>
      <w:tr w14:paraId="396918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329" w:type="pct"/>
            <w:vMerge w:val="restart"/>
            <w:vAlign w:val="center"/>
          </w:tcPr>
          <w:p w14:paraId="3E492DAC">
            <w:pPr>
              <w:adjustRightInd w:val="0"/>
              <w:snapToGrid w:val="0"/>
              <w:jc w:val="center"/>
              <w:rPr>
                <w:rFonts w:ascii="Times New Roman" w:hAnsi="Times New Roman" w:cs="Times New Roman"/>
                <w:snapToGrid/>
                <w:color w:val="000000" w:themeColor="text1"/>
                <w:sz w:val="21"/>
                <w:lang w:eastAsia="zh-CN"/>
                <w14:textFill>
                  <w14:solidFill>
                    <w14:schemeClr w14:val="tx1"/>
                  </w14:solidFill>
                </w14:textFill>
              </w:rPr>
            </w:pPr>
            <w:r>
              <w:rPr>
                <w:rFonts w:ascii="Times New Roman" w:hAnsi="Times New Roman" w:cs="Times New Roman"/>
                <w:snapToGrid/>
                <w:color w:val="000000" w:themeColor="text1"/>
                <w:sz w:val="21"/>
                <w:lang w:eastAsia="zh-CN"/>
                <w14:textFill>
                  <w14:solidFill>
                    <w14:schemeClr w14:val="tx1"/>
                  </w14:solidFill>
                </w14:textFill>
              </w:rPr>
              <w:t>土壤</w:t>
            </w:r>
          </w:p>
        </w:tc>
        <w:tc>
          <w:tcPr>
            <w:tcW w:w="2201" w:type="pct"/>
            <w:vMerge w:val="restart"/>
            <w:vAlign w:val="center"/>
          </w:tcPr>
          <w:p w14:paraId="186A0790">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pH、砷、镉、铬（六价）、铜、铅、镍、汞、锌、四氯化碳、氯仿、氯甲烷、1,1-二氯乙烷、1,2-二氯乙烷、1-1-二氯乙烯、顺1,1-二氯乙烯、逆1,2-二氯乙烯、二氯甲烷、1,2-二氯丙烷、1,1,1,2-四氯乙烷、1,1,2,2-四氯乙烷、四氯乙烯、1,1,1-三氯乙烷、1,1,2-三氯乙烷、三氯乙烯、1,2,3-三氯丙烷、氯乙烯、苯、氯苯、1,2-二氯苯、1,4-二氯苯、乙苯、苯乙烯、甲苯、间二甲苯+对二甲苯、邻二甲苯、硝基苯、苯胺、2-氯酚、苯并[a]蒽、苯并[a]芘、苯并[b]荧蒽、苯并[k]荧蒽、二苯并[a、h]芘、茚并[1,2,3-cda]芘、䓛、萘</w:t>
            </w:r>
          </w:p>
        </w:tc>
        <w:tc>
          <w:tcPr>
            <w:tcW w:w="836" w:type="pct"/>
            <w:vAlign w:val="center"/>
          </w:tcPr>
          <w:p w14:paraId="36B0DE41">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占地范围内</w:t>
            </w:r>
            <w:r>
              <w:rPr>
                <w:rFonts w:hint="eastAsia" w:ascii="Times New Roman" w:hAnsi="Times New Roman" w:cs="Times New Roman"/>
                <w:color w:val="000000" w:themeColor="text1"/>
                <w:sz w:val="21"/>
                <w:lang w:eastAsia="zh-CN"/>
                <w14:textFill>
                  <w14:solidFill>
                    <w14:schemeClr w14:val="tx1"/>
                  </w14:solidFill>
                </w14:textFill>
              </w:rPr>
              <w:t>原料及产品罐区</w:t>
            </w:r>
            <w:r>
              <w:rPr>
                <w:rFonts w:ascii="Times New Roman" w:hAnsi="Times New Roman" w:cs="Times New Roman"/>
                <w:color w:val="000000" w:themeColor="text1"/>
                <w:sz w:val="21"/>
                <w:lang w:eastAsia="zh-CN"/>
                <w14:textFill>
                  <w14:solidFill>
                    <w14:schemeClr w14:val="tx1"/>
                  </w14:solidFill>
                </w14:textFill>
              </w:rPr>
              <w:t>附近</w:t>
            </w:r>
            <w:r>
              <w:rPr>
                <w:rFonts w:hint="eastAsia" w:ascii="Times New Roman" w:hAnsi="Times New Roman" w:cs="Times New Roman"/>
                <w:color w:val="000000" w:themeColor="text1"/>
                <w:sz w:val="21"/>
                <w:lang w:eastAsia="zh-CN"/>
                <w14:textFill>
                  <w14:solidFill>
                    <w14:schemeClr w14:val="tx1"/>
                  </w14:solidFill>
                </w14:textFill>
              </w:rPr>
              <w:t>深层土壤</w:t>
            </w:r>
          </w:p>
        </w:tc>
        <w:tc>
          <w:tcPr>
            <w:tcW w:w="545" w:type="pct"/>
            <w:vAlign w:val="center"/>
          </w:tcPr>
          <w:p w14:paraId="3A4B2D45">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每</w:t>
            </w:r>
            <w:r>
              <w:rPr>
                <w:rFonts w:hint="eastAsia" w:ascii="Times New Roman" w:hAnsi="Times New Roman" w:cs="Times New Roman"/>
                <w:color w:val="000000" w:themeColor="text1"/>
                <w:sz w:val="21"/>
                <w:lang w:eastAsia="zh-CN"/>
                <w14:textFill>
                  <w14:solidFill>
                    <w14:schemeClr w14:val="tx1"/>
                  </w14:solidFill>
                </w14:textFill>
              </w:rPr>
              <w:t>3</w:t>
            </w:r>
            <w:r>
              <w:rPr>
                <w:rFonts w:ascii="Times New Roman" w:hAnsi="Times New Roman" w:cs="Times New Roman"/>
                <w:color w:val="000000" w:themeColor="text1"/>
                <w:sz w:val="21"/>
                <w14:textFill>
                  <w14:solidFill>
                    <w14:schemeClr w14:val="tx1"/>
                  </w14:solidFill>
                </w14:textFill>
              </w:rPr>
              <w:t>年开展一次</w:t>
            </w:r>
          </w:p>
        </w:tc>
        <w:tc>
          <w:tcPr>
            <w:tcW w:w="1089" w:type="pct"/>
            <w:vMerge w:val="restart"/>
            <w:vAlign w:val="center"/>
          </w:tcPr>
          <w:p w14:paraId="711478BF">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《建设用地土壤污染风险管控标准（试行）》（GB36600-2018）</w:t>
            </w:r>
          </w:p>
        </w:tc>
      </w:tr>
      <w:tr w14:paraId="368EA8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329" w:type="pct"/>
            <w:vMerge w:val="continue"/>
            <w:vAlign w:val="center"/>
          </w:tcPr>
          <w:p w14:paraId="0FE06325">
            <w:pPr>
              <w:adjustRightInd w:val="0"/>
              <w:snapToGrid w:val="0"/>
              <w:jc w:val="center"/>
              <w:rPr>
                <w:rFonts w:ascii="Times New Roman" w:hAnsi="Times New Roman" w:cs="Times New Roman"/>
                <w:snapToGrid/>
                <w:color w:val="000000" w:themeColor="text1"/>
                <w:sz w:val="21"/>
                <w:lang w:eastAsia="zh-CN"/>
                <w14:textFill>
                  <w14:solidFill>
                    <w14:schemeClr w14:val="tx1"/>
                  </w14:solidFill>
                </w14:textFill>
              </w:rPr>
            </w:pPr>
          </w:p>
        </w:tc>
        <w:tc>
          <w:tcPr>
            <w:tcW w:w="2201" w:type="pct"/>
            <w:vMerge w:val="continue"/>
            <w:vAlign w:val="center"/>
          </w:tcPr>
          <w:p w14:paraId="2E484E92">
            <w:pPr>
              <w:adjustRightInd w:val="0"/>
              <w:snapToGrid w:val="0"/>
              <w:jc w:val="center"/>
              <w:rPr>
                <w:rFonts w:ascii="Times New Roman" w:hAnsi="Times New Roman" w:cs="Times New Roman"/>
                <w:snapToGrid/>
                <w:color w:val="000000" w:themeColor="text1"/>
                <w:sz w:val="21"/>
                <w:lang w:eastAsia="zh-CN"/>
                <w14:textFill>
                  <w14:solidFill>
                    <w14:schemeClr w14:val="tx1"/>
                  </w14:solidFill>
                </w14:textFill>
              </w:rPr>
            </w:pPr>
          </w:p>
        </w:tc>
        <w:tc>
          <w:tcPr>
            <w:tcW w:w="836" w:type="pct"/>
            <w:vAlign w:val="center"/>
          </w:tcPr>
          <w:p w14:paraId="26FAFF7F">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占地范围内</w:t>
            </w:r>
            <w:r>
              <w:rPr>
                <w:rFonts w:hint="eastAsia" w:ascii="Times New Roman" w:hAnsi="Times New Roman" w:cs="Times New Roman"/>
                <w:color w:val="000000" w:themeColor="text1"/>
                <w:sz w:val="21"/>
                <w:lang w:eastAsia="zh-CN"/>
                <w14:textFill>
                  <w14:solidFill>
                    <w14:schemeClr w14:val="tx1"/>
                  </w14:solidFill>
                </w14:textFill>
              </w:rPr>
              <w:t>污水处理站</w:t>
            </w:r>
            <w:r>
              <w:rPr>
                <w:rFonts w:ascii="Times New Roman" w:hAnsi="Times New Roman" w:cs="Times New Roman"/>
                <w:color w:val="000000" w:themeColor="text1"/>
                <w:sz w:val="21"/>
                <w:lang w:eastAsia="zh-CN"/>
                <w14:textFill>
                  <w14:solidFill>
                    <w14:schemeClr w14:val="tx1"/>
                  </w14:solidFill>
                </w14:textFill>
              </w:rPr>
              <w:t>附近</w:t>
            </w:r>
            <w:r>
              <w:rPr>
                <w:rFonts w:hint="eastAsia" w:ascii="Times New Roman" w:hAnsi="Times New Roman" w:cs="Times New Roman"/>
                <w:color w:val="000000" w:themeColor="text1"/>
                <w:sz w:val="21"/>
                <w:lang w:eastAsia="zh-CN"/>
                <w14:textFill>
                  <w14:solidFill>
                    <w14:schemeClr w14:val="tx1"/>
                  </w14:solidFill>
                </w14:textFill>
              </w:rPr>
              <w:t>表层土壤</w:t>
            </w:r>
          </w:p>
        </w:tc>
        <w:tc>
          <w:tcPr>
            <w:tcW w:w="545" w:type="pct"/>
            <w:vAlign w:val="center"/>
          </w:tcPr>
          <w:p w14:paraId="0628776B">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14:textFill>
                  <w14:solidFill>
                    <w14:schemeClr w14:val="tx1"/>
                  </w14:solidFill>
                </w14:textFill>
              </w:rPr>
              <w:t>每</w:t>
            </w:r>
            <w:r>
              <w:rPr>
                <w:rFonts w:hint="eastAsia" w:ascii="Times New Roman" w:hAnsi="Times New Roman" w:cs="Times New Roman"/>
                <w:color w:val="000000" w:themeColor="text1"/>
                <w:sz w:val="21"/>
                <w:lang w:eastAsia="zh-CN"/>
                <w14:textFill>
                  <w14:solidFill>
                    <w14:schemeClr w14:val="tx1"/>
                  </w14:solidFill>
                </w14:textFill>
              </w:rPr>
              <w:t>1</w:t>
            </w:r>
            <w:r>
              <w:rPr>
                <w:rFonts w:ascii="Times New Roman" w:hAnsi="Times New Roman" w:cs="Times New Roman"/>
                <w:color w:val="000000" w:themeColor="text1"/>
                <w:sz w:val="21"/>
                <w14:textFill>
                  <w14:solidFill>
                    <w14:schemeClr w14:val="tx1"/>
                  </w14:solidFill>
                </w14:textFill>
              </w:rPr>
              <w:t>年开展一次</w:t>
            </w:r>
          </w:p>
        </w:tc>
        <w:tc>
          <w:tcPr>
            <w:tcW w:w="1089" w:type="pct"/>
            <w:vMerge w:val="continue"/>
            <w:vAlign w:val="center"/>
          </w:tcPr>
          <w:p w14:paraId="5979F3E6">
            <w:pPr>
              <w:adjustRightInd w:val="0"/>
              <w:snapToGrid w:val="0"/>
              <w:jc w:val="center"/>
              <w:rPr>
                <w:rFonts w:ascii="Times New Roman" w:hAnsi="Times New Roman" w:cs="Times New Roman"/>
                <w:snapToGrid/>
                <w:color w:val="000000" w:themeColor="text1"/>
                <w:sz w:val="21"/>
                <w:lang w:eastAsia="zh-CN"/>
                <w14:textFill>
                  <w14:solidFill>
                    <w14:schemeClr w14:val="tx1"/>
                  </w14:solidFill>
                </w14:textFill>
              </w:rPr>
            </w:pPr>
          </w:p>
        </w:tc>
      </w:tr>
      <w:bookmarkEnd w:id="2758"/>
      <w:bookmarkEnd w:id="2759"/>
    </w:tbl>
    <w:p w14:paraId="351FFB7F">
      <w:pPr>
        <w:spacing w:line="360" w:lineRule="auto"/>
        <w:ind w:firstLine="482"/>
        <w:outlineLvl w:val="2"/>
        <w:rPr>
          <w:rFonts w:ascii="Times New Roman" w:hAnsi="Times New Roman" w:cs="Times New Roman"/>
          <w:b/>
          <w:bCs/>
          <w:color w:val="auto"/>
          <w:lang w:eastAsia="zh-CN"/>
        </w:rPr>
      </w:pPr>
      <w:bookmarkStart w:id="2760" w:name="_Toc204448604"/>
      <w:bookmarkStart w:id="2761" w:name="_Toc223425196"/>
      <w:bookmarkStart w:id="2762" w:name="_Toc172555779"/>
      <w:bookmarkStart w:id="2763" w:name="_Toc175164407"/>
      <w:bookmarkStart w:id="2764" w:name="_Toc225784198"/>
      <w:bookmarkStart w:id="2765" w:name="_Toc218784422"/>
      <w:bookmarkStart w:id="2766" w:name="_Toc204515339"/>
      <w:bookmarkStart w:id="2767" w:name="_Toc217662810"/>
      <w:bookmarkStart w:id="2768" w:name="_Toc237508431"/>
      <w:bookmarkStart w:id="2769" w:name="_Toc173743517"/>
      <w:bookmarkStart w:id="2770" w:name="_Toc236641966"/>
      <w:bookmarkStart w:id="2771" w:name="_Toc224674836"/>
      <w:bookmarkStart w:id="2772" w:name="_Toc176513143"/>
      <w:bookmarkStart w:id="2773" w:name="_Toc173740413"/>
      <w:bookmarkStart w:id="2774" w:name="_Toc221900978"/>
      <w:bookmarkStart w:id="2775" w:name="_Toc178602488"/>
      <w:bookmarkStart w:id="2776" w:name="_Toc231828719"/>
      <w:bookmarkStart w:id="2777" w:name="_Toc203927140"/>
      <w:r>
        <w:rPr>
          <w:rFonts w:ascii="Times New Roman" w:hAnsi="Times New Roman" w:cs="Times New Roman"/>
          <w:b/>
          <w:bCs/>
          <w:color w:val="auto"/>
          <w:lang w:eastAsia="zh-CN"/>
        </w:rPr>
        <w:t>10.4.3</w:t>
      </w:r>
      <w:r>
        <w:rPr>
          <w:rFonts w:hint="eastAsia" w:ascii="Times New Roman" w:hAnsi="Times New Roman" w:cs="Times New Roman"/>
          <w:b/>
          <w:bCs/>
          <w:color w:val="auto"/>
          <w:lang w:eastAsia="zh-CN"/>
        </w:rPr>
        <w:t xml:space="preserve"> </w:t>
      </w:r>
      <w:r>
        <w:rPr>
          <w:rFonts w:ascii="Times New Roman" w:hAnsi="Times New Roman" w:cs="Times New Roman"/>
          <w:b/>
          <w:bCs/>
          <w:color w:val="auto"/>
          <w:lang w:eastAsia="zh-CN"/>
        </w:rPr>
        <w:t>监测数据管理</w:t>
      </w:r>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p>
    <w:p w14:paraId="270002D1">
      <w:pPr>
        <w:widowControl w:val="0"/>
        <w:spacing w:line="360" w:lineRule="auto"/>
        <w:ind w:firstLine="480" w:firstLineChars="200"/>
        <w:jc w:val="both"/>
        <w:rPr>
          <w:rFonts w:ascii="Times New Roman" w:hAnsi="Times New Roman" w:cs="Times New Roman"/>
          <w:snapToGrid/>
          <w:color w:val="auto"/>
          <w:szCs w:val="24"/>
          <w:lang w:eastAsia="zh-CN"/>
        </w:rPr>
      </w:pPr>
      <w:bookmarkStart w:id="2778" w:name="_Toc9776"/>
      <w:r>
        <w:rPr>
          <w:rFonts w:hint="eastAsia" w:ascii="Times New Roman" w:hAnsi="Times New Roman" w:cs="Times New Roman"/>
          <w:color w:val="auto"/>
          <w:szCs w:val="24"/>
          <w:lang w:eastAsia="zh-CN"/>
        </w:rPr>
        <w:t>安徽氟瑞星化工有限公司</w:t>
      </w:r>
      <w:r>
        <w:rPr>
          <w:rFonts w:ascii="Times New Roman" w:hAnsi="Times New Roman" w:cs="Times New Roman"/>
          <w:snapToGrid/>
          <w:color w:val="auto"/>
          <w:szCs w:val="24"/>
          <w:lang w:eastAsia="zh-CN"/>
        </w:rPr>
        <w:t>应按照有关法律和《环境监测管理办法》、</w:t>
      </w:r>
      <w:r>
        <w:rPr>
          <w:rFonts w:ascii="Times New Roman" w:hAnsi="Times New Roman" w:cs="Times New Roman"/>
          <w:color w:val="000000" w:themeColor="text1"/>
          <w:lang w:eastAsia="zh-CN"/>
          <w14:textFill>
            <w14:solidFill>
              <w14:schemeClr w14:val="tx1"/>
            </w14:solidFill>
          </w14:textFill>
        </w:rPr>
        <w:t>《排污单位自行监测技术指南 无机化学工业》（HJ 1138-2020）</w:t>
      </w:r>
      <w:r>
        <w:rPr>
          <w:rFonts w:hint="eastAsia" w:ascii="Times New Roman" w:hAnsi="Times New Roman" w:cs="Times New Roman"/>
          <w:color w:val="000000" w:themeColor="text1"/>
          <w:lang w:eastAsia="zh-CN"/>
          <w14:textFill>
            <w14:solidFill>
              <w14:schemeClr w14:val="tx1"/>
            </w14:solidFill>
          </w14:textFill>
        </w:rPr>
        <w:t>、</w:t>
      </w:r>
      <w:r>
        <w:rPr>
          <w:rFonts w:ascii="Times New Roman" w:hAnsi="Times New Roman" w:cs="Times New Roman"/>
          <w:color w:val="000000" w:themeColor="text1"/>
          <w:lang w:eastAsia="zh-CN"/>
          <w14:textFill>
            <w14:solidFill>
              <w14:schemeClr w14:val="tx1"/>
            </w14:solidFill>
          </w14:textFill>
        </w:rPr>
        <w:t>《排污单位自行监测技术指南 电子工业》（HJ1253-2022）</w:t>
      </w:r>
      <w:r>
        <w:rPr>
          <w:rFonts w:ascii="Times New Roman" w:hAnsi="Times New Roman" w:cs="Times New Roman"/>
          <w:snapToGrid/>
          <w:color w:val="auto"/>
          <w:szCs w:val="24"/>
          <w:lang w:eastAsia="zh-CN"/>
        </w:rPr>
        <w:t>等规定，建立企业监测制度，制定监测方案，设置和维护监测设施、做好监测质量保证与质量控制、记录和保存监测数据，并向当地环境保护行政主管部门和行业主管部门备案。</w:t>
      </w:r>
      <w:bookmarkEnd w:id="2778"/>
    </w:p>
    <w:p w14:paraId="4678D0EF">
      <w:pPr>
        <w:spacing w:line="360" w:lineRule="auto"/>
        <w:ind w:firstLine="480" w:firstLineChars="200"/>
        <w:jc w:val="both"/>
        <w:rPr>
          <w:rFonts w:ascii="Times New Roman" w:hAnsi="Times New Roman" w:cs="Times New Roman"/>
          <w:snapToGrid/>
          <w:color w:val="auto"/>
          <w:szCs w:val="24"/>
          <w:lang w:eastAsia="zh-CN"/>
        </w:rPr>
      </w:pPr>
      <w:bookmarkStart w:id="2779" w:name="_Toc28575"/>
      <w:r>
        <w:rPr>
          <w:rFonts w:ascii="Times New Roman" w:hAnsi="Times New Roman" w:cs="Times New Roman"/>
          <w:snapToGrid/>
          <w:color w:val="auto"/>
          <w:szCs w:val="24"/>
          <w:lang w:eastAsia="zh-CN"/>
        </w:rPr>
        <w:t>对污染物排放及周边环境质量开展自行监测，保存原始监测记录，定期公布监测结果。</w:t>
      </w:r>
      <w:bookmarkEnd w:id="2779"/>
    </w:p>
    <w:p w14:paraId="23F445D4">
      <w:pPr>
        <w:spacing w:line="360" w:lineRule="auto"/>
        <w:ind w:firstLine="562"/>
        <w:outlineLvl w:val="1"/>
        <w:rPr>
          <w:rFonts w:ascii="Times New Roman" w:hAnsi="Times New Roman" w:cs="Times New Roman"/>
          <w:b/>
          <w:bCs/>
          <w:color w:val="auto"/>
          <w:sz w:val="28"/>
          <w:szCs w:val="22"/>
          <w:lang w:eastAsia="zh-CN"/>
        </w:rPr>
      </w:pPr>
      <w:bookmarkStart w:id="2780" w:name="_Toc237508432"/>
      <w:r>
        <w:rPr>
          <w:rFonts w:ascii="Times New Roman" w:hAnsi="Times New Roman" w:cs="Times New Roman"/>
          <w:b/>
          <w:bCs/>
          <w:color w:val="auto"/>
          <w:sz w:val="28"/>
          <w:szCs w:val="22"/>
          <w:lang w:eastAsia="zh-CN"/>
        </w:rPr>
        <w:t>10.5 排污口规范化</w:t>
      </w:r>
      <w:bookmarkEnd w:id="2780"/>
    </w:p>
    <w:p w14:paraId="6D27AA28">
      <w:pPr>
        <w:spacing w:line="360" w:lineRule="auto"/>
        <w:ind w:firstLine="480" w:firstLineChars="200"/>
        <w:jc w:val="both"/>
        <w:rPr>
          <w:rFonts w:ascii="Times New Roman" w:hAnsi="Times New Roman" w:cs="Times New Roman"/>
          <w:snapToGrid/>
          <w:color w:val="auto"/>
          <w:szCs w:val="24"/>
          <w:lang w:eastAsia="zh-CN"/>
        </w:rPr>
      </w:pPr>
      <w:bookmarkStart w:id="2781" w:name="_Toc19983"/>
      <w:r>
        <w:rPr>
          <w:rFonts w:ascii="Times New Roman" w:hAnsi="Times New Roman" w:cs="Times New Roman"/>
          <w:snapToGrid/>
          <w:color w:val="auto"/>
          <w:szCs w:val="24"/>
          <w:lang w:eastAsia="zh-CN"/>
        </w:rPr>
        <w:t>根据《环境保护图形标志---排放口</w:t>
      </w:r>
      <w:r>
        <w:rPr>
          <w:rFonts w:hint="eastAsia" w:ascii="Times New Roman" w:hAnsi="Times New Roman" w:cs="Times New Roman"/>
          <w:snapToGrid/>
          <w:color w:val="auto"/>
          <w:szCs w:val="24"/>
          <w:lang w:eastAsia="zh-CN"/>
        </w:rPr>
        <w:t>（</w:t>
      </w:r>
      <w:r>
        <w:rPr>
          <w:rFonts w:ascii="Times New Roman" w:hAnsi="Times New Roman" w:cs="Times New Roman"/>
          <w:snapToGrid/>
          <w:color w:val="auto"/>
          <w:szCs w:val="24"/>
          <w:lang w:eastAsia="zh-CN"/>
        </w:rPr>
        <w:t>源</w:t>
      </w:r>
      <w:r>
        <w:rPr>
          <w:rFonts w:hint="eastAsia" w:ascii="Times New Roman" w:hAnsi="Times New Roman" w:cs="Times New Roman"/>
          <w:snapToGrid/>
          <w:color w:val="auto"/>
          <w:szCs w:val="24"/>
          <w:lang w:eastAsia="zh-CN"/>
        </w:rPr>
        <w:t>）</w:t>
      </w:r>
      <w:r>
        <w:rPr>
          <w:rFonts w:ascii="Times New Roman" w:hAnsi="Times New Roman" w:cs="Times New Roman"/>
          <w:snapToGrid/>
          <w:color w:val="auto"/>
          <w:szCs w:val="24"/>
          <w:lang w:eastAsia="zh-CN"/>
        </w:rPr>
        <w:t>》和《排污口规范化整治要求</w:t>
      </w:r>
      <w:r>
        <w:rPr>
          <w:rFonts w:hint="eastAsia" w:ascii="Times New Roman" w:hAnsi="Times New Roman" w:cs="Times New Roman"/>
          <w:snapToGrid/>
          <w:color w:val="auto"/>
          <w:szCs w:val="24"/>
          <w:lang w:eastAsia="zh-CN"/>
        </w:rPr>
        <w:t>（</w:t>
      </w:r>
      <w:r>
        <w:rPr>
          <w:rFonts w:ascii="Times New Roman" w:hAnsi="Times New Roman" w:cs="Times New Roman"/>
          <w:snapToGrid/>
          <w:color w:val="auto"/>
          <w:szCs w:val="24"/>
          <w:lang w:eastAsia="zh-CN"/>
        </w:rPr>
        <w:t>试行</w:t>
      </w:r>
      <w:r>
        <w:rPr>
          <w:rFonts w:hint="eastAsia" w:ascii="Times New Roman" w:hAnsi="Times New Roman" w:cs="Times New Roman"/>
          <w:snapToGrid/>
          <w:color w:val="auto"/>
          <w:szCs w:val="24"/>
          <w:lang w:eastAsia="zh-CN"/>
        </w:rPr>
        <w:t>）</w:t>
      </w:r>
      <w:r>
        <w:rPr>
          <w:rFonts w:ascii="Times New Roman" w:hAnsi="Times New Roman" w:cs="Times New Roman"/>
          <w:snapToGrid/>
          <w:color w:val="auto"/>
          <w:szCs w:val="24"/>
          <w:lang w:eastAsia="zh-CN"/>
        </w:rPr>
        <w:t>》，企业所有排放口必须按照“便于采样、便于计量监测、便于日常现场监督检查”原则规范化设置，设置标志牌，绘制排污口公布图，对污水排放口安装流量计，对治理设施安装运行监控装置。</w:t>
      </w:r>
      <w:bookmarkEnd w:id="2781"/>
    </w:p>
    <w:p w14:paraId="25B7C010">
      <w:pPr>
        <w:spacing w:line="360" w:lineRule="auto"/>
        <w:ind w:firstLine="480" w:firstLineChars="200"/>
        <w:jc w:val="both"/>
        <w:rPr>
          <w:rFonts w:ascii="Times New Roman" w:hAnsi="Times New Roman" w:cs="Times New Roman"/>
          <w:snapToGrid/>
          <w:color w:val="auto"/>
          <w:szCs w:val="24"/>
          <w:lang w:eastAsia="zh-CN"/>
        </w:rPr>
      </w:pPr>
      <w:bookmarkStart w:id="2782" w:name="_Toc16270"/>
      <w:r>
        <w:rPr>
          <w:rFonts w:ascii="Times New Roman" w:hAnsi="Times New Roman" w:cs="Times New Roman"/>
          <w:snapToGrid/>
          <w:color w:val="auto"/>
          <w:szCs w:val="24"/>
          <w:lang w:eastAsia="zh-CN"/>
        </w:rPr>
        <w:t>（1）污水排放口</w:t>
      </w:r>
      <w:bookmarkEnd w:id="2782"/>
    </w:p>
    <w:p w14:paraId="154FDF49">
      <w:pPr>
        <w:spacing w:line="360" w:lineRule="auto"/>
        <w:ind w:firstLine="480" w:firstLineChars="200"/>
        <w:jc w:val="both"/>
        <w:rPr>
          <w:rFonts w:ascii="Times New Roman" w:hAnsi="Times New Roman" w:cs="Times New Roman"/>
          <w:snapToGrid/>
          <w:color w:val="auto"/>
          <w:szCs w:val="24"/>
          <w:lang w:eastAsia="zh-CN"/>
        </w:rPr>
      </w:pPr>
      <w:bookmarkStart w:id="2783" w:name="_Toc3131"/>
      <w:r>
        <w:rPr>
          <w:rFonts w:ascii="Times New Roman" w:hAnsi="Times New Roman" w:cs="Times New Roman"/>
          <w:snapToGrid/>
          <w:color w:val="auto"/>
          <w:szCs w:val="24"/>
          <w:lang w:eastAsia="zh-CN"/>
        </w:rPr>
        <w:t>对厂区外排主要水污染物进行监测，在总排放口设置采样点，在排污口附近醒目处设置环境保护图形标志牌。</w:t>
      </w:r>
      <w:bookmarkEnd w:id="2783"/>
    </w:p>
    <w:p w14:paraId="3435B336">
      <w:pPr>
        <w:spacing w:line="360" w:lineRule="auto"/>
        <w:ind w:firstLine="480" w:firstLineChars="200"/>
        <w:jc w:val="both"/>
        <w:rPr>
          <w:rFonts w:ascii="Times New Roman" w:hAnsi="Times New Roman" w:cs="Times New Roman"/>
          <w:snapToGrid/>
          <w:color w:val="auto"/>
          <w:szCs w:val="24"/>
          <w:lang w:eastAsia="zh-CN"/>
        </w:rPr>
      </w:pPr>
      <w:bookmarkStart w:id="2784" w:name="_Toc18600"/>
      <w:r>
        <w:rPr>
          <w:rFonts w:ascii="Times New Roman" w:hAnsi="Times New Roman" w:cs="Times New Roman"/>
          <w:snapToGrid/>
          <w:color w:val="auto"/>
          <w:szCs w:val="24"/>
          <w:lang w:eastAsia="zh-CN"/>
        </w:rPr>
        <w:t>（2）废气排放口</w:t>
      </w:r>
      <w:bookmarkEnd w:id="2784"/>
    </w:p>
    <w:p w14:paraId="0B28E13B">
      <w:pPr>
        <w:spacing w:line="360" w:lineRule="auto"/>
        <w:ind w:firstLine="480" w:firstLineChars="200"/>
        <w:jc w:val="both"/>
        <w:rPr>
          <w:rFonts w:ascii="Times New Roman" w:hAnsi="Times New Roman" w:cs="Times New Roman"/>
          <w:snapToGrid/>
          <w:color w:val="auto"/>
          <w:szCs w:val="24"/>
          <w:lang w:eastAsia="zh-CN"/>
        </w:rPr>
      </w:pPr>
      <w:bookmarkStart w:id="2785" w:name="_Toc23088"/>
      <w:r>
        <w:rPr>
          <w:rFonts w:ascii="Times New Roman" w:hAnsi="Times New Roman" w:cs="Times New Roman"/>
          <w:snapToGrid/>
          <w:color w:val="auto"/>
          <w:szCs w:val="24"/>
          <w:lang w:eastAsia="zh-CN"/>
        </w:rPr>
        <w:t>须符合规定高度，满足环境监测管理规定和《污染源监测技术规范》要求，建设维护永久性采样口、采样测试平台和排污口标志，如无法满足要求，由当地环保局确定。</w:t>
      </w:r>
      <w:bookmarkEnd w:id="2785"/>
    </w:p>
    <w:p w14:paraId="3A555A44">
      <w:pPr>
        <w:spacing w:line="360" w:lineRule="auto"/>
        <w:ind w:firstLine="480" w:firstLineChars="200"/>
        <w:jc w:val="both"/>
        <w:rPr>
          <w:rFonts w:ascii="Times New Roman" w:hAnsi="Times New Roman" w:cs="Times New Roman"/>
          <w:snapToGrid/>
          <w:color w:val="auto"/>
          <w:szCs w:val="24"/>
          <w:lang w:eastAsia="zh-CN"/>
        </w:rPr>
      </w:pPr>
      <w:bookmarkStart w:id="2786" w:name="_Toc1692"/>
      <w:r>
        <w:rPr>
          <w:rFonts w:ascii="Times New Roman" w:hAnsi="Times New Roman" w:cs="Times New Roman"/>
          <w:snapToGrid/>
          <w:color w:val="auto"/>
          <w:szCs w:val="24"/>
          <w:lang w:eastAsia="zh-CN"/>
        </w:rPr>
        <w:t>（3）固定噪声排放源</w:t>
      </w:r>
      <w:bookmarkEnd w:id="2786"/>
    </w:p>
    <w:p w14:paraId="7774C7A1">
      <w:pPr>
        <w:spacing w:line="360" w:lineRule="auto"/>
        <w:ind w:firstLine="480" w:firstLineChars="200"/>
        <w:jc w:val="both"/>
        <w:rPr>
          <w:rFonts w:ascii="Times New Roman" w:hAnsi="Times New Roman" w:cs="Times New Roman"/>
          <w:snapToGrid/>
          <w:color w:val="auto"/>
          <w:szCs w:val="24"/>
          <w:lang w:eastAsia="zh-CN"/>
        </w:rPr>
      </w:pPr>
      <w:bookmarkStart w:id="2787" w:name="_Toc32253"/>
      <w:r>
        <w:rPr>
          <w:rFonts w:ascii="Times New Roman" w:hAnsi="Times New Roman" w:cs="Times New Roman"/>
          <w:snapToGrid/>
          <w:color w:val="auto"/>
          <w:szCs w:val="24"/>
          <w:lang w:eastAsia="zh-CN"/>
        </w:rPr>
        <w:t>按规定对固定噪声源进行治理，在企业边界噪声敏感点且对外影响最大处设置标志牌。</w:t>
      </w:r>
      <w:bookmarkEnd w:id="2787"/>
    </w:p>
    <w:p w14:paraId="561B5F07">
      <w:pPr>
        <w:spacing w:line="360" w:lineRule="auto"/>
        <w:ind w:firstLine="480" w:firstLineChars="200"/>
        <w:jc w:val="both"/>
        <w:rPr>
          <w:rFonts w:ascii="Times New Roman" w:hAnsi="Times New Roman" w:cs="Times New Roman"/>
          <w:snapToGrid/>
          <w:color w:val="auto"/>
          <w:szCs w:val="24"/>
          <w:lang w:eastAsia="zh-CN"/>
        </w:rPr>
      </w:pPr>
      <w:bookmarkStart w:id="2788" w:name="_Toc735"/>
      <w:r>
        <w:rPr>
          <w:rFonts w:ascii="Times New Roman" w:hAnsi="Times New Roman" w:cs="Times New Roman"/>
          <w:snapToGrid/>
          <w:color w:val="auto"/>
          <w:szCs w:val="24"/>
          <w:lang w:eastAsia="zh-CN"/>
        </w:rPr>
        <w:t>（4）固体废物暂存场</w:t>
      </w:r>
      <w:bookmarkEnd w:id="2788"/>
    </w:p>
    <w:p w14:paraId="73196CFA">
      <w:pPr>
        <w:spacing w:line="360" w:lineRule="auto"/>
        <w:ind w:firstLine="480" w:firstLineChars="200"/>
        <w:jc w:val="both"/>
        <w:rPr>
          <w:rFonts w:ascii="Times New Roman" w:hAnsi="Times New Roman" w:cs="Times New Roman"/>
          <w:snapToGrid/>
          <w:color w:val="auto"/>
          <w:szCs w:val="24"/>
          <w:lang w:eastAsia="zh-CN"/>
        </w:rPr>
      </w:pPr>
      <w:bookmarkStart w:id="2789" w:name="_Toc20567"/>
      <w:r>
        <w:rPr>
          <w:rFonts w:ascii="Times New Roman" w:hAnsi="Times New Roman" w:cs="Times New Roman"/>
          <w:snapToGrid/>
          <w:color w:val="auto"/>
          <w:szCs w:val="24"/>
          <w:lang w:eastAsia="zh-CN"/>
        </w:rPr>
        <w:t>有毒有害固体废物必须设置专用堆放场地，有防扬散、防流失、防渗漏等措施。</w:t>
      </w:r>
      <w:bookmarkEnd w:id="2789"/>
    </w:p>
    <w:p w14:paraId="3176A011">
      <w:pPr>
        <w:spacing w:line="360" w:lineRule="auto"/>
        <w:ind w:firstLine="480" w:firstLineChars="200"/>
        <w:jc w:val="both"/>
        <w:rPr>
          <w:rFonts w:ascii="Times New Roman" w:hAnsi="Times New Roman" w:cs="Times New Roman"/>
          <w:snapToGrid/>
          <w:color w:val="auto"/>
          <w:szCs w:val="24"/>
          <w:lang w:eastAsia="zh-CN"/>
        </w:rPr>
      </w:pPr>
      <w:bookmarkStart w:id="2790" w:name="_Toc15361"/>
      <w:r>
        <w:rPr>
          <w:rFonts w:ascii="Times New Roman" w:hAnsi="Times New Roman" w:cs="Times New Roman"/>
          <w:snapToGrid/>
          <w:color w:val="auto"/>
          <w:szCs w:val="24"/>
          <w:lang w:eastAsia="zh-CN"/>
        </w:rPr>
        <w:t>（5）设置标志牌要求</w:t>
      </w:r>
      <w:bookmarkEnd w:id="2790"/>
    </w:p>
    <w:p w14:paraId="2EE77FB9">
      <w:pPr>
        <w:spacing w:line="360" w:lineRule="auto"/>
        <w:ind w:firstLine="480" w:firstLineChars="200"/>
        <w:jc w:val="both"/>
        <w:rPr>
          <w:rFonts w:ascii="Times New Roman" w:hAnsi="Times New Roman" w:cs="Times New Roman"/>
          <w:snapToGrid/>
          <w:color w:val="auto"/>
          <w:szCs w:val="24"/>
          <w:lang w:eastAsia="zh-CN"/>
        </w:rPr>
      </w:pPr>
      <w:bookmarkStart w:id="2791" w:name="_Toc895"/>
      <w:r>
        <w:rPr>
          <w:rFonts w:ascii="Times New Roman" w:hAnsi="Times New Roman" w:cs="Times New Roman"/>
          <w:snapToGrid/>
          <w:color w:val="auto"/>
          <w:szCs w:val="24"/>
          <w:lang w:eastAsia="zh-CN"/>
        </w:rPr>
        <w:t>标志牌应设置在排污口</w:t>
      </w:r>
      <w:r>
        <w:rPr>
          <w:rFonts w:hint="eastAsia" w:ascii="Times New Roman" w:hAnsi="Times New Roman" w:cs="Times New Roman"/>
          <w:snapToGrid/>
          <w:color w:val="auto"/>
          <w:szCs w:val="24"/>
          <w:lang w:eastAsia="zh-CN"/>
        </w:rPr>
        <w:t>（</w:t>
      </w:r>
      <w:r>
        <w:rPr>
          <w:rFonts w:ascii="Times New Roman" w:hAnsi="Times New Roman" w:cs="Times New Roman"/>
          <w:snapToGrid/>
          <w:color w:val="auto"/>
          <w:szCs w:val="24"/>
          <w:lang w:eastAsia="zh-CN"/>
        </w:rPr>
        <w:t>采样点</w:t>
      </w:r>
      <w:r>
        <w:rPr>
          <w:rFonts w:hint="eastAsia" w:ascii="Times New Roman" w:hAnsi="Times New Roman" w:cs="Times New Roman"/>
          <w:snapToGrid/>
          <w:color w:val="auto"/>
          <w:szCs w:val="24"/>
          <w:lang w:eastAsia="zh-CN"/>
        </w:rPr>
        <w:t>）</w:t>
      </w:r>
      <w:r>
        <w:rPr>
          <w:rFonts w:ascii="Times New Roman" w:hAnsi="Times New Roman" w:cs="Times New Roman"/>
          <w:snapToGrid/>
          <w:color w:val="auto"/>
          <w:szCs w:val="24"/>
          <w:lang w:eastAsia="zh-CN"/>
        </w:rPr>
        <w:t>附近且醒目处，高度为标志牌上缘离地面2米，排污口附近1米范围内有建筑物的，设平面式标志牌，无建筑物的设立式标志牌。排污口的有关设置</w:t>
      </w:r>
      <w:r>
        <w:rPr>
          <w:rFonts w:hint="eastAsia" w:ascii="Times New Roman" w:hAnsi="Times New Roman" w:cs="Times New Roman"/>
          <w:snapToGrid/>
          <w:color w:val="auto"/>
          <w:szCs w:val="24"/>
          <w:lang w:eastAsia="zh-CN"/>
        </w:rPr>
        <w:t>（</w:t>
      </w:r>
      <w:r>
        <w:rPr>
          <w:rFonts w:ascii="Times New Roman" w:hAnsi="Times New Roman" w:cs="Times New Roman"/>
          <w:snapToGrid/>
          <w:color w:val="auto"/>
          <w:szCs w:val="24"/>
          <w:lang w:eastAsia="zh-CN"/>
        </w:rPr>
        <w:t>如力形标志牌、计量装置、监控装置等</w:t>
      </w:r>
      <w:r>
        <w:rPr>
          <w:rFonts w:hint="eastAsia" w:ascii="Times New Roman" w:hAnsi="Times New Roman" w:cs="Times New Roman"/>
          <w:snapToGrid/>
          <w:color w:val="auto"/>
          <w:szCs w:val="24"/>
          <w:lang w:eastAsia="zh-CN"/>
        </w:rPr>
        <w:t>）</w:t>
      </w:r>
      <w:r>
        <w:rPr>
          <w:rFonts w:ascii="Times New Roman" w:hAnsi="Times New Roman" w:cs="Times New Roman"/>
          <w:snapToGrid/>
          <w:color w:val="auto"/>
          <w:szCs w:val="24"/>
          <w:lang w:eastAsia="zh-CN"/>
        </w:rPr>
        <w:t>属环保设施，排污单位必须负责日常的维护保养，任何单位和个人不得擅自拆除，如需要变更的须报当地环保局同意并办理变更手续。</w:t>
      </w:r>
      <w:bookmarkEnd w:id="2791"/>
    </w:p>
    <w:p w14:paraId="021BA3FE">
      <w:pPr>
        <w:spacing w:line="360" w:lineRule="auto"/>
        <w:ind w:firstLine="480" w:firstLineChars="200"/>
        <w:jc w:val="both"/>
        <w:rPr>
          <w:rFonts w:ascii="Times New Roman" w:hAnsi="Times New Roman" w:cs="Times New Roman"/>
          <w:snapToGrid/>
          <w:color w:val="auto"/>
          <w:szCs w:val="24"/>
          <w:lang w:eastAsia="zh-CN"/>
        </w:rPr>
      </w:pPr>
      <w:bookmarkStart w:id="2792" w:name="_Toc14727"/>
      <w:r>
        <w:rPr>
          <w:rFonts w:ascii="Times New Roman" w:hAnsi="Times New Roman" w:cs="Times New Roman"/>
          <w:snapToGrid/>
          <w:color w:val="auto"/>
          <w:szCs w:val="24"/>
          <w:lang w:eastAsia="zh-CN"/>
        </w:rPr>
        <w:t>各类环境保护图形标识汇总见下表。</w:t>
      </w:r>
      <w:bookmarkEnd w:id="2792"/>
    </w:p>
    <w:p w14:paraId="2CBD5ABC">
      <w:pPr>
        <w:spacing w:line="360" w:lineRule="auto"/>
        <w:jc w:val="center"/>
        <w:rPr>
          <w:rFonts w:ascii="Times New Roman" w:hAnsi="Times New Roman" w:cs="Times New Roman"/>
          <w:snapToGrid/>
          <w:color w:val="auto"/>
          <w:szCs w:val="24"/>
          <w:lang w:eastAsia="zh-CN"/>
        </w:rPr>
      </w:pPr>
      <w:bookmarkStart w:id="2793" w:name="_Toc11802"/>
      <w:r>
        <w:rPr>
          <w:rFonts w:ascii="Times New Roman" w:hAnsi="Times New Roman" w:cs="Times New Roman"/>
          <w:b/>
          <w:bCs/>
          <w:color w:val="auto"/>
          <w:szCs w:val="24"/>
          <w:lang w:eastAsia="zh-CN"/>
        </w:rPr>
        <w:t>表10.5-1 各类环境保护图形标识汇总一览表</w:t>
      </w:r>
      <w:bookmarkEnd w:id="2793"/>
    </w:p>
    <w:tbl>
      <w:tblPr>
        <w:tblStyle w:val="35"/>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304"/>
        <w:gridCol w:w="2015"/>
        <w:gridCol w:w="3303"/>
        <w:gridCol w:w="2120"/>
      </w:tblGrid>
      <w:tr w14:paraId="101758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2" w:type="pct"/>
            <w:vAlign w:val="center"/>
          </w:tcPr>
          <w:p w14:paraId="774EB7FC">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drawing>
                <wp:inline distT="0" distB="0" distL="0" distR="0">
                  <wp:extent cx="1085850" cy="1085850"/>
                  <wp:effectExtent l="0" t="0" r="0" b="0"/>
                  <wp:docPr id="191" name="图片 7" descr="点击看大图及详细资料">
                    <a:hlinkClick xmlns:a="http://schemas.openxmlformats.org/drawingml/2006/main" r:id="rId130"/>
                  </wp:docPr>
                  <wp:cNvGraphicFramePr/>
                  <a:graphic xmlns:a="http://schemas.openxmlformats.org/drawingml/2006/main">
                    <a:graphicData uri="http://schemas.openxmlformats.org/drawingml/2006/picture">
                      <pic:pic xmlns:pic="http://schemas.openxmlformats.org/drawingml/2006/picture">
                        <pic:nvPicPr>
                          <pic:cNvPr id="191" name="图片 7" descr="点击看大图及详细资料"/>
                          <pic:cNvPicPr>
                            <a:picLocks noChangeArrowheads="1"/>
                          </pic:cNvPicPr>
                        </pic:nvPicPr>
                        <pic:blipFill>
                          <a:blip r:embed="rId131">
                            <a:extLst>
                              <a:ext uri="{28A0092B-C50C-407E-A947-70E740481C1C}">
                                <a14:useLocalDpi xmlns:a14="http://schemas.microsoft.com/office/drawing/2010/main" val="0"/>
                              </a:ext>
                            </a:extLst>
                          </a:blip>
                          <a:srcRect/>
                          <a:stretch>
                            <a:fillRect/>
                          </a:stretch>
                        </pic:blipFill>
                        <pic:spPr>
                          <a:xfrm>
                            <a:off x="0" y="0"/>
                            <a:ext cx="1085850" cy="1085850"/>
                          </a:xfrm>
                          <a:prstGeom prst="rect">
                            <a:avLst/>
                          </a:prstGeom>
                          <a:noFill/>
                          <a:ln>
                            <a:noFill/>
                          </a:ln>
                        </pic:spPr>
                      </pic:pic>
                    </a:graphicData>
                  </a:graphic>
                </wp:inline>
              </w:drawing>
            </w:r>
          </w:p>
        </w:tc>
        <w:tc>
          <w:tcPr>
            <w:tcW w:w="1034" w:type="pct"/>
            <w:vAlign w:val="center"/>
          </w:tcPr>
          <w:p w14:paraId="21F528A6">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简介：废气排放口</w:t>
            </w:r>
          </w:p>
          <w:p w14:paraId="55252392">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提示图形符号</w:t>
            </w:r>
          </w:p>
          <w:p w14:paraId="0CD28BE2">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废气排放口</w:t>
            </w:r>
          </w:p>
          <w:p w14:paraId="044D098A">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表示废气向大气环境排放</w:t>
            </w:r>
          </w:p>
        </w:tc>
        <w:tc>
          <w:tcPr>
            <w:tcW w:w="1694" w:type="pct"/>
            <w:vAlign w:val="center"/>
          </w:tcPr>
          <w:p w14:paraId="1A739B99">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drawing>
                <wp:inline distT="0" distB="0" distL="0" distR="0">
                  <wp:extent cx="1076325" cy="1076325"/>
                  <wp:effectExtent l="0" t="0" r="0" b="0"/>
                  <wp:docPr id="192" name="图片 8" descr="点击看大图及详细资料">
                    <a:hlinkClick xmlns:a="http://schemas.openxmlformats.org/drawingml/2006/main" r:id="rId132"/>
                  </wp:docPr>
                  <wp:cNvGraphicFramePr/>
                  <a:graphic xmlns:a="http://schemas.openxmlformats.org/drawingml/2006/main">
                    <a:graphicData uri="http://schemas.openxmlformats.org/drawingml/2006/picture">
                      <pic:pic xmlns:pic="http://schemas.openxmlformats.org/drawingml/2006/picture">
                        <pic:nvPicPr>
                          <pic:cNvPr id="192" name="图片 8" descr="点击看大图及详细资料"/>
                          <pic:cNvPicPr>
                            <a:picLocks noChangeArrowheads="1"/>
                          </pic:cNvPicPr>
                        </pic:nvPicPr>
                        <pic:blipFill>
                          <a:blip r:embed="rId133">
                            <a:extLst>
                              <a:ext uri="{28A0092B-C50C-407E-A947-70E740481C1C}">
                                <a14:useLocalDpi xmlns:a14="http://schemas.microsoft.com/office/drawing/2010/main" val="0"/>
                              </a:ext>
                            </a:extLst>
                          </a:blip>
                          <a:srcRect/>
                          <a:stretch>
                            <a:fillRect/>
                          </a:stretch>
                        </pic:blipFill>
                        <pic:spPr>
                          <a:xfrm>
                            <a:off x="0" y="0"/>
                            <a:ext cx="1076325" cy="1076325"/>
                          </a:xfrm>
                          <a:prstGeom prst="rect">
                            <a:avLst/>
                          </a:prstGeom>
                          <a:noFill/>
                          <a:ln>
                            <a:noFill/>
                          </a:ln>
                        </pic:spPr>
                      </pic:pic>
                    </a:graphicData>
                  </a:graphic>
                </wp:inline>
              </w:drawing>
            </w:r>
          </w:p>
        </w:tc>
        <w:tc>
          <w:tcPr>
            <w:tcW w:w="1088" w:type="pct"/>
            <w:vAlign w:val="center"/>
          </w:tcPr>
          <w:p w14:paraId="6024F35A">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简介：废气排放口</w:t>
            </w:r>
          </w:p>
          <w:p w14:paraId="0498BB6F">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警告图形符号</w:t>
            </w:r>
          </w:p>
          <w:p w14:paraId="725B4ED6">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废气排放口</w:t>
            </w:r>
          </w:p>
          <w:p w14:paraId="33EC6CD1">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表示废气向大气环境排放</w:t>
            </w:r>
          </w:p>
        </w:tc>
      </w:tr>
      <w:tr w14:paraId="530DC3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2" w:type="pct"/>
            <w:vAlign w:val="center"/>
          </w:tcPr>
          <w:p w14:paraId="6A9EB6C6">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drawing>
                <wp:inline distT="0" distB="0" distL="0" distR="0">
                  <wp:extent cx="1076325" cy="1076325"/>
                  <wp:effectExtent l="0" t="0" r="0" b="0"/>
                  <wp:docPr id="193" name="图片 40"/>
                  <wp:cNvGraphicFramePr/>
                  <a:graphic xmlns:a="http://schemas.openxmlformats.org/drawingml/2006/main">
                    <a:graphicData uri="http://schemas.openxmlformats.org/drawingml/2006/picture">
                      <pic:pic xmlns:pic="http://schemas.openxmlformats.org/drawingml/2006/picture">
                        <pic:nvPicPr>
                          <pic:cNvPr id="193" name="图片 40"/>
                          <pic:cNvPicPr>
                            <a:picLocks noChangeArrowheads="1"/>
                          </pic:cNvPicPr>
                        </pic:nvPicPr>
                        <pic:blipFill>
                          <a:blip r:embed="rId134">
                            <a:extLst>
                              <a:ext uri="{28A0092B-C50C-407E-A947-70E740481C1C}">
                                <a14:useLocalDpi xmlns:a14="http://schemas.microsoft.com/office/drawing/2010/main" val="0"/>
                              </a:ext>
                            </a:extLst>
                          </a:blip>
                          <a:srcRect/>
                          <a:stretch>
                            <a:fillRect/>
                          </a:stretch>
                        </pic:blipFill>
                        <pic:spPr>
                          <a:xfrm>
                            <a:off x="0" y="0"/>
                            <a:ext cx="1076325" cy="1076325"/>
                          </a:xfrm>
                          <a:prstGeom prst="rect">
                            <a:avLst/>
                          </a:prstGeom>
                          <a:noFill/>
                          <a:ln>
                            <a:noFill/>
                          </a:ln>
                        </pic:spPr>
                      </pic:pic>
                    </a:graphicData>
                  </a:graphic>
                </wp:inline>
              </w:drawing>
            </w:r>
          </w:p>
        </w:tc>
        <w:tc>
          <w:tcPr>
            <w:tcW w:w="1034" w:type="pct"/>
            <w:vAlign w:val="center"/>
          </w:tcPr>
          <w:p w14:paraId="65D6B081">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简介：废水排放口</w:t>
            </w:r>
          </w:p>
          <w:p w14:paraId="783E3840">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提示图形符号</w:t>
            </w:r>
          </w:p>
          <w:p w14:paraId="0600E4F7">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废水排放口</w:t>
            </w:r>
          </w:p>
          <w:p w14:paraId="6B5C98FE">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表示废水向地表水环境排放</w:t>
            </w:r>
          </w:p>
        </w:tc>
        <w:tc>
          <w:tcPr>
            <w:tcW w:w="1694" w:type="pct"/>
            <w:vAlign w:val="center"/>
          </w:tcPr>
          <w:p w14:paraId="5A662A21">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drawing>
                <wp:inline distT="0" distB="0" distL="0" distR="0">
                  <wp:extent cx="1076325" cy="1076325"/>
                  <wp:effectExtent l="0" t="0" r="0" b="0"/>
                  <wp:docPr id="194" name="图片 41"/>
                  <wp:cNvGraphicFramePr/>
                  <a:graphic xmlns:a="http://schemas.openxmlformats.org/drawingml/2006/main">
                    <a:graphicData uri="http://schemas.openxmlformats.org/drawingml/2006/picture">
                      <pic:pic xmlns:pic="http://schemas.openxmlformats.org/drawingml/2006/picture">
                        <pic:nvPicPr>
                          <pic:cNvPr id="194" name="图片 41"/>
                          <pic:cNvPicPr>
                            <a:picLocks noChangeArrowheads="1"/>
                          </pic:cNvPicPr>
                        </pic:nvPicPr>
                        <pic:blipFill>
                          <a:blip r:embed="rId135">
                            <a:extLst>
                              <a:ext uri="{28A0092B-C50C-407E-A947-70E740481C1C}">
                                <a14:useLocalDpi xmlns:a14="http://schemas.microsoft.com/office/drawing/2010/main" val="0"/>
                              </a:ext>
                            </a:extLst>
                          </a:blip>
                          <a:srcRect/>
                          <a:stretch>
                            <a:fillRect/>
                          </a:stretch>
                        </pic:blipFill>
                        <pic:spPr>
                          <a:xfrm>
                            <a:off x="0" y="0"/>
                            <a:ext cx="1076325" cy="1076325"/>
                          </a:xfrm>
                          <a:prstGeom prst="rect">
                            <a:avLst/>
                          </a:prstGeom>
                          <a:noFill/>
                          <a:ln>
                            <a:noFill/>
                          </a:ln>
                        </pic:spPr>
                      </pic:pic>
                    </a:graphicData>
                  </a:graphic>
                </wp:inline>
              </w:drawing>
            </w:r>
          </w:p>
        </w:tc>
        <w:tc>
          <w:tcPr>
            <w:tcW w:w="1088" w:type="pct"/>
            <w:vAlign w:val="center"/>
          </w:tcPr>
          <w:p w14:paraId="1C6B1685">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简介：废水排放口</w:t>
            </w:r>
          </w:p>
          <w:p w14:paraId="534BC0AF">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警告图形符号</w:t>
            </w:r>
          </w:p>
          <w:p w14:paraId="1C2BE7A5">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废水排放口</w:t>
            </w:r>
          </w:p>
          <w:p w14:paraId="5B627843">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表示废水向地表水</w:t>
            </w:r>
          </w:p>
          <w:p w14:paraId="6BAC7B94">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环境排放</w:t>
            </w:r>
          </w:p>
        </w:tc>
      </w:tr>
      <w:tr w14:paraId="0C6908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2" w:type="pct"/>
            <w:vAlign w:val="center"/>
          </w:tcPr>
          <w:p w14:paraId="520EB404">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drawing>
                <wp:inline distT="0" distB="0" distL="0" distR="0">
                  <wp:extent cx="1076325" cy="1076325"/>
                  <wp:effectExtent l="0" t="0" r="0" b="0"/>
                  <wp:docPr id="195" name="图片 9" descr="点击看大图及详细资料">
                    <a:hlinkClick xmlns:a="http://schemas.openxmlformats.org/drawingml/2006/main" r:id="rId136"/>
                  </wp:docPr>
                  <wp:cNvGraphicFramePr/>
                  <a:graphic xmlns:a="http://schemas.openxmlformats.org/drawingml/2006/main">
                    <a:graphicData uri="http://schemas.openxmlformats.org/drawingml/2006/picture">
                      <pic:pic xmlns:pic="http://schemas.openxmlformats.org/drawingml/2006/picture">
                        <pic:nvPicPr>
                          <pic:cNvPr id="195" name="图片 9" descr="点击看大图及详细资料"/>
                          <pic:cNvPicPr>
                            <a:picLocks noChangeArrowheads="1"/>
                          </pic:cNvPicPr>
                        </pic:nvPicPr>
                        <pic:blipFill>
                          <a:blip r:embed="rId137">
                            <a:extLst>
                              <a:ext uri="{28A0092B-C50C-407E-A947-70E740481C1C}">
                                <a14:useLocalDpi xmlns:a14="http://schemas.microsoft.com/office/drawing/2010/main" val="0"/>
                              </a:ext>
                            </a:extLst>
                          </a:blip>
                          <a:srcRect/>
                          <a:stretch>
                            <a:fillRect/>
                          </a:stretch>
                        </pic:blipFill>
                        <pic:spPr>
                          <a:xfrm>
                            <a:off x="0" y="0"/>
                            <a:ext cx="1076325" cy="1076325"/>
                          </a:xfrm>
                          <a:prstGeom prst="rect">
                            <a:avLst/>
                          </a:prstGeom>
                          <a:noFill/>
                          <a:ln>
                            <a:noFill/>
                          </a:ln>
                        </pic:spPr>
                      </pic:pic>
                    </a:graphicData>
                  </a:graphic>
                </wp:inline>
              </w:drawing>
            </w:r>
          </w:p>
        </w:tc>
        <w:tc>
          <w:tcPr>
            <w:tcW w:w="1034" w:type="pct"/>
            <w:vAlign w:val="center"/>
          </w:tcPr>
          <w:p w14:paraId="191CD69F">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简介：噪声排放源</w:t>
            </w:r>
          </w:p>
          <w:p w14:paraId="02624B16">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提示图形符号</w:t>
            </w:r>
          </w:p>
          <w:p w14:paraId="0FE73CBF">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噪声排放源</w:t>
            </w:r>
          </w:p>
          <w:p w14:paraId="3512363E">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表示噪声向外环境排放</w:t>
            </w:r>
          </w:p>
        </w:tc>
        <w:tc>
          <w:tcPr>
            <w:tcW w:w="1694" w:type="pct"/>
            <w:vAlign w:val="center"/>
          </w:tcPr>
          <w:p w14:paraId="16B7C49D">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drawing>
                <wp:inline distT="0" distB="0" distL="0" distR="0">
                  <wp:extent cx="1076325" cy="1076325"/>
                  <wp:effectExtent l="0" t="0" r="0" b="0"/>
                  <wp:docPr id="196" name="图片 10" descr="点击看大图及详细资料">
                    <a:hlinkClick xmlns:a="http://schemas.openxmlformats.org/drawingml/2006/main" r:id="rId138"/>
                  </wp:docPr>
                  <wp:cNvGraphicFramePr/>
                  <a:graphic xmlns:a="http://schemas.openxmlformats.org/drawingml/2006/main">
                    <a:graphicData uri="http://schemas.openxmlformats.org/drawingml/2006/picture">
                      <pic:pic xmlns:pic="http://schemas.openxmlformats.org/drawingml/2006/picture">
                        <pic:nvPicPr>
                          <pic:cNvPr id="196" name="图片 10" descr="点击看大图及详细资料"/>
                          <pic:cNvPicPr>
                            <a:picLocks noChangeArrowheads="1"/>
                          </pic:cNvPicPr>
                        </pic:nvPicPr>
                        <pic:blipFill>
                          <a:blip r:embed="rId139">
                            <a:extLst>
                              <a:ext uri="{28A0092B-C50C-407E-A947-70E740481C1C}">
                                <a14:useLocalDpi xmlns:a14="http://schemas.microsoft.com/office/drawing/2010/main" val="0"/>
                              </a:ext>
                            </a:extLst>
                          </a:blip>
                          <a:srcRect/>
                          <a:stretch>
                            <a:fillRect/>
                          </a:stretch>
                        </pic:blipFill>
                        <pic:spPr>
                          <a:xfrm>
                            <a:off x="0" y="0"/>
                            <a:ext cx="1076325" cy="1076325"/>
                          </a:xfrm>
                          <a:prstGeom prst="rect">
                            <a:avLst/>
                          </a:prstGeom>
                          <a:noFill/>
                          <a:ln>
                            <a:noFill/>
                          </a:ln>
                        </pic:spPr>
                      </pic:pic>
                    </a:graphicData>
                  </a:graphic>
                </wp:inline>
              </w:drawing>
            </w:r>
          </w:p>
        </w:tc>
        <w:tc>
          <w:tcPr>
            <w:tcW w:w="1088" w:type="pct"/>
            <w:vAlign w:val="center"/>
          </w:tcPr>
          <w:p w14:paraId="22FE7794">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简介：噪声排放源</w:t>
            </w:r>
          </w:p>
          <w:p w14:paraId="173E399E">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警告图形符号</w:t>
            </w:r>
          </w:p>
          <w:p w14:paraId="49351580">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噪声排放源</w:t>
            </w:r>
          </w:p>
          <w:p w14:paraId="1486A4B2">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表示噪声向外环境排放</w:t>
            </w:r>
          </w:p>
        </w:tc>
      </w:tr>
      <w:tr w14:paraId="15BCB8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2" w:type="pct"/>
            <w:vAlign w:val="center"/>
          </w:tcPr>
          <w:p w14:paraId="347017F6">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drawing>
                <wp:inline distT="0" distB="0" distL="0" distR="0">
                  <wp:extent cx="1076325" cy="1076325"/>
                  <wp:effectExtent l="0" t="0" r="0" b="0"/>
                  <wp:docPr id="197" name="图片 11"/>
                  <wp:cNvGraphicFramePr/>
                  <a:graphic xmlns:a="http://schemas.openxmlformats.org/drawingml/2006/main">
                    <a:graphicData uri="http://schemas.openxmlformats.org/drawingml/2006/picture">
                      <pic:pic xmlns:pic="http://schemas.openxmlformats.org/drawingml/2006/picture">
                        <pic:nvPicPr>
                          <pic:cNvPr id="197" name="图片 11"/>
                          <pic:cNvPicPr>
                            <a:picLocks noChangeArrowheads="1"/>
                          </pic:cNvPicPr>
                        </pic:nvPicPr>
                        <pic:blipFill>
                          <a:blip r:embed="rId140">
                            <a:extLst>
                              <a:ext uri="{28A0092B-C50C-407E-A947-70E740481C1C}">
                                <a14:useLocalDpi xmlns:a14="http://schemas.microsoft.com/office/drawing/2010/main" val="0"/>
                              </a:ext>
                            </a:extLst>
                          </a:blip>
                          <a:srcRect/>
                          <a:stretch>
                            <a:fillRect/>
                          </a:stretch>
                        </pic:blipFill>
                        <pic:spPr>
                          <a:xfrm>
                            <a:off x="0" y="0"/>
                            <a:ext cx="1076325" cy="1076325"/>
                          </a:xfrm>
                          <a:prstGeom prst="rect">
                            <a:avLst/>
                          </a:prstGeom>
                          <a:noFill/>
                          <a:ln>
                            <a:noFill/>
                          </a:ln>
                        </pic:spPr>
                      </pic:pic>
                    </a:graphicData>
                  </a:graphic>
                </wp:inline>
              </w:drawing>
            </w:r>
          </w:p>
        </w:tc>
        <w:tc>
          <w:tcPr>
            <w:tcW w:w="1034" w:type="pct"/>
            <w:vAlign w:val="center"/>
          </w:tcPr>
          <w:p w14:paraId="4B5415BA">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简介：危废贮存场所图形符号</w:t>
            </w:r>
          </w:p>
        </w:tc>
        <w:tc>
          <w:tcPr>
            <w:tcW w:w="1694" w:type="pct"/>
            <w:vAlign w:val="center"/>
          </w:tcPr>
          <w:p w14:paraId="73D266D8">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drawing>
                <wp:inline distT="0" distB="0" distL="0" distR="0">
                  <wp:extent cx="1609725" cy="1104900"/>
                  <wp:effectExtent l="0" t="0" r="0" b="0"/>
                  <wp:docPr id="19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2"/>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a:xfrm>
                            <a:off x="0" y="0"/>
                            <a:ext cx="1609725" cy="1104900"/>
                          </a:xfrm>
                          <a:prstGeom prst="rect">
                            <a:avLst/>
                          </a:prstGeom>
                          <a:noFill/>
                          <a:ln>
                            <a:noFill/>
                          </a:ln>
                        </pic:spPr>
                      </pic:pic>
                    </a:graphicData>
                  </a:graphic>
                </wp:inline>
              </w:drawing>
            </w:r>
          </w:p>
        </w:tc>
        <w:tc>
          <w:tcPr>
            <w:tcW w:w="1088" w:type="pct"/>
            <w:vAlign w:val="center"/>
          </w:tcPr>
          <w:p w14:paraId="69C06A59">
            <w:pPr>
              <w:adjustRightInd w:val="0"/>
              <w:snapToGrid w:val="0"/>
              <w:jc w:val="center"/>
              <w:rPr>
                <w:rFonts w:ascii="Times New Roman" w:hAnsi="Times New Roman" w:cs="Times New Roman"/>
                <w:snapToGrid/>
                <w:color w:val="auto"/>
                <w:sz w:val="21"/>
                <w:lang w:eastAsia="zh-CN"/>
              </w:rPr>
            </w:pPr>
            <w:r>
              <w:rPr>
                <w:rFonts w:ascii="Times New Roman" w:hAnsi="Times New Roman" w:cs="Times New Roman"/>
                <w:snapToGrid/>
                <w:color w:val="auto"/>
                <w:sz w:val="21"/>
                <w:lang w:eastAsia="zh-CN"/>
              </w:rPr>
              <w:t>简介：危险废物贮存识别标签及标志</w:t>
            </w:r>
          </w:p>
        </w:tc>
      </w:tr>
    </w:tbl>
    <w:p w14:paraId="03F20950">
      <w:pPr>
        <w:ind w:firstLine="480"/>
        <w:rPr>
          <w:rFonts w:ascii="Times New Roman" w:hAnsi="Times New Roman" w:cs="Times New Roman"/>
          <w:snapToGrid/>
          <w:color w:val="auto"/>
          <w:szCs w:val="24"/>
          <w:lang w:eastAsia="zh-CN"/>
        </w:rPr>
      </w:pPr>
    </w:p>
    <w:p w14:paraId="775C04AC">
      <w:pPr>
        <w:ind w:firstLine="480"/>
        <w:rPr>
          <w:rFonts w:ascii="Times New Roman" w:hAnsi="Times New Roman" w:cs="Times New Roman"/>
          <w:color w:val="auto"/>
          <w:lang w:eastAsia="zh-CN"/>
        </w:rPr>
        <w:sectPr>
          <w:headerReference r:id="rId37" w:type="first"/>
          <w:headerReference r:id="rId35" w:type="default"/>
          <w:footerReference r:id="rId38" w:type="default"/>
          <w:headerReference r:id="rId36" w:type="even"/>
          <w:pgSz w:w="11906" w:h="16838"/>
          <w:pgMar w:top="1440" w:right="1080" w:bottom="1440" w:left="1080" w:header="851" w:footer="992" w:gutter="0"/>
          <w:cols w:space="720" w:num="1"/>
          <w:docGrid w:type="lines" w:linePitch="312" w:charSpace="0"/>
        </w:sectPr>
      </w:pPr>
    </w:p>
    <w:p w14:paraId="202C26AF">
      <w:pPr>
        <w:spacing w:line="360" w:lineRule="auto"/>
        <w:ind w:firstLine="643"/>
        <w:jc w:val="center"/>
        <w:outlineLvl w:val="0"/>
        <w:rPr>
          <w:rFonts w:ascii="Times New Roman" w:hAnsi="Times New Roman" w:cs="Times New Roman"/>
          <w:b/>
          <w:bCs/>
          <w:color w:val="auto"/>
          <w:sz w:val="32"/>
          <w:szCs w:val="24"/>
          <w:lang w:eastAsia="zh-CN"/>
        </w:rPr>
      </w:pPr>
      <w:bookmarkStart w:id="2794" w:name="_Toc18201"/>
      <w:bookmarkStart w:id="2795" w:name="_Toc237508433"/>
      <w:r>
        <w:rPr>
          <w:rFonts w:ascii="Times New Roman" w:hAnsi="Times New Roman" w:cs="Times New Roman"/>
          <w:b/>
          <w:bCs/>
          <w:color w:val="auto"/>
          <w:sz w:val="32"/>
          <w:szCs w:val="24"/>
          <w:lang w:eastAsia="zh-CN"/>
        </w:rPr>
        <w:t>11 评价结论</w:t>
      </w:r>
      <w:bookmarkEnd w:id="2794"/>
      <w:bookmarkEnd w:id="2795"/>
    </w:p>
    <w:p w14:paraId="58D4C623">
      <w:pPr>
        <w:spacing w:line="360" w:lineRule="auto"/>
        <w:ind w:firstLine="562"/>
        <w:rPr>
          <w:rFonts w:ascii="Times New Roman" w:hAnsi="Times New Roman" w:cs="Times New Roman"/>
          <w:b/>
          <w:bCs/>
          <w:color w:val="auto"/>
          <w:sz w:val="28"/>
          <w:szCs w:val="22"/>
          <w:lang w:eastAsia="zh-CN"/>
        </w:rPr>
      </w:pPr>
      <w:bookmarkStart w:id="2796" w:name="_Toc27819"/>
    </w:p>
    <w:p w14:paraId="75C22040">
      <w:pPr>
        <w:widowControl w:val="0"/>
        <w:spacing w:line="360" w:lineRule="auto"/>
        <w:ind w:firstLine="562"/>
        <w:outlineLvl w:val="1"/>
        <w:rPr>
          <w:rFonts w:ascii="Times New Roman" w:hAnsi="Times New Roman" w:cs="Times New Roman"/>
          <w:b/>
          <w:bCs/>
          <w:color w:val="auto"/>
          <w:sz w:val="28"/>
          <w:szCs w:val="22"/>
          <w:lang w:eastAsia="zh-CN"/>
        </w:rPr>
      </w:pPr>
      <w:bookmarkStart w:id="2797" w:name="_Toc237508434"/>
      <w:r>
        <w:rPr>
          <w:rFonts w:ascii="Times New Roman" w:hAnsi="Times New Roman" w:cs="Times New Roman"/>
          <w:b/>
          <w:bCs/>
          <w:color w:val="auto"/>
          <w:sz w:val="28"/>
          <w:szCs w:val="22"/>
          <w:lang w:eastAsia="zh-CN"/>
        </w:rPr>
        <w:t>11.1 建设项目概况</w:t>
      </w:r>
      <w:bookmarkEnd w:id="2796"/>
      <w:bookmarkEnd w:id="2797"/>
    </w:p>
    <w:p w14:paraId="335C3AE6">
      <w:pPr>
        <w:topLinePunct/>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1、项目名称：</w:t>
      </w:r>
      <w:r>
        <w:rPr>
          <w:rFonts w:hint="eastAsia" w:ascii="Times New Roman" w:hAnsi="Times New Roman" w:cs="Times New Roman"/>
          <w:color w:val="auto"/>
          <w:szCs w:val="24"/>
          <w:lang w:eastAsia="zh-CN"/>
        </w:rPr>
        <w:t>年产5万吨化学纯氢氟酸及1.5万吨刻蚀液扩产项目</w:t>
      </w:r>
    </w:p>
    <w:p w14:paraId="744C68EF">
      <w:pPr>
        <w:topLinePunct/>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2、建设性质：</w:t>
      </w:r>
      <w:r>
        <w:rPr>
          <w:rFonts w:hint="eastAsia" w:ascii="Times New Roman" w:hAnsi="Times New Roman" w:cs="Times New Roman"/>
          <w:color w:val="auto"/>
          <w:szCs w:val="24"/>
          <w:lang w:eastAsia="zh-CN"/>
        </w:rPr>
        <w:t>改扩</w:t>
      </w:r>
      <w:r>
        <w:rPr>
          <w:rFonts w:ascii="Times New Roman" w:hAnsi="Times New Roman" w:cs="Times New Roman"/>
          <w:color w:val="auto"/>
          <w:szCs w:val="24"/>
          <w:lang w:eastAsia="zh-CN"/>
        </w:rPr>
        <w:t>建</w:t>
      </w:r>
    </w:p>
    <w:p w14:paraId="3262A1CB">
      <w:pPr>
        <w:topLinePunct/>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3、建设单位：</w:t>
      </w:r>
      <w:r>
        <w:rPr>
          <w:rFonts w:hint="eastAsia" w:ascii="Times New Roman" w:hAnsi="Times New Roman" w:cs="Times New Roman"/>
          <w:color w:val="auto"/>
          <w:szCs w:val="24"/>
          <w:lang w:eastAsia="zh-CN"/>
        </w:rPr>
        <w:t>安徽氟瑞星化工有限公司</w:t>
      </w:r>
    </w:p>
    <w:p w14:paraId="0CE5C416">
      <w:pPr>
        <w:topLinePunct/>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4、建设地点：安徽省蚌埠市淮上区沫河口工业园</w:t>
      </w:r>
      <w:r>
        <w:rPr>
          <w:rFonts w:hint="eastAsia" w:ascii="Times New Roman" w:hAnsi="Times New Roman" w:cs="Times New Roman"/>
          <w:color w:val="auto"/>
          <w:szCs w:val="24"/>
          <w:lang w:eastAsia="zh-CN"/>
        </w:rPr>
        <w:t>淝河北路599号</w:t>
      </w:r>
    </w:p>
    <w:p w14:paraId="65A04393">
      <w:pPr>
        <w:topLinePunct/>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5、建设内容及规模：</w:t>
      </w:r>
      <w:r>
        <w:rPr>
          <w:rFonts w:hint="eastAsia" w:ascii="Times New Roman" w:hAnsi="Times New Roman" w:cs="Times New Roman"/>
          <w:color w:val="auto"/>
          <w:szCs w:val="24"/>
          <w:lang w:eastAsia="zh-CN"/>
        </w:rPr>
        <w:t>现有厂区</w:t>
      </w:r>
      <w:r>
        <w:rPr>
          <w:rFonts w:ascii="Times New Roman" w:hAnsi="Times New Roman" w:cs="Times New Roman"/>
          <w:color w:val="auto"/>
          <w:szCs w:val="24"/>
          <w:lang w:eastAsia="zh-CN"/>
        </w:rPr>
        <w:t>占地面积</w:t>
      </w:r>
      <w:r>
        <w:rPr>
          <w:rFonts w:hint="eastAsia" w:ascii="Times New Roman" w:hAnsi="Times New Roman" w:cs="Times New Roman"/>
          <w:color w:val="auto"/>
          <w:szCs w:val="24"/>
          <w:lang w:eastAsia="zh-CN"/>
        </w:rPr>
        <w:t>36566.12</w:t>
      </w:r>
      <w:r>
        <w:rPr>
          <w:rFonts w:ascii="Times New Roman" w:hAnsi="Times New Roman" w:cs="Times New Roman"/>
          <w:color w:val="auto"/>
          <w:szCs w:val="24"/>
          <w:lang w:eastAsia="zh-CN"/>
        </w:rPr>
        <w:t>m</w:t>
      </w:r>
      <w:r>
        <w:rPr>
          <w:rFonts w:ascii="Times New Roman" w:hAnsi="Times New Roman" w:cs="Times New Roman"/>
          <w:color w:val="auto"/>
          <w:szCs w:val="24"/>
          <w:vertAlign w:val="superscript"/>
          <w:lang w:eastAsia="zh-CN"/>
        </w:rPr>
        <w:t>2</w:t>
      </w:r>
      <w:r>
        <w:rPr>
          <w:rFonts w:hint="eastAsia" w:ascii="Times New Roman" w:hAnsi="Times New Roman" w:cs="Times New Roman"/>
          <w:color w:val="auto"/>
          <w:szCs w:val="24"/>
          <w:lang w:eastAsia="zh-CN"/>
        </w:rPr>
        <w:t>，本项目对现有厂区《</w:t>
      </w:r>
      <w:r>
        <w:rPr>
          <w:rFonts w:ascii="Times New Roman" w:hAnsi="Times New Roman" w:cs="Times New Roman"/>
          <w:color w:val="auto"/>
          <w:szCs w:val="24"/>
          <w:lang w:eastAsia="zh-CN"/>
        </w:rPr>
        <w:t>年产4万吨电子级氢氟酸、4万吨化学纯氢氟酸及4.5万吨刻蚀液项目（一期工程）</w:t>
      </w:r>
      <w:r>
        <w:rPr>
          <w:rFonts w:hint="eastAsia" w:ascii="Times New Roman" w:hAnsi="Times New Roman" w:cs="Times New Roman"/>
          <w:color w:val="auto"/>
          <w:szCs w:val="24"/>
          <w:lang w:eastAsia="zh-CN"/>
        </w:rPr>
        <w:t>项目》中的</w:t>
      </w:r>
      <w:r>
        <w:rPr>
          <w:rFonts w:ascii="Times New Roman" w:hAnsi="Times New Roman" w:cs="Times New Roman"/>
          <w:color w:val="auto"/>
          <w:szCs w:val="24"/>
          <w:lang w:eastAsia="zh-CN"/>
        </w:rPr>
        <w:t>化学纯氢氟酸及刻蚀液</w:t>
      </w:r>
      <w:r>
        <w:rPr>
          <w:rFonts w:hint="eastAsia" w:ascii="Times New Roman" w:hAnsi="Times New Roman" w:cs="Times New Roman"/>
          <w:color w:val="auto"/>
          <w:szCs w:val="24"/>
          <w:lang w:eastAsia="zh-CN"/>
        </w:rPr>
        <w:t>生产方案进行部分调整，新增4台调配器，用于生产化学纯氢氟酸；新增 6台调配罐，用于生产刻蚀液；新增一座戊类罐区二；项目建成后，全厂形成年产9</w:t>
      </w:r>
      <w:r>
        <w:rPr>
          <w:rFonts w:ascii="Times New Roman" w:hAnsi="Times New Roman" w:cs="Times New Roman"/>
          <w:color w:val="auto"/>
          <w:szCs w:val="24"/>
          <w:lang w:eastAsia="zh-CN"/>
        </w:rPr>
        <w:t>万</w:t>
      </w:r>
      <w:r>
        <w:rPr>
          <w:rFonts w:hint="eastAsia" w:ascii="Times New Roman" w:hAnsi="Times New Roman" w:cs="Times New Roman"/>
          <w:color w:val="auto"/>
          <w:szCs w:val="24"/>
          <w:lang w:eastAsia="zh-CN"/>
        </w:rPr>
        <w:t>t/a化学纯氢氟酸（其中5</w:t>
      </w:r>
      <w:r>
        <w:rPr>
          <w:rFonts w:ascii="Times New Roman" w:hAnsi="Times New Roman" w:cs="Times New Roman"/>
          <w:color w:val="auto"/>
          <w:szCs w:val="24"/>
          <w:lang w:eastAsia="zh-CN"/>
        </w:rPr>
        <w:t>万t/a外售，</w:t>
      </w:r>
      <w:r>
        <w:rPr>
          <w:rFonts w:hint="eastAsia" w:ascii="Times New Roman" w:hAnsi="Times New Roman" w:cs="Times New Roman"/>
          <w:color w:val="auto"/>
          <w:szCs w:val="24"/>
          <w:lang w:eastAsia="zh-CN"/>
        </w:rPr>
        <w:t>4</w:t>
      </w:r>
      <w:r>
        <w:rPr>
          <w:rFonts w:ascii="Times New Roman" w:hAnsi="Times New Roman" w:cs="Times New Roman"/>
          <w:color w:val="auto"/>
          <w:szCs w:val="24"/>
          <w:lang w:eastAsia="zh-CN"/>
        </w:rPr>
        <w:t>万t/a</w:t>
      </w:r>
      <w:r>
        <w:rPr>
          <w:rFonts w:hint="eastAsia" w:ascii="Times New Roman" w:hAnsi="Times New Roman" w:cs="Times New Roman"/>
          <w:color w:val="auto"/>
          <w:szCs w:val="24"/>
          <w:lang w:eastAsia="zh-CN"/>
        </w:rPr>
        <w:t>用于生产刻蚀液）、6万t/</w:t>
      </w:r>
      <w:r>
        <w:rPr>
          <w:rFonts w:ascii="Times New Roman" w:hAnsi="Times New Roman" w:cs="Times New Roman"/>
          <w:color w:val="auto"/>
          <w:szCs w:val="24"/>
          <w:lang w:eastAsia="zh-CN"/>
        </w:rPr>
        <w:t>a刻蚀液</w:t>
      </w:r>
      <w:r>
        <w:rPr>
          <w:rFonts w:hint="eastAsia" w:ascii="Times New Roman" w:hAnsi="Times New Roman" w:cs="Times New Roman"/>
          <w:color w:val="auto"/>
          <w:szCs w:val="24"/>
          <w:lang w:eastAsia="zh-CN"/>
        </w:rPr>
        <w:t>的生产能力</w:t>
      </w:r>
      <w:r>
        <w:rPr>
          <w:rFonts w:ascii="Times New Roman" w:hAnsi="Times New Roman" w:cs="Times New Roman"/>
          <w:color w:val="000000" w:themeColor="text1"/>
          <w:szCs w:val="24"/>
          <w:lang w:eastAsia="zh-CN"/>
          <w14:textFill>
            <w14:solidFill>
              <w14:schemeClr w14:val="tx1"/>
            </w14:solidFill>
          </w14:textFill>
        </w:rPr>
        <w:t>。</w:t>
      </w:r>
    </w:p>
    <w:p w14:paraId="504D5876">
      <w:pPr>
        <w:topLinePunct/>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6、项目总投资：总投资</w:t>
      </w:r>
      <w:r>
        <w:rPr>
          <w:rFonts w:hint="eastAsia" w:ascii="Times New Roman" w:hAnsi="Times New Roman" w:cs="Times New Roman"/>
          <w:color w:val="auto"/>
          <w:szCs w:val="24"/>
          <w:lang w:eastAsia="zh-CN"/>
        </w:rPr>
        <w:t>11000</w:t>
      </w:r>
      <w:r>
        <w:rPr>
          <w:rFonts w:ascii="Times New Roman" w:hAnsi="Times New Roman" w:cs="Times New Roman"/>
          <w:color w:val="auto"/>
          <w:szCs w:val="24"/>
          <w:lang w:eastAsia="zh-CN"/>
        </w:rPr>
        <w:t>万元，其中环保投资</w:t>
      </w:r>
      <w:r>
        <w:rPr>
          <w:rFonts w:hint="eastAsia" w:ascii="Times New Roman" w:hAnsi="Times New Roman" w:cs="Times New Roman"/>
          <w:color w:val="auto"/>
          <w:szCs w:val="24"/>
          <w:lang w:eastAsia="zh-CN"/>
        </w:rPr>
        <w:t>260</w:t>
      </w:r>
      <w:r>
        <w:rPr>
          <w:rFonts w:ascii="Times New Roman" w:hAnsi="Times New Roman" w:cs="Times New Roman"/>
          <w:color w:val="auto"/>
          <w:szCs w:val="24"/>
          <w:lang w:eastAsia="zh-CN"/>
        </w:rPr>
        <w:t>万元。</w:t>
      </w:r>
    </w:p>
    <w:p w14:paraId="275B6877">
      <w:pPr>
        <w:widowControl w:val="0"/>
        <w:topLinePunct/>
        <w:spacing w:line="360" w:lineRule="auto"/>
        <w:ind w:firstLine="480" w:firstLineChars="200"/>
        <w:jc w:val="both"/>
        <w:rPr>
          <w:rFonts w:ascii="Times New Roman" w:hAnsi="Times New Roman" w:cs="Times New Roman"/>
          <w:color w:val="auto"/>
          <w:szCs w:val="24"/>
          <w:lang w:eastAsia="zh-CN"/>
        </w:rPr>
      </w:pPr>
      <w:bookmarkStart w:id="2798" w:name="_Toc9967"/>
      <w:r>
        <w:rPr>
          <w:rFonts w:ascii="Times New Roman" w:hAnsi="Times New Roman" w:cs="Times New Roman"/>
          <w:color w:val="auto"/>
          <w:szCs w:val="24"/>
          <w:lang w:eastAsia="zh-CN"/>
        </w:rPr>
        <w:t>7、排污许可类别：</w:t>
      </w:r>
      <w:r>
        <w:rPr>
          <w:rFonts w:hint="eastAsia" w:ascii="Times New Roman" w:hAnsi="Times New Roman" w:cs="Times New Roman"/>
          <w:color w:val="auto"/>
          <w:szCs w:val="24"/>
          <w:lang w:eastAsia="zh-CN"/>
        </w:rPr>
        <w:t>三十四、计算机、通信和其他电子设备制造业39；89、电子元件及电子专用材料制造398，重点管理；纳入重点排污单位名录的（根据蚌埠市2025年度环境监管重点单位名录，安徽氟瑞星化工有限公司属于水重点排污单位）</w:t>
      </w:r>
      <w:r>
        <w:rPr>
          <w:rFonts w:ascii="Times New Roman" w:hAnsi="Times New Roman" w:cs="Times New Roman"/>
          <w:color w:val="auto"/>
          <w:szCs w:val="24"/>
          <w:lang w:eastAsia="zh-CN"/>
        </w:rPr>
        <w:t>。</w:t>
      </w:r>
    </w:p>
    <w:p w14:paraId="4B83588A">
      <w:pPr>
        <w:widowControl w:val="0"/>
        <w:spacing w:line="360" w:lineRule="auto"/>
        <w:ind w:firstLine="562"/>
        <w:outlineLvl w:val="1"/>
        <w:rPr>
          <w:rFonts w:ascii="Times New Roman" w:hAnsi="Times New Roman" w:cs="Times New Roman"/>
          <w:b/>
          <w:bCs/>
          <w:color w:val="auto"/>
          <w:sz w:val="28"/>
          <w:szCs w:val="22"/>
          <w:lang w:eastAsia="zh-CN"/>
        </w:rPr>
      </w:pPr>
      <w:bookmarkStart w:id="2799" w:name="_Toc237508435"/>
      <w:r>
        <w:rPr>
          <w:rFonts w:ascii="Times New Roman" w:hAnsi="Times New Roman" w:cs="Times New Roman"/>
          <w:b/>
          <w:bCs/>
          <w:color w:val="auto"/>
          <w:sz w:val="28"/>
          <w:szCs w:val="22"/>
          <w:lang w:eastAsia="zh-CN"/>
        </w:rPr>
        <w:t>11.2 区域环境质量现状</w:t>
      </w:r>
      <w:bookmarkEnd w:id="2798"/>
      <w:bookmarkEnd w:id="2799"/>
    </w:p>
    <w:p w14:paraId="08E87C01">
      <w:pPr>
        <w:widowControl w:val="0"/>
        <w:spacing w:line="360" w:lineRule="auto"/>
        <w:ind w:firstLine="482"/>
        <w:outlineLvl w:val="3"/>
        <w:rPr>
          <w:rFonts w:ascii="Times New Roman" w:hAnsi="Times New Roman" w:cs="Times New Roman"/>
          <w:b/>
          <w:bCs/>
          <w:color w:val="auto"/>
          <w:lang w:eastAsia="zh-CN"/>
        </w:rPr>
      </w:pPr>
      <w:bookmarkStart w:id="2800" w:name="_Toc21030"/>
      <w:r>
        <w:rPr>
          <w:rFonts w:ascii="Times New Roman" w:hAnsi="Times New Roman" w:cs="Times New Roman"/>
          <w:b/>
          <w:bCs/>
          <w:color w:val="auto"/>
          <w:lang w:eastAsia="zh-CN"/>
        </w:rPr>
        <w:t>11.2.1 大气环境</w:t>
      </w:r>
      <w:bookmarkEnd w:id="2800"/>
    </w:p>
    <w:p w14:paraId="59E9EBFB">
      <w:pPr>
        <w:widowControl w:val="0"/>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hint="eastAsia" w:ascii="Times New Roman" w:hAnsi="Times New Roman" w:cs="Times New Roman"/>
          <w:color w:val="auto"/>
          <w:szCs w:val="24"/>
          <w:lang w:eastAsia="zh-CN"/>
        </w:rPr>
        <w:t>由于</w:t>
      </w:r>
      <w:r>
        <w:rPr>
          <w:rFonts w:ascii="Times New Roman" w:hAnsi="Times New Roman" w:cs="Times New Roman"/>
          <w:color w:val="auto"/>
          <w:szCs w:val="24"/>
          <w:lang w:eastAsia="zh-CN"/>
        </w:rPr>
        <w:t>202</w:t>
      </w:r>
      <w:r>
        <w:rPr>
          <w:rFonts w:hint="eastAsia" w:ascii="Times New Roman" w:hAnsi="Times New Roman" w:cs="Times New Roman"/>
          <w:color w:val="auto"/>
          <w:szCs w:val="24"/>
          <w:lang w:eastAsia="zh-CN"/>
        </w:rPr>
        <w:t>5</w:t>
      </w:r>
      <w:r>
        <w:rPr>
          <w:rFonts w:ascii="Times New Roman" w:hAnsi="Times New Roman" w:cs="Times New Roman"/>
          <w:color w:val="auto"/>
          <w:szCs w:val="24"/>
          <w:lang w:eastAsia="zh-CN"/>
        </w:rPr>
        <w:t>年蚌埠市SO</w:t>
      </w:r>
      <w:r>
        <w:rPr>
          <w:rFonts w:ascii="Times New Roman" w:hAnsi="Times New Roman" w:cs="Times New Roman"/>
          <w:color w:val="auto"/>
          <w:szCs w:val="24"/>
          <w:vertAlign w:val="subscript"/>
          <w:lang w:eastAsia="zh-CN"/>
        </w:rPr>
        <w:t>2</w:t>
      </w:r>
      <w:r>
        <w:rPr>
          <w:rFonts w:ascii="Times New Roman" w:hAnsi="Times New Roman" w:cs="Times New Roman"/>
          <w:color w:val="auto"/>
          <w:szCs w:val="24"/>
          <w:lang w:eastAsia="zh-CN"/>
        </w:rPr>
        <w:t>、NO</w:t>
      </w:r>
      <w:r>
        <w:rPr>
          <w:rFonts w:ascii="Times New Roman" w:hAnsi="Times New Roman" w:cs="Times New Roman"/>
          <w:color w:val="auto"/>
          <w:szCs w:val="24"/>
          <w:vertAlign w:val="subscript"/>
          <w:lang w:eastAsia="zh-CN"/>
        </w:rPr>
        <w:t>2</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PM</w:t>
      </w:r>
      <w:r>
        <w:rPr>
          <w:rFonts w:ascii="Times New Roman" w:hAnsi="Times New Roman" w:cs="Times New Roman"/>
          <w:color w:val="auto"/>
          <w:szCs w:val="24"/>
          <w:vertAlign w:val="subscript"/>
          <w:lang w:eastAsia="zh-CN"/>
        </w:rPr>
        <w:t>10</w:t>
      </w:r>
      <w:r>
        <w:rPr>
          <w:rFonts w:ascii="Times New Roman" w:hAnsi="Times New Roman" w:cs="Times New Roman"/>
          <w:color w:val="auto"/>
          <w:szCs w:val="24"/>
          <w:lang w:eastAsia="zh-CN"/>
        </w:rPr>
        <w:t>、PM</w:t>
      </w:r>
      <w:r>
        <w:rPr>
          <w:rFonts w:ascii="Times New Roman" w:hAnsi="Times New Roman" w:cs="Times New Roman"/>
          <w:color w:val="auto"/>
          <w:szCs w:val="24"/>
          <w:vertAlign w:val="subscript"/>
          <w:lang w:eastAsia="zh-CN"/>
        </w:rPr>
        <w:t>2.5</w:t>
      </w:r>
      <w:r>
        <w:rPr>
          <w:rFonts w:hint="eastAsia" w:ascii="Times New Roman" w:hAnsi="Times New Roman" w:cs="Times New Roman"/>
          <w:color w:val="auto"/>
          <w:szCs w:val="24"/>
          <w:lang w:eastAsia="zh-CN"/>
        </w:rPr>
        <w:t>年平均质量浓度、</w:t>
      </w:r>
      <w:r>
        <w:rPr>
          <w:rFonts w:ascii="Times New Roman" w:hAnsi="Times New Roman" w:cs="Times New Roman"/>
          <w:color w:val="auto"/>
          <w:szCs w:val="24"/>
          <w:lang w:eastAsia="zh-CN"/>
        </w:rPr>
        <w:t>CO日平均第95百分位数质量浓度</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O</w:t>
      </w:r>
      <w:r>
        <w:rPr>
          <w:rFonts w:ascii="Times New Roman" w:hAnsi="Times New Roman" w:cs="Times New Roman"/>
          <w:color w:val="auto"/>
          <w:szCs w:val="24"/>
          <w:vertAlign w:val="subscript"/>
          <w:lang w:eastAsia="zh-CN"/>
        </w:rPr>
        <w:t>3</w:t>
      </w:r>
      <w:r>
        <w:rPr>
          <w:rFonts w:ascii="Times New Roman" w:hAnsi="Times New Roman" w:cs="Times New Roman"/>
          <w:color w:val="auto"/>
          <w:szCs w:val="24"/>
          <w:lang w:eastAsia="zh-CN"/>
        </w:rPr>
        <w:t>最大8 h滑动平均第90百分位数质量浓度</w:t>
      </w:r>
      <w:r>
        <w:rPr>
          <w:rFonts w:hint="eastAsia" w:ascii="Times New Roman" w:hAnsi="Times New Roman" w:cs="Times New Roman"/>
          <w:color w:val="auto"/>
          <w:szCs w:val="24"/>
          <w:lang w:eastAsia="zh-CN"/>
        </w:rPr>
        <w:t>数据未发布，故本次环评</w:t>
      </w:r>
      <w:r>
        <w:rPr>
          <w:rFonts w:ascii="Times New Roman" w:hAnsi="Times New Roman" w:cs="Times New Roman"/>
          <w:color w:val="auto"/>
          <w:szCs w:val="24"/>
          <w:lang w:eastAsia="zh-CN"/>
        </w:rPr>
        <w:t>PM</w:t>
      </w:r>
      <w:r>
        <w:rPr>
          <w:rFonts w:ascii="Times New Roman" w:hAnsi="Times New Roman" w:cs="Times New Roman"/>
          <w:color w:val="auto"/>
          <w:szCs w:val="24"/>
          <w:vertAlign w:val="subscript"/>
          <w:lang w:eastAsia="zh-CN"/>
        </w:rPr>
        <w:t>2.5</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SO</w:t>
      </w:r>
      <w:r>
        <w:rPr>
          <w:rFonts w:ascii="Times New Roman" w:hAnsi="Times New Roman" w:cs="Times New Roman"/>
          <w:color w:val="auto"/>
          <w:szCs w:val="24"/>
          <w:vertAlign w:val="subscript"/>
          <w:lang w:eastAsia="zh-CN"/>
        </w:rPr>
        <w:t>2</w:t>
      </w:r>
      <w:r>
        <w:rPr>
          <w:rFonts w:ascii="Times New Roman" w:hAnsi="Times New Roman" w:cs="Times New Roman"/>
          <w:color w:val="auto"/>
          <w:szCs w:val="24"/>
          <w:lang w:eastAsia="zh-CN"/>
        </w:rPr>
        <w:t>、NO</w:t>
      </w:r>
      <w:r>
        <w:rPr>
          <w:rFonts w:ascii="Times New Roman" w:hAnsi="Times New Roman" w:cs="Times New Roman"/>
          <w:color w:val="auto"/>
          <w:szCs w:val="24"/>
          <w:vertAlign w:val="subscript"/>
          <w:lang w:eastAsia="zh-CN"/>
        </w:rPr>
        <w:t>2</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PM</w:t>
      </w:r>
      <w:r>
        <w:rPr>
          <w:rFonts w:ascii="Times New Roman" w:hAnsi="Times New Roman" w:cs="Times New Roman"/>
          <w:color w:val="auto"/>
          <w:szCs w:val="24"/>
          <w:vertAlign w:val="subscript"/>
          <w:lang w:eastAsia="zh-CN"/>
        </w:rPr>
        <w:t>10</w:t>
      </w:r>
      <w:r>
        <w:rPr>
          <w:rFonts w:ascii="Times New Roman" w:hAnsi="Times New Roman" w:cs="Times New Roman"/>
          <w:color w:val="auto"/>
          <w:szCs w:val="24"/>
          <w:lang w:eastAsia="zh-CN"/>
        </w:rPr>
        <w:t>、CO</w:t>
      </w:r>
      <w:r>
        <w:rPr>
          <w:rFonts w:hint="eastAsia" w:ascii="Times New Roman" w:hAnsi="Times New Roman" w:cs="Times New Roman"/>
          <w:color w:val="auto"/>
          <w:szCs w:val="24"/>
          <w:lang w:eastAsia="zh-CN"/>
        </w:rPr>
        <w:t>和</w:t>
      </w:r>
      <w:r>
        <w:rPr>
          <w:rFonts w:ascii="Times New Roman" w:hAnsi="Times New Roman" w:cs="Times New Roman"/>
          <w:color w:val="auto"/>
          <w:szCs w:val="24"/>
          <w:lang w:eastAsia="zh-CN"/>
        </w:rPr>
        <w:t>O</w:t>
      </w:r>
      <w:r>
        <w:rPr>
          <w:rFonts w:ascii="Times New Roman" w:hAnsi="Times New Roman" w:cs="Times New Roman"/>
          <w:color w:val="auto"/>
          <w:szCs w:val="24"/>
          <w:vertAlign w:val="subscript"/>
          <w:lang w:eastAsia="zh-CN"/>
        </w:rPr>
        <w:t>3</w:t>
      </w:r>
      <w:r>
        <w:rPr>
          <w:rFonts w:ascii="Times New Roman" w:hAnsi="Times New Roman" w:cs="Times New Roman"/>
          <w:color w:val="auto"/>
          <w:szCs w:val="24"/>
          <w:lang w:eastAsia="zh-CN"/>
        </w:rPr>
        <w:t>评价</w:t>
      </w:r>
      <w:r>
        <w:rPr>
          <w:rFonts w:hint="eastAsia" w:ascii="Times New Roman" w:hAnsi="Times New Roman" w:cs="Times New Roman"/>
          <w:color w:val="auto"/>
          <w:szCs w:val="24"/>
          <w:lang w:eastAsia="zh-CN"/>
        </w:rPr>
        <w:t>选取环境空气质量模型技术支持服务系统（</w:t>
      </w:r>
      <w:r>
        <w:rPr>
          <w:rFonts w:ascii="Times New Roman" w:hAnsi="Times New Roman" w:cs="Times New Roman"/>
          <w:color w:val="auto"/>
          <w:szCs w:val="24"/>
          <w:lang w:eastAsia="zh-CN"/>
        </w:rPr>
        <w:t>http://data.lem.org.cn/eamds/apply/tostepone.html</w:t>
      </w:r>
      <w:r>
        <w:rPr>
          <w:rFonts w:hint="eastAsia" w:ascii="Times New Roman" w:hAnsi="Times New Roman" w:cs="Times New Roman"/>
          <w:color w:val="auto"/>
          <w:szCs w:val="24"/>
          <w:lang w:eastAsia="zh-CN"/>
        </w:rPr>
        <w:t>）中达标区判定模块的数据进行评价</w:t>
      </w:r>
      <w:r>
        <w:rPr>
          <w:rFonts w:hint="eastAsia" w:ascii="Times New Roman" w:hAnsi="Times New Roman" w:cs="Times New Roman"/>
          <w:color w:val="000000" w:themeColor="text1"/>
          <w:szCs w:val="24"/>
          <w:lang w:eastAsia="zh-CN"/>
          <w14:textFill>
            <w14:solidFill>
              <w14:schemeClr w14:val="tx1"/>
            </w14:solidFill>
          </w14:textFill>
        </w:rPr>
        <w:t>。</w:t>
      </w:r>
      <w:r>
        <w:rPr>
          <w:rFonts w:ascii="Times New Roman" w:hAnsi="Times New Roman" w:cs="Times New Roman"/>
          <w:color w:val="auto"/>
          <w:szCs w:val="24"/>
          <w:lang w:eastAsia="zh-CN"/>
        </w:rPr>
        <w:t>根据数据统计可知，</w:t>
      </w:r>
      <w:r>
        <w:rPr>
          <w:rFonts w:hint="eastAsia" w:ascii="Times New Roman" w:hAnsi="Times New Roman" w:cs="Times New Roman"/>
          <w:color w:val="auto"/>
          <w:szCs w:val="24"/>
          <w:lang w:eastAsia="zh-CN"/>
        </w:rPr>
        <w:t>蚌埠市</w:t>
      </w:r>
      <w:r>
        <w:rPr>
          <w:rFonts w:ascii="Times New Roman" w:hAnsi="Times New Roman" w:cs="Times New Roman"/>
          <w:color w:val="auto"/>
          <w:szCs w:val="24"/>
          <w:lang w:eastAsia="zh-CN"/>
        </w:rPr>
        <w:t>202</w:t>
      </w:r>
      <w:r>
        <w:rPr>
          <w:rFonts w:hint="eastAsia" w:ascii="Times New Roman" w:hAnsi="Times New Roman" w:cs="Times New Roman"/>
          <w:color w:val="auto"/>
          <w:szCs w:val="24"/>
          <w:lang w:eastAsia="zh-CN"/>
        </w:rPr>
        <w:t>5</w:t>
      </w:r>
      <w:r>
        <w:rPr>
          <w:rFonts w:ascii="Times New Roman" w:hAnsi="Times New Roman" w:cs="Times New Roman"/>
          <w:color w:val="auto"/>
          <w:szCs w:val="24"/>
          <w:lang w:eastAsia="zh-CN"/>
        </w:rPr>
        <w:t>年</w:t>
      </w:r>
      <w:r>
        <w:rPr>
          <w:rFonts w:hint="eastAsia" w:ascii="Times New Roman" w:hAnsi="Times New Roman" w:cs="Times New Roman"/>
          <w:color w:val="auto"/>
          <w:szCs w:val="24"/>
          <w:lang w:eastAsia="zh-CN"/>
        </w:rPr>
        <w:t>环境空气基本</w:t>
      </w:r>
      <w:r>
        <w:rPr>
          <w:rFonts w:ascii="Times New Roman" w:hAnsi="Times New Roman" w:cs="Times New Roman"/>
          <w:color w:val="auto"/>
          <w:szCs w:val="24"/>
          <w:lang w:eastAsia="zh-CN"/>
        </w:rPr>
        <w:t>污染物SO</w:t>
      </w:r>
      <w:r>
        <w:rPr>
          <w:rFonts w:ascii="Times New Roman" w:hAnsi="Times New Roman" w:cs="Times New Roman"/>
          <w:color w:val="auto"/>
          <w:szCs w:val="24"/>
          <w:vertAlign w:val="subscript"/>
          <w:lang w:eastAsia="zh-CN"/>
        </w:rPr>
        <w:t>2</w:t>
      </w:r>
      <w:r>
        <w:rPr>
          <w:rFonts w:ascii="Times New Roman" w:hAnsi="Times New Roman" w:cs="Times New Roman"/>
          <w:color w:val="auto"/>
          <w:szCs w:val="24"/>
          <w:lang w:eastAsia="zh-CN"/>
        </w:rPr>
        <w:t>、NO</w:t>
      </w:r>
      <w:r>
        <w:rPr>
          <w:rFonts w:ascii="Times New Roman" w:hAnsi="Times New Roman" w:cs="Times New Roman"/>
          <w:color w:val="auto"/>
          <w:szCs w:val="24"/>
          <w:vertAlign w:val="subscript"/>
          <w:lang w:eastAsia="zh-CN"/>
        </w:rPr>
        <w:t>2</w:t>
      </w:r>
      <w:r>
        <w:rPr>
          <w:rFonts w:ascii="Times New Roman" w:hAnsi="Times New Roman" w:cs="Times New Roman"/>
          <w:color w:val="auto"/>
          <w:szCs w:val="24"/>
          <w:lang w:eastAsia="zh-CN"/>
        </w:rPr>
        <w:t xml:space="preserve"> 、CO 和 O</w:t>
      </w:r>
      <w:r>
        <w:rPr>
          <w:rFonts w:ascii="Times New Roman" w:hAnsi="Times New Roman" w:cs="Times New Roman"/>
          <w:color w:val="auto"/>
          <w:szCs w:val="24"/>
          <w:vertAlign w:val="subscript"/>
          <w:lang w:eastAsia="zh-CN"/>
        </w:rPr>
        <w:t>3</w:t>
      </w:r>
      <w:r>
        <w:rPr>
          <w:rFonts w:ascii="Times New Roman" w:hAnsi="Times New Roman" w:cs="Times New Roman"/>
          <w:color w:val="auto"/>
          <w:szCs w:val="24"/>
          <w:lang w:eastAsia="zh-CN"/>
        </w:rPr>
        <w:t xml:space="preserve"> 评价结果均满足《环境空气质量标准》（GB 3095-20</w:t>
      </w:r>
      <w:r>
        <w:rPr>
          <w:rFonts w:hint="eastAsia" w:ascii="Times New Roman" w:hAnsi="Times New Roman" w:cs="Times New Roman"/>
          <w:color w:val="auto"/>
          <w:szCs w:val="24"/>
          <w:lang w:eastAsia="zh-CN"/>
        </w:rPr>
        <w:t>12</w:t>
      </w:r>
      <w:r>
        <w:rPr>
          <w:rFonts w:ascii="Times New Roman" w:hAnsi="Times New Roman" w:cs="Times New Roman"/>
          <w:color w:val="auto"/>
          <w:szCs w:val="24"/>
          <w:lang w:eastAsia="zh-CN"/>
        </w:rPr>
        <w:t>）</w:t>
      </w:r>
      <w:r>
        <w:rPr>
          <w:rFonts w:hint="eastAsia" w:ascii="Times New Roman" w:hAnsi="Times New Roman" w:cs="Times New Roman"/>
          <w:color w:val="auto"/>
          <w:szCs w:val="24"/>
          <w:lang w:eastAsia="zh-CN"/>
        </w:rPr>
        <w:t>中二级</w:t>
      </w:r>
      <w:r>
        <w:rPr>
          <w:rFonts w:ascii="Times New Roman" w:hAnsi="Times New Roman" w:cs="Times New Roman"/>
          <w:color w:val="auto"/>
          <w:szCs w:val="24"/>
          <w:lang w:eastAsia="zh-CN"/>
        </w:rPr>
        <w:t>标准限值</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 xml:space="preserve"> PM</w:t>
      </w:r>
      <w:r>
        <w:rPr>
          <w:rFonts w:ascii="Times New Roman" w:hAnsi="Times New Roman" w:cs="Times New Roman"/>
          <w:color w:val="auto"/>
          <w:szCs w:val="24"/>
          <w:vertAlign w:val="subscript"/>
          <w:lang w:eastAsia="zh-CN"/>
        </w:rPr>
        <w:t>2.5</w:t>
      </w:r>
      <w:r>
        <w:rPr>
          <w:rFonts w:ascii="Times New Roman" w:hAnsi="Times New Roman" w:cs="Times New Roman"/>
          <w:color w:val="auto"/>
          <w:szCs w:val="24"/>
          <w:lang w:eastAsia="zh-CN"/>
        </w:rPr>
        <w:t xml:space="preserve"> </w:t>
      </w:r>
      <w:r>
        <w:rPr>
          <w:rFonts w:hint="eastAsia" w:ascii="Times New Roman" w:hAnsi="Times New Roman" w:cs="Times New Roman"/>
          <w:color w:val="auto"/>
          <w:szCs w:val="24"/>
          <w:lang w:eastAsia="zh-CN"/>
        </w:rPr>
        <w:t>年均浓度为37微克/立方米，不</w:t>
      </w:r>
      <w:r>
        <w:rPr>
          <w:rFonts w:ascii="Times New Roman" w:hAnsi="Times New Roman" w:cs="Times New Roman"/>
          <w:color w:val="auto"/>
          <w:szCs w:val="24"/>
          <w:lang w:eastAsia="zh-CN"/>
        </w:rPr>
        <w:t>满足《环境空气质量标准》（GB 3095-20</w:t>
      </w:r>
      <w:r>
        <w:rPr>
          <w:rFonts w:hint="eastAsia" w:ascii="Times New Roman" w:hAnsi="Times New Roman" w:cs="Times New Roman"/>
          <w:color w:val="auto"/>
          <w:szCs w:val="24"/>
          <w:lang w:eastAsia="zh-CN"/>
        </w:rPr>
        <w:t>12</w:t>
      </w:r>
      <w:r>
        <w:rPr>
          <w:rFonts w:ascii="Times New Roman" w:hAnsi="Times New Roman" w:cs="Times New Roman"/>
          <w:color w:val="auto"/>
          <w:szCs w:val="24"/>
          <w:lang w:eastAsia="zh-CN"/>
        </w:rPr>
        <w:t>）</w:t>
      </w:r>
      <w:r>
        <w:rPr>
          <w:rFonts w:hint="eastAsia" w:ascii="Times New Roman" w:hAnsi="Times New Roman" w:cs="Times New Roman"/>
          <w:color w:val="auto"/>
          <w:szCs w:val="24"/>
          <w:lang w:eastAsia="zh-CN"/>
        </w:rPr>
        <w:t>中二级</w:t>
      </w:r>
      <w:r>
        <w:rPr>
          <w:rFonts w:ascii="Times New Roman" w:hAnsi="Times New Roman" w:cs="Times New Roman"/>
          <w:color w:val="auto"/>
          <w:szCs w:val="24"/>
          <w:lang w:eastAsia="zh-CN"/>
        </w:rPr>
        <w:t>标准限值</w:t>
      </w:r>
      <w:r>
        <w:rPr>
          <w:rFonts w:hint="eastAsia" w:ascii="Times New Roman" w:hAnsi="Times New Roman" w:cs="Times New Roman"/>
          <w:color w:val="auto"/>
          <w:szCs w:val="24"/>
          <w:lang w:eastAsia="zh-CN"/>
        </w:rPr>
        <w:t>，项目所在区域为环境质量不达标</w:t>
      </w:r>
      <w:r>
        <w:rPr>
          <w:rFonts w:ascii="Times New Roman" w:hAnsi="Times New Roman" w:cs="Times New Roman"/>
          <w:color w:val="auto"/>
          <w:szCs w:val="24"/>
          <w:lang w:eastAsia="zh-CN"/>
        </w:rPr>
        <w:t>区</w:t>
      </w:r>
      <w:r>
        <w:rPr>
          <w:rFonts w:ascii="Times New Roman" w:hAnsi="Times New Roman" w:cs="Times New Roman"/>
          <w:color w:val="000000" w:themeColor="text1"/>
          <w:szCs w:val="24"/>
          <w:lang w:eastAsia="zh-CN"/>
          <w14:textFill>
            <w14:solidFill>
              <w14:schemeClr w14:val="tx1"/>
            </w14:solidFill>
          </w14:textFill>
        </w:rPr>
        <w:t>。</w:t>
      </w:r>
    </w:p>
    <w:p w14:paraId="7E0EF02B">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监测期间各监测点</w:t>
      </w:r>
      <w:r>
        <w:rPr>
          <w:rFonts w:hint="eastAsia" w:ascii="Times New Roman" w:hAnsi="Times New Roman" w:cs="Times New Roman"/>
          <w:color w:val="auto"/>
          <w:szCs w:val="24"/>
          <w:lang w:eastAsia="zh-CN"/>
        </w:rPr>
        <w:t>氯化氢</w:t>
      </w:r>
      <w:r>
        <w:rPr>
          <w:rFonts w:ascii="Times New Roman" w:hAnsi="Times New Roman" w:cs="Times New Roman"/>
          <w:color w:val="auto"/>
          <w:szCs w:val="24"/>
          <w:lang w:eastAsia="zh-CN"/>
        </w:rPr>
        <w:t>环境空气质量能够满足《环境影响评价技术导则 大气环境》（HJ 2.2-2018）附录 D 其他污染物空气质量浓度参考限值；</w:t>
      </w:r>
      <w:r>
        <w:rPr>
          <w:rFonts w:hint="eastAsia" w:ascii="Times New Roman" w:hAnsi="Times New Roman" w:cs="Times New Roman"/>
          <w:color w:val="auto"/>
          <w:szCs w:val="24"/>
          <w:lang w:eastAsia="zh-CN"/>
        </w:rPr>
        <w:t>氟化物</w:t>
      </w:r>
      <w:r>
        <w:rPr>
          <w:rFonts w:ascii="Times New Roman" w:hAnsi="Times New Roman" w:cs="Times New Roman"/>
          <w:color w:val="auto"/>
          <w:szCs w:val="24"/>
          <w:lang w:eastAsia="zh-CN"/>
        </w:rPr>
        <w:t>环境空气质量能够满足《环境空气质量标准》（GB3095-20</w:t>
      </w:r>
      <w:r>
        <w:rPr>
          <w:rFonts w:hint="eastAsia" w:ascii="Times New Roman" w:hAnsi="Times New Roman" w:cs="Times New Roman"/>
          <w:color w:val="auto"/>
          <w:szCs w:val="24"/>
          <w:lang w:eastAsia="zh-CN"/>
        </w:rPr>
        <w:t>26</w:t>
      </w:r>
      <w:r>
        <w:rPr>
          <w:rFonts w:ascii="Times New Roman" w:hAnsi="Times New Roman" w:cs="Times New Roman"/>
          <w:color w:val="auto"/>
          <w:szCs w:val="24"/>
          <w:lang w:eastAsia="zh-CN"/>
        </w:rPr>
        <w:t>）中的二级标准。</w:t>
      </w:r>
    </w:p>
    <w:p w14:paraId="669006C6">
      <w:pPr>
        <w:widowControl w:val="0"/>
        <w:spacing w:line="360" w:lineRule="auto"/>
        <w:ind w:firstLine="480" w:firstLineChars="200"/>
        <w:jc w:val="both"/>
        <w:rPr>
          <w:rFonts w:ascii="Times New Roman" w:hAnsi="Times New Roman" w:cs="Times New Roman"/>
          <w:color w:val="auto"/>
          <w:szCs w:val="24"/>
          <w:lang w:eastAsia="zh-CN"/>
        </w:rPr>
      </w:pPr>
    </w:p>
    <w:p w14:paraId="1E20A8B8">
      <w:pPr>
        <w:widowControl w:val="0"/>
        <w:spacing w:line="360" w:lineRule="auto"/>
        <w:ind w:firstLine="482"/>
        <w:outlineLvl w:val="3"/>
        <w:rPr>
          <w:rFonts w:ascii="Times New Roman" w:hAnsi="Times New Roman" w:cs="Times New Roman"/>
          <w:b/>
          <w:bCs/>
          <w:color w:val="auto"/>
          <w:lang w:eastAsia="zh-CN"/>
        </w:rPr>
      </w:pPr>
      <w:bookmarkStart w:id="2801" w:name="_Toc29099"/>
      <w:r>
        <w:rPr>
          <w:rFonts w:ascii="Times New Roman" w:hAnsi="Times New Roman" w:cs="Times New Roman"/>
          <w:b/>
          <w:bCs/>
          <w:color w:val="auto"/>
          <w:lang w:eastAsia="zh-CN"/>
        </w:rPr>
        <w:t>11.2.2 地表水环境</w:t>
      </w:r>
      <w:bookmarkEnd w:id="2801"/>
    </w:p>
    <w:p w14:paraId="65F56180">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引用</w:t>
      </w:r>
      <w:r>
        <w:rPr>
          <w:rFonts w:ascii="Times New Roman" w:hAnsi="Times New Roman" w:cs="Times New Roman"/>
          <w:color w:val="auto"/>
          <w:szCs w:val="24"/>
          <w:lang w:eastAsia="zh-CN"/>
        </w:rPr>
        <w:t>《</w:t>
      </w:r>
      <w:r>
        <w:rPr>
          <w:rFonts w:hint="eastAsia" w:ascii="Times New Roman" w:hAnsi="Times New Roman" w:cs="Times New Roman"/>
          <w:color w:val="auto"/>
          <w:szCs w:val="24"/>
          <w:lang w:eastAsia="zh-CN"/>
        </w:rPr>
        <w:t>蚌埠精细化工高新技术产业基地环境影响区域评估+环境标准报告</w:t>
      </w:r>
      <w:r>
        <w:rPr>
          <w:rFonts w:ascii="Times New Roman" w:hAnsi="Times New Roman" w:cs="Times New Roman"/>
          <w:color w:val="auto"/>
          <w:szCs w:val="24"/>
          <w:lang w:eastAsia="zh-CN"/>
        </w:rPr>
        <w:t>》（安徽天晟环保科技有限公司于2024年4月28日～2024年4月30日进行监测）中数据</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监测期间区域地表水沫冲引河及三浦大沟断面各监测因子满足《地表水环境质量标准》（GB3838-2002）Ⅳ类水质标准；淮河（蚌埠段）断面各监测因子满足《地表水环境质量标准》（GB3838-2002）Ⅲ类水质标准。</w:t>
      </w:r>
    </w:p>
    <w:p w14:paraId="11AA505B">
      <w:pPr>
        <w:widowControl w:val="0"/>
        <w:spacing w:line="360" w:lineRule="auto"/>
        <w:ind w:firstLine="482"/>
        <w:outlineLvl w:val="3"/>
        <w:rPr>
          <w:rFonts w:ascii="Times New Roman" w:hAnsi="Times New Roman" w:cs="Times New Roman"/>
          <w:b/>
          <w:bCs/>
          <w:color w:val="auto"/>
          <w:lang w:eastAsia="zh-CN"/>
        </w:rPr>
      </w:pPr>
      <w:bookmarkStart w:id="2802" w:name="_Toc25104"/>
      <w:r>
        <w:rPr>
          <w:rFonts w:ascii="Times New Roman" w:hAnsi="Times New Roman" w:cs="Times New Roman"/>
          <w:b/>
          <w:bCs/>
          <w:color w:val="auto"/>
          <w:lang w:eastAsia="zh-CN"/>
        </w:rPr>
        <w:t>11.2.3 声环境</w:t>
      </w:r>
      <w:bookmarkEnd w:id="2802"/>
    </w:p>
    <w:p w14:paraId="4DD97944">
      <w:pPr>
        <w:widowControl w:val="0"/>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安徽实朴检测技术服务有限公司</w:t>
      </w:r>
      <w:r>
        <w:rPr>
          <w:rFonts w:ascii="Times New Roman" w:hAnsi="Times New Roman" w:cs="Times New Roman"/>
          <w:color w:val="000000" w:themeColor="text1"/>
          <w:szCs w:val="24"/>
          <w:lang w:eastAsia="zh-CN"/>
          <w14:textFill>
            <w14:solidFill>
              <w14:schemeClr w14:val="tx1"/>
            </w14:solidFill>
          </w14:textFill>
        </w:rPr>
        <w:t>于202</w:t>
      </w:r>
      <w:r>
        <w:rPr>
          <w:rFonts w:hint="eastAsia" w:ascii="Times New Roman" w:hAnsi="Times New Roman" w:cs="Times New Roman"/>
          <w:color w:val="000000" w:themeColor="text1"/>
          <w:szCs w:val="24"/>
          <w:lang w:eastAsia="zh-CN"/>
          <w14:textFill>
            <w14:solidFill>
              <w14:schemeClr w14:val="tx1"/>
            </w14:solidFill>
          </w14:textFill>
        </w:rPr>
        <w:t>6</w:t>
      </w:r>
      <w:r>
        <w:rPr>
          <w:rFonts w:ascii="Times New Roman" w:hAnsi="Times New Roman" w:cs="Times New Roman"/>
          <w:color w:val="000000" w:themeColor="text1"/>
          <w:szCs w:val="24"/>
          <w:lang w:eastAsia="zh-CN"/>
          <w14:textFill>
            <w14:solidFill>
              <w14:schemeClr w14:val="tx1"/>
            </w14:solidFill>
          </w14:textFill>
        </w:rPr>
        <w:t>年</w:t>
      </w:r>
      <w:r>
        <w:rPr>
          <w:rFonts w:hint="eastAsia" w:ascii="Times New Roman" w:hAnsi="Times New Roman" w:cs="Times New Roman"/>
          <w:color w:val="000000" w:themeColor="text1"/>
          <w:szCs w:val="24"/>
          <w:lang w:eastAsia="zh-CN"/>
          <w14:textFill>
            <w14:solidFill>
              <w14:schemeClr w14:val="tx1"/>
            </w14:solidFill>
          </w14:textFill>
        </w:rPr>
        <w:t>6</w:t>
      </w:r>
      <w:r>
        <w:rPr>
          <w:rFonts w:ascii="Times New Roman" w:hAnsi="Times New Roman" w:cs="Times New Roman"/>
          <w:color w:val="000000" w:themeColor="text1"/>
          <w:szCs w:val="24"/>
          <w:lang w:eastAsia="zh-CN"/>
          <w14:textFill>
            <w14:solidFill>
              <w14:schemeClr w14:val="tx1"/>
            </w14:solidFill>
          </w14:textFill>
        </w:rPr>
        <w:t>月</w:t>
      </w:r>
      <w:r>
        <w:rPr>
          <w:rFonts w:hint="eastAsia" w:ascii="Times New Roman" w:hAnsi="Times New Roman" w:cs="Times New Roman"/>
          <w:color w:val="000000" w:themeColor="text1"/>
          <w:szCs w:val="24"/>
          <w:lang w:eastAsia="zh-CN"/>
          <w14:textFill>
            <w14:solidFill>
              <w14:schemeClr w14:val="tx1"/>
            </w14:solidFill>
          </w14:textFill>
        </w:rPr>
        <w:t>7</w:t>
      </w:r>
      <w:r>
        <w:rPr>
          <w:rFonts w:ascii="Times New Roman" w:hAnsi="Times New Roman" w:cs="Times New Roman"/>
          <w:color w:val="000000" w:themeColor="text1"/>
          <w:szCs w:val="24"/>
          <w:lang w:eastAsia="zh-CN"/>
          <w14:textFill>
            <w14:solidFill>
              <w14:schemeClr w14:val="tx1"/>
            </w14:solidFill>
          </w14:textFill>
        </w:rPr>
        <w:t>日～</w:t>
      </w:r>
      <w:r>
        <w:rPr>
          <w:rFonts w:hint="eastAsia" w:ascii="Times New Roman" w:hAnsi="Times New Roman" w:cs="Times New Roman"/>
          <w:color w:val="000000" w:themeColor="text1"/>
          <w:szCs w:val="24"/>
          <w:lang w:eastAsia="zh-CN"/>
          <w14:textFill>
            <w14:solidFill>
              <w14:schemeClr w14:val="tx1"/>
            </w14:solidFill>
          </w14:textFill>
        </w:rPr>
        <w:t>8</w:t>
      </w:r>
      <w:r>
        <w:rPr>
          <w:rFonts w:ascii="Times New Roman" w:hAnsi="Times New Roman" w:cs="Times New Roman"/>
          <w:color w:val="000000" w:themeColor="text1"/>
          <w:szCs w:val="24"/>
          <w:lang w:eastAsia="zh-CN"/>
          <w14:textFill>
            <w14:solidFill>
              <w14:schemeClr w14:val="tx1"/>
            </w14:solidFill>
          </w14:textFill>
        </w:rPr>
        <w:t>日对项目拟建厂区的边界的声环境质量进行了监测。</w:t>
      </w:r>
    </w:p>
    <w:p w14:paraId="2B0E071D">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监测期间区域各点位声环境质量均能满足（GB3096-2008）中3类标准要求。</w:t>
      </w:r>
    </w:p>
    <w:p w14:paraId="54339C1B">
      <w:pPr>
        <w:widowControl w:val="0"/>
        <w:spacing w:line="360" w:lineRule="auto"/>
        <w:ind w:firstLine="482"/>
        <w:outlineLvl w:val="3"/>
        <w:rPr>
          <w:rFonts w:ascii="Times New Roman" w:hAnsi="Times New Roman" w:cs="Times New Roman"/>
          <w:b/>
          <w:bCs/>
          <w:color w:val="auto"/>
          <w:lang w:eastAsia="zh-CN"/>
        </w:rPr>
      </w:pPr>
      <w:bookmarkStart w:id="2803" w:name="_Toc19641"/>
      <w:r>
        <w:rPr>
          <w:rFonts w:ascii="Times New Roman" w:hAnsi="Times New Roman" w:cs="Times New Roman"/>
          <w:b/>
          <w:bCs/>
          <w:color w:val="auto"/>
          <w:lang w:eastAsia="zh-CN"/>
        </w:rPr>
        <w:t>11.2.4 地下水环境</w:t>
      </w:r>
      <w:bookmarkEnd w:id="2803"/>
    </w:p>
    <w:p w14:paraId="7C2D4A24">
      <w:pPr>
        <w:widowControl w:val="0"/>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hint="eastAsia" w:ascii="Times New Roman" w:hAnsi="Times New Roman" w:cs="Times New Roman"/>
          <w:color w:val="000000" w:themeColor="text1"/>
          <w:szCs w:val="24"/>
          <w:lang w:eastAsia="zh-CN"/>
          <w14:textFill>
            <w14:solidFill>
              <w14:schemeClr w14:val="tx1"/>
            </w14:solidFill>
          </w14:textFill>
        </w:rPr>
        <w:t>项目场地地下水数据委托</w:t>
      </w:r>
      <w:r>
        <w:rPr>
          <w:rFonts w:hint="eastAsia" w:ascii="Times New Roman" w:hAnsi="Times New Roman" w:cs="Times New Roman"/>
          <w:color w:val="000000" w:themeColor="text1"/>
          <w:lang w:eastAsia="zh-CN"/>
          <w14:textFill>
            <w14:solidFill>
              <w14:schemeClr w14:val="tx1"/>
            </w14:solidFill>
          </w14:textFill>
        </w:rPr>
        <w:t>安徽基越环境检测有限公司于</w:t>
      </w:r>
      <w:r>
        <w:rPr>
          <w:rFonts w:ascii="Times New Roman" w:hAnsi="Times New Roman" w:cs="Times New Roman"/>
          <w:color w:val="000000" w:themeColor="text1"/>
          <w:szCs w:val="24"/>
          <w:lang w:eastAsia="zh-CN"/>
          <w14:textFill>
            <w14:solidFill>
              <w14:schemeClr w14:val="tx1"/>
            </w14:solidFill>
          </w14:textFill>
        </w:rPr>
        <w:t>202</w:t>
      </w:r>
      <w:r>
        <w:rPr>
          <w:rFonts w:hint="eastAsia" w:ascii="Times New Roman" w:hAnsi="Times New Roman" w:cs="Times New Roman"/>
          <w:color w:val="000000" w:themeColor="text1"/>
          <w:szCs w:val="24"/>
          <w:lang w:eastAsia="zh-CN"/>
          <w14:textFill>
            <w14:solidFill>
              <w14:schemeClr w14:val="tx1"/>
            </w14:solidFill>
          </w14:textFill>
        </w:rPr>
        <w:t>6</w:t>
      </w:r>
      <w:r>
        <w:rPr>
          <w:rFonts w:ascii="Times New Roman" w:hAnsi="Times New Roman" w:cs="Times New Roman"/>
          <w:color w:val="000000" w:themeColor="text1"/>
          <w:szCs w:val="24"/>
          <w:lang w:eastAsia="zh-CN"/>
          <w14:textFill>
            <w14:solidFill>
              <w14:schemeClr w14:val="tx1"/>
            </w14:solidFill>
          </w14:textFill>
        </w:rPr>
        <w:t>年</w:t>
      </w:r>
      <w:r>
        <w:rPr>
          <w:rFonts w:hint="eastAsia" w:ascii="Times New Roman" w:hAnsi="Times New Roman" w:cs="Times New Roman"/>
          <w:color w:val="000000" w:themeColor="text1"/>
          <w:szCs w:val="24"/>
          <w:lang w:eastAsia="zh-CN"/>
          <w14:textFill>
            <w14:solidFill>
              <w14:schemeClr w14:val="tx1"/>
            </w14:solidFill>
          </w14:textFill>
        </w:rPr>
        <w:t>7</w:t>
      </w:r>
      <w:r>
        <w:rPr>
          <w:rFonts w:ascii="Times New Roman" w:hAnsi="Times New Roman" w:cs="Times New Roman"/>
          <w:color w:val="000000" w:themeColor="text1"/>
          <w:szCs w:val="24"/>
          <w:lang w:eastAsia="zh-CN"/>
          <w14:textFill>
            <w14:solidFill>
              <w14:schemeClr w14:val="tx1"/>
            </w14:solidFill>
          </w14:textFill>
        </w:rPr>
        <w:t>月</w:t>
      </w:r>
      <w:r>
        <w:rPr>
          <w:rFonts w:hint="eastAsia" w:ascii="Times New Roman" w:hAnsi="Times New Roman" w:cs="Times New Roman"/>
          <w:color w:val="000000" w:themeColor="text1"/>
          <w:szCs w:val="24"/>
          <w:lang w:eastAsia="zh-CN"/>
          <w14:textFill>
            <w14:solidFill>
              <w14:schemeClr w14:val="tx1"/>
            </w14:solidFill>
          </w14:textFill>
        </w:rPr>
        <w:t>8</w:t>
      </w:r>
      <w:r>
        <w:rPr>
          <w:rFonts w:ascii="Times New Roman" w:hAnsi="Times New Roman" w:cs="Times New Roman"/>
          <w:color w:val="000000" w:themeColor="text1"/>
          <w:szCs w:val="24"/>
          <w:lang w:eastAsia="zh-CN"/>
          <w14:textFill>
            <w14:solidFill>
              <w14:schemeClr w14:val="tx1"/>
            </w14:solidFill>
          </w14:textFill>
        </w:rPr>
        <w:t>日进行检测</w:t>
      </w:r>
      <w:r>
        <w:rPr>
          <w:rFonts w:hint="eastAsia" w:ascii="Times New Roman" w:hAnsi="Times New Roman" w:cs="Times New Roman"/>
          <w:color w:val="000000" w:themeColor="text1"/>
          <w:szCs w:val="24"/>
          <w:lang w:eastAsia="zh-CN"/>
          <w14:textFill>
            <w14:solidFill>
              <w14:schemeClr w14:val="tx1"/>
            </w14:solidFill>
          </w14:textFill>
        </w:rPr>
        <w:t>。</w:t>
      </w:r>
    </w:p>
    <w:p w14:paraId="5AF896F7">
      <w:pPr>
        <w:widowControl w:val="0"/>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其他</w:t>
      </w:r>
      <w:r>
        <w:rPr>
          <w:rFonts w:ascii="Times New Roman" w:hAnsi="Times New Roman" w:cs="Times New Roman"/>
          <w:color w:val="auto"/>
          <w:szCs w:val="24"/>
          <w:lang w:eastAsia="zh-CN"/>
        </w:rPr>
        <w:t>地下水</w:t>
      </w:r>
      <w:r>
        <w:rPr>
          <w:rFonts w:hint="eastAsia" w:ascii="Times New Roman" w:hAnsi="Times New Roman" w:cs="Times New Roman"/>
          <w:color w:val="auto"/>
          <w:szCs w:val="24"/>
          <w:lang w:eastAsia="zh-CN"/>
        </w:rPr>
        <w:t>点位数据分别</w:t>
      </w:r>
      <w:r>
        <w:rPr>
          <w:rFonts w:ascii="Times New Roman" w:hAnsi="Times New Roman" w:cs="Times New Roman"/>
          <w:color w:val="auto"/>
          <w:szCs w:val="24"/>
          <w:lang w:eastAsia="zh-CN"/>
        </w:rPr>
        <w:t>引用《</w:t>
      </w:r>
      <w:r>
        <w:rPr>
          <w:rFonts w:hint="eastAsia" w:ascii="Times New Roman" w:hAnsi="Times New Roman" w:cs="Times New Roman"/>
          <w:color w:val="auto"/>
          <w:szCs w:val="24"/>
          <w:lang w:eastAsia="zh-CN"/>
        </w:rPr>
        <w:t>蚌埠精细化工高新技术产业基地环境影响区域评估+环境标准报告</w:t>
      </w:r>
      <w:r>
        <w:rPr>
          <w:rFonts w:ascii="Times New Roman" w:hAnsi="Times New Roman" w:cs="Times New Roman"/>
          <w:color w:val="auto"/>
          <w:szCs w:val="24"/>
          <w:lang w:eastAsia="zh-CN"/>
        </w:rPr>
        <w:t>》（安徽天晟环保科技有限公司于2024年</w:t>
      </w:r>
      <w:r>
        <w:rPr>
          <w:rFonts w:hint="eastAsia" w:ascii="Times New Roman" w:hAnsi="Times New Roman" w:cs="Times New Roman"/>
          <w:color w:val="auto"/>
          <w:szCs w:val="24"/>
          <w:lang w:eastAsia="zh-CN"/>
        </w:rPr>
        <w:t>4</w:t>
      </w:r>
      <w:r>
        <w:rPr>
          <w:rFonts w:ascii="Times New Roman" w:hAnsi="Times New Roman" w:cs="Times New Roman"/>
          <w:color w:val="auto"/>
          <w:szCs w:val="24"/>
          <w:lang w:eastAsia="zh-CN"/>
        </w:rPr>
        <w:t>月</w:t>
      </w:r>
      <w:r>
        <w:rPr>
          <w:rFonts w:hint="eastAsia" w:ascii="Times New Roman" w:hAnsi="Times New Roman" w:cs="Times New Roman"/>
          <w:color w:val="auto"/>
          <w:szCs w:val="24"/>
          <w:lang w:eastAsia="zh-CN"/>
        </w:rPr>
        <w:t>8</w:t>
      </w:r>
      <w:r>
        <w:rPr>
          <w:rFonts w:ascii="Times New Roman" w:hAnsi="Times New Roman" w:cs="Times New Roman"/>
          <w:color w:val="auto"/>
          <w:szCs w:val="24"/>
          <w:lang w:eastAsia="zh-CN"/>
        </w:rPr>
        <w:t>日</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2024年</w:t>
      </w:r>
      <w:r>
        <w:rPr>
          <w:rFonts w:hint="eastAsia" w:ascii="Times New Roman" w:hAnsi="Times New Roman" w:cs="Times New Roman"/>
          <w:color w:val="auto"/>
          <w:szCs w:val="24"/>
          <w:lang w:eastAsia="zh-CN"/>
        </w:rPr>
        <w:t>8</w:t>
      </w:r>
      <w:r>
        <w:rPr>
          <w:rFonts w:ascii="Times New Roman" w:hAnsi="Times New Roman" w:cs="Times New Roman"/>
          <w:color w:val="auto"/>
          <w:szCs w:val="24"/>
          <w:lang w:eastAsia="zh-CN"/>
        </w:rPr>
        <w:t>月</w:t>
      </w:r>
      <w:r>
        <w:rPr>
          <w:rFonts w:hint="eastAsia" w:ascii="Times New Roman" w:hAnsi="Times New Roman" w:cs="Times New Roman"/>
          <w:color w:val="auto"/>
          <w:szCs w:val="24"/>
          <w:lang w:eastAsia="zh-CN"/>
        </w:rPr>
        <w:t>20</w:t>
      </w:r>
      <w:r>
        <w:rPr>
          <w:rFonts w:ascii="Times New Roman" w:hAnsi="Times New Roman" w:cs="Times New Roman"/>
          <w:color w:val="auto"/>
          <w:szCs w:val="24"/>
          <w:lang w:eastAsia="zh-CN"/>
        </w:rPr>
        <w:t>日进行监测）</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《安徽新洋丰农业科技有限公司100万吨/年新型作物专用肥项目环境影响报告书》中数据，监测时间为2025年11月05日</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w:t>
      </w:r>
      <w:r>
        <w:rPr>
          <w:rFonts w:ascii="Times New Roman" w:hAnsi="Times New Roman" w:cs="Times New Roman"/>
          <w:bCs/>
          <w:color w:val="auto"/>
          <w:szCs w:val="24"/>
          <w:lang w:eastAsia="zh-CN"/>
        </w:rPr>
        <w:t>安徽天润化学工业股份有限公司3万吨/年聚丙烯酰胺干粉项目</w:t>
      </w:r>
      <w:r>
        <w:rPr>
          <w:rFonts w:ascii="Times New Roman" w:hAnsi="Times New Roman" w:cs="Times New Roman"/>
          <w:color w:val="auto"/>
          <w:szCs w:val="24"/>
          <w:lang w:eastAsia="zh-CN"/>
        </w:rPr>
        <w:t>环境影响报告书》</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监测时间为2023年11月21日</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w:t>
      </w:r>
      <w:r>
        <w:rPr>
          <w:rFonts w:ascii="Times New Roman" w:hAnsi="Times New Roman" w:cs="Times New Roman"/>
          <w:color w:val="auto"/>
          <w:szCs w:val="20"/>
          <w:lang w:val="zh-CN" w:eastAsia="zh-CN" w:bidi="ar"/>
        </w:rPr>
        <w:t>蚌埠阿迪亚新材</w:t>
      </w:r>
      <w:r>
        <w:rPr>
          <w:rFonts w:ascii="Times New Roman" w:hAnsi="Times New Roman" w:cs="Times New Roman"/>
          <w:color w:val="000000" w:themeColor="text1"/>
          <w:szCs w:val="20"/>
          <w:lang w:val="zh-CN" w:eastAsia="zh-CN" w:bidi="ar"/>
          <w14:textFill>
            <w14:solidFill>
              <w14:schemeClr w14:val="tx1"/>
            </w14:solidFill>
          </w14:textFill>
        </w:rPr>
        <w:t>料有限公司</w:t>
      </w:r>
      <w:r>
        <w:rPr>
          <w:rFonts w:ascii="Times New Roman" w:hAnsi="Times New Roman" w:cs="Times New Roman"/>
          <w:bCs/>
          <w:color w:val="000000" w:themeColor="text1"/>
          <w:szCs w:val="24"/>
          <w:lang w:val="zh-CN" w:eastAsia="zh-CN"/>
          <w14:textFill>
            <w14:solidFill>
              <w14:schemeClr w14:val="tx1"/>
            </w14:solidFill>
          </w14:textFill>
        </w:rPr>
        <w:t>年产</w:t>
      </w:r>
      <w:r>
        <w:rPr>
          <w:rFonts w:ascii="Times New Roman" w:hAnsi="Times New Roman" w:cs="Times New Roman"/>
          <w:bCs/>
          <w:color w:val="000000" w:themeColor="text1"/>
          <w:szCs w:val="24"/>
          <w:lang w:eastAsia="zh-CN"/>
          <w14:textFill>
            <w14:solidFill>
              <w14:schemeClr w14:val="tx1"/>
            </w14:solidFill>
          </w14:textFill>
        </w:rPr>
        <w:t>5000吨水性封闭聚异氰酸酯</w:t>
      </w:r>
      <w:r>
        <w:rPr>
          <w:rFonts w:ascii="Times New Roman" w:hAnsi="Times New Roman" w:cs="Times New Roman"/>
          <w:bCs/>
          <w:color w:val="000000" w:themeColor="text1"/>
          <w:szCs w:val="24"/>
          <w:lang w:val="zh-CN" w:eastAsia="zh-CN"/>
          <w14:textFill>
            <w14:solidFill>
              <w14:schemeClr w14:val="tx1"/>
            </w14:solidFill>
          </w14:textFill>
        </w:rPr>
        <w:t>项目</w:t>
      </w:r>
      <w:r>
        <w:rPr>
          <w:rFonts w:ascii="Times New Roman" w:hAnsi="Times New Roman" w:cs="Times New Roman"/>
          <w:color w:val="000000" w:themeColor="text1"/>
          <w:szCs w:val="24"/>
          <w:lang w:eastAsia="zh-CN"/>
          <w14:textFill>
            <w14:solidFill>
              <w14:schemeClr w14:val="tx1"/>
            </w14:solidFill>
          </w14:textFill>
        </w:rPr>
        <w:t>环境影响报告书》</w:t>
      </w:r>
      <w:r>
        <w:rPr>
          <w:rFonts w:hint="eastAsia" w:ascii="Times New Roman" w:hAnsi="Times New Roman" w:cs="Times New Roman"/>
          <w:color w:val="000000" w:themeColor="text1"/>
          <w:szCs w:val="24"/>
          <w:lang w:eastAsia="zh-CN"/>
          <w14:textFill>
            <w14:solidFill>
              <w14:schemeClr w14:val="tx1"/>
            </w14:solidFill>
          </w14:textFill>
        </w:rPr>
        <w:t>（</w:t>
      </w:r>
      <w:r>
        <w:rPr>
          <w:rFonts w:ascii="Times New Roman" w:hAnsi="Times New Roman" w:cs="Times New Roman"/>
          <w:color w:val="000000" w:themeColor="text1"/>
          <w:szCs w:val="24"/>
          <w:lang w:eastAsia="zh-CN"/>
          <w14:textFill>
            <w14:solidFill>
              <w14:schemeClr w14:val="tx1"/>
            </w14:solidFill>
          </w14:textFill>
        </w:rPr>
        <w:t>监测时间为2024年10月24日</w:t>
      </w:r>
      <w:r>
        <w:rPr>
          <w:rFonts w:hint="eastAsia" w:ascii="Times New Roman" w:hAnsi="Times New Roman" w:cs="Times New Roman"/>
          <w:color w:val="000000" w:themeColor="text1"/>
          <w:szCs w:val="24"/>
          <w:lang w:eastAsia="zh-CN"/>
          <w14:textFill>
            <w14:solidFill>
              <w14:schemeClr w14:val="tx1"/>
            </w14:solidFill>
          </w14:textFill>
        </w:rPr>
        <w:t>）</w:t>
      </w:r>
      <w:r>
        <w:rPr>
          <w:rFonts w:ascii="Times New Roman" w:hAnsi="Times New Roman" w:cs="Times New Roman"/>
          <w:color w:val="000000" w:themeColor="text1"/>
          <w:szCs w:val="24"/>
          <w:lang w:eastAsia="zh-CN"/>
          <w14:textFill>
            <w14:solidFill>
              <w14:schemeClr w14:val="tx1"/>
            </w14:solidFill>
          </w14:textFill>
        </w:rPr>
        <w:t>。</w:t>
      </w:r>
    </w:p>
    <w:p w14:paraId="0DC475CC">
      <w:pPr>
        <w:widowControl w:val="0"/>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ascii="Times New Roman" w:hAnsi="Times New Roman" w:cs="Times New Roman"/>
          <w:color w:val="000000" w:themeColor="text1"/>
          <w:szCs w:val="24"/>
          <w:lang w:eastAsia="zh-CN"/>
          <w14:textFill>
            <w14:solidFill>
              <w14:schemeClr w14:val="tx1"/>
            </w14:solidFill>
          </w14:textFill>
        </w:rPr>
        <w:t>监测期间，</w:t>
      </w:r>
      <w:r>
        <w:rPr>
          <w:rFonts w:hint="eastAsia" w:ascii="Times New Roman" w:hAnsi="Times New Roman" w:cs="Times New Roman"/>
          <w:color w:val="000000" w:themeColor="text1"/>
          <w:szCs w:val="24"/>
          <w:lang w:eastAsia="zh-CN"/>
          <w14:textFill>
            <w14:solidFill>
              <w14:schemeClr w14:val="tx1"/>
            </w14:solidFill>
          </w14:textFill>
        </w:rPr>
        <w:t>各因子均能</w:t>
      </w:r>
      <w:r>
        <w:rPr>
          <w:rFonts w:ascii="Times New Roman" w:hAnsi="Times New Roman" w:cs="Times New Roman"/>
          <w:color w:val="000000" w:themeColor="text1"/>
          <w:szCs w:val="24"/>
          <w:lang w:eastAsia="zh-CN"/>
          <w14:textFill>
            <w14:solidFill>
              <w14:schemeClr w14:val="tx1"/>
            </w14:solidFill>
          </w14:textFill>
        </w:rPr>
        <w:t>满足《地下水质量标准》（GB/T 14848-2017）中Ⅲ类标准限值要求。</w:t>
      </w:r>
    </w:p>
    <w:p w14:paraId="44E7D472">
      <w:pPr>
        <w:widowControl w:val="0"/>
        <w:spacing w:line="360" w:lineRule="auto"/>
        <w:ind w:firstLine="482"/>
        <w:outlineLvl w:val="3"/>
        <w:rPr>
          <w:rFonts w:ascii="Times New Roman" w:hAnsi="Times New Roman" w:cs="Times New Roman"/>
          <w:b/>
          <w:bCs/>
          <w:color w:val="auto"/>
          <w:lang w:eastAsia="zh-CN"/>
        </w:rPr>
      </w:pPr>
      <w:bookmarkStart w:id="2804" w:name="_Toc7972"/>
      <w:r>
        <w:rPr>
          <w:rFonts w:ascii="Times New Roman" w:hAnsi="Times New Roman" w:cs="Times New Roman"/>
          <w:b/>
          <w:bCs/>
          <w:color w:val="auto"/>
          <w:lang w:eastAsia="zh-CN"/>
        </w:rPr>
        <w:t>11.2.5 土壤环境</w:t>
      </w:r>
      <w:bookmarkEnd w:id="2804"/>
    </w:p>
    <w:p w14:paraId="0CCE023E">
      <w:pPr>
        <w:widowControl w:val="0"/>
        <w:spacing w:line="360" w:lineRule="auto"/>
        <w:ind w:firstLine="480" w:firstLineChars="200"/>
        <w:jc w:val="both"/>
        <w:rPr>
          <w:rFonts w:ascii="Times New Roman" w:hAnsi="Times New Roman" w:cs="Times New Roman"/>
          <w:color w:val="EE0000"/>
          <w:szCs w:val="24"/>
          <w:lang w:eastAsia="zh-CN"/>
        </w:rPr>
      </w:pPr>
      <w:r>
        <w:rPr>
          <w:rFonts w:hint="eastAsia" w:ascii="Times New Roman" w:hAnsi="Times New Roman" w:cs="Times New Roman"/>
          <w:color w:val="000000" w:themeColor="text1"/>
          <w:szCs w:val="24"/>
          <w:lang w:eastAsia="zh-CN"/>
          <w14:textFill>
            <w14:solidFill>
              <w14:schemeClr w14:val="tx1"/>
            </w14:solidFill>
          </w14:textFill>
        </w:rPr>
        <w:t>项目占地范围内及占地范围外土壤T1～T7、T11</w:t>
      </w:r>
      <w:r>
        <w:rPr>
          <w:rFonts w:ascii="Times New Roman" w:hAnsi="Times New Roman" w:cs="Times New Roman"/>
          <w:color w:val="000000" w:themeColor="text1"/>
          <w:szCs w:val="24"/>
          <w:lang w:eastAsia="zh-CN"/>
          <w14:textFill>
            <w14:solidFill>
              <w14:schemeClr w14:val="tx1"/>
            </w14:solidFill>
          </w14:textFill>
        </w:rPr>
        <w:t>于202</w:t>
      </w:r>
      <w:r>
        <w:rPr>
          <w:rFonts w:hint="eastAsia" w:ascii="Times New Roman" w:hAnsi="Times New Roman" w:cs="Times New Roman"/>
          <w:color w:val="000000" w:themeColor="text1"/>
          <w:szCs w:val="24"/>
          <w:lang w:eastAsia="zh-CN"/>
          <w14:textFill>
            <w14:solidFill>
              <w14:schemeClr w14:val="tx1"/>
            </w14:solidFill>
          </w14:textFill>
        </w:rPr>
        <w:t>6</w:t>
      </w:r>
      <w:r>
        <w:rPr>
          <w:rFonts w:ascii="Times New Roman" w:hAnsi="Times New Roman" w:cs="Times New Roman"/>
          <w:color w:val="000000" w:themeColor="text1"/>
          <w:szCs w:val="24"/>
          <w:lang w:eastAsia="zh-CN"/>
          <w14:textFill>
            <w14:solidFill>
              <w14:schemeClr w14:val="tx1"/>
            </w14:solidFill>
          </w14:textFill>
        </w:rPr>
        <w:t>年</w:t>
      </w:r>
      <w:r>
        <w:rPr>
          <w:rFonts w:hint="eastAsia" w:ascii="Times New Roman" w:hAnsi="Times New Roman" w:cs="Times New Roman"/>
          <w:color w:val="000000" w:themeColor="text1"/>
          <w:szCs w:val="24"/>
          <w:lang w:eastAsia="zh-CN"/>
          <w14:textFill>
            <w14:solidFill>
              <w14:schemeClr w14:val="tx1"/>
            </w14:solidFill>
          </w14:textFill>
        </w:rPr>
        <w:t>6</w:t>
      </w:r>
      <w:r>
        <w:rPr>
          <w:rFonts w:ascii="Times New Roman" w:hAnsi="Times New Roman" w:cs="Times New Roman"/>
          <w:color w:val="000000" w:themeColor="text1"/>
          <w:szCs w:val="24"/>
          <w:lang w:eastAsia="zh-CN"/>
          <w14:textFill>
            <w14:solidFill>
              <w14:schemeClr w14:val="tx1"/>
            </w14:solidFill>
          </w14:textFill>
        </w:rPr>
        <w:t>月</w:t>
      </w:r>
      <w:r>
        <w:rPr>
          <w:rFonts w:hint="eastAsia" w:ascii="Times New Roman" w:hAnsi="Times New Roman" w:cs="Times New Roman"/>
          <w:color w:val="000000" w:themeColor="text1"/>
          <w:szCs w:val="24"/>
          <w:lang w:eastAsia="zh-CN"/>
          <w14:textFill>
            <w14:solidFill>
              <w14:schemeClr w14:val="tx1"/>
            </w14:solidFill>
          </w14:textFill>
        </w:rPr>
        <w:t>7日～8日委托</w:t>
      </w:r>
      <w:r>
        <w:rPr>
          <w:rFonts w:hint="eastAsia" w:ascii="Times New Roman" w:hAnsi="Times New Roman" w:cs="Times New Roman"/>
          <w:color w:val="000000" w:themeColor="text1"/>
          <w:lang w:eastAsia="zh-CN"/>
          <w14:textFill>
            <w14:solidFill>
              <w14:schemeClr w14:val="tx1"/>
            </w14:solidFill>
          </w14:textFill>
        </w:rPr>
        <w:t>安徽实朴检测技术服务有限公司</w:t>
      </w:r>
      <w:r>
        <w:rPr>
          <w:rFonts w:ascii="Times New Roman" w:hAnsi="Times New Roman" w:cs="Times New Roman"/>
          <w:color w:val="000000" w:themeColor="text1"/>
          <w:szCs w:val="24"/>
          <w:lang w:eastAsia="zh-CN"/>
          <w14:textFill>
            <w14:solidFill>
              <w14:schemeClr w14:val="tx1"/>
            </w14:solidFill>
          </w14:textFill>
        </w:rPr>
        <w:t>进行检测</w:t>
      </w:r>
      <w:r>
        <w:rPr>
          <w:rFonts w:hint="eastAsia" w:ascii="Times New Roman" w:hAnsi="Times New Roman" w:cs="Times New Roman"/>
          <w:color w:val="000000" w:themeColor="text1"/>
          <w:szCs w:val="24"/>
          <w:lang w:eastAsia="zh-CN"/>
          <w14:textFill>
            <w14:solidFill>
              <w14:schemeClr w14:val="tx1"/>
            </w14:solidFill>
          </w14:textFill>
        </w:rPr>
        <w:t>，T</w:t>
      </w:r>
      <w:r>
        <w:rPr>
          <w:rFonts w:hint="eastAsia" w:ascii="Times New Roman" w:hAnsi="Times New Roman" w:cs="Times New Roman"/>
          <w:color w:val="auto"/>
          <w:szCs w:val="24"/>
          <w:lang w:eastAsia="zh-CN"/>
        </w:rPr>
        <w:t>8、T10引用《安徽新洋丰农业科技有限公司100万吨/年新型作物专用肥项目</w:t>
      </w:r>
      <w:r>
        <w:rPr>
          <w:rFonts w:ascii="Times New Roman" w:hAnsi="Times New Roman" w:cs="Times New Roman"/>
          <w:color w:val="auto"/>
          <w:szCs w:val="24"/>
          <w:lang w:eastAsia="zh-CN"/>
        </w:rPr>
        <w:t>环境影响报告书</w:t>
      </w:r>
      <w:r>
        <w:rPr>
          <w:rFonts w:hint="eastAsia" w:ascii="Times New Roman" w:hAnsi="Times New Roman" w:cs="Times New Roman"/>
          <w:color w:val="auto"/>
          <w:szCs w:val="24"/>
          <w:lang w:eastAsia="zh-CN"/>
        </w:rPr>
        <w:t>》中数据，监测时间为2025年11月6日；T9引用《安徽海华科技集团有限公司10000吨间甲酚车间环保技改项目</w:t>
      </w:r>
      <w:r>
        <w:rPr>
          <w:rFonts w:ascii="Times New Roman" w:hAnsi="Times New Roman" w:cs="Times New Roman"/>
          <w:color w:val="auto"/>
          <w:szCs w:val="24"/>
          <w:lang w:eastAsia="zh-CN"/>
        </w:rPr>
        <w:t>环境影响报告书</w:t>
      </w:r>
      <w:r>
        <w:rPr>
          <w:rFonts w:hint="eastAsia" w:ascii="Times New Roman" w:hAnsi="Times New Roman" w:cs="Times New Roman"/>
          <w:color w:val="auto"/>
          <w:szCs w:val="24"/>
          <w:lang w:eastAsia="zh-CN"/>
        </w:rPr>
        <w:t>》中数据，监测时间为2025</w:t>
      </w:r>
      <w:r>
        <w:rPr>
          <w:rFonts w:hint="eastAsia" w:ascii="Times New Roman" w:hAnsi="Times New Roman" w:cs="Times New Roman"/>
          <w:color w:val="000000" w:themeColor="text1"/>
          <w:szCs w:val="24"/>
          <w:lang w:eastAsia="zh-CN"/>
          <w14:textFill>
            <w14:solidFill>
              <w14:schemeClr w14:val="tx1"/>
            </w14:solidFill>
          </w14:textFill>
        </w:rPr>
        <w:t>年11月。</w:t>
      </w:r>
    </w:p>
    <w:p w14:paraId="5638BC6B">
      <w:pPr>
        <w:widowControl w:val="0"/>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ascii="Times New Roman" w:hAnsi="Times New Roman" w:cs="Times New Roman"/>
          <w:color w:val="000000" w:themeColor="text1"/>
          <w:szCs w:val="24"/>
          <w:lang w:eastAsia="zh-CN"/>
          <w14:textFill>
            <w14:solidFill>
              <w14:schemeClr w14:val="tx1"/>
            </w14:solidFill>
          </w14:textFill>
        </w:rPr>
        <w:t>监测期间，占地范围内和占地范围外</w:t>
      </w:r>
      <w:r>
        <w:rPr>
          <w:rFonts w:hint="eastAsia" w:ascii="Times New Roman" w:hAnsi="Times New Roman" w:cs="Times New Roman"/>
          <w:color w:val="000000" w:themeColor="text1"/>
          <w:szCs w:val="24"/>
          <w:lang w:eastAsia="zh-CN"/>
          <w14:textFill>
            <w14:solidFill>
              <w14:schemeClr w14:val="tx1"/>
            </w14:solidFill>
          </w14:textFill>
        </w:rPr>
        <w:t>建设用地</w:t>
      </w:r>
      <w:r>
        <w:rPr>
          <w:rFonts w:ascii="Times New Roman" w:hAnsi="Times New Roman" w:cs="Times New Roman"/>
          <w:color w:val="000000" w:themeColor="text1"/>
          <w:szCs w:val="24"/>
          <w:lang w:eastAsia="zh-CN"/>
          <w14:textFill>
            <w14:solidFill>
              <w14:schemeClr w14:val="tx1"/>
            </w14:solidFill>
          </w14:textFill>
        </w:rPr>
        <w:t>监测点位各监测因子监测结果均可以满足《土壤环境质量 建设用地土壤污染风险管控标准（试行）》</w:t>
      </w:r>
      <w:r>
        <w:fldChar w:fldCharType="begin"/>
      </w:r>
      <w:r>
        <w:instrText xml:space="preserve"> HYPERLINK "http://kjs.mep.gov.cn/hjbhbz/bzwb/trhj/trhjzlbz/201807/t20180703_446027.shtml" </w:instrText>
      </w:r>
      <w:r>
        <w:fldChar w:fldCharType="separate"/>
      </w:r>
      <w:r>
        <w:rPr>
          <w:rFonts w:ascii="Times New Roman" w:hAnsi="Times New Roman" w:cs="Times New Roman"/>
          <w:color w:val="000000" w:themeColor="text1"/>
          <w:szCs w:val="24"/>
          <w:lang w:eastAsia="zh-CN"/>
          <w14:textFill>
            <w14:solidFill>
              <w14:schemeClr w14:val="tx1"/>
            </w14:solidFill>
          </w14:textFill>
        </w:rPr>
        <w:t>（GB36600-2018）</w:t>
      </w:r>
      <w:r>
        <w:rPr>
          <w:rFonts w:ascii="Times New Roman" w:hAnsi="Times New Roman" w:cs="Times New Roman"/>
          <w:color w:val="000000" w:themeColor="text1"/>
          <w:szCs w:val="24"/>
          <w:lang w:eastAsia="zh-CN"/>
          <w14:textFill>
            <w14:solidFill>
              <w14:schemeClr w14:val="tx1"/>
            </w14:solidFill>
          </w14:textFill>
        </w:rPr>
        <w:fldChar w:fldCharType="end"/>
      </w:r>
      <w:r>
        <w:rPr>
          <w:rFonts w:hint="eastAsia" w:ascii="Times New Roman" w:hAnsi="Times New Roman" w:cs="Times New Roman"/>
          <w:color w:val="000000" w:themeColor="text1"/>
          <w:szCs w:val="24"/>
          <w:lang w:eastAsia="zh-CN"/>
          <w14:textFill>
            <w14:solidFill>
              <w14:schemeClr w14:val="tx1"/>
            </w14:solidFill>
          </w14:textFill>
        </w:rPr>
        <w:t>第二类</w:t>
      </w:r>
      <w:r>
        <w:rPr>
          <w:rFonts w:ascii="Times New Roman" w:hAnsi="Times New Roman" w:cs="Times New Roman"/>
          <w:color w:val="000000" w:themeColor="text1"/>
          <w:szCs w:val="24"/>
          <w:lang w:eastAsia="zh-CN"/>
          <w14:textFill>
            <w14:solidFill>
              <w14:schemeClr w14:val="tx1"/>
            </w14:solidFill>
          </w14:textFill>
        </w:rPr>
        <w:t>用地筛选值</w:t>
      </w:r>
      <w:r>
        <w:rPr>
          <w:rFonts w:hint="eastAsia" w:ascii="Times New Roman" w:hAnsi="Times New Roman" w:cs="Times New Roman"/>
          <w:color w:val="000000" w:themeColor="text1"/>
          <w:szCs w:val="24"/>
          <w:lang w:eastAsia="zh-CN"/>
          <w14:textFill>
            <w14:solidFill>
              <w14:schemeClr w14:val="tx1"/>
            </w14:solidFill>
          </w14:textFill>
        </w:rPr>
        <w:t>；</w:t>
      </w:r>
      <w:r>
        <w:rPr>
          <w:rFonts w:ascii="Times New Roman" w:hAnsi="Times New Roman" w:cs="Times New Roman"/>
          <w:color w:val="000000" w:themeColor="text1"/>
          <w:szCs w:val="24"/>
          <w:lang w:eastAsia="zh-CN"/>
          <w14:textFill>
            <w14:solidFill>
              <w14:schemeClr w14:val="tx1"/>
            </w14:solidFill>
          </w14:textFill>
        </w:rPr>
        <w:t>沫河口镇（</w:t>
      </w:r>
      <w:r>
        <w:rPr>
          <w:rFonts w:hint="eastAsia" w:ascii="Times New Roman" w:hAnsi="Times New Roman" w:cs="Times New Roman"/>
          <w:color w:val="000000" w:themeColor="text1"/>
          <w:szCs w:val="24"/>
          <w:lang w:eastAsia="zh-CN"/>
          <w14:textFill>
            <w14:solidFill>
              <w14:schemeClr w14:val="tx1"/>
            </w14:solidFill>
          </w14:textFill>
        </w:rPr>
        <w:t>沫河口村</w:t>
      </w:r>
      <w:r>
        <w:rPr>
          <w:rFonts w:ascii="Times New Roman" w:hAnsi="Times New Roman" w:cs="Times New Roman"/>
          <w:color w:val="000000" w:themeColor="text1"/>
          <w:szCs w:val="24"/>
          <w:lang w:eastAsia="zh-CN"/>
          <w14:textFill>
            <w14:solidFill>
              <w14:schemeClr w14:val="tx1"/>
            </w14:solidFill>
          </w14:textFill>
        </w:rPr>
        <w:t>）</w:t>
      </w:r>
      <w:r>
        <w:rPr>
          <w:rFonts w:hint="eastAsia" w:ascii="Times New Roman" w:hAnsi="Times New Roman" w:cs="Times New Roman"/>
          <w:color w:val="000000" w:themeColor="text1"/>
          <w:szCs w:val="24"/>
          <w:lang w:eastAsia="zh-CN"/>
          <w14:textFill>
            <w14:solidFill>
              <w14:schemeClr w14:val="tx1"/>
            </w14:solidFill>
          </w14:textFill>
        </w:rPr>
        <w:t>土壤环境</w:t>
      </w:r>
      <w:r>
        <w:rPr>
          <w:rFonts w:ascii="Times New Roman" w:hAnsi="Times New Roman" w:cs="Times New Roman"/>
          <w:color w:val="000000" w:themeColor="text1"/>
          <w:szCs w:val="24"/>
          <w:lang w:eastAsia="zh-CN"/>
          <w14:textFill>
            <w14:solidFill>
              <w14:schemeClr w14:val="tx1"/>
            </w14:solidFill>
          </w14:textFill>
        </w:rPr>
        <w:t>满足《土壤环境质量 建设用地土壤污染风险管控标准（试行）》</w:t>
      </w:r>
      <w:r>
        <w:fldChar w:fldCharType="begin"/>
      </w:r>
      <w:r>
        <w:instrText xml:space="preserve"> HYPERLINK "http://kjs.mep.gov.cn/hjbhbz/bzwb/trhj/trhjzlbz/201807/t20180703_446027.shtml" </w:instrText>
      </w:r>
      <w:r>
        <w:fldChar w:fldCharType="separate"/>
      </w:r>
      <w:r>
        <w:rPr>
          <w:rFonts w:ascii="Times New Roman" w:hAnsi="Times New Roman" w:cs="Times New Roman"/>
          <w:color w:val="000000" w:themeColor="text1"/>
          <w:szCs w:val="24"/>
          <w:lang w:eastAsia="zh-CN"/>
          <w14:textFill>
            <w14:solidFill>
              <w14:schemeClr w14:val="tx1"/>
            </w14:solidFill>
          </w14:textFill>
        </w:rPr>
        <w:t>（GB36600-2018）</w:t>
      </w:r>
      <w:r>
        <w:rPr>
          <w:rFonts w:ascii="Times New Roman" w:hAnsi="Times New Roman" w:cs="Times New Roman"/>
          <w:color w:val="000000" w:themeColor="text1"/>
          <w:szCs w:val="24"/>
          <w:lang w:eastAsia="zh-CN"/>
          <w14:textFill>
            <w14:solidFill>
              <w14:schemeClr w14:val="tx1"/>
            </w14:solidFill>
          </w14:textFill>
        </w:rPr>
        <w:fldChar w:fldCharType="end"/>
      </w:r>
      <w:r>
        <w:rPr>
          <w:rFonts w:hint="eastAsia" w:ascii="Times New Roman" w:hAnsi="Times New Roman" w:cs="Times New Roman"/>
          <w:color w:val="000000" w:themeColor="text1"/>
          <w:szCs w:val="24"/>
          <w:lang w:eastAsia="zh-CN"/>
          <w14:textFill>
            <w14:solidFill>
              <w14:schemeClr w14:val="tx1"/>
            </w14:solidFill>
          </w14:textFill>
        </w:rPr>
        <w:t>第一类</w:t>
      </w:r>
      <w:r>
        <w:rPr>
          <w:rFonts w:ascii="Times New Roman" w:hAnsi="Times New Roman" w:cs="Times New Roman"/>
          <w:color w:val="000000" w:themeColor="text1"/>
          <w:szCs w:val="24"/>
          <w:lang w:eastAsia="zh-CN"/>
          <w14:textFill>
            <w14:solidFill>
              <w14:schemeClr w14:val="tx1"/>
            </w14:solidFill>
          </w14:textFill>
        </w:rPr>
        <w:t>用地筛选值</w:t>
      </w:r>
      <w:r>
        <w:rPr>
          <w:rFonts w:hint="eastAsia" w:ascii="Times New Roman" w:hAnsi="Times New Roman" w:cs="Times New Roman"/>
          <w:color w:val="000000" w:themeColor="text1"/>
          <w:szCs w:val="24"/>
          <w:lang w:eastAsia="zh-CN"/>
          <w14:textFill>
            <w14:solidFill>
              <w14:schemeClr w14:val="tx1"/>
            </w14:solidFill>
          </w14:textFill>
        </w:rPr>
        <w:t>；占地范围外农用地</w:t>
      </w:r>
      <w:r>
        <w:rPr>
          <w:rFonts w:hint="eastAsia" w:ascii="Times New Roman" w:hAnsi="Times New Roman" w:eastAsia="新宋体" w:cs="Times New Roman"/>
          <w:color w:val="000000" w:themeColor="text1"/>
          <w:szCs w:val="24"/>
          <w:lang w:eastAsia="zh-CN"/>
          <w14:textFill>
            <w14:solidFill>
              <w14:schemeClr w14:val="tx1"/>
            </w14:solidFill>
          </w14:textFill>
        </w:rPr>
        <w:t>土壤环境满足《土壤环境质量农用地土壤污染风险管控标准（试行）》（GB15618-2018）中筛选值标准</w:t>
      </w:r>
      <w:r>
        <w:rPr>
          <w:rFonts w:ascii="Times New Roman" w:hAnsi="Times New Roman" w:cs="Times New Roman"/>
          <w:color w:val="000000" w:themeColor="text1"/>
          <w:szCs w:val="24"/>
          <w:lang w:eastAsia="zh-CN"/>
          <w14:textFill>
            <w14:solidFill>
              <w14:schemeClr w14:val="tx1"/>
            </w14:solidFill>
          </w14:textFill>
        </w:rPr>
        <w:t>。</w:t>
      </w:r>
    </w:p>
    <w:p w14:paraId="59A1420A">
      <w:pPr>
        <w:widowControl w:val="0"/>
        <w:spacing w:line="360" w:lineRule="auto"/>
        <w:ind w:firstLine="562"/>
        <w:outlineLvl w:val="1"/>
        <w:rPr>
          <w:rFonts w:ascii="Times New Roman" w:hAnsi="Times New Roman" w:cs="Times New Roman"/>
          <w:b/>
          <w:bCs/>
          <w:color w:val="auto"/>
          <w:sz w:val="28"/>
          <w:szCs w:val="22"/>
          <w:lang w:eastAsia="zh-CN"/>
        </w:rPr>
      </w:pPr>
      <w:bookmarkStart w:id="2805" w:name="_Toc24289"/>
      <w:bookmarkStart w:id="2806" w:name="_Toc173740418"/>
      <w:bookmarkStart w:id="2807" w:name="_Toc172555784"/>
      <w:bookmarkStart w:id="2808" w:name="_Toc237508436"/>
      <w:r>
        <w:rPr>
          <w:rFonts w:ascii="Times New Roman" w:hAnsi="Times New Roman" w:cs="Times New Roman"/>
          <w:b/>
          <w:bCs/>
          <w:color w:val="auto"/>
          <w:sz w:val="28"/>
          <w:szCs w:val="22"/>
          <w:lang w:eastAsia="zh-CN"/>
        </w:rPr>
        <w:t>11.3 污染物排放情况</w:t>
      </w:r>
      <w:bookmarkEnd w:id="2805"/>
      <w:bookmarkEnd w:id="2806"/>
      <w:bookmarkEnd w:id="2807"/>
      <w:bookmarkEnd w:id="2808"/>
    </w:p>
    <w:p w14:paraId="1A6F6C6D">
      <w:pPr>
        <w:widowControl w:val="0"/>
        <w:spacing w:line="360" w:lineRule="auto"/>
        <w:ind w:firstLine="482"/>
        <w:outlineLvl w:val="2"/>
        <w:rPr>
          <w:rFonts w:ascii="Times New Roman" w:hAnsi="Times New Roman" w:cs="Times New Roman"/>
          <w:b/>
          <w:bCs/>
          <w:color w:val="auto"/>
          <w:lang w:eastAsia="zh-CN"/>
        </w:rPr>
      </w:pPr>
      <w:bookmarkStart w:id="2809" w:name="_Toc237508437"/>
      <w:bookmarkStart w:id="2810" w:name="_Toc221900984"/>
      <w:bookmarkStart w:id="2811" w:name="_Toc204448610"/>
      <w:bookmarkStart w:id="2812" w:name="_Toc204515345"/>
      <w:bookmarkStart w:id="2813" w:name="_Toc203927146"/>
      <w:bookmarkStart w:id="2814" w:name="_Toc217662816"/>
      <w:bookmarkStart w:id="2815" w:name="_Toc223425202"/>
      <w:bookmarkStart w:id="2816" w:name="_Toc225784204"/>
      <w:bookmarkStart w:id="2817" w:name="_Toc176513149"/>
      <w:bookmarkStart w:id="2818" w:name="_Toc175164413"/>
      <w:bookmarkStart w:id="2819" w:name="_Toc236641972"/>
      <w:bookmarkStart w:id="2820" w:name="_Toc218784428"/>
      <w:bookmarkStart w:id="2821" w:name="_Toc178602494"/>
      <w:bookmarkStart w:id="2822" w:name="_Toc173743523"/>
      <w:bookmarkStart w:id="2823" w:name="_Toc28701"/>
      <w:bookmarkStart w:id="2824" w:name="_Toc224674842"/>
      <w:bookmarkStart w:id="2825" w:name="_Toc231828725"/>
      <w:r>
        <w:rPr>
          <w:rFonts w:ascii="Times New Roman" w:hAnsi="Times New Roman" w:cs="Times New Roman"/>
          <w:b/>
          <w:bCs/>
          <w:color w:val="auto"/>
          <w:lang w:eastAsia="zh-CN"/>
        </w:rPr>
        <w:t>11.3.1 废气污染物排放情况</w:t>
      </w:r>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p>
    <w:p w14:paraId="3F9F4F90">
      <w:pPr>
        <w:widowControl w:val="0"/>
        <w:spacing w:line="360" w:lineRule="auto"/>
        <w:ind w:firstLine="480" w:firstLineChars="200"/>
        <w:jc w:val="both"/>
        <w:rPr>
          <w:rFonts w:ascii="Times New Roman" w:hAnsi="Times New Roman" w:cs="Times New Roman"/>
          <w:snapToGrid/>
          <w:color w:val="000000" w:themeColor="text1"/>
          <w:kern w:val="2"/>
          <w:szCs w:val="24"/>
          <w:lang w:eastAsia="zh-CN"/>
          <w14:textFill>
            <w14:solidFill>
              <w14:schemeClr w14:val="tx1"/>
            </w14:solidFill>
          </w14:textFill>
        </w:rPr>
      </w:pPr>
      <w:r>
        <w:rPr>
          <w:rFonts w:hint="eastAsia" w:ascii="Times New Roman" w:hAnsi="Times New Roman" w:cs="Times New Roman"/>
          <w:snapToGrid/>
          <w:color w:val="000000" w:themeColor="text1"/>
          <w:kern w:val="2"/>
          <w:szCs w:val="24"/>
          <w:lang w:eastAsia="zh-CN"/>
          <w14:textFill>
            <w14:solidFill>
              <w14:schemeClr w14:val="tx1"/>
            </w14:solidFill>
          </w14:textFill>
        </w:rPr>
        <w:t>本</w:t>
      </w:r>
      <w:r>
        <w:rPr>
          <w:rFonts w:ascii="Times New Roman" w:hAnsi="Times New Roman" w:cs="Times New Roman"/>
          <w:snapToGrid/>
          <w:color w:val="000000" w:themeColor="text1"/>
          <w:kern w:val="2"/>
          <w:szCs w:val="24"/>
          <w:lang w:eastAsia="zh-CN"/>
          <w14:textFill>
            <w14:solidFill>
              <w14:schemeClr w14:val="tx1"/>
            </w14:solidFill>
          </w14:textFill>
        </w:rPr>
        <w:t>项目有组织废气主要污染物</w:t>
      </w:r>
      <w:r>
        <w:rPr>
          <w:rFonts w:hint="eastAsia" w:ascii="Times New Roman" w:hAnsi="Times New Roman" w:cs="Times New Roman"/>
          <w:snapToGrid/>
          <w:color w:val="000000" w:themeColor="text1"/>
          <w:kern w:val="2"/>
          <w:szCs w:val="24"/>
          <w:lang w:eastAsia="zh-CN"/>
          <w14:textFill>
            <w14:solidFill>
              <w14:schemeClr w14:val="tx1"/>
            </w14:solidFill>
          </w14:textFill>
        </w:rPr>
        <w:t>排放量分别为氟化物：0.052t/a、氯化氢：0.005t/a</w:t>
      </w:r>
      <w:r>
        <w:rPr>
          <w:rFonts w:ascii="Times New Roman" w:hAnsi="Times New Roman" w:cs="Times New Roman"/>
          <w:snapToGrid/>
          <w:color w:val="000000" w:themeColor="text1"/>
          <w:kern w:val="2"/>
          <w:szCs w:val="24"/>
          <w:lang w:eastAsia="zh-CN"/>
          <w14:textFill>
            <w14:solidFill>
              <w14:schemeClr w14:val="tx1"/>
            </w14:solidFill>
          </w14:textFill>
        </w:rPr>
        <w:t>。</w:t>
      </w:r>
    </w:p>
    <w:p w14:paraId="5DBC2978">
      <w:pPr>
        <w:widowControl w:val="0"/>
        <w:spacing w:line="360" w:lineRule="auto"/>
        <w:ind w:firstLine="480" w:firstLineChars="200"/>
        <w:jc w:val="both"/>
        <w:rPr>
          <w:rFonts w:ascii="Times New Roman" w:hAnsi="Times New Roman" w:cs="Times New Roman"/>
          <w:snapToGrid/>
          <w:color w:val="000000" w:themeColor="text1"/>
          <w:kern w:val="2"/>
          <w:szCs w:val="24"/>
          <w:lang w:eastAsia="zh-CN"/>
          <w14:textFill>
            <w14:solidFill>
              <w14:schemeClr w14:val="tx1"/>
            </w14:solidFill>
          </w14:textFill>
        </w:rPr>
      </w:pPr>
      <w:r>
        <w:rPr>
          <w:rFonts w:ascii="Times New Roman" w:hAnsi="Times New Roman" w:cs="Times New Roman"/>
          <w:snapToGrid/>
          <w:color w:val="000000" w:themeColor="text1"/>
          <w:kern w:val="2"/>
          <w:szCs w:val="24"/>
          <w:lang w:eastAsia="zh-CN"/>
          <w14:textFill>
            <w14:solidFill>
              <w14:schemeClr w14:val="tx1"/>
            </w14:solidFill>
          </w14:textFill>
        </w:rPr>
        <w:t>项目无组织废气主要污染物</w:t>
      </w:r>
      <w:r>
        <w:rPr>
          <w:rFonts w:hint="eastAsia" w:ascii="Times New Roman" w:hAnsi="Times New Roman" w:cs="Times New Roman"/>
          <w:snapToGrid/>
          <w:color w:val="000000" w:themeColor="text1"/>
          <w:kern w:val="2"/>
          <w:szCs w:val="24"/>
          <w:lang w:eastAsia="zh-CN"/>
          <w14:textFill>
            <w14:solidFill>
              <w14:schemeClr w14:val="tx1"/>
            </w14:solidFill>
          </w14:textFill>
        </w:rPr>
        <w:t>排放量分别为氟化物：0.033t/a</w:t>
      </w:r>
      <w:r>
        <w:rPr>
          <w:rFonts w:ascii="Times New Roman" w:hAnsi="Times New Roman" w:cs="Times New Roman"/>
          <w:snapToGrid/>
          <w:color w:val="000000" w:themeColor="text1"/>
          <w:kern w:val="2"/>
          <w:szCs w:val="24"/>
          <w:lang w:eastAsia="zh-CN"/>
          <w14:textFill>
            <w14:solidFill>
              <w14:schemeClr w14:val="tx1"/>
            </w14:solidFill>
          </w14:textFill>
        </w:rPr>
        <w:t>。</w:t>
      </w:r>
    </w:p>
    <w:p w14:paraId="22A5495C">
      <w:pPr>
        <w:widowControl w:val="0"/>
        <w:spacing w:line="360" w:lineRule="auto"/>
        <w:ind w:firstLine="482"/>
        <w:outlineLvl w:val="2"/>
        <w:rPr>
          <w:rFonts w:ascii="Times New Roman" w:hAnsi="Times New Roman" w:cs="Times New Roman"/>
          <w:b/>
          <w:bCs/>
          <w:color w:val="auto"/>
          <w:lang w:eastAsia="zh-CN"/>
        </w:rPr>
      </w:pPr>
      <w:bookmarkStart w:id="2826" w:name="_Toc217662817"/>
      <w:bookmarkStart w:id="2827" w:name="_Toc237508438"/>
      <w:bookmarkStart w:id="2828" w:name="_Toc231828726"/>
      <w:bookmarkStart w:id="2829" w:name="_Toc223425203"/>
      <w:bookmarkStart w:id="2830" w:name="_Toc218784429"/>
      <w:bookmarkStart w:id="2831" w:name="_Toc225784205"/>
      <w:bookmarkStart w:id="2832" w:name="_Toc175164414"/>
      <w:bookmarkStart w:id="2833" w:name="_Toc178602495"/>
      <w:bookmarkStart w:id="2834" w:name="_Toc204448611"/>
      <w:bookmarkStart w:id="2835" w:name="_Toc173743524"/>
      <w:bookmarkStart w:id="2836" w:name="_Toc176513150"/>
      <w:bookmarkStart w:id="2837" w:name="_Toc203927147"/>
      <w:bookmarkStart w:id="2838" w:name="_Toc204515346"/>
      <w:bookmarkStart w:id="2839" w:name="_Toc224674843"/>
      <w:bookmarkStart w:id="2840" w:name="_Toc221900985"/>
      <w:bookmarkStart w:id="2841" w:name="_Toc10940"/>
      <w:bookmarkStart w:id="2842" w:name="_Toc236641973"/>
      <w:r>
        <w:rPr>
          <w:rFonts w:ascii="Times New Roman" w:hAnsi="Times New Roman" w:cs="Times New Roman"/>
          <w:b/>
          <w:bCs/>
          <w:color w:val="auto"/>
          <w:lang w:eastAsia="zh-CN"/>
        </w:rPr>
        <w:t>11.3.2 废水污染物排放情况</w:t>
      </w:r>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p>
    <w:p w14:paraId="39FC1FDF">
      <w:pPr>
        <w:widowControl w:val="0"/>
        <w:spacing w:line="360" w:lineRule="auto"/>
        <w:ind w:firstLine="480" w:firstLineChars="200"/>
        <w:rPr>
          <w:rFonts w:ascii="Times New Roman" w:hAnsi="Times New Roman" w:cs="Times New Roman"/>
          <w:color w:val="000000" w:themeColor="text1"/>
          <w:szCs w:val="24"/>
          <w:lang w:eastAsia="zh-CN"/>
          <w14:textFill>
            <w14:solidFill>
              <w14:schemeClr w14:val="tx1"/>
            </w14:solidFill>
          </w14:textFill>
        </w:rPr>
      </w:pPr>
      <w:r>
        <w:rPr>
          <w:rFonts w:ascii="Times New Roman" w:hAnsi="Times New Roman" w:cs="Times New Roman"/>
          <w:color w:val="000000" w:themeColor="text1"/>
          <w:szCs w:val="24"/>
          <w:lang w:eastAsia="zh-CN"/>
          <w14:textFill>
            <w14:solidFill>
              <w14:schemeClr w14:val="tx1"/>
            </w14:solidFill>
          </w14:textFill>
        </w:rPr>
        <w:t>项目建成后废水外排至环境污染物排放量COD：</w:t>
      </w:r>
      <w:r>
        <w:rPr>
          <w:rFonts w:hint="eastAsia" w:ascii="Times New Roman" w:hAnsi="Times New Roman" w:cs="Times New Roman"/>
          <w:color w:val="000000" w:themeColor="text1"/>
          <w:szCs w:val="24"/>
          <w:lang w:eastAsia="zh-CN"/>
          <w14:textFill>
            <w14:solidFill>
              <w14:schemeClr w14:val="tx1"/>
            </w14:solidFill>
          </w14:textFill>
        </w:rPr>
        <w:t>1.845</w:t>
      </w:r>
      <w:r>
        <w:rPr>
          <w:rFonts w:ascii="Times New Roman" w:hAnsi="Times New Roman" w:cs="Times New Roman"/>
          <w:color w:val="000000" w:themeColor="text1"/>
          <w:szCs w:val="24"/>
          <w:lang w:eastAsia="zh-CN"/>
          <w14:textFill>
            <w14:solidFill>
              <w14:schemeClr w14:val="tx1"/>
            </w14:solidFill>
          </w14:textFill>
        </w:rPr>
        <w:t>t/a；NH</w:t>
      </w:r>
      <w:r>
        <w:rPr>
          <w:rFonts w:ascii="Times New Roman" w:hAnsi="Times New Roman" w:cs="Times New Roman"/>
          <w:color w:val="000000" w:themeColor="text1"/>
          <w:szCs w:val="24"/>
          <w:vertAlign w:val="subscript"/>
          <w:lang w:eastAsia="zh-CN"/>
          <w14:textFill>
            <w14:solidFill>
              <w14:schemeClr w14:val="tx1"/>
            </w14:solidFill>
          </w14:textFill>
        </w:rPr>
        <w:t>3</w:t>
      </w:r>
      <w:r>
        <w:rPr>
          <w:rFonts w:ascii="Times New Roman" w:hAnsi="Times New Roman" w:cs="Times New Roman"/>
          <w:color w:val="000000" w:themeColor="text1"/>
          <w:szCs w:val="24"/>
          <w:lang w:eastAsia="zh-CN"/>
          <w14:textFill>
            <w14:solidFill>
              <w14:schemeClr w14:val="tx1"/>
            </w14:solidFill>
          </w14:textFill>
        </w:rPr>
        <w:t>-N：0.</w:t>
      </w:r>
      <w:r>
        <w:rPr>
          <w:rFonts w:hint="eastAsia" w:ascii="Times New Roman" w:hAnsi="Times New Roman" w:cs="Times New Roman"/>
          <w:color w:val="000000" w:themeColor="text1"/>
          <w:szCs w:val="24"/>
          <w:lang w:eastAsia="zh-CN"/>
          <w14:textFill>
            <w14:solidFill>
              <w14:schemeClr w14:val="tx1"/>
            </w14:solidFill>
          </w14:textFill>
        </w:rPr>
        <w:t>184</w:t>
      </w:r>
      <w:r>
        <w:rPr>
          <w:rFonts w:ascii="Times New Roman" w:hAnsi="Times New Roman" w:cs="Times New Roman"/>
          <w:color w:val="000000" w:themeColor="text1"/>
          <w:szCs w:val="24"/>
          <w:lang w:eastAsia="zh-CN"/>
          <w14:textFill>
            <w14:solidFill>
              <w14:schemeClr w14:val="tx1"/>
            </w14:solidFill>
          </w14:textFill>
        </w:rPr>
        <w:t>t/a。</w:t>
      </w:r>
    </w:p>
    <w:p w14:paraId="185F7280">
      <w:pPr>
        <w:widowControl w:val="0"/>
        <w:spacing w:line="360" w:lineRule="auto"/>
        <w:ind w:firstLine="482"/>
        <w:outlineLvl w:val="2"/>
        <w:rPr>
          <w:rFonts w:ascii="Times New Roman" w:hAnsi="Times New Roman" w:cs="Times New Roman"/>
          <w:b/>
          <w:bCs/>
          <w:color w:val="auto"/>
          <w:lang w:eastAsia="zh-CN"/>
        </w:rPr>
      </w:pPr>
      <w:bookmarkStart w:id="2843" w:name="_Toc237508439"/>
      <w:bookmarkStart w:id="2844" w:name="_Toc203927148"/>
      <w:bookmarkStart w:id="2845" w:name="_Toc176513151"/>
      <w:bookmarkStart w:id="2846" w:name="_Toc178602496"/>
      <w:bookmarkStart w:id="2847" w:name="_Toc225784206"/>
      <w:bookmarkStart w:id="2848" w:name="_Toc20693"/>
      <w:bookmarkStart w:id="2849" w:name="_Toc217662818"/>
      <w:bookmarkStart w:id="2850" w:name="_Toc236641974"/>
      <w:bookmarkStart w:id="2851" w:name="_Toc218784430"/>
      <w:bookmarkStart w:id="2852" w:name="_Toc173743525"/>
      <w:bookmarkStart w:id="2853" w:name="_Toc175164415"/>
      <w:bookmarkStart w:id="2854" w:name="_Toc204448612"/>
      <w:bookmarkStart w:id="2855" w:name="_Toc204515347"/>
      <w:bookmarkStart w:id="2856" w:name="_Toc224674844"/>
      <w:bookmarkStart w:id="2857" w:name="_Toc223425204"/>
      <w:bookmarkStart w:id="2858" w:name="_Toc221900986"/>
      <w:bookmarkStart w:id="2859" w:name="_Toc231828727"/>
      <w:r>
        <w:rPr>
          <w:rFonts w:ascii="Times New Roman" w:hAnsi="Times New Roman" w:cs="Times New Roman"/>
          <w:b/>
          <w:bCs/>
          <w:color w:val="auto"/>
          <w:lang w:eastAsia="zh-CN"/>
        </w:rPr>
        <w:t>11.3.3 固废污染物排放情况</w:t>
      </w:r>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p>
    <w:p w14:paraId="20B84CBA">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项目建成产生的危险废物、一般工业固体废物和生活垃圾均能妥善处理处置，外排量为</w:t>
      </w:r>
    </w:p>
    <w:p w14:paraId="59644633">
      <w:pPr>
        <w:widowControl w:val="0"/>
        <w:spacing w:line="360" w:lineRule="auto"/>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0t/a。</w:t>
      </w:r>
    </w:p>
    <w:p w14:paraId="76E5E911">
      <w:pPr>
        <w:widowControl w:val="0"/>
        <w:spacing w:line="360" w:lineRule="auto"/>
        <w:ind w:firstLine="482"/>
        <w:outlineLvl w:val="2"/>
        <w:rPr>
          <w:rFonts w:ascii="Times New Roman" w:hAnsi="Times New Roman" w:cs="Times New Roman"/>
          <w:b/>
          <w:bCs/>
          <w:color w:val="auto"/>
          <w:lang w:eastAsia="zh-CN"/>
        </w:rPr>
      </w:pPr>
      <w:bookmarkStart w:id="2860" w:name="_Toc225784207"/>
      <w:bookmarkStart w:id="2861" w:name="_Toc224674845"/>
      <w:bookmarkStart w:id="2862" w:name="_Toc236641975"/>
      <w:bookmarkStart w:id="2863" w:name="_Toc218784431"/>
      <w:bookmarkStart w:id="2864" w:name="_Toc237508440"/>
      <w:bookmarkStart w:id="2865" w:name="_Toc223425205"/>
      <w:bookmarkStart w:id="2866" w:name="_Toc221900987"/>
      <w:bookmarkStart w:id="2867" w:name="_Toc204515348"/>
      <w:bookmarkStart w:id="2868" w:name="_Toc203927149"/>
      <w:bookmarkStart w:id="2869" w:name="_Toc204448613"/>
      <w:bookmarkStart w:id="2870" w:name="_Toc176513152"/>
      <w:bookmarkStart w:id="2871" w:name="_Toc173743526"/>
      <w:bookmarkStart w:id="2872" w:name="_Toc14811"/>
      <w:bookmarkStart w:id="2873" w:name="_Toc217662819"/>
      <w:bookmarkStart w:id="2874" w:name="_Toc175164416"/>
      <w:bookmarkStart w:id="2875" w:name="_Toc231828728"/>
      <w:bookmarkStart w:id="2876" w:name="_Toc178602497"/>
      <w:r>
        <w:rPr>
          <w:rFonts w:ascii="Times New Roman" w:hAnsi="Times New Roman" w:cs="Times New Roman"/>
          <w:b/>
          <w:bCs/>
          <w:color w:val="auto"/>
          <w:lang w:eastAsia="zh-CN"/>
        </w:rPr>
        <w:t>11.3.4 噪声污染物排放情况</w:t>
      </w:r>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p>
    <w:p w14:paraId="6D2B2982">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项目建成后四周厂界噪声均能满足《工业企业厂界环境噪声排放标准》(GB12348-2008)中3类标准要求。</w:t>
      </w:r>
    </w:p>
    <w:p w14:paraId="2BE455A4">
      <w:pPr>
        <w:widowControl w:val="0"/>
        <w:spacing w:line="360" w:lineRule="auto"/>
        <w:ind w:firstLine="562"/>
        <w:outlineLvl w:val="1"/>
        <w:rPr>
          <w:rFonts w:ascii="Times New Roman" w:hAnsi="Times New Roman" w:cs="Times New Roman"/>
          <w:b/>
          <w:bCs/>
          <w:color w:val="auto"/>
          <w:sz w:val="28"/>
          <w:szCs w:val="22"/>
          <w:lang w:eastAsia="zh-CN"/>
        </w:rPr>
      </w:pPr>
      <w:bookmarkStart w:id="2877" w:name="_Toc237508441"/>
      <w:bookmarkStart w:id="2878" w:name="_Toc172555785"/>
      <w:bookmarkStart w:id="2879" w:name="_Toc173740419"/>
      <w:bookmarkStart w:id="2880" w:name="_Toc5451"/>
      <w:r>
        <w:rPr>
          <w:rFonts w:ascii="Times New Roman" w:hAnsi="Times New Roman" w:cs="Times New Roman"/>
          <w:b/>
          <w:bCs/>
          <w:color w:val="auto"/>
          <w:sz w:val="28"/>
          <w:szCs w:val="22"/>
          <w:lang w:eastAsia="zh-CN"/>
        </w:rPr>
        <w:t>11.4 主要环境影响</w:t>
      </w:r>
      <w:bookmarkEnd w:id="2877"/>
      <w:bookmarkEnd w:id="2878"/>
      <w:bookmarkEnd w:id="2879"/>
      <w:bookmarkEnd w:id="2880"/>
    </w:p>
    <w:p w14:paraId="71B64054">
      <w:pPr>
        <w:widowControl w:val="0"/>
        <w:spacing w:line="360" w:lineRule="auto"/>
        <w:ind w:firstLine="482"/>
        <w:outlineLvl w:val="2"/>
        <w:rPr>
          <w:rFonts w:ascii="Times New Roman" w:hAnsi="Times New Roman" w:cs="Times New Roman"/>
          <w:b/>
          <w:bCs/>
          <w:color w:val="auto"/>
          <w:lang w:eastAsia="zh-CN"/>
        </w:rPr>
      </w:pPr>
      <w:bookmarkStart w:id="2881" w:name="_Toc178602499"/>
      <w:bookmarkStart w:id="2882" w:name="_Toc203927151"/>
      <w:bookmarkStart w:id="2883" w:name="_Toc204515350"/>
      <w:bookmarkStart w:id="2884" w:name="_Toc176513154"/>
      <w:bookmarkStart w:id="2885" w:name="_Toc224674847"/>
      <w:bookmarkStart w:id="2886" w:name="_Toc221900989"/>
      <w:bookmarkStart w:id="2887" w:name="_Toc173743528"/>
      <w:bookmarkStart w:id="2888" w:name="_Toc218784433"/>
      <w:bookmarkStart w:id="2889" w:name="_Toc175164418"/>
      <w:bookmarkStart w:id="2890" w:name="_Toc237508442"/>
      <w:bookmarkStart w:id="2891" w:name="_Toc204448615"/>
      <w:bookmarkStart w:id="2892" w:name="_Toc236641977"/>
      <w:bookmarkStart w:id="2893" w:name="_Toc223425207"/>
      <w:bookmarkStart w:id="2894" w:name="_Toc1573"/>
      <w:bookmarkStart w:id="2895" w:name="_Toc217662821"/>
      <w:bookmarkStart w:id="2896" w:name="_Toc225784209"/>
      <w:bookmarkStart w:id="2897" w:name="_Toc231828730"/>
      <w:r>
        <w:rPr>
          <w:rFonts w:ascii="Times New Roman" w:hAnsi="Times New Roman" w:cs="Times New Roman"/>
          <w:b/>
          <w:bCs/>
          <w:color w:val="auto"/>
          <w:lang w:eastAsia="zh-CN"/>
        </w:rPr>
        <w:t>11.4.1 环境空气影响分析结论</w:t>
      </w:r>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p>
    <w:p w14:paraId="029D288E">
      <w:pPr>
        <w:widowControl w:val="0"/>
        <w:spacing w:line="360" w:lineRule="auto"/>
        <w:ind w:firstLine="472" w:firstLineChars="200"/>
        <w:jc w:val="both"/>
        <w:rPr>
          <w:rFonts w:ascii="Times New Roman" w:hAnsi="Times New Roman" w:eastAsia="新宋体" w:cs="Times New Roman"/>
          <w:snapToGrid/>
          <w:color w:val="000000" w:themeColor="text1"/>
          <w:spacing w:val="-2"/>
          <w:szCs w:val="24"/>
          <w:lang w:eastAsia="zh-CN"/>
          <w14:textFill>
            <w14:solidFill>
              <w14:schemeClr w14:val="tx1"/>
            </w14:solidFill>
          </w14:textFill>
        </w:rPr>
      </w:pPr>
      <w:r>
        <w:rPr>
          <w:rFonts w:ascii="Times New Roman" w:hAnsi="Times New Roman" w:eastAsia="新宋体" w:cs="Times New Roman"/>
          <w:snapToGrid/>
          <w:color w:val="000000" w:themeColor="text1"/>
          <w:spacing w:val="-2"/>
          <w:szCs w:val="24"/>
          <w:lang w:eastAsia="zh-CN"/>
          <w14:textFill>
            <w14:solidFill>
              <w14:schemeClr w14:val="tx1"/>
            </w14:solidFill>
          </w14:textFill>
        </w:rPr>
        <w:t>（1）</w:t>
      </w:r>
      <w:r>
        <w:rPr>
          <w:rFonts w:hint="eastAsia" w:ascii="Times New Roman" w:hAnsi="Times New Roman" w:eastAsia="新宋体" w:cs="Times New Roman"/>
          <w:snapToGrid/>
          <w:color w:val="000000" w:themeColor="text1"/>
          <w:spacing w:val="-2"/>
          <w:szCs w:val="24"/>
          <w:lang w:eastAsia="zh-CN"/>
          <w14:textFill>
            <w14:solidFill>
              <w14:schemeClr w14:val="tx1"/>
            </w14:solidFill>
          </w14:textFill>
        </w:rPr>
        <w:t>2025年，蚌埠市</w:t>
      </w:r>
      <w:r>
        <w:rPr>
          <w:rFonts w:ascii="Times New Roman" w:hAnsi="Times New Roman" w:eastAsia="新宋体" w:cs="Times New Roman"/>
          <w:snapToGrid/>
          <w:color w:val="000000" w:themeColor="text1"/>
          <w:spacing w:val="-2"/>
          <w:szCs w:val="24"/>
          <w:lang w:eastAsia="zh-CN"/>
          <w14:textFill>
            <w14:solidFill>
              <w14:schemeClr w14:val="tx1"/>
            </w14:solidFill>
          </w14:textFill>
        </w:rPr>
        <w:t>属于不达标区</w:t>
      </w:r>
      <w:r>
        <w:rPr>
          <w:rFonts w:hint="eastAsia" w:ascii="Times New Roman" w:hAnsi="Times New Roman" w:eastAsia="新宋体" w:cs="Times New Roman"/>
          <w:snapToGrid/>
          <w:color w:val="000000" w:themeColor="text1"/>
          <w:spacing w:val="-2"/>
          <w:szCs w:val="24"/>
          <w:lang w:eastAsia="zh-CN"/>
          <w14:textFill>
            <w14:solidFill>
              <w14:schemeClr w14:val="tx1"/>
            </w14:solidFill>
          </w14:textFill>
        </w:rPr>
        <w:t>，不达标因子为PM</w:t>
      </w:r>
      <w:r>
        <w:rPr>
          <w:rFonts w:hint="eastAsia" w:ascii="Times New Roman" w:hAnsi="Times New Roman" w:eastAsia="新宋体" w:cs="Times New Roman"/>
          <w:snapToGrid/>
          <w:color w:val="000000" w:themeColor="text1"/>
          <w:spacing w:val="-2"/>
          <w:szCs w:val="24"/>
          <w:vertAlign w:val="subscript"/>
          <w:lang w:eastAsia="zh-CN"/>
          <w14:textFill>
            <w14:solidFill>
              <w14:schemeClr w14:val="tx1"/>
            </w14:solidFill>
          </w14:textFill>
        </w:rPr>
        <w:t>2.5</w:t>
      </w:r>
      <w:r>
        <w:rPr>
          <w:rFonts w:ascii="Times New Roman" w:hAnsi="Times New Roman" w:eastAsia="新宋体" w:cs="Times New Roman"/>
          <w:snapToGrid/>
          <w:color w:val="000000" w:themeColor="text1"/>
          <w:spacing w:val="-2"/>
          <w:szCs w:val="24"/>
          <w:lang w:eastAsia="zh-CN"/>
          <w14:textFill>
            <w14:solidFill>
              <w14:schemeClr w14:val="tx1"/>
            </w14:solidFill>
          </w14:textFill>
        </w:rPr>
        <w:t>。</w:t>
      </w:r>
      <w:r>
        <w:rPr>
          <w:rFonts w:hint="eastAsia" w:ascii="Times New Roman" w:hAnsi="Times New Roman" w:eastAsia="新宋体" w:cs="Times New Roman"/>
          <w:snapToGrid/>
          <w:color w:val="000000" w:themeColor="text1"/>
          <w:spacing w:val="-2"/>
          <w:szCs w:val="24"/>
          <w:lang w:eastAsia="zh-CN"/>
          <w14:textFill>
            <w14:solidFill>
              <w14:schemeClr w14:val="tx1"/>
            </w14:solidFill>
          </w14:textFill>
        </w:rPr>
        <w:t>本项目排放的废气污染物为氟化物、氯化氢，不涉及PM</w:t>
      </w:r>
      <w:r>
        <w:rPr>
          <w:rFonts w:hint="eastAsia" w:ascii="Times New Roman" w:hAnsi="Times New Roman" w:eastAsia="新宋体" w:cs="Times New Roman"/>
          <w:snapToGrid/>
          <w:color w:val="000000" w:themeColor="text1"/>
          <w:spacing w:val="-2"/>
          <w:szCs w:val="24"/>
          <w:vertAlign w:val="subscript"/>
          <w:lang w:eastAsia="zh-CN"/>
          <w14:textFill>
            <w14:solidFill>
              <w14:schemeClr w14:val="tx1"/>
            </w14:solidFill>
          </w14:textFill>
        </w:rPr>
        <w:t>2.5</w:t>
      </w:r>
      <w:r>
        <w:rPr>
          <w:rFonts w:hint="eastAsia" w:ascii="Times New Roman" w:hAnsi="Times New Roman" w:eastAsia="新宋体" w:cs="Times New Roman"/>
          <w:snapToGrid/>
          <w:color w:val="000000" w:themeColor="text1"/>
          <w:spacing w:val="-2"/>
          <w:szCs w:val="24"/>
          <w:lang w:eastAsia="zh-CN"/>
          <w14:textFill>
            <w14:solidFill>
              <w14:schemeClr w14:val="tx1"/>
            </w14:solidFill>
          </w14:textFill>
        </w:rPr>
        <w:t>，</w:t>
      </w:r>
      <w:r>
        <w:rPr>
          <w:rFonts w:ascii="Times New Roman" w:hAnsi="Times New Roman" w:eastAsia="新宋体" w:cs="Times New Roman"/>
          <w:snapToGrid/>
          <w:color w:val="000000" w:themeColor="text1"/>
          <w:spacing w:val="-2"/>
          <w:szCs w:val="24"/>
          <w:lang w:eastAsia="zh-CN"/>
          <w14:textFill>
            <w14:solidFill>
              <w14:schemeClr w14:val="tx1"/>
            </w14:solidFill>
          </w14:textFill>
        </w:rPr>
        <w:t>按照《环境影响评价技术导则大气环境》（HJ2.2-2018），本次评价不</w:t>
      </w:r>
      <w:r>
        <w:rPr>
          <w:rFonts w:hint="eastAsia" w:ascii="Times New Roman" w:hAnsi="Times New Roman" w:eastAsia="新宋体" w:cs="Times New Roman"/>
          <w:snapToGrid/>
          <w:color w:val="000000" w:themeColor="text1"/>
          <w:spacing w:val="-2"/>
          <w:szCs w:val="24"/>
          <w:lang w:eastAsia="zh-CN"/>
          <w14:textFill>
            <w14:solidFill>
              <w14:schemeClr w14:val="tx1"/>
            </w14:solidFill>
          </w14:textFill>
        </w:rPr>
        <w:t>需要</w:t>
      </w:r>
      <w:r>
        <w:rPr>
          <w:rFonts w:ascii="Times New Roman" w:hAnsi="Times New Roman" w:eastAsia="新宋体" w:cs="Times New Roman"/>
          <w:snapToGrid/>
          <w:color w:val="000000" w:themeColor="text1"/>
          <w:spacing w:val="-2"/>
          <w:szCs w:val="24"/>
          <w:lang w:eastAsia="zh-CN"/>
          <w14:textFill>
            <w14:solidFill>
              <w14:schemeClr w14:val="tx1"/>
            </w14:solidFill>
          </w14:textFill>
        </w:rPr>
        <w:t>预测</w:t>
      </w:r>
      <w:r>
        <w:rPr>
          <w:rFonts w:hint="eastAsia" w:ascii="Times New Roman" w:hAnsi="Times New Roman" w:eastAsia="新宋体" w:cs="Times New Roman"/>
          <w:snapToGrid/>
          <w:color w:val="000000" w:themeColor="text1"/>
          <w:spacing w:val="-2"/>
          <w:szCs w:val="24"/>
          <w:lang w:eastAsia="zh-CN"/>
          <w14:textFill>
            <w14:solidFill>
              <w14:schemeClr w14:val="tx1"/>
            </w14:solidFill>
          </w14:textFill>
        </w:rPr>
        <w:t>PM</w:t>
      </w:r>
      <w:r>
        <w:rPr>
          <w:rFonts w:hint="eastAsia" w:ascii="Times New Roman" w:hAnsi="Times New Roman" w:eastAsia="新宋体" w:cs="Times New Roman"/>
          <w:snapToGrid/>
          <w:color w:val="000000" w:themeColor="text1"/>
          <w:spacing w:val="-2"/>
          <w:szCs w:val="24"/>
          <w:vertAlign w:val="subscript"/>
          <w:lang w:eastAsia="zh-CN"/>
          <w14:textFill>
            <w14:solidFill>
              <w14:schemeClr w14:val="tx1"/>
            </w14:solidFill>
          </w14:textFill>
        </w:rPr>
        <w:t>2.5</w:t>
      </w:r>
      <w:r>
        <w:rPr>
          <w:rFonts w:ascii="Times New Roman" w:hAnsi="Times New Roman" w:eastAsia="新宋体" w:cs="Times New Roman"/>
          <w:bCs/>
          <w:snapToGrid/>
          <w:color w:val="000000" w:themeColor="text1"/>
          <w:spacing w:val="-2"/>
          <w:szCs w:val="24"/>
          <w:lang w:eastAsia="zh-CN"/>
          <w14:textFill>
            <w14:solidFill>
              <w14:schemeClr w14:val="tx1"/>
            </w14:solidFill>
          </w14:textFill>
        </w:rPr>
        <w:t>年平均质量浓度变化情况</w:t>
      </w:r>
      <w:r>
        <w:rPr>
          <w:rFonts w:hint="eastAsia" w:ascii="Times New Roman" w:hAnsi="Times New Roman" w:eastAsia="新宋体" w:cs="Times New Roman"/>
          <w:bCs/>
          <w:snapToGrid/>
          <w:color w:val="000000" w:themeColor="text1"/>
          <w:spacing w:val="-2"/>
          <w:szCs w:val="24"/>
          <w:lang w:eastAsia="zh-CN"/>
          <w14:textFill>
            <w14:solidFill>
              <w14:schemeClr w14:val="tx1"/>
            </w14:solidFill>
          </w14:textFill>
        </w:rPr>
        <w:t>。</w:t>
      </w:r>
    </w:p>
    <w:p w14:paraId="62297666">
      <w:pPr>
        <w:widowControl w:val="0"/>
        <w:spacing w:line="360" w:lineRule="auto"/>
        <w:ind w:firstLine="472" w:firstLineChars="200"/>
        <w:jc w:val="both"/>
        <w:rPr>
          <w:rFonts w:ascii="Times New Roman" w:hAnsi="Times New Roman" w:eastAsia="新宋体" w:cs="Times New Roman"/>
          <w:snapToGrid/>
          <w:color w:val="auto"/>
          <w:spacing w:val="-2"/>
          <w:szCs w:val="24"/>
          <w:lang w:eastAsia="zh-CN"/>
        </w:rPr>
      </w:pPr>
      <w:r>
        <w:rPr>
          <w:rFonts w:ascii="Times New Roman" w:hAnsi="Times New Roman" w:eastAsia="新宋体" w:cs="Times New Roman"/>
          <w:snapToGrid/>
          <w:color w:val="auto"/>
          <w:spacing w:val="-2"/>
          <w:szCs w:val="24"/>
          <w:lang w:eastAsia="zh-CN"/>
        </w:rPr>
        <w:t>（2）</w:t>
      </w:r>
      <w:r>
        <w:rPr>
          <w:rFonts w:hint="eastAsia" w:ascii="Times New Roman" w:hAnsi="Times New Roman" w:eastAsia="新宋体" w:cs="Times New Roman"/>
          <w:snapToGrid/>
          <w:color w:val="auto"/>
          <w:spacing w:val="-2"/>
          <w:szCs w:val="24"/>
          <w:lang w:eastAsia="zh-CN"/>
        </w:rPr>
        <w:t>由预测结果可知，本项目</w:t>
      </w:r>
      <w:r>
        <w:rPr>
          <w:rFonts w:ascii="Times New Roman" w:hAnsi="Times New Roman" w:eastAsia="新宋体" w:cs="Times New Roman"/>
          <w:snapToGrid/>
          <w:color w:val="auto"/>
          <w:spacing w:val="-2"/>
          <w:szCs w:val="24"/>
          <w:lang w:eastAsia="zh-CN"/>
        </w:rPr>
        <w:t>新增污染物</w:t>
      </w:r>
      <w:r>
        <w:rPr>
          <w:rFonts w:hint="eastAsia" w:ascii="Times New Roman" w:hAnsi="Times New Roman" w:eastAsia="新宋体" w:cs="Times New Roman"/>
          <w:snapToGrid/>
          <w:color w:val="auto"/>
          <w:spacing w:val="-2"/>
          <w:szCs w:val="24"/>
          <w:lang w:eastAsia="zh-CN"/>
        </w:rPr>
        <w:t>氟化物</w:t>
      </w:r>
      <w:r>
        <w:rPr>
          <w:rFonts w:ascii="Times New Roman" w:hAnsi="Times New Roman" w:eastAsia="新宋体" w:cs="Times New Roman"/>
          <w:snapToGrid/>
          <w:color w:val="auto"/>
          <w:spacing w:val="-2"/>
          <w:szCs w:val="24"/>
          <w:lang w:eastAsia="zh-CN"/>
        </w:rPr>
        <w:t>正常排放下污染物短期浓度贡献值的最大浓</w:t>
      </w:r>
      <w:r>
        <w:rPr>
          <w:rFonts w:ascii="Times New Roman" w:hAnsi="Times New Roman" w:eastAsia="新宋体" w:cs="Times New Roman"/>
          <w:snapToGrid/>
          <w:color w:val="000000" w:themeColor="text1"/>
          <w:spacing w:val="-2"/>
          <w:szCs w:val="24"/>
          <w:lang w:eastAsia="zh-CN"/>
          <w14:textFill>
            <w14:solidFill>
              <w14:schemeClr w14:val="tx1"/>
            </w14:solidFill>
          </w14:textFill>
        </w:rPr>
        <w:t>度占标率</w:t>
      </w:r>
      <w:r>
        <w:rPr>
          <w:rFonts w:hint="eastAsia" w:ascii="Times New Roman" w:hAnsi="Times New Roman" w:eastAsia="新宋体" w:cs="Times New Roman"/>
          <w:snapToGrid/>
          <w:color w:val="000000" w:themeColor="text1"/>
          <w:spacing w:val="-2"/>
          <w:szCs w:val="24"/>
          <w:lang w:eastAsia="zh-CN"/>
          <w14:textFill>
            <w14:solidFill>
              <w14:schemeClr w14:val="tx1"/>
            </w14:solidFill>
          </w14:textFill>
        </w:rPr>
        <w:t>为16.9%，氯化氢</w:t>
      </w:r>
      <w:r>
        <w:rPr>
          <w:rFonts w:ascii="Times New Roman" w:hAnsi="Times New Roman" w:eastAsia="新宋体" w:cs="Times New Roman"/>
          <w:snapToGrid/>
          <w:color w:val="000000" w:themeColor="text1"/>
          <w:spacing w:val="-2"/>
          <w:szCs w:val="24"/>
          <w:lang w:eastAsia="zh-CN"/>
          <w14:textFill>
            <w14:solidFill>
              <w14:schemeClr w14:val="tx1"/>
            </w14:solidFill>
          </w14:textFill>
        </w:rPr>
        <w:t>正常排放下污染物短期浓度贡献值的最大浓度占标率</w:t>
      </w:r>
      <w:r>
        <w:rPr>
          <w:rFonts w:hint="eastAsia" w:ascii="Times New Roman" w:hAnsi="Times New Roman" w:eastAsia="新宋体" w:cs="Times New Roman"/>
          <w:snapToGrid/>
          <w:color w:val="000000" w:themeColor="text1"/>
          <w:spacing w:val="-2"/>
          <w:szCs w:val="24"/>
          <w:lang w:eastAsia="zh-CN"/>
          <w14:textFill>
            <w14:solidFill>
              <w14:schemeClr w14:val="tx1"/>
            </w14:solidFill>
          </w14:textFill>
        </w:rPr>
        <w:t>为0.07%，</w:t>
      </w:r>
      <w:r>
        <w:rPr>
          <w:rFonts w:ascii="Times New Roman" w:hAnsi="Times New Roman" w:eastAsia="新宋体" w:cs="Times New Roman"/>
          <w:snapToGrid/>
          <w:color w:val="auto"/>
          <w:spacing w:val="-2"/>
          <w:szCs w:val="24"/>
          <w:lang w:eastAsia="zh-CN"/>
        </w:rPr>
        <w:t>均＜</w:t>
      </w:r>
      <w:r>
        <w:rPr>
          <w:rFonts w:hint="eastAsia" w:ascii="Times New Roman" w:hAnsi="Times New Roman" w:eastAsia="新宋体" w:cs="Times New Roman"/>
          <w:snapToGrid/>
          <w:color w:val="auto"/>
          <w:spacing w:val="-2"/>
          <w:szCs w:val="24"/>
          <w:lang w:eastAsia="zh-CN"/>
        </w:rPr>
        <w:t>10</w:t>
      </w:r>
      <w:r>
        <w:rPr>
          <w:rFonts w:ascii="Times New Roman" w:hAnsi="Times New Roman" w:eastAsia="新宋体" w:cs="Times New Roman"/>
          <w:snapToGrid/>
          <w:color w:val="auto"/>
          <w:spacing w:val="-2"/>
          <w:szCs w:val="24"/>
          <w:lang w:eastAsia="zh-CN"/>
        </w:rPr>
        <w:t>0%</w:t>
      </w:r>
      <w:r>
        <w:rPr>
          <w:rFonts w:hint="eastAsia" w:ascii="Times New Roman" w:hAnsi="Times New Roman" w:eastAsia="新宋体" w:cs="Times New Roman"/>
          <w:snapToGrid/>
          <w:color w:val="auto"/>
          <w:spacing w:val="-2"/>
          <w:szCs w:val="24"/>
          <w:lang w:eastAsia="zh-CN"/>
        </w:rPr>
        <w:t>；</w:t>
      </w:r>
      <w:r>
        <w:rPr>
          <w:rFonts w:ascii="Times New Roman" w:hAnsi="Times New Roman" w:eastAsia="新宋体" w:cs="Times New Roman"/>
          <w:snapToGrid/>
          <w:color w:val="auto"/>
          <w:spacing w:val="-2"/>
          <w:szCs w:val="24"/>
          <w:lang w:eastAsia="zh-CN"/>
        </w:rPr>
        <w:t>新增污染物</w:t>
      </w:r>
      <w:r>
        <w:rPr>
          <w:rFonts w:hint="eastAsia" w:ascii="Times New Roman" w:hAnsi="Times New Roman" w:eastAsia="新宋体" w:cs="Times New Roman"/>
          <w:snapToGrid/>
          <w:color w:val="auto"/>
          <w:spacing w:val="-2"/>
          <w:szCs w:val="24"/>
          <w:lang w:eastAsia="zh-CN"/>
        </w:rPr>
        <w:t>氟化物浓度贡献值</w:t>
      </w:r>
      <w:r>
        <w:rPr>
          <w:rFonts w:ascii="Times New Roman" w:hAnsi="Times New Roman" w:eastAsia="新宋体" w:cs="Times New Roman"/>
          <w:snapToGrid/>
          <w:color w:val="auto"/>
          <w:spacing w:val="-2"/>
          <w:szCs w:val="24"/>
          <w:lang w:eastAsia="zh-CN"/>
        </w:rPr>
        <w:t>叠加现状背景值及拟建、在建项目</w:t>
      </w:r>
      <w:r>
        <w:rPr>
          <w:rFonts w:hint="eastAsia" w:ascii="Times New Roman" w:hAnsi="Times New Roman" w:eastAsia="新宋体" w:cs="Times New Roman"/>
          <w:snapToGrid/>
          <w:color w:val="auto"/>
          <w:spacing w:val="-2"/>
          <w:szCs w:val="24"/>
          <w:lang w:eastAsia="zh-CN"/>
        </w:rPr>
        <w:t>污染源</w:t>
      </w:r>
      <w:r>
        <w:rPr>
          <w:rFonts w:ascii="Times New Roman" w:hAnsi="Times New Roman" w:eastAsia="新宋体" w:cs="Times New Roman"/>
          <w:snapToGrid/>
          <w:color w:val="auto"/>
          <w:spacing w:val="-2"/>
          <w:szCs w:val="24"/>
          <w:lang w:eastAsia="zh-CN"/>
        </w:rPr>
        <w:t>后，污染物浓度满足</w:t>
      </w:r>
      <w:r>
        <w:rPr>
          <w:rFonts w:ascii="Times New Roman" w:hAnsi="Times New Roman" w:cs="Times New Roman"/>
          <w:color w:val="auto"/>
          <w:szCs w:val="24"/>
          <w:lang w:eastAsia="zh-CN"/>
        </w:rPr>
        <w:t>《环境空气质量标准》（GB3095-20</w:t>
      </w:r>
      <w:r>
        <w:rPr>
          <w:rFonts w:hint="eastAsia" w:ascii="Times New Roman" w:hAnsi="Times New Roman" w:cs="Times New Roman"/>
          <w:color w:val="auto"/>
          <w:szCs w:val="24"/>
          <w:lang w:eastAsia="zh-CN"/>
        </w:rPr>
        <w:t>26</w:t>
      </w:r>
      <w:r>
        <w:rPr>
          <w:rFonts w:ascii="Times New Roman" w:hAnsi="Times New Roman" w:cs="Times New Roman"/>
          <w:color w:val="auto"/>
          <w:szCs w:val="24"/>
          <w:lang w:eastAsia="zh-CN"/>
        </w:rPr>
        <w:t>）中的二级标准</w:t>
      </w:r>
      <w:r>
        <w:rPr>
          <w:rFonts w:hint="eastAsia" w:ascii="Times New Roman" w:hAnsi="Times New Roman" w:cs="Times New Roman"/>
          <w:color w:val="auto"/>
          <w:szCs w:val="24"/>
          <w:lang w:eastAsia="zh-CN"/>
        </w:rPr>
        <w:t>；</w:t>
      </w:r>
      <w:r>
        <w:rPr>
          <w:rFonts w:hint="eastAsia" w:ascii="Times New Roman" w:hAnsi="Times New Roman" w:cs="Times New Roman"/>
          <w:lang w:eastAsia="zh-CN"/>
        </w:rPr>
        <w:t>氯化氢</w:t>
      </w:r>
      <w:r>
        <w:rPr>
          <w:rFonts w:hint="eastAsia" w:ascii="Times New Roman" w:hAnsi="Times New Roman" w:eastAsia="新宋体" w:cs="Times New Roman"/>
          <w:snapToGrid/>
          <w:color w:val="auto"/>
          <w:spacing w:val="-2"/>
          <w:szCs w:val="24"/>
          <w:lang w:eastAsia="zh-CN"/>
        </w:rPr>
        <w:t>浓度贡献值</w:t>
      </w:r>
      <w:r>
        <w:rPr>
          <w:rFonts w:ascii="Times New Roman" w:hAnsi="Times New Roman" w:eastAsia="新宋体" w:cs="Times New Roman"/>
          <w:snapToGrid/>
          <w:color w:val="auto"/>
          <w:spacing w:val="-2"/>
          <w:szCs w:val="24"/>
          <w:lang w:eastAsia="zh-CN"/>
        </w:rPr>
        <w:t>叠加现状背景值及拟建、在建项目</w:t>
      </w:r>
      <w:r>
        <w:rPr>
          <w:rFonts w:hint="eastAsia" w:ascii="Times New Roman" w:hAnsi="Times New Roman" w:eastAsia="新宋体" w:cs="Times New Roman"/>
          <w:snapToGrid/>
          <w:color w:val="auto"/>
          <w:spacing w:val="-2"/>
          <w:szCs w:val="24"/>
          <w:lang w:eastAsia="zh-CN"/>
        </w:rPr>
        <w:t>污染源</w:t>
      </w:r>
      <w:r>
        <w:rPr>
          <w:rFonts w:ascii="Times New Roman" w:hAnsi="Times New Roman" w:eastAsia="新宋体" w:cs="Times New Roman"/>
          <w:snapToGrid/>
          <w:color w:val="auto"/>
          <w:spacing w:val="-2"/>
          <w:szCs w:val="24"/>
          <w:lang w:eastAsia="zh-CN"/>
        </w:rPr>
        <w:t>后，污染物浓度满足</w:t>
      </w:r>
      <w:r>
        <w:rPr>
          <w:rFonts w:ascii="Times New Roman" w:hAnsi="Times New Roman" w:cs="Times New Roman"/>
          <w:color w:val="auto"/>
          <w:szCs w:val="24"/>
          <w:lang w:eastAsia="zh-CN"/>
        </w:rPr>
        <w:t>《环境影响评价技术导则 大气环境》（HJ 2.2-2018）附录 D 其他污染物空气质量浓度参考限值</w:t>
      </w:r>
      <w:r>
        <w:rPr>
          <w:rFonts w:ascii="Times New Roman" w:hAnsi="Times New Roman" w:eastAsia="新宋体" w:cs="Times New Roman"/>
          <w:snapToGrid/>
          <w:color w:val="auto"/>
          <w:spacing w:val="-2"/>
          <w:szCs w:val="24"/>
          <w:lang w:eastAsia="zh-CN"/>
        </w:rPr>
        <w:t>。</w:t>
      </w:r>
    </w:p>
    <w:p w14:paraId="5908EB55">
      <w:pPr>
        <w:widowControl w:val="0"/>
        <w:spacing w:line="360" w:lineRule="auto"/>
        <w:ind w:firstLine="472" w:firstLineChars="200"/>
        <w:jc w:val="both"/>
        <w:rPr>
          <w:rFonts w:ascii="Times New Roman" w:hAnsi="Times New Roman" w:eastAsia="新宋体" w:cs="Times New Roman"/>
          <w:snapToGrid/>
          <w:color w:val="auto"/>
          <w:spacing w:val="-2"/>
          <w:szCs w:val="24"/>
          <w:lang w:eastAsia="zh-CN"/>
        </w:rPr>
      </w:pPr>
      <w:r>
        <w:rPr>
          <w:rFonts w:ascii="Times New Roman" w:hAnsi="Times New Roman" w:eastAsia="新宋体" w:cs="Times New Roman"/>
          <w:snapToGrid/>
          <w:color w:val="auto"/>
          <w:spacing w:val="-2"/>
          <w:szCs w:val="24"/>
          <w:lang w:eastAsia="zh-CN"/>
        </w:rPr>
        <w:t>（3）本项目厂界浓度满足大气污染物厂界浓度限值，厂界外大气污染物短期浓度贡献浓度值未超过环境浓度质量限值，因此本项目无需设置大气环境防护距离。</w:t>
      </w:r>
      <w:r>
        <w:rPr>
          <w:rFonts w:hint="eastAsia" w:ascii="Times New Roman" w:hAnsi="Times New Roman" w:eastAsia="新宋体" w:cs="Times New Roman"/>
          <w:snapToGrid/>
          <w:color w:val="auto"/>
          <w:spacing w:val="-2"/>
          <w:szCs w:val="24"/>
          <w:lang w:eastAsia="zh-CN"/>
        </w:rPr>
        <w:t>根据大气环境风险预测，本项目</w:t>
      </w:r>
      <w:r>
        <w:rPr>
          <w:rFonts w:hint="eastAsia" w:ascii="Times New Roman" w:hAnsi="Times New Roman" w:cs="Times New Roman"/>
          <w:color w:val="000000" w:themeColor="text1"/>
          <w:szCs w:val="24"/>
          <w:lang w:eastAsia="zh-CN"/>
          <w14:textFill>
            <w14:solidFill>
              <w14:schemeClr w14:val="tx1"/>
            </w14:solidFill>
          </w14:textFill>
        </w:rPr>
        <w:t>化学纯氢氟酸储罐</w:t>
      </w:r>
      <w:r>
        <w:rPr>
          <w:rFonts w:ascii="Times New Roman" w:hAnsi="Times New Roman" w:cs="Times New Roman"/>
          <w:color w:val="000000" w:themeColor="text1"/>
          <w:szCs w:val="24"/>
          <w:lang w:eastAsia="zh-CN"/>
          <w14:textFill>
            <w14:solidFill>
              <w14:schemeClr w14:val="tx1"/>
            </w14:solidFill>
          </w14:textFill>
        </w:rPr>
        <w:t>泄漏</w:t>
      </w:r>
      <w:r>
        <w:rPr>
          <w:rFonts w:hint="eastAsia" w:ascii="Times New Roman" w:hAnsi="Times New Roman" w:cs="Times New Roman"/>
          <w:color w:val="000000" w:themeColor="text1"/>
          <w:szCs w:val="24"/>
          <w:lang w:eastAsia="zh-CN"/>
          <w14:textFill>
            <w14:solidFill>
              <w14:schemeClr w14:val="tx1"/>
            </w14:solidFill>
          </w14:textFill>
        </w:rPr>
        <w:t>，</w:t>
      </w:r>
      <w:r>
        <w:rPr>
          <w:rFonts w:ascii="Times New Roman" w:hAnsi="Times New Roman" w:cs="Times New Roman"/>
          <w:color w:val="000000" w:themeColor="text1"/>
          <w:szCs w:val="24"/>
          <w:lang w:eastAsia="zh-CN"/>
          <w14:textFill>
            <w14:solidFill>
              <w14:schemeClr w14:val="tx1"/>
            </w14:solidFill>
          </w14:textFill>
        </w:rPr>
        <w:t>最不利气象条件下</w:t>
      </w:r>
      <w:r>
        <w:rPr>
          <w:rFonts w:hint="eastAsia" w:ascii="Times New Roman" w:hAnsi="Times New Roman" w:cs="Times New Roman"/>
          <w:color w:val="000000" w:themeColor="text1"/>
          <w:szCs w:val="24"/>
          <w:lang w:eastAsia="zh-CN"/>
          <w14:textFill>
            <w14:solidFill>
              <w14:schemeClr w14:val="tx1"/>
            </w14:solidFill>
          </w14:textFill>
        </w:rPr>
        <w:t>氟化氢</w:t>
      </w:r>
      <w:r>
        <w:rPr>
          <w:rFonts w:ascii="Times New Roman" w:hAnsi="Times New Roman" w:cs="Times New Roman"/>
          <w:color w:val="000000" w:themeColor="text1"/>
          <w:szCs w:val="24"/>
          <w:lang w:eastAsia="zh-CN"/>
          <w14:textFill>
            <w14:solidFill>
              <w14:schemeClr w14:val="tx1"/>
            </w14:solidFill>
          </w14:textFill>
        </w:rPr>
        <w:t>达到</w:t>
      </w:r>
      <w:r>
        <w:rPr>
          <w:rFonts w:hint="eastAsia" w:ascii="Times New Roman" w:hAnsi="Times New Roman" w:cs="Times New Roman"/>
          <w:color w:val="000000" w:themeColor="text1"/>
          <w:szCs w:val="24"/>
          <w:lang w:eastAsia="zh-CN"/>
          <w14:textFill>
            <w14:solidFill>
              <w14:schemeClr w14:val="tx1"/>
            </w14:solidFill>
          </w14:textFill>
        </w:rPr>
        <w:t>1</w:t>
      </w:r>
      <w:r>
        <w:rPr>
          <w:rFonts w:ascii="Times New Roman" w:hAnsi="Times New Roman" w:cs="Times New Roman"/>
          <w:color w:val="000000" w:themeColor="text1"/>
          <w:szCs w:val="24"/>
          <w:lang w:eastAsia="zh-CN"/>
          <w14:textFill>
            <w14:solidFill>
              <w14:schemeClr w14:val="tx1"/>
            </w14:solidFill>
          </w14:textFill>
        </w:rPr>
        <w:t>级大气毒性终点浓度标准最大距离</w:t>
      </w:r>
      <w:r>
        <w:rPr>
          <w:rFonts w:hint="eastAsia" w:ascii="Times New Roman" w:hAnsi="Times New Roman" w:cs="Times New Roman"/>
          <w:color w:val="000000" w:themeColor="text1"/>
          <w:szCs w:val="24"/>
          <w:lang w:eastAsia="zh-CN"/>
          <w14:textFill>
            <w14:solidFill>
              <w14:schemeClr w14:val="tx1"/>
            </w14:solidFill>
          </w14:textFill>
        </w:rPr>
        <w:t>450</w:t>
      </w:r>
      <w:r>
        <w:rPr>
          <w:rFonts w:ascii="Times New Roman" w:hAnsi="Times New Roman" w:cs="Times New Roman"/>
          <w:color w:val="000000" w:themeColor="text1"/>
          <w:szCs w:val="24"/>
          <w:lang w:eastAsia="zh-CN"/>
          <w14:textFill>
            <w14:solidFill>
              <w14:schemeClr w14:val="tx1"/>
            </w14:solidFill>
          </w14:textFill>
        </w:rPr>
        <w:t>m</w:t>
      </w:r>
      <w:r>
        <w:rPr>
          <w:rFonts w:hint="eastAsia" w:ascii="Times New Roman" w:hAnsi="Times New Roman" w:cs="Times New Roman"/>
          <w:color w:val="000000" w:themeColor="text1"/>
          <w:szCs w:val="24"/>
          <w:lang w:eastAsia="zh-CN"/>
          <w14:textFill>
            <w14:solidFill>
              <w14:schemeClr w14:val="tx1"/>
            </w14:solidFill>
          </w14:textFill>
        </w:rPr>
        <w:t>，本项目应设置450m环境防护距离。同时</w:t>
      </w:r>
      <w:r>
        <w:rPr>
          <w:rFonts w:hint="eastAsia" w:ascii="Times New Roman" w:hAnsi="Times New Roman" w:eastAsia="新宋体" w:cs="Times New Roman"/>
          <w:snapToGrid/>
          <w:color w:val="auto"/>
          <w:spacing w:val="-2"/>
          <w:szCs w:val="24"/>
          <w:lang w:eastAsia="zh-CN"/>
        </w:rPr>
        <w:t>结合</w:t>
      </w:r>
      <w:r>
        <w:rPr>
          <w:rFonts w:hint="eastAsia" w:ascii="Times New Roman" w:hAnsi="Times New Roman" w:eastAsia="新宋体" w:cs="Times New Roman"/>
          <w:color w:val="auto"/>
          <w:szCs w:val="24"/>
          <w:lang w:eastAsia="zh-CN"/>
        </w:rPr>
        <w:t>《</w:t>
      </w:r>
      <w:r>
        <w:rPr>
          <w:rFonts w:hint="eastAsia" w:ascii="Times New Roman" w:hAnsi="Times New Roman" w:cs="Times New Roman"/>
          <w:color w:val="auto"/>
          <w:szCs w:val="24"/>
          <w:lang w:eastAsia="zh-CN"/>
        </w:rPr>
        <w:t>安徽氟瑞星化工有限公司年产4万吨电子级氢氟酸、4万吨化学纯氢氟酸及4.5万吨刻蚀液项目（一期工程）》</w:t>
      </w:r>
      <w:r>
        <w:rPr>
          <w:rFonts w:ascii="Times New Roman" w:hAnsi="Times New Roman" w:eastAsia="新宋体" w:cs="Times New Roman"/>
          <w:snapToGrid/>
          <w:color w:val="auto"/>
          <w:spacing w:val="-2"/>
          <w:szCs w:val="24"/>
          <w:lang w:eastAsia="zh-CN"/>
        </w:rPr>
        <w:t>，</w:t>
      </w:r>
      <w:r>
        <w:rPr>
          <w:rFonts w:hint="eastAsia" w:ascii="Times New Roman" w:hAnsi="Times New Roman" w:eastAsia="新宋体" w:cs="Times New Roman"/>
          <w:snapToGrid/>
          <w:color w:val="auto"/>
          <w:spacing w:val="-2"/>
          <w:szCs w:val="24"/>
          <w:lang w:eastAsia="zh-CN"/>
        </w:rPr>
        <w:t>现有工程</w:t>
      </w:r>
      <w:r>
        <w:rPr>
          <w:rFonts w:ascii="Times New Roman" w:hAnsi="Times New Roman" w:eastAsia="新宋体" w:cs="Times New Roman"/>
          <w:snapToGrid/>
          <w:color w:val="auto"/>
          <w:spacing w:val="-2"/>
          <w:szCs w:val="24"/>
          <w:lang w:eastAsia="zh-CN"/>
        </w:rPr>
        <w:t>以厂界外扩</w:t>
      </w:r>
      <w:r>
        <w:rPr>
          <w:rFonts w:hint="eastAsia" w:ascii="Times New Roman" w:hAnsi="Times New Roman" w:eastAsia="新宋体" w:cs="Times New Roman"/>
          <w:snapToGrid/>
          <w:color w:val="auto"/>
          <w:spacing w:val="-2"/>
          <w:szCs w:val="24"/>
          <w:lang w:eastAsia="zh-CN"/>
        </w:rPr>
        <w:t>65</w:t>
      </w:r>
      <w:r>
        <w:rPr>
          <w:rFonts w:ascii="Times New Roman" w:hAnsi="Times New Roman" w:eastAsia="新宋体" w:cs="Times New Roman"/>
          <w:snapToGrid/>
          <w:color w:val="auto"/>
          <w:spacing w:val="-2"/>
          <w:szCs w:val="24"/>
          <w:lang w:eastAsia="zh-CN"/>
        </w:rPr>
        <w:t>0m环境防护距离作为环境防护距离</w:t>
      </w:r>
      <w:r>
        <w:rPr>
          <w:rFonts w:hint="eastAsia" w:ascii="Times New Roman" w:hAnsi="Times New Roman" w:eastAsia="新宋体" w:cs="Times New Roman"/>
          <w:snapToGrid/>
          <w:color w:val="auto"/>
          <w:spacing w:val="-2"/>
          <w:szCs w:val="24"/>
          <w:lang w:eastAsia="zh-CN"/>
        </w:rPr>
        <w:t>，故本项目</w:t>
      </w:r>
      <w:r>
        <w:rPr>
          <w:rFonts w:ascii="Times New Roman" w:hAnsi="Times New Roman" w:eastAsia="新宋体" w:cs="Times New Roman"/>
          <w:snapToGrid/>
          <w:color w:val="auto"/>
          <w:spacing w:val="-2"/>
          <w:szCs w:val="24"/>
          <w:lang w:eastAsia="zh-CN"/>
        </w:rPr>
        <w:t>以厂界外扩</w:t>
      </w:r>
      <w:r>
        <w:rPr>
          <w:rFonts w:hint="eastAsia" w:ascii="Times New Roman" w:hAnsi="Times New Roman" w:eastAsia="新宋体" w:cs="Times New Roman"/>
          <w:snapToGrid/>
          <w:color w:val="auto"/>
          <w:spacing w:val="-2"/>
          <w:szCs w:val="24"/>
          <w:lang w:eastAsia="zh-CN"/>
        </w:rPr>
        <w:t>65</w:t>
      </w:r>
      <w:r>
        <w:rPr>
          <w:rFonts w:ascii="Times New Roman" w:hAnsi="Times New Roman" w:eastAsia="新宋体" w:cs="Times New Roman"/>
          <w:snapToGrid/>
          <w:color w:val="auto"/>
          <w:spacing w:val="-2"/>
          <w:szCs w:val="24"/>
          <w:lang w:eastAsia="zh-CN"/>
        </w:rPr>
        <w:t>0m环境防护距离作为</w:t>
      </w:r>
      <w:r>
        <w:rPr>
          <w:rFonts w:hint="eastAsia" w:ascii="Times New Roman" w:hAnsi="Times New Roman" w:eastAsia="新宋体" w:cs="Times New Roman"/>
          <w:snapToGrid/>
          <w:color w:val="auto"/>
          <w:spacing w:val="-2"/>
          <w:szCs w:val="24"/>
          <w:lang w:eastAsia="zh-CN"/>
        </w:rPr>
        <w:t>全厂</w:t>
      </w:r>
      <w:r>
        <w:rPr>
          <w:rFonts w:ascii="Times New Roman" w:hAnsi="Times New Roman" w:eastAsia="新宋体" w:cs="Times New Roman"/>
          <w:snapToGrid/>
          <w:color w:val="auto"/>
          <w:spacing w:val="-2"/>
          <w:szCs w:val="24"/>
          <w:lang w:eastAsia="zh-CN"/>
        </w:rPr>
        <w:t>环境防护距离。本次评价在环境防护距离包络线内不得有环境敏感点，且不允许规划医院、学校、居住小区等敏感目标。根据现场探勘，本项目环境防护距离内无敏感点，满足环境防护距离设置要求。</w:t>
      </w:r>
    </w:p>
    <w:p w14:paraId="463909F3">
      <w:pPr>
        <w:widowControl w:val="0"/>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ascii="Times New Roman" w:hAnsi="Times New Roman" w:cs="Times New Roman"/>
          <w:color w:val="000000" w:themeColor="text1"/>
          <w:szCs w:val="24"/>
          <w:lang w:eastAsia="zh-CN"/>
          <w14:textFill>
            <w14:solidFill>
              <w14:schemeClr w14:val="tx1"/>
            </w14:solidFill>
          </w14:textFill>
        </w:rPr>
        <w:t>综上，根据预测结果，拟建项目建成运行后废气对区域大气环境影响可接受。</w:t>
      </w:r>
    </w:p>
    <w:p w14:paraId="153F829A">
      <w:pPr>
        <w:widowControl w:val="0"/>
        <w:spacing w:line="360" w:lineRule="auto"/>
        <w:ind w:firstLine="482"/>
        <w:outlineLvl w:val="2"/>
        <w:rPr>
          <w:rFonts w:ascii="Times New Roman" w:hAnsi="Times New Roman" w:cs="Times New Roman"/>
          <w:b/>
          <w:bCs/>
          <w:color w:val="auto"/>
          <w:lang w:eastAsia="zh-CN"/>
        </w:rPr>
      </w:pPr>
      <w:bookmarkStart w:id="2898" w:name="_Toc175164419"/>
      <w:bookmarkStart w:id="2899" w:name="_Toc223425208"/>
      <w:bookmarkStart w:id="2900" w:name="_Toc176513155"/>
      <w:bookmarkStart w:id="2901" w:name="_Toc237508443"/>
      <w:bookmarkStart w:id="2902" w:name="_Toc231828731"/>
      <w:bookmarkStart w:id="2903" w:name="_Toc224674848"/>
      <w:bookmarkStart w:id="2904" w:name="_Toc236641978"/>
      <w:bookmarkStart w:id="2905" w:name="_Toc225784210"/>
      <w:bookmarkStart w:id="2906" w:name="_Toc221900990"/>
      <w:bookmarkStart w:id="2907" w:name="_Toc217662822"/>
      <w:bookmarkStart w:id="2908" w:name="_Toc218784434"/>
      <w:bookmarkStart w:id="2909" w:name="_Toc173743529"/>
      <w:bookmarkStart w:id="2910" w:name="_Toc5639"/>
      <w:bookmarkStart w:id="2911" w:name="_Toc203927152"/>
      <w:bookmarkStart w:id="2912" w:name="_Toc204515351"/>
      <w:bookmarkStart w:id="2913" w:name="_Toc178602500"/>
      <w:bookmarkStart w:id="2914" w:name="_Toc204448616"/>
      <w:r>
        <w:rPr>
          <w:rFonts w:ascii="Times New Roman" w:hAnsi="Times New Roman" w:cs="Times New Roman"/>
          <w:b/>
          <w:bCs/>
          <w:color w:val="auto"/>
          <w:lang w:eastAsia="zh-CN"/>
        </w:rPr>
        <w:t>11.4.2</w:t>
      </w:r>
      <w:r>
        <w:rPr>
          <w:rFonts w:hint="eastAsia" w:ascii="Times New Roman" w:hAnsi="Times New Roman" w:cs="Times New Roman"/>
          <w:b/>
          <w:bCs/>
          <w:color w:val="auto"/>
          <w:lang w:eastAsia="zh-CN"/>
        </w:rPr>
        <w:t xml:space="preserve"> </w:t>
      </w:r>
      <w:r>
        <w:rPr>
          <w:rFonts w:ascii="Times New Roman" w:hAnsi="Times New Roman" w:cs="Times New Roman"/>
          <w:b/>
          <w:bCs/>
          <w:color w:val="auto"/>
          <w:lang w:eastAsia="zh-CN"/>
        </w:rPr>
        <w:t>地表水环境影响分析结论</w:t>
      </w:r>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p>
    <w:p w14:paraId="408200D2">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eastAsia="新宋体" w:cs="Times New Roman"/>
          <w:color w:val="auto"/>
          <w:szCs w:val="24"/>
          <w:lang w:eastAsia="zh-CN"/>
        </w:rPr>
        <w:t>项目废水主要为</w:t>
      </w:r>
      <w:r>
        <w:rPr>
          <w:rFonts w:hint="eastAsia" w:ascii="Times New Roman" w:hAnsi="Times New Roman" w:eastAsia="新宋体" w:cs="Times New Roman"/>
          <w:color w:val="auto"/>
          <w:szCs w:val="24"/>
          <w:lang w:eastAsia="zh-CN"/>
        </w:rPr>
        <w:t>碱</w:t>
      </w:r>
      <w:r>
        <w:rPr>
          <w:rFonts w:ascii="Times New Roman" w:hAnsi="Times New Roman" w:eastAsia="新宋体" w:cs="Times New Roman"/>
          <w:color w:val="auto"/>
          <w:szCs w:val="24"/>
          <w:lang w:eastAsia="zh-CN"/>
        </w:rPr>
        <w:t>喷淋塔置换废水、地面清洁废水、循环冷却置换废水</w:t>
      </w:r>
      <w:r>
        <w:rPr>
          <w:rFonts w:hint="eastAsia" w:ascii="Times New Roman" w:hAnsi="Times New Roman" w:eastAsia="新宋体" w:cs="Times New Roman"/>
          <w:color w:val="auto"/>
          <w:szCs w:val="24"/>
          <w:lang w:eastAsia="zh-CN"/>
        </w:rPr>
        <w:t>、生活污水</w:t>
      </w:r>
      <w:r>
        <w:rPr>
          <w:rFonts w:ascii="Times New Roman" w:hAnsi="Times New Roman" w:eastAsia="新宋体" w:cs="Times New Roman"/>
          <w:color w:val="auto"/>
          <w:szCs w:val="24"/>
          <w:lang w:eastAsia="zh-CN"/>
        </w:rPr>
        <w:t>以及初期雨水等</w:t>
      </w:r>
      <w:r>
        <w:rPr>
          <w:rFonts w:hint="eastAsia" w:ascii="Times New Roman" w:hAnsi="Times New Roman" w:eastAsia="新宋体" w:cs="Times New Roman"/>
          <w:color w:val="auto"/>
          <w:szCs w:val="24"/>
          <w:lang w:eastAsia="zh-CN"/>
        </w:rPr>
        <w:t>。碱</w:t>
      </w:r>
      <w:r>
        <w:rPr>
          <w:rFonts w:ascii="Times New Roman" w:hAnsi="Times New Roman" w:eastAsia="新宋体" w:cs="Times New Roman"/>
          <w:color w:val="auto"/>
          <w:szCs w:val="24"/>
          <w:lang w:eastAsia="zh-CN"/>
        </w:rPr>
        <w:t>喷淋塔置换废水、</w:t>
      </w:r>
      <w:r>
        <w:rPr>
          <w:rFonts w:ascii="Times New Roman" w:hAnsi="Times New Roman" w:cs="Times New Roman"/>
          <w:color w:val="auto"/>
          <w:lang w:eastAsia="zh-CN"/>
        </w:rPr>
        <w:t>地面清洁废水</w:t>
      </w:r>
      <w:r>
        <w:rPr>
          <w:rFonts w:hint="eastAsia" w:ascii="Times New Roman" w:hAnsi="Times New Roman" w:cs="Times New Roman"/>
          <w:color w:val="auto"/>
          <w:lang w:eastAsia="zh-CN"/>
        </w:rPr>
        <w:t>依托现有厂区</w:t>
      </w:r>
      <w:r>
        <w:rPr>
          <w:rFonts w:ascii="Times New Roman" w:hAnsi="Times New Roman" w:cs="Times New Roman"/>
          <w:color w:val="auto"/>
          <w:lang w:eastAsia="zh-CN"/>
        </w:rPr>
        <w:t>污水处理站</w:t>
      </w:r>
      <w:r>
        <w:rPr>
          <w:rFonts w:hint="eastAsia" w:ascii="Times New Roman" w:hAnsi="Times New Roman" w:cs="Times New Roman"/>
          <w:color w:val="auto"/>
          <w:lang w:eastAsia="zh-CN"/>
        </w:rPr>
        <w:t>“</w:t>
      </w:r>
      <w:r>
        <w:rPr>
          <w:rFonts w:ascii="Times New Roman" w:hAnsi="Times New Roman" w:cs="Times New Roman"/>
          <w:color w:val="auto"/>
          <w:lang w:eastAsia="zh-CN"/>
        </w:rPr>
        <w:t>四级除氟反应+四级除氟沉淀</w:t>
      </w:r>
      <w:r>
        <w:rPr>
          <w:rFonts w:hint="eastAsia" w:ascii="Times New Roman" w:hAnsi="Times New Roman" w:cs="Times New Roman"/>
          <w:color w:val="auto"/>
          <w:lang w:eastAsia="zh-CN"/>
        </w:rPr>
        <w:t>”</w:t>
      </w:r>
      <w:r>
        <w:rPr>
          <w:rFonts w:ascii="Times New Roman" w:hAnsi="Times New Roman" w:cs="Times New Roman"/>
          <w:color w:val="auto"/>
          <w:lang w:eastAsia="zh-CN"/>
        </w:rPr>
        <w:t>处理后，</w:t>
      </w:r>
      <w:r>
        <w:rPr>
          <w:rFonts w:hint="eastAsia" w:ascii="Times New Roman" w:hAnsi="Times New Roman" w:cs="Times New Roman"/>
          <w:color w:val="auto"/>
          <w:lang w:eastAsia="zh-CN"/>
        </w:rPr>
        <w:t>与</w:t>
      </w:r>
      <w:r>
        <w:rPr>
          <w:rFonts w:ascii="Times New Roman" w:hAnsi="Times New Roman" w:eastAsia="新宋体" w:cs="Times New Roman"/>
          <w:color w:val="auto"/>
          <w:szCs w:val="24"/>
          <w:lang w:eastAsia="zh-CN"/>
        </w:rPr>
        <w:t>循环冷却置换废水</w:t>
      </w:r>
      <w:r>
        <w:rPr>
          <w:rFonts w:hint="eastAsia" w:ascii="Times New Roman" w:hAnsi="Times New Roman" w:eastAsia="新宋体" w:cs="Times New Roman"/>
          <w:color w:val="auto"/>
          <w:szCs w:val="24"/>
          <w:lang w:eastAsia="zh-CN"/>
        </w:rPr>
        <w:t>、生活污水一同</w:t>
      </w:r>
      <w:r>
        <w:rPr>
          <w:rFonts w:ascii="Times New Roman" w:hAnsi="Times New Roman" w:cs="Times New Roman"/>
          <w:color w:val="auto"/>
          <w:lang w:eastAsia="zh-CN"/>
        </w:rPr>
        <w:t>排入园区污水管网，进入沫河口污水处理厂处理达标排放</w:t>
      </w:r>
      <w:r>
        <w:rPr>
          <w:rFonts w:hint="eastAsia" w:ascii="Times New Roman" w:hAnsi="Times New Roman" w:cs="Times New Roman"/>
          <w:color w:val="auto"/>
          <w:lang w:eastAsia="zh-CN"/>
        </w:rPr>
        <w:t>，项目废水排放满足</w:t>
      </w:r>
      <w:r>
        <w:rPr>
          <w:rFonts w:ascii="Times New Roman" w:hAnsi="Times New Roman" w:cs="Times New Roman"/>
          <w:color w:val="auto"/>
          <w:lang w:eastAsia="zh-CN"/>
        </w:rPr>
        <w:t>沫河口污水处理厂接管标准以及</w:t>
      </w:r>
      <w:r>
        <w:rPr>
          <w:rFonts w:hint="eastAsia" w:ascii="Times New Roman" w:hAnsi="Times New Roman" w:cs="Times New Roman"/>
          <w:color w:val="auto"/>
          <w:lang w:eastAsia="zh-CN"/>
        </w:rPr>
        <w:t>《无机化学工业污染物排放标准》（GB31573-2015）、</w:t>
      </w:r>
      <w:r>
        <w:rPr>
          <w:rFonts w:ascii="Times New Roman" w:hAnsi="Times New Roman" w:cs="Times New Roman"/>
          <w:color w:val="auto"/>
          <w:lang w:eastAsia="zh-CN"/>
        </w:rPr>
        <w:t>《电子工业水污染物排放标准》（GB39731-2020）排放限值要求，沫河口污水处理厂尾水</w:t>
      </w:r>
      <w:r>
        <w:rPr>
          <w:rFonts w:hint="eastAsia" w:ascii="Times New Roman" w:hAnsi="Times New Roman" w:cs="Times New Roman"/>
          <w:color w:val="auto"/>
          <w:lang w:eastAsia="zh-CN"/>
        </w:rPr>
        <w:t>处理</w:t>
      </w:r>
      <w:r>
        <w:rPr>
          <w:rFonts w:ascii="Times New Roman" w:hAnsi="Times New Roman" w:cs="Times New Roman"/>
          <w:color w:val="auto"/>
          <w:lang w:eastAsia="zh-CN"/>
        </w:rPr>
        <w:t>达到《城镇污水处理厂污染物排放标准》（GB18918-2002）中一级 A 标准后，排入</w:t>
      </w:r>
      <w:r>
        <w:rPr>
          <w:rFonts w:ascii="Times New Roman" w:hAnsi="Times New Roman" w:cs="Times New Roman"/>
          <w:color w:val="auto"/>
          <w:szCs w:val="24"/>
          <w:lang w:eastAsia="zh-CN"/>
        </w:rPr>
        <w:t>三铺大沟</w:t>
      </w:r>
      <w:r>
        <w:rPr>
          <w:rFonts w:ascii="Times New Roman" w:hAnsi="Times New Roman" w:cs="Times New Roman"/>
          <w:color w:val="auto"/>
          <w:lang w:eastAsia="zh-CN"/>
        </w:rPr>
        <w:t>，最终汇入淮河</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项目建设对区域地表水环境造成的不利影响较小。</w:t>
      </w:r>
    </w:p>
    <w:p w14:paraId="56665EF1">
      <w:pPr>
        <w:widowControl w:val="0"/>
        <w:spacing w:line="360" w:lineRule="auto"/>
        <w:ind w:firstLine="482"/>
        <w:outlineLvl w:val="2"/>
        <w:rPr>
          <w:rFonts w:ascii="Times New Roman" w:hAnsi="Times New Roman" w:cs="Times New Roman"/>
          <w:b/>
          <w:bCs/>
          <w:color w:val="auto"/>
          <w:lang w:eastAsia="zh-CN"/>
        </w:rPr>
      </w:pPr>
      <w:bookmarkStart w:id="2915" w:name="_Toc173743530"/>
      <w:bookmarkStart w:id="2916" w:name="_Toc218784435"/>
      <w:bookmarkStart w:id="2917" w:name="_Toc204448617"/>
      <w:bookmarkStart w:id="2918" w:name="_Toc175164420"/>
      <w:bookmarkStart w:id="2919" w:name="_Toc237508444"/>
      <w:bookmarkStart w:id="2920" w:name="_Toc221900991"/>
      <w:bookmarkStart w:id="2921" w:name="_Toc176513156"/>
      <w:bookmarkStart w:id="2922" w:name="_Toc15165"/>
      <w:bookmarkStart w:id="2923" w:name="_Toc203927153"/>
      <w:bookmarkStart w:id="2924" w:name="_Toc225784211"/>
      <w:bookmarkStart w:id="2925" w:name="_Toc217662823"/>
      <w:bookmarkStart w:id="2926" w:name="_Toc231828732"/>
      <w:bookmarkStart w:id="2927" w:name="_Toc223425209"/>
      <w:bookmarkStart w:id="2928" w:name="_Toc224674849"/>
      <w:bookmarkStart w:id="2929" w:name="_Toc236641979"/>
      <w:bookmarkStart w:id="2930" w:name="_Toc204515352"/>
      <w:bookmarkStart w:id="2931" w:name="_Toc178602501"/>
      <w:r>
        <w:rPr>
          <w:rFonts w:ascii="Times New Roman" w:hAnsi="Times New Roman" w:cs="Times New Roman"/>
          <w:b/>
          <w:bCs/>
          <w:color w:val="auto"/>
          <w:lang w:eastAsia="zh-CN"/>
        </w:rPr>
        <w:t>11.4.3 厂界噪声环境影响分析结论</w:t>
      </w:r>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p>
    <w:p w14:paraId="3055178C">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预测表明，在采取相应的隔声降噪措施处理后，本项目新增设备对各向厂界的噪声贡献值较小，四周厂界噪声预测结果均能够满《工业企业厂界环境噪声排放标准》</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GB12348-2008</w:t>
      </w:r>
      <w:r>
        <w:rPr>
          <w:rFonts w:hint="eastAsia" w:ascii="Times New Roman" w:hAnsi="Times New Roman" w:cs="Times New Roman"/>
          <w:color w:val="auto"/>
          <w:szCs w:val="24"/>
          <w:lang w:eastAsia="zh-CN"/>
        </w:rPr>
        <w:t>）</w:t>
      </w:r>
      <w:r>
        <w:rPr>
          <w:rFonts w:ascii="Times New Roman" w:hAnsi="Times New Roman" w:cs="Times New Roman"/>
          <w:color w:val="auto"/>
          <w:szCs w:val="24"/>
          <w:lang w:eastAsia="zh-CN"/>
        </w:rPr>
        <w:t>中3类标准限值要求。</w:t>
      </w:r>
    </w:p>
    <w:p w14:paraId="4B752116">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因此，本评价认为项目生产过程中的噪声对区域声环境造成影响较小。</w:t>
      </w:r>
    </w:p>
    <w:p w14:paraId="678330EA">
      <w:pPr>
        <w:widowControl w:val="0"/>
        <w:spacing w:line="360" w:lineRule="auto"/>
        <w:ind w:firstLine="482"/>
        <w:outlineLvl w:val="2"/>
        <w:rPr>
          <w:rFonts w:ascii="Times New Roman" w:hAnsi="Times New Roman" w:cs="Times New Roman"/>
          <w:b/>
          <w:bCs/>
          <w:color w:val="auto"/>
          <w:lang w:eastAsia="zh-CN"/>
        </w:rPr>
      </w:pPr>
      <w:bookmarkStart w:id="2932" w:name="_Toc6262"/>
      <w:bookmarkStart w:id="2933" w:name="_Toc224674850"/>
      <w:bookmarkStart w:id="2934" w:name="_Toc225784212"/>
      <w:bookmarkStart w:id="2935" w:name="_Toc173743531"/>
      <w:bookmarkStart w:id="2936" w:name="_Toc175164421"/>
      <w:bookmarkStart w:id="2937" w:name="_Toc236641980"/>
      <w:bookmarkStart w:id="2938" w:name="_Toc203927154"/>
      <w:bookmarkStart w:id="2939" w:name="_Toc176513157"/>
      <w:bookmarkStart w:id="2940" w:name="_Toc221900992"/>
      <w:bookmarkStart w:id="2941" w:name="_Toc237508445"/>
      <w:bookmarkStart w:id="2942" w:name="_Toc217662824"/>
      <w:bookmarkStart w:id="2943" w:name="_Toc231828733"/>
      <w:bookmarkStart w:id="2944" w:name="_Toc223425210"/>
      <w:bookmarkStart w:id="2945" w:name="_Toc204448618"/>
      <w:bookmarkStart w:id="2946" w:name="_Toc204515353"/>
      <w:bookmarkStart w:id="2947" w:name="_Toc178602502"/>
      <w:bookmarkStart w:id="2948" w:name="_Toc218784436"/>
      <w:r>
        <w:rPr>
          <w:rFonts w:ascii="Times New Roman" w:hAnsi="Times New Roman" w:cs="Times New Roman"/>
          <w:b/>
          <w:bCs/>
          <w:color w:val="auto"/>
          <w:lang w:eastAsia="zh-CN"/>
        </w:rPr>
        <w:t>11.4.4 固体废物环境影响分析结论</w:t>
      </w:r>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p>
    <w:p w14:paraId="2EF87EBD">
      <w:pPr>
        <w:widowControl w:val="0"/>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本项目危险废物按照相关贮存处置要求能够得到妥善处理，不会对环境产生直接影响。</w:t>
      </w:r>
    </w:p>
    <w:p w14:paraId="0E22EA8F">
      <w:pPr>
        <w:widowControl w:val="0"/>
        <w:spacing w:line="360" w:lineRule="auto"/>
        <w:ind w:firstLine="482"/>
        <w:outlineLvl w:val="2"/>
        <w:rPr>
          <w:rFonts w:ascii="Times New Roman" w:hAnsi="Times New Roman" w:cs="Times New Roman"/>
          <w:b/>
          <w:bCs/>
          <w:color w:val="auto"/>
          <w:lang w:eastAsia="zh-CN"/>
        </w:rPr>
      </w:pPr>
      <w:bookmarkStart w:id="2949" w:name="_Toc237508446"/>
      <w:bookmarkStart w:id="2950" w:name="_Toc178602503"/>
      <w:bookmarkStart w:id="2951" w:name="_Toc217662825"/>
      <w:bookmarkStart w:id="2952" w:name="_Toc231828734"/>
      <w:bookmarkStart w:id="2953" w:name="_Toc173743532"/>
      <w:bookmarkStart w:id="2954" w:name="_Toc203927155"/>
      <w:bookmarkStart w:id="2955" w:name="_Toc225784213"/>
      <w:bookmarkStart w:id="2956" w:name="_Toc176513158"/>
      <w:bookmarkStart w:id="2957" w:name="_Toc175164422"/>
      <w:bookmarkStart w:id="2958" w:name="_Toc30697"/>
      <w:bookmarkStart w:id="2959" w:name="_Toc224674851"/>
      <w:bookmarkStart w:id="2960" w:name="_Toc218784437"/>
      <w:bookmarkStart w:id="2961" w:name="_Toc204448619"/>
      <w:bookmarkStart w:id="2962" w:name="_Toc236641981"/>
      <w:bookmarkStart w:id="2963" w:name="_Toc204515354"/>
      <w:bookmarkStart w:id="2964" w:name="_Toc221900993"/>
      <w:bookmarkStart w:id="2965" w:name="_Toc223425211"/>
      <w:r>
        <w:rPr>
          <w:rFonts w:ascii="Times New Roman" w:hAnsi="Times New Roman" w:cs="Times New Roman"/>
          <w:b/>
          <w:bCs/>
          <w:color w:val="auto"/>
          <w:lang w:eastAsia="zh-CN"/>
        </w:rPr>
        <w:t>11.4.5 地下水环境影响分析结论</w:t>
      </w:r>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p>
    <w:p w14:paraId="6C8D37E1">
      <w:pPr>
        <w:widowControl w:val="0"/>
        <w:spacing w:line="360" w:lineRule="auto"/>
        <w:ind w:firstLine="480" w:firstLineChars="200"/>
        <w:jc w:val="both"/>
        <w:rPr>
          <w:rFonts w:ascii="Times New Roman" w:hAnsi="Times New Roman" w:cs="Times New Roman"/>
          <w:color w:val="auto"/>
          <w:szCs w:val="24"/>
          <w:lang w:eastAsia="zh-CN"/>
        </w:rPr>
      </w:pPr>
      <w:bookmarkStart w:id="2966" w:name="_Toc6954"/>
      <w:r>
        <w:rPr>
          <w:rFonts w:ascii="Times New Roman" w:hAnsi="Times New Roman" w:cs="Times New Roman"/>
          <w:color w:val="auto"/>
          <w:szCs w:val="24"/>
          <w:lang w:eastAsia="zh-CN"/>
        </w:rPr>
        <w:t>在按分区防渗要求落实不同区域的防渗措施；加强区域地下水监测的基础上，可以最大程度避免非正常事故的发生。正常工况下，项目实施区域地下水环境造成的不利影响较小。</w:t>
      </w:r>
    </w:p>
    <w:p w14:paraId="00A59AF8">
      <w:pPr>
        <w:widowControl w:val="0"/>
        <w:spacing w:line="360" w:lineRule="auto"/>
        <w:ind w:firstLine="482"/>
        <w:outlineLvl w:val="2"/>
        <w:rPr>
          <w:rFonts w:ascii="Times New Roman" w:hAnsi="Times New Roman" w:cs="Times New Roman"/>
          <w:b/>
          <w:bCs/>
          <w:color w:val="auto"/>
          <w:lang w:eastAsia="zh-CN"/>
        </w:rPr>
      </w:pPr>
      <w:bookmarkStart w:id="2967" w:name="_Toc223425212"/>
      <w:bookmarkStart w:id="2968" w:name="_Toc221900994"/>
      <w:bookmarkStart w:id="2969" w:name="_Toc225784214"/>
      <w:bookmarkStart w:id="2970" w:name="_Toc173743533"/>
      <w:bookmarkStart w:id="2971" w:name="_Toc217662826"/>
      <w:bookmarkStart w:id="2972" w:name="_Toc236641982"/>
      <w:bookmarkStart w:id="2973" w:name="_Toc176513159"/>
      <w:bookmarkStart w:id="2974" w:name="_Toc175164423"/>
      <w:bookmarkStart w:id="2975" w:name="_Toc237508447"/>
      <w:bookmarkStart w:id="2976" w:name="_Toc224674852"/>
      <w:bookmarkStart w:id="2977" w:name="_Toc231828735"/>
      <w:bookmarkStart w:id="2978" w:name="_Toc204448620"/>
      <w:bookmarkStart w:id="2979" w:name="_Toc204515355"/>
      <w:bookmarkStart w:id="2980" w:name="_Toc218784438"/>
      <w:bookmarkStart w:id="2981" w:name="_Toc203927156"/>
      <w:bookmarkStart w:id="2982" w:name="_Toc178602504"/>
      <w:r>
        <w:rPr>
          <w:rFonts w:ascii="Times New Roman" w:hAnsi="Times New Roman" w:cs="Times New Roman"/>
          <w:b/>
          <w:bCs/>
          <w:color w:val="auto"/>
          <w:lang w:eastAsia="zh-CN"/>
        </w:rPr>
        <w:t>11.4.6 土壤环境影响分析结论</w:t>
      </w:r>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p>
    <w:p w14:paraId="6C36C2AE">
      <w:pPr>
        <w:widowControl w:val="0"/>
        <w:spacing w:line="360" w:lineRule="auto"/>
        <w:ind w:firstLine="480" w:firstLineChars="200"/>
        <w:rPr>
          <w:rFonts w:ascii="Times New Roman" w:hAnsi="Times New Roman" w:cs="Times New Roman"/>
          <w:color w:val="auto"/>
          <w:szCs w:val="24"/>
          <w:lang w:eastAsia="zh-CN"/>
        </w:rPr>
      </w:pPr>
      <w:r>
        <w:rPr>
          <w:rFonts w:ascii="Times New Roman" w:hAnsi="Times New Roman" w:cs="Times New Roman"/>
          <w:color w:val="auto"/>
          <w:szCs w:val="24"/>
          <w:lang w:eastAsia="zh-CN"/>
        </w:rPr>
        <w:t>在按分区防渗要求落实不同区域的防渗措施；厂界四周加强吸附性植被种植；加强区域土壤跟踪监测的基础上，可以最大程度避免非正常土壤事故的发生。正常工况下，项目实施区域土壤环境造成的不利影响较小。</w:t>
      </w:r>
    </w:p>
    <w:p w14:paraId="0BD77BF6">
      <w:pPr>
        <w:widowControl w:val="0"/>
        <w:spacing w:line="360" w:lineRule="auto"/>
        <w:ind w:firstLine="482"/>
        <w:outlineLvl w:val="2"/>
        <w:rPr>
          <w:rFonts w:ascii="Times New Roman" w:hAnsi="Times New Roman" w:cs="Times New Roman"/>
          <w:b/>
          <w:bCs/>
          <w:color w:val="auto"/>
          <w:lang w:eastAsia="zh-CN"/>
        </w:rPr>
      </w:pPr>
      <w:bookmarkStart w:id="2983" w:name="_Toc224674853"/>
      <w:bookmarkStart w:id="2984" w:name="_Toc203927157"/>
      <w:bookmarkStart w:id="2985" w:name="_Toc231828736"/>
      <w:bookmarkStart w:id="2986" w:name="_Toc237508448"/>
      <w:bookmarkStart w:id="2987" w:name="_Toc14283"/>
      <w:bookmarkStart w:id="2988" w:name="_Toc176513160"/>
      <w:bookmarkStart w:id="2989" w:name="_Toc225784215"/>
      <w:bookmarkStart w:id="2990" w:name="_Toc204515356"/>
      <w:bookmarkStart w:id="2991" w:name="_Toc223425213"/>
      <w:bookmarkStart w:id="2992" w:name="_Toc218784439"/>
      <w:bookmarkStart w:id="2993" w:name="_Toc221900995"/>
      <w:bookmarkStart w:id="2994" w:name="_Toc236641983"/>
      <w:bookmarkStart w:id="2995" w:name="_Toc173743534"/>
      <w:bookmarkStart w:id="2996" w:name="_Toc204448621"/>
      <w:bookmarkStart w:id="2997" w:name="_Toc178602505"/>
      <w:bookmarkStart w:id="2998" w:name="_Toc217662827"/>
      <w:bookmarkStart w:id="2999" w:name="_Toc175164424"/>
      <w:r>
        <w:rPr>
          <w:rFonts w:ascii="Times New Roman" w:hAnsi="Times New Roman" w:cs="Times New Roman"/>
          <w:b/>
          <w:bCs/>
          <w:color w:val="auto"/>
          <w:lang w:eastAsia="zh-CN"/>
        </w:rPr>
        <w:t>11.4.7 环境风险影响分析</w:t>
      </w:r>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p>
    <w:p w14:paraId="64BB36DA">
      <w:pPr>
        <w:widowControl w:val="0"/>
        <w:spacing w:line="360" w:lineRule="auto"/>
        <w:ind w:firstLine="480" w:firstLineChars="200"/>
        <w:rPr>
          <w:rFonts w:ascii="Times New Roman" w:hAnsi="Times New Roman" w:cs="Times New Roman"/>
          <w:color w:val="auto"/>
          <w:szCs w:val="24"/>
          <w:lang w:eastAsia="zh-CN"/>
        </w:rPr>
      </w:pPr>
      <w:bookmarkStart w:id="3000" w:name="_Toc14679"/>
      <w:bookmarkStart w:id="3001" w:name="_Toc11561"/>
      <w:r>
        <w:rPr>
          <w:rFonts w:ascii="Times New Roman" w:hAnsi="Times New Roman" w:cs="Times New Roman"/>
          <w:color w:val="auto"/>
          <w:szCs w:val="24"/>
          <w:lang w:eastAsia="zh-CN"/>
        </w:rPr>
        <w:t>（1）项目建成后危险物质主要为</w:t>
      </w:r>
      <w:r>
        <w:rPr>
          <w:rFonts w:hint="eastAsia" w:ascii="Times New Roman" w:hAnsi="Times New Roman" w:cs="Times New Roman"/>
          <w:color w:val="auto"/>
          <w:szCs w:val="24"/>
          <w:lang w:eastAsia="zh-CN"/>
        </w:rPr>
        <w:t>实验室</w:t>
      </w:r>
      <w:r>
        <w:rPr>
          <w:rFonts w:ascii="Times New Roman" w:hAnsi="Times New Roman" w:cs="Times New Roman"/>
          <w:color w:val="auto"/>
          <w:szCs w:val="24"/>
          <w:lang w:eastAsia="zh-CN"/>
        </w:rPr>
        <w:t>废液</w:t>
      </w:r>
      <w:r>
        <w:rPr>
          <w:rFonts w:hint="eastAsia" w:ascii="Times New Roman" w:hAnsi="Times New Roman" w:cs="Times New Roman"/>
          <w:color w:val="auto"/>
          <w:szCs w:val="24"/>
          <w:lang w:eastAsia="zh-CN"/>
        </w:rPr>
        <w:t>、废机油</w:t>
      </w:r>
      <w:r>
        <w:rPr>
          <w:rFonts w:ascii="Times New Roman" w:hAnsi="Times New Roman" w:cs="Times New Roman"/>
          <w:color w:val="auto"/>
          <w:szCs w:val="24"/>
          <w:lang w:eastAsia="zh-CN"/>
        </w:rPr>
        <w:t>。</w:t>
      </w:r>
      <w:bookmarkEnd w:id="3000"/>
    </w:p>
    <w:p w14:paraId="7D3422A8">
      <w:pPr>
        <w:widowControl w:val="0"/>
        <w:spacing w:line="360" w:lineRule="auto"/>
        <w:ind w:firstLine="480" w:firstLineChars="200"/>
        <w:rPr>
          <w:rFonts w:ascii="Times New Roman" w:hAnsi="Times New Roman" w:cs="Times New Roman"/>
          <w:color w:val="auto"/>
          <w:szCs w:val="24"/>
          <w:lang w:eastAsia="zh-CN"/>
        </w:rPr>
      </w:pPr>
      <w:bookmarkStart w:id="3002" w:name="_Toc29609"/>
      <w:r>
        <w:rPr>
          <w:rFonts w:ascii="Times New Roman" w:hAnsi="Times New Roman" w:cs="Times New Roman"/>
          <w:color w:val="auto"/>
          <w:szCs w:val="24"/>
          <w:lang w:eastAsia="zh-CN"/>
        </w:rPr>
        <w:t>（2）结合总平面布置，按照主体工程、贮运工程、管线工程和环保工程，将项目厂区危险单元划分如下：</w:t>
      </w:r>
      <w:r>
        <w:rPr>
          <w:rFonts w:hint="eastAsia" w:ascii="Times New Roman" w:hAnsi="Times New Roman" w:cs="Times New Roman"/>
          <w:color w:val="auto"/>
          <w:lang w:eastAsia="zh-CN"/>
        </w:rPr>
        <w:t>综合</w:t>
      </w:r>
      <w:r>
        <w:rPr>
          <w:rFonts w:ascii="Times New Roman" w:hAnsi="Times New Roman" w:cs="Times New Roman"/>
          <w:color w:val="auto"/>
          <w:lang w:eastAsia="zh-CN"/>
        </w:rPr>
        <w:t>车间、</w:t>
      </w:r>
      <w:r>
        <w:rPr>
          <w:rFonts w:hint="eastAsia" w:ascii="Times New Roman" w:hAnsi="Times New Roman" w:cs="Times New Roman"/>
          <w:color w:val="auto"/>
          <w:lang w:eastAsia="zh-CN"/>
        </w:rPr>
        <w:t>刻蚀液混配车间、无水氟化氢库房、丁类仓库、原料及产品罐区、戊类罐区二</w:t>
      </w:r>
      <w:r>
        <w:rPr>
          <w:rFonts w:ascii="Times New Roman" w:hAnsi="Times New Roman" w:cs="Times New Roman"/>
          <w:color w:val="auto"/>
          <w:lang w:eastAsia="zh-CN"/>
        </w:rPr>
        <w:t>、危废库</w:t>
      </w:r>
      <w:r>
        <w:rPr>
          <w:rFonts w:ascii="Times New Roman" w:hAnsi="Times New Roman" w:cs="Times New Roman"/>
          <w:color w:val="auto"/>
          <w:szCs w:val="24"/>
          <w:lang w:eastAsia="zh-CN"/>
        </w:rPr>
        <w:t>等。</w:t>
      </w:r>
      <w:bookmarkEnd w:id="3002"/>
    </w:p>
    <w:p w14:paraId="6AB0F05A">
      <w:pPr>
        <w:widowControl w:val="0"/>
        <w:spacing w:line="360" w:lineRule="auto"/>
        <w:ind w:firstLine="480" w:firstLineChars="200"/>
        <w:jc w:val="both"/>
        <w:rPr>
          <w:rFonts w:ascii="Times New Roman" w:hAnsi="Times New Roman" w:cs="Times New Roman"/>
          <w:color w:val="auto"/>
          <w:szCs w:val="24"/>
          <w:lang w:eastAsia="zh-CN"/>
        </w:rPr>
      </w:pPr>
      <w:bookmarkStart w:id="3003" w:name="_Toc10030"/>
      <w:r>
        <w:rPr>
          <w:rFonts w:ascii="Times New Roman" w:hAnsi="Times New Roman" w:cs="Times New Roman"/>
          <w:color w:val="auto"/>
          <w:szCs w:val="24"/>
          <w:lang w:eastAsia="zh-CN"/>
        </w:rPr>
        <w:t>（3）本次评价风险事故类型：</w:t>
      </w:r>
    </w:p>
    <w:p w14:paraId="0362E9C3">
      <w:pPr>
        <w:widowControl w:val="0"/>
        <w:spacing w:line="360" w:lineRule="auto"/>
        <w:ind w:firstLine="480" w:firstLineChars="200"/>
        <w:jc w:val="both"/>
        <w:rPr>
          <w:rFonts w:ascii="Times New Roman" w:hAnsi="Times New Roman" w:cs="Times New Roman"/>
          <w:snapToGrid/>
          <w:color w:val="000000" w:themeColor="text1"/>
          <w:spacing w:val="-2"/>
          <w:szCs w:val="24"/>
          <w:lang w:eastAsia="zh-CN"/>
          <w14:textFill>
            <w14:solidFill>
              <w14:schemeClr w14:val="tx1"/>
            </w14:solidFill>
          </w14:textFill>
        </w:rPr>
      </w:pPr>
      <w:r>
        <w:rPr>
          <w:rFonts w:ascii="Times New Roman" w:hAnsi="Times New Roman" w:cs="Times New Roman"/>
          <w:color w:val="000000" w:themeColor="text1"/>
          <w:lang w:eastAsia="zh-CN"/>
          <w14:textFill>
            <w14:solidFill>
              <w14:schemeClr w14:val="tx1"/>
            </w14:solidFill>
          </w14:textFill>
        </w:rPr>
        <w:fldChar w:fldCharType="begin"/>
      </w:r>
      <w:r>
        <w:rPr>
          <w:rFonts w:ascii="Times New Roman" w:hAnsi="Times New Roman" w:cs="Times New Roman"/>
          <w:color w:val="000000" w:themeColor="text1"/>
          <w:lang w:eastAsia="zh-CN"/>
          <w14:textFill>
            <w14:solidFill>
              <w14:schemeClr w14:val="tx1"/>
            </w14:solidFill>
          </w14:textFill>
        </w:rPr>
        <w:instrText xml:space="preserve"> </w:instrText>
      </w:r>
      <w:r>
        <w:rPr>
          <w:rFonts w:hint="eastAsia" w:ascii="Times New Roman" w:hAnsi="Times New Roman" w:cs="Times New Roman"/>
          <w:color w:val="000000" w:themeColor="text1"/>
          <w:lang w:eastAsia="zh-CN"/>
          <w14:textFill>
            <w14:solidFill>
              <w14:schemeClr w14:val="tx1"/>
            </w14:solidFill>
          </w14:textFill>
        </w:rPr>
        <w:instrText xml:space="preserve">= 1 \* GB3</w:instrText>
      </w:r>
      <w:r>
        <w:rPr>
          <w:rFonts w:ascii="Times New Roman" w:hAnsi="Times New Roman" w:cs="Times New Roman"/>
          <w:color w:val="000000" w:themeColor="text1"/>
          <w:lang w:eastAsia="zh-CN"/>
          <w14:textFill>
            <w14:solidFill>
              <w14:schemeClr w14:val="tx1"/>
            </w14:solidFill>
          </w14:textFill>
        </w:rPr>
        <w:instrText xml:space="preserve"> </w:instrText>
      </w:r>
      <w:r>
        <w:rPr>
          <w:rFonts w:ascii="Times New Roman" w:hAnsi="Times New Roman" w:cs="Times New Roman"/>
          <w:color w:val="000000" w:themeColor="text1"/>
          <w:lang w:eastAsia="zh-CN"/>
          <w14:textFill>
            <w14:solidFill>
              <w14:schemeClr w14:val="tx1"/>
            </w14:solidFill>
          </w14:textFill>
        </w:rPr>
        <w:fldChar w:fldCharType="separate"/>
      </w:r>
      <w:r>
        <w:rPr>
          <w:rFonts w:hint="eastAsia" w:ascii="Times New Roman" w:hAnsi="Times New Roman" w:cs="Times New Roman"/>
          <w:color w:val="000000" w:themeColor="text1"/>
          <w:lang w:eastAsia="zh-CN"/>
          <w14:textFill>
            <w14:solidFill>
              <w14:schemeClr w14:val="tx1"/>
            </w14:solidFill>
          </w14:textFill>
        </w:rPr>
        <w:t>①</w:t>
      </w:r>
      <w:r>
        <w:rPr>
          <w:rFonts w:ascii="Times New Roman" w:hAnsi="Times New Roman" w:cs="Times New Roman"/>
          <w:color w:val="000000" w:themeColor="text1"/>
          <w:lang w:eastAsia="zh-CN"/>
          <w14:textFill>
            <w14:solidFill>
              <w14:schemeClr w14:val="tx1"/>
            </w14:solidFill>
          </w14:textFill>
        </w:rPr>
        <w:fldChar w:fldCharType="end"/>
      </w:r>
      <w:r>
        <w:rPr>
          <w:rFonts w:hint="eastAsia" w:ascii="Times New Roman" w:hAnsi="Times New Roman" w:cs="Times New Roman"/>
          <w:color w:val="000000" w:themeColor="text1"/>
          <w:lang w:eastAsia="zh-CN"/>
          <w14:textFill>
            <w14:solidFill>
              <w14:schemeClr w14:val="tx1"/>
            </w14:solidFill>
          </w14:textFill>
        </w:rPr>
        <w:t>戊类罐区二化学纯氢氟酸储罐泄漏</w:t>
      </w:r>
      <w:r>
        <w:rPr>
          <w:rFonts w:hint="eastAsia" w:ascii="Times New Roman" w:hAnsi="Times New Roman" w:cs="Times New Roman"/>
          <w:snapToGrid/>
          <w:color w:val="000000" w:themeColor="text1"/>
          <w:spacing w:val="-2"/>
          <w:szCs w:val="24"/>
          <w:lang w:eastAsia="zh-CN"/>
          <w14:textFill>
            <w14:solidFill>
              <w14:schemeClr w14:val="tx1"/>
            </w14:solidFill>
          </w14:textFill>
        </w:rPr>
        <w:t>；</w:t>
      </w:r>
      <w:r>
        <w:rPr>
          <w:rFonts w:hint="eastAsia" w:ascii="Times New Roman" w:hAnsi="Times New Roman" w:cs="Times New Roman"/>
          <w:color w:val="000000" w:themeColor="text1"/>
          <w:lang w:eastAsia="zh-CN"/>
          <w14:textFill>
            <w14:solidFill>
              <w14:schemeClr w14:val="tx1"/>
            </w14:solidFill>
          </w14:textFill>
        </w:rPr>
        <w:t>化学纯氢氟酸储罐泄漏</w:t>
      </w:r>
      <w:r>
        <w:rPr>
          <w:rFonts w:hint="eastAsia" w:ascii="Times New Roman" w:hAnsi="Times New Roman" w:cs="Times New Roman"/>
          <w:snapToGrid/>
          <w:color w:val="000000" w:themeColor="text1"/>
          <w:spacing w:val="-2"/>
          <w:szCs w:val="24"/>
          <w:lang w:eastAsia="zh-CN"/>
          <w14:textFill>
            <w14:solidFill>
              <w14:schemeClr w14:val="tx1"/>
            </w14:solidFill>
          </w14:textFill>
        </w:rPr>
        <w:t>与管道连接处破裂，泄漏至围堰形成液池，化学纯氢氟酸挥发至大气环境造成环境风险事故；</w:t>
      </w:r>
    </w:p>
    <w:p w14:paraId="54D4CD72">
      <w:pPr>
        <w:widowControl w:val="0"/>
        <w:spacing w:line="360" w:lineRule="auto"/>
        <w:ind w:firstLine="472" w:firstLineChars="200"/>
        <w:jc w:val="both"/>
        <w:rPr>
          <w:rFonts w:ascii="Times New Roman" w:hAnsi="Times New Roman" w:cs="Times New Roman"/>
          <w:snapToGrid/>
          <w:color w:val="000000" w:themeColor="text1"/>
          <w:spacing w:val="-2"/>
          <w:szCs w:val="24"/>
          <w:lang w:eastAsia="zh-CN"/>
          <w14:textFill>
            <w14:solidFill>
              <w14:schemeClr w14:val="tx1"/>
            </w14:solidFill>
          </w14:textFill>
        </w:rPr>
      </w:pPr>
      <w:r>
        <w:rPr>
          <w:rFonts w:hint="eastAsia" w:ascii="Times New Roman" w:hAnsi="Times New Roman" w:cs="Times New Roman"/>
          <w:snapToGrid/>
          <w:color w:val="000000" w:themeColor="text1"/>
          <w:spacing w:val="-2"/>
          <w:szCs w:val="24"/>
          <w:lang w:eastAsia="zh-CN"/>
          <w14:textFill>
            <w14:solidFill>
              <w14:schemeClr w14:val="tx1"/>
            </w14:solidFill>
          </w14:textFill>
        </w:rPr>
        <w:t>②31%盐酸储罐泄漏；31%盐酸储罐与管道连接处破裂，泄漏至围堰形成液池，31%盐酸储罐挥发至大气环境造成环境风险事故</w:t>
      </w:r>
      <w:r>
        <w:rPr>
          <w:rFonts w:hint="eastAsia" w:ascii="Times New Roman" w:hAnsi="Times New Roman" w:cs="Times New Roman"/>
          <w:color w:val="000000" w:themeColor="text1"/>
          <w:szCs w:val="24"/>
          <w:lang w:eastAsia="zh-CN"/>
          <w14:textFill>
            <w14:solidFill>
              <w14:schemeClr w14:val="tx1"/>
            </w14:solidFill>
          </w14:textFill>
        </w:rPr>
        <w:t>；</w:t>
      </w:r>
    </w:p>
    <w:p w14:paraId="1CFABD09">
      <w:pPr>
        <w:widowControl w:val="0"/>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hint="eastAsia" w:ascii="Times New Roman" w:hAnsi="Times New Roman" w:cs="Times New Roman"/>
          <w:color w:val="000000" w:themeColor="text1"/>
          <w:szCs w:val="24"/>
          <w:lang w:eastAsia="zh-CN"/>
          <w14:textFill>
            <w14:solidFill>
              <w14:schemeClr w14:val="tx1"/>
            </w14:solidFill>
          </w14:textFill>
        </w:rPr>
        <w:t>（4）</w:t>
      </w:r>
      <w:r>
        <w:rPr>
          <w:rFonts w:ascii="Times New Roman" w:hAnsi="Times New Roman" w:cs="Times New Roman"/>
          <w:color w:val="000000" w:themeColor="text1"/>
          <w:szCs w:val="24"/>
          <w:lang w:eastAsia="zh-CN"/>
          <w14:textFill>
            <w14:solidFill>
              <w14:schemeClr w14:val="tx1"/>
            </w14:solidFill>
          </w14:textFill>
        </w:rPr>
        <w:t>预测结果</w:t>
      </w:r>
      <w:r>
        <w:rPr>
          <w:rFonts w:hint="eastAsia" w:ascii="Times New Roman" w:hAnsi="Times New Roman" w:cs="Times New Roman"/>
          <w:color w:val="000000" w:themeColor="text1"/>
          <w:szCs w:val="24"/>
          <w:lang w:eastAsia="zh-CN"/>
          <w14:textFill>
            <w14:solidFill>
              <w14:schemeClr w14:val="tx1"/>
            </w14:solidFill>
          </w14:textFill>
        </w:rPr>
        <w:t>如下：</w:t>
      </w:r>
    </w:p>
    <w:p w14:paraId="3EFB4223">
      <w:pPr>
        <w:widowControl w:val="0"/>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hint="eastAsia" w:ascii="Times New Roman" w:hAnsi="Times New Roman" w:cs="Times New Roman"/>
          <w:color w:val="000000" w:themeColor="text1"/>
          <w:szCs w:val="24"/>
          <w:lang w:eastAsia="zh-CN"/>
          <w14:textFill>
            <w14:solidFill>
              <w14:schemeClr w14:val="tx1"/>
            </w14:solidFill>
          </w14:textFill>
        </w:rPr>
        <w:t>①化学纯氢氟酸储罐</w:t>
      </w:r>
      <w:r>
        <w:rPr>
          <w:rFonts w:ascii="Times New Roman" w:hAnsi="Times New Roman" w:cs="Times New Roman"/>
          <w:color w:val="000000" w:themeColor="text1"/>
          <w:szCs w:val="24"/>
          <w:lang w:eastAsia="zh-CN"/>
          <w14:textFill>
            <w14:solidFill>
              <w14:schemeClr w14:val="tx1"/>
            </w14:solidFill>
          </w14:textFill>
        </w:rPr>
        <w:t>泄漏</w:t>
      </w:r>
      <w:r>
        <w:rPr>
          <w:rFonts w:hint="eastAsia" w:ascii="Times New Roman" w:hAnsi="Times New Roman" w:cs="Times New Roman"/>
          <w:color w:val="000000" w:themeColor="text1"/>
          <w:szCs w:val="24"/>
          <w:lang w:eastAsia="zh-CN"/>
          <w14:textFill>
            <w14:solidFill>
              <w14:schemeClr w14:val="tx1"/>
            </w14:solidFill>
          </w14:textFill>
        </w:rPr>
        <w:t>：</w:t>
      </w:r>
      <w:r>
        <w:rPr>
          <w:rFonts w:ascii="Times New Roman" w:hAnsi="Times New Roman" w:cs="Times New Roman"/>
          <w:color w:val="000000" w:themeColor="text1"/>
          <w:szCs w:val="24"/>
          <w:lang w:eastAsia="zh-CN"/>
          <w14:textFill>
            <w14:solidFill>
              <w14:schemeClr w14:val="tx1"/>
            </w14:solidFill>
          </w14:textFill>
        </w:rPr>
        <w:t>最不利气象条件下</w:t>
      </w:r>
      <w:r>
        <w:rPr>
          <w:rFonts w:hint="eastAsia" w:ascii="Times New Roman" w:hAnsi="Times New Roman" w:cs="Times New Roman"/>
          <w:color w:val="000000" w:themeColor="text1"/>
          <w:szCs w:val="24"/>
          <w:lang w:eastAsia="zh-CN"/>
          <w14:textFill>
            <w14:solidFill>
              <w14:schemeClr w14:val="tx1"/>
            </w14:solidFill>
          </w14:textFill>
        </w:rPr>
        <w:t>氟化氢</w:t>
      </w:r>
      <w:r>
        <w:rPr>
          <w:rFonts w:ascii="Times New Roman" w:hAnsi="Times New Roman" w:cs="Times New Roman"/>
          <w:color w:val="000000" w:themeColor="text1"/>
          <w:szCs w:val="24"/>
          <w:lang w:eastAsia="zh-CN"/>
          <w14:textFill>
            <w14:solidFill>
              <w14:schemeClr w14:val="tx1"/>
            </w14:solidFill>
          </w14:textFill>
        </w:rPr>
        <w:t>达到</w:t>
      </w:r>
      <w:r>
        <w:rPr>
          <w:rFonts w:hint="eastAsia" w:ascii="Times New Roman" w:hAnsi="Times New Roman" w:cs="Times New Roman"/>
          <w:color w:val="000000" w:themeColor="text1"/>
          <w:szCs w:val="24"/>
          <w:lang w:eastAsia="zh-CN"/>
          <w14:textFill>
            <w14:solidFill>
              <w14:schemeClr w14:val="tx1"/>
            </w14:solidFill>
          </w14:textFill>
        </w:rPr>
        <w:t>1</w:t>
      </w:r>
      <w:r>
        <w:rPr>
          <w:rFonts w:ascii="Times New Roman" w:hAnsi="Times New Roman" w:cs="Times New Roman"/>
          <w:color w:val="000000" w:themeColor="text1"/>
          <w:szCs w:val="24"/>
          <w:lang w:eastAsia="zh-CN"/>
          <w14:textFill>
            <w14:solidFill>
              <w14:schemeClr w14:val="tx1"/>
            </w14:solidFill>
          </w14:textFill>
        </w:rPr>
        <w:t>级大气毒性终点浓度标准最大距离</w:t>
      </w:r>
      <w:r>
        <w:rPr>
          <w:rFonts w:hint="eastAsia" w:ascii="Times New Roman" w:hAnsi="Times New Roman" w:cs="Times New Roman"/>
          <w:color w:val="000000" w:themeColor="text1"/>
          <w:szCs w:val="24"/>
          <w:lang w:eastAsia="zh-CN"/>
          <w14:textFill>
            <w14:solidFill>
              <w14:schemeClr w14:val="tx1"/>
            </w14:solidFill>
          </w14:textFill>
        </w:rPr>
        <w:t>450</w:t>
      </w:r>
      <w:r>
        <w:rPr>
          <w:rFonts w:ascii="Times New Roman" w:hAnsi="Times New Roman" w:cs="Times New Roman"/>
          <w:color w:val="000000" w:themeColor="text1"/>
          <w:szCs w:val="24"/>
          <w:lang w:eastAsia="zh-CN"/>
          <w14:textFill>
            <w14:solidFill>
              <w14:schemeClr w14:val="tx1"/>
            </w14:solidFill>
          </w14:textFill>
        </w:rPr>
        <w:t>m，最大半宽</w:t>
      </w:r>
      <w:r>
        <w:rPr>
          <w:rFonts w:hint="eastAsia" w:ascii="Times New Roman" w:hAnsi="Times New Roman" w:cs="Times New Roman"/>
          <w:color w:val="000000" w:themeColor="text1"/>
          <w:szCs w:val="24"/>
          <w:lang w:eastAsia="zh-CN"/>
          <w14:textFill>
            <w14:solidFill>
              <w14:schemeClr w14:val="tx1"/>
            </w14:solidFill>
          </w14:textFill>
        </w:rPr>
        <w:t>25</w:t>
      </w:r>
      <w:r>
        <w:rPr>
          <w:rFonts w:ascii="Times New Roman" w:hAnsi="Times New Roman" w:cs="Times New Roman"/>
          <w:color w:val="000000" w:themeColor="text1"/>
          <w:szCs w:val="24"/>
          <w:lang w:eastAsia="zh-CN"/>
          <w14:textFill>
            <w14:solidFill>
              <w14:schemeClr w14:val="tx1"/>
            </w14:solidFill>
          </w14:textFill>
        </w:rPr>
        <w:t>m，达到2级大气毒性终点浓度标准最大距离</w:t>
      </w:r>
      <w:r>
        <w:rPr>
          <w:rFonts w:hint="eastAsia" w:ascii="Times New Roman" w:hAnsi="Times New Roman" w:cs="Times New Roman"/>
          <w:color w:val="000000" w:themeColor="text1"/>
          <w:szCs w:val="24"/>
          <w:lang w:eastAsia="zh-CN"/>
          <w14:textFill>
            <w14:solidFill>
              <w14:schemeClr w14:val="tx1"/>
            </w14:solidFill>
          </w14:textFill>
        </w:rPr>
        <w:t>640</w:t>
      </w:r>
      <w:r>
        <w:rPr>
          <w:rFonts w:ascii="Times New Roman" w:hAnsi="Times New Roman" w:cs="Times New Roman"/>
          <w:color w:val="000000" w:themeColor="text1"/>
          <w:szCs w:val="24"/>
          <w:lang w:eastAsia="zh-CN"/>
          <w14:textFill>
            <w14:solidFill>
              <w14:schemeClr w14:val="tx1"/>
            </w14:solidFill>
          </w14:textFill>
        </w:rPr>
        <w:t>m，最大半宽</w:t>
      </w:r>
      <w:r>
        <w:rPr>
          <w:rFonts w:hint="eastAsia" w:ascii="Times New Roman" w:hAnsi="Times New Roman" w:cs="Times New Roman"/>
          <w:color w:val="000000" w:themeColor="text1"/>
          <w:szCs w:val="24"/>
          <w:lang w:eastAsia="zh-CN"/>
          <w14:textFill>
            <w14:solidFill>
              <w14:schemeClr w14:val="tx1"/>
            </w14:solidFill>
          </w14:textFill>
        </w:rPr>
        <w:t>35</w:t>
      </w:r>
      <w:r>
        <w:rPr>
          <w:rFonts w:ascii="Times New Roman" w:hAnsi="Times New Roman" w:cs="Times New Roman"/>
          <w:color w:val="000000" w:themeColor="text1"/>
          <w:szCs w:val="24"/>
          <w:lang w:eastAsia="zh-CN"/>
          <w14:textFill>
            <w14:solidFill>
              <w14:schemeClr w14:val="tx1"/>
            </w14:solidFill>
          </w14:textFill>
        </w:rPr>
        <w:t>m；最常见气象条件下</w:t>
      </w:r>
      <w:r>
        <w:rPr>
          <w:rFonts w:hint="eastAsia" w:ascii="Times New Roman" w:hAnsi="Times New Roman" w:cs="Times New Roman"/>
          <w:color w:val="000000" w:themeColor="text1"/>
          <w:szCs w:val="24"/>
          <w:lang w:eastAsia="zh-CN"/>
          <w14:textFill>
            <w14:solidFill>
              <w14:schemeClr w14:val="tx1"/>
            </w14:solidFill>
          </w14:textFill>
        </w:rPr>
        <w:t>氟化氢</w:t>
      </w:r>
      <w:r>
        <w:rPr>
          <w:rFonts w:ascii="Times New Roman" w:hAnsi="Times New Roman" w:cs="Times New Roman"/>
          <w:color w:val="000000" w:themeColor="text1"/>
          <w:szCs w:val="24"/>
          <w:lang w:eastAsia="zh-CN"/>
          <w14:textFill>
            <w14:solidFill>
              <w14:schemeClr w14:val="tx1"/>
            </w14:solidFill>
          </w14:textFill>
        </w:rPr>
        <w:t>达到</w:t>
      </w:r>
      <w:r>
        <w:rPr>
          <w:rFonts w:hint="eastAsia" w:ascii="Times New Roman" w:hAnsi="Times New Roman" w:cs="Times New Roman"/>
          <w:color w:val="000000" w:themeColor="text1"/>
          <w:szCs w:val="24"/>
          <w:lang w:eastAsia="zh-CN"/>
          <w14:textFill>
            <w14:solidFill>
              <w14:schemeClr w14:val="tx1"/>
            </w14:solidFill>
          </w14:textFill>
        </w:rPr>
        <w:t>1</w:t>
      </w:r>
      <w:r>
        <w:rPr>
          <w:rFonts w:ascii="Times New Roman" w:hAnsi="Times New Roman" w:cs="Times New Roman"/>
          <w:color w:val="000000" w:themeColor="text1"/>
          <w:szCs w:val="24"/>
          <w:lang w:eastAsia="zh-CN"/>
          <w14:textFill>
            <w14:solidFill>
              <w14:schemeClr w14:val="tx1"/>
            </w14:solidFill>
          </w14:textFill>
        </w:rPr>
        <w:t>级大气毒性终点浓度标准最大距离</w:t>
      </w:r>
      <w:r>
        <w:rPr>
          <w:rFonts w:hint="eastAsia" w:ascii="Times New Roman" w:hAnsi="Times New Roman" w:cs="Times New Roman"/>
          <w:color w:val="000000" w:themeColor="text1"/>
          <w:szCs w:val="24"/>
          <w:lang w:eastAsia="zh-CN"/>
          <w14:textFill>
            <w14:solidFill>
              <w14:schemeClr w14:val="tx1"/>
            </w14:solidFill>
          </w14:textFill>
        </w:rPr>
        <w:t>210</w:t>
      </w:r>
      <w:r>
        <w:rPr>
          <w:rFonts w:ascii="Times New Roman" w:hAnsi="Times New Roman" w:cs="Times New Roman"/>
          <w:color w:val="000000" w:themeColor="text1"/>
          <w:szCs w:val="24"/>
          <w:lang w:eastAsia="zh-CN"/>
          <w14:textFill>
            <w14:solidFill>
              <w14:schemeClr w14:val="tx1"/>
            </w14:solidFill>
          </w14:textFill>
        </w:rPr>
        <w:t>m，最大半宽</w:t>
      </w:r>
      <w:r>
        <w:rPr>
          <w:rFonts w:hint="eastAsia" w:ascii="Times New Roman" w:hAnsi="Times New Roman" w:cs="Times New Roman"/>
          <w:color w:val="000000" w:themeColor="text1"/>
          <w:szCs w:val="24"/>
          <w:lang w:eastAsia="zh-CN"/>
          <w14:textFill>
            <w14:solidFill>
              <w14:schemeClr w14:val="tx1"/>
            </w14:solidFill>
          </w14:textFill>
        </w:rPr>
        <w:t>26</w:t>
      </w:r>
      <w:r>
        <w:rPr>
          <w:rFonts w:ascii="Times New Roman" w:hAnsi="Times New Roman" w:cs="Times New Roman"/>
          <w:color w:val="000000" w:themeColor="text1"/>
          <w:szCs w:val="24"/>
          <w:lang w:eastAsia="zh-CN"/>
          <w14:textFill>
            <w14:solidFill>
              <w14:schemeClr w14:val="tx1"/>
            </w14:solidFill>
          </w14:textFill>
        </w:rPr>
        <w:t>m，达到2级大气毒性终点浓度标准最大距离</w:t>
      </w:r>
      <w:r>
        <w:rPr>
          <w:rFonts w:hint="eastAsia" w:ascii="Times New Roman" w:hAnsi="Times New Roman" w:cs="Times New Roman"/>
          <w:color w:val="000000" w:themeColor="text1"/>
          <w:szCs w:val="24"/>
          <w:lang w:eastAsia="zh-CN"/>
          <w14:textFill>
            <w14:solidFill>
              <w14:schemeClr w14:val="tx1"/>
            </w14:solidFill>
          </w14:textFill>
        </w:rPr>
        <w:t>300</w:t>
      </w:r>
      <w:r>
        <w:rPr>
          <w:rFonts w:ascii="Times New Roman" w:hAnsi="Times New Roman" w:cs="Times New Roman"/>
          <w:color w:val="000000" w:themeColor="text1"/>
          <w:szCs w:val="24"/>
          <w:lang w:eastAsia="zh-CN"/>
          <w14:textFill>
            <w14:solidFill>
              <w14:schemeClr w14:val="tx1"/>
            </w14:solidFill>
          </w14:textFill>
        </w:rPr>
        <w:t>m，最大半宽</w:t>
      </w:r>
      <w:r>
        <w:rPr>
          <w:rFonts w:hint="eastAsia" w:ascii="Times New Roman" w:hAnsi="Times New Roman" w:cs="Times New Roman"/>
          <w:color w:val="000000" w:themeColor="text1"/>
          <w:szCs w:val="24"/>
          <w:lang w:eastAsia="zh-CN"/>
          <w14:textFill>
            <w14:solidFill>
              <w14:schemeClr w14:val="tx1"/>
            </w14:solidFill>
          </w14:textFill>
        </w:rPr>
        <w:t>36</w:t>
      </w:r>
      <w:r>
        <w:rPr>
          <w:rFonts w:ascii="Times New Roman" w:hAnsi="Times New Roman" w:cs="Times New Roman"/>
          <w:color w:val="000000" w:themeColor="text1"/>
          <w:szCs w:val="24"/>
          <w:lang w:eastAsia="zh-CN"/>
          <w14:textFill>
            <w14:solidFill>
              <w14:schemeClr w14:val="tx1"/>
            </w14:solidFill>
          </w14:textFill>
        </w:rPr>
        <w:t>m</w:t>
      </w:r>
      <w:r>
        <w:rPr>
          <w:rFonts w:hint="eastAsia" w:ascii="Times New Roman" w:hAnsi="Times New Roman" w:cs="Times New Roman"/>
          <w:color w:val="000000" w:themeColor="text1"/>
          <w:szCs w:val="24"/>
          <w:lang w:eastAsia="zh-CN"/>
          <w14:textFill>
            <w14:solidFill>
              <w14:schemeClr w14:val="tx1"/>
            </w14:solidFill>
          </w14:textFill>
        </w:rPr>
        <w:t>；</w:t>
      </w:r>
    </w:p>
    <w:p w14:paraId="1E4EA3C5">
      <w:pPr>
        <w:widowControl w:val="0"/>
        <w:spacing w:line="360" w:lineRule="auto"/>
        <w:ind w:firstLine="480" w:firstLineChars="200"/>
        <w:jc w:val="both"/>
        <w:rPr>
          <w:rFonts w:ascii="Times New Roman" w:hAnsi="Times New Roman" w:cs="Times New Roman"/>
          <w:color w:val="000000" w:themeColor="text1"/>
          <w:szCs w:val="24"/>
          <w:lang w:eastAsia="zh-CN"/>
          <w14:textFill>
            <w14:solidFill>
              <w14:schemeClr w14:val="tx1"/>
            </w14:solidFill>
          </w14:textFill>
        </w:rPr>
      </w:pPr>
      <w:r>
        <w:rPr>
          <w:rFonts w:hint="eastAsia" w:ascii="Times New Roman" w:hAnsi="Times New Roman" w:cs="Times New Roman"/>
          <w:color w:val="000000" w:themeColor="text1"/>
          <w:szCs w:val="24"/>
          <w:lang w:eastAsia="zh-CN"/>
          <w14:textFill>
            <w14:solidFill>
              <w14:schemeClr w14:val="tx1"/>
            </w14:solidFill>
          </w14:textFill>
        </w:rPr>
        <w:t>②31%盐酸储罐泄漏：</w:t>
      </w:r>
      <w:r>
        <w:rPr>
          <w:rFonts w:ascii="Times New Roman" w:hAnsi="Times New Roman" w:cs="Times New Roman"/>
          <w:color w:val="000000" w:themeColor="text1"/>
          <w:szCs w:val="24"/>
          <w:lang w:eastAsia="zh-CN"/>
          <w14:textFill>
            <w14:solidFill>
              <w14:schemeClr w14:val="tx1"/>
            </w14:solidFill>
          </w14:textFill>
        </w:rPr>
        <w:t>最不利气象条件下</w:t>
      </w:r>
      <w:r>
        <w:rPr>
          <w:rFonts w:hint="eastAsia" w:ascii="Times New Roman" w:hAnsi="Times New Roman" w:cs="Times New Roman"/>
          <w:color w:val="000000" w:themeColor="text1"/>
          <w:szCs w:val="24"/>
          <w:lang w:eastAsia="zh-CN"/>
          <w14:textFill>
            <w14:solidFill>
              <w14:schemeClr w14:val="tx1"/>
            </w14:solidFill>
          </w14:textFill>
        </w:rPr>
        <w:t>氯化氢</w:t>
      </w:r>
      <w:r>
        <w:rPr>
          <w:rFonts w:ascii="Times New Roman" w:hAnsi="Times New Roman" w:cs="Times New Roman"/>
          <w:color w:val="000000" w:themeColor="text1"/>
          <w:szCs w:val="24"/>
          <w:lang w:eastAsia="zh-CN"/>
          <w14:textFill>
            <w14:solidFill>
              <w14:schemeClr w14:val="tx1"/>
            </w14:solidFill>
          </w14:textFill>
        </w:rPr>
        <w:t>达到</w:t>
      </w:r>
      <w:r>
        <w:rPr>
          <w:rFonts w:hint="eastAsia" w:ascii="Times New Roman" w:hAnsi="Times New Roman" w:cs="Times New Roman"/>
          <w:color w:val="000000" w:themeColor="text1"/>
          <w:szCs w:val="24"/>
          <w:lang w:eastAsia="zh-CN"/>
          <w14:textFill>
            <w14:solidFill>
              <w14:schemeClr w14:val="tx1"/>
            </w14:solidFill>
          </w14:textFill>
        </w:rPr>
        <w:t>1</w:t>
      </w:r>
      <w:r>
        <w:rPr>
          <w:rFonts w:ascii="Times New Roman" w:hAnsi="Times New Roman" w:cs="Times New Roman"/>
          <w:color w:val="000000" w:themeColor="text1"/>
          <w:szCs w:val="24"/>
          <w:lang w:eastAsia="zh-CN"/>
          <w14:textFill>
            <w14:solidFill>
              <w14:schemeClr w14:val="tx1"/>
            </w14:solidFill>
          </w14:textFill>
        </w:rPr>
        <w:t>级大气毒性终点浓度标准最大距离</w:t>
      </w:r>
      <w:r>
        <w:rPr>
          <w:rFonts w:hint="eastAsia" w:ascii="Times New Roman" w:hAnsi="Times New Roman" w:cs="Times New Roman"/>
          <w:color w:val="000000" w:themeColor="text1"/>
          <w:szCs w:val="24"/>
          <w:lang w:eastAsia="zh-CN"/>
          <w14:textFill>
            <w14:solidFill>
              <w14:schemeClr w14:val="tx1"/>
            </w14:solidFill>
          </w14:textFill>
        </w:rPr>
        <w:t>220</w:t>
      </w:r>
      <w:r>
        <w:rPr>
          <w:rFonts w:ascii="Times New Roman" w:hAnsi="Times New Roman" w:cs="Times New Roman"/>
          <w:color w:val="000000" w:themeColor="text1"/>
          <w:szCs w:val="24"/>
          <w:lang w:eastAsia="zh-CN"/>
          <w14:textFill>
            <w14:solidFill>
              <w14:schemeClr w14:val="tx1"/>
            </w14:solidFill>
          </w14:textFill>
        </w:rPr>
        <w:t>m，最大半宽</w:t>
      </w:r>
      <w:r>
        <w:rPr>
          <w:rFonts w:hint="eastAsia" w:ascii="Times New Roman" w:hAnsi="Times New Roman" w:cs="Times New Roman"/>
          <w:color w:val="000000" w:themeColor="text1"/>
          <w:szCs w:val="24"/>
          <w:lang w:eastAsia="zh-CN"/>
          <w14:textFill>
            <w14:solidFill>
              <w14:schemeClr w14:val="tx1"/>
            </w14:solidFill>
          </w14:textFill>
        </w:rPr>
        <w:t>9</w:t>
      </w:r>
      <w:r>
        <w:rPr>
          <w:rFonts w:ascii="Times New Roman" w:hAnsi="Times New Roman" w:cs="Times New Roman"/>
          <w:color w:val="000000" w:themeColor="text1"/>
          <w:szCs w:val="24"/>
          <w:lang w:eastAsia="zh-CN"/>
          <w14:textFill>
            <w14:solidFill>
              <w14:schemeClr w14:val="tx1"/>
            </w14:solidFill>
          </w14:textFill>
        </w:rPr>
        <w:t>m，达到2级大气毒性终点浓度标准最大距离</w:t>
      </w:r>
      <w:r>
        <w:rPr>
          <w:rFonts w:hint="eastAsia" w:ascii="Times New Roman" w:hAnsi="Times New Roman" w:cs="Times New Roman"/>
          <w:color w:val="000000" w:themeColor="text1"/>
          <w:szCs w:val="24"/>
          <w:lang w:eastAsia="zh-CN"/>
          <w14:textFill>
            <w14:solidFill>
              <w14:schemeClr w14:val="tx1"/>
            </w14:solidFill>
          </w14:textFill>
        </w:rPr>
        <w:t>560</w:t>
      </w:r>
      <w:r>
        <w:rPr>
          <w:rFonts w:ascii="Times New Roman" w:hAnsi="Times New Roman" w:cs="Times New Roman"/>
          <w:color w:val="000000" w:themeColor="text1"/>
          <w:szCs w:val="24"/>
          <w:lang w:eastAsia="zh-CN"/>
          <w14:textFill>
            <w14:solidFill>
              <w14:schemeClr w14:val="tx1"/>
            </w14:solidFill>
          </w14:textFill>
        </w:rPr>
        <w:t>m，最大半宽</w:t>
      </w:r>
      <w:r>
        <w:rPr>
          <w:rFonts w:hint="eastAsia" w:ascii="Times New Roman" w:hAnsi="Times New Roman" w:cs="Times New Roman"/>
          <w:color w:val="000000" w:themeColor="text1"/>
          <w:szCs w:val="24"/>
          <w:lang w:eastAsia="zh-CN"/>
          <w14:textFill>
            <w14:solidFill>
              <w14:schemeClr w14:val="tx1"/>
            </w14:solidFill>
          </w14:textFill>
        </w:rPr>
        <w:t>22</w:t>
      </w:r>
      <w:r>
        <w:rPr>
          <w:rFonts w:ascii="Times New Roman" w:hAnsi="Times New Roman" w:cs="Times New Roman"/>
          <w:color w:val="000000" w:themeColor="text1"/>
          <w:szCs w:val="24"/>
          <w:lang w:eastAsia="zh-CN"/>
          <w14:textFill>
            <w14:solidFill>
              <w14:schemeClr w14:val="tx1"/>
            </w14:solidFill>
          </w14:textFill>
        </w:rPr>
        <w:t>m；最常见气象条件下</w:t>
      </w:r>
      <w:r>
        <w:rPr>
          <w:rFonts w:hint="eastAsia" w:ascii="Times New Roman" w:hAnsi="Times New Roman" w:cs="Times New Roman"/>
          <w:color w:val="000000" w:themeColor="text1"/>
          <w:szCs w:val="24"/>
          <w:lang w:eastAsia="zh-CN"/>
          <w14:textFill>
            <w14:solidFill>
              <w14:schemeClr w14:val="tx1"/>
            </w14:solidFill>
          </w14:textFill>
        </w:rPr>
        <w:t>氯化氢</w:t>
      </w:r>
      <w:r>
        <w:rPr>
          <w:rFonts w:ascii="Times New Roman" w:hAnsi="Times New Roman" w:cs="Times New Roman"/>
          <w:color w:val="000000" w:themeColor="text1"/>
          <w:szCs w:val="24"/>
          <w:lang w:eastAsia="zh-CN"/>
          <w14:textFill>
            <w14:solidFill>
              <w14:schemeClr w14:val="tx1"/>
            </w14:solidFill>
          </w14:textFill>
        </w:rPr>
        <w:t>达到</w:t>
      </w:r>
      <w:r>
        <w:rPr>
          <w:rFonts w:hint="eastAsia" w:ascii="Times New Roman" w:hAnsi="Times New Roman" w:cs="Times New Roman"/>
          <w:color w:val="000000" w:themeColor="text1"/>
          <w:szCs w:val="24"/>
          <w:lang w:eastAsia="zh-CN"/>
          <w14:textFill>
            <w14:solidFill>
              <w14:schemeClr w14:val="tx1"/>
            </w14:solidFill>
          </w14:textFill>
        </w:rPr>
        <w:t>1</w:t>
      </w:r>
      <w:r>
        <w:rPr>
          <w:rFonts w:ascii="Times New Roman" w:hAnsi="Times New Roman" w:cs="Times New Roman"/>
          <w:color w:val="000000" w:themeColor="text1"/>
          <w:szCs w:val="24"/>
          <w:lang w:eastAsia="zh-CN"/>
          <w14:textFill>
            <w14:solidFill>
              <w14:schemeClr w14:val="tx1"/>
            </w14:solidFill>
          </w14:textFill>
        </w:rPr>
        <w:t>级大气毒性终点浓度标准最大距离</w:t>
      </w:r>
      <w:r>
        <w:rPr>
          <w:rFonts w:hint="eastAsia" w:ascii="Times New Roman" w:hAnsi="Times New Roman" w:cs="Times New Roman"/>
          <w:color w:val="000000" w:themeColor="text1"/>
          <w:szCs w:val="24"/>
          <w:lang w:eastAsia="zh-CN"/>
          <w14:textFill>
            <w14:solidFill>
              <w14:schemeClr w14:val="tx1"/>
            </w14:solidFill>
          </w14:textFill>
        </w:rPr>
        <w:t>130</w:t>
      </w:r>
      <w:r>
        <w:rPr>
          <w:rFonts w:ascii="Times New Roman" w:hAnsi="Times New Roman" w:cs="Times New Roman"/>
          <w:color w:val="000000" w:themeColor="text1"/>
          <w:szCs w:val="24"/>
          <w:lang w:eastAsia="zh-CN"/>
          <w14:textFill>
            <w14:solidFill>
              <w14:schemeClr w14:val="tx1"/>
            </w14:solidFill>
          </w14:textFill>
        </w:rPr>
        <w:t>m，最大半宽</w:t>
      </w:r>
      <w:r>
        <w:rPr>
          <w:rFonts w:hint="eastAsia" w:ascii="Times New Roman" w:hAnsi="Times New Roman" w:cs="Times New Roman"/>
          <w:color w:val="000000" w:themeColor="text1"/>
          <w:szCs w:val="24"/>
          <w:lang w:eastAsia="zh-CN"/>
          <w14:textFill>
            <w14:solidFill>
              <w14:schemeClr w14:val="tx1"/>
            </w14:solidFill>
          </w14:textFill>
        </w:rPr>
        <w:t>12</w:t>
      </w:r>
      <w:r>
        <w:rPr>
          <w:rFonts w:ascii="Times New Roman" w:hAnsi="Times New Roman" w:cs="Times New Roman"/>
          <w:color w:val="000000" w:themeColor="text1"/>
          <w:szCs w:val="24"/>
          <w:lang w:eastAsia="zh-CN"/>
          <w14:textFill>
            <w14:solidFill>
              <w14:schemeClr w14:val="tx1"/>
            </w14:solidFill>
          </w14:textFill>
        </w:rPr>
        <w:t>m，达到2级大气毒性终点浓度标准最大距离</w:t>
      </w:r>
      <w:r>
        <w:rPr>
          <w:rFonts w:hint="eastAsia" w:ascii="Times New Roman" w:hAnsi="Times New Roman" w:cs="Times New Roman"/>
          <w:color w:val="000000" w:themeColor="text1"/>
          <w:szCs w:val="24"/>
          <w:lang w:eastAsia="zh-CN"/>
          <w14:textFill>
            <w14:solidFill>
              <w14:schemeClr w14:val="tx1"/>
            </w14:solidFill>
          </w14:textFill>
        </w:rPr>
        <w:t>320</w:t>
      </w:r>
      <w:r>
        <w:rPr>
          <w:rFonts w:ascii="Times New Roman" w:hAnsi="Times New Roman" w:cs="Times New Roman"/>
          <w:color w:val="000000" w:themeColor="text1"/>
          <w:szCs w:val="24"/>
          <w:lang w:eastAsia="zh-CN"/>
          <w14:textFill>
            <w14:solidFill>
              <w14:schemeClr w14:val="tx1"/>
            </w14:solidFill>
          </w14:textFill>
        </w:rPr>
        <w:t>m，最大半宽</w:t>
      </w:r>
      <w:r>
        <w:rPr>
          <w:rFonts w:hint="eastAsia" w:ascii="Times New Roman" w:hAnsi="Times New Roman" w:cs="Times New Roman"/>
          <w:color w:val="000000" w:themeColor="text1"/>
          <w:szCs w:val="24"/>
          <w:lang w:eastAsia="zh-CN"/>
          <w14:textFill>
            <w14:solidFill>
              <w14:schemeClr w14:val="tx1"/>
            </w14:solidFill>
          </w14:textFill>
        </w:rPr>
        <w:t>27</w:t>
      </w:r>
      <w:r>
        <w:rPr>
          <w:rFonts w:ascii="Times New Roman" w:hAnsi="Times New Roman" w:cs="Times New Roman"/>
          <w:color w:val="000000" w:themeColor="text1"/>
          <w:szCs w:val="24"/>
          <w:lang w:eastAsia="zh-CN"/>
          <w14:textFill>
            <w14:solidFill>
              <w14:schemeClr w14:val="tx1"/>
            </w14:solidFill>
          </w14:textFill>
        </w:rPr>
        <w:t>m</w:t>
      </w:r>
      <w:r>
        <w:rPr>
          <w:rFonts w:hint="eastAsia" w:ascii="Times New Roman" w:hAnsi="Times New Roman" w:cs="Times New Roman"/>
          <w:color w:val="000000" w:themeColor="text1"/>
          <w:szCs w:val="24"/>
          <w:lang w:eastAsia="zh-CN"/>
          <w14:textFill>
            <w14:solidFill>
              <w14:schemeClr w14:val="tx1"/>
            </w14:solidFill>
          </w14:textFill>
        </w:rPr>
        <w:t>；</w:t>
      </w:r>
    </w:p>
    <w:bookmarkEnd w:id="3003"/>
    <w:p w14:paraId="3F8141A2">
      <w:pPr>
        <w:widowControl w:val="0"/>
        <w:spacing w:line="360" w:lineRule="auto"/>
        <w:ind w:firstLine="480" w:firstLineChars="200"/>
        <w:jc w:val="both"/>
        <w:rPr>
          <w:rFonts w:ascii="Times New Roman" w:hAnsi="Times New Roman" w:cs="Times New Roman"/>
          <w:color w:val="auto"/>
          <w:szCs w:val="24"/>
          <w:lang w:eastAsia="zh-CN"/>
        </w:rPr>
      </w:pPr>
      <w:bookmarkStart w:id="3004" w:name="_Toc21992"/>
      <w:r>
        <w:rPr>
          <w:rFonts w:ascii="Times New Roman" w:hAnsi="Times New Roman" w:cs="Times New Roman"/>
          <w:color w:val="auto"/>
          <w:szCs w:val="24"/>
          <w:lang w:eastAsia="zh-CN"/>
        </w:rPr>
        <w:t>评价要求建设单位根据事故当天风向，确定可能受影响的环境敏感点，一旦发生事故应及时通知影响范围内保护对象，确保1h内将受影响对象疏散撤离至上风向安全区域。制定应急预案，并与园区/区域应急预案联动，事故状态启动应急监测等工作。</w:t>
      </w:r>
      <w:bookmarkEnd w:id="3004"/>
    </w:p>
    <w:p w14:paraId="5CBFBD17">
      <w:pPr>
        <w:widowControl w:val="0"/>
        <w:spacing w:line="360" w:lineRule="auto"/>
        <w:ind w:firstLine="480" w:firstLineChars="200"/>
        <w:jc w:val="both"/>
        <w:rPr>
          <w:rFonts w:ascii="Times New Roman" w:hAnsi="Times New Roman" w:cs="Times New Roman"/>
          <w:color w:val="auto"/>
          <w:szCs w:val="24"/>
          <w:lang w:eastAsia="zh-CN"/>
        </w:rPr>
      </w:pPr>
      <w:bookmarkStart w:id="3005" w:name="_Toc19478"/>
      <w:r>
        <w:rPr>
          <w:rFonts w:ascii="Times New Roman" w:hAnsi="Times New Roman" w:cs="Times New Roman"/>
          <w:color w:val="auto"/>
          <w:szCs w:val="24"/>
          <w:lang w:eastAsia="zh-CN"/>
        </w:rPr>
        <w:t>（5）事故废水采取三级防控管理。1座事故池，总容积为</w:t>
      </w:r>
      <w:r>
        <w:rPr>
          <w:rFonts w:hint="eastAsia" w:ascii="Times New Roman" w:hAnsi="Times New Roman" w:cs="Times New Roman"/>
          <w:color w:val="auto"/>
          <w:szCs w:val="24"/>
          <w:lang w:eastAsia="zh-CN"/>
        </w:rPr>
        <w:t>672.3</w:t>
      </w:r>
      <w:r>
        <w:rPr>
          <w:rFonts w:ascii="Times New Roman" w:hAnsi="Times New Roman" w:cs="Times New Roman"/>
          <w:color w:val="auto"/>
          <w:szCs w:val="24"/>
          <w:lang w:eastAsia="zh-CN"/>
        </w:rPr>
        <w:t xml:space="preserve"> m</w:t>
      </w:r>
      <w:r>
        <w:rPr>
          <w:rFonts w:ascii="Times New Roman" w:hAnsi="Times New Roman" w:cs="Times New Roman"/>
          <w:color w:val="auto"/>
          <w:szCs w:val="24"/>
          <w:vertAlign w:val="superscript"/>
          <w:lang w:eastAsia="zh-CN"/>
        </w:rPr>
        <w:t>3</w:t>
      </w:r>
      <w:r>
        <w:rPr>
          <w:rFonts w:ascii="Times New Roman" w:hAnsi="Times New Roman" w:cs="Times New Roman"/>
          <w:color w:val="auto"/>
          <w:szCs w:val="24"/>
          <w:lang w:eastAsia="zh-CN"/>
        </w:rPr>
        <w:t>，满足事故状况下泄漏物料、消防废水以及事故降雨的收集和储存要求，厂内初期雨水与事故池均设有与外界水体隔绝的控制阀门，发生火灾事故时，将事故废水收集，分批排至厂区污水处理站处理，避免对区域地表水环境造成事故影响。</w:t>
      </w:r>
      <w:bookmarkEnd w:id="3005"/>
    </w:p>
    <w:p w14:paraId="42C60202">
      <w:pPr>
        <w:widowControl w:val="0"/>
        <w:spacing w:line="360" w:lineRule="auto"/>
        <w:ind w:firstLine="480" w:firstLineChars="200"/>
        <w:jc w:val="both"/>
        <w:rPr>
          <w:rFonts w:ascii="Times New Roman" w:hAnsi="Times New Roman" w:cs="Times New Roman"/>
          <w:color w:val="auto"/>
          <w:szCs w:val="24"/>
          <w:lang w:eastAsia="zh-CN"/>
        </w:rPr>
      </w:pPr>
      <w:bookmarkStart w:id="3006" w:name="_Toc30407"/>
      <w:r>
        <w:rPr>
          <w:rFonts w:ascii="Times New Roman" w:hAnsi="Times New Roman" w:cs="Times New Roman"/>
          <w:color w:val="auto"/>
          <w:szCs w:val="24"/>
          <w:lang w:eastAsia="zh-CN"/>
        </w:rPr>
        <w:t>（6）建设单位从源头控制、分区防渗、跟踪监测和应急响应方面采取了地下水污染控制措施，可最大程度降低地下水环境风险。</w:t>
      </w:r>
      <w:bookmarkEnd w:id="3006"/>
    </w:p>
    <w:p w14:paraId="4147DAB9">
      <w:pPr>
        <w:widowControl w:val="0"/>
        <w:spacing w:line="360" w:lineRule="auto"/>
        <w:ind w:firstLine="480" w:firstLineChars="200"/>
        <w:jc w:val="both"/>
        <w:rPr>
          <w:rFonts w:ascii="Times New Roman" w:hAnsi="Times New Roman" w:cs="Times New Roman"/>
          <w:color w:val="auto"/>
          <w:szCs w:val="24"/>
          <w:lang w:eastAsia="zh-CN"/>
        </w:rPr>
      </w:pPr>
      <w:bookmarkStart w:id="3007" w:name="_Toc25462"/>
      <w:r>
        <w:rPr>
          <w:rFonts w:ascii="Times New Roman" w:hAnsi="Times New Roman" w:cs="Times New Roman"/>
          <w:color w:val="auto"/>
          <w:szCs w:val="24"/>
          <w:lang w:eastAsia="zh-CN"/>
        </w:rPr>
        <w:t>（7）厂外运输采用公路运输方式，依托当地公路进行运输。运输任务由第三方物资公司承担，运输过程风险管理及应急防范措施由运输公司负责，不属于本次环境风险评价内容。</w:t>
      </w:r>
      <w:bookmarkEnd w:id="3007"/>
    </w:p>
    <w:p w14:paraId="7C9EB66F">
      <w:pPr>
        <w:widowControl w:val="0"/>
        <w:spacing w:line="360" w:lineRule="auto"/>
        <w:ind w:firstLine="480" w:firstLineChars="200"/>
        <w:jc w:val="both"/>
        <w:rPr>
          <w:rFonts w:ascii="Times New Roman" w:hAnsi="Times New Roman" w:cs="Times New Roman"/>
          <w:color w:val="auto"/>
          <w:szCs w:val="24"/>
          <w:lang w:eastAsia="zh-CN"/>
        </w:rPr>
      </w:pPr>
      <w:bookmarkStart w:id="3008" w:name="_Toc22997"/>
      <w:r>
        <w:rPr>
          <w:rFonts w:ascii="Times New Roman" w:hAnsi="Times New Roman" w:cs="Times New Roman"/>
          <w:color w:val="auto"/>
          <w:szCs w:val="24"/>
          <w:lang w:eastAsia="zh-CN"/>
        </w:rPr>
        <w:t>（8）项目在设计过程已经采取了有效的安全防范措施，建设单位应与园区和地方有关应急机构实现联动。建设单位应按照要求编制企业突发事件应急预案和专项应急预案，成立环境风险应急处理事故领导小组，配备足够事故应急物资，事故发生后立即启动应急措施，控制、削减风险危害，并进行应急跟踪监测，确保事故危害降至最低。</w:t>
      </w:r>
      <w:bookmarkEnd w:id="3008"/>
    </w:p>
    <w:p w14:paraId="6FC9A83F">
      <w:pPr>
        <w:widowControl w:val="0"/>
        <w:spacing w:line="360" w:lineRule="auto"/>
        <w:ind w:firstLine="480" w:firstLineChars="200"/>
        <w:jc w:val="both"/>
        <w:rPr>
          <w:rFonts w:ascii="Times New Roman" w:hAnsi="Times New Roman" w:cs="Times New Roman"/>
          <w:color w:val="auto"/>
          <w:szCs w:val="24"/>
          <w:lang w:eastAsia="zh-CN"/>
        </w:rPr>
      </w:pPr>
      <w:bookmarkStart w:id="3009" w:name="_Toc31072"/>
      <w:r>
        <w:rPr>
          <w:rFonts w:ascii="Times New Roman" w:hAnsi="Times New Roman" w:cs="Times New Roman"/>
          <w:color w:val="auto"/>
          <w:szCs w:val="24"/>
          <w:lang w:eastAsia="zh-CN"/>
        </w:rPr>
        <w:t>（9）由于事故触发因素不确定性，本项目事故情形设定并不能包含全部环境风险，事故情形设定建立在风险识别基础上，通过对代表性事故分析力求为风险管理提供科学依据。</w:t>
      </w:r>
      <w:bookmarkEnd w:id="3009"/>
    </w:p>
    <w:p w14:paraId="264876B1">
      <w:pPr>
        <w:widowControl w:val="0"/>
        <w:spacing w:line="360" w:lineRule="auto"/>
        <w:ind w:firstLine="480" w:firstLineChars="200"/>
        <w:jc w:val="both"/>
        <w:rPr>
          <w:rFonts w:ascii="Times New Roman" w:hAnsi="Times New Roman" w:cs="Times New Roman"/>
          <w:color w:val="auto"/>
          <w:szCs w:val="24"/>
          <w:lang w:eastAsia="zh-CN"/>
        </w:rPr>
      </w:pPr>
      <w:bookmarkStart w:id="3010" w:name="_Toc10998"/>
      <w:r>
        <w:rPr>
          <w:rFonts w:ascii="Times New Roman" w:hAnsi="Times New Roman" w:cs="Times New Roman"/>
          <w:color w:val="auto"/>
          <w:szCs w:val="24"/>
          <w:lang w:eastAsia="zh-CN"/>
        </w:rPr>
        <w:t>综上所述，本评价认为，在有效落实风险防范措施和事故应急预案的前提下，从环境风险评价角度，项目环境风险可以防控。</w:t>
      </w:r>
      <w:bookmarkEnd w:id="3010"/>
    </w:p>
    <w:bookmarkEnd w:id="3001"/>
    <w:p w14:paraId="44FE3D3E">
      <w:pPr>
        <w:widowControl w:val="0"/>
        <w:spacing w:line="360" w:lineRule="auto"/>
        <w:ind w:firstLine="562"/>
        <w:outlineLvl w:val="1"/>
        <w:rPr>
          <w:rFonts w:ascii="Times New Roman" w:hAnsi="Times New Roman" w:cs="Times New Roman"/>
          <w:b/>
          <w:bCs/>
          <w:color w:val="auto"/>
          <w:sz w:val="28"/>
          <w:szCs w:val="22"/>
          <w:lang w:eastAsia="zh-CN"/>
        </w:rPr>
      </w:pPr>
      <w:bookmarkStart w:id="3011" w:name="_Toc237508449"/>
      <w:bookmarkStart w:id="3012" w:name="_Toc173740420"/>
      <w:bookmarkStart w:id="3013" w:name="_Toc172555786"/>
      <w:bookmarkStart w:id="3014" w:name="_Toc4091"/>
      <w:r>
        <w:rPr>
          <w:rFonts w:ascii="Times New Roman" w:hAnsi="Times New Roman" w:cs="Times New Roman"/>
          <w:b/>
          <w:bCs/>
          <w:color w:val="auto"/>
          <w:sz w:val="28"/>
          <w:szCs w:val="22"/>
          <w:lang w:eastAsia="zh-CN"/>
        </w:rPr>
        <w:t>11.5 公众参与</w:t>
      </w:r>
      <w:bookmarkEnd w:id="3011"/>
      <w:bookmarkEnd w:id="3012"/>
      <w:bookmarkEnd w:id="3013"/>
      <w:bookmarkEnd w:id="3014"/>
    </w:p>
    <w:p w14:paraId="68803E4D">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lang w:eastAsia="zh-CN"/>
        </w:rPr>
        <w:t>202</w:t>
      </w:r>
      <w:r>
        <w:rPr>
          <w:rFonts w:hint="eastAsia" w:ascii="Times New Roman" w:hAnsi="Times New Roman" w:cs="Times New Roman"/>
          <w:lang w:eastAsia="zh-CN"/>
        </w:rPr>
        <w:t>6</w:t>
      </w:r>
      <w:r>
        <w:rPr>
          <w:rFonts w:ascii="Times New Roman" w:hAnsi="Times New Roman" w:cs="Times New Roman"/>
          <w:lang w:eastAsia="zh-CN"/>
        </w:rPr>
        <w:t>年</w:t>
      </w:r>
      <w:r>
        <w:rPr>
          <w:rFonts w:hint="eastAsia" w:ascii="Times New Roman" w:hAnsi="Times New Roman" w:cs="Times New Roman"/>
          <w:lang w:eastAsia="zh-CN"/>
        </w:rPr>
        <w:t>3</w:t>
      </w:r>
      <w:r>
        <w:rPr>
          <w:rFonts w:ascii="Times New Roman" w:hAnsi="Times New Roman" w:cs="Times New Roman"/>
          <w:lang w:eastAsia="zh-CN"/>
        </w:rPr>
        <w:t>月</w:t>
      </w:r>
      <w:r>
        <w:rPr>
          <w:rFonts w:hint="eastAsia" w:ascii="Times New Roman" w:hAnsi="Times New Roman" w:cs="Times New Roman"/>
          <w:lang w:eastAsia="zh-CN"/>
        </w:rPr>
        <w:t>23</w:t>
      </w:r>
      <w:r>
        <w:rPr>
          <w:rFonts w:ascii="Times New Roman" w:hAnsi="Times New Roman" w:cs="Times New Roman"/>
          <w:lang w:eastAsia="zh-CN"/>
        </w:rPr>
        <w:t>日，</w:t>
      </w:r>
      <w:r>
        <w:rPr>
          <w:rFonts w:ascii="Times New Roman" w:hAnsi="Times New Roman" w:cs="Times New Roman"/>
          <w:szCs w:val="24"/>
          <w:lang w:eastAsia="zh-CN"/>
        </w:rPr>
        <w:t>安徽</w:t>
      </w:r>
      <w:r>
        <w:rPr>
          <w:rFonts w:hint="eastAsia" w:ascii="Times New Roman" w:hAnsi="Times New Roman" w:cs="Times New Roman"/>
          <w:szCs w:val="24"/>
          <w:lang w:eastAsia="zh-CN"/>
        </w:rPr>
        <w:t>善宇环保科技</w:t>
      </w:r>
      <w:r>
        <w:rPr>
          <w:rFonts w:ascii="Times New Roman" w:hAnsi="Times New Roman" w:cs="Times New Roman"/>
          <w:szCs w:val="24"/>
          <w:lang w:eastAsia="zh-CN"/>
        </w:rPr>
        <w:t>有限公司</w:t>
      </w:r>
      <w:r>
        <w:rPr>
          <w:rFonts w:ascii="Times New Roman" w:hAnsi="Times New Roman" w:cs="Times New Roman"/>
          <w:lang w:eastAsia="zh-CN"/>
        </w:rPr>
        <w:t>受</w:t>
      </w:r>
      <w:r>
        <w:rPr>
          <w:rFonts w:hint="eastAsia" w:ascii="Times New Roman" w:hAnsi="Times New Roman" w:eastAsia="新宋体" w:cs="Times New Roman"/>
          <w:szCs w:val="24"/>
          <w:lang w:eastAsia="zh-CN"/>
        </w:rPr>
        <w:t>安徽氟瑞星化工</w:t>
      </w:r>
      <w:r>
        <w:rPr>
          <w:rFonts w:ascii="Times New Roman" w:hAnsi="Times New Roman" w:eastAsia="新宋体" w:cs="Times New Roman"/>
          <w:szCs w:val="24"/>
          <w:lang w:eastAsia="zh-CN"/>
        </w:rPr>
        <w:t>有限公司</w:t>
      </w:r>
      <w:r>
        <w:rPr>
          <w:rFonts w:ascii="Times New Roman" w:hAnsi="Times New Roman" w:cs="Times New Roman"/>
          <w:lang w:eastAsia="zh-CN"/>
        </w:rPr>
        <w:t>委托，承担《</w:t>
      </w:r>
      <w:r>
        <w:rPr>
          <w:rFonts w:hint="eastAsia" w:ascii="Times New Roman" w:hAnsi="Times New Roman" w:eastAsia="新宋体" w:cs="Times New Roman"/>
          <w:szCs w:val="24"/>
          <w:lang w:eastAsia="zh-CN"/>
        </w:rPr>
        <w:t>安徽氟瑞星化工有限公司年产5万吨化学纯氢氟酸及1.5万吨刻蚀液扩产项目</w:t>
      </w:r>
      <w:r>
        <w:rPr>
          <w:rFonts w:hint="eastAsia" w:ascii="Times New Roman" w:hAnsi="Times New Roman" w:eastAsia="新宋体" w:cs="Times New Roman"/>
          <w:szCs w:val="24"/>
          <w:lang w:val="en-US" w:eastAsia="zh-CN"/>
        </w:rPr>
        <w:t>生态</w:t>
      </w:r>
      <w:r>
        <w:rPr>
          <w:rFonts w:ascii="Times New Roman" w:hAnsi="Times New Roman" w:cs="Times New Roman"/>
          <w:lang w:eastAsia="zh-CN"/>
        </w:rPr>
        <w:t>环境影响报告书》编制工作</w:t>
      </w:r>
      <w:r>
        <w:rPr>
          <w:rFonts w:ascii="Times New Roman" w:hAnsi="Times New Roman" w:cs="Times New Roman"/>
          <w:color w:val="auto"/>
          <w:szCs w:val="24"/>
          <w:lang w:eastAsia="zh-CN"/>
        </w:rPr>
        <w:t>。</w:t>
      </w:r>
    </w:p>
    <w:p w14:paraId="1AE2F474">
      <w:pPr>
        <w:widowControl w:val="0"/>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lang w:eastAsia="zh-CN"/>
        </w:rPr>
        <w:t>202</w:t>
      </w:r>
      <w:r>
        <w:rPr>
          <w:rFonts w:hint="eastAsia" w:ascii="Times New Roman" w:hAnsi="Times New Roman" w:cs="Times New Roman"/>
          <w:lang w:eastAsia="zh-CN"/>
        </w:rPr>
        <w:t>6</w:t>
      </w:r>
      <w:r>
        <w:rPr>
          <w:rFonts w:ascii="Times New Roman" w:hAnsi="Times New Roman" w:cs="Times New Roman"/>
          <w:lang w:eastAsia="zh-CN"/>
        </w:rPr>
        <w:t>年</w:t>
      </w:r>
      <w:r>
        <w:rPr>
          <w:rFonts w:hint="eastAsia" w:ascii="Times New Roman" w:hAnsi="Times New Roman" w:cs="Times New Roman"/>
          <w:lang w:eastAsia="zh-CN"/>
        </w:rPr>
        <w:t>3</w:t>
      </w:r>
      <w:r>
        <w:rPr>
          <w:rFonts w:ascii="Times New Roman" w:hAnsi="Times New Roman" w:cs="Times New Roman"/>
          <w:lang w:eastAsia="zh-CN"/>
        </w:rPr>
        <w:t>月</w:t>
      </w:r>
      <w:r>
        <w:rPr>
          <w:rFonts w:hint="eastAsia" w:ascii="Times New Roman" w:hAnsi="Times New Roman" w:cs="Times New Roman"/>
          <w:lang w:eastAsia="zh-CN"/>
        </w:rPr>
        <w:t>24</w:t>
      </w:r>
      <w:r>
        <w:rPr>
          <w:rFonts w:ascii="Times New Roman" w:hAnsi="Times New Roman" w:cs="Times New Roman"/>
          <w:lang w:eastAsia="zh-CN"/>
        </w:rPr>
        <w:t>日，建设单位</w:t>
      </w:r>
      <w:r>
        <w:rPr>
          <w:rFonts w:hint="eastAsia" w:ascii="Times New Roman" w:hAnsi="Times New Roman" w:eastAsia="新宋体" w:cs="Times New Roman"/>
          <w:szCs w:val="24"/>
          <w:lang w:eastAsia="zh-CN"/>
        </w:rPr>
        <w:t>安徽氟瑞星化工</w:t>
      </w:r>
      <w:r>
        <w:rPr>
          <w:rFonts w:ascii="Times New Roman" w:hAnsi="Times New Roman" w:eastAsia="新宋体" w:cs="Times New Roman"/>
          <w:szCs w:val="24"/>
          <w:lang w:eastAsia="zh-CN"/>
        </w:rPr>
        <w:t>有限公司</w:t>
      </w:r>
      <w:r>
        <w:rPr>
          <w:rFonts w:ascii="Times New Roman" w:hAnsi="Times New Roman" w:cs="Times New Roman"/>
          <w:lang w:eastAsia="zh-CN"/>
        </w:rPr>
        <w:t>在</w:t>
      </w:r>
      <w:r>
        <w:rPr>
          <w:rFonts w:hint="eastAsia" w:ascii="Times New Roman" w:hAnsi="Times New Roman" w:cs="Times New Roman"/>
          <w:lang w:eastAsia="zh-CN"/>
        </w:rPr>
        <w:t>蚌埠市淮上区人民政府</w:t>
      </w:r>
      <w:r>
        <w:rPr>
          <w:rFonts w:ascii="Times New Roman" w:hAnsi="Times New Roman" w:cs="Times New Roman"/>
          <w:lang w:eastAsia="zh-CN"/>
        </w:rPr>
        <w:t>（https://www.huaishang.gov.cn/xwzx/tzgg/5091645.html）对本次环境影响评价工作进行了首次公示</w:t>
      </w:r>
      <w:r>
        <w:rPr>
          <w:rFonts w:ascii="Times New Roman" w:hAnsi="Times New Roman" w:cs="Times New Roman"/>
          <w:color w:val="auto"/>
          <w:szCs w:val="24"/>
          <w:lang w:eastAsia="zh-CN"/>
        </w:rPr>
        <w:t>。</w:t>
      </w:r>
    </w:p>
    <w:p w14:paraId="0FC8CFE0">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202</w:t>
      </w:r>
      <w:r>
        <w:rPr>
          <w:rFonts w:hint="eastAsia" w:ascii="Times New Roman" w:hAnsi="Times New Roman" w:cs="Times New Roman"/>
          <w:color w:val="auto"/>
          <w:lang w:eastAsia="zh-CN"/>
        </w:rPr>
        <w:t>6</w:t>
      </w:r>
      <w:r>
        <w:rPr>
          <w:rFonts w:ascii="Times New Roman" w:hAnsi="Times New Roman" w:cs="Times New Roman"/>
          <w:color w:val="auto"/>
          <w:lang w:eastAsia="zh-CN"/>
        </w:rPr>
        <w:t>年</w:t>
      </w:r>
      <w:r>
        <w:rPr>
          <w:rFonts w:hint="eastAsia" w:ascii="Times New Roman" w:hAnsi="Times New Roman" w:cs="Times New Roman"/>
          <w:color w:val="auto"/>
          <w:lang w:eastAsia="zh-CN"/>
        </w:rPr>
        <w:t>6月7日～8日</w:t>
      </w:r>
      <w:r>
        <w:rPr>
          <w:rFonts w:ascii="Times New Roman" w:hAnsi="Times New Roman" w:cs="Times New Roman"/>
          <w:color w:val="auto"/>
          <w:lang w:eastAsia="zh-CN"/>
        </w:rPr>
        <w:t>委托</w:t>
      </w:r>
      <w:r>
        <w:rPr>
          <w:rFonts w:hint="eastAsia" w:ascii="Times New Roman" w:hAnsi="Times New Roman" w:cs="Times New Roman"/>
          <w:color w:val="auto"/>
          <w:lang w:eastAsia="zh-CN"/>
        </w:rPr>
        <w:t>安徽实朴检测技术服务有限公司</w:t>
      </w:r>
      <w:r>
        <w:rPr>
          <w:rFonts w:ascii="Times New Roman" w:hAnsi="Times New Roman" w:cs="Times New Roman"/>
          <w:color w:val="auto"/>
          <w:lang w:eastAsia="zh-CN"/>
        </w:rPr>
        <w:t>对项目</w:t>
      </w:r>
      <w:r>
        <w:rPr>
          <w:rFonts w:hint="eastAsia" w:ascii="Times New Roman" w:hAnsi="Times New Roman" w:cs="Times New Roman"/>
          <w:color w:val="auto"/>
          <w:lang w:eastAsia="zh-CN"/>
        </w:rPr>
        <w:t>厂区地下水环境、</w:t>
      </w:r>
      <w:r>
        <w:rPr>
          <w:rFonts w:ascii="Times New Roman" w:hAnsi="Times New Roman" w:cs="Times New Roman"/>
          <w:color w:val="auto"/>
          <w:lang w:eastAsia="zh-CN"/>
        </w:rPr>
        <w:t>土壤环境</w:t>
      </w:r>
      <w:r>
        <w:rPr>
          <w:rFonts w:hint="eastAsia" w:ascii="Times New Roman" w:hAnsi="Times New Roman" w:cs="Times New Roman"/>
          <w:color w:val="auto"/>
          <w:lang w:eastAsia="zh-CN"/>
        </w:rPr>
        <w:t>以及声环境</w:t>
      </w:r>
      <w:r>
        <w:rPr>
          <w:rFonts w:ascii="Times New Roman" w:hAnsi="Times New Roman" w:cs="Times New Roman"/>
          <w:color w:val="auto"/>
          <w:lang w:eastAsia="zh-CN"/>
        </w:rPr>
        <w:t>质量现状进行了监测</w:t>
      </w:r>
      <w:r>
        <w:rPr>
          <w:rFonts w:hint="eastAsia" w:ascii="Times New Roman" w:hAnsi="Times New Roman" w:cs="Times New Roman"/>
          <w:color w:val="auto"/>
          <w:lang w:eastAsia="zh-CN"/>
        </w:rPr>
        <w:t>，2026年7月8日委托安徽基越环境检测有限公司</w:t>
      </w:r>
      <w:r>
        <w:rPr>
          <w:rFonts w:ascii="Times New Roman" w:hAnsi="Times New Roman" w:cs="Times New Roman"/>
          <w:color w:val="auto"/>
          <w:lang w:eastAsia="zh-CN"/>
        </w:rPr>
        <w:t>对项目</w:t>
      </w:r>
      <w:r>
        <w:rPr>
          <w:rFonts w:hint="eastAsia" w:ascii="Times New Roman" w:hAnsi="Times New Roman" w:cs="Times New Roman"/>
          <w:color w:val="auto"/>
          <w:lang w:eastAsia="zh-CN"/>
        </w:rPr>
        <w:t>厂区地下水环境以及包气带</w:t>
      </w:r>
      <w:r>
        <w:rPr>
          <w:rFonts w:ascii="Times New Roman" w:hAnsi="Times New Roman" w:cs="Times New Roman"/>
          <w:color w:val="auto"/>
          <w:lang w:eastAsia="zh-CN"/>
        </w:rPr>
        <w:t>进行了监测。</w:t>
      </w:r>
    </w:p>
    <w:p w14:paraId="25DB6DAA">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202</w:t>
      </w:r>
      <w:r>
        <w:rPr>
          <w:rFonts w:hint="eastAsia" w:ascii="Times New Roman" w:hAnsi="Times New Roman" w:cs="Times New Roman"/>
          <w:color w:val="auto"/>
          <w:lang w:eastAsia="zh-CN"/>
        </w:rPr>
        <w:t>6</w:t>
      </w:r>
      <w:r>
        <w:rPr>
          <w:rFonts w:ascii="Times New Roman" w:hAnsi="Times New Roman" w:cs="Times New Roman"/>
          <w:color w:val="auto"/>
          <w:lang w:eastAsia="zh-CN"/>
        </w:rPr>
        <w:t>年</w:t>
      </w:r>
      <w:r>
        <w:rPr>
          <w:rFonts w:hint="eastAsia" w:ascii="Times New Roman" w:hAnsi="Times New Roman" w:cs="Times New Roman"/>
          <w:color w:val="auto"/>
          <w:lang w:eastAsia="zh-CN"/>
        </w:rPr>
        <w:t>8</w:t>
      </w:r>
      <w:r>
        <w:rPr>
          <w:rFonts w:ascii="Times New Roman" w:hAnsi="Times New Roman" w:cs="Times New Roman"/>
          <w:color w:val="auto"/>
          <w:lang w:eastAsia="zh-CN"/>
        </w:rPr>
        <w:t>月</w:t>
      </w:r>
      <w:r>
        <w:rPr>
          <w:rFonts w:hint="eastAsia" w:ascii="Times New Roman" w:hAnsi="Times New Roman" w:cs="Times New Roman"/>
          <w:color w:val="auto"/>
          <w:lang w:eastAsia="zh-CN"/>
        </w:rPr>
        <w:t>1</w:t>
      </w:r>
      <w:r>
        <w:rPr>
          <w:rFonts w:hint="eastAsia" w:ascii="Times New Roman" w:hAnsi="Times New Roman" w:cs="Times New Roman"/>
          <w:color w:val="auto"/>
          <w:lang w:val="en-US" w:eastAsia="zh-CN"/>
        </w:rPr>
        <w:t>7</w:t>
      </w:r>
      <w:r>
        <w:rPr>
          <w:rFonts w:ascii="Times New Roman" w:hAnsi="Times New Roman" w:cs="Times New Roman"/>
          <w:color w:val="auto"/>
          <w:lang w:eastAsia="zh-CN"/>
        </w:rPr>
        <w:t>日，完成了</w:t>
      </w:r>
      <w:r>
        <w:rPr>
          <w:rFonts w:hint="eastAsia" w:ascii="Times New Roman" w:hAnsi="Times New Roman" w:cs="Times New Roman"/>
          <w:color w:val="auto"/>
          <w:lang w:val="en-US" w:eastAsia="zh-CN"/>
        </w:rPr>
        <w:t>生态</w:t>
      </w:r>
      <w:r>
        <w:rPr>
          <w:rFonts w:ascii="Times New Roman" w:hAnsi="Times New Roman" w:cs="Times New Roman"/>
          <w:color w:val="auto"/>
          <w:lang w:eastAsia="zh-CN"/>
        </w:rPr>
        <w:t>环境影响报告书征求意见稿编制工作，建设单位</w:t>
      </w:r>
      <w:r>
        <w:rPr>
          <w:rFonts w:hint="eastAsia" w:ascii="Times New Roman" w:hAnsi="Times New Roman" w:cs="Times New Roman"/>
          <w:color w:val="auto"/>
          <w:lang w:eastAsia="zh-CN"/>
        </w:rPr>
        <w:t>安徽</w:t>
      </w:r>
      <w:r>
        <w:rPr>
          <w:rFonts w:ascii="Times New Roman" w:hAnsi="Times New Roman" w:cs="Times New Roman"/>
          <w:color w:val="auto"/>
          <w:lang w:eastAsia="zh-CN"/>
        </w:rPr>
        <w:t>氟瑞星化工</w:t>
      </w:r>
      <w:r>
        <w:rPr>
          <w:rFonts w:hint="eastAsia" w:ascii="Times New Roman" w:hAnsi="Times New Roman" w:cs="Times New Roman"/>
          <w:color w:val="auto"/>
          <w:lang w:eastAsia="zh-CN"/>
        </w:rPr>
        <w:t>有限公司</w:t>
      </w:r>
      <w:r>
        <w:rPr>
          <w:rFonts w:ascii="Times New Roman" w:hAnsi="Times New Roman" w:cs="Times New Roman"/>
          <w:color w:val="auto"/>
          <w:lang w:eastAsia="zh-CN"/>
        </w:rPr>
        <w:t>在</w:t>
      </w:r>
      <w:r>
        <w:rPr>
          <w:rFonts w:hint="eastAsia" w:ascii="Times New Roman" w:hAnsi="Times New Roman" w:cs="Times New Roman"/>
          <w:color w:val="auto"/>
          <w:lang w:eastAsia="zh-CN"/>
        </w:rPr>
        <w:t>蚌埠市淮上区人民政府</w:t>
      </w:r>
      <w:r>
        <w:rPr>
          <w:rFonts w:ascii="Times New Roman" w:hAnsi="Times New Roman" w:cs="Times New Roman"/>
          <w:color w:val="auto"/>
          <w:lang w:eastAsia="zh-CN"/>
        </w:rPr>
        <w:t>（</w:t>
      </w:r>
      <w:r>
        <w:rPr>
          <w:rFonts w:ascii="Times New Roman" w:hAnsi="Times New Roman" w:cs="Times New Roman"/>
          <w:color w:val="auto"/>
          <w:lang w:eastAsia="zh-CN"/>
        </w:rPr>
        <w:fldChar w:fldCharType="begin"/>
      </w:r>
      <w:r>
        <w:rPr>
          <w:rFonts w:ascii="Times New Roman" w:hAnsi="Times New Roman" w:cs="Times New Roman"/>
          <w:color w:val="auto"/>
          <w:lang w:eastAsia="zh-CN"/>
        </w:rPr>
        <w:instrText xml:space="preserve"> HYPERLINK "https://www.huaishang.gov.cn/xwzx/tzgg/5096084.html" </w:instrText>
      </w:r>
      <w:r>
        <w:rPr>
          <w:rFonts w:ascii="Times New Roman" w:hAnsi="Times New Roman" w:cs="Times New Roman"/>
          <w:color w:val="auto"/>
          <w:lang w:eastAsia="zh-CN"/>
        </w:rPr>
        <w:fldChar w:fldCharType="separate"/>
      </w:r>
      <w:r>
        <w:rPr>
          <w:rFonts w:ascii="Times New Roman" w:hAnsi="Times New Roman" w:cs="Times New Roman"/>
          <w:color w:val="auto"/>
          <w:lang w:eastAsia="zh-CN"/>
        </w:rPr>
        <w:t>https://www.huaishang.gov.cn/xwzx/tzgg/5090345.html</w:t>
      </w:r>
      <w:r>
        <w:rPr>
          <w:rFonts w:ascii="Times New Roman" w:hAnsi="Times New Roman" w:cs="Times New Roman"/>
          <w:color w:val="auto"/>
          <w:lang w:eastAsia="zh-CN"/>
        </w:rPr>
        <w:fldChar w:fldCharType="end"/>
      </w:r>
      <w:r>
        <w:rPr>
          <w:rFonts w:ascii="Times New Roman" w:hAnsi="Times New Roman" w:cs="Times New Roman"/>
          <w:color w:val="auto"/>
          <w:lang w:eastAsia="zh-CN"/>
        </w:rPr>
        <w:t>）进行了征求意见稿公示</w:t>
      </w:r>
      <w:r>
        <w:rPr>
          <w:rFonts w:hint="eastAsia" w:ascii="Times New Roman" w:hAnsi="Times New Roman" w:cs="Times New Roman"/>
          <w:color w:val="auto"/>
          <w:lang w:eastAsia="zh-CN"/>
        </w:rPr>
        <w:t>，</w:t>
      </w:r>
      <w:r>
        <w:rPr>
          <w:rFonts w:ascii="Times New Roman" w:hAnsi="Times New Roman" w:cs="Times New Roman"/>
          <w:color w:val="auto"/>
          <w:lang w:eastAsia="zh-CN"/>
        </w:rPr>
        <w:t>同时在周边村庄</w:t>
      </w:r>
      <w:r>
        <w:rPr>
          <w:rFonts w:hint="eastAsia" w:ascii="Times New Roman" w:hAnsi="Times New Roman" w:cs="Times New Roman"/>
          <w:color w:val="auto"/>
          <w:lang w:eastAsia="zh-CN"/>
        </w:rPr>
        <w:t>大柏村、三铺村</w:t>
      </w:r>
      <w:r>
        <w:rPr>
          <w:rFonts w:ascii="Times New Roman" w:hAnsi="Times New Roman" w:cs="Times New Roman"/>
          <w:color w:val="auto"/>
          <w:lang w:eastAsia="zh-CN"/>
        </w:rPr>
        <w:t>等公告栏张贴公示，征求了拟建项目周边的居民及企事业单位对本项目的意见；期间分别于202</w:t>
      </w:r>
      <w:r>
        <w:rPr>
          <w:rFonts w:hint="eastAsia" w:ascii="Times New Roman" w:hAnsi="Times New Roman" w:cs="Times New Roman"/>
          <w:color w:val="auto"/>
          <w:lang w:eastAsia="zh-CN"/>
        </w:rPr>
        <w:t>6</w:t>
      </w:r>
      <w:r>
        <w:rPr>
          <w:rFonts w:ascii="Times New Roman" w:hAnsi="Times New Roman" w:cs="Times New Roman"/>
          <w:color w:val="auto"/>
          <w:lang w:eastAsia="zh-CN"/>
        </w:rPr>
        <w:t>年</w:t>
      </w:r>
      <w:r>
        <w:rPr>
          <w:rFonts w:hint="eastAsia" w:ascii="Times New Roman" w:hAnsi="Times New Roman" w:cs="Times New Roman"/>
          <w:color w:val="auto"/>
          <w:lang w:eastAsia="zh-CN"/>
        </w:rPr>
        <w:t>8</w:t>
      </w:r>
      <w:r>
        <w:rPr>
          <w:rFonts w:ascii="Times New Roman" w:hAnsi="Times New Roman" w:cs="Times New Roman"/>
          <w:color w:val="auto"/>
          <w:lang w:eastAsia="zh-CN"/>
        </w:rPr>
        <w:t>月</w:t>
      </w:r>
      <w:r>
        <w:rPr>
          <w:rFonts w:hint="eastAsia" w:ascii="Times New Roman" w:hAnsi="Times New Roman" w:cs="Times New Roman"/>
          <w:color w:val="auto"/>
          <w:lang w:eastAsia="zh-CN"/>
        </w:rPr>
        <w:t>20</w:t>
      </w:r>
      <w:r>
        <w:rPr>
          <w:rFonts w:ascii="Times New Roman" w:hAnsi="Times New Roman" w:cs="Times New Roman"/>
          <w:color w:val="auto"/>
          <w:lang w:eastAsia="zh-CN"/>
        </w:rPr>
        <w:t>日、</w:t>
      </w:r>
      <w:r>
        <w:rPr>
          <w:rFonts w:hint="eastAsia" w:ascii="Times New Roman" w:hAnsi="Times New Roman" w:cs="Times New Roman"/>
          <w:color w:val="auto"/>
          <w:lang w:eastAsia="zh-CN"/>
        </w:rPr>
        <w:t>8</w:t>
      </w:r>
      <w:r>
        <w:rPr>
          <w:rFonts w:ascii="Times New Roman" w:hAnsi="Times New Roman" w:cs="Times New Roman"/>
          <w:color w:val="auto"/>
          <w:lang w:eastAsia="zh-CN"/>
        </w:rPr>
        <w:t>月</w:t>
      </w:r>
      <w:r>
        <w:rPr>
          <w:rFonts w:hint="eastAsia" w:ascii="Times New Roman" w:hAnsi="Times New Roman" w:cs="Times New Roman"/>
          <w:color w:val="auto"/>
          <w:lang w:eastAsia="zh-CN"/>
        </w:rPr>
        <w:t>21</w:t>
      </w:r>
      <w:r>
        <w:rPr>
          <w:rFonts w:ascii="Times New Roman" w:hAnsi="Times New Roman" w:cs="Times New Roman"/>
          <w:color w:val="auto"/>
          <w:lang w:eastAsia="zh-CN"/>
        </w:rPr>
        <w:t>日在安徽日报上开展了两次报纸公示。</w:t>
      </w:r>
    </w:p>
    <w:p w14:paraId="6E0AC974">
      <w:pPr>
        <w:widowControl w:val="0"/>
        <w:spacing w:line="360" w:lineRule="auto"/>
        <w:ind w:firstLine="480" w:firstLineChars="200"/>
        <w:jc w:val="both"/>
        <w:rPr>
          <w:rFonts w:ascii="Times New Roman" w:hAnsi="Times New Roman" w:cs="Times New Roman"/>
          <w:color w:val="auto"/>
          <w:lang w:eastAsia="zh-CN"/>
        </w:rPr>
      </w:pPr>
      <w:r>
        <w:rPr>
          <w:rFonts w:ascii="Times New Roman" w:hAnsi="Times New Roman" w:cs="Times New Roman"/>
          <w:color w:val="auto"/>
          <w:lang w:eastAsia="zh-CN"/>
        </w:rPr>
        <w:t>202</w:t>
      </w:r>
      <w:r>
        <w:rPr>
          <w:rFonts w:hint="eastAsia" w:ascii="Times New Roman" w:hAnsi="Times New Roman" w:cs="Times New Roman"/>
          <w:color w:val="auto"/>
          <w:lang w:eastAsia="zh-CN"/>
        </w:rPr>
        <w:t>6</w:t>
      </w:r>
      <w:r>
        <w:rPr>
          <w:rFonts w:ascii="Times New Roman" w:hAnsi="Times New Roman" w:cs="Times New Roman"/>
          <w:color w:val="auto"/>
          <w:lang w:eastAsia="zh-CN"/>
        </w:rPr>
        <w:t>年</w:t>
      </w:r>
      <w:r>
        <w:rPr>
          <w:rFonts w:hint="eastAsia" w:ascii="Times New Roman" w:hAnsi="Times New Roman" w:cs="Times New Roman"/>
          <w:color w:val="auto"/>
          <w:lang w:val="en-US" w:eastAsia="zh-CN"/>
        </w:rPr>
        <w:t>9</w:t>
      </w:r>
      <w:r>
        <w:rPr>
          <w:rFonts w:ascii="Times New Roman" w:hAnsi="Times New Roman" w:cs="Times New Roman"/>
          <w:color w:val="auto"/>
          <w:lang w:eastAsia="zh-CN"/>
        </w:rPr>
        <w:t>月统编，进入我公司内审程序，经校核、审核、审定后完成报告书（送审稿）编制，现呈报生态环境主管部门审批。</w:t>
      </w:r>
    </w:p>
    <w:p w14:paraId="2EDF57E9">
      <w:pPr>
        <w:widowControl w:val="0"/>
        <w:spacing w:line="360" w:lineRule="auto"/>
        <w:ind w:firstLine="562"/>
        <w:outlineLvl w:val="1"/>
        <w:rPr>
          <w:rFonts w:ascii="Times New Roman" w:hAnsi="Times New Roman" w:cs="Times New Roman"/>
          <w:b/>
          <w:bCs/>
          <w:color w:val="auto"/>
          <w:sz w:val="28"/>
          <w:szCs w:val="22"/>
          <w:lang w:eastAsia="zh-CN"/>
        </w:rPr>
      </w:pPr>
      <w:bookmarkStart w:id="3015" w:name="_Toc172555787"/>
      <w:bookmarkStart w:id="3016" w:name="_Toc173740421"/>
      <w:bookmarkStart w:id="3017" w:name="_Toc237508450"/>
      <w:bookmarkStart w:id="3018" w:name="_Toc28850"/>
      <w:r>
        <w:rPr>
          <w:rFonts w:ascii="Times New Roman" w:hAnsi="Times New Roman" w:cs="Times New Roman"/>
          <w:b/>
          <w:bCs/>
          <w:color w:val="auto"/>
          <w:sz w:val="28"/>
          <w:szCs w:val="22"/>
          <w:lang w:eastAsia="zh-CN"/>
        </w:rPr>
        <w:t>11.6 环境管理</w:t>
      </w:r>
      <w:bookmarkEnd w:id="3015"/>
      <w:r>
        <w:rPr>
          <w:rFonts w:ascii="Times New Roman" w:hAnsi="Times New Roman" w:cs="Times New Roman"/>
          <w:b/>
          <w:bCs/>
          <w:color w:val="auto"/>
          <w:sz w:val="28"/>
          <w:szCs w:val="22"/>
          <w:lang w:eastAsia="zh-CN"/>
        </w:rPr>
        <w:t>与监测计划</w:t>
      </w:r>
      <w:bookmarkEnd w:id="3016"/>
      <w:bookmarkEnd w:id="3017"/>
    </w:p>
    <w:p w14:paraId="5DACE070">
      <w:pPr>
        <w:widowControl w:val="0"/>
        <w:spacing w:line="360" w:lineRule="auto"/>
        <w:ind w:firstLine="480" w:firstLineChars="200"/>
        <w:rPr>
          <w:rFonts w:ascii="Times New Roman" w:hAnsi="Times New Roman" w:cs="Times New Roman"/>
          <w:color w:val="auto"/>
          <w:szCs w:val="24"/>
          <w:lang w:eastAsia="zh-CN"/>
        </w:rPr>
        <w:sectPr>
          <w:headerReference r:id="rId41" w:type="first"/>
          <w:headerReference r:id="rId39" w:type="default"/>
          <w:footerReference r:id="rId42" w:type="default"/>
          <w:headerReference r:id="rId40" w:type="even"/>
          <w:pgSz w:w="11907" w:h="16840"/>
          <w:pgMar w:top="1191" w:right="1134" w:bottom="1191" w:left="1134" w:header="933" w:footer="671" w:gutter="0"/>
          <w:cols w:space="720" w:num="1"/>
        </w:sectPr>
      </w:pPr>
      <w:r>
        <w:rPr>
          <w:rFonts w:ascii="Times New Roman" w:hAnsi="Times New Roman" w:cs="Times New Roman"/>
          <w:color w:val="auto"/>
          <w:szCs w:val="24"/>
          <w:lang w:eastAsia="zh-CN"/>
        </w:rPr>
        <w:t>运营期加强环境管理，设置环境管理机构，执行环境管理台账制度，严格按照总量控制指标执行，定期完成污染源监测计划和现状跟踪监测计划，并自觉向社会公开环保信息。</w:t>
      </w:r>
    </w:p>
    <w:p w14:paraId="1DEFD10E">
      <w:pPr>
        <w:widowControl w:val="0"/>
        <w:spacing w:line="360" w:lineRule="auto"/>
        <w:ind w:firstLine="562"/>
        <w:outlineLvl w:val="1"/>
        <w:rPr>
          <w:rFonts w:ascii="Times New Roman" w:hAnsi="Times New Roman" w:cs="Times New Roman"/>
          <w:b/>
          <w:bCs/>
          <w:color w:val="auto"/>
          <w:sz w:val="28"/>
          <w:szCs w:val="22"/>
          <w:lang w:eastAsia="zh-CN"/>
        </w:rPr>
      </w:pPr>
      <w:bookmarkStart w:id="3019" w:name="_Toc237508451"/>
      <w:bookmarkStart w:id="3020" w:name="_Toc24487"/>
      <w:r>
        <w:rPr>
          <w:rFonts w:ascii="Times New Roman" w:hAnsi="Times New Roman" w:cs="Times New Roman"/>
          <w:b/>
          <w:bCs/>
          <w:color w:val="auto"/>
          <w:sz w:val="28"/>
          <w:szCs w:val="22"/>
          <w:lang w:eastAsia="zh-CN"/>
        </w:rPr>
        <w:t>11.7 环境保护“三同时”措施</w:t>
      </w:r>
      <w:bookmarkEnd w:id="3019"/>
    </w:p>
    <w:p w14:paraId="4B113B34">
      <w:pPr>
        <w:spacing w:line="360" w:lineRule="auto"/>
        <w:ind w:firstLine="480" w:firstLineChars="200"/>
        <w:rPr>
          <w:rFonts w:ascii="Times New Roman" w:hAnsi="Times New Roman" w:cs="Times New Roman"/>
          <w:b/>
          <w:bCs/>
          <w:color w:val="auto"/>
          <w:lang w:eastAsia="zh-CN"/>
        </w:rPr>
      </w:pPr>
      <w:r>
        <w:rPr>
          <w:rFonts w:ascii="Times New Roman" w:hAnsi="Times New Roman" w:cs="Times New Roman"/>
          <w:color w:val="auto"/>
          <w:szCs w:val="24"/>
          <w:lang w:eastAsia="zh-CN"/>
        </w:rPr>
        <w:t>项目运行后，环境保护“三同时”验收具体内容汇总下表</w:t>
      </w:r>
      <w:r>
        <w:rPr>
          <w:rFonts w:hint="eastAsia" w:ascii="Times New Roman" w:hAnsi="Times New Roman" w:cs="Times New Roman"/>
          <w:color w:val="auto"/>
          <w:szCs w:val="24"/>
          <w:lang w:eastAsia="zh-CN"/>
        </w:rPr>
        <w:t>。</w:t>
      </w:r>
    </w:p>
    <w:p w14:paraId="4C2B17BB">
      <w:pPr>
        <w:spacing w:line="360" w:lineRule="auto"/>
        <w:jc w:val="center"/>
        <w:rPr>
          <w:rFonts w:ascii="Times New Roman" w:hAnsi="Times New Roman" w:cs="Times New Roman"/>
          <w:b/>
          <w:bCs/>
          <w:color w:val="auto"/>
          <w:lang w:eastAsia="zh-CN"/>
        </w:rPr>
      </w:pPr>
      <w:r>
        <w:rPr>
          <w:rFonts w:ascii="Times New Roman" w:hAnsi="Times New Roman" w:cs="Times New Roman"/>
          <w:b/>
          <w:bCs/>
          <w:color w:val="auto"/>
          <w:lang w:eastAsia="zh-CN"/>
        </w:rPr>
        <w:t>表11.7-1  本项目污染治理措施及“三同时”验收一览表</w:t>
      </w:r>
      <w:bookmarkEnd w:id="3020"/>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744"/>
        <w:gridCol w:w="8932"/>
        <w:gridCol w:w="3117"/>
      </w:tblGrid>
      <w:tr w14:paraId="7ED666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0" w:type="pct"/>
            <w:vAlign w:val="center"/>
          </w:tcPr>
          <w:p w14:paraId="2C3A421E">
            <w:pPr>
              <w:widowControl w:val="0"/>
              <w:adjustRightInd w:val="0"/>
              <w:snapToGrid w:val="0"/>
              <w:spacing w:before="60" w:after="6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序号</w:t>
            </w:r>
          </w:p>
        </w:tc>
        <w:tc>
          <w:tcPr>
            <w:tcW w:w="603" w:type="pct"/>
            <w:vAlign w:val="center"/>
          </w:tcPr>
          <w:p w14:paraId="520742ED">
            <w:pPr>
              <w:widowControl w:val="0"/>
              <w:adjustRightInd w:val="0"/>
              <w:snapToGrid w:val="0"/>
              <w:spacing w:before="60" w:after="6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类别</w:t>
            </w:r>
          </w:p>
        </w:tc>
        <w:tc>
          <w:tcPr>
            <w:tcW w:w="3089" w:type="pct"/>
            <w:vAlign w:val="center"/>
          </w:tcPr>
          <w:p w14:paraId="7B9F699E">
            <w:pPr>
              <w:widowControl w:val="0"/>
              <w:adjustRightInd w:val="0"/>
              <w:snapToGrid w:val="0"/>
              <w:spacing w:before="60" w:after="6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主要工程内容</w:t>
            </w:r>
          </w:p>
        </w:tc>
        <w:tc>
          <w:tcPr>
            <w:tcW w:w="1078" w:type="pct"/>
            <w:vAlign w:val="center"/>
          </w:tcPr>
          <w:p w14:paraId="2DA3C557">
            <w:pPr>
              <w:widowControl w:val="0"/>
              <w:adjustRightInd w:val="0"/>
              <w:snapToGrid w:val="0"/>
              <w:spacing w:before="60" w:after="60"/>
              <w:jc w:val="center"/>
              <w:rPr>
                <w:rFonts w:ascii="Times New Roman" w:hAnsi="Times New Roman" w:cs="Times New Roman"/>
                <w:b/>
                <w:bCs/>
                <w:color w:val="auto"/>
                <w:sz w:val="21"/>
                <w:lang w:eastAsia="zh-CN"/>
              </w:rPr>
            </w:pPr>
            <w:r>
              <w:rPr>
                <w:rFonts w:ascii="Times New Roman" w:hAnsi="Times New Roman" w:cs="Times New Roman"/>
                <w:b/>
                <w:bCs/>
                <w:color w:val="auto"/>
                <w:sz w:val="21"/>
                <w:lang w:eastAsia="zh-CN"/>
              </w:rPr>
              <w:t>控制标准</w:t>
            </w:r>
          </w:p>
        </w:tc>
      </w:tr>
      <w:tr w14:paraId="796396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230" w:type="pct"/>
            <w:vAlign w:val="center"/>
          </w:tcPr>
          <w:p w14:paraId="022D22E3">
            <w:pPr>
              <w:widowControl w:val="0"/>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1</w:t>
            </w:r>
          </w:p>
        </w:tc>
        <w:tc>
          <w:tcPr>
            <w:tcW w:w="603" w:type="pct"/>
            <w:vAlign w:val="center"/>
          </w:tcPr>
          <w:p w14:paraId="18A008A7">
            <w:pPr>
              <w:widowControl w:val="0"/>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废水污染治理</w:t>
            </w:r>
          </w:p>
        </w:tc>
        <w:tc>
          <w:tcPr>
            <w:tcW w:w="3089" w:type="pct"/>
            <w:vAlign w:val="center"/>
          </w:tcPr>
          <w:p w14:paraId="5043BC6F">
            <w:pPr>
              <w:widowControl w:val="0"/>
              <w:adjustRightInd w:val="0"/>
              <w:snapToGrid w:val="0"/>
              <w:spacing w:before="60" w:after="60"/>
              <w:jc w:val="center"/>
              <w:rPr>
                <w:rFonts w:ascii="Times New Roman" w:hAnsi="Times New Roman" w:cs="Times New Roman"/>
                <w:color w:val="000000" w:themeColor="text1"/>
                <w:sz w:val="21"/>
                <w:lang w:eastAsia="zh-CN"/>
                <w14:textFill>
                  <w14:solidFill>
                    <w14:schemeClr w14:val="tx1"/>
                  </w14:solidFill>
                </w14:textFill>
              </w:rPr>
            </w:pPr>
            <w:r>
              <w:rPr>
                <w:rFonts w:ascii="Times New Roman" w:hAnsi="Times New Roman" w:cs="Times New Roman"/>
                <w:color w:val="000000" w:themeColor="text1"/>
                <w:sz w:val="21"/>
                <w:lang w:eastAsia="zh-CN"/>
                <w14:textFill>
                  <w14:solidFill>
                    <w14:schemeClr w14:val="tx1"/>
                  </w14:solidFill>
                </w14:textFill>
              </w:rPr>
              <w:t>项目碱喷淋塔置换废水、地面清洁废水依托现有厂区污水处理站“四级除氟反应+四级除氟沉淀”处理后，与循环冷却置换废水</w:t>
            </w:r>
            <w:r>
              <w:rPr>
                <w:rFonts w:hint="eastAsia" w:ascii="Times New Roman" w:hAnsi="Times New Roman" w:cs="Times New Roman"/>
                <w:color w:val="000000" w:themeColor="text1"/>
                <w:sz w:val="21"/>
                <w:lang w:eastAsia="zh-CN"/>
                <w14:textFill>
                  <w14:solidFill>
                    <w14:schemeClr w14:val="tx1"/>
                  </w14:solidFill>
                </w14:textFill>
              </w:rPr>
              <w:t>、生活污水</w:t>
            </w:r>
            <w:r>
              <w:rPr>
                <w:rFonts w:ascii="Times New Roman" w:hAnsi="Times New Roman" w:cs="Times New Roman"/>
                <w:color w:val="000000" w:themeColor="text1"/>
                <w:sz w:val="21"/>
                <w:lang w:eastAsia="zh-CN"/>
                <w14:textFill>
                  <w14:solidFill>
                    <w14:schemeClr w14:val="tx1"/>
                  </w14:solidFill>
                </w14:textFill>
              </w:rPr>
              <w:t>一同排入园区污水管网，进入沫河口污水处理厂处理达标排放。</w:t>
            </w:r>
          </w:p>
          <w:p w14:paraId="06755CA9">
            <w:pPr>
              <w:widowControl w:val="0"/>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厂区污水处理站废水能力为</w:t>
            </w:r>
            <w:r>
              <w:rPr>
                <w:rFonts w:hint="eastAsia" w:ascii="Times New Roman" w:hAnsi="Times New Roman" w:cs="Times New Roman"/>
                <w:color w:val="auto"/>
                <w:sz w:val="21"/>
                <w:lang w:eastAsia="zh-CN"/>
              </w:rPr>
              <w:t>4</w:t>
            </w:r>
            <w:r>
              <w:rPr>
                <w:rFonts w:hint="eastAsia" w:ascii="Times New Roman" w:hAnsi="Times New Roman" w:cs="Times New Roman"/>
                <w:bCs/>
                <w:color w:val="auto"/>
                <w:sz w:val="21"/>
                <w:lang w:eastAsia="zh-CN"/>
              </w:rPr>
              <w:t>0</w:t>
            </w:r>
            <w:r>
              <w:rPr>
                <w:rFonts w:ascii="Times New Roman" w:hAnsi="Times New Roman" w:cs="Times New Roman"/>
                <w:color w:val="auto"/>
                <w:sz w:val="21"/>
                <w:lang w:eastAsia="zh-CN"/>
              </w:rPr>
              <w:t>m</w:t>
            </w:r>
            <w:r>
              <w:rPr>
                <w:rFonts w:ascii="Times New Roman" w:hAnsi="Times New Roman" w:cs="Times New Roman"/>
                <w:color w:val="auto"/>
                <w:sz w:val="21"/>
                <w:vertAlign w:val="superscript"/>
                <w:lang w:eastAsia="zh-CN"/>
              </w:rPr>
              <w:t>3</w:t>
            </w:r>
            <w:r>
              <w:rPr>
                <w:rFonts w:ascii="Times New Roman" w:hAnsi="Times New Roman" w:cs="Times New Roman"/>
                <w:bCs/>
                <w:color w:val="auto"/>
                <w:sz w:val="21"/>
                <w:lang w:eastAsia="zh-CN"/>
              </w:rPr>
              <w:t>/d</w:t>
            </w:r>
            <w:r>
              <w:rPr>
                <w:rFonts w:hint="eastAsia" w:ascii="Times New Roman" w:hAnsi="Times New Roman" w:cs="Times New Roman"/>
                <w:bCs/>
                <w:color w:val="auto"/>
                <w:sz w:val="21"/>
                <w:lang w:eastAsia="zh-CN"/>
              </w:rPr>
              <w:t>。</w:t>
            </w:r>
          </w:p>
        </w:tc>
        <w:tc>
          <w:tcPr>
            <w:tcW w:w="1078" w:type="pct"/>
            <w:vAlign w:val="center"/>
          </w:tcPr>
          <w:p w14:paraId="5F707C76">
            <w:pPr>
              <w:widowControl w:val="0"/>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满足沫河口污水处理厂接管标准</w:t>
            </w:r>
            <w:r>
              <w:rPr>
                <w:rFonts w:hint="eastAsia" w:ascii="Times New Roman" w:hAnsi="Times New Roman" w:cs="Times New Roman"/>
                <w:color w:val="auto"/>
                <w:sz w:val="21"/>
                <w:lang w:eastAsia="zh-CN"/>
              </w:rPr>
              <w:t>及</w:t>
            </w:r>
            <w:r>
              <w:rPr>
                <w:rFonts w:ascii="Times New Roman" w:hAnsi="Times New Roman" w:cs="Times New Roman"/>
                <w:color w:val="auto"/>
                <w:sz w:val="21"/>
                <w:lang w:eastAsia="zh-CN"/>
              </w:rPr>
              <w:t>《无机化学工业污染物排放标准》（GB31573-2015）</w:t>
            </w:r>
            <w:r>
              <w:rPr>
                <w:rFonts w:hint="eastAsia" w:ascii="Times New Roman" w:hAnsi="Times New Roman" w:cs="Times New Roman"/>
                <w:color w:val="auto"/>
                <w:sz w:val="21"/>
                <w:lang w:eastAsia="zh-CN"/>
              </w:rPr>
              <w:t>、</w:t>
            </w:r>
            <w:r>
              <w:rPr>
                <w:rFonts w:ascii="Times New Roman" w:hAnsi="Times New Roman" w:cs="Times New Roman"/>
                <w:color w:val="auto"/>
                <w:sz w:val="21"/>
                <w:lang w:eastAsia="zh-CN"/>
              </w:rPr>
              <w:t>《电子工业水污染物排放标准》（GB39731-2020）排放限值要求</w:t>
            </w:r>
          </w:p>
        </w:tc>
      </w:tr>
      <w:tr w14:paraId="38F13D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230" w:type="pct"/>
            <w:vAlign w:val="center"/>
          </w:tcPr>
          <w:p w14:paraId="7C8352F7">
            <w:pPr>
              <w:widowControl w:val="0"/>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2</w:t>
            </w:r>
          </w:p>
        </w:tc>
        <w:tc>
          <w:tcPr>
            <w:tcW w:w="603" w:type="pct"/>
            <w:vAlign w:val="center"/>
          </w:tcPr>
          <w:p w14:paraId="5512CBFC">
            <w:pPr>
              <w:widowControl w:val="0"/>
              <w:adjustRightInd w:val="0"/>
              <w:snapToGrid w:val="0"/>
              <w:spacing w:before="60" w:after="6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废气治理</w:t>
            </w:r>
          </w:p>
        </w:tc>
        <w:tc>
          <w:tcPr>
            <w:tcW w:w="3089" w:type="pct"/>
            <w:vAlign w:val="center"/>
          </w:tcPr>
          <w:p w14:paraId="754CD9FA">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化学纯氢氟酸生产过程中产生的进料废气、混合废气、调配废气</w:t>
            </w:r>
            <w:r>
              <w:rPr>
                <w:rFonts w:hint="eastAsia" w:ascii="Times New Roman" w:hAnsi="Times New Roman" w:cs="Times New Roman"/>
                <w:color w:val="auto"/>
                <w:sz w:val="21"/>
                <w:lang w:eastAsia="zh-CN"/>
              </w:rPr>
              <w:t>、</w:t>
            </w:r>
            <w:r>
              <w:rPr>
                <w:rFonts w:hint="eastAsia" w:ascii="宋体" w:hAnsi="宋体" w:cs="Cambria Math"/>
                <w:color w:val="auto"/>
                <w:sz w:val="21"/>
                <w:lang w:eastAsia="zh-CN"/>
              </w:rPr>
              <w:t>原料及产品罐区</w:t>
            </w:r>
            <w:r>
              <w:rPr>
                <w:rFonts w:ascii="Times New Roman" w:hAnsi="Times New Roman" w:cs="Times New Roman"/>
                <w:color w:val="auto"/>
                <w:sz w:val="21"/>
                <w:lang w:eastAsia="zh-CN"/>
              </w:rPr>
              <w:t>15%氟化氢水溶液储罐、化学纯氢氟酸储罐呼吸气经管道</w:t>
            </w:r>
            <w:r>
              <w:rPr>
                <w:rFonts w:hint="eastAsia" w:ascii="Times New Roman" w:hAnsi="Times New Roman" w:cs="Times New Roman"/>
                <w:color w:val="auto"/>
                <w:sz w:val="21"/>
                <w:lang w:eastAsia="zh-CN"/>
              </w:rPr>
              <w:t>收集，</w:t>
            </w:r>
            <w:r>
              <w:rPr>
                <w:rFonts w:ascii="Times New Roman" w:hAnsi="Times New Roman" w:cs="Times New Roman"/>
                <w:color w:val="auto"/>
                <w:sz w:val="21"/>
                <w:lang w:eastAsia="zh-CN"/>
              </w:rPr>
              <w:t>灌装废气经密闭负压收集</w:t>
            </w:r>
            <w:r>
              <w:rPr>
                <w:rFonts w:hint="eastAsia" w:ascii="Times New Roman" w:hAnsi="Times New Roman" w:cs="Times New Roman"/>
                <w:color w:val="auto"/>
                <w:sz w:val="21"/>
                <w:lang w:eastAsia="zh-CN"/>
              </w:rPr>
              <w:t>，收集后废气进入</w:t>
            </w:r>
            <w:r>
              <w:rPr>
                <w:rFonts w:ascii="Times New Roman" w:hAnsi="Times New Roman" w:cs="Times New Roman"/>
                <w:color w:val="auto"/>
                <w:sz w:val="21"/>
                <w:lang w:eastAsia="zh-CN"/>
              </w:rPr>
              <w:t>现有二级水喷淋塔（TA001）处理；</w:t>
            </w:r>
          </w:p>
          <w:p w14:paraId="20534295">
            <w:pPr>
              <w:widowControl w:val="0"/>
              <w:adjustRightInd w:val="0"/>
              <w:snapToGrid w:val="0"/>
              <w:jc w:val="center"/>
              <w:rPr>
                <w:rFonts w:ascii="Times New Roman" w:hAnsi="Times New Roman" w:cs="Times New Roman"/>
                <w:color w:val="auto"/>
                <w:sz w:val="21"/>
                <w:lang w:eastAsia="zh-CN"/>
              </w:rPr>
            </w:pPr>
            <w:r>
              <w:rPr>
                <w:rFonts w:hint="eastAsia" w:ascii="宋体" w:hAnsi="宋体" w:cs="Cambria Math"/>
                <w:color w:val="auto"/>
                <w:sz w:val="21"/>
                <w:lang w:eastAsia="zh-CN"/>
              </w:rPr>
              <w:t>刻蚀液生产过程中产生的进料混合废气、调配废气、戊类罐区二</w:t>
            </w:r>
            <w:r>
              <w:rPr>
                <w:rFonts w:ascii="Times New Roman" w:hAnsi="Times New Roman" w:cs="Times New Roman"/>
                <w:color w:val="auto"/>
                <w:sz w:val="21"/>
                <w:lang w:eastAsia="zh-CN"/>
              </w:rPr>
              <w:t>31%盐酸储罐、化学纯氢氟酸储罐、刻蚀液储罐呼吸气经管道</w:t>
            </w:r>
            <w:r>
              <w:rPr>
                <w:rFonts w:hint="eastAsia" w:ascii="Times New Roman" w:hAnsi="Times New Roman" w:cs="Times New Roman"/>
                <w:color w:val="auto"/>
                <w:sz w:val="21"/>
                <w:lang w:eastAsia="zh-CN"/>
              </w:rPr>
              <w:t>收集进入</w:t>
            </w:r>
            <w:r>
              <w:rPr>
                <w:rFonts w:ascii="Times New Roman" w:hAnsi="Times New Roman" w:cs="Times New Roman"/>
                <w:color w:val="auto"/>
                <w:sz w:val="21"/>
                <w:lang w:eastAsia="zh-CN"/>
              </w:rPr>
              <w:t>本次新增二级水喷淋塔（TA003）装置处理</w:t>
            </w:r>
            <w:r>
              <w:rPr>
                <w:rFonts w:hint="eastAsia" w:ascii="Times New Roman" w:hAnsi="Times New Roman" w:cs="Times New Roman"/>
                <w:color w:val="auto"/>
                <w:sz w:val="21"/>
                <w:lang w:eastAsia="zh-CN"/>
              </w:rPr>
              <w:t>；</w:t>
            </w:r>
          </w:p>
          <w:p w14:paraId="4D285EEF">
            <w:pPr>
              <w:widowControl w:val="0"/>
              <w:adjustRightInd w:val="0"/>
              <w:snapToGrid w:val="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处理后废气</w:t>
            </w:r>
            <w:r>
              <w:rPr>
                <w:rFonts w:hint="eastAsia" w:ascii="Times New Roman" w:hAnsi="Times New Roman" w:cs="Times New Roman"/>
                <w:color w:val="auto"/>
                <w:sz w:val="21"/>
                <w:lang w:eastAsia="zh-CN"/>
              </w:rPr>
              <w:t>经</w:t>
            </w:r>
            <w:r>
              <w:rPr>
                <w:rFonts w:ascii="Times New Roman" w:hAnsi="Times New Roman" w:cs="Times New Roman"/>
                <w:color w:val="auto"/>
                <w:sz w:val="21"/>
                <w:lang w:eastAsia="zh-CN"/>
              </w:rPr>
              <w:t>现有三级碱喷淋塔（TA002）</w:t>
            </w:r>
            <w:r>
              <w:rPr>
                <w:rFonts w:hint="eastAsia" w:ascii="Times New Roman" w:hAnsi="Times New Roman" w:cs="Times New Roman"/>
                <w:color w:val="auto"/>
                <w:sz w:val="21"/>
                <w:lang w:eastAsia="zh-CN"/>
              </w:rPr>
              <w:t>+新增一</w:t>
            </w:r>
            <w:r>
              <w:rPr>
                <w:rFonts w:ascii="Times New Roman" w:hAnsi="Times New Roman" w:cs="Times New Roman"/>
                <w:color w:val="auto"/>
                <w:sz w:val="21"/>
                <w:lang w:eastAsia="zh-CN"/>
              </w:rPr>
              <w:t>级碱喷淋塔（TA00</w:t>
            </w:r>
            <w:r>
              <w:rPr>
                <w:rFonts w:hint="eastAsia" w:ascii="Times New Roman" w:hAnsi="Times New Roman" w:cs="Times New Roman"/>
                <w:color w:val="auto"/>
                <w:sz w:val="21"/>
                <w:lang w:eastAsia="zh-CN"/>
              </w:rPr>
              <w:t>4</w:t>
            </w:r>
            <w:r>
              <w:rPr>
                <w:rFonts w:ascii="Times New Roman" w:hAnsi="Times New Roman" w:cs="Times New Roman"/>
                <w:color w:val="auto"/>
                <w:sz w:val="21"/>
                <w:lang w:eastAsia="zh-CN"/>
              </w:rPr>
              <w:t>）装置处理，处理后依托现有25m高DA001排气筒排放</w:t>
            </w:r>
            <w:r>
              <w:rPr>
                <w:rFonts w:hint="eastAsia" w:ascii="Times New Roman" w:hAnsi="Times New Roman" w:cs="Times New Roman"/>
                <w:color w:val="auto"/>
                <w:sz w:val="21"/>
                <w:lang w:eastAsia="zh-CN"/>
              </w:rPr>
              <w:t>，现有风量11000m</w:t>
            </w:r>
            <w:r>
              <w:rPr>
                <w:rFonts w:hint="eastAsia" w:ascii="Times New Roman" w:hAnsi="Times New Roman" w:cs="Times New Roman"/>
                <w:color w:val="auto"/>
                <w:sz w:val="21"/>
                <w:vertAlign w:val="superscript"/>
                <w:lang w:eastAsia="zh-CN"/>
              </w:rPr>
              <w:t>3</w:t>
            </w:r>
            <w:r>
              <w:rPr>
                <w:rFonts w:hint="eastAsia" w:ascii="Times New Roman" w:hAnsi="Times New Roman" w:cs="Times New Roman"/>
                <w:color w:val="auto"/>
                <w:sz w:val="21"/>
                <w:lang w:eastAsia="zh-CN"/>
              </w:rPr>
              <w:t>/h，本次新增风量8000m</w:t>
            </w:r>
            <w:r>
              <w:rPr>
                <w:rFonts w:hint="eastAsia" w:ascii="Times New Roman" w:hAnsi="Times New Roman" w:cs="Times New Roman"/>
                <w:color w:val="auto"/>
                <w:sz w:val="21"/>
                <w:vertAlign w:val="superscript"/>
                <w:lang w:eastAsia="zh-CN"/>
              </w:rPr>
              <w:t>3</w:t>
            </w:r>
            <w:r>
              <w:rPr>
                <w:rFonts w:hint="eastAsia" w:ascii="Times New Roman" w:hAnsi="Times New Roman" w:cs="Times New Roman"/>
                <w:color w:val="auto"/>
                <w:sz w:val="21"/>
                <w:lang w:eastAsia="zh-CN"/>
              </w:rPr>
              <w:t>/h，总风量19000m</w:t>
            </w:r>
            <w:r>
              <w:rPr>
                <w:rFonts w:hint="eastAsia" w:ascii="Times New Roman" w:hAnsi="Times New Roman" w:cs="Times New Roman"/>
                <w:color w:val="auto"/>
                <w:sz w:val="21"/>
                <w:vertAlign w:val="superscript"/>
                <w:lang w:eastAsia="zh-CN"/>
              </w:rPr>
              <w:t>3</w:t>
            </w:r>
            <w:r>
              <w:rPr>
                <w:rFonts w:hint="eastAsia" w:ascii="Times New Roman" w:hAnsi="Times New Roman" w:cs="Times New Roman"/>
                <w:color w:val="auto"/>
                <w:sz w:val="21"/>
                <w:lang w:eastAsia="zh-CN"/>
              </w:rPr>
              <w:t>/h。</w:t>
            </w:r>
          </w:p>
        </w:tc>
        <w:tc>
          <w:tcPr>
            <w:tcW w:w="1078" w:type="pct"/>
            <w:vAlign w:val="center"/>
          </w:tcPr>
          <w:p w14:paraId="20CECF3E">
            <w:pPr>
              <w:widowControl w:val="0"/>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《无机化学工业污染物排放标准》（GB31573-2015）</w:t>
            </w:r>
          </w:p>
        </w:tc>
      </w:tr>
      <w:tr w14:paraId="3E9FDE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0" w:type="pct"/>
            <w:vAlign w:val="center"/>
          </w:tcPr>
          <w:p w14:paraId="72BBA169">
            <w:pPr>
              <w:widowControl w:val="0"/>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3</w:t>
            </w:r>
          </w:p>
        </w:tc>
        <w:tc>
          <w:tcPr>
            <w:tcW w:w="603" w:type="pct"/>
            <w:vAlign w:val="center"/>
          </w:tcPr>
          <w:p w14:paraId="232C31DB">
            <w:pPr>
              <w:widowControl w:val="0"/>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噪声污染治理</w:t>
            </w:r>
          </w:p>
        </w:tc>
        <w:tc>
          <w:tcPr>
            <w:tcW w:w="3089" w:type="pct"/>
            <w:vAlign w:val="center"/>
          </w:tcPr>
          <w:p w14:paraId="71816A02">
            <w:pPr>
              <w:widowControl w:val="0"/>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选用低噪声设备，通过合理布局、基础减震、隔声、消声等措施来降低噪声</w:t>
            </w:r>
          </w:p>
        </w:tc>
        <w:tc>
          <w:tcPr>
            <w:tcW w:w="1078" w:type="pct"/>
            <w:vAlign w:val="center"/>
          </w:tcPr>
          <w:p w14:paraId="27A9F81B">
            <w:pPr>
              <w:widowControl w:val="0"/>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《工业企业厂界环境噪声排放标准》(GB12348-2008)中3类标准</w:t>
            </w:r>
          </w:p>
        </w:tc>
      </w:tr>
      <w:tr w14:paraId="740393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0" w:type="pct"/>
            <w:vMerge w:val="restart"/>
            <w:vAlign w:val="center"/>
          </w:tcPr>
          <w:p w14:paraId="1623F0E9">
            <w:pPr>
              <w:widowControl w:val="0"/>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4</w:t>
            </w:r>
          </w:p>
        </w:tc>
        <w:tc>
          <w:tcPr>
            <w:tcW w:w="603" w:type="pct"/>
            <w:vMerge w:val="restart"/>
            <w:vAlign w:val="center"/>
          </w:tcPr>
          <w:p w14:paraId="7BDDC5CD">
            <w:pPr>
              <w:widowControl w:val="0"/>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固废污染治理</w:t>
            </w:r>
          </w:p>
        </w:tc>
        <w:tc>
          <w:tcPr>
            <w:tcW w:w="3089" w:type="pct"/>
            <w:vAlign w:val="center"/>
          </w:tcPr>
          <w:p w14:paraId="05FA3B4B">
            <w:pPr>
              <w:widowControl w:val="0"/>
              <w:adjustRightInd w:val="0"/>
              <w:snapToGrid w:val="0"/>
              <w:spacing w:before="60" w:after="6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依托现有厂区</w:t>
            </w:r>
            <w:r>
              <w:rPr>
                <w:rFonts w:ascii="Times New Roman" w:hAnsi="Times New Roman" w:cs="Times New Roman"/>
                <w:color w:val="000000" w:themeColor="text1"/>
                <w:sz w:val="21"/>
                <w:lang w:eastAsia="zh-CN"/>
                <w14:textFill>
                  <w14:solidFill>
                    <w14:schemeClr w14:val="tx1"/>
                  </w14:solidFill>
                </w14:textFill>
              </w:rPr>
              <w:t>1间危险废物暂存间，占地</w:t>
            </w:r>
            <w:r>
              <w:rPr>
                <w:rFonts w:hint="eastAsia" w:ascii="Times New Roman" w:hAnsi="Times New Roman" w:cs="Times New Roman"/>
                <w:color w:val="000000" w:themeColor="text1"/>
                <w:sz w:val="21"/>
                <w:lang w:eastAsia="zh-CN"/>
                <w14:textFill>
                  <w14:solidFill>
                    <w14:schemeClr w14:val="tx1"/>
                  </w14:solidFill>
                </w14:textFill>
              </w:rPr>
              <w:t>面积120</w:t>
            </w:r>
            <w:r>
              <w:rPr>
                <w:rFonts w:ascii="Times New Roman" w:hAnsi="Times New Roman" w:cs="Times New Roman"/>
                <w:color w:val="000000" w:themeColor="text1"/>
                <w:sz w:val="21"/>
                <w:lang w:eastAsia="zh-CN"/>
                <w14:textFill>
                  <w14:solidFill>
                    <w14:schemeClr w14:val="tx1"/>
                  </w14:solidFill>
                </w14:textFill>
              </w:rPr>
              <w:t>m</w:t>
            </w:r>
            <w:r>
              <w:rPr>
                <w:rFonts w:ascii="Times New Roman" w:hAnsi="Times New Roman" w:cs="Times New Roman"/>
                <w:color w:val="000000" w:themeColor="text1"/>
                <w:sz w:val="21"/>
                <w:vertAlign w:val="superscript"/>
                <w:lang w:eastAsia="zh-CN"/>
                <w14:textFill>
                  <w14:solidFill>
                    <w14:schemeClr w14:val="tx1"/>
                  </w14:solidFill>
                </w14:textFill>
              </w:rPr>
              <w:t>2</w:t>
            </w:r>
            <w:r>
              <w:rPr>
                <w:rFonts w:ascii="Times New Roman" w:hAnsi="Times New Roman" w:cs="Times New Roman"/>
                <w:color w:val="000000" w:themeColor="text1"/>
                <w:sz w:val="21"/>
                <w:lang w:eastAsia="zh-CN"/>
                <w14:textFill>
                  <w14:solidFill>
                    <w14:schemeClr w14:val="tx1"/>
                  </w14:solidFill>
                </w14:textFill>
              </w:rPr>
              <w:t>，</w:t>
            </w:r>
            <w:r>
              <w:rPr>
                <w:rFonts w:hint="eastAsia" w:ascii="Times New Roman" w:hAnsi="Times New Roman" w:cs="Times New Roman"/>
                <w:color w:val="000000" w:themeColor="text1"/>
                <w:sz w:val="21"/>
                <w:lang w:eastAsia="zh-CN"/>
                <w14:textFill>
                  <w14:solidFill>
                    <w14:schemeClr w14:val="tx1"/>
                  </w14:solidFill>
                </w14:textFill>
              </w:rPr>
              <w:t>已</w:t>
            </w:r>
            <w:r>
              <w:rPr>
                <w:rFonts w:ascii="Times New Roman" w:hAnsi="Times New Roman" w:cs="Times New Roman"/>
                <w:color w:val="000000" w:themeColor="text1"/>
                <w:sz w:val="21"/>
                <w:lang w:eastAsia="zh-CN"/>
                <w14:textFill>
                  <w14:solidFill>
                    <w14:schemeClr w14:val="tx1"/>
                  </w14:solidFill>
                </w14:textFill>
              </w:rPr>
              <w:t>落实“六防”</w:t>
            </w:r>
          </w:p>
        </w:tc>
        <w:tc>
          <w:tcPr>
            <w:tcW w:w="1078" w:type="pct"/>
            <w:vMerge w:val="restart"/>
            <w:vAlign w:val="center"/>
          </w:tcPr>
          <w:p w14:paraId="6BC15C6C">
            <w:pPr>
              <w:widowControl w:val="0"/>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满足环保管理要求</w:t>
            </w:r>
          </w:p>
        </w:tc>
      </w:tr>
      <w:tr w14:paraId="021B61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0" w:type="pct"/>
            <w:vMerge w:val="continue"/>
            <w:vAlign w:val="center"/>
          </w:tcPr>
          <w:p w14:paraId="501D2FBF">
            <w:pPr>
              <w:widowControl w:val="0"/>
              <w:adjustRightInd w:val="0"/>
              <w:snapToGrid w:val="0"/>
              <w:spacing w:before="60" w:after="60"/>
              <w:jc w:val="center"/>
              <w:rPr>
                <w:rFonts w:ascii="Times New Roman" w:hAnsi="Times New Roman" w:cs="Times New Roman"/>
                <w:color w:val="auto"/>
                <w:sz w:val="21"/>
                <w:lang w:eastAsia="zh-CN"/>
              </w:rPr>
            </w:pPr>
          </w:p>
        </w:tc>
        <w:tc>
          <w:tcPr>
            <w:tcW w:w="603" w:type="pct"/>
            <w:vMerge w:val="continue"/>
            <w:vAlign w:val="center"/>
          </w:tcPr>
          <w:p w14:paraId="0ABDA10F">
            <w:pPr>
              <w:widowControl w:val="0"/>
              <w:adjustRightInd w:val="0"/>
              <w:snapToGrid w:val="0"/>
              <w:spacing w:before="60" w:after="60"/>
              <w:jc w:val="center"/>
              <w:rPr>
                <w:rFonts w:ascii="Times New Roman" w:hAnsi="Times New Roman" w:cs="Times New Roman"/>
                <w:color w:val="auto"/>
                <w:sz w:val="21"/>
                <w:lang w:eastAsia="zh-CN"/>
              </w:rPr>
            </w:pPr>
          </w:p>
        </w:tc>
        <w:tc>
          <w:tcPr>
            <w:tcW w:w="3089" w:type="pct"/>
            <w:vAlign w:val="center"/>
          </w:tcPr>
          <w:p w14:paraId="27D87ACB">
            <w:pPr>
              <w:widowControl w:val="0"/>
              <w:adjustRightInd w:val="0"/>
              <w:snapToGrid w:val="0"/>
              <w:spacing w:before="60" w:after="6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依托现有厂区</w:t>
            </w:r>
            <w:r>
              <w:rPr>
                <w:rFonts w:ascii="Times New Roman" w:hAnsi="Times New Roman" w:cs="Times New Roman"/>
                <w:color w:val="000000" w:themeColor="text1"/>
                <w:sz w:val="21"/>
                <w:lang w:eastAsia="zh-CN"/>
                <w14:textFill>
                  <w14:solidFill>
                    <w14:schemeClr w14:val="tx1"/>
                  </w14:solidFill>
                </w14:textFill>
              </w:rPr>
              <w:t>1间</w:t>
            </w:r>
            <w:r>
              <w:rPr>
                <w:rFonts w:hint="eastAsia" w:ascii="Times New Roman" w:hAnsi="Times New Roman" w:cs="Times New Roman"/>
                <w:color w:val="000000" w:themeColor="text1"/>
                <w:sz w:val="21"/>
                <w:lang w:eastAsia="zh-CN"/>
                <w14:textFill>
                  <w14:solidFill>
                    <w14:schemeClr w14:val="tx1"/>
                  </w14:solidFill>
                </w14:textFill>
              </w:rPr>
              <w:t>一般固废</w:t>
            </w:r>
            <w:r>
              <w:rPr>
                <w:rFonts w:ascii="Times New Roman" w:hAnsi="Times New Roman" w:cs="Times New Roman"/>
                <w:color w:val="000000" w:themeColor="text1"/>
                <w:sz w:val="21"/>
                <w:lang w:eastAsia="zh-CN"/>
                <w14:textFill>
                  <w14:solidFill>
                    <w14:schemeClr w14:val="tx1"/>
                  </w14:solidFill>
                </w14:textFill>
              </w:rPr>
              <w:t>暂存间，占地</w:t>
            </w:r>
            <w:r>
              <w:rPr>
                <w:rFonts w:hint="eastAsia" w:ascii="Times New Roman" w:hAnsi="Times New Roman" w:cs="Times New Roman"/>
                <w:color w:val="000000" w:themeColor="text1"/>
                <w:sz w:val="21"/>
                <w:lang w:eastAsia="zh-CN"/>
                <w14:textFill>
                  <w14:solidFill>
                    <w14:schemeClr w14:val="tx1"/>
                  </w14:solidFill>
                </w14:textFill>
              </w:rPr>
              <w:t>面积50</w:t>
            </w:r>
            <w:r>
              <w:rPr>
                <w:rFonts w:ascii="Times New Roman" w:hAnsi="Times New Roman" w:cs="Times New Roman"/>
                <w:color w:val="000000" w:themeColor="text1"/>
                <w:sz w:val="21"/>
                <w:lang w:eastAsia="zh-CN"/>
                <w14:textFill>
                  <w14:solidFill>
                    <w14:schemeClr w14:val="tx1"/>
                  </w14:solidFill>
                </w14:textFill>
              </w:rPr>
              <w:t>m</w:t>
            </w:r>
            <w:r>
              <w:rPr>
                <w:rFonts w:ascii="Times New Roman" w:hAnsi="Times New Roman" w:cs="Times New Roman"/>
                <w:color w:val="000000" w:themeColor="text1"/>
                <w:sz w:val="21"/>
                <w:vertAlign w:val="superscript"/>
                <w:lang w:eastAsia="zh-CN"/>
                <w14:textFill>
                  <w14:solidFill>
                    <w14:schemeClr w14:val="tx1"/>
                  </w14:solidFill>
                </w14:textFill>
              </w:rPr>
              <w:t>2</w:t>
            </w:r>
          </w:p>
        </w:tc>
        <w:tc>
          <w:tcPr>
            <w:tcW w:w="1078" w:type="pct"/>
            <w:vMerge w:val="continue"/>
            <w:vAlign w:val="center"/>
          </w:tcPr>
          <w:p w14:paraId="36EB7605">
            <w:pPr>
              <w:widowControl w:val="0"/>
              <w:adjustRightInd w:val="0"/>
              <w:snapToGrid w:val="0"/>
              <w:spacing w:before="60" w:after="60"/>
              <w:jc w:val="center"/>
              <w:rPr>
                <w:rFonts w:ascii="Times New Roman" w:hAnsi="Times New Roman" w:cs="Times New Roman"/>
                <w:color w:val="auto"/>
                <w:sz w:val="21"/>
                <w:lang w:eastAsia="zh-CN"/>
              </w:rPr>
            </w:pPr>
          </w:p>
        </w:tc>
      </w:tr>
      <w:tr w14:paraId="052E58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30" w:type="pct"/>
            <w:vMerge w:val="continue"/>
            <w:vAlign w:val="center"/>
          </w:tcPr>
          <w:p w14:paraId="0B92C327">
            <w:pPr>
              <w:widowControl w:val="0"/>
              <w:adjustRightInd w:val="0"/>
              <w:snapToGrid w:val="0"/>
              <w:spacing w:before="60" w:after="60"/>
              <w:jc w:val="center"/>
              <w:rPr>
                <w:rFonts w:ascii="Times New Roman" w:hAnsi="Times New Roman" w:cs="Times New Roman"/>
                <w:color w:val="auto"/>
                <w:sz w:val="21"/>
                <w:lang w:eastAsia="zh-CN"/>
              </w:rPr>
            </w:pPr>
          </w:p>
        </w:tc>
        <w:tc>
          <w:tcPr>
            <w:tcW w:w="603" w:type="pct"/>
            <w:vMerge w:val="continue"/>
            <w:vAlign w:val="center"/>
          </w:tcPr>
          <w:p w14:paraId="185553E3">
            <w:pPr>
              <w:widowControl w:val="0"/>
              <w:adjustRightInd w:val="0"/>
              <w:snapToGrid w:val="0"/>
              <w:spacing w:before="60" w:after="60"/>
              <w:jc w:val="center"/>
              <w:rPr>
                <w:rFonts w:ascii="Times New Roman" w:hAnsi="Times New Roman" w:cs="Times New Roman"/>
                <w:color w:val="auto"/>
                <w:sz w:val="21"/>
                <w:lang w:eastAsia="zh-CN"/>
              </w:rPr>
            </w:pPr>
          </w:p>
        </w:tc>
        <w:tc>
          <w:tcPr>
            <w:tcW w:w="3089" w:type="pct"/>
            <w:vAlign w:val="center"/>
          </w:tcPr>
          <w:p w14:paraId="1C7FDF18">
            <w:pPr>
              <w:widowControl w:val="0"/>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厂内员工生活垃圾环卫部门集中处置；</w:t>
            </w:r>
          </w:p>
        </w:tc>
        <w:tc>
          <w:tcPr>
            <w:tcW w:w="1078" w:type="pct"/>
            <w:vMerge w:val="continue"/>
            <w:vAlign w:val="center"/>
          </w:tcPr>
          <w:p w14:paraId="709E54F6">
            <w:pPr>
              <w:widowControl w:val="0"/>
              <w:adjustRightInd w:val="0"/>
              <w:snapToGrid w:val="0"/>
              <w:spacing w:before="60" w:after="60"/>
              <w:jc w:val="center"/>
              <w:rPr>
                <w:rFonts w:ascii="Times New Roman" w:hAnsi="Times New Roman" w:cs="Times New Roman"/>
                <w:color w:val="auto"/>
                <w:sz w:val="21"/>
                <w:lang w:eastAsia="zh-CN"/>
              </w:rPr>
            </w:pPr>
          </w:p>
        </w:tc>
      </w:tr>
      <w:tr w14:paraId="547A07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0" w:type="pct"/>
            <w:vMerge w:val="restart"/>
            <w:vAlign w:val="center"/>
          </w:tcPr>
          <w:p w14:paraId="5E147EC9">
            <w:pPr>
              <w:widowControl w:val="0"/>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5</w:t>
            </w:r>
          </w:p>
        </w:tc>
        <w:tc>
          <w:tcPr>
            <w:tcW w:w="603" w:type="pct"/>
            <w:vMerge w:val="restart"/>
            <w:vAlign w:val="center"/>
          </w:tcPr>
          <w:p w14:paraId="5350D70F">
            <w:pPr>
              <w:widowControl w:val="0"/>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环境风险防范</w:t>
            </w:r>
          </w:p>
        </w:tc>
        <w:tc>
          <w:tcPr>
            <w:tcW w:w="3089" w:type="pct"/>
            <w:vAlign w:val="center"/>
          </w:tcPr>
          <w:p w14:paraId="5F5745D2">
            <w:pPr>
              <w:widowControl w:val="0"/>
              <w:adjustRightInd w:val="0"/>
              <w:snapToGrid w:val="0"/>
              <w:spacing w:before="60" w:after="60"/>
              <w:jc w:val="center"/>
              <w:rPr>
                <w:rFonts w:ascii="Times New Roman" w:hAnsi="Times New Roman" w:cs="Times New Roman"/>
                <w:color w:val="auto"/>
                <w:sz w:val="21"/>
                <w:lang w:eastAsia="zh-CN"/>
              </w:rPr>
            </w:pPr>
            <w:r>
              <w:rPr>
                <w:rFonts w:hint="eastAsia" w:ascii="Times New Roman" w:hAnsi="Times New Roman" w:cs="Times New Roman"/>
                <w:color w:val="auto"/>
                <w:sz w:val="21"/>
                <w:lang w:eastAsia="zh-CN"/>
              </w:rPr>
              <w:t>依托现有厂区</w:t>
            </w:r>
            <w:r>
              <w:rPr>
                <w:rFonts w:ascii="Times New Roman" w:hAnsi="Times New Roman" w:cs="Times New Roman"/>
                <w:color w:val="auto"/>
                <w:sz w:val="21"/>
                <w:lang w:eastAsia="zh-CN"/>
              </w:rPr>
              <w:t>1座</w:t>
            </w:r>
            <w:r>
              <w:rPr>
                <w:rFonts w:hint="eastAsia" w:ascii="Times New Roman" w:hAnsi="Times New Roman" w:cs="Times New Roman"/>
                <w:color w:val="auto"/>
                <w:sz w:val="21"/>
                <w:lang w:eastAsia="zh-CN"/>
              </w:rPr>
              <w:t>672.3</w:t>
            </w:r>
            <w:r>
              <w:rPr>
                <w:rFonts w:ascii="Times New Roman" w:hAnsi="Times New Roman" w:cs="Times New Roman"/>
                <w:color w:val="auto"/>
                <w:sz w:val="21"/>
                <w:lang w:eastAsia="zh-CN"/>
              </w:rPr>
              <w:t>m</w:t>
            </w:r>
            <w:r>
              <w:rPr>
                <w:rFonts w:ascii="Times New Roman" w:hAnsi="Times New Roman" w:cs="Times New Roman"/>
                <w:color w:val="auto"/>
                <w:sz w:val="21"/>
                <w:vertAlign w:val="superscript"/>
                <w:lang w:eastAsia="zh-CN"/>
              </w:rPr>
              <w:t>3</w:t>
            </w:r>
            <w:r>
              <w:rPr>
                <w:rFonts w:ascii="Times New Roman" w:hAnsi="Times New Roman" w:cs="Times New Roman"/>
                <w:color w:val="auto"/>
                <w:sz w:val="21"/>
                <w:lang w:eastAsia="zh-CN"/>
              </w:rPr>
              <w:t>事故应急池和1座</w:t>
            </w:r>
            <w:r>
              <w:rPr>
                <w:rFonts w:hint="eastAsia" w:ascii="Times New Roman" w:hAnsi="Times New Roman" w:cs="Times New Roman"/>
                <w:color w:val="auto"/>
                <w:sz w:val="21"/>
                <w:lang w:eastAsia="zh-CN"/>
              </w:rPr>
              <w:t>426.9</w:t>
            </w:r>
            <w:r>
              <w:rPr>
                <w:rFonts w:ascii="Times New Roman" w:hAnsi="Times New Roman" w:cs="Times New Roman"/>
                <w:color w:val="auto"/>
                <w:sz w:val="21"/>
                <w:lang w:eastAsia="zh-CN"/>
              </w:rPr>
              <w:t>m</w:t>
            </w:r>
            <w:r>
              <w:rPr>
                <w:rFonts w:ascii="Times New Roman" w:hAnsi="Times New Roman" w:cs="Times New Roman"/>
                <w:color w:val="auto"/>
                <w:sz w:val="21"/>
                <w:vertAlign w:val="superscript"/>
                <w:lang w:eastAsia="zh-CN"/>
              </w:rPr>
              <w:t>3</w:t>
            </w:r>
            <w:r>
              <w:rPr>
                <w:rFonts w:ascii="Times New Roman" w:hAnsi="Times New Roman" w:cs="Times New Roman"/>
                <w:color w:val="auto"/>
                <w:sz w:val="21"/>
                <w:lang w:eastAsia="zh-CN"/>
              </w:rPr>
              <w:t>的初期雨水池。</w:t>
            </w:r>
          </w:p>
        </w:tc>
        <w:tc>
          <w:tcPr>
            <w:tcW w:w="1078" w:type="pct"/>
            <w:vMerge w:val="restart"/>
            <w:noWrap/>
            <w:vAlign w:val="center"/>
          </w:tcPr>
          <w:p w14:paraId="321E6E4B">
            <w:pPr>
              <w:widowControl w:val="0"/>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使事故风险可防控</w:t>
            </w:r>
          </w:p>
        </w:tc>
      </w:tr>
      <w:tr w14:paraId="308E5D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0" w:type="pct"/>
            <w:vMerge w:val="continue"/>
            <w:vAlign w:val="center"/>
          </w:tcPr>
          <w:p w14:paraId="687A607E">
            <w:pPr>
              <w:widowControl w:val="0"/>
              <w:adjustRightInd w:val="0"/>
              <w:snapToGrid w:val="0"/>
              <w:spacing w:before="60" w:after="60"/>
              <w:jc w:val="center"/>
              <w:rPr>
                <w:rFonts w:ascii="Times New Roman" w:hAnsi="Times New Roman" w:cs="Times New Roman"/>
                <w:color w:val="auto"/>
                <w:sz w:val="21"/>
                <w:lang w:eastAsia="zh-CN"/>
              </w:rPr>
            </w:pPr>
          </w:p>
        </w:tc>
        <w:tc>
          <w:tcPr>
            <w:tcW w:w="603" w:type="pct"/>
            <w:vMerge w:val="continue"/>
            <w:vAlign w:val="center"/>
          </w:tcPr>
          <w:p w14:paraId="39D4A175">
            <w:pPr>
              <w:widowControl w:val="0"/>
              <w:adjustRightInd w:val="0"/>
              <w:snapToGrid w:val="0"/>
              <w:spacing w:before="60" w:after="60"/>
              <w:jc w:val="center"/>
              <w:rPr>
                <w:rFonts w:ascii="Times New Roman" w:hAnsi="Times New Roman" w:cs="Times New Roman"/>
                <w:color w:val="auto"/>
                <w:sz w:val="21"/>
                <w:lang w:eastAsia="zh-CN"/>
              </w:rPr>
            </w:pPr>
          </w:p>
        </w:tc>
        <w:tc>
          <w:tcPr>
            <w:tcW w:w="3089" w:type="pct"/>
            <w:vAlign w:val="center"/>
          </w:tcPr>
          <w:p w14:paraId="0133258E">
            <w:pPr>
              <w:adjustRightInd w:val="0"/>
              <w:snapToGrid w:val="0"/>
              <w:jc w:val="center"/>
              <w:rPr>
                <w:rFonts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对刻蚀液混配</w:t>
            </w:r>
            <w:r>
              <w:rPr>
                <w:rFonts w:ascii="Times New Roman" w:hAnsi="Times New Roman" w:cs="Times New Roman"/>
                <w:color w:val="000000" w:themeColor="text1"/>
                <w:sz w:val="21"/>
                <w:lang w:eastAsia="zh-CN"/>
                <w14:textFill>
                  <w14:solidFill>
                    <w14:schemeClr w14:val="tx1"/>
                  </w14:solidFill>
                </w14:textFill>
              </w:rPr>
              <w:t>车间</w:t>
            </w:r>
            <w:r>
              <w:rPr>
                <w:rFonts w:hint="eastAsia" w:ascii="Times New Roman" w:hAnsi="Times New Roman" w:cs="Times New Roman"/>
                <w:color w:val="000000" w:themeColor="text1"/>
                <w:sz w:val="21"/>
                <w:lang w:eastAsia="zh-CN"/>
                <w14:textFill>
                  <w14:solidFill>
                    <w14:schemeClr w14:val="tx1"/>
                  </w14:solidFill>
                </w14:textFill>
              </w:rPr>
              <w:t>进行改造，刻蚀液混配</w:t>
            </w:r>
            <w:r>
              <w:rPr>
                <w:rFonts w:ascii="Times New Roman" w:hAnsi="Times New Roman" w:cs="Times New Roman"/>
                <w:color w:val="000000" w:themeColor="text1"/>
                <w:sz w:val="21"/>
                <w:lang w:eastAsia="zh-CN"/>
                <w14:textFill>
                  <w14:solidFill>
                    <w14:schemeClr w14:val="tx1"/>
                  </w14:solidFill>
                </w14:textFill>
              </w:rPr>
              <w:t>车间</w:t>
            </w:r>
            <w:r>
              <w:rPr>
                <w:rFonts w:hint="eastAsia" w:ascii="Times New Roman" w:hAnsi="Times New Roman" w:cs="Times New Roman"/>
                <w:color w:val="auto"/>
                <w:sz w:val="21"/>
                <w:lang w:eastAsia="zh-CN"/>
              </w:rPr>
              <w:t>设置围堰，</w:t>
            </w:r>
            <w:r>
              <w:rPr>
                <w:rFonts w:ascii="Times New Roman" w:hAnsi="Times New Roman" w:cs="Times New Roman"/>
                <w:color w:val="000000" w:themeColor="text1"/>
                <w:sz w:val="21"/>
                <w:lang w:eastAsia="zh-CN"/>
                <w14:textFill>
                  <w14:solidFill>
                    <w14:schemeClr w14:val="tx1"/>
                  </w14:solidFill>
                </w14:textFill>
              </w:rPr>
              <w:t>安装有毒有害气体</w:t>
            </w:r>
            <w:r>
              <w:rPr>
                <w:rFonts w:hint="eastAsia" w:ascii="Times New Roman" w:hAnsi="Times New Roman" w:cs="Times New Roman"/>
                <w:color w:val="000000" w:themeColor="text1"/>
                <w:sz w:val="21"/>
                <w:lang w:eastAsia="zh-CN"/>
                <w14:textFill>
                  <w14:solidFill>
                    <w14:schemeClr w14:val="tx1"/>
                  </w14:solidFill>
                </w14:textFill>
              </w:rPr>
              <w:t>探测器、气体泄漏</w:t>
            </w:r>
            <w:r>
              <w:rPr>
                <w:rFonts w:ascii="Times New Roman" w:hAnsi="Times New Roman" w:cs="Times New Roman"/>
                <w:color w:val="000000" w:themeColor="text1"/>
                <w:sz w:val="21"/>
                <w:lang w:eastAsia="zh-CN"/>
                <w14:textFill>
                  <w14:solidFill>
                    <w14:schemeClr w14:val="tx1"/>
                  </w14:solidFill>
                </w14:textFill>
              </w:rPr>
              <w:t>报警</w:t>
            </w:r>
            <w:r>
              <w:rPr>
                <w:rFonts w:hint="eastAsia" w:ascii="Times New Roman" w:hAnsi="Times New Roman" w:cs="Times New Roman"/>
                <w:color w:val="000000" w:themeColor="text1"/>
                <w:sz w:val="21"/>
                <w:lang w:eastAsia="zh-CN"/>
                <w14:textFill>
                  <w14:solidFill>
                    <w14:schemeClr w14:val="tx1"/>
                  </w14:solidFill>
                </w14:textFill>
              </w:rPr>
              <w:t>系统（连通终端中控室）</w:t>
            </w:r>
            <w:r>
              <w:rPr>
                <w:rFonts w:ascii="Times New Roman" w:hAnsi="Times New Roman" w:cs="Times New Roman"/>
                <w:color w:val="000000" w:themeColor="text1"/>
                <w:sz w:val="21"/>
                <w:lang w:eastAsia="zh-CN"/>
                <w14:textFill>
                  <w14:solidFill>
                    <w14:schemeClr w14:val="tx1"/>
                  </w14:solidFill>
                </w14:textFill>
              </w:rPr>
              <w:t>、紧急抽风系统及应急喷淋设施</w:t>
            </w:r>
            <w:r>
              <w:rPr>
                <w:rFonts w:hint="eastAsia" w:ascii="Times New Roman" w:hAnsi="Times New Roman" w:cs="Times New Roman"/>
                <w:color w:val="000000" w:themeColor="text1"/>
                <w:sz w:val="21"/>
                <w:lang w:eastAsia="zh-CN"/>
                <w14:textFill>
                  <w14:solidFill>
                    <w14:schemeClr w14:val="tx1"/>
                  </w14:solidFill>
                </w14:textFill>
              </w:rPr>
              <w:t>；</w:t>
            </w:r>
          </w:p>
          <w:p w14:paraId="2D42DD9F">
            <w:pPr>
              <w:widowControl w:val="0"/>
              <w:adjustRightInd w:val="0"/>
              <w:snapToGrid w:val="0"/>
              <w:spacing w:before="60" w:after="60"/>
              <w:jc w:val="center"/>
              <w:rPr>
                <w:rFonts w:ascii="Times New Roman" w:hAnsi="Times New Roman" w:cs="Times New Roman"/>
                <w:color w:val="auto"/>
                <w:sz w:val="21"/>
                <w:lang w:eastAsia="zh-CN"/>
              </w:rPr>
            </w:pPr>
            <w:r>
              <w:rPr>
                <w:rFonts w:hint="eastAsia" w:ascii="Times New Roman" w:hAnsi="Times New Roman" w:cs="Times New Roman"/>
                <w:color w:val="000000" w:themeColor="text1"/>
                <w:sz w:val="21"/>
                <w:lang w:eastAsia="zh-CN"/>
                <w14:textFill>
                  <w14:solidFill>
                    <w14:schemeClr w14:val="tx1"/>
                  </w14:solidFill>
                </w14:textFill>
              </w:rPr>
              <w:t>戊类罐区二设置围堰，</w:t>
            </w:r>
            <w:r>
              <w:rPr>
                <w:rFonts w:ascii="Times New Roman" w:hAnsi="Times New Roman" w:cs="Times New Roman"/>
                <w:color w:val="000000" w:themeColor="text1"/>
                <w:sz w:val="21"/>
                <w:lang w:eastAsia="zh-CN"/>
                <w14:textFill>
                  <w14:solidFill>
                    <w14:schemeClr w14:val="tx1"/>
                  </w14:solidFill>
                </w14:textFill>
              </w:rPr>
              <w:t>并配备有毒有害气体</w:t>
            </w:r>
            <w:r>
              <w:rPr>
                <w:rFonts w:hint="eastAsia" w:ascii="Times New Roman" w:hAnsi="Times New Roman" w:cs="Times New Roman"/>
                <w:color w:val="000000" w:themeColor="text1"/>
                <w:sz w:val="21"/>
                <w:lang w:eastAsia="zh-CN"/>
                <w14:textFill>
                  <w14:solidFill>
                    <w14:schemeClr w14:val="tx1"/>
                  </w14:solidFill>
                </w14:textFill>
              </w:rPr>
              <w:t>探测器、气体泄漏</w:t>
            </w:r>
            <w:r>
              <w:rPr>
                <w:rFonts w:ascii="Times New Roman" w:hAnsi="Times New Roman" w:cs="Times New Roman"/>
                <w:color w:val="000000" w:themeColor="text1"/>
                <w:sz w:val="21"/>
                <w:lang w:eastAsia="zh-CN"/>
                <w14:textFill>
                  <w14:solidFill>
                    <w14:schemeClr w14:val="tx1"/>
                  </w14:solidFill>
                </w14:textFill>
              </w:rPr>
              <w:t>报警</w:t>
            </w:r>
            <w:r>
              <w:rPr>
                <w:rFonts w:hint="eastAsia" w:ascii="Times New Roman" w:hAnsi="Times New Roman" w:cs="Times New Roman"/>
                <w:color w:val="000000" w:themeColor="text1"/>
                <w:sz w:val="21"/>
                <w:lang w:eastAsia="zh-CN"/>
                <w14:textFill>
                  <w14:solidFill>
                    <w14:schemeClr w14:val="tx1"/>
                  </w14:solidFill>
                </w14:textFill>
              </w:rPr>
              <w:t>系统（连通终端中控室）及</w:t>
            </w:r>
            <w:r>
              <w:rPr>
                <w:rFonts w:ascii="Times New Roman" w:hAnsi="Times New Roman" w:cs="Times New Roman"/>
                <w:color w:val="000000" w:themeColor="text1"/>
                <w:sz w:val="21"/>
                <w:lang w:eastAsia="zh-CN"/>
                <w14:textFill>
                  <w14:solidFill>
                    <w14:schemeClr w14:val="tx1"/>
                  </w14:solidFill>
                </w14:textFill>
              </w:rPr>
              <w:t>应急喷淋设施</w:t>
            </w:r>
            <w:r>
              <w:rPr>
                <w:rFonts w:hint="eastAsia" w:ascii="Times New Roman" w:hAnsi="Times New Roman" w:cs="Times New Roman"/>
                <w:color w:val="000000" w:themeColor="text1"/>
                <w:sz w:val="21"/>
                <w:lang w:eastAsia="zh-CN"/>
                <w14:textFill>
                  <w14:solidFill>
                    <w14:schemeClr w14:val="tx1"/>
                  </w14:solidFill>
                </w14:textFill>
              </w:rPr>
              <w:t>。</w:t>
            </w:r>
            <w:r>
              <w:rPr>
                <w:rFonts w:ascii="Times New Roman" w:hAnsi="Times New Roman" w:cs="Times New Roman"/>
                <w:color w:val="000000" w:themeColor="text1"/>
                <w:sz w:val="21"/>
                <w:lang w:eastAsia="zh-CN"/>
                <w14:textFill>
                  <w14:solidFill>
                    <w14:schemeClr w14:val="tx1"/>
                  </w14:solidFill>
                </w14:textFill>
              </w:rPr>
              <w:t>编制环境风险应急预案、企事业突发事件应急预案等</w:t>
            </w:r>
          </w:p>
        </w:tc>
        <w:tc>
          <w:tcPr>
            <w:tcW w:w="1078" w:type="pct"/>
            <w:vMerge w:val="continue"/>
            <w:vAlign w:val="center"/>
          </w:tcPr>
          <w:p w14:paraId="793CE79D">
            <w:pPr>
              <w:widowControl w:val="0"/>
              <w:adjustRightInd w:val="0"/>
              <w:snapToGrid w:val="0"/>
              <w:spacing w:before="60" w:after="60"/>
              <w:jc w:val="center"/>
              <w:rPr>
                <w:rFonts w:ascii="Times New Roman" w:hAnsi="Times New Roman" w:cs="Times New Roman"/>
                <w:color w:val="auto"/>
                <w:sz w:val="21"/>
                <w:lang w:eastAsia="zh-CN"/>
              </w:rPr>
            </w:pPr>
          </w:p>
        </w:tc>
      </w:tr>
      <w:tr w14:paraId="6C93C4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0" w:type="pct"/>
            <w:vMerge w:val="restart"/>
            <w:vAlign w:val="center"/>
          </w:tcPr>
          <w:p w14:paraId="60A523CE">
            <w:pPr>
              <w:widowControl w:val="0"/>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6</w:t>
            </w:r>
          </w:p>
        </w:tc>
        <w:tc>
          <w:tcPr>
            <w:tcW w:w="603" w:type="pct"/>
            <w:vMerge w:val="restart"/>
            <w:vAlign w:val="center"/>
          </w:tcPr>
          <w:p w14:paraId="3A5B73CC">
            <w:pPr>
              <w:widowControl w:val="0"/>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地下水污染防治</w:t>
            </w:r>
          </w:p>
        </w:tc>
        <w:tc>
          <w:tcPr>
            <w:tcW w:w="3089" w:type="pct"/>
            <w:vAlign w:val="center"/>
          </w:tcPr>
          <w:p w14:paraId="61762A68">
            <w:pPr>
              <w:widowControl w:val="0"/>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按“分区防渗”要求，落实不同区域的重点防渗和一般防渗措施</w:t>
            </w:r>
          </w:p>
        </w:tc>
        <w:tc>
          <w:tcPr>
            <w:tcW w:w="1078" w:type="pct"/>
            <w:noWrap/>
            <w:vAlign w:val="center"/>
          </w:tcPr>
          <w:p w14:paraId="0D45B4B2">
            <w:pPr>
              <w:widowControl w:val="0"/>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重点防渗满足等效黏土防渗层Mb≥6.0m，</w:t>
            </w:r>
          </w:p>
          <w:p w14:paraId="4631CD22">
            <w:pPr>
              <w:widowControl w:val="0"/>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K≤≤10</w:t>
            </w:r>
            <w:r>
              <w:rPr>
                <w:rFonts w:ascii="Times New Roman" w:hAnsi="Times New Roman" w:cs="Times New Roman"/>
                <w:color w:val="auto"/>
                <w:sz w:val="21"/>
                <w:vertAlign w:val="superscript"/>
                <w:lang w:eastAsia="zh-CN"/>
              </w:rPr>
              <w:t>-7</w:t>
            </w:r>
            <w:r>
              <w:rPr>
                <w:rFonts w:ascii="Times New Roman" w:hAnsi="Times New Roman" w:cs="Times New Roman"/>
                <w:color w:val="auto"/>
                <w:sz w:val="21"/>
                <w:lang w:eastAsia="zh-CN"/>
              </w:rPr>
              <w:t>cm/s要求，一般防渗满足等效黏土防渗层Mb≥1.5m，</w:t>
            </w:r>
          </w:p>
          <w:p w14:paraId="7F975B3A">
            <w:pPr>
              <w:widowControl w:val="0"/>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K≤≤10</w:t>
            </w:r>
            <w:r>
              <w:rPr>
                <w:rFonts w:ascii="Times New Roman" w:hAnsi="Times New Roman" w:cs="Times New Roman"/>
                <w:color w:val="auto"/>
                <w:sz w:val="21"/>
                <w:vertAlign w:val="superscript"/>
                <w:lang w:eastAsia="zh-CN"/>
              </w:rPr>
              <w:t>-7</w:t>
            </w:r>
            <w:r>
              <w:rPr>
                <w:rFonts w:ascii="Times New Roman" w:hAnsi="Times New Roman" w:cs="Times New Roman"/>
                <w:color w:val="auto"/>
                <w:sz w:val="21"/>
                <w:lang w:eastAsia="zh-CN"/>
              </w:rPr>
              <w:t>cm/s要求</w:t>
            </w:r>
          </w:p>
        </w:tc>
      </w:tr>
      <w:tr w14:paraId="751900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0" w:type="pct"/>
            <w:vMerge w:val="continue"/>
            <w:vAlign w:val="center"/>
          </w:tcPr>
          <w:p w14:paraId="7BD3C8B5">
            <w:pPr>
              <w:widowControl w:val="0"/>
              <w:adjustRightInd w:val="0"/>
              <w:snapToGrid w:val="0"/>
              <w:spacing w:before="60" w:after="60"/>
              <w:jc w:val="center"/>
              <w:rPr>
                <w:rFonts w:ascii="Times New Roman" w:hAnsi="Times New Roman" w:cs="Times New Roman"/>
                <w:color w:val="auto"/>
                <w:sz w:val="21"/>
                <w:lang w:eastAsia="zh-CN"/>
              </w:rPr>
            </w:pPr>
          </w:p>
        </w:tc>
        <w:tc>
          <w:tcPr>
            <w:tcW w:w="603" w:type="pct"/>
            <w:vMerge w:val="continue"/>
            <w:vAlign w:val="center"/>
          </w:tcPr>
          <w:p w14:paraId="06C7C051">
            <w:pPr>
              <w:widowControl w:val="0"/>
              <w:adjustRightInd w:val="0"/>
              <w:snapToGrid w:val="0"/>
              <w:spacing w:before="60" w:after="60"/>
              <w:jc w:val="center"/>
              <w:rPr>
                <w:rFonts w:ascii="Times New Roman" w:hAnsi="Times New Roman" w:cs="Times New Roman"/>
                <w:color w:val="auto"/>
                <w:sz w:val="21"/>
                <w:lang w:eastAsia="zh-CN"/>
              </w:rPr>
            </w:pPr>
          </w:p>
        </w:tc>
        <w:tc>
          <w:tcPr>
            <w:tcW w:w="3089" w:type="pct"/>
            <w:vAlign w:val="center"/>
          </w:tcPr>
          <w:p w14:paraId="3829A0F1">
            <w:pPr>
              <w:widowControl w:val="0"/>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地下水环境监测系统，</w:t>
            </w:r>
            <w:r>
              <w:rPr>
                <w:rFonts w:hint="eastAsia" w:ascii="Times New Roman" w:hAnsi="Times New Roman" w:cs="Times New Roman"/>
                <w:color w:val="auto"/>
                <w:sz w:val="21"/>
                <w:lang w:eastAsia="zh-CN"/>
              </w:rPr>
              <w:t>新增2</w:t>
            </w:r>
            <w:r>
              <w:rPr>
                <w:rFonts w:ascii="Times New Roman" w:hAnsi="Times New Roman" w:cs="Times New Roman"/>
                <w:color w:val="auto"/>
                <w:sz w:val="21"/>
                <w:lang w:eastAsia="zh-CN"/>
              </w:rPr>
              <w:t>座地下水跟踪监控井</w:t>
            </w:r>
          </w:p>
        </w:tc>
        <w:tc>
          <w:tcPr>
            <w:tcW w:w="1078" w:type="pct"/>
            <w:noWrap/>
            <w:vAlign w:val="center"/>
          </w:tcPr>
          <w:p w14:paraId="30101C43">
            <w:pPr>
              <w:widowControl w:val="0"/>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满足《环境影响评价技术导则 地下水环境》(HJ610-2016)要求</w:t>
            </w:r>
          </w:p>
        </w:tc>
      </w:tr>
      <w:tr w14:paraId="0E37FB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0" w:type="pct"/>
            <w:vAlign w:val="center"/>
          </w:tcPr>
          <w:p w14:paraId="5B38A148">
            <w:pPr>
              <w:widowControl w:val="0"/>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7</w:t>
            </w:r>
          </w:p>
        </w:tc>
        <w:tc>
          <w:tcPr>
            <w:tcW w:w="603" w:type="pct"/>
            <w:vAlign w:val="center"/>
          </w:tcPr>
          <w:p w14:paraId="26902DE3">
            <w:pPr>
              <w:widowControl w:val="0"/>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其他</w:t>
            </w:r>
          </w:p>
        </w:tc>
        <w:tc>
          <w:tcPr>
            <w:tcW w:w="3089" w:type="pct"/>
            <w:vAlign w:val="center"/>
          </w:tcPr>
          <w:p w14:paraId="043D1212">
            <w:pPr>
              <w:widowControl w:val="0"/>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厂区绿化</w:t>
            </w:r>
          </w:p>
        </w:tc>
        <w:tc>
          <w:tcPr>
            <w:tcW w:w="1078" w:type="pct"/>
            <w:noWrap/>
            <w:vAlign w:val="center"/>
          </w:tcPr>
          <w:p w14:paraId="35EADD49">
            <w:pPr>
              <w:widowControl w:val="0"/>
              <w:adjustRightInd w:val="0"/>
              <w:snapToGrid w:val="0"/>
              <w:spacing w:before="60" w:after="60"/>
              <w:jc w:val="center"/>
              <w:rPr>
                <w:rFonts w:ascii="Times New Roman" w:hAnsi="Times New Roman" w:cs="Times New Roman"/>
                <w:color w:val="auto"/>
                <w:sz w:val="21"/>
                <w:lang w:eastAsia="zh-CN"/>
              </w:rPr>
            </w:pPr>
            <w:r>
              <w:rPr>
                <w:rFonts w:ascii="Times New Roman" w:hAnsi="Times New Roman" w:cs="Times New Roman"/>
                <w:color w:val="auto"/>
                <w:sz w:val="21"/>
                <w:lang w:eastAsia="zh-CN"/>
              </w:rPr>
              <w:t>满足环保管理要求</w:t>
            </w:r>
          </w:p>
        </w:tc>
      </w:tr>
    </w:tbl>
    <w:p w14:paraId="14B68B5A">
      <w:pPr>
        <w:spacing w:line="360" w:lineRule="auto"/>
        <w:ind w:firstLine="480" w:firstLineChars="200"/>
        <w:rPr>
          <w:rFonts w:ascii="Times New Roman" w:hAnsi="Times New Roman" w:cs="Times New Roman"/>
          <w:color w:val="auto"/>
          <w:lang w:eastAsia="zh-CN"/>
        </w:rPr>
        <w:sectPr>
          <w:pgSz w:w="16840" w:h="11907" w:orient="landscape"/>
          <w:pgMar w:top="1134" w:right="1191" w:bottom="1134" w:left="1191" w:header="933" w:footer="671" w:gutter="0"/>
          <w:cols w:space="720" w:num="1"/>
        </w:sectPr>
      </w:pPr>
    </w:p>
    <w:p w14:paraId="3A0CB8FD">
      <w:pPr>
        <w:spacing w:line="360" w:lineRule="auto"/>
        <w:ind w:firstLine="562"/>
        <w:outlineLvl w:val="1"/>
        <w:rPr>
          <w:rFonts w:ascii="Times New Roman" w:hAnsi="Times New Roman" w:cs="Times New Roman"/>
          <w:b/>
          <w:bCs/>
          <w:color w:val="auto"/>
          <w:sz w:val="28"/>
          <w:szCs w:val="22"/>
          <w:lang w:eastAsia="zh-CN"/>
        </w:rPr>
      </w:pPr>
      <w:bookmarkStart w:id="3021" w:name="_Toc173740423"/>
      <w:bookmarkStart w:id="3022" w:name="_Toc172555789"/>
      <w:bookmarkStart w:id="3023" w:name="_Toc237508452"/>
      <w:r>
        <w:rPr>
          <w:rFonts w:ascii="Times New Roman" w:hAnsi="Times New Roman" w:cs="Times New Roman"/>
          <w:b/>
          <w:bCs/>
          <w:color w:val="auto"/>
          <w:sz w:val="28"/>
          <w:szCs w:val="22"/>
          <w:lang w:eastAsia="zh-CN"/>
        </w:rPr>
        <w:t>11.8 综合评价结论</w:t>
      </w:r>
      <w:bookmarkEnd w:id="3021"/>
      <w:bookmarkEnd w:id="3022"/>
      <w:bookmarkEnd w:id="3023"/>
    </w:p>
    <w:p w14:paraId="15218BB8">
      <w:pPr>
        <w:spacing w:line="360" w:lineRule="auto"/>
        <w:ind w:firstLine="480" w:firstLineChars="200"/>
        <w:jc w:val="both"/>
        <w:rPr>
          <w:rFonts w:ascii="Times New Roman" w:hAnsi="Times New Roman" w:cs="Times New Roman"/>
          <w:color w:val="auto"/>
          <w:szCs w:val="24"/>
          <w:lang w:eastAsia="zh-CN"/>
        </w:rPr>
      </w:pPr>
      <w:r>
        <w:rPr>
          <w:rFonts w:hint="eastAsia" w:ascii="Times New Roman" w:hAnsi="Times New Roman" w:cs="Times New Roman"/>
          <w:color w:val="auto"/>
          <w:szCs w:val="24"/>
          <w:lang w:eastAsia="zh-CN"/>
        </w:rPr>
        <w:t>安徽氟瑞星化工有限公司年产5万吨化学纯氢氟酸及1.5万吨刻蚀液扩产项目</w:t>
      </w:r>
      <w:r>
        <w:rPr>
          <w:rFonts w:ascii="Times New Roman" w:hAnsi="Times New Roman" w:cs="Times New Roman"/>
          <w:color w:val="auto"/>
          <w:szCs w:val="24"/>
          <w:lang w:eastAsia="zh-CN"/>
        </w:rPr>
        <w:t>符合国家产业政策，选址符合</w:t>
      </w:r>
      <w:r>
        <w:rPr>
          <w:rFonts w:ascii="Times New Roman" w:hAnsi="Times New Roman" w:eastAsia="新宋体" w:cs="Times New Roman"/>
          <w:color w:val="auto"/>
          <w:szCs w:val="24"/>
          <w:lang w:eastAsia="zh-CN"/>
        </w:rPr>
        <w:t>蚌埠精细化工高新技术产业基地</w:t>
      </w:r>
      <w:r>
        <w:rPr>
          <w:rFonts w:ascii="Times New Roman" w:hAnsi="Times New Roman" w:cs="Times New Roman"/>
          <w:color w:val="auto"/>
          <w:szCs w:val="24"/>
          <w:lang w:eastAsia="zh-CN"/>
        </w:rPr>
        <w:t>规划、规划环评及相应审查意见要求。</w:t>
      </w:r>
    </w:p>
    <w:p w14:paraId="42F9C219">
      <w:pPr>
        <w:spacing w:line="360" w:lineRule="auto"/>
        <w:ind w:firstLine="480" w:firstLineChars="200"/>
        <w:jc w:val="both"/>
        <w:rPr>
          <w:rFonts w:ascii="Times New Roman" w:hAnsi="Times New Roman" w:cs="Times New Roman"/>
          <w:color w:val="auto"/>
          <w:szCs w:val="24"/>
          <w:lang w:eastAsia="zh-CN"/>
        </w:rPr>
      </w:pPr>
      <w:r>
        <w:rPr>
          <w:rFonts w:ascii="Times New Roman" w:hAnsi="Times New Roman" w:cs="Times New Roman"/>
          <w:color w:val="auto"/>
          <w:szCs w:val="24"/>
          <w:lang w:eastAsia="zh-CN"/>
        </w:rPr>
        <w:t>项目采用了先进的生产工艺，设备和工艺连续化、自动化和密闭化程度高，符合清洁生产水平要求。项目实施后，污染物在采用相应污染防治措施的前提下，可以做到达标排放。排放的主要污染物可以满足总量控制指标要求，不会降低区域环境质量的原有功能级别。在采取相应环境风险防范措施后，环境风险可防控。公示期间，未收到公众意见。</w:t>
      </w:r>
    </w:p>
    <w:p w14:paraId="02981207">
      <w:pPr>
        <w:spacing w:line="360" w:lineRule="auto"/>
        <w:ind w:firstLine="480" w:firstLineChars="200"/>
        <w:jc w:val="both"/>
        <w:rPr>
          <w:rFonts w:ascii="Times New Roman" w:hAnsi="Times New Roman" w:cs="Times New Roman"/>
          <w:b/>
          <w:bCs/>
          <w:color w:val="auto"/>
          <w:sz w:val="32"/>
          <w:szCs w:val="24"/>
          <w:lang w:eastAsia="zh-CN"/>
        </w:rPr>
      </w:pPr>
      <w:r>
        <w:rPr>
          <w:rFonts w:ascii="Times New Roman" w:hAnsi="Times New Roman" w:cs="Times New Roman"/>
          <w:color w:val="auto"/>
          <w:szCs w:val="24"/>
          <w:lang w:eastAsia="zh-CN"/>
        </w:rPr>
        <w:t>因此，本评价认为，项目在建设和生产运行过程中，在严格执行“三同时”制度、落实环评报告中提出的各项污染防治措施的前提下，从环境影响角度，项目建设是可行的。</w:t>
      </w:r>
      <w:bookmarkEnd w:id="3018"/>
    </w:p>
    <w:sectPr>
      <w:headerReference r:id="rId45" w:type="first"/>
      <w:headerReference r:id="rId43" w:type="default"/>
      <w:footerReference r:id="rId46" w:type="default"/>
      <w:headerReference r:id="rId44" w:type="even"/>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roma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Arial Unicode MS">
    <w:panose1 w:val="020B0604020202020204"/>
    <w:charset w:val="86"/>
    <w:family w:val="swiss"/>
    <w:pitch w:val="default"/>
    <w:sig w:usb0="F7FFAEFF" w:usb1="F9DFFFFF" w:usb2="0000007F" w:usb3="00000000" w:csb0="203F01FF" w:csb1="DFFF0000"/>
  </w:font>
  <w:font w:name="昆仑仿宋">
    <w:altName w:val="黑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NewRomanPSMT">
    <w:altName w:val="等线"/>
    <w:panose1 w:val="00000000000000000000"/>
    <w:charset w:val="00"/>
    <w:family w:val="auto"/>
    <w:pitch w:val="default"/>
    <w:sig w:usb0="00000000" w:usb1="00000000" w:usb2="00000000" w:usb3="00000000" w:csb0="00040001" w:csb1="00000000"/>
  </w:font>
  <w:font w:name="新宋体">
    <w:panose1 w:val="02010609030101010101"/>
    <w:charset w:val="86"/>
    <w:family w:val="modern"/>
    <w:pitch w:val="default"/>
    <w:sig w:usb0="00000203" w:usb1="288F0000" w:usb2="00000006" w:usb3="00000000" w:csb0="00040001" w:csb1="00000000"/>
  </w:font>
  <w:font w:name="Cambria Math">
    <w:panose1 w:val="02040503050406030204"/>
    <w:charset w:val="00"/>
    <w:family w:val="roman"/>
    <w:pitch w:val="default"/>
    <w:sig w:usb0="E00006FF" w:usb1="420024FF" w:usb2="02000000" w:usb3="00000000" w:csb0="2000019F"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swiss"/>
    <w:pitch w:val="default"/>
    <w:sig w:usb0="80000287" w:usb1="2ACF3C50" w:usb2="00000016" w:usb3="00000000" w:csb0="0004001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DE5B9">
    <w:pPr>
      <w:pStyle w:val="21"/>
      <w:ind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2CFB5">
    <w:pPr>
      <w:spacing w:before="58" w:line="208" w:lineRule="auto"/>
      <w:ind w:left="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20032" behindDoc="0" locked="0" layoutInCell="1" allowOverlap="1">
              <wp:simplePos x="0" y="0"/>
              <wp:positionH relativeFrom="margin">
                <wp:align>center</wp:align>
              </wp:positionH>
              <wp:positionV relativeFrom="paragraph">
                <wp:posOffset>0</wp:posOffset>
              </wp:positionV>
              <wp:extent cx="534035" cy="147955"/>
              <wp:effectExtent l="0" t="0" r="0" b="0"/>
              <wp:wrapNone/>
              <wp:docPr id="1377" name="文本框 6"/>
              <wp:cNvGraphicFramePr/>
              <a:graphic xmlns:a="http://schemas.openxmlformats.org/drawingml/2006/main">
                <a:graphicData uri="http://schemas.microsoft.com/office/word/2010/wordprocessingShape">
                  <wps:wsp>
                    <wps:cNvSpPr txBox="1"/>
                    <wps:spPr>
                      <a:xfrm>
                        <a:off x="0" y="0"/>
                        <a:ext cx="534035" cy="147955"/>
                      </a:xfrm>
                      <a:prstGeom prst="rect">
                        <a:avLst/>
                      </a:prstGeom>
                      <a:noFill/>
                      <a:ln w="6350">
                        <a:noFill/>
                      </a:ln>
                      <a:effectLst/>
                    </wps:spPr>
                    <wps:txbx>
                      <w:txbxContent>
                        <w:p w14:paraId="58927C1B">
                          <w:pPr>
                            <w:tabs>
                              <w:tab w:val="center" w:pos="4153"/>
                              <w:tab w:val="right" w:pos="8306"/>
                            </w:tabs>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lang w:eastAsia="zh-CN"/>
                            </w:rPr>
                            <w:t>284</w:t>
                          </w:r>
                          <w:r>
                            <w:rPr>
                              <w:sz w:val="18"/>
                            </w:rPr>
                            <w:fldChar w:fldCharType="end"/>
                          </w:r>
                          <w:r>
                            <w:rPr>
                              <w:sz w:val="18"/>
                            </w:rPr>
                            <w:t xml:space="preserve"> 页</w:t>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1.65pt;width:42.05pt;mso-position-horizontal:center;mso-position-horizontal-relative:margin;mso-wrap-style:none;z-index:251820032;mso-width-relative:page;mso-height-relative:page;" filled="f" stroked="f" coordsize="21600,21600" o:gfxdata="UEsDBAoAAAAAAIdO4kAAAAAAAAAAAAAAAAAEAAAAZHJzL1BLAwQUAAAACACHTuJAl5wD9dIAAAAD&#10;AQAADwAAAGRycy9kb3ducmV2LnhtbE2PwU7DMBBE70j8g7VI3KiTpkJVyKYSFeGIRNMDRzdekoC9&#10;jmw3DX+P4QKXlUYzmnlb7RZrxEw+jI4R8lUGgrhzeuQe4dg2d1sQISrWyjgmhC8KsKuvrypVanfh&#10;V5oPsRephEOpEIYYp1LK0A1kVVi5iTh5785bFZP0vdReXVK5NXKdZffSqpHTwqAm2g/UfR7OFmHf&#10;tK2fKXjzRs9N8fHyuKGnBfH2Js8eQERa4l8YfvATOtSJ6eTOrIMwCOmR+HuTt93kIE4I66IAWVfy&#10;P3v9DVBLAwQUAAAACACHTuJA2H0q+d8BAACxAwAADgAAAGRycy9lMm9Eb2MueG1srVPNjtMwEL4j&#10;8Q6W7zTpdtOyUdMVqFqEhABp4QFcx2ks+U8et0lfAN6AExfuPFefY8dO0l0tlz1wccYz42/m+2ay&#10;vu21IkfhQVpT0fksp0QYbmtp9hX9/u3uzVtKIDBTM2WNqOhJAL3dvH617lwprmxrVS08QRADZecq&#10;2obgyiwD3grNYGadMBhsrNcs4NXvs9qzDtG1yq7yfJl11tfOWy4A0LsdgnRE9C8BtE0judhaftDC&#10;hAHVC8UCUoJWOqCb1G3TCB6+NA2IQFRFkWlIJxZBexfPbLNm5d4z10o+tsBe0sIzTppJg0UvUFsW&#10;GDl4+Q+UltxbsE2YcauzgUhSBFnM82fa3LfMicQFpQZ3ER3+Hyz/fPzqiaxxExarFSWGaZz5+dfP&#10;8++/5z8/yDIq1DkoMfHeYWro39sesyc/oDMS7xuv4xcpEYyjvqeLvqIPhKOzWFzni4ISjqH59eqm&#10;KCJK9vjYeQgfhNUkGhX1OL6kKjt+gjCkTimxlrF3Uqk0QmVIV9HlosjTg0sEwZWJuSItwwgTCQ2N&#10;Ryv0u35kubP1CUl2uBAVNbj/lKiPBvWOuzMZfjJ2k3FwXu5b7HieqoN7dwjYW2o5VhhgkWq84CQT&#10;6XHr4qo8vaesxz9t8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XnAP10gAAAAMBAAAPAAAAAAAA&#10;AAEAIAAAACIAAABkcnMvZG93bnJldi54bWxQSwECFAAUAAAACACHTuJA2H0q+d8BAACxAwAADgAA&#10;AAAAAAABACAAAAAhAQAAZHJzL2Uyb0RvYy54bWxQSwUGAAAAAAYABgBZAQAAcgUAAAAA&#10;">
              <v:fill on="f" focussize="0,0"/>
              <v:stroke on="f" weight="0.5pt"/>
              <v:imagedata o:title=""/>
              <o:lock v:ext="edit" aspectratio="f"/>
              <v:textbox inset="0mm,0mm,0mm,0mm" style="mso-fit-shape-to-text:t;">
                <w:txbxContent>
                  <w:p w14:paraId="58927C1B">
                    <w:pPr>
                      <w:tabs>
                        <w:tab w:val="center" w:pos="4153"/>
                        <w:tab w:val="right" w:pos="8306"/>
                      </w:tabs>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lang w:eastAsia="zh-CN"/>
                      </w:rPr>
                      <w:t>284</w:t>
                    </w:r>
                    <w:r>
                      <w:rPr>
                        <w:sz w:val="18"/>
                      </w:rPr>
                      <w:fldChar w:fldCharType="end"/>
                    </w:r>
                    <w:r>
                      <w:rPr>
                        <w:sz w:val="18"/>
                      </w:rP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2D41A">
    <w:pPr>
      <w:spacing w:before="58" w:line="208" w:lineRule="auto"/>
      <w:ind w:left="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21056" behindDoc="0" locked="0" layoutInCell="1" allowOverlap="1">
              <wp:simplePos x="0" y="0"/>
              <wp:positionH relativeFrom="margin">
                <wp:align>center</wp:align>
              </wp:positionH>
              <wp:positionV relativeFrom="paragraph">
                <wp:posOffset>0</wp:posOffset>
              </wp:positionV>
              <wp:extent cx="534035" cy="147955"/>
              <wp:effectExtent l="0" t="0" r="0" b="0"/>
              <wp:wrapNone/>
              <wp:docPr id="11" name="文本框 4"/>
              <wp:cNvGraphicFramePr/>
              <a:graphic xmlns:a="http://schemas.openxmlformats.org/drawingml/2006/main">
                <a:graphicData uri="http://schemas.microsoft.com/office/word/2010/wordprocessingShape">
                  <wps:wsp>
                    <wps:cNvSpPr txBox="1"/>
                    <wps:spPr>
                      <a:xfrm>
                        <a:off x="0" y="0"/>
                        <a:ext cx="534035" cy="147955"/>
                      </a:xfrm>
                      <a:prstGeom prst="rect">
                        <a:avLst/>
                      </a:prstGeom>
                      <a:noFill/>
                      <a:ln w="6350">
                        <a:noFill/>
                      </a:ln>
                      <a:effectLst/>
                    </wps:spPr>
                    <wps:txbx>
                      <w:txbxContent>
                        <w:p w14:paraId="262F867B">
                          <w:pPr>
                            <w:tabs>
                              <w:tab w:val="center" w:pos="4153"/>
                              <w:tab w:val="right" w:pos="8306"/>
                            </w:tabs>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lang w:eastAsia="zh-CN"/>
                            </w:rPr>
                            <w:t>291</w:t>
                          </w:r>
                          <w:r>
                            <w:rPr>
                              <w:sz w:val="18"/>
                            </w:rPr>
                            <w:fldChar w:fldCharType="end"/>
                          </w:r>
                          <w:r>
                            <w:rPr>
                              <w:sz w:val="18"/>
                            </w:rPr>
                            <w:t xml:space="preserve"> 页</w:t>
                          </w:r>
                        </w:p>
                      </w:txbxContent>
                    </wps:txbx>
                    <wps:bodyPr wrap="none" lIns="0" tIns="0" rIns="0" bIns="0" upright="1">
                      <a:spAutoFit/>
                    </wps:bodyPr>
                  </wps:wsp>
                </a:graphicData>
              </a:graphic>
            </wp:anchor>
          </w:drawing>
        </mc:Choice>
        <mc:Fallback>
          <w:pict>
            <v:shape id="文本框 4" o:spid="_x0000_s1026" o:spt="202" type="#_x0000_t202" style="position:absolute;left:0pt;margin-top:0pt;height:11.65pt;width:42.05pt;mso-position-horizontal:center;mso-position-horizontal-relative:margin;mso-wrap-style:none;z-index:251821056;mso-width-relative:page;mso-height-relative:page;" filled="f" stroked="f" coordsize="21600,21600" o:gfxdata="UEsDBAoAAAAAAIdO4kAAAAAAAAAAAAAAAAAEAAAAZHJzL1BLAwQUAAAACACHTuJAl5wD9dIAAAAD&#10;AQAADwAAAGRycy9kb3ducmV2LnhtbE2PwU7DMBBE70j8g7VI3KiTpkJVyKYSFeGIRNMDRzdekoC9&#10;jmw3DX+P4QKXlUYzmnlb7RZrxEw+jI4R8lUGgrhzeuQe4dg2d1sQISrWyjgmhC8KsKuvrypVanfh&#10;V5oPsRephEOpEIYYp1LK0A1kVVi5iTh5785bFZP0vdReXVK5NXKdZffSqpHTwqAm2g/UfR7OFmHf&#10;tK2fKXjzRs9N8fHyuKGnBfH2Js8eQERa4l8YfvATOtSJ6eTOrIMwCOmR+HuTt93kIE4I66IAWVfy&#10;P3v9DVBLAwQUAAAACACHTuJAjltMSd0BAACvAwAADgAAAGRycy9lMm9Eb2MueG1srVPNjtMwEL4j&#10;8Q6W7zTJtlkgaroCVYuQECAtPIDrOI0l/8njNukLwBtw4sKd5+pzMHaS7mr3sgcuznhm/M1830zW&#10;N4NW5Cg8SGtqWixySoThtpFmX9Pv325fvaEEAjMNU9aImp4E0JvNyxfr3lXiynZWNcITBDFQ9a6m&#10;XQiuyjLgndAMFtYJg8HWes0CXv0+azzrEV2r7CrPr7Pe+sZ5ywUAerdjkE6I/jmAtm0lF1vLD1qY&#10;MKJ6oVhAStBJB3STum1bwcOXtgURiKopMg3pxCJo7+KZbdas2nvmOsmnFthzWnjESTNpsOgFassC&#10;Iwcvn0Bpyb0F24YFtzobiSRFkEWRP9LmrmNOJC4oNbiL6PD/YPnn41dPZIObUFBimMaJn3/9PP/+&#10;e/7zg6yiPr2DCtPuHCaG4b0dMHf2Azoj7aH1On6REME4qnu6qCuGQDg6y+UqX5aUcAwVq9dvyzKi&#10;ZPePnYfwQVhNolFTj8NLmrLjJwhj6pwSaxl7K5VKA1SG9DW9XpZ5enCJILgyMVekVZhgIqGx8WiF&#10;YTdMLHe2OSHJHtehpga3nxL10aDacXNmw8/GbjYOzst9hx0XqTq4d4eAvaWWY4URFqnGC84xkZ52&#10;Li7Kw3vKuv/PNv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l5wD9dIAAAADAQAADwAAAAAAAAAB&#10;ACAAAAAiAAAAZHJzL2Rvd25yZXYueG1sUEsBAhQAFAAAAAgAh07iQI5bTEndAQAArwMAAA4AAAAA&#10;AAAAAQAgAAAAIQEAAGRycy9lMm9Eb2MueG1sUEsFBgAAAAAGAAYAWQEAAHAFAAAAAA==&#10;">
              <v:fill on="f" focussize="0,0"/>
              <v:stroke on="f" weight="0.5pt"/>
              <v:imagedata o:title=""/>
              <o:lock v:ext="edit" aspectratio="f"/>
              <v:textbox inset="0mm,0mm,0mm,0mm" style="mso-fit-shape-to-text:t;">
                <w:txbxContent>
                  <w:p w14:paraId="262F867B">
                    <w:pPr>
                      <w:tabs>
                        <w:tab w:val="center" w:pos="4153"/>
                        <w:tab w:val="right" w:pos="8306"/>
                      </w:tabs>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lang w:eastAsia="zh-CN"/>
                      </w:rPr>
                      <w:t>291</w:t>
                    </w:r>
                    <w:r>
                      <w:rPr>
                        <w:sz w:val="18"/>
                      </w:rPr>
                      <w:fldChar w:fldCharType="end"/>
                    </w:r>
                    <w:r>
                      <w:rPr>
                        <w:sz w:val="18"/>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1F0C8">
    <w:pPr>
      <w:spacing w:before="58" w:line="208" w:lineRule="auto"/>
      <w:ind w:left="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17984" behindDoc="0" locked="0" layoutInCell="1" allowOverlap="1">
              <wp:simplePos x="0" y="0"/>
              <wp:positionH relativeFrom="margin">
                <wp:align>center</wp:align>
              </wp:positionH>
              <wp:positionV relativeFrom="paragraph">
                <wp:posOffset>0</wp:posOffset>
              </wp:positionV>
              <wp:extent cx="534035" cy="147955"/>
              <wp:effectExtent l="0" t="0" r="0" b="0"/>
              <wp:wrapNone/>
              <wp:docPr id="1380" name="文本框 2"/>
              <wp:cNvGraphicFramePr/>
              <a:graphic xmlns:a="http://schemas.openxmlformats.org/drawingml/2006/main">
                <a:graphicData uri="http://schemas.microsoft.com/office/word/2010/wordprocessingShape">
                  <wps:wsp>
                    <wps:cNvSpPr txBox="1"/>
                    <wps:spPr>
                      <a:xfrm>
                        <a:off x="0" y="0"/>
                        <a:ext cx="534035" cy="147955"/>
                      </a:xfrm>
                      <a:prstGeom prst="rect">
                        <a:avLst/>
                      </a:prstGeom>
                      <a:noFill/>
                      <a:ln w="6350">
                        <a:noFill/>
                      </a:ln>
                    </wps:spPr>
                    <wps:txbx>
                      <w:txbxContent>
                        <w:p w14:paraId="20EE7816">
                          <w:pPr>
                            <w:tabs>
                              <w:tab w:val="center" w:pos="4153"/>
                              <w:tab w:val="right" w:pos="8306"/>
                            </w:tabs>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lang w:eastAsia="zh-CN"/>
                            </w:rPr>
                            <w:t>292</w:t>
                          </w:r>
                          <w:r>
                            <w:rPr>
                              <w:sz w:val="18"/>
                            </w:rPr>
                            <w:fldChar w:fldCharType="end"/>
                          </w:r>
                          <w:r>
                            <w:rPr>
                              <w:sz w:val="18"/>
                            </w:rPr>
                            <w:t xml:space="preserve"> 页</w:t>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1.65pt;width:42.05pt;mso-position-horizontal:center;mso-position-horizontal-relative:margin;mso-wrap-style:none;z-index:251817984;mso-width-relative:page;mso-height-relative:page;" filled="f" stroked="f" coordsize="21600,21600" o:gfxdata="UEsDBAoAAAAAAIdO4kAAAAAAAAAAAAAAAAAEAAAAZHJzL1BLAwQUAAAACACHTuJAl5wD9dIAAAAD&#10;AQAADwAAAGRycy9kb3ducmV2LnhtbE2PwU7DMBBE70j8g7VI3KiTpkJVyKYSFeGIRNMDRzdekoC9&#10;jmw3DX+P4QKXlUYzmnlb7RZrxEw+jI4R8lUGgrhzeuQe4dg2d1sQISrWyjgmhC8KsKuvrypVanfh&#10;V5oPsRephEOpEIYYp1LK0A1kVVi5iTh5785bFZP0vdReXVK5NXKdZffSqpHTwqAm2g/UfR7OFmHf&#10;tK2fKXjzRs9N8fHyuKGnBfH2Js8eQERa4l8YfvATOtSJ6eTOrIMwCOmR+HuTt93kIE4I66IAWVfy&#10;P3v9DVBLAwQUAAAACACHTuJAa779OtkBAACjAwAADgAAAGRycy9lMm9Eb2MueG1srVNLbtswEN0X&#10;6B0I7mvJdpSmguWghZEiQNEGSHoAmqIsAvyBQ1vyBdIbdNVN9z2Xz5EhJTlFusmiG2o4M3wz781o&#10;dd1rRQ7Cg7SmovNZTokw3NbS7Cr6/eHm3RUlEJipmbJGVPQogF6v375Zda4UC9taVQtPEMRA2bmK&#10;tiG4MsuAt0IzmFknDAYb6zULePW7rPasQ3StskWeX2ad9bXzlgsA9G6GIB0R/WsAbdNILjaW77Uw&#10;YUD1QrGAlKCVDug6dds0godvTQMiEFVRZBrSiUXQ3sYzW69YufPMtZKPLbDXtPCCk2bSYNEz1IYF&#10;RvZe/gOlJfcWbBNm3OpsIJIUQRbz/IU29y1zInFBqcGdRYf/B8u/Hu48kTVuwvIKRTFM48xPP3+c&#10;fv05/X4ki6hQ56DExHuHqaH/ZHvMnvyAzki8b7yOX6REMI5Qx7O+og+Eo7NYXuTLghKOofnF+w9F&#10;EVGy58fOQ/gsrCbRqKjH8SVV2eELhCF1Som1jL2RSqURKkO6il4uizw9OEcQXBmsESkMrUYr9Nt+&#10;5LW19RFpdbgCFTW48ZSoW4MKx22ZDD8Z28nYOy93LfY4T/XAfdwH7CY1GSsMsGNhnF2iOe5ZXI6/&#10;7ynr+d9a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XnAP10gAAAAMBAAAPAAAAAAAAAAEAIAAA&#10;ACIAAABkcnMvZG93bnJldi54bWxQSwECFAAUAAAACACHTuJAa779OtkBAACjAwAADgAAAAAAAAAB&#10;ACAAAAAhAQAAZHJzL2Uyb0RvYy54bWxQSwUGAAAAAAYABgBZAQAAbAUAAAAA&#10;">
              <v:fill on="f" focussize="0,0"/>
              <v:stroke on="f" weight="0.5pt"/>
              <v:imagedata o:title=""/>
              <o:lock v:ext="edit" aspectratio="f"/>
              <v:textbox inset="0mm,0mm,0mm,0mm" style="mso-fit-shape-to-text:t;">
                <w:txbxContent>
                  <w:p w14:paraId="20EE7816">
                    <w:pPr>
                      <w:tabs>
                        <w:tab w:val="center" w:pos="4153"/>
                        <w:tab w:val="right" w:pos="8306"/>
                      </w:tabs>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lang w:eastAsia="zh-CN"/>
                      </w:rPr>
                      <w:t>292</w:t>
                    </w:r>
                    <w:r>
                      <w:rPr>
                        <w:sz w:val="18"/>
                      </w:rPr>
                      <w:fldChar w:fldCharType="end"/>
                    </w:r>
                    <w:r>
                      <w:rPr>
                        <w:sz w:val="18"/>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BC93A">
    <w:pPr>
      <w:pStyle w:val="21"/>
      <w:ind w:firstLine="360"/>
    </w:pPr>
    <w:r>
      <mc:AlternateContent>
        <mc:Choice Requires="wps">
          <w:drawing>
            <wp:anchor distT="0" distB="0" distL="114300" distR="114300" simplePos="0" relativeHeight="251823104" behindDoc="0" locked="0" layoutInCell="1" allowOverlap="1">
              <wp:simplePos x="0" y="0"/>
              <wp:positionH relativeFrom="margin">
                <wp:align>center</wp:align>
              </wp:positionH>
              <wp:positionV relativeFrom="paragraph">
                <wp:posOffset>0</wp:posOffset>
              </wp:positionV>
              <wp:extent cx="635635" cy="147955"/>
              <wp:effectExtent l="0" t="0" r="0" b="0"/>
              <wp:wrapNone/>
              <wp:docPr id="313569735" name="文本框 16"/>
              <wp:cNvGraphicFramePr/>
              <a:graphic xmlns:a="http://schemas.openxmlformats.org/drawingml/2006/main">
                <a:graphicData uri="http://schemas.microsoft.com/office/word/2010/wordprocessingShape">
                  <wps:wsp>
                    <wps:cNvSpPr txBox="1"/>
                    <wps:spPr>
                      <a:xfrm>
                        <a:off x="0" y="0"/>
                        <a:ext cx="635635" cy="147955"/>
                      </a:xfrm>
                      <a:prstGeom prst="rect">
                        <a:avLst/>
                      </a:prstGeom>
                      <a:noFill/>
                      <a:ln w="6350">
                        <a:noFill/>
                      </a:ln>
                    </wps:spPr>
                    <wps:txbx>
                      <w:txbxContent>
                        <w:p w14:paraId="1136D942">
                          <w:pPr>
                            <w:pStyle w:val="21"/>
                            <w:ind w:firstLine="360"/>
                          </w:pPr>
                          <w:r>
                            <w:t xml:space="preserve">第 </w:t>
                          </w:r>
                          <w:r>
                            <w:fldChar w:fldCharType="begin"/>
                          </w:r>
                          <w:r>
                            <w:instrText xml:space="preserve"> PAGE  \* MERGEFORMAT </w:instrText>
                          </w:r>
                          <w:r>
                            <w:fldChar w:fldCharType="separate"/>
                          </w:r>
                          <w:r>
                            <w:rPr>
                              <w:lang w:eastAsia="zh-CN"/>
                            </w:rP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6" o:spid="_x0000_s1026" o:spt="202" type="#_x0000_t202" style="position:absolute;left:0pt;margin-top:0pt;height:11.65pt;width:50.05pt;mso-position-horizontal:center;mso-position-horizontal-relative:margin;mso-wrap-style:none;z-index:251823104;mso-width-relative:page;mso-height-relative:page;" filled="f" stroked="f" coordsize="21600,21600" o:gfxdata="UEsDBAoAAAAAAIdO4kAAAAAAAAAAAAAAAAAEAAAAZHJzL1BLAwQUAAAACACHTuJAknlGr9IAAAAE&#10;AQAADwAAAGRycy9kb3ducmV2LnhtbE2PwU7DMBBE70j9B2srcaN2GoRQiFOJqukRiYYDRzfeJin2&#10;OrLdNPw9Lhe4rDSa0czbcjNbwyb0YXAkIVsJYEit0wN1Ej6a+uEZWIiKtDKOUMI3BthUi7tSFdpd&#10;6R2nQ+xYKqFQKAl9jGPBeWh7tCqs3IiUvJPzVsUkfce1V9dUbg1fC/HErRooLfRqxG2P7dfhYiVs&#10;66bxEwZvPnFf5+e310fczVLeLzPxAiziHP/CcMNP6FAlpqO7kA7MSEiPxN9784TIgB0lrPMceFXy&#10;//DVD1BLAwQUAAAACACHTuJAp859BjUCAABcBAAADgAAAGRycy9lMm9Eb2MueG1srVTNbhMxEL4j&#10;8Q6W72SzLUlplE0VGgUhVbRSQJwdr7e7kv9kO9ktDwBvwIkLd54rz8FnbzZFhUMPXJzZmfE3/r6Z&#10;yfyqU5LshfON0QXNR2NKhOambPR9QT99XL96Q4kPTJdMGi0K+iA8vVq8fDFv7UycmdrIUjgCEO1n&#10;rS1oHYKdZZnntVDMj4wVGsHKOMUCPt19VjrWAl3J7Gw8nmatcaV1hgvv4V31QXpEdM8BNFXVcLEy&#10;fKeEDj2qE5IFUPJ1Yz1dpNdWleDhtqq8CEQWFExDOlEE9jae2WLOZveO2brhxyew5zzhCSfFGo2i&#10;J6gVC4zsXPMXlGq4M95UYcSNynoiSRGwyMdPtNnUzIrEBVJ7exLd/z9Y/mF/50hTFvQ8P59MLy/O&#10;J5RoptD4w/dvhx+/Dj+/knwadWqtnyF9Y3EhdG9Nh+kZ/B7OSL+rnIq/IEYQh8oPJ5VFFwiHc4o6&#10;sQpHKH99cTmZRJTs8bJ1PrwTRpFoFNShiUlbtr/xoU8dUmItbdaNlKmRUpM2FRinC6cIwKVGjUih&#10;f2q0Qrftjry2pnwALWf6AfGWrxsUv2E+3DGHiQAT7Ey4xVFJgyLmaFFSG/flX/6Yj0YhSkmLCSuo&#10;xkJRIt9rNDAO42C4wdgOht6pa4ORzbGLlicTF1yQg1k5oz5jkZaxBkJMc1QqaBjM69BPORaRi+Uy&#10;JWHkLAs3emN5hI7iebvcBQiYdI2i9EoctcLQpc4cFyRO9Z/fKevxT2Hx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JJ5Rq/SAAAABAEAAA8AAAAAAAAAAQAgAAAAIgAAAGRycy9kb3ducmV2LnhtbFBL&#10;AQIUABQAAAAIAIdO4kCnzn0GNQIAAFwEAAAOAAAAAAAAAAEAIAAAACEBAABkcnMvZTJvRG9jLnht&#10;bFBLBQYAAAAABgAGAFkBAADIBQAAAAA=&#10;">
              <v:fill on="f" focussize="0,0"/>
              <v:stroke on="f" weight="0.5pt"/>
              <v:imagedata o:title=""/>
              <o:lock v:ext="edit" aspectratio="f"/>
              <v:textbox inset="0mm,0mm,0mm,0mm" style="mso-fit-shape-to-text:t;">
                <w:txbxContent>
                  <w:p w14:paraId="1136D942">
                    <w:pPr>
                      <w:pStyle w:val="21"/>
                      <w:ind w:firstLine="360"/>
                    </w:pPr>
                    <w:r>
                      <w:t xml:space="preserve">第 </w:t>
                    </w:r>
                    <w:r>
                      <w:fldChar w:fldCharType="begin"/>
                    </w:r>
                    <w:r>
                      <w:instrText xml:space="preserve"> PAGE  \* MERGEFORMAT </w:instrText>
                    </w:r>
                    <w:r>
                      <w:fldChar w:fldCharType="separate"/>
                    </w:r>
                    <w:r>
                      <w:rPr>
                        <w:lang w:eastAsia="zh-CN"/>
                      </w:rPr>
                      <w:t>12</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87018">
    <w:pPr>
      <w:pStyle w:val="21"/>
      <w:ind w:firstLine="360"/>
    </w:pPr>
    <w:r>
      <mc:AlternateContent>
        <mc:Choice Requires="wps">
          <w:drawing>
            <wp:anchor distT="0" distB="0" distL="114300" distR="114300" simplePos="0" relativeHeight="251819008" behindDoc="0" locked="0" layoutInCell="1" allowOverlap="1">
              <wp:simplePos x="0" y="0"/>
              <wp:positionH relativeFrom="margin">
                <wp:posOffset>2773680</wp:posOffset>
              </wp:positionH>
              <wp:positionV relativeFrom="paragraph">
                <wp:posOffset>-1905</wp:posOffset>
              </wp:positionV>
              <wp:extent cx="819150" cy="147955"/>
              <wp:effectExtent l="0" t="0" r="635" b="0"/>
              <wp:wrapNone/>
              <wp:docPr id="305" name="文本框 15"/>
              <wp:cNvGraphicFramePr/>
              <a:graphic xmlns:a="http://schemas.openxmlformats.org/drawingml/2006/main">
                <a:graphicData uri="http://schemas.microsoft.com/office/word/2010/wordprocessingShape">
                  <wps:wsp>
                    <wps:cNvSpPr txBox="1"/>
                    <wps:spPr>
                      <a:xfrm>
                        <a:off x="0" y="0"/>
                        <a:ext cx="818866" cy="147955"/>
                      </a:xfrm>
                      <a:prstGeom prst="rect">
                        <a:avLst/>
                      </a:prstGeom>
                      <a:noFill/>
                      <a:ln w="6350">
                        <a:noFill/>
                      </a:ln>
                    </wps:spPr>
                    <wps:txbx>
                      <w:txbxContent>
                        <w:p w14:paraId="345902F4">
                          <w:pPr>
                            <w:pStyle w:val="21"/>
                            <w:ind w:firstLine="360"/>
                          </w:pPr>
                          <w:r>
                            <w:t xml:space="preserve">第 </w:t>
                          </w:r>
                          <w:r>
                            <w:fldChar w:fldCharType="begin"/>
                          </w:r>
                          <w:r>
                            <w:instrText xml:space="preserve"> PAGE  \* MERGEFORMAT </w:instrText>
                          </w:r>
                          <w:r>
                            <w:fldChar w:fldCharType="separate"/>
                          </w:r>
                          <w:r>
                            <w:rPr>
                              <w:lang w:eastAsia="zh-CN"/>
                            </w:rPr>
                            <w:t>12</w:t>
                          </w:r>
                          <w:r>
                            <w:fldChar w:fldCharType="end"/>
                          </w:r>
                          <w:r>
                            <w:t xml:space="preserve"> 页</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文本框 15" o:spid="_x0000_s1026" o:spt="202" type="#_x0000_t202" style="position:absolute;left:0pt;margin-left:218.4pt;margin-top:-0.15pt;height:11.65pt;width:64.5pt;mso-position-horizontal-relative:margin;z-index:251819008;mso-width-relative:page;mso-height-relative:page;" filled="f" stroked="f" coordsize="21600,21600" o:gfxdata="UEsDBAoAAAAAAIdO4kAAAAAAAAAAAAAAAAAEAAAAZHJzL1BLAwQUAAAACACHTuJAIYHW5tYAAAAI&#10;AQAADwAAAGRycy9kb3ducmV2LnhtbE2PwU7DMBBE70j8g7VI3Fq7DY1QiNMDgh7gRIoQx23sxIF4&#10;HcVuWvh6lhMcRzM787bcnv0gZjvFPpCG1VKBsNQE01On4XX/uLgFEROSwSGQ1fBlI2yry4sSCxNO&#10;9GLnOnWCSygWqMGlNBZSxsZZj3EZRkvstWHymFhOnTQTnrjcD3KtVC499sQLDkd772zzWR89Y7w9&#10;K7/7bt27f8I21m4/7x4+tL6+Wqk7EMme018YfvH5BipmOoQjmSgGDTdZzuhJwyIDwf4m37A+aFhn&#10;CmRVyv8PVD9QSwMEFAAAAAgAh07iQPxj56o1AgAAWAQAAA4AAABkcnMvZTJvRG9jLnhtbK1UzY7T&#10;MBC+I/EOlu80yS4tpWq6KlsVIVXsSgVxdh2niWR7jO02KQ8Ab8CJC3eeq8/B2Em6aOGwBy7uZP6/&#10;b2Y6v2mVJEdhXQ06p9kopURoDkWt9zn9+GH9YkqJ80wXTIIWOT0JR28Wz5/NGzMTV1CBLIQlmES7&#10;WWNyWnlvZknieCUUcyMwQqOxBKuYx0+7TwrLGsyuZHKVppOkAVsYC1w4h9pVZ6R9RvuUhFCWNRcr&#10;4AcltO+yWiGZR0iuqo2ji9htWQru78rSCU9kThGpjy8WQXkX3mQxZ7O9Zaaqed8Ce0oLjzApVmss&#10;ekm1Yp6Rg63/SqVqbsFB6UccVNIBiYwgiix9xM22YkZELEi1MxfS3f9Ly98f7y2pi5xep2NKNFM4&#10;8vP3b+cfv84/v5JsHBhqjJuh49agq2/fQIt7M+gdKgPwtrQq/CIkgnbk93ThV7SecFROs+l0MqGE&#10;oyl7+er1OGZPHoKNdf6tAEWCkFOL44ussuPGeWwEXQeXUEvDupYyjlBq0uR0cj1OY8DFghFSY2CA&#10;0LUaJN/u2h7XDooTwrLQrYYzfF1j8Q1z/p5Z3AVEgtfi7/ApJWAR6CVKKrBf/qUP/jgitFLS4G7l&#10;1H0+MCsoke80Di8s4iDYQdgNgj6oW8B1zfAODY8iBlgvB7G0oD7hES1DFTQxzbFWTv0g3vpuw/EI&#10;uVguoxOum2F+o7eGh9SBPmeWB48URmYDLR0XPVu4cJHw/jjCRv/5Hb0e/hAW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hgdbm1gAAAAgBAAAPAAAAAAAAAAEAIAAAACIAAABkcnMvZG93bnJldi54&#10;bWxQSwECFAAUAAAACACHTuJA/GPnqjUCAABYBAAADgAAAAAAAAABACAAAAAlAQAAZHJzL2Uyb0Rv&#10;Yy54bWxQSwUGAAAAAAYABgBZAQAAzAUAAAAA&#10;">
              <v:fill on="f" focussize="0,0"/>
              <v:stroke on="f" weight="0.5pt"/>
              <v:imagedata o:title=""/>
              <o:lock v:ext="edit" aspectratio="f"/>
              <v:textbox inset="0mm,0mm,0mm,0mm" style="mso-fit-shape-to-text:t;">
                <w:txbxContent>
                  <w:p w14:paraId="345902F4">
                    <w:pPr>
                      <w:pStyle w:val="21"/>
                      <w:ind w:firstLine="360"/>
                    </w:pPr>
                    <w:r>
                      <w:t xml:space="preserve">第 </w:t>
                    </w:r>
                    <w:r>
                      <w:fldChar w:fldCharType="begin"/>
                    </w:r>
                    <w:r>
                      <w:instrText xml:space="preserve"> PAGE  \* MERGEFORMAT </w:instrText>
                    </w:r>
                    <w:r>
                      <w:fldChar w:fldCharType="separate"/>
                    </w:r>
                    <w:r>
                      <w:rPr>
                        <w:lang w:eastAsia="zh-CN"/>
                      </w:rPr>
                      <w:t>12</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E4C18">
    <w:pPr>
      <w:pStyle w:val="21"/>
      <w:ind w:firstLine="360"/>
    </w:pPr>
    <w:r>
      <mc:AlternateContent>
        <mc:Choice Requires="wps">
          <w:drawing>
            <wp:anchor distT="0" distB="0" distL="114300" distR="114300" simplePos="0" relativeHeight="251820032" behindDoc="0" locked="0" layoutInCell="1" allowOverlap="1">
              <wp:simplePos x="0" y="0"/>
              <wp:positionH relativeFrom="margin">
                <wp:align>center</wp:align>
              </wp:positionH>
              <wp:positionV relativeFrom="paragraph">
                <wp:posOffset>0</wp:posOffset>
              </wp:positionV>
              <wp:extent cx="699135" cy="147955"/>
              <wp:effectExtent l="0" t="0" r="0" b="0"/>
              <wp:wrapNone/>
              <wp:docPr id="2" name="文本框 13"/>
              <wp:cNvGraphicFramePr/>
              <a:graphic xmlns:a="http://schemas.openxmlformats.org/drawingml/2006/main">
                <a:graphicData uri="http://schemas.microsoft.com/office/word/2010/wordprocessingShape">
                  <wps:wsp>
                    <wps:cNvSpPr txBox="1"/>
                    <wps:spPr>
                      <a:xfrm>
                        <a:off x="0" y="0"/>
                        <a:ext cx="699135" cy="147955"/>
                      </a:xfrm>
                      <a:prstGeom prst="rect">
                        <a:avLst/>
                      </a:prstGeom>
                      <a:noFill/>
                      <a:ln w="6350">
                        <a:noFill/>
                      </a:ln>
                    </wps:spPr>
                    <wps:txbx>
                      <w:txbxContent>
                        <w:p w14:paraId="1F84AA3F">
                          <w:pPr>
                            <w:pStyle w:val="21"/>
                            <w:ind w:firstLine="360"/>
                          </w:pPr>
                          <w:r>
                            <w:t xml:space="preserve">第 </w:t>
                          </w:r>
                          <w:r>
                            <w:fldChar w:fldCharType="begin"/>
                          </w:r>
                          <w:r>
                            <w:instrText xml:space="preserve"> PAGE  \* MERGEFORMAT </w:instrText>
                          </w:r>
                          <w:r>
                            <w:fldChar w:fldCharType="separate"/>
                          </w:r>
                          <w:r>
                            <w:rPr>
                              <w:lang w:eastAsia="zh-CN"/>
                            </w:rPr>
                            <w:t>84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3" o:spid="_x0000_s1026" o:spt="202" type="#_x0000_t202" style="position:absolute;left:0pt;margin-top:0pt;height:11.65pt;width:55.05pt;mso-position-horizontal:center;mso-position-horizontal-relative:margin;mso-wrap-style:none;z-index:251820032;mso-width-relative:page;mso-height-relative:page;" filled="f" stroked="f" coordsize="21600,21600" o:gfxdata="UEsDBAoAAAAAAIdO4kAAAAAAAAAAAAAAAAAEAAAAZHJzL1BLAwQUAAAACACHTuJAtqBBzNIAAAAE&#10;AQAADwAAAGRycy9kb3ducmV2LnhtbE2PwU7DMBBE70j9B2srcaN2GoRQiFOJqukRiYYDRzfeJin2&#10;OrLdNPw9Lhe4rDSa0czbcjNbwyb0YXAkIVsJYEit0wN1Ej6a+uEZWIiKtDKOUMI3BthUi7tSFdpd&#10;6R2nQ+xYKqFQKAl9jGPBeWh7tCqs3IiUvJPzVsUkfce1V9dUbg1fC/HErRooLfRqxG2P7dfhYiVs&#10;66bxEwZvPnFf5+e310fczVLeLzPxAiziHP/CcMNP6FAlpqO7kA7MSEiPxN978zKRATtKWOc58Krk&#10;/+GrH1BLAwQUAAAACACHTuJAkpXBxDECAABUBAAADgAAAGRycy9lMm9Eb2MueG1srVRLjhMxEN0j&#10;cQfLe9L5kIFE6YzCREFII2akgFg7bne6Jf9kO+kOB4AbsJoNe86Vc/DcnwwaWMyCjVNdVX7l96oq&#10;i+taSXIUzpdGp3Q0GFIiNDdZqfcp/fxp8+otJT4wnTFptEjpSXh6vXz5YlHZuRibwshMOAIQ7eeV&#10;TWkRgp0nieeFUMwPjBUawdw4xQI+3T7JHKuArmQyHg6vksq4zDrDhffwrtsg7RDdcwBNnpdcrA0/&#10;KKFDi+qEZAGUfFFaT5fNa/Nc8HCX514EIlMKpqE5UQT2Lp7JcsHme8dsUfLuCew5T3jCSbFSo+gF&#10;as0CIwdX/gWlSu6MN3kYcKOSlkijCFiMhk+02RbMioYLpPb2Irr/f7D84/HekTJL6ZgSzRQafv7x&#10;/fzw6/zzGxlNoj6V9XOkbS0SQ/3O1Jia3u/hjLTr3Kn4C0IEcah7uqgr6kA4nFez2WgypYQjNHr9&#10;ZjadRpTk8bJ1PrwXRpFopNSheY2m7HjrQ5vap8Ra2mxKKZsGSk0qFJhMh82FSwTgUqNGpNA+NVqh&#10;3tUdr53JTqDlTDsY3vJNieK3zId75jAJYIJdCXc4cmlQxHQWJYVxX//lj/loEKKUVJislGosEiXy&#10;g0bj4hD2huuNXW/og7oxGNURdtDyxsQFF2Rv5s6oL1igVayBENMclVIaevMmtNONBeRitWqSMGqW&#10;hVu9tTxCR/G8XR0CBGx0jaK0SnRaYdiaznSLEaf5z+8m6/HPYP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qBBzNIAAAAEAQAADwAAAAAAAAABACAAAAAiAAAAZHJzL2Rvd25yZXYueG1sUEsBAhQA&#10;FAAAAAgAh07iQJKVwcQxAgAAVAQAAA4AAAAAAAAAAQAgAAAAIQEAAGRycy9lMm9Eb2MueG1sUEsF&#10;BgAAAAAGAAYAWQEAAMQFAAAAAA==&#10;">
              <v:fill on="f" focussize="0,0"/>
              <v:stroke on="f" weight="0.5pt"/>
              <v:imagedata o:title=""/>
              <o:lock v:ext="edit" aspectratio="f"/>
              <v:textbox inset="0mm,0mm,0mm,0mm" style="mso-fit-shape-to-text:t;">
                <w:txbxContent>
                  <w:p w14:paraId="1F84AA3F">
                    <w:pPr>
                      <w:pStyle w:val="21"/>
                      <w:ind w:firstLine="360"/>
                    </w:pPr>
                    <w:r>
                      <w:t xml:space="preserve">第 </w:t>
                    </w:r>
                    <w:r>
                      <w:fldChar w:fldCharType="begin"/>
                    </w:r>
                    <w:r>
                      <w:instrText xml:space="preserve"> PAGE  \* MERGEFORMAT </w:instrText>
                    </w:r>
                    <w:r>
                      <w:fldChar w:fldCharType="separate"/>
                    </w:r>
                    <w:r>
                      <w:rPr>
                        <w:lang w:eastAsia="zh-CN"/>
                      </w:rPr>
                      <w:t>84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A7521">
    <w:pPr>
      <w:pStyle w:val="21"/>
      <w:jc w:val="center"/>
    </w:pPr>
    <w:r>
      <w:rPr>
        <w:sz w:val="20"/>
        <w:szCs w:val="20"/>
      </w:rPr>
      <w:fldChar w:fldCharType="begin"/>
    </w:r>
    <w:r>
      <w:rPr>
        <w:sz w:val="20"/>
        <w:szCs w:val="20"/>
      </w:rPr>
      <w:instrText xml:space="preserve"> PAGE   \* MERGEFORMAT </w:instrText>
    </w:r>
    <w:r>
      <w:rPr>
        <w:sz w:val="20"/>
        <w:szCs w:val="20"/>
      </w:rPr>
      <w:fldChar w:fldCharType="separate"/>
    </w:r>
    <w:r>
      <w:rPr>
        <w:sz w:val="20"/>
        <w:szCs w:val="20"/>
        <w:lang w:val="zh-CN" w:eastAsia="zh-CN"/>
      </w:rPr>
      <w:t>1</w:t>
    </w:r>
    <w:r>
      <w:rPr>
        <w:sz w:val="20"/>
        <w:szCs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A55FA">
    <w:pPr>
      <w:pStyle w:val="21"/>
      <w:jc w:val="center"/>
    </w:pPr>
    <w:r>
      <w:rPr>
        <w:sz w:val="20"/>
        <w:szCs w:val="20"/>
      </w:rPr>
      <w:fldChar w:fldCharType="begin"/>
    </w:r>
    <w:r>
      <w:rPr>
        <w:sz w:val="20"/>
        <w:szCs w:val="20"/>
      </w:rPr>
      <w:instrText xml:space="preserve"> PAGE   \* MERGEFORMAT </w:instrText>
    </w:r>
    <w:r>
      <w:rPr>
        <w:sz w:val="20"/>
        <w:szCs w:val="20"/>
      </w:rPr>
      <w:fldChar w:fldCharType="separate"/>
    </w:r>
    <w:r>
      <w:rPr>
        <w:sz w:val="20"/>
        <w:szCs w:val="20"/>
        <w:lang w:val="zh-CN" w:eastAsia="zh-CN"/>
      </w:rPr>
      <w:t>1</w:t>
    </w:r>
    <w:r>
      <w:rPr>
        <w:sz w:val="20"/>
        <w:szCs w:val="20"/>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87C22">
    <w:pPr>
      <w:spacing w:before="58" w:line="208" w:lineRule="auto"/>
      <w:ind w:left="11" w:firstLine="3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22080" behindDoc="0" locked="0" layoutInCell="1" allowOverlap="1">
              <wp:simplePos x="0" y="0"/>
              <wp:positionH relativeFrom="margin">
                <wp:align>center</wp:align>
              </wp:positionH>
              <wp:positionV relativeFrom="paragraph">
                <wp:posOffset>0</wp:posOffset>
              </wp:positionV>
              <wp:extent cx="762635" cy="147955"/>
              <wp:effectExtent l="0" t="0" r="0" b="0"/>
              <wp:wrapNone/>
              <wp:docPr id="1801342214" name="文本框 11"/>
              <wp:cNvGraphicFramePr/>
              <a:graphic xmlns:a="http://schemas.openxmlformats.org/drawingml/2006/main">
                <a:graphicData uri="http://schemas.microsoft.com/office/word/2010/wordprocessingShape">
                  <wps:wsp>
                    <wps:cNvSpPr txBox="1"/>
                    <wps:spPr>
                      <a:xfrm>
                        <a:off x="0" y="0"/>
                        <a:ext cx="762635" cy="147955"/>
                      </a:xfrm>
                      <a:prstGeom prst="rect">
                        <a:avLst/>
                      </a:prstGeom>
                      <a:noFill/>
                      <a:ln w="6350">
                        <a:noFill/>
                      </a:ln>
                    </wps:spPr>
                    <wps:txbx>
                      <w:txbxContent>
                        <w:p w14:paraId="42B34940">
                          <w:pPr>
                            <w:tabs>
                              <w:tab w:val="center" w:pos="4153"/>
                              <w:tab w:val="right" w:pos="8306"/>
                            </w:tabs>
                            <w:ind w:firstLine="36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lang w:eastAsia="zh-CN"/>
                            </w:rPr>
                            <w:t>132</w:t>
                          </w:r>
                          <w:r>
                            <w:rPr>
                              <w:sz w:val="18"/>
                            </w:rPr>
                            <w:fldChar w:fldCharType="end"/>
                          </w:r>
                          <w:r>
                            <w:rPr>
                              <w:sz w:val="18"/>
                            </w:rPr>
                            <w:t xml:space="preserve"> 页</w:t>
                          </w:r>
                        </w:p>
                      </w:txbxContent>
                    </wps:txbx>
                    <wps:bodyPr wrap="none" lIns="0" tIns="0" rIns="0" bIns="0" upright="1">
                      <a:spAutoFit/>
                    </wps:bodyPr>
                  </wps:wsp>
                </a:graphicData>
              </a:graphic>
            </wp:anchor>
          </w:drawing>
        </mc:Choice>
        <mc:Fallback>
          <w:pict>
            <v:shape id="文本框 11" o:spid="_x0000_s1026" o:spt="202" type="#_x0000_t202" style="position:absolute;left:0pt;margin-top:0pt;height:11.65pt;width:60.05pt;mso-position-horizontal:center;mso-position-horizontal-relative:margin;mso-wrap-style:none;z-index:251822080;mso-width-relative:page;mso-height-relative:page;" filled="f" stroked="f" coordsize="21600,21600" o:gfxdata="UEsDBAoAAAAAAIdO4kAAAAAAAAAAAAAAAAAEAAAAZHJzL1BLAwQUAAAACACHTuJA2stJadIAAAAE&#10;AQAADwAAAGRycy9kb3ducmV2LnhtbE2PwU7DMBBE70j8g7VI3KidBFUoxKlE1fSIRMOBoxsvScBe&#10;R7abhr/H5UIvK41mNPO22izWsBl9GB1JyFYCGFLn9Ei9hPe2eXgCFqIirYwjlPCDATb17U2lSu3O&#10;9IbzIfYslVAolYQhxqnkPHQDWhVWbkJK3qfzVsUkfc+1V+dUbg3PhVhzq0ZKC4OacDtg9304WQnb&#10;pm39jMGbD9w3xdfryyPuFinv7zLxDCziEv/DcMFP6FAnpqM7kQ7MSEiPxL978XKRATtKyIsCeF3x&#10;a/j6F1BLAwQUAAAACACHTuJAclcyk94BAACqAwAADgAAAGRycy9lMm9Eb2MueG1srVPNjtMwEL4j&#10;8Q6W7zRJt+3uRk1XoGoREgKkhQdwHaex5D953CZ9AXgDTly481x9DsZO0l0tlz1wccYznm/m+2ay&#10;vuu1IkfhQVpT0WKWUyIMt7U0+4p++3r/5oYSCMzUTFkjKnoSQO82r1+tO1eKuW2tqoUnCGKg7FxF&#10;2xBcmWXAW6EZzKwTBoON9ZoFvPp9VnvWIbpW2TzPV1lnfe285QIAvdshSEdE/xJA2zSSi63lBy1M&#10;GFC9UCwgJWilA7pJ3TaN4OFz04AIRFUUmYZ0YhG0d/HMNmtW7j1zreRjC+wlLTzjpJk0WPQCtWWB&#10;kYOX/0Bpyb0F24QZtzobiCRFkEWRP9PmoWVOJC4oNbiL6PD/YPmn4xdPZI2bcJMXV4v5vFhQYpjG&#10;yZ9//jj/+nP+/Z0URRSqc1Di+weHGaF/Z3tMmvyAzsi/b7yOX2RGMI4yny4yiz4Qjs7r1Xx1taSE&#10;Y6hYXN8ulxEle0x2HsJ7YTWJRkU9TjGJy44fIQxPpyexlrH3Uqk0SWVIV1FEz1PCJYLgymCNSGFo&#10;NVqh3/Ujr52tT0irw02oqMHFp0R9MCh0XJrJ8JOxm4yD83LfYo9Fqgfu7SFgN6nJWGGAHQvjCBPN&#10;cd3ijjy9p1ePv9jm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NrLSWnSAAAABAEAAA8AAAAAAAAA&#10;AQAgAAAAIgAAAGRycy9kb3ducmV2LnhtbFBLAQIUABQAAAAIAIdO4kByVzKT3gEAAKoDAAAOAAAA&#10;AAAAAAEAIAAAACEBAABkcnMvZTJvRG9jLnhtbFBLBQYAAAAABgAGAFkBAABxBQAAAAA=&#10;">
              <v:fill on="f" focussize="0,0"/>
              <v:stroke on="f" weight="0.5pt"/>
              <v:imagedata o:title=""/>
              <o:lock v:ext="edit" aspectratio="f"/>
              <v:textbox inset="0mm,0mm,0mm,0mm" style="mso-fit-shape-to-text:t;">
                <w:txbxContent>
                  <w:p w14:paraId="42B34940">
                    <w:pPr>
                      <w:tabs>
                        <w:tab w:val="center" w:pos="4153"/>
                        <w:tab w:val="right" w:pos="8306"/>
                      </w:tabs>
                      <w:ind w:firstLine="36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lang w:eastAsia="zh-CN"/>
                      </w:rPr>
                      <w:t>132</w:t>
                    </w:r>
                    <w:r>
                      <w:rPr>
                        <w:sz w:val="18"/>
                      </w:rPr>
                      <w:fldChar w:fldCharType="end"/>
                    </w:r>
                    <w:r>
                      <w:rPr>
                        <w:sz w:val="18"/>
                      </w:rP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92750">
    <w:pPr>
      <w:spacing w:line="176" w:lineRule="auto"/>
      <w:ind w:left="4762" w:firstLine="3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15936" behindDoc="0" locked="0" layoutInCell="1" allowOverlap="1">
              <wp:simplePos x="0" y="0"/>
              <wp:positionH relativeFrom="margin">
                <wp:align>center</wp:align>
              </wp:positionH>
              <wp:positionV relativeFrom="paragraph">
                <wp:posOffset>0</wp:posOffset>
              </wp:positionV>
              <wp:extent cx="762635" cy="147955"/>
              <wp:effectExtent l="0" t="0" r="0" b="0"/>
              <wp:wrapNone/>
              <wp:docPr id="1268" name="文本框 10"/>
              <wp:cNvGraphicFramePr/>
              <a:graphic xmlns:a="http://schemas.openxmlformats.org/drawingml/2006/main">
                <a:graphicData uri="http://schemas.microsoft.com/office/word/2010/wordprocessingShape">
                  <wps:wsp>
                    <wps:cNvSpPr txBox="1"/>
                    <wps:spPr>
                      <a:xfrm>
                        <a:off x="0" y="0"/>
                        <a:ext cx="762635" cy="147955"/>
                      </a:xfrm>
                      <a:prstGeom prst="rect">
                        <a:avLst/>
                      </a:prstGeom>
                      <a:noFill/>
                      <a:ln>
                        <a:noFill/>
                      </a:ln>
                    </wps:spPr>
                    <wps:txbx>
                      <w:txbxContent>
                        <w:p w14:paraId="78AF6D25">
                          <w:pPr>
                            <w:pStyle w:val="21"/>
                            <w:ind w:firstLine="360"/>
                          </w:pPr>
                          <w:r>
                            <w:t xml:space="preserve">第 </w:t>
                          </w:r>
                          <w:r>
                            <w:fldChar w:fldCharType="begin"/>
                          </w:r>
                          <w:r>
                            <w:instrText xml:space="preserve"> PAGE  \* MERGEFORMAT </w:instrText>
                          </w:r>
                          <w:r>
                            <w:fldChar w:fldCharType="separate"/>
                          </w:r>
                          <w:r>
                            <w:rPr>
                              <w:lang w:eastAsia="zh-CN"/>
                            </w:rPr>
                            <w:t>230</w:t>
                          </w:r>
                          <w:r>
                            <w:fldChar w:fldCharType="end"/>
                          </w:r>
                          <w:r>
                            <w:t xml:space="preserve"> 页</w:t>
                          </w:r>
                        </w:p>
                      </w:txbxContent>
                    </wps:txbx>
                    <wps:bodyPr wrap="none" lIns="0" tIns="0" rIns="0" bIns="0">
                      <a:spAutoFit/>
                    </wps:bodyPr>
                  </wps:wsp>
                </a:graphicData>
              </a:graphic>
            </wp:anchor>
          </w:drawing>
        </mc:Choice>
        <mc:Fallback>
          <w:pict>
            <v:shape id="文本框 10" o:spid="_x0000_s1026" o:spt="202" type="#_x0000_t202" style="position:absolute;left:0pt;margin-top:0pt;height:11.65pt;width:60.05pt;mso-position-horizontal:center;mso-position-horizontal-relative:margin;mso-wrap-style:none;z-index:251815936;mso-width-relative:page;mso-height-relative:page;" filled="f" stroked="f" coordsize="21600,21600" o:gfxdata="UEsDBAoAAAAAAIdO4kAAAAAAAAAAAAAAAAAEAAAAZHJzL1BLAwQUAAAACACHTuJArpMcINEAAAAE&#10;AQAADwAAAGRycy9kb3ducmV2LnhtbE2PwWrDMBBE74X8g9hAbo1kB9rgWM4h0EtvTUqhN8XaWCbS&#10;ykiKY/99lV7ay8Iww8zbej85y0YMsfckoVgLYEit1z11Ej5Pb89bYDEp0sp6QgkzRtg3i6daVdrf&#10;6QPHY+pYLqFYKQkmpaHiPLYGnYprPyBl7+KDUynL0HEd1D2XO8tLIV64Uz3lBaMGPBhsr8ebk/A6&#10;fXkcIh7w+zK2wfTz1r7PUq6WhdgBSzilvzA88DM6NJnp7G+kI7MS8iPp9z68UhTAzhLKzQZ4U/P/&#10;8M0PUEsDBBQAAAAIAIdO4kDkRw2ByAEAAI8DAAAOAAAAZHJzL2Uyb0RvYy54bWytU0uOEzEQ3SNx&#10;B8t74iSQDLTSGYGiQUgIkAYO4LjttCX/5HLSnQvADVixYc+5cg7K7k4Cw2YWbNzlqupX9V6VV7e9&#10;NeQgI2jvajqbTCmRTvhGu11Nv3y+e/aSEkjcNdx4J2t6lEBv10+frLpQyblvvWlkJAjioOpCTduU&#10;QsUYiFZaDhMfpMOg8tHyhNe4Y03kHaJbw+bT6ZJ1PjYheiEB0LsZgnREjI8B9EppITde7K10aUCN&#10;0vCElKDVAei6dKuUFOmjUiATMTVFpqmcWATtbT7ZesWrXeSh1WJsgT+mhQecLNcOi16gNjxxso/6&#10;HyirRfTgVZoIb9lApCiCLGbTB9rctzzIwgWlhnARHf4frPhw+BSJbnAT5kucvOMWZ376/u3049fp&#10;51cyKxJ1ASrMvA+Ym/o3vsf0LF32Azoz815Fm7/IiWAcBT5eBJZ9IgKdN8v58vmCEoGh2YubV4tF&#10;RmHXn0OE9FZ6S7JR04jzK7Lyw3tIQ+o5Jddy/k4bU2Zo3F8OxMwedu0wW6nf9mPbW98ckU2Ho6+p&#10;w02nxLxzqGzekrMRz8Z2NHINCK/3CQuXfjLqADUWwzkVRuNO5UX4816yru9o/R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ukxwg0QAAAAQBAAAPAAAAAAAAAAEAIAAAACIAAABkcnMvZG93bnJldi54&#10;bWxQSwECFAAUAAAACACHTuJA5EcNgcgBAACPAwAADgAAAAAAAAABACAAAAAgAQAAZHJzL2Uyb0Rv&#10;Yy54bWxQSwUGAAAAAAYABgBZAQAAWgUAAAAA&#10;">
              <v:fill on="f" focussize="0,0"/>
              <v:stroke on="f"/>
              <v:imagedata o:title=""/>
              <o:lock v:ext="edit" aspectratio="f"/>
              <v:textbox inset="0mm,0mm,0mm,0mm" style="mso-fit-shape-to-text:t;">
                <w:txbxContent>
                  <w:p w14:paraId="78AF6D25">
                    <w:pPr>
                      <w:pStyle w:val="21"/>
                      <w:ind w:firstLine="360"/>
                    </w:pPr>
                    <w:r>
                      <w:t xml:space="preserve">第 </w:t>
                    </w:r>
                    <w:r>
                      <w:fldChar w:fldCharType="begin"/>
                    </w:r>
                    <w:r>
                      <w:instrText xml:space="preserve"> PAGE  \* MERGEFORMAT </w:instrText>
                    </w:r>
                    <w:r>
                      <w:fldChar w:fldCharType="separate"/>
                    </w:r>
                    <w:r>
                      <w:rPr>
                        <w:lang w:eastAsia="zh-CN"/>
                      </w:rPr>
                      <w:t>230</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12DDA">
    <w:pPr>
      <w:spacing w:before="58" w:line="208" w:lineRule="auto"/>
      <w:ind w:left="11" w:firstLine="3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16960" behindDoc="0" locked="0" layoutInCell="1" allowOverlap="1">
              <wp:simplePos x="0" y="0"/>
              <wp:positionH relativeFrom="margin">
                <wp:align>center</wp:align>
              </wp:positionH>
              <wp:positionV relativeFrom="paragraph">
                <wp:posOffset>0</wp:posOffset>
              </wp:positionV>
              <wp:extent cx="762635" cy="147955"/>
              <wp:effectExtent l="0" t="0" r="0" b="0"/>
              <wp:wrapNone/>
              <wp:docPr id="1372" name="文本框 8"/>
              <wp:cNvGraphicFramePr/>
              <a:graphic xmlns:a="http://schemas.openxmlformats.org/drawingml/2006/main">
                <a:graphicData uri="http://schemas.microsoft.com/office/word/2010/wordprocessingShape">
                  <wps:wsp>
                    <wps:cNvSpPr txBox="1"/>
                    <wps:spPr>
                      <a:xfrm>
                        <a:off x="0" y="0"/>
                        <a:ext cx="762635" cy="147955"/>
                      </a:xfrm>
                      <a:prstGeom prst="rect">
                        <a:avLst/>
                      </a:prstGeom>
                      <a:noFill/>
                      <a:ln w="6350">
                        <a:noFill/>
                      </a:ln>
                    </wps:spPr>
                    <wps:txbx>
                      <w:txbxContent>
                        <w:p w14:paraId="4B0710B0">
                          <w:pPr>
                            <w:tabs>
                              <w:tab w:val="center" w:pos="4153"/>
                              <w:tab w:val="right" w:pos="8306"/>
                            </w:tabs>
                            <w:ind w:firstLine="36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lang w:eastAsia="zh-CN"/>
                            </w:rPr>
                            <w:t>276</w:t>
                          </w:r>
                          <w:r>
                            <w:rPr>
                              <w:sz w:val="18"/>
                            </w:rPr>
                            <w:fldChar w:fldCharType="end"/>
                          </w:r>
                          <w:r>
                            <w:rPr>
                              <w:sz w:val="18"/>
                            </w:rPr>
                            <w:t xml:space="preserve"> 页</w:t>
                          </w:r>
                        </w:p>
                      </w:txbxContent>
                    </wps:txbx>
                    <wps:bodyPr wrap="none" lIns="0" tIns="0" rIns="0" bIns="0" upright="1">
                      <a:spAutoFit/>
                    </wps:bodyPr>
                  </wps:wsp>
                </a:graphicData>
              </a:graphic>
            </wp:anchor>
          </w:drawing>
        </mc:Choice>
        <mc:Fallback>
          <w:pict>
            <v:shape id="文本框 8" o:spid="_x0000_s1026" o:spt="202" type="#_x0000_t202" style="position:absolute;left:0pt;margin-top:0pt;height:11.65pt;width:60.05pt;mso-position-horizontal:center;mso-position-horizontal-relative:margin;mso-wrap-style:none;z-index:251816960;mso-width-relative:page;mso-height-relative:page;" filled="f" stroked="f" coordsize="21600,21600" o:gfxdata="UEsDBAoAAAAAAIdO4kAAAAAAAAAAAAAAAAAEAAAAZHJzL1BLAwQUAAAACACHTuJA2stJadIAAAAE&#10;AQAADwAAAGRycy9kb3ducmV2LnhtbE2PwU7DMBBE70j8g7VI3KidBFUoxKlE1fSIRMOBoxsvScBe&#10;R7abhr/H5UIvK41mNPO22izWsBl9GB1JyFYCGFLn9Ei9hPe2eXgCFqIirYwjlPCDATb17U2lSu3O&#10;9IbzIfYslVAolYQhxqnkPHQDWhVWbkJK3qfzVsUkfc+1V+dUbg3PhVhzq0ZKC4OacDtg9304WQnb&#10;pm39jMGbD9w3xdfryyPuFinv7zLxDCziEv/DcMFP6FAnpqM7kQ7MSEiPxL978XKRATtKyIsCeF3x&#10;a/j6F1BLAwQUAAAACACHTuJA7f5uudgBAACjAwAADgAAAGRycy9lMm9Eb2MueG1srVNLbtswEN0X&#10;6B0I7mvJTmwnguWggZGiQNEWSHMAmqIsAvyBQ1vyBdobdNVN9z2Xz5EhJTlBssmiG2o4M3wz781o&#10;ddNpRQ7Cg7SmpNNJTokw3FbS7Er68OPuwxUlEJipmLJGlPQogN6s379bta4QM9tYVQlPEMRA0bqS&#10;NiG4IsuAN0IzmFgnDAZr6zULePW7rPKsRXStslmeL7LW+sp5ywUAejd9kA6I/i2Atq4lFxvL91qY&#10;0KN6oVhAStBIB3Sduq1rwcO3ugYRiCopMg3pxCJob+OZrVes2HnmGsmHFthbWnjBSTNpsOgZasMC&#10;I3svX0Fpyb0FW4cJtzrriSRFkMU0f6HNfcOcSFxQanBn0eH/wfKvh++eyAo34WI5o8QwjTM//f51&#10;+vPv9PcnuYoKtQ4KTLx3mBq6W9th9ugHdEbiXe11/CIlgnHU93jWV3SBcHQuF7PFxZwSjqHp5fJ6&#10;Po8o2dNj5yF8ElaTaJTU4/iSquzwBUKfOqbEWsbeSaXSCJUhbUkRPU8PzhEEVwZrRAp9q9EK3bYb&#10;eG1tdURaLa5ASQ1uPCXqs0GF47aMhh+N7WjsnZe7BnucpnrgPu4DdpOajBV62KEwzi7RHPYsLsfz&#10;e8p6+rfW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NrLSWnSAAAABAEAAA8AAAAAAAAAAQAgAAAA&#10;IgAAAGRycy9kb3ducmV2LnhtbFBLAQIUABQAAAAIAIdO4kDt/m652AEAAKMDAAAOAAAAAAAAAAEA&#10;IAAAACEBAABkcnMvZTJvRG9jLnhtbFBLBQYAAAAABgAGAFkBAABrBQAAAAA=&#10;">
              <v:fill on="f" focussize="0,0"/>
              <v:stroke on="f" weight="0.5pt"/>
              <v:imagedata o:title=""/>
              <o:lock v:ext="edit" aspectratio="f"/>
              <v:textbox inset="0mm,0mm,0mm,0mm" style="mso-fit-shape-to-text:t;">
                <w:txbxContent>
                  <w:p w14:paraId="4B0710B0">
                    <w:pPr>
                      <w:tabs>
                        <w:tab w:val="center" w:pos="4153"/>
                        <w:tab w:val="right" w:pos="8306"/>
                      </w:tabs>
                      <w:ind w:firstLine="36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lang w:eastAsia="zh-CN"/>
                      </w:rPr>
                      <w:t>276</w:t>
                    </w:r>
                    <w:r>
                      <w:rPr>
                        <w:sz w:val="18"/>
                      </w:rPr>
                      <w:fldChar w:fldCharType="end"/>
                    </w:r>
                    <w:r>
                      <w:rPr>
                        <w:sz w:val="1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AADCC">
    <w:pPr>
      <w:pStyle w:val="22"/>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6DA56">
    <w:pPr>
      <w:pStyle w:val="22"/>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1F096">
    <w:pPr>
      <w:pStyle w:val="22"/>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B1267">
    <w:pPr>
      <w:pStyle w:val="22"/>
      <w:rPr>
        <w:lang w:eastAsia="zh-CN"/>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0F284">
    <w:pPr>
      <w:pStyle w:val="22"/>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C05D9">
    <w:pPr>
      <w:pStyle w:val="22"/>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68A3E">
    <w:pPr>
      <w:spacing w:line="46" w:lineRule="auto"/>
      <w:ind w:firstLine="40"/>
      <w:rPr>
        <w:rFonts w:eastAsia="Arial"/>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9E8C1">
    <w:pPr>
      <w:pStyle w:val="22"/>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18F8B">
    <w:pPr>
      <w:pStyle w:val="22"/>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F13FB">
    <w:pPr>
      <w:pStyle w:val="11"/>
      <w:spacing w:line="14" w:lineRule="auto"/>
      <w:ind w:firstLine="40"/>
      <w:rPr>
        <w:sz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98803">
    <w:pPr>
      <w:pStyle w:val="2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2052D">
    <w:pPr>
      <w:pStyle w:val="22"/>
      <w:pBdr>
        <w:bottom w:val="none" w:color="auto" w:sz="0" w:space="0"/>
      </w:pBd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9CE8C">
    <w:pPr>
      <w:pStyle w:val="22"/>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A1D13">
    <w:pPr>
      <w:spacing w:line="46" w:lineRule="auto"/>
      <w:ind w:firstLine="40"/>
      <w:rPr>
        <w:rFonts w:eastAsia="Arial"/>
        <w:sz w:val="2"/>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4F5B4">
    <w:pPr>
      <w:pStyle w:val="22"/>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50B0C">
    <w:pPr>
      <w:pStyle w:val="22"/>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B92DF">
    <w:pPr>
      <w:spacing w:line="46" w:lineRule="auto"/>
      <w:rPr>
        <w:sz w:val="2"/>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3652F">
    <w:pPr>
      <w:pStyle w:val="22"/>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61883">
    <w:pPr>
      <w:pStyle w:val="22"/>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08C57">
    <w:pPr>
      <w:spacing w:line="46" w:lineRule="auto"/>
      <w:rPr>
        <w:rFonts w:eastAsia="Arial"/>
        <w:sz w:val="2"/>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714E4">
    <w:pPr>
      <w:pStyle w:val="22"/>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04758">
    <w:pPr>
      <w:pStyle w:val="2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21690">
    <w:pPr>
      <w:pStyle w:val="22"/>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B6CAD">
    <w:pPr>
      <w:spacing w:line="46" w:lineRule="auto"/>
      <w:rPr>
        <w:rFonts w:eastAsia="Arial"/>
        <w:sz w:val="2"/>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B5003">
    <w:pPr>
      <w:pStyle w:val="22"/>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34101">
    <w:pPr>
      <w:pStyle w:val="2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0009E">
    <w:pPr>
      <w:pStyle w:val="2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80C45">
    <w:pPr>
      <w:pStyle w:val="2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51CD5">
    <w:pPr>
      <w:pStyle w:val="22"/>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80739">
    <w:pPr>
      <w:pStyle w:val="22"/>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9A7F6">
    <w:pPr>
      <w:pStyle w:val="22"/>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ED2C4">
    <w:pPr>
      <w:pStyle w:val="2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932540"/>
    <w:multiLevelType w:val="multilevel"/>
    <w:tmpl w:val="0B932540"/>
    <w:lvl w:ilvl="0" w:tentative="0">
      <w:start w:val="1"/>
      <w:numFmt w:val="bullet"/>
      <w:lvlText w:val=""/>
      <w:lvlJc w:val="left"/>
      <w:pPr>
        <w:ind w:left="920" w:hanging="440"/>
      </w:pPr>
      <w:rPr>
        <w:rFonts w:hint="default" w:ascii="Wingdings" w:hAnsi="Wingdings"/>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1">
    <w:nsid w:val="21D46B22"/>
    <w:multiLevelType w:val="multilevel"/>
    <w:tmpl w:val="21D46B22"/>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
    <w:nsid w:val="25211BD6"/>
    <w:multiLevelType w:val="multilevel"/>
    <w:tmpl w:val="25211BD6"/>
    <w:lvl w:ilvl="0" w:tentative="0">
      <w:start w:val="1"/>
      <w:numFmt w:val="decimal"/>
      <w:lvlText w:val="（%1）"/>
      <w:lvlJc w:val="left"/>
      <w:pPr>
        <w:ind w:left="440" w:hanging="44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3">
    <w:nsid w:val="264859C2"/>
    <w:multiLevelType w:val="multilevel"/>
    <w:tmpl w:val="264859C2"/>
    <w:lvl w:ilvl="0" w:tentative="0">
      <w:start w:val="1"/>
      <w:numFmt w:val="decimal"/>
      <w:lvlText w:val="（%1）"/>
      <w:lvlJc w:val="left"/>
      <w:pPr>
        <w:ind w:left="1200" w:hanging="72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4">
    <w:nsid w:val="280A3626"/>
    <w:multiLevelType w:val="multilevel"/>
    <w:tmpl w:val="280A3626"/>
    <w:lvl w:ilvl="0" w:tentative="0">
      <w:start w:val="1"/>
      <w:numFmt w:val="decimal"/>
      <w:lvlText w:val="（%1）"/>
      <w:lvlJc w:val="left"/>
      <w:pPr>
        <w:ind w:left="920" w:hanging="44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5">
    <w:nsid w:val="3465574D"/>
    <w:multiLevelType w:val="multilevel"/>
    <w:tmpl w:val="3465574D"/>
    <w:lvl w:ilvl="0" w:tentative="0">
      <w:start w:val="6"/>
      <w:numFmt w:val="decimal"/>
      <w:lvlText w:val="%1"/>
      <w:lvlJc w:val="left"/>
      <w:pPr>
        <w:ind w:left="660" w:hanging="660"/>
      </w:pPr>
      <w:rPr>
        <w:rFonts w:hint="default"/>
      </w:rPr>
    </w:lvl>
    <w:lvl w:ilvl="1" w:tentative="0">
      <w:start w:val="2"/>
      <w:numFmt w:val="decimal"/>
      <w:lvlText w:val="%1.%2"/>
      <w:lvlJc w:val="left"/>
      <w:pPr>
        <w:ind w:left="820" w:hanging="660"/>
      </w:pPr>
      <w:rPr>
        <w:rFonts w:hint="default"/>
      </w:rPr>
    </w:lvl>
    <w:lvl w:ilvl="2" w:tentative="0">
      <w:start w:val="1"/>
      <w:numFmt w:val="decimal"/>
      <w:lvlText w:val="%1.%2.%3"/>
      <w:lvlJc w:val="left"/>
      <w:pPr>
        <w:ind w:left="1040" w:hanging="720"/>
      </w:pPr>
      <w:rPr>
        <w:rFonts w:hint="default"/>
      </w:rPr>
    </w:lvl>
    <w:lvl w:ilvl="3" w:tentative="0">
      <w:start w:val="1"/>
      <w:numFmt w:val="decimal"/>
      <w:lvlText w:val="%1.%2.%3.%4"/>
      <w:lvlJc w:val="left"/>
      <w:pPr>
        <w:ind w:left="1200" w:hanging="720"/>
      </w:pPr>
      <w:rPr>
        <w:rFonts w:hint="default"/>
      </w:rPr>
    </w:lvl>
    <w:lvl w:ilvl="4" w:tentative="0">
      <w:start w:val="1"/>
      <w:numFmt w:val="decimal"/>
      <w:lvlText w:val="%1.%2.%3.%4.%5"/>
      <w:lvlJc w:val="left"/>
      <w:pPr>
        <w:ind w:left="1720" w:hanging="1080"/>
      </w:pPr>
      <w:rPr>
        <w:rFonts w:hint="default"/>
      </w:rPr>
    </w:lvl>
    <w:lvl w:ilvl="5" w:tentative="0">
      <w:start w:val="1"/>
      <w:numFmt w:val="decimal"/>
      <w:lvlText w:val="%1.%2.%3.%4.%5.%6"/>
      <w:lvlJc w:val="left"/>
      <w:pPr>
        <w:ind w:left="1880" w:hanging="1080"/>
      </w:pPr>
      <w:rPr>
        <w:rFonts w:hint="default"/>
      </w:rPr>
    </w:lvl>
    <w:lvl w:ilvl="6" w:tentative="0">
      <w:start w:val="1"/>
      <w:numFmt w:val="decimal"/>
      <w:lvlText w:val="%1.%2.%3.%4.%5.%6.%7"/>
      <w:lvlJc w:val="left"/>
      <w:pPr>
        <w:ind w:left="2400" w:hanging="1440"/>
      </w:pPr>
      <w:rPr>
        <w:rFonts w:hint="default"/>
      </w:rPr>
    </w:lvl>
    <w:lvl w:ilvl="7" w:tentative="0">
      <w:start w:val="1"/>
      <w:numFmt w:val="decimal"/>
      <w:lvlText w:val="%1.%2.%3.%4.%5.%6.%7.%8"/>
      <w:lvlJc w:val="left"/>
      <w:pPr>
        <w:ind w:left="2560" w:hanging="1440"/>
      </w:pPr>
      <w:rPr>
        <w:rFonts w:hint="default"/>
      </w:rPr>
    </w:lvl>
    <w:lvl w:ilvl="8" w:tentative="0">
      <w:start w:val="1"/>
      <w:numFmt w:val="decimal"/>
      <w:lvlText w:val="%1.%2.%3.%4.%5.%6.%7.%8.%9"/>
      <w:lvlJc w:val="left"/>
      <w:pPr>
        <w:ind w:left="3080" w:hanging="1800"/>
      </w:pPr>
      <w:rPr>
        <w:rFonts w:hint="default"/>
      </w:rPr>
    </w:lvl>
  </w:abstractNum>
  <w:abstractNum w:abstractNumId="6">
    <w:nsid w:val="3A1D33A9"/>
    <w:multiLevelType w:val="multilevel"/>
    <w:tmpl w:val="3A1D33A9"/>
    <w:lvl w:ilvl="0" w:tentative="0">
      <w:start w:val="1"/>
      <w:numFmt w:val="decimal"/>
      <w:lvlText w:val="%1)"/>
      <w:lvlJc w:val="left"/>
      <w:pPr>
        <w:ind w:left="840" w:hanging="36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7">
    <w:nsid w:val="3D7C7198"/>
    <w:multiLevelType w:val="multilevel"/>
    <w:tmpl w:val="3D7C7198"/>
    <w:lvl w:ilvl="0" w:tentative="0">
      <w:start w:val="1"/>
      <w:numFmt w:val="decimal"/>
      <w:lvlText w:val="（%1）"/>
      <w:lvlJc w:val="left"/>
      <w:pPr>
        <w:ind w:left="1200" w:hanging="72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8">
    <w:nsid w:val="41862CA9"/>
    <w:multiLevelType w:val="multilevel"/>
    <w:tmpl w:val="41862CA9"/>
    <w:lvl w:ilvl="0" w:tentative="0">
      <w:start w:val="1"/>
      <w:numFmt w:val="decimal"/>
      <w:suff w:val="space"/>
      <w:lvlText w:val="%1"/>
      <w:lvlJc w:val="left"/>
      <w:pPr>
        <w:ind w:left="0" w:firstLine="0"/>
      </w:pPr>
      <w:rPr>
        <w:rFonts w:hint="eastAsia"/>
        <w:sz w:val="30"/>
        <w:szCs w:val="30"/>
      </w:rPr>
    </w:lvl>
    <w:lvl w:ilvl="1" w:tentative="0">
      <w:start w:val="1"/>
      <w:numFmt w:val="decimal"/>
      <w:pStyle w:val="72"/>
      <w:suff w:val="space"/>
      <w:lvlText w:val="%1.%2"/>
      <w:lvlJc w:val="left"/>
      <w:pPr>
        <w:ind w:left="1560" w:firstLine="0"/>
      </w:pPr>
      <w:rPr>
        <w:rFonts w:hint="default" w:ascii="Arial" w:hAnsi="Arial"/>
      </w:rPr>
    </w:lvl>
    <w:lvl w:ilvl="2" w:tentative="0">
      <w:start w:val="1"/>
      <w:numFmt w:val="decimal"/>
      <w:suff w:val="space"/>
      <w:lvlText w:val="%1.%2.%3"/>
      <w:lvlJc w:val="left"/>
      <w:pPr>
        <w:ind w:left="994" w:hanging="426"/>
      </w:pPr>
      <w:rPr>
        <w:rFonts w:hint="default" w:ascii="Arial" w:hAnsi="Arial"/>
      </w:rPr>
    </w:lvl>
    <w:lvl w:ilvl="3" w:tentative="0">
      <w:start w:val="1"/>
      <w:numFmt w:val="decimal"/>
      <w:suff w:val="nothing"/>
      <w:lvlText w:val="%1.%2.%3.%4"/>
      <w:lvlJc w:val="left"/>
      <w:pPr>
        <w:ind w:left="851" w:hanging="851"/>
      </w:pPr>
      <w:rPr>
        <w:rFonts w:hint="eastAsia" w:ascii="Arial" w:hAnsi="Arial"/>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43427803"/>
    <w:multiLevelType w:val="multilevel"/>
    <w:tmpl w:val="43427803"/>
    <w:lvl w:ilvl="0" w:tentative="0">
      <w:start w:val="6"/>
      <w:numFmt w:val="decimal"/>
      <w:lvlText w:val="%1"/>
      <w:lvlJc w:val="left"/>
      <w:pPr>
        <w:ind w:left="660" w:hanging="660"/>
      </w:pPr>
      <w:rPr>
        <w:rFonts w:hint="default"/>
        <w:b/>
      </w:rPr>
    </w:lvl>
    <w:lvl w:ilvl="1" w:tentative="0">
      <w:start w:val="7"/>
      <w:numFmt w:val="decimal"/>
      <w:lvlText w:val="%1.%2"/>
      <w:lvlJc w:val="left"/>
      <w:pPr>
        <w:ind w:left="820" w:hanging="660"/>
      </w:pPr>
      <w:rPr>
        <w:rFonts w:hint="default"/>
        <w:b/>
      </w:rPr>
    </w:lvl>
    <w:lvl w:ilvl="2" w:tentative="0">
      <w:start w:val="2"/>
      <w:numFmt w:val="decimal"/>
      <w:lvlText w:val="%1.%2.%3"/>
      <w:lvlJc w:val="left"/>
      <w:pPr>
        <w:ind w:left="1040" w:hanging="720"/>
      </w:pPr>
      <w:rPr>
        <w:rFonts w:hint="default"/>
        <w:b/>
      </w:rPr>
    </w:lvl>
    <w:lvl w:ilvl="3" w:tentative="0">
      <w:start w:val="2"/>
      <w:numFmt w:val="decimal"/>
      <w:lvlText w:val="%1.%2.%3.%4"/>
      <w:lvlJc w:val="left"/>
      <w:pPr>
        <w:ind w:left="1200" w:hanging="720"/>
      </w:pPr>
      <w:rPr>
        <w:rFonts w:hint="default"/>
        <w:b/>
      </w:rPr>
    </w:lvl>
    <w:lvl w:ilvl="4" w:tentative="0">
      <w:start w:val="1"/>
      <w:numFmt w:val="decimal"/>
      <w:lvlText w:val="%1.%2.%3.%4.%5"/>
      <w:lvlJc w:val="left"/>
      <w:pPr>
        <w:ind w:left="1720" w:hanging="1080"/>
      </w:pPr>
      <w:rPr>
        <w:rFonts w:hint="default"/>
        <w:b/>
      </w:rPr>
    </w:lvl>
    <w:lvl w:ilvl="5" w:tentative="0">
      <w:start w:val="1"/>
      <w:numFmt w:val="decimal"/>
      <w:lvlText w:val="%1.%2.%3.%4.%5.%6"/>
      <w:lvlJc w:val="left"/>
      <w:pPr>
        <w:ind w:left="1880" w:hanging="1080"/>
      </w:pPr>
      <w:rPr>
        <w:rFonts w:hint="default"/>
        <w:b/>
      </w:rPr>
    </w:lvl>
    <w:lvl w:ilvl="6" w:tentative="0">
      <w:start w:val="1"/>
      <w:numFmt w:val="decimal"/>
      <w:lvlText w:val="%1.%2.%3.%4.%5.%6.%7"/>
      <w:lvlJc w:val="left"/>
      <w:pPr>
        <w:ind w:left="2400" w:hanging="1440"/>
      </w:pPr>
      <w:rPr>
        <w:rFonts w:hint="default"/>
        <w:b/>
      </w:rPr>
    </w:lvl>
    <w:lvl w:ilvl="7" w:tentative="0">
      <w:start w:val="1"/>
      <w:numFmt w:val="decimal"/>
      <w:lvlText w:val="%1.%2.%3.%4.%5.%6.%7.%8"/>
      <w:lvlJc w:val="left"/>
      <w:pPr>
        <w:ind w:left="2560" w:hanging="1440"/>
      </w:pPr>
      <w:rPr>
        <w:rFonts w:hint="default"/>
        <w:b/>
      </w:rPr>
    </w:lvl>
    <w:lvl w:ilvl="8" w:tentative="0">
      <w:start w:val="1"/>
      <w:numFmt w:val="decimal"/>
      <w:lvlText w:val="%1.%2.%3.%4.%5.%6.%7.%8.%9"/>
      <w:lvlJc w:val="left"/>
      <w:pPr>
        <w:ind w:left="3080" w:hanging="1800"/>
      </w:pPr>
      <w:rPr>
        <w:rFonts w:hint="default"/>
        <w:b/>
      </w:rPr>
    </w:lvl>
  </w:abstractNum>
  <w:abstractNum w:abstractNumId="10">
    <w:nsid w:val="57E24441"/>
    <w:multiLevelType w:val="multilevel"/>
    <w:tmpl w:val="57E24441"/>
    <w:lvl w:ilvl="0" w:tentative="0">
      <w:start w:val="1"/>
      <w:numFmt w:val="decimal"/>
      <w:lvlText w:val="%1）"/>
      <w:lvlJc w:val="left"/>
      <w:pPr>
        <w:ind w:left="840" w:hanging="360"/>
      </w:pPr>
      <w:rPr>
        <w:rFonts w:hint="default" w:eastAsia="宋体"/>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1">
    <w:nsid w:val="5CE33F2C"/>
    <w:multiLevelType w:val="multilevel"/>
    <w:tmpl w:val="5CE33F2C"/>
    <w:lvl w:ilvl="0" w:tentative="0">
      <w:start w:val="7"/>
      <w:numFmt w:val="decimal"/>
      <w:lvlText w:val="%1"/>
      <w:lvlJc w:val="left"/>
      <w:pPr>
        <w:ind w:left="660" w:hanging="660"/>
      </w:pPr>
      <w:rPr>
        <w:rFonts w:hint="default"/>
      </w:rPr>
    </w:lvl>
    <w:lvl w:ilvl="1" w:tentative="0">
      <w:start w:val="7"/>
      <w:numFmt w:val="decimal"/>
      <w:lvlText w:val="%1.%2"/>
      <w:lvlJc w:val="left"/>
      <w:pPr>
        <w:ind w:left="820" w:hanging="660"/>
      </w:pPr>
      <w:rPr>
        <w:rFonts w:hint="default"/>
      </w:rPr>
    </w:lvl>
    <w:lvl w:ilvl="2" w:tentative="0">
      <w:start w:val="3"/>
      <w:numFmt w:val="decimal"/>
      <w:lvlText w:val="%1.%2.%3"/>
      <w:lvlJc w:val="left"/>
      <w:pPr>
        <w:ind w:left="1040" w:hanging="720"/>
      </w:pPr>
      <w:rPr>
        <w:rFonts w:hint="default"/>
      </w:rPr>
    </w:lvl>
    <w:lvl w:ilvl="3" w:tentative="0">
      <w:start w:val="1"/>
      <w:numFmt w:val="decimal"/>
      <w:lvlText w:val="%1.%2.%3.%4"/>
      <w:lvlJc w:val="left"/>
      <w:pPr>
        <w:ind w:left="1200" w:hanging="720"/>
      </w:pPr>
      <w:rPr>
        <w:rFonts w:hint="default"/>
      </w:rPr>
    </w:lvl>
    <w:lvl w:ilvl="4" w:tentative="0">
      <w:start w:val="1"/>
      <w:numFmt w:val="decimal"/>
      <w:lvlText w:val="%1.%2.%3.%4.%5"/>
      <w:lvlJc w:val="left"/>
      <w:pPr>
        <w:ind w:left="1720" w:hanging="1080"/>
      </w:pPr>
      <w:rPr>
        <w:rFonts w:hint="default"/>
      </w:rPr>
    </w:lvl>
    <w:lvl w:ilvl="5" w:tentative="0">
      <w:start w:val="1"/>
      <w:numFmt w:val="decimal"/>
      <w:lvlText w:val="%1.%2.%3.%4.%5.%6"/>
      <w:lvlJc w:val="left"/>
      <w:pPr>
        <w:ind w:left="1880" w:hanging="1080"/>
      </w:pPr>
      <w:rPr>
        <w:rFonts w:hint="default"/>
      </w:rPr>
    </w:lvl>
    <w:lvl w:ilvl="6" w:tentative="0">
      <w:start w:val="1"/>
      <w:numFmt w:val="decimal"/>
      <w:lvlText w:val="%1.%2.%3.%4.%5.%6.%7"/>
      <w:lvlJc w:val="left"/>
      <w:pPr>
        <w:ind w:left="2400" w:hanging="1440"/>
      </w:pPr>
      <w:rPr>
        <w:rFonts w:hint="default"/>
      </w:rPr>
    </w:lvl>
    <w:lvl w:ilvl="7" w:tentative="0">
      <w:start w:val="1"/>
      <w:numFmt w:val="decimal"/>
      <w:lvlText w:val="%1.%2.%3.%4.%5.%6.%7.%8"/>
      <w:lvlJc w:val="left"/>
      <w:pPr>
        <w:ind w:left="2560" w:hanging="1440"/>
      </w:pPr>
      <w:rPr>
        <w:rFonts w:hint="default"/>
      </w:rPr>
    </w:lvl>
    <w:lvl w:ilvl="8" w:tentative="0">
      <w:start w:val="1"/>
      <w:numFmt w:val="decimal"/>
      <w:lvlText w:val="%1.%2.%3.%4.%5.%6.%7.%8.%9"/>
      <w:lvlJc w:val="left"/>
      <w:pPr>
        <w:ind w:left="3080" w:hanging="1800"/>
      </w:pPr>
      <w:rPr>
        <w:rFonts w:hint="default"/>
      </w:rPr>
    </w:lvl>
  </w:abstractNum>
  <w:abstractNum w:abstractNumId="12">
    <w:nsid w:val="60FA17DE"/>
    <w:multiLevelType w:val="multilevel"/>
    <w:tmpl w:val="60FA17DE"/>
    <w:lvl w:ilvl="0" w:tentative="0">
      <w:start w:val="7"/>
      <w:numFmt w:val="decimal"/>
      <w:lvlText w:val="%1"/>
      <w:lvlJc w:val="left"/>
      <w:pPr>
        <w:ind w:left="660" w:hanging="660"/>
      </w:pPr>
      <w:rPr>
        <w:rFonts w:hint="default"/>
      </w:rPr>
    </w:lvl>
    <w:lvl w:ilvl="1" w:tentative="0">
      <w:start w:val="8"/>
      <w:numFmt w:val="decimal"/>
      <w:lvlText w:val="%1.%2"/>
      <w:lvlJc w:val="left"/>
      <w:pPr>
        <w:ind w:left="820" w:hanging="660"/>
      </w:pPr>
      <w:rPr>
        <w:rFonts w:hint="default"/>
      </w:rPr>
    </w:lvl>
    <w:lvl w:ilvl="2" w:tentative="0">
      <w:start w:val="2"/>
      <w:numFmt w:val="decimal"/>
      <w:lvlText w:val="%1.%2.%3"/>
      <w:lvlJc w:val="left"/>
      <w:pPr>
        <w:ind w:left="1040" w:hanging="720"/>
      </w:pPr>
      <w:rPr>
        <w:rFonts w:hint="default"/>
      </w:rPr>
    </w:lvl>
    <w:lvl w:ilvl="3" w:tentative="0">
      <w:start w:val="4"/>
      <w:numFmt w:val="decimal"/>
      <w:lvlText w:val="%1.%2.%3.%4"/>
      <w:lvlJc w:val="left"/>
      <w:pPr>
        <w:ind w:left="1200" w:hanging="720"/>
      </w:pPr>
      <w:rPr>
        <w:rFonts w:hint="default"/>
      </w:rPr>
    </w:lvl>
    <w:lvl w:ilvl="4" w:tentative="0">
      <w:start w:val="1"/>
      <w:numFmt w:val="decimal"/>
      <w:lvlText w:val="%1.%2.%3.%4.%5"/>
      <w:lvlJc w:val="left"/>
      <w:pPr>
        <w:ind w:left="1720" w:hanging="1080"/>
      </w:pPr>
      <w:rPr>
        <w:rFonts w:hint="default"/>
      </w:rPr>
    </w:lvl>
    <w:lvl w:ilvl="5" w:tentative="0">
      <w:start w:val="1"/>
      <w:numFmt w:val="decimal"/>
      <w:lvlText w:val="%1.%2.%3.%4.%5.%6"/>
      <w:lvlJc w:val="left"/>
      <w:pPr>
        <w:ind w:left="1880" w:hanging="1080"/>
      </w:pPr>
      <w:rPr>
        <w:rFonts w:hint="default"/>
      </w:rPr>
    </w:lvl>
    <w:lvl w:ilvl="6" w:tentative="0">
      <w:start w:val="1"/>
      <w:numFmt w:val="decimal"/>
      <w:lvlText w:val="%1.%2.%3.%4.%5.%6.%7"/>
      <w:lvlJc w:val="left"/>
      <w:pPr>
        <w:ind w:left="2400" w:hanging="1440"/>
      </w:pPr>
      <w:rPr>
        <w:rFonts w:hint="default"/>
      </w:rPr>
    </w:lvl>
    <w:lvl w:ilvl="7" w:tentative="0">
      <w:start w:val="1"/>
      <w:numFmt w:val="decimal"/>
      <w:lvlText w:val="%1.%2.%3.%4.%5.%6.%7.%8"/>
      <w:lvlJc w:val="left"/>
      <w:pPr>
        <w:ind w:left="2560" w:hanging="1440"/>
      </w:pPr>
      <w:rPr>
        <w:rFonts w:hint="default"/>
      </w:rPr>
    </w:lvl>
    <w:lvl w:ilvl="8" w:tentative="0">
      <w:start w:val="1"/>
      <w:numFmt w:val="decimal"/>
      <w:lvlText w:val="%1.%2.%3.%4.%5.%6.%7.%8.%9"/>
      <w:lvlJc w:val="left"/>
      <w:pPr>
        <w:ind w:left="3080" w:hanging="1800"/>
      </w:pPr>
      <w:rPr>
        <w:rFonts w:hint="default"/>
      </w:rPr>
    </w:lvl>
  </w:abstractNum>
  <w:abstractNum w:abstractNumId="13">
    <w:nsid w:val="6571D104"/>
    <w:multiLevelType w:val="multilevel"/>
    <w:tmpl w:val="6571D104"/>
    <w:lvl w:ilvl="0" w:tentative="0">
      <w:start w:val="1"/>
      <w:numFmt w:val="decimal"/>
      <w:pStyle w:val="3"/>
      <w:suff w:val="nothing"/>
      <w:lvlText w:val="%1  "/>
      <w:lvlJc w:val="center"/>
      <w:pPr>
        <w:tabs>
          <w:tab w:val="left" w:pos="0"/>
        </w:tabs>
        <w:ind w:left="0" w:firstLine="0"/>
      </w:pPr>
      <w:rPr>
        <w:rFonts w:hint="default" w:ascii="宋体" w:hAnsi="宋体" w:eastAsia="宋体" w:cs="宋体"/>
        <w:b/>
        <w:sz w:val="36"/>
      </w:rPr>
    </w:lvl>
    <w:lvl w:ilvl="1" w:tentative="0">
      <w:start w:val="1"/>
      <w:numFmt w:val="decimal"/>
      <w:isLgl/>
      <w:suff w:val="nothing"/>
      <w:lvlText w:val="%1.%2 "/>
      <w:lvlJc w:val="left"/>
      <w:pPr>
        <w:tabs>
          <w:tab w:val="left" w:pos="0"/>
        </w:tabs>
        <w:ind w:left="0" w:firstLine="0"/>
      </w:pPr>
      <w:rPr>
        <w:rFonts w:hint="default" w:ascii="宋体" w:hAnsi="宋体" w:eastAsia="宋体" w:cs="宋体"/>
        <w:b/>
        <w:sz w:val="30"/>
      </w:rPr>
    </w:lvl>
    <w:lvl w:ilvl="2" w:tentative="0">
      <w:start w:val="1"/>
      <w:numFmt w:val="decimal"/>
      <w:pStyle w:val="5"/>
      <w:isLgl/>
      <w:suff w:val="nothing"/>
      <w:lvlText w:val="%1.%2.%3 "/>
      <w:lvlJc w:val="left"/>
      <w:pPr>
        <w:tabs>
          <w:tab w:val="left" w:pos="0"/>
        </w:tabs>
        <w:ind w:left="210" w:hanging="210"/>
      </w:pPr>
      <w:rPr>
        <w:rFonts w:hint="default" w:ascii="Times New Roman" w:hAnsi="Times New Roman" w:eastAsia="宋体" w:cs="宋体"/>
        <w:b/>
        <w:sz w:val="28"/>
      </w:rPr>
    </w:lvl>
    <w:lvl w:ilvl="3" w:tentative="0">
      <w:start w:val="1"/>
      <w:numFmt w:val="decimal"/>
      <w:isLgl/>
      <w:suff w:val="nothing"/>
      <w:lvlText w:val="%1.%2.%3.%4 "/>
      <w:lvlJc w:val="left"/>
      <w:pPr>
        <w:tabs>
          <w:tab w:val="left" w:pos="0"/>
        </w:tabs>
        <w:ind w:left="0" w:firstLine="0"/>
      </w:pPr>
      <w:rPr>
        <w:rFonts w:hint="default" w:ascii="Times New Roman" w:hAnsi="Times New Roman" w:eastAsia="宋体" w:cs="Times New Roman"/>
        <w:b/>
        <w:sz w:val="24"/>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4">
    <w:nsid w:val="66323070"/>
    <w:multiLevelType w:val="singleLevel"/>
    <w:tmpl w:val="66323070"/>
    <w:lvl w:ilvl="0" w:tentative="0">
      <w:start w:val="1"/>
      <w:numFmt w:val="decimal"/>
      <w:suff w:val="nothing"/>
      <w:lvlText w:val="（%1）"/>
      <w:lvlJc w:val="left"/>
    </w:lvl>
  </w:abstractNum>
  <w:abstractNum w:abstractNumId="15">
    <w:nsid w:val="72F4417F"/>
    <w:multiLevelType w:val="multilevel"/>
    <w:tmpl w:val="72F4417F"/>
    <w:lvl w:ilvl="0" w:tentative="0">
      <w:start w:val="1"/>
      <w:numFmt w:val="decimal"/>
      <w:lvlText w:val="%1、"/>
      <w:lvlJc w:val="left"/>
      <w:pPr>
        <w:ind w:left="840" w:hanging="36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6">
    <w:nsid w:val="7A46280C"/>
    <w:multiLevelType w:val="multilevel"/>
    <w:tmpl w:val="7A46280C"/>
    <w:lvl w:ilvl="0" w:tentative="0">
      <w:start w:val="4"/>
      <w:numFmt w:val="japaneseCounting"/>
      <w:lvlText w:val="%1、"/>
      <w:lvlJc w:val="left"/>
      <w:pPr>
        <w:ind w:left="960" w:hanging="48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num w:numId="1">
    <w:abstractNumId w:val="13"/>
  </w:num>
  <w:num w:numId="2">
    <w:abstractNumId w:val="8"/>
  </w:num>
  <w:num w:numId="3">
    <w:abstractNumId w:val="0"/>
  </w:num>
  <w:num w:numId="4">
    <w:abstractNumId w:val="2"/>
  </w:num>
  <w:num w:numId="5">
    <w:abstractNumId w:val="4"/>
  </w:num>
  <w:num w:numId="6">
    <w:abstractNumId w:val="1"/>
  </w:num>
  <w:num w:numId="7">
    <w:abstractNumId w:val="6"/>
  </w:num>
  <w:num w:numId="8">
    <w:abstractNumId w:val="5"/>
  </w:num>
  <w:num w:numId="9">
    <w:abstractNumId w:val="3"/>
  </w:num>
  <w:num w:numId="10">
    <w:abstractNumId w:val="9"/>
  </w:num>
  <w:num w:numId="11">
    <w:abstractNumId w:val="10"/>
  </w:num>
  <w:num w:numId="12">
    <w:abstractNumId w:val="16"/>
  </w:num>
  <w:num w:numId="13">
    <w:abstractNumId w:val="11"/>
  </w:num>
  <w:num w:numId="14">
    <w:abstractNumId w:val="12"/>
  </w:num>
  <w:num w:numId="15">
    <w:abstractNumId w:val="15"/>
  </w:num>
  <w:num w:numId="16">
    <w:abstractNumId w:val="7"/>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documentProtection w:enforcement="0"/>
  <w:defaultTabStop w:val="0"/>
  <w:drawingGridHorizontalSpacing w:val="120"/>
  <w:drawingGridVerticalSpacing w:val="163"/>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Y1NDMwMmQyZjlmY2U5ZjkwNmM1MDYwODk0YzQxNTYifQ=="/>
  </w:docVars>
  <w:rsids>
    <w:rsidRoot w:val="00172A27"/>
    <w:rsid w:val="00000C5B"/>
    <w:rsid w:val="00002158"/>
    <w:rsid w:val="000032E7"/>
    <w:rsid w:val="0000336F"/>
    <w:rsid w:val="00003DB8"/>
    <w:rsid w:val="00003F4D"/>
    <w:rsid w:val="000042CE"/>
    <w:rsid w:val="000046B5"/>
    <w:rsid w:val="00005135"/>
    <w:rsid w:val="000055F6"/>
    <w:rsid w:val="00005786"/>
    <w:rsid w:val="00005D34"/>
    <w:rsid w:val="00006882"/>
    <w:rsid w:val="00006E48"/>
    <w:rsid w:val="00007BBC"/>
    <w:rsid w:val="00010028"/>
    <w:rsid w:val="0001310B"/>
    <w:rsid w:val="0001365A"/>
    <w:rsid w:val="0001377C"/>
    <w:rsid w:val="000138C0"/>
    <w:rsid w:val="0001391A"/>
    <w:rsid w:val="00014738"/>
    <w:rsid w:val="000163D6"/>
    <w:rsid w:val="00016C04"/>
    <w:rsid w:val="00016EA0"/>
    <w:rsid w:val="00017751"/>
    <w:rsid w:val="00017848"/>
    <w:rsid w:val="00017D38"/>
    <w:rsid w:val="00017DC7"/>
    <w:rsid w:val="00021BCD"/>
    <w:rsid w:val="00021FCA"/>
    <w:rsid w:val="0002215C"/>
    <w:rsid w:val="00022C57"/>
    <w:rsid w:val="00022DB3"/>
    <w:rsid w:val="0002351A"/>
    <w:rsid w:val="000236DF"/>
    <w:rsid w:val="00023BDE"/>
    <w:rsid w:val="00023CFC"/>
    <w:rsid w:val="00023D35"/>
    <w:rsid w:val="0002445B"/>
    <w:rsid w:val="0002543E"/>
    <w:rsid w:val="000257A0"/>
    <w:rsid w:val="0002582D"/>
    <w:rsid w:val="0002587B"/>
    <w:rsid w:val="000258C5"/>
    <w:rsid w:val="00025BC3"/>
    <w:rsid w:val="0002613F"/>
    <w:rsid w:val="000264D8"/>
    <w:rsid w:val="00026526"/>
    <w:rsid w:val="00026BD3"/>
    <w:rsid w:val="000275CF"/>
    <w:rsid w:val="000275D4"/>
    <w:rsid w:val="00027892"/>
    <w:rsid w:val="0003013B"/>
    <w:rsid w:val="000301B2"/>
    <w:rsid w:val="00030A88"/>
    <w:rsid w:val="00030E85"/>
    <w:rsid w:val="00031041"/>
    <w:rsid w:val="0003128E"/>
    <w:rsid w:val="00031876"/>
    <w:rsid w:val="00032121"/>
    <w:rsid w:val="00033138"/>
    <w:rsid w:val="0003391B"/>
    <w:rsid w:val="00033E9B"/>
    <w:rsid w:val="0003511B"/>
    <w:rsid w:val="00035906"/>
    <w:rsid w:val="00036124"/>
    <w:rsid w:val="00036569"/>
    <w:rsid w:val="000366D8"/>
    <w:rsid w:val="00036FF0"/>
    <w:rsid w:val="00037004"/>
    <w:rsid w:val="00037049"/>
    <w:rsid w:val="000376BD"/>
    <w:rsid w:val="000378A6"/>
    <w:rsid w:val="00037A30"/>
    <w:rsid w:val="00040360"/>
    <w:rsid w:val="00040682"/>
    <w:rsid w:val="0004076F"/>
    <w:rsid w:val="00040B39"/>
    <w:rsid w:val="000421FA"/>
    <w:rsid w:val="00042497"/>
    <w:rsid w:val="00043488"/>
    <w:rsid w:val="000436DB"/>
    <w:rsid w:val="00043EB9"/>
    <w:rsid w:val="00043F2F"/>
    <w:rsid w:val="0004412C"/>
    <w:rsid w:val="00044417"/>
    <w:rsid w:val="00044C63"/>
    <w:rsid w:val="00044C6D"/>
    <w:rsid w:val="00044E0C"/>
    <w:rsid w:val="00044EB7"/>
    <w:rsid w:val="0004514A"/>
    <w:rsid w:val="00045657"/>
    <w:rsid w:val="00045CF9"/>
    <w:rsid w:val="000461EE"/>
    <w:rsid w:val="00046349"/>
    <w:rsid w:val="000465AD"/>
    <w:rsid w:val="00046DF5"/>
    <w:rsid w:val="00046FEB"/>
    <w:rsid w:val="00046FF1"/>
    <w:rsid w:val="000471FB"/>
    <w:rsid w:val="000475A6"/>
    <w:rsid w:val="00047E1C"/>
    <w:rsid w:val="00050420"/>
    <w:rsid w:val="00050663"/>
    <w:rsid w:val="00050819"/>
    <w:rsid w:val="00050CA7"/>
    <w:rsid w:val="00050E42"/>
    <w:rsid w:val="00051662"/>
    <w:rsid w:val="00051689"/>
    <w:rsid w:val="00051876"/>
    <w:rsid w:val="000519DB"/>
    <w:rsid w:val="00051DA5"/>
    <w:rsid w:val="00052557"/>
    <w:rsid w:val="0005290E"/>
    <w:rsid w:val="00052F31"/>
    <w:rsid w:val="00052F5C"/>
    <w:rsid w:val="00053735"/>
    <w:rsid w:val="00053A5A"/>
    <w:rsid w:val="000541C0"/>
    <w:rsid w:val="00054BB2"/>
    <w:rsid w:val="0005502F"/>
    <w:rsid w:val="00055946"/>
    <w:rsid w:val="00055C71"/>
    <w:rsid w:val="00055EF9"/>
    <w:rsid w:val="0005632A"/>
    <w:rsid w:val="00056D58"/>
    <w:rsid w:val="0005731A"/>
    <w:rsid w:val="00060142"/>
    <w:rsid w:val="0006028D"/>
    <w:rsid w:val="00060464"/>
    <w:rsid w:val="00060A4B"/>
    <w:rsid w:val="00060D05"/>
    <w:rsid w:val="00060D15"/>
    <w:rsid w:val="00061386"/>
    <w:rsid w:val="00061B76"/>
    <w:rsid w:val="00061F3D"/>
    <w:rsid w:val="000620AD"/>
    <w:rsid w:val="000623EF"/>
    <w:rsid w:val="000629FD"/>
    <w:rsid w:val="00062ED9"/>
    <w:rsid w:val="0006395F"/>
    <w:rsid w:val="000641D1"/>
    <w:rsid w:val="000649B2"/>
    <w:rsid w:val="00064D25"/>
    <w:rsid w:val="00065213"/>
    <w:rsid w:val="0006595C"/>
    <w:rsid w:val="00065A80"/>
    <w:rsid w:val="00065BED"/>
    <w:rsid w:val="0006616E"/>
    <w:rsid w:val="0006698A"/>
    <w:rsid w:val="00067224"/>
    <w:rsid w:val="000673DA"/>
    <w:rsid w:val="00067B14"/>
    <w:rsid w:val="00067BB3"/>
    <w:rsid w:val="00067C75"/>
    <w:rsid w:val="00067D18"/>
    <w:rsid w:val="000704AB"/>
    <w:rsid w:val="000709D0"/>
    <w:rsid w:val="000716D1"/>
    <w:rsid w:val="00071C69"/>
    <w:rsid w:val="00072248"/>
    <w:rsid w:val="000723B4"/>
    <w:rsid w:val="000727C4"/>
    <w:rsid w:val="0007291A"/>
    <w:rsid w:val="00072BCF"/>
    <w:rsid w:val="00072CF8"/>
    <w:rsid w:val="00072F0F"/>
    <w:rsid w:val="000737DF"/>
    <w:rsid w:val="00073E78"/>
    <w:rsid w:val="000742FD"/>
    <w:rsid w:val="00074647"/>
    <w:rsid w:val="00074D16"/>
    <w:rsid w:val="000752E3"/>
    <w:rsid w:val="0007672B"/>
    <w:rsid w:val="00077063"/>
    <w:rsid w:val="0007766A"/>
    <w:rsid w:val="00080565"/>
    <w:rsid w:val="000810C6"/>
    <w:rsid w:val="0008132C"/>
    <w:rsid w:val="00081516"/>
    <w:rsid w:val="00081825"/>
    <w:rsid w:val="00081CF6"/>
    <w:rsid w:val="000823C1"/>
    <w:rsid w:val="00082518"/>
    <w:rsid w:val="0008272D"/>
    <w:rsid w:val="00082D4A"/>
    <w:rsid w:val="0008364E"/>
    <w:rsid w:val="000836CD"/>
    <w:rsid w:val="00083BC7"/>
    <w:rsid w:val="00083F44"/>
    <w:rsid w:val="00084202"/>
    <w:rsid w:val="0008456F"/>
    <w:rsid w:val="00084ABE"/>
    <w:rsid w:val="00084EA5"/>
    <w:rsid w:val="00085090"/>
    <w:rsid w:val="00085213"/>
    <w:rsid w:val="00085314"/>
    <w:rsid w:val="0008602D"/>
    <w:rsid w:val="000861E1"/>
    <w:rsid w:val="0008678D"/>
    <w:rsid w:val="00086D79"/>
    <w:rsid w:val="00087C79"/>
    <w:rsid w:val="00091BC9"/>
    <w:rsid w:val="00092275"/>
    <w:rsid w:val="000923DC"/>
    <w:rsid w:val="00093227"/>
    <w:rsid w:val="0009387B"/>
    <w:rsid w:val="00093904"/>
    <w:rsid w:val="00093980"/>
    <w:rsid w:val="00093B81"/>
    <w:rsid w:val="00093D99"/>
    <w:rsid w:val="000946CC"/>
    <w:rsid w:val="00094B7E"/>
    <w:rsid w:val="00095BB7"/>
    <w:rsid w:val="00095EE7"/>
    <w:rsid w:val="00096799"/>
    <w:rsid w:val="00096B52"/>
    <w:rsid w:val="00096D78"/>
    <w:rsid w:val="000970E1"/>
    <w:rsid w:val="000974AA"/>
    <w:rsid w:val="00097596"/>
    <w:rsid w:val="00097653"/>
    <w:rsid w:val="00097F60"/>
    <w:rsid w:val="000A04BE"/>
    <w:rsid w:val="000A04E6"/>
    <w:rsid w:val="000A068A"/>
    <w:rsid w:val="000A10C6"/>
    <w:rsid w:val="000A12A7"/>
    <w:rsid w:val="000A12D2"/>
    <w:rsid w:val="000A12F5"/>
    <w:rsid w:val="000A19C6"/>
    <w:rsid w:val="000A3604"/>
    <w:rsid w:val="000A4188"/>
    <w:rsid w:val="000A43F2"/>
    <w:rsid w:val="000A455C"/>
    <w:rsid w:val="000A467A"/>
    <w:rsid w:val="000A4A07"/>
    <w:rsid w:val="000A4D9A"/>
    <w:rsid w:val="000A53B7"/>
    <w:rsid w:val="000A5695"/>
    <w:rsid w:val="000A5725"/>
    <w:rsid w:val="000A5C08"/>
    <w:rsid w:val="000A5FF9"/>
    <w:rsid w:val="000A66EC"/>
    <w:rsid w:val="000A6E84"/>
    <w:rsid w:val="000A6FB8"/>
    <w:rsid w:val="000B0088"/>
    <w:rsid w:val="000B0F75"/>
    <w:rsid w:val="000B108E"/>
    <w:rsid w:val="000B126B"/>
    <w:rsid w:val="000B1D2F"/>
    <w:rsid w:val="000B265D"/>
    <w:rsid w:val="000B271E"/>
    <w:rsid w:val="000B38A4"/>
    <w:rsid w:val="000B3AAE"/>
    <w:rsid w:val="000B3AB3"/>
    <w:rsid w:val="000B443C"/>
    <w:rsid w:val="000B4677"/>
    <w:rsid w:val="000B4A44"/>
    <w:rsid w:val="000B4B2B"/>
    <w:rsid w:val="000B4B49"/>
    <w:rsid w:val="000B50ED"/>
    <w:rsid w:val="000B541D"/>
    <w:rsid w:val="000B5C98"/>
    <w:rsid w:val="000B685D"/>
    <w:rsid w:val="000B6D47"/>
    <w:rsid w:val="000B6D8E"/>
    <w:rsid w:val="000B6EC7"/>
    <w:rsid w:val="000B700F"/>
    <w:rsid w:val="000B7279"/>
    <w:rsid w:val="000B757E"/>
    <w:rsid w:val="000B7E26"/>
    <w:rsid w:val="000B7ECA"/>
    <w:rsid w:val="000C0238"/>
    <w:rsid w:val="000C02ED"/>
    <w:rsid w:val="000C0596"/>
    <w:rsid w:val="000C0718"/>
    <w:rsid w:val="000C115E"/>
    <w:rsid w:val="000C12ED"/>
    <w:rsid w:val="000C133A"/>
    <w:rsid w:val="000C174E"/>
    <w:rsid w:val="000C259E"/>
    <w:rsid w:val="000C2C20"/>
    <w:rsid w:val="000C3B9B"/>
    <w:rsid w:val="000C4036"/>
    <w:rsid w:val="000C5082"/>
    <w:rsid w:val="000C558E"/>
    <w:rsid w:val="000C6224"/>
    <w:rsid w:val="000C65A5"/>
    <w:rsid w:val="000C67A1"/>
    <w:rsid w:val="000C6A60"/>
    <w:rsid w:val="000C6B27"/>
    <w:rsid w:val="000C71A1"/>
    <w:rsid w:val="000C7794"/>
    <w:rsid w:val="000C7821"/>
    <w:rsid w:val="000C7F1B"/>
    <w:rsid w:val="000D0AAA"/>
    <w:rsid w:val="000D117C"/>
    <w:rsid w:val="000D1201"/>
    <w:rsid w:val="000D1C99"/>
    <w:rsid w:val="000D307E"/>
    <w:rsid w:val="000D309D"/>
    <w:rsid w:val="000D378F"/>
    <w:rsid w:val="000D383D"/>
    <w:rsid w:val="000D387B"/>
    <w:rsid w:val="000D44CC"/>
    <w:rsid w:val="000D4867"/>
    <w:rsid w:val="000D5E36"/>
    <w:rsid w:val="000D614C"/>
    <w:rsid w:val="000D6366"/>
    <w:rsid w:val="000D64F6"/>
    <w:rsid w:val="000D6595"/>
    <w:rsid w:val="000D6A25"/>
    <w:rsid w:val="000D6EB3"/>
    <w:rsid w:val="000D7641"/>
    <w:rsid w:val="000D77AE"/>
    <w:rsid w:val="000E04F9"/>
    <w:rsid w:val="000E18EF"/>
    <w:rsid w:val="000E1954"/>
    <w:rsid w:val="000E2427"/>
    <w:rsid w:val="000E2D09"/>
    <w:rsid w:val="000E3291"/>
    <w:rsid w:val="000E36DC"/>
    <w:rsid w:val="000E4402"/>
    <w:rsid w:val="000E5006"/>
    <w:rsid w:val="000E50F3"/>
    <w:rsid w:val="000E531C"/>
    <w:rsid w:val="000E6322"/>
    <w:rsid w:val="000E7307"/>
    <w:rsid w:val="000E7418"/>
    <w:rsid w:val="000E79B1"/>
    <w:rsid w:val="000E7E46"/>
    <w:rsid w:val="000E7E83"/>
    <w:rsid w:val="000F00A3"/>
    <w:rsid w:val="000F02B6"/>
    <w:rsid w:val="000F0360"/>
    <w:rsid w:val="000F03FB"/>
    <w:rsid w:val="000F092F"/>
    <w:rsid w:val="000F0BBA"/>
    <w:rsid w:val="000F1DDB"/>
    <w:rsid w:val="000F2124"/>
    <w:rsid w:val="000F2B0A"/>
    <w:rsid w:val="000F2D21"/>
    <w:rsid w:val="000F2FFA"/>
    <w:rsid w:val="000F3060"/>
    <w:rsid w:val="000F3942"/>
    <w:rsid w:val="000F3C78"/>
    <w:rsid w:val="000F3E8E"/>
    <w:rsid w:val="000F450D"/>
    <w:rsid w:val="000F4930"/>
    <w:rsid w:val="000F4CA1"/>
    <w:rsid w:val="000F54A9"/>
    <w:rsid w:val="000F5813"/>
    <w:rsid w:val="000F5AF8"/>
    <w:rsid w:val="000F606D"/>
    <w:rsid w:val="000F65E1"/>
    <w:rsid w:val="000F76F9"/>
    <w:rsid w:val="000F7831"/>
    <w:rsid w:val="000F7DA2"/>
    <w:rsid w:val="001006E6"/>
    <w:rsid w:val="00100AF6"/>
    <w:rsid w:val="00100DF5"/>
    <w:rsid w:val="00100E30"/>
    <w:rsid w:val="00100E42"/>
    <w:rsid w:val="001015F3"/>
    <w:rsid w:val="00102580"/>
    <w:rsid w:val="00102770"/>
    <w:rsid w:val="00102CBC"/>
    <w:rsid w:val="00102E24"/>
    <w:rsid w:val="0010304A"/>
    <w:rsid w:val="001030DD"/>
    <w:rsid w:val="001035E9"/>
    <w:rsid w:val="001036CB"/>
    <w:rsid w:val="00103BF0"/>
    <w:rsid w:val="00104035"/>
    <w:rsid w:val="00104969"/>
    <w:rsid w:val="001049A9"/>
    <w:rsid w:val="001053DC"/>
    <w:rsid w:val="00105742"/>
    <w:rsid w:val="00105C04"/>
    <w:rsid w:val="00105F55"/>
    <w:rsid w:val="00106422"/>
    <w:rsid w:val="00106ADD"/>
    <w:rsid w:val="00106C99"/>
    <w:rsid w:val="0010767A"/>
    <w:rsid w:val="001079D7"/>
    <w:rsid w:val="00107F49"/>
    <w:rsid w:val="00107F51"/>
    <w:rsid w:val="0011068D"/>
    <w:rsid w:val="0011069F"/>
    <w:rsid w:val="00110EE9"/>
    <w:rsid w:val="001111AB"/>
    <w:rsid w:val="0011121E"/>
    <w:rsid w:val="00111E23"/>
    <w:rsid w:val="00112468"/>
    <w:rsid w:val="00112474"/>
    <w:rsid w:val="0011247E"/>
    <w:rsid w:val="00112D4C"/>
    <w:rsid w:val="00113876"/>
    <w:rsid w:val="00113888"/>
    <w:rsid w:val="00113D49"/>
    <w:rsid w:val="001146D9"/>
    <w:rsid w:val="00114738"/>
    <w:rsid w:val="00115572"/>
    <w:rsid w:val="00116A2B"/>
    <w:rsid w:val="00116D11"/>
    <w:rsid w:val="0011747C"/>
    <w:rsid w:val="001177B8"/>
    <w:rsid w:val="00117D4C"/>
    <w:rsid w:val="00117DD2"/>
    <w:rsid w:val="00117E0A"/>
    <w:rsid w:val="0012004C"/>
    <w:rsid w:val="00120663"/>
    <w:rsid w:val="00120886"/>
    <w:rsid w:val="00121078"/>
    <w:rsid w:val="00121A49"/>
    <w:rsid w:val="00121B10"/>
    <w:rsid w:val="00121C21"/>
    <w:rsid w:val="00121C7A"/>
    <w:rsid w:val="00122AE2"/>
    <w:rsid w:val="00122B38"/>
    <w:rsid w:val="0012314D"/>
    <w:rsid w:val="0012341C"/>
    <w:rsid w:val="001240F2"/>
    <w:rsid w:val="0012436B"/>
    <w:rsid w:val="001244B7"/>
    <w:rsid w:val="00124745"/>
    <w:rsid w:val="0012616F"/>
    <w:rsid w:val="00126277"/>
    <w:rsid w:val="001265DF"/>
    <w:rsid w:val="00126B3B"/>
    <w:rsid w:val="00126C73"/>
    <w:rsid w:val="0012704E"/>
    <w:rsid w:val="00127184"/>
    <w:rsid w:val="00127D66"/>
    <w:rsid w:val="0013065C"/>
    <w:rsid w:val="00130A2F"/>
    <w:rsid w:val="00130AA8"/>
    <w:rsid w:val="00130D27"/>
    <w:rsid w:val="00130FA4"/>
    <w:rsid w:val="00131C41"/>
    <w:rsid w:val="00131FD5"/>
    <w:rsid w:val="00132419"/>
    <w:rsid w:val="00133141"/>
    <w:rsid w:val="00133998"/>
    <w:rsid w:val="00133D75"/>
    <w:rsid w:val="00133ECF"/>
    <w:rsid w:val="00133FC2"/>
    <w:rsid w:val="00134213"/>
    <w:rsid w:val="00135687"/>
    <w:rsid w:val="0013681C"/>
    <w:rsid w:val="00136894"/>
    <w:rsid w:val="00136B45"/>
    <w:rsid w:val="001373DC"/>
    <w:rsid w:val="0013742D"/>
    <w:rsid w:val="001376D2"/>
    <w:rsid w:val="00137AA0"/>
    <w:rsid w:val="00137D29"/>
    <w:rsid w:val="0014008F"/>
    <w:rsid w:val="00140236"/>
    <w:rsid w:val="0014037C"/>
    <w:rsid w:val="00141881"/>
    <w:rsid w:val="00141C1B"/>
    <w:rsid w:val="00141D66"/>
    <w:rsid w:val="0014242D"/>
    <w:rsid w:val="0014292D"/>
    <w:rsid w:val="00142A62"/>
    <w:rsid w:val="00142ABF"/>
    <w:rsid w:val="00142C73"/>
    <w:rsid w:val="00142FDC"/>
    <w:rsid w:val="001432DC"/>
    <w:rsid w:val="00143307"/>
    <w:rsid w:val="00143A41"/>
    <w:rsid w:val="001443F7"/>
    <w:rsid w:val="00144A56"/>
    <w:rsid w:val="00144B12"/>
    <w:rsid w:val="00144DF8"/>
    <w:rsid w:val="00145176"/>
    <w:rsid w:val="00145647"/>
    <w:rsid w:val="00145EA1"/>
    <w:rsid w:val="001465BE"/>
    <w:rsid w:val="00146646"/>
    <w:rsid w:val="00146BD6"/>
    <w:rsid w:val="00146DF1"/>
    <w:rsid w:val="00146E61"/>
    <w:rsid w:val="0014743F"/>
    <w:rsid w:val="00147762"/>
    <w:rsid w:val="00150213"/>
    <w:rsid w:val="00150787"/>
    <w:rsid w:val="0015080D"/>
    <w:rsid w:val="0015082A"/>
    <w:rsid w:val="00150AC9"/>
    <w:rsid w:val="00150C8A"/>
    <w:rsid w:val="001515F8"/>
    <w:rsid w:val="0015161D"/>
    <w:rsid w:val="00152801"/>
    <w:rsid w:val="0015280C"/>
    <w:rsid w:val="0015307B"/>
    <w:rsid w:val="00153184"/>
    <w:rsid w:val="001537FB"/>
    <w:rsid w:val="00153881"/>
    <w:rsid w:val="00156557"/>
    <w:rsid w:val="00156932"/>
    <w:rsid w:val="00156E56"/>
    <w:rsid w:val="00156FC1"/>
    <w:rsid w:val="00157093"/>
    <w:rsid w:val="001571CA"/>
    <w:rsid w:val="00157A1B"/>
    <w:rsid w:val="00157EE5"/>
    <w:rsid w:val="00157F78"/>
    <w:rsid w:val="0016063A"/>
    <w:rsid w:val="00160D9F"/>
    <w:rsid w:val="0016152E"/>
    <w:rsid w:val="00163230"/>
    <w:rsid w:val="0016362A"/>
    <w:rsid w:val="00163DF6"/>
    <w:rsid w:val="00163E3C"/>
    <w:rsid w:val="001645DB"/>
    <w:rsid w:val="00164A98"/>
    <w:rsid w:val="00164B0D"/>
    <w:rsid w:val="00164BB6"/>
    <w:rsid w:val="0016504D"/>
    <w:rsid w:val="00165732"/>
    <w:rsid w:val="00165CF3"/>
    <w:rsid w:val="001662E9"/>
    <w:rsid w:val="001665D9"/>
    <w:rsid w:val="00166B91"/>
    <w:rsid w:val="00166E25"/>
    <w:rsid w:val="00167541"/>
    <w:rsid w:val="00167A53"/>
    <w:rsid w:val="001701F1"/>
    <w:rsid w:val="0017173B"/>
    <w:rsid w:val="0017192D"/>
    <w:rsid w:val="001719EC"/>
    <w:rsid w:val="00171C87"/>
    <w:rsid w:val="00172422"/>
    <w:rsid w:val="00172A27"/>
    <w:rsid w:val="00172C0B"/>
    <w:rsid w:val="001730C3"/>
    <w:rsid w:val="00173281"/>
    <w:rsid w:val="001736EE"/>
    <w:rsid w:val="0017404D"/>
    <w:rsid w:val="0017451F"/>
    <w:rsid w:val="00174D9A"/>
    <w:rsid w:val="0017520E"/>
    <w:rsid w:val="0017593E"/>
    <w:rsid w:val="00176227"/>
    <w:rsid w:val="00176454"/>
    <w:rsid w:val="00176ACB"/>
    <w:rsid w:val="0017712C"/>
    <w:rsid w:val="0017771D"/>
    <w:rsid w:val="00177F96"/>
    <w:rsid w:val="00180223"/>
    <w:rsid w:val="0018061D"/>
    <w:rsid w:val="001806B3"/>
    <w:rsid w:val="00180E7E"/>
    <w:rsid w:val="0018188A"/>
    <w:rsid w:val="00182509"/>
    <w:rsid w:val="00182A3F"/>
    <w:rsid w:val="00183005"/>
    <w:rsid w:val="001837E6"/>
    <w:rsid w:val="00183D11"/>
    <w:rsid w:val="00184611"/>
    <w:rsid w:val="00184AFB"/>
    <w:rsid w:val="00185114"/>
    <w:rsid w:val="00185A0A"/>
    <w:rsid w:val="00187AD3"/>
    <w:rsid w:val="001903D8"/>
    <w:rsid w:val="0019155B"/>
    <w:rsid w:val="00191636"/>
    <w:rsid w:val="0019166F"/>
    <w:rsid w:val="00191CA4"/>
    <w:rsid w:val="00192A35"/>
    <w:rsid w:val="00192DCB"/>
    <w:rsid w:val="001931C1"/>
    <w:rsid w:val="001931C8"/>
    <w:rsid w:val="001933B6"/>
    <w:rsid w:val="00193980"/>
    <w:rsid w:val="00193AF0"/>
    <w:rsid w:val="001941A2"/>
    <w:rsid w:val="00194630"/>
    <w:rsid w:val="00194781"/>
    <w:rsid w:val="0019479A"/>
    <w:rsid w:val="00194A27"/>
    <w:rsid w:val="00195B9E"/>
    <w:rsid w:val="00196D12"/>
    <w:rsid w:val="001973E8"/>
    <w:rsid w:val="001977EC"/>
    <w:rsid w:val="00197967"/>
    <w:rsid w:val="001A0B06"/>
    <w:rsid w:val="001A0FA8"/>
    <w:rsid w:val="001A1033"/>
    <w:rsid w:val="001A135D"/>
    <w:rsid w:val="001A13F8"/>
    <w:rsid w:val="001A18F6"/>
    <w:rsid w:val="001A1DB3"/>
    <w:rsid w:val="001A1DDA"/>
    <w:rsid w:val="001A2B5F"/>
    <w:rsid w:val="001A309A"/>
    <w:rsid w:val="001A3B2F"/>
    <w:rsid w:val="001A3ECD"/>
    <w:rsid w:val="001A4DC5"/>
    <w:rsid w:val="001A4F0F"/>
    <w:rsid w:val="001A4FE6"/>
    <w:rsid w:val="001A52A4"/>
    <w:rsid w:val="001A5704"/>
    <w:rsid w:val="001A5AEB"/>
    <w:rsid w:val="001A5C0E"/>
    <w:rsid w:val="001A5CF0"/>
    <w:rsid w:val="001A6ABE"/>
    <w:rsid w:val="001A6E1E"/>
    <w:rsid w:val="001A729C"/>
    <w:rsid w:val="001A7783"/>
    <w:rsid w:val="001A79A0"/>
    <w:rsid w:val="001B00A3"/>
    <w:rsid w:val="001B00AA"/>
    <w:rsid w:val="001B0195"/>
    <w:rsid w:val="001B02F1"/>
    <w:rsid w:val="001B092B"/>
    <w:rsid w:val="001B10F0"/>
    <w:rsid w:val="001B1259"/>
    <w:rsid w:val="001B193B"/>
    <w:rsid w:val="001B1AAB"/>
    <w:rsid w:val="001B1BC3"/>
    <w:rsid w:val="001B1C07"/>
    <w:rsid w:val="001B1C7D"/>
    <w:rsid w:val="001B2946"/>
    <w:rsid w:val="001B2ACF"/>
    <w:rsid w:val="001B2EAF"/>
    <w:rsid w:val="001B3054"/>
    <w:rsid w:val="001B39DC"/>
    <w:rsid w:val="001B41B9"/>
    <w:rsid w:val="001B41C4"/>
    <w:rsid w:val="001B4293"/>
    <w:rsid w:val="001B432B"/>
    <w:rsid w:val="001B43CD"/>
    <w:rsid w:val="001B456D"/>
    <w:rsid w:val="001B4AF3"/>
    <w:rsid w:val="001B4B6D"/>
    <w:rsid w:val="001B4D71"/>
    <w:rsid w:val="001B599A"/>
    <w:rsid w:val="001B65A3"/>
    <w:rsid w:val="001B6733"/>
    <w:rsid w:val="001B6BAB"/>
    <w:rsid w:val="001B6F36"/>
    <w:rsid w:val="001B709E"/>
    <w:rsid w:val="001C032A"/>
    <w:rsid w:val="001C0443"/>
    <w:rsid w:val="001C05BC"/>
    <w:rsid w:val="001C095C"/>
    <w:rsid w:val="001C0AA4"/>
    <w:rsid w:val="001C0C0C"/>
    <w:rsid w:val="001C19A4"/>
    <w:rsid w:val="001C21AC"/>
    <w:rsid w:val="001C324D"/>
    <w:rsid w:val="001C3306"/>
    <w:rsid w:val="001C337F"/>
    <w:rsid w:val="001C41B8"/>
    <w:rsid w:val="001C4756"/>
    <w:rsid w:val="001C4955"/>
    <w:rsid w:val="001C4A19"/>
    <w:rsid w:val="001C4B45"/>
    <w:rsid w:val="001C4D7E"/>
    <w:rsid w:val="001C5028"/>
    <w:rsid w:val="001C53BC"/>
    <w:rsid w:val="001C79E1"/>
    <w:rsid w:val="001C7F07"/>
    <w:rsid w:val="001D001F"/>
    <w:rsid w:val="001D06E1"/>
    <w:rsid w:val="001D0B9B"/>
    <w:rsid w:val="001D0C1B"/>
    <w:rsid w:val="001D0CB7"/>
    <w:rsid w:val="001D0D11"/>
    <w:rsid w:val="001D0DA7"/>
    <w:rsid w:val="001D0DF1"/>
    <w:rsid w:val="001D0E23"/>
    <w:rsid w:val="001D12D4"/>
    <w:rsid w:val="001D14E7"/>
    <w:rsid w:val="001D155C"/>
    <w:rsid w:val="001D1D0B"/>
    <w:rsid w:val="001D1F2B"/>
    <w:rsid w:val="001D20A9"/>
    <w:rsid w:val="001D2632"/>
    <w:rsid w:val="001D2973"/>
    <w:rsid w:val="001D3806"/>
    <w:rsid w:val="001D3937"/>
    <w:rsid w:val="001D3DA6"/>
    <w:rsid w:val="001D4525"/>
    <w:rsid w:val="001D4560"/>
    <w:rsid w:val="001D4AA1"/>
    <w:rsid w:val="001D5309"/>
    <w:rsid w:val="001D552A"/>
    <w:rsid w:val="001D5628"/>
    <w:rsid w:val="001D585D"/>
    <w:rsid w:val="001D5918"/>
    <w:rsid w:val="001D667B"/>
    <w:rsid w:val="001D697C"/>
    <w:rsid w:val="001D69B4"/>
    <w:rsid w:val="001D7518"/>
    <w:rsid w:val="001D75F1"/>
    <w:rsid w:val="001D7642"/>
    <w:rsid w:val="001E03DD"/>
    <w:rsid w:val="001E0908"/>
    <w:rsid w:val="001E09C1"/>
    <w:rsid w:val="001E1687"/>
    <w:rsid w:val="001E17D0"/>
    <w:rsid w:val="001E1C4C"/>
    <w:rsid w:val="001E2084"/>
    <w:rsid w:val="001E2FE3"/>
    <w:rsid w:val="001E3471"/>
    <w:rsid w:val="001E39E1"/>
    <w:rsid w:val="001E3A27"/>
    <w:rsid w:val="001E3B29"/>
    <w:rsid w:val="001E3F33"/>
    <w:rsid w:val="001E446B"/>
    <w:rsid w:val="001E48A3"/>
    <w:rsid w:val="001E4D50"/>
    <w:rsid w:val="001E4E6A"/>
    <w:rsid w:val="001E5336"/>
    <w:rsid w:val="001E53B8"/>
    <w:rsid w:val="001E56C7"/>
    <w:rsid w:val="001E58A0"/>
    <w:rsid w:val="001E59F3"/>
    <w:rsid w:val="001E5AB9"/>
    <w:rsid w:val="001E6451"/>
    <w:rsid w:val="001E6962"/>
    <w:rsid w:val="001E6A31"/>
    <w:rsid w:val="001E6B96"/>
    <w:rsid w:val="001E7027"/>
    <w:rsid w:val="001E7871"/>
    <w:rsid w:val="001F02FE"/>
    <w:rsid w:val="001F0CE6"/>
    <w:rsid w:val="001F0EE4"/>
    <w:rsid w:val="001F174C"/>
    <w:rsid w:val="001F210F"/>
    <w:rsid w:val="001F21FA"/>
    <w:rsid w:val="001F248B"/>
    <w:rsid w:val="001F2530"/>
    <w:rsid w:val="001F2E1E"/>
    <w:rsid w:val="001F3378"/>
    <w:rsid w:val="001F3761"/>
    <w:rsid w:val="001F392D"/>
    <w:rsid w:val="001F3D02"/>
    <w:rsid w:val="001F45EE"/>
    <w:rsid w:val="001F4D43"/>
    <w:rsid w:val="001F5513"/>
    <w:rsid w:val="001F5DB7"/>
    <w:rsid w:val="001F61CF"/>
    <w:rsid w:val="001F6700"/>
    <w:rsid w:val="001F6BBD"/>
    <w:rsid w:val="001F72DC"/>
    <w:rsid w:val="00201CAC"/>
    <w:rsid w:val="002028EF"/>
    <w:rsid w:val="00202EBF"/>
    <w:rsid w:val="00204412"/>
    <w:rsid w:val="00204CF2"/>
    <w:rsid w:val="00205438"/>
    <w:rsid w:val="00205B17"/>
    <w:rsid w:val="00205C03"/>
    <w:rsid w:val="00205C6E"/>
    <w:rsid w:val="002063EA"/>
    <w:rsid w:val="002063FA"/>
    <w:rsid w:val="0020747D"/>
    <w:rsid w:val="00207851"/>
    <w:rsid w:val="00207933"/>
    <w:rsid w:val="00207B27"/>
    <w:rsid w:val="002102A6"/>
    <w:rsid w:val="0021044C"/>
    <w:rsid w:val="002110F1"/>
    <w:rsid w:val="002117BC"/>
    <w:rsid w:val="00211A55"/>
    <w:rsid w:val="0021205F"/>
    <w:rsid w:val="002124EA"/>
    <w:rsid w:val="002126C8"/>
    <w:rsid w:val="00212872"/>
    <w:rsid w:val="0021360B"/>
    <w:rsid w:val="00213665"/>
    <w:rsid w:val="0021375C"/>
    <w:rsid w:val="00213D75"/>
    <w:rsid w:val="00214BAC"/>
    <w:rsid w:val="00214F21"/>
    <w:rsid w:val="00215147"/>
    <w:rsid w:val="00215791"/>
    <w:rsid w:val="00215AE2"/>
    <w:rsid w:val="002160A8"/>
    <w:rsid w:val="002177AD"/>
    <w:rsid w:val="002177EA"/>
    <w:rsid w:val="00217CF5"/>
    <w:rsid w:val="00217D04"/>
    <w:rsid w:val="00217F09"/>
    <w:rsid w:val="00217FD0"/>
    <w:rsid w:val="002207D7"/>
    <w:rsid w:val="00220D65"/>
    <w:rsid w:val="002212BD"/>
    <w:rsid w:val="002212CE"/>
    <w:rsid w:val="00221AA5"/>
    <w:rsid w:val="00222A11"/>
    <w:rsid w:val="00222D55"/>
    <w:rsid w:val="002230DF"/>
    <w:rsid w:val="002233B5"/>
    <w:rsid w:val="002234AE"/>
    <w:rsid w:val="0022360D"/>
    <w:rsid w:val="00223FB9"/>
    <w:rsid w:val="00224A2C"/>
    <w:rsid w:val="00224C0C"/>
    <w:rsid w:val="002253F8"/>
    <w:rsid w:val="00226264"/>
    <w:rsid w:val="002267C9"/>
    <w:rsid w:val="00226BE2"/>
    <w:rsid w:val="00226F24"/>
    <w:rsid w:val="002272F1"/>
    <w:rsid w:val="00227CE2"/>
    <w:rsid w:val="00227DC5"/>
    <w:rsid w:val="0023063C"/>
    <w:rsid w:val="0023068C"/>
    <w:rsid w:val="00230C97"/>
    <w:rsid w:val="00231E57"/>
    <w:rsid w:val="0023261F"/>
    <w:rsid w:val="00232F4A"/>
    <w:rsid w:val="00232F53"/>
    <w:rsid w:val="00234240"/>
    <w:rsid w:val="00234C90"/>
    <w:rsid w:val="00234E66"/>
    <w:rsid w:val="00235B77"/>
    <w:rsid w:val="00235BD0"/>
    <w:rsid w:val="0023678F"/>
    <w:rsid w:val="00237529"/>
    <w:rsid w:val="002375C1"/>
    <w:rsid w:val="0023783F"/>
    <w:rsid w:val="002378FA"/>
    <w:rsid w:val="002379D3"/>
    <w:rsid w:val="00237B57"/>
    <w:rsid w:val="002414E7"/>
    <w:rsid w:val="00241647"/>
    <w:rsid w:val="00241B17"/>
    <w:rsid w:val="0024282C"/>
    <w:rsid w:val="002429B7"/>
    <w:rsid w:val="00242FCE"/>
    <w:rsid w:val="002430A8"/>
    <w:rsid w:val="00243516"/>
    <w:rsid w:val="00243F4A"/>
    <w:rsid w:val="00244255"/>
    <w:rsid w:val="00244A9C"/>
    <w:rsid w:val="00244C18"/>
    <w:rsid w:val="00245B6E"/>
    <w:rsid w:val="00245EE9"/>
    <w:rsid w:val="0024604E"/>
    <w:rsid w:val="002466F1"/>
    <w:rsid w:val="00246975"/>
    <w:rsid w:val="00247001"/>
    <w:rsid w:val="00247627"/>
    <w:rsid w:val="0024764B"/>
    <w:rsid w:val="00247C67"/>
    <w:rsid w:val="002503B4"/>
    <w:rsid w:val="00250685"/>
    <w:rsid w:val="002519A0"/>
    <w:rsid w:val="0025212A"/>
    <w:rsid w:val="00252249"/>
    <w:rsid w:val="00252B34"/>
    <w:rsid w:val="002532B9"/>
    <w:rsid w:val="0025331D"/>
    <w:rsid w:val="00253B5F"/>
    <w:rsid w:val="00254032"/>
    <w:rsid w:val="0025427E"/>
    <w:rsid w:val="0025445A"/>
    <w:rsid w:val="00254A4C"/>
    <w:rsid w:val="00254B3E"/>
    <w:rsid w:val="00255261"/>
    <w:rsid w:val="002565E6"/>
    <w:rsid w:val="00256CA8"/>
    <w:rsid w:val="00256CBC"/>
    <w:rsid w:val="00256DAC"/>
    <w:rsid w:val="00257887"/>
    <w:rsid w:val="00257BF3"/>
    <w:rsid w:val="00260290"/>
    <w:rsid w:val="00260310"/>
    <w:rsid w:val="0026050B"/>
    <w:rsid w:val="00260A7E"/>
    <w:rsid w:val="00260AE2"/>
    <w:rsid w:val="00261740"/>
    <w:rsid w:val="00261B8A"/>
    <w:rsid w:val="00261C8A"/>
    <w:rsid w:val="00261ED0"/>
    <w:rsid w:val="002620A0"/>
    <w:rsid w:val="00262814"/>
    <w:rsid w:val="002634F0"/>
    <w:rsid w:val="00263A8A"/>
    <w:rsid w:val="00263E3F"/>
    <w:rsid w:val="00264B17"/>
    <w:rsid w:val="00265F2B"/>
    <w:rsid w:val="0026618F"/>
    <w:rsid w:val="00266FA2"/>
    <w:rsid w:val="0026710D"/>
    <w:rsid w:val="002675A0"/>
    <w:rsid w:val="00267AB0"/>
    <w:rsid w:val="002700C6"/>
    <w:rsid w:val="00270123"/>
    <w:rsid w:val="00270446"/>
    <w:rsid w:val="002705B6"/>
    <w:rsid w:val="002705BB"/>
    <w:rsid w:val="00270926"/>
    <w:rsid w:val="00270B96"/>
    <w:rsid w:val="002710A4"/>
    <w:rsid w:val="0027158D"/>
    <w:rsid w:val="00271735"/>
    <w:rsid w:val="002718CD"/>
    <w:rsid w:val="00272444"/>
    <w:rsid w:val="002725DF"/>
    <w:rsid w:val="0027319A"/>
    <w:rsid w:val="002734D2"/>
    <w:rsid w:val="002735F8"/>
    <w:rsid w:val="00273C06"/>
    <w:rsid w:val="00273C33"/>
    <w:rsid w:val="0027404E"/>
    <w:rsid w:val="00274497"/>
    <w:rsid w:val="002745E0"/>
    <w:rsid w:val="00274DA5"/>
    <w:rsid w:val="00274F13"/>
    <w:rsid w:val="00275AB7"/>
    <w:rsid w:val="0027612B"/>
    <w:rsid w:val="002767CF"/>
    <w:rsid w:val="00276E2B"/>
    <w:rsid w:val="00277ED9"/>
    <w:rsid w:val="00280339"/>
    <w:rsid w:val="0028057A"/>
    <w:rsid w:val="00280878"/>
    <w:rsid w:val="00280BE3"/>
    <w:rsid w:val="00280E40"/>
    <w:rsid w:val="00280F1A"/>
    <w:rsid w:val="0028225A"/>
    <w:rsid w:val="00282AFF"/>
    <w:rsid w:val="00282E68"/>
    <w:rsid w:val="0028394A"/>
    <w:rsid w:val="00284063"/>
    <w:rsid w:val="00284207"/>
    <w:rsid w:val="00284D0A"/>
    <w:rsid w:val="00285291"/>
    <w:rsid w:val="002852DC"/>
    <w:rsid w:val="00285BB7"/>
    <w:rsid w:val="00286083"/>
    <w:rsid w:val="002862C6"/>
    <w:rsid w:val="00286304"/>
    <w:rsid w:val="00286921"/>
    <w:rsid w:val="00287BFF"/>
    <w:rsid w:val="00287D48"/>
    <w:rsid w:val="00290027"/>
    <w:rsid w:val="00290B6B"/>
    <w:rsid w:val="00290CAC"/>
    <w:rsid w:val="00290CC5"/>
    <w:rsid w:val="00290D78"/>
    <w:rsid w:val="00290DD7"/>
    <w:rsid w:val="002911C7"/>
    <w:rsid w:val="00291447"/>
    <w:rsid w:val="00291B2A"/>
    <w:rsid w:val="00291CCE"/>
    <w:rsid w:val="002922AE"/>
    <w:rsid w:val="002925EF"/>
    <w:rsid w:val="002934C5"/>
    <w:rsid w:val="0029371F"/>
    <w:rsid w:val="002958D7"/>
    <w:rsid w:val="002959AB"/>
    <w:rsid w:val="002959F5"/>
    <w:rsid w:val="00295B03"/>
    <w:rsid w:val="00295F08"/>
    <w:rsid w:val="0029698E"/>
    <w:rsid w:val="00296D2E"/>
    <w:rsid w:val="00297E2A"/>
    <w:rsid w:val="00297F35"/>
    <w:rsid w:val="002A0892"/>
    <w:rsid w:val="002A09B9"/>
    <w:rsid w:val="002A0E04"/>
    <w:rsid w:val="002A1568"/>
    <w:rsid w:val="002A15DD"/>
    <w:rsid w:val="002A2550"/>
    <w:rsid w:val="002A2C39"/>
    <w:rsid w:val="002A2EA3"/>
    <w:rsid w:val="002A31AB"/>
    <w:rsid w:val="002A3664"/>
    <w:rsid w:val="002A36CE"/>
    <w:rsid w:val="002A408C"/>
    <w:rsid w:val="002A4D6C"/>
    <w:rsid w:val="002A5567"/>
    <w:rsid w:val="002A5B2C"/>
    <w:rsid w:val="002A5FA3"/>
    <w:rsid w:val="002A66C3"/>
    <w:rsid w:val="002A6913"/>
    <w:rsid w:val="002A693B"/>
    <w:rsid w:val="002A6BD7"/>
    <w:rsid w:val="002A7AD1"/>
    <w:rsid w:val="002A7BA8"/>
    <w:rsid w:val="002A7C2A"/>
    <w:rsid w:val="002B0310"/>
    <w:rsid w:val="002B064A"/>
    <w:rsid w:val="002B06EB"/>
    <w:rsid w:val="002B162A"/>
    <w:rsid w:val="002B2233"/>
    <w:rsid w:val="002B2CB4"/>
    <w:rsid w:val="002B385A"/>
    <w:rsid w:val="002B41E2"/>
    <w:rsid w:val="002B47B3"/>
    <w:rsid w:val="002B4E79"/>
    <w:rsid w:val="002B5894"/>
    <w:rsid w:val="002B5973"/>
    <w:rsid w:val="002B6378"/>
    <w:rsid w:val="002B6417"/>
    <w:rsid w:val="002B6903"/>
    <w:rsid w:val="002B6DE3"/>
    <w:rsid w:val="002B7876"/>
    <w:rsid w:val="002B7CE3"/>
    <w:rsid w:val="002C06F4"/>
    <w:rsid w:val="002C109F"/>
    <w:rsid w:val="002C12AF"/>
    <w:rsid w:val="002C1572"/>
    <w:rsid w:val="002C1C3A"/>
    <w:rsid w:val="002C2231"/>
    <w:rsid w:val="002C240B"/>
    <w:rsid w:val="002C2A38"/>
    <w:rsid w:val="002C2EA8"/>
    <w:rsid w:val="002C30D7"/>
    <w:rsid w:val="002C3355"/>
    <w:rsid w:val="002C354B"/>
    <w:rsid w:val="002C37F1"/>
    <w:rsid w:val="002C3D0C"/>
    <w:rsid w:val="002C3DFA"/>
    <w:rsid w:val="002C4669"/>
    <w:rsid w:val="002C46C7"/>
    <w:rsid w:val="002C4CB4"/>
    <w:rsid w:val="002C5A45"/>
    <w:rsid w:val="002C5B96"/>
    <w:rsid w:val="002C6780"/>
    <w:rsid w:val="002C6EA5"/>
    <w:rsid w:val="002C734E"/>
    <w:rsid w:val="002C7728"/>
    <w:rsid w:val="002C7CD4"/>
    <w:rsid w:val="002C7E43"/>
    <w:rsid w:val="002D0C3F"/>
    <w:rsid w:val="002D13AC"/>
    <w:rsid w:val="002D15BF"/>
    <w:rsid w:val="002D199B"/>
    <w:rsid w:val="002D1AEA"/>
    <w:rsid w:val="002D1CF5"/>
    <w:rsid w:val="002D2D10"/>
    <w:rsid w:val="002D4608"/>
    <w:rsid w:val="002D496B"/>
    <w:rsid w:val="002D4E2F"/>
    <w:rsid w:val="002D4EC2"/>
    <w:rsid w:val="002D501E"/>
    <w:rsid w:val="002D6AE8"/>
    <w:rsid w:val="002D6D8D"/>
    <w:rsid w:val="002D7956"/>
    <w:rsid w:val="002D7978"/>
    <w:rsid w:val="002D7999"/>
    <w:rsid w:val="002D7A69"/>
    <w:rsid w:val="002E043E"/>
    <w:rsid w:val="002E0D2E"/>
    <w:rsid w:val="002E18C8"/>
    <w:rsid w:val="002E2C37"/>
    <w:rsid w:val="002E2C69"/>
    <w:rsid w:val="002E2CE5"/>
    <w:rsid w:val="002E2F9F"/>
    <w:rsid w:val="002E3026"/>
    <w:rsid w:val="002E3421"/>
    <w:rsid w:val="002E37A8"/>
    <w:rsid w:val="002E396A"/>
    <w:rsid w:val="002E4B77"/>
    <w:rsid w:val="002E4B80"/>
    <w:rsid w:val="002E4C82"/>
    <w:rsid w:val="002E53B0"/>
    <w:rsid w:val="002E584E"/>
    <w:rsid w:val="002E58CB"/>
    <w:rsid w:val="002E5C53"/>
    <w:rsid w:val="002E5D8B"/>
    <w:rsid w:val="002E5F0A"/>
    <w:rsid w:val="002E61E5"/>
    <w:rsid w:val="002E6903"/>
    <w:rsid w:val="002E79F1"/>
    <w:rsid w:val="002E7D3D"/>
    <w:rsid w:val="002F0053"/>
    <w:rsid w:val="002F00F3"/>
    <w:rsid w:val="002F0B4D"/>
    <w:rsid w:val="002F0BF8"/>
    <w:rsid w:val="002F137A"/>
    <w:rsid w:val="002F1F84"/>
    <w:rsid w:val="002F21F7"/>
    <w:rsid w:val="002F2514"/>
    <w:rsid w:val="002F254C"/>
    <w:rsid w:val="002F26BC"/>
    <w:rsid w:val="002F2820"/>
    <w:rsid w:val="002F2E23"/>
    <w:rsid w:val="002F3231"/>
    <w:rsid w:val="002F36DC"/>
    <w:rsid w:val="002F37BA"/>
    <w:rsid w:val="002F3E34"/>
    <w:rsid w:val="002F435A"/>
    <w:rsid w:val="002F436A"/>
    <w:rsid w:val="002F4ACB"/>
    <w:rsid w:val="002F4BC2"/>
    <w:rsid w:val="002F5689"/>
    <w:rsid w:val="002F5F45"/>
    <w:rsid w:val="002F6008"/>
    <w:rsid w:val="002F6972"/>
    <w:rsid w:val="002F6A70"/>
    <w:rsid w:val="002F7B0F"/>
    <w:rsid w:val="002F7E39"/>
    <w:rsid w:val="00300496"/>
    <w:rsid w:val="00300518"/>
    <w:rsid w:val="00300E9F"/>
    <w:rsid w:val="003015D4"/>
    <w:rsid w:val="00301643"/>
    <w:rsid w:val="00301DF4"/>
    <w:rsid w:val="00303400"/>
    <w:rsid w:val="0030387A"/>
    <w:rsid w:val="00303E26"/>
    <w:rsid w:val="0030459B"/>
    <w:rsid w:val="003046CF"/>
    <w:rsid w:val="00304867"/>
    <w:rsid w:val="00305479"/>
    <w:rsid w:val="003054B5"/>
    <w:rsid w:val="0030567B"/>
    <w:rsid w:val="00306809"/>
    <w:rsid w:val="00306D77"/>
    <w:rsid w:val="003078A3"/>
    <w:rsid w:val="00307983"/>
    <w:rsid w:val="003079C2"/>
    <w:rsid w:val="00307C83"/>
    <w:rsid w:val="003105BF"/>
    <w:rsid w:val="00310E44"/>
    <w:rsid w:val="00311430"/>
    <w:rsid w:val="003124BD"/>
    <w:rsid w:val="00312886"/>
    <w:rsid w:val="00312F11"/>
    <w:rsid w:val="00313AD4"/>
    <w:rsid w:val="00313E72"/>
    <w:rsid w:val="003141B6"/>
    <w:rsid w:val="00314609"/>
    <w:rsid w:val="00314617"/>
    <w:rsid w:val="00315901"/>
    <w:rsid w:val="00315C1C"/>
    <w:rsid w:val="003164C7"/>
    <w:rsid w:val="00316E5D"/>
    <w:rsid w:val="00317025"/>
    <w:rsid w:val="00317705"/>
    <w:rsid w:val="00320624"/>
    <w:rsid w:val="00321183"/>
    <w:rsid w:val="00321BD2"/>
    <w:rsid w:val="00322007"/>
    <w:rsid w:val="0032236C"/>
    <w:rsid w:val="003225EC"/>
    <w:rsid w:val="00323265"/>
    <w:rsid w:val="003232B6"/>
    <w:rsid w:val="00323911"/>
    <w:rsid w:val="00323ED6"/>
    <w:rsid w:val="00324996"/>
    <w:rsid w:val="0032562A"/>
    <w:rsid w:val="003262D7"/>
    <w:rsid w:val="00326641"/>
    <w:rsid w:val="003269CE"/>
    <w:rsid w:val="00326F1B"/>
    <w:rsid w:val="0032749B"/>
    <w:rsid w:val="0032752A"/>
    <w:rsid w:val="003279A5"/>
    <w:rsid w:val="003279BA"/>
    <w:rsid w:val="00327C11"/>
    <w:rsid w:val="00327FDB"/>
    <w:rsid w:val="00330011"/>
    <w:rsid w:val="0033039C"/>
    <w:rsid w:val="00330817"/>
    <w:rsid w:val="00330B14"/>
    <w:rsid w:val="0033185D"/>
    <w:rsid w:val="00332516"/>
    <w:rsid w:val="00332DF8"/>
    <w:rsid w:val="00333785"/>
    <w:rsid w:val="00333D6E"/>
    <w:rsid w:val="00334896"/>
    <w:rsid w:val="00334FA9"/>
    <w:rsid w:val="00335ACB"/>
    <w:rsid w:val="00335E70"/>
    <w:rsid w:val="003360A1"/>
    <w:rsid w:val="00336F0A"/>
    <w:rsid w:val="00337167"/>
    <w:rsid w:val="00337481"/>
    <w:rsid w:val="0033799C"/>
    <w:rsid w:val="00337D44"/>
    <w:rsid w:val="003401B8"/>
    <w:rsid w:val="00340C17"/>
    <w:rsid w:val="0034181A"/>
    <w:rsid w:val="00341A50"/>
    <w:rsid w:val="00341B8C"/>
    <w:rsid w:val="00342157"/>
    <w:rsid w:val="003426D6"/>
    <w:rsid w:val="0034348C"/>
    <w:rsid w:val="00343951"/>
    <w:rsid w:val="00343C2D"/>
    <w:rsid w:val="00343E4A"/>
    <w:rsid w:val="00343FBA"/>
    <w:rsid w:val="0034526D"/>
    <w:rsid w:val="003459A5"/>
    <w:rsid w:val="00345DC0"/>
    <w:rsid w:val="003462F6"/>
    <w:rsid w:val="0034663E"/>
    <w:rsid w:val="00346EAF"/>
    <w:rsid w:val="0034709B"/>
    <w:rsid w:val="00347B06"/>
    <w:rsid w:val="00347E49"/>
    <w:rsid w:val="003504C4"/>
    <w:rsid w:val="00350C5C"/>
    <w:rsid w:val="003510C1"/>
    <w:rsid w:val="00351E71"/>
    <w:rsid w:val="003522E0"/>
    <w:rsid w:val="003525E7"/>
    <w:rsid w:val="00352BF5"/>
    <w:rsid w:val="00353172"/>
    <w:rsid w:val="003533BB"/>
    <w:rsid w:val="003536A0"/>
    <w:rsid w:val="00353E27"/>
    <w:rsid w:val="00354006"/>
    <w:rsid w:val="0035406F"/>
    <w:rsid w:val="00355145"/>
    <w:rsid w:val="003555B0"/>
    <w:rsid w:val="00355C3C"/>
    <w:rsid w:val="00355F2C"/>
    <w:rsid w:val="00356071"/>
    <w:rsid w:val="003565D1"/>
    <w:rsid w:val="00356D09"/>
    <w:rsid w:val="00357496"/>
    <w:rsid w:val="00357DB6"/>
    <w:rsid w:val="00360532"/>
    <w:rsid w:val="00360733"/>
    <w:rsid w:val="00360BA6"/>
    <w:rsid w:val="00360BED"/>
    <w:rsid w:val="0036119B"/>
    <w:rsid w:val="00361667"/>
    <w:rsid w:val="00361D9B"/>
    <w:rsid w:val="003627CA"/>
    <w:rsid w:val="00362B96"/>
    <w:rsid w:val="00362CA2"/>
    <w:rsid w:val="00363721"/>
    <w:rsid w:val="003637EA"/>
    <w:rsid w:val="00364B61"/>
    <w:rsid w:val="00364B8F"/>
    <w:rsid w:val="00364E9E"/>
    <w:rsid w:val="003664D2"/>
    <w:rsid w:val="0036692C"/>
    <w:rsid w:val="003672B0"/>
    <w:rsid w:val="003672B6"/>
    <w:rsid w:val="0036789F"/>
    <w:rsid w:val="00367928"/>
    <w:rsid w:val="00367B3A"/>
    <w:rsid w:val="0037038D"/>
    <w:rsid w:val="00370CA4"/>
    <w:rsid w:val="00370F81"/>
    <w:rsid w:val="003717F1"/>
    <w:rsid w:val="00371886"/>
    <w:rsid w:val="00371B70"/>
    <w:rsid w:val="00371D08"/>
    <w:rsid w:val="003720C7"/>
    <w:rsid w:val="0037212E"/>
    <w:rsid w:val="003732E4"/>
    <w:rsid w:val="00373DFD"/>
    <w:rsid w:val="0037460B"/>
    <w:rsid w:val="00374B4E"/>
    <w:rsid w:val="00374EE8"/>
    <w:rsid w:val="00374FF8"/>
    <w:rsid w:val="003754E5"/>
    <w:rsid w:val="00375D37"/>
    <w:rsid w:val="00376393"/>
    <w:rsid w:val="00376567"/>
    <w:rsid w:val="003768D2"/>
    <w:rsid w:val="00376956"/>
    <w:rsid w:val="003769D7"/>
    <w:rsid w:val="00377531"/>
    <w:rsid w:val="00377ADC"/>
    <w:rsid w:val="003804B6"/>
    <w:rsid w:val="0038097D"/>
    <w:rsid w:val="00380BD9"/>
    <w:rsid w:val="00380D0B"/>
    <w:rsid w:val="00381234"/>
    <w:rsid w:val="003812B1"/>
    <w:rsid w:val="003813B3"/>
    <w:rsid w:val="003815C2"/>
    <w:rsid w:val="00381DEE"/>
    <w:rsid w:val="00381E1B"/>
    <w:rsid w:val="00381FB3"/>
    <w:rsid w:val="00382723"/>
    <w:rsid w:val="003827FF"/>
    <w:rsid w:val="00382F6D"/>
    <w:rsid w:val="00383544"/>
    <w:rsid w:val="003837EF"/>
    <w:rsid w:val="00383CD0"/>
    <w:rsid w:val="00383CDB"/>
    <w:rsid w:val="00383E76"/>
    <w:rsid w:val="003848E7"/>
    <w:rsid w:val="00384D80"/>
    <w:rsid w:val="00384D99"/>
    <w:rsid w:val="00385280"/>
    <w:rsid w:val="003852CE"/>
    <w:rsid w:val="003854D0"/>
    <w:rsid w:val="00385863"/>
    <w:rsid w:val="00385995"/>
    <w:rsid w:val="00385C8A"/>
    <w:rsid w:val="00385CFA"/>
    <w:rsid w:val="00386797"/>
    <w:rsid w:val="00386970"/>
    <w:rsid w:val="00387CF2"/>
    <w:rsid w:val="0039199D"/>
    <w:rsid w:val="00391B81"/>
    <w:rsid w:val="00391CFE"/>
    <w:rsid w:val="00391FAA"/>
    <w:rsid w:val="00392256"/>
    <w:rsid w:val="003923DA"/>
    <w:rsid w:val="003929AC"/>
    <w:rsid w:val="00392BBF"/>
    <w:rsid w:val="0039300C"/>
    <w:rsid w:val="00393C3F"/>
    <w:rsid w:val="0039417C"/>
    <w:rsid w:val="00394607"/>
    <w:rsid w:val="00395377"/>
    <w:rsid w:val="0039583C"/>
    <w:rsid w:val="00395B13"/>
    <w:rsid w:val="00395C97"/>
    <w:rsid w:val="00396DAE"/>
    <w:rsid w:val="00397E4F"/>
    <w:rsid w:val="003A01F8"/>
    <w:rsid w:val="003A0BEE"/>
    <w:rsid w:val="003A10FE"/>
    <w:rsid w:val="003A185C"/>
    <w:rsid w:val="003A1B44"/>
    <w:rsid w:val="003A208F"/>
    <w:rsid w:val="003A21D4"/>
    <w:rsid w:val="003A298C"/>
    <w:rsid w:val="003A35D5"/>
    <w:rsid w:val="003A3B11"/>
    <w:rsid w:val="003A3B3F"/>
    <w:rsid w:val="003A4ADF"/>
    <w:rsid w:val="003A4CBD"/>
    <w:rsid w:val="003A5115"/>
    <w:rsid w:val="003A553D"/>
    <w:rsid w:val="003A55A6"/>
    <w:rsid w:val="003A6814"/>
    <w:rsid w:val="003A6913"/>
    <w:rsid w:val="003A6AF1"/>
    <w:rsid w:val="003A6D03"/>
    <w:rsid w:val="003A6F02"/>
    <w:rsid w:val="003A730D"/>
    <w:rsid w:val="003A7DA8"/>
    <w:rsid w:val="003B022A"/>
    <w:rsid w:val="003B032B"/>
    <w:rsid w:val="003B0914"/>
    <w:rsid w:val="003B1809"/>
    <w:rsid w:val="003B2160"/>
    <w:rsid w:val="003B220C"/>
    <w:rsid w:val="003B2550"/>
    <w:rsid w:val="003B26A1"/>
    <w:rsid w:val="003B26F4"/>
    <w:rsid w:val="003B26FE"/>
    <w:rsid w:val="003B28FE"/>
    <w:rsid w:val="003B2C0D"/>
    <w:rsid w:val="003B2D9C"/>
    <w:rsid w:val="003B329F"/>
    <w:rsid w:val="003B37A3"/>
    <w:rsid w:val="003B3D24"/>
    <w:rsid w:val="003B4073"/>
    <w:rsid w:val="003B4230"/>
    <w:rsid w:val="003B4940"/>
    <w:rsid w:val="003B4B61"/>
    <w:rsid w:val="003B5680"/>
    <w:rsid w:val="003B59D2"/>
    <w:rsid w:val="003B5AD0"/>
    <w:rsid w:val="003B64AC"/>
    <w:rsid w:val="003B6529"/>
    <w:rsid w:val="003B681D"/>
    <w:rsid w:val="003B6855"/>
    <w:rsid w:val="003B6D2A"/>
    <w:rsid w:val="003B75DD"/>
    <w:rsid w:val="003B78EE"/>
    <w:rsid w:val="003B7A36"/>
    <w:rsid w:val="003B7A44"/>
    <w:rsid w:val="003C029C"/>
    <w:rsid w:val="003C04E1"/>
    <w:rsid w:val="003C0826"/>
    <w:rsid w:val="003C088E"/>
    <w:rsid w:val="003C0A4F"/>
    <w:rsid w:val="003C0E6E"/>
    <w:rsid w:val="003C0F2A"/>
    <w:rsid w:val="003C1E1B"/>
    <w:rsid w:val="003C2452"/>
    <w:rsid w:val="003C36E2"/>
    <w:rsid w:val="003C3D25"/>
    <w:rsid w:val="003C43A6"/>
    <w:rsid w:val="003C4DF6"/>
    <w:rsid w:val="003C500C"/>
    <w:rsid w:val="003C5171"/>
    <w:rsid w:val="003C54CC"/>
    <w:rsid w:val="003C585C"/>
    <w:rsid w:val="003C5BC3"/>
    <w:rsid w:val="003C600E"/>
    <w:rsid w:val="003C66FF"/>
    <w:rsid w:val="003C69E4"/>
    <w:rsid w:val="003C6B50"/>
    <w:rsid w:val="003C6BBA"/>
    <w:rsid w:val="003C6C98"/>
    <w:rsid w:val="003C6EBF"/>
    <w:rsid w:val="003C6FCE"/>
    <w:rsid w:val="003C79CC"/>
    <w:rsid w:val="003C7E8B"/>
    <w:rsid w:val="003C7F13"/>
    <w:rsid w:val="003C7F51"/>
    <w:rsid w:val="003D0045"/>
    <w:rsid w:val="003D01F3"/>
    <w:rsid w:val="003D0286"/>
    <w:rsid w:val="003D07E6"/>
    <w:rsid w:val="003D0A78"/>
    <w:rsid w:val="003D15DF"/>
    <w:rsid w:val="003D2086"/>
    <w:rsid w:val="003D2112"/>
    <w:rsid w:val="003D28B5"/>
    <w:rsid w:val="003D314D"/>
    <w:rsid w:val="003D32B4"/>
    <w:rsid w:val="003D4C84"/>
    <w:rsid w:val="003D52C9"/>
    <w:rsid w:val="003D5727"/>
    <w:rsid w:val="003D5795"/>
    <w:rsid w:val="003D5D33"/>
    <w:rsid w:val="003D6183"/>
    <w:rsid w:val="003D6980"/>
    <w:rsid w:val="003D6AA5"/>
    <w:rsid w:val="003D6EA2"/>
    <w:rsid w:val="003D723B"/>
    <w:rsid w:val="003E0573"/>
    <w:rsid w:val="003E3000"/>
    <w:rsid w:val="003E3B86"/>
    <w:rsid w:val="003E3D2E"/>
    <w:rsid w:val="003E3FE3"/>
    <w:rsid w:val="003E423A"/>
    <w:rsid w:val="003E4514"/>
    <w:rsid w:val="003E4869"/>
    <w:rsid w:val="003E498B"/>
    <w:rsid w:val="003E4AE6"/>
    <w:rsid w:val="003E5539"/>
    <w:rsid w:val="003E5B93"/>
    <w:rsid w:val="003E5E3C"/>
    <w:rsid w:val="003E5FEC"/>
    <w:rsid w:val="003E602A"/>
    <w:rsid w:val="003E72B6"/>
    <w:rsid w:val="003F0967"/>
    <w:rsid w:val="003F09AF"/>
    <w:rsid w:val="003F0A56"/>
    <w:rsid w:val="003F0D7D"/>
    <w:rsid w:val="003F1035"/>
    <w:rsid w:val="003F1BAE"/>
    <w:rsid w:val="003F2403"/>
    <w:rsid w:val="003F26B9"/>
    <w:rsid w:val="003F32AF"/>
    <w:rsid w:val="003F401F"/>
    <w:rsid w:val="003F5932"/>
    <w:rsid w:val="003F5AE3"/>
    <w:rsid w:val="003F5E8A"/>
    <w:rsid w:val="003F656C"/>
    <w:rsid w:val="003F69FC"/>
    <w:rsid w:val="003F6B60"/>
    <w:rsid w:val="003F714C"/>
    <w:rsid w:val="003F7283"/>
    <w:rsid w:val="003F7345"/>
    <w:rsid w:val="003F74A4"/>
    <w:rsid w:val="003F7CCA"/>
    <w:rsid w:val="004001F9"/>
    <w:rsid w:val="004002FB"/>
    <w:rsid w:val="004004A5"/>
    <w:rsid w:val="00400D9F"/>
    <w:rsid w:val="00400E1A"/>
    <w:rsid w:val="00400F2D"/>
    <w:rsid w:val="0040151E"/>
    <w:rsid w:val="004015AA"/>
    <w:rsid w:val="00401E7F"/>
    <w:rsid w:val="00402112"/>
    <w:rsid w:val="00402115"/>
    <w:rsid w:val="004022CF"/>
    <w:rsid w:val="00402F5B"/>
    <w:rsid w:val="00403735"/>
    <w:rsid w:val="00403EFE"/>
    <w:rsid w:val="00404131"/>
    <w:rsid w:val="0040511F"/>
    <w:rsid w:val="00405416"/>
    <w:rsid w:val="0040584F"/>
    <w:rsid w:val="00405967"/>
    <w:rsid w:val="00405F17"/>
    <w:rsid w:val="00406003"/>
    <w:rsid w:val="00406528"/>
    <w:rsid w:val="00406681"/>
    <w:rsid w:val="00406D57"/>
    <w:rsid w:val="00406DEE"/>
    <w:rsid w:val="0040750B"/>
    <w:rsid w:val="00407834"/>
    <w:rsid w:val="0040798C"/>
    <w:rsid w:val="00407A93"/>
    <w:rsid w:val="00407F32"/>
    <w:rsid w:val="00410908"/>
    <w:rsid w:val="004109C8"/>
    <w:rsid w:val="00410CDB"/>
    <w:rsid w:val="00411122"/>
    <w:rsid w:val="00411A4B"/>
    <w:rsid w:val="00411E98"/>
    <w:rsid w:val="00412694"/>
    <w:rsid w:val="00412BE4"/>
    <w:rsid w:val="00413E79"/>
    <w:rsid w:val="004144E4"/>
    <w:rsid w:val="004148F9"/>
    <w:rsid w:val="00414D79"/>
    <w:rsid w:val="004165A7"/>
    <w:rsid w:val="004171EB"/>
    <w:rsid w:val="004173CC"/>
    <w:rsid w:val="004174F1"/>
    <w:rsid w:val="00417716"/>
    <w:rsid w:val="00420178"/>
    <w:rsid w:val="004204BF"/>
    <w:rsid w:val="00420830"/>
    <w:rsid w:val="0042153E"/>
    <w:rsid w:val="004215CD"/>
    <w:rsid w:val="0042168F"/>
    <w:rsid w:val="00421856"/>
    <w:rsid w:val="00421916"/>
    <w:rsid w:val="00422059"/>
    <w:rsid w:val="00422395"/>
    <w:rsid w:val="004226F2"/>
    <w:rsid w:val="00423210"/>
    <w:rsid w:val="004232B7"/>
    <w:rsid w:val="004239B8"/>
    <w:rsid w:val="00423E36"/>
    <w:rsid w:val="00424A22"/>
    <w:rsid w:val="00424E95"/>
    <w:rsid w:val="00425351"/>
    <w:rsid w:val="0042558F"/>
    <w:rsid w:val="00425590"/>
    <w:rsid w:val="00425808"/>
    <w:rsid w:val="00426B2E"/>
    <w:rsid w:val="0042732B"/>
    <w:rsid w:val="004274EB"/>
    <w:rsid w:val="004276C3"/>
    <w:rsid w:val="00427975"/>
    <w:rsid w:val="00427A7C"/>
    <w:rsid w:val="00427D01"/>
    <w:rsid w:val="00430070"/>
    <w:rsid w:val="004305C4"/>
    <w:rsid w:val="004305E2"/>
    <w:rsid w:val="004309FA"/>
    <w:rsid w:val="00431A64"/>
    <w:rsid w:val="00431B4B"/>
    <w:rsid w:val="00431BDA"/>
    <w:rsid w:val="00431D1B"/>
    <w:rsid w:val="00432AB2"/>
    <w:rsid w:val="00433723"/>
    <w:rsid w:val="004337F4"/>
    <w:rsid w:val="00433DCC"/>
    <w:rsid w:val="00433E23"/>
    <w:rsid w:val="00433E73"/>
    <w:rsid w:val="00434563"/>
    <w:rsid w:val="004346B6"/>
    <w:rsid w:val="00434FEA"/>
    <w:rsid w:val="00435365"/>
    <w:rsid w:val="00435CCC"/>
    <w:rsid w:val="00435D41"/>
    <w:rsid w:val="004364E2"/>
    <w:rsid w:val="00436ABD"/>
    <w:rsid w:val="00437B78"/>
    <w:rsid w:val="00437F70"/>
    <w:rsid w:val="0044002F"/>
    <w:rsid w:val="00440B22"/>
    <w:rsid w:val="00441054"/>
    <w:rsid w:val="004418CE"/>
    <w:rsid w:val="004420C3"/>
    <w:rsid w:val="00442771"/>
    <w:rsid w:val="00442CAC"/>
    <w:rsid w:val="00443B32"/>
    <w:rsid w:val="00443BAE"/>
    <w:rsid w:val="00443CDC"/>
    <w:rsid w:val="0044461F"/>
    <w:rsid w:val="004449E1"/>
    <w:rsid w:val="00445B80"/>
    <w:rsid w:val="00445BCE"/>
    <w:rsid w:val="00445BEC"/>
    <w:rsid w:val="00445C92"/>
    <w:rsid w:val="00445E9E"/>
    <w:rsid w:val="00446211"/>
    <w:rsid w:val="00446510"/>
    <w:rsid w:val="00446DD1"/>
    <w:rsid w:val="00446DD7"/>
    <w:rsid w:val="00446E02"/>
    <w:rsid w:val="004477F8"/>
    <w:rsid w:val="00447951"/>
    <w:rsid w:val="00447D51"/>
    <w:rsid w:val="00447F3E"/>
    <w:rsid w:val="00450046"/>
    <w:rsid w:val="00450D8F"/>
    <w:rsid w:val="0045139E"/>
    <w:rsid w:val="00452019"/>
    <w:rsid w:val="0045291F"/>
    <w:rsid w:val="00452CA7"/>
    <w:rsid w:val="0045383E"/>
    <w:rsid w:val="0045464F"/>
    <w:rsid w:val="00454AEE"/>
    <w:rsid w:val="00454D72"/>
    <w:rsid w:val="00454D98"/>
    <w:rsid w:val="00454FFF"/>
    <w:rsid w:val="00455378"/>
    <w:rsid w:val="00455635"/>
    <w:rsid w:val="00456541"/>
    <w:rsid w:val="0045665C"/>
    <w:rsid w:val="00456AED"/>
    <w:rsid w:val="00457190"/>
    <w:rsid w:val="00457778"/>
    <w:rsid w:val="004577D8"/>
    <w:rsid w:val="00457D25"/>
    <w:rsid w:val="00457D85"/>
    <w:rsid w:val="0046017D"/>
    <w:rsid w:val="004606F1"/>
    <w:rsid w:val="00460790"/>
    <w:rsid w:val="00460922"/>
    <w:rsid w:val="00460A78"/>
    <w:rsid w:val="00460AAE"/>
    <w:rsid w:val="00460CDA"/>
    <w:rsid w:val="0046108D"/>
    <w:rsid w:val="0046147B"/>
    <w:rsid w:val="00461526"/>
    <w:rsid w:val="004615DF"/>
    <w:rsid w:val="00461E8A"/>
    <w:rsid w:val="00462EB8"/>
    <w:rsid w:val="00463778"/>
    <w:rsid w:val="00463D50"/>
    <w:rsid w:val="004646CF"/>
    <w:rsid w:val="00464DC1"/>
    <w:rsid w:val="00465557"/>
    <w:rsid w:val="00465828"/>
    <w:rsid w:val="00465AFF"/>
    <w:rsid w:val="0046649C"/>
    <w:rsid w:val="0046660F"/>
    <w:rsid w:val="00466C6A"/>
    <w:rsid w:val="00466E50"/>
    <w:rsid w:val="004670B0"/>
    <w:rsid w:val="004670FC"/>
    <w:rsid w:val="00467345"/>
    <w:rsid w:val="00467372"/>
    <w:rsid w:val="004674C7"/>
    <w:rsid w:val="004676A8"/>
    <w:rsid w:val="00467750"/>
    <w:rsid w:val="00467E5C"/>
    <w:rsid w:val="0047046D"/>
    <w:rsid w:val="00471AAD"/>
    <w:rsid w:val="00471B11"/>
    <w:rsid w:val="0047201D"/>
    <w:rsid w:val="0047269B"/>
    <w:rsid w:val="004727D1"/>
    <w:rsid w:val="00472EB3"/>
    <w:rsid w:val="00472FF2"/>
    <w:rsid w:val="00474607"/>
    <w:rsid w:val="004747CE"/>
    <w:rsid w:val="00474997"/>
    <w:rsid w:val="00475072"/>
    <w:rsid w:val="00475092"/>
    <w:rsid w:val="00475293"/>
    <w:rsid w:val="004752D5"/>
    <w:rsid w:val="004755B3"/>
    <w:rsid w:val="00475DC7"/>
    <w:rsid w:val="004762C9"/>
    <w:rsid w:val="00476943"/>
    <w:rsid w:val="00477234"/>
    <w:rsid w:val="004775D3"/>
    <w:rsid w:val="00477E85"/>
    <w:rsid w:val="00477FA4"/>
    <w:rsid w:val="004809AF"/>
    <w:rsid w:val="00481EAE"/>
    <w:rsid w:val="00481ECD"/>
    <w:rsid w:val="004820B9"/>
    <w:rsid w:val="00482A17"/>
    <w:rsid w:val="00482A91"/>
    <w:rsid w:val="0048377E"/>
    <w:rsid w:val="0048468D"/>
    <w:rsid w:val="00484BF6"/>
    <w:rsid w:val="00485013"/>
    <w:rsid w:val="00485500"/>
    <w:rsid w:val="00485F60"/>
    <w:rsid w:val="00486A60"/>
    <w:rsid w:val="00487350"/>
    <w:rsid w:val="00487F97"/>
    <w:rsid w:val="00490186"/>
    <w:rsid w:val="00491153"/>
    <w:rsid w:val="00491EB8"/>
    <w:rsid w:val="004920A9"/>
    <w:rsid w:val="00492AEC"/>
    <w:rsid w:val="00493803"/>
    <w:rsid w:val="00493A31"/>
    <w:rsid w:val="00493FC7"/>
    <w:rsid w:val="0049563F"/>
    <w:rsid w:val="00495BDE"/>
    <w:rsid w:val="00496A40"/>
    <w:rsid w:val="00496CCA"/>
    <w:rsid w:val="0049791A"/>
    <w:rsid w:val="00497956"/>
    <w:rsid w:val="00497C51"/>
    <w:rsid w:val="004A0159"/>
    <w:rsid w:val="004A04C8"/>
    <w:rsid w:val="004A05A7"/>
    <w:rsid w:val="004A0E4C"/>
    <w:rsid w:val="004A0F25"/>
    <w:rsid w:val="004A10C2"/>
    <w:rsid w:val="004A1167"/>
    <w:rsid w:val="004A159A"/>
    <w:rsid w:val="004A1AFC"/>
    <w:rsid w:val="004A24AA"/>
    <w:rsid w:val="004A260B"/>
    <w:rsid w:val="004A280B"/>
    <w:rsid w:val="004A318D"/>
    <w:rsid w:val="004A3396"/>
    <w:rsid w:val="004A390D"/>
    <w:rsid w:val="004A45DF"/>
    <w:rsid w:val="004A4704"/>
    <w:rsid w:val="004A4BEA"/>
    <w:rsid w:val="004A5C76"/>
    <w:rsid w:val="004A5C95"/>
    <w:rsid w:val="004A5D33"/>
    <w:rsid w:val="004A5F03"/>
    <w:rsid w:val="004A633D"/>
    <w:rsid w:val="004A64EF"/>
    <w:rsid w:val="004A69BC"/>
    <w:rsid w:val="004A6B90"/>
    <w:rsid w:val="004A7D62"/>
    <w:rsid w:val="004B0148"/>
    <w:rsid w:val="004B0745"/>
    <w:rsid w:val="004B0BB1"/>
    <w:rsid w:val="004B1291"/>
    <w:rsid w:val="004B1425"/>
    <w:rsid w:val="004B173E"/>
    <w:rsid w:val="004B1E35"/>
    <w:rsid w:val="004B2779"/>
    <w:rsid w:val="004B2870"/>
    <w:rsid w:val="004B3D4C"/>
    <w:rsid w:val="004B411C"/>
    <w:rsid w:val="004B446B"/>
    <w:rsid w:val="004B481E"/>
    <w:rsid w:val="004B4E1D"/>
    <w:rsid w:val="004B5043"/>
    <w:rsid w:val="004B5084"/>
    <w:rsid w:val="004B548C"/>
    <w:rsid w:val="004B5A8D"/>
    <w:rsid w:val="004B5C46"/>
    <w:rsid w:val="004B5D3D"/>
    <w:rsid w:val="004B5DEE"/>
    <w:rsid w:val="004B5FBB"/>
    <w:rsid w:val="004B609E"/>
    <w:rsid w:val="004B6366"/>
    <w:rsid w:val="004B65FA"/>
    <w:rsid w:val="004B67E4"/>
    <w:rsid w:val="004B6A86"/>
    <w:rsid w:val="004B73F2"/>
    <w:rsid w:val="004B7583"/>
    <w:rsid w:val="004B7AB7"/>
    <w:rsid w:val="004C0376"/>
    <w:rsid w:val="004C0836"/>
    <w:rsid w:val="004C1A13"/>
    <w:rsid w:val="004C1D1B"/>
    <w:rsid w:val="004C2383"/>
    <w:rsid w:val="004C2462"/>
    <w:rsid w:val="004C2AEA"/>
    <w:rsid w:val="004C2D64"/>
    <w:rsid w:val="004C2EC0"/>
    <w:rsid w:val="004C3B4C"/>
    <w:rsid w:val="004C46DB"/>
    <w:rsid w:val="004C4850"/>
    <w:rsid w:val="004C4FCE"/>
    <w:rsid w:val="004C542C"/>
    <w:rsid w:val="004C54E8"/>
    <w:rsid w:val="004C57B3"/>
    <w:rsid w:val="004C5E8C"/>
    <w:rsid w:val="004C6D3F"/>
    <w:rsid w:val="004C6D6B"/>
    <w:rsid w:val="004C7E17"/>
    <w:rsid w:val="004D03AE"/>
    <w:rsid w:val="004D0C7E"/>
    <w:rsid w:val="004D22D5"/>
    <w:rsid w:val="004D276A"/>
    <w:rsid w:val="004D2956"/>
    <w:rsid w:val="004D2E3C"/>
    <w:rsid w:val="004D452C"/>
    <w:rsid w:val="004D4561"/>
    <w:rsid w:val="004D4612"/>
    <w:rsid w:val="004D4624"/>
    <w:rsid w:val="004D47D3"/>
    <w:rsid w:val="004D4BAF"/>
    <w:rsid w:val="004D5FF9"/>
    <w:rsid w:val="004D60A2"/>
    <w:rsid w:val="004D622D"/>
    <w:rsid w:val="004D67DF"/>
    <w:rsid w:val="004D6BB1"/>
    <w:rsid w:val="004D7162"/>
    <w:rsid w:val="004D759B"/>
    <w:rsid w:val="004D7A5B"/>
    <w:rsid w:val="004D7AFF"/>
    <w:rsid w:val="004D7E2E"/>
    <w:rsid w:val="004E0A19"/>
    <w:rsid w:val="004E0EAA"/>
    <w:rsid w:val="004E0FE2"/>
    <w:rsid w:val="004E14D1"/>
    <w:rsid w:val="004E26D2"/>
    <w:rsid w:val="004E2887"/>
    <w:rsid w:val="004E3028"/>
    <w:rsid w:val="004E3A9B"/>
    <w:rsid w:val="004E49F5"/>
    <w:rsid w:val="004E4DDF"/>
    <w:rsid w:val="004E4ED9"/>
    <w:rsid w:val="004E4F00"/>
    <w:rsid w:val="004E533E"/>
    <w:rsid w:val="004E53CE"/>
    <w:rsid w:val="004E5D94"/>
    <w:rsid w:val="004E6026"/>
    <w:rsid w:val="004E60E1"/>
    <w:rsid w:val="004E643A"/>
    <w:rsid w:val="004E66CB"/>
    <w:rsid w:val="004E6A88"/>
    <w:rsid w:val="004E6B38"/>
    <w:rsid w:val="004E7B82"/>
    <w:rsid w:val="004E7BDB"/>
    <w:rsid w:val="004E7D43"/>
    <w:rsid w:val="004F0818"/>
    <w:rsid w:val="004F0CE0"/>
    <w:rsid w:val="004F0DBB"/>
    <w:rsid w:val="004F1080"/>
    <w:rsid w:val="004F111F"/>
    <w:rsid w:val="004F16FE"/>
    <w:rsid w:val="004F217D"/>
    <w:rsid w:val="004F23C3"/>
    <w:rsid w:val="004F2491"/>
    <w:rsid w:val="004F37C1"/>
    <w:rsid w:val="004F3E26"/>
    <w:rsid w:val="004F411A"/>
    <w:rsid w:val="004F44F1"/>
    <w:rsid w:val="004F54F0"/>
    <w:rsid w:val="004F630C"/>
    <w:rsid w:val="004F766F"/>
    <w:rsid w:val="004F7842"/>
    <w:rsid w:val="004F7C5D"/>
    <w:rsid w:val="0050034E"/>
    <w:rsid w:val="005005B6"/>
    <w:rsid w:val="0050065F"/>
    <w:rsid w:val="00500D8A"/>
    <w:rsid w:val="00501774"/>
    <w:rsid w:val="00501B08"/>
    <w:rsid w:val="00501CF9"/>
    <w:rsid w:val="0050298F"/>
    <w:rsid w:val="00502DBA"/>
    <w:rsid w:val="005034A9"/>
    <w:rsid w:val="00503E07"/>
    <w:rsid w:val="0050415D"/>
    <w:rsid w:val="005055DC"/>
    <w:rsid w:val="00505FBD"/>
    <w:rsid w:val="005066C6"/>
    <w:rsid w:val="00506856"/>
    <w:rsid w:val="0050722F"/>
    <w:rsid w:val="00507861"/>
    <w:rsid w:val="00507AD5"/>
    <w:rsid w:val="00507D30"/>
    <w:rsid w:val="00507D91"/>
    <w:rsid w:val="005100EA"/>
    <w:rsid w:val="005102CD"/>
    <w:rsid w:val="005106B0"/>
    <w:rsid w:val="0051075D"/>
    <w:rsid w:val="005107FD"/>
    <w:rsid w:val="0051081F"/>
    <w:rsid w:val="00510CA4"/>
    <w:rsid w:val="00511005"/>
    <w:rsid w:val="0051128D"/>
    <w:rsid w:val="00511655"/>
    <w:rsid w:val="00511908"/>
    <w:rsid w:val="00512364"/>
    <w:rsid w:val="0051257D"/>
    <w:rsid w:val="005129A9"/>
    <w:rsid w:val="00512BB5"/>
    <w:rsid w:val="00513370"/>
    <w:rsid w:val="00514D30"/>
    <w:rsid w:val="00515A2A"/>
    <w:rsid w:val="00516843"/>
    <w:rsid w:val="00516AE2"/>
    <w:rsid w:val="00516B80"/>
    <w:rsid w:val="00516E55"/>
    <w:rsid w:val="00517176"/>
    <w:rsid w:val="00517312"/>
    <w:rsid w:val="00517839"/>
    <w:rsid w:val="00517A5C"/>
    <w:rsid w:val="005219D0"/>
    <w:rsid w:val="00521D3F"/>
    <w:rsid w:val="00522031"/>
    <w:rsid w:val="0052261A"/>
    <w:rsid w:val="005226DD"/>
    <w:rsid w:val="00522F61"/>
    <w:rsid w:val="005237C7"/>
    <w:rsid w:val="00523A4B"/>
    <w:rsid w:val="00523E20"/>
    <w:rsid w:val="00523FB3"/>
    <w:rsid w:val="005242EC"/>
    <w:rsid w:val="00524DA7"/>
    <w:rsid w:val="00524DCB"/>
    <w:rsid w:val="00525D61"/>
    <w:rsid w:val="005261B2"/>
    <w:rsid w:val="00526A20"/>
    <w:rsid w:val="00526A5B"/>
    <w:rsid w:val="00526BE3"/>
    <w:rsid w:val="00527364"/>
    <w:rsid w:val="00527A99"/>
    <w:rsid w:val="00527ACB"/>
    <w:rsid w:val="00527B09"/>
    <w:rsid w:val="00527BC8"/>
    <w:rsid w:val="0053088E"/>
    <w:rsid w:val="005311BE"/>
    <w:rsid w:val="005312B0"/>
    <w:rsid w:val="00531450"/>
    <w:rsid w:val="0053155B"/>
    <w:rsid w:val="0053166B"/>
    <w:rsid w:val="005323BE"/>
    <w:rsid w:val="0053288F"/>
    <w:rsid w:val="00532FBF"/>
    <w:rsid w:val="00533D49"/>
    <w:rsid w:val="00533D6A"/>
    <w:rsid w:val="00533F05"/>
    <w:rsid w:val="00535100"/>
    <w:rsid w:val="00535712"/>
    <w:rsid w:val="00535C05"/>
    <w:rsid w:val="00535CB6"/>
    <w:rsid w:val="00535E40"/>
    <w:rsid w:val="0053656D"/>
    <w:rsid w:val="00540585"/>
    <w:rsid w:val="00540713"/>
    <w:rsid w:val="005410A5"/>
    <w:rsid w:val="005410C8"/>
    <w:rsid w:val="0054149D"/>
    <w:rsid w:val="005419C1"/>
    <w:rsid w:val="0054235B"/>
    <w:rsid w:val="005427ED"/>
    <w:rsid w:val="00544B4B"/>
    <w:rsid w:val="00545624"/>
    <w:rsid w:val="00545900"/>
    <w:rsid w:val="005459C2"/>
    <w:rsid w:val="00545BF7"/>
    <w:rsid w:val="00545D92"/>
    <w:rsid w:val="00546020"/>
    <w:rsid w:val="00546060"/>
    <w:rsid w:val="005476E9"/>
    <w:rsid w:val="00547CC0"/>
    <w:rsid w:val="005502E1"/>
    <w:rsid w:val="005509C5"/>
    <w:rsid w:val="00550DD2"/>
    <w:rsid w:val="00552726"/>
    <w:rsid w:val="0055288D"/>
    <w:rsid w:val="00553BBF"/>
    <w:rsid w:val="005541F7"/>
    <w:rsid w:val="00554692"/>
    <w:rsid w:val="00555091"/>
    <w:rsid w:val="005556C0"/>
    <w:rsid w:val="0055592F"/>
    <w:rsid w:val="005559D7"/>
    <w:rsid w:val="0055621F"/>
    <w:rsid w:val="00556318"/>
    <w:rsid w:val="00556E97"/>
    <w:rsid w:val="00557088"/>
    <w:rsid w:val="00557454"/>
    <w:rsid w:val="00557BF1"/>
    <w:rsid w:val="0056044F"/>
    <w:rsid w:val="00561426"/>
    <w:rsid w:val="0056169A"/>
    <w:rsid w:val="005621FC"/>
    <w:rsid w:val="00562916"/>
    <w:rsid w:val="005629B1"/>
    <w:rsid w:val="00562A93"/>
    <w:rsid w:val="00563677"/>
    <w:rsid w:val="00563B10"/>
    <w:rsid w:val="00564384"/>
    <w:rsid w:val="00564ACD"/>
    <w:rsid w:val="00564E29"/>
    <w:rsid w:val="0056516D"/>
    <w:rsid w:val="005651EC"/>
    <w:rsid w:val="0056573B"/>
    <w:rsid w:val="005660B4"/>
    <w:rsid w:val="00566605"/>
    <w:rsid w:val="00566BF9"/>
    <w:rsid w:val="00566C11"/>
    <w:rsid w:val="00566EA3"/>
    <w:rsid w:val="0057007C"/>
    <w:rsid w:val="005705F0"/>
    <w:rsid w:val="00570A50"/>
    <w:rsid w:val="00570DBE"/>
    <w:rsid w:val="00570FBE"/>
    <w:rsid w:val="00571B3C"/>
    <w:rsid w:val="00571E3B"/>
    <w:rsid w:val="00571EE6"/>
    <w:rsid w:val="00572AEB"/>
    <w:rsid w:val="00572C5E"/>
    <w:rsid w:val="00572CAF"/>
    <w:rsid w:val="005745E2"/>
    <w:rsid w:val="00574748"/>
    <w:rsid w:val="0057496E"/>
    <w:rsid w:val="005749CC"/>
    <w:rsid w:val="00574FFD"/>
    <w:rsid w:val="005757F5"/>
    <w:rsid w:val="00575CAD"/>
    <w:rsid w:val="00575E36"/>
    <w:rsid w:val="005761C4"/>
    <w:rsid w:val="0057635E"/>
    <w:rsid w:val="00577A79"/>
    <w:rsid w:val="00580D80"/>
    <w:rsid w:val="0058167F"/>
    <w:rsid w:val="005822A8"/>
    <w:rsid w:val="005823E3"/>
    <w:rsid w:val="00582BDE"/>
    <w:rsid w:val="00582CA5"/>
    <w:rsid w:val="00582DA9"/>
    <w:rsid w:val="00582F1C"/>
    <w:rsid w:val="00583A8B"/>
    <w:rsid w:val="00583EFA"/>
    <w:rsid w:val="00584309"/>
    <w:rsid w:val="005843C3"/>
    <w:rsid w:val="005843D4"/>
    <w:rsid w:val="005844F1"/>
    <w:rsid w:val="00585605"/>
    <w:rsid w:val="00585F51"/>
    <w:rsid w:val="005862D9"/>
    <w:rsid w:val="00586954"/>
    <w:rsid w:val="00587AE1"/>
    <w:rsid w:val="00587CDC"/>
    <w:rsid w:val="00587E1B"/>
    <w:rsid w:val="00587F6E"/>
    <w:rsid w:val="00587FD9"/>
    <w:rsid w:val="0059031D"/>
    <w:rsid w:val="00590430"/>
    <w:rsid w:val="00590C68"/>
    <w:rsid w:val="00591376"/>
    <w:rsid w:val="005918C5"/>
    <w:rsid w:val="0059258D"/>
    <w:rsid w:val="00592D09"/>
    <w:rsid w:val="00593130"/>
    <w:rsid w:val="00593491"/>
    <w:rsid w:val="00593B2D"/>
    <w:rsid w:val="00593CC0"/>
    <w:rsid w:val="00593E4D"/>
    <w:rsid w:val="005940BC"/>
    <w:rsid w:val="00595120"/>
    <w:rsid w:val="00597083"/>
    <w:rsid w:val="005A000E"/>
    <w:rsid w:val="005A01CF"/>
    <w:rsid w:val="005A15F3"/>
    <w:rsid w:val="005A1E4D"/>
    <w:rsid w:val="005A1F6F"/>
    <w:rsid w:val="005A1FB0"/>
    <w:rsid w:val="005A263D"/>
    <w:rsid w:val="005A270B"/>
    <w:rsid w:val="005A3E06"/>
    <w:rsid w:val="005A48B0"/>
    <w:rsid w:val="005A4E54"/>
    <w:rsid w:val="005A52C3"/>
    <w:rsid w:val="005A555A"/>
    <w:rsid w:val="005A5A7E"/>
    <w:rsid w:val="005A5C6A"/>
    <w:rsid w:val="005A5CC4"/>
    <w:rsid w:val="005A6DCF"/>
    <w:rsid w:val="005A7C5C"/>
    <w:rsid w:val="005A7E46"/>
    <w:rsid w:val="005B0861"/>
    <w:rsid w:val="005B099A"/>
    <w:rsid w:val="005B099C"/>
    <w:rsid w:val="005B0E21"/>
    <w:rsid w:val="005B148C"/>
    <w:rsid w:val="005B1F8A"/>
    <w:rsid w:val="005B2B75"/>
    <w:rsid w:val="005B3188"/>
    <w:rsid w:val="005B369C"/>
    <w:rsid w:val="005B38CF"/>
    <w:rsid w:val="005B3A53"/>
    <w:rsid w:val="005B505F"/>
    <w:rsid w:val="005B530D"/>
    <w:rsid w:val="005B5CC5"/>
    <w:rsid w:val="005B60CA"/>
    <w:rsid w:val="005B6A11"/>
    <w:rsid w:val="005B71E4"/>
    <w:rsid w:val="005B7E29"/>
    <w:rsid w:val="005B7E6B"/>
    <w:rsid w:val="005C0408"/>
    <w:rsid w:val="005C0B3C"/>
    <w:rsid w:val="005C13E5"/>
    <w:rsid w:val="005C17A8"/>
    <w:rsid w:val="005C186F"/>
    <w:rsid w:val="005C1A4C"/>
    <w:rsid w:val="005C1F82"/>
    <w:rsid w:val="005C2257"/>
    <w:rsid w:val="005C24F7"/>
    <w:rsid w:val="005C257C"/>
    <w:rsid w:val="005C29B9"/>
    <w:rsid w:val="005C2F90"/>
    <w:rsid w:val="005C2FDE"/>
    <w:rsid w:val="005C31D6"/>
    <w:rsid w:val="005C4486"/>
    <w:rsid w:val="005C4848"/>
    <w:rsid w:val="005C4B9D"/>
    <w:rsid w:val="005C5BC7"/>
    <w:rsid w:val="005C605D"/>
    <w:rsid w:val="005C61D9"/>
    <w:rsid w:val="005C632D"/>
    <w:rsid w:val="005C660E"/>
    <w:rsid w:val="005C7355"/>
    <w:rsid w:val="005C7F7D"/>
    <w:rsid w:val="005D03A9"/>
    <w:rsid w:val="005D094F"/>
    <w:rsid w:val="005D0CBD"/>
    <w:rsid w:val="005D1FDB"/>
    <w:rsid w:val="005D2140"/>
    <w:rsid w:val="005D2233"/>
    <w:rsid w:val="005D2573"/>
    <w:rsid w:val="005D25C0"/>
    <w:rsid w:val="005D2F3F"/>
    <w:rsid w:val="005D34B8"/>
    <w:rsid w:val="005D385C"/>
    <w:rsid w:val="005D40C6"/>
    <w:rsid w:val="005D43B1"/>
    <w:rsid w:val="005D468F"/>
    <w:rsid w:val="005D474C"/>
    <w:rsid w:val="005D53D3"/>
    <w:rsid w:val="005D5471"/>
    <w:rsid w:val="005D57C7"/>
    <w:rsid w:val="005D5A61"/>
    <w:rsid w:val="005D5D6A"/>
    <w:rsid w:val="005D6A7B"/>
    <w:rsid w:val="005D6C32"/>
    <w:rsid w:val="005D6D88"/>
    <w:rsid w:val="005D6E23"/>
    <w:rsid w:val="005D6F3C"/>
    <w:rsid w:val="005D767C"/>
    <w:rsid w:val="005D7EEE"/>
    <w:rsid w:val="005E00DB"/>
    <w:rsid w:val="005E050A"/>
    <w:rsid w:val="005E0BE9"/>
    <w:rsid w:val="005E1452"/>
    <w:rsid w:val="005E1D47"/>
    <w:rsid w:val="005E20DB"/>
    <w:rsid w:val="005E2644"/>
    <w:rsid w:val="005E2782"/>
    <w:rsid w:val="005E2A0A"/>
    <w:rsid w:val="005E3015"/>
    <w:rsid w:val="005E35C8"/>
    <w:rsid w:val="005E3BE3"/>
    <w:rsid w:val="005E4093"/>
    <w:rsid w:val="005E41EB"/>
    <w:rsid w:val="005E431C"/>
    <w:rsid w:val="005E4502"/>
    <w:rsid w:val="005E4BFE"/>
    <w:rsid w:val="005E4E20"/>
    <w:rsid w:val="005E5484"/>
    <w:rsid w:val="005E562C"/>
    <w:rsid w:val="005E58ED"/>
    <w:rsid w:val="005E6379"/>
    <w:rsid w:val="005E66D5"/>
    <w:rsid w:val="005E6F84"/>
    <w:rsid w:val="005E742A"/>
    <w:rsid w:val="005E7A5F"/>
    <w:rsid w:val="005E7B09"/>
    <w:rsid w:val="005E7B1C"/>
    <w:rsid w:val="005F081C"/>
    <w:rsid w:val="005F0930"/>
    <w:rsid w:val="005F0E48"/>
    <w:rsid w:val="005F127A"/>
    <w:rsid w:val="005F1B2C"/>
    <w:rsid w:val="005F20EE"/>
    <w:rsid w:val="005F26A9"/>
    <w:rsid w:val="005F2C51"/>
    <w:rsid w:val="005F2D46"/>
    <w:rsid w:val="005F30E0"/>
    <w:rsid w:val="005F367F"/>
    <w:rsid w:val="005F3B5B"/>
    <w:rsid w:val="005F3B7B"/>
    <w:rsid w:val="005F409F"/>
    <w:rsid w:val="005F4237"/>
    <w:rsid w:val="005F441E"/>
    <w:rsid w:val="005F4975"/>
    <w:rsid w:val="005F55DA"/>
    <w:rsid w:val="005F5632"/>
    <w:rsid w:val="005F5785"/>
    <w:rsid w:val="005F5902"/>
    <w:rsid w:val="005F5BAC"/>
    <w:rsid w:val="005F5E45"/>
    <w:rsid w:val="005F6781"/>
    <w:rsid w:val="005F6A3F"/>
    <w:rsid w:val="005F6B6F"/>
    <w:rsid w:val="005F6D42"/>
    <w:rsid w:val="005F6F41"/>
    <w:rsid w:val="005F6FBC"/>
    <w:rsid w:val="005F73E7"/>
    <w:rsid w:val="005F774F"/>
    <w:rsid w:val="005F783D"/>
    <w:rsid w:val="006002A6"/>
    <w:rsid w:val="00600EC6"/>
    <w:rsid w:val="006018CB"/>
    <w:rsid w:val="0060197A"/>
    <w:rsid w:val="00601B74"/>
    <w:rsid w:val="00601F81"/>
    <w:rsid w:val="006021D8"/>
    <w:rsid w:val="00602529"/>
    <w:rsid w:val="0060279E"/>
    <w:rsid w:val="00602E2A"/>
    <w:rsid w:val="00603285"/>
    <w:rsid w:val="00603678"/>
    <w:rsid w:val="00603C23"/>
    <w:rsid w:val="0060496F"/>
    <w:rsid w:val="00604A1F"/>
    <w:rsid w:val="0060500D"/>
    <w:rsid w:val="006066BE"/>
    <w:rsid w:val="00606F34"/>
    <w:rsid w:val="00606F99"/>
    <w:rsid w:val="00607446"/>
    <w:rsid w:val="00607966"/>
    <w:rsid w:val="00610A2D"/>
    <w:rsid w:val="006112FE"/>
    <w:rsid w:val="00611790"/>
    <w:rsid w:val="00611857"/>
    <w:rsid w:val="00611965"/>
    <w:rsid w:val="00611AFC"/>
    <w:rsid w:val="00611B1F"/>
    <w:rsid w:val="00611F3F"/>
    <w:rsid w:val="00612877"/>
    <w:rsid w:val="0061299D"/>
    <w:rsid w:val="00612CD6"/>
    <w:rsid w:val="0061341F"/>
    <w:rsid w:val="00613CE2"/>
    <w:rsid w:val="0061413E"/>
    <w:rsid w:val="0061423C"/>
    <w:rsid w:val="006143B0"/>
    <w:rsid w:val="006144C8"/>
    <w:rsid w:val="00614659"/>
    <w:rsid w:val="006147D4"/>
    <w:rsid w:val="00614ED2"/>
    <w:rsid w:val="00615556"/>
    <w:rsid w:val="0061569C"/>
    <w:rsid w:val="00615C93"/>
    <w:rsid w:val="00615EC2"/>
    <w:rsid w:val="006162BD"/>
    <w:rsid w:val="006163CB"/>
    <w:rsid w:val="006165AF"/>
    <w:rsid w:val="006171F3"/>
    <w:rsid w:val="0061748F"/>
    <w:rsid w:val="006174EF"/>
    <w:rsid w:val="00620415"/>
    <w:rsid w:val="006207FE"/>
    <w:rsid w:val="00620A2D"/>
    <w:rsid w:val="0062107B"/>
    <w:rsid w:val="00621320"/>
    <w:rsid w:val="00621776"/>
    <w:rsid w:val="006219E9"/>
    <w:rsid w:val="006231DD"/>
    <w:rsid w:val="0062371A"/>
    <w:rsid w:val="0062397C"/>
    <w:rsid w:val="006239AD"/>
    <w:rsid w:val="006239D4"/>
    <w:rsid w:val="00623F91"/>
    <w:rsid w:val="0062434D"/>
    <w:rsid w:val="006245BE"/>
    <w:rsid w:val="00624833"/>
    <w:rsid w:val="00624C9F"/>
    <w:rsid w:val="0062552E"/>
    <w:rsid w:val="006257D5"/>
    <w:rsid w:val="00625CA6"/>
    <w:rsid w:val="0062637F"/>
    <w:rsid w:val="006265A2"/>
    <w:rsid w:val="006277BF"/>
    <w:rsid w:val="006277E9"/>
    <w:rsid w:val="00627AD6"/>
    <w:rsid w:val="006301BA"/>
    <w:rsid w:val="00630731"/>
    <w:rsid w:val="006307C1"/>
    <w:rsid w:val="0063081D"/>
    <w:rsid w:val="00630AC1"/>
    <w:rsid w:val="0063130F"/>
    <w:rsid w:val="00631D92"/>
    <w:rsid w:val="006327AC"/>
    <w:rsid w:val="00632A74"/>
    <w:rsid w:val="00632B12"/>
    <w:rsid w:val="00632B5E"/>
    <w:rsid w:val="00632D53"/>
    <w:rsid w:val="00633191"/>
    <w:rsid w:val="006331A6"/>
    <w:rsid w:val="00633A62"/>
    <w:rsid w:val="00633D9C"/>
    <w:rsid w:val="006340CF"/>
    <w:rsid w:val="006353B4"/>
    <w:rsid w:val="006358EE"/>
    <w:rsid w:val="00635C41"/>
    <w:rsid w:val="00635EA3"/>
    <w:rsid w:val="00636016"/>
    <w:rsid w:val="006369EF"/>
    <w:rsid w:val="00636C57"/>
    <w:rsid w:val="00637EE4"/>
    <w:rsid w:val="00637FF6"/>
    <w:rsid w:val="00640057"/>
    <w:rsid w:val="00640212"/>
    <w:rsid w:val="00640816"/>
    <w:rsid w:val="006415F2"/>
    <w:rsid w:val="0064253A"/>
    <w:rsid w:val="00642C12"/>
    <w:rsid w:val="006433E2"/>
    <w:rsid w:val="00643663"/>
    <w:rsid w:val="00643777"/>
    <w:rsid w:val="006438E4"/>
    <w:rsid w:val="00643BBC"/>
    <w:rsid w:val="006443F7"/>
    <w:rsid w:val="00644827"/>
    <w:rsid w:val="00645754"/>
    <w:rsid w:val="00645755"/>
    <w:rsid w:val="00645A10"/>
    <w:rsid w:val="00645EF6"/>
    <w:rsid w:val="006469C5"/>
    <w:rsid w:val="00646BE9"/>
    <w:rsid w:val="0065093E"/>
    <w:rsid w:val="00650FA9"/>
    <w:rsid w:val="00651893"/>
    <w:rsid w:val="00651CF8"/>
    <w:rsid w:val="00651F0D"/>
    <w:rsid w:val="0065223A"/>
    <w:rsid w:val="0065259C"/>
    <w:rsid w:val="006530DF"/>
    <w:rsid w:val="006530FE"/>
    <w:rsid w:val="0065331A"/>
    <w:rsid w:val="00653369"/>
    <w:rsid w:val="00653530"/>
    <w:rsid w:val="00653F53"/>
    <w:rsid w:val="00654189"/>
    <w:rsid w:val="0065429F"/>
    <w:rsid w:val="00654682"/>
    <w:rsid w:val="00654E03"/>
    <w:rsid w:val="00654F96"/>
    <w:rsid w:val="0065518A"/>
    <w:rsid w:val="0065581B"/>
    <w:rsid w:val="006558D6"/>
    <w:rsid w:val="00656023"/>
    <w:rsid w:val="00656111"/>
    <w:rsid w:val="0065626F"/>
    <w:rsid w:val="006563E6"/>
    <w:rsid w:val="0065699C"/>
    <w:rsid w:val="006575E7"/>
    <w:rsid w:val="00657861"/>
    <w:rsid w:val="00657C32"/>
    <w:rsid w:val="00660374"/>
    <w:rsid w:val="00660DE4"/>
    <w:rsid w:val="0066113A"/>
    <w:rsid w:val="00661C0E"/>
    <w:rsid w:val="00661D8E"/>
    <w:rsid w:val="006627D6"/>
    <w:rsid w:val="00662918"/>
    <w:rsid w:val="006629FC"/>
    <w:rsid w:val="00662C45"/>
    <w:rsid w:val="0066316C"/>
    <w:rsid w:val="00663768"/>
    <w:rsid w:val="00663953"/>
    <w:rsid w:val="006639B8"/>
    <w:rsid w:val="00663A08"/>
    <w:rsid w:val="00663C47"/>
    <w:rsid w:val="0066495A"/>
    <w:rsid w:val="0066523B"/>
    <w:rsid w:val="006652AA"/>
    <w:rsid w:val="00666BBB"/>
    <w:rsid w:val="00670A5C"/>
    <w:rsid w:val="00670BAE"/>
    <w:rsid w:val="00671671"/>
    <w:rsid w:val="00671B6F"/>
    <w:rsid w:val="0067225F"/>
    <w:rsid w:val="00672453"/>
    <w:rsid w:val="00672DBC"/>
    <w:rsid w:val="00673A2C"/>
    <w:rsid w:val="00673C06"/>
    <w:rsid w:val="0067401F"/>
    <w:rsid w:val="006740F8"/>
    <w:rsid w:val="00674AA6"/>
    <w:rsid w:val="006753FB"/>
    <w:rsid w:val="006756CE"/>
    <w:rsid w:val="00675B98"/>
    <w:rsid w:val="00676213"/>
    <w:rsid w:val="0067645F"/>
    <w:rsid w:val="0067651C"/>
    <w:rsid w:val="00676961"/>
    <w:rsid w:val="00676B8A"/>
    <w:rsid w:val="00676C6A"/>
    <w:rsid w:val="0067701A"/>
    <w:rsid w:val="00677028"/>
    <w:rsid w:val="00677524"/>
    <w:rsid w:val="00677CFD"/>
    <w:rsid w:val="00677F3C"/>
    <w:rsid w:val="006800A1"/>
    <w:rsid w:val="0068034D"/>
    <w:rsid w:val="00680410"/>
    <w:rsid w:val="00680AE8"/>
    <w:rsid w:val="00680E90"/>
    <w:rsid w:val="006818ED"/>
    <w:rsid w:val="0068192D"/>
    <w:rsid w:val="00681C29"/>
    <w:rsid w:val="006824F8"/>
    <w:rsid w:val="00682E13"/>
    <w:rsid w:val="00682E19"/>
    <w:rsid w:val="006830D0"/>
    <w:rsid w:val="00683100"/>
    <w:rsid w:val="006845E7"/>
    <w:rsid w:val="00684884"/>
    <w:rsid w:val="006848B1"/>
    <w:rsid w:val="00684B25"/>
    <w:rsid w:val="00684B8D"/>
    <w:rsid w:val="00684E7F"/>
    <w:rsid w:val="006851DC"/>
    <w:rsid w:val="00685725"/>
    <w:rsid w:val="00685BEF"/>
    <w:rsid w:val="006867CE"/>
    <w:rsid w:val="00686F71"/>
    <w:rsid w:val="0068720E"/>
    <w:rsid w:val="00687401"/>
    <w:rsid w:val="006877F5"/>
    <w:rsid w:val="00687AE7"/>
    <w:rsid w:val="00687ED3"/>
    <w:rsid w:val="006901F1"/>
    <w:rsid w:val="00690FD2"/>
    <w:rsid w:val="006910B5"/>
    <w:rsid w:val="00691505"/>
    <w:rsid w:val="00692B69"/>
    <w:rsid w:val="0069336B"/>
    <w:rsid w:val="0069356C"/>
    <w:rsid w:val="00693A54"/>
    <w:rsid w:val="00693A6D"/>
    <w:rsid w:val="00694215"/>
    <w:rsid w:val="006942FA"/>
    <w:rsid w:val="00694CD9"/>
    <w:rsid w:val="00694D6F"/>
    <w:rsid w:val="00696624"/>
    <w:rsid w:val="00696F88"/>
    <w:rsid w:val="00697073"/>
    <w:rsid w:val="00697973"/>
    <w:rsid w:val="006A0545"/>
    <w:rsid w:val="006A0CF8"/>
    <w:rsid w:val="006A1270"/>
    <w:rsid w:val="006A1EF3"/>
    <w:rsid w:val="006A27CA"/>
    <w:rsid w:val="006A28C0"/>
    <w:rsid w:val="006A2F4F"/>
    <w:rsid w:val="006A3923"/>
    <w:rsid w:val="006A3BC2"/>
    <w:rsid w:val="006A43AB"/>
    <w:rsid w:val="006A498F"/>
    <w:rsid w:val="006A4FF1"/>
    <w:rsid w:val="006A52BC"/>
    <w:rsid w:val="006A562F"/>
    <w:rsid w:val="006A5E93"/>
    <w:rsid w:val="006A63E6"/>
    <w:rsid w:val="006A6B3E"/>
    <w:rsid w:val="006A6D0B"/>
    <w:rsid w:val="006A7054"/>
    <w:rsid w:val="006A71BC"/>
    <w:rsid w:val="006A74BF"/>
    <w:rsid w:val="006A769E"/>
    <w:rsid w:val="006A76EF"/>
    <w:rsid w:val="006A7B21"/>
    <w:rsid w:val="006B0A44"/>
    <w:rsid w:val="006B11B6"/>
    <w:rsid w:val="006B11CD"/>
    <w:rsid w:val="006B12A8"/>
    <w:rsid w:val="006B167A"/>
    <w:rsid w:val="006B2013"/>
    <w:rsid w:val="006B2686"/>
    <w:rsid w:val="006B2C89"/>
    <w:rsid w:val="006B382D"/>
    <w:rsid w:val="006B384F"/>
    <w:rsid w:val="006B3D71"/>
    <w:rsid w:val="006B3DEA"/>
    <w:rsid w:val="006B402E"/>
    <w:rsid w:val="006B493C"/>
    <w:rsid w:val="006B5CA9"/>
    <w:rsid w:val="006B5DFE"/>
    <w:rsid w:val="006B6322"/>
    <w:rsid w:val="006B6562"/>
    <w:rsid w:val="006B6A1D"/>
    <w:rsid w:val="006B7400"/>
    <w:rsid w:val="006B7AD6"/>
    <w:rsid w:val="006B7D49"/>
    <w:rsid w:val="006C05BD"/>
    <w:rsid w:val="006C06C1"/>
    <w:rsid w:val="006C16FF"/>
    <w:rsid w:val="006C1734"/>
    <w:rsid w:val="006C1C31"/>
    <w:rsid w:val="006C252A"/>
    <w:rsid w:val="006C2562"/>
    <w:rsid w:val="006C2BFB"/>
    <w:rsid w:val="006C304C"/>
    <w:rsid w:val="006C3210"/>
    <w:rsid w:val="006C33B2"/>
    <w:rsid w:val="006C3801"/>
    <w:rsid w:val="006C3FDF"/>
    <w:rsid w:val="006C41A9"/>
    <w:rsid w:val="006C54CB"/>
    <w:rsid w:val="006C5F06"/>
    <w:rsid w:val="006C649F"/>
    <w:rsid w:val="006C697B"/>
    <w:rsid w:val="006C6F21"/>
    <w:rsid w:val="006C70C5"/>
    <w:rsid w:val="006C727F"/>
    <w:rsid w:val="006C7615"/>
    <w:rsid w:val="006C7C32"/>
    <w:rsid w:val="006C7C75"/>
    <w:rsid w:val="006C7CF9"/>
    <w:rsid w:val="006D049E"/>
    <w:rsid w:val="006D04B1"/>
    <w:rsid w:val="006D0779"/>
    <w:rsid w:val="006D0C96"/>
    <w:rsid w:val="006D1209"/>
    <w:rsid w:val="006D17D8"/>
    <w:rsid w:val="006D333C"/>
    <w:rsid w:val="006D377D"/>
    <w:rsid w:val="006D3BCF"/>
    <w:rsid w:val="006D41EE"/>
    <w:rsid w:val="006D460C"/>
    <w:rsid w:val="006D4B28"/>
    <w:rsid w:val="006D4C7E"/>
    <w:rsid w:val="006D4C8E"/>
    <w:rsid w:val="006D4EBE"/>
    <w:rsid w:val="006D51E7"/>
    <w:rsid w:val="006D5701"/>
    <w:rsid w:val="006D5705"/>
    <w:rsid w:val="006D592D"/>
    <w:rsid w:val="006D5B56"/>
    <w:rsid w:val="006D6419"/>
    <w:rsid w:val="006D7016"/>
    <w:rsid w:val="006D7F41"/>
    <w:rsid w:val="006E014F"/>
    <w:rsid w:val="006E0A82"/>
    <w:rsid w:val="006E0D68"/>
    <w:rsid w:val="006E144A"/>
    <w:rsid w:val="006E1A43"/>
    <w:rsid w:val="006E1F8B"/>
    <w:rsid w:val="006E22A2"/>
    <w:rsid w:val="006E251B"/>
    <w:rsid w:val="006E28CD"/>
    <w:rsid w:val="006E2BE3"/>
    <w:rsid w:val="006E2D92"/>
    <w:rsid w:val="006E31B3"/>
    <w:rsid w:val="006E35DC"/>
    <w:rsid w:val="006E3A34"/>
    <w:rsid w:val="006E427B"/>
    <w:rsid w:val="006E4A31"/>
    <w:rsid w:val="006E501F"/>
    <w:rsid w:val="006E56F7"/>
    <w:rsid w:val="006E5C5F"/>
    <w:rsid w:val="006E5CB2"/>
    <w:rsid w:val="006E5FC1"/>
    <w:rsid w:val="006E693E"/>
    <w:rsid w:val="006E6CBC"/>
    <w:rsid w:val="006F03EC"/>
    <w:rsid w:val="006F03F3"/>
    <w:rsid w:val="006F073E"/>
    <w:rsid w:val="006F079E"/>
    <w:rsid w:val="006F09E9"/>
    <w:rsid w:val="006F0F1C"/>
    <w:rsid w:val="006F1177"/>
    <w:rsid w:val="006F1321"/>
    <w:rsid w:val="006F313D"/>
    <w:rsid w:val="006F3209"/>
    <w:rsid w:val="006F36F0"/>
    <w:rsid w:val="006F38D0"/>
    <w:rsid w:val="006F441F"/>
    <w:rsid w:val="006F4869"/>
    <w:rsid w:val="006F492E"/>
    <w:rsid w:val="006F51BE"/>
    <w:rsid w:val="006F53E2"/>
    <w:rsid w:val="006F5E2A"/>
    <w:rsid w:val="006F642E"/>
    <w:rsid w:val="006F6D76"/>
    <w:rsid w:val="006F6EEB"/>
    <w:rsid w:val="006F6F5A"/>
    <w:rsid w:val="006F6F5F"/>
    <w:rsid w:val="006F7CE6"/>
    <w:rsid w:val="00700495"/>
    <w:rsid w:val="00700A39"/>
    <w:rsid w:val="00701641"/>
    <w:rsid w:val="00701C5D"/>
    <w:rsid w:val="00701D3A"/>
    <w:rsid w:val="007021EB"/>
    <w:rsid w:val="0070225A"/>
    <w:rsid w:val="007022A8"/>
    <w:rsid w:val="00703F73"/>
    <w:rsid w:val="007040B8"/>
    <w:rsid w:val="00704110"/>
    <w:rsid w:val="007051EA"/>
    <w:rsid w:val="00705A81"/>
    <w:rsid w:val="00705DAC"/>
    <w:rsid w:val="0070638B"/>
    <w:rsid w:val="007066CB"/>
    <w:rsid w:val="0070671E"/>
    <w:rsid w:val="00706871"/>
    <w:rsid w:val="0070689F"/>
    <w:rsid w:val="00706AD0"/>
    <w:rsid w:val="00706D56"/>
    <w:rsid w:val="00707E0D"/>
    <w:rsid w:val="00710304"/>
    <w:rsid w:val="007116CE"/>
    <w:rsid w:val="00711AB0"/>
    <w:rsid w:val="00711D17"/>
    <w:rsid w:val="0071214C"/>
    <w:rsid w:val="00712A2B"/>
    <w:rsid w:val="00712DF9"/>
    <w:rsid w:val="0071328B"/>
    <w:rsid w:val="00713310"/>
    <w:rsid w:val="007134DD"/>
    <w:rsid w:val="00713BEB"/>
    <w:rsid w:val="007143B5"/>
    <w:rsid w:val="00714E44"/>
    <w:rsid w:val="00715341"/>
    <w:rsid w:val="00715383"/>
    <w:rsid w:val="007154DA"/>
    <w:rsid w:val="007157AC"/>
    <w:rsid w:val="007157E0"/>
    <w:rsid w:val="007158EA"/>
    <w:rsid w:val="00716197"/>
    <w:rsid w:val="00716964"/>
    <w:rsid w:val="00717136"/>
    <w:rsid w:val="0071731C"/>
    <w:rsid w:val="00720840"/>
    <w:rsid w:val="00721198"/>
    <w:rsid w:val="007211B0"/>
    <w:rsid w:val="007214F8"/>
    <w:rsid w:val="00721A46"/>
    <w:rsid w:val="00721D07"/>
    <w:rsid w:val="00721E07"/>
    <w:rsid w:val="0072223B"/>
    <w:rsid w:val="00722A50"/>
    <w:rsid w:val="007230C1"/>
    <w:rsid w:val="007233B4"/>
    <w:rsid w:val="007242FF"/>
    <w:rsid w:val="007245DD"/>
    <w:rsid w:val="007247DC"/>
    <w:rsid w:val="007250C6"/>
    <w:rsid w:val="00725211"/>
    <w:rsid w:val="007252C0"/>
    <w:rsid w:val="00725766"/>
    <w:rsid w:val="00725F95"/>
    <w:rsid w:val="00726047"/>
    <w:rsid w:val="0072637F"/>
    <w:rsid w:val="007264C3"/>
    <w:rsid w:val="007264FE"/>
    <w:rsid w:val="0072685B"/>
    <w:rsid w:val="007271BF"/>
    <w:rsid w:val="0072729E"/>
    <w:rsid w:val="0072768E"/>
    <w:rsid w:val="00727E93"/>
    <w:rsid w:val="00730FF2"/>
    <w:rsid w:val="007310D5"/>
    <w:rsid w:val="00731606"/>
    <w:rsid w:val="00731A71"/>
    <w:rsid w:val="00731FFF"/>
    <w:rsid w:val="007320DA"/>
    <w:rsid w:val="00732B05"/>
    <w:rsid w:val="00733815"/>
    <w:rsid w:val="00733ACD"/>
    <w:rsid w:val="00733B55"/>
    <w:rsid w:val="00733D40"/>
    <w:rsid w:val="00734794"/>
    <w:rsid w:val="007349BE"/>
    <w:rsid w:val="00734DC7"/>
    <w:rsid w:val="00735295"/>
    <w:rsid w:val="0073560F"/>
    <w:rsid w:val="00735958"/>
    <w:rsid w:val="00735C1A"/>
    <w:rsid w:val="0073670A"/>
    <w:rsid w:val="0073691A"/>
    <w:rsid w:val="00737178"/>
    <w:rsid w:val="00737677"/>
    <w:rsid w:val="007378F1"/>
    <w:rsid w:val="00737DAD"/>
    <w:rsid w:val="007409CE"/>
    <w:rsid w:val="0074101F"/>
    <w:rsid w:val="00741655"/>
    <w:rsid w:val="00742994"/>
    <w:rsid w:val="00743905"/>
    <w:rsid w:val="00743EAF"/>
    <w:rsid w:val="007444C2"/>
    <w:rsid w:val="0074452F"/>
    <w:rsid w:val="00744FCF"/>
    <w:rsid w:val="007451C6"/>
    <w:rsid w:val="00745444"/>
    <w:rsid w:val="00745F19"/>
    <w:rsid w:val="007465FB"/>
    <w:rsid w:val="007466AB"/>
    <w:rsid w:val="00746861"/>
    <w:rsid w:val="007469BD"/>
    <w:rsid w:val="0074724C"/>
    <w:rsid w:val="00747281"/>
    <w:rsid w:val="00747600"/>
    <w:rsid w:val="00747D4E"/>
    <w:rsid w:val="0075023B"/>
    <w:rsid w:val="007502B1"/>
    <w:rsid w:val="00750791"/>
    <w:rsid w:val="00750798"/>
    <w:rsid w:val="00751027"/>
    <w:rsid w:val="00751F5B"/>
    <w:rsid w:val="0075227C"/>
    <w:rsid w:val="0075228A"/>
    <w:rsid w:val="00752B2A"/>
    <w:rsid w:val="00752F3B"/>
    <w:rsid w:val="00753420"/>
    <w:rsid w:val="007536CE"/>
    <w:rsid w:val="00753FA3"/>
    <w:rsid w:val="007542F4"/>
    <w:rsid w:val="00754412"/>
    <w:rsid w:val="0075489A"/>
    <w:rsid w:val="007563B8"/>
    <w:rsid w:val="00756E68"/>
    <w:rsid w:val="00757229"/>
    <w:rsid w:val="007574E0"/>
    <w:rsid w:val="00757701"/>
    <w:rsid w:val="00760392"/>
    <w:rsid w:val="0076112C"/>
    <w:rsid w:val="007612F9"/>
    <w:rsid w:val="0076175A"/>
    <w:rsid w:val="007617ED"/>
    <w:rsid w:val="00761941"/>
    <w:rsid w:val="00761D99"/>
    <w:rsid w:val="00761EE3"/>
    <w:rsid w:val="00762693"/>
    <w:rsid w:val="00762BBD"/>
    <w:rsid w:val="00763CB8"/>
    <w:rsid w:val="00763E86"/>
    <w:rsid w:val="00763ED2"/>
    <w:rsid w:val="00763F02"/>
    <w:rsid w:val="00764A6D"/>
    <w:rsid w:val="00765492"/>
    <w:rsid w:val="00765A2F"/>
    <w:rsid w:val="00765B02"/>
    <w:rsid w:val="00765FC4"/>
    <w:rsid w:val="00766097"/>
    <w:rsid w:val="007664F4"/>
    <w:rsid w:val="00766D74"/>
    <w:rsid w:val="00766E7B"/>
    <w:rsid w:val="00767398"/>
    <w:rsid w:val="007677BC"/>
    <w:rsid w:val="00767C08"/>
    <w:rsid w:val="00767D1B"/>
    <w:rsid w:val="00767EA9"/>
    <w:rsid w:val="007700CB"/>
    <w:rsid w:val="0077065D"/>
    <w:rsid w:val="007709ED"/>
    <w:rsid w:val="00771357"/>
    <w:rsid w:val="00772D91"/>
    <w:rsid w:val="00773FD9"/>
    <w:rsid w:val="00774578"/>
    <w:rsid w:val="007745A7"/>
    <w:rsid w:val="007750F1"/>
    <w:rsid w:val="00775FF7"/>
    <w:rsid w:val="007763C2"/>
    <w:rsid w:val="00776AE3"/>
    <w:rsid w:val="0077701E"/>
    <w:rsid w:val="0077739B"/>
    <w:rsid w:val="007776A7"/>
    <w:rsid w:val="00777794"/>
    <w:rsid w:val="00777AE6"/>
    <w:rsid w:val="00777C56"/>
    <w:rsid w:val="00777D9C"/>
    <w:rsid w:val="00777DCA"/>
    <w:rsid w:val="007802B6"/>
    <w:rsid w:val="007804FC"/>
    <w:rsid w:val="00780820"/>
    <w:rsid w:val="00780C86"/>
    <w:rsid w:val="007819FC"/>
    <w:rsid w:val="00782302"/>
    <w:rsid w:val="0078327D"/>
    <w:rsid w:val="007833AF"/>
    <w:rsid w:val="0078341E"/>
    <w:rsid w:val="00783B68"/>
    <w:rsid w:val="00783DEA"/>
    <w:rsid w:val="00784199"/>
    <w:rsid w:val="0078486D"/>
    <w:rsid w:val="00786676"/>
    <w:rsid w:val="007872B0"/>
    <w:rsid w:val="00787964"/>
    <w:rsid w:val="00790460"/>
    <w:rsid w:val="00790A27"/>
    <w:rsid w:val="00790B91"/>
    <w:rsid w:val="00790D86"/>
    <w:rsid w:val="00790FBA"/>
    <w:rsid w:val="00791602"/>
    <w:rsid w:val="00791DDB"/>
    <w:rsid w:val="00791ED3"/>
    <w:rsid w:val="00792E1C"/>
    <w:rsid w:val="00793A13"/>
    <w:rsid w:val="00793F52"/>
    <w:rsid w:val="0079430A"/>
    <w:rsid w:val="0079472D"/>
    <w:rsid w:val="007948B5"/>
    <w:rsid w:val="00794B06"/>
    <w:rsid w:val="007959B1"/>
    <w:rsid w:val="00795BCA"/>
    <w:rsid w:val="00795DBC"/>
    <w:rsid w:val="00796317"/>
    <w:rsid w:val="0079655C"/>
    <w:rsid w:val="007967B4"/>
    <w:rsid w:val="00796DFC"/>
    <w:rsid w:val="00796E14"/>
    <w:rsid w:val="00796ECA"/>
    <w:rsid w:val="00797194"/>
    <w:rsid w:val="00797223"/>
    <w:rsid w:val="00797658"/>
    <w:rsid w:val="0079772B"/>
    <w:rsid w:val="00797918"/>
    <w:rsid w:val="00797A4B"/>
    <w:rsid w:val="00797E92"/>
    <w:rsid w:val="00797FE1"/>
    <w:rsid w:val="007A0379"/>
    <w:rsid w:val="007A06D2"/>
    <w:rsid w:val="007A07D6"/>
    <w:rsid w:val="007A084C"/>
    <w:rsid w:val="007A0A0F"/>
    <w:rsid w:val="007A0B2A"/>
    <w:rsid w:val="007A0D61"/>
    <w:rsid w:val="007A133C"/>
    <w:rsid w:val="007A1699"/>
    <w:rsid w:val="007A26AA"/>
    <w:rsid w:val="007A2B15"/>
    <w:rsid w:val="007A2CCA"/>
    <w:rsid w:val="007A43BE"/>
    <w:rsid w:val="007A4996"/>
    <w:rsid w:val="007A4DA1"/>
    <w:rsid w:val="007A4F08"/>
    <w:rsid w:val="007A50A5"/>
    <w:rsid w:val="007A5E24"/>
    <w:rsid w:val="007A6825"/>
    <w:rsid w:val="007A6931"/>
    <w:rsid w:val="007A7259"/>
    <w:rsid w:val="007A77D3"/>
    <w:rsid w:val="007A7B0F"/>
    <w:rsid w:val="007A7C84"/>
    <w:rsid w:val="007B0148"/>
    <w:rsid w:val="007B1F7C"/>
    <w:rsid w:val="007B2764"/>
    <w:rsid w:val="007B28F1"/>
    <w:rsid w:val="007B2FD4"/>
    <w:rsid w:val="007B34C4"/>
    <w:rsid w:val="007B3758"/>
    <w:rsid w:val="007B39AA"/>
    <w:rsid w:val="007B3C4E"/>
    <w:rsid w:val="007B4585"/>
    <w:rsid w:val="007B4808"/>
    <w:rsid w:val="007B490F"/>
    <w:rsid w:val="007B4BD3"/>
    <w:rsid w:val="007B4E6D"/>
    <w:rsid w:val="007B504A"/>
    <w:rsid w:val="007B52CA"/>
    <w:rsid w:val="007B557E"/>
    <w:rsid w:val="007B561B"/>
    <w:rsid w:val="007B56C7"/>
    <w:rsid w:val="007B5B1C"/>
    <w:rsid w:val="007B6CF5"/>
    <w:rsid w:val="007B71E4"/>
    <w:rsid w:val="007B75B8"/>
    <w:rsid w:val="007B7DE4"/>
    <w:rsid w:val="007C03F4"/>
    <w:rsid w:val="007C04BF"/>
    <w:rsid w:val="007C0836"/>
    <w:rsid w:val="007C1209"/>
    <w:rsid w:val="007C2380"/>
    <w:rsid w:val="007C24EB"/>
    <w:rsid w:val="007C2557"/>
    <w:rsid w:val="007C2A8F"/>
    <w:rsid w:val="007C2B8C"/>
    <w:rsid w:val="007C302F"/>
    <w:rsid w:val="007C4118"/>
    <w:rsid w:val="007C48FE"/>
    <w:rsid w:val="007C507B"/>
    <w:rsid w:val="007C51FE"/>
    <w:rsid w:val="007C563A"/>
    <w:rsid w:val="007C5852"/>
    <w:rsid w:val="007C58AB"/>
    <w:rsid w:val="007C5A82"/>
    <w:rsid w:val="007C6492"/>
    <w:rsid w:val="007C68CF"/>
    <w:rsid w:val="007C6B34"/>
    <w:rsid w:val="007C724B"/>
    <w:rsid w:val="007C7633"/>
    <w:rsid w:val="007C7C33"/>
    <w:rsid w:val="007D0031"/>
    <w:rsid w:val="007D1171"/>
    <w:rsid w:val="007D11F1"/>
    <w:rsid w:val="007D2030"/>
    <w:rsid w:val="007D298A"/>
    <w:rsid w:val="007D2A24"/>
    <w:rsid w:val="007D2AAF"/>
    <w:rsid w:val="007D2FC2"/>
    <w:rsid w:val="007D2FC8"/>
    <w:rsid w:val="007D3263"/>
    <w:rsid w:val="007D370F"/>
    <w:rsid w:val="007D450F"/>
    <w:rsid w:val="007D4A38"/>
    <w:rsid w:val="007D4B99"/>
    <w:rsid w:val="007D4E68"/>
    <w:rsid w:val="007D6037"/>
    <w:rsid w:val="007D671E"/>
    <w:rsid w:val="007D677E"/>
    <w:rsid w:val="007D7A33"/>
    <w:rsid w:val="007E0C53"/>
    <w:rsid w:val="007E0E58"/>
    <w:rsid w:val="007E1709"/>
    <w:rsid w:val="007E1CE0"/>
    <w:rsid w:val="007E20A7"/>
    <w:rsid w:val="007E22C7"/>
    <w:rsid w:val="007E316F"/>
    <w:rsid w:val="007E3259"/>
    <w:rsid w:val="007E3447"/>
    <w:rsid w:val="007E38DA"/>
    <w:rsid w:val="007E3A25"/>
    <w:rsid w:val="007E3C79"/>
    <w:rsid w:val="007E3D6E"/>
    <w:rsid w:val="007E45C1"/>
    <w:rsid w:val="007E5088"/>
    <w:rsid w:val="007E562F"/>
    <w:rsid w:val="007E56DD"/>
    <w:rsid w:val="007E5FBA"/>
    <w:rsid w:val="007E6508"/>
    <w:rsid w:val="007E6936"/>
    <w:rsid w:val="007E6955"/>
    <w:rsid w:val="007E6A23"/>
    <w:rsid w:val="007E7830"/>
    <w:rsid w:val="007E7A3C"/>
    <w:rsid w:val="007E7CFB"/>
    <w:rsid w:val="007E7EAE"/>
    <w:rsid w:val="007E7F2E"/>
    <w:rsid w:val="007F015B"/>
    <w:rsid w:val="007F1900"/>
    <w:rsid w:val="007F2146"/>
    <w:rsid w:val="007F31E8"/>
    <w:rsid w:val="007F3CC9"/>
    <w:rsid w:val="007F3D5B"/>
    <w:rsid w:val="007F4078"/>
    <w:rsid w:val="007F42C7"/>
    <w:rsid w:val="007F441F"/>
    <w:rsid w:val="007F45DF"/>
    <w:rsid w:val="007F50CA"/>
    <w:rsid w:val="007F5311"/>
    <w:rsid w:val="007F5B11"/>
    <w:rsid w:val="007F5BBB"/>
    <w:rsid w:val="007F671B"/>
    <w:rsid w:val="007F6AA8"/>
    <w:rsid w:val="007F7164"/>
    <w:rsid w:val="007F7490"/>
    <w:rsid w:val="008008E2"/>
    <w:rsid w:val="00800BBE"/>
    <w:rsid w:val="008017B5"/>
    <w:rsid w:val="00801BE7"/>
    <w:rsid w:val="0080212F"/>
    <w:rsid w:val="008026A4"/>
    <w:rsid w:val="008028E7"/>
    <w:rsid w:val="00802CE5"/>
    <w:rsid w:val="00803024"/>
    <w:rsid w:val="008038A6"/>
    <w:rsid w:val="00803CCA"/>
    <w:rsid w:val="00803CD2"/>
    <w:rsid w:val="0080440B"/>
    <w:rsid w:val="00804AAD"/>
    <w:rsid w:val="008056E0"/>
    <w:rsid w:val="008060F6"/>
    <w:rsid w:val="0080625F"/>
    <w:rsid w:val="008068A2"/>
    <w:rsid w:val="00806F56"/>
    <w:rsid w:val="00807051"/>
    <w:rsid w:val="00807222"/>
    <w:rsid w:val="008078CE"/>
    <w:rsid w:val="008103A0"/>
    <w:rsid w:val="00810503"/>
    <w:rsid w:val="00810969"/>
    <w:rsid w:val="00811750"/>
    <w:rsid w:val="008117C5"/>
    <w:rsid w:val="008123A7"/>
    <w:rsid w:val="00812796"/>
    <w:rsid w:val="0081302C"/>
    <w:rsid w:val="008134E9"/>
    <w:rsid w:val="008137C5"/>
    <w:rsid w:val="00813DF4"/>
    <w:rsid w:val="00814078"/>
    <w:rsid w:val="008141CB"/>
    <w:rsid w:val="00814C51"/>
    <w:rsid w:val="00815360"/>
    <w:rsid w:val="00815430"/>
    <w:rsid w:val="008154F1"/>
    <w:rsid w:val="008156F8"/>
    <w:rsid w:val="008157B7"/>
    <w:rsid w:val="00815D0F"/>
    <w:rsid w:val="0081649E"/>
    <w:rsid w:val="008169BF"/>
    <w:rsid w:val="00816A09"/>
    <w:rsid w:val="00817956"/>
    <w:rsid w:val="00817A80"/>
    <w:rsid w:val="00817CE6"/>
    <w:rsid w:val="00817D4F"/>
    <w:rsid w:val="00820069"/>
    <w:rsid w:val="00820120"/>
    <w:rsid w:val="00820207"/>
    <w:rsid w:val="0082034C"/>
    <w:rsid w:val="008203BB"/>
    <w:rsid w:val="00820DCF"/>
    <w:rsid w:val="00820FB9"/>
    <w:rsid w:val="008223E7"/>
    <w:rsid w:val="0082256B"/>
    <w:rsid w:val="008227B4"/>
    <w:rsid w:val="00822961"/>
    <w:rsid w:val="008233C2"/>
    <w:rsid w:val="00823634"/>
    <w:rsid w:val="00823641"/>
    <w:rsid w:val="00823BD1"/>
    <w:rsid w:val="00823D1A"/>
    <w:rsid w:val="00823F54"/>
    <w:rsid w:val="008248D3"/>
    <w:rsid w:val="00825063"/>
    <w:rsid w:val="008253D8"/>
    <w:rsid w:val="00825723"/>
    <w:rsid w:val="0082585E"/>
    <w:rsid w:val="00825CB1"/>
    <w:rsid w:val="00825EA0"/>
    <w:rsid w:val="00826290"/>
    <w:rsid w:val="00826378"/>
    <w:rsid w:val="00826807"/>
    <w:rsid w:val="00826E30"/>
    <w:rsid w:val="008271A5"/>
    <w:rsid w:val="00830C32"/>
    <w:rsid w:val="0083182A"/>
    <w:rsid w:val="00831A47"/>
    <w:rsid w:val="00831AE2"/>
    <w:rsid w:val="0083283D"/>
    <w:rsid w:val="00832A47"/>
    <w:rsid w:val="00832AA6"/>
    <w:rsid w:val="00832C5A"/>
    <w:rsid w:val="00833376"/>
    <w:rsid w:val="008333DF"/>
    <w:rsid w:val="008336B8"/>
    <w:rsid w:val="00834040"/>
    <w:rsid w:val="0083410B"/>
    <w:rsid w:val="00835780"/>
    <w:rsid w:val="00836FBD"/>
    <w:rsid w:val="00837121"/>
    <w:rsid w:val="008373F6"/>
    <w:rsid w:val="008379D5"/>
    <w:rsid w:val="00837A41"/>
    <w:rsid w:val="008400AA"/>
    <w:rsid w:val="008404F0"/>
    <w:rsid w:val="00840CB5"/>
    <w:rsid w:val="008410AC"/>
    <w:rsid w:val="00841402"/>
    <w:rsid w:val="00841590"/>
    <w:rsid w:val="0084185B"/>
    <w:rsid w:val="0084185E"/>
    <w:rsid w:val="00841D5B"/>
    <w:rsid w:val="00841EFD"/>
    <w:rsid w:val="00842028"/>
    <w:rsid w:val="0084240A"/>
    <w:rsid w:val="0084313F"/>
    <w:rsid w:val="008438BD"/>
    <w:rsid w:val="00843B1A"/>
    <w:rsid w:val="00843C69"/>
    <w:rsid w:val="0084433F"/>
    <w:rsid w:val="008443EC"/>
    <w:rsid w:val="0084443E"/>
    <w:rsid w:val="008445B7"/>
    <w:rsid w:val="00845755"/>
    <w:rsid w:val="00845A38"/>
    <w:rsid w:val="00846374"/>
    <w:rsid w:val="008465D5"/>
    <w:rsid w:val="008467FD"/>
    <w:rsid w:val="00846C28"/>
    <w:rsid w:val="00846E0C"/>
    <w:rsid w:val="00846EAE"/>
    <w:rsid w:val="0084786C"/>
    <w:rsid w:val="00847B36"/>
    <w:rsid w:val="00847DC8"/>
    <w:rsid w:val="00850279"/>
    <w:rsid w:val="00850FA2"/>
    <w:rsid w:val="00851250"/>
    <w:rsid w:val="0085133E"/>
    <w:rsid w:val="008520BE"/>
    <w:rsid w:val="0085229E"/>
    <w:rsid w:val="00852AAA"/>
    <w:rsid w:val="00852B59"/>
    <w:rsid w:val="00853183"/>
    <w:rsid w:val="0085338A"/>
    <w:rsid w:val="008534E3"/>
    <w:rsid w:val="008541A9"/>
    <w:rsid w:val="008544A5"/>
    <w:rsid w:val="008544E5"/>
    <w:rsid w:val="00854620"/>
    <w:rsid w:val="00855582"/>
    <w:rsid w:val="00855746"/>
    <w:rsid w:val="00855F8A"/>
    <w:rsid w:val="00856922"/>
    <w:rsid w:val="00856C37"/>
    <w:rsid w:val="00857475"/>
    <w:rsid w:val="00857677"/>
    <w:rsid w:val="0086020D"/>
    <w:rsid w:val="00860314"/>
    <w:rsid w:val="008604F4"/>
    <w:rsid w:val="00860FA5"/>
    <w:rsid w:val="00861A23"/>
    <w:rsid w:val="0086205A"/>
    <w:rsid w:val="00862339"/>
    <w:rsid w:val="00862363"/>
    <w:rsid w:val="008627DC"/>
    <w:rsid w:val="00862BEC"/>
    <w:rsid w:val="008631F2"/>
    <w:rsid w:val="00863358"/>
    <w:rsid w:val="00863A96"/>
    <w:rsid w:val="00864239"/>
    <w:rsid w:val="0086454F"/>
    <w:rsid w:val="00864720"/>
    <w:rsid w:val="0086529E"/>
    <w:rsid w:val="00865554"/>
    <w:rsid w:val="00866626"/>
    <w:rsid w:val="00866AD1"/>
    <w:rsid w:val="00867213"/>
    <w:rsid w:val="00867673"/>
    <w:rsid w:val="008678ED"/>
    <w:rsid w:val="008679A5"/>
    <w:rsid w:val="00867BEE"/>
    <w:rsid w:val="00870174"/>
    <w:rsid w:val="00870355"/>
    <w:rsid w:val="0087189B"/>
    <w:rsid w:val="00871D13"/>
    <w:rsid w:val="00871E36"/>
    <w:rsid w:val="00872CD6"/>
    <w:rsid w:val="00872F31"/>
    <w:rsid w:val="0087314C"/>
    <w:rsid w:val="0087340A"/>
    <w:rsid w:val="0087384F"/>
    <w:rsid w:val="00873AB5"/>
    <w:rsid w:val="00873F8A"/>
    <w:rsid w:val="008742D5"/>
    <w:rsid w:val="00874FDF"/>
    <w:rsid w:val="0087677B"/>
    <w:rsid w:val="0087677D"/>
    <w:rsid w:val="0087678D"/>
    <w:rsid w:val="00877120"/>
    <w:rsid w:val="00877BB4"/>
    <w:rsid w:val="00877C7B"/>
    <w:rsid w:val="008803E5"/>
    <w:rsid w:val="0088087E"/>
    <w:rsid w:val="00880C3B"/>
    <w:rsid w:val="00880EC9"/>
    <w:rsid w:val="00881018"/>
    <w:rsid w:val="00881077"/>
    <w:rsid w:val="00881431"/>
    <w:rsid w:val="008815CF"/>
    <w:rsid w:val="00881C29"/>
    <w:rsid w:val="00882197"/>
    <w:rsid w:val="0088237E"/>
    <w:rsid w:val="00882E63"/>
    <w:rsid w:val="00882EF7"/>
    <w:rsid w:val="00883747"/>
    <w:rsid w:val="00884404"/>
    <w:rsid w:val="008845DE"/>
    <w:rsid w:val="00884EAF"/>
    <w:rsid w:val="0088530A"/>
    <w:rsid w:val="008856EF"/>
    <w:rsid w:val="00885919"/>
    <w:rsid w:val="0088646C"/>
    <w:rsid w:val="008900B5"/>
    <w:rsid w:val="008906B2"/>
    <w:rsid w:val="00890AD4"/>
    <w:rsid w:val="00890AFB"/>
    <w:rsid w:val="00891447"/>
    <w:rsid w:val="00891F76"/>
    <w:rsid w:val="008921F3"/>
    <w:rsid w:val="00892228"/>
    <w:rsid w:val="00892333"/>
    <w:rsid w:val="00892714"/>
    <w:rsid w:val="00893594"/>
    <w:rsid w:val="008940A1"/>
    <w:rsid w:val="00894116"/>
    <w:rsid w:val="008943F4"/>
    <w:rsid w:val="0089472E"/>
    <w:rsid w:val="00894CAC"/>
    <w:rsid w:val="008961DB"/>
    <w:rsid w:val="00896A40"/>
    <w:rsid w:val="0089733F"/>
    <w:rsid w:val="008976EE"/>
    <w:rsid w:val="008A01B4"/>
    <w:rsid w:val="008A059F"/>
    <w:rsid w:val="008A096B"/>
    <w:rsid w:val="008A13F7"/>
    <w:rsid w:val="008A14E5"/>
    <w:rsid w:val="008A1CF7"/>
    <w:rsid w:val="008A213E"/>
    <w:rsid w:val="008A2418"/>
    <w:rsid w:val="008A2966"/>
    <w:rsid w:val="008A4079"/>
    <w:rsid w:val="008A4276"/>
    <w:rsid w:val="008A435C"/>
    <w:rsid w:val="008A4685"/>
    <w:rsid w:val="008A4B03"/>
    <w:rsid w:val="008A511E"/>
    <w:rsid w:val="008A51BD"/>
    <w:rsid w:val="008A5473"/>
    <w:rsid w:val="008A5C28"/>
    <w:rsid w:val="008A5F3B"/>
    <w:rsid w:val="008A5FFA"/>
    <w:rsid w:val="008A628A"/>
    <w:rsid w:val="008A6B83"/>
    <w:rsid w:val="008A6C45"/>
    <w:rsid w:val="008A6E7E"/>
    <w:rsid w:val="008A7249"/>
    <w:rsid w:val="008A72B7"/>
    <w:rsid w:val="008A7387"/>
    <w:rsid w:val="008A7568"/>
    <w:rsid w:val="008A76DA"/>
    <w:rsid w:val="008A7AA4"/>
    <w:rsid w:val="008A7FFA"/>
    <w:rsid w:val="008B0702"/>
    <w:rsid w:val="008B1491"/>
    <w:rsid w:val="008B1713"/>
    <w:rsid w:val="008B1EB6"/>
    <w:rsid w:val="008B235C"/>
    <w:rsid w:val="008B2F47"/>
    <w:rsid w:val="008B3C55"/>
    <w:rsid w:val="008B3C7A"/>
    <w:rsid w:val="008B3D5E"/>
    <w:rsid w:val="008B3F98"/>
    <w:rsid w:val="008B3FEA"/>
    <w:rsid w:val="008B535B"/>
    <w:rsid w:val="008B5485"/>
    <w:rsid w:val="008B5780"/>
    <w:rsid w:val="008B5899"/>
    <w:rsid w:val="008B58A3"/>
    <w:rsid w:val="008B5B9B"/>
    <w:rsid w:val="008B6046"/>
    <w:rsid w:val="008B6E37"/>
    <w:rsid w:val="008B6E9A"/>
    <w:rsid w:val="008B7C1F"/>
    <w:rsid w:val="008B7FCA"/>
    <w:rsid w:val="008C01E8"/>
    <w:rsid w:val="008C01F9"/>
    <w:rsid w:val="008C0BA0"/>
    <w:rsid w:val="008C0D05"/>
    <w:rsid w:val="008C1B7C"/>
    <w:rsid w:val="008C1CC3"/>
    <w:rsid w:val="008C1DBE"/>
    <w:rsid w:val="008C2E52"/>
    <w:rsid w:val="008C3B22"/>
    <w:rsid w:val="008C3DC0"/>
    <w:rsid w:val="008C4107"/>
    <w:rsid w:val="008C582D"/>
    <w:rsid w:val="008C6028"/>
    <w:rsid w:val="008C610C"/>
    <w:rsid w:val="008C6329"/>
    <w:rsid w:val="008C6368"/>
    <w:rsid w:val="008C6BE7"/>
    <w:rsid w:val="008C6F36"/>
    <w:rsid w:val="008C74B5"/>
    <w:rsid w:val="008D0E58"/>
    <w:rsid w:val="008D156D"/>
    <w:rsid w:val="008D16DA"/>
    <w:rsid w:val="008D171A"/>
    <w:rsid w:val="008D29AE"/>
    <w:rsid w:val="008D2E53"/>
    <w:rsid w:val="008D2ECE"/>
    <w:rsid w:val="008D381D"/>
    <w:rsid w:val="008D3EEA"/>
    <w:rsid w:val="008D3F65"/>
    <w:rsid w:val="008D4176"/>
    <w:rsid w:val="008D4329"/>
    <w:rsid w:val="008D4EF5"/>
    <w:rsid w:val="008D537A"/>
    <w:rsid w:val="008D61FE"/>
    <w:rsid w:val="008D62AE"/>
    <w:rsid w:val="008D62BD"/>
    <w:rsid w:val="008D6CC0"/>
    <w:rsid w:val="008D7334"/>
    <w:rsid w:val="008D7AD8"/>
    <w:rsid w:val="008D7DD8"/>
    <w:rsid w:val="008E07F4"/>
    <w:rsid w:val="008E0980"/>
    <w:rsid w:val="008E0E3E"/>
    <w:rsid w:val="008E1359"/>
    <w:rsid w:val="008E1DA5"/>
    <w:rsid w:val="008E2189"/>
    <w:rsid w:val="008E241C"/>
    <w:rsid w:val="008E247D"/>
    <w:rsid w:val="008E2A87"/>
    <w:rsid w:val="008E3E39"/>
    <w:rsid w:val="008E3E6C"/>
    <w:rsid w:val="008E3EB3"/>
    <w:rsid w:val="008E4AC7"/>
    <w:rsid w:val="008E4AC8"/>
    <w:rsid w:val="008E50E7"/>
    <w:rsid w:val="008E56BF"/>
    <w:rsid w:val="008E5DBD"/>
    <w:rsid w:val="008E5EB7"/>
    <w:rsid w:val="008E5FCA"/>
    <w:rsid w:val="008E66CE"/>
    <w:rsid w:val="008E6A38"/>
    <w:rsid w:val="008E7122"/>
    <w:rsid w:val="008E7309"/>
    <w:rsid w:val="008E7B06"/>
    <w:rsid w:val="008E7F33"/>
    <w:rsid w:val="008F0A57"/>
    <w:rsid w:val="008F0E4D"/>
    <w:rsid w:val="008F111D"/>
    <w:rsid w:val="008F13DC"/>
    <w:rsid w:val="008F1AA3"/>
    <w:rsid w:val="008F1C30"/>
    <w:rsid w:val="008F213F"/>
    <w:rsid w:val="008F287E"/>
    <w:rsid w:val="008F2E2A"/>
    <w:rsid w:val="008F4690"/>
    <w:rsid w:val="008F4BA5"/>
    <w:rsid w:val="008F4D55"/>
    <w:rsid w:val="008F4DB5"/>
    <w:rsid w:val="008F5076"/>
    <w:rsid w:val="008F510B"/>
    <w:rsid w:val="008F5134"/>
    <w:rsid w:val="008F52A6"/>
    <w:rsid w:val="008F5519"/>
    <w:rsid w:val="008F56BE"/>
    <w:rsid w:val="008F5FCF"/>
    <w:rsid w:val="008F6817"/>
    <w:rsid w:val="008F739D"/>
    <w:rsid w:val="008F779C"/>
    <w:rsid w:val="008F7F3D"/>
    <w:rsid w:val="0090057A"/>
    <w:rsid w:val="009005A4"/>
    <w:rsid w:val="00900735"/>
    <w:rsid w:val="00901689"/>
    <w:rsid w:val="00902382"/>
    <w:rsid w:val="009029B0"/>
    <w:rsid w:val="00902A89"/>
    <w:rsid w:val="00903620"/>
    <w:rsid w:val="00903BC8"/>
    <w:rsid w:val="00903F01"/>
    <w:rsid w:val="00904263"/>
    <w:rsid w:val="009053EF"/>
    <w:rsid w:val="00905603"/>
    <w:rsid w:val="0090599C"/>
    <w:rsid w:val="009059AE"/>
    <w:rsid w:val="00906772"/>
    <w:rsid w:val="0090702A"/>
    <w:rsid w:val="00907C74"/>
    <w:rsid w:val="00907F5F"/>
    <w:rsid w:val="009102D1"/>
    <w:rsid w:val="009105B7"/>
    <w:rsid w:val="00910BE9"/>
    <w:rsid w:val="0091121C"/>
    <w:rsid w:val="00911B05"/>
    <w:rsid w:val="00911CDC"/>
    <w:rsid w:val="00911DB5"/>
    <w:rsid w:val="0091282F"/>
    <w:rsid w:val="009131DD"/>
    <w:rsid w:val="00913288"/>
    <w:rsid w:val="009137C3"/>
    <w:rsid w:val="0091380E"/>
    <w:rsid w:val="0091385C"/>
    <w:rsid w:val="00913B79"/>
    <w:rsid w:val="00913C54"/>
    <w:rsid w:val="00914325"/>
    <w:rsid w:val="00914765"/>
    <w:rsid w:val="00915208"/>
    <w:rsid w:val="0091557E"/>
    <w:rsid w:val="009157D9"/>
    <w:rsid w:val="00915A38"/>
    <w:rsid w:val="00915CC1"/>
    <w:rsid w:val="0091647C"/>
    <w:rsid w:val="00916520"/>
    <w:rsid w:val="00916858"/>
    <w:rsid w:val="00916A36"/>
    <w:rsid w:val="00917745"/>
    <w:rsid w:val="00920277"/>
    <w:rsid w:val="00920402"/>
    <w:rsid w:val="0092078E"/>
    <w:rsid w:val="009218EF"/>
    <w:rsid w:val="00921AC2"/>
    <w:rsid w:val="00922159"/>
    <w:rsid w:val="0092237A"/>
    <w:rsid w:val="0092271A"/>
    <w:rsid w:val="009232A1"/>
    <w:rsid w:val="00923DBA"/>
    <w:rsid w:val="00924662"/>
    <w:rsid w:val="00925098"/>
    <w:rsid w:val="00925339"/>
    <w:rsid w:val="009254B1"/>
    <w:rsid w:val="00925AB2"/>
    <w:rsid w:val="009260AF"/>
    <w:rsid w:val="00926B27"/>
    <w:rsid w:val="00926F54"/>
    <w:rsid w:val="00927673"/>
    <w:rsid w:val="00927954"/>
    <w:rsid w:val="00927EB3"/>
    <w:rsid w:val="00927F9E"/>
    <w:rsid w:val="00930548"/>
    <w:rsid w:val="00930837"/>
    <w:rsid w:val="009309FA"/>
    <w:rsid w:val="009314EF"/>
    <w:rsid w:val="00931667"/>
    <w:rsid w:val="0093192C"/>
    <w:rsid w:val="00931C32"/>
    <w:rsid w:val="00931C87"/>
    <w:rsid w:val="00932844"/>
    <w:rsid w:val="00932D74"/>
    <w:rsid w:val="0093369F"/>
    <w:rsid w:val="009338C6"/>
    <w:rsid w:val="009340AE"/>
    <w:rsid w:val="00934684"/>
    <w:rsid w:val="00934D32"/>
    <w:rsid w:val="00934E3C"/>
    <w:rsid w:val="00934EE3"/>
    <w:rsid w:val="00935A49"/>
    <w:rsid w:val="00935AA9"/>
    <w:rsid w:val="00935DA5"/>
    <w:rsid w:val="00936970"/>
    <w:rsid w:val="00937224"/>
    <w:rsid w:val="009376B0"/>
    <w:rsid w:val="00940A2F"/>
    <w:rsid w:val="00940A43"/>
    <w:rsid w:val="00940BEE"/>
    <w:rsid w:val="00940D36"/>
    <w:rsid w:val="00941174"/>
    <w:rsid w:val="0094172C"/>
    <w:rsid w:val="00941CF0"/>
    <w:rsid w:val="00942879"/>
    <w:rsid w:val="00942A53"/>
    <w:rsid w:val="00943D16"/>
    <w:rsid w:val="00943EC4"/>
    <w:rsid w:val="009446B9"/>
    <w:rsid w:val="00944983"/>
    <w:rsid w:val="00944DEC"/>
    <w:rsid w:val="00944F47"/>
    <w:rsid w:val="00944F5E"/>
    <w:rsid w:val="0094503A"/>
    <w:rsid w:val="00945450"/>
    <w:rsid w:val="0094551D"/>
    <w:rsid w:val="00945AA0"/>
    <w:rsid w:val="00946026"/>
    <w:rsid w:val="0094653D"/>
    <w:rsid w:val="00946F6D"/>
    <w:rsid w:val="009476CA"/>
    <w:rsid w:val="009506A5"/>
    <w:rsid w:val="009507F0"/>
    <w:rsid w:val="00950E30"/>
    <w:rsid w:val="00950FFE"/>
    <w:rsid w:val="009511F7"/>
    <w:rsid w:val="00951384"/>
    <w:rsid w:val="0095187D"/>
    <w:rsid w:val="0095233A"/>
    <w:rsid w:val="00952567"/>
    <w:rsid w:val="00952759"/>
    <w:rsid w:val="00952E2A"/>
    <w:rsid w:val="00953169"/>
    <w:rsid w:val="009531D7"/>
    <w:rsid w:val="00953202"/>
    <w:rsid w:val="00953495"/>
    <w:rsid w:val="009534B1"/>
    <w:rsid w:val="00953A1F"/>
    <w:rsid w:val="00953C55"/>
    <w:rsid w:val="00953F6E"/>
    <w:rsid w:val="009541A1"/>
    <w:rsid w:val="00954F68"/>
    <w:rsid w:val="00954FE5"/>
    <w:rsid w:val="009554A5"/>
    <w:rsid w:val="00956040"/>
    <w:rsid w:val="00956256"/>
    <w:rsid w:val="00956568"/>
    <w:rsid w:val="00957028"/>
    <w:rsid w:val="00957F8B"/>
    <w:rsid w:val="009601C3"/>
    <w:rsid w:val="00960397"/>
    <w:rsid w:val="00960F9A"/>
    <w:rsid w:val="00960FF7"/>
    <w:rsid w:val="0096206A"/>
    <w:rsid w:val="00962466"/>
    <w:rsid w:val="00963324"/>
    <w:rsid w:val="0096360D"/>
    <w:rsid w:val="0096367B"/>
    <w:rsid w:val="00963A11"/>
    <w:rsid w:val="00963F23"/>
    <w:rsid w:val="00964426"/>
    <w:rsid w:val="0096458F"/>
    <w:rsid w:val="009650A4"/>
    <w:rsid w:val="009651A1"/>
    <w:rsid w:val="009651F8"/>
    <w:rsid w:val="00965C4E"/>
    <w:rsid w:val="00965F6A"/>
    <w:rsid w:val="00966333"/>
    <w:rsid w:val="009663E8"/>
    <w:rsid w:val="00966DEF"/>
    <w:rsid w:val="00966FAA"/>
    <w:rsid w:val="00967D31"/>
    <w:rsid w:val="00970166"/>
    <w:rsid w:val="00970B2E"/>
    <w:rsid w:val="009714F5"/>
    <w:rsid w:val="00971876"/>
    <w:rsid w:val="00971CCD"/>
    <w:rsid w:val="00971D86"/>
    <w:rsid w:val="009726B2"/>
    <w:rsid w:val="00972B29"/>
    <w:rsid w:val="00972FFE"/>
    <w:rsid w:val="00973386"/>
    <w:rsid w:val="00973C7B"/>
    <w:rsid w:val="00975057"/>
    <w:rsid w:val="00975EEB"/>
    <w:rsid w:val="00976117"/>
    <w:rsid w:val="00976172"/>
    <w:rsid w:val="00976B4D"/>
    <w:rsid w:val="00976C85"/>
    <w:rsid w:val="00976F6E"/>
    <w:rsid w:val="00976F95"/>
    <w:rsid w:val="0098096D"/>
    <w:rsid w:val="00980B2B"/>
    <w:rsid w:val="00980C1C"/>
    <w:rsid w:val="00980D77"/>
    <w:rsid w:val="009812F4"/>
    <w:rsid w:val="00981617"/>
    <w:rsid w:val="00981E8C"/>
    <w:rsid w:val="009820B9"/>
    <w:rsid w:val="0098286F"/>
    <w:rsid w:val="00982C99"/>
    <w:rsid w:val="00983217"/>
    <w:rsid w:val="00983605"/>
    <w:rsid w:val="00983C7C"/>
    <w:rsid w:val="00984CEB"/>
    <w:rsid w:val="00984F1F"/>
    <w:rsid w:val="009854B0"/>
    <w:rsid w:val="00986262"/>
    <w:rsid w:val="00986465"/>
    <w:rsid w:val="00986649"/>
    <w:rsid w:val="00987140"/>
    <w:rsid w:val="00990110"/>
    <w:rsid w:val="0099021B"/>
    <w:rsid w:val="00990221"/>
    <w:rsid w:val="00990C85"/>
    <w:rsid w:val="00990F91"/>
    <w:rsid w:val="00991188"/>
    <w:rsid w:val="009921C6"/>
    <w:rsid w:val="00992578"/>
    <w:rsid w:val="00992F3D"/>
    <w:rsid w:val="00992FF6"/>
    <w:rsid w:val="009930CE"/>
    <w:rsid w:val="0099378F"/>
    <w:rsid w:val="00994888"/>
    <w:rsid w:val="009948C0"/>
    <w:rsid w:val="00994E5B"/>
    <w:rsid w:val="00995407"/>
    <w:rsid w:val="00995C09"/>
    <w:rsid w:val="009960C0"/>
    <w:rsid w:val="00996D3D"/>
    <w:rsid w:val="00997D0F"/>
    <w:rsid w:val="009A015B"/>
    <w:rsid w:val="009A02CB"/>
    <w:rsid w:val="009A07BF"/>
    <w:rsid w:val="009A0A65"/>
    <w:rsid w:val="009A0AB4"/>
    <w:rsid w:val="009A147A"/>
    <w:rsid w:val="009A1BA9"/>
    <w:rsid w:val="009A1D52"/>
    <w:rsid w:val="009A2272"/>
    <w:rsid w:val="009A2C09"/>
    <w:rsid w:val="009A31D8"/>
    <w:rsid w:val="009A361D"/>
    <w:rsid w:val="009A39C3"/>
    <w:rsid w:val="009A4064"/>
    <w:rsid w:val="009A4704"/>
    <w:rsid w:val="009A4BE7"/>
    <w:rsid w:val="009A5C36"/>
    <w:rsid w:val="009A620B"/>
    <w:rsid w:val="009A6415"/>
    <w:rsid w:val="009A7520"/>
    <w:rsid w:val="009A7531"/>
    <w:rsid w:val="009A7987"/>
    <w:rsid w:val="009A7BD3"/>
    <w:rsid w:val="009B029E"/>
    <w:rsid w:val="009B03F0"/>
    <w:rsid w:val="009B1A54"/>
    <w:rsid w:val="009B3583"/>
    <w:rsid w:val="009B3A37"/>
    <w:rsid w:val="009B3A7C"/>
    <w:rsid w:val="009B4061"/>
    <w:rsid w:val="009B47B1"/>
    <w:rsid w:val="009B49E3"/>
    <w:rsid w:val="009B4C69"/>
    <w:rsid w:val="009B5114"/>
    <w:rsid w:val="009B51CB"/>
    <w:rsid w:val="009B553D"/>
    <w:rsid w:val="009B5FAA"/>
    <w:rsid w:val="009B5FF6"/>
    <w:rsid w:val="009B68A6"/>
    <w:rsid w:val="009B6E02"/>
    <w:rsid w:val="009B7061"/>
    <w:rsid w:val="009B71E2"/>
    <w:rsid w:val="009B79CE"/>
    <w:rsid w:val="009C0081"/>
    <w:rsid w:val="009C01CA"/>
    <w:rsid w:val="009C1C9D"/>
    <w:rsid w:val="009C2523"/>
    <w:rsid w:val="009C2561"/>
    <w:rsid w:val="009C27D7"/>
    <w:rsid w:val="009C28CC"/>
    <w:rsid w:val="009C2B3F"/>
    <w:rsid w:val="009C2CA7"/>
    <w:rsid w:val="009C2E12"/>
    <w:rsid w:val="009C337B"/>
    <w:rsid w:val="009C33BA"/>
    <w:rsid w:val="009C346C"/>
    <w:rsid w:val="009C375E"/>
    <w:rsid w:val="009C3760"/>
    <w:rsid w:val="009C3A6D"/>
    <w:rsid w:val="009C3A93"/>
    <w:rsid w:val="009C3B7C"/>
    <w:rsid w:val="009C484D"/>
    <w:rsid w:val="009C4B8C"/>
    <w:rsid w:val="009C516B"/>
    <w:rsid w:val="009C6824"/>
    <w:rsid w:val="009C6ACA"/>
    <w:rsid w:val="009C6B1A"/>
    <w:rsid w:val="009C6C20"/>
    <w:rsid w:val="009C6D3D"/>
    <w:rsid w:val="009C7046"/>
    <w:rsid w:val="009C7659"/>
    <w:rsid w:val="009C7A9D"/>
    <w:rsid w:val="009D0E21"/>
    <w:rsid w:val="009D1040"/>
    <w:rsid w:val="009D19C5"/>
    <w:rsid w:val="009D20ED"/>
    <w:rsid w:val="009D25B4"/>
    <w:rsid w:val="009D3759"/>
    <w:rsid w:val="009D3C4D"/>
    <w:rsid w:val="009D4548"/>
    <w:rsid w:val="009D458B"/>
    <w:rsid w:val="009D496C"/>
    <w:rsid w:val="009D4A75"/>
    <w:rsid w:val="009D52AA"/>
    <w:rsid w:val="009D5AC6"/>
    <w:rsid w:val="009D5B87"/>
    <w:rsid w:val="009D62A9"/>
    <w:rsid w:val="009D73F3"/>
    <w:rsid w:val="009D7592"/>
    <w:rsid w:val="009D7914"/>
    <w:rsid w:val="009E02AF"/>
    <w:rsid w:val="009E0A54"/>
    <w:rsid w:val="009E1086"/>
    <w:rsid w:val="009E1BC3"/>
    <w:rsid w:val="009E1D25"/>
    <w:rsid w:val="009E30F5"/>
    <w:rsid w:val="009E315C"/>
    <w:rsid w:val="009E3637"/>
    <w:rsid w:val="009E7096"/>
    <w:rsid w:val="009E7253"/>
    <w:rsid w:val="009E7653"/>
    <w:rsid w:val="009E7E2C"/>
    <w:rsid w:val="009F076B"/>
    <w:rsid w:val="009F078E"/>
    <w:rsid w:val="009F0980"/>
    <w:rsid w:val="009F1148"/>
    <w:rsid w:val="009F1406"/>
    <w:rsid w:val="009F18B2"/>
    <w:rsid w:val="009F1B8B"/>
    <w:rsid w:val="009F2D11"/>
    <w:rsid w:val="009F327E"/>
    <w:rsid w:val="009F34F6"/>
    <w:rsid w:val="009F4F04"/>
    <w:rsid w:val="009F63D2"/>
    <w:rsid w:val="009F6FDA"/>
    <w:rsid w:val="009F7F6A"/>
    <w:rsid w:val="00A006EB"/>
    <w:rsid w:val="00A008B3"/>
    <w:rsid w:val="00A00F6F"/>
    <w:rsid w:val="00A01026"/>
    <w:rsid w:val="00A015D8"/>
    <w:rsid w:val="00A01AB8"/>
    <w:rsid w:val="00A0201D"/>
    <w:rsid w:val="00A029DF"/>
    <w:rsid w:val="00A0399C"/>
    <w:rsid w:val="00A03DEA"/>
    <w:rsid w:val="00A0468E"/>
    <w:rsid w:val="00A04E08"/>
    <w:rsid w:val="00A0560C"/>
    <w:rsid w:val="00A05B28"/>
    <w:rsid w:val="00A05DCC"/>
    <w:rsid w:val="00A06073"/>
    <w:rsid w:val="00A07648"/>
    <w:rsid w:val="00A103CE"/>
    <w:rsid w:val="00A10C52"/>
    <w:rsid w:val="00A11150"/>
    <w:rsid w:val="00A1185D"/>
    <w:rsid w:val="00A1189D"/>
    <w:rsid w:val="00A11FFE"/>
    <w:rsid w:val="00A122F4"/>
    <w:rsid w:val="00A1294E"/>
    <w:rsid w:val="00A1298D"/>
    <w:rsid w:val="00A12D1D"/>
    <w:rsid w:val="00A13054"/>
    <w:rsid w:val="00A131A6"/>
    <w:rsid w:val="00A14089"/>
    <w:rsid w:val="00A1479C"/>
    <w:rsid w:val="00A147C7"/>
    <w:rsid w:val="00A15391"/>
    <w:rsid w:val="00A15401"/>
    <w:rsid w:val="00A15628"/>
    <w:rsid w:val="00A15BDB"/>
    <w:rsid w:val="00A15D85"/>
    <w:rsid w:val="00A16206"/>
    <w:rsid w:val="00A1635C"/>
    <w:rsid w:val="00A1656D"/>
    <w:rsid w:val="00A1668F"/>
    <w:rsid w:val="00A16A31"/>
    <w:rsid w:val="00A16D71"/>
    <w:rsid w:val="00A16E11"/>
    <w:rsid w:val="00A17043"/>
    <w:rsid w:val="00A17053"/>
    <w:rsid w:val="00A1741B"/>
    <w:rsid w:val="00A175E9"/>
    <w:rsid w:val="00A17945"/>
    <w:rsid w:val="00A17D3D"/>
    <w:rsid w:val="00A17DA9"/>
    <w:rsid w:val="00A20361"/>
    <w:rsid w:val="00A20973"/>
    <w:rsid w:val="00A20D06"/>
    <w:rsid w:val="00A2183A"/>
    <w:rsid w:val="00A21E8E"/>
    <w:rsid w:val="00A22A0A"/>
    <w:rsid w:val="00A23468"/>
    <w:rsid w:val="00A23790"/>
    <w:rsid w:val="00A23F06"/>
    <w:rsid w:val="00A2400D"/>
    <w:rsid w:val="00A24384"/>
    <w:rsid w:val="00A247E6"/>
    <w:rsid w:val="00A25512"/>
    <w:rsid w:val="00A25668"/>
    <w:rsid w:val="00A26033"/>
    <w:rsid w:val="00A2643B"/>
    <w:rsid w:val="00A26AF1"/>
    <w:rsid w:val="00A26C64"/>
    <w:rsid w:val="00A271E9"/>
    <w:rsid w:val="00A27614"/>
    <w:rsid w:val="00A27CF5"/>
    <w:rsid w:val="00A302B1"/>
    <w:rsid w:val="00A302F0"/>
    <w:rsid w:val="00A306F2"/>
    <w:rsid w:val="00A30BEC"/>
    <w:rsid w:val="00A3190B"/>
    <w:rsid w:val="00A31C0C"/>
    <w:rsid w:val="00A32771"/>
    <w:rsid w:val="00A329CC"/>
    <w:rsid w:val="00A32AD9"/>
    <w:rsid w:val="00A33377"/>
    <w:rsid w:val="00A3356C"/>
    <w:rsid w:val="00A335C4"/>
    <w:rsid w:val="00A336E9"/>
    <w:rsid w:val="00A33A42"/>
    <w:rsid w:val="00A3404E"/>
    <w:rsid w:val="00A34430"/>
    <w:rsid w:val="00A3499D"/>
    <w:rsid w:val="00A351C9"/>
    <w:rsid w:val="00A3566D"/>
    <w:rsid w:val="00A35851"/>
    <w:rsid w:val="00A35EE8"/>
    <w:rsid w:val="00A361FB"/>
    <w:rsid w:val="00A36486"/>
    <w:rsid w:val="00A4019D"/>
    <w:rsid w:val="00A402C8"/>
    <w:rsid w:val="00A40418"/>
    <w:rsid w:val="00A40508"/>
    <w:rsid w:val="00A41654"/>
    <w:rsid w:val="00A41B63"/>
    <w:rsid w:val="00A41D1A"/>
    <w:rsid w:val="00A424C8"/>
    <w:rsid w:val="00A43034"/>
    <w:rsid w:val="00A4372E"/>
    <w:rsid w:val="00A43781"/>
    <w:rsid w:val="00A43805"/>
    <w:rsid w:val="00A43EB0"/>
    <w:rsid w:val="00A44690"/>
    <w:rsid w:val="00A44B8D"/>
    <w:rsid w:val="00A44E4D"/>
    <w:rsid w:val="00A45292"/>
    <w:rsid w:val="00A4552E"/>
    <w:rsid w:val="00A4593D"/>
    <w:rsid w:val="00A45C01"/>
    <w:rsid w:val="00A4612B"/>
    <w:rsid w:val="00A4653C"/>
    <w:rsid w:val="00A465F8"/>
    <w:rsid w:val="00A46625"/>
    <w:rsid w:val="00A46CC5"/>
    <w:rsid w:val="00A470F0"/>
    <w:rsid w:val="00A50204"/>
    <w:rsid w:val="00A50361"/>
    <w:rsid w:val="00A505C6"/>
    <w:rsid w:val="00A512B6"/>
    <w:rsid w:val="00A5197B"/>
    <w:rsid w:val="00A51C6A"/>
    <w:rsid w:val="00A52CBE"/>
    <w:rsid w:val="00A53069"/>
    <w:rsid w:val="00A53429"/>
    <w:rsid w:val="00A54896"/>
    <w:rsid w:val="00A5527C"/>
    <w:rsid w:val="00A559B9"/>
    <w:rsid w:val="00A55F5D"/>
    <w:rsid w:val="00A55F9E"/>
    <w:rsid w:val="00A56B84"/>
    <w:rsid w:val="00A56CD3"/>
    <w:rsid w:val="00A5703D"/>
    <w:rsid w:val="00A5731A"/>
    <w:rsid w:val="00A57627"/>
    <w:rsid w:val="00A60A19"/>
    <w:rsid w:val="00A60C11"/>
    <w:rsid w:val="00A60C37"/>
    <w:rsid w:val="00A611BC"/>
    <w:rsid w:val="00A61418"/>
    <w:rsid w:val="00A6190C"/>
    <w:rsid w:val="00A61A51"/>
    <w:rsid w:val="00A61E84"/>
    <w:rsid w:val="00A61F0C"/>
    <w:rsid w:val="00A623A2"/>
    <w:rsid w:val="00A627E8"/>
    <w:rsid w:val="00A62BFB"/>
    <w:rsid w:val="00A63128"/>
    <w:rsid w:val="00A6389A"/>
    <w:rsid w:val="00A64237"/>
    <w:rsid w:val="00A64745"/>
    <w:rsid w:val="00A64855"/>
    <w:rsid w:val="00A64BC1"/>
    <w:rsid w:val="00A64C93"/>
    <w:rsid w:val="00A64CEC"/>
    <w:rsid w:val="00A652C0"/>
    <w:rsid w:val="00A656B2"/>
    <w:rsid w:val="00A65D82"/>
    <w:rsid w:val="00A65E70"/>
    <w:rsid w:val="00A661F3"/>
    <w:rsid w:val="00A67348"/>
    <w:rsid w:val="00A67C14"/>
    <w:rsid w:val="00A70869"/>
    <w:rsid w:val="00A715B5"/>
    <w:rsid w:val="00A71BD2"/>
    <w:rsid w:val="00A72331"/>
    <w:rsid w:val="00A7242B"/>
    <w:rsid w:val="00A72B6D"/>
    <w:rsid w:val="00A735B9"/>
    <w:rsid w:val="00A74100"/>
    <w:rsid w:val="00A7426E"/>
    <w:rsid w:val="00A74306"/>
    <w:rsid w:val="00A7485D"/>
    <w:rsid w:val="00A7493D"/>
    <w:rsid w:val="00A74DC2"/>
    <w:rsid w:val="00A74ED8"/>
    <w:rsid w:val="00A74F08"/>
    <w:rsid w:val="00A75050"/>
    <w:rsid w:val="00A750C1"/>
    <w:rsid w:val="00A752E4"/>
    <w:rsid w:val="00A75973"/>
    <w:rsid w:val="00A759D1"/>
    <w:rsid w:val="00A766F2"/>
    <w:rsid w:val="00A7681E"/>
    <w:rsid w:val="00A768D6"/>
    <w:rsid w:val="00A7690A"/>
    <w:rsid w:val="00A77191"/>
    <w:rsid w:val="00A77659"/>
    <w:rsid w:val="00A7795D"/>
    <w:rsid w:val="00A80B39"/>
    <w:rsid w:val="00A80CC9"/>
    <w:rsid w:val="00A80FFD"/>
    <w:rsid w:val="00A81B03"/>
    <w:rsid w:val="00A81DD3"/>
    <w:rsid w:val="00A821AE"/>
    <w:rsid w:val="00A82C37"/>
    <w:rsid w:val="00A82E20"/>
    <w:rsid w:val="00A82F10"/>
    <w:rsid w:val="00A831E9"/>
    <w:rsid w:val="00A832E7"/>
    <w:rsid w:val="00A836E6"/>
    <w:rsid w:val="00A83D1E"/>
    <w:rsid w:val="00A84087"/>
    <w:rsid w:val="00A84C54"/>
    <w:rsid w:val="00A85111"/>
    <w:rsid w:val="00A85B7E"/>
    <w:rsid w:val="00A8651D"/>
    <w:rsid w:val="00A8694A"/>
    <w:rsid w:val="00A86E8A"/>
    <w:rsid w:val="00A86EF1"/>
    <w:rsid w:val="00A8704D"/>
    <w:rsid w:val="00A87C87"/>
    <w:rsid w:val="00A903D1"/>
    <w:rsid w:val="00A9069A"/>
    <w:rsid w:val="00A90E30"/>
    <w:rsid w:val="00A9119E"/>
    <w:rsid w:val="00A91C0F"/>
    <w:rsid w:val="00A9254A"/>
    <w:rsid w:val="00A93488"/>
    <w:rsid w:val="00A936AC"/>
    <w:rsid w:val="00A938CE"/>
    <w:rsid w:val="00A94316"/>
    <w:rsid w:val="00A94D2D"/>
    <w:rsid w:val="00A94EBB"/>
    <w:rsid w:val="00A95845"/>
    <w:rsid w:val="00A965D1"/>
    <w:rsid w:val="00A9674F"/>
    <w:rsid w:val="00A96765"/>
    <w:rsid w:val="00A96BCC"/>
    <w:rsid w:val="00A96DE2"/>
    <w:rsid w:val="00A96F31"/>
    <w:rsid w:val="00A9727F"/>
    <w:rsid w:val="00A9769F"/>
    <w:rsid w:val="00AA0116"/>
    <w:rsid w:val="00AA0515"/>
    <w:rsid w:val="00AA082E"/>
    <w:rsid w:val="00AA0897"/>
    <w:rsid w:val="00AA0C47"/>
    <w:rsid w:val="00AA0C69"/>
    <w:rsid w:val="00AA0E13"/>
    <w:rsid w:val="00AA106B"/>
    <w:rsid w:val="00AA2404"/>
    <w:rsid w:val="00AA24B0"/>
    <w:rsid w:val="00AA28B9"/>
    <w:rsid w:val="00AA2AFA"/>
    <w:rsid w:val="00AA2F3B"/>
    <w:rsid w:val="00AA3AD2"/>
    <w:rsid w:val="00AA3B63"/>
    <w:rsid w:val="00AA3C0D"/>
    <w:rsid w:val="00AA3FCC"/>
    <w:rsid w:val="00AA3FDB"/>
    <w:rsid w:val="00AA3FEF"/>
    <w:rsid w:val="00AA4921"/>
    <w:rsid w:val="00AA4DB6"/>
    <w:rsid w:val="00AA5B6C"/>
    <w:rsid w:val="00AA613E"/>
    <w:rsid w:val="00AA61B4"/>
    <w:rsid w:val="00AA7827"/>
    <w:rsid w:val="00AB0112"/>
    <w:rsid w:val="00AB077B"/>
    <w:rsid w:val="00AB0A94"/>
    <w:rsid w:val="00AB1DFC"/>
    <w:rsid w:val="00AB35AD"/>
    <w:rsid w:val="00AB3F51"/>
    <w:rsid w:val="00AB428D"/>
    <w:rsid w:val="00AB52A6"/>
    <w:rsid w:val="00AB545D"/>
    <w:rsid w:val="00AB57B7"/>
    <w:rsid w:val="00AB5947"/>
    <w:rsid w:val="00AB5EBA"/>
    <w:rsid w:val="00AB6258"/>
    <w:rsid w:val="00AB666D"/>
    <w:rsid w:val="00AB7AA1"/>
    <w:rsid w:val="00AC03DF"/>
    <w:rsid w:val="00AC1489"/>
    <w:rsid w:val="00AC1D42"/>
    <w:rsid w:val="00AC1D92"/>
    <w:rsid w:val="00AC1FA8"/>
    <w:rsid w:val="00AC1FC7"/>
    <w:rsid w:val="00AC2395"/>
    <w:rsid w:val="00AC292C"/>
    <w:rsid w:val="00AC2CCD"/>
    <w:rsid w:val="00AC3DA8"/>
    <w:rsid w:val="00AC48FC"/>
    <w:rsid w:val="00AC4C10"/>
    <w:rsid w:val="00AC4FB6"/>
    <w:rsid w:val="00AC523A"/>
    <w:rsid w:val="00AC5470"/>
    <w:rsid w:val="00AC54F1"/>
    <w:rsid w:val="00AC59D5"/>
    <w:rsid w:val="00AC5D9F"/>
    <w:rsid w:val="00AC7297"/>
    <w:rsid w:val="00AC73FC"/>
    <w:rsid w:val="00AC7530"/>
    <w:rsid w:val="00AC7551"/>
    <w:rsid w:val="00AC75D0"/>
    <w:rsid w:val="00AC79C4"/>
    <w:rsid w:val="00AD0A9A"/>
    <w:rsid w:val="00AD2164"/>
    <w:rsid w:val="00AD2951"/>
    <w:rsid w:val="00AD2B67"/>
    <w:rsid w:val="00AD3D4D"/>
    <w:rsid w:val="00AD3D5D"/>
    <w:rsid w:val="00AD3DC1"/>
    <w:rsid w:val="00AD3DDD"/>
    <w:rsid w:val="00AD456B"/>
    <w:rsid w:val="00AD45FF"/>
    <w:rsid w:val="00AD48E5"/>
    <w:rsid w:val="00AD5421"/>
    <w:rsid w:val="00AD54A9"/>
    <w:rsid w:val="00AD5815"/>
    <w:rsid w:val="00AD5A59"/>
    <w:rsid w:val="00AD5CBC"/>
    <w:rsid w:val="00AD6485"/>
    <w:rsid w:val="00AD6D28"/>
    <w:rsid w:val="00AD74AD"/>
    <w:rsid w:val="00AD7A19"/>
    <w:rsid w:val="00AD7A1B"/>
    <w:rsid w:val="00AD7DEB"/>
    <w:rsid w:val="00AE00C6"/>
    <w:rsid w:val="00AE0127"/>
    <w:rsid w:val="00AE098E"/>
    <w:rsid w:val="00AE0E84"/>
    <w:rsid w:val="00AE183C"/>
    <w:rsid w:val="00AE24E7"/>
    <w:rsid w:val="00AE271A"/>
    <w:rsid w:val="00AE28A4"/>
    <w:rsid w:val="00AE2D9F"/>
    <w:rsid w:val="00AE2E30"/>
    <w:rsid w:val="00AE2E84"/>
    <w:rsid w:val="00AE3AC9"/>
    <w:rsid w:val="00AE431E"/>
    <w:rsid w:val="00AE4547"/>
    <w:rsid w:val="00AE4D3F"/>
    <w:rsid w:val="00AE569F"/>
    <w:rsid w:val="00AE5726"/>
    <w:rsid w:val="00AE5AF0"/>
    <w:rsid w:val="00AE6452"/>
    <w:rsid w:val="00AE656F"/>
    <w:rsid w:val="00AE689E"/>
    <w:rsid w:val="00AE68B3"/>
    <w:rsid w:val="00AE692B"/>
    <w:rsid w:val="00AE69B9"/>
    <w:rsid w:val="00AE766A"/>
    <w:rsid w:val="00AE7808"/>
    <w:rsid w:val="00AE7851"/>
    <w:rsid w:val="00AF07B9"/>
    <w:rsid w:val="00AF112B"/>
    <w:rsid w:val="00AF1278"/>
    <w:rsid w:val="00AF1361"/>
    <w:rsid w:val="00AF151A"/>
    <w:rsid w:val="00AF1D74"/>
    <w:rsid w:val="00AF33F4"/>
    <w:rsid w:val="00AF3EE0"/>
    <w:rsid w:val="00AF40C7"/>
    <w:rsid w:val="00AF4373"/>
    <w:rsid w:val="00AF4801"/>
    <w:rsid w:val="00AF490A"/>
    <w:rsid w:val="00AF5658"/>
    <w:rsid w:val="00AF5D16"/>
    <w:rsid w:val="00AF5F83"/>
    <w:rsid w:val="00AF6247"/>
    <w:rsid w:val="00AF6B56"/>
    <w:rsid w:val="00AF752F"/>
    <w:rsid w:val="00AF7566"/>
    <w:rsid w:val="00AF7699"/>
    <w:rsid w:val="00AF7D36"/>
    <w:rsid w:val="00B00D6C"/>
    <w:rsid w:val="00B01434"/>
    <w:rsid w:val="00B01661"/>
    <w:rsid w:val="00B01C44"/>
    <w:rsid w:val="00B01C63"/>
    <w:rsid w:val="00B02098"/>
    <w:rsid w:val="00B02343"/>
    <w:rsid w:val="00B02372"/>
    <w:rsid w:val="00B02E0D"/>
    <w:rsid w:val="00B02F09"/>
    <w:rsid w:val="00B037EC"/>
    <w:rsid w:val="00B0389C"/>
    <w:rsid w:val="00B03ABC"/>
    <w:rsid w:val="00B040F8"/>
    <w:rsid w:val="00B0463B"/>
    <w:rsid w:val="00B0540C"/>
    <w:rsid w:val="00B05CAC"/>
    <w:rsid w:val="00B064B5"/>
    <w:rsid w:val="00B06A26"/>
    <w:rsid w:val="00B06BD4"/>
    <w:rsid w:val="00B078AF"/>
    <w:rsid w:val="00B07E7E"/>
    <w:rsid w:val="00B07EBA"/>
    <w:rsid w:val="00B07F21"/>
    <w:rsid w:val="00B11E14"/>
    <w:rsid w:val="00B12082"/>
    <w:rsid w:val="00B12A94"/>
    <w:rsid w:val="00B12BB5"/>
    <w:rsid w:val="00B14153"/>
    <w:rsid w:val="00B144FB"/>
    <w:rsid w:val="00B157E7"/>
    <w:rsid w:val="00B160AF"/>
    <w:rsid w:val="00B160C2"/>
    <w:rsid w:val="00B1675E"/>
    <w:rsid w:val="00B17393"/>
    <w:rsid w:val="00B179DE"/>
    <w:rsid w:val="00B17B71"/>
    <w:rsid w:val="00B17D46"/>
    <w:rsid w:val="00B20564"/>
    <w:rsid w:val="00B206BA"/>
    <w:rsid w:val="00B217A3"/>
    <w:rsid w:val="00B217D5"/>
    <w:rsid w:val="00B21CFF"/>
    <w:rsid w:val="00B223A6"/>
    <w:rsid w:val="00B224B9"/>
    <w:rsid w:val="00B22680"/>
    <w:rsid w:val="00B22C21"/>
    <w:rsid w:val="00B2359B"/>
    <w:rsid w:val="00B2380F"/>
    <w:rsid w:val="00B23947"/>
    <w:rsid w:val="00B23A3F"/>
    <w:rsid w:val="00B23C5B"/>
    <w:rsid w:val="00B25091"/>
    <w:rsid w:val="00B25D2B"/>
    <w:rsid w:val="00B25F53"/>
    <w:rsid w:val="00B26151"/>
    <w:rsid w:val="00B26CED"/>
    <w:rsid w:val="00B270E5"/>
    <w:rsid w:val="00B307BC"/>
    <w:rsid w:val="00B30B83"/>
    <w:rsid w:val="00B30B8B"/>
    <w:rsid w:val="00B30EBB"/>
    <w:rsid w:val="00B312CA"/>
    <w:rsid w:val="00B3133A"/>
    <w:rsid w:val="00B31448"/>
    <w:rsid w:val="00B32052"/>
    <w:rsid w:val="00B321EB"/>
    <w:rsid w:val="00B32C64"/>
    <w:rsid w:val="00B3307F"/>
    <w:rsid w:val="00B3391C"/>
    <w:rsid w:val="00B33E46"/>
    <w:rsid w:val="00B33F14"/>
    <w:rsid w:val="00B344F3"/>
    <w:rsid w:val="00B34696"/>
    <w:rsid w:val="00B348FE"/>
    <w:rsid w:val="00B35701"/>
    <w:rsid w:val="00B35913"/>
    <w:rsid w:val="00B361FF"/>
    <w:rsid w:val="00B36297"/>
    <w:rsid w:val="00B36A47"/>
    <w:rsid w:val="00B375AE"/>
    <w:rsid w:val="00B37C05"/>
    <w:rsid w:val="00B40319"/>
    <w:rsid w:val="00B4033F"/>
    <w:rsid w:val="00B4044D"/>
    <w:rsid w:val="00B40A96"/>
    <w:rsid w:val="00B40AAF"/>
    <w:rsid w:val="00B415DD"/>
    <w:rsid w:val="00B41919"/>
    <w:rsid w:val="00B41E62"/>
    <w:rsid w:val="00B42A6D"/>
    <w:rsid w:val="00B42A81"/>
    <w:rsid w:val="00B42C23"/>
    <w:rsid w:val="00B42E5B"/>
    <w:rsid w:val="00B42F2F"/>
    <w:rsid w:val="00B438C3"/>
    <w:rsid w:val="00B439FD"/>
    <w:rsid w:val="00B43BA4"/>
    <w:rsid w:val="00B43CD4"/>
    <w:rsid w:val="00B442B6"/>
    <w:rsid w:val="00B446E5"/>
    <w:rsid w:val="00B44D96"/>
    <w:rsid w:val="00B45286"/>
    <w:rsid w:val="00B45512"/>
    <w:rsid w:val="00B468A9"/>
    <w:rsid w:val="00B46A93"/>
    <w:rsid w:val="00B46AAC"/>
    <w:rsid w:val="00B474B2"/>
    <w:rsid w:val="00B47995"/>
    <w:rsid w:val="00B47ABD"/>
    <w:rsid w:val="00B47F22"/>
    <w:rsid w:val="00B5064A"/>
    <w:rsid w:val="00B507B3"/>
    <w:rsid w:val="00B50959"/>
    <w:rsid w:val="00B516F1"/>
    <w:rsid w:val="00B5257E"/>
    <w:rsid w:val="00B530AC"/>
    <w:rsid w:val="00B532AC"/>
    <w:rsid w:val="00B53567"/>
    <w:rsid w:val="00B54C0F"/>
    <w:rsid w:val="00B554DF"/>
    <w:rsid w:val="00B556D5"/>
    <w:rsid w:val="00B55FFC"/>
    <w:rsid w:val="00B56067"/>
    <w:rsid w:val="00B5655C"/>
    <w:rsid w:val="00B5681B"/>
    <w:rsid w:val="00B5739F"/>
    <w:rsid w:val="00B602A9"/>
    <w:rsid w:val="00B602AE"/>
    <w:rsid w:val="00B60352"/>
    <w:rsid w:val="00B6038C"/>
    <w:rsid w:val="00B61A55"/>
    <w:rsid w:val="00B61B28"/>
    <w:rsid w:val="00B623FA"/>
    <w:rsid w:val="00B6273A"/>
    <w:rsid w:val="00B635DD"/>
    <w:rsid w:val="00B6397C"/>
    <w:rsid w:val="00B63D94"/>
    <w:rsid w:val="00B64312"/>
    <w:rsid w:val="00B645FC"/>
    <w:rsid w:val="00B653D5"/>
    <w:rsid w:val="00B6561B"/>
    <w:rsid w:val="00B656BB"/>
    <w:rsid w:val="00B66936"/>
    <w:rsid w:val="00B66978"/>
    <w:rsid w:val="00B66ADC"/>
    <w:rsid w:val="00B703D4"/>
    <w:rsid w:val="00B7112B"/>
    <w:rsid w:val="00B71A67"/>
    <w:rsid w:val="00B71F09"/>
    <w:rsid w:val="00B72CB2"/>
    <w:rsid w:val="00B72D12"/>
    <w:rsid w:val="00B73208"/>
    <w:rsid w:val="00B73BE3"/>
    <w:rsid w:val="00B740F7"/>
    <w:rsid w:val="00B7527C"/>
    <w:rsid w:val="00B76402"/>
    <w:rsid w:val="00B76B3F"/>
    <w:rsid w:val="00B76BFD"/>
    <w:rsid w:val="00B77340"/>
    <w:rsid w:val="00B77999"/>
    <w:rsid w:val="00B77A99"/>
    <w:rsid w:val="00B77C5F"/>
    <w:rsid w:val="00B77D0D"/>
    <w:rsid w:val="00B80D2E"/>
    <w:rsid w:val="00B8105F"/>
    <w:rsid w:val="00B81B33"/>
    <w:rsid w:val="00B8258B"/>
    <w:rsid w:val="00B82B91"/>
    <w:rsid w:val="00B8320F"/>
    <w:rsid w:val="00B8386C"/>
    <w:rsid w:val="00B83B8A"/>
    <w:rsid w:val="00B83FB2"/>
    <w:rsid w:val="00B8445F"/>
    <w:rsid w:val="00B84B6E"/>
    <w:rsid w:val="00B8512C"/>
    <w:rsid w:val="00B85841"/>
    <w:rsid w:val="00B860AA"/>
    <w:rsid w:val="00B861EE"/>
    <w:rsid w:val="00B8621D"/>
    <w:rsid w:val="00B8637C"/>
    <w:rsid w:val="00B86534"/>
    <w:rsid w:val="00B873C9"/>
    <w:rsid w:val="00B87541"/>
    <w:rsid w:val="00B87C07"/>
    <w:rsid w:val="00B90020"/>
    <w:rsid w:val="00B90092"/>
    <w:rsid w:val="00B90129"/>
    <w:rsid w:val="00B904EC"/>
    <w:rsid w:val="00B90AA4"/>
    <w:rsid w:val="00B90C36"/>
    <w:rsid w:val="00B911C0"/>
    <w:rsid w:val="00B91387"/>
    <w:rsid w:val="00B9210D"/>
    <w:rsid w:val="00B924F8"/>
    <w:rsid w:val="00B928D7"/>
    <w:rsid w:val="00B93478"/>
    <w:rsid w:val="00B93617"/>
    <w:rsid w:val="00B93AFF"/>
    <w:rsid w:val="00B93B0C"/>
    <w:rsid w:val="00B94827"/>
    <w:rsid w:val="00B962D0"/>
    <w:rsid w:val="00B9651D"/>
    <w:rsid w:val="00B97031"/>
    <w:rsid w:val="00B975C4"/>
    <w:rsid w:val="00B9773B"/>
    <w:rsid w:val="00B977FE"/>
    <w:rsid w:val="00B97E51"/>
    <w:rsid w:val="00B97E74"/>
    <w:rsid w:val="00BA0BC6"/>
    <w:rsid w:val="00BA0CBD"/>
    <w:rsid w:val="00BA1063"/>
    <w:rsid w:val="00BA1214"/>
    <w:rsid w:val="00BA1976"/>
    <w:rsid w:val="00BA1B19"/>
    <w:rsid w:val="00BA1E4E"/>
    <w:rsid w:val="00BA3007"/>
    <w:rsid w:val="00BA32C5"/>
    <w:rsid w:val="00BA3754"/>
    <w:rsid w:val="00BA3ECC"/>
    <w:rsid w:val="00BA4152"/>
    <w:rsid w:val="00BA4AFA"/>
    <w:rsid w:val="00BA4BA0"/>
    <w:rsid w:val="00BA687C"/>
    <w:rsid w:val="00BA6949"/>
    <w:rsid w:val="00BA70BC"/>
    <w:rsid w:val="00BA727B"/>
    <w:rsid w:val="00BA7780"/>
    <w:rsid w:val="00BA7972"/>
    <w:rsid w:val="00BA7981"/>
    <w:rsid w:val="00BA7C55"/>
    <w:rsid w:val="00BB04C0"/>
    <w:rsid w:val="00BB0686"/>
    <w:rsid w:val="00BB07F7"/>
    <w:rsid w:val="00BB0DCE"/>
    <w:rsid w:val="00BB1235"/>
    <w:rsid w:val="00BB1CB0"/>
    <w:rsid w:val="00BB1ECA"/>
    <w:rsid w:val="00BB2AF0"/>
    <w:rsid w:val="00BB2C77"/>
    <w:rsid w:val="00BB2D5C"/>
    <w:rsid w:val="00BB2DDF"/>
    <w:rsid w:val="00BB2DFD"/>
    <w:rsid w:val="00BB3B95"/>
    <w:rsid w:val="00BB3C69"/>
    <w:rsid w:val="00BB3E97"/>
    <w:rsid w:val="00BB4275"/>
    <w:rsid w:val="00BB447C"/>
    <w:rsid w:val="00BB4606"/>
    <w:rsid w:val="00BB4D6D"/>
    <w:rsid w:val="00BB5397"/>
    <w:rsid w:val="00BB599C"/>
    <w:rsid w:val="00BB64FE"/>
    <w:rsid w:val="00BB73FB"/>
    <w:rsid w:val="00BB79F9"/>
    <w:rsid w:val="00BB7F98"/>
    <w:rsid w:val="00BC0078"/>
    <w:rsid w:val="00BC02CF"/>
    <w:rsid w:val="00BC05AA"/>
    <w:rsid w:val="00BC06FC"/>
    <w:rsid w:val="00BC088D"/>
    <w:rsid w:val="00BC0C8C"/>
    <w:rsid w:val="00BC0E9F"/>
    <w:rsid w:val="00BC106A"/>
    <w:rsid w:val="00BC1424"/>
    <w:rsid w:val="00BC18A6"/>
    <w:rsid w:val="00BC1C8D"/>
    <w:rsid w:val="00BC1EDC"/>
    <w:rsid w:val="00BC2809"/>
    <w:rsid w:val="00BC2E4F"/>
    <w:rsid w:val="00BC30CD"/>
    <w:rsid w:val="00BC3241"/>
    <w:rsid w:val="00BC37C5"/>
    <w:rsid w:val="00BC40CC"/>
    <w:rsid w:val="00BC42FE"/>
    <w:rsid w:val="00BC4941"/>
    <w:rsid w:val="00BC5A8E"/>
    <w:rsid w:val="00BC5B03"/>
    <w:rsid w:val="00BC6F90"/>
    <w:rsid w:val="00BC764C"/>
    <w:rsid w:val="00BD008D"/>
    <w:rsid w:val="00BD00AE"/>
    <w:rsid w:val="00BD04C2"/>
    <w:rsid w:val="00BD0538"/>
    <w:rsid w:val="00BD098A"/>
    <w:rsid w:val="00BD0E25"/>
    <w:rsid w:val="00BD1243"/>
    <w:rsid w:val="00BD16CF"/>
    <w:rsid w:val="00BD16D5"/>
    <w:rsid w:val="00BD1871"/>
    <w:rsid w:val="00BD18DF"/>
    <w:rsid w:val="00BD1A2F"/>
    <w:rsid w:val="00BD1B19"/>
    <w:rsid w:val="00BD1F7A"/>
    <w:rsid w:val="00BD22BB"/>
    <w:rsid w:val="00BD25E7"/>
    <w:rsid w:val="00BD2696"/>
    <w:rsid w:val="00BD2868"/>
    <w:rsid w:val="00BD2A3C"/>
    <w:rsid w:val="00BD3663"/>
    <w:rsid w:val="00BD437A"/>
    <w:rsid w:val="00BD4407"/>
    <w:rsid w:val="00BD45D3"/>
    <w:rsid w:val="00BD4F62"/>
    <w:rsid w:val="00BD4F77"/>
    <w:rsid w:val="00BD5172"/>
    <w:rsid w:val="00BD6064"/>
    <w:rsid w:val="00BD6179"/>
    <w:rsid w:val="00BD6BE7"/>
    <w:rsid w:val="00BD6DA6"/>
    <w:rsid w:val="00BD70C4"/>
    <w:rsid w:val="00BD7467"/>
    <w:rsid w:val="00BD7520"/>
    <w:rsid w:val="00BD75F1"/>
    <w:rsid w:val="00BD78AF"/>
    <w:rsid w:val="00BD7C54"/>
    <w:rsid w:val="00BE0A50"/>
    <w:rsid w:val="00BE0AD2"/>
    <w:rsid w:val="00BE176F"/>
    <w:rsid w:val="00BE1A74"/>
    <w:rsid w:val="00BE1A78"/>
    <w:rsid w:val="00BE1BF7"/>
    <w:rsid w:val="00BE1E4C"/>
    <w:rsid w:val="00BE22AC"/>
    <w:rsid w:val="00BE2D28"/>
    <w:rsid w:val="00BE2F5F"/>
    <w:rsid w:val="00BE3046"/>
    <w:rsid w:val="00BE3292"/>
    <w:rsid w:val="00BE330F"/>
    <w:rsid w:val="00BE366D"/>
    <w:rsid w:val="00BE3756"/>
    <w:rsid w:val="00BE4321"/>
    <w:rsid w:val="00BE44DD"/>
    <w:rsid w:val="00BE45E9"/>
    <w:rsid w:val="00BE4A1B"/>
    <w:rsid w:val="00BE51B7"/>
    <w:rsid w:val="00BE5DC5"/>
    <w:rsid w:val="00BE6643"/>
    <w:rsid w:val="00BE73D3"/>
    <w:rsid w:val="00BE7444"/>
    <w:rsid w:val="00BE75C2"/>
    <w:rsid w:val="00BE7B6C"/>
    <w:rsid w:val="00BF07A9"/>
    <w:rsid w:val="00BF0E17"/>
    <w:rsid w:val="00BF100A"/>
    <w:rsid w:val="00BF1600"/>
    <w:rsid w:val="00BF19CC"/>
    <w:rsid w:val="00BF1B7F"/>
    <w:rsid w:val="00BF1BAF"/>
    <w:rsid w:val="00BF217C"/>
    <w:rsid w:val="00BF2352"/>
    <w:rsid w:val="00BF2A92"/>
    <w:rsid w:val="00BF2B92"/>
    <w:rsid w:val="00BF36D8"/>
    <w:rsid w:val="00BF381A"/>
    <w:rsid w:val="00BF39DB"/>
    <w:rsid w:val="00BF48DA"/>
    <w:rsid w:val="00BF50FE"/>
    <w:rsid w:val="00BF5858"/>
    <w:rsid w:val="00BF666E"/>
    <w:rsid w:val="00BF714D"/>
    <w:rsid w:val="00BF714F"/>
    <w:rsid w:val="00BF7380"/>
    <w:rsid w:val="00BF7753"/>
    <w:rsid w:val="00BF7774"/>
    <w:rsid w:val="00C00773"/>
    <w:rsid w:val="00C00CD5"/>
    <w:rsid w:val="00C01452"/>
    <w:rsid w:val="00C01E8A"/>
    <w:rsid w:val="00C02247"/>
    <w:rsid w:val="00C022C7"/>
    <w:rsid w:val="00C0277A"/>
    <w:rsid w:val="00C02F66"/>
    <w:rsid w:val="00C034F6"/>
    <w:rsid w:val="00C035CB"/>
    <w:rsid w:val="00C0365F"/>
    <w:rsid w:val="00C03B64"/>
    <w:rsid w:val="00C04D5E"/>
    <w:rsid w:val="00C05678"/>
    <w:rsid w:val="00C05E66"/>
    <w:rsid w:val="00C06306"/>
    <w:rsid w:val="00C06B05"/>
    <w:rsid w:val="00C07286"/>
    <w:rsid w:val="00C07E57"/>
    <w:rsid w:val="00C104E5"/>
    <w:rsid w:val="00C10D4B"/>
    <w:rsid w:val="00C1176C"/>
    <w:rsid w:val="00C11B1E"/>
    <w:rsid w:val="00C128B9"/>
    <w:rsid w:val="00C13055"/>
    <w:rsid w:val="00C131AF"/>
    <w:rsid w:val="00C133FE"/>
    <w:rsid w:val="00C1356E"/>
    <w:rsid w:val="00C13573"/>
    <w:rsid w:val="00C140A6"/>
    <w:rsid w:val="00C147A1"/>
    <w:rsid w:val="00C15275"/>
    <w:rsid w:val="00C15FE6"/>
    <w:rsid w:val="00C162AF"/>
    <w:rsid w:val="00C16E39"/>
    <w:rsid w:val="00C17C4B"/>
    <w:rsid w:val="00C17EA9"/>
    <w:rsid w:val="00C17F89"/>
    <w:rsid w:val="00C20E46"/>
    <w:rsid w:val="00C2139E"/>
    <w:rsid w:val="00C21B1B"/>
    <w:rsid w:val="00C22506"/>
    <w:rsid w:val="00C22E7C"/>
    <w:rsid w:val="00C22EF0"/>
    <w:rsid w:val="00C23725"/>
    <w:rsid w:val="00C237CD"/>
    <w:rsid w:val="00C23A30"/>
    <w:rsid w:val="00C23AEB"/>
    <w:rsid w:val="00C2434D"/>
    <w:rsid w:val="00C256A1"/>
    <w:rsid w:val="00C25986"/>
    <w:rsid w:val="00C265F1"/>
    <w:rsid w:val="00C26BE9"/>
    <w:rsid w:val="00C26D73"/>
    <w:rsid w:val="00C26F35"/>
    <w:rsid w:val="00C26F80"/>
    <w:rsid w:val="00C27197"/>
    <w:rsid w:val="00C30368"/>
    <w:rsid w:val="00C30869"/>
    <w:rsid w:val="00C31B77"/>
    <w:rsid w:val="00C31C45"/>
    <w:rsid w:val="00C32214"/>
    <w:rsid w:val="00C3246B"/>
    <w:rsid w:val="00C3292A"/>
    <w:rsid w:val="00C3297E"/>
    <w:rsid w:val="00C3339A"/>
    <w:rsid w:val="00C33B42"/>
    <w:rsid w:val="00C33C10"/>
    <w:rsid w:val="00C34151"/>
    <w:rsid w:val="00C34205"/>
    <w:rsid w:val="00C3456D"/>
    <w:rsid w:val="00C358B2"/>
    <w:rsid w:val="00C35B79"/>
    <w:rsid w:val="00C37736"/>
    <w:rsid w:val="00C378C0"/>
    <w:rsid w:val="00C37B91"/>
    <w:rsid w:val="00C400D1"/>
    <w:rsid w:val="00C4073B"/>
    <w:rsid w:val="00C40C0C"/>
    <w:rsid w:val="00C40D2B"/>
    <w:rsid w:val="00C40DCC"/>
    <w:rsid w:val="00C42027"/>
    <w:rsid w:val="00C42986"/>
    <w:rsid w:val="00C42B14"/>
    <w:rsid w:val="00C42F0A"/>
    <w:rsid w:val="00C43513"/>
    <w:rsid w:val="00C44AB9"/>
    <w:rsid w:val="00C44D41"/>
    <w:rsid w:val="00C44D43"/>
    <w:rsid w:val="00C45DAB"/>
    <w:rsid w:val="00C466E0"/>
    <w:rsid w:val="00C46DDF"/>
    <w:rsid w:val="00C501FB"/>
    <w:rsid w:val="00C504F4"/>
    <w:rsid w:val="00C50521"/>
    <w:rsid w:val="00C50FA1"/>
    <w:rsid w:val="00C51960"/>
    <w:rsid w:val="00C51D71"/>
    <w:rsid w:val="00C52DEA"/>
    <w:rsid w:val="00C52FA1"/>
    <w:rsid w:val="00C53816"/>
    <w:rsid w:val="00C5394D"/>
    <w:rsid w:val="00C53AFB"/>
    <w:rsid w:val="00C53BF9"/>
    <w:rsid w:val="00C53D38"/>
    <w:rsid w:val="00C53D66"/>
    <w:rsid w:val="00C542BA"/>
    <w:rsid w:val="00C5432A"/>
    <w:rsid w:val="00C54CDD"/>
    <w:rsid w:val="00C55942"/>
    <w:rsid w:val="00C559E6"/>
    <w:rsid w:val="00C55C38"/>
    <w:rsid w:val="00C55F19"/>
    <w:rsid w:val="00C560E4"/>
    <w:rsid w:val="00C56C77"/>
    <w:rsid w:val="00C57220"/>
    <w:rsid w:val="00C575ED"/>
    <w:rsid w:val="00C57949"/>
    <w:rsid w:val="00C60707"/>
    <w:rsid w:val="00C607BB"/>
    <w:rsid w:val="00C61AF4"/>
    <w:rsid w:val="00C627D3"/>
    <w:rsid w:val="00C6288B"/>
    <w:rsid w:val="00C63237"/>
    <w:rsid w:val="00C63308"/>
    <w:rsid w:val="00C6333B"/>
    <w:rsid w:val="00C63648"/>
    <w:rsid w:val="00C63D07"/>
    <w:rsid w:val="00C644E4"/>
    <w:rsid w:val="00C64935"/>
    <w:rsid w:val="00C649C6"/>
    <w:rsid w:val="00C64DC0"/>
    <w:rsid w:val="00C64FC0"/>
    <w:rsid w:val="00C65081"/>
    <w:rsid w:val="00C6569B"/>
    <w:rsid w:val="00C656FB"/>
    <w:rsid w:val="00C65AF7"/>
    <w:rsid w:val="00C65F24"/>
    <w:rsid w:val="00C66218"/>
    <w:rsid w:val="00C662BC"/>
    <w:rsid w:val="00C66494"/>
    <w:rsid w:val="00C664F9"/>
    <w:rsid w:val="00C66F23"/>
    <w:rsid w:val="00C702D6"/>
    <w:rsid w:val="00C70616"/>
    <w:rsid w:val="00C70D38"/>
    <w:rsid w:val="00C70EAC"/>
    <w:rsid w:val="00C712E7"/>
    <w:rsid w:val="00C71722"/>
    <w:rsid w:val="00C719FC"/>
    <w:rsid w:val="00C72615"/>
    <w:rsid w:val="00C73D46"/>
    <w:rsid w:val="00C73DEE"/>
    <w:rsid w:val="00C75FEB"/>
    <w:rsid w:val="00C76000"/>
    <w:rsid w:val="00C762FB"/>
    <w:rsid w:val="00C769D0"/>
    <w:rsid w:val="00C76FEF"/>
    <w:rsid w:val="00C770F5"/>
    <w:rsid w:val="00C7757D"/>
    <w:rsid w:val="00C80375"/>
    <w:rsid w:val="00C803E9"/>
    <w:rsid w:val="00C804B5"/>
    <w:rsid w:val="00C80669"/>
    <w:rsid w:val="00C80B2D"/>
    <w:rsid w:val="00C80BB1"/>
    <w:rsid w:val="00C81004"/>
    <w:rsid w:val="00C81020"/>
    <w:rsid w:val="00C81E24"/>
    <w:rsid w:val="00C822E7"/>
    <w:rsid w:val="00C82C84"/>
    <w:rsid w:val="00C836A2"/>
    <w:rsid w:val="00C83DBE"/>
    <w:rsid w:val="00C84336"/>
    <w:rsid w:val="00C84724"/>
    <w:rsid w:val="00C8570C"/>
    <w:rsid w:val="00C85840"/>
    <w:rsid w:val="00C85DE9"/>
    <w:rsid w:val="00C86082"/>
    <w:rsid w:val="00C86467"/>
    <w:rsid w:val="00C866C0"/>
    <w:rsid w:val="00C86BC5"/>
    <w:rsid w:val="00C90EB5"/>
    <w:rsid w:val="00C91710"/>
    <w:rsid w:val="00C91A6E"/>
    <w:rsid w:val="00C91F30"/>
    <w:rsid w:val="00C927B1"/>
    <w:rsid w:val="00C92A55"/>
    <w:rsid w:val="00C93FF5"/>
    <w:rsid w:val="00C948EF"/>
    <w:rsid w:val="00C94B4F"/>
    <w:rsid w:val="00C9555B"/>
    <w:rsid w:val="00C95CFE"/>
    <w:rsid w:val="00C962E4"/>
    <w:rsid w:val="00C96487"/>
    <w:rsid w:val="00C96E8E"/>
    <w:rsid w:val="00C96FBA"/>
    <w:rsid w:val="00C97350"/>
    <w:rsid w:val="00C9757E"/>
    <w:rsid w:val="00CA036A"/>
    <w:rsid w:val="00CA0868"/>
    <w:rsid w:val="00CA0875"/>
    <w:rsid w:val="00CA110B"/>
    <w:rsid w:val="00CA112C"/>
    <w:rsid w:val="00CA1800"/>
    <w:rsid w:val="00CA1B66"/>
    <w:rsid w:val="00CA1D04"/>
    <w:rsid w:val="00CA2B4B"/>
    <w:rsid w:val="00CA2C12"/>
    <w:rsid w:val="00CA2F53"/>
    <w:rsid w:val="00CA3EBE"/>
    <w:rsid w:val="00CA3F5D"/>
    <w:rsid w:val="00CA5402"/>
    <w:rsid w:val="00CA574F"/>
    <w:rsid w:val="00CA5985"/>
    <w:rsid w:val="00CA6038"/>
    <w:rsid w:val="00CA611C"/>
    <w:rsid w:val="00CA6801"/>
    <w:rsid w:val="00CA68E2"/>
    <w:rsid w:val="00CA6D67"/>
    <w:rsid w:val="00CA795F"/>
    <w:rsid w:val="00CA7AF8"/>
    <w:rsid w:val="00CA7BC6"/>
    <w:rsid w:val="00CB0087"/>
    <w:rsid w:val="00CB0D26"/>
    <w:rsid w:val="00CB146E"/>
    <w:rsid w:val="00CB1594"/>
    <w:rsid w:val="00CB1830"/>
    <w:rsid w:val="00CB1A79"/>
    <w:rsid w:val="00CB1CCE"/>
    <w:rsid w:val="00CB1F85"/>
    <w:rsid w:val="00CB2743"/>
    <w:rsid w:val="00CB2CA6"/>
    <w:rsid w:val="00CB2E49"/>
    <w:rsid w:val="00CB316B"/>
    <w:rsid w:val="00CB3612"/>
    <w:rsid w:val="00CB380A"/>
    <w:rsid w:val="00CB48ED"/>
    <w:rsid w:val="00CB4C7B"/>
    <w:rsid w:val="00CB4CD9"/>
    <w:rsid w:val="00CB5396"/>
    <w:rsid w:val="00CB55A7"/>
    <w:rsid w:val="00CB569D"/>
    <w:rsid w:val="00CB5CBD"/>
    <w:rsid w:val="00CB5DD0"/>
    <w:rsid w:val="00CB5F5B"/>
    <w:rsid w:val="00CB600D"/>
    <w:rsid w:val="00CB6625"/>
    <w:rsid w:val="00CB6888"/>
    <w:rsid w:val="00CB6A2B"/>
    <w:rsid w:val="00CB6D02"/>
    <w:rsid w:val="00CB6F70"/>
    <w:rsid w:val="00CB712A"/>
    <w:rsid w:val="00CB73AC"/>
    <w:rsid w:val="00CB79A3"/>
    <w:rsid w:val="00CB7C55"/>
    <w:rsid w:val="00CB7F42"/>
    <w:rsid w:val="00CC021D"/>
    <w:rsid w:val="00CC0A3F"/>
    <w:rsid w:val="00CC0BB0"/>
    <w:rsid w:val="00CC0C4F"/>
    <w:rsid w:val="00CC0EE1"/>
    <w:rsid w:val="00CC1261"/>
    <w:rsid w:val="00CC12F6"/>
    <w:rsid w:val="00CC19F2"/>
    <w:rsid w:val="00CC1AB6"/>
    <w:rsid w:val="00CC20A1"/>
    <w:rsid w:val="00CC2842"/>
    <w:rsid w:val="00CC2A4B"/>
    <w:rsid w:val="00CC2F6C"/>
    <w:rsid w:val="00CC3005"/>
    <w:rsid w:val="00CC39C0"/>
    <w:rsid w:val="00CC4078"/>
    <w:rsid w:val="00CC4164"/>
    <w:rsid w:val="00CC422C"/>
    <w:rsid w:val="00CC43ED"/>
    <w:rsid w:val="00CC4B40"/>
    <w:rsid w:val="00CC4DC7"/>
    <w:rsid w:val="00CC51A9"/>
    <w:rsid w:val="00CC5485"/>
    <w:rsid w:val="00CC5C5E"/>
    <w:rsid w:val="00CC6170"/>
    <w:rsid w:val="00CC6685"/>
    <w:rsid w:val="00CC6787"/>
    <w:rsid w:val="00CC69A2"/>
    <w:rsid w:val="00CC6DB6"/>
    <w:rsid w:val="00CC7207"/>
    <w:rsid w:val="00CC7B6F"/>
    <w:rsid w:val="00CC7DAA"/>
    <w:rsid w:val="00CC7F5A"/>
    <w:rsid w:val="00CD0363"/>
    <w:rsid w:val="00CD096D"/>
    <w:rsid w:val="00CD0AD2"/>
    <w:rsid w:val="00CD0C63"/>
    <w:rsid w:val="00CD144A"/>
    <w:rsid w:val="00CD1613"/>
    <w:rsid w:val="00CD180F"/>
    <w:rsid w:val="00CD204C"/>
    <w:rsid w:val="00CD205B"/>
    <w:rsid w:val="00CD2F2A"/>
    <w:rsid w:val="00CD3495"/>
    <w:rsid w:val="00CD3C55"/>
    <w:rsid w:val="00CD3F1E"/>
    <w:rsid w:val="00CD4AE9"/>
    <w:rsid w:val="00CD4B05"/>
    <w:rsid w:val="00CD5917"/>
    <w:rsid w:val="00CD70E0"/>
    <w:rsid w:val="00CD762D"/>
    <w:rsid w:val="00CD7F0C"/>
    <w:rsid w:val="00CE0151"/>
    <w:rsid w:val="00CE0531"/>
    <w:rsid w:val="00CE0935"/>
    <w:rsid w:val="00CE0AF3"/>
    <w:rsid w:val="00CE12F1"/>
    <w:rsid w:val="00CE1479"/>
    <w:rsid w:val="00CE1729"/>
    <w:rsid w:val="00CE17C4"/>
    <w:rsid w:val="00CE1A69"/>
    <w:rsid w:val="00CE1CDA"/>
    <w:rsid w:val="00CE1F6D"/>
    <w:rsid w:val="00CE2151"/>
    <w:rsid w:val="00CE28C2"/>
    <w:rsid w:val="00CE2B7F"/>
    <w:rsid w:val="00CE2C62"/>
    <w:rsid w:val="00CE4466"/>
    <w:rsid w:val="00CE5A74"/>
    <w:rsid w:val="00CE5D79"/>
    <w:rsid w:val="00CE6904"/>
    <w:rsid w:val="00CE6D03"/>
    <w:rsid w:val="00CE74B0"/>
    <w:rsid w:val="00CF0095"/>
    <w:rsid w:val="00CF01A0"/>
    <w:rsid w:val="00CF0554"/>
    <w:rsid w:val="00CF09AB"/>
    <w:rsid w:val="00CF113E"/>
    <w:rsid w:val="00CF1820"/>
    <w:rsid w:val="00CF1CE5"/>
    <w:rsid w:val="00CF25E7"/>
    <w:rsid w:val="00CF2645"/>
    <w:rsid w:val="00CF2A28"/>
    <w:rsid w:val="00CF2C7E"/>
    <w:rsid w:val="00CF2CFA"/>
    <w:rsid w:val="00CF3AC5"/>
    <w:rsid w:val="00CF3C51"/>
    <w:rsid w:val="00CF42EC"/>
    <w:rsid w:val="00CF43C7"/>
    <w:rsid w:val="00CF4CCF"/>
    <w:rsid w:val="00CF5806"/>
    <w:rsid w:val="00CF595A"/>
    <w:rsid w:val="00CF59B6"/>
    <w:rsid w:val="00CF635D"/>
    <w:rsid w:val="00CF665F"/>
    <w:rsid w:val="00CF6669"/>
    <w:rsid w:val="00CF6A8C"/>
    <w:rsid w:val="00CF7159"/>
    <w:rsid w:val="00CF74AC"/>
    <w:rsid w:val="00CF7796"/>
    <w:rsid w:val="00CF781B"/>
    <w:rsid w:val="00CF7AE0"/>
    <w:rsid w:val="00CF7E42"/>
    <w:rsid w:val="00D00481"/>
    <w:rsid w:val="00D00F89"/>
    <w:rsid w:val="00D010B4"/>
    <w:rsid w:val="00D01CD3"/>
    <w:rsid w:val="00D02610"/>
    <w:rsid w:val="00D02969"/>
    <w:rsid w:val="00D0344C"/>
    <w:rsid w:val="00D036E1"/>
    <w:rsid w:val="00D0427C"/>
    <w:rsid w:val="00D04F2D"/>
    <w:rsid w:val="00D051F6"/>
    <w:rsid w:val="00D057FB"/>
    <w:rsid w:val="00D05C2A"/>
    <w:rsid w:val="00D05E21"/>
    <w:rsid w:val="00D05E73"/>
    <w:rsid w:val="00D060F2"/>
    <w:rsid w:val="00D060F7"/>
    <w:rsid w:val="00D06509"/>
    <w:rsid w:val="00D0652C"/>
    <w:rsid w:val="00D06783"/>
    <w:rsid w:val="00D06A22"/>
    <w:rsid w:val="00D06A42"/>
    <w:rsid w:val="00D06C46"/>
    <w:rsid w:val="00D06D55"/>
    <w:rsid w:val="00D07272"/>
    <w:rsid w:val="00D074E4"/>
    <w:rsid w:val="00D07C79"/>
    <w:rsid w:val="00D07E04"/>
    <w:rsid w:val="00D07EE6"/>
    <w:rsid w:val="00D07F9C"/>
    <w:rsid w:val="00D103C9"/>
    <w:rsid w:val="00D107B5"/>
    <w:rsid w:val="00D10A06"/>
    <w:rsid w:val="00D10CE8"/>
    <w:rsid w:val="00D114AB"/>
    <w:rsid w:val="00D11B8C"/>
    <w:rsid w:val="00D11C23"/>
    <w:rsid w:val="00D12B02"/>
    <w:rsid w:val="00D12BF5"/>
    <w:rsid w:val="00D14680"/>
    <w:rsid w:val="00D14C06"/>
    <w:rsid w:val="00D14E98"/>
    <w:rsid w:val="00D15147"/>
    <w:rsid w:val="00D1544E"/>
    <w:rsid w:val="00D1558B"/>
    <w:rsid w:val="00D15940"/>
    <w:rsid w:val="00D159FD"/>
    <w:rsid w:val="00D15ECB"/>
    <w:rsid w:val="00D1703D"/>
    <w:rsid w:val="00D179DD"/>
    <w:rsid w:val="00D201EE"/>
    <w:rsid w:val="00D21DB7"/>
    <w:rsid w:val="00D225EA"/>
    <w:rsid w:val="00D22B27"/>
    <w:rsid w:val="00D235A5"/>
    <w:rsid w:val="00D2460C"/>
    <w:rsid w:val="00D25904"/>
    <w:rsid w:val="00D25F49"/>
    <w:rsid w:val="00D263F0"/>
    <w:rsid w:val="00D26500"/>
    <w:rsid w:val="00D26630"/>
    <w:rsid w:val="00D26E5A"/>
    <w:rsid w:val="00D2707C"/>
    <w:rsid w:val="00D27A35"/>
    <w:rsid w:val="00D27F74"/>
    <w:rsid w:val="00D27FF8"/>
    <w:rsid w:val="00D303F5"/>
    <w:rsid w:val="00D3054E"/>
    <w:rsid w:val="00D30A73"/>
    <w:rsid w:val="00D30C52"/>
    <w:rsid w:val="00D30E13"/>
    <w:rsid w:val="00D30E5C"/>
    <w:rsid w:val="00D319DA"/>
    <w:rsid w:val="00D3260F"/>
    <w:rsid w:val="00D327F4"/>
    <w:rsid w:val="00D329F2"/>
    <w:rsid w:val="00D32E5A"/>
    <w:rsid w:val="00D33BA6"/>
    <w:rsid w:val="00D33C8E"/>
    <w:rsid w:val="00D33CED"/>
    <w:rsid w:val="00D34007"/>
    <w:rsid w:val="00D34134"/>
    <w:rsid w:val="00D3460D"/>
    <w:rsid w:val="00D3467F"/>
    <w:rsid w:val="00D368F0"/>
    <w:rsid w:val="00D36FCB"/>
    <w:rsid w:val="00D406CE"/>
    <w:rsid w:val="00D4138A"/>
    <w:rsid w:val="00D42091"/>
    <w:rsid w:val="00D42CAD"/>
    <w:rsid w:val="00D42D17"/>
    <w:rsid w:val="00D44936"/>
    <w:rsid w:val="00D4582A"/>
    <w:rsid w:val="00D464DB"/>
    <w:rsid w:val="00D46B0B"/>
    <w:rsid w:val="00D472D8"/>
    <w:rsid w:val="00D47571"/>
    <w:rsid w:val="00D475B9"/>
    <w:rsid w:val="00D478F9"/>
    <w:rsid w:val="00D500F1"/>
    <w:rsid w:val="00D50597"/>
    <w:rsid w:val="00D50753"/>
    <w:rsid w:val="00D508DA"/>
    <w:rsid w:val="00D50CFB"/>
    <w:rsid w:val="00D50D37"/>
    <w:rsid w:val="00D50D71"/>
    <w:rsid w:val="00D511DB"/>
    <w:rsid w:val="00D51298"/>
    <w:rsid w:val="00D520F4"/>
    <w:rsid w:val="00D52600"/>
    <w:rsid w:val="00D52879"/>
    <w:rsid w:val="00D52AFD"/>
    <w:rsid w:val="00D52DDA"/>
    <w:rsid w:val="00D537BD"/>
    <w:rsid w:val="00D54722"/>
    <w:rsid w:val="00D5483B"/>
    <w:rsid w:val="00D54D1F"/>
    <w:rsid w:val="00D54E6E"/>
    <w:rsid w:val="00D5507B"/>
    <w:rsid w:val="00D55617"/>
    <w:rsid w:val="00D56431"/>
    <w:rsid w:val="00D564F5"/>
    <w:rsid w:val="00D56992"/>
    <w:rsid w:val="00D57538"/>
    <w:rsid w:val="00D576D4"/>
    <w:rsid w:val="00D579DF"/>
    <w:rsid w:val="00D60304"/>
    <w:rsid w:val="00D6047D"/>
    <w:rsid w:val="00D60921"/>
    <w:rsid w:val="00D6151D"/>
    <w:rsid w:val="00D61AD1"/>
    <w:rsid w:val="00D62020"/>
    <w:rsid w:val="00D624B9"/>
    <w:rsid w:val="00D62816"/>
    <w:rsid w:val="00D62CA6"/>
    <w:rsid w:val="00D631AB"/>
    <w:rsid w:val="00D631FA"/>
    <w:rsid w:val="00D64305"/>
    <w:rsid w:val="00D645B4"/>
    <w:rsid w:val="00D649F9"/>
    <w:rsid w:val="00D64A57"/>
    <w:rsid w:val="00D64BAF"/>
    <w:rsid w:val="00D64E42"/>
    <w:rsid w:val="00D65452"/>
    <w:rsid w:val="00D65AB5"/>
    <w:rsid w:val="00D65C2C"/>
    <w:rsid w:val="00D661AE"/>
    <w:rsid w:val="00D66EE0"/>
    <w:rsid w:val="00D6763D"/>
    <w:rsid w:val="00D678B8"/>
    <w:rsid w:val="00D679B8"/>
    <w:rsid w:val="00D67F33"/>
    <w:rsid w:val="00D7090C"/>
    <w:rsid w:val="00D713E8"/>
    <w:rsid w:val="00D715E9"/>
    <w:rsid w:val="00D71949"/>
    <w:rsid w:val="00D71C5A"/>
    <w:rsid w:val="00D7223C"/>
    <w:rsid w:val="00D722AD"/>
    <w:rsid w:val="00D72685"/>
    <w:rsid w:val="00D7293D"/>
    <w:rsid w:val="00D738A5"/>
    <w:rsid w:val="00D73ED7"/>
    <w:rsid w:val="00D73EDE"/>
    <w:rsid w:val="00D752E9"/>
    <w:rsid w:val="00D752ED"/>
    <w:rsid w:val="00D75B42"/>
    <w:rsid w:val="00D76F57"/>
    <w:rsid w:val="00D800E9"/>
    <w:rsid w:val="00D8056B"/>
    <w:rsid w:val="00D805A4"/>
    <w:rsid w:val="00D80A43"/>
    <w:rsid w:val="00D8102E"/>
    <w:rsid w:val="00D8117C"/>
    <w:rsid w:val="00D822F5"/>
    <w:rsid w:val="00D826E8"/>
    <w:rsid w:val="00D83364"/>
    <w:rsid w:val="00D8386B"/>
    <w:rsid w:val="00D83E3D"/>
    <w:rsid w:val="00D8411E"/>
    <w:rsid w:val="00D84488"/>
    <w:rsid w:val="00D84B1E"/>
    <w:rsid w:val="00D8504A"/>
    <w:rsid w:val="00D85519"/>
    <w:rsid w:val="00D856F5"/>
    <w:rsid w:val="00D859D9"/>
    <w:rsid w:val="00D85BF7"/>
    <w:rsid w:val="00D85E1A"/>
    <w:rsid w:val="00D86140"/>
    <w:rsid w:val="00D863EB"/>
    <w:rsid w:val="00D86D81"/>
    <w:rsid w:val="00D87D79"/>
    <w:rsid w:val="00D90A2E"/>
    <w:rsid w:val="00D9195F"/>
    <w:rsid w:val="00D92420"/>
    <w:rsid w:val="00D9286A"/>
    <w:rsid w:val="00D92C5E"/>
    <w:rsid w:val="00D92C83"/>
    <w:rsid w:val="00D92FFC"/>
    <w:rsid w:val="00D93690"/>
    <w:rsid w:val="00D939E0"/>
    <w:rsid w:val="00D93B38"/>
    <w:rsid w:val="00D93F53"/>
    <w:rsid w:val="00D94B45"/>
    <w:rsid w:val="00D94C80"/>
    <w:rsid w:val="00D94D6C"/>
    <w:rsid w:val="00D959C5"/>
    <w:rsid w:val="00D95DC2"/>
    <w:rsid w:val="00D96495"/>
    <w:rsid w:val="00D96BA0"/>
    <w:rsid w:val="00D96BF2"/>
    <w:rsid w:val="00D96D22"/>
    <w:rsid w:val="00D97616"/>
    <w:rsid w:val="00D97CBD"/>
    <w:rsid w:val="00DA0DBF"/>
    <w:rsid w:val="00DA0F7B"/>
    <w:rsid w:val="00DA1080"/>
    <w:rsid w:val="00DA114E"/>
    <w:rsid w:val="00DA1780"/>
    <w:rsid w:val="00DA199D"/>
    <w:rsid w:val="00DA1C53"/>
    <w:rsid w:val="00DA1DD0"/>
    <w:rsid w:val="00DA20C0"/>
    <w:rsid w:val="00DA2570"/>
    <w:rsid w:val="00DA2E04"/>
    <w:rsid w:val="00DA2FD0"/>
    <w:rsid w:val="00DA34AA"/>
    <w:rsid w:val="00DA39AE"/>
    <w:rsid w:val="00DA49B4"/>
    <w:rsid w:val="00DA4C9E"/>
    <w:rsid w:val="00DA4E7C"/>
    <w:rsid w:val="00DA4F17"/>
    <w:rsid w:val="00DA5298"/>
    <w:rsid w:val="00DA54C0"/>
    <w:rsid w:val="00DA594B"/>
    <w:rsid w:val="00DA63E7"/>
    <w:rsid w:val="00DA6B31"/>
    <w:rsid w:val="00DA762A"/>
    <w:rsid w:val="00DA7DEC"/>
    <w:rsid w:val="00DB02BD"/>
    <w:rsid w:val="00DB0C42"/>
    <w:rsid w:val="00DB1257"/>
    <w:rsid w:val="00DB1926"/>
    <w:rsid w:val="00DB28E7"/>
    <w:rsid w:val="00DB32D3"/>
    <w:rsid w:val="00DB360E"/>
    <w:rsid w:val="00DB393B"/>
    <w:rsid w:val="00DB3CDD"/>
    <w:rsid w:val="00DB3E5C"/>
    <w:rsid w:val="00DB4D24"/>
    <w:rsid w:val="00DB4E53"/>
    <w:rsid w:val="00DB584F"/>
    <w:rsid w:val="00DB5B40"/>
    <w:rsid w:val="00DB5BE4"/>
    <w:rsid w:val="00DB63F4"/>
    <w:rsid w:val="00DB6BC3"/>
    <w:rsid w:val="00DB6E5B"/>
    <w:rsid w:val="00DB7070"/>
    <w:rsid w:val="00DB73C1"/>
    <w:rsid w:val="00DB75A7"/>
    <w:rsid w:val="00DB7BB3"/>
    <w:rsid w:val="00DB7FDD"/>
    <w:rsid w:val="00DC0544"/>
    <w:rsid w:val="00DC0CB2"/>
    <w:rsid w:val="00DC0EB8"/>
    <w:rsid w:val="00DC1431"/>
    <w:rsid w:val="00DC177B"/>
    <w:rsid w:val="00DC1D32"/>
    <w:rsid w:val="00DC2701"/>
    <w:rsid w:val="00DC2D63"/>
    <w:rsid w:val="00DC3AD3"/>
    <w:rsid w:val="00DC3EC4"/>
    <w:rsid w:val="00DC4165"/>
    <w:rsid w:val="00DC4AB0"/>
    <w:rsid w:val="00DC521B"/>
    <w:rsid w:val="00DC6236"/>
    <w:rsid w:val="00DD0025"/>
    <w:rsid w:val="00DD027C"/>
    <w:rsid w:val="00DD0310"/>
    <w:rsid w:val="00DD0617"/>
    <w:rsid w:val="00DD065E"/>
    <w:rsid w:val="00DD0733"/>
    <w:rsid w:val="00DD0991"/>
    <w:rsid w:val="00DD0DCA"/>
    <w:rsid w:val="00DD1B71"/>
    <w:rsid w:val="00DD1CA5"/>
    <w:rsid w:val="00DD2179"/>
    <w:rsid w:val="00DD296B"/>
    <w:rsid w:val="00DD2A33"/>
    <w:rsid w:val="00DD306D"/>
    <w:rsid w:val="00DD34CA"/>
    <w:rsid w:val="00DD3792"/>
    <w:rsid w:val="00DD39D3"/>
    <w:rsid w:val="00DD3FBC"/>
    <w:rsid w:val="00DD4019"/>
    <w:rsid w:val="00DD4AF9"/>
    <w:rsid w:val="00DD4FA3"/>
    <w:rsid w:val="00DD5C1B"/>
    <w:rsid w:val="00DD6241"/>
    <w:rsid w:val="00DD663C"/>
    <w:rsid w:val="00DD7245"/>
    <w:rsid w:val="00DE078E"/>
    <w:rsid w:val="00DE119C"/>
    <w:rsid w:val="00DE133C"/>
    <w:rsid w:val="00DE18CF"/>
    <w:rsid w:val="00DE2619"/>
    <w:rsid w:val="00DE2B43"/>
    <w:rsid w:val="00DE2D86"/>
    <w:rsid w:val="00DE3B2C"/>
    <w:rsid w:val="00DE3C6B"/>
    <w:rsid w:val="00DE3DCA"/>
    <w:rsid w:val="00DE4CA1"/>
    <w:rsid w:val="00DE4CCE"/>
    <w:rsid w:val="00DE4CD3"/>
    <w:rsid w:val="00DE4D5C"/>
    <w:rsid w:val="00DE5582"/>
    <w:rsid w:val="00DE5E90"/>
    <w:rsid w:val="00DE650E"/>
    <w:rsid w:val="00DE69AC"/>
    <w:rsid w:val="00DE6AF3"/>
    <w:rsid w:val="00DE6F09"/>
    <w:rsid w:val="00DE70E2"/>
    <w:rsid w:val="00DE7655"/>
    <w:rsid w:val="00DE76BA"/>
    <w:rsid w:val="00DE76C6"/>
    <w:rsid w:val="00DE7A1D"/>
    <w:rsid w:val="00DE7ACE"/>
    <w:rsid w:val="00DE7C3A"/>
    <w:rsid w:val="00DF02B9"/>
    <w:rsid w:val="00DF1459"/>
    <w:rsid w:val="00DF188F"/>
    <w:rsid w:val="00DF1CDC"/>
    <w:rsid w:val="00DF217A"/>
    <w:rsid w:val="00DF25C5"/>
    <w:rsid w:val="00DF2F4B"/>
    <w:rsid w:val="00DF32A1"/>
    <w:rsid w:val="00DF33B1"/>
    <w:rsid w:val="00DF3497"/>
    <w:rsid w:val="00DF3B6E"/>
    <w:rsid w:val="00DF468F"/>
    <w:rsid w:val="00DF554B"/>
    <w:rsid w:val="00DF5897"/>
    <w:rsid w:val="00DF5A0B"/>
    <w:rsid w:val="00DF5D5E"/>
    <w:rsid w:val="00DF5FEE"/>
    <w:rsid w:val="00DF6682"/>
    <w:rsid w:val="00DF6A41"/>
    <w:rsid w:val="00DF6AAC"/>
    <w:rsid w:val="00DF6E37"/>
    <w:rsid w:val="00DF72CB"/>
    <w:rsid w:val="00DF7496"/>
    <w:rsid w:val="00DF776F"/>
    <w:rsid w:val="00DF7E5E"/>
    <w:rsid w:val="00E01EC1"/>
    <w:rsid w:val="00E02217"/>
    <w:rsid w:val="00E02750"/>
    <w:rsid w:val="00E027AB"/>
    <w:rsid w:val="00E0280B"/>
    <w:rsid w:val="00E02849"/>
    <w:rsid w:val="00E029E0"/>
    <w:rsid w:val="00E02B14"/>
    <w:rsid w:val="00E02B56"/>
    <w:rsid w:val="00E031E8"/>
    <w:rsid w:val="00E035D7"/>
    <w:rsid w:val="00E03897"/>
    <w:rsid w:val="00E03A0F"/>
    <w:rsid w:val="00E03B7D"/>
    <w:rsid w:val="00E03D60"/>
    <w:rsid w:val="00E03E33"/>
    <w:rsid w:val="00E040D3"/>
    <w:rsid w:val="00E04196"/>
    <w:rsid w:val="00E0479E"/>
    <w:rsid w:val="00E0498F"/>
    <w:rsid w:val="00E04D30"/>
    <w:rsid w:val="00E050A4"/>
    <w:rsid w:val="00E05811"/>
    <w:rsid w:val="00E05BC3"/>
    <w:rsid w:val="00E06B31"/>
    <w:rsid w:val="00E06F22"/>
    <w:rsid w:val="00E0746D"/>
    <w:rsid w:val="00E07569"/>
    <w:rsid w:val="00E07894"/>
    <w:rsid w:val="00E07CD1"/>
    <w:rsid w:val="00E100FB"/>
    <w:rsid w:val="00E10CCB"/>
    <w:rsid w:val="00E1103D"/>
    <w:rsid w:val="00E110D0"/>
    <w:rsid w:val="00E11C35"/>
    <w:rsid w:val="00E120B8"/>
    <w:rsid w:val="00E120B9"/>
    <w:rsid w:val="00E124CC"/>
    <w:rsid w:val="00E128BD"/>
    <w:rsid w:val="00E12BF7"/>
    <w:rsid w:val="00E13921"/>
    <w:rsid w:val="00E139E8"/>
    <w:rsid w:val="00E13C3D"/>
    <w:rsid w:val="00E13DF2"/>
    <w:rsid w:val="00E13EAD"/>
    <w:rsid w:val="00E15757"/>
    <w:rsid w:val="00E1657D"/>
    <w:rsid w:val="00E167C3"/>
    <w:rsid w:val="00E16892"/>
    <w:rsid w:val="00E16895"/>
    <w:rsid w:val="00E1698D"/>
    <w:rsid w:val="00E17076"/>
    <w:rsid w:val="00E17952"/>
    <w:rsid w:val="00E179DA"/>
    <w:rsid w:val="00E179F8"/>
    <w:rsid w:val="00E2006F"/>
    <w:rsid w:val="00E202B2"/>
    <w:rsid w:val="00E2046E"/>
    <w:rsid w:val="00E20974"/>
    <w:rsid w:val="00E20AEC"/>
    <w:rsid w:val="00E20B57"/>
    <w:rsid w:val="00E20CC1"/>
    <w:rsid w:val="00E21303"/>
    <w:rsid w:val="00E21344"/>
    <w:rsid w:val="00E21672"/>
    <w:rsid w:val="00E216D0"/>
    <w:rsid w:val="00E21F78"/>
    <w:rsid w:val="00E22322"/>
    <w:rsid w:val="00E224DC"/>
    <w:rsid w:val="00E2250A"/>
    <w:rsid w:val="00E22781"/>
    <w:rsid w:val="00E229C0"/>
    <w:rsid w:val="00E22D5A"/>
    <w:rsid w:val="00E23382"/>
    <w:rsid w:val="00E23C0F"/>
    <w:rsid w:val="00E24276"/>
    <w:rsid w:val="00E248EF"/>
    <w:rsid w:val="00E2493D"/>
    <w:rsid w:val="00E24A62"/>
    <w:rsid w:val="00E24DAD"/>
    <w:rsid w:val="00E25A64"/>
    <w:rsid w:val="00E25D14"/>
    <w:rsid w:val="00E26B46"/>
    <w:rsid w:val="00E26CF2"/>
    <w:rsid w:val="00E2727C"/>
    <w:rsid w:val="00E2783A"/>
    <w:rsid w:val="00E27EED"/>
    <w:rsid w:val="00E30036"/>
    <w:rsid w:val="00E305D0"/>
    <w:rsid w:val="00E306D9"/>
    <w:rsid w:val="00E30C4A"/>
    <w:rsid w:val="00E30CFE"/>
    <w:rsid w:val="00E30DA5"/>
    <w:rsid w:val="00E311D8"/>
    <w:rsid w:val="00E31AC8"/>
    <w:rsid w:val="00E31C51"/>
    <w:rsid w:val="00E32256"/>
    <w:rsid w:val="00E3262A"/>
    <w:rsid w:val="00E32BA5"/>
    <w:rsid w:val="00E32DB5"/>
    <w:rsid w:val="00E3334C"/>
    <w:rsid w:val="00E3345F"/>
    <w:rsid w:val="00E33A47"/>
    <w:rsid w:val="00E345D1"/>
    <w:rsid w:val="00E34A2D"/>
    <w:rsid w:val="00E35B15"/>
    <w:rsid w:val="00E35C2F"/>
    <w:rsid w:val="00E363CB"/>
    <w:rsid w:val="00E36AFD"/>
    <w:rsid w:val="00E4017C"/>
    <w:rsid w:val="00E401C9"/>
    <w:rsid w:val="00E409BA"/>
    <w:rsid w:val="00E40D41"/>
    <w:rsid w:val="00E41435"/>
    <w:rsid w:val="00E41967"/>
    <w:rsid w:val="00E4211B"/>
    <w:rsid w:val="00E42845"/>
    <w:rsid w:val="00E42D2E"/>
    <w:rsid w:val="00E42D70"/>
    <w:rsid w:val="00E43AF3"/>
    <w:rsid w:val="00E43B7D"/>
    <w:rsid w:val="00E44CE8"/>
    <w:rsid w:val="00E4510A"/>
    <w:rsid w:val="00E451D6"/>
    <w:rsid w:val="00E4598F"/>
    <w:rsid w:val="00E45C3F"/>
    <w:rsid w:val="00E4665E"/>
    <w:rsid w:val="00E47D1F"/>
    <w:rsid w:val="00E50295"/>
    <w:rsid w:val="00E506FC"/>
    <w:rsid w:val="00E50AAA"/>
    <w:rsid w:val="00E50BF2"/>
    <w:rsid w:val="00E50E12"/>
    <w:rsid w:val="00E51133"/>
    <w:rsid w:val="00E51235"/>
    <w:rsid w:val="00E51437"/>
    <w:rsid w:val="00E51BE8"/>
    <w:rsid w:val="00E51EE5"/>
    <w:rsid w:val="00E52D5E"/>
    <w:rsid w:val="00E542CB"/>
    <w:rsid w:val="00E544C6"/>
    <w:rsid w:val="00E5473A"/>
    <w:rsid w:val="00E557DD"/>
    <w:rsid w:val="00E558B4"/>
    <w:rsid w:val="00E55BC6"/>
    <w:rsid w:val="00E55DB3"/>
    <w:rsid w:val="00E55F72"/>
    <w:rsid w:val="00E56AF9"/>
    <w:rsid w:val="00E57277"/>
    <w:rsid w:val="00E5744F"/>
    <w:rsid w:val="00E57482"/>
    <w:rsid w:val="00E578AD"/>
    <w:rsid w:val="00E57B0F"/>
    <w:rsid w:val="00E61038"/>
    <w:rsid w:val="00E6110E"/>
    <w:rsid w:val="00E619DD"/>
    <w:rsid w:val="00E61CFC"/>
    <w:rsid w:val="00E62714"/>
    <w:rsid w:val="00E6277D"/>
    <w:rsid w:val="00E62EE1"/>
    <w:rsid w:val="00E63638"/>
    <w:rsid w:val="00E63647"/>
    <w:rsid w:val="00E63961"/>
    <w:rsid w:val="00E63B3F"/>
    <w:rsid w:val="00E642F0"/>
    <w:rsid w:val="00E64C06"/>
    <w:rsid w:val="00E64D0A"/>
    <w:rsid w:val="00E64F44"/>
    <w:rsid w:val="00E65162"/>
    <w:rsid w:val="00E654EB"/>
    <w:rsid w:val="00E6559F"/>
    <w:rsid w:val="00E65DA8"/>
    <w:rsid w:val="00E65E45"/>
    <w:rsid w:val="00E65EE2"/>
    <w:rsid w:val="00E663A0"/>
    <w:rsid w:val="00E66C9A"/>
    <w:rsid w:val="00E66D40"/>
    <w:rsid w:val="00E701E4"/>
    <w:rsid w:val="00E70C1C"/>
    <w:rsid w:val="00E70C3A"/>
    <w:rsid w:val="00E70DB8"/>
    <w:rsid w:val="00E70F28"/>
    <w:rsid w:val="00E70F87"/>
    <w:rsid w:val="00E71896"/>
    <w:rsid w:val="00E71983"/>
    <w:rsid w:val="00E71B6C"/>
    <w:rsid w:val="00E71F54"/>
    <w:rsid w:val="00E726C4"/>
    <w:rsid w:val="00E729E5"/>
    <w:rsid w:val="00E73863"/>
    <w:rsid w:val="00E739E3"/>
    <w:rsid w:val="00E73DB9"/>
    <w:rsid w:val="00E742FA"/>
    <w:rsid w:val="00E7467A"/>
    <w:rsid w:val="00E7498D"/>
    <w:rsid w:val="00E74A16"/>
    <w:rsid w:val="00E74CE7"/>
    <w:rsid w:val="00E753C2"/>
    <w:rsid w:val="00E75613"/>
    <w:rsid w:val="00E7715D"/>
    <w:rsid w:val="00E774F3"/>
    <w:rsid w:val="00E77D79"/>
    <w:rsid w:val="00E804AD"/>
    <w:rsid w:val="00E805F9"/>
    <w:rsid w:val="00E81D8F"/>
    <w:rsid w:val="00E825D8"/>
    <w:rsid w:val="00E8283B"/>
    <w:rsid w:val="00E82D20"/>
    <w:rsid w:val="00E82DC7"/>
    <w:rsid w:val="00E83254"/>
    <w:rsid w:val="00E8407B"/>
    <w:rsid w:val="00E840D4"/>
    <w:rsid w:val="00E844A7"/>
    <w:rsid w:val="00E84580"/>
    <w:rsid w:val="00E847A5"/>
    <w:rsid w:val="00E84D39"/>
    <w:rsid w:val="00E84F28"/>
    <w:rsid w:val="00E84F9A"/>
    <w:rsid w:val="00E85811"/>
    <w:rsid w:val="00E85B39"/>
    <w:rsid w:val="00E865AA"/>
    <w:rsid w:val="00E86E37"/>
    <w:rsid w:val="00E873E0"/>
    <w:rsid w:val="00E878C8"/>
    <w:rsid w:val="00E87AB1"/>
    <w:rsid w:val="00E87DC8"/>
    <w:rsid w:val="00E90819"/>
    <w:rsid w:val="00E912B1"/>
    <w:rsid w:val="00E912C2"/>
    <w:rsid w:val="00E91505"/>
    <w:rsid w:val="00E919EC"/>
    <w:rsid w:val="00E91BC9"/>
    <w:rsid w:val="00E92667"/>
    <w:rsid w:val="00E938A4"/>
    <w:rsid w:val="00E93AE2"/>
    <w:rsid w:val="00E93C47"/>
    <w:rsid w:val="00E942D3"/>
    <w:rsid w:val="00E94943"/>
    <w:rsid w:val="00E94E8B"/>
    <w:rsid w:val="00E9532A"/>
    <w:rsid w:val="00E95579"/>
    <w:rsid w:val="00E95893"/>
    <w:rsid w:val="00E959F7"/>
    <w:rsid w:val="00E9612C"/>
    <w:rsid w:val="00E963DD"/>
    <w:rsid w:val="00E9645A"/>
    <w:rsid w:val="00E977BA"/>
    <w:rsid w:val="00EA0854"/>
    <w:rsid w:val="00EA0AEA"/>
    <w:rsid w:val="00EA0BF5"/>
    <w:rsid w:val="00EA1222"/>
    <w:rsid w:val="00EA1498"/>
    <w:rsid w:val="00EA1876"/>
    <w:rsid w:val="00EA1899"/>
    <w:rsid w:val="00EA202D"/>
    <w:rsid w:val="00EA2125"/>
    <w:rsid w:val="00EA224F"/>
    <w:rsid w:val="00EA23CA"/>
    <w:rsid w:val="00EA2C38"/>
    <w:rsid w:val="00EA2DFA"/>
    <w:rsid w:val="00EA3386"/>
    <w:rsid w:val="00EA338C"/>
    <w:rsid w:val="00EA3391"/>
    <w:rsid w:val="00EA3CE5"/>
    <w:rsid w:val="00EA4094"/>
    <w:rsid w:val="00EA42C2"/>
    <w:rsid w:val="00EA4FEE"/>
    <w:rsid w:val="00EA5FA7"/>
    <w:rsid w:val="00EA64D2"/>
    <w:rsid w:val="00EA6880"/>
    <w:rsid w:val="00EA6DE9"/>
    <w:rsid w:val="00EA7224"/>
    <w:rsid w:val="00EA7681"/>
    <w:rsid w:val="00EA7C1B"/>
    <w:rsid w:val="00EA7EDC"/>
    <w:rsid w:val="00EB00AB"/>
    <w:rsid w:val="00EB0E5F"/>
    <w:rsid w:val="00EB1B0E"/>
    <w:rsid w:val="00EB1C00"/>
    <w:rsid w:val="00EB1C83"/>
    <w:rsid w:val="00EB221E"/>
    <w:rsid w:val="00EB2C86"/>
    <w:rsid w:val="00EB2C98"/>
    <w:rsid w:val="00EB2D07"/>
    <w:rsid w:val="00EB2DBC"/>
    <w:rsid w:val="00EB2E61"/>
    <w:rsid w:val="00EB2E65"/>
    <w:rsid w:val="00EB303D"/>
    <w:rsid w:val="00EB37F3"/>
    <w:rsid w:val="00EB3AEF"/>
    <w:rsid w:val="00EB3B10"/>
    <w:rsid w:val="00EB3B90"/>
    <w:rsid w:val="00EB40CB"/>
    <w:rsid w:val="00EB40EA"/>
    <w:rsid w:val="00EB4143"/>
    <w:rsid w:val="00EB42B5"/>
    <w:rsid w:val="00EB44A9"/>
    <w:rsid w:val="00EB4752"/>
    <w:rsid w:val="00EB51FD"/>
    <w:rsid w:val="00EB56BE"/>
    <w:rsid w:val="00EB58F2"/>
    <w:rsid w:val="00EB59B7"/>
    <w:rsid w:val="00EB5AF0"/>
    <w:rsid w:val="00EB5BEF"/>
    <w:rsid w:val="00EB5C7F"/>
    <w:rsid w:val="00EB5D47"/>
    <w:rsid w:val="00EB5F71"/>
    <w:rsid w:val="00EB6398"/>
    <w:rsid w:val="00EB6910"/>
    <w:rsid w:val="00EB6954"/>
    <w:rsid w:val="00EB6D3B"/>
    <w:rsid w:val="00EB6FAF"/>
    <w:rsid w:val="00EB7A39"/>
    <w:rsid w:val="00EC0168"/>
    <w:rsid w:val="00EC0199"/>
    <w:rsid w:val="00EC04CF"/>
    <w:rsid w:val="00EC0734"/>
    <w:rsid w:val="00EC08F9"/>
    <w:rsid w:val="00EC098C"/>
    <w:rsid w:val="00EC0B07"/>
    <w:rsid w:val="00EC0BD6"/>
    <w:rsid w:val="00EC0F84"/>
    <w:rsid w:val="00EC1677"/>
    <w:rsid w:val="00EC2E1F"/>
    <w:rsid w:val="00EC3508"/>
    <w:rsid w:val="00EC366B"/>
    <w:rsid w:val="00EC3AAC"/>
    <w:rsid w:val="00EC3BBB"/>
    <w:rsid w:val="00EC4B90"/>
    <w:rsid w:val="00EC50F4"/>
    <w:rsid w:val="00EC6C20"/>
    <w:rsid w:val="00EC769C"/>
    <w:rsid w:val="00EC7D27"/>
    <w:rsid w:val="00EC7D2F"/>
    <w:rsid w:val="00ED01F7"/>
    <w:rsid w:val="00ED099A"/>
    <w:rsid w:val="00ED09E7"/>
    <w:rsid w:val="00ED0A10"/>
    <w:rsid w:val="00ED0BEF"/>
    <w:rsid w:val="00ED1037"/>
    <w:rsid w:val="00ED10D7"/>
    <w:rsid w:val="00ED11E7"/>
    <w:rsid w:val="00ED133F"/>
    <w:rsid w:val="00ED137C"/>
    <w:rsid w:val="00ED14EA"/>
    <w:rsid w:val="00ED206D"/>
    <w:rsid w:val="00ED33F9"/>
    <w:rsid w:val="00ED3560"/>
    <w:rsid w:val="00ED435B"/>
    <w:rsid w:val="00ED4525"/>
    <w:rsid w:val="00ED478F"/>
    <w:rsid w:val="00ED48B4"/>
    <w:rsid w:val="00ED4D39"/>
    <w:rsid w:val="00ED5821"/>
    <w:rsid w:val="00ED5F31"/>
    <w:rsid w:val="00ED6690"/>
    <w:rsid w:val="00ED7EC3"/>
    <w:rsid w:val="00EE0854"/>
    <w:rsid w:val="00EE0BC8"/>
    <w:rsid w:val="00EE148A"/>
    <w:rsid w:val="00EE1D57"/>
    <w:rsid w:val="00EE22AE"/>
    <w:rsid w:val="00EE2EAD"/>
    <w:rsid w:val="00EE3D83"/>
    <w:rsid w:val="00EE3E37"/>
    <w:rsid w:val="00EE3FD1"/>
    <w:rsid w:val="00EE406B"/>
    <w:rsid w:val="00EE49E9"/>
    <w:rsid w:val="00EE4C66"/>
    <w:rsid w:val="00EE56E1"/>
    <w:rsid w:val="00EE5D67"/>
    <w:rsid w:val="00EE5FE8"/>
    <w:rsid w:val="00EE60F5"/>
    <w:rsid w:val="00EE66E7"/>
    <w:rsid w:val="00EE67D1"/>
    <w:rsid w:val="00EE6A35"/>
    <w:rsid w:val="00EE6B13"/>
    <w:rsid w:val="00EE79CF"/>
    <w:rsid w:val="00EF020B"/>
    <w:rsid w:val="00EF0683"/>
    <w:rsid w:val="00EF0CCD"/>
    <w:rsid w:val="00EF10D0"/>
    <w:rsid w:val="00EF11F8"/>
    <w:rsid w:val="00EF16DB"/>
    <w:rsid w:val="00EF270D"/>
    <w:rsid w:val="00EF3802"/>
    <w:rsid w:val="00EF38C1"/>
    <w:rsid w:val="00EF3C2A"/>
    <w:rsid w:val="00EF490B"/>
    <w:rsid w:val="00EF5107"/>
    <w:rsid w:val="00EF5579"/>
    <w:rsid w:val="00EF5998"/>
    <w:rsid w:val="00EF6026"/>
    <w:rsid w:val="00EF6F06"/>
    <w:rsid w:val="00EF7156"/>
    <w:rsid w:val="00EF7706"/>
    <w:rsid w:val="00F0061E"/>
    <w:rsid w:val="00F00819"/>
    <w:rsid w:val="00F00D8B"/>
    <w:rsid w:val="00F00F49"/>
    <w:rsid w:val="00F0140E"/>
    <w:rsid w:val="00F02184"/>
    <w:rsid w:val="00F02490"/>
    <w:rsid w:val="00F02DD0"/>
    <w:rsid w:val="00F02FEC"/>
    <w:rsid w:val="00F031DC"/>
    <w:rsid w:val="00F03F94"/>
    <w:rsid w:val="00F03FC5"/>
    <w:rsid w:val="00F0433E"/>
    <w:rsid w:val="00F04D3E"/>
    <w:rsid w:val="00F072F9"/>
    <w:rsid w:val="00F0750F"/>
    <w:rsid w:val="00F07568"/>
    <w:rsid w:val="00F104C1"/>
    <w:rsid w:val="00F10B2B"/>
    <w:rsid w:val="00F10C65"/>
    <w:rsid w:val="00F120AC"/>
    <w:rsid w:val="00F124D6"/>
    <w:rsid w:val="00F127E5"/>
    <w:rsid w:val="00F12965"/>
    <w:rsid w:val="00F129EC"/>
    <w:rsid w:val="00F12F93"/>
    <w:rsid w:val="00F13031"/>
    <w:rsid w:val="00F13138"/>
    <w:rsid w:val="00F13497"/>
    <w:rsid w:val="00F14248"/>
    <w:rsid w:val="00F147EB"/>
    <w:rsid w:val="00F14859"/>
    <w:rsid w:val="00F153B8"/>
    <w:rsid w:val="00F1549A"/>
    <w:rsid w:val="00F15538"/>
    <w:rsid w:val="00F15CAF"/>
    <w:rsid w:val="00F15D4F"/>
    <w:rsid w:val="00F15FD4"/>
    <w:rsid w:val="00F1607F"/>
    <w:rsid w:val="00F167B1"/>
    <w:rsid w:val="00F174C5"/>
    <w:rsid w:val="00F206C2"/>
    <w:rsid w:val="00F210DE"/>
    <w:rsid w:val="00F21AB9"/>
    <w:rsid w:val="00F21BE5"/>
    <w:rsid w:val="00F2219A"/>
    <w:rsid w:val="00F223D8"/>
    <w:rsid w:val="00F22532"/>
    <w:rsid w:val="00F228BE"/>
    <w:rsid w:val="00F22D0E"/>
    <w:rsid w:val="00F23539"/>
    <w:rsid w:val="00F236A8"/>
    <w:rsid w:val="00F241AD"/>
    <w:rsid w:val="00F24EE4"/>
    <w:rsid w:val="00F253F2"/>
    <w:rsid w:val="00F25901"/>
    <w:rsid w:val="00F25B11"/>
    <w:rsid w:val="00F26236"/>
    <w:rsid w:val="00F26FF4"/>
    <w:rsid w:val="00F27071"/>
    <w:rsid w:val="00F271B1"/>
    <w:rsid w:val="00F276B3"/>
    <w:rsid w:val="00F27C36"/>
    <w:rsid w:val="00F306E9"/>
    <w:rsid w:val="00F3094C"/>
    <w:rsid w:val="00F3100F"/>
    <w:rsid w:val="00F312F0"/>
    <w:rsid w:val="00F31A6D"/>
    <w:rsid w:val="00F328BA"/>
    <w:rsid w:val="00F33151"/>
    <w:rsid w:val="00F334EE"/>
    <w:rsid w:val="00F3381A"/>
    <w:rsid w:val="00F33E40"/>
    <w:rsid w:val="00F33F39"/>
    <w:rsid w:val="00F34258"/>
    <w:rsid w:val="00F348C3"/>
    <w:rsid w:val="00F354C2"/>
    <w:rsid w:val="00F358E5"/>
    <w:rsid w:val="00F35CE2"/>
    <w:rsid w:val="00F35EAE"/>
    <w:rsid w:val="00F3655B"/>
    <w:rsid w:val="00F369B4"/>
    <w:rsid w:val="00F36CEE"/>
    <w:rsid w:val="00F37475"/>
    <w:rsid w:val="00F37B35"/>
    <w:rsid w:val="00F40552"/>
    <w:rsid w:val="00F4118D"/>
    <w:rsid w:val="00F41231"/>
    <w:rsid w:val="00F41312"/>
    <w:rsid w:val="00F4132B"/>
    <w:rsid w:val="00F41365"/>
    <w:rsid w:val="00F417A9"/>
    <w:rsid w:val="00F41C0E"/>
    <w:rsid w:val="00F421EB"/>
    <w:rsid w:val="00F42606"/>
    <w:rsid w:val="00F4283B"/>
    <w:rsid w:val="00F4378F"/>
    <w:rsid w:val="00F43F7D"/>
    <w:rsid w:val="00F43FB4"/>
    <w:rsid w:val="00F448F7"/>
    <w:rsid w:val="00F44BC0"/>
    <w:rsid w:val="00F44CE9"/>
    <w:rsid w:val="00F44EFE"/>
    <w:rsid w:val="00F450D2"/>
    <w:rsid w:val="00F45820"/>
    <w:rsid w:val="00F4596F"/>
    <w:rsid w:val="00F45C80"/>
    <w:rsid w:val="00F45E09"/>
    <w:rsid w:val="00F45F95"/>
    <w:rsid w:val="00F4614B"/>
    <w:rsid w:val="00F4634B"/>
    <w:rsid w:val="00F464B5"/>
    <w:rsid w:val="00F51624"/>
    <w:rsid w:val="00F51827"/>
    <w:rsid w:val="00F51A82"/>
    <w:rsid w:val="00F51BC1"/>
    <w:rsid w:val="00F51E28"/>
    <w:rsid w:val="00F530BF"/>
    <w:rsid w:val="00F5367D"/>
    <w:rsid w:val="00F53942"/>
    <w:rsid w:val="00F53C2E"/>
    <w:rsid w:val="00F53DD4"/>
    <w:rsid w:val="00F53F6F"/>
    <w:rsid w:val="00F543CC"/>
    <w:rsid w:val="00F544C3"/>
    <w:rsid w:val="00F544C7"/>
    <w:rsid w:val="00F546CA"/>
    <w:rsid w:val="00F55153"/>
    <w:rsid w:val="00F552BB"/>
    <w:rsid w:val="00F55812"/>
    <w:rsid w:val="00F55962"/>
    <w:rsid w:val="00F55BC9"/>
    <w:rsid w:val="00F55E60"/>
    <w:rsid w:val="00F5615D"/>
    <w:rsid w:val="00F561A5"/>
    <w:rsid w:val="00F5651D"/>
    <w:rsid w:val="00F56542"/>
    <w:rsid w:val="00F56D38"/>
    <w:rsid w:val="00F570FE"/>
    <w:rsid w:val="00F57606"/>
    <w:rsid w:val="00F5784C"/>
    <w:rsid w:val="00F57BC9"/>
    <w:rsid w:val="00F57CB3"/>
    <w:rsid w:val="00F57F52"/>
    <w:rsid w:val="00F60013"/>
    <w:rsid w:val="00F600B8"/>
    <w:rsid w:val="00F6037E"/>
    <w:rsid w:val="00F60690"/>
    <w:rsid w:val="00F60B5E"/>
    <w:rsid w:val="00F6163F"/>
    <w:rsid w:val="00F61C92"/>
    <w:rsid w:val="00F61ED3"/>
    <w:rsid w:val="00F61F4E"/>
    <w:rsid w:val="00F6208A"/>
    <w:rsid w:val="00F62285"/>
    <w:rsid w:val="00F62484"/>
    <w:rsid w:val="00F62942"/>
    <w:rsid w:val="00F629FE"/>
    <w:rsid w:val="00F62CFD"/>
    <w:rsid w:val="00F634EB"/>
    <w:rsid w:val="00F63627"/>
    <w:rsid w:val="00F636B2"/>
    <w:rsid w:val="00F64948"/>
    <w:rsid w:val="00F64B4B"/>
    <w:rsid w:val="00F650AE"/>
    <w:rsid w:val="00F651A5"/>
    <w:rsid w:val="00F65258"/>
    <w:rsid w:val="00F654F3"/>
    <w:rsid w:val="00F66513"/>
    <w:rsid w:val="00F666E3"/>
    <w:rsid w:val="00F678BA"/>
    <w:rsid w:val="00F67AF4"/>
    <w:rsid w:val="00F70556"/>
    <w:rsid w:val="00F708C0"/>
    <w:rsid w:val="00F70A5D"/>
    <w:rsid w:val="00F7121A"/>
    <w:rsid w:val="00F71B83"/>
    <w:rsid w:val="00F71C97"/>
    <w:rsid w:val="00F71D0E"/>
    <w:rsid w:val="00F71F73"/>
    <w:rsid w:val="00F72558"/>
    <w:rsid w:val="00F7276B"/>
    <w:rsid w:val="00F7308C"/>
    <w:rsid w:val="00F73E96"/>
    <w:rsid w:val="00F74F90"/>
    <w:rsid w:val="00F7512E"/>
    <w:rsid w:val="00F75578"/>
    <w:rsid w:val="00F757E7"/>
    <w:rsid w:val="00F75815"/>
    <w:rsid w:val="00F75A5C"/>
    <w:rsid w:val="00F75B20"/>
    <w:rsid w:val="00F75E14"/>
    <w:rsid w:val="00F75FA7"/>
    <w:rsid w:val="00F7643A"/>
    <w:rsid w:val="00F76949"/>
    <w:rsid w:val="00F76B01"/>
    <w:rsid w:val="00F76CD1"/>
    <w:rsid w:val="00F76DEF"/>
    <w:rsid w:val="00F76E94"/>
    <w:rsid w:val="00F77640"/>
    <w:rsid w:val="00F77A38"/>
    <w:rsid w:val="00F77ACA"/>
    <w:rsid w:val="00F77AD4"/>
    <w:rsid w:val="00F77CED"/>
    <w:rsid w:val="00F77ED6"/>
    <w:rsid w:val="00F8059F"/>
    <w:rsid w:val="00F80CA5"/>
    <w:rsid w:val="00F8167F"/>
    <w:rsid w:val="00F8192C"/>
    <w:rsid w:val="00F81A93"/>
    <w:rsid w:val="00F82939"/>
    <w:rsid w:val="00F82B4C"/>
    <w:rsid w:val="00F82FC7"/>
    <w:rsid w:val="00F83784"/>
    <w:rsid w:val="00F837A3"/>
    <w:rsid w:val="00F83EA8"/>
    <w:rsid w:val="00F83FFB"/>
    <w:rsid w:val="00F8423E"/>
    <w:rsid w:val="00F8427F"/>
    <w:rsid w:val="00F84770"/>
    <w:rsid w:val="00F84F6F"/>
    <w:rsid w:val="00F853E0"/>
    <w:rsid w:val="00F8560F"/>
    <w:rsid w:val="00F861A6"/>
    <w:rsid w:val="00F862BD"/>
    <w:rsid w:val="00F862E1"/>
    <w:rsid w:val="00F878F5"/>
    <w:rsid w:val="00F87A40"/>
    <w:rsid w:val="00F87A7D"/>
    <w:rsid w:val="00F90133"/>
    <w:rsid w:val="00F9022E"/>
    <w:rsid w:val="00F905AB"/>
    <w:rsid w:val="00F908C0"/>
    <w:rsid w:val="00F90E7E"/>
    <w:rsid w:val="00F90F7E"/>
    <w:rsid w:val="00F91F14"/>
    <w:rsid w:val="00F9213D"/>
    <w:rsid w:val="00F9226B"/>
    <w:rsid w:val="00F92855"/>
    <w:rsid w:val="00F92946"/>
    <w:rsid w:val="00F9328B"/>
    <w:rsid w:val="00F93B14"/>
    <w:rsid w:val="00F946C8"/>
    <w:rsid w:val="00F94AF7"/>
    <w:rsid w:val="00F94BCB"/>
    <w:rsid w:val="00F9554D"/>
    <w:rsid w:val="00F96C17"/>
    <w:rsid w:val="00F97131"/>
    <w:rsid w:val="00F974EF"/>
    <w:rsid w:val="00FA08FB"/>
    <w:rsid w:val="00FA1162"/>
    <w:rsid w:val="00FA1326"/>
    <w:rsid w:val="00FA19ED"/>
    <w:rsid w:val="00FA1EDE"/>
    <w:rsid w:val="00FA20ED"/>
    <w:rsid w:val="00FA25AB"/>
    <w:rsid w:val="00FA27FD"/>
    <w:rsid w:val="00FA30BB"/>
    <w:rsid w:val="00FA3649"/>
    <w:rsid w:val="00FA42FC"/>
    <w:rsid w:val="00FA443F"/>
    <w:rsid w:val="00FA5043"/>
    <w:rsid w:val="00FA51BA"/>
    <w:rsid w:val="00FA5655"/>
    <w:rsid w:val="00FA638B"/>
    <w:rsid w:val="00FA63C7"/>
    <w:rsid w:val="00FA7042"/>
    <w:rsid w:val="00FA757E"/>
    <w:rsid w:val="00FA75B1"/>
    <w:rsid w:val="00FA75FD"/>
    <w:rsid w:val="00FA7BAE"/>
    <w:rsid w:val="00FA7CCF"/>
    <w:rsid w:val="00FB00E1"/>
    <w:rsid w:val="00FB06F2"/>
    <w:rsid w:val="00FB0B23"/>
    <w:rsid w:val="00FB0D3A"/>
    <w:rsid w:val="00FB0EDB"/>
    <w:rsid w:val="00FB0F4F"/>
    <w:rsid w:val="00FB1783"/>
    <w:rsid w:val="00FB1E93"/>
    <w:rsid w:val="00FB1FCE"/>
    <w:rsid w:val="00FB29B7"/>
    <w:rsid w:val="00FB30BB"/>
    <w:rsid w:val="00FB31CC"/>
    <w:rsid w:val="00FB3226"/>
    <w:rsid w:val="00FB3B8A"/>
    <w:rsid w:val="00FB3D88"/>
    <w:rsid w:val="00FB4383"/>
    <w:rsid w:val="00FB5251"/>
    <w:rsid w:val="00FB566A"/>
    <w:rsid w:val="00FB6E0D"/>
    <w:rsid w:val="00FB7314"/>
    <w:rsid w:val="00FC1071"/>
    <w:rsid w:val="00FC1753"/>
    <w:rsid w:val="00FC2E22"/>
    <w:rsid w:val="00FC2F1B"/>
    <w:rsid w:val="00FC319B"/>
    <w:rsid w:val="00FC39CB"/>
    <w:rsid w:val="00FC3A8B"/>
    <w:rsid w:val="00FC4274"/>
    <w:rsid w:val="00FC42EC"/>
    <w:rsid w:val="00FC4597"/>
    <w:rsid w:val="00FC4C58"/>
    <w:rsid w:val="00FC4C73"/>
    <w:rsid w:val="00FC527F"/>
    <w:rsid w:val="00FC54D9"/>
    <w:rsid w:val="00FC5716"/>
    <w:rsid w:val="00FC5830"/>
    <w:rsid w:val="00FC5BCC"/>
    <w:rsid w:val="00FC5D76"/>
    <w:rsid w:val="00FC652F"/>
    <w:rsid w:val="00FC67BB"/>
    <w:rsid w:val="00FC6A9F"/>
    <w:rsid w:val="00FC6E9D"/>
    <w:rsid w:val="00FC7B1B"/>
    <w:rsid w:val="00FC7E18"/>
    <w:rsid w:val="00FD0109"/>
    <w:rsid w:val="00FD09BC"/>
    <w:rsid w:val="00FD11AA"/>
    <w:rsid w:val="00FD1892"/>
    <w:rsid w:val="00FD3106"/>
    <w:rsid w:val="00FD3DF6"/>
    <w:rsid w:val="00FD46EA"/>
    <w:rsid w:val="00FD4959"/>
    <w:rsid w:val="00FD4CD3"/>
    <w:rsid w:val="00FD538B"/>
    <w:rsid w:val="00FD55CC"/>
    <w:rsid w:val="00FD563D"/>
    <w:rsid w:val="00FD5675"/>
    <w:rsid w:val="00FD5D17"/>
    <w:rsid w:val="00FD5D61"/>
    <w:rsid w:val="00FD6088"/>
    <w:rsid w:val="00FD6B71"/>
    <w:rsid w:val="00FD7575"/>
    <w:rsid w:val="00FD78EC"/>
    <w:rsid w:val="00FD7E01"/>
    <w:rsid w:val="00FD7FA5"/>
    <w:rsid w:val="00FE0688"/>
    <w:rsid w:val="00FE1BAD"/>
    <w:rsid w:val="00FE2120"/>
    <w:rsid w:val="00FE2258"/>
    <w:rsid w:val="00FE2DC8"/>
    <w:rsid w:val="00FE3266"/>
    <w:rsid w:val="00FE3BAA"/>
    <w:rsid w:val="00FE5191"/>
    <w:rsid w:val="00FE6236"/>
    <w:rsid w:val="00FE692D"/>
    <w:rsid w:val="00FE72B7"/>
    <w:rsid w:val="00FE762B"/>
    <w:rsid w:val="00FE76F1"/>
    <w:rsid w:val="00FE78BF"/>
    <w:rsid w:val="00FE7E36"/>
    <w:rsid w:val="00FE7EF7"/>
    <w:rsid w:val="00FE7FEA"/>
    <w:rsid w:val="00FF07CF"/>
    <w:rsid w:val="00FF09C4"/>
    <w:rsid w:val="00FF0A0E"/>
    <w:rsid w:val="00FF2090"/>
    <w:rsid w:val="00FF269E"/>
    <w:rsid w:val="00FF2735"/>
    <w:rsid w:val="00FF283B"/>
    <w:rsid w:val="00FF2E12"/>
    <w:rsid w:val="00FF3845"/>
    <w:rsid w:val="00FF4006"/>
    <w:rsid w:val="00FF4103"/>
    <w:rsid w:val="00FF418A"/>
    <w:rsid w:val="00FF462A"/>
    <w:rsid w:val="00FF4C37"/>
    <w:rsid w:val="00FF4E7E"/>
    <w:rsid w:val="00FF5634"/>
    <w:rsid w:val="00FF6D0C"/>
    <w:rsid w:val="00FF7620"/>
    <w:rsid w:val="00FF76EB"/>
    <w:rsid w:val="00FF7E51"/>
    <w:rsid w:val="00FF7FC6"/>
    <w:rsid w:val="010676C4"/>
    <w:rsid w:val="01195733"/>
    <w:rsid w:val="0121603C"/>
    <w:rsid w:val="013B5242"/>
    <w:rsid w:val="01C93189"/>
    <w:rsid w:val="01E97B45"/>
    <w:rsid w:val="02BC1AB4"/>
    <w:rsid w:val="03103E5F"/>
    <w:rsid w:val="03930042"/>
    <w:rsid w:val="03F359AA"/>
    <w:rsid w:val="04994203"/>
    <w:rsid w:val="050719CA"/>
    <w:rsid w:val="05AF7F18"/>
    <w:rsid w:val="062E4F08"/>
    <w:rsid w:val="07AC2019"/>
    <w:rsid w:val="083A6859"/>
    <w:rsid w:val="091F22D4"/>
    <w:rsid w:val="0A821835"/>
    <w:rsid w:val="0A844AD6"/>
    <w:rsid w:val="0AD4103E"/>
    <w:rsid w:val="0B5820D5"/>
    <w:rsid w:val="0C2F7F85"/>
    <w:rsid w:val="0C4D5E73"/>
    <w:rsid w:val="0CBF116C"/>
    <w:rsid w:val="0D791F44"/>
    <w:rsid w:val="0E623A4F"/>
    <w:rsid w:val="0FF17498"/>
    <w:rsid w:val="105B0C4D"/>
    <w:rsid w:val="117A4FAD"/>
    <w:rsid w:val="11BD0BAE"/>
    <w:rsid w:val="11C14A83"/>
    <w:rsid w:val="12153064"/>
    <w:rsid w:val="121D29A8"/>
    <w:rsid w:val="13382527"/>
    <w:rsid w:val="135A2147"/>
    <w:rsid w:val="13BF31B2"/>
    <w:rsid w:val="156A794A"/>
    <w:rsid w:val="15CA5AD6"/>
    <w:rsid w:val="16283BED"/>
    <w:rsid w:val="16BE4029"/>
    <w:rsid w:val="175D39C1"/>
    <w:rsid w:val="186F719C"/>
    <w:rsid w:val="18A40857"/>
    <w:rsid w:val="194B5702"/>
    <w:rsid w:val="1B2B2B54"/>
    <w:rsid w:val="1B6B4168"/>
    <w:rsid w:val="1C2F79F0"/>
    <w:rsid w:val="1C66096A"/>
    <w:rsid w:val="1C8B7961"/>
    <w:rsid w:val="1CAF3E14"/>
    <w:rsid w:val="1D2D3B8E"/>
    <w:rsid w:val="1DBA494D"/>
    <w:rsid w:val="1E0863EF"/>
    <w:rsid w:val="1E9817F6"/>
    <w:rsid w:val="1ED8781E"/>
    <w:rsid w:val="1FC62DBD"/>
    <w:rsid w:val="1FED38E2"/>
    <w:rsid w:val="204E339D"/>
    <w:rsid w:val="20FF68CF"/>
    <w:rsid w:val="218B0EC6"/>
    <w:rsid w:val="226338A3"/>
    <w:rsid w:val="227852F8"/>
    <w:rsid w:val="22B670FD"/>
    <w:rsid w:val="22E84BB0"/>
    <w:rsid w:val="253C63CC"/>
    <w:rsid w:val="25591A4A"/>
    <w:rsid w:val="25D04FEF"/>
    <w:rsid w:val="26B522AA"/>
    <w:rsid w:val="27BB54C4"/>
    <w:rsid w:val="294A4A35"/>
    <w:rsid w:val="29AE358D"/>
    <w:rsid w:val="29FA2D3E"/>
    <w:rsid w:val="2A5B47B4"/>
    <w:rsid w:val="2A675722"/>
    <w:rsid w:val="2AB9115E"/>
    <w:rsid w:val="2B9866A5"/>
    <w:rsid w:val="2BAB2A13"/>
    <w:rsid w:val="2C0C6D59"/>
    <w:rsid w:val="2C33078A"/>
    <w:rsid w:val="2C742A08"/>
    <w:rsid w:val="2D6A3028"/>
    <w:rsid w:val="2DDD6BFF"/>
    <w:rsid w:val="2FF2613B"/>
    <w:rsid w:val="34126ED7"/>
    <w:rsid w:val="345960F7"/>
    <w:rsid w:val="346C12E7"/>
    <w:rsid w:val="35867B7C"/>
    <w:rsid w:val="35B361A6"/>
    <w:rsid w:val="36077FFC"/>
    <w:rsid w:val="362524B1"/>
    <w:rsid w:val="38E85EED"/>
    <w:rsid w:val="39D55624"/>
    <w:rsid w:val="39DF0F83"/>
    <w:rsid w:val="3AB44E21"/>
    <w:rsid w:val="3B556027"/>
    <w:rsid w:val="3CD305A2"/>
    <w:rsid w:val="3D6414CC"/>
    <w:rsid w:val="3DE81136"/>
    <w:rsid w:val="3F6F018F"/>
    <w:rsid w:val="41246DFA"/>
    <w:rsid w:val="41EA6327"/>
    <w:rsid w:val="42B851CC"/>
    <w:rsid w:val="43192030"/>
    <w:rsid w:val="43710567"/>
    <w:rsid w:val="43855569"/>
    <w:rsid w:val="43AE1C43"/>
    <w:rsid w:val="450C15CE"/>
    <w:rsid w:val="451B10CA"/>
    <w:rsid w:val="45366A52"/>
    <w:rsid w:val="45726D76"/>
    <w:rsid w:val="464A0752"/>
    <w:rsid w:val="467E2390"/>
    <w:rsid w:val="46DD5122"/>
    <w:rsid w:val="4777488A"/>
    <w:rsid w:val="478755B6"/>
    <w:rsid w:val="483376F0"/>
    <w:rsid w:val="49872582"/>
    <w:rsid w:val="4A1323B9"/>
    <w:rsid w:val="4A5E47CC"/>
    <w:rsid w:val="4AD04268"/>
    <w:rsid w:val="4AFD531A"/>
    <w:rsid w:val="4B4E0F40"/>
    <w:rsid w:val="4D0D5992"/>
    <w:rsid w:val="4D926C66"/>
    <w:rsid w:val="4ECE32B1"/>
    <w:rsid w:val="4F3471FE"/>
    <w:rsid w:val="50165F35"/>
    <w:rsid w:val="507D6E7C"/>
    <w:rsid w:val="50EA31DC"/>
    <w:rsid w:val="50F45887"/>
    <w:rsid w:val="512351EB"/>
    <w:rsid w:val="51E025B9"/>
    <w:rsid w:val="525E6EE8"/>
    <w:rsid w:val="53394028"/>
    <w:rsid w:val="538452A3"/>
    <w:rsid w:val="538765C9"/>
    <w:rsid w:val="53CB1777"/>
    <w:rsid w:val="547C241E"/>
    <w:rsid w:val="55685C0C"/>
    <w:rsid w:val="55E17811"/>
    <w:rsid w:val="563D5E4A"/>
    <w:rsid w:val="56DC178D"/>
    <w:rsid w:val="578D2075"/>
    <w:rsid w:val="5799298C"/>
    <w:rsid w:val="57D66BD7"/>
    <w:rsid w:val="584747DE"/>
    <w:rsid w:val="58766B2F"/>
    <w:rsid w:val="58816E1B"/>
    <w:rsid w:val="58CD4621"/>
    <w:rsid w:val="58FA7DB6"/>
    <w:rsid w:val="595F1045"/>
    <w:rsid w:val="596A0A97"/>
    <w:rsid w:val="5A743A83"/>
    <w:rsid w:val="5A893DE7"/>
    <w:rsid w:val="5AEC0E38"/>
    <w:rsid w:val="5B1936D1"/>
    <w:rsid w:val="5B745656"/>
    <w:rsid w:val="5BAD42E2"/>
    <w:rsid w:val="5C1202CE"/>
    <w:rsid w:val="5C9B368A"/>
    <w:rsid w:val="5D204C85"/>
    <w:rsid w:val="5DEB5C41"/>
    <w:rsid w:val="5EB007DA"/>
    <w:rsid w:val="5FA016B7"/>
    <w:rsid w:val="5FEC59D3"/>
    <w:rsid w:val="5FEF7F48"/>
    <w:rsid w:val="60D33487"/>
    <w:rsid w:val="61054630"/>
    <w:rsid w:val="611F321E"/>
    <w:rsid w:val="62E33669"/>
    <w:rsid w:val="639840A6"/>
    <w:rsid w:val="64880995"/>
    <w:rsid w:val="64FA4366"/>
    <w:rsid w:val="651328E5"/>
    <w:rsid w:val="652148F7"/>
    <w:rsid w:val="65511C78"/>
    <w:rsid w:val="66FB7427"/>
    <w:rsid w:val="67E265E5"/>
    <w:rsid w:val="689E494E"/>
    <w:rsid w:val="693C412D"/>
    <w:rsid w:val="69AB4695"/>
    <w:rsid w:val="6A420B9B"/>
    <w:rsid w:val="6AEF704E"/>
    <w:rsid w:val="6CF92CF0"/>
    <w:rsid w:val="6D957500"/>
    <w:rsid w:val="6E1A407A"/>
    <w:rsid w:val="6ED50C51"/>
    <w:rsid w:val="6F906926"/>
    <w:rsid w:val="6FCA1049"/>
    <w:rsid w:val="70366D4F"/>
    <w:rsid w:val="71CF68E3"/>
    <w:rsid w:val="72DF3FAB"/>
    <w:rsid w:val="7428537F"/>
    <w:rsid w:val="75734B80"/>
    <w:rsid w:val="75A558F3"/>
    <w:rsid w:val="75BA0767"/>
    <w:rsid w:val="77501CC7"/>
    <w:rsid w:val="776C400D"/>
    <w:rsid w:val="7A155E7D"/>
    <w:rsid w:val="7A3A2795"/>
    <w:rsid w:val="7A995297"/>
    <w:rsid w:val="7AB7241E"/>
    <w:rsid w:val="7BA244AB"/>
    <w:rsid w:val="7BD75FBE"/>
    <w:rsid w:val="7C184DAB"/>
    <w:rsid w:val="7C2907B7"/>
    <w:rsid w:val="7CF97E2D"/>
    <w:rsid w:val="7CFB21FF"/>
    <w:rsid w:val="7DB875B2"/>
    <w:rsid w:val="7DD424DE"/>
    <w:rsid w:val="7DFD162B"/>
    <w:rsid w:val="7F0802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B0F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qFormat="1" w:unhideWhenUsed="0" w:uiPriority="0" w:semiHidden="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eastAsia="宋体" w:cs="Arial"/>
      <w:snapToGrid w:val="0"/>
      <w:color w:val="000000"/>
      <w:sz w:val="24"/>
      <w:szCs w:val="21"/>
      <w:lang w:val="en-US" w:eastAsia="en-US" w:bidi="ar-SA"/>
    </w:rPr>
  </w:style>
  <w:style w:type="paragraph" w:styleId="3">
    <w:name w:val="heading 1"/>
    <w:basedOn w:val="1"/>
    <w:next w:val="1"/>
    <w:link w:val="45"/>
    <w:qFormat/>
    <w:uiPriority w:val="0"/>
    <w:pPr>
      <w:keepNext/>
      <w:keepLines/>
      <w:numPr>
        <w:ilvl w:val="0"/>
        <w:numId w:val="1"/>
      </w:numPr>
      <w:spacing w:before="340" w:after="330" w:line="576" w:lineRule="auto"/>
      <w:outlineLvl w:val="0"/>
    </w:pPr>
    <w:rPr>
      <w:b/>
      <w:kern w:val="44"/>
      <w:sz w:val="44"/>
    </w:rPr>
  </w:style>
  <w:style w:type="paragraph" w:styleId="4">
    <w:name w:val="heading 2"/>
    <w:basedOn w:val="1"/>
    <w:next w:val="1"/>
    <w:link w:val="46"/>
    <w:qFormat/>
    <w:uiPriority w:val="0"/>
    <w:pPr>
      <w:spacing w:before="100" w:beforeAutospacing="1" w:after="100" w:afterAutospacing="1"/>
      <w:outlineLvl w:val="1"/>
    </w:pPr>
    <w:rPr>
      <w:rFonts w:cs="Times New Roman"/>
      <w:b/>
      <w:snapToGrid/>
      <w:color w:val="auto"/>
      <w:kern w:val="2"/>
      <w:sz w:val="28"/>
      <w:szCs w:val="24"/>
    </w:rPr>
  </w:style>
  <w:style w:type="paragraph" w:styleId="5">
    <w:name w:val="heading 3"/>
    <w:basedOn w:val="1"/>
    <w:next w:val="1"/>
    <w:link w:val="47"/>
    <w:qFormat/>
    <w:uiPriority w:val="0"/>
    <w:pPr>
      <w:keepNext/>
      <w:keepLines/>
      <w:numPr>
        <w:ilvl w:val="2"/>
        <w:numId w:val="1"/>
      </w:numPr>
      <w:spacing w:before="260" w:after="260" w:line="413" w:lineRule="auto"/>
      <w:outlineLvl w:val="2"/>
    </w:pPr>
    <w:rPr>
      <w:b/>
      <w:sz w:val="32"/>
    </w:rPr>
  </w:style>
  <w:style w:type="paragraph" w:styleId="6">
    <w:name w:val="heading 4"/>
    <w:basedOn w:val="1"/>
    <w:next w:val="1"/>
    <w:link w:val="145"/>
    <w:qFormat/>
    <w:uiPriority w:val="9"/>
    <w:pPr>
      <w:keepNext/>
      <w:keepLines/>
      <w:spacing w:before="280" w:after="290" w:line="372" w:lineRule="auto"/>
      <w:outlineLvl w:val="3"/>
    </w:pPr>
    <w:rPr>
      <w:rFonts w:eastAsia="黑体"/>
      <w:b/>
      <w:bCs/>
      <w:sz w:val="28"/>
      <w:szCs w:val="28"/>
    </w:rPr>
  </w:style>
  <w:style w:type="character" w:default="1" w:styleId="38">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2">
    <w:name w:val="macro"/>
    <w:link w:val="146"/>
    <w:qFormat/>
    <w:uiPriority w:val="0"/>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napToGrid w:val="0"/>
      <w:color w:val="000000"/>
      <w:sz w:val="24"/>
      <w:szCs w:val="24"/>
      <w:lang w:val="en-US" w:eastAsia="en-US" w:bidi="ar-SA"/>
    </w:rPr>
  </w:style>
  <w:style w:type="paragraph" w:styleId="7">
    <w:name w:val="List 3"/>
    <w:basedOn w:val="1"/>
    <w:qFormat/>
    <w:uiPriority w:val="0"/>
    <w:pPr>
      <w:ind w:left="100" w:leftChars="400" w:hanging="200" w:hangingChars="200"/>
    </w:pPr>
  </w:style>
  <w:style w:type="paragraph" w:styleId="8">
    <w:name w:val="toc 7"/>
    <w:basedOn w:val="1"/>
    <w:next w:val="1"/>
    <w:unhideWhenUsed/>
    <w:qFormat/>
    <w:uiPriority w:val="39"/>
    <w:pPr>
      <w:widowControl w:val="0"/>
      <w:ind w:left="2520" w:leftChars="1200"/>
      <w:jc w:val="both"/>
    </w:pPr>
    <w:rPr>
      <w:rFonts w:ascii="等线" w:hAnsi="等线" w:eastAsia="等线" w:cs="Times New Roman"/>
      <w:snapToGrid/>
      <w:color w:val="auto"/>
      <w:kern w:val="2"/>
      <w:sz w:val="21"/>
      <w:szCs w:val="22"/>
      <w:lang w:eastAsia="zh-CN"/>
    </w:rPr>
  </w:style>
  <w:style w:type="paragraph" w:styleId="9">
    <w:name w:val="Normal Indent"/>
    <w:basedOn w:val="1"/>
    <w:link w:val="48"/>
    <w:qFormat/>
    <w:uiPriority w:val="0"/>
    <w:pPr>
      <w:ind w:firstLine="420" w:firstLineChars="200"/>
    </w:pPr>
  </w:style>
  <w:style w:type="paragraph" w:styleId="10">
    <w:name w:val="annotation text"/>
    <w:basedOn w:val="1"/>
    <w:link w:val="49"/>
    <w:qFormat/>
    <w:uiPriority w:val="0"/>
    <w:rPr>
      <w:rFonts w:cs="Times New Roman"/>
    </w:rPr>
  </w:style>
  <w:style w:type="paragraph" w:styleId="11">
    <w:name w:val="Body Text"/>
    <w:basedOn w:val="1"/>
    <w:link w:val="50"/>
    <w:qFormat/>
    <w:uiPriority w:val="1"/>
    <w:rPr>
      <w:sz w:val="28"/>
    </w:rPr>
  </w:style>
  <w:style w:type="paragraph" w:styleId="12">
    <w:name w:val="Body Text Indent"/>
    <w:basedOn w:val="1"/>
    <w:qFormat/>
    <w:uiPriority w:val="0"/>
    <w:pPr>
      <w:spacing w:after="120"/>
      <w:ind w:left="420" w:leftChars="200"/>
    </w:pPr>
  </w:style>
  <w:style w:type="paragraph" w:styleId="13">
    <w:name w:val="Block Text"/>
    <w:basedOn w:val="1"/>
    <w:qFormat/>
    <w:uiPriority w:val="0"/>
    <w:pPr>
      <w:widowControl w:val="0"/>
      <w:spacing w:after="120" w:line="500" w:lineRule="exact"/>
      <w:ind w:left="1440" w:leftChars="700" w:right="1440" w:rightChars="700"/>
      <w:jc w:val="both"/>
    </w:pPr>
    <w:rPr>
      <w:rFonts w:hint="eastAsia" w:ascii="仿宋_GB2312" w:hAnsi="Calibri" w:eastAsia="仿宋_GB2312" w:cs="Times New Roman"/>
      <w:snapToGrid/>
      <w:color w:val="auto"/>
      <w:kern w:val="2"/>
      <w:sz w:val="28"/>
      <w:szCs w:val="24"/>
      <w:lang w:eastAsia="zh-CN"/>
    </w:rPr>
  </w:style>
  <w:style w:type="paragraph" w:styleId="14">
    <w:name w:val="toc 5"/>
    <w:basedOn w:val="1"/>
    <w:next w:val="1"/>
    <w:unhideWhenUsed/>
    <w:qFormat/>
    <w:uiPriority w:val="39"/>
    <w:pPr>
      <w:widowControl w:val="0"/>
      <w:ind w:left="1680" w:leftChars="800"/>
      <w:jc w:val="both"/>
    </w:pPr>
    <w:rPr>
      <w:rFonts w:ascii="等线" w:hAnsi="等线" w:eastAsia="等线" w:cs="Times New Roman"/>
      <w:snapToGrid/>
      <w:color w:val="auto"/>
      <w:kern w:val="2"/>
      <w:sz w:val="21"/>
      <w:szCs w:val="22"/>
      <w:lang w:eastAsia="zh-CN"/>
    </w:rPr>
  </w:style>
  <w:style w:type="paragraph" w:styleId="15">
    <w:name w:val="toc 3"/>
    <w:basedOn w:val="1"/>
    <w:next w:val="1"/>
    <w:qFormat/>
    <w:uiPriority w:val="39"/>
    <w:pPr>
      <w:ind w:left="840" w:leftChars="400"/>
    </w:pPr>
  </w:style>
  <w:style w:type="paragraph" w:styleId="16">
    <w:name w:val="Plain Text"/>
    <w:basedOn w:val="1"/>
    <w:link w:val="51"/>
    <w:qFormat/>
    <w:uiPriority w:val="0"/>
    <w:rPr>
      <w:rFonts w:ascii="宋体" w:hAnsi="Courier New"/>
      <w:b/>
      <w:spacing w:val="10"/>
      <w:kern w:val="24"/>
    </w:rPr>
  </w:style>
  <w:style w:type="paragraph" w:styleId="17">
    <w:name w:val="toc 8"/>
    <w:basedOn w:val="1"/>
    <w:next w:val="1"/>
    <w:unhideWhenUsed/>
    <w:qFormat/>
    <w:uiPriority w:val="39"/>
    <w:pPr>
      <w:widowControl w:val="0"/>
      <w:ind w:left="2940" w:leftChars="1400"/>
      <w:jc w:val="both"/>
    </w:pPr>
    <w:rPr>
      <w:rFonts w:ascii="等线" w:hAnsi="等线" w:eastAsia="等线" w:cs="Times New Roman"/>
      <w:snapToGrid/>
      <w:color w:val="auto"/>
      <w:kern w:val="2"/>
      <w:sz w:val="21"/>
      <w:szCs w:val="22"/>
      <w:lang w:eastAsia="zh-CN"/>
    </w:rPr>
  </w:style>
  <w:style w:type="paragraph" w:styleId="18">
    <w:name w:val="Date"/>
    <w:basedOn w:val="1"/>
    <w:next w:val="1"/>
    <w:link w:val="142"/>
    <w:qFormat/>
    <w:uiPriority w:val="0"/>
    <w:pPr>
      <w:ind w:left="100" w:leftChars="2500"/>
    </w:pPr>
  </w:style>
  <w:style w:type="paragraph" w:styleId="19">
    <w:name w:val="Body Text Indent 2"/>
    <w:basedOn w:val="1"/>
    <w:link w:val="52"/>
    <w:qFormat/>
    <w:uiPriority w:val="0"/>
    <w:pPr>
      <w:spacing w:after="120" w:line="480" w:lineRule="auto"/>
      <w:ind w:left="420" w:leftChars="200"/>
    </w:pPr>
  </w:style>
  <w:style w:type="paragraph" w:styleId="20">
    <w:name w:val="Balloon Text"/>
    <w:basedOn w:val="1"/>
    <w:link w:val="53"/>
    <w:qFormat/>
    <w:uiPriority w:val="0"/>
    <w:rPr>
      <w:rFonts w:cs="Times New Roman"/>
      <w:sz w:val="18"/>
      <w:szCs w:val="18"/>
    </w:rPr>
  </w:style>
  <w:style w:type="paragraph" w:styleId="21">
    <w:name w:val="footer"/>
    <w:basedOn w:val="1"/>
    <w:link w:val="54"/>
    <w:qFormat/>
    <w:uiPriority w:val="0"/>
    <w:pPr>
      <w:tabs>
        <w:tab w:val="center" w:pos="4153"/>
        <w:tab w:val="right" w:pos="8306"/>
      </w:tabs>
      <w:snapToGrid w:val="0"/>
    </w:pPr>
    <w:rPr>
      <w:sz w:val="18"/>
    </w:rPr>
  </w:style>
  <w:style w:type="paragraph" w:styleId="22">
    <w:name w:val="header"/>
    <w:basedOn w:val="1"/>
    <w:next w:val="23"/>
    <w:link w:val="5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customStyle="1" w:styleId="23">
    <w:name w:val="样式5"/>
    <w:basedOn w:val="11"/>
    <w:next w:val="1"/>
    <w:qFormat/>
    <w:uiPriority w:val="0"/>
    <w:pPr>
      <w:spacing w:before="260" w:after="260" w:line="415" w:lineRule="auto"/>
      <w:jc w:val="both"/>
    </w:pPr>
    <w:rPr>
      <w:kern w:val="44"/>
      <w:szCs w:val="44"/>
      <w:lang w:eastAsia="zh-CN"/>
    </w:rPr>
  </w:style>
  <w:style w:type="paragraph" w:styleId="24">
    <w:name w:val="toc 1"/>
    <w:basedOn w:val="1"/>
    <w:next w:val="1"/>
    <w:qFormat/>
    <w:uiPriority w:val="39"/>
    <w:pPr>
      <w:tabs>
        <w:tab w:val="right" w:leader="dot" w:pos="9736"/>
      </w:tabs>
      <w:spacing w:line="360" w:lineRule="auto"/>
    </w:pPr>
  </w:style>
  <w:style w:type="paragraph" w:styleId="25">
    <w:name w:val="toc 4"/>
    <w:basedOn w:val="1"/>
    <w:next w:val="1"/>
    <w:unhideWhenUsed/>
    <w:qFormat/>
    <w:uiPriority w:val="39"/>
    <w:pPr>
      <w:widowControl w:val="0"/>
      <w:ind w:left="1260" w:leftChars="600"/>
      <w:jc w:val="both"/>
    </w:pPr>
    <w:rPr>
      <w:rFonts w:ascii="等线" w:hAnsi="等线" w:eastAsia="等线" w:cs="Times New Roman"/>
      <w:snapToGrid/>
      <w:color w:val="auto"/>
      <w:kern w:val="2"/>
      <w:sz w:val="21"/>
      <w:szCs w:val="22"/>
      <w:lang w:eastAsia="zh-CN"/>
    </w:rPr>
  </w:style>
  <w:style w:type="paragraph" w:styleId="26">
    <w:name w:val="Subtitle"/>
    <w:basedOn w:val="1"/>
    <w:next w:val="1"/>
    <w:link w:val="56"/>
    <w:qFormat/>
    <w:uiPriority w:val="0"/>
    <w:pPr>
      <w:spacing w:before="240" w:after="60" w:line="312" w:lineRule="auto"/>
      <w:jc w:val="center"/>
      <w:outlineLvl w:val="1"/>
    </w:pPr>
    <w:rPr>
      <w:rFonts w:ascii="等线 Light" w:hAnsi="等线 Light" w:cs="Times New Roman"/>
      <w:b/>
      <w:bCs/>
      <w:kern w:val="28"/>
      <w:sz w:val="32"/>
      <w:szCs w:val="32"/>
    </w:rPr>
  </w:style>
  <w:style w:type="paragraph" w:styleId="27">
    <w:name w:val="toc 6"/>
    <w:basedOn w:val="1"/>
    <w:next w:val="1"/>
    <w:unhideWhenUsed/>
    <w:qFormat/>
    <w:uiPriority w:val="39"/>
    <w:pPr>
      <w:widowControl w:val="0"/>
      <w:ind w:left="2100" w:leftChars="1000"/>
      <w:jc w:val="both"/>
    </w:pPr>
    <w:rPr>
      <w:rFonts w:ascii="等线" w:hAnsi="等线" w:eastAsia="等线" w:cs="Times New Roman"/>
      <w:snapToGrid/>
      <w:color w:val="auto"/>
      <w:kern w:val="2"/>
      <w:sz w:val="21"/>
      <w:szCs w:val="22"/>
      <w:lang w:eastAsia="zh-CN"/>
    </w:rPr>
  </w:style>
  <w:style w:type="paragraph" w:styleId="28">
    <w:name w:val="toc 2"/>
    <w:basedOn w:val="1"/>
    <w:next w:val="1"/>
    <w:qFormat/>
    <w:uiPriority w:val="39"/>
    <w:pPr>
      <w:ind w:left="420" w:leftChars="200"/>
    </w:pPr>
  </w:style>
  <w:style w:type="paragraph" w:styleId="29">
    <w:name w:val="toc 9"/>
    <w:basedOn w:val="1"/>
    <w:next w:val="1"/>
    <w:unhideWhenUsed/>
    <w:qFormat/>
    <w:uiPriority w:val="39"/>
    <w:pPr>
      <w:widowControl w:val="0"/>
      <w:ind w:left="3360" w:leftChars="1600"/>
      <w:jc w:val="both"/>
    </w:pPr>
    <w:rPr>
      <w:rFonts w:ascii="等线" w:hAnsi="等线" w:eastAsia="等线" w:cs="Times New Roman"/>
      <w:snapToGrid/>
      <w:color w:val="auto"/>
      <w:kern w:val="2"/>
      <w:sz w:val="21"/>
      <w:szCs w:val="22"/>
      <w:lang w:eastAsia="zh-CN"/>
    </w:rPr>
  </w:style>
  <w:style w:type="paragraph" w:styleId="30">
    <w:name w:val="Body Text 2"/>
    <w:basedOn w:val="1"/>
    <w:next w:val="1"/>
    <w:qFormat/>
    <w:uiPriority w:val="0"/>
    <w:pPr>
      <w:spacing w:line="520" w:lineRule="exact"/>
    </w:pPr>
    <w:rPr>
      <w:szCs w:val="24"/>
    </w:rPr>
  </w:style>
  <w:style w:type="paragraph" w:styleId="31">
    <w:name w:val="Normal (Web)"/>
    <w:basedOn w:val="1"/>
    <w:link w:val="148"/>
    <w:qFormat/>
    <w:uiPriority w:val="99"/>
    <w:pPr>
      <w:spacing w:before="100" w:beforeAutospacing="1" w:after="100" w:afterAutospacing="1"/>
    </w:pPr>
    <w:rPr>
      <w:rFonts w:cs="Times New Roman"/>
      <w:lang w:eastAsia="zh-CN"/>
    </w:rPr>
  </w:style>
  <w:style w:type="paragraph" w:styleId="32">
    <w:name w:val="annotation subject"/>
    <w:basedOn w:val="10"/>
    <w:next w:val="10"/>
    <w:link w:val="57"/>
    <w:qFormat/>
    <w:uiPriority w:val="99"/>
    <w:rPr>
      <w:rFonts w:ascii="Times New Roman" w:hAnsi="Times New Roman"/>
      <w:snapToGrid/>
      <w:color w:val="auto"/>
      <w:sz w:val="20"/>
      <w:szCs w:val="20"/>
    </w:rPr>
  </w:style>
  <w:style w:type="paragraph" w:styleId="33">
    <w:name w:val="Body Text First Indent"/>
    <w:basedOn w:val="11"/>
    <w:link w:val="58"/>
    <w:qFormat/>
    <w:uiPriority w:val="0"/>
    <w:pPr>
      <w:kinsoku w:val="0"/>
      <w:autoSpaceDE w:val="0"/>
      <w:autoSpaceDN w:val="0"/>
      <w:adjustRightInd w:val="0"/>
      <w:snapToGrid w:val="0"/>
      <w:spacing w:after="120"/>
      <w:ind w:firstLine="420" w:firstLineChars="100"/>
      <w:textAlignment w:val="baseline"/>
    </w:pPr>
    <w:rPr>
      <w:sz w:val="24"/>
    </w:rPr>
  </w:style>
  <w:style w:type="paragraph" w:styleId="34">
    <w:name w:val="Body Text First Indent 2"/>
    <w:basedOn w:val="12"/>
    <w:next w:val="1"/>
    <w:qFormat/>
    <w:uiPriority w:val="0"/>
    <w:pPr>
      <w:ind w:firstLine="420" w:firstLineChars="200"/>
    </w:pPr>
  </w:style>
  <w:style w:type="table" w:styleId="36">
    <w:name w:val="Table Grid"/>
    <w:basedOn w:val="3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7">
    <w:name w:val="Table List 3"/>
    <w:basedOn w:val="35"/>
    <w:qFormat/>
    <w:uiPriority w:val="0"/>
    <w:pPr>
      <w:widowControl w:val="0"/>
      <w:spacing w:line="500" w:lineRule="exact"/>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character" w:styleId="39">
    <w:name w:val="Strong"/>
    <w:qFormat/>
    <w:uiPriority w:val="0"/>
    <w:rPr>
      <w:b/>
    </w:rPr>
  </w:style>
  <w:style w:type="character" w:styleId="40">
    <w:name w:val="Hyperlink"/>
    <w:qFormat/>
    <w:uiPriority w:val="99"/>
    <w:rPr>
      <w:color w:val="0000FF"/>
      <w:u w:val="single"/>
    </w:rPr>
  </w:style>
  <w:style w:type="character" w:styleId="41">
    <w:name w:val="annotation reference"/>
    <w:qFormat/>
    <w:uiPriority w:val="0"/>
    <w:rPr>
      <w:sz w:val="21"/>
      <w:szCs w:val="21"/>
    </w:rPr>
  </w:style>
  <w:style w:type="paragraph" w:customStyle="1" w:styleId="42">
    <w:name w:val="Default"/>
    <w:basedOn w:val="43"/>
    <w:link w:val="44"/>
    <w:qFormat/>
    <w:uiPriority w:val="0"/>
    <w:pPr>
      <w:autoSpaceDE w:val="0"/>
      <w:autoSpaceDN w:val="0"/>
      <w:adjustRightInd w:val="0"/>
    </w:pPr>
    <w:rPr>
      <w:rFonts w:ascii="Times New Roman" w:hAnsi="Times New Roman"/>
      <w:color w:val="000000"/>
      <w:sz w:val="24"/>
      <w:szCs w:val="24"/>
    </w:rPr>
  </w:style>
  <w:style w:type="paragraph" w:customStyle="1" w:styleId="43">
    <w:name w:val="正文_15"/>
    <w:qFormat/>
    <w:uiPriority w:val="0"/>
    <w:pPr>
      <w:widowControl w:val="0"/>
      <w:jc w:val="both"/>
    </w:pPr>
    <w:rPr>
      <w:rFonts w:ascii="Calibri" w:hAnsi="Calibri" w:eastAsia="宋体" w:cs="Times New Roman"/>
      <w:kern w:val="2"/>
      <w:sz w:val="21"/>
      <w:lang w:val="en-US" w:eastAsia="zh-CN" w:bidi="ar-SA"/>
    </w:rPr>
  </w:style>
  <w:style w:type="character" w:customStyle="1" w:styleId="44">
    <w:name w:val="Default Char"/>
    <w:link w:val="42"/>
    <w:qFormat/>
    <w:uiPriority w:val="0"/>
    <w:rPr>
      <w:color w:val="000000"/>
      <w:kern w:val="2"/>
      <w:sz w:val="24"/>
      <w:szCs w:val="24"/>
    </w:rPr>
  </w:style>
  <w:style w:type="character" w:customStyle="1" w:styleId="45">
    <w:name w:val="标题 1 字符"/>
    <w:link w:val="3"/>
    <w:qFormat/>
    <w:uiPriority w:val="0"/>
    <w:rPr>
      <w:rFonts w:ascii="Arial" w:hAnsi="Arial" w:cs="Arial"/>
      <w:b/>
      <w:snapToGrid w:val="0"/>
      <w:color w:val="000000"/>
      <w:kern w:val="44"/>
      <w:sz w:val="44"/>
      <w:szCs w:val="21"/>
      <w:lang w:eastAsia="en-US"/>
    </w:rPr>
  </w:style>
  <w:style w:type="character" w:customStyle="1" w:styleId="46">
    <w:name w:val="标题 2 字符"/>
    <w:link w:val="4"/>
    <w:qFormat/>
    <w:uiPriority w:val="0"/>
    <w:rPr>
      <w:rFonts w:ascii="Arial" w:hAnsi="Arial" w:eastAsia="宋体" w:cs="Times New Roman"/>
      <w:b/>
      <w:kern w:val="2"/>
      <w:sz w:val="28"/>
      <w:szCs w:val="24"/>
    </w:rPr>
  </w:style>
  <w:style w:type="character" w:customStyle="1" w:styleId="47">
    <w:name w:val="标题 3 字符"/>
    <w:link w:val="5"/>
    <w:qFormat/>
    <w:uiPriority w:val="0"/>
    <w:rPr>
      <w:rFonts w:ascii="Arial" w:hAnsi="Arial" w:cs="Arial"/>
      <w:b/>
      <w:snapToGrid w:val="0"/>
      <w:color w:val="000000"/>
      <w:sz w:val="32"/>
      <w:szCs w:val="21"/>
      <w:lang w:eastAsia="en-US"/>
    </w:rPr>
  </w:style>
  <w:style w:type="character" w:customStyle="1" w:styleId="48">
    <w:name w:val="正文缩进 字符1"/>
    <w:link w:val="9"/>
    <w:qFormat/>
    <w:uiPriority w:val="0"/>
    <w:rPr>
      <w:rFonts w:ascii="Arial" w:hAnsi="Arial" w:cs="Arial"/>
      <w:snapToGrid/>
      <w:color w:val="000000"/>
      <w:sz w:val="24"/>
      <w:szCs w:val="21"/>
      <w:lang w:eastAsia="en-US"/>
    </w:rPr>
  </w:style>
  <w:style w:type="character" w:customStyle="1" w:styleId="49">
    <w:name w:val="批注文字 字符"/>
    <w:link w:val="10"/>
    <w:qFormat/>
    <w:uiPriority w:val="0"/>
    <w:rPr>
      <w:rFonts w:ascii="Arial" w:hAnsi="Arial" w:cs="Arial"/>
      <w:snapToGrid w:val="0"/>
      <w:color w:val="000000"/>
      <w:sz w:val="24"/>
      <w:szCs w:val="21"/>
      <w:lang w:eastAsia="en-US"/>
    </w:rPr>
  </w:style>
  <w:style w:type="character" w:customStyle="1" w:styleId="50">
    <w:name w:val="正文文本 字符"/>
    <w:link w:val="11"/>
    <w:qFormat/>
    <w:uiPriority w:val="1"/>
    <w:rPr>
      <w:rFonts w:ascii="Arial" w:hAnsi="Arial" w:cs="Arial"/>
      <w:snapToGrid/>
      <w:color w:val="000000"/>
      <w:sz w:val="28"/>
      <w:szCs w:val="21"/>
      <w:lang w:eastAsia="en-US"/>
    </w:rPr>
  </w:style>
  <w:style w:type="character" w:customStyle="1" w:styleId="51">
    <w:name w:val="纯文本 字符"/>
    <w:link w:val="16"/>
    <w:qFormat/>
    <w:uiPriority w:val="99"/>
    <w:rPr>
      <w:rFonts w:ascii="宋体" w:hAnsi="Courier New" w:cs="Arial"/>
      <w:b/>
      <w:snapToGrid/>
      <w:color w:val="000000"/>
      <w:spacing w:val="10"/>
      <w:kern w:val="24"/>
      <w:sz w:val="24"/>
      <w:szCs w:val="21"/>
      <w:lang w:eastAsia="en-US"/>
    </w:rPr>
  </w:style>
  <w:style w:type="character" w:customStyle="1" w:styleId="52">
    <w:name w:val="正文文本缩进 2 字符"/>
    <w:link w:val="19"/>
    <w:qFormat/>
    <w:uiPriority w:val="0"/>
    <w:rPr>
      <w:rFonts w:ascii="Arial" w:hAnsi="Arial" w:cs="Arial"/>
      <w:snapToGrid/>
      <w:color w:val="000000"/>
      <w:sz w:val="24"/>
      <w:szCs w:val="21"/>
      <w:lang w:eastAsia="en-US"/>
    </w:rPr>
  </w:style>
  <w:style w:type="character" w:customStyle="1" w:styleId="53">
    <w:name w:val="批注框文本 字符"/>
    <w:link w:val="20"/>
    <w:qFormat/>
    <w:uiPriority w:val="0"/>
    <w:rPr>
      <w:rFonts w:ascii="Arial" w:hAnsi="Arial" w:cs="Arial"/>
      <w:snapToGrid w:val="0"/>
      <w:color w:val="000000"/>
      <w:sz w:val="18"/>
      <w:szCs w:val="18"/>
      <w:lang w:eastAsia="en-US"/>
    </w:rPr>
  </w:style>
  <w:style w:type="character" w:customStyle="1" w:styleId="54">
    <w:name w:val="页脚 字符"/>
    <w:link w:val="21"/>
    <w:qFormat/>
    <w:uiPriority w:val="0"/>
    <w:rPr>
      <w:rFonts w:ascii="Arial" w:hAnsi="Arial" w:cs="Arial"/>
      <w:snapToGrid/>
      <w:color w:val="000000"/>
      <w:sz w:val="18"/>
      <w:szCs w:val="21"/>
      <w:lang w:eastAsia="en-US"/>
    </w:rPr>
  </w:style>
  <w:style w:type="character" w:customStyle="1" w:styleId="55">
    <w:name w:val="页眉 字符"/>
    <w:link w:val="22"/>
    <w:qFormat/>
    <w:uiPriority w:val="0"/>
    <w:rPr>
      <w:rFonts w:ascii="Arial" w:hAnsi="Arial" w:cs="Arial"/>
      <w:snapToGrid/>
      <w:color w:val="000000"/>
      <w:sz w:val="18"/>
      <w:szCs w:val="21"/>
      <w:lang w:eastAsia="en-US"/>
    </w:rPr>
  </w:style>
  <w:style w:type="character" w:customStyle="1" w:styleId="56">
    <w:name w:val="副标题 字符"/>
    <w:link w:val="26"/>
    <w:qFormat/>
    <w:uiPriority w:val="0"/>
    <w:rPr>
      <w:rFonts w:ascii="等线 Light" w:hAnsi="等线 Light" w:cs="Times New Roman"/>
      <w:b/>
      <w:bCs/>
      <w:snapToGrid/>
      <w:color w:val="000000"/>
      <w:kern w:val="28"/>
      <w:sz w:val="32"/>
      <w:szCs w:val="32"/>
      <w:lang w:eastAsia="en-US"/>
    </w:rPr>
  </w:style>
  <w:style w:type="character" w:customStyle="1" w:styleId="57">
    <w:name w:val="批注主题 字符"/>
    <w:link w:val="32"/>
    <w:qFormat/>
    <w:uiPriority w:val="99"/>
    <w:rPr>
      <w:lang w:eastAsia="en-US"/>
    </w:rPr>
  </w:style>
  <w:style w:type="character" w:customStyle="1" w:styleId="58">
    <w:name w:val="正文文本首行缩进 字符"/>
    <w:link w:val="33"/>
    <w:qFormat/>
    <w:uiPriority w:val="0"/>
    <w:rPr>
      <w:rFonts w:ascii="Arial" w:hAnsi="Arial" w:cs="Arial"/>
      <w:snapToGrid/>
      <w:color w:val="000000"/>
      <w:sz w:val="24"/>
      <w:szCs w:val="21"/>
      <w:lang w:eastAsia="en-US"/>
    </w:rPr>
  </w:style>
  <w:style w:type="paragraph" w:customStyle="1" w:styleId="59">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sz w:val="20"/>
    </w:rPr>
  </w:style>
  <w:style w:type="paragraph" w:customStyle="1" w:styleId="60">
    <w:name w:val="表格内容"/>
    <w:basedOn w:val="1"/>
    <w:qFormat/>
    <w:uiPriority w:val="0"/>
    <w:pPr>
      <w:tabs>
        <w:tab w:val="left" w:pos="1535"/>
        <w:tab w:val="left" w:pos="3105"/>
        <w:tab w:val="left" w:pos="4676"/>
        <w:tab w:val="left" w:pos="6247"/>
        <w:tab w:val="left" w:pos="7740"/>
        <w:tab w:val="left" w:pos="9288"/>
      </w:tabs>
      <w:snapToGrid w:val="0"/>
      <w:ind w:left="-25" w:leftChars="-12"/>
      <w:textAlignment w:val="baseline"/>
    </w:pPr>
    <w:rPr>
      <w:rFonts w:ascii="Calibri" w:hAnsi="Calibri" w:cs="Times New Roman"/>
      <w:kern w:val="2"/>
      <w:sz w:val="18"/>
      <w:szCs w:val="22"/>
    </w:rPr>
  </w:style>
  <w:style w:type="table" w:customStyle="1" w:styleId="61">
    <w:name w:val="Table Normal"/>
    <w:unhideWhenUsed/>
    <w:qFormat/>
    <w:uiPriority w:val="0"/>
    <w:tblPr>
      <w:tblCellMar>
        <w:top w:w="0" w:type="dxa"/>
        <w:left w:w="0" w:type="dxa"/>
        <w:bottom w:w="0" w:type="dxa"/>
        <w:right w:w="0" w:type="dxa"/>
      </w:tblCellMar>
    </w:tblPr>
  </w:style>
  <w:style w:type="paragraph" w:customStyle="1" w:styleId="62">
    <w:name w:val="表格"/>
    <w:basedOn w:val="1"/>
    <w:next w:val="1"/>
    <w:link w:val="63"/>
    <w:qFormat/>
    <w:uiPriority w:val="0"/>
    <w:pPr>
      <w:spacing w:before="40" w:after="40"/>
    </w:pPr>
    <w:rPr>
      <w:rFonts w:ascii="昆仑仿宋" w:hAnsi="Calibri" w:eastAsia="昆仑仿宋" w:cs="Times New Roman"/>
      <w:kern w:val="2"/>
      <w:szCs w:val="22"/>
    </w:rPr>
  </w:style>
  <w:style w:type="character" w:customStyle="1" w:styleId="63">
    <w:name w:val="表格 Char"/>
    <w:link w:val="62"/>
    <w:qFormat/>
    <w:uiPriority w:val="0"/>
    <w:rPr>
      <w:rFonts w:ascii="昆仑仿宋" w:hAnsi="Calibri" w:eastAsia="昆仑仿宋"/>
      <w:snapToGrid/>
      <w:color w:val="000000"/>
      <w:kern w:val="2"/>
      <w:sz w:val="24"/>
      <w:szCs w:val="22"/>
      <w:lang w:eastAsia="en-US"/>
    </w:rPr>
  </w:style>
  <w:style w:type="paragraph" w:customStyle="1" w:styleId="64">
    <w:name w:val="Table Paragraph"/>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65">
    <w:name w:val="Table Text"/>
    <w:basedOn w:val="1"/>
    <w:semiHidden/>
    <w:qFormat/>
    <w:uiPriority w:val="0"/>
    <w:rPr>
      <w:rFonts w:ascii="宋体" w:hAnsi="宋体" w:cs="宋体"/>
      <w:sz w:val="18"/>
      <w:szCs w:val="18"/>
    </w:rPr>
  </w:style>
  <w:style w:type="paragraph" w:customStyle="1" w:styleId="66">
    <w:name w:val="XYF表格"/>
    <w:basedOn w:val="67"/>
    <w:qFormat/>
    <w:uiPriority w:val="0"/>
    <w:pPr>
      <w:tabs>
        <w:tab w:val="left" w:pos="1080"/>
      </w:tabs>
      <w:ind w:firstLine="0" w:firstLineChars="0"/>
    </w:pPr>
  </w:style>
  <w:style w:type="paragraph" w:customStyle="1" w:styleId="67">
    <w:name w:val="XYF1"/>
    <w:basedOn w:val="1"/>
    <w:qFormat/>
    <w:uiPriority w:val="0"/>
    <w:pPr>
      <w:tabs>
        <w:tab w:val="left" w:pos="1080"/>
      </w:tabs>
      <w:spacing w:line="440" w:lineRule="exact"/>
      <w:ind w:firstLine="195" w:firstLineChars="195"/>
    </w:pPr>
  </w:style>
  <w:style w:type="paragraph" w:customStyle="1" w:styleId="68">
    <w:name w:val="！正文"/>
    <w:qFormat/>
    <w:uiPriority w:val="0"/>
    <w:pPr>
      <w:widowControl w:val="0"/>
      <w:spacing w:line="560" w:lineRule="exact"/>
      <w:ind w:firstLine="200" w:firstLineChars="200"/>
      <w:jc w:val="both"/>
    </w:pPr>
    <w:rPr>
      <w:rFonts w:ascii="Times New Roman" w:hAnsi="Times New Roman" w:eastAsia="仿宋_GB2312" w:cs="Times New Roman"/>
      <w:color w:val="000000"/>
      <w:kern w:val="2"/>
      <w:sz w:val="28"/>
      <w:szCs w:val="30"/>
      <w:lang w:val="en-US" w:eastAsia="zh-CN" w:bidi="ar-SA"/>
    </w:rPr>
  </w:style>
  <w:style w:type="character" w:customStyle="1" w:styleId="69">
    <w:name w:val="font11"/>
    <w:qFormat/>
    <w:uiPriority w:val="0"/>
    <w:rPr>
      <w:rFonts w:hint="default" w:ascii="Times New Roman" w:hAnsi="Times New Roman" w:cs="Times New Roman"/>
      <w:color w:val="000000"/>
      <w:sz w:val="21"/>
      <w:szCs w:val="21"/>
      <w:u w:val="none"/>
    </w:rPr>
  </w:style>
  <w:style w:type="paragraph" w:customStyle="1" w:styleId="70">
    <w:name w:val="1正文段落"/>
    <w:basedOn w:val="1"/>
    <w:link w:val="71"/>
    <w:qFormat/>
    <w:uiPriority w:val="0"/>
    <w:pPr>
      <w:spacing w:line="360" w:lineRule="auto"/>
      <w:ind w:firstLine="480" w:firstLineChars="200"/>
    </w:pPr>
    <w:rPr>
      <w:szCs w:val="24"/>
    </w:rPr>
  </w:style>
  <w:style w:type="character" w:customStyle="1" w:styleId="71">
    <w:name w:val="1正文段落 Char"/>
    <w:link w:val="70"/>
    <w:qFormat/>
    <w:uiPriority w:val="0"/>
    <w:rPr>
      <w:rFonts w:ascii="Arial" w:hAnsi="Arial" w:cs="Arial"/>
      <w:snapToGrid/>
      <w:color w:val="000000"/>
      <w:sz w:val="24"/>
      <w:szCs w:val="24"/>
      <w:lang w:eastAsia="en-US"/>
    </w:rPr>
  </w:style>
  <w:style w:type="paragraph" w:customStyle="1" w:styleId="72">
    <w:name w:val="标题2"/>
    <w:basedOn w:val="4"/>
    <w:qFormat/>
    <w:uiPriority w:val="0"/>
    <w:pPr>
      <w:numPr>
        <w:ilvl w:val="1"/>
        <w:numId w:val="2"/>
      </w:numPr>
      <w:spacing w:before="0" w:after="0" w:line="440" w:lineRule="exact"/>
    </w:pPr>
    <w:rPr>
      <w:kern w:val="0"/>
    </w:rPr>
  </w:style>
  <w:style w:type="paragraph" w:customStyle="1" w:styleId="73">
    <w:name w:val="+标题3"/>
    <w:basedOn w:val="5"/>
    <w:qFormat/>
    <w:uiPriority w:val="0"/>
    <w:pPr>
      <w:keepLines w:val="0"/>
      <w:tabs>
        <w:tab w:val="left" w:pos="833"/>
      </w:tabs>
      <w:spacing w:beforeLines="50"/>
      <w:ind w:left="0" w:firstLine="0"/>
      <w:outlineLvl w:val="1"/>
    </w:pPr>
    <w:rPr>
      <w:color w:val="auto"/>
      <w:szCs w:val="24"/>
    </w:rPr>
  </w:style>
  <w:style w:type="paragraph" w:customStyle="1" w:styleId="74">
    <w:name w:val="标题4-"/>
    <w:basedOn w:val="6"/>
    <w:qFormat/>
    <w:uiPriority w:val="0"/>
    <w:pPr>
      <w:adjustRightInd w:val="0"/>
      <w:snapToGrid w:val="0"/>
      <w:spacing w:before="0" w:after="0" w:line="360" w:lineRule="auto"/>
    </w:pPr>
    <w:rPr>
      <w:rFonts w:ascii="Times New Roman" w:hAnsi="Times New Roman" w:eastAsia="宋体"/>
      <w:sz w:val="24"/>
    </w:rPr>
  </w:style>
  <w:style w:type="paragraph" w:customStyle="1" w:styleId="75">
    <w:name w:val="表格标题"/>
    <w:basedOn w:val="1"/>
    <w:qFormat/>
    <w:uiPriority w:val="0"/>
    <w:pPr>
      <w:adjustRightInd w:val="0"/>
      <w:snapToGrid w:val="0"/>
      <w:spacing w:line="480" w:lineRule="exact"/>
      <w:jc w:val="center"/>
    </w:pPr>
    <w:rPr>
      <w:rFonts w:ascii="Calibri" w:hAnsi="Calibri" w:cs="Times New Roman"/>
      <w:kern w:val="2"/>
      <w:sz w:val="21"/>
      <w:szCs w:val="22"/>
    </w:rPr>
  </w:style>
  <w:style w:type="character" w:customStyle="1" w:styleId="76">
    <w:name w:val="font01"/>
    <w:qFormat/>
    <w:uiPriority w:val="0"/>
    <w:rPr>
      <w:rFonts w:hint="eastAsia" w:ascii="宋体" w:hAnsi="宋体" w:eastAsia="宋体" w:cs="宋体"/>
      <w:color w:val="000000"/>
      <w:sz w:val="22"/>
      <w:szCs w:val="22"/>
      <w:u w:val="none"/>
    </w:rPr>
  </w:style>
  <w:style w:type="character" w:customStyle="1" w:styleId="77">
    <w:name w:val="font31"/>
    <w:qFormat/>
    <w:uiPriority w:val="0"/>
    <w:rPr>
      <w:rFonts w:hint="default" w:ascii="Times New Roman" w:hAnsi="Times New Roman" w:cs="Times New Roman"/>
      <w:color w:val="000000"/>
      <w:sz w:val="18"/>
      <w:szCs w:val="18"/>
      <w:u w:val="none"/>
    </w:rPr>
  </w:style>
  <w:style w:type="character" w:customStyle="1" w:styleId="78">
    <w:name w:val="font21"/>
    <w:qFormat/>
    <w:uiPriority w:val="0"/>
    <w:rPr>
      <w:rFonts w:hint="eastAsia" w:ascii="宋体" w:hAnsi="宋体" w:eastAsia="宋体" w:cs="宋体"/>
      <w:color w:val="000000"/>
      <w:sz w:val="18"/>
      <w:szCs w:val="18"/>
      <w:u w:val="none"/>
    </w:rPr>
  </w:style>
  <w:style w:type="character" w:customStyle="1" w:styleId="79">
    <w:name w:val="font61"/>
    <w:qFormat/>
    <w:uiPriority w:val="0"/>
    <w:rPr>
      <w:rFonts w:hint="default" w:ascii="Calibri" w:hAnsi="Calibri" w:cs="Calibri"/>
      <w:color w:val="000000"/>
      <w:sz w:val="18"/>
      <w:szCs w:val="18"/>
      <w:u w:val="none"/>
    </w:rPr>
  </w:style>
  <w:style w:type="paragraph" w:customStyle="1" w:styleId="80">
    <w:name w:val="——"/>
    <w:qFormat/>
    <w:uiPriority w:val="0"/>
    <w:pPr>
      <w:ind w:firstLine="660" w:firstLineChars="300"/>
    </w:pPr>
    <w:rPr>
      <w:rFonts w:ascii="Times New Roman" w:hAnsi="Times New Roman" w:eastAsia="宋体" w:cs="Times New Roman"/>
      <w:lang w:val="en-US" w:eastAsia="zh-CN" w:bidi="ar-SA"/>
    </w:rPr>
  </w:style>
  <w:style w:type="paragraph" w:customStyle="1" w:styleId="81">
    <w:name w:val="样式1"/>
    <w:basedOn w:val="1"/>
    <w:qFormat/>
    <w:uiPriority w:val="0"/>
    <w:rPr>
      <w:rFonts w:eastAsia="楷体_GB2312"/>
      <w:sz w:val="28"/>
      <w:szCs w:val="20"/>
    </w:rPr>
  </w:style>
  <w:style w:type="paragraph" w:customStyle="1" w:styleId="82">
    <w:name w:val="三级标题"/>
    <w:basedOn w:val="5"/>
    <w:next w:val="83"/>
    <w:qFormat/>
    <w:uiPriority w:val="0"/>
    <w:pPr>
      <w:keepNext w:val="0"/>
      <w:keepLines w:val="0"/>
      <w:spacing w:beforeLines="50" w:afterLines="50" w:line="240" w:lineRule="auto"/>
      <w:ind w:left="0" w:firstLine="0"/>
    </w:pPr>
    <w:rPr>
      <w:rFonts w:ascii="楷体_GB2312"/>
      <w:color w:val="auto"/>
    </w:rPr>
  </w:style>
  <w:style w:type="paragraph" w:customStyle="1" w:styleId="83">
    <w:name w:val="zhang正文"/>
    <w:basedOn w:val="12"/>
    <w:qFormat/>
    <w:uiPriority w:val="0"/>
    <w:pPr>
      <w:autoSpaceDE w:val="0"/>
      <w:autoSpaceDN w:val="0"/>
      <w:adjustRightInd w:val="0"/>
      <w:snapToGrid w:val="0"/>
      <w:spacing w:after="0" w:line="500" w:lineRule="exact"/>
      <w:ind w:left="0" w:leftChars="0" w:firstLine="539"/>
      <w:textAlignment w:val="baseline"/>
    </w:pPr>
    <w:rPr>
      <w:rFonts w:eastAsia="楷体_GB2312"/>
      <w:sz w:val="28"/>
      <w:szCs w:val="20"/>
    </w:rPr>
  </w:style>
  <w:style w:type="paragraph" w:styleId="84">
    <w:name w:val="List Paragraph"/>
    <w:basedOn w:val="1"/>
    <w:qFormat/>
    <w:uiPriority w:val="99"/>
    <w:pPr>
      <w:ind w:firstLine="420" w:firstLineChars="200"/>
    </w:pPr>
  </w:style>
  <w:style w:type="paragraph" w:customStyle="1" w:styleId="85">
    <w:name w:val="WPSOffice手动目录 1"/>
    <w:qFormat/>
    <w:uiPriority w:val="0"/>
    <w:rPr>
      <w:rFonts w:ascii="Times New Roman" w:hAnsi="Times New Roman" w:eastAsia="宋体" w:cs="Times New Roman"/>
      <w:lang w:val="en-US" w:eastAsia="zh-CN" w:bidi="ar-SA"/>
    </w:rPr>
  </w:style>
  <w:style w:type="paragraph" w:customStyle="1" w:styleId="86">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87">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88">
    <w:name w:val="2表格文字+小五"/>
    <w:basedOn w:val="1"/>
    <w:qFormat/>
    <w:uiPriority w:val="0"/>
    <w:pPr>
      <w:jc w:val="center"/>
    </w:pPr>
    <w:rPr>
      <w:rFonts w:ascii="Times New Roman" w:hAnsi="Times New Roman" w:cs="Times New Roman"/>
      <w:sz w:val="18"/>
      <w:szCs w:val="18"/>
    </w:rPr>
  </w:style>
  <w:style w:type="character" w:customStyle="1" w:styleId="89">
    <w:name w:val="Unresolved Mention"/>
    <w:unhideWhenUsed/>
    <w:qFormat/>
    <w:uiPriority w:val="99"/>
    <w:rPr>
      <w:color w:val="605E5C"/>
      <w:shd w:val="clear" w:color="auto" w:fill="E1DFDD"/>
    </w:rPr>
  </w:style>
  <w:style w:type="character" w:customStyle="1" w:styleId="90">
    <w:name w:val="font111"/>
    <w:qFormat/>
    <w:uiPriority w:val="0"/>
    <w:rPr>
      <w:rFonts w:hint="default" w:ascii="Times New Roman" w:hAnsi="Times New Roman" w:cs="Times New Roman"/>
      <w:color w:val="000000"/>
      <w:sz w:val="21"/>
      <w:szCs w:val="21"/>
      <w:u w:val="none"/>
      <w:vertAlign w:val="subscript"/>
    </w:rPr>
  </w:style>
  <w:style w:type="character" w:customStyle="1" w:styleId="91">
    <w:name w:val="font12"/>
    <w:qFormat/>
    <w:uiPriority w:val="0"/>
    <w:rPr>
      <w:rFonts w:hint="default" w:ascii="Times New Roman" w:hAnsi="Times New Roman" w:cs="Times New Roman"/>
      <w:color w:val="000000"/>
      <w:sz w:val="22"/>
      <w:szCs w:val="22"/>
      <w:u w:val="none"/>
    </w:rPr>
  </w:style>
  <w:style w:type="character" w:customStyle="1" w:styleId="92">
    <w:name w:val="font122"/>
    <w:qFormat/>
    <w:uiPriority w:val="0"/>
    <w:rPr>
      <w:rFonts w:hint="default" w:ascii="Times New Roman" w:hAnsi="Times New Roman" w:cs="Times New Roman"/>
      <w:color w:val="FF0000"/>
      <w:sz w:val="21"/>
      <w:szCs w:val="21"/>
      <w:u w:val="none"/>
    </w:rPr>
  </w:style>
  <w:style w:type="character" w:customStyle="1" w:styleId="93">
    <w:name w:val="font131"/>
    <w:qFormat/>
    <w:uiPriority w:val="0"/>
    <w:rPr>
      <w:rFonts w:hint="default" w:ascii="Times New Roman" w:hAnsi="Times New Roman" w:cs="Times New Roman"/>
      <w:color w:val="000000"/>
      <w:sz w:val="21"/>
      <w:szCs w:val="21"/>
      <w:u w:val="none"/>
    </w:rPr>
  </w:style>
  <w:style w:type="character" w:customStyle="1" w:styleId="94">
    <w:name w:val="！ Char Char"/>
    <w:qFormat/>
    <w:uiPriority w:val="0"/>
    <w:rPr>
      <w:rFonts w:ascii="Times New Roman" w:hAnsi="Times New Roman" w:eastAsia="黑体"/>
      <w:kern w:val="2"/>
      <w:sz w:val="24"/>
      <w:szCs w:val="28"/>
      <w:lang w:val="en-US" w:eastAsia="zh-CN" w:bidi="ar-SA"/>
    </w:rPr>
  </w:style>
  <w:style w:type="paragraph" w:customStyle="1" w:styleId="95">
    <w:name w:val="表格内容自定"/>
    <w:basedOn w:val="1"/>
    <w:qFormat/>
    <w:uiPriority w:val="0"/>
    <w:pPr>
      <w:widowControl w:val="0"/>
      <w:spacing w:line="280" w:lineRule="exact"/>
      <w:jc w:val="center"/>
    </w:pPr>
    <w:rPr>
      <w:rFonts w:ascii="Times New Roman" w:hAnsi="Times New Roman" w:cs="Times New Roman"/>
      <w:snapToGrid/>
      <w:color w:val="auto"/>
      <w:spacing w:val="-2"/>
      <w:sz w:val="18"/>
      <w:lang w:eastAsia="zh-CN"/>
    </w:rPr>
  </w:style>
  <w:style w:type="paragraph" w:customStyle="1" w:styleId="96">
    <w:name w:val="表格正文"/>
    <w:link w:val="97"/>
    <w:qFormat/>
    <w:uiPriority w:val="0"/>
    <w:pPr>
      <w:widowControl w:val="0"/>
      <w:tabs>
        <w:tab w:val="left" w:pos="324"/>
      </w:tabs>
      <w:adjustRightInd w:val="0"/>
      <w:snapToGrid w:val="0"/>
      <w:jc w:val="center"/>
    </w:pPr>
    <w:rPr>
      <w:rFonts w:ascii="Times New Roman" w:hAnsi="Times New Roman" w:eastAsia="宋体" w:cs="Times New Roman"/>
      <w:kern w:val="2"/>
      <w:sz w:val="21"/>
      <w:szCs w:val="21"/>
      <w:lang w:val="en-US" w:eastAsia="zh-CN" w:bidi="ar-SA"/>
    </w:rPr>
  </w:style>
  <w:style w:type="character" w:customStyle="1" w:styleId="97">
    <w:name w:val="表格正文 Char1"/>
    <w:link w:val="96"/>
    <w:qFormat/>
    <w:uiPriority w:val="0"/>
    <w:rPr>
      <w:kern w:val="2"/>
      <w:sz w:val="21"/>
      <w:szCs w:val="21"/>
    </w:rPr>
  </w:style>
  <w:style w:type="paragraph" w:customStyle="1" w:styleId="98">
    <w:name w:val="本文正文"/>
    <w:basedOn w:val="1"/>
    <w:qFormat/>
    <w:uiPriority w:val="0"/>
    <w:pPr>
      <w:widowControl w:val="0"/>
      <w:spacing w:line="300" w:lineRule="auto"/>
      <w:ind w:firstLine="560" w:firstLineChars="200"/>
      <w:jc w:val="both"/>
    </w:pPr>
    <w:rPr>
      <w:rFonts w:ascii="Times New Roman" w:hAnsi="Times New Roman" w:cs="Times New Roman"/>
      <w:snapToGrid/>
      <w:color w:val="auto"/>
      <w:spacing w:val="-2"/>
      <w:sz w:val="28"/>
      <w:szCs w:val="20"/>
      <w:lang w:eastAsia="zh-CN"/>
    </w:rPr>
  </w:style>
  <w:style w:type="character" w:customStyle="1" w:styleId="99">
    <w:name w:val="zw1"/>
    <w:qFormat/>
    <w:uiPriority w:val="0"/>
    <w:rPr>
      <w:sz w:val="21"/>
      <w:szCs w:val="21"/>
    </w:rPr>
  </w:style>
  <w:style w:type="character" w:customStyle="1" w:styleId="100">
    <w:name w:val="表标题 Char Char"/>
    <w:link w:val="101"/>
    <w:qFormat/>
    <w:uiPriority w:val="0"/>
    <w:rPr>
      <w:rFonts w:eastAsia="黑体"/>
      <w:sz w:val="24"/>
    </w:rPr>
  </w:style>
  <w:style w:type="paragraph" w:customStyle="1" w:styleId="101">
    <w:name w:val="表标题"/>
    <w:basedOn w:val="1"/>
    <w:link w:val="100"/>
    <w:qFormat/>
    <w:uiPriority w:val="0"/>
    <w:pPr>
      <w:widowControl w:val="0"/>
      <w:spacing w:line="500" w:lineRule="exact"/>
      <w:jc w:val="center"/>
    </w:pPr>
    <w:rPr>
      <w:rFonts w:ascii="Times New Roman" w:hAnsi="Times New Roman" w:eastAsia="黑体" w:cs="Times New Roman"/>
      <w:snapToGrid/>
      <w:color w:val="auto"/>
      <w:szCs w:val="20"/>
      <w:lang w:eastAsia="zh-CN"/>
    </w:rPr>
  </w:style>
  <w:style w:type="paragraph" w:customStyle="1" w:styleId="102">
    <w:name w:val="A正文"/>
    <w:basedOn w:val="1"/>
    <w:qFormat/>
    <w:uiPriority w:val="0"/>
    <w:pPr>
      <w:widowControl w:val="0"/>
      <w:jc w:val="both"/>
    </w:pPr>
    <w:rPr>
      <w:rFonts w:ascii="Calibri" w:hAnsi="Calibri" w:cs="Times New Roman"/>
      <w:snapToGrid/>
      <w:color w:val="auto"/>
      <w:kern w:val="2"/>
      <w:sz w:val="21"/>
      <w:szCs w:val="24"/>
      <w:lang w:eastAsia="zh-CN"/>
    </w:rPr>
  </w:style>
  <w:style w:type="character" w:customStyle="1" w:styleId="103">
    <w:name w:val="font181"/>
    <w:qFormat/>
    <w:uiPriority w:val="0"/>
    <w:rPr>
      <w:rFonts w:hint="eastAsia" w:ascii="仿宋" w:hAnsi="仿宋" w:eastAsia="仿宋" w:cs="仿宋"/>
      <w:b/>
      <w:color w:val="000000"/>
      <w:sz w:val="22"/>
      <w:szCs w:val="22"/>
      <w:u w:val="none"/>
    </w:rPr>
  </w:style>
  <w:style w:type="character" w:customStyle="1" w:styleId="104">
    <w:name w:val="font171"/>
    <w:qFormat/>
    <w:uiPriority w:val="0"/>
    <w:rPr>
      <w:rFonts w:hint="eastAsia" w:ascii="仿宋" w:hAnsi="仿宋" w:eastAsia="仿宋" w:cs="仿宋"/>
      <w:color w:val="000000"/>
      <w:sz w:val="22"/>
      <w:szCs w:val="22"/>
      <w:u w:val="none"/>
    </w:rPr>
  </w:style>
  <w:style w:type="character" w:customStyle="1" w:styleId="105">
    <w:name w:val="fontstyle01"/>
    <w:qFormat/>
    <w:uiPriority w:val="0"/>
    <w:rPr>
      <w:rFonts w:ascii="宋体" w:hAnsi="宋体" w:eastAsia="宋体" w:cs="宋体"/>
      <w:color w:val="000000"/>
      <w:sz w:val="22"/>
      <w:szCs w:val="22"/>
    </w:rPr>
  </w:style>
  <w:style w:type="character" w:customStyle="1" w:styleId="106">
    <w:name w:val="fontstyle21"/>
    <w:qFormat/>
    <w:uiPriority w:val="0"/>
    <w:rPr>
      <w:rFonts w:ascii="宋体" w:hAnsi="宋体" w:eastAsia="宋体" w:cs="宋体"/>
      <w:color w:val="000000"/>
      <w:sz w:val="22"/>
      <w:szCs w:val="22"/>
    </w:rPr>
  </w:style>
  <w:style w:type="character" w:customStyle="1" w:styleId="107">
    <w:name w:val="fontstyle11"/>
    <w:qFormat/>
    <w:uiPriority w:val="0"/>
    <w:rPr>
      <w:rFonts w:ascii="TimesNewRomanPSMT" w:hAnsi="TimesNewRomanPSMT" w:eastAsia="TimesNewRomanPSMT" w:cs="TimesNewRomanPSMT"/>
      <w:color w:val="000000"/>
      <w:sz w:val="24"/>
      <w:szCs w:val="24"/>
    </w:rPr>
  </w:style>
  <w:style w:type="character" w:customStyle="1" w:styleId="108">
    <w:name w:val="font41"/>
    <w:qFormat/>
    <w:uiPriority w:val="0"/>
    <w:rPr>
      <w:rFonts w:hint="eastAsia" w:ascii="仿宋" w:hAnsi="仿宋" w:eastAsia="仿宋" w:cs="仿宋"/>
      <w:color w:val="000000"/>
      <w:sz w:val="21"/>
      <w:szCs w:val="21"/>
      <w:u w:val="none"/>
    </w:rPr>
  </w:style>
  <w:style w:type="character" w:customStyle="1" w:styleId="109">
    <w:name w:val="font51"/>
    <w:qFormat/>
    <w:uiPriority w:val="0"/>
    <w:rPr>
      <w:rFonts w:hint="default" w:ascii="Times New Roman" w:hAnsi="Times New Roman" w:cs="Times New Roman"/>
      <w:color w:val="000000"/>
      <w:sz w:val="21"/>
      <w:szCs w:val="21"/>
      <w:u w:val="none"/>
      <w:vertAlign w:val="superscript"/>
    </w:rPr>
  </w:style>
  <w:style w:type="character" w:customStyle="1" w:styleId="110">
    <w:name w:val="font81"/>
    <w:qFormat/>
    <w:uiPriority w:val="0"/>
    <w:rPr>
      <w:rFonts w:hint="default" w:ascii="Times New Roman" w:hAnsi="Times New Roman" w:cs="Times New Roman"/>
      <w:b/>
      <w:bCs/>
      <w:color w:val="FF0000"/>
      <w:sz w:val="21"/>
      <w:szCs w:val="21"/>
      <w:u w:val="single"/>
    </w:rPr>
  </w:style>
  <w:style w:type="character" w:customStyle="1" w:styleId="111">
    <w:name w:val="font91"/>
    <w:qFormat/>
    <w:uiPriority w:val="0"/>
    <w:rPr>
      <w:rFonts w:hint="default" w:ascii="Times New Roman" w:hAnsi="Times New Roman" w:cs="Times New Roman"/>
      <w:color w:val="000000"/>
      <w:sz w:val="21"/>
      <w:szCs w:val="21"/>
      <w:u w:val="none"/>
    </w:rPr>
  </w:style>
  <w:style w:type="character" w:customStyle="1" w:styleId="112">
    <w:name w:val="font71"/>
    <w:qFormat/>
    <w:uiPriority w:val="0"/>
    <w:rPr>
      <w:rFonts w:ascii="Calibri" w:hAnsi="Calibri" w:cs="Calibri"/>
      <w:color w:val="000000"/>
      <w:sz w:val="21"/>
      <w:szCs w:val="21"/>
      <w:u w:val="none"/>
    </w:rPr>
  </w:style>
  <w:style w:type="character" w:customStyle="1" w:styleId="113">
    <w:name w:val="font112"/>
    <w:qFormat/>
    <w:uiPriority w:val="0"/>
    <w:rPr>
      <w:rFonts w:hint="default" w:ascii="Times New Roman" w:hAnsi="Times New Roman" w:cs="Times New Roman"/>
      <w:b/>
      <w:bCs/>
      <w:color w:val="FF0000"/>
      <w:sz w:val="21"/>
      <w:szCs w:val="21"/>
      <w:u w:val="single"/>
    </w:rPr>
  </w:style>
  <w:style w:type="character" w:customStyle="1" w:styleId="114">
    <w:name w:val="font101"/>
    <w:qFormat/>
    <w:uiPriority w:val="0"/>
    <w:rPr>
      <w:rFonts w:hint="default" w:ascii="Times New Roman" w:hAnsi="Times New Roman" w:cs="Times New Roman"/>
      <w:color w:val="FF0000"/>
      <w:sz w:val="21"/>
      <w:szCs w:val="21"/>
      <w:u w:val="none"/>
    </w:rPr>
  </w:style>
  <w:style w:type="character" w:customStyle="1" w:styleId="115">
    <w:name w:val="font231"/>
    <w:qFormat/>
    <w:uiPriority w:val="0"/>
    <w:rPr>
      <w:rFonts w:hint="eastAsia" w:ascii="仿宋" w:hAnsi="仿宋" w:eastAsia="仿宋" w:cs="仿宋"/>
      <w:color w:val="000000"/>
      <w:sz w:val="22"/>
      <w:szCs w:val="22"/>
      <w:u w:val="none"/>
    </w:rPr>
  </w:style>
  <w:style w:type="character" w:customStyle="1" w:styleId="116">
    <w:name w:val="font141"/>
    <w:qFormat/>
    <w:uiPriority w:val="0"/>
    <w:rPr>
      <w:rFonts w:hint="default" w:ascii="Times New Roman" w:hAnsi="Times New Roman" w:cs="Times New Roman"/>
      <w:color w:val="000000"/>
      <w:sz w:val="22"/>
      <w:szCs w:val="22"/>
      <w:u w:val="none"/>
    </w:rPr>
  </w:style>
  <w:style w:type="character" w:customStyle="1" w:styleId="117">
    <w:name w:val="font241"/>
    <w:qFormat/>
    <w:uiPriority w:val="0"/>
    <w:rPr>
      <w:rFonts w:hint="eastAsia" w:ascii="仿宋" w:hAnsi="仿宋" w:eastAsia="仿宋" w:cs="仿宋"/>
      <w:color w:val="FF0000"/>
      <w:sz w:val="22"/>
      <w:szCs w:val="22"/>
      <w:u w:val="none"/>
    </w:rPr>
  </w:style>
  <w:style w:type="character" w:customStyle="1" w:styleId="118">
    <w:name w:val="font151"/>
    <w:qFormat/>
    <w:uiPriority w:val="0"/>
    <w:rPr>
      <w:rFonts w:hint="default" w:ascii="Times New Roman" w:hAnsi="Times New Roman" w:cs="Times New Roman"/>
      <w:color w:val="FF0000"/>
      <w:sz w:val="22"/>
      <w:szCs w:val="22"/>
      <w:u w:val="none"/>
    </w:rPr>
  </w:style>
  <w:style w:type="character" w:customStyle="1" w:styleId="119">
    <w:name w:val="font251"/>
    <w:qFormat/>
    <w:uiPriority w:val="0"/>
    <w:rPr>
      <w:rFonts w:hint="default" w:ascii="Times New Roman" w:hAnsi="Times New Roman" w:cs="Times New Roman"/>
      <w:color w:val="FF0000"/>
      <w:sz w:val="21"/>
      <w:szCs w:val="21"/>
      <w:u w:val="none"/>
    </w:rPr>
  </w:style>
  <w:style w:type="character" w:customStyle="1" w:styleId="120">
    <w:name w:val="font201"/>
    <w:qFormat/>
    <w:uiPriority w:val="0"/>
    <w:rPr>
      <w:rFonts w:hint="eastAsia" w:ascii="仿宋" w:hAnsi="仿宋" w:eastAsia="仿宋" w:cs="仿宋"/>
      <w:color w:val="3151F7"/>
      <w:sz w:val="21"/>
      <w:szCs w:val="21"/>
      <w:u w:val="none"/>
    </w:rPr>
  </w:style>
  <w:style w:type="character" w:customStyle="1" w:styleId="121">
    <w:name w:val="font261"/>
    <w:qFormat/>
    <w:uiPriority w:val="0"/>
    <w:rPr>
      <w:rFonts w:hint="default" w:ascii="Times New Roman" w:hAnsi="Times New Roman" w:cs="Times New Roman"/>
      <w:color w:val="3366FF"/>
      <w:sz w:val="21"/>
      <w:szCs w:val="21"/>
      <w:u w:val="none"/>
    </w:rPr>
  </w:style>
  <w:style w:type="character" w:customStyle="1" w:styleId="122">
    <w:name w:val="font271"/>
    <w:qFormat/>
    <w:uiPriority w:val="0"/>
    <w:rPr>
      <w:rFonts w:hint="default" w:ascii="Times New Roman" w:hAnsi="Times New Roman" w:cs="Times New Roman"/>
      <w:color w:val="3366FF"/>
      <w:sz w:val="21"/>
      <w:szCs w:val="21"/>
      <w:u w:val="none"/>
      <w:vertAlign w:val="superscript"/>
    </w:rPr>
  </w:style>
  <w:style w:type="character" w:customStyle="1" w:styleId="123">
    <w:name w:val="font191"/>
    <w:qFormat/>
    <w:uiPriority w:val="0"/>
    <w:rPr>
      <w:rFonts w:hint="eastAsia" w:ascii="仿宋" w:hAnsi="仿宋" w:eastAsia="仿宋" w:cs="仿宋"/>
      <w:color w:val="FF0000"/>
      <w:sz w:val="21"/>
      <w:szCs w:val="21"/>
      <w:u w:val="none"/>
      <w:vertAlign w:val="superscript"/>
    </w:rPr>
  </w:style>
  <w:style w:type="character" w:customStyle="1" w:styleId="124">
    <w:name w:val="font212"/>
    <w:qFormat/>
    <w:uiPriority w:val="0"/>
    <w:rPr>
      <w:rFonts w:hint="default" w:ascii="Times New Roman" w:hAnsi="Times New Roman" w:cs="Times New Roman"/>
      <w:color w:val="FF0000"/>
      <w:sz w:val="22"/>
      <w:szCs w:val="22"/>
      <w:u w:val="none"/>
    </w:rPr>
  </w:style>
  <w:style w:type="character" w:customStyle="1" w:styleId="125">
    <w:name w:val="font221"/>
    <w:qFormat/>
    <w:uiPriority w:val="0"/>
    <w:rPr>
      <w:rFonts w:hint="default" w:ascii="Times New Roman" w:hAnsi="Times New Roman" w:cs="Times New Roman"/>
      <w:color w:val="FF0000"/>
      <w:sz w:val="22"/>
      <w:szCs w:val="22"/>
      <w:u w:val="none"/>
    </w:rPr>
  </w:style>
  <w:style w:type="character" w:customStyle="1" w:styleId="126">
    <w:name w:val="font121"/>
    <w:qFormat/>
    <w:uiPriority w:val="0"/>
    <w:rPr>
      <w:rFonts w:hint="eastAsia" w:ascii="仿宋" w:hAnsi="仿宋" w:eastAsia="仿宋" w:cs="仿宋"/>
      <w:color w:val="000000"/>
      <w:sz w:val="21"/>
      <w:szCs w:val="21"/>
      <w:u w:val="none"/>
    </w:rPr>
  </w:style>
  <w:style w:type="paragraph" w:customStyle="1" w:styleId="127">
    <w:name w:val="_Style 16"/>
    <w:basedOn w:val="1"/>
    <w:qFormat/>
    <w:uiPriority w:val="0"/>
    <w:pPr>
      <w:widowControl w:val="0"/>
      <w:spacing w:line="360" w:lineRule="auto"/>
      <w:ind w:firstLine="200" w:firstLineChars="200"/>
      <w:jc w:val="both"/>
    </w:pPr>
    <w:rPr>
      <w:rFonts w:ascii="宋体" w:hAnsi="宋体" w:cs="Times New Roman"/>
      <w:snapToGrid/>
      <w:color w:val="auto"/>
      <w:szCs w:val="20"/>
      <w:lang w:eastAsia="zh-CN"/>
    </w:rPr>
  </w:style>
  <w:style w:type="table" w:customStyle="1" w:styleId="128">
    <w:name w:val="网格型1"/>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customStyle="1" w:styleId="129">
    <w:name w:val="【表内字】"/>
    <w:qFormat/>
    <w:uiPriority w:val="0"/>
    <w:pPr>
      <w:widowControl w:val="0"/>
      <w:adjustRightInd w:val="0"/>
      <w:snapToGrid w:val="0"/>
      <w:jc w:val="center"/>
    </w:pPr>
    <w:rPr>
      <w:rFonts w:ascii="Times New Roman" w:hAnsi="Times New Roman" w:eastAsia="宋体" w:cs="宋体"/>
      <w:snapToGrid w:val="0"/>
      <w:spacing w:val="-2"/>
      <w:sz w:val="21"/>
      <w:szCs w:val="24"/>
      <w:lang w:val="en-US" w:eastAsia="zh-CN" w:bidi="ar-SA"/>
    </w:rPr>
  </w:style>
  <w:style w:type="paragraph" w:customStyle="1" w:styleId="130">
    <w:name w:val="表格文字"/>
    <w:basedOn w:val="1"/>
    <w:qFormat/>
    <w:uiPriority w:val="0"/>
    <w:pPr>
      <w:widowControl w:val="0"/>
      <w:spacing w:line="520" w:lineRule="exact"/>
      <w:jc w:val="center"/>
    </w:pPr>
    <w:rPr>
      <w:rFonts w:ascii="Times New Roman" w:hAnsi="Times New Roman" w:eastAsia="楷体_GB2312" w:cs="Times New Roman"/>
      <w:color w:val="auto"/>
      <w:sz w:val="21"/>
      <w:szCs w:val="18"/>
      <w:lang w:eastAsia="zh-CN"/>
    </w:rPr>
  </w:style>
  <w:style w:type="character" w:customStyle="1" w:styleId="131">
    <w:name w:val="正文缩进 字符"/>
    <w:qFormat/>
    <w:uiPriority w:val="0"/>
    <w:rPr>
      <w:kern w:val="2"/>
      <w:sz w:val="21"/>
    </w:rPr>
  </w:style>
  <w:style w:type="paragraph" w:customStyle="1" w:styleId="132">
    <w:name w:val="正文(首行缩进)"/>
    <w:basedOn w:val="1"/>
    <w:qFormat/>
    <w:uiPriority w:val="0"/>
    <w:pPr>
      <w:kinsoku w:val="0"/>
      <w:autoSpaceDE w:val="0"/>
      <w:autoSpaceDN w:val="0"/>
      <w:adjustRightInd w:val="0"/>
      <w:snapToGrid w:val="0"/>
      <w:spacing w:line="360" w:lineRule="auto"/>
      <w:ind w:firstLine="200" w:firstLineChars="200"/>
      <w:textAlignment w:val="baseline"/>
    </w:pPr>
    <w:rPr>
      <w:rFonts w:ascii="Calibri" w:hAnsi="Calibri"/>
      <w:szCs w:val="24"/>
    </w:rPr>
  </w:style>
  <w:style w:type="character" w:customStyle="1" w:styleId="133">
    <w:name w:val="1正文段落 Char Char"/>
    <w:qFormat/>
    <w:uiPriority w:val="0"/>
    <w:rPr>
      <w:rFonts w:ascii="宋体" w:hAnsi="宋体"/>
      <w:snapToGrid w:val="0"/>
      <w:sz w:val="24"/>
      <w:szCs w:val="24"/>
    </w:rPr>
  </w:style>
  <w:style w:type="character" w:customStyle="1" w:styleId="134">
    <w:name w:val="二级标题 Char Char"/>
    <w:link w:val="135"/>
    <w:qFormat/>
    <w:uiPriority w:val="0"/>
    <w:rPr>
      <w:b/>
      <w:bCs/>
      <w:kern w:val="2"/>
      <w:sz w:val="28"/>
      <w:szCs w:val="24"/>
    </w:rPr>
  </w:style>
  <w:style w:type="paragraph" w:customStyle="1" w:styleId="135">
    <w:name w:val="二级标题"/>
    <w:basedOn w:val="26"/>
    <w:link w:val="134"/>
    <w:qFormat/>
    <w:uiPriority w:val="0"/>
    <w:pPr>
      <w:widowControl w:val="0"/>
      <w:snapToGrid w:val="0"/>
      <w:spacing w:before="60" w:line="460" w:lineRule="exact"/>
      <w:jc w:val="left"/>
    </w:pPr>
    <w:rPr>
      <w:rFonts w:ascii="Times New Roman" w:hAnsi="Times New Roman"/>
      <w:snapToGrid/>
      <w:color w:val="auto"/>
      <w:kern w:val="2"/>
      <w:sz w:val="28"/>
      <w:szCs w:val="24"/>
      <w:lang w:eastAsia="zh-CN"/>
    </w:rPr>
  </w:style>
  <w:style w:type="paragraph" w:customStyle="1" w:styleId="136">
    <w:name w:val="表格内文字"/>
    <w:basedOn w:val="1"/>
    <w:qFormat/>
    <w:uiPriority w:val="0"/>
    <w:pPr>
      <w:tabs>
        <w:tab w:val="left" w:pos="0"/>
      </w:tabs>
      <w:adjustRightInd w:val="0"/>
      <w:snapToGrid w:val="0"/>
      <w:jc w:val="center"/>
    </w:pPr>
    <w:rPr>
      <w:rFonts w:ascii="Calibri" w:hAnsi="Calibri" w:cs="Times New Roman"/>
      <w:spacing w:val="6"/>
      <w:kern w:val="2"/>
      <w:szCs w:val="22"/>
    </w:rPr>
  </w:style>
  <w:style w:type="paragraph" w:customStyle="1" w:styleId="137">
    <w:name w:val="+标题4"/>
    <w:basedOn w:val="6"/>
    <w:qFormat/>
    <w:uiPriority w:val="0"/>
    <w:pPr>
      <w:tabs>
        <w:tab w:val="left" w:pos="0"/>
      </w:tabs>
      <w:spacing w:before="0" w:after="0" w:line="360" w:lineRule="auto"/>
      <w:outlineLvl w:val="2"/>
    </w:pPr>
    <w:rPr>
      <w:rFonts w:ascii="Times New Roman" w:hAnsi="Times New Roman" w:eastAsia="宋体"/>
      <w:sz w:val="24"/>
    </w:rPr>
  </w:style>
  <w:style w:type="character" w:styleId="138">
    <w:name w:val="Placeholder Text"/>
    <w:basedOn w:val="38"/>
    <w:unhideWhenUsed/>
    <w:qFormat/>
    <w:uiPriority w:val="99"/>
    <w:rPr>
      <w:color w:val="666666"/>
    </w:rPr>
  </w:style>
  <w:style w:type="character" w:customStyle="1" w:styleId="139">
    <w:name w:val="未处理的提及1"/>
    <w:unhideWhenUsed/>
    <w:qFormat/>
    <w:uiPriority w:val="99"/>
    <w:rPr>
      <w:color w:val="605E5C"/>
      <w:shd w:val="clear" w:color="auto" w:fill="E1DFDD"/>
    </w:rPr>
  </w:style>
  <w:style w:type="paragraph" w:customStyle="1" w:styleId="140">
    <w:name w:val="表格文字居中"/>
    <w:basedOn w:val="1"/>
    <w:qFormat/>
    <w:uiPriority w:val="0"/>
    <w:pPr>
      <w:spacing w:line="0" w:lineRule="atLeast"/>
      <w:ind w:left="-50" w:leftChars="-50" w:firstLine="200" w:firstLineChars="200"/>
      <w:jc w:val="center"/>
    </w:pPr>
    <w:rPr>
      <w:rFonts w:ascii="宋体" w:hAnsi="宋体" w:cs="宋体"/>
      <w:sz w:val="18"/>
      <w:szCs w:val="18"/>
    </w:rPr>
  </w:style>
  <w:style w:type="paragraph" w:customStyle="1" w:styleId="141">
    <w:name w:val="表内容"/>
    <w:basedOn w:val="1"/>
    <w:qFormat/>
    <w:uiPriority w:val="0"/>
    <w:pPr>
      <w:adjustRightInd w:val="0"/>
      <w:snapToGrid w:val="0"/>
      <w:jc w:val="center"/>
    </w:pPr>
    <w:rPr>
      <w:rFonts w:ascii="Calibri" w:hAnsi="Calibri"/>
      <w:sz w:val="21"/>
    </w:rPr>
  </w:style>
  <w:style w:type="character" w:customStyle="1" w:styleId="142">
    <w:name w:val="日期 字符"/>
    <w:basedOn w:val="38"/>
    <w:link w:val="18"/>
    <w:qFormat/>
    <w:uiPriority w:val="0"/>
    <w:rPr>
      <w:rFonts w:ascii="Arial" w:hAnsi="Arial" w:cs="Arial"/>
      <w:snapToGrid w:val="0"/>
      <w:color w:val="000000"/>
      <w:sz w:val="24"/>
      <w:szCs w:val="21"/>
      <w:lang w:eastAsia="en-US"/>
    </w:rPr>
  </w:style>
  <w:style w:type="paragraph" w:customStyle="1" w:styleId="143">
    <w:name w:val="表内文字"/>
    <w:basedOn w:val="1"/>
    <w:qFormat/>
    <w:uiPriority w:val="0"/>
    <w:pPr>
      <w:adjustRightInd w:val="0"/>
      <w:snapToGrid w:val="0"/>
      <w:jc w:val="center"/>
    </w:pPr>
    <w:rPr>
      <w:rFonts w:ascii="Times New Roman" w:hAnsi="Times New Roman"/>
      <w:color w:val="auto"/>
      <w:sz w:val="18"/>
      <w:szCs w:val="18"/>
    </w:rPr>
  </w:style>
  <w:style w:type="table" w:customStyle="1" w:styleId="144">
    <w:name w:val="杨1"/>
    <w:basedOn w:val="35"/>
    <w:qFormat/>
    <w:uiPriority w:val="0"/>
    <w:rPr>
      <w:rFonts w:ascii="Calibri" w:hAnsi="Calibri"/>
    </w:rPr>
    <w:tblPr>
      <w:tblBorders>
        <w:top w:val="single" w:color="auto" w:sz="12" w:space="0"/>
        <w:bottom w:val="single" w:color="auto" w:sz="12" w:space="0"/>
        <w:insideH w:val="single" w:color="auto" w:sz="4" w:space="0"/>
        <w:insideV w:val="single" w:color="auto" w:sz="4" w:space="0"/>
      </w:tblBorders>
    </w:tblPr>
  </w:style>
  <w:style w:type="character" w:customStyle="1" w:styleId="145">
    <w:name w:val="标题 4 字符"/>
    <w:basedOn w:val="38"/>
    <w:link w:val="6"/>
    <w:qFormat/>
    <w:uiPriority w:val="9"/>
    <w:rPr>
      <w:rFonts w:ascii="Arial" w:hAnsi="Arial" w:eastAsia="黑体" w:cs="Arial"/>
      <w:b/>
      <w:bCs/>
      <w:snapToGrid w:val="0"/>
      <w:color w:val="000000"/>
      <w:sz w:val="28"/>
      <w:szCs w:val="28"/>
      <w:lang w:eastAsia="en-US"/>
    </w:rPr>
  </w:style>
  <w:style w:type="character" w:customStyle="1" w:styleId="146">
    <w:name w:val="宏文本 字符"/>
    <w:basedOn w:val="38"/>
    <w:link w:val="2"/>
    <w:qFormat/>
    <w:uiPriority w:val="0"/>
    <w:rPr>
      <w:rFonts w:ascii="Courier New" w:hAnsi="Courier New" w:cs="Courier New"/>
      <w:snapToGrid w:val="0"/>
      <w:color w:val="000000"/>
      <w:sz w:val="24"/>
      <w:szCs w:val="24"/>
      <w:lang w:eastAsia="en-US"/>
    </w:rPr>
  </w:style>
  <w:style w:type="character" w:customStyle="1" w:styleId="147">
    <w:name w:val="纯文本 字符1"/>
    <w:qFormat/>
    <w:uiPriority w:val="0"/>
    <w:rPr>
      <w:rFonts w:ascii="宋体" w:hAnsi="Courier New"/>
      <w:kern w:val="2"/>
      <w:sz w:val="21"/>
      <w:szCs w:val="21"/>
    </w:rPr>
  </w:style>
  <w:style w:type="character" w:customStyle="1" w:styleId="148">
    <w:name w:val="普通(网站) 字符"/>
    <w:link w:val="31"/>
    <w:qFormat/>
    <w:uiPriority w:val="99"/>
    <w:rPr>
      <w:rFonts w:ascii="Arial" w:hAnsi="Arial"/>
      <w:snapToGrid w:val="0"/>
      <w:color w:val="000000"/>
      <w:sz w:val="24"/>
      <w:szCs w:val="21"/>
    </w:rPr>
  </w:style>
</w:styles>
</file>

<file path=word/_rels/document.xml.rels><?xml version="1.0" encoding="UTF-8" standalone="yes"?>
<Relationships xmlns="http://schemas.openxmlformats.org/package/2006/relationships"><Relationship Id="rId99" Type="http://schemas.openxmlformats.org/officeDocument/2006/relationships/image" Target="media/image46.png"/><Relationship Id="rId98" Type="http://schemas.openxmlformats.org/officeDocument/2006/relationships/image" Target="media/image45.png"/><Relationship Id="rId97" Type="http://schemas.openxmlformats.org/officeDocument/2006/relationships/image" Target="media/image44.png"/><Relationship Id="rId96" Type="http://schemas.openxmlformats.org/officeDocument/2006/relationships/image" Target="media/image43.jpeg"/><Relationship Id="rId95" Type="http://schemas.openxmlformats.org/officeDocument/2006/relationships/image" Target="media/image42.png"/><Relationship Id="rId94" Type="http://schemas.openxmlformats.org/officeDocument/2006/relationships/image" Target="media/image41.png"/><Relationship Id="rId93" Type="http://schemas.openxmlformats.org/officeDocument/2006/relationships/image" Target="media/image40.jpeg"/><Relationship Id="rId92" Type="http://schemas.openxmlformats.org/officeDocument/2006/relationships/image" Target="media/image39.jpeg"/><Relationship Id="rId91" Type="http://schemas.openxmlformats.org/officeDocument/2006/relationships/image" Target="media/image38.jpeg"/><Relationship Id="rId90" Type="http://schemas.openxmlformats.org/officeDocument/2006/relationships/image" Target="media/image37.jpeg"/><Relationship Id="rId9" Type="http://schemas.openxmlformats.org/officeDocument/2006/relationships/header" Target="header6.xml"/><Relationship Id="rId89" Type="http://schemas.openxmlformats.org/officeDocument/2006/relationships/image" Target="media/image36.jpeg"/><Relationship Id="rId88" Type="http://schemas.openxmlformats.org/officeDocument/2006/relationships/image" Target="media/image35.jpeg"/><Relationship Id="rId87" Type="http://schemas.openxmlformats.org/officeDocument/2006/relationships/image" Target="media/image34.png"/><Relationship Id="rId86" Type="http://schemas.openxmlformats.org/officeDocument/2006/relationships/image" Target="media/image33.jpeg"/><Relationship Id="rId85" Type="http://schemas.openxmlformats.org/officeDocument/2006/relationships/chart" Target="charts/chart2.xml"/><Relationship Id="rId84" Type="http://schemas.openxmlformats.org/officeDocument/2006/relationships/chart" Target="charts/chart1.xml"/><Relationship Id="rId83" Type="http://schemas.openxmlformats.org/officeDocument/2006/relationships/image" Target="media/image32.jpeg"/><Relationship Id="rId82" Type="http://schemas.openxmlformats.org/officeDocument/2006/relationships/image" Target="media/image31.wmf"/><Relationship Id="rId81" Type="http://schemas.openxmlformats.org/officeDocument/2006/relationships/oleObject" Target="embeddings/oleObject4.bin"/><Relationship Id="rId80" Type="http://schemas.openxmlformats.org/officeDocument/2006/relationships/image" Target="media/image30.wmf"/><Relationship Id="rId8" Type="http://schemas.openxmlformats.org/officeDocument/2006/relationships/footer" Target="footer1.xml"/><Relationship Id="rId79" Type="http://schemas.openxmlformats.org/officeDocument/2006/relationships/oleObject" Target="embeddings/oleObject3.bin"/><Relationship Id="rId78" Type="http://schemas.openxmlformats.org/officeDocument/2006/relationships/image" Target="media/image29.emf"/><Relationship Id="rId77" Type="http://schemas.openxmlformats.org/officeDocument/2006/relationships/image" Target="media/image28.png"/><Relationship Id="rId76" Type="http://schemas.openxmlformats.org/officeDocument/2006/relationships/image" Target="media/image27.png"/><Relationship Id="rId75" Type="http://schemas.openxmlformats.org/officeDocument/2006/relationships/image" Target="media/image26.png"/><Relationship Id="rId74" Type="http://schemas.openxmlformats.org/officeDocument/2006/relationships/image" Target="media/image25.jpeg"/><Relationship Id="rId73" Type="http://schemas.openxmlformats.org/officeDocument/2006/relationships/image" Target="media/image24.jpeg"/><Relationship Id="rId72" Type="http://schemas.openxmlformats.org/officeDocument/2006/relationships/image" Target="media/image23.png"/><Relationship Id="rId71" Type="http://schemas.openxmlformats.org/officeDocument/2006/relationships/image" Target="media/image22.png"/><Relationship Id="rId70" Type="http://schemas.openxmlformats.org/officeDocument/2006/relationships/image" Target="media/image21.wmf"/><Relationship Id="rId7" Type="http://schemas.openxmlformats.org/officeDocument/2006/relationships/header" Target="header5.xml"/><Relationship Id="rId69" Type="http://schemas.openxmlformats.org/officeDocument/2006/relationships/image" Target="media/image20.wmf"/><Relationship Id="rId68" Type="http://schemas.openxmlformats.org/officeDocument/2006/relationships/oleObject" Target="embeddings/oleObject2.bin"/><Relationship Id="rId67" Type="http://schemas.openxmlformats.org/officeDocument/2006/relationships/image" Target="media/image19.wmf"/><Relationship Id="rId66" Type="http://schemas.openxmlformats.org/officeDocument/2006/relationships/oleObject" Target="embeddings/oleObject1.bin"/><Relationship Id="rId65" Type="http://schemas.openxmlformats.org/officeDocument/2006/relationships/image" Target="media/image18.png"/><Relationship Id="rId64" Type="http://schemas.openxmlformats.org/officeDocument/2006/relationships/image" Target="media/image17.jpeg"/><Relationship Id="rId63" Type="http://schemas.openxmlformats.org/officeDocument/2006/relationships/image" Target="media/image16.png"/><Relationship Id="rId62" Type="http://schemas.openxmlformats.org/officeDocument/2006/relationships/image" Target="media/image15.jpeg"/><Relationship Id="rId61" Type="http://schemas.openxmlformats.org/officeDocument/2006/relationships/image" Target="media/image14.png"/><Relationship Id="rId60" Type="http://schemas.openxmlformats.org/officeDocument/2006/relationships/image" Target="media/image13.emf"/><Relationship Id="rId6" Type="http://schemas.openxmlformats.org/officeDocument/2006/relationships/header" Target="header4.xml"/><Relationship Id="rId59" Type="http://schemas.openxmlformats.org/officeDocument/2006/relationships/image" Target="media/image12.png"/><Relationship Id="rId58" Type="http://schemas.openxmlformats.org/officeDocument/2006/relationships/image" Target="media/image11.png"/><Relationship Id="rId57" Type="http://schemas.openxmlformats.org/officeDocument/2006/relationships/image" Target="media/image10.png"/><Relationship Id="rId56" Type="http://schemas.openxmlformats.org/officeDocument/2006/relationships/image" Target="media/image9.png"/><Relationship Id="rId55" Type="http://schemas.openxmlformats.org/officeDocument/2006/relationships/image" Target="media/image8.png"/><Relationship Id="rId54" Type="http://schemas.openxmlformats.org/officeDocument/2006/relationships/image" Target="media/image7.png"/><Relationship Id="rId53" Type="http://schemas.openxmlformats.org/officeDocument/2006/relationships/image" Target="media/image6.png"/><Relationship Id="rId52" Type="http://schemas.openxmlformats.org/officeDocument/2006/relationships/image" Target="media/image5.png"/><Relationship Id="rId51" Type="http://schemas.openxmlformats.org/officeDocument/2006/relationships/image" Target="media/image4.jpeg"/><Relationship Id="rId50" Type="http://schemas.openxmlformats.org/officeDocument/2006/relationships/image" Target="media/image3.jpeg"/><Relationship Id="rId5" Type="http://schemas.openxmlformats.org/officeDocument/2006/relationships/header" Target="header3.xml"/><Relationship Id="rId49" Type="http://schemas.openxmlformats.org/officeDocument/2006/relationships/image" Target="media/image2.png"/><Relationship Id="rId48" Type="http://schemas.openxmlformats.org/officeDocument/2006/relationships/image" Target="media/image1.png"/><Relationship Id="rId47" Type="http://schemas.openxmlformats.org/officeDocument/2006/relationships/theme" Target="theme/theme1.xml"/><Relationship Id="rId46" Type="http://schemas.openxmlformats.org/officeDocument/2006/relationships/footer" Target="footer12.xml"/><Relationship Id="rId45" Type="http://schemas.openxmlformats.org/officeDocument/2006/relationships/header" Target="header32.xml"/><Relationship Id="rId44" Type="http://schemas.openxmlformats.org/officeDocument/2006/relationships/header" Target="header31.xml"/><Relationship Id="rId43" Type="http://schemas.openxmlformats.org/officeDocument/2006/relationships/header" Target="header30.xml"/><Relationship Id="rId42" Type="http://schemas.openxmlformats.org/officeDocument/2006/relationships/footer" Target="footer11.xml"/><Relationship Id="rId41" Type="http://schemas.openxmlformats.org/officeDocument/2006/relationships/header" Target="header29.xml"/><Relationship Id="rId40" Type="http://schemas.openxmlformats.org/officeDocument/2006/relationships/header" Target="header28.xml"/><Relationship Id="rId4" Type="http://schemas.openxmlformats.org/officeDocument/2006/relationships/header" Target="header2.xml"/><Relationship Id="rId39" Type="http://schemas.openxmlformats.org/officeDocument/2006/relationships/header" Target="header27.xml"/><Relationship Id="rId38" Type="http://schemas.openxmlformats.org/officeDocument/2006/relationships/footer" Target="footer10.xml"/><Relationship Id="rId37" Type="http://schemas.openxmlformats.org/officeDocument/2006/relationships/header" Target="header26.xml"/><Relationship Id="rId36" Type="http://schemas.openxmlformats.org/officeDocument/2006/relationships/header" Target="header25.xml"/><Relationship Id="rId35" Type="http://schemas.openxmlformats.org/officeDocument/2006/relationships/header" Target="header24.xml"/><Relationship Id="rId34" Type="http://schemas.openxmlformats.org/officeDocument/2006/relationships/footer" Target="footer9.xml"/><Relationship Id="rId33" Type="http://schemas.openxmlformats.org/officeDocument/2006/relationships/header" Target="header23.xml"/><Relationship Id="rId32" Type="http://schemas.openxmlformats.org/officeDocument/2006/relationships/header" Target="header22.xml"/><Relationship Id="rId31" Type="http://schemas.openxmlformats.org/officeDocument/2006/relationships/header" Target="header21.xml"/><Relationship Id="rId30" Type="http://schemas.openxmlformats.org/officeDocument/2006/relationships/footer" Target="footer8.xml"/><Relationship Id="rId3" Type="http://schemas.openxmlformats.org/officeDocument/2006/relationships/header" Target="header1.xml"/><Relationship Id="rId29" Type="http://schemas.openxmlformats.org/officeDocument/2006/relationships/header" Target="header20.xml"/><Relationship Id="rId28" Type="http://schemas.openxmlformats.org/officeDocument/2006/relationships/header" Target="header19.xml"/><Relationship Id="rId27" Type="http://schemas.openxmlformats.org/officeDocument/2006/relationships/header" Target="header18.xml"/><Relationship Id="rId26" Type="http://schemas.openxmlformats.org/officeDocument/2006/relationships/footer" Target="footer7.xml"/><Relationship Id="rId25" Type="http://schemas.openxmlformats.org/officeDocument/2006/relationships/header" Target="header17.xml"/><Relationship Id="rId24" Type="http://schemas.openxmlformats.org/officeDocument/2006/relationships/header" Target="header16.xml"/><Relationship Id="rId23" Type="http://schemas.openxmlformats.org/officeDocument/2006/relationships/header" Target="header15.xml"/><Relationship Id="rId22" Type="http://schemas.openxmlformats.org/officeDocument/2006/relationships/footer" Target="footer6.xml"/><Relationship Id="rId21" Type="http://schemas.openxmlformats.org/officeDocument/2006/relationships/footer" Target="footer5.xml"/><Relationship Id="rId20" Type="http://schemas.openxmlformats.org/officeDocument/2006/relationships/footer" Target="footer4.xml"/><Relationship Id="rId2" Type="http://schemas.openxmlformats.org/officeDocument/2006/relationships/settings" Target="settings.xml"/><Relationship Id="rId19" Type="http://schemas.openxmlformats.org/officeDocument/2006/relationships/header" Target="header14.xml"/><Relationship Id="rId18" Type="http://schemas.openxmlformats.org/officeDocument/2006/relationships/header" Target="header13.xml"/><Relationship Id="rId17" Type="http://schemas.openxmlformats.org/officeDocument/2006/relationships/header" Target="header12.xml"/><Relationship Id="rId16" Type="http://schemas.openxmlformats.org/officeDocument/2006/relationships/footer" Target="footer3.xml"/><Relationship Id="rId15" Type="http://schemas.openxmlformats.org/officeDocument/2006/relationships/header" Target="header11.xml"/><Relationship Id="rId145" Type="http://schemas.openxmlformats.org/officeDocument/2006/relationships/fontTable" Target="fontTable.xml"/><Relationship Id="rId144" Type="http://schemas.openxmlformats.org/officeDocument/2006/relationships/customXml" Target="../customXml/item2.xml"/><Relationship Id="rId143" Type="http://schemas.openxmlformats.org/officeDocument/2006/relationships/numbering" Target="numbering.xml"/><Relationship Id="rId142" Type="http://schemas.openxmlformats.org/officeDocument/2006/relationships/customXml" Target="../customXml/item1.xml"/><Relationship Id="rId141" Type="http://schemas.openxmlformats.org/officeDocument/2006/relationships/image" Target="media/image78.png"/><Relationship Id="rId140" Type="http://schemas.openxmlformats.org/officeDocument/2006/relationships/image" Target="media/image77.png"/><Relationship Id="rId14" Type="http://schemas.openxmlformats.org/officeDocument/2006/relationships/header" Target="header10.xml"/><Relationship Id="rId139" Type="http://schemas.openxmlformats.org/officeDocument/2006/relationships/image" Target="media/image76.png"/><Relationship Id="rId138" Type="http://schemas.openxmlformats.org/officeDocument/2006/relationships/hyperlink" Target="http://www.biaozhi.net/eNews/news/200602/0029_0000000910.shtml" TargetMode="External"/><Relationship Id="rId137" Type="http://schemas.openxmlformats.org/officeDocument/2006/relationships/image" Target="media/image75.png"/><Relationship Id="rId136" Type="http://schemas.openxmlformats.org/officeDocument/2006/relationships/hyperlink" Target="http://www.biaozhi.net/eNews/news/200602/0029_0000000909.shtml" TargetMode="External"/><Relationship Id="rId135" Type="http://schemas.openxmlformats.org/officeDocument/2006/relationships/image" Target="media/image74.jpeg"/><Relationship Id="rId134" Type="http://schemas.openxmlformats.org/officeDocument/2006/relationships/image" Target="media/image73.png"/><Relationship Id="rId133" Type="http://schemas.openxmlformats.org/officeDocument/2006/relationships/image" Target="media/image72.png"/><Relationship Id="rId132" Type="http://schemas.openxmlformats.org/officeDocument/2006/relationships/hyperlink" Target="http://www.biaozhi.net/eNews/news/200602/0029_0000000908.shtml" TargetMode="External"/><Relationship Id="rId131" Type="http://schemas.openxmlformats.org/officeDocument/2006/relationships/image" Target="media/image71.png"/><Relationship Id="rId130" Type="http://schemas.openxmlformats.org/officeDocument/2006/relationships/hyperlink" Target="http://www.biaozhi.net/eNews/news/200602/0029_0000000907.shtml" TargetMode="External"/><Relationship Id="rId13" Type="http://schemas.openxmlformats.org/officeDocument/2006/relationships/header" Target="header9.xml"/><Relationship Id="rId129" Type="http://schemas.openxmlformats.org/officeDocument/2006/relationships/image" Target="media/image70.jpeg"/><Relationship Id="rId128" Type="http://schemas.openxmlformats.org/officeDocument/2006/relationships/image" Target="media/image69.emf"/><Relationship Id="rId127" Type="http://schemas.openxmlformats.org/officeDocument/2006/relationships/oleObject" Target="embeddings/oleObject10.bin"/><Relationship Id="rId126" Type="http://schemas.openxmlformats.org/officeDocument/2006/relationships/image" Target="media/image68.png"/><Relationship Id="rId125" Type="http://schemas.openxmlformats.org/officeDocument/2006/relationships/image" Target="media/image67.emf"/><Relationship Id="rId124" Type="http://schemas.openxmlformats.org/officeDocument/2006/relationships/oleObject" Target="embeddings/oleObject9.bin"/><Relationship Id="rId123" Type="http://schemas.openxmlformats.org/officeDocument/2006/relationships/image" Target="media/image66.jpeg"/><Relationship Id="rId122" Type="http://schemas.openxmlformats.org/officeDocument/2006/relationships/image" Target="media/image65.jpeg"/><Relationship Id="rId121" Type="http://schemas.openxmlformats.org/officeDocument/2006/relationships/image" Target="media/image64.png"/><Relationship Id="rId120" Type="http://schemas.openxmlformats.org/officeDocument/2006/relationships/image" Target="media/image63.png"/><Relationship Id="rId12" Type="http://schemas.openxmlformats.org/officeDocument/2006/relationships/footer" Target="footer2.xml"/><Relationship Id="rId119" Type="http://schemas.openxmlformats.org/officeDocument/2006/relationships/image" Target="media/image62.png"/><Relationship Id="rId118" Type="http://schemas.openxmlformats.org/officeDocument/2006/relationships/image" Target="media/image61.png"/><Relationship Id="rId117" Type="http://schemas.openxmlformats.org/officeDocument/2006/relationships/image" Target="media/image60.png"/><Relationship Id="rId116" Type="http://schemas.openxmlformats.org/officeDocument/2006/relationships/image" Target="media/image59.png"/><Relationship Id="rId115" Type="http://schemas.openxmlformats.org/officeDocument/2006/relationships/image" Target="media/image58.png"/><Relationship Id="rId114" Type="http://schemas.openxmlformats.org/officeDocument/2006/relationships/image" Target="media/image57.png"/><Relationship Id="rId113" Type="http://schemas.openxmlformats.org/officeDocument/2006/relationships/image" Target="media/image56.wmf"/><Relationship Id="rId112" Type="http://schemas.openxmlformats.org/officeDocument/2006/relationships/oleObject" Target="embeddings/oleObject8.bin"/><Relationship Id="rId111" Type="http://schemas.openxmlformats.org/officeDocument/2006/relationships/image" Target="media/image55.wmf"/><Relationship Id="rId110" Type="http://schemas.openxmlformats.org/officeDocument/2006/relationships/oleObject" Target="embeddings/oleObject7.bin"/><Relationship Id="rId11" Type="http://schemas.openxmlformats.org/officeDocument/2006/relationships/header" Target="header8.xml"/><Relationship Id="rId109" Type="http://schemas.openxmlformats.org/officeDocument/2006/relationships/image" Target="media/image54.wmf"/><Relationship Id="rId108" Type="http://schemas.openxmlformats.org/officeDocument/2006/relationships/oleObject" Target="embeddings/oleObject6.bin"/><Relationship Id="rId107" Type="http://schemas.openxmlformats.org/officeDocument/2006/relationships/image" Target="media/image53.jpeg"/><Relationship Id="rId106" Type="http://schemas.openxmlformats.org/officeDocument/2006/relationships/image" Target="media/image52.jpeg"/><Relationship Id="rId105" Type="http://schemas.openxmlformats.org/officeDocument/2006/relationships/image" Target="media/image51.png"/><Relationship Id="rId104" Type="http://schemas.openxmlformats.org/officeDocument/2006/relationships/image" Target="media/image50.jpeg"/><Relationship Id="rId103" Type="http://schemas.openxmlformats.org/officeDocument/2006/relationships/image" Target="media/image49.png"/><Relationship Id="rId102" Type="http://schemas.openxmlformats.org/officeDocument/2006/relationships/image" Target="media/image48.png"/><Relationship Id="rId101" Type="http://schemas.openxmlformats.org/officeDocument/2006/relationships/image" Target="media/image47.emf"/><Relationship Id="rId100" Type="http://schemas.openxmlformats.org/officeDocument/2006/relationships/oleObject" Target="embeddings/oleObject5.bin"/><Relationship Id="rId10" Type="http://schemas.openxmlformats.org/officeDocument/2006/relationships/header" Target="header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2"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rgbClr val="404040">
                    <a:lumMod val="75000"/>
                    <a:lumOff val="25000"/>
                  </a:srgbClr>
                </a:solidFill>
                <a:latin typeface="+mn-lt"/>
                <a:ea typeface="+mn-ea"/>
                <a:cs typeface="+mn-cs"/>
              </a:defRPr>
            </a:pPr>
            <a:r>
              <a:rPr lang="zh-CN" altLang="en-US"/>
              <a:t>温度℃</a:t>
            </a:r>
            <a:endParaRPr lang="zh-CN" altLang="en-US"/>
          </a:p>
        </c:rich>
      </c:tx>
      <c:layout>
        <c:manualLayout>
          <c:xMode val="edge"/>
          <c:yMode val="edge"/>
          <c:x val="0.0160956690368455"/>
          <c:y val="0.0456140350877193"/>
        </c:manualLayout>
      </c:layout>
      <c:overlay val="0"/>
      <c:spPr>
        <a:noFill/>
        <a:ln>
          <a:noFill/>
        </a:ln>
        <a:effectLst/>
      </c:spPr>
    </c:title>
    <c:autoTitleDeleted val="0"/>
    <c:plotArea>
      <c:layout>
        <c:manualLayout>
          <c:layoutTarget val="inner"/>
          <c:xMode val="edge"/>
          <c:yMode val="edge"/>
          <c:x val="0.0569210526315789"/>
          <c:y val="0.176388888888889"/>
          <c:w val="0.912157894736842"/>
          <c:h val="0.606805555555556"/>
        </c:manualLayout>
      </c:layout>
      <c:lineChart>
        <c:grouping val="standard"/>
        <c:varyColors val="0"/>
        <c:ser>
          <c:idx val="0"/>
          <c:order val="0"/>
          <c:tx>
            <c:strRef>
              <c:f>[工作簿2]Sheet1!$G$8021</c:f>
              <c:strCache>
                <c:ptCount val="1"/>
                <c:pt idx="0">
                  <c:v>温度</c:v>
                </c:pt>
              </c:strCache>
            </c:strRef>
          </c:tx>
          <c:spPr>
            <a:ln w="3175" cap="rnd">
              <a:solidFill>
                <a:srgbClr val="4F81BD"/>
              </a:solidFill>
              <a:round/>
            </a:ln>
            <a:effectLst/>
          </c:spPr>
          <c:marker>
            <c:symbol val="none"/>
          </c:marker>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lumMod val="75000"/>
                        <a:lumOff val="25000"/>
                      </a:srgbClr>
                    </a:solid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[工作簿2]Sheet1!$H$8020:$S$8020</c:f>
              <c:strCache>
                <c:ptCount val="12"/>
                <c:pt idx="0">
                  <c:v>1月</c:v>
                </c:pt>
                <c:pt idx="1">
                  <c:v>2月</c:v>
                </c:pt>
                <c:pt idx="2">
                  <c:v>3月</c:v>
                </c:pt>
                <c:pt idx="3">
                  <c:v>4月</c:v>
                </c:pt>
                <c:pt idx="4">
                  <c:v>5月</c:v>
                </c:pt>
                <c:pt idx="5">
                  <c:v>6月</c:v>
                </c:pt>
                <c:pt idx="6">
                  <c:v>7月</c:v>
                </c:pt>
                <c:pt idx="7">
                  <c:v>8月</c:v>
                </c:pt>
                <c:pt idx="8">
                  <c:v>9月</c:v>
                </c:pt>
                <c:pt idx="9">
                  <c:v>10月</c:v>
                </c:pt>
                <c:pt idx="10">
                  <c:v>11月</c:v>
                </c:pt>
                <c:pt idx="11">
                  <c:v>12月</c:v>
                </c:pt>
              </c:strCache>
            </c:strRef>
          </c:cat>
          <c:val>
            <c:numRef>
              <c:f>[工作簿2]Sheet1!$H$8021:$S$8021</c:f>
              <c:numCache>
                <c:formatCode>General</c:formatCode>
                <c:ptCount val="12"/>
                <c:pt idx="0">
                  <c:v>3.54</c:v>
                </c:pt>
                <c:pt idx="1">
                  <c:v>5.41</c:v>
                </c:pt>
                <c:pt idx="2">
                  <c:v>12.75</c:v>
                </c:pt>
                <c:pt idx="3">
                  <c:v>16.84</c:v>
                </c:pt>
                <c:pt idx="4">
                  <c:v>21.74</c:v>
                </c:pt>
                <c:pt idx="5">
                  <c:v>26.17</c:v>
                </c:pt>
                <c:pt idx="6">
                  <c:v>28.63</c:v>
                </c:pt>
                <c:pt idx="7">
                  <c:v>27.96</c:v>
                </c:pt>
                <c:pt idx="8">
                  <c:v>23.79</c:v>
                </c:pt>
                <c:pt idx="9">
                  <c:v>18.51</c:v>
                </c:pt>
                <c:pt idx="10">
                  <c:v>11.04</c:v>
                </c:pt>
                <c:pt idx="11">
                  <c:v>3.66</c:v>
                </c:pt>
              </c:numCache>
            </c:numRef>
          </c:val>
          <c:smooth val="0"/>
        </c:ser>
        <c:dLbls>
          <c:showLegendKey val="0"/>
          <c:showVal val="1"/>
          <c:showCatName val="0"/>
          <c:showSerName val="0"/>
          <c:showPercent val="0"/>
          <c:showBubbleSize val="0"/>
        </c:dLbls>
        <c:marker val="0"/>
        <c:smooth val="0"/>
        <c:axId val="56229131"/>
        <c:axId val="463856661"/>
      </c:lineChart>
      <c:catAx>
        <c:axId val="56229131"/>
        <c:scaling>
          <c:orientation val="minMax"/>
        </c:scaling>
        <c:delete val="0"/>
        <c:axPos val="b"/>
        <c:numFmt formatCode="General" sourceLinked="0"/>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63856661"/>
        <c:crosses val="autoZero"/>
        <c:auto val="1"/>
        <c:lblAlgn val="ctr"/>
        <c:lblOffset val="100"/>
        <c:noMultiLvlLbl val="0"/>
      </c:catAx>
      <c:valAx>
        <c:axId val="463856661"/>
        <c:scaling>
          <c:orientation val="minMax"/>
        </c:scaling>
        <c:delete val="0"/>
        <c:axPos val="l"/>
        <c:majorGridlines>
          <c:spPr>
            <a:ln w="9525" cap="flat" cmpd="sng" algn="ctr">
              <a:solidFill>
                <a:srgbClr val="E6E6E6">
                  <a:lumMod val="902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6229131"/>
        <c:crosses val="autoZero"/>
        <c:crossBetween val="between"/>
      </c:valAx>
      <c:spPr>
        <a:noFill/>
        <a:ln>
          <a:noFill/>
        </a:ln>
        <a:effectLst/>
      </c:spPr>
    </c:plotArea>
    <c:plotVisOnly val="1"/>
    <c:dispBlanksAs val="gap"/>
    <c:showDLblsOverMax val="0"/>
    <c:extLst>
      <c:ext uri="{0b15fc19-7d7d-44ad-8c2d-2c3a37ce22c3}">
        <chartProps xmlns="https://web.wps.cn/et/2018/main" chartId="{71732d85-014a-43e9-b8e6-b994d3549ed6}"/>
      </c:ext>
    </c:extLst>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rgbClr val="404040">
                    <a:lumMod val="75000"/>
                    <a:lumOff val="25000"/>
                  </a:srgbClr>
                </a:solidFill>
                <a:latin typeface="+mn-lt"/>
                <a:ea typeface="+mn-ea"/>
                <a:cs typeface="+mn-cs"/>
              </a:defRPr>
            </a:pPr>
            <a:r>
              <a:rPr lang="zh-CN" altLang="en-US"/>
              <a:t>风速</a:t>
            </a:r>
            <a:r>
              <a:rPr lang="en-US" altLang="zh-CN"/>
              <a:t>m/s</a:t>
            </a:r>
            <a:endParaRPr lang="en-US" altLang="zh-CN"/>
          </a:p>
        </c:rich>
      </c:tx>
      <c:layout>
        <c:manualLayout>
          <c:xMode val="edge"/>
          <c:yMode val="edge"/>
          <c:x val="0.00552631578947368"/>
          <c:y val="0.0555555555555556"/>
        </c:manualLayout>
      </c:layout>
      <c:overlay val="0"/>
      <c:spPr>
        <a:noFill/>
        <a:ln>
          <a:noFill/>
        </a:ln>
        <a:effectLst/>
      </c:spPr>
    </c:title>
    <c:autoTitleDeleted val="0"/>
    <c:plotArea>
      <c:layout/>
      <c:lineChart>
        <c:grouping val="standard"/>
        <c:varyColors val="0"/>
        <c:ser>
          <c:idx val="0"/>
          <c:order val="0"/>
          <c:tx>
            <c:strRef>
              <c:f>[工作簿2]Sheet1!$M$16041</c:f>
              <c:strCache>
                <c:ptCount val="1"/>
                <c:pt idx="0">
                  <c:v>风速</c:v>
                </c:pt>
              </c:strCache>
            </c:strRef>
          </c:tx>
          <c:spPr>
            <a:ln w="3175" cap="rnd">
              <a:solidFill>
                <a:srgbClr val="4F81BD"/>
              </a:solidFill>
              <a:round/>
            </a:ln>
            <a:effectLst/>
          </c:spPr>
          <c:marker>
            <c:symbol val="none"/>
          </c:marker>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lumMod val="75000"/>
                        <a:lumOff val="25000"/>
                      </a:srgbClr>
                    </a:solid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[工作簿2]Sheet1!$N$16040:$Y$16040</c:f>
              <c:strCache>
                <c:ptCount val="12"/>
                <c:pt idx="0">
                  <c:v>1月</c:v>
                </c:pt>
                <c:pt idx="1">
                  <c:v>2月</c:v>
                </c:pt>
                <c:pt idx="2">
                  <c:v>3月</c:v>
                </c:pt>
                <c:pt idx="3">
                  <c:v>4月</c:v>
                </c:pt>
                <c:pt idx="4">
                  <c:v>5月</c:v>
                </c:pt>
                <c:pt idx="5">
                  <c:v>6月</c:v>
                </c:pt>
                <c:pt idx="6">
                  <c:v>7月</c:v>
                </c:pt>
                <c:pt idx="7">
                  <c:v>8月</c:v>
                </c:pt>
                <c:pt idx="8">
                  <c:v>9月</c:v>
                </c:pt>
                <c:pt idx="9">
                  <c:v>10月</c:v>
                </c:pt>
                <c:pt idx="10">
                  <c:v>11月</c:v>
                </c:pt>
                <c:pt idx="11">
                  <c:v>12月</c:v>
                </c:pt>
              </c:strCache>
            </c:strRef>
          </c:cat>
          <c:val>
            <c:numRef>
              <c:f>[工作簿2]Sheet1!$N$16041:$Y$16041</c:f>
              <c:numCache>
                <c:formatCode>General</c:formatCode>
                <c:ptCount val="12"/>
                <c:pt idx="0">
                  <c:v>2.31</c:v>
                </c:pt>
                <c:pt idx="1">
                  <c:v>2.73</c:v>
                </c:pt>
                <c:pt idx="2">
                  <c:v>2.81</c:v>
                </c:pt>
                <c:pt idx="3">
                  <c:v>3.33</c:v>
                </c:pt>
                <c:pt idx="4">
                  <c:v>2.41</c:v>
                </c:pt>
                <c:pt idx="5">
                  <c:v>2.39</c:v>
                </c:pt>
                <c:pt idx="6">
                  <c:v>2.64</c:v>
                </c:pt>
                <c:pt idx="7">
                  <c:v>2.02</c:v>
                </c:pt>
                <c:pt idx="8">
                  <c:v>1.95</c:v>
                </c:pt>
                <c:pt idx="9">
                  <c:v>1.75</c:v>
                </c:pt>
                <c:pt idx="10">
                  <c:v>2.55</c:v>
                </c:pt>
                <c:pt idx="11">
                  <c:v>2.46</c:v>
                </c:pt>
              </c:numCache>
            </c:numRef>
          </c:val>
          <c:smooth val="0"/>
        </c:ser>
        <c:dLbls>
          <c:showLegendKey val="0"/>
          <c:showVal val="1"/>
          <c:showCatName val="0"/>
          <c:showSerName val="0"/>
          <c:showPercent val="0"/>
          <c:showBubbleSize val="0"/>
        </c:dLbls>
        <c:marker val="0"/>
        <c:smooth val="0"/>
        <c:axId val="291097023"/>
        <c:axId val="321877266"/>
      </c:lineChart>
      <c:catAx>
        <c:axId val="291097023"/>
        <c:scaling>
          <c:orientation val="minMax"/>
        </c:scaling>
        <c:delete val="0"/>
        <c:axPos val="b"/>
        <c:numFmt formatCode="General" sourceLinked="0"/>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321877266"/>
        <c:crosses val="autoZero"/>
        <c:auto val="1"/>
        <c:lblAlgn val="ctr"/>
        <c:lblOffset val="100"/>
        <c:noMultiLvlLbl val="0"/>
      </c:catAx>
      <c:valAx>
        <c:axId val="321877266"/>
        <c:scaling>
          <c:orientation val="minMax"/>
        </c:scaling>
        <c:delete val="0"/>
        <c:axPos val="l"/>
        <c:majorGridlines>
          <c:spPr>
            <a:ln w="9525" cap="flat" cmpd="sng" algn="ctr">
              <a:solidFill>
                <a:srgbClr val="E6E6E6">
                  <a:lumMod val="902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291097023"/>
        <c:crosses val="autoZero"/>
        <c:crossBetween val="between"/>
      </c:valAx>
      <c:spPr>
        <a:noFill/>
        <a:ln>
          <a:noFill/>
        </a:ln>
        <a:effectLst/>
      </c:spPr>
    </c:plotArea>
    <c:plotVisOnly val="1"/>
    <c:dispBlanksAs val="gap"/>
    <c:showDLblsOverMax val="0"/>
    <c:extLst>
      <c:ext uri="{0b15fc19-7d7d-44ad-8c2d-2c3a37ce22c3}">
        <chartProps xmlns="https://web.wps.cn/et/2018/main" chartId="{547e6ac3-634c-497b-a4d1-c132f98ab0ed}"/>
      </c:ext>
    </c:extLst>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28">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10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0">
      <cs:styleClr val="auto"/>
    </cs:fillRef>
    <cs:effectRef idx="0"/>
    <cs:fontRef idx="minor">
      <a:srgbClr val="000000"/>
    </cs:fontRef>
    <cs:spPr>
      <a:ln w="28575" cap="rnd">
        <a:solidFill>
          <a:srgbClr val="FFFFFF"/>
        </a:solidFill>
        <a:round/>
      </a:ln>
      <a:effectLst/>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E6E6E6">
            <a:lumMod val="902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404040">
        <a:lumMod val="75000"/>
        <a:lumOff val="25000"/>
      </a:srgbClr>
    </cs:fontRef>
    <cs:defRPr sz="1400" b="1" kern="120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2.xml><?xml version="1.0" encoding="utf-8"?>
<cs:chartStyle xmlns:cs="http://schemas.microsoft.com/office/drawing/2012/chartStyle" xmlns:a="http://schemas.openxmlformats.org/drawingml/2006/main" id="10028">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10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0">
      <cs:styleClr val="auto"/>
    </cs:fillRef>
    <cs:effectRef idx="0"/>
    <cs:fontRef idx="minor">
      <a:srgbClr val="000000"/>
    </cs:fontRef>
    <cs:spPr>
      <a:ln w="28575" cap="rnd">
        <a:solidFill>
          <a:srgbClr val="FFFFFF"/>
        </a:solidFill>
        <a:round/>
      </a:ln>
      <a:effectLst/>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E6E6E6">
            <a:lumMod val="902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404040">
        <a:lumMod val="75000"/>
        <a:lumOff val="25000"/>
      </a:srgbClr>
    </cs:fontRef>
    <cs:defRPr sz="1400" b="1" kern="120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4B373C-E939-4C6C-AA81-6147D7F5ED0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324</Pages>
  <Words>10232</Words>
  <Characters>11795</Characters>
  <Lines>1996</Lines>
  <Paragraphs>561</Paragraphs>
  <TotalTime>0</TotalTime>
  <ScaleCrop>false</ScaleCrop>
  <LinksUpToDate>false</LinksUpToDate>
  <CharactersWithSpaces>12143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2026-08-24T12:05:00Z</dcterms:created>
  <dc:creator>Administrator</dc:creator>
  <cp:lastModifiedBy>MOOMIN</cp:lastModifiedBy>
  <cp:lastPrinted>2024-09-14T02:07:00Z</cp:lastPrinted>
  <dcterms:modified xsi:type="dcterms:W3CDTF">2026-08-31T06:45:18Z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888B1BF0758D41989C2FF3B67A49C446_13</vt:lpwstr>
  </property>
  <property fmtid="{D5CDD505-2E9C-101B-9397-08002B2CF9AE}" pid="4" name="KSOTemplateDocerSaveRecord">
    <vt:lpwstr>eyJoZGlkIjoiNWI2NGJkYmZkNTExYzY0NmFjZWJkOTU0ZTMzMzAwODciLCJ1c2VySWQiOiIyNzkyODIzMDMifQ==</vt:lpwstr>
  </property>
</Properties>
</file>